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71F97E" w14:textId="0C4A3B6E" w:rsidR="00E453D9" w:rsidRPr="00E453D9" w:rsidRDefault="00E453D9" w:rsidP="00E453D9">
      <w:pPr>
        <w:spacing w:line="216" w:lineRule="auto"/>
        <w:jc w:val="center"/>
        <w:rPr>
          <w:b/>
          <w:bCs/>
          <w:sz w:val="44"/>
          <w:szCs w:val="44"/>
          <w:rtl/>
        </w:rPr>
      </w:pPr>
      <w:r w:rsidRPr="00E453D9">
        <w:rPr>
          <w:rFonts w:hint="cs"/>
          <w:b/>
          <w:bCs/>
          <w:sz w:val="44"/>
          <w:szCs w:val="44"/>
          <w:rtl/>
        </w:rPr>
        <w:t>اقتصاد کلان</w:t>
      </w:r>
    </w:p>
    <w:p w14:paraId="16D69573" w14:textId="3FD39B96" w:rsidR="00E453D9" w:rsidRPr="00E453D9" w:rsidRDefault="00E453D9" w:rsidP="00E453D9">
      <w:pPr>
        <w:spacing w:line="216" w:lineRule="auto"/>
        <w:jc w:val="center"/>
        <w:rPr>
          <w:b/>
          <w:bCs/>
          <w:sz w:val="44"/>
          <w:szCs w:val="44"/>
          <w:rtl/>
        </w:rPr>
      </w:pPr>
      <w:r w:rsidRPr="00E453D9">
        <w:rPr>
          <w:rFonts w:hint="cs"/>
          <w:b/>
          <w:bCs/>
          <w:sz w:val="44"/>
          <w:szCs w:val="44"/>
          <w:rtl/>
        </w:rPr>
        <w:t>رویکرد تعادل عمومی پویا</w:t>
      </w:r>
    </w:p>
    <w:p w14:paraId="3404A43B" w14:textId="1FD57E6E" w:rsidR="00E453D9" w:rsidRDefault="00E453D9" w:rsidP="00656484">
      <w:pPr>
        <w:spacing w:line="216" w:lineRule="auto"/>
        <w:rPr>
          <w:b/>
          <w:bCs/>
          <w:sz w:val="23"/>
          <w:szCs w:val="23"/>
          <w:rtl/>
        </w:rPr>
      </w:pPr>
    </w:p>
    <w:p w14:paraId="5C60065E" w14:textId="6AE13E21" w:rsidR="00E453D9" w:rsidRDefault="00E453D9" w:rsidP="00656484">
      <w:pPr>
        <w:spacing w:line="216" w:lineRule="auto"/>
        <w:rPr>
          <w:b/>
          <w:bCs/>
          <w:sz w:val="23"/>
          <w:szCs w:val="23"/>
          <w:rtl/>
        </w:rPr>
      </w:pPr>
    </w:p>
    <w:p w14:paraId="5E196D1A" w14:textId="107B54B1" w:rsidR="00E453D9" w:rsidRDefault="00E453D9" w:rsidP="00656484">
      <w:pPr>
        <w:spacing w:line="216" w:lineRule="auto"/>
        <w:rPr>
          <w:b/>
          <w:bCs/>
          <w:sz w:val="23"/>
          <w:szCs w:val="23"/>
          <w:rtl/>
        </w:rPr>
      </w:pPr>
    </w:p>
    <w:p w14:paraId="666CC066" w14:textId="751DE86F" w:rsidR="00E453D9" w:rsidRDefault="00E453D9" w:rsidP="00656484">
      <w:pPr>
        <w:spacing w:line="216" w:lineRule="auto"/>
        <w:rPr>
          <w:b/>
          <w:bCs/>
          <w:sz w:val="23"/>
          <w:szCs w:val="23"/>
          <w:rtl/>
        </w:rPr>
      </w:pPr>
    </w:p>
    <w:p w14:paraId="176AF34C" w14:textId="7D045F95" w:rsidR="00E453D9" w:rsidRDefault="00E453D9" w:rsidP="00656484">
      <w:pPr>
        <w:spacing w:line="216" w:lineRule="auto"/>
        <w:rPr>
          <w:b/>
          <w:bCs/>
          <w:sz w:val="23"/>
          <w:szCs w:val="23"/>
          <w:rtl/>
        </w:rPr>
      </w:pPr>
    </w:p>
    <w:p w14:paraId="2BD3C114" w14:textId="12CBBD32" w:rsidR="00E453D9" w:rsidRDefault="00E453D9" w:rsidP="00656484">
      <w:pPr>
        <w:spacing w:line="216" w:lineRule="auto"/>
        <w:rPr>
          <w:b/>
          <w:bCs/>
          <w:sz w:val="23"/>
          <w:szCs w:val="23"/>
          <w:rtl/>
        </w:rPr>
      </w:pPr>
    </w:p>
    <w:p w14:paraId="2D25DA44" w14:textId="203337E6" w:rsidR="00E453D9" w:rsidRDefault="00E453D9" w:rsidP="00656484">
      <w:pPr>
        <w:spacing w:line="216" w:lineRule="auto"/>
        <w:rPr>
          <w:b/>
          <w:bCs/>
          <w:sz w:val="23"/>
          <w:szCs w:val="23"/>
          <w:rtl/>
        </w:rPr>
      </w:pPr>
    </w:p>
    <w:p w14:paraId="67F43A2F" w14:textId="1F690FCB" w:rsidR="00E453D9" w:rsidRDefault="00E453D9" w:rsidP="00656484">
      <w:pPr>
        <w:spacing w:line="216" w:lineRule="auto"/>
        <w:rPr>
          <w:b/>
          <w:bCs/>
          <w:sz w:val="23"/>
          <w:szCs w:val="23"/>
          <w:rtl/>
        </w:rPr>
      </w:pPr>
    </w:p>
    <w:p w14:paraId="1C8F95BF" w14:textId="4B70804D" w:rsidR="00E453D9" w:rsidRDefault="00E453D9" w:rsidP="00656484">
      <w:pPr>
        <w:spacing w:line="216" w:lineRule="auto"/>
        <w:rPr>
          <w:b/>
          <w:bCs/>
          <w:sz w:val="23"/>
          <w:szCs w:val="23"/>
          <w:rtl/>
        </w:rPr>
      </w:pPr>
    </w:p>
    <w:p w14:paraId="35F6E17D" w14:textId="77777777" w:rsidR="00E453D9" w:rsidRDefault="00E453D9" w:rsidP="00656484">
      <w:pPr>
        <w:spacing w:line="216" w:lineRule="auto"/>
        <w:rPr>
          <w:b/>
          <w:bCs/>
          <w:sz w:val="23"/>
          <w:szCs w:val="23"/>
          <w:rtl/>
        </w:rPr>
      </w:pPr>
    </w:p>
    <w:p w14:paraId="06E245D5" w14:textId="319D9FF9" w:rsidR="00E453D9" w:rsidRDefault="00E453D9" w:rsidP="00656484">
      <w:pPr>
        <w:spacing w:line="216" w:lineRule="auto"/>
        <w:rPr>
          <w:b/>
          <w:bCs/>
          <w:sz w:val="23"/>
          <w:szCs w:val="23"/>
          <w:rtl/>
        </w:rPr>
      </w:pPr>
    </w:p>
    <w:p w14:paraId="070ED1A7" w14:textId="5E8D9E00" w:rsidR="00E453D9" w:rsidRDefault="00E453D9" w:rsidP="00656484">
      <w:pPr>
        <w:spacing w:line="216" w:lineRule="auto"/>
        <w:rPr>
          <w:b/>
          <w:bCs/>
          <w:sz w:val="23"/>
          <w:szCs w:val="23"/>
          <w:rtl/>
        </w:rPr>
      </w:pPr>
    </w:p>
    <w:p w14:paraId="79F357E3" w14:textId="077FA344" w:rsidR="00E453D9" w:rsidRDefault="00E453D9" w:rsidP="00656484">
      <w:pPr>
        <w:spacing w:line="216" w:lineRule="auto"/>
        <w:rPr>
          <w:b/>
          <w:bCs/>
          <w:sz w:val="23"/>
          <w:szCs w:val="23"/>
          <w:rtl/>
        </w:rPr>
      </w:pPr>
    </w:p>
    <w:p w14:paraId="46A72EA9" w14:textId="16B5E3C3" w:rsidR="00E453D9" w:rsidRDefault="00E453D9" w:rsidP="00656484">
      <w:pPr>
        <w:spacing w:line="216" w:lineRule="auto"/>
        <w:rPr>
          <w:b/>
          <w:bCs/>
          <w:sz w:val="23"/>
          <w:szCs w:val="23"/>
          <w:rtl/>
        </w:rPr>
      </w:pPr>
    </w:p>
    <w:p w14:paraId="5AEF6590" w14:textId="77777777" w:rsidR="00E453D9" w:rsidRDefault="00E453D9" w:rsidP="00656484">
      <w:pPr>
        <w:spacing w:line="216" w:lineRule="auto"/>
        <w:rPr>
          <w:b/>
          <w:bCs/>
          <w:sz w:val="23"/>
          <w:szCs w:val="23"/>
          <w:rtl/>
        </w:rPr>
      </w:pPr>
    </w:p>
    <w:p w14:paraId="4AC6824D" w14:textId="2D182838" w:rsidR="00E453D9" w:rsidRDefault="00E453D9" w:rsidP="00E453D9">
      <w:pPr>
        <w:spacing w:line="216" w:lineRule="auto"/>
        <w:jc w:val="center"/>
        <w:rPr>
          <w:b/>
          <w:bCs/>
          <w:sz w:val="23"/>
          <w:szCs w:val="23"/>
          <w:rtl/>
        </w:rPr>
      </w:pPr>
      <w:r>
        <w:rPr>
          <w:rFonts w:hint="cs"/>
          <w:b/>
          <w:bCs/>
          <w:sz w:val="23"/>
          <w:szCs w:val="23"/>
          <w:rtl/>
        </w:rPr>
        <w:t>ترجمه و تالیف</w:t>
      </w:r>
    </w:p>
    <w:p w14:paraId="62319A30" w14:textId="74A95958" w:rsidR="00E453D9" w:rsidRDefault="00E453D9" w:rsidP="00E453D9">
      <w:pPr>
        <w:spacing w:line="216" w:lineRule="auto"/>
        <w:jc w:val="center"/>
        <w:rPr>
          <w:b/>
          <w:bCs/>
          <w:sz w:val="28"/>
          <w:szCs w:val="28"/>
          <w:rtl/>
        </w:rPr>
      </w:pPr>
      <w:r>
        <w:rPr>
          <w:rFonts w:hint="cs"/>
          <w:b/>
          <w:bCs/>
          <w:sz w:val="23"/>
          <w:szCs w:val="23"/>
          <w:rtl/>
        </w:rPr>
        <w:t>کریم امامی</w:t>
      </w:r>
    </w:p>
    <w:p w14:paraId="79321A8D" w14:textId="77777777" w:rsidR="00E453D9" w:rsidRDefault="00E453D9" w:rsidP="00656484">
      <w:pPr>
        <w:spacing w:line="216" w:lineRule="auto"/>
        <w:rPr>
          <w:b/>
          <w:bCs/>
          <w:sz w:val="28"/>
          <w:szCs w:val="28"/>
          <w:rtl/>
        </w:rPr>
      </w:pPr>
    </w:p>
    <w:p w14:paraId="11DD9AC3" w14:textId="77777777" w:rsidR="00E453D9" w:rsidRDefault="00E453D9" w:rsidP="00656484">
      <w:pPr>
        <w:spacing w:line="216" w:lineRule="auto"/>
        <w:rPr>
          <w:b/>
          <w:bCs/>
          <w:sz w:val="28"/>
          <w:szCs w:val="28"/>
          <w:rtl/>
        </w:rPr>
      </w:pPr>
    </w:p>
    <w:p w14:paraId="3CD19B28" w14:textId="77777777" w:rsidR="00E453D9" w:rsidRDefault="00E453D9" w:rsidP="00656484">
      <w:pPr>
        <w:spacing w:line="216" w:lineRule="auto"/>
        <w:rPr>
          <w:b/>
          <w:bCs/>
          <w:sz w:val="28"/>
          <w:szCs w:val="28"/>
          <w:rtl/>
        </w:rPr>
      </w:pPr>
    </w:p>
    <w:p w14:paraId="5EE61D22" w14:textId="77777777" w:rsidR="00E453D9" w:rsidRDefault="00E453D9" w:rsidP="00656484">
      <w:pPr>
        <w:spacing w:line="216" w:lineRule="auto"/>
        <w:rPr>
          <w:b/>
          <w:bCs/>
          <w:sz w:val="28"/>
          <w:szCs w:val="28"/>
          <w:rtl/>
        </w:rPr>
      </w:pPr>
    </w:p>
    <w:p w14:paraId="28802017" w14:textId="77777777" w:rsidR="00E453D9" w:rsidRDefault="00E453D9" w:rsidP="00656484">
      <w:pPr>
        <w:spacing w:line="216" w:lineRule="auto"/>
        <w:rPr>
          <w:b/>
          <w:bCs/>
          <w:sz w:val="28"/>
          <w:szCs w:val="28"/>
          <w:rtl/>
        </w:rPr>
      </w:pPr>
    </w:p>
    <w:p w14:paraId="1AA183F7" w14:textId="77777777" w:rsidR="00E453D9" w:rsidRDefault="00E453D9" w:rsidP="00656484">
      <w:pPr>
        <w:spacing w:line="216" w:lineRule="auto"/>
        <w:rPr>
          <w:b/>
          <w:bCs/>
          <w:sz w:val="28"/>
          <w:szCs w:val="28"/>
          <w:rtl/>
        </w:rPr>
      </w:pPr>
    </w:p>
    <w:p w14:paraId="4455F093" w14:textId="77777777" w:rsidR="00E453D9" w:rsidRDefault="00E453D9" w:rsidP="00656484">
      <w:pPr>
        <w:spacing w:line="216" w:lineRule="auto"/>
        <w:rPr>
          <w:b/>
          <w:bCs/>
          <w:sz w:val="28"/>
          <w:szCs w:val="28"/>
          <w:rtl/>
        </w:rPr>
      </w:pPr>
    </w:p>
    <w:p w14:paraId="5088E9E6" w14:textId="77777777" w:rsidR="00E453D9" w:rsidRDefault="00E453D9" w:rsidP="00656484">
      <w:pPr>
        <w:spacing w:line="216" w:lineRule="auto"/>
        <w:rPr>
          <w:b/>
          <w:bCs/>
          <w:sz w:val="28"/>
          <w:szCs w:val="28"/>
          <w:rtl/>
        </w:rPr>
      </w:pPr>
    </w:p>
    <w:p w14:paraId="7A3232CF" w14:textId="77777777" w:rsidR="006E4C1C" w:rsidRPr="00274C8D" w:rsidRDefault="006E4C1C" w:rsidP="006E4C1C">
      <w:pPr>
        <w:pStyle w:val="TOC1"/>
        <w:spacing w:before="0" w:line="180" w:lineRule="atLeast"/>
        <w:rPr>
          <w:rFonts w:ascii="NPIZar" w:hAnsi="NPIZar" w:cs="B Nazanin"/>
          <w:b w:val="0"/>
          <w:bCs w:val="0"/>
          <w:webHidden/>
          <w:sz w:val="20"/>
          <w:szCs w:val="20"/>
        </w:rPr>
      </w:pPr>
      <w:r w:rsidRPr="00CB3311">
        <w:rPr>
          <w:rFonts w:cs="B Nazanin" w:hint="eastAsia"/>
          <w:sz w:val="20"/>
          <w:szCs w:val="20"/>
          <w:rtl/>
        </w:rPr>
        <w:lastRenderedPageBreak/>
        <w:t>پ</w:t>
      </w:r>
      <w:r w:rsidRPr="00CB3311">
        <w:rPr>
          <w:rFonts w:cs="B Nazanin" w:hint="cs"/>
          <w:sz w:val="20"/>
          <w:szCs w:val="20"/>
          <w:rtl/>
        </w:rPr>
        <w:t>ی</w:t>
      </w:r>
      <w:r w:rsidRPr="00CB3311">
        <w:rPr>
          <w:rFonts w:cs="B Nazanin" w:hint="eastAsia"/>
          <w:sz w:val="20"/>
          <w:szCs w:val="20"/>
          <w:rtl/>
        </w:rPr>
        <w:t>ش</w:t>
      </w:r>
      <w:r>
        <w:rPr>
          <w:rFonts w:cs="B Nazanin"/>
          <w:sz w:val="20"/>
          <w:szCs w:val="20"/>
        </w:rPr>
        <w:softHyphen/>
      </w:r>
      <w:r w:rsidRPr="00CB3311">
        <w:rPr>
          <w:rFonts w:cs="B Nazanin" w:hint="eastAsia"/>
          <w:sz w:val="20"/>
          <w:szCs w:val="20"/>
          <w:rtl/>
        </w:rPr>
        <w:t>گفتار</w:t>
      </w:r>
      <w:r w:rsidRPr="00CB3311">
        <w:rPr>
          <w:rFonts w:cs="B Nazanin"/>
          <w:b w:val="0"/>
          <w:bCs w:val="0"/>
          <w:sz w:val="20"/>
          <w:szCs w:val="20"/>
        </w:rPr>
        <w:t xml:space="preserve"> </w:t>
      </w:r>
    </w:p>
    <w:p w14:paraId="72D42210" w14:textId="77777777" w:rsidR="006E4C1C" w:rsidRPr="00274C8D" w:rsidRDefault="006E4C1C" w:rsidP="006E4C1C">
      <w:pPr>
        <w:spacing w:line="180" w:lineRule="atLeast"/>
        <w:rPr>
          <w:rFonts w:ascii="NPIZar" w:eastAsia="Yu Gothic UI" w:hAnsi="NPIZar"/>
          <w:rtl/>
          <w14:glow w14:rad="0">
            <w14:srgbClr w14:val="000000">
              <w14:alpha w14:val="91000"/>
            </w14:srgbClr>
          </w14:glow>
          <w14:shadow w14:blurRad="63500" w14:dist="0" w14:dir="0" w14:sx="1000" w14:sy="1000" w14:kx="0" w14:ky="0" w14:algn="ctr">
            <w14:srgbClr w14:val="000000">
              <w14:alpha w14:val="16000"/>
            </w14:srgbClr>
          </w14:shadow>
        </w:rPr>
      </w:pPr>
    </w:p>
    <w:p w14:paraId="4F2BAB2F" w14:textId="77777777" w:rsidR="006E4C1C" w:rsidRPr="00274C8D" w:rsidRDefault="006E4C1C" w:rsidP="006E4C1C">
      <w:pPr>
        <w:pStyle w:val="TOC1"/>
        <w:spacing w:before="0" w:line="180" w:lineRule="atLeast"/>
        <w:rPr>
          <w:rFonts w:ascii="NPIZar" w:hAnsi="NPIZar" w:cs="B Nazanin"/>
          <w:b w:val="0"/>
          <w:bCs w:val="0"/>
          <w:webHidden/>
          <w:sz w:val="20"/>
          <w:szCs w:val="20"/>
        </w:rPr>
      </w:pP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فصل اول: مقدمه</w:t>
      </w: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softHyphen/>
        <w:t>ای بر مدل</w:t>
      </w: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softHyphen/>
        <w:t>های تعادل عمومی پویای تصادفی</w:t>
      </w:r>
      <w:r w:rsidRPr="00274C8D">
        <w:rPr>
          <w:rFonts w:ascii="NPIZar" w:hAnsi="NPIZar" w:cs="B Nazanin"/>
          <w:b w:val="0"/>
          <w:bCs w:val="0"/>
          <w:webHidden/>
          <w:sz w:val="20"/>
          <w:szCs w:val="20"/>
          <w:rtl/>
        </w:rPr>
        <w:tab/>
      </w:r>
      <w:r>
        <w:rPr>
          <w:rFonts w:ascii="NPIZar" w:hAnsi="NPIZar" w:cs="B Nazanin"/>
          <w:b w:val="0"/>
          <w:bCs w:val="0"/>
          <w:webHidden/>
          <w:sz w:val="20"/>
          <w:szCs w:val="20"/>
        </w:rPr>
        <w:t>1</w:t>
      </w:r>
    </w:p>
    <w:p w14:paraId="59530F27" w14:textId="77777777" w:rsidR="006E4C1C" w:rsidRPr="00274C8D" w:rsidRDefault="006E4C1C" w:rsidP="006E4C1C">
      <w:pPr>
        <w:pStyle w:val="TOC1"/>
        <w:spacing w:before="0" w:line="180" w:lineRule="atLeast"/>
        <w:rPr>
          <w:rFonts w:ascii="NPIZar" w:eastAsia="Yu Gothic UI" w:hAnsi="NPIZar" w:cs="B Nazanin"/>
          <w:sz w:val="20"/>
          <w:szCs w:val="20"/>
          <w14:glow w14:rad="0">
            <w14:srgbClr w14:val="000000">
              <w14:alpha w14:val="91000"/>
            </w14:srgbClr>
          </w14:glow>
          <w14:shadow w14:blurRad="63500" w14:dist="0" w14:dir="0" w14:sx="1000" w14:sy="1000" w14:kx="0" w14:ky="0" w14:algn="ctr">
            <w14:srgbClr w14:val="000000">
              <w14:alpha w14:val="16000"/>
            </w14:srgbClr>
          </w14:shadow>
        </w:rPr>
      </w:pPr>
    </w:p>
    <w:p w14:paraId="62792647" w14:textId="77777777" w:rsidR="006E4C1C" w:rsidRPr="00274C8D" w:rsidRDefault="006E4C1C" w:rsidP="006E4C1C">
      <w:pPr>
        <w:pStyle w:val="TOC1"/>
        <w:spacing w:before="0" w:line="180" w:lineRule="atLeast"/>
        <w:rPr>
          <w:rFonts w:ascii="NPIZar" w:hAnsi="NPIZar" w:cs="B Nazanin"/>
          <w:b w:val="0"/>
          <w:bCs w:val="0"/>
          <w:webHidden/>
          <w:sz w:val="20"/>
          <w:szCs w:val="20"/>
          <w:rtl/>
        </w:rPr>
      </w:pP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فصل دوم: اقتصاد متمرکز</w:t>
      </w:r>
      <w:r w:rsidRPr="00274C8D">
        <w:rPr>
          <w:rFonts w:ascii="NPIZar" w:hAnsi="NPIZar" w:cs="B Nazanin"/>
          <w:b w:val="0"/>
          <w:bCs w:val="0"/>
          <w:sz w:val="20"/>
          <w:szCs w:val="20"/>
        </w:rPr>
        <w:t xml:space="preserve"> </w:t>
      </w:r>
    </w:p>
    <w:p w14:paraId="5CBE6D33"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482" w:history="1">
        <w:r w:rsidR="006E4C1C" w:rsidRPr="00274C8D">
          <w:rPr>
            <w:rStyle w:val="Hyperlink"/>
            <w:rFonts w:ascii="NPIZar" w:hAnsi="NPIZar" w:cs="B Nazanin"/>
            <w:b w:val="0"/>
            <w:bCs w:val="0"/>
            <w:color w:val="auto"/>
            <w:sz w:val="20"/>
            <w:szCs w:val="20"/>
            <w:u w:val="none"/>
            <w:rtl/>
          </w:rPr>
          <w:t xml:space="preserve">۲. </w:t>
        </w:r>
        <w:r w:rsidR="006E4C1C">
          <w:rPr>
            <w:rStyle w:val="Hyperlink"/>
            <w:rFonts w:ascii="NPIZar" w:hAnsi="NPIZar" w:cs="B Nazanin"/>
            <w:b w:val="0"/>
            <w:bCs w:val="0"/>
            <w:color w:val="auto"/>
            <w:sz w:val="20"/>
            <w:szCs w:val="20"/>
            <w:u w:val="none"/>
          </w:rPr>
          <w:t>1</w:t>
        </w:r>
        <w:r w:rsidR="006E4C1C" w:rsidRPr="00274C8D">
          <w:rPr>
            <w:rStyle w:val="Hyperlink"/>
            <w:rFonts w:ascii="NPIZar" w:hAnsi="NPIZar" w:cs="B Nazanin"/>
            <w:b w:val="0"/>
            <w:bCs w:val="0"/>
            <w:color w:val="auto"/>
            <w:sz w:val="20"/>
            <w:szCs w:val="20"/>
            <w:u w:val="none"/>
            <w:rtl/>
          </w:rPr>
          <w:t xml:space="preserve"> مقدمه</w:t>
        </w:r>
        <w:r w:rsidR="006E4C1C" w:rsidRPr="00274C8D">
          <w:rPr>
            <w:rFonts w:ascii="NPIZar" w:hAnsi="NPIZar" w:cs="B Nazanin"/>
            <w:b w:val="0"/>
            <w:bCs w:val="0"/>
            <w:webHidden/>
            <w:sz w:val="20"/>
            <w:szCs w:val="20"/>
            <w:rtl/>
          </w:rPr>
          <w:tab/>
        </w:r>
        <w:r w:rsidR="006E4C1C">
          <w:rPr>
            <w:rFonts w:ascii="NPIZar" w:hAnsi="NPIZar" w:cs="B Nazanin"/>
            <w:b w:val="0"/>
            <w:bCs w:val="0"/>
            <w:webHidden/>
            <w:sz w:val="20"/>
            <w:szCs w:val="20"/>
          </w:rPr>
          <w:t>11</w:t>
        </w:r>
      </w:hyperlink>
    </w:p>
    <w:sdt>
      <w:sdtPr>
        <w:rPr>
          <w:rFonts w:ascii="NPIZar" w:hAnsi="NPIZar" w:cs="B Nazanin"/>
          <w:b w:val="0"/>
          <w:bCs w:val="0"/>
          <w:sz w:val="20"/>
          <w:szCs w:val="20"/>
          <w:rtl/>
        </w:rPr>
        <w:id w:val="-636870586"/>
        <w:docPartObj>
          <w:docPartGallery w:val="Table of Contents"/>
          <w:docPartUnique/>
        </w:docPartObj>
      </w:sdtPr>
      <w:sdtEndPr>
        <w:rPr>
          <w:rFonts w:ascii="Times New Roman Bold" w:hAnsi="Times New Roman Bold"/>
        </w:rPr>
      </w:sdtEndPr>
      <w:sdtContent>
        <w:p w14:paraId="10701D97" w14:textId="77777777" w:rsidR="006E4C1C" w:rsidRPr="00274C8D" w:rsidRDefault="006E4C1C" w:rsidP="006E4C1C">
          <w:pPr>
            <w:pStyle w:val="TOC1"/>
            <w:spacing w:before="0" w:line="180" w:lineRule="atLeast"/>
            <w:rPr>
              <w:rFonts w:ascii="NPIZar" w:eastAsiaTheme="minorEastAsia" w:hAnsi="NPIZar" w:cs="B Nazanin"/>
              <w:b w:val="0"/>
              <w:bCs w:val="0"/>
              <w:smallCaps w:val="0"/>
              <w:sz w:val="20"/>
              <w:szCs w:val="20"/>
              <w:rtl/>
              <w:lang w:bidi="ar-SA"/>
            </w:rPr>
          </w:pPr>
          <w:r w:rsidRPr="00274C8D">
            <w:rPr>
              <w:rFonts w:ascii="NPIZar" w:hAnsi="NPIZar" w:cs="B Nazanin"/>
              <w:b w:val="0"/>
              <w:bCs w:val="0"/>
              <w:sz w:val="20"/>
              <w:szCs w:val="20"/>
            </w:rPr>
            <w:fldChar w:fldCharType="begin"/>
          </w:r>
          <w:r w:rsidRPr="00274C8D">
            <w:rPr>
              <w:rFonts w:ascii="NPIZar" w:hAnsi="NPIZar" w:cs="B Nazanin"/>
              <w:b w:val="0"/>
              <w:bCs w:val="0"/>
              <w:sz w:val="20"/>
              <w:szCs w:val="20"/>
            </w:rPr>
            <w:instrText xml:space="preserve"> TOC \o "1-3" \h \z \u </w:instrText>
          </w:r>
          <w:r w:rsidRPr="00274C8D">
            <w:rPr>
              <w:rFonts w:ascii="NPIZar" w:hAnsi="NPIZar" w:cs="B Nazanin"/>
              <w:b w:val="0"/>
              <w:bCs w:val="0"/>
              <w:sz w:val="20"/>
              <w:szCs w:val="20"/>
            </w:rPr>
            <w:fldChar w:fldCharType="separate"/>
          </w:r>
          <w:hyperlink w:anchor="_Toc8432480" w:history="1">
            <w:r w:rsidRPr="00274C8D">
              <w:rPr>
                <w:rStyle w:val="Hyperlink"/>
                <w:rFonts w:ascii="NPIZar" w:hAnsi="NPIZar" w:cs="B Nazanin"/>
                <w:b w:val="0"/>
                <w:bCs w:val="0"/>
                <w:color w:val="auto"/>
                <w:sz w:val="20"/>
                <w:szCs w:val="20"/>
                <w:u w:val="none"/>
                <w:rtl/>
              </w:rPr>
              <w:t>۲. ۲ تعادل عمومی پویا در اقتصاد بسته</w:t>
            </w:r>
            <w:r w:rsidRPr="00274C8D">
              <w:rPr>
                <w:rFonts w:ascii="NPIZar" w:hAnsi="NPIZar" w:cs="B Nazanin"/>
                <w:b w:val="0"/>
                <w:bCs w:val="0"/>
                <w:webHidden/>
                <w:sz w:val="20"/>
                <w:szCs w:val="20"/>
                <w:rtl/>
              </w:rPr>
              <w:tab/>
            </w:r>
            <w:r>
              <w:rPr>
                <w:rFonts w:ascii="NPIZar" w:hAnsi="NPIZar" w:cs="B Nazanin"/>
                <w:b w:val="0"/>
                <w:bCs w:val="0"/>
                <w:webHidden/>
                <w:sz w:val="20"/>
                <w:szCs w:val="20"/>
              </w:rPr>
              <w:t>12</w:t>
            </w:r>
          </w:hyperlink>
        </w:p>
        <w:p w14:paraId="382BD816"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481" w:history="1">
            <w:r w:rsidR="006E4C1C" w:rsidRPr="00274C8D">
              <w:rPr>
                <w:rStyle w:val="Hyperlink"/>
                <w:rFonts w:ascii="NPIZar" w:hAnsi="NPIZar" w:cs="B Nazanin"/>
                <w:b w:val="0"/>
                <w:bCs w:val="0"/>
                <w:color w:val="auto"/>
                <w:sz w:val="20"/>
                <w:szCs w:val="20"/>
                <w:u w:val="none"/>
                <w:rtl/>
              </w:rPr>
              <w:t>۲. ۳ راه حل قاعده</w:t>
            </w:r>
            <w:r w:rsidR="006E4C1C" w:rsidRPr="00274C8D">
              <w:rPr>
                <w:rStyle w:val="Hyperlink"/>
                <w:rFonts w:ascii="NPIZar" w:hAnsi="NPIZar" w:cs="B Nazanin"/>
                <w:b w:val="0"/>
                <w:bCs w:val="0"/>
                <w:color w:val="auto"/>
                <w:sz w:val="20"/>
                <w:szCs w:val="20"/>
                <w:u w:val="none"/>
                <w:rtl/>
              </w:rPr>
              <w:softHyphen/>
              <w:t>ی طلایی</w:t>
            </w:r>
            <w:r w:rsidR="006E4C1C" w:rsidRPr="00274C8D">
              <w:rPr>
                <w:rFonts w:ascii="NPIZar" w:hAnsi="NPIZar" w:cs="B Nazanin"/>
                <w:b w:val="0"/>
                <w:bCs w:val="0"/>
                <w:webHidden/>
                <w:sz w:val="20"/>
                <w:szCs w:val="20"/>
                <w:rtl/>
              </w:rPr>
              <w:tab/>
            </w:r>
            <w:r w:rsidR="006E4C1C">
              <w:rPr>
                <w:rFonts w:ascii="NPIZar" w:hAnsi="NPIZar" w:cs="B Nazanin"/>
                <w:b w:val="0"/>
                <w:bCs w:val="0"/>
                <w:webHidden/>
                <w:sz w:val="20"/>
                <w:szCs w:val="20"/>
              </w:rPr>
              <w:t>14</w:t>
            </w:r>
          </w:hyperlink>
        </w:p>
        <w:p w14:paraId="050DA09C" w14:textId="77777777" w:rsidR="006E4C1C" w:rsidRPr="00274C8D" w:rsidRDefault="00E97D37" w:rsidP="006E4C1C">
          <w:pPr>
            <w:pStyle w:val="TOC1"/>
            <w:spacing w:before="0" w:line="180" w:lineRule="atLeast"/>
            <w:rPr>
              <w:rFonts w:ascii="NPIZar" w:hAnsi="NPIZar" w:cs="B Nazanin"/>
              <w:b w:val="0"/>
              <w:bCs w:val="0"/>
              <w:sz w:val="20"/>
              <w:szCs w:val="20"/>
              <w:rtl/>
            </w:rPr>
          </w:pPr>
          <w:hyperlink w:anchor="_Toc8432482" w:history="1">
            <w:r w:rsidR="006E4C1C" w:rsidRPr="00274C8D">
              <w:rPr>
                <w:rStyle w:val="Hyperlink"/>
                <w:rFonts w:ascii="NPIZar" w:hAnsi="NPIZar" w:cs="B Nazanin"/>
                <w:b w:val="0"/>
                <w:bCs w:val="0"/>
                <w:color w:val="auto"/>
                <w:sz w:val="20"/>
                <w:szCs w:val="20"/>
                <w:u w:val="none"/>
                <w:rtl/>
              </w:rPr>
              <w:t>۲. ۴ راه حل بهینه</w:t>
            </w:r>
            <w:r w:rsidR="006E4C1C" w:rsidRPr="00274C8D">
              <w:rPr>
                <w:rFonts w:ascii="NPIZar" w:hAnsi="NPIZar" w:cs="B Nazanin"/>
                <w:b w:val="0"/>
                <w:bCs w:val="0"/>
                <w:webHidden/>
                <w:sz w:val="20"/>
                <w:szCs w:val="20"/>
                <w:rtl/>
              </w:rPr>
              <w:tab/>
            </w:r>
          </w:hyperlink>
          <w:r w:rsidR="006E4C1C">
            <w:rPr>
              <w:rFonts w:ascii="NPIZar" w:hAnsi="NPIZar" w:cs="B Nazanin"/>
              <w:b w:val="0"/>
              <w:bCs w:val="0"/>
              <w:sz w:val="20"/>
              <w:szCs w:val="20"/>
            </w:rPr>
            <w:t>17</w:t>
          </w:r>
        </w:p>
        <w:p w14:paraId="76D72143"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489" w:history="1">
            <w:r w:rsidR="006E4C1C" w:rsidRPr="00274C8D">
              <w:rPr>
                <w:rStyle w:val="Hyperlink"/>
                <w:rFonts w:ascii="NPIZar" w:hAnsi="NPIZar" w:cs="B Nazanin"/>
                <w:b w:val="0"/>
                <w:bCs w:val="0"/>
                <w:color w:val="auto"/>
                <w:sz w:val="20"/>
                <w:szCs w:val="20"/>
                <w:u w:val="none"/>
                <w:rtl/>
              </w:rPr>
              <w:t>۲. ۵ پویایی</w:t>
            </w:r>
            <w:r w:rsidR="006E4C1C" w:rsidRPr="00274C8D">
              <w:rPr>
                <w:rStyle w:val="Hyperlink"/>
                <w:rFonts w:ascii="NPIZar" w:hAnsi="NPIZar" w:cs="B Nazanin"/>
                <w:b w:val="0"/>
                <w:bCs w:val="0"/>
                <w:color w:val="auto"/>
                <w:sz w:val="20"/>
                <w:szCs w:val="20"/>
                <w:u w:val="none"/>
              </w:rPr>
              <w:softHyphen/>
            </w:r>
            <w:r w:rsidR="006E4C1C" w:rsidRPr="00274C8D">
              <w:rPr>
                <w:rStyle w:val="Hyperlink"/>
                <w:rFonts w:ascii="NPIZar" w:hAnsi="NPIZar" w:cs="B Nazanin"/>
                <w:b w:val="0"/>
                <w:bCs w:val="0"/>
                <w:color w:val="auto"/>
                <w:sz w:val="20"/>
                <w:szCs w:val="20"/>
                <w:u w:val="none"/>
                <w:rtl/>
              </w:rPr>
              <w:t xml:space="preserve">های ادوار تجاری حقیقی </w:t>
            </w:r>
            <w:r w:rsidR="006E4C1C" w:rsidRPr="00274C8D">
              <w:rPr>
                <w:rFonts w:ascii="NPIZar" w:hAnsi="NPIZar" w:cs="B Nazanin"/>
                <w:b w:val="0"/>
                <w:bCs w:val="0"/>
                <w:webHidden/>
                <w:sz w:val="20"/>
                <w:szCs w:val="20"/>
                <w:rtl/>
              </w:rPr>
              <w:tab/>
            </w:r>
            <w:r w:rsidR="006E4C1C">
              <w:rPr>
                <w:rFonts w:ascii="NPIZar" w:hAnsi="NPIZar" w:cs="B Nazanin"/>
                <w:b w:val="0"/>
                <w:bCs w:val="0"/>
                <w:webHidden/>
                <w:sz w:val="20"/>
                <w:szCs w:val="20"/>
              </w:rPr>
              <w:t>31</w:t>
            </w:r>
          </w:hyperlink>
        </w:p>
        <w:p w14:paraId="36240811"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490" w:history="1">
            <w:r w:rsidR="006E4C1C" w:rsidRPr="00274C8D">
              <w:rPr>
                <w:rStyle w:val="Hyperlink"/>
                <w:rFonts w:ascii="NPIZar" w:hAnsi="NPIZar" w:cs="B Nazanin"/>
                <w:b w:val="0"/>
                <w:bCs w:val="0"/>
                <w:color w:val="auto"/>
                <w:sz w:val="20"/>
                <w:szCs w:val="20"/>
                <w:u w:val="none"/>
                <w:rtl/>
              </w:rPr>
              <w:t>۲. ۶ نیروی کار در مدل اولیه</w:t>
            </w:r>
            <w:r w:rsidR="006E4C1C" w:rsidRPr="00274C8D">
              <w:rPr>
                <w:rFonts w:ascii="NPIZar" w:hAnsi="NPIZar" w:cs="B Nazanin"/>
                <w:b w:val="0"/>
                <w:bCs w:val="0"/>
                <w:webHidden/>
                <w:sz w:val="20"/>
                <w:szCs w:val="20"/>
                <w:rtl/>
              </w:rPr>
              <w:tab/>
            </w:r>
          </w:hyperlink>
          <w:r w:rsidR="006E4C1C">
            <w:rPr>
              <w:rFonts w:ascii="NPIZar" w:hAnsi="NPIZar" w:cs="B Nazanin"/>
              <w:b w:val="0"/>
              <w:bCs w:val="0"/>
              <w:sz w:val="20"/>
              <w:szCs w:val="20"/>
            </w:rPr>
            <w:t>32</w:t>
          </w:r>
        </w:p>
        <w:p w14:paraId="1F56506A" w14:textId="77777777" w:rsidR="006E4C1C" w:rsidRDefault="00E97D37" w:rsidP="006E4C1C">
          <w:pPr>
            <w:pStyle w:val="TOC1"/>
            <w:spacing w:before="0" w:line="180" w:lineRule="atLeast"/>
            <w:rPr>
              <w:rFonts w:ascii="NPIZar" w:hAnsi="NPIZar" w:cs="B Nazanin"/>
              <w:b w:val="0"/>
              <w:bCs w:val="0"/>
              <w:sz w:val="20"/>
              <w:szCs w:val="20"/>
              <w:rtl/>
            </w:rPr>
          </w:pPr>
          <w:hyperlink w:anchor="_Toc8432491" w:history="1">
            <w:r w:rsidR="006E4C1C" w:rsidRPr="00274C8D">
              <w:rPr>
                <w:rStyle w:val="Hyperlink"/>
                <w:rFonts w:ascii="NPIZar" w:hAnsi="NPIZar" w:cs="B Nazanin"/>
                <w:b w:val="0"/>
                <w:bCs w:val="0"/>
                <w:color w:val="auto"/>
                <w:sz w:val="20"/>
                <w:szCs w:val="20"/>
                <w:u w:val="none"/>
                <w:rtl/>
              </w:rPr>
              <w:t>۲. ۷ سرمایه‌گذاری</w:t>
            </w:r>
            <w:r w:rsidR="006E4C1C" w:rsidRPr="00274C8D">
              <w:rPr>
                <w:rFonts w:ascii="NPIZar" w:hAnsi="NPIZar" w:cs="B Nazanin"/>
                <w:b w:val="0"/>
                <w:bCs w:val="0"/>
                <w:webHidden/>
                <w:sz w:val="20"/>
                <w:szCs w:val="20"/>
                <w:rtl/>
              </w:rPr>
              <w:tab/>
            </w:r>
          </w:hyperlink>
          <w:r w:rsidR="006E4C1C">
            <w:rPr>
              <w:rFonts w:ascii="NPIZar" w:hAnsi="NPIZar" w:cs="B Nazanin"/>
              <w:b w:val="0"/>
              <w:bCs w:val="0"/>
              <w:sz w:val="20"/>
              <w:szCs w:val="20"/>
            </w:rPr>
            <w:t>36</w:t>
          </w:r>
        </w:p>
        <w:p w14:paraId="4D57BCFC" w14:textId="77777777" w:rsidR="006E4C1C" w:rsidRPr="009F5624" w:rsidRDefault="006E4C1C" w:rsidP="006E4C1C">
          <w:pPr>
            <w:rPr>
              <w:rFonts w:eastAsiaTheme="minorEastAsia"/>
            </w:rPr>
          </w:pPr>
        </w:p>
        <w:p w14:paraId="39F9FE84" w14:textId="77777777" w:rsidR="006E4C1C" w:rsidRPr="00274C8D" w:rsidRDefault="006E4C1C" w:rsidP="006E4C1C">
          <w:pPr>
            <w:pStyle w:val="TOC1"/>
            <w:spacing w:before="0" w:line="180" w:lineRule="atLeast"/>
            <w:rPr>
              <w:rFonts w:ascii="NPIZar" w:hAnsi="NPIZar" w:cs="B Nazanin"/>
              <w:b w:val="0"/>
              <w:bCs w:val="0"/>
              <w:webHidden/>
              <w:sz w:val="20"/>
              <w:szCs w:val="20"/>
              <w:rtl/>
            </w:rPr>
          </w:pP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فصل سوم: رشد اقتصادی</w:t>
          </w:r>
          <w:r w:rsidRPr="00274C8D">
            <w:rPr>
              <w:rFonts w:ascii="NPIZar" w:hAnsi="NPIZar" w:cs="B Nazanin"/>
              <w:b w:val="0"/>
              <w:bCs w:val="0"/>
              <w:sz w:val="20"/>
              <w:szCs w:val="20"/>
            </w:rPr>
            <w:t xml:space="preserve"> </w:t>
          </w:r>
        </w:p>
        <w:p w14:paraId="46A5E82B" w14:textId="77777777" w:rsidR="006E4C1C" w:rsidRPr="00274C8D" w:rsidRDefault="00E97D37" w:rsidP="006E4C1C">
          <w:pPr>
            <w:pStyle w:val="TOC1"/>
            <w:spacing w:before="0" w:line="180" w:lineRule="atLeast"/>
            <w:rPr>
              <w:rFonts w:ascii="NPIZar" w:hAnsi="NPIZar" w:cs="B Nazanin"/>
              <w:b w:val="0"/>
              <w:bCs w:val="0"/>
              <w:sz w:val="20"/>
              <w:szCs w:val="20"/>
              <w:rtl/>
            </w:rPr>
          </w:pPr>
          <w:hyperlink w:anchor="_Toc8432494" w:history="1">
            <w:r w:rsidR="006E4C1C" w:rsidRPr="00274C8D">
              <w:rPr>
                <w:rStyle w:val="Hyperlink"/>
                <w:rFonts w:ascii="NPIZar" w:hAnsi="NPIZar" w:cs="B Nazanin"/>
                <w:b w:val="0"/>
                <w:bCs w:val="0"/>
                <w:color w:val="auto"/>
                <w:sz w:val="20"/>
                <w:szCs w:val="20"/>
                <w:u w:val="none"/>
                <w:rtl/>
              </w:rPr>
              <w:t>۳. ۱ مقدمه</w:t>
            </w:r>
            <w:r w:rsidR="006E4C1C" w:rsidRPr="00274C8D">
              <w:rPr>
                <w:rFonts w:ascii="NPIZar" w:hAnsi="NPIZar" w:cs="B Nazanin"/>
                <w:b w:val="0"/>
                <w:bCs w:val="0"/>
                <w:webHidden/>
                <w:sz w:val="20"/>
                <w:szCs w:val="20"/>
                <w:rtl/>
              </w:rPr>
              <w:tab/>
            </w:r>
          </w:hyperlink>
          <w:r w:rsidR="006E4C1C">
            <w:rPr>
              <w:rFonts w:ascii="NPIZar" w:hAnsi="NPIZar" w:cs="B Nazanin"/>
              <w:b w:val="0"/>
              <w:bCs w:val="0"/>
              <w:sz w:val="20"/>
              <w:szCs w:val="20"/>
            </w:rPr>
            <w:t>43</w:t>
          </w:r>
        </w:p>
        <w:p w14:paraId="65C887C5" w14:textId="77777777" w:rsidR="006E4C1C" w:rsidRPr="00274C8D" w:rsidRDefault="00E97D37" w:rsidP="006E4C1C">
          <w:pPr>
            <w:pStyle w:val="TOC1"/>
            <w:spacing w:before="0" w:line="180" w:lineRule="atLeast"/>
            <w:rPr>
              <w:rFonts w:ascii="NPIZar" w:hAnsi="NPIZar" w:cs="B Nazanin"/>
              <w:b w:val="0"/>
              <w:bCs w:val="0"/>
              <w:sz w:val="20"/>
              <w:szCs w:val="20"/>
              <w:rtl/>
            </w:rPr>
          </w:pPr>
          <w:hyperlink w:anchor="_Toc8432495" w:history="1">
            <w:r w:rsidR="006E4C1C" w:rsidRPr="00274C8D">
              <w:rPr>
                <w:rStyle w:val="Hyperlink"/>
                <w:rFonts w:ascii="NPIZar" w:hAnsi="NPIZar" w:cs="B Nazanin"/>
                <w:b w:val="0"/>
                <w:bCs w:val="0"/>
                <w:color w:val="auto"/>
                <w:sz w:val="20"/>
                <w:szCs w:val="20"/>
                <w:u w:val="none"/>
                <w:rtl/>
              </w:rPr>
              <w:t>۳. ۲ مدل</w:t>
            </w:r>
            <w:r w:rsidR="006E4C1C" w:rsidRPr="00274C8D">
              <w:rPr>
                <w:rStyle w:val="Hyperlink"/>
                <w:rFonts w:ascii="NPIZar" w:hAnsi="NPIZar" w:cs="B Nazanin"/>
                <w:b w:val="0"/>
                <w:bCs w:val="0"/>
                <w:color w:val="auto"/>
                <w:sz w:val="20"/>
                <w:szCs w:val="20"/>
                <w:u w:val="none"/>
                <w:rtl/>
              </w:rPr>
              <w:softHyphen/>
              <w:t>سازی رشد اقتصادی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46</w:t>
          </w:r>
        </w:p>
        <w:p w14:paraId="590D7BB6" w14:textId="77777777" w:rsidR="006E4C1C" w:rsidRPr="00274C8D" w:rsidRDefault="00E97D37" w:rsidP="006E4C1C">
          <w:pPr>
            <w:pStyle w:val="TOC1"/>
            <w:spacing w:before="0" w:line="180" w:lineRule="atLeast"/>
            <w:rPr>
              <w:rFonts w:ascii="NPIZar" w:hAnsi="NPIZar" w:cs="B Nazanin"/>
              <w:b w:val="0"/>
              <w:bCs w:val="0"/>
              <w:sz w:val="20"/>
              <w:szCs w:val="20"/>
              <w:rtl/>
            </w:rPr>
          </w:pPr>
          <w:hyperlink w:anchor="_Toc8432496" w:history="1">
            <w:r w:rsidR="006E4C1C" w:rsidRPr="00274C8D">
              <w:rPr>
                <w:rStyle w:val="Hyperlink"/>
                <w:rFonts w:ascii="NPIZar" w:hAnsi="NPIZar" w:cs="B Nazanin"/>
                <w:b w:val="0"/>
                <w:bCs w:val="0"/>
                <w:color w:val="auto"/>
                <w:sz w:val="20"/>
                <w:szCs w:val="20"/>
                <w:u w:val="none"/>
                <w:rtl/>
              </w:rPr>
              <w:t>۳. ۳ مدل رشد نئوکلاسیک سولو-سوان</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47</w:t>
          </w:r>
        </w:p>
        <w:p w14:paraId="754FEB93"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01" w:history="1">
            <w:r w:rsidR="006E4C1C" w:rsidRPr="00274C8D">
              <w:rPr>
                <w:rStyle w:val="Hyperlink"/>
                <w:rFonts w:ascii="NPIZar" w:hAnsi="NPIZar" w:cs="B Nazanin"/>
                <w:b w:val="0"/>
                <w:bCs w:val="0"/>
                <w:color w:val="auto"/>
                <w:sz w:val="20"/>
                <w:szCs w:val="20"/>
                <w:u w:val="none"/>
                <w:rtl/>
              </w:rPr>
              <w:t>۳. ۴ تئوری رشد بهینه</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63</w:t>
          </w:r>
        </w:p>
        <w:p w14:paraId="160D6D47" w14:textId="77777777" w:rsidR="006E4C1C" w:rsidRPr="00274C8D" w:rsidRDefault="00E97D37" w:rsidP="006E4C1C">
          <w:pPr>
            <w:pStyle w:val="TOC1"/>
            <w:spacing w:before="0" w:line="180" w:lineRule="atLeast"/>
            <w:rPr>
              <w:rFonts w:ascii="NPIZar" w:hAnsi="NPIZar" w:cs="B Nazanin"/>
              <w:b w:val="0"/>
              <w:bCs w:val="0"/>
              <w:sz w:val="20"/>
              <w:szCs w:val="20"/>
              <w:rtl/>
            </w:rPr>
          </w:pPr>
          <w:hyperlink w:anchor="_Toc8432502" w:history="1">
            <w:r w:rsidR="006E4C1C">
              <w:rPr>
                <w:rStyle w:val="Hyperlink"/>
                <w:rFonts w:ascii="NPIZar" w:hAnsi="NPIZar" w:cs="B Nazanin"/>
                <w:b w:val="0"/>
                <w:bCs w:val="0"/>
                <w:color w:val="auto"/>
                <w:sz w:val="20"/>
                <w:szCs w:val="20"/>
                <w:u w:val="none"/>
                <w:rtl/>
              </w:rPr>
              <w:t>۳. ۵ مدل رش</w:t>
            </w:r>
            <w:r w:rsidR="006E4C1C">
              <w:rPr>
                <w:rStyle w:val="Hyperlink"/>
                <w:rFonts w:ascii="NPIZar" w:hAnsi="NPIZar" w:cs="B Nazanin" w:hint="cs"/>
                <w:b w:val="0"/>
                <w:bCs w:val="0"/>
                <w:color w:val="auto"/>
                <w:sz w:val="20"/>
                <w:szCs w:val="20"/>
                <w:u w:val="none"/>
                <w:rtl/>
              </w:rPr>
              <w:t>د</w:t>
            </w:r>
            <w:r w:rsidR="006E4C1C" w:rsidRPr="00274C8D">
              <w:rPr>
                <w:rStyle w:val="Hyperlink"/>
                <w:rFonts w:ascii="NPIZar" w:hAnsi="NPIZar" w:cs="B Nazanin"/>
                <w:b w:val="0"/>
                <w:bCs w:val="0"/>
                <w:color w:val="auto"/>
                <w:sz w:val="20"/>
                <w:szCs w:val="20"/>
                <w:u w:val="none"/>
                <w:rtl/>
              </w:rPr>
              <w:t xml:space="preserve"> درون</w:t>
            </w:r>
            <w:r w:rsidR="006E4C1C">
              <w:rPr>
                <w:rStyle w:val="Hyperlink"/>
                <w:rFonts w:ascii="NPIZar" w:hAnsi="NPIZar" w:cs="B Nazanin"/>
                <w:b w:val="0"/>
                <w:bCs w:val="0"/>
                <w:color w:val="auto"/>
                <w:sz w:val="20"/>
                <w:szCs w:val="20"/>
                <w:u w:val="none"/>
                <w:rtl/>
              </w:rPr>
              <w:softHyphen/>
            </w:r>
            <w:r w:rsidR="006E4C1C" w:rsidRPr="00274C8D">
              <w:rPr>
                <w:rStyle w:val="Hyperlink"/>
                <w:rFonts w:ascii="NPIZar" w:hAnsi="NPIZar" w:cs="B Nazanin"/>
                <w:b w:val="0"/>
                <w:bCs w:val="0"/>
                <w:color w:val="auto"/>
                <w:sz w:val="20"/>
                <w:szCs w:val="20"/>
                <w:u w:val="none"/>
                <w:rtl/>
              </w:rPr>
              <w:t>زا</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69</w:t>
          </w:r>
        </w:p>
        <w:p w14:paraId="1C25EE79" w14:textId="77777777" w:rsidR="006E4C1C" w:rsidRPr="00274C8D" w:rsidRDefault="006E4C1C" w:rsidP="006E4C1C">
          <w:pPr>
            <w:pStyle w:val="TOC1"/>
            <w:spacing w:before="0" w:line="180" w:lineRule="atLeast"/>
            <w:rPr>
              <w:rFonts w:ascii="NPIZar" w:hAnsi="NPIZar" w:cs="B Nazanin"/>
              <w:b w:val="0"/>
              <w:bCs w:val="0"/>
              <w:webHidden/>
              <w:sz w:val="20"/>
              <w:szCs w:val="20"/>
              <w:rtl/>
            </w:rPr>
          </w:pP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فصل چهارم: اقتصاد غیرمتمرکز</w:t>
          </w:r>
        </w:p>
        <w:p w14:paraId="763A5BD7"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08" w:history="1">
            <w:r w:rsidR="006E4C1C" w:rsidRPr="00274C8D">
              <w:rPr>
                <w:rStyle w:val="Hyperlink"/>
                <w:rFonts w:ascii="NPIZar" w:hAnsi="NPIZar" w:cs="B Nazanin"/>
                <w:b w:val="0"/>
                <w:bCs w:val="0"/>
                <w:color w:val="auto"/>
                <w:sz w:val="20"/>
                <w:szCs w:val="20"/>
                <w:u w:val="none"/>
                <w:rtl/>
              </w:rPr>
              <w:t>۴. ۱ مقدمه</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77</w:t>
          </w:r>
        </w:p>
        <w:p w14:paraId="37E236AD"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09" w:history="1">
            <w:r w:rsidR="006E4C1C" w:rsidRPr="00274C8D">
              <w:rPr>
                <w:rStyle w:val="Hyperlink"/>
                <w:rFonts w:ascii="NPIZar" w:hAnsi="NPIZar" w:cs="B Nazanin"/>
                <w:b w:val="0"/>
                <w:bCs w:val="0"/>
                <w:color w:val="auto"/>
                <w:sz w:val="20"/>
                <w:szCs w:val="20"/>
                <w:u w:val="none"/>
                <w:rtl/>
              </w:rPr>
              <w:t>۴. ۲ خانوار</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78</w:t>
          </w:r>
        </w:p>
        <w:p w14:paraId="7C585027"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23" w:history="1">
            <w:r w:rsidR="006E4C1C" w:rsidRPr="00274C8D">
              <w:rPr>
                <w:rStyle w:val="Hyperlink"/>
                <w:rFonts w:ascii="NPIZar" w:hAnsi="NPIZar" w:cs="B Nazanin"/>
                <w:b w:val="0"/>
                <w:bCs w:val="0"/>
                <w:color w:val="auto"/>
                <w:sz w:val="20"/>
                <w:szCs w:val="20"/>
                <w:u w:val="none"/>
                <w:rtl/>
              </w:rPr>
              <w:t>۴. ۳ بنگاه</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96</w:t>
          </w:r>
        </w:p>
        <w:p w14:paraId="6307E90B"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26" w:history="1">
            <w:r w:rsidR="006E4C1C" w:rsidRPr="00274C8D">
              <w:rPr>
                <w:rStyle w:val="Hyperlink"/>
                <w:rFonts w:ascii="NPIZar" w:hAnsi="NPIZar" w:cs="B Nazanin"/>
                <w:b w:val="0"/>
                <w:bCs w:val="0"/>
                <w:color w:val="auto"/>
                <w:sz w:val="20"/>
                <w:szCs w:val="20"/>
                <w:u w:val="none"/>
                <w:rtl/>
              </w:rPr>
              <w:t>۴. ۴ تعادل عمومی‌در اقتصاد غیرمتمرکز</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101</w:t>
          </w:r>
        </w:p>
        <w:p w14:paraId="41843505" w14:textId="77777777" w:rsidR="006E4C1C" w:rsidRPr="00274C8D" w:rsidRDefault="00E97D37" w:rsidP="006E4C1C">
          <w:pPr>
            <w:pStyle w:val="TOC1"/>
            <w:spacing w:before="0" w:line="180" w:lineRule="atLeast"/>
            <w:rPr>
              <w:rStyle w:val="Hyperlink"/>
              <w:rFonts w:ascii="NPIZar" w:hAnsi="NPIZar" w:cs="B Nazanin"/>
              <w:b w:val="0"/>
              <w:bCs w:val="0"/>
              <w:color w:val="auto"/>
              <w:sz w:val="20"/>
              <w:szCs w:val="20"/>
              <w:u w:val="none"/>
              <w:rtl/>
            </w:rPr>
          </w:pPr>
          <w:hyperlink w:anchor="_Toc8432527" w:history="1">
            <w:r w:rsidR="006E4C1C" w:rsidRPr="00274C8D">
              <w:rPr>
                <w:rStyle w:val="Hyperlink"/>
                <w:rFonts w:ascii="NPIZar" w:hAnsi="NPIZar" w:cs="B Nazanin"/>
                <w:b w:val="0"/>
                <w:bCs w:val="0"/>
                <w:color w:val="auto"/>
                <w:sz w:val="20"/>
                <w:szCs w:val="20"/>
                <w:u w:val="none"/>
                <w:rtl/>
              </w:rPr>
              <w:t>۴. ۵ مقایسه</w:t>
            </w:r>
            <w:r w:rsidR="006E4C1C" w:rsidRPr="00274C8D">
              <w:rPr>
                <w:rStyle w:val="Hyperlink"/>
                <w:rFonts w:ascii="NPIZar" w:hAnsi="NPIZar" w:cs="B Nazanin"/>
                <w:b w:val="0"/>
                <w:bCs w:val="0"/>
                <w:color w:val="auto"/>
                <w:sz w:val="20"/>
                <w:szCs w:val="20"/>
                <w:u w:val="none"/>
                <w:rtl/>
              </w:rPr>
              <w:softHyphen/>
              <w:t>ی مدل غیرمتمرکز با مدل متمرکز</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106</w:t>
          </w:r>
        </w:p>
        <w:p w14:paraId="07F2DB7C" w14:textId="77777777" w:rsidR="006E4C1C" w:rsidRPr="00274C8D" w:rsidRDefault="006E4C1C" w:rsidP="006E4C1C">
          <w:pPr>
            <w:rPr>
              <w:rFonts w:ascii="NPIZar" w:eastAsiaTheme="minorEastAsia" w:hAnsi="NPIZar"/>
              <w:rtl/>
            </w:rPr>
          </w:pPr>
        </w:p>
        <w:p w14:paraId="0ADACF49" w14:textId="77777777" w:rsidR="006E4C1C" w:rsidRPr="00274C8D" w:rsidRDefault="006E4C1C" w:rsidP="006E4C1C">
          <w:pPr>
            <w:pStyle w:val="TOC1"/>
            <w:spacing w:before="0" w:line="180" w:lineRule="atLeast"/>
            <w:rPr>
              <w:rFonts w:ascii="NPIZar" w:hAnsi="NPIZar" w:cs="B Nazanin"/>
              <w:b w:val="0"/>
              <w:bCs w:val="0"/>
              <w:webHidden/>
              <w:sz w:val="20"/>
              <w:szCs w:val="20"/>
              <w:rtl/>
            </w:rPr>
          </w:pP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فصل پنجم:</w:t>
          </w:r>
          <w:r w:rsidRPr="00274C8D">
            <w:rPr>
              <w:rFonts w:ascii="NPIZar" w:eastAsia="Yu Gothic UI" w:hAnsi="NPIZar" w:cs="B Nazanin"/>
              <w:sz w:val="8"/>
              <w:szCs w:val="8"/>
              <w:rtl/>
              <w14:glow w14:rad="0">
                <w14:srgbClr w14:val="000000">
                  <w14:alpha w14:val="91000"/>
                </w14:srgbClr>
              </w14:glow>
              <w14:shadow w14:blurRad="63500" w14:dist="0" w14:dir="0" w14:sx="1000" w14:sy="1000" w14:kx="0" w14:ky="0" w14:algn="ctr">
                <w14:srgbClr w14:val="000000">
                  <w14:alpha w14:val="16000"/>
                </w14:srgbClr>
              </w14:shadow>
            </w:rPr>
            <w:t xml:space="preserve"> </w:t>
          </w:r>
          <w:r>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مخارج دولت و مالیه عموم</w:t>
          </w:r>
          <w:r>
            <w:rPr>
              <w:rFonts w:ascii="NPIZar" w:eastAsia="Yu Gothic UI" w:hAnsi="NPIZar" w:cs="B Nazanin" w:hint="cs"/>
              <w:sz w:val="20"/>
              <w:szCs w:val="20"/>
              <w:rtl/>
              <w14:glow w14:rad="0">
                <w14:srgbClr w14:val="000000">
                  <w14:alpha w14:val="91000"/>
                </w14:srgbClr>
              </w14:glow>
              <w14:shadow w14:blurRad="63500" w14:dist="0" w14:dir="0" w14:sx="1000" w14:sy="1000" w14:kx="0" w14:ky="0" w14:algn="ctr">
                <w14:srgbClr w14:val="000000">
                  <w14:alpha w14:val="16000"/>
                </w14:srgbClr>
              </w14:shadow>
            </w:rPr>
            <w:t>ی</w:t>
          </w:r>
        </w:p>
        <w:p w14:paraId="074ECF95"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28" w:history="1">
            <w:r w:rsidR="006E4C1C" w:rsidRPr="00274C8D">
              <w:rPr>
                <w:rStyle w:val="Hyperlink"/>
                <w:rFonts w:ascii="NPIZar" w:hAnsi="NPIZar" w:cs="B Nazanin"/>
                <w:b w:val="0"/>
                <w:bCs w:val="0"/>
                <w:color w:val="auto"/>
                <w:sz w:val="20"/>
                <w:szCs w:val="20"/>
                <w:u w:val="none"/>
                <w:rtl/>
              </w:rPr>
              <w:t>۵. ۱ مقدمه</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109</w:t>
          </w:r>
        </w:p>
        <w:p w14:paraId="757E331C"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29" w:history="1">
            <w:r w:rsidR="006E4C1C" w:rsidRPr="00274C8D">
              <w:rPr>
                <w:rStyle w:val="Hyperlink"/>
                <w:rFonts w:ascii="NPIZar" w:hAnsi="NPIZar" w:cs="B Nazanin"/>
                <w:b w:val="0"/>
                <w:bCs w:val="0"/>
                <w:color w:val="auto"/>
                <w:sz w:val="20"/>
                <w:szCs w:val="20"/>
                <w:u w:val="none"/>
                <w:rtl/>
              </w:rPr>
              <w:t>۵. ۲ قید بودجه</w:t>
            </w:r>
            <w:r w:rsidR="006E4C1C" w:rsidRPr="00274C8D">
              <w:rPr>
                <w:rStyle w:val="Hyperlink"/>
                <w:rFonts w:ascii="NPIZar" w:hAnsi="NPIZar" w:cs="B Nazanin"/>
                <w:b w:val="0"/>
                <w:bCs w:val="0"/>
                <w:color w:val="auto"/>
                <w:sz w:val="20"/>
                <w:szCs w:val="20"/>
                <w:u w:val="none"/>
                <w:rtl/>
              </w:rPr>
              <w:softHyphen/>
              <w:t>ی دولت</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110</w:t>
          </w:r>
        </w:p>
        <w:p w14:paraId="057BAAEB"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31" w:history="1">
            <w:r w:rsidR="006E4C1C" w:rsidRPr="00274C8D">
              <w:rPr>
                <w:rStyle w:val="Hyperlink"/>
                <w:rFonts w:ascii="NPIZar" w:hAnsi="NPIZar" w:cs="B Nazanin"/>
                <w:b w:val="0"/>
                <w:bCs w:val="0"/>
                <w:color w:val="auto"/>
                <w:sz w:val="20"/>
                <w:szCs w:val="20"/>
                <w:u w:val="none"/>
                <w:rtl/>
              </w:rPr>
              <w:t>۵. ۳ تأمین مالی مخارج دولت</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113</w:t>
          </w:r>
        </w:p>
        <w:p w14:paraId="7458A2A7"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35" w:history="1">
            <w:r w:rsidR="006E4C1C" w:rsidRPr="00274C8D">
              <w:rPr>
                <w:rStyle w:val="Hyperlink"/>
                <w:rFonts w:ascii="NPIZar" w:hAnsi="NPIZar" w:cs="B Nazanin"/>
                <w:b w:val="0"/>
                <w:bCs w:val="0"/>
                <w:color w:val="auto"/>
                <w:sz w:val="20"/>
                <w:szCs w:val="20"/>
                <w:u w:val="none"/>
                <w:rtl/>
              </w:rPr>
              <w:t>۵. ۴ پایداری وضع مالی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118</w:t>
          </w:r>
        </w:p>
        <w:p w14:paraId="0764E419"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36" w:history="1">
            <w:r w:rsidR="006E4C1C" w:rsidRPr="00274C8D">
              <w:rPr>
                <w:rStyle w:val="Hyperlink"/>
                <w:rFonts w:ascii="NPIZar" w:hAnsi="NPIZar" w:cs="B Nazanin"/>
                <w:b w:val="0"/>
                <w:bCs w:val="0"/>
                <w:color w:val="auto"/>
                <w:sz w:val="20"/>
                <w:szCs w:val="20"/>
                <w:u w:val="none"/>
                <w:rtl/>
              </w:rPr>
              <w:t>۵. ۵ پیمان رشد و ثبات اتحادیه</w:t>
            </w:r>
            <w:r w:rsidR="006E4C1C" w:rsidRPr="00274C8D">
              <w:rPr>
                <w:rStyle w:val="Hyperlink"/>
                <w:rFonts w:ascii="NPIZar" w:hAnsi="NPIZar" w:cs="B Nazanin"/>
                <w:b w:val="0"/>
                <w:bCs w:val="0"/>
                <w:color w:val="auto"/>
                <w:sz w:val="20"/>
                <w:szCs w:val="20"/>
                <w:u w:val="none"/>
                <w:rtl/>
              </w:rPr>
              <w:softHyphen/>
              <w:t>ی اروپا</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124</w:t>
          </w:r>
        </w:p>
        <w:p w14:paraId="448F3746" w14:textId="77777777" w:rsidR="006E4C1C" w:rsidRPr="00274C8D" w:rsidRDefault="00E97D37" w:rsidP="006E4C1C">
          <w:pPr>
            <w:pStyle w:val="TOC1"/>
            <w:spacing w:before="0" w:line="180" w:lineRule="atLeast"/>
            <w:rPr>
              <w:rFonts w:ascii="NPIZar" w:hAnsi="NPIZar" w:cs="B Nazanin"/>
              <w:b w:val="0"/>
              <w:bCs w:val="0"/>
              <w:sz w:val="20"/>
              <w:szCs w:val="20"/>
              <w:rtl/>
            </w:rPr>
          </w:pPr>
          <w:hyperlink w:anchor="_Toc8432537" w:history="1">
            <w:r w:rsidR="006E4C1C" w:rsidRPr="00274C8D">
              <w:rPr>
                <w:rStyle w:val="Hyperlink"/>
                <w:rFonts w:ascii="NPIZar" w:hAnsi="NPIZar" w:cs="B Nazanin"/>
                <w:b w:val="0"/>
                <w:bCs w:val="0"/>
                <w:color w:val="auto"/>
                <w:sz w:val="20"/>
                <w:szCs w:val="20"/>
                <w:u w:val="none"/>
                <w:rtl/>
              </w:rPr>
              <w:t>۵. ۶ تئوری مالی سطح قیمت</w:t>
            </w:r>
            <w:r w:rsidR="006E4C1C" w:rsidRPr="00274C8D">
              <w:rPr>
                <w:rStyle w:val="Hyperlink"/>
                <w:rFonts w:ascii="NPIZar" w:hAnsi="NPIZar" w:cs="B Nazanin"/>
                <w:b w:val="0"/>
                <w:bCs w:val="0"/>
                <w:color w:val="auto"/>
                <w:sz w:val="20"/>
                <w:szCs w:val="20"/>
                <w:u w:val="none"/>
                <w:rtl/>
              </w:rPr>
              <w:softHyphen/>
              <w:t>ها</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126</w:t>
          </w:r>
        </w:p>
        <w:p w14:paraId="45484801"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38" w:history="1">
            <w:r w:rsidR="006E4C1C" w:rsidRPr="00274C8D">
              <w:rPr>
                <w:rStyle w:val="Hyperlink"/>
                <w:rFonts w:ascii="NPIZar" w:hAnsi="NPIZar" w:cs="B Nazanin"/>
                <w:b w:val="0"/>
                <w:bCs w:val="0"/>
                <w:color w:val="auto"/>
                <w:sz w:val="20"/>
                <w:szCs w:val="20"/>
                <w:u w:val="none"/>
                <w:rtl/>
              </w:rPr>
              <w:t>۵. ۷ بهینه</w:t>
            </w:r>
            <w:r w:rsidR="006E4C1C" w:rsidRPr="00274C8D">
              <w:rPr>
                <w:rStyle w:val="Hyperlink"/>
                <w:rFonts w:ascii="NPIZar" w:hAnsi="NPIZar" w:cs="B Nazanin"/>
                <w:b w:val="0"/>
                <w:bCs w:val="0"/>
                <w:color w:val="auto"/>
                <w:sz w:val="20"/>
                <w:szCs w:val="20"/>
                <w:u w:val="none"/>
                <w:rtl/>
              </w:rPr>
              <w:softHyphen/>
              <w:t>یابی مالیه عمومی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127</w:t>
          </w:r>
        </w:p>
        <w:p w14:paraId="00FF2476"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40" w:history="1">
            <w:r w:rsidR="006E4C1C" w:rsidRPr="00274C8D">
              <w:rPr>
                <w:rStyle w:val="Hyperlink"/>
                <w:rFonts w:ascii="NPIZar" w:hAnsi="NPIZar" w:cs="B Nazanin"/>
                <w:b w:val="0"/>
                <w:bCs w:val="0"/>
                <w:color w:val="auto"/>
                <w:sz w:val="20"/>
                <w:szCs w:val="20"/>
                <w:u w:val="none"/>
                <w:rtl/>
              </w:rPr>
              <w:t xml:space="preserve">۵. ۸ </w:t>
            </w:r>
            <w:r w:rsidR="006E4C1C" w:rsidRPr="00274C8D">
              <w:rPr>
                <w:rStyle w:val="Hyperlink"/>
                <w:rFonts w:ascii="NPIZar" w:hAnsi="NPIZar" w:cs="B Nazanin"/>
                <w:b w:val="0"/>
                <w:bCs w:val="0"/>
                <w:color w:val="auto"/>
                <w:sz w:val="20"/>
                <w:szCs w:val="20"/>
                <w:u w:val="none"/>
                <w:rtl/>
                <w:lang w:val="el-GR"/>
              </w:rPr>
              <w:t>هموارسازی مالیات</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137</w:t>
          </w:r>
        </w:p>
        <w:p w14:paraId="57266B07" w14:textId="77777777" w:rsidR="006E4C1C" w:rsidRPr="00274C8D" w:rsidRDefault="006E4C1C" w:rsidP="006E4C1C">
          <w:pPr>
            <w:rPr>
              <w:rFonts w:ascii="NPIZar" w:eastAsiaTheme="minorEastAsia" w:hAnsi="NPIZar"/>
              <w:rtl/>
            </w:rPr>
          </w:pPr>
        </w:p>
        <w:p w14:paraId="77E4D32B" w14:textId="77777777" w:rsidR="006E4C1C" w:rsidRPr="00274C8D" w:rsidRDefault="006E4C1C" w:rsidP="006E4C1C">
          <w:pPr>
            <w:pStyle w:val="TOC1"/>
            <w:spacing w:before="0" w:line="180" w:lineRule="atLeast"/>
            <w:rPr>
              <w:rFonts w:ascii="NPIZar" w:hAnsi="NPIZar" w:cs="B Nazanin"/>
              <w:b w:val="0"/>
              <w:bCs w:val="0"/>
              <w:webHidden/>
              <w:sz w:val="20"/>
              <w:szCs w:val="20"/>
              <w:rtl/>
            </w:rPr>
          </w:pP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فصل ششم:</w:t>
          </w:r>
          <w:r w:rsidRPr="00274C8D">
            <w:rPr>
              <w:rFonts w:ascii="NPIZar" w:eastAsia="Yu Gothic UI" w:hAnsi="NPIZar" w:cs="B Nazanin"/>
              <w:sz w:val="22"/>
              <w:szCs w:val="36"/>
              <w:rtl/>
              <w14:glow w14:rad="0">
                <w14:srgbClr w14:val="000000">
                  <w14:alpha w14:val="91000"/>
                </w14:srgbClr>
              </w14:glow>
              <w14:shadow w14:blurRad="63500" w14:dist="0" w14:dir="0" w14:sx="1000" w14:sy="1000" w14:kx="0" w14:ky="0" w14:algn="ctr">
                <w14:srgbClr w14:val="000000">
                  <w14:alpha w14:val="16000"/>
                </w14:srgbClr>
              </w14:shadow>
              <w14:ligatures w14:val="all"/>
            </w:rPr>
            <w:t xml:space="preserve"> </w:t>
          </w:r>
          <w:r w:rsidRPr="00274C8D">
            <w:rPr>
              <w:rFonts w:ascii="NPIZar" w:eastAsia="Yu Gothic UI" w:hAnsi="NPIZar" w:cs="B Nazanin"/>
              <w:sz w:val="12"/>
              <w:szCs w:val="20"/>
              <w:rtl/>
              <w14:glow w14:rad="0">
                <w14:srgbClr w14:val="000000">
                  <w14:alpha w14:val="91000"/>
                </w14:srgbClr>
              </w14:glow>
              <w14:shadow w14:blurRad="63500" w14:dist="0" w14:dir="0" w14:sx="1000" w14:sy="1000" w14:kx="0" w14:ky="0" w14:algn="ctr">
                <w14:srgbClr w14:val="000000">
                  <w14:alpha w14:val="16000"/>
                </w14:srgbClr>
              </w14:shadow>
              <w14:ligatures w14:val="all"/>
            </w:rPr>
            <w:t>سیاست</w:t>
          </w:r>
          <w:r w:rsidRPr="00274C8D">
            <w:rPr>
              <w:rFonts w:ascii="NPIZar" w:eastAsia="Yu Gothic UI" w:hAnsi="NPIZar" w:cs="B Nazanin"/>
              <w:sz w:val="12"/>
              <w:szCs w:val="20"/>
              <w:rtl/>
              <w14:glow w14:rad="0">
                <w14:srgbClr w14:val="000000">
                  <w14:alpha w14:val="91000"/>
                </w14:srgbClr>
              </w14:glow>
              <w14:shadow w14:blurRad="63500" w14:dist="0" w14:dir="0" w14:sx="1000" w14:sy="1000" w14:kx="0" w14:ky="0" w14:algn="ctr">
                <w14:srgbClr w14:val="000000">
                  <w14:alpha w14:val="16000"/>
                </w14:srgbClr>
              </w14:shadow>
              <w14:ligatures w14:val="all"/>
            </w:rPr>
            <w:softHyphen/>
            <w:t xml:space="preserve">های مالی: </w:t>
          </w: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ناسازگاری زمانی و سیاست حقوق بازنشستگی</w:t>
          </w:r>
        </w:p>
        <w:p w14:paraId="208605F2" w14:textId="77777777" w:rsidR="006E4C1C" w:rsidRDefault="00E97D37" w:rsidP="006E4C1C">
          <w:pPr>
            <w:pStyle w:val="TOC1"/>
            <w:spacing w:before="0" w:line="180" w:lineRule="atLeast"/>
            <w:rPr>
              <w:rFonts w:ascii="NPIZar" w:hAnsi="NPIZar" w:cs="B Nazanin"/>
              <w:b w:val="0"/>
              <w:bCs w:val="0"/>
              <w:sz w:val="20"/>
              <w:szCs w:val="20"/>
              <w:rtl/>
            </w:rPr>
          </w:pPr>
          <w:hyperlink w:anchor="_Toc8432542" w:history="1">
            <w:r w:rsidR="006E4C1C" w:rsidRPr="00274C8D">
              <w:rPr>
                <w:rStyle w:val="Hyperlink"/>
                <w:rFonts w:ascii="NPIZar" w:hAnsi="NPIZar" w:cs="B Nazanin"/>
                <w:b w:val="0"/>
                <w:bCs w:val="0"/>
                <w:color w:val="auto"/>
                <w:sz w:val="20"/>
                <w:szCs w:val="20"/>
                <w:u w:val="none"/>
                <w:rtl/>
              </w:rPr>
              <w:t>۶. ۱ مقدمه</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143</w:t>
          </w:r>
        </w:p>
        <w:p w14:paraId="509EC8FD"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43" w:history="1">
            <w:r w:rsidR="006E4C1C" w:rsidRPr="00274C8D">
              <w:rPr>
                <w:rStyle w:val="Hyperlink"/>
                <w:rFonts w:ascii="NPIZar" w:hAnsi="NPIZar" w:cs="B Nazanin"/>
                <w:b w:val="0"/>
                <w:bCs w:val="0"/>
                <w:color w:val="auto"/>
                <w:sz w:val="20"/>
                <w:szCs w:val="20"/>
                <w:u w:val="none"/>
                <w:rtl/>
              </w:rPr>
              <w:t>۶. ۲ سیاست مالی زمان-سازگار و زمان-ناسازگار</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144</w:t>
          </w:r>
        </w:p>
        <w:p w14:paraId="769174F6"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46" w:history="1">
            <w:r w:rsidR="006E4C1C" w:rsidRPr="00274C8D">
              <w:rPr>
                <w:rStyle w:val="Hyperlink"/>
                <w:rFonts w:ascii="NPIZar" w:hAnsi="NPIZar" w:cs="B Nazanin"/>
                <w:b w:val="0"/>
                <w:bCs w:val="0"/>
                <w:color w:val="auto"/>
                <w:sz w:val="20"/>
                <w:szCs w:val="20"/>
                <w:u w:val="none"/>
                <w:rtl/>
              </w:rPr>
              <w:t>۶. ۳ مدل نسل</w:t>
            </w:r>
            <w:r w:rsidR="006E4C1C" w:rsidRPr="00274C8D">
              <w:rPr>
                <w:rStyle w:val="Hyperlink"/>
                <w:rFonts w:ascii="NPIZar" w:hAnsi="NPIZar" w:cs="B Nazanin"/>
                <w:b w:val="0"/>
                <w:bCs w:val="0"/>
                <w:color w:val="auto"/>
                <w:sz w:val="20"/>
                <w:szCs w:val="20"/>
                <w:u w:val="none"/>
                <w:rtl/>
              </w:rPr>
              <w:softHyphen/>
              <w:t>های هم</w:t>
            </w:r>
            <w:r w:rsidR="006E4C1C" w:rsidRPr="00274C8D">
              <w:rPr>
                <w:rStyle w:val="Hyperlink"/>
                <w:rFonts w:ascii="NPIZar" w:hAnsi="NPIZar" w:cs="B Nazanin"/>
                <w:b w:val="0"/>
                <w:bCs w:val="0"/>
                <w:color w:val="auto"/>
                <w:sz w:val="20"/>
                <w:szCs w:val="20"/>
                <w:u w:val="none"/>
                <w:rtl/>
              </w:rPr>
              <w:softHyphen/>
              <w:t>پوش</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157</w:t>
          </w:r>
        </w:p>
        <w:p w14:paraId="45410684" w14:textId="77777777" w:rsidR="006E4C1C" w:rsidRPr="00274C8D" w:rsidRDefault="006E4C1C" w:rsidP="006E4C1C">
          <w:pPr>
            <w:rPr>
              <w:rFonts w:ascii="NPIZar" w:eastAsiaTheme="minorEastAsia" w:hAnsi="NPIZar"/>
              <w:rtl/>
            </w:rPr>
          </w:pPr>
        </w:p>
        <w:p w14:paraId="6AA3C73F" w14:textId="77777777" w:rsidR="006E4C1C" w:rsidRPr="00274C8D" w:rsidRDefault="006E4C1C" w:rsidP="006E4C1C">
          <w:pPr>
            <w:pStyle w:val="TOC1"/>
            <w:spacing w:before="0" w:line="180" w:lineRule="atLeast"/>
            <w:rPr>
              <w:rFonts w:ascii="NPIZar" w:hAnsi="NPIZar" w:cs="B Nazanin"/>
              <w:b w:val="0"/>
              <w:bCs w:val="0"/>
              <w:webHidden/>
              <w:sz w:val="20"/>
              <w:szCs w:val="20"/>
              <w:rtl/>
            </w:rPr>
          </w:pP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فصل هفتم: باز</w:t>
          </w:r>
          <w:r w:rsidRPr="00274C8D">
            <w:rPr>
              <w:rFonts w:ascii="NPIZar" w:hAnsi="NPIZar" w:cs="B Nazanin"/>
              <w:b w:val="0"/>
              <w:bCs w:val="0"/>
              <w:sz w:val="20"/>
              <w:szCs w:val="20"/>
            </w:rPr>
            <w:t xml:space="preserve"> </w:t>
          </w:r>
        </w:p>
        <w:p w14:paraId="281FBF2A"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51" w:history="1">
            <w:r w:rsidR="006E4C1C" w:rsidRPr="00274C8D">
              <w:rPr>
                <w:rStyle w:val="Hyperlink"/>
                <w:rFonts w:ascii="NPIZar" w:hAnsi="NPIZar" w:cs="B Nazanin"/>
                <w:b w:val="0"/>
                <w:bCs w:val="0"/>
                <w:color w:val="auto"/>
                <w:sz w:val="20"/>
                <w:szCs w:val="20"/>
                <w:u w:val="none"/>
                <w:rtl/>
              </w:rPr>
              <w:t>۷. ۱ مقدمه</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175</w:t>
          </w:r>
        </w:p>
        <w:p w14:paraId="64F56AB9"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52" w:history="1">
            <w:r w:rsidR="006E4C1C" w:rsidRPr="00274C8D">
              <w:rPr>
                <w:rStyle w:val="Hyperlink"/>
                <w:rFonts w:ascii="NPIZar" w:hAnsi="NPIZar" w:cs="B Nazanin"/>
                <w:b w:val="0"/>
                <w:bCs w:val="0"/>
                <w:color w:val="auto"/>
                <w:sz w:val="20"/>
                <w:szCs w:val="20"/>
                <w:u w:val="none"/>
                <w:rtl/>
              </w:rPr>
              <w:t>۷. ۲ حل بهینه برای اقتصاد باز</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176</w:t>
          </w:r>
        </w:p>
        <w:p w14:paraId="360C2B73"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53" w:history="1">
            <w:r w:rsidR="006E4C1C" w:rsidRPr="00274C8D">
              <w:rPr>
                <w:rStyle w:val="Hyperlink"/>
                <w:rFonts w:ascii="NPIZar" w:hAnsi="NPIZar" w:cs="B Nazanin"/>
                <w:b w:val="0"/>
                <w:bCs w:val="0"/>
                <w:color w:val="auto"/>
                <w:sz w:val="20"/>
                <w:szCs w:val="20"/>
                <w:u w:val="none"/>
                <w:rtl/>
              </w:rPr>
              <w:t>۷. ۳ کالاهای قابل تجارت و غیر قابل تجارت</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185</w:t>
          </w:r>
        </w:p>
        <w:p w14:paraId="0BEBB85E"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54" w:history="1">
            <w:r w:rsidR="006E4C1C" w:rsidRPr="00274C8D">
              <w:rPr>
                <w:rStyle w:val="Hyperlink"/>
                <w:rFonts w:ascii="NPIZar" w:hAnsi="NPIZar" w:cs="B Nazanin"/>
                <w:b w:val="0"/>
                <w:bCs w:val="0"/>
                <w:color w:val="auto"/>
                <w:sz w:val="20"/>
                <w:szCs w:val="20"/>
                <w:u w:val="none"/>
                <w:rtl/>
              </w:rPr>
              <w:t>۷. ۴ نرخ ارز حقیقی و رابطه</w:t>
            </w:r>
            <w:r w:rsidR="006E4C1C" w:rsidRPr="00274C8D">
              <w:rPr>
                <w:rStyle w:val="Hyperlink"/>
                <w:rFonts w:ascii="NPIZar" w:hAnsi="NPIZar" w:cs="B Nazanin"/>
                <w:b w:val="0"/>
                <w:bCs w:val="0"/>
                <w:color w:val="auto"/>
                <w:sz w:val="20"/>
                <w:szCs w:val="20"/>
                <w:u w:val="none"/>
                <w:rtl/>
              </w:rPr>
              <w:softHyphen/>
              <w:t>ی مبادله</w:t>
            </w:r>
            <w:r w:rsidR="006E4C1C" w:rsidRPr="00274C8D">
              <w:rPr>
                <w:rStyle w:val="Hyperlink"/>
                <w:rFonts w:ascii="NPIZar" w:hAnsi="NPIZar" w:cs="B Nazanin"/>
                <w:b w:val="0"/>
                <w:bCs w:val="0"/>
                <w:color w:val="auto"/>
                <w:sz w:val="20"/>
                <w:szCs w:val="20"/>
                <w:u w:val="none"/>
                <w:rtl/>
              </w:rPr>
              <w:softHyphen/>
              <w:t>ی حقیقی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192</w:t>
          </w:r>
        </w:p>
        <w:p w14:paraId="6D0C9C9A" w14:textId="77777777" w:rsidR="006E4C1C" w:rsidRPr="00274C8D" w:rsidRDefault="00E97D37" w:rsidP="006E4C1C">
          <w:pPr>
            <w:pStyle w:val="TOC1"/>
            <w:spacing w:before="0" w:line="180" w:lineRule="atLeast"/>
            <w:rPr>
              <w:rFonts w:ascii="NPIZar" w:hAnsi="NPIZar" w:cs="B Nazanin"/>
              <w:b w:val="0"/>
              <w:bCs w:val="0"/>
              <w:sz w:val="20"/>
              <w:szCs w:val="20"/>
              <w:rtl/>
            </w:rPr>
          </w:pPr>
          <w:hyperlink w:anchor="_Toc8432555" w:history="1">
            <w:r w:rsidR="006E4C1C" w:rsidRPr="00274C8D">
              <w:rPr>
                <w:rStyle w:val="Hyperlink"/>
                <w:rFonts w:ascii="NPIZar" w:hAnsi="NPIZar" w:cs="B Nazanin"/>
                <w:b w:val="0"/>
                <w:bCs w:val="0"/>
                <w:color w:val="auto"/>
                <w:sz w:val="20"/>
                <w:szCs w:val="20"/>
                <w:u w:val="none"/>
                <w:rtl/>
              </w:rPr>
              <w:t>۷. ۵ جانشین</w:t>
            </w:r>
            <w:r w:rsidR="006E4C1C" w:rsidRPr="00274C8D">
              <w:rPr>
                <w:rStyle w:val="Hyperlink"/>
                <w:rFonts w:ascii="NPIZar" w:hAnsi="NPIZar" w:cs="B Nazanin"/>
                <w:b w:val="0"/>
                <w:bCs w:val="0"/>
                <w:color w:val="auto"/>
                <w:sz w:val="20"/>
                <w:szCs w:val="20"/>
                <w:u w:val="none"/>
                <w:rtl/>
              </w:rPr>
              <w:softHyphen/>
              <w:t>پذیری ناقص کالاهای قابل تجارت</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195</w:t>
          </w:r>
        </w:p>
        <w:p w14:paraId="17E0B177"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56" w:history="1">
            <w:r w:rsidR="006E4C1C" w:rsidRPr="00274C8D">
              <w:rPr>
                <w:rStyle w:val="Hyperlink"/>
                <w:rFonts w:ascii="NPIZar" w:hAnsi="NPIZar" w:cs="B Nazanin"/>
                <w:b w:val="0"/>
                <w:bCs w:val="0"/>
                <w:color w:val="auto"/>
                <w:sz w:val="20"/>
                <w:szCs w:val="20"/>
                <w:u w:val="none"/>
                <w:rtl/>
              </w:rPr>
              <w:t>۷. ۶ پایداری حساب جاری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199</w:t>
          </w:r>
        </w:p>
        <w:p w14:paraId="2204DCE7" w14:textId="77777777" w:rsidR="006E4C1C" w:rsidRPr="00274C8D" w:rsidRDefault="00E97D37" w:rsidP="006E4C1C">
          <w:pPr>
            <w:pStyle w:val="TOC1"/>
            <w:spacing w:before="0" w:line="180" w:lineRule="atLeast"/>
            <w:rPr>
              <w:rStyle w:val="Hyperlink"/>
              <w:rFonts w:ascii="NPIZar" w:hAnsi="NPIZar" w:cs="B Nazanin"/>
              <w:b w:val="0"/>
              <w:bCs w:val="0"/>
              <w:color w:val="auto"/>
              <w:sz w:val="20"/>
              <w:szCs w:val="20"/>
              <w:u w:val="none"/>
              <w:rtl/>
            </w:rPr>
          </w:pPr>
          <w:hyperlink w:anchor="_Toc8432559" w:history="1">
            <w:r w:rsidR="006E4C1C" w:rsidRPr="00274C8D">
              <w:rPr>
                <w:rStyle w:val="Hyperlink"/>
                <w:rFonts w:ascii="NPIZar" w:hAnsi="NPIZar" w:cs="B Nazanin"/>
                <w:b w:val="0"/>
                <w:bCs w:val="0"/>
                <w:color w:val="auto"/>
                <w:sz w:val="20"/>
                <w:szCs w:val="20"/>
                <w:u w:val="none"/>
                <w:rtl/>
              </w:rPr>
              <w:t>۷. ۷ نتایج</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206</w:t>
          </w:r>
        </w:p>
        <w:p w14:paraId="2F9B4603" w14:textId="77777777" w:rsidR="006E4C1C" w:rsidRPr="00274C8D" w:rsidRDefault="006E4C1C" w:rsidP="006E4C1C">
          <w:pPr>
            <w:rPr>
              <w:rFonts w:ascii="NPIZar" w:hAnsi="NPIZar"/>
              <w:rtl/>
            </w:rPr>
          </w:pPr>
        </w:p>
        <w:p w14:paraId="72D9AE7D" w14:textId="77777777" w:rsidR="006E4C1C" w:rsidRPr="00274C8D" w:rsidRDefault="006E4C1C" w:rsidP="006E4C1C">
          <w:pPr>
            <w:pStyle w:val="TOC1"/>
            <w:spacing w:before="0" w:line="180" w:lineRule="atLeast"/>
            <w:rPr>
              <w:rFonts w:ascii="NPIZar" w:hAnsi="NPIZar" w:cs="B Nazanin"/>
              <w:b w:val="0"/>
              <w:bCs w:val="0"/>
              <w:webHidden/>
              <w:sz w:val="20"/>
              <w:szCs w:val="20"/>
              <w:rtl/>
            </w:rPr>
          </w:pP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فصل هشتم:</w:t>
          </w:r>
          <w:r w:rsidRPr="00274C8D">
            <w:rPr>
              <w:rFonts w:ascii="NPIZar" w:eastAsia="Yu Gothic UI" w:hAnsi="NPIZar" w:cs="B Nazanin"/>
              <w:sz w:val="40"/>
              <w:szCs w:val="40"/>
              <w:rtl/>
              <w14:glow w14:rad="0">
                <w14:srgbClr w14:val="000000">
                  <w14:alpha w14:val="91000"/>
                </w14:srgbClr>
              </w14:glow>
              <w14:shadow w14:blurRad="63500" w14:dist="0" w14:dir="0" w14:sx="1000" w14:sy="1000" w14:kx="0" w14:ky="0" w14:algn="ctr">
                <w14:srgbClr w14:val="000000">
                  <w14:alpha w14:val="16000"/>
                </w14:srgbClr>
              </w14:shadow>
            </w:rPr>
            <w:t xml:space="preserve"> </w:t>
          </w: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اقتصاد پولی</w:t>
          </w:r>
          <w:r w:rsidRPr="00274C8D">
            <w:rPr>
              <w:rFonts w:ascii="NPIZar" w:hAnsi="NPIZar" w:cs="B Nazanin"/>
              <w:b w:val="0"/>
              <w:bCs w:val="0"/>
              <w:sz w:val="20"/>
              <w:szCs w:val="20"/>
            </w:rPr>
            <w:t xml:space="preserve"> </w:t>
          </w:r>
        </w:p>
        <w:p w14:paraId="2407E39A"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60" w:history="1">
            <w:r w:rsidR="006E4C1C" w:rsidRPr="00274C8D">
              <w:rPr>
                <w:rStyle w:val="Hyperlink"/>
                <w:rFonts w:ascii="NPIZar" w:hAnsi="NPIZar" w:cs="B Nazanin"/>
                <w:b w:val="0"/>
                <w:bCs w:val="0"/>
                <w:color w:val="auto"/>
                <w:sz w:val="20"/>
                <w:szCs w:val="20"/>
                <w:u w:val="none"/>
                <w:rtl/>
              </w:rPr>
              <w:t>۱.۸ مقدمه</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209</w:t>
          </w:r>
        </w:p>
        <w:p w14:paraId="5DB35DE4"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61" w:history="1">
            <w:r w:rsidR="006E4C1C" w:rsidRPr="00274C8D">
              <w:rPr>
                <w:rStyle w:val="Hyperlink"/>
                <w:rFonts w:ascii="NPIZar" w:hAnsi="NPIZar" w:cs="B Nazanin"/>
                <w:b w:val="0"/>
                <w:bCs w:val="0"/>
                <w:color w:val="auto"/>
                <w:sz w:val="20"/>
                <w:szCs w:val="20"/>
                <w:u w:val="none"/>
                <w:rtl/>
              </w:rPr>
              <w:t>۸. ۲ تاریخچه</w:t>
            </w:r>
            <w:r w:rsidR="006E4C1C" w:rsidRPr="00274C8D">
              <w:rPr>
                <w:rStyle w:val="Hyperlink"/>
                <w:rFonts w:ascii="NPIZar" w:hAnsi="NPIZar" w:cs="B Nazanin"/>
                <w:b w:val="0"/>
                <w:bCs w:val="0"/>
                <w:color w:val="auto"/>
                <w:sz w:val="20"/>
                <w:szCs w:val="20"/>
                <w:u w:val="none"/>
                <w:rtl/>
              </w:rPr>
              <w:softHyphen/>
              <w:t>ی مختصری از پول و وظایف آن</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210</w:t>
          </w:r>
        </w:p>
        <w:p w14:paraId="4525D097"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62" w:history="1">
            <w:r w:rsidR="006E4C1C" w:rsidRPr="00274C8D">
              <w:rPr>
                <w:rStyle w:val="Hyperlink"/>
                <w:rFonts w:ascii="NPIZar" w:hAnsi="NPIZar" w:cs="B Nazanin"/>
                <w:b w:val="0"/>
                <w:bCs w:val="0"/>
                <w:color w:val="auto"/>
                <w:sz w:val="20"/>
                <w:szCs w:val="20"/>
                <w:u w:val="none"/>
                <w:rtl/>
              </w:rPr>
              <w:t>۸. ۳ قید بودجه</w:t>
            </w:r>
            <w:r w:rsidR="006E4C1C" w:rsidRPr="00274C8D">
              <w:rPr>
                <w:rStyle w:val="Hyperlink"/>
                <w:rFonts w:ascii="Times New Roman" w:hAnsi="Times New Roman" w:cs="Times New Roman"/>
                <w:b w:val="0"/>
                <w:bCs w:val="0"/>
                <w:color w:val="auto"/>
                <w:sz w:val="20"/>
                <w:szCs w:val="20"/>
                <w:u w:val="none"/>
              </w:rPr>
              <w:t>‌</w:t>
            </w:r>
            <w:r w:rsidR="006E4C1C" w:rsidRPr="00274C8D">
              <w:rPr>
                <w:rStyle w:val="Hyperlink"/>
                <w:rFonts w:ascii="NPIZar" w:hAnsi="NPIZar" w:cs="B Nazanin"/>
                <w:b w:val="0"/>
                <w:bCs w:val="0"/>
                <w:color w:val="auto"/>
                <w:sz w:val="20"/>
                <w:szCs w:val="20"/>
                <w:u w:val="none"/>
                <w:rtl/>
              </w:rPr>
              <w:t>ی اسمی خانوار</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213</w:t>
          </w:r>
        </w:p>
        <w:p w14:paraId="56C005C0"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63" w:history="1">
            <w:r w:rsidR="006E4C1C" w:rsidRPr="00274C8D">
              <w:rPr>
                <w:rStyle w:val="Hyperlink"/>
                <w:rFonts w:ascii="NPIZar" w:hAnsi="NPIZar" w:cs="B Nazanin"/>
                <w:b w:val="0"/>
                <w:bCs w:val="0"/>
                <w:color w:val="auto"/>
                <w:sz w:val="20"/>
                <w:szCs w:val="20"/>
                <w:u w:val="none"/>
                <w:rtl/>
              </w:rPr>
              <w:t xml:space="preserve">۸. ۴ تابع تقاضا برای پول بر مبنای مدل خرید نقدی </w:t>
            </w:r>
            <w:r w:rsidR="006E4C1C" w:rsidRPr="00274C8D">
              <w:rPr>
                <w:rStyle w:val="Hyperlink"/>
                <w:rFonts w:ascii="NPIZar" w:hAnsi="NPIZar" w:cs="B Nazanin"/>
                <w:b w:val="0"/>
                <w:bCs w:val="0"/>
                <w:color w:val="auto"/>
                <w:sz w:val="20"/>
                <w:szCs w:val="20"/>
                <w:u w:val="none"/>
              </w:rPr>
              <w:t>CIA</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214</w:t>
          </w:r>
        </w:p>
        <w:p w14:paraId="1FA968E0" w14:textId="77777777" w:rsidR="006E4C1C" w:rsidRPr="00274C8D" w:rsidRDefault="00E97D37" w:rsidP="006E4C1C">
          <w:pPr>
            <w:pStyle w:val="TOC1"/>
            <w:spacing w:before="0" w:line="180" w:lineRule="atLeast"/>
            <w:rPr>
              <w:rFonts w:ascii="NPIZar" w:hAnsi="NPIZar" w:cs="B Nazanin"/>
              <w:b w:val="0"/>
              <w:bCs w:val="0"/>
              <w:sz w:val="20"/>
              <w:szCs w:val="20"/>
              <w:rtl/>
            </w:rPr>
          </w:pPr>
          <w:hyperlink w:anchor="_Toc8432564" w:history="1">
            <w:r w:rsidR="006E4C1C" w:rsidRPr="00274C8D">
              <w:rPr>
                <w:rStyle w:val="Hyperlink"/>
                <w:rFonts w:ascii="NPIZar" w:hAnsi="NPIZar" w:cs="B Nazanin"/>
                <w:b w:val="0"/>
                <w:bCs w:val="0"/>
                <w:color w:val="auto"/>
                <w:sz w:val="20"/>
                <w:szCs w:val="20"/>
                <w:u w:val="none"/>
                <w:rtl/>
              </w:rPr>
              <w:t xml:space="preserve">۸. ۵ پول در تابع مطلوبیت </w:t>
            </w:r>
            <w:r w:rsidR="006E4C1C" w:rsidRPr="00274C8D">
              <w:rPr>
                <w:rStyle w:val="Hyperlink"/>
                <w:rFonts w:ascii="NPIZar" w:hAnsi="NPIZar" w:cs="B Nazanin"/>
                <w:b w:val="0"/>
                <w:bCs w:val="0"/>
                <w:color w:val="auto"/>
                <w:sz w:val="20"/>
                <w:szCs w:val="20"/>
                <w:u w:val="none"/>
              </w:rPr>
              <w:t xml:space="preserve"> MIU</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216</w:t>
          </w:r>
        </w:p>
        <w:p w14:paraId="41290FD9"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65" w:history="1">
            <w:r w:rsidR="006E4C1C" w:rsidRPr="00274C8D">
              <w:rPr>
                <w:rStyle w:val="Hyperlink"/>
                <w:rFonts w:ascii="NPIZar" w:hAnsi="NPIZar" w:cs="B Nazanin"/>
                <w:b w:val="0"/>
                <w:bCs w:val="0"/>
                <w:color w:val="auto"/>
                <w:sz w:val="20"/>
                <w:szCs w:val="20"/>
                <w:u w:val="none"/>
                <w:rtl/>
              </w:rPr>
              <w:t>۸. ۶ هزینه‌های معاملاتی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220</w:t>
          </w:r>
        </w:p>
        <w:p w14:paraId="5F51D3B1"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66" w:history="1">
            <w:r w:rsidR="006E4C1C" w:rsidRPr="00274C8D">
              <w:rPr>
                <w:rStyle w:val="Hyperlink"/>
                <w:rFonts w:ascii="NPIZar" w:hAnsi="NPIZar" w:cs="B Nazanin"/>
                <w:b w:val="0"/>
                <w:bCs w:val="0"/>
                <w:color w:val="auto"/>
                <w:sz w:val="20"/>
                <w:szCs w:val="20"/>
                <w:u w:val="none"/>
                <w:rtl/>
              </w:rPr>
              <w:t>۸. ۷ پول به عنوان کالای واسطه و</w:t>
            </w:r>
            <w:r w:rsidR="006E4C1C" w:rsidRPr="00274C8D">
              <w:rPr>
                <w:rStyle w:val="Hyperlink"/>
                <w:rFonts w:ascii="Times New Roman" w:hAnsi="Times New Roman" w:cs="Times New Roman"/>
                <w:b w:val="0"/>
                <w:bCs w:val="0"/>
                <w:color w:val="auto"/>
                <w:sz w:val="20"/>
                <w:szCs w:val="20"/>
                <w:u w:val="none"/>
              </w:rPr>
              <w:t>‌</w:t>
            </w:r>
            <w:r w:rsidR="006E4C1C" w:rsidRPr="00274C8D">
              <w:rPr>
                <w:rStyle w:val="Hyperlink"/>
                <w:rFonts w:ascii="NPIZar" w:hAnsi="NPIZar" w:cs="B Nazanin"/>
                <w:b w:val="0"/>
                <w:bCs w:val="0"/>
                <w:color w:val="auto"/>
                <w:sz w:val="20"/>
                <w:szCs w:val="20"/>
                <w:u w:val="none"/>
                <w:rtl/>
              </w:rPr>
              <w:t xml:space="preserve">یا مدل زمان-خرید </w:t>
            </w:r>
            <w:r w:rsidR="006E4C1C" w:rsidRPr="00274C8D">
              <w:rPr>
                <w:rStyle w:val="Hyperlink"/>
                <w:rFonts w:ascii="NPIZar" w:hAnsi="NPIZar" w:cs="B Nazanin"/>
                <w:b w:val="0"/>
                <w:bCs w:val="0"/>
                <w:color w:val="auto"/>
                <w:sz w:val="20"/>
                <w:szCs w:val="20"/>
                <w:u w:val="none"/>
              </w:rPr>
              <w:t>MIG</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222</w:t>
          </w:r>
        </w:p>
        <w:p w14:paraId="613321AA"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67" w:history="1">
            <w:r w:rsidR="006E4C1C" w:rsidRPr="00274C8D">
              <w:rPr>
                <w:rStyle w:val="Hyperlink"/>
                <w:rFonts w:ascii="NPIZar" w:hAnsi="NPIZar" w:cs="B Nazanin"/>
                <w:b w:val="0"/>
                <w:bCs w:val="0"/>
                <w:color w:val="auto"/>
                <w:sz w:val="20"/>
                <w:szCs w:val="20"/>
                <w:u w:val="none"/>
                <w:rtl/>
              </w:rPr>
              <w:t>۸. ۸ خریدهای نقدی و اعتباری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224</w:t>
          </w:r>
        </w:p>
        <w:p w14:paraId="019F53F9"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68" w:history="1">
            <w:r w:rsidR="006E4C1C" w:rsidRPr="00274C8D">
              <w:rPr>
                <w:rStyle w:val="Hyperlink"/>
                <w:rFonts w:ascii="NPIZar" w:hAnsi="NPIZar" w:cs="B Nazanin"/>
                <w:b w:val="0"/>
                <w:bCs w:val="0"/>
                <w:color w:val="auto"/>
                <w:sz w:val="20"/>
                <w:szCs w:val="20"/>
                <w:u w:val="none"/>
                <w:rtl/>
              </w:rPr>
              <w:t>۸. ۹ برخی شواهد تجربی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228</w:t>
          </w:r>
        </w:p>
        <w:p w14:paraId="5865296F"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69" w:history="1">
            <w:r w:rsidR="006E4C1C" w:rsidRPr="00274C8D">
              <w:rPr>
                <w:rStyle w:val="Hyperlink"/>
                <w:rFonts w:ascii="NPIZar" w:hAnsi="NPIZar" w:cs="B Nazanin"/>
                <w:b w:val="0"/>
                <w:bCs w:val="0"/>
                <w:color w:val="auto"/>
                <w:sz w:val="20"/>
                <w:szCs w:val="20"/>
                <w:u w:val="none"/>
                <w:rtl/>
              </w:rPr>
              <w:t>۸. ۱۰ تورم حاد و مدل تقاضا برای پول کاگان</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230</w:t>
          </w:r>
        </w:p>
        <w:p w14:paraId="3BF36716"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70" w:history="1">
            <w:r w:rsidR="006E4C1C" w:rsidRPr="00274C8D">
              <w:rPr>
                <w:rStyle w:val="Hyperlink"/>
                <w:rFonts w:ascii="NPIZar" w:hAnsi="NPIZar" w:cs="B Nazanin"/>
                <w:b w:val="0"/>
                <w:bCs w:val="0"/>
                <w:color w:val="auto"/>
                <w:sz w:val="20"/>
                <w:szCs w:val="20"/>
                <w:u w:val="none"/>
                <w:rtl/>
              </w:rPr>
              <w:t>۸. ۱۱ نرخ تورم بهینه</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231</w:t>
          </w:r>
        </w:p>
        <w:p w14:paraId="03C67B2E"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71" w:history="1">
            <w:r w:rsidR="006E4C1C" w:rsidRPr="00274C8D">
              <w:rPr>
                <w:rStyle w:val="Hyperlink"/>
                <w:rFonts w:ascii="NPIZar" w:hAnsi="NPIZar" w:cs="B Nazanin"/>
                <w:b w:val="0"/>
                <w:bCs w:val="0"/>
                <w:color w:val="auto"/>
                <w:sz w:val="20"/>
                <w:szCs w:val="20"/>
                <w:u w:val="none"/>
                <w:rtl/>
              </w:rPr>
              <w:t>۸. ۱۲ اَبَر-خنثایی پول</w:t>
            </w:r>
            <w:r w:rsidR="006E4C1C" w:rsidRPr="00274C8D">
              <w:rPr>
                <w:rFonts w:ascii="NPIZar" w:hAnsi="NPIZar" w:cs="B Nazanin"/>
                <w:b w:val="0"/>
                <w:bCs w:val="0"/>
                <w:webHidden/>
                <w:sz w:val="20"/>
                <w:szCs w:val="20"/>
                <w:rtl/>
              </w:rPr>
              <w:tab/>
            </w:r>
            <w:r w:rsidR="006E4C1C">
              <w:rPr>
                <w:rFonts w:ascii="NPIZar" w:hAnsi="NPIZar" w:cs="B Nazanin" w:hint="cs"/>
                <w:b w:val="0"/>
                <w:bCs w:val="0"/>
                <w:webHidden/>
                <w:sz w:val="20"/>
                <w:szCs w:val="20"/>
                <w:rtl/>
              </w:rPr>
              <w:t>237</w:t>
            </w:r>
          </w:hyperlink>
        </w:p>
        <w:p w14:paraId="7070526C" w14:textId="77777777" w:rsidR="006E4C1C" w:rsidRPr="00274C8D" w:rsidRDefault="00E97D37" w:rsidP="006E4C1C">
          <w:pPr>
            <w:pStyle w:val="TOC1"/>
            <w:spacing w:before="0" w:line="180" w:lineRule="atLeast"/>
            <w:rPr>
              <w:rStyle w:val="Hyperlink"/>
              <w:rFonts w:ascii="NPIZar" w:hAnsi="NPIZar" w:cs="B Nazanin"/>
              <w:b w:val="0"/>
              <w:bCs w:val="0"/>
              <w:color w:val="auto"/>
              <w:sz w:val="20"/>
              <w:szCs w:val="20"/>
              <w:u w:val="none"/>
              <w:rtl/>
            </w:rPr>
          </w:pPr>
          <w:hyperlink w:anchor="_Toc8432572" w:history="1">
            <w:r w:rsidR="006E4C1C" w:rsidRPr="00274C8D">
              <w:rPr>
                <w:rStyle w:val="Hyperlink"/>
                <w:rFonts w:ascii="NPIZar" w:hAnsi="NPIZar" w:cs="B Nazanin"/>
                <w:b w:val="0"/>
                <w:bCs w:val="0"/>
                <w:color w:val="auto"/>
                <w:sz w:val="20"/>
                <w:szCs w:val="20"/>
                <w:u w:val="none"/>
                <w:rtl/>
              </w:rPr>
              <w:t>۸. ۱۳ نتایج</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239</w:t>
          </w:r>
        </w:p>
        <w:p w14:paraId="2016FAB6" w14:textId="77777777" w:rsidR="006E4C1C" w:rsidRPr="00274C8D" w:rsidRDefault="006E4C1C" w:rsidP="006E4C1C">
          <w:pPr>
            <w:rPr>
              <w:rFonts w:ascii="NPIZar" w:eastAsiaTheme="minorEastAsia" w:hAnsi="NPIZar"/>
              <w:rtl/>
            </w:rPr>
          </w:pPr>
        </w:p>
        <w:p w14:paraId="2C9CED2A" w14:textId="77777777" w:rsidR="006E4C1C" w:rsidRPr="00274C8D" w:rsidRDefault="006E4C1C" w:rsidP="006E4C1C">
          <w:pPr>
            <w:pStyle w:val="TOC1"/>
            <w:spacing w:before="0" w:line="180" w:lineRule="atLeast"/>
            <w:rPr>
              <w:rFonts w:ascii="NPIZar" w:hAnsi="NPIZar" w:cs="B Nazanin"/>
              <w:b w:val="0"/>
              <w:bCs w:val="0"/>
              <w:webHidden/>
              <w:sz w:val="20"/>
              <w:szCs w:val="20"/>
              <w:rtl/>
            </w:rPr>
          </w:pP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فصل نهم: قیمت</w:t>
          </w: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softHyphen/>
            <w:t>های انعطاف</w:t>
          </w: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softHyphen/>
            <w:t>پذیر ناقص</w:t>
          </w:r>
        </w:p>
        <w:p w14:paraId="1B431DF5"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73" w:history="1">
            <w:r w:rsidR="006E4C1C" w:rsidRPr="00274C8D">
              <w:rPr>
                <w:rStyle w:val="Hyperlink"/>
                <w:rFonts w:ascii="NPIZar" w:hAnsi="NPIZar" w:cs="B Nazanin"/>
                <w:b w:val="0"/>
                <w:bCs w:val="0"/>
                <w:color w:val="auto"/>
                <w:sz w:val="20"/>
                <w:szCs w:val="20"/>
                <w:u w:val="none"/>
                <w:rtl/>
              </w:rPr>
              <w:t>۹. ۱ مقدمه</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241</w:t>
          </w:r>
        </w:p>
        <w:p w14:paraId="78E0EE3B"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74" w:history="1">
            <w:r w:rsidR="006E4C1C" w:rsidRPr="00274C8D">
              <w:rPr>
                <w:rStyle w:val="Hyperlink"/>
                <w:rFonts w:ascii="NPIZar" w:hAnsi="NPIZar" w:cs="B Nazanin"/>
                <w:b w:val="0"/>
                <w:bCs w:val="0"/>
                <w:color w:val="auto"/>
                <w:sz w:val="20"/>
                <w:szCs w:val="20"/>
                <w:u w:val="none"/>
                <w:rtl/>
              </w:rPr>
              <w:t>۹. ۲ برخی حقایق آشکار شده در خصوص قیمتها و دستمزدها</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243</w:t>
          </w:r>
        </w:p>
        <w:p w14:paraId="68205068"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75" w:history="1">
            <w:r w:rsidR="006E4C1C" w:rsidRPr="00274C8D">
              <w:rPr>
                <w:rStyle w:val="Hyperlink"/>
                <w:rFonts w:ascii="NPIZar" w:hAnsi="NPIZar" w:cs="B Nazanin"/>
                <w:b w:val="0"/>
                <w:bCs w:val="0"/>
                <w:color w:val="auto"/>
                <w:sz w:val="20"/>
                <w:szCs w:val="20"/>
                <w:u w:val="none"/>
                <w:rtl/>
              </w:rPr>
              <w:t>۹. ۳ تعیین قیمت در شرایط رقابت ناقص</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244</w:t>
          </w:r>
        </w:p>
        <w:p w14:paraId="3AB9931A"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79" w:history="1">
            <w:r w:rsidR="006E4C1C" w:rsidRPr="00274C8D">
              <w:rPr>
                <w:rStyle w:val="Hyperlink"/>
                <w:rFonts w:ascii="NPIZar" w:hAnsi="NPIZar" w:cs="B Nazanin"/>
                <w:b w:val="0"/>
                <w:bCs w:val="0"/>
                <w:color w:val="auto"/>
                <w:sz w:val="20"/>
                <w:szCs w:val="20"/>
                <w:u w:val="none"/>
                <w:rtl/>
              </w:rPr>
              <w:t>۹. ۴ چسبندگی قیمت‌ها</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260</w:t>
          </w:r>
        </w:p>
        <w:p w14:paraId="7C4D26CE"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84" w:history="1">
            <w:r w:rsidR="006E4C1C" w:rsidRPr="00274C8D">
              <w:rPr>
                <w:rStyle w:val="Hyperlink"/>
                <w:rFonts w:ascii="NPIZar" w:hAnsi="NPIZar" w:cs="B Nazanin"/>
                <w:b w:val="0"/>
                <w:bCs w:val="0"/>
                <w:color w:val="auto"/>
                <w:sz w:val="20"/>
                <w:szCs w:val="20"/>
                <w:u w:val="none"/>
                <w:rtl/>
              </w:rPr>
              <w:t>۹. ۵ منحنی فیلیپس کینزین جدید</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266</w:t>
          </w:r>
        </w:p>
        <w:p w14:paraId="36D6AF49" w14:textId="77777777" w:rsidR="006E4C1C" w:rsidRPr="00274C8D" w:rsidRDefault="00E97D37" w:rsidP="006E4C1C">
          <w:pPr>
            <w:pStyle w:val="TOC1"/>
            <w:spacing w:before="0" w:line="180" w:lineRule="atLeast"/>
            <w:rPr>
              <w:rStyle w:val="Hyperlink"/>
              <w:rFonts w:ascii="NPIZar" w:hAnsi="NPIZar" w:cs="B Nazanin"/>
              <w:b w:val="0"/>
              <w:bCs w:val="0"/>
              <w:color w:val="auto"/>
              <w:sz w:val="20"/>
              <w:szCs w:val="20"/>
              <w:u w:val="none"/>
              <w:rtl/>
            </w:rPr>
          </w:pPr>
          <w:hyperlink w:anchor="_Toc8432586" w:history="1">
            <w:r w:rsidR="006E4C1C" w:rsidRPr="00274C8D">
              <w:rPr>
                <w:rStyle w:val="Hyperlink"/>
                <w:rFonts w:ascii="NPIZar" w:hAnsi="NPIZar" w:cs="B Nazanin"/>
                <w:b w:val="0"/>
                <w:bCs w:val="0"/>
                <w:color w:val="auto"/>
                <w:sz w:val="20"/>
                <w:szCs w:val="20"/>
                <w:u w:val="none"/>
                <w:rtl/>
              </w:rPr>
              <w:t>۹. ۶ نتایج</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272</w:t>
          </w:r>
        </w:p>
        <w:p w14:paraId="650F667F" w14:textId="77777777" w:rsidR="006E4C1C" w:rsidRPr="00274C8D" w:rsidRDefault="006E4C1C" w:rsidP="006E4C1C">
          <w:pPr>
            <w:rPr>
              <w:rFonts w:ascii="NPIZar" w:eastAsiaTheme="minorEastAsia" w:hAnsi="NPIZar"/>
              <w:rtl/>
            </w:rPr>
          </w:pPr>
        </w:p>
        <w:p w14:paraId="1ADC1452" w14:textId="77777777" w:rsidR="006E4C1C" w:rsidRPr="00274C8D" w:rsidRDefault="006E4C1C" w:rsidP="006E4C1C">
          <w:pPr>
            <w:pStyle w:val="TOC1"/>
            <w:spacing w:before="0" w:line="180" w:lineRule="atLeast"/>
            <w:rPr>
              <w:rFonts w:ascii="NPIZar" w:hAnsi="NPIZar" w:cs="B Nazanin"/>
              <w:b w:val="0"/>
              <w:bCs w:val="0"/>
              <w:webHidden/>
              <w:sz w:val="20"/>
              <w:szCs w:val="20"/>
              <w:rtl/>
            </w:rPr>
          </w:pP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فصل دهم: اشتغال و بیکاری</w:t>
          </w:r>
          <w:r w:rsidRPr="00274C8D">
            <w:rPr>
              <w:rFonts w:ascii="NPIZar" w:hAnsi="NPIZar" w:cs="B Nazanin"/>
              <w:b w:val="0"/>
              <w:bCs w:val="0"/>
              <w:sz w:val="20"/>
              <w:szCs w:val="20"/>
            </w:rPr>
            <w:t xml:space="preserve"> </w:t>
          </w:r>
        </w:p>
        <w:p w14:paraId="08043CC6" w14:textId="77777777" w:rsidR="006E4C1C" w:rsidRPr="00274C8D" w:rsidRDefault="00E97D37" w:rsidP="006E4C1C">
          <w:pPr>
            <w:pStyle w:val="TOC1"/>
            <w:spacing w:before="0" w:line="180" w:lineRule="atLeast"/>
            <w:rPr>
              <w:rStyle w:val="Hyperlink"/>
              <w:rFonts w:ascii="NPIZar" w:hAnsi="NPIZar" w:cs="B Nazanin"/>
              <w:b w:val="0"/>
              <w:bCs w:val="0"/>
              <w:color w:val="auto"/>
              <w:sz w:val="20"/>
              <w:szCs w:val="20"/>
              <w:u w:val="none"/>
              <w:rtl/>
            </w:rPr>
          </w:pPr>
          <w:hyperlink w:anchor="_Toc8432587" w:history="1">
            <w:r w:rsidR="006E4C1C" w:rsidRPr="00274C8D">
              <w:rPr>
                <w:rStyle w:val="Hyperlink"/>
                <w:rFonts w:ascii="NPIZar" w:hAnsi="NPIZar" w:cs="B Nazanin"/>
                <w:b w:val="0"/>
                <w:bCs w:val="0"/>
                <w:color w:val="auto"/>
                <w:sz w:val="20"/>
                <w:szCs w:val="20"/>
                <w:u w:val="none"/>
                <w:rtl/>
              </w:rPr>
              <w:t>۱۰. ۱</w:t>
            </w:r>
            <w:r w:rsidR="006E4C1C" w:rsidRPr="00274C8D">
              <w:rPr>
                <w:rStyle w:val="Hyperlink"/>
                <w:rFonts w:ascii="NPIZar" w:hAnsi="NPIZar" w:cs="B Nazanin"/>
                <w:b w:val="0"/>
                <w:bCs w:val="0"/>
                <w:color w:val="auto"/>
                <w:sz w:val="20"/>
                <w:szCs w:val="20"/>
                <w:u w:val="none"/>
              </w:rPr>
              <w:t xml:space="preserve"> </w:t>
            </w:r>
            <w:r w:rsidR="006E4C1C" w:rsidRPr="00274C8D">
              <w:rPr>
                <w:rStyle w:val="Hyperlink"/>
                <w:rFonts w:ascii="NPIZar" w:hAnsi="NPIZar" w:cs="B Nazanin"/>
                <w:b w:val="0"/>
                <w:bCs w:val="0"/>
                <w:color w:val="auto"/>
                <w:sz w:val="20"/>
                <w:szCs w:val="20"/>
                <w:u w:val="none"/>
                <w:rtl/>
              </w:rPr>
              <w:t>مقدمه</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273</w:t>
          </w:r>
        </w:p>
        <w:p w14:paraId="259C2723"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88" w:history="1">
            <w:r w:rsidR="006E4C1C" w:rsidRPr="00274C8D">
              <w:rPr>
                <w:rStyle w:val="Hyperlink"/>
                <w:rFonts w:ascii="NPIZar" w:hAnsi="NPIZar" w:cs="B Nazanin"/>
                <w:b w:val="0"/>
                <w:bCs w:val="0"/>
                <w:color w:val="auto"/>
                <w:sz w:val="20"/>
                <w:szCs w:val="20"/>
                <w:u w:val="none"/>
                <w:rtl/>
              </w:rPr>
              <w:t>۱۰. ۲ داده‌های مربوط به بازار کار</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275</w:t>
          </w:r>
        </w:p>
        <w:p w14:paraId="72962DD2"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89" w:history="1">
            <w:r w:rsidR="006E4C1C" w:rsidRPr="00274C8D">
              <w:rPr>
                <w:rStyle w:val="Hyperlink"/>
                <w:rFonts w:ascii="NPIZar" w:hAnsi="NPIZar" w:cs="B Nazanin"/>
                <w:b w:val="0"/>
                <w:bCs w:val="0"/>
                <w:color w:val="auto"/>
                <w:sz w:val="20"/>
                <w:szCs w:val="20"/>
                <w:u w:val="none"/>
                <w:rtl/>
              </w:rPr>
              <w:t>۱۰. ۳ تئوری جستجو و بیکاری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277</w:t>
          </w:r>
        </w:p>
        <w:p w14:paraId="0668D5C4"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95" w:history="1">
            <w:r w:rsidR="006E4C1C" w:rsidRPr="00274C8D">
              <w:rPr>
                <w:rStyle w:val="Hyperlink"/>
                <w:rFonts w:ascii="NPIZar" w:hAnsi="NPIZar" w:cs="B Nazanin"/>
                <w:b w:val="0"/>
                <w:bCs w:val="0"/>
                <w:color w:val="auto"/>
                <w:sz w:val="20"/>
                <w:szCs w:val="20"/>
                <w:u w:val="none"/>
                <w:rtl/>
              </w:rPr>
              <w:t>۱۰. ۴ تئوری کارایی- دستمزد</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284</w:t>
          </w:r>
        </w:p>
        <w:p w14:paraId="7EDD7912"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597" w:history="1">
            <w:r w:rsidR="006E4C1C" w:rsidRPr="00274C8D">
              <w:rPr>
                <w:rStyle w:val="Hyperlink"/>
                <w:rFonts w:ascii="NPIZar" w:hAnsi="NPIZar" w:cs="B Nazanin"/>
                <w:b w:val="0"/>
                <w:bCs w:val="0"/>
                <w:color w:val="auto"/>
                <w:sz w:val="20"/>
                <w:szCs w:val="20"/>
                <w:u w:val="none"/>
                <w:rtl/>
              </w:rPr>
              <w:t>۱۰. ۵ چسبندگی دستمزد و بیکاری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290</w:t>
          </w:r>
        </w:p>
        <w:p w14:paraId="117AA293"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04" w:history="1">
            <w:r w:rsidR="006E4C1C" w:rsidRPr="00274C8D">
              <w:rPr>
                <w:rStyle w:val="Hyperlink"/>
                <w:rFonts w:ascii="NPIZar" w:hAnsi="NPIZar" w:cs="B Nazanin"/>
                <w:b w:val="0"/>
                <w:bCs w:val="0"/>
                <w:color w:val="auto"/>
                <w:sz w:val="20"/>
                <w:szCs w:val="20"/>
                <w:u w:val="none"/>
                <w:rtl/>
              </w:rPr>
              <w:t>۱۰. ۶ بیکاری و اثربخشی سیاست‌های مالی و پولی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296</w:t>
          </w:r>
        </w:p>
        <w:p w14:paraId="28BB9EC5" w14:textId="77777777" w:rsidR="006E4C1C" w:rsidRPr="00274C8D" w:rsidRDefault="00E97D37" w:rsidP="006E4C1C">
          <w:pPr>
            <w:pStyle w:val="TOC1"/>
            <w:spacing w:before="0" w:line="180" w:lineRule="atLeast"/>
            <w:rPr>
              <w:rStyle w:val="Hyperlink"/>
              <w:rFonts w:ascii="NPIZar" w:hAnsi="NPIZar" w:cs="B Nazanin"/>
              <w:b w:val="0"/>
              <w:bCs w:val="0"/>
              <w:color w:val="auto"/>
              <w:sz w:val="20"/>
              <w:szCs w:val="20"/>
              <w:u w:val="none"/>
              <w:rtl/>
            </w:rPr>
          </w:pPr>
          <w:hyperlink w:anchor="_Toc8432605" w:history="1">
            <w:r w:rsidR="006E4C1C" w:rsidRPr="00274C8D">
              <w:rPr>
                <w:rStyle w:val="Hyperlink"/>
                <w:rFonts w:ascii="NPIZar" w:hAnsi="NPIZar" w:cs="B Nazanin"/>
                <w:b w:val="0"/>
                <w:bCs w:val="0"/>
                <w:color w:val="auto"/>
                <w:sz w:val="20"/>
                <w:szCs w:val="20"/>
                <w:u w:val="none"/>
                <w:rtl/>
              </w:rPr>
              <w:t>۱۰. ۷ نتایج</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298</w:t>
          </w:r>
        </w:p>
        <w:p w14:paraId="40C6BC57" w14:textId="77777777" w:rsidR="006E4C1C" w:rsidRPr="00274C8D" w:rsidRDefault="006E4C1C" w:rsidP="006E4C1C">
          <w:pPr>
            <w:rPr>
              <w:rFonts w:ascii="NPIZar" w:eastAsiaTheme="minorEastAsia" w:hAnsi="NPIZar"/>
              <w:rtl/>
            </w:rPr>
          </w:pPr>
        </w:p>
        <w:p w14:paraId="2334281B" w14:textId="77777777" w:rsidR="006E4C1C" w:rsidRPr="00274C8D" w:rsidRDefault="006E4C1C" w:rsidP="006E4C1C">
          <w:pPr>
            <w:pStyle w:val="TOC1"/>
            <w:spacing w:before="0" w:line="180" w:lineRule="atLeast"/>
            <w:rPr>
              <w:rFonts w:ascii="NPIZar" w:hAnsi="NPIZar" w:cs="B Nazanin"/>
              <w:b w:val="0"/>
              <w:bCs w:val="0"/>
              <w:webHidden/>
              <w:sz w:val="20"/>
              <w:szCs w:val="20"/>
              <w:rtl/>
            </w:rPr>
          </w:pP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فصل یازدهم: قیمت</w:t>
          </w: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softHyphen/>
            <w:t>گذاری دارایی</w:t>
          </w: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softHyphen/>
            <w:t>ها و اقتصاد کلان</w:t>
          </w:r>
        </w:p>
        <w:p w14:paraId="22F346C3"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06" w:history="1">
            <w:r w:rsidR="006E4C1C" w:rsidRPr="00274C8D">
              <w:rPr>
                <w:rStyle w:val="Hyperlink"/>
                <w:rFonts w:ascii="NPIZar" w:hAnsi="NPIZar" w:cs="B Nazanin"/>
                <w:b w:val="0"/>
                <w:bCs w:val="0"/>
                <w:color w:val="auto"/>
                <w:sz w:val="20"/>
                <w:szCs w:val="20"/>
                <w:u w:val="none"/>
                <w:rtl/>
              </w:rPr>
              <w:t>۱.۱۱ مقدمه</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301</w:t>
          </w:r>
        </w:p>
        <w:p w14:paraId="69EE6E18" w14:textId="77777777" w:rsidR="006E4C1C" w:rsidRDefault="00E97D37" w:rsidP="006E4C1C">
          <w:pPr>
            <w:pStyle w:val="TOC1"/>
            <w:spacing w:before="0" w:line="180" w:lineRule="atLeast"/>
            <w:rPr>
              <w:rFonts w:ascii="NPIZar" w:hAnsi="NPIZar" w:cs="B Nazanin"/>
              <w:b w:val="0"/>
              <w:bCs w:val="0"/>
              <w:sz w:val="20"/>
              <w:szCs w:val="20"/>
              <w:rtl/>
            </w:rPr>
          </w:pPr>
          <w:hyperlink w:anchor="_Toc8432607" w:history="1">
            <w:r w:rsidR="006E4C1C" w:rsidRPr="00274C8D">
              <w:rPr>
                <w:rStyle w:val="Hyperlink"/>
                <w:rFonts w:ascii="NPIZar" w:hAnsi="NPIZar" w:cs="B Nazanin"/>
                <w:b w:val="0"/>
                <w:bCs w:val="0"/>
                <w:color w:val="auto"/>
                <w:sz w:val="20"/>
                <w:szCs w:val="20"/>
                <w:u w:val="none"/>
                <w:rtl/>
              </w:rPr>
              <w:t>۲.۱۱ مطلوبیت انتظاری و ریسک</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302</w:t>
          </w:r>
        </w:p>
        <w:p w14:paraId="7B0284F4"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08" w:history="1">
            <w:r w:rsidR="006E4C1C" w:rsidRPr="00274C8D">
              <w:rPr>
                <w:rStyle w:val="Hyperlink"/>
                <w:rFonts w:ascii="NPIZar" w:hAnsi="NPIZar" w:cs="B Nazanin"/>
                <w:b w:val="0"/>
                <w:bCs w:val="0"/>
                <w:color w:val="auto"/>
                <w:sz w:val="20"/>
                <w:szCs w:val="20"/>
                <w:u w:val="none"/>
                <w:rtl/>
              </w:rPr>
              <w:t>۱۱. ۳ حق بیمه</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306</w:t>
          </w:r>
        </w:p>
        <w:p w14:paraId="2AB3769C"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09" w:history="1">
            <w:r w:rsidR="006E4C1C" w:rsidRPr="00274C8D">
              <w:rPr>
                <w:rStyle w:val="Hyperlink"/>
                <w:rFonts w:ascii="NPIZar" w:hAnsi="NPIZar" w:cs="B Nazanin"/>
                <w:b w:val="0"/>
                <w:bCs w:val="0"/>
                <w:color w:val="auto"/>
                <w:sz w:val="20"/>
                <w:szCs w:val="20"/>
                <w:u w:val="none"/>
                <w:rtl/>
              </w:rPr>
              <w:t>۴.۱۱ کارایی بازار و عدم وجود آربیتراژ</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307</w:t>
          </w:r>
        </w:p>
        <w:p w14:paraId="41D9FCCA"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10" w:history="1">
            <w:r w:rsidR="006E4C1C" w:rsidRPr="00274C8D">
              <w:rPr>
                <w:rStyle w:val="Hyperlink"/>
                <w:rFonts w:ascii="NPIZar" w:hAnsi="NPIZar" w:cs="B Nazanin"/>
                <w:b w:val="0"/>
                <w:bCs w:val="0"/>
                <w:color w:val="auto"/>
                <w:sz w:val="20"/>
                <w:szCs w:val="20"/>
                <w:u w:val="none"/>
                <w:rtl/>
              </w:rPr>
              <w:t>۱۱. ۵ قیمت‌گذاری دارایی و مطالبات مشروط</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308</w:t>
          </w:r>
        </w:p>
        <w:p w14:paraId="62C39B1C"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11" w:history="1">
            <w:r w:rsidR="006E4C1C" w:rsidRPr="00274C8D">
              <w:rPr>
                <w:rStyle w:val="Hyperlink"/>
                <w:rFonts w:ascii="NPIZar" w:hAnsi="NPIZar" w:cs="B Nazanin"/>
                <w:b w:val="0"/>
                <w:bCs w:val="0"/>
                <w:color w:val="auto"/>
                <w:sz w:val="20"/>
                <w:szCs w:val="20"/>
                <w:u w:val="none"/>
                <w:rtl/>
              </w:rPr>
              <w:t>۱۱. ۶ قیمت‌گذاری دارایی تعادل عمومی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313</w:t>
          </w:r>
        </w:p>
        <w:p w14:paraId="05227730"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14" w:history="1">
            <w:r w:rsidR="006E4C1C" w:rsidRPr="00274C8D">
              <w:rPr>
                <w:rStyle w:val="Hyperlink"/>
                <w:rFonts w:ascii="NPIZar" w:hAnsi="NPIZar" w:cs="B Nazanin"/>
                <w:b w:val="0"/>
                <w:bCs w:val="0"/>
                <w:color w:val="auto"/>
                <w:sz w:val="20"/>
                <w:szCs w:val="20"/>
                <w:u w:val="none"/>
                <w:rtl/>
              </w:rPr>
              <w:t>۱۱. ۷ تخصیص دارایی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323</w:t>
          </w:r>
        </w:p>
        <w:p w14:paraId="16432323"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15" w:history="1">
            <w:r w:rsidR="006E4C1C" w:rsidRPr="00274C8D">
              <w:rPr>
                <w:rStyle w:val="Hyperlink"/>
                <w:rFonts w:ascii="NPIZar" w:hAnsi="NPIZar" w:cs="B Nazanin"/>
                <w:b w:val="0"/>
                <w:bCs w:val="0"/>
                <w:color w:val="auto"/>
                <w:sz w:val="20"/>
                <w:szCs w:val="20"/>
                <w:u w:val="none"/>
                <w:rtl/>
              </w:rPr>
              <w:t>۱۱. ۸ مصرف در شرایط نااطمینانی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327</w:t>
          </w:r>
        </w:p>
        <w:p w14:paraId="28A7C01F"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16" w:history="1">
            <w:r w:rsidR="006E4C1C" w:rsidRPr="00274C8D">
              <w:rPr>
                <w:rStyle w:val="Hyperlink"/>
                <w:rFonts w:ascii="NPIZar" w:hAnsi="NPIZar" w:cs="B Nazanin"/>
                <w:b w:val="0"/>
                <w:bCs w:val="0"/>
                <w:color w:val="auto"/>
                <w:sz w:val="20"/>
                <w:szCs w:val="20"/>
                <w:u w:val="none"/>
                <w:rtl/>
              </w:rPr>
              <w:t>۱۱. ۹ بازار کامل</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329</w:t>
          </w:r>
        </w:p>
        <w:p w14:paraId="468226E6" w14:textId="77777777" w:rsidR="006E4C1C" w:rsidRPr="00274C8D" w:rsidRDefault="00E97D37" w:rsidP="006E4C1C">
          <w:pPr>
            <w:pStyle w:val="TOC1"/>
            <w:spacing w:before="0" w:line="180" w:lineRule="atLeast"/>
            <w:rPr>
              <w:rStyle w:val="Hyperlink"/>
              <w:rFonts w:ascii="NPIZar" w:hAnsi="NPIZar" w:cs="B Nazanin"/>
              <w:b w:val="0"/>
              <w:bCs w:val="0"/>
              <w:color w:val="auto"/>
              <w:sz w:val="20"/>
              <w:szCs w:val="20"/>
              <w:u w:val="none"/>
              <w:rtl/>
            </w:rPr>
          </w:pPr>
          <w:hyperlink w:anchor="_Toc8432619" w:history="1">
            <w:r w:rsidR="006E4C1C" w:rsidRPr="00274C8D">
              <w:rPr>
                <w:rStyle w:val="Hyperlink"/>
                <w:rFonts w:ascii="NPIZar" w:hAnsi="NPIZar" w:cs="B Nazanin"/>
                <w:b w:val="0"/>
                <w:bCs w:val="0"/>
                <w:color w:val="auto"/>
                <w:sz w:val="20"/>
                <w:szCs w:val="20"/>
                <w:u w:val="none"/>
                <w:rtl/>
              </w:rPr>
              <w:t>۱۱. ۱۰ نتایج</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334</w:t>
          </w:r>
        </w:p>
        <w:p w14:paraId="0A1B23E5" w14:textId="77777777" w:rsidR="006E4C1C" w:rsidRPr="00274C8D" w:rsidRDefault="006E4C1C" w:rsidP="006E4C1C">
          <w:pPr>
            <w:rPr>
              <w:rFonts w:ascii="NPIZar" w:eastAsiaTheme="minorEastAsia" w:hAnsi="NPIZar"/>
              <w:rtl/>
            </w:rPr>
          </w:pPr>
        </w:p>
        <w:p w14:paraId="4E3CAF9A" w14:textId="77777777" w:rsidR="006E4C1C" w:rsidRPr="00274C8D" w:rsidRDefault="006E4C1C" w:rsidP="006E4C1C">
          <w:pPr>
            <w:pStyle w:val="TOC1"/>
            <w:spacing w:before="0" w:line="180" w:lineRule="atLeast"/>
            <w:rPr>
              <w:rFonts w:ascii="NPIZar" w:hAnsi="NPIZar" w:cs="B Nazanin"/>
              <w:b w:val="0"/>
              <w:bCs w:val="0"/>
              <w:webHidden/>
              <w:sz w:val="20"/>
              <w:szCs w:val="20"/>
              <w:rtl/>
            </w:rPr>
          </w:pP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 xml:space="preserve">فصل دوازدهم : </w:t>
          </w:r>
          <w:r w:rsidRPr="00274C8D">
            <w:rPr>
              <w:rFonts w:ascii="NPIZar" w:hAnsi="NPIZar" w:cs="B Nazanin"/>
              <w:sz w:val="28"/>
              <w:szCs w:val="20"/>
              <w:rtl/>
            </w:rPr>
            <w:t>بازارهای مالی</w:t>
          </w:r>
          <w:r w:rsidRPr="00274C8D">
            <w:rPr>
              <w:rFonts w:ascii="NPIZar" w:hAnsi="NPIZar" w:cs="B Nazanin"/>
              <w:b w:val="0"/>
              <w:bCs w:val="0"/>
              <w:sz w:val="8"/>
              <w:szCs w:val="8"/>
            </w:rPr>
            <w:t xml:space="preserve"> </w:t>
          </w:r>
        </w:p>
        <w:p w14:paraId="0929959E"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20" w:history="1">
            <w:r w:rsidR="006E4C1C" w:rsidRPr="00274C8D">
              <w:rPr>
                <w:rStyle w:val="Hyperlink"/>
                <w:rFonts w:ascii="NPIZar" w:hAnsi="NPIZar" w:cs="B Nazanin"/>
                <w:b w:val="0"/>
                <w:bCs w:val="0"/>
                <w:color w:val="auto"/>
                <w:sz w:val="20"/>
                <w:szCs w:val="20"/>
                <w:u w:val="none"/>
                <w:rtl/>
              </w:rPr>
              <w:t>۱۲. ۱ مقدمه</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337</w:t>
          </w:r>
        </w:p>
        <w:p w14:paraId="1B5D8CBE"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21" w:history="1">
            <w:r w:rsidR="006E4C1C" w:rsidRPr="00274C8D">
              <w:rPr>
                <w:rStyle w:val="Hyperlink"/>
                <w:rFonts w:ascii="NPIZar" w:hAnsi="NPIZar" w:cs="B Nazanin"/>
                <w:b w:val="0"/>
                <w:bCs w:val="0"/>
                <w:color w:val="auto"/>
                <w:sz w:val="20"/>
                <w:szCs w:val="20"/>
                <w:u w:val="none"/>
                <w:rtl/>
              </w:rPr>
              <w:t>۱۲. ۲ بازار سهام</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338</w:t>
          </w:r>
        </w:p>
        <w:p w14:paraId="6EED0D4B"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25" w:history="1">
            <w:r w:rsidR="006E4C1C" w:rsidRPr="00274C8D">
              <w:rPr>
                <w:rStyle w:val="Hyperlink"/>
                <w:rFonts w:ascii="NPIZar" w:hAnsi="NPIZar" w:cs="B Nazanin"/>
                <w:b w:val="0"/>
                <w:bCs w:val="0"/>
                <w:color w:val="auto"/>
                <w:sz w:val="20"/>
                <w:szCs w:val="20"/>
                <w:u w:val="none"/>
                <w:rtl/>
              </w:rPr>
              <w:t>۱۲. ۳ بازار اوراق قرضه</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346</w:t>
          </w:r>
        </w:p>
        <w:p w14:paraId="1723DFE6"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33" w:history="1">
            <w:r w:rsidR="006E4C1C" w:rsidRPr="00274C8D">
              <w:rPr>
                <w:rStyle w:val="Hyperlink"/>
                <w:rFonts w:ascii="NPIZar" w:hAnsi="NPIZar" w:cs="B Nazanin"/>
                <w:b w:val="0"/>
                <w:bCs w:val="0"/>
                <w:color w:val="auto"/>
                <w:sz w:val="20"/>
                <w:szCs w:val="20"/>
                <w:u w:val="none"/>
                <w:rtl/>
              </w:rPr>
              <w:t xml:space="preserve">۱۲. ۴ بازار ارز خارجی یا </w:t>
            </w:r>
            <w:r w:rsidR="006E4C1C" w:rsidRPr="00274C8D">
              <w:rPr>
                <w:rStyle w:val="Hyperlink"/>
                <w:rFonts w:ascii="NPIZar" w:hAnsi="NPIZar" w:cs="B Nazanin"/>
                <w:b w:val="0"/>
                <w:bCs w:val="0"/>
                <w:color w:val="auto"/>
                <w:sz w:val="20"/>
                <w:szCs w:val="20"/>
                <w:u w:val="none"/>
              </w:rPr>
              <w:t>FOREX</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376</w:t>
          </w:r>
        </w:p>
        <w:p w14:paraId="56513286" w14:textId="77777777" w:rsidR="006E4C1C" w:rsidRPr="00274C8D" w:rsidRDefault="00E97D37" w:rsidP="006E4C1C">
          <w:pPr>
            <w:pStyle w:val="TOC1"/>
            <w:spacing w:before="0" w:line="180" w:lineRule="atLeast"/>
            <w:rPr>
              <w:rStyle w:val="Hyperlink"/>
              <w:rFonts w:ascii="NPIZar" w:hAnsi="NPIZar" w:cs="B Nazanin"/>
              <w:b w:val="0"/>
              <w:bCs w:val="0"/>
              <w:color w:val="auto"/>
              <w:sz w:val="20"/>
              <w:szCs w:val="20"/>
              <w:u w:val="none"/>
              <w:rtl/>
            </w:rPr>
          </w:pPr>
          <w:hyperlink w:anchor="_Toc8432636" w:history="1">
            <w:r w:rsidR="006E4C1C" w:rsidRPr="00274C8D">
              <w:rPr>
                <w:rStyle w:val="Hyperlink"/>
                <w:rFonts w:ascii="NPIZar" w:hAnsi="NPIZar" w:cs="B Nazanin"/>
                <w:b w:val="0"/>
                <w:bCs w:val="0"/>
                <w:color w:val="auto"/>
                <w:sz w:val="20"/>
                <w:szCs w:val="20"/>
                <w:u w:val="none"/>
                <w:rtl/>
              </w:rPr>
              <w:t>۱۲. ۵ نتایج</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390</w:t>
          </w:r>
        </w:p>
        <w:p w14:paraId="040C32D3" w14:textId="77777777" w:rsidR="006E4C1C" w:rsidRPr="00274C8D" w:rsidRDefault="006E4C1C" w:rsidP="006E4C1C">
          <w:pPr>
            <w:rPr>
              <w:rFonts w:ascii="NPIZar" w:eastAsiaTheme="minorEastAsia" w:hAnsi="NPIZar"/>
              <w:rtl/>
            </w:rPr>
          </w:pPr>
        </w:p>
        <w:p w14:paraId="63066A98" w14:textId="77777777" w:rsidR="006E4C1C" w:rsidRPr="00274C8D" w:rsidRDefault="006E4C1C" w:rsidP="006E4C1C">
          <w:pPr>
            <w:pStyle w:val="TOC1"/>
            <w:spacing w:before="0" w:line="180" w:lineRule="atLeast"/>
            <w:rPr>
              <w:rFonts w:ascii="NPIZar" w:hAnsi="NPIZar" w:cs="B Nazanin"/>
              <w:b w:val="0"/>
              <w:bCs w:val="0"/>
              <w:webHidden/>
              <w:sz w:val="20"/>
              <w:szCs w:val="20"/>
              <w:rtl/>
            </w:rPr>
          </w:pP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فصل سیزدهم: نرخ ارز</w:t>
          </w:r>
          <w:r w:rsidRPr="00274C8D">
            <w:rPr>
              <w:rFonts w:ascii="NPIZar" w:hAnsi="NPIZar" w:cs="B Nazanin"/>
              <w:b w:val="0"/>
              <w:bCs w:val="0"/>
              <w:sz w:val="20"/>
              <w:szCs w:val="20"/>
            </w:rPr>
            <w:t xml:space="preserve"> </w:t>
          </w:r>
        </w:p>
        <w:p w14:paraId="08342DED" w14:textId="77777777" w:rsidR="006E4C1C" w:rsidRPr="00274C8D" w:rsidRDefault="00E97D37" w:rsidP="006E4C1C">
          <w:pPr>
            <w:pStyle w:val="TOC1"/>
            <w:spacing w:before="0" w:line="180" w:lineRule="atLeast"/>
            <w:rPr>
              <w:rStyle w:val="Hyperlink"/>
              <w:rFonts w:ascii="NPIZar" w:hAnsi="NPIZar" w:cs="B Nazanin"/>
              <w:b w:val="0"/>
              <w:bCs w:val="0"/>
              <w:color w:val="auto"/>
              <w:sz w:val="20"/>
              <w:szCs w:val="20"/>
              <w:u w:val="none"/>
              <w:rtl/>
            </w:rPr>
          </w:pPr>
          <w:hyperlink w:anchor="_Toc8432637" w:history="1">
            <w:r w:rsidR="006E4C1C" w:rsidRPr="00274C8D">
              <w:rPr>
                <w:rStyle w:val="Hyperlink"/>
                <w:rFonts w:ascii="NPIZar" w:hAnsi="NPIZar" w:cs="B Nazanin"/>
                <w:b w:val="0"/>
                <w:bCs w:val="0"/>
                <w:color w:val="auto"/>
                <w:sz w:val="20"/>
                <w:szCs w:val="20"/>
                <w:u w:val="none"/>
                <w:rtl/>
              </w:rPr>
              <w:t>۱۳. ۱ مقدمه</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393</w:t>
          </w:r>
        </w:p>
        <w:p w14:paraId="54D2955E"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38" w:history="1">
            <w:r w:rsidR="006E4C1C" w:rsidRPr="00274C8D">
              <w:rPr>
                <w:rStyle w:val="Hyperlink"/>
                <w:rFonts w:ascii="NPIZar" w:hAnsi="NPIZar" w:cs="B Nazanin"/>
                <w:b w:val="0"/>
                <w:bCs w:val="0"/>
                <w:color w:val="auto"/>
                <w:sz w:val="20"/>
                <w:szCs w:val="20"/>
                <w:u w:val="none"/>
                <w:rtl/>
              </w:rPr>
              <w:t>۱۳. ۲ مقررات پولی بین</w:t>
            </w:r>
            <w:r w:rsidR="006E4C1C" w:rsidRPr="00274C8D">
              <w:rPr>
                <w:rStyle w:val="Hyperlink"/>
                <w:rFonts w:ascii="NPIZar" w:hAnsi="NPIZar" w:cs="B Nazanin"/>
                <w:b w:val="0"/>
                <w:bCs w:val="0"/>
                <w:color w:val="auto"/>
                <w:sz w:val="20"/>
                <w:szCs w:val="20"/>
                <w:u w:val="none"/>
                <w:rtl/>
              </w:rPr>
              <w:softHyphen/>
              <w:t>الملی ۲۰۱۱-۱۸۷۳</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395</w:t>
          </w:r>
        </w:p>
        <w:p w14:paraId="2DB920CC"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39" w:history="1">
            <w:r w:rsidR="006E4C1C" w:rsidRPr="00274C8D">
              <w:rPr>
                <w:rStyle w:val="Hyperlink"/>
                <w:rFonts w:ascii="NPIZar" w:hAnsi="NPIZar" w:cs="B Nazanin"/>
                <w:b w:val="0"/>
                <w:bCs w:val="0"/>
                <w:color w:val="auto"/>
                <w:sz w:val="20"/>
                <w:szCs w:val="20"/>
                <w:u w:val="none"/>
                <w:rtl/>
              </w:rPr>
              <w:t xml:space="preserve">۱۳. ۳ مدل کینزین </w:t>
            </w:r>
            <w:r w:rsidR="006E4C1C" w:rsidRPr="00274C8D">
              <w:rPr>
                <w:rFonts w:ascii="NPIZar" w:eastAsiaTheme="majorEastAsia" w:hAnsi="NPIZar" w:cs="B Nazanin"/>
                <w:b w:val="0"/>
                <w:bCs w:val="0"/>
                <w:position w:val="-6"/>
                <w:sz w:val="20"/>
                <w:szCs w:val="20"/>
                <w:lang w:bidi="ar-SA"/>
              </w:rPr>
              <w:drawing>
                <wp:inline distT="0" distB="0" distL="0" distR="0" wp14:anchorId="3EF9ABCD" wp14:editId="0B40AD6B">
                  <wp:extent cx="807720" cy="15684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2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07720" cy="156845"/>
                          </a:xfrm>
                          <a:prstGeom prst="rect">
                            <a:avLst/>
                          </a:prstGeom>
                          <a:noFill/>
                          <a:ln>
                            <a:noFill/>
                          </a:ln>
                        </pic:spPr>
                      </pic:pic>
                    </a:graphicData>
                  </a:graphic>
                </wp:inline>
              </w:drawing>
            </w:r>
            <w:r w:rsidR="006E4C1C" w:rsidRPr="00274C8D">
              <w:rPr>
                <w:rStyle w:val="Hyperlink"/>
                <w:rFonts w:ascii="NPIZar" w:hAnsi="NPIZar" w:cs="B Nazanin"/>
                <w:b w:val="0"/>
                <w:bCs w:val="0"/>
                <w:color w:val="auto"/>
                <w:sz w:val="20"/>
                <w:szCs w:val="20"/>
                <w:u w:val="none"/>
                <w:rtl/>
              </w:rPr>
              <w:t xml:space="preserve"> نرخ ارز</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401</w:t>
          </w:r>
        </w:p>
        <w:p w14:paraId="322C104C"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44" w:history="1">
            <w:r w:rsidR="006E4C1C" w:rsidRPr="00274C8D">
              <w:rPr>
                <w:rStyle w:val="Hyperlink"/>
                <w:rFonts w:ascii="NPIZar" w:hAnsi="NPIZar" w:cs="B Nazanin"/>
                <w:b w:val="0"/>
                <w:bCs w:val="0"/>
                <w:color w:val="auto"/>
                <w:sz w:val="20"/>
                <w:szCs w:val="20"/>
                <w:u w:val="none"/>
                <w:shd w:val="clear" w:color="auto" w:fill="FFFFFF"/>
                <w:rtl/>
              </w:rPr>
              <w:t>۱۳. ۴ برابری نرخ بهره‌ی بدون پوشش و تعیین نرخ ارز</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413</w:t>
          </w:r>
        </w:p>
        <w:p w14:paraId="5F79F372"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45" w:history="1">
            <w:r w:rsidR="006E4C1C" w:rsidRPr="00274C8D">
              <w:rPr>
                <w:rStyle w:val="Hyperlink"/>
                <w:rFonts w:ascii="NPIZar" w:hAnsi="NPIZar" w:cs="B Nazanin"/>
                <w:b w:val="0"/>
                <w:bCs w:val="0"/>
                <w:color w:val="auto"/>
                <w:sz w:val="20"/>
                <w:szCs w:val="20"/>
                <w:u w:val="none"/>
                <w:rtl/>
              </w:rPr>
              <w:t>۱۳. ۵ مدل نرخ ارز ماندل ـ فلمینگ</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416</w:t>
          </w:r>
        </w:p>
        <w:p w14:paraId="647D5353"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46" w:history="1">
            <w:r w:rsidR="006E4C1C" w:rsidRPr="00274C8D">
              <w:rPr>
                <w:rStyle w:val="Hyperlink"/>
                <w:rFonts w:ascii="NPIZar" w:hAnsi="NPIZar" w:cs="B Nazanin"/>
                <w:b w:val="0"/>
                <w:bCs w:val="0"/>
                <w:color w:val="auto"/>
                <w:sz w:val="20"/>
                <w:szCs w:val="20"/>
                <w:u w:val="none"/>
                <w:rtl/>
              </w:rPr>
              <w:t>۱۳. ۶ مدل پولی نرخ ارز</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419</w:t>
          </w:r>
        </w:p>
        <w:p w14:paraId="36F27B1C"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47" w:history="1">
            <w:r w:rsidR="006E4C1C" w:rsidRPr="00274C8D">
              <w:rPr>
                <w:rStyle w:val="Hyperlink"/>
                <w:rFonts w:ascii="NPIZar" w:hAnsi="NPIZar" w:cs="B Nazanin"/>
                <w:b w:val="0"/>
                <w:bCs w:val="0"/>
                <w:color w:val="auto"/>
                <w:sz w:val="20"/>
                <w:szCs w:val="20"/>
                <w:u w:val="none"/>
                <w:rtl/>
              </w:rPr>
              <w:t>۱۳. ۷ مدل نرخ ارز دورن بوش</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423</w:t>
          </w:r>
        </w:p>
        <w:p w14:paraId="0F69A07D"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49" w:history="1">
            <w:r w:rsidR="006E4C1C" w:rsidRPr="00274C8D">
              <w:rPr>
                <w:rStyle w:val="Hyperlink"/>
                <w:rFonts w:ascii="NPIZar" w:hAnsi="NPIZar" w:cs="B Nazanin"/>
                <w:b w:val="0"/>
                <w:bCs w:val="0"/>
                <w:color w:val="auto"/>
                <w:sz w:val="20"/>
                <w:szCs w:val="20"/>
                <w:u w:val="none"/>
                <w:rtl/>
              </w:rPr>
              <w:t>۱۳. ۸ مدل پولی با چسبندگی قیمت‌ها</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432</w:t>
          </w:r>
        </w:p>
        <w:p w14:paraId="623EA18B" w14:textId="77777777" w:rsidR="006E4C1C" w:rsidRPr="00274C8D" w:rsidRDefault="006E4C1C" w:rsidP="006E4C1C">
          <w:pPr>
            <w:pStyle w:val="TOC1"/>
            <w:spacing w:before="0" w:line="180" w:lineRule="atLeast"/>
            <w:rPr>
              <w:rFonts w:ascii="NPIZar" w:hAnsi="NPIZar" w:cs="B Nazanin"/>
              <w:b w:val="0"/>
              <w:bCs w:val="0"/>
              <w:webHidden/>
              <w:sz w:val="24"/>
              <w:szCs w:val="24"/>
              <w:rtl/>
            </w:rPr>
          </w:pPr>
          <w:r w:rsidRPr="00274C8D">
            <w:rPr>
              <w:rFonts w:ascii="NPIZar" w:hAnsi="NPIZar" w:cs="B Nazanin"/>
              <w:b w:val="0"/>
              <w:bCs w:val="0"/>
              <w:sz w:val="20"/>
              <w:szCs w:val="20"/>
              <w:rtl/>
            </w:rPr>
            <w:t>۱۳. ۹ مدل احیا شده‌ی آبسفلد</w:t>
          </w:r>
          <w:r w:rsidRPr="00274C8D">
            <w:rPr>
              <w:rFonts w:ascii="NPIZar" w:hAnsi="NPIZar" w:cs="Times New Roman"/>
              <w:b w:val="0"/>
              <w:bCs w:val="0"/>
              <w:sz w:val="20"/>
              <w:szCs w:val="20"/>
              <w:rtl/>
            </w:rPr>
            <w:t>–</w:t>
          </w:r>
          <w:r w:rsidRPr="00274C8D">
            <w:rPr>
              <w:rFonts w:ascii="NPIZar" w:hAnsi="NPIZar" w:cs="B Nazanin"/>
              <w:b w:val="0"/>
              <w:bCs w:val="0"/>
              <w:sz w:val="20"/>
              <w:szCs w:val="20"/>
              <w:rtl/>
            </w:rPr>
            <w:t>روگوف قیمت‌ها</w:t>
          </w:r>
          <w:r w:rsidRPr="00274C8D">
            <w:rPr>
              <w:rFonts w:ascii="NPIZar" w:hAnsi="NPIZar" w:cs="B Nazanin"/>
              <w:b w:val="0"/>
              <w:bCs w:val="0"/>
              <w:webHidden/>
              <w:sz w:val="24"/>
              <w:szCs w:val="24"/>
              <w:rtl/>
            </w:rPr>
            <w:tab/>
          </w:r>
          <w:r>
            <w:rPr>
              <w:rFonts w:ascii="NPIZar" w:hAnsi="NPIZar" w:cs="B Nazanin" w:hint="cs"/>
              <w:b w:val="0"/>
              <w:bCs w:val="0"/>
              <w:webHidden/>
              <w:sz w:val="20"/>
              <w:szCs w:val="20"/>
              <w:rtl/>
            </w:rPr>
            <w:t>425</w:t>
          </w:r>
        </w:p>
        <w:p w14:paraId="17C82BF0" w14:textId="77777777" w:rsidR="006E4C1C" w:rsidRPr="00274C8D" w:rsidRDefault="00E97D37" w:rsidP="006E4C1C">
          <w:pPr>
            <w:pStyle w:val="TOC1"/>
            <w:spacing w:before="0" w:line="180" w:lineRule="atLeast"/>
            <w:rPr>
              <w:rFonts w:ascii="NPIZar" w:eastAsiaTheme="minorEastAsia" w:hAnsi="NPIZar"/>
              <w:rtl/>
            </w:rPr>
          </w:pPr>
          <w:hyperlink w:anchor="_Toc8432655" w:history="1">
            <w:r w:rsidR="006E4C1C" w:rsidRPr="00274C8D">
              <w:rPr>
                <w:rStyle w:val="Hyperlink"/>
                <w:rFonts w:ascii="NPIZar" w:hAnsi="NPIZar" w:cs="B Nazanin"/>
                <w:b w:val="0"/>
                <w:bCs w:val="0"/>
                <w:color w:val="auto"/>
                <w:sz w:val="20"/>
                <w:szCs w:val="20"/>
                <w:u w:val="none"/>
                <w:rtl/>
              </w:rPr>
              <w:t>۱۳. ۱۰ نتایج</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447</w:t>
          </w:r>
        </w:p>
        <w:p w14:paraId="754A52E0" w14:textId="77777777" w:rsidR="006E4C1C" w:rsidRDefault="006E4C1C" w:rsidP="006E4C1C">
          <w:pPr>
            <w:pStyle w:val="TOC1"/>
            <w:spacing w:before="0" w:line="180" w:lineRule="atLeast"/>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pPr>
        </w:p>
        <w:p w14:paraId="3F5A6086" w14:textId="77777777" w:rsidR="006E4C1C" w:rsidRPr="00274C8D" w:rsidRDefault="006E4C1C" w:rsidP="006E4C1C">
          <w:pPr>
            <w:pStyle w:val="TOC1"/>
            <w:spacing w:before="0" w:line="180" w:lineRule="atLeast"/>
            <w:rPr>
              <w:rFonts w:ascii="NPIZar" w:hAnsi="NPIZar" w:cs="B Nazanin"/>
              <w:b w:val="0"/>
              <w:bCs w:val="0"/>
              <w:webHidden/>
              <w:sz w:val="20"/>
              <w:szCs w:val="20"/>
              <w:rtl/>
            </w:rPr>
          </w:pP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فصل چهاردهم:</w:t>
          </w:r>
          <w:r w:rsidRPr="00274C8D">
            <w:rPr>
              <w:rFonts w:ascii="NPIZar" w:eastAsia="Yu Gothic UI" w:hAnsi="NPIZar" w:cs="B Nazanin"/>
              <w:sz w:val="40"/>
              <w:szCs w:val="40"/>
              <w:rtl/>
              <w14:glow w14:rad="0">
                <w14:srgbClr w14:val="000000">
                  <w14:alpha w14:val="91000"/>
                </w14:srgbClr>
              </w14:glow>
              <w14:shadow w14:blurRad="63500" w14:dist="0" w14:dir="0" w14:sx="1000" w14:sy="1000" w14:kx="0" w14:ky="0" w14:algn="ctr">
                <w14:srgbClr w14:val="000000">
                  <w14:alpha w14:val="16000"/>
                </w14:srgbClr>
              </w14:shadow>
            </w:rPr>
            <w:t xml:space="preserve"> </w:t>
          </w: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سیاست</w:t>
          </w: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softHyphen/>
            <w:t>های پولی</w:t>
          </w:r>
          <w:r w:rsidRPr="00274C8D">
            <w:rPr>
              <w:rFonts w:ascii="NPIZar" w:hAnsi="NPIZar" w:cs="B Nazanin"/>
              <w:b w:val="0"/>
              <w:bCs w:val="0"/>
              <w:sz w:val="20"/>
              <w:szCs w:val="20"/>
            </w:rPr>
            <w:t xml:space="preserve"> </w:t>
          </w:r>
        </w:p>
        <w:p w14:paraId="0935C5FB" w14:textId="77777777" w:rsidR="006E4C1C" w:rsidRPr="00274C8D" w:rsidRDefault="00E97D37" w:rsidP="006E4C1C">
          <w:pPr>
            <w:pStyle w:val="TOC1"/>
            <w:spacing w:before="0" w:line="180" w:lineRule="atLeast"/>
            <w:rPr>
              <w:rFonts w:ascii="NPIZar" w:hAnsi="NPIZar" w:cs="B Nazanin"/>
              <w:b w:val="0"/>
              <w:bCs w:val="0"/>
              <w:sz w:val="20"/>
              <w:szCs w:val="20"/>
              <w:rtl/>
            </w:rPr>
          </w:pPr>
          <w:hyperlink w:anchor="_Toc8432656" w:history="1">
            <w:r w:rsidR="006E4C1C" w:rsidRPr="00274C8D">
              <w:rPr>
                <w:rStyle w:val="Hyperlink"/>
                <w:rFonts w:ascii="NPIZar" w:hAnsi="NPIZar" w:cs="B Nazanin"/>
                <w:b w:val="0"/>
                <w:bCs w:val="0"/>
                <w:color w:val="auto"/>
                <w:sz w:val="20"/>
                <w:szCs w:val="20"/>
                <w:u w:val="none"/>
                <w:rtl/>
              </w:rPr>
              <w:t>۱۴. ۱ مقدمه</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449</w:t>
          </w:r>
        </w:p>
        <w:p w14:paraId="6EF8E4BB"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57" w:history="1">
            <w:r w:rsidR="006E4C1C" w:rsidRPr="00274C8D">
              <w:rPr>
                <w:rStyle w:val="Hyperlink"/>
                <w:rFonts w:ascii="NPIZar" w:hAnsi="NPIZar" w:cs="B Nazanin"/>
                <w:b w:val="0"/>
                <w:bCs w:val="0"/>
                <w:color w:val="auto"/>
                <w:sz w:val="20"/>
                <w:szCs w:val="20"/>
                <w:u w:val="none"/>
                <w:rtl/>
              </w:rPr>
              <w:t>۱۴. ۲ تورم و معادله‌ی فبشر</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454</w:t>
          </w:r>
        </w:p>
        <w:p w14:paraId="5D6BBCC3"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58" w:history="1">
            <w:r w:rsidR="006E4C1C" w:rsidRPr="00274C8D">
              <w:rPr>
                <w:rStyle w:val="Hyperlink"/>
                <w:rFonts w:ascii="NPIZar" w:hAnsi="NPIZar" w:cs="B Nazanin"/>
                <w:b w:val="0"/>
                <w:bCs w:val="0"/>
                <w:color w:val="auto"/>
                <w:sz w:val="20"/>
                <w:szCs w:val="20"/>
                <w:u w:val="none"/>
                <w:rtl/>
              </w:rPr>
              <w:t>۱۴. ۳ مدل تورم کینزین</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456</w:t>
          </w:r>
        </w:p>
        <w:p w14:paraId="09357529"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59" w:history="1">
            <w:r w:rsidR="006E4C1C" w:rsidRPr="00274C8D">
              <w:rPr>
                <w:rStyle w:val="Hyperlink"/>
                <w:rFonts w:ascii="NPIZar" w:hAnsi="NPIZar" w:cs="B Nazanin"/>
                <w:b w:val="0"/>
                <w:bCs w:val="0"/>
                <w:color w:val="auto"/>
                <w:sz w:val="20"/>
                <w:szCs w:val="20"/>
                <w:u w:val="none"/>
                <w:rtl/>
              </w:rPr>
              <w:t>۱۴. ۴ مدل تورم کینزین جدید</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464</w:t>
          </w:r>
        </w:p>
        <w:p w14:paraId="62DC6415"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65" w:history="1">
            <w:r w:rsidR="006E4C1C" w:rsidRPr="00274C8D">
              <w:rPr>
                <w:rStyle w:val="Hyperlink"/>
                <w:rFonts w:ascii="NPIZar" w:hAnsi="NPIZar" w:cs="B Nazanin"/>
                <w:b w:val="0"/>
                <w:bCs w:val="0"/>
                <w:color w:val="auto"/>
                <w:sz w:val="20"/>
                <w:szCs w:val="20"/>
                <w:u w:val="none"/>
                <w:rtl/>
              </w:rPr>
              <w:t>۱۴. ۵ هدف‌‌گذاری تورم بهینه</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483</w:t>
          </w:r>
        </w:p>
        <w:p w14:paraId="3BF870B1"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71" w:history="1">
            <w:r w:rsidR="006E4C1C" w:rsidRPr="00274C8D">
              <w:rPr>
                <w:rStyle w:val="Hyperlink"/>
                <w:rFonts w:ascii="NPIZar" w:hAnsi="NPIZar" w:cs="B Nazanin"/>
                <w:b w:val="0"/>
                <w:bCs w:val="0"/>
                <w:color w:val="auto"/>
                <w:sz w:val="20"/>
                <w:szCs w:val="20"/>
                <w:u w:val="none"/>
                <w:rtl/>
              </w:rPr>
              <w:t>۱۴. ۶ سیاست پولی بهینه با استفاده از مدل کینزین جدید</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498</w:t>
          </w:r>
        </w:p>
        <w:p w14:paraId="450801D4"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72" w:history="1">
            <w:r w:rsidR="006E4C1C" w:rsidRPr="00274C8D">
              <w:rPr>
                <w:rStyle w:val="Hyperlink"/>
                <w:rFonts w:ascii="NPIZar" w:hAnsi="NPIZar" w:cs="B Nazanin"/>
                <w:b w:val="0"/>
                <w:bCs w:val="0"/>
                <w:color w:val="auto"/>
                <w:sz w:val="20"/>
                <w:szCs w:val="20"/>
                <w:u w:val="none"/>
                <w:rtl/>
              </w:rPr>
              <w:t>۱۴. ۷ سیاست پولی و مالی بهینه</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502</w:t>
          </w:r>
        </w:p>
        <w:p w14:paraId="5F3AFF73"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73" w:history="1">
            <w:r w:rsidR="006E4C1C" w:rsidRPr="00274C8D">
              <w:rPr>
                <w:rStyle w:val="Hyperlink"/>
                <w:rFonts w:ascii="NPIZar" w:hAnsi="NPIZar" w:cs="B Nazanin"/>
                <w:b w:val="0"/>
                <w:bCs w:val="0"/>
                <w:color w:val="auto"/>
                <w:sz w:val="20"/>
                <w:szCs w:val="20"/>
                <w:u w:val="none"/>
                <w:rtl/>
              </w:rPr>
              <w:t>۱۴. ۸ سیاست پولی در اتحادیه اروپا</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507</w:t>
          </w:r>
        </w:p>
        <w:p w14:paraId="7566CC05" w14:textId="77777777" w:rsidR="006E4C1C" w:rsidRPr="00274C8D" w:rsidRDefault="00E97D37" w:rsidP="006E4C1C">
          <w:pPr>
            <w:pStyle w:val="TOC1"/>
            <w:spacing w:before="0" w:line="180" w:lineRule="atLeast"/>
            <w:rPr>
              <w:rStyle w:val="Hyperlink"/>
              <w:rFonts w:ascii="NPIZar" w:hAnsi="NPIZar" w:cs="B Nazanin"/>
              <w:b w:val="0"/>
              <w:bCs w:val="0"/>
              <w:color w:val="auto"/>
              <w:sz w:val="20"/>
              <w:szCs w:val="20"/>
              <w:u w:val="none"/>
              <w:rtl/>
            </w:rPr>
          </w:pPr>
          <w:hyperlink w:anchor="_Toc8432676" w:history="1">
            <w:r w:rsidR="006E4C1C" w:rsidRPr="00274C8D">
              <w:rPr>
                <w:rStyle w:val="Hyperlink"/>
                <w:rFonts w:ascii="NPIZar" w:hAnsi="NPIZar" w:cs="B Nazanin"/>
                <w:b w:val="0"/>
                <w:bCs w:val="0"/>
                <w:color w:val="auto"/>
                <w:sz w:val="20"/>
                <w:szCs w:val="20"/>
                <w:u w:val="none"/>
                <w:rtl/>
              </w:rPr>
              <w:t>۱۴. ۹ نتیجه</w:t>
            </w:r>
            <w:r w:rsidR="006E4C1C" w:rsidRPr="00274C8D">
              <w:rPr>
                <w:rStyle w:val="Hyperlink"/>
                <w:rFonts w:ascii="NPIZar" w:hAnsi="NPIZar" w:cs="B Nazanin"/>
                <w:b w:val="0"/>
                <w:bCs w:val="0"/>
                <w:color w:val="auto"/>
                <w:sz w:val="20"/>
                <w:szCs w:val="20"/>
                <w:u w:val="none"/>
                <w:rtl/>
              </w:rPr>
              <w:softHyphen/>
              <w:t>گیری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512</w:t>
          </w:r>
        </w:p>
        <w:p w14:paraId="03ADD594" w14:textId="77777777" w:rsidR="006E4C1C" w:rsidRPr="00274C8D" w:rsidRDefault="006E4C1C" w:rsidP="006E4C1C">
          <w:pPr>
            <w:rPr>
              <w:rFonts w:ascii="NPIZar" w:eastAsiaTheme="minorEastAsia" w:hAnsi="NPIZar"/>
              <w:rtl/>
            </w:rPr>
          </w:pPr>
        </w:p>
        <w:p w14:paraId="3EE748B0" w14:textId="77777777" w:rsidR="006E4C1C" w:rsidRPr="00274C8D" w:rsidRDefault="006E4C1C" w:rsidP="006E4C1C">
          <w:pPr>
            <w:pStyle w:val="TOC1"/>
            <w:spacing w:before="0" w:line="180" w:lineRule="atLeast"/>
            <w:rPr>
              <w:rFonts w:ascii="NPIZar" w:hAnsi="NPIZar" w:cs="B Nazanin"/>
              <w:b w:val="0"/>
              <w:bCs w:val="0"/>
              <w:webHidden/>
              <w:sz w:val="20"/>
              <w:szCs w:val="20"/>
              <w:rtl/>
            </w:rPr>
          </w:pP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فصل پا</w:t>
          </w:r>
          <w:r>
            <w:rPr>
              <w:rFonts w:ascii="NPIZar" w:eastAsia="Yu Gothic UI" w:hAnsi="NPIZar" w:cs="B Nazanin" w:hint="cs"/>
              <w:sz w:val="20"/>
              <w:szCs w:val="20"/>
              <w:rtl/>
              <w14:glow w14:rad="0">
                <w14:srgbClr w14:val="000000">
                  <w14:alpha w14:val="91000"/>
                </w14:srgbClr>
              </w14:glow>
              <w14:shadow w14:blurRad="63500" w14:dist="0" w14:dir="0" w14:sx="1000" w14:sy="1000" w14:kx="0" w14:ky="0" w14:algn="ctr">
                <w14:srgbClr w14:val="000000">
                  <w14:alpha w14:val="16000"/>
                </w14:srgbClr>
              </w14:shadow>
            </w:rPr>
            <w:t>ن</w:t>
          </w: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 xml:space="preserve">زدهم: </w:t>
          </w:r>
          <w:r w:rsidRPr="00274C8D">
            <w:rPr>
              <w:rFonts w:ascii="NPIZar" w:eastAsia="Yu Gothic UI" w:hAnsi="NPIZar" w:cs="B Nazanin"/>
              <w:sz w:val="12"/>
              <w:szCs w:val="20"/>
              <w:rtl/>
              <w14:glow w14:rad="0">
                <w14:srgbClr w14:val="000000">
                  <w14:alpha w14:val="91000"/>
                </w14:srgbClr>
              </w14:glow>
              <w14:shadow w14:blurRad="63500" w14:dist="0" w14:dir="0" w14:sx="1000" w14:sy="1000" w14:kx="0" w14:ky="0" w14:algn="ctr">
                <w14:srgbClr w14:val="000000">
                  <w14:alpha w14:val="16000"/>
                </w14:srgbClr>
              </w14:shadow>
            </w:rPr>
            <w:t>بانک</w:t>
          </w:r>
          <w:r w:rsidRPr="00274C8D">
            <w:rPr>
              <w:rFonts w:ascii="NPIZar" w:eastAsia="Yu Gothic UI" w:hAnsi="NPIZar" w:cs="B Nazanin"/>
              <w:sz w:val="12"/>
              <w:szCs w:val="20"/>
              <w:rtl/>
              <w14:glow w14:rad="0">
                <w14:srgbClr w14:val="000000">
                  <w14:alpha w14:val="91000"/>
                </w14:srgbClr>
              </w14:glow>
              <w14:shadow w14:blurRad="63500" w14:dist="0" w14:dir="0" w14:sx="1000" w14:sy="1000" w14:kx="0" w14:ky="0" w14:algn="ctr">
                <w14:srgbClr w14:val="000000">
                  <w14:alpha w14:val="16000"/>
                </w14:srgbClr>
              </w14:shadow>
            </w:rPr>
            <w:softHyphen/>
            <w:t>ها، واسطه</w:t>
          </w:r>
          <w:r w:rsidRPr="00274C8D">
            <w:rPr>
              <w:rFonts w:ascii="NPIZar" w:eastAsia="Yu Gothic UI" w:hAnsi="NPIZar" w:cs="B Nazanin"/>
              <w:sz w:val="12"/>
              <w:szCs w:val="20"/>
              <w:rtl/>
              <w14:glow w14:rad="0">
                <w14:srgbClr w14:val="000000">
                  <w14:alpha w14:val="91000"/>
                </w14:srgbClr>
              </w14:glow>
              <w14:shadow w14:blurRad="63500" w14:dist="0" w14:dir="0" w14:sx="1000" w14:sy="1000" w14:kx="0" w14:ky="0" w14:algn="ctr">
                <w14:srgbClr w14:val="000000">
                  <w14:alpha w14:val="16000"/>
                </w14:srgbClr>
              </w14:shadow>
            </w:rPr>
            <w:softHyphen/>
            <w:t>گرهای مالی، و سیاست</w:t>
          </w:r>
          <w:r w:rsidRPr="00274C8D">
            <w:rPr>
              <w:rFonts w:ascii="NPIZar" w:eastAsia="Yu Gothic UI" w:hAnsi="NPIZar" w:cs="B Nazanin"/>
              <w:sz w:val="12"/>
              <w:szCs w:val="20"/>
              <w:rtl/>
              <w14:glow w14:rad="0">
                <w14:srgbClr w14:val="000000">
                  <w14:alpha w14:val="91000"/>
                </w14:srgbClr>
              </w14:glow>
              <w14:shadow w14:blurRad="63500" w14:dist="0" w14:dir="0" w14:sx="1000" w14:sy="1000" w14:kx="0" w14:ky="0" w14:algn="ctr">
                <w14:srgbClr w14:val="000000">
                  <w14:alpha w14:val="16000"/>
                </w14:srgbClr>
              </w14:shadow>
            </w:rPr>
            <w:softHyphen/>
            <w:t>های پولی غیرسنتی</w:t>
          </w:r>
          <w:r w:rsidRPr="00274C8D">
            <w:rPr>
              <w:rFonts w:ascii="NPIZar" w:hAnsi="NPIZar" w:cs="B Nazanin"/>
              <w:b w:val="0"/>
              <w:bCs w:val="0"/>
              <w:sz w:val="20"/>
              <w:szCs w:val="20"/>
            </w:rPr>
            <w:t xml:space="preserve"> </w:t>
          </w:r>
        </w:p>
        <w:p w14:paraId="49DC4B13"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77" w:history="1">
            <w:r w:rsidR="006E4C1C" w:rsidRPr="00274C8D">
              <w:rPr>
                <w:rStyle w:val="Hyperlink"/>
                <w:rFonts w:ascii="NPIZar" w:hAnsi="NPIZar" w:cs="B Nazanin"/>
                <w:b w:val="0"/>
                <w:bCs w:val="0"/>
                <w:color w:val="auto"/>
                <w:sz w:val="20"/>
                <w:szCs w:val="20"/>
                <w:u w:val="none"/>
                <w:rtl/>
              </w:rPr>
              <w:t>۱۵. ۱ مقدمه</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515</w:t>
          </w:r>
        </w:p>
        <w:p w14:paraId="2338E827"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78" w:history="1">
            <w:r w:rsidR="006E4C1C" w:rsidRPr="00274C8D">
              <w:rPr>
                <w:rStyle w:val="Hyperlink"/>
                <w:rFonts w:ascii="NPIZar" w:hAnsi="NPIZar" w:cs="B Nazanin"/>
                <w:b w:val="0"/>
                <w:bCs w:val="0"/>
                <w:color w:val="auto"/>
                <w:sz w:val="20"/>
                <w:szCs w:val="20"/>
                <w:u w:val="none"/>
                <w:rtl/>
              </w:rPr>
              <w:t>۲.۱۵ درس‌هایی از بحران مالی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516</w:t>
          </w:r>
        </w:p>
        <w:p w14:paraId="592EE83F"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79" w:history="1">
            <w:r w:rsidR="006E4C1C" w:rsidRPr="00274C8D">
              <w:rPr>
                <w:rStyle w:val="Hyperlink"/>
                <w:rFonts w:ascii="NPIZar" w:hAnsi="NPIZar" w:cs="B Nazanin"/>
                <w:b w:val="0"/>
                <w:bCs w:val="0"/>
                <w:color w:val="auto"/>
                <w:sz w:val="20"/>
                <w:szCs w:val="20"/>
                <w:u w:val="none"/>
                <w:rtl/>
              </w:rPr>
              <w:t>۱۵. ۳ نقایص بازار مالی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518</w:t>
          </w:r>
        </w:p>
        <w:p w14:paraId="7790AF0C" w14:textId="77777777" w:rsidR="006E4C1C" w:rsidRPr="00274C8D" w:rsidRDefault="006E4C1C" w:rsidP="006E4C1C">
          <w:pPr>
            <w:pStyle w:val="TOC1"/>
            <w:spacing w:before="0" w:line="180" w:lineRule="atLeast"/>
            <w:rPr>
              <w:rStyle w:val="Hyperlink"/>
              <w:rFonts w:ascii="NPIZar" w:hAnsi="NPIZar" w:cs="B Nazanin"/>
              <w:b w:val="0"/>
              <w:bCs w:val="0"/>
              <w:color w:val="auto"/>
              <w:sz w:val="20"/>
              <w:szCs w:val="20"/>
              <w:u w:val="none"/>
              <w:rtl/>
            </w:rPr>
          </w:pPr>
          <w:r w:rsidRPr="00274C8D">
            <w:rPr>
              <w:rFonts w:ascii="NPIZar" w:hAnsi="NPIZar" w:cs="B Nazanin"/>
              <w:b w:val="0"/>
              <w:bCs w:val="0"/>
              <w:sz w:val="24"/>
              <w:szCs w:val="24"/>
              <w:lang w:eastAsia="en-GB"/>
            </w:rPr>
            <w:t> </w:t>
          </w:r>
          <w:r w:rsidRPr="00274C8D">
            <w:rPr>
              <w:rFonts w:ascii="NPIZar" w:hAnsi="NPIZar" w:cs="B Nazanin"/>
              <w:b w:val="0"/>
              <w:bCs w:val="0"/>
              <w:sz w:val="20"/>
              <w:szCs w:val="20"/>
              <w:rtl/>
              <w:lang w:eastAsia="en-GB"/>
            </w:rPr>
            <w:t>۱۵. ۴ بانکداری مدرن: تاریخچه</w:t>
          </w:r>
          <w:r w:rsidRPr="00274C8D">
            <w:rPr>
              <w:rFonts w:ascii="NPIZar" w:hAnsi="NPIZar" w:cs="B Nazanin"/>
              <w:b w:val="0"/>
              <w:bCs w:val="0"/>
              <w:sz w:val="20"/>
              <w:szCs w:val="20"/>
              <w:rtl/>
              <w:lang w:eastAsia="en-GB"/>
            </w:rPr>
            <w:softHyphen/>
            <w:t>ای مختصر و نقش آن در بحران</w:t>
          </w:r>
          <w:r w:rsidRPr="00274C8D">
            <w:rPr>
              <w:rFonts w:ascii="NPIZar" w:hAnsi="NPIZar" w:cs="B Nazanin"/>
              <w:b w:val="0"/>
              <w:bCs w:val="0"/>
              <w:sz w:val="20"/>
              <w:szCs w:val="20"/>
              <w:rtl/>
              <w:lang w:eastAsia="en-GB"/>
            </w:rPr>
            <w:softHyphen/>
            <w:t>های مالی</w:t>
          </w:r>
          <w:hyperlink w:anchor="_Toc8432681" w:history="1">
            <w:r w:rsidRPr="00274C8D">
              <w:rPr>
                <w:rFonts w:ascii="NPIZar" w:hAnsi="NPIZar" w:cs="B Nazanin"/>
                <w:b w:val="0"/>
                <w:bCs w:val="0"/>
                <w:webHidden/>
                <w:sz w:val="20"/>
                <w:szCs w:val="20"/>
                <w:rtl/>
              </w:rPr>
              <w:tab/>
            </w:r>
          </w:hyperlink>
          <w:r>
            <w:rPr>
              <w:rFonts w:ascii="NPIZar" w:hAnsi="NPIZar" w:cs="B Nazanin" w:hint="cs"/>
              <w:b w:val="0"/>
              <w:bCs w:val="0"/>
              <w:sz w:val="20"/>
              <w:szCs w:val="20"/>
              <w:rtl/>
            </w:rPr>
            <w:t>526</w:t>
          </w:r>
        </w:p>
        <w:p w14:paraId="04984A5C" w14:textId="77777777" w:rsidR="006E4C1C" w:rsidRPr="00274C8D" w:rsidRDefault="006E4C1C" w:rsidP="006E4C1C">
          <w:pPr>
            <w:pStyle w:val="TOC1"/>
            <w:spacing w:before="0" w:line="180" w:lineRule="atLeast"/>
            <w:rPr>
              <w:rFonts w:ascii="NPIZar" w:eastAsiaTheme="minorEastAsia" w:hAnsi="NPIZar" w:cs="B Nazanin"/>
              <w:b w:val="0"/>
              <w:bCs w:val="0"/>
              <w:smallCaps w:val="0"/>
              <w:sz w:val="20"/>
              <w:szCs w:val="20"/>
              <w:rtl/>
              <w:lang w:bidi="ar-SA"/>
            </w:rPr>
          </w:pPr>
          <w:r w:rsidRPr="00274C8D">
            <w:rPr>
              <w:rFonts w:ascii="NPIZar" w:hAnsi="NPIZar" w:cs="B Nazanin"/>
              <w:b w:val="0"/>
              <w:bCs w:val="0"/>
              <w:sz w:val="20"/>
              <w:szCs w:val="20"/>
              <w:rtl/>
              <w:lang w:eastAsia="en-GB"/>
            </w:rPr>
            <w:t>۱۵. ۵ بانکداری بر اساس درصدی از ذخایر</w:t>
          </w:r>
          <w:hyperlink w:anchor="_Toc8432681" w:history="1">
            <w:r w:rsidRPr="00274C8D">
              <w:rPr>
                <w:rFonts w:ascii="NPIZar" w:hAnsi="NPIZar" w:cs="B Nazanin"/>
                <w:b w:val="0"/>
                <w:bCs w:val="0"/>
                <w:webHidden/>
                <w:sz w:val="20"/>
                <w:szCs w:val="20"/>
                <w:rtl/>
              </w:rPr>
              <w:tab/>
            </w:r>
          </w:hyperlink>
          <w:r>
            <w:rPr>
              <w:rStyle w:val="Hyperlink"/>
              <w:rFonts w:ascii="NPIZar" w:hAnsi="NPIZar" w:cs="B Nazanin" w:hint="cs"/>
              <w:b w:val="0"/>
              <w:bCs w:val="0"/>
              <w:color w:val="auto"/>
              <w:sz w:val="20"/>
              <w:szCs w:val="20"/>
              <w:u w:val="none"/>
              <w:rtl/>
            </w:rPr>
            <w:t>530</w:t>
          </w:r>
        </w:p>
        <w:p w14:paraId="61696D95" w14:textId="77777777" w:rsidR="006E4C1C" w:rsidRPr="00274C8D" w:rsidRDefault="006E4C1C" w:rsidP="006E4C1C">
          <w:pPr>
            <w:pStyle w:val="TOC1"/>
            <w:spacing w:before="0" w:line="180" w:lineRule="atLeast"/>
            <w:rPr>
              <w:rFonts w:ascii="NPIZar" w:eastAsiaTheme="minorEastAsia" w:hAnsi="NPIZar" w:cs="B Nazanin"/>
              <w:b w:val="0"/>
              <w:bCs w:val="0"/>
              <w:smallCaps w:val="0"/>
              <w:sz w:val="20"/>
              <w:szCs w:val="20"/>
              <w:rtl/>
              <w:lang w:bidi="ar-SA"/>
            </w:rPr>
          </w:pPr>
          <w:r w:rsidRPr="00274C8D">
            <w:rPr>
              <w:rFonts w:ascii="NPIZar" w:hAnsi="NPIZar" w:cs="B Nazanin"/>
              <w:b w:val="0"/>
              <w:bCs w:val="0"/>
              <w:sz w:val="20"/>
              <w:szCs w:val="20"/>
              <w:rtl/>
              <w:lang w:eastAsia="en-GB"/>
            </w:rPr>
            <w:t>۱۵. ۶ نظریه‌ی هجوم به بانک‌ها</w:t>
          </w:r>
          <w:hyperlink w:anchor="_Toc8432679" w:history="1">
            <w:r w:rsidRPr="00274C8D">
              <w:rPr>
                <w:rFonts w:ascii="NPIZar" w:hAnsi="NPIZar" w:cs="B Nazanin"/>
                <w:b w:val="0"/>
                <w:bCs w:val="0"/>
                <w:webHidden/>
                <w:sz w:val="20"/>
                <w:szCs w:val="20"/>
                <w:rtl/>
              </w:rPr>
              <w:tab/>
            </w:r>
          </w:hyperlink>
          <w:r>
            <w:rPr>
              <w:rFonts w:ascii="NPIZar" w:hAnsi="NPIZar" w:cs="B Nazanin" w:hint="cs"/>
              <w:b w:val="0"/>
              <w:bCs w:val="0"/>
              <w:sz w:val="20"/>
              <w:szCs w:val="20"/>
              <w:rtl/>
            </w:rPr>
            <w:t>531</w:t>
          </w:r>
        </w:p>
        <w:p w14:paraId="249DD5E1"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86" w:history="1">
            <w:r w:rsidR="006E4C1C" w:rsidRPr="00274C8D">
              <w:rPr>
                <w:rStyle w:val="Hyperlink"/>
                <w:rFonts w:ascii="NPIZar" w:hAnsi="NPIZar" w:cs="B Nazanin"/>
                <w:b w:val="0"/>
                <w:bCs w:val="0"/>
                <w:color w:val="auto"/>
                <w:sz w:val="20"/>
                <w:szCs w:val="20"/>
                <w:u w:val="none"/>
                <w:rtl/>
                <w:lang w:eastAsia="en-GB"/>
              </w:rPr>
              <w:t>۱۵. ۷ یک نظریه</w:t>
            </w:r>
            <w:r w:rsidR="006E4C1C" w:rsidRPr="00274C8D">
              <w:rPr>
                <w:rStyle w:val="Hyperlink"/>
                <w:rFonts w:ascii="NPIZar" w:hAnsi="NPIZar" w:cs="B Nazanin"/>
                <w:b w:val="0"/>
                <w:bCs w:val="0"/>
                <w:color w:val="auto"/>
                <w:sz w:val="20"/>
                <w:szCs w:val="20"/>
                <w:u w:val="none"/>
                <w:rtl/>
                <w:lang w:eastAsia="en-GB"/>
              </w:rPr>
              <w:softHyphen/>
              <w:t>ی سیاست پولی غیرسنتی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540</w:t>
          </w:r>
        </w:p>
        <w:p w14:paraId="5622F007" w14:textId="77777777" w:rsidR="006E4C1C" w:rsidRDefault="00E97D37" w:rsidP="006E4C1C">
          <w:pPr>
            <w:pStyle w:val="TOC1"/>
            <w:spacing w:before="0" w:line="180" w:lineRule="atLeast"/>
            <w:rPr>
              <w:rFonts w:ascii="NPIZar" w:hAnsi="NPIZar" w:cs="B Nazanin"/>
              <w:b w:val="0"/>
              <w:bCs w:val="0"/>
              <w:sz w:val="20"/>
              <w:szCs w:val="20"/>
              <w:rtl/>
            </w:rPr>
          </w:pPr>
          <w:hyperlink w:anchor="_Toc8432691" w:history="1">
            <w:r w:rsidR="006E4C1C" w:rsidRPr="00274C8D">
              <w:rPr>
                <w:rStyle w:val="Hyperlink"/>
                <w:rFonts w:ascii="NPIZar" w:hAnsi="NPIZar" w:cs="B Nazanin"/>
                <w:b w:val="0"/>
                <w:bCs w:val="0"/>
                <w:color w:val="auto"/>
                <w:sz w:val="20"/>
                <w:szCs w:val="20"/>
                <w:u w:val="none"/>
                <w:rtl/>
                <w:lang w:eastAsia="en-GB"/>
              </w:rPr>
              <w:t xml:space="preserve">۱۵. ۸ یک مدل </w:t>
            </w:r>
            <w:r w:rsidR="006E4C1C" w:rsidRPr="00274C8D">
              <w:rPr>
                <w:rStyle w:val="Hyperlink"/>
                <w:rFonts w:ascii="NPIZar" w:hAnsi="NPIZar" w:cs="B Nazanin"/>
                <w:b w:val="0"/>
                <w:bCs w:val="0"/>
                <w:color w:val="auto"/>
                <w:szCs w:val="18"/>
                <w:u w:val="none"/>
                <w:lang w:eastAsia="en-GB"/>
              </w:rPr>
              <w:t>DSGE</w:t>
            </w:r>
            <w:r w:rsidR="006E4C1C" w:rsidRPr="00274C8D">
              <w:rPr>
                <w:rStyle w:val="Hyperlink"/>
                <w:rFonts w:ascii="NPIZar" w:hAnsi="NPIZar" w:cs="B Nazanin"/>
                <w:b w:val="0"/>
                <w:bCs w:val="0"/>
                <w:color w:val="auto"/>
                <w:szCs w:val="18"/>
                <w:u w:val="none"/>
                <w:rtl/>
                <w:lang w:eastAsia="en-GB"/>
              </w:rPr>
              <w:t xml:space="preserve"> </w:t>
            </w:r>
            <w:r w:rsidR="006E4C1C" w:rsidRPr="00274C8D">
              <w:rPr>
                <w:rStyle w:val="Hyperlink"/>
                <w:rFonts w:ascii="NPIZar" w:hAnsi="NPIZar" w:cs="B Nazanin"/>
                <w:b w:val="0"/>
                <w:bCs w:val="0"/>
                <w:color w:val="auto"/>
                <w:sz w:val="20"/>
                <w:szCs w:val="20"/>
                <w:u w:val="none"/>
                <w:rtl/>
                <w:lang w:eastAsia="en-GB"/>
              </w:rPr>
              <w:t>با قصور</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545</w:t>
          </w:r>
        </w:p>
        <w:p w14:paraId="155F2DD6" w14:textId="77777777" w:rsidR="006E4C1C" w:rsidRPr="00274C8D" w:rsidRDefault="00E97D37" w:rsidP="006E4C1C">
          <w:pPr>
            <w:pStyle w:val="TOC1"/>
            <w:spacing w:before="0" w:line="180" w:lineRule="atLeast"/>
            <w:rPr>
              <w:rStyle w:val="Hyperlink"/>
              <w:rFonts w:ascii="NPIZar" w:hAnsi="NPIZar" w:cs="B Nazanin"/>
              <w:b w:val="0"/>
              <w:bCs w:val="0"/>
              <w:color w:val="auto"/>
              <w:sz w:val="20"/>
              <w:szCs w:val="20"/>
              <w:u w:val="none"/>
              <w:rtl/>
            </w:rPr>
          </w:pPr>
          <w:hyperlink w:anchor="_Toc8432676" w:history="1">
            <w:r w:rsidR="006E4C1C">
              <w:rPr>
                <w:rStyle w:val="Hyperlink"/>
                <w:rFonts w:ascii="NPIZar" w:hAnsi="NPIZar" w:cs="B Nazanin" w:hint="cs"/>
                <w:b w:val="0"/>
                <w:bCs w:val="0"/>
                <w:color w:val="auto"/>
                <w:sz w:val="20"/>
                <w:szCs w:val="20"/>
                <w:u w:val="none"/>
                <w:rtl/>
              </w:rPr>
              <w:t>15</w:t>
            </w:r>
            <w:r w:rsidR="006E4C1C" w:rsidRPr="00274C8D">
              <w:rPr>
                <w:rStyle w:val="Hyperlink"/>
                <w:rFonts w:ascii="NPIZar" w:hAnsi="NPIZar" w:cs="B Nazanin"/>
                <w:b w:val="0"/>
                <w:bCs w:val="0"/>
                <w:color w:val="auto"/>
                <w:sz w:val="20"/>
                <w:szCs w:val="20"/>
                <w:u w:val="none"/>
                <w:rtl/>
              </w:rPr>
              <w:t>. ۹ نتیجه</w:t>
            </w:r>
            <w:r w:rsidR="006E4C1C" w:rsidRPr="00274C8D">
              <w:rPr>
                <w:rStyle w:val="Hyperlink"/>
                <w:rFonts w:ascii="NPIZar" w:hAnsi="NPIZar" w:cs="B Nazanin"/>
                <w:b w:val="0"/>
                <w:bCs w:val="0"/>
                <w:color w:val="auto"/>
                <w:sz w:val="20"/>
                <w:szCs w:val="20"/>
                <w:u w:val="none"/>
                <w:rtl/>
              </w:rPr>
              <w:softHyphen/>
              <w:t>گیری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553</w:t>
          </w:r>
        </w:p>
        <w:p w14:paraId="7F6E36CA" w14:textId="77777777" w:rsidR="006E4C1C" w:rsidRPr="00274C8D" w:rsidRDefault="006E4C1C" w:rsidP="006E4C1C">
          <w:pPr>
            <w:tabs>
              <w:tab w:val="left" w:pos="2220"/>
            </w:tabs>
            <w:rPr>
              <w:rFonts w:ascii="NPIZar" w:eastAsiaTheme="minorEastAsia" w:hAnsi="NPIZar"/>
              <w:rtl/>
            </w:rPr>
          </w:pPr>
          <w:r>
            <w:rPr>
              <w:rFonts w:ascii="NPIZar" w:eastAsiaTheme="minorEastAsia" w:hAnsi="NPIZar"/>
              <w:rtl/>
            </w:rPr>
            <w:tab/>
          </w:r>
        </w:p>
        <w:p w14:paraId="4238F199" w14:textId="77777777" w:rsidR="006E4C1C" w:rsidRPr="00274C8D" w:rsidRDefault="006E4C1C" w:rsidP="006E4C1C">
          <w:pPr>
            <w:pStyle w:val="TOC1"/>
            <w:spacing w:before="0" w:line="180" w:lineRule="atLeast"/>
            <w:rPr>
              <w:rFonts w:ascii="NPIZar" w:hAnsi="NPIZar" w:cs="B Nazanin"/>
              <w:b w:val="0"/>
              <w:bCs w:val="0"/>
              <w:webHidden/>
              <w:sz w:val="20"/>
              <w:szCs w:val="20"/>
              <w:rtl/>
            </w:rPr>
          </w:pP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فصل شانزدهم: چرخه</w:t>
          </w: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softHyphen/>
            <w:t>های تجاری حقیقی، مدل</w:t>
          </w: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softHyphen/>
            <w:t xml:space="preserve">های </w:t>
          </w:r>
          <w:r w:rsidRPr="00274C8D">
            <w:rPr>
              <w:rFonts w:ascii="NPIZar" w:eastAsia="Yu Gothic UI" w:hAnsi="NPIZar" w:cs="B Nazanin"/>
              <w:szCs w:val="18"/>
              <w14:glow w14:rad="0">
                <w14:srgbClr w14:val="000000">
                  <w14:alpha w14:val="91000"/>
                </w14:srgbClr>
              </w14:glow>
              <w14:shadow w14:blurRad="63500" w14:dist="0" w14:dir="0" w14:sx="1000" w14:sy="1000" w14:kx="0" w14:ky="0" w14:algn="ctr">
                <w14:srgbClr w14:val="000000">
                  <w14:alpha w14:val="16000"/>
                </w14:srgbClr>
              </w14:shadow>
            </w:rPr>
            <w:t>DSGE</w:t>
          </w:r>
          <w:r w:rsidRPr="00274C8D">
            <w:rPr>
              <w:rFonts w:ascii="NPIZar" w:hAnsi="NPIZar" w:cs="B Nazanin"/>
              <w:b w:val="0"/>
              <w:bCs w:val="0"/>
              <w:szCs w:val="18"/>
            </w:rPr>
            <w:t xml:space="preserve"> </w:t>
          </w:r>
          <w:r w:rsidRPr="00274C8D">
            <w:rPr>
              <w:rFonts w:ascii="NPIZar" w:hAnsi="NPIZar" w:cs="B Nazanin"/>
              <w:b w:val="0"/>
              <w:bCs w:val="0"/>
              <w:szCs w:val="18"/>
              <w:rtl/>
            </w:rPr>
            <w:t xml:space="preserve"> </w:t>
          </w:r>
          <w:r w:rsidRPr="00274C8D">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و نوسانات اقتصادی</w:t>
          </w:r>
        </w:p>
        <w:p w14:paraId="1D994B22" w14:textId="77777777" w:rsidR="006E4C1C" w:rsidRPr="00274C8D" w:rsidRDefault="00E97D37" w:rsidP="006E4C1C">
          <w:pPr>
            <w:pStyle w:val="TOC2"/>
            <w:spacing w:line="180" w:lineRule="atLeast"/>
            <w:rPr>
              <w:rFonts w:ascii="NPIZar" w:hAnsi="NPIZar" w:cs="B Nazanin"/>
              <w:sz w:val="20"/>
              <w:szCs w:val="20"/>
              <w:rtl/>
            </w:rPr>
          </w:pPr>
          <w:hyperlink w:anchor="_Toc8432696" w:history="1">
            <w:r w:rsidR="006E4C1C" w:rsidRPr="00274C8D">
              <w:rPr>
                <w:rStyle w:val="Hyperlink"/>
                <w:rFonts w:ascii="NPIZar" w:hAnsi="NPIZar" w:cs="B Nazanin"/>
                <w:color w:val="auto"/>
                <w:sz w:val="20"/>
                <w:szCs w:val="20"/>
                <w:u w:val="none"/>
                <w:rtl/>
              </w:rPr>
              <w:t>۱۶. ۱ مقدمه</w:t>
            </w:r>
            <w:r w:rsidR="006E4C1C" w:rsidRPr="00274C8D">
              <w:rPr>
                <w:rFonts w:ascii="NPIZar" w:hAnsi="NPIZar" w:cs="B Nazanin"/>
                <w:webHidden/>
                <w:sz w:val="20"/>
                <w:szCs w:val="20"/>
                <w:rtl/>
              </w:rPr>
              <w:tab/>
            </w:r>
          </w:hyperlink>
          <w:r w:rsidR="006E4C1C">
            <w:rPr>
              <w:rFonts w:ascii="NPIZar" w:hAnsi="NPIZar" w:cs="B Nazanin" w:hint="cs"/>
              <w:sz w:val="20"/>
              <w:szCs w:val="20"/>
              <w:rtl/>
            </w:rPr>
            <w:t>555</w:t>
          </w:r>
        </w:p>
        <w:p w14:paraId="1CE414F2"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97" w:history="1">
            <w:r w:rsidR="006E4C1C" w:rsidRPr="00274C8D">
              <w:rPr>
                <w:rStyle w:val="Hyperlink"/>
                <w:rFonts w:ascii="NPIZar" w:hAnsi="NPIZar" w:cs="B Nazanin"/>
                <w:b w:val="0"/>
                <w:bCs w:val="0"/>
                <w:color w:val="auto"/>
                <w:sz w:val="20"/>
                <w:szCs w:val="20"/>
                <w:u w:val="none"/>
                <w:rtl/>
              </w:rPr>
              <w:t>۱۶. ۲ روش</w:t>
            </w:r>
            <w:r w:rsidR="006E4C1C" w:rsidRPr="00274C8D">
              <w:rPr>
                <w:rStyle w:val="Hyperlink"/>
                <w:rFonts w:ascii="NPIZar" w:hAnsi="NPIZar" w:cs="B Nazanin"/>
                <w:b w:val="0"/>
                <w:bCs w:val="0"/>
                <w:color w:val="auto"/>
                <w:sz w:val="20"/>
                <w:szCs w:val="20"/>
                <w:u w:val="none"/>
                <w:rtl/>
              </w:rPr>
              <w:softHyphen/>
              <w:t>شناسی تجزیه و تحلیل چرخه‌های تجاری حقیقی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556</w:t>
          </w:r>
        </w:p>
        <w:p w14:paraId="7504473A" w14:textId="77777777" w:rsidR="006E4C1C" w:rsidRPr="00274C8D" w:rsidRDefault="00E97D37" w:rsidP="006E4C1C">
          <w:pPr>
            <w:pStyle w:val="TOC1"/>
            <w:spacing w:before="0" w:line="180" w:lineRule="atLeast"/>
            <w:rPr>
              <w:rFonts w:ascii="NPIZar" w:eastAsiaTheme="minorEastAsia" w:hAnsi="NPIZar" w:cs="B Nazanin"/>
              <w:b w:val="0"/>
              <w:bCs w:val="0"/>
              <w:smallCaps w:val="0"/>
              <w:sz w:val="20"/>
              <w:szCs w:val="20"/>
              <w:rtl/>
              <w:lang w:bidi="ar-SA"/>
            </w:rPr>
          </w:pPr>
          <w:hyperlink w:anchor="_Toc8432698" w:history="1">
            <w:r w:rsidR="006E4C1C" w:rsidRPr="00274C8D">
              <w:rPr>
                <w:rStyle w:val="Hyperlink"/>
                <w:rFonts w:ascii="NPIZar" w:hAnsi="NPIZar" w:cs="B Nazanin"/>
                <w:b w:val="0"/>
                <w:bCs w:val="0"/>
                <w:color w:val="auto"/>
                <w:sz w:val="20"/>
                <w:szCs w:val="20"/>
                <w:u w:val="none"/>
                <w:rtl/>
              </w:rPr>
              <w:t>۱۶. ۳ روش‌های تجربی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563</w:t>
          </w:r>
        </w:p>
        <w:p w14:paraId="402D6891" w14:textId="77777777" w:rsidR="006E4C1C" w:rsidRDefault="00E97D37" w:rsidP="006E4C1C">
          <w:pPr>
            <w:pStyle w:val="TOC1"/>
            <w:spacing w:before="0" w:line="180" w:lineRule="atLeast"/>
            <w:rPr>
              <w:rFonts w:ascii="NPIZar" w:hAnsi="NPIZar" w:cs="B Nazanin"/>
              <w:b w:val="0"/>
              <w:bCs w:val="0"/>
              <w:sz w:val="20"/>
              <w:szCs w:val="20"/>
              <w:rtl/>
            </w:rPr>
          </w:pPr>
          <w:hyperlink w:anchor="_Toc8432699" w:history="1">
            <w:r w:rsidR="006E4C1C" w:rsidRPr="00274C8D">
              <w:rPr>
                <w:rStyle w:val="Hyperlink"/>
                <w:rFonts w:ascii="NPIZar" w:hAnsi="NPIZar" w:cs="B Nazanin"/>
                <w:b w:val="0"/>
                <w:bCs w:val="0"/>
                <w:color w:val="auto"/>
                <w:sz w:val="20"/>
                <w:szCs w:val="20"/>
                <w:u w:val="none"/>
                <w:rtl/>
              </w:rPr>
              <w:t>۱۶. ۴ مدل‌های تعادل عمومی‌پویا برای اقتصاد پولی</w:t>
            </w:r>
            <w:r w:rsidR="006E4C1C" w:rsidRPr="00274C8D">
              <w:rPr>
                <w:rFonts w:ascii="NPIZar" w:hAnsi="NPIZar" w:cs="B Nazanin"/>
                <w:b w:val="0"/>
                <w:bCs w:val="0"/>
                <w:webHidden/>
                <w:sz w:val="20"/>
                <w:szCs w:val="20"/>
                <w:rtl/>
              </w:rPr>
              <w:tab/>
            </w:r>
          </w:hyperlink>
          <w:r w:rsidR="006E4C1C">
            <w:rPr>
              <w:rFonts w:ascii="NPIZar" w:hAnsi="NPIZar" w:cs="B Nazanin" w:hint="cs"/>
              <w:b w:val="0"/>
              <w:bCs w:val="0"/>
              <w:sz w:val="20"/>
              <w:szCs w:val="20"/>
              <w:rtl/>
            </w:rPr>
            <w:t>574</w:t>
          </w:r>
        </w:p>
        <w:p w14:paraId="29115D1E" w14:textId="77777777" w:rsidR="006E4C1C" w:rsidRPr="00250148" w:rsidRDefault="006E4C1C" w:rsidP="006E4C1C">
          <w:pPr>
            <w:rPr>
              <w:rFonts w:eastAsiaTheme="minorEastAsia"/>
              <w:rtl/>
            </w:rPr>
          </w:pPr>
        </w:p>
        <w:p w14:paraId="1A2E0498" w14:textId="77777777" w:rsidR="006E4C1C" w:rsidRDefault="006E4C1C" w:rsidP="006E4C1C">
          <w:pPr>
            <w:pStyle w:val="TOC1"/>
            <w:spacing w:before="0" w:line="180" w:lineRule="atLeast"/>
            <w:rPr>
              <w:rFonts w:cs="B Nazanin"/>
              <w:b w:val="0"/>
              <w:bCs w:val="0"/>
              <w:sz w:val="20"/>
              <w:szCs w:val="20"/>
              <w:rtl/>
            </w:rPr>
          </w:pPr>
          <w:r w:rsidRPr="00274C8D">
            <w:rPr>
              <w:rFonts w:ascii="NPIZar" w:hAnsi="NPIZar" w:cs="B Nazanin"/>
              <w:b w:val="0"/>
              <w:bCs w:val="0"/>
              <w:sz w:val="20"/>
              <w:szCs w:val="20"/>
            </w:rPr>
            <w:fldChar w:fldCharType="end"/>
          </w:r>
          <w:r w:rsidRPr="0025444C">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 xml:space="preserve"> </w:t>
          </w:r>
          <w:r w:rsidRPr="00CB3311">
            <w:rPr>
              <w:rFonts w:ascii="NPIZar" w:eastAsia="Yu Gothic UI" w:hAnsi="NPIZar" w:cs="B Nazanin"/>
              <w:sz w:val="20"/>
              <w:szCs w:val="20"/>
              <w:rtl/>
              <w14:glow w14:rad="0">
                <w14:srgbClr w14:val="000000">
                  <w14:alpha w14:val="91000"/>
                </w14:srgbClr>
              </w14:glow>
              <w14:shadow w14:blurRad="63500" w14:dist="0" w14:dir="0" w14:sx="1000" w14:sy="1000" w14:kx="0" w14:ky="0" w14:algn="ctr">
                <w14:srgbClr w14:val="000000">
                  <w14:alpha w14:val="16000"/>
                </w14:srgbClr>
              </w14:shadow>
            </w:rPr>
            <w:t>ف</w:t>
          </w:r>
          <w:r>
            <w:rPr>
              <w:rFonts w:ascii="NPIZar" w:eastAsia="Yu Gothic UI" w:hAnsi="NPIZar" w:cs="B Nazanin" w:hint="cs"/>
              <w:sz w:val="20"/>
              <w:szCs w:val="20"/>
              <w:rtl/>
              <w14:glow w14:rad="0">
                <w14:srgbClr w14:val="000000">
                  <w14:alpha w14:val="91000"/>
                </w14:srgbClr>
              </w14:glow>
              <w14:shadow w14:blurRad="63500" w14:dist="0" w14:dir="0" w14:sx="1000" w14:sy="1000" w14:kx="0" w14:ky="0" w14:algn="ctr">
                <w14:srgbClr w14:val="000000">
                  <w14:alpha w14:val="16000"/>
                </w14:srgbClr>
              </w14:shadow>
            </w:rPr>
            <w:t>هرست منابع</w:t>
          </w:r>
          <w:r w:rsidRPr="00CB3311">
            <w:rPr>
              <w:rFonts w:ascii="NPIZar" w:hAnsi="NPIZar" w:cs="B Nazanin"/>
              <w:b w:val="0"/>
              <w:bCs w:val="0"/>
              <w:webHidden/>
              <w:sz w:val="20"/>
              <w:szCs w:val="20"/>
              <w:rtl/>
            </w:rPr>
            <w:tab/>
          </w:r>
          <w:r>
            <w:rPr>
              <w:rFonts w:ascii="NPIZar" w:hAnsi="NPIZar" w:cs="B Nazanin" w:hint="cs"/>
              <w:b w:val="0"/>
              <w:bCs w:val="0"/>
              <w:webHidden/>
              <w:sz w:val="20"/>
              <w:szCs w:val="20"/>
              <w:rtl/>
            </w:rPr>
            <w:t>583</w:t>
          </w:r>
        </w:p>
      </w:sdtContent>
    </w:sdt>
    <w:p w14:paraId="7272F3A3" w14:textId="77777777" w:rsidR="006E4C1C" w:rsidRDefault="006E4C1C" w:rsidP="006E4C1C">
      <w:pPr>
        <w:rPr>
          <w:rtl/>
        </w:rPr>
      </w:pPr>
      <w:r>
        <w:rPr>
          <w:rtl/>
        </w:rPr>
        <w:br w:type="page"/>
      </w:r>
    </w:p>
    <w:p w14:paraId="27CAD2E2" w14:textId="77777777" w:rsidR="00E453D9" w:rsidRDefault="00E453D9" w:rsidP="00656484">
      <w:pPr>
        <w:spacing w:line="216" w:lineRule="auto"/>
        <w:rPr>
          <w:b/>
          <w:bCs/>
          <w:sz w:val="28"/>
          <w:szCs w:val="28"/>
          <w:rtl/>
        </w:rPr>
      </w:pPr>
    </w:p>
    <w:p w14:paraId="09745DD2" w14:textId="77777777" w:rsidR="006E4C1C" w:rsidRDefault="006E4C1C" w:rsidP="00656484">
      <w:pPr>
        <w:spacing w:line="216" w:lineRule="auto"/>
        <w:rPr>
          <w:b/>
          <w:bCs/>
          <w:sz w:val="28"/>
          <w:szCs w:val="28"/>
          <w:rtl/>
        </w:rPr>
      </w:pPr>
    </w:p>
    <w:p w14:paraId="54EF6721" w14:textId="12D17B50" w:rsidR="00912CC7" w:rsidRPr="00D81AB1" w:rsidRDefault="002A18E3" w:rsidP="00656484">
      <w:pPr>
        <w:spacing w:line="216" w:lineRule="auto"/>
        <w:rPr>
          <w:b/>
          <w:bCs/>
          <w:sz w:val="28"/>
          <w:szCs w:val="28"/>
          <w:rtl/>
        </w:rPr>
      </w:pPr>
      <w:r w:rsidRPr="00D81AB1">
        <w:rPr>
          <w:rFonts w:hint="cs"/>
          <w:b/>
          <w:bCs/>
          <w:sz w:val="28"/>
          <w:szCs w:val="28"/>
          <w:rtl/>
        </w:rPr>
        <w:t>پیش</w:t>
      </w:r>
      <w:r w:rsidRPr="00D81AB1">
        <w:rPr>
          <w:b/>
          <w:bCs/>
          <w:sz w:val="28"/>
          <w:szCs w:val="28"/>
          <w:rtl/>
        </w:rPr>
        <w:softHyphen/>
      </w:r>
      <w:r w:rsidRPr="00D81AB1">
        <w:rPr>
          <w:rFonts w:hint="cs"/>
          <w:b/>
          <w:bCs/>
          <w:sz w:val="28"/>
          <w:szCs w:val="28"/>
          <w:rtl/>
        </w:rPr>
        <w:t>گفتار</w:t>
      </w:r>
    </w:p>
    <w:p w14:paraId="7F5441B0" w14:textId="77777777" w:rsidR="00912CC7" w:rsidRPr="00BF1AA2" w:rsidRDefault="00912CC7" w:rsidP="00656484">
      <w:pPr>
        <w:spacing w:line="216" w:lineRule="auto"/>
        <w:rPr>
          <w:sz w:val="23"/>
          <w:szCs w:val="23"/>
        </w:rPr>
      </w:pPr>
    </w:p>
    <w:p w14:paraId="7D7C178B" w14:textId="77777777" w:rsidR="007170C9" w:rsidRPr="00BF1AA2" w:rsidRDefault="007170C9" w:rsidP="00656484">
      <w:pPr>
        <w:spacing w:line="216" w:lineRule="auto"/>
        <w:rPr>
          <w:sz w:val="23"/>
          <w:szCs w:val="23"/>
        </w:rPr>
      </w:pPr>
    </w:p>
    <w:p w14:paraId="1CA03B04" w14:textId="77777777" w:rsidR="00912CC7" w:rsidRPr="00BF1AA2" w:rsidRDefault="00A51383" w:rsidP="00656484">
      <w:pPr>
        <w:spacing w:line="216" w:lineRule="auto"/>
        <w:rPr>
          <w:i/>
          <w:sz w:val="23"/>
          <w:szCs w:val="23"/>
        </w:rPr>
      </w:pPr>
      <w:r w:rsidRPr="00BF1AA2">
        <w:rPr>
          <w:rFonts w:hint="cs"/>
          <w:i/>
          <w:sz w:val="23"/>
          <w:szCs w:val="23"/>
          <w:rtl/>
        </w:rPr>
        <w:t xml:space="preserve">در </w:t>
      </w:r>
      <w:r w:rsidR="00AD5F44" w:rsidRPr="00BF1AA2">
        <w:rPr>
          <w:rFonts w:hint="cs"/>
          <w:i/>
          <w:sz w:val="23"/>
          <w:szCs w:val="23"/>
          <w:rtl/>
        </w:rPr>
        <w:t>سال</w:t>
      </w:r>
      <w:r w:rsidR="00AD5F44" w:rsidRPr="00BF1AA2">
        <w:rPr>
          <w:i/>
          <w:sz w:val="23"/>
          <w:szCs w:val="23"/>
          <w:rtl/>
        </w:rPr>
        <w:softHyphen/>
      </w:r>
      <w:r w:rsidR="00AD5F44" w:rsidRPr="00BF1AA2">
        <w:rPr>
          <w:rFonts w:hint="cs"/>
          <w:i/>
          <w:sz w:val="23"/>
          <w:szCs w:val="23"/>
          <w:rtl/>
        </w:rPr>
        <w:t xml:space="preserve"> </w:t>
      </w:r>
      <w:r w:rsidR="005D1F53" w:rsidRPr="00BF1AA2">
        <w:rPr>
          <w:rFonts w:hint="cs"/>
          <w:i/>
          <w:sz w:val="23"/>
          <w:szCs w:val="23"/>
          <w:rtl/>
        </w:rPr>
        <w:t>۱۳۹۲</w:t>
      </w:r>
      <w:r w:rsidR="00AD5F44" w:rsidRPr="00BF1AA2">
        <w:rPr>
          <w:rFonts w:hint="cs"/>
          <w:i/>
          <w:sz w:val="23"/>
          <w:szCs w:val="23"/>
          <w:rtl/>
        </w:rPr>
        <w:t xml:space="preserve"> بنابر دعوت </w:t>
      </w:r>
      <w:r w:rsidR="005D1F53" w:rsidRPr="00BF1AA2">
        <w:rPr>
          <w:rFonts w:hint="cs"/>
          <w:i/>
          <w:sz w:val="23"/>
          <w:szCs w:val="23"/>
          <w:rtl/>
        </w:rPr>
        <w:t xml:space="preserve">مسئولین محترم </w:t>
      </w:r>
      <w:r w:rsidR="00AD5F44" w:rsidRPr="00BF1AA2">
        <w:rPr>
          <w:rFonts w:hint="cs"/>
          <w:i/>
          <w:sz w:val="23"/>
          <w:szCs w:val="23"/>
          <w:rtl/>
        </w:rPr>
        <w:t>دانشکده</w:t>
      </w:r>
      <w:r w:rsidR="00AD5F44" w:rsidRPr="00BF1AA2">
        <w:rPr>
          <w:i/>
          <w:sz w:val="23"/>
          <w:szCs w:val="23"/>
          <w:rtl/>
        </w:rPr>
        <w:softHyphen/>
      </w:r>
      <w:r w:rsidR="00AD5F44" w:rsidRPr="00BF1AA2">
        <w:rPr>
          <w:rFonts w:hint="cs"/>
          <w:i/>
          <w:sz w:val="23"/>
          <w:szCs w:val="23"/>
          <w:rtl/>
        </w:rPr>
        <w:t>ی اقتصاد دانشگاه شهید بهشتی</w:t>
      </w:r>
      <w:r w:rsidR="00677619" w:rsidRPr="00BF1AA2">
        <w:rPr>
          <w:rFonts w:hint="cs"/>
          <w:i/>
          <w:sz w:val="23"/>
          <w:szCs w:val="23"/>
          <w:rtl/>
        </w:rPr>
        <w:t xml:space="preserve"> برای</w:t>
      </w:r>
      <w:r w:rsidR="00AD5F44" w:rsidRPr="00BF1AA2">
        <w:rPr>
          <w:rFonts w:hint="cs"/>
          <w:i/>
          <w:sz w:val="23"/>
          <w:szCs w:val="23"/>
          <w:rtl/>
        </w:rPr>
        <w:t xml:space="preserve"> تدریس درس اقتصاد کلان </w:t>
      </w:r>
      <w:r w:rsidR="00677619" w:rsidRPr="00BF1AA2">
        <w:rPr>
          <w:rFonts w:hint="cs"/>
          <w:i/>
          <w:sz w:val="23"/>
          <w:szCs w:val="23"/>
          <w:rtl/>
        </w:rPr>
        <w:t>دوره</w:t>
      </w:r>
      <w:r w:rsidR="00677619" w:rsidRPr="00BF1AA2">
        <w:rPr>
          <w:i/>
          <w:sz w:val="23"/>
          <w:szCs w:val="23"/>
          <w:rtl/>
        </w:rPr>
        <w:softHyphen/>
      </w:r>
      <w:r w:rsidR="00677619" w:rsidRPr="00BF1AA2">
        <w:rPr>
          <w:rFonts w:hint="cs"/>
          <w:i/>
          <w:sz w:val="23"/>
          <w:szCs w:val="23"/>
          <w:rtl/>
        </w:rPr>
        <w:t xml:space="preserve">ی دکتری دعوت شدم. </w:t>
      </w:r>
      <w:r w:rsidR="005D1F53" w:rsidRPr="00BF1AA2">
        <w:rPr>
          <w:rFonts w:hint="cs"/>
          <w:i/>
          <w:sz w:val="23"/>
          <w:szCs w:val="23"/>
          <w:rtl/>
        </w:rPr>
        <w:t>در آن کلاس</w:t>
      </w:r>
      <w:r w:rsidR="00677619" w:rsidRPr="00BF1AA2">
        <w:rPr>
          <w:rFonts w:hint="cs"/>
          <w:i/>
          <w:sz w:val="23"/>
          <w:szCs w:val="23"/>
          <w:rtl/>
        </w:rPr>
        <w:t xml:space="preserve"> </w:t>
      </w:r>
      <w:r w:rsidR="00037A4C" w:rsidRPr="00BF1AA2">
        <w:rPr>
          <w:rFonts w:hint="cs"/>
          <w:i/>
          <w:sz w:val="23"/>
          <w:szCs w:val="23"/>
          <w:rtl/>
        </w:rPr>
        <w:t>تنها</w:t>
      </w:r>
      <w:r w:rsidR="005D1F53" w:rsidRPr="00BF1AA2">
        <w:rPr>
          <w:rFonts w:hint="cs"/>
          <w:i/>
          <w:sz w:val="23"/>
          <w:szCs w:val="23"/>
          <w:rtl/>
        </w:rPr>
        <w:t xml:space="preserve"> </w:t>
      </w:r>
      <w:r w:rsidR="00677619" w:rsidRPr="00BF1AA2">
        <w:rPr>
          <w:rFonts w:hint="cs"/>
          <w:i/>
          <w:sz w:val="23"/>
          <w:szCs w:val="23"/>
          <w:rtl/>
        </w:rPr>
        <w:t xml:space="preserve">چهار دانشجوی بسیار مشتاق </w:t>
      </w:r>
      <w:r w:rsidR="005D1F53" w:rsidRPr="00BF1AA2">
        <w:rPr>
          <w:rFonts w:hint="cs"/>
          <w:i/>
          <w:sz w:val="23"/>
          <w:szCs w:val="23"/>
          <w:rtl/>
        </w:rPr>
        <w:t>مشارکت داشتند،</w:t>
      </w:r>
      <w:r w:rsidR="00677619" w:rsidRPr="00BF1AA2">
        <w:rPr>
          <w:rFonts w:hint="cs"/>
          <w:i/>
          <w:sz w:val="23"/>
          <w:szCs w:val="23"/>
          <w:rtl/>
        </w:rPr>
        <w:t xml:space="preserve"> </w:t>
      </w:r>
      <w:r w:rsidR="00EC1B1E" w:rsidRPr="00BF1AA2">
        <w:rPr>
          <w:rFonts w:hint="cs"/>
          <w:i/>
          <w:sz w:val="23"/>
          <w:szCs w:val="23"/>
          <w:rtl/>
        </w:rPr>
        <w:t>که با</w:t>
      </w:r>
      <w:r w:rsidR="00D516A1" w:rsidRPr="00BF1AA2">
        <w:rPr>
          <w:rFonts w:hint="cs"/>
          <w:i/>
          <w:sz w:val="23"/>
          <w:szCs w:val="23"/>
          <w:rtl/>
        </w:rPr>
        <w:t xml:space="preserve"> پیشنهاد آن</w:t>
      </w:r>
      <w:r w:rsidR="00D516A1" w:rsidRPr="00BF1AA2">
        <w:rPr>
          <w:i/>
          <w:sz w:val="23"/>
          <w:szCs w:val="23"/>
          <w:rtl/>
        </w:rPr>
        <w:softHyphen/>
      </w:r>
      <w:r w:rsidR="00D516A1" w:rsidRPr="00BF1AA2">
        <w:rPr>
          <w:rFonts w:hint="cs"/>
          <w:i/>
          <w:sz w:val="23"/>
          <w:szCs w:val="23"/>
          <w:rtl/>
        </w:rPr>
        <w:t xml:space="preserve">ها، </w:t>
      </w:r>
      <w:r w:rsidR="005D1F53" w:rsidRPr="00BF1AA2">
        <w:rPr>
          <w:rFonts w:hint="cs"/>
          <w:i/>
          <w:sz w:val="23"/>
          <w:szCs w:val="23"/>
          <w:rtl/>
        </w:rPr>
        <w:t>مباحث</w:t>
      </w:r>
      <w:r w:rsidR="00677619" w:rsidRPr="00BF1AA2">
        <w:rPr>
          <w:rFonts w:hint="cs"/>
          <w:i/>
          <w:sz w:val="23"/>
          <w:szCs w:val="23"/>
          <w:rtl/>
        </w:rPr>
        <w:t xml:space="preserve"> </w:t>
      </w:r>
      <w:r w:rsidRPr="00BF1AA2">
        <w:rPr>
          <w:rFonts w:hint="cs"/>
          <w:i/>
          <w:sz w:val="23"/>
          <w:szCs w:val="23"/>
          <w:rtl/>
        </w:rPr>
        <w:t>اقتصاد کلان</w:t>
      </w:r>
      <w:r w:rsidR="005D1F53" w:rsidRPr="00BF1AA2">
        <w:rPr>
          <w:rFonts w:hint="cs"/>
          <w:i/>
          <w:sz w:val="23"/>
          <w:szCs w:val="23"/>
          <w:rtl/>
        </w:rPr>
        <w:t xml:space="preserve"> تعادل عمومی پویای تصادفی </w:t>
      </w:r>
      <w:r w:rsidR="00B53388" w:rsidRPr="00BF1AA2">
        <w:rPr>
          <w:rFonts w:hint="cs"/>
          <w:i/>
          <w:sz w:val="23"/>
          <w:szCs w:val="23"/>
          <w:rtl/>
        </w:rPr>
        <w:t xml:space="preserve">در شانزده جلسه </w:t>
      </w:r>
      <w:r w:rsidR="005D1F53" w:rsidRPr="00BF1AA2">
        <w:rPr>
          <w:rFonts w:hint="cs"/>
          <w:i/>
          <w:sz w:val="23"/>
          <w:szCs w:val="23"/>
          <w:rtl/>
        </w:rPr>
        <w:t xml:space="preserve">از </w:t>
      </w:r>
      <w:r w:rsidR="00677619" w:rsidRPr="00BF1AA2">
        <w:rPr>
          <w:rFonts w:hint="cs"/>
          <w:i/>
          <w:sz w:val="23"/>
          <w:szCs w:val="23"/>
          <w:rtl/>
        </w:rPr>
        <w:t>کتاب</w:t>
      </w:r>
      <w:r w:rsidR="007B53B3" w:rsidRPr="00BF1AA2">
        <w:rPr>
          <w:rFonts w:hint="cs"/>
          <w:i/>
          <w:sz w:val="23"/>
          <w:szCs w:val="23"/>
          <w:rtl/>
        </w:rPr>
        <w:t xml:space="preserve"> بسیار ارزشمند </w:t>
      </w:r>
      <w:r w:rsidR="007B53B3" w:rsidRPr="00BF1AA2">
        <w:rPr>
          <w:iCs/>
          <w:sz w:val="23"/>
          <w:szCs w:val="23"/>
        </w:rPr>
        <w:t>Mich</w:t>
      </w:r>
      <w:r w:rsidR="00012895" w:rsidRPr="00BF1AA2">
        <w:rPr>
          <w:iCs/>
          <w:sz w:val="23"/>
          <w:szCs w:val="23"/>
        </w:rPr>
        <w:t>a</w:t>
      </w:r>
      <w:r w:rsidR="007B53B3" w:rsidRPr="00BF1AA2">
        <w:rPr>
          <w:iCs/>
          <w:sz w:val="23"/>
          <w:szCs w:val="23"/>
        </w:rPr>
        <w:t xml:space="preserve">el </w:t>
      </w:r>
      <w:proofErr w:type="spellStart"/>
      <w:r w:rsidR="007B53B3" w:rsidRPr="00BF1AA2">
        <w:rPr>
          <w:iCs/>
          <w:sz w:val="23"/>
          <w:szCs w:val="23"/>
        </w:rPr>
        <w:t>Wickens</w:t>
      </w:r>
      <w:proofErr w:type="spellEnd"/>
      <w:r w:rsidR="007B53B3" w:rsidRPr="00BF1AA2">
        <w:rPr>
          <w:rFonts w:hint="cs"/>
          <w:iCs/>
          <w:sz w:val="23"/>
          <w:szCs w:val="23"/>
          <w:rtl/>
        </w:rPr>
        <w:t xml:space="preserve"> </w:t>
      </w:r>
      <w:r w:rsidR="007B53B3" w:rsidRPr="00BF1AA2">
        <w:rPr>
          <w:rFonts w:hint="cs"/>
          <w:i/>
          <w:sz w:val="23"/>
          <w:szCs w:val="23"/>
          <w:rtl/>
        </w:rPr>
        <w:t>تحت عنوان</w:t>
      </w:r>
      <w:r w:rsidR="00D516A1" w:rsidRPr="00BF1AA2">
        <w:rPr>
          <w:rFonts w:hint="cs"/>
          <w:i/>
          <w:sz w:val="23"/>
          <w:szCs w:val="23"/>
          <w:rtl/>
        </w:rPr>
        <w:t xml:space="preserve"> </w:t>
      </w:r>
      <w:r w:rsidR="00677619" w:rsidRPr="00BF1AA2">
        <w:rPr>
          <w:iCs/>
          <w:sz w:val="23"/>
          <w:szCs w:val="23"/>
        </w:rPr>
        <w:t>Macroeconomic Theory, A Dynamic General</w:t>
      </w:r>
      <w:r w:rsidR="00677619" w:rsidRPr="00BF1AA2">
        <w:rPr>
          <w:i/>
          <w:sz w:val="23"/>
          <w:szCs w:val="23"/>
        </w:rPr>
        <w:t xml:space="preserve"> </w:t>
      </w:r>
      <w:r w:rsidR="00677619" w:rsidRPr="00BF1AA2">
        <w:rPr>
          <w:iCs/>
          <w:sz w:val="23"/>
          <w:szCs w:val="23"/>
        </w:rPr>
        <w:t>Equilibrium Approach</w:t>
      </w:r>
      <w:r w:rsidR="000E5D29" w:rsidRPr="00BF1AA2">
        <w:rPr>
          <w:i/>
          <w:sz w:val="23"/>
          <w:szCs w:val="23"/>
          <w:rtl/>
        </w:rPr>
        <w:t xml:space="preserve"> </w:t>
      </w:r>
      <w:r w:rsidR="005D1F53" w:rsidRPr="00BF1AA2">
        <w:rPr>
          <w:rFonts w:hint="cs"/>
          <w:i/>
          <w:sz w:val="23"/>
          <w:szCs w:val="23"/>
          <w:rtl/>
        </w:rPr>
        <w:t>تدریس شد</w:t>
      </w:r>
      <w:r w:rsidR="00677619" w:rsidRPr="00BF1AA2">
        <w:rPr>
          <w:rFonts w:hint="cs"/>
          <w:i/>
          <w:sz w:val="23"/>
          <w:szCs w:val="23"/>
          <w:rtl/>
        </w:rPr>
        <w:t xml:space="preserve">. </w:t>
      </w:r>
      <w:r w:rsidR="007B53B3" w:rsidRPr="00BF1AA2">
        <w:rPr>
          <w:rFonts w:hint="cs"/>
          <w:i/>
          <w:sz w:val="23"/>
          <w:szCs w:val="23"/>
          <w:rtl/>
        </w:rPr>
        <w:t>نسخه</w:t>
      </w:r>
      <w:r w:rsidR="007B53B3" w:rsidRPr="00BF1AA2">
        <w:rPr>
          <w:i/>
          <w:sz w:val="23"/>
          <w:szCs w:val="23"/>
          <w:rtl/>
        </w:rPr>
        <w:softHyphen/>
      </w:r>
      <w:r w:rsidR="007B53B3" w:rsidRPr="00BF1AA2">
        <w:rPr>
          <w:rFonts w:hint="cs"/>
          <w:i/>
          <w:sz w:val="23"/>
          <w:szCs w:val="23"/>
          <w:rtl/>
        </w:rPr>
        <w:t>ی اول</w:t>
      </w:r>
      <w:r w:rsidR="005D1F53" w:rsidRPr="00BF1AA2">
        <w:rPr>
          <w:rFonts w:hint="cs"/>
          <w:i/>
          <w:sz w:val="23"/>
          <w:szCs w:val="23"/>
          <w:rtl/>
        </w:rPr>
        <w:t>یه</w:t>
      </w:r>
      <w:r w:rsidR="005D1F53" w:rsidRPr="00BF1AA2">
        <w:rPr>
          <w:i/>
          <w:sz w:val="23"/>
          <w:szCs w:val="23"/>
          <w:rtl/>
        </w:rPr>
        <w:softHyphen/>
      </w:r>
      <w:r w:rsidR="005D1F53" w:rsidRPr="00BF1AA2">
        <w:rPr>
          <w:rFonts w:hint="cs"/>
          <w:i/>
          <w:sz w:val="23"/>
          <w:szCs w:val="23"/>
          <w:rtl/>
        </w:rPr>
        <w:t>ی</w:t>
      </w:r>
      <w:r w:rsidR="007B53B3" w:rsidRPr="00BF1AA2">
        <w:rPr>
          <w:rFonts w:hint="cs"/>
          <w:i/>
          <w:sz w:val="23"/>
          <w:szCs w:val="23"/>
          <w:rtl/>
        </w:rPr>
        <w:t xml:space="preserve"> </w:t>
      </w:r>
      <w:r w:rsidR="00677619" w:rsidRPr="00BF1AA2">
        <w:rPr>
          <w:rFonts w:hint="cs"/>
          <w:i/>
          <w:sz w:val="23"/>
          <w:szCs w:val="23"/>
          <w:rtl/>
        </w:rPr>
        <w:t xml:space="preserve">این کتاب در سال ۲۰۰۸ </w:t>
      </w:r>
      <w:r w:rsidR="007B53B3" w:rsidRPr="00BF1AA2">
        <w:rPr>
          <w:rFonts w:hint="cs"/>
          <w:i/>
          <w:sz w:val="23"/>
          <w:szCs w:val="23"/>
          <w:rtl/>
        </w:rPr>
        <w:t>و سپس</w:t>
      </w:r>
      <w:r w:rsidR="005D1F53" w:rsidRPr="00BF1AA2">
        <w:rPr>
          <w:rFonts w:hint="cs"/>
          <w:i/>
          <w:sz w:val="23"/>
          <w:szCs w:val="23"/>
          <w:rtl/>
        </w:rPr>
        <w:t xml:space="preserve"> نسخه</w:t>
      </w:r>
      <w:r w:rsidR="005D1F53" w:rsidRPr="00BF1AA2">
        <w:rPr>
          <w:i/>
          <w:sz w:val="23"/>
          <w:szCs w:val="23"/>
          <w:rtl/>
        </w:rPr>
        <w:softHyphen/>
      </w:r>
      <w:r w:rsidR="005D1F53" w:rsidRPr="00BF1AA2">
        <w:rPr>
          <w:rFonts w:hint="cs"/>
          <w:i/>
          <w:sz w:val="23"/>
          <w:szCs w:val="23"/>
          <w:rtl/>
        </w:rPr>
        <w:t>ی دوم آن در سال</w:t>
      </w:r>
      <w:r w:rsidR="007B53B3" w:rsidRPr="00BF1AA2">
        <w:rPr>
          <w:rFonts w:hint="cs"/>
          <w:i/>
          <w:sz w:val="23"/>
          <w:szCs w:val="23"/>
          <w:rtl/>
        </w:rPr>
        <w:t xml:space="preserve"> ۲۰۱۳ میلادی </w:t>
      </w:r>
      <w:r w:rsidR="00677619" w:rsidRPr="00BF1AA2">
        <w:rPr>
          <w:rFonts w:hint="cs"/>
          <w:i/>
          <w:sz w:val="23"/>
          <w:szCs w:val="23"/>
          <w:rtl/>
        </w:rPr>
        <w:t>در د</w:t>
      </w:r>
      <w:r w:rsidR="007B53B3" w:rsidRPr="00BF1AA2">
        <w:rPr>
          <w:rFonts w:hint="cs"/>
          <w:i/>
          <w:sz w:val="23"/>
          <w:szCs w:val="23"/>
          <w:rtl/>
        </w:rPr>
        <w:t>انشگاه پرینستون به چاپ رسیده است</w:t>
      </w:r>
      <w:r w:rsidR="00D516A1" w:rsidRPr="00BF1AA2">
        <w:rPr>
          <w:rFonts w:hint="cs"/>
          <w:i/>
          <w:sz w:val="23"/>
          <w:szCs w:val="23"/>
          <w:rtl/>
        </w:rPr>
        <w:t>،</w:t>
      </w:r>
      <w:r w:rsidR="007B53B3" w:rsidRPr="00BF1AA2">
        <w:rPr>
          <w:rFonts w:hint="cs"/>
          <w:i/>
          <w:sz w:val="23"/>
          <w:szCs w:val="23"/>
          <w:rtl/>
        </w:rPr>
        <w:t xml:space="preserve"> که در واقع</w:t>
      </w:r>
      <w:r w:rsidR="005D1F53" w:rsidRPr="00BF1AA2">
        <w:rPr>
          <w:rFonts w:hint="cs"/>
          <w:i/>
          <w:sz w:val="23"/>
          <w:szCs w:val="23"/>
          <w:rtl/>
        </w:rPr>
        <w:t>،</w:t>
      </w:r>
      <w:r w:rsidR="007B53B3" w:rsidRPr="00BF1AA2">
        <w:rPr>
          <w:rFonts w:hint="cs"/>
          <w:i/>
          <w:sz w:val="23"/>
          <w:szCs w:val="23"/>
          <w:rtl/>
        </w:rPr>
        <w:t xml:space="preserve"> مبنای ترجمه و تالیف کتابی است که در پیش روی دارید. فصل اول به آن اضافه شده، فصل سوم تغییرات کلی </w:t>
      </w:r>
      <w:r w:rsidR="00B53388" w:rsidRPr="00BF1AA2">
        <w:rPr>
          <w:rFonts w:hint="cs"/>
          <w:i/>
          <w:sz w:val="23"/>
          <w:szCs w:val="23"/>
          <w:rtl/>
        </w:rPr>
        <w:t>داشته،</w:t>
      </w:r>
      <w:r w:rsidR="007B53B3" w:rsidRPr="00BF1AA2">
        <w:rPr>
          <w:rFonts w:hint="cs"/>
          <w:i/>
          <w:sz w:val="23"/>
          <w:szCs w:val="23"/>
          <w:rtl/>
        </w:rPr>
        <w:t xml:space="preserve"> در برخی از فصول مطالبی اضاف</w:t>
      </w:r>
      <w:r w:rsidR="00B53388" w:rsidRPr="00BF1AA2">
        <w:rPr>
          <w:rFonts w:hint="cs"/>
          <w:i/>
          <w:sz w:val="23"/>
          <w:szCs w:val="23"/>
          <w:rtl/>
        </w:rPr>
        <w:t>ه شده که در متن اصلی وجود ندارد،</w:t>
      </w:r>
      <w:r w:rsidR="007B53B3" w:rsidRPr="00BF1AA2">
        <w:rPr>
          <w:rFonts w:hint="cs"/>
          <w:i/>
          <w:sz w:val="23"/>
          <w:szCs w:val="23"/>
          <w:rtl/>
        </w:rPr>
        <w:t xml:space="preserve"> </w:t>
      </w:r>
      <w:r w:rsidR="00EC1B1E" w:rsidRPr="00BF1AA2">
        <w:rPr>
          <w:rFonts w:hint="cs"/>
          <w:i/>
          <w:sz w:val="23"/>
          <w:szCs w:val="23"/>
          <w:rtl/>
        </w:rPr>
        <w:t xml:space="preserve">و </w:t>
      </w:r>
      <w:r w:rsidR="00B53388" w:rsidRPr="00BF1AA2">
        <w:rPr>
          <w:rFonts w:hint="cs"/>
          <w:i/>
          <w:sz w:val="23"/>
          <w:szCs w:val="23"/>
          <w:rtl/>
        </w:rPr>
        <w:t>بسیاری از فرمول</w:t>
      </w:r>
      <w:r w:rsidR="00B53388" w:rsidRPr="00BF1AA2">
        <w:rPr>
          <w:i/>
          <w:sz w:val="23"/>
          <w:szCs w:val="23"/>
          <w:rtl/>
        </w:rPr>
        <w:softHyphen/>
      </w:r>
      <w:r w:rsidR="00B53388" w:rsidRPr="00BF1AA2">
        <w:rPr>
          <w:rFonts w:hint="cs"/>
          <w:i/>
          <w:sz w:val="23"/>
          <w:szCs w:val="23"/>
          <w:rtl/>
        </w:rPr>
        <w:t>ها مجدداً</w:t>
      </w:r>
      <w:r w:rsidR="00D516A1" w:rsidRPr="00BF1AA2">
        <w:rPr>
          <w:rFonts w:hint="cs"/>
          <w:i/>
          <w:sz w:val="23"/>
          <w:szCs w:val="23"/>
          <w:rtl/>
        </w:rPr>
        <w:t xml:space="preserve"> اثبات</w:t>
      </w:r>
      <w:r w:rsidR="00B53388" w:rsidRPr="00BF1AA2">
        <w:rPr>
          <w:rFonts w:hint="cs"/>
          <w:i/>
          <w:sz w:val="23"/>
          <w:szCs w:val="23"/>
          <w:rtl/>
        </w:rPr>
        <w:t xml:space="preserve"> و اشک</w:t>
      </w:r>
      <w:r w:rsidR="0098549C" w:rsidRPr="00BF1AA2">
        <w:rPr>
          <w:rFonts w:hint="cs"/>
          <w:i/>
          <w:sz w:val="23"/>
          <w:szCs w:val="23"/>
          <w:rtl/>
        </w:rPr>
        <w:t>ا</w:t>
      </w:r>
      <w:r w:rsidR="00B53388" w:rsidRPr="00BF1AA2">
        <w:rPr>
          <w:rFonts w:hint="cs"/>
          <w:i/>
          <w:sz w:val="23"/>
          <w:szCs w:val="23"/>
          <w:rtl/>
        </w:rPr>
        <w:t xml:space="preserve">لات وارده به نویسنده منتقل و در این کتاب </w:t>
      </w:r>
      <w:r w:rsidR="00D516A1" w:rsidRPr="00BF1AA2">
        <w:rPr>
          <w:rFonts w:hint="cs"/>
          <w:i/>
          <w:sz w:val="23"/>
          <w:szCs w:val="23"/>
          <w:rtl/>
        </w:rPr>
        <w:t xml:space="preserve">نیز </w:t>
      </w:r>
      <w:r w:rsidR="00B53388" w:rsidRPr="00BF1AA2">
        <w:rPr>
          <w:rFonts w:hint="cs"/>
          <w:i/>
          <w:sz w:val="23"/>
          <w:szCs w:val="23"/>
          <w:rtl/>
        </w:rPr>
        <w:t xml:space="preserve">اعمال شده است. </w:t>
      </w:r>
      <w:r w:rsidR="007B53B3" w:rsidRPr="00BF1AA2">
        <w:rPr>
          <w:rFonts w:hint="cs"/>
          <w:i/>
          <w:sz w:val="23"/>
          <w:szCs w:val="23"/>
          <w:rtl/>
        </w:rPr>
        <w:t>بنابراین فصول این کتاب ترکیبی است از تالیف و ترجمه</w:t>
      </w:r>
      <w:r w:rsidR="00D516A1" w:rsidRPr="00BF1AA2">
        <w:rPr>
          <w:i/>
          <w:sz w:val="23"/>
          <w:szCs w:val="23"/>
          <w:rtl/>
        </w:rPr>
        <w:softHyphen/>
      </w:r>
      <w:r w:rsidR="00D516A1" w:rsidRPr="00BF1AA2">
        <w:rPr>
          <w:rFonts w:hint="cs"/>
          <w:i/>
          <w:sz w:val="23"/>
          <w:szCs w:val="23"/>
          <w:rtl/>
        </w:rPr>
        <w:t>ی آن کتاب</w:t>
      </w:r>
      <w:r w:rsidR="007B53B3" w:rsidRPr="00BF1AA2">
        <w:rPr>
          <w:rFonts w:hint="cs"/>
          <w:i/>
          <w:sz w:val="23"/>
          <w:szCs w:val="23"/>
          <w:rtl/>
        </w:rPr>
        <w:t>.</w:t>
      </w:r>
    </w:p>
    <w:p w14:paraId="4A04C452" w14:textId="77777777" w:rsidR="00AD5F44" w:rsidRPr="00BF1AA2" w:rsidRDefault="007B53B3" w:rsidP="00656484">
      <w:pPr>
        <w:spacing w:line="216" w:lineRule="auto"/>
        <w:rPr>
          <w:i/>
          <w:sz w:val="23"/>
          <w:szCs w:val="23"/>
          <w:rtl/>
        </w:rPr>
      </w:pPr>
      <w:r w:rsidRPr="00BF1AA2">
        <w:rPr>
          <w:rFonts w:hint="cs"/>
          <w:i/>
          <w:sz w:val="23"/>
          <w:szCs w:val="23"/>
          <w:rtl/>
        </w:rPr>
        <w:t xml:space="preserve"> </w:t>
      </w:r>
    </w:p>
    <w:p w14:paraId="33EC5CA6" w14:textId="77777777" w:rsidR="008028DA" w:rsidRPr="00BF1AA2" w:rsidRDefault="002E7548" w:rsidP="00656484">
      <w:pPr>
        <w:spacing w:line="216" w:lineRule="auto"/>
        <w:rPr>
          <w:i/>
          <w:sz w:val="23"/>
          <w:szCs w:val="23"/>
          <w:rtl/>
        </w:rPr>
      </w:pPr>
      <w:r w:rsidRPr="00BF1AA2">
        <w:rPr>
          <w:rFonts w:hint="cs"/>
          <w:i/>
          <w:sz w:val="23"/>
          <w:szCs w:val="23"/>
          <w:rtl/>
        </w:rPr>
        <w:t xml:space="preserve">در </w:t>
      </w:r>
      <w:r w:rsidR="0092132A" w:rsidRPr="00BF1AA2">
        <w:rPr>
          <w:rFonts w:hint="cs"/>
          <w:bCs/>
          <w:i/>
          <w:sz w:val="23"/>
          <w:szCs w:val="23"/>
          <w:rtl/>
        </w:rPr>
        <w:t>فصل اول</w:t>
      </w:r>
      <w:r w:rsidR="0092132A" w:rsidRPr="00BF1AA2">
        <w:rPr>
          <w:rFonts w:hint="cs"/>
          <w:i/>
          <w:sz w:val="23"/>
          <w:szCs w:val="23"/>
          <w:rtl/>
        </w:rPr>
        <w:t xml:space="preserve"> با بررسی اجمالی</w:t>
      </w:r>
      <w:r w:rsidR="00E32C19" w:rsidRPr="00BF1AA2">
        <w:rPr>
          <w:rFonts w:hint="cs"/>
          <w:i/>
          <w:sz w:val="23"/>
          <w:szCs w:val="23"/>
          <w:rtl/>
        </w:rPr>
        <w:t xml:space="preserve"> رویکردهای مدل</w:t>
      </w:r>
      <w:r w:rsidR="0092132A" w:rsidRPr="00BF1AA2">
        <w:rPr>
          <w:i/>
          <w:sz w:val="23"/>
          <w:szCs w:val="23"/>
          <w:rtl/>
        </w:rPr>
        <w:softHyphen/>
      </w:r>
      <w:r w:rsidR="0092132A" w:rsidRPr="00BF1AA2">
        <w:rPr>
          <w:rFonts w:hint="cs"/>
          <w:i/>
          <w:sz w:val="23"/>
          <w:szCs w:val="23"/>
          <w:rtl/>
        </w:rPr>
        <w:t xml:space="preserve"> اقتصاد کلان، مدل</w:t>
      </w:r>
      <w:r w:rsidR="0092132A" w:rsidRPr="00BF1AA2">
        <w:rPr>
          <w:rFonts w:hint="cs"/>
          <w:i/>
          <w:sz w:val="23"/>
          <w:szCs w:val="23"/>
          <w:rtl/>
        </w:rPr>
        <w:softHyphen/>
      </w:r>
      <w:r w:rsidR="005E457D" w:rsidRPr="00BF1AA2">
        <w:rPr>
          <w:rFonts w:hint="cs"/>
          <w:i/>
          <w:sz w:val="23"/>
          <w:szCs w:val="23"/>
          <w:rtl/>
        </w:rPr>
        <w:t xml:space="preserve"> تعادل عمومی پویای تصادفی </w:t>
      </w:r>
      <w:r w:rsidR="0092132A" w:rsidRPr="00BF1AA2">
        <w:rPr>
          <w:rFonts w:hint="cs"/>
          <w:i/>
          <w:sz w:val="23"/>
          <w:szCs w:val="23"/>
          <w:rtl/>
        </w:rPr>
        <w:t>که</w:t>
      </w:r>
      <w:r w:rsidRPr="00BF1AA2">
        <w:rPr>
          <w:rFonts w:hint="cs"/>
          <w:i/>
          <w:sz w:val="23"/>
          <w:szCs w:val="23"/>
          <w:rtl/>
        </w:rPr>
        <w:t xml:space="preserve"> در آن از فنون بهینه</w:t>
      </w:r>
      <w:r w:rsidRPr="00BF1AA2">
        <w:rPr>
          <w:rFonts w:hint="cs"/>
          <w:i/>
          <w:sz w:val="23"/>
          <w:szCs w:val="23"/>
          <w:rtl/>
        </w:rPr>
        <w:softHyphen/>
        <w:t>سازی تصادفی میان دور</w:t>
      </w:r>
      <w:r w:rsidR="00335845" w:rsidRPr="00BF1AA2">
        <w:rPr>
          <w:rFonts w:hint="cs"/>
          <w:i/>
          <w:sz w:val="23"/>
          <w:szCs w:val="23"/>
          <w:rtl/>
        </w:rPr>
        <w:t>ه</w:t>
      </w:r>
      <w:r w:rsidR="00335845" w:rsidRPr="00BF1AA2">
        <w:rPr>
          <w:rFonts w:hint="cs"/>
          <w:i/>
          <w:sz w:val="23"/>
          <w:szCs w:val="23"/>
          <w:rtl/>
        </w:rPr>
        <w:softHyphen/>
        <w:t>ای برای حل مسائ</w:t>
      </w:r>
      <w:r w:rsidR="0092132A" w:rsidRPr="00BF1AA2">
        <w:rPr>
          <w:rFonts w:hint="cs"/>
          <w:i/>
          <w:sz w:val="23"/>
          <w:szCs w:val="23"/>
          <w:rtl/>
        </w:rPr>
        <w:t>ل تصمیم</w:t>
      </w:r>
      <w:r w:rsidR="0092132A" w:rsidRPr="00BF1AA2">
        <w:rPr>
          <w:rFonts w:hint="cs"/>
          <w:i/>
          <w:sz w:val="23"/>
          <w:szCs w:val="23"/>
          <w:rtl/>
        </w:rPr>
        <w:softHyphen/>
        <w:t>گیری</w:t>
      </w:r>
      <w:r w:rsidRPr="00BF1AA2">
        <w:rPr>
          <w:rFonts w:hint="cs"/>
          <w:i/>
          <w:sz w:val="23"/>
          <w:szCs w:val="23"/>
          <w:rtl/>
        </w:rPr>
        <w:t xml:space="preserve"> خانوارها و بنگاه</w:t>
      </w:r>
      <w:r w:rsidRPr="00BF1AA2">
        <w:rPr>
          <w:rFonts w:hint="cs"/>
          <w:i/>
          <w:sz w:val="23"/>
          <w:szCs w:val="23"/>
          <w:rtl/>
        </w:rPr>
        <w:softHyphen/>
        <w:t>های نمونه استفاده می</w:t>
      </w:r>
      <w:r w:rsidRPr="00BF1AA2">
        <w:rPr>
          <w:rFonts w:hint="cs"/>
          <w:i/>
          <w:sz w:val="23"/>
          <w:szCs w:val="23"/>
          <w:rtl/>
        </w:rPr>
        <w:softHyphen/>
        <w:t>شود</w:t>
      </w:r>
      <w:r w:rsidR="0092132A" w:rsidRPr="00BF1AA2">
        <w:rPr>
          <w:rFonts w:hint="cs"/>
          <w:i/>
          <w:sz w:val="23"/>
          <w:szCs w:val="23"/>
          <w:rtl/>
        </w:rPr>
        <w:t xml:space="preserve"> بررسی می</w:t>
      </w:r>
      <w:r w:rsidR="0092132A" w:rsidRPr="00BF1AA2">
        <w:rPr>
          <w:i/>
          <w:sz w:val="23"/>
          <w:szCs w:val="23"/>
          <w:rtl/>
        </w:rPr>
        <w:softHyphen/>
      </w:r>
      <w:r w:rsidR="0092132A" w:rsidRPr="00BF1AA2">
        <w:rPr>
          <w:rFonts w:hint="cs"/>
          <w:i/>
          <w:sz w:val="23"/>
          <w:szCs w:val="23"/>
          <w:rtl/>
        </w:rPr>
        <w:t xml:space="preserve">شود. این </w:t>
      </w:r>
      <w:r w:rsidRPr="00BF1AA2">
        <w:rPr>
          <w:rFonts w:hint="cs"/>
          <w:i/>
          <w:sz w:val="23"/>
          <w:szCs w:val="23"/>
          <w:rtl/>
        </w:rPr>
        <w:t>مدل</w:t>
      </w:r>
      <w:r w:rsidRPr="00BF1AA2">
        <w:rPr>
          <w:rFonts w:hint="cs"/>
          <w:i/>
          <w:sz w:val="23"/>
          <w:szCs w:val="23"/>
          <w:rtl/>
        </w:rPr>
        <w:softHyphen/>
        <w:t>ها برحسب پارامترهای س</w:t>
      </w:r>
      <w:r w:rsidR="0098549C" w:rsidRPr="00BF1AA2">
        <w:rPr>
          <w:rFonts w:hint="cs"/>
          <w:i/>
          <w:sz w:val="23"/>
          <w:szCs w:val="23"/>
          <w:rtl/>
        </w:rPr>
        <w:t>اختاریِ مهم، از قبیل پارامترهای</w:t>
      </w:r>
      <w:r w:rsidRPr="00BF1AA2">
        <w:rPr>
          <w:rFonts w:hint="cs"/>
          <w:i/>
          <w:sz w:val="23"/>
          <w:szCs w:val="23"/>
          <w:rtl/>
        </w:rPr>
        <w:t xml:space="preserve"> ترجیحات، تکنولوژی</w:t>
      </w:r>
      <w:r w:rsidRPr="00BF1AA2">
        <w:rPr>
          <w:rFonts w:hint="cs"/>
          <w:i/>
          <w:sz w:val="23"/>
          <w:szCs w:val="23"/>
          <w:rtl/>
        </w:rPr>
        <w:softHyphen/>
        <w:t>های تولید و توزیع</w:t>
      </w:r>
      <w:r w:rsidRPr="00BF1AA2">
        <w:rPr>
          <w:rFonts w:hint="cs"/>
          <w:i/>
          <w:sz w:val="23"/>
          <w:szCs w:val="23"/>
          <w:rtl/>
        </w:rPr>
        <w:softHyphen/>
        <w:t>های احتمالات سلائق افراد و ... بیان می</w:t>
      </w:r>
      <w:r w:rsidRPr="00BF1AA2">
        <w:rPr>
          <w:rFonts w:hint="cs"/>
          <w:i/>
          <w:sz w:val="23"/>
          <w:szCs w:val="23"/>
          <w:rtl/>
        </w:rPr>
        <w:softHyphen/>
        <w:t xml:space="preserve">شوند. </w:t>
      </w:r>
    </w:p>
    <w:p w14:paraId="0DAB2480" w14:textId="77777777" w:rsidR="00912CC7" w:rsidRPr="00BF1AA2" w:rsidRDefault="00912CC7" w:rsidP="00656484">
      <w:pPr>
        <w:spacing w:line="216" w:lineRule="auto"/>
        <w:rPr>
          <w:bCs/>
          <w:i/>
          <w:sz w:val="23"/>
          <w:szCs w:val="23"/>
        </w:rPr>
      </w:pPr>
    </w:p>
    <w:p w14:paraId="79A3EDF5" w14:textId="77777777" w:rsidR="007D13C9" w:rsidRPr="00BF1AA2" w:rsidRDefault="007D13C9" w:rsidP="00656484">
      <w:pPr>
        <w:spacing w:line="216" w:lineRule="auto"/>
        <w:rPr>
          <w:i/>
          <w:sz w:val="23"/>
          <w:szCs w:val="23"/>
          <w:rtl/>
        </w:rPr>
      </w:pPr>
      <w:r w:rsidRPr="00BF1AA2">
        <w:rPr>
          <w:rFonts w:hint="cs"/>
          <w:bCs/>
          <w:i/>
          <w:sz w:val="23"/>
          <w:szCs w:val="23"/>
          <w:rtl/>
        </w:rPr>
        <w:t>فصل دوم</w:t>
      </w:r>
      <w:bookmarkStart w:id="0" w:name="OLE_LINK57"/>
      <w:bookmarkStart w:id="1" w:name="OLE_LINK58"/>
      <w:bookmarkStart w:id="2" w:name="OLE_LINK53"/>
      <w:bookmarkStart w:id="3" w:name="OLE_LINK54"/>
      <w:r w:rsidR="00335845" w:rsidRPr="00BF1AA2">
        <w:rPr>
          <w:rFonts w:hint="cs"/>
          <w:bCs/>
          <w:i/>
          <w:sz w:val="23"/>
          <w:szCs w:val="23"/>
          <w:rtl/>
        </w:rPr>
        <w:t>،</w:t>
      </w:r>
      <w:r w:rsidRPr="00BF1AA2">
        <w:rPr>
          <w:rFonts w:hint="cs"/>
          <w:i/>
          <w:sz w:val="23"/>
          <w:szCs w:val="23"/>
          <w:rtl/>
        </w:rPr>
        <w:t xml:space="preserve"> </w:t>
      </w:r>
      <w:r w:rsidRPr="00BF1AA2">
        <w:rPr>
          <w:i/>
          <w:sz w:val="23"/>
          <w:szCs w:val="23"/>
          <w:rtl/>
        </w:rPr>
        <w:t xml:space="preserve">مدل </w:t>
      </w:r>
      <w:r w:rsidRPr="00BF1AA2">
        <w:rPr>
          <w:i/>
          <w:caps/>
          <w:sz w:val="23"/>
          <w:szCs w:val="23"/>
          <w:rtl/>
        </w:rPr>
        <w:t>بسیار</w:t>
      </w:r>
      <w:r w:rsidRPr="00BF1AA2">
        <w:rPr>
          <w:i/>
          <w:sz w:val="23"/>
          <w:szCs w:val="23"/>
          <w:rtl/>
        </w:rPr>
        <w:t xml:space="preserve"> ساد</w:t>
      </w:r>
      <w:r w:rsidRPr="00BF1AA2">
        <w:rPr>
          <w:rFonts w:hint="cs"/>
          <w:i/>
          <w:sz w:val="23"/>
          <w:szCs w:val="23"/>
          <w:rtl/>
        </w:rPr>
        <w:t>ه</w:t>
      </w:r>
      <w:r w:rsidRPr="00BF1AA2">
        <w:rPr>
          <w:i/>
          <w:sz w:val="23"/>
          <w:szCs w:val="23"/>
        </w:rPr>
        <w:softHyphen/>
      </w:r>
      <w:r w:rsidRPr="00BF1AA2">
        <w:rPr>
          <w:rFonts w:hint="cs"/>
          <w:i/>
          <w:sz w:val="23"/>
          <w:szCs w:val="23"/>
          <w:rtl/>
        </w:rPr>
        <w:t>ی</w:t>
      </w:r>
      <w:r w:rsidRPr="00BF1AA2">
        <w:rPr>
          <w:i/>
          <w:sz w:val="23"/>
          <w:szCs w:val="23"/>
          <w:rtl/>
        </w:rPr>
        <w:t xml:space="preserve"> اقتصاد بسته </w:t>
      </w:r>
      <w:r w:rsidR="00345021" w:rsidRPr="00BF1AA2">
        <w:rPr>
          <w:rFonts w:hint="cs"/>
          <w:i/>
          <w:sz w:val="23"/>
          <w:szCs w:val="23"/>
          <w:rtl/>
        </w:rPr>
        <w:t xml:space="preserve">را </w:t>
      </w:r>
      <w:r w:rsidRPr="00BF1AA2">
        <w:rPr>
          <w:i/>
          <w:sz w:val="23"/>
          <w:szCs w:val="23"/>
          <w:rtl/>
        </w:rPr>
        <w:t>مورد بررسی قرار می‌</w:t>
      </w:r>
      <w:r w:rsidRPr="00BF1AA2">
        <w:rPr>
          <w:i/>
          <w:sz w:val="23"/>
          <w:szCs w:val="23"/>
        </w:rPr>
        <w:softHyphen/>
      </w:r>
      <w:r w:rsidRPr="00BF1AA2">
        <w:rPr>
          <w:i/>
          <w:sz w:val="23"/>
          <w:szCs w:val="23"/>
          <w:rtl/>
        </w:rPr>
        <w:t>ده</w:t>
      </w:r>
      <w:r w:rsidRPr="00BF1AA2">
        <w:rPr>
          <w:rFonts w:hint="cs"/>
          <w:i/>
          <w:sz w:val="23"/>
          <w:szCs w:val="23"/>
          <w:rtl/>
        </w:rPr>
        <w:t>د</w:t>
      </w:r>
      <w:r w:rsidRPr="00BF1AA2">
        <w:rPr>
          <w:i/>
          <w:sz w:val="23"/>
          <w:szCs w:val="23"/>
          <w:rtl/>
        </w:rPr>
        <w:t xml:space="preserve">. در این مدل </w:t>
      </w:r>
      <w:r w:rsidRPr="00BF1AA2">
        <w:rPr>
          <w:rFonts w:hint="cs"/>
          <w:i/>
          <w:sz w:val="23"/>
          <w:szCs w:val="23"/>
          <w:rtl/>
        </w:rPr>
        <w:t xml:space="preserve">ساده و </w:t>
      </w:r>
      <w:r w:rsidRPr="00BF1AA2">
        <w:rPr>
          <w:i/>
          <w:sz w:val="23"/>
          <w:szCs w:val="23"/>
          <w:rtl/>
        </w:rPr>
        <w:t>اولیه</w:t>
      </w:r>
      <w:r w:rsidR="00345021" w:rsidRPr="00BF1AA2">
        <w:rPr>
          <w:rFonts w:hint="cs"/>
          <w:i/>
          <w:sz w:val="23"/>
          <w:szCs w:val="23"/>
          <w:rtl/>
        </w:rPr>
        <w:t xml:space="preserve"> با</w:t>
      </w:r>
      <w:r w:rsidRPr="00BF1AA2">
        <w:rPr>
          <w:rFonts w:hint="cs"/>
          <w:i/>
          <w:sz w:val="23"/>
          <w:szCs w:val="23"/>
          <w:rtl/>
        </w:rPr>
        <w:t xml:space="preserve"> </w:t>
      </w:r>
      <w:r w:rsidRPr="00BF1AA2">
        <w:rPr>
          <w:i/>
          <w:sz w:val="23"/>
          <w:szCs w:val="23"/>
          <w:rtl/>
        </w:rPr>
        <w:t>ویژگی</w:t>
      </w:r>
      <w:r w:rsidRPr="00BF1AA2">
        <w:rPr>
          <w:i/>
          <w:sz w:val="23"/>
          <w:szCs w:val="23"/>
          <w:rtl/>
        </w:rPr>
        <w:softHyphen/>
        <w:t>های</w:t>
      </w:r>
      <w:r w:rsidRPr="00BF1AA2">
        <w:rPr>
          <w:rFonts w:hint="cs"/>
          <w:i/>
          <w:sz w:val="23"/>
          <w:szCs w:val="23"/>
          <w:rtl/>
        </w:rPr>
        <w:t xml:space="preserve"> </w:t>
      </w:r>
      <w:r w:rsidRPr="00BF1AA2">
        <w:rPr>
          <w:i/>
          <w:sz w:val="23"/>
          <w:szCs w:val="23"/>
          <w:rtl/>
        </w:rPr>
        <w:t>اقتصاد کلان</w:t>
      </w:r>
      <w:r w:rsidR="00345021" w:rsidRPr="00BF1AA2">
        <w:rPr>
          <w:rFonts w:hint="cs"/>
          <w:i/>
          <w:sz w:val="23"/>
          <w:szCs w:val="23"/>
          <w:rtl/>
        </w:rPr>
        <w:t xml:space="preserve"> </w:t>
      </w:r>
      <w:r w:rsidR="00345021" w:rsidRPr="00BF1AA2">
        <w:rPr>
          <w:i/>
          <w:sz w:val="23"/>
          <w:szCs w:val="23"/>
          <w:rtl/>
        </w:rPr>
        <w:t>تعادل عمومی پویا</w:t>
      </w:r>
      <w:r w:rsidRPr="00BF1AA2">
        <w:rPr>
          <w:i/>
          <w:sz w:val="23"/>
          <w:szCs w:val="23"/>
          <w:rtl/>
        </w:rPr>
        <w:t>، دولت، پول و بازارهای مالی وجود ندارد و همه متغیرها به صورت حقیقی</w:t>
      </w:r>
      <w:r w:rsidRPr="00BF1AA2">
        <w:rPr>
          <w:rFonts w:hint="cs"/>
          <w:i/>
          <w:sz w:val="23"/>
          <w:szCs w:val="23"/>
          <w:rtl/>
        </w:rPr>
        <w:t xml:space="preserve"> می</w:t>
      </w:r>
      <w:r w:rsidRPr="00BF1AA2">
        <w:rPr>
          <w:i/>
          <w:sz w:val="23"/>
          <w:szCs w:val="23"/>
          <w:rtl/>
        </w:rPr>
        <w:softHyphen/>
      </w:r>
      <w:r w:rsidRPr="00BF1AA2">
        <w:rPr>
          <w:rFonts w:hint="cs"/>
          <w:i/>
          <w:sz w:val="23"/>
          <w:szCs w:val="23"/>
          <w:rtl/>
        </w:rPr>
        <w:t>باشند</w:t>
      </w:r>
      <w:r w:rsidRPr="00BF1AA2">
        <w:rPr>
          <w:i/>
          <w:sz w:val="23"/>
          <w:szCs w:val="23"/>
          <w:rtl/>
        </w:rPr>
        <w:t xml:space="preserve">. </w:t>
      </w:r>
      <w:bookmarkEnd w:id="0"/>
      <w:bookmarkEnd w:id="1"/>
      <w:bookmarkEnd w:id="2"/>
      <w:bookmarkEnd w:id="3"/>
      <w:r w:rsidRPr="00BF1AA2">
        <w:rPr>
          <w:i/>
          <w:sz w:val="23"/>
          <w:szCs w:val="23"/>
          <w:rtl/>
        </w:rPr>
        <w:t>این مدل</w:t>
      </w:r>
      <w:r w:rsidRPr="00BF1AA2">
        <w:rPr>
          <w:rFonts w:hint="cs"/>
          <w:i/>
          <w:sz w:val="23"/>
          <w:szCs w:val="23"/>
          <w:rtl/>
        </w:rPr>
        <w:t xml:space="preserve"> </w:t>
      </w:r>
      <w:r w:rsidRPr="00BF1AA2">
        <w:rPr>
          <w:i/>
          <w:sz w:val="23"/>
          <w:szCs w:val="23"/>
          <w:rtl/>
        </w:rPr>
        <w:t>همچنین مدل برنامه</w:t>
      </w:r>
      <w:r w:rsidRPr="00BF1AA2">
        <w:rPr>
          <w:i/>
          <w:sz w:val="23"/>
          <w:szCs w:val="23"/>
          <w:rtl/>
        </w:rPr>
        <w:softHyphen/>
        <w:t xml:space="preserve">ریزی متمرکز </w:t>
      </w:r>
      <w:r w:rsidRPr="00BF1AA2">
        <w:rPr>
          <w:rFonts w:hint="cs"/>
          <w:i/>
          <w:sz w:val="23"/>
          <w:szCs w:val="23"/>
          <w:rtl/>
        </w:rPr>
        <w:t>نیز نامیده می</w:t>
      </w:r>
      <w:r w:rsidRPr="00BF1AA2">
        <w:rPr>
          <w:i/>
          <w:sz w:val="23"/>
          <w:szCs w:val="23"/>
          <w:rtl/>
        </w:rPr>
        <w:softHyphen/>
      </w:r>
      <w:r w:rsidRPr="00BF1AA2">
        <w:rPr>
          <w:rFonts w:hint="cs"/>
          <w:i/>
          <w:sz w:val="23"/>
          <w:szCs w:val="23"/>
          <w:rtl/>
        </w:rPr>
        <w:t xml:space="preserve">شود </w:t>
      </w:r>
      <w:r w:rsidRPr="00BF1AA2">
        <w:rPr>
          <w:i/>
          <w:sz w:val="23"/>
          <w:szCs w:val="23"/>
          <w:rtl/>
        </w:rPr>
        <w:t>که در آن تصمیمات اقتصادی و ترجیحات فردی</w:t>
      </w:r>
      <w:r w:rsidRPr="00BF1AA2">
        <w:rPr>
          <w:rFonts w:hint="cs"/>
          <w:i/>
          <w:sz w:val="23"/>
          <w:szCs w:val="23"/>
          <w:rtl/>
        </w:rPr>
        <w:t>،</w:t>
      </w:r>
      <w:r w:rsidRPr="00BF1AA2">
        <w:rPr>
          <w:i/>
          <w:sz w:val="23"/>
          <w:szCs w:val="23"/>
          <w:rtl/>
        </w:rPr>
        <w:t xml:space="preserve"> به</w:t>
      </w:r>
      <w:r w:rsidRPr="00BF1AA2">
        <w:rPr>
          <w:i/>
          <w:sz w:val="23"/>
          <w:szCs w:val="23"/>
          <w:rtl/>
        </w:rPr>
        <w:softHyphen/>
        <w:t>طور متمرکز توسط برنامه</w:t>
      </w:r>
      <w:r w:rsidRPr="00BF1AA2">
        <w:rPr>
          <w:i/>
          <w:sz w:val="23"/>
          <w:szCs w:val="23"/>
          <w:rtl/>
        </w:rPr>
        <w:softHyphen/>
        <w:t>ریز اجتماعی اتخاذ شد</w:t>
      </w:r>
      <w:r w:rsidRPr="00BF1AA2">
        <w:rPr>
          <w:rFonts w:hint="cs"/>
          <w:i/>
          <w:sz w:val="23"/>
          <w:szCs w:val="23"/>
          <w:rtl/>
        </w:rPr>
        <w:t>ه</w:t>
      </w:r>
      <w:r w:rsidRPr="00BF1AA2">
        <w:rPr>
          <w:i/>
          <w:sz w:val="23"/>
          <w:szCs w:val="23"/>
          <w:rtl/>
        </w:rPr>
        <w:t xml:space="preserve"> و ترجیحات برنامه</w:t>
      </w:r>
      <w:r w:rsidRPr="00BF1AA2">
        <w:rPr>
          <w:i/>
          <w:sz w:val="23"/>
          <w:szCs w:val="23"/>
          <w:rtl/>
        </w:rPr>
        <w:softHyphen/>
        <w:t xml:space="preserve">ریز اجتماعی به تمامی افراد </w:t>
      </w:r>
      <w:r w:rsidRPr="00BF1AA2">
        <w:rPr>
          <w:rFonts w:hint="cs"/>
          <w:i/>
          <w:sz w:val="23"/>
          <w:szCs w:val="23"/>
          <w:rtl/>
        </w:rPr>
        <w:t xml:space="preserve">جامعه </w:t>
      </w:r>
      <w:r w:rsidRPr="00BF1AA2">
        <w:rPr>
          <w:i/>
          <w:sz w:val="23"/>
          <w:szCs w:val="23"/>
          <w:rtl/>
        </w:rPr>
        <w:t>تعمیم داده می</w:t>
      </w:r>
      <w:r w:rsidRPr="00BF1AA2">
        <w:rPr>
          <w:i/>
          <w:sz w:val="23"/>
          <w:szCs w:val="23"/>
          <w:rtl/>
        </w:rPr>
        <w:softHyphen/>
        <w:t xml:space="preserve">شود. </w:t>
      </w:r>
    </w:p>
    <w:p w14:paraId="20ECB755" w14:textId="77777777" w:rsidR="00912CC7" w:rsidRPr="00BF1AA2" w:rsidRDefault="00912CC7" w:rsidP="00656484">
      <w:pPr>
        <w:spacing w:line="216" w:lineRule="auto"/>
        <w:rPr>
          <w:i/>
          <w:sz w:val="23"/>
          <w:szCs w:val="23"/>
        </w:rPr>
      </w:pPr>
    </w:p>
    <w:p w14:paraId="3441FDF0" w14:textId="77777777" w:rsidR="007D13C9" w:rsidRPr="00BF1AA2" w:rsidRDefault="007D13C9" w:rsidP="00656484">
      <w:pPr>
        <w:spacing w:line="216" w:lineRule="auto"/>
        <w:rPr>
          <w:i/>
          <w:sz w:val="23"/>
          <w:szCs w:val="23"/>
          <w:rtl/>
        </w:rPr>
      </w:pPr>
      <w:r w:rsidRPr="00BF1AA2">
        <w:rPr>
          <w:rFonts w:hint="cs"/>
          <w:i/>
          <w:sz w:val="23"/>
          <w:szCs w:val="23"/>
          <w:rtl/>
        </w:rPr>
        <w:t>در مدل</w:t>
      </w:r>
      <w:r w:rsidRPr="00BF1AA2">
        <w:rPr>
          <w:i/>
          <w:sz w:val="23"/>
          <w:szCs w:val="23"/>
        </w:rPr>
        <w:t xml:space="preserve"> </w:t>
      </w:r>
      <w:r w:rsidRPr="00BF1AA2">
        <w:rPr>
          <w:rFonts w:hint="cs"/>
          <w:i/>
          <w:sz w:val="23"/>
          <w:szCs w:val="23"/>
          <w:rtl/>
        </w:rPr>
        <w:t>اقتصاد کلانِ بسیار ساده و اولیه</w:t>
      </w:r>
      <w:r w:rsidRPr="00BF1AA2">
        <w:rPr>
          <w:i/>
          <w:sz w:val="23"/>
          <w:szCs w:val="23"/>
          <w:rtl/>
        </w:rPr>
        <w:softHyphen/>
      </w:r>
      <w:r w:rsidRPr="00BF1AA2">
        <w:rPr>
          <w:rFonts w:hint="cs"/>
          <w:i/>
          <w:sz w:val="23"/>
          <w:szCs w:val="23"/>
          <w:rtl/>
        </w:rPr>
        <w:t>ا</w:t>
      </w:r>
      <w:r w:rsidRPr="00BF1AA2">
        <w:rPr>
          <w:i/>
          <w:sz w:val="23"/>
          <w:szCs w:val="23"/>
          <w:rtl/>
        </w:rPr>
        <w:softHyphen/>
      </w:r>
      <w:r w:rsidRPr="00BF1AA2">
        <w:rPr>
          <w:rFonts w:hint="cs"/>
          <w:i/>
          <w:sz w:val="23"/>
          <w:szCs w:val="23"/>
          <w:rtl/>
        </w:rPr>
        <w:t>ی که در فصل دوم ارائه می</w:t>
      </w:r>
      <w:r w:rsidRPr="00BF1AA2">
        <w:rPr>
          <w:i/>
          <w:sz w:val="23"/>
          <w:szCs w:val="23"/>
          <w:rtl/>
        </w:rPr>
        <w:softHyphen/>
      </w:r>
      <w:r w:rsidRPr="00BF1AA2">
        <w:rPr>
          <w:rFonts w:hint="cs"/>
          <w:i/>
          <w:sz w:val="23"/>
          <w:szCs w:val="23"/>
          <w:rtl/>
        </w:rPr>
        <w:t>شود، متغیرهای موجود در تعادل بلندمدت یا وضعیت یکنواخت بدون تغییر بوده و لذا رشد آن</w:t>
      </w:r>
      <w:r w:rsidRPr="00BF1AA2">
        <w:rPr>
          <w:i/>
          <w:sz w:val="23"/>
          <w:szCs w:val="23"/>
        </w:rPr>
        <w:softHyphen/>
        <w:t xml:space="preserve"> </w:t>
      </w:r>
      <w:r w:rsidRPr="00BF1AA2">
        <w:rPr>
          <w:rFonts w:hint="cs"/>
          <w:i/>
          <w:sz w:val="23"/>
          <w:szCs w:val="23"/>
          <w:rtl/>
        </w:rPr>
        <w:t>متغیرها برابر با صفر در نظر گرفته شده است. این وضعیت را تعادل ایستا</w:t>
      </w:r>
      <w:r w:rsidR="005E457D" w:rsidRPr="00BF1AA2">
        <w:rPr>
          <w:rFonts w:hint="cs"/>
          <w:i/>
          <w:sz w:val="23"/>
          <w:szCs w:val="23"/>
          <w:rtl/>
        </w:rPr>
        <w:t xml:space="preserve"> </w:t>
      </w:r>
      <w:r w:rsidRPr="00BF1AA2">
        <w:rPr>
          <w:rFonts w:hint="cs"/>
          <w:i/>
          <w:sz w:val="23"/>
          <w:szCs w:val="23"/>
          <w:rtl/>
        </w:rPr>
        <w:t>نامیدیم.</w:t>
      </w:r>
      <w:r w:rsidR="000E5D29" w:rsidRPr="00BF1AA2">
        <w:rPr>
          <w:rFonts w:hint="cs"/>
          <w:i/>
          <w:sz w:val="23"/>
          <w:szCs w:val="23"/>
          <w:rtl/>
        </w:rPr>
        <w:t xml:space="preserve"> </w:t>
      </w:r>
      <w:r w:rsidRPr="00BF1AA2">
        <w:rPr>
          <w:rFonts w:hint="cs"/>
          <w:i/>
          <w:sz w:val="23"/>
          <w:szCs w:val="23"/>
          <w:rtl/>
        </w:rPr>
        <w:t xml:space="preserve">اما در مسائل اقتصاد کلان انبساط متغیرهای اقتصادی مشاهده </w:t>
      </w:r>
      <w:r w:rsidRPr="00BF1AA2">
        <w:rPr>
          <w:i/>
          <w:sz w:val="23"/>
          <w:szCs w:val="23"/>
          <w:rtl/>
        </w:rPr>
        <w:softHyphen/>
      </w:r>
      <w:r w:rsidRPr="00BF1AA2">
        <w:rPr>
          <w:rFonts w:hint="cs"/>
          <w:i/>
          <w:sz w:val="23"/>
          <w:szCs w:val="23"/>
          <w:rtl/>
        </w:rPr>
        <w:t>می</w:t>
      </w:r>
      <w:r w:rsidRPr="00BF1AA2">
        <w:rPr>
          <w:i/>
          <w:sz w:val="23"/>
          <w:szCs w:val="23"/>
          <w:rtl/>
        </w:rPr>
        <w:softHyphen/>
      </w:r>
      <w:r w:rsidRPr="00BF1AA2">
        <w:rPr>
          <w:rFonts w:hint="cs"/>
          <w:i/>
          <w:sz w:val="23"/>
          <w:szCs w:val="23"/>
          <w:rtl/>
        </w:rPr>
        <w:t>شود و فرض تعادل ایستا ضروری نیست. در بسیاری از کشورها، متغیرهای اقتصادی در بلندمدت و یا وضعیت یکنواخت، با نرخ رشد مثبت و ثابتی در حال گسترش و انبساط می</w:t>
      </w:r>
      <w:r w:rsidRPr="00BF1AA2">
        <w:rPr>
          <w:i/>
          <w:sz w:val="23"/>
          <w:szCs w:val="23"/>
          <w:rtl/>
        </w:rPr>
        <w:softHyphen/>
      </w:r>
      <w:r w:rsidRPr="00BF1AA2">
        <w:rPr>
          <w:rFonts w:hint="cs"/>
          <w:i/>
          <w:sz w:val="23"/>
          <w:szCs w:val="23"/>
          <w:rtl/>
        </w:rPr>
        <w:t>باشند. این وضعیت را تعادل همراه با رشد</w:t>
      </w:r>
      <w:r w:rsidR="005E457D" w:rsidRPr="00BF1AA2">
        <w:rPr>
          <w:rFonts w:hint="cs"/>
          <w:i/>
          <w:sz w:val="23"/>
          <w:szCs w:val="23"/>
          <w:rtl/>
        </w:rPr>
        <w:t xml:space="preserve"> </w:t>
      </w:r>
      <w:r w:rsidRPr="00BF1AA2">
        <w:rPr>
          <w:rFonts w:hint="cs"/>
          <w:i/>
          <w:sz w:val="23"/>
          <w:szCs w:val="23"/>
          <w:rtl/>
        </w:rPr>
        <w:t>گویند.</w:t>
      </w:r>
      <w:r w:rsidR="00335845" w:rsidRPr="00BF1AA2">
        <w:rPr>
          <w:rFonts w:hint="cs"/>
          <w:i/>
          <w:sz w:val="23"/>
          <w:szCs w:val="23"/>
          <w:rtl/>
        </w:rPr>
        <w:t xml:space="preserve"> </w:t>
      </w:r>
      <w:r w:rsidRPr="00BF1AA2">
        <w:rPr>
          <w:rFonts w:hint="cs"/>
          <w:i/>
          <w:sz w:val="23"/>
          <w:szCs w:val="23"/>
          <w:rtl/>
        </w:rPr>
        <w:t xml:space="preserve">در </w:t>
      </w:r>
      <w:r w:rsidRPr="00BF1AA2">
        <w:rPr>
          <w:rFonts w:hint="cs"/>
          <w:bCs/>
          <w:i/>
          <w:sz w:val="23"/>
          <w:szCs w:val="23"/>
          <w:rtl/>
        </w:rPr>
        <w:t>فصل سوم</w:t>
      </w:r>
      <w:r w:rsidRPr="00BF1AA2">
        <w:rPr>
          <w:rFonts w:hint="cs"/>
          <w:i/>
          <w:sz w:val="23"/>
          <w:szCs w:val="23"/>
          <w:rtl/>
        </w:rPr>
        <w:t xml:space="preserve"> با معرفی مدل‌های رشد، این امکان فراهم </w:t>
      </w:r>
      <w:r w:rsidRPr="00BF1AA2">
        <w:rPr>
          <w:rFonts w:hint="cs"/>
          <w:i/>
          <w:sz w:val="23"/>
          <w:szCs w:val="23"/>
          <w:rtl/>
        </w:rPr>
        <w:lastRenderedPageBreak/>
        <w:t>می‌شود تا متغیرهای موجود در مدل اقتصادی، با نرخ رشد ثابتی</w:t>
      </w:r>
      <w:r w:rsidR="000E5D29" w:rsidRPr="00BF1AA2">
        <w:rPr>
          <w:rFonts w:hint="cs"/>
          <w:i/>
          <w:sz w:val="23"/>
          <w:szCs w:val="23"/>
          <w:rtl/>
        </w:rPr>
        <w:t xml:space="preserve"> </w:t>
      </w:r>
      <w:r w:rsidRPr="00BF1AA2">
        <w:rPr>
          <w:rFonts w:hint="cs"/>
          <w:i/>
          <w:sz w:val="23"/>
          <w:szCs w:val="23"/>
          <w:rtl/>
        </w:rPr>
        <w:t xml:space="preserve">در بلندمدت تغییر کنند. دو </w:t>
      </w:r>
      <w:r w:rsidR="007701A1" w:rsidRPr="00BF1AA2">
        <w:rPr>
          <w:rFonts w:hint="cs"/>
          <w:i/>
          <w:sz w:val="23"/>
          <w:szCs w:val="23"/>
          <w:rtl/>
        </w:rPr>
        <w:t>نظریه</w:t>
      </w:r>
      <w:r w:rsidRPr="00BF1AA2">
        <w:rPr>
          <w:rFonts w:hint="cs"/>
          <w:i/>
          <w:sz w:val="23"/>
          <w:szCs w:val="23"/>
          <w:rtl/>
        </w:rPr>
        <w:t xml:space="preserve"> رشد سولو-سوان و </w:t>
      </w:r>
      <w:r w:rsidR="007701A1" w:rsidRPr="00BF1AA2">
        <w:rPr>
          <w:rFonts w:hint="cs"/>
          <w:i/>
          <w:sz w:val="23"/>
          <w:szCs w:val="23"/>
          <w:rtl/>
        </w:rPr>
        <w:t>نظریه</w:t>
      </w:r>
      <w:r w:rsidRPr="00BF1AA2">
        <w:rPr>
          <w:rFonts w:hint="cs"/>
          <w:i/>
          <w:sz w:val="23"/>
          <w:szCs w:val="23"/>
          <w:rtl/>
        </w:rPr>
        <w:t xml:space="preserve"> رشد رمزی </w:t>
      </w:r>
      <w:r w:rsidR="0098549C" w:rsidRPr="00BF1AA2">
        <w:rPr>
          <w:rFonts w:hint="cs"/>
          <w:i/>
          <w:sz w:val="23"/>
          <w:szCs w:val="23"/>
          <w:rtl/>
        </w:rPr>
        <w:t xml:space="preserve">را </w:t>
      </w:r>
      <w:r w:rsidRPr="00BF1AA2">
        <w:rPr>
          <w:rFonts w:hint="cs"/>
          <w:i/>
          <w:sz w:val="23"/>
          <w:szCs w:val="23"/>
          <w:rtl/>
        </w:rPr>
        <w:t>مورد بررسی و مداقه‌ی بیشتر قرار می</w:t>
      </w:r>
      <w:r w:rsidRPr="00BF1AA2">
        <w:rPr>
          <w:rFonts w:hint="cs"/>
          <w:i/>
          <w:sz w:val="23"/>
          <w:szCs w:val="23"/>
          <w:rtl/>
        </w:rPr>
        <w:softHyphen/>
        <w:t>دهیم</w:t>
      </w:r>
      <w:r w:rsidRPr="00BF1AA2">
        <w:rPr>
          <w:i/>
          <w:sz w:val="23"/>
          <w:szCs w:val="23"/>
        </w:rPr>
        <w:t xml:space="preserve"> </w:t>
      </w:r>
      <w:r w:rsidRPr="00BF1AA2">
        <w:rPr>
          <w:rFonts w:hint="cs"/>
          <w:i/>
          <w:sz w:val="23"/>
          <w:szCs w:val="23"/>
          <w:rtl/>
        </w:rPr>
        <w:t>. در این صورت نه تنها امکان بررسی الگوی اقتصادی با مقادیر ثابت متغیرها و به تبع آن وضعیت تعادل ایستا فراهم می‌شود، بلکه امکان تجزیه و تحلیل مدل اقتصادی که در وضعیت یکنواخت متغیرهای آن د</w:t>
      </w:r>
      <w:r w:rsidR="0098549C" w:rsidRPr="00BF1AA2">
        <w:rPr>
          <w:rFonts w:hint="cs"/>
          <w:i/>
          <w:sz w:val="23"/>
          <w:szCs w:val="23"/>
          <w:rtl/>
        </w:rPr>
        <w:t>ارای رشد غیر صفر ولی ثابت هست</w:t>
      </w:r>
      <w:r w:rsidRPr="00BF1AA2">
        <w:rPr>
          <w:rFonts w:hint="cs"/>
          <w:i/>
          <w:sz w:val="23"/>
          <w:szCs w:val="23"/>
          <w:rtl/>
        </w:rPr>
        <w:t xml:space="preserve">ند یعنی وضعیت تعادل همراه با رشد نیز میسر خواهد شد. </w:t>
      </w:r>
    </w:p>
    <w:p w14:paraId="62B7B3A8" w14:textId="77777777" w:rsidR="00912CC7" w:rsidRPr="00BF1AA2" w:rsidRDefault="00912CC7" w:rsidP="00656484">
      <w:pPr>
        <w:spacing w:line="216" w:lineRule="auto"/>
        <w:rPr>
          <w:i/>
          <w:sz w:val="23"/>
          <w:szCs w:val="23"/>
        </w:rPr>
      </w:pPr>
    </w:p>
    <w:p w14:paraId="3C741B35" w14:textId="77777777" w:rsidR="007D13C9" w:rsidRPr="00BF1AA2" w:rsidRDefault="007D13C9" w:rsidP="00656484">
      <w:pPr>
        <w:spacing w:line="216" w:lineRule="auto"/>
        <w:rPr>
          <w:i/>
          <w:sz w:val="23"/>
          <w:szCs w:val="23"/>
          <w:rtl/>
        </w:rPr>
      </w:pPr>
      <w:r w:rsidRPr="00BF1AA2">
        <w:rPr>
          <w:rFonts w:hint="cs"/>
          <w:i/>
          <w:sz w:val="23"/>
          <w:szCs w:val="23"/>
          <w:rtl/>
        </w:rPr>
        <w:t xml:space="preserve">در </w:t>
      </w:r>
      <w:r w:rsidRPr="00BF1AA2">
        <w:rPr>
          <w:rFonts w:hint="cs"/>
          <w:bCs/>
          <w:i/>
          <w:sz w:val="23"/>
          <w:szCs w:val="23"/>
          <w:rtl/>
        </w:rPr>
        <w:t>فصل چهارم</w:t>
      </w:r>
      <w:r w:rsidRPr="00BF1AA2">
        <w:rPr>
          <w:rFonts w:hint="cs"/>
          <w:i/>
          <w:sz w:val="23"/>
          <w:szCs w:val="23"/>
          <w:rtl/>
        </w:rPr>
        <w:t xml:space="preserve"> بین خان</w:t>
      </w:r>
      <w:r w:rsidR="005E457D" w:rsidRPr="00BF1AA2">
        <w:rPr>
          <w:rFonts w:hint="cs"/>
          <w:i/>
          <w:sz w:val="23"/>
          <w:szCs w:val="23"/>
          <w:rtl/>
        </w:rPr>
        <w:t>وار و بنگاه تمایز قائل شده</w:t>
      </w:r>
      <w:r w:rsidR="00335845" w:rsidRPr="00BF1AA2">
        <w:rPr>
          <w:rFonts w:hint="cs"/>
          <w:i/>
          <w:sz w:val="23"/>
          <w:szCs w:val="23"/>
          <w:rtl/>
        </w:rPr>
        <w:t>،</w:t>
      </w:r>
      <w:r w:rsidR="0098549C" w:rsidRPr="00BF1AA2">
        <w:rPr>
          <w:rFonts w:hint="cs"/>
          <w:i/>
          <w:sz w:val="23"/>
          <w:szCs w:val="23"/>
          <w:rtl/>
        </w:rPr>
        <w:t xml:space="preserve"> ابتدا رفتار خانوار</w:t>
      </w:r>
      <w:r w:rsidR="005E457D" w:rsidRPr="00BF1AA2">
        <w:rPr>
          <w:rFonts w:hint="cs"/>
          <w:i/>
          <w:sz w:val="23"/>
          <w:szCs w:val="23"/>
          <w:rtl/>
        </w:rPr>
        <w:t xml:space="preserve"> در خصوص مصرف و پس</w:t>
      </w:r>
      <w:r w:rsidR="005E457D" w:rsidRPr="00BF1AA2">
        <w:rPr>
          <w:i/>
          <w:sz w:val="23"/>
          <w:szCs w:val="23"/>
          <w:rtl/>
        </w:rPr>
        <w:softHyphen/>
      </w:r>
      <w:r w:rsidR="005E457D" w:rsidRPr="00BF1AA2">
        <w:rPr>
          <w:rFonts w:hint="cs"/>
          <w:i/>
          <w:sz w:val="23"/>
          <w:szCs w:val="23"/>
          <w:rtl/>
        </w:rPr>
        <w:t>انداز و عرضه</w:t>
      </w:r>
      <w:r w:rsidR="005E457D" w:rsidRPr="00BF1AA2">
        <w:rPr>
          <w:i/>
          <w:sz w:val="23"/>
          <w:szCs w:val="23"/>
          <w:rtl/>
        </w:rPr>
        <w:softHyphen/>
      </w:r>
      <w:r w:rsidR="005E457D" w:rsidRPr="00BF1AA2">
        <w:rPr>
          <w:rFonts w:hint="cs"/>
          <w:i/>
          <w:sz w:val="23"/>
          <w:szCs w:val="23"/>
          <w:rtl/>
        </w:rPr>
        <w:t xml:space="preserve">ی کار </w:t>
      </w:r>
      <w:r w:rsidR="00335845" w:rsidRPr="00BF1AA2">
        <w:rPr>
          <w:rFonts w:hint="cs"/>
          <w:i/>
          <w:sz w:val="23"/>
          <w:szCs w:val="23"/>
          <w:rtl/>
        </w:rPr>
        <w:t>بررسی می‌شود و</w:t>
      </w:r>
      <w:r w:rsidRPr="00BF1AA2">
        <w:rPr>
          <w:rFonts w:hint="cs"/>
          <w:i/>
          <w:sz w:val="23"/>
          <w:szCs w:val="23"/>
          <w:rtl/>
        </w:rPr>
        <w:t xml:space="preserve"> سپس رفتار بنگاه در خصوص سرمایه</w:t>
      </w:r>
      <w:r w:rsidRPr="00BF1AA2">
        <w:rPr>
          <w:i/>
          <w:sz w:val="23"/>
          <w:szCs w:val="23"/>
          <w:rtl/>
        </w:rPr>
        <w:softHyphen/>
      </w:r>
      <w:r w:rsidRPr="00BF1AA2">
        <w:rPr>
          <w:rFonts w:hint="cs"/>
          <w:i/>
          <w:sz w:val="23"/>
          <w:szCs w:val="23"/>
          <w:rtl/>
        </w:rPr>
        <w:t>گذاری، بدهی مالی و تقاضا برای نیروی کار مورد ارزیابی قرار خواهد گرفت. نهایتاً جهت دسترسی به مدل تع</w:t>
      </w:r>
      <w:r w:rsidR="005E457D" w:rsidRPr="00BF1AA2">
        <w:rPr>
          <w:rFonts w:hint="cs"/>
          <w:i/>
          <w:sz w:val="23"/>
          <w:szCs w:val="23"/>
          <w:rtl/>
        </w:rPr>
        <w:t>ادل عمومی، بازار کالاها و خدمات و</w:t>
      </w:r>
      <w:r w:rsidR="000E5D29" w:rsidRPr="00BF1AA2">
        <w:rPr>
          <w:rFonts w:hint="cs"/>
          <w:i/>
          <w:sz w:val="23"/>
          <w:szCs w:val="23"/>
          <w:rtl/>
        </w:rPr>
        <w:t xml:space="preserve"> </w:t>
      </w:r>
      <w:r w:rsidRPr="00BF1AA2">
        <w:rPr>
          <w:rFonts w:hint="cs"/>
          <w:i/>
          <w:sz w:val="23"/>
          <w:szCs w:val="23"/>
          <w:rtl/>
        </w:rPr>
        <w:t>بازار</w:t>
      </w:r>
      <w:r w:rsidR="005E457D" w:rsidRPr="00BF1AA2">
        <w:rPr>
          <w:rFonts w:hint="cs"/>
          <w:i/>
          <w:sz w:val="23"/>
          <w:szCs w:val="23"/>
          <w:rtl/>
        </w:rPr>
        <w:t xml:space="preserve"> نیروی کار مورد بررسی قرار خواهند گرفت. </w:t>
      </w:r>
    </w:p>
    <w:p w14:paraId="4D449EAA" w14:textId="77777777" w:rsidR="00912CC7" w:rsidRPr="00BF1AA2" w:rsidRDefault="00912CC7" w:rsidP="00656484">
      <w:pPr>
        <w:spacing w:line="216" w:lineRule="auto"/>
        <w:rPr>
          <w:i/>
          <w:sz w:val="23"/>
          <w:szCs w:val="23"/>
        </w:rPr>
      </w:pPr>
    </w:p>
    <w:p w14:paraId="5C87B480" w14:textId="77777777" w:rsidR="005E457D" w:rsidRPr="00BF1AA2" w:rsidRDefault="005E457D" w:rsidP="00656484">
      <w:pPr>
        <w:spacing w:line="216" w:lineRule="auto"/>
        <w:rPr>
          <w:i/>
          <w:sz w:val="23"/>
          <w:szCs w:val="23"/>
          <w:rtl/>
        </w:rPr>
      </w:pPr>
      <w:r w:rsidRPr="00BF1AA2">
        <w:rPr>
          <w:rFonts w:hint="cs"/>
          <w:i/>
          <w:sz w:val="23"/>
          <w:szCs w:val="23"/>
          <w:rtl/>
        </w:rPr>
        <w:t xml:space="preserve">با ورود دولت در اقتصاد، </w:t>
      </w:r>
      <w:r w:rsidR="008F3A19" w:rsidRPr="00BF1AA2">
        <w:rPr>
          <w:rFonts w:hint="cs"/>
          <w:bCs/>
          <w:i/>
          <w:sz w:val="23"/>
          <w:szCs w:val="23"/>
          <w:rtl/>
        </w:rPr>
        <w:t>فصل پنجم</w:t>
      </w:r>
      <w:r w:rsidR="008F3A19" w:rsidRPr="00BF1AA2">
        <w:rPr>
          <w:rFonts w:hint="cs"/>
          <w:i/>
          <w:sz w:val="23"/>
          <w:szCs w:val="23"/>
          <w:rtl/>
        </w:rPr>
        <w:t xml:space="preserve"> را </w:t>
      </w:r>
      <w:r w:rsidR="0098549C" w:rsidRPr="00BF1AA2">
        <w:rPr>
          <w:rFonts w:hint="cs"/>
          <w:i/>
          <w:sz w:val="23"/>
          <w:szCs w:val="23"/>
          <w:rtl/>
        </w:rPr>
        <w:t>با</w:t>
      </w:r>
      <w:r w:rsidR="00B13AC6" w:rsidRPr="00BF1AA2">
        <w:rPr>
          <w:rFonts w:hint="cs"/>
          <w:i/>
          <w:sz w:val="23"/>
          <w:szCs w:val="23"/>
          <w:rtl/>
        </w:rPr>
        <w:t xml:space="preserve"> </w:t>
      </w:r>
      <w:r w:rsidRPr="00BF1AA2">
        <w:rPr>
          <w:rFonts w:hint="cs"/>
          <w:i/>
          <w:sz w:val="23"/>
          <w:szCs w:val="23"/>
          <w:rtl/>
        </w:rPr>
        <w:t>قید بودجه</w:t>
      </w:r>
      <w:r w:rsidRPr="00BF1AA2">
        <w:rPr>
          <w:i/>
          <w:sz w:val="23"/>
          <w:szCs w:val="23"/>
          <w:rtl/>
        </w:rPr>
        <w:softHyphen/>
      </w:r>
      <w:r w:rsidRPr="00BF1AA2">
        <w:rPr>
          <w:rFonts w:hint="cs"/>
          <w:i/>
          <w:sz w:val="23"/>
          <w:szCs w:val="23"/>
          <w:rtl/>
        </w:rPr>
        <w:t>ی دولت جهت تأمین مالی مخارج از طریق مالیات و اوراق قرضه</w:t>
      </w:r>
      <w:r w:rsidRPr="00BF1AA2">
        <w:rPr>
          <w:i/>
          <w:sz w:val="23"/>
          <w:szCs w:val="23"/>
          <w:rtl/>
        </w:rPr>
        <w:softHyphen/>
      </w:r>
      <w:r w:rsidRPr="00BF1AA2">
        <w:rPr>
          <w:rFonts w:hint="cs"/>
          <w:i/>
          <w:sz w:val="23"/>
          <w:szCs w:val="23"/>
          <w:rtl/>
        </w:rPr>
        <w:t xml:space="preserve">ی دولتی </w:t>
      </w:r>
      <w:r w:rsidR="00B13AC6" w:rsidRPr="00BF1AA2">
        <w:rPr>
          <w:rFonts w:hint="cs"/>
          <w:i/>
          <w:sz w:val="23"/>
          <w:szCs w:val="23"/>
          <w:rtl/>
        </w:rPr>
        <w:t>آغاز می</w:t>
      </w:r>
      <w:r w:rsidR="00B13AC6" w:rsidRPr="00BF1AA2">
        <w:rPr>
          <w:i/>
          <w:sz w:val="23"/>
          <w:szCs w:val="23"/>
          <w:rtl/>
        </w:rPr>
        <w:softHyphen/>
      </w:r>
      <w:r w:rsidR="00B13AC6" w:rsidRPr="00BF1AA2">
        <w:rPr>
          <w:rFonts w:hint="cs"/>
          <w:i/>
          <w:sz w:val="23"/>
          <w:szCs w:val="23"/>
          <w:rtl/>
        </w:rPr>
        <w:t xml:space="preserve">کنیم. </w:t>
      </w:r>
      <w:r w:rsidRPr="00BF1AA2">
        <w:rPr>
          <w:rFonts w:hint="cs"/>
          <w:i/>
          <w:sz w:val="23"/>
          <w:szCs w:val="23"/>
          <w:rtl/>
        </w:rPr>
        <w:t>هزینه</w:t>
      </w:r>
      <w:r w:rsidRPr="00BF1AA2">
        <w:rPr>
          <w:i/>
          <w:sz w:val="23"/>
          <w:szCs w:val="23"/>
          <w:rtl/>
        </w:rPr>
        <w:softHyphen/>
      </w:r>
      <w:r w:rsidRPr="00BF1AA2">
        <w:rPr>
          <w:rFonts w:hint="cs"/>
          <w:i/>
          <w:sz w:val="23"/>
          <w:szCs w:val="23"/>
          <w:rtl/>
        </w:rPr>
        <w:t>های دولت ا</w:t>
      </w:r>
      <w:r w:rsidR="0098549C" w:rsidRPr="00BF1AA2">
        <w:rPr>
          <w:rFonts w:hint="cs"/>
          <w:i/>
          <w:sz w:val="23"/>
          <w:szCs w:val="23"/>
          <w:rtl/>
        </w:rPr>
        <w:t>ز طریق مالیات، استقراض از مردم یا</w:t>
      </w:r>
      <w:r w:rsidRPr="00BF1AA2">
        <w:rPr>
          <w:rFonts w:hint="cs"/>
          <w:i/>
          <w:sz w:val="23"/>
          <w:szCs w:val="23"/>
          <w:rtl/>
        </w:rPr>
        <w:t xml:space="preserve"> انتشار اوراق قرضه</w:t>
      </w:r>
      <w:r w:rsidRPr="00BF1AA2">
        <w:rPr>
          <w:i/>
          <w:sz w:val="23"/>
          <w:szCs w:val="23"/>
          <w:rtl/>
        </w:rPr>
        <w:softHyphen/>
      </w:r>
      <w:r w:rsidRPr="00BF1AA2">
        <w:rPr>
          <w:rFonts w:hint="cs"/>
          <w:i/>
          <w:sz w:val="23"/>
          <w:szCs w:val="23"/>
          <w:rtl/>
        </w:rPr>
        <w:t xml:space="preserve"> و یا چاپ پول با استقراض از بانک مرکزی تأمین اعتبار می</w:t>
      </w:r>
      <w:r w:rsidRPr="00BF1AA2">
        <w:rPr>
          <w:i/>
          <w:sz w:val="23"/>
          <w:szCs w:val="23"/>
          <w:rtl/>
        </w:rPr>
        <w:softHyphen/>
      </w:r>
      <w:r w:rsidRPr="00BF1AA2">
        <w:rPr>
          <w:rFonts w:hint="cs"/>
          <w:i/>
          <w:sz w:val="23"/>
          <w:szCs w:val="23"/>
          <w:rtl/>
        </w:rPr>
        <w:t>شود. صرف نظر از اهداف برابری</w:t>
      </w:r>
      <w:r w:rsidRPr="00BF1AA2">
        <w:rPr>
          <w:i/>
          <w:sz w:val="23"/>
          <w:szCs w:val="23"/>
          <w:rtl/>
        </w:rPr>
        <w:softHyphen/>
      </w:r>
      <w:r w:rsidRPr="00BF1AA2">
        <w:rPr>
          <w:rFonts w:hint="cs"/>
          <w:i/>
          <w:sz w:val="23"/>
          <w:szCs w:val="23"/>
          <w:rtl/>
        </w:rPr>
        <w:t>های اقتصادی و اجتماعی دولت</w:t>
      </w:r>
      <w:r w:rsidRPr="00BF1AA2">
        <w:rPr>
          <w:i/>
          <w:sz w:val="23"/>
          <w:szCs w:val="23"/>
          <w:rtl/>
        </w:rPr>
        <w:softHyphen/>
      </w:r>
      <w:r w:rsidRPr="00BF1AA2">
        <w:rPr>
          <w:rFonts w:hint="cs"/>
          <w:i/>
          <w:sz w:val="23"/>
          <w:szCs w:val="23"/>
          <w:rtl/>
        </w:rPr>
        <w:t>ها، سئوال اساسی این است که چرا دولت</w:t>
      </w:r>
      <w:r w:rsidRPr="00BF1AA2">
        <w:rPr>
          <w:i/>
          <w:sz w:val="23"/>
          <w:szCs w:val="23"/>
          <w:rtl/>
        </w:rPr>
        <w:softHyphen/>
      </w:r>
      <w:r w:rsidRPr="00BF1AA2">
        <w:rPr>
          <w:rFonts w:hint="cs"/>
          <w:i/>
          <w:sz w:val="23"/>
          <w:szCs w:val="23"/>
          <w:rtl/>
        </w:rPr>
        <w:t>ها بجای بخش خصوصی کالاها و خدمات را تهیه می</w:t>
      </w:r>
      <w:r w:rsidRPr="00BF1AA2">
        <w:rPr>
          <w:i/>
          <w:sz w:val="23"/>
          <w:szCs w:val="23"/>
          <w:rtl/>
        </w:rPr>
        <w:softHyphen/>
      </w:r>
      <w:r w:rsidRPr="00BF1AA2">
        <w:rPr>
          <w:rFonts w:hint="cs"/>
          <w:i/>
          <w:sz w:val="23"/>
          <w:szCs w:val="23"/>
          <w:rtl/>
        </w:rPr>
        <w:t>کنند؟ چه نوع کالاها و خدماتی باید توسط دولت</w:t>
      </w:r>
      <w:r w:rsidRPr="00BF1AA2">
        <w:rPr>
          <w:i/>
          <w:sz w:val="23"/>
          <w:szCs w:val="23"/>
          <w:rtl/>
        </w:rPr>
        <w:softHyphen/>
      </w:r>
      <w:r w:rsidRPr="00BF1AA2">
        <w:rPr>
          <w:rFonts w:hint="cs"/>
          <w:i/>
          <w:sz w:val="23"/>
          <w:szCs w:val="23"/>
          <w:rtl/>
        </w:rPr>
        <w:t xml:space="preserve"> برای بخش خصوصی، و چه نوع کالاها و خدماتی باید توسط خودِ بخش خصوصی تهیه </w:t>
      </w:r>
      <w:r w:rsidRPr="00BF1AA2">
        <w:rPr>
          <w:i/>
          <w:sz w:val="23"/>
          <w:szCs w:val="23"/>
          <w:rtl/>
        </w:rPr>
        <w:softHyphen/>
      </w:r>
      <w:r w:rsidRPr="00BF1AA2">
        <w:rPr>
          <w:rFonts w:hint="cs"/>
          <w:i/>
          <w:sz w:val="23"/>
          <w:szCs w:val="23"/>
          <w:rtl/>
        </w:rPr>
        <w:t>شوند؟ از آنجا که بدهی دولت می</w:t>
      </w:r>
      <w:r w:rsidRPr="00BF1AA2">
        <w:rPr>
          <w:i/>
          <w:sz w:val="23"/>
          <w:szCs w:val="23"/>
          <w:rtl/>
        </w:rPr>
        <w:softHyphen/>
      </w:r>
      <w:r w:rsidRPr="00BF1AA2">
        <w:rPr>
          <w:rFonts w:hint="cs"/>
          <w:i/>
          <w:sz w:val="23"/>
          <w:szCs w:val="23"/>
          <w:rtl/>
        </w:rPr>
        <w:t>بایست در آینده بازپرداخت شود لذا استقراض دولت در زمان</w:t>
      </w:r>
      <w:r w:rsidR="008F3A19" w:rsidRPr="00BF1AA2">
        <w:rPr>
          <w:rFonts w:hint="cs"/>
          <w:i/>
          <w:sz w:val="23"/>
          <w:szCs w:val="23"/>
          <w:rtl/>
        </w:rPr>
        <w:t xml:space="preserve"> حال، از طریق مالیات بر نسل آینده</w:t>
      </w:r>
      <w:r w:rsidRPr="00BF1AA2">
        <w:rPr>
          <w:rFonts w:hint="cs"/>
          <w:i/>
          <w:sz w:val="23"/>
          <w:szCs w:val="23"/>
          <w:rtl/>
        </w:rPr>
        <w:t xml:space="preserve"> بازپرداخت خواهد شد. بنابراین استقراض با بازپرداخت طولانی مدت، منجر به انتقال درآمد بین</w:t>
      </w:r>
      <w:r w:rsidRPr="00BF1AA2">
        <w:rPr>
          <w:i/>
          <w:sz w:val="23"/>
          <w:szCs w:val="23"/>
          <w:rtl/>
        </w:rPr>
        <w:softHyphen/>
      </w:r>
      <w:r w:rsidRPr="00BF1AA2">
        <w:rPr>
          <w:rFonts w:hint="cs"/>
          <w:i/>
          <w:sz w:val="23"/>
          <w:szCs w:val="23"/>
          <w:rtl/>
        </w:rPr>
        <w:t>نسلی خواهد شد. در چه شرایطی تأمین مالی مخارج کنونی دولت از طریق بدهی (یا مالیات از نسل بعدی) بجای مالیات جاری توجیه می</w:t>
      </w:r>
      <w:r w:rsidRPr="00BF1AA2">
        <w:rPr>
          <w:i/>
          <w:sz w:val="23"/>
          <w:szCs w:val="23"/>
          <w:rtl/>
        </w:rPr>
        <w:softHyphen/>
      </w:r>
      <w:r w:rsidRPr="00BF1AA2">
        <w:rPr>
          <w:rFonts w:hint="cs"/>
          <w:i/>
          <w:sz w:val="23"/>
          <w:szCs w:val="23"/>
          <w:rtl/>
        </w:rPr>
        <w:t>شود؟</w:t>
      </w:r>
      <w:r w:rsidR="00B13AC6" w:rsidRPr="00BF1AA2">
        <w:rPr>
          <w:rFonts w:hint="cs"/>
          <w:i/>
          <w:sz w:val="23"/>
          <w:szCs w:val="23"/>
          <w:rtl/>
        </w:rPr>
        <w:t xml:space="preserve"> </w:t>
      </w:r>
      <w:r w:rsidRPr="00BF1AA2">
        <w:rPr>
          <w:rFonts w:hint="cs"/>
          <w:i/>
          <w:sz w:val="23"/>
          <w:szCs w:val="23"/>
          <w:rtl/>
        </w:rPr>
        <w:t>چه کسی باید کالاهای عمومی محض را تهیه کند، بخش خصوصی یا دولت؟ در این فصل جهت تجزیه و تحلیل اثر مخارج دولت بر اقتصاد، مخارج دولت در تابع مطلوبیت خانوار قرار گرفته و بر اساس آن سطح بهینه</w:t>
      </w:r>
      <w:r w:rsidRPr="00BF1AA2">
        <w:rPr>
          <w:i/>
          <w:sz w:val="23"/>
          <w:szCs w:val="23"/>
          <w:rtl/>
        </w:rPr>
        <w:softHyphen/>
      </w:r>
      <w:r w:rsidRPr="00BF1AA2">
        <w:rPr>
          <w:rFonts w:hint="cs"/>
          <w:i/>
          <w:sz w:val="23"/>
          <w:szCs w:val="23"/>
          <w:rtl/>
        </w:rPr>
        <w:t xml:space="preserve">ی مخارج دولت بدست خواهد آمد. همچنین سیاست مالیات بهینه، بدهی بهینه و پایداری کسری مالی یا وضعیت مالی دولت نیز </w:t>
      </w:r>
      <w:r w:rsidR="00335845" w:rsidRPr="00BF1AA2">
        <w:rPr>
          <w:rFonts w:hint="cs"/>
          <w:i/>
          <w:sz w:val="23"/>
          <w:szCs w:val="23"/>
          <w:rtl/>
        </w:rPr>
        <w:t xml:space="preserve">در این فصل </w:t>
      </w:r>
      <w:r w:rsidRPr="00BF1AA2">
        <w:rPr>
          <w:rFonts w:hint="cs"/>
          <w:i/>
          <w:sz w:val="23"/>
          <w:szCs w:val="23"/>
          <w:rtl/>
        </w:rPr>
        <w:t xml:space="preserve">مورد بررسی قرار خواهد گرفت. </w:t>
      </w:r>
    </w:p>
    <w:p w14:paraId="5D247D0C" w14:textId="77777777" w:rsidR="00912CC7" w:rsidRPr="00BF1AA2" w:rsidRDefault="00912CC7" w:rsidP="00656484">
      <w:pPr>
        <w:spacing w:line="216" w:lineRule="auto"/>
        <w:rPr>
          <w:bCs/>
          <w:i/>
          <w:sz w:val="23"/>
          <w:szCs w:val="23"/>
        </w:rPr>
      </w:pPr>
    </w:p>
    <w:p w14:paraId="5BDE1A70" w14:textId="77777777" w:rsidR="00847312" w:rsidRPr="00BF1AA2" w:rsidRDefault="00847312" w:rsidP="00656484">
      <w:pPr>
        <w:spacing w:line="216" w:lineRule="auto"/>
        <w:rPr>
          <w:i/>
          <w:sz w:val="23"/>
          <w:szCs w:val="23"/>
          <w:rtl/>
        </w:rPr>
      </w:pPr>
      <w:r w:rsidRPr="00BF1AA2">
        <w:rPr>
          <w:bCs/>
          <w:i/>
          <w:sz w:val="23"/>
          <w:szCs w:val="23"/>
          <w:rtl/>
        </w:rPr>
        <w:t xml:space="preserve">فصل </w:t>
      </w:r>
      <w:r w:rsidRPr="00BF1AA2">
        <w:rPr>
          <w:rFonts w:hint="cs"/>
          <w:bCs/>
          <w:i/>
          <w:sz w:val="23"/>
          <w:szCs w:val="23"/>
          <w:rtl/>
        </w:rPr>
        <w:t>ششم</w:t>
      </w:r>
      <w:r w:rsidRPr="00BF1AA2">
        <w:rPr>
          <w:rFonts w:hint="cs"/>
          <w:i/>
          <w:sz w:val="23"/>
          <w:szCs w:val="23"/>
          <w:rtl/>
        </w:rPr>
        <w:t xml:space="preserve"> </w:t>
      </w:r>
      <w:r w:rsidRPr="00BF1AA2">
        <w:rPr>
          <w:i/>
          <w:sz w:val="23"/>
          <w:szCs w:val="23"/>
          <w:rtl/>
        </w:rPr>
        <w:t>دو موضوع</w:t>
      </w:r>
      <w:r w:rsidRPr="00BF1AA2">
        <w:rPr>
          <w:i/>
          <w:sz w:val="23"/>
          <w:szCs w:val="23"/>
        </w:rPr>
        <w:t xml:space="preserve"> </w:t>
      </w:r>
      <w:r w:rsidRPr="00BF1AA2">
        <w:rPr>
          <w:rFonts w:hint="cs"/>
          <w:i/>
          <w:sz w:val="23"/>
          <w:szCs w:val="23"/>
          <w:rtl/>
        </w:rPr>
        <w:t>دیگر در خصوص سیاست</w:t>
      </w:r>
      <w:r w:rsidRPr="00BF1AA2">
        <w:rPr>
          <w:i/>
          <w:sz w:val="23"/>
          <w:szCs w:val="23"/>
          <w:rtl/>
        </w:rPr>
        <w:softHyphen/>
      </w:r>
      <w:r w:rsidRPr="00BF1AA2">
        <w:rPr>
          <w:rFonts w:hint="cs"/>
          <w:i/>
          <w:sz w:val="23"/>
          <w:szCs w:val="23"/>
          <w:rtl/>
        </w:rPr>
        <w:t>های مالی یعنی</w:t>
      </w:r>
      <w:r w:rsidRPr="00BF1AA2">
        <w:rPr>
          <w:i/>
          <w:sz w:val="23"/>
          <w:szCs w:val="23"/>
          <w:rtl/>
        </w:rPr>
        <w:t xml:space="preserve"> </w:t>
      </w:r>
      <w:r w:rsidRPr="00BF1AA2">
        <w:rPr>
          <w:rFonts w:hint="cs"/>
          <w:i/>
          <w:sz w:val="23"/>
          <w:szCs w:val="23"/>
          <w:rtl/>
        </w:rPr>
        <w:t>نا</w:t>
      </w:r>
      <w:r w:rsidRPr="00BF1AA2">
        <w:rPr>
          <w:i/>
          <w:sz w:val="23"/>
          <w:szCs w:val="23"/>
          <w:rtl/>
        </w:rPr>
        <w:t>سازگاري ز</w:t>
      </w:r>
      <w:r w:rsidRPr="00BF1AA2">
        <w:rPr>
          <w:rFonts w:hint="cs"/>
          <w:i/>
          <w:sz w:val="23"/>
          <w:szCs w:val="23"/>
          <w:rtl/>
        </w:rPr>
        <w:t>م</w:t>
      </w:r>
      <w:r w:rsidRPr="00BF1AA2">
        <w:rPr>
          <w:i/>
          <w:sz w:val="23"/>
          <w:szCs w:val="23"/>
          <w:rtl/>
        </w:rPr>
        <w:t xml:space="preserve">اني </w:t>
      </w:r>
      <w:r w:rsidRPr="00BF1AA2">
        <w:rPr>
          <w:rFonts w:hint="cs"/>
          <w:i/>
          <w:sz w:val="23"/>
          <w:szCs w:val="23"/>
          <w:rtl/>
        </w:rPr>
        <w:t>و سیاست</w:t>
      </w:r>
      <w:r w:rsidRPr="00BF1AA2">
        <w:rPr>
          <w:i/>
          <w:sz w:val="23"/>
          <w:szCs w:val="23"/>
          <w:rtl/>
        </w:rPr>
        <w:t xml:space="preserve"> </w:t>
      </w:r>
      <w:r w:rsidRPr="00BF1AA2">
        <w:rPr>
          <w:rFonts w:hint="cs"/>
          <w:i/>
          <w:sz w:val="23"/>
          <w:szCs w:val="23"/>
          <w:rtl/>
        </w:rPr>
        <w:t>مربوط به حق</w:t>
      </w:r>
      <w:r w:rsidRPr="00BF1AA2">
        <w:rPr>
          <w:i/>
          <w:sz w:val="23"/>
          <w:szCs w:val="23"/>
          <w:rtl/>
        </w:rPr>
        <w:t xml:space="preserve">وق بازنشستگي </w:t>
      </w:r>
      <w:r w:rsidRPr="00BF1AA2">
        <w:rPr>
          <w:rFonts w:hint="cs"/>
          <w:i/>
          <w:sz w:val="23"/>
          <w:szCs w:val="23"/>
          <w:rtl/>
        </w:rPr>
        <w:t>را مورد بررسی قرار می</w:t>
      </w:r>
      <w:r w:rsidRPr="00BF1AA2">
        <w:rPr>
          <w:i/>
          <w:sz w:val="23"/>
          <w:szCs w:val="23"/>
          <w:rtl/>
        </w:rPr>
        <w:softHyphen/>
      </w:r>
      <w:r w:rsidRPr="00BF1AA2">
        <w:rPr>
          <w:rFonts w:hint="cs"/>
          <w:i/>
          <w:sz w:val="23"/>
          <w:szCs w:val="23"/>
          <w:rtl/>
        </w:rPr>
        <w:t xml:space="preserve">دهد. </w:t>
      </w:r>
      <w:r w:rsidRPr="00BF1AA2">
        <w:rPr>
          <w:i/>
          <w:sz w:val="23"/>
          <w:szCs w:val="23"/>
          <w:rtl/>
        </w:rPr>
        <w:t>گاهي اوقات</w:t>
      </w:r>
      <w:r w:rsidRPr="00BF1AA2">
        <w:rPr>
          <w:rFonts w:hint="cs"/>
          <w:i/>
          <w:sz w:val="23"/>
          <w:szCs w:val="23"/>
          <w:rtl/>
        </w:rPr>
        <w:t xml:space="preserve"> دولت مصمم به اتخاذ اجرای سیاست اقتصادی خاصی در </w:t>
      </w:r>
      <w:r w:rsidRPr="00BF1AA2">
        <w:rPr>
          <w:i/>
          <w:sz w:val="23"/>
          <w:szCs w:val="23"/>
          <w:rtl/>
        </w:rPr>
        <w:t>آينده</w:t>
      </w:r>
      <w:r w:rsidRPr="00BF1AA2">
        <w:rPr>
          <w:rFonts w:hint="cs"/>
          <w:i/>
          <w:sz w:val="23"/>
          <w:szCs w:val="23"/>
          <w:rtl/>
        </w:rPr>
        <w:t xml:space="preserve"> است و آن را از قبل </w:t>
      </w:r>
      <w:r w:rsidRPr="00BF1AA2">
        <w:rPr>
          <w:i/>
          <w:sz w:val="23"/>
          <w:szCs w:val="23"/>
          <w:rtl/>
        </w:rPr>
        <w:t xml:space="preserve">اعلام </w:t>
      </w:r>
      <w:r w:rsidRPr="00BF1AA2">
        <w:rPr>
          <w:rFonts w:hint="cs"/>
          <w:i/>
          <w:sz w:val="23"/>
          <w:szCs w:val="23"/>
          <w:rtl/>
        </w:rPr>
        <w:t>می</w:t>
      </w:r>
      <w:r w:rsidRPr="00BF1AA2">
        <w:rPr>
          <w:i/>
          <w:sz w:val="23"/>
          <w:szCs w:val="23"/>
          <w:rtl/>
        </w:rPr>
        <w:softHyphen/>
      </w:r>
      <w:r w:rsidRPr="00BF1AA2">
        <w:rPr>
          <w:rFonts w:hint="cs"/>
          <w:i/>
          <w:sz w:val="23"/>
          <w:szCs w:val="23"/>
          <w:rtl/>
        </w:rPr>
        <w:t xml:space="preserve">کند، </w:t>
      </w:r>
      <w:r w:rsidRPr="00BF1AA2">
        <w:rPr>
          <w:i/>
          <w:sz w:val="23"/>
          <w:szCs w:val="23"/>
          <w:rtl/>
        </w:rPr>
        <w:t xml:space="preserve">اما </w:t>
      </w:r>
      <w:r w:rsidRPr="00BF1AA2">
        <w:rPr>
          <w:rFonts w:hint="cs"/>
          <w:i/>
          <w:sz w:val="23"/>
          <w:szCs w:val="23"/>
          <w:rtl/>
        </w:rPr>
        <w:t>هنگامی که زمان اجرای آن سیاست مورد نظر فرا می</w:t>
      </w:r>
      <w:r w:rsidRPr="00BF1AA2">
        <w:rPr>
          <w:i/>
          <w:sz w:val="23"/>
          <w:szCs w:val="23"/>
          <w:rtl/>
        </w:rPr>
        <w:softHyphen/>
      </w:r>
      <w:r w:rsidRPr="00BF1AA2">
        <w:rPr>
          <w:rFonts w:hint="cs"/>
          <w:i/>
          <w:sz w:val="23"/>
          <w:szCs w:val="23"/>
          <w:rtl/>
        </w:rPr>
        <w:t xml:space="preserve">رسد، </w:t>
      </w:r>
      <w:r w:rsidRPr="00BF1AA2">
        <w:rPr>
          <w:i/>
          <w:sz w:val="23"/>
          <w:szCs w:val="23"/>
          <w:rtl/>
        </w:rPr>
        <w:t xml:space="preserve">شرايط </w:t>
      </w:r>
      <w:r w:rsidRPr="00BF1AA2">
        <w:rPr>
          <w:rFonts w:hint="cs"/>
          <w:i/>
          <w:sz w:val="23"/>
          <w:szCs w:val="23"/>
          <w:rtl/>
        </w:rPr>
        <w:t>اقتصادی ن</w:t>
      </w:r>
      <w:r w:rsidRPr="00BF1AA2">
        <w:rPr>
          <w:i/>
          <w:sz w:val="23"/>
          <w:szCs w:val="23"/>
          <w:rtl/>
        </w:rPr>
        <w:t>س</w:t>
      </w:r>
      <w:r w:rsidRPr="00BF1AA2">
        <w:rPr>
          <w:rFonts w:hint="cs"/>
          <w:i/>
          <w:sz w:val="23"/>
          <w:szCs w:val="23"/>
          <w:rtl/>
        </w:rPr>
        <w:t>ب</w:t>
      </w:r>
      <w:r w:rsidRPr="00BF1AA2">
        <w:rPr>
          <w:i/>
          <w:sz w:val="23"/>
          <w:szCs w:val="23"/>
          <w:rtl/>
        </w:rPr>
        <w:t>ت به آنچه انتظار مي</w:t>
      </w:r>
      <w:r w:rsidRPr="00BF1AA2">
        <w:rPr>
          <w:i/>
          <w:sz w:val="23"/>
          <w:szCs w:val="23"/>
          <w:rtl/>
        </w:rPr>
        <w:softHyphen/>
        <w:t>رفت</w:t>
      </w:r>
      <w:r w:rsidRPr="00BF1AA2">
        <w:rPr>
          <w:rFonts w:hint="cs"/>
          <w:i/>
          <w:sz w:val="23"/>
          <w:szCs w:val="23"/>
          <w:rtl/>
        </w:rPr>
        <w:t xml:space="preserve"> تغییر کرده، و دولت </w:t>
      </w:r>
      <w:r w:rsidRPr="00BF1AA2">
        <w:rPr>
          <w:i/>
          <w:sz w:val="23"/>
          <w:szCs w:val="23"/>
          <w:rtl/>
        </w:rPr>
        <w:t xml:space="preserve">متوجه </w:t>
      </w:r>
      <w:r w:rsidRPr="00BF1AA2">
        <w:rPr>
          <w:rFonts w:hint="cs"/>
          <w:i/>
          <w:sz w:val="23"/>
          <w:szCs w:val="23"/>
          <w:rtl/>
        </w:rPr>
        <w:t>می</w:t>
      </w:r>
      <w:r w:rsidRPr="00BF1AA2">
        <w:rPr>
          <w:i/>
          <w:sz w:val="23"/>
          <w:szCs w:val="23"/>
          <w:rtl/>
        </w:rPr>
        <w:softHyphen/>
        <w:t xml:space="preserve">شود كه </w:t>
      </w:r>
      <w:r w:rsidRPr="00BF1AA2">
        <w:rPr>
          <w:rFonts w:hint="cs"/>
          <w:i/>
          <w:sz w:val="23"/>
          <w:szCs w:val="23"/>
          <w:rtl/>
        </w:rPr>
        <w:t>بهتر</w:t>
      </w:r>
      <w:r w:rsidRPr="00BF1AA2">
        <w:rPr>
          <w:i/>
          <w:sz w:val="23"/>
          <w:szCs w:val="23"/>
          <w:rtl/>
        </w:rPr>
        <w:t xml:space="preserve"> است </w:t>
      </w:r>
      <w:r w:rsidRPr="00BF1AA2">
        <w:rPr>
          <w:rFonts w:hint="cs"/>
          <w:i/>
          <w:sz w:val="23"/>
          <w:szCs w:val="23"/>
          <w:rtl/>
        </w:rPr>
        <w:t xml:space="preserve">تا </w:t>
      </w:r>
      <w:r w:rsidRPr="00BF1AA2">
        <w:rPr>
          <w:i/>
          <w:sz w:val="23"/>
          <w:szCs w:val="23"/>
          <w:rtl/>
        </w:rPr>
        <w:t xml:space="preserve">سياست </w:t>
      </w:r>
      <w:r w:rsidRPr="00BF1AA2">
        <w:rPr>
          <w:rFonts w:hint="cs"/>
          <w:i/>
          <w:sz w:val="23"/>
          <w:szCs w:val="23"/>
          <w:rtl/>
        </w:rPr>
        <w:t xml:space="preserve">اقتصادی </w:t>
      </w:r>
      <w:r w:rsidRPr="00BF1AA2">
        <w:rPr>
          <w:i/>
          <w:sz w:val="23"/>
          <w:szCs w:val="23"/>
          <w:rtl/>
        </w:rPr>
        <w:t xml:space="preserve">ديگري را </w:t>
      </w:r>
      <w:r w:rsidRPr="00BF1AA2">
        <w:rPr>
          <w:rFonts w:hint="cs"/>
          <w:i/>
          <w:sz w:val="23"/>
          <w:szCs w:val="23"/>
          <w:rtl/>
        </w:rPr>
        <w:t xml:space="preserve">اجرا و </w:t>
      </w:r>
      <w:r w:rsidRPr="00BF1AA2">
        <w:rPr>
          <w:i/>
          <w:sz w:val="23"/>
          <w:szCs w:val="23"/>
          <w:rtl/>
        </w:rPr>
        <w:t>اعمال كند</w:t>
      </w:r>
      <w:r w:rsidRPr="00BF1AA2">
        <w:rPr>
          <w:rFonts w:hint="cs"/>
          <w:i/>
          <w:sz w:val="23"/>
          <w:szCs w:val="23"/>
          <w:rtl/>
        </w:rPr>
        <w:t>.</w:t>
      </w:r>
      <w:r w:rsidRPr="00BF1AA2">
        <w:rPr>
          <w:i/>
          <w:sz w:val="23"/>
          <w:szCs w:val="23"/>
          <w:rtl/>
        </w:rPr>
        <w:t xml:space="preserve"> اين</w:t>
      </w:r>
      <w:r w:rsidRPr="00BF1AA2">
        <w:rPr>
          <w:i/>
          <w:sz w:val="23"/>
          <w:szCs w:val="23"/>
          <w:rtl/>
        </w:rPr>
        <w:softHyphen/>
      </w:r>
      <w:r w:rsidRPr="00BF1AA2">
        <w:rPr>
          <w:rFonts w:hint="cs"/>
          <w:i/>
          <w:sz w:val="23"/>
          <w:szCs w:val="23"/>
          <w:rtl/>
        </w:rPr>
        <w:t xml:space="preserve">گونه </w:t>
      </w:r>
      <w:r w:rsidRPr="00BF1AA2">
        <w:rPr>
          <w:i/>
          <w:sz w:val="23"/>
          <w:szCs w:val="23"/>
          <w:rtl/>
        </w:rPr>
        <w:t>تغيير</w:t>
      </w:r>
      <w:r w:rsidRPr="00BF1AA2">
        <w:rPr>
          <w:rFonts w:hint="cs"/>
          <w:i/>
          <w:sz w:val="23"/>
          <w:szCs w:val="23"/>
          <w:rtl/>
        </w:rPr>
        <w:t>ات</w:t>
      </w:r>
      <w:r w:rsidRPr="00BF1AA2">
        <w:rPr>
          <w:i/>
          <w:sz w:val="23"/>
          <w:szCs w:val="23"/>
          <w:rtl/>
        </w:rPr>
        <w:t xml:space="preserve"> سياست</w:t>
      </w:r>
      <w:r w:rsidRPr="00BF1AA2">
        <w:rPr>
          <w:i/>
          <w:sz w:val="23"/>
          <w:szCs w:val="23"/>
          <w:rtl/>
        </w:rPr>
        <w:softHyphen/>
      </w:r>
      <w:r w:rsidRPr="00BF1AA2">
        <w:rPr>
          <w:rFonts w:hint="cs"/>
          <w:i/>
          <w:sz w:val="23"/>
          <w:szCs w:val="23"/>
          <w:rtl/>
        </w:rPr>
        <w:t xml:space="preserve">های اقتصادی </w:t>
      </w:r>
      <w:r w:rsidRPr="00BF1AA2">
        <w:rPr>
          <w:i/>
          <w:sz w:val="23"/>
          <w:szCs w:val="23"/>
          <w:rtl/>
        </w:rPr>
        <w:t>را زمان</w:t>
      </w:r>
      <w:r w:rsidRPr="00BF1AA2">
        <w:rPr>
          <w:rFonts w:hint="cs"/>
          <w:i/>
          <w:sz w:val="23"/>
          <w:szCs w:val="23"/>
          <w:rtl/>
        </w:rPr>
        <w:t>-ناسازگار</w:t>
      </w:r>
      <w:r w:rsidRPr="00BF1AA2">
        <w:rPr>
          <w:i/>
          <w:sz w:val="23"/>
          <w:szCs w:val="23"/>
          <w:rtl/>
        </w:rPr>
        <w:t xml:space="preserve"> نامند</w:t>
      </w:r>
      <w:r w:rsidRPr="00BF1AA2">
        <w:rPr>
          <w:rFonts w:hint="cs"/>
          <w:i/>
          <w:sz w:val="23"/>
          <w:szCs w:val="23"/>
          <w:rtl/>
        </w:rPr>
        <w:t xml:space="preserve">. </w:t>
      </w:r>
      <w:r w:rsidR="00EC2974" w:rsidRPr="00BF1AA2">
        <w:rPr>
          <w:rFonts w:hint="cs"/>
          <w:i/>
          <w:sz w:val="23"/>
          <w:szCs w:val="23"/>
          <w:rtl/>
        </w:rPr>
        <w:t>همچنین ت</w:t>
      </w:r>
      <w:r w:rsidRPr="00BF1AA2">
        <w:rPr>
          <w:rFonts w:hint="cs"/>
          <w:i/>
          <w:sz w:val="23"/>
          <w:szCs w:val="23"/>
          <w:rtl/>
        </w:rPr>
        <w:t>جزیه و تحلیل پویایی اقتصاد کلان برای بسیاری از مسائل اقتصادی بین نسلی در قبال زمان تقویمی همانند ماه و فصل و یا سال مناسب نیست. تصمیم اقتصادی که توسط یک نسل گرفته می</w:t>
      </w:r>
      <w:r w:rsidRPr="00BF1AA2">
        <w:rPr>
          <w:i/>
          <w:sz w:val="23"/>
          <w:szCs w:val="23"/>
          <w:rtl/>
        </w:rPr>
        <w:softHyphen/>
      </w:r>
      <w:r w:rsidRPr="00BF1AA2">
        <w:rPr>
          <w:rFonts w:hint="cs"/>
          <w:i/>
          <w:sz w:val="23"/>
          <w:szCs w:val="23"/>
          <w:rtl/>
        </w:rPr>
        <w:t>شود ممکن است تصمیمات نسل</w:t>
      </w:r>
      <w:r w:rsidRPr="00BF1AA2">
        <w:rPr>
          <w:i/>
          <w:sz w:val="23"/>
          <w:szCs w:val="23"/>
          <w:rtl/>
        </w:rPr>
        <w:softHyphen/>
      </w:r>
      <w:r w:rsidRPr="00BF1AA2">
        <w:rPr>
          <w:rFonts w:hint="cs"/>
          <w:i/>
          <w:sz w:val="23"/>
          <w:szCs w:val="23"/>
          <w:rtl/>
        </w:rPr>
        <w:t xml:space="preserve">های بعدی را که هیچ نقشی در آن </w:t>
      </w:r>
      <w:r w:rsidRPr="00BF1AA2">
        <w:rPr>
          <w:rFonts w:hint="cs"/>
          <w:i/>
          <w:sz w:val="23"/>
          <w:szCs w:val="23"/>
          <w:rtl/>
        </w:rPr>
        <w:lastRenderedPageBreak/>
        <w:t>نداشته</w:t>
      </w:r>
      <w:r w:rsidRPr="00BF1AA2">
        <w:rPr>
          <w:i/>
          <w:sz w:val="23"/>
          <w:szCs w:val="23"/>
          <w:rtl/>
        </w:rPr>
        <w:softHyphen/>
      </w:r>
      <w:r w:rsidRPr="00BF1AA2">
        <w:rPr>
          <w:rFonts w:hint="cs"/>
          <w:i/>
          <w:sz w:val="23"/>
          <w:szCs w:val="23"/>
          <w:rtl/>
        </w:rPr>
        <w:t>اند تحت تأثیر قرار دهد. بسیاری از تصمیمات مالی همانند سیاست</w:t>
      </w:r>
      <w:r w:rsidRPr="00BF1AA2">
        <w:rPr>
          <w:i/>
          <w:sz w:val="23"/>
          <w:szCs w:val="23"/>
          <w:rtl/>
        </w:rPr>
        <w:softHyphen/>
      </w:r>
      <w:r w:rsidRPr="00BF1AA2">
        <w:rPr>
          <w:rFonts w:hint="cs"/>
          <w:i/>
          <w:sz w:val="23"/>
          <w:szCs w:val="23"/>
          <w:rtl/>
        </w:rPr>
        <w:t>های بازنشستگی و سرمایه</w:t>
      </w:r>
      <w:r w:rsidRPr="00BF1AA2">
        <w:rPr>
          <w:i/>
          <w:sz w:val="23"/>
          <w:szCs w:val="23"/>
          <w:rtl/>
        </w:rPr>
        <w:softHyphen/>
      </w:r>
      <w:r w:rsidRPr="00BF1AA2">
        <w:rPr>
          <w:rFonts w:hint="cs"/>
          <w:i/>
          <w:sz w:val="23"/>
          <w:szCs w:val="23"/>
          <w:rtl/>
        </w:rPr>
        <w:t>گذاری</w:t>
      </w:r>
      <w:r w:rsidRPr="00BF1AA2">
        <w:rPr>
          <w:i/>
          <w:sz w:val="23"/>
          <w:szCs w:val="23"/>
          <w:rtl/>
        </w:rPr>
        <w:softHyphen/>
      </w:r>
      <w:r w:rsidRPr="00BF1AA2">
        <w:rPr>
          <w:rFonts w:hint="cs"/>
          <w:i/>
          <w:sz w:val="23"/>
          <w:szCs w:val="23"/>
          <w:rtl/>
        </w:rPr>
        <w:t>های عمومی از این قبیل هستند. برای تجزیه و تحلیل این موضوعات می</w:t>
      </w:r>
      <w:r w:rsidRPr="00BF1AA2">
        <w:rPr>
          <w:i/>
          <w:sz w:val="23"/>
          <w:szCs w:val="23"/>
          <w:rtl/>
        </w:rPr>
        <w:softHyphen/>
      </w:r>
      <w:r w:rsidRPr="00BF1AA2">
        <w:rPr>
          <w:rFonts w:hint="cs"/>
          <w:i/>
          <w:sz w:val="23"/>
          <w:szCs w:val="23"/>
          <w:rtl/>
        </w:rPr>
        <w:t>بایست از مدل</w:t>
      </w:r>
      <w:r w:rsidRPr="00BF1AA2">
        <w:rPr>
          <w:i/>
          <w:sz w:val="23"/>
          <w:szCs w:val="23"/>
          <w:rtl/>
        </w:rPr>
        <w:softHyphen/>
      </w:r>
      <w:r w:rsidRPr="00BF1AA2">
        <w:rPr>
          <w:rFonts w:hint="cs"/>
          <w:i/>
          <w:sz w:val="23"/>
          <w:szCs w:val="23"/>
          <w:rtl/>
        </w:rPr>
        <w:t>های نسل</w:t>
      </w:r>
      <w:r w:rsidRPr="00BF1AA2">
        <w:rPr>
          <w:i/>
          <w:sz w:val="23"/>
          <w:szCs w:val="23"/>
          <w:rtl/>
        </w:rPr>
        <w:softHyphen/>
      </w:r>
      <w:r w:rsidRPr="00BF1AA2">
        <w:rPr>
          <w:rFonts w:hint="cs"/>
          <w:i/>
          <w:sz w:val="23"/>
          <w:szCs w:val="23"/>
          <w:rtl/>
        </w:rPr>
        <w:t>های هم</w:t>
      </w:r>
      <w:r w:rsidRPr="00BF1AA2">
        <w:rPr>
          <w:i/>
          <w:sz w:val="23"/>
          <w:szCs w:val="23"/>
          <w:rtl/>
        </w:rPr>
        <w:softHyphen/>
      </w:r>
      <w:r w:rsidRPr="00BF1AA2">
        <w:rPr>
          <w:rFonts w:hint="cs"/>
          <w:i/>
          <w:sz w:val="23"/>
          <w:szCs w:val="23"/>
          <w:rtl/>
        </w:rPr>
        <w:t>پوش</w:t>
      </w:r>
      <w:r w:rsidR="00EC2974" w:rsidRPr="00BF1AA2">
        <w:rPr>
          <w:rFonts w:hint="cs"/>
          <w:i/>
          <w:sz w:val="23"/>
          <w:szCs w:val="23"/>
          <w:rtl/>
        </w:rPr>
        <w:t xml:space="preserve"> اس</w:t>
      </w:r>
      <w:r w:rsidRPr="00BF1AA2">
        <w:rPr>
          <w:rFonts w:hint="cs"/>
          <w:i/>
          <w:sz w:val="23"/>
          <w:szCs w:val="23"/>
          <w:rtl/>
        </w:rPr>
        <w:t xml:space="preserve">تفاده </w:t>
      </w:r>
      <w:r w:rsidR="00EC2974" w:rsidRPr="00BF1AA2">
        <w:rPr>
          <w:rFonts w:hint="cs"/>
          <w:i/>
          <w:sz w:val="23"/>
          <w:szCs w:val="23"/>
          <w:rtl/>
        </w:rPr>
        <w:t>ش</w:t>
      </w:r>
      <w:r w:rsidRPr="00BF1AA2">
        <w:rPr>
          <w:rFonts w:hint="cs"/>
          <w:i/>
          <w:sz w:val="23"/>
          <w:szCs w:val="23"/>
          <w:rtl/>
        </w:rPr>
        <w:t>ود. در این فصل مدل</w:t>
      </w:r>
      <w:r w:rsidRPr="00BF1AA2">
        <w:rPr>
          <w:i/>
          <w:sz w:val="23"/>
          <w:szCs w:val="23"/>
          <w:rtl/>
        </w:rPr>
        <w:softHyphen/>
      </w:r>
      <w:r w:rsidRPr="00BF1AA2">
        <w:rPr>
          <w:rFonts w:hint="cs"/>
          <w:i/>
          <w:sz w:val="23"/>
          <w:szCs w:val="23"/>
          <w:rtl/>
        </w:rPr>
        <w:t xml:space="preserve"> نسل</w:t>
      </w:r>
      <w:r w:rsidRPr="00BF1AA2">
        <w:rPr>
          <w:i/>
          <w:sz w:val="23"/>
          <w:szCs w:val="23"/>
          <w:rtl/>
        </w:rPr>
        <w:softHyphen/>
      </w:r>
      <w:r w:rsidRPr="00BF1AA2">
        <w:rPr>
          <w:rFonts w:hint="cs"/>
          <w:i/>
          <w:sz w:val="23"/>
          <w:szCs w:val="23"/>
          <w:rtl/>
        </w:rPr>
        <w:t>های هم</w:t>
      </w:r>
      <w:r w:rsidRPr="00BF1AA2">
        <w:rPr>
          <w:i/>
          <w:sz w:val="23"/>
          <w:szCs w:val="23"/>
          <w:rtl/>
        </w:rPr>
        <w:softHyphen/>
      </w:r>
      <w:r w:rsidRPr="00BF1AA2">
        <w:rPr>
          <w:rFonts w:hint="cs"/>
          <w:i/>
          <w:sz w:val="23"/>
          <w:szCs w:val="23"/>
          <w:rtl/>
        </w:rPr>
        <w:t xml:space="preserve">پوش </w:t>
      </w:r>
      <w:r w:rsidR="00EC2974" w:rsidRPr="00BF1AA2">
        <w:rPr>
          <w:rFonts w:hint="cs"/>
          <w:i/>
          <w:sz w:val="23"/>
          <w:szCs w:val="23"/>
          <w:rtl/>
        </w:rPr>
        <w:t xml:space="preserve">نیز </w:t>
      </w:r>
      <w:r w:rsidRPr="00BF1AA2">
        <w:rPr>
          <w:rFonts w:hint="cs"/>
          <w:i/>
          <w:sz w:val="23"/>
          <w:szCs w:val="23"/>
          <w:rtl/>
        </w:rPr>
        <w:t>مورد بررسی قرار گرفته و سپس کاربرد آن در خصوص بازنشستگی و همچنین شایستگی نسبی طرح</w:t>
      </w:r>
      <w:r w:rsidRPr="00BF1AA2">
        <w:rPr>
          <w:i/>
          <w:sz w:val="23"/>
          <w:szCs w:val="23"/>
          <w:rtl/>
        </w:rPr>
        <w:softHyphen/>
      </w:r>
      <w:r w:rsidRPr="00BF1AA2">
        <w:rPr>
          <w:rFonts w:hint="cs"/>
          <w:i/>
          <w:sz w:val="23"/>
          <w:szCs w:val="23"/>
          <w:rtl/>
        </w:rPr>
        <w:t>های حقوق بازنشستگیِ با</w:t>
      </w:r>
      <w:r w:rsidRPr="00BF1AA2">
        <w:rPr>
          <w:i/>
          <w:sz w:val="23"/>
          <w:szCs w:val="23"/>
        </w:rPr>
        <w:t xml:space="preserve"> </w:t>
      </w:r>
      <w:r w:rsidRPr="00BF1AA2">
        <w:rPr>
          <w:rFonts w:hint="cs"/>
          <w:i/>
          <w:sz w:val="23"/>
          <w:szCs w:val="23"/>
          <w:rtl/>
        </w:rPr>
        <w:t>پشتوانه و بدون پشتوانه مورد بررسی قرار خواهد گرفت.</w:t>
      </w:r>
    </w:p>
    <w:p w14:paraId="72A915CC" w14:textId="77777777" w:rsidR="00912CC7" w:rsidRPr="00BF1AA2" w:rsidRDefault="00912CC7" w:rsidP="00656484">
      <w:pPr>
        <w:spacing w:line="216" w:lineRule="auto"/>
        <w:rPr>
          <w:bCs/>
          <w:i/>
          <w:sz w:val="23"/>
          <w:szCs w:val="23"/>
        </w:rPr>
      </w:pPr>
    </w:p>
    <w:p w14:paraId="5BB62E84" w14:textId="77777777" w:rsidR="003551CF" w:rsidRPr="00BF1AA2" w:rsidRDefault="00335845" w:rsidP="00656484">
      <w:pPr>
        <w:spacing w:line="216" w:lineRule="auto"/>
        <w:rPr>
          <w:i/>
          <w:sz w:val="23"/>
          <w:szCs w:val="23"/>
          <w:rtl/>
        </w:rPr>
      </w:pPr>
      <w:r w:rsidRPr="00BF1AA2">
        <w:rPr>
          <w:rFonts w:hint="cs"/>
          <w:bCs/>
          <w:i/>
          <w:sz w:val="23"/>
          <w:szCs w:val="23"/>
          <w:rtl/>
        </w:rPr>
        <w:t>فصل هفتم</w:t>
      </w:r>
      <w:r w:rsidRPr="00BF1AA2">
        <w:rPr>
          <w:rFonts w:hint="cs"/>
          <w:i/>
          <w:sz w:val="23"/>
          <w:szCs w:val="23"/>
          <w:rtl/>
        </w:rPr>
        <w:t xml:space="preserve"> در خصوص اقتصاد باز است. </w:t>
      </w:r>
      <w:r w:rsidR="003551CF" w:rsidRPr="00BF1AA2">
        <w:rPr>
          <w:i/>
          <w:sz w:val="23"/>
          <w:szCs w:val="23"/>
          <w:rtl/>
        </w:rPr>
        <w:t>در اقتصاد باز تجارت کالاها و خدمات و جریان بین</w:t>
      </w:r>
      <w:r w:rsidR="003551CF" w:rsidRPr="00BF1AA2">
        <w:rPr>
          <w:i/>
          <w:sz w:val="23"/>
          <w:szCs w:val="23"/>
          <w:rtl/>
        </w:rPr>
        <w:softHyphen/>
        <w:t>المللی سرمایه وجود دار</w:t>
      </w:r>
      <w:r w:rsidR="008F3A19" w:rsidRPr="00BF1AA2">
        <w:rPr>
          <w:rFonts w:hint="cs"/>
          <w:i/>
          <w:sz w:val="23"/>
          <w:szCs w:val="23"/>
          <w:rtl/>
        </w:rPr>
        <w:t>د.</w:t>
      </w:r>
      <w:r w:rsidR="003551CF" w:rsidRPr="00BF1AA2">
        <w:rPr>
          <w:i/>
          <w:sz w:val="23"/>
          <w:szCs w:val="23"/>
          <w:rtl/>
        </w:rPr>
        <w:t xml:space="preserve"> </w:t>
      </w:r>
      <w:r w:rsidR="003551CF" w:rsidRPr="00BF1AA2">
        <w:rPr>
          <w:rFonts w:hint="cs"/>
          <w:i/>
          <w:sz w:val="23"/>
          <w:szCs w:val="23"/>
          <w:rtl/>
        </w:rPr>
        <w:t>واردات و صادرات کالاها و خدمات، قیدی که مصرف و سرمایه‌گذاری را محدود به تولیدات داخلی</w:t>
      </w:r>
      <w:r w:rsidR="00FD4799" w:rsidRPr="00BF1AA2">
        <w:rPr>
          <w:rFonts w:hint="cs"/>
          <w:i/>
          <w:sz w:val="23"/>
          <w:szCs w:val="23"/>
          <w:rtl/>
        </w:rPr>
        <w:t>،</w:t>
      </w:r>
      <w:r w:rsidR="003551CF" w:rsidRPr="00BF1AA2">
        <w:rPr>
          <w:rFonts w:hint="cs"/>
          <w:i/>
          <w:sz w:val="23"/>
          <w:szCs w:val="23"/>
          <w:rtl/>
        </w:rPr>
        <w:t xml:space="preserve"> و همچنین فروش بنگاه‌ها </w:t>
      </w:r>
      <w:r w:rsidR="00FD4799" w:rsidRPr="00BF1AA2">
        <w:rPr>
          <w:rFonts w:hint="cs"/>
          <w:i/>
          <w:sz w:val="23"/>
          <w:szCs w:val="23"/>
          <w:rtl/>
        </w:rPr>
        <w:t xml:space="preserve">را </w:t>
      </w:r>
      <w:r w:rsidR="003551CF" w:rsidRPr="00BF1AA2">
        <w:rPr>
          <w:rFonts w:hint="cs"/>
          <w:i/>
          <w:sz w:val="23"/>
          <w:szCs w:val="23"/>
          <w:rtl/>
        </w:rPr>
        <w:t>محدود به تقاضای داخلی می</w:t>
      </w:r>
      <w:r w:rsidR="003551CF" w:rsidRPr="00BF1AA2">
        <w:rPr>
          <w:i/>
          <w:sz w:val="23"/>
          <w:szCs w:val="23"/>
          <w:rtl/>
        </w:rPr>
        <w:softHyphen/>
      </w:r>
      <w:r w:rsidR="003551CF" w:rsidRPr="00BF1AA2">
        <w:rPr>
          <w:rFonts w:hint="cs"/>
          <w:i/>
          <w:sz w:val="23"/>
          <w:szCs w:val="23"/>
          <w:rtl/>
        </w:rPr>
        <w:t xml:space="preserve">کند، حذف خواهد کرد. </w:t>
      </w:r>
      <w:r w:rsidR="003551CF" w:rsidRPr="00BF1AA2">
        <w:rPr>
          <w:i/>
          <w:sz w:val="23"/>
          <w:szCs w:val="23"/>
          <w:rtl/>
        </w:rPr>
        <w:t xml:space="preserve">جریان </w:t>
      </w:r>
      <w:r w:rsidR="003551CF" w:rsidRPr="00BF1AA2">
        <w:rPr>
          <w:rFonts w:hint="cs"/>
          <w:i/>
          <w:sz w:val="23"/>
          <w:szCs w:val="23"/>
          <w:rtl/>
        </w:rPr>
        <w:t>بین</w:t>
      </w:r>
      <w:r w:rsidR="003551CF" w:rsidRPr="00BF1AA2">
        <w:rPr>
          <w:i/>
          <w:sz w:val="23"/>
          <w:szCs w:val="23"/>
          <w:rtl/>
        </w:rPr>
        <w:softHyphen/>
      </w:r>
      <w:r w:rsidR="003551CF" w:rsidRPr="00BF1AA2">
        <w:rPr>
          <w:rFonts w:hint="cs"/>
          <w:i/>
          <w:sz w:val="23"/>
          <w:szCs w:val="23"/>
          <w:rtl/>
        </w:rPr>
        <w:t xml:space="preserve">المللی </w:t>
      </w:r>
      <w:r w:rsidR="003551CF" w:rsidRPr="00BF1AA2">
        <w:rPr>
          <w:i/>
          <w:sz w:val="23"/>
          <w:szCs w:val="23"/>
          <w:rtl/>
        </w:rPr>
        <w:t xml:space="preserve">سرمایه این امکان را </w:t>
      </w:r>
      <w:r w:rsidR="003551CF" w:rsidRPr="00BF1AA2">
        <w:rPr>
          <w:rFonts w:hint="cs"/>
          <w:i/>
          <w:sz w:val="23"/>
          <w:szCs w:val="23"/>
          <w:rtl/>
        </w:rPr>
        <w:t>فراهم</w:t>
      </w:r>
      <w:r w:rsidR="003551CF" w:rsidRPr="00BF1AA2">
        <w:rPr>
          <w:i/>
          <w:sz w:val="23"/>
          <w:szCs w:val="23"/>
          <w:rtl/>
        </w:rPr>
        <w:t xml:space="preserve"> می</w:t>
      </w:r>
      <w:r w:rsidR="003551CF" w:rsidRPr="00BF1AA2">
        <w:rPr>
          <w:i/>
          <w:sz w:val="23"/>
          <w:szCs w:val="23"/>
          <w:rtl/>
        </w:rPr>
        <w:softHyphen/>
      </w:r>
      <w:r w:rsidR="003551CF" w:rsidRPr="00BF1AA2">
        <w:rPr>
          <w:rFonts w:hint="cs"/>
          <w:i/>
          <w:sz w:val="23"/>
          <w:szCs w:val="23"/>
          <w:rtl/>
        </w:rPr>
        <w:t>سازد</w:t>
      </w:r>
      <w:r w:rsidR="003551CF" w:rsidRPr="00BF1AA2">
        <w:rPr>
          <w:i/>
          <w:sz w:val="23"/>
          <w:szCs w:val="23"/>
          <w:rtl/>
        </w:rPr>
        <w:t xml:space="preserve"> که</w:t>
      </w:r>
      <w:r w:rsidR="003551CF" w:rsidRPr="00BF1AA2">
        <w:rPr>
          <w:rFonts w:hint="cs"/>
          <w:i/>
          <w:sz w:val="23"/>
          <w:szCs w:val="23"/>
          <w:rtl/>
        </w:rPr>
        <w:t xml:space="preserve"> خانوار و دولت </w:t>
      </w:r>
      <w:r w:rsidR="003551CF" w:rsidRPr="00BF1AA2">
        <w:rPr>
          <w:i/>
          <w:sz w:val="23"/>
          <w:szCs w:val="23"/>
          <w:rtl/>
        </w:rPr>
        <w:t>بتوا</w:t>
      </w:r>
      <w:r w:rsidR="003551CF" w:rsidRPr="00BF1AA2">
        <w:rPr>
          <w:rFonts w:hint="cs"/>
          <w:i/>
          <w:sz w:val="23"/>
          <w:szCs w:val="23"/>
          <w:rtl/>
        </w:rPr>
        <w:t>ن</w:t>
      </w:r>
      <w:r w:rsidR="003551CF" w:rsidRPr="00BF1AA2">
        <w:rPr>
          <w:i/>
          <w:sz w:val="23"/>
          <w:szCs w:val="23"/>
          <w:rtl/>
        </w:rPr>
        <w:t xml:space="preserve">ند از خارج </w:t>
      </w:r>
      <w:r w:rsidR="003551CF" w:rsidRPr="00BF1AA2">
        <w:rPr>
          <w:rFonts w:hint="cs"/>
          <w:i/>
          <w:sz w:val="23"/>
          <w:szCs w:val="23"/>
          <w:rtl/>
        </w:rPr>
        <w:t>ق</w:t>
      </w:r>
      <w:r w:rsidR="003551CF" w:rsidRPr="00BF1AA2">
        <w:rPr>
          <w:i/>
          <w:sz w:val="23"/>
          <w:szCs w:val="23"/>
          <w:rtl/>
        </w:rPr>
        <w:t>رض کن</w:t>
      </w:r>
      <w:r w:rsidR="003551CF" w:rsidRPr="00BF1AA2">
        <w:rPr>
          <w:rFonts w:hint="cs"/>
          <w:i/>
          <w:sz w:val="23"/>
          <w:szCs w:val="23"/>
          <w:rtl/>
        </w:rPr>
        <w:t>ن</w:t>
      </w:r>
      <w:r w:rsidR="003551CF" w:rsidRPr="00BF1AA2">
        <w:rPr>
          <w:i/>
          <w:sz w:val="23"/>
          <w:szCs w:val="23"/>
          <w:rtl/>
        </w:rPr>
        <w:t>د و یا دارایی</w:t>
      </w:r>
      <w:r w:rsidR="003551CF" w:rsidRPr="00BF1AA2">
        <w:rPr>
          <w:i/>
          <w:sz w:val="23"/>
          <w:szCs w:val="23"/>
          <w:rtl/>
        </w:rPr>
        <w:softHyphen/>
        <w:t>های خارجی را نگهداری کن</w:t>
      </w:r>
      <w:r w:rsidR="003551CF" w:rsidRPr="00BF1AA2">
        <w:rPr>
          <w:rFonts w:hint="cs"/>
          <w:i/>
          <w:sz w:val="23"/>
          <w:szCs w:val="23"/>
          <w:rtl/>
        </w:rPr>
        <w:t>ن</w:t>
      </w:r>
      <w:r w:rsidR="003551CF" w:rsidRPr="00BF1AA2">
        <w:rPr>
          <w:i/>
          <w:sz w:val="23"/>
          <w:szCs w:val="23"/>
          <w:rtl/>
        </w:rPr>
        <w:t>د.</w:t>
      </w:r>
      <w:r w:rsidR="003551CF" w:rsidRPr="00BF1AA2">
        <w:rPr>
          <w:rFonts w:hint="cs"/>
          <w:i/>
          <w:sz w:val="23"/>
          <w:szCs w:val="23"/>
          <w:rtl/>
        </w:rPr>
        <w:t xml:space="preserve"> </w:t>
      </w:r>
      <w:r w:rsidR="003551CF" w:rsidRPr="00BF1AA2">
        <w:rPr>
          <w:i/>
          <w:sz w:val="23"/>
          <w:szCs w:val="23"/>
          <w:rtl/>
        </w:rPr>
        <w:t>نگهداری دارایی داخلی و خارجی به نرخ بازدهی آن</w:t>
      </w:r>
      <w:r w:rsidR="003551CF" w:rsidRPr="00BF1AA2">
        <w:rPr>
          <w:rFonts w:hint="cs"/>
          <w:i/>
          <w:sz w:val="23"/>
          <w:szCs w:val="23"/>
          <w:rtl/>
        </w:rPr>
        <w:t>‌</w:t>
      </w:r>
      <w:r w:rsidR="003551CF" w:rsidRPr="00BF1AA2">
        <w:rPr>
          <w:i/>
          <w:sz w:val="23"/>
          <w:szCs w:val="23"/>
          <w:rtl/>
        </w:rPr>
        <w:t>ها</w:t>
      </w:r>
      <w:r w:rsidR="003551CF" w:rsidRPr="00BF1AA2">
        <w:rPr>
          <w:rFonts w:hint="cs"/>
          <w:i/>
          <w:sz w:val="23"/>
          <w:szCs w:val="23"/>
          <w:rtl/>
        </w:rPr>
        <w:t xml:space="preserve"> </w:t>
      </w:r>
      <w:r w:rsidR="003551CF" w:rsidRPr="00BF1AA2">
        <w:rPr>
          <w:i/>
          <w:sz w:val="23"/>
          <w:szCs w:val="23"/>
          <w:rtl/>
        </w:rPr>
        <w:t xml:space="preserve">وابسته است. </w:t>
      </w:r>
      <w:r w:rsidR="003551CF" w:rsidRPr="00BF1AA2">
        <w:rPr>
          <w:rFonts w:hint="cs"/>
          <w:i/>
          <w:sz w:val="23"/>
          <w:szCs w:val="23"/>
          <w:rtl/>
        </w:rPr>
        <w:t xml:space="preserve">در صورت عدم کنترل‌ سرمایه، سود بالقوه که از تفاوت در نرخ بازدهی داخلی و خارجی بر حسب پول واحد بوجود می‌آید، منجر به </w:t>
      </w:r>
      <w:r w:rsidR="003551CF" w:rsidRPr="00BF1AA2">
        <w:rPr>
          <w:i/>
          <w:sz w:val="23"/>
          <w:szCs w:val="23"/>
          <w:rtl/>
        </w:rPr>
        <w:t>جری</w:t>
      </w:r>
      <w:r w:rsidR="003551CF" w:rsidRPr="00BF1AA2">
        <w:rPr>
          <w:rFonts w:hint="cs"/>
          <w:i/>
          <w:sz w:val="23"/>
          <w:szCs w:val="23"/>
          <w:rtl/>
        </w:rPr>
        <w:t>ان</w:t>
      </w:r>
      <w:r w:rsidR="003551CF" w:rsidRPr="00BF1AA2">
        <w:rPr>
          <w:i/>
          <w:sz w:val="23"/>
          <w:szCs w:val="23"/>
          <w:rtl/>
        </w:rPr>
        <w:t xml:space="preserve"> سرمایه </w:t>
      </w:r>
      <w:r w:rsidR="003551CF" w:rsidRPr="00BF1AA2">
        <w:rPr>
          <w:rFonts w:hint="cs"/>
          <w:i/>
          <w:sz w:val="23"/>
          <w:szCs w:val="23"/>
          <w:rtl/>
        </w:rPr>
        <w:t xml:space="preserve">بین کشور‌ها خواهد شد. در </w:t>
      </w:r>
      <w:r w:rsidRPr="00BF1AA2">
        <w:rPr>
          <w:rFonts w:hint="cs"/>
          <w:i/>
          <w:sz w:val="23"/>
          <w:szCs w:val="23"/>
          <w:rtl/>
        </w:rPr>
        <w:t>این فصل</w:t>
      </w:r>
      <w:r w:rsidR="003551CF" w:rsidRPr="00BF1AA2">
        <w:rPr>
          <w:rFonts w:hint="cs"/>
          <w:i/>
          <w:sz w:val="23"/>
          <w:szCs w:val="23"/>
          <w:rtl/>
        </w:rPr>
        <w:t xml:space="preserve"> مباحث مربوط به اقتصاد باز همانند انتخاب بین کالاهای تجاری داخلی و خارجی، کالاها و خدمات قابل تجارت و غیرقابل تجارت، تعیین رابطه‌ی مبادله و نرخ ارز حقیقی، مفاهیم خالص دارایی نگه داشته شده در حساب جاری و کسری حساب جاری پایدار را با فرض ثابت بودن نرخ ارز اسمی مورد بررسی قرار خواهیم داد. </w:t>
      </w:r>
    </w:p>
    <w:p w14:paraId="77235E15" w14:textId="77777777" w:rsidR="00912CC7" w:rsidRPr="00BF1AA2" w:rsidRDefault="00912CC7" w:rsidP="00656484">
      <w:pPr>
        <w:spacing w:line="216" w:lineRule="auto"/>
        <w:rPr>
          <w:i/>
          <w:sz w:val="23"/>
          <w:szCs w:val="23"/>
        </w:rPr>
      </w:pPr>
    </w:p>
    <w:p w14:paraId="22DD4D8F" w14:textId="77777777" w:rsidR="004F32BD" w:rsidRPr="00BF1AA2" w:rsidRDefault="004F32BD" w:rsidP="00656484">
      <w:pPr>
        <w:spacing w:line="216" w:lineRule="auto"/>
        <w:rPr>
          <w:i/>
          <w:sz w:val="23"/>
          <w:szCs w:val="23"/>
          <w:rtl/>
        </w:rPr>
      </w:pPr>
      <w:r w:rsidRPr="00BF1AA2">
        <w:rPr>
          <w:i/>
          <w:sz w:val="23"/>
          <w:szCs w:val="23"/>
          <w:rtl/>
        </w:rPr>
        <w:t xml:space="preserve">در </w:t>
      </w:r>
      <w:r w:rsidRPr="00BF1AA2">
        <w:rPr>
          <w:rFonts w:hint="eastAsia"/>
          <w:bCs/>
          <w:i/>
          <w:sz w:val="23"/>
          <w:szCs w:val="23"/>
          <w:rtl/>
        </w:rPr>
        <w:t>فصل</w:t>
      </w:r>
      <w:r w:rsidRPr="00BF1AA2">
        <w:rPr>
          <w:bCs/>
          <w:i/>
          <w:sz w:val="23"/>
          <w:szCs w:val="23"/>
          <w:rtl/>
        </w:rPr>
        <w:t xml:space="preserve"> </w:t>
      </w:r>
      <w:r w:rsidRPr="00BF1AA2">
        <w:rPr>
          <w:rFonts w:hint="cs"/>
          <w:bCs/>
          <w:i/>
          <w:sz w:val="23"/>
          <w:szCs w:val="23"/>
          <w:rtl/>
        </w:rPr>
        <w:t>هشتم</w:t>
      </w:r>
      <w:r w:rsidRPr="00BF1AA2">
        <w:rPr>
          <w:rFonts w:hint="cs"/>
          <w:i/>
          <w:sz w:val="23"/>
          <w:szCs w:val="23"/>
          <w:rtl/>
        </w:rPr>
        <w:t xml:space="preserve"> </w:t>
      </w:r>
      <w:r w:rsidRPr="00BF1AA2">
        <w:rPr>
          <w:rFonts w:hint="eastAsia"/>
          <w:i/>
          <w:sz w:val="23"/>
          <w:szCs w:val="23"/>
          <w:rtl/>
        </w:rPr>
        <w:t>نقش</w:t>
      </w:r>
      <w:r w:rsidRPr="00BF1AA2">
        <w:rPr>
          <w:i/>
          <w:sz w:val="23"/>
          <w:szCs w:val="23"/>
          <w:rtl/>
        </w:rPr>
        <w:t xml:space="preserve"> </w:t>
      </w:r>
      <w:r w:rsidRPr="00BF1AA2">
        <w:rPr>
          <w:rFonts w:hint="eastAsia"/>
          <w:i/>
          <w:sz w:val="23"/>
          <w:szCs w:val="23"/>
          <w:rtl/>
        </w:rPr>
        <w:t>پول</w:t>
      </w:r>
      <w:r w:rsidRPr="00BF1AA2">
        <w:rPr>
          <w:i/>
          <w:sz w:val="23"/>
          <w:szCs w:val="23"/>
          <w:rtl/>
        </w:rPr>
        <w:t xml:space="preserve"> </w:t>
      </w:r>
      <w:r w:rsidRPr="00BF1AA2">
        <w:rPr>
          <w:rFonts w:hint="eastAsia"/>
          <w:i/>
          <w:sz w:val="23"/>
          <w:szCs w:val="23"/>
          <w:rtl/>
        </w:rPr>
        <w:t>در</w:t>
      </w:r>
      <w:r w:rsidRPr="00BF1AA2">
        <w:rPr>
          <w:i/>
          <w:sz w:val="23"/>
          <w:szCs w:val="23"/>
          <w:rtl/>
        </w:rPr>
        <w:t xml:space="preserve"> </w:t>
      </w:r>
      <w:r w:rsidRPr="00BF1AA2">
        <w:rPr>
          <w:rFonts w:hint="eastAsia"/>
          <w:i/>
          <w:sz w:val="23"/>
          <w:szCs w:val="23"/>
          <w:rtl/>
        </w:rPr>
        <w:t>اق</w:t>
      </w:r>
      <w:r w:rsidRPr="00BF1AA2">
        <w:rPr>
          <w:i/>
          <w:sz w:val="23"/>
          <w:szCs w:val="23"/>
          <w:rtl/>
        </w:rPr>
        <w:t>تصاد کلان را مورد بررس</w:t>
      </w:r>
      <w:r w:rsidRPr="00BF1AA2">
        <w:rPr>
          <w:rFonts w:hint="cs"/>
          <w:i/>
          <w:sz w:val="23"/>
          <w:szCs w:val="23"/>
          <w:rtl/>
        </w:rPr>
        <w:t>ی</w:t>
      </w:r>
      <w:r w:rsidRPr="00BF1AA2">
        <w:rPr>
          <w:i/>
          <w:sz w:val="23"/>
          <w:szCs w:val="23"/>
          <w:rtl/>
        </w:rPr>
        <w:t xml:space="preserve"> قرار م</w:t>
      </w:r>
      <w:r w:rsidRPr="00BF1AA2">
        <w:rPr>
          <w:rFonts w:hint="cs"/>
          <w:i/>
          <w:sz w:val="23"/>
          <w:szCs w:val="23"/>
          <w:rtl/>
        </w:rPr>
        <w:t>ی</w:t>
      </w:r>
      <w:r w:rsidRPr="00BF1AA2">
        <w:rPr>
          <w:i/>
          <w:sz w:val="23"/>
          <w:szCs w:val="23"/>
          <w:rtl/>
        </w:rPr>
        <w:softHyphen/>
        <w:t>ده</w:t>
      </w:r>
      <w:r w:rsidRPr="00BF1AA2">
        <w:rPr>
          <w:rFonts w:hint="cs"/>
          <w:i/>
          <w:sz w:val="23"/>
          <w:szCs w:val="23"/>
          <w:rtl/>
        </w:rPr>
        <w:t>ی</w:t>
      </w:r>
      <w:r w:rsidRPr="00BF1AA2">
        <w:rPr>
          <w:rFonts w:hint="eastAsia"/>
          <w:i/>
          <w:sz w:val="23"/>
          <w:szCs w:val="23"/>
          <w:rtl/>
        </w:rPr>
        <w:t>م</w:t>
      </w:r>
      <w:r w:rsidRPr="00BF1AA2">
        <w:rPr>
          <w:i/>
          <w:sz w:val="23"/>
          <w:szCs w:val="23"/>
          <w:rtl/>
        </w:rPr>
        <w:t xml:space="preserve">. </w:t>
      </w:r>
      <w:r w:rsidRPr="00BF1AA2">
        <w:rPr>
          <w:rFonts w:hint="eastAsia"/>
          <w:i/>
          <w:sz w:val="23"/>
          <w:szCs w:val="23"/>
          <w:rtl/>
        </w:rPr>
        <w:t>با</w:t>
      </w:r>
      <w:r w:rsidRPr="00BF1AA2">
        <w:rPr>
          <w:i/>
          <w:sz w:val="23"/>
          <w:szCs w:val="23"/>
          <w:rtl/>
        </w:rPr>
        <w:t xml:space="preserve"> </w:t>
      </w:r>
      <w:r w:rsidRPr="00BF1AA2">
        <w:rPr>
          <w:rFonts w:hint="eastAsia"/>
          <w:i/>
          <w:sz w:val="23"/>
          <w:szCs w:val="23"/>
          <w:rtl/>
        </w:rPr>
        <w:t>معرف</w:t>
      </w:r>
      <w:r w:rsidRPr="00BF1AA2">
        <w:rPr>
          <w:rFonts w:hint="cs"/>
          <w:i/>
          <w:sz w:val="23"/>
          <w:szCs w:val="23"/>
          <w:rtl/>
        </w:rPr>
        <w:t>ی</w:t>
      </w:r>
      <w:r w:rsidRPr="00BF1AA2">
        <w:rPr>
          <w:i/>
          <w:sz w:val="23"/>
          <w:szCs w:val="23"/>
          <w:rtl/>
        </w:rPr>
        <w:t xml:space="preserve"> </w:t>
      </w:r>
      <w:r w:rsidRPr="00BF1AA2">
        <w:rPr>
          <w:rFonts w:hint="eastAsia"/>
          <w:i/>
          <w:sz w:val="23"/>
          <w:szCs w:val="23"/>
          <w:rtl/>
        </w:rPr>
        <w:t>پ</w:t>
      </w:r>
      <w:r w:rsidRPr="00BF1AA2">
        <w:rPr>
          <w:i/>
          <w:sz w:val="23"/>
          <w:szCs w:val="23"/>
          <w:rtl/>
        </w:rPr>
        <w:t>ول در اقتصاد</w:t>
      </w:r>
      <w:r w:rsidRPr="00BF1AA2">
        <w:rPr>
          <w:rFonts w:hint="cs"/>
          <w:i/>
          <w:sz w:val="23"/>
          <w:szCs w:val="23"/>
          <w:rtl/>
        </w:rPr>
        <w:t>،</w:t>
      </w:r>
      <w:r w:rsidRPr="00BF1AA2">
        <w:rPr>
          <w:i/>
          <w:sz w:val="23"/>
          <w:szCs w:val="23"/>
          <w:rtl/>
        </w:rPr>
        <w:t xml:space="preserve"> امکان </w:t>
      </w:r>
      <w:r w:rsidRPr="00BF1AA2">
        <w:rPr>
          <w:rFonts w:hint="eastAsia"/>
          <w:i/>
          <w:sz w:val="23"/>
          <w:szCs w:val="23"/>
          <w:rtl/>
        </w:rPr>
        <w:t>تجز</w:t>
      </w:r>
      <w:r w:rsidRPr="00BF1AA2">
        <w:rPr>
          <w:rFonts w:hint="cs"/>
          <w:i/>
          <w:sz w:val="23"/>
          <w:szCs w:val="23"/>
          <w:rtl/>
        </w:rPr>
        <w:t>ی</w:t>
      </w:r>
      <w:r w:rsidRPr="00BF1AA2">
        <w:rPr>
          <w:rFonts w:hint="eastAsia"/>
          <w:i/>
          <w:sz w:val="23"/>
          <w:szCs w:val="23"/>
          <w:rtl/>
        </w:rPr>
        <w:t>ه</w:t>
      </w:r>
      <w:r w:rsidRPr="00BF1AA2">
        <w:rPr>
          <w:i/>
          <w:sz w:val="23"/>
          <w:szCs w:val="23"/>
          <w:rtl/>
        </w:rPr>
        <w:t xml:space="preserve"> </w:t>
      </w:r>
      <w:r w:rsidRPr="00BF1AA2">
        <w:rPr>
          <w:rFonts w:hint="eastAsia"/>
          <w:i/>
          <w:sz w:val="23"/>
          <w:szCs w:val="23"/>
          <w:rtl/>
        </w:rPr>
        <w:t>و</w:t>
      </w:r>
      <w:r w:rsidRPr="00BF1AA2">
        <w:rPr>
          <w:i/>
          <w:sz w:val="23"/>
          <w:szCs w:val="23"/>
          <w:rtl/>
        </w:rPr>
        <w:t xml:space="preserve"> </w:t>
      </w:r>
      <w:r w:rsidRPr="00BF1AA2">
        <w:rPr>
          <w:rFonts w:hint="eastAsia"/>
          <w:i/>
          <w:sz w:val="23"/>
          <w:szCs w:val="23"/>
          <w:rtl/>
        </w:rPr>
        <w:t>تحل</w:t>
      </w:r>
      <w:r w:rsidRPr="00BF1AA2">
        <w:rPr>
          <w:rFonts w:hint="cs"/>
          <w:i/>
          <w:sz w:val="23"/>
          <w:szCs w:val="23"/>
          <w:rtl/>
        </w:rPr>
        <w:t>ی</w:t>
      </w:r>
      <w:r w:rsidRPr="00BF1AA2">
        <w:rPr>
          <w:rFonts w:hint="eastAsia"/>
          <w:i/>
          <w:sz w:val="23"/>
          <w:szCs w:val="23"/>
          <w:rtl/>
        </w:rPr>
        <w:t>ل</w:t>
      </w:r>
      <w:r w:rsidRPr="00BF1AA2">
        <w:rPr>
          <w:i/>
          <w:sz w:val="23"/>
          <w:szCs w:val="23"/>
          <w:rtl/>
        </w:rPr>
        <w:t xml:space="preserve"> سطح عموم</w:t>
      </w:r>
      <w:r w:rsidRPr="00BF1AA2">
        <w:rPr>
          <w:rFonts w:hint="cs"/>
          <w:i/>
          <w:sz w:val="23"/>
          <w:szCs w:val="23"/>
          <w:rtl/>
        </w:rPr>
        <w:t>ی</w:t>
      </w:r>
      <w:r w:rsidRPr="00BF1AA2">
        <w:rPr>
          <w:i/>
          <w:sz w:val="23"/>
          <w:szCs w:val="23"/>
          <w:rtl/>
        </w:rPr>
        <w:t xml:space="preserve"> ق</w:t>
      </w:r>
      <w:r w:rsidRPr="00BF1AA2">
        <w:rPr>
          <w:rFonts w:hint="cs"/>
          <w:i/>
          <w:sz w:val="23"/>
          <w:szCs w:val="23"/>
          <w:rtl/>
        </w:rPr>
        <w:t>ی</w:t>
      </w:r>
      <w:r w:rsidRPr="00BF1AA2">
        <w:rPr>
          <w:rFonts w:hint="eastAsia"/>
          <w:i/>
          <w:sz w:val="23"/>
          <w:szCs w:val="23"/>
          <w:rtl/>
        </w:rPr>
        <w:t>مت</w:t>
      </w:r>
      <w:r w:rsidRPr="00BF1AA2">
        <w:rPr>
          <w:i/>
          <w:sz w:val="23"/>
          <w:szCs w:val="23"/>
          <w:rtl/>
        </w:rPr>
        <w:softHyphen/>
        <w:t>ها و تورم ن</w:t>
      </w:r>
      <w:r w:rsidRPr="00BF1AA2">
        <w:rPr>
          <w:rFonts w:hint="cs"/>
          <w:i/>
          <w:sz w:val="23"/>
          <w:szCs w:val="23"/>
          <w:rtl/>
        </w:rPr>
        <w:t>ی</w:t>
      </w:r>
      <w:r w:rsidRPr="00BF1AA2">
        <w:rPr>
          <w:rFonts w:hint="eastAsia"/>
          <w:i/>
          <w:sz w:val="23"/>
          <w:szCs w:val="23"/>
          <w:rtl/>
        </w:rPr>
        <w:t>ز</w:t>
      </w:r>
      <w:r w:rsidRPr="00BF1AA2">
        <w:rPr>
          <w:i/>
          <w:sz w:val="23"/>
          <w:szCs w:val="23"/>
          <w:rtl/>
        </w:rPr>
        <w:t xml:space="preserve"> </w:t>
      </w:r>
      <w:r w:rsidRPr="00BF1AA2">
        <w:rPr>
          <w:rFonts w:hint="cs"/>
          <w:i/>
          <w:sz w:val="23"/>
          <w:szCs w:val="23"/>
          <w:rtl/>
        </w:rPr>
        <w:t xml:space="preserve">در فصول بعدی </w:t>
      </w:r>
      <w:r w:rsidRPr="00BF1AA2">
        <w:rPr>
          <w:rFonts w:hint="eastAsia"/>
          <w:i/>
          <w:sz w:val="23"/>
          <w:szCs w:val="23"/>
          <w:rtl/>
        </w:rPr>
        <w:t>فراهم</w:t>
      </w:r>
      <w:r w:rsidRPr="00BF1AA2">
        <w:rPr>
          <w:i/>
          <w:sz w:val="23"/>
          <w:szCs w:val="23"/>
          <w:rtl/>
        </w:rPr>
        <w:t xml:space="preserve"> </w:t>
      </w:r>
      <w:r w:rsidRPr="00BF1AA2">
        <w:rPr>
          <w:rFonts w:hint="eastAsia"/>
          <w:i/>
          <w:sz w:val="23"/>
          <w:szCs w:val="23"/>
          <w:rtl/>
        </w:rPr>
        <w:t>م</w:t>
      </w:r>
      <w:r w:rsidRPr="00BF1AA2">
        <w:rPr>
          <w:rFonts w:hint="cs"/>
          <w:i/>
          <w:sz w:val="23"/>
          <w:szCs w:val="23"/>
          <w:rtl/>
        </w:rPr>
        <w:t>ی</w:t>
      </w:r>
      <w:r w:rsidRPr="00BF1AA2">
        <w:rPr>
          <w:i/>
          <w:sz w:val="23"/>
          <w:szCs w:val="23"/>
          <w:rtl/>
        </w:rPr>
        <w:softHyphen/>
      </w:r>
      <w:r w:rsidRPr="00BF1AA2">
        <w:rPr>
          <w:rFonts w:hint="eastAsia"/>
          <w:i/>
          <w:sz w:val="23"/>
          <w:szCs w:val="23"/>
          <w:rtl/>
        </w:rPr>
        <w:t>شود</w:t>
      </w:r>
      <w:r w:rsidRPr="00BF1AA2">
        <w:rPr>
          <w:i/>
          <w:sz w:val="23"/>
          <w:szCs w:val="23"/>
          <w:rtl/>
        </w:rPr>
        <w:t>. ابتدا تار</w:t>
      </w:r>
      <w:r w:rsidRPr="00BF1AA2">
        <w:rPr>
          <w:rFonts w:hint="cs"/>
          <w:i/>
          <w:sz w:val="23"/>
          <w:szCs w:val="23"/>
          <w:rtl/>
        </w:rPr>
        <w:t>ی</w:t>
      </w:r>
      <w:r w:rsidRPr="00BF1AA2">
        <w:rPr>
          <w:rFonts w:hint="eastAsia"/>
          <w:i/>
          <w:sz w:val="23"/>
          <w:szCs w:val="23"/>
          <w:rtl/>
        </w:rPr>
        <w:t>خچه</w:t>
      </w:r>
      <w:r w:rsidRPr="00BF1AA2">
        <w:rPr>
          <w:i/>
          <w:sz w:val="23"/>
          <w:szCs w:val="23"/>
          <w:rtl/>
        </w:rPr>
        <w:softHyphen/>
      </w:r>
      <w:r w:rsidRPr="00BF1AA2">
        <w:rPr>
          <w:rFonts w:hint="cs"/>
          <w:i/>
          <w:sz w:val="23"/>
          <w:szCs w:val="23"/>
          <w:rtl/>
        </w:rPr>
        <w:t>ی</w:t>
      </w:r>
      <w:r w:rsidRPr="00BF1AA2">
        <w:rPr>
          <w:i/>
          <w:sz w:val="23"/>
          <w:szCs w:val="23"/>
          <w:rtl/>
        </w:rPr>
        <w:t xml:space="preserve"> مختصر</w:t>
      </w:r>
      <w:r w:rsidRPr="00BF1AA2">
        <w:rPr>
          <w:rFonts w:hint="cs"/>
          <w:i/>
          <w:sz w:val="23"/>
          <w:szCs w:val="23"/>
          <w:rtl/>
        </w:rPr>
        <w:t>ی</w:t>
      </w:r>
      <w:r w:rsidRPr="00BF1AA2">
        <w:rPr>
          <w:i/>
          <w:sz w:val="23"/>
          <w:szCs w:val="23"/>
          <w:rtl/>
        </w:rPr>
        <w:t xml:space="preserve"> از پول و نقش آن در اقتصاد را ارائه، و سپس دلائل ظهور پول در اقتصاد و حرکت </w:t>
      </w:r>
      <w:r w:rsidRPr="00BF1AA2">
        <w:rPr>
          <w:rFonts w:hint="eastAsia"/>
          <w:i/>
          <w:sz w:val="23"/>
          <w:szCs w:val="23"/>
          <w:rtl/>
        </w:rPr>
        <w:t>به</w:t>
      </w:r>
      <w:r w:rsidRPr="00BF1AA2">
        <w:rPr>
          <w:i/>
          <w:sz w:val="23"/>
          <w:szCs w:val="23"/>
          <w:rtl/>
        </w:rPr>
        <w:t xml:space="preserve"> </w:t>
      </w:r>
      <w:r w:rsidRPr="00BF1AA2">
        <w:rPr>
          <w:rFonts w:hint="eastAsia"/>
          <w:i/>
          <w:sz w:val="23"/>
          <w:szCs w:val="23"/>
          <w:rtl/>
        </w:rPr>
        <w:t>سمت</w:t>
      </w:r>
      <w:r w:rsidRPr="00BF1AA2">
        <w:rPr>
          <w:i/>
          <w:sz w:val="23"/>
          <w:szCs w:val="23"/>
          <w:rtl/>
        </w:rPr>
        <w:t xml:space="preserve"> </w:t>
      </w:r>
      <w:r w:rsidRPr="00BF1AA2">
        <w:rPr>
          <w:rFonts w:hint="eastAsia"/>
          <w:i/>
          <w:sz w:val="23"/>
          <w:szCs w:val="23"/>
          <w:rtl/>
        </w:rPr>
        <w:t>و</w:t>
      </w:r>
      <w:r w:rsidRPr="00BF1AA2">
        <w:rPr>
          <w:i/>
          <w:sz w:val="23"/>
          <w:szCs w:val="23"/>
          <w:rtl/>
        </w:rPr>
        <w:t xml:space="preserve"> </w:t>
      </w:r>
      <w:r w:rsidRPr="00BF1AA2">
        <w:rPr>
          <w:rFonts w:hint="eastAsia"/>
          <w:i/>
          <w:sz w:val="23"/>
          <w:szCs w:val="23"/>
          <w:rtl/>
        </w:rPr>
        <w:t>سو</w:t>
      </w:r>
      <w:r w:rsidRPr="00BF1AA2">
        <w:rPr>
          <w:rFonts w:hint="cs"/>
          <w:i/>
          <w:sz w:val="23"/>
          <w:szCs w:val="23"/>
          <w:rtl/>
        </w:rPr>
        <w:t>ی</w:t>
      </w:r>
      <w:r w:rsidRPr="00BF1AA2">
        <w:rPr>
          <w:i/>
          <w:sz w:val="23"/>
          <w:szCs w:val="23"/>
          <w:rtl/>
        </w:rPr>
        <w:t xml:space="preserve"> اقتصاد غ</w:t>
      </w:r>
      <w:r w:rsidRPr="00BF1AA2">
        <w:rPr>
          <w:rFonts w:hint="cs"/>
          <w:i/>
          <w:sz w:val="23"/>
          <w:szCs w:val="23"/>
          <w:rtl/>
        </w:rPr>
        <w:t>ی</w:t>
      </w:r>
      <w:r w:rsidRPr="00BF1AA2">
        <w:rPr>
          <w:rFonts w:hint="eastAsia"/>
          <w:i/>
          <w:sz w:val="23"/>
          <w:szCs w:val="23"/>
          <w:rtl/>
        </w:rPr>
        <w:t>رپول</w:t>
      </w:r>
      <w:r w:rsidRPr="00BF1AA2">
        <w:rPr>
          <w:rFonts w:hint="cs"/>
          <w:i/>
          <w:sz w:val="23"/>
          <w:szCs w:val="23"/>
          <w:rtl/>
        </w:rPr>
        <w:t xml:space="preserve">ی و </w:t>
      </w:r>
      <w:r w:rsidRPr="00BF1AA2">
        <w:rPr>
          <w:rFonts w:hint="eastAsia"/>
          <w:i/>
          <w:sz w:val="23"/>
          <w:szCs w:val="23"/>
          <w:rtl/>
        </w:rPr>
        <w:t>غ</w:t>
      </w:r>
      <w:r w:rsidRPr="00BF1AA2">
        <w:rPr>
          <w:rFonts w:hint="cs"/>
          <w:i/>
          <w:sz w:val="23"/>
          <w:szCs w:val="23"/>
          <w:rtl/>
        </w:rPr>
        <w:t>ی</w:t>
      </w:r>
      <w:r w:rsidRPr="00BF1AA2">
        <w:rPr>
          <w:rFonts w:hint="eastAsia"/>
          <w:i/>
          <w:sz w:val="23"/>
          <w:szCs w:val="23"/>
          <w:rtl/>
        </w:rPr>
        <w:t>رنقد</w:t>
      </w:r>
      <w:r w:rsidRPr="00BF1AA2">
        <w:rPr>
          <w:rFonts w:hint="cs"/>
          <w:i/>
          <w:sz w:val="23"/>
          <w:szCs w:val="23"/>
          <w:rtl/>
        </w:rPr>
        <w:t>ی</w:t>
      </w:r>
      <w:r w:rsidRPr="00BF1AA2">
        <w:rPr>
          <w:i/>
          <w:sz w:val="23"/>
          <w:szCs w:val="23"/>
          <w:rtl/>
        </w:rPr>
        <w:t xml:space="preserve"> که اثرات ژرف و عم</w:t>
      </w:r>
      <w:r w:rsidRPr="00BF1AA2">
        <w:rPr>
          <w:rFonts w:hint="cs"/>
          <w:i/>
          <w:sz w:val="23"/>
          <w:szCs w:val="23"/>
          <w:rtl/>
        </w:rPr>
        <w:t>ی</w:t>
      </w:r>
      <w:r w:rsidRPr="00BF1AA2">
        <w:rPr>
          <w:rFonts w:hint="eastAsia"/>
          <w:i/>
          <w:sz w:val="23"/>
          <w:szCs w:val="23"/>
          <w:rtl/>
        </w:rPr>
        <w:t>ق</w:t>
      </w:r>
      <w:r w:rsidRPr="00BF1AA2">
        <w:rPr>
          <w:rFonts w:hint="cs"/>
          <w:i/>
          <w:sz w:val="23"/>
          <w:szCs w:val="23"/>
          <w:rtl/>
        </w:rPr>
        <w:t>ی</w:t>
      </w:r>
      <w:r w:rsidRPr="00BF1AA2">
        <w:rPr>
          <w:i/>
          <w:sz w:val="23"/>
          <w:szCs w:val="23"/>
          <w:rtl/>
        </w:rPr>
        <w:t xml:space="preserve"> در اجرا</w:t>
      </w:r>
      <w:r w:rsidRPr="00BF1AA2">
        <w:rPr>
          <w:rFonts w:hint="cs"/>
          <w:i/>
          <w:sz w:val="23"/>
          <w:szCs w:val="23"/>
          <w:rtl/>
        </w:rPr>
        <w:t>ی</w:t>
      </w:r>
      <w:r w:rsidRPr="00BF1AA2">
        <w:rPr>
          <w:i/>
          <w:sz w:val="23"/>
          <w:szCs w:val="23"/>
          <w:rtl/>
        </w:rPr>
        <w:t xml:space="preserve"> س</w:t>
      </w:r>
      <w:r w:rsidRPr="00BF1AA2">
        <w:rPr>
          <w:rFonts w:hint="cs"/>
          <w:i/>
          <w:sz w:val="23"/>
          <w:szCs w:val="23"/>
          <w:rtl/>
        </w:rPr>
        <w:t>ی</w:t>
      </w:r>
      <w:r w:rsidRPr="00BF1AA2">
        <w:rPr>
          <w:rFonts w:hint="eastAsia"/>
          <w:i/>
          <w:sz w:val="23"/>
          <w:szCs w:val="23"/>
          <w:rtl/>
        </w:rPr>
        <w:t>است</w:t>
      </w:r>
      <w:r w:rsidRPr="00BF1AA2">
        <w:rPr>
          <w:i/>
          <w:sz w:val="23"/>
          <w:szCs w:val="23"/>
          <w:rtl/>
        </w:rPr>
        <w:t>‌ها</w:t>
      </w:r>
      <w:r w:rsidRPr="00BF1AA2">
        <w:rPr>
          <w:rFonts w:hint="cs"/>
          <w:i/>
          <w:sz w:val="23"/>
          <w:szCs w:val="23"/>
          <w:rtl/>
        </w:rPr>
        <w:t>ی</w:t>
      </w:r>
      <w:r w:rsidRPr="00BF1AA2">
        <w:rPr>
          <w:i/>
          <w:sz w:val="23"/>
          <w:szCs w:val="23"/>
          <w:rtl/>
        </w:rPr>
        <w:t xml:space="preserve"> پو</w:t>
      </w:r>
      <w:r w:rsidRPr="00BF1AA2">
        <w:rPr>
          <w:rFonts w:hint="cs"/>
          <w:i/>
          <w:sz w:val="23"/>
          <w:szCs w:val="23"/>
          <w:rtl/>
        </w:rPr>
        <w:t>لی</w:t>
      </w:r>
      <w:r w:rsidRPr="00BF1AA2">
        <w:rPr>
          <w:i/>
          <w:sz w:val="23"/>
          <w:szCs w:val="23"/>
          <w:rtl/>
        </w:rPr>
        <w:t xml:space="preserve"> </w:t>
      </w:r>
      <w:r w:rsidRPr="00BF1AA2">
        <w:rPr>
          <w:rFonts w:hint="eastAsia"/>
          <w:i/>
          <w:sz w:val="23"/>
          <w:szCs w:val="23"/>
          <w:rtl/>
        </w:rPr>
        <w:t>و</w:t>
      </w:r>
      <w:r w:rsidRPr="00BF1AA2">
        <w:rPr>
          <w:i/>
          <w:sz w:val="23"/>
          <w:szCs w:val="23"/>
          <w:rtl/>
        </w:rPr>
        <w:t xml:space="preserve"> تأث</w:t>
      </w:r>
      <w:r w:rsidRPr="00BF1AA2">
        <w:rPr>
          <w:rFonts w:hint="cs"/>
          <w:i/>
          <w:sz w:val="23"/>
          <w:szCs w:val="23"/>
          <w:rtl/>
        </w:rPr>
        <w:t>ی</w:t>
      </w:r>
      <w:r w:rsidRPr="00BF1AA2">
        <w:rPr>
          <w:rFonts w:hint="eastAsia"/>
          <w:i/>
          <w:sz w:val="23"/>
          <w:szCs w:val="23"/>
          <w:rtl/>
        </w:rPr>
        <w:t>ر</w:t>
      </w:r>
      <w:r w:rsidRPr="00BF1AA2">
        <w:rPr>
          <w:i/>
          <w:sz w:val="23"/>
          <w:szCs w:val="23"/>
          <w:rtl/>
        </w:rPr>
        <w:t xml:space="preserve"> آن بر متغ</w:t>
      </w:r>
      <w:r w:rsidRPr="00BF1AA2">
        <w:rPr>
          <w:rFonts w:hint="cs"/>
          <w:i/>
          <w:sz w:val="23"/>
          <w:szCs w:val="23"/>
          <w:rtl/>
        </w:rPr>
        <w:t>ی</w:t>
      </w:r>
      <w:r w:rsidRPr="00BF1AA2">
        <w:rPr>
          <w:rFonts w:hint="eastAsia"/>
          <w:i/>
          <w:sz w:val="23"/>
          <w:szCs w:val="23"/>
          <w:rtl/>
        </w:rPr>
        <w:t>رها</w:t>
      </w:r>
      <w:r w:rsidRPr="00BF1AA2">
        <w:rPr>
          <w:rFonts w:hint="cs"/>
          <w:i/>
          <w:sz w:val="23"/>
          <w:szCs w:val="23"/>
          <w:rtl/>
        </w:rPr>
        <w:t>ی</w:t>
      </w:r>
      <w:r w:rsidRPr="00BF1AA2">
        <w:rPr>
          <w:i/>
          <w:sz w:val="23"/>
          <w:szCs w:val="23"/>
          <w:rtl/>
        </w:rPr>
        <w:t xml:space="preserve"> اقتصاد</w:t>
      </w:r>
      <w:r w:rsidRPr="00BF1AA2">
        <w:rPr>
          <w:rFonts w:hint="cs"/>
          <w:i/>
          <w:sz w:val="23"/>
          <w:szCs w:val="23"/>
          <w:rtl/>
        </w:rPr>
        <w:t>ی</w:t>
      </w:r>
      <w:r w:rsidRPr="00BF1AA2">
        <w:rPr>
          <w:i/>
          <w:sz w:val="23"/>
          <w:szCs w:val="23"/>
          <w:rtl/>
        </w:rPr>
        <w:t xml:space="preserve"> داشته است را بررس</w:t>
      </w:r>
      <w:r w:rsidRPr="00BF1AA2">
        <w:rPr>
          <w:rFonts w:hint="cs"/>
          <w:i/>
          <w:sz w:val="23"/>
          <w:szCs w:val="23"/>
          <w:rtl/>
        </w:rPr>
        <w:t>ی</w:t>
      </w:r>
      <w:r w:rsidRPr="00BF1AA2">
        <w:rPr>
          <w:i/>
          <w:sz w:val="23"/>
          <w:szCs w:val="23"/>
          <w:rtl/>
        </w:rPr>
        <w:t xml:space="preserve"> خواه</w:t>
      </w:r>
      <w:r w:rsidRPr="00BF1AA2">
        <w:rPr>
          <w:rFonts w:hint="cs"/>
          <w:i/>
          <w:sz w:val="23"/>
          <w:szCs w:val="23"/>
          <w:rtl/>
        </w:rPr>
        <w:t>ی</w:t>
      </w:r>
      <w:r w:rsidRPr="00BF1AA2">
        <w:rPr>
          <w:rFonts w:hint="eastAsia"/>
          <w:i/>
          <w:sz w:val="23"/>
          <w:szCs w:val="23"/>
          <w:rtl/>
        </w:rPr>
        <w:t>م</w:t>
      </w:r>
      <w:r w:rsidRPr="00BF1AA2">
        <w:rPr>
          <w:i/>
          <w:sz w:val="23"/>
          <w:szCs w:val="23"/>
          <w:rtl/>
        </w:rPr>
        <w:t xml:space="preserve"> </w:t>
      </w:r>
      <w:r w:rsidRPr="00BF1AA2">
        <w:rPr>
          <w:rFonts w:hint="eastAsia"/>
          <w:i/>
          <w:sz w:val="23"/>
          <w:szCs w:val="23"/>
          <w:rtl/>
        </w:rPr>
        <w:t>کرد</w:t>
      </w:r>
      <w:r w:rsidRPr="00BF1AA2">
        <w:rPr>
          <w:i/>
          <w:sz w:val="23"/>
          <w:szCs w:val="23"/>
          <w:rtl/>
        </w:rPr>
        <w:t xml:space="preserve">. </w:t>
      </w:r>
      <w:r w:rsidRPr="00BF1AA2">
        <w:rPr>
          <w:rFonts w:hint="eastAsia"/>
          <w:i/>
          <w:sz w:val="23"/>
          <w:szCs w:val="23"/>
          <w:rtl/>
        </w:rPr>
        <w:t>سپس</w:t>
      </w:r>
      <w:r w:rsidRPr="00BF1AA2">
        <w:rPr>
          <w:i/>
          <w:sz w:val="23"/>
          <w:szCs w:val="23"/>
          <w:rtl/>
        </w:rPr>
        <w:t xml:space="preserve"> </w:t>
      </w:r>
      <w:r w:rsidRPr="00BF1AA2">
        <w:rPr>
          <w:rFonts w:hint="eastAsia"/>
          <w:i/>
          <w:sz w:val="23"/>
          <w:szCs w:val="23"/>
          <w:rtl/>
        </w:rPr>
        <w:t>با</w:t>
      </w:r>
      <w:r w:rsidRPr="00BF1AA2">
        <w:rPr>
          <w:i/>
          <w:sz w:val="23"/>
          <w:szCs w:val="23"/>
          <w:rtl/>
        </w:rPr>
        <w:t xml:space="preserve"> </w:t>
      </w:r>
      <w:r w:rsidRPr="00BF1AA2">
        <w:rPr>
          <w:rFonts w:hint="eastAsia"/>
          <w:i/>
          <w:sz w:val="23"/>
          <w:szCs w:val="23"/>
          <w:rtl/>
        </w:rPr>
        <w:t>تجد</w:t>
      </w:r>
      <w:r w:rsidRPr="00BF1AA2">
        <w:rPr>
          <w:rFonts w:hint="cs"/>
          <w:i/>
          <w:sz w:val="23"/>
          <w:szCs w:val="23"/>
          <w:rtl/>
        </w:rPr>
        <w:t>ی</w:t>
      </w:r>
      <w:r w:rsidRPr="00BF1AA2">
        <w:rPr>
          <w:rFonts w:hint="eastAsia"/>
          <w:i/>
          <w:sz w:val="23"/>
          <w:szCs w:val="23"/>
          <w:rtl/>
        </w:rPr>
        <w:t>د</w:t>
      </w:r>
      <w:r w:rsidRPr="00BF1AA2">
        <w:rPr>
          <w:i/>
          <w:sz w:val="23"/>
          <w:szCs w:val="23"/>
          <w:rtl/>
        </w:rPr>
        <w:t xml:space="preserve"> </w:t>
      </w:r>
      <w:r w:rsidRPr="00BF1AA2">
        <w:rPr>
          <w:rFonts w:hint="eastAsia"/>
          <w:i/>
          <w:sz w:val="23"/>
          <w:szCs w:val="23"/>
          <w:rtl/>
        </w:rPr>
        <w:t>نظر</w:t>
      </w:r>
      <w:r w:rsidRPr="00BF1AA2">
        <w:rPr>
          <w:i/>
          <w:sz w:val="23"/>
          <w:szCs w:val="23"/>
          <w:rtl/>
        </w:rPr>
        <w:t xml:space="preserve"> </w:t>
      </w:r>
      <w:r w:rsidRPr="00BF1AA2">
        <w:rPr>
          <w:rFonts w:hint="eastAsia"/>
          <w:i/>
          <w:sz w:val="23"/>
          <w:szCs w:val="23"/>
          <w:rtl/>
        </w:rPr>
        <w:t>در</w:t>
      </w:r>
      <w:r w:rsidRPr="00BF1AA2">
        <w:rPr>
          <w:i/>
          <w:sz w:val="23"/>
          <w:szCs w:val="23"/>
          <w:rtl/>
        </w:rPr>
        <w:t xml:space="preserve"> </w:t>
      </w:r>
      <w:r w:rsidRPr="00BF1AA2">
        <w:rPr>
          <w:rFonts w:hint="eastAsia"/>
          <w:i/>
          <w:sz w:val="23"/>
          <w:szCs w:val="23"/>
          <w:rtl/>
        </w:rPr>
        <w:t>مدل</w:t>
      </w:r>
      <w:r w:rsidRPr="00BF1AA2">
        <w:rPr>
          <w:i/>
          <w:sz w:val="23"/>
          <w:szCs w:val="23"/>
          <w:rtl/>
        </w:rPr>
        <w:t xml:space="preserve"> </w:t>
      </w:r>
      <w:r w:rsidRPr="00BF1AA2">
        <w:rPr>
          <w:rFonts w:hint="eastAsia"/>
          <w:i/>
          <w:sz w:val="23"/>
          <w:szCs w:val="23"/>
          <w:rtl/>
        </w:rPr>
        <w:t>اقتصاد</w:t>
      </w:r>
      <w:r w:rsidRPr="00BF1AA2">
        <w:rPr>
          <w:rFonts w:hint="cs"/>
          <w:i/>
          <w:sz w:val="23"/>
          <w:szCs w:val="23"/>
          <w:rtl/>
        </w:rPr>
        <w:t xml:space="preserve"> کلان</w:t>
      </w:r>
      <w:r w:rsidRPr="00BF1AA2">
        <w:rPr>
          <w:rFonts w:hint="eastAsia"/>
          <w:i/>
          <w:sz w:val="23"/>
          <w:szCs w:val="23"/>
          <w:rtl/>
        </w:rPr>
        <w:t>،</w:t>
      </w:r>
      <w:r w:rsidRPr="00BF1AA2">
        <w:rPr>
          <w:i/>
          <w:sz w:val="23"/>
          <w:szCs w:val="23"/>
          <w:rtl/>
        </w:rPr>
        <w:t xml:space="preserve"> امکان نگهدار</w:t>
      </w:r>
      <w:r w:rsidRPr="00BF1AA2">
        <w:rPr>
          <w:rFonts w:hint="cs"/>
          <w:i/>
          <w:sz w:val="23"/>
          <w:szCs w:val="23"/>
          <w:rtl/>
        </w:rPr>
        <w:t>ی</w:t>
      </w:r>
      <w:r w:rsidRPr="00BF1AA2">
        <w:rPr>
          <w:i/>
          <w:sz w:val="23"/>
          <w:szCs w:val="23"/>
          <w:rtl/>
        </w:rPr>
        <w:t xml:space="preserve"> پول و اعتبار را مورد بررس</w:t>
      </w:r>
      <w:r w:rsidRPr="00BF1AA2">
        <w:rPr>
          <w:rFonts w:hint="cs"/>
          <w:i/>
          <w:sz w:val="23"/>
          <w:szCs w:val="23"/>
          <w:rtl/>
        </w:rPr>
        <w:t>ی</w:t>
      </w:r>
      <w:r w:rsidRPr="00BF1AA2">
        <w:rPr>
          <w:i/>
          <w:sz w:val="23"/>
          <w:szCs w:val="23"/>
          <w:rtl/>
        </w:rPr>
        <w:t xml:space="preserve"> قرار م</w:t>
      </w:r>
      <w:r w:rsidRPr="00BF1AA2">
        <w:rPr>
          <w:rFonts w:hint="cs"/>
          <w:i/>
          <w:sz w:val="23"/>
          <w:szCs w:val="23"/>
          <w:rtl/>
        </w:rPr>
        <w:t>ی‌</w:t>
      </w:r>
      <w:r w:rsidRPr="00BF1AA2">
        <w:rPr>
          <w:i/>
          <w:sz w:val="23"/>
          <w:szCs w:val="23"/>
          <w:rtl/>
        </w:rPr>
        <w:t>ده</w:t>
      </w:r>
      <w:r w:rsidRPr="00BF1AA2">
        <w:rPr>
          <w:rFonts w:hint="cs"/>
          <w:i/>
          <w:sz w:val="23"/>
          <w:szCs w:val="23"/>
          <w:rtl/>
        </w:rPr>
        <w:t>ی</w:t>
      </w:r>
      <w:r w:rsidRPr="00BF1AA2">
        <w:rPr>
          <w:rFonts w:hint="eastAsia"/>
          <w:i/>
          <w:sz w:val="23"/>
          <w:szCs w:val="23"/>
          <w:rtl/>
        </w:rPr>
        <w:t>م</w:t>
      </w:r>
      <w:r w:rsidRPr="00BF1AA2">
        <w:rPr>
          <w:i/>
          <w:sz w:val="23"/>
          <w:szCs w:val="23"/>
          <w:rtl/>
        </w:rPr>
        <w:t xml:space="preserve">. </w:t>
      </w:r>
      <w:r w:rsidRPr="00BF1AA2">
        <w:rPr>
          <w:rFonts w:hint="eastAsia"/>
          <w:i/>
          <w:sz w:val="23"/>
          <w:szCs w:val="23"/>
          <w:rtl/>
        </w:rPr>
        <w:t>در</w:t>
      </w:r>
      <w:r w:rsidRPr="00BF1AA2">
        <w:rPr>
          <w:i/>
          <w:sz w:val="23"/>
          <w:szCs w:val="23"/>
          <w:rtl/>
        </w:rPr>
        <w:t xml:space="preserve"> </w:t>
      </w:r>
      <w:r w:rsidRPr="00BF1AA2">
        <w:rPr>
          <w:rFonts w:hint="eastAsia"/>
          <w:i/>
          <w:sz w:val="23"/>
          <w:szCs w:val="23"/>
          <w:rtl/>
        </w:rPr>
        <w:t>ا</w:t>
      </w:r>
      <w:r w:rsidRPr="00BF1AA2">
        <w:rPr>
          <w:rFonts w:hint="cs"/>
          <w:i/>
          <w:sz w:val="23"/>
          <w:szCs w:val="23"/>
          <w:rtl/>
        </w:rPr>
        <w:t>ی</w:t>
      </w:r>
      <w:r w:rsidRPr="00BF1AA2">
        <w:rPr>
          <w:rFonts w:hint="eastAsia"/>
          <w:i/>
          <w:sz w:val="23"/>
          <w:szCs w:val="23"/>
          <w:rtl/>
        </w:rPr>
        <w:t>ن</w:t>
      </w:r>
      <w:r w:rsidRPr="00BF1AA2">
        <w:rPr>
          <w:i/>
          <w:sz w:val="23"/>
          <w:szCs w:val="23"/>
          <w:rtl/>
        </w:rPr>
        <w:t xml:space="preserve"> </w:t>
      </w:r>
      <w:r w:rsidRPr="00BF1AA2">
        <w:rPr>
          <w:rFonts w:hint="eastAsia"/>
          <w:i/>
          <w:sz w:val="23"/>
          <w:szCs w:val="23"/>
          <w:rtl/>
        </w:rPr>
        <w:t>خصوص</w:t>
      </w:r>
      <w:r w:rsidRPr="00BF1AA2">
        <w:rPr>
          <w:i/>
          <w:sz w:val="23"/>
          <w:szCs w:val="23"/>
          <w:rtl/>
        </w:rPr>
        <w:t xml:space="preserve"> </w:t>
      </w:r>
      <w:r w:rsidRPr="00BF1AA2">
        <w:rPr>
          <w:rFonts w:hint="eastAsia"/>
          <w:i/>
          <w:sz w:val="23"/>
          <w:szCs w:val="23"/>
          <w:rtl/>
        </w:rPr>
        <w:t>چهار</w:t>
      </w:r>
      <w:r w:rsidRPr="00BF1AA2">
        <w:rPr>
          <w:i/>
          <w:sz w:val="23"/>
          <w:szCs w:val="23"/>
          <w:rtl/>
        </w:rPr>
        <w:t xml:space="preserve"> </w:t>
      </w:r>
      <w:r w:rsidR="007701A1" w:rsidRPr="00BF1AA2">
        <w:rPr>
          <w:rFonts w:hint="eastAsia"/>
          <w:i/>
          <w:sz w:val="23"/>
          <w:szCs w:val="23"/>
          <w:rtl/>
        </w:rPr>
        <w:t>نظریه</w:t>
      </w:r>
      <w:r w:rsidRPr="00BF1AA2">
        <w:rPr>
          <w:i/>
          <w:sz w:val="23"/>
          <w:szCs w:val="23"/>
          <w:rtl/>
        </w:rPr>
        <w:t xml:space="preserve"> </w:t>
      </w:r>
      <w:r w:rsidRPr="00BF1AA2">
        <w:rPr>
          <w:rFonts w:hint="eastAsia"/>
          <w:i/>
          <w:sz w:val="23"/>
          <w:szCs w:val="23"/>
          <w:rtl/>
        </w:rPr>
        <w:t>تقاضا</w:t>
      </w:r>
      <w:r w:rsidRPr="00BF1AA2">
        <w:rPr>
          <w:i/>
          <w:sz w:val="23"/>
          <w:szCs w:val="23"/>
          <w:rtl/>
        </w:rPr>
        <w:t xml:space="preserve"> </w:t>
      </w:r>
      <w:r w:rsidRPr="00BF1AA2">
        <w:rPr>
          <w:rFonts w:hint="eastAsia"/>
          <w:i/>
          <w:sz w:val="23"/>
          <w:szCs w:val="23"/>
          <w:rtl/>
        </w:rPr>
        <w:t>برا</w:t>
      </w:r>
      <w:r w:rsidRPr="00BF1AA2">
        <w:rPr>
          <w:rFonts w:hint="cs"/>
          <w:i/>
          <w:sz w:val="23"/>
          <w:szCs w:val="23"/>
          <w:rtl/>
        </w:rPr>
        <w:t>ی</w:t>
      </w:r>
      <w:r w:rsidRPr="00BF1AA2">
        <w:rPr>
          <w:i/>
          <w:sz w:val="23"/>
          <w:szCs w:val="23"/>
          <w:rtl/>
        </w:rPr>
        <w:t xml:space="preserve"> </w:t>
      </w:r>
      <w:r w:rsidRPr="00BF1AA2">
        <w:rPr>
          <w:rFonts w:hint="eastAsia"/>
          <w:i/>
          <w:sz w:val="23"/>
          <w:szCs w:val="23"/>
          <w:rtl/>
        </w:rPr>
        <w:t>پول</w:t>
      </w:r>
      <w:r w:rsidRPr="00BF1AA2">
        <w:rPr>
          <w:rFonts w:hint="eastAsia"/>
          <w:i/>
          <w:sz w:val="23"/>
          <w:szCs w:val="23"/>
        </w:rPr>
        <w:t>‌</w:t>
      </w:r>
      <w:r w:rsidRPr="00BF1AA2">
        <w:rPr>
          <w:rFonts w:hint="cs"/>
          <w:i/>
          <w:sz w:val="23"/>
          <w:szCs w:val="23"/>
          <w:rtl/>
        </w:rPr>
        <w:t xml:space="preserve"> مورد بررسی قرار می</w:t>
      </w:r>
      <w:r w:rsidRPr="00BF1AA2">
        <w:rPr>
          <w:i/>
          <w:sz w:val="23"/>
          <w:szCs w:val="23"/>
          <w:rtl/>
        </w:rPr>
        <w:softHyphen/>
      </w:r>
      <w:r w:rsidRPr="00BF1AA2">
        <w:rPr>
          <w:rFonts w:hint="cs"/>
          <w:i/>
          <w:sz w:val="23"/>
          <w:szCs w:val="23"/>
          <w:rtl/>
        </w:rPr>
        <w:t xml:space="preserve">گیرد که عبارتند از </w:t>
      </w:r>
      <w:r w:rsidR="007701A1" w:rsidRPr="00BF1AA2">
        <w:rPr>
          <w:rFonts w:hint="cs"/>
          <w:i/>
          <w:sz w:val="23"/>
          <w:szCs w:val="23"/>
          <w:rtl/>
        </w:rPr>
        <w:t>نظریه</w:t>
      </w:r>
      <w:r w:rsidRPr="00BF1AA2">
        <w:rPr>
          <w:rFonts w:hint="cs"/>
          <w:i/>
          <w:sz w:val="23"/>
          <w:szCs w:val="23"/>
          <w:rtl/>
        </w:rPr>
        <w:t xml:space="preserve"> خرید نقدی، </w:t>
      </w:r>
      <w:r w:rsidR="007701A1" w:rsidRPr="00BF1AA2">
        <w:rPr>
          <w:rFonts w:hint="cs"/>
          <w:i/>
          <w:sz w:val="23"/>
          <w:szCs w:val="23"/>
          <w:rtl/>
        </w:rPr>
        <w:t>نظریه</w:t>
      </w:r>
      <w:r w:rsidRPr="00BF1AA2">
        <w:rPr>
          <w:rFonts w:hint="cs"/>
          <w:i/>
          <w:sz w:val="23"/>
          <w:szCs w:val="23"/>
          <w:rtl/>
        </w:rPr>
        <w:t xml:space="preserve"> پول در تابع مطلوبیت، </w:t>
      </w:r>
      <w:r w:rsidR="007701A1" w:rsidRPr="00BF1AA2">
        <w:rPr>
          <w:rFonts w:hint="cs"/>
          <w:i/>
          <w:sz w:val="23"/>
          <w:szCs w:val="23"/>
          <w:rtl/>
        </w:rPr>
        <w:t>نظریه</w:t>
      </w:r>
      <w:r w:rsidRPr="00BF1AA2">
        <w:rPr>
          <w:rFonts w:hint="cs"/>
          <w:i/>
          <w:sz w:val="23"/>
          <w:szCs w:val="23"/>
          <w:rtl/>
        </w:rPr>
        <w:t xml:space="preserve"> پول همانند کالای واسطه </w:t>
      </w:r>
      <w:r w:rsidRPr="00BF1AA2">
        <w:rPr>
          <w:rFonts w:hint="eastAsia"/>
          <w:i/>
          <w:sz w:val="23"/>
          <w:szCs w:val="23"/>
          <w:rtl/>
        </w:rPr>
        <w:t>و</w:t>
      </w:r>
      <w:r w:rsidRPr="00BF1AA2">
        <w:rPr>
          <w:i/>
          <w:sz w:val="23"/>
          <w:szCs w:val="23"/>
          <w:rtl/>
        </w:rPr>
        <w:t xml:space="preserve"> بالاخره چهارم</w:t>
      </w:r>
      <w:r w:rsidRPr="00BF1AA2">
        <w:rPr>
          <w:rFonts w:hint="cs"/>
          <w:i/>
          <w:sz w:val="23"/>
          <w:szCs w:val="23"/>
          <w:rtl/>
        </w:rPr>
        <w:t>ی</w:t>
      </w:r>
      <w:r w:rsidRPr="00BF1AA2">
        <w:rPr>
          <w:rFonts w:hint="eastAsia"/>
          <w:i/>
          <w:sz w:val="23"/>
          <w:szCs w:val="23"/>
          <w:rtl/>
        </w:rPr>
        <w:t>ن</w:t>
      </w:r>
      <w:r w:rsidRPr="00BF1AA2">
        <w:rPr>
          <w:i/>
          <w:sz w:val="23"/>
          <w:szCs w:val="23"/>
          <w:rtl/>
        </w:rPr>
        <w:t xml:space="preserve"> </w:t>
      </w:r>
      <w:r w:rsidR="007701A1" w:rsidRPr="00BF1AA2">
        <w:rPr>
          <w:i/>
          <w:sz w:val="23"/>
          <w:szCs w:val="23"/>
          <w:rtl/>
        </w:rPr>
        <w:t>نظریه</w:t>
      </w:r>
      <w:r w:rsidRPr="00BF1AA2">
        <w:rPr>
          <w:rFonts w:hint="cs"/>
          <w:i/>
          <w:sz w:val="23"/>
          <w:szCs w:val="23"/>
          <w:rtl/>
        </w:rPr>
        <w:t xml:space="preserve"> که در آن فرض می</w:t>
      </w:r>
      <w:r w:rsidRPr="00BF1AA2">
        <w:rPr>
          <w:i/>
          <w:sz w:val="23"/>
          <w:szCs w:val="23"/>
          <w:rtl/>
        </w:rPr>
        <w:softHyphen/>
      </w:r>
      <w:r w:rsidRPr="00BF1AA2">
        <w:rPr>
          <w:rFonts w:hint="cs"/>
          <w:i/>
          <w:sz w:val="23"/>
          <w:szCs w:val="23"/>
          <w:rtl/>
        </w:rPr>
        <w:t>شود</w:t>
      </w:r>
      <w:r w:rsidRPr="00BF1AA2">
        <w:rPr>
          <w:i/>
          <w:sz w:val="23"/>
          <w:szCs w:val="23"/>
          <w:rtl/>
        </w:rPr>
        <w:t xml:space="preserve"> </w:t>
      </w:r>
      <w:r w:rsidRPr="00BF1AA2">
        <w:rPr>
          <w:rFonts w:hint="eastAsia"/>
          <w:i/>
          <w:sz w:val="23"/>
          <w:szCs w:val="23"/>
        </w:rPr>
        <w:t>‌</w:t>
      </w:r>
      <w:r w:rsidRPr="00BF1AA2">
        <w:rPr>
          <w:rFonts w:hint="cs"/>
          <w:i/>
          <w:sz w:val="23"/>
          <w:szCs w:val="23"/>
          <w:rtl/>
        </w:rPr>
        <w:t>ی</w:t>
      </w:r>
      <w:r w:rsidRPr="00BF1AA2">
        <w:rPr>
          <w:rFonts w:hint="eastAsia"/>
          <w:i/>
          <w:sz w:val="23"/>
          <w:szCs w:val="23"/>
          <w:rtl/>
        </w:rPr>
        <w:t>ک</w:t>
      </w:r>
      <w:r w:rsidRPr="00BF1AA2">
        <w:rPr>
          <w:rFonts w:hint="cs"/>
          <w:i/>
          <w:sz w:val="23"/>
          <w:szCs w:val="23"/>
          <w:rtl/>
        </w:rPr>
        <w:t>ی</w:t>
      </w:r>
      <w:r w:rsidRPr="00BF1AA2">
        <w:rPr>
          <w:i/>
          <w:sz w:val="23"/>
          <w:szCs w:val="23"/>
          <w:rtl/>
        </w:rPr>
        <w:t xml:space="preserve"> </w:t>
      </w:r>
      <w:r w:rsidRPr="00BF1AA2">
        <w:rPr>
          <w:rFonts w:hint="eastAsia"/>
          <w:i/>
          <w:sz w:val="23"/>
          <w:szCs w:val="23"/>
          <w:rtl/>
        </w:rPr>
        <w:t>از</w:t>
      </w:r>
      <w:r w:rsidRPr="00BF1AA2">
        <w:rPr>
          <w:i/>
          <w:sz w:val="23"/>
          <w:szCs w:val="23"/>
          <w:rtl/>
        </w:rPr>
        <w:t xml:space="preserve"> من</w:t>
      </w:r>
      <w:r w:rsidRPr="00BF1AA2">
        <w:rPr>
          <w:rFonts w:hint="eastAsia"/>
          <w:i/>
          <w:sz w:val="23"/>
          <w:szCs w:val="23"/>
          <w:rtl/>
        </w:rPr>
        <w:t>ابع</w:t>
      </w:r>
      <w:r w:rsidRPr="00BF1AA2">
        <w:rPr>
          <w:i/>
          <w:sz w:val="23"/>
          <w:szCs w:val="23"/>
          <w:rtl/>
        </w:rPr>
        <w:t xml:space="preserve"> </w:t>
      </w:r>
      <w:r w:rsidRPr="00BF1AA2">
        <w:rPr>
          <w:rFonts w:hint="eastAsia"/>
          <w:i/>
          <w:sz w:val="23"/>
          <w:szCs w:val="23"/>
          <w:rtl/>
        </w:rPr>
        <w:t>هز</w:t>
      </w:r>
      <w:r w:rsidRPr="00BF1AA2">
        <w:rPr>
          <w:rFonts w:hint="cs"/>
          <w:i/>
          <w:sz w:val="23"/>
          <w:szCs w:val="23"/>
          <w:rtl/>
        </w:rPr>
        <w:t>ی</w:t>
      </w:r>
      <w:r w:rsidRPr="00BF1AA2">
        <w:rPr>
          <w:rFonts w:hint="eastAsia"/>
          <w:i/>
          <w:sz w:val="23"/>
          <w:szCs w:val="23"/>
          <w:rtl/>
        </w:rPr>
        <w:t>نه</w:t>
      </w:r>
      <w:r w:rsidRPr="00BF1AA2">
        <w:rPr>
          <w:i/>
          <w:sz w:val="23"/>
          <w:szCs w:val="23"/>
          <w:rtl/>
        </w:rPr>
        <w:softHyphen/>
      </w:r>
      <w:r w:rsidRPr="00BF1AA2">
        <w:rPr>
          <w:rFonts w:hint="cs"/>
          <w:i/>
          <w:sz w:val="23"/>
          <w:szCs w:val="23"/>
          <w:rtl/>
        </w:rPr>
        <w:t>های</w:t>
      </w:r>
      <w:r w:rsidRPr="00BF1AA2">
        <w:rPr>
          <w:i/>
          <w:sz w:val="23"/>
          <w:szCs w:val="23"/>
          <w:rtl/>
        </w:rPr>
        <w:t xml:space="preserve"> حق</w:t>
      </w:r>
      <w:r w:rsidRPr="00BF1AA2">
        <w:rPr>
          <w:rFonts w:hint="cs"/>
          <w:i/>
          <w:sz w:val="23"/>
          <w:szCs w:val="23"/>
          <w:rtl/>
        </w:rPr>
        <w:t>ی</w:t>
      </w:r>
      <w:r w:rsidRPr="00BF1AA2">
        <w:rPr>
          <w:rFonts w:hint="eastAsia"/>
          <w:i/>
          <w:sz w:val="23"/>
          <w:szCs w:val="23"/>
          <w:rtl/>
        </w:rPr>
        <w:t>ق</w:t>
      </w:r>
      <w:r w:rsidRPr="00BF1AA2">
        <w:rPr>
          <w:rFonts w:hint="cs"/>
          <w:i/>
          <w:sz w:val="23"/>
          <w:szCs w:val="23"/>
          <w:rtl/>
        </w:rPr>
        <w:t>ی</w:t>
      </w:r>
      <w:r w:rsidRPr="00BF1AA2">
        <w:rPr>
          <w:i/>
          <w:sz w:val="23"/>
          <w:szCs w:val="23"/>
          <w:rtl/>
        </w:rPr>
        <w:t xml:space="preserve"> </w:t>
      </w:r>
      <w:r w:rsidRPr="00BF1AA2">
        <w:rPr>
          <w:rFonts w:hint="cs"/>
          <w:i/>
          <w:sz w:val="23"/>
          <w:szCs w:val="23"/>
          <w:rtl/>
        </w:rPr>
        <w:t xml:space="preserve">که </w:t>
      </w:r>
      <w:r w:rsidRPr="00BF1AA2">
        <w:rPr>
          <w:i/>
          <w:sz w:val="23"/>
          <w:szCs w:val="23"/>
          <w:rtl/>
        </w:rPr>
        <w:t>بر ق</w:t>
      </w:r>
      <w:r w:rsidRPr="00BF1AA2">
        <w:rPr>
          <w:rFonts w:hint="cs"/>
          <w:i/>
          <w:sz w:val="23"/>
          <w:szCs w:val="23"/>
          <w:rtl/>
        </w:rPr>
        <w:t>ی</w:t>
      </w:r>
      <w:r w:rsidRPr="00BF1AA2">
        <w:rPr>
          <w:rFonts w:hint="eastAsia"/>
          <w:i/>
          <w:sz w:val="23"/>
          <w:szCs w:val="23"/>
          <w:rtl/>
        </w:rPr>
        <w:t>د</w:t>
      </w:r>
      <w:r w:rsidRPr="00BF1AA2">
        <w:rPr>
          <w:i/>
          <w:sz w:val="23"/>
          <w:szCs w:val="23"/>
          <w:rtl/>
        </w:rPr>
        <w:t xml:space="preserve"> بودجه تاث</w:t>
      </w:r>
      <w:r w:rsidRPr="00BF1AA2">
        <w:rPr>
          <w:rFonts w:hint="cs"/>
          <w:i/>
          <w:sz w:val="23"/>
          <w:szCs w:val="23"/>
          <w:rtl/>
        </w:rPr>
        <w:t>ی</w:t>
      </w:r>
      <w:r w:rsidRPr="00BF1AA2">
        <w:rPr>
          <w:rFonts w:hint="eastAsia"/>
          <w:i/>
          <w:sz w:val="23"/>
          <w:szCs w:val="23"/>
          <w:rtl/>
        </w:rPr>
        <w:t>ر</w:t>
      </w:r>
      <w:r w:rsidRPr="00BF1AA2">
        <w:rPr>
          <w:i/>
          <w:sz w:val="23"/>
          <w:szCs w:val="23"/>
          <w:rtl/>
        </w:rPr>
        <w:t xml:space="preserve"> م</w:t>
      </w:r>
      <w:r w:rsidRPr="00BF1AA2">
        <w:rPr>
          <w:rFonts w:hint="cs"/>
          <w:i/>
          <w:sz w:val="23"/>
          <w:szCs w:val="23"/>
          <w:rtl/>
        </w:rPr>
        <w:t>ی</w:t>
      </w:r>
      <w:r w:rsidRPr="00BF1AA2">
        <w:rPr>
          <w:rFonts w:hint="eastAsia"/>
          <w:i/>
          <w:sz w:val="23"/>
          <w:szCs w:val="23"/>
        </w:rPr>
        <w:t>‌</w:t>
      </w:r>
      <w:r w:rsidRPr="00BF1AA2">
        <w:rPr>
          <w:i/>
          <w:sz w:val="23"/>
          <w:szCs w:val="23"/>
          <w:rtl/>
        </w:rPr>
        <w:t>گذارد</w:t>
      </w:r>
      <w:r w:rsidRPr="00BF1AA2">
        <w:rPr>
          <w:rFonts w:hint="cs"/>
          <w:i/>
          <w:sz w:val="23"/>
          <w:szCs w:val="23"/>
          <w:rtl/>
        </w:rPr>
        <w:t>،</w:t>
      </w:r>
      <w:r w:rsidRPr="00BF1AA2">
        <w:rPr>
          <w:i/>
          <w:sz w:val="23"/>
          <w:szCs w:val="23"/>
          <w:rtl/>
        </w:rPr>
        <w:t xml:space="preserve"> </w:t>
      </w:r>
      <w:r w:rsidRPr="00BF1AA2">
        <w:rPr>
          <w:rFonts w:hint="cs"/>
          <w:i/>
          <w:sz w:val="23"/>
          <w:szCs w:val="23"/>
          <w:rtl/>
        </w:rPr>
        <w:t>هزینه</w:t>
      </w:r>
      <w:r w:rsidRPr="00BF1AA2">
        <w:rPr>
          <w:i/>
          <w:sz w:val="23"/>
          <w:szCs w:val="23"/>
          <w:rtl/>
        </w:rPr>
        <w:softHyphen/>
      </w:r>
      <w:r w:rsidRPr="00BF1AA2">
        <w:rPr>
          <w:rFonts w:hint="cs"/>
          <w:i/>
          <w:sz w:val="23"/>
          <w:szCs w:val="23"/>
          <w:rtl/>
        </w:rPr>
        <w:t xml:space="preserve">ی مربوط به </w:t>
      </w:r>
      <w:r w:rsidRPr="00BF1AA2">
        <w:rPr>
          <w:rFonts w:hint="eastAsia"/>
          <w:i/>
          <w:sz w:val="23"/>
          <w:szCs w:val="23"/>
          <w:rtl/>
        </w:rPr>
        <w:t>معاملات</w:t>
      </w:r>
      <w:r w:rsidRPr="00BF1AA2">
        <w:rPr>
          <w:i/>
          <w:sz w:val="23"/>
          <w:szCs w:val="23"/>
          <w:rtl/>
        </w:rPr>
        <w:t xml:space="preserve"> مخارج </w:t>
      </w:r>
      <w:r w:rsidRPr="00BF1AA2">
        <w:rPr>
          <w:rFonts w:hint="eastAsia"/>
          <w:i/>
          <w:sz w:val="23"/>
          <w:szCs w:val="23"/>
          <w:rtl/>
        </w:rPr>
        <w:t>مصرف</w:t>
      </w:r>
      <w:r w:rsidRPr="00BF1AA2">
        <w:rPr>
          <w:rFonts w:hint="cs"/>
          <w:i/>
          <w:sz w:val="23"/>
          <w:szCs w:val="23"/>
          <w:rtl/>
        </w:rPr>
        <w:t>ی است و این هزینه</w:t>
      </w:r>
      <w:r w:rsidRPr="00BF1AA2">
        <w:rPr>
          <w:i/>
          <w:sz w:val="23"/>
          <w:szCs w:val="23"/>
          <w:rtl/>
        </w:rPr>
        <w:softHyphen/>
      </w:r>
      <w:r w:rsidRPr="00BF1AA2">
        <w:rPr>
          <w:i/>
          <w:sz w:val="23"/>
          <w:szCs w:val="23"/>
          <w:rtl/>
        </w:rPr>
        <w:softHyphen/>
      </w:r>
      <w:r w:rsidRPr="00BF1AA2">
        <w:rPr>
          <w:rFonts w:hint="cs"/>
          <w:i/>
          <w:sz w:val="23"/>
          <w:szCs w:val="23"/>
          <w:rtl/>
        </w:rPr>
        <w:t xml:space="preserve">ی مبادله </w:t>
      </w:r>
      <w:r w:rsidRPr="00BF1AA2">
        <w:rPr>
          <w:i/>
          <w:sz w:val="23"/>
          <w:szCs w:val="23"/>
          <w:rtl/>
        </w:rPr>
        <w:t xml:space="preserve">تنها در </w:t>
      </w:r>
      <w:r w:rsidRPr="00BF1AA2">
        <w:rPr>
          <w:rFonts w:hint="eastAsia"/>
          <w:i/>
          <w:sz w:val="23"/>
          <w:szCs w:val="23"/>
          <w:rtl/>
        </w:rPr>
        <w:t>صورت</w:t>
      </w:r>
      <w:r w:rsidRPr="00BF1AA2">
        <w:rPr>
          <w:rFonts w:hint="cs"/>
          <w:i/>
          <w:sz w:val="23"/>
          <w:szCs w:val="23"/>
          <w:rtl/>
        </w:rPr>
        <w:t>ی</w:t>
      </w:r>
      <w:r w:rsidRPr="00BF1AA2">
        <w:rPr>
          <w:i/>
          <w:sz w:val="23"/>
          <w:szCs w:val="23"/>
          <w:rtl/>
        </w:rPr>
        <w:t xml:space="preserve"> </w:t>
      </w:r>
      <w:r w:rsidRPr="00BF1AA2">
        <w:rPr>
          <w:rFonts w:hint="eastAsia"/>
          <w:i/>
          <w:sz w:val="23"/>
          <w:szCs w:val="23"/>
          <w:rtl/>
        </w:rPr>
        <w:t>کاهش</w:t>
      </w:r>
      <w:r w:rsidRPr="00BF1AA2">
        <w:rPr>
          <w:i/>
          <w:sz w:val="23"/>
          <w:szCs w:val="23"/>
          <w:rtl/>
        </w:rPr>
        <w:t xml:space="preserve"> </w:t>
      </w:r>
      <w:r w:rsidRPr="00BF1AA2">
        <w:rPr>
          <w:rFonts w:hint="eastAsia"/>
          <w:i/>
          <w:sz w:val="23"/>
          <w:szCs w:val="23"/>
          <w:rtl/>
        </w:rPr>
        <w:t>م</w:t>
      </w:r>
      <w:r w:rsidRPr="00BF1AA2">
        <w:rPr>
          <w:rFonts w:hint="cs"/>
          <w:i/>
          <w:sz w:val="23"/>
          <w:szCs w:val="23"/>
          <w:rtl/>
        </w:rPr>
        <w:t>ی</w:t>
      </w:r>
      <w:r w:rsidRPr="00BF1AA2">
        <w:rPr>
          <w:rFonts w:hint="eastAsia"/>
          <w:i/>
          <w:sz w:val="23"/>
          <w:szCs w:val="23"/>
        </w:rPr>
        <w:t>‌</w:t>
      </w:r>
      <w:r w:rsidRPr="00BF1AA2">
        <w:rPr>
          <w:rFonts w:hint="cs"/>
          <w:i/>
          <w:sz w:val="23"/>
          <w:szCs w:val="23"/>
          <w:rtl/>
        </w:rPr>
        <w:t>ی</w:t>
      </w:r>
      <w:r w:rsidRPr="00BF1AA2">
        <w:rPr>
          <w:rFonts w:hint="eastAsia"/>
          <w:i/>
          <w:sz w:val="23"/>
          <w:szCs w:val="23"/>
          <w:rtl/>
        </w:rPr>
        <w:t>ابد</w:t>
      </w:r>
      <w:r w:rsidRPr="00BF1AA2">
        <w:rPr>
          <w:i/>
          <w:sz w:val="23"/>
          <w:szCs w:val="23"/>
          <w:rtl/>
        </w:rPr>
        <w:t xml:space="preserve"> که از پول استفاده شود</w:t>
      </w:r>
      <w:r w:rsidRPr="00BF1AA2">
        <w:rPr>
          <w:rFonts w:hint="cs"/>
          <w:i/>
          <w:sz w:val="23"/>
          <w:szCs w:val="23"/>
          <w:rtl/>
        </w:rPr>
        <w:t xml:space="preserve"> مورد بررسی قرار می</w:t>
      </w:r>
      <w:r w:rsidRPr="00BF1AA2">
        <w:rPr>
          <w:i/>
          <w:sz w:val="23"/>
          <w:szCs w:val="23"/>
          <w:rtl/>
        </w:rPr>
        <w:softHyphen/>
      </w:r>
      <w:r w:rsidRPr="00BF1AA2">
        <w:rPr>
          <w:rFonts w:hint="cs"/>
          <w:i/>
          <w:sz w:val="23"/>
          <w:szCs w:val="23"/>
          <w:rtl/>
        </w:rPr>
        <w:t xml:space="preserve">گیرد. </w:t>
      </w:r>
    </w:p>
    <w:p w14:paraId="1EF5193A" w14:textId="77777777" w:rsidR="001E5333" w:rsidRPr="00BF1AA2" w:rsidRDefault="001E5333" w:rsidP="00656484">
      <w:pPr>
        <w:spacing w:line="216" w:lineRule="auto"/>
        <w:rPr>
          <w:i/>
          <w:sz w:val="23"/>
          <w:szCs w:val="23"/>
          <w:rtl/>
        </w:rPr>
      </w:pPr>
      <w:r w:rsidRPr="00BF1AA2">
        <w:rPr>
          <w:rFonts w:hint="cs"/>
          <w:bCs/>
          <w:i/>
          <w:sz w:val="23"/>
          <w:szCs w:val="23"/>
          <w:rtl/>
        </w:rPr>
        <w:t>فصل نهم</w:t>
      </w:r>
      <w:r w:rsidRPr="00BF1AA2">
        <w:rPr>
          <w:rFonts w:hint="cs"/>
          <w:i/>
          <w:sz w:val="23"/>
          <w:szCs w:val="23"/>
          <w:rtl/>
        </w:rPr>
        <w:t xml:space="preserve"> سرعت تعدیل قیمت</w:t>
      </w:r>
      <w:r w:rsidRPr="00BF1AA2">
        <w:rPr>
          <w:i/>
          <w:sz w:val="23"/>
          <w:szCs w:val="23"/>
          <w:rtl/>
        </w:rPr>
        <w:softHyphen/>
      </w:r>
      <w:r w:rsidR="007170C9" w:rsidRPr="00BF1AA2">
        <w:rPr>
          <w:rFonts w:hint="cs"/>
          <w:i/>
          <w:sz w:val="23"/>
          <w:szCs w:val="23"/>
          <w:rtl/>
        </w:rPr>
        <w:t>ها</w:t>
      </w:r>
      <w:r w:rsidR="008F3A19" w:rsidRPr="00BF1AA2">
        <w:rPr>
          <w:rFonts w:hint="cs"/>
          <w:i/>
          <w:sz w:val="23"/>
          <w:szCs w:val="23"/>
          <w:rtl/>
        </w:rPr>
        <w:t xml:space="preserve"> </w:t>
      </w:r>
      <w:r w:rsidRPr="00BF1AA2">
        <w:rPr>
          <w:rFonts w:hint="cs"/>
          <w:i/>
          <w:sz w:val="23"/>
          <w:szCs w:val="23"/>
          <w:rtl/>
        </w:rPr>
        <w:t>که یکی از مهمترین ویژگی</w:t>
      </w:r>
      <w:r w:rsidRPr="00BF1AA2">
        <w:rPr>
          <w:i/>
          <w:sz w:val="23"/>
          <w:szCs w:val="23"/>
          <w:rtl/>
        </w:rPr>
        <w:softHyphen/>
      </w:r>
      <w:r w:rsidRPr="00BF1AA2">
        <w:rPr>
          <w:rFonts w:hint="cs"/>
          <w:i/>
          <w:sz w:val="23"/>
          <w:szCs w:val="23"/>
          <w:rtl/>
        </w:rPr>
        <w:t>هایی است که اقتصاد کلان کلاسیک را از اقتصاد کلان کینزین متمایز می</w:t>
      </w:r>
      <w:r w:rsidRPr="00BF1AA2">
        <w:rPr>
          <w:i/>
          <w:sz w:val="23"/>
          <w:szCs w:val="23"/>
          <w:rtl/>
        </w:rPr>
        <w:softHyphen/>
      </w:r>
      <w:r w:rsidRPr="00BF1AA2">
        <w:rPr>
          <w:rFonts w:hint="cs"/>
          <w:i/>
          <w:sz w:val="23"/>
          <w:szCs w:val="23"/>
          <w:rtl/>
        </w:rPr>
        <w:t>کند</w:t>
      </w:r>
      <w:r w:rsidR="00335845" w:rsidRPr="00BF1AA2">
        <w:rPr>
          <w:rFonts w:hint="cs"/>
          <w:i/>
          <w:sz w:val="23"/>
          <w:szCs w:val="23"/>
          <w:rtl/>
        </w:rPr>
        <w:t xml:space="preserve"> مورد </w:t>
      </w:r>
      <w:r w:rsidRPr="00BF1AA2">
        <w:rPr>
          <w:rFonts w:hint="cs"/>
          <w:i/>
          <w:sz w:val="23"/>
          <w:szCs w:val="23"/>
          <w:rtl/>
        </w:rPr>
        <w:t xml:space="preserve">بررسی </w:t>
      </w:r>
      <w:r w:rsidR="00335845" w:rsidRPr="00BF1AA2">
        <w:rPr>
          <w:rFonts w:hint="cs"/>
          <w:i/>
          <w:sz w:val="23"/>
          <w:szCs w:val="23"/>
          <w:rtl/>
        </w:rPr>
        <w:t xml:space="preserve">قرار </w:t>
      </w:r>
      <w:r w:rsidRPr="00BF1AA2">
        <w:rPr>
          <w:rFonts w:hint="cs"/>
          <w:i/>
          <w:sz w:val="23"/>
          <w:szCs w:val="23"/>
          <w:rtl/>
        </w:rPr>
        <w:t>می</w:t>
      </w:r>
      <w:r w:rsidR="00335845" w:rsidRPr="00BF1AA2">
        <w:rPr>
          <w:i/>
          <w:sz w:val="23"/>
          <w:szCs w:val="23"/>
          <w:rtl/>
        </w:rPr>
        <w:softHyphen/>
      </w:r>
      <w:r w:rsidR="00335845" w:rsidRPr="00BF1AA2">
        <w:rPr>
          <w:rFonts w:hint="cs"/>
          <w:i/>
          <w:sz w:val="23"/>
          <w:szCs w:val="23"/>
          <w:rtl/>
        </w:rPr>
        <w:t>دهد</w:t>
      </w:r>
      <w:r w:rsidRPr="00BF1AA2">
        <w:rPr>
          <w:rFonts w:hint="cs"/>
          <w:i/>
          <w:sz w:val="23"/>
          <w:szCs w:val="23"/>
          <w:rtl/>
        </w:rPr>
        <w:t>. در مدل</w:t>
      </w:r>
      <w:r w:rsidRPr="00BF1AA2">
        <w:rPr>
          <w:i/>
          <w:sz w:val="23"/>
          <w:szCs w:val="23"/>
          <w:rtl/>
        </w:rPr>
        <w:softHyphen/>
      </w:r>
      <w:r w:rsidRPr="00BF1AA2">
        <w:rPr>
          <w:rFonts w:hint="cs"/>
          <w:i/>
          <w:sz w:val="23"/>
          <w:szCs w:val="23"/>
          <w:rtl/>
        </w:rPr>
        <w:t>های اقتصاد کلان کلاسیک، عموماً فرض می شود که قیمت</w:t>
      </w:r>
      <w:r w:rsidRPr="00BF1AA2">
        <w:rPr>
          <w:i/>
          <w:sz w:val="23"/>
          <w:szCs w:val="23"/>
          <w:rtl/>
        </w:rPr>
        <w:softHyphen/>
      </w:r>
      <w:r w:rsidRPr="00BF1AA2">
        <w:rPr>
          <w:rFonts w:hint="cs"/>
          <w:i/>
          <w:sz w:val="23"/>
          <w:szCs w:val="23"/>
          <w:rtl/>
        </w:rPr>
        <w:t>ها کاملاً انعطاف</w:t>
      </w:r>
      <w:r w:rsidRPr="00BF1AA2">
        <w:rPr>
          <w:i/>
          <w:sz w:val="23"/>
          <w:szCs w:val="23"/>
          <w:rtl/>
        </w:rPr>
        <w:softHyphen/>
      </w:r>
      <w:r w:rsidRPr="00BF1AA2">
        <w:rPr>
          <w:rFonts w:hint="cs"/>
          <w:i/>
          <w:sz w:val="23"/>
          <w:szCs w:val="23"/>
          <w:rtl/>
        </w:rPr>
        <w:t>پذیرند ولی در مدل</w:t>
      </w:r>
      <w:r w:rsidRPr="00BF1AA2">
        <w:rPr>
          <w:i/>
          <w:sz w:val="23"/>
          <w:szCs w:val="23"/>
          <w:rtl/>
        </w:rPr>
        <w:softHyphen/>
      </w:r>
      <w:r w:rsidRPr="00BF1AA2">
        <w:rPr>
          <w:rFonts w:hint="cs"/>
          <w:i/>
          <w:sz w:val="23"/>
          <w:szCs w:val="23"/>
          <w:rtl/>
        </w:rPr>
        <w:t>های اقتصاد کلان کینزین فرض می</w:t>
      </w:r>
      <w:r w:rsidRPr="00BF1AA2">
        <w:rPr>
          <w:i/>
          <w:sz w:val="23"/>
          <w:szCs w:val="23"/>
          <w:rtl/>
        </w:rPr>
        <w:softHyphen/>
      </w:r>
      <w:r w:rsidRPr="00BF1AA2">
        <w:rPr>
          <w:rFonts w:hint="cs"/>
          <w:i/>
          <w:sz w:val="23"/>
          <w:szCs w:val="23"/>
          <w:rtl/>
        </w:rPr>
        <w:t>شود قیمت</w:t>
      </w:r>
      <w:r w:rsidRPr="00BF1AA2">
        <w:rPr>
          <w:i/>
          <w:sz w:val="23"/>
          <w:szCs w:val="23"/>
          <w:rtl/>
        </w:rPr>
        <w:softHyphen/>
      </w:r>
      <w:r w:rsidRPr="00BF1AA2">
        <w:rPr>
          <w:rFonts w:hint="cs"/>
          <w:i/>
          <w:sz w:val="23"/>
          <w:szCs w:val="23"/>
          <w:rtl/>
        </w:rPr>
        <w:t xml:space="preserve">ها چسبنده و حتی ثابت هستند </w:t>
      </w:r>
      <w:r w:rsidR="00012895" w:rsidRPr="00BF1AA2">
        <w:rPr>
          <w:rFonts w:hint="cs"/>
          <w:i/>
          <w:sz w:val="23"/>
          <w:szCs w:val="23"/>
          <w:rtl/>
        </w:rPr>
        <w:t>و</w:t>
      </w:r>
      <w:r w:rsidRPr="00BF1AA2">
        <w:rPr>
          <w:rFonts w:hint="cs"/>
          <w:i/>
          <w:sz w:val="23"/>
          <w:szCs w:val="23"/>
          <w:rtl/>
        </w:rPr>
        <w:t xml:space="preserve"> قادر به تصفیه</w:t>
      </w:r>
      <w:r w:rsidRPr="00BF1AA2">
        <w:rPr>
          <w:i/>
          <w:sz w:val="23"/>
          <w:szCs w:val="23"/>
          <w:rtl/>
        </w:rPr>
        <w:softHyphen/>
      </w:r>
      <w:r w:rsidRPr="00BF1AA2">
        <w:rPr>
          <w:rFonts w:hint="cs"/>
          <w:i/>
          <w:sz w:val="23"/>
          <w:szCs w:val="23"/>
          <w:rtl/>
        </w:rPr>
        <w:t xml:space="preserve">ی بازارها نبوده و باعث </w:t>
      </w:r>
      <w:r w:rsidRPr="00BF1AA2">
        <w:rPr>
          <w:rFonts w:hint="cs"/>
          <w:i/>
          <w:sz w:val="23"/>
          <w:szCs w:val="23"/>
          <w:rtl/>
        </w:rPr>
        <w:lastRenderedPageBreak/>
        <w:t>تداوم کمبود یا مازاد عرضه و تقاضا و یا بیکاری شوند. در نتیجه شکست بازار مهمترین دلیلِ توجیه اعمال سیاست</w:t>
      </w:r>
      <w:r w:rsidRPr="00BF1AA2">
        <w:rPr>
          <w:i/>
          <w:sz w:val="23"/>
          <w:szCs w:val="23"/>
          <w:rtl/>
        </w:rPr>
        <w:softHyphen/>
      </w:r>
      <w:r w:rsidRPr="00BF1AA2">
        <w:rPr>
          <w:rFonts w:hint="cs"/>
          <w:i/>
          <w:sz w:val="23"/>
          <w:szCs w:val="23"/>
          <w:rtl/>
        </w:rPr>
        <w:t>های مالی و پولی است تا اقتصاد سریع</w:t>
      </w:r>
      <w:r w:rsidRPr="00BF1AA2">
        <w:rPr>
          <w:i/>
          <w:sz w:val="23"/>
          <w:szCs w:val="23"/>
          <w:rtl/>
        </w:rPr>
        <w:softHyphen/>
      </w:r>
      <w:r w:rsidRPr="00BF1AA2">
        <w:rPr>
          <w:rFonts w:hint="cs"/>
          <w:i/>
          <w:sz w:val="23"/>
          <w:szCs w:val="23"/>
          <w:rtl/>
        </w:rPr>
        <w:t>تر از زمان عدم مداخله</w:t>
      </w:r>
      <w:r w:rsidRPr="00BF1AA2">
        <w:rPr>
          <w:i/>
          <w:sz w:val="23"/>
          <w:szCs w:val="23"/>
          <w:rtl/>
        </w:rPr>
        <w:softHyphen/>
      </w:r>
      <w:r w:rsidRPr="00BF1AA2">
        <w:rPr>
          <w:rFonts w:hint="cs"/>
          <w:i/>
          <w:sz w:val="23"/>
          <w:szCs w:val="23"/>
          <w:rtl/>
        </w:rPr>
        <w:t xml:space="preserve"> به تعادل (مثلاً اشتغال کامل) بازگردد. در بررسی انعطاف</w:t>
      </w:r>
      <w:r w:rsidRPr="00BF1AA2">
        <w:rPr>
          <w:i/>
          <w:sz w:val="23"/>
          <w:szCs w:val="23"/>
          <w:rtl/>
        </w:rPr>
        <w:softHyphen/>
      </w:r>
      <w:r w:rsidRPr="00BF1AA2">
        <w:rPr>
          <w:rFonts w:hint="cs"/>
          <w:i/>
          <w:sz w:val="23"/>
          <w:szCs w:val="23"/>
          <w:rtl/>
        </w:rPr>
        <w:t>پذیری ناقصِ قیمت‌ها اشاره خواهد شد که رفتار هر یک از قیمت</w:t>
      </w:r>
      <w:r w:rsidRPr="00BF1AA2">
        <w:rPr>
          <w:i/>
          <w:sz w:val="23"/>
          <w:szCs w:val="23"/>
          <w:rtl/>
        </w:rPr>
        <w:softHyphen/>
      </w:r>
      <w:r w:rsidRPr="00BF1AA2">
        <w:rPr>
          <w:rFonts w:hint="cs"/>
          <w:i/>
          <w:sz w:val="23"/>
          <w:szCs w:val="23"/>
          <w:rtl/>
        </w:rPr>
        <w:t>ها متفاوت است و برخی بیشتر از دیگری تغییر کرده و در نتیجه، اهمیت نسبی عناصر سطح عمومی قیمت</w:t>
      </w:r>
      <w:r w:rsidRPr="00BF1AA2">
        <w:rPr>
          <w:i/>
          <w:sz w:val="23"/>
          <w:szCs w:val="23"/>
          <w:rtl/>
        </w:rPr>
        <w:softHyphen/>
      </w:r>
      <w:r w:rsidRPr="00BF1AA2">
        <w:rPr>
          <w:rFonts w:hint="cs"/>
          <w:i/>
          <w:sz w:val="23"/>
          <w:szCs w:val="23"/>
          <w:rtl/>
        </w:rPr>
        <w:t>ها نیز تغییر خواهند کرد. این دستاورد بر سرعت تعدیل سطح عمومی قیمت و تورم که چسبنده بودند و یا به کندی تعدیل می</w:t>
      </w:r>
      <w:r w:rsidRPr="00BF1AA2">
        <w:rPr>
          <w:i/>
          <w:sz w:val="23"/>
          <w:szCs w:val="23"/>
          <w:rtl/>
        </w:rPr>
        <w:softHyphen/>
      </w:r>
      <w:r w:rsidRPr="00BF1AA2">
        <w:rPr>
          <w:rFonts w:hint="cs"/>
          <w:i/>
          <w:sz w:val="23"/>
          <w:szCs w:val="23"/>
          <w:rtl/>
        </w:rPr>
        <w:t>شدند، تأثیر خواهد گذاشت. موضوع دیگر ضرورت استفاده از کالاهای واسطه جهت تولید کالاهای نهایی است و قیمت کالاهای نهایی متوسط وزنی قیمت کالاهای واسطه نیست. تفاوت بین قیمت کالاهای نهایی و متوسط قیمت کالاهای واسطه مبین هزینه</w:t>
      </w:r>
      <w:r w:rsidRPr="00BF1AA2">
        <w:rPr>
          <w:i/>
          <w:sz w:val="23"/>
          <w:szCs w:val="23"/>
          <w:rtl/>
        </w:rPr>
        <w:softHyphen/>
      </w:r>
      <w:r w:rsidRPr="00BF1AA2">
        <w:rPr>
          <w:rFonts w:hint="cs"/>
          <w:i/>
          <w:sz w:val="23"/>
          <w:szCs w:val="23"/>
          <w:rtl/>
        </w:rPr>
        <w:t>ی منابع است. پراکندگی بیشتر قیمت</w:t>
      </w:r>
      <w:r w:rsidRPr="00BF1AA2">
        <w:rPr>
          <w:i/>
          <w:sz w:val="23"/>
          <w:szCs w:val="23"/>
          <w:rtl/>
        </w:rPr>
        <w:softHyphen/>
      </w:r>
      <w:r w:rsidRPr="00BF1AA2">
        <w:rPr>
          <w:rFonts w:hint="cs"/>
          <w:i/>
          <w:sz w:val="23"/>
          <w:szCs w:val="23"/>
          <w:rtl/>
        </w:rPr>
        <w:t>ها در بین کالاهای واسطه که احتمالاً با تورم شروع و با قیمت چسبنده تداوم می</w:t>
      </w:r>
      <w:r w:rsidRPr="00BF1AA2">
        <w:rPr>
          <w:i/>
          <w:sz w:val="23"/>
          <w:szCs w:val="23"/>
          <w:rtl/>
        </w:rPr>
        <w:softHyphen/>
      </w:r>
      <w:r w:rsidRPr="00BF1AA2">
        <w:rPr>
          <w:rFonts w:hint="cs"/>
          <w:i/>
          <w:sz w:val="23"/>
          <w:szCs w:val="23"/>
          <w:rtl/>
        </w:rPr>
        <w:t>یابد، باعث افزایش هزینه</w:t>
      </w:r>
      <w:r w:rsidRPr="00BF1AA2">
        <w:rPr>
          <w:i/>
          <w:sz w:val="23"/>
          <w:szCs w:val="23"/>
          <w:rtl/>
        </w:rPr>
        <w:softHyphen/>
      </w:r>
      <w:r w:rsidRPr="00BF1AA2">
        <w:rPr>
          <w:rFonts w:hint="cs"/>
          <w:i/>
          <w:sz w:val="23"/>
          <w:szCs w:val="23"/>
          <w:rtl/>
        </w:rPr>
        <w:t>ی منابع خواهد شد. یعنی تورم دارای هزینه است و لذا کنترل آن ضرورت دارد. در این فصل تعیین قیمت بهینه را نیز بررسی می</w:t>
      </w:r>
      <w:r w:rsidRPr="00BF1AA2">
        <w:rPr>
          <w:i/>
          <w:sz w:val="23"/>
          <w:szCs w:val="23"/>
          <w:rtl/>
        </w:rPr>
        <w:softHyphen/>
      </w:r>
      <w:r w:rsidRPr="00BF1AA2">
        <w:rPr>
          <w:rFonts w:hint="cs"/>
          <w:i/>
          <w:sz w:val="23"/>
          <w:szCs w:val="23"/>
          <w:rtl/>
        </w:rPr>
        <w:t>کنیم که در آن بازار کالاها و بازار نیروی کار ناقص و قیمت</w:t>
      </w:r>
      <w:r w:rsidRPr="00BF1AA2">
        <w:rPr>
          <w:i/>
          <w:sz w:val="23"/>
          <w:szCs w:val="23"/>
          <w:rtl/>
        </w:rPr>
        <w:softHyphen/>
      </w:r>
      <w:r w:rsidRPr="00BF1AA2">
        <w:rPr>
          <w:rFonts w:hint="cs"/>
          <w:i/>
          <w:sz w:val="23"/>
          <w:szCs w:val="23"/>
          <w:rtl/>
        </w:rPr>
        <w:t>ها انعطاف</w:t>
      </w:r>
      <w:r w:rsidRPr="00BF1AA2">
        <w:rPr>
          <w:i/>
          <w:sz w:val="23"/>
          <w:szCs w:val="23"/>
          <w:rtl/>
        </w:rPr>
        <w:softHyphen/>
      </w:r>
      <w:r w:rsidRPr="00BF1AA2">
        <w:rPr>
          <w:rFonts w:hint="cs"/>
          <w:i/>
          <w:sz w:val="23"/>
          <w:szCs w:val="23"/>
          <w:rtl/>
        </w:rPr>
        <w:t>پذیرند. همچنین مدل کالاهای واسطه بررسی می</w:t>
      </w:r>
      <w:r w:rsidRPr="00BF1AA2">
        <w:rPr>
          <w:i/>
          <w:sz w:val="23"/>
          <w:szCs w:val="23"/>
          <w:rtl/>
        </w:rPr>
        <w:softHyphen/>
      </w:r>
      <w:r w:rsidRPr="00BF1AA2">
        <w:rPr>
          <w:rFonts w:hint="cs"/>
          <w:i/>
          <w:sz w:val="23"/>
          <w:szCs w:val="23"/>
          <w:rtl/>
        </w:rPr>
        <w:t>شوند و سپس مدل</w:t>
      </w:r>
      <w:r w:rsidRPr="00BF1AA2">
        <w:rPr>
          <w:i/>
          <w:sz w:val="23"/>
          <w:szCs w:val="23"/>
          <w:rtl/>
        </w:rPr>
        <w:softHyphen/>
      </w:r>
      <w:r w:rsidRPr="00BF1AA2">
        <w:rPr>
          <w:rFonts w:hint="cs"/>
          <w:i/>
          <w:sz w:val="23"/>
          <w:szCs w:val="23"/>
          <w:rtl/>
        </w:rPr>
        <w:t>های مختلفی که توضیح می</w:t>
      </w:r>
      <w:r w:rsidRPr="00BF1AA2">
        <w:rPr>
          <w:i/>
          <w:sz w:val="23"/>
          <w:szCs w:val="23"/>
          <w:rtl/>
        </w:rPr>
        <w:softHyphen/>
      </w:r>
      <w:r w:rsidRPr="00BF1AA2">
        <w:rPr>
          <w:rFonts w:hint="cs"/>
          <w:i/>
          <w:sz w:val="23"/>
          <w:szCs w:val="23"/>
          <w:rtl/>
        </w:rPr>
        <w:t>دهند چرا قیمت</w:t>
      </w:r>
      <w:r w:rsidRPr="00BF1AA2">
        <w:rPr>
          <w:i/>
          <w:sz w:val="23"/>
          <w:szCs w:val="23"/>
          <w:rtl/>
        </w:rPr>
        <w:softHyphen/>
      </w:r>
      <w:r w:rsidRPr="00BF1AA2">
        <w:rPr>
          <w:rFonts w:hint="cs"/>
          <w:i/>
          <w:sz w:val="23"/>
          <w:szCs w:val="23"/>
          <w:rtl/>
        </w:rPr>
        <w:t>ها چسبنده</w:t>
      </w:r>
      <w:r w:rsidRPr="00BF1AA2">
        <w:rPr>
          <w:i/>
          <w:sz w:val="23"/>
          <w:szCs w:val="23"/>
          <w:rtl/>
        </w:rPr>
        <w:softHyphen/>
      </w:r>
      <w:r w:rsidRPr="00BF1AA2">
        <w:rPr>
          <w:rFonts w:hint="cs"/>
          <w:i/>
          <w:sz w:val="23"/>
          <w:szCs w:val="23"/>
          <w:rtl/>
        </w:rPr>
        <w:t>اند و ممکن است فوراً تعدیل نشوند مورد بررسی قرار می</w:t>
      </w:r>
      <w:r w:rsidRPr="00BF1AA2">
        <w:rPr>
          <w:i/>
          <w:sz w:val="23"/>
          <w:szCs w:val="23"/>
          <w:rtl/>
        </w:rPr>
        <w:softHyphen/>
      </w:r>
      <w:r w:rsidRPr="00BF1AA2">
        <w:rPr>
          <w:rFonts w:hint="cs"/>
          <w:i/>
          <w:sz w:val="23"/>
          <w:szCs w:val="23"/>
          <w:rtl/>
        </w:rPr>
        <w:t>گیرند. در انتها پیامد</w:t>
      </w:r>
      <w:r w:rsidRPr="00BF1AA2">
        <w:rPr>
          <w:i/>
          <w:sz w:val="23"/>
          <w:szCs w:val="23"/>
          <w:rtl/>
        </w:rPr>
        <w:softHyphen/>
      </w:r>
      <w:r w:rsidRPr="00BF1AA2">
        <w:rPr>
          <w:rFonts w:hint="cs"/>
          <w:i/>
          <w:sz w:val="23"/>
          <w:szCs w:val="23"/>
          <w:rtl/>
        </w:rPr>
        <w:t xml:space="preserve">های این </w:t>
      </w:r>
      <w:r w:rsidR="007701A1" w:rsidRPr="00BF1AA2">
        <w:rPr>
          <w:rFonts w:hint="cs"/>
          <w:i/>
          <w:sz w:val="23"/>
          <w:szCs w:val="23"/>
          <w:rtl/>
        </w:rPr>
        <w:t>نظریه</w:t>
      </w:r>
      <w:r w:rsidRPr="00BF1AA2">
        <w:rPr>
          <w:i/>
          <w:sz w:val="23"/>
          <w:szCs w:val="23"/>
          <w:rtl/>
        </w:rPr>
        <w:softHyphen/>
      </w:r>
      <w:r w:rsidRPr="00BF1AA2">
        <w:rPr>
          <w:rFonts w:hint="cs"/>
          <w:i/>
          <w:sz w:val="23"/>
          <w:szCs w:val="23"/>
          <w:rtl/>
        </w:rPr>
        <w:t>ها در پویایی قیمت</w:t>
      </w:r>
      <w:r w:rsidRPr="00BF1AA2">
        <w:rPr>
          <w:i/>
          <w:sz w:val="23"/>
          <w:szCs w:val="23"/>
          <w:rtl/>
        </w:rPr>
        <w:softHyphen/>
      </w:r>
      <w:r w:rsidRPr="00BF1AA2">
        <w:rPr>
          <w:rFonts w:hint="cs"/>
          <w:i/>
          <w:sz w:val="23"/>
          <w:szCs w:val="23"/>
          <w:rtl/>
        </w:rPr>
        <w:t>ها و تورم توضیح داده می</w:t>
      </w:r>
      <w:r w:rsidRPr="00BF1AA2">
        <w:rPr>
          <w:i/>
          <w:sz w:val="23"/>
          <w:szCs w:val="23"/>
          <w:rtl/>
        </w:rPr>
        <w:softHyphen/>
      </w:r>
      <w:r w:rsidRPr="00BF1AA2">
        <w:rPr>
          <w:rFonts w:hint="cs"/>
          <w:i/>
          <w:sz w:val="23"/>
          <w:szCs w:val="23"/>
          <w:rtl/>
        </w:rPr>
        <w:t>شود. قبل از ارائه</w:t>
      </w:r>
      <w:r w:rsidRPr="00BF1AA2">
        <w:rPr>
          <w:i/>
          <w:sz w:val="23"/>
          <w:szCs w:val="23"/>
          <w:rtl/>
        </w:rPr>
        <w:softHyphen/>
      </w:r>
      <w:r w:rsidRPr="00BF1AA2">
        <w:rPr>
          <w:rFonts w:hint="cs"/>
          <w:i/>
          <w:sz w:val="23"/>
          <w:szCs w:val="23"/>
          <w:rtl/>
        </w:rPr>
        <w:t xml:space="preserve">ی </w:t>
      </w:r>
      <w:r w:rsidR="007701A1" w:rsidRPr="00BF1AA2">
        <w:rPr>
          <w:rFonts w:hint="cs"/>
          <w:i/>
          <w:sz w:val="23"/>
          <w:szCs w:val="23"/>
          <w:rtl/>
        </w:rPr>
        <w:t>نظریه</w:t>
      </w:r>
      <w:r w:rsidRPr="00BF1AA2">
        <w:rPr>
          <w:rFonts w:hint="cs"/>
          <w:i/>
          <w:sz w:val="23"/>
          <w:szCs w:val="23"/>
          <w:rtl/>
        </w:rPr>
        <w:t xml:space="preserve"> و مدل</w:t>
      </w:r>
      <w:r w:rsidRPr="00BF1AA2">
        <w:rPr>
          <w:i/>
          <w:sz w:val="23"/>
          <w:szCs w:val="23"/>
          <w:rtl/>
        </w:rPr>
        <w:softHyphen/>
      </w:r>
      <w:r w:rsidRPr="00BF1AA2">
        <w:rPr>
          <w:rFonts w:hint="cs"/>
          <w:i/>
          <w:sz w:val="23"/>
          <w:szCs w:val="23"/>
          <w:rtl/>
        </w:rPr>
        <w:t>های قیمت و تورم برخی شواهد تجربی و سرعت تعدیل قیمت</w:t>
      </w:r>
      <w:r w:rsidRPr="00BF1AA2">
        <w:rPr>
          <w:i/>
          <w:sz w:val="23"/>
          <w:szCs w:val="23"/>
          <w:rtl/>
        </w:rPr>
        <w:softHyphen/>
      </w:r>
      <w:r w:rsidRPr="00BF1AA2">
        <w:rPr>
          <w:rFonts w:hint="cs"/>
          <w:i/>
          <w:sz w:val="23"/>
          <w:szCs w:val="23"/>
          <w:rtl/>
        </w:rPr>
        <w:t>ها و دستمزد را بررسی خواهیم کرد.</w:t>
      </w:r>
    </w:p>
    <w:p w14:paraId="3BD59B57" w14:textId="77777777" w:rsidR="00912CC7" w:rsidRPr="00BF1AA2" w:rsidRDefault="00912CC7" w:rsidP="00656484">
      <w:pPr>
        <w:spacing w:line="216" w:lineRule="auto"/>
        <w:rPr>
          <w:i/>
          <w:sz w:val="23"/>
          <w:szCs w:val="23"/>
        </w:rPr>
      </w:pPr>
    </w:p>
    <w:p w14:paraId="0CB52735" w14:textId="77777777" w:rsidR="00EA2063" w:rsidRPr="00BF1AA2" w:rsidRDefault="00FB03BD" w:rsidP="00656484">
      <w:pPr>
        <w:spacing w:line="216" w:lineRule="auto"/>
        <w:rPr>
          <w:iCs/>
          <w:sz w:val="23"/>
          <w:szCs w:val="23"/>
          <w:rtl/>
        </w:rPr>
      </w:pPr>
      <w:r w:rsidRPr="00BF1AA2">
        <w:rPr>
          <w:rFonts w:hint="cs"/>
          <w:i/>
          <w:sz w:val="23"/>
          <w:szCs w:val="23"/>
          <w:rtl/>
        </w:rPr>
        <w:t xml:space="preserve">در </w:t>
      </w:r>
      <w:r w:rsidR="00EA2063" w:rsidRPr="00BF1AA2">
        <w:rPr>
          <w:rFonts w:hint="cs"/>
          <w:i/>
          <w:sz w:val="23"/>
          <w:szCs w:val="23"/>
          <w:rtl/>
        </w:rPr>
        <w:t xml:space="preserve">رویکرد تعادل عمومی پویای تصادفی، موضوع بیکاری تا سال‌های اخیر مورد توجه </w:t>
      </w:r>
      <w:r w:rsidRPr="00BF1AA2">
        <w:rPr>
          <w:rFonts w:hint="cs"/>
          <w:i/>
          <w:sz w:val="23"/>
          <w:szCs w:val="23"/>
          <w:rtl/>
        </w:rPr>
        <w:t xml:space="preserve">نبوده </w:t>
      </w:r>
      <w:r w:rsidR="00EA2063" w:rsidRPr="00BF1AA2">
        <w:rPr>
          <w:rFonts w:hint="cs"/>
          <w:i/>
          <w:sz w:val="23"/>
          <w:szCs w:val="23"/>
          <w:rtl/>
        </w:rPr>
        <w:t>و صرفاً مباحث اشتغال و تعیین دستمزد حقیقی بررسی می</w:t>
      </w:r>
      <w:r w:rsidR="00EA2063" w:rsidRPr="00BF1AA2">
        <w:rPr>
          <w:i/>
          <w:sz w:val="23"/>
          <w:szCs w:val="23"/>
          <w:rtl/>
        </w:rPr>
        <w:softHyphen/>
      </w:r>
      <w:r w:rsidR="00EA2063" w:rsidRPr="00BF1AA2">
        <w:rPr>
          <w:rFonts w:hint="cs"/>
          <w:i/>
          <w:sz w:val="23"/>
          <w:szCs w:val="23"/>
          <w:rtl/>
        </w:rPr>
        <w:t xml:space="preserve">شد. </w:t>
      </w:r>
      <w:r w:rsidRPr="00BF1AA2">
        <w:rPr>
          <w:rFonts w:hint="cs"/>
          <w:i/>
          <w:sz w:val="23"/>
          <w:szCs w:val="23"/>
          <w:rtl/>
        </w:rPr>
        <w:t xml:space="preserve">در </w:t>
      </w:r>
      <w:r w:rsidR="00EA2063" w:rsidRPr="00BF1AA2">
        <w:rPr>
          <w:rFonts w:hint="cs"/>
          <w:i/>
          <w:sz w:val="23"/>
          <w:szCs w:val="23"/>
          <w:rtl/>
        </w:rPr>
        <w:t>مدل‌ها</w:t>
      </w:r>
      <w:r w:rsidRPr="00BF1AA2">
        <w:rPr>
          <w:rFonts w:hint="cs"/>
          <w:i/>
          <w:sz w:val="23"/>
          <w:szCs w:val="23"/>
          <w:rtl/>
        </w:rPr>
        <w:t>ی</w:t>
      </w:r>
      <w:r w:rsidR="00F860DA" w:rsidRPr="00BF1AA2">
        <w:rPr>
          <w:rFonts w:hint="cs"/>
          <w:i/>
          <w:sz w:val="23"/>
          <w:szCs w:val="23"/>
          <w:rtl/>
        </w:rPr>
        <w:t xml:space="preserve"> فصول قبل</w:t>
      </w:r>
      <w:r w:rsidRPr="00BF1AA2">
        <w:rPr>
          <w:rFonts w:hint="cs"/>
          <w:i/>
          <w:sz w:val="23"/>
          <w:szCs w:val="23"/>
          <w:rtl/>
        </w:rPr>
        <w:t xml:space="preserve"> فرض می‌شود</w:t>
      </w:r>
      <w:r w:rsidR="00EA2063" w:rsidRPr="00BF1AA2">
        <w:rPr>
          <w:rFonts w:hint="cs"/>
          <w:i/>
          <w:sz w:val="23"/>
          <w:szCs w:val="23"/>
          <w:rtl/>
        </w:rPr>
        <w:t xml:space="preserve"> بازار کار همواره در کوتاه</w:t>
      </w:r>
      <w:r w:rsidR="00EA2063" w:rsidRPr="00BF1AA2">
        <w:rPr>
          <w:i/>
          <w:sz w:val="23"/>
          <w:szCs w:val="23"/>
          <w:rtl/>
        </w:rPr>
        <w:softHyphen/>
      </w:r>
      <w:r w:rsidR="00EA2063" w:rsidRPr="00BF1AA2">
        <w:rPr>
          <w:rFonts w:hint="cs"/>
          <w:i/>
          <w:sz w:val="23"/>
          <w:szCs w:val="23"/>
          <w:rtl/>
        </w:rPr>
        <w:t>مدت و بلند‌مدت در تعادل است. در نتیجه، بیکاری یک عارضه و یا اثر طبیعی تعادلی است که به صورت اختیاری و داوطلبانه بواسطه</w:t>
      </w:r>
      <w:r w:rsidR="00EA2063" w:rsidRPr="00BF1AA2">
        <w:rPr>
          <w:i/>
          <w:sz w:val="23"/>
          <w:szCs w:val="23"/>
          <w:rtl/>
        </w:rPr>
        <w:softHyphen/>
      </w:r>
      <w:r w:rsidR="00EA2063" w:rsidRPr="00BF1AA2">
        <w:rPr>
          <w:rFonts w:hint="cs"/>
          <w:i/>
          <w:sz w:val="23"/>
          <w:szCs w:val="23"/>
          <w:rtl/>
        </w:rPr>
        <w:t>ی نیروی کار در اقتصاد ایجاد می‌شود، و همان</w:t>
      </w:r>
      <w:r w:rsidR="00EA2063" w:rsidRPr="00BF1AA2">
        <w:rPr>
          <w:i/>
          <w:sz w:val="23"/>
          <w:szCs w:val="23"/>
          <w:rtl/>
        </w:rPr>
        <w:softHyphen/>
      </w:r>
      <w:r w:rsidR="00EA2063" w:rsidRPr="00BF1AA2">
        <w:rPr>
          <w:rFonts w:hint="cs"/>
          <w:i/>
          <w:sz w:val="23"/>
          <w:szCs w:val="23"/>
          <w:rtl/>
        </w:rPr>
        <w:t>گونه که در تجزیه و تحلیل مدل</w:t>
      </w:r>
      <w:r w:rsidR="00EA2063" w:rsidRPr="00BF1AA2">
        <w:rPr>
          <w:i/>
          <w:sz w:val="23"/>
          <w:szCs w:val="23"/>
          <w:rtl/>
        </w:rPr>
        <w:softHyphen/>
      </w:r>
      <w:r w:rsidR="00EA2063" w:rsidRPr="00BF1AA2">
        <w:rPr>
          <w:rFonts w:hint="cs"/>
          <w:i/>
          <w:sz w:val="23"/>
          <w:szCs w:val="23"/>
          <w:rtl/>
        </w:rPr>
        <w:t>های کینزین ارائه شد، بیکاری به صورت غیرداوطلبانه و غیراختیاری نیست. علی</w:t>
      </w:r>
      <w:r w:rsidR="00EA2063" w:rsidRPr="00BF1AA2">
        <w:rPr>
          <w:i/>
          <w:sz w:val="23"/>
          <w:szCs w:val="23"/>
          <w:rtl/>
        </w:rPr>
        <w:softHyphen/>
      </w:r>
      <w:r w:rsidR="00EA2063" w:rsidRPr="00BF1AA2">
        <w:rPr>
          <w:rFonts w:hint="cs"/>
          <w:i/>
          <w:sz w:val="23"/>
          <w:szCs w:val="23"/>
          <w:rtl/>
        </w:rPr>
        <w:t>رغم این</w:t>
      </w:r>
      <w:r w:rsidR="00EA2063" w:rsidRPr="00BF1AA2">
        <w:rPr>
          <w:i/>
          <w:sz w:val="23"/>
          <w:szCs w:val="23"/>
          <w:rtl/>
        </w:rPr>
        <w:softHyphen/>
      </w:r>
      <w:r w:rsidR="00EA2063" w:rsidRPr="00BF1AA2">
        <w:rPr>
          <w:rFonts w:hint="cs"/>
          <w:i/>
          <w:sz w:val="23"/>
          <w:szCs w:val="23"/>
          <w:rtl/>
        </w:rPr>
        <w:t>که تاکنون در خصوص بیکاری تبیین جامع و کاملی با رویکرد مدل‌های تعادل عمومی پویای تصادفی ارائه نشده و اجماع و وفاق در رابطه با بیکاری داوطلبانه</w:t>
      </w:r>
      <w:r w:rsidRPr="00BF1AA2">
        <w:rPr>
          <w:rFonts w:hint="cs"/>
          <w:i/>
          <w:sz w:val="23"/>
          <w:szCs w:val="23"/>
          <w:rtl/>
        </w:rPr>
        <w:t xml:space="preserve"> </w:t>
      </w:r>
      <w:r w:rsidR="00EA2063" w:rsidRPr="00BF1AA2">
        <w:rPr>
          <w:rFonts w:hint="cs"/>
          <w:i/>
          <w:sz w:val="23"/>
          <w:szCs w:val="23"/>
          <w:rtl/>
        </w:rPr>
        <w:t xml:space="preserve">و بیکاری غیرداوطلبانه وجود ندارد، </w:t>
      </w:r>
      <w:r w:rsidR="00EA2063" w:rsidRPr="00BF1AA2">
        <w:rPr>
          <w:rFonts w:hint="cs"/>
          <w:bCs/>
          <w:i/>
          <w:sz w:val="23"/>
          <w:szCs w:val="23"/>
          <w:rtl/>
        </w:rPr>
        <w:t xml:space="preserve">در فصل </w:t>
      </w:r>
      <w:r w:rsidRPr="00BF1AA2">
        <w:rPr>
          <w:rFonts w:hint="cs"/>
          <w:bCs/>
          <w:i/>
          <w:sz w:val="23"/>
          <w:szCs w:val="23"/>
          <w:rtl/>
        </w:rPr>
        <w:t>دهم</w:t>
      </w:r>
      <w:r w:rsidRPr="00BF1AA2">
        <w:rPr>
          <w:rFonts w:hint="cs"/>
          <w:i/>
          <w:sz w:val="23"/>
          <w:szCs w:val="23"/>
          <w:rtl/>
        </w:rPr>
        <w:t xml:space="preserve"> </w:t>
      </w:r>
      <w:r w:rsidR="00EA2063" w:rsidRPr="00BF1AA2">
        <w:rPr>
          <w:rFonts w:hint="cs"/>
          <w:i/>
          <w:sz w:val="23"/>
          <w:szCs w:val="23"/>
          <w:rtl/>
        </w:rPr>
        <w:t>مسئله</w:t>
      </w:r>
      <w:r w:rsidR="00EA2063" w:rsidRPr="00BF1AA2">
        <w:rPr>
          <w:i/>
          <w:sz w:val="23"/>
          <w:szCs w:val="23"/>
          <w:rtl/>
        </w:rPr>
        <w:softHyphen/>
      </w:r>
      <w:r w:rsidR="00EA2063" w:rsidRPr="00BF1AA2">
        <w:rPr>
          <w:rFonts w:hint="cs"/>
          <w:i/>
          <w:sz w:val="23"/>
          <w:szCs w:val="23"/>
          <w:rtl/>
        </w:rPr>
        <w:t xml:space="preserve">ی بیکاری را در چارچوب دو </w:t>
      </w:r>
      <w:r w:rsidR="007701A1" w:rsidRPr="00BF1AA2">
        <w:rPr>
          <w:rFonts w:hint="cs"/>
          <w:i/>
          <w:sz w:val="23"/>
          <w:szCs w:val="23"/>
          <w:rtl/>
        </w:rPr>
        <w:t>نظریه</w:t>
      </w:r>
      <w:r w:rsidR="00EA2063" w:rsidRPr="00BF1AA2">
        <w:rPr>
          <w:rFonts w:hint="cs"/>
          <w:i/>
          <w:sz w:val="23"/>
          <w:szCs w:val="23"/>
          <w:rtl/>
        </w:rPr>
        <w:t xml:space="preserve"> جستجو و </w:t>
      </w:r>
      <w:r w:rsidR="007701A1" w:rsidRPr="00BF1AA2">
        <w:rPr>
          <w:rFonts w:hint="cs"/>
          <w:i/>
          <w:sz w:val="23"/>
          <w:szCs w:val="23"/>
          <w:rtl/>
        </w:rPr>
        <w:t>نظریه</w:t>
      </w:r>
      <w:r w:rsidR="00EA2063" w:rsidRPr="00BF1AA2">
        <w:rPr>
          <w:rFonts w:hint="cs"/>
          <w:i/>
          <w:sz w:val="23"/>
          <w:szCs w:val="23"/>
          <w:rtl/>
        </w:rPr>
        <w:t xml:space="preserve"> کارایی-دستمزد و همچنین بصورت تجربی مورد بررسی قرار می‌دهیم. در این فصل موضوع مورد بررسی در فصل نهم، که بیکاری غیرداوطلبانه ممکن است بدلیل چسبندگی دستمزدها ایجاد شود نیز مورد بررسی قرار خواهد گرفت. </w:t>
      </w:r>
    </w:p>
    <w:p w14:paraId="1CADE47D" w14:textId="77777777" w:rsidR="00912CC7" w:rsidRPr="00BF1AA2" w:rsidRDefault="00912CC7" w:rsidP="00656484">
      <w:pPr>
        <w:spacing w:line="216" w:lineRule="auto"/>
        <w:rPr>
          <w:i/>
          <w:sz w:val="23"/>
          <w:szCs w:val="23"/>
        </w:rPr>
      </w:pPr>
    </w:p>
    <w:p w14:paraId="562346C8" w14:textId="77777777" w:rsidR="00912CC7" w:rsidRPr="00BF1AA2" w:rsidRDefault="00F860DA" w:rsidP="00656484">
      <w:pPr>
        <w:spacing w:line="216" w:lineRule="auto"/>
        <w:rPr>
          <w:i/>
          <w:sz w:val="23"/>
          <w:szCs w:val="23"/>
        </w:rPr>
      </w:pPr>
      <w:r w:rsidRPr="00BF1AA2">
        <w:rPr>
          <w:rFonts w:hint="cs"/>
          <w:i/>
          <w:sz w:val="23"/>
          <w:szCs w:val="23"/>
          <w:rtl/>
        </w:rPr>
        <w:t xml:space="preserve">در </w:t>
      </w:r>
      <w:r w:rsidRPr="00BF1AA2">
        <w:rPr>
          <w:rFonts w:hint="cs"/>
          <w:bCs/>
          <w:i/>
          <w:sz w:val="23"/>
          <w:szCs w:val="23"/>
          <w:rtl/>
        </w:rPr>
        <w:t>فصل یازدهم</w:t>
      </w:r>
      <w:r w:rsidRPr="00BF1AA2">
        <w:rPr>
          <w:rFonts w:hint="cs"/>
          <w:i/>
          <w:sz w:val="23"/>
          <w:szCs w:val="23"/>
          <w:rtl/>
        </w:rPr>
        <w:t xml:space="preserve"> به این نکته اشاره خواهد شد که</w:t>
      </w:r>
      <w:r w:rsidR="000E5D29" w:rsidRPr="00BF1AA2">
        <w:rPr>
          <w:rFonts w:hint="cs"/>
          <w:i/>
          <w:sz w:val="23"/>
          <w:szCs w:val="23"/>
          <w:rtl/>
        </w:rPr>
        <w:t xml:space="preserve"> </w:t>
      </w:r>
      <w:r w:rsidR="00FB03BD" w:rsidRPr="00BF1AA2">
        <w:rPr>
          <w:rFonts w:hint="cs"/>
          <w:i/>
          <w:sz w:val="23"/>
          <w:szCs w:val="23"/>
          <w:rtl/>
        </w:rPr>
        <w:t>دارایی‌ها، اعم از سرمایه</w:t>
      </w:r>
      <w:r w:rsidR="00FB03BD" w:rsidRPr="00BF1AA2">
        <w:rPr>
          <w:i/>
          <w:sz w:val="23"/>
          <w:szCs w:val="23"/>
        </w:rPr>
        <w:softHyphen/>
      </w:r>
      <w:r w:rsidR="00FB03BD" w:rsidRPr="00BF1AA2">
        <w:rPr>
          <w:rFonts w:hint="cs"/>
          <w:i/>
          <w:sz w:val="23"/>
          <w:szCs w:val="23"/>
          <w:rtl/>
        </w:rPr>
        <w:t>های فیزیکی، مالی و یا انسانی نقش بسیار مهمی در اقتصاد کلان ایفا می‌کنند. وجود این</w:t>
      </w:r>
      <w:r w:rsidR="00FB03BD" w:rsidRPr="00BF1AA2">
        <w:rPr>
          <w:i/>
          <w:sz w:val="23"/>
          <w:szCs w:val="23"/>
        </w:rPr>
        <w:t xml:space="preserve"> </w:t>
      </w:r>
      <w:r w:rsidR="00FB03BD" w:rsidRPr="00BF1AA2">
        <w:rPr>
          <w:rFonts w:hint="cs"/>
          <w:i/>
          <w:sz w:val="23"/>
          <w:szCs w:val="23"/>
          <w:rtl/>
        </w:rPr>
        <w:t>نوع از دارایی‌ها برای تولید و درآمد ضروری است، و در تخصیص بین‌دوره‌ای منابع بواسطه</w:t>
      </w:r>
      <w:r w:rsidR="00FB03BD" w:rsidRPr="00BF1AA2">
        <w:rPr>
          <w:i/>
          <w:sz w:val="23"/>
          <w:szCs w:val="23"/>
          <w:rtl/>
        </w:rPr>
        <w:softHyphen/>
      </w:r>
      <w:r w:rsidR="00FB03BD" w:rsidRPr="00BF1AA2">
        <w:rPr>
          <w:rFonts w:hint="cs"/>
          <w:i/>
          <w:sz w:val="23"/>
          <w:szCs w:val="23"/>
          <w:rtl/>
        </w:rPr>
        <w:t>ی فرایند پس‌انداز، وام و استقراض نقش کلیدی ایفا می</w:t>
      </w:r>
      <w:r w:rsidR="00FB03BD" w:rsidRPr="00BF1AA2">
        <w:rPr>
          <w:i/>
          <w:sz w:val="23"/>
          <w:szCs w:val="23"/>
          <w:rtl/>
        </w:rPr>
        <w:softHyphen/>
      </w:r>
      <w:r w:rsidRPr="00BF1AA2">
        <w:rPr>
          <w:rFonts w:hint="cs"/>
          <w:i/>
          <w:sz w:val="23"/>
          <w:szCs w:val="23"/>
          <w:rtl/>
        </w:rPr>
        <w:t>کنند. در این فصل</w:t>
      </w:r>
      <w:r w:rsidR="00FB03BD" w:rsidRPr="00BF1AA2">
        <w:rPr>
          <w:rFonts w:hint="cs"/>
          <w:i/>
          <w:sz w:val="23"/>
          <w:szCs w:val="23"/>
          <w:rtl/>
        </w:rPr>
        <w:t xml:space="preserve"> به این موضوع خواهیم پرداخت که در تعادل عمومی، دارایی‌های مالی </w:t>
      </w:r>
      <w:r w:rsidR="00FB03BD" w:rsidRPr="00BF1AA2">
        <w:rPr>
          <w:rFonts w:hint="cs"/>
          <w:i/>
          <w:sz w:val="23"/>
          <w:szCs w:val="23"/>
          <w:rtl/>
        </w:rPr>
        <w:lastRenderedPageBreak/>
        <w:t xml:space="preserve">چگونه قیمت‌گذاری می‌شوند. هر چند در عمل، تقریباً تمامی دارایی‌ها بازدهی نامطمئنی را در آینده داشته و در معرض ریسک هستند. بنابراین </w:t>
      </w:r>
      <w:r w:rsidR="007701A1" w:rsidRPr="00BF1AA2">
        <w:rPr>
          <w:rFonts w:hint="cs"/>
          <w:i/>
          <w:sz w:val="23"/>
          <w:szCs w:val="23"/>
          <w:rtl/>
        </w:rPr>
        <w:t>نظریه</w:t>
      </w:r>
      <w:r w:rsidR="00FB03BD" w:rsidRPr="00BF1AA2">
        <w:rPr>
          <w:i/>
          <w:sz w:val="23"/>
          <w:szCs w:val="23"/>
          <w:rtl/>
        </w:rPr>
        <w:softHyphen/>
      </w:r>
      <w:r w:rsidR="00FB03BD" w:rsidRPr="00BF1AA2">
        <w:rPr>
          <w:rFonts w:hint="cs"/>
          <w:i/>
          <w:sz w:val="23"/>
          <w:szCs w:val="23"/>
          <w:rtl/>
        </w:rPr>
        <w:t>های قیمت</w:t>
      </w:r>
      <w:r w:rsidR="00FB03BD" w:rsidRPr="00BF1AA2">
        <w:rPr>
          <w:i/>
          <w:sz w:val="23"/>
          <w:szCs w:val="23"/>
          <w:rtl/>
        </w:rPr>
        <w:softHyphen/>
      </w:r>
      <w:r w:rsidR="00FB03BD" w:rsidRPr="00BF1AA2">
        <w:rPr>
          <w:rFonts w:hint="cs"/>
          <w:i/>
          <w:sz w:val="23"/>
          <w:szCs w:val="23"/>
          <w:rtl/>
        </w:rPr>
        <w:t>گذاری دارایی‌های ریسکی را مورد توجه قرار می</w:t>
      </w:r>
      <w:r w:rsidR="00FB03BD" w:rsidRPr="00BF1AA2">
        <w:rPr>
          <w:i/>
          <w:sz w:val="23"/>
          <w:szCs w:val="23"/>
          <w:rtl/>
        </w:rPr>
        <w:softHyphen/>
      </w:r>
      <w:r w:rsidR="00FB03BD" w:rsidRPr="00BF1AA2">
        <w:rPr>
          <w:rFonts w:hint="cs"/>
          <w:i/>
          <w:sz w:val="23"/>
          <w:szCs w:val="23"/>
          <w:rtl/>
        </w:rPr>
        <w:t>دهیم. یک راه برای دسته</w:t>
      </w:r>
      <w:r w:rsidR="00FB03BD" w:rsidRPr="00BF1AA2">
        <w:rPr>
          <w:i/>
          <w:sz w:val="23"/>
          <w:szCs w:val="23"/>
          <w:rtl/>
        </w:rPr>
        <w:softHyphen/>
      </w:r>
      <w:r w:rsidR="00FB03BD" w:rsidRPr="00BF1AA2">
        <w:rPr>
          <w:rFonts w:hint="cs"/>
          <w:i/>
          <w:sz w:val="23"/>
          <w:szCs w:val="23"/>
          <w:rtl/>
        </w:rPr>
        <w:t xml:space="preserve">بندی انواع </w:t>
      </w:r>
      <w:r w:rsidR="007701A1" w:rsidRPr="00BF1AA2">
        <w:rPr>
          <w:rFonts w:hint="cs"/>
          <w:i/>
          <w:sz w:val="23"/>
          <w:szCs w:val="23"/>
          <w:rtl/>
        </w:rPr>
        <w:t>نظریه</w:t>
      </w:r>
      <w:r w:rsidR="00FB03BD" w:rsidRPr="00BF1AA2">
        <w:rPr>
          <w:rFonts w:hint="cs"/>
          <w:i/>
          <w:sz w:val="23"/>
          <w:szCs w:val="23"/>
          <w:rtl/>
        </w:rPr>
        <w:t xml:space="preserve">‌های قیمت‌گذاری دارایی‌ها روشی است که این </w:t>
      </w:r>
      <w:r w:rsidR="007701A1" w:rsidRPr="00BF1AA2">
        <w:rPr>
          <w:rFonts w:hint="cs"/>
          <w:i/>
          <w:sz w:val="23"/>
          <w:szCs w:val="23"/>
          <w:rtl/>
        </w:rPr>
        <w:t>نظریه</w:t>
      </w:r>
      <w:r w:rsidR="00FB03BD" w:rsidRPr="00BF1AA2">
        <w:rPr>
          <w:rFonts w:hint="cs"/>
          <w:i/>
          <w:sz w:val="23"/>
          <w:szCs w:val="23"/>
          <w:rtl/>
        </w:rPr>
        <w:t>‌ها، ریسک و پاداش ریسک که مازادِ بر بازدهی معین جهت جبران و غرامت ریسک و نااطمینانی محتمل است را اندازه</w:t>
      </w:r>
      <w:r w:rsidR="00FB03BD" w:rsidRPr="00BF1AA2">
        <w:rPr>
          <w:i/>
          <w:sz w:val="23"/>
          <w:szCs w:val="23"/>
          <w:rtl/>
        </w:rPr>
        <w:softHyphen/>
      </w:r>
      <w:r w:rsidR="009D4CB7" w:rsidRPr="00BF1AA2">
        <w:rPr>
          <w:rFonts w:hint="cs"/>
          <w:i/>
          <w:sz w:val="23"/>
          <w:szCs w:val="23"/>
          <w:rtl/>
        </w:rPr>
        <w:t>گیری می‌کنند.</w:t>
      </w:r>
      <w:r w:rsidR="00FB03BD" w:rsidRPr="00BF1AA2">
        <w:rPr>
          <w:rFonts w:hint="cs"/>
          <w:i/>
          <w:sz w:val="23"/>
          <w:szCs w:val="23"/>
          <w:rtl/>
        </w:rPr>
        <w:t xml:space="preserve"> چهار </w:t>
      </w:r>
      <w:r w:rsidR="007701A1" w:rsidRPr="00BF1AA2">
        <w:rPr>
          <w:rFonts w:hint="cs"/>
          <w:i/>
          <w:sz w:val="23"/>
          <w:szCs w:val="23"/>
          <w:rtl/>
        </w:rPr>
        <w:t>نظریه</w:t>
      </w:r>
      <w:r w:rsidR="00FB03BD" w:rsidRPr="00BF1AA2">
        <w:rPr>
          <w:rFonts w:hint="cs"/>
          <w:i/>
          <w:sz w:val="23"/>
          <w:szCs w:val="23"/>
          <w:rtl/>
        </w:rPr>
        <w:t xml:space="preserve"> تجزیه و تحلیل مطالبات مشروط، قیمت</w:t>
      </w:r>
      <w:r w:rsidR="00FB03BD" w:rsidRPr="00BF1AA2">
        <w:rPr>
          <w:i/>
          <w:sz w:val="23"/>
          <w:szCs w:val="23"/>
          <w:rtl/>
        </w:rPr>
        <w:softHyphen/>
      </w:r>
      <w:r w:rsidR="00FB03BD" w:rsidRPr="00BF1AA2">
        <w:rPr>
          <w:rFonts w:hint="cs"/>
          <w:i/>
          <w:sz w:val="23"/>
          <w:szCs w:val="23"/>
          <w:rtl/>
        </w:rPr>
        <w:t>گذاری دارایی تعادل عمومی، قیمت‌گذاری دارایی سرمایه</w:t>
      </w:r>
      <w:r w:rsidR="00FB03BD" w:rsidRPr="00BF1AA2">
        <w:rPr>
          <w:i/>
          <w:sz w:val="23"/>
          <w:szCs w:val="23"/>
          <w:rtl/>
        </w:rPr>
        <w:softHyphen/>
      </w:r>
      <w:r w:rsidR="00FB03BD" w:rsidRPr="00BF1AA2">
        <w:rPr>
          <w:rFonts w:hint="cs"/>
          <w:i/>
          <w:sz w:val="23"/>
          <w:szCs w:val="23"/>
          <w:rtl/>
        </w:rPr>
        <w:t>ای مبتنی بر مصرف و بالاخره قیمت‌گذاری دارایی سرمایه</w:t>
      </w:r>
      <w:r w:rsidR="00FB03BD" w:rsidRPr="00BF1AA2">
        <w:rPr>
          <w:i/>
          <w:sz w:val="23"/>
          <w:szCs w:val="23"/>
          <w:rtl/>
        </w:rPr>
        <w:softHyphen/>
      </w:r>
      <w:r w:rsidR="00FB03BD" w:rsidRPr="00BF1AA2">
        <w:rPr>
          <w:rFonts w:hint="cs"/>
          <w:i/>
          <w:sz w:val="23"/>
          <w:szCs w:val="23"/>
          <w:rtl/>
        </w:rPr>
        <w:t>ای سنتی، و روابط بین آن</w:t>
      </w:r>
      <w:r w:rsidR="00FB03BD" w:rsidRPr="00BF1AA2">
        <w:rPr>
          <w:i/>
          <w:sz w:val="23"/>
          <w:szCs w:val="23"/>
          <w:rtl/>
        </w:rPr>
        <w:softHyphen/>
      </w:r>
      <w:r w:rsidR="00FB03BD" w:rsidRPr="00BF1AA2">
        <w:rPr>
          <w:rFonts w:hint="cs"/>
          <w:i/>
          <w:sz w:val="23"/>
          <w:szCs w:val="23"/>
          <w:rtl/>
        </w:rPr>
        <w:t xml:space="preserve">ها را مورد بررسی قرار داده، و نشان خواهیم داد که این چهار </w:t>
      </w:r>
      <w:r w:rsidR="007701A1" w:rsidRPr="00BF1AA2">
        <w:rPr>
          <w:rFonts w:hint="cs"/>
          <w:i/>
          <w:sz w:val="23"/>
          <w:szCs w:val="23"/>
          <w:rtl/>
        </w:rPr>
        <w:t>نظریه</w:t>
      </w:r>
      <w:r w:rsidR="00FB03BD" w:rsidRPr="00BF1AA2">
        <w:rPr>
          <w:rFonts w:hint="cs"/>
          <w:i/>
          <w:sz w:val="23"/>
          <w:szCs w:val="23"/>
          <w:rtl/>
        </w:rPr>
        <w:t xml:space="preserve"> چگونه با یکدیگر مرتبط</w:t>
      </w:r>
      <w:r w:rsidR="00FB03BD" w:rsidRPr="00BF1AA2">
        <w:rPr>
          <w:i/>
          <w:sz w:val="23"/>
          <w:szCs w:val="23"/>
          <w:rtl/>
        </w:rPr>
        <w:softHyphen/>
      </w:r>
      <w:r w:rsidR="00FB03BD" w:rsidRPr="00BF1AA2">
        <w:rPr>
          <w:rFonts w:hint="cs"/>
          <w:i/>
          <w:sz w:val="23"/>
          <w:szCs w:val="23"/>
          <w:rtl/>
        </w:rPr>
        <w:t xml:space="preserve"> هستند.</w:t>
      </w:r>
      <w:r w:rsidR="009D4CB7" w:rsidRPr="00BF1AA2">
        <w:rPr>
          <w:rFonts w:hint="cs"/>
          <w:i/>
          <w:sz w:val="23"/>
          <w:szCs w:val="23"/>
          <w:rtl/>
        </w:rPr>
        <w:t xml:space="preserve"> </w:t>
      </w:r>
      <w:r w:rsidR="00FB03BD" w:rsidRPr="00BF1AA2">
        <w:rPr>
          <w:rFonts w:hint="cs"/>
          <w:i/>
          <w:sz w:val="23"/>
          <w:szCs w:val="23"/>
          <w:rtl/>
        </w:rPr>
        <w:t>همان</w:t>
      </w:r>
      <w:r w:rsidR="00FB03BD" w:rsidRPr="00BF1AA2">
        <w:rPr>
          <w:i/>
          <w:sz w:val="23"/>
          <w:szCs w:val="23"/>
          <w:rtl/>
        </w:rPr>
        <w:softHyphen/>
      </w:r>
      <w:r w:rsidR="00FB03BD" w:rsidRPr="00BF1AA2">
        <w:rPr>
          <w:rFonts w:hint="cs"/>
          <w:i/>
          <w:sz w:val="23"/>
          <w:szCs w:val="23"/>
          <w:rtl/>
        </w:rPr>
        <w:t>گونه که بازدهی ریسکی متغیری تصادفی است، لذا برنامه</w:t>
      </w:r>
      <w:r w:rsidR="00FB03BD" w:rsidRPr="00BF1AA2">
        <w:rPr>
          <w:i/>
          <w:sz w:val="23"/>
          <w:szCs w:val="23"/>
          <w:rtl/>
        </w:rPr>
        <w:softHyphen/>
      </w:r>
      <w:r w:rsidR="00FB03BD" w:rsidRPr="00BF1AA2">
        <w:rPr>
          <w:rFonts w:hint="cs"/>
          <w:i/>
          <w:sz w:val="23"/>
          <w:szCs w:val="23"/>
          <w:rtl/>
        </w:rPr>
        <w:t>ریزی پویای تصادفی را بجای روش ضریب لاگرانژ مورد استفاده قرار خواهیم داد. این فصل را با برخی مفاهیم اولیه همانند مطلوبیت انتظاری و ریسک</w:t>
      </w:r>
      <w:r w:rsidR="00FB03BD" w:rsidRPr="00BF1AA2">
        <w:rPr>
          <w:i/>
          <w:sz w:val="23"/>
          <w:szCs w:val="23"/>
          <w:rtl/>
        </w:rPr>
        <w:softHyphen/>
      </w:r>
      <w:r w:rsidR="00FB03BD" w:rsidRPr="00BF1AA2">
        <w:rPr>
          <w:rFonts w:hint="cs"/>
          <w:i/>
          <w:sz w:val="23"/>
          <w:szCs w:val="23"/>
          <w:rtl/>
        </w:rPr>
        <w:t xml:space="preserve">گریزی، پاداش ریسک، آربیتراژ و عدم وجود آربیتراژ، و کاربرد آن‌ها در </w:t>
      </w:r>
      <w:r w:rsidR="007701A1" w:rsidRPr="00BF1AA2">
        <w:rPr>
          <w:rFonts w:hint="cs"/>
          <w:i/>
          <w:sz w:val="23"/>
          <w:szCs w:val="23"/>
          <w:rtl/>
        </w:rPr>
        <w:t>نظریه</w:t>
      </w:r>
      <w:r w:rsidR="00FB03BD" w:rsidRPr="00BF1AA2">
        <w:rPr>
          <w:rFonts w:hint="cs"/>
          <w:i/>
          <w:sz w:val="23"/>
          <w:szCs w:val="23"/>
          <w:rtl/>
        </w:rPr>
        <w:t xml:space="preserve"> بازار کارا آغاز کرده، و سپس </w:t>
      </w:r>
      <w:r w:rsidR="007701A1" w:rsidRPr="00BF1AA2">
        <w:rPr>
          <w:rFonts w:hint="cs"/>
          <w:i/>
          <w:sz w:val="23"/>
          <w:szCs w:val="23"/>
          <w:rtl/>
        </w:rPr>
        <w:t>نظریه</w:t>
      </w:r>
      <w:r w:rsidR="00FB03BD" w:rsidRPr="00BF1AA2">
        <w:rPr>
          <w:rFonts w:hint="cs"/>
          <w:i/>
          <w:sz w:val="23"/>
          <w:szCs w:val="23"/>
          <w:rtl/>
        </w:rPr>
        <w:t xml:space="preserve"> مطالبات احتمالی را قبل از قیمت‌گذاری دارایی بین‌دوره‌ای مورد بررسی قرار خواهیم داد. </w:t>
      </w:r>
    </w:p>
    <w:p w14:paraId="225F496A" w14:textId="77777777" w:rsidR="00912CC7" w:rsidRPr="00BF1AA2" w:rsidRDefault="00912CC7" w:rsidP="00656484">
      <w:pPr>
        <w:spacing w:line="216" w:lineRule="auto"/>
        <w:rPr>
          <w:i/>
          <w:sz w:val="23"/>
          <w:szCs w:val="23"/>
        </w:rPr>
      </w:pPr>
    </w:p>
    <w:p w14:paraId="3C902A6B" w14:textId="77777777" w:rsidR="00B13AC6" w:rsidRPr="00BF1AA2" w:rsidRDefault="00B13AC6" w:rsidP="00656484">
      <w:pPr>
        <w:spacing w:line="216" w:lineRule="auto"/>
        <w:rPr>
          <w:i/>
          <w:sz w:val="23"/>
          <w:szCs w:val="23"/>
          <w:rtl/>
        </w:rPr>
      </w:pPr>
      <w:r w:rsidRPr="00BF1AA2">
        <w:rPr>
          <w:rFonts w:hint="cs"/>
          <w:i/>
          <w:sz w:val="23"/>
          <w:szCs w:val="23"/>
          <w:rtl/>
        </w:rPr>
        <w:t xml:space="preserve">در </w:t>
      </w:r>
      <w:r w:rsidRPr="00BF1AA2">
        <w:rPr>
          <w:rFonts w:hint="cs"/>
          <w:bCs/>
          <w:i/>
          <w:sz w:val="23"/>
          <w:szCs w:val="23"/>
          <w:rtl/>
        </w:rPr>
        <w:t>فصل دوازدهم</w:t>
      </w:r>
      <w:r w:rsidRPr="00BF1AA2">
        <w:rPr>
          <w:rFonts w:hint="cs"/>
          <w:i/>
          <w:sz w:val="23"/>
          <w:szCs w:val="23"/>
          <w:rtl/>
        </w:rPr>
        <w:t xml:space="preserve"> نیز </w:t>
      </w:r>
      <w:r w:rsidR="007701A1" w:rsidRPr="00BF1AA2">
        <w:rPr>
          <w:rFonts w:hint="cs"/>
          <w:i/>
          <w:sz w:val="23"/>
          <w:szCs w:val="23"/>
          <w:rtl/>
        </w:rPr>
        <w:t>نظریه</w:t>
      </w:r>
      <w:r w:rsidRPr="00BF1AA2">
        <w:rPr>
          <w:i/>
          <w:sz w:val="23"/>
          <w:szCs w:val="23"/>
          <w:rtl/>
        </w:rPr>
        <w:softHyphen/>
      </w:r>
      <w:r w:rsidRPr="00BF1AA2">
        <w:rPr>
          <w:rFonts w:hint="cs"/>
          <w:i/>
          <w:sz w:val="23"/>
          <w:szCs w:val="23"/>
          <w:rtl/>
        </w:rPr>
        <w:t>های قیمت</w:t>
      </w:r>
      <w:r w:rsidRPr="00BF1AA2">
        <w:rPr>
          <w:i/>
          <w:sz w:val="23"/>
          <w:szCs w:val="23"/>
          <w:rtl/>
        </w:rPr>
        <w:softHyphen/>
      </w:r>
      <w:r w:rsidRPr="00BF1AA2">
        <w:rPr>
          <w:rFonts w:hint="cs"/>
          <w:i/>
          <w:sz w:val="23"/>
          <w:szCs w:val="23"/>
          <w:rtl/>
        </w:rPr>
        <w:t>گذاری دارایی‌های مالی همچون، اوراق قرضه، سهام و ارزهای خارجی را مورد بررسی قرار خواهیم داد. لازم به توضیح است که ویژگی</w:t>
      </w:r>
      <w:r w:rsidRPr="00BF1AA2">
        <w:rPr>
          <w:i/>
          <w:sz w:val="23"/>
          <w:szCs w:val="23"/>
          <w:rtl/>
        </w:rPr>
        <w:softHyphen/>
      </w:r>
      <w:r w:rsidRPr="00BF1AA2">
        <w:rPr>
          <w:rFonts w:hint="cs"/>
          <w:i/>
          <w:sz w:val="23"/>
          <w:szCs w:val="23"/>
          <w:rtl/>
        </w:rPr>
        <w:t xml:space="preserve"> خاص هر یک از این دارایی‌ها مستلزم بکارگیری </w:t>
      </w:r>
      <w:r w:rsidR="007701A1" w:rsidRPr="00BF1AA2">
        <w:rPr>
          <w:rFonts w:hint="cs"/>
          <w:i/>
          <w:sz w:val="23"/>
          <w:szCs w:val="23"/>
          <w:rtl/>
        </w:rPr>
        <w:t>نظریه</w:t>
      </w:r>
      <w:r w:rsidRPr="00BF1AA2">
        <w:rPr>
          <w:rFonts w:hint="cs"/>
          <w:i/>
          <w:sz w:val="23"/>
          <w:szCs w:val="23"/>
          <w:rtl/>
        </w:rPr>
        <w:t xml:space="preserve"> مربوط به آن</w:t>
      </w:r>
      <w:r w:rsidRPr="00BF1AA2">
        <w:rPr>
          <w:i/>
          <w:sz w:val="23"/>
          <w:szCs w:val="23"/>
          <w:rtl/>
        </w:rPr>
        <w:softHyphen/>
      </w:r>
      <w:r w:rsidRPr="00BF1AA2">
        <w:rPr>
          <w:rFonts w:hint="cs"/>
          <w:i/>
          <w:sz w:val="23"/>
          <w:szCs w:val="23"/>
          <w:rtl/>
        </w:rPr>
        <w:t xml:space="preserve"> دارایی خواهد بود.</w:t>
      </w:r>
    </w:p>
    <w:p w14:paraId="01B82C95" w14:textId="77777777" w:rsidR="00912CC7" w:rsidRPr="00BF1AA2" w:rsidRDefault="00912CC7" w:rsidP="00656484">
      <w:pPr>
        <w:spacing w:line="216" w:lineRule="auto"/>
        <w:rPr>
          <w:i/>
          <w:sz w:val="23"/>
          <w:szCs w:val="23"/>
        </w:rPr>
      </w:pPr>
    </w:p>
    <w:p w14:paraId="1192FE37" w14:textId="77777777" w:rsidR="007D13C9" w:rsidRPr="00BF1AA2" w:rsidRDefault="008D14B2" w:rsidP="00656484">
      <w:pPr>
        <w:spacing w:line="216" w:lineRule="auto"/>
        <w:rPr>
          <w:bCs/>
          <w:i/>
          <w:sz w:val="23"/>
          <w:szCs w:val="23"/>
        </w:rPr>
      </w:pPr>
      <w:r w:rsidRPr="00BF1AA2">
        <w:rPr>
          <w:rFonts w:hint="cs"/>
          <w:i/>
          <w:sz w:val="23"/>
          <w:szCs w:val="23"/>
          <w:rtl/>
        </w:rPr>
        <w:t>در مباحث مربوط به اقتصاد باز</w:t>
      </w:r>
      <w:r w:rsidR="007B422F" w:rsidRPr="00BF1AA2">
        <w:rPr>
          <w:rFonts w:hint="cs"/>
          <w:i/>
          <w:sz w:val="23"/>
          <w:szCs w:val="23"/>
          <w:rtl/>
        </w:rPr>
        <w:t xml:space="preserve"> در فصل</w:t>
      </w:r>
      <w:r w:rsidRPr="00BF1AA2">
        <w:rPr>
          <w:rFonts w:hint="cs"/>
          <w:i/>
          <w:sz w:val="23"/>
          <w:szCs w:val="23"/>
          <w:rtl/>
        </w:rPr>
        <w:t xml:space="preserve"> هفتم، و همچنین موضوع تعیین قیمت در فصل نهم، نرخ ارز اسمی ‌را برون‌زا در نظر گرفتیم. در </w:t>
      </w:r>
      <w:r w:rsidRPr="00BF1AA2">
        <w:rPr>
          <w:rFonts w:hint="cs"/>
          <w:bCs/>
          <w:i/>
          <w:sz w:val="23"/>
          <w:szCs w:val="23"/>
          <w:rtl/>
        </w:rPr>
        <w:t>فصل سیزدهم</w:t>
      </w:r>
      <w:r w:rsidRPr="00BF1AA2">
        <w:rPr>
          <w:rFonts w:hint="cs"/>
          <w:i/>
          <w:sz w:val="23"/>
          <w:szCs w:val="23"/>
          <w:rtl/>
        </w:rPr>
        <w:t xml:space="preserve"> فرض می‌کنیم نرخ ارز اسمی‌ در اقتصاد نه تنها شناور بلکه درون</w:t>
      </w:r>
      <w:r w:rsidRPr="00BF1AA2">
        <w:rPr>
          <w:rFonts w:hint="cs"/>
          <w:i/>
          <w:sz w:val="23"/>
          <w:szCs w:val="23"/>
          <w:rtl/>
        </w:rPr>
        <w:softHyphen/>
        <w:t>زاست. در این</w:t>
      </w:r>
      <w:r w:rsidRPr="00BF1AA2">
        <w:rPr>
          <w:rFonts w:hint="cs"/>
          <w:i/>
          <w:sz w:val="23"/>
          <w:szCs w:val="23"/>
          <w:rtl/>
        </w:rPr>
        <w:softHyphen/>
        <w:t>صورت رفتار نرخ ارز اسمی‌ و حقیقی را می</w:t>
      </w:r>
      <w:r w:rsidRPr="00BF1AA2">
        <w:rPr>
          <w:rFonts w:hint="cs"/>
          <w:i/>
          <w:sz w:val="23"/>
          <w:szCs w:val="23"/>
          <w:rtl/>
        </w:rPr>
        <w:softHyphen/>
        <w:t>توان با توجه به شوک‌های اقتصاد کلان بررسی کرد. نوع نظام نرخ ارز ثابت یا نرخ ارز شناور بر سطح تولید، تورم، و اثربخشی سیاست‌های پولی و مالی تأثیر می‌گذارد. این موضوع در این فصل مورد بررسی قرار خواهد گرفت. در نظام نرخ ارز شناور به دلیل سهولت تعدیل نرخ ارز حقیقی و رابطه</w:t>
      </w:r>
      <w:r w:rsidRPr="00BF1AA2">
        <w:rPr>
          <w:rFonts w:hint="cs"/>
          <w:i/>
          <w:sz w:val="23"/>
          <w:szCs w:val="23"/>
          <w:rtl/>
        </w:rPr>
        <w:softHyphen/>
        <w:t>ی مبادله و امکان برگشت سریع اقتصاد به تعادل، هزینه</w:t>
      </w:r>
      <w:r w:rsidRPr="00BF1AA2">
        <w:rPr>
          <w:rFonts w:hint="cs"/>
          <w:i/>
          <w:sz w:val="23"/>
          <w:szCs w:val="23"/>
          <w:rtl/>
        </w:rPr>
        <w:softHyphen/>
        <w:t>ی شوک‌های اقتصادی کاهش می‌یابد. امّا از آن</w:t>
      </w:r>
      <w:r w:rsidRPr="00BF1AA2">
        <w:rPr>
          <w:rFonts w:hint="cs"/>
          <w:i/>
          <w:sz w:val="23"/>
          <w:szCs w:val="23"/>
          <w:rtl/>
        </w:rPr>
        <w:softHyphen/>
        <w:t>جا که در این نظام نرخ ارز بسیار فرّار است، اثرات شوک‌های خارجی بر اقتصاد داخلی تشدید می‌شود. موضوع اساسی و کلیدی در این تحلیل آن است که قیمت‌ها و دستمزدها چگونه تعیین می‌شوند، تا چه اندازه چسبنده</w:t>
      </w:r>
      <w:r w:rsidRPr="00BF1AA2">
        <w:rPr>
          <w:rFonts w:hint="cs"/>
          <w:i/>
          <w:sz w:val="23"/>
          <w:szCs w:val="23"/>
          <w:rtl/>
        </w:rPr>
        <w:softHyphen/>
        <w:t xml:space="preserve">اند و همچنین تا چه حدّی با توجه به تغییرات نرخ ارز تغییر می‌کنند. </w:t>
      </w:r>
    </w:p>
    <w:p w14:paraId="4F2F2C4B" w14:textId="77777777" w:rsidR="00912CC7" w:rsidRPr="00BF1AA2" w:rsidRDefault="00912CC7" w:rsidP="00656484">
      <w:pPr>
        <w:spacing w:line="216" w:lineRule="auto"/>
        <w:rPr>
          <w:i/>
          <w:sz w:val="23"/>
          <w:szCs w:val="23"/>
        </w:rPr>
      </w:pPr>
    </w:p>
    <w:p w14:paraId="5FC31F72" w14:textId="77777777" w:rsidR="005356FD" w:rsidRPr="00BF1AA2" w:rsidRDefault="007B422F" w:rsidP="00656484">
      <w:pPr>
        <w:spacing w:line="216" w:lineRule="auto"/>
        <w:rPr>
          <w:i/>
          <w:sz w:val="23"/>
          <w:szCs w:val="23"/>
          <w:rtl/>
        </w:rPr>
      </w:pPr>
      <w:r w:rsidRPr="00BF1AA2">
        <w:rPr>
          <w:rFonts w:hint="cs"/>
          <w:i/>
          <w:sz w:val="23"/>
          <w:szCs w:val="23"/>
          <w:rtl/>
        </w:rPr>
        <w:t xml:space="preserve">موضوع </w:t>
      </w:r>
      <w:r w:rsidRPr="00BF1AA2">
        <w:rPr>
          <w:rFonts w:hint="cs"/>
          <w:bCs/>
          <w:i/>
          <w:sz w:val="23"/>
          <w:szCs w:val="23"/>
          <w:rtl/>
        </w:rPr>
        <w:t>فصل چهاردهم</w:t>
      </w:r>
      <w:r w:rsidRPr="00BF1AA2">
        <w:rPr>
          <w:rFonts w:hint="cs"/>
          <w:i/>
          <w:sz w:val="23"/>
          <w:szCs w:val="23"/>
          <w:rtl/>
        </w:rPr>
        <w:t xml:space="preserve"> سیاست</w:t>
      </w:r>
      <w:r w:rsidRPr="00BF1AA2">
        <w:rPr>
          <w:i/>
          <w:sz w:val="23"/>
          <w:szCs w:val="23"/>
          <w:rtl/>
        </w:rPr>
        <w:softHyphen/>
      </w:r>
      <w:r w:rsidRPr="00BF1AA2">
        <w:rPr>
          <w:rFonts w:hint="cs"/>
          <w:i/>
          <w:sz w:val="23"/>
          <w:szCs w:val="23"/>
          <w:rtl/>
        </w:rPr>
        <w:t xml:space="preserve">های پولی است. </w:t>
      </w:r>
      <w:r w:rsidR="005356FD" w:rsidRPr="00BF1AA2">
        <w:rPr>
          <w:rFonts w:hint="cs"/>
          <w:i/>
          <w:sz w:val="23"/>
          <w:szCs w:val="23"/>
          <w:rtl/>
        </w:rPr>
        <w:t>ابزارهای اصلی سیاست پولی عبارت است از کنترل نرخ رشد پول و یا عرضه‌ی پول، کنترل نرخ‌های بهره، و کنترل نرخ ارز اسمی که احتمالاً از طریق ثابت نگه داشتن نرخ ارز صورت می‌گیرد. انتخاب هر یک از این ابزارها به اثربخشی آن‌ها، یعنی کنترل‌پذیری آن‌ها، دوام و پیش</w:t>
      </w:r>
      <w:r w:rsidR="005356FD" w:rsidRPr="00BF1AA2">
        <w:rPr>
          <w:rFonts w:hint="cs"/>
          <w:i/>
          <w:sz w:val="23"/>
          <w:szCs w:val="23"/>
          <w:rtl/>
        </w:rPr>
        <w:softHyphen/>
        <w:t>بینی‌پذیری مکانیسم انتقال، افق زمانی و اثرات سرریز هر یک بر دیگر متغیرهای اقتصادی بستگی دارد.</w:t>
      </w:r>
      <w:r w:rsidR="00E87511" w:rsidRPr="00BF1AA2">
        <w:rPr>
          <w:rFonts w:hint="cs"/>
          <w:i/>
          <w:sz w:val="23"/>
          <w:szCs w:val="23"/>
          <w:rtl/>
        </w:rPr>
        <w:t xml:space="preserve"> م</w:t>
      </w:r>
      <w:r w:rsidR="005356FD" w:rsidRPr="00BF1AA2">
        <w:rPr>
          <w:rFonts w:hint="cs"/>
          <w:i/>
          <w:sz w:val="23"/>
          <w:szCs w:val="23"/>
          <w:rtl/>
        </w:rPr>
        <w:t>وضوع دیگری که می</w:t>
      </w:r>
      <w:r w:rsidR="005356FD" w:rsidRPr="00BF1AA2">
        <w:rPr>
          <w:rFonts w:hint="cs"/>
          <w:i/>
          <w:sz w:val="23"/>
          <w:szCs w:val="23"/>
          <w:rtl/>
        </w:rPr>
        <w:softHyphen/>
        <w:t xml:space="preserve">توان بدان اشاره نمود آن است که آیا سیاست پولی مبتنی </w:t>
      </w:r>
      <w:r w:rsidR="0098549C" w:rsidRPr="00BF1AA2">
        <w:rPr>
          <w:rFonts w:hint="cs"/>
          <w:i/>
          <w:sz w:val="23"/>
          <w:szCs w:val="23"/>
          <w:rtl/>
        </w:rPr>
        <w:t>بر قواعد است</w:t>
      </w:r>
      <w:r w:rsidR="005356FD" w:rsidRPr="00BF1AA2">
        <w:rPr>
          <w:rFonts w:hint="cs"/>
          <w:i/>
          <w:sz w:val="23"/>
          <w:szCs w:val="23"/>
          <w:rtl/>
        </w:rPr>
        <w:t xml:space="preserve"> یا اختیاری است. ضمناً سیاست اقتصادی به شدت متأثر از انتخاب رژیم </w:t>
      </w:r>
      <w:r w:rsidR="005356FD" w:rsidRPr="00BF1AA2">
        <w:rPr>
          <w:rFonts w:hint="cs"/>
          <w:i/>
          <w:sz w:val="23"/>
          <w:szCs w:val="23"/>
          <w:rtl/>
        </w:rPr>
        <w:lastRenderedPageBreak/>
        <w:t>نرخ ارز ثابت و یا نرخ ارز شناور است. به همین دلیل در بررسی سیاست پولی می‌بایست اقتصاد باز را مورد توجه قرار دهیم. همان‌گونه که در فصل سیزدهم ملاحظه شد، گره زدن نرخ ارز به طلا در نظام استاندارد طلا، و یا گره زدن نرخ ارز به پول رایج دیگر کشورها، همانند دلار آمریکا، در نظام برتن وودز دلالت می‌کند که در دوره‌ای طولانی</w:t>
      </w:r>
      <w:r w:rsidR="005356FD" w:rsidRPr="00BF1AA2">
        <w:rPr>
          <w:rFonts w:hint="cs"/>
          <w:i/>
          <w:sz w:val="23"/>
          <w:szCs w:val="23"/>
          <w:rtl/>
        </w:rPr>
        <w:softHyphen/>
        <w:t>، نرخ داخلی تورم به قیمت طلا و یا نرخ تورم ایالات متحده گره بخورد. به عبارتی دیگر لنگر اسمی ایجاد خواهد شد. در این صورت هدف سیاست پولی، مدیریت پول رایج برای ابقا رژیم نرخ ارز خواهد بود. در عمل، کلید ابزار سیاست پولی نرخ بهره‌ی رسمی است. نرخی که معمولاً بانک مرکزی تمایل به وام کوتاه‌مدت- عمدتاً به بانک‌های تجاری- به وسیله</w:t>
      </w:r>
      <w:r w:rsidR="005356FD" w:rsidRPr="00BF1AA2">
        <w:rPr>
          <w:rFonts w:hint="cs"/>
          <w:i/>
          <w:sz w:val="23"/>
          <w:szCs w:val="23"/>
          <w:rtl/>
        </w:rPr>
        <w:softHyphen/>
        <w:t>ی اسناد و اوراق تخفیف</w:t>
      </w:r>
      <w:r w:rsidR="005356FD" w:rsidRPr="00BF1AA2">
        <w:rPr>
          <w:rFonts w:hint="cs"/>
          <w:i/>
          <w:sz w:val="23"/>
          <w:szCs w:val="23"/>
          <w:rtl/>
        </w:rPr>
        <w:softHyphen/>
        <w:t xml:space="preserve">دار دارد. در مکتب پولی، نرخ بهره به گونه‌ای تنظیم می‌شود که هدف عرضه‌ی پول تحصیل شود. هر چند نرخ رشد عرضه‌ی پول فقط یک هدف میانی است، ولی هدف نهایی سیاست پولی، نرخ تورم و شاید در کوتاه‌مدت، تولید باشد. با توجه به این مشکلات بسیاری از کشورها هدف عرضه‌ی پول را دنبال نمودند. </w:t>
      </w:r>
      <w:r w:rsidR="000D611B" w:rsidRPr="00BF1AA2">
        <w:rPr>
          <w:rFonts w:hint="cs"/>
          <w:i/>
          <w:sz w:val="23"/>
          <w:szCs w:val="23"/>
          <w:rtl/>
        </w:rPr>
        <w:t>ه</w:t>
      </w:r>
      <w:r w:rsidR="005356FD" w:rsidRPr="00BF1AA2">
        <w:rPr>
          <w:rFonts w:hint="cs"/>
          <w:i/>
          <w:sz w:val="23"/>
          <w:szCs w:val="23"/>
          <w:rtl/>
        </w:rPr>
        <w:t>دف</w:t>
      </w:r>
      <w:r w:rsidR="005356FD" w:rsidRPr="00BF1AA2">
        <w:rPr>
          <w:rFonts w:hint="cs"/>
          <w:i/>
          <w:sz w:val="23"/>
          <w:szCs w:val="23"/>
          <w:rtl/>
        </w:rPr>
        <w:softHyphen/>
        <w:t xml:space="preserve">گذاری تورم از دیگر راه‌های هدایت سیاست پولی است. در </w:t>
      </w:r>
      <w:r w:rsidRPr="00BF1AA2">
        <w:rPr>
          <w:rFonts w:hint="cs"/>
          <w:i/>
          <w:sz w:val="23"/>
          <w:szCs w:val="23"/>
          <w:rtl/>
        </w:rPr>
        <w:t xml:space="preserve">این فصل </w:t>
      </w:r>
      <w:r w:rsidR="005356FD" w:rsidRPr="00BF1AA2">
        <w:rPr>
          <w:rFonts w:hint="cs"/>
          <w:i/>
          <w:sz w:val="23"/>
          <w:szCs w:val="23"/>
          <w:rtl/>
        </w:rPr>
        <w:t>به</w:t>
      </w:r>
      <w:r w:rsidR="005356FD" w:rsidRPr="00BF1AA2">
        <w:rPr>
          <w:rFonts w:hint="cs"/>
          <w:i/>
          <w:sz w:val="23"/>
          <w:szCs w:val="23"/>
          <w:rtl/>
        </w:rPr>
        <w:softHyphen/>
        <w:t xml:space="preserve">طور مختصر سیاست‌های پولی همراه با هدف‌گذاری تورم را مورد بررسی قرار می‌دهیم. </w:t>
      </w:r>
    </w:p>
    <w:p w14:paraId="5B9A4F53" w14:textId="77777777" w:rsidR="00912CC7" w:rsidRPr="00BF1AA2" w:rsidRDefault="00912CC7" w:rsidP="00656484">
      <w:pPr>
        <w:spacing w:line="216" w:lineRule="auto"/>
        <w:rPr>
          <w:i/>
          <w:sz w:val="23"/>
          <w:szCs w:val="23"/>
        </w:rPr>
      </w:pPr>
    </w:p>
    <w:p w14:paraId="49E2071B" w14:textId="77777777" w:rsidR="006F24CD" w:rsidRPr="00BF1AA2" w:rsidRDefault="006F24CD" w:rsidP="00656484">
      <w:pPr>
        <w:spacing w:line="216" w:lineRule="auto"/>
        <w:rPr>
          <w:i/>
          <w:sz w:val="23"/>
          <w:szCs w:val="23"/>
          <w:rtl/>
        </w:rPr>
      </w:pPr>
      <w:r w:rsidRPr="00BF1AA2">
        <w:rPr>
          <w:rFonts w:hint="cs"/>
          <w:i/>
          <w:sz w:val="23"/>
          <w:szCs w:val="23"/>
          <w:rtl/>
        </w:rPr>
        <w:t>جهت برجسته نمودن اهمی</w:t>
      </w:r>
      <w:r w:rsidR="00012895" w:rsidRPr="00BF1AA2">
        <w:rPr>
          <w:rFonts w:hint="cs"/>
          <w:i/>
          <w:sz w:val="23"/>
          <w:szCs w:val="23"/>
          <w:rtl/>
        </w:rPr>
        <w:t>ت مباحث مالی در اقتصاد کلان،</w:t>
      </w:r>
      <w:r w:rsidRPr="00BF1AA2">
        <w:rPr>
          <w:rFonts w:hint="cs"/>
          <w:i/>
          <w:sz w:val="23"/>
          <w:szCs w:val="23"/>
          <w:rtl/>
        </w:rPr>
        <w:t xml:space="preserve"> بحران </w:t>
      </w:r>
      <w:r w:rsidR="00012895" w:rsidRPr="00BF1AA2">
        <w:rPr>
          <w:rFonts w:hint="cs"/>
          <w:i/>
          <w:sz w:val="23"/>
          <w:szCs w:val="23"/>
          <w:rtl/>
        </w:rPr>
        <w:t xml:space="preserve">مالی اخیر </w:t>
      </w:r>
      <w:r w:rsidRPr="00BF1AA2">
        <w:rPr>
          <w:rFonts w:hint="cs"/>
          <w:i/>
          <w:sz w:val="23"/>
          <w:szCs w:val="23"/>
          <w:rtl/>
        </w:rPr>
        <w:t>توجه به عدم حضور بخش بانکی در بسیاری از مدل‌های اقتصاد کلان را گوشزد نمود</w:t>
      </w:r>
      <w:r w:rsidR="00012895" w:rsidRPr="00BF1AA2">
        <w:rPr>
          <w:rFonts w:hint="cs"/>
          <w:i/>
          <w:sz w:val="23"/>
          <w:szCs w:val="23"/>
          <w:rtl/>
        </w:rPr>
        <w:t>ه</w:t>
      </w:r>
      <w:r w:rsidRPr="00BF1AA2">
        <w:rPr>
          <w:rFonts w:hint="cs"/>
          <w:i/>
          <w:sz w:val="23"/>
          <w:szCs w:val="23"/>
          <w:rtl/>
        </w:rPr>
        <w:t xml:space="preserve"> و نشان </w:t>
      </w:r>
      <w:r w:rsidR="00012895" w:rsidRPr="00BF1AA2">
        <w:rPr>
          <w:rFonts w:hint="cs"/>
          <w:i/>
          <w:sz w:val="23"/>
          <w:szCs w:val="23"/>
          <w:rtl/>
        </w:rPr>
        <w:t>می</w:t>
      </w:r>
      <w:r w:rsidR="00012895" w:rsidRPr="00BF1AA2">
        <w:rPr>
          <w:i/>
          <w:sz w:val="23"/>
          <w:szCs w:val="23"/>
          <w:rtl/>
        </w:rPr>
        <w:softHyphen/>
      </w:r>
      <w:r w:rsidR="00012895" w:rsidRPr="00BF1AA2">
        <w:rPr>
          <w:rFonts w:hint="cs"/>
          <w:i/>
          <w:sz w:val="23"/>
          <w:szCs w:val="23"/>
          <w:rtl/>
        </w:rPr>
        <w:t>ده</w:t>
      </w:r>
      <w:r w:rsidRPr="00BF1AA2">
        <w:rPr>
          <w:rFonts w:hint="cs"/>
          <w:i/>
          <w:sz w:val="23"/>
          <w:szCs w:val="23"/>
          <w:rtl/>
        </w:rPr>
        <w:t>د که سیاست پولی فقط شامل تعیین نرخ بهره</w:t>
      </w:r>
      <w:r w:rsidRPr="00BF1AA2">
        <w:rPr>
          <w:rFonts w:hint="cs"/>
          <w:i/>
          <w:sz w:val="23"/>
          <w:szCs w:val="23"/>
          <w:rtl/>
        </w:rPr>
        <w:softHyphen/>
        <w:t xml:space="preserve">ی رسمی نیست، و بانک مرکزی می‌بایست مسئول تأمین نقدینگی سیستم بانکی نیز باشد. </w:t>
      </w:r>
      <w:r w:rsidR="00121069" w:rsidRPr="00BF1AA2">
        <w:rPr>
          <w:rFonts w:hint="cs"/>
          <w:i/>
          <w:sz w:val="23"/>
          <w:szCs w:val="23"/>
          <w:rtl/>
        </w:rPr>
        <w:t>در</w:t>
      </w:r>
      <w:r w:rsidRPr="00BF1AA2">
        <w:rPr>
          <w:rFonts w:hint="cs"/>
          <w:i/>
          <w:sz w:val="23"/>
          <w:szCs w:val="23"/>
          <w:rtl/>
        </w:rPr>
        <w:t xml:space="preserve"> </w:t>
      </w:r>
      <w:r w:rsidRPr="00BF1AA2">
        <w:rPr>
          <w:rFonts w:hint="cs"/>
          <w:bCs/>
          <w:i/>
          <w:sz w:val="23"/>
          <w:szCs w:val="23"/>
          <w:rtl/>
        </w:rPr>
        <w:t>فصل</w:t>
      </w:r>
      <w:r w:rsidR="00121069" w:rsidRPr="00BF1AA2">
        <w:rPr>
          <w:rFonts w:hint="cs"/>
          <w:bCs/>
          <w:i/>
          <w:sz w:val="23"/>
          <w:szCs w:val="23"/>
          <w:rtl/>
        </w:rPr>
        <w:t xml:space="preserve"> پانزدهم</w:t>
      </w:r>
      <w:r w:rsidRPr="00BF1AA2">
        <w:rPr>
          <w:rFonts w:hint="cs"/>
          <w:i/>
          <w:sz w:val="23"/>
          <w:szCs w:val="23"/>
          <w:rtl/>
        </w:rPr>
        <w:t xml:space="preserve"> بسیاری از موضوعات برخاسته از بحران </w:t>
      </w:r>
      <w:r w:rsidR="00012895" w:rsidRPr="00BF1AA2">
        <w:rPr>
          <w:rFonts w:hint="cs"/>
          <w:i/>
          <w:sz w:val="23"/>
          <w:szCs w:val="23"/>
          <w:rtl/>
        </w:rPr>
        <w:t>مالی را با بسط و گسترش مباحث</w:t>
      </w:r>
      <w:r w:rsidRPr="00BF1AA2">
        <w:rPr>
          <w:rFonts w:hint="cs"/>
          <w:i/>
          <w:sz w:val="23"/>
          <w:szCs w:val="23"/>
          <w:rtl/>
        </w:rPr>
        <w:t xml:space="preserve"> در خصوص روابط اقتصاد کلان و مالیه مورد ملاحظه قرار خواهیم داد. برخی از ناکارآمدی‌ها و نقایص بازار مالی، همانند قیود تأمین اعتبار بخاطر محدودیت استقراض، نکول و یا قصور در باز</w:t>
      </w:r>
      <w:r w:rsidRPr="00BF1AA2">
        <w:rPr>
          <w:rFonts w:hint="cs"/>
          <w:i/>
          <w:sz w:val="23"/>
          <w:szCs w:val="23"/>
          <w:rtl/>
        </w:rPr>
        <w:softHyphen/>
        <w:t>پرداخت بدهی و اطلاعات ناقص را بررسی خواهیم کرد. نقش و وظیفه‌ی بانک‌ها در واسطه</w:t>
      </w:r>
      <w:r w:rsidRPr="00BF1AA2">
        <w:rPr>
          <w:rFonts w:hint="cs"/>
          <w:i/>
          <w:sz w:val="23"/>
          <w:szCs w:val="23"/>
          <w:rtl/>
        </w:rPr>
        <w:softHyphen/>
        <w:t>گری مالی و نقش بانک مرکزی در تأمین نقدینگی بانک‌ها را در شرایط بحران مالی مورد بررسی قرار خواهیم داد. سپس چگونگی الحاق و یکپارچه</w:t>
      </w:r>
      <w:r w:rsidRPr="00BF1AA2">
        <w:rPr>
          <w:rFonts w:hint="cs"/>
          <w:i/>
          <w:sz w:val="23"/>
          <w:szCs w:val="23"/>
          <w:rtl/>
        </w:rPr>
        <w:softHyphen/>
        <w:t>ساز</w:t>
      </w:r>
      <w:r w:rsidR="0098549C" w:rsidRPr="00BF1AA2">
        <w:rPr>
          <w:rFonts w:hint="cs"/>
          <w:i/>
          <w:sz w:val="23"/>
          <w:szCs w:val="23"/>
          <w:rtl/>
        </w:rPr>
        <w:t>ی ریسک قصور و نکولِ بازپرداخت</w:t>
      </w:r>
      <w:r w:rsidRPr="00BF1AA2">
        <w:rPr>
          <w:rFonts w:hint="cs"/>
          <w:i/>
          <w:sz w:val="23"/>
          <w:szCs w:val="23"/>
          <w:rtl/>
        </w:rPr>
        <w:t xml:space="preserve"> در مدل‌های تعادل عمومی پویای تصادفی، و همچنین تعیین قیمت آن</w:t>
      </w:r>
      <w:r w:rsidRPr="00BF1AA2">
        <w:rPr>
          <w:rFonts w:hint="cs"/>
          <w:i/>
          <w:sz w:val="23"/>
          <w:szCs w:val="23"/>
          <w:rtl/>
        </w:rPr>
        <w:softHyphen/>
        <w:t>ها را مورد توجه قرار خواهیم داد.</w:t>
      </w:r>
    </w:p>
    <w:p w14:paraId="7F377C7C" w14:textId="77777777" w:rsidR="00912CC7" w:rsidRPr="00BF1AA2" w:rsidRDefault="00912CC7" w:rsidP="00656484">
      <w:pPr>
        <w:tabs>
          <w:tab w:val="left" w:pos="90"/>
        </w:tabs>
        <w:spacing w:line="216" w:lineRule="auto"/>
        <w:rPr>
          <w:i/>
          <w:sz w:val="23"/>
          <w:szCs w:val="23"/>
        </w:rPr>
      </w:pPr>
    </w:p>
    <w:p w14:paraId="0EAF8D8C" w14:textId="77777777" w:rsidR="006F24CD" w:rsidRPr="00BF1AA2" w:rsidRDefault="00E95123" w:rsidP="00656484">
      <w:pPr>
        <w:tabs>
          <w:tab w:val="left" w:pos="90"/>
        </w:tabs>
        <w:spacing w:line="216" w:lineRule="auto"/>
        <w:rPr>
          <w:i/>
          <w:sz w:val="23"/>
          <w:szCs w:val="23"/>
          <w:rtl/>
        </w:rPr>
      </w:pPr>
      <w:r w:rsidRPr="00BF1AA2">
        <w:rPr>
          <w:rFonts w:hint="cs"/>
          <w:i/>
          <w:sz w:val="23"/>
          <w:szCs w:val="23"/>
          <w:rtl/>
        </w:rPr>
        <w:t xml:space="preserve">و بالاخره در </w:t>
      </w:r>
      <w:r w:rsidRPr="00BF1AA2">
        <w:rPr>
          <w:rFonts w:hint="cs"/>
          <w:bCs/>
          <w:i/>
          <w:sz w:val="23"/>
          <w:szCs w:val="23"/>
          <w:rtl/>
        </w:rPr>
        <w:t>فصل شانزدهم</w:t>
      </w:r>
      <w:r w:rsidRPr="00BF1AA2">
        <w:rPr>
          <w:rFonts w:hint="cs"/>
          <w:i/>
          <w:sz w:val="23"/>
          <w:szCs w:val="23"/>
          <w:rtl/>
        </w:rPr>
        <w:t xml:space="preserve"> خواص تعادل عمومی ‌مدل‌های اقتصاد کلان را بررسی خواهیم کرد. این‌که چرا در مدل</w:t>
      </w:r>
      <w:r w:rsidRPr="00BF1AA2">
        <w:rPr>
          <w:i/>
          <w:sz w:val="23"/>
          <w:szCs w:val="23"/>
          <w:rtl/>
        </w:rPr>
        <w:softHyphen/>
      </w:r>
      <w:r w:rsidRPr="00BF1AA2">
        <w:rPr>
          <w:rFonts w:hint="cs"/>
          <w:i/>
          <w:sz w:val="23"/>
          <w:szCs w:val="23"/>
          <w:rtl/>
        </w:rPr>
        <w:t>های چرخه‌های تجاری حقیقی، پارامترهای مدل اقتصادی را معمولاً برآورد نکرده و بلکه کالیبره می</w:t>
      </w:r>
      <w:r w:rsidRPr="00BF1AA2">
        <w:rPr>
          <w:i/>
          <w:sz w:val="23"/>
          <w:szCs w:val="23"/>
          <w:rtl/>
        </w:rPr>
        <w:softHyphen/>
      </w:r>
      <w:r w:rsidRPr="00BF1AA2">
        <w:rPr>
          <w:rFonts w:hint="cs"/>
          <w:i/>
          <w:sz w:val="23"/>
          <w:szCs w:val="23"/>
          <w:rtl/>
        </w:rPr>
        <w:t>کنیم را توضیح خواهیم داد.</w:t>
      </w:r>
      <w:r w:rsidR="005B2967" w:rsidRPr="00BF1AA2">
        <w:rPr>
          <w:rFonts w:hint="cs"/>
          <w:i/>
          <w:sz w:val="23"/>
          <w:szCs w:val="23"/>
          <w:rtl/>
        </w:rPr>
        <w:t xml:space="preserve"> </w:t>
      </w:r>
      <w:r w:rsidRPr="00BF1AA2">
        <w:rPr>
          <w:rFonts w:hint="cs"/>
          <w:i/>
          <w:sz w:val="23"/>
          <w:szCs w:val="23"/>
          <w:rtl/>
        </w:rPr>
        <w:t>روش</w:t>
      </w:r>
      <w:r w:rsidRPr="00BF1AA2">
        <w:rPr>
          <w:rFonts w:hint="cs"/>
          <w:i/>
          <w:sz w:val="23"/>
          <w:szCs w:val="23"/>
          <w:rtl/>
        </w:rPr>
        <w:softHyphen/>
        <w:t xml:space="preserve">شناسی تجزیه و تحلیل چرخه‌های تجاری حقیقی و استفاده از مدل رشد در فصل سوم را توضیح داده و متعاقب آن به شواهد تجربی انواع مدل‌های چرخه‌های تجاری حقیقی، همانند مدل اقتصاد باز اشاره خواهیم کرد. نهایتاً مدل اقتصاد کلان تعادل عمومی ‌پویا در اقتصاد پولی که به روش کینزین برآورد شده است را ارائه کرده، و با این مدل، انواع </w:t>
      </w:r>
      <w:r w:rsidR="005B2967" w:rsidRPr="00BF1AA2">
        <w:rPr>
          <w:rFonts w:hint="cs"/>
          <w:i/>
          <w:sz w:val="23"/>
          <w:szCs w:val="23"/>
          <w:rtl/>
        </w:rPr>
        <w:t>شوک‌های طرف عرضه و</w:t>
      </w:r>
      <w:r w:rsidRPr="00BF1AA2">
        <w:rPr>
          <w:rFonts w:hint="cs"/>
          <w:i/>
          <w:sz w:val="23"/>
          <w:szCs w:val="23"/>
          <w:rtl/>
        </w:rPr>
        <w:t xml:space="preserve"> شوک‌های طرف تقاضا بخصوص شوک‌های پولی و مالی، و شوک‌های خارجی را مورد بررسی و ارزیابی قرار خواهیم داد.</w:t>
      </w:r>
      <w:r w:rsidR="000E5D29" w:rsidRPr="00BF1AA2">
        <w:rPr>
          <w:rFonts w:hint="cs"/>
          <w:i/>
          <w:sz w:val="23"/>
          <w:szCs w:val="23"/>
          <w:rtl/>
        </w:rPr>
        <w:t xml:space="preserve"> </w:t>
      </w:r>
    </w:p>
    <w:p w14:paraId="7FD5E7EE" w14:textId="77777777" w:rsidR="00912CC7" w:rsidRPr="00BF1AA2" w:rsidRDefault="00912CC7" w:rsidP="00656484">
      <w:pPr>
        <w:tabs>
          <w:tab w:val="left" w:pos="90"/>
        </w:tabs>
        <w:spacing w:line="216" w:lineRule="auto"/>
        <w:rPr>
          <w:i/>
          <w:sz w:val="23"/>
          <w:szCs w:val="23"/>
        </w:rPr>
      </w:pPr>
    </w:p>
    <w:p w14:paraId="4C2F9EE1" w14:textId="77777777" w:rsidR="0050496D" w:rsidRPr="00BF1AA2" w:rsidRDefault="00F94994" w:rsidP="00656484">
      <w:pPr>
        <w:tabs>
          <w:tab w:val="left" w:pos="90"/>
        </w:tabs>
        <w:spacing w:line="216" w:lineRule="auto"/>
        <w:rPr>
          <w:i/>
          <w:sz w:val="23"/>
          <w:szCs w:val="23"/>
          <w:rtl/>
        </w:rPr>
      </w:pPr>
      <w:r w:rsidRPr="00BF1AA2">
        <w:rPr>
          <w:rFonts w:hint="cs"/>
          <w:i/>
          <w:sz w:val="23"/>
          <w:szCs w:val="23"/>
          <w:rtl/>
        </w:rPr>
        <w:lastRenderedPageBreak/>
        <w:t xml:space="preserve">نکات اصلاحی و اشتباهات ویرایشی و فرمولی فصول اول تا هفتم </w:t>
      </w:r>
      <w:r w:rsidR="00EC1B1E" w:rsidRPr="00BF1AA2">
        <w:rPr>
          <w:rFonts w:hint="cs"/>
          <w:i/>
          <w:sz w:val="23"/>
          <w:szCs w:val="23"/>
          <w:rtl/>
        </w:rPr>
        <w:t xml:space="preserve">این کتاب </w:t>
      </w:r>
      <w:r w:rsidRPr="00BF1AA2">
        <w:rPr>
          <w:rFonts w:hint="cs"/>
          <w:i/>
          <w:sz w:val="23"/>
          <w:szCs w:val="23"/>
          <w:rtl/>
        </w:rPr>
        <w:t>توسط برخی از دانشجویان</w:t>
      </w:r>
      <w:r w:rsidR="0074672C" w:rsidRPr="00BF1AA2">
        <w:rPr>
          <w:rFonts w:hint="cs"/>
          <w:i/>
          <w:sz w:val="23"/>
          <w:szCs w:val="23"/>
          <w:rtl/>
        </w:rPr>
        <w:t xml:space="preserve"> دوره</w:t>
      </w:r>
      <w:r w:rsidR="0074672C" w:rsidRPr="00BF1AA2">
        <w:rPr>
          <w:i/>
          <w:sz w:val="23"/>
          <w:szCs w:val="23"/>
          <w:rtl/>
        </w:rPr>
        <w:softHyphen/>
      </w:r>
      <w:r w:rsidR="0074672C" w:rsidRPr="00BF1AA2">
        <w:rPr>
          <w:rFonts w:hint="cs"/>
          <w:i/>
          <w:sz w:val="23"/>
          <w:szCs w:val="23"/>
          <w:rtl/>
        </w:rPr>
        <w:t>ی دکتری در زمان تدریس</w:t>
      </w:r>
      <w:r w:rsidRPr="00BF1AA2">
        <w:rPr>
          <w:rFonts w:hint="cs"/>
          <w:i/>
          <w:sz w:val="23"/>
          <w:szCs w:val="23"/>
          <w:rtl/>
        </w:rPr>
        <w:t xml:space="preserve"> </w:t>
      </w:r>
      <w:r w:rsidR="0074672C" w:rsidRPr="00BF1AA2">
        <w:rPr>
          <w:rFonts w:hint="cs"/>
          <w:i/>
          <w:sz w:val="23"/>
          <w:szCs w:val="23"/>
          <w:rtl/>
        </w:rPr>
        <w:t>اعمال</w:t>
      </w:r>
      <w:r w:rsidRPr="00BF1AA2">
        <w:rPr>
          <w:rFonts w:hint="cs"/>
          <w:i/>
          <w:sz w:val="23"/>
          <w:szCs w:val="23"/>
          <w:rtl/>
        </w:rPr>
        <w:t xml:space="preserve"> شده</w:t>
      </w:r>
      <w:r w:rsidR="0074672C" w:rsidRPr="00BF1AA2">
        <w:rPr>
          <w:rFonts w:hint="cs"/>
          <w:i/>
          <w:sz w:val="23"/>
          <w:szCs w:val="23"/>
          <w:rtl/>
        </w:rPr>
        <w:t>،</w:t>
      </w:r>
      <w:r w:rsidRPr="00BF1AA2">
        <w:rPr>
          <w:rFonts w:hint="cs"/>
          <w:i/>
          <w:sz w:val="23"/>
          <w:szCs w:val="23"/>
          <w:rtl/>
        </w:rPr>
        <w:t xml:space="preserve"> و یکبار دیگر زحمات ویرایش فصول اول </w:t>
      </w:r>
      <w:r w:rsidR="0074672C" w:rsidRPr="00BF1AA2">
        <w:rPr>
          <w:rFonts w:hint="cs"/>
          <w:i/>
          <w:sz w:val="23"/>
          <w:szCs w:val="23"/>
          <w:rtl/>
        </w:rPr>
        <w:t>تا دهم توسط سرکار خانم وکیل زاده دانشجوی دوره</w:t>
      </w:r>
      <w:r w:rsidR="0074672C" w:rsidRPr="00BF1AA2">
        <w:rPr>
          <w:i/>
          <w:sz w:val="23"/>
          <w:szCs w:val="23"/>
          <w:rtl/>
        </w:rPr>
        <w:softHyphen/>
      </w:r>
      <w:r w:rsidR="0074672C" w:rsidRPr="00BF1AA2">
        <w:rPr>
          <w:rFonts w:hint="cs"/>
          <w:i/>
          <w:sz w:val="23"/>
          <w:szCs w:val="23"/>
          <w:rtl/>
        </w:rPr>
        <w:t xml:space="preserve">ی دکتری اقتصاد دانشگاه آزاد اسلامی واحد علوم و تحقیقات، و همچنین </w:t>
      </w:r>
      <w:r w:rsidR="00611E5B" w:rsidRPr="00BF1AA2">
        <w:rPr>
          <w:rFonts w:hint="cs"/>
          <w:i/>
          <w:sz w:val="23"/>
          <w:szCs w:val="23"/>
          <w:rtl/>
        </w:rPr>
        <w:t xml:space="preserve">ویرایش اصلی </w:t>
      </w:r>
      <w:r w:rsidR="0074672C" w:rsidRPr="00BF1AA2">
        <w:rPr>
          <w:rFonts w:hint="cs"/>
          <w:i/>
          <w:sz w:val="23"/>
          <w:szCs w:val="23"/>
          <w:rtl/>
        </w:rPr>
        <w:t xml:space="preserve">فصول اول تا شانزدهم </w:t>
      </w:r>
      <w:r w:rsidR="007B422F" w:rsidRPr="00BF1AA2">
        <w:rPr>
          <w:rFonts w:hint="cs"/>
          <w:i/>
          <w:sz w:val="23"/>
          <w:szCs w:val="23"/>
          <w:rtl/>
        </w:rPr>
        <w:t>کتاب توسط</w:t>
      </w:r>
      <w:r w:rsidR="0074672C" w:rsidRPr="00BF1AA2">
        <w:rPr>
          <w:rFonts w:hint="cs"/>
          <w:i/>
          <w:sz w:val="23"/>
          <w:szCs w:val="23"/>
          <w:rtl/>
        </w:rPr>
        <w:t xml:space="preserve"> دوست عزیز و گرامی </w:t>
      </w:r>
      <w:r w:rsidR="0050496D" w:rsidRPr="00BF1AA2">
        <w:rPr>
          <w:rFonts w:hint="cs"/>
          <w:i/>
          <w:sz w:val="23"/>
          <w:szCs w:val="23"/>
          <w:rtl/>
        </w:rPr>
        <w:t>جناب آقای دکتر سید حمید</w:t>
      </w:r>
      <w:r w:rsidR="0074672C" w:rsidRPr="00BF1AA2">
        <w:rPr>
          <w:rFonts w:hint="cs"/>
          <w:i/>
          <w:sz w:val="23"/>
          <w:szCs w:val="23"/>
          <w:rtl/>
        </w:rPr>
        <w:t>ر</w:t>
      </w:r>
      <w:r w:rsidR="007B422F" w:rsidRPr="00BF1AA2">
        <w:rPr>
          <w:rFonts w:hint="cs"/>
          <w:i/>
          <w:sz w:val="23"/>
          <w:szCs w:val="23"/>
          <w:rtl/>
        </w:rPr>
        <w:t>ض</w:t>
      </w:r>
      <w:r w:rsidR="0050496D" w:rsidRPr="00BF1AA2">
        <w:rPr>
          <w:rFonts w:hint="cs"/>
          <w:i/>
          <w:sz w:val="23"/>
          <w:szCs w:val="23"/>
          <w:rtl/>
        </w:rPr>
        <w:t>ا اشرف</w:t>
      </w:r>
      <w:r w:rsidR="0050496D" w:rsidRPr="00BF1AA2">
        <w:rPr>
          <w:i/>
          <w:sz w:val="23"/>
          <w:szCs w:val="23"/>
          <w:rtl/>
        </w:rPr>
        <w:softHyphen/>
      </w:r>
      <w:r w:rsidR="007B422F" w:rsidRPr="00BF1AA2">
        <w:rPr>
          <w:rFonts w:hint="cs"/>
          <w:i/>
          <w:sz w:val="23"/>
          <w:szCs w:val="23"/>
          <w:rtl/>
        </w:rPr>
        <w:t>زاده انجام شده</w:t>
      </w:r>
      <w:r w:rsidR="0074672C" w:rsidRPr="00BF1AA2">
        <w:rPr>
          <w:rFonts w:hint="cs"/>
          <w:i/>
          <w:sz w:val="23"/>
          <w:szCs w:val="23"/>
          <w:rtl/>
        </w:rPr>
        <w:t xml:space="preserve"> است.</w:t>
      </w:r>
      <w:r w:rsidRPr="00BF1AA2">
        <w:rPr>
          <w:rFonts w:hint="cs"/>
          <w:i/>
          <w:sz w:val="23"/>
          <w:szCs w:val="23"/>
          <w:rtl/>
        </w:rPr>
        <w:t xml:space="preserve"> </w:t>
      </w:r>
      <w:r w:rsidR="007B422F" w:rsidRPr="00BF1AA2">
        <w:rPr>
          <w:rFonts w:hint="cs"/>
          <w:i/>
          <w:sz w:val="23"/>
          <w:szCs w:val="23"/>
          <w:rtl/>
        </w:rPr>
        <w:t xml:space="preserve">در راستای تسریع بخشیدن به چاپ این کتاب، </w:t>
      </w:r>
      <w:r w:rsidR="0074672C" w:rsidRPr="00BF1AA2">
        <w:rPr>
          <w:rFonts w:hint="cs"/>
          <w:i/>
          <w:sz w:val="23"/>
          <w:szCs w:val="23"/>
          <w:rtl/>
        </w:rPr>
        <w:t>بی</w:t>
      </w:r>
      <w:r w:rsidR="0074672C" w:rsidRPr="00BF1AA2">
        <w:rPr>
          <w:i/>
          <w:sz w:val="23"/>
          <w:szCs w:val="23"/>
          <w:rtl/>
        </w:rPr>
        <w:softHyphen/>
      </w:r>
      <w:r w:rsidR="00EC1B1E" w:rsidRPr="00BF1AA2">
        <w:rPr>
          <w:rFonts w:hint="cs"/>
          <w:i/>
          <w:sz w:val="23"/>
          <w:szCs w:val="23"/>
          <w:rtl/>
        </w:rPr>
        <w:t>شک همکاری دکتر</w:t>
      </w:r>
      <w:r w:rsidR="0050496D" w:rsidRPr="00BF1AA2">
        <w:rPr>
          <w:rFonts w:hint="cs"/>
          <w:i/>
          <w:sz w:val="23"/>
          <w:szCs w:val="23"/>
          <w:rtl/>
        </w:rPr>
        <w:t xml:space="preserve"> اشرف</w:t>
      </w:r>
      <w:r w:rsidR="0050496D" w:rsidRPr="00BF1AA2">
        <w:rPr>
          <w:i/>
          <w:sz w:val="23"/>
          <w:szCs w:val="23"/>
          <w:rtl/>
        </w:rPr>
        <w:softHyphen/>
      </w:r>
      <w:r w:rsidRPr="00BF1AA2">
        <w:rPr>
          <w:rFonts w:hint="cs"/>
          <w:i/>
          <w:sz w:val="23"/>
          <w:szCs w:val="23"/>
          <w:rtl/>
        </w:rPr>
        <w:t xml:space="preserve">زاده </w:t>
      </w:r>
      <w:r w:rsidR="007B422F" w:rsidRPr="00BF1AA2">
        <w:rPr>
          <w:rFonts w:hint="cs"/>
          <w:i/>
          <w:sz w:val="23"/>
          <w:szCs w:val="23"/>
          <w:rtl/>
        </w:rPr>
        <w:t>در خصوص</w:t>
      </w:r>
      <w:r w:rsidRPr="00BF1AA2">
        <w:rPr>
          <w:rFonts w:hint="cs"/>
          <w:i/>
          <w:sz w:val="23"/>
          <w:szCs w:val="23"/>
          <w:rtl/>
        </w:rPr>
        <w:t xml:space="preserve"> ترجمه</w:t>
      </w:r>
      <w:r w:rsidRPr="00BF1AA2">
        <w:rPr>
          <w:i/>
          <w:sz w:val="23"/>
          <w:szCs w:val="23"/>
          <w:rtl/>
        </w:rPr>
        <w:softHyphen/>
      </w:r>
      <w:r w:rsidRPr="00BF1AA2">
        <w:rPr>
          <w:rFonts w:hint="cs"/>
          <w:i/>
          <w:sz w:val="23"/>
          <w:szCs w:val="23"/>
          <w:rtl/>
        </w:rPr>
        <w:t>ی فصل پانزدهم که از جمله مباحث بسیار نو و جدید در حوزه</w:t>
      </w:r>
      <w:r w:rsidRPr="00BF1AA2">
        <w:rPr>
          <w:i/>
          <w:sz w:val="23"/>
          <w:szCs w:val="23"/>
          <w:rtl/>
        </w:rPr>
        <w:softHyphen/>
      </w:r>
      <w:r w:rsidRPr="00BF1AA2">
        <w:rPr>
          <w:rFonts w:hint="cs"/>
          <w:i/>
          <w:sz w:val="23"/>
          <w:szCs w:val="23"/>
          <w:rtl/>
        </w:rPr>
        <w:t xml:space="preserve">ی اقتصاد کلان </w:t>
      </w:r>
      <w:r w:rsidR="0074672C" w:rsidRPr="00BF1AA2">
        <w:rPr>
          <w:rFonts w:hint="cs"/>
          <w:i/>
          <w:sz w:val="23"/>
          <w:szCs w:val="23"/>
          <w:rtl/>
        </w:rPr>
        <w:t xml:space="preserve">مدرن </w:t>
      </w:r>
      <w:r w:rsidRPr="00BF1AA2">
        <w:rPr>
          <w:rFonts w:hint="cs"/>
          <w:i/>
          <w:sz w:val="23"/>
          <w:szCs w:val="23"/>
          <w:rtl/>
        </w:rPr>
        <w:t>است</w:t>
      </w:r>
      <w:r w:rsidR="007B422F" w:rsidRPr="00BF1AA2">
        <w:rPr>
          <w:rFonts w:hint="cs"/>
          <w:i/>
          <w:sz w:val="23"/>
          <w:szCs w:val="23"/>
          <w:rtl/>
        </w:rPr>
        <w:t>،</w:t>
      </w:r>
      <w:r w:rsidR="000E5D29" w:rsidRPr="00BF1AA2">
        <w:rPr>
          <w:rFonts w:hint="cs"/>
          <w:i/>
          <w:sz w:val="23"/>
          <w:szCs w:val="23"/>
          <w:rtl/>
        </w:rPr>
        <w:t xml:space="preserve"> </w:t>
      </w:r>
      <w:r w:rsidR="0074672C" w:rsidRPr="00BF1AA2">
        <w:rPr>
          <w:rFonts w:hint="cs"/>
          <w:i/>
          <w:sz w:val="23"/>
          <w:szCs w:val="23"/>
          <w:rtl/>
        </w:rPr>
        <w:t xml:space="preserve">مؤثر بوده </w:t>
      </w:r>
      <w:r w:rsidR="007B422F" w:rsidRPr="00BF1AA2">
        <w:rPr>
          <w:rFonts w:hint="cs"/>
          <w:i/>
          <w:sz w:val="23"/>
          <w:szCs w:val="23"/>
          <w:rtl/>
        </w:rPr>
        <w:t xml:space="preserve">است </w:t>
      </w:r>
      <w:r w:rsidR="0074672C" w:rsidRPr="00BF1AA2">
        <w:rPr>
          <w:rFonts w:hint="cs"/>
          <w:i/>
          <w:sz w:val="23"/>
          <w:szCs w:val="23"/>
          <w:rtl/>
        </w:rPr>
        <w:t>و بدون همکاری وی تهیه و تدوین این کتاب امکان</w:t>
      </w:r>
      <w:r w:rsidR="0074672C" w:rsidRPr="00BF1AA2">
        <w:rPr>
          <w:i/>
          <w:sz w:val="23"/>
          <w:szCs w:val="23"/>
          <w:rtl/>
        </w:rPr>
        <w:softHyphen/>
      </w:r>
      <w:r w:rsidR="0074672C" w:rsidRPr="00BF1AA2">
        <w:rPr>
          <w:rFonts w:hint="cs"/>
          <w:i/>
          <w:sz w:val="23"/>
          <w:szCs w:val="23"/>
          <w:rtl/>
        </w:rPr>
        <w:t>پذیر نبود.</w:t>
      </w:r>
      <w:r w:rsidRPr="00BF1AA2">
        <w:rPr>
          <w:rFonts w:hint="cs"/>
          <w:i/>
          <w:sz w:val="23"/>
          <w:szCs w:val="23"/>
          <w:rtl/>
        </w:rPr>
        <w:t xml:space="preserve"> </w:t>
      </w:r>
    </w:p>
    <w:p w14:paraId="59EEFCAC" w14:textId="77777777" w:rsidR="00912CC7" w:rsidRPr="00BF1AA2" w:rsidRDefault="00912CC7" w:rsidP="00656484">
      <w:pPr>
        <w:tabs>
          <w:tab w:val="left" w:pos="90"/>
        </w:tabs>
        <w:spacing w:line="216" w:lineRule="auto"/>
        <w:rPr>
          <w:i/>
          <w:sz w:val="23"/>
          <w:szCs w:val="23"/>
        </w:rPr>
      </w:pPr>
    </w:p>
    <w:p w14:paraId="406031A5" w14:textId="77777777" w:rsidR="00E36BB8" w:rsidRPr="00BF1AA2" w:rsidRDefault="008134C6" w:rsidP="00656484">
      <w:pPr>
        <w:tabs>
          <w:tab w:val="left" w:pos="90"/>
        </w:tabs>
        <w:spacing w:line="216" w:lineRule="auto"/>
        <w:rPr>
          <w:i/>
          <w:sz w:val="23"/>
          <w:szCs w:val="23"/>
          <w:rtl/>
        </w:rPr>
      </w:pPr>
      <w:r w:rsidRPr="00BF1AA2">
        <w:rPr>
          <w:rFonts w:hint="cs"/>
          <w:i/>
          <w:sz w:val="23"/>
          <w:szCs w:val="23"/>
          <w:rtl/>
        </w:rPr>
        <w:t xml:space="preserve">آنچه که در اختیار دارید </w:t>
      </w:r>
      <w:r w:rsidR="00E36BB8" w:rsidRPr="00BF1AA2">
        <w:rPr>
          <w:rFonts w:hint="cs"/>
          <w:i/>
          <w:sz w:val="23"/>
          <w:szCs w:val="23"/>
          <w:rtl/>
        </w:rPr>
        <w:t xml:space="preserve">با </w:t>
      </w:r>
      <w:r w:rsidR="00611E5B" w:rsidRPr="00BF1AA2">
        <w:rPr>
          <w:rFonts w:hint="cs"/>
          <w:i/>
          <w:sz w:val="23"/>
          <w:szCs w:val="23"/>
          <w:rtl/>
        </w:rPr>
        <w:t>پیگیری مصرانه</w:t>
      </w:r>
      <w:r w:rsidR="00611E5B" w:rsidRPr="00BF1AA2">
        <w:rPr>
          <w:i/>
          <w:sz w:val="23"/>
          <w:szCs w:val="23"/>
          <w:rtl/>
        </w:rPr>
        <w:softHyphen/>
      </w:r>
      <w:r w:rsidR="00611E5B" w:rsidRPr="00BF1AA2">
        <w:rPr>
          <w:rFonts w:hint="cs"/>
          <w:i/>
          <w:sz w:val="23"/>
          <w:szCs w:val="23"/>
          <w:rtl/>
        </w:rPr>
        <w:t>ی برخی از</w:t>
      </w:r>
      <w:r w:rsidR="0074672C" w:rsidRPr="00BF1AA2">
        <w:rPr>
          <w:rFonts w:hint="cs"/>
          <w:i/>
          <w:sz w:val="23"/>
          <w:szCs w:val="23"/>
          <w:rtl/>
        </w:rPr>
        <w:t xml:space="preserve"> دانشجویان دوره</w:t>
      </w:r>
      <w:r w:rsidR="0074672C" w:rsidRPr="00BF1AA2">
        <w:rPr>
          <w:i/>
          <w:sz w:val="23"/>
          <w:szCs w:val="23"/>
          <w:rtl/>
        </w:rPr>
        <w:softHyphen/>
      </w:r>
      <w:r w:rsidR="0074672C" w:rsidRPr="00BF1AA2">
        <w:rPr>
          <w:rFonts w:hint="cs"/>
          <w:i/>
          <w:sz w:val="23"/>
          <w:szCs w:val="23"/>
          <w:rtl/>
        </w:rPr>
        <w:t>ی دکتری و</w:t>
      </w:r>
      <w:r w:rsidR="00611E5B" w:rsidRPr="00BF1AA2">
        <w:rPr>
          <w:rFonts w:hint="cs"/>
          <w:i/>
          <w:sz w:val="23"/>
          <w:szCs w:val="23"/>
          <w:rtl/>
        </w:rPr>
        <w:t xml:space="preserve"> همچنین</w:t>
      </w:r>
      <w:r w:rsidR="0074672C" w:rsidRPr="00BF1AA2">
        <w:rPr>
          <w:rFonts w:hint="cs"/>
          <w:i/>
          <w:sz w:val="23"/>
          <w:szCs w:val="23"/>
          <w:rtl/>
        </w:rPr>
        <w:t xml:space="preserve"> دوستان و دانش</w:t>
      </w:r>
      <w:r w:rsidR="0074672C" w:rsidRPr="00BF1AA2">
        <w:rPr>
          <w:i/>
          <w:sz w:val="23"/>
          <w:szCs w:val="23"/>
          <w:rtl/>
        </w:rPr>
        <w:softHyphen/>
      </w:r>
      <w:r w:rsidR="0074672C" w:rsidRPr="00BF1AA2">
        <w:rPr>
          <w:rFonts w:hint="cs"/>
          <w:i/>
          <w:sz w:val="23"/>
          <w:szCs w:val="23"/>
          <w:rtl/>
        </w:rPr>
        <w:t xml:space="preserve">پژوهان اقتصاد امکان پذیر </w:t>
      </w:r>
      <w:r w:rsidRPr="00BF1AA2">
        <w:rPr>
          <w:rFonts w:hint="cs"/>
          <w:i/>
          <w:sz w:val="23"/>
          <w:szCs w:val="23"/>
          <w:rtl/>
        </w:rPr>
        <w:t>شد</w:t>
      </w:r>
      <w:r w:rsidR="00611E5B" w:rsidRPr="00BF1AA2">
        <w:rPr>
          <w:rFonts w:hint="cs"/>
          <w:i/>
          <w:sz w:val="23"/>
          <w:szCs w:val="23"/>
          <w:rtl/>
        </w:rPr>
        <w:t>ه است</w:t>
      </w:r>
      <w:r w:rsidRPr="00BF1AA2">
        <w:rPr>
          <w:rFonts w:hint="cs"/>
          <w:i/>
          <w:sz w:val="23"/>
          <w:szCs w:val="23"/>
          <w:rtl/>
        </w:rPr>
        <w:t>.</w:t>
      </w:r>
      <w:r w:rsidR="0074672C" w:rsidRPr="00BF1AA2">
        <w:rPr>
          <w:rFonts w:hint="cs"/>
          <w:i/>
          <w:sz w:val="23"/>
          <w:szCs w:val="23"/>
          <w:rtl/>
        </w:rPr>
        <w:t xml:space="preserve"> </w:t>
      </w:r>
      <w:r w:rsidRPr="00BF1AA2">
        <w:rPr>
          <w:rFonts w:hint="cs"/>
          <w:i/>
          <w:sz w:val="23"/>
          <w:szCs w:val="23"/>
          <w:rtl/>
        </w:rPr>
        <w:t xml:space="preserve">در </w:t>
      </w:r>
      <w:r w:rsidR="009F162D" w:rsidRPr="00BF1AA2">
        <w:rPr>
          <w:rFonts w:hint="cs"/>
          <w:i/>
          <w:sz w:val="23"/>
          <w:szCs w:val="23"/>
          <w:rtl/>
        </w:rPr>
        <w:t xml:space="preserve">اینجا لازم است از </w:t>
      </w:r>
      <w:r w:rsidR="007B422F" w:rsidRPr="00BF1AA2">
        <w:rPr>
          <w:rFonts w:hint="cs"/>
          <w:i/>
          <w:sz w:val="23"/>
          <w:szCs w:val="23"/>
          <w:rtl/>
        </w:rPr>
        <w:t>کلیه</w:t>
      </w:r>
      <w:r w:rsidR="007B422F" w:rsidRPr="00BF1AA2">
        <w:rPr>
          <w:i/>
          <w:sz w:val="23"/>
          <w:szCs w:val="23"/>
          <w:rtl/>
        </w:rPr>
        <w:softHyphen/>
      </w:r>
      <w:r w:rsidR="007B422F" w:rsidRPr="00BF1AA2">
        <w:rPr>
          <w:rFonts w:hint="cs"/>
          <w:i/>
          <w:sz w:val="23"/>
          <w:szCs w:val="23"/>
          <w:rtl/>
        </w:rPr>
        <w:t xml:space="preserve">ی این عزیزان </w:t>
      </w:r>
      <w:r w:rsidR="00611E5B" w:rsidRPr="00BF1AA2">
        <w:rPr>
          <w:rFonts w:hint="cs"/>
          <w:i/>
          <w:sz w:val="23"/>
          <w:szCs w:val="23"/>
          <w:rtl/>
        </w:rPr>
        <w:t xml:space="preserve">تشکر </w:t>
      </w:r>
      <w:r w:rsidR="007B422F" w:rsidRPr="00BF1AA2">
        <w:rPr>
          <w:rFonts w:hint="cs"/>
          <w:i/>
          <w:sz w:val="23"/>
          <w:szCs w:val="23"/>
          <w:rtl/>
        </w:rPr>
        <w:t xml:space="preserve">و قدردانی </w:t>
      </w:r>
      <w:r w:rsidR="00611E5B" w:rsidRPr="00BF1AA2">
        <w:rPr>
          <w:rFonts w:hint="cs"/>
          <w:i/>
          <w:sz w:val="23"/>
          <w:szCs w:val="23"/>
          <w:rtl/>
        </w:rPr>
        <w:t>کن</w:t>
      </w:r>
      <w:r w:rsidRPr="00BF1AA2">
        <w:rPr>
          <w:rFonts w:hint="cs"/>
          <w:i/>
          <w:sz w:val="23"/>
          <w:szCs w:val="23"/>
          <w:rtl/>
        </w:rPr>
        <w:t>م،</w:t>
      </w:r>
      <w:r w:rsidR="00F94994" w:rsidRPr="00BF1AA2">
        <w:rPr>
          <w:rFonts w:hint="cs"/>
          <w:i/>
          <w:sz w:val="23"/>
          <w:szCs w:val="23"/>
          <w:rtl/>
        </w:rPr>
        <w:t xml:space="preserve"> </w:t>
      </w:r>
      <w:r w:rsidR="00E36BB8" w:rsidRPr="00BF1AA2">
        <w:rPr>
          <w:rFonts w:hint="cs"/>
          <w:i/>
          <w:sz w:val="23"/>
          <w:szCs w:val="23"/>
          <w:rtl/>
        </w:rPr>
        <w:t>هر چند هرگونه قصور و کوتا</w:t>
      </w:r>
      <w:r w:rsidRPr="00BF1AA2">
        <w:rPr>
          <w:rFonts w:hint="cs"/>
          <w:i/>
          <w:sz w:val="23"/>
          <w:szCs w:val="23"/>
          <w:rtl/>
        </w:rPr>
        <w:t>هی و اشتباهات سهوی متوجه نگارنده</w:t>
      </w:r>
      <w:r w:rsidR="00E36BB8" w:rsidRPr="00BF1AA2">
        <w:rPr>
          <w:rFonts w:hint="cs"/>
          <w:i/>
          <w:sz w:val="23"/>
          <w:szCs w:val="23"/>
          <w:rtl/>
        </w:rPr>
        <w:t xml:space="preserve"> است. </w:t>
      </w:r>
    </w:p>
    <w:p w14:paraId="455D54A4" w14:textId="77777777" w:rsidR="00912CC7" w:rsidRPr="00BF1AA2" w:rsidRDefault="00912CC7" w:rsidP="00656484">
      <w:pPr>
        <w:tabs>
          <w:tab w:val="left" w:pos="90"/>
        </w:tabs>
        <w:spacing w:line="216" w:lineRule="auto"/>
        <w:rPr>
          <w:i/>
          <w:sz w:val="23"/>
          <w:szCs w:val="23"/>
        </w:rPr>
      </w:pPr>
    </w:p>
    <w:p w14:paraId="2884FF48" w14:textId="3E91B11D" w:rsidR="00E36BB8" w:rsidRPr="00BF1AA2" w:rsidRDefault="00E36BB8" w:rsidP="00656484">
      <w:pPr>
        <w:tabs>
          <w:tab w:val="left" w:pos="90"/>
        </w:tabs>
        <w:spacing w:line="216" w:lineRule="auto"/>
        <w:rPr>
          <w:i/>
          <w:sz w:val="23"/>
          <w:szCs w:val="23"/>
          <w:rtl/>
        </w:rPr>
      </w:pPr>
      <w:r w:rsidRPr="00BF1AA2">
        <w:rPr>
          <w:rFonts w:hint="cs"/>
          <w:i/>
          <w:sz w:val="23"/>
          <w:szCs w:val="23"/>
          <w:rtl/>
        </w:rPr>
        <w:t xml:space="preserve">در جهت ارتقاء </w:t>
      </w:r>
      <w:r w:rsidR="0050496D" w:rsidRPr="00BF1AA2">
        <w:rPr>
          <w:rFonts w:hint="cs"/>
          <w:i/>
          <w:sz w:val="23"/>
          <w:szCs w:val="23"/>
          <w:rtl/>
        </w:rPr>
        <w:t xml:space="preserve">کمی و کیفی </w:t>
      </w:r>
      <w:r w:rsidRPr="00BF1AA2">
        <w:rPr>
          <w:rFonts w:hint="cs"/>
          <w:i/>
          <w:sz w:val="23"/>
          <w:szCs w:val="23"/>
          <w:rtl/>
        </w:rPr>
        <w:t>مباحث این کتاب هر</w:t>
      </w:r>
      <w:r w:rsidRPr="00BF1AA2">
        <w:rPr>
          <w:i/>
          <w:sz w:val="23"/>
          <w:szCs w:val="23"/>
          <w:rtl/>
        </w:rPr>
        <w:softHyphen/>
      </w:r>
      <w:r w:rsidRPr="00BF1AA2">
        <w:rPr>
          <w:rFonts w:hint="cs"/>
          <w:i/>
          <w:sz w:val="23"/>
          <w:szCs w:val="23"/>
          <w:rtl/>
        </w:rPr>
        <w:t>گونه نقد عالمانه</w:t>
      </w:r>
      <w:r w:rsidR="00611E5B" w:rsidRPr="00BF1AA2">
        <w:rPr>
          <w:i/>
          <w:sz w:val="23"/>
          <w:szCs w:val="23"/>
          <w:rtl/>
        </w:rPr>
        <w:softHyphen/>
      </w:r>
      <w:r w:rsidR="00611E5B" w:rsidRPr="00BF1AA2">
        <w:rPr>
          <w:rFonts w:hint="cs"/>
          <w:i/>
          <w:sz w:val="23"/>
          <w:szCs w:val="23"/>
          <w:rtl/>
        </w:rPr>
        <w:t>ی</w:t>
      </w:r>
      <w:r w:rsidRPr="00BF1AA2">
        <w:rPr>
          <w:rFonts w:hint="cs"/>
          <w:i/>
          <w:sz w:val="23"/>
          <w:szCs w:val="23"/>
          <w:rtl/>
        </w:rPr>
        <w:t xml:space="preserve"> </w:t>
      </w:r>
      <w:r w:rsidR="008134C6" w:rsidRPr="00BF1AA2">
        <w:rPr>
          <w:rFonts w:hint="cs"/>
          <w:i/>
          <w:sz w:val="23"/>
          <w:szCs w:val="23"/>
          <w:rtl/>
        </w:rPr>
        <w:t xml:space="preserve">ممکن </w:t>
      </w:r>
      <w:r w:rsidR="00345A3B" w:rsidRPr="00BF1AA2">
        <w:rPr>
          <w:rFonts w:hint="cs"/>
          <w:i/>
          <w:sz w:val="23"/>
          <w:szCs w:val="23"/>
          <w:rtl/>
        </w:rPr>
        <w:t xml:space="preserve">را </w:t>
      </w:r>
      <w:r w:rsidRPr="00BF1AA2">
        <w:rPr>
          <w:rFonts w:hint="cs"/>
          <w:i/>
          <w:sz w:val="23"/>
          <w:szCs w:val="23"/>
          <w:rtl/>
        </w:rPr>
        <w:t>به</w:t>
      </w:r>
      <w:r w:rsidR="000E5D29" w:rsidRPr="00BF1AA2">
        <w:rPr>
          <w:i/>
          <w:sz w:val="23"/>
          <w:szCs w:val="23"/>
          <w:rtl/>
        </w:rPr>
        <w:t xml:space="preserve"> </w:t>
      </w:r>
      <w:r w:rsidR="0050496D" w:rsidRPr="00BF1AA2">
        <w:rPr>
          <w:rFonts w:hint="cs"/>
          <w:i/>
          <w:sz w:val="23"/>
          <w:szCs w:val="23"/>
          <w:rtl/>
        </w:rPr>
        <w:t xml:space="preserve">شماره موبایل </w:t>
      </w:r>
      <w:proofErr w:type="spellStart"/>
      <w:r w:rsidRPr="00BF1AA2">
        <w:rPr>
          <w:iCs/>
          <w:sz w:val="23"/>
          <w:szCs w:val="23"/>
        </w:rPr>
        <w:t>DrEmami</w:t>
      </w:r>
      <w:proofErr w:type="spellEnd"/>
      <w:r w:rsidRPr="00BF1AA2">
        <w:rPr>
          <w:i/>
          <w:sz w:val="23"/>
          <w:szCs w:val="23"/>
        </w:rPr>
        <w:t xml:space="preserve"> </w:t>
      </w:r>
      <w:r w:rsidRPr="00BF1AA2">
        <w:rPr>
          <w:rFonts w:hint="cs"/>
          <w:i/>
          <w:sz w:val="23"/>
          <w:szCs w:val="23"/>
          <w:rtl/>
        </w:rPr>
        <w:t xml:space="preserve">۰۹۰۲ و همچنین آدرس </w:t>
      </w:r>
      <w:r w:rsidRPr="00BF1AA2">
        <w:rPr>
          <w:iCs/>
          <w:sz w:val="23"/>
          <w:szCs w:val="23"/>
        </w:rPr>
        <w:t>Karim_Emami@Yahoo.Com</w:t>
      </w:r>
      <w:r w:rsidRPr="00BF1AA2">
        <w:rPr>
          <w:rFonts w:hint="cs"/>
          <w:i/>
          <w:sz w:val="23"/>
          <w:szCs w:val="23"/>
          <w:rtl/>
        </w:rPr>
        <w:t xml:space="preserve"> ارسال نمایید. </w:t>
      </w:r>
      <w:r w:rsidR="007B53B3" w:rsidRPr="00BF1AA2">
        <w:rPr>
          <w:rFonts w:hint="cs"/>
          <w:i/>
          <w:sz w:val="23"/>
          <w:szCs w:val="23"/>
          <w:rtl/>
        </w:rPr>
        <w:t xml:space="preserve">اینجانب با کمال میل </w:t>
      </w:r>
      <w:r w:rsidR="00580018">
        <w:rPr>
          <w:rFonts w:hint="cs"/>
          <w:i/>
          <w:sz w:val="23"/>
          <w:szCs w:val="23"/>
          <w:rtl/>
        </w:rPr>
        <w:t>بررسی</w:t>
      </w:r>
      <w:r w:rsidR="007B53B3" w:rsidRPr="00BF1AA2">
        <w:rPr>
          <w:rFonts w:hint="cs"/>
          <w:i/>
          <w:sz w:val="23"/>
          <w:szCs w:val="23"/>
          <w:rtl/>
        </w:rPr>
        <w:t xml:space="preserve"> </w:t>
      </w:r>
      <w:r w:rsidR="00012895" w:rsidRPr="00BF1AA2">
        <w:rPr>
          <w:rFonts w:hint="cs"/>
          <w:i/>
          <w:sz w:val="23"/>
          <w:szCs w:val="23"/>
          <w:rtl/>
        </w:rPr>
        <w:t xml:space="preserve">کرده </w:t>
      </w:r>
      <w:r w:rsidR="007B53B3" w:rsidRPr="00BF1AA2">
        <w:rPr>
          <w:rFonts w:hint="cs"/>
          <w:i/>
          <w:sz w:val="23"/>
          <w:szCs w:val="23"/>
          <w:rtl/>
        </w:rPr>
        <w:t>و در صورت لزوم در چاپ</w:t>
      </w:r>
      <w:r w:rsidR="007B53B3" w:rsidRPr="00BF1AA2">
        <w:rPr>
          <w:i/>
          <w:sz w:val="23"/>
          <w:szCs w:val="23"/>
          <w:rtl/>
        </w:rPr>
        <w:softHyphen/>
      </w:r>
      <w:r w:rsidR="007B53B3" w:rsidRPr="00BF1AA2">
        <w:rPr>
          <w:rFonts w:hint="cs"/>
          <w:i/>
          <w:sz w:val="23"/>
          <w:szCs w:val="23"/>
          <w:rtl/>
        </w:rPr>
        <w:t>های بعدی اعمال خواهم نمود.</w:t>
      </w:r>
    </w:p>
    <w:p w14:paraId="11422F9F" w14:textId="77777777" w:rsidR="00912CC7" w:rsidRPr="00BF1AA2" w:rsidRDefault="00912CC7" w:rsidP="00656484">
      <w:pPr>
        <w:tabs>
          <w:tab w:val="left" w:pos="90"/>
        </w:tabs>
        <w:spacing w:line="216" w:lineRule="auto"/>
        <w:rPr>
          <w:i/>
          <w:sz w:val="23"/>
          <w:szCs w:val="23"/>
        </w:rPr>
      </w:pPr>
    </w:p>
    <w:p w14:paraId="33299EA9" w14:textId="77777777" w:rsidR="00912CC7" w:rsidRPr="00BF1AA2" w:rsidRDefault="00912CC7" w:rsidP="00656484">
      <w:pPr>
        <w:tabs>
          <w:tab w:val="left" w:pos="90"/>
        </w:tabs>
        <w:spacing w:line="216" w:lineRule="auto"/>
        <w:rPr>
          <w:i/>
          <w:sz w:val="23"/>
          <w:szCs w:val="23"/>
        </w:rPr>
      </w:pPr>
    </w:p>
    <w:p w14:paraId="5EB88033" w14:textId="77777777" w:rsidR="00912CC7" w:rsidRPr="00BF1AA2" w:rsidRDefault="000E5D29" w:rsidP="00656484">
      <w:pPr>
        <w:tabs>
          <w:tab w:val="left" w:pos="90"/>
        </w:tabs>
        <w:spacing w:line="216" w:lineRule="auto"/>
        <w:rPr>
          <w:i/>
          <w:sz w:val="23"/>
          <w:szCs w:val="23"/>
        </w:rPr>
      </w:pP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rFonts w:hint="cs"/>
          <w:i/>
          <w:sz w:val="23"/>
          <w:szCs w:val="23"/>
          <w:rtl/>
        </w:rPr>
        <w:t xml:space="preserve">  </w:t>
      </w:r>
      <w:r w:rsidR="00912CC7" w:rsidRPr="00BF1AA2">
        <w:rPr>
          <w:i/>
          <w:sz w:val="23"/>
          <w:szCs w:val="23"/>
        </w:rPr>
        <w:tab/>
      </w:r>
      <w:r w:rsidR="00912CC7" w:rsidRPr="00BF1AA2">
        <w:rPr>
          <w:i/>
          <w:sz w:val="23"/>
          <w:szCs w:val="23"/>
        </w:rPr>
        <w:tab/>
      </w:r>
      <w:r w:rsidR="00912CC7" w:rsidRPr="00BF1AA2">
        <w:rPr>
          <w:i/>
          <w:sz w:val="23"/>
          <w:szCs w:val="23"/>
        </w:rPr>
        <w:tab/>
      </w:r>
      <w:r w:rsidR="00912CC7" w:rsidRPr="00BF1AA2">
        <w:rPr>
          <w:i/>
          <w:sz w:val="23"/>
          <w:szCs w:val="23"/>
        </w:rPr>
        <w:tab/>
      </w:r>
      <w:r w:rsidRPr="00BF1AA2">
        <w:rPr>
          <w:rFonts w:hint="cs"/>
          <w:i/>
          <w:sz w:val="23"/>
          <w:szCs w:val="23"/>
          <w:rtl/>
        </w:rPr>
        <w:t xml:space="preserve"> </w:t>
      </w:r>
      <w:r w:rsidR="000D0F91" w:rsidRPr="00BF1AA2">
        <w:rPr>
          <w:rFonts w:hint="cs"/>
          <w:i/>
          <w:sz w:val="23"/>
          <w:szCs w:val="23"/>
          <w:rtl/>
        </w:rPr>
        <w:t>کریم امامی</w:t>
      </w:r>
    </w:p>
    <w:p w14:paraId="671B1751" w14:textId="77777777" w:rsidR="002B0772" w:rsidRDefault="00912CC7" w:rsidP="009015D3">
      <w:pPr>
        <w:tabs>
          <w:tab w:val="left" w:pos="90"/>
        </w:tabs>
        <w:spacing w:line="216" w:lineRule="auto"/>
        <w:rPr>
          <w:i/>
          <w:sz w:val="23"/>
          <w:szCs w:val="23"/>
          <w:rtl/>
        </w:rPr>
      </w:pP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Pr="00BF1AA2">
        <w:rPr>
          <w:i/>
          <w:sz w:val="23"/>
          <w:szCs w:val="23"/>
        </w:rPr>
        <w:tab/>
      </w:r>
      <w:r w:rsidR="000D0F91" w:rsidRPr="00BF1AA2">
        <w:rPr>
          <w:rFonts w:hint="cs"/>
          <w:i/>
          <w:sz w:val="23"/>
          <w:szCs w:val="23"/>
          <w:rtl/>
        </w:rPr>
        <w:t>فروردین ۱۳۹۸</w:t>
      </w:r>
      <w:r w:rsidR="002B0772">
        <w:rPr>
          <w:i/>
          <w:sz w:val="23"/>
          <w:szCs w:val="23"/>
          <w:rtl/>
        </w:rPr>
        <w:br w:type="page"/>
      </w:r>
    </w:p>
    <w:p w14:paraId="155A62C2" w14:textId="751418B4" w:rsidR="00F94994" w:rsidRDefault="00F94994" w:rsidP="009015D3">
      <w:pPr>
        <w:tabs>
          <w:tab w:val="left" w:pos="90"/>
        </w:tabs>
        <w:spacing w:line="216" w:lineRule="auto"/>
        <w:rPr>
          <w:i/>
          <w:sz w:val="23"/>
          <w:szCs w:val="23"/>
          <w:rtl/>
        </w:rPr>
      </w:pPr>
    </w:p>
    <w:p w14:paraId="1F04A8D4" w14:textId="10CD952D" w:rsidR="00411620" w:rsidRDefault="00411620" w:rsidP="009015D3">
      <w:pPr>
        <w:tabs>
          <w:tab w:val="left" w:pos="90"/>
        </w:tabs>
        <w:spacing w:line="216" w:lineRule="auto"/>
        <w:rPr>
          <w:i/>
          <w:sz w:val="23"/>
          <w:szCs w:val="23"/>
          <w:rtl/>
        </w:rPr>
      </w:pPr>
    </w:p>
    <w:p w14:paraId="39E08FC1" w14:textId="76F79FA0" w:rsidR="00411620" w:rsidRDefault="00411620" w:rsidP="009015D3">
      <w:pPr>
        <w:tabs>
          <w:tab w:val="left" w:pos="90"/>
        </w:tabs>
        <w:spacing w:line="216" w:lineRule="auto"/>
        <w:rPr>
          <w:i/>
          <w:sz w:val="23"/>
          <w:szCs w:val="23"/>
          <w:rtl/>
        </w:rPr>
      </w:pPr>
    </w:p>
    <w:p w14:paraId="14B3A607" w14:textId="4AF51968" w:rsidR="00411620" w:rsidRDefault="00411620" w:rsidP="009015D3">
      <w:pPr>
        <w:tabs>
          <w:tab w:val="left" w:pos="90"/>
        </w:tabs>
        <w:spacing w:line="216" w:lineRule="auto"/>
        <w:rPr>
          <w:i/>
          <w:sz w:val="23"/>
          <w:szCs w:val="23"/>
          <w:rtl/>
        </w:rPr>
      </w:pPr>
    </w:p>
    <w:p w14:paraId="37DC93D5" w14:textId="24201F2F" w:rsidR="00411620" w:rsidRDefault="00411620" w:rsidP="009015D3">
      <w:pPr>
        <w:tabs>
          <w:tab w:val="left" w:pos="90"/>
        </w:tabs>
        <w:spacing w:line="216" w:lineRule="auto"/>
        <w:rPr>
          <w:i/>
          <w:sz w:val="23"/>
          <w:szCs w:val="23"/>
          <w:rtl/>
        </w:rPr>
      </w:pPr>
    </w:p>
    <w:p w14:paraId="7F590884" w14:textId="15A8A3DF" w:rsidR="00411620" w:rsidRDefault="00411620" w:rsidP="009015D3">
      <w:pPr>
        <w:tabs>
          <w:tab w:val="left" w:pos="90"/>
        </w:tabs>
        <w:spacing w:line="216" w:lineRule="auto"/>
        <w:rPr>
          <w:i/>
          <w:sz w:val="23"/>
          <w:szCs w:val="23"/>
          <w:rtl/>
        </w:rPr>
      </w:pPr>
    </w:p>
    <w:p w14:paraId="01A3557E" w14:textId="72136E14" w:rsidR="00411620" w:rsidRDefault="00411620" w:rsidP="009015D3">
      <w:pPr>
        <w:tabs>
          <w:tab w:val="left" w:pos="90"/>
        </w:tabs>
        <w:spacing w:line="216" w:lineRule="auto"/>
        <w:rPr>
          <w:i/>
          <w:sz w:val="23"/>
          <w:szCs w:val="23"/>
          <w:rtl/>
        </w:rPr>
      </w:pPr>
    </w:p>
    <w:p w14:paraId="6E72F504" w14:textId="4B2E9AA8" w:rsidR="00411620" w:rsidRDefault="00411620" w:rsidP="009015D3">
      <w:pPr>
        <w:tabs>
          <w:tab w:val="left" w:pos="90"/>
        </w:tabs>
        <w:spacing w:line="216" w:lineRule="auto"/>
        <w:rPr>
          <w:i/>
          <w:sz w:val="23"/>
          <w:szCs w:val="23"/>
          <w:rtl/>
        </w:rPr>
      </w:pPr>
    </w:p>
    <w:p w14:paraId="55EFF0C7" w14:textId="70F4E2A6" w:rsidR="00411620" w:rsidRDefault="00411620" w:rsidP="009015D3">
      <w:pPr>
        <w:tabs>
          <w:tab w:val="left" w:pos="90"/>
        </w:tabs>
        <w:spacing w:line="216" w:lineRule="auto"/>
        <w:rPr>
          <w:i/>
          <w:sz w:val="23"/>
          <w:szCs w:val="23"/>
          <w:rtl/>
        </w:rPr>
      </w:pPr>
    </w:p>
    <w:p w14:paraId="7DA7EAC5" w14:textId="2DE67A22" w:rsidR="00411620" w:rsidRDefault="00411620" w:rsidP="009015D3">
      <w:pPr>
        <w:tabs>
          <w:tab w:val="left" w:pos="90"/>
        </w:tabs>
        <w:spacing w:line="216" w:lineRule="auto"/>
        <w:rPr>
          <w:i/>
          <w:sz w:val="23"/>
          <w:szCs w:val="23"/>
          <w:rtl/>
        </w:rPr>
      </w:pPr>
    </w:p>
    <w:p w14:paraId="7DE839D9" w14:textId="51002F52" w:rsidR="00411620" w:rsidRDefault="00411620" w:rsidP="009015D3">
      <w:pPr>
        <w:tabs>
          <w:tab w:val="left" w:pos="90"/>
        </w:tabs>
        <w:spacing w:line="216" w:lineRule="auto"/>
        <w:rPr>
          <w:i/>
          <w:sz w:val="23"/>
          <w:szCs w:val="23"/>
          <w:rtl/>
        </w:rPr>
      </w:pPr>
    </w:p>
    <w:p w14:paraId="0F242F70" w14:textId="7A3C9C92" w:rsidR="00411620" w:rsidRDefault="00411620" w:rsidP="009015D3">
      <w:pPr>
        <w:tabs>
          <w:tab w:val="left" w:pos="90"/>
        </w:tabs>
        <w:spacing w:line="216" w:lineRule="auto"/>
        <w:rPr>
          <w:i/>
          <w:sz w:val="23"/>
          <w:szCs w:val="23"/>
          <w:rtl/>
        </w:rPr>
      </w:pPr>
    </w:p>
    <w:p w14:paraId="024F98C9" w14:textId="4D170BF1" w:rsidR="00411620" w:rsidRDefault="00411620">
      <w:pPr>
        <w:bidi w:val="0"/>
        <w:jc w:val="left"/>
        <w:rPr>
          <w:i/>
          <w:sz w:val="23"/>
          <w:szCs w:val="23"/>
          <w:rtl/>
        </w:rPr>
      </w:pPr>
      <w:r>
        <w:rPr>
          <w:i/>
          <w:sz w:val="23"/>
          <w:szCs w:val="23"/>
          <w:rtl/>
        </w:rPr>
        <w:br w:type="page"/>
      </w:r>
    </w:p>
    <w:p w14:paraId="4EA7F00C" w14:textId="77777777" w:rsidR="00411620" w:rsidRPr="00327F9E" w:rsidRDefault="00411620" w:rsidP="00411620">
      <w:pPr>
        <w:spacing w:before="1080" w:after="720" w:line="216" w:lineRule="auto"/>
        <w:jc w:val="center"/>
        <w:rPr>
          <w:b/>
          <w:bCs/>
          <w:color w:val="000000" w:themeColor="text1"/>
          <w:sz w:val="40"/>
          <w:szCs w:val="40"/>
          <w:rtl/>
        </w:rPr>
      </w:pPr>
      <w:bookmarkStart w:id="4" w:name="_Toc392459947"/>
      <w:bookmarkStart w:id="5" w:name="_Toc400328418"/>
      <w:r w:rsidRPr="00327F9E">
        <w:rPr>
          <w:rFonts w:hint="cs"/>
          <w:b/>
          <w:bCs/>
          <w:color w:val="000000" w:themeColor="text1"/>
          <w:sz w:val="40"/>
          <w:szCs w:val="40"/>
          <w:rtl/>
        </w:rPr>
        <w:lastRenderedPageBreak/>
        <w:t>فصل اول</w:t>
      </w:r>
      <w:bookmarkEnd w:id="4"/>
      <w:bookmarkEnd w:id="5"/>
    </w:p>
    <w:p w14:paraId="1BB0DF44" w14:textId="77777777" w:rsidR="00411620" w:rsidRPr="00327F9E" w:rsidRDefault="00411620" w:rsidP="00411620">
      <w:pPr>
        <w:spacing w:line="216" w:lineRule="auto"/>
        <w:jc w:val="center"/>
        <w:rPr>
          <w:rFonts w:eastAsia="Yu Gothic UI"/>
          <w:b/>
          <w:bCs/>
          <w:sz w:val="40"/>
          <w:szCs w:val="40"/>
          <w:rtl/>
          <w14:glow w14:rad="0">
            <w14:srgbClr w14:val="000000">
              <w14:alpha w14:val="91000"/>
            </w14:srgbClr>
          </w14:glow>
          <w14:shadow w14:blurRad="63500" w14:dist="0" w14:dir="0" w14:sx="1000" w14:sy="1000" w14:kx="0" w14:ky="0" w14:algn="ctr">
            <w14:srgbClr w14:val="000000">
              <w14:alpha w14:val="16000"/>
            </w14:srgbClr>
          </w14:shadow>
        </w:rPr>
      </w:pPr>
      <w:r w:rsidRPr="00327F9E">
        <w:rPr>
          <w:rFonts w:eastAsia="Yu Gothic UI" w:hint="cs"/>
          <w:b/>
          <w:bCs/>
          <w:sz w:val="40"/>
          <w:szCs w:val="40"/>
          <w:rtl/>
          <w14:glow w14:rad="0">
            <w14:srgbClr w14:val="000000">
              <w14:alpha w14:val="91000"/>
            </w14:srgbClr>
          </w14:glow>
          <w14:shadow w14:blurRad="63500" w14:dist="0" w14:dir="0" w14:sx="1000" w14:sy="1000" w14:kx="0" w14:ky="0" w14:algn="ctr">
            <w14:srgbClr w14:val="000000">
              <w14:alpha w14:val="16000"/>
            </w14:srgbClr>
          </w14:shadow>
        </w:rPr>
        <w:t>مقدمه</w:t>
      </w:r>
      <w:r w:rsidRPr="00327F9E">
        <w:rPr>
          <w:rFonts w:eastAsia="Yu Gothic UI" w:hint="cs"/>
          <w:b/>
          <w:bCs/>
          <w:sz w:val="40"/>
          <w:szCs w:val="40"/>
          <w:rtl/>
          <w14:glow w14:rad="0">
            <w14:srgbClr w14:val="000000">
              <w14:alpha w14:val="91000"/>
            </w14:srgbClr>
          </w14:glow>
          <w14:shadow w14:blurRad="63500" w14:dist="0" w14:dir="0" w14:sx="1000" w14:sy="1000" w14:kx="0" w14:ky="0" w14:algn="ctr">
            <w14:srgbClr w14:val="000000">
              <w14:alpha w14:val="16000"/>
            </w14:srgbClr>
          </w14:shadow>
        </w:rPr>
        <w:softHyphen/>
        <w:t xml:space="preserve">ای بر </w:t>
      </w:r>
    </w:p>
    <w:p w14:paraId="6B72048C" w14:textId="77777777" w:rsidR="00411620" w:rsidRPr="00327F9E" w:rsidRDefault="00411620" w:rsidP="00411620">
      <w:pPr>
        <w:spacing w:after="720" w:line="216" w:lineRule="auto"/>
        <w:jc w:val="center"/>
        <w:rPr>
          <w:rFonts w:eastAsia="Yu Gothic UI"/>
          <w:b/>
          <w:bCs/>
          <w:sz w:val="40"/>
          <w:szCs w:val="40"/>
          <w:rtl/>
          <w14:glow w14:rad="0">
            <w14:srgbClr w14:val="000000">
              <w14:alpha w14:val="91000"/>
            </w14:srgbClr>
          </w14:glow>
          <w14:shadow w14:blurRad="63500" w14:dist="0" w14:dir="0" w14:sx="1000" w14:sy="1000" w14:kx="0" w14:ky="0" w14:algn="ctr">
            <w14:srgbClr w14:val="000000">
              <w14:alpha w14:val="16000"/>
            </w14:srgbClr>
          </w14:shadow>
        </w:rPr>
      </w:pPr>
      <w:r w:rsidRPr="00327F9E">
        <w:rPr>
          <w:rFonts w:eastAsia="Yu Gothic UI" w:hint="cs"/>
          <w:b/>
          <w:bCs/>
          <w:sz w:val="40"/>
          <w:szCs w:val="40"/>
          <w:rtl/>
          <w14:glow w14:rad="0">
            <w14:srgbClr w14:val="000000">
              <w14:alpha w14:val="91000"/>
            </w14:srgbClr>
          </w14:glow>
          <w14:shadow w14:blurRad="63500" w14:dist="0" w14:dir="0" w14:sx="1000" w14:sy="1000" w14:kx="0" w14:ky="0" w14:algn="ctr">
            <w14:srgbClr w14:val="000000">
              <w14:alpha w14:val="16000"/>
            </w14:srgbClr>
          </w14:shadow>
        </w:rPr>
        <w:t>مدل</w:t>
      </w:r>
      <w:r w:rsidRPr="00327F9E">
        <w:rPr>
          <w:rFonts w:eastAsia="Yu Gothic UI" w:hint="cs"/>
          <w:b/>
          <w:bCs/>
          <w:sz w:val="40"/>
          <w:szCs w:val="40"/>
          <w:rtl/>
          <w14:glow w14:rad="0">
            <w14:srgbClr w14:val="000000">
              <w14:alpha w14:val="91000"/>
            </w14:srgbClr>
          </w14:glow>
          <w14:shadow w14:blurRad="63500" w14:dist="0" w14:dir="0" w14:sx="1000" w14:sy="1000" w14:kx="0" w14:ky="0" w14:algn="ctr">
            <w14:srgbClr w14:val="000000">
              <w14:alpha w14:val="16000"/>
            </w14:srgbClr>
          </w14:shadow>
        </w:rPr>
        <w:softHyphen/>
        <w:t>های تعادل عمومی پویای تصادفی</w:t>
      </w:r>
    </w:p>
    <w:p w14:paraId="10256EB1" w14:textId="77777777" w:rsidR="00411620" w:rsidRPr="00327F9E" w:rsidRDefault="00411620" w:rsidP="00411620">
      <w:pPr>
        <w:spacing w:line="216" w:lineRule="auto"/>
        <w:rPr>
          <w:sz w:val="23"/>
          <w:szCs w:val="23"/>
          <w:rtl/>
          <w:lang w:bidi="ar-SA"/>
        </w:rPr>
      </w:pPr>
      <w:r w:rsidRPr="00327F9E">
        <w:rPr>
          <w:rFonts w:hint="cs"/>
          <w:sz w:val="23"/>
          <w:szCs w:val="23"/>
          <w:rtl/>
        </w:rPr>
        <w:t>تا قبل از دهه‌ی ۱۹۷۰ میلادی، در مورد شالوده و رويكرد مدل‌سازي</w:t>
      </w:r>
      <w:r w:rsidRPr="00327F9E">
        <w:rPr>
          <w:sz w:val="23"/>
          <w:szCs w:val="23"/>
        </w:rPr>
        <w:t xml:space="preserve"> </w:t>
      </w:r>
      <w:r w:rsidRPr="00327F9E">
        <w:rPr>
          <w:rFonts w:hint="cs"/>
          <w:sz w:val="23"/>
          <w:szCs w:val="23"/>
          <w:rtl/>
        </w:rPr>
        <w:t>اقتصادي تا حدود زيادي اتفاق نظر وجود داشت. اجماع نظر در خصوص همان رويكرد سنتي، يا دانشگاهي</w:t>
      </w:r>
      <w:r w:rsidRPr="00327F9E">
        <w:rPr>
          <w:sz w:val="23"/>
          <w:szCs w:val="23"/>
        </w:rPr>
        <w:softHyphen/>
      </w:r>
      <w:r w:rsidRPr="00327F9E">
        <w:rPr>
          <w:rFonts w:hint="cs"/>
          <w:sz w:val="23"/>
          <w:szCs w:val="23"/>
          <w:rtl/>
        </w:rPr>
        <w:t>ـ درسي بود كه پس از تشكيل جامعه اقتصادسنجي يا كميسيون كاولز</w:t>
      </w:r>
      <w:r w:rsidRPr="00327F9E">
        <w:rPr>
          <w:rStyle w:val="FootnoteReference"/>
          <w:sz w:val="23"/>
          <w:szCs w:val="23"/>
          <w:rtl/>
        </w:rPr>
        <w:footnoteReference w:id="1"/>
      </w:r>
      <w:r w:rsidRPr="00327F9E">
        <w:rPr>
          <w:rFonts w:hint="cs"/>
          <w:sz w:val="23"/>
          <w:szCs w:val="23"/>
          <w:rtl/>
        </w:rPr>
        <w:t xml:space="preserve"> در سال ۱۹۳۰، طي چندين دهه شكل گرفت. هدف اصلي جامعه اقتصادسنجي ارتقاء و پيشبرد وحدت رويكردهاي نظري و آماري در علم اقتصاد بود.</w:t>
      </w:r>
      <w:r w:rsidRPr="00327F9E">
        <w:rPr>
          <w:rStyle w:val="FootnoteReference"/>
          <w:sz w:val="23"/>
          <w:szCs w:val="23"/>
          <w:rtl/>
        </w:rPr>
        <w:footnoteReference w:id="2"/>
      </w:r>
      <w:r w:rsidRPr="00327F9E">
        <w:rPr>
          <w:rFonts w:hint="cs"/>
          <w:sz w:val="23"/>
          <w:szCs w:val="23"/>
          <w:rtl/>
        </w:rPr>
        <w:t xml:space="preserve"> نظريه‌ی اقتصادي، مدل مورد نظر را فراهم مي‌ساخت و وظيفه‌ی متخصصين اقتصادسنجي، تخمين پارامترهاي آن مدل بود. سپس آزمون فرضيات با ملاحظه و بررسي ميزان معناداري آماري و علائم پارامترهاي معادلات ميسر مي‌شد. در موارد عملي و كاربردي‌تر، فروض مكملي در مورد فرآيندهاي تعديل، اشكال تبعي و شرطي ساختن متغيرها مطرح مي‌شد تا بدين‌ترتيب انحرافات احتمالي حاصله از الگوي نظري نيز مدّ نظر قرار گرفته شود.</w:t>
      </w:r>
      <w:r w:rsidRPr="00327F9E">
        <w:rPr>
          <w:rStyle w:val="FootnoteReference"/>
          <w:sz w:val="23"/>
          <w:szCs w:val="23"/>
          <w:rtl/>
        </w:rPr>
        <w:footnoteReference w:id="3"/>
      </w:r>
      <w:r w:rsidRPr="00327F9E">
        <w:rPr>
          <w:rFonts w:hint="cs"/>
          <w:sz w:val="23"/>
          <w:szCs w:val="23"/>
          <w:rtl/>
        </w:rPr>
        <w:t xml:space="preserve"> </w:t>
      </w:r>
    </w:p>
    <w:p w14:paraId="07142B49" w14:textId="77777777" w:rsidR="00411620" w:rsidRPr="00327F9E" w:rsidRDefault="00411620" w:rsidP="00411620">
      <w:pPr>
        <w:spacing w:line="216" w:lineRule="auto"/>
        <w:ind w:left="-1"/>
        <w:rPr>
          <w:sz w:val="23"/>
          <w:szCs w:val="23"/>
          <w:rtl/>
        </w:rPr>
      </w:pPr>
      <w:r w:rsidRPr="00327F9E">
        <w:rPr>
          <w:rFonts w:hint="cs"/>
          <w:sz w:val="23"/>
          <w:szCs w:val="23"/>
          <w:rtl/>
        </w:rPr>
        <w:t>طي دهه</w:t>
      </w:r>
      <w:r w:rsidRPr="00327F9E">
        <w:rPr>
          <w:sz w:val="23"/>
          <w:szCs w:val="23"/>
          <w:rtl/>
        </w:rPr>
        <w:softHyphen/>
      </w:r>
      <w:r w:rsidRPr="00327F9E">
        <w:rPr>
          <w:rFonts w:hint="cs"/>
          <w:sz w:val="23"/>
          <w:szCs w:val="23"/>
          <w:rtl/>
        </w:rPr>
        <w:t>ی ۱۹۷۰ میلادی، روش سنتي از سوي نظريه‌پردازان و كاربران استراتژي فوق مورد نقد جدّي قرار گرفت. در آن زمان شواهد گسترده‌اي در مورد شكست رويكردهاي فوق در پيش‌بيني متغيرهاي اقتصادي بدست آمد، و هنگام مواجهه با شوك‌هاي بزرگ وارد بر طرف عرضه كه اقتصاد جهاني را به شدت تكان داد، روابط اقتصاديِ كاملاً تثبيت شده، از قبيل منحني فيليپس در هم شكست و به اين ترتيب ‌مدل‌هاي ساده‌ی سريِ زمانيِ يك متغيره، نسبت به رويكرد پيشين عملكرد بهتري به لحاظ دقت پيش‌بيني ارائه مي</w:t>
      </w:r>
      <w:r w:rsidRPr="00327F9E">
        <w:rPr>
          <w:rFonts w:hint="cs"/>
          <w:sz w:val="23"/>
          <w:szCs w:val="23"/>
          <w:rtl/>
        </w:rPr>
        <w:softHyphen/>
        <w:t>کرد.</w:t>
      </w:r>
      <w:r w:rsidRPr="00327F9E">
        <w:rPr>
          <w:rStyle w:val="FootnoteReference"/>
          <w:sz w:val="23"/>
          <w:szCs w:val="23"/>
          <w:rtl/>
        </w:rPr>
        <w:footnoteReference w:id="4"/>
      </w:r>
    </w:p>
    <w:p w14:paraId="2BCD3EBA" w14:textId="77777777" w:rsidR="00411620" w:rsidRPr="00327F9E" w:rsidRDefault="00411620" w:rsidP="00411620">
      <w:pPr>
        <w:spacing w:line="216" w:lineRule="auto"/>
        <w:rPr>
          <w:sz w:val="23"/>
          <w:szCs w:val="23"/>
          <w:rtl/>
        </w:rPr>
      </w:pPr>
      <w:r w:rsidRPr="00327F9E">
        <w:rPr>
          <w:rFonts w:hint="cs"/>
          <w:sz w:val="23"/>
          <w:szCs w:val="23"/>
          <w:rtl/>
        </w:rPr>
        <w:t xml:space="preserve">مدل‌هاي اقتصاد كلان رايج و متداول در پيش‌بيني‌هاي تجاري- بازرگاني، و يا تجزيه و تحليل‌ سياست‌هاي دولتي، از سال ۱۹۷۰ به اين سو در واقع نوعي سازش ناپايدار ميان انگيزه‌ی ضرورت </w:t>
      </w:r>
      <w:r w:rsidRPr="00327F9E">
        <w:rPr>
          <w:rFonts w:hint="cs"/>
          <w:sz w:val="23"/>
          <w:szCs w:val="23"/>
          <w:rtl/>
        </w:rPr>
        <w:lastRenderedPageBreak/>
        <w:t>استفاده از آن</w:t>
      </w:r>
      <w:r w:rsidRPr="00327F9E">
        <w:rPr>
          <w:rFonts w:hint="cs"/>
          <w:sz w:val="23"/>
          <w:szCs w:val="23"/>
          <w:rtl/>
        </w:rPr>
        <w:softHyphen/>
        <w:t>ها ‌و واقعيات تجربي محسوب مي‌شد. اين مدل‌ها هنگام مواجه با تورم، بيكاري و شوك</w:t>
      </w:r>
      <w:r w:rsidRPr="00327F9E">
        <w:rPr>
          <w:rFonts w:hint="cs"/>
          <w:sz w:val="23"/>
          <w:szCs w:val="23"/>
          <w:rtl/>
        </w:rPr>
        <w:softHyphen/>
        <w:t>هاي قيمتي كالاها و قیمت جهانی نفت در اواخر دهه‌ی ۱۹۶۰ و اواسط دهه‌ی ۱۹۷۰، نمي‌توانستند خود را به‌عنوان الگوهاي مقبول جلوه‌گر سازند. عكس‌العمل اوليه به شكست و ناتواني مدل‌هاي اقتصادی عبارت بود از معرفی تئوري فريدمن</w:t>
      </w:r>
      <w:r w:rsidRPr="00327F9E">
        <w:rPr>
          <w:rStyle w:val="FootnoteReference"/>
          <w:sz w:val="23"/>
          <w:szCs w:val="23"/>
          <w:rtl/>
        </w:rPr>
        <w:footnoteReference w:id="5"/>
      </w:r>
      <w:r w:rsidRPr="00327F9E">
        <w:rPr>
          <w:rFonts w:hint="cs"/>
          <w:sz w:val="23"/>
          <w:szCs w:val="23"/>
          <w:rtl/>
        </w:rPr>
        <w:t>، و فلپس</w:t>
      </w:r>
      <w:r w:rsidRPr="00327F9E">
        <w:rPr>
          <w:rStyle w:val="FootnoteReference"/>
          <w:sz w:val="23"/>
          <w:szCs w:val="23"/>
          <w:rtl/>
        </w:rPr>
        <w:footnoteReference w:id="6"/>
      </w:r>
      <w:r w:rsidRPr="00327F9E">
        <w:rPr>
          <w:rFonts w:hint="cs"/>
          <w:sz w:val="23"/>
          <w:szCs w:val="23"/>
          <w:rtl/>
        </w:rPr>
        <w:t xml:space="preserve"> در خصوص ادغام منحني فيليپس همراه با انتظارات، تا امكان بهبود الگوسازي فرآيندهاي تورمي فراهم شود. اين روش يكي از مكانيزم</w:t>
      </w:r>
      <w:r w:rsidRPr="00327F9E">
        <w:rPr>
          <w:rFonts w:hint="cs"/>
          <w:sz w:val="23"/>
          <w:szCs w:val="23"/>
          <w:rtl/>
        </w:rPr>
        <w:softHyphen/>
        <w:t>هاي حل مشكل عملكرد بود.</w:t>
      </w:r>
    </w:p>
    <w:p w14:paraId="7BEC29AD" w14:textId="77777777" w:rsidR="00411620" w:rsidRPr="00327F9E" w:rsidRDefault="00411620" w:rsidP="00411620">
      <w:pPr>
        <w:spacing w:line="216" w:lineRule="auto"/>
        <w:rPr>
          <w:sz w:val="23"/>
          <w:szCs w:val="23"/>
          <w:rtl/>
        </w:rPr>
      </w:pPr>
      <w:r w:rsidRPr="00327F9E">
        <w:rPr>
          <w:rFonts w:hint="cs"/>
          <w:sz w:val="23"/>
          <w:szCs w:val="23"/>
          <w:rtl/>
        </w:rPr>
        <w:t>لوكاس و راپينگ</w:t>
      </w:r>
      <w:r w:rsidRPr="00327F9E">
        <w:rPr>
          <w:rStyle w:val="FootnoteReference"/>
          <w:sz w:val="23"/>
          <w:szCs w:val="23"/>
          <w:rtl/>
        </w:rPr>
        <w:footnoteReference w:id="7"/>
      </w:r>
      <w:r w:rsidRPr="00327F9E">
        <w:rPr>
          <w:rFonts w:hint="cs"/>
          <w:sz w:val="23"/>
          <w:szCs w:val="23"/>
          <w:rtl/>
        </w:rPr>
        <w:t xml:space="preserve"> مسير ديگري را در پيش گرفتند. آن</w:t>
      </w:r>
      <w:r w:rsidRPr="00327F9E">
        <w:rPr>
          <w:rFonts w:hint="cs"/>
          <w:sz w:val="23"/>
          <w:szCs w:val="23"/>
          <w:rtl/>
        </w:rPr>
        <w:softHyphen/>
        <w:t>ها بجاي بررسي رابطه‌ی ميان تورم و بيكاري، تلاش نمودند تا بازار نيروي كار را به‌عنوان بخش جدايي</w:t>
      </w:r>
      <w:r w:rsidRPr="00327F9E">
        <w:rPr>
          <w:sz w:val="23"/>
          <w:szCs w:val="23"/>
        </w:rPr>
        <w:softHyphen/>
      </w:r>
      <w:r w:rsidRPr="00327F9E">
        <w:rPr>
          <w:rFonts w:hint="cs"/>
          <w:sz w:val="23"/>
          <w:szCs w:val="23"/>
          <w:rtl/>
        </w:rPr>
        <w:t>ناپذير از نظام تعادل عمومي در الگوي خود جای دهند.</w:t>
      </w:r>
      <w:r w:rsidRPr="00327F9E">
        <w:rPr>
          <w:sz w:val="23"/>
          <w:szCs w:val="23"/>
        </w:rPr>
        <w:t xml:space="preserve"> </w:t>
      </w:r>
      <w:r w:rsidRPr="00327F9E">
        <w:rPr>
          <w:rFonts w:hint="cs"/>
          <w:sz w:val="23"/>
          <w:szCs w:val="23"/>
          <w:rtl/>
        </w:rPr>
        <w:t>بدين</w:t>
      </w:r>
      <w:r w:rsidRPr="00327F9E">
        <w:rPr>
          <w:sz w:val="23"/>
          <w:szCs w:val="23"/>
        </w:rPr>
        <w:softHyphen/>
      </w:r>
      <w:r w:rsidRPr="00327F9E">
        <w:rPr>
          <w:rFonts w:hint="cs"/>
          <w:sz w:val="23"/>
          <w:szCs w:val="23"/>
          <w:rtl/>
        </w:rPr>
        <w:t>ترتيب منحني فيليپس همراه با انتظارات را در مدل خود جاي داده و به الگوسازي بر اساس انتظارات تطبیقي، كه در آن برون‌يابي بر اساس نرخ</w:t>
      </w:r>
      <w:r w:rsidRPr="00327F9E">
        <w:rPr>
          <w:rFonts w:hint="cs"/>
          <w:sz w:val="23"/>
          <w:szCs w:val="23"/>
          <w:rtl/>
        </w:rPr>
        <w:softHyphen/>
        <w:t>هاي گذشته و قبلي تورم صورت مي‌گرفت، پرداختند.</w:t>
      </w:r>
    </w:p>
    <w:p w14:paraId="2E07D653" w14:textId="77777777" w:rsidR="00411620" w:rsidRPr="00327F9E" w:rsidRDefault="00411620" w:rsidP="00411620">
      <w:pPr>
        <w:spacing w:line="216" w:lineRule="auto"/>
        <w:rPr>
          <w:sz w:val="23"/>
          <w:szCs w:val="23"/>
          <w:rtl/>
        </w:rPr>
      </w:pPr>
      <w:r w:rsidRPr="00327F9E">
        <w:rPr>
          <w:rFonts w:hint="cs"/>
          <w:sz w:val="23"/>
          <w:szCs w:val="23"/>
          <w:rtl/>
        </w:rPr>
        <w:t>اقتصاد كلان كلاسيك جدید، که چارچوب شالوده‌هاي خرد مبتني بر تعادل عمومي آن را لوكاس و راپينگ ارائه کرده بودند هنگامي با رشد قابل ملاحظه مواجه شد كه لوكاس فرضيه‌ی انتظارات عقلاییِ ماث</w:t>
      </w:r>
      <w:r w:rsidRPr="00327F9E">
        <w:rPr>
          <w:rStyle w:val="FootnoteReference"/>
          <w:sz w:val="23"/>
          <w:szCs w:val="23"/>
          <w:rtl/>
        </w:rPr>
        <w:footnoteReference w:id="8"/>
      </w:r>
      <w:r w:rsidRPr="00327F9E">
        <w:rPr>
          <w:rFonts w:hint="cs"/>
          <w:sz w:val="23"/>
          <w:szCs w:val="23"/>
          <w:rtl/>
        </w:rPr>
        <w:t xml:space="preserve"> را جايگزين انتظارات تطبيقيِ کاگان</w:t>
      </w:r>
      <w:r w:rsidRPr="00327F9E">
        <w:rPr>
          <w:rStyle w:val="FootnoteReference"/>
          <w:sz w:val="23"/>
          <w:szCs w:val="23"/>
          <w:rtl/>
        </w:rPr>
        <w:footnoteReference w:id="9"/>
      </w:r>
      <w:r w:rsidRPr="00327F9E">
        <w:rPr>
          <w:rFonts w:hint="cs"/>
          <w:sz w:val="23"/>
          <w:szCs w:val="23"/>
          <w:rtl/>
        </w:rPr>
        <w:t xml:space="preserve"> نمود.</w:t>
      </w:r>
      <w:r w:rsidRPr="00327F9E">
        <w:rPr>
          <w:rStyle w:val="FootnoteReference"/>
          <w:sz w:val="23"/>
          <w:szCs w:val="23"/>
          <w:rtl/>
        </w:rPr>
        <w:footnoteReference w:id="10"/>
      </w:r>
      <w:r w:rsidRPr="00327F9E">
        <w:rPr>
          <w:rFonts w:hint="cs"/>
          <w:sz w:val="23"/>
          <w:szCs w:val="23"/>
          <w:rtl/>
        </w:rPr>
        <w:t xml:space="preserve"> ماث چنين استدلال كرد كه انتظارات تطبیقی نامعقول است. زيرا مكانيزم برون</w:t>
      </w:r>
      <w:r w:rsidRPr="00327F9E">
        <w:rPr>
          <w:rFonts w:hint="cs"/>
          <w:sz w:val="23"/>
          <w:szCs w:val="23"/>
          <w:rtl/>
        </w:rPr>
        <w:softHyphen/>
        <w:t>یابی بر اساس نرخ</w:t>
      </w:r>
      <w:r w:rsidRPr="00327F9E">
        <w:rPr>
          <w:rFonts w:hint="cs"/>
          <w:sz w:val="23"/>
          <w:szCs w:val="23"/>
          <w:rtl/>
        </w:rPr>
        <w:softHyphen/>
        <w:t>های گذشته و قبلی، كارگزاران و عوامل اقتصادي را بر آن مي</w:t>
      </w:r>
      <w:r w:rsidRPr="00327F9E">
        <w:rPr>
          <w:rFonts w:hint="cs"/>
          <w:sz w:val="23"/>
          <w:szCs w:val="23"/>
          <w:rtl/>
        </w:rPr>
        <w:softHyphen/>
        <w:t>دارد تا خطاهاي سيستماتيك و نظام‌مند را هميشه به یاد داشته و در نتيجه تصحيح</w:t>
      </w:r>
      <w:r w:rsidRPr="00327F9E">
        <w:rPr>
          <w:rFonts w:hint="cs"/>
          <w:sz w:val="23"/>
          <w:szCs w:val="23"/>
          <w:rtl/>
        </w:rPr>
        <w:softHyphen/>
        <w:t>پذيري در هنگام شكل بخشيدن به انتظارات پیوسته و دائمی باشد. در عوض، ماث پيشنهاد نمود كه رفتار انسان</w:t>
      </w:r>
      <w:r w:rsidRPr="00327F9E">
        <w:rPr>
          <w:rFonts w:hint="cs"/>
          <w:sz w:val="23"/>
          <w:szCs w:val="23"/>
          <w:rtl/>
        </w:rPr>
        <w:softHyphen/>
        <w:t>ها بايد چنان الگوسازي شود كه انتظاراتشان درست همان چيزي باشد كه مدل مورد نظر پيش‌بيني مي‌كند. بنابراين انتظارات بايد با الگوي مورد نظر سازگاري داشته، و تا رسيدن به يك خطاي سريال ناهمبسته‌ی ديگر، دقيق باشد. به تعبيري خطاهاي سيستماتيك و نظام‌مند در شكل</w:t>
      </w:r>
      <w:r w:rsidRPr="00327F9E">
        <w:rPr>
          <w:rFonts w:hint="cs"/>
          <w:sz w:val="23"/>
          <w:szCs w:val="23"/>
          <w:rtl/>
        </w:rPr>
        <w:softHyphen/>
        <w:t xml:space="preserve">گيري انتظارات وجود نداشته باشد. </w:t>
      </w:r>
    </w:p>
    <w:p w14:paraId="7DB5E705" w14:textId="77777777" w:rsidR="00411620" w:rsidRPr="00327F9E" w:rsidRDefault="00411620" w:rsidP="00411620">
      <w:pPr>
        <w:spacing w:line="216" w:lineRule="auto"/>
        <w:rPr>
          <w:sz w:val="23"/>
          <w:szCs w:val="23"/>
          <w:rtl/>
        </w:rPr>
      </w:pPr>
      <w:r w:rsidRPr="00327F9E">
        <w:rPr>
          <w:rFonts w:hint="cs"/>
          <w:sz w:val="23"/>
          <w:szCs w:val="23"/>
          <w:rtl/>
        </w:rPr>
        <w:t>دو جنبه يا ويژگي مهم اقتصاد كلان كلاسيك جدید عبارت است از:</w:t>
      </w:r>
    </w:p>
    <w:p w14:paraId="466CA5D9" w14:textId="77777777" w:rsidR="00411620" w:rsidRPr="00327F9E" w:rsidRDefault="00411620" w:rsidP="00411620">
      <w:pPr>
        <w:spacing w:line="216" w:lineRule="auto"/>
        <w:ind w:left="7"/>
        <w:rPr>
          <w:sz w:val="23"/>
          <w:szCs w:val="23"/>
          <w:rtl/>
        </w:rPr>
      </w:pPr>
      <w:r w:rsidRPr="00327F9E">
        <w:rPr>
          <w:rFonts w:hint="cs"/>
          <w:sz w:val="23"/>
          <w:szCs w:val="23"/>
          <w:rtl/>
        </w:rPr>
        <w:t>اول، لوكاس</w:t>
      </w:r>
      <w:r w:rsidRPr="00327F9E">
        <w:rPr>
          <w:rStyle w:val="FootnoteReference"/>
          <w:sz w:val="23"/>
          <w:szCs w:val="23"/>
          <w:rtl/>
        </w:rPr>
        <w:footnoteReference w:id="11"/>
      </w:r>
      <w:r w:rsidRPr="00327F9E">
        <w:rPr>
          <w:rFonts w:hint="cs"/>
          <w:sz w:val="23"/>
          <w:szCs w:val="23"/>
          <w:rtl/>
        </w:rPr>
        <w:t xml:space="preserve"> مسير تجزيه و تحليل سياست</w:t>
      </w:r>
      <w:r w:rsidRPr="00327F9E">
        <w:rPr>
          <w:rFonts w:hint="cs"/>
          <w:sz w:val="23"/>
          <w:szCs w:val="23"/>
          <w:rtl/>
        </w:rPr>
        <w:softHyphen/>
        <w:t>ها را از اعمال يك سياست واحد، به قواعد ناظر بر سياست</w:t>
      </w:r>
      <w:r w:rsidRPr="00327F9E">
        <w:rPr>
          <w:rFonts w:hint="cs"/>
          <w:sz w:val="23"/>
          <w:szCs w:val="23"/>
          <w:rtl/>
        </w:rPr>
        <w:softHyphen/>
        <w:t>ها معطوف نمود. زيرا هرگونه سياستي، صرفنظر از آنكه تعمداً مبتني بر يك قاعده‌ی خاص بوده باشد يا خير، ممكن است به يك مؤلفه‌ی سيستماتيك و يك مؤلفه‌ی تصادفي تقسيم شود. همان</w:t>
      </w:r>
      <w:r w:rsidRPr="00327F9E">
        <w:rPr>
          <w:rFonts w:hint="cs"/>
          <w:sz w:val="23"/>
          <w:szCs w:val="23"/>
          <w:rtl/>
        </w:rPr>
        <w:softHyphen/>
        <w:t xml:space="preserve">گونه كه ملاحظه مي‌شود، انتظارات، مبتني بر مؤلفه‌ی سيستماتيك بوده و مؤلفه‌ی تصادفي </w:t>
      </w:r>
      <w:r w:rsidRPr="00327F9E">
        <w:rPr>
          <w:rFonts w:hint="cs"/>
          <w:sz w:val="23"/>
          <w:szCs w:val="23"/>
          <w:rtl/>
        </w:rPr>
        <w:lastRenderedPageBreak/>
        <w:t>فقط يك جزء اخلال است. وجود اين اخلال ممكن است كارايي نظام اقتصادي را كاهش دهد و استفاده از آن براي مقاصد سياست‌گذاري مناسب نباشد، زيرا اين اخلال غير سيستماتيك است. لذا تنها مؤلفه‌ی سيستمايك را مي‌توان در تصميمات بهينه‌سازي عوامل يا كارگزاران اقتصادي مورد توجه قرار داد. سياست</w:t>
      </w:r>
      <w:r w:rsidRPr="00327F9E">
        <w:rPr>
          <w:rFonts w:hint="cs"/>
          <w:sz w:val="23"/>
          <w:szCs w:val="23"/>
          <w:rtl/>
        </w:rPr>
        <w:softHyphen/>
        <w:t>گذاران نمي‌توانند تعامل ميان قواعد سياستي وضع شده و رفتار كارگزاران يا عوامل اقتصادی عقلايي را ناديده انگارند و در هنگام طراحي سياست‌هايشان بايد چنين تعاملي را مدنظر قرار دهند.</w:t>
      </w:r>
    </w:p>
    <w:p w14:paraId="51235990" w14:textId="77777777" w:rsidR="00411620" w:rsidRPr="00327F9E" w:rsidRDefault="00411620" w:rsidP="00411620">
      <w:pPr>
        <w:spacing w:line="216" w:lineRule="auto"/>
        <w:ind w:left="7"/>
        <w:rPr>
          <w:sz w:val="23"/>
          <w:szCs w:val="23"/>
        </w:rPr>
      </w:pPr>
      <w:r w:rsidRPr="00327F9E">
        <w:rPr>
          <w:rFonts w:hint="cs"/>
          <w:sz w:val="23"/>
          <w:szCs w:val="23"/>
          <w:rtl/>
        </w:rPr>
        <w:t>دوم،</w:t>
      </w:r>
      <w:r w:rsidRPr="00327F9E">
        <w:rPr>
          <w:sz w:val="23"/>
          <w:szCs w:val="23"/>
        </w:rPr>
        <w:t xml:space="preserve"> </w:t>
      </w:r>
      <w:r w:rsidRPr="00327F9E">
        <w:rPr>
          <w:rFonts w:hint="cs"/>
          <w:sz w:val="23"/>
          <w:szCs w:val="23"/>
          <w:rtl/>
        </w:rPr>
        <w:t>لوكاس</w:t>
      </w:r>
      <w:r w:rsidRPr="00327F9E">
        <w:rPr>
          <w:rStyle w:val="FootnoteReference"/>
          <w:sz w:val="23"/>
          <w:szCs w:val="23"/>
          <w:rtl/>
        </w:rPr>
        <w:footnoteReference w:id="12"/>
      </w:r>
      <w:r w:rsidRPr="00327F9E">
        <w:rPr>
          <w:rFonts w:hint="cs"/>
          <w:sz w:val="23"/>
          <w:szCs w:val="23"/>
          <w:rtl/>
        </w:rPr>
        <w:t xml:space="preserve"> از اهميت تفسير ساختاري در مدل‌هاي اقتصادی كاست. لوكاس علي</w:t>
      </w:r>
      <w:r w:rsidRPr="00327F9E">
        <w:rPr>
          <w:rFonts w:hint="cs"/>
          <w:sz w:val="23"/>
          <w:szCs w:val="23"/>
          <w:rtl/>
        </w:rPr>
        <w:softHyphen/>
        <w:t>رغم تلاش براي فراهم آوردن شالوده‌هاي خُرد مبتني بر بررسي تك</w:t>
      </w:r>
      <w:r w:rsidRPr="00327F9E">
        <w:rPr>
          <w:rFonts w:hint="cs"/>
          <w:sz w:val="23"/>
          <w:szCs w:val="23"/>
          <w:rtl/>
        </w:rPr>
        <w:softHyphen/>
        <w:t>تك معادلات، خاطر نشان ساخت كه فرض انتظارات عقلايي به تنهايي جهت توجه بر تعامل موجود ميان معادلات در حالت تعادل عمومي كفايت مي‌كند. براي مثال اقتصاددانان كينزي، منحني فيليپس را به‌عنوان يك رابطه‌ی ساختاري در نظر مي‌گرفتند، اما لوكاس نشان داد كه ضرايب تورمِ وقفه‌دار، بستگي به نوع و ماهيت‌ سياست</w:t>
      </w:r>
      <w:r w:rsidRPr="00327F9E">
        <w:rPr>
          <w:rFonts w:hint="cs"/>
          <w:sz w:val="23"/>
          <w:szCs w:val="23"/>
          <w:rtl/>
        </w:rPr>
        <w:softHyphen/>
        <w:t>هاي حاكم در اقتصاد دارد. پس هرگاه اين سیاست دستخوش دگرگوني شود، ضرايب فوق الذكر نيز تغيير می</w:t>
      </w:r>
      <w:r w:rsidRPr="00327F9E">
        <w:rPr>
          <w:rFonts w:hint="cs"/>
          <w:sz w:val="23"/>
          <w:szCs w:val="23"/>
          <w:rtl/>
        </w:rPr>
        <w:softHyphen/>
        <w:t>كنند. اين نكته همان چيزي است كه بعدها به نقد لوكاس</w:t>
      </w:r>
      <w:r w:rsidRPr="00327F9E">
        <w:rPr>
          <w:rStyle w:val="FootnoteReference"/>
          <w:sz w:val="23"/>
          <w:szCs w:val="23"/>
          <w:rtl/>
        </w:rPr>
        <w:footnoteReference w:id="13"/>
      </w:r>
      <w:r w:rsidRPr="00327F9E">
        <w:rPr>
          <w:rFonts w:hint="cs"/>
          <w:sz w:val="23"/>
          <w:szCs w:val="23"/>
          <w:rtl/>
        </w:rPr>
        <w:t xml:space="preserve"> معروف شد، و وی آن را در مقاله‌ی خود در سال ۱۹۷۶تحت عنوان "ارزيابي سياست‌ها از ديدگاه اقتصادسنجي: و نقد آن" ارائه نمود.</w:t>
      </w:r>
      <w:r w:rsidRPr="00327F9E">
        <w:rPr>
          <w:rStyle w:val="FootnoteReference"/>
          <w:sz w:val="23"/>
          <w:szCs w:val="23"/>
          <w:rtl/>
        </w:rPr>
        <w:footnoteReference w:id="14"/>
      </w:r>
      <w:r w:rsidRPr="00327F9E">
        <w:rPr>
          <w:rFonts w:hint="cs"/>
          <w:sz w:val="23"/>
          <w:szCs w:val="23"/>
          <w:rtl/>
        </w:rPr>
        <w:t xml:space="preserve"> </w:t>
      </w:r>
    </w:p>
    <w:p w14:paraId="542FBA16" w14:textId="77777777" w:rsidR="00411620" w:rsidRPr="00327F9E" w:rsidRDefault="00411620" w:rsidP="00411620">
      <w:pPr>
        <w:spacing w:line="216" w:lineRule="auto"/>
        <w:rPr>
          <w:sz w:val="23"/>
          <w:szCs w:val="23"/>
        </w:rPr>
      </w:pPr>
      <w:r w:rsidRPr="00327F9E">
        <w:rPr>
          <w:rFonts w:hint="cs"/>
          <w:sz w:val="23"/>
          <w:szCs w:val="23"/>
          <w:rtl/>
        </w:rPr>
        <w:t>در مقاله‌ی لوکاس استفاده از ‌مدل‌هاي اقتصادی جهت اهداف تجزيه و تحليل سياست‌ها مورد انتقاد جدي قرار گرفت. استدلال مشهور لوكاس را مي‌توان به اين شكل بيان كرد: رويكرد سنتي، پارامترهايِ ناظر بر تصميم‌گيريِ كارگزاران اقتصادي را تخمين مي‌زند. اگر اين كارگزاران تصميمات خود را براساس انتظاراتشان از پيامد‌هاي آينده‌ی متغير‌هاي اقتصادي شكل دهند، آنگاه پارامتر‌هاي مدل، تابعی از پارامتر‌هاي توابع هدفِ كارگزاران و متغير‌هاي سياستي خواهند بود. بنابراين، پارامتر‌هاي ناظر بر تصميم‌گيريِ كارگزاران، هنگام مواجهه با تغييرات حاصله در سياست‌‌هاي دولت ثابت نخواهد ماند، و لذا، استفاده از سیاست های اقتصادی براي بررسي اثرات متغير‌هاي سياستي گمراه كننده خواهد بود.</w:t>
      </w:r>
    </w:p>
    <w:p w14:paraId="4602B07D" w14:textId="77777777" w:rsidR="00411620" w:rsidRPr="00327F9E" w:rsidRDefault="00411620" w:rsidP="00411620">
      <w:pPr>
        <w:spacing w:line="216" w:lineRule="auto"/>
        <w:ind w:left="37"/>
        <w:rPr>
          <w:sz w:val="23"/>
          <w:szCs w:val="23"/>
        </w:rPr>
      </w:pPr>
      <w:r w:rsidRPr="00327F9E">
        <w:rPr>
          <w:rFonts w:hint="cs"/>
          <w:sz w:val="23"/>
          <w:szCs w:val="23"/>
          <w:rtl/>
        </w:rPr>
        <w:t>شايد بتوان گفت مقاله‌ی لوكاس در سال ۱۹۷۶ مهم‌ترين مقاله‌ی منتشره در اقتصاد كلان در طول تقريباً یکصد سال اخير باشد و بيشترين ارجاعات نيز بدآن شده و بي شك نقش كليدي در سازماندهي مطالب اقتصاد كلان</w:t>
      </w:r>
      <w:r w:rsidRPr="00327F9E">
        <w:rPr>
          <w:rFonts w:hint="cs"/>
          <w:sz w:val="23"/>
          <w:szCs w:val="23"/>
          <w:rtl/>
        </w:rPr>
        <w:softHyphen/>
        <w:t xml:space="preserve"> پس از آن ايفا نموده است. </w:t>
      </w:r>
    </w:p>
    <w:p w14:paraId="703984B9" w14:textId="77777777" w:rsidR="00411620" w:rsidRPr="00327F9E" w:rsidRDefault="00411620" w:rsidP="00411620">
      <w:pPr>
        <w:spacing w:line="216" w:lineRule="auto"/>
        <w:ind w:left="37"/>
        <w:rPr>
          <w:sz w:val="23"/>
          <w:szCs w:val="23"/>
          <w:rtl/>
        </w:rPr>
      </w:pPr>
      <w:r w:rsidRPr="00327F9E">
        <w:rPr>
          <w:rFonts w:hint="cs"/>
          <w:sz w:val="23"/>
          <w:szCs w:val="23"/>
          <w:rtl/>
        </w:rPr>
        <w:t>با توجه به نقد لوکاس از روش سنتي در شكل ساختاري</w:t>
      </w:r>
      <w:r w:rsidRPr="00327F9E">
        <w:rPr>
          <w:rStyle w:val="FootnoteReference"/>
          <w:sz w:val="23"/>
          <w:szCs w:val="23"/>
          <w:rtl/>
        </w:rPr>
        <w:footnoteReference w:id="15"/>
      </w:r>
      <w:r w:rsidRPr="00327F9E">
        <w:rPr>
          <w:rFonts w:hint="cs"/>
          <w:sz w:val="23"/>
          <w:szCs w:val="23"/>
          <w:rtl/>
        </w:rPr>
        <w:t xml:space="preserve"> يا تقليل</w:t>
      </w:r>
      <w:r w:rsidRPr="00327F9E">
        <w:rPr>
          <w:rFonts w:hint="cs"/>
          <w:sz w:val="23"/>
          <w:szCs w:val="23"/>
          <w:rtl/>
        </w:rPr>
        <w:softHyphen/>
        <w:t>يافته؛</w:t>
      </w:r>
      <w:r w:rsidRPr="00327F9E">
        <w:rPr>
          <w:rStyle w:val="FootnoteReference"/>
          <w:sz w:val="23"/>
          <w:szCs w:val="23"/>
          <w:rtl/>
        </w:rPr>
        <w:footnoteReference w:id="16"/>
      </w:r>
      <w:r w:rsidRPr="00327F9E">
        <w:rPr>
          <w:rFonts w:hint="cs"/>
          <w:sz w:val="23"/>
          <w:szCs w:val="23"/>
          <w:rtl/>
        </w:rPr>
        <w:t xml:space="preserve"> ديدگاه</w:t>
      </w:r>
      <w:r w:rsidRPr="00327F9E">
        <w:rPr>
          <w:rFonts w:hint="cs"/>
          <w:sz w:val="23"/>
          <w:szCs w:val="23"/>
          <w:rtl/>
        </w:rPr>
        <w:softHyphen/>
        <w:t>هاي جديد و به تبع آن روش‌هاي نويني در حوزه‌ی اقتصاد كلان</w:t>
      </w:r>
      <w:r w:rsidRPr="00327F9E">
        <w:rPr>
          <w:rFonts w:hint="cs"/>
          <w:sz w:val="23"/>
          <w:szCs w:val="23"/>
          <w:rtl/>
        </w:rPr>
        <w:softHyphen/>
        <w:t xml:space="preserve"> جهت ارزيابي نظريات اقتصادي، دقت پيش‌بينيِ </w:t>
      </w:r>
      <w:r w:rsidRPr="00327F9E">
        <w:rPr>
          <w:rFonts w:hint="cs"/>
          <w:sz w:val="23"/>
          <w:szCs w:val="23"/>
          <w:rtl/>
        </w:rPr>
        <w:lastRenderedPageBreak/>
        <w:t xml:space="preserve">متغير‌هاي آن و اندازه‌گيري تأثيرگذاري سياست‌‌هاي اقتصادي و كنترل متغير‌هاي اقتصادي بوجود آمد. </w:t>
      </w:r>
    </w:p>
    <w:p w14:paraId="69A59AD3" w14:textId="77777777" w:rsidR="00411620" w:rsidRPr="00327F9E" w:rsidRDefault="00411620" w:rsidP="00411620">
      <w:pPr>
        <w:spacing w:line="216" w:lineRule="auto"/>
        <w:rPr>
          <w:sz w:val="23"/>
          <w:szCs w:val="23"/>
        </w:rPr>
      </w:pPr>
      <w:r w:rsidRPr="00327F9E">
        <w:rPr>
          <w:rFonts w:hint="cs"/>
          <w:sz w:val="23"/>
          <w:szCs w:val="23"/>
          <w:rtl/>
        </w:rPr>
        <w:t>لارس پيتر هانسن و سارجنت</w:t>
      </w:r>
      <w:r w:rsidRPr="00327F9E">
        <w:rPr>
          <w:sz w:val="23"/>
          <w:szCs w:val="23"/>
        </w:rPr>
        <w:t xml:space="preserve"> </w:t>
      </w:r>
      <w:r w:rsidRPr="00327F9E">
        <w:rPr>
          <w:rStyle w:val="FootnoteReference"/>
          <w:sz w:val="23"/>
          <w:szCs w:val="23"/>
        </w:rPr>
        <w:footnoteReference w:id="17"/>
      </w:r>
      <w:r w:rsidRPr="00327F9E">
        <w:rPr>
          <w:rFonts w:hint="cs"/>
          <w:sz w:val="23"/>
          <w:szCs w:val="23"/>
          <w:rtl/>
        </w:rPr>
        <w:t>و توماس سارجنت</w:t>
      </w:r>
      <w:r w:rsidRPr="00327F9E">
        <w:rPr>
          <w:sz w:val="23"/>
          <w:szCs w:val="23"/>
        </w:rPr>
        <w:t xml:space="preserve"> </w:t>
      </w:r>
      <w:r w:rsidRPr="00327F9E">
        <w:rPr>
          <w:rStyle w:val="FootnoteReference"/>
          <w:sz w:val="23"/>
          <w:szCs w:val="23"/>
        </w:rPr>
        <w:footnoteReference w:id="18"/>
      </w:r>
      <w:r w:rsidRPr="00327F9E">
        <w:rPr>
          <w:rFonts w:hint="cs"/>
          <w:sz w:val="23"/>
          <w:szCs w:val="23"/>
          <w:rtl/>
        </w:rPr>
        <w:t>را مي‌توان از اولین مدافعين برنامه‌اي تلقي كرد كه مي‌كوشد در عمل، مدل‌هاي اقتصادی را از نقد لوكاس مصون دارد. آنها با توسعه و تدوين تمام عيار پي</w:t>
      </w:r>
      <w:r w:rsidRPr="00327F9E">
        <w:rPr>
          <w:rFonts w:hint="cs"/>
          <w:sz w:val="23"/>
          <w:szCs w:val="23"/>
          <w:rtl/>
        </w:rPr>
        <w:softHyphen/>
        <w:t xml:space="preserve">آمدها و نتايج شالوده‌هاي خُرد و اعمال نوآوري‌هايي در فنون، به بررسي رفتار قيود يا محدوديت‌هاي غيرخطي در معادلات مختلف يك دستگاه معادلات اقتصادی خاص </w:t>
      </w:r>
      <w:r w:rsidRPr="00327F9E">
        <w:rPr>
          <w:rFonts w:hint="cs"/>
          <w:sz w:val="23"/>
          <w:szCs w:val="23"/>
          <w:rtl/>
        </w:rPr>
        <w:softHyphen/>
        <w:t xml:space="preserve">پرداختند. </w:t>
      </w:r>
    </w:p>
    <w:p w14:paraId="113186F8" w14:textId="77777777" w:rsidR="00411620" w:rsidRPr="00327F9E" w:rsidRDefault="00411620" w:rsidP="00411620">
      <w:pPr>
        <w:spacing w:line="216" w:lineRule="auto"/>
        <w:rPr>
          <w:sz w:val="23"/>
          <w:szCs w:val="23"/>
          <w:rtl/>
        </w:rPr>
      </w:pPr>
      <w:r w:rsidRPr="00327F9E">
        <w:rPr>
          <w:rFonts w:hint="cs"/>
          <w:sz w:val="23"/>
          <w:szCs w:val="23"/>
          <w:rtl/>
        </w:rPr>
        <w:t>از طرفی كريستوفر سيمز</w:t>
      </w:r>
      <w:r w:rsidRPr="00327F9E">
        <w:rPr>
          <w:rStyle w:val="FootnoteReference"/>
          <w:sz w:val="23"/>
          <w:szCs w:val="23"/>
          <w:rtl/>
        </w:rPr>
        <w:footnoteReference w:id="19"/>
      </w:r>
      <w:r w:rsidRPr="00327F9E">
        <w:rPr>
          <w:rFonts w:hint="cs"/>
          <w:sz w:val="23"/>
          <w:szCs w:val="23"/>
          <w:rtl/>
        </w:rPr>
        <w:t xml:space="preserve"> در مقاله‌ی خود تحت عنوان "اقتصاد كلان و واقعيت" چنين استدلال نمود كه برنامه‌ی كميسيون كولز هنگامي با شكست مواجه مي‌شود كه به بررسي مدل‌هاي بزرگ اقتصاد كلان بپردازد. مطابق نظر وی، اقتصاد</w:t>
      </w:r>
      <w:r w:rsidRPr="00327F9E">
        <w:rPr>
          <w:rFonts w:hint="cs"/>
          <w:sz w:val="23"/>
          <w:szCs w:val="23"/>
          <w:rtl/>
        </w:rPr>
        <w:softHyphen/>
        <w:t>دانان محدوديت‌هاي بسيار زيادي را در مدل‌ها وارد مي‌سازند كه نادرست يا فاقد اعتبار</w:t>
      </w:r>
      <w:r w:rsidRPr="00327F9E">
        <w:rPr>
          <w:sz w:val="23"/>
          <w:szCs w:val="23"/>
        </w:rPr>
        <w:t xml:space="preserve"> </w:t>
      </w:r>
      <w:r w:rsidRPr="00327F9E">
        <w:rPr>
          <w:rFonts w:hint="cs"/>
          <w:sz w:val="23"/>
          <w:szCs w:val="23"/>
          <w:rtl/>
        </w:rPr>
        <w:t>هستند. به اين معنا كه اين محدوديت</w:t>
      </w:r>
      <w:r w:rsidRPr="00327F9E">
        <w:rPr>
          <w:rFonts w:hint="cs"/>
          <w:sz w:val="23"/>
          <w:szCs w:val="23"/>
          <w:rtl/>
        </w:rPr>
        <w:softHyphen/>
        <w:t>ها برآمده از يك نظريه‌ی مستحكم اقتصادي يا دانش واقعي و نهادين نيست، بلكه صرفاً از ضرورت بكارگيري قيود كافي براي تضمين شناسایی مدل از سوي آن</w:t>
      </w:r>
      <w:r w:rsidRPr="00327F9E">
        <w:rPr>
          <w:rFonts w:hint="cs"/>
          <w:sz w:val="23"/>
          <w:szCs w:val="23"/>
          <w:rtl/>
        </w:rPr>
        <w:softHyphen/>
        <w:t>ها ناشي مي‌شود. سيمز در آن مقاله ادعا می</w:t>
      </w:r>
      <w:r w:rsidRPr="00327F9E">
        <w:rPr>
          <w:rFonts w:hint="cs"/>
          <w:sz w:val="23"/>
          <w:szCs w:val="23"/>
          <w:rtl/>
        </w:rPr>
        <w:softHyphen/>
        <w:t>نماید كه اقتصاد كلان،</w:t>
      </w:r>
      <w:r w:rsidRPr="00327F9E">
        <w:rPr>
          <w:rFonts w:hint="cs"/>
          <w:sz w:val="23"/>
          <w:szCs w:val="23"/>
          <w:rtl/>
        </w:rPr>
        <w:softHyphen/>
        <w:t xml:space="preserve"> رسالت خود را براي شناسایی مدل‌هاي ساختاري كنار گذاشته و در عوض فقط به اين پرسش پاسخ مي</w:t>
      </w:r>
      <w:r w:rsidRPr="00327F9E">
        <w:rPr>
          <w:rFonts w:hint="cs"/>
          <w:sz w:val="23"/>
          <w:szCs w:val="23"/>
          <w:rtl/>
        </w:rPr>
        <w:softHyphen/>
        <w:t>دهد كه بدون برقرار بودن محدوديت‌هاي فوق‌الذكر، چه نكاتي را مي‌توان از داده‌هاي اقتصاد كلان آموخت. در این حالت بود که سیمز از بكار‌گيري ‌مدل‌هاي خودرگرسيوني</w:t>
      </w:r>
      <w:r w:rsidRPr="00327F9E">
        <w:rPr>
          <w:rFonts w:hint="cs"/>
          <w:sz w:val="23"/>
          <w:szCs w:val="23"/>
          <w:rtl/>
        </w:rPr>
        <w:softHyphen/>
        <w:t xml:space="preserve"> برداري، </w:t>
      </w:r>
      <w:r w:rsidRPr="00327F9E">
        <w:rPr>
          <w:sz w:val="23"/>
          <w:szCs w:val="23"/>
        </w:rPr>
        <w:t>VAR</w:t>
      </w:r>
      <w:r w:rsidRPr="00327F9E">
        <w:rPr>
          <w:rFonts w:hint="cs"/>
          <w:sz w:val="23"/>
          <w:szCs w:val="23"/>
          <w:rtl/>
        </w:rPr>
        <w:t>،</w:t>
      </w:r>
      <w:r w:rsidRPr="00327F9E">
        <w:rPr>
          <w:rStyle w:val="FootnoteReference"/>
          <w:sz w:val="23"/>
          <w:szCs w:val="23"/>
          <w:rtl/>
        </w:rPr>
        <w:footnoteReference w:id="20"/>
      </w:r>
      <w:r w:rsidRPr="00327F9E">
        <w:rPr>
          <w:rFonts w:hint="cs"/>
          <w:sz w:val="23"/>
          <w:szCs w:val="23"/>
          <w:rtl/>
        </w:rPr>
        <w:t xml:space="preserve"> يعني دستگاهي از معادلاتِ شکل خلاصه شده با توابع ضربه-پاسخ</w:t>
      </w:r>
      <w:r w:rsidRPr="00327F9E">
        <w:rPr>
          <w:rStyle w:val="FootnoteReference"/>
          <w:sz w:val="23"/>
          <w:szCs w:val="23"/>
          <w:rtl/>
        </w:rPr>
        <w:footnoteReference w:id="21"/>
      </w:r>
      <w:r w:rsidRPr="00327F9E">
        <w:rPr>
          <w:rFonts w:hint="cs"/>
          <w:sz w:val="23"/>
          <w:szCs w:val="23"/>
          <w:rtl/>
        </w:rPr>
        <w:t xml:space="preserve"> دفاع مي‌كند، كه بزعم وي مي‌تواند ويژگي داده‌ها را بر اساس سري‌هاي زماني به نمايش گذاشته و در عين حال، از اتكاء بر محدوديت‌‌هاي نامعقول شناسایی پارامترها كه ويژگي الگو‌هاي سيستم معادلات همزمانِ ساختاريِ كمسيون كولز است خودداري نمايد. ظاهراً سيمز براي پاسخ‌گويي به نقد لوكاس ابتدا آن را ناديده گرفته است، ولي در واقع پاسخ او در سال</w:t>
      </w:r>
      <w:r w:rsidRPr="00327F9E">
        <w:rPr>
          <w:rFonts w:hint="cs"/>
          <w:sz w:val="23"/>
          <w:szCs w:val="23"/>
          <w:rtl/>
        </w:rPr>
        <w:softHyphen/>
        <w:t>هاي ۱۹۸۲ و ۱۹۸۶ خاطر نشان كرد كه نقد لوكاس اصولاً درست و معتبر است ولي وقوع تغييرات واقعي و مطلوب در نظام مورد بررسي به ندرت حادث مي‌شوند.</w:t>
      </w:r>
      <w:r w:rsidRPr="00327F9E">
        <w:rPr>
          <w:rStyle w:val="FootnoteReference"/>
          <w:sz w:val="23"/>
          <w:szCs w:val="23"/>
          <w:rtl/>
        </w:rPr>
        <w:footnoteReference w:id="22"/>
      </w:r>
      <w:r w:rsidRPr="00327F9E">
        <w:rPr>
          <w:rFonts w:hint="cs"/>
          <w:sz w:val="23"/>
          <w:szCs w:val="23"/>
          <w:rtl/>
        </w:rPr>
        <w:t xml:space="preserve"> اين بدان علت است كه كارگزاران يا عوامل اقتصادي كه داراي انتظارات عقلايي باشند، قادر به فهم گزينه‌هايي هستند كه روياروي سياست</w:t>
      </w:r>
      <w:r w:rsidRPr="00327F9E">
        <w:rPr>
          <w:rFonts w:hint="cs"/>
          <w:sz w:val="23"/>
          <w:szCs w:val="23"/>
          <w:rtl/>
        </w:rPr>
        <w:softHyphen/>
        <w:t>گذاران قرار داشته و در نتيجه توزيع‌هاي احتمالي در طول طيف وضعيت‌هاي محتمل يا ممكن سياستي تشكيل مي‌دهند. بدين</w:t>
      </w:r>
      <w:r w:rsidRPr="00327F9E">
        <w:rPr>
          <w:rFonts w:hint="cs"/>
          <w:sz w:val="23"/>
          <w:szCs w:val="23"/>
          <w:rtl/>
        </w:rPr>
        <w:softHyphen/>
        <w:t>ترتيب، آنچه علي</w:t>
      </w:r>
      <w:r w:rsidRPr="00327F9E">
        <w:rPr>
          <w:rFonts w:hint="cs"/>
          <w:sz w:val="23"/>
          <w:szCs w:val="23"/>
          <w:rtl/>
        </w:rPr>
        <w:softHyphen/>
        <w:t>الظاهر تغييرات مختلف در نظام اقتصادي است، در واقع عبارت است از برداشت‌هاي معين و خاصي از توزيع‌هاي احتمالات كه پيشاپيش در قالب مسائل بهينه</w:t>
      </w:r>
      <w:r w:rsidRPr="00327F9E">
        <w:rPr>
          <w:rFonts w:hint="cs"/>
          <w:sz w:val="23"/>
          <w:szCs w:val="23"/>
          <w:rtl/>
        </w:rPr>
        <w:softHyphen/>
        <w:t>سازي پيش</w:t>
      </w:r>
      <w:r w:rsidRPr="00327F9E">
        <w:rPr>
          <w:rFonts w:hint="cs"/>
          <w:sz w:val="23"/>
          <w:szCs w:val="23"/>
          <w:rtl/>
        </w:rPr>
        <w:softHyphen/>
        <w:t xml:space="preserve">روي كارگزاران منفرد اقتصادي قرار گرفته‌اند. هر تغيير واقعي در نظام مورد نظر ممكن است برابر تغيير در كل توزيع باشد. اما وقوع چنين تغييرات نادر است. </w:t>
      </w:r>
    </w:p>
    <w:p w14:paraId="3413844D" w14:textId="77777777" w:rsidR="00411620" w:rsidRPr="00327F9E" w:rsidRDefault="00411620" w:rsidP="00411620">
      <w:pPr>
        <w:spacing w:line="216" w:lineRule="auto"/>
        <w:rPr>
          <w:sz w:val="23"/>
          <w:szCs w:val="23"/>
          <w:rtl/>
        </w:rPr>
      </w:pPr>
      <w:r w:rsidRPr="00327F9E">
        <w:rPr>
          <w:rFonts w:hint="cs"/>
          <w:sz w:val="23"/>
          <w:szCs w:val="23"/>
          <w:rtl/>
        </w:rPr>
        <w:lastRenderedPageBreak/>
        <w:t>برنامه‌ی سيمز براي ارایه‌ی مدل خودرگرسيونی برداري از سوي كولي و لی</w:t>
      </w:r>
      <w:r w:rsidRPr="00327F9E">
        <w:rPr>
          <w:sz w:val="23"/>
          <w:szCs w:val="23"/>
          <w:rtl/>
        </w:rPr>
        <w:softHyphen/>
      </w:r>
      <w:r w:rsidRPr="00327F9E">
        <w:rPr>
          <w:rFonts w:hint="cs"/>
          <w:sz w:val="23"/>
          <w:szCs w:val="23"/>
          <w:rtl/>
        </w:rPr>
        <w:t>روي</w:t>
      </w:r>
      <w:r w:rsidRPr="00327F9E">
        <w:rPr>
          <w:rStyle w:val="FootnoteReference"/>
          <w:sz w:val="23"/>
          <w:szCs w:val="23"/>
          <w:rtl/>
        </w:rPr>
        <w:footnoteReference w:id="23"/>
      </w:r>
      <w:r w:rsidRPr="00327F9E">
        <w:rPr>
          <w:rFonts w:hint="cs"/>
          <w:sz w:val="23"/>
          <w:szCs w:val="23"/>
          <w:rtl/>
        </w:rPr>
        <w:t xml:space="preserve"> و ليمر</w:t>
      </w:r>
      <w:r w:rsidRPr="00327F9E">
        <w:rPr>
          <w:rStyle w:val="FootnoteReference"/>
          <w:sz w:val="23"/>
          <w:szCs w:val="23"/>
          <w:rtl/>
        </w:rPr>
        <w:footnoteReference w:id="24"/>
      </w:r>
      <w:r w:rsidRPr="00327F9E">
        <w:rPr>
          <w:rFonts w:hint="cs"/>
          <w:sz w:val="23"/>
          <w:szCs w:val="23"/>
          <w:rtl/>
        </w:rPr>
        <w:t xml:space="preserve"> مورد انتقاد قرار گرفت. آن</w:t>
      </w:r>
      <w:r w:rsidRPr="00327F9E">
        <w:rPr>
          <w:rFonts w:hint="cs"/>
          <w:sz w:val="23"/>
          <w:szCs w:val="23"/>
          <w:rtl/>
        </w:rPr>
        <w:softHyphen/>
        <w:t>ها خاطر نشان ساختند كه بدون طرح مفروضات ساختاري ضمني، هيچ</w:t>
      </w:r>
      <w:r w:rsidRPr="00327F9E">
        <w:rPr>
          <w:rFonts w:hint="cs"/>
          <w:sz w:val="23"/>
          <w:szCs w:val="23"/>
          <w:rtl/>
        </w:rPr>
        <w:softHyphen/>
        <w:t>گونه روابط واحد و منحصر به فرد با تفسيري از رفتار توابع ضربه-پاسخ ممكن نخواهد بود. لذا در سال ۱۹۸۶ سيمز عملاً اين نكته را مي‌پذيرد و به بررسي آن دسته از مدل</w:t>
      </w:r>
      <w:r w:rsidRPr="00327F9E">
        <w:rPr>
          <w:rFonts w:hint="cs"/>
          <w:sz w:val="23"/>
          <w:szCs w:val="23"/>
          <w:rtl/>
        </w:rPr>
        <w:softHyphen/>
        <w:t xml:space="preserve">هاي </w:t>
      </w:r>
      <w:r w:rsidRPr="00327F9E">
        <w:rPr>
          <w:sz w:val="23"/>
          <w:szCs w:val="23"/>
        </w:rPr>
        <w:t>VAR</w:t>
      </w:r>
      <w:r w:rsidRPr="00327F9E">
        <w:rPr>
          <w:rFonts w:hint="cs"/>
          <w:sz w:val="23"/>
          <w:szCs w:val="23"/>
          <w:rtl/>
        </w:rPr>
        <w:t xml:space="preserve"> مي‌پردازد كه در آن</w:t>
      </w:r>
      <w:r w:rsidRPr="00327F9E">
        <w:rPr>
          <w:rFonts w:hint="cs"/>
          <w:sz w:val="23"/>
          <w:szCs w:val="23"/>
          <w:rtl/>
        </w:rPr>
        <w:softHyphen/>
        <w:t>ها فروض ضعيف مربوط به تشخیص‌ مدل</w:t>
      </w:r>
      <w:r w:rsidRPr="00327F9E">
        <w:rPr>
          <w:rFonts w:hint="cs"/>
          <w:sz w:val="23"/>
          <w:szCs w:val="23"/>
          <w:rtl/>
        </w:rPr>
        <w:softHyphen/>
        <w:t>ها وجود دارد. این فروض معمولاً تصريحات آن دسته از همبستگي‌هايي است كه قابل قبول و همزمان هستند، و ساختار مناسب و كافي را براي توجيه ارایه</w:t>
      </w:r>
      <w:r w:rsidRPr="00327F9E">
        <w:rPr>
          <w:rFonts w:hint="cs"/>
          <w:sz w:val="23"/>
          <w:szCs w:val="23"/>
          <w:rtl/>
        </w:rPr>
        <w:softHyphen/>
        <w:t>ی تفاسير معقول از مدل</w:t>
      </w:r>
      <w:r w:rsidRPr="00327F9E">
        <w:rPr>
          <w:rFonts w:hint="cs"/>
          <w:sz w:val="23"/>
          <w:szCs w:val="23"/>
          <w:rtl/>
        </w:rPr>
        <w:softHyphen/>
        <w:t xml:space="preserve">هاي </w:t>
      </w:r>
      <w:r w:rsidRPr="00327F9E">
        <w:rPr>
          <w:sz w:val="23"/>
          <w:szCs w:val="23"/>
        </w:rPr>
        <w:t>VAR</w:t>
      </w:r>
      <w:r w:rsidRPr="00327F9E">
        <w:rPr>
          <w:rFonts w:hint="cs"/>
          <w:sz w:val="23"/>
          <w:szCs w:val="23"/>
          <w:rtl/>
        </w:rPr>
        <w:t xml:space="preserve"> فراهم مي‌سازند. این الگوها را الگوهاي </w:t>
      </w:r>
      <w:r w:rsidRPr="00327F9E">
        <w:rPr>
          <w:sz w:val="23"/>
          <w:szCs w:val="23"/>
        </w:rPr>
        <w:t>VAR</w:t>
      </w:r>
      <w:r w:rsidRPr="00327F9E">
        <w:rPr>
          <w:rFonts w:hint="cs"/>
          <w:sz w:val="23"/>
          <w:szCs w:val="23"/>
          <w:rtl/>
        </w:rPr>
        <w:t xml:space="preserve"> ساختاري</w:t>
      </w:r>
      <w:r w:rsidRPr="00327F9E">
        <w:rPr>
          <w:rStyle w:val="FootnoteReference"/>
          <w:sz w:val="23"/>
          <w:szCs w:val="23"/>
          <w:rtl/>
        </w:rPr>
        <w:footnoteReference w:id="25"/>
      </w:r>
      <w:r w:rsidRPr="00327F9E">
        <w:rPr>
          <w:rFonts w:hint="cs"/>
          <w:sz w:val="23"/>
          <w:szCs w:val="23"/>
          <w:rtl/>
        </w:rPr>
        <w:t xml:space="preserve"> می</w:t>
      </w:r>
      <w:r w:rsidRPr="00327F9E">
        <w:rPr>
          <w:rFonts w:hint="cs"/>
          <w:sz w:val="23"/>
          <w:szCs w:val="23"/>
          <w:rtl/>
        </w:rPr>
        <w:softHyphen/>
        <w:t xml:space="preserve">نامند. </w:t>
      </w:r>
    </w:p>
    <w:p w14:paraId="6BC75E41" w14:textId="77777777" w:rsidR="00411620" w:rsidRPr="00327F9E" w:rsidRDefault="00411620" w:rsidP="00411620">
      <w:pPr>
        <w:spacing w:line="216" w:lineRule="auto"/>
        <w:ind w:left="-1"/>
        <w:rPr>
          <w:sz w:val="23"/>
          <w:szCs w:val="23"/>
          <w:rtl/>
        </w:rPr>
      </w:pPr>
      <w:r w:rsidRPr="00327F9E">
        <w:rPr>
          <w:rFonts w:hint="cs"/>
          <w:sz w:val="23"/>
          <w:szCs w:val="23"/>
          <w:rtl/>
        </w:rPr>
        <w:t>از طرفي دیگر رويكرد مدل‌سازي كه در آن، تأكيد بر نظريه‌‌هاي اقتصادي است نه صرف ارزيابي بيش از اندازه‌ی آن با تكنيك‌هاي آماري، با مطالعات كيدلند و پرسكات، آغاز مي‌شود</w:t>
      </w:r>
      <w:r w:rsidRPr="00327F9E">
        <w:rPr>
          <w:rStyle w:val="FootnoteReference"/>
          <w:sz w:val="23"/>
          <w:szCs w:val="23"/>
          <w:rtl/>
        </w:rPr>
        <w:footnoteReference w:id="26"/>
      </w:r>
      <w:r w:rsidRPr="00327F9E">
        <w:rPr>
          <w:rFonts w:hint="cs"/>
          <w:sz w:val="23"/>
          <w:szCs w:val="23"/>
          <w:rtl/>
        </w:rPr>
        <w:t>.</w:t>
      </w:r>
      <w:r w:rsidRPr="00327F9E">
        <w:rPr>
          <w:rStyle w:val="FootnoteReference"/>
          <w:sz w:val="23"/>
          <w:szCs w:val="23"/>
        </w:rPr>
        <w:t xml:space="preserve"> </w:t>
      </w:r>
      <w:r w:rsidRPr="00327F9E">
        <w:rPr>
          <w:rFonts w:hint="cs"/>
          <w:sz w:val="23"/>
          <w:szCs w:val="23"/>
          <w:rtl/>
        </w:rPr>
        <w:t>آن</w:t>
      </w:r>
      <w:r w:rsidRPr="00327F9E">
        <w:rPr>
          <w:rFonts w:hint="cs"/>
          <w:sz w:val="23"/>
          <w:szCs w:val="23"/>
          <w:rtl/>
        </w:rPr>
        <w:softHyphen/>
        <w:t>ها از پيشگامان تجزيه و تحليل چرخه‌هاي واقعي تجاري و اندازه‌گيري و کالیبراسیون پارامترهاي مدل به شمار می</w:t>
      </w:r>
      <w:r w:rsidRPr="00327F9E">
        <w:rPr>
          <w:rFonts w:hint="cs"/>
          <w:sz w:val="23"/>
          <w:szCs w:val="23"/>
          <w:rtl/>
        </w:rPr>
        <w:softHyphen/>
        <w:t>روند. كيدلند و پرسكات ريشه‌هاي اين روش</w:t>
      </w:r>
      <w:r w:rsidRPr="00327F9E">
        <w:rPr>
          <w:rFonts w:hint="cs"/>
          <w:sz w:val="23"/>
          <w:szCs w:val="23"/>
          <w:rtl/>
        </w:rPr>
        <w:softHyphen/>
        <w:t>شناسي را در مطالعات اوليه فريش</w:t>
      </w:r>
      <w:r w:rsidRPr="00327F9E">
        <w:rPr>
          <w:sz w:val="23"/>
          <w:szCs w:val="23"/>
        </w:rPr>
        <w:t xml:space="preserve"> </w:t>
      </w:r>
      <w:r w:rsidRPr="00327F9E">
        <w:rPr>
          <w:rStyle w:val="FootnoteReference"/>
          <w:sz w:val="23"/>
          <w:szCs w:val="23"/>
        </w:rPr>
        <w:footnoteReference w:id="27"/>
      </w:r>
      <w:r w:rsidRPr="00327F9E">
        <w:rPr>
          <w:rFonts w:hint="cs"/>
          <w:sz w:val="23"/>
          <w:szCs w:val="23"/>
          <w:rtl/>
        </w:rPr>
        <w:t xml:space="preserve"> در سال ۱۹۳۳ جستجو مي‌كنند،</w:t>
      </w:r>
      <w:r w:rsidRPr="00327F9E">
        <w:rPr>
          <w:sz w:val="23"/>
          <w:szCs w:val="23"/>
        </w:rPr>
        <w:t xml:space="preserve"> </w:t>
      </w:r>
      <w:r w:rsidRPr="00327F9E">
        <w:rPr>
          <w:rFonts w:hint="cs"/>
          <w:sz w:val="23"/>
          <w:szCs w:val="23"/>
          <w:rtl/>
        </w:rPr>
        <w:t>و سعي دارند مزاياي روش کالیبراسیون را ارائه نمايند. به</w:t>
      </w:r>
      <w:r w:rsidRPr="00327F9E">
        <w:rPr>
          <w:sz w:val="23"/>
          <w:szCs w:val="23"/>
        </w:rPr>
        <w:softHyphen/>
      </w:r>
      <w:r w:rsidRPr="00327F9E">
        <w:rPr>
          <w:rFonts w:hint="cs"/>
          <w:sz w:val="23"/>
          <w:szCs w:val="23"/>
          <w:rtl/>
        </w:rPr>
        <w:t>زعم آن</w:t>
      </w:r>
      <w:r w:rsidRPr="00327F9E">
        <w:rPr>
          <w:rFonts w:hint="cs"/>
          <w:sz w:val="23"/>
          <w:szCs w:val="23"/>
          <w:rtl/>
        </w:rPr>
        <w:softHyphen/>
        <w:t>ها، روش برآورد ساختاري ممكن است در سطح اقتصاد خرد قابل اجرا و مفيد، و در سطح اقتصاد كلان نيز براي جمع‌بندي و بيان مختصر رفتار داده‌ها سودمند واقع شود، اما روش برآورد در سطح اقتصاد كلان نمي‌تواند به طور مستقيم پارامترهاي ساختاري الگوي مورد نظر را اندازه‌گيري كند. به بيان ديگر بكارگيري برنامه‌ی كميسيون كاولز در قلمرو اقتصاد كلان خطايي بيش نخواهد بود. لذا آن</w:t>
      </w:r>
      <w:r w:rsidRPr="00327F9E">
        <w:rPr>
          <w:rFonts w:hint="cs"/>
          <w:sz w:val="23"/>
          <w:szCs w:val="23"/>
          <w:rtl/>
        </w:rPr>
        <w:softHyphen/>
        <w:t>ها پيشنهاد مي‌كنند كه مدل</w:t>
      </w:r>
      <w:r w:rsidRPr="00327F9E">
        <w:rPr>
          <w:rFonts w:hint="cs"/>
          <w:sz w:val="23"/>
          <w:szCs w:val="23"/>
          <w:rtl/>
        </w:rPr>
        <w:softHyphen/>
        <w:t>هاي آرماني از مدل‌هاي اقتصاديي استخراج شود كه شالوده‌هاي خُرد در آن</w:t>
      </w:r>
      <w:r w:rsidRPr="00327F9E">
        <w:rPr>
          <w:rFonts w:hint="cs"/>
          <w:sz w:val="23"/>
          <w:szCs w:val="23"/>
          <w:rtl/>
        </w:rPr>
        <w:softHyphen/>
        <w:t>ها وجود داشته باشد. سپس مي</w:t>
      </w:r>
      <w:r w:rsidRPr="00327F9E">
        <w:rPr>
          <w:rFonts w:hint="cs"/>
          <w:sz w:val="23"/>
          <w:szCs w:val="23"/>
          <w:rtl/>
        </w:rPr>
        <w:softHyphen/>
        <w:t>توان پارامترهاي اين مدل‌ها را در الگوي مورد نظر کالیبره كرد. به بيان ديگر، مقادير اين پارامترها از روش‌هاي اقتصادسنجي، يا واقعيات نمادين استخراج شده به شكل نه چندان دقيقي، چنان گزينش ‌شوند كه سازگاري مناسبي ميان رفتار كلان داده‌هاي واقعي و داده‌هاي شبيه</w:t>
      </w:r>
      <w:r w:rsidRPr="00327F9E">
        <w:rPr>
          <w:rFonts w:hint="cs"/>
          <w:sz w:val="23"/>
          <w:szCs w:val="23"/>
          <w:rtl/>
        </w:rPr>
        <w:softHyphen/>
        <w:t>سازي شده‌ی مدل در دوره</w:t>
      </w:r>
      <w:r w:rsidRPr="00327F9E">
        <w:rPr>
          <w:rFonts w:hint="cs"/>
          <w:sz w:val="23"/>
          <w:szCs w:val="23"/>
          <w:rtl/>
        </w:rPr>
        <w:softHyphen/>
        <w:t>ای محدود و مورد نظر بدست آيد. بدين</w:t>
      </w:r>
      <w:r w:rsidRPr="00327F9E">
        <w:rPr>
          <w:sz w:val="23"/>
          <w:szCs w:val="23"/>
        </w:rPr>
        <w:softHyphen/>
      </w:r>
      <w:r w:rsidRPr="00327F9E">
        <w:rPr>
          <w:rFonts w:hint="cs"/>
          <w:sz w:val="23"/>
          <w:szCs w:val="23"/>
          <w:rtl/>
        </w:rPr>
        <w:t>ترتيب مدل‌هاي کالیبره شده براي تجزيه و تحليل سياست</w:t>
      </w:r>
      <w:r w:rsidRPr="00327F9E">
        <w:rPr>
          <w:rFonts w:hint="cs"/>
          <w:sz w:val="23"/>
          <w:szCs w:val="23"/>
          <w:rtl/>
        </w:rPr>
        <w:softHyphen/>
        <w:t>هاي اقتصادي مورد استفاده قرار خواهد گرفت. از ديدگاه كيدلند و پرسكات، نقد لوكاس نيز پاسخ داده مي‌شود زيرا مدل‌هاي مورد نظر مي‌توانند تا رسيدن به حدود آرماني، بستر و كانون تكنولوژي‌ها و سلايقي را مشخص نمايند كه رفتار بهينه‌سازي افراد را مقيد و محدود سازند.</w:t>
      </w:r>
    </w:p>
    <w:p w14:paraId="5A77CD1C" w14:textId="77777777" w:rsidR="00411620" w:rsidRPr="00327F9E" w:rsidRDefault="00411620" w:rsidP="00411620">
      <w:pPr>
        <w:spacing w:line="216" w:lineRule="auto"/>
        <w:rPr>
          <w:sz w:val="23"/>
          <w:szCs w:val="23"/>
          <w:rtl/>
        </w:rPr>
      </w:pPr>
      <w:r w:rsidRPr="00327F9E">
        <w:rPr>
          <w:rFonts w:hint="cs"/>
          <w:sz w:val="23"/>
          <w:szCs w:val="23"/>
          <w:rtl/>
        </w:rPr>
        <w:t>نقد لوكاس در پايه و اساس خود معطوف ميزان بازنمايي ساختارهاي علّي در مدل‌هاي اقتصاد كلان</w:t>
      </w:r>
      <w:r w:rsidRPr="00327F9E">
        <w:rPr>
          <w:rFonts w:hint="cs"/>
          <w:sz w:val="23"/>
          <w:szCs w:val="23"/>
          <w:rtl/>
        </w:rPr>
        <w:softHyphen/>
        <w:t xml:space="preserve"> است.</w:t>
      </w:r>
      <w:r w:rsidRPr="00327F9E">
        <w:rPr>
          <w:sz w:val="23"/>
          <w:szCs w:val="23"/>
        </w:rPr>
        <w:t xml:space="preserve"> </w:t>
      </w:r>
      <w:r w:rsidRPr="00327F9E">
        <w:rPr>
          <w:rFonts w:hint="cs"/>
          <w:sz w:val="23"/>
          <w:szCs w:val="23"/>
          <w:rtl/>
        </w:rPr>
        <w:t>لی</w:t>
      </w:r>
      <w:r w:rsidRPr="00327F9E">
        <w:rPr>
          <w:rFonts w:hint="cs"/>
          <w:sz w:val="23"/>
          <w:szCs w:val="23"/>
          <w:rtl/>
        </w:rPr>
        <w:softHyphen/>
        <w:t>روي</w:t>
      </w:r>
      <w:r w:rsidRPr="00327F9E">
        <w:rPr>
          <w:rStyle w:val="FootnoteReference"/>
          <w:sz w:val="23"/>
          <w:szCs w:val="23"/>
          <w:rtl/>
        </w:rPr>
        <w:footnoteReference w:id="28"/>
      </w:r>
      <w:r w:rsidRPr="00327F9E">
        <w:rPr>
          <w:rFonts w:hint="cs"/>
          <w:sz w:val="23"/>
          <w:szCs w:val="23"/>
          <w:rtl/>
        </w:rPr>
        <w:t xml:space="preserve"> چنين استدلال مي‌كند كه سردرگمي زيادي در خصوص خود مفهوم ساختار علّي در </w:t>
      </w:r>
      <w:r w:rsidRPr="00327F9E">
        <w:rPr>
          <w:rFonts w:hint="cs"/>
          <w:sz w:val="23"/>
          <w:szCs w:val="23"/>
          <w:rtl/>
        </w:rPr>
        <w:lastRenderedPageBreak/>
        <w:t>اقتصاد كلان</w:t>
      </w:r>
      <w:r w:rsidRPr="00327F9E">
        <w:rPr>
          <w:rFonts w:hint="cs"/>
          <w:sz w:val="23"/>
          <w:szCs w:val="23"/>
          <w:rtl/>
        </w:rPr>
        <w:softHyphen/>
        <w:t xml:space="preserve"> وجود دارد، و مي‌كوشد تا اين مسئله را روشن‌تر سازد. لی</w:t>
      </w:r>
      <w:r w:rsidRPr="00327F9E">
        <w:rPr>
          <w:rFonts w:hint="cs"/>
          <w:sz w:val="23"/>
          <w:szCs w:val="23"/>
          <w:rtl/>
        </w:rPr>
        <w:softHyphen/>
        <w:t>روي باتفاق كولي و رايمن</w:t>
      </w:r>
      <w:r w:rsidRPr="00327F9E">
        <w:rPr>
          <w:rStyle w:val="FootnoteReference"/>
          <w:sz w:val="23"/>
          <w:szCs w:val="23"/>
          <w:rtl/>
        </w:rPr>
        <w:footnoteReference w:id="29"/>
      </w:r>
      <w:r w:rsidRPr="00327F9E">
        <w:rPr>
          <w:rFonts w:hint="cs"/>
          <w:sz w:val="23"/>
          <w:szCs w:val="23"/>
          <w:rtl/>
        </w:rPr>
        <w:t xml:space="preserve"> در استدلالي مرتبط با مطالعات قبلي و نيز تفسير سيمز در مورد نقد لوكاس كه در بالا بدآن اشاره شد، چنين اظهار مي‌دارند كه بخش اعظم فرمول</w:t>
      </w:r>
      <w:r w:rsidRPr="00327F9E">
        <w:rPr>
          <w:rFonts w:hint="cs"/>
          <w:sz w:val="23"/>
          <w:szCs w:val="23"/>
          <w:rtl/>
        </w:rPr>
        <w:softHyphen/>
        <w:t>بندي‌هاي مطرح در مورد نقد لوكاس، مفهوم تغيير نظام را به نادرستي دريافته و لذا تفسير مناسب از فرضيه‌ی انتظارات عقلايي ضروري است.</w:t>
      </w:r>
    </w:p>
    <w:p w14:paraId="4104A1C9" w14:textId="77777777" w:rsidR="00411620" w:rsidRPr="00327F9E" w:rsidRDefault="00411620" w:rsidP="00411620">
      <w:pPr>
        <w:spacing w:line="216" w:lineRule="auto"/>
        <w:rPr>
          <w:sz w:val="23"/>
          <w:szCs w:val="23"/>
          <w:rtl/>
        </w:rPr>
      </w:pPr>
      <w:r w:rsidRPr="00327F9E">
        <w:rPr>
          <w:rFonts w:hint="cs"/>
          <w:sz w:val="23"/>
          <w:szCs w:val="23"/>
          <w:rtl/>
        </w:rPr>
        <w:t>جيمز هاميلتون</w:t>
      </w:r>
      <w:r w:rsidRPr="00327F9E">
        <w:rPr>
          <w:sz w:val="23"/>
          <w:szCs w:val="23"/>
        </w:rPr>
        <w:t xml:space="preserve"> </w:t>
      </w:r>
      <w:r w:rsidRPr="00327F9E">
        <w:rPr>
          <w:rStyle w:val="FootnoteReference"/>
          <w:sz w:val="23"/>
          <w:szCs w:val="23"/>
        </w:rPr>
        <w:footnoteReference w:id="30"/>
      </w:r>
      <w:r w:rsidRPr="00327F9E">
        <w:rPr>
          <w:rFonts w:hint="cs"/>
          <w:sz w:val="23"/>
          <w:szCs w:val="23"/>
          <w:rtl/>
        </w:rPr>
        <w:t>در بررسي خود، مشابه نظر سيمز که می</w:t>
      </w:r>
      <w:r w:rsidRPr="00327F9E">
        <w:rPr>
          <w:rFonts w:hint="cs"/>
          <w:sz w:val="23"/>
          <w:szCs w:val="23"/>
          <w:rtl/>
        </w:rPr>
        <w:softHyphen/>
        <w:t>گوید نظام</w:t>
      </w:r>
      <w:r w:rsidRPr="00327F9E">
        <w:rPr>
          <w:rFonts w:hint="cs"/>
          <w:sz w:val="23"/>
          <w:szCs w:val="23"/>
          <w:rtl/>
        </w:rPr>
        <w:softHyphen/>
        <w:t>هاي سياست</w:t>
      </w:r>
      <w:r w:rsidRPr="00327F9E">
        <w:rPr>
          <w:rFonts w:hint="cs"/>
          <w:sz w:val="23"/>
          <w:szCs w:val="23"/>
          <w:rtl/>
        </w:rPr>
        <w:softHyphen/>
        <w:t>گذاري بر مبناي توزيع‌هاي احتمالاتي تعيين مي‌شوند، به بحث درباره‌ی روش</w:t>
      </w:r>
      <w:r w:rsidRPr="00327F9E">
        <w:rPr>
          <w:rFonts w:hint="cs"/>
          <w:sz w:val="23"/>
          <w:szCs w:val="23"/>
          <w:rtl/>
        </w:rPr>
        <w:softHyphen/>
        <w:t>هاي الگوسازي سري</w:t>
      </w:r>
      <w:r w:rsidRPr="00327F9E">
        <w:rPr>
          <w:rFonts w:hint="cs"/>
          <w:sz w:val="23"/>
          <w:szCs w:val="23"/>
          <w:rtl/>
        </w:rPr>
        <w:softHyphen/>
        <w:t>هاي زماني به هنگام مواجهه با تغيير نظام</w:t>
      </w:r>
      <w:r w:rsidRPr="00327F9E">
        <w:rPr>
          <w:rFonts w:hint="cs"/>
          <w:sz w:val="23"/>
          <w:szCs w:val="23"/>
          <w:rtl/>
        </w:rPr>
        <w:softHyphen/>
        <w:t>هاي سياستي مي‌پردازد.</w:t>
      </w:r>
    </w:p>
    <w:p w14:paraId="69BF6419" w14:textId="77777777" w:rsidR="00411620" w:rsidRPr="00327F9E" w:rsidRDefault="00411620" w:rsidP="00411620">
      <w:pPr>
        <w:spacing w:line="216" w:lineRule="auto"/>
        <w:rPr>
          <w:sz w:val="23"/>
          <w:szCs w:val="23"/>
          <w:rtl/>
        </w:rPr>
      </w:pPr>
      <w:r w:rsidRPr="00327F9E">
        <w:rPr>
          <w:rFonts w:hint="cs"/>
          <w:sz w:val="23"/>
          <w:szCs w:val="23"/>
          <w:rtl/>
        </w:rPr>
        <w:t xml:space="preserve"> چارلز كالوميريس و كريستوفر هينس</w:t>
      </w:r>
      <w:r w:rsidRPr="00327F9E">
        <w:rPr>
          <w:rStyle w:val="FootnoteReference"/>
          <w:sz w:val="23"/>
          <w:szCs w:val="23"/>
          <w:rtl/>
        </w:rPr>
        <w:footnoteReference w:id="31"/>
      </w:r>
      <w:r w:rsidRPr="00327F9E">
        <w:rPr>
          <w:rFonts w:hint="cs"/>
          <w:sz w:val="23"/>
          <w:szCs w:val="23"/>
          <w:rtl/>
        </w:rPr>
        <w:t xml:space="preserve"> نیز چنين استدلال مي‌كنند كه براي بررسي دقيق و جدي تغييرات ساختاري و تغييرات حاصله در نظام</w:t>
      </w:r>
      <w:r w:rsidRPr="00327F9E">
        <w:rPr>
          <w:rFonts w:hint="cs"/>
          <w:sz w:val="23"/>
          <w:szCs w:val="23"/>
          <w:rtl/>
        </w:rPr>
        <w:softHyphen/>
        <w:t>ها، ضرورتاً بايد درك كاملي از ساختار اقتصاد داشته باشيم. براي استخراج و كسب چنين فهمي مي‌توان از رويكردي مدد جست كه آشكارا خصلت تاريخي‌تري داشته باشد. از يك سوي، اقتصاد كلانِ تاريخي، انواع منابع اطلاعاتي را مورد استفاده قرار مي‌دهد تا بكارگيري روش</w:t>
      </w:r>
      <w:r w:rsidRPr="00327F9E">
        <w:rPr>
          <w:rFonts w:hint="cs"/>
          <w:sz w:val="23"/>
          <w:szCs w:val="23"/>
          <w:rtl/>
        </w:rPr>
        <w:softHyphen/>
        <w:t>های تجزيه و تحليل داده‌هاي سري زماني را دقيق‌تر سازد. از سوي ديگر، تاريخ مي‌تواند موارد و يا مثال</w:t>
      </w:r>
      <w:r w:rsidRPr="00327F9E">
        <w:rPr>
          <w:rFonts w:hint="cs"/>
          <w:sz w:val="23"/>
          <w:szCs w:val="23"/>
          <w:rtl/>
        </w:rPr>
        <w:softHyphen/>
        <w:t>هايي از نظام</w:t>
      </w:r>
      <w:r w:rsidRPr="00327F9E">
        <w:rPr>
          <w:rFonts w:hint="cs"/>
          <w:sz w:val="23"/>
          <w:szCs w:val="23"/>
          <w:rtl/>
        </w:rPr>
        <w:softHyphen/>
        <w:t>هاي بديل و تحولات و دگرگوني</w:t>
      </w:r>
      <w:r w:rsidRPr="00327F9E">
        <w:rPr>
          <w:sz w:val="23"/>
          <w:szCs w:val="23"/>
        </w:rPr>
        <w:softHyphen/>
      </w:r>
      <w:r w:rsidRPr="00327F9E">
        <w:rPr>
          <w:rFonts w:hint="cs"/>
          <w:sz w:val="23"/>
          <w:szCs w:val="23"/>
          <w:rtl/>
        </w:rPr>
        <w:t>هاي آشكار ساختاري را براي ما فراهم سازد كه به</w:t>
      </w:r>
      <w:r w:rsidRPr="00327F9E">
        <w:rPr>
          <w:rFonts w:hint="cs"/>
          <w:sz w:val="23"/>
          <w:szCs w:val="23"/>
          <w:rtl/>
        </w:rPr>
        <w:softHyphen/>
        <w:t>وسيله‌ی آن بتوان اهميت نقد لوكاس را در بررسي‌هاي خود و يا اهميت برخي نظريه‌هاي خاص اقتصاد كلان را در عمل دريابيم.</w:t>
      </w:r>
    </w:p>
    <w:p w14:paraId="6E70093E" w14:textId="77777777" w:rsidR="00411620" w:rsidRPr="00327F9E" w:rsidRDefault="00411620" w:rsidP="00411620">
      <w:pPr>
        <w:spacing w:line="216" w:lineRule="auto"/>
        <w:rPr>
          <w:sz w:val="23"/>
          <w:szCs w:val="23"/>
          <w:rtl/>
        </w:rPr>
      </w:pPr>
      <w:r w:rsidRPr="00327F9E">
        <w:rPr>
          <w:rFonts w:hint="cs"/>
          <w:sz w:val="23"/>
          <w:szCs w:val="23"/>
          <w:rtl/>
        </w:rPr>
        <w:t>بر خلاف روش</w:t>
      </w:r>
      <w:r w:rsidRPr="00327F9E">
        <w:rPr>
          <w:rFonts w:hint="cs"/>
          <w:sz w:val="23"/>
          <w:szCs w:val="23"/>
          <w:rtl/>
        </w:rPr>
        <w:softHyphen/>
        <w:t>شناسي کالیبراسیون پارامترها كه بر اين باور است كه نقد لوكاس، در صورتي كه تفسير درستي از آن به عمل آيد، استفاده از روش برآورد پارامترهاي ساختاري را در سطح اقتصاد كلان كاملاً تضعيف و بي‌اعتبار مي‌سازد، در روش</w:t>
      </w:r>
      <w:r w:rsidRPr="00327F9E">
        <w:rPr>
          <w:rFonts w:hint="cs"/>
          <w:sz w:val="23"/>
          <w:szCs w:val="23"/>
          <w:rtl/>
        </w:rPr>
        <w:softHyphen/>
        <w:t xml:space="preserve">شناسي </w:t>
      </w:r>
      <w:r w:rsidRPr="00327F9E">
        <w:rPr>
          <w:sz w:val="23"/>
          <w:szCs w:val="23"/>
        </w:rPr>
        <w:t>(LSE)</w:t>
      </w:r>
      <w:r w:rsidRPr="00327F9E">
        <w:rPr>
          <w:rStyle w:val="FootnoteReference"/>
          <w:sz w:val="23"/>
          <w:szCs w:val="23"/>
          <w:rtl/>
        </w:rPr>
        <w:footnoteReference w:id="32"/>
      </w:r>
      <w:r w:rsidRPr="00327F9E">
        <w:rPr>
          <w:rFonts w:hint="cs"/>
          <w:sz w:val="23"/>
          <w:szCs w:val="23"/>
          <w:rtl/>
        </w:rPr>
        <w:t>، نقد لوكاس از اهميت عملي خاصي برخوردار است. اين</w:t>
      </w:r>
      <w:r w:rsidRPr="00327F9E">
        <w:rPr>
          <w:rFonts w:hint="cs"/>
          <w:sz w:val="23"/>
          <w:szCs w:val="23"/>
          <w:rtl/>
        </w:rPr>
        <w:softHyphen/>
        <w:t xml:space="preserve"> رويكردِ مدل‌سازيِ سري‌هاي زمانيِ اقتصادي، ابتدا در مدرسه‌ی اقتصادي لندن، </w:t>
      </w:r>
      <w:r w:rsidRPr="00327F9E">
        <w:rPr>
          <w:sz w:val="23"/>
          <w:szCs w:val="23"/>
        </w:rPr>
        <w:t>LSE</w:t>
      </w:r>
      <w:r w:rsidRPr="00327F9E">
        <w:rPr>
          <w:rFonts w:hint="cs"/>
          <w:sz w:val="23"/>
          <w:szCs w:val="23"/>
          <w:rtl/>
        </w:rPr>
        <w:t>،</w:t>
      </w:r>
      <w:r w:rsidRPr="00327F9E">
        <w:rPr>
          <w:sz w:val="23"/>
          <w:szCs w:val="23"/>
        </w:rPr>
        <w:t xml:space="preserve"> </w:t>
      </w:r>
      <w:r w:rsidRPr="00327F9E">
        <w:rPr>
          <w:rFonts w:hint="cs"/>
          <w:sz w:val="23"/>
          <w:szCs w:val="23"/>
          <w:rtl/>
        </w:rPr>
        <w:t>شكل گرفت و مطالعات تكميلي بعدي و گسترش آن اساساً توسط هندري و ديگر اقتصادداناني كه ارتباط مستقيمي با آن مدرسه در مقام يك نهاد فكري نداشتند، صورت گرفت.</w:t>
      </w:r>
      <w:r w:rsidRPr="00327F9E">
        <w:rPr>
          <w:rStyle w:val="FootnoteReference"/>
          <w:sz w:val="23"/>
          <w:szCs w:val="23"/>
          <w:rtl/>
        </w:rPr>
        <w:footnoteReference w:id="33"/>
      </w:r>
      <w:r w:rsidRPr="00327F9E">
        <w:rPr>
          <w:rFonts w:hint="cs"/>
          <w:sz w:val="23"/>
          <w:szCs w:val="23"/>
          <w:rtl/>
        </w:rPr>
        <w:t xml:space="preserve"> رويكردِ مدل‌سازي متفاوت اين نحله‌ی فكري، از آنجا شكل مي‌گيرد كه بزعم هندري</w:t>
      </w:r>
      <w:r w:rsidRPr="00327F9E">
        <w:rPr>
          <w:rStyle w:val="FootnoteReference"/>
          <w:sz w:val="23"/>
          <w:szCs w:val="23"/>
          <w:rtl/>
        </w:rPr>
        <w:footnoteReference w:id="34"/>
      </w:r>
      <w:r w:rsidRPr="00327F9E">
        <w:rPr>
          <w:rFonts w:hint="cs"/>
          <w:sz w:val="23"/>
          <w:szCs w:val="23"/>
          <w:rtl/>
        </w:rPr>
        <w:t xml:space="preserve">، اقتصاد نيازمند الگو‌هايي است كه براي فهم رفتار اقتصادي، آزمون نظريه‌‌هاي اقتصادي و پيش‌بيني و تجزيه و تحليل سياست‌‌هاي اقتصادي مفيد باشند. دستيابي به تمام اهداف چهارگانه‌ی فوق مستلزم اكتشاف روابط تجربي پايدار ميان ابعاد اقتصادي مشاهده شده و نفي و ردّ ‌مدل‌هايي است كه فاقد ويژگي‌هاي مطلوب باشند. اكتشاف روابط تجربي پايدار با انكشاف و آشكارسازي ساختارها مرتبط هستند. هندري با پذيرش اين </w:t>
      </w:r>
      <w:r w:rsidRPr="00327F9E">
        <w:rPr>
          <w:rFonts w:hint="cs"/>
          <w:sz w:val="23"/>
          <w:szCs w:val="23"/>
          <w:rtl/>
        </w:rPr>
        <w:lastRenderedPageBreak/>
        <w:t>نكته كه ساختارها در اقتصاد داراي معناي واحدي نيستند، اين واژه را بعنوان مجموعه‌اي از ويژگي‌هاي اساسي و دائمي‌ سازوكار اقتصادي تعريف مي‌كند. شرايط لازم و نه كافي براي آنكه مجموعه‌اي از پارامترها، مشخص كننده‌ی يك ساختار باشد، آن است كه اين پارامترها نسبت به گسترش يا بسطِ دوره نمونه‌گيري، مجموعه اطلاعات و تغيير نظام‌هاي مورد بحث ثابت باشند.</w:t>
      </w:r>
    </w:p>
    <w:p w14:paraId="5B1F7A85" w14:textId="77777777" w:rsidR="00411620" w:rsidRPr="00327F9E" w:rsidRDefault="00411620" w:rsidP="00411620">
      <w:pPr>
        <w:spacing w:line="216" w:lineRule="auto"/>
        <w:ind w:left="-1"/>
        <w:rPr>
          <w:sz w:val="23"/>
          <w:szCs w:val="23"/>
        </w:rPr>
      </w:pPr>
      <w:r w:rsidRPr="00327F9E">
        <w:rPr>
          <w:sz w:val="23"/>
          <w:szCs w:val="23"/>
        </w:rPr>
        <w:t xml:space="preserve"> </w:t>
      </w:r>
      <w:r w:rsidRPr="00327F9E">
        <w:rPr>
          <w:rFonts w:hint="cs"/>
          <w:sz w:val="23"/>
          <w:szCs w:val="23"/>
          <w:rtl/>
        </w:rPr>
        <w:t>به بياني ديگر، ثابت بودن پارامتر را مي‌توان نسبت به تغييرات گروهي از مداخلات انجام شده تعريف كرد كه وضعيت اقتصادي را تحت تاثير قرار مي‌دهند. اين مداخلات ممكن است تغييرات حاصله در نظام ارزي، نظام سياست‌گذاري مالياتي، تغييرات نهادين يا نوآوري‌هاي تكنولوژيك و يا آشوب</w:t>
      </w:r>
      <w:r w:rsidRPr="00327F9E">
        <w:rPr>
          <w:rFonts w:hint="cs"/>
          <w:sz w:val="23"/>
          <w:szCs w:val="23"/>
          <w:rtl/>
        </w:rPr>
        <w:softHyphen/>
        <w:t>های سياسي باشد. هر برداري از پارامترها نسبت به رده يا گروهي از اين مداخلات در صورتي ثابت و بلا</w:t>
      </w:r>
      <w:r w:rsidRPr="00327F9E">
        <w:rPr>
          <w:rFonts w:hint="cs"/>
          <w:sz w:val="23"/>
          <w:szCs w:val="23"/>
          <w:rtl/>
        </w:rPr>
        <w:softHyphen/>
        <w:t>تغيير خواهد ماند كه مقدار آن پارامترها علي‌رغم اين مداخلات ثابت باشند.</w:t>
      </w:r>
      <w:r w:rsidRPr="00327F9E">
        <w:rPr>
          <w:rStyle w:val="FootnoteReference"/>
          <w:sz w:val="23"/>
          <w:szCs w:val="23"/>
          <w:rtl/>
        </w:rPr>
        <w:footnoteReference w:id="35"/>
      </w:r>
      <w:r w:rsidRPr="00327F9E">
        <w:rPr>
          <w:rFonts w:hint="cs"/>
          <w:sz w:val="23"/>
          <w:szCs w:val="23"/>
          <w:rtl/>
        </w:rPr>
        <w:t xml:space="preserve"> اين ادعا كه پارامتر‌هاي مورد نظر نسبت به انجام مداخله‌ی معيني ـ مثلاً تغيير در نظام نرخ ارز ـ ثابت مي‌مانند با نشان دادن اين نكته نفي و ابطال خواهد شد كه پارامتر‌هاي مورد نظر در صورت مداخله و يا تغيير در نظام اقتصادي ثابت نباشند. لذا هرگونه ناتواني در ابطال و نفيِ ثابت بودن اين پارامترها، خود شاهدي است بر خلاف صحت و سقم تجربي نقد لوكاس در يك مدل خاص. امّا، اين نكته كه آيا واقعاً ويژگي‌هاي ثابتي در يك اقتصاد وجود دارند يا خير، مسئله‌اي حل نشده ‌است. معهذا، هندري چنين استدلال مي‌كند كه احتمال آن نمي‌رود كه ‌مدل‌هاي تجربي نسبت به تمام انواع تغييرات حاصله در نظام‌هاي اقتصادي بلاتغيير باقي بمانند. </w:t>
      </w:r>
    </w:p>
    <w:p w14:paraId="61AC28D7" w14:textId="77777777" w:rsidR="00411620" w:rsidRPr="00327F9E" w:rsidRDefault="00411620" w:rsidP="00411620">
      <w:pPr>
        <w:spacing w:line="216" w:lineRule="auto"/>
        <w:rPr>
          <w:sz w:val="23"/>
          <w:szCs w:val="23"/>
          <w:rtl/>
        </w:rPr>
      </w:pPr>
      <w:r w:rsidRPr="00327F9E">
        <w:rPr>
          <w:rFonts w:hint="cs"/>
          <w:sz w:val="23"/>
          <w:szCs w:val="23"/>
          <w:rtl/>
        </w:rPr>
        <w:t>اساس رويكرد روش‌شناسي مدرسه‌ی اقتصاد لندن در پذيرش اين نكته نهفته است كه اطلاعات بالقوه‌ مفيد، براي تجزيه و تحليل هر مسئله‌ی اقتصادي ممكن است از منابع متعددي بدست آيد. اين منابع ممكن است نظريه‌ی اقتصادي، نمونه‌ی موجود براي مشاهدات انجام شده در مورد متغيرهاي بالقوه‌ی مهم، اطلاع از تاريخ اقتصادي دوره‌ی مورد مطالعه، اطلاع از نحوه‌ی تعريف و اندازه‌گيري داده‌هاي مشاهده شده و نحوه‌ی رابطه‌ی آن</w:t>
      </w:r>
      <w:r w:rsidRPr="00327F9E">
        <w:rPr>
          <w:rFonts w:hint="cs"/>
          <w:sz w:val="23"/>
          <w:szCs w:val="23"/>
          <w:rtl/>
        </w:rPr>
        <w:softHyphen/>
        <w:t>ها با متغيرهاي نظريه‌ی مورد بحث باشد</w:t>
      </w:r>
      <w:r w:rsidRPr="00327F9E">
        <w:rPr>
          <w:sz w:val="23"/>
          <w:szCs w:val="23"/>
        </w:rPr>
        <w:t>.</w:t>
      </w:r>
      <w:r w:rsidRPr="00327F9E">
        <w:rPr>
          <w:rFonts w:hint="cs"/>
          <w:sz w:val="23"/>
          <w:szCs w:val="23"/>
          <w:rtl/>
        </w:rPr>
        <w:t xml:space="preserve"> بنابراين در تدوين و توسعه‌ی الگوهاي اقتصادي، نكته‌ی مهم آن است كه اطلاعات بدست آمده از تمامي اين منابع حتي الامكان مورد استفاده قرار گيرند. البته بازدهي نهايي استفاده از اطلاعات بدست آمده از منابع مختلف متفاوت بوده و ميزان استفاده از منابع در اين راستا نيز متغير است. بهرحال از اطلاعات موجود و رابطه‌ی ميان اين اطلاعات و ارزيابي و مقايسه الگوهاي بديلِ ارائه شده براي تفسير و بررسي همان پديده استفاده خواهد شد.</w:t>
      </w:r>
    </w:p>
    <w:p w14:paraId="24A7A8DB" w14:textId="77777777" w:rsidR="00411620" w:rsidRPr="00327F9E" w:rsidRDefault="00411620" w:rsidP="00411620">
      <w:pPr>
        <w:spacing w:line="216" w:lineRule="auto"/>
        <w:rPr>
          <w:sz w:val="23"/>
          <w:szCs w:val="23"/>
          <w:rtl/>
        </w:rPr>
      </w:pPr>
      <w:r w:rsidRPr="00327F9E">
        <w:rPr>
          <w:rFonts w:hint="cs"/>
          <w:sz w:val="23"/>
          <w:szCs w:val="23"/>
          <w:rtl/>
        </w:rPr>
        <w:t>در اين روش، تأكيد اصلي بر مدل‌هاي پويا است و مدعي است كه نظريه</w:t>
      </w:r>
      <w:r w:rsidRPr="00327F9E">
        <w:rPr>
          <w:rFonts w:hint="cs"/>
          <w:sz w:val="23"/>
          <w:szCs w:val="23"/>
          <w:rtl/>
        </w:rPr>
        <w:softHyphen/>
        <w:t>ی اقتصادی عمدتاً در قبال ويژگي‌هاي بلندمدت يا ايستا پاسخگو خواهد بود و نكته‌ی چنداني بالاخص در مورد پويايي‌هاي كوتاه</w:t>
      </w:r>
      <w:r w:rsidRPr="00327F9E">
        <w:rPr>
          <w:sz w:val="23"/>
          <w:szCs w:val="23"/>
          <w:rtl/>
        </w:rPr>
        <w:softHyphen/>
      </w:r>
      <w:r w:rsidRPr="00327F9E">
        <w:rPr>
          <w:rFonts w:hint="cs"/>
          <w:sz w:val="23"/>
          <w:szCs w:val="23"/>
          <w:rtl/>
        </w:rPr>
        <w:t>مدت مطرح نمي‌سازد. بنابراين كانون اصلي معطوف الگوهايي است كه در آن</w:t>
      </w:r>
      <w:r w:rsidRPr="00327F9E">
        <w:rPr>
          <w:rFonts w:hint="cs"/>
          <w:sz w:val="23"/>
          <w:szCs w:val="23"/>
          <w:rtl/>
        </w:rPr>
        <w:softHyphen/>
        <w:t>ها از آزمون آماري براي انتخاب مدل</w:t>
      </w:r>
      <w:r w:rsidRPr="00327F9E">
        <w:rPr>
          <w:rFonts w:hint="cs"/>
          <w:sz w:val="23"/>
          <w:szCs w:val="23"/>
          <w:rtl/>
        </w:rPr>
        <w:softHyphen/>
        <w:t>هاي تصحيح‌ خطاي پويا به گونه‌اي سازگار با ويژگي‌هاي عام نظري و بلندمدت استفاده شده باشد.</w:t>
      </w:r>
    </w:p>
    <w:p w14:paraId="4F05B0D9" w14:textId="77777777" w:rsidR="00411620" w:rsidRPr="00327F9E" w:rsidRDefault="00411620" w:rsidP="00411620">
      <w:pPr>
        <w:spacing w:line="216" w:lineRule="auto"/>
        <w:rPr>
          <w:sz w:val="23"/>
          <w:szCs w:val="23"/>
          <w:rtl/>
        </w:rPr>
      </w:pPr>
      <w:r w:rsidRPr="00327F9E">
        <w:rPr>
          <w:rFonts w:hint="cs"/>
          <w:sz w:val="23"/>
          <w:szCs w:val="23"/>
          <w:rtl/>
        </w:rPr>
        <w:lastRenderedPageBreak/>
        <w:t xml:space="preserve">طرفداران روش شناسي </w:t>
      </w:r>
      <w:r w:rsidRPr="00327F9E">
        <w:rPr>
          <w:sz w:val="23"/>
          <w:szCs w:val="23"/>
        </w:rPr>
        <w:t>LSE</w:t>
      </w:r>
      <w:r w:rsidRPr="00327F9E">
        <w:rPr>
          <w:rFonts w:hint="cs"/>
          <w:sz w:val="23"/>
          <w:szCs w:val="23"/>
          <w:rtl/>
        </w:rPr>
        <w:t xml:space="preserve"> در جستجوي مدل‌هايي هستند كه در مقابله با مداخلات مختلف پايدار باشند، و بدين ترتيب نقد لوكاس را نيز به لحاظ اصولي </w:t>
      </w:r>
      <w:r w:rsidRPr="00327F9E">
        <w:rPr>
          <w:rFonts w:hint="cs"/>
          <w:sz w:val="23"/>
          <w:szCs w:val="23"/>
          <w:rtl/>
        </w:rPr>
        <w:softHyphen/>
        <w:t>پذيرفته، و نقش آزمون آماري و روش</w:t>
      </w:r>
      <w:r w:rsidRPr="00327F9E">
        <w:rPr>
          <w:rFonts w:hint="cs"/>
          <w:sz w:val="23"/>
          <w:szCs w:val="23"/>
          <w:rtl/>
        </w:rPr>
        <w:softHyphen/>
        <w:t>هاي استاندارد مقايسه‌اي براي سنجش تصريحات رقيب الگوها را مورد تأكيد قرار مي‌دهند.</w:t>
      </w:r>
    </w:p>
    <w:p w14:paraId="285E6620" w14:textId="77777777" w:rsidR="00411620" w:rsidRPr="00327F9E" w:rsidRDefault="00411620" w:rsidP="00411620">
      <w:pPr>
        <w:spacing w:line="216" w:lineRule="auto"/>
        <w:rPr>
          <w:sz w:val="23"/>
          <w:szCs w:val="23"/>
          <w:rtl/>
        </w:rPr>
      </w:pPr>
      <w:r w:rsidRPr="00327F9E">
        <w:rPr>
          <w:rFonts w:hint="cs"/>
          <w:sz w:val="23"/>
          <w:szCs w:val="23"/>
          <w:rtl/>
        </w:rPr>
        <w:t>در رویکرد مدل</w:t>
      </w:r>
      <w:r w:rsidRPr="00327F9E">
        <w:rPr>
          <w:rFonts w:hint="cs"/>
          <w:sz w:val="23"/>
          <w:szCs w:val="23"/>
          <w:rtl/>
        </w:rPr>
        <w:softHyphen/>
        <w:t xml:space="preserve">های تعادل عمومی پویای تصادفی </w:t>
      </w:r>
      <w:r w:rsidRPr="00327F9E">
        <w:rPr>
          <w:sz w:val="23"/>
          <w:szCs w:val="23"/>
        </w:rPr>
        <w:t>(</w:t>
      </w:r>
      <w:r w:rsidRPr="00327F9E">
        <w:rPr>
          <w:rStyle w:val="FootnoteReference"/>
          <w:sz w:val="23"/>
          <w:szCs w:val="23"/>
        </w:rPr>
        <w:footnoteReference w:id="36"/>
      </w:r>
      <w:r w:rsidRPr="00327F9E">
        <w:rPr>
          <w:sz w:val="23"/>
          <w:szCs w:val="23"/>
        </w:rPr>
        <w:t>DSGE)</w:t>
      </w:r>
      <w:r w:rsidRPr="00327F9E">
        <w:rPr>
          <w:rFonts w:hint="cs"/>
          <w:sz w:val="23"/>
          <w:szCs w:val="23"/>
          <w:rtl/>
        </w:rPr>
        <w:t xml:space="preserve"> از تعادل عمومی برای مدل</w:t>
      </w:r>
      <w:r w:rsidRPr="00327F9E">
        <w:rPr>
          <w:rFonts w:hint="cs"/>
          <w:sz w:val="23"/>
          <w:szCs w:val="23"/>
          <w:rtl/>
        </w:rPr>
        <w:softHyphen/>
      </w:r>
      <w:r w:rsidRPr="00327F9E">
        <w:rPr>
          <w:rFonts w:hint="cs"/>
          <w:sz w:val="23"/>
          <w:szCs w:val="23"/>
          <w:rtl/>
        </w:rPr>
        <w:softHyphen/>
      </w:r>
      <w:r w:rsidRPr="00327F9E">
        <w:rPr>
          <w:rFonts w:hint="cs"/>
          <w:sz w:val="23"/>
          <w:szCs w:val="23"/>
          <w:rtl/>
        </w:rPr>
        <w:softHyphen/>
        <w:t xml:space="preserve"> سازی استعانت شده و در آن از فنون بهینه</w:t>
      </w:r>
      <w:r w:rsidRPr="00327F9E">
        <w:rPr>
          <w:rFonts w:hint="cs"/>
          <w:sz w:val="23"/>
          <w:szCs w:val="23"/>
          <w:rtl/>
        </w:rPr>
        <w:softHyphen/>
        <w:t>سازی تصادفی میان دوره</w:t>
      </w:r>
      <w:r w:rsidRPr="00327F9E">
        <w:rPr>
          <w:rFonts w:hint="cs"/>
          <w:sz w:val="23"/>
          <w:szCs w:val="23"/>
          <w:rtl/>
        </w:rPr>
        <w:softHyphen/>
        <w:t>ای برای حل مسایل تصمیم</w:t>
      </w:r>
      <w:r w:rsidRPr="00327F9E">
        <w:rPr>
          <w:rFonts w:hint="cs"/>
          <w:sz w:val="23"/>
          <w:szCs w:val="23"/>
          <w:rtl/>
        </w:rPr>
        <w:softHyphen/>
        <w:t>گیری در خانوارها و بنگاه</w:t>
      </w:r>
      <w:r w:rsidRPr="00327F9E">
        <w:rPr>
          <w:rFonts w:hint="cs"/>
          <w:sz w:val="23"/>
          <w:szCs w:val="23"/>
          <w:rtl/>
        </w:rPr>
        <w:softHyphen/>
        <w:t>های نمونه استفاده می</w:t>
      </w:r>
      <w:r w:rsidRPr="00327F9E">
        <w:rPr>
          <w:rFonts w:hint="cs"/>
          <w:sz w:val="23"/>
          <w:szCs w:val="23"/>
          <w:rtl/>
        </w:rPr>
        <w:softHyphen/>
        <w:t>شود. مدل</w:t>
      </w:r>
      <w:r w:rsidRPr="00327F9E">
        <w:rPr>
          <w:rFonts w:hint="cs"/>
          <w:sz w:val="23"/>
          <w:szCs w:val="23"/>
          <w:rtl/>
        </w:rPr>
        <w:softHyphen/>
        <w:t xml:space="preserve">های </w:t>
      </w:r>
      <w:r w:rsidRPr="00327F9E">
        <w:rPr>
          <w:sz w:val="23"/>
          <w:szCs w:val="23"/>
        </w:rPr>
        <w:t>DSGE</w:t>
      </w:r>
      <w:r w:rsidRPr="00327F9E">
        <w:rPr>
          <w:rFonts w:hint="cs"/>
          <w:sz w:val="23"/>
          <w:szCs w:val="23"/>
          <w:rtl/>
        </w:rPr>
        <w:t xml:space="preserve"> برحسب پارامترهای ساختاریِ مهم، از قبیل پارامترهای ترجیحات، تکنولوژی</w:t>
      </w:r>
      <w:r w:rsidRPr="00327F9E">
        <w:rPr>
          <w:rFonts w:hint="cs"/>
          <w:sz w:val="23"/>
          <w:szCs w:val="23"/>
          <w:rtl/>
        </w:rPr>
        <w:softHyphen/>
        <w:t>های تولید و توزیع</w:t>
      </w:r>
      <w:r w:rsidRPr="00327F9E">
        <w:rPr>
          <w:rFonts w:hint="cs"/>
          <w:sz w:val="23"/>
          <w:szCs w:val="23"/>
          <w:rtl/>
        </w:rPr>
        <w:softHyphen/>
        <w:t>های احتمالات سلائق افراد و ... بیان می</w:t>
      </w:r>
      <w:r w:rsidRPr="00327F9E">
        <w:rPr>
          <w:rFonts w:hint="cs"/>
          <w:sz w:val="23"/>
          <w:szCs w:val="23"/>
          <w:rtl/>
        </w:rPr>
        <w:softHyphen/>
        <w:t>شوند. در عمل، اَشکال بسیار ساده</w:t>
      </w:r>
      <w:r w:rsidRPr="00327F9E">
        <w:rPr>
          <w:rFonts w:hint="cs"/>
          <w:sz w:val="23"/>
          <w:szCs w:val="23"/>
          <w:rtl/>
        </w:rPr>
        <w:softHyphen/>
        <w:t>ای برای این توابع همانند تابع مطلوبیت توانی و تابع تولید کاب-داگلاس انتخاب می</w:t>
      </w:r>
      <w:r w:rsidRPr="00327F9E">
        <w:rPr>
          <w:rFonts w:hint="cs"/>
          <w:sz w:val="23"/>
          <w:szCs w:val="23"/>
          <w:rtl/>
        </w:rPr>
        <w:softHyphen/>
        <w:t>شوند. مع</w:t>
      </w:r>
      <w:r w:rsidRPr="00327F9E">
        <w:rPr>
          <w:rFonts w:hint="cs"/>
          <w:sz w:val="23"/>
          <w:szCs w:val="23"/>
          <w:rtl/>
        </w:rPr>
        <w:softHyphen/>
        <w:t>هذا، قواعد حاصله برای تصمیم</w:t>
      </w:r>
      <w:r w:rsidRPr="00327F9E">
        <w:rPr>
          <w:rFonts w:hint="cs"/>
          <w:sz w:val="23"/>
          <w:szCs w:val="23"/>
          <w:rtl/>
        </w:rPr>
        <w:softHyphen/>
        <w:t>گیری بهینه، توابع پیچیده</w:t>
      </w:r>
      <w:r w:rsidRPr="00327F9E">
        <w:rPr>
          <w:rFonts w:hint="cs"/>
          <w:sz w:val="23"/>
          <w:szCs w:val="23"/>
          <w:rtl/>
        </w:rPr>
        <w:softHyphen/>
        <w:t>ای از متغیرهای اقتصاد کلان هستند. مقدار تقریبی این توابع براساس مقادیر جبری متغیرهای اقتصاد کلان در حالت پایدار بدست می</w:t>
      </w:r>
      <w:r w:rsidRPr="00327F9E">
        <w:rPr>
          <w:rFonts w:hint="cs"/>
          <w:sz w:val="23"/>
          <w:szCs w:val="23"/>
          <w:rtl/>
        </w:rPr>
        <w:softHyphen/>
        <w:t>آیند تا به این ترتیب سیستم خطی-لگاریتمی از معادلات با مؤلفه</w:t>
      </w:r>
      <w:r w:rsidRPr="00327F9E">
        <w:rPr>
          <w:rFonts w:hint="cs"/>
          <w:sz w:val="23"/>
          <w:szCs w:val="23"/>
          <w:rtl/>
        </w:rPr>
        <w:softHyphen/>
        <w:t>های پیشین و پسین بدست آید. در این روش فرض می</w:t>
      </w:r>
      <w:r w:rsidRPr="00327F9E">
        <w:rPr>
          <w:rFonts w:hint="cs"/>
          <w:sz w:val="23"/>
          <w:szCs w:val="23"/>
          <w:rtl/>
        </w:rPr>
        <w:softHyphen/>
        <w:t>شود الگوی کارگزار نمونه</w:t>
      </w:r>
      <w:r w:rsidRPr="00327F9E">
        <w:rPr>
          <w:rFonts w:hint="cs"/>
          <w:sz w:val="23"/>
          <w:szCs w:val="23"/>
          <w:rtl/>
        </w:rPr>
        <w:softHyphen/>
        <w:t>ی اقتصادی قابل قبول و فرایند اصلی مورد بررسی نیز تا آینده</w:t>
      </w:r>
      <w:r w:rsidRPr="00327F9E">
        <w:rPr>
          <w:rFonts w:hint="cs"/>
          <w:sz w:val="23"/>
          <w:szCs w:val="23"/>
          <w:rtl/>
        </w:rPr>
        <w:softHyphen/>
        <w:t>ای نامحدود باثبات خواهد بود. فرض اخیر به</w:t>
      </w:r>
      <w:r w:rsidRPr="00327F9E">
        <w:rPr>
          <w:rFonts w:hint="cs"/>
          <w:sz w:val="23"/>
          <w:szCs w:val="23"/>
          <w:rtl/>
        </w:rPr>
        <w:softHyphen/>
        <w:t>طور ضمنی مطرح می</w:t>
      </w:r>
      <w:r w:rsidRPr="00327F9E">
        <w:rPr>
          <w:rFonts w:hint="cs"/>
          <w:sz w:val="23"/>
          <w:szCs w:val="23"/>
          <w:rtl/>
        </w:rPr>
        <w:softHyphen/>
        <w:t xml:space="preserve">شود تا بتوان ارزش جاری انتظاری متغیرهای تنزیل شدۀ آتی را بدست آورد. </w:t>
      </w:r>
    </w:p>
    <w:p w14:paraId="4880A5AD" w14:textId="77777777" w:rsidR="00411620" w:rsidRPr="00327F9E" w:rsidRDefault="00411620" w:rsidP="00411620">
      <w:pPr>
        <w:spacing w:line="216" w:lineRule="auto"/>
        <w:rPr>
          <w:sz w:val="23"/>
          <w:szCs w:val="23"/>
          <w:rtl/>
        </w:rPr>
      </w:pPr>
      <w:r w:rsidRPr="00327F9E">
        <w:rPr>
          <w:rFonts w:hint="cs"/>
          <w:sz w:val="23"/>
          <w:szCs w:val="23"/>
          <w:rtl/>
        </w:rPr>
        <w:t>مدافعین رویکرد مدل</w:t>
      </w:r>
      <w:r w:rsidRPr="00327F9E">
        <w:rPr>
          <w:sz w:val="23"/>
          <w:szCs w:val="23"/>
        </w:rPr>
        <w:softHyphen/>
      </w:r>
      <w:r w:rsidRPr="00327F9E">
        <w:rPr>
          <w:rFonts w:hint="cs"/>
          <w:sz w:val="23"/>
          <w:szCs w:val="23"/>
          <w:rtl/>
        </w:rPr>
        <w:t xml:space="preserve">سازی به روش </w:t>
      </w:r>
      <w:r w:rsidRPr="00327F9E">
        <w:rPr>
          <w:sz w:val="23"/>
          <w:szCs w:val="23"/>
        </w:rPr>
        <w:t>DSGE</w:t>
      </w:r>
      <w:r w:rsidRPr="00327F9E">
        <w:rPr>
          <w:rFonts w:hint="cs"/>
          <w:sz w:val="23"/>
          <w:szCs w:val="23"/>
          <w:rtl/>
        </w:rPr>
        <w:t xml:space="preserve"> در اقتصاد کلان چنین استدلال می</w:t>
      </w:r>
      <w:r w:rsidRPr="00327F9E">
        <w:rPr>
          <w:sz w:val="23"/>
          <w:szCs w:val="23"/>
        </w:rPr>
        <w:softHyphen/>
      </w:r>
      <w:r w:rsidRPr="00327F9E">
        <w:rPr>
          <w:rFonts w:hint="cs"/>
          <w:sz w:val="23"/>
          <w:szCs w:val="23"/>
          <w:rtl/>
        </w:rPr>
        <w:t>کنند که این رویکرد توجه جدی</w:t>
      </w:r>
      <w:r w:rsidRPr="00327F9E">
        <w:rPr>
          <w:rFonts w:hint="cs"/>
          <w:sz w:val="23"/>
          <w:szCs w:val="23"/>
          <w:rtl/>
        </w:rPr>
        <w:softHyphen/>
        <w:t>تر به نظریۀ اقتصادی نسبت به روش</w:t>
      </w:r>
      <w:r w:rsidRPr="00327F9E">
        <w:rPr>
          <w:rFonts w:hint="cs"/>
          <w:sz w:val="23"/>
          <w:szCs w:val="23"/>
          <w:rtl/>
        </w:rPr>
        <w:softHyphen/>
        <w:t>های دیگر دارد. استخراج روابط مربوط در این مدل که به صورت راه حل</w:t>
      </w:r>
      <w:r w:rsidRPr="00327F9E">
        <w:rPr>
          <w:rFonts w:hint="cs"/>
          <w:sz w:val="23"/>
          <w:szCs w:val="23"/>
          <w:rtl/>
        </w:rPr>
        <w:softHyphen/>
        <w:t>هایی برای مسائل بهینه</w:t>
      </w:r>
      <w:r w:rsidRPr="00327F9E">
        <w:rPr>
          <w:rFonts w:hint="cs"/>
          <w:sz w:val="23"/>
          <w:szCs w:val="23"/>
          <w:rtl/>
        </w:rPr>
        <w:softHyphen/>
        <w:t>یابی میان دوره</w:t>
      </w:r>
      <w:r w:rsidRPr="00327F9E">
        <w:rPr>
          <w:rFonts w:hint="cs"/>
          <w:sz w:val="23"/>
          <w:szCs w:val="23"/>
          <w:rtl/>
        </w:rPr>
        <w:softHyphen/>
        <w:t>ای خانوارها و بنگاه</w:t>
      </w:r>
      <w:r w:rsidRPr="00327F9E">
        <w:rPr>
          <w:rFonts w:hint="cs"/>
          <w:sz w:val="23"/>
          <w:szCs w:val="23"/>
          <w:rtl/>
        </w:rPr>
        <w:softHyphen/>
        <w:t>ها است دلالت بر آن دارد که این مدل دارای نوعی سازگاری درونی با نظریه</w:t>
      </w:r>
      <w:r w:rsidRPr="00327F9E">
        <w:rPr>
          <w:rFonts w:hint="cs"/>
          <w:sz w:val="23"/>
          <w:szCs w:val="23"/>
          <w:rtl/>
        </w:rPr>
        <w:softHyphen/>
        <w:t xml:space="preserve">های اقتصادی است. </w:t>
      </w:r>
    </w:p>
    <w:p w14:paraId="0A60C5B4" w14:textId="77777777" w:rsidR="00411620" w:rsidRPr="00327F9E" w:rsidRDefault="00411620" w:rsidP="00411620">
      <w:pPr>
        <w:spacing w:line="216" w:lineRule="auto"/>
        <w:rPr>
          <w:sz w:val="23"/>
          <w:szCs w:val="23"/>
          <w:rtl/>
        </w:rPr>
      </w:pPr>
      <w:r w:rsidRPr="00327F9E">
        <w:rPr>
          <w:rFonts w:hint="cs"/>
          <w:sz w:val="23"/>
          <w:szCs w:val="23"/>
          <w:rtl/>
        </w:rPr>
        <w:t>در این مدل</w:t>
      </w:r>
      <w:r w:rsidRPr="00327F9E">
        <w:rPr>
          <w:rFonts w:hint="cs"/>
          <w:sz w:val="23"/>
          <w:szCs w:val="23"/>
          <w:rtl/>
        </w:rPr>
        <w:softHyphen/>
        <w:t>ها نه فقط به شکل روابط میان متغیرهای اقتصادی در بلندمدت توجه می</w:t>
      </w:r>
      <w:r w:rsidRPr="00327F9E">
        <w:rPr>
          <w:rFonts w:hint="cs"/>
          <w:sz w:val="23"/>
          <w:szCs w:val="23"/>
          <w:rtl/>
        </w:rPr>
        <w:softHyphen/>
        <w:t>شود، بلکه روند پویای متغیرهای اقتصاد کلان در پاسخ به شوک</w:t>
      </w:r>
      <w:r w:rsidRPr="00327F9E">
        <w:rPr>
          <w:rFonts w:hint="cs"/>
          <w:sz w:val="23"/>
          <w:szCs w:val="23"/>
          <w:rtl/>
        </w:rPr>
        <w:softHyphen/>
        <w:t>های اقتصادی نیز نشان داده می</w:t>
      </w:r>
      <w:r w:rsidRPr="00327F9E">
        <w:rPr>
          <w:rFonts w:hint="cs"/>
          <w:sz w:val="23"/>
          <w:szCs w:val="23"/>
          <w:rtl/>
        </w:rPr>
        <w:softHyphen/>
        <w:t xml:space="preserve">شود. </w:t>
      </w:r>
    </w:p>
    <w:p w14:paraId="3D8D346D" w14:textId="77777777" w:rsidR="00411620" w:rsidRPr="00327F9E" w:rsidRDefault="00411620" w:rsidP="00411620">
      <w:pPr>
        <w:spacing w:line="216" w:lineRule="auto"/>
        <w:rPr>
          <w:sz w:val="23"/>
          <w:szCs w:val="23"/>
          <w:rtl/>
        </w:rPr>
      </w:pPr>
      <w:r w:rsidRPr="00327F9E">
        <w:rPr>
          <w:rFonts w:hint="cs"/>
          <w:sz w:val="23"/>
          <w:szCs w:val="23"/>
          <w:rtl/>
        </w:rPr>
        <w:t>درواقع، می</w:t>
      </w:r>
      <w:r w:rsidRPr="00327F9E">
        <w:rPr>
          <w:rFonts w:hint="cs"/>
          <w:sz w:val="23"/>
          <w:szCs w:val="23"/>
          <w:rtl/>
        </w:rPr>
        <w:softHyphen/>
        <w:t>توان میان دو مرحله در روند توسعه</w:t>
      </w:r>
      <w:r w:rsidRPr="00327F9E">
        <w:rPr>
          <w:rFonts w:hint="cs"/>
          <w:sz w:val="23"/>
          <w:szCs w:val="23"/>
          <w:rtl/>
        </w:rPr>
        <w:softHyphen/>
        <w:t>ی مدل</w:t>
      </w:r>
      <w:r w:rsidRPr="00327F9E">
        <w:rPr>
          <w:rFonts w:hint="cs"/>
          <w:sz w:val="23"/>
          <w:szCs w:val="23"/>
          <w:rtl/>
        </w:rPr>
        <w:softHyphen/>
        <w:t xml:space="preserve">های </w:t>
      </w:r>
      <w:r w:rsidRPr="00327F9E">
        <w:rPr>
          <w:sz w:val="23"/>
          <w:szCs w:val="23"/>
        </w:rPr>
        <w:t>DSGE</w:t>
      </w:r>
      <w:r w:rsidRPr="00327F9E">
        <w:rPr>
          <w:rFonts w:hint="cs"/>
          <w:sz w:val="23"/>
          <w:szCs w:val="23"/>
          <w:rtl/>
        </w:rPr>
        <w:t xml:space="preserve"> که دارای تبعات جداگانه</w:t>
      </w:r>
      <w:r w:rsidRPr="00327F9E">
        <w:rPr>
          <w:rFonts w:hint="cs"/>
          <w:sz w:val="23"/>
          <w:szCs w:val="23"/>
          <w:rtl/>
        </w:rPr>
        <w:softHyphen/>
        <w:t>ای هستند تمایز قایل شد. در وهلۀ اول، یکی از انگیزه</w:t>
      </w:r>
      <w:r w:rsidRPr="00327F9E">
        <w:rPr>
          <w:rFonts w:hint="cs"/>
          <w:sz w:val="23"/>
          <w:szCs w:val="23"/>
          <w:rtl/>
        </w:rPr>
        <w:softHyphen/>
        <w:t>های طراحی مدل</w:t>
      </w:r>
      <w:r w:rsidRPr="00327F9E">
        <w:rPr>
          <w:rFonts w:hint="cs"/>
          <w:sz w:val="23"/>
          <w:szCs w:val="23"/>
          <w:rtl/>
        </w:rPr>
        <w:softHyphen/>
        <w:t xml:space="preserve">های </w:t>
      </w:r>
      <w:r w:rsidRPr="00327F9E">
        <w:rPr>
          <w:sz w:val="23"/>
          <w:szCs w:val="23"/>
        </w:rPr>
        <w:t>DSGE</w:t>
      </w:r>
      <w:r w:rsidRPr="00327F9E">
        <w:rPr>
          <w:rFonts w:hint="cs"/>
          <w:sz w:val="23"/>
          <w:szCs w:val="23"/>
          <w:rtl/>
        </w:rPr>
        <w:t xml:space="preserve"> عبارت بود از اثبات این نکته که عکس</w:t>
      </w:r>
      <w:r w:rsidRPr="00327F9E">
        <w:rPr>
          <w:rFonts w:hint="cs"/>
          <w:sz w:val="23"/>
          <w:szCs w:val="23"/>
          <w:rtl/>
        </w:rPr>
        <w:softHyphen/>
        <w:t>العمل</w:t>
      </w:r>
      <w:r w:rsidRPr="00327F9E">
        <w:rPr>
          <w:rFonts w:hint="cs"/>
          <w:sz w:val="23"/>
          <w:szCs w:val="23"/>
          <w:rtl/>
        </w:rPr>
        <w:softHyphen/>
        <w:t>های پویای اقتصاد کلان با مدلی سازگار است که در آن هیچگونه شکست بازار وجود نداشته، پیامدهای پیش</w:t>
      </w:r>
      <w:r w:rsidRPr="00327F9E">
        <w:rPr>
          <w:rFonts w:hint="cs"/>
          <w:sz w:val="23"/>
          <w:szCs w:val="23"/>
          <w:rtl/>
        </w:rPr>
        <w:softHyphen/>
        <w:t>بینی شده دارای حالت بهینه پارتویی</w:t>
      </w:r>
      <w:r w:rsidRPr="00327F9E">
        <w:rPr>
          <w:rStyle w:val="FootnoteReference"/>
          <w:sz w:val="23"/>
          <w:szCs w:val="23"/>
          <w:rtl/>
        </w:rPr>
        <w:footnoteReference w:id="37"/>
      </w:r>
      <w:r w:rsidRPr="00327F9E">
        <w:rPr>
          <w:rFonts w:hint="cs"/>
          <w:sz w:val="23"/>
          <w:szCs w:val="23"/>
          <w:rtl/>
        </w:rPr>
        <w:t xml:space="preserve"> بوده و هرگونه دخالتی از سوی یک برنامه</w:t>
      </w:r>
      <w:r w:rsidRPr="00327F9E">
        <w:rPr>
          <w:rFonts w:hint="cs"/>
          <w:sz w:val="23"/>
          <w:szCs w:val="23"/>
          <w:rtl/>
        </w:rPr>
        <w:softHyphen/>
        <w:t xml:space="preserve">ریز اجتماعی برای وادار ساختن کارگزاران به تغییر رفتارشان موجب کاهش رفاه شود. دستورالعمل نظریۀ «ادوار حقیقی تجاری» که در کانون مرحله اول توسعه رویکرد </w:t>
      </w:r>
      <w:r w:rsidRPr="00327F9E">
        <w:rPr>
          <w:sz w:val="23"/>
          <w:szCs w:val="23"/>
        </w:rPr>
        <w:t>DSGE</w:t>
      </w:r>
      <w:r w:rsidRPr="00327F9E">
        <w:rPr>
          <w:rFonts w:hint="cs"/>
          <w:sz w:val="23"/>
          <w:szCs w:val="23"/>
          <w:rtl/>
        </w:rPr>
        <w:t xml:space="preserve"> قرار داشت موجب کاهش اهمیت نقش بالقوۀ سیاست پولی در ایجاد نوسانات اقتصادی شده و درعوض توجه قابل ملاحظه</w:t>
      </w:r>
      <w:r w:rsidRPr="00327F9E">
        <w:rPr>
          <w:rFonts w:hint="cs"/>
          <w:sz w:val="23"/>
          <w:szCs w:val="23"/>
          <w:rtl/>
        </w:rPr>
        <w:softHyphen/>
        <w:t>ای را معطوف به شوک</w:t>
      </w:r>
      <w:r w:rsidRPr="00327F9E">
        <w:rPr>
          <w:rFonts w:hint="cs"/>
          <w:sz w:val="23"/>
          <w:szCs w:val="23"/>
          <w:rtl/>
        </w:rPr>
        <w:softHyphen/>
        <w:t>های واقعی می</w:t>
      </w:r>
      <w:r w:rsidRPr="00327F9E">
        <w:rPr>
          <w:rFonts w:hint="cs"/>
          <w:sz w:val="23"/>
          <w:szCs w:val="23"/>
          <w:rtl/>
        </w:rPr>
        <w:softHyphen/>
        <w:t>نمود. درواقع در مرحله</w:t>
      </w:r>
      <w:r w:rsidRPr="00327F9E">
        <w:rPr>
          <w:rFonts w:hint="cs"/>
          <w:sz w:val="23"/>
          <w:szCs w:val="23"/>
          <w:rtl/>
        </w:rPr>
        <w:softHyphen/>
        <w:t>ی اولِ شکل</w:t>
      </w:r>
      <w:r w:rsidRPr="00327F9E">
        <w:rPr>
          <w:rFonts w:hint="cs"/>
          <w:sz w:val="23"/>
          <w:szCs w:val="23"/>
          <w:rtl/>
        </w:rPr>
        <w:softHyphen/>
        <w:t>گیری، بسیاری از مطالعات مربوط به مدل</w:t>
      </w:r>
      <w:r w:rsidRPr="00327F9E">
        <w:rPr>
          <w:rFonts w:hint="cs"/>
          <w:sz w:val="23"/>
          <w:szCs w:val="23"/>
          <w:rtl/>
        </w:rPr>
        <w:softHyphen/>
        <w:t xml:space="preserve">های </w:t>
      </w:r>
      <w:r w:rsidRPr="00327F9E">
        <w:rPr>
          <w:sz w:val="23"/>
          <w:szCs w:val="23"/>
        </w:rPr>
        <w:t>DSGE</w:t>
      </w:r>
      <w:r w:rsidRPr="00327F9E">
        <w:rPr>
          <w:rFonts w:hint="cs"/>
          <w:sz w:val="23"/>
          <w:szCs w:val="23"/>
          <w:rtl/>
        </w:rPr>
        <w:t xml:space="preserve"> نقش بخش پولی را نادیده می</w:t>
      </w:r>
      <w:r w:rsidRPr="00327F9E">
        <w:rPr>
          <w:rFonts w:hint="cs"/>
          <w:sz w:val="23"/>
          <w:szCs w:val="23"/>
          <w:rtl/>
        </w:rPr>
        <w:softHyphen/>
        <w:t>گرفتند.</w:t>
      </w:r>
    </w:p>
    <w:p w14:paraId="6D210F9D" w14:textId="77777777" w:rsidR="00411620" w:rsidRPr="00327F9E" w:rsidRDefault="00411620" w:rsidP="00411620">
      <w:pPr>
        <w:spacing w:line="216" w:lineRule="auto"/>
        <w:rPr>
          <w:sz w:val="23"/>
          <w:szCs w:val="23"/>
          <w:rtl/>
        </w:rPr>
      </w:pPr>
      <w:r w:rsidRPr="00327F9E">
        <w:rPr>
          <w:rFonts w:hint="cs"/>
          <w:sz w:val="23"/>
          <w:szCs w:val="23"/>
          <w:rtl/>
        </w:rPr>
        <w:t>متعاقباً به سرعت مشخص شد که مرحلۀ اول از شکل</w:t>
      </w:r>
      <w:r w:rsidRPr="00327F9E">
        <w:rPr>
          <w:rFonts w:hint="cs"/>
          <w:sz w:val="23"/>
          <w:szCs w:val="23"/>
          <w:rtl/>
        </w:rPr>
        <w:softHyphen/>
        <w:t>گیری مدل</w:t>
      </w:r>
      <w:r w:rsidRPr="00327F9E">
        <w:rPr>
          <w:rFonts w:hint="cs"/>
          <w:sz w:val="23"/>
          <w:szCs w:val="23"/>
          <w:rtl/>
        </w:rPr>
        <w:softHyphen/>
        <w:t>ها، مستلزم برخی اصلاحات است تا امکان فهم درست نوسانات اقتصادی میسر شود. اولین نسل مدل</w:t>
      </w:r>
      <w:r w:rsidRPr="00327F9E">
        <w:rPr>
          <w:rFonts w:hint="cs"/>
          <w:sz w:val="23"/>
          <w:szCs w:val="23"/>
          <w:rtl/>
        </w:rPr>
        <w:softHyphen/>
        <w:t xml:space="preserve">های </w:t>
      </w:r>
      <w:r w:rsidRPr="00327F9E">
        <w:rPr>
          <w:sz w:val="23"/>
          <w:szCs w:val="23"/>
        </w:rPr>
        <w:t>DSGE</w:t>
      </w:r>
      <w:r w:rsidRPr="00327F9E">
        <w:rPr>
          <w:rFonts w:hint="cs"/>
          <w:sz w:val="23"/>
          <w:szCs w:val="23"/>
          <w:rtl/>
        </w:rPr>
        <w:t xml:space="preserve"> نتیجتاً به گونه</w:t>
      </w:r>
      <w:r w:rsidRPr="00327F9E">
        <w:rPr>
          <w:rFonts w:hint="cs"/>
          <w:sz w:val="23"/>
          <w:szCs w:val="23"/>
          <w:rtl/>
        </w:rPr>
        <w:softHyphen/>
        <w:t xml:space="preserve">ای </w:t>
      </w:r>
      <w:r w:rsidRPr="00327F9E">
        <w:rPr>
          <w:rFonts w:hint="cs"/>
          <w:sz w:val="23"/>
          <w:szCs w:val="23"/>
          <w:rtl/>
        </w:rPr>
        <w:lastRenderedPageBreak/>
        <w:t>تعمیم یافت که شامل ویژگی</w:t>
      </w:r>
      <w:r w:rsidRPr="00327F9E">
        <w:rPr>
          <w:rFonts w:hint="cs"/>
          <w:sz w:val="23"/>
          <w:szCs w:val="23"/>
          <w:rtl/>
        </w:rPr>
        <w:softHyphen/>
        <w:t>های دیگری از قبیل هزینه</w:t>
      </w:r>
      <w:r w:rsidRPr="00327F9E">
        <w:rPr>
          <w:rFonts w:hint="cs"/>
          <w:sz w:val="23"/>
          <w:szCs w:val="23"/>
          <w:rtl/>
        </w:rPr>
        <w:softHyphen/>
        <w:t>های تعدیل،</w:t>
      </w:r>
      <w:r w:rsidRPr="00327F9E">
        <w:rPr>
          <w:rStyle w:val="FootnoteReference"/>
          <w:sz w:val="23"/>
          <w:szCs w:val="23"/>
          <w:rtl/>
        </w:rPr>
        <w:footnoteReference w:id="38"/>
      </w:r>
      <w:r w:rsidRPr="00327F9E">
        <w:rPr>
          <w:rFonts w:hint="cs"/>
          <w:sz w:val="23"/>
          <w:szCs w:val="23"/>
          <w:rtl/>
        </w:rPr>
        <w:t xml:space="preserve"> یادگیری و استخراج علائم،</w:t>
      </w:r>
      <w:r w:rsidRPr="00327F9E">
        <w:rPr>
          <w:rStyle w:val="FootnoteReference"/>
          <w:sz w:val="23"/>
          <w:szCs w:val="23"/>
          <w:rtl/>
        </w:rPr>
        <w:footnoteReference w:id="39"/>
      </w:r>
      <w:r w:rsidRPr="00327F9E">
        <w:rPr>
          <w:rFonts w:hint="cs"/>
          <w:sz w:val="23"/>
          <w:szCs w:val="23"/>
          <w:rtl/>
        </w:rPr>
        <w:t xml:space="preserve"> کلی</w:t>
      </w:r>
      <w:r w:rsidRPr="00327F9E">
        <w:rPr>
          <w:rFonts w:hint="cs"/>
          <w:sz w:val="23"/>
          <w:szCs w:val="23"/>
          <w:rtl/>
        </w:rPr>
        <w:softHyphen/>
        <w:t>سازی،</w:t>
      </w:r>
      <w:r w:rsidRPr="00327F9E">
        <w:rPr>
          <w:rStyle w:val="FootnoteReference"/>
          <w:sz w:val="23"/>
          <w:szCs w:val="23"/>
          <w:rtl/>
        </w:rPr>
        <w:footnoteReference w:id="40"/>
      </w:r>
      <w:r w:rsidRPr="00327F9E">
        <w:rPr>
          <w:rFonts w:hint="cs"/>
          <w:sz w:val="23"/>
          <w:szCs w:val="23"/>
          <w:rtl/>
        </w:rPr>
        <w:t xml:space="preserve"> پیشرفت</w:t>
      </w:r>
      <w:r w:rsidRPr="00327F9E">
        <w:rPr>
          <w:rFonts w:hint="cs"/>
          <w:sz w:val="23"/>
          <w:szCs w:val="23"/>
          <w:rtl/>
        </w:rPr>
        <w:softHyphen/>
        <w:t>های تکنولوژیک درون</w:t>
      </w:r>
      <w:r w:rsidRPr="00327F9E">
        <w:rPr>
          <w:rFonts w:hint="cs"/>
          <w:sz w:val="23"/>
          <w:szCs w:val="23"/>
          <w:rtl/>
        </w:rPr>
        <w:softHyphen/>
        <w:t>زا</w:t>
      </w:r>
      <w:r w:rsidRPr="00327F9E">
        <w:rPr>
          <w:rStyle w:val="FootnoteReference"/>
          <w:sz w:val="23"/>
          <w:szCs w:val="23"/>
          <w:rtl/>
        </w:rPr>
        <w:footnoteReference w:id="41"/>
      </w:r>
      <w:r w:rsidRPr="00327F9E">
        <w:rPr>
          <w:rFonts w:hint="cs"/>
          <w:sz w:val="23"/>
          <w:szCs w:val="23"/>
          <w:rtl/>
        </w:rPr>
        <w:t xml:space="preserve"> و ناهمگنی</w:t>
      </w:r>
      <w:r w:rsidRPr="00327F9E">
        <w:rPr>
          <w:rFonts w:hint="cs"/>
          <w:sz w:val="23"/>
          <w:szCs w:val="23"/>
          <w:rtl/>
        </w:rPr>
        <w:softHyphen/>
        <w:t>های اطلاعات</w:t>
      </w:r>
      <w:r w:rsidRPr="00327F9E">
        <w:rPr>
          <w:rStyle w:val="FootnoteReference"/>
          <w:sz w:val="23"/>
          <w:szCs w:val="23"/>
          <w:rtl/>
        </w:rPr>
        <w:footnoteReference w:id="42"/>
      </w:r>
      <w:r w:rsidRPr="00327F9E">
        <w:rPr>
          <w:rFonts w:hint="cs"/>
          <w:sz w:val="23"/>
          <w:szCs w:val="23"/>
          <w:rtl/>
        </w:rPr>
        <w:t xml:space="preserve"> و ... نیز شدند. مع</w:t>
      </w:r>
      <w:r w:rsidRPr="00327F9E">
        <w:rPr>
          <w:rFonts w:hint="cs"/>
          <w:sz w:val="23"/>
          <w:szCs w:val="23"/>
          <w:rtl/>
        </w:rPr>
        <w:softHyphen/>
        <w:t>هذا، هنوز مشخص نبود که آیا امکان تدوین و بسط مدلی وجود دارد که توانایی بررسی همزمان تمام عوامل مورد نظر را به شکل رضایت بخش فراهم سازد، و حتی در صورت وجود چنین توانایی آیا از شفافیت بیشتر و سهولت تفسیر در قیاس با سایر مدل</w:t>
      </w:r>
      <w:r w:rsidRPr="00327F9E">
        <w:rPr>
          <w:rFonts w:hint="cs"/>
          <w:sz w:val="23"/>
          <w:szCs w:val="23"/>
          <w:rtl/>
        </w:rPr>
        <w:softHyphen/>
        <w:t xml:space="preserve">های اقتصاد کلان برخوردار هست یا خیر. </w:t>
      </w:r>
    </w:p>
    <w:p w14:paraId="2860E7F5" w14:textId="77777777" w:rsidR="00411620" w:rsidRPr="00327F9E" w:rsidRDefault="00411620" w:rsidP="00411620">
      <w:pPr>
        <w:spacing w:line="216" w:lineRule="auto"/>
        <w:rPr>
          <w:sz w:val="23"/>
          <w:szCs w:val="23"/>
          <w:rtl/>
        </w:rPr>
      </w:pPr>
      <w:r w:rsidRPr="00327F9E">
        <w:rPr>
          <w:rFonts w:hint="cs"/>
          <w:sz w:val="23"/>
          <w:szCs w:val="23"/>
          <w:rtl/>
        </w:rPr>
        <w:t>مرحلۀ دوم در روند توسعه</w:t>
      </w:r>
      <w:r w:rsidRPr="00327F9E">
        <w:rPr>
          <w:rFonts w:hint="cs"/>
          <w:sz w:val="23"/>
          <w:szCs w:val="23"/>
          <w:rtl/>
        </w:rPr>
        <w:softHyphen/>
        <w:t>ی مدل</w:t>
      </w:r>
      <w:r w:rsidRPr="00327F9E">
        <w:rPr>
          <w:rFonts w:hint="cs"/>
          <w:sz w:val="23"/>
          <w:szCs w:val="23"/>
          <w:rtl/>
        </w:rPr>
        <w:softHyphen/>
        <w:t xml:space="preserve">های </w:t>
      </w:r>
      <w:r w:rsidRPr="00327F9E">
        <w:rPr>
          <w:sz w:val="23"/>
          <w:szCs w:val="23"/>
        </w:rPr>
        <w:t>DSGE</w:t>
      </w:r>
      <w:r w:rsidRPr="00327F9E">
        <w:rPr>
          <w:rFonts w:hint="cs"/>
          <w:sz w:val="23"/>
          <w:szCs w:val="23"/>
          <w:rtl/>
        </w:rPr>
        <w:t xml:space="preserve"> حاکی از نوعی بازگشت به ویژگی</w:t>
      </w:r>
      <w:r w:rsidRPr="00327F9E">
        <w:rPr>
          <w:rFonts w:hint="cs"/>
          <w:sz w:val="23"/>
          <w:szCs w:val="23"/>
          <w:rtl/>
        </w:rPr>
        <w:softHyphen/>
        <w:t>های اساسی اولین مدل</w:t>
      </w:r>
      <w:r w:rsidRPr="00327F9E">
        <w:rPr>
          <w:rFonts w:hint="cs"/>
          <w:sz w:val="23"/>
          <w:szCs w:val="23"/>
          <w:rtl/>
        </w:rPr>
        <w:softHyphen/>
        <w:t xml:space="preserve">های </w:t>
      </w:r>
      <w:r w:rsidRPr="00327F9E">
        <w:rPr>
          <w:sz w:val="23"/>
          <w:szCs w:val="23"/>
        </w:rPr>
        <w:t>DSGE</w:t>
      </w:r>
      <w:r w:rsidRPr="00327F9E">
        <w:rPr>
          <w:rFonts w:hint="cs"/>
          <w:sz w:val="23"/>
          <w:szCs w:val="23"/>
          <w:rtl/>
        </w:rPr>
        <w:t xml:space="preserve"> بود که در آن شالوده</w:t>
      </w:r>
      <w:r w:rsidRPr="00327F9E">
        <w:rPr>
          <w:rFonts w:hint="cs"/>
          <w:sz w:val="23"/>
          <w:szCs w:val="23"/>
          <w:rtl/>
        </w:rPr>
        <w:softHyphen/>
        <w:t>های خُردِ نوسانات کلان اقتصادی مورد توجه قرار گرفت. در عین حال توجه بیشتری به آن دسته از عوامل پولی معطوف گردید که چرخه</w:t>
      </w:r>
      <w:r w:rsidRPr="00327F9E">
        <w:rPr>
          <w:rFonts w:hint="cs"/>
          <w:sz w:val="23"/>
          <w:szCs w:val="23"/>
          <w:rtl/>
        </w:rPr>
        <w:softHyphen/>
        <w:t>های تجاری را تحت تأثیر خود قرار می</w:t>
      </w:r>
      <w:r w:rsidRPr="00327F9E">
        <w:rPr>
          <w:rFonts w:hint="cs"/>
          <w:sz w:val="23"/>
          <w:szCs w:val="23"/>
          <w:rtl/>
        </w:rPr>
        <w:softHyphen/>
        <w:t>دادند. در این راستا تلاش</w:t>
      </w:r>
      <w:r w:rsidRPr="00327F9E">
        <w:rPr>
          <w:rFonts w:hint="cs"/>
          <w:sz w:val="23"/>
          <w:szCs w:val="23"/>
          <w:rtl/>
        </w:rPr>
        <w:softHyphen/>
        <w:t>های اولیه</w:t>
      </w:r>
      <w:r w:rsidRPr="00327F9E">
        <w:rPr>
          <w:rFonts w:hint="cs"/>
          <w:sz w:val="23"/>
          <w:szCs w:val="23"/>
          <w:rtl/>
        </w:rPr>
        <w:softHyphen/>
        <w:t>ای برای وارد ساختن پول در مدل</w:t>
      </w:r>
      <w:r w:rsidRPr="00327F9E">
        <w:rPr>
          <w:rFonts w:hint="cs"/>
          <w:sz w:val="23"/>
          <w:szCs w:val="23"/>
          <w:rtl/>
        </w:rPr>
        <w:softHyphen/>
        <w:t xml:space="preserve">های </w:t>
      </w:r>
      <w:r w:rsidRPr="00327F9E">
        <w:rPr>
          <w:sz w:val="23"/>
          <w:szCs w:val="23"/>
        </w:rPr>
        <w:t>DSGE</w:t>
      </w:r>
      <w:r w:rsidRPr="00327F9E">
        <w:rPr>
          <w:rFonts w:hint="cs"/>
          <w:sz w:val="23"/>
          <w:szCs w:val="23"/>
          <w:rtl/>
        </w:rPr>
        <w:t xml:space="preserve"> صورت گرفت.</w:t>
      </w:r>
      <w:r w:rsidRPr="00327F9E">
        <w:rPr>
          <w:rStyle w:val="FootnoteReference"/>
          <w:sz w:val="23"/>
          <w:szCs w:val="23"/>
          <w:rtl/>
        </w:rPr>
        <w:footnoteReference w:id="43"/>
      </w:r>
      <w:r w:rsidRPr="00327F9E">
        <w:rPr>
          <w:rFonts w:hint="cs"/>
          <w:sz w:val="23"/>
          <w:szCs w:val="23"/>
          <w:rtl/>
        </w:rPr>
        <w:t xml:space="preserve"> آثار اقتصادی قابل ملاحظه</w:t>
      </w:r>
      <w:r w:rsidRPr="00327F9E">
        <w:rPr>
          <w:sz w:val="23"/>
          <w:szCs w:val="23"/>
        </w:rPr>
        <w:softHyphen/>
      </w:r>
      <w:r w:rsidRPr="00327F9E">
        <w:rPr>
          <w:rFonts w:hint="cs"/>
          <w:sz w:val="23"/>
          <w:szCs w:val="23"/>
          <w:rtl/>
        </w:rPr>
        <w:t>ای در خصوص مدل</w:t>
      </w:r>
      <w:r w:rsidRPr="00327F9E">
        <w:rPr>
          <w:sz w:val="23"/>
          <w:szCs w:val="23"/>
        </w:rPr>
        <w:softHyphen/>
      </w:r>
      <w:r w:rsidRPr="00327F9E">
        <w:rPr>
          <w:rFonts w:hint="cs"/>
          <w:sz w:val="23"/>
          <w:szCs w:val="23"/>
          <w:rtl/>
        </w:rPr>
        <w:t xml:space="preserve">های کینزی جدید </w:t>
      </w:r>
      <w:r w:rsidRPr="00327F9E">
        <w:rPr>
          <w:sz w:val="23"/>
          <w:szCs w:val="23"/>
        </w:rPr>
        <w:t>DSGE</w:t>
      </w:r>
      <w:r w:rsidRPr="00327F9E">
        <w:rPr>
          <w:rFonts w:hint="cs"/>
          <w:sz w:val="23"/>
          <w:szCs w:val="23"/>
          <w:rtl/>
        </w:rPr>
        <w:t xml:space="preserve"> وجود دارد که با محوریت چسبندگی</w:t>
      </w:r>
      <w:r w:rsidRPr="00327F9E">
        <w:rPr>
          <w:rFonts w:hint="cs"/>
          <w:sz w:val="23"/>
          <w:szCs w:val="23"/>
          <w:rtl/>
        </w:rPr>
        <w:softHyphen/>
        <w:t xml:space="preserve"> دستمزدها و قیمت</w:t>
      </w:r>
      <w:r w:rsidRPr="00327F9E">
        <w:rPr>
          <w:rFonts w:hint="cs"/>
          <w:sz w:val="23"/>
          <w:szCs w:val="23"/>
          <w:rtl/>
        </w:rPr>
        <w:softHyphen/>
        <w:t>ها تدوین شده و هدف اصلی از طراحی آن</w:t>
      </w:r>
      <w:r w:rsidRPr="00327F9E">
        <w:rPr>
          <w:sz w:val="23"/>
          <w:szCs w:val="23"/>
          <w:rtl/>
        </w:rPr>
        <w:softHyphen/>
      </w:r>
      <w:r w:rsidRPr="00327F9E">
        <w:rPr>
          <w:rFonts w:hint="cs"/>
          <w:sz w:val="23"/>
          <w:szCs w:val="23"/>
          <w:rtl/>
        </w:rPr>
        <w:t>ها بررسی اثرات سیاست</w:t>
      </w:r>
      <w:r w:rsidRPr="00327F9E">
        <w:rPr>
          <w:rFonts w:hint="cs"/>
          <w:sz w:val="23"/>
          <w:szCs w:val="23"/>
          <w:rtl/>
        </w:rPr>
        <w:softHyphen/>
        <w:t>های پولی است.</w:t>
      </w:r>
      <w:r w:rsidRPr="00327F9E">
        <w:rPr>
          <w:rStyle w:val="FootnoteReference"/>
          <w:sz w:val="23"/>
          <w:szCs w:val="23"/>
          <w:rtl/>
        </w:rPr>
        <w:footnoteReference w:id="44"/>
      </w:r>
      <w:r w:rsidRPr="00327F9E">
        <w:rPr>
          <w:rFonts w:hint="cs"/>
          <w:sz w:val="23"/>
          <w:szCs w:val="23"/>
          <w:rtl/>
        </w:rPr>
        <w:t xml:space="preserve"> یک مدل ساده</w:t>
      </w:r>
      <w:r w:rsidRPr="00327F9E">
        <w:rPr>
          <w:sz w:val="23"/>
          <w:szCs w:val="23"/>
          <w:rtl/>
        </w:rPr>
        <w:softHyphen/>
      </w:r>
      <w:r w:rsidRPr="00327F9E">
        <w:rPr>
          <w:rFonts w:hint="cs"/>
          <w:sz w:val="23"/>
          <w:szCs w:val="23"/>
          <w:rtl/>
        </w:rPr>
        <w:t xml:space="preserve">ی </w:t>
      </w:r>
      <w:r w:rsidRPr="00327F9E">
        <w:rPr>
          <w:sz w:val="23"/>
          <w:szCs w:val="23"/>
        </w:rPr>
        <w:t>DSGE</w:t>
      </w:r>
      <w:r w:rsidRPr="00327F9E">
        <w:rPr>
          <w:rFonts w:hint="cs"/>
          <w:sz w:val="23"/>
          <w:szCs w:val="23"/>
          <w:rtl/>
        </w:rPr>
        <w:t xml:space="preserve"> کینزی جدید شامل سه جزء است. یکی منحنی </w:t>
      </w:r>
      <w:r w:rsidRPr="00327F9E">
        <w:rPr>
          <w:sz w:val="23"/>
          <w:szCs w:val="23"/>
        </w:rPr>
        <w:t>IS</w:t>
      </w:r>
      <w:r w:rsidRPr="00327F9E">
        <w:rPr>
          <w:rFonts w:hint="cs"/>
          <w:sz w:val="23"/>
          <w:szCs w:val="23"/>
          <w:rtl/>
        </w:rPr>
        <w:t xml:space="preserve"> که تولید را با نرخ بهرۀ واقعی انتظاری مرتبط می</w:t>
      </w:r>
      <w:r w:rsidRPr="00327F9E">
        <w:rPr>
          <w:rFonts w:hint="cs"/>
          <w:sz w:val="23"/>
          <w:szCs w:val="23"/>
          <w:rtl/>
        </w:rPr>
        <w:softHyphen/>
        <w:t>سازد، دیگری منحنی فیلیپس که تورم را با تولید یا بیکاری و تورم انتظاری مرتبط ساخته و اندازه</w:t>
      </w:r>
      <w:r w:rsidRPr="00327F9E">
        <w:rPr>
          <w:rFonts w:hint="cs"/>
          <w:sz w:val="23"/>
          <w:szCs w:val="23"/>
          <w:rtl/>
        </w:rPr>
        <w:softHyphen/>
        <w:t>گیری آن براساس میزان انحراف از خط روند صورت می</w:t>
      </w:r>
      <w:r w:rsidRPr="00327F9E">
        <w:rPr>
          <w:rFonts w:hint="cs"/>
          <w:sz w:val="23"/>
          <w:szCs w:val="23"/>
          <w:rtl/>
        </w:rPr>
        <w:softHyphen/>
        <w:t>گیرد، و بالاخره سومین جزء که یک قاعده</w:t>
      </w:r>
      <w:r w:rsidRPr="00327F9E">
        <w:rPr>
          <w:rFonts w:hint="cs"/>
          <w:sz w:val="23"/>
          <w:szCs w:val="23"/>
          <w:rtl/>
        </w:rPr>
        <w:softHyphen/>
        <w:t>ی سیاست</w:t>
      </w:r>
      <w:r w:rsidRPr="00327F9E">
        <w:rPr>
          <w:rFonts w:hint="cs"/>
          <w:sz w:val="23"/>
          <w:szCs w:val="23"/>
          <w:rtl/>
        </w:rPr>
        <w:softHyphen/>
        <w:t>گذاری است که نرخ بهره</w:t>
      </w:r>
      <w:r w:rsidRPr="00327F9E">
        <w:rPr>
          <w:rFonts w:hint="cs"/>
          <w:sz w:val="23"/>
          <w:szCs w:val="23"/>
          <w:rtl/>
        </w:rPr>
        <w:softHyphen/>
        <w:t>ی اسمی را به میزان تولید و تورم مرتبط می</w:t>
      </w:r>
      <w:r w:rsidRPr="00327F9E">
        <w:rPr>
          <w:rFonts w:hint="cs"/>
          <w:sz w:val="23"/>
          <w:szCs w:val="23"/>
          <w:rtl/>
        </w:rPr>
        <w:softHyphen/>
        <w:t>کند. انگیزه</w:t>
      </w:r>
      <w:r w:rsidRPr="00327F9E">
        <w:rPr>
          <w:rFonts w:hint="cs"/>
          <w:sz w:val="23"/>
          <w:szCs w:val="23"/>
          <w:rtl/>
        </w:rPr>
        <w:softHyphen/>
        <w:t xml:space="preserve">ی طرح منحنی </w:t>
      </w:r>
      <w:r w:rsidRPr="00327F9E">
        <w:rPr>
          <w:sz w:val="23"/>
          <w:szCs w:val="23"/>
        </w:rPr>
        <w:t>IS</w:t>
      </w:r>
      <w:r w:rsidRPr="00327F9E">
        <w:rPr>
          <w:rFonts w:hint="cs"/>
          <w:sz w:val="23"/>
          <w:szCs w:val="23"/>
          <w:rtl/>
        </w:rPr>
        <w:t xml:space="preserve"> با توجه به رفتار بهینه</w:t>
      </w:r>
      <w:r w:rsidRPr="00327F9E">
        <w:rPr>
          <w:sz w:val="23"/>
          <w:szCs w:val="23"/>
          <w:rtl/>
        </w:rPr>
        <w:softHyphen/>
      </w:r>
      <w:r w:rsidRPr="00327F9E">
        <w:rPr>
          <w:rFonts w:hint="cs"/>
          <w:sz w:val="23"/>
          <w:szCs w:val="23"/>
          <w:rtl/>
        </w:rPr>
        <w:t>ی خانوارها شکل می</w:t>
      </w:r>
      <w:r w:rsidRPr="00327F9E">
        <w:rPr>
          <w:rFonts w:hint="cs"/>
          <w:sz w:val="23"/>
          <w:szCs w:val="23"/>
          <w:rtl/>
        </w:rPr>
        <w:softHyphen/>
        <w:t>گیرد و طراحی منحنی فیلیپس مبتنی بر رفتار قیمت</w:t>
      </w:r>
      <w:r w:rsidRPr="00327F9E">
        <w:rPr>
          <w:rFonts w:hint="cs"/>
          <w:sz w:val="23"/>
          <w:szCs w:val="23"/>
          <w:rtl/>
        </w:rPr>
        <w:softHyphen/>
        <w:t>گذاری معطوف به حداکثرسازی سود در بنگاه</w:t>
      </w:r>
      <w:r w:rsidRPr="00327F9E">
        <w:rPr>
          <w:rFonts w:hint="cs"/>
          <w:sz w:val="23"/>
          <w:szCs w:val="23"/>
          <w:rtl/>
        </w:rPr>
        <w:softHyphen/>
        <w:t>هایی است که در شرایط رقابت انحصاری فعالیت می</w:t>
      </w:r>
      <w:r w:rsidRPr="00327F9E">
        <w:rPr>
          <w:rFonts w:hint="cs"/>
          <w:sz w:val="23"/>
          <w:szCs w:val="23"/>
          <w:rtl/>
        </w:rPr>
        <w:softHyphen/>
        <w:t>کنند. نهایتاً شکل قاعده</w:t>
      </w:r>
      <w:r w:rsidRPr="00327F9E">
        <w:rPr>
          <w:rFonts w:hint="cs"/>
          <w:sz w:val="23"/>
          <w:szCs w:val="23"/>
          <w:rtl/>
        </w:rPr>
        <w:softHyphen/>
        <w:t>ی سیاست</w:t>
      </w:r>
      <w:r w:rsidRPr="00327F9E">
        <w:rPr>
          <w:rFonts w:hint="cs"/>
          <w:sz w:val="23"/>
          <w:szCs w:val="23"/>
          <w:rtl/>
        </w:rPr>
        <w:softHyphen/>
        <w:t>گذاری مذکور براساس رفتار یک سیاست</w:t>
      </w:r>
      <w:r w:rsidRPr="00327F9E">
        <w:rPr>
          <w:rFonts w:hint="cs"/>
          <w:sz w:val="23"/>
          <w:szCs w:val="23"/>
          <w:rtl/>
        </w:rPr>
        <w:softHyphen/>
        <w:t>گذار استوار است که اقدام به بهینه</w:t>
      </w:r>
      <w:r w:rsidRPr="00327F9E">
        <w:rPr>
          <w:rFonts w:hint="cs"/>
          <w:sz w:val="23"/>
          <w:szCs w:val="23"/>
          <w:rtl/>
        </w:rPr>
        <w:softHyphen/>
        <w:t>سازی تابع هدفی می</w:t>
      </w:r>
      <w:r w:rsidRPr="00327F9E">
        <w:rPr>
          <w:rFonts w:hint="cs"/>
          <w:sz w:val="23"/>
          <w:szCs w:val="23"/>
          <w:rtl/>
        </w:rPr>
        <w:softHyphen/>
        <w:t>کند که رفاه افراد را براساس میزان تولید و تورم توصیف و حداکثر می</w:t>
      </w:r>
      <w:r w:rsidRPr="00327F9E">
        <w:rPr>
          <w:rFonts w:hint="cs"/>
          <w:sz w:val="23"/>
          <w:szCs w:val="23"/>
          <w:rtl/>
        </w:rPr>
        <w:softHyphen/>
        <w:t>کند. همان</w:t>
      </w:r>
      <w:r w:rsidRPr="00327F9E">
        <w:rPr>
          <w:rFonts w:hint="cs"/>
          <w:sz w:val="23"/>
          <w:szCs w:val="23"/>
          <w:rtl/>
        </w:rPr>
        <w:softHyphen/>
        <w:t>گونه که در تمام مدل</w:t>
      </w:r>
      <w:r w:rsidRPr="00327F9E">
        <w:rPr>
          <w:rFonts w:hint="cs"/>
          <w:sz w:val="23"/>
          <w:szCs w:val="23"/>
          <w:rtl/>
        </w:rPr>
        <w:softHyphen/>
        <w:t xml:space="preserve">های </w:t>
      </w:r>
      <w:r w:rsidRPr="00327F9E">
        <w:rPr>
          <w:sz w:val="23"/>
          <w:szCs w:val="23"/>
        </w:rPr>
        <w:t>DSGE</w:t>
      </w:r>
      <w:r w:rsidRPr="00327F9E">
        <w:rPr>
          <w:rFonts w:hint="cs"/>
          <w:sz w:val="23"/>
          <w:szCs w:val="23"/>
          <w:rtl/>
        </w:rPr>
        <w:t xml:space="preserve"> نیز ملاحظه می</w:t>
      </w:r>
      <w:r w:rsidRPr="00327F9E">
        <w:rPr>
          <w:rFonts w:hint="cs"/>
          <w:sz w:val="23"/>
          <w:szCs w:val="23"/>
          <w:rtl/>
        </w:rPr>
        <w:softHyphen/>
        <w:t>شود، تصمیمات اتخاذ شده از سوی خانوارها، بنگاه</w:t>
      </w:r>
      <w:r w:rsidRPr="00327F9E">
        <w:rPr>
          <w:rFonts w:hint="cs"/>
          <w:sz w:val="23"/>
          <w:szCs w:val="23"/>
          <w:rtl/>
        </w:rPr>
        <w:softHyphen/>
        <w:t>ها و سیاست</w:t>
      </w:r>
      <w:r w:rsidRPr="00327F9E">
        <w:rPr>
          <w:rFonts w:hint="cs"/>
          <w:sz w:val="23"/>
          <w:szCs w:val="23"/>
          <w:rtl/>
        </w:rPr>
        <w:softHyphen/>
        <w:t>گذاران به یکدیگر مرتبط بوده و در بین دوره</w:t>
      </w:r>
      <w:r w:rsidRPr="00327F9E">
        <w:rPr>
          <w:rFonts w:hint="cs"/>
          <w:sz w:val="23"/>
          <w:szCs w:val="23"/>
          <w:rtl/>
        </w:rPr>
        <w:softHyphen/>
        <w:t>های زمانی مختلف تحقق می</w:t>
      </w:r>
      <w:r w:rsidRPr="00327F9E">
        <w:rPr>
          <w:rFonts w:hint="cs"/>
          <w:sz w:val="23"/>
          <w:szCs w:val="23"/>
          <w:rtl/>
        </w:rPr>
        <w:softHyphen/>
        <w:t>یابند و ساختارهای پویای اقتصادی را شکل می</w:t>
      </w:r>
      <w:r w:rsidRPr="00327F9E">
        <w:rPr>
          <w:rFonts w:hint="cs"/>
          <w:sz w:val="23"/>
          <w:szCs w:val="23"/>
          <w:rtl/>
        </w:rPr>
        <w:softHyphen/>
        <w:t>بخشند. در این مدل</w:t>
      </w:r>
      <w:r w:rsidRPr="00327F9E">
        <w:rPr>
          <w:rFonts w:hint="cs"/>
          <w:sz w:val="23"/>
          <w:szCs w:val="23"/>
          <w:rtl/>
        </w:rPr>
        <w:softHyphen/>
        <w:t>ها توجه خاصی معطوف چسبندگی</w:t>
      </w:r>
      <w:r w:rsidRPr="00327F9E">
        <w:rPr>
          <w:rFonts w:hint="cs"/>
          <w:sz w:val="23"/>
          <w:szCs w:val="23"/>
          <w:rtl/>
        </w:rPr>
        <w:softHyphen/>
        <w:t>های قیمت</w:t>
      </w:r>
      <w:r w:rsidRPr="00327F9E">
        <w:rPr>
          <w:rFonts w:hint="cs"/>
          <w:sz w:val="23"/>
          <w:szCs w:val="23"/>
          <w:rtl/>
        </w:rPr>
        <w:softHyphen/>
        <w:t>ها می</w:t>
      </w:r>
      <w:r w:rsidRPr="00327F9E">
        <w:rPr>
          <w:rFonts w:hint="cs"/>
          <w:sz w:val="23"/>
          <w:szCs w:val="23"/>
          <w:rtl/>
        </w:rPr>
        <w:softHyphen/>
        <w:t>شود و به نوع قراردادها که در تعیین مجدد قیمت</w:t>
      </w:r>
      <w:r w:rsidRPr="00327F9E">
        <w:rPr>
          <w:rFonts w:hint="cs"/>
          <w:sz w:val="23"/>
          <w:szCs w:val="23"/>
          <w:rtl/>
        </w:rPr>
        <w:softHyphen/>
        <w:t>ها به صورت دوره</w:t>
      </w:r>
      <w:r w:rsidRPr="00327F9E">
        <w:rPr>
          <w:rFonts w:hint="cs"/>
          <w:sz w:val="23"/>
          <w:szCs w:val="23"/>
          <w:rtl/>
        </w:rPr>
        <w:softHyphen/>
        <w:t>ای و با احتمال ثابت است تا فی</w:t>
      </w:r>
      <w:r w:rsidRPr="00327F9E">
        <w:rPr>
          <w:rFonts w:hint="cs"/>
          <w:sz w:val="23"/>
          <w:szCs w:val="23"/>
          <w:rtl/>
        </w:rPr>
        <w:softHyphen/>
        <w:t>المثل اثرات گذشته</w:t>
      </w:r>
      <w:r w:rsidRPr="00327F9E">
        <w:rPr>
          <w:rFonts w:hint="cs"/>
          <w:sz w:val="23"/>
          <w:szCs w:val="23"/>
          <w:rtl/>
        </w:rPr>
        <w:softHyphen/>
        <w:t>نگر و آینده</w:t>
      </w:r>
      <w:r w:rsidRPr="00327F9E">
        <w:rPr>
          <w:rFonts w:hint="cs"/>
          <w:sz w:val="23"/>
          <w:szCs w:val="23"/>
          <w:rtl/>
        </w:rPr>
        <w:softHyphen/>
        <w:t>نگر در منحنی فیلیپس نیز تحقق یابد توجه می</w:t>
      </w:r>
      <w:r w:rsidRPr="00327F9E">
        <w:rPr>
          <w:rFonts w:hint="cs"/>
          <w:sz w:val="23"/>
          <w:szCs w:val="23"/>
          <w:rtl/>
        </w:rPr>
        <w:softHyphen/>
        <w:t>شود. این</w:t>
      </w:r>
      <w:r w:rsidRPr="00327F9E">
        <w:rPr>
          <w:rFonts w:hint="cs"/>
          <w:sz w:val="23"/>
          <w:szCs w:val="23"/>
          <w:rtl/>
        </w:rPr>
        <w:softHyphen/>
        <w:t>گونه مفروضات مدل</w:t>
      </w:r>
      <w:r w:rsidRPr="00327F9E">
        <w:rPr>
          <w:rFonts w:hint="cs"/>
          <w:sz w:val="23"/>
          <w:szCs w:val="23"/>
          <w:rtl/>
        </w:rPr>
        <w:softHyphen/>
        <w:t>سازی تبعات مهمی برای ویژگی</w:t>
      </w:r>
      <w:r w:rsidRPr="00327F9E">
        <w:rPr>
          <w:rFonts w:hint="cs"/>
          <w:sz w:val="23"/>
          <w:szCs w:val="23"/>
          <w:rtl/>
        </w:rPr>
        <w:softHyphen/>
        <w:t>های پویای مدل</w:t>
      </w:r>
      <w:r w:rsidRPr="00327F9E">
        <w:rPr>
          <w:rFonts w:hint="cs"/>
          <w:sz w:val="23"/>
          <w:szCs w:val="23"/>
          <w:rtl/>
        </w:rPr>
        <w:softHyphen/>
        <w:t xml:space="preserve">های </w:t>
      </w:r>
      <w:r w:rsidRPr="00327F9E">
        <w:rPr>
          <w:sz w:val="23"/>
          <w:szCs w:val="23"/>
        </w:rPr>
        <w:t>DSGE</w:t>
      </w:r>
      <w:r w:rsidRPr="00327F9E">
        <w:rPr>
          <w:rFonts w:hint="cs"/>
          <w:sz w:val="23"/>
          <w:szCs w:val="23"/>
          <w:rtl/>
        </w:rPr>
        <w:t>، توانایی آن</w:t>
      </w:r>
      <w:r w:rsidRPr="00327F9E">
        <w:rPr>
          <w:rFonts w:hint="cs"/>
          <w:sz w:val="23"/>
          <w:szCs w:val="23"/>
          <w:rtl/>
        </w:rPr>
        <w:softHyphen/>
        <w:t xml:space="preserve">ها در برازش </w:t>
      </w:r>
      <w:r w:rsidRPr="00327F9E">
        <w:rPr>
          <w:rFonts w:hint="cs"/>
          <w:sz w:val="23"/>
          <w:szCs w:val="23"/>
          <w:rtl/>
        </w:rPr>
        <w:lastRenderedPageBreak/>
        <w:t>داده</w:t>
      </w:r>
      <w:r w:rsidRPr="00327F9E">
        <w:rPr>
          <w:rFonts w:hint="cs"/>
          <w:sz w:val="23"/>
          <w:szCs w:val="23"/>
          <w:rtl/>
        </w:rPr>
        <w:softHyphen/>
        <w:t>ها و نیز تجزیه و تحلیل سیاست</w:t>
      </w:r>
      <w:r w:rsidRPr="00327F9E">
        <w:rPr>
          <w:rFonts w:hint="cs"/>
          <w:sz w:val="23"/>
          <w:szCs w:val="23"/>
          <w:rtl/>
        </w:rPr>
        <w:softHyphen/>
        <w:t>های پولی دارند. در واقع روش</w:t>
      </w:r>
      <w:r w:rsidRPr="00327F9E">
        <w:rPr>
          <w:rFonts w:hint="cs"/>
          <w:sz w:val="23"/>
          <w:szCs w:val="23"/>
          <w:rtl/>
        </w:rPr>
        <w:softHyphen/>
        <w:t>های مدل</w:t>
      </w:r>
      <w:r w:rsidRPr="00327F9E">
        <w:rPr>
          <w:rFonts w:hint="cs"/>
          <w:sz w:val="23"/>
          <w:szCs w:val="23"/>
          <w:rtl/>
        </w:rPr>
        <w:softHyphen/>
        <w:t>سازی که توسط برخی از پژوهش</w:t>
      </w:r>
      <w:r w:rsidRPr="00327F9E">
        <w:rPr>
          <w:rFonts w:hint="cs"/>
          <w:sz w:val="23"/>
          <w:szCs w:val="23"/>
          <w:rtl/>
        </w:rPr>
        <w:softHyphen/>
        <w:t>گران بکار گرفته شده</w:t>
      </w:r>
      <w:r w:rsidRPr="00327F9E">
        <w:rPr>
          <w:rFonts w:hint="cs"/>
          <w:sz w:val="23"/>
          <w:szCs w:val="23"/>
          <w:rtl/>
        </w:rPr>
        <w:softHyphen/>
        <w:t xml:space="preserve"> است نشان می</w:t>
      </w:r>
      <w:r w:rsidRPr="00327F9E">
        <w:rPr>
          <w:rFonts w:hint="cs"/>
          <w:sz w:val="23"/>
          <w:szCs w:val="23"/>
          <w:rtl/>
        </w:rPr>
        <w:softHyphen/>
        <w:t>دهد که این نسل از مدل</w:t>
      </w:r>
      <w:r w:rsidRPr="00327F9E">
        <w:rPr>
          <w:rFonts w:hint="cs"/>
          <w:sz w:val="23"/>
          <w:szCs w:val="23"/>
          <w:rtl/>
        </w:rPr>
        <w:softHyphen/>
        <w:t xml:space="preserve">های </w:t>
      </w:r>
      <w:r w:rsidRPr="00327F9E">
        <w:rPr>
          <w:sz w:val="23"/>
          <w:szCs w:val="23"/>
        </w:rPr>
        <w:t>DSGE</w:t>
      </w:r>
      <w:r w:rsidRPr="00327F9E">
        <w:rPr>
          <w:rFonts w:hint="cs"/>
          <w:sz w:val="23"/>
          <w:szCs w:val="23"/>
          <w:rtl/>
        </w:rPr>
        <w:t xml:space="preserve"> توان احتساب پویایی</w:t>
      </w:r>
      <w:r w:rsidRPr="00327F9E">
        <w:rPr>
          <w:rFonts w:hint="cs"/>
          <w:sz w:val="23"/>
          <w:szCs w:val="23"/>
          <w:rtl/>
        </w:rPr>
        <w:softHyphen/>
        <w:t>های انعطاف</w:t>
      </w:r>
      <w:r w:rsidRPr="00327F9E">
        <w:rPr>
          <w:rFonts w:hint="cs"/>
          <w:sz w:val="23"/>
          <w:szCs w:val="23"/>
          <w:rtl/>
        </w:rPr>
        <w:softHyphen/>
        <w:t>پذیرتری را دارد و این کار با استفاده از فنون تخمین زنی بیزی صورت می</w:t>
      </w:r>
      <w:r w:rsidRPr="00327F9E">
        <w:rPr>
          <w:rFonts w:hint="cs"/>
          <w:sz w:val="23"/>
          <w:szCs w:val="23"/>
          <w:rtl/>
        </w:rPr>
        <w:softHyphen/>
        <w:t>گیرد و می</w:t>
      </w:r>
      <w:r w:rsidRPr="00327F9E">
        <w:rPr>
          <w:rFonts w:hint="cs"/>
          <w:sz w:val="23"/>
          <w:szCs w:val="23"/>
          <w:rtl/>
        </w:rPr>
        <w:softHyphen/>
        <w:t>تواند عملکرد نسبتاً مطلوبی در تبیین دوره</w:t>
      </w:r>
      <w:r w:rsidRPr="00327F9E">
        <w:rPr>
          <w:rFonts w:hint="cs"/>
          <w:sz w:val="23"/>
          <w:szCs w:val="23"/>
          <w:rtl/>
        </w:rPr>
        <w:softHyphen/>
        <w:t>های مختلف زمانی عملکرد اقتصاد کلان و نیز پیش</w:t>
      </w:r>
      <w:r w:rsidRPr="00327F9E">
        <w:rPr>
          <w:rFonts w:hint="cs"/>
          <w:sz w:val="23"/>
          <w:szCs w:val="23"/>
          <w:rtl/>
        </w:rPr>
        <w:softHyphen/>
        <w:t>بینی رفتار آن</w:t>
      </w:r>
      <w:r w:rsidRPr="00327F9E">
        <w:rPr>
          <w:rFonts w:hint="cs"/>
          <w:sz w:val="23"/>
          <w:szCs w:val="23"/>
          <w:rtl/>
        </w:rPr>
        <w:softHyphen/>
        <w:t>ها داشته باشد.</w:t>
      </w:r>
      <w:r w:rsidRPr="00327F9E">
        <w:rPr>
          <w:rStyle w:val="FootnoteReference"/>
          <w:sz w:val="23"/>
          <w:szCs w:val="23"/>
          <w:rtl/>
        </w:rPr>
        <w:footnoteReference w:id="45"/>
      </w:r>
      <w:r w:rsidRPr="00327F9E">
        <w:rPr>
          <w:rFonts w:hint="cs"/>
          <w:sz w:val="23"/>
          <w:szCs w:val="23"/>
          <w:rtl/>
        </w:rPr>
        <w:t xml:space="preserve"> </w:t>
      </w:r>
    </w:p>
    <w:p w14:paraId="28AF6777" w14:textId="635B2DC2" w:rsidR="00411620" w:rsidRDefault="00411620" w:rsidP="00411620">
      <w:pPr>
        <w:spacing w:line="216" w:lineRule="auto"/>
        <w:ind w:left="-1"/>
        <w:rPr>
          <w:sz w:val="23"/>
          <w:szCs w:val="23"/>
          <w:rtl/>
        </w:rPr>
      </w:pPr>
      <w:r w:rsidRPr="00327F9E">
        <w:rPr>
          <w:rFonts w:hint="cs"/>
          <w:sz w:val="23"/>
          <w:szCs w:val="23"/>
          <w:rtl/>
        </w:rPr>
        <w:t>در فصول بعدی اين کتاب، مؤلفه‌هاي اصلي روش‌شناسی مدل</w:t>
      </w:r>
      <w:r w:rsidRPr="00327F9E">
        <w:rPr>
          <w:rFonts w:hint="cs"/>
          <w:sz w:val="23"/>
          <w:szCs w:val="23"/>
          <w:rtl/>
        </w:rPr>
        <w:softHyphen/>
        <w:t>های تعادل عمومی پویا در اقتصاد کلان را مطرح ساخته و بر اهميت ارزيابي این الگوها در يك چارچوبِ همگن و سازگار به لحاظ اقتصادي تأكيد خواهيم نمود.</w:t>
      </w:r>
      <w:r w:rsidRPr="00327F9E">
        <w:rPr>
          <w:sz w:val="23"/>
          <w:szCs w:val="23"/>
        </w:rPr>
        <w:t xml:space="preserve"> </w:t>
      </w:r>
    </w:p>
    <w:p w14:paraId="3BF75833" w14:textId="1AFF6583" w:rsidR="00411620" w:rsidRDefault="00411620" w:rsidP="00411620">
      <w:pPr>
        <w:spacing w:line="216" w:lineRule="auto"/>
        <w:ind w:left="-1"/>
        <w:rPr>
          <w:sz w:val="23"/>
          <w:szCs w:val="23"/>
          <w:rtl/>
        </w:rPr>
      </w:pPr>
    </w:p>
    <w:p w14:paraId="52E602EB" w14:textId="5D0AD147" w:rsidR="00411620" w:rsidRDefault="00411620" w:rsidP="00411620">
      <w:pPr>
        <w:spacing w:line="216" w:lineRule="auto"/>
        <w:ind w:left="-1"/>
        <w:rPr>
          <w:sz w:val="23"/>
          <w:szCs w:val="23"/>
          <w:rtl/>
        </w:rPr>
      </w:pPr>
    </w:p>
    <w:p w14:paraId="030B7DD1" w14:textId="6AE6796A" w:rsidR="00411620" w:rsidRDefault="00411620" w:rsidP="00411620">
      <w:pPr>
        <w:spacing w:line="216" w:lineRule="auto"/>
        <w:ind w:left="-1"/>
        <w:rPr>
          <w:sz w:val="23"/>
          <w:szCs w:val="23"/>
          <w:rtl/>
        </w:rPr>
      </w:pPr>
    </w:p>
    <w:p w14:paraId="26CCC415" w14:textId="188B2BAE" w:rsidR="00411620" w:rsidRDefault="00411620" w:rsidP="00411620">
      <w:pPr>
        <w:spacing w:line="216" w:lineRule="auto"/>
        <w:ind w:left="-1"/>
        <w:rPr>
          <w:sz w:val="23"/>
          <w:szCs w:val="23"/>
          <w:rtl/>
        </w:rPr>
      </w:pPr>
    </w:p>
    <w:p w14:paraId="2E1761B8" w14:textId="520C8976" w:rsidR="00411620" w:rsidRDefault="00411620" w:rsidP="00411620">
      <w:pPr>
        <w:spacing w:line="216" w:lineRule="auto"/>
        <w:ind w:left="-1"/>
        <w:rPr>
          <w:sz w:val="23"/>
          <w:szCs w:val="23"/>
          <w:rtl/>
        </w:rPr>
      </w:pPr>
    </w:p>
    <w:p w14:paraId="460267DB" w14:textId="65571D4A" w:rsidR="00411620" w:rsidRDefault="00411620" w:rsidP="00411620">
      <w:pPr>
        <w:spacing w:line="216" w:lineRule="auto"/>
        <w:ind w:left="-1"/>
        <w:rPr>
          <w:sz w:val="23"/>
          <w:szCs w:val="23"/>
          <w:rtl/>
        </w:rPr>
      </w:pPr>
    </w:p>
    <w:p w14:paraId="5A0B8CD4" w14:textId="08267EE8" w:rsidR="00411620" w:rsidRDefault="00411620" w:rsidP="00411620">
      <w:pPr>
        <w:spacing w:line="216" w:lineRule="auto"/>
        <w:ind w:left="-1"/>
        <w:rPr>
          <w:sz w:val="23"/>
          <w:szCs w:val="23"/>
          <w:rtl/>
        </w:rPr>
      </w:pPr>
    </w:p>
    <w:p w14:paraId="47DF2E3F" w14:textId="57FE07EB" w:rsidR="00411620" w:rsidRDefault="00411620" w:rsidP="00411620">
      <w:pPr>
        <w:spacing w:line="216" w:lineRule="auto"/>
        <w:ind w:left="-1"/>
        <w:rPr>
          <w:sz w:val="23"/>
          <w:szCs w:val="23"/>
          <w:rtl/>
        </w:rPr>
      </w:pPr>
    </w:p>
    <w:p w14:paraId="4782A4D4" w14:textId="79FA266A" w:rsidR="00411620" w:rsidRDefault="00411620" w:rsidP="00411620">
      <w:pPr>
        <w:spacing w:line="216" w:lineRule="auto"/>
        <w:ind w:left="-1"/>
        <w:rPr>
          <w:sz w:val="23"/>
          <w:szCs w:val="23"/>
          <w:rtl/>
        </w:rPr>
      </w:pPr>
    </w:p>
    <w:p w14:paraId="0CA0A2B4" w14:textId="098E7FFA" w:rsidR="00411620" w:rsidRDefault="00411620" w:rsidP="00411620">
      <w:pPr>
        <w:spacing w:line="216" w:lineRule="auto"/>
        <w:ind w:left="-1"/>
        <w:rPr>
          <w:sz w:val="23"/>
          <w:szCs w:val="23"/>
          <w:rtl/>
        </w:rPr>
      </w:pPr>
    </w:p>
    <w:p w14:paraId="3AD05038" w14:textId="64A2493C" w:rsidR="00411620" w:rsidRDefault="00411620" w:rsidP="00411620">
      <w:pPr>
        <w:spacing w:line="216" w:lineRule="auto"/>
        <w:ind w:left="-1"/>
        <w:rPr>
          <w:sz w:val="23"/>
          <w:szCs w:val="23"/>
          <w:rtl/>
        </w:rPr>
      </w:pPr>
    </w:p>
    <w:p w14:paraId="40E07B48" w14:textId="7EE655FD" w:rsidR="00411620" w:rsidRDefault="00411620" w:rsidP="00411620">
      <w:pPr>
        <w:spacing w:line="216" w:lineRule="auto"/>
        <w:ind w:left="-1"/>
        <w:rPr>
          <w:sz w:val="23"/>
          <w:szCs w:val="23"/>
          <w:rtl/>
        </w:rPr>
      </w:pPr>
    </w:p>
    <w:p w14:paraId="657DCD22" w14:textId="263385DE" w:rsidR="00411620" w:rsidRDefault="00411620" w:rsidP="00411620">
      <w:pPr>
        <w:spacing w:line="216" w:lineRule="auto"/>
        <w:ind w:left="-1"/>
        <w:rPr>
          <w:sz w:val="23"/>
          <w:szCs w:val="23"/>
          <w:rtl/>
        </w:rPr>
      </w:pPr>
    </w:p>
    <w:p w14:paraId="21A35A6F" w14:textId="12D1246D" w:rsidR="00411620" w:rsidRDefault="00411620" w:rsidP="00411620">
      <w:pPr>
        <w:spacing w:line="216" w:lineRule="auto"/>
        <w:ind w:left="-1"/>
        <w:rPr>
          <w:sz w:val="23"/>
          <w:szCs w:val="23"/>
          <w:rtl/>
        </w:rPr>
      </w:pPr>
    </w:p>
    <w:p w14:paraId="7C6F23BD" w14:textId="4EBB0810" w:rsidR="00411620" w:rsidRDefault="00411620" w:rsidP="00411620">
      <w:pPr>
        <w:spacing w:line="216" w:lineRule="auto"/>
        <w:ind w:left="-1"/>
        <w:rPr>
          <w:sz w:val="23"/>
          <w:szCs w:val="23"/>
          <w:rtl/>
        </w:rPr>
      </w:pPr>
    </w:p>
    <w:p w14:paraId="78313822" w14:textId="134366E4" w:rsidR="00411620" w:rsidRDefault="00411620" w:rsidP="00411620">
      <w:pPr>
        <w:spacing w:line="216" w:lineRule="auto"/>
        <w:ind w:left="-1"/>
        <w:rPr>
          <w:sz w:val="23"/>
          <w:szCs w:val="23"/>
          <w:rtl/>
        </w:rPr>
      </w:pPr>
    </w:p>
    <w:p w14:paraId="1BCEFA18" w14:textId="6E5D2636" w:rsidR="00411620" w:rsidRDefault="00411620" w:rsidP="00411620">
      <w:pPr>
        <w:spacing w:line="216" w:lineRule="auto"/>
        <w:ind w:left="-1"/>
        <w:rPr>
          <w:sz w:val="23"/>
          <w:szCs w:val="23"/>
          <w:rtl/>
        </w:rPr>
      </w:pPr>
    </w:p>
    <w:p w14:paraId="068FC800" w14:textId="54F86E82" w:rsidR="00411620" w:rsidRDefault="00411620" w:rsidP="00411620">
      <w:pPr>
        <w:spacing w:line="216" w:lineRule="auto"/>
        <w:ind w:left="-1"/>
        <w:rPr>
          <w:sz w:val="23"/>
          <w:szCs w:val="23"/>
          <w:rtl/>
        </w:rPr>
      </w:pPr>
    </w:p>
    <w:p w14:paraId="59B44824" w14:textId="744081E3" w:rsidR="00411620" w:rsidRDefault="00411620" w:rsidP="00411620">
      <w:pPr>
        <w:spacing w:line="216" w:lineRule="auto"/>
        <w:ind w:left="-1"/>
        <w:rPr>
          <w:sz w:val="23"/>
          <w:szCs w:val="23"/>
          <w:rtl/>
        </w:rPr>
      </w:pPr>
    </w:p>
    <w:p w14:paraId="69C3E87C" w14:textId="1BBAC32D" w:rsidR="00411620" w:rsidRDefault="00411620" w:rsidP="00411620">
      <w:pPr>
        <w:spacing w:line="216" w:lineRule="auto"/>
        <w:ind w:left="-1"/>
        <w:rPr>
          <w:sz w:val="23"/>
          <w:szCs w:val="23"/>
          <w:rtl/>
        </w:rPr>
      </w:pPr>
    </w:p>
    <w:p w14:paraId="66DE5EED" w14:textId="7BEC922B" w:rsidR="00411620" w:rsidRDefault="00411620" w:rsidP="00411620">
      <w:pPr>
        <w:spacing w:line="216" w:lineRule="auto"/>
        <w:ind w:left="-1"/>
        <w:rPr>
          <w:sz w:val="23"/>
          <w:szCs w:val="23"/>
          <w:rtl/>
        </w:rPr>
      </w:pPr>
    </w:p>
    <w:p w14:paraId="3DB0874A" w14:textId="3842EB8A" w:rsidR="00411620" w:rsidRDefault="00411620" w:rsidP="00411620">
      <w:pPr>
        <w:spacing w:line="216" w:lineRule="auto"/>
        <w:ind w:left="-1"/>
        <w:rPr>
          <w:sz w:val="23"/>
          <w:szCs w:val="23"/>
          <w:rtl/>
        </w:rPr>
      </w:pPr>
    </w:p>
    <w:p w14:paraId="7A52D5CF" w14:textId="56E16DBE" w:rsidR="00411620" w:rsidRDefault="00411620" w:rsidP="00411620">
      <w:pPr>
        <w:spacing w:line="216" w:lineRule="auto"/>
        <w:ind w:left="-1"/>
        <w:rPr>
          <w:sz w:val="23"/>
          <w:szCs w:val="23"/>
          <w:rtl/>
        </w:rPr>
      </w:pPr>
    </w:p>
    <w:p w14:paraId="213C027E" w14:textId="163867E7" w:rsidR="00411620" w:rsidRDefault="00411620" w:rsidP="00411620">
      <w:pPr>
        <w:spacing w:line="216" w:lineRule="auto"/>
        <w:ind w:left="-1"/>
        <w:rPr>
          <w:sz w:val="23"/>
          <w:szCs w:val="23"/>
          <w:rtl/>
        </w:rPr>
      </w:pPr>
    </w:p>
    <w:p w14:paraId="2A45DBD8" w14:textId="77777777" w:rsidR="00411620" w:rsidRPr="00A309A0" w:rsidRDefault="00411620" w:rsidP="00411620">
      <w:pPr>
        <w:pStyle w:val="a3"/>
        <w:spacing w:before="1080" w:after="720" w:line="216" w:lineRule="auto"/>
        <w:ind w:left="0"/>
        <w:rPr>
          <w:rFonts w:cs="B Nazanin"/>
          <w:color w:val="000000" w:themeColor="text1"/>
          <w:sz w:val="40"/>
          <w:szCs w:val="40"/>
          <w:rtl/>
        </w:rPr>
      </w:pPr>
      <w:r w:rsidRPr="00A309A0">
        <w:rPr>
          <w:rFonts w:cs="B Nazanin" w:hint="cs"/>
          <w:color w:val="000000" w:themeColor="text1"/>
          <w:sz w:val="40"/>
          <w:szCs w:val="40"/>
          <w:rtl/>
        </w:rPr>
        <w:lastRenderedPageBreak/>
        <w:t>فصل دوم</w:t>
      </w:r>
    </w:p>
    <w:p w14:paraId="550FBE9D" w14:textId="77777777" w:rsidR="00411620" w:rsidRPr="00A309A0" w:rsidRDefault="00411620" w:rsidP="00411620">
      <w:pPr>
        <w:pStyle w:val="a3"/>
        <w:spacing w:before="0" w:after="720" w:line="216" w:lineRule="auto"/>
        <w:ind w:left="0"/>
        <w:rPr>
          <w:rFonts w:ascii="Yu Gothic UI" w:eastAsia="Yu Gothic UI" w:hAnsi="Yu Gothic UI" w:cs="B Nazanin"/>
          <w:color w:val="000000" w:themeColor="text1"/>
          <w:sz w:val="40"/>
          <w:szCs w:val="40"/>
          <w:rtl/>
          <w14:glow w14:rad="0">
            <w14:srgbClr w14:val="000000">
              <w14:alpha w14:val="91000"/>
            </w14:srgbClr>
          </w14:glow>
          <w14:shadow w14:blurRad="63500" w14:dist="0" w14:dir="0" w14:sx="1000" w14:sy="1000" w14:kx="0" w14:ky="0" w14:algn="ctr">
            <w14:srgbClr w14:val="000000">
              <w14:alpha w14:val="16000"/>
            </w14:srgbClr>
          </w14:shadow>
        </w:rPr>
      </w:pPr>
      <w:r w:rsidRPr="00A309A0">
        <w:rPr>
          <w:rFonts w:ascii="Yu Gothic UI" w:eastAsia="Yu Gothic UI" w:hAnsi="Yu Gothic UI" w:cs="B Nazanin" w:hint="cs"/>
          <w:color w:val="000000" w:themeColor="text1"/>
          <w:sz w:val="40"/>
          <w:szCs w:val="40"/>
          <w:rtl/>
          <w14:glow w14:rad="0">
            <w14:srgbClr w14:val="000000">
              <w14:alpha w14:val="91000"/>
            </w14:srgbClr>
          </w14:glow>
          <w14:shadow w14:blurRad="63500" w14:dist="0" w14:dir="0" w14:sx="1000" w14:sy="1000" w14:kx="0" w14:ky="0" w14:algn="ctr">
            <w14:srgbClr w14:val="000000">
              <w14:alpha w14:val="16000"/>
            </w14:srgbClr>
          </w14:shadow>
        </w:rPr>
        <w:t>اقتصاد متمرکز</w:t>
      </w:r>
    </w:p>
    <w:p w14:paraId="5810825F" w14:textId="77777777" w:rsidR="00411620" w:rsidRPr="00A309A0" w:rsidRDefault="00411620" w:rsidP="00411620">
      <w:pPr>
        <w:pStyle w:val="Heading1"/>
        <w:spacing w:before="0" w:after="0" w:line="216" w:lineRule="auto"/>
        <w:rPr>
          <w:rFonts w:ascii="Cambria Math" w:hAnsi="Cambria Math" w:cs="B Nazanin"/>
          <w:sz w:val="23"/>
          <w:szCs w:val="23"/>
        </w:rPr>
      </w:pPr>
      <w:r w:rsidRPr="00A309A0">
        <w:rPr>
          <w:rFonts w:ascii="Cambria Math" w:hAnsi="Cambria Math" w:cs="B Nazanin" w:hint="cs"/>
          <w:sz w:val="23"/>
          <w:szCs w:val="23"/>
          <w:rtl/>
        </w:rPr>
        <w:t xml:space="preserve">۲. ۱ </w:t>
      </w:r>
      <w:r w:rsidRPr="00A309A0">
        <w:rPr>
          <w:rFonts w:ascii="Cambria Math" w:hAnsi="Cambria Math" w:cs="B Nazanin"/>
          <w:sz w:val="23"/>
          <w:szCs w:val="23"/>
          <w:rtl/>
        </w:rPr>
        <w:t xml:space="preserve">مقدمه </w:t>
      </w:r>
    </w:p>
    <w:p w14:paraId="0C666196"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 xml:space="preserve">در این فصل </w:t>
      </w:r>
      <w:r w:rsidRPr="00A309A0">
        <w:rPr>
          <w:rFonts w:ascii="Cambria Math" w:hAnsi="Cambria Math" w:hint="cs"/>
          <w:sz w:val="23"/>
          <w:szCs w:val="23"/>
          <w:rtl/>
        </w:rPr>
        <w:t xml:space="preserve">یک </w:t>
      </w:r>
      <w:r w:rsidRPr="00A309A0">
        <w:rPr>
          <w:rFonts w:ascii="Cambria Math" w:hAnsi="Cambria Math"/>
          <w:sz w:val="23"/>
          <w:szCs w:val="23"/>
          <w:rtl/>
        </w:rPr>
        <w:t xml:space="preserve">مدل </w:t>
      </w:r>
      <w:r w:rsidRPr="00A309A0">
        <w:rPr>
          <w:rFonts w:ascii="Cambria Math" w:hAnsi="Cambria Math"/>
          <w:caps/>
          <w:sz w:val="23"/>
          <w:szCs w:val="23"/>
          <w:rtl/>
        </w:rPr>
        <w:t>بسیار</w:t>
      </w:r>
      <w:r w:rsidRPr="00A309A0">
        <w:rPr>
          <w:rFonts w:ascii="Cambria Math" w:hAnsi="Cambria Math"/>
          <w:sz w:val="23"/>
          <w:szCs w:val="23"/>
          <w:rtl/>
        </w:rPr>
        <w:t xml:space="preserve"> ساد</w:t>
      </w:r>
      <w:r w:rsidRPr="00A309A0">
        <w:rPr>
          <w:rFonts w:ascii="Cambria Math" w:hAnsi="Cambria Math" w:hint="cs"/>
          <w:sz w:val="23"/>
          <w:szCs w:val="23"/>
          <w:rtl/>
        </w:rPr>
        <w:t>ه</w:t>
      </w:r>
      <w:r w:rsidRPr="00A309A0">
        <w:rPr>
          <w:rFonts w:ascii="Cambria Math" w:hAnsi="Cambria Math"/>
          <w:sz w:val="23"/>
          <w:szCs w:val="23"/>
        </w:rPr>
        <w:softHyphen/>
      </w:r>
      <w:r w:rsidRPr="00A309A0">
        <w:rPr>
          <w:rFonts w:ascii="Cambria Math" w:hAnsi="Cambria Math" w:hint="cs"/>
          <w:sz w:val="23"/>
          <w:szCs w:val="23"/>
          <w:rtl/>
        </w:rPr>
        <w:t>ی</w:t>
      </w:r>
      <w:r w:rsidRPr="00A309A0">
        <w:rPr>
          <w:rFonts w:ascii="Cambria Math" w:hAnsi="Cambria Math"/>
          <w:sz w:val="23"/>
          <w:szCs w:val="23"/>
          <w:rtl/>
        </w:rPr>
        <w:t xml:space="preserve"> تعادل عمومی پویا برای اقتصاد بسته را مورد بررسی قرار می‌</w:t>
      </w:r>
      <w:r w:rsidRPr="00A309A0">
        <w:rPr>
          <w:rFonts w:ascii="Cambria Math" w:hAnsi="Cambria Math"/>
          <w:sz w:val="23"/>
          <w:szCs w:val="23"/>
        </w:rPr>
        <w:softHyphen/>
      </w:r>
      <w:r w:rsidRPr="00A309A0">
        <w:rPr>
          <w:rFonts w:ascii="Cambria Math" w:hAnsi="Cambria Math"/>
          <w:sz w:val="23"/>
          <w:szCs w:val="23"/>
          <w:rtl/>
        </w:rPr>
        <w:t>دهیم. هدف مهمی که دنبال خواهیم کرد تعیین سطح بهینه</w:t>
      </w:r>
      <w:r w:rsidRPr="00A309A0">
        <w:rPr>
          <w:rFonts w:ascii="Cambria Math" w:hAnsi="Cambria Math"/>
          <w:sz w:val="23"/>
          <w:szCs w:val="23"/>
          <w:rtl/>
        </w:rPr>
        <w:softHyphen/>
        <w:t>ی تولید در اقتصاد</w:t>
      </w:r>
      <w:r w:rsidRPr="00A309A0">
        <w:rPr>
          <w:rFonts w:ascii="Cambria Math" w:hAnsi="Cambria Math" w:hint="cs"/>
          <w:sz w:val="23"/>
          <w:szCs w:val="23"/>
          <w:rtl/>
        </w:rPr>
        <w:t>،</w:t>
      </w:r>
      <w:r w:rsidRPr="00A309A0">
        <w:rPr>
          <w:rFonts w:ascii="Cambria Math" w:hAnsi="Cambria Math"/>
          <w:sz w:val="23"/>
          <w:szCs w:val="23"/>
          <w:rtl/>
        </w:rPr>
        <w:t xml:space="preserve"> و چگونگی تخصیص آن بین مصرف و پس</w:t>
      </w:r>
      <w:r w:rsidRPr="00A309A0">
        <w:rPr>
          <w:rFonts w:ascii="Cambria Math" w:hAnsi="Cambria Math"/>
          <w:sz w:val="23"/>
          <w:szCs w:val="23"/>
          <w:rtl/>
        </w:rPr>
        <w:softHyphen/>
        <w:t>انداز</w:t>
      </w:r>
      <w:r w:rsidRPr="00A309A0">
        <w:rPr>
          <w:rFonts w:ascii="Cambria Math" w:hAnsi="Cambria Math" w:hint="cs"/>
          <w:sz w:val="23"/>
          <w:szCs w:val="23"/>
          <w:rtl/>
        </w:rPr>
        <w:t>،</w:t>
      </w:r>
      <w:r w:rsidRPr="00A309A0">
        <w:rPr>
          <w:rFonts w:ascii="Cambria Math" w:hAnsi="Cambria Math"/>
          <w:sz w:val="23"/>
          <w:szCs w:val="23"/>
          <w:rtl/>
        </w:rPr>
        <w:t xml:space="preserve"> و یا تخصیص</w:t>
      </w:r>
      <w:r w:rsidRPr="00A309A0">
        <w:rPr>
          <w:rFonts w:ascii="Cambria Math" w:hAnsi="Cambria Math" w:hint="cs"/>
          <w:sz w:val="23"/>
          <w:szCs w:val="23"/>
          <w:rtl/>
        </w:rPr>
        <w:t xml:space="preserve"> بهینه</w:t>
      </w:r>
      <w:r w:rsidRPr="00A309A0">
        <w:rPr>
          <w:rFonts w:ascii="Cambria Math" w:hAnsi="Cambria Math"/>
          <w:sz w:val="23"/>
          <w:szCs w:val="23"/>
          <w:rtl/>
        </w:rPr>
        <w:softHyphen/>
      </w:r>
      <w:r w:rsidRPr="00A309A0">
        <w:rPr>
          <w:rFonts w:ascii="Cambria Math" w:hAnsi="Cambria Math" w:hint="cs"/>
          <w:sz w:val="23"/>
          <w:szCs w:val="23"/>
          <w:rtl/>
        </w:rPr>
        <w:t>ی</w:t>
      </w:r>
      <w:r w:rsidRPr="00A309A0">
        <w:rPr>
          <w:rFonts w:ascii="Cambria Math" w:hAnsi="Cambria Math"/>
          <w:sz w:val="23"/>
          <w:szCs w:val="23"/>
          <w:rtl/>
        </w:rPr>
        <w:t xml:space="preserve"> تولید بین مصرف و انباشت سرمایه جهت تولید و مصرف در آینده</w:t>
      </w:r>
      <w:r w:rsidRPr="00A309A0">
        <w:rPr>
          <w:rFonts w:ascii="Cambria Math" w:hAnsi="Cambria Math" w:hint="cs"/>
          <w:sz w:val="23"/>
          <w:szCs w:val="23"/>
          <w:rtl/>
        </w:rPr>
        <w:t xml:space="preserve"> است.</w:t>
      </w:r>
      <w:r w:rsidRPr="00A309A0">
        <w:rPr>
          <w:rFonts w:ascii="Cambria Math" w:hAnsi="Cambria Math"/>
          <w:sz w:val="23"/>
          <w:szCs w:val="23"/>
          <w:rtl/>
        </w:rPr>
        <w:t xml:space="preserve"> به عبارت</w:t>
      </w:r>
      <w:r w:rsidRPr="00A309A0">
        <w:rPr>
          <w:rFonts w:ascii="Cambria Math" w:hAnsi="Cambria Math" w:hint="cs"/>
          <w:sz w:val="23"/>
          <w:szCs w:val="23"/>
          <w:rtl/>
        </w:rPr>
        <w:t>ی</w:t>
      </w:r>
      <w:r w:rsidRPr="00A309A0">
        <w:rPr>
          <w:rFonts w:ascii="Cambria Math" w:hAnsi="Cambria Math"/>
          <w:sz w:val="23"/>
          <w:szCs w:val="23"/>
          <w:rtl/>
        </w:rPr>
        <w:t xml:space="preserve"> دیگر</w:t>
      </w:r>
      <w:r w:rsidRPr="00A309A0">
        <w:rPr>
          <w:rFonts w:ascii="Cambria Math" w:hAnsi="Cambria Math" w:hint="cs"/>
          <w:sz w:val="23"/>
          <w:szCs w:val="23"/>
          <w:rtl/>
        </w:rPr>
        <w:t>،</w:t>
      </w:r>
      <w:r w:rsidRPr="00A309A0">
        <w:rPr>
          <w:rFonts w:ascii="Cambria Math" w:hAnsi="Cambria Math"/>
          <w:sz w:val="23"/>
          <w:szCs w:val="23"/>
          <w:rtl/>
        </w:rPr>
        <w:t xml:space="preserve"> </w:t>
      </w:r>
      <w:r w:rsidRPr="00A309A0">
        <w:rPr>
          <w:rFonts w:ascii="Cambria Math" w:hAnsi="Cambria Math" w:hint="cs"/>
          <w:sz w:val="23"/>
          <w:szCs w:val="23"/>
          <w:rtl/>
        </w:rPr>
        <w:t xml:space="preserve">هدف ما </w:t>
      </w:r>
      <w:r w:rsidRPr="00A309A0">
        <w:rPr>
          <w:rFonts w:ascii="Cambria Math" w:hAnsi="Cambria Math"/>
          <w:sz w:val="23"/>
          <w:szCs w:val="23"/>
          <w:rtl/>
        </w:rPr>
        <w:t>تعیین سطح بهینه</w:t>
      </w:r>
      <w:r w:rsidRPr="00A309A0">
        <w:rPr>
          <w:rFonts w:ascii="Cambria Math" w:hAnsi="Cambria Math"/>
          <w:sz w:val="23"/>
          <w:szCs w:val="23"/>
          <w:rtl/>
        </w:rPr>
        <w:softHyphen/>
        <w:t xml:space="preserve">ی تولید </w:t>
      </w:r>
      <w:r w:rsidRPr="00A309A0">
        <w:rPr>
          <w:rFonts w:ascii="Cambria Math" w:hAnsi="Cambria Math" w:hint="cs"/>
          <w:sz w:val="23"/>
          <w:szCs w:val="23"/>
          <w:rtl/>
        </w:rPr>
        <w:t xml:space="preserve">جهت </w:t>
      </w:r>
      <w:r w:rsidRPr="00A309A0">
        <w:rPr>
          <w:rFonts w:ascii="Cambria Math" w:hAnsi="Cambria Math"/>
          <w:sz w:val="23"/>
          <w:szCs w:val="23"/>
          <w:rtl/>
        </w:rPr>
        <w:t xml:space="preserve">تخصیص </w:t>
      </w:r>
      <w:r w:rsidRPr="00A309A0">
        <w:rPr>
          <w:rFonts w:ascii="Cambria Math" w:hAnsi="Cambria Math" w:hint="cs"/>
          <w:sz w:val="23"/>
          <w:szCs w:val="23"/>
          <w:rtl/>
        </w:rPr>
        <w:t xml:space="preserve">آن </w:t>
      </w:r>
      <w:r w:rsidRPr="00A309A0">
        <w:rPr>
          <w:rFonts w:ascii="Cambria Math" w:hAnsi="Cambria Math"/>
          <w:sz w:val="23"/>
          <w:szCs w:val="23"/>
          <w:rtl/>
        </w:rPr>
        <w:t xml:space="preserve">بین مصرف امروز و مصرف در آینده </w:t>
      </w:r>
      <w:r w:rsidRPr="00A309A0">
        <w:rPr>
          <w:rFonts w:ascii="Cambria Math" w:hAnsi="Cambria Math" w:hint="cs"/>
          <w:sz w:val="23"/>
          <w:szCs w:val="23"/>
          <w:rtl/>
        </w:rPr>
        <w:t>خواهد بود</w:t>
      </w:r>
      <w:r w:rsidRPr="00A309A0">
        <w:rPr>
          <w:rFonts w:ascii="Cambria Math" w:hAnsi="Cambria Math"/>
          <w:sz w:val="23"/>
          <w:szCs w:val="23"/>
          <w:rtl/>
        </w:rPr>
        <w:t xml:space="preserve">. </w:t>
      </w:r>
    </w:p>
    <w:p w14:paraId="4EBA809F"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 xml:space="preserve">در این مدل </w:t>
      </w:r>
      <w:r w:rsidRPr="00A309A0">
        <w:rPr>
          <w:rFonts w:ascii="Cambria Math" w:hAnsi="Cambria Math" w:hint="cs"/>
          <w:sz w:val="23"/>
          <w:szCs w:val="23"/>
          <w:rtl/>
        </w:rPr>
        <w:t xml:space="preserve">ساده و </w:t>
      </w:r>
      <w:r w:rsidRPr="00A309A0">
        <w:rPr>
          <w:rFonts w:ascii="Cambria Math" w:hAnsi="Cambria Math"/>
          <w:sz w:val="23"/>
          <w:szCs w:val="23"/>
          <w:rtl/>
        </w:rPr>
        <w:t>اولیه</w:t>
      </w:r>
      <w:r w:rsidRPr="00A309A0">
        <w:rPr>
          <w:rFonts w:ascii="Cambria Math" w:hAnsi="Cambria Math" w:hint="cs"/>
          <w:sz w:val="23"/>
          <w:szCs w:val="23"/>
          <w:rtl/>
        </w:rPr>
        <w:t xml:space="preserve"> که </w:t>
      </w:r>
      <w:r w:rsidRPr="00A309A0">
        <w:rPr>
          <w:rFonts w:ascii="Cambria Math" w:hAnsi="Cambria Math"/>
          <w:sz w:val="23"/>
          <w:szCs w:val="23"/>
          <w:rtl/>
        </w:rPr>
        <w:t>ویژگی</w:t>
      </w:r>
      <w:r w:rsidRPr="00A309A0">
        <w:rPr>
          <w:rFonts w:ascii="Cambria Math" w:hAnsi="Cambria Math"/>
          <w:sz w:val="23"/>
          <w:szCs w:val="23"/>
          <w:rtl/>
        </w:rPr>
        <w:softHyphen/>
        <w:t>های</w:t>
      </w:r>
      <w:r w:rsidRPr="00A309A0">
        <w:rPr>
          <w:rFonts w:ascii="Cambria Math" w:hAnsi="Cambria Math" w:hint="cs"/>
          <w:sz w:val="23"/>
          <w:szCs w:val="23"/>
          <w:rtl/>
        </w:rPr>
        <w:t xml:space="preserve"> </w:t>
      </w:r>
      <w:r w:rsidRPr="00A309A0">
        <w:rPr>
          <w:rFonts w:ascii="Cambria Math" w:hAnsi="Cambria Math"/>
          <w:sz w:val="23"/>
          <w:szCs w:val="23"/>
          <w:rtl/>
        </w:rPr>
        <w:t>اقتصاد کلان</w:t>
      </w:r>
      <w:r w:rsidRPr="00A309A0">
        <w:rPr>
          <w:rFonts w:ascii="Cambria Math" w:hAnsi="Cambria Math" w:hint="cs"/>
          <w:sz w:val="23"/>
          <w:szCs w:val="23"/>
          <w:rtl/>
        </w:rPr>
        <w:t xml:space="preserve"> را</w:t>
      </w:r>
      <w:r w:rsidRPr="00A309A0">
        <w:rPr>
          <w:rFonts w:ascii="Cambria Math" w:hAnsi="Cambria Math"/>
          <w:sz w:val="23"/>
          <w:szCs w:val="23"/>
          <w:rtl/>
        </w:rPr>
        <w:t xml:space="preserve"> با محدودیت</w:t>
      </w:r>
      <w:r w:rsidRPr="00A309A0">
        <w:rPr>
          <w:rFonts w:ascii="Cambria Math" w:hAnsi="Cambria Math"/>
          <w:sz w:val="23"/>
          <w:szCs w:val="23"/>
          <w:rtl/>
        </w:rPr>
        <w:softHyphen/>
      </w:r>
      <w:r w:rsidRPr="00A309A0">
        <w:rPr>
          <w:rFonts w:ascii="Cambria Math" w:hAnsi="Cambria Math" w:hint="cs"/>
          <w:sz w:val="23"/>
          <w:szCs w:val="23"/>
          <w:rtl/>
        </w:rPr>
        <w:t>هایی</w:t>
      </w:r>
      <w:r w:rsidRPr="00A309A0">
        <w:rPr>
          <w:rFonts w:ascii="Cambria Math" w:hAnsi="Cambria Math"/>
          <w:sz w:val="23"/>
          <w:szCs w:val="23"/>
          <w:rtl/>
        </w:rPr>
        <w:t xml:space="preserve"> </w:t>
      </w:r>
      <w:r w:rsidRPr="00A309A0">
        <w:rPr>
          <w:rFonts w:ascii="Cambria Math" w:hAnsi="Cambria Math" w:hint="cs"/>
          <w:sz w:val="23"/>
          <w:szCs w:val="23"/>
          <w:rtl/>
        </w:rPr>
        <w:t xml:space="preserve">بخوبی </w:t>
      </w:r>
      <w:r w:rsidRPr="00A309A0">
        <w:rPr>
          <w:rFonts w:ascii="Cambria Math" w:hAnsi="Cambria Math"/>
          <w:sz w:val="23"/>
          <w:szCs w:val="23"/>
          <w:rtl/>
        </w:rPr>
        <w:t xml:space="preserve">نشان </w:t>
      </w:r>
      <w:r w:rsidRPr="00A309A0">
        <w:rPr>
          <w:rFonts w:ascii="Cambria Math" w:hAnsi="Cambria Math" w:hint="cs"/>
          <w:sz w:val="23"/>
          <w:szCs w:val="23"/>
          <w:rtl/>
        </w:rPr>
        <w:t>می</w:t>
      </w:r>
      <w:r w:rsidRPr="00A309A0">
        <w:rPr>
          <w:rFonts w:ascii="Cambria Math" w:hAnsi="Cambria Math"/>
          <w:sz w:val="23"/>
          <w:szCs w:val="23"/>
          <w:rtl/>
        </w:rPr>
        <w:softHyphen/>
      </w:r>
      <w:r w:rsidRPr="00A309A0">
        <w:rPr>
          <w:rFonts w:ascii="Cambria Math" w:hAnsi="Cambria Math" w:hint="cs"/>
          <w:sz w:val="23"/>
          <w:szCs w:val="23"/>
          <w:rtl/>
        </w:rPr>
        <w:t>دهد</w:t>
      </w:r>
      <w:r w:rsidRPr="00A309A0">
        <w:rPr>
          <w:rFonts w:ascii="Cambria Math" w:hAnsi="Cambria Math"/>
          <w:sz w:val="23"/>
          <w:szCs w:val="23"/>
          <w:rtl/>
        </w:rPr>
        <w:t>، دولت، پول و بازارهای مالی وجود ندارد و همه متغیرها به صورت حقیقی</w:t>
      </w:r>
      <w:r w:rsidRPr="00A309A0">
        <w:rPr>
          <w:rStyle w:val="FootnoteReference"/>
          <w:rFonts w:ascii="Cambria Math" w:eastAsiaTheme="majorEastAsia" w:hAnsi="Cambria Math"/>
          <w:sz w:val="23"/>
          <w:szCs w:val="23"/>
          <w:rtl/>
        </w:rPr>
        <w:footnoteReference w:id="46"/>
      </w:r>
      <w:r w:rsidRPr="00A309A0">
        <w:rPr>
          <w:rFonts w:ascii="Cambria Math" w:hAnsi="Cambria Math" w:hint="cs"/>
          <w:sz w:val="23"/>
          <w:szCs w:val="23"/>
          <w:rtl/>
        </w:rPr>
        <w:t xml:space="preserve"> بیان می</w:t>
      </w:r>
      <w:r w:rsidRPr="00A309A0">
        <w:rPr>
          <w:rFonts w:ascii="Cambria Math" w:hAnsi="Cambria Math"/>
          <w:sz w:val="23"/>
          <w:szCs w:val="23"/>
          <w:rtl/>
        </w:rPr>
        <w:softHyphen/>
      </w:r>
      <w:r w:rsidRPr="00A309A0">
        <w:rPr>
          <w:rFonts w:ascii="Cambria Math" w:hAnsi="Cambria Math" w:hint="cs"/>
          <w:sz w:val="23"/>
          <w:szCs w:val="23"/>
          <w:rtl/>
        </w:rPr>
        <w:t>شوند</w:t>
      </w:r>
      <w:r w:rsidRPr="00A309A0">
        <w:rPr>
          <w:rFonts w:ascii="Cambria Math" w:hAnsi="Cambria Math"/>
          <w:sz w:val="23"/>
          <w:szCs w:val="23"/>
          <w:rtl/>
        </w:rPr>
        <w:t>. فص</w:t>
      </w:r>
      <w:r w:rsidRPr="00A309A0">
        <w:rPr>
          <w:rFonts w:ascii="Cambria Math" w:hAnsi="Cambria Math" w:hint="cs"/>
          <w:sz w:val="23"/>
          <w:szCs w:val="23"/>
          <w:rtl/>
        </w:rPr>
        <w:t>و</w:t>
      </w:r>
      <w:r w:rsidRPr="00A309A0">
        <w:rPr>
          <w:rFonts w:ascii="Cambria Math" w:hAnsi="Cambria Math"/>
          <w:sz w:val="23"/>
          <w:szCs w:val="23"/>
          <w:rtl/>
        </w:rPr>
        <w:t>ل</w:t>
      </w:r>
      <w:r w:rsidRPr="00A309A0">
        <w:rPr>
          <w:rFonts w:ascii="Cambria Math" w:hAnsi="Cambria Math"/>
          <w:sz w:val="23"/>
          <w:szCs w:val="23"/>
          <w:rtl/>
        </w:rPr>
        <w:softHyphen/>
        <w:t xml:space="preserve"> بعدی بر اساس این مدل </w:t>
      </w:r>
      <w:r w:rsidRPr="00A309A0">
        <w:rPr>
          <w:rFonts w:ascii="Cambria Math" w:hAnsi="Cambria Math" w:hint="cs"/>
          <w:sz w:val="23"/>
          <w:szCs w:val="23"/>
          <w:rtl/>
        </w:rPr>
        <w:t xml:space="preserve">اولیه و </w:t>
      </w:r>
      <w:r w:rsidRPr="00A309A0">
        <w:rPr>
          <w:rFonts w:ascii="Cambria Math" w:hAnsi="Cambria Math"/>
          <w:sz w:val="23"/>
          <w:szCs w:val="23"/>
          <w:rtl/>
        </w:rPr>
        <w:t>مبنا</w:t>
      </w:r>
      <w:r w:rsidRPr="00A309A0">
        <w:rPr>
          <w:rFonts w:ascii="Cambria Math" w:hAnsi="Cambria Math" w:hint="cs"/>
          <w:sz w:val="23"/>
          <w:szCs w:val="23"/>
          <w:rtl/>
        </w:rPr>
        <w:t>،</w:t>
      </w:r>
      <w:r w:rsidRPr="00A309A0">
        <w:rPr>
          <w:rFonts w:ascii="Cambria Math" w:hAnsi="Cambria Math"/>
          <w:sz w:val="23"/>
          <w:szCs w:val="23"/>
          <w:rtl/>
        </w:rPr>
        <w:t xml:space="preserve"> و </w:t>
      </w:r>
      <w:r w:rsidRPr="00A309A0">
        <w:rPr>
          <w:rFonts w:ascii="Cambria Math" w:hAnsi="Cambria Math" w:hint="cs"/>
          <w:sz w:val="23"/>
          <w:szCs w:val="23"/>
          <w:rtl/>
        </w:rPr>
        <w:t xml:space="preserve">با حذف مفروضات فوق </w:t>
      </w:r>
      <w:r w:rsidRPr="00A309A0">
        <w:rPr>
          <w:rFonts w:ascii="Cambria Math" w:hAnsi="Cambria Math"/>
          <w:sz w:val="23"/>
          <w:szCs w:val="23"/>
          <w:rtl/>
        </w:rPr>
        <w:t>ارائه شده است. گاهی اوقات مدل فوق را مدل رمزی</w:t>
      </w:r>
      <w:r w:rsidRPr="00A309A0">
        <w:rPr>
          <w:rFonts w:ascii="Cambria Math" w:hAnsi="Cambria Math"/>
          <w:sz w:val="23"/>
          <w:szCs w:val="23"/>
          <w:rtl/>
          <w:lang w:val="en-GB"/>
        </w:rPr>
        <w:t>،</w:t>
      </w:r>
      <w:r w:rsidRPr="00A309A0">
        <w:rPr>
          <w:rStyle w:val="FootnoteReference"/>
          <w:rFonts w:ascii="Cambria Math" w:eastAsiaTheme="majorEastAsia" w:hAnsi="Cambria Math"/>
          <w:sz w:val="23"/>
          <w:szCs w:val="23"/>
          <w:rtl/>
        </w:rPr>
        <w:footnoteReference w:id="47"/>
      </w:r>
      <w:r w:rsidRPr="00A309A0">
        <w:rPr>
          <w:rFonts w:ascii="Cambria Math" w:hAnsi="Cambria Math" w:hint="cs"/>
          <w:sz w:val="23"/>
          <w:szCs w:val="23"/>
          <w:rtl/>
          <w:lang w:val="en-GB"/>
        </w:rPr>
        <w:t xml:space="preserve"> نامند.</w:t>
      </w:r>
      <w:r w:rsidRPr="00A309A0">
        <w:rPr>
          <w:rFonts w:ascii="Cambria Math" w:hAnsi="Cambria Math"/>
          <w:sz w:val="23"/>
          <w:szCs w:val="23"/>
          <w:rtl/>
        </w:rPr>
        <w:t xml:space="preserve"> </w:t>
      </w:r>
      <w:r w:rsidRPr="00A309A0">
        <w:rPr>
          <w:rFonts w:ascii="Cambria Math" w:hAnsi="Cambria Math" w:hint="cs"/>
          <w:sz w:val="23"/>
          <w:szCs w:val="23"/>
          <w:rtl/>
        </w:rPr>
        <w:t xml:space="preserve">وی برای اولین بار </w:t>
      </w:r>
      <w:r w:rsidRPr="00A309A0">
        <w:rPr>
          <w:rFonts w:ascii="Cambria Math" w:hAnsi="Cambria Math"/>
          <w:sz w:val="23"/>
          <w:szCs w:val="23"/>
          <w:rtl/>
        </w:rPr>
        <w:t>در سال</w:t>
      </w:r>
      <w:r w:rsidRPr="00A309A0">
        <w:rPr>
          <w:rFonts w:ascii="Cambria Math" w:hAnsi="Cambria Math" w:hint="cs"/>
          <w:sz w:val="23"/>
          <w:szCs w:val="23"/>
          <w:rtl/>
        </w:rPr>
        <w:t xml:space="preserve"> ۱۹۲۷</w:t>
      </w:r>
      <w:r w:rsidRPr="00A309A0">
        <w:rPr>
          <w:rFonts w:ascii="Cambria Math" w:hAnsi="Cambria Math"/>
          <w:sz w:val="23"/>
          <w:szCs w:val="23"/>
          <w:rtl/>
        </w:rPr>
        <w:t xml:space="preserve"> نسخه</w:t>
      </w:r>
      <w:r w:rsidRPr="00A309A0">
        <w:rPr>
          <w:rFonts w:ascii="Cambria Math" w:hAnsi="Cambria Math"/>
          <w:sz w:val="23"/>
          <w:szCs w:val="23"/>
        </w:rPr>
        <w:softHyphen/>
      </w:r>
      <w:r w:rsidRPr="00A309A0">
        <w:rPr>
          <w:rFonts w:ascii="Cambria Math" w:hAnsi="Cambria Math" w:hint="cs"/>
          <w:sz w:val="23"/>
          <w:szCs w:val="23"/>
          <w:rtl/>
        </w:rPr>
        <w:t>ا</w:t>
      </w:r>
      <w:r w:rsidRPr="00A309A0">
        <w:rPr>
          <w:rFonts w:ascii="Cambria Math" w:hAnsi="Cambria Math"/>
          <w:sz w:val="23"/>
          <w:szCs w:val="23"/>
          <w:rtl/>
        </w:rPr>
        <w:t xml:space="preserve">ی </w:t>
      </w:r>
      <w:r w:rsidRPr="00A309A0">
        <w:rPr>
          <w:rFonts w:ascii="Cambria Math" w:hAnsi="Cambria Math" w:hint="cs"/>
          <w:sz w:val="23"/>
          <w:szCs w:val="23"/>
          <w:rtl/>
        </w:rPr>
        <w:t>م</w:t>
      </w:r>
      <w:r w:rsidRPr="00A309A0">
        <w:rPr>
          <w:rFonts w:ascii="Cambria Math" w:hAnsi="Cambria Math"/>
          <w:sz w:val="23"/>
          <w:szCs w:val="23"/>
          <w:rtl/>
        </w:rPr>
        <w:t>ش</w:t>
      </w:r>
      <w:r w:rsidRPr="00A309A0">
        <w:rPr>
          <w:rFonts w:ascii="Cambria Math" w:hAnsi="Cambria Math" w:hint="cs"/>
          <w:sz w:val="23"/>
          <w:szCs w:val="23"/>
          <w:rtl/>
        </w:rPr>
        <w:t>ا</w:t>
      </w:r>
      <w:r w:rsidRPr="00A309A0">
        <w:rPr>
          <w:rFonts w:ascii="Cambria Math" w:hAnsi="Cambria Math"/>
          <w:sz w:val="23"/>
          <w:szCs w:val="23"/>
          <w:rtl/>
        </w:rPr>
        <w:t xml:space="preserve">به </w:t>
      </w:r>
      <w:r w:rsidRPr="00A309A0">
        <w:rPr>
          <w:rFonts w:ascii="Cambria Math" w:hAnsi="Cambria Math" w:hint="cs"/>
          <w:sz w:val="23"/>
          <w:szCs w:val="23"/>
          <w:rtl/>
        </w:rPr>
        <w:t>ارائه</w:t>
      </w:r>
      <w:r w:rsidRPr="00A309A0">
        <w:rPr>
          <w:rFonts w:ascii="Cambria Math" w:hAnsi="Cambria Math"/>
          <w:sz w:val="23"/>
          <w:szCs w:val="23"/>
          <w:rtl/>
        </w:rPr>
        <w:t xml:space="preserve"> نمود. این مدل</w:t>
      </w:r>
      <w:r w:rsidRPr="00A309A0">
        <w:rPr>
          <w:rFonts w:ascii="Cambria Math" w:hAnsi="Cambria Math" w:hint="cs"/>
          <w:sz w:val="23"/>
          <w:szCs w:val="23"/>
          <w:rtl/>
        </w:rPr>
        <w:t xml:space="preserve"> </w:t>
      </w:r>
      <w:r w:rsidRPr="00A309A0">
        <w:rPr>
          <w:rFonts w:ascii="Cambria Math" w:hAnsi="Cambria Math"/>
          <w:sz w:val="23"/>
          <w:szCs w:val="23"/>
          <w:rtl/>
        </w:rPr>
        <w:t>همچنین مدل برنامه</w:t>
      </w:r>
      <w:r w:rsidRPr="00A309A0">
        <w:rPr>
          <w:rFonts w:ascii="Cambria Math" w:hAnsi="Cambria Math"/>
          <w:sz w:val="23"/>
          <w:szCs w:val="23"/>
          <w:rtl/>
        </w:rPr>
        <w:softHyphen/>
        <w:t>ریزی متمرکز</w:t>
      </w:r>
      <w:r w:rsidRPr="00A309A0">
        <w:rPr>
          <w:rStyle w:val="FootnoteReference"/>
          <w:rFonts w:ascii="Cambria Math" w:eastAsiaTheme="majorEastAsia" w:hAnsi="Cambria Math"/>
          <w:sz w:val="23"/>
          <w:szCs w:val="23"/>
          <w:rtl/>
        </w:rPr>
        <w:footnoteReference w:id="48"/>
      </w:r>
      <w:r w:rsidRPr="00A309A0">
        <w:rPr>
          <w:rFonts w:ascii="Cambria Math" w:hAnsi="Cambria Math"/>
          <w:sz w:val="23"/>
          <w:szCs w:val="23"/>
          <w:rtl/>
        </w:rPr>
        <w:t xml:space="preserve"> </w:t>
      </w:r>
      <w:r w:rsidRPr="00A309A0">
        <w:rPr>
          <w:rFonts w:ascii="Cambria Math" w:hAnsi="Cambria Math" w:hint="cs"/>
          <w:sz w:val="23"/>
          <w:szCs w:val="23"/>
          <w:rtl/>
        </w:rPr>
        <w:t>نیز نامیده می</w:t>
      </w:r>
      <w:r w:rsidRPr="00A309A0">
        <w:rPr>
          <w:rFonts w:ascii="Cambria Math" w:hAnsi="Cambria Math"/>
          <w:sz w:val="23"/>
          <w:szCs w:val="23"/>
          <w:rtl/>
        </w:rPr>
        <w:softHyphen/>
      </w:r>
      <w:r w:rsidRPr="00A309A0">
        <w:rPr>
          <w:rFonts w:ascii="Cambria Math" w:hAnsi="Cambria Math" w:hint="cs"/>
          <w:sz w:val="23"/>
          <w:szCs w:val="23"/>
          <w:rtl/>
        </w:rPr>
        <w:t xml:space="preserve">شود </w:t>
      </w:r>
      <w:r w:rsidRPr="00A309A0">
        <w:rPr>
          <w:rFonts w:ascii="Cambria Math" w:hAnsi="Cambria Math"/>
          <w:sz w:val="23"/>
          <w:szCs w:val="23"/>
          <w:rtl/>
        </w:rPr>
        <w:t>که در آن تصمیمات اقتصادی و ترجیحات فردی</w:t>
      </w:r>
      <w:r w:rsidRPr="00A309A0">
        <w:rPr>
          <w:rFonts w:ascii="Cambria Math" w:hAnsi="Cambria Math" w:hint="cs"/>
          <w:sz w:val="23"/>
          <w:szCs w:val="23"/>
          <w:rtl/>
        </w:rPr>
        <w:t>،</w:t>
      </w:r>
      <w:r w:rsidRPr="00A309A0">
        <w:rPr>
          <w:rFonts w:ascii="Cambria Math" w:hAnsi="Cambria Math"/>
          <w:sz w:val="23"/>
          <w:szCs w:val="23"/>
          <w:rtl/>
        </w:rPr>
        <w:t xml:space="preserve"> به</w:t>
      </w:r>
      <w:r w:rsidRPr="00A309A0">
        <w:rPr>
          <w:rFonts w:ascii="Cambria Math" w:hAnsi="Cambria Math"/>
          <w:sz w:val="23"/>
          <w:szCs w:val="23"/>
          <w:rtl/>
        </w:rPr>
        <w:softHyphen/>
        <w:t>طور متمرکز توسط برنامه</w:t>
      </w:r>
      <w:r w:rsidRPr="00A309A0">
        <w:rPr>
          <w:rFonts w:ascii="Cambria Math" w:hAnsi="Cambria Math"/>
          <w:sz w:val="23"/>
          <w:szCs w:val="23"/>
          <w:rtl/>
        </w:rPr>
        <w:softHyphen/>
        <w:t>ریز اجتماعی اتخاذ شد</w:t>
      </w:r>
      <w:r w:rsidRPr="00A309A0">
        <w:rPr>
          <w:rFonts w:ascii="Cambria Math" w:hAnsi="Cambria Math" w:hint="cs"/>
          <w:sz w:val="23"/>
          <w:szCs w:val="23"/>
          <w:rtl/>
        </w:rPr>
        <w:t>ه</w:t>
      </w:r>
      <w:r w:rsidRPr="00A309A0">
        <w:rPr>
          <w:rFonts w:ascii="Cambria Math" w:hAnsi="Cambria Math"/>
          <w:sz w:val="23"/>
          <w:szCs w:val="23"/>
          <w:rtl/>
        </w:rPr>
        <w:t xml:space="preserve"> و ترجیحات برنامه</w:t>
      </w:r>
      <w:r w:rsidRPr="00A309A0">
        <w:rPr>
          <w:rFonts w:ascii="Cambria Math" w:hAnsi="Cambria Math"/>
          <w:sz w:val="23"/>
          <w:szCs w:val="23"/>
          <w:rtl/>
        </w:rPr>
        <w:softHyphen/>
        <w:t xml:space="preserve">ریز اجتماعی به تمامی افراد </w:t>
      </w:r>
      <w:r w:rsidRPr="00A309A0">
        <w:rPr>
          <w:rFonts w:ascii="Cambria Math" w:hAnsi="Cambria Math" w:hint="cs"/>
          <w:sz w:val="23"/>
          <w:szCs w:val="23"/>
          <w:rtl/>
        </w:rPr>
        <w:t xml:space="preserve">جامعه </w:t>
      </w:r>
      <w:r w:rsidRPr="00A309A0">
        <w:rPr>
          <w:rFonts w:ascii="Cambria Math" w:hAnsi="Cambria Math"/>
          <w:sz w:val="23"/>
          <w:szCs w:val="23"/>
          <w:rtl/>
        </w:rPr>
        <w:t>تعمیم داده می</w:t>
      </w:r>
      <w:r w:rsidRPr="00A309A0">
        <w:rPr>
          <w:rFonts w:ascii="Cambria Math" w:hAnsi="Cambria Math"/>
          <w:sz w:val="23"/>
          <w:szCs w:val="23"/>
          <w:rtl/>
        </w:rPr>
        <w:softHyphen/>
        <w:t xml:space="preserve">شود. </w:t>
      </w:r>
      <w:r w:rsidRPr="00A309A0">
        <w:rPr>
          <w:rFonts w:ascii="Cambria Math" w:hAnsi="Cambria Math" w:hint="cs"/>
          <w:sz w:val="23"/>
          <w:szCs w:val="23"/>
          <w:rtl/>
        </w:rPr>
        <w:t>هنگامی</w:t>
      </w:r>
      <w:r w:rsidRPr="00A309A0">
        <w:rPr>
          <w:rFonts w:ascii="Cambria Math" w:hAnsi="Cambria Math"/>
          <w:sz w:val="23"/>
          <w:szCs w:val="23"/>
          <w:rtl/>
        </w:rPr>
        <w:softHyphen/>
      </w:r>
      <w:r w:rsidRPr="00A309A0">
        <w:rPr>
          <w:rFonts w:ascii="Cambria Math" w:hAnsi="Cambria Math"/>
          <w:sz w:val="23"/>
          <w:szCs w:val="23"/>
          <w:rtl/>
        </w:rPr>
        <w:softHyphen/>
        <w:t>که تصمیمات اقتصادی خانوا</w:t>
      </w:r>
      <w:r w:rsidRPr="00A309A0">
        <w:rPr>
          <w:rFonts w:ascii="Cambria Math" w:hAnsi="Cambria Math" w:hint="cs"/>
          <w:sz w:val="23"/>
          <w:szCs w:val="23"/>
          <w:rtl/>
        </w:rPr>
        <w:t>ر</w:t>
      </w:r>
      <w:r w:rsidRPr="00A309A0">
        <w:rPr>
          <w:rFonts w:ascii="Cambria Math" w:hAnsi="Cambria Math"/>
          <w:sz w:val="23"/>
          <w:szCs w:val="23"/>
          <w:rtl/>
        </w:rPr>
        <w:t xml:space="preserve"> و بنگاه در یکجا گرفته می</w:t>
      </w:r>
      <w:r w:rsidRPr="00A309A0">
        <w:rPr>
          <w:rFonts w:ascii="Cambria Math" w:hAnsi="Cambria Math"/>
          <w:sz w:val="23"/>
          <w:szCs w:val="23"/>
          <w:rtl/>
        </w:rPr>
        <w:softHyphen/>
        <w:t xml:space="preserve">شود، مدل تعادل عمومی فوق </w:t>
      </w:r>
      <w:r w:rsidRPr="00A309A0">
        <w:rPr>
          <w:rFonts w:ascii="Cambria Math" w:hAnsi="Cambria Math" w:hint="cs"/>
          <w:sz w:val="23"/>
          <w:szCs w:val="23"/>
          <w:rtl/>
        </w:rPr>
        <w:t>را می</w:t>
      </w:r>
      <w:r w:rsidRPr="00A309A0">
        <w:rPr>
          <w:rFonts w:ascii="Cambria Math" w:hAnsi="Cambria Math"/>
          <w:sz w:val="23"/>
          <w:szCs w:val="23"/>
          <w:rtl/>
        </w:rPr>
        <w:softHyphen/>
      </w:r>
      <w:r w:rsidRPr="00A309A0">
        <w:rPr>
          <w:rFonts w:ascii="Cambria Math" w:hAnsi="Cambria Math" w:hint="cs"/>
          <w:sz w:val="23"/>
          <w:szCs w:val="23"/>
          <w:rtl/>
        </w:rPr>
        <w:t xml:space="preserve">توان </w:t>
      </w:r>
      <w:r w:rsidRPr="00A309A0">
        <w:rPr>
          <w:rFonts w:ascii="Cambria Math" w:hAnsi="Cambria Math"/>
          <w:sz w:val="23"/>
          <w:szCs w:val="23"/>
          <w:rtl/>
        </w:rPr>
        <w:t>به عنوان مدل کارگزار نمونه</w:t>
      </w:r>
      <w:r w:rsidRPr="00A309A0">
        <w:rPr>
          <w:rStyle w:val="FootnoteReference"/>
          <w:rFonts w:ascii="Cambria Math" w:eastAsiaTheme="majorEastAsia" w:hAnsi="Cambria Math"/>
          <w:sz w:val="23"/>
          <w:szCs w:val="23"/>
          <w:rtl/>
        </w:rPr>
        <w:footnoteReference w:id="49"/>
      </w:r>
      <w:r w:rsidRPr="00A309A0">
        <w:rPr>
          <w:rFonts w:ascii="Cambria Math" w:hAnsi="Cambria Math"/>
          <w:sz w:val="23"/>
          <w:szCs w:val="23"/>
          <w:rtl/>
        </w:rPr>
        <w:t xml:space="preserve"> نیز تلقی </w:t>
      </w:r>
      <w:r w:rsidRPr="00A309A0">
        <w:rPr>
          <w:rFonts w:ascii="Cambria Math" w:hAnsi="Cambria Math" w:hint="cs"/>
          <w:sz w:val="23"/>
          <w:szCs w:val="23"/>
          <w:rtl/>
        </w:rPr>
        <w:t>نمو</w:t>
      </w:r>
      <w:r w:rsidRPr="00A309A0">
        <w:rPr>
          <w:rFonts w:ascii="Cambria Math" w:hAnsi="Cambria Math"/>
          <w:sz w:val="23"/>
          <w:szCs w:val="23"/>
          <w:rtl/>
        </w:rPr>
        <w:t>د. مدل فوق</w:t>
      </w:r>
      <w:r w:rsidRPr="00A309A0">
        <w:rPr>
          <w:rFonts w:ascii="Cambria Math" w:hAnsi="Cambria Math" w:hint="cs"/>
          <w:sz w:val="23"/>
          <w:szCs w:val="23"/>
          <w:rtl/>
        </w:rPr>
        <w:t xml:space="preserve"> در واقع همان مدل اقتصادی </w:t>
      </w:r>
      <w:r w:rsidRPr="00A309A0">
        <w:rPr>
          <w:rFonts w:ascii="Cambria Math" w:hAnsi="Cambria Math"/>
          <w:sz w:val="23"/>
          <w:szCs w:val="23"/>
          <w:rtl/>
        </w:rPr>
        <w:t>رابینسون کروز</w:t>
      </w:r>
      <w:r w:rsidRPr="00A309A0">
        <w:rPr>
          <w:rFonts w:ascii="Cambria Math" w:hAnsi="Cambria Math" w:hint="cs"/>
          <w:sz w:val="23"/>
          <w:szCs w:val="23"/>
          <w:rtl/>
        </w:rPr>
        <w:t>و</w:t>
      </w:r>
      <w:r w:rsidRPr="00A309A0">
        <w:rPr>
          <w:rFonts w:ascii="Cambria Math" w:hAnsi="Cambria Math"/>
          <w:sz w:val="23"/>
          <w:szCs w:val="23"/>
          <w:rtl/>
        </w:rPr>
        <w:t xml:space="preserve"> است </w:t>
      </w:r>
      <w:r w:rsidRPr="00A309A0">
        <w:rPr>
          <w:rFonts w:ascii="Cambria Math" w:hAnsi="Cambria Math" w:hint="cs"/>
          <w:sz w:val="23"/>
          <w:szCs w:val="23"/>
          <w:rtl/>
        </w:rPr>
        <w:t xml:space="preserve">زیرا </w:t>
      </w:r>
      <w:r w:rsidRPr="00A309A0">
        <w:rPr>
          <w:rFonts w:ascii="Cambria Math" w:hAnsi="Cambria Math"/>
          <w:sz w:val="23"/>
          <w:szCs w:val="23"/>
          <w:rtl/>
        </w:rPr>
        <w:t>تصمیمات اقتصادی به یک فرد</w:t>
      </w:r>
      <w:r w:rsidRPr="00A309A0">
        <w:rPr>
          <w:rFonts w:ascii="Cambria Math" w:hAnsi="Cambria Math" w:hint="cs"/>
          <w:sz w:val="23"/>
          <w:szCs w:val="23"/>
          <w:rtl/>
        </w:rPr>
        <w:t xml:space="preserve"> ارجاع داده می</w:t>
      </w:r>
      <w:r w:rsidRPr="00A309A0">
        <w:rPr>
          <w:rFonts w:ascii="Cambria Math" w:hAnsi="Cambria Math"/>
          <w:sz w:val="23"/>
          <w:szCs w:val="23"/>
          <w:rtl/>
        </w:rPr>
        <w:softHyphen/>
      </w:r>
      <w:r w:rsidRPr="00A309A0">
        <w:rPr>
          <w:rFonts w:ascii="Cambria Math" w:hAnsi="Cambria Math" w:hint="cs"/>
          <w:sz w:val="23"/>
          <w:szCs w:val="23"/>
          <w:rtl/>
        </w:rPr>
        <w:t>شود</w:t>
      </w:r>
      <w:r w:rsidRPr="00A309A0">
        <w:rPr>
          <w:rFonts w:ascii="Cambria Math" w:hAnsi="Cambria Math"/>
          <w:sz w:val="23"/>
          <w:szCs w:val="23"/>
          <w:rtl/>
        </w:rPr>
        <w:t xml:space="preserve">. هر کدام از این تفاسیر ممکن است در درک </w:t>
      </w:r>
      <w:r w:rsidRPr="00A309A0">
        <w:rPr>
          <w:rFonts w:ascii="Cambria Math" w:hAnsi="Cambria Math" w:hint="cs"/>
          <w:sz w:val="23"/>
          <w:szCs w:val="23"/>
          <w:rtl/>
        </w:rPr>
        <w:t xml:space="preserve">و </w:t>
      </w:r>
      <w:r w:rsidRPr="00A309A0">
        <w:rPr>
          <w:rFonts w:ascii="Cambria Math" w:hAnsi="Cambria Math"/>
          <w:sz w:val="23"/>
          <w:szCs w:val="23"/>
          <w:rtl/>
        </w:rPr>
        <w:t xml:space="preserve">تجزیه و تحلیل </w:t>
      </w:r>
      <w:r w:rsidRPr="00A309A0">
        <w:rPr>
          <w:rFonts w:ascii="Cambria Math" w:hAnsi="Cambria Math" w:hint="cs"/>
          <w:sz w:val="23"/>
          <w:szCs w:val="23"/>
          <w:rtl/>
        </w:rPr>
        <w:t>مباحث</w:t>
      </w:r>
      <w:r w:rsidRPr="00A309A0">
        <w:rPr>
          <w:rFonts w:ascii="Cambria Math" w:hAnsi="Cambria Math"/>
          <w:sz w:val="23"/>
          <w:szCs w:val="23"/>
          <w:rtl/>
        </w:rPr>
        <w:t xml:space="preserve"> </w:t>
      </w:r>
      <w:r w:rsidRPr="00A309A0">
        <w:rPr>
          <w:rFonts w:ascii="Cambria Math" w:hAnsi="Cambria Math" w:hint="cs"/>
          <w:sz w:val="23"/>
          <w:szCs w:val="23"/>
          <w:rtl/>
        </w:rPr>
        <w:t xml:space="preserve">این فصل </w:t>
      </w:r>
      <w:r w:rsidRPr="00A309A0">
        <w:rPr>
          <w:rFonts w:ascii="Cambria Math" w:hAnsi="Cambria Math"/>
          <w:sz w:val="23"/>
          <w:szCs w:val="23"/>
          <w:rtl/>
        </w:rPr>
        <w:t>مفید واقع شوند. این مدل همچنین پایه و اساس تئوری</w:t>
      </w:r>
      <w:r w:rsidRPr="00A309A0">
        <w:rPr>
          <w:rFonts w:ascii="Cambria Math" w:hAnsi="Cambria Math"/>
          <w:sz w:val="23"/>
          <w:szCs w:val="23"/>
          <w:rtl/>
        </w:rPr>
        <w:softHyphen/>
      </w:r>
      <w:r w:rsidRPr="00A309A0">
        <w:rPr>
          <w:rFonts w:ascii="Cambria Math" w:hAnsi="Cambria Math" w:hint="cs"/>
          <w:sz w:val="23"/>
          <w:szCs w:val="23"/>
          <w:rtl/>
        </w:rPr>
        <w:t>های</w:t>
      </w:r>
      <w:r w:rsidRPr="00A309A0">
        <w:rPr>
          <w:rFonts w:ascii="Cambria Math" w:hAnsi="Cambria Math"/>
          <w:sz w:val="23"/>
          <w:szCs w:val="23"/>
          <w:rtl/>
        </w:rPr>
        <w:t xml:space="preserve"> رشد </w:t>
      </w:r>
      <w:r w:rsidRPr="00A309A0">
        <w:rPr>
          <w:rFonts w:ascii="Cambria Math" w:hAnsi="Cambria Math" w:hint="cs"/>
          <w:sz w:val="23"/>
          <w:szCs w:val="23"/>
          <w:rtl/>
        </w:rPr>
        <w:t xml:space="preserve">اقتصادی </w:t>
      </w:r>
      <w:r w:rsidRPr="00A309A0">
        <w:rPr>
          <w:rFonts w:ascii="Cambria Math" w:hAnsi="Cambria Math"/>
          <w:sz w:val="23"/>
          <w:szCs w:val="23"/>
          <w:rtl/>
        </w:rPr>
        <w:t xml:space="preserve">مدرن را </w:t>
      </w:r>
      <w:r w:rsidRPr="00A309A0">
        <w:rPr>
          <w:rFonts w:ascii="Cambria Math" w:hAnsi="Cambria Math" w:hint="cs"/>
          <w:sz w:val="23"/>
          <w:szCs w:val="23"/>
          <w:rtl/>
        </w:rPr>
        <w:t xml:space="preserve">نیز </w:t>
      </w:r>
      <w:r w:rsidRPr="00A309A0">
        <w:rPr>
          <w:rFonts w:ascii="Cambria Math" w:hAnsi="Cambria Math"/>
          <w:sz w:val="23"/>
          <w:szCs w:val="23"/>
          <w:rtl/>
        </w:rPr>
        <w:t>تشکیل می‌دهد</w:t>
      </w:r>
      <w:r w:rsidRPr="00A309A0">
        <w:rPr>
          <w:rFonts w:ascii="Cambria Math" w:hAnsi="Cambria Math" w:hint="cs"/>
          <w:sz w:val="23"/>
          <w:szCs w:val="23"/>
          <w:rtl/>
        </w:rPr>
        <w:t xml:space="preserve"> که در فصل بعد بدان اشاره خواهیم کرد.</w:t>
      </w:r>
      <w:r w:rsidRPr="00A309A0">
        <w:rPr>
          <w:rStyle w:val="FootnoteReference"/>
          <w:rFonts w:ascii="Cambria Math" w:eastAsiaTheme="majorEastAsia" w:hAnsi="Cambria Math"/>
          <w:sz w:val="23"/>
          <w:szCs w:val="23"/>
          <w:rtl/>
        </w:rPr>
        <w:footnoteReference w:id="50"/>
      </w:r>
      <w:r w:rsidRPr="00A309A0">
        <w:rPr>
          <w:rFonts w:ascii="Cambria Math" w:hAnsi="Cambria Math" w:hint="cs"/>
          <w:sz w:val="23"/>
          <w:szCs w:val="23"/>
          <w:rtl/>
        </w:rPr>
        <w:t xml:space="preserve"> </w:t>
      </w:r>
      <w:r w:rsidRPr="00A309A0">
        <w:rPr>
          <w:rFonts w:ascii="Cambria Math" w:hAnsi="Cambria Math"/>
          <w:sz w:val="23"/>
          <w:szCs w:val="23"/>
          <w:rtl/>
        </w:rPr>
        <w:t xml:space="preserve">در این فصل، مفاهیم کلیدی </w:t>
      </w:r>
      <w:r w:rsidRPr="00A309A0">
        <w:rPr>
          <w:rFonts w:ascii="Cambria Math" w:hAnsi="Cambria Math" w:hint="cs"/>
          <w:sz w:val="23"/>
          <w:szCs w:val="23"/>
          <w:rtl/>
        </w:rPr>
        <w:t>مدل</w:t>
      </w:r>
      <w:r w:rsidRPr="00A309A0">
        <w:rPr>
          <w:rFonts w:ascii="Cambria Math" w:hAnsi="Cambria Math"/>
          <w:sz w:val="23"/>
          <w:szCs w:val="23"/>
          <w:rtl/>
        </w:rPr>
        <w:softHyphen/>
      </w:r>
      <w:r w:rsidRPr="00A309A0">
        <w:rPr>
          <w:rFonts w:ascii="Cambria Math" w:hAnsi="Cambria Math" w:hint="cs"/>
          <w:sz w:val="23"/>
          <w:szCs w:val="23"/>
          <w:rtl/>
        </w:rPr>
        <w:t xml:space="preserve">های تعادل عمومی پویا </w:t>
      </w:r>
      <w:r w:rsidRPr="00A309A0">
        <w:rPr>
          <w:rFonts w:ascii="Cambria Math" w:hAnsi="Cambria Math"/>
          <w:sz w:val="23"/>
          <w:szCs w:val="23"/>
          <w:rtl/>
        </w:rPr>
        <w:t>در اقتصاد کلان و ویژگی</w:t>
      </w:r>
      <w:r w:rsidRPr="00A309A0">
        <w:rPr>
          <w:rFonts w:ascii="Cambria Math" w:hAnsi="Cambria Math" w:hint="cs"/>
          <w:sz w:val="23"/>
          <w:szCs w:val="23"/>
          <w:rtl/>
        </w:rPr>
        <w:t>‌</w:t>
      </w:r>
      <w:r w:rsidRPr="00A309A0">
        <w:rPr>
          <w:rFonts w:ascii="Cambria Math" w:hAnsi="Cambria Math"/>
          <w:sz w:val="23"/>
          <w:szCs w:val="23"/>
          <w:rtl/>
        </w:rPr>
        <w:t xml:space="preserve">های مهم آن </w:t>
      </w:r>
      <w:r w:rsidRPr="00A309A0">
        <w:rPr>
          <w:rFonts w:ascii="Cambria Math" w:hAnsi="Cambria Math" w:hint="cs"/>
          <w:sz w:val="23"/>
          <w:szCs w:val="23"/>
          <w:rtl/>
        </w:rPr>
        <w:t xml:space="preserve">به اجمال </w:t>
      </w:r>
      <w:r w:rsidRPr="00A309A0">
        <w:rPr>
          <w:rFonts w:ascii="Cambria Math" w:hAnsi="Cambria Math"/>
          <w:sz w:val="23"/>
          <w:szCs w:val="23"/>
          <w:rtl/>
        </w:rPr>
        <w:t xml:space="preserve">شناسایی و تجزیه و تحلیل </w:t>
      </w:r>
      <w:r w:rsidRPr="00A309A0">
        <w:rPr>
          <w:rFonts w:ascii="Cambria Math" w:hAnsi="Cambria Math" w:hint="cs"/>
          <w:sz w:val="23"/>
          <w:szCs w:val="23"/>
          <w:rtl/>
        </w:rPr>
        <w:t>می</w:t>
      </w:r>
      <w:r w:rsidRPr="00A309A0">
        <w:rPr>
          <w:rFonts w:ascii="Cambria Math" w:hAnsi="Cambria Math"/>
          <w:sz w:val="23"/>
          <w:szCs w:val="23"/>
          <w:rtl/>
        </w:rPr>
        <w:softHyphen/>
      </w:r>
      <w:r w:rsidRPr="00A309A0">
        <w:rPr>
          <w:rFonts w:ascii="Cambria Math" w:hAnsi="Cambria Math" w:hint="cs"/>
          <w:sz w:val="23"/>
          <w:szCs w:val="23"/>
          <w:rtl/>
        </w:rPr>
        <w:t>شود</w:t>
      </w:r>
      <w:r w:rsidRPr="00A309A0">
        <w:rPr>
          <w:rFonts w:ascii="Cambria Math" w:hAnsi="Cambria Math"/>
          <w:sz w:val="23"/>
          <w:szCs w:val="23"/>
          <w:rtl/>
        </w:rPr>
        <w:t xml:space="preserve">. </w:t>
      </w:r>
    </w:p>
    <w:p w14:paraId="63E53863" w14:textId="77777777" w:rsidR="00411620" w:rsidRPr="00A309A0" w:rsidRDefault="00411620" w:rsidP="00411620">
      <w:pPr>
        <w:spacing w:line="216" w:lineRule="auto"/>
        <w:rPr>
          <w:rFonts w:ascii="Cambria Math" w:hAnsi="Cambria Math"/>
          <w:sz w:val="23"/>
          <w:szCs w:val="23"/>
        </w:rPr>
      </w:pPr>
    </w:p>
    <w:p w14:paraId="6BB12BFE" w14:textId="77777777" w:rsidR="00411620" w:rsidRPr="00A309A0" w:rsidRDefault="00411620" w:rsidP="00411620">
      <w:pPr>
        <w:pStyle w:val="Heading1"/>
        <w:spacing w:before="0" w:after="0" w:line="216" w:lineRule="auto"/>
        <w:rPr>
          <w:rFonts w:ascii="Cambria Math" w:hAnsi="Cambria Math" w:cs="B Nazanin"/>
          <w:sz w:val="23"/>
          <w:szCs w:val="23"/>
          <w:rtl/>
        </w:rPr>
      </w:pPr>
      <w:r w:rsidRPr="00A309A0">
        <w:rPr>
          <w:rFonts w:ascii="Cambria Math" w:hAnsi="Cambria Math" w:cs="B Nazanin" w:hint="cs"/>
          <w:sz w:val="23"/>
          <w:szCs w:val="23"/>
          <w:rtl/>
        </w:rPr>
        <w:lastRenderedPageBreak/>
        <w:t>۲. ۲</w:t>
      </w:r>
      <w:r w:rsidRPr="00A309A0">
        <w:rPr>
          <w:rFonts w:ascii="Cambria Math" w:hAnsi="Cambria Math" w:cs="B Nazanin"/>
          <w:sz w:val="23"/>
          <w:szCs w:val="23"/>
          <w:rtl/>
        </w:rPr>
        <w:t xml:space="preserve"> تعادل عمومی پویا در اقتصاد بسته </w:t>
      </w:r>
    </w:p>
    <w:p w14:paraId="06F19D0C" w14:textId="77777777" w:rsidR="00411620" w:rsidRPr="00A309A0" w:rsidRDefault="00411620" w:rsidP="00411620">
      <w:pPr>
        <w:spacing w:line="216" w:lineRule="auto"/>
        <w:rPr>
          <w:rFonts w:ascii="Cambria Math" w:hAnsi="Cambria Math"/>
          <w:sz w:val="23"/>
          <w:szCs w:val="23"/>
        </w:rPr>
      </w:pPr>
      <w:r w:rsidRPr="00A309A0">
        <w:rPr>
          <w:rFonts w:ascii="Cambria Math" w:hAnsi="Cambria Math"/>
          <w:sz w:val="23"/>
          <w:szCs w:val="23"/>
          <w:rtl/>
        </w:rPr>
        <w:t>در اقتصادی با مفروضات فوق، کالاها و خدماتِ تولید شده</w:t>
      </w:r>
      <w:r w:rsidRPr="00A309A0">
        <w:rPr>
          <w:rFonts w:ascii="Cambria Math" w:hAnsi="Cambria Math"/>
          <w:sz w:val="23"/>
          <w:szCs w:val="23"/>
          <w:rtl/>
        </w:rPr>
        <w:softHyphen/>
        <w:t>ی امروز</w:t>
      </w:r>
      <w:r w:rsidRPr="00A309A0">
        <w:rPr>
          <w:rFonts w:ascii="Cambria Math" w:hAnsi="Cambria Math" w:hint="cs"/>
          <w:sz w:val="23"/>
          <w:szCs w:val="23"/>
          <w:rtl/>
        </w:rPr>
        <w:t xml:space="preserve"> یا</w:t>
      </w:r>
      <w:r w:rsidRPr="00A309A0">
        <w:rPr>
          <w:rFonts w:ascii="Cambria Math" w:hAnsi="Cambria Math"/>
          <w:sz w:val="23"/>
          <w:szCs w:val="23"/>
          <w:rtl/>
        </w:rPr>
        <w:t xml:space="preserve"> مصرف و یا سرمایه‌گذاری می</w:t>
      </w:r>
      <w:r w:rsidRPr="00A309A0">
        <w:rPr>
          <w:rFonts w:ascii="Cambria Math" w:hAnsi="Cambria Math"/>
          <w:sz w:val="23"/>
          <w:szCs w:val="23"/>
          <w:rtl/>
        </w:rPr>
        <w:softHyphen/>
        <w:t>شوند. سرمایه‌گذاری امروز، به موجودی سرمایه اضاف</w:t>
      </w:r>
      <w:r w:rsidRPr="00A309A0">
        <w:rPr>
          <w:rFonts w:ascii="Cambria Math" w:hAnsi="Cambria Math" w:hint="cs"/>
          <w:sz w:val="23"/>
          <w:szCs w:val="23"/>
          <w:rtl/>
        </w:rPr>
        <w:t>ه</w:t>
      </w:r>
      <w:r w:rsidRPr="00A309A0">
        <w:rPr>
          <w:rFonts w:ascii="Cambria Math" w:hAnsi="Cambria Math"/>
          <w:sz w:val="23"/>
          <w:szCs w:val="23"/>
          <w:rtl/>
        </w:rPr>
        <w:t xml:space="preserve"> شد</w:t>
      </w:r>
      <w:r w:rsidRPr="00A309A0">
        <w:rPr>
          <w:rFonts w:ascii="Cambria Math" w:hAnsi="Cambria Math" w:hint="cs"/>
          <w:sz w:val="23"/>
          <w:szCs w:val="23"/>
          <w:rtl/>
        </w:rPr>
        <w:t>ه، و</w:t>
      </w:r>
      <w:r w:rsidRPr="00A309A0">
        <w:rPr>
          <w:rFonts w:ascii="Cambria Math" w:hAnsi="Cambria Math"/>
          <w:sz w:val="23"/>
          <w:szCs w:val="23"/>
          <w:rtl/>
        </w:rPr>
        <w:t xml:space="preserve"> موجودی سرمایه می‌تواند امروز مصرف شود و یا برای تولید کالاها و خدمات در آینده مورد استفاده قرار گیرد</w:t>
      </w:r>
      <w:r w:rsidRPr="00A309A0">
        <w:rPr>
          <w:rFonts w:ascii="Cambria Math" w:hAnsi="Cambria Math" w:hint="cs"/>
          <w:sz w:val="23"/>
          <w:szCs w:val="23"/>
          <w:rtl/>
        </w:rPr>
        <w:t>،</w:t>
      </w:r>
      <w:r w:rsidRPr="00A309A0">
        <w:rPr>
          <w:rFonts w:ascii="Cambria Math" w:hAnsi="Cambria Math"/>
          <w:sz w:val="23"/>
          <w:szCs w:val="23"/>
          <w:rtl/>
        </w:rPr>
        <w:t xml:space="preserve"> و به تبع آن مصرف فردا را افزایش دهد. مسئله</w:t>
      </w:r>
      <w:r w:rsidRPr="00A309A0">
        <w:rPr>
          <w:rFonts w:ascii="Cambria Math" w:hAnsi="Cambria Math"/>
          <w:sz w:val="23"/>
          <w:szCs w:val="23"/>
          <w:rtl/>
        </w:rPr>
        <w:softHyphen/>
        <w:t xml:space="preserve">ای که باید بدآن توجه </w:t>
      </w:r>
      <w:r w:rsidRPr="00A309A0">
        <w:rPr>
          <w:rFonts w:ascii="Cambria Math" w:hAnsi="Cambria Math" w:hint="cs"/>
          <w:sz w:val="23"/>
          <w:szCs w:val="23"/>
          <w:rtl/>
        </w:rPr>
        <w:t>شود</w:t>
      </w:r>
      <w:r w:rsidRPr="00A309A0">
        <w:rPr>
          <w:rFonts w:ascii="Cambria Math" w:hAnsi="Cambria Math"/>
          <w:sz w:val="23"/>
          <w:szCs w:val="23"/>
          <w:rtl/>
        </w:rPr>
        <w:t xml:space="preserve"> این است که چگونه</w:t>
      </w:r>
      <w:r w:rsidRPr="00A309A0">
        <w:rPr>
          <w:rFonts w:ascii="Cambria Math" w:hAnsi="Cambria Math" w:hint="cs"/>
          <w:sz w:val="23"/>
          <w:szCs w:val="23"/>
          <w:rtl/>
        </w:rPr>
        <w:t>،</w:t>
      </w:r>
      <w:r w:rsidRPr="00A309A0">
        <w:rPr>
          <w:rFonts w:ascii="Cambria Math" w:hAnsi="Cambria Math"/>
          <w:sz w:val="23"/>
          <w:szCs w:val="23"/>
          <w:rtl/>
        </w:rPr>
        <w:t xml:space="preserve"> </w:t>
      </w:r>
      <w:r w:rsidRPr="00A309A0">
        <w:rPr>
          <w:rFonts w:ascii="Cambria Math" w:hAnsi="Cambria Math" w:hint="cs"/>
          <w:sz w:val="23"/>
          <w:szCs w:val="23"/>
          <w:rtl/>
        </w:rPr>
        <w:t xml:space="preserve">و </w:t>
      </w:r>
      <w:r w:rsidRPr="00A309A0">
        <w:rPr>
          <w:rFonts w:ascii="Cambria Math" w:hAnsi="Cambria Math"/>
          <w:sz w:val="23"/>
          <w:szCs w:val="23"/>
          <w:rtl/>
        </w:rPr>
        <w:t>به بهترین شکل</w:t>
      </w:r>
      <w:r w:rsidRPr="00A309A0">
        <w:rPr>
          <w:rFonts w:ascii="Cambria Math" w:hAnsi="Cambria Math" w:hint="cs"/>
          <w:sz w:val="23"/>
          <w:szCs w:val="23"/>
          <w:rtl/>
        </w:rPr>
        <w:t>ِ</w:t>
      </w:r>
      <w:r w:rsidRPr="00A309A0">
        <w:rPr>
          <w:rFonts w:ascii="Cambria Math" w:hAnsi="Cambria Math"/>
          <w:sz w:val="23"/>
          <w:szCs w:val="23"/>
          <w:rtl/>
        </w:rPr>
        <w:t xml:space="preserve"> ممکن</w:t>
      </w:r>
      <w:r w:rsidRPr="00A309A0">
        <w:rPr>
          <w:rFonts w:ascii="Cambria Math" w:hAnsi="Cambria Math" w:hint="cs"/>
          <w:sz w:val="23"/>
          <w:szCs w:val="23"/>
          <w:rtl/>
        </w:rPr>
        <w:t xml:space="preserve"> </w:t>
      </w:r>
      <w:r w:rsidRPr="00A309A0">
        <w:rPr>
          <w:rFonts w:ascii="Cambria Math" w:hAnsi="Cambria Math"/>
          <w:sz w:val="23"/>
          <w:szCs w:val="23"/>
          <w:rtl/>
        </w:rPr>
        <w:t>می</w:t>
      </w:r>
      <w:r w:rsidRPr="00A309A0">
        <w:rPr>
          <w:rFonts w:ascii="Cambria Math" w:hAnsi="Cambria Math"/>
          <w:sz w:val="23"/>
          <w:szCs w:val="23"/>
          <w:rtl/>
        </w:rPr>
        <w:softHyphen/>
        <w:t>توان محصول را بین مصرف و سرمایه‌گذاری به منظور انباشت سرمایه و تولید در آینده تخصیص داد</w:t>
      </w:r>
      <w:r w:rsidRPr="00A309A0">
        <w:rPr>
          <w:rFonts w:ascii="Cambria Math" w:hAnsi="Cambria Math" w:hint="cs"/>
          <w:sz w:val="23"/>
          <w:szCs w:val="23"/>
          <w:rtl/>
        </w:rPr>
        <w:t>،</w:t>
      </w:r>
      <w:r w:rsidRPr="00A309A0">
        <w:rPr>
          <w:rFonts w:ascii="Cambria Math" w:hAnsi="Cambria Math"/>
          <w:sz w:val="23"/>
          <w:szCs w:val="23"/>
          <w:rtl/>
        </w:rPr>
        <w:t xml:space="preserve"> به طوری</w:t>
      </w:r>
      <w:r w:rsidRPr="00A309A0">
        <w:rPr>
          <w:rFonts w:ascii="Cambria Math" w:hAnsi="Cambria Math"/>
          <w:sz w:val="23"/>
          <w:szCs w:val="23"/>
          <w:rtl/>
        </w:rPr>
        <w:softHyphen/>
        <w:t xml:space="preserve">که </w:t>
      </w:r>
      <w:r w:rsidRPr="00A309A0">
        <w:rPr>
          <w:rFonts w:ascii="Cambria Math" w:hAnsi="Cambria Math" w:hint="cs"/>
          <w:sz w:val="23"/>
          <w:szCs w:val="23"/>
          <w:rtl/>
        </w:rPr>
        <w:t xml:space="preserve">تولید و </w:t>
      </w:r>
      <w:r w:rsidRPr="00A309A0">
        <w:rPr>
          <w:rFonts w:ascii="Cambria Math" w:hAnsi="Cambria Math"/>
          <w:sz w:val="23"/>
          <w:szCs w:val="23"/>
          <w:rtl/>
        </w:rPr>
        <w:t xml:space="preserve">مصرف بیشتری برای </w:t>
      </w:r>
      <w:r w:rsidRPr="00A309A0">
        <w:rPr>
          <w:rFonts w:ascii="Cambria Math" w:hAnsi="Cambria Math" w:hint="cs"/>
          <w:sz w:val="23"/>
          <w:szCs w:val="23"/>
          <w:rtl/>
        </w:rPr>
        <w:t xml:space="preserve">حال و </w:t>
      </w:r>
      <w:r w:rsidRPr="00A309A0">
        <w:rPr>
          <w:rFonts w:ascii="Cambria Math" w:hAnsi="Cambria Math"/>
          <w:sz w:val="23"/>
          <w:szCs w:val="23"/>
          <w:rtl/>
        </w:rPr>
        <w:t>آینده وجود داشته باشد. مدلِ با مفروضات فوق متشکل از سه معادله</w:t>
      </w:r>
      <w:r w:rsidRPr="00A309A0">
        <w:rPr>
          <w:rFonts w:ascii="Cambria Math" w:hAnsi="Cambria Math"/>
          <w:sz w:val="23"/>
          <w:szCs w:val="23"/>
          <w:rtl/>
        </w:rPr>
        <w:softHyphen/>
      </w:r>
      <w:r w:rsidRPr="00A309A0">
        <w:rPr>
          <w:rFonts w:ascii="Cambria Math" w:hAnsi="Cambria Math" w:hint="cs"/>
          <w:sz w:val="23"/>
          <w:szCs w:val="23"/>
          <w:rtl/>
        </w:rPr>
        <w:t>ی زیر</w:t>
      </w:r>
      <w:r w:rsidRPr="00A309A0">
        <w:rPr>
          <w:rFonts w:ascii="Cambria Math" w:hAnsi="Cambria Math"/>
          <w:sz w:val="23"/>
          <w:szCs w:val="23"/>
          <w:rtl/>
        </w:rPr>
        <w:t xml:space="preserve"> </w:t>
      </w:r>
      <w:r w:rsidRPr="00A309A0">
        <w:rPr>
          <w:rFonts w:ascii="Cambria Math" w:hAnsi="Cambria Math" w:hint="cs"/>
          <w:sz w:val="23"/>
          <w:szCs w:val="23"/>
          <w:rtl/>
        </w:rPr>
        <w:t>خواهد بود</w:t>
      </w:r>
      <w:r w:rsidRPr="00A309A0">
        <w:rPr>
          <w:rFonts w:ascii="Cambria Math" w:hAnsi="Cambria Math"/>
          <w:sz w:val="23"/>
          <w:szCs w:val="23"/>
          <w:rtl/>
        </w:rPr>
        <w:t xml:space="preserve">. </w:t>
      </w:r>
    </w:p>
    <w:p w14:paraId="7E228CE1" w14:textId="77777777" w:rsidR="00411620" w:rsidRPr="00A309A0" w:rsidRDefault="00411620" w:rsidP="00411620">
      <w:pPr>
        <w:bidi w:val="0"/>
        <w:spacing w:line="216" w:lineRule="auto"/>
        <w:rPr>
          <w:rFonts w:ascii="Cambria Math" w:hAnsi="Cambria Math"/>
          <w:sz w:val="23"/>
          <w:szCs w:val="23"/>
        </w:rPr>
      </w:pPr>
      <w:r w:rsidRPr="00B92922">
        <w:rPr>
          <w:position w:val="-20"/>
        </w:rPr>
        <w:object w:dxaOrig="1080" w:dyaOrig="499" w14:anchorId="57D646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85pt;height:24.8pt" o:ole="">
            <v:imagedata r:id="rId9" o:title=""/>
          </v:shape>
          <o:OLEObject Type="Embed" ProgID="Equation.DSMT4" ShapeID="_x0000_i1025" DrawAspect="Content" ObjectID="_1791374969" r:id="rId10"/>
        </w:object>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Pr>
        <w:tab/>
      </w:r>
      <w:r>
        <w:rPr>
          <w:rFonts w:ascii="Cambria Math" w:hAnsi="Cambria Math"/>
          <w:sz w:val="23"/>
          <w:szCs w:val="23"/>
          <w:rtl/>
        </w:rPr>
        <w:tab/>
      </w:r>
      <w:r w:rsidRPr="00A309A0">
        <w:rPr>
          <w:rFonts w:ascii="Cambria Math" w:hAnsi="Cambria Math"/>
          <w:sz w:val="23"/>
          <w:szCs w:val="23"/>
        </w:rPr>
        <w:tab/>
      </w:r>
      <w:r>
        <w:rPr>
          <w:rFonts w:ascii="Cambria Math" w:hAnsi="Cambria Math"/>
          <w:sz w:val="23"/>
          <w:szCs w:val="23"/>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hint="cs"/>
          <w:sz w:val="23"/>
          <w:szCs w:val="23"/>
          <w:rtl/>
        </w:rPr>
        <w:t>(۲. ۱)</w:t>
      </w:r>
    </w:p>
    <w:p w14:paraId="0E83846F" w14:textId="77777777" w:rsidR="00411620" w:rsidRPr="00A309A0" w:rsidRDefault="00411620" w:rsidP="00411620">
      <w:pPr>
        <w:bidi w:val="0"/>
        <w:spacing w:line="216" w:lineRule="auto"/>
        <w:rPr>
          <w:rFonts w:ascii="Cambria Math" w:hAnsi="Cambria Math"/>
          <w:sz w:val="23"/>
          <w:szCs w:val="23"/>
          <w:rtl/>
        </w:rPr>
      </w:pPr>
      <w:r w:rsidRPr="00B92922">
        <w:rPr>
          <w:position w:val="-10"/>
        </w:rPr>
        <w:object w:dxaOrig="940" w:dyaOrig="320" w14:anchorId="525AEA26">
          <v:shape id="_x0000_i1026" type="#_x0000_t75" style="width:47.2pt;height:15.75pt" o:ole="">
            <v:imagedata r:id="rId11" o:title=""/>
          </v:shape>
          <o:OLEObject Type="Embed" ProgID="Equation.DSMT4" ShapeID="_x0000_i1026" DrawAspect="Content" ObjectID="_1791374970" r:id="rId12"/>
        </w:object>
      </w:r>
      <w:r w:rsidRPr="00A309A0">
        <w:rPr>
          <w:rFonts w:ascii="Cambria Math" w:hAnsi="Cambria Math"/>
          <w:sz w:val="23"/>
          <w:szCs w:val="23"/>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Pr>
          <w:rFonts w:ascii="Cambria Math" w:hAnsi="Cambria Math"/>
          <w:sz w:val="23"/>
          <w:szCs w:val="23"/>
          <w:rtl/>
        </w:rPr>
        <w:tab/>
      </w:r>
      <w:r w:rsidRPr="00A309A0">
        <w:rPr>
          <w:rFonts w:ascii="Cambria Math" w:hAnsi="Cambria Math"/>
          <w:sz w:val="23"/>
          <w:szCs w:val="23"/>
        </w:rPr>
        <w:tab/>
      </w:r>
      <w:r>
        <w:rPr>
          <w:rFonts w:ascii="Cambria Math" w:hAnsi="Cambria Math"/>
          <w:sz w:val="23"/>
          <w:szCs w:val="23"/>
        </w:rPr>
        <w:tab/>
      </w:r>
      <w:r w:rsidRPr="00A309A0">
        <w:rPr>
          <w:rFonts w:ascii="Cambria Math" w:hAnsi="Cambria Math"/>
          <w:sz w:val="23"/>
          <w:szCs w:val="23"/>
        </w:rPr>
        <w:tab/>
      </w:r>
      <w:r w:rsidRPr="00A309A0">
        <w:rPr>
          <w:rFonts w:ascii="Cambria Math" w:hAnsi="Cambria Math"/>
          <w:sz w:val="23"/>
          <w:szCs w:val="23"/>
          <w:rtl/>
        </w:rPr>
        <w:tab/>
      </w:r>
      <w:r w:rsidRPr="00A309A0">
        <w:rPr>
          <w:rFonts w:ascii="Cambria Math" w:hAnsi="Cambria Math" w:hint="cs"/>
          <w:sz w:val="23"/>
          <w:szCs w:val="23"/>
          <w:rtl/>
        </w:rPr>
        <w:t>(۲. ۲)</w:t>
      </w:r>
    </w:p>
    <w:p w14:paraId="667C50FE" w14:textId="77777777" w:rsidR="00411620" w:rsidRPr="00A309A0" w:rsidRDefault="00411620" w:rsidP="00411620">
      <w:pPr>
        <w:bidi w:val="0"/>
        <w:spacing w:line="216" w:lineRule="auto"/>
        <w:rPr>
          <w:rFonts w:ascii="Cambria Math" w:hAnsi="Cambria Math"/>
          <w:sz w:val="23"/>
          <w:szCs w:val="23"/>
        </w:rPr>
      </w:pPr>
      <w:r w:rsidRPr="00B92922">
        <w:rPr>
          <w:position w:val="-10"/>
        </w:rPr>
        <w:object w:dxaOrig="3440" w:dyaOrig="320" w14:anchorId="04D58B40">
          <v:shape id="_x0000_i1027" type="#_x0000_t75" style="width:171.85pt;height:15.75pt" o:ole="">
            <v:imagedata r:id="rId13" o:title=""/>
          </v:shape>
          <o:OLEObject Type="Embed" ProgID="Equation.DSMT4" ShapeID="_x0000_i1027" DrawAspect="Content" ObjectID="_1791374971" r:id="rId14"/>
        </w:object>
      </w:r>
      <w:r w:rsidRPr="00A309A0">
        <w:rPr>
          <w:rFonts w:ascii="Cambria Math" w:hAnsi="Cambria Math"/>
          <w:sz w:val="23"/>
          <w:szCs w:val="23"/>
        </w:rPr>
        <w:tab/>
      </w:r>
      <w:r w:rsidRPr="00A309A0">
        <w:rPr>
          <w:rFonts w:ascii="Cambria Math" w:hAnsi="Cambria Math"/>
          <w:sz w:val="23"/>
          <w:szCs w:val="23"/>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Pr>
        <w:tab/>
      </w:r>
      <w:r w:rsidRPr="00A309A0">
        <w:rPr>
          <w:rFonts w:ascii="Cambria Math" w:hAnsi="Cambria Math"/>
          <w:sz w:val="23"/>
          <w:szCs w:val="23"/>
          <w:rtl/>
        </w:rPr>
        <w:tab/>
      </w:r>
      <w:r>
        <w:rPr>
          <w:rFonts w:ascii="Cambria Math" w:hAnsi="Cambria Math"/>
          <w:sz w:val="23"/>
          <w:szCs w:val="23"/>
          <w:rtl/>
        </w:rPr>
        <w:tab/>
      </w:r>
      <w:r w:rsidRPr="00A309A0">
        <w:rPr>
          <w:rFonts w:ascii="Cambria Math" w:hAnsi="Cambria Math"/>
          <w:sz w:val="23"/>
          <w:szCs w:val="23"/>
          <w:rtl/>
        </w:rPr>
        <w:tab/>
      </w:r>
      <w:r>
        <w:rPr>
          <w:rFonts w:ascii="Cambria Math" w:hAnsi="Cambria Math"/>
          <w:sz w:val="23"/>
          <w:szCs w:val="23"/>
        </w:rPr>
        <w:tab/>
      </w:r>
      <w:r w:rsidRPr="00A309A0">
        <w:rPr>
          <w:rFonts w:ascii="Cambria Math" w:hAnsi="Cambria Math"/>
          <w:sz w:val="23"/>
          <w:szCs w:val="23"/>
        </w:rPr>
        <w:tab/>
      </w:r>
      <w:r w:rsidRPr="00A309A0">
        <w:rPr>
          <w:rFonts w:ascii="Cambria Math" w:hAnsi="Cambria Math" w:hint="cs"/>
          <w:sz w:val="23"/>
          <w:szCs w:val="23"/>
          <w:rtl/>
        </w:rPr>
        <w:t>(۲. ۳)</w:t>
      </w:r>
    </w:p>
    <w:p w14:paraId="4A3C02BB" w14:textId="77777777" w:rsidR="00411620" w:rsidRPr="00A309A0" w:rsidRDefault="00411620" w:rsidP="00411620">
      <w:pPr>
        <w:spacing w:line="216" w:lineRule="auto"/>
        <w:rPr>
          <w:rFonts w:ascii="Cambria Math" w:hAnsi="Cambria Math"/>
          <w:sz w:val="23"/>
          <w:szCs w:val="23"/>
        </w:rPr>
      </w:pPr>
      <w:r w:rsidRPr="00A309A0">
        <w:rPr>
          <w:rFonts w:ascii="Cambria Math" w:hAnsi="Cambria Math"/>
          <w:sz w:val="23"/>
          <w:szCs w:val="23"/>
          <w:rtl/>
        </w:rPr>
        <w:t>معادله</w:t>
      </w:r>
      <w:r w:rsidRPr="00A309A0">
        <w:rPr>
          <w:rFonts w:ascii="Cambria Math" w:hAnsi="Cambria Math"/>
          <w:sz w:val="23"/>
          <w:szCs w:val="23"/>
          <w:rtl/>
        </w:rPr>
        <w:softHyphen/>
        <w:t>ی</w:t>
      </w:r>
      <w:r w:rsidRPr="00A309A0">
        <w:rPr>
          <w:rFonts w:ascii="Cambria Math" w:hAnsi="Cambria Math" w:hint="cs"/>
          <w:sz w:val="23"/>
          <w:szCs w:val="23"/>
          <w:rtl/>
        </w:rPr>
        <w:t xml:space="preserve"> اول</w:t>
      </w:r>
      <w:r w:rsidRPr="00A309A0">
        <w:rPr>
          <w:rFonts w:ascii="Cambria Math" w:hAnsi="Cambria Math"/>
          <w:sz w:val="23"/>
          <w:szCs w:val="23"/>
          <w:rtl/>
        </w:rPr>
        <w:t xml:space="preserve"> تابع تولید است. در این رابطه </w:t>
      </w:r>
      <w:r w:rsidRPr="00A309A0">
        <w:rPr>
          <w:rFonts w:ascii="Cambria Math" w:hAnsi="Cambria Math" w:hint="cs"/>
          <w:sz w:val="23"/>
          <w:szCs w:val="23"/>
          <w:rtl/>
        </w:rPr>
        <w:t xml:space="preserve">تولید یا </w:t>
      </w:r>
      <w:r w:rsidRPr="00A309A0">
        <w:rPr>
          <w:rFonts w:ascii="Cambria Math" w:hAnsi="Cambria Math"/>
          <w:sz w:val="23"/>
          <w:szCs w:val="23"/>
          <w:rtl/>
        </w:rPr>
        <w:t xml:space="preserve">محصول </w:t>
      </w:r>
      <w:r w:rsidRPr="00A309A0">
        <w:rPr>
          <w:rFonts w:ascii="Cambria Math" w:hAnsi="Cambria Math" w:hint="cs"/>
          <w:sz w:val="23"/>
          <w:szCs w:val="23"/>
          <w:rtl/>
        </w:rPr>
        <w:t xml:space="preserve">کل </w:t>
      </w:r>
      <w:r w:rsidRPr="00A309A0">
        <w:rPr>
          <w:rFonts w:ascii="Cambria Math" w:hAnsi="Cambria Math"/>
          <w:sz w:val="23"/>
          <w:szCs w:val="23"/>
          <w:rtl/>
        </w:rPr>
        <w:t>در زمان</w:t>
      </w:r>
      <w:r w:rsidRPr="00B92922">
        <w:rPr>
          <w:position w:val="-6"/>
        </w:rPr>
        <w:object w:dxaOrig="139" w:dyaOrig="240" w14:anchorId="0F4BC8C1">
          <v:shape id="_x0000_i1028" type="#_x0000_t75" style="width:7.25pt;height:12.1pt" o:ole="">
            <v:imagedata r:id="rId15" o:title=""/>
          </v:shape>
          <o:OLEObject Type="Embed" ProgID="Equation.DSMT4" ShapeID="_x0000_i1028" DrawAspect="Content" ObjectID="_1791374972" r:id="rId16"/>
        </w:object>
      </w:r>
      <w:r w:rsidRPr="00A309A0">
        <w:rPr>
          <w:rFonts w:ascii="Cambria Math" w:hAnsi="Cambria Math" w:hint="cs"/>
          <w:sz w:val="23"/>
          <w:szCs w:val="23"/>
          <w:rtl/>
        </w:rPr>
        <w:t>،</w:t>
      </w:r>
      <w:r w:rsidRPr="00A309A0">
        <w:rPr>
          <w:rFonts w:ascii="Cambria Math" w:hAnsi="Cambria Math"/>
          <w:sz w:val="23"/>
          <w:szCs w:val="23"/>
          <w:rtl/>
        </w:rPr>
        <w:t xml:space="preserve"> </w:t>
      </w:r>
      <w:r w:rsidRPr="00A309A0">
        <w:rPr>
          <w:rFonts w:ascii="Cambria Math" w:hAnsi="Cambria Math" w:hint="cs"/>
          <w:sz w:val="23"/>
          <w:szCs w:val="23"/>
          <w:rtl/>
        </w:rPr>
        <w:t>بواسطه</w:t>
      </w:r>
      <w:r w:rsidRPr="00A309A0">
        <w:rPr>
          <w:rFonts w:ascii="Cambria Math" w:hAnsi="Cambria Math"/>
          <w:sz w:val="23"/>
          <w:szCs w:val="23"/>
          <w:rtl/>
        </w:rPr>
        <w:softHyphen/>
      </w:r>
      <w:r w:rsidRPr="00A309A0">
        <w:rPr>
          <w:rFonts w:ascii="Cambria Math" w:hAnsi="Cambria Math" w:hint="cs"/>
          <w:sz w:val="23"/>
          <w:szCs w:val="23"/>
          <w:rtl/>
        </w:rPr>
        <w:t xml:space="preserve">ی </w:t>
      </w:r>
      <w:r w:rsidRPr="00A309A0">
        <w:rPr>
          <w:rFonts w:ascii="Cambria Math" w:hAnsi="Cambria Math"/>
          <w:sz w:val="23"/>
          <w:szCs w:val="23"/>
          <w:rtl/>
        </w:rPr>
        <w:t>موجودی سرمایه در آغاز دوره و با استفاده از دانش و تکنولوژی موجود تولید می</w:t>
      </w:r>
      <w:r w:rsidRPr="00A309A0">
        <w:rPr>
          <w:rFonts w:ascii="Cambria Math" w:hAnsi="Cambria Math"/>
          <w:sz w:val="23"/>
          <w:szCs w:val="23"/>
          <w:rtl/>
        </w:rPr>
        <w:softHyphen/>
        <w:t xml:space="preserve">شود. </w:t>
      </w:r>
      <w:r w:rsidRPr="00A309A0">
        <w:rPr>
          <w:rFonts w:ascii="Cambria Math" w:hAnsi="Cambria Math" w:hint="cs"/>
          <w:sz w:val="23"/>
          <w:szCs w:val="23"/>
          <w:rtl/>
        </w:rPr>
        <w:t>فرض می</w:t>
      </w:r>
      <w:r w:rsidRPr="00A309A0">
        <w:rPr>
          <w:rFonts w:ascii="Cambria Math" w:hAnsi="Cambria Math"/>
          <w:sz w:val="23"/>
          <w:szCs w:val="23"/>
          <w:rtl/>
        </w:rPr>
        <w:softHyphen/>
      </w:r>
      <w:r w:rsidRPr="00A309A0">
        <w:rPr>
          <w:rFonts w:ascii="Cambria Math" w:hAnsi="Cambria Math" w:hint="cs"/>
          <w:sz w:val="23"/>
          <w:szCs w:val="23"/>
          <w:rtl/>
        </w:rPr>
        <w:t xml:space="preserve">شود </w:t>
      </w:r>
      <w:r w:rsidRPr="00A309A0">
        <w:rPr>
          <w:rFonts w:ascii="Cambria Math" w:hAnsi="Cambria Math"/>
          <w:sz w:val="23"/>
          <w:szCs w:val="23"/>
          <w:rtl/>
        </w:rPr>
        <w:t>افزایش در موجودی سرمایه</w:t>
      </w:r>
      <w:r w:rsidRPr="00A309A0">
        <w:rPr>
          <w:rFonts w:ascii="Cambria Math" w:hAnsi="Cambria Math" w:hint="cs"/>
          <w:sz w:val="23"/>
          <w:szCs w:val="23"/>
          <w:rtl/>
        </w:rPr>
        <w:t>،</w:t>
      </w:r>
      <w:r w:rsidRPr="00A309A0">
        <w:rPr>
          <w:rFonts w:ascii="Cambria Math" w:hAnsi="Cambria Math"/>
          <w:sz w:val="23"/>
          <w:szCs w:val="23"/>
          <w:rtl/>
        </w:rPr>
        <w:t xml:space="preserve"> تولید را افزایش می‌دهد، لیکن با نرخی کاهنده</w:t>
      </w:r>
      <w:r w:rsidRPr="00A309A0">
        <w:rPr>
          <w:rFonts w:ascii="Cambria Math" w:hAnsi="Cambria Math" w:hint="cs"/>
          <w:sz w:val="23"/>
          <w:szCs w:val="23"/>
          <w:rtl/>
        </w:rPr>
        <w:t>،</w:t>
      </w:r>
      <w:r w:rsidRPr="00A309A0">
        <w:rPr>
          <w:rStyle w:val="FootnoteReference"/>
          <w:rFonts w:ascii="Cambria Math" w:eastAsiaTheme="majorEastAsia" w:hAnsi="Cambria Math"/>
          <w:sz w:val="23"/>
          <w:szCs w:val="23"/>
          <w:rtl/>
        </w:rPr>
        <w:footnoteReference w:id="51"/>
      </w:r>
      <w:r w:rsidRPr="00A309A0">
        <w:rPr>
          <w:rFonts w:ascii="Cambria Math" w:hAnsi="Cambria Math"/>
          <w:sz w:val="23"/>
          <w:szCs w:val="23"/>
          <w:rtl/>
        </w:rPr>
        <w:t xml:space="preserve"> لذا </w:t>
      </w:r>
      <w:r w:rsidRPr="00B92922">
        <w:rPr>
          <w:position w:val="-6"/>
        </w:rPr>
        <w:object w:dxaOrig="600" w:dyaOrig="260" w14:anchorId="696157EC">
          <v:shape id="_x0000_i1029" type="#_x0000_t75" style="width:30.25pt;height:12.7pt" o:ole="">
            <v:imagedata r:id="rId17" o:title=""/>
          </v:shape>
          <o:OLEObject Type="Embed" ProgID="Equation.DSMT4" ShapeID="_x0000_i1029" DrawAspect="Content" ObjectID="_1791374973" r:id="rId18"/>
        </w:object>
      </w:r>
      <w:r w:rsidRPr="00A309A0">
        <w:rPr>
          <w:rFonts w:ascii="Cambria Math" w:hAnsi="Cambria Math"/>
          <w:sz w:val="23"/>
          <w:szCs w:val="23"/>
          <w:rtl/>
        </w:rPr>
        <w:t xml:space="preserve">، </w:t>
      </w:r>
      <w:r w:rsidRPr="00B92922">
        <w:rPr>
          <w:position w:val="-6"/>
        </w:rPr>
        <w:object w:dxaOrig="639" w:dyaOrig="260" w14:anchorId="5676E155">
          <v:shape id="_x0000_i1030" type="#_x0000_t75" style="width:32.05pt;height:12.7pt" o:ole="">
            <v:imagedata r:id="rId19" o:title=""/>
          </v:shape>
          <o:OLEObject Type="Embed" ProgID="Equation.DSMT4" ShapeID="_x0000_i1030" DrawAspect="Content" ObjectID="_1791374974" r:id="rId20"/>
        </w:object>
      </w:r>
      <w:r w:rsidRPr="00A309A0">
        <w:rPr>
          <w:rFonts w:ascii="Cambria Math" w:hAnsi="Cambria Math"/>
          <w:sz w:val="23"/>
          <w:szCs w:val="23"/>
          <w:rtl/>
        </w:rPr>
        <w:t xml:space="preserve"> ولی </w:t>
      </w:r>
      <w:r w:rsidRPr="00B92922">
        <w:rPr>
          <w:position w:val="-6"/>
        </w:rPr>
        <w:object w:dxaOrig="660" w:dyaOrig="260" w14:anchorId="29AF6999">
          <v:shape id="_x0000_i1031" type="#_x0000_t75" style="width:33.3pt;height:12.7pt" o:ole="">
            <v:imagedata r:id="rId21" o:title=""/>
          </v:shape>
          <o:OLEObject Type="Embed" ProgID="Equation.DSMT4" ShapeID="_x0000_i1031" DrawAspect="Content" ObjectID="_1791374975" r:id="rId22"/>
        </w:object>
      </w:r>
      <w:r w:rsidRPr="00A309A0">
        <w:rPr>
          <w:rFonts w:ascii="Cambria Math" w:hAnsi="Cambria Math"/>
          <w:sz w:val="23"/>
          <w:szCs w:val="23"/>
          <w:rtl/>
        </w:rPr>
        <w:t xml:space="preserve"> است. همچنین فرض می</w:t>
      </w:r>
      <w:r w:rsidRPr="00A309A0">
        <w:rPr>
          <w:rFonts w:ascii="Cambria Math" w:hAnsi="Cambria Math"/>
          <w:sz w:val="23"/>
          <w:szCs w:val="23"/>
          <w:rtl/>
        </w:rPr>
        <w:softHyphen/>
        <w:t>شود شروط اینادا</w:t>
      </w:r>
      <w:r w:rsidRPr="00A309A0">
        <w:rPr>
          <w:rStyle w:val="FootnoteReference"/>
          <w:rFonts w:ascii="Cambria Math" w:eastAsiaTheme="majorEastAsia" w:hAnsi="Cambria Math"/>
          <w:sz w:val="23"/>
          <w:szCs w:val="23"/>
          <w:rtl/>
        </w:rPr>
        <w:footnoteReference w:id="52"/>
      </w:r>
      <w:r w:rsidRPr="00A309A0">
        <w:rPr>
          <w:rFonts w:ascii="Cambria Math" w:hAnsi="Cambria Math"/>
          <w:sz w:val="23"/>
          <w:szCs w:val="23"/>
          <w:rtl/>
        </w:rPr>
        <w:t xml:space="preserve"> در تابع تولید صادق است، یعنی با افزایش موجودی سرمایه به سمت بی</w:t>
      </w:r>
      <w:r w:rsidRPr="00A309A0">
        <w:rPr>
          <w:rFonts w:ascii="Cambria Math" w:hAnsi="Cambria Math"/>
          <w:sz w:val="23"/>
          <w:szCs w:val="23"/>
          <w:rtl/>
        </w:rPr>
        <w:softHyphen/>
        <w:t xml:space="preserve">نهایت، تولید نهایی سرمایه به </w:t>
      </w:r>
      <w:r w:rsidRPr="00A309A0">
        <w:rPr>
          <w:rFonts w:ascii="Cambria Math" w:hAnsi="Cambria Math" w:hint="cs"/>
          <w:sz w:val="23"/>
          <w:szCs w:val="23"/>
          <w:rtl/>
        </w:rPr>
        <w:t xml:space="preserve">سمت </w:t>
      </w:r>
      <w:r w:rsidRPr="00A309A0">
        <w:rPr>
          <w:rFonts w:ascii="Cambria Math" w:hAnsi="Cambria Math"/>
          <w:sz w:val="23"/>
          <w:szCs w:val="23"/>
          <w:rtl/>
        </w:rPr>
        <w:t xml:space="preserve">صفر، و با کاهش موجودی سرمایه به سمت صفر، تولید نهایی سرمایه به </w:t>
      </w:r>
      <w:r w:rsidRPr="00A309A0">
        <w:rPr>
          <w:rFonts w:ascii="Cambria Math" w:hAnsi="Cambria Math" w:hint="cs"/>
          <w:sz w:val="23"/>
          <w:szCs w:val="23"/>
          <w:rtl/>
        </w:rPr>
        <w:t xml:space="preserve">سمت </w:t>
      </w:r>
      <w:r w:rsidRPr="00A309A0">
        <w:rPr>
          <w:rFonts w:ascii="Cambria Math" w:hAnsi="Cambria Math"/>
          <w:sz w:val="23"/>
          <w:szCs w:val="23"/>
          <w:rtl/>
        </w:rPr>
        <w:t>بی</w:t>
      </w:r>
      <w:r w:rsidRPr="00A309A0">
        <w:rPr>
          <w:rFonts w:ascii="Cambria Math" w:hAnsi="Cambria Math"/>
          <w:sz w:val="23"/>
          <w:szCs w:val="23"/>
          <w:rtl/>
        </w:rPr>
        <w:softHyphen/>
        <w:t>نهایت میل می</w:t>
      </w:r>
      <w:r w:rsidRPr="00A309A0">
        <w:rPr>
          <w:rFonts w:ascii="Cambria Math" w:hAnsi="Cambria Math"/>
          <w:sz w:val="23"/>
          <w:szCs w:val="23"/>
          <w:rtl/>
        </w:rPr>
        <w:softHyphen/>
        <w:t>کند. به عبارتی</w:t>
      </w:r>
    </w:p>
    <w:p w14:paraId="7B418D55" w14:textId="77777777" w:rsidR="00411620" w:rsidRPr="00A309A0" w:rsidRDefault="00411620" w:rsidP="00411620">
      <w:pPr>
        <w:bidi w:val="0"/>
        <w:spacing w:line="216" w:lineRule="auto"/>
        <w:rPr>
          <w:rFonts w:ascii="Cambria Math" w:hAnsi="Cambria Math"/>
          <w:sz w:val="23"/>
          <w:szCs w:val="23"/>
        </w:rPr>
      </w:pPr>
      <w:r w:rsidRPr="00B92922">
        <w:rPr>
          <w:position w:val="-18"/>
        </w:rPr>
        <w:object w:dxaOrig="3019" w:dyaOrig="420" w14:anchorId="4972E5C1">
          <v:shape id="_x0000_i1032" type="#_x0000_t75" style="width:150.05pt;height:21.2pt" o:ole="">
            <v:imagedata r:id="rId23" o:title=""/>
          </v:shape>
          <o:OLEObject Type="Embed" ProgID="Equation.DSMT4" ShapeID="_x0000_i1032" DrawAspect="Content" ObjectID="_1791374976" r:id="rId24"/>
        </w:object>
      </w:r>
    </w:p>
    <w:p w14:paraId="1CD7E812"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اگر نرخ رشد جمعیت برابر با صفر باشد و یا به تعبیری جمعیت در طول زمان ثابت باشد</w:t>
      </w:r>
      <w:r w:rsidRPr="00A309A0">
        <w:rPr>
          <w:rFonts w:ascii="Cambria Math" w:hAnsi="Cambria Math" w:hint="cs"/>
          <w:sz w:val="23"/>
          <w:szCs w:val="23"/>
          <w:rtl/>
        </w:rPr>
        <w:t>،</w:t>
      </w:r>
      <w:r w:rsidRPr="00A309A0">
        <w:rPr>
          <w:rFonts w:ascii="Cambria Math" w:hAnsi="Cambria Math"/>
          <w:sz w:val="23"/>
          <w:szCs w:val="23"/>
          <w:rtl/>
        </w:rPr>
        <w:t xml:space="preserve"> آنگاه تجزیه و تحلیل متغیرهای تولید، مصرف، سرمایه‌گذاری و موجودی سرمایه با مقادیر سرانه</w:t>
      </w:r>
      <w:r w:rsidRPr="00A309A0">
        <w:rPr>
          <w:rFonts w:ascii="Cambria Math" w:hAnsi="Cambria Math"/>
          <w:sz w:val="23"/>
          <w:szCs w:val="23"/>
          <w:rtl/>
        </w:rPr>
        <w:softHyphen/>
        <w:t>ی</w:t>
      </w:r>
      <w:r w:rsidRPr="00A309A0">
        <w:rPr>
          <w:rFonts w:ascii="Cambria Math" w:hAnsi="Cambria Math"/>
          <w:sz w:val="23"/>
          <w:szCs w:val="23"/>
        </w:rPr>
        <w:t xml:space="preserve"> </w:t>
      </w:r>
      <w:r w:rsidRPr="00A309A0">
        <w:rPr>
          <w:rFonts w:ascii="Cambria Math" w:hAnsi="Cambria Math"/>
          <w:sz w:val="23"/>
          <w:szCs w:val="23"/>
          <w:rtl/>
        </w:rPr>
        <w:t>همان متغیرها یکسان خواهد بود. به عنوان مثال، اگر جمعیت</w:t>
      </w:r>
      <w:r w:rsidRPr="00A309A0">
        <w:rPr>
          <w:rFonts w:ascii="Cambria Math" w:hAnsi="Cambria Math" w:hint="cs"/>
          <w:sz w:val="23"/>
          <w:szCs w:val="23"/>
          <w:rtl/>
        </w:rPr>
        <w:t xml:space="preserve"> یا</w:t>
      </w:r>
      <w:r w:rsidRPr="00025957">
        <w:rPr>
          <w:position w:val="-4"/>
        </w:rPr>
        <w:object w:dxaOrig="279" w:dyaOrig="240" w14:anchorId="57E4E86A">
          <v:shape id="_x0000_i1033" type="#_x0000_t75" style="width:13.9pt;height:12.1pt" o:ole="">
            <v:imagedata r:id="rId25" o:title=""/>
          </v:shape>
          <o:OLEObject Type="Embed" ProgID="Equation.DSMT4" ShapeID="_x0000_i1033" DrawAspect="Content" ObjectID="_1791374977" r:id="rId26"/>
        </w:object>
      </w:r>
      <w:r w:rsidRPr="00A309A0">
        <w:rPr>
          <w:rFonts w:ascii="Cambria Math" w:hAnsi="Cambria Math"/>
          <w:sz w:val="23"/>
          <w:szCs w:val="23"/>
          <w:rtl/>
        </w:rPr>
        <w:t xml:space="preserve"> ثابت باشد، آنگاه با فرض </w:t>
      </w:r>
      <w:r w:rsidRPr="00A309A0">
        <w:rPr>
          <w:rFonts w:ascii="Cambria Math" w:hAnsi="Cambria Math" w:hint="cs"/>
          <w:sz w:val="23"/>
          <w:szCs w:val="23"/>
          <w:rtl/>
        </w:rPr>
        <w:t>این</w:t>
      </w:r>
      <w:r w:rsidRPr="00A309A0">
        <w:rPr>
          <w:rFonts w:ascii="Cambria Math" w:hAnsi="Cambria Math"/>
          <w:sz w:val="23"/>
          <w:szCs w:val="23"/>
          <w:rtl/>
        </w:rPr>
        <w:softHyphen/>
      </w:r>
      <w:r w:rsidRPr="00A309A0">
        <w:rPr>
          <w:rFonts w:ascii="Cambria Math" w:hAnsi="Cambria Math" w:hint="cs"/>
          <w:sz w:val="23"/>
          <w:szCs w:val="23"/>
          <w:rtl/>
        </w:rPr>
        <w:t xml:space="preserve">که </w:t>
      </w:r>
      <w:r w:rsidRPr="00A309A0">
        <w:rPr>
          <w:rFonts w:ascii="Cambria Math" w:hAnsi="Cambria Math"/>
          <w:sz w:val="23"/>
          <w:szCs w:val="23"/>
          <w:rtl/>
        </w:rPr>
        <w:t xml:space="preserve">نرخ رشد جمعیت برابر </w:t>
      </w:r>
      <w:r w:rsidRPr="00A309A0">
        <w:rPr>
          <w:rFonts w:ascii="Cambria Math" w:hAnsi="Cambria Math" w:hint="cs"/>
          <w:sz w:val="23"/>
          <w:szCs w:val="23"/>
          <w:rtl/>
        </w:rPr>
        <w:t xml:space="preserve">با </w:t>
      </w:r>
      <w:r w:rsidRPr="00A309A0">
        <w:rPr>
          <w:rFonts w:ascii="Cambria Math" w:hAnsi="Cambria Math"/>
          <w:sz w:val="23"/>
          <w:szCs w:val="23"/>
          <w:rtl/>
        </w:rPr>
        <w:t>صفر</w:t>
      </w:r>
      <w:r w:rsidRPr="00A309A0">
        <w:rPr>
          <w:rFonts w:ascii="Cambria Math" w:hAnsi="Cambria Math" w:hint="cs"/>
          <w:sz w:val="23"/>
          <w:szCs w:val="23"/>
          <w:rtl/>
        </w:rPr>
        <w:t xml:space="preserve"> </w:t>
      </w:r>
      <w:r w:rsidRPr="00A309A0">
        <w:rPr>
          <w:rFonts w:ascii="Cambria Math" w:hAnsi="Cambria Math"/>
          <w:sz w:val="23"/>
          <w:szCs w:val="23"/>
          <w:rtl/>
        </w:rPr>
        <w:softHyphen/>
      </w:r>
      <w:r w:rsidRPr="00A309A0">
        <w:rPr>
          <w:rFonts w:ascii="Cambria Math" w:hAnsi="Cambria Math" w:hint="cs"/>
          <w:sz w:val="23"/>
          <w:szCs w:val="23"/>
          <w:rtl/>
        </w:rPr>
        <w:t>است</w:t>
      </w:r>
      <w:r w:rsidRPr="00A309A0">
        <w:rPr>
          <w:rFonts w:ascii="Cambria Math" w:hAnsi="Cambria Math"/>
          <w:sz w:val="23"/>
          <w:szCs w:val="23"/>
          <w:rtl/>
        </w:rPr>
        <w:t>، تغی</w:t>
      </w:r>
      <w:r w:rsidRPr="00A309A0">
        <w:rPr>
          <w:rFonts w:ascii="Cambria Math" w:hAnsi="Cambria Math" w:hint="cs"/>
          <w:sz w:val="23"/>
          <w:szCs w:val="23"/>
          <w:rtl/>
        </w:rPr>
        <w:t>ی</w:t>
      </w:r>
      <w:r w:rsidRPr="00A309A0">
        <w:rPr>
          <w:rFonts w:ascii="Cambria Math" w:hAnsi="Cambria Math"/>
          <w:sz w:val="23"/>
          <w:szCs w:val="23"/>
          <w:rtl/>
        </w:rPr>
        <w:t>رات تولید سرانه</w:t>
      </w:r>
      <w:r w:rsidRPr="00A309A0">
        <w:rPr>
          <w:rFonts w:ascii="Cambria Math" w:hAnsi="Cambria Math" w:hint="cs"/>
          <w:sz w:val="23"/>
          <w:szCs w:val="23"/>
          <w:rtl/>
        </w:rPr>
        <w:t xml:space="preserve"> یعنی</w:t>
      </w:r>
      <w:r w:rsidRPr="00B92922">
        <w:rPr>
          <w:position w:val="-10"/>
        </w:rPr>
        <w:object w:dxaOrig="1020" w:dyaOrig="320" w14:anchorId="03B51968">
          <v:shape id="_x0000_i1034" type="#_x0000_t75" style="width:50.8pt;height:15.75pt" o:ole="">
            <v:imagedata r:id="rId27" o:title=""/>
          </v:shape>
          <o:OLEObject Type="Embed" ProgID="Equation.DSMT4" ShapeID="_x0000_i1034" DrawAspect="Content" ObjectID="_1791374978" r:id="rId28"/>
        </w:object>
      </w:r>
      <w:r w:rsidRPr="00A309A0">
        <w:rPr>
          <w:rFonts w:ascii="Cambria Math" w:hAnsi="Cambria Math"/>
          <w:sz w:val="23"/>
          <w:szCs w:val="23"/>
          <w:rtl/>
        </w:rPr>
        <w:t xml:space="preserve"> فقط به سطح تولید</w:t>
      </w:r>
      <w:r w:rsidRPr="00B92922">
        <w:rPr>
          <w:position w:val="-10"/>
        </w:rPr>
        <w:object w:dxaOrig="240" w:dyaOrig="320" w14:anchorId="559C57AA">
          <v:shape id="_x0000_i1035" type="#_x0000_t75" style="width:12.1pt;height:15.75pt" o:ole="">
            <v:imagedata r:id="rId29" o:title=""/>
          </v:shape>
          <o:OLEObject Type="Embed" ProgID="Equation.DSMT4" ShapeID="_x0000_i1035" DrawAspect="Content" ObjectID="_1791374979" r:id="rId30"/>
        </w:object>
      </w:r>
      <w:r w:rsidRPr="00A309A0">
        <w:rPr>
          <w:rFonts w:ascii="Cambria Math" w:hAnsi="Cambria Math"/>
          <w:sz w:val="23"/>
          <w:szCs w:val="23"/>
          <w:rtl/>
          <w:lang w:val="en-GB"/>
        </w:rPr>
        <w:t xml:space="preserve"> </w:t>
      </w:r>
      <w:r w:rsidRPr="00A309A0">
        <w:rPr>
          <w:rFonts w:ascii="Cambria Math" w:eastAsiaTheme="minorEastAsia" w:hAnsi="Cambria Math"/>
          <w:sz w:val="23"/>
          <w:szCs w:val="23"/>
          <w:rtl/>
        </w:rPr>
        <w:t xml:space="preserve">وابسته </w:t>
      </w:r>
      <w:r w:rsidRPr="00A309A0">
        <w:rPr>
          <w:rFonts w:ascii="Cambria Math" w:hAnsi="Cambria Math" w:hint="cs"/>
          <w:sz w:val="23"/>
          <w:szCs w:val="23"/>
          <w:rtl/>
        </w:rPr>
        <w:t>خواهد بود</w:t>
      </w:r>
      <w:r w:rsidRPr="00A309A0">
        <w:rPr>
          <w:rFonts w:ascii="Cambria Math" w:hAnsi="Cambria Math"/>
          <w:sz w:val="23"/>
          <w:szCs w:val="23"/>
          <w:rtl/>
        </w:rPr>
        <w:t>.</w:t>
      </w:r>
      <w:r w:rsidRPr="00A309A0">
        <w:rPr>
          <w:rFonts w:ascii="Cambria Math" w:hAnsi="Cambria Math" w:hint="cs"/>
          <w:sz w:val="23"/>
          <w:szCs w:val="23"/>
          <w:rtl/>
        </w:rPr>
        <w:t xml:space="preserve"> در خصوص این رابطه در فصل سوم بیشتر توضیح خواهیم داد.</w:t>
      </w:r>
    </w:p>
    <w:p w14:paraId="21EECD7D" w14:textId="77777777" w:rsidR="00411620" w:rsidRDefault="00411620" w:rsidP="00411620">
      <w:pPr>
        <w:spacing w:line="216" w:lineRule="auto"/>
        <w:rPr>
          <w:rFonts w:ascii="Cambria Math" w:hAnsi="Cambria Math"/>
          <w:sz w:val="23"/>
          <w:szCs w:val="23"/>
        </w:rPr>
      </w:pPr>
      <w:r w:rsidRPr="00A309A0">
        <w:rPr>
          <w:rFonts w:ascii="Cambria Math" w:hAnsi="Cambria Math"/>
          <w:sz w:val="23"/>
          <w:szCs w:val="23"/>
          <w:rtl/>
        </w:rPr>
        <w:t>رابطه</w:t>
      </w:r>
      <w:r w:rsidRPr="00A309A0">
        <w:rPr>
          <w:rFonts w:ascii="Cambria Math" w:hAnsi="Cambria Math"/>
          <w:sz w:val="23"/>
          <w:szCs w:val="23"/>
          <w:rtl/>
        </w:rPr>
        <w:softHyphen/>
        <w:t xml:space="preserve">ی </w:t>
      </w:r>
      <w:r w:rsidRPr="00A309A0">
        <w:rPr>
          <w:rFonts w:ascii="Cambria Math" w:hAnsi="Cambria Math" w:hint="cs"/>
          <w:sz w:val="23"/>
          <w:szCs w:val="23"/>
          <w:rtl/>
        </w:rPr>
        <w:t>دوم</w:t>
      </w:r>
      <w:r w:rsidRPr="00A309A0">
        <w:rPr>
          <w:rFonts w:ascii="Cambria Math" w:hAnsi="Cambria Math"/>
          <w:sz w:val="23"/>
          <w:szCs w:val="23"/>
          <w:rtl/>
        </w:rPr>
        <w:t xml:space="preserve"> اتحاد درآمد ملی است که در آن </w:t>
      </w:r>
      <w:r w:rsidRPr="00A309A0">
        <w:rPr>
          <w:rFonts w:ascii="Cambria Math" w:hAnsi="Cambria Math" w:hint="cs"/>
          <w:sz w:val="23"/>
          <w:szCs w:val="23"/>
          <w:rtl/>
        </w:rPr>
        <w:t>عرضه</w:t>
      </w:r>
      <w:r w:rsidRPr="00A309A0">
        <w:rPr>
          <w:rFonts w:ascii="Cambria Math" w:hAnsi="Cambria Math"/>
          <w:sz w:val="23"/>
          <w:szCs w:val="23"/>
          <w:rtl/>
        </w:rPr>
        <w:softHyphen/>
      </w:r>
      <w:r w:rsidRPr="00A309A0">
        <w:rPr>
          <w:rFonts w:ascii="Cambria Math" w:hAnsi="Cambria Math"/>
          <w:sz w:val="23"/>
          <w:szCs w:val="23"/>
          <w:rtl/>
        </w:rPr>
        <w:softHyphen/>
      </w:r>
      <w:r w:rsidRPr="00A309A0">
        <w:rPr>
          <w:rFonts w:ascii="Cambria Math" w:hAnsi="Cambria Math" w:hint="cs"/>
          <w:sz w:val="23"/>
          <w:szCs w:val="23"/>
          <w:rtl/>
        </w:rPr>
        <w:t xml:space="preserve">ی کل برابر است با تقاضای </w:t>
      </w:r>
      <w:r w:rsidRPr="00A309A0">
        <w:rPr>
          <w:rFonts w:ascii="Cambria Math" w:hAnsi="Cambria Math"/>
          <w:sz w:val="23"/>
          <w:szCs w:val="23"/>
          <w:rtl/>
        </w:rPr>
        <w:t>کل</w:t>
      </w:r>
      <w:r w:rsidRPr="00A309A0">
        <w:rPr>
          <w:rFonts w:ascii="Cambria Math" w:hAnsi="Cambria Math" w:hint="cs"/>
          <w:sz w:val="23"/>
          <w:szCs w:val="23"/>
          <w:rtl/>
        </w:rPr>
        <w:t>. به بیانی دیگر، در این رابطه نشان داده می</w:t>
      </w:r>
      <w:r w:rsidRPr="00A309A0">
        <w:rPr>
          <w:rFonts w:ascii="Cambria Math" w:hAnsi="Cambria Math"/>
          <w:sz w:val="23"/>
          <w:szCs w:val="23"/>
          <w:rtl/>
        </w:rPr>
        <w:softHyphen/>
      </w:r>
      <w:r w:rsidRPr="00A309A0">
        <w:rPr>
          <w:rFonts w:ascii="Cambria Math" w:hAnsi="Cambria Math" w:hint="cs"/>
          <w:sz w:val="23"/>
          <w:szCs w:val="23"/>
          <w:rtl/>
        </w:rPr>
        <w:t xml:space="preserve">شود که عرضه یا </w:t>
      </w:r>
      <w:r w:rsidRPr="00A309A0">
        <w:rPr>
          <w:rFonts w:ascii="Cambria Math" w:hAnsi="Cambria Math"/>
          <w:sz w:val="23"/>
          <w:szCs w:val="23"/>
          <w:rtl/>
        </w:rPr>
        <w:t>در</w:t>
      </w:r>
      <w:r w:rsidRPr="00A309A0">
        <w:rPr>
          <w:rFonts w:ascii="Cambria Math" w:hAnsi="Cambria Math" w:hint="cs"/>
          <w:sz w:val="23"/>
          <w:szCs w:val="23"/>
          <w:rtl/>
        </w:rPr>
        <w:t>آمد کل</w:t>
      </w:r>
      <w:r w:rsidRPr="00A309A0">
        <w:rPr>
          <w:rFonts w:ascii="Cambria Math" w:hAnsi="Cambria Math"/>
          <w:sz w:val="23"/>
          <w:szCs w:val="23"/>
          <w:rtl/>
        </w:rPr>
        <w:t xml:space="preserve"> </w:t>
      </w:r>
      <w:r w:rsidRPr="00A309A0">
        <w:rPr>
          <w:rFonts w:ascii="Cambria Math" w:hAnsi="Cambria Math" w:hint="cs"/>
          <w:sz w:val="23"/>
          <w:szCs w:val="23"/>
          <w:rtl/>
        </w:rPr>
        <w:t xml:space="preserve">در </w:t>
      </w:r>
      <w:r w:rsidRPr="00A309A0">
        <w:rPr>
          <w:rFonts w:ascii="Cambria Math" w:hAnsi="Cambria Math"/>
          <w:sz w:val="23"/>
          <w:szCs w:val="23"/>
          <w:rtl/>
        </w:rPr>
        <w:t>زمان</w:t>
      </w:r>
      <w:r w:rsidRPr="00B92922">
        <w:rPr>
          <w:position w:val="-6"/>
        </w:rPr>
        <w:object w:dxaOrig="139" w:dyaOrig="240" w14:anchorId="69DBE707">
          <v:shape id="_x0000_i1036" type="#_x0000_t75" style="width:7.25pt;height:12.1pt" o:ole="">
            <v:imagedata r:id="rId31" o:title=""/>
          </v:shape>
          <o:OLEObject Type="Embed" ProgID="Equation.DSMT4" ShapeID="_x0000_i1036" DrawAspect="Content" ObjectID="_1791374980" r:id="rId32"/>
        </w:object>
      </w:r>
      <w:r w:rsidRPr="00A309A0">
        <w:rPr>
          <w:rFonts w:ascii="Cambria Math" w:hAnsi="Cambria Math" w:hint="cs"/>
          <w:sz w:val="23"/>
          <w:szCs w:val="23"/>
          <w:rtl/>
        </w:rPr>
        <w:t xml:space="preserve"> یا</w:t>
      </w:r>
      <w:r w:rsidRPr="00B92922">
        <w:rPr>
          <w:position w:val="-10"/>
        </w:rPr>
        <w:object w:dxaOrig="240" w:dyaOrig="320" w14:anchorId="343AE251">
          <v:shape id="_x0000_i1037" type="#_x0000_t75" style="width:12.1pt;height:15.75pt" o:ole="">
            <v:imagedata r:id="rId33" o:title=""/>
          </v:shape>
          <o:OLEObject Type="Embed" ProgID="Equation.DSMT4" ShapeID="_x0000_i1037" DrawAspect="Content" ObjectID="_1791374981" r:id="rId34"/>
        </w:object>
      </w:r>
      <w:r w:rsidRPr="00A309A0">
        <w:rPr>
          <w:rFonts w:ascii="Cambria Math" w:eastAsiaTheme="minorEastAsia" w:hAnsi="Cambria Math"/>
          <w:sz w:val="23"/>
          <w:szCs w:val="23"/>
          <w:rtl/>
        </w:rPr>
        <w:t xml:space="preserve">، </w:t>
      </w:r>
      <w:r w:rsidRPr="00A309A0">
        <w:rPr>
          <w:rFonts w:ascii="Cambria Math" w:eastAsiaTheme="minorEastAsia" w:hAnsi="Cambria Math" w:hint="cs"/>
          <w:sz w:val="23"/>
          <w:szCs w:val="23"/>
          <w:rtl/>
        </w:rPr>
        <w:t>برابر است با مخارج ک</w:t>
      </w:r>
      <w:r w:rsidRPr="00A309A0">
        <w:rPr>
          <w:rFonts w:ascii="Cambria Math" w:hAnsi="Cambria Math"/>
          <w:sz w:val="23"/>
          <w:szCs w:val="23"/>
          <w:rtl/>
        </w:rPr>
        <w:t>الاهای مصرفی</w:t>
      </w:r>
      <w:r w:rsidRPr="00B92922">
        <w:rPr>
          <w:position w:val="-10"/>
        </w:rPr>
        <w:object w:dxaOrig="200" w:dyaOrig="320" w14:anchorId="5209110C">
          <v:shape id="_x0000_i1038" type="#_x0000_t75" style="width:10.3pt;height:15.75pt" o:ole="">
            <v:imagedata r:id="rId35" o:title=""/>
          </v:shape>
          <o:OLEObject Type="Embed" ProgID="Equation.DSMT4" ShapeID="_x0000_i1038" DrawAspect="Content" ObjectID="_1791374982" r:id="rId36"/>
        </w:object>
      </w:r>
      <w:r w:rsidRPr="00A309A0">
        <w:rPr>
          <w:rFonts w:ascii="Cambria Math" w:hAnsi="Cambria Math"/>
          <w:sz w:val="23"/>
          <w:szCs w:val="23"/>
          <w:rtl/>
        </w:rPr>
        <w:t xml:space="preserve"> </w:t>
      </w:r>
      <w:r w:rsidRPr="00A309A0">
        <w:rPr>
          <w:rFonts w:ascii="Cambria Math" w:hAnsi="Cambria Math" w:hint="cs"/>
          <w:sz w:val="23"/>
          <w:szCs w:val="23"/>
          <w:rtl/>
        </w:rPr>
        <w:t>بعلاوه</w:t>
      </w:r>
      <w:r w:rsidRPr="00A309A0">
        <w:rPr>
          <w:rFonts w:ascii="Cambria Math" w:hAnsi="Cambria Math"/>
          <w:sz w:val="23"/>
          <w:szCs w:val="23"/>
          <w:rtl/>
        </w:rPr>
        <w:softHyphen/>
      </w:r>
      <w:r w:rsidRPr="00A309A0">
        <w:rPr>
          <w:rFonts w:ascii="Cambria Math" w:hAnsi="Cambria Math" w:hint="cs"/>
          <w:sz w:val="23"/>
          <w:szCs w:val="23"/>
          <w:rtl/>
        </w:rPr>
        <w:t>ی</w:t>
      </w:r>
      <w:r w:rsidRPr="00A309A0">
        <w:rPr>
          <w:rFonts w:ascii="Cambria Math" w:hAnsi="Cambria Math"/>
          <w:sz w:val="23"/>
          <w:szCs w:val="23"/>
          <w:rtl/>
        </w:rPr>
        <w:t xml:space="preserve"> مخارج کالاهای سرمایه</w:t>
      </w:r>
      <w:r w:rsidRPr="00A309A0">
        <w:rPr>
          <w:rFonts w:ascii="Cambria Math" w:hAnsi="Cambria Math"/>
          <w:sz w:val="23"/>
          <w:szCs w:val="23"/>
          <w:rtl/>
        </w:rPr>
        <w:softHyphen/>
        <w:t>ای</w:t>
      </w:r>
      <w:r w:rsidRPr="00B92922">
        <w:rPr>
          <w:position w:val="-10"/>
        </w:rPr>
        <w:object w:dxaOrig="180" w:dyaOrig="320" w14:anchorId="40DFC81C">
          <v:shape id="_x0000_i1039" type="#_x0000_t75" style="width:9.1pt;height:15.75pt" o:ole="">
            <v:imagedata r:id="rId37" o:title=""/>
          </v:shape>
          <o:OLEObject Type="Embed" ProgID="Equation.DSMT4" ShapeID="_x0000_i1039" DrawAspect="Content" ObjectID="_1791374983" r:id="rId38"/>
        </w:object>
      </w:r>
      <w:r w:rsidRPr="00A309A0">
        <w:rPr>
          <w:rFonts w:ascii="Cambria Math" w:hAnsi="Cambria Math"/>
          <w:sz w:val="23"/>
          <w:szCs w:val="23"/>
          <w:rtl/>
        </w:rPr>
        <w:t xml:space="preserve">، که </w:t>
      </w:r>
      <w:r w:rsidRPr="00A309A0">
        <w:rPr>
          <w:rFonts w:ascii="Cambria Math" w:hAnsi="Cambria Math" w:hint="cs"/>
          <w:sz w:val="23"/>
          <w:szCs w:val="23"/>
          <w:rtl/>
        </w:rPr>
        <w:t>آن</w:t>
      </w:r>
      <w:r w:rsidRPr="00A309A0">
        <w:rPr>
          <w:rFonts w:ascii="Cambria Math" w:hAnsi="Cambria Math"/>
          <w:sz w:val="23"/>
          <w:szCs w:val="23"/>
          <w:rtl/>
        </w:rPr>
        <w:softHyphen/>
      </w:r>
      <w:r w:rsidRPr="00A309A0">
        <w:rPr>
          <w:rFonts w:ascii="Cambria Math" w:hAnsi="Cambria Math" w:hint="cs"/>
          <w:sz w:val="23"/>
          <w:szCs w:val="23"/>
          <w:rtl/>
        </w:rPr>
        <w:t>را</w:t>
      </w:r>
      <w:r w:rsidRPr="00A309A0">
        <w:rPr>
          <w:rFonts w:ascii="Cambria Math" w:hAnsi="Cambria Math"/>
          <w:sz w:val="23"/>
          <w:szCs w:val="23"/>
          <w:rtl/>
        </w:rPr>
        <w:t xml:space="preserve"> قید منبع کل اقتصاد </w:t>
      </w:r>
      <w:r w:rsidRPr="00A309A0">
        <w:rPr>
          <w:rFonts w:ascii="Cambria Math" w:hAnsi="Cambria Math" w:hint="cs"/>
          <w:sz w:val="23"/>
          <w:szCs w:val="23"/>
          <w:rtl/>
        </w:rPr>
        <w:t>نیز نامند. این قید نشان می</w:t>
      </w:r>
      <w:r w:rsidRPr="00A309A0">
        <w:rPr>
          <w:rFonts w:ascii="Cambria Math" w:hAnsi="Cambria Math"/>
          <w:sz w:val="23"/>
          <w:szCs w:val="23"/>
          <w:rtl/>
        </w:rPr>
        <w:softHyphen/>
      </w:r>
      <w:r w:rsidRPr="00A309A0">
        <w:rPr>
          <w:rFonts w:ascii="Cambria Math" w:hAnsi="Cambria Math" w:hint="cs"/>
          <w:sz w:val="23"/>
          <w:szCs w:val="23"/>
          <w:rtl/>
        </w:rPr>
        <w:t>دهد که آنچه در اقتصاد تولید می</w:t>
      </w:r>
      <w:r w:rsidRPr="00A309A0">
        <w:rPr>
          <w:rFonts w:ascii="Cambria Math" w:hAnsi="Cambria Math"/>
          <w:sz w:val="23"/>
          <w:szCs w:val="23"/>
          <w:rtl/>
        </w:rPr>
        <w:softHyphen/>
      </w:r>
      <w:r w:rsidRPr="00A309A0">
        <w:rPr>
          <w:rFonts w:ascii="Cambria Math" w:hAnsi="Cambria Math" w:hint="cs"/>
          <w:sz w:val="23"/>
          <w:szCs w:val="23"/>
          <w:rtl/>
        </w:rPr>
        <w:t xml:space="preserve">شود، بین </w:t>
      </w:r>
      <w:r w:rsidRPr="00A309A0">
        <w:rPr>
          <w:rFonts w:ascii="Cambria Math" w:hAnsi="Cambria Math"/>
          <w:sz w:val="23"/>
          <w:szCs w:val="23"/>
          <w:rtl/>
        </w:rPr>
        <w:t>مخارج کالاهای مصرفی</w:t>
      </w:r>
      <w:r w:rsidRPr="00A309A0">
        <w:rPr>
          <w:rFonts w:ascii="Cambria Math" w:hAnsi="Cambria Math" w:hint="cs"/>
          <w:sz w:val="23"/>
          <w:szCs w:val="23"/>
          <w:rtl/>
        </w:rPr>
        <w:t xml:space="preserve"> </w:t>
      </w:r>
      <w:r w:rsidRPr="00A309A0">
        <w:rPr>
          <w:rFonts w:ascii="Cambria Math" w:hAnsi="Cambria Math"/>
          <w:sz w:val="23"/>
          <w:szCs w:val="23"/>
          <w:rtl/>
        </w:rPr>
        <w:t xml:space="preserve">و مخارج </w:t>
      </w:r>
      <w:r>
        <w:rPr>
          <w:rFonts w:ascii="Cambria Math" w:hAnsi="Cambria Math" w:hint="cs"/>
          <w:sz w:val="23"/>
          <w:szCs w:val="23"/>
          <w:rtl/>
        </w:rPr>
        <w:t xml:space="preserve"> </w:t>
      </w:r>
    </w:p>
    <w:p w14:paraId="614DEACE"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کالاهای سرمایه</w:t>
      </w:r>
      <w:r w:rsidRPr="00A309A0">
        <w:rPr>
          <w:rFonts w:ascii="Cambria Math" w:hAnsi="Cambria Math"/>
          <w:sz w:val="23"/>
          <w:szCs w:val="23"/>
          <w:rtl/>
        </w:rPr>
        <w:softHyphen/>
        <w:t>ای</w:t>
      </w:r>
      <w:r w:rsidRPr="00A309A0">
        <w:rPr>
          <w:rFonts w:ascii="Cambria Math" w:hAnsi="Cambria Math" w:hint="cs"/>
          <w:sz w:val="23"/>
          <w:szCs w:val="23"/>
          <w:rtl/>
        </w:rPr>
        <w:t xml:space="preserve"> </w:t>
      </w:r>
      <w:r w:rsidRPr="00A309A0">
        <w:rPr>
          <w:rFonts w:ascii="Cambria Math" w:hAnsi="Cambria Math"/>
          <w:sz w:val="23"/>
          <w:szCs w:val="23"/>
          <w:rtl/>
        </w:rPr>
        <w:t>ت</w:t>
      </w:r>
      <w:r w:rsidRPr="00A309A0">
        <w:rPr>
          <w:rFonts w:ascii="Cambria Math" w:hAnsi="Cambria Math" w:hint="cs"/>
          <w:sz w:val="23"/>
          <w:szCs w:val="23"/>
          <w:rtl/>
        </w:rPr>
        <w:t>وزیع می</w:t>
      </w:r>
      <w:r w:rsidRPr="00A309A0">
        <w:rPr>
          <w:rFonts w:ascii="Cambria Math" w:hAnsi="Cambria Math"/>
          <w:sz w:val="23"/>
          <w:szCs w:val="23"/>
          <w:rtl/>
        </w:rPr>
        <w:softHyphen/>
      </w:r>
      <w:r w:rsidRPr="00A309A0">
        <w:rPr>
          <w:rFonts w:ascii="Cambria Math" w:hAnsi="Cambria Math" w:hint="cs"/>
          <w:sz w:val="23"/>
          <w:szCs w:val="23"/>
          <w:rtl/>
        </w:rPr>
        <w:t xml:space="preserve">شود. </w:t>
      </w:r>
    </w:p>
    <w:p w14:paraId="0535DC19"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hint="cs"/>
          <w:sz w:val="23"/>
          <w:szCs w:val="23"/>
          <w:rtl/>
        </w:rPr>
        <w:lastRenderedPageBreak/>
        <w:t xml:space="preserve">در این </w:t>
      </w:r>
      <w:r w:rsidRPr="00A309A0">
        <w:rPr>
          <w:rFonts w:ascii="Cambria Math" w:hAnsi="Cambria Math"/>
          <w:sz w:val="23"/>
          <w:szCs w:val="23"/>
          <w:rtl/>
        </w:rPr>
        <w:t>مدل ساده</w:t>
      </w:r>
      <w:r w:rsidRPr="00A309A0">
        <w:rPr>
          <w:rFonts w:ascii="Cambria Math" w:hAnsi="Cambria Math" w:hint="cs"/>
          <w:sz w:val="23"/>
          <w:szCs w:val="23"/>
          <w:rtl/>
        </w:rPr>
        <w:t>،</w:t>
      </w:r>
      <w:r w:rsidRPr="00A309A0">
        <w:rPr>
          <w:rFonts w:ascii="Cambria Math" w:hAnsi="Cambria Math"/>
          <w:sz w:val="23"/>
          <w:szCs w:val="23"/>
          <w:rtl/>
        </w:rPr>
        <w:t xml:space="preserve"> تولید کل برابر است با درآمد کل</w:t>
      </w:r>
      <w:r w:rsidRPr="00A309A0">
        <w:rPr>
          <w:rFonts w:ascii="Cambria Math" w:hAnsi="Cambria Math" w:hint="cs"/>
          <w:sz w:val="23"/>
          <w:szCs w:val="23"/>
          <w:rtl/>
        </w:rPr>
        <w:t>.</w:t>
      </w:r>
      <w:r w:rsidRPr="00A309A0">
        <w:rPr>
          <w:rFonts w:ascii="Cambria Math" w:hAnsi="Cambria Math"/>
          <w:sz w:val="23"/>
          <w:szCs w:val="23"/>
          <w:rtl/>
        </w:rPr>
        <w:t xml:space="preserve"> </w:t>
      </w:r>
      <w:r w:rsidRPr="00A309A0">
        <w:rPr>
          <w:rFonts w:ascii="Cambria Math" w:hAnsi="Cambria Math" w:hint="cs"/>
          <w:sz w:val="23"/>
          <w:szCs w:val="23"/>
          <w:rtl/>
        </w:rPr>
        <w:t>درآمد کل،</w:t>
      </w:r>
      <w:r w:rsidRPr="00A309A0">
        <w:rPr>
          <w:rFonts w:ascii="Cambria Math" w:hAnsi="Cambria Math"/>
          <w:sz w:val="23"/>
          <w:szCs w:val="23"/>
          <w:rtl/>
        </w:rPr>
        <w:t xml:space="preserve"> مصرف و یا پس</w:t>
      </w:r>
      <w:r w:rsidRPr="00A309A0">
        <w:rPr>
          <w:rFonts w:ascii="Cambria Math" w:hAnsi="Cambria Math"/>
          <w:sz w:val="23"/>
          <w:szCs w:val="23"/>
          <w:rtl/>
        </w:rPr>
        <w:softHyphen/>
        <w:t>انداز ‌شد</w:t>
      </w:r>
      <w:r w:rsidRPr="00A309A0">
        <w:rPr>
          <w:rFonts w:ascii="Cambria Math" w:hAnsi="Cambria Math" w:hint="cs"/>
          <w:sz w:val="23"/>
          <w:szCs w:val="23"/>
          <w:rtl/>
        </w:rPr>
        <w:t>ه،</w:t>
      </w:r>
      <w:r w:rsidRPr="00A309A0">
        <w:rPr>
          <w:rFonts w:ascii="Cambria Math" w:hAnsi="Cambria Math"/>
          <w:sz w:val="23"/>
          <w:szCs w:val="23"/>
          <w:rtl/>
        </w:rPr>
        <w:t xml:space="preserve"> و پس‌انداز</w:t>
      </w:r>
      <w:r w:rsidRPr="00A309A0">
        <w:rPr>
          <w:rFonts w:ascii="Cambria Math" w:hAnsi="Cambria Math" w:hint="cs"/>
          <w:sz w:val="23"/>
          <w:szCs w:val="23"/>
          <w:rtl/>
        </w:rPr>
        <w:t xml:space="preserve"> یا</w:t>
      </w:r>
      <w:r w:rsidRPr="00B92922">
        <w:rPr>
          <w:position w:val="-10"/>
        </w:rPr>
        <w:object w:dxaOrig="999" w:dyaOrig="320" w14:anchorId="640CB056">
          <v:shape id="_x0000_i1040" type="#_x0000_t75" style="width:50.2pt;height:15.75pt" o:ole="">
            <v:imagedata r:id="rId39" o:title=""/>
          </v:shape>
          <o:OLEObject Type="Embed" ProgID="Equation.DSMT4" ShapeID="_x0000_i1040" DrawAspect="Content" ObjectID="_1791374984" r:id="rId40"/>
        </w:object>
      </w:r>
      <w:r w:rsidRPr="00A309A0">
        <w:rPr>
          <w:rFonts w:ascii="Cambria Math" w:hAnsi="Cambria Math" w:hint="cs"/>
          <w:sz w:val="23"/>
          <w:szCs w:val="23"/>
          <w:rtl/>
        </w:rPr>
        <w:t>،</w:t>
      </w:r>
      <w:r w:rsidRPr="00A309A0">
        <w:rPr>
          <w:rFonts w:ascii="Cambria Math" w:eastAsiaTheme="minorEastAsia" w:hAnsi="Cambria Math"/>
          <w:sz w:val="23"/>
          <w:szCs w:val="23"/>
          <w:rtl/>
        </w:rPr>
        <w:t xml:space="preserve"> </w:t>
      </w:r>
      <w:r w:rsidRPr="00A309A0">
        <w:rPr>
          <w:rFonts w:ascii="Cambria Math" w:hAnsi="Cambria Math"/>
          <w:sz w:val="23"/>
          <w:szCs w:val="23"/>
          <w:rtl/>
        </w:rPr>
        <w:t>تنها به منظور خرید کالاهای سرمایه</w:t>
      </w:r>
      <w:r w:rsidRPr="00A309A0">
        <w:rPr>
          <w:rFonts w:ascii="Cambria Math" w:hAnsi="Cambria Math"/>
          <w:sz w:val="23"/>
          <w:szCs w:val="23"/>
          <w:rtl/>
        </w:rPr>
        <w:softHyphen/>
        <w:t>ای</w:t>
      </w:r>
      <w:r w:rsidRPr="00A309A0">
        <w:rPr>
          <w:rStyle w:val="FootnoteReference"/>
          <w:rFonts w:ascii="Cambria Math" w:eastAsiaTheme="majorEastAsia" w:hAnsi="Cambria Math"/>
          <w:sz w:val="23"/>
          <w:szCs w:val="23"/>
          <w:rtl/>
        </w:rPr>
        <w:footnoteReference w:id="53"/>
      </w:r>
      <w:r w:rsidRPr="00A309A0">
        <w:rPr>
          <w:rFonts w:ascii="Cambria Math" w:hAnsi="Cambria Math"/>
          <w:sz w:val="23"/>
          <w:szCs w:val="23"/>
          <w:rtl/>
        </w:rPr>
        <w:t xml:space="preserve"> مورد استفاده قرار می</w:t>
      </w:r>
      <w:r w:rsidRPr="00A309A0">
        <w:rPr>
          <w:rFonts w:ascii="Cambria Math" w:hAnsi="Cambria Math"/>
          <w:sz w:val="23"/>
          <w:szCs w:val="23"/>
          <w:rtl/>
        </w:rPr>
        <w:softHyphen/>
        <w:t>گیرد. از اینرو</w:t>
      </w:r>
      <w:r w:rsidRPr="00B92922">
        <w:rPr>
          <w:position w:val="-10"/>
        </w:rPr>
        <w:object w:dxaOrig="560" w:dyaOrig="320" w14:anchorId="55D5CF19">
          <v:shape id="_x0000_i1041" type="#_x0000_t75" style="width:27.85pt;height:15.75pt" o:ole="">
            <v:imagedata r:id="rId41" o:title=""/>
          </v:shape>
          <o:OLEObject Type="Embed" ProgID="Equation.DSMT4" ShapeID="_x0000_i1041" DrawAspect="Content" ObjectID="_1791374985" r:id="rId42"/>
        </w:object>
      </w:r>
      <w:r w:rsidRPr="00A309A0">
        <w:rPr>
          <w:rFonts w:ascii="Cambria Math" w:eastAsiaTheme="minorEastAsia" w:hAnsi="Cambria Math"/>
          <w:sz w:val="23"/>
          <w:szCs w:val="23"/>
          <w:rtl/>
        </w:rPr>
        <w:t xml:space="preserve"> است</w:t>
      </w:r>
      <w:r w:rsidRPr="00A309A0">
        <w:rPr>
          <w:rFonts w:ascii="Cambria Math" w:hAnsi="Cambria Math"/>
          <w:sz w:val="23"/>
          <w:szCs w:val="23"/>
          <w:rtl/>
        </w:rPr>
        <w:t xml:space="preserve">. </w:t>
      </w:r>
    </w:p>
    <w:p w14:paraId="7E4956D6"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معادله</w:t>
      </w:r>
      <w:r w:rsidRPr="00A309A0">
        <w:rPr>
          <w:rFonts w:ascii="Cambria Math" w:hAnsi="Cambria Math"/>
          <w:sz w:val="23"/>
          <w:szCs w:val="23"/>
          <w:rtl/>
        </w:rPr>
        <w:softHyphen/>
      </w:r>
      <w:r w:rsidRPr="00A309A0">
        <w:rPr>
          <w:rFonts w:ascii="Cambria Math" w:hAnsi="Cambria Math" w:hint="cs"/>
          <w:sz w:val="23"/>
          <w:szCs w:val="23"/>
          <w:rtl/>
        </w:rPr>
        <w:t>ی</w:t>
      </w:r>
      <w:r w:rsidRPr="00A309A0">
        <w:rPr>
          <w:rFonts w:ascii="Cambria Math" w:hAnsi="Cambria Math"/>
          <w:sz w:val="23"/>
          <w:szCs w:val="23"/>
          <w:rtl/>
        </w:rPr>
        <w:t xml:space="preserve"> </w:t>
      </w:r>
      <w:r w:rsidRPr="00A309A0">
        <w:rPr>
          <w:rFonts w:ascii="Cambria Math" w:hAnsi="Cambria Math" w:hint="cs"/>
          <w:sz w:val="23"/>
          <w:szCs w:val="23"/>
          <w:rtl/>
        </w:rPr>
        <w:t>س</w:t>
      </w:r>
      <w:r w:rsidRPr="00A309A0">
        <w:rPr>
          <w:rFonts w:ascii="Cambria Math" w:hAnsi="Cambria Math"/>
          <w:sz w:val="23"/>
          <w:szCs w:val="23"/>
          <w:rtl/>
        </w:rPr>
        <w:t>وم نشان می‌دهد که چگونه</w:t>
      </w:r>
      <w:r w:rsidRPr="00A309A0">
        <w:rPr>
          <w:rFonts w:ascii="Cambria Math" w:hAnsi="Cambria Math" w:hint="cs"/>
          <w:sz w:val="23"/>
          <w:szCs w:val="23"/>
          <w:rtl/>
        </w:rPr>
        <w:t xml:space="preserve"> </w:t>
      </w:r>
      <w:r w:rsidRPr="00A309A0">
        <w:rPr>
          <w:rFonts w:ascii="Cambria Math" w:hAnsi="Cambria Math"/>
          <w:sz w:val="23"/>
          <w:szCs w:val="23"/>
          <w:rtl/>
        </w:rPr>
        <w:t>موجودی سرمایه یا</w:t>
      </w:r>
      <w:r w:rsidRPr="00B92922">
        <w:rPr>
          <w:position w:val="-10"/>
        </w:rPr>
        <w:object w:dxaOrig="220" w:dyaOrig="320" w14:anchorId="0676D597">
          <v:shape id="_x0000_i1042" type="#_x0000_t75" style="width:10.9pt;height:15.75pt" o:ole="">
            <v:imagedata r:id="rId43" o:title=""/>
          </v:shape>
          <o:OLEObject Type="Embed" ProgID="Equation.DSMT4" ShapeID="_x0000_i1042" DrawAspect="Content" ObjectID="_1791374986" r:id="rId44"/>
        </w:object>
      </w:r>
      <w:r w:rsidRPr="00A309A0">
        <w:rPr>
          <w:rFonts w:ascii="Cambria Math" w:hAnsi="Cambria Math"/>
          <w:sz w:val="23"/>
          <w:szCs w:val="23"/>
          <w:rtl/>
        </w:rPr>
        <w:t xml:space="preserve">، در طول زمان انباشته می‌شود. </w:t>
      </w:r>
      <w:r w:rsidRPr="00A309A0">
        <w:rPr>
          <w:rFonts w:ascii="Cambria Math" w:hAnsi="Cambria Math" w:hint="cs"/>
          <w:sz w:val="23"/>
          <w:szCs w:val="23"/>
          <w:rtl/>
        </w:rPr>
        <w:t xml:space="preserve">به تعبیری، </w:t>
      </w:r>
      <w:r w:rsidRPr="00A309A0">
        <w:rPr>
          <w:rFonts w:ascii="Cambria Math" w:hAnsi="Cambria Math"/>
          <w:sz w:val="23"/>
          <w:szCs w:val="23"/>
          <w:rtl/>
        </w:rPr>
        <w:t>تغییر در موجودی سرمایه</w:t>
      </w:r>
      <w:r w:rsidRPr="00A309A0">
        <w:rPr>
          <w:rFonts w:ascii="Cambria Math" w:hAnsi="Cambria Math" w:hint="cs"/>
          <w:sz w:val="23"/>
          <w:szCs w:val="23"/>
          <w:rtl/>
        </w:rPr>
        <w:t xml:space="preserve"> یا</w:t>
      </w:r>
      <w:r w:rsidRPr="00B92922">
        <w:rPr>
          <w:position w:val="-10"/>
        </w:rPr>
        <w:object w:dxaOrig="499" w:dyaOrig="320" w14:anchorId="17ECBDBA">
          <v:shape id="_x0000_i1043" type="#_x0000_t75" style="width:24.8pt;height:15.75pt" o:ole="">
            <v:imagedata r:id="rId45" o:title=""/>
          </v:shape>
          <o:OLEObject Type="Embed" ProgID="Equation.DSMT4" ShapeID="_x0000_i1043" DrawAspect="Content" ObjectID="_1791374987" r:id="rId46"/>
        </w:object>
      </w:r>
      <w:r w:rsidRPr="00A309A0">
        <w:rPr>
          <w:rFonts w:ascii="Cambria Math" w:hAnsi="Cambria Math" w:hint="cs"/>
          <w:sz w:val="23"/>
          <w:szCs w:val="23"/>
          <w:rtl/>
        </w:rPr>
        <w:t xml:space="preserve"> که همان </w:t>
      </w:r>
      <w:r w:rsidRPr="00A309A0">
        <w:rPr>
          <w:rFonts w:ascii="Cambria Math" w:hAnsi="Cambria Math"/>
          <w:sz w:val="23"/>
          <w:szCs w:val="23"/>
          <w:rtl/>
        </w:rPr>
        <w:t>سرمایه‌گذاری خالص</w:t>
      </w:r>
      <w:r w:rsidRPr="00A309A0">
        <w:rPr>
          <w:rFonts w:ascii="Cambria Math" w:hAnsi="Cambria Math" w:hint="cs"/>
          <w:sz w:val="23"/>
          <w:szCs w:val="23"/>
          <w:rtl/>
        </w:rPr>
        <w:t xml:space="preserve"> است،</w:t>
      </w:r>
      <w:r w:rsidRPr="00A309A0">
        <w:rPr>
          <w:rFonts w:ascii="Cambria Math" w:hAnsi="Cambria Math"/>
          <w:sz w:val="23"/>
          <w:szCs w:val="23"/>
          <w:rtl/>
        </w:rPr>
        <w:t xml:space="preserve"> برابر با سرمایه‌گذاری ناخالص</w:t>
      </w:r>
      <w:r w:rsidRPr="00B92922">
        <w:rPr>
          <w:position w:val="-10"/>
        </w:rPr>
        <w:object w:dxaOrig="180" w:dyaOrig="320" w14:anchorId="70374110">
          <v:shape id="_x0000_i1044" type="#_x0000_t75" style="width:9.1pt;height:15.75pt" o:ole="">
            <v:imagedata r:id="rId47" o:title=""/>
          </v:shape>
          <o:OLEObject Type="Embed" ProgID="Equation.DSMT4" ShapeID="_x0000_i1044" DrawAspect="Content" ObjectID="_1791374988" r:id="rId48"/>
        </w:object>
      </w:r>
      <w:r w:rsidRPr="00A309A0">
        <w:rPr>
          <w:rFonts w:ascii="Cambria Math" w:hAnsi="Cambria Math"/>
          <w:sz w:val="23"/>
          <w:szCs w:val="23"/>
          <w:rtl/>
        </w:rPr>
        <w:t xml:space="preserve"> منهای استهلاک </w:t>
      </w:r>
      <w:r w:rsidRPr="00A309A0">
        <w:rPr>
          <w:rFonts w:ascii="Cambria Math" w:hAnsi="Cambria Math" w:hint="cs"/>
          <w:sz w:val="23"/>
          <w:szCs w:val="23"/>
          <w:rtl/>
        </w:rPr>
        <w:t xml:space="preserve">موجودی </w:t>
      </w:r>
      <w:r w:rsidRPr="00A309A0">
        <w:rPr>
          <w:rFonts w:ascii="Cambria Math" w:hAnsi="Cambria Math"/>
          <w:sz w:val="23"/>
          <w:szCs w:val="23"/>
          <w:rtl/>
        </w:rPr>
        <w:t>سرمایه</w:t>
      </w:r>
      <w:r w:rsidRPr="00A309A0">
        <w:rPr>
          <w:rFonts w:ascii="Cambria Math" w:hAnsi="Cambria Math"/>
          <w:sz w:val="23"/>
          <w:szCs w:val="23"/>
          <w:rtl/>
        </w:rPr>
        <w:softHyphen/>
      </w:r>
      <w:r w:rsidRPr="00B92922">
        <w:rPr>
          <w:position w:val="-10"/>
        </w:rPr>
        <w:object w:dxaOrig="340" w:dyaOrig="320" w14:anchorId="12C8015F">
          <v:shape id="_x0000_i1045" type="#_x0000_t75" style="width:16.95pt;height:15.75pt" o:ole="">
            <v:imagedata r:id="rId49" o:title=""/>
          </v:shape>
          <o:OLEObject Type="Embed" ProgID="Equation.DSMT4" ShapeID="_x0000_i1045" DrawAspect="Content" ObjectID="_1791374989" r:id="rId50"/>
        </w:object>
      </w:r>
      <w:r w:rsidRPr="00A309A0">
        <w:rPr>
          <w:rFonts w:ascii="Cambria Math" w:hAnsi="Cambria Math" w:hint="cs"/>
          <w:sz w:val="23"/>
          <w:szCs w:val="23"/>
          <w:rtl/>
        </w:rPr>
        <w:t xml:space="preserve"> است. در این جا </w:t>
      </w:r>
      <w:r w:rsidRPr="00A309A0">
        <w:rPr>
          <w:rFonts w:ascii="Cambria Math" w:hAnsi="Cambria Math"/>
          <w:sz w:val="23"/>
          <w:szCs w:val="23"/>
          <w:rtl/>
        </w:rPr>
        <w:t xml:space="preserve">فرض می‌شود </w:t>
      </w:r>
      <w:r w:rsidRPr="00A309A0">
        <w:rPr>
          <w:rFonts w:ascii="Cambria Math" w:hAnsi="Cambria Math" w:hint="cs"/>
          <w:sz w:val="23"/>
          <w:szCs w:val="23"/>
          <w:rtl/>
        </w:rPr>
        <w:t>موجودی سرمایه با نرخ استهلاک</w:t>
      </w:r>
      <w:r w:rsidRPr="00B92922">
        <w:rPr>
          <w:position w:val="-6"/>
        </w:rPr>
        <w:object w:dxaOrig="200" w:dyaOrig="260" w14:anchorId="1DE9450C">
          <v:shape id="_x0000_i1046" type="#_x0000_t75" style="width:10.3pt;height:12.7pt" o:ole="">
            <v:imagedata r:id="rId51" o:title=""/>
          </v:shape>
          <o:OLEObject Type="Embed" ProgID="Equation.DSMT4" ShapeID="_x0000_i1046" DrawAspect="Content" ObjectID="_1791374990" r:id="rId52"/>
        </w:object>
      </w:r>
      <w:r w:rsidRPr="00A309A0">
        <w:rPr>
          <w:rFonts w:ascii="Cambria Math" w:hAnsi="Cambria Math"/>
          <w:sz w:val="23"/>
          <w:szCs w:val="23"/>
          <w:rtl/>
        </w:rPr>
        <w:t xml:space="preserve">، </w:t>
      </w:r>
      <w:r w:rsidRPr="00A309A0">
        <w:rPr>
          <w:rFonts w:ascii="Cambria Math" w:hAnsi="Cambria Math" w:hint="cs"/>
          <w:sz w:val="23"/>
          <w:szCs w:val="23"/>
          <w:rtl/>
        </w:rPr>
        <w:t xml:space="preserve">که </w:t>
      </w:r>
      <w:r w:rsidRPr="00A309A0">
        <w:rPr>
          <w:rFonts w:ascii="Cambria Math" w:hAnsi="Cambria Math"/>
          <w:sz w:val="23"/>
          <w:szCs w:val="23"/>
          <w:rtl/>
        </w:rPr>
        <w:t>نسبت ثابت</w:t>
      </w:r>
      <w:r w:rsidRPr="00A309A0">
        <w:rPr>
          <w:rFonts w:ascii="Cambria Math" w:hAnsi="Cambria Math" w:hint="cs"/>
          <w:sz w:val="23"/>
          <w:szCs w:val="23"/>
          <w:rtl/>
        </w:rPr>
        <w:t>ی</w:t>
      </w:r>
      <w:r w:rsidRPr="00A309A0">
        <w:rPr>
          <w:rFonts w:ascii="Cambria Math" w:hAnsi="Cambria Math"/>
          <w:sz w:val="23"/>
          <w:szCs w:val="23"/>
          <w:rtl/>
        </w:rPr>
        <w:t xml:space="preserve"> </w:t>
      </w:r>
      <w:r w:rsidRPr="00A309A0">
        <w:rPr>
          <w:rFonts w:ascii="Cambria Math" w:hAnsi="Cambria Math" w:hint="cs"/>
          <w:sz w:val="23"/>
          <w:szCs w:val="23"/>
          <w:rtl/>
        </w:rPr>
        <w:t xml:space="preserve">از </w:t>
      </w:r>
      <w:r w:rsidRPr="00A309A0">
        <w:rPr>
          <w:rFonts w:ascii="Cambria Math" w:hAnsi="Cambria Math"/>
          <w:sz w:val="23"/>
          <w:szCs w:val="23"/>
          <w:rtl/>
        </w:rPr>
        <w:t xml:space="preserve">موجودی سرمایه </w:t>
      </w:r>
      <w:r w:rsidRPr="00A309A0">
        <w:rPr>
          <w:rFonts w:ascii="Cambria Math" w:hAnsi="Cambria Math" w:hint="cs"/>
          <w:sz w:val="23"/>
          <w:szCs w:val="23"/>
          <w:rtl/>
        </w:rPr>
        <w:t xml:space="preserve">است </w:t>
      </w:r>
      <w:r w:rsidRPr="00A309A0">
        <w:rPr>
          <w:rFonts w:ascii="Cambria Math" w:hAnsi="Cambria Math"/>
          <w:sz w:val="23"/>
          <w:szCs w:val="23"/>
          <w:rtl/>
        </w:rPr>
        <w:t xml:space="preserve">در هر دوره مستهلک </w:t>
      </w:r>
      <w:r w:rsidRPr="00A309A0">
        <w:rPr>
          <w:rFonts w:ascii="Cambria Math" w:hAnsi="Cambria Math" w:hint="cs"/>
          <w:sz w:val="23"/>
          <w:szCs w:val="23"/>
          <w:rtl/>
        </w:rPr>
        <w:t>می</w:t>
      </w:r>
      <w:r w:rsidRPr="00A309A0">
        <w:rPr>
          <w:rFonts w:ascii="Cambria Math" w:hAnsi="Cambria Math"/>
          <w:sz w:val="23"/>
          <w:szCs w:val="23"/>
          <w:rtl/>
        </w:rPr>
        <w:softHyphen/>
        <w:t>شود. این معادله</w:t>
      </w:r>
      <w:r w:rsidRPr="00A309A0">
        <w:rPr>
          <w:rFonts w:ascii="Cambria Math" w:hAnsi="Cambria Math" w:hint="cs"/>
          <w:sz w:val="23"/>
          <w:szCs w:val="23"/>
          <w:rtl/>
        </w:rPr>
        <w:t xml:space="preserve"> در واقع</w:t>
      </w:r>
      <w:r w:rsidRPr="00A309A0">
        <w:rPr>
          <w:rFonts w:ascii="Cambria Math" w:hAnsi="Cambria Math"/>
          <w:sz w:val="23"/>
          <w:szCs w:val="23"/>
          <w:rtl/>
        </w:rPr>
        <w:t xml:space="preserve"> پویایی</w:t>
      </w:r>
      <w:r w:rsidRPr="00A309A0">
        <w:rPr>
          <w:rFonts w:ascii="Cambria Math" w:hAnsi="Cambria Math"/>
          <w:sz w:val="23"/>
          <w:szCs w:val="23"/>
          <w:rtl/>
        </w:rPr>
        <w:softHyphen/>
        <w:t xml:space="preserve">های ذاتی و درونی مدل </w:t>
      </w:r>
      <w:r w:rsidRPr="00A309A0">
        <w:rPr>
          <w:rFonts w:ascii="Cambria Math" w:hAnsi="Cambria Math" w:hint="cs"/>
          <w:sz w:val="23"/>
          <w:szCs w:val="23"/>
          <w:rtl/>
        </w:rPr>
        <w:t xml:space="preserve">اقتصادی </w:t>
      </w:r>
      <w:r w:rsidRPr="00A309A0">
        <w:rPr>
          <w:rFonts w:ascii="Cambria Math" w:hAnsi="Cambria Math"/>
          <w:sz w:val="23"/>
          <w:szCs w:val="23"/>
          <w:rtl/>
        </w:rPr>
        <w:t>را فراهم می‌سازد.</w:t>
      </w:r>
    </w:p>
    <w:p w14:paraId="5E9552F1"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 xml:space="preserve">با جایگزاری روابط </w:t>
      </w:r>
      <w:r w:rsidRPr="00A309A0">
        <w:rPr>
          <w:rFonts w:ascii="Cambria Math" w:hAnsi="Cambria Math" w:hint="cs"/>
          <w:sz w:val="23"/>
          <w:szCs w:val="23"/>
          <w:rtl/>
        </w:rPr>
        <w:t>(۲. ۱)</w:t>
      </w:r>
      <w:r w:rsidRPr="00A309A0">
        <w:rPr>
          <w:rFonts w:ascii="Cambria Math" w:hAnsi="Cambria Math"/>
          <w:sz w:val="23"/>
          <w:szCs w:val="23"/>
        </w:rPr>
        <w:t xml:space="preserve"> </w:t>
      </w:r>
      <w:r w:rsidRPr="00A309A0">
        <w:rPr>
          <w:rFonts w:ascii="Cambria Math" w:hAnsi="Cambria Math" w:hint="cs"/>
          <w:sz w:val="23"/>
          <w:szCs w:val="23"/>
          <w:rtl/>
        </w:rPr>
        <w:t xml:space="preserve">و (۲. ۳) </w:t>
      </w:r>
      <w:r w:rsidRPr="00A309A0">
        <w:rPr>
          <w:rFonts w:ascii="Cambria Math" w:hAnsi="Cambria Math"/>
          <w:sz w:val="23"/>
          <w:szCs w:val="23"/>
          <w:rtl/>
        </w:rPr>
        <w:t>در رابطه</w:t>
      </w:r>
      <w:r w:rsidRPr="00A309A0">
        <w:rPr>
          <w:rFonts w:ascii="Cambria Math" w:hAnsi="Cambria Math"/>
          <w:sz w:val="23"/>
          <w:szCs w:val="23"/>
          <w:rtl/>
        </w:rPr>
        <w:softHyphen/>
        <w:t>ی</w:t>
      </w:r>
      <w:r w:rsidRPr="00A309A0">
        <w:rPr>
          <w:rFonts w:ascii="Cambria Math" w:hAnsi="Cambria Math"/>
          <w:sz w:val="23"/>
          <w:szCs w:val="23"/>
        </w:rPr>
        <w:t xml:space="preserve"> </w:t>
      </w:r>
      <w:r w:rsidRPr="00A309A0">
        <w:rPr>
          <w:rFonts w:ascii="Cambria Math" w:hAnsi="Cambria Math" w:hint="cs"/>
          <w:sz w:val="23"/>
          <w:szCs w:val="23"/>
          <w:rtl/>
        </w:rPr>
        <w:t>(۲. ۲) م</w:t>
      </w:r>
      <w:r w:rsidRPr="00A309A0">
        <w:rPr>
          <w:rFonts w:ascii="Cambria Math" w:hAnsi="Cambria Math"/>
          <w:sz w:val="23"/>
          <w:szCs w:val="23"/>
          <w:rtl/>
        </w:rPr>
        <w:t>ی</w:t>
      </w:r>
      <w:r w:rsidRPr="00A309A0">
        <w:rPr>
          <w:rFonts w:ascii="Cambria Math" w:hAnsi="Cambria Math"/>
          <w:sz w:val="23"/>
          <w:szCs w:val="23"/>
          <w:rtl/>
        </w:rPr>
        <w:softHyphen/>
        <w:t xml:space="preserve">توان تولید و سرمایه‌گذاری را از مدل اقتصادی حذف نمود و تنها به یک معادله که شامل دو متغیر است اکتفا کرد. </w:t>
      </w:r>
      <w:r w:rsidRPr="00A309A0">
        <w:rPr>
          <w:rFonts w:ascii="Cambria Math" w:hAnsi="Cambria Math" w:hint="cs"/>
          <w:sz w:val="23"/>
          <w:szCs w:val="23"/>
          <w:rtl/>
        </w:rPr>
        <w:t>با</w:t>
      </w:r>
      <w:r w:rsidRPr="00A309A0">
        <w:rPr>
          <w:rFonts w:ascii="Cambria Math" w:hAnsi="Cambria Math"/>
          <w:sz w:val="23"/>
          <w:szCs w:val="23"/>
          <w:rtl/>
        </w:rPr>
        <w:t xml:space="preserve"> ترکیب سه معادله</w:t>
      </w:r>
      <w:r w:rsidRPr="00A309A0">
        <w:rPr>
          <w:rFonts w:ascii="Cambria Math" w:hAnsi="Cambria Math"/>
          <w:sz w:val="23"/>
          <w:szCs w:val="23"/>
          <w:rtl/>
        </w:rPr>
        <w:softHyphen/>
        <w:t xml:space="preserve">ی فوق، قید منبع اقتصاد </w:t>
      </w:r>
      <w:r w:rsidRPr="00A309A0">
        <w:rPr>
          <w:rFonts w:ascii="Cambria Math" w:hAnsi="Cambria Math" w:hint="cs"/>
          <w:sz w:val="23"/>
          <w:szCs w:val="23"/>
          <w:rtl/>
        </w:rPr>
        <w:t>زیر بدست می</w:t>
      </w:r>
      <w:r w:rsidRPr="00A309A0">
        <w:rPr>
          <w:rFonts w:ascii="Cambria Math" w:hAnsi="Cambria Math"/>
          <w:sz w:val="23"/>
          <w:szCs w:val="23"/>
          <w:rtl/>
        </w:rPr>
        <w:softHyphen/>
      </w:r>
      <w:r w:rsidRPr="00A309A0">
        <w:rPr>
          <w:rFonts w:ascii="Cambria Math" w:hAnsi="Cambria Math" w:hint="cs"/>
          <w:sz w:val="23"/>
          <w:szCs w:val="23"/>
          <w:rtl/>
        </w:rPr>
        <w:t xml:space="preserve">آید که </w:t>
      </w:r>
      <w:r w:rsidRPr="00A309A0">
        <w:rPr>
          <w:rFonts w:ascii="Cambria Math" w:hAnsi="Cambria Math"/>
          <w:sz w:val="23"/>
          <w:szCs w:val="23"/>
          <w:rtl/>
        </w:rPr>
        <w:t xml:space="preserve">عبارت </w:t>
      </w:r>
      <w:r w:rsidRPr="00A309A0">
        <w:rPr>
          <w:rFonts w:ascii="Cambria Math" w:hAnsi="Cambria Math" w:hint="cs"/>
          <w:sz w:val="23"/>
          <w:szCs w:val="23"/>
          <w:rtl/>
        </w:rPr>
        <w:t>است از؛</w:t>
      </w:r>
      <w:r w:rsidRPr="00A309A0">
        <w:rPr>
          <w:rFonts w:ascii="Cambria Math" w:hAnsi="Cambria Math"/>
          <w:sz w:val="23"/>
          <w:szCs w:val="23"/>
          <w:rtl/>
        </w:rPr>
        <w:t xml:space="preserve"> </w:t>
      </w:r>
    </w:p>
    <w:p w14:paraId="219BC37D" w14:textId="77777777" w:rsidR="00411620" w:rsidRPr="00A309A0" w:rsidRDefault="00411620" w:rsidP="00411620">
      <w:pPr>
        <w:bidi w:val="0"/>
        <w:spacing w:line="216" w:lineRule="auto"/>
        <w:rPr>
          <w:rFonts w:ascii="Cambria Math" w:hAnsi="Cambria Math"/>
          <w:sz w:val="23"/>
          <w:szCs w:val="23"/>
          <w:rtl/>
        </w:rPr>
      </w:pPr>
      <w:r w:rsidRPr="00B92922">
        <w:rPr>
          <w:position w:val="-12"/>
        </w:rPr>
        <w:object w:dxaOrig="2100" w:dyaOrig="360" w14:anchorId="190AA54B">
          <v:shape id="_x0000_i1047" type="#_x0000_t75" style="width:105.3pt;height:18.15pt" o:ole="">
            <v:imagedata r:id="rId53" o:title=""/>
          </v:shape>
          <o:OLEObject Type="Embed" ProgID="Equation.DSMT4" ShapeID="_x0000_i1047" DrawAspect="Content" ObjectID="_1791374991" r:id="rId54"/>
        </w:object>
      </w:r>
      <w:r w:rsidRPr="00A309A0">
        <w:rPr>
          <w:rFonts w:ascii="Cambria Math" w:hAnsi="Cambria Math"/>
          <w:sz w:val="23"/>
          <w:szCs w:val="23"/>
          <w:rtl/>
        </w:rPr>
        <w:tab/>
      </w:r>
      <w:r w:rsidRPr="00A309A0">
        <w:rPr>
          <w:rFonts w:ascii="Cambria Math" w:hAnsi="Cambria Math"/>
          <w:sz w:val="23"/>
          <w:szCs w:val="23"/>
        </w:rPr>
        <w:tab/>
      </w:r>
      <w:r w:rsidRPr="00A309A0">
        <w:rPr>
          <w:rFonts w:ascii="Cambria Math" w:hAnsi="Cambria Math"/>
          <w:sz w:val="23"/>
          <w:szCs w:val="23"/>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Pr>
          <w:rFonts w:ascii="Cambria Math" w:hAnsi="Cambria Math"/>
          <w:sz w:val="23"/>
          <w:szCs w:val="23"/>
        </w:rPr>
        <w:tab/>
      </w:r>
      <w:r>
        <w:rPr>
          <w:rFonts w:ascii="Cambria Math" w:hAnsi="Cambria Math"/>
          <w:sz w:val="23"/>
          <w:szCs w:val="23"/>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Pr>
        <w:tab/>
      </w:r>
      <w:r w:rsidRPr="00A309A0">
        <w:rPr>
          <w:rFonts w:ascii="Cambria Math" w:hAnsi="Cambria Math" w:hint="cs"/>
          <w:sz w:val="23"/>
          <w:szCs w:val="23"/>
          <w:rtl/>
        </w:rPr>
        <w:t>(۲. ۴)</w:t>
      </w:r>
    </w:p>
    <w:p w14:paraId="6FA76760"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در واقع رابطه</w:t>
      </w:r>
      <w:r w:rsidRPr="00A309A0">
        <w:rPr>
          <w:rFonts w:ascii="Cambria Math" w:hAnsi="Cambria Math"/>
          <w:sz w:val="23"/>
          <w:szCs w:val="23"/>
          <w:rtl/>
        </w:rPr>
        <w:softHyphen/>
        <w:t>ی فوق قید پویای غیرخطی در اقتصاد است. با توجه به فروض فوق و موج</w:t>
      </w:r>
      <w:r w:rsidRPr="00A309A0">
        <w:rPr>
          <w:rFonts w:ascii="Cambria Math" w:hAnsi="Cambria Math" w:hint="cs"/>
          <w:sz w:val="23"/>
          <w:szCs w:val="23"/>
          <w:rtl/>
        </w:rPr>
        <w:t>و</w:t>
      </w:r>
      <w:r w:rsidRPr="00A309A0">
        <w:rPr>
          <w:rFonts w:ascii="Cambria Math" w:hAnsi="Cambria Math"/>
          <w:sz w:val="23"/>
          <w:szCs w:val="23"/>
          <w:rtl/>
        </w:rPr>
        <w:t>دی سرمایه</w:t>
      </w:r>
      <w:r w:rsidRPr="00A309A0">
        <w:rPr>
          <w:rFonts w:ascii="Cambria Math" w:hAnsi="Cambria Math"/>
          <w:sz w:val="23"/>
          <w:szCs w:val="23"/>
          <w:rtl/>
        </w:rPr>
        <w:softHyphen/>
        <w:t>ی اولیه</w:t>
      </w:r>
      <w:r w:rsidRPr="00A309A0">
        <w:rPr>
          <w:rFonts w:ascii="Cambria Math" w:hAnsi="Cambria Math"/>
          <w:sz w:val="23"/>
          <w:szCs w:val="23"/>
          <w:rtl/>
        </w:rPr>
        <w:softHyphen/>
        <w:t>ی</w:t>
      </w:r>
      <w:r w:rsidRPr="00B92922">
        <w:rPr>
          <w:position w:val="-10"/>
        </w:rPr>
        <w:object w:dxaOrig="220" w:dyaOrig="320" w14:anchorId="4873F01C">
          <v:shape id="_x0000_i1048" type="#_x0000_t75" style="width:10.9pt;height:15.75pt" o:ole="">
            <v:imagedata r:id="rId55" o:title=""/>
          </v:shape>
          <o:OLEObject Type="Embed" ProgID="Equation.DSMT4" ShapeID="_x0000_i1048" DrawAspect="Content" ObjectID="_1791374992" r:id="rId56"/>
        </w:object>
      </w:r>
      <w:r w:rsidRPr="00A309A0">
        <w:rPr>
          <w:rFonts w:ascii="Cambria Math" w:hAnsi="Cambria Math"/>
          <w:sz w:val="23"/>
          <w:szCs w:val="23"/>
          <w:rtl/>
        </w:rPr>
        <w:t xml:space="preserve"> که داده شده </w:t>
      </w:r>
      <w:r w:rsidRPr="00A309A0">
        <w:rPr>
          <w:rFonts w:ascii="Cambria Math" w:hAnsi="Cambria Math" w:hint="cs"/>
          <w:sz w:val="23"/>
          <w:szCs w:val="23"/>
          <w:rtl/>
        </w:rPr>
        <w:t xml:space="preserve">و موهبت </w:t>
      </w:r>
      <w:r w:rsidRPr="00A309A0">
        <w:rPr>
          <w:rFonts w:ascii="Cambria Math" w:hAnsi="Cambria Math"/>
          <w:sz w:val="23"/>
          <w:szCs w:val="23"/>
          <w:rtl/>
        </w:rPr>
        <w:t xml:space="preserve">است، </w:t>
      </w:r>
      <w:r w:rsidRPr="00A309A0">
        <w:rPr>
          <w:rFonts w:ascii="Cambria Math" w:hAnsi="Cambria Math" w:hint="cs"/>
          <w:sz w:val="23"/>
          <w:szCs w:val="23"/>
          <w:rtl/>
        </w:rPr>
        <w:t>کارگزار نمونه می</w:t>
      </w:r>
      <w:r w:rsidRPr="00A309A0">
        <w:rPr>
          <w:rFonts w:ascii="Cambria Math" w:hAnsi="Cambria Math"/>
          <w:sz w:val="23"/>
          <w:szCs w:val="23"/>
          <w:rtl/>
        </w:rPr>
        <w:softHyphen/>
        <w:t>بای</w:t>
      </w:r>
      <w:r w:rsidRPr="00A309A0">
        <w:rPr>
          <w:rFonts w:ascii="Cambria Math" w:hAnsi="Cambria Math" w:hint="cs"/>
          <w:sz w:val="23"/>
          <w:szCs w:val="23"/>
          <w:rtl/>
        </w:rPr>
        <w:t>ست</w:t>
      </w:r>
      <w:r w:rsidRPr="00A309A0">
        <w:rPr>
          <w:rFonts w:ascii="Cambria Math" w:hAnsi="Cambria Math"/>
          <w:sz w:val="23"/>
          <w:szCs w:val="23"/>
          <w:rtl/>
        </w:rPr>
        <w:t xml:space="preserve"> سطح بهینه</w:t>
      </w:r>
      <w:r w:rsidRPr="00A309A0">
        <w:rPr>
          <w:rFonts w:ascii="Cambria Math" w:hAnsi="Cambria Math"/>
          <w:sz w:val="23"/>
          <w:szCs w:val="23"/>
          <w:rtl/>
        </w:rPr>
        <w:softHyphen/>
        <w:t>ی مصرف در دوره</w:t>
      </w:r>
      <w:r w:rsidRPr="00A309A0">
        <w:rPr>
          <w:rFonts w:ascii="Cambria Math" w:hAnsi="Cambria Math"/>
          <w:sz w:val="23"/>
          <w:szCs w:val="23"/>
          <w:rtl/>
        </w:rPr>
        <w:softHyphen/>
        <w:t>ی</w:t>
      </w:r>
      <w:r w:rsidRPr="00B92922">
        <w:rPr>
          <w:position w:val="-6"/>
        </w:rPr>
        <w:object w:dxaOrig="139" w:dyaOrig="240" w14:anchorId="22CF2F0D">
          <v:shape id="_x0000_i1049" type="#_x0000_t75" style="width:7.25pt;height:12.1pt" o:ole="">
            <v:imagedata r:id="rId57" o:title=""/>
          </v:shape>
          <o:OLEObject Type="Embed" ProgID="Equation.DSMT4" ShapeID="_x0000_i1049" DrawAspect="Content" ObjectID="_1791374993" r:id="rId58"/>
        </w:object>
      </w:r>
      <w:r w:rsidRPr="00A309A0">
        <w:rPr>
          <w:rFonts w:ascii="Cambria Math" w:hAnsi="Cambria Math"/>
          <w:sz w:val="23"/>
          <w:szCs w:val="23"/>
          <w:rtl/>
        </w:rPr>
        <w:t xml:space="preserve"> یعنی</w:t>
      </w:r>
      <w:r w:rsidRPr="00B92922">
        <w:rPr>
          <w:position w:val="-10"/>
        </w:rPr>
        <w:object w:dxaOrig="200" w:dyaOrig="320" w14:anchorId="014CC724">
          <v:shape id="_x0000_i1050" type="#_x0000_t75" style="width:10.3pt;height:15.75pt" o:ole="">
            <v:imagedata r:id="rId59" o:title=""/>
          </v:shape>
          <o:OLEObject Type="Embed" ProgID="Equation.DSMT4" ShapeID="_x0000_i1050" DrawAspect="Content" ObjectID="_1791374994" r:id="rId60"/>
        </w:object>
      </w:r>
      <w:r w:rsidRPr="00A309A0">
        <w:rPr>
          <w:rFonts w:ascii="Cambria Math" w:hAnsi="Cambria Math" w:hint="cs"/>
          <w:sz w:val="23"/>
          <w:szCs w:val="23"/>
          <w:rtl/>
        </w:rPr>
        <w:t>،</w:t>
      </w:r>
      <w:r w:rsidRPr="00A309A0">
        <w:rPr>
          <w:rFonts w:ascii="Cambria Math" w:hAnsi="Cambria Math"/>
          <w:sz w:val="23"/>
          <w:szCs w:val="23"/>
          <w:rtl/>
        </w:rPr>
        <w:t xml:space="preserve"> و </w:t>
      </w:r>
      <w:r w:rsidRPr="00A309A0">
        <w:rPr>
          <w:rFonts w:ascii="Cambria Math" w:hAnsi="Cambria Math" w:hint="cs"/>
          <w:sz w:val="23"/>
          <w:szCs w:val="23"/>
          <w:rtl/>
        </w:rPr>
        <w:t xml:space="preserve">موجودی </w:t>
      </w:r>
      <w:r w:rsidRPr="00A309A0">
        <w:rPr>
          <w:rFonts w:ascii="Cambria Math" w:hAnsi="Cambria Math"/>
          <w:sz w:val="23"/>
          <w:szCs w:val="23"/>
          <w:rtl/>
        </w:rPr>
        <w:t>سرمایه در آغاز دوره</w:t>
      </w:r>
      <w:r w:rsidRPr="00A309A0">
        <w:rPr>
          <w:rFonts w:ascii="Cambria Math" w:hAnsi="Cambria Math"/>
          <w:sz w:val="23"/>
          <w:szCs w:val="23"/>
          <w:rtl/>
        </w:rPr>
        <w:softHyphen/>
        <w:t>ی</w:t>
      </w:r>
      <w:r w:rsidRPr="00B92922">
        <w:rPr>
          <w:position w:val="-6"/>
        </w:rPr>
        <w:object w:dxaOrig="440" w:dyaOrig="260" w14:anchorId="79805324">
          <v:shape id="_x0000_i1051" type="#_x0000_t75" style="width:21.8pt;height:12.7pt" o:ole="">
            <v:imagedata r:id="rId61" o:title=""/>
          </v:shape>
          <o:OLEObject Type="Embed" ProgID="Equation.DSMT4" ShapeID="_x0000_i1051" DrawAspect="Content" ObjectID="_1791374995" r:id="rId62"/>
        </w:object>
      </w:r>
      <w:r w:rsidRPr="00A309A0">
        <w:rPr>
          <w:rFonts w:ascii="Cambria Math" w:hAnsi="Cambria Math"/>
          <w:sz w:val="23"/>
          <w:szCs w:val="23"/>
          <w:rtl/>
        </w:rPr>
        <w:t xml:space="preserve"> یعنی</w:t>
      </w:r>
      <w:r w:rsidRPr="00B92922">
        <w:rPr>
          <w:position w:val="-10"/>
        </w:rPr>
        <w:object w:dxaOrig="360" w:dyaOrig="320" w14:anchorId="4B028C95">
          <v:shape id="_x0000_i1052" type="#_x0000_t75" style="width:18.15pt;height:15.75pt" o:ole="">
            <v:imagedata r:id="rId63" o:title=""/>
          </v:shape>
          <o:OLEObject Type="Embed" ProgID="Equation.DSMT4" ShapeID="_x0000_i1052" DrawAspect="Content" ObjectID="_1791374996" r:id="rId64"/>
        </w:object>
      </w:r>
      <w:r w:rsidRPr="00A309A0">
        <w:rPr>
          <w:rFonts w:ascii="Cambria Math" w:hAnsi="Cambria Math" w:hint="cs"/>
          <w:sz w:val="23"/>
          <w:szCs w:val="23"/>
          <w:rtl/>
        </w:rPr>
        <w:t xml:space="preserve"> را</w:t>
      </w:r>
      <w:r w:rsidRPr="00A309A0">
        <w:rPr>
          <w:rFonts w:ascii="Cambria Math" w:hAnsi="Cambria Math"/>
          <w:sz w:val="23"/>
          <w:szCs w:val="23"/>
          <w:rtl/>
        </w:rPr>
        <w:t xml:space="preserve"> </w:t>
      </w:r>
      <w:r w:rsidRPr="00A309A0">
        <w:rPr>
          <w:rFonts w:ascii="Cambria Math" w:hAnsi="Cambria Math" w:hint="cs"/>
          <w:sz w:val="23"/>
          <w:szCs w:val="23"/>
          <w:rtl/>
        </w:rPr>
        <w:t>جهت تولید و مصرف در دوره</w:t>
      </w:r>
      <w:r w:rsidRPr="00A309A0">
        <w:rPr>
          <w:rFonts w:ascii="Cambria Math" w:hAnsi="Cambria Math"/>
          <w:sz w:val="23"/>
          <w:szCs w:val="23"/>
          <w:rtl/>
        </w:rPr>
        <w:softHyphen/>
      </w:r>
      <w:r w:rsidRPr="00A309A0">
        <w:rPr>
          <w:rFonts w:ascii="Cambria Math" w:hAnsi="Cambria Math" w:hint="cs"/>
          <w:sz w:val="23"/>
          <w:szCs w:val="23"/>
          <w:rtl/>
        </w:rPr>
        <w:t>ی بعد بدست آورد.</w:t>
      </w:r>
      <w:r w:rsidRPr="00A309A0">
        <w:rPr>
          <w:rFonts w:ascii="Cambria Math" w:hAnsi="Cambria Math"/>
          <w:sz w:val="23"/>
          <w:szCs w:val="23"/>
          <w:rtl/>
        </w:rPr>
        <w:t xml:space="preserve"> </w:t>
      </w:r>
      <w:r w:rsidRPr="00A309A0">
        <w:rPr>
          <w:rFonts w:ascii="Cambria Math" w:hAnsi="Cambria Math" w:hint="cs"/>
          <w:sz w:val="23"/>
          <w:szCs w:val="23"/>
          <w:rtl/>
        </w:rPr>
        <w:t>بنابراین کارگزار نمونه یا برنامه</w:t>
      </w:r>
      <w:r w:rsidRPr="00A309A0">
        <w:rPr>
          <w:rFonts w:ascii="Cambria Math" w:hAnsi="Cambria Math"/>
          <w:sz w:val="23"/>
          <w:szCs w:val="23"/>
          <w:rtl/>
        </w:rPr>
        <w:softHyphen/>
      </w:r>
      <w:r w:rsidRPr="00A309A0">
        <w:rPr>
          <w:rFonts w:ascii="Cambria Math" w:hAnsi="Cambria Math" w:hint="cs"/>
          <w:sz w:val="23"/>
          <w:szCs w:val="23"/>
          <w:rtl/>
        </w:rPr>
        <w:t>ریز متمرکز بدنبال</w:t>
      </w:r>
      <w:r w:rsidRPr="00A309A0">
        <w:rPr>
          <w:rFonts w:ascii="Cambria Math" w:hAnsi="Cambria Math"/>
          <w:sz w:val="23"/>
          <w:szCs w:val="23"/>
          <w:rtl/>
        </w:rPr>
        <w:t xml:space="preserve"> انتخاب بهینه</w:t>
      </w:r>
      <w:r w:rsidRPr="00A309A0">
        <w:rPr>
          <w:rFonts w:ascii="Cambria Math" w:hAnsi="Cambria Math"/>
          <w:sz w:val="23"/>
          <w:szCs w:val="23"/>
          <w:rtl/>
        </w:rPr>
        <w:softHyphen/>
        <w:t>ی مصرف در دوره</w:t>
      </w:r>
      <w:r w:rsidRPr="00A309A0">
        <w:rPr>
          <w:rFonts w:ascii="Cambria Math" w:hAnsi="Cambria Math"/>
          <w:sz w:val="23"/>
          <w:szCs w:val="23"/>
          <w:rtl/>
        </w:rPr>
        <w:softHyphen/>
        <w:t xml:space="preserve">های </w:t>
      </w:r>
      <w:r w:rsidRPr="00A309A0">
        <w:rPr>
          <w:rFonts w:asciiTheme="majorBidi" w:hAnsiTheme="majorBidi"/>
          <w:i/>
          <w:iCs/>
          <w:sz w:val="23"/>
          <w:szCs w:val="23"/>
        </w:rPr>
        <w:t>t</w:t>
      </w:r>
      <w:r w:rsidRPr="00A309A0">
        <w:rPr>
          <w:rFonts w:ascii="Cambria Math" w:hAnsi="Cambria Math"/>
          <w:sz w:val="23"/>
          <w:szCs w:val="23"/>
          <w:rtl/>
        </w:rPr>
        <w:t xml:space="preserve">، </w:t>
      </w:r>
      <w:r w:rsidRPr="00B92922">
        <w:rPr>
          <w:position w:val="-6"/>
        </w:rPr>
        <w:object w:dxaOrig="440" w:dyaOrig="260" w14:anchorId="3BD802ED">
          <v:shape id="_x0000_i1053" type="#_x0000_t75" style="width:21.8pt;height:12.7pt" o:ole="">
            <v:imagedata r:id="rId65" o:title=""/>
          </v:shape>
          <o:OLEObject Type="Embed" ProgID="Equation.DSMT4" ShapeID="_x0000_i1053" DrawAspect="Content" ObjectID="_1791374997" r:id="rId66"/>
        </w:object>
      </w:r>
      <w:r w:rsidRPr="00A309A0">
        <w:rPr>
          <w:rFonts w:ascii="Cambria Math" w:hAnsi="Cambria Math"/>
          <w:sz w:val="23"/>
          <w:szCs w:val="23"/>
          <w:rtl/>
        </w:rPr>
        <w:t>،</w:t>
      </w:r>
      <w:r w:rsidRPr="00B92922">
        <w:rPr>
          <w:position w:val="-6"/>
        </w:rPr>
        <w:object w:dxaOrig="460" w:dyaOrig="260" w14:anchorId="68F50CEC">
          <v:shape id="_x0000_i1054" type="#_x0000_t75" style="width:23pt;height:12.7pt" o:ole="">
            <v:imagedata r:id="rId67" o:title=""/>
          </v:shape>
          <o:OLEObject Type="Embed" ProgID="Equation.DSMT4" ShapeID="_x0000_i1054" DrawAspect="Content" ObjectID="_1791374998" r:id="rId68"/>
        </w:object>
      </w:r>
      <w:r w:rsidRPr="00A309A0">
        <w:rPr>
          <w:rFonts w:ascii="Cambria Math" w:hAnsi="Cambria Math"/>
          <w:sz w:val="23"/>
          <w:szCs w:val="23"/>
          <w:rtl/>
        </w:rPr>
        <w:t xml:space="preserve">،. . . </w:t>
      </w:r>
      <w:r w:rsidRPr="00A309A0">
        <w:rPr>
          <w:rFonts w:ascii="Cambria Math" w:hAnsi="Cambria Math" w:hint="cs"/>
          <w:sz w:val="23"/>
          <w:szCs w:val="23"/>
          <w:rtl/>
        </w:rPr>
        <w:t>می</w:t>
      </w:r>
      <w:r w:rsidRPr="00A309A0">
        <w:rPr>
          <w:rFonts w:ascii="Cambria Math" w:hAnsi="Cambria Math"/>
          <w:sz w:val="23"/>
          <w:szCs w:val="23"/>
          <w:rtl/>
        </w:rPr>
        <w:softHyphen/>
      </w:r>
      <w:r w:rsidRPr="00A309A0">
        <w:rPr>
          <w:rFonts w:ascii="Cambria Math" w:hAnsi="Cambria Math" w:hint="cs"/>
          <w:sz w:val="23"/>
          <w:szCs w:val="23"/>
          <w:rtl/>
        </w:rPr>
        <w:t xml:space="preserve">باشد که متناظر است با </w:t>
      </w:r>
      <w:r w:rsidRPr="00A309A0">
        <w:rPr>
          <w:rFonts w:ascii="Cambria Math" w:hAnsi="Cambria Math"/>
          <w:sz w:val="23"/>
          <w:szCs w:val="23"/>
          <w:rtl/>
        </w:rPr>
        <w:t>انتخاب سطح بهینه</w:t>
      </w:r>
      <w:r w:rsidRPr="00A309A0">
        <w:rPr>
          <w:rFonts w:ascii="Cambria Math" w:hAnsi="Cambria Math"/>
          <w:sz w:val="23"/>
          <w:szCs w:val="23"/>
          <w:rtl/>
        </w:rPr>
        <w:softHyphen/>
        <w:t xml:space="preserve">ی </w:t>
      </w:r>
      <w:r w:rsidRPr="00A309A0">
        <w:rPr>
          <w:rFonts w:ascii="Cambria Math" w:hAnsi="Cambria Math" w:hint="cs"/>
          <w:sz w:val="23"/>
          <w:szCs w:val="23"/>
          <w:rtl/>
        </w:rPr>
        <w:t>پس</w:t>
      </w:r>
      <w:r w:rsidRPr="00A309A0">
        <w:rPr>
          <w:rFonts w:ascii="Cambria Math" w:hAnsi="Cambria Math"/>
          <w:sz w:val="23"/>
          <w:szCs w:val="23"/>
          <w:rtl/>
        </w:rPr>
        <w:softHyphen/>
      </w:r>
      <w:r w:rsidRPr="00A309A0">
        <w:rPr>
          <w:rFonts w:ascii="Cambria Math" w:hAnsi="Cambria Math" w:hint="cs"/>
          <w:sz w:val="23"/>
          <w:szCs w:val="23"/>
          <w:rtl/>
        </w:rPr>
        <w:t>انداز، سرمایه</w:t>
      </w:r>
      <w:r w:rsidRPr="00A309A0">
        <w:rPr>
          <w:rFonts w:ascii="Cambria Math" w:hAnsi="Cambria Math"/>
          <w:sz w:val="23"/>
          <w:szCs w:val="23"/>
          <w:rtl/>
        </w:rPr>
        <w:softHyphen/>
      </w:r>
      <w:r w:rsidRPr="00A309A0">
        <w:rPr>
          <w:rFonts w:ascii="Cambria Math" w:hAnsi="Cambria Math" w:hint="cs"/>
          <w:sz w:val="23"/>
          <w:szCs w:val="23"/>
          <w:rtl/>
        </w:rPr>
        <w:t xml:space="preserve">گذاری، موجودی </w:t>
      </w:r>
      <w:r w:rsidRPr="00A309A0">
        <w:rPr>
          <w:rFonts w:ascii="Cambria Math" w:hAnsi="Cambria Math"/>
          <w:sz w:val="23"/>
          <w:szCs w:val="23"/>
          <w:rtl/>
        </w:rPr>
        <w:t>سرمایه، تولید</w:t>
      </w:r>
      <w:r w:rsidRPr="00A309A0">
        <w:rPr>
          <w:rFonts w:ascii="Cambria Math" w:hAnsi="Cambria Math" w:hint="cs"/>
          <w:sz w:val="23"/>
          <w:szCs w:val="23"/>
          <w:rtl/>
        </w:rPr>
        <w:t xml:space="preserve"> و مصرف</w:t>
      </w:r>
      <w:r w:rsidRPr="00A309A0">
        <w:rPr>
          <w:rFonts w:ascii="Cambria Math" w:hAnsi="Cambria Math"/>
          <w:sz w:val="23"/>
          <w:szCs w:val="23"/>
          <w:rtl/>
        </w:rPr>
        <w:t xml:space="preserve"> برای هر دوره. </w:t>
      </w:r>
    </w:p>
    <w:p w14:paraId="0435CD55"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hint="cs"/>
          <w:sz w:val="23"/>
          <w:szCs w:val="23"/>
          <w:rtl/>
        </w:rPr>
        <w:t>لازم به توضیح است که موجودی سرمایه در ابتدای دوره یعنی</w:t>
      </w:r>
      <w:r w:rsidRPr="00B92922">
        <w:rPr>
          <w:position w:val="-10"/>
        </w:rPr>
        <w:object w:dxaOrig="220" w:dyaOrig="320" w14:anchorId="1BFD96DF">
          <v:shape id="_x0000_i1055" type="#_x0000_t75" style="width:10.9pt;height:15.75pt" o:ole="">
            <v:imagedata r:id="rId69" o:title=""/>
          </v:shape>
          <o:OLEObject Type="Embed" ProgID="Equation.DSMT4" ShapeID="_x0000_i1055" DrawAspect="Content" ObjectID="_1791374999" r:id="rId70"/>
        </w:object>
      </w:r>
      <w:r w:rsidRPr="00A309A0">
        <w:rPr>
          <w:rFonts w:ascii="Cambria Math" w:hAnsi="Cambria Math" w:hint="cs"/>
          <w:sz w:val="23"/>
          <w:szCs w:val="23"/>
          <w:rtl/>
        </w:rPr>
        <w:t xml:space="preserve"> داده شده و موهبت است و سطح بهینه</w:t>
      </w:r>
      <w:r w:rsidRPr="00A309A0">
        <w:rPr>
          <w:rFonts w:ascii="Cambria Math" w:hAnsi="Cambria Math"/>
          <w:sz w:val="23"/>
          <w:szCs w:val="23"/>
          <w:rtl/>
        </w:rPr>
        <w:softHyphen/>
      </w:r>
      <w:r w:rsidRPr="00A309A0">
        <w:rPr>
          <w:rFonts w:ascii="Cambria Math" w:hAnsi="Cambria Math" w:hint="cs"/>
          <w:sz w:val="23"/>
          <w:szCs w:val="23"/>
          <w:rtl/>
        </w:rPr>
        <w:t>ی آن توسط کارگزار نمونه یا برنامه</w:t>
      </w:r>
      <w:r w:rsidRPr="00A309A0">
        <w:rPr>
          <w:rFonts w:ascii="Cambria Math" w:hAnsi="Cambria Math"/>
          <w:sz w:val="23"/>
          <w:szCs w:val="23"/>
          <w:rtl/>
        </w:rPr>
        <w:softHyphen/>
      </w:r>
      <w:r w:rsidRPr="00A309A0">
        <w:rPr>
          <w:rFonts w:ascii="Cambria Math" w:hAnsi="Cambria Math" w:hint="cs"/>
          <w:sz w:val="23"/>
          <w:szCs w:val="23"/>
          <w:rtl/>
        </w:rPr>
        <w:t>ریز متمرکز تعیین نمی</w:t>
      </w:r>
      <w:r w:rsidRPr="00A309A0">
        <w:rPr>
          <w:rFonts w:ascii="Cambria Math" w:hAnsi="Cambria Math"/>
          <w:sz w:val="23"/>
          <w:szCs w:val="23"/>
          <w:rtl/>
        </w:rPr>
        <w:softHyphen/>
      </w:r>
      <w:r w:rsidRPr="00A309A0">
        <w:rPr>
          <w:rFonts w:ascii="Cambria Math" w:hAnsi="Cambria Math" w:hint="cs"/>
          <w:sz w:val="23"/>
          <w:szCs w:val="23"/>
          <w:rtl/>
        </w:rPr>
        <w:t>شود، اما سطح بهینه</w:t>
      </w:r>
      <w:r w:rsidRPr="00A309A0">
        <w:rPr>
          <w:rFonts w:ascii="Cambria Math" w:hAnsi="Cambria Math"/>
          <w:sz w:val="23"/>
          <w:szCs w:val="23"/>
          <w:rtl/>
        </w:rPr>
        <w:softHyphen/>
      </w:r>
      <w:r w:rsidRPr="00A309A0">
        <w:rPr>
          <w:rFonts w:ascii="Cambria Math" w:hAnsi="Cambria Math" w:hint="cs"/>
          <w:sz w:val="23"/>
          <w:szCs w:val="23"/>
          <w:rtl/>
        </w:rPr>
        <w:t>ی موجودی سرمایه در دوره</w:t>
      </w:r>
      <w:r w:rsidRPr="00A309A0">
        <w:rPr>
          <w:rFonts w:ascii="Cambria Math" w:hAnsi="Cambria Math"/>
          <w:sz w:val="23"/>
          <w:szCs w:val="23"/>
          <w:rtl/>
        </w:rPr>
        <w:softHyphen/>
      </w:r>
      <w:r w:rsidRPr="00A309A0">
        <w:rPr>
          <w:rFonts w:ascii="Cambria Math" w:hAnsi="Cambria Math" w:hint="cs"/>
          <w:sz w:val="23"/>
          <w:szCs w:val="23"/>
          <w:rtl/>
        </w:rPr>
        <w:t>های بعد یعنی</w:t>
      </w:r>
      <w:r w:rsidRPr="00B92922">
        <w:rPr>
          <w:position w:val="-6"/>
        </w:rPr>
        <w:object w:dxaOrig="440" w:dyaOrig="260" w14:anchorId="6A91BA62">
          <v:shape id="_x0000_i1056" type="#_x0000_t75" style="width:21.8pt;height:12.7pt" o:ole="">
            <v:imagedata r:id="rId71" o:title=""/>
          </v:shape>
          <o:OLEObject Type="Embed" ProgID="Equation.DSMT4" ShapeID="_x0000_i1056" DrawAspect="Content" ObjectID="_1791375000" r:id="rId72"/>
        </w:object>
      </w:r>
      <w:r w:rsidRPr="00A309A0">
        <w:rPr>
          <w:rFonts w:ascii="Cambria Math" w:hAnsi="Cambria Math"/>
          <w:sz w:val="23"/>
          <w:szCs w:val="23"/>
          <w:rtl/>
        </w:rPr>
        <w:t>،</w:t>
      </w:r>
      <w:r w:rsidRPr="00B92922">
        <w:rPr>
          <w:position w:val="-6"/>
        </w:rPr>
        <w:object w:dxaOrig="460" w:dyaOrig="260" w14:anchorId="73A8257A">
          <v:shape id="_x0000_i1057" type="#_x0000_t75" style="width:23pt;height:12.7pt" o:ole="">
            <v:imagedata r:id="rId73" o:title=""/>
          </v:shape>
          <o:OLEObject Type="Embed" ProgID="Equation.DSMT4" ShapeID="_x0000_i1057" DrawAspect="Content" ObjectID="_1791375001" r:id="rId74"/>
        </w:object>
      </w:r>
      <w:r w:rsidRPr="00A309A0">
        <w:rPr>
          <w:rFonts w:ascii="Cambria Math" w:hAnsi="Cambria Math"/>
          <w:sz w:val="23"/>
          <w:szCs w:val="23"/>
          <w:rtl/>
        </w:rPr>
        <w:t xml:space="preserve">،. . . </w:t>
      </w:r>
      <w:r w:rsidRPr="00A309A0">
        <w:rPr>
          <w:rFonts w:ascii="Cambria Math" w:hAnsi="Cambria Math" w:hint="cs"/>
          <w:sz w:val="23"/>
          <w:szCs w:val="23"/>
          <w:rtl/>
        </w:rPr>
        <w:t>توسط خانوار تعیین می</w:t>
      </w:r>
      <w:r w:rsidRPr="00A309A0">
        <w:rPr>
          <w:rFonts w:ascii="Cambria Math" w:hAnsi="Cambria Math"/>
          <w:sz w:val="23"/>
          <w:szCs w:val="23"/>
          <w:rtl/>
        </w:rPr>
        <w:softHyphen/>
      </w:r>
      <w:r w:rsidRPr="00A309A0">
        <w:rPr>
          <w:rFonts w:ascii="Cambria Math" w:hAnsi="Cambria Math" w:hint="cs"/>
          <w:sz w:val="23"/>
          <w:szCs w:val="23"/>
          <w:rtl/>
        </w:rPr>
        <w:t xml:space="preserve">شود. </w:t>
      </w:r>
    </w:p>
    <w:p w14:paraId="1F12E84F" w14:textId="77777777" w:rsidR="00411620" w:rsidRPr="00A309A0" w:rsidRDefault="00411620" w:rsidP="00411620">
      <w:pPr>
        <w:spacing w:line="216" w:lineRule="auto"/>
        <w:rPr>
          <w:rFonts w:ascii="Cambria Math" w:hAnsi="Cambria Math"/>
          <w:sz w:val="23"/>
          <w:szCs w:val="23"/>
        </w:rPr>
      </w:pPr>
      <w:r w:rsidRPr="00A309A0">
        <w:rPr>
          <w:rFonts w:ascii="Cambria Math" w:hAnsi="Cambria Math"/>
          <w:sz w:val="23"/>
          <w:szCs w:val="23"/>
          <w:rtl/>
        </w:rPr>
        <w:t>اکنون س</w:t>
      </w:r>
      <w:r w:rsidRPr="00A309A0">
        <w:rPr>
          <w:rFonts w:ascii="Cambria Math" w:hAnsi="Cambria Math" w:hint="cs"/>
          <w:sz w:val="23"/>
          <w:szCs w:val="23"/>
          <w:rtl/>
        </w:rPr>
        <w:t>ؤ</w:t>
      </w:r>
      <w:r w:rsidRPr="00A309A0">
        <w:rPr>
          <w:rFonts w:ascii="Cambria Math" w:hAnsi="Cambria Math"/>
          <w:sz w:val="23"/>
          <w:szCs w:val="23"/>
          <w:rtl/>
        </w:rPr>
        <w:t xml:space="preserve">ال </w:t>
      </w:r>
      <w:r w:rsidRPr="00A309A0">
        <w:rPr>
          <w:rFonts w:ascii="Cambria Math" w:hAnsi="Cambria Math" w:hint="cs"/>
          <w:sz w:val="23"/>
          <w:szCs w:val="23"/>
          <w:rtl/>
        </w:rPr>
        <w:t xml:space="preserve">مهم و </w:t>
      </w:r>
      <w:r w:rsidRPr="00A309A0">
        <w:rPr>
          <w:rFonts w:ascii="Cambria Math" w:hAnsi="Cambria Math"/>
          <w:sz w:val="23"/>
          <w:szCs w:val="23"/>
          <w:rtl/>
        </w:rPr>
        <w:t xml:space="preserve">اساسی این است که با وجود قید منبع </w:t>
      </w:r>
      <w:r w:rsidRPr="00A309A0">
        <w:rPr>
          <w:rFonts w:ascii="Cambria Math" w:hAnsi="Cambria Math" w:hint="cs"/>
          <w:sz w:val="23"/>
          <w:szCs w:val="23"/>
          <w:rtl/>
        </w:rPr>
        <w:t>(۲. ۴)</w:t>
      </w:r>
      <w:r w:rsidRPr="00A309A0">
        <w:rPr>
          <w:rFonts w:ascii="Cambria Math" w:eastAsiaTheme="minorEastAsia" w:hAnsi="Cambria Math"/>
          <w:sz w:val="23"/>
          <w:szCs w:val="23"/>
          <w:rtl/>
        </w:rPr>
        <w:t>، کارگزار نمونه</w:t>
      </w:r>
      <w:r w:rsidRPr="00A309A0">
        <w:rPr>
          <w:rFonts w:ascii="Cambria Math" w:eastAsiaTheme="minorEastAsia" w:hAnsi="Cambria Math"/>
          <w:sz w:val="23"/>
          <w:szCs w:val="23"/>
          <w:rtl/>
        </w:rPr>
        <w:softHyphen/>
        <w:t xml:space="preserve">ی اقتصاد به دنبال </w:t>
      </w:r>
      <w:r w:rsidRPr="00A309A0">
        <w:rPr>
          <w:rFonts w:ascii="Cambria Math" w:eastAsiaTheme="minorEastAsia" w:hAnsi="Cambria Math" w:hint="cs"/>
          <w:sz w:val="23"/>
          <w:szCs w:val="23"/>
          <w:rtl/>
        </w:rPr>
        <w:t>بهینه کردن</w:t>
      </w:r>
      <w:r w:rsidRPr="00A309A0">
        <w:rPr>
          <w:rFonts w:ascii="Cambria Math" w:eastAsiaTheme="minorEastAsia" w:hAnsi="Cambria Math"/>
          <w:sz w:val="23"/>
          <w:szCs w:val="23"/>
          <w:rtl/>
        </w:rPr>
        <w:t xml:space="preserve"> چه چیزی </w:t>
      </w:r>
      <w:r w:rsidRPr="00A309A0">
        <w:rPr>
          <w:rFonts w:ascii="Cambria Math" w:eastAsiaTheme="minorEastAsia" w:hAnsi="Cambria Math" w:hint="cs"/>
          <w:sz w:val="23"/>
          <w:szCs w:val="23"/>
          <w:rtl/>
        </w:rPr>
        <w:t>است</w:t>
      </w:r>
      <w:r w:rsidRPr="00A309A0">
        <w:rPr>
          <w:rFonts w:ascii="Cambria Math" w:eastAsiaTheme="minorEastAsia" w:hAnsi="Cambria Math"/>
          <w:sz w:val="23"/>
          <w:szCs w:val="23"/>
          <w:rtl/>
        </w:rPr>
        <w:t xml:space="preserve">؟ </w:t>
      </w:r>
      <w:r w:rsidRPr="00A309A0">
        <w:rPr>
          <w:rFonts w:ascii="Cambria Math" w:hAnsi="Cambria Math"/>
          <w:sz w:val="23"/>
          <w:szCs w:val="23"/>
          <w:rtl/>
        </w:rPr>
        <w:t>انتخاب</w:t>
      </w:r>
      <w:r w:rsidRPr="00A309A0">
        <w:rPr>
          <w:rFonts w:ascii="Cambria Math" w:hAnsi="Cambria Math"/>
          <w:sz w:val="23"/>
          <w:szCs w:val="23"/>
          <w:rtl/>
        </w:rPr>
        <w:softHyphen/>
        <w:t>ها</w:t>
      </w:r>
      <w:r w:rsidRPr="00A309A0">
        <w:rPr>
          <w:rFonts w:ascii="Cambria Math" w:hAnsi="Cambria Math" w:hint="cs"/>
          <w:sz w:val="23"/>
          <w:szCs w:val="23"/>
          <w:rtl/>
        </w:rPr>
        <w:t>ی</w:t>
      </w:r>
      <w:r w:rsidRPr="00A309A0">
        <w:rPr>
          <w:rFonts w:ascii="Cambria Math" w:hAnsi="Cambria Math"/>
          <w:sz w:val="23"/>
          <w:szCs w:val="23"/>
          <w:rtl/>
        </w:rPr>
        <w:t xml:space="preserve"> </w:t>
      </w:r>
      <w:r w:rsidRPr="00A309A0">
        <w:rPr>
          <w:rFonts w:ascii="Cambria Math" w:hAnsi="Cambria Math" w:hint="cs"/>
          <w:sz w:val="23"/>
          <w:szCs w:val="23"/>
          <w:rtl/>
        </w:rPr>
        <w:t xml:space="preserve">وی </w:t>
      </w:r>
      <w:r w:rsidRPr="00A309A0">
        <w:rPr>
          <w:rFonts w:ascii="Cambria Math" w:hAnsi="Cambria Math"/>
          <w:sz w:val="23"/>
          <w:szCs w:val="23"/>
          <w:rtl/>
        </w:rPr>
        <w:t xml:space="preserve">ممکن است حداکثر کردن تولید، </w:t>
      </w:r>
      <w:r w:rsidRPr="00A309A0">
        <w:rPr>
          <w:rFonts w:ascii="Cambria Math" w:hAnsi="Cambria Math" w:hint="cs"/>
          <w:sz w:val="23"/>
          <w:szCs w:val="23"/>
          <w:rtl/>
        </w:rPr>
        <w:t xml:space="preserve">حداکثر کردن </w:t>
      </w:r>
      <w:r w:rsidRPr="00A309A0">
        <w:rPr>
          <w:rFonts w:ascii="Cambria Math" w:hAnsi="Cambria Math"/>
          <w:sz w:val="23"/>
          <w:szCs w:val="23"/>
          <w:rtl/>
        </w:rPr>
        <w:t xml:space="preserve">مصرف و یا </w:t>
      </w:r>
      <w:r w:rsidRPr="00A309A0">
        <w:rPr>
          <w:rFonts w:ascii="Cambria Math" w:hAnsi="Cambria Math" w:hint="cs"/>
          <w:sz w:val="23"/>
          <w:szCs w:val="23"/>
          <w:rtl/>
        </w:rPr>
        <w:t xml:space="preserve">حداکثر کردن </w:t>
      </w:r>
      <w:r w:rsidRPr="00A309A0">
        <w:rPr>
          <w:rFonts w:ascii="Cambria Math" w:hAnsi="Cambria Math"/>
          <w:sz w:val="23"/>
          <w:szCs w:val="23"/>
          <w:rtl/>
        </w:rPr>
        <w:t xml:space="preserve">مطلوبیت حاصل از مصرف </w:t>
      </w:r>
      <w:r w:rsidRPr="00A309A0">
        <w:rPr>
          <w:rFonts w:ascii="Cambria Math" w:hAnsi="Cambria Math" w:hint="cs"/>
          <w:sz w:val="23"/>
          <w:szCs w:val="23"/>
          <w:rtl/>
        </w:rPr>
        <w:t>باشد</w:t>
      </w:r>
      <w:r w:rsidRPr="00A309A0">
        <w:rPr>
          <w:rFonts w:ascii="Cambria Math" w:hAnsi="Cambria Math"/>
          <w:sz w:val="23"/>
          <w:szCs w:val="23"/>
          <w:rtl/>
        </w:rPr>
        <w:t>. ب</w:t>
      </w:r>
      <w:r w:rsidRPr="00A309A0">
        <w:rPr>
          <w:rFonts w:ascii="Cambria Math" w:hAnsi="Cambria Math" w:hint="cs"/>
          <w:sz w:val="23"/>
          <w:szCs w:val="23"/>
          <w:rtl/>
        </w:rPr>
        <w:t>ه</w:t>
      </w:r>
      <w:r w:rsidRPr="00A309A0">
        <w:rPr>
          <w:rFonts w:ascii="Cambria Math" w:hAnsi="Cambria Math"/>
          <w:sz w:val="23"/>
          <w:szCs w:val="23"/>
          <w:rtl/>
        </w:rPr>
        <w:t xml:space="preserve"> عنوان مثال می‌توان مقادیر حداکثر مصرف را فقط برای دوره</w:t>
      </w:r>
      <w:r w:rsidRPr="00A309A0">
        <w:rPr>
          <w:rFonts w:ascii="Cambria Math" w:hAnsi="Cambria Math"/>
          <w:sz w:val="23"/>
          <w:szCs w:val="23"/>
          <w:rtl/>
        </w:rPr>
        <w:softHyphen/>
        <w:t>ی جاری و یا طول دوره</w:t>
      </w:r>
      <w:r w:rsidRPr="00A309A0">
        <w:rPr>
          <w:rFonts w:ascii="Cambria Math" w:hAnsi="Cambria Math"/>
          <w:sz w:val="23"/>
          <w:szCs w:val="23"/>
          <w:rtl/>
        </w:rPr>
        <w:softHyphen/>
        <w:t>ی زندگی کارگزار نمونه مورد بررسی</w:t>
      </w:r>
      <w:r w:rsidRPr="00A309A0">
        <w:rPr>
          <w:rFonts w:ascii="Cambria Math" w:hAnsi="Cambria Math" w:hint="cs"/>
          <w:sz w:val="23"/>
          <w:szCs w:val="23"/>
          <w:rtl/>
        </w:rPr>
        <w:t xml:space="preserve"> قرار داد</w:t>
      </w:r>
      <w:r w:rsidRPr="00A309A0">
        <w:rPr>
          <w:rFonts w:ascii="Cambria Math" w:hAnsi="Cambria Math"/>
          <w:sz w:val="23"/>
          <w:szCs w:val="23"/>
          <w:rtl/>
        </w:rPr>
        <w:t xml:space="preserve"> و پایداری</w:t>
      </w:r>
      <w:r w:rsidRPr="00A309A0">
        <w:rPr>
          <w:rStyle w:val="FootnoteReference"/>
          <w:rFonts w:ascii="Cambria Math" w:eastAsiaTheme="majorEastAsia" w:hAnsi="Cambria Math"/>
          <w:sz w:val="23"/>
          <w:szCs w:val="23"/>
          <w:rtl/>
        </w:rPr>
        <w:footnoteReference w:id="54"/>
      </w:r>
      <w:r w:rsidRPr="00A309A0">
        <w:rPr>
          <w:rFonts w:ascii="Cambria Math" w:hAnsi="Cambria Math"/>
          <w:sz w:val="23"/>
          <w:szCs w:val="23"/>
          <w:rtl/>
        </w:rPr>
        <w:t xml:space="preserve"> انتخاب</w:t>
      </w:r>
      <w:r w:rsidRPr="00A309A0">
        <w:rPr>
          <w:rFonts w:ascii="Cambria Math" w:hAnsi="Cambria Math"/>
          <w:sz w:val="23"/>
          <w:szCs w:val="23"/>
          <w:rtl/>
        </w:rPr>
        <w:softHyphen/>
      </w:r>
      <w:r w:rsidRPr="00A309A0">
        <w:rPr>
          <w:rFonts w:ascii="Cambria Math" w:hAnsi="Cambria Math" w:hint="cs"/>
          <w:sz w:val="23"/>
          <w:szCs w:val="23"/>
          <w:rtl/>
        </w:rPr>
        <w:t>های</w:t>
      </w:r>
      <w:r w:rsidRPr="00A309A0">
        <w:rPr>
          <w:rFonts w:ascii="Cambria Math" w:hAnsi="Cambria Math"/>
          <w:sz w:val="23"/>
          <w:szCs w:val="23"/>
          <w:rtl/>
        </w:rPr>
        <w:t xml:space="preserve"> خانوار را در بلندمدت ارزیابی </w:t>
      </w:r>
      <w:r w:rsidRPr="00A309A0">
        <w:rPr>
          <w:rFonts w:ascii="Cambria Math" w:hAnsi="Cambria Math" w:hint="cs"/>
          <w:sz w:val="23"/>
          <w:szCs w:val="23"/>
          <w:rtl/>
        </w:rPr>
        <w:t>نمود</w:t>
      </w:r>
      <w:r w:rsidRPr="00A309A0">
        <w:rPr>
          <w:rFonts w:ascii="Cambria Math" w:hAnsi="Cambria Math"/>
          <w:sz w:val="23"/>
          <w:szCs w:val="23"/>
          <w:rtl/>
        </w:rPr>
        <w:t xml:space="preserve">. </w:t>
      </w:r>
      <w:r w:rsidRPr="00A309A0">
        <w:rPr>
          <w:rFonts w:ascii="Cambria Math" w:hAnsi="Cambria Math" w:hint="cs"/>
          <w:sz w:val="23"/>
          <w:szCs w:val="23"/>
          <w:rtl/>
        </w:rPr>
        <w:t>برای پاسخ به سؤال فوق</w:t>
      </w:r>
      <w:r w:rsidRPr="00A309A0">
        <w:rPr>
          <w:rFonts w:ascii="Cambria Math" w:hAnsi="Cambria Math"/>
          <w:sz w:val="23"/>
          <w:szCs w:val="23"/>
          <w:rtl/>
        </w:rPr>
        <w:t xml:space="preserve"> دو راه حل "قاعده</w:t>
      </w:r>
      <w:r w:rsidRPr="00A309A0">
        <w:rPr>
          <w:rFonts w:ascii="Cambria Math" w:hAnsi="Cambria Math"/>
          <w:sz w:val="23"/>
          <w:szCs w:val="23"/>
          <w:rtl/>
        </w:rPr>
        <w:softHyphen/>
      </w:r>
      <w:r w:rsidRPr="00A309A0">
        <w:rPr>
          <w:rFonts w:ascii="Cambria Math" w:hAnsi="Cambria Math" w:hint="cs"/>
          <w:sz w:val="23"/>
          <w:szCs w:val="23"/>
          <w:rtl/>
        </w:rPr>
        <w:t>ی</w:t>
      </w:r>
      <w:r w:rsidRPr="00A309A0">
        <w:rPr>
          <w:rFonts w:ascii="Cambria Math" w:hAnsi="Cambria Math"/>
          <w:sz w:val="23"/>
          <w:szCs w:val="23"/>
          <w:rtl/>
        </w:rPr>
        <w:t xml:space="preserve"> طلایی</w:t>
      </w:r>
      <w:r w:rsidRPr="00A309A0">
        <w:rPr>
          <w:rStyle w:val="FootnoteReference"/>
          <w:rFonts w:ascii="Cambria Math" w:eastAsiaTheme="majorEastAsia" w:hAnsi="Cambria Math"/>
          <w:sz w:val="23"/>
          <w:szCs w:val="23"/>
          <w:rtl/>
        </w:rPr>
        <w:footnoteReference w:id="55"/>
      </w:r>
      <w:r w:rsidRPr="00A309A0">
        <w:rPr>
          <w:rFonts w:ascii="Cambria Math" w:hAnsi="Cambria Math"/>
          <w:sz w:val="23"/>
          <w:szCs w:val="23"/>
          <w:rtl/>
        </w:rPr>
        <w:t>" و "راه حل بهینه</w:t>
      </w:r>
      <w:r w:rsidRPr="00A309A0">
        <w:rPr>
          <w:rStyle w:val="FootnoteReference"/>
          <w:rFonts w:ascii="Cambria Math" w:eastAsiaTheme="majorEastAsia" w:hAnsi="Cambria Math"/>
          <w:sz w:val="23"/>
          <w:szCs w:val="23"/>
          <w:rtl/>
        </w:rPr>
        <w:footnoteReference w:id="56"/>
      </w:r>
      <w:r w:rsidRPr="00A309A0">
        <w:rPr>
          <w:rFonts w:ascii="Cambria Math" w:hAnsi="Cambria Math"/>
          <w:sz w:val="23"/>
          <w:szCs w:val="23"/>
          <w:rtl/>
        </w:rPr>
        <w:t xml:space="preserve">" را </w:t>
      </w:r>
      <w:r w:rsidRPr="00A309A0">
        <w:rPr>
          <w:rFonts w:ascii="Cambria Math" w:hAnsi="Cambria Math" w:hint="cs"/>
          <w:sz w:val="23"/>
          <w:szCs w:val="23"/>
          <w:rtl/>
        </w:rPr>
        <w:t>بررسی خواهیم کرد</w:t>
      </w:r>
      <w:r w:rsidRPr="00A309A0">
        <w:rPr>
          <w:rFonts w:ascii="Cambria Math" w:hAnsi="Cambria Math"/>
          <w:sz w:val="23"/>
          <w:szCs w:val="23"/>
          <w:rtl/>
        </w:rPr>
        <w:t>. در هر دو روش فرض می‌شود که هدف کارگزار نمونه یا برنامه</w:t>
      </w:r>
      <w:r w:rsidRPr="00A309A0">
        <w:rPr>
          <w:rFonts w:ascii="Cambria Math" w:hAnsi="Cambria Math"/>
          <w:sz w:val="23"/>
          <w:szCs w:val="23"/>
          <w:rtl/>
        </w:rPr>
        <w:softHyphen/>
        <w:t xml:space="preserve">ریز مرکزی به حداکثر رساندن مصرف، و یا مطلوبیت حاصل از مصرف است. تفاوت این دو راه حل فقط در نگرش به آینده </w:t>
      </w:r>
      <w:r w:rsidRPr="00A309A0">
        <w:rPr>
          <w:rFonts w:ascii="Cambria Math" w:hAnsi="Cambria Math" w:hint="cs"/>
          <w:sz w:val="23"/>
          <w:szCs w:val="23"/>
          <w:rtl/>
        </w:rPr>
        <w:t xml:space="preserve">وابسته </w:t>
      </w:r>
      <w:r w:rsidRPr="00A309A0">
        <w:rPr>
          <w:rFonts w:ascii="Cambria Math" w:hAnsi="Cambria Math"/>
          <w:sz w:val="23"/>
          <w:szCs w:val="23"/>
          <w:rtl/>
        </w:rPr>
        <w:t>است. در راه حل قاعده</w:t>
      </w:r>
      <w:r w:rsidRPr="00A309A0">
        <w:rPr>
          <w:rFonts w:ascii="Cambria Math" w:hAnsi="Cambria Math"/>
          <w:sz w:val="23"/>
          <w:szCs w:val="23"/>
          <w:rtl/>
        </w:rPr>
        <w:softHyphen/>
        <w:t>ی طلایی آینده تنزیل نمی</w:t>
      </w:r>
      <w:r w:rsidRPr="00A309A0">
        <w:rPr>
          <w:rFonts w:ascii="Cambria Math" w:hAnsi="Cambria Math"/>
          <w:sz w:val="23"/>
          <w:szCs w:val="23"/>
          <w:rtl/>
        </w:rPr>
        <w:softHyphen/>
        <w:t>شود</w:t>
      </w:r>
      <w:r w:rsidRPr="00A309A0">
        <w:rPr>
          <w:rFonts w:ascii="Cambria Math" w:hAnsi="Cambria Math" w:hint="cs"/>
          <w:sz w:val="23"/>
          <w:szCs w:val="23"/>
          <w:rtl/>
        </w:rPr>
        <w:t>،</w:t>
      </w:r>
      <w:r w:rsidRPr="00A309A0">
        <w:rPr>
          <w:rFonts w:ascii="Cambria Math" w:hAnsi="Cambria Math"/>
          <w:sz w:val="23"/>
          <w:szCs w:val="23"/>
          <w:rtl/>
        </w:rPr>
        <w:t xml:space="preserve"> درحالی</w:t>
      </w:r>
      <w:r w:rsidRPr="00A309A0">
        <w:rPr>
          <w:rFonts w:ascii="Cambria Math" w:hAnsi="Cambria Math"/>
          <w:sz w:val="23"/>
          <w:szCs w:val="23"/>
          <w:rtl/>
        </w:rPr>
        <w:softHyphen/>
        <w:t xml:space="preserve">که </w:t>
      </w:r>
      <w:r w:rsidRPr="00A309A0">
        <w:rPr>
          <w:rFonts w:ascii="Cambria Math" w:hAnsi="Cambria Math"/>
          <w:sz w:val="23"/>
          <w:szCs w:val="23"/>
          <w:rtl/>
        </w:rPr>
        <w:lastRenderedPageBreak/>
        <w:t>در راه حل بهینه</w:t>
      </w:r>
      <w:r w:rsidRPr="00A309A0">
        <w:rPr>
          <w:rFonts w:ascii="Cambria Math" w:hAnsi="Cambria Math" w:hint="cs"/>
          <w:sz w:val="23"/>
          <w:szCs w:val="23"/>
          <w:rtl/>
        </w:rPr>
        <w:t>،</w:t>
      </w:r>
      <w:r w:rsidRPr="00A309A0">
        <w:rPr>
          <w:rFonts w:ascii="Cambria Math" w:hAnsi="Cambria Math"/>
          <w:sz w:val="23"/>
          <w:szCs w:val="23"/>
          <w:rtl/>
        </w:rPr>
        <w:t xml:space="preserve"> آینده تنزیل می</w:t>
      </w:r>
      <w:r w:rsidRPr="00A309A0">
        <w:rPr>
          <w:rFonts w:ascii="Cambria Math" w:hAnsi="Cambria Math"/>
          <w:sz w:val="23"/>
          <w:szCs w:val="23"/>
          <w:rtl/>
        </w:rPr>
        <w:softHyphen/>
        <w:t xml:space="preserve">شود. به راحتی نشان </w:t>
      </w:r>
      <w:r w:rsidRPr="00A309A0">
        <w:rPr>
          <w:rFonts w:ascii="Cambria Math" w:hAnsi="Cambria Math" w:hint="cs"/>
          <w:sz w:val="23"/>
          <w:szCs w:val="23"/>
          <w:rtl/>
        </w:rPr>
        <w:t xml:space="preserve">خواهیم </w:t>
      </w:r>
      <w:r w:rsidRPr="00A309A0">
        <w:rPr>
          <w:rFonts w:ascii="Cambria Math" w:hAnsi="Cambria Math"/>
          <w:sz w:val="23"/>
          <w:szCs w:val="23"/>
          <w:rtl/>
        </w:rPr>
        <w:t>داد که با اعمال شوک منفی</w:t>
      </w:r>
      <w:r w:rsidRPr="00A309A0">
        <w:rPr>
          <w:rFonts w:ascii="Cambria Math" w:hAnsi="Cambria Math" w:hint="cs"/>
          <w:sz w:val="23"/>
          <w:szCs w:val="23"/>
          <w:rtl/>
        </w:rPr>
        <w:t>،</w:t>
      </w:r>
      <w:r w:rsidRPr="00A309A0">
        <w:rPr>
          <w:rFonts w:ascii="Cambria Math" w:hAnsi="Cambria Math"/>
          <w:sz w:val="23"/>
          <w:szCs w:val="23"/>
          <w:rtl/>
        </w:rPr>
        <w:t xml:space="preserve"> راه حل قاعده</w:t>
      </w:r>
      <w:r w:rsidRPr="00A309A0">
        <w:rPr>
          <w:rFonts w:ascii="Cambria Math" w:hAnsi="Cambria Math"/>
          <w:sz w:val="23"/>
          <w:szCs w:val="23"/>
          <w:rtl/>
        </w:rPr>
        <w:softHyphen/>
        <w:t>ی طلایی پایدار نیست</w:t>
      </w:r>
      <w:r w:rsidRPr="00A309A0">
        <w:rPr>
          <w:rFonts w:ascii="Cambria Math" w:hAnsi="Cambria Math" w:hint="cs"/>
          <w:sz w:val="23"/>
          <w:szCs w:val="23"/>
          <w:rtl/>
        </w:rPr>
        <w:t>،</w:t>
      </w:r>
      <w:r w:rsidRPr="00A309A0">
        <w:rPr>
          <w:rFonts w:ascii="Cambria Math" w:hAnsi="Cambria Math"/>
          <w:sz w:val="23"/>
          <w:szCs w:val="23"/>
          <w:rtl/>
        </w:rPr>
        <w:t xml:space="preserve"> لیکن با اعمال همان شوک منفی، راه حل بهینه پایدار </w:t>
      </w:r>
      <w:r w:rsidRPr="00A309A0">
        <w:rPr>
          <w:rFonts w:ascii="Cambria Math" w:hAnsi="Cambria Math" w:hint="cs"/>
          <w:sz w:val="23"/>
          <w:szCs w:val="23"/>
          <w:rtl/>
        </w:rPr>
        <w:t>خواهد بود</w:t>
      </w:r>
      <w:r w:rsidRPr="00A309A0">
        <w:rPr>
          <w:rFonts w:ascii="Cambria Math" w:hAnsi="Cambria Math"/>
          <w:sz w:val="23"/>
          <w:szCs w:val="23"/>
          <w:rtl/>
        </w:rPr>
        <w:t xml:space="preserve">. </w:t>
      </w:r>
    </w:p>
    <w:p w14:paraId="3366DB8B" w14:textId="77777777" w:rsidR="00411620" w:rsidRPr="00A309A0" w:rsidRDefault="00411620" w:rsidP="00411620">
      <w:pPr>
        <w:spacing w:line="216" w:lineRule="auto"/>
        <w:rPr>
          <w:rFonts w:ascii="Cambria Math" w:hAnsi="Cambria Math"/>
          <w:sz w:val="23"/>
          <w:szCs w:val="23"/>
          <w:rtl/>
        </w:rPr>
      </w:pPr>
    </w:p>
    <w:p w14:paraId="0C0129DB" w14:textId="77777777" w:rsidR="00411620" w:rsidRPr="00A309A0" w:rsidRDefault="00411620" w:rsidP="00411620">
      <w:pPr>
        <w:pStyle w:val="Heading1"/>
        <w:spacing w:before="0" w:after="0" w:line="216" w:lineRule="auto"/>
        <w:rPr>
          <w:rFonts w:ascii="Cambria Math" w:hAnsi="Cambria Math" w:cs="B Nazanin"/>
          <w:sz w:val="23"/>
          <w:szCs w:val="23"/>
          <w:rtl/>
        </w:rPr>
      </w:pPr>
      <w:r w:rsidRPr="00A309A0">
        <w:rPr>
          <w:rFonts w:ascii="Cambria Math" w:hAnsi="Cambria Math" w:cs="B Nazanin" w:hint="cs"/>
          <w:sz w:val="23"/>
          <w:szCs w:val="23"/>
          <w:rtl/>
        </w:rPr>
        <w:t xml:space="preserve">۲. ۳ </w:t>
      </w:r>
      <w:r w:rsidRPr="00A309A0">
        <w:rPr>
          <w:rFonts w:ascii="Cambria Math" w:hAnsi="Cambria Math" w:cs="B Nazanin"/>
          <w:sz w:val="23"/>
          <w:szCs w:val="23"/>
          <w:rtl/>
        </w:rPr>
        <w:t>راه حل قاعده</w:t>
      </w:r>
      <w:r w:rsidRPr="00A309A0">
        <w:rPr>
          <w:rFonts w:ascii="Cambria Math" w:hAnsi="Cambria Math" w:cs="B Nazanin"/>
          <w:sz w:val="23"/>
          <w:szCs w:val="23"/>
          <w:rtl/>
        </w:rPr>
        <w:softHyphen/>
      </w:r>
      <w:r w:rsidRPr="00A309A0">
        <w:rPr>
          <w:rFonts w:ascii="Cambria Math" w:hAnsi="Cambria Math" w:cs="B Nazanin" w:hint="cs"/>
          <w:sz w:val="23"/>
          <w:szCs w:val="23"/>
          <w:rtl/>
        </w:rPr>
        <w:t>ی</w:t>
      </w:r>
      <w:r w:rsidRPr="00A309A0">
        <w:rPr>
          <w:rFonts w:ascii="Cambria Math" w:hAnsi="Cambria Math" w:cs="B Nazanin"/>
          <w:sz w:val="23"/>
          <w:szCs w:val="23"/>
          <w:rtl/>
        </w:rPr>
        <w:t xml:space="preserve"> طلایی </w:t>
      </w:r>
    </w:p>
    <w:p w14:paraId="23AF7F8A" w14:textId="77777777" w:rsidR="00411620" w:rsidRPr="00A309A0" w:rsidRDefault="00411620" w:rsidP="00411620">
      <w:pPr>
        <w:spacing w:line="216" w:lineRule="auto"/>
        <w:rPr>
          <w:rFonts w:ascii="Cambria Math" w:hAnsi="Cambria Math"/>
          <w:sz w:val="23"/>
          <w:szCs w:val="23"/>
        </w:rPr>
      </w:pPr>
      <w:r w:rsidRPr="00A309A0">
        <w:rPr>
          <w:rFonts w:ascii="Cambria Math" w:hAnsi="Cambria Math"/>
          <w:sz w:val="23"/>
          <w:szCs w:val="23"/>
          <w:rtl/>
        </w:rPr>
        <w:t xml:space="preserve">در روش </w:t>
      </w:r>
      <w:r w:rsidRPr="00A309A0">
        <w:rPr>
          <w:rFonts w:ascii="Cambria Math" w:hAnsi="Cambria Math" w:hint="cs"/>
          <w:sz w:val="23"/>
          <w:szCs w:val="23"/>
          <w:rtl/>
        </w:rPr>
        <w:t>راه حل قاعده</w:t>
      </w:r>
      <w:r w:rsidRPr="00A309A0">
        <w:rPr>
          <w:rFonts w:ascii="Cambria Math" w:hAnsi="Cambria Math"/>
          <w:sz w:val="23"/>
          <w:szCs w:val="23"/>
          <w:rtl/>
        </w:rPr>
        <w:softHyphen/>
      </w:r>
      <w:r w:rsidRPr="00A309A0">
        <w:rPr>
          <w:rFonts w:ascii="Cambria Math" w:hAnsi="Cambria Math" w:hint="cs"/>
          <w:sz w:val="23"/>
          <w:szCs w:val="23"/>
          <w:rtl/>
        </w:rPr>
        <w:t xml:space="preserve">ی طلایی </w:t>
      </w:r>
      <w:r w:rsidRPr="00A309A0">
        <w:rPr>
          <w:rFonts w:ascii="Cambria Math" w:hAnsi="Cambria Math"/>
          <w:sz w:val="23"/>
          <w:szCs w:val="23"/>
          <w:rtl/>
        </w:rPr>
        <w:t>مصرف در زمان</w:t>
      </w:r>
      <w:r w:rsidRPr="00B92922">
        <w:rPr>
          <w:position w:val="-6"/>
        </w:rPr>
        <w:object w:dxaOrig="139" w:dyaOrig="240" w14:anchorId="14B2BE65">
          <v:shape id="_x0000_i1058" type="#_x0000_t75" style="width:6.65pt;height:12.1pt" o:ole="">
            <v:imagedata r:id="rId75" o:title=""/>
          </v:shape>
          <o:OLEObject Type="Embed" ProgID="Equation.DSMT4" ShapeID="_x0000_i1058" DrawAspect="Content" ObjectID="_1791375002" r:id="rId76"/>
        </w:object>
      </w:r>
      <w:r w:rsidRPr="00A309A0">
        <w:rPr>
          <w:rFonts w:ascii="Cambria Math" w:hAnsi="Cambria Math"/>
          <w:sz w:val="23"/>
          <w:szCs w:val="23"/>
          <w:rtl/>
        </w:rPr>
        <w:t xml:space="preserve"> حداکثر </w:t>
      </w:r>
      <w:r w:rsidRPr="00A309A0">
        <w:rPr>
          <w:rFonts w:ascii="Cambria Math" w:hAnsi="Cambria Math" w:hint="cs"/>
          <w:sz w:val="23"/>
          <w:szCs w:val="23"/>
          <w:rtl/>
        </w:rPr>
        <w:t>می</w:t>
      </w:r>
      <w:r w:rsidRPr="00A309A0">
        <w:rPr>
          <w:rFonts w:ascii="Cambria Math" w:hAnsi="Cambria Math"/>
          <w:sz w:val="23"/>
          <w:szCs w:val="23"/>
          <w:rtl/>
        </w:rPr>
        <w:softHyphen/>
      </w:r>
      <w:r w:rsidRPr="00A309A0">
        <w:rPr>
          <w:rFonts w:ascii="Cambria Math" w:hAnsi="Cambria Math" w:hint="cs"/>
          <w:sz w:val="23"/>
          <w:szCs w:val="23"/>
          <w:rtl/>
        </w:rPr>
        <w:t xml:space="preserve">شود </w:t>
      </w:r>
      <w:r w:rsidRPr="00A309A0">
        <w:rPr>
          <w:rFonts w:ascii="Cambria Math" w:hAnsi="Cambria Math"/>
          <w:sz w:val="23"/>
          <w:szCs w:val="23"/>
          <w:rtl/>
        </w:rPr>
        <w:t>که با حداکثر کردن مطلوبیت حاصل از مصرف</w:t>
      </w:r>
      <w:r w:rsidRPr="00A309A0">
        <w:rPr>
          <w:rFonts w:ascii="Cambria Math" w:hAnsi="Cambria Math" w:hint="cs"/>
          <w:sz w:val="23"/>
          <w:szCs w:val="23"/>
          <w:rtl/>
        </w:rPr>
        <w:t xml:space="preserve"> یا</w:t>
      </w:r>
      <w:r w:rsidRPr="00B92922">
        <w:rPr>
          <w:position w:val="-12"/>
        </w:rPr>
        <w:object w:dxaOrig="580" w:dyaOrig="360" w14:anchorId="283EF2F2">
          <v:shape id="_x0000_i1059" type="#_x0000_t75" style="width:29.05pt;height:18.15pt" o:ole="">
            <v:imagedata r:id="rId77" o:title=""/>
          </v:shape>
          <o:OLEObject Type="Embed" ProgID="Equation.DSMT4" ShapeID="_x0000_i1059" DrawAspect="Content" ObjectID="_1791375003" r:id="rId78"/>
        </w:object>
      </w:r>
      <w:r w:rsidRPr="00A309A0">
        <w:rPr>
          <w:rFonts w:ascii="Cambria Math" w:hAnsi="Cambria Math" w:hint="cs"/>
          <w:sz w:val="23"/>
          <w:szCs w:val="23"/>
          <w:rtl/>
        </w:rPr>
        <w:t xml:space="preserve"> </w:t>
      </w:r>
      <w:r w:rsidRPr="00A309A0">
        <w:rPr>
          <w:rFonts w:ascii="Cambria Math" w:hAnsi="Cambria Math"/>
          <w:sz w:val="23"/>
          <w:szCs w:val="23"/>
          <w:rtl/>
        </w:rPr>
        <w:t>متناظر است. با توجه به قید منبع</w:t>
      </w:r>
      <w:r w:rsidRPr="00A309A0">
        <w:rPr>
          <w:rFonts w:ascii="Cambria Math" w:hAnsi="Cambria Math" w:hint="cs"/>
          <w:sz w:val="23"/>
          <w:szCs w:val="23"/>
          <w:rtl/>
        </w:rPr>
        <w:t xml:space="preserve"> اقتصاد</w:t>
      </w:r>
      <w:r w:rsidRPr="00A309A0">
        <w:rPr>
          <w:rFonts w:ascii="Cambria Math" w:hAnsi="Cambria Math"/>
          <w:sz w:val="23"/>
          <w:szCs w:val="23"/>
          <w:rtl/>
        </w:rPr>
        <w:t xml:space="preserve"> </w:t>
      </w:r>
      <w:r w:rsidRPr="00A309A0">
        <w:rPr>
          <w:rFonts w:ascii="Cambria Math" w:hAnsi="Cambria Math" w:hint="cs"/>
          <w:sz w:val="23"/>
          <w:szCs w:val="23"/>
          <w:rtl/>
        </w:rPr>
        <w:t>(۲. ۴)</w:t>
      </w:r>
      <w:r w:rsidRPr="00A309A0">
        <w:rPr>
          <w:rFonts w:ascii="Cambria Math" w:hAnsi="Cambria Math"/>
          <w:sz w:val="23"/>
          <w:szCs w:val="23"/>
          <w:rtl/>
        </w:rPr>
        <w:t xml:space="preserve"> خواهیم داش</w:t>
      </w:r>
      <w:r w:rsidRPr="00A309A0">
        <w:rPr>
          <w:rFonts w:ascii="Cambria Math" w:hAnsi="Cambria Math" w:hint="cs"/>
          <w:sz w:val="23"/>
          <w:szCs w:val="23"/>
          <w:rtl/>
        </w:rPr>
        <w:t>ت؛</w:t>
      </w:r>
      <w:r w:rsidRPr="00A309A0">
        <w:rPr>
          <w:rFonts w:ascii="Cambria Math" w:hAnsi="Cambria Math"/>
          <w:sz w:val="23"/>
          <w:szCs w:val="23"/>
          <w:rtl/>
        </w:rPr>
        <w:t xml:space="preserve"> </w:t>
      </w:r>
    </w:p>
    <w:p w14:paraId="1EBCA7D4" w14:textId="77777777" w:rsidR="00411620" w:rsidRPr="00A309A0" w:rsidRDefault="00411620" w:rsidP="00411620">
      <w:pPr>
        <w:bidi w:val="0"/>
        <w:spacing w:line="216" w:lineRule="auto"/>
        <w:rPr>
          <w:rFonts w:ascii="Cambria Math" w:hAnsi="Cambria Math"/>
          <w:sz w:val="23"/>
          <w:szCs w:val="23"/>
          <w:rtl/>
        </w:rPr>
      </w:pPr>
      <w:r w:rsidRPr="00B92922">
        <w:rPr>
          <w:position w:val="-12"/>
        </w:rPr>
        <w:object w:dxaOrig="2439" w:dyaOrig="360" w14:anchorId="11FB07FB">
          <v:shape id="_x0000_i1060" type="#_x0000_t75" style="width:121.6pt;height:18.15pt" o:ole="">
            <v:imagedata r:id="rId79" o:title=""/>
          </v:shape>
          <o:OLEObject Type="Embed" ProgID="Equation.DSMT4" ShapeID="_x0000_i1060" DrawAspect="Content" ObjectID="_1791375004" r:id="rId80"/>
        </w:object>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Pr>
          <w:rFonts w:ascii="Cambria Math" w:hAnsi="Cambria Math"/>
          <w:sz w:val="23"/>
          <w:szCs w:val="23"/>
          <w:rtl/>
        </w:rPr>
        <w:tab/>
      </w:r>
      <w:r>
        <w:rPr>
          <w:rFonts w:ascii="Cambria Math" w:hAnsi="Cambria Math"/>
          <w:sz w:val="23"/>
          <w:szCs w:val="23"/>
        </w:rPr>
        <w:tab/>
      </w:r>
      <w:r>
        <w:rPr>
          <w:rFonts w:ascii="Cambria Math" w:hAnsi="Cambria Math"/>
          <w:sz w:val="23"/>
          <w:szCs w:val="23"/>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hint="cs"/>
          <w:sz w:val="23"/>
          <w:szCs w:val="23"/>
          <w:rtl/>
        </w:rPr>
        <w:t>(۲. ۵)</w:t>
      </w:r>
    </w:p>
    <w:p w14:paraId="467F298F"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 xml:space="preserve"> برای به حداکثر رساندن مصرف</w:t>
      </w:r>
      <w:r w:rsidRPr="00A309A0">
        <w:rPr>
          <w:rFonts w:ascii="Cambria Math" w:eastAsiaTheme="minorEastAsia" w:hAnsi="Cambria Math"/>
          <w:sz w:val="23"/>
          <w:szCs w:val="23"/>
          <w:rtl/>
        </w:rPr>
        <w:t xml:space="preserve"> در زمان</w:t>
      </w:r>
      <w:r w:rsidRPr="00B92922">
        <w:rPr>
          <w:position w:val="-6"/>
        </w:rPr>
        <w:object w:dxaOrig="139" w:dyaOrig="240" w14:anchorId="666DE865">
          <v:shape id="_x0000_i1061" type="#_x0000_t75" style="width:6.65pt;height:12.1pt" o:ole="">
            <v:imagedata r:id="rId81" o:title=""/>
          </v:shape>
          <o:OLEObject Type="Embed" ProgID="Equation.DSMT4" ShapeID="_x0000_i1061" DrawAspect="Content" ObjectID="_1791375005" r:id="rId82"/>
        </w:object>
      </w:r>
      <w:r w:rsidRPr="00A309A0">
        <w:rPr>
          <w:rFonts w:ascii="Cambria Math" w:hAnsi="Cambria Math"/>
          <w:sz w:val="23"/>
          <w:szCs w:val="23"/>
          <w:rtl/>
        </w:rPr>
        <w:t xml:space="preserve"> یا</w:t>
      </w:r>
      <w:r w:rsidRPr="00B92922">
        <w:rPr>
          <w:position w:val="-10"/>
        </w:rPr>
        <w:object w:dxaOrig="200" w:dyaOrig="320" w14:anchorId="21795E15">
          <v:shape id="_x0000_i1062" type="#_x0000_t75" style="width:10.3pt;height:15.75pt" o:ole="">
            <v:imagedata r:id="rId83" o:title=""/>
          </v:shape>
          <o:OLEObject Type="Embed" ProgID="Equation.DSMT4" ShapeID="_x0000_i1062" DrawAspect="Content" ObjectID="_1791375006" r:id="rId84"/>
        </w:object>
      </w:r>
      <w:r w:rsidRPr="00A309A0">
        <w:rPr>
          <w:rFonts w:ascii="Cambria Math" w:eastAsiaTheme="minorEastAsia" w:hAnsi="Cambria Math"/>
          <w:sz w:val="23"/>
          <w:szCs w:val="23"/>
          <w:rtl/>
        </w:rPr>
        <w:t xml:space="preserve"> </w:t>
      </w:r>
      <w:r w:rsidRPr="00A309A0">
        <w:rPr>
          <w:rFonts w:ascii="Cambria Math" w:hAnsi="Cambria Math"/>
          <w:sz w:val="23"/>
          <w:szCs w:val="23"/>
          <w:rtl/>
        </w:rPr>
        <w:t>در رابطه</w:t>
      </w:r>
      <w:r w:rsidRPr="00A309A0">
        <w:rPr>
          <w:rFonts w:ascii="Cambria Math" w:hAnsi="Cambria Math"/>
          <w:sz w:val="23"/>
          <w:szCs w:val="23"/>
          <w:rtl/>
        </w:rPr>
        <w:softHyphen/>
        <w:t xml:space="preserve">ی </w:t>
      </w:r>
      <w:r w:rsidRPr="00A309A0">
        <w:rPr>
          <w:rFonts w:ascii="Cambria Math" w:hAnsi="Cambria Math" w:hint="cs"/>
          <w:sz w:val="23"/>
          <w:szCs w:val="23"/>
          <w:rtl/>
        </w:rPr>
        <w:t>(۲ .۵)</w:t>
      </w:r>
      <w:r w:rsidRPr="00A309A0">
        <w:rPr>
          <w:rFonts w:ascii="Cambria Math" w:eastAsiaTheme="minorEastAsia" w:hAnsi="Cambria Math"/>
          <w:sz w:val="23"/>
          <w:szCs w:val="23"/>
          <w:rtl/>
        </w:rPr>
        <w:t xml:space="preserve"> </w:t>
      </w:r>
      <w:r w:rsidRPr="00A309A0">
        <w:rPr>
          <w:rFonts w:ascii="Cambria Math" w:hAnsi="Cambria Math"/>
          <w:sz w:val="23"/>
          <w:szCs w:val="23"/>
          <w:rtl/>
        </w:rPr>
        <w:t>می</w:t>
      </w:r>
      <w:r w:rsidRPr="00A309A0">
        <w:rPr>
          <w:rFonts w:ascii="Cambria Math" w:hAnsi="Cambria Math"/>
          <w:sz w:val="23"/>
          <w:szCs w:val="23"/>
          <w:rtl/>
        </w:rPr>
        <w:softHyphen/>
        <w:t>بایست کل تولید جاری</w:t>
      </w:r>
      <w:r w:rsidRPr="00A309A0">
        <w:rPr>
          <w:rFonts w:ascii="Cambria Math" w:hAnsi="Cambria Math" w:hint="cs"/>
          <w:sz w:val="23"/>
          <w:szCs w:val="23"/>
          <w:rtl/>
        </w:rPr>
        <w:t xml:space="preserve"> یعنی</w:t>
      </w:r>
      <w:r w:rsidRPr="00A309A0">
        <w:rPr>
          <w:rFonts w:ascii="Cambria Math" w:hAnsi="Cambria Math"/>
          <w:sz w:val="23"/>
          <w:szCs w:val="23"/>
          <w:rtl/>
        </w:rPr>
        <w:t xml:space="preserve"> </w:t>
      </w:r>
      <w:r w:rsidRPr="00B92922">
        <w:rPr>
          <w:position w:val="-12"/>
        </w:rPr>
        <w:object w:dxaOrig="600" w:dyaOrig="360" w14:anchorId="481B1AFA">
          <v:shape id="_x0000_i1063" type="#_x0000_t75" style="width:29.65pt;height:18.15pt" o:ole="">
            <v:imagedata r:id="rId85" o:title=""/>
          </v:shape>
          <o:OLEObject Type="Embed" ProgID="Equation.DSMT4" ShapeID="_x0000_i1063" DrawAspect="Content" ObjectID="_1791375007" r:id="rId86"/>
        </w:object>
      </w:r>
      <w:r w:rsidRPr="00A309A0">
        <w:rPr>
          <w:rFonts w:ascii="Cambria Math" w:hAnsi="Cambria Math" w:hint="cs"/>
          <w:sz w:val="23"/>
          <w:szCs w:val="23"/>
          <w:rtl/>
        </w:rPr>
        <w:t xml:space="preserve"> </w:t>
      </w:r>
      <w:r w:rsidRPr="00A309A0">
        <w:rPr>
          <w:rFonts w:ascii="Cambria Math" w:hAnsi="Cambria Math"/>
          <w:sz w:val="23"/>
          <w:szCs w:val="23"/>
          <w:rtl/>
        </w:rPr>
        <w:t xml:space="preserve">بانضمام </w:t>
      </w:r>
      <w:r w:rsidRPr="00A309A0">
        <w:rPr>
          <w:rFonts w:ascii="Cambria Math" w:hAnsi="Cambria Math" w:hint="cs"/>
          <w:sz w:val="23"/>
          <w:szCs w:val="23"/>
          <w:rtl/>
        </w:rPr>
        <w:t xml:space="preserve">موجودی </w:t>
      </w:r>
      <w:r w:rsidRPr="00A309A0">
        <w:rPr>
          <w:rFonts w:ascii="Cambria Math" w:hAnsi="Cambria Math"/>
          <w:sz w:val="23"/>
          <w:szCs w:val="23"/>
          <w:rtl/>
        </w:rPr>
        <w:t>سرمایه</w:t>
      </w:r>
      <w:r w:rsidRPr="00A309A0">
        <w:rPr>
          <w:rFonts w:ascii="Cambria Math" w:hAnsi="Cambria Math"/>
          <w:sz w:val="23"/>
          <w:szCs w:val="23"/>
          <w:rtl/>
        </w:rPr>
        <w:softHyphen/>
        <w:t xml:space="preserve">ی </w:t>
      </w:r>
      <w:r w:rsidRPr="00A309A0">
        <w:rPr>
          <w:rFonts w:ascii="Cambria Math" w:hAnsi="Cambria Math" w:hint="cs"/>
          <w:sz w:val="23"/>
          <w:szCs w:val="23"/>
          <w:rtl/>
        </w:rPr>
        <w:t xml:space="preserve">پس از استهلاک </w:t>
      </w:r>
      <w:r w:rsidRPr="00A309A0">
        <w:rPr>
          <w:rFonts w:ascii="Cambria Math" w:hAnsi="Cambria Math"/>
          <w:sz w:val="23"/>
          <w:szCs w:val="23"/>
          <w:rtl/>
        </w:rPr>
        <w:t>در همان دوره یعنی</w:t>
      </w:r>
      <w:r w:rsidRPr="00B92922">
        <w:rPr>
          <w:position w:val="-12"/>
        </w:rPr>
        <w:object w:dxaOrig="820" w:dyaOrig="360" w14:anchorId="52E6D05F">
          <v:shape id="_x0000_i1064" type="#_x0000_t75" style="width:41.15pt;height:18.15pt" o:ole="">
            <v:imagedata r:id="rId87" o:title=""/>
          </v:shape>
          <o:OLEObject Type="Embed" ProgID="Equation.DSMT4" ShapeID="_x0000_i1064" DrawAspect="Content" ObjectID="_1791375008" r:id="rId88"/>
        </w:object>
      </w:r>
      <w:r w:rsidRPr="00A309A0">
        <w:rPr>
          <w:rFonts w:ascii="Cambria Math" w:eastAsiaTheme="minorEastAsia" w:hAnsi="Cambria Math"/>
          <w:sz w:val="23"/>
          <w:szCs w:val="23"/>
          <w:rtl/>
        </w:rPr>
        <w:t xml:space="preserve"> </w:t>
      </w:r>
      <w:r w:rsidRPr="00A309A0">
        <w:rPr>
          <w:rFonts w:ascii="Cambria Math" w:hAnsi="Cambria Math"/>
          <w:sz w:val="23"/>
          <w:szCs w:val="23"/>
          <w:rtl/>
        </w:rPr>
        <w:t xml:space="preserve">مصرف شود، و </w:t>
      </w:r>
      <w:r w:rsidRPr="00A309A0">
        <w:rPr>
          <w:rFonts w:ascii="Cambria Math" w:hAnsi="Cambria Math" w:hint="cs"/>
          <w:sz w:val="23"/>
          <w:szCs w:val="23"/>
          <w:rtl/>
        </w:rPr>
        <w:t xml:space="preserve">همچنین </w:t>
      </w:r>
      <w:r w:rsidRPr="00A309A0">
        <w:rPr>
          <w:rFonts w:ascii="Cambria Math" w:hAnsi="Cambria Math"/>
          <w:sz w:val="23"/>
          <w:szCs w:val="23"/>
          <w:rtl/>
        </w:rPr>
        <w:t>هیچ موجودی سرمایه</w:t>
      </w:r>
      <w:r w:rsidRPr="00A309A0">
        <w:rPr>
          <w:rFonts w:ascii="Cambria Math" w:hAnsi="Cambria Math"/>
          <w:sz w:val="23"/>
          <w:szCs w:val="23"/>
          <w:rtl/>
        </w:rPr>
        <w:softHyphen/>
      </w:r>
      <w:r w:rsidRPr="00A309A0">
        <w:rPr>
          <w:rFonts w:ascii="Cambria Math" w:hAnsi="Cambria Math" w:hint="cs"/>
          <w:sz w:val="23"/>
          <w:szCs w:val="23"/>
          <w:rtl/>
        </w:rPr>
        <w:t>ای</w:t>
      </w:r>
      <w:r w:rsidRPr="00A309A0">
        <w:rPr>
          <w:rFonts w:ascii="Cambria Math" w:hAnsi="Cambria Math"/>
          <w:sz w:val="23"/>
          <w:szCs w:val="23"/>
          <w:rtl/>
        </w:rPr>
        <w:t xml:space="preserve"> </w:t>
      </w:r>
      <w:r w:rsidRPr="00A309A0">
        <w:rPr>
          <w:rFonts w:ascii="Cambria Math" w:hAnsi="Cambria Math" w:hint="cs"/>
          <w:sz w:val="23"/>
          <w:szCs w:val="23"/>
          <w:rtl/>
        </w:rPr>
        <w:t>برای</w:t>
      </w:r>
      <w:r w:rsidRPr="00A309A0">
        <w:rPr>
          <w:rFonts w:ascii="Cambria Math" w:hAnsi="Cambria Math"/>
          <w:sz w:val="23"/>
          <w:szCs w:val="23"/>
          <w:rtl/>
        </w:rPr>
        <w:t xml:space="preserve"> دوره</w:t>
      </w:r>
      <w:r w:rsidRPr="00A309A0">
        <w:rPr>
          <w:rFonts w:ascii="Cambria Math" w:hAnsi="Cambria Math"/>
          <w:sz w:val="23"/>
          <w:szCs w:val="23"/>
          <w:rtl/>
        </w:rPr>
        <w:softHyphen/>
        <w:t>ی بعد باقی نماند به</w:t>
      </w:r>
      <w:r w:rsidRPr="00A309A0">
        <w:rPr>
          <w:rFonts w:ascii="Cambria Math" w:hAnsi="Cambria Math"/>
          <w:sz w:val="23"/>
          <w:szCs w:val="23"/>
          <w:rtl/>
        </w:rPr>
        <w:softHyphen/>
        <w:t>طوری</w:t>
      </w:r>
      <w:r w:rsidRPr="00A309A0">
        <w:rPr>
          <w:rFonts w:ascii="Cambria Math" w:hAnsi="Cambria Math"/>
          <w:sz w:val="23"/>
          <w:szCs w:val="23"/>
          <w:rtl/>
        </w:rPr>
        <w:softHyphen/>
        <w:t xml:space="preserve">که </w:t>
      </w:r>
      <w:r w:rsidRPr="00B92922">
        <w:rPr>
          <w:position w:val="-10"/>
        </w:rPr>
        <w:object w:dxaOrig="720" w:dyaOrig="320" w14:anchorId="7BD4A765">
          <v:shape id="_x0000_i1065" type="#_x0000_t75" style="width:36.3pt;height:15.75pt" o:ole="">
            <v:imagedata r:id="rId89" o:title=""/>
          </v:shape>
          <o:OLEObject Type="Embed" ProgID="Equation.DSMT4" ShapeID="_x0000_i1065" DrawAspect="Content" ObjectID="_1791375009" r:id="rId90"/>
        </w:object>
      </w:r>
      <w:r w:rsidRPr="00A309A0">
        <w:rPr>
          <w:rFonts w:ascii="Cambria Math" w:eastAsiaTheme="minorEastAsia" w:hAnsi="Cambria Math"/>
          <w:sz w:val="23"/>
          <w:szCs w:val="23"/>
          <w:rtl/>
        </w:rPr>
        <w:t xml:space="preserve"> باشد</w:t>
      </w:r>
      <w:r w:rsidRPr="00A309A0">
        <w:rPr>
          <w:rFonts w:ascii="Cambria Math" w:hAnsi="Cambria Math"/>
          <w:sz w:val="23"/>
          <w:szCs w:val="23"/>
          <w:rtl/>
        </w:rPr>
        <w:t>. از آنجا که تمام موجودی سرمایه</w:t>
      </w:r>
      <w:r w:rsidRPr="00A309A0">
        <w:rPr>
          <w:rFonts w:ascii="Cambria Math" w:hAnsi="Cambria Math"/>
          <w:sz w:val="23"/>
          <w:szCs w:val="23"/>
          <w:rtl/>
        </w:rPr>
        <w:softHyphen/>
        <w:t>ی دوره</w:t>
      </w:r>
      <w:r w:rsidRPr="00A309A0">
        <w:rPr>
          <w:rFonts w:ascii="Cambria Math" w:hAnsi="Cambria Math"/>
          <w:sz w:val="23"/>
          <w:szCs w:val="23"/>
          <w:rtl/>
        </w:rPr>
        <w:softHyphen/>
        <w:t>ی بعد مصرف می</w:t>
      </w:r>
      <w:r w:rsidRPr="00A309A0">
        <w:rPr>
          <w:rFonts w:ascii="Cambria Math" w:hAnsi="Cambria Math"/>
          <w:sz w:val="23"/>
          <w:szCs w:val="23"/>
          <w:rtl/>
        </w:rPr>
        <w:softHyphen/>
        <w:t>شود</w:t>
      </w:r>
      <w:r w:rsidRPr="00A309A0">
        <w:rPr>
          <w:rFonts w:ascii="Cambria Math" w:hAnsi="Cambria Math" w:hint="cs"/>
          <w:sz w:val="23"/>
          <w:szCs w:val="23"/>
          <w:rtl/>
        </w:rPr>
        <w:t>،</w:t>
      </w:r>
      <w:r w:rsidRPr="00A309A0">
        <w:rPr>
          <w:rFonts w:ascii="Cambria Math" w:hAnsi="Cambria Math"/>
          <w:sz w:val="23"/>
          <w:szCs w:val="23"/>
          <w:rtl/>
        </w:rPr>
        <w:t xml:space="preserve"> لذا سطح تولید در دوره</w:t>
      </w:r>
      <w:r w:rsidRPr="00A309A0">
        <w:rPr>
          <w:rFonts w:ascii="Cambria Math" w:hAnsi="Cambria Math"/>
          <w:sz w:val="23"/>
          <w:szCs w:val="23"/>
          <w:rtl/>
        </w:rPr>
        <w:softHyphen/>
        <w:t>ی بعد</w:t>
      </w:r>
      <w:r w:rsidRPr="00A309A0">
        <w:rPr>
          <w:rFonts w:ascii="Cambria Math" w:hAnsi="Cambria Math" w:hint="cs"/>
          <w:sz w:val="23"/>
          <w:szCs w:val="23"/>
          <w:rtl/>
        </w:rPr>
        <w:t>،</w:t>
      </w:r>
      <w:r w:rsidRPr="00A309A0">
        <w:rPr>
          <w:rFonts w:ascii="Cambria Math" w:hAnsi="Cambria Math"/>
          <w:sz w:val="23"/>
          <w:szCs w:val="23"/>
          <w:rtl/>
        </w:rPr>
        <w:t xml:space="preserve"> و به تبع آن مصرف دوره</w:t>
      </w:r>
      <w:r w:rsidRPr="00A309A0">
        <w:rPr>
          <w:rFonts w:ascii="Cambria Math" w:hAnsi="Cambria Math"/>
          <w:sz w:val="23"/>
          <w:szCs w:val="23"/>
          <w:rtl/>
        </w:rPr>
        <w:softHyphen/>
        <w:t xml:space="preserve">ی بعد برابر با صفر </w:t>
      </w:r>
      <w:r w:rsidRPr="00A309A0">
        <w:rPr>
          <w:rFonts w:ascii="Cambria Math" w:hAnsi="Cambria Math" w:hint="cs"/>
          <w:sz w:val="23"/>
          <w:szCs w:val="23"/>
          <w:rtl/>
        </w:rPr>
        <w:t>خواهد بود</w:t>
      </w:r>
      <w:r w:rsidRPr="00A309A0">
        <w:rPr>
          <w:rFonts w:ascii="Cambria Math" w:hAnsi="Cambria Math"/>
          <w:sz w:val="23"/>
          <w:szCs w:val="23"/>
          <w:rtl/>
        </w:rPr>
        <w:t>. این راه حل به وضوح ناپایدار است و فقط برای کارگزار نمونه</w:t>
      </w:r>
      <w:r w:rsidRPr="00A309A0">
        <w:rPr>
          <w:rFonts w:ascii="Cambria Math" w:hAnsi="Cambria Math"/>
          <w:sz w:val="23"/>
          <w:szCs w:val="23"/>
          <w:rtl/>
        </w:rPr>
        <w:softHyphen/>
        <w:t xml:space="preserve">ای قابل توجیه است که فاقد </w:t>
      </w:r>
      <w:r w:rsidRPr="00A309A0">
        <w:rPr>
          <w:rFonts w:ascii="Cambria Math" w:hAnsi="Cambria Math" w:hint="cs"/>
          <w:sz w:val="23"/>
          <w:szCs w:val="23"/>
          <w:rtl/>
        </w:rPr>
        <w:t xml:space="preserve">حیات و </w:t>
      </w:r>
      <w:r w:rsidRPr="00A309A0">
        <w:rPr>
          <w:rFonts w:ascii="Cambria Math" w:hAnsi="Cambria Math"/>
          <w:sz w:val="23"/>
          <w:szCs w:val="23"/>
          <w:rtl/>
        </w:rPr>
        <w:t>زندگی در دوره</w:t>
      </w:r>
      <w:r w:rsidRPr="00A309A0">
        <w:rPr>
          <w:rFonts w:ascii="Cambria Math" w:hAnsi="Cambria Math"/>
          <w:sz w:val="23"/>
          <w:szCs w:val="23"/>
          <w:rtl/>
        </w:rPr>
        <w:softHyphen/>
      </w:r>
      <w:r w:rsidRPr="00A309A0">
        <w:rPr>
          <w:rFonts w:ascii="Cambria Math" w:hAnsi="Cambria Math" w:hint="cs"/>
          <w:sz w:val="23"/>
          <w:szCs w:val="23"/>
          <w:rtl/>
        </w:rPr>
        <w:t>ها</w:t>
      </w:r>
      <w:r w:rsidRPr="00A309A0">
        <w:rPr>
          <w:rFonts w:ascii="Cambria Math" w:hAnsi="Cambria Math"/>
          <w:sz w:val="23"/>
          <w:szCs w:val="23"/>
          <w:rtl/>
        </w:rPr>
        <w:softHyphen/>
        <w:t>ی آتی است. بنابراین قید دیگری را ب</w:t>
      </w:r>
      <w:r w:rsidRPr="00A309A0">
        <w:rPr>
          <w:rFonts w:ascii="Cambria Math" w:hAnsi="Cambria Math" w:hint="cs"/>
          <w:sz w:val="23"/>
          <w:szCs w:val="23"/>
          <w:rtl/>
        </w:rPr>
        <w:t>دین مضمون</w:t>
      </w:r>
      <w:r w:rsidRPr="00A309A0">
        <w:rPr>
          <w:rFonts w:ascii="Cambria Math" w:hAnsi="Cambria Math"/>
          <w:sz w:val="23"/>
          <w:szCs w:val="23"/>
          <w:rtl/>
        </w:rPr>
        <w:t xml:space="preserve"> معرفی می‌کنیم</w:t>
      </w:r>
      <w:r w:rsidRPr="00A309A0">
        <w:rPr>
          <w:rFonts w:ascii="Cambria Math" w:hAnsi="Cambria Math" w:hint="cs"/>
          <w:sz w:val="23"/>
          <w:szCs w:val="23"/>
          <w:rtl/>
        </w:rPr>
        <w:t xml:space="preserve"> </w:t>
      </w:r>
      <w:r w:rsidRPr="00A309A0">
        <w:rPr>
          <w:rFonts w:ascii="Cambria Math" w:hAnsi="Cambria Math"/>
          <w:sz w:val="23"/>
          <w:szCs w:val="23"/>
          <w:rtl/>
        </w:rPr>
        <w:t>که در هر دوره، برای حفظ موجودی سرمایه به منظور تولید و مصرف در دوره</w:t>
      </w:r>
      <w:r w:rsidRPr="00A309A0">
        <w:rPr>
          <w:rFonts w:ascii="Cambria Math" w:hAnsi="Cambria Math"/>
          <w:sz w:val="23"/>
          <w:szCs w:val="23"/>
          <w:rtl/>
        </w:rPr>
        <w:softHyphen/>
      </w:r>
      <w:r w:rsidRPr="00A309A0">
        <w:rPr>
          <w:rFonts w:ascii="Cambria Math" w:hAnsi="Cambria Math" w:hint="cs"/>
          <w:sz w:val="23"/>
          <w:szCs w:val="23"/>
          <w:rtl/>
        </w:rPr>
        <w:t>ها</w:t>
      </w:r>
      <w:r w:rsidRPr="00A309A0">
        <w:rPr>
          <w:rFonts w:ascii="Cambria Math" w:hAnsi="Cambria Math"/>
          <w:sz w:val="23"/>
          <w:szCs w:val="23"/>
          <w:rtl/>
        </w:rPr>
        <w:t>ی آ</w:t>
      </w:r>
      <w:r w:rsidRPr="00A309A0">
        <w:rPr>
          <w:rFonts w:ascii="Cambria Math" w:hAnsi="Cambria Math" w:hint="cs"/>
          <w:sz w:val="23"/>
          <w:szCs w:val="23"/>
          <w:rtl/>
        </w:rPr>
        <w:t>تی</w:t>
      </w:r>
      <w:r w:rsidRPr="00A309A0">
        <w:rPr>
          <w:rFonts w:ascii="Cambria Math" w:hAnsi="Cambria Math"/>
          <w:sz w:val="23"/>
          <w:szCs w:val="23"/>
          <w:rtl/>
        </w:rPr>
        <w:t>، می</w:t>
      </w:r>
      <w:r w:rsidRPr="00A309A0">
        <w:rPr>
          <w:rFonts w:ascii="Cambria Math" w:hAnsi="Cambria Math"/>
          <w:sz w:val="23"/>
          <w:szCs w:val="23"/>
          <w:rtl/>
        </w:rPr>
        <w:softHyphen/>
        <w:t xml:space="preserve">بایست سرمایه‌گذاری جدیدی صورت گیرد. در واقع فرض می‌کنیم که هدف </w:t>
      </w:r>
      <w:r w:rsidRPr="00A309A0">
        <w:rPr>
          <w:rFonts w:ascii="Cambria Math" w:hAnsi="Cambria Math" w:hint="cs"/>
          <w:sz w:val="23"/>
          <w:szCs w:val="23"/>
          <w:rtl/>
        </w:rPr>
        <w:t xml:space="preserve">کارگزار نمونه در </w:t>
      </w:r>
      <w:r w:rsidRPr="00A309A0">
        <w:rPr>
          <w:rFonts w:ascii="Cambria Math" w:hAnsi="Cambria Math"/>
          <w:sz w:val="23"/>
          <w:szCs w:val="23"/>
          <w:rtl/>
        </w:rPr>
        <w:t xml:space="preserve">اقتصاد به حداکثر رساندن مصرف در هر دوره </w:t>
      </w:r>
      <w:r w:rsidRPr="00A309A0">
        <w:rPr>
          <w:rFonts w:ascii="Cambria Math" w:hAnsi="Cambria Math" w:hint="cs"/>
          <w:sz w:val="23"/>
          <w:szCs w:val="23"/>
          <w:rtl/>
        </w:rPr>
        <w:t>می</w:t>
      </w:r>
      <w:r w:rsidRPr="00A309A0">
        <w:rPr>
          <w:rFonts w:ascii="Cambria Math" w:hAnsi="Cambria Math"/>
          <w:sz w:val="23"/>
          <w:szCs w:val="23"/>
          <w:rtl/>
        </w:rPr>
        <w:softHyphen/>
      </w:r>
      <w:r w:rsidRPr="00A309A0">
        <w:rPr>
          <w:rFonts w:ascii="Cambria Math" w:hAnsi="Cambria Math" w:hint="cs"/>
          <w:sz w:val="23"/>
          <w:szCs w:val="23"/>
          <w:rtl/>
        </w:rPr>
        <w:t>باشد که برابر است با میزان مصرف حداکثر در بلندمدت، نه فقط مصرف در همان دوره</w:t>
      </w:r>
      <w:r w:rsidRPr="00A309A0">
        <w:rPr>
          <w:rFonts w:ascii="Cambria Math" w:hAnsi="Cambria Math"/>
          <w:sz w:val="23"/>
          <w:szCs w:val="23"/>
          <w:rtl/>
        </w:rPr>
        <w:t>. بنابراین مسئله</w:t>
      </w:r>
      <w:r w:rsidRPr="00A309A0">
        <w:rPr>
          <w:rFonts w:ascii="Cambria Math" w:hAnsi="Cambria Math"/>
          <w:sz w:val="23"/>
          <w:szCs w:val="23"/>
          <w:rtl/>
        </w:rPr>
        <w:softHyphen/>
      </w:r>
      <w:r w:rsidRPr="00A309A0">
        <w:rPr>
          <w:rFonts w:ascii="Cambria Math" w:hAnsi="Cambria Math" w:hint="cs"/>
          <w:sz w:val="23"/>
          <w:szCs w:val="23"/>
          <w:rtl/>
        </w:rPr>
        <w:t>ی</w:t>
      </w:r>
      <w:r w:rsidRPr="00A309A0">
        <w:rPr>
          <w:rFonts w:ascii="Cambria Math" w:hAnsi="Cambria Math"/>
          <w:sz w:val="23"/>
          <w:szCs w:val="23"/>
          <w:rtl/>
        </w:rPr>
        <w:t xml:space="preserve"> کارگزار نمونه از هدف بسیار کوتاه</w:t>
      </w:r>
      <w:r w:rsidRPr="00A309A0">
        <w:rPr>
          <w:rFonts w:ascii="Cambria Math" w:hAnsi="Cambria Math"/>
          <w:sz w:val="23"/>
          <w:szCs w:val="23"/>
          <w:rtl/>
        </w:rPr>
        <w:softHyphen/>
        <w:t>مدت به یک هدف بسیار بلند</w:t>
      </w:r>
      <w:r w:rsidRPr="00A309A0">
        <w:rPr>
          <w:rFonts w:ascii="Cambria Math" w:hAnsi="Cambria Math"/>
          <w:sz w:val="23"/>
          <w:szCs w:val="23"/>
          <w:rtl/>
        </w:rPr>
        <w:softHyphen/>
        <w:t>مدت تعدیل می</w:t>
      </w:r>
      <w:r w:rsidRPr="00A309A0">
        <w:rPr>
          <w:rFonts w:ascii="Cambria Math" w:hAnsi="Cambria Math"/>
          <w:sz w:val="23"/>
          <w:szCs w:val="23"/>
          <w:rtl/>
        </w:rPr>
        <w:softHyphen/>
        <w:t xml:space="preserve">شود. </w:t>
      </w:r>
    </w:p>
    <w:p w14:paraId="176A3FF9"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در بلند</w:t>
      </w:r>
      <w:r w:rsidRPr="00A309A0">
        <w:rPr>
          <w:rFonts w:ascii="Cambria Math" w:hAnsi="Cambria Math"/>
          <w:sz w:val="23"/>
          <w:szCs w:val="23"/>
          <w:rtl/>
        </w:rPr>
        <w:softHyphen/>
        <w:t>مدت اندیس</w:t>
      </w:r>
      <w:r w:rsidRPr="00A309A0">
        <w:rPr>
          <w:rFonts w:ascii="Cambria Math" w:hAnsi="Cambria Math"/>
          <w:sz w:val="23"/>
          <w:szCs w:val="23"/>
          <w:rtl/>
        </w:rPr>
        <w:softHyphen/>
        <w:t>های</w:t>
      </w:r>
      <w:r w:rsidRPr="00B92922">
        <w:rPr>
          <w:position w:val="-6"/>
        </w:rPr>
        <w:object w:dxaOrig="139" w:dyaOrig="240" w14:anchorId="2826DA8F">
          <v:shape id="_x0000_i1066" type="#_x0000_t75" style="width:6.65pt;height:12.1pt" o:ole="">
            <v:imagedata r:id="rId91" o:title=""/>
          </v:shape>
          <o:OLEObject Type="Embed" ProgID="Equation.DSMT4" ShapeID="_x0000_i1066" DrawAspect="Content" ObjectID="_1791375010" r:id="rId92"/>
        </w:object>
      </w:r>
      <w:r w:rsidRPr="00A309A0">
        <w:rPr>
          <w:rFonts w:ascii="Cambria Math" w:hAnsi="Cambria Math"/>
          <w:sz w:val="23"/>
          <w:szCs w:val="23"/>
        </w:rPr>
        <w:t xml:space="preserve"> </w:t>
      </w:r>
      <w:r w:rsidRPr="00A309A0">
        <w:rPr>
          <w:rFonts w:ascii="Cambria Math" w:hAnsi="Cambria Math"/>
          <w:sz w:val="23"/>
          <w:szCs w:val="23"/>
          <w:rtl/>
        </w:rPr>
        <w:t>را از متغیرهای موجود در اقتصاد حذف کرده</w:t>
      </w:r>
      <w:r w:rsidRPr="00A309A0">
        <w:rPr>
          <w:rFonts w:ascii="Cambria Math" w:hAnsi="Cambria Math" w:hint="cs"/>
          <w:sz w:val="23"/>
          <w:szCs w:val="23"/>
          <w:rtl/>
        </w:rPr>
        <w:t>،</w:t>
      </w:r>
      <w:r w:rsidRPr="00A309A0">
        <w:rPr>
          <w:rFonts w:ascii="Cambria Math" w:hAnsi="Cambria Math"/>
          <w:sz w:val="23"/>
          <w:szCs w:val="23"/>
          <w:rtl/>
        </w:rPr>
        <w:t xml:space="preserve"> و چو</w:t>
      </w:r>
      <w:r w:rsidRPr="00A309A0">
        <w:rPr>
          <w:rFonts w:ascii="Cambria Math" w:hAnsi="Cambria Math" w:hint="cs"/>
          <w:sz w:val="23"/>
          <w:szCs w:val="23"/>
          <w:rtl/>
        </w:rPr>
        <w:t>ن تعادل ایستا</w:t>
      </w:r>
      <w:r w:rsidRPr="00A309A0">
        <w:rPr>
          <w:rStyle w:val="FootnoteReference"/>
          <w:rFonts w:ascii="Cambria Math" w:hAnsi="Cambria Math"/>
          <w:sz w:val="23"/>
          <w:szCs w:val="23"/>
          <w:rtl/>
        </w:rPr>
        <w:footnoteReference w:id="57"/>
      </w:r>
      <w:r w:rsidRPr="00A309A0">
        <w:rPr>
          <w:rFonts w:ascii="Cambria Math" w:hAnsi="Cambria Math" w:hint="cs"/>
          <w:sz w:val="23"/>
          <w:szCs w:val="23"/>
          <w:rtl/>
        </w:rPr>
        <w:t xml:space="preserve"> در وضعیت </w:t>
      </w:r>
      <w:r w:rsidRPr="00A309A0">
        <w:rPr>
          <w:rFonts w:ascii="Cambria Math" w:hAnsi="Cambria Math"/>
          <w:sz w:val="23"/>
          <w:szCs w:val="23"/>
          <w:rtl/>
        </w:rPr>
        <w:t>یکنواخ</w:t>
      </w:r>
      <w:r w:rsidRPr="00A309A0">
        <w:rPr>
          <w:rFonts w:ascii="Cambria Math" w:hAnsi="Cambria Math" w:hint="cs"/>
          <w:sz w:val="23"/>
          <w:szCs w:val="23"/>
          <w:rtl/>
        </w:rPr>
        <w:t>ت</w:t>
      </w:r>
      <w:r w:rsidRPr="00A309A0">
        <w:rPr>
          <w:rStyle w:val="FootnoteReference"/>
          <w:rFonts w:ascii="Cambria Math" w:eastAsiaTheme="majorEastAsia" w:hAnsi="Cambria Math"/>
          <w:sz w:val="23"/>
          <w:szCs w:val="23"/>
          <w:rtl/>
        </w:rPr>
        <w:footnoteReference w:id="58"/>
      </w:r>
      <w:r w:rsidRPr="00A309A0">
        <w:rPr>
          <w:rFonts w:ascii="Cambria Math" w:hAnsi="Cambria Math"/>
          <w:sz w:val="23"/>
          <w:szCs w:val="23"/>
          <w:rtl/>
        </w:rPr>
        <w:t xml:space="preserve"> </w:t>
      </w:r>
      <w:r w:rsidRPr="00A309A0">
        <w:rPr>
          <w:rFonts w:ascii="Cambria Math" w:hAnsi="Cambria Math" w:hint="cs"/>
          <w:sz w:val="23"/>
          <w:szCs w:val="23"/>
          <w:rtl/>
        </w:rPr>
        <w:t xml:space="preserve">را </w:t>
      </w:r>
      <w:r w:rsidRPr="00A309A0">
        <w:rPr>
          <w:rFonts w:ascii="Cambria Math" w:hAnsi="Cambria Math"/>
          <w:sz w:val="23"/>
          <w:szCs w:val="23"/>
          <w:rtl/>
        </w:rPr>
        <w:t>بررسی می</w:t>
      </w:r>
      <w:r w:rsidRPr="00A309A0">
        <w:rPr>
          <w:rFonts w:ascii="Cambria Math" w:hAnsi="Cambria Math"/>
          <w:sz w:val="23"/>
          <w:szCs w:val="23"/>
          <w:rtl/>
        </w:rPr>
        <w:softHyphen/>
        <w:t>کنیم</w:t>
      </w:r>
      <w:r w:rsidRPr="00A309A0">
        <w:rPr>
          <w:rFonts w:ascii="Cambria Math" w:hAnsi="Cambria Math" w:hint="cs"/>
          <w:sz w:val="23"/>
          <w:szCs w:val="23"/>
          <w:rtl/>
        </w:rPr>
        <w:t>،</w:t>
      </w:r>
      <w:r w:rsidRPr="00A309A0">
        <w:rPr>
          <w:rFonts w:ascii="Cambria Math" w:hAnsi="Cambria Math"/>
          <w:sz w:val="23"/>
          <w:szCs w:val="23"/>
          <w:rtl/>
        </w:rPr>
        <w:t xml:space="preserve"> موجودی سرمایه </w:t>
      </w:r>
      <w:r w:rsidRPr="00A309A0">
        <w:rPr>
          <w:rFonts w:ascii="Cambria Math" w:hAnsi="Cambria Math" w:hint="cs"/>
          <w:sz w:val="23"/>
          <w:szCs w:val="23"/>
          <w:rtl/>
        </w:rPr>
        <w:t xml:space="preserve">در آن وضعیت </w:t>
      </w:r>
      <w:r w:rsidRPr="00A309A0">
        <w:rPr>
          <w:rFonts w:ascii="Cambria Math" w:hAnsi="Cambria Math"/>
          <w:sz w:val="23"/>
          <w:szCs w:val="23"/>
          <w:rtl/>
        </w:rPr>
        <w:t>ثابت خواهد بود</w:t>
      </w:r>
      <w:r w:rsidRPr="00A309A0">
        <w:rPr>
          <w:rFonts w:ascii="Cambria Math" w:hAnsi="Cambria Math" w:hint="cs"/>
          <w:sz w:val="23"/>
          <w:szCs w:val="23"/>
          <w:rtl/>
        </w:rPr>
        <w:t>،</w:t>
      </w:r>
      <w:r w:rsidRPr="00A309A0">
        <w:rPr>
          <w:rFonts w:ascii="Cambria Math" w:hAnsi="Cambria Math"/>
          <w:sz w:val="23"/>
          <w:szCs w:val="23"/>
          <w:rtl/>
        </w:rPr>
        <w:t xml:space="preserve"> یعنی</w:t>
      </w:r>
      <w:r w:rsidRPr="00B92922">
        <w:rPr>
          <w:position w:val="-10"/>
        </w:rPr>
        <w:object w:dxaOrig="1120" w:dyaOrig="320" w14:anchorId="759B6601">
          <v:shape id="_x0000_i1067" type="#_x0000_t75" style="width:56.25pt;height:15.75pt" o:ole="">
            <v:imagedata r:id="rId93" o:title=""/>
          </v:shape>
          <o:OLEObject Type="Embed" ProgID="Equation.DSMT4" ShapeID="_x0000_i1067" DrawAspect="Content" ObjectID="_1791375011" r:id="rId94"/>
        </w:object>
      </w:r>
      <w:r w:rsidRPr="00A309A0">
        <w:rPr>
          <w:rFonts w:ascii="Cambria Math" w:hAnsi="Cambria Math" w:hint="cs"/>
          <w:sz w:val="23"/>
          <w:szCs w:val="23"/>
          <w:rtl/>
        </w:rPr>
        <w:t xml:space="preserve"> است</w:t>
      </w:r>
      <w:r w:rsidRPr="00A309A0">
        <w:rPr>
          <w:rFonts w:ascii="Cambria Math" w:eastAsiaTheme="minorEastAsia" w:hAnsi="Cambria Math"/>
          <w:sz w:val="23"/>
          <w:szCs w:val="23"/>
          <w:rtl/>
          <w:lang w:val="en-GB"/>
        </w:rPr>
        <w:t xml:space="preserve">. </w:t>
      </w:r>
      <w:r w:rsidRPr="00A309A0">
        <w:rPr>
          <w:rFonts w:ascii="Cambria Math" w:eastAsiaTheme="minorEastAsia" w:hAnsi="Cambria Math" w:hint="cs"/>
          <w:sz w:val="23"/>
          <w:szCs w:val="23"/>
          <w:rtl/>
          <w:lang w:val="en-GB"/>
        </w:rPr>
        <w:t>لذا</w:t>
      </w:r>
      <w:r w:rsidRPr="00A309A0">
        <w:rPr>
          <w:rFonts w:ascii="Cambria Math" w:hAnsi="Cambria Math"/>
          <w:sz w:val="23"/>
          <w:szCs w:val="23"/>
          <w:rtl/>
        </w:rPr>
        <w:t xml:space="preserve"> از معادله</w:t>
      </w:r>
      <w:r w:rsidRPr="00A309A0">
        <w:rPr>
          <w:rFonts w:ascii="Cambria Math" w:hAnsi="Cambria Math"/>
          <w:sz w:val="23"/>
          <w:szCs w:val="23"/>
          <w:rtl/>
        </w:rPr>
        <w:softHyphen/>
      </w:r>
      <w:r w:rsidRPr="00A309A0">
        <w:rPr>
          <w:rFonts w:ascii="Cambria Math" w:hAnsi="Cambria Math" w:hint="cs"/>
          <w:sz w:val="23"/>
          <w:szCs w:val="23"/>
          <w:rtl/>
        </w:rPr>
        <w:t>ی (۲. ۵)</w:t>
      </w:r>
      <w:r w:rsidRPr="00A309A0">
        <w:rPr>
          <w:rFonts w:ascii="Cambria Math" w:eastAsiaTheme="minorEastAsia" w:hAnsi="Cambria Math"/>
          <w:sz w:val="23"/>
          <w:szCs w:val="23"/>
          <w:rtl/>
        </w:rPr>
        <w:t xml:space="preserve"> </w:t>
      </w:r>
      <w:r w:rsidRPr="00A309A0">
        <w:rPr>
          <w:rFonts w:ascii="Cambria Math" w:hAnsi="Cambria Math"/>
          <w:sz w:val="23"/>
          <w:szCs w:val="23"/>
          <w:rtl/>
        </w:rPr>
        <w:t>مصرف بلندمدت برابر خواهد بود با؛</w:t>
      </w:r>
    </w:p>
    <w:p w14:paraId="6224F1F2" w14:textId="77777777" w:rsidR="00411620" w:rsidRPr="00A309A0" w:rsidRDefault="00411620" w:rsidP="00411620">
      <w:pPr>
        <w:bidi w:val="0"/>
        <w:spacing w:line="216" w:lineRule="auto"/>
        <w:rPr>
          <w:rFonts w:ascii="Cambria Math" w:hAnsi="Cambria Math"/>
          <w:sz w:val="23"/>
          <w:szCs w:val="23"/>
          <w:rtl/>
        </w:rPr>
      </w:pPr>
      <w:r w:rsidRPr="00B92922">
        <w:rPr>
          <w:position w:val="-12"/>
        </w:rPr>
        <w:object w:dxaOrig="4180" w:dyaOrig="360" w14:anchorId="65A52E32">
          <v:shape id="_x0000_i1068" type="#_x0000_t75" style="width:209.35pt;height:18.15pt" o:ole="">
            <v:imagedata r:id="rId95" o:title=""/>
          </v:shape>
          <o:OLEObject Type="Embed" ProgID="Equation.DSMT4" ShapeID="_x0000_i1068" DrawAspect="Content" ObjectID="_1791375012" r:id="rId96"/>
        </w:object>
      </w:r>
      <w:r w:rsidRPr="00A309A0">
        <w:rPr>
          <w:rFonts w:ascii="Cambria Math" w:hAnsi="Cambria Math"/>
          <w:sz w:val="23"/>
          <w:szCs w:val="23"/>
        </w:rPr>
        <w:tab/>
      </w:r>
      <w:r w:rsidRPr="00A309A0">
        <w:rPr>
          <w:rFonts w:ascii="Cambria Math" w:hAnsi="Cambria Math"/>
          <w:sz w:val="23"/>
          <w:szCs w:val="23"/>
          <w:rtl/>
        </w:rPr>
        <w:tab/>
      </w:r>
      <w:r w:rsidRPr="00A309A0">
        <w:rPr>
          <w:rFonts w:ascii="Cambria Math" w:hAnsi="Cambria Math" w:hint="cs"/>
          <w:sz w:val="23"/>
          <w:szCs w:val="23"/>
        </w:rPr>
        <w:t xml:space="preserve"> </w:t>
      </w:r>
      <w:r w:rsidRPr="00A309A0">
        <w:rPr>
          <w:rFonts w:ascii="Cambria Math" w:hAnsi="Cambria Math" w:hint="cs"/>
          <w:sz w:val="23"/>
          <w:szCs w:val="23"/>
          <w:rtl/>
        </w:rPr>
        <w:tab/>
      </w:r>
      <w:r>
        <w:rPr>
          <w:rFonts w:ascii="Cambria Math" w:hAnsi="Cambria Math"/>
          <w:sz w:val="23"/>
          <w:szCs w:val="23"/>
        </w:rPr>
        <w:tab/>
      </w:r>
      <w:r>
        <w:rPr>
          <w:rFonts w:ascii="Cambria Math" w:hAnsi="Cambria Math"/>
          <w:sz w:val="23"/>
          <w:szCs w:val="23"/>
        </w:rPr>
        <w:tab/>
      </w:r>
      <w:r w:rsidRPr="00A309A0">
        <w:rPr>
          <w:rFonts w:ascii="Cambria Math" w:hAnsi="Cambria Math"/>
          <w:sz w:val="23"/>
          <w:szCs w:val="23"/>
        </w:rPr>
        <w:tab/>
      </w:r>
      <w:r>
        <w:rPr>
          <w:rFonts w:ascii="Cambria Math" w:hAnsi="Cambria Math"/>
          <w:sz w:val="23"/>
          <w:szCs w:val="23"/>
          <w:rtl/>
        </w:rPr>
        <w:tab/>
      </w:r>
      <w:r w:rsidRPr="00A309A0">
        <w:rPr>
          <w:rFonts w:ascii="Cambria Math" w:hAnsi="Cambria Math"/>
          <w:sz w:val="23"/>
          <w:szCs w:val="23"/>
          <w:rtl/>
        </w:rPr>
        <w:tab/>
      </w:r>
      <w:r w:rsidRPr="00A309A0">
        <w:rPr>
          <w:rFonts w:ascii="Cambria Math" w:hAnsi="Cambria Math" w:hint="cs"/>
          <w:sz w:val="23"/>
          <w:szCs w:val="23"/>
          <w:rtl/>
        </w:rPr>
        <w:t>(۲. ۶)</w:t>
      </w:r>
    </w:p>
    <w:p w14:paraId="3E62BD7C" w14:textId="77777777" w:rsidR="00411620" w:rsidRPr="00A309A0" w:rsidRDefault="00411620" w:rsidP="00411620">
      <w:pPr>
        <w:spacing w:line="216" w:lineRule="auto"/>
        <w:rPr>
          <w:rFonts w:ascii="Cambria Math" w:hAnsi="Cambria Math"/>
          <w:sz w:val="23"/>
          <w:szCs w:val="23"/>
          <w:rtl/>
          <w:lang w:val="en-GB"/>
        </w:rPr>
      </w:pPr>
      <w:r w:rsidRPr="00A309A0">
        <w:rPr>
          <w:rFonts w:ascii="Cambria Math" w:hAnsi="Cambria Math"/>
          <w:sz w:val="23"/>
          <w:szCs w:val="23"/>
          <w:rtl/>
        </w:rPr>
        <w:t xml:space="preserve">یعنی در بلندمدت مصرف برابر است با تولید منهای استهلاک موجودی سرمایه. </w:t>
      </w:r>
      <w:r w:rsidRPr="00A309A0">
        <w:rPr>
          <w:rFonts w:ascii="Cambria Math" w:hAnsi="Cambria Math" w:hint="cs"/>
          <w:sz w:val="23"/>
          <w:szCs w:val="23"/>
          <w:rtl/>
        </w:rPr>
        <w:t xml:space="preserve">همچنین به کمک </w:t>
      </w:r>
      <w:r w:rsidRPr="00A309A0">
        <w:rPr>
          <w:rFonts w:ascii="Cambria Math" w:hAnsi="Cambria Math"/>
          <w:sz w:val="23"/>
          <w:szCs w:val="23"/>
          <w:rtl/>
        </w:rPr>
        <w:t>رابطه</w:t>
      </w:r>
      <w:r w:rsidRPr="00A309A0">
        <w:rPr>
          <w:rFonts w:ascii="Cambria Math" w:hAnsi="Cambria Math"/>
          <w:sz w:val="23"/>
          <w:szCs w:val="23"/>
          <w:rtl/>
        </w:rPr>
        <w:softHyphen/>
        <w:t xml:space="preserve">ی </w:t>
      </w:r>
      <w:r w:rsidRPr="00A309A0">
        <w:rPr>
          <w:rFonts w:ascii="Cambria Math" w:hAnsi="Cambria Math" w:hint="cs"/>
          <w:sz w:val="23"/>
          <w:szCs w:val="23"/>
          <w:rtl/>
        </w:rPr>
        <w:t>(۲. ۳)</w:t>
      </w:r>
      <w:r w:rsidRPr="00A309A0">
        <w:rPr>
          <w:rFonts w:ascii="Cambria Math" w:hAnsi="Cambria Math"/>
          <w:sz w:val="23"/>
          <w:szCs w:val="23"/>
          <w:rtl/>
          <w:lang w:val="en-GB"/>
        </w:rPr>
        <w:t xml:space="preserve"> در بلندمدت داریم؛</w:t>
      </w:r>
    </w:p>
    <w:p w14:paraId="6D0C1F74" w14:textId="77777777" w:rsidR="00411620" w:rsidRPr="00A309A0" w:rsidRDefault="00411620" w:rsidP="00411620">
      <w:pPr>
        <w:bidi w:val="0"/>
        <w:spacing w:line="216" w:lineRule="auto"/>
        <w:rPr>
          <w:rFonts w:ascii="Cambria Math" w:eastAsiaTheme="minorEastAsia" w:hAnsi="Cambria Math"/>
          <w:sz w:val="23"/>
          <w:szCs w:val="23"/>
          <w:rtl/>
        </w:rPr>
      </w:pPr>
      <w:r w:rsidRPr="00B92922">
        <w:rPr>
          <w:position w:val="-10"/>
        </w:rPr>
        <w:object w:dxaOrig="2760" w:dyaOrig="320" w14:anchorId="0CEA1B7E">
          <v:shape id="_x0000_i1069" type="#_x0000_t75" style="width:137.95pt;height:15.75pt" o:ole="">
            <v:imagedata r:id="rId97" o:title=""/>
          </v:shape>
          <o:OLEObject Type="Embed" ProgID="Equation.DSMT4" ShapeID="_x0000_i1069" DrawAspect="Content" ObjectID="_1791375013" r:id="rId98"/>
        </w:object>
      </w:r>
    </w:p>
    <w:p w14:paraId="051F8414" w14:textId="77777777" w:rsidR="00411620" w:rsidRDefault="00411620" w:rsidP="00411620">
      <w:pPr>
        <w:spacing w:line="216" w:lineRule="auto"/>
        <w:rPr>
          <w:rFonts w:ascii="Cambria Math" w:eastAsiaTheme="minorEastAsia" w:hAnsi="Cambria Math"/>
          <w:sz w:val="23"/>
          <w:szCs w:val="23"/>
        </w:rPr>
      </w:pPr>
      <w:r w:rsidRPr="00A309A0">
        <w:rPr>
          <w:rFonts w:ascii="Cambria Math" w:eastAsiaTheme="minorEastAsia" w:hAnsi="Cambria Math" w:hint="cs"/>
          <w:sz w:val="23"/>
          <w:szCs w:val="23"/>
          <w:rtl/>
        </w:rPr>
        <w:t>همان</w:t>
      </w:r>
      <w:r w:rsidRPr="00A309A0">
        <w:rPr>
          <w:rFonts w:ascii="Cambria Math" w:eastAsiaTheme="minorEastAsia" w:hAnsi="Cambria Math"/>
          <w:sz w:val="23"/>
          <w:szCs w:val="23"/>
          <w:rtl/>
        </w:rPr>
        <w:softHyphen/>
      </w:r>
      <w:r w:rsidRPr="00A309A0">
        <w:rPr>
          <w:rFonts w:ascii="Cambria Math" w:eastAsiaTheme="minorEastAsia" w:hAnsi="Cambria Math" w:hint="cs"/>
          <w:sz w:val="23"/>
          <w:szCs w:val="23"/>
          <w:rtl/>
        </w:rPr>
        <w:t>گونه که ملاحظه می</w:t>
      </w:r>
      <w:r w:rsidRPr="00A309A0">
        <w:rPr>
          <w:rFonts w:ascii="Cambria Math" w:eastAsiaTheme="minorEastAsia" w:hAnsi="Cambria Math"/>
          <w:sz w:val="23"/>
          <w:szCs w:val="23"/>
          <w:rtl/>
        </w:rPr>
        <w:softHyphen/>
      </w:r>
      <w:r w:rsidRPr="00A309A0">
        <w:rPr>
          <w:rFonts w:ascii="Cambria Math" w:eastAsiaTheme="minorEastAsia" w:hAnsi="Cambria Math" w:hint="cs"/>
          <w:sz w:val="23"/>
          <w:szCs w:val="23"/>
          <w:rtl/>
        </w:rPr>
        <w:t xml:space="preserve">شود </w:t>
      </w:r>
      <w:r w:rsidRPr="00A309A0">
        <w:rPr>
          <w:rFonts w:ascii="Cambria Math" w:eastAsiaTheme="minorEastAsia" w:hAnsi="Cambria Math"/>
          <w:sz w:val="23"/>
          <w:szCs w:val="23"/>
          <w:rtl/>
        </w:rPr>
        <w:t>در بلندمدت سرمایه</w:t>
      </w:r>
      <w:r w:rsidRPr="00A309A0">
        <w:rPr>
          <w:rFonts w:ascii="Cambria Math" w:eastAsiaTheme="minorEastAsia" w:hAnsi="Cambria Math"/>
          <w:sz w:val="23"/>
          <w:szCs w:val="23"/>
          <w:rtl/>
        </w:rPr>
        <w:softHyphen/>
        <w:t xml:space="preserve">گذاری فقط </w:t>
      </w:r>
      <w:r w:rsidRPr="00A309A0">
        <w:rPr>
          <w:rFonts w:ascii="Cambria Math" w:eastAsiaTheme="minorEastAsia" w:hAnsi="Cambria Math" w:hint="cs"/>
          <w:sz w:val="23"/>
          <w:szCs w:val="23"/>
          <w:rtl/>
        </w:rPr>
        <w:t xml:space="preserve">و فقط </w:t>
      </w:r>
      <w:r w:rsidRPr="00A309A0">
        <w:rPr>
          <w:rFonts w:ascii="Cambria Math" w:eastAsiaTheme="minorEastAsia" w:hAnsi="Cambria Math"/>
          <w:sz w:val="23"/>
          <w:szCs w:val="23"/>
          <w:rtl/>
        </w:rPr>
        <w:t>ب</w:t>
      </w:r>
      <w:r w:rsidRPr="00A309A0">
        <w:rPr>
          <w:rFonts w:ascii="Cambria Math" w:eastAsiaTheme="minorEastAsia" w:hAnsi="Cambria Math" w:hint="cs"/>
          <w:sz w:val="23"/>
          <w:szCs w:val="23"/>
          <w:rtl/>
        </w:rPr>
        <w:t>ه</w:t>
      </w:r>
      <w:r w:rsidRPr="00A309A0">
        <w:rPr>
          <w:rFonts w:ascii="Cambria Math" w:eastAsiaTheme="minorEastAsia" w:hAnsi="Cambria Math"/>
          <w:sz w:val="23"/>
          <w:szCs w:val="23"/>
          <w:rtl/>
        </w:rPr>
        <w:softHyphen/>
      </w:r>
      <w:r w:rsidRPr="00A309A0">
        <w:rPr>
          <w:rFonts w:ascii="Cambria Math" w:eastAsiaTheme="minorEastAsia" w:hAnsi="Cambria Math" w:hint="cs"/>
          <w:sz w:val="23"/>
          <w:szCs w:val="23"/>
          <w:rtl/>
        </w:rPr>
        <w:t xml:space="preserve"> م</w:t>
      </w:r>
      <w:r w:rsidRPr="00A309A0">
        <w:rPr>
          <w:rFonts w:ascii="Cambria Math" w:eastAsiaTheme="minorEastAsia" w:hAnsi="Cambria Math"/>
          <w:sz w:val="23"/>
          <w:szCs w:val="23"/>
          <w:rtl/>
        </w:rPr>
        <w:t xml:space="preserve">نظور استهلاک </w:t>
      </w:r>
      <w:r w:rsidRPr="00A309A0">
        <w:rPr>
          <w:rFonts w:ascii="Cambria Math" w:eastAsiaTheme="minorEastAsia" w:hAnsi="Cambria Math" w:hint="cs"/>
          <w:sz w:val="23"/>
          <w:szCs w:val="23"/>
          <w:rtl/>
        </w:rPr>
        <w:t xml:space="preserve">موجودی </w:t>
      </w:r>
      <w:r w:rsidRPr="00A309A0">
        <w:rPr>
          <w:rFonts w:ascii="Cambria Math" w:eastAsiaTheme="minorEastAsia" w:hAnsi="Cambria Math"/>
          <w:sz w:val="23"/>
          <w:szCs w:val="23"/>
          <w:rtl/>
        </w:rPr>
        <w:t>سرمایه انجام می</w:t>
      </w:r>
      <w:r w:rsidRPr="00A309A0">
        <w:rPr>
          <w:rFonts w:ascii="Cambria Math" w:eastAsiaTheme="minorEastAsia" w:hAnsi="Cambria Math"/>
          <w:sz w:val="23"/>
          <w:szCs w:val="23"/>
          <w:rtl/>
        </w:rPr>
        <w:softHyphen/>
        <w:t>شود</w:t>
      </w:r>
      <w:r w:rsidRPr="00A309A0">
        <w:rPr>
          <w:rFonts w:ascii="Cambria Math" w:eastAsiaTheme="minorEastAsia" w:hAnsi="Cambria Math" w:hint="cs"/>
          <w:sz w:val="23"/>
          <w:szCs w:val="23"/>
          <w:rtl/>
        </w:rPr>
        <w:t xml:space="preserve">. </w:t>
      </w:r>
      <w:r w:rsidRPr="00A309A0">
        <w:rPr>
          <w:rFonts w:ascii="Cambria Math" w:eastAsiaTheme="minorEastAsia" w:hAnsi="Cambria Math"/>
          <w:sz w:val="23"/>
          <w:szCs w:val="23"/>
          <w:rtl/>
        </w:rPr>
        <w:t xml:space="preserve">اکنون سئوال </w:t>
      </w:r>
      <w:r w:rsidRPr="00A309A0">
        <w:rPr>
          <w:rFonts w:ascii="Cambria Math" w:eastAsiaTheme="minorEastAsia" w:hAnsi="Cambria Math" w:hint="cs"/>
          <w:sz w:val="23"/>
          <w:szCs w:val="23"/>
          <w:rtl/>
        </w:rPr>
        <w:t xml:space="preserve">اساسی </w:t>
      </w:r>
      <w:r w:rsidRPr="00A309A0">
        <w:rPr>
          <w:rFonts w:ascii="Cambria Math" w:eastAsiaTheme="minorEastAsia" w:hAnsi="Cambria Math"/>
          <w:sz w:val="23"/>
          <w:szCs w:val="23"/>
          <w:rtl/>
        </w:rPr>
        <w:t xml:space="preserve">این است که موجودی سرمایه در بلندمدت چقدر باید </w:t>
      </w:r>
    </w:p>
    <w:p w14:paraId="251AAC23" w14:textId="77777777" w:rsidR="00411620" w:rsidRPr="00A309A0" w:rsidRDefault="00411620" w:rsidP="00411620">
      <w:pPr>
        <w:spacing w:line="216" w:lineRule="auto"/>
        <w:rPr>
          <w:rFonts w:ascii="Cambria Math" w:hAnsi="Cambria Math"/>
          <w:sz w:val="23"/>
          <w:szCs w:val="23"/>
          <w:rtl/>
        </w:rPr>
      </w:pPr>
      <w:r w:rsidRPr="00A309A0">
        <w:rPr>
          <w:rFonts w:ascii="Cambria Math" w:eastAsiaTheme="minorEastAsia" w:hAnsi="Cambria Math"/>
          <w:sz w:val="23"/>
          <w:szCs w:val="23"/>
          <w:rtl/>
        </w:rPr>
        <w:t xml:space="preserve">باشد تا مصرف </w:t>
      </w:r>
      <w:r w:rsidRPr="00A309A0">
        <w:rPr>
          <w:rFonts w:ascii="Cambria Math" w:hAnsi="Cambria Math"/>
          <w:sz w:val="23"/>
          <w:szCs w:val="23"/>
          <w:rtl/>
        </w:rPr>
        <w:t xml:space="preserve">حداکثر شود؟ </w:t>
      </w:r>
    </w:p>
    <w:p w14:paraId="0B4A8F63"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 xml:space="preserve">شرط لازم </w:t>
      </w:r>
      <w:r w:rsidRPr="00A309A0">
        <w:rPr>
          <w:rFonts w:ascii="Cambria Math" w:hAnsi="Cambria Math" w:hint="cs"/>
          <w:sz w:val="23"/>
          <w:szCs w:val="23"/>
          <w:rtl/>
        </w:rPr>
        <w:t>برای</w:t>
      </w:r>
      <w:r w:rsidRPr="00A309A0">
        <w:rPr>
          <w:rFonts w:ascii="Cambria Math" w:hAnsi="Cambria Math"/>
          <w:sz w:val="23"/>
          <w:szCs w:val="23"/>
          <w:rtl/>
        </w:rPr>
        <w:t xml:space="preserve"> حداکثر کردن مصرف </w:t>
      </w:r>
      <w:r w:rsidRPr="00A309A0">
        <w:rPr>
          <w:rFonts w:ascii="Cambria Math" w:hAnsi="Cambria Math" w:hint="cs"/>
          <w:sz w:val="23"/>
          <w:szCs w:val="23"/>
          <w:rtl/>
        </w:rPr>
        <w:t xml:space="preserve">با توجه به موجودی سرمایه </w:t>
      </w:r>
      <w:r w:rsidRPr="00A309A0">
        <w:rPr>
          <w:rFonts w:ascii="Cambria Math" w:hAnsi="Cambria Math"/>
          <w:sz w:val="23"/>
          <w:szCs w:val="23"/>
          <w:rtl/>
        </w:rPr>
        <w:t>در بلندمدت عبارت است از</w:t>
      </w:r>
    </w:p>
    <w:p w14:paraId="466B862E" w14:textId="77777777" w:rsidR="00411620" w:rsidRPr="00A309A0" w:rsidRDefault="00411620" w:rsidP="00411620">
      <w:pPr>
        <w:pStyle w:val="MTDisplayEquation"/>
        <w:tabs>
          <w:tab w:val="clear" w:pos="6660"/>
          <w:tab w:val="right" w:pos="0"/>
        </w:tabs>
        <w:spacing w:line="216" w:lineRule="auto"/>
        <w:jc w:val="left"/>
        <w:rPr>
          <w:rFonts w:ascii="Cambria Math" w:hAnsi="Cambria Math" w:cs="B Nazanin"/>
          <w:sz w:val="23"/>
          <w:szCs w:val="23"/>
          <w:rtl/>
          <w:lang w:bidi="fa-IR"/>
        </w:rPr>
      </w:pPr>
      <w:r w:rsidRPr="00B92922">
        <w:rPr>
          <w:position w:val="-22"/>
        </w:rPr>
        <w:object w:dxaOrig="1740" w:dyaOrig="560" w14:anchorId="0C2D76C3">
          <v:shape id="_x0000_i1070" type="#_x0000_t75" style="width:86.5pt;height:27.85pt" o:ole="">
            <v:imagedata r:id="rId99" o:title=""/>
          </v:shape>
          <o:OLEObject Type="Embed" ProgID="Equation.DSMT4" ShapeID="_x0000_i1070" DrawAspect="Content" ObjectID="_1791375014" r:id="rId100"/>
        </w:object>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Pr>
          <w:rFonts w:ascii="Cambria Math" w:hAnsi="Cambria Math" w:cs="B Nazanin"/>
          <w:sz w:val="23"/>
          <w:szCs w:val="23"/>
        </w:rPr>
        <w:tab/>
      </w:r>
      <w:r>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hint="cs"/>
          <w:sz w:val="23"/>
          <w:szCs w:val="23"/>
          <w:rtl/>
          <w:lang w:bidi="fa-IR"/>
        </w:rPr>
        <w:t>(۲. ۷)</w:t>
      </w:r>
    </w:p>
    <w:p w14:paraId="26077BEA" w14:textId="77777777" w:rsidR="00411620" w:rsidRPr="00A309A0" w:rsidRDefault="00411620" w:rsidP="00411620">
      <w:pPr>
        <w:pStyle w:val="MTDisplayEquation"/>
        <w:bidi/>
        <w:spacing w:line="216" w:lineRule="auto"/>
        <w:jc w:val="left"/>
        <w:rPr>
          <w:rFonts w:ascii="Cambria Math" w:hAnsi="Cambria Math" w:cs="B Nazanin"/>
          <w:sz w:val="23"/>
          <w:szCs w:val="23"/>
          <w:rtl/>
          <w:lang w:bidi="fa-IR"/>
        </w:rPr>
      </w:pPr>
      <w:r w:rsidRPr="00A309A0">
        <w:rPr>
          <w:rFonts w:ascii="Cambria Math" w:hAnsi="Cambria Math" w:cs="B Nazanin"/>
          <w:sz w:val="23"/>
          <w:szCs w:val="23"/>
          <w:rtl/>
          <w:lang w:bidi="fa-IR"/>
        </w:rPr>
        <w:t xml:space="preserve">و </w:t>
      </w:r>
      <w:r w:rsidRPr="00A309A0">
        <w:rPr>
          <w:rFonts w:ascii="Cambria Math" w:hAnsi="Cambria Math" w:cs="B Nazanin" w:hint="cs"/>
          <w:sz w:val="23"/>
          <w:szCs w:val="23"/>
          <w:rtl/>
          <w:lang w:bidi="fa-IR"/>
        </w:rPr>
        <w:t xml:space="preserve">چون در </w:t>
      </w:r>
      <w:r w:rsidRPr="00A309A0">
        <w:rPr>
          <w:rFonts w:ascii="Cambria Math" w:hAnsi="Cambria Math" w:cs="B Nazanin"/>
          <w:sz w:val="23"/>
          <w:szCs w:val="23"/>
          <w:rtl/>
          <w:lang w:bidi="fa-IR"/>
        </w:rPr>
        <w:t xml:space="preserve">شرط کافی </w:t>
      </w:r>
      <w:r w:rsidRPr="00A309A0">
        <w:rPr>
          <w:rFonts w:ascii="Cambria Math" w:hAnsi="Cambria Math" w:cs="B Nazanin" w:hint="cs"/>
          <w:sz w:val="23"/>
          <w:szCs w:val="23"/>
          <w:rtl/>
          <w:lang w:bidi="fa-IR"/>
        </w:rPr>
        <w:t>داریم</w:t>
      </w:r>
      <w:r w:rsidRPr="00A309A0">
        <w:rPr>
          <w:rFonts w:ascii="Cambria Math" w:hAnsi="Cambria Math" w:cs="B Nazanin"/>
          <w:sz w:val="23"/>
          <w:szCs w:val="23"/>
          <w:rtl/>
          <w:lang w:bidi="fa-IR"/>
        </w:rPr>
        <w:t>؛</w:t>
      </w:r>
    </w:p>
    <w:p w14:paraId="08297463" w14:textId="77777777" w:rsidR="00411620" w:rsidRPr="00A309A0" w:rsidRDefault="00411620" w:rsidP="00411620">
      <w:pPr>
        <w:pStyle w:val="MTDisplayEquation"/>
        <w:spacing w:line="216" w:lineRule="auto"/>
        <w:jc w:val="left"/>
        <w:rPr>
          <w:rFonts w:ascii="Cambria Math" w:hAnsi="Cambria Math" w:cs="B Nazanin"/>
          <w:sz w:val="23"/>
          <w:szCs w:val="23"/>
          <w:lang w:bidi="fa-IR"/>
        </w:rPr>
      </w:pPr>
      <w:r w:rsidRPr="00B92922">
        <w:rPr>
          <w:position w:val="-22"/>
        </w:rPr>
        <w:object w:dxaOrig="1540" w:dyaOrig="600" w14:anchorId="4731BCFA">
          <v:shape id="_x0000_i1071" type="#_x0000_t75" style="width:77.45pt;height:29.65pt" o:ole="">
            <v:imagedata r:id="rId101" o:title=""/>
          </v:shape>
          <o:OLEObject Type="Embed" ProgID="Equation.DSMT4" ShapeID="_x0000_i1071" DrawAspect="Content" ObjectID="_1791375015" r:id="rId102"/>
        </w:object>
      </w:r>
    </w:p>
    <w:p w14:paraId="3962AC2B"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hint="cs"/>
          <w:sz w:val="23"/>
          <w:szCs w:val="23"/>
          <w:rtl/>
        </w:rPr>
        <w:t xml:space="preserve">لذا </w:t>
      </w:r>
      <w:r w:rsidRPr="00A309A0">
        <w:rPr>
          <w:rFonts w:ascii="Cambria Math" w:hAnsi="Cambria Math"/>
          <w:sz w:val="23"/>
          <w:szCs w:val="23"/>
          <w:rtl/>
        </w:rPr>
        <w:t>با توجه به معادله</w:t>
      </w:r>
      <w:r w:rsidRPr="00A309A0">
        <w:rPr>
          <w:rFonts w:ascii="Cambria Math" w:hAnsi="Cambria Math"/>
          <w:sz w:val="23"/>
          <w:szCs w:val="23"/>
          <w:rtl/>
        </w:rPr>
        <w:softHyphen/>
        <w:t xml:space="preserve">ی </w:t>
      </w:r>
      <w:r w:rsidRPr="00A309A0">
        <w:rPr>
          <w:rFonts w:ascii="Cambria Math" w:hAnsi="Cambria Math" w:hint="cs"/>
          <w:sz w:val="23"/>
          <w:szCs w:val="23"/>
          <w:rtl/>
        </w:rPr>
        <w:t>(۲. ۷)،</w:t>
      </w:r>
      <w:r w:rsidRPr="00A309A0">
        <w:rPr>
          <w:rFonts w:ascii="Cambria Math" w:hAnsi="Cambria Math"/>
          <w:sz w:val="23"/>
          <w:szCs w:val="23"/>
          <w:rtl/>
        </w:rPr>
        <w:t xml:space="preserve"> م</w:t>
      </w:r>
      <w:r w:rsidRPr="00A309A0">
        <w:rPr>
          <w:rFonts w:ascii="Cambria Math" w:hAnsi="Cambria Math" w:hint="cs"/>
          <w:sz w:val="23"/>
          <w:szCs w:val="23"/>
          <w:rtl/>
        </w:rPr>
        <w:t>قدار</w:t>
      </w:r>
      <w:r w:rsidRPr="00A309A0">
        <w:rPr>
          <w:rFonts w:ascii="Cambria Math" w:hAnsi="Cambria Math"/>
          <w:sz w:val="23"/>
          <w:szCs w:val="23"/>
          <w:rtl/>
        </w:rPr>
        <w:t xml:space="preserve"> </w:t>
      </w:r>
      <w:r w:rsidRPr="00A309A0">
        <w:rPr>
          <w:rFonts w:ascii="Cambria Math" w:hAnsi="Cambria Math" w:hint="cs"/>
          <w:sz w:val="23"/>
          <w:szCs w:val="23"/>
          <w:rtl/>
        </w:rPr>
        <w:t xml:space="preserve">حداکثر </w:t>
      </w:r>
      <w:r w:rsidRPr="00A309A0">
        <w:rPr>
          <w:rFonts w:ascii="Cambria Math" w:hAnsi="Cambria Math"/>
          <w:sz w:val="23"/>
          <w:szCs w:val="23"/>
          <w:rtl/>
        </w:rPr>
        <w:t>مصرف به</w:t>
      </w:r>
      <w:r w:rsidRPr="00A309A0">
        <w:rPr>
          <w:rFonts w:ascii="Cambria Math" w:hAnsi="Cambria Math"/>
          <w:sz w:val="23"/>
          <w:szCs w:val="23"/>
        </w:rPr>
        <w:softHyphen/>
      </w:r>
      <w:r w:rsidRPr="00A309A0">
        <w:rPr>
          <w:rFonts w:ascii="Cambria Math" w:hAnsi="Cambria Math"/>
          <w:sz w:val="23"/>
          <w:szCs w:val="23"/>
          <w:rtl/>
        </w:rPr>
        <w:t>ازای موجودی سرمایه</w:t>
      </w:r>
      <w:r w:rsidRPr="00A309A0">
        <w:rPr>
          <w:rFonts w:ascii="Cambria Math" w:hAnsi="Cambria Math"/>
          <w:sz w:val="23"/>
          <w:szCs w:val="23"/>
          <w:rtl/>
        </w:rPr>
        <w:softHyphen/>
        <w:t xml:space="preserve"> </w:t>
      </w:r>
      <w:r w:rsidRPr="00A309A0">
        <w:rPr>
          <w:rFonts w:ascii="Cambria Math" w:hAnsi="Cambria Math" w:hint="cs"/>
          <w:sz w:val="23"/>
          <w:szCs w:val="23"/>
          <w:rtl/>
        </w:rPr>
        <w:t>زمانی بدست می</w:t>
      </w:r>
      <w:r w:rsidRPr="00A309A0">
        <w:rPr>
          <w:rFonts w:ascii="Cambria Math" w:hAnsi="Cambria Math"/>
          <w:sz w:val="23"/>
          <w:szCs w:val="23"/>
          <w:rtl/>
        </w:rPr>
        <w:softHyphen/>
      </w:r>
      <w:r w:rsidRPr="00A309A0">
        <w:rPr>
          <w:rFonts w:ascii="Cambria Math" w:hAnsi="Cambria Math" w:hint="cs"/>
          <w:sz w:val="23"/>
          <w:szCs w:val="23"/>
          <w:rtl/>
        </w:rPr>
        <w:t xml:space="preserve">آید </w:t>
      </w:r>
      <w:r w:rsidRPr="00A309A0">
        <w:rPr>
          <w:rFonts w:ascii="Cambria Math" w:hAnsi="Cambria Math"/>
          <w:sz w:val="23"/>
          <w:szCs w:val="23"/>
          <w:rtl/>
        </w:rPr>
        <w:t>که</w:t>
      </w:r>
      <w:r w:rsidRPr="00A309A0">
        <w:rPr>
          <w:rFonts w:ascii="Cambria Math" w:hAnsi="Cambria Math" w:hint="cs"/>
          <w:sz w:val="23"/>
          <w:szCs w:val="23"/>
          <w:rtl/>
        </w:rPr>
        <w:t xml:space="preserve"> تولید نهایی موجودی سرمایه دقیقاً برابر نرخ استهلاک باشد یعنی</w:t>
      </w:r>
      <w:r w:rsidRPr="00B92922">
        <w:rPr>
          <w:position w:val="-12"/>
        </w:rPr>
        <w:object w:dxaOrig="960" w:dyaOrig="360" w14:anchorId="5A2BAE1E">
          <v:shape id="_x0000_i1072" type="#_x0000_t75" style="width:48.4pt;height:18.15pt" o:ole="">
            <v:imagedata r:id="rId103" o:title=""/>
          </v:shape>
          <o:OLEObject Type="Embed" ProgID="Equation.DSMT4" ShapeID="_x0000_i1072" DrawAspect="Content" ObjectID="_1791375016" r:id="rId104"/>
        </w:object>
      </w:r>
      <w:r w:rsidRPr="00A309A0">
        <w:rPr>
          <w:rFonts w:ascii="Cambria Math" w:hAnsi="Cambria Math" w:hint="cs"/>
          <w:sz w:val="23"/>
          <w:szCs w:val="23"/>
          <w:rtl/>
        </w:rPr>
        <w:t>. همچنین از</w:t>
      </w:r>
      <w:r w:rsidRPr="00A309A0">
        <w:rPr>
          <w:rFonts w:ascii="Cambria Math" w:hAnsi="Cambria Math"/>
          <w:sz w:val="23"/>
          <w:szCs w:val="23"/>
          <w:rtl/>
        </w:rPr>
        <w:t xml:space="preserve"> شر</w:t>
      </w:r>
      <w:r w:rsidRPr="00A309A0">
        <w:rPr>
          <w:rFonts w:ascii="Cambria Math" w:hAnsi="Cambria Math" w:hint="cs"/>
          <w:sz w:val="23"/>
          <w:szCs w:val="23"/>
          <w:rtl/>
        </w:rPr>
        <w:t>و</w:t>
      </w:r>
      <w:r w:rsidRPr="00A309A0">
        <w:rPr>
          <w:rFonts w:ascii="Cambria Math" w:hAnsi="Cambria Math"/>
          <w:sz w:val="23"/>
          <w:szCs w:val="23"/>
          <w:rtl/>
        </w:rPr>
        <w:t xml:space="preserve">ط اینادا یعنی </w:t>
      </w:r>
      <w:r w:rsidRPr="00B92922">
        <w:rPr>
          <w:position w:val="-18"/>
        </w:rPr>
        <w:object w:dxaOrig="1320" w:dyaOrig="420" w14:anchorId="58C392EF">
          <v:shape id="_x0000_i1073" type="#_x0000_t75" style="width:65.95pt;height:21.2pt" o:ole="">
            <v:imagedata r:id="rId105" o:title=""/>
          </v:shape>
          <o:OLEObject Type="Embed" ProgID="Equation.DSMT4" ShapeID="_x0000_i1073" DrawAspect="Content" ObjectID="_1791375017" r:id="rId106"/>
        </w:object>
      </w:r>
      <w:r w:rsidRPr="00A309A0">
        <w:rPr>
          <w:rFonts w:ascii="Cambria Math" w:hAnsi="Cambria Math" w:hint="cs"/>
          <w:sz w:val="23"/>
          <w:szCs w:val="23"/>
          <w:rtl/>
        </w:rPr>
        <w:t xml:space="preserve"> و </w:t>
      </w:r>
      <w:r w:rsidRPr="00B92922">
        <w:rPr>
          <w:position w:val="-18"/>
        </w:rPr>
        <w:object w:dxaOrig="1280" w:dyaOrig="420" w14:anchorId="61E8B317">
          <v:shape id="_x0000_i1074" type="#_x0000_t75" style="width:64.15pt;height:21.2pt" o:ole="">
            <v:imagedata r:id="rId107" o:title=""/>
          </v:shape>
          <o:OLEObject Type="Embed" ProgID="Equation.DSMT4" ShapeID="_x0000_i1074" DrawAspect="Content" ObjectID="_1791375018" r:id="rId108"/>
        </w:object>
      </w:r>
      <w:r w:rsidRPr="00A309A0">
        <w:rPr>
          <w:rFonts w:ascii="Cambria Math" w:hAnsi="Cambria Math"/>
          <w:sz w:val="23"/>
          <w:szCs w:val="23"/>
          <w:rtl/>
        </w:rPr>
        <w:t xml:space="preserve">، با افزایش موجودی سرمایه </w:t>
      </w:r>
      <w:r w:rsidRPr="00A309A0">
        <w:rPr>
          <w:rFonts w:ascii="Cambria Math" w:hAnsi="Cambria Math" w:hint="cs"/>
          <w:sz w:val="23"/>
          <w:szCs w:val="23"/>
          <w:rtl/>
        </w:rPr>
        <w:t>از</w:t>
      </w:r>
      <w:r w:rsidRPr="00B92922">
        <w:rPr>
          <w:position w:val="-6"/>
        </w:rPr>
        <w:object w:dxaOrig="540" w:dyaOrig="260" w14:anchorId="372B5225">
          <v:shape id="_x0000_i1075" type="#_x0000_t75" style="width:27.25pt;height:12.7pt" o:ole="">
            <v:imagedata r:id="rId109" o:title=""/>
          </v:shape>
          <o:OLEObject Type="Embed" ProgID="Equation.DSMT4" ShapeID="_x0000_i1075" DrawAspect="Content" ObjectID="_1791375019" r:id="rId110"/>
        </w:object>
      </w:r>
      <w:r w:rsidRPr="00A309A0">
        <w:rPr>
          <w:rFonts w:ascii="Cambria Math" w:hAnsi="Cambria Math" w:hint="cs"/>
          <w:sz w:val="23"/>
          <w:szCs w:val="23"/>
          <w:rtl/>
        </w:rPr>
        <w:t>، از آن</w:t>
      </w:r>
      <w:r w:rsidRPr="00A309A0">
        <w:rPr>
          <w:rFonts w:ascii="Cambria Math" w:hAnsi="Cambria Math"/>
          <w:sz w:val="23"/>
          <w:szCs w:val="23"/>
          <w:rtl/>
        </w:rPr>
        <w:softHyphen/>
      </w:r>
      <w:r w:rsidRPr="00A309A0">
        <w:rPr>
          <w:rFonts w:ascii="Cambria Math" w:hAnsi="Cambria Math" w:hint="cs"/>
          <w:sz w:val="23"/>
          <w:szCs w:val="23"/>
          <w:rtl/>
        </w:rPr>
        <w:t>جا که در مقدار موجودی سرمایه</w:t>
      </w:r>
      <w:r w:rsidRPr="00A309A0">
        <w:rPr>
          <w:rFonts w:ascii="Cambria Math" w:hAnsi="Cambria Math"/>
          <w:sz w:val="23"/>
          <w:szCs w:val="23"/>
          <w:rtl/>
        </w:rPr>
        <w:softHyphen/>
      </w:r>
      <w:r w:rsidRPr="00A309A0">
        <w:rPr>
          <w:rFonts w:ascii="Cambria Math" w:hAnsi="Cambria Math" w:hint="cs"/>
          <w:sz w:val="23"/>
          <w:szCs w:val="23"/>
          <w:rtl/>
        </w:rPr>
        <w:t xml:space="preserve">ی </w:t>
      </w:r>
      <w:r w:rsidRPr="00B92922">
        <w:rPr>
          <w:position w:val="-6"/>
        </w:rPr>
        <w:object w:dxaOrig="540" w:dyaOrig="260" w14:anchorId="13FB38A6">
          <v:shape id="_x0000_i1076" type="#_x0000_t75" style="width:27.25pt;height:12.7pt" o:ole="">
            <v:imagedata r:id="rId111" o:title=""/>
          </v:shape>
          <o:OLEObject Type="Embed" ProgID="Equation.DSMT4" ShapeID="_x0000_i1076" DrawAspect="Content" ObjectID="_1791375020" r:id="rId112"/>
        </w:object>
      </w:r>
      <w:r w:rsidRPr="00A309A0">
        <w:rPr>
          <w:rFonts w:hint="cs"/>
          <w:sz w:val="23"/>
          <w:szCs w:val="23"/>
          <w:rtl/>
        </w:rPr>
        <w:t>، تولید نهایی سرمایه بزرگ</w:t>
      </w:r>
      <w:r w:rsidRPr="00A309A0">
        <w:rPr>
          <w:sz w:val="23"/>
          <w:szCs w:val="23"/>
          <w:rtl/>
        </w:rPr>
        <w:softHyphen/>
      </w:r>
      <w:r w:rsidRPr="00A309A0">
        <w:rPr>
          <w:rFonts w:hint="cs"/>
          <w:sz w:val="23"/>
          <w:szCs w:val="23"/>
          <w:rtl/>
        </w:rPr>
        <w:t>تر از نرخ استهلاک است یعنی</w:t>
      </w:r>
      <w:r w:rsidRPr="00B92922">
        <w:rPr>
          <w:position w:val="-12"/>
        </w:rPr>
        <w:object w:dxaOrig="960" w:dyaOrig="360" w14:anchorId="27B8FEAA">
          <v:shape id="_x0000_i1077" type="#_x0000_t75" style="width:48.4pt;height:18.15pt" o:ole="">
            <v:imagedata r:id="rId113" o:title=""/>
          </v:shape>
          <o:OLEObject Type="Embed" ProgID="Equation.DSMT4" ShapeID="_x0000_i1077" DrawAspect="Content" ObjectID="_1791375021" r:id="rId114"/>
        </w:object>
      </w:r>
      <w:r w:rsidRPr="00A309A0">
        <w:rPr>
          <w:rFonts w:ascii="Cambria Math" w:hAnsi="Cambria Math" w:hint="cs"/>
          <w:sz w:val="23"/>
          <w:szCs w:val="23"/>
          <w:rtl/>
        </w:rPr>
        <w:t xml:space="preserve">، لذا </w:t>
      </w:r>
      <w:r w:rsidRPr="00A309A0">
        <w:rPr>
          <w:rFonts w:ascii="Cambria Math" w:hAnsi="Cambria Math"/>
          <w:sz w:val="23"/>
          <w:szCs w:val="23"/>
          <w:rtl/>
        </w:rPr>
        <w:t>مصرف با شیب کاهنده افزایش می</w:t>
      </w:r>
      <w:r w:rsidRPr="00A309A0">
        <w:rPr>
          <w:rFonts w:ascii="Cambria Math" w:hAnsi="Cambria Math"/>
          <w:sz w:val="23"/>
          <w:szCs w:val="23"/>
          <w:rtl/>
        </w:rPr>
        <w:softHyphen/>
        <w:t>یابد تا این</w:t>
      </w:r>
      <w:r w:rsidRPr="00A309A0">
        <w:rPr>
          <w:rFonts w:ascii="Cambria Math" w:hAnsi="Cambria Math"/>
          <w:sz w:val="23"/>
          <w:szCs w:val="23"/>
          <w:rtl/>
        </w:rPr>
        <w:softHyphen/>
        <w:t>که تولید نهایی سرمایه</w:t>
      </w:r>
      <w:r w:rsidRPr="00B92922">
        <w:rPr>
          <w:position w:val="-12"/>
        </w:rPr>
        <w:object w:dxaOrig="600" w:dyaOrig="360" w14:anchorId="7F0E88BC">
          <v:shape id="_x0000_i1078" type="#_x0000_t75" style="width:29.65pt;height:18.15pt" o:ole="">
            <v:imagedata r:id="rId115" o:title=""/>
          </v:shape>
          <o:OLEObject Type="Embed" ProgID="Equation.DSMT4" ShapeID="_x0000_i1078" DrawAspect="Content" ObjectID="_1791375022" r:id="rId116"/>
        </w:object>
      </w:r>
      <w:r w:rsidRPr="00A309A0">
        <w:rPr>
          <w:rFonts w:ascii="Cambria Math" w:hAnsi="Cambria Math" w:hint="cs"/>
          <w:sz w:val="23"/>
          <w:szCs w:val="23"/>
          <w:rtl/>
        </w:rPr>
        <w:t xml:space="preserve"> </w:t>
      </w:r>
      <w:r w:rsidRPr="00A309A0">
        <w:rPr>
          <w:rFonts w:ascii="Cambria Math" w:hAnsi="Cambria Math"/>
          <w:sz w:val="23"/>
          <w:szCs w:val="23"/>
          <w:rtl/>
        </w:rPr>
        <w:t>برابر با نرخ</w:t>
      </w:r>
      <w:r w:rsidRPr="00A309A0">
        <w:rPr>
          <w:rFonts w:ascii="Cambria Math" w:hAnsi="Cambria Math" w:hint="cs"/>
          <w:sz w:val="23"/>
          <w:szCs w:val="23"/>
          <w:rtl/>
        </w:rPr>
        <w:t xml:space="preserve"> </w:t>
      </w:r>
      <w:r w:rsidRPr="00A309A0">
        <w:rPr>
          <w:rFonts w:ascii="Cambria Math" w:hAnsi="Cambria Math"/>
          <w:sz w:val="23"/>
          <w:szCs w:val="23"/>
          <w:rtl/>
        </w:rPr>
        <w:t>استهلاک</w:t>
      </w:r>
      <w:r w:rsidRPr="00B92922">
        <w:rPr>
          <w:position w:val="-6"/>
        </w:rPr>
        <w:object w:dxaOrig="200" w:dyaOrig="260" w14:anchorId="6BA0915A">
          <v:shape id="_x0000_i1079" type="#_x0000_t75" style="width:10.3pt;height:12.7pt" o:ole="">
            <v:imagedata r:id="rId117" o:title=""/>
          </v:shape>
          <o:OLEObject Type="Embed" ProgID="Equation.DSMT4" ShapeID="_x0000_i1079" DrawAspect="Content" ObjectID="_1791375023" r:id="rId118"/>
        </w:object>
      </w:r>
      <w:r w:rsidRPr="00A309A0">
        <w:rPr>
          <w:rFonts w:ascii="Cambria Math" w:hAnsi="Cambria Math"/>
          <w:sz w:val="23"/>
          <w:szCs w:val="23"/>
          <w:rtl/>
        </w:rPr>
        <w:t xml:space="preserve"> شود. در این </w:t>
      </w:r>
      <w:r w:rsidRPr="00A309A0">
        <w:rPr>
          <w:rFonts w:ascii="Cambria Math" w:hAnsi="Cambria Math" w:hint="cs"/>
          <w:sz w:val="23"/>
          <w:szCs w:val="23"/>
          <w:rtl/>
        </w:rPr>
        <w:t xml:space="preserve">وضعیت مصرف حداکثر است </w:t>
      </w:r>
      <w:r w:rsidRPr="00A309A0">
        <w:rPr>
          <w:rFonts w:ascii="Cambria Math" w:hAnsi="Cambria Math"/>
          <w:sz w:val="23"/>
          <w:szCs w:val="23"/>
          <w:rtl/>
        </w:rPr>
        <w:t>و پس از آن</w:t>
      </w:r>
      <w:r w:rsidRPr="00A309A0">
        <w:rPr>
          <w:rFonts w:ascii="Cambria Math" w:hAnsi="Cambria Math" w:hint="cs"/>
          <w:sz w:val="23"/>
          <w:szCs w:val="23"/>
          <w:rtl/>
        </w:rPr>
        <w:t>، چون</w:t>
      </w:r>
      <w:r w:rsidRPr="00B92922">
        <w:rPr>
          <w:position w:val="-12"/>
        </w:rPr>
        <w:object w:dxaOrig="960" w:dyaOrig="360" w14:anchorId="09F509AF">
          <v:shape id="_x0000_i1080" type="#_x0000_t75" style="width:48.4pt;height:18.15pt" o:ole="">
            <v:imagedata r:id="rId119" o:title=""/>
          </v:shape>
          <o:OLEObject Type="Embed" ProgID="Equation.DSMT4" ShapeID="_x0000_i1080" DrawAspect="Content" ObjectID="_1791375024" r:id="rId120"/>
        </w:object>
      </w:r>
      <w:r w:rsidRPr="00A309A0">
        <w:rPr>
          <w:rFonts w:ascii="Cambria Math" w:hAnsi="Cambria Math"/>
          <w:sz w:val="23"/>
          <w:szCs w:val="23"/>
        </w:rPr>
        <w:t xml:space="preserve"> </w:t>
      </w:r>
      <w:r w:rsidRPr="00A309A0">
        <w:rPr>
          <w:rFonts w:ascii="Cambria Math" w:hAnsi="Cambria Math" w:hint="cs"/>
          <w:sz w:val="23"/>
          <w:szCs w:val="23"/>
          <w:rtl/>
        </w:rPr>
        <w:t>است،</w:t>
      </w:r>
      <w:r w:rsidRPr="00A309A0">
        <w:rPr>
          <w:rFonts w:ascii="Cambria Math" w:hAnsi="Cambria Math"/>
          <w:sz w:val="23"/>
          <w:szCs w:val="23"/>
          <w:rtl/>
        </w:rPr>
        <w:t xml:space="preserve"> با افزایش موجودی سرمایه، مصرف کاهش </w:t>
      </w:r>
      <w:r w:rsidRPr="00A309A0">
        <w:rPr>
          <w:rFonts w:ascii="Cambria Math" w:hAnsi="Cambria Math" w:hint="cs"/>
          <w:sz w:val="23"/>
          <w:szCs w:val="23"/>
          <w:rtl/>
        </w:rPr>
        <w:t>خواهد یافت</w:t>
      </w:r>
      <w:r w:rsidRPr="00A309A0">
        <w:rPr>
          <w:rFonts w:ascii="Cambria Math" w:hAnsi="Cambria Math"/>
          <w:sz w:val="23"/>
          <w:szCs w:val="23"/>
          <w:rtl/>
        </w:rPr>
        <w:t xml:space="preserve">. </w:t>
      </w:r>
    </w:p>
    <w:p w14:paraId="1973BBED"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نتایج فوق را می</w:t>
      </w:r>
      <w:r w:rsidRPr="00A309A0">
        <w:rPr>
          <w:rFonts w:ascii="Cambria Math" w:hAnsi="Cambria Math"/>
          <w:sz w:val="23"/>
          <w:szCs w:val="23"/>
          <w:rtl/>
        </w:rPr>
        <w:softHyphen/>
        <w:t xml:space="preserve">توان </w:t>
      </w:r>
      <w:r w:rsidRPr="00A309A0">
        <w:rPr>
          <w:rFonts w:ascii="Cambria Math" w:hAnsi="Cambria Math" w:hint="cs"/>
          <w:sz w:val="23"/>
          <w:szCs w:val="23"/>
          <w:rtl/>
        </w:rPr>
        <w:t>در</w:t>
      </w:r>
      <w:r w:rsidRPr="00A309A0">
        <w:rPr>
          <w:rFonts w:ascii="Cambria Math" w:hAnsi="Cambria Math"/>
          <w:sz w:val="23"/>
          <w:szCs w:val="23"/>
          <w:rtl/>
        </w:rPr>
        <w:t xml:space="preserve"> نمودار </w:t>
      </w:r>
      <w:r w:rsidRPr="00A309A0">
        <w:rPr>
          <w:rFonts w:ascii="Cambria Math" w:hAnsi="Cambria Math" w:hint="cs"/>
          <w:sz w:val="23"/>
          <w:szCs w:val="23"/>
          <w:rtl/>
        </w:rPr>
        <w:t>۲. ۱ الی ۲. ۳</w:t>
      </w:r>
      <w:r w:rsidRPr="00A309A0">
        <w:rPr>
          <w:rFonts w:ascii="Cambria Math" w:hAnsi="Cambria Math"/>
          <w:sz w:val="23"/>
          <w:szCs w:val="23"/>
          <w:rtl/>
        </w:rPr>
        <w:t xml:space="preserve"> نشان داد. </w:t>
      </w:r>
      <w:r w:rsidRPr="00A309A0">
        <w:rPr>
          <w:rFonts w:ascii="Cambria Math" w:hAnsi="Cambria Math" w:hint="cs"/>
          <w:sz w:val="23"/>
          <w:szCs w:val="23"/>
          <w:rtl/>
        </w:rPr>
        <w:t xml:space="preserve">در نمودار ۲. ۱ </w:t>
      </w:r>
      <w:r w:rsidRPr="00A309A0">
        <w:rPr>
          <w:rFonts w:ascii="Cambria Math" w:hAnsi="Cambria Math"/>
          <w:sz w:val="23"/>
          <w:szCs w:val="23"/>
          <w:rtl/>
        </w:rPr>
        <w:t>با افزایش موجودی سرمایه، تولید نهایی سرمایه کاهش می</w:t>
      </w:r>
      <w:r w:rsidRPr="00A309A0">
        <w:rPr>
          <w:rFonts w:ascii="Cambria Math" w:hAnsi="Cambria Math"/>
          <w:sz w:val="23"/>
          <w:szCs w:val="23"/>
          <w:rtl/>
        </w:rPr>
        <w:softHyphen/>
        <w:t>یابد. با توجه به نرخ استهلاک</w:t>
      </w:r>
      <w:r w:rsidRPr="00B92922">
        <w:rPr>
          <w:position w:val="-6"/>
        </w:rPr>
        <w:object w:dxaOrig="260" w:dyaOrig="260" w14:anchorId="188125EA">
          <v:shape id="_x0000_i1081" type="#_x0000_t75" style="width:12.7pt;height:12.7pt" o:ole="">
            <v:imagedata r:id="rId121" o:title=""/>
          </v:shape>
          <o:OLEObject Type="Embed" ProgID="Equation.DSMT4" ShapeID="_x0000_i1081" DrawAspect="Content" ObjectID="_1791375025" r:id="rId122"/>
        </w:object>
      </w:r>
      <w:r w:rsidRPr="00A309A0">
        <w:rPr>
          <w:rFonts w:ascii="Cambria Math" w:hAnsi="Cambria Math"/>
          <w:sz w:val="23"/>
          <w:szCs w:val="23"/>
          <w:rtl/>
        </w:rPr>
        <w:t xml:space="preserve"> تولید نهایی سرمایه </w:t>
      </w:r>
      <w:r w:rsidRPr="00A309A0">
        <w:rPr>
          <w:rFonts w:ascii="Cambria Math" w:hAnsi="Cambria Math" w:hint="cs"/>
          <w:sz w:val="23"/>
          <w:szCs w:val="23"/>
          <w:rtl/>
        </w:rPr>
        <w:t xml:space="preserve">و به تبع آن </w:t>
      </w:r>
      <w:r w:rsidRPr="00A309A0">
        <w:rPr>
          <w:rFonts w:ascii="Cambria Math" w:hAnsi="Cambria Math"/>
          <w:sz w:val="23"/>
          <w:szCs w:val="23"/>
          <w:rtl/>
        </w:rPr>
        <w:t>مقدار موجودی سرمایه به دست می</w:t>
      </w:r>
      <w:r w:rsidRPr="00A309A0">
        <w:rPr>
          <w:rFonts w:ascii="Cambria Math" w:hAnsi="Cambria Math"/>
          <w:sz w:val="23"/>
          <w:szCs w:val="23"/>
          <w:rtl/>
        </w:rPr>
        <w:softHyphen/>
        <w:t xml:space="preserve">آید. از </w:t>
      </w:r>
      <w:r w:rsidRPr="00A309A0">
        <w:rPr>
          <w:rFonts w:ascii="Cambria Math" w:hAnsi="Cambria Math" w:hint="cs"/>
          <w:sz w:val="23"/>
          <w:szCs w:val="23"/>
          <w:rtl/>
        </w:rPr>
        <w:t>رابطه</w:t>
      </w:r>
      <w:r w:rsidRPr="00A309A0">
        <w:rPr>
          <w:rFonts w:ascii="Cambria Math" w:hAnsi="Cambria Math"/>
          <w:sz w:val="23"/>
          <w:szCs w:val="23"/>
          <w:rtl/>
        </w:rPr>
        <w:softHyphen/>
      </w:r>
      <w:r w:rsidRPr="00A309A0">
        <w:rPr>
          <w:rFonts w:ascii="Cambria Math" w:hAnsi="Cambria Math" w:hint="cs"/>
          <w:sz w:val="23"/>
          <w:szCs w:val="23"/>
          <w:rtl/>
        </w:rPr>
        <w:t>ی</w:t>
      </w:r>
      <w:r w:rsidRPr="00A309A0">
        <w:rPr>
          <w:rFonts w:ascii="Cambria Math" w:hAnsi="Cambria Math"/>
          <w:sz w:val="23"/>
          <w:szCs w:val="23"/>
          <w:rtl/>
        </w:rPr>
        <w:t xml:space="preserve"> </w:t>
      </w:r>
      <w:r w:rsidRPr="00A309A0">
        <w:rPr>
          <w:rFonts w:ascii="Cambria Math" w:hAnsi="Cambria Math" w:hint="cs"/>
          <w:sz w:val="23"/>
          <w:szCs w:val="23"/>
          <w:rtl/>
        </w:rPr>
        <w:t>(۲. ۷)</w:t>
      </w:r>
      <w:r w:rsidRPr="00A309A0">
        <w:rPr>
          <w:rFonts w:ascii="Cambria Math" w:eastAsiaTheme="minorEastAsia" w:hAnsi="Cambria Math"/>
          <w:sz w:val="23"/>
          <w:szCs w:val="23"/>
          <w:rtl/>
          <w:lang w:val="en-GB"/>
        </w:rPr>
        <w:t xml:space="preserve"> </w:t>
      </w:r>
      <w:r w:rsidRPr="00A309A0">
        <w:rPr>
          <w:rFonts w:ascii="Cambria Math" w:hAnsi="Cambria Math"/>
          <w:sz w:val="23"/>
          <w:szCs w:val="23"/>
          <w:rtl/>
        </w:rPr>
        <w:t>هر چقدر نرخ استهلاک بیش</w:t>
      </w:r>
      <w:r w:rsidRPr="00A309A0">
        <w:rPr>
          <w:rFonts w:ascii="Cambria Math" w:hAnsi="Cambria Math"/>
          <w:sz w:val="23"/>
          <w:szCs w:val="23"/>
          <w:rtl/>
        </w:rPr>
        <w:softHyphen/>
        <w:t>تر باش</w:t>
      </w:r>
      <w:r w:rsidRPr="00A309A0">
        <w:rPr>
          <w:rFonts w:ascii="Cambria Math" w:hAnsi="Cambria Math" w:hint="cs"/>
          <w:sz w:val="23"/>
          <w:szCs w:val="23"/>
          <w:rtl/>
        </w:rPr>
        <w:t xml:space="preserve">د </w:t>
      </w:r>
      <w:r w:rsidRPr="00A309A0">
        <w:rPr>
          <w:rFonts w:ascii="Cambria Math" w:hAnsi="Cambria Math"/>
          <w:sz w:val="23"/>
          <w:szCs w:val="23"/>
          <w:rtl/>
        </w:rPr>
        <w:t xml:space="preserve">تولید نهایی سرمایه نیز بیشتر، و با توجه به شرط اینادا مقدار موجودی سرمایه </w:t>
      </w:r>
      <w:r w:rsidRPr="00A309A0">
        <w:rPr>
          <w:rFonts w:ascii="Cambria Math" w:hAnsi="Cambria Math"/>
          <w:sz w:val="23"/>
          <w:szCs w:val="23"/>
          <w:rtl/>
          <w:lang w:val="en-GB"/>
        </w:rPr>
        <w:t>کم</w:t>
      </w:r>
      <w:r w:rsidRPr="00A309A0">
        <w:rPr>
          <w:rFonts w:ascii="Cambria Math" w:hAnsi="Cambria Math"/>
          <w:sz w:val="23"/>
          <w:szCs w:val="23"/>
          <w:rtl/>
        </w:rPr>
        <w:t>تر خواهد شد. سطح بهینه</w:t>
      </w:r>
      <w:r w:rsidRPr="00A309A0">
        <w:rPr>
          <w:rFonts w:ascii="Cambria Math" w:hAnsi="Cambria Math"/>
          <w:sz w:val="23"/>
          <w:szCs w:val="23"/>
          <w:rtl/>
        </w:rPr>
        <w:softHyphen/>
        <w:t>ی مصرف از نمودار</w:t>
      </w:r>
      <w:r w:rsidRPr="00A309A0">
        <w:rPr>
          <w:rFonts w:ascii="Cambria Math" w:hAnsi="Cambria Math" w:hint="cs"/>
          <w:sz w:val="23"/>
          <w:szCs w:val="23"/>
          <w:rtl/>
        </w:rPr>
        <w:t xml:space="preserve"> ۲ .۲ </w:t>
      </w:r>
      <w:r w:rsidRPr="00A309A0">
        <w:rPr>
          <w:rFonts w:ascii="Cambria Math" w:hAnsi="Cambria Math"/>
          <w:sz w:val="23"/>
          <w:szCs w:val="23"/>
          <w:rtl/>
        </w:rPr>
        <w:t>استخراج می</w:t>
      </w:r>
      <w:r w:rsidRPr="00A309A0">
        <w:rPr>
          <w:rFonts w:ascii="Cambria Math" w:hAnsi="Cambria Math"/>
          <w:sz w:val="23"/>
          <w:szCs w:val="23"/>
          <w:rtl/>
        </w:rPr>
        <w:softHyphen/>
        <w:t>شود. در تابع تولید</w:t>
      </w:r>
      <w:r w:rsidRPr="00B92922">
        <w:rPr>
          <w:position w:val="-12"/>
        </w:rPr>
        <w:object w:dxaOrig="560" w:dyaOrig="360" w14:anchorId="2D984359">
          <v:shape id="_x0000_i1082" type="#_x0000_t75" style="width:27.85pt;height:18.15pt" o:ole="">
            <v:imagedata r:id="rId123" o:title=""/>
          </v:shape>
          <o:OLEObject Type="Embed" ProgID="Equation.DSMT4" ShapeID="_x0000_i1082" DrawAspect="Content" ObjectID="_1791375026" r:id="rId124"/>
        </w:object>
      </w:r>
      <w:r w:rsidRPr="00A309A0">
        <w:rPr>
          <w:rFonts w:ascii="Cambria Math" w:hAnsi="Cambria Math"/>
          <w:sz w:val="23"/>
          <w:szCs w:val="23"/>
          <w:rtl/>
        </w:rPr>
        <w:t>، سطح تولید معلول موجودی سرمایه</w:t>
      </w:r>
      <w:r w:rsidRPr="00B92922">
        <w:rPr>
          <w:position w:val="-6"/>
        </w:rPr>
        <w:object w:dxaOrig="200" w:dyaOrig="260" w14:anchorId="455C6FCB">
          <v:shape id="_x0000_i1083" type="#_x0000_t75" style="width:10.3pt;height:12.7pt" o:ole="">
            <v:imagedata r:id="rId125" o:title=""/>
          </v:shape>
          <o:OLEObject Type="Embed" ProgID="Equation.DSMT4" ShapeID="_x0000_i1083" DrawAspect="Content" ObjectID="_1791375027" r:id="rId126"/>
        </w:object>
      </w:r>
      <w:r w:rsidRPr="00A309A0">
        <w:rPr>
          <w:rFonts w:ascii="Cambria Math" w:hAnsi="Cambria Math"/>
          <w:sz w:val="23"/>
          <w:szCs w:val="23"/>
          <w:rtl/>
        </w:rPr>
        <w:t xml:space="preserve"> است. خط مستقیم</w:t>
      </w:r>
      <w:r w:rsidRPr="00A309A0">
        <w:rPr>
          <w:rFonts w:ascii="Cambria Math" w:hAnsi="Cambria Math" w:hint="cs"/>
          <w:sz w:val="23"/>
          <w:szCs w:val="23"/>
          <w:rtl/>
        </w:rPr>
        <w:t>ی</w:t>
      </w:r>
      <w:r w:rsidRPr="00A309A0">
        <w:rPr>
          <w:rFonts w:ascii="Cambria Math" w:hAnsi="Cambria Math"/>
          <w:sz w:val="23"/>
          <w:szCs w:val="23"/>
          <w:rtl/>
        </w:rPr>
        <w:t xml:space="preserve"> که از مرکز مختصات و با شیب</w:t>
      </w:r>
      <w:r w:rsidRPr="00B92922">
        <w:rPr>
          <w:position w:val="-6"/>
        </w:rPr>
        <w:object w:dxaOrig="200" w:dyaOrig="260" w14:anchorId="06399D02">
          <v:shape id="_x0000_i1084" type="#_x0000_t75" style="width:10.3pt;height:12.7pt" o:ole="">
            <v:imagedata r:id="rId127" o:title=""/>
          </v:shape>
          <o:OLEObject Type="Embed" ProgID="Equation.DSMT4" ShapeID="_x0000_i1084" DrawAspect="Content" ObjectID="_1791375028" r:id="rId128"/>
        </w:object>
      </w:r>
      <w:r w:rsidRPr="00A309A0">
        <w:rPr>
          <w:rFonts w:ascii="Cambria Math" w:hAnsi="Cambria Math"/>
          <w:sz w:val="23"/>
          <w:szCs w:val="23"/>
          <w:rtl/>
        </w:rPr>
        <w:t xml:space="preserve"> می</w:t>
      </w:r>
      <w:r w:rsidRPr="00A309A0">
        <w:rPr>
          <w:rFonts w:ascii="Cambria Math" w:hAnsi="Cambria Math"/>
          <w:sz w:val="23"/>
          <w:szCs w:val="23"/>
          <w:rtl/>
        </w:rPr>
        <w:softHyphen/>
        <w:t>گذرد</w:t>
      </w:r>
      <w:r w:rsidRPr="00A309A0">
        <w:rPr>
          <w:rFonts w:ascii="Cambria Math" w:hAnsi="Cambria Math" w:hint="cs"/>
          <w:sz w:val="23"/>
          <w:szCs w:val="23"/>
          <w:rtl/>
        </w:rPr>
        <w:t>،</w:t>
      </w:r>
      <w:r w:rsidRPr="00A309A0">
        <w:rPr>
          <w:rFonts w:ascii="Cambria Math" w:hAnsi="Cambria Math"/>
          <w:sz w:val="23"/>
          <w:szCs w:val="23"/>
          <w:rtl/>
        </w:rPr>
        <w:t xml:space="preserve"> سرمایه‌گذاری جایگزین</w:t>
      </w:r>
      <w:r w:rsidRPr="00A309A0">
        <w:rPr>
          <w:rStyle w:val="FootnoteReference"/>
          <w:rFonts w:ascii="Cambria Math" w:eastAsiaTheme="majorEastAsia" w:hAnsi="Cambria Math"/>
          <w:sz w:val="23"/>
          <w:szCs w:val="23"/>
          <w:rtl/>
        </w:rPr>
        <w:footnoteReference w:id="59"/>
      </w:r>
      <w:r w:rsidRPr="00A309A0">
        <w:rPr>
          <w:rFonts w:ascii="Cambria Math" w:hAnsi="Cambria Math"/>
          <w:sz w:val="23"/>
          <w:szCs w:val="23"/>
          <w:rtl/>
        </w:rPr>
        <w:t xml:space="preserve"> یا</w:t>
      </w:r>
      <w:r w:rsidRPr="00B92922">
        <w:rPr>
          <w:position w:val="-6"/>
        </w:rPr>
        <w:object w:dxaOrig="320" w:dyaOrig="260" w14:anchorId="6B491C88">
          <v:shape id="_x0000_i1085" type="#_x0000_t75" style="width:15.75pt;height:12.7pt" o:ole="">
            <v:imagedata r:id="rId129" o:title=""/>
          </v:shape>
          <o:OLEObject Type="Embed" ProgID="Equation.DSMT4" ShapeID="_x0000_i1085" DrawAspect="Content" ObjectID="_1791375029" r:id="rId130"/>
        </w:object>
      </w:r>
      <w:r w:rsidRPr="00A309A0">
        <w:rPr>
          <w:rFonts w:ascii="Cambria Math" w:eastAsiaTheme="minorEastAsia" w:hAnsi="Cambria Math"/>
          <w:sz w:val="23"/>
          <w:szCs w:val="23"/>
          <w:rtl/>
        </w:rPr>
        <w:t xml:space="preserve"> است که بابت استهلاک موجودی سرمایه </w:t>
      </w:r>
      <w:r w:rsidRPr="00A309A0">
        <w:rPr>
          <w:rFonts w:ascii="Cambria Math" w:eastAsiaTheme="minorEastAsia" w:hAnsi="Cambria Math" w:hint="cs"/>
          <w:sz w:val="23"/>
          <w:szCs w:val="23"/>
          <w:rtl/>
        </w:rPr>
        <w:t>صورت می</w:t>
      </w:r>
      <w:r w:rsidRPr="00A309A0">
        <w:rPr>
          <w:rFonts w:ascii="Cambria Math" w:eastAsiaTheme="minorEastAsia" w:hAnsi="Cambria Math"/>
          <w:sz w:val="23"/>
          <w:szCs w:val="23"/>
          <w:rtl/>
        </w:rPr>
        <w:softHyphen/>
      </w:r>
      <w:r w:rsidRPr="00A309A0">
        <w:rPr>
          <w:rFonts w:ascii="Cambria Math" w:eastAsiaTheme="minorEastAsia" w:hAnsi="Cambria Math" w:hint="cs"/>
          <w:sz w:val="23"/>
          <w:szCs w:val="23"/>
          <w:rtl/>
        </w:rPr>
        <w:t>گیرد</w:t>
      </w:r>
      <w:r w:rsidRPr="00A309A0">
        <w:rPr>
          <w:rFonts w:ascii="Cambria Math" w:eastAsiaTheme="minorEastAsia" w:hAnsi="Cambria Math"/>
          <w:sz w:val="23"/>
          <w:szCs w:val="23"/>
          <w:rtl/>
        </w:rPr>
        <w:t>.</w:t>
      </w:r>
      <w:r w:rsidRPr="00A309A0">
        <w:rPr>
          <w:rFonts w:ascii="Cambria Math" w:hAnsi="Cambria Math"/>
          <w:sz w:val="23"/>
          <w:szCs w:val="23"/>
          <w:rtl/>
        </w:rPr>
        <w:t xml:space="preserve"> </w:t>
      </w:r>
      <w:r w:rsidRPr="00A309A0">
        <w:rPr>
          <w:rFonts w:ascii="Cambria Math" w:hAnsi="Cambria Math" w:hint="cs"/>
          <w:sz w:val="23"/>
          <w:szCs w:val="23"/>
          <w:rtl/>
        </w:rPr>
        <w:t>از معادله</w:t>
      </w:r>
      <w:r w:rsidRPr="00A309A0">
        <w:rPr>
          <w:rFonts w:ascii="Cambria Math" w:hAnsi="Cambria Math"/>
          <w:sz w:val="23"/>
          <w:szCs w:val="23"/>
          <w:rtl/>
        </w:rPr>
        <w:softHyphen/>
      </w:r>
      <w:r w:rsidRPr="00A309A0">
        <w:rPr>
          <w:rFonts w:ascii="Cambria Math" w:hAnsi="Cambria Math" w:hint="cs"/>
          <w:sz w:val="23"/>
          <w:szCs w:val="23"/>
          <w:rtl/>
        </w:rPr>
        <w:t xml:space="preserve">ی (۲. ۵) </w:t>
      </w:r>
      <w:r w:rsidRPr="00A309A0">
        <w:rPr>
          <w:rFonts w:ascii="Cambria Math" w:hAnsi="Cambria Math"/>
          <w:sz w:val="23"/>
          <w:szCs w:val="23"/>
          <w:rtl/>
        </w:rPr>
        <w:t xml:space="preserve">تفاوت بین تولید از </w:t>
      </w:r>
      <w:r w:rsidRPr="00A309A0">
        <w:rPr>
          <w:rFonts w:ascii="Cambria Math" w:hAnsi="Cambria Math" w:hint="cs"/>
          <w:sz w:val="23"/>
          <w:szCs w:val="23"/>
          <w:rtl/>
        </w:rPr>
        <w:t xml:space="preserve">استهلاک موجودی سرمایه که همان </w:t>
      </w:r>
      <w:r w:rsidRPr="00A309A0">
        <w:rPr>
          <w:rFonts w:ascii="Cambria Math" w:hAnsi="Cambria Math"/>
          <w:sz w:val="23"/>
          <w:szCs w:val="23"/>
          <w:rtl/>
        </w:rPr>
        <w:t>سرمایه</w:t>
      </w:r>
      <w:r w:rsidRPr="00A309A0">
        <w:rPr>
          <w:rFonts w:ascii="Cambria Math" w:hAnsi="Cambria Math"/>
          <w:sz w:val="23"/>
          <w:szCs w:val="23"/>
          <w:rtl/>
        </w:rPr>
        <w:softHyphen/>
        <w:t>گذاری جایگزین</w:t>
      </w:r>
      <w:r w:rsidRPr="00A309A0">
        <w:rPr>
          <w:rFonts w:ascii="Cambria Math" w:hAnsi="Cambria Math" w:hint="cs"/>
          <w:sz w:val="23"/>
          <w:szCs w:val="23"/>
          <w:rtl/>
        </w:rPr>
        <w:t xml:space="preserve"> است برابر خواهد بود با </w:t>
      </w:r>
      <w:r w:rsidRPr="00A309A0">
        <w:rPr>
          <w:rFonts w:ascii="Cambria Math" w:hAnsi="Cambria Math"/>
          <w:sz w:val="23"/>
          <w:szCs w:val="23"/>
          <w:rtl/>
        </w:rPr>
        <w:t>مصرف بعلاوه سرمایه‌گذاری خالص</w:t>
      </w:r>
      <w:r w:rsidRPr="00A309A0">
        <w:rPr>
          <w:rFonts w:ascii="Cambria Math" w:hAnsi="Cambria Math" w:hint="cs"/>
          <w:sz w:val="23"/>
          <w:szCs w:val="23"/>
          <w:rtl/>
        </w:rPr>
        <w:t>،</w:t>
      </w:r>
      <w:r w:rsidRPr="00A309A0">
        <w:rPr>
          <w:rFonts w:ascii="Cambria Math" w:hAnsi="Cambria Math"/>
          <w:sz w:val="23"/>
          <w:szCs w:val="23"/>
          <w:rtl/>
        </w:rPr>
        <w:t xml:space="preserve"> یا </w:t>
      </w:r>
      <w:r w:rsidRPr="00A309A0">
        <w:rPr>
          <w:rFonts w:ascii="Cambria Math" w:hAnsi="Cambria Math" w:hint="cs"/>
          <w:sz w:val="23"/>
          <w:szCs w:val="23"/>
          <w:rtl/>
        </w:rPr>
        <w:t xml:space="preserve">مصرف بعلاوه تغییر در </w:t>
      </w:r>
      <w:r w:rsidRPr="00A309A0">
        <w:rPr>
          <w:rFonts w:ascii="Cambria Math" w:hAnsi="Cambria Math"/>
          <w:sz w:val="23"/>
          <w:szCs w:val="23"/>
          <w:rtl/>
        </w:rPr>
        <w:t xml:space="preserve">انباشت سرمایه. به عبارتی، </w:t>
      </w:r>
    </w:p>
    <w:p w14:paraId="07FD1F75" w14:textId="77777777" w:rsidR="00411620" w:rsidRPr="00A309A0" w:rsidRDefault="00411620" w:rsidP="00411620">
      <w:pPr>
        <w:bidi w:val="0"/>
        <w:spacing w:line="216" w:lineRule="auto"/>
        <w:jc w:val="left"/>
        <w:rPr>
          <w:rFonts w:ascii="Cambria Math" w:hAnsi="Cambria Math"/>
          <w:sz w:val="23"/>
          <w:szCs w:val="23"/>
        </w:rPr>
      </w:pPr>
      <w:r w:rsidRPr="00B92922">
        <w:rPr>
          <w:position w:val="-12"/>
        </w:rPr>
        <w:object w:dxaOrig="2100" w:dyaOrig="360" w14:anchorId="6ED88032">
          <v:shape id="_x0000_i1086" type="#_x0000_t75" style="width:105.3pt;height:18.15pt" o:ole="">
            <v:imagedata r:id="rId131" o:title=""/>
          </v:shape>
          <o:OLEObject Type="Embed" ProgID="Equation.DSMT4" ShapeID="_x0000_i1086" DrawAspect="Content" ObjectID="_1791375030" r:id="rId132"/>
        </w:object>
      </w:r>
      <w:r w:rsidRPr="00A309A0">
        <w:rPr>
          <w:rFonts w:ascii="Cambria Math" w:hAnsi="Cambria Math"/>
          <w:sz w:val="23"/>
          <w:szCs w:val="23"/>
        </w:rPr>
        <w:t xml:space="preserve"> </w:t>
      </w:r>
    </w:p>
    <w:p w14:paraId="14AC935D" w14:textId="77777777" w:rsidR="00411620" w:rsidRPr="00A309A0" w:rsidRDefault="00411620" w:rsidP="00411620">
      <w:pPr>
        <w:spacing w:line="216" w:lineRule="auto"/>
        <w:rPr>
          <w:rFonts w:ascii="Cambria Math" w:eastAsiaTheme="minorEastAsia" w:hAnsi="Cambria Math"/>
          <w:sz w:val="23"/>
          <w:szCs w:val="23"/>
          <w:rtl/>
        </w:rPr>
      </w:pPr>
      <w:r w:rsidRPr="00A309A0">
        <w:rPr>
          <w:rFonts w:ascii="Cambria Math" w:hAnsi="Cambria Math" w:hint="cs"/>
          <w:sz w:val="23"/>
          <w:szCs w:val="23"/>
          <w:rtl/>
        </w:rPr>
        <w:t>و</w:t>
      </w:r>
      <w:r w:rsidRPr="00A309A0">
        <w:rPr>
          <w:rFonts w:ascii="Cambria Math" w:hAnsi="Cambria Math"/>
          <w:sz w:val="23"/>
          <w:szCs w:val="23"/>
          <w:rtl/>
        </w:rPr>
        <w:t xml:space="preserve"> چون در بلندمدت</w:t>
      </w:r>
      <w:r w:rsidRPr="00A309A0">
        <w:rPr>
          <w:rFonts w:ascii="Cambria Math" w:hAnsi="Cambria Math" w:hint="cs"/>
          <w:sz w:val="23"/>
          <w:szCs w:val="23"/>
          <w:rtl/>
        </w:rPr>
        <w:t xml:space="preserve"> و در تعادل ایستا،</w:t>
      </w:r>
      <w:r w:rsidRPr="00A309A0">
        <w:rPr>
          <w:rFonts w:ascii="Cambria Math" w:hAnsi="Cambria Math"/>
          <w:sz w:val="23"/>
          <w:szCs w:val="23"/>
          <w:rtl/>
        </w:rPr>
        <w:t xml:space="preserve"> </w:t>
      </w:r>
      <w:r w:rsidRPr="00A309A0">
        <w:rPr>
          <w:rFonts w:ascii="Cambria Math" w:hAnsi="Cambria Math" w:hint="cs"/>
          <w:sz w:val="23"/>
          <w:szCs w:val="23"/>
          <w:rtl/>
        </w:rPr>
        <w:t xml:space="preserve">تغییرات </w:t>
      </w:r>
      <w:r w:rsidRPr="00A309A0">
        <w:rPr>
          <w:rFonts w:ascii="Cambria Math" w:hAnsi="Cambria Math"/>
          <w:sz w:val="23"/>
          <w:szCs w:val="23"/>
          <w:rtl/>
        </w:rPr>
        <w:t>انباشت سرمایه برابر</w:t>
      </w:r>
      <w:r w:rsidRPr="00A309A0">
        <w:rPr>
          <w:rFonts w:ascii="Cambria Math" w:hAnsi="Cambria Math" w:hint="cs"/>
          <w:sz w:val="23"/>
          <w:szCs w:val="23"/>
          <w:rtl/>
        </w:rPr>
        <w:t xml:space="preserve"> با</w:t>
      </w:r>
      <w:r w:rsidRPr="00A309A0">
        <w:rPr>
          <w:rFonts w:ascii="Cambria Math" w:hAnsi="Cambria Math"/>
          <w:sz w:val="23"/>
          <w:szCs w:val="23"/>
          <w:rtl/>
        </w:rPr>
        <w:t xml:space="preserve"> صفر </w:t>
      </w:r>
      <w:r w:rsidRPr="00A309A0">
        <w:rPr>
          <w:rFonts w:ascii="Cambria Math" w:hAnsi="Cambria Math" w:hint="cs"/>
          <w:sz w:val="23"/>
          <w:szCs w:val="23"/>
          <w:rtl/>
        </w:rPr>
        <w:t>است</w:t>
      </w:r>
      <w:r>
        <w:rPr>
          <w:rFonts w:ascii="Cambria Math" w:hAnsi="Cambria Math" w:hint="cs"/>
          <w:sz w:val="23"/>
          <w:szCs w:val="23"/>
          <w:rtl/>
        </w:rPr>
        <w:t>،</w:t>
      </w:r>
      <w:r w:rsidRPr="00A309A0">
        <w:rPr>
          <w:rFonts w:ascii="Cambria Math" w:hAnsi="Cambria Math" w:hint="cs"/>
          <w:sz w:val="23"/>
          <w:szCs w:val="23"/>
          <w:rtl/>
        </w:rPr>
        <w:t xml:space="preserve"> </w:t>
      </w:r>
      <w:r w:rsidRPr="00B92922">
        <w:rPr>
          <w:position w:val="-10"/>
        </w:rPr>
        <w:object w:dxaOrig="859" w:dyaOrig="320" w14:anchorId="02BAE27F">
          <v:shape id="_x0000_i1087" type="#_x0000_t75" style="width:42.95pt;height:15.75pt" o:ole="">
            <v:imagedata r:id="rId133" o:title=""/>
          </v:shape>
          <o:OLEObject Type="Embed" ProgID="Equation.DSMT4" ShapeID="_x0000_i1087" DrawAspect="Content" ObjectID="_1791375031" r:id="rId134"/>
        </w:object>
      </w:r>
      <w:r w:rsidRPr="00A309A0">
        <w:rPr>
          <w:rFonts w:ascii="Cambria Math" w:eastAsiaTheme="minorEastAsia" w:hAnsi="Cambria Math" w:hint="cs"/>
          <w:sz w:val="23"/>
          <w:szCs w:val="23"/>
          <w:rtl/>
        </w:rPr>
        <w:t>،</w:t>
      </w:r>
      <w:r w:rsidRPr="00A309A0">
        <w:rPr>
          <w:rFonts w:ascii="Cambria Math" w:hAnsi="Cambria Math"/>
          <w:sz w:val="23"/>
          <w:szCs w:val="23"/>
          <w:rtl/>
        </w:rPr>
        <w:t xml:space="preserve"> </w:t>
      </w:r>
      <w:r w:rsidRPr="00A309A0">
        <w:rPr>
          <w:rFonts w:ascii="Cambria Math" w:eastAsiaTheme="minorEastAsia" w:hAnsi="Cambria Math"/>
          <w:sz w:val="23"/>
          <w:szCs w:val="23"/>
          <w:rtl/>
        </w:rPr>
        <w:t>لذا</w:t>
      </w:r>
    </w:p>
    <w:p w14:paraId="3B9E11AE" w14:textId="77777777" w:rsidR="00411620" w:rsidRPr="00A309A0" w:rsidRDefault="00411620" w:rsidP="00411620">
      <w:pPr>
        <w:pStyle w:val="MTDisplayEquation"/>
        <w:spacing w:line="216" w:lineRule="auto"/>
        <w:jc w:val="left"/>
        <w:rPr>
          <w:rFonts w:ascii="Cambria Math" w:hAnsi="Cambria Math" w:cs="B Nazanin"/>
          <w:sz w:val="23"/>
          <w:szCs w:val="23"/>
          <w:lang w:bidi="fa-IR"/>
        </w:rPr>
      </w:pPr>
      <w:r w:rsidRPr="00B92922">
        <w:rPr>
          <w:position w:val="-12"/>
        </w:rPr>
        <w:object w:dxaOrig="1320" w:dyaOrig="360" w14:anchorId="568FDE01">
          <v:shape id="_x0000_i1088" type="#_x0000_t75" style="width:65.95pt;height:18.15pt" o:ole="">
            <v:imagedata r:id="rId135" o:title=""/>
          </v:shape>
          <o:OLEObject Type="Embed" ProgID="Equation.DSMT4" ShapeID="_x0000_i1088" DrawAspect="Content" ObjectID="_1791375032" r:id="rId136"/>
        </w:object>
      </w:r>
    </w:p>
    <w:p w14:paraId="3A191136" w14:textId="77777777" w:rsidR="00411620" w:rsidRDefault="00411620" w:rsidP="00411620">
      <w:pPr>
        <w:spacing w:line="216" w:lineRule="auto"/>
      </w:pPr>
      <w:r w:rsidRPr="00A309A0">
        <w:rPr>
          <w:rFonts w:ascii="Cambria Math" w:hAnsi="Cambria Math"/>
          <w:sz w:val="23"/>
          <w:szCs w:val="23"/>
          <w:rtl/>
        </w:rPr>
        <w:t>معادله</w:t>
      </w:r>
      <w:r w:rsidRPr="00A309A0">
        <w:rPr>
          <w:rFonts w:ascii="Cambria Math" w:hAnsi="Cambria Math"/>
          <w:sz w:val="23"/>
          <w:szCs w:val="23"/>
          <w:rtl/>
        </w:rPr>
        <w:softHyphen/>
        <w:t xml:space="preserve">ی فوق از بازنویسی معادله </w:t>
      </w:r>
      <w:r w:rsidRPr="00A309A0">
        <w:rPr>
          <w:rFonts w:ascii="Cambria Math" w:hAnsi="Cambria Math" w:hint="cs"/>
          <w:sz w:val="23"/>
          <w:szCs w:val="23"/>
          <w:rtl/>
        </w:rPr>
        <w:t xml:space="preserve">(۲. ۵) </w:t>
      </w:r>
      <w:r w:rsidRPr="00A309A0">
        <w:rPr>
          <w:rFonts w:ascii="Cambria Math" w:eastAsiaTheme="minorEastAsia" w:hAnsi="Cambria Math"/>
          <w:sz w:val="23"/>
          <w:szCs w:val="23"/>
          <w:rtl/>
          <w:lang w:val="en-GB"/>
        </w:rPr>
        <w:t xml:space="preserve">در بلندمدت </w:t>
      </w:r>
      <w:r w:rsidRPr="00A309A0">
        <w:rPr>
          <w:rFonts w:ascii="Cambria Math" w:hAnsi="Cambria Math"/>
          <w:sz w:val="23"/>
          <w:szCs w:val="23"/>
          <w:rtl/>
        </w:rPr>
        <w:t>بدست آمده است. حداکثر مصرف زمانی</w:t>
      </w:r>
      <w:r w:rsidRPr="00A309A0">
        <w:rPr>
          <w:rFonts w:ascii="Cambria Math" w:hAnsi="Cambria Math" w:hint="cs"/>
          <w:sz w:val="23"/>
          <w:szCs w:val="23"/>
          <w:rtl/>
        </w:rPr>
        <w:t xml:space="preserve"> بدست می</w:t>
      </w:r>
      <w:r w:rsidRPr="00A309A0">
        <w:rPr>
          <w:rFonts w:ascii="Cambria Math" w:hAnsi="Cambria Math"/>
          <w:sz w:val="23"/>
          <w:szCs w:val="23"/>
          <w:rtl/>
        </w:rPr>
        <w:softHyphen/>
      </w:r>
      <w:r w:rsidRPr="00A309A0">
        <w:rPr>
          <w:rFonts w:ascii="Cambria Math" w:hAnsi="Cambria Math" w:hint="cs"/>
          <w:sz w:val="23"/>
          <w:szCs w:val="23"/>
          <w:rtl/>
        </w:rPr>
        <w:t>آید</w:t>
      </w:r>
      <w:r w:rsidRPr="00A309A0">
        <w:rPr>
          <w:rFonts w:ascii="Cambria Math" w:hAnsi="Cambria Math"/>
          <w:sz w:val="23"/>
          <w:szCs w:val="23"/>
          <w:rtl/>
        </w:rPr>
        <w:t xml:space="preserve"> که تولید نهایی </w:t>
      </w:r>
      <w:r w:rsidRPr="00A309A0">
        <w:rPr>
          <w:rFonts w:ascii="Cambria Math" w:hAnsi="Cambria Math" w:hint="cs"/>
          <w:sz w:val="23"/>
          <w:szCs w:val="23"/>
          <w:rtl/>
        </w:rPr>
        <w:t xml:space="preserve">موجودی </w:t>
      </w:r>
      <w:r w:rsidRPr="00A309A0">
        <w:rPr>
          <w:rFonts w:ascii="Cambria Math" w:hAnsi="Cambria Math"/>
          <w:sz w:val="23"/>
          <w:szCs w:val="23"/>
          <w:rtl/>
        </w:rPr>
        <w:t>سرمایه برابر با نرخ استهلاک شود</w:t>
      </w:r>
      <w:r w:rsidRPr="00A309A0">
        <w:rPr>
          <w:rFonts w:ascii="Cambria Math" w:hAnsi="Cambria Math" w:hint="cs"/>
          <w:sz w:val="23"/>
          <w:szCs w:val="23"/>
          <w:rtl/>
        </w:rPr>
        <w:t>،</w:t>
      </w:r>
      <w:r w:rsidRPr="00A309A0">
        <w:rPr>
          <w:rFonts w:ascii="Cambria Math" w:hAnsi="Cambria Math"/>
          <w:sz w:val="23"/>
          <w:szCs w:val="23"/>
          <w:rtl/>
        </w:rPr>
        <w:t xml:space="preserve"> و یا شیب تابع تولید برابر با شیب تابع سرمایه</w:t>
      </w:r>
      <w:r w:rsidRPr="00A309A0">
        <w:rPr>
          <w:rFonts w:ascii="Cambria Math" w:hAnsi="Cambria Math"/>
          <w:sz w:val="23"/>
          <w:szCs w:val="23"/>
          <w:rtl/>
        </w:rPr>
        <w:softHyphen/>
        <w:t>گذاری</w:t>
      </w:r>
      <w:r w:rsidRPr="00A309A0">
        <w:rPr>
          <w:rFonts w:ascii="Cambria Math" w:hAnsi="Cambria Math" w:hint="cs"/>
          <w:sz w:val="23"/>
          <w:szCs w:val="23"/>
          <w:rtl/>
        </w:rPr>
        <w:t xml:space="preserve"> </w:t>
      </w:r>
      <w:r w:rsidRPr="00A309A0">
        <w:rPr>
          <w:rFonts w:ascii="Cambria Math" w:hAnsi="Cambria Math"/>
          <w:sz w:val="23"/>
          <w:szCs w:val="23"/>
          <w:rtl/>
        </w:rPr>
        <w:t xml:space="preserve">جایگزین باشد. نمودار </w:t>
      </w:r>
      <w:r w:rsidRPr="00A309A0">
        <w:rPr>
          <w:rFonts w:ascii="Cambria Math" w:hAnsi="Cambria Math" w:hint="cs"/>
          <w:sz w:val="23"/>
          <w:szCs w:val="23"/>
          <w:rtl/>
        </w:rPr>
        <w:t xml:space="preserve">۲. ۳ </w:t>
      </w:r>
      <w:r w:rsidRPr="00A309A0">
        <w:rPr>
          <w:rFonts w:ascii="Cambria Math" w:hAnsi="Cambria Math"/>
          <w:sz w:val="23"/>
          <w:szCs w:val="23"/>
          <w:rtl/>
        </w:rPr>
        <w:t xml:space="preserve">روش دیگری است برای بدست آوردن حداکثر مصرف بر حسب موجودی سرمایه. نقاط بالای منحنی </w:t>
      </w:r>
      <w:r w:rsidRPr="00B92922">
        <w:rPr>
          <w:position w:val="-14"/>
        </w:rPr>
        <w:object w:dxaOrig="2140" w:dyaOrig="380" w14:anchorId="6844AB39">
          <v:shape id="_x0000_i1089" type="#_x0000_t75" style="width:107.1pt;height:19.35pt" o:ole="">
            <v:imagedata r:id="rId137" o:title=""/>
          </v:shape>
          <o:OLEObject Type="Embed" ProgID="Equation.DSMT4" ShapeID="_x0000_i1089" DrawAspect="Content" ObjectID="_1791375033" r:id="rId138"/>
        </w:object>
      </w:r>
      <w:r>
        <w:rPr>
          <w:rFonts w:hint="cs"/>
          <w:rtl/>
        </w:rPr>
        <w:t xml:space="preserve"> </w:t>
      </w:r>
      <w:r w:rsidRPr="00A309A0">
        <w:rPr>
          <w:rFonts w:ascii="Cambria Math" w:hAnsi="Cambria Math"/>
          <w:sz w:val="23"/>
          <w:szCs w:val="23"/>
          <w:rtl/>
        </w:rPr>
        <w:t xml:space="preserve">قابل دسترس نیست. حداکثر سطح مصرف بعلاوه سرمایه‌گذاری خالص زمانی است که </w:t>
      </w:r>
      <w:r w:rsidRPr="00A309A0">
        <w:rPr>
          <w:rFonts w:ascii="Cambria Math" w:hAnsi="Cambria Math" w:hint="cs"/>
          <w:sz w:val="23"/>
          <w:szCs w:val="23"/>
          <w:rtl/>
        </w:rPr>
        <w:t>شی</w:t>
      </w:r>
      <w:r w:rsidRPr="00A309A0">
        <w:rPr>
          <w:rFonts w:ascii="Cambria Math" w:hAnsi="Cambria Math"/>
          <w:sz w:val="23"/>
          <w:szCs w:val="23"/>
          <w:rtl/>
        </w:rPr>
        <w:t>ب</w:t>
      </w:r>
      <w:r>
        <w:rPr>
          <w:rFonts w:ascii="Cambria Math" w:hAnsi="Cambria Math" w:hint="cs"/>
          <w:sz w:val="23"/>
          <w:szCs w:val="23"/>
          <w:rtl/>
        </w:rPr>
        <w:t xml:space="preserve"> </w:t>
      </w:r>
      <w:r w:rsidRPr="00A309A0">
        <w:rPr>
          <w:rFonts w:ascii="Cambria Math" w:hAnsi="Cambria Math"/>
          <w:sz w:val="23"/>
          <w:szCs w:val="23"/>
          <w:rtl/>
        </w:rPr>
        <w:t>منحنی</w:t>
      </w:r>
    </w:p>
    <w:p w14:paraId="6EB605A7" w14:textId="77777777" w:rsidR="00411620" w:rsidRPr="00A309A0" w:rsidRDefault="00411620" w:rsidP="00411620">
      <w:pPr>
        <w:spacing w:line="216" w:lineRule="auto"/>
        <w:jc w:val="center"/>
        <w:rPr>
          <w:rFonts w:ascii="Cambria Math" w:hAnsi="Cambria Math"/>
          <w:sz w:val="23"/>
          <w:szCs w:val="23"/>
          <w:rtl/>
        </w:rPr>
      </w:pPr>
      <w:r w:rsidRPr="00A309A0">
        <w:rPr>
          <w:rFonts w:ascii="Cambria Math" w:hAnsi="Cambria Math" w:hint="cs"/>
          <w:sz w:val="23"/>
          <w:szCs w:val="23"/>
          <w:rtl/>
        </w:rPr>
        <w:t>نمودار</w:t>
      </w:r>
      <w:r w:rsidRPr="00A309A0">
        <w:rPr>
          <w:rFonts w:ascii="Cambria Math" w:hAnsi="Cambria Math"/>
          <w:sz w:val="23"/>
          <w:szCs w:val="23"/>
          <w:rtl/>
        </w:rPr>
        <w:t xml:space="preserve"> </w:t>
      </w:r>
      <w:r w:rsidRPr="00A309A0">
        <w:rPr>
          <w:rFonts w:ascii="Cambria Math" w:hAnsi="Cambria Math" w:hint="cs"/>
          <w:sz w:val="23"/>
          <w:szCs w:val="23"/>
          <w:rtl/>
        </w:rPr>
        <w:t>۲. ۱</w:t>
      </w:r>
    </w:p>
    <w:p w14:paraId="5803CAFB" w14:textId="77777777" w:rsidR="00411620" w:rsidRPr="00A309A0" w:rsidRDefault="00411620" w:rsidP="00411620">
      <w:pPr>
        <w:spacing w:line="216" w:lineRule="auto"/>
        <w:jc w:val="center"/>
        <w:rPr>
          <w:rFonts w:ascii="Cambria Math" w:hAnsi="Cambria Math"/>
          <w:sz w:val="23"/>
          <w:szCs w:val="23"/>
          <w:rtl/>
        </w:rPr>
      </w:pPr>
      <w:r w:rsidRPr="00A309A0">
        <w:rPr>
          <w:rFonts w:ascii="Cambria Math" w:hAnsi="Cambria Math"/>
          <w:noProof/>
          <w:sz w:val="23"/>
          <w:szCs w:val="23"/>
          <w:u w:val="single"/>
          <w:rtl/>
          <w:lang w:bidi="ar-SA"/>
        </w:rPr>
        <w:lastRenderedPageBreak/>
        <w:drawing>
          <wp:inline distT="0" distB="0" distL="0" distR="0" wp14:anchorId="74759AF7" wp14:editId="5EC6EFF0">
            <wp:extent cx="3651943" cy="1825752"/>
            <wp:effectExtent l="38100" t="38100" r="43815" b="412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lum contrast="20000"/>
                      <a:extLst>
                        <a:ext uri="{28A0092B-C50C-407E-A947-70E740481C1C}">
                          <a14:useLocalDpi xmlns:a14="http://schemas.microsoft.com/office/drawing/2010/main" val="0"/>
                        </a:ext>
                      </a:extLst>
                    </a:blip>
                    <a:srcRect/>
                    <a:stretch>
                      <a:fillRect/>
                    </a:stretch>
                  </pic:blipFill>
                  <pic:spPr bwMode="auto">
                    <a:xfrm>
                      <a:off x="0" y="0"/>
                      <a:ext cx="3667712" cy="1833636"/>
                    </a:xfrm>
                    <a:prstGeom prst="rect">
                      <a:avLst/>
                    </a:prstGeom>
                    <a:ln w="28575">
                      <a:solidFill>
                        <a:schemeClr val="tx1"/>
                      </a:solidFill>
                    </a:ln>
                  </pic:spPr>
                </pic:pic>
              </a:graphicData>
            </a:graphic>
          </wp:inline>
        </w:drawing>
      </w:r>
    </w:p>
    <w:p w14:paraId="248EEE01" w14:textId="77777777" w:rsidR="00411620" w:rsidRPr="00A309A0" w:rsidRDefault="00411620" w:rsidP="00411620">
      <w:pPr>
        <w:spacing w:line="216" w:lineRule="auto"/>
        <w:jc w:val="center"/>
        <w:rPr>
          <w:rFonts w:ascii="Cambria Math" w:hAnsi="Cambria Math"/>
          <w:sz w:val="23"/>
          <w:szCs w:val="23"/>
          <w:rtl/>
        </w:rPr>
      </w:pPr>
      <w:r w:rsidRPr="00A309A0">
        <w:rPr>
          <w:rFonts w:ascii="Cambria Math" w:hAnsi="Cambria Math" w:hint="cs"/>
          <w:sz w:val="23"/>
          <w:szCs w:val="23"/>
          <w:rtl/>
        </w:rPr>
        <w:t>نمودار</w:t>
      </w:r>
      <w:r w:rsidRPr="00A309A0">
        <w:rPr>
          <w:rFonts w:ascii="Cambria Math" w:hAnsi="Cambria Math"/>
          <w:sz w:val="23"/>
          <w:szCs w:val="23"/>
          <w:rtl/>
        </w:rPr>
        <w:t xml:space="preserve"> </w:t>
      </w:r>
      <w:r w:rsidRPr="00A309A0">
        <w:rPr>
          <w:rFonts w:ascii="Cambria Math" w:hAnsi="Cambria Math" w:hint="cs"/>
          <w:sz w:val="23"/>
          <w:szCs w:val="23"/>
          <w:rtl/>
        </w:rPr>
        <w:t>۲. ۲</w:t>
      </w:r>
    </w:p>
    <w:p w14:paraId="1A4D68A5" w14:textId="77777777" w:rsidR="00411620" w:rsidRPr="00A309A0" w:rsidRDefault="00411620" w:rsidP="00411620">
      <w:pPr>
        <w:spacing w:line="216" w:lineRule="auto"/>
        <w:jc w:val="center"/>
        <w:rPr>
          <w:rFonts w:ascii="Cambria Math" w:hAnsi="Cambria Math"/>
          <w:sz w:val="23"/>
          <w:szCs w:val="23"/>
          <w:u w:val="single"/>
          <w:rtl/>
        </w:rPr>
      </w:pPr>
      <w:r w:rsidRPr="00A309A0">
        <w:rPr>
          <w:rFonts w:ascii="Cambria Math" w:hAnsi="Cambria Math"/>
          <w:noProof/>
          <w:sz w:val="23"/>
          <w:szCs w:val="23"/>
          <w:u w:val="single"/>
          <w:rtl/>
          <w:lang w:bidi="ar-SA"/>
        </w:rPr>
        <w:drawing>
          <wp:inline distT="0" distB="0" distL="0" distR="0" wp14:anchorId="10EFADEC" wp14:editId="55EFE125">
            <wp:extent cx="3651852" cy="1821366"/>
            <wp:effectExtent l="38100" t="38100" r="44450" b="457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lum contrast="20000"/>
                      <a:extLst>
                        <a:ext uri="{28A0092B-C50C-407E-A947-70E740481C1C}">
                          <a14:useLocalDpi xmlns:a14="http://schemas.microsoft.com/office/drawing/2010/main" val="0"/>
                        </a:ext>
                      </a:extLst>
                    </a:blip>
                    <a:srcRect/>
                    <a:stretch>
                      <a:fillRect/>
                    </a:stretch>
                  </pic:blipFill>
                  <pic:spPr bwMode="auto">
                    <a:xfrm>
                      <a:off x="0" y="0"/>
                      <a:ext cx="3675917" cy="1833368"/>
                    </a:xfrm>
                    <a:prstGeom prst="rect">
                      <a:avLst/>
                    </a:prstGeom>
                    <a:ln w="28575">
                      <a:solidFill>
                        <a:schemeClr val="tx1"/>
                      </a:solidFill>
                    </a:ln>
                  </pic:spPr>
                </pic:pic>
              </a:graphicData>
            </a:graphic>
          </wp:inline>
        </w:drawing>
      </w:r>
    </w:p>
    <w:p w14:paraId="26B431F9" w14:textId="77777777" w:rsidR="00411620" w:rsidRPr="00A309A0" w:rsidRDefault="00411620" w:rsidP="00411620">
      <w:pPr>
        <w:spacing w:line="216" w:lineRule="auto"/>
        <w:jc w:val="center"/>
        <w:rPr>
          <w:rFonts w:ascii="Cambria Math" w:hAnsi="Cambria Math"/>
          <w:sz w:val="23"/>
          <w:szCs w:val="23"/>
          <w:rtl/>
        </w:rPr>
      </w:pPr>
      <w:r w:rsidRPr="00A309A0">
        <w:rPr>
          <w:rFonts w:ascii="Cambria Math" w:hAnsi="Cambria Math" w:hint="cs"/>
          <w:sz w:val="23"/>
          <w:szCs w:val="23"/>
          <w:rtl/>
        </w:rPr>
        <w:t>نمودار</w:t>
      </w:r>
      <w:r w:rsidRPr="00A309A0">
        <w:rPr>
          <w:rFonts w:ascii="Cambria Math" w:hAnsi="Cambria Math"/>
          <w:sz w:val="23"/>
          <w:szCs w:val="23"/>
          <w:rtl/>
        </w:rPr>
        <w:t xml:space="preserve"> </w:t>
      </w:r>
      <w:r w:rsidRPr="00A309A0">
        <w:rPr>
          <w:rFonts w:ascii="Cambria Math" w:hAnsi="Cambria Math" w:hint="cs"/>
          <w:sz w:val="23"/>
          <w:szCs w:val="23"/>
          <w:rtl/>
        </w:rPr>
        <w:t>۲. ۳</w:t>
      </w:r>
    </w:p>
    <w:p w14:paraId="69EDE17D" w14:textId="77777777" w:rsidR="00411620" w:rsidRPr="00A309A0" w:rsidRDefault="00411620" w:rsidP="00411620">
      <w:pPr>
        <w:spacing w:line="216" w:lineRule="auto"/>
        <w:jc w:val="center"/>
        <w:rPr>
          <w:rFonts w:ascii="Cambria Math" w:hAnsi="Cambria Math"/>
          <w:sz w:val="23"/>
          <w:szCs w:val="23"/>
          <w:rtl/>
        </w:rPr>
      </w:pPr>
      <w:r w:rsidRPr="00A309A0">
        <w:rPr>
          <w:rFonts w:ascii="Cambria Math" w:hAnsi="Cambria Math"/>
          <w:noProof/>
          <w:sz w:val="23"/>
          <w:szCs w:val="23"/>
          <w:u w:val="single"/>
          <w:rtl/>
          <w:lang w:bidi="ar-SA"/>
        </w:rPr>
        <w:drawing>
          <wp:inline distT="0" distB="0" distL="0" distR="0" wp14:anchorId="6E9D1AEF" wp14:editId="1C1F4281">
            <wp:extent cx="3655247" cy="1821366"/>
            <wp:effectExtent l="38100" t="38100" r="40640" b="457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print">
                      <a:lum contrast="20000"/>
                      <a:extLst>
                        <a:ext uri="{28A0092B-C50C-407E-A947-70E740481C1C}">
                          <a14:useLocalDpi xmlns:a14="http://schemas.microsoft.com/office/drawing/2010/main" val="0"/>
                        </a:ext>
                      </a:extLst>
                    </a:blip>
                    <a:srcRect/>
                    <a:stretch>
                      <a:fillRect/>
                    </a:stretch>
                  </pic:blipFill>
                  <pic:spPr bwMode="auto">
                    <a:xfrm>
                      <a:off x="0" y="0"/>
                      <a:ext cx="3657600" cy="1822538"/>
                    </a:xfrm>
                    <a:prstGeom prst="rect">
                      <a:avLst/>
                    </a:prstGeom>
                    <a:ln w="28575">
                      <a:solidFill>
                        <a:schemeClr val="tx1"/>
                      </a:solidFill>
                    </a:ln>
                  </pic:spPr>
                </pic:pic>
              </a:graphicData>
            </a:graphic>
          </wp:inline>
        </w:drawing>
      </w:r>
    </w:p>
    <w:p w14:paraId="65F075EA" w14:textId="77777777" w:rsidR="00411620" w:rsidRPr="00A309A0" w:rsidRDefault="00411620" w:rsidP="00411620">
      <w:pPr>
        <w:spacing w:line="216" w:lineRule="auto"/>
        <w:rPr>
          <w:rFonts w:ascii="Cambria Math" w:hAnsi="Cambria Math"/>
          <w:sz w:val="23"/>
          <w:szCs w:val="23"/>
        </w:rPr>
      </w:pPr>
      <w:r w:rsidRPr="00B92922">
        <w:rPr>
          <w:position w:val="-10"/>
        </w:rPr>
        <w:object w:dxaOrig="700" w:dyaOrig="320" w14:anchorId="2D6998E7">
          <v:shape id="_x0000_i1090" type="#_x0000_t75" style="width:35.1pt;height:15.75pt" o:ole="">
            <v:imagedata r:id="rId142" o:title=""/>
          </v:shape>
          <o:OLEObject Type="Embed" ProgID="Equation.DSMT4" ShapeID="_x0000_i1090" DrawAspect="Content" ObjectID="_1791375034" r:id="rId143"/>
        </w:object>
      </w:r>
      <w:r w:rsidRPr="00A309A0">
        <w:rPr>
          <w:rFonts w:ascii="Cambria Math" w:hAnsi="Cambria Math" w:hint="cs"/>
          <w:sz w:val="23"/>
          <w:szCs w:val="23"/>
          <w:rtl/>
        </w:rPr>
        <w:t xml:space="preserve"> برابر با </w:t>
      </w:r>
      <w:r w:rsidRPr="00A309A0">
        <w:rPr>
          <w:rFonts w:ascii="Cambria Math" w:hAnsi="Cambria Math"/>
          <w:sz w:val="23"/>
          <w:szCs w:val="23"/>
          <w:rtl/>
        </w:rPr>
        <w:t>صفر باشد</w:t>
      </w:r>
      <w:r w:rsidRPr="00A309A0">
        <w:rPr>
          <w:rFonts w:ascii="Cambria Math" w:hAnsi="Cambria Math" w:hint="cs"/>
          <w:sz w:val="23"/>
          <w:szCs w:val="23"/>
          <w:rtl/>
        </w:rPr>
        <w:t>.</w:t>
      </w:r>
      <w:r w:rsidRPr="00A309A0">
        <w:rPr>
          <w:rFonts w:ascii="Cambria Math" w:hAnsi="Cambria Math"/>
          <w:sz w:val="23"/>
          <w:szCs w:val="23"/>
          <w:rtl/>
        </w:rPr>
        <w:t xml:space="preserve"> </w:t>
      </w:r>
    </w:p>
    <w:p w14:paraId="54E8755D" w14:textId="77777777" w:rsidR="00411620" w:rsidRPr="00A309A0" w:rsidRDefault="00411620" w:rsidP="00411620">
      <w:pPr>
        <w:spacing w:line="216" w:lineRule="auto"/>
        <w:rPr>
          <w:rFonts w:ascii="Cambria Math" w:hAnsi="Cambria Math"/>
          <w:sz w:val="23"/>
          <w:szCs w:val="23"/>
        </w:rPr>
      </w:pPr>
      <w:r w:rsidRPr="00A309A0">
        <w:rPr>
          <w:rFonts w:ascii="Cambria Math" w:hAnsi="Cambria Math"/>
          <w:sz w:val="23"/>
          <w:szCs w:val="23"/>
          <w:rtl/>
        </w:rPr>
        <w:lastRenderedPageBreak/>
        <w:t>اکنون می‌توان سطح مصرف بلندمدت که در آن تغییرات موجودی سرمایه در طی زمان ثابت است،</w:t>
      </w:r>
      <w:r w:rsidRPr="00A309A0">
        <w:rPr>
          <w:rFonts w:ascii="Cambria Math" w:hAnsi="Cambria Math" w:hint="cs"/>
          <w:sz w:val="23"/>
          <w:szCs w:val="23"/>
          <w:rtl/>
        </w:rPr>
        <w:t xml:space="preserve"> یعنی</w:t>
      </w:r>
      <w:r w:rsidRPr="00B92922">
        <w:rPr>
          <w:position w:val="-6"/>
        </w:rPr>
        <w:object w:dxaOrig="660" w:dyaOrig="260" w14:anchorId="471B9EAC">
          <v:shape id="_x0000_i1091" type="#_x0000_t75" style="width:32.65pt;height:12.7pt" o:ole="">
            <v:imagedata r:id="rId144" o:title=""/>
          </v:shape>
          <o:OLEObject Type="Embed" ProgID="Equation.DSMT4" ShapeID="_x0000_i1091" DrawAspect="Content" ObjectID="_1791375035" r:id="rId145"/>
        </w:object>
      </w:r>
      <w:r w:rsidRPr="00A309A0">
        <w:rPr>
          <w:rFonts w:ascii="Cambria Math" w:hAnsi="Cambria Math" w:hint="cs"/>
          <w:sz w:val="23"/>
          <w:szCs w:val="23"/>
          <w:rtl/>
        </w:rPr>
        <w:t xml:space="preserve"> </w:t>
      </w:r>
      <w:r w:rsidRPr="00A309A0">
        <w:rPr>
          <w:rFonts w:ascii="Cambria Math" w:hAnsi="Cambria Math"/>
          <w:sz w:val="23"/>
          <w:szCs w:val="23"/>
          <w:rtl/>
        </w:rPr>
        <w:t>را بدست آورد. حداکثر مصرف در بلندمدت زمانی است</w:t>
      </w:r>
      <w:r w:rsidRPr="00A309A0">
        <w:rPr>
          <w:rFonts w:ascii="Cambria Math" w:hAnsi="Cambria Math" w:hint="cs"/>
          <w:sz w:val="23"/>
          <w:szCs w:val="23"/>
          <w:rtl/>
        </w:rPr>
        <w:t xml:space="preserve"> که</w:t>
      </w:r>
      <w:r w:rsidRPr="00B92922">
        <w:rPr>
          <w:position w:val="-12"/>
        </w:rPr>
        <w:object w:dxaOrig="960" w:dyaOrig="360" w14:anchorId="09A314A3">
          <v:shape id="_x0000_i1092" type="#_x0000_t75" style="width:48.4pt;height:18.15pt" o:ole="">
            <v:imagedata r:id="rId146" o:title=""/>
          </v:shape>
          <o:OLEObject Type="Embed" ProgID="Equation.DSMT4" ShapeID="_x0000_i1092" DrawAspect="Content" ObjectID="_1791375036" r:id="rId147"/>
        </w:object>
      </w:r>
      <w:r w:rsidRPr="00A309A0">
        <w:rPr>
          <w:rFonts w:ascii="Cambria Math" w:hAnsi="Cambria Math"/>
          <w:sz w:val="23"/>
          <w:szCs w:val="23"/>
          <w:rtl/>
        </w:rPr>
        <w:t xml:space="preserve"> باشد. در این صورت سطح موجودی سرمایه</w:t>
      </w:r>
      <w:r w:rsidRPr="00A309A0">
        <w:rPr>
          <w:rFonts w:ascii="Cambria Math" w:hAnsi="Cambria Math"/>
          <w:sz w:val="23"/>
          <w:szCs w:val="23"/>
          <w:rtl/>
        </w:rPr>
        <w:softHyphen/>
        <w:t>ی بلندمدت</w:t>
      </w:r>
      <w:r w:rsidRPr="00B92922">
        <w:rPr>
          <w:position w:val="-6"/>
        </w:rPr>
        <w:object w:dxaOrig="279" w:dyaOrig="300" w14:anchorId="505B771F">
          <v:shape id="_x0000_i1093" type="#_x0000_t75" style="width:13.9pt;height:15.15pt" o:ole="">
            <v:imagedata r:id="rId148" o:title=""/>
          </v:shape>
          <o:OLEObject Type="Embed" ProgID="Equation.DSMT4" ShapeID="_x0000_i1093" DrawAspect="Content" ObjectID="_1791375037" r:id="rId149"/>
        </w:object>
      </w:r>
      <w:r w:rsidRPr="00A309A0">
        <w:rPr>
          <w:rFonts w:ascii="Cambria Math" w:hAnsi="Cambria Math"/>
          <w:sz w:val="23"/>
          <w:szCs w:val="23"/>
          <w:rtl/>
        </w:rPr>
        <w:t xml:space="preserve"> و سطح مصرف</w:t>
      </w:r>
      <w:r w:rsidRPr="00A309A0">
        <w:rPr>
          <w:rFonts w:ascii="Cambria Math" w:hAnsi="Cambria Math" w:hint="cs"/>
          <w:sz w:val="23"/>
          <w:szCs w:val="23"/>
          <w:rtl/>
        </w:rPr>
        <w:t xml:space="preserve"> بلندمدت</w:t>
      </w:r>
      <w:r w:rsidRPr="00B92922">
        <w:rPr>
          <w:position w:val="-6"/>
        </w:rPr>
        <w:object w:dxaOrig="260" w:dyaOrig="300" w14:anchorId="5FF5CC28">
          <v:shape id="_x0000_i1094" type="#_x0000_t75" style="width:12.7pt;height:15.15pt" o:ole="">
            <v:imagedata r:id="rId150" o:title=""/>
          </v:shape>
          <o:OLEObject Type="Embed" ProgID="Equation.DSMT4" ShapeID="_x0000_i1094" DrawAspect="Content" ObjectID="_1791375038" r:id="rId151"/>
        </w:object>
      </w:r>
      <w:r w:rsidRPr="00A309A0">
        <w:rPr>
          <w:rFonts w:hint="cs"/>
          <w:sz w:val="23"/>
          <w:szCs w:val="23"/>
          <w:rtl/>
        </w:rPr>
        <w:t xml:space="preserve"> می</w:t>
      </w:r>
      <w:r w:rsidRPr="00A309A0">
        <w:rPr>
          <w:sz w:val="23"/>
          <w:szCs w:val="23"/>
          <w:rtl/>
        </w:rPr>
        <w:softHyphen/>
      </w:r>
      <w:r w:rsidRPr="00A309A0">
        <w:rPr>
          <w:rFonts w:hint="cs"/>
          <w:sz w:val="23"/>
          <w:szCs w:val="23"/>
          <w:rtl/>
        </w:rPr>
        <w:t>باشد</w:t>
      </w:r>
      <w:r w:rsidRPr="00A309A0">
        <w:rPr>
          <w:rFonts w:ascii="Cambria Math" w:hAnsi="Cambria Math"/>
          <w:sz w:val="23"/>
          <w:szCs w:val="23"/>
          <w:rtl/>
        </w:rPr>
        <w:t xml:space="preserve">. این راه حل به عنوان قاعده طلایی مصرف در بلندمدت شناخته می‌شود. </w:t>
      </w:r>
    </w:p>
    <w:p w14:paraId="74EB4514" w14:textId="77777777" w:rsidR="00411620" w:rsidRPr="00A309A0" w:rsidRDefault="00411620" w:rsidP="00411620">
      <w:pPr>
        <w:spacing w:line="216" w:lineRule="auto"/>
        <w:rPr>
          <w:rFonts w:ascii="Cambria Math" w:hAnsi="Cambria Math"/>
          <w:sz w:val="23"/>
          <w:szCs w:val="23"/>
        </w:rPr>
      </w:pPr>
      <w:r w:rsidRPr="00A309A0">
        <w:rPr>
          <w:rFonts w:ascii="Cambria Math" w:hAnsi="Cambria Math"/>
          <w:sz w:val="23"/>
          <w:szCs w:val="23"/>
          <w:rtl/>
        </w:rPr>
        <w:t>اگر هیچ اخ</w:t>
      </w:r>
      <w:r w:rsidRPr="00A309A0">
        <w:rPr>
          <w:rFonts w:ascii="Cambria Math" w:hAnsi="Cambria Math" w:hint="cs"/>
          <w:sz w:val="23"/>
          <w:szCs w:val="23"/>
          <w:rtl/>
        </w:rPr>
        <w:t>ت</w:t>
      </w:r>
      <w:r w:rsidRPr="00A309A0">
        <w:rPr>
          <w:rFonts w:ascii="Cambria Math" w:hAnsi="Cambria Math"/>
          <w:sz w:val="23"/>
          <w:szCs w:val="23"/>
          <w:rtl/>
        </w:rPr>
        <w:t xml:space="preserve">لالی </w:t>
      </w:r>
      <w:r w:rsidRPr="00A309A0">
        <w:rPr>
          <w:rFonts w:ascii="Cambria Math" w:hAnsi="Cambria Math" w:hint="cs"/>
          <w:sz w:val="23"/>
          <w:szCs w:val="23"/>
          <w:rtl/>
        </w:rPr>
        <w:t>در</w:t>
      </w:r>
      <w:r w:rsidRPr="00A309A0">
        <w:rPr>
          <w:rFonts w:ascii="Cambria Math" w:hAnsi="Cambria Math"/>
          <w:sz w:val="23"/>
          <w:szCs w:val="23"/>
          <w:rtl/>
        </w:rPr>
        <w:t xml:space="preserve"> اقتصاد </w:t>
      </w:r>
      <w:r w:rsidRPr="00A309A0">
        <w:rPr>
          <w:rFonts w:ascii="Cambria Math" w:hAnsi="Cambria Math" w:hint="cs"/>
          <w:sz w:val="23"/>
          <w:szCs w:val="23"/>
          <w:rtl/>
        </w:rPr>
        <w:t xml:space="preserve">وجود نداشته باشد، </w:t>
      </w:r>
      <w:r w:rsidRPr="00A309A0">
        <w:rPr>
          <w:rFonts w:ascii="Cambria Math" w:hAnsi="Cambria Math"/>
          <w:sz w:val="23"/>
          <w:szCs w:val="23"/>
          <w:rtl/>
        </w:rPr>
        <w:t>موجودی سرمایه و مصرف در بلندمدت ثابت خواهند بود</w:t>
      </w:r>
      <w:r w:rsidRPr="00A309A0">
        <w:rPr>
          <w:rFonts w:ascii="Cambria Math" w:hAnsi="Cambria Math" w:hint="cs"/>
          <w:sz w:val="23"/>
          <w:szCs w:val="23"/>
          <w:rtl/>
        </w:rPr>
        <w:t>،</w:t>
      </w:r>
      <w:r w:rsidRPr="00A309A0">
        <w:rPr>
          <w:rFonts w:ascii="Cambria Math" w:hAnsi="Cambria Math"/>
          <w:sz w:val="23"/>
          <w:szCs w:val="23"/>
          <w:rtl/>
        </w:rPr>
        <w:t xml:space="preserve"> </w:t>
      </w:r>
      <w:r w:rsidRPr="00A309A0">
        <w:rPr>
          <w:rFonts w:ascii="Cambria Math" w:hAnsi="Cambria Math" w:hint="cs"/>
          <w:sz w:val="23"/>
          <w:szCs w:val="23"/>
          <w:rtl/>
        </w:rPr>
        <w:t xml:space="preserve">و </w:t>
      </w:r>
      <w:r w:rsidRPr="00A309A0">
        <w:rPr>
          <w:rFonts w:ascii="Cambria Math" w:hAnsi="Cambria Math"/>
          <w:sz w:val="23"/>
          <w:szCs w:val="23"/>
          <w:rtl/>
        </w:rPr>
        <w:t>اگر بنابر دلائلی اخ</w:t>
      </w:r>
      <w:r w:rsidRPr="00A309A0">
        <w:rPr>
          <w:rFonts w:ascii="Cambria Math" w:hAnsi="Cambria Math" w:hint="cs"/>
          <w:sz w:val="23"/>
          <w:szCs w:val="23"/>
          <w:rtl/>
        </w:rPr>
        <w:t>تل</w:t>
      </w:r>
      <w:r w:rsidRPr="00A309A0">
        <w:rPr>
          <w:rFonts w:ascii="Cambria Math" w:hAnsi="Cambria Math"/>
          <w:sz w:val="23"/>
          <w:szCs w:val="23"/>
          <w:rtl/>
        </w:rPr>
        <w:t xml:space="preserve">ال </w:t>
      </w:r>
      <w:r w:rsidRPr="00A309A0">
        <w:rPr>
          <w:rFonts w:ascii="Cambria Math" w:hAnsi="Cambria Math" w:hint="cs"/>
          <w:sz w:val="23"/>
          <w:szCs w:val="23"/>
          <w:rtl/>
        </w:rPr>
        <w:t xml:space="preserve">منفی </w:t>
      </w:r>
      <w:r w:rsidRPr="00A309A0">
        <w:rPr>
          <w:rFonts w:ascii="Cambria Math" w:hAnsi="Cambria Math"/>
          <w:sz w:val="23"/>
          <w:szCs w:val="23"/>
          <w:rtl/>
        </w:rPr>
        <w:t>وجود داشته باشد، متغیرهای موجود در اقتصاد</w:t>
      </w:r>
      <w:r w:rsidRPr="00A309A0">
        <w:rPr>
          <w:rFonts w:ascii="Cambria Math" w:hAnsi="Cambria Math" w:hint="cs"/>
          <w:sz w:val="23"/>
          <w:szCs w:val="23"/>
          <w:rtl/>
        </w:rPr>
        <w:t xml:space="preserve"> </w:t>
      </w:r>
      <w:r w:rsidRPr="00B92922">
        <w:rPr>
          <w:position w:val="-16"/>
        </w:rPr>
        <w:object w:dxaOrig="1040" w:dyaOrig="420" w14:anchorId="73A609F2">
          <v:shape id="_x0000_i1095" type="#_x0000_t75" style="width:52.05pt;height:21.2pt" o:ole="">
            <v:imagedata r:id="rId152" o:title=""/>
          </v:shape>
          <o:OLEObject Type="Embed" ProgID="Equation.DSMT4" ShapeID="_x0000_i1095" DrawAspect="Content" ObjectID="_1791375039" r:id="rId153"/>
        </w:object>
      </w:r>
      <w:r w:rsidRPr="00A309A0">
        <w:rPr>
          <w:rFonts w:ascii="Cambria Math" w:hAnsi="Cambria Math" w:hint="cs"/>
          <w:sz w:val="23"/>
          <w:szCs w:val="23"/>
          <w:rtl/>
        </w:rPr>
        <w:t xml:space="preserve"> </w:t>
      </w:r>
      <w:r w:rsidRPr="00A309A0">
        <w:rPr>
          <w:rFonts w:ascii="Cambria Math" w:hAnsi="Cambria Math"/>
          <w:sz w:val="23"/>
          <w:szCs w:val="23"/>
          <w:rtl/>
        </w:rPr>
        <w:t>ناپایدار می‌شوند.</w:t>
      </w:r>
      <w:r w:rsidRPr="00A309A0">
        <w:rPr>
          <w:rFonts w:ascii="Cambria Math" w:hAnsi="Cambria Math" w:hint="cs"/>
          <w:sz w:val="23"/>
          <w:szCs w:val="23"/>
          <w:rtl/>
        </w:rPr>
        <w:t xml:space="preserve"> </w:t>
      </w:r>
      <w:r w:rsidRPr="00A309A0">
        <w:rPr>
          <w:rFonts w:ascii="Cambria Math" w:hAnsi="Cambria Math"/>
          <w:sz w:val="23"/>
          <w:szCs w:val="23"/>
          <w:rtl/>
        </w:rPr>
        <w:t>به منظور پی بردن به این</w:t>
      </w:r>
      <w:r w:rsidRPr="00A309A0">
        <w:rPr>
          <w:rFonts w:ascii="Cambria Math" w:hAnsi="Cambria Math"/>
          <w:sz w:val="23"/>
          <w:szCs w:val="23"/>
          <w:rtl/>
        </w:rPr>
        <w:softHyphen/>
        <w:t>که چرا قاعده</w:t>
      </w:r>
      <w:r w:rsidRPr="00A309A0">
        <w:rPr>
          <w:rFonts w:ascii="Cambria Math" w:hAnsi="Cambria Math"/>
          <w:sz w:val="23"/>
          <w:szCs w:val="23"/>
          <w:rtl/>
        </w:rPr>
        <w:softHyphen/>
        <w:t xml:space="preserve">ی طلایی </w:t>
      </w:r>
      <w:r w:rsidRPr="00A309A0">
        <w:rPr>
          <w:rFonts w:ascii="Cambria Math" w:hAnsi="Cambria Math" w:hint="cs"/>
          <w:sz w:val="23"/>
          <w:szCs w:val="23"/>
          <w:rtl/>
        </w:rPr>
        <w:t xml:space="preserve">در این شرایط </w:t>
      </w:r>
      <w:r w:rsidRPr="00A309A0">
        <w:rPr>
          <w:rFonts w:ascii="Cambria Math" w:hAnsi="Cambria Math"/>
          <w:sz w:val="23"/>
          <w:szCs w:val="23"/>
          <w:rtl/>
        </w:rPr>
        <w:t xml:space="preserve">یک راه حل </w:t>
      </w:r>
      <w:r w:rsidRPr="00A309A0">
        <w:rPr>
          <w:rFonts w:ascii="Cambria Math" w:hAnsi="Cambria Math" w:hint="cs"/>
          <w:sz w:val="23"/>
          <w:szCs w:val="23"/>
          <w:rtl/>
        </w:rPr>
        <w:t>نا</w:t>
      </w:r>
      <w:r w:rsidRPr="00A309A0">
        <w:rPr>
          <w:rFonts w:ascii="Cambria Math" w:hAnsi="Cambria Math"/>
          <w:sz w:val="23"/>
          <w:szCs w:val="23"/>
          <w:rtl/>
        </w:rPr>
        <w:t xml:space="preserve">پایدار </w:t>
      </w:r>
      <w:r w:rsidRPr="00A309A0">
        <w:rPr>
          <w:rFonts w:ascii="Cambria Math" w:hAnsi="Cambria Math" w:hint="cs"/>
          <w:sz w:val="23"/>
          <w:szCs w:val="23"/>
          <w:rtl/>
        </w:rPr>
        <w:t>ا</w:t>
      </w:r>
      <w:r w:rsidRPr="00A309A0">
        <w:rPr>
          <w:rFonts w:ascii="Cambria Math" w:hAnsi="Cambria Math"/>
          <w:sz w:val="23"/>
          <w:szCs w:val="23"/>
          <w:rtl/>
        </w:rPr>
        <w:t xml:space="preserve">ست، کافی است موجودی سرمایه به علت </w:t>
      </w:r>
      <w:r w:rsidRPr="00A309A0">
        <w:rPr>
          <w:rFonts w:ascii="Cambria Math" w:hAnsi="Cambria Math" w:hint="cs"/>
          <w:sz w:val="23"/>
          <w:szCs w:val="23"/>
          <w:rtl/>
        </w:rPr>
        <w:t xml:space="preserve">یک </w:t>
      </w:r>
      <w:r w:rsidRPr="00A309A0">
        <w:rPr>
          <w:rFonts w:ascii="Cambria Math" w:hAnsi="Cambria Math"/>
          <w:sz w:val="23"/>
          <w:szCs w:val="23"/>
          <w:rtl/>
        </w:rPr>
        <w:t>شوک منفی، کم</w:t>
      </w:r>
      <w:r w:rsidRPr="00A309A0">
        <w:rPr>
          <w:rFonts w:ascii="Cambria Math" w:hAnsi="Cambria Math"/>
          <w:sz w:val="23"/>
          <w:szCs w:val="23"/>
          <w:rtl/>
        </w:rPr>
        <w:softHyphen/>
        <w:t>تر از</w:t>
      </w:r>
      <w:r w:rsidRPr="00B92922">
        <w:rPr>
          <w:position w:val="-6"/>
        </w:rPr>
        <w:object w:dxaOrig="279" w:dyaOrig="300" w14:anchorId="43D88CF0">
          <v:shape id="_x0000_i1096" type="#_x0000_t75" style="width:13.9pt;height:15.15pt" o:ole="">
            <v:imagedata r:id="rId154" o:title=""/>
          </v:shape>
          <o:OLEObject Type="Embed" ProgID="Equation.DSMT4" ShapeID="_x0000_i1096" DrawAspect="Content" ObjectID="_1791375040" r:id="rId155"/>
        </w:object>
      </w:r>
      <w:r w:rsidRPr="00A309A0">
        <w:rPr>
          <w:rFonts w:ascii="Cambria Math" w:eastAsiaTheme="minorEastAsia" w:hAnsi="Cambria Math"/>
          <w:sz w:val="23"/>
          <w:szCs w:val="23"/>
          <w:rtl/>
        </w:rPr>
        <w:t xml:space="preserve"> </w:t>
      </w:r>
      <w:r w:rsidRPr="00A309A0">
        <w:rPr>
          <w:rFonts w:ascii="Cambria Math" w:hAnsi="Cambria Math"/>
          <w:sz w:val="23"/>
          <w:szCs w:val="23"/>
          <w:rtl/>
        </w:rPr>
        <w:t>یا</w:t>
      </w:r>
      <w:r w:rsidRPr="00B92922">
        <w:rPr>
          <w:position w:val="-6"/>
        </w:rPr>
        <w:object w:dxaOrig="620" w:dyaOrig="300" w14:anchorId="65A3AF1F">
          <v:shape id="_x0000_i1097" type="#_x0000_t75" style="width:30.85pt;height:15.15pt" o:ole="">
            <v:imagedata r:id="rId156" o:title=""/>
          </v:shape>
          <o:OLEObject Type="Embed" ProgID="Equation.DSMT4" ShapeID="_x0000_i1097" DrawAspect="Content" ObjectID="_1791375041" r:id="rId157"/>
        </w:object>
      </w:r>
      <w:r w:rsidRPr="00A309A0">
        <w:rPr>
          <w:rFonts w:ascii="Cambria Math" w:hAnsi="Cambria Math"/>
          <w:sz w:val="23"/>
          <w:szCs w:val="23"/>
          <w:rtl/>
        </w:rPr>
        <w:t xml:space="preserve"> باشد</w:t>
      </w:r>
      <w:r w:rsidRPr="00A309A0">
        <w:rPr>
          <w:rFonts w:ascii="Cambria Math" w:hAnsi="Cambria Math" w:hint="cs"/>
          <w:sz w:val="23"/>
          <w:szCs w:val="23"/>
          <w:rtl/>
        </w:rPr>
        <w:t>،</w:t>
      </w:r>
      <w:r w:rsidRPr="00A309A0">
        <w:rPr>
          <w:rFonts w:ascii="Cambria Math" w:hAnsi="Cambria Math"/>
          <w:sz w:val="23"/>
          <w:szCs w:val="23"/>
          <w:rtl/>
        </w:rPr>
        <w:t xml:space="preserve"> آنگاه سطح تولید </w:t>
      </w:r>
      <w:r w:rsidRPr="00B92922">
        <w:rPr>
          <w:position w:val="-16"/>
        </w:rPr>
        <w:object w:dxaOrig="1359" w:dyaOrig="420" w14:anchorId="53823398">
          <v:shape id="_x0000_i1098" type="#_x0000_t75" style="width:67.75pt;height:21.2pt" o:ole="">
            <v:imagedata r:id="rId158" o:title=""/>
          </v:shape>
          <o:OLEObject Type="Embed" ProgID="Equation.DSMT4" ShapeID="_x0000_i1098" DrawAspect="Content" ObjectID="_1791375042" r:id="rId159"/>
        </w:object>
      </w:r>
      <w:r w:rsidRPr="00A309A0">
        <w:rPr>
          <w:rFonts w:ascii="Cambria Math" w:hAnsi="Cambria Math"/>
          <w:sz w:val="23"/>
          <w:szCs w:val="23"/>
          <w:rtl/>
        </w:rPr>
        <w:t xml:space="preserve"> خواهد </w:t>
      </w:r>
      <w:r w:rsidRPr="00A309A0">
        <w:rPr>
          <w:rFonts w:ascii="Cambria Math" w:hAnsi="Cambria Math" w:hint="cs"/>
          <w:sz w:val="23"/>
          <w:szCs w:val="23"/>
          <w:rtl/>
        </w:rPr>
        <w:t>ش</w:t>
      </w:r>
      <w:r w:rsidRPr="00A309A0">
        <w:rPr>
          <w:rFonts w:ascii="Cambria Math" w:hAnsi="Cambria Math"/>
          <w:sz w:val="23"/>
          <w:szCs w:val="23"/>
          <w:rtl/>
        </w:rPr>
        <w:t>د.</w:t>
      </w:r>
      <w:r w:rsidRPr="00A309A0">
        <w:rPr>
          <w:rFonts w:ascii="Cambria Math" w:hAnsi="Cambria Math"/>
          <w:sz w:val="23"/>
          <w:szCs w:val="23"/>
        </w:rPr>
        <w:t xml:space="preserve"> </w:t>
      </w:r>
      <w:r w:rsidRPr="00A309A0">
        <w:rPr>
          <w:rFonts w:ascii="Cambria Math" w:hAnsi="Cambria Math"/>
          <w:sz w:val="23"/>
          <w:szCs w:val="23"/>
          <w:rtl/>
        </w:rPr>
        <w:t>به منظور دسترسی به حداکثر مصرف</w:t>
      </w:r>
      <w:r w:rsidRPr="00A309A0">
        <w:rPr>
          <w:rFonts w:ascii="Cambria Math" w:hAnsi="Cambria Math" w:hint="cs"/>
          <w:sz w:val="23"/>
          <w:szCs w:val="23"/>
          <w:rtl/>
        </w:rPr>
        <w:t>ِ</w:t>
      </w:r>
      <w:r w:rsidRPr="00B92922">
        <w:rPr>
          <w:position w:val="-6"/>
        </w:rPr>
        <w:object w:dxaOrig="260" w:dyaOrig="300" w14:anchorId="4502274F">
          <v:shape id="_x0000_i1099" type="#_x0000_t75" style="width:12.7pt;height:15.15pt" o:ole="">
            <v:imagedata r:id="rId160" o:title=""/>
          </v:shape>
          <o:OLEObject Type="Embed" ProgID="Equation.DSMT4" ShapeID="_x0000_i1099" DrawAspect="Content" ObjectID="_1791375043" r:id="rId161"/>
        </w:object>
      </w:r>
      <w:r w:rsidRPr="00A309A0">
        <w:rPr>
          <w:rFonts w:ascii="Cambria Math" w:hAnsi="Cambria Math"/>
          <w:sz w:val="23"/>
          <w:szCs w:val="23"/>
          <w:rtl/>
        </w:rPr>
        <w:t>، لازم است تا بخشی از موجودی سرمایه</w:t>
      </w:r>
      <w:r w:rsidRPr="00A309A0">
        <w:rPr>
          <w:rFonts w:ascii="Cambria Math" w:hAnsi="Cambria Math"/>
          <w:sz w:val="23"/>
          <w:szCs w:val="23"/>
          <w:rtl/>
        </w:rPr>
        <w:softHyphen/>
        <w:t>ی قبل</w:t>
      </w:r>
      <w:r w:rsidRPr="00A309A0">
        <w:rPr>
          <w:rFonts w:ascii="Cambria Math" w:hAnsi="Cambria Math" w:hint="cs"/>
          <w:sz w:val="23"/>
          <w:szCs w:val="23"/>
          <w:rtl/>
        </w:rPr>
        <w:t xml:space="preserve">ی نیز </w:t>
      </w:r>
      <w:r w:rsidRPr="00A309A0">
        <w:rPr>
          <w:rFonts w:ascii="Cambria Math" w:hAnsi="Cambria Math"/>
          <w:sz w:val="23"/>
          <w:szCs w:val="23"/>
          <w:rtl/>
        </w:rPr>
        <w:t xml:space="preserve">مصرف شود. در نتیجه </w:t>
      </w:r>
      <w:r w:rsidRPr="00B92922">
        <w:rPr>
          <w:position w:val="-6"/>
        </w:rPr>
        <w:object w:dxaOrig="660" w:dyaOrig="260" w14:anchorId="7EAADA69">
          <v:shape id="_x0000_i1100" type="#_x0000_t75" style="width:32.65pt;height:12.7pt" o:ole="">
            <v:imagedata r:id="rId162" o:title=""/>
          </v:shape>
          <o:OLEObject Type="Embed" ProgID="Equation.DSMT4" ShapeID="_x0000_i1100" DrawAspect="Content" ObjectID="_1791375044" r:id="rId163"/>
        </w:object>
      </w:r>
      <w:r w:rsidRPr="00A309A0">
        <w:rPr>
          <w:rFonts w:ascii="Cambria Math" w:hAnsi="Cambria Math" w:hint="cs"/>
          <w:sz w:val="23"/>
          <w:szCs w:val="23"/>
          <w:rtl/>
        </w:rPr>
        <w:t xml:space="preserve"> شده</w:t>
      </w:r>
      <w:r w:rsidRPr="00A309A0">
        <w:rPr>
          <w:rFonts w:ascii="Cambria Math" w:hAnsi="Cambria Math"/>
          <w:sz w:val="23"/>
          <w:szCs w:val="23"/>
          <w:rtl/>
        </w:rPr>
        <w:t xml:space="preserve">، و </w:t>
      </w:r>
      <w:r w:rsidRPr="00A309A0">
        <w:rPr>
          <w:rFonts w:ascii="Cambria Math" w:hAnsi="Cambria Math" w:hint="cs"/>
          <w:sz w:val="23"/>
          <w:szCs w:val="23"/>
          <w:rtl/>
        </w:rPr>
        <w:t>لذا موجودی سرمایه بیشتر</w:t>
      </w:r>
      <w:r w:rsidRPr="00A309A0">
        <w:rPr>
          <w:rFonts w:ascii="Cambria Math" w:hAnsi="Cambria Math"/>
          <w:sz w:val="23"/>
          <w:szCs w:val="23"/>
          <w:rtl/>
        </w:rPr>
        <w:t xml:space="preserve"> کاهش خواهد یافت. با موجودی سرمایه</w:t>
      </w:r>
      <w:r w:rsidRPr="00A309A0">
        <w:rPr>
          <w:rFonts w:ascii="Cambria Math" w:hAnsi="Cambria Math"/>
          <w:sz w:val="23"/>
          <w:szCs w:val="23"/>
          <w:rtl/>
        </w:rPr>
        <w:softHyphen/>
        <w:t>ی کمتر، تولید آ</w:t>
      </w:r>
      <w:r w:rsidRPr="00A309A0">
        <w:rPr>
          <w:rFonts w:ascii="Cambria Math" w:hAnsi="Cambria Math" w:hint="cs"/>
          <w:sz w:val="23"/>
          <w:szCs w:val="23"/>
          <w:rtl/>
        </w:rPr>
        <w:t>تی</w:t>
      </w:r>
      <w:r w:rsidRPr="00A309A0">
        <w:rPr>
          <w:rFonts w:ascii="Cambria Math" w:hAnsi="Cambria Math"/>
          <w:sz w:val="23"/>
          <w:szCs w:val="23"/>
          <w:rtl/>
        </w:rPr>
        <w:t xml:space="preserve"> نیز کاهش </w:t>
      </w:r>
      <w:r w:rsidRPr="00A309A0">
        <w:rPr>
          <w:rFonts w:ascii="Cambria Math" w:hAnsi="Cambria Math" w:hint="cs"/>
          <w:sz w:val="23"/>
          <w:szCs w:val="23"/>
          <w:rtl/>
        </w:rPr>
        <w:t>می</w:t>
      </w:r>
      <w:r w:rsidRPr="00A309A0">
        <w:rPr>
          <w:rFonts w:ascii="Cambria Math" w:hAnsi="Cambria Math"/>
          <w:sz w:val="23"/>
          <w:szCs w:val="23"/>
          <w:rtl/>
        </w:rPr>
        <w:softHyphen/>
      </w:r>
      <w:r w:rsidRPr="00A309A0">
        <w:rPr>
          <w:rFonts w:ascii="Cambria Math" w:hAnsi="Cambria Math" w:hint="cs"/>
          <w:sz w:val="23"/>
          <w:szCs w:val="23"/>
          <w:rtl/>
        </w:rPr>
        <w:t xml:space="preserve">یابد </w:t>
      </w:r>
      <w:r w:rsidRPr="00A309A0">
        <w:rPr>
          <w:rFonts w:ascii="Cambria Math" w:hAnsi="Cambria Math"/>
          <w:sz w:val="23"/>
          <w:szCs w:val="23"/>
          <w:rtl/>
        </w:rPr>
        <w:t>و به همین ترتیب تلاش برای حفظ مصرف در</w:t>
      </w:r>
      <w:r w:rsidRPr="00B92922">
        <w:rPr>
          <w:position w:val="-6"/>
        </w:rPr>
        <w:object w:dxaOrig="260" w:dyaOrig="300" w14:anchorId="7B89F0BE">
          <v:shape id="_x0000_i1101" type="#_x0000_t75" style="width:12.7pt;height:15.15pt" o:ole="">
            <v:imagedata r:id="rId164" o:title=""/>
          </v:shape>
          <o:OLEObject Type="Embed" ProgID="Equation.DSMT4" ShapeID="_x0000_i1101" DrawAspect="Content" ObjectID="_1791375045" r:id="rId165"/>
        </w:object>
      </w:r>
      <w:r w:rsidRPr="00A309A0">
        <w:rPr>
          <w:rFonts w:ascii="Cambria Math" w:hAnsi="Cambria Math"/>
          <w:sz w:val="23"/>
          <w:szCs w:val="23"/>
          <w:rtl/>
        </w:rPr>
        <w:t xml:space="preserve"> منجر به کاهش بیشتر موجودی سرمایه و به تبع آن </w:t>
      </w:r>
      <w:r w:rsidRPr="00A309A0">
        <w:rPr>
          <w:rFonts w:ascii="Cambria Math" w:hAnsi="Cambria Math" w:hint="cs"/>
          <w:sz w:val="23"/>
          <w:szCs w:val="23"/>
          <w:rtl/>
        </w:rPr>
        <w:t xml:space="preserve">کاهش بیشتر </w:t>
      </w:r>
      <w:r w:rsidRPr="00A309A0">
        <w:rPr>
          <w:rFonts w:ascii="Cambria Math" w:hAnsi="Cambria Math"/>
          <w:sz w:val="23"/>
          <w:szCs w:val="23"/>
          <w:rtl/>
        </w:rPr>
        <w:t>تولید خواهد شد</w:t>
      </w:r>
      <w:r w:rsidRPr="00A309A0">
        <w:rPr>
          <w:rFonts w:ascii="Cambria Math" w:hAnsi="Cambria Math" w:hint="cs"/>
          <w:sz w:val="23"/>
          <w:szCs w:val="23"/>
          <w:rtl/>
        </w:rPr>
        <w:t>.</w:t>
      </w:r>
      <w:r w:rsidRPr="00A309A0">
        <w:rPr>
          <w:rFonts w:ascii="Cambria Math" w:hAnsi="Cambria Math"/>
          <w:sz w:val="23"/>
          <w:szCs w:val="23"/>
          <w:rtl/>
        </w:rPr>
        <w:t xml:space="preserve"> در نهایت</w:t>
      </w:r>
      <w:r w:rsidRPr="00A309A0">
        <w:rPr>
          <w:rFonts w:ascii="Cambria Math" w:hAnsi="Cambria Math" w:hint="cs"/>
          <w:sz w:val="23"/>
          <w:szCs w:val="23"/>
          <w:rtl/>
        </w:rPr>
        <w:t>،</w:t>
      </w:r>
      <w:r w:rsidRPr="00A309A0">
        <w:rPr>
          <w:rFonts w:ascii="Cambria Math" w:hAnsi="Cambria Math"/>
          <w:sz w:val="23"/>
          <w:szCs w:val="23"/>
          <w:rtl/>
        </w:rPr>
        <w:t xml:space="preserve"> با وجود سرمایه</w:t>
      </w:r>
      <w:r w:rsidRPr="00A309A0">
        <w:rPr>
          <w:rFonts w:ascii="Cambria Math" w:hAnsi="Cambria Math"/>
          <w:sz w:val="23"/>
          <w:szCs w:val="23"/>
          <w:rtl/>
        </w:rPr>
        <w:softHyphen/>
        <w:t xml:space="preserve"> و تولید بسیار اندک، اقتصاد دیگر قادر به مصرف</w:t>
      </w:r>
      <w:r w:rsidRPr="00B92922">
        <w:rPr>
          <w:position w:val="-6"/>
        </w:rPr>
        <w:object w:dxaOrig="260" w:dyaOrig="300" w14:anchorId="75E599F0">
          <v:shape id="_x0000_i1102" type="#_x0000_t75" style="width:12.7pt;height:15.15pt" o:ole="">
            <v:imagedata r:id="rId166" o:title=""/>
          </v:shape>
          <o:OLEObject Type="Embed" ProgID="Equation.DSMT4" ShapeID="_x0000_i1102" DrawAspect="Content" ObjectID="_1791375046" r:id="rId167"/>
        </w:object>
      </w:r>
      <w:r w:rsidRPr="00A309A0">
        <w:rPr>
          <w:rFonts w:ascii="Cambria Math" w:hAnsi="Cambria Math"/>
          <w:sz w:val="23"/>
          <w:szCs w:val="23"/>
          <w:rtl/>
        </w:rPr>
        <w:t xml:space="preserve"> نخواهد بود.</w:t>
      </w:r>
      <w:r w:rsidRPr="00A309A0">
        <w:rPr>
          <w:rFonts w:ascii="Cambria Math" w:hAnsi="Cambria Math"/>
          <w:sz w:val="23"/>
          <w:szCs w:val="23"/>
        </w:rPr>
        <w:t xml:space="preserve"> </w:t>
      </w:r>
      <w:r w:rsidRPr="00A309A0">
        <w:rPr>
          <w:rFonts w:ascii="Cambria Math" w:hAnsi="Cambria Math"/>
          <w:sz w:val="23"/>
          <w:szCs w:val="23"/>
          <w:rtl/>
        </w:rPr>
        <w:t>در اقتصادی که کارگزار نمونه بیش از حد مصرف کند، دیر یا زود به این موضوع پی خواهد برد که موجودی سرمایه</w:t>
      </w:r>
      <w:r w:rsidRPr="00A309A0">
        <w:rPr>
          <w:rFonts w:ascii="Cambria Math" w:hAnsi="Cambria Math"/>
          <w:sz w:val="23"/>
          <w:szCs w:val="23"/>
          <w:rtl/>
        </w:rPr>
        <w:softHyphen/>
        <w:t>اش در حال فرسایش بوده و در بلندمدت قادر به حفظ مصرف خود نیست. البته باید توجه داشت که در عمل، تغییر رویه</w:t>
      </w:r>
      <w:r w:rsidRPr="00A309A0">
        <w:rPr>
          <w:rFonts w:ascii="Cambria Math" w:hAnsi="Cambria Math"/>
          <w:sz w:val="23"/>
          <w:szCs w:val="23"/>
          <w:rtl/>
        </w:rPr>
        <w:softHyphen/>
        <w:t xml:space="preserve">ی خانوار </w:t>
      </w:r>
      <w:r w:rsidRPr="00A309A0">
        <w:rPr>
          <w:rFonts w:ascii="Cambria Math" w:hAnsi="Cambria Math" w:hint="cs"/>
          <w:sz w:val="23"/>
          <w:szCs w:val="23"/>
          <w:rtl/>
        </w:rPr>
        <w:t>برای</w:t>
      </w:r>
      <w:r w:rsidRPr="00A309A0">
        <w:rPr>
          <w:rFonts w:ascii="Cambria Math" w:hAnsi="Cambria Math"/>
          <w:sz w:val="23"/>
          <w:szCs w:val="23"/>
          <w:rtl/>
        </w:rPr>
        <w:t xml:space="preserve"> مصرف کالاهای سرمایه</w:t>
      </w:r>
      <w:r w:rsidRPr="00A309A0">
        <w:rPr>
          <w:rFonts w:ascii="Cambria Math" w:hAnsi="Cambria Math"/>
          <w:sz w:val="23"/>
          <w:szCs w:val="23"/>
          <w:rtl/>
        </w:rPr>
        <w:softHyphen/>
        <w:t xml:space="preserve">ای به جز چند مورد خاص ممکن نیست. </w:t>
      </w:r>
    </w:p>
    <w:p w14:paraId="00C5F75F" w14:textId="77777777" w:rsidR="00411620" w:rsidRPr="00A309A0" w:rsidRDefault="00411620" w:rsidP="00411620">
      <w:pPr>
        <w:spacing w:line="216" w:lineRule="auto"/>
        <w:rPr>
          <w:rFonts w:ascii="Cambria Math" w:hAnsi="Cambria Math"/>
          <w:sz w:val="23"/>
          <w:szCs w:val="23"/>
        </w:rPr>
      </w:pPr>
      <w:r w:rsidRPr="00A309A0">
        <w:rPr>
          <w:rFonts w:ascii="Cambria Math" w:hAnsi="Cambria Math"/>
          <w:sz w:val="23"/>
          <w:szCs w:val="23"/>
          <w:rtl/>
        </w:rPr>
        <w:t xml:space="preserve">برای حل این مشکل راه </w:t>
      </w:r>
      <w:r w:rsidRPr="00A309A0">
        <w:rPr>
          <w:rFonts w:ascii="Cambria Math" w:hAnsi="Cambria Math" w:hint="cs"/>
          <w:sz w:val="23"/>
          <w:szCs w:val="23"/>
          <w:rtl/>
        </w:rPr>
        <w:t xml:space="preserve">حل </w:t>
      </w:r>
      <w:r w:rsidRPr="00A309A0">
        <w:rPr>
          <w:rFonts w:ascii="Cambria Math" w:hAnsi="Cambria Math"/>
          <w:sz w:val="23"/>
          <w:szCs w:val="23"/>
          <w:rtl/>
        </w:rPr>
        <w:t>ساده</w:t>
      </w:r>
      <w:r w:rsidRPr="00A309A0">
        <w:rPr>
          <w:rFonts w:ascii="Cambria Math" w:hAnsi="Cambria Math"/>
          <w:sz w:val="23"/>
          <w:szCs w:val="23"/>
          <w:rtl/>
        </w:rPr>
        <w:softHyphen/>
        <w:t>ای وجود دارد. کارگزار نمونه می</w:t>
      </w:r>
      <w:r w:rsidRPr="00A309A0">
        <w:rPr>
          <w:rFonts w:ascii="Cambria Math" w:hAnsi="Cambria Math"/>
          <w:sz w:val="23"/>
          <w:szCs w:val="23"/>
          <w:rtl/>
        </w:rPr>
        <w:softHyphen/>
        <w:t>تواند به طور موقت مصرف خود را کاهش داده و با سرمایه</w:t>
      </w:r>
      <w:r w:rsidRPr="00A309A0">
        <w:rPr>
          <w:rFonts w:ascii="Cambria Math" w:hAnsi="Cambria Math"/>
          <w:sz w:val="23"/>
          <w:szCs w:val="23"/>
          <w:rtl/>
        </w:rPr>
        <w:softHyphen/>
        <w:t xml:space="preserve">گذاری </w:t>
      </w:r>
      <w:r w:rsidRPr="00A309A0">
        <w:rPr>
          <w:rFonts w:ascii="Cambria Math" w:hAnsi="Cambria Math" w:hint="cs"/>
          <w:sz w:val="23"/>
          <w:szCs w:val="23"/>
          <w:rtl/>
        </w:rPr>
        <w:t xml:space="preserve">آن </w:t>
      </w:r>
      <w:r w:rsidRPr="00A309A0">
        <w:rPr>
          <w:rFonts w:ascii="Cambria Math" w:hAnsi="Cambria Math"/>
          <w:sz w:val="23"/>
          <w:szCs w:val="23"/>
          <w:rtl/>
        </w:rPr>
        <w:t>و تولید</w:t>
      </w:r>
      <w:r w:rsidRPr="00A309A0">
        <w:rPr>
          <w:rFonts w:ascii="Cambria Math" w:hAnsi="Cambria Math" w:hint="cs"/>
          <w:sz w:val="23"/>
          <w:szCs w:val="23"/>
          <w:rtl/>
        </w:rPr>
        <w:t xml:space="preserve"> بیشتر</w:t>
      </w:r>
      <w:r w:rsidRPr="00A309A0">
        <w:rPr>
          <w:rFonts w:ascii="Cambria Math" w:hAnsi="Cambria Math"/>
          <w:sz w:val="23"/>
          <w:szCs w:val="23"/>
          <w:rtl/>
        </w:rPr>
        <w:t xml:space="preserve">، موجودی سرمایه را تا سطح تعادلی بلندمدت افزایش دهد. </w:t>
      </w:r>
      <w:r w:rsidRPr="00A309A0">
        <w:rPr>
          <w:rFonts w:ascii="Cambria Math" w:hAnsi="Cambria Math" w:hint="cs"/>
          <w:sz w:val="23"/>
          <w:szCs w:val="23"/>
          <w:rtl/>
        </w:rPr>
        <w:t>دراین</w:t>
      </w:r>
      <w:r w:rsidRPr="00A309A0">
        <w:rPr>
          <w:rFonts w:ascii="Cambria Math" w:hAnsi="Cambria Math"/>
          <w:sz w:val="23"/>
          <w:szCs w:val="23"/>
          <w:rtl/>
        </w:rPr>
        <w:softHyphen/>
      </w:r>
      <w:r w:rsidRPr="00A309A0">
        <w:rPr>
          <w:rFonts w:ascii="Cambria Math" w:hAnsi="Cambria Math" w:hint="cs"/>
          <w:sz w:val="23"/>
          <w:szCs w:val="23"/>
          <w:rtl/>
        </w:rPr>
        <w:t>صورت</w:t>
      </w:r>
      <w:r w:rsidRPr="00A309A0">
        <w:rPr>
          <w:rFonts w:ascii="Cambria Math" w:hAnsi="Cambria Math"/>
          <w:sz w:val="23"/>
          <w:szCs w:val="23"/>
          <w:rtl/>
        </w:rPr>
        <w:t xml:space="preserve"> شوک</w:t>
      </w:r>
      <w:r w:rsidRPr="00A309A0">
        <w:rPr>
          <w:rFonts w:ascii="Cambria Math" w:hAnsi="Cambria Math"/>
          <w:sz w:val="23"/>
          <w:szCs w:val="23"/>
          <w:rtl/>
        </w:rPr>
        <w:softHyphen/>
        <w:t>های منفی وارده به</w:t>
      </w:r>
      <w:r w:rsidRPr="00A309A0">
        <w:rPr>
          <w:rFonts w:ascii="Cambria Math" w:hAnsi="Cambria Math" w:hint="cs"/>
          <w:sz w:val="23"/>
          <w:szCs w:val="23"/>
          <w:rtl/>
        </w:rPr>
        <w:t xml:space="preserve"> اقتصاد</w:t>
      </w:r>
      <w:r w:rsidRPr="00A309A0">
        <w:rPr>
          <w:rFonts w:ascii="Cambria Math" w:hAnsi="Cambria Math"/>
          <w:sz w:val="23"/>
          <w:szCs w:val="23"/>
          <w:rtl/>
        </w:rPr>
        <w:t xml:space="preserve"> بر مصرف کوتاه</w:t>
      </w:r>
      <w:r w:rsidRPr="00A309A0">
        <w:rPr>
          <w:rFonts w:ascii="Cambria Math" w:hAnsi="Cambria Math"/>
          <w:sz w:val="23"/>
          <w:szCs w:val="23"/>
          <w:rtl/>
        </w:rPr>
        <w:softHyphen/>
        <w:t xml:space="preserve">مدت اثر خواهد گذاشت. در نتیجه، تلاش برای رسیدن به حداکثر سطح مصرف در هر دوره ممکن است منجر به حداکثر </w:t>
      </w:r>
      <w:r w:rsidRPr="00A309A0">
        <w:rPr>
          <w:rFonts w:ascii="Cambria Math" w:hAnsi="Cambria Math" w:hint="cs"/>
          <w:sz w:val="23"/>
          <w:szCs w:val="23"/>
          <w:rtl/>
        </w:rPr>
        <w:t>کرد</w:t>
      </w:r>
      <w:r w:rsidRPr="00A309A0">
        <w:rPr>
          <w:rFonts w:ascii="Cambria Math" w:hAnsi="Cambria Math"/>
          <w:sz w:val="23"/>
          <w:szCs w:val="23"/>
          <w:rtl/>
        </w:rPr>
        <w:t>ن مصرف در دوره</w:t>
      </w:r>
      <w:r w:rsidRPr="00A309A0">
        <w:rPr>
          <w:rFonts w:ascii="Cambria Math" w:hAnsi="Cambria Math"/>
          <w:sz w:val="23"/>
          <w:szCs w:val="23"/>
          <w:rtl/>
        </w:rPr>
        <w:softHyphen/>
        <w:t>ی زمانی بلندمدت نشود. بنابراین راه حل م</w:t>
      </w:r>
      <w:r w:rsidRPr="00A309A0">
        <w:rPr>
          <w:rFonts w:ascii="Cambria Math" w:hAnsi="Cambria Math" w:hint="cs"/>
          <w:sz w:val="23"/>
          <w:szCs w:val="23"/>
          <w:rtl/>
        </w:rPr>
        <w:t>سئله</w:t>
      </w:r>
      <w:r w:rsidRPr="00A309A0">
        <w:rPr>
          <w:rFonts w:ascii="Cambria Math" w:hAnsi="Cambria Math"/>
          <w:sz w:val="23"/>
          <w:szCs w:val="23"/>
          <w:rtl/>
        </w:rPr>
        <w:softHyphen/>
      </w:r>
      <w:r w:rsidRPr="00A309A0">
        <w:rPr>
          <w:rFonts w:ascii="Cambria Math" w:hAnsi="Cambria Math" w:hint="cs"/>
          <w:sz w:val="23"/>
          <w:szCs w:val="23"/>
          <w:rtl/>
        </w:rPr>
        <w:t>ی فوق</w:t>
      </w:r>
      <w:r w:rsidRPr="00A309A0">
        <w:rPr>
          <w:rFonts w:ascii="Cambria Math" w:hAnsi="Cambria Math"/>
          <w:sz w:val="23"/>
          <w:szCs w:val="23"/>
          <w:rtl/>
        </w:rPr>
        <w:t>، به تعویق انداختن مصرف به طور موقت است. لازم به ذکر است که اگر در اقتصاد شوک مثبت وجود داشته باشد،</w:t>
      </w:r>
      <w:r w:rsidRPr="00B92922">
        <w:rPr>
          <w:position w:val="-6"/>
        </w:rPr>
        <w:object w:dxaOrig="620" w:dyaOrig="300" w14:anchorId="044F8234">
          <v:shape id="_x0000_i1103" type="#_x0000_t75" style="width:30.85pt;height:15.15pt" o:ole="">
            <v:imagedata r:id="rId168" o:title=""/>
          </v:shape>
          <o:OLEObject Type="Embed" ProgID="Equation.DSMT4" ShapeID="_x0000_i1103" DrawAspect="Content" ObjectID="_1791375047" r:id="rId169"/>
        </w:object>
      </w:r>
      <w:r w:rsidRPr="00A309A0">
        <w:rPr>
          <w:rFonts w:ascii="Cambria Math" w:eastAsiaTheme="minorEastAsia" w:hAnsi="Cambria Math"/>
          <w:sz w:val="23"/>
          <w:szCs w:val="23"/>
          <w:rtl/>
        </w:rPr>
        <w:t xml:space="preserve">، </w:t>
      </w:r>
      <w:r w:rsidRPr="00A309A0">
        <w:rPr>
          <w:rFonts w:ascii="Cambria Math" w:hAnsi="Cambria Math"/>
          <w:sz w:val="23"/>
          <w:szCs w:val="23"/>
          <w:rtl/>
        </w:rPr>
        <w:t>و به تبع آن تولید افزایش یابد، آنگاه مصرف به</w:t>
      </w:r>
      <w:r w:rsidRPr="00A309A0">
        <w:rPr>
          <w:rFonts w:ascii="Cambria Math" w:hAnsi="Cambria Math"/>
          <w:sz w:val="23"/>
          <w:szCs w:val="23"/>
          <w:rtl/>
        </w:rPr>
        <w:softHyphen/>
        <w:t>طور موقت</w:t>
      </w:r>
      <w:r w:rsidRPr="00A309A0">
        <w:rPr>
          <w:rFonts w:ascii="Cambria Math" w:hAnsi="Cambria Math" w:hint="cs"/>
          <w:sz w:val="23"/>
          <w:szCs w:val="23"/>
          <w:rtl/>
        </w:rPr>
        <w:t>،</w:t>
      </w:r>
      <w:r w:rsidRPr="00A309A0">
        <w:rPr>
          <w:rFonts w:ascii="Cambria Math" w:hAnsi="Cambria Math"/>
          <w:sz w:val="23"/>
          <w:szCs w:val="23"/>
          <w:rtl/>
        </w:rPr>
        <w:t xml:space="preserve"> تا زمانی</w:t>
      </w:r>
      <w:r w:rsidRPr="00A309A0">
        <w:rPr>
          <w:rFonts w:ascii="Cambria Math" w:hAnsi="Cambria Math"/>
          <w:sz w:val="23"/>
          <w:szCs w:val="23"/>
          <w:rtl/>
        </w:rPr>
        <w:softHyphen/>
        <w:t>که موجودی سرمایه به سطح پایین</w:t>
      </w:r>
      <w:r w:rsidRPr="00A309A0">
        <w:rPr>
          <w:rFonts w:ascii="Cambria Math" w:hAnsi="Cambria Math"/>
          <w:sz w:val="23"/>
          <w:szCs w:val="23"/>
          <w:rtl/>
        </w:rPr>
        <w:softHyphen/>
        <w:t xml:space="preserve">تر و پایدار </w:t>
      </w:r>
      <w:r w:rsidRPr="00A309A0">
        <w:rPr>
          <w:rFonts w:ascii="Cambria Math" w:hAnsi="Cambria Math" w:hint="cs"/>
          <w:sz w:val="23"/>
          <w:szCs w:val="23"/>
          <w:rtl/>
        </w:rPr>
        <w:t xml:space="preserve">خود </w:t>
      </w:r>
      <w:r w:rsidRPr="00A309A0">
        <w:rPr>
          <w:rFonts w:ascii="Cambria Math" w:hAnsi="Cambria Math"/>
          <w:sz w:val="23"/>
          <w:szCs w:val="23"/>
          <w:rtl/>
        </w:rPr>
        <w:t>یعنی</w:t>
      </w:r>
      <w:r w:rsidRPr="00B92922">
        <w:rPr>
          <w:position w:val="-6"/>
        </w:rPr>
        <w:object w:dxaOrig="279" w:dyaOrig="300" w14:anchorId="7942BBA9">
          <v:shape id="_x0000_i1104" type="#_x0000_t75" style="width:13.9pt;height:15.15pt" o:ole="">
            <v:imagedata r:id="rId170" o:title=""/>
          </v:shape>
          <o:OLEObject Type="Embed" ProgID="Equation.DSMT4" ShapeID="_x0000_i1104" DrawAspect="Content" ObjectID="_1791375048" r:id="rId171"/>
        </w:object>
      </w:r>
      <w:r w:rsidRPr="00A309A0">
        <w:rPr>
          <w:rFonts w:ascii="Cambria Math" w:hAnsi="Cambria Math"/>
          <w:sz w:val="23"/>
          <w:szCs w:val="23"/>
          <w:rtl/>
        </w:rPr>
        <w:t xml:space="preserve"> بازگردد افزایش خواهد یافت. </w:t>
      </w:r>
    </w:p>
    <w:p w14:paraId="45AFA897" w14:textId="77777777" w:rsidR="00411620" w:rsidRPr="00A309A0" w:rsidRDefault="00411620" w:rsidP="00411620">
      <w:pPr>
        <w:spacing w:line="216" w:lineRule="auto"/>
        <w:rPr>
          <w:rFonts w:ascii="Cambria Math" w:hAnsi="Cambria Math"/>
          <w:sz w:val="23"/>
          <w:szCs w:val="23"/>
          <w:rtl/>
        </w:rPr>
      </w:pPr>
    </w:p>
    <w:p w14:paraId="7EE381B8" w14:textId="77777777" w:rsidR="00411620" w:rsidRPr="00A309A0" w:rsidRDefault="00411620" w:rsidP="00411620">
      <w:pPr>
        <w:pStyle w:val="Heading1"/>
        <w:spacing w:before="0" w:after="0" w:line="216" w:lineRule="auto"/>
        <w:rPr>
          <w:rFonts w:ascii="Cambria Math" w:hAnsi="Cambria Math" w:cs="B Nazanin"/>
          <w:sz w:val="23"/>
          <w:szCs w:val="23"/>
        </w:rPr>
      </w:pPr>
      <w:r w:rsidRPr="00A309A0">
        <w:rPr>
          <w:rFonts w:ascii="Cambria Math" w:hAnsi="Cambria Math" w:cs="B Nazanin" w:hint="cs"/>
          <w:sz w:val="23"/>
          <w:szCs w:val="23"/>
          <w:rtl/>
        </w:rPr>
        <w:t>۲. ۴</w:t>
      </w:r>
      <w:r w:rsidRPr="00A309A0">
        <w:rPr>
          <w:rFonts w:ascii="Cambria Math" w:hAnsi="Cambria Math" w:cs="B Nazanin"/>
          <w:sz w:val="23"/>
          <w:szCs w:val="23"/>
          <w:rtl/>
        </w:rPr>
        <w:t xml:space="preserve"> راه حل بهینه </w:t>
      </w:r>
    </w:p>
    <w:p w14:paraId="78F4657A" w14:textId="77777777" w:rsidR="00411620" w:rsidRPr="00A309A0" w:rsidRDefault="00411620" w:rsidP="00411620">
      <w:pPr>
        <w:pStyle w:val="Heading2"/>
        <w:spacing w:before="0" w:line="216" w:lineRule="auto"/>
        <w:rPr>
          <w:rFonts w:ascii="Cambria Math" w:hAnsi="Cambria Math" w:cs="B Nazanin"/>
          <w:i/>
          <w:iCs/>
          <w:color w:val="000000" w:themeColor="text1"/>
          <w:sz w:val="23"/>
          <w:szCs w:val="23"/>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309A0">
        <w:rPr>
          <w:rFonts w:ascii="Cambria Math" w:hAnsi="Cambria Math" w:cs="B Nazanin" w:hint="cs"/>
          <w:color w:val="000000" w:themeColor="text1"/>
          <w:sz w:val="23"/>
          <w:szCs w:val="23"/>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۲. ۴. ۱ </w:t>
      </w:r>
      <w:r w:rsidRPr="00A309A0">
        <w:rPr>
          <w:rFonts w:ascii="Cambria Math" w:hAnsi="Cambria Math" w:cs="B Nazanin"/>
          <w:color w:val="000000" w:themeColor="text1"/>
          <w:sz w:val="23"/>
          <w:szCs w:val="23"/>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معادله</w:t>
      </w:r>
      <w:r w:rsidRPr="00A309A0">
        <w:rPr>
          <w:rFonts w:ascii="Cambria Math" w:hAnsi="Cambria Math" w:cs="B Nazanin"/>
          <w:color w:val="000000" w:themeColor="text1"/>
          <w:sz w:val="23"/>
          <w:szCs w:val="23"/>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oftHyphen/>
        <w:t xml:space="preserve">ی اویلر </w:t>
      </w:r>
    </w:p>
    <w:p w14:paraId="52E6006A"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 xml:space="preserve">در روش </w:t>
      </w:r>
      <w:r w:rsidRPr="00A309A0">
        <w:rPr>
          <w:rFonts w:ascii="Cambria Math" w:hAnsi="Cambria Math" w:hint="cs"/>
          <w:sz w:val="23"/>
          <w:szCs w:val="23"/>
          <w:rtl/>
        </w:rPr>
        <w:t xml:space="preserve">دوم </w:t>
      </w:r>
      <w:r w:rsidRPr="00A309A0">
        <w:rPr>
          <w:rFonts w:ascii="Cambria Math" w:hAnsi="Cambria Math"/>
          <w:sz w:val="23"/>
          <w:szCs w:val="23"/>
          <w:rtl/>
        </w:rPr>
        <w:t>به جای این</w:t>
      </w:r>
      <w:r w:rsidRPr="00A309A0">
        <w:rPr>
          <w:rFonts w:ascii="Cambria Math" w:hAnsi="Cambria Math"/>
          <w:sz w:val="23"/>
          <w:szCs w:val="23"/>
          <w:rtl/>
        </w:rPr>
        <w:softHyphen/>
      </w:r>
      <w:r w:rsidRPr="00A309A0">
        <w:rPr>
          <w:rFonts w:ascii="Cambria Math" w:hAnsi="Cambria Math" w:hint="cs"/>
          <w:sz w:val="23"/>
          <w:szCs w:val="23"/>
          <w:rtl/>
        </w:rPr>
        <w:t xml:space="preserve"> که </w:t>
      </w:r>
      <w:r w:rsidRPr="00A309A0">
        <w:rPr>
          <w:rFonts w:ascii="Cambria Math" w:hAnsi="Cambria Math"/>
          <w:sz w:val="23"/>
          <w:szCs w:val="23"/>
          <w:rtl/>
        </w:rPr>
        <w:t>مصرف کنونی و آتی ارزش یکسانی دا</w:t>
      </w:r>
      <w:r w:rsidRPr="00A309A0">
        <w:rPr>
          <w:rFonts w:ascii="Cambria Math" w:hAnsi="Cambria Math" w:hint="cs"/>
          <w:sz w:val="23"/>
          <w:szCs w:val="23"/>
          <w:rtl/>
        </w:rPr>
        <w:t>شته باشند</w:t>
      </w:r>
      <w:r w:rsidRPr="00A309A0">
        <w:rPr>
          <w:rFonts w:ascii="Cambria Math" w:hAnsi="Cambria Math"/>
          <w:sz w:val="23"/>
          <w:szCs w:val="23"/>
          <w:rtl/>
        </w:rPr>
        <w:t xml:space="preserve">، </w:t>
      </w:r>
      <w:r w:rsidRPr="00A309A0">
        <w:rPr>
          <w:rFonts w:ascii="Cambria Math" w:hAnsi="Cambria Math" w:hint="cs"/>
          <w:sz w:val="23"/>
          <w:szCs w:val="23"/>
          <w:rtl/>
        </w:rPr>
        <w:t xml:space="preserve">برای </w:t>
      </w:r>
      <w:r w:rsidRPr="00A309A0">
        <w:rPr>
          <w:rFonts w:ascii="Cambria Math" w:hAnsi="Cambria Math"/>
          <w:sz w:val="23"/>
          <w:szCs w:val="23"/>
          <w:rtl/>
        </w:rPr>
        <w:t xml:space="preserve">مصرف امروز نسبت به مصرف همان کالا در آینده ارزش بیشتری قائل </w:t>
      </w:r>
      <w:r w:rsidRPr="00A309A0">
        <w:rPr>
          <w:rFonts w:ascii="Cambria Math" w:hAnsi="Cambria Math" w:hint="cs"/>
          <w:sz w:val="23"/>
          <w:szCs w:val="23"/>
          <w:rtl/>
        </w:rPr>
        <w:t>می</w:t>
      </w:r>
      <w:r w:rsidRPr="00A309A0">
        <w:rPr>
          <w:rFonts w:ascii="Cambria Math" w:hAnsi="Cambria Math"/>
          <w:sz w:val="23"/>
          <w:szCs w:val="23"/>
          <w:rtl/>
        </w:rPr>
        <w:softHyphen/>
        <w:t>ش</w:t>
      </w:r>
      <w:r w:rsidRPr="00A309A0">
        <w:rPr>
          <w:rFonts w:ascii="Cambria Math" w:hAnsi="Cambria Math" w:hint="cs"/>
          <w:sz w:val="23"/>
          <w:szCs w:val="23"/>
          <w:rtl/>
        </w:rPr>
        <w:t>ویم،</w:t>
      </w:r>
      <w:r w:rsidRPr="00A309A0">
        <w:rPr>
          <w:rFonts w:ascii="Cambria Math" w:hAnsi="Cambria Math"/>
          <w:sz w:val="23"/>
          <w:szCs w:val="23"/>
          <w:rtl/>
        </w:rPr>
        <w:t xml:space="preserve"> و </w:t>
      </w:r>
      <w:r w:rsidRPr="00A309A0">
        <w:rPr>
          <w:rFonts w:ascii="Cambria Math" w:hAnsi="Cambria Math" w:hint="cs"/>
          <w:sz w:val="23"/>
          <w:szCs w:val="23"/>
          <w:rtl/>
        </w:rPr>
        <w:t>فرض می</w:t>
      </w:r>
      <w:r w:rsidRPr="00A309A0">
        <w:rPr>
          <w:rFonts w:ascii="Cambria Math" w:hAnsi="Cambria Math"/>
          <w:sz w:val="23"/>
          <w:szCs w:val="23"/>
          <w:rtl/>
        </w:rPr>
        <w:softHyphen/>
      </w:r>
      <w:r w:rsidRPr="00A309A0">
        <w:rPr>
          <w:rFonts w:ascii="Cambria Math" w:hAnsi="Cambria Math" w:hint="cs"/>
          <w:sz w:val="23"/>
          <w:szCs w:val="23"/>
          <w:rtl/>
        </w:rPr>
        <w:t xml:space="preserve">کنیم </w:t>
      </w:r>
      <w:r w:rsidRPr="00A309A0">
        <w:rPr>
          <w:rFonts w:ascii="Cambria Math" w:hAnsi="Cambria Math"/>
          <w:sz w:val="23"/>
          <w:szCs w:val="23"/>
          <w:rtl/>
        </w:rPr>
        <w:t>هدف کارگزار نمونه در اقتصاد</w:t>
      </w:r>
      <w:r w:rsidRPr="00A309A0">
        <w:rPr>
          <w:rFonts w:ascii="Cambria Math" w:hAnsi="Cambria Math" w:hint="cs"/>
          <w:sz w:val="23"/>
          <w:szCs w:val="23"/>
          <w:rtl/>
        </w:rPr>
        <w:t>،</w:t>
      </w:r>
      <w:r w:rsidRPr="00A309A0">
        <w:rPr>
          <w:rFonts w:ascii="Cambria Math" w:hAnsi="Cambria Math"/>
          <w:sz w:val="23"/>
          <w:szCs w:val="23"/>
          <w:rtl/>
        </w:rPr>
        <w:t xml:space="preserve"> حداکثر کردن ارزش فعلی مصرف، و یا به تعبیری حداکثر کردن ارزش فعلی</w:t>
      </w:r>
      <w:r>
        <w:rPr>
          <w:rFonts w:ascii="Cambria Math" w:hAnsi="Cambria Math" w:hint="cs"/>
          <w:sz w:val="23"/>
          <w:szCs w:val="23"/>
          <w:rtl/>
        </w:rPr>
        <w:t xml:space="preserve"> </w:t>
      </w:r>
      <w:r w:rsidRPr="00A309A0">
        <w:rPr>
          <w:rFonts w:ascii="Cambria Math" w:hAnsi="Cambria Math"/>
          <w:sz w:val="23"/>
          <w:szCs w:val="23"/>
          <w:rtl/>
        </w:rPr>
        <w:t xml:space="preserve">مطلوبیت حاصل از مصرف حال و آینده </w:t>
      </w:r>
      <w:r w:rsidRPr="00A309A0">
        <w:rPr>
          <w:rFonts w:ascii="Cambria Math" w:hAnsi="Cambria Math" w:hint="cs"/>
          <w:sz w:val="23"/>
          <w:szCs w:val="23"/>
          <w:rtl/>
        </w:rPr>
        <w:t>بر حسب</w:t>
      </w:r>
      <w:r w:rsidRPr="00A309A0">
        <w:rPr>
          <w:rFonts w:ascii="Cambria Math" w:hAnsi="Cambria Math"/>
          <w:sz w:val="23"/>
          <w:szCs w:val="23"/>
          <w:rtl/>
        </w:rPr>
        <w:t xml:space="preserve"> متغیرهای مصرف و سرمایه است. یعنی</w:t>
      </w:r>
    </w:p>
    <w:p w14:paraId="5CAACF87" w14:textId="77777777" w:rsidR="00411620" w:rsidRPr="00A309A0" w:rsidRDefault="00411620" w:rsidP="00411620">
      <w:pPr>
        <w:pStyle w:val="MTDisplayEquation"/>
        <w:spacing w:line="216" w:lineRule="auto"/>
        <w:jc w:val="left"/>
        <w:rPr>
          <w:rFonts w:ascii="Cambria Math" w:hAnsi="Cambria Math" w:cs="B Nazanin"/>
          <w:sz w:val="23"/>
          <w:szCs w:val="23"/>
          <w:lang w:bidi="fa-IR"/>
        </w:rPr>
      </w:pPr>
      <w:r w:rsidRPr="00B92922">
        <w:rPr>
          <w:position w:val="-26"/>
        </w:rPr>
        <w:object w:dxaOrig="2120" w:dyaOrig="620" w14:anchorId="10263A22">
          <v:shape id="_x0000_i1105" type="#_x0000_t75" style="width:105.9pt;height:30.85pt" o:ole="">
            <v:imagedata r:id="rId172" o:title=""/>
          </v:shape>
          <o:OLEObject Type="Embed" ProgID="Equation.DSMT4" ShapeID="_x0000_i1105" DrawAspect="Content" ObjectID="_1791375049" r:id="rId173"/>
        </w:object>
      </w:r>
    </w:p>
    <w:p w14:paraId="1FE852E6"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در رابطه</w:t>
      </w:r>
      <w:r w:rsidRPr="00A309A0">
        <w:rPr>
          <w:rFonts w:ascii="Cambria Math" w:hAnsi="Cambria Math"/>
          <w:sz w:val="23"/>
          <w:szCs w:val="23"/>
          <w:rtl/>
        </w:rPr>
        <w:softHyphen/>
      </w:r>
      <w:r w:rsidRPr="00A309A0">
        <w:rPr>
          <w:rFonts w:ascii="Cambria Math" w:hAnsi="Cambria Math" w:hint="cs"/>
          <w:sz w:val="23"/>
          <w:szCs w:val="23"/>
          <w:rtl/>
        </w:rPr>
        <w:t>ی فوق</w:t>
      </w:r>
      <w:r w:rsidRPr="00A309A0">
        <w:rPr>
          <w:rFonts w:ascii="Cambria Math" w:hAnsi="Cambria Math"/>
          <w:sz w:val="23"/>
          <w:szCs w:val="23"/>
          <w:rtl/>
        </w:rPr>
        <w:t xml:space="preserve"> مطلوبیت</w:t>
      </w:r>
      <w:r w:rsidRPr="00B92922">
        <w:rPr>
          <w:position w:val="-10"/>
        </w:rPr>
        <w:object w:dxaOrig="279" w:dyaOrig="320" w14:anchorId="2590E805">
          <v:shape id="_x0000_i1106" type="#_x0000_t75" style="width:13.9pt;height:15.75pt" o:ole="">
            <v:imagedata r:id="rId174" o:title=""/>
          </v:shape>
          <o:OLEObject Type="Embed" ProgID="Equation.DSMT4" ShapeID="_x0000_i1106" DrawAspect="Content" ObjectID="_1791375050" r:id="rId175"/>
        </w:object>
      </w:r>
      <w:r w:rsidRPr="00A309A0">
        <w:rPr>
          <w:rFonts w:ascii="Cambria Math" w:eastAsiaTheme="minorEastAsia" w:hAnsi="Cambria Math"/>
          <w:sz w:val="23"/>
          <w:szCs w:val="23"/>
          <w:rtl/>
        </w:rPr>
        <w:t xml:space="preserve"> </w:t>
      </w:r>
      <w:r w:rsidRPr="00A309A0">
        <w:rPr>
          <w:rFonts w:ascii="Cambria Math" w:hAnsi="Cambria Math"/>
          <w:sz w:val="23"/>
          <w:szCs w:val="23"/>
          <w:rtl/>
        </w:rPr>
        <w:t>نسبت به مصرف تابعی صعودی است ولی با شیب کاهنده</w:t>
      </w:r>
      <w:r w:rsidRPr="00A309A0">
        <w:rPr>
          <w:rFonts w:ascii="Cambria Math" w:hAnsi="Cambria Math" w:hint="cs"/>
          <w:sz w:val="23"/>
          <w:szCs w:val="23"/>
          <w:rtl/>
        </w:rPr>
        <w:t>،</w:t>
      </w:r>
      <w:r w:rsidRPr="00A309A0">
        <w:rPr>
          <w:rFonts w:ascii="Cambria Math" w:hAnsi="Cambria Math"/>
          <w:sz w:val="23"/>
          <w:szCs w:val="23"/>
          <w:rtl/>
        </w:rPr>
        <w:t xml:space="preserve"> یعنی</w:t>
      </w:r>
      <w:r w:rsidRPr="00B92922">
        <w:rPr>
          <w:position w:val="-12"/>
        </w:rPr>
        <w:object w:dxaOrig="1020" w:dyaOrig="360" w14:anchorId="4321CE19">
          <v:shape id="_x0000_i1107" type="#_x0000_t75" style="width:50.8pt;height:18.15pt" o:ole="">
            <v:imagedata r:id="rId176" o:title=""/>
          </v:shape>
          <o:OLEObject Type="Embed" ProgID="Equation.DSMT4" ShapeID="_x0000_i1107" DrawAspect="Content" ObjectID="_1791375051" r:id="rId177"/>
        </w:object>
      </w:r>
      <w:r w:rsidRPr="00A309A0">
        <w:rPr>
          <w:rFonts w:ascii="Cambria Math" w:hAnsi="Cambria Math"/>
          <w:sz w:val="23"/>
          <w:szCs w:val="23"/>
          <w:rtl/>
        </w:rPr>
        <w:t xml:space="preserve">، </w:t>
      </w:r>
      <w:r w:rsidRPr="00B92922">
        <w:rPr>
          <w:position w:val="-10"/>
        </w:rPr>
        <w:object w:dxaOrig="639" w:dyaOrig="320" w14:anchorId="02EC7D76">
          <v:shape id="_x0000_i1108" type="#_x0000_t75" style="width:31.45pt;height:15.75pt" o:ole="">
            <v:imagedata r:id="rId178" o:title=""/>
          </v:shape>
          <o:OLEObject Type="Embed" ProgID="Equation.DSMT4" ShapeID="_x0000_i1108" DrawAspect="Content" ObjectID="_1791375052" r:id="rId179"/>
        </w:object>
      </w:r>
      <w:r w:rsidRPr="00A309A0">
        <w:rPr>
          <w:rFonts w:ascii="Cambria Math" w:hAnsi="Cambria Math"/>
          <w:sz w:val="23"/>
          <w:szCs w:val="23"/>
          <w:rtl/>
        </w:rPr>
        <w:t xml:space="preserve"> و </w:t>
      </w:r>
      <w:r w:rsidRPr="00B92922">
        <w:rPr>
          <w:position w:val="-10"/>
        </w:rPr>
        <w:object w:dxaOrig="639" w:dyaOrig="320" w14:anchorId="4595CC51">
          <v:shape id="_x0000_i1109" type="#_x0000_t75" style="width:31.45pt;height:15.75pt" o:ole="">
            <v:imagedata r:id="rId180" o:title=""/>
          </v:shape>
          <o:OLEObject Type="Embed" ProgID="Equation.DSMT4" ShapeID="_x0000_i1109" DrawAspect="Content" ObjectID="_1791375053" r:id="rId181"/>
        </w:object>
      </w:r>
      <w:r w:rsidRPr="00A309A0">
        <w:rPr>
          <w:rFonts w:ascii="Cambria Math" w:hAnsi="Cambria Math" w:hint="cs"/>
          <w:sz w:val="23"/>
          <w:szCs w:val="23"/>
          <w:rtl/>
        </w:rPr>
        <w:t xml:space="preserve"> است</w:t>
      </w:r>
      <w:r>
        <w:rPr>
          <w:rFonts w:ascii="Cambria Math" w:hAnsi="Cambria Math"/>
          <w:sz w:val="23"/>
          <w:szCs w:val="23"/>
          <w:rtl/>
        </w:rPr>
        <w:t>.</w:t>
      </w:r>
      <w:r>
        <w:rPr>
          <w:rStyle w:val="FootnoteReference"/>
          <w:rFonts w:ascii="Cambria Math" w:hAnsi="Cambria Math"/>
          <w:sz w:val="23"/>
          <w:szCs w:val="23"/>
          <w:rtl/>
        </w:rPr>
        <w:footnoteReference w:id="60"/>
      </w:r>
      <w:r>
        <w:rPr>
          <w:rFonts w:ascii="Cambria Math" w:hAnsi="Cambria Math" w:hint="cs"/>
          <w:sz w:val="23"/>
          <w:szCs w:val="23"/>
          <w:rtl/>
        </w:rPr>
        <w:t xml:space="preserve"> </w:t>
      </w:r>
      <w:r w:rsidRPr="00A309A0">
        <w:rPr>
          <w:rFonts w:ascii="Cambria Math" w:hAnsi="Cambria Math"/>
          <w:sz w:val="23"/>
          <w:szCs w:val="23"/>
          <w:rtl/>
        </w:rPr>
        <w:t>ضمناً فرض می</w:t>
      </w:r>
      <w:r w:rsidRPr="00A309A0">
        <w:rPr>
          <w:rFonts w:ascii="Cambria Math" w:hAnsi="Cambria Math"/>
          <w:sz w:val="23"/>
          <w:szCs w:val="23"/>
          <w:rtl/>
        </w:rPr>
        <w:softHyphen/>
        <w:t>شود مطلوبیت حاصل از مصرف کالا در آینده کمتر از مطلوبیت مصرف همان کالا در زمان جاری</w:t>
      </w:r>
      <w:r w:rsidRPr="00A309A0">
        <w:rPr>
          <w:rFonts w:ascii="Cambria Math" w:hAnsi="Cambria Math" w:hint="cs"/>
          <w:sz w:val="23"/>
          <w:szCs w:val="23"/>
          <w:rtl/>
        </w:rPr>
        <w:t xml:space="preserve"> است و </w:t>
      </w:r>
      <w:r w:rsidRPr="00A309A0">
        <w:rPr>
          <w:rFonts w:ascii="Cambria Math" w:hAnsi="Cambria Math"/>
          <w:sz w:val="23"/>
          <w:szCs w:val="23"/>
          <w:rtl/>
        </w:rPr>
        <w:t>مطلوبیت بواسطه</w:t>
      </w:r>
      <w:r w:rsidRPr="00A309A0">
        <w:rPr>
          <w:rFonts w:ascii="Cambria Math" w:hAnsi="Cambria Math"/>
          <w:sz w:val="23"/>
          <w:szCs w:val="23"/>
          <w:rtl/>
        </w:rPr>
        <w:softHyphen/>
        <w:t xml:space="preserve">ی ضریب </w:t>
      </w:r>
      <w:r w:rsidRPr="00B92922">
        <w:rPr>
          <w:position w:val="-10"/>
        </w:rPr>
        <w:object w:dxaOrig="859" w:dyaOrig="300" w14:anchorId="1ECC1EF7">
          <v:shape id="_x0000_i1110" type="#_x0000_t75" style="width:42.95pt;height:15.15pt" o:ole="">
            <v:imagedata r:id="rId182" o:title=""/>
          </v:shape>
          <o:OLEObject Type="Embed" ProgID="Equation.DSMT4" ShapeID="_x0000_i1110" DrawAspect="Content" ObjectID="_1791375054" r:id="rId183"/>
        </w:object>
      </w:r>
      <w:r w:rsidRPr="00A309A0">
        <w:rPr>
          <w:rFonts w:ascii="Cambria Math" w:hAnsi="Cambria Math"/>
          <w:sz w:val="23"/>
          <w:szCs w:val="23"/>
          <w:rtl/>
        </w:rPr>
        <w:t xml:space="preserve"> در طی زمان تنزیل می</w:t>
      </w:r>
      <w:r w:rsidRPr="00A309A0">
        <w:rPr>
          <w:rFonts w:ascii="Cambria Math" w:hAnsi="Cambria Math"/>
          <w:sz w:val="23"/>
          <w:szCs w:val="23"/>
          <w:rtl/>
        </w:rPr>
        <w:softHyphen/>
        <w:t xml:space="preserve">شود. به عبارتی </w:t>
      </w:r>
      <w:r w:rsidRPr="00B92922">
        <w:rPr>
          <w:position w:val="-12"/>
        </w:rPr>
        <w:object w:dxaOrig="1240" w:dyaOrig="360" w14:anchorId="17CCA48D">
          <v:shape id="_x0000_i1111" type="#_x0000_t75" style="width:61.7pt;height:18.15pt" o:ole="">
            <v:imagedata r:id="rId184" o:title=""/>
          </v:shape>
          <o:OLEObject Type="Embed" ProgID="Equation.DSMT4" ShapeID="_x0000_i1111" DrawAspect="Content" ObjectID="_1791375055" r:id="rId185"/>
        </w:object>
      </w:r>
      <w:r w:rsidRPr="00A309A0">
        <w:rPr>
          <w:rFonts w:ascii="Cambria Math" w:eastAsiaTheme="minorEastAsia" w:hAnsi="Cambria Math"/>
          <w:sz w:val="23"/>
          <w:szCs w:val="23"/>
          <w:rtl/>
        </w:rPr>
        <w:t xml:space="preserve"> و</w:t>
      </w:r>
      <w:r w:rsidRPr="00B92922">
        <w:rPr>
          <w:position w:val="-6"/>
        </w:rPr>
        <w:object w:dxaOrig="540" w:dyaOrig="260" w14:anchorId="20D17F41">
          <v:shape id="_x0000_i1112" type="#_x0000_t75" style="width:27.25pt;height:12.7pt" o:ole="">
            <v:imagedata r:id="rId186" o:title=""/>
          </v:shape>
          <o:OLEObject Type="Embed" ProgID="Equation.DSMT4" ShapeID="_x0000_i1112" DrawAspect="Content" ObjectID="_1791375056" r:id="rId187"/>
        </w:object>
      </w:r>
      <w:r w:rsidRPr="00A309A0">
        <w:rPr>
          <w:rFonts w:ascii="Cambria Math" w:hAnsi="Cambria Math"/>
          <w:sz w:val="23"/>
          <w:szCs w:val="23"/>
          <w:rtl/>
        </w:rPr>
        <w:t xml:space="preserve"> نزخ تنزیل </w:t>
      </w:r>
      <w:r w:rsidRPr="00A309A0">
        <w:rPr>
          <w:rFonts w:ascii="Cambria Math" w:hAnsi="Cambria Math" w:hint="cs"/>
          <w:sz w:val="23"/>
          <w:szCs w:val="23"/>
          <w:rtl/>
        </w:rPr>
        <w:t>است</w:t>
      </w:r>
      <w:r w:rsidRPr="00A309A0">
        <w:rPr>
          <w:rFonts w:ascii="Cambria Math" w:hAnsi="Cambria Math"/>
          <w:sz w:val="23"/>
          <w:szCs w:val="23"/>
          <w:rtl/>
        </w:rPr>
        <w:t xml:space="preserve">. </w:t>
      </w:r>
    </w:p>
    <w:p w14:paraId="2EC107C4"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 xml:space="preserve">هدف کارگزار نمونه انتخاب مصرف جاری و آتی جهت حداکثر </w:t>
      </w:r>
      <w:r w:rsidRPr="00A309A0">
        <w:rPr>
          <w:rFonts w:ascii="Cambria Math" w:hAnsi="Cambria Math" w:hint="cs"/>
          <w:sz w:val="23"/>
          <w:szCs w:val="23"/>
          <w:rtl/>
        </w:rPr>
        <w:t>ک</w:t>
      </w:r>
      <w:r w:rsidRPr="00A309A0">
        <w:rPr>
          <w:rFonts w:ascii="Cambria Math" w:hAnsi="Cambria Math"/>
          <w:sz w:val="23"/>
          <w:szCs w:val="23"/>
          <w:rtl/>
        </w:rPr>
        <w:t>ر</w:t>
      </w:r>
      <w:r w:rsidRPr="00A309A0">
        <w:rPr>
          <w:rFonts w:ascii="Cambria Math" w:hAnsi="Cambria Math" w:hint="cs"/>
          <w:sz w:val="23"/>
          <w:szCs w:val="23"/>
          <w:rtl/>
        </w:rPr>
        <w:t>د</w:t>
      </w:r>
      <w:r w:rsidRPr="00A309A0">
        <w:rPr>
          <w:rFonts w:ascii="Cambria Math" w:hAnsi="Cambria Math"/>
          <w:sz w:val="23"/>
          <w:szCs w:val="23"/>
          <w:rtl/>
        </w:rPr>
        <w:t>ن مط</w:t>
      </w:r>
      <w:r w:rsidRPr="00A309A0">
        <w:rPr>
          <w:rFonts w:ascii="Cambria Math" w:hAnsi="Cambria Math" w:hint="cs"/>
          <w:sz w:val="23"/>
          <w:szCs w:val="23"/>
          <w:rtl/>
        </w:rPr>
        <w:t>ل</w:t>
      </w:r>
      <w:r w:rsidRPr="00A309A0">
        <w:rPr>
          <w:rFonts w:ascii="Cambria Math" w:hAnsi="Cambria Math"/>
          <w:sz w:val="23"/>
          <w:szCs w:val="23"/>
          <w:rtl/>
        </w:rPr>
        <w:t>وبیت تنزیل شده</w:t>
      </w:r>
      <w:r w:rsidRPr="00A309A0">
        <w:rPr>
          <w:rFonts w:ascii="Cambria Math" w:hAnsi="Cambria Math"/>
          <w:sz w:val="23"/>
          <w:szCs w:val="23"/>
          <w:rtl/>
        </w:rPr>
        <w:softHyphen/>
        <w:t xml:space="preserve">ی کل دوره یا </w:t>
      </w:r>
      <w:r w:rsidRPr="00B92922">
        <w:rPr>
          <w:position w:val="-10"/>
        </w:rPr>
        <w:object w:dxaOrig="240" w:dyaOrig="320" w14:anchorId="200BA5C6">
          <v:shape id="_x0000_i1113" type="#_x0000_t75" style="width:12.1pt;height:15.75pt" o:ole="">
            <v:imagedata r:id="rId188" o:title=""/>
          </v:shape>
          <o:OLEObject Type="Embed" ProgID="Equation.DSMT4" ShapeID="_x0000_i1113" DrawAspect="Content" ObjectID="_1791375057" r:id="rId189"/>
        </w:object>
      </w:r>
      <w:r w:rsidRPr="00A309A0">
        <w:rPr>
          <w:rFonts w:ascii="Cambria Math" w:eastAsiaTheme="minorEastAsia" w:hAnsi="Cambria Math"/>
          <w:sz w:val="23"/>
          <w:szCs w:val="23"/>
          <w:rtl/>
        </w:rPr>
        <w:t xml:space="preserve"> </w:t>
      </w:r>
      <w:r w:rsidRPr="00A309A0">
        <w:rPr>
          <w:rFonts w:ascii="Cambria Math" w:eastAsiaTheme="minorEastAsia" w:hAnsi="Cambria Math" w:hint="cs"/>
          <w:sz w:val="23"/>
          <w:szCs w:val="23"/>
          <w:rtl/>
        </w:rPr>
        <w:t>بر حسب</w:t>
      </w:r>
      <w:r w:rsidRPr="00A309A0">
        <w:rPr>
          <w:rFonts w:ascii="Cambria Math" w:eastAsiaTheme="minorEastAsia" w:hAnsi="Cambria Math"/>
          <w:sz w:val="23"/>
          <w:szCs w:val="23"/>
          <w:rtl/>
        </w:rPr>
        <w:t xml:space="preserve"> متغیرهای مصرف و موجودی سرمایه</w:t>
      </w:r>
      <w:r w:rsidRPr="00A309A0">
        <w:rPr>
          <w:rFonts w:ascii="Cambria Math" w:eastAsiaTheme="minorEastAsia" w:hAnsi="Cambria Math" w:hint="cs"/>
          <w:sz w:val="23"/>
          <w:szCs w:val="23"/>
          <w:rtl/>
        </w:rPr>
        <w:t>،</w:t>
      </w:r>
      <w:r w:rsidRPr="00A309A0">
        <w:rPr>
          <w:rFonts w:ascii="Cambria Math" w:eastAsiaTheme="minorEastAsia" w:hAnsi="Cambria Math"/>
          <w:sz w:val="23"/>
          <w:szCs w:val="23"/>
          <w:rtl/>
        </w:rPr>
        <w:t xml:space="preserve"> </w:t>
      </w:r>
      <w:r w:rsidRPr="00A309A0">
        <w:rPr>
          <w:rFonts w:ascii="Cambria Math" w:eastAsiaTheme="minorEastAsia" w:hAnsi="Cambria Math" w:hint="cs"/>
          <w:sz w:val="23"/>
          <w:szCs w:val="23"/>
          <w:rtl/>
        </w:rPr>
        <w:t xml:space="preserve">نسبت به </w:t>
      </w:r>
      <w:r w:rsidRPr="00A309A0">
        <w:rPr>
          <w:rFonts w:ascii="Cambria Math" w:hAnsi="Cambria Math"/>
          <w:sz w:val="23"/>
          <w:szCs w:val="23"/>
          <w:rtl/>
        </w:rPr>
        <w:t>قید منبع اقتصاد</w:t>
      </w:r>
      <w:r w:rsidRPr="00A309A0">
        <w:rPr>
          <w:rFonts w:ascii="Cambria Math" w:hAnsi="Cambria Math" w:hint="cs"/>
          <w:sz w:val="23"/>
          <w:szCs w:val="23"/>
          <w:rtl/>
        </w:rPr>
        <w:t xml:space="preserve"> یعنی رابطه</w:t>
      </w:r>
      <w:r w:rsidRPr="00A309A0">
        <w:rPr>
          <w:rFonts w:ascii="Cambria Math" w:hAnsi="Cambria Math"/>
          <w:sz w:val="23"/>
          <w:szCs w:val="23"/>
          <w:rtl/>
        </w:rPr>
        <w:softHyphen/>
      </w:r>
      <w:r w:rsidRPr="00A309A0">
        <w:rPr>
          <w:rFonts w:ascii="Cambria Math" w:hAnsi="Cambria Math" w:hint="cs"/>
          <w:sz w:val="23"/>
          <w:szCs w:val="23"/>
          <w:rtl/>
        </w:rPr>
        <w:t>ی</w:t>
      </w:r>
      <w:r w:rsidRPr="00A309A0">
        <w:rPr>
          <w:rFonts w:ascii="Cambria Math" w:hAnsi="Cambria Math"/>
          <w:sz w:val="23"/>
          <w:szCs w:val="23"/>
          <w:rtl/>
        </w:rPr>
        <w:t xml:space="preserve"> </w:t>
      </w:r>
      <w:r w:rsidRPr="00A309A0">
        <w:rPr>
          <w:rFonts w:ascii="Cambria Math" w:hAnsi="Cambria Math" w:hint="cs"/>
          <w:sz w:val="23"/>
          <w:szCs w:val="23"/>
          <w:rtl/>
        </w:rPr>
        <w:t>(۲. ۴)</w:t>
      </w:r>
      <w:r w:rsidRPr="00A309A0">
        <w:rPr>
          <w:rFonts w:ascii="Cambria Math" w:hAnsi="Cambria Math"/>
          <w:sz w:val="23"/>
          <w:szCs w:val="23"/>
          <w:rtl/>
        </w:rPr>
        <w:t xml:space="preserve"> است. از آنجاکه متغیرهای موجود در مدل </w:t>
      </w:r>
      <w:r w:rsidRPr="00A309A0">
        <w:rPr>
          <w:rFonts w:ascii="Cambria Math" w:hAnsi="Cambria Math" w:hint="cs"/>
          <w:sz w:val="23"/>
          <w:szCs w:val="23"/>
          <w:rtl/>
        </w:rPr>
        <w:t xml:space="preserve">اقتصادی </w:t>
      </w:r>
      <w:r w:rsidRPr="00A309A0">
        <w:rPr>
          <w:rFonts w:ascii="Cambria Math" w:hAnsi="Cambria Math"/>
          <w:sz w:val="23"/>
          <w:szCs w:val="23"/>
          <w:rtl/>
        </w:rPr>
        <w:t xml:space="preserve">توسط کارگزار نمونه </w:t>
      </w:r>
      <w:r w:rsidRPr="00A309A0">
        <w:rPr>
          <w:rFonts w:ascii="Cambria Math" w:hAnsi="Cambria Math" w:hint="cs"/>
          <w:sz w:val="23"/>
          <w:szCs w:val="23"/>
          <w:rtl/>
        </w:rPr>
        <w:t xml:space="preserve">و </w:t>
      </w:r>
      <w:r w:rsidRPr="00A309A0">
        <w:rPr>
          <w:rFonts w:ascii="Cambria Math" w:hAnsi="Cambria Math"/>
          <w:sz w:val="23"/>
          <w:szCs w:val="23"/>
          <w:rtl/>
        </w:rPr>
        <w:t>در دوره</w:t>
      </w:r>
      <w:r w:rsidRPr="00A309A0">
        <w:rPr>
          <w:rFonts w:ascii="Cambria Math" w:hAnsi="Cambria Math"/>
          <w:sz w:val="23"/>
          <w:szCs w:val="23"/>
          <w:rtl/>
        </w:rPr>
        <w:softHyphen/>
        <w:t>های زمانی مختلف تعیین می‌شوند</w:t>
      </w:r>
      <w:r w:rsidRPr="00A309A0">
        <w:rPr>
          <w:rFonts w:ascii="Cambria Math" w:hAnsi="Cambria Math" w:hint="cs"/>
          <w:sz w:val="23"/>
          <w:szCs w:val="23"/>
          <w:rtl/>
        </w:rPr>
        <w:t>،</w:t>
      </w:r>
      <w:r w:rsidRPr="00A309A0">
        <w:rPr>
          <w:rFonts w:ascii="Cambria Math" w:hAnsi="Cambria Math"/>
          <w:sz w:val="23"/>
          <w:szCs w:val="23"/>
          <w:rtl/>
        </w:rPr>
        <w:t xml:space="preserve"> لذا هدف کارگزار نمونه بهینه</w:t>
      </w:r>
      <w:r w:rsidRPr="00A309A0">
        <w:rPr>
          <w:rFonts w:ascii="Cambria Math" w:hAnsi="Cambria Math"/>
          <w:sz w:val="23"/>
          <w:szCs w:val="23"/>
          <w:rtl/>
        </w:rPr>
        <w:softHyphen/>
        <w:t xml:space="preserve">سازی پویا است. این نوع مسائل </w:t>
      </w:r>
      <w:r w:rsidRPr="00A309A0">
        <w:rPr>
          <w:rFonts w:ascii="Cambria Math" w:hAnsi="Cambria Math" w:hint="cs"/>
          <w:sz w:val="23"/>
          <w:szCs w:val="23"/>
          <w:rtl/>
        </w:rPr>
        <w:t xml:space="preserve">اقتصادی </w:t>
      </w:r>
      <w:r w:rsidRPr="00A309A0">
        <w:rPr>
          <w:rFonts w:ascii="Cambria Math" w:hAnsi="Cambria Math"/>
          <w:sz w:val="23"/>
          <w:szCs w:val="23"/>
          <w:rtl/>
        </w:rPr>
        <w:t>معمولاً با استفاده از برنامه</w:t>
      </w:r>
      <w:r w:rsidRPr="00A309A0">
        <w:rPr>
          <w:rFonts w:ascii="Cambria Math" w:hAnsi="Cambria Math"/>
          <w:sz w:val="23"/>
          <w:szCs w:val="23"/>
          <w:rtl/>
        </w:rPr>
        <w:softHyphen/>
        <w:t>ریزی پویا</w:t>
      </w:r>
      <w:r w:rsidRPr="00A309A0">
        <w:rPr>
          <w:rStyle w:val="FootnoteReference"/>
          <w:rFonts w:ascii="Cambria Math" w:eastAsiaTheme="majorEastAsia" w:hAnsi="Cambria Math"/>
          <w:sz w:val="23"/>
          <w:szCs w:val="23"/>
          <w:rtl/>
        </w:rPr>
        <w:footnoteReference w:id="61"/>
      </w:r>
      <w:r w:rsidRPr="00A309A0">
        <w:rPr>
          <w:rFonts w:ascii="Cambria Math" w:hAnsi="Cambria Math"/>
          <w:sz w:val="23"/>
          <w:szCs w:val="23"/>
          <w:rtl/>
        </w:rPr>
        <w:t>، حساب تغییرات</w:t>
      </w:r>
      <w:r w:rsidRPr="00A309A0">
        <w:rPr>
          <w:rStyle w:val="FootnoteReference"/>
          <w:rFonts w:ascii="Cambria Math" w:eastAsiaTheme="majorEastAsia" w:hAnsi="Cambria Math"/>
          <w:sz w:val="23"/>
          <w:szCs w:val="23"/>
          <w:rtl/>
        </w:rPr>
        <w:footnoteReference w:id="62"/>
      </w:r>
      <w:r w:rsidRPr="00A309A0">
        <w:rPr>
          <w:rFonts w:ascii="Cambria Math" w:hAnsi="Cambria Math"/>
          <w:sz w:val="23"/>
          <w:szCs w:val="23"/>
          <w:rtl/>
        </w:rPr>
        <w:t>، و اصلِ حداکثر</w:t>
      </w:r>
      <w:r w:rsidRPr="00A309A0">
        <w:rPr>
          <w:rStyle w:val="FootnoteReference"/>
          <w:rFonts w:ascii="Cambria Math" w:eastAsiaTheme="majorEastAsia" w:hAnsi="Cambria Math"/>
          <w:sz w:val="23"/>
          <w:szCs w:val="23"/>
          <w:rtl/>
        </w:rPr>
        <w:footnoteReference w:id="63"/>
      </w:r>
      <w:r w:rsidRPr="00A309A0">
        <w:rPr>
          <w:rFonts w:ascii="Cambria Math" w:hAnsi="Cambria Math"/>
          <w:sz w:val="23"/>
          <w:szCs w:val="23"/>
          <w:rtl/>
        </w:rPr>
        <w:t xml:space="preserve"> حل می‌شوند. لیکن به دلیل تصریح و فرمول</w:t>
      </w:r>
      <w:r w:rsidRPr="00A309A0">
        <w:rPr>
          <w:rFonts w:ascii="Cambria Math" w:hAnsi="Cambria Math"/>
          <w:sz w:val="23"/>
          <w:szCs w:val="23"/>
          <w:rtl/>
        </w:rPr>
        <w:softHyphen/>
        <w:t>بندی غیرتصادفی</w:t>
      </w:r>
      <w:r w:rsidRPr="00A309A0">
        <w:rPr>
          <w:rFonts w:ascii="Cambria Math" w:hAnsi="Cambria Math" w:hint="cs"/>
          <w:sz w:val="23"/>
          <w:szCs w:val="23"/>
          <w:rtl/>
        </w:rPr>
        <w:t xml:space="preserve"> مدل اقتصادی فوق</w:t>
      </w:r>
      <w:r w:rsidRPr="00A309A0">
        <w:rPr>
          <w:rFonts w:ascii="Cambria Math" w:hAnsi="Cambria Math"/>
          <w:sz w:val="23"/>
          <w:szCs w:val="23"/>
          <w:rtl/>
        </w:rPr>
        <w:t xml:space="preserve">، </w:t>
      </w:r>
      <w:r w:rsidRPr="00A309A0">
        <w:rPr>
          <w:rFonts w:ascii="Cambria Math" w:hAnsi="Cambria Math" w:hint="cs"/>
          <w:sz w:val="23"/>
          <w:szCs w:val="23"/>
          <w:rtl/>
        </w:rPr>
        <w:t xml:space="preserve">این </w:t>
      </w:r>
      <w:r w:rsidRPr="00A309A0">
        <w:rPr>
          <w:rFonts w:ascii="Cambria Math" w:hAnsi="Cambria Math"/>
          <w:sz w:val="23"/>
          <w:szCs w:val="23"/>
          <w:rtl/>
        </w:rPr>
        <w:t>مسئله</w:t>
      </w:r>
      <w:r w:rsidRPr="00A309A0">
        <w:rPr>
          <w:rFonts w:ascii="Cambria Math" w:hAnsi="Cambria Math"/>
          <w:sz w:val="23"/>
          <w:szCs w:val="23"/>
          <w:rtl/>
        </w:rPr>
        <w:softHyphen/>
        <w:t>ی را می‌توان به روش ضریب لاگرانژ</w:t>
      </w:r>
      <w:r w:rsidRPr="00A309A0">
        <w:rPr>
          <w:rStyle w:val="FootnoteReference"/>
          <w:rFonts w:ascii="Cambria Math" w:eastAsiaTheme="majorEastAsia" w:hAnsi="Cambria Math"/>
          <w:sz w:val="23"/>
          <w:szCs w:val="23"/>
          <w:rtl/>
        </w:rPr>
        <w:footnoteReference w:id="64"/>
      </w:r>
      <w:r w:rsidRPr="00A309A0">
        <w:rPr>
          <w:rFonts w:ascii="Cambria Math" w:hAnsi="Cambria Math"/>
          <w:sz w:val="23"/>
          <w:szCs w:val="23"/>
          <w:rtl/>
        </w:rPr>
        <w:t xml:space="preserve"> نیز حل نمود. </w:t>
      </w:r>
    </w:p>
    <w:p w14:paraId="3E53A53F"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ابتدا معادله</w:t>
      </w:r>
      <w:r w:rsidRPr="00A309A0">
        <w:rPr>
          <w:rFonts w:ascii="Cambria Math" w:hAnsi="Cambria Math"/>
          <w:sz w:val="23"/>
          <w:szCs w:val="23"/>
          <w:rtl/>
        </w:rPr>
        <w:softHyphen/>
        <w:t xml:space="preserve">ی لاگرانژ را برای کل دوره </w:t>
      </w:r>
      <w:r w:rsidRPr="00A309A0">
        <w:rPr>
          <w:rFonts w:ascii="Cambria Math" w:hAnsi="Cambria Math" w:hint="cs"/>
          <w:sz w:val="23"/>
          <w:szCs w:val="23"/>
          <w:rtl/>
        </w:rPr>
        <w:t xml:space="preserve">و </w:t>
      </w:r>
      <w:r w:rsidRPr="00A309A0">
        <w:rPr>
          <w:rFonts w:ascii="Cambria Math" w:hAnsi="Cambria Math"/>
          <w:sz w:val="23"/>
          <w:szCs w:val="23"/>
          <w:rtl/>
        </w:rPr>
        <w:t xml:space="preserve">با توجه به تابع هدف و قید منبع اقتصاد تعریف می‌کنیم. </w:t>
      </w:r>
    </w:p>
    <w:p w14:paraId="29F740D3" w14:textId="77777777" w:rsidR="00411620" w:rsidRPr="00A309A0" w:rsidRDefault="00411620" w:rsidP="00411620">
      <w:pPr>
        <w:pStyle w:val="MTDisplayEquation"/>
        <w:spacing w:line="216" w:lineRule="auto"/>
        <w:jc w:val="left"/>
        <w:rPr>
          <w:rFonts w:ascii="Cambria Math" w:eastAsiaTheme="minorEastAsia" w:hAnsi="Cambria Math" w:cs="B Nazanin"/>
          <w:sz w:val="23"/>
          <w:szCs w:val="23"/>
          <w:lang w:bidi="fa-IR"/>
        </w:rPr>
      </w:pPr>
      <w:r w:rsidRPr="00B92922">
        <w:rPr>
          <w:position w:val="-16"/>
        </w:rPr>
        <w:object w:dxaOrig="4500" w:dyaOrig="420" w14:anchorId="79E36981">
          <v:shape id="_x0000_i1114" type="#_x0000_t75" style="width:225.1pt;height:21.2pt" o:ole="">
            <v:imagedata r:id="rId190" o:title=""/>
          </v:shape>
          <o:OLEObject Type="Embed" ProgID="Equation.DSMT4" ShapeID="_x0000_i1114" DrawAspect="Content" ObjectID="_1791375058" r:id="rId191"/>
        </w:object>
      </w:r>
    </w:p>
    <w:p w14:paraId="0D7E9774" w14:textId="77777777" w:rsidR="00411620" w:rsidRPr="00A309A0" w:rsidRDefault="00411620" w:rsidP="00411620">
      <w:pPr>
        <w:pStyle w:val="MTDisplayEquation"/>
        <w:spacing w:line="216" w:lineRule="auto"/>
        <w:jc w:val="left"/>
        <w:rPr>
          <w:rFonts w:ascii="Cambria Math" w:eastAsiaTheme="minorEastAsia" w:hAnsi="Cambria Math" w:cs="B Nazanin"/>
          <w:sz w:val="23"/>
          <w:szCs w:val="23"/>
          <w:lang w:bidi="fa-IR"/>
        </w:rPr>
      </w:pPr>
      <w:r w:rsidRPr="00B92922">
        <w:rPr>
          <w:position w:val="-16"/>
        </w:rPr>
        <w:object w:dxaOrig="5440" w:dyaOrig="420" w14:anchorId="24536C22">
          <v:shape id="_x0000_i1115" type="#_x0000_t75" style="width:271.65pt;height:21.2pt" o:ole="">
            <v:imagedata r:id="rId192" o:title=""/>
          </v:shape>
          <o:OLEObject Type="Embed" ProgID="Equation.DSMT4" ShapeID="_x0000_i1115" DrawAspect="Content" ObjectID="_1791375059" r:id="rId193"/>
        </w:object>
      </w:r>
    </w:p>
    <w:p w14:paraId="4C84E47A" w14:textId="77777777" w:rsidR="00411620" w:rsidRPr="00A309A0" w:rsidRDefault="00411620" w:rsidP="00411620">
      <w:pPr>
        <w:pStyle w:val="MTDisplayEquation"/>
        <w:spacing w:line="216" w:lineRule="auto"/>
        <w:jc w:val="left"/>
        <w:rPr>
          <w:rFonts w:ascii="Cambria Math" w:eastAsiaTheme="minorEastAsia" w:hAnsi="Cambria Math" w:cs="B Nazanin"/>
          <w:sz w:val="23"/>
          <w:szCs w:val="23"/>
          <w:lang w:bidi="fa-IR"/>
        </w:rPr>
      </w:pPr>
      <w:r w:rsidRPr="00B92922">
        <w:rPr>
          <w:position w:val="-16"/>
        </w:rPr>
        <w:object w:dxaOrig="5740" w:dyaOrig="420" w14:anchorId="2F6807FA">
          <v:shape id="_x0000_i1116" type="#_x0000_t75" style="width:286.8pt;height:21.2pt" o:ole="">
            <v:imagedata r:id="rId194" o:title=""/>
          </v:shape>
          <o:OLEObject Type="Embed" ProgID="Equation.DSMT4" ShapeID="_x0000_i1116" DrawAspect="Content" ObjectID="_1791375060" r:id="rId195"/>
        </w:object>
      </w:r>
    </w:p>
    <w:p w14:paraId="213E0406" w14:textId="77777777" w:rsidR="00411620" w:rsidRPr="00A309A0" w:rsidRDefault="00411620" w:rsidP="00411620">
      <w:pPr>
        <w:spacing w:line="216" w:lineRule="auto"/>
        <w:rPr>
          <w:rFonts w:ascii="Cambria Math" w:eastAsiaTheme="minorEastAsia" w:hAnsi="Cambria Math"/>
          <w:sz w:val="23"/>
          <w:szCs w:val="23"/>
        </w:rPr>
      </w:pPr>
      <w:r w:rsidRPr="00A309A0">
        <w:rPr>
          <w:rFonts w:ascii="Cambria Math" w:eastAsiaTheme="minorEastAsia" w:hAnsi="Cambria Math"/>
          <w:sz w:val="23"/>
          <w:szCs w:val="23"/>
          <w:rtl/>
        </w:rPr>
        <w:t>و یا</w:t>
      </w:r>
    </w:p>
    <w:p w14:paraId="632D1CA4" w14:textId="77777777" w:rsidR="00411620" w:rsidRPr="00A309A0" w:rsidRDefault="00411620" w:rsidP="00411620">
      <w:pPr>
        <w:bidi w:val="0"/>
        <w:spacing w:line="216" w:lineRule="auto"/>
        <w:rPr>
          <w:rFonts w:ascii="Cambria Math" w:hAnsi="Cambria Math"/>
          <w:sz w:val="23"/>
          <w:szCs w:val="23"/>
          <w:rtl/>
        </w:rPr>
      </w:pPr>
      <w:r w:rsidRPr="00B92922">
        <w:rPr>
          <w:position w:val="-26"/>
        </w:rPr>
        <w:object w:dxaOrig="5400" w:dyaOrig="620" w14:anchorId="4506E16E">
          <v:shape id="_x0000_i1117" type="#_x0000_t75" style="width:270.45pt;height:30.85pt" o:ole="">
            <v:imagedata r:id="rId196" o:title=""/>
          </v:shape>
          <o:OLEObject Type="Embed" ProgID="Equation.DSMT4" ShapeID="_x0000_i1117" DrawAspect="Content" ObjectID="_1791375061" r:id="rId197"/>
        </w:object>
      </w:r>
      <w:r>
        <w:tab/>
      </w:r>
      <w:r>
        <w:tab/>
      </w:r>
      <w:r w:rsidRPr="00A309A0">
        <w:rPr>
          <w:rFonts w:ascii="Cambria Math" w:hAnsi="Cambria Math"/>
          <w:sz w:val="23"/>
          <w:szCs w:val="23"/>
          <w:rtl/>
        </w:rPr>
        <w:tab/>
      </w:r>
      <w:r w:rsidRPr="00A309A0">
        <w:rPr>
          <w:rFonts w:ascii="Cambria Math" w:hAnsi="Cambria Math" w:hint="cs"/>
          <w:sz w:val="23"/>
          <w:szCs w:val="23"/>
          <w:rtl/>
        </w:rPr>
        <w:t>(۲. ۸)</w:t>
      </w:r>
    </w:p>
    <w:p w14:paraId="54B09DD6" w14:textId="77777777" w:rsidR="00411620" w:rsidRDefault="00411620" w:rsidP="00411620">
      <w:pPr>
        <w:spacing w:line="216" w:lineRule="auto"/>
        <w:rPr>
          <w:rFonts w:ascii="Cambria Math" w:hAnsi="Cambria Math"/>
          <w:sz w:val="23"/>
          <w:szCs w:val="23"/>
          <w:rtl/>
        </w:rPr>
      </w:pPr>
      <w:r w:rsidRPr="00A309A0">
        <w:rPr>
          <w:rFonts w:ascii="Cambria Math" w:hAnsi="Cambria Math"/>
          <w:sz w:val="23"/>
          <w:szCs w:val="23"/>
          <w:rtl/>
        </w:rPr>
        <w:t>که در آن</w:t>
      </w:r>
      <w:r w:rsidRPr="00B92922">
        <w:rPr>
          <w:position w:val="-10"/>
        </w:rPr>
        <w:object w:dxaOrig="360" w:dyaOrig="320" w14:anchorId="34030A1C">
          <v:shape id="_x0000_i1118" type="#_x0000_t75" style="width:18.15pt;height:15.75pt" o:ole="">
            <v:imagedata r:id="rId198" o:title=""/>
          </v:shape>
          <o:OLEObject Type="Embed" ProgID="Equation.DSMT4" ShapeID="_x0000_i1118" DrawAspect="Content" ObjectID="_1791375062" r:id="rId199"/>
        </w:object>
      </w:r>
      <w:r w:rsidRPr="00A309A0">
        <w:rPr>
          <w:rFonts w:ascii="Cambria Math" w:eastAsiaTheme="minorEastAsia" w:hAnsi="Cambria Math"/>
          <w:sz w:val="23"/>
          <w:szCs w:val="23"/>
          <w:rtl/>
        </w:rPr>
        <w:t xml:space="preserve"> </w:t>
      </w:r>
      <w:r w:rsidRPr="00A309A0">
        <w:rPr>
          <w:rFonts w:ascii="Cambria Math" w:hAnsi="Cambria Math"/>
          <w:sz w:val="23"/>
          <w:szCs w:val="23"/>
          <w:rtl/>
        </w:rPr>
        <w:t>ضریب لاگرانژ برای دوره</w:t>
      </w:r>
      <w:r w:rsidRPr="00A309A0">
        <w:rPr>
          <w:rFonts w:ascii="Cambria Math" w:hAnsi="Cambria Math"/>
          <w:sz w:val="23"/>
          <w:szCs w:val="23"/>
          <w:rtl/>
        </w:rPr>
        <w:softHyphen/>
        <w:t>ی</w:t>
      </w:r>
      <w:r w:rsidRPr="00B92922">
        <w:rPr>
          <w:position w:val="-6"/>
        </w:rPr>
        <w:object w:dxaOrig="160" w:dyaOrig="200" w14:anchorId="73A7A325">
          <v:shape id="_x0000_i1119" type="#_x0000_t75" style="width:7.85pt;height:10.3pt" o:ole="">
            <v:imagedata r:id="rId200" o:title=""/>
          </v:shape>
          <o:OLEObject Type="Embed" ProgID="Equation.DSMT4" ShapeID="_x0000_i1119" DrawAspect="Content" ObjectID="_1791375063" r:id="rId201"/>
        </w:object>
      </w:r>
      <w:r w:rsidRPr="00A309A0">
        <w:rPr>
          <w:rFonts w:ascii="Cambria Math" w:hAnsi="Cambria Math"/>
          <w:sz w:val="23"/>
          <w:szCs w:val="23"/>
          <w:rtl/>
        </w:rPr>
        <w:t>ام است. رابطه</w:t>
      </w:r>
      <w:r w:rsidRPr="00A309A0">
        <w:rPr>
          <w:rFonts w:ascii="Cambria Math" w:hAnsi="Cambria Math"/>
          <w:sz w:val="23"/>
          <w:szCs w:val="23"/>
          <w:rtl/>
        </w:rPr>
        <w:softHyphen/>
        <w:t>ی</w:t>
      </w:r>
      <w:r w:rsidRPr="00A309A0">
        <w:rPr>
          <w:rFonts w:ascii="Cambria Math" w:hAnsi="Cambria Math"/>
          <w:sz w:val="23"/>
          <w:szCs w:val="23"/>
        </w:rPr>
        <w:fldChar w:fldCharType="begin"/>
      </w:r>
      <w:r w:rsidRPr="00A309A0">
        <w:rPr>
          <w:rFonts w:ascii="Cambria Math" w:hAnsi="Cambria Math"/>
          <w:sz w:val="23"/>
          <w:szCs w:val="23"/>
        </w:rPr>
        <w:instrText xml:space="preserve"> GOTOBUTTON ZEqnNum610541  \* MERGEFORMAT </w:instrText>
      </w:r>
      <w:r w:rsidRPr="00A309A0">
        <w:rPr>
          <w:rFonts w:ascii="Cambria Math" w:hAnsi="Cambria Math"/>
          <w:sz w:val="23"/>
          <w:szCs w:val="23"/>
        </w:rPr>
        <w:fldChar w:fldCharType="end"/>
      </w:r>
      <w:r w:rsidRPr="00A309A0">
        <w:rPr>
          <w:rFonts w:ascii="Cambria Math" w:hAnsi="Cambria Math"/>
          <w:sz w:val="23"/>
          <w:szCs w:val="23"/>
          <w:rtl/>
        </w:rPr>
        <w:t xml:space="preserve"> </w:t>
      </w:r>
      <w:r w:rsidRPr="00A309A0">
        <w:rPr>
          <w:rFonts w:ascii="Cambria Math" w:hAnsi="Cambria Math" w:hint="cs"/>
          <w:sz w:val="23"/>
          <w:szCs w:val="23"/>
          <w:rtl/>
        </w:rPr>
        <w:t>(۲. ۸) بر</w:t>
      </w:r>
      <w:r w:rsidRPr="00A309A0">
        <w:rPr>
          <w:rFonts w:ascii="Cambria Math" w:hAnsi="Cambria Math"/>
          <w:sz w:val="23"/>
          <w:szCs w:val="23"/>
          <w:rtl/>
        </w:rPr>
        <w:t xml:space="preserve"> حسب متغیرهای </w:t>
      </w:r>
      <w:r w:rsidRPr="00B92922">
        <w:rPr>
          <w:position w:val="-12"/>
        </w:rPr>
        <w:object w:dxaOrig="1939" w:dyaOrig="360" w14:anchorId="012AAD85">
          <v:shape id="_x0000_i1120" type="#_x0000_t75" style="width:96.8pt;height:18.15pt" o:ole="">
            <v:imagedata r:id="rId202" o:title=""/>
          </v:shape>
          <o:OLEObject Type="Embed" ProgID="Equation.DSMT4" ShapeID="_x0000_i1120" DrawAspect="Content" ObjectID="_1791375064" r:id="rId203"/>
        </w:object>
      </w:r>
      <w:r w:rsidRPr="00A309A0">
        <w:rPr>
          <w:rFonts w:ascii="Cambria Math" w:hAnsi="Cambria Math"/>
          <w:sz w:val="23"/>
          <w:szCs w:val="23"/>
          <w:rtl/>
        </w:rPr>
        <w:t xml:space="preserve"> حداکثر می‌شود. </w:t>
      </w:r>
      <w:r w:rsidRPr="00A309A0">
        <w:rPr>
          <w:rFonts w:ascii="Cambria Math" w:hAnsi="Cambria Math" w:hint="cs"/>
          <w:sz w:val="23"/>
          <w:szCs w:val="23"/>
          <w:rtl/>
        </w:rPr>
        <w:t xml:space="preserve">توجه داشته باشید که </w:t>
      </w:r>
      <w:r w:rsidRPr="00A309A0">
        <w:rPr>
          <w:rFonts w:ascii="Cambria Math" w:hAnsi="Cambria Math"/>
          <w:sz w:val="23"/>
          <w:szCs w:val="23"/>
          <w:rtl/>
        </w:rPr>
        <w:t>این معادله را نمی</w:t>
      </w:r>
      <w:r w:rsidRPr="00A309A0">
        <w:rPr>
          <w:rFonts w:ascii="Cambria Math" w:hAnsi="Cambria Math"/>
          <w:sz w:val="23"/>
          <w:szCs w:val="23"/>
          <w:rtl/>
        </w:rPr>
        <w:softHyphen/>
        <w:t>توان بر حسب موجودی سرمایه در ابتدای دوره یعنی</w:t>
      </w:r>
      <w:r w:rsidRPr="00B92922">
        <w:rPr>
          <w:position w:val="-10"/>
        </w:rPr>
        <w:object w:dxaOrig="260" w:dyaOrig="320" w14:anchorId="5D4F6A28">
          <v:shape id="_x0000_i1121" type="#_x0000_t75" style="width:12.7pt;height:15.75pt" o:ole="">
            <v:imagedata r:id="rId204" o:title=""/>
          </v:shape>
          <o:OLEObject Type="Embed" ProgID="Equation.DSMT4" ShapeID="_x0000_i1121" DrawAspect="Content" ObjectID="_1791375065" r:id="rId205"/>
        </w:object>
      </w:r>
      <w:r w:rsidRPr="00A309A0">
        <w:rPr>
          <w:rFonts w:ascii="Cambria Math" w:eastAsiaTheme="minorEastAsia" w:hAnsi="Cambria Math"/>
          <w:sz w:val="23"/>
          <w:szCs w:val="23"/>
          <w:rtl/>
        </w:rPr>
        <w:t xml:space="preserve"> حداکثر </w:t>
      </w:r>
      <w:r w:rsidRPr="00A309A0">
        <w:rPr>
          <w:rFonts w:ascii="Cambria Math" w:eastAsiaTheme="minorEastAsia" w:hAnsi="Cambria Math" w:hint="cs"/>
          <w:sz w:val="23"/>
          <w:szCs w:val="23"/>
          <w:rtl/>
        </w:rPr>
        <w:t>کر</w:t>
      </w:r>
      <w:r w:rsidRPr="00A309A0">
        <w:rPr>
          <w:rFonts w:ascii="Cambria Math" w:eastAsiaTheme="minorEastAsia" w:hAnsi="Cambria Math"/>
          <w:sz w:val="23"/>
          <w:szCs w:val="23"/>
          <w:rtl/>
        </w:rPr>
        <w:t>د</w:t>
      </w:r>
      <w:r w:rsidRPr="00A309A0">
        <w:rPr>
          <w:rFonts w:ascii="Cambria Math" w:eastAsiaTheme="minorEastAsia" w:hAnsi="Cambria Math" w:hint="cs"/>
          <w:sz w:val="23"/>
          <w:szCs w:val="23"/>
          <w:rtl/>
        </w:rPr>
        <w:t>،</w:t>
      </w:r>
      <w:r w:rsidRPr="00A309A0">
        <w:rPr>
          <w:rFonts w:ascii="Cambria Math" w:eastAsiaTheme="minorEastAsia" w:hAnsi="Cambria Math"/>
          <w:sz w:val="23"/>
          <w:szCs w:val="23"/>
          <w:rtl/>
        </w:rPr>
        <w:t xml:space="preserve"> زیرا این متغیر در ابتدای دوره </w:t>
      </w:r>
      <w:r w:rsidRPr="00A309A0">
        <w:rPr>
          <w:rFonts w:ascii="Cambria Math" w:eastAsiaTheme="minorEastAsia" w:hAnsi="Cambria Math" w:hint="cs"/>
          <w:sz w:val="23"/>
          <w:szCs w:val="23"/>
          <w:rtl/>
        </w:rPr>
        <w:t xml:space="preserve">موهبت، داده شده و </w:t>
      </w:r>
      <w:r w:rsidRPr="00A309A0">
        <w:rPr>
          <w:rFonts w:ascii="Cambria Math" w:eastAsiaTheme="minorEastAsia" w:hAnsi="Cambria Math"/>
          <w:sz w:val="23"/>
          <w:szCs w:val="23"/>
          <w:rtl/>
        </w:rPr>
        <w:t>معلوم است نه مجهول. ش</w:t>
      </w:r>
      <w:r w:rsidRPr="00A309A0">
        <w:rPr>
          <w:rFonts w:ascii="Cambria Math" w:hAnsi="Cambria Math"/>
          <w:sz w:val="23"/>
          <w:szCs w:val="23"/>
          <w:rtl/>
        </w:rPr>
        <w:t xml:space="preserve">روط </w:t>
      </w:r>
      <w:r w:rsidRPr="00A309A0">
        <w:rPr>
          <w:rFonts w:ascii="Cambria Math" w:hAnsi="Cambria Math" w:hint="cs"/>
          <w:sz w:val="23"/>
          <w:szCs w:val="23"/>
          <w:rtl/>
        </w:rPr>
        <w:t xml:space="preserve">لازم و یا </w:t>
      </w:r>
      <w:r w:rsidRPr="00A309A0">
        <w:rPr>
          <w:rFonts w:ascii="Cambria Math" w:hAnsi="Cambria Math"/>
          <w:sz w:val="23"/>
          <w:szCs w:val="23"/>
          <w:rtl/>
        </w:rPr>
        <w:t>مرتبه</w:t>
      </w:r>
      <w:r w:rsidRPr="00A309A0">
        <w:rPr>
          <w:rFonts w:ascii="Cambria Math" w:hAnsi="Cambria Math"/>
          <w:sz w:val="23"/>
          <w:szCs w:val="23"/>
          <w:rtl/>
        </w:rPr>
        <w:softHyphen/>
        <w:t xml:space="preserve"> اول </w:t>
      </w:r>
      <w:r w:rsidRPr="00A309A0">
        <w:rPr>
          <w:rFonts w:ascii="Cambria Math" w:hAnsi="Cambria Math" w:hint="cs"/>
          <w:sz w:val="23"/>
          <w:szCs w:val="23"/>
          <w:rtl/>
        </w:rPr>
        <w:t>حداکثرسازی مسئله</w:t>
      </w:r>
      <w:r w:rsidRPr="00A309A0">
        <w:rPr>
          <w:rFonts w:ascii="Cambria Math" w:hAnsi="Cambria Math"/>
          <w:sz w:val="23"/>
          <w:szCs w:val="23"/>
          <w:rtl/>
        </w:rPr>
        <w:softHyphen/>
      </w:r>
      <w:r w:rsidRPr="00A309A0">
        <w:rPr>
          <w:rFonts w:ascii="Cambria Math" w:hAnsi="Cambria Math" w:hint="cs"/>
          <w:sz w:val="23"/>
          <w:szCs w:val="23"/>
          <w:rtl/>
        </w:rPr>
        <w:t xml:space="preserve">ی فوق </w:t>
      </w:r>
      <w:r>
        <w:rPr>
          <w:rFonts w:ascii="Cambria Math" w:hAnsi="Cambria Math"/>
          <w:sz w:val="23"/>
          <w:szCs w:val="23"/>
          <w:rtl/>
        </w:rPr>
        <w:t>عبارتند از؛</w:t>
      </w:r>
    </w:p>
    <w:p w14:paraId="16A407EA" w14:textId="77777777" w:rsidR="00411620" w:rsidRPr="00A309A0" w:rsidRDefault="00411620" w:rsidP="00411620">
      <w:pPr>
        <w:bidi w:val="0"/>
        <w:spacing w:line="216" w:lineRule="auto"/>
        <w:jc w:val="left"/>
        <w:rPr>
          <w:rFonts w:ascii="Cambria Math" w:hAnsi="Cambria Math"/>
          <w:sz w:val="23"/>
          <w:szCs w:val="23"/>
        </w:rPr>
      </w:pPr>
      <w:r w:rsidRPr="00B92922">
        <w:rPr>
          <w:position w:val="-28"/>
        </w:rPr>
        <w:object w:dxaOrig="4520" w:dyaOrig="639" w14:anchorId="4AA86C21">
          <v:shape id="_x0000_i1122" type="#_x0000_t75" style="width:226.9pt;height:31.45pt" o:ole="">
            <v:imagedata r:id="rId206" o:title=""/>
          </v:shape>
          <o:OLEObject Type="Embed" ProgID="Equation.DSMT4" ShapeID="_x0000_i1122" DrawAspect="Content" ObjectID="_1791375066" r:id="rId207"/>
        </w:object>
      </w:r>
      <w:r w:rsidRPr="00A309A0">
        <w:rPr>
          <w:rFonts w:ascii="Cambria Math" w:hAnsi="Cambria Math"/>
          <w:sz w:val="23"/>
          <w:szCs w:val="23"/>
          <w:rtl/>
        </w:rPr>
        <w:tab/>
      </w:r>
      <w:r w:rsidRPr="00A309A0">
        <w:rPr>
          <w:rFonts w:ascii="Cambria Math" w:hAnsi="Cambria Math"/>
          <w:sz w:val="23"/>
          <w:szCs w:val="23"/>
          <w:rtl/>
        </w:rPr>
        <w:tab/>
      </w:r>
      <w:r>
        <w:rPr>
          <w:rFonts w:ascii="Cambria Math" w:hAnsi="Cambria Math"/>
          <w:sz w:val="23"/>
          <w:szCs w:val="23"/>
        </w:rPr>
        <w:tab/>
      </w:r>
      <w:r>
        <w:rPr>
          <w:rFonts w:ascii="Cambria Math" w:hAnsi="Cambria Math"/>
          <w:sz w:val="23"/>
          <w:szCs w:val="23"/>
        </w:rPr>
        <w:tab/>
      </w:r>
      <w:r>
        <w:rPr>
          <w:rFonts w:ascii="Cambria Math" w:hAnsi="Cambria Math"/>
          <w:sz w:val="23"/>
          <w:szCs w:val="23"/>
        </w:rPr>
        <w:tab/>
      </w:r>
      <w:r>
        <w:rPr>
          <w:rFonts w:ascii="Cambria Math" w:hAnsi="Cambria Math"/>
          <w:sz w:val="23"/>
          <w:szCs w:val="23"/>
        </w:rPr>
        <w:tab/>
      </w:r>
      <w:r w:rsidRPr="00A309A0">
        <w:rPr>
          <w:rFonts w:ascii="Cambria Math" w:hAnsi="Cambria Math" w:hint="cs"/>
          <w:sz w:val="23"/>
          <w:szCs w:val="23"/>
          <w:rtl/>
        </w:rPr>
        <w:t xml:space="preserve">(۲. ۹) </w:t>
      </w:r>
      <w:r w:rsidRPr="00B92922">
        <w:rPr>
          <w:position w:val="-28"/>
        </w:rPr>
        <w:object w:dxaOrig="4520" w:dyaOrig="639" w14:anchorId="3A490CFF">
          <v:shape id="_x0000_i1123" type="#_x0000_t75" style="width:226.9pt;height:31.45pt" o:ole="">
            <v:imagedata r:id="rId208" o:title=""/>
          </v:shape>
          <o:OLEObject Type="Embed" ProgID="Equation.DSMT4" ShapeID="_x0000_i1123" DrawAspect="Content" ObjectID="_1791375067" r:id="rId209"/>
        </w:object>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Pr>
        <w:tab/>
      </w:r>
      <w:r>
        <w:rPr>
          <w:rFonts w:ascii="Cambria Math" w:hAnsi="Cambria Math"/>
          <w:sz w:val="23"/>
          <w:szCs w:val="23"/>
        </w:rPr>
        <w:tab/>
      </w:r>
      <w:r>
        <w:rPr>
          <w:rFonts w:ascii="Cambria Math" w:hAnsi="Cambria Math"/>
          <w:sz w:val="23"/>
          <w:szCs w:val="23"/>
        </w:rPr>
        <w:tab/>
      </w:r>
      <w:r>
        <w:rPr>
          <w:rFonts w:ascii="Cambria Math" w:hAnsi="Cambria Math"/>
          <w:sz w:val="23"/>
          <w:szCs w:val="23"/>
        </w:rPr>
        <w:tab/>
      </w:r>
      <w:r w:rsidRPr="00A309A0">
        <w:rPr>
          <w:rFonts w:ascii="Cambria Math" w:hAnsi="Cambria Math" w:hint="cs"/>
          <w:sz w:val="23"/>
          <w:szCs w:val="23"/>
          <w:rtl/>
        </w:rPr>
        <w:t>(۲. ۱۰)</w:t>
      </w:r>
    </w:p>
    <w:p w14:paraId="2DD06870"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hint="cs"/>
          <w:sz w:val="23"/>
          <w:szCs w:val="23"/>
          <w:rtl/>
        </w:rPr>
        <w:t xml:space="preserve">و همچنین </w:t>
      </w:r>
      <w:r w:rsidRPr="00A309A0">
        <w:rPr>
          <w:rFonts w:ascii="Cambria Math" w:hAnsi="Cambria Math"/>
          <w:sz w:val="23"/>
          <w:szCs w:val="23"/>
          <w:rtl/>
        </w:rPr>
        <w:t>معادله</w:t>
      </w:r>
      <w:r w:rsidRPr="00A309A0">
        <w:rPr>
          <w:rFonts w:ascii="Cambria Math" w:hAnsi="Cambria Math"/>
          <w:sz w:val="23"/>
          <w:szCs w:val="23"/>
          <w:rtl/>
        </w:rPr>
        <w:softHyphen/>
        <w:t xml:space="preserve">ی قید منبع اقتصاد </w:t>
      </w:r>
      <w:r w:rsidRPr="00A309A0">
        <w:rPr>
          <w:rFonts w:ascii="Cambria Math" w:hAnsi="Cambria Math" w:hint="cs"/>
          <w:sz w:val="23"/>
          <w:szCs w:val="23"/>
          <w:rtl/>
        </w:rPr>
        <w:t xml:space="preserve">(۲. ۴). </w:t>
      </w:r>
      <w:r w:rsidRPr="00A309A0">
        <w:rPr>
          <w:rFonts w:ascii="Cambria Math" w:hAnsi="Cambria Math"/>
          <w:sz w:val="23"/>
          <w:szCs w:val="23"/>
          <w:rtl/>
        </w:rPr>
        <w:t xml:space="preserve"> </w:t>
      </w:r>
    </w:p>
    <w:p w14:paraId="2F434EA8"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شرط تراگردی</w:t>
      </w:r>
      <w:r w:rsidRPr="00A309A0">
        <w:rPr>
          <w:rStyle w:val="FootnoteReference"/>
          <w:rFonts w:ascii="Cambria Math" w:eastAsiaTheme="majorEastAsia" w:hAnsi="Cambria Math"/>
          <w:sz w:val="23"/>
          <w:szCs w:val="23"/>
          <w:rtl/>
        </w:rPr>
        <w:footnoteReference w:id="65"/>
      </w:r>
      <w:r w:rsidRPr="00A309A0">
        <w:rPr>
          <w:rFonts w:ascii="Cambria Math" w:hAnsi="Cambria Math" w:hint="cs"/>
          <w:sz w:val="23"/>
          <w:szCs w:val="23"/>
          <w:rtl/>
        </w:rPr>
        <w:t xml:space="preserve"> نیز عبارت است از</w:t>
      </w:r>
    </w:p>
    <w:p w14:paraId="442D3ED3" w14:textId="77777777" w:rsidR="00411620" w:rsidRPr="00A309A0" w:rsidRDefault="00411620" w:rsidP="00411620">
      <w:pPr>
        <w:bidi w:val="0"/>
        <w:spacing w:line="216" w:lineRule="auto"/>
        <w:rPr>
          <w:rFonts w:ascii="Cambria Math" w:hAnsi="Cambria Math"/>
          <w:sz w:val="23"/>
          <w:szCs w:val="23"/>
          <w:rtl/>
        </w:rPr>
      </w:pPr>
      <w:r w:rsidRPr="00B92922">
        <w:rPr>
          <w:position w:val="-18"/>
        </w:rPr>
        <w:object w:dxaOrig="2140" w:dyaOrig="420" w14:anchorId="1F8478C4">
          <v:shape id="_x0000_i1124" type="#_x0000_t75" style="width:107.1pt;height:21.2pt" o:ole="">
            <v:imagedata r:id="rId210" o:title=""/>
          </v:shape>
          <o:OLEObject Type="Embed" ProgID="Equation.DSMT4" ShapeID="_x0000_i1124" DrawAspect="Content" ObjectID="_1791375068" r:id="rId211"/>
        </w:object>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Pr>
          <w:rFonts w:ascii="Cambria Math" w:hAnsi="Cambria Math"/>
          <w:sz w:val="23"/>
          <w:szCs w:val="23"/>
        </w:rPr>
        <w:tab/>
      </w:r>
      <w:r>
        <w:rPr>
          <w:rFonts w:ascii="Cambria Math" w:hAnsi="Cambria Math"/>
          <w:sz w:val="23"/>
          <w:szCs w:val="23"/>
        </w:rPr>
        <w:tab/>
      </w:r>
      <w:r>
        <w:rPr>
          <w:rFonts w:ascii="Cambria Math" w:hAnsi="Cambria Math"/>
          <w:sz w:val="23"/>
          <w:szCs w:val="23"/>
        </w:rPr>
        <w:tab/>
      </w:r>
      <w:r w:rsidRPr="00A309A0">
        <w:rPr>
          <w:rFonts w:ascii="Cambria Math" w:hAnsi="Cambria Math" w:hint="cs"/>
          <w:sz w:val="23"/>
          <w:szCs w:val="23"/>
          <w:rtl/>
        </w:rPr>
        <w:t>(۲. ۱۱)</w:t>
      </w:r>
    </w:p>
    <w:p w14:paraId="16CFFC8C"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جهت درک نقش شرط تراگردی در بهینه</w:t>
      </w:r>
      <w:r w:rsidRPr="00A309A0">
        <w:rPr>
          <w:rFonts w:ascii="Cambria Math" w:hAnsi="Cambria Math"/>
          <w:sz w:val="23"/>
          <w:szCs w:val="23"/>
        </w:rPr>
        <w:softHyphen/>
      </w:r>
      <w:r w:rsidRPr="00A309A0">
        <w:rPr>
          <w:rFonts w:ascii="Cambria Math" w:hAnsi="Cambria Math"/>
          <w:sz w:val="23"/>
          <w:szCs w:val="23"/>
          <w:rtl/>
        </w:rPr>
        <w:t>سازی بین</w:t>
      </w:r>
      <w:r w:rsidRPr="00A309A0">
        <w:rPr>
          <w:rFonts w:ascii="Cambria Math" w:hAnsi="Cambria Math"/>
          <w:sz w:val="23"/>
          <w:szCs w:val="23"/>
        </w:rPr>
        <w:softHyphen/>
      </w:r>
      <w:r w:rsidRPr="00A309A0">
        <w:rPr>
          <w:rFonts w:ascii="Cambria Math" w:hAnsi="Cambria Math"/>
          <w:sz w:val="23"/>
          <w:szCs w:val="23"/>
          <w:rtl/>
        </w:rPr>
        <w:t>دوره</w:t>
      </w:r>
      <w:r w:rsidRPr="00A309A0">
        <w:rPr>
          <w:rFonts w:ascii="Cambria Math" w:hAnsi="Cambria Math"/>
          <w:sz w:val="23"/>
          <w:szCs w:val="23"/>
          <w:rtl/>
        </w:rPr>
        <w:softHyphen/>
        <w:t>ای،</w:t>
      </w:r>
      <w:r w:rsidRPr="00A309A0">
        <w:rPr>
          <w:rStyle w:val="FootnoteReference"/>
          <w:rFonts w:ascii="Cambria Math" w:eastAsiaTheme="majorEastAsia" w:hAnsi="Cambria Math"/>
          <w:sz w:val="23"/>
          <w:szCs w:val="23"/>
          <w:rtl/>
        </w:rPr>
        <w:footnoteReference w:id="66"/>
      </w:r>
      <w:r w:rsidRPr="00A309A0">
        <w:rPr>
          <w:rFonts w:ascii="Cambria Math" w:hAnsi="Cambria Math"/>
          <w:sz w:val="23"/>
          <w:szCs w:val="23"/>
          <w:rtl/>
        </w:rPr>
        <w:t xml:space="preserve"> فرض می</w:t>
      </w:r>
      <w:r w:rsidRPr="00A309A0">
        <w:rPr>
          <w:rFonts w:ascii="Cambria Math" w:hAnsi="Cambria Math"/>
          <w:sz w:val="23"/>
          <w:szCs w:val="23"/>
          <w:rtl/>
        </w:rPr>
        <w:softHyphen/>
        <w:t>کنیم که در</w:t>
      </w:r>
      <w:r w:rsidRPr="00A309A0">
        <w:rPr>
          <w:rFonts w:ascii="Cambria Math" w:hAnsi="Cambria Math" w:hint="cs"/>
          <w:sz w:val="23"/>
          <w:szCs w:val="23"/>
          <w:rtl/>
        </w:rPr>
        <w:t xml:space="preserve"> انتهای</w:t>
      </w:r>
      <w:r w:rsidRPr="00A309A0">
        <w:rPr>
          <w:rFonts w:ascii="Cambria Math" w:hAnsi="Cambria Math"/>
          <w:sz w:val="23"/>
          <w:szCs w:val="23"/>
          <w:rtl/>
        </w:rPr>
        <w:t xml:space="preserve"> زمان</w:t>
      </w:r>
      <w:r w:rsidRPr="00B92922">
        <w:rPr>
          <w:position w:val="-6"/>
        </w:rPr>
        <w:object w:dxaOrig="440" w:dyaOrig="240" w14:anchorId="3819C0C9">
          <v:shape id="_x0000_i1125" type="#_x0000_t75" style="width:22.4pt;height:12.1pt" o:ole="">
            <v:imagedata r:id="rId212" o:title=""/>
          </v:shape>
          <o:OLEObject Type="Embed" ProgID="Equation.DSMT4" ShapeID="_x0000_i1125" DrawAspect="Content" ObjectID="_1791375069" r:id="rId213"/>
        </w:object>
      </w:r>
      <w:r w:rsidRPr="00A309A0">
        <w:rPr>
          <w:rFonts w:ascii="Cambria Math" w:hAnsi="Cambria Math"/>
          <w:sz w:val="23"/>
          <w:szCs w:val="23"/>
          <w:rtl/>
        </w:rPr>
        <w:t xml:space="preserve"> موجودی سرمایه</w:t>
      </w:r>
      <w:r w:rsidRPr="00A309A0">
        <w:rPr>
          <w:rFonts w:ascii="Cambria Math" w:hAnsi="Cambria Math"/>
          <w:sz w:val="23"/>
          <w:szCs w:val="23"/>
          <w:rtl/>
        </w:rPr>
        <w:softHyphen/>
        <w:t>ی محدود</w:t>
      </w:r>
      <w:r w:rsidRPr="00A309A0">
        <w:rPr>
          <w:rFonts w:ascii="Cambria Math" w:hAnsi="Cambria Math" w:hint="cs"/>
          <w:sz w:val="23"/>
          <w:szCs w:val="23"/>
          <w:rtl/>
        </w:rPr>
        <w:t>ی به میزان</w:t>
      </w:r>
      <w:r w:rsidRPr="00B92922">
        <w:rPr>
          <w:position w:val="-10"/>
        </w:rPr>
        <w:object w:dxaOrig="499" w:dyaOrig="320" w14:anchorId="4F05A0BB">
          <v:shape id="_x0000_i1126" type="#_x0000_t75" style="width:24.8pt;height:15.75pt" o:ole="">
            <v:imagedata r:id="rId214" o:title=""/>
          </v:shape>
          <o:OLEObject Type="Embed" ProgID="Equation.DSMT4" ShapeID="_x0000_i1126" DrawAspect="Content" ObjectID="_1791375070" r:id="rId215"/>
        </w:object>
      </w:r>
      <w:r w:rsidRPr="00A309A0">
        <w:rPr>
          <w:rFonts w:ascii="Cambria Math" w:eastAsiaTheme="minorEastAsia" w:hAnsi="Cambria Math"/>
          <w:sz w:val="23"/>
          <w:szCs w:val="23"/>
          <w:rtl/>
        </w:rPr>
        <w:t xml:space="preserve"> وجود داشته باشد که </w:t>
      </w:r>
      <w:r w:rsidRPr="00A309A0">
        <w:rPr>
          <w:rFonts w:ascii="Cambria Math" w:hAnsi="Cambria Math"/>
          <w:sz w:val="23"/>
          <w:szCs w:val="23"/>
          <w:rtl/>
        </w:rPr>
        <w:t>اگر مصرف شود</w:t>
      </w:r>
      <w:r w:rsidRPr="00A309A0">
        <w:rPr>
          <w:rFonts w:ascii="Cambria Math" w:hAnsi="Cambria Math" w:hint="cs"/>
          <w:sz w:val="23"/>
          <w:szCs w:val="23"/>
          <w:rtl/>
        </w:rPr>
        <w:t>،</w:t>
      </w:r>
      <w:r w:rsidRPr="00A309A0">
        <w:rPr>
          <w:rFonts w:ascii="Cambria Math" w:hAnsi="Cambria Math"/>
          <w:sz w:val="23"/>
          <w:szCs w:val="23"/>
          <w:rtl/>
        </w:rPr>
        <w:t xml:space="preserve"> مطلوبیت تنزیل شده</w:t>
      </w:r>
      <w:r w:rsidRPr="00A309A0">
        <w:rPr>
          <w:rFonts w:ascii="Cambria Math" w:hAnsi="Cambria Math"/>
          <w:sz w:val="23"/>
          <w:szCs w:val="23"/>
          <w:rtl/>
        </w:rPr>
        <w:softHyphen/>
        <w:t>ی آن در زمان</w:t>
      </w:r>
      <w:r w:rsidRPr="00B92922">
        <w:rPr>
          <w:position w:val="-6"/>
        </w:rPr>
        <w:object w:dxaOrig="139" w:dyaOrig="240" w14:anchorId="25F40B3D">
          <v:shape id="_x0000_i1127" type="#_x0000_t75" style="width:6.65pt;height:12.1pt" o:ole="">
            <v:imagedata r:id="rId216" o:title=""/>
          </v:shape>
          <o:OLEObject Type="Embed" ProgID="Equation.DSMT4" ShapeID="_x0000_i1127" DrawAspect="Content" ObjectID="_1791375071" r:id="rId217"/>
        </w:object>
      </w:r>
      <w:r w:rsidRPr="00A309A0">
        <w:rPr>
          <w:rFonts w:ascii="Cambria Math" w:hAnsi="Cambria Math"/>
          <w:sz w:val="23"/>
          <w:szCs w:val="23"/>
        </w:rPr>
        <w:t xml:space="preserve"> </w:t>
      </w:r>
      <w:r w:rsidRPr="00A309A0">
        <w:rPr>
          <w:rFonts w:ascii="Cambria Math" w:hAnsi="Cambria Math"/>
          <w:sz w:val="23"/>
          <w:szCs w:val="23"/>
          <w:rtl/>
          <w:lang w:val="en-GB"/>
        </w:rPr>
        <w:t>برابر است با</w:t>
      </w:r>
      <w:r w:rsidRPr="00B92922">
        <w:rPr>
          <w:position w:val="-12"/>
        </w:rPr>
        <w:object w:dxaOrig="1440" w:dyaOrig="360" w14:anchorId="1E5FECD1">
          <v:shape id="_x0000_i1128" type="#_x0000_t75" style="width:1in;height:18.15pt" o:ole="">
            <v:imagedata r:id="rId218" o:title=""/>
          </v:shape>
          <o:OLEObject Type="Embed" ProgID="Equation.DSMT4" ShapeID="_x0000_i1128" DrawAspect="Content" ObjectID="_1791375072" r:id="rId219"/>
        </w:object>
      </w:r>
      <w:r w:rsidRPr="00A309A0">
        <w:rPr>
          <w:rFonts w:ascii="Cambria Math" w:hAnsi="Cambria Math"/>
          <w:sz w:val="23"/>
          <w:szCs w:val="23"/>
          <w:rtl/>
        </w:rPr>
        <w:t>. اگر افق زمانی کارگزار نمونه</w:t>
      </w:r>
      <w:r w:rsidRPr="00A309A0">
        <w:rPr>
          <w:rFonts w:ascii="Cambria Math" w:hAnsi="Cambria Math" w:hint="cs"/>
          <w:sz w:val="23"/>
          <w:szCs w:val="23"/>
          <w:rtl/>
        </w:rPr>
        <w:t xml:space="preserve"> اقتصادی</w:t>
      </w:r>
      <w:r w:rsidRPr="00B92922">
        <w:rPr>
          <w:position w:val="-6"/>
        </w:rPr>
        <w:object w:dxaOrig="440" w:dyaOrig="240" w14:anchorId="610CD69B">
          <v:shape id="_x0000_i1129" type="#_x0000_t75" style="width:22.4pt;height:12.1pt" o:ole="">
            <v:imagedata r:id="rId220" o:title=""/>
          </v:shape>
          <o:OLEObject Type="Embed" ProgID="Equation.DSMT4" ShapeID="_x0000_i1129" DrawAspect="Content" ObjectID="_1791375073" r:id="rId221"/>
        </w:object>
      </w:r>
      <w:r w:rsidRPr="00A309A0">
        <w:rPr>
          <w:rFonts w:ascii="Cambria Math" w:hAnsi="Cambria Math"/>
          <w:sz w:val="23"/>
          <w:szCs w:val="23"/>
          <w:rtl/>
        </w:rPr>
        <w:t xml:space="preserve"> باشد، و</w:t>
      </w:r>
      <w:r w:rsidRPr="00A309A0">
        <w:rPr>
          <w:rFonts w:ascii="Cambria Math" w:hAnsi="Cambria Math" w:hint="cs"/>
          <w:sz w:val="23"/>
          <w:szCs w:val="23"/>
          <w:rtl/>
        </w:rPr>
        <w:t xml:space="preserve"> </w:t>
      </w:r>
      <w:r w:rsidRPr="00B92922">
        <w:rPr>
          <w:position w:val="-6"/>
        </w:rPr>
        <w:object w:dxaOrig="160" w:dyaOrig="200" w14:anchorId="4491D97E">
          <v:shape id="_x0000_i1130" type="#_x0000_t75" style="width:7.85pt;height:10.3pt" o:ole="">
            <v:imagedata r:id="rId222" o:title=""/>
          </v:shape>
          <o:OLEObject Type="Embed" ProgID="Equation.DSMT4" ShapeID="_x0000_i1130" DrawAspect="Content" ObjectID="_1791375074" r:id="rId223"/>
        </w:object>
      </w:r>
      <w:r w:rsidRPr="00A309A0">
        <w:rPr>
          <w:rFonts w:ascii="Cambria Math" w:hAnsi="Cambria Math" w:hint="cs"/>
          <w:sz w:val="23"/>
          <w:szCs w:val="23"/>
          <w:rtl/>
        </w:rPr>
        <w:t xml:space="preserve"> </w:t>
      </w:r>
      <w:r w:rsidRPr="00A309A0">
        <w:rPr>
          <w:rFonts w:ascii="Cambria Math" w:eastAsiaTheme="minorEastAsia" w:hAnsi="Cambria Math"/>
          <w:sz w:val="23"/>
          <w:szCs w:val="23"/>
          <w:rtl/>
        </w:rPr>
        <w:t>به سمت بی</w:t>
      </w:r>
      <w:r w:rsidRPr="00A309A0">
        <w:rPr>
          <w:rFonts w:ascii="Cambria Math" w:eastAsiaTheme="minorEastAsia" w:hAnsi="Cambria Math"/>
          <w:sz w:val="23"/>
          <w:szCs w:val="23"/>
          <w:rtl/>
        </w:rPr>
        <w:softHyphen/>
        <w:t xml:space="preserve">نهایت </w:t>
      </w:r>
      <w:r w:rsidRPr="00A309A0">
        <w:rPr>
          <w:rFonts w:ascii="Cambria Math" w:hAnsi="Cambria Math"/>
          <w:sz w:val="23"/>
          <w:szCs w:val="23"/>
          <w:rtl/>
        </w:rPr>
        <w:t>میل کند، از آنجا که</w:t>
      </w:r>
      <w:r w:rsidRPr="00B92922">
        <w:rPr>
          <w:position w:val="-10"/>
        </w:rPr>
        <w:object w:dxaOrig="880" w:dyaOrig="300" w14:anchorId="2A5180CE">
          <v:shape id="_x0000_i1131" type="#_x0000_t75" style="width:44.15pt;height:15.15pt" o:ole="">
            <v:imagedata r:id="rId224" o:title=""/>
          </v:shape>
          <o:OLEObject Type="Embed" ProgID="Equation.DSMT4" ShapeID="_x0000_i1131" DrawAspect="Content" ObjectID="_1791375075" r:id="rId225"/>
        </w:object>
      </w:r>
      <w:r w:rsidRPr="00A309A0">
        <w:rPr>
          <w:rFonts w:ascii="Cambria Math" w:hAnsi="Cambria Math"/>
          <w:sz w:val="23"/>
          <w:szCs w:val="23"/>
          <w:rtl/>
        </w:rPr>
        <w:t xml:space="preserve"> است، ارزش فعلی مطلوبیت حاصل از مصرفِ موجودیِ سرمایه</w:t>
      </w:r>
      <w:r w:rsidRPr="00A309A0">
        <w:rPr>
          <w:rFonts w:ascii="Cambria Math" w:hAnsi="Cambria Math"/>
          <w:sz w:val="23"/>
          <w:szCs w:val="23"/>
          <w:rtl/>
        </w:rPr>
        <w:softHyphen/>
        <w:t>یِ باقیمانده در انتهای دوره برابر با صفر خواهد بود. در این صورت باقی گذاشتن هر سرمایه</w:t>
      </w:r>
      <w:r w:rsidRPr="00A309A0">
        <w:rPr>
          <w:rFonts w:ascii="Cambria Math" w:hAnsi="Cambria Math"/>
          <w:sz w:val="23"/>
          <w:szCs w:val="23"/>
          <w:rtl/>
        </w:rPr>
        <w:softHyphen/>
        <w:t>ای برای انتهای دوره بهینه نخواهد بود</w:t>
      </w:r>
      <w:r w:rsidRPr="00A309A0">
        <w:rPr>
          <w:rFonts w:ascii="Cambria Math" w:hAnsi="Cambria Math" w:hint="cs"/>
          <w:sz w:val="23"/>
          <w:szCs w:val="23"/>
          <w:rtl/>
        </w:rPr>
        <w:t>.</w:t>
      </w:r>
      <w:r w:rsidRPr="00A309A0">
        <w:rPr>
          <w:rFonts w:ascii="Cambria Math" w:hAnsi="Cambria Math"/>
          <w:sz w:val="23"/>
          <w:szCs w:val="23"/>
          <w:rtl/>
        </w:rPr>
        <w:t xml:space="preserve"> زیرا ارزش فعلی آن </w:t>
      </w:r>
      <w:r w:rsidRPr="00A309A0">
        <w:rPr>
          <w:rFonts w:ascii="Cambria Math" w:hAnsi="Cambria Math" w:hint="cs"/>
          <w:sz w:val="23"/>
          <w:szCs w:val="23"/>
          <w:rtl/>
        </w:rPr>
        <w:t xml:space="preserve">برابر </w:t>
      </w:r>
      <w:r w:rsidRPr="00A309A0">
        <w:rPr>
          <w:rFonts w:ascii="Cambria Math" w:hAnsi="Cambria Math"/>
          <w:sz w:val="23"/>
          <w:szCs w:val="23"/>
          <w:rtl/>
        </w:rPr>
        <w:t xml:space="preserve">صفر است و لذا </w:t>
      </w:r>
      <w:r w:rsidRPr="00A309A0">
        <w:rPr>
          <w:rFonts w:ascii="Cambria Math" w:hAnsi="Cambria Math" w:hint="cs"/>
          <w:sz w:val="23"/>
          <w:szCs w:val="23"/>
          <w:rtl/>
        </w:rPr>
        <w:t xml:space="preserve">موجودی سرمایه در انتهای دوره </w:t>
      </w:r>
      <w:r w:rsidRPr="00A309A0">
        <w:rPr>
          <w:rFonts w:ascii="Cambria Math" w:hAnsi="Cambria Math"/>
          <w:sz w:val="23"/>
          <w:szCs w:val="23"/>
          <w:rtl/>
        </w:rPr>
        <w:t>باید مصرف شود. از این رو رابطه</w:t>
      </w:r>
      <w:r w:rsidRPr="00A309A0">
        <w:rPr>
          <w:rFonts w:ascii="Cambria Math" w:hAnsi="Cambria Math"/>
          <w:sz w:val="23"/>
          <w:szCs w:val="23"/>
          <w:rtl/>
        </w:rPr>
        <w:softHyphen/>
        <w:t>ی</w:t>
      </w:r>
      <w:r w:rsidRPr="00A309A0">
        <w:rPr>
          <w:rFonts w:ascii="Cambria Math" w:hAnsi="Cambria Math" w:hint="cs"/>
          <w:sz w:val="23"/>
          <w:szCs w:val="23"/>
          <w:rtl/>
        </w:rPr>
        <w:t>(۲. ۱۱)</w:t>
      </w:r>
      <w:r w:rsidRPr="00A309A0">
        <w:rPr>
          <w:rFonts w:ascii="Cambria Math" w:hAnsi="Cambria Math"/>
          <w:sz w:val="23"/>
          <w:szCs w:val="23"/>
          <w:rtl/>
        </w:rPr>
        <w:t xml:space="preserve"> شرط دیگری برای مسائل بهینه</w:t>
      </w:r>
      <w:r w:rsidRPr="00A309A0">
        <w:rPr>
          <w:rFonts w:ascii="Cambria Math" w:hAnsi="Cambria Math"/>
          <w:sz w:val="23"/>
          <w:szCs w:val="23"/>
          <w:rtl/>
        </w:rPr>
        <w:softHyphen/>
        <w:t>یابی بین</w:t>
      </w:r>
      <w:r w:rsidRPr="00A309A0">
        <w:rPr>
          <w:rFonts w:ascii="Cambria Math" w:hAnsi="Cambria Math"/>
          <w:sz w:val="23"/>
          <w:szCs w:val="23"/>
          <w:rtl/>
        </w:rPr>
        <w:softHyphen/>
        <w:t>دوره</w:t>
      </w:r>
      <w:r w:rsidRPr="00A309A0">
        <w:rPr>
          <w:rFonts w:ascii="Cambria Math" w:hAnsi="Cambria Math"/>
          <w:sz w:val="23"/>
          <w:szCs w:val="23"/>
          <w:rtl/>
        </w:rPr>
        <w:softHyphen/>
        <w:t>ای با افق زمانی نامحدود</w:t>
      </w:r>
      <w:r w:rsidRPr="00A309A0">
        <w:rPr>
          <w:rFonts w:ascii="Cambria Math" w:hAnsi="Cambria Math" w:hint="cs"/>
          <w:sz w:val="23"/>
          <w:szCs w:val="23"/>
          <w:rtl/>
        </w:rPr>
        <w:t xml:space="preserve"> است</w:t>
      </w:r>
      <w:r w:rsidRPr="00A309A0">
        <w:rPr>
          <w:rFonts w:ascii="Cambria Math" w:hAnsi="Cambria Math"/>
          <w:sz w:val="23"/>
          <w:szCs w:val="23"/>
          <w:rtl/>
        </w:rPr>
        <w:t xml:space="preserve">. </w:t>
      </w:r>
    </w:p>
    <w:p w14:paraId="44183CCF" w14:textId="77777777" w:rsidR="00411620" w:rsidRPr="00A309A0" w:rsidRDefault="00411620" w:rsidP="00411620">
      <w:pPr>
        <w:spacing w:line="216" w:lineRule="auto"/>
        <w:rPr>
          <w:rFonts w:ascii="Cambria Math" w:hAnsi="Cambria Math"/>
          <w:sz w:val="23"/>
          <w:szCs w:val="23"/>
        </w:rPr>
      </w:pPr>
      <w:r w:rsidRPr="00A309A0">
        <w:rPr>
          <w:rFonts w:ascii="Cambria Math" w:hAnsi="Cambria Math"/>
          <w:sz w:val="23"/>
          <w:szCs w:val="23"/>
          <w:rtl/>
        </w:rPr>
        <w:t xml:space="preserve"> از معادله</w:t>
      </w:r>
      <w:r w:rsidRPr="00A309A0">
        <w:rPr>
          <w:rFonts w:ascii="Cambria Math" w:hAnsi="Cambria Math"/>
          <w:sz w:val="23"/>
          <w:szCs w:val="23"/>
          <w:rtl/>
        </w:rPr>
        <w:softHyphen/>
      </w:r>
      <w:r w:rsidRPr="00A309A0">
        <w:rPr>
          <w:rFonts w:ascii="Cambria Math" w:hAnsi="Cambria Math" w:hint="cs"/>
          <w:sz w:val="23"/>
          <w:szCs w:val="23"/>
          <w:rtl/>
        </w:rPr>
        <w:t>ی</w:t>
      </w:r>
      <w:r w:rsidRPr="00A309A0">
        <w:rPr>
          <w:rFonts w:ascii="Cambria Math" w:hAnsi="Cambria Math"/>
          <w:sz w:val="23"/>
          <w:szCs w:val="23"/>
          <w:rtl/>
        </w:rPr>
        <w:t xml:space="preserve"> </w:t>
      </w:r>
      <w:r w:rsidRPr="00A309A0">
        <w:rPr>
          <w:rFonts w:ascii="Cambria Math" w:hAnsi="Cambria Math" w:hint="cs"/>
          <w:sz w:val="23"/>
          <w:szCs w:val="23"/>
          <w:rtl/>
        </w:rPr>
        <w:t>(۲. ۹)</w:t>
      </w:r>
      <w:r w:rsidRPr="00A309A0">
        <w:rPr>
          <w:rFonts w:ascii="Cambria Math" w:hAnsi="Cambria Math"/>
          <w:sz w:val="23"/>
          <w:szCs w:val="23"/>
          <w:rtl/>
        </w:rPr>
        <w:t xml:space="preserve"> ضر</w:t>
      </w:r>
      <w:r w:rsidRPr="00A309A0">
        <w:rPr>
          <w:rFonts w:ascii="Cambria Math" w:hAnsi="Cambria Math" w:hint="cs"/>
          <w:sz w:val="23"/>
          <w:szCs w:val="23"/>
          <w:rtl/>
        </w:rPr>
        <w:t>ا</w:t>
      </w:r>
      <w:r w:rsidRPr="00A309A0">
        <w:rPr>
          <w:rFonts w:ascii="Cambria Math" w:hAnsi="Cambria Math"/>
          <w:sz w:val="23"/>
          <w:szCs w:val="23"/>
          <w:rtl/>
        </w:rPr>
        <w:t xml:space="preserve">یب لاگرانژ </w:t>
      </w:r>
      <w:r w:rsidRPr="00B92922">
        <w:rPr>
          <w:position w:val="-10"/>
        </w:rPr>
        <w:object w:dxaOrig="880" w:dyaOrig="320" w14:anchorId="13C723FF">
          <v:shape id="_x0000_i1132" type="#_x0000_t75" style="width:44.15pt;height:15.75pt" o:ole="">
            <v:imagedata r:id="rId226" o:title=""/>
          </v:shape>
          <o:OLEObject Type="Embed" ProgID="Equation.DSMT4" ShapeID="_x0000_i1132" DrawAspect="Content" ObjectID="_1791375076" r:id="rId227"/>
        </w:object>
      </w:r>
      <w:r w:rsidRPr="00A309A0">
        <w:rPr>
          <w:rFonts w:ascii="Cambria Math" w:hAnsi="Cambria Math" w:hint="cs"/>
          <w:sz w:val="23"/>
          <w:szCs w:val="23"/>
          <w:rtl/>
        </w:rPr>
        <w:t xml:space="preserve"> </w:t>
      </w:r>
      <w:r w:rsidRPr="00A309A0">
        <w:rPr>
          <w:rFonts w:ascii="Cambria Math" w:hAnsi="Cambria Math"/>
          <w:sz w:val="23"/>
          <w:szCs w:val="23"/>
          <w:rtl/>
        </w:rPr>
        <w:t>را می‌توان</w:t>
      </w:r>
      <w:r w:rsidRPr="00A309A0">
        <w:rPr>
          <w:rFonts w:ascii="Cambria Math" w:hAnsi="Cambria Math" w:hint="cs"/>
          <w:sz w:val="23"/>
          <w:szCs w:val="23"/>
          <w:rtl/>
        </w:rPr>
        <w:t xml:space="preserve"> به راحتی </w:t>
      </w:r>
      <w:r w:rsidRPr="00A309A0">
        <w:rPr>
          <w:rFonts w:ascii="Cambria Math" w:hAnsi="Cambria Math"/>
          <w:sz w:val="23"/>
          <w:szCs w:val="23"/>
          <w:rtl/>
        </w:rPr>
        <w:t xml:space="preserve">به دست آورد. </w:t>
      </w:r>
    </w:p>
    <w:p w14:paraId="70E1A2A5" w14:textId="77777777" w:rsidR="00411620" w:rsidRPr="00A309A0" w:rsidRDefault="00411620" w:rsidP="00411620">
      <w:pPr>
        <w:pStyle w:val="MTDisplayEquation"/>
        <w:spacing w:line="216" w:lineRule="auto"/>
        <w:jc w:val="left"/>
        <w:rPr>
          <w:rFonts w:ascii="Cambria Math" w:hAnsi="Cambria Math" w:cs="B Nazanin"/>
          <w:sz w:val="23"/>
          <w:szCs w:val="23"/>
          <w:lang w:val="en-GB" w:bidi="fa-IR"/>
        </w:rPr>
      </w:pPr>
      <w:r w:rsidRPr="00B92922">
        <w:rPr>
          <w:position w:val="-12"/>
        </w:rPr>
        <w:object w:dxaOrig="3940" w:dyaOrig="360" w14:anchorId="59BCBA36">
          <v:shape id="_x0000_i1133" type="#_x0000_t75" style="width:196.05pt;height:18.15pt" o:ole="">
            <v:imagedata r:id="rId228" o:title=""/>
          </v:shape>
          <o:OLEObject Type="Embed" ProgID="Equation.DSMT4" ShapeID="_x0000_i1133" DrawAspect="Content" ObjectID="_1791375077" r:id="rId229"/>
        </w:object>
      </w:r>
    </w:p>
    <w:p w14:paraId="1B297ECB" w14:textId="77777777" w:rsidR="00411620" w:rsidRPr="00A309A0" w:rsidRDefault="00411620" w:rsidP="00411620">
      <w:pPr>
        <w:spacing w:line="216" w:lineRule="auto"/>
        <w:rPr>
          <w:rFonts w:ascii="Cambria Math" w:hAnsi="Cambria Math"/>
          <w:sz w:val="23"/>
          <w:szCs w:val="23"/>
        </w:rPr>
      </w:pPr>
      <w:r w:rsidRPr="00A309A0">
        <w:rPr>
          <w:rFonts w:ascii="Cambria Math" w:hAnsi="Cambria Math" w:hint="cs"/>
          <w:sz w:val="23"/>
          <w:szCs w:val="23"/>
          <w:rtl/>
        </w:rPr>
        <w:t xml:space="preserve">و </w:t>
      </w:r>
      <w:r w:rsidRPr="00A309A0">
        <w:rPr>
          <w:rFonts w:ascii="Cambria Math" w:hAnsi="Cambria Math"/>
          <w:sz w:val="23"/>
          <w:szCs w:val="23"/>
          <w:rtl/>
        </w:rPr>
        <w:t>با جایگذاری</w:t>
      </w:r>
      <w:r w:rsidRPr="00B92922">
        <w:rPr>
          <w:position w:val="-10"/>
        </w:rPr>
        <w:object w:dxaOrig="360" w:dyaOrig="320" w14:anchorId="38409BE2">
          <v:shape id="_x0000_i1134" type="#_x0000_t75" style="width:18.15pt;height:15.75pt" o:ole="">
            <v:imagedata r:id="rId230" o:title=""/>
          </v:shape>
          <o:OLEObject Type="Embed" ProgID="Equation.DSMT4" ShapeID="_x0000_i1134" DrawAspect="Content" ObjectID="_1791375078" r:id="rId231"/>
        </w:object>
      </w:r>
      <w:r w:rsidRPr="00A309A0">
        <w:rPr>
          <w:rFonts w:ascii="Cambria Math" w:hAnsi="Cambria Math"/>
          <w:sz w:val="23"/>
          <w:szCs w:val="23"/>
          <w:rtl/>
        </w:rPr>
        <w:t xml:space="preserve"> </w:t>
      </w:r>
      <w:r w:rsidRPr="00A309A0">
        <w:rPr>
          <w:rFonts w:ascii="Cambria Math" w:hAnsi="Cambria Math"/>
          <w:sz w:val="23"/>
          <w:szCs w:val="23"/>
          <w:rtl/>
          <w:lang w:val="en-GB"/>
        </w:rPr>
        <w:t>و</w:t>
      </w:r>
      <w:r w:rsidRPr="00A309A0">
        <w:rPr>
          <w:rFonts w:ascii="Cambria Math" w:eastAsiaTheme="minorEastAsia" w:hAnsi="Cambria Math"/>
          <w:sz w:val="23"/>
          <w:szCs w:val="23"/>
          <w:rtl/>
          <w:lang w:val="en-GB"/>
        </w:rPr>
        <w:t xml:space="preserve"> </w:t>
      </w:r>
      <w:r w:rsidRPr="00B92922">
        <w:rPr>
          <w:position w:val="-10"/>
        </w:rPr>
        <w:object w:dxaOrig="499" w:dyaOrig="320" w14:anchorId="21A90705">
          <v:shape id="_x0000_i1135" type="#_x0000_t75" style="width:24.8pt;height:15.75pt" o:ole="">
            <v:imagedata r:id="rId232" o:title=""/>
          </v:shape>
          <o:OLEObject Type="Embed" ProgID="Equation.DSMT4" ShapeID="_x0000_i1135" DrawAspect="Content" ObjectID="_1791375079" r:id="rId233"/>
        </w:object>
      </w:r>
      <w:r w:rsidRPr="00A309A0">
        <w:rPr>
          <w:rFonts w:ascii="Cambria Math" w:eastAsiaTheme="minorEastAsia" w:hAnsi="Cambria Math"/>
          <w:sz w:val="23"/>
          <w:szCs w:val="23"/>
          <w:rtl/>
        </w:rPr>
        <w:t xml:space="preserve">در </w:t>
      </w:r>
      <w:r w:rsidRPr="00A309A0">
        <w:rPr>
          <w:rFonts w:ascii="Cambria Math" w:hAnsi="Cambria Math"/>
          <w:sz w:val="23"/>
          <w:szCs w:val="23"/>
          <w:rtl/>
        </w:rPr>
        <w:t>معادله</w:t>
      </w:r>
      <w:r w:rsidRPr="00A309A0">
        <w:rPr>
          <w:rFonts w:ascii="Cambria Math" w:hAnsi="Cambria Math"/>
          <w:sz w:val="23"/>
          <w:szCs w:val="23"/>
          <w:rtl/>
        </w:rPr>
        <w:softHyphen/>
        <w:t xml:space="preserve">ی </w:t>
      </w:r>
      <w:r w:rsidRPr="00A309A0">
        <w:rPr>
          <w:rFonts w:ascii="Cambria Math" w:hAnsi="Cambria Math" w:hint="cs"/>
          <w:sz w:val="23"/>
          <w:szCs w:val="23"/>
          <w:rtl/>
        </w:rPr>
        <w:t>(۲. ۱۰)</w:t>
      </w:r>
      <w:r w:rsidRPr="00A309A0">
        <w:rPr>
          <w:rFonts w:ascii="Cambria Math" w:hAnsi="Cambria Math"/>
          <w:sz w:val="23"/>
          <w:szCs w:val="23"/>
          <w:rtl/>
        </w:rPr>
        <w:t xml:space="preserve"> خواهیم داشت</w:t>
      </w:r>
    </w:p>
    <w:p w14:paraId="21F1E620" w14:textId="77777777" w:rsidR="00411620" w:rsidRPr="00A309A0" w:rsidRDefault="00411620" w:rsidP="00411620">
      <w:pPr>
        <w:bidi w:val="0"/>
        <w:spacing w:line="216" w:lineRule="auto"/>
        <w:rPr>
          <w:rFonts w:ascii="Cambria Math" w:hAnsi="Cambria Math"/>
          <w:sz w:val="23"/>
          <w:szCs w:val="23"/>
        </w:rPr>
      </w:pPr>
      <w:r w:rsidRPr="00A309A0">
        <w:rPr>
          <w:rFonts w:ascii="Cambria Math" w:hAnsi="Cambria Math"/>
          <w:sz w:val="23"/>
          <w:szCs w:val="23"/>
          <w:rtl/>
        </w:rPr>
        <w:t xml:space="preserve"> </w:t>
      </w:r>
      <w:r w:rsidRPr="00B92922">
        <w:rPr>
          <w:position w:val="-14"/>
        </w:rPr>
        <w:object w:dxaOrig="5020" w:dyaOrig="380" w14:anchorId="6C7EFD17">
          <v:shape id="_x0000_i1136" type="#_x0000_t75" style="width:251.1pt;height:19.35pt" o:ole="">
            <v:imagedata r:id="rId234" o:title=""/>
          </v:shape>
          <o:OLEObject Type="Embed" ProgID="Equation.DSMT4" ShapeID="_x0000_i1136" DrawAspect="Content" ObjectID="_1791375080" r:id="rId235"/>
        </w:object>
      </w:r>
    </w:p>
    <w:p w14:paraId="58160BD3"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عبارت فوق برای</w:t>
      </w:r>
      <w:r w:rsidRPr="00A309A0">
        <w:rPr>
          <w:rFonts w:ascii="Cambria Math" w:hAnsi="Cambria Math" w:hint="cs"/>
          <w:sz w:val="23"/>
          <w:szCs w:val="23"/>
          <w:rtl/>
        </w:rPr>
        <w:t xml:space="preserve"> هر </w:t>
      </w:r>
      <w:r w:rsidRPr="00B92922">
        <w:rPr>
          <w:position w:val="-6"/>
        </w:rPr>
        <w:object w:dxaOrig="520" w:dyaOrig="260" w14:anchorId="5EC056FC">
          <v:shape id="_x0000_i1137" type="#_x0000_t75" style="width:26pt;height:12.7pt" o:ole="">
            <v:imagedata r:id="rId236" o:title=""/>
          </v:shape>
          <o:OLEObject Type="Embed" ProgID="Equation.DSMT4" ShapeID="_x0000_i1137" DrawAspect="Content" ObjectID="_1791375081" r:id="rId237"/>
        </w:object>
      </w:r>
      <w:r w:rsidRPr="00A309A0">
        <w:rPr>
          <w:rFonts w:ascii="Cambria Math" w:hAnsi="Cambria Math" w:hint="cs"/>
          <w:sz w:val="23"/>
          <w:szCs w:val="23"/>
          <w:rtl/>
        </w:rPr>
        <w:t xml:space="preserve"> صادق است و برای</w:t>
      </w:r>
      <w:r w:rsidRPr="00A309A0">
        <w:rPr>
          <w:rFonts w:ascii="Cambria Math" w:hAnsi="Cambria Math"/>
          <w:sz w:val="23"/>
          <w:szCs w:val="23"/>
          <w:rtl/>
        </w:rPr>
        <w:t xml:space="preserve"> </w:t>
      </w:r>
      <w:r w:rsidRPr="00B92922">
        <w:rPr>
          <w:position w:val="-6"/>
        </w:rPr>
        <w:object w:dxaOrig="480" w:dyaOrig="260" w14:anchorId="13D5F6AA">
          <v:shape id="_x0000_i1138" type="#_x0000_t75" style="width:23.6pt;height:12.7pt" o:ole="">
            <v:imagedata r:id="rId238" o:title=""/>
          </v:shape>
          <o:OLEObject Type="Embed" ProgID="Equation.DSMT4" ShapeID="_x0000_i1138" DrawAspect="Content" ObjectID="_1791375082" r:id="rId239"/>
        </w:object>
      </w:r>
      <w:r w:rsidRPr="00A309A0">
        <w:rPr>
          <w:rFonts w:ascii="Cambria Math" w:hAnsi="Cambria Math"/>
          <w:sz w:val="23"/>
          <w:szCs w:val="23"/>
          <w:rtl/>
        </w:rPr>
        <w:t xml:space="preserve"> برابر است با</w:t>
      </w:r>
    </w:p>
    <w:p w14:paraId="60D09250" w14:textId="77777777" w:rsidR="00411620" w:rsidRPr="00A309A0" w:rsidRDefault="00411620" w:rsidP="00411620">
      <w:pPr>
        <w:pStyle w:val="MTDisplayEquation"/>
        <w:tabs>
          <w:tab w:val="clear" w:pos="3320"/>
          <w:tab w:val="clear" w:pos="6660"/>
        </w:tabs>
        <w:spacing w:line="216" w:lineRule="auto"/>
        <w:jc w:val="left"/>
        <w:rPr>
          <w:rFonts w:ascii="Cambria Math" w:hAnsi="Cambria Math" w:cs="B Nazanin"/>
          <w:sz w:val="23"/>
          <w:szCs w:val="23"/>
          <w:rtl/>
          <w:lang w:bidi="fa-IR"/>
        </w:rPr>
      </w:pPr>
      <w:r w:rsidRPr="00B92922">
        <w:rPr>
          <w:position w:val="-30"/>
        </w:rPr>
        <w:object w:dxaOrig="2980" w:dyaOrig="700" w14:anchorId="12648791">
          <v:shape id="_x0000_i1139" type="#_x0000_t75" style="width:148.85pt;height:35.1pt" o:ole="">
            <v:imagedata r:id="rId240" o:title=""/>
          </v:shape>
          <o:OLEObject Type="Embed" ProgID="Equation.DSMT4" ShapeID="_x0000_i1139" DrawAspect="Content" ObjectID="_1791375083" r:id="rId241"/>
        </w:object>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tl/>
        </w:rPr>
        <w:tab/>
      </w:r>
      <w:r>
        <w:rPr>
          <w:rFonts w:ascii="Cambria Math" w:hAnsi="Cambria Math" w:cs="B Nazanin"/>
          <w:sz w:val="23"/>
          <w:szCs w:val="23"/>
        </w:rPr>
        <w:tab/>
      </w:r>
      <w:r>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hint="cs"/>
          <w:sz w:val="23"/>
          <w:szCs w:val="23"/>
          <w:rtl/>
          <w:lang w:bidi="fa-IR"/>
        </w:rPr>
        <w:t>(۲. ۱۲)</w:t>
      </w:r>
      <w:r w:rsidRPr="00A309A0">
        <w:rPr>
          <w:rFonts w:ascii="Cambria Math" w:hAnsi="Cambria Math" w:cs="B Nazanin" w:hint="cs"/>
          <w:sz w:val="23"/>
          <w:szCs w:val="23"/>
          <w:lang w:bidi="fa-IR"/>
        </w:rPr>
        <w:t xml:space="preserve"> </w:t>
      </w:r>
    </w:p>
    <w:p w14:paraId="3C8A0026"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رابطه</w:t>
      </w:r>
      <w:r w:rsidRPr="00A309A0">
        <w:rPr>
          <w:rFonts w:ascii="Cambria Math" w:hAnsi="Cambria Math"/>
          <w:sz w:val="23"/>
          <w:szCs w:val="23"/>
          <w:rtl/>
        </w:rPr>
        <w:softHyphen/>
        <w:t xml:space="preserve">ی </w:t>
      </w:r>
      <w:r w:rsidRPr="00A309A0">
        <w:rPr>
          <w:rFonts w:ascii="Cambria Math" w:hAnsi="Cambria Math" w:hint="cs"/>
          <w:sz w:val="23"/>
          <w:szCs w:val="23"/>
          <w:rtl/>
        </w:rPr>
        <w:t>(۲. ۱۲)</w:t>
      </w:r>
      <w:r w:rsidRPr="00A309A0">
        <w:rPr>
          <w:rFonts w:ascii="Cambria Math" w:hAnsi="Cambria Math"/>
          <w:sz w:val="23"/>
          <w:szCs w:val="23"/>
          <w:rtl/>
        </w:rPr>
        <w:t xml:space="preserve"> را معادله</w:t>
      </w:r>
      <w:r w:rsidRPr="00A309A0">
        <w:rPr>
          <w:rFonts w:ascii="Cambria Math" w:hAnsi="Cambria Math"/>
          <w:sz w:val="23"/>
          <w:szCs w:val="23"/>
          <w:rtl/>
        </w:rPr>
        <w:softHyphen/>
        <w:t>ی اویلر نامند. این معادله را می</w:t>
      </w:r>
      <w:r w:rsidRPr="00A309A0">
        <w:rPr>
          <w:rFonts w:ascii="Cambria Math" w:hAnsi="Cambria Math"/>
          <w:sz w:val="23"/>
          <w:szCs w:val="23"/>
          <w:rtl/>
        </w:rPr>
        <w:softHyphen/>
        <w:t>توان از طریق حل مطلوبیت تنزیل شده</w:t>
      </w:r>
      <w:r w:rsidRPr="00A309A0">
        <w:rPr>
          <w:rFonts w:ascii="Cambria Math" w:hAnsi="Cambria Math"/>
          <w:sz w:val="23"/>
          <w:szCs w:val="23"/>
          <w:rtl/>
        </w:rPr>
        <w:softHyphen/>
        <w:t>ی بین</w:t>
      </w:r>
      <w:r w:rsidRPr="00A309A0">
        <w:rPr>
          <w:rFonts w:ascii="Cambria Math" w:hAnsi="Cambria Math"/>
          <w:sz w:val="23"/>
          <w:szCs w:val="23"/>
          <w:rtl/>
        </w:rPr>
        <w:softHyphen/>
        <w:t>دوره</w:t>
      </w:r>
      <w:r w:rsidRPr="00A309A0">
        <w:rPr>
          <w:rFonts w:ascii="Cambria Math" w:hAnsi="Cambria Math"/>
          <w:sz w:val="23"/>
          <w:szCs w:val="23"/>
          <w:rtl/>
        </w:rPr>
        <w:softHyphen/>
        <w:t xml:space="preserve">ای </w:t>
      </w:r>
      <w:r w:rsidRPr="00A309A0">
        <w:rPr>
          <w:rFonts w:ascii="Cambria Math" w:hAnsi="Cambria Math" w:hint="cs"/>
          <w:sz w:val="23"/>
          <w:szCs w:val="23"/>
          <w:rtl/>
        </w:rPr>
        <w:t>نسبت به</w:t>
      </w:r>
      <w:r w:rsidRPr="00A309A0">
        <w:rPr>
          <w:rFonts w:ascii="Cambria Math" w:hAnsi="Cambria Math"/>
          <w:sz w:val="23"/>
          <w:szCs w:val="23"/>
          <w:rtl/>
        </w:rPr>
        <w:t xml:space="preserve"> قید منبع اقتصاد</w:t>
      </w:r>
      <w:r w:rsidRPr="00A309A0">
        <w:rPr>
          <w:rFonts w:ascii="Cambria Math" w:hAnsi="Cambria Math" w:hint="cs"/>
          <w:sz w:val="23"/>
          <w:szCs w:val="23"/>
          <w:rtl/>
        </w:rPr>
        <w:t>،</w:t>
      </w:r>
      <w:r w:rsidRPr="00A309A0">
        <w:rPr>
          <w:rFonts w:ascii="Cambria Math" w:hAnsi="Cambria Math"/>
          <w:sz w:val="23"/>
          <w:szCs w:val="23"/>
          <w:rtl/>
        </w:rPr>
        <w:t xml:space="preserve"> و با </w:t>
      </w:r>
      <w:r w:rsidRPr="00A309A0">
        <w:rPr>
          <w:rFonts w:ascii="Cambria Math" w:hAnsi="Cambria Math" w:hint="cs"/>
          <w:sz w:val="23"/>
          <w:szCs w:val="23"/>
          <w:rtl/>
        </w:rPr>
        <w:t xml:space="preserve">استفاده از </w:t>
      </w:r>
      <w:r w:rsidRPr="00A309A0">
        <w:rPr>
          <w:rFonts w:ascii="Cambria Math" w:hAnsi="Cambria Math"/>
          <w:sz w:val="23"/>
          <w:szCs w:val="23"/>
          <w:rtl/>
        </w:rPr>
        <w:t>روش</w:t>
      </w:r>
      <w:r w:rsidRPr="00A309A0">
        <w:rPr>
          <w:rFonts w:ascii="Cambria Math" w:hAnsi="Cambria Math"/>
          <w:sz w:val="23"/>
          <w:szCs w:val="23"/>
          <w:rtl/>
        </w:rPr>
        <w:softHyphen/>
        <w:t xml:space="preserve"> برنامه</w:t>
      </w:r>
      <w:r w:rsidRPr="00A309A0">
        <w:rPr>
          <w:rFonts w:ascii="Cambria Math" w:hAnsi="Cambria Math"/>
          <w:sz w:val="23"/>
          <w:szCs w:val="23"/>
          <w:rtl/>
        </w:rPr>
        <w:softHyphen/>
        <w:t xml:space="preserve">ریزی پویا، </w:t>
      </w:r>
      <w:r w:rsidRPr="00A309A0">
        <w:rPr>
          <w:rFonts w:ascii="Cambria Math" w:hAnsi="Cambria Math" w:hint="cs"/>
          <w:sz w:val="23"/>
          <w:szCs w:val="23"/>
          <w:rtl/>
        </w:rPr>
        <w:t xml:space="preserve">روش </w:t>
      </w:r>
      <w:r w:rsidRPr="00A309A0">
        <w:rPr>
          <w:rFonts w:ascii="Cambria Math" w:hAnsi="Cambria Math"/>
          <w:sz w:val="23"/>
          <w:szCs w:val="23"/>
          <w:rtl/>
        </w:rPr>
        <w:t xml:space="preserve">حساب تغییرات، و یا </w:t>
      </w:r>
      <w:r w:rsidRPr="00A309A0">
        <w:rPr>
          <w:rFonts w:ascii="Cambria Math" w:hAnsi="Cambria Math" w:hint="cs"/>
          <w:sz w:val="23"/>
          <w:szCs w:val="23"/>
          <w:rtl/>
        </w:rPr>
        <w:t xml:space="preserve">روش </w:t>
      </w:r>
      <w:r w:rsidRPr="00A309A0">
        <w:rPr>
          <w:rFonts w:ascii="Cambria Math" w:hAnsi="Cambria Math"/>
          <w:sz w:val="23"/>
          <w:szCs w:val="23"/>
          <w:rtl/>
        </w:rPr>
        <w:t xml:space="preserve">اصلِ حداکثر نیز بدست آورد. </w:t>
      </w:r>
    </w:p>
    <w:p w14:paraId="153479AA" w14:textId="77777777" w:rsidR="00411620" w:rsidRPr="00A309A0" w:rsidRDefault="00411620" w:rsidP="00411620">
      <w:pPr>
        <w:pStyle w:val="Heading2"/>
        <w:spacing w:before="0" w:line="216" w:lineRule="auto"/>
        <w:rPr>
          <w:rFonts w:ascii="Cambria Math" w:hAnsi="Cambria Math" w:cs="B Nazanin"/>
          <w:i/>
          <w:iCs/>
          <w:color w:val="000000" w:themeColor="text1"/>
          <w:sz w:val="23"/>
          <w:szCs w:val="23"/>
          <w:rtl/>
        </w:rPr>
      </w:pPr>
      <w:r w:rsidRPr="00A309A0">
        <w:rPr>
          <w:rFonts w:ascii="Cambria Math" w:hAnsi="Cambria Math" w:cs="B Nazanin" w:hint="cs"/>
          <w:color w:val="000000" w:themeColor="text1"/>
          <w:sz w:val="23"/>
          <w:szCs w:val="23"/>
          <w:rtl/>
        </w:rPr>
        <w:t xml:space="preserve">۲. ۴. ۲ </w:t>
      </w:r>
      <w:r w:rsidRPr="00A309A0">
        <w:rPr>
          <w:rFonts w:ascii="Cambria Math" w:hAnsi="Cambria Math" w:cs="B Nazanin"/>
          <w:color w:val="000000" w:themeColor="text1"/>
          <w:sz w:val="23"/>
          <w:szCs w:val="23"/>
          <w:rtl/>
        </w:rPr>
        <w:t>تفسیر معادله</w:t>
      </w:r>
      <w:r w:rsidRPr="00A309A0">
        <w:rPr>
          <w:rFonts w:ascii="Cambria Math" w:hAnsi="Cambria Math" w:cs="B Nazanin"/>
          <w:color w:val="000000" w:themeColor="text1"/>
          <w:sz w:val="23"/>
          <w:szCs w:val="23"/>
          <w:rtl/>
        </w:rPr>
        <w:softHyphen/>
      </w:r>
      <w:r w:rsidRPr="00A309A0">
        <w:rPr>
          <w:rFonts w:ascii="Cambria Math" w:hAnsi="Cambria Math" w:cs="B Nazanin" w:hint="cs"/>
          <w:color w:val="000000" w:themeColor="text1"/>
          <w:sz w:val="23"/>
          <w:szCs w:val="23"/>
          <w:rtl/>
        </w:rPr>
        <w:t>ی</w:t>
      </w:r>
      <w:r w:rsidRPr="00A309A0">
        <w:rPr>
          <w:rFonts w:ascii="Cambria Math" w:hAnsi="Cambria Math" w:cs="B Nazanin"/>
          <w:color w:val="000000" w:themeColor="text1"/>
          <w:sz w:val="23"/>
          <w:szCs w:val="23"/>
          <w:rtl/>
        </w:rPr>
        <w:t xml:space="preserve"> اویلر </w:t>
      </w:r>
    </w:p>
    <w:p w14:paraId="192C29A7" w14:textId="77777777" w:rsidR="00411620" w:rsidRPr="00A309A0" w:rsidRDefault="00411620" w:rsidP="00411620">
      <w:pPr>
        <w:spacing w:line="216" w:lineRule="auto"/>
        <w:rPr>
          <w:rFonts w:ascii="Cambria Math" w:eastAsiaTheme="minorEastAsia" w:hAnsi="Cambria Math"/>
          <w:sz w:val="23"/>
          <w:szCs w:val="23"/>
        </w:rPr>
      </w:pPr>
      <w:r w:rsidRPr="00A309A0">
        <w:rPr>
          <w:rFonts w:ascii="Cambria Math" w:hAnsi="Cambria Math"/>
          <w:sz w:val="23"/>
          <w:szCs w:val="23"/>
          <w:rtl/>
        </w:rPr>
        <w:t>برای تببین و تشریح معادله</w:t>
      </w:r>
      <w:r w:rsidRPr="00A309A0">
        <w:rPr>
          <w:rFonts w:ascii="Cambria Math" w:hAnsi="Cambria Math"/>
          <w:sz w:val="23"/>
          <w:szCs w:val="23"/>
          <w:rtl/>
        </w:rPr>
        <w:softHyphen/>
        <w:t>ی اویلر، مصرف در زمان</w:t>
      </w:r>
      <w:r w:rsidRPr="00B92922">
        <w:rPr>
          <w:position w:val="-6"/>
        </w:rPr>
        <w:object w:dxaOrig="139" w:dyaOrig="240" w14:anchorId="35B174CE">
          <v:shape id="_x0000_i1140" type="#_x0000_t75" style="width:6.65pt;height:12.1pt" o:ole="">
            <v:imagedata r:id="rId242" o:title=""/>
          </v:shape>
          <o:OLEObject Type="Embed" ProgID="Equation.DSMT4" ShapeID="_x0000_i1140" DrawAspect="Content" ObjectID="_1791375084" r:id="rId243"/>
        </w:object>
      </w:r>
      <w:r w:rsidRPr="00A309A0">
        <w:rPr>
          <w:rFonts w:ascii="Cambria Math" w:hAnsi="Cambria Math" w:hint="cs"/>
          <w:sz w:val="23"/>
          <w:szCs w:val="23"/>
          <w:rtl/>
        </w:rPr>
        <w:t xml:space="preserve"> </w:t>
      </w:r>
      <w:r w:rsidRPr="00A309A0">
        <w:rPr>
          <w:rFonts w:ascii="Cambria Math" w:hAnsi="Cambria Math"/>
          <w:sz w:val="23"/>
          <w:szCs w:val="23"/>
          <w:rtl/>
          <w:lang w:val="en-GB"/>
        </w:rPr>
        <w:t>یا</w:t>
      </w:r>
      <w:r w:rsidRPr="00A309A0">
        <w:rPr>
          <w:rFonts w:ascii="Cambria Math" w:hAnsi="Cambria Math"/>
          <w:sz w:val="23"/>
          <w:szCs w:val="23"/>
          <w:rtl/>
        </w:rPr>
        <w:t xml:space="preserve"> </w:t>
      </w:r>
      <w:r w:rsidRPr="00B92922">
        <w:rPr>
          <w:position w:val="-10"/>
        </w:rPr>
        <w:object w:dxaOrig="200" w:dyaOrig="320" w14:anchorId="73DAE656">
          <v:shape id="_x0000_i1141" type="#_x0000_t75" style="width:10.3pt;height:15.75pt" o:ole="">
            <v:imagedata r:id="rId244" o:title=""/>
          </v:shape>
          <o:OLEObject Type="Embed" ProgID="Equation.DSMT4" ShapeID="_x0000_i1141" DrawAspect="Content" ObjectID="_1791375085" r:id="rId245"/>
        </w:object>
      </w:r>
      <w:r w:rsidRPr="00A309A0">
        <w:rPr>
          <w:rFonts w:ascii="Cambria Math" w:hAnsi="Cambria Math" w:hint="cs"/>
          <w:sz w:val="23"/>
          <w:szCs w:val="23"/>
          <w:rtl/>
        </w:rPr>
        <w:t xml:space="preserve"> </w:t>
      </w:r>
      <w:r w:rsidRPr="00A309A0">
        <w:rPr>
          <w:rFonts w:ascii="Cambria Math" w:hAnsi="Cambria Math"/>
          <w:sz w:val="23"/>
          <w:szCs w:val="23"/>
          <w:rtl/>
        </w:rPr>
        <w:t>را به مقدار کمی یعنی</w:t>
      </w:r>
      <w:r w:rsidRPr="00B92922">
        <w:rPr>
          <w:position w:val="-10"/>
        </w:rPr>
        <w:object w:dxaOrig="340" w:dyaOrig="320" w14:anchorId="2FC379D6">
          <v:shape id="_x0000_i1142" type="#_x0000_t75" style="width:16.95pt;height:15.75pt" o:ole="">
            <v:imagedata r:id="rId246" o:title=""/>
          </v:shape>
          <o:OLEObject Type="Embed" ProgID="Equation.DSMT4" ShapeID="_x0000_i1142" DrawAspect="Content" ObjectID="_1791375086" r:id="rId247"/>
        </w:object>
      </w:r>
      <w:r w:rsidRPr="00A309A0">
        <w:rPr>
          <w:rFonts w:ascii="Cambria Math" w:eastAsiaTheme="minorEastAsia" w:hAnsi="Cambria Math"/>
          <w:sz w:val="23"/>
          <w:szCs w:val="23"/>
          <w:rtl/>
        </w:rPr>
        <w:t xml:space="preserve"> </w:t>
      </w:r>
      <w:r w:rsidRPr="00A309A0">
        <w:rPr>
          <w:rFonts w:ascii="Cambria Math" w:hAnsi="Cambria Math"/>
          <w:sz w:val="23"/>
          <w:szCs w:val="23"/>
          <w:rtl/>
        </w:rPr>
        <w:t>کاهش می</w:t>
      </w:r>
      <w:r w:rsidRPr="00A309A0">
        <w:rPr>
          <w:rFonts w:ascii="Cambria Math" w:hAnsi="Cambria Math"/>
          <w:sz w:val="23"/>
          <w:szCs w:val="23"/>
          <w:rtl/>
        </w:rPr>
        <w:softHyphen/>
        <w:t xml:space="preserve">دهیم. اکنون سئوال این است که مصرف در زمان </w:t>
      </w:r>
      <w:r w:rsidRPr="00B92922">
        <w:rPr>
          <w:position w:val="-6"/>
        </w:rPr>
        <w:object w:dxaOrig="440" w:dyaOrig="260" w14:anchorId="7925E5AC">
          <v:shape id="_x0000_i1143" type="#_x0000_t75" style="width:22.4pt;height:12.7pt" o:ole="">
            <v:imagedata r:id="rId248" o:title=""/>
          </v:shape>
          <o:OLEObject Type="Embed" ProgID="Equation.DSMT4" ShapeID="_x0000_i1143" DrawAspect="Content" ObjectID="_1791375087" r:id="rId249"/>
        </w:object>
      </w:r>
      <w:r w:rsidRPr="00A309A0">
        <w:rPr>
          <w:rFonts w:ascii="Cambria Math" w:hAnsi="Cambria Math" w:hint="cs"/>
          <w:sz w:val="23"/>
          <w:szCs w:val="23"/>
          <w:rtl/>
          <w:lang w:val="en-GB"/>
        </w:rPr>
        <w:t xml:space="preserve"> </w:t>
      </w:r>
      <w:r w:rsidRPr="00A309A0">
        <w:rPr>
          <w:rFonts w:ascii="Cambria Math" w:hAnsi="Cambria Math"/>
          <w:sz w:val="23"/>
          <w:szCs w:val="23"/>
          <w:rtl/>
          <w:lang w:val="en-GB"/>
        </w:rPr>
        <w:t>یا</w:t>
      </w:r>
      <w:r w:rsidRPr="00A309A0">
        <w:rPr>
          <w:rFonts w:ascii="Cambria Math" w:hAnsi="Cambria Math"/>
          <w:sz w:val="23"/>
          <w:szCs w:val="23"/>
          <w:rtl/>
        </w:rPr>
        <w:t xml:space="preserve"> </w:t>
      </w:r>
      <w:r w:rsidRPr="00B92922">
        <w:rPr>
          <w:position w:val="-10"/>
        </w:rPr>
        <w:object w:dxaOrig="340" w:dyaOrig="320" w14:anchorId="3DE8FD02">
          <v:shape id="_x0000_i1144" type="#_x0000_t75" style="width:16.95pt;height:15.75pt" o:ole="">
            <v:imagedata r:id="rId250" o:title=""/>
          </v:shape>
          <o:OLEObject Type="Embed" ProgID="Equation.DSMT4" ShapeID="_x0000_i1144" DrawAspect="Content" ObjectID="_1791375088" r:id="rId251"/>
        </w:object>
      </w:r>
      <w:r w:rsidRPr="00A309A0">
        <w:rPr>
          <w:rFonts w:ascii="Cambria Math" w:hAnsi="Cambria Math"/>
          <w:sz w:val="23"/>
          <w:szCs w:val="23"/>
          <w:rtl/>
        </w:rPr>
        <w:t xml:space="preserve"> چقدر باید افزایش یابد تا کاهش مطلوبیت حاصل از عدم مصرف دوره</w:t>
      </w:r>
      <w:r w:rsidRPr="00A309A0">
        <w:rPr>
          <w:rFonts w:ascii="Cambria Math" w:hAnsi="Cambria Math"/>
          <w:sz w:val="23"/>
          <w:szCs w:val="23"/>
          <w:rtl/>
        </w:rPr>
        <w:softHyphen/>
        <w:t>ی قبل</w:t>
      </w:r>
      <w:r w:rsidRPr="00A309A0">
        <w:rPr>
          <w:rFonts w:ascii="Cambria Math" w:hAnsi="Cambria Math" w:hint="cs"/>
          <w:sz w:val="23"/>
          <w:szCs w:val="23"/>
          <w:rtl/>
        </w:rPr>
        <w:t>ی</w:t>
      </w:r>
      <w:r w:rsidRPr="00A309A0">
        <w:rPr>
          <w:rFonts w:ascii="Cambria Math" w:hAnsi="Cambria Math"/>
          <w:sz w:val="23"/>
          <w:szCs w:val="23"/>
          <w:rtl/>
        </w:rPr>
        <w:t xml:space="preserve"> را جبران نماید و</w:t>
      </w:r>
      <w:r w:rsidRPr="00B92922">
        <w:rPr>
          <w:position w:val="-10"/>
        </w:rPr>
        <w:object w:dxaOrig="240" w:dyaOrig="320" w14:anchorId="2E3F0394">
          <v:shape id="_x0000_i1145" type="#_x0000_t75" style="width:12.1pt;height:15.75pt" o:ole="">
            <v:imagedata r:id="rId252" o:title=""/>
          </v:shape>
          <o:OLEObject Type="Embed" ProgID="Equation.DSMT4" ShapeID="_x0000_i1145" DrawAspect="Content" ObjectID="_1791375089" r:id="rId253"/>
        </w:object>
      </w:r>
      <w:r w:rsidRPr="00A309A0">
        <w:rPr>
          <w:rFonts w:ascii="Cambria Math" w:eastAsiaTheme="minorEastAsia" w:hAnsi="Cambria Math"/>
          <w:sz w:val="23"/>
          <w:szCs w:val="23"/>
          <w:rtl/>
        </w:rPr>
        <w:t xml:space="preserve"> </w:t>
      </w:r>
      <w:r w:rsidRPr="00A309A0">
        <w:rPr>
          <w:rFonts w:ascii="Cambria Math" w:hAnsi="Cambria Math"/>
          <w:sz w:val="23"/>
          <w:szCs w:val="23"/>
          <w:rtl/>
        </w:rPr>
        <w:t xml:space="preserve">بدون تغییر باقی بماند؟ </w:t>
      </w:r>
      <w:r w:rsidRPr="00A309A0">
        <w:rPr>
          <w:rFonts w:ascii="Cambria Math" w:hAnsi="Cambria Math" w:hint="cs"/>
          <w:sz w:val="23"/>
          <w:szCs w:val="23"/>
          <w:rtl/>
        </w:rPr>
        <w:t xml:space="preserve">از آنجا که </w:t>
      </w:r>
      <w:r w:rsidRPr="00B92922">
        <w:rPr>
          <w:position w:val="-10"/>
        </w:rPr>
        <w:object w:dxaOrig="240" w:dyaOrig="320" w14:anchorId="4279140A">
          <v:shape id="_x0000_i1146" type="#_x0000_t75" style="width:12.1pt;height:15.75pt" o:ole="">
            <v:imagedata r:id="rId254" o:title=""/>
          </v:shape>
          <o:OLEObject Type="Embed" ProgID="Equation.DSMT4" ShapeID="_x0000_i1146" DrawAspect="Content" ObjectID="_1791375090" r:id="rId255"/>
        </w:object>
      </w:r>
      <w:r w:rsidRPr="00A309A0">
        <w:rPr>
          <w:rFonts w:ascii="Cambria Math" w:hAnsi="Cambria Math" w:hint="cs"/>
          <w:sz w:val="23"/>
          <w:szCs w:val="23"/>
          <w:rtl/>
        </w:rPr>
        <w:t xml:space="preserve"> باید حداکثر </w:t>
      </w:r>
      <w:r w:rsidRPr="00A309A0">
        <w:rPr>
          <w:rFonts w:ascii="Cambria Math" w:hAnsi="Cambria Math"/>
          <w:sz w:val="23"/>
          <w:szCs w:val="23"/>
          <w:rtl/>
        </w:rPr>
        <w:softHyphen/>
      </w:r>
      <w:r w:rsidRPr="00A309A0">
        <w:rPr>
          <w:rFonts w:ascii="Cambria Math" w:hAnsi="Cambria Math" w:hint="cs"/>
          <w:sz w:val="23"/>
          <w:szCs w:val="23"/>
          <w:rtl/>
        </w:rPr>
        <w:t>شود لذا با تغییرات جزئی مصرف،</w:t>
      </w:r>
      <w:r w:rsidRPr="00B92922">
        <w:rPr>
          <w:position w:val="-10"/>
        </w:rPr>
        <w:object w:dxaOrig="240" w:dyaOrig="320" w14:anchorId="3A02A437">
          <v:shape id="_x0000_i1147" type="#_x0000_t75" style="width:12.1pt;height:15.75pt" o:ole="">
            <v:imagedata r:id="rId256" o:title=""/>
          </v:shape>
          <o:OLEObject Type="Embed" ProgID="Equation.DSMT4" ShapeID="_x0000_i1147" DrawAspect="Content" ObjectID="_1791375091" r:id="rId257"/>
        </w:object>
      </w:r>
      <w:r w:rsidRPr="00A309A0">
        <w:rPr>
          <w:rFonts w:ascii="Cambria Math" w:hAnsi="Cambria Math" w:hint="cs"/>
          <w:sz w:val="23"/>
          <w:szCs w:val="23"/>
          <w:rtl/>
        </w:rPr>
        <w:t xml:space="preserve"> می</w:t>
      </w:r>
      <w:r w:rsidRPr="00A309A0">
        <w:rPr>
          <w:rFonts w:ascii="Cambria Math" w:hAnsi="Cambria Math"/>
          <w:sz w:val="23"/>
          <w:szCs w:val="23"/>
          <w:rtl/>
        </w:rPr>
        <w:softHyphen/>
      </w:r>
      <w:r w:rsidRPr="00A309A0">
        <w:rPr>
          <w:rFonts w:ascii="Cambria Math" w:hAnsi="Cambria Math" w:hint="cs"/>
          <w:sz w:val="23"/>
          <w:szCs w:val="23"/>
          <w:rtl/>
        </w:rPr>
        <w:t xml:space="preserve">بایست بدون تغییر باقی بماند. </w:t>
      </w:r>
      <w:r w:rsidRPr="00A309A0">
        <w:rPr>
          <w:rFonts w:ascii="Cambria Math" w:hAnsi="Cambria Math"/>
          <w:sz w:val="23"/>
          <w:szCs w:val="23"/>
          <w:rtl/>
        </w:rPr>
        <w:t xml:space="preserve">اگر فرض ‌کنیم که مصرف </w:t>
      </w:r>
      <w:r w:rsidRPr="00A309A0">
        <w:rPr>
          <w:rFonts w:ascii="Cambria Math" w:hAnsi="Cambria Math" w:hint="cs"/>
          <w:sz w:val="23"/>
          <w:szCs w:val="23"/>
          <w:rtl/>
        </w:rPr>
        <w:t>پس</w:t>
      </w:r>
      <w:r w:rsidRPr="00A309A0">
        <w:rPr>
          <w:rFonts w:ascii="Cambria Math" w:hAnsi="Cambria Math"/>
          <w:sz w:val="23"/>
          <w:szCs w:val="23"/>
          <w:rtl/>
        </w:rPr>
        <w:t xml:space="preserve"> از دوره</w:t>
      </w:r>
      <w:r w:rsidRPr="00A309A0">
        <w:rPr>
          <w:rFonts w:ascii="Cambria Math" w:hAnsi="Cambria Math"/>
          <w:sz w:val="23"/>
          <w:szCs w:val="23"/>
          <w:rtl/>
        </w:rPr>
        <w:softHyphen/>
        <w:t xml:space="preserve">ی </w:t>
      </w:r>
      <w:r w:rsidRPr="00B92922">
        <w:rPr>
          <w:position w:val="-6"/>
        </w:rPr>
        <w:object w:dxaOrig="440" w:dyaOrig="260" w14:anchorId="1262B0FE">
          <v:shape id="_x0000_i1148" type="#_x0000_t75" style="width:22.4pt;height:12.7pt" o:ole="">
            <v:imagedata r:id="rId258" o:title=""/>
          </v:shape>
          <o:OLEObject Type="Embed" ProgID="Equation.DSMT4" ShapeID="_x0000_i1148" DrawAspect="Content" ObjectID="_1791375092" r:id="rId259"/>
        </w:object>
      </w:r>
      <w:r w:rsidRPr="00A309A0">
        <w:rPr>
          <w:rFonts w:ascii="Cambria Math" w:hAnsi="Cambria Math"/>
          <w:sz w:val="23"/>
          <w:szCs w:val="23"/>
          <w:rtl/>
        </w:rPr>
        <w:t xml:space="preserve"> بدون تغییر باقی </w:t>
      </w:r>
      <w:r w:rsidRPr="00A309A0">
        <w:rPr>
          <w:rFonts w:ascii="Cambria Math" w:hAnsi="Cambria Math" w:hint="cs"/>
          <w:sz w:val="23"/>
          <w:szCs w:val="23"/>
          <w:rtl/>
        </w:rPr>
        <w:t>می</w:t>
      </w:r>
      <w:r w:rsidRPr="00A309A0">
        <w:rPr>
          <w:rFonts w:ascii="Cambria Math" w:hAnsi="Cambria Math"/>
          <w:sz w:val="23"/>
          <w:szCs w:val="23"/>
          <w:rtl/>
        </w:rPr>
        <w:softHyphen/>
        <w:t>ماند</w:t>
      </w:r>
      <w:r w:rsidRPr="00A309A0">
        <w:rPr>
          <w:rFonts w:ascii="Cambria Math" w:hAnsi="Cambria Math" w:hint="cs"/>
          <w:sz w:val="23"/>
          <w:szCs w:val="23"/>
          <w:rtl/>
        </w:rPr>
        <w:t>،</w:t>
      </w:r>
      <w:r w:rsidRPr="00A309A0">
        <w:rPr>
          <w:rFonts w:ascii="Cambria Math" w:hAnsi="Cambria Math"/>
          <w:sz w:val="23"/>
          <w:szCs w:val="23"/>
          <w:rtl/>
        </w:rPr>
        <w:t xml:space="preserve"> آنگاه مسئله</w:t>
      </w:r>
      <w:r w:rsidRPr="00A309A0">
        <w:rPr>
          <w:rFonts w:ascii="Cambria Math" w:hAnsi="Cambria Math"/>
          <w:sz w:val="23"/>
          <w:szCs w:val="23"/>
          <w:rtl/>
        </w:rPr>
        <w:softHyphen/>
        <w:t>ی کارگزار یا خانوار نمونه به دو دوره</w:t>
      </w:r>
      <w:r w:rsidRPr="00A309A0">
        <w:rPr>
          <w:rFonts w:ascii="Cambria Math" w:hAnsi="Cambria Math"/>
          <w:sz w:val="23"/>
          <w:szCs w:val="23"/>
          <w:rtl/>
        </w:rPr>
        <w:softHyphen/>
        <w:t>ی</w:t>
      </w:r>
      <w:r w:rsidRPr="00B92922">
        <w:rPr>
          <w:position w:val="-6"/>
        </w:rPr>
        <w:object w:dxaOrig="139" w:dyaOrig="240" w14:anchorId="6F2CC009">
          <v:shape id="_x0000_i1149" type="#_x0000_t75" style="width:6.65pt;height:12.1pt" o:ole="">
            <v:imagedata r:id="rId260" o:title=""/>
          </v:shape>
          <o:OLEObject Type="Embed" ProgID="Equation.DSMT4" ShapeID="_x0000_i1149" DrawAspect="Content" ObjectID="_1791375093" r:id="rId261"/>
        </w:object>
      </w:r>
      <w:r w:rsidRPr="00A309A0">
        <w:rPr>
          <w:rFonts w:ascii="Cambria Math" w:hAnsi="Cambria Math"/>
          <w:sz w:val="23"/>
          <w:szCs w:val="23"/>
          <w:rtl/>
        </w:rPr>
        <w:t xml:space="preserve"> و </w:t>
      </w:r>
      <w:r w:rsidRPr="00B92922">
        <w:rPr>
          <w:position w:val="-6"/>
        </w:rPr>
        <w:object w:dxaOrig="440" w:dyaOrig="260" w14:anchorId="22D00937">
          <v:shape id="_x0000_i1150" type="#_x0000_t75" style="width:22.4pt;height:12.7pt" o:ole="">
            <v:imagedata r:id="rId262" o:title=""/>
          </v:shape>
          <o:OLEObject Type="Embed" ProgID="Equation.DSMT4" ShapeID="_x0000_i1150" DrawAspect="Content" ObjectID="_1791375094" r:id="rId263"/>
        </w:object>
      </w:r>
      <w:r w:rsidRPr="00A309A0">
        <w:rPr>
          <w:rFonts w:ascii="Cambria Math" w:eastAsiaTheme="minorEastAsia" w:hAnsi="Cambria Math"/>
          <w:sz w:val="23"/>
          <w:szCs w:val="23"/>
          <w:rtl/>
        </w:rPr>
        <w:t xml:space="preserve"> تقلیل </w:t>
      </w:r>
      <w:r w:rsidRPr="00A309A0">
        <w:rPr>
          <w:rFonts w:ascii="Cambria Math" w:eastAsiaTheme="minorEastAsia" w:hAnsi="Cambria Math" w:hint="cs"/>
          <w:sz w:val="23"/>
          <w:szCs w:val="23"/>
          <w:rtl/>
        </w:rPr>
        <w:t xml:space="preserve">خواهد </w:t>
      </w:r>
      <w:r w:rsidRPr="00A309A0">
        <w:rPr>
          <w:rFonts w:ascii="Cambria Math" w:eastAsiaTheme="minorEastAsia" w:hAnsi="Cambria Math"/>
          <w:sz w:val="23"/>
          <w:szCs w:val="23"/>
          <w:rtl/>
        </w:rPr>
        <w:t>یافت</w:t>
      </w:r>
      <w:r w:rsidRPr="00A309A0">
        <w:rPr>
          <w:rFonts w:ascii="Cambria Math" w:hAnsi="Cambria Math"/>
          <w:sz w:val="23"/>
          <w:szCs w:val="23"/>
          <w:rtl/>
        </w:rPr>
        <w:t>. از این</w:t>
      </w:r>
      <w:r w:rsidRPr="00A309A0">
        <w:rPr>
          <w:rFonts w:ascii="Cambria Math" w:hAnsi="Cambria Math"/>
          <w:sz w:val="23"/>
          <w:szCs w:val="23"/>
          <w:rtl/>
        </w:rPr>
        <w:softHyphen/>
        <w:t xml:space="preserve">رو </w:t>
      </w:r>
      <w:r w:rsidRPr="00A309A0">
        <w:rPr>
          <w:rFonts w:ascii="Cambria Math" w:hAnsi="Cambria Math" w:hint="cs"/>
          <w:sz w:val="23"/>
          <w:szCs w:val="23"/>
          <w:rtl/>
        </w:rPr>
        <w:t xml:space="preserve">برای </w:t>
      </w:r>
      <w:r w:rsidRPr="00B92922">
        <w:rPr>
          <w:position w:val="-8"/>
        </w:rPr>
        <w:object w:dxaOrig="660" w:dyaOrig="279" w14:anchorId="21FE44D8">
          <v:shape id="_x0000_i1151" type="#_x0000_t75" style="width:32.65pt;height:13.9pt" o:ole="">
            <v:imagedata r:id="rId264" o:title=""/>
          </v:shape>
          <o:OLEObject Type="Embed" ProgID="Equation.DSMT4" ShapeID="_x0000_i1151" DrawAspect="Content" ObjectID="_1791375095" r:id="rId265"/>
        </w:object>
      </w:r>
      <w:r w:rsidRPr="00A309A0">
        <w:rPr>
          <w:rFonts w:ascii="Cambria Math" w:hAnsi="Cambria Math"/>
          <w:sz w:val="23"/>
          <w:szCs w:val="23"/>
          <w:rtl/>
        </w:rPr>
        <w:t xml:space="preserve"> </w:t>
      </w:r>
      <w:r w:rsidRPr="00A309A0">
        <w:rPr>
          <w:rFonts w:ascii="Cambria Math" w:eastAsiaTheme="minorEastAsia" w:hAnsi="Cambria Math"/>
          <w:sz w:val="23"/>
          <w:szCs w:val="23"/>
          <w:rtl/>
        </w:rPr>
        <w:t>خواهیم داشت</w:t>
      </w:r>
    </w:p>
    <w:p w14:paraId="4E46BCAA" w14:textId="77777777" w:rsidR="00411620" w:rsidRPr="00A309A0" w:rsidRDefault="00411620" w:rsidP="00411620">
      <w:pPr>
        <w:pStyle w:val="MTDisplayEquation"/>
        <w:spacing w:line="216" w:lineRule="auto"/>
        <w:jc w:val="left"/>
        <w:rPr>
          <w:rFonts w:ascii="Cambria Math" w:eastAsiaTheme="minorEastAsia" w:hAnsi="Cambria Math" w:cs="B Nazanin"/>
          <w:sz w:val="23"/>
          <w:szCs w:val="23"/>
          <w:rtl/>
          <w:lang w:bidi="fa-IR"/>
        </w:rPr>
      </w:pPr>
      <w:r w:rsidRPr="00B92922">
        <w:rPr>
          <w:position w:val="-10"/>
        </w:rPr>
        <w:object w:dxaOrig="1920" w:dyaOrig="320" w14:anchorId="32A3DF59">
          <v:shape id="_x0000_i1152" type="#_x0000_t75" style="width:96.2pt;height:15.75pt" o:ole="">
            <v:imagedata r:id="rId266" o:title=""/>
          </v:shape>
          <o:OLEObject Type="Embed" ProgID="Equation.DSMT4" ShapeID="_x0000_i1152" DrawAspect="Content" ObjectID="_1791375096" r:id="rId267"/>
        </w:object>
      </w:r>
    </w:p>
    <w:p w14:paraId="0AC0AD2A"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با دیفرانسیل کلی از</w:t>
      </w:r>
      <w:r w:rsidRPr="00B92922">
        <w:rPr>
          <w:position w:val="-10"/>
        </w:rPr>
        <w:object w:dxaOrig="240" w:dyaOrig="320" w14:anchorId="53BC1ABE">
          <v:shape id="_x0000_i1153" type="#_x0000_t75" style="width:12.1pt;height:15.75pt" o:ole="">
            <v:imagedata r:id="rId268" o:title=""/>
          </v:shape>
          <o:OLEObject Type="Embed" ProgID="Equation.DSMT4" ShapeID="_x0000_i1153" DrawAspect="Content" ObjectID="_1791375097" r:id="rId269"/>
        </w:object>
      </w:r>
      <w:r w:rsidRPr="00A309A0">
        <w:rPr>
          <w:rFonts w:ascii="Cambria Math" w:hAnsi="Cambria Math"/>
          <w:noProof/>
          <w:sz w:val="23"/>
          <w:szCs w:val="23"/>
          <w:rtl/>
        </w:rPr>
        <w:t>، و این</w:t>
      </w:r>
      <w:r w:rsidRPr="00A309A0">
        <w:rPr>
          <w:rFonts w:ascii="Cambria Math" w:hAnsi="Cambria Math"/>
          <w:noProof/>
          <w:sz w:val="23"/>
          <w:szCs w:val="23"/>
          <w:rtl/>
        </w:rPr>
        <w:softHyphen/>
        <w:t>که</w:t>
      </w:r>
      <w:r w:rsidRPr="00A309A0">
        <w:rPr>
          <w:rFonts w:ascii="Cambria Math" w:hAnsi="Cambria Math" w:hint="cs"/>
          <w:noProof/>
          <w:sz w:val="23"/>
          <w:szCs w:val="23"/>
          <w:rtl/>
        </w:rPr>
        <w:t xml:space="preserve"> </w:t>
      </w:r>
      <w:r w:rsidRPr="00B92922">
        <w:rPr>
          <w:position w:val="-10"/>
        </w:rPr>
        <w:object w:dxaOrig="240" w:dyaOrig="320" w14:anchorId="725ADAD0">
          <v:shape id="_x0000_i1154" type="#_x0000_t75" style="width:12.1pt;height:15.75pt" o:ole="">
            <v:imagedata r:id="rId270" o:title=""/>
          </v:shape>
          <o:OLEObject Type="Embed" ProgID="Equation.DSMT4" ShapeID="_x0000_i1154" DrawAspect="Content" ObjectID="_1791375098" r:id="rId271"/>
        </w:object>
      </w:r>
      <w:r w:rsidRPr="00A309A0">
        <w:rPr>
          <w:rFonts w:ascii="Cambria Math" w:hAnsi="Cambria Math"/>
          <w:noProof/>
          <w:sz w:val="23"/>
          <w:szCs w:val="23"/>
          <w:rtl/>
        </w:rPr>
        <w:t xml:space="preserve"> و یا مطلوبیت </w:t>
      </w:r>
      <w:r w:rsidRPr="00A309A0">
        <w:rPr>
          <w:rFonts w:ascii="Cambria Math" w:hAnsi="Cambria Math" w:hint="cs"/>
          <w:noProof/>
          <w:sz w:val="23"/>
          <w:szCs w:val="23"/>
          <w:rtl/>
        </w:rPr>
        <w:t>تنزیل شده</w:t>
      </w:r>
      <w:r w:rsidRPr="00A309A0">
        <w:rPr>
          <w:rFonts w:ascii="Cambria Math" w:hAnsi="Cambria Math"/>
          <w:noProof/>
          <w:sz w:val="23"/>
          <w:szCs w:val="23"/>
          <w:rtl/>
        </w:rPr>
        <w:softHyphen/>
      </w:r>
      <w:r w:rsidRPr="00A309A0">
        <w:rPr>
          <w:rFonts w:ascii="Cambria Math" w:hAnsi="Cambria Math" w:hint="cs"/>
          <w:noProof/>
          <w:sz w:val="23"/>
          <w:szCs w:val="23"/>
          <w:rtl/>
        </w:rPr>
        <w:t xml:space="preserve">ی </w:t>
      </w:r>
      <w:r w:rsidRPr="00A309A0">
        <w:rPr>
          <w:rFonts w:ascii="Cambria Math" w:hAnsi="Cambria Math"/>
          <w:noProof/>
          <w:sz w:val="23"/>
          <w:szCs w:val="23"/>
          <w:rtl/>
        </w:rPr>
        <w:t>دو دوره</w:t>
      </w:r>
      <w:r w:rsidRPr="00A309A0">
        <w:rPr>
          <w:rFonts w:ascii="Cambria Math" w:hAnsi="Cambria Math"/>
          <w:noProof/>
          <w:sz w:val="23"/>
          <w:szCs w:val="23"/>
          <w:rtl/>
        </w:rPr>
        <w:softHyphen/>
        <w:t>ای حداکثر است</w:t>
      </w:r>
      <w:r w:rsidRPr="00A309A0">
        <w:rPr>
          <w:rFonts w:ascii="Cambria Math" w:hAnsi="Cambria Math" w:hint="cs"/>
          <w:noProof/>
          <w:sz w:val="23"/>
          <w:szCs w:val="23"/>
          <w:rtl/>
        </w:rPr>
        <w:t xml:space="preserve"> و</w:t>
      </w:r>
      <w:r w:rsidRPr="00B92922">
        <w:rPr>
          <w:position w:val="-10"/>
        </w:rPr>
        <w:object w:dxaOrig="740" w:dyaOrig="320" w14:anchorId="22895E11">
          <v:shape id="_x0000_i1155" type="#_x0000_t75" style="width:36.9pt;height:15.75pt" o:ole="">
            <v:imagedata r:id="rId272" o:title=""/>
          </v:shape>
          <o:OLEObject Type="Embed" ProgID="Equation.DSMT4" ShapeID="_x0000_i1155" DrawAspect="Content" ObjectID="_1791375099" r:id="rId273"/>
        </w:object>
      </w:r>
      <w:r w:rsidRPr="00A309A0">
        <w:rPr>
          <w:rFonts w:hint="cs"/>
          <w:sz w:val="23"/>
          <w:szCs w:val="23"/>
          <w:rtl/>
        </w:rPr>
        <w:t xml:space="preserve"> است</w:t>
      </w:r>
      <w:r w:rsidRPr="00A309A0">
        <w:rPr>
          <w:rFonts w:ascii="Cambria Math" w:hAnsi="Cambria Math" w:hint="cs"/>
          <w:noProof/>
          <w:sz w:val="23"/>
          <w:szCs w:val="23"/>
          <w:rtl/>
        </w:rPr>
        <w:t>،</w:t>
      </w:r>
      <w:r w:rsidRPr="00A309A0">
        <w:rPr>
          <w:rFonts w:ascii="Cambria Math" w:hAnsi="Cambria Math"/>
          <w:noProof/>
          <w:sz w:val="23"/>
          <w:szCs w:val="23"/>
          <w:rtl/>
        </w:rPr>
        <w:t xml:space="preserve"> خواهیم داشت،</w:t>
      </w:r>
    </w:p>
    <w:p w14:paraId="1CBFCAD9" w14:textId="77777777" w:rsidR="00411620" w:rsidRPr="00A309A0" w:rsidRDefault="00411620" w:rsidP="00411620">
      <w:pPr>
        <w:pStyle w:val="MTDisplayEquation"/>
        <w:spacing w:line="216" w:lineRule="auto"/>
        <w:jc w:val="left"/>
        <w:rPr>
          <w:rFonts w:ascii="Cambria Math" w:eastAsiaTheme="minorEastAsia" w:hAnsi="Cambria Math" w:cs="B Nazanin"/>
          <w:noProof/>
          <w:sz w:val="23"/>
          <w:szCs w:val="23"/>
          <w:rtl/>
          <w:lang w:bidi="fa-IR"/>
        </w:rPr>
      </w:pPr>
      <w:r w:rsidRPr="00B92922">
        <w:rPr>
          <w:position w:val="-12"/>
        </w:rPr>
        <w:object w:dxaOrig="4740" w:dyaOrig="360" w14:anchorId="0AEA7970">
          <v:shape id="_x0000_i1156" type="#_x0000_t75" style="width:236.55pt;height:18.15pt" o:ole="">
            <v:imagedata r:id="rId274" o:title=""/>
          </v:shape>
          <o:OLEObject Type="Embed" ProgID="Equation.DSMT4" ShapeID="_x0000_i1156" DrawAspect="Content" ObjectID="_1791375100" r:id="rId275"/>
        </w:object>
      </w:r>
    </w:p>
    <w:p w14:paraId="04D5AF37" w14:textId="77777777" w:rsidR="00411620" w:rsidRPr="00A309A0" w:rsidRDefault="00411620" w:rsidP="00411620">
      <w:pPr>
        <w:spacing w:line="216" w:lineRule="auto"/>
        <w:rPr>
          <w:rFonts w:ascii="Cambria Math" w:hAnsi="Cambria Math"/>
          <w:noProof/>
          <w:sz w:val="23"/>
          <w:szCs w:val="23"/>
        </w:rPr>
      </w:pPr>
      <w:r w:rsidRPr="00A309A0">
        <w:rPr>
          <w:rFonts w:ascii="Cambria Math" w:hAnsi="Cambria Math"/>
          <w:noProof/>
          <w:sz w:val="23"/>
          <w:szCs w:val="23"/>
          <w:rtl/>
        </w:rPr>
        <w:t>از آنجا</w:t>
      </w:r>
      <w:r w:rsidRPr="00A309A0">
        <w:rPr>
          <w:rFonts w:ascii="Cambria Math" w:hAnsi="Cambria Math"/>
          <w:noProof/>
          <w:sz w:val="23"/>
          <w:szCs w:val="23"/>
        </w:rPr>
        <w:softHyphen/>
      </w:r>
      <w:r w:rsidRPr="00A309A0">
        <w:rPr>
          <w:rFonts w:ascii="Cambria Math" w:hAnsi="Cambria Math"/>
          <w:noProof/>
          <w:sz w:val="23"/>
          <w:szCs w:val="23"/>
          <w:rtl/>
        </w:rPr>
        <w:t>که</w:t>
      </w:r>
      <w:r w:rsidRPr="00B92922">
        <w:rPr>
          <w:position w:val="-10"/>
        </w:rPr>
        <w:object w:dxaOrig="200" w:dyaOrig="320" w14:anchorId="60416732">
          <v:shape id="_x0000_i1157" type="#_x0000_t75" style="width:10.3pt;height:15.75pt" o:ole="">
            <v:imagedata r:id="rId276" o:title=""/>
          </v:shape>
          <o:OLEObject Type="Embed" ProgID="Equation.DSMT4" ShapeID="_x0000_i1157" DrawAspect="Content" ObjectID="_1791375101" r:id="rId277"/>
        </w:object>
      </w:r>
      <w:r w:rsidRPr="00A309A0">
        <w:rPr>
          <w:rFonts w:ascii="Cambria Math" w:hAnsi="Cambria Math"/>
          <w:noProof/>
          <w:sz w:val="23"/>
          <w:szCs w:val="23"/>
          <w:rtl/>
        </w:rPr>
        <w:t xml:space="preserve"> کاهش یافته لذا</w:t>
      </w:r>
      <w:r w:rsidRPr="00B92922">
        <w:rPr>
          <w:position w:val="-10"/>
        </w:rPr>
        <w:object w:dxaOrig="340" w:dyaOrig="320" w14:anchorId="4820DB21">
          <v:shape id="_x0000_i1158" type="#_x0000_t75" style="width:16.95pt;height:15.75pt" o:ole="">
            <v:imagedata r:id="rId278" o:title=""/>
          </v:shape>
          <o:OLEObject Type="Embed" ProgID="Equation.DSMT4" ShapeID="_x0000_i1158" DrawAspect="Content" ObjectID="_1791375102" r:id="rId279"/>
        </w:object>
      </w:r>
      <w:r w:rsidRPr="00A309A0">
        <w:rPr>
          <w:rFonts w:ascii="Cambria Math" w:hAnsi="Cambria Math"/>
          <w:noProof/>
          <w:sz w:val="23"/>
          <w:szCs w:val="23"/>
          <w:rtl/>
        </w:rPr>
        <w:t xml:space="preserve"> منفی است</w:t>
      </w:r>
      <w:r w:rsidRPr="00A309A0">
        <w:rPr>
          <w:rFonts w:ascii="Cambria Math" w:hAnsi="Cambria Math" w:hint="cs"/>
          <w:noProof/>
          <w:sz w:val="23"/>
          <w:szCs w:val="23"/>
          <w:rtl/>
        </w:rPr>
        <w:t>، و</w:t>
      </w:r>
      <w:r w:rsidRPr="00A309A0">
        <w:rPr>
          <w:rFonts w:ascii="Cambria Math" w:hAnsi="Cambria Math"/>
          <w:noProof/>
          <w:sz w:val="23"/>
          <w:szCs w:val="23"/>
          <w:rtl/>
        </w:rPr>
        <w:t xml:space="preserve"> کاهش مطلوبیت حاصل از کاهش مصرف در دوره</w:t>
      </w:r>
      <w:r w:rsidRPr="00A309A0">
        <w:rPr>
          <w:rFonts w:ascii="Cambria Math" w:hAnsi="Cambria Math"/>
          <w:noProof/>
          <w:sz w:val="23"/>
          <w:szCs w:val="23"/>
          <w:rtl/>
        </w:rPr>
        <w:softHyphen/>
        <w:t>ی</w:t>
      </w:r>
      <w:r w:rsidRPr="00B92922">
        <w:rPr>
          <w:position w:val="-6"/>
        </w:rPr>
        <w:object w:dxaOrig="139" w:dyaOrig="240" w14:anchorId="2F836565">
          <v:shape id="_x0000_i1159" type="#_x0000_t75" style="width:6.65pt;height:12.1pt" o:ole="">
            <v:imagedata r:id="rId280" o:title=""/>
          </v:shape>
          <o:OLEObject Type="Embed" ProgID="Equation.DSMT4" ShapeID="_x0000_i1159" DrawAspect="Content" ObjectID="_1791375103" r:id="rId281"/>
        </w:object>
      </w:r>
      <w:r w:rsidRPr="00A309A0">
        <w:rPr>
          <w:rFonts w:ascii="Cambria Math" w:hAnsi="Cambria Math"/>
          <w:noProof/>
          <w:sz w:val="23"/>
          <w:szCs w:val="23"/>
          <w:rtl/>
        </w:rPr>
        <w:t xml:space="preserve"> برابر است با </w:t>
      </w:r>
      <w:r w:rsidRPr="00B92922">
        <w:rPr>
          <w:position w:val="-12"/>
        </w:rPr>
        <w:object w:dxaOrig="920" w:dyaOrig="360" w14:anchorId="5ED59673">
          <v:shape id="_x0000_i1160" type="#_x0000_t75" style="width:46pt;height:18.15pt" o:ole="">
            <v:imagedata r:id="rId282" o:title=""/>
          </v:shape>
          <o:OLEObject Type="Embed" ProgID="Equation.DSMT4" ShapeID="_x0000_i1160" DrawAspect="Content" ObjectID="_1791375104" r:id="rId283"/>
        </w:object>
      </w:r>
      <w:r w:rsidRPr="00A309A0">
        <w:rPr>
          <w:rFonts w:ascii="Cambria Math" w:hAnsi="Cambria Math"/>
          <w:noProof/>
          <w:sz w:val="23"/>
          <w:szCs w:val="23"/>
          <w:rtl/>
        </w:rPr>
        <w:t>. ازطرفی چون</w:t>
      </w:r>
      <w:r w:rsidRPr="00B92922">
        <w:rPr>
          <w:position w:val="-10"/>
        </w:rPr>
        <w:object w:dxaOrig="240" w:dyaOrig="320" w14:anchorId="42F9B3E9">
          <v:shape id="_x0000_i1161" type="#_x0000_t75" style="width:12.1pt;height:15.75pt" o:ole="">
            <v:imagedata r:id="rId284" o:title=""/>
          </v:shape>
          <o:OLEObject Type="Embed" ProgID="Equation.DSMT4" ShapeID="_x0000_i1161" DrawAspect="Content" ObjectID="_1791375105" r:id="rId285"/>
        </w:object>
      </w:r>
      <w:r w:rsidRPr="00A309A0">
        <w:rPr>
          <w:rFonts w:ascii="Cambria Math" w:eastAsiaTheme="minorEastAsia" w:hAnsi="Cambria Math"/>
          <w:noProof/>
          <w:sz w:val="23"/>
          <w:szCs w:val="23"/>
          <w:rtl/>
        </w:rPr>
        <w:t xml:space="preserve"> حداکثر است لذا شرط لازم ایجاب می</w:t>
      </w:r>
      <w:r w:rsidRPr="00A309A0">
        <w:rPr>
          <w:rFonts w:ascii="Cambria Math" w:eastAsiaTheme="minorEastAsia" w:hAnsi="Cambria Math"/>
          <w:noProof/>
          <w:sz w:val="23"/>
          <w:szCs w:val="23"/>
          <w:rtl/>
        </w:rPr>
        <w:softHyphen/>
        <w:t xml:space="preserve">کند تا تغییرات آن </w:t>
      </w:r>
      <w:r w:rsidRPr="00A309A0">
        <w:rPr>
          <w:rFonts w:ascii="Cambria Math" w:hAnsi="Cambria Math"/>
          <w:noProof/>
          <w:sz w:val="23"/>
          <w:szCs w:val="23"/>
          <w:rtl/>
        </w:rPr>
        <w:t>ثابت باشد. بنابراین کاهش مطلوبیت در زمان</w:t>
      </w:r>
      <w:r w:rsidRPr="00B92922">
        <w:rPr>
          <w:position w:val="-6"/>
        </w:rPr>
        <w:object w:dxaOrig="139" w:dyaOrig="240" w14:anchorId="0077CE56">
          <v:shape id="_x0000_i1162" type="#_x0000_t75" style="width:6.65pt;height:12.1pt" o:ole="">
            <v:imagedata r:id="rId286" o:title=""/>
          </v:shape>
          <o:OLEObject Type="Embed" ProgID="Equation.DSMT4" ShapeID="_x0000_i1162" DrawAspect="Content" ObjectID="_1791375106" r:id="rId287"/>
        </w:object>
      </w:r>
      <w:r w:rsidRPr="00A309A0">
        <w:rPr>
          <w:rFonts w:ascii="Cambria Math" w:hAnsi="Cambria Math"/>
          <w:noProof/>
          <w:sz w:val="23"/>
          <w:szCs w:val="23"/>
          <w:lang w:val="en-GB"/>
        </w:rPr>
        <w:t xml:space="preserve"> </w:t>
      </w:r>
      <w:r w:rsidRPr="00A309A0">
        <w:rPr>
          <w:rFonts w:ascii="Cambria Math" w:hAnsi="Cambria Math"/>
          <w:noProof/>
          <w:sz w:val="23"/>
          <w:szCs w:val="23"/>
          <w:rtl/>
          <w:lang w:val="en-GB"/>
        </w:rPr>
        <w:t>می</w:t>
      </w:r>
      <w:r w:rsidRPr="00A309A0">
        <w:rPr>
          <w:rFonts w:ascii="Cambria Math" w:hAnsi="Cambria Math"/>
          <w:noProof/>
          <w:sz w:val="23"/>
          <w:szCs w:val="23"/>
          <w:rtl/>
          <w:lang w:val="en-GB"/>
        </w:rPr>
        <w:softHyphen/>
        <w:t>بایست از طریق افزایش مصرف و یا افزایش مطلوبیت تنزیل شده</w:t>
      </w:r>
      <w:r w:rsidRPr="00A309A0">
        <w:rPr>
          <w:rFonts w:ascii="Cambria Math" w:hAnsi="Cambria Math"/>
          <w:noProof/>
          <w:sz w:val="23"/>
          <w:szCs w:val="23"/>
          <w:rtl/>
          <w:lang w:val="en-GB"/>
        </w:rPr>
        <w:softHyphen/>
        <w:t>ی حاصل از مصرف در دوره</w:t>
      </w:r>
      <w:r w:rsidRPr="00A309A0">
        <w:rPr>
          <w:rFonts w:ascii="Cambria Math" w:hAnsi="Cambria Math"/>
          <w:noProof/>
          <w:sz w:val="23"/>
          <w:szCs w:val="23"/>
          <w:rtl/>
          <w:lang w:val="en-GB"/>
        </w:rPr>
        <w:softHyphen/>
        <w:t xml:space="preserve">ی </w:t>
      </w:r>
      <w:r w:rsidRPr="00B92922">
        <w:rPr>
          <w:position w:val="-6"/>
        </w:rPr>
        <w:object w:dxaOrig="440" w:dyaOrig="260" w14:anchorId="0F3360CF">
          <v:shape id="_x0000_i1163" type="#_x0000_t75" style="width:22.4pt;height:12.7pt" o:ole="">
            <v:imagedata r:id="rId288" o:title=""/>
          </v:shape>
          <o:OLEObject Type="Embed" ProgID="Equation.DSMT4" ShapeID="_x0000_i1163" DrawAspect="Content" ObjectID="_1791375107" r:id="rId289"/>
        </w:object>
      </w:r>
      <w:r w:rsidRPr="00A309A0">
        <w:rPr>
          <w:rFonts w:ascii="Cambria Math" w:hAnsi="Cambria Math"/>
          <w:noProof/>
          <w:sz w:val="23"/>
          <w:szCs w:val="23"/>
          <w:lang w:val="en-GB"/>
        </w:rPr>
        <w:t xml:space="preserve"> </w:t>
      </w:r>
      <w:r w:rsidRPr="00A309A0">
        <w:rPr>
          <w:rFonts w:ascii="Cambria Math" w:hAnsi="Cambria Math"/>
          <w:noProof/>
          <w:sz w:val="23"/>
          <w:szCs w:val="23"/>
          <w:rtl/>
          <w:lang w:val="en-GB"/>
        </w:rPr>
        <w:t>به میزان</w:t>
      </w:r>
      <w:r w:rsidRPr="00B92922">
        <w:rPr>
          <w:position w:val="-12"/>
        </w:rPr>
        <w:object w:dxaOrig="1359" w:dyaOrig="360" w14:anchorId="41159514">
          <v:shape id="_x0000_i1164" type="#_x0000_t75" style="width:67.75pt;height:18.15pt" o:ole="">
            <v:imagedata r:id="rId290" o:title=""/>
          </v:shape>
          <o:OLEObject Type="Embed" ProgID="Equation.DSMT4" ShapeID="_x0000_i1164" DrawAspect="Content" ObjectID="_1791375108" r:id="rId291"/>
        </w:object>
      </w:r>
      <w:r w:rsidRPr="00A309A0">
        <w:rPr>
          <w:rFonts w:ascii="Cambria Math" w:hAnsi="Cambria Math"/>
          <w:noProof/>
          <w:sz w:val="23"/>
          <w:szCs w:val="23"/>
          <w:rtl/>
        </w:rPr>
        <w:t xml:space="preserve"> جبران شود. از این رو لازم است تا </w:t>
      </w:r>
      <w:r w:rsidRPr="00B92922">
        <w:rPr>
          <w:position w:val="-10"/>
        </w:rPr>
        <w:object w:dxaOrig="340" w:dyaOrig="320" w14:anchorId="7405083A">
          <v:shape id="_x0000_i1165" type="#_x0000_t75" style="width:16.95pt;height:15.75pt" o:ole="">
            <v:imagedata r:id="rId292" o:title=""/>
          </v:shape>
          <o:OLEObject Type="Embed" ProgID="Equation.DSMT4" ShapeID="_x0000_i1165" DrawAspect="Content" ObjectID="_1791375109" r:id="rId293"/>
        </w:object>
      </w:r>
      <w:r w:rsidRPr="00A309A0">
        <w:rPr>
          <w:rFonts w:ascii="Cambria Math" w:hAnsi="Cambria Math"/>
          <w:noProof/>
          <w:sz w:val="23"/>
          <w:szCs w:val="23"/>
          <w:rtl/>
        </w:rPr>
        <w:t xml:space="preserve"> به میزان</w:t>
      </w:r>
      <w:r w:rsidRPr="00B92922">
        <w:rPr>
          <w:position w:val="-10"/>
        </w:rPr>
        <w:object w:dxaOrig="460" w:dyaOrig="320" w14:anchorId="00198712">
          <v:shape id="_x0000_i1166" type="#_x0000_t75" style="width:23pt;height:15.75pt" o:ole="">
            <v:imagedata r:id="rId294" o:title=""/>
          </v:shape>
          <o:OLEObject Type="Embed" ProgID="Equation.DSMT4" ShapeID="_x0000_i1166" DrawAspect="Content" ObjectID="_1791375110" r:id="rId295"/>
        </w:object>
      </w:r>
      <w:r w:rsidRPr="00A309A0">
        <w:rPr>
          <w:rFonts w:ascii="Cambria Math" w:hAnsi="Cambria Math"/>
          <w:sz w:val="23"/>
          <w:szCs w:val="23"/>
        </w:rPr>
        <w:t xml:space="preserve"> </w:t>
      </w:r>
      <w:r w:rsidRPr="00A309A0">
        <w:rPr>
          <w:rFonts w:ascii="Cambria Math" w:eastAsiaTheme="minorEastAsia" w:hAnsi="Cambria Math"/>
          <w:noProof/>
          <w:sz w:val="23"/>
          <w:szCs w:val="23"/>
          <w:rtl/>
        </w:rPr>
        <w:t>از رابطه</w:t>
      </w:r>
      <w:r w:rsidRPr="00A309A0">
        <w:rPr>
          <w:rFonts w:ascii="Cambria Math" w:eastAsiaTheme="minorEastAsia" w:hAnsi="Cambria Math"/>
          <w:noProof/>
          <w:sz w:val="23"/>
          <w:szCs w:val="23"/>
          <w:rtl/>
        </w:rPr>
        <w:softHyphen/>
        <w:t xml:space="preserve">ی زیر </w:t>
      </w:r>
      <w:r w:rsidRPr="00A309A0">
        <w:rPr>
          <w:rFonts w:ascii="Cambria Math" w:hAnsi="Cambria Math"/>
          <w:noProof/>
          <w:sz w:val="23"/>
          <w:szCs w:val="23"/>
          <w:rtl/>
        </w:rPr>
        <w:t xml:space="preserve">افزایش یابد. </w:t>
      </w:r>
    </w:p>
    <w:p w14:paraId="14AF964B" w14:textId="77777777" w:rsidR="00411620" w:rsidRPr="00A309A0" w:rsidRDefault="00411620" w:rsidP="00411620">
      <w:pPr>
        <w:pStyle w:val="MTDisplayEquation"/>
        <w:tabs>
          <w:tab w:val="clear" w:pos="6660"/>
        </w:tabs>
        <w:spacing w:line="216" w:lineRule="auto"/>
        <w:rPr>
          <w:rFonts w:ascii="Cambria Math" w:hAnsi="Cambria Math" w:cs="B Nazanin"/>
          <w:noProof/>
          <w:sz w:val="23"/>
          <w:szCs w:val="23"/>
          <w:rtl/>
          <w:lang w:val="en-GB" w:bidi="fa-IR"/>
        </w:rPr>
      </w:pPr>
      <w:r w:rsidRPr="00B92922">
        <w:rPr>
          <w:position w:val="-30"/>
        </w:rPr>
        <w:object w:dxaOrig="2000" w:dyaOrig="700" w14:anchorId="6E5F6386">
          <v:shape id="_x0000_i1167" type="#_x0000_t75" style="width:100.45pt;height:35.1pt" o:ole="">
            <v:imagedata r:id="rId296" o:title=""/>
          </v:shape>
          <o:OLEObject Type="Embed" ProgID="Equation.DSMT4" ShapeID="_x0000_i1167" DrawAspect="Content" ObjectID="_1791375111" r:id="rId297"/>
        </w:object>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sz w:val="23"/>
          <w:szCs w:val="23"/>
        </w:rPr>
        <w:tab/>
      </w:r>
      <w:r>
        <w:rPr>
          <w:rFonts w:ascii="Cambria Math" w:hAnsi="Cambria Math" w:cs="B Nazanin"/>
          <w:sz w:val="23"/>
          <w:szCs w:val="23"/>
        </w:rPr>
        <w:tab/>
      </w:r>
      <w:r>
        <w:rPr>
          <w:rFonts w:ascii="Cambria Math" w:hAnsi="Cambria Math" w:cs="B Nazanin"/>
          <w:sz w:val="23"/>
          <w:szCs w:val="23"/>
        </w:rPr>
        <w:tab/>
      </w:r>
      <w:r w:rsidRPr="00A309A0">
        <w:rPr>
          <w:rFonts w:ascii="Cambria Math" w:hAnsi="Cambria Math" w:cs="B Nazanin" w:hint="cs"/>
          <w:sz w:val="23"/>
          <w:szCs w:val="23"/>
          <w:rtl/>
          <w:lang w:bidi="fa-IR"/>
        </w:rPr>
        <w:t>(۲. ۱۳)</w:t>
      </w:r>
    </w:p>
    <w:p w14:paraId="2F256F66"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 xml:space="preserve">از </w:t>
      </w:r>
      <w:r w:rsidRPr="00A309A0">
        <w:rPr>
          <w:rFonts w:ascii="Cambria Math" w:hAnsi="Cambria Math" w:hint="cs"/>
          <w:noProof/>
          <w:sz w:val="23"/>
          <w:szCs w:val="23"/>
          <w:rtl/>
        </w:rPr>
        <w:t>طرفی دیگر</w:t>
      </w:r>
      <w:r w:rsidRPr="00B92922">
        <w:rPr>
          <w:position w:val="-10"/>
        </w:rPr>
        <w:object w:dxaOrig="240" w:dyaOrig="320" w14:anchorId="5C7A0F67">
          <v:shape id="_x0000_i1168" type="#_x0000_t75" style="width:12.1pt;height:15.75pt" o:ole="">
            <v:imagedata r:id="rId298" o:title=""/>
          </v:shape>
          <o:OLEObject Type="Embed" ProgID="Equation.DSMT4" ShapeID="_x0000_i1168" DrawAspect="Content" ObjectID="_1791375112" r:id="rId299"/>
        </w:object>
      </w:r>
      <w:r w:rsidRPr="00A309A0">
        <w:rPr>
          <w:rFonts w:ascii="Cambria Math" w:hAnsi="Cambria Math" w:hint="cs"/>
          <w:sz w:val="23"/>
          <w:szCs w:val="23"/>
          <w:rtl/>
        </w:rPr>
        <w:t xml:space="preserve"> با توجه به قید منبع اقتصاد حداکثر می</w:t>
      </w:r>
      <w:r w:rsidRPr="00A309A0">
        <w:rPr>
          <w:rFonts w:ascii="Cambria Math" w:hAnsi="Cambria Math"/>
          <w:sz w:val="23"/>
          <w:szCs w:val="23"/>
          <w:rtl/>
        </w:rPr>
        <w:softHyphen/>
      </w:r>
      <w:r w:rsidRPr="00A309A0">
        <w:rPr>
          <w:rFonts w:ascii="Cambria Math" w:hAnsi="Cambria Math" w:hint="cs"/>
          <w:sz w:val="23"/>
          <w:szCs w:val="23"/>
          <w:rtl/>
        </w:rPr>
        <w:t>شود که تاکنون آن</w:t>
      </w:r>
      <w:r w:rsidRPr="00A309A0">
        <w:rPr>
          <w:rFonts w:ascii="Cambria Math" w:hAnsi="Cambria Math"/>
          <w:sz w:val="23"/>
          <w:szCs w:val="23"/>
          <w:rtl/>
        </w:rPr>
        <w:softHyphen/>
      </w:r>
      <w:r w:rsidRPr="00A309A0">
        <w:rPr>
          <w:rFonts w:ascii="Cambria Math" w:hAnsi="Cambria Math" w:hint="cs"/>
          <w:sz w:val="23"/>
          <w:szCs w:val="23"/>
          <w:rtl/>
        </w:rPr>
        <w:t xml:space="preserve">را در نظر نگرفته بودیم. با دیفرانسیل کلی قید منبع </w:t>
      </w:r>
      <w:r w:rsidRPr="00A309A0">
        <w:rPr>
          <w:rFonts w:ascii="Cambria Math" w:hAnsi="Cambria Math" w:hint="cs"/>
          <w:noProof/>
          <w:sz w:val="23"/>
          <w:szCs w:val="23"/>
          <w:rtl/>
        </w:rPr>
        <w:t>(۲. ۴) برای</w:t>
      </w:r>
      <w:r w:rsidRPr="00A309A0">
        <w:rPr>
          <w:rFonts w:ascii="Cambria Math" w:hAnsi="Cambria Math"/>
          <w:noProof/>
          <w:sz w:val="23"/>
          <w:szCs w:val="23"/>
          <w:rtl/>
        </w:rPr>
        <w:t xml:space="preserve"> دو دوره</w:t>
      </w:r>
      <w:r w:rsidRPr="00A309A0">
        <w:rPr>
          <w:rFonts w:ascii="Cambria Math" w:hAnsi="Cambria Math"/>
          <w:noProof/>
          <w:sz w:val="23"/>
          <w:szCs w:val="23"/>
          <w:rtl/>
        </w:rPr>
        <w:softHyphen/>
      </w:r>
      <w:r w:rsidRPr="00A309A0">
        <w:rPr>
          <w:rFonts w:ascii="Cambria Math" w:hAnsi="Cambria Math" w:hint="cs"/>
          <w:noProof/>
          <w:sz w:val="23"/>
          <w:szCs w:val="23"/>
          <w:rtl/>
        </w:rPr>
        <w:t>ی</w:t>
      </w:r>
      <w:r w:rsidRPr="00A309A0">
        <w:rPr>
          <w:rFonts w:ascii="Cambria Math" w:hAnsi="Cambria Math"/>
          <w:noProof/>
          <w:sz w:val="23"/>
          <w:szCs w:val="23"/>
          <w:rtl/>
        </w:rPr>
        <w:t xml:space="preserve"> </w:t>
      </w:r>
      <w:r w:rsidRPr="00B92922">
        <w:rPr>
          <w:position w:val="-8"/>
        </w:rPr>
        <w:object w:dxaOrig="660" w:dyaOrig="279" w14:anchorId="51ADD67B">
          <v:shape id="_x0000_i1169" type="#_x0000_t75" style="width:32.65pt;height:13.9pt" o:ole="">
            <v:imagedata r:id="rId300" o:title=""/>
          </v:shape>
          <o:OLEObject Type="Embed" ProgID="Equation.DSMT4" ShapeID="_x0000_i1169" DrawAspect="Content" ObjectID="_1791375113" r:id="rId301"/>
        </w:object>
      </w:r>
      <w:r w:rsidRPr="00A309A0">
        <w:rPr>
          <w:rFonts w:ascii="Cambria Math" w:hAnsi="Cambria Math"/>
          <w:noProof/>
          <w:sz w:val="23"/>
          <w:szCs w:val="23"/>
          <w:rtl/>
        </w:rPr>
        <w:t xml:space="preserve"> </w:t>
      </w:r>
      <w:r w:rsidRPr="00A309A0">
        <w:rPr>
          <w:rFonts w:ascii="Cambria Math" w:hAnsi="Cambria Math" w:hint="cs"/>
          <w:noProof/>
          <w:sz w:val="23"/>
          <w:szCs w:val="23"/>
          <w:rtl/>
        </w:rPr>
        <w:t>خواهیم داشت</w:t>
      </w:r>
      <w:r w:rsidRPr="00A309A0">
        <w:rPr>
          <w:rFonts w:ascii="Cambria Math" w:hAnsi="Cambria Math"/>
          <w:noProof/>
          <w:sz w:val="23"/>
          <w:szCs w:val="23"/>
          <w:rtl/>
        </w:rPr>
        <w:t>؛</w:t>
      </w:r>
    </w:p>
    <w:p w14:paraId="4A2F5FB7"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lang w:bidi="fa-IR"/>
        </w:rPr>
      </w:pPr>
      <w:r w:rsidRPr="00B92922">
        <w:rPr>
          <w:position w:val="-12"/>
        </w:rPr>
        <w:object w:dxaOrig="4040" w:dyaOrig="360" w14:anchorId="150A1463">
          <v:shape id="_x0000_i1170" type="#_x0000_t75" style="width:202.1pt;height:18.15pt" o:ole="">
            <v:imagedata r:id="rId302" o:title=""/>
          </v:shape>
          <o:OLEObject Type="Embed" ProgID="Equation.DSMT4" ShapeID="_x0000_i1170" DrawAspect="Content" ObjectID="_1791375114" r:id="rId303"/>
        </w:object>
      </w:r>
    </w:p>
    <w:p w14:paraId="1677CA26" w14:textId="77777777" w:rsidR="00411620" w:rsidRPr="00A309A0" w:rsidRDefault="00411620" w:rsidP="00411620">
      <w:pPr>
        <w:pStyle w:val="MTDisplayEquation"/>
        <w:spacing w:line="216" w:lineRule="auto"/>
        <w:rPr>
          <w:rFonts w:ascii="Cambria Math" w:hAnsi="Cambria Math" w:cs="B Nazanin"/>
          <w:noProof/>
          <w:sz w:val="23"/>
          <w:szCs w:val="23"/>
          <w:rtl/>
          <w:lang w:bidi="fa-IR"/>
        </w:rPr>
      </w:pPr>
      <w:r w:rsidRPr="00B92922">
        <w:rPr>
          <w:position w:val="-12"/>
        </w:rPr>
        <w:object w:dxaOrig="4560" w:dyaOrig="360" w14:anchorId="3EBCDC6D">
          <v:shape id="_x0000_i1171" type="#_x0000_t75" style="width:228.1pt;height:18.15pt" o:ole="">
            <v:imagedata r:id="rId304" o:title=""/>
          </v:shape>
          <o:OLEObject Type="Embed" ProgID="Equation.DSMT4" ShapeID="_x0000_i1171" DrawAspect="Content" ObjectID="_1791375115" r:id="rId305"/>
        </w:object>
      </w:r>
    </w:p>
    <w:p w14:paraId="0C92BF0B"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همان</w:t>
      </w:r>
      <w:r w:rsidRPr="00A309A0">
        <w:rPr>
          <w:rFonts w:ascii="Cambria Math" w:hAnsi="Cambria Math"/>
          <w:noProof/>
          <w:sz w:val="23"/>
          <w:szCs w:val="23"/>
          <w:rtl/>
        </w:rPr>
        <w:softHyphen/>
        <w:t>گونه که قبلاً اشاره شد</w:t>
      </w:r>
      <w:r w:rsidRPr="00B92922">
        <w:rPr>
          <w:position w:val="-10"/>
        </w:rPr>
        <w:object w:dxaOrig="220" w:dyaOrig="320" w14:anchorId="6E611FDB">
          <v:shape id="_x0000_i1172" type="#_x0000_t75" style="width:10.9pt;height:15.75pt" o:ole="">
            <v:imagedata r:id="rId306" o:title=""/>
          </v:shape>
          <o:OLEObject Type="Embed" ProgID="Equation.DSMT4" ShapeID="_x0000_i1172" DrawAspect="Content" ObjectID="_1791375116" r:id="rId307"/>
        </w:object>
      </w:r>
      <w:r w:rsidRPr="00A309A0">
        <w:rPr>
          <w:rFonts w:ascii="Cambria Math" w:hAnsi="Cambria Math"/>
          <w:noProof/>
          <w:sz w:val="23"/>
          <w:szCs w:val="23"/>
          <w:rtl/>
        </w:rPr>
        <w:t xml:space="preserve"> از قبل داده شده است</w:t>
      </w:r>
      <w:r w:rsidRPr="00A309A0">
        <w:rPr>
          <w:rFonts w:ascii="Cambria Math" w:hAnsi="Cambria Math" w:hint="cs"/>
          <w:noProof/>
          <w:sz w:val="23"/>
          <w:szCs w:val="23"/>
          <w:rtl/>
        </w:rPr>
        <w:t xml:space="preserve"> یعنی </w:t>
      </w:r>
      <w:r w:rsidRPr="00B92922">
        <w:rPr>
          <w:position w:val="-10"/>
        </w:rPr>
        <w:object w:dxaOrig="720" w:dyaOrig="320" w14:anchorId="1F1001BB">
          <v:shape id="_x0000_i1173" type="#_x0000_t75" style="width:36.3pt;height:15.75pt" o:ole="">
            <v:imagedata r:id="rId308" o:title=""/>
          </v:shape>
          <o:OLEObject Type="Embed" ProgID="Equation.DSMT4" ShapeID="_x0000_i1173" DrawAspect="Content" ObjectID="_1791375117" r:id="rId309"/>
        </w:object>
      </w:r>
      <w:r w:rsidRPr="00A309A0">
        <w:rPr>
          <w:rFonts w:ascii="Cambria Math" w:hAnsi="Cambria Math" w:hint="cs"/>
          <w:noProof/>
          <w:sz w:val="23"/>
          <w:szCs w:val="23"/>
          <w:rtl/>
        </w:rPr>
        <w:t>،</w:t>
      </w:r>
      <w:r w:rsidRPr="00A309A0">
        <w:rPr>
          <w:rFonts w:ascii="Cambria Math" w:hAnsi="Cambria Math"/>
          <w:noProof/>
          <w:sz w:val="23"/>
          <w:szCs w:val="23"/>
          <w:rtl/>
        </w:rPr>
        <w:t xml:space="preserve"> و چون مسئله</w:t>
      </w:r>
      <w:r w:rsidRPr="00A309A0">
        <w:rPr>
          <w:rFonts w:ascii="Cambria Math" w:hAnsi="Cambria Math"/>
          <w:noProof/>
          <w:sz w:val="23"/>
          <w:szCs w:val="23"/>
          <w:rtl/>
        </w:rPr>
        <w:softHyphen/>
        <w:t>ی بهینه</w:t>
      </w:r>
      <w:r w:rsidRPr="00A309A0">
        <w:rPr>
          <w:rFonts w:ascii="Cambria Math" w:hAnsi="Cambria Math"/>
          <w:noProof/>
          <w:sz w:val="23"/>
          <w:szCs w:val="23"/>
          <w:rtl/>
        </w:rPr>
        <w:softHyphen/>
        <w:t>یابی دو دوره</w:t>
      </w:r>
      <w:r w:rsidRPr="00A309A0">
        <w:rPr>
          <w:rFonts w:ascii="Cambria Math" w:hAnsi="Cambria Math"/>
          <w:noProof/>
          <w:sz w:val="23"/>
          <w:szCs w:val="23"/>
          <w:rtl/>
        </w:rPr>
        <w:softHyphen/>
        <w:t xml:space="preserve">ای است لذا بعد از دوره </w:t>
      </w:r>
      <w:r w:rsidRPr="00B92922">
        <w:rPr>
          <w:position w:val="-6"/>
        </w:rPr>
        <w:object w:dxaOrig="440" w:dyaOrig="260" w14:anchorId="441F2F6F">
          <v:shape id="_x0000_i1174" type="#_x0000_t75" style="width:22.4pt;height:12.7pt" o:ole="">
            <v:imagedata r:id="rId310" o:title=""/>
          </v:shape>
          <o:OLEObject Type="Embed" ProgID="Equation.DSMT4" ShapeID="_x0000_i1174" DrawAspect="Content" ObjectID="_1791375118" r:id="rId311"/>
        </w:object>
      </w:r>
      <w:r w:rsidRPr="00A309A0">
        <w:rPr>
          <w:rFonts w:ascii="Cambria Math" w:hAnsi="Cambria Math"/>
          <w:noProof/>
          <w:sz w:val="23"/>
          <w:szCs w:val="23"/>
          <w:rtl/>
        </w:rPr>
        <w:t xml:space="preserve"> موجودی سرمایه ثابت است</w:t>
      </w:r>
      <w:r w:rsidRPr="00A309A0">
        <w:rPr>
          <w:rFonts w:ascii="Cambria Math" w:hAnsi="Cambria Math" w:hint="cs"/>
          <w:noProof/>
          <w:sz w:val="23"/>
          <w:szCs w:val="23"/>
          <w:rtl/>
        </w:rPr>
        <w:t xml:space="preserve"> یعنی</w:t>
      </w:r>
      <w:r w:rsidRPr="00B92922">
        <w:rPr>
          <w:position w:val="-10"/>
        </w:rPr>
        <w:object w:dxaOrig="859" w:dyaOrig="320" w14:anchorId="7B6BA09E">
          <v:shape id="_x0000_i1175" type="#_x0000_t75" style="width:42.95pt;height:15.75pt" o:ole="">
            <v:imagedata r:id="rId312" o:title=""/>
          </v:shape>
          <o:OLEObject Type="Embed" ProgID="Equation.DSMT4" ShapeID="_x0000_i1175" DrawAspect="Content" ObjectID="_1791375119" r:id="rId313"/>
        </w:object>
      </w:r>
      <w:r w:rsidRPr="00A309A0">
        <w:rPr>
          <w:rFonts w:hint="cs"/>
          <w:sz w:val="23"/>
          <w:szCs w:val="23"/>
          <w:rtl/>
        </w:rPr>
        <w:t xml:space="preserve"> </w:t>
      </w:r>
      <w:r w:rsidRPr="00A309A0">
        <w:rPr>
          <w:rFonts w:ascii="Cambria Math" w:hAnsi="Cambria Math"/>
          <w:noProof/>
          <w:sz w:val="23"/>
          <w:szCs w:val="23"/>
          <w:rtl/>
        </w:rPr>
        <w:t>است</w:t>
      </w:r>
      <w:r w:rsidRPr="00A309A0">
        <w:rPr>
          <w:rFonts w:ascii="Cambria Math" w:hAnsi="Cambria Math" w:hint="cs"/>
          <w:noProof/>
          <w:sz w:val="23"/>
          <w:szCs w:val="23"/>
          <w:rtl/>
        </w:rPr>
        <w:t>.</w:t>
      </w:r>
      <w:r w:rsidRPr="00A309A0">
        <w:rPr>
          <w:rFonts w:ascii="Cambria Math" w:hAnsi="Cambria Math"/>
          <w:noProof/>
          <w:sz w:val="23"/>
          <w:szCs w:val="23"/>
          <w:rtl/>
        </w:rPr>
        <w:t xml:space="preserve"> لذا قید منابع</w:t>
      </w:r>
      <w:r w:rsidRPr="00A309A0">
        <w:rPr>
          <w:rFonts w:ascii="Cambria Math" w:hAnsi="Cambria Math" w:hint="cs"/>
          <w:noProof/>
          <w:sz w:val="23"/>
          <w:szCs w:val="23"/>
          <w:rtl/>
        </w:rPr>
        <w:t xml:space="preserve"> اقتصاد</w:t>
      </w:r>
      <w:r w:rsidRPr="00A309A0">
        <w:rPr>
          <w:rFonts w:ascii="Cambria Math" w:hAnsi="Cambria Math"/>
          <w:noProof/>
          <w:sz w:val="23"/>
          <w:szCs w:val="23"/>
          <w:rtl/>
        </w:rPr>
        <w:t xml:space="preserve"> برای </w:t>
      </w:r>
      <w:r w:rsidRPr="00A309A0">
        <w:rPr>
          <w:rFonts w:ascii="Cambria Math" w:hAnsi="Cambria Math" w:hint="cs"/>
          <w:noProof/>
          <w:sz w:val="23"/>
          <w:szCs w:val="23"/>
          <w:rtl/>
        </w:rPr>
        <w:t xml:space="preserve">دو </w:t>
      </w:r>
      <w:r w:rsidRPr="00A309A0">
        <w:rPr>
          <w:rFonts w:ascii="Cambria Math" w:hAnsi="Cambria Math"/>
          <w:noProof/>
          <w:sz w:val="23"/>
          <w:szCs w:val="23"/>
          <w:rtl/>
        </w:rPr>
        <w:t>دوره</w:t>
      </w:r>
      <w:r w:rsidRPr="00A309A0">
        <w:rPr>
          <w:rFonts w:ascii="Cambria Math" w:hAnsi="Cambria Math"/>
          <w:noProof/>
          <w:sz w:val="23"/>
          <w:szCs w:val="23"/>
          <w:rtl/>
        </w:rPr>
        <w:softHyphen/>
      </w:r>
      <w:r w:rsidRPr="00A309A0">
        <w:rPr>
          <w:rFonts w:ascii="Cambria Math" w:hAnsi="Cambria Math" w:hint="cs"/>
          <w:noProof/>
          <w:sz w:val="23"/>
          <w:szCs w:val="23"/>
          <w:rtl/>
        </w:rPr>
        <w:t>ی</w:t>
      </w:r>
      <w:r w:rsidRPr="00B92922">
        <w:rPr>
          <w:position w:val="-6"/>
        </w:rPr>
        <w:object w:dxaOrig="139" w:dyaOrig="240" w14:anchorId="6AFDD1CB">
          <v:shape id="_x0000_i1176" type="#_x0000_t75" style="width:6.65pt;height:12.1pt" o:ole="">
            <v:imagedata r:id="rId314" o:title=""/>
          </v:shape>
          <o:OLEObject Type="Embed" ProgID="Equation.DSMT4" ShapeID="_x0000_i1176" DrawAspect="Content" ObjectID="_1791375120" r:id="rId315"/>
        </w:object>
      </w:r>
      <w:r w:rsidRPr="00A309A0">
        <w:rPr>
          <w:rFonts w:ascii="Cambria Math" w:hAnsi="Cambria Math"/>
          <w:noProof/>
          <w:sz w:val="23"/>
          <w:szCs w:val="23"/>
          <w:rtl/>
        </w:rPr>
        <w:t xml:space="preserve"> و </w:t>
      </w:r>
      <w:r w:rsidRPr="00B92922">
        <w:rPr>
          <w:position w:val="-6"/>
        </w:rPr>
        <w:object w:dxaOrig="440" w:dyaOrig="260" w14:anchorId="26665774">
          <v:shape id="_x0000_i1177" type="#_x0000_t75" style="width:22.4pt;height:12.7pt" o:ole="">
            <v:imagedata r:id="rId316" o:title=""/>
          </v:shape>
          <o:OLEObject Type="Embed" ProgID="Equation.DSMT4" ShapeID="_x0000_i1177" DrawAspect="Content" ObjectID="_1791375121" r:id="rId317"/>
        </w:object>
      </w:r>
      <w:r w:rsidRPr="00A309A0">
        <w:rPr>
          <w:rFonts w:ascii="Cambria Math" w:hAnsi="Cambria Math"/>
          <w:noProof/>
          <w:sz w:val="23"/>
          <w:szCs w:val="23"/>
          <w:rtl/>
        </w:rPr>
        <w:t xml:space="preserve"> می‌تواند به صورت زیر بازنویسی شود </w:t>
      </w:r>
    </w:p>
    <w:p w14:paraId="74B7B50D"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lang w:bidi="fa-IR"/>
        </w:rPr>
      </w:pPr>
      <w:r w:rsidRPr="00B92922">
        <w:rPr>
          <w:position w:val="-10"/>
        </w:rPr>
        <w:object w:dxaOrig="2180" w:dyaOrig="320" w14:anchorId="3F35B69C">
          <v:shape id="_x0000_i1178" type="#_x0000_t75" style="width:108.9pt;height:15.75pt" o:ole="">
            <v:imagedata r:id="rId318" o:title=""/>
          </v:shape>
          <o:OLEObject Type="Embed" ProgID="Equation.DSMT4" ShapeID="_x0000_i1178" DrawAspect="Content" ObjectID="_1791375122" r:id="rId319"/>
        </w:object>
      </w:r>
    </w:p>
    <w:p w14:paraId="46A9AC6F" w14:textId="77777777" w:rsidR="00411620" w:rsidRPr="00A309A0" w:rsidRDefault="00411620" w:rsidP="00411620">
      <w:pPr>
        <w:pStyle w:val="MTDisplayEquation"/>
        <w:spacing w:line="216" w:lineRule="auto"/>
        <w:rPr>
          <w:rFonts w:ascii="Cambria Math" w:hAnsi="Cambria Math" w:cs="B Nazanin"/>
          <w:noProof/>
          <w:sz w:val="23"/>
          <w:szCs w:val="23"/>
          <w:rtl/>
          <w:lang w:bidi="fa-IR"/>
        </w:rPr>
      </w:pPr>
      <w:r w:rsidRPr="00B92922">
        <w:rPr>
          <w:position w:val="-12"/>
        </w:rPr>
        <w:object w:dxaOrig="3920" w:dyaOrig="360" w14:anchorId="0AAB64BA">
          <v:shape id="_x0000_i1179" type="#_x0000_t75" style="width:196.65pt;height:18.15pt" o:ole="">
            <v:imagedata r:id="rId320" o:title=""/>
          </v:shape>
          <o:OLEObject Type="Embed" ProgID="Equation.DSMT4" ShapeID="_x0000_i1179" DrawAspect="Content" ObjectID="_1791375123" r:id="rId321"/>
        </w:object>
      </w:r>
    </w:p>
    <w:p w14:paraId="7648E9C6" w14:textId="77777777" w:rsidR="00411620" w:rsidRPr="00A309A0" w:rsidRDefault="00411620" w:rsidP="00411620">
      <w:pPr>
        <w:spacing w:line="216" w:lineRule="auto"/>
        <w:rPr>
          <w:rFonts w:ascii="Cambria Math" w:hAnsi="Cambria Math"/>
          <w:noProof/>
          <w:sz w:val="23"/>
          <w:szCs w:val="23"/>
        </w:rPr>
      </w:pPr>
      <w:r w:rsidRPr="00A309A0">
        <w:rPr>
          <w:rFonts w:ascii="Cambria Math" w:hAnsi="Cambria Math" w:hint="cs"/>
          <w:noProof/>
          <w:sz w:val="23"/>
          <w:szCs w:val="23"/>
          <w:rtl/>
        </w:rPr>
        <w:lastRenderedPageBreak/>
        <w:t>از</w:t>
      </w:r>
      <w:r w:rsidRPr="00A309A0">
        <w:rPr>
          <w:rFonts w:ascii="Cambria Math" w:hAnsi="Cambria Math"/>
          <w:noProof/>
          <w:sz w:val="23"/>
          <w:szCs w:val="23"/>
          <w:rtl/>
        </w:rPr>
        <w:t xml:space="preserve"> رابطه</w:t>
      </w:r>
      <w:r w:rsidRPr="00A309A0">
        <w:rPr>
          <w:rFonts w:ascii="Cambria Math" w:hAnsi="Cambria Math"/>
          <w:noProof/>
          <w:sz w:val="23"/>
          <w:szCs w:val="23"/>
          <w:rtl/>
        </w:rPr>
        <w:softHyphen/>
        <w:t xml:space="preserve">ی اول داریم </w:t>
      </w:r>
      <w:r w:rsidRPr="00B92922">
        <w:rPr>
          <w:position w:val="-10"/>
        </w:rPr>
        <w:object w:dxaOrig="1120" w:dyaOrig="320" w14:anchorId="6C43F62E">
          <v:shape id="_x0000_i1180" type="#_x0000_t75" style="width:56.25pt;height:15.75pt" o:ole="">
            <v:imagedata r:id="rId322" o:title=""/>
          </v:shape>
          <o:OLEObject Type="Embed" ProgID="Equation.DSMT4" ShapeID="_x0000_i1180" DrawAspect="Content" ObjectID="_1791375124" r:id="rId323"/>
        </w:object>
      </w:r>
      <w:r w:rsidRPr="00A309A0">
        <w:rPr>
          <w:rFonts w:ascii="Cambria Math" w:hAnsi="Cambria Math" w:hint="cs"/>
          <w:sz w:val="23"/>
          <w:szCs w:val="23"/>
          <w:rtl/>
        </w:rPr>
        <w:t xml:space="preserve"> </w:t>
      </w:r>
      <w:r w:rsidRPr="00A309A0">
        <w:rPr>
          <w:rFonts w:ascii="Cambria Math" w:eastAsiaTheme="minorEastAsia" w:hAnsi="Cambria Math"/>
          <w:noProof/>
          <w:sz w:val="23"/>
          <w:szCs w:val="23"/>
          <w:rtl/>
          <w:lang w:val="en-GB"/>
        </w:rPr>
        <w:t>و با جایگزاری آن در رابطه</w:t>
      </w:r>
      <w:r w:rsidRPr="00A309A0">
        <w:rPr>
          <w:rFonts w:ascii="Cambria Math" w:eastAsiaTheme="minorEastAsia" w:hAnsi="Cambria Math"/>
          <w:noProof/>
          <w:sz w:val="23"/>
          <w:szCs w:val="23"/>
          <w:rtl/>
          <w:lang w:val="en-GB"/>
        </w:rPr>
        <w:softHyphen/>
        <w:t>ی دوم خواهیم داشت</w:t>
      </w:r>
      <w:r w:rsidRPr="00A309A0">
        <w:rPr>
          <w:rFonts w:ascii="Cambria Math" w:hAnsi="Cambria Math"/>
          <w:noProof/>
          <w:sz w:val="23"/>
          <w:szCs w:val="23"/>
          <w:rtl/>
        </w:rPr>
        <w:t xml:space="preserve">، </w:t>
      </w:r>
    </w:p>
    <w:p w14:paraId="663D4DC2"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lang w:bidi="fa-IR"/>
        </w:rPr>
      </w:pPr>
      <w:r w:rsidRPr="00B92922">
        <w:rPr>
          <w:position w:val="-12"/>
        </w:rPr>
        <w:object w:dxaOrig="2900" w:dyaOrig="360" w14:anchorId="06482EE9">
          <v:shape id="_x0000_i1181" type="#_x0000_t75" style="width:145.2pt;height:18.15pt" o:ole="">
            <v:imagedata r:id="rId324" o:title=""/>
          </v:shape>
          <o:OLEObject Type="Embed" ProgID="Equation.DSMT4" ShapeID="_x0000_i1181" DrawAspect="Content" ObjectID="_1791375125" r:id="rId325"/>
        </w:object>
      </w:r>
    </w:p>
    <w:p w14:paraId="58DCFCFE" w14:textId="77777777" w:rsidR="00411620" w:rsidRPr="00A309A0" w:rsidRDefault="00411620" w:rsidP="00411620">
      <w:pPr>
        <w:pStyle w:val="MTDisplayEquation"/>
        <w:tabs>
          <w:tab w:val="clear" w:pos="6660"/>
        </w:tabs>
        <w:spacing w:line="216" w:lineRule="auto"/>
        <w:jc w:val="left"/>
        <w:rPr>
          <w:rFonts w:ascii="Cambria Math" w:hAnsi="Cambria Math" w:cs="B Nazanin"/>
          <w:sz w:val="23"/>
          <w:szCs w:val="23"/>
          <w:rtl/>
        </w:rPr>
      </w:pPr>
      <w:r w:rsidRPr="00F97CE4">
        <w:rPr>
          <w:position w:val="-12"/>
        </w:rPr>
        <w:object w:dxaOrig="6039" w:dyaOrig="360" w14:anchorId="1A3C5F36">
          <v:shape id="_x0000_i1182" type="#_x0000_t75" style="width:301.3pt;height:18.15pt" o:ole="">
            <v:imagedata r:id="rId326" o:title=""/>
          </v:shape>
          <o:OLEObject Type="Embed" ProgID="Equation.DSMT4" ShapeID="_x0000_i1182" DrawAspect="Content" ObjectID="_1791375126" r:id="rId327"/>
        </w:object>
      </w:r>
      <w:r w:rsidRPr="00A309A0">
        <w:rPr>
          <w:rFonts w:ascii="Cambria Math" w:hAnsi="Cambria Math" w:cs="B Nazanin" w:hint="cs"/>
          <w:sz w:val="23"/>
          <w:szCs w:val="23"/>
          <w:rtl/>
        </w:rPr>
        <w:t>(۲. ۱۴)</w:t>
      </w:r>
    </w:p>
    <w:p w14:paraId="30E27D3B" w14:textId="77777777" w:rsidR="00411620" w:rsidRPr="00D2046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رابطه</w:t>
      </w:r>
      <w:r w:rsidRPr="00A309A0">
        <w:rPr>
          <w:rFonts w:ascii="Cambria Math" w:hAnsi="Cambria Math"/>
          <w:noProof/>
          <w:sz w:val="23"/>
          <w:szCs w:val="23"/>
          <w:rtl/>
        </w:rPr>
        <w:softHyphen/>
        <w:t xml:space="preserve">ی </w:t>
      </w:r>
      <w:r w:rsidRPr="00A309A0">
        <w:rPr>
          <w:rFonts w:ascii="Cambria Math" w:hAnsi="Cambria Math" w:hint="cs"/>
          <w:sz w:val="23"/>
          <w:szCs w:val="23"/>
          <w:rtl/>
        </w:rPr>
        <w:t>(۲. ۱۴)</w:t>
      </w:r>
      <w:r w:rsidRPr="00A309A0">
        <w:rPr>
          <w:rFonts w:ascii="Cambria Math" w:hAnsi="Cambria Math"/>
          <w:noProof/>
          <w:sz w:val="23"/>
          <w:szCs w:val="23"/>
          <w:rtl/>
        </w:rPr>
        <w:t xml:space="preserve"> </w:t>
      </w:r>
      <w:r w:rsidRPr="00A309A0">
        <w:rPr>
          <w:rFonts w:ascii="Cambria Math" w:hAnsi="Cambria Math" w:hint="cs"/>
          <w:noProof/>
          <w:sz w:val="23"/>
          <w:szCs w:val="23"/>
          <w:rtl/>
        </w:rPr>
        <w:t>نشان می</w:t>
      </w:r>
      <w:r w:rsidRPr="00A309A0">
        <w:rPr>
          <w:rFonts w:ascii="Cambria Math" w:hAnsi="Cambria Math"/>
          <w:noProof/>
          <w:sz w:val="23"/>
          <w:szCs w:val="23"/>
          <w:rtl/>
        </w:rPr>
        <w:softHyphen/>
      </w:r>
      <w:r w:rsidRPr="00A309A0">
        <w:rPr>
          <w:rFonts w:ascii="Cambria Math" w:hAnsi="Cambria Math" w:hint="cs"/>
          <w:noProof/>
          <w:sz w:val="23"/>
          <w:szCs w:val="23"/>
          <w:rtl/>
        </w:rPr>
        <w:t xml:space="preserve">دهد که کاهش مصرف در زمان </w:t>
      </w:r>
      <w:r w:rsidRPr="00B92922">
        <w:rPr>
          <w:position w:val="-6"/>
        </w:rPr>
        <w:object w:dxaOrig="139" w:dyaOrig="240" w14:anchorId="191D67CC">
          <v:shape id="_x0000_i1183" type="#_x0000_t75" style="width:6.65pt;height:12.1pt" o:ole="">
            <v:imagedata r:id="rId328" o:title=""/>
          </v:shape>
          <o:OLEObject Type="Embed" ProgID="Equation.DSMT4" ShapeID="_x0000_i1183" DrawAspect="Content" ObjectID="_1791375127" r:id="rId329"/>
        </w:object>
      </w:r>
      <w:r w:rsidRPr="00A309A0">
        <w:rPr>
          <w:rFonts w:hint="cs"/>
          <w:sz w:val="23"/>
          <w:szCs w:val="23"/>
          <w:rtl/>
        </w:rPr>
        <w:t xml:space="preserve"> چگونه با افزایش </w:t>
      </w:r>
      <w:r w:rsidRPr="00A309A0">
        <w:rPr>
          <w:rFonts w:ascii="Cambria Math" w:hAnsi="Cambria Math" w:hint="cs"/>
          <w:noProof/>
          <w:sz w:val="23"/>
          <w:szCs w:val="23"/>
          <w:rtl/>
        </w:rPr>
        <w:t>مصرف در زمان</w:t>
      </w:r>
      <w:r w:rsidRPr="00B92922">
        <w:rPr>
          <w:position w:val="-6"/>
        </w:rPr>
        <w:object w:dxaOrig="440" w:dyaOrig="260" w14:anchorId="1823B409">
          <v:shape id="_x0000_i1184" type="#_x0000_t75" style="width:22.4pt;height:12.7pt" o:ole="">
            <v:imagedata r:id="rId330" o:title=""/>
          </v:shape>
          <o:OLEObject Type="Embed" ProgID="Equation.DSMT4" ShapeID="_x0000_i1184" DrawAspect="Content" ObjectID="_1791375128" r:id="rId331"/>
        </w:object>
      </w:r>
      <w:r w:rsidRPr="00A309A0">
        <w:rPr>
          <w:rFonts w:hint="cs"/>
          <w:sz w:val="23"/>
          <w:szCs w:val="23"/>
          <w:rtl/>
        </w:rPr>
        <w:t xml:space="preserve"> جبران می</w:t>
      </w:r>
      <w:r w:rsidRPr="00A309A0">
        <w:rPr>
          <w:sz w:val="23"/>
          <w:szCs w:val="23"/>
          <w:rtl/>
        </w:rPr>
        <w:softHyphen/>
      </w:r>
      <w:r w:rsidRPr="00A309A0">
        <w:rPr>
          <w:rFonts w:hint="cs"/>
          <w:sz w:val="23"/>
          <w:szCs w:val="23"/>
          <w:rtl/>
        </w:rPr>
        <w:t>شود</w:t>
      </w:r>
      <w:r w:rsidRPr="00A309A0">
        <w:rPr>
          <w:rFonts w:ascii="Cambria Math" w:hAnsi="Cambria Math"/>
          <w:noProof/>
          <w:sz w:val="23"/>
          <w:szCs w:val="23"/>
          <w:rtl/>
        </w:rPr>
        <w:t xml:space="preserve">. </w:t>
      </w:r>
      <w:r w:rsidRPr="00A309A0">
        <w:rPr>
          <w:rFonts w:ascii="Cambria Math" w:hAnsi="Cambria Math" w:hint="cs"/>
          <w:noProof/>
          <w:sz w:val="23"/>
          <w:szCs w:val="23"/>
          <w:rtl/>
        </w:rPr>
        <w:t xml:space="preserve">ابتدا </w:t>
      </w:r>
      <w:r w:rsidRPr="00A309A0">
        <w:rPr>
          <w:rFonts w:ascii="Cambria Math" w:hAnsi="Cambria Math"/>
          <w:noProof/>
          <w:sz w:val="23"/>
          <w:szCs w:val="23"/>
          <w:rtl/>
        </w:rPr>
        <w:t>تولیدی که در دوره</w:t>
      </w:r>
      <w:r w:rsidRPr="00A309A0">
        <w:rPr>
          <w:rFonts w:ascii="Cambria Math" w:hAnsi="Cambria Math"/>
          <w:noProof/>
          <w:sz w:val="23"/>
          <w:szCs w:val="23"/>
          <w:rtl/>
        </w:rPr>
        <w:softHyphen/>
        <w:t>ی</w:t>
      </w:r>
      <w:r w:rsidRPr="00B92922">
        <w:rPr>
          <w:position w:val="-6"/>
        </w:rPr>
        <w:object w:dxaOrig="139" w:dyaOrig="240" w14:anchorId="2CBE7637">
          <v:shape id="_x0000_i1185" type="#_x0000_t75" style="width:6.65pt;height:12.1pt" o:ole="">
            <v:imagedata r:id="rId332" o:title=""/>
          </v:shape>
          <o:OLEObject Type="Embed" ProgID="Equation.DSMT4" ShapeID="_x0000_i1185" DrawAspect="Content" ObjectID="_1791375129" r:id="rId333"/>
        </w:object>
      </w:r>
      <w:r w:rsidRPr="00A309A0">
        <w:rPr>
          <w:rFonts w:ascii="Cambria Math" w:hAnsi="Cambria Math"/>
          <w:noProof/>
          <w:sz w:val="23"/>
          <w:szCs w:val="23"/>
          <w:rtl/>
        </w:rPr>
        <w:t xml:space="preserve"> مصرف نشده و سرمایه‌گذاری می</w:t>
      </w:r>
      <w:r w:rsidRPr="00A309A0">
        <w:rPr>
          <w:rFonts w:ascii="Cambria Math" w:hAnsi="Cambria Math"/>
          <w:noProof/>
          <w:sz w:val="23"/>
          <w:szCs w:val="23"/>
          <w:rtl/>
        </w:rPr>
        <w:softHyphen/>
        <w:t>شود، محصول دوره</w:t>
      </w:r>
      <w:r w:rsidRPr="00A309A0">
        <w:rPr>
          <w:rFonts w:ascii="Cambria Math" w:hAnsi="Cambria Math"/>
          <w:noProof/>
          <w:sz w:val="23"/>
          <w:szCs w:val="23"/>
          <w:rtl/>
        </w:rPr>
        <w:softHyphen/>
        <w:t>ی</w:t>
      </w:r>
      <w:r w:rsidRPr="00B92922">
        <w:rPr>
          <w:position w:val="-6"/>
        </w:rPr>
        <w:object w:dxaOrig="440" w:dyaOrig="260" w14:anchorId="21C9F79F">
          <v:shape id="_x0000_i1186" type="#_x0000_t75" style="width:22.4pt;height:12.7pt" o:ole="">
            <v:imagedata r:id="rId334" o:title=""/>
          </v:shape>
          <o:OLEObject Type="Embed" ProgID="Equation.DSMT4" ShapeID="_x0000_i1186" DrawAspect="Content" ObjectID="_1791375130" r:id="rId335"/>
        </w:object>
      </w:r>
      <w:r w:rsidRPr="00A309A0">
        <w:rPr>
          <w:rFonts w:ascii="Cambria Math" w:hAnsi="Cambria Math"/>
          <w:noProof/>
          <w:sz w:val="23"/>
          <w:szCs w:val="23"/>
          <w:rtl/>
        </w:rPr>
        <w:t xml:space="preserve"> را بواسطه</w:t>
      </w:r>
      <w:r w:rsidRPr="00A309A0">
        <w:rPr>
          <w:rFonts w:ascii="Cambria Math" w:hAnsi="Cambria Math"/>
          <w:noProof/>
          <w:sz w:val="23"/>
          <w:szCs w:val="23"/>
          <w:rtl/>
        </w:rPr>
        <w:softHyphen/>
        <w:t>ی</w:t>
      </w:r>
      <w:r w:rsidRPr="00B92922">
        <w:rPr>
          <w:position w:val="-12"/>
        </w:rPr>
        <w:object w:dxaOrig="1219" w:dyaOrig="360" w14:anchorId="5C2D47DB">
          <v:shape id="_x0000_i1187" type="#_x0000_t75" style="width:61.1pt;height:18.15pt" o:ole="">
            <v:imagedata r:id="rId336" o:title=""/>
          </v:shape>
          <o:OLEObject Type="Embed" ProgID="Equation.DSMT4" ShapeID="_x0000_i1187" DrawAspect="Content" ObjectID="_1791375131" r:id="rId337"/>
        </w:object>
      </w:r>
      <w:r w:rsidRPr="00A309A0">
        <w:rPr>
          <w:rFonts w:ascii="Cambria Math" w:hAnsi="Cambria Math"/>
          <w:noProof/>
          <w:sz w:val="23"/>
          <w:szCs w:val="23"/>
          <w:rtl/>
        </w:rPr>
        <w:t xml:space="preserve"> افزایش ‌داده و تمام این محصول در دوره</w:t>
      </w:r>
      <w:r w:rsidRPr="00A309A0">
        <w:rPr>
          <w:rFonts w:ascii="Cambria Math" w:hAnsi="Cambria Math"/>
          <w:noProof/>
          <w:sz w:val="23"/>
          <w:szCs w:val="23"/>
          <w:rtl/>
        </w:rPr>
        <w:softHyphen/>
        <w:t>ی</w:t>
      </w:r>
      <w:r w:rsidRPr="00B92922">
        <w:rPr>
          <w:position w:val="-6"/>
        </w:rPr>
        <w:object w:dxaOrig="440" w:dyaOrig="260" w14:anchorId="502A8622">
          <v:shape id="_x0000_i1188" type="#_x0000_t75" style="width:22.4pt;height:12.7pt" o:ole="">
            <v:imagedata r:id="rId338" o:title=""/>
          </v:shape>
          <o:OLEObject Type="Embed" ProgID="Equation.DSMT4" ShapeID="_x0000_i1188" DrawAspect="Content" ObjectID="_1791375132" r:id="rId339"/>
        </w:object>
      </w:r>
      <w:r w:rsidRPr="00A309A0">
        <w:rPr>
          <w:rFonts w:ascii="Cambria Math" w:hAnsi="Cambria Math"/>
          <w:noProof/>
          <w:sz w:val="23"/>
          <w:szCs w:val="23"/>
          <w:rtl/>
        </w:rPr>
        <w:t xml:space="preserve"> مصرف می</w:t>
      </w:r>
      <w:r w:rsidRPr="00A309A0">
        <w:rPr>
          <w:rFonts w:ascii="Cambria Math" w:hAnsi="Cambria Math"/>
          <w:noProof/>
          <w:sz w:val="23"/>
          <w:szCs w:val="23"/>
          <w:rtl/>
        </w:rPr>
        <w:softHyphen/>
        <w:t>شود.</w:t>
      </w:r>
      <w:r w:rsidRPr="00A309A0">
        <w:rPr>
          <w:rFonts w:ascii="Cambria Math" w:hAnsi="Cambria Math" w:hint="cs"/>
          <w:noProof/>
          <w:sz w:val="23"/>
          <w:szCs w:val="23"/>
          <w:rtl/>
        </w:rPr>
        <w:t xml:space="preserve"> سپس </w:t>
      </w:r>
      <w:r w:rsidRPr="00A309A0">
        <w:rPr>
          <w:rFonts w:ascii="Cambria Math" w:hAnsi="Cambria Math"/>
          <w:noProof/>
          <w:sz w:val="23"/>
          <w:szCs w:val="23"/>
          <w:rtl/>
        </w:rPr>
        <w:t>از آن</w:t>
      </w:r>
      <w:r w:rsidRPr="00A309A0">
        <w:rPr>
          <w:rFonts w:ascii="Cambria Math" w:hAnsi="Cambria Math"/>
          <w:noProof/>
          <w:sz w:val="23"/>
          <w:szCs w:val="23"/>
          <w:rtl/>
        </w:rPr>
        <w:softHyphen/>
        <w:t>جا</w:t>
      </w:r>
      <w:r w:rsidRPr="00A309A0">
        <w:rPr>
          <w:rFonts w:ascii="Cambria Math" w:hAnsi="Cambria Math" w:hint="cs"/>
          <w:noProof/>
          <w:sz w:val="23"/>
          <w:szCs w:val="23"/>
          <w:rtl/>
        </w:rPr>
        <w:t>ی</w:t>
      </w:r>
      <w:r w:rsidRPr="00A309A0">
        <w:rPr>
          <w:rFonts w:ascii="Cambria Math" w:hAnsi="Cambria Math"/>
          <w:noProof/>
          <w:sz w:val="23"/>
          <w:szCs w:val="23"/>
          <w:rtl/>
        </w:rPr>
        <w:t>ی</w:t>
      </w:r>
      <w:r w:rsidRPr="00A309A0">
        <w:rPr>
          <w:rFonts w:ascii="Cambria Math" w:hAnsi="Cambria Math"/>
          <w:noProof/>
          <w:sz w:val="23"/>
          <w:szCs w:val="23"/>
          <w:rtl/>
        </w:rPr>
        <w:softHyphen/>
        <w:t>که تمایل به افزایش موجودی سرمایه بعد از دوره</w:t>
      </w:r>
      <w:r w:rsidRPr="00A309A0">
        <w:rPr>
          <w:rFonts w:ascii="Cambria Math" w:hAnsi="Cambria Math"/>
          <w:noProof/>
          <w:sz w:val="23"/>
          <w:szCs w:val="23"/>
          <w:rtl/>
        </w:rPr>
        <w:softHyphen/>
        <w:t>ی</w:t>
      </w:r>
      <w:r w:rsidRPr="00B92922">
        <w:rPr>
          <w:position w:val="-6"/>
        </w:rPr>
        <w:object w:dxaOrig="440" w:dyaOrig="260" w14:anchorId="0A689D92">
          <v:shape id="_x0000_i1189" type="#_x0000_t75" style="width:22.4pt;height:12.7pt" o:ole="">
            <v:imagedata r:id="rId340" o:title=""/>
          </v:shape>
          <o:OLEObject Type="Embed" ProgID="Equation.DSMT4" ShapeID="_x0000_i1189" DrawAspect="Content" ObjectID="_1791375133" r:id="rId341"/>
        </w:object>
      </w:r>
      <w:r w:rsidRPr="00A309A0">
        <w:rPr>
          <w:rFonts w:ascii="Cambria Math" w:hAnsi="Cambria Math"/>
          <w:noProof/>
          <w:sz w:val="23"/>
          <w:szCs w:val="23"/>
          <w:rtl/>
        </w:rPr>
        <w:t xml:space="preserve"> وجود ندارد</w:t>
      </w:r>
      <w:r w:rsidRPr="00A309A0">
        <w:rPr>
          <w:rFonts w:ascii="Cambria Math" w:hAnsi="Cambria Math"/>
          <w:noProof/>
          <w:sz w:val="23"/>
          <w:szCs w:val="23"/>
        </w:rPr>
        <w:t xml:space="preserve"> </w:t>
      </w:r>
      <w:r w:rsidRPr="00A309A0">
        <w:rPr>
          <w:rFonts w:ascii="Cambria Math" w:hAnsi="Cambria Math" w:hint="cs"/>
          <w:noProof/>
          <w:sz w:val="23"/>
          <w:szCs w:val="23"/>
          <w:rtl/>
        </w:rPr>
        <w:t>(فرض شده که مدل اقتصادی دو دوره</w:t>
      </w:r>
      <w:r w:rsidRPr="00A309A0">
        <w:rPr>
          <w:rFonts w:ascii="Cambria Math" w:hAnsi="Cambria Math"/>
          <w:noProof/>
          <w:sz w:val="23"/>
          <w:szCs w:val="23"/>
          <w:rtl/>
        </w:rPr>
        <w:softHyphen/>
      </w:r>
      <w:r w:rsidRPr="00A309A0">
        <w:rPr>
          <w:rFonts w:ascii="Cambria Math" w:hAnsi="Cambria Math" w:hint="cs"/>
          <w:noProof/>
          <w:sz w:val="23"/>
          <w:szCs w:val="23"/>
          <w:rtl/>
        </w:rPr>
        <w:t>ای است)،</w:t>
      </w:r>
      <w:r w:rsidRPr="00A309A0">
        <w:rPr>
          <w:rFonts w:ascii="Cambria Math" w:hAnsi="Cambria Math"/>
          <w:noProof/>
          <w:sz w:val="23"/>
          <w:szCs w:val="23"/>
          <w:rtl/>
        </w:rPr>
        <w:t xml:space="preserve"> لذا افزایش موجودی سرمایه پس از استهلاک در زمان</w:t>
      </w:r>
      <w:r w:rsidRPr="00A309A0">
        <w:rPr>
          <w:rFonts w:ascii="Cambria Math" w:hAnsi="Cambria Math" w:hint="cs"/>
          <w:noProof/>
          <w:sz w:val="23"/>
          <w:szCs w:val="23"/>
          <w:rtl/>
        </w:rPr>
        <w:t xml:space="preserve"> </w:t>
      </w:r>
      <w:r w:rsidRPr="00B92922">
        <w:rPr>
          <w:position w:val="-6"/>
        </w:rPr>
        <w:object w:dxaOrig="440" w:dyaOrig="260" w14:anchorId="6A71ADFF">
          <v:shape id="_x0000_i1190" type="#_x0000_t75" style="width:22.4pt;height:12.7pt" o:ole="">
            <v:imagedata r:id="rId342" o:title=""/>
          </v:shape>
          <o:OLEObject Type="Embed" ProgID="Equation.DSMT4" ShapeID="_x0000_i1190" DrawAspect="Content" ObjectID="_1791375134" r:id="rId343"/>
        </w:object>
      </w:r>
      <w:r w:rsidRPr="00A309A0">
        <w:rPr>
          <w:rFonts w:ascii="Cambria Math" w:hAnsi="Cambria Math"/>
          <w:noProof/>
          <w:sz w:val="23"/>
          <w:szCs w:val="23"/>
          <w:rtl/>
        </w:rPr>
        <w:t xml:space="preserve">، </w:t>
      </w:r>
      <w:r w:rsidRPr="00A309A0">
        <w:rPr>
          <w:rFonts w:ascii="Cambria Math" w:hAnsi="Cambria Math" w:hint="cs"/>
          <w:noProof/>
          <w:sz w:val="23"/>
          <w:szCs w:val="23"/>
          <w:rtl/>
        </w:rPr>
        <w:t>یا</w:t>
      </w:r>
      <w:r w:rsidRPr="00B92922">
        <w:rPr>
          <w:position w:val="-12"/>
        </w:rPr>
        <w:object w:dxaOrig="1080" w:dyaOrig="360" w14:anchorId="262D062D">
          <v:shape id="_x0000_i1191" type="#_x0000_t75" style="width:53.85pt;height:18.15pt" o:ole="">
            <v:imagedata r:id="rId344" o:title=""/>
          </v:shape>
          <o:OLEObject Type="Embed" ProgID="Equation.DSMT4" ShapeID="_x0000_i1191" DrawAspect="Content" ObjectID="_1791375135" r:id="rId345"/>
        </w:object>
      </w:r>
      <w:r w:rsidRPr="00A309A0">
        <w:rPr>
          <w:rFonts w:ascii="Cambria Math" w:hAnsi="Cambria Math"/>
          <w:noProof/>
          <w:sz w:val="23"/>
          <w:szCs w:val="23"/>
          <w:rtl/>
        </w:rPr>
        <w:t xml:space="preserve"> نیز در دوره</w:t>
      </w:r>
      <w:r w:rsidRPr="00A309A0">
        <w:rPr>
          <w:rFonts w:ascii="Cambria Math" w:hAnsi="Cambria Math"/>
          <w:noProof/>
          <w:sz w:val="23"/>
          <w:szCs w:val="23"/>
          <w:rtl/>
        </w:rPr>
        <w:softHyphen/>
        <w:t>ی</w:t>
      </w:r>
      <w:r w:rsidRPr="00B92922">
        <w:rPr>
          <w:position w:val="-6"/>
        </w:rPr>
        <w:object w:dxaOrig="440" w:dyaOrig="260" w14:anchorId="2852AD76">
          <v:shape id="_x0000_i1192" type="#_x0000_t75" style="width:22.4pt;height:12.7pt" o:ole="">
            <v:imagedata r:id="rId346" o:title=""/>
          </v:shape>
          <o:OLEObject Type="Embed" ProgID="Equation.DSMT4" ShapeID="_x0000_i1192" DrawAspect="Content" ObjectID="_1791375136" r:id="rId347"/>
        </w:object>
      </w:r>
      <w:r w:rsidRPr="00A309A0">
        <w:rPr>
          <w:rFonts w:ascii="Cambria Math" w:hAnsi="Cambria Math"/>
          <w:noProof/>
          <w:sz w:val="23"/>
          <w:szCs w:val="23"/>
          <w:rtl/>
        </w:rPr>
        <w:t xml:space="preserve"> مصرف </w:t>
      </w:r>
      <w:r w:rsidRPr="00A309A0">
        <w:rPr>
          <w:rFonts w:ascii="Cambria Math" w:hAnsi="Cambria Math" w:hint="cs"/>
          <w:noProof/>
          <w:sz w:val="23"/>
          <w:szCs w:val="23"/>
          <w:rtl/>
        </w:rPr>
        <w:t xml:space="preserve">خواهد </w:t>
      </w:r>
      <w:r w:rsidRPr="00A309A0">
        <w:rPr>
          <w:rFonts w:ascii="Cambria Math" w:hAnsi="Cambria Math"/>
          <w:noProof/>
          <w:sz w:val="23"/>
          <w:szCs w:val="23"/>
          <w:rtl/>
        </w:rPr>
        <w:t xml:space="preserve">شد. </w:t>
      </w:r>
    </w:p>
    <w:p w14:paraId="7BEB1BEB" w14:textId="77777777" w:rsidR="00411620" w:rsidRPr="00A309A0" w:rsidRDefault="00411620" w:rsidP="00411620">
      <w:pPr>
        <w:spacing w:line="216" w:lineRule="auto"/>
        <w:rPr>
          <w:rFonts w:ascii="Cambria Math" w:eastAsiaTheme="minorEastAsia" w:hAnsi="Cambria Math"/>
          <w:noProof/>
          <w:sz w:val="23"/>
          <w:szCs w:val="23"/>
          <w:rtl/>
        </w:rPr>
      </w:pPr>
      <w:r w:rsidRPr="00A309A0">
        <w:rPr>
          <w:rFonts w:ascii="Cambria Math" w:hAnsi="Cambria Math"/>
          <w:noProof/>
          <w:sz w:val="23"/>
          <w:szCs w:val="23"/>
          <w:rtl/>
        </w:rPr>
        <w:t>چنانچه رابطه</w:t>
      </w:r>
      <w:r w:rsidRPr="00A309A0">
        <w:rPr>
          <w:rFonts w:ascii="Cambria Math" w:hAnsi="Cambria Math"/>
          <w:noProof/>
          <w:sz w:val="23"/>
          <w:szCs w:val="23"/>
          <w:rtl/>
        </w:rPr>
        <w:softHyphen/>
        <w:t xml:space="preserve">ی </w:t>
      </w:r>
      <w:r w:rsidRPr="00A309A0">
        <w:rPr>
          <w:rFonts w:ascii="Cambria Math" w:hAnsi="Cambria Math" w:hint="cs"/>
          <w:sz w:val="23"/>
          <w:szCs w:val="23"/>
          <w:rtl/>
        </w:rPr>
        <w:t>(۲. ۱۳)</w:t>
      </w:r>
      <w:r w:rsidRPr="00A309A0">
        <w:rPr>
          <w:rFonts w:ascii="Cambria Math" w:eastAsiaTheme="minorEastAsia" w:hAnsi="Cambria Math"/>
          <w:noProof/>
          <w:sz w:val="23"/>
          <w:szCs w:val="23"/>
          <w:rtl/>
        </w:rPr>
        <w:t xml:space="preserve"> و</w:t>
      </w:r>
      <w:r w:rsidRPr="00A309A0">
        <w:rPr>
          <w:rFonts w:ascii="Cambria Math" w:hAnsi="Cambria Math" w:hint="cs"/>
          <w:sz w:val="23"/>
          <w:szCs w:val="23"/>
          <w:rtl/>
        </w:rPr>
        <w:t xml:space="preserve"> (۲. ۱۴) </w:t>
      </w:r>
      <w:r w:rsidRPr="00A309A0">
        <w:rPr>
          <w:rFonts w:ascii="Cambria Math" w:eastAsiaTheme="minorEastAsia" w:hAnsi="Cambria Math"/>
          <w:noProof/>
          <w:sz w:val="23"/>
          <w:szCs w:val="23"/>
          <w:rtl/>
        </w:rPr>
        <w:t xml:space="preserve">را </w:t>
      </w:r>
      <w:r w:rsidRPr="00A309A0">
        <w:rPr>
          <w:rFonts w:ascii="Cambria Math" w:eastAsiaTheme="minorEastAsia" w:hAnsi="Cambria Math" w:hint="cs"/>
          <w:noProof/>
          <w:sz w:val="23"/>
          <w:szCs w:val="23"/>
          <w:rtl/>
        </w:rPr>
        <w:t xml:space="preserve">با یکدیگر </w:t>
      </w:r>
      <w:r w:rsidRPr="00A309A0">
        <w:rPr>
          <w:rFonts w:ascii="Cambria Math" w:eastAsiaTheme="minorEastAsia" w:hAnsi="Cambria Math"/>
          <w:noProof/>
          <w:sz w:val="23"/>
          <w:szCs w:val="23"/>
          <w:rtl/>
        </w:rPr>
        <w:t>ادغام کنیم خواهیم داشت؛</w:t>
      </w:r>
    </w:p>
    <w:p w14:paraId="059AFE43" w14:textId="77777777" w:rsidR="00411620" w:rsidRPr="00A309A0" w:rsidRDefault="00411620" w:rsidP="00411620">
      <w:pPr>
        <w:pStyle w:val="MTDisplayEquation"/>
        <w:spacing w:line="216" w:lineRule="auto"/>
        <w:jc w:val="left"/>
        <w:rPr>
          <w:rFonts w:ascii="Cambria Math" w:eastAsiaTheme="minorEastAsia" w:hAnsi="Cambria Math" w:cs="B Nazanin"/>
          <w:noProof/>
          <w:sz w:val="23"/>
          <w:szCs w:val="23"/>
          <w:rtl/>
          <w:lang w:bidi="fa-IR"/>
        </w:rPr>
      </w:pPr>
      <w:r w:rsidRPr="00B92922">
        <w:rPr>
          <w:position w:val="-30"/>
        </w:rPr>
        <w:object w:dxaOrig="4340" w:dyaOrig="700" w14:anchorId="06D55BCA">
          <v:shape id="_x0000_i1193" type="#_x0000_t75" style="width:217.2pt;height:35.1pt" o:ole="">
            <v:imagedata r:id="rId348" o:title=""/>
          </v:shape>
          <o:OLEObject Type="Embed" ProgID="Equation.DSMT4" ShapeID="_x0000_i1193" DrawAspect="Content" ObjectID="_1791375137" r:id="rId349"/>
        </w:object>
      </w:r>
    </w:p>
    <w:p w14:paraId="2618F56E"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rtl/>
          <w:lang w:bidi="fa-IR"/>
        </w:rPr>
      </w:pPr>
      <w:r w:rsidRPr="00B92922">
        <w:rPr>
          <w:position w:val="-14"/>
        </w:rPr>
        <w:object w:dxaOrig="5700" w:dyaOrig="380" w14:anchorId="422F18A5">
          <v:shape id="_x0000_i1194" type="#_x0000_t75" style="width:284.95pt;height:19.35pt" o:ole="">
            <v:imagedata r:id="rId350" o:title=""/>
          </v:shape>
          <o:OLEObject Type="Embed" ProgID="Equation.DSMT4" ShapeID="_x0000_i1194" DrawAspect="Content" ObjectID="_1791375138" r:id="rId351"/>
        </w:object>
      </w:r>
    </w:p>
    <w:p w14:paraId="268C536E" w14:textId="77777777" w:rsidR="00411620" w:rsidRPr="00A309A0" w:rsidRDefault="00411620" w:rsidP="00411620">
      <w:pPr>
        <w:spacing w:line="216" w:lineRule="auto"/>
        <w:rPr>
          <w:rFonts w:ascii="Cambria Math" w:hAnsi="Cambria Math"/>
          <w:noProof/>
          <w:sz w:val="23"/>
          <w:szCs w:val="23"/>
        </w:rPr>
      </w:pPr>
      <w:r w:rsidRPr="00A309A0">
        <w:rPr>
          <w:rFonts w:ascii="Cambria Math" w:hAnsi="Cambria Math"/>
          <w:noProof/>
          <w:sz w:val="23"/>
          <w:szCs w:val="23"/>
          <w:rtl/>
        </w:rPr>
        <w:t xml:space="preserve">بنابراین </w:t>
      </w:r>
    </w:p>
    <w:p w14:paraId="70696DF6"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rtl/>
          <w:lang w:bidi="fa-IR"/>
        </w:rPr>
      </w:pPr>
      <w:r w:rsidRPr="00B92922">
        <w:rPr>
          <w:position w:val="-14"/>
        </w:rPr>
        <w:object w:dxaOrig="3960" w:dyaOrig="380" w14:anchorId="23D137A0">
          <v:shape id="_x0000_i1195" type="#_x0000_t75" style="width:197.25pt;height:19.35pt" o:ole="">
            <v:imagedata r:id="rId352" o:title=""/>
          </v:shape>
          <o:OLEObject Type="Embed" ProgID="Equation.DSMT4" ShapeID="_x0000_i1195" DrawAspect="Content" ObjectID="_1791375139" r:id="rId353"/>
        </w:object>
      </w:r>
    </w:p>
    <w:p w14:paraId="17AC6FC1" w14:textId="77777777" w:rsidR="00411620" w:rsidRPr="00A309A0" w:rsidRDefault="00411620" w:rsidP="00411620">
      <w:pPr>
        <w:spacing w:line="216" w:lineRule="auto"/>
        <w:rPr>
          <w:rFonts w:ascii="Cambria Math" w:hAnsi="Cambria Math"/>
          <w:noProof/>
          <w:sz w:val="23"/>
          <w:szCs w:val="23"/>
        </w:rPr>
      </w:pPr>
      <w:r w:rsidRPr="00A309A0">
        <w:rPr>
          <w:rFonts w:ascii="Cambria Math" w:hAnsi="Cambria Math"/>
          <w:noProof/>
          <w:sz w:val="23"/>
          <w:szCs w:val="23"/>
          <w:rtl/>
        </w:rPr>
        <w:t>با حذف</w:t>
      </w:r>
      <w:r w:rsidRPr="00B92922">
        <w:rPr>
          <w:position w:val="-10"/>
        </w:rPr>
        <w:object w:dxaOrig="340" w:dyaOrig="320" w14:anchorId="2C4FCC1E">
          <v:shape id="_x0000_i1196" type="#_x0000_t75" style="width:16.95pt;height:15.75pt" o:ole="">
            <v:imagedata r:id="rId354" o:title=""/>
          </v:shape>
          <o:OLEObject Type="Embed" ProgID="Equation.DSMT4" ShapeID="_x0000_i1196" DrawAspect="Content" ObjectID="_1791375140" r:id="rId355"/>
        </w:object>
      </w:r>
      <w:r w:rsidRPr="00A309A0">
        <w:rPr>
          <w:rFonts w:ascii="Cambria Math" w:hAnsi="Cambria Math"/>
          <w:noProof/>
          <w:sz w:val="23"/>
          <w:szCs w:val="23"/>
          <w:rtl/>
        </w:rPr>
        <w:t xml:space="preserve"> از طرفین </w:t>
      </w:r>
      <w:r w:rsidRPr="00A309A0">
        <w:rPr>
          <w:rFonts w:ascii="Cambria Math" w:hAnsi="Cambria Math" w:hint="cs"/>
          <w:noProof/>
          <w:sz w:val="23"/>
          <w:szCs w:val="23"/>
          <w:rtl/>
        </w:rPr>
        <w:t>رابطه</w:t>
      </w:r>
      <w:r w:rsidRPr="00A309A0">
        <w:rPr>
          <w:rFonts w:ascii="Cambria Math" w:hAnsi="Cambria Math"/>
          <w:noProof/>
          <w:sz w:val="23"/>
          <w:szCs w:val="23"/>
          <w:rtl/>
        </w:rPr>
        <w:softHyphen/>
        <w:t>ی فوق و تقسیم آن بر</w:t>
      </w:r>
      <w:r w:rsidRPr="00B92922">
        <w:rPr>
          <w:position w:val="-12"/>
        </w:rPr>
        <w:object w:dxaOrig="620" w:dyaOrig="360" w14:anchorId="0C567052">
          <v:shape id="_x0000_i1197" type="#_x0000_t75" style="width:30.85pt;height:18.15pt" o:ole="">
            <v:imagedata r:id="rId356" o:title=""/>
          </v:shape>
          <o:OLEObject Type="Embed" ProgID="Equation.DSMT4" ShapeID="_x0000_i1197" DrawAspect="Content" ObjectID="_1791375141" r:id="rId357"/>
        </w:object>
      </w:r>
      <w:r w:rsidRPr="00A309A0">
        <w:rPr>
          <w:rFonts w:ascii="Cambria Math" w:eastAsiaTheme="minorEastAsia" w:hAnsi="Cambria Math"/>
          <w:noProof/>
          <w:sz w:val="23"/>
          <w:szCs w:val="23"/>
          <w:rtl/>
        </w:rPr>
        <w:t xml:space="preserve">، </w:t>
      </w:r>
      <w:r w:rsidRPr="00A309A0">
        <w:rPr>
          <w:rFonts w:ascii="Cambria Math" w:hAnsi="Cambria Math"/>
          <w:noProof/>
          <w:sz w:val="23"/>
          <w:szCs w:val="23"/>
          <w:rtl/>
        </w:rPr>
        <w:t>معادله</w:t>
      </w:r>
      <w:r w:rsidRPr="00A309A0">
        <w:rPr>
          <w:rFonts w:ascii="Cambria Math" w:hAnsi="Cambria Math"/>
          <w:noProof/>
          <w:sz w:val="23"/>
          <w:szCs w:val="23"/>
          <w:rtl/>
        </w:rPr>
        <w:softHyphen/>
        <w:t>ی اویلر</w:t>
      </w:r>
      <w:r w:rsidRPr="00A309A0">
        <w:rPr>
          <w:rFonts w:ascii="Cambria Math" w:hAnsi="Cambria Math" w:hint="cs"/>
          <w:noProof/>
          <w:sz w:val="23"/>
          <w:szCs w:val="23"/>
          <w:rtl/>
        </w:rPr>
        <w:t xml:space="preserve"> (۲. ۱۲) مجدداً </w:t>
      </w:r>
      <w:r w:rsidRPr="00A309A0">
        <w:rPr>
          <w:rFonts w:ascii="Cambria Math" w:hAnsi="Cambria Math"/>
          <w:noProof/>
          <w:sz w:val="23"/>
          <w:szCs w:val="23"/>
          <w:rtl/>
        </w:rPr>
        <w:t xml:space="preserve">بدست خواهد آمد. </w:t>
      </w:r>
    </w:p>
    <w:p w14:paraId="4D47FC7B" w14:textId="77777777" w:rsidR="00411620" w:rsidRPr="00A309A0" w:rsidRDefault="00411620" w:rsidP="00411620">
      <w:pPr>
        <w:spacing w:line="216" w:lineRule="auto"/>
        <w:rPr>
          <w:rFonts w:ascii="Cambria Math" w:hAnsi="Cambria Math"/>
          <w:noProof/>
          <w:sz w:val="23"/>
          <w:szCs w:val="23"/>
        </w:rPr>
      </w:pPr>
    </w:p>
    <w:p w14:paraId="5DADCB74" w14:textId="77777777" w:rsidR="00411620" w:rsidRPr="00A309A0" w:rsidRDefault="00411620" w:rsidP="00411620">
      <w:pPr>
        <w:pStyle w:val="Heading1"/>
        <w:spacing w:before="0" w:after="0" w:line="216" w:lineRule="auto"/>
        <w:rPr>
          <w:rFonts w:ascii="Cambria Math" w:hAnsi="Cambria Math" w:cs="B Nazanin"/>
          <w:noProof/>
          <w:sz w:val="23"/>
          <w:szCs w:val="23"/>
          <w:rtl/>
        </w:rPr>
      </w:pPr>
      <w:r w:rsidRPr="00A309A0">
        <w:rPr>
          <w:rFonts w:ascii="Cambria Math" w:hAnsi="Cambria Math" w:cs="B Nazanin" w:hint="cs"/>
          <w:noProof/>
          <w:sz w:val="23"/>
          <w:szCs w:val="23"/>
          <w:rtl/>
        </w:rPr>
        <w:t>۲. ۴. ۳</w:t>
      </w:r>
      <w:r w:rsidRPr="00A309A0">
        <w:rPr>
          <w:rFonts w:ascii="Cambria Math" w:hAnsi="Cambria Math" w:cs="B Nazanin"/>
          <w:noProof/>
          <w:sz w:val="23"/>
          <w:szCs w:val="23"/>
          <w:rtl/>
        </w:rPr>
        <w:t xml:space="preserve"> مرز امکانات تولید بین</w:t>
      </w:r>
      <w:r w:rsidRPr="00A309A0">
        <w:rPr>
          <w:rFonts w:ascii="Cambria Math" w:hAnsi="Cambria Math" w:cs="B Nazanin"/>
          <w:noProof/>
          <w:sz w:val="23"/>
          <w:szCs w:val="23"/>
          <w:rtl/>
        </w:rPr>
        <w:softHyphen/>
        <w:t>دوره</w:t>
      </w:r>
      <w:r w:rsidRPr="00A309A0">
        <w:rPr>
          <w:rFonts w:ascii="Cambria Math" w:hAnsi="Cambria Math" w:cs="B Nazanin"/>
          <w:noProof/>
          <w:sz w:val="23"/>
          <w:szCs w:val="23"/>
          <w:rtl/>
        </w:rPr>
        <w:softHyphen/>
        <w:t>ای</w:t>
      </w:r>
      <w:r w:rsidRPr="00A309A0">
        <w:rPr>
          <w:rStyle w:val="FootnoteReference"/>
          <w:rFonts w:ascii="Cambria Math" w:eastAsiaTheme="majorEastAsia" w:hAnsi="Cambria Math" w:cs="B Nazanin"/>
          <w:noProof/>
          <w:sz w:val="23"/>
          <w:szCs w:val="23"/>
          <w:rtl/>
        </w:rPr>
        <w:footnoteReference w:id="67"/>
      </w:r>
    </w:p>
    <w:p w14:paraId="6F6319FF"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مرز امکانات تولید</w:t>
      </w:r>
      <w:r w:rsidRPr="00A309A0">
        <w:rPr>
          <w:rStyle w:val="FootnoteReference"/>
          <w:rFonts w:ascii="Cambria Math" w:eastAsiaTheme="majorEastAsia" w:hAnsi="Cambria Math"/>
          <w:sz w:val="23"/>
          <w:szCs w:val="23"/>
          <w:rtl/>
        </w:rPr>
        <w:footnoteReference w:id="68"/>
      </w:r>
      <w:r w:rsidRPr="00A309A0">
        <w:rPr>
          <w:rFonts w:ascii="Cambria Math" w:hAnsi="Cambria Math"/>
          <w:sz w:val="23"/>
          <w:szCs w:val="23"/>
          <w:rtl/>
        </w:rPr>
        <w:t xml:space="preserve"> مرتبط است با تابع تولید</w:t>
      </w:r>
      <w:r w:rsidRPr="00A309A0">
        <w:rPr>
          <w:rFonts w:ascii="Cambria Math" w:hAnsi="Cambria Math" w:hint="cs"/>
          <w:sz w:val="23"/>
          <w:szCs w:val="23"/>
          <w:rtl/>
        </w:rPr>
        <w:t>ِ</w:t>
      </w:r>
      <w:r w:rsidRPr="00A309A0">
        <w:rPr>
          <w:rFonts w:ascii="Cambria Math" w:hAnsi="Cambria Math"/>
          <w:sz w:val="23"/>
          <w:szCs w:val="23"/>
          <w:rtl/>
        </w:rPr>
        <w:t xml:space="preserve"> با بیش از یک محصول و یک یا چند نهاده</w:t>
      </w:r>
      <w:r w:rsidRPr="00A309A0">
        <w:rPr>
          <w:rFonts w:ascii="Cambria Math" w:hAnsi="Cambria Math"/>
          <w:sz w:val="23"/>
          <w:szCs w:val="23"/>
          <w:rtl/>
        </w:rPr>
        <w:softHyphen/>
        <w:t>ی تولید، و حداکثر ترکیبات تولید را با مقادیر ثابت نهاده</w:t>
      </w:r>
      <w:r w:rsidRPr="00A309A0">
        <w:rPr>
          <w:rFonts w:ascii="Cambria Math" w:hAnsi="Cambria Math"/>
          <w:sz w:val="23"/>
          <w:szCs w:val="23"/>
          <w:rtl/>
        </w:rPr>
        <w:softHyphen/>
        <w:t>های تولید اندازه</w:t>
      </w:r>
      <w:r w:rsidRPr="00A309A0">
        <w:rPr>
          <w:rFonts w:ascii="Cambria Math" w:hAnsi="Cambria Math"/>
          <w:sz w:val="23"/>
          <w:szCs w:val="23"/>
          <w:rtl/>
        </w:rPr>
        <w:softHyphen/>
        <w:t>گیری می‌کند. مرز امکانات تولید بین</w:t>
      </w:r>
      <w:r w:rsidRPr="00A309A0">
        <w:rPr>
          <w:rFonts w:ascii="Cambria Math" w:hAnsi="Cambria Math"/>
          <w:sz w:val="23"/>
          <w:szCs w:val="23"/>
          <w:rtl/>
        </w:rPr>
        <w:softHyphen/>
        <w:t>دوره</w:t>
      </w:r>
      <w:r w:rsidRPr="00A309A0">
        <w:rPr>
          <w:rFonts w:ascii="Cambria Math" w:hAnsi="Cambria Math"/>
          <w:sz w:val="23"/>
          <w:szCs w:val="23"/>
          <w:rtl/>
        </w:rPr>
        <w:softHyphen/>
        <w:t>ای یا</w:t>
      </w:r>
      <w:r w:rsidRPr="00A309A0">
        <w:rPr>
          <w:rFonts w:ascii="Cambria Math" w:hAnsi="Cambria Math"/>
          <w:sz w:val="23"/>
          <w:szCs w:val="23"/>
        </w:rPr>
        <w:t xml:space="preserve">IPPF </w:t>
      </w:r>
      <w:r w:rsidRPr="00A309A0">
        <w:rPr>
          <w:rFonts w:ascii="Cambria Math" w:hAnsi="Cambria Math" w:hint="cs"/>
          <w:sz w:val="23"/>
          <w:szCs w:val="23"/>
          <w:rtl/>
        </w:rPr>
        <w:t xml:space="preserve"> </w:t>
      </w:r>
      <w:r w:rsidRPr="00A309A0">
        <w:rPr>
          <w:rFonts w:ascii="Cambria Math" w:hAnsi="Cambria Math"/>
          <w:sz w:val="23"/>
          <w:szCs w:val="23"/>
          <w:rtl/>
        </w:rPr>
        <w:t xml:space="preserve">متناظراست با حداکثر تولید در مراحل مختلفی از زمان </w:t>
      </w:r>
      <w:r w:rsidRPr="00A309A0">
        <w:rPr>
          <w:rFonts w:ascii="Cambria Math" w:hAnsi="Cambria Math" w:hint="cs"/>
          <w:sz w:val="23"/>
          <w:szCs w:val="23"/>
          <w:rtl/>
        </w:rPr>
        <w:t>که</w:t>
      </w:r>
      <w:r w:rsidRPr="00A309A0">
        <w:rPr>
          <w:rFonts w:ascii="Cambria Math" w:hAnsi="Cambria Math"/>
          <w:sz w:val="23"/>
          <w:szCs w:val="23"/>
          <w:rtl/>
        </w:rPr>
        <w:t xml:space="preserve"> از قید منابع اقتصاد بدست آمده و دومین روش استخراج رابطه</w:t>
      </w:r>
      <w:r w:rsidRPr="00A309A0">
        <w:rPr>
          <w:rFonts w:ascii="Cambria Math" w:hAnsi="Cambria Math"/>
          <w:sz w:val="23"/>
          <w:szCs w:val="23"/>
          <w:rtl/>
        </w:rPr>
        <w:softHyphen/>
        <w:t>ی بین مصرف در دوره</w:t>
      </w:r>
      <w:r w:rsidRPr="00A309A0">
        <w:rPr>
          <w:rFonts w:ascii="Cambria Math" w:hAnsi="Cambria Math"/>
          <w:sz w:val="23"/>
          <w:szCs w:val="23"/>
          <w:rtl/>
        </w:rPr>
        <w:softHyphen/>
        <w:t>های مختلف است. به منظور بررسی رابطه</w:t>
      </w:r>
      <w:r w:rsidRPr="00A309A0">
        <w:rPr>
          <w:rFonts w:ascii="Cambria Math" w:hAnsi="Cambria Math"/>
          <w:sz w:val="23"/>
          <w:szCs w:val="23"/>
          <w:rtl/>
        </w:rPr>
        <w:softHyphen/>
        <w:t>ی بین مصرف در زمان</w:t>
      </w:r>
      <w:r w:rsidRPr="00A309A0">
        <w:rPr>
          <w:rFonts w:ascii="Cambria Math" w:hAnsi="Cambria Math"/>
          <w:sz w:val="23"/>
          <w:szCs w:val="23"/>
          <w:rtl/>
        </w:rPr>
        <w:softHyphen/>
        <w:t>های</w:t>
      </w:r>
      <w:r w:rsidRPr="00B92922">
        <w:rPr>
          <w:position w:val="-6"/>
        </w:rPr>
        <w:object w:dxaOrig="139" w:dyaOrig="240" w14:anchorId="6B1FAFF6">
          <v:shape id="_x0000_i1198" type="#_x0000_t75" style="width:6.65pt;height:12.1pt" o:ole="">
            <v:imagedata r:id="rId358" o:title=""/>
          </v:shape>
          <o:OLEObject Type="Embed" ProgID="Equation.DSMT4" ShapeID="_x0000_i1198" DrawAspect="Content" ObjectID="_1791375142" r:id="rId359"/>
        </w:object>
      </w:r>
      <w:r w:rsidRPr="00A309A0">
        <w:rPr>
          <w:rFonts w:ascii="Cambria Math" w:hAnsi="Cambria Math"/>
          <w:sz w:val="23"/>
          <w:szCs w:val="23"/>
          <w:rtl/>
        </w:rPr>
        <w:t xml:space="preserve"> و </w:t>
      </w:r>
      <w:r w:rsidRPr="00B92922">
        <w:rPr>
          <w:position w:val="-6"/>
        </w:rPr>
        <w:object w:dxaOrig="440" w:dyaOrig="260" w14:anchorId="39AE56B8">
          <v:shape id="_x0000_i1199" type="#_x0000_t75" style="width:22.4pt;height:12.7pt" o:ole="">
            <v:imagedata r:id="rId360" o:title=""/>
          </v:shape>
          <o:OLEObject Type="Embed" ProgID="Equation.DSMT4" ShapeID="_x0000_i1199" DrawAspect="Content" ObjectID="_1791375143" r:id="rId361"/>
        </w:object>
      </w:r>
      <w:r w:rsidRPr="00A309A0">
        <w:rPr>
          <w:rFonts w:ascii="Cambria Math" w:hAnsi="Cambria Math"/>
          <w:sz w:val="23"/>
          <w:szCs w:val="23"/>
          <w:rtl/>
        </w:rPr>
        <w:t xml:space="preserve"> و یا </w:t>
      </w:r>
      <w:r w:rsidRPr="00B92922">
        <w:rPr>
          <w:position w:val="-10"/>
        </w:rPr>
        <w:object w:dxaOrig="200" w:dyaOrig="320" w14:anchorId="7041AF7A">
          <v:shape id="_x0000_i1200" type="#_x0000_t75" style="width:10.3pt;height:15.75pt" o:ole="">
            <v:imagedata r:id="rId362" o:title=""/>
          </v:shape>
          <o:OLEObject Type="Embed" ProgID="Equation.DSMT4" ShapeID="_x0000_i1200" DrawAspect="Content" ObjectID="_1791375144" r:id="rId363"/>
        </w:object>
      </w:r>
      <w:r w:rsidRPr="00A309A0">
        <w:rPr>
          <w:rFonts w:ascii="Cambria Math" w:hAnsi="Cambria Math"/>
          <w:sz w:val="23"/>
          <w:szCs w:val="23"/>
          <w:rtl/>
        </w:rPr>
        <w:t xml:space="preserve"> و </w:t>
      </w:r>
      <w:r w:rsidRPr="00B92922">
        <w:rPr>
          <w:position w:val="-10"/>
        </w:rPr>
        <w:object w:dxaOrig="340" w:dyaOrig="320" w14:anchorId="22F5C4F9">
          <v:shape id="_x0000_i1201" type="#_x0000_t75" style="width:16.95pt;height:15.75pt" o:ole="">
            <v:imagedata r:id="rId364" o:title=""/>
          </v:shape>
          <o:OLEObject Type="Embed" ProgID="Equation.DSMT4" ShapeID="_x0000_i1201" DrawAspect="Content" ObjectID="_1791375145" r:id="rId365"/>
        </w:object>
      </w:r>
      <w:r w:rsidRPr="00A309A0">
        <w:rPr>
          <w:rFonts w:ascii="Cambria Math" w:eastAsiaTheme="minorEastAsia" w:hAnsi="Cambria Math"/>
          <w:sz w:val="23"/>
          <w:szCs w:val="23"/>
          <w:rtl/>
        </w:rPr>
        <w:t xml:space="preserve"> کافی است </w:t>
      </w:r>
      <w:r w:rsidRPr="00A309A0">
        <w:rPr>
          <w:rFonts w:ascii="Cambria Math" w:hAnsi="Cambria Math"/>
          <w:sz w:val="23"/>
          <w:szCs w:val="23"/>
          <w:rtl/>
        </w:rPr>
        <w:t>مرز امکانات تولید دو دوره</w:t>
      </w:r>
      <w:r w:rsidRPr="00A309A0">
        <w:rPr>
          <w:rFonts w:ascii="Cambria Math" w:hAnsi="Cambria Math"/>
          <w:sz w:val="23"/>
          <w:szCs w:val="23"/>
          <w:rtl/>
        </w:rPr>
        <w:softHyphen/>
        <w:t xml:space="preserve">ای را </w:t>
      </w:r>
      <w:r w:rsidRPr="00A309A0">
        <w:rPr>
          <w:rFonts w:ascii="Cambria Math" w:hAnsi="Cambria Math" w:hint="cs"/>
          <w:sz w:val="23"/>
          <w:szCs w:val="23"/>
          <w:rtl/>
        </w:rPr>
        <w:t xml:space="preserve">با </w:t>
      </w:r>
      <w:r w:rsidRPr="00A309A0">
        <w:rPr>
          <w:rFonts w:ascii="Cambria Math" w:hAnsi="Cambria Math"/>
          <w:sz w:val="23"/>
          <w:szCs w:val="23"/>
          <w:rtl/>
        </w:rPr>
        <w:t xml:space="preserve">ترکیب قید منابع اقتصاد </w:t>
      </w:r>
      <w:r w:rsidRPr="00A309A0">
        <w:rPr>
          <w:rFonts w:ascii="Cambria Math" w:hAnsi="Cambria Math" w:hint="cs"/>
          <w:sz w:val="23"/>
          <w:szCs w:val="23"/>
          <w:rtl/>
        </w:rPr>
        <w:t>در</w:t>
      </w:r>
      <w:r w:rsidRPr="00B92922">
        <w:rPr>
          <w:position w:val="-8"/>
        </w:rPr>
        <w:object w:dxaOrig="680" w:dyaOrig="279" w14:anchorId="49923C6E">
          <v:shape id="_x0000_i1202" type="#_x0000_t75" style="width:33.9pt;height:13.9pt" o:ole="">
            <v:imagedata r:id="rId366" o:title=""/>
          </v:shape>
          <o:OLEObject Type="Embed" ProgID="Equation.DSMT4" ShapeID="_x0000_i1202" DrawAspect="Content" ObjectID="_1791375146" r:id="rId367"/>
        </w:object>
      </w:r>
      <w:r w:rsidRPr="00A309A0">
        <w:rPr>
          <w:rFonts w:ascii="Cambria Math" w:eastAsiaTheme="minorEastAsia" w:hAnsi="Cambria Math"/>
          <w:sz w:val="23"/>
          <w:szCs w:val="23"/>
          <w:rtl/>
        </w:rPr>
        <w:t xml:space="preserve"> م</w:t>
      </w:r>
      <w:r w:rsidRPr="00A309A0">
        <w:rPr>
          <w:rFonts w:ascii="Cambria Math" w:hAnsi="Cambria Math"/>
          <w:sz w:val="23"/>
          <w:szCs w:val="23"/>
          <w:rtl/>
        </w:rPr>
        <w:t xml:space="preserve">ورد بررسی قرار دهیم. از قید منبع </w:t>
      </w:r>
      <w:r w:rsidRPr="00A309A0">
        <w:rPr>
          <w:rFonts w:ascii="Cambria Math" w:hAnsi="Cambria Math" w:hint="cs"/>
          <w:sz w:val="23"/>
          <w:szCs w:val="23"/>
          <w:rtl/>
        </w:rPr>
        <w:t>(۲. ۴)</w:t>
      </w:r>
      <w:r w:rsidRPr="00A309A0">
        <w:rPr>
          <w:rFonts w:ascii="Cambria Math" w:hAnsi="Cambria Math"/>
          <w:sz w:val="23"/>
          <w:szCs w:val="23"/>
          <w:rtl/>
        </w:rPr>
        <w:t xml:space="preserve"> داریم</w:t>
      </w:r>
    </w:p>
    <w:p w14:paraId="47E94B50" w14:textId="77777777" w:rsidR="00411620" w:rsidRPr="00A309A0" w:rsidRDefault="00411620" w:rsidP="00411620">
      <w:pPr>
        <w:pStyle w:val="MTDisplayEquation"/>
        <w:spacing w:line="216" w:lineRule="auto"/>
        <w:rPr>
          <w:rFonts w:ascii="Cambria Math" w:eastAsiaTheme="minorEastAsia" w:hAnsi="Cambria Math" w:cs="B Nazanin"/>
          <w:sz w:val="23"/>
          <w:szCs w:val="23"/>
        </w:rPr>
      </w:pPr>
      <w:r w:rsidRPr="00B92922">
        <w:rPr>
          <w:position w:val="-12"/>
        </w:rPr>
        <w:object w:dxaOrig="6520" w:dyaOrig="360" w14:anchorId="0A2515BD">
          <v:shape id="_x0000_i1203" type="#_x0000_t75" style="width:326.1pt;height:18.15pt" o:ole="">
            <v:imagedata r:id="rId368" o:title=""/>
          </v:shape>
          <o:OLEObject Type="Embed" ProgID="Equation.DSMT4" ShapeID="_x0000_i1203" DrawAspect="Content" ObjectID="_1791375147" r:id="rId369"/>
        </w:object>
      </w:r>
      <w:r w:rsidRPr="00B92922">
        <w:rPr>
          <w:position w:val="-12"/>
        </w:rPr>
        <w:object w:dxaOrig="3680" w:dyaOrig="360" w14:anchorId="4BBFBBF7">
          <v:shape id="_x0000_i1204" type="#_x0000_t75" style="width:183.95pt;height:18.15pt" o:ole="">
            <v:imagedata r:id="rId370" o:title=""/>
          </v:shape>
          <o:OLEObject Type="Embed" ProgID="Equation.DSMT4" ShapeID="_x0000_i1204" DrawAspect="Content" ObjectID="_1791375148" r:id="rId371"/>
        </w:object>
      </w:r>
    </w:p>
    <w:p w14:paraId="5BFB29AE" w14:textId="77777777" w:rsidR="00411620" w:rsidRPr="00A309A0" w:rsidRDefault="00411620" w:rsidP="00411620">
      <w:pPr>
        <w:spacing w:line="216" w:lineRule="auto"/>
        <w:rPr>
          <w:rFonts w:ascii="Cambria Math" w:eastAsiaTheme="minorEastAsia" w:hAnsi="Cambria Math"/>
          <w:sz w:val="23"/>
          <w:szCs w:val="23"/>
          <w:rtl/>
          <w:lang w:val="en-GB"/>
        </w:rPr>
      </w:pPr>
      <w:r w:rsidRPr="00A309A0">
        <w:rPr>
          <w:rFonts w:ascii="Cambria Math" w:hAnsi="Cambria Math"/>
          <w:sz w:val="23"/>
          <w:szCs w:val="23"/>
          <w:rtl/>
        </w:rPr>
        <w:t>چنا</w:t>
      </w:r>
      <w:r w:rsidRPr="00A309A0">
        <w:rPr>
          <w:rFonts w:ascii="Cambria Math" w:hAnsi="Cambria Math" w:hint="cs"/>
          <w:sz w:val="23"/>
          <w:szCs w:val="23"/>
          <w:rtl/>
        </w:rPr>
        <w:t>ن</w:t>
      </w:r>
      <w:r w:rsidRPr="00A309A0">
        <w:rPr>
          <w:rFonts w:ascii="Cambria Math" w:hAnsi="Cambria Math"/>
          <w:sz w:val="23"/>
          <w:szCs w:val="23"/>
          <w:rtl/>
        </w:rPr>
        <w:t xml:space="preserve">چه </w:t>
      </w:r>
      <w:r w:rsidRPr="00A309A0">
        <w:rPr>
          <w:rFonts w:ascii="Cambria Math" w:hAnsi="Cambria Math" w:hint="cs"/>
          <w:sz w:val="23"/>
          <w:szCs w:val="23"/>
          <w:rtl/>
        </w:rPr>
        <w:t>در رابطه</w:t>
      </w:r>
      <w:r w:rsidRPr="00A309A0">
        <w:rPr>
          <w:rFonts w:ascii="Cambria Math" w:hAnsi="Cambria Math"/>
          <w:sz w:val="23"/>
          <w:szCs w:val="23"/>
          <w:rtl/>
        </w:rPr>
        <w:softHyphen/>
      </w:r>
      <w:r w:rsidRPr="00A309A0">
        <w:rPr>
          <w:rFonts w:ascii="Cambria Math" w:hAnsi="Cambria Math" w:hint="cs"/>
          <w:sz w:val="23"/>
          <w:szCs w:val="23"/>
          <w:rtl/>
        </w:rPr>
        <w:t xml:space="preserve">ی فوق </w:t>
      </w:r>
      <w:r w:rsidRPr="00A309A0">
        <w:rPr>
          <w:rFonts w:ascii="Cambria Math" w:hAnsi="Cambria Math"/>
          <w:sz w:val="23"/>
          <w:szCs w:val="23"/>
          <w:rtl/>
        </w:rPr>
        <w:t>ب</w:t>
      </w:r>
      <w:r w:rsidRPr="00A309A0">
        <w:rPr>
          <w:rFonts w:ascii="Cambria Math" w:hAnsi="Cambria Math" w:hint="cs"/>
          <w:sz w:val="23"/>
          <w:szCs w:val="23"/>
          <w:rtl/>
        </w:rPr>
        <w:t>ه</w:t>
      </w:r>
      <w:r w:rsidRPr="00A309A0">
        <w:rPr>
          <w:rFonts w:ascii="Cambria Math" w:hAnsi="Cambria Math"/>
          <w:sz w:val="23"/>
          <w:szCs w:val="23"/>
          <w:rtl/>
        </w:rPr>
        <w:softHyphen/>
        <w:t>جای</w:t>
      </w:r>
      <w:r w:rsidRPr="00B92922">
        <w:rPr>
          <w:position w:val="-10"/>
        </w:rPr>
        <w:object w:dxaOrig="360" w:dyaOrig="320" w14:anchorId="159AD770">
          <v:shape id="_x0000_i1205" type="#_x0000_t75" style="width:18.15pt;height:15.75pt" o:ole="">
            <v:imagedata r:id="rId372" o:title=""/>
          </v:shape>
          <o:OLEObject Type="Embed" ProgID="Equation.DSMT4" ShapeID="_x0000_i1205" DrawAspect="Content" ObjectID="_1791375149" r:id="rId373"/>
        </w:object>
      </w:r>
      <w:r w:rsidRPr="00A309A0">
        <w:rPr>
          <w:rFonts w:ascii="Cambria Math" w:hAnsi="Cambria Math" w:hint="cs"/>
          <w:sz w:val="23"/>
          <w:szCs w:val="23"/>
          <w:rtl/>
        </w:rPr>
        <w:t xml:space="preserve"> </w:t>
      </w:r>
      <w:r w:rsidRPr="00A309A0">
        <w:rPr>
          <w:rFonts w:ascii="Cambria Math" w:eastAsiaTheme="minorEastAsia" w:hAnsi="Cambria Math"/>
          <w:sz w:val="23"/>
          <w:szCs w:val="23"/>
          <w:rtl/>
        </w:rPr>
        <w:t>مقدار متناظر آن</w:t>
      </w:r>
      <w:r w:rsidRPr="00A309A0">
        <w:rPr>
          <w:rFonts w:ascii="Cambria Math" w:eastAsiaTheme="minorEastAsia" w:hAnsi="Cambria Math"/>
          <w:sz w:val="23"/>
          <w:szCs w:val="23"/>
          <w:rtl/>
        </w:rPr>
        <w:softHyphen/>
        <w:t>را از دوره</w:t>
      </w:r>
      <w:r w:rsidRPr="00A309A0">
        <w:rPr>
          <w:rFonts w:ascii="Cambria Math" w:eastAsiaTheme="minorEastAsia" w:hAnsi="Cambria Math"/>
          <w:sz w:val="23"/>
          <w:szCs w:val="23"/>
          <w:rtl/>
        </w:rPr>
        <w:softHyphen/>
        <w:t>ی</w:t>
      </w:r>
      <w:r w:rsidRPr="00B92922">
        <w:rPr>
          <w:position w:val="-6"/>
        </w:rPr>
        <w:object w:dxaOrig="499" w:dyaOrig="260" w14:anchorId="70479BF5">
          <v:shape id="_x0000_i1206" type="#_x0000_t75" style="width:24.8pt;height:12.7pt" o:ole="">
            <v:imagedata r:id="rId374" o:title=""/>
          </v:shape>
          <o:OLEObject Type="Embed" ProgID="Equation.DSMT4" ShapeID="_x0000_i1206" DrawAspect="Content" ObjectID="_1791375150" r:id="rId375"/>
        </w:object>
      </w:r>
      <w:r w:rsidRPr="00A309A0">
        <w:rPr>
          <w:rFonts w:ascii="Cambria Math" w:eastAsiaTheme="minorEastAsia" w:hAnsi="Cambria Math"/>
          <w:sz w:val="23"/>
          <w:szCs w:val="23"/>
          <w:rtl/>
          <w:lang w:val="en-GB"/>
        </w:rPr>
        <w:t xml:space="preserve"> جایگزین کنیم خواهیم داشت؛</w:t>
      </w:r>
    </w:p>
    <w:p w14:paraId="4D7AEE73" w14:textId="77777777" w:rsidR="00411620" w:rsidRPr="00A309A0" w:rsidRDefault="00411620" w:rsidP="00411620">
      <w:pPr>
        <w:pStyle w:val="MTDisplayEquation"/>
        <w:tabs>
          <w:tab w:val="clear" w:pos="6660"/>
        </w:tabs>
        <w:spacing w:line="216" w:lineRule="auto"/>
        <w:rPr>
          <w:rFonts w:ascii="Cambria Math" w:hAnsi="Cambria Math" w:cs="B Nazanin"/>
          <w:sz w:val="23"/>
          <w:szCs w:val="23"/>
          <w:rtl/>
        </w:rPr>
      </w:pPr>
      <w:r w:rsidRPr="00B92922">
        <w:rPr>
          <w:position w:val="-14"/>
        </w:rPr>
        <w:object w:dxaOrig="6160" w:dyaOrig="380" w14:anchorId="0636EFA8">
          <v:shape id="_x0000_i1207" type="#_x0000_t75" style="width:307.95pt;height:19.35pt" o:ole="">
            <v:imagedata r:id="rId376" o:title=""/>
          </v:shape>
          <o:OLEObject Type="Embed" ProgID="Equation.DSMT4" ShapeID="_x0000_i1207" DrawAspect="Content" ObjectID="_1791375151" r:id="rId377"/>
        </w:object>
      </w:r>
      <w:r w:rsidRPr="00A309A0">
        <w:rPr>
          <w:rFonts w:ascii="Cambria Math" w:hAnsi="Cambria Math" w:cs="B Nazanin"/>
          <w:sz w:val="23"/>
          <w:szCs w:val="23"/>
        </w:rPr>
        <w:tab/>
      </w:r>
      <w:r w:rsidRPr="00A309A0">
        <w:rPr>
          <w:rFonts w:ascii="Cambria Math" w:hAnsi="Cambria Math" w:cs="B Nazanin" w:hint="cs"/>
          <w:sz w:val="23"/>
          <w:szCs w:val="23"/>
          <w:rtl/>
        </w:rPr>
        <w:t>(۲. ۱۵)</w:t>
      </w:r>
      <w:r w:rsidRPr="00A309A0">
        <w:rPr>
          <w:rFonts w:ascii="Cambria Math" w:hAnsi="Cambria Math" w:cs="B Nazanin" w:hint="cs"/>
          <w:sz w:val="23"/>
          <w:szCs w:val="23"/>
        </w:rPr>
        <w:t xml:space="preserve"> </w:t>
      </w:r>
    </w:p>
    <w:p w14:paraId="001A7D62" w14:textId="77777777" w:rsidR="00411620" w:rsidRPr="00A309A0" w:rsidRDefault="00411620" w:rsidP="00411620">
      <w:pPr>
        <w:pStyle w:val="MTDisplayEquation"/>
        <w:tabs>
          <w:tab w:val="clear" w:pos="6660"/>
          <w:tab w:val="right" w:pos="6804"/>
        </w:tabs>
        <w:spacing w:line="216" w:lineRule="auto"/>
        <w:rPr>
          <w:rFonts w:ascii="Cambria Math" w:hAnsi="Cambria Math" w:cs="B Nazanin"/>
          <w:sz w:val="23"/>
          <w:szCs w:val="23"/>
          <w:rtl/>
          <w:lang w:bidi="fa-IR"/>
        </w:rPr>
      </w:pPr>
      <w:r w:rsidRPr="00A309A0">
        <w:rPr>
          <w:rFonts w:ascii="Cambria Math" w:hAnsi="Cambria Math" w:cs="B Nazanin"/>
          <w:sz w:val="23"/>
          <w:szCs w:val="23"/>
          <w:rtl/>
        </w:rPr>
        <w:tab/>
      </w:r>
      <w:r w:rsidRPr="00A309A0">
        <w:rPr>
          <w:rFonts w:ascii="Cambria Math" w:hAnsi="Cambria Math" w:cs="B Nazanin" w:hint="cs"/>
          <w:sz w:val="23"/>
          <w:szCs w:val="23"/>
          <w:rtl/>
        </w:rPr>
        <w:t xml:space="preserve"> </w:t>
      </w:r>
      <w:r w:rsidRPr="00A309A0">
        <w:rPr>
          <w:rFonts w:ascii="Cambria Math" w:hAnsi="Cambria Math" w:cs="B Nazanin"/>
          <w:sz w:val="23"/>
          <w:szCs w:val="23"/>
          <w:rtl/>
        </w:rPr>
        <w:tab/>
      </w:r>
      <w:r w:rsidRPr="00A309A0">
        <w:rPr>
          <w:rFonts w:ascii="Cambria Math" w:hAnsi="Cambria Math" w:cs="B Nazanin"/>
          <w:sz w:val="23"/>
          <w:szCs w:val="23"/>
          <w:rtl/>
          <w:lang w:bidi="fa-IR"/>
        </w:rPr>
        <w:t xml:space="preserve">از طرفی چون </w:t>
      </w:r>
    </w:p>
    <w:p w14:paraId="1348D6A5" w14:textId="77777777" w:rsidR="00411620" w:rsidRDefault="00411620" w:rsidP="00411620">
      <w:pPr>
        <w:pStyle w:val="MTDisplayEquation"/>
        <w:tabs>
          <w:tab w:val="clear" w:pos="6660"/>
        </w:tabs>
        <w:spacing w:line="216" w:lineRule="auto"/>
        <w:rPr>
          <w:rFonts w:ascii="Cambria Math" w:hAnsi="Cambria Math" w:cs="B Nazanin"/>
          <w:sz w:val="23"/>
          <w:szCs w:val="23"/>
          <w:rtl/>
        </w:rPr>
      </w:pPr>
      <w:r w:rsidRPr="00D20460">
        <w:rPr>
          <w:position w:val="-60"/>
        </w:rPr>
        <w:object w:dxaOrig="2560" w:dyaOrig="1300" w14:anchorId="0494B802">
          <v:shape id="_x0000_i1208" type="#_x0000_t75" style="width:128.25pt;height:55.05pt" o:ole="">
            <v:imagedata r:id="rId378" o:title=""/>
          </v:shape>
          <o:OLEObject Type="Embed" ProgID="Equation.DSMT4" ShapeID="_x0000_i1208" DrawAspect="Content" ObjectID="_1791375152" r:id="rId379"/>
        </w:object>
      </w:r>
      <w:r w:rsidRPr="00A309A0">
        <w:rPr>
          <w:rFonts w:ascii="Cambria Math" w:hAnsi="Cambria Math" w:cs="B Nazanin" w:hint="cs"/>
          <w:sz w:val="23"/>
          <w:szCs w:val="23"/>
        </w:rPr>
        <w:t xml:space="preserve"> </w:t>
      </w:r>
      <w:r w:rsidRPr="00A309A0">
        <w:rPr>
          <w:rFonts w:ascii="Cambria Math" w:hAnsi="Cambria Math" w:cs="B Nazanin"/>
          <w:sz w:val="23"/>
          <w:szCs w:val="23"/>
          <w:rtl/>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hint="cs"/>
          <w:sz w:val="23"/>
          <w:szCs w:val="23"/>
          <w:rtl/>
        </w:rPr>
        <w:t>(۲. ۱۶)</w:t>
      </w:r>
      <w:r w:rsidRPr="00A309A0">
        <w:rPr>
          <w:rFonts w:ascii="Cambria Math" w:hAnsi="Cambria Math" w:cs="B Nazanin" w:hint="cs"/>
          <w:sz w:val="23"/>
          <w:szCs w:val="23"/>
        </w:rPr>
        <w:t xml:space="preserve"> </w:t>
      </w:r>
    </w:p>
    <w:p w14:paraId="6C5F3AB4" w14:textId="77777777" w:rsidR="00411620" w:rsidRPr="00A309A0" w:rsidRDefault="00411620" w:rsidP="00411620">
      <w:pPr>
        <w:spacing w:line="216" w:lineRule="auto"/>
        <w:jc w:val="center"/>
        <w:rPr>
          <w:rFonts w:ascii="Cambria Math" w:hAnsi="Cambria Math"/>
          <w:sz w:val="23"/>
          <w:szCs w:val="23"/>
          <w:rtl/>
        </w:rPr>
      </w:pPr>
      <w:r w:rsidRPr="00A309A0">
        <w:rPr>
          <w:rFonts w:ascii="Cambria Math" w:hAnsi="Cambria Math" w:hint="cs"/>
          <w:sz w:val="23"/>
          <w:szCs w:val="23"/>
          <w:rtl/>
        </w:rPr>
        <w:t>نمودار</w:t>
      </w:r>
      <w:r w:rsidRPr="00A309A0">
        <w:rPr>
          <w:rFonts w:ascii="Cambria Math" w:hAnsi="Cambria Math"/>
          <w:sz w:val="23"/>
          <w:szCs w:val="23"/>
          <w:rtl/>
        </w:rPr>
        <w:t xml:space="preserve"> </w:t>
      </w:r>
      <w:r w:rsidRPr="00A309A0">
        <w:rPr>
          <w:rFonts w:ascii="Cambria Math" w:hAnsi="Cambria Math" w:hint="cs"/>
          <w:sz w:val="23"/>
          <w:szCs w:val="23"/>
          <w:rtl/>
        </w:rPr>
        <w:t>۲. ۴</w:t>
      </w:r>
    </w:p>
    <w:p w14:paraId="1C5BED88" w14:textId="77777777" w:rsidR="00411620" w:rsidRPr="00A309A0" w:rsidRDefault="00411620" w:rsidP="00411620">
      <w:pPr>
        <w:spacing w:line="216" w:lineRule="auto"/>
        <w:jc w:val="center"/>
        <w:rPr>
          <w:rFonts w:ascii="Cambria Math" w:hAnsi="Cambria Math"/>
          <w:sz w:val="23"/>
          <w:szCs w:val="23"/>
        </w:rPr>
      </w:pPr>
      <w:r w:rsidRPr="00A309A0">
        <w:rPr>
          <w:rFonts w:ascii="Cambria Math" w:hAnsi="Cambria Math"/>
          <w:noProof/>
          <w:sz w:val="23"/>
          <w:szCs w:val="23"/>
          <w:u w:val="single"/>
          <w:rtl/>
          <w:lang w:bidi="ar-SA"/>
        </w:rPr>
        <w:drawing>
          <wp:inline distT="0" distB="0" distL="0" distR="0" wp14:anchorId="7647161E" wp14:editId="20287323">
            <wp:extent cx="3653790" cy="2253600"/>
            <wp:effectExtent l="38100" t="38100" r="41910" b="330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0" cstate="print">
                      <a:lum contrast="20000"/>
                      <a:extLst>
                        <a:ext uri="{28A0092B-C50C-407E-A947-70E740481C1C}">
                          <a14:useLocalDpi xmlns:a14="http://schemas.microsoft.com/office/drawing/2010/main" val="0"/>
                        </a:ext>
                      </a:extLst>
                    </a:blip>
                    <a:srcRect/>
                    <a:stretch>
                      <a:fillRect/>
                    </a:stretch>
                  </pic:blipFill>
                  <pic:spPr bwMode="auto">
                    <a:xfrm>
                      <a:off x="0" y="0"/>
                      <a:ext cx="3689970" cy="2275915"/>
                    </a:xfrm>
                    <a:prstGeom prst="rect">
                      <a:avLst/>
                    </a:prstGeom>
                    <a:ln w="28575">
                      <a:solidFill>
                        <a:schemeClr val="tx1"/>
                      </a:solidFill>
                    </a:ln>
                  </pic:spPr>
                </pic:pic>
              </a:graphicData>
            </a:graphic>
          </wp:inline>
        </w:drawing>
      </w:r>
    </w:p>
    <w:p w14:paraId="0DB433E1" w14:textId="77777777" w:rsidR="00411620" w:rsidRDefault="00411620" w:rsidP="00411620">
      <w:pPr>
        <w:spacing w:line="216" w:lineRule="auto"/>
        <w:rPr>
          <w:rFonts w:ascii="Cambria Math" w:hAnsi="Cambria Math"/>
          <w:sz w:val="23"/>
          <w:szCs w:val="23"/>
        </w:rPr>
      </w:pPr>
      <w:r w:rsidRPr="00A309A0">
        <w:rPr>
          <w:rFonts w:ascii="Cambria Math" w:hAnsi="Cambria Math"/>
          <w:sz w:val="23"/>
          <w:szCs w:val="23"/>
          <w:rtl/>
        </w:rPr>
        <w:t>بنابراین تابع مرز امکانات تولید دودوره</w:t>
      </w:r>
      <w:r w:rsidRPr="00A309A0">
        <w:rPr>
          <w:rFonts w:ascii="Cambria Math" w:hAnsi="Cambria Math"/>
          <w:sz w:val="23"/>
          <w:szCs w:val="23"/>
          <w:rtl/>
        </w:rPr>
        <w:softHyphen/>
        <w:t xml:space="preserve">ای </w:t>
      </w:r>
      <w:r w:rsidRPr="00A309A0">
        <w:rPr>
          <w:rFonts w:ascii="Cambria Math" w:hAnsi="Cambria Math" w:hint="cs"/>
          <w:sz w:val="23"/>
          <w:szCs w:val="23"/>
          <w:rtl/>
        </w:rPr>
        <w:t>(۲. ۱۵)</w:t>
      </w:r>
      <w:r w:rsidRPr="00A309A0">
        <w:rPr>
          <w:rFonts w:ascii="Cambria Math" w:hAnsi="Cambria Math"/>
          <w:sz w:val="23"/>
          <w:szCs w:val="23"/>
          <w:rtl/>
        </w:rPr>
        <w:t xml:space="preserve"> مقعر است و شیب مماس بر آن برابر است با </w:t>
      </w:r>
      <w:r w:rsidRPr="00B92922">
        <w:rPr>
          <w:position w:val="-14"/>
        </w:rPr>
        <w:object w:dxaOrig="1760" w:dyaOrig="380" w14:anchorId="5863CC23">
          <v:shape id="_x0000_i1209" type="#_x0000_t75" style="width:88.35pt;height:19.35pt" o:ole="">
            <v:imagedata r:id="rId381" o:title=""/>
          </v:shape>
          <o:OLEObject Type="Embed" ProgID="Equation.DSMT4" ShapeID="_x0000_i1209" DrawAspect="Content" ObjectID="_1791375153" r:id="rId382"/>
        </w:object>
      </w:r>
      <w:r w:rsidRPr="00A309A0">
        <w:rPr>
          <w:rFonts w:ascii="Cambria Math" w:eastAsiaTheme="minorEastAsia" w:hAnsi="Cambria Math"/>
          <w:sz w:val="23"/>
          <w:szCs w:val="23"/>
          <w:rtl/>
        </w:rPr>
        <w:t xml:space="preserve"> .</w:t>
      </w:r>
      <w:r w:rsidRPr="00A309A0">
        <w:rPr>
          <w:rFonts w:ascii="Cambria Math" w:hAnsi="Cambria Math"/>
          <w:sz w:val="23"/>
          <w:szCs w:val="23"/>
          <w:rtl/>
        </w:rPr>
        <w:t xml:space="preserve"> این شیب منطبق است با شیب منحنی بی</w:t>
      </w:r>
      <w:r w:rsidRPr="00A309A0">
        <w:rPr>
          <w:rFonts w:ascii="Cambria Math" w:hAnsi="Cambria Math"/>
          <w:sz w:val="23"/>
          <w:szCs w:val="23"/>
          <w:rtl/>
        </w:rPr>
        <w:softHyphen/>
        <w:t>تفاوتی</w:t>
      </w:r>
      <w:r w:rsidRPr="00A309A0">
        <w:rPr>
          <w:rStyle w:val="FootnoteReference"/>
          <w:rFonts w:ascii="Cambria Math" w:eastAsiaTheme="majorEastAsia" w:hAnsi="Cambria Math"/>
          <w:sz w:val="23"/>
          <w:szCs w:val="23"/>
          <w:rtl/>
        </w:rPr>
        <w:footnoteReference w:id="69"/>
      </w:r>
      <w:r w:rsidRPr="00A309A0">
        <w:rPr>
          <w:rFonts w:ascii="Cambria Math" w:hAnsi="Cambria Math"/>
          <w:sz w:val="23"/>
          <w:szCs w:val="23"/>
          <w:rtl/>
        </w:rPr>
        <w:t xml:space="preserve"> در جایی که </w:t>
      </w:r>
      <w:r>
        <w:rPr>
          <w:rFonts w:ascii="Cambria Math" w:hAnsi="Cambria Math"/>
          <w:sz w:val="23"/>
          <w:szCs w:val="23"/>
        </w:rPr>
        <w:t xml:space="preserve"> </w:t>
      </w:r>
      <w:r w:rsidRPr="00A309A0">
        <w:rPr>
          <w:rFonts w:ascii="Cambria Math" w:hAnsi="Cambria Math"/>
          <w:sz w:val="23"/>
          <w:szCs w:val="23"/>
          <w:rtl/>
        </w:rPr>
        <w:t>منحنی</w:t>
      </w:r>
    </w:p>
    <w:p w14:paraId="5536FE6D" w14:textId="77777777" w:rsidR="00411620" w:rsidRPr="00A309A0" w:rsidRDefault="00411620" w:rsidP="00411620">
      <w:pPr>
        <w:spacing w:line="216" w:lineRule="auto"/>
        <w:rPr>
          <w:rFonts w:ascii="Cambria Math" w:hAnsi="Cambria Math"/>
          <w:sz w:val="23"/>
          <w:szCs w:val="23"/>
        </w:rPr>
      </w:pPr>
      <w:r w:rsidRPr="00A309A0">
        <w:rPr>
          <w:rFonts w:ascii="Cambria Math" w:hAnsi="Cambria Math"/>
          <w:sz w:val="23"/>
          <w:szCs w:val="23"/>
          <w:rtl/>
        </w:rPr>
        <w:t xml:space="preserve">با قید منبع </w:t>
      </w:r>
      <w:r w:rsidRPr="00A309A0">
        <w:rPr>
          <w:rFonts w:ascii="Cambria Math" w:hAnsi="Cambria Math" w:hint="cs"/>
          <w:sz w:val="23"/>
          <w:szCs w:val="23"/>
          <w:rtl/>
        </w:rPr>
        <w:t xml:space="preserve">اقتصاد </w:t>
      </w:r>
      <w:r w:rsidRPr="00A309A0">
        <w:rPr>
          <w:rFonts w:ascii="Cambria Math" w:hAnsi="Cambria Math"/>
          <w:sz w:val="23"/>
          <w:szCs w:val="23"/>
          <w:rtl/>
        </w:rPr>
        <w:t>مماس می</w:t>
      </w:r>
      <w:r w:rsidRPr="00A309A0">
        <w:rPr>
          <w:rFonts w:ascii="Cambria Math" w:hAnsi="Cambria Math"/>
          <w:sz w:val="23"/>
          <w:szCs w:val="23"/>
          <w:rtl/>
        </w:rPr>
        <w:softHyphen/>
        <w:t>شود. از این رو، مرز امکانات تولید بر منحنی بی</w:t>
      </w:r>
      <w:r w:rsidRPr="00A309A0">
        <w:rPr>
          <w:rFonts w:ascii="Cambria Math" w:hAnsi="Cambria Math"/>
          <w:sz w:val="23"/>
          <w:szCs w:val="23"/>
          <w:rtl/>
        </w:rPr>
        <w:softHyphen/>
        <w:t xml:space="preserve">تفاوتی در این نقطه مماس می‌شود. </w:t>
      </w:r>
    </w:p>
    <w:p w14:paraId="39CB8493" w14:textId="77777777" w:rsidR="00411620" w:rsidRPr="00A309A0" w:rsidRDefault="00411620" w:rsidP="00411620">
      <w:pPr>
        <w:spacing w:line="216" w:lineRule="auto"/>
        <w:rPr>
          <w:rFonts w:ascii="Cambria Math" w:hAnsi="Cambria Math"/>
          <w:sz w:val="23"/>
          <w:szCs w:val="23"/>
        </w:rPr>
      </w:pPr>
      <w:r w:rsidRPr="00A309A0">
        <w:rPr>
          <w:rFonts w:ascii="Cambria Math" w:hAnsi="Cambria Math"/>
          <w:sz w:val="23"/>
          <w:szCs w:val="23"/>
          <w:rtl/>
        </w:rPr>
        <w:t>راه حل مسئله</w:t>
      </w:r>
      <w:r w:rsidRPr="00A309A0">
        <w:rPr>
          <w:rFonts w:ascii="Cambria Math" w:hAnsi="Cambria Math"/>
          <w:sz w:val="23"/>
          <w:szCs w:val="23"/>
          <w:rtl/>
        </w:rPr>
        <w:softHyphen/>
        <w:t>ی دو دوره</w:t>
      </w:r>
      <w:r w:rsidRPr="00A309A0">
        <w:rPr>
          <w:rFonts w:ascii="Cambria Math" w:hAnsi="Cambria Math"/>
          <w:sz w:val="23"/>
          <w:szCs w:val="23"/>
          <w:rtl/>
        </w:rPr>
        <w:softHyphen/>
        <w:t xml:space="preserve">ای </w:t>
      </w:r>
      <w:r w:rsidRPr="00A309A0">
        <w:rPr>
          <w:rFonts w:ascii="Cambria Math" w:hAnsi="Cambria Math" w:hint="cs"/>
          <w:sz w:val="23"/>
          <w:szCs w:val="23"/>
          <w:rtl/>
        </w:rPr>
        <w:t xml:space="preserve">فوق </w:t>
      </w:r>
      <w:r w:rsidRPr="00A309A0">
        <w:rPr>
          <w:rFonts w:ascii="Cambria Math" w:hAnsi="Cambria Math"/>
          <w:sz w:val="23"/>
          <w:szCs w:val="23"/>
          <w:rtl/>
        </w:rPr>
        <w:t xml:space="preserve">در نمودار </w:t>
      </w:r>
      <w:r w:rsidRPr="00A309A0">
        <w:rPr>
          <w:rFonts w:ascii="Cambria Math" w:hAnsi="Cambria Math" w:hint="cs"/>
          <w:sz w:val="23"/>
          <w:szCs w:val="23"/>
          <w:rtl/>
        </w:rPr>
        <w:t>۲. ۴</w:t>
      </w:r>
      <w:r w:rsidRPr="00A309A0">
        <w:rPr>
          <w:rFonts w:ascii="Cambria Math" w:hAnsi="Cambria Math"/>
          <w:sz w:val="23"/>
          <w:szCs w:val="23"/>
          <w:rtl/>
        </w:rPr>
        <w:t xml:space="preserve"> نشان داده شده است. منحنی </w:t>
      </w:r>
      <w:r w:rsidRPr="00A309A0">
        <w:rPr>
          <w:rFonts w:ascii="Cambria Math" w:hAnsi="Cambria Math" w:hint="cs"/>
          <w:sz w:val="23"/>
          <w:szCs w:val="23"/>
          <w:rtl/>
        </w:rPr>
        <w:t>فوقانی</w:t>
      </w:r>
      <w:r w:rsidRPr="00A309A0">
        <w:rPr>
          <w:rFonts w:ascii="Cambria Math" w:hAnsi="Cambria Math"/>
          <w:sz w:val="23"/>
          <w:szCs w:val="23"/>
          <w:rtl/>
        </w:rPr>
        <w:t>، منحنی بی</w:t>
      </w:r>
      <w:r w:rsidRPr="00A309A0">
        <w:rPr>
          <w:rFonts w:ascii="Cambria Math" w:hAnsi="Cambria Math"/>
          <w:sz w:val="23"/>
          <w:szCs w:val="23"/>
          <w:rtl/>
        </w:rPr>
        <w:softHyphen/>
        <w:t xml:space="preserve">تفاوتی جایگزینی مصرف امروز با مصرف فردا است که در آن کارگزار نمونه مطلوبیت یکسانی را کسب کرده و </w:t>
      </w:r>
      <w:r w:rsidRPr="00B92922">
        <w:rPr>
          <w:position w:val="-10"/>
        </w:rPr>
        <w:object w:dxaOrig="240" w:dyaOrig="320" w14:anchorId="079B4963">
          <v:shape id="_x0000_i1210" type="#_x0000_t75" style="width:12.1pt;height:15.75pt" o:ole="">
            <v:imagedata r:id="rId383" o:title=""/>
          </v:shape>
          <o:OLEObject Type="Embed" ProgID="Equation.DSMT4" ShapeID="_x0000_i1210" DrawAspect="Content" ObjectID="_1791375154" r:id="rId384"/>
        </w:object>
      </w:r>
      <w:r w:rsidRPr="00A309A0">
        <w:rPr>
          <w:rFonts w:ascii="Cambria Math" w:hAnsi="Cambria Math"/>
          <w:sz w:val="23"/>
          <w:szCs w:val="23"/>
          <w:rtl/>
        </w:rPr>
        <w:t xml:space="preserve"> بدون تغییر باقی می‌ماند. حداکثر مطلوبیت حاصل از مصرف دو دوره در جایی است که این منحنی بر قید منبع اقتصاد مماس شود. منحنی پایین</w:t>
      </w:r>
      <w:r w:rsidRPr="00A309A0">
        <w:rPr>
          <w:rFonts w:ascii="Cambria Math" w:hAnsi="Cambria Math" w:hint="cs"/>
          <w:sz w:val="23"/>
          <w:szCs w:val="23"/>
          <w:rtl/>
        </w:rPr>
        <w:t>ی</w:t>
      </w:r>
      <w:r w:rsidRPr="00A309A0">
        <w:rPr>
          <w:rFonts w:ascii="Cambria Math" w:hAnsi="Cambria Math"/>
          <w:sz w:val="23"/>
          <w:szCs w:val="23"/>
          <w:rtl/>
        </w:rPr>
        <w:t xml:space="preserve"> نشان</w:t>
      </w:r>
      <w:r w:rsidRPr="00A309A0">
        <w:rPr>
          <w:rFonts w:ascii="Cambria Math" w:hAnsi="Cambria Math"/>
          <w:sz w:val="23"/>
          <w:szCs w:val="23"/>
          <w:rtl/>
        </w:rPr>
        <w:softHyphen/>
        <w:t>دهنده</w:t>
      </w:r>
      <w:r w:rsidRPr="00A309A0">
        <w:rPr>
          <w:rFonts w:ascii="Cambria Math" w:hAnsi="Cambria Math"/>
          <w:sz w:val="23"/>
          <w:szCs w:val="23"/>
          <w:rtl/>
        </w:rPr>
        <w:softHyphen/>
        <w:t>ی معاوضه بین مصرف امروز و مصرف فردا از نقطه نظر تولید است. به عبارت دیگر، این منحنی که مرز امکانات تولید بین</w:t>
      </w:r>
      <w:r w:rsidRPr="00A309A0">
        <w:rPr>
          <w:rFonts w:ascii="Cambria Math" w:hAnsi="Cambria Math"/>
          <w:sz w:val="23"/>
          <w:szCs w:val="23"/>
          <w:rtl/>
        </w:rPr>
        <w:softHyphen/>
        <w:t>دوره</w:t>
      </w:r>
      <w:r w:rsidRPr="00A309A0">
        <w:rPr>
          <w:rFonts w:ascii="Cambria Math" w:hAnsi="Cambria Math"/>
          <w:sz w:val="23"/>
          <w:szCs w:val="23"/>
          <w:rtl/>
        </w:rPr>
        <w:softHyphen/>
        <w:t>ای است با منحنی بی</w:t>
      </w:r>
      <w:r w:rsidRPr="00A309A0">
        <w:rPr>
          <w:rFonts w:ascii="Cambria Math" w:hAnsi="Cambria Math"/>
          <w:sz w:val="23"/>
          <w:szCs w:val="23"/>
          <w:rtl/>
        </w:rPr>
        <w:softHyphen/>
        <w:t>تفاوتی در نقطه</w:t>
      </w:r>
      <w:r w:rsidRPr="00A309A0">
        <w:rPr>
          <w:rFonts w:ascii="Cambria Math" w:hAnsi="Cambria Math"/>
          <w:sz w:val="23"/>
          <w:szCs w:val="23"/>
          <w:rtl/>
        </w:rPr>
        <w:softHyphen/>
        <w:t>ی تماس</w:t>
      </w:r>
      <w:r w:rsidRPr="00A309A0">
        <w:rPr>
          <w:rFonts w:ascii="Cambria Math" w:hAnsi="Cambria Math" w:hint="cs"/>
          <w:sz w:val="23"/>
          <w:szCs w:val="23"/>
          <w:rtl/>
        </w:rPr>
        <w:t>،</w:t>
      </w:r>
      <w:r w:rsidRPr="00A309A0">
        <w:rPr>
          <w:rFonts w:ascii="Cambria Math" w:hAnsi="Cambria Math"/>
          <w:sz w:val="23"/>
          <w:szCs w:val="23"/>
          <w:rtl/>
        </w:rPr>
        <w:t xml:space="preserve"> با قید بودجه</w:t>
      </w:r>
      <w:r w:rsidRPr="00A309A0">
        <w:rPr>
          <w:rFonts w:ascii="Cambria Math" w:hAnsi="Cambria Math"/>
          <w:sz w:val="23"/>
          <w:szCs w:val="23"/>
          <w:rtl/>
        </w:rPr>
        <w:softHyphen/>
        <w:t>ی</w:t>
      </w:r>
      <w:r w:rsidRPr="00A309A0">
        <w:rPr>
          <w:rFonts w:ascii="Cambria Math" w:hAnsi="Cambria Math"/>
          <w:sz w:val="23"/>
          <w:szCs w:val="23"/>
          <w:rtl/>
        </w:rPr>
        <w:softHyphen/>
        <w:t xml:space="preserve"> خانوار </w:t>
      </w:r>
      <w:r w:rsidRPr="00A309A0">
        <w:rPr>
          <w:rFonts w:ascii="Cambria Math" w:hAnsi="Cambria Math" w:hint="cs"/>
          <w:sz w:val="23"/>
          <w:szCs w:val="23"/>
          <w:rtl/>
        </w:rPr>
        <w:t xml:space="preserve">نیز </w:t>
      </w:r>
      <w:r w:rsidRPr="00A309A0">
        <w:rPr>
          <w:rFonts w:ascii="Cambria Math" w:hAnsi="Cambria Math"/>
          <w:sz w:val="23"/>
          <w:szCs w:val="23"/>
          <w:rtl/>
        </w:rPr>
        <w:t>مماس می‌شود. همان</w:t>
      </w:r>
      <w:r w:rsidRPr="00A309A0">
        <w:rPr>
          <w:rFonts w:ascii="Cambria Math" w:hAnsi="Cambria Math"/>
          <w:sz w:val="23"/>
          <w:szCs w:val="23"/>
          <w:rtl/>
        </w:rPr>
        <w:softHyphen/>
        <w:t xml:space="preserve">طور که قبلاً اشاره شد محل تماس دو منحنی و خط بودجه جایی است که معادلات تعادلی </w:t>
      </w:r>
      <w:r w:rsidRPr="00A309A0">
        <w:rPr>
          <w:rFonts w:ascii="Cambria Math" w:hAnsi="Cambria Math" w:hint="cs"/>
          <w:sz w:val="23"/>
          <w:szCs w:val="23"/>
          <w:rtl/>
        </w:rPr>
        <w:t>(۲. ۱۳)</w:t>
      </w:r>
      <w:r w:rsidRPr="00A309A0">
        <w:rPr>
          <w:rFonts w:ascii="Cambria Math" w:hAnsi="Cambria Math"/>
          <w:sz w:val="23"/>
          <w:szCs w:val="23"/>
          <w:rtl/>
        </w:rPr>
        <w:t>،</w:t>
      </w:r>
      <w:r w:rsidRPr="00A309A0">
        <w:rPr>
          <w:rFonts w:ascii="Cambria Math" w:hAnsi="Cambria Math" w:hint="cs"/>
          <w:sz w:val="23"/>
          <w:szCs w:val="23"/>
          <w:rtl/>
        </w:rPr>
        <w:t xml:space="preserve"> (۲. ۱۴)</w:t>
      </w:r>
      <w:r w:rsidRPr="00A309A0">
        <w:rPr>
          <w:rFonts w:ascii="Cambria Math" w:hAnsi="Cambria Math"/>
          <w:sz w:val="23"/>
          <w:szCs w:val="23"/>
          <w:rtl/>
        </w:rPr>
        <w:t xml:space="preserve"> و</w:t>
      </w:r>
      <w:r w:rsidRPr="00A309A0">
        <w:rPr>
          <w:rFonts w:ascii="Cambria Math" w:hAnsi="Cambria Math" w:hint="cs"/>
          <w:sz w:val="23"/>
          <w:szCs w:val="23"/>
          <w:rtl/>
        </w:rPr>
        <w:t xml:space="preserve"> (۲. ۱۶)</w:t>
      </w:r>
      <w:r w:rsidRPr="00A309A0">
        <w:rPr>
          <w:rFonts w:ascii="Cambria Math" w:hAnsi="Cambria Math"/>
          <w:sz w:val="23"/>
          <w:szCs w:val="23"/>
          <w:rtl/>
        </w:rPr>
        <w:t xml:space="preserve"> به</w:t>
      </w:r>
      <w:r w:rsidRPr="00A309A0">
        <w:rPr>
          <w:rFonts w:ascii="Cambria Math" w:hAnsi="Cambria Math"/>
          <w:sz w:val="23"/>
          <w:szCs w:val="23"/>
          <w:rtl/>
        </w:rPr>
        <w:softHyphen/>
        <w:t>طور همزمان تأمین شو</w:t>
      </w:r>
      <w:r w:rsidRPr="00A309A0">
        <w:rPr>
          <w:rFonts w:ascii="Cambria Math" w:hAnsi="Cambria Math" w:hint="cs"/>
          <w:sz w:val="23"/>
          <w:szCs w:val="23"/>
          <w:rtl/>
        </w:rPr>
        <w:t>ن</w:t>
      </w:r>
      <w:r w:rsidRPr="00A309A0">
        <w:rPr>
          <w:rFonts w:ascii="Cambria Math" w:hAnsi="Cambria Math"/>
          <w:sz w:val="23"/>
          <w:szCs w:val="23"/>
          <w:rtl/>
        </w:rPr>
        <w:t>د. به</w:t>
      </w:r>
      <w:r w:rsidRPr="00A309A0">
        <w:rPr>
          <w:rFonts w:ascii="Cambria Math" w:hAnsi="Cambria Math"/>
          <w:sz w:val="23"/>
          <w:szCs w:val="23"/>
          <w:rtl/>
        </w:rPr>
        <w:softHyphen/>
        <w:t>طوری</w:t>
      </w:r>
      <w:r w:rsidRPr="00A309A0">
        <w:rPr>
          <w:rFonts w:ascii="Cambria Math" w:hAnsi="Cambria Math"/>
          <w:sz w:val="23"/>
          <w:szCs w:val="23"/>
          <w:rtl/>
        </w:rPr>
        <w:softHyphen/>
        <w:t>که</w:t>
      </w:r>
    </w:p>
    <w:p w14:paraId="4FA9C13C" w14:textId="77777777" w:rsidR="00411620" w:rsidRPr="00A309A0" w:rsidRDefault="00411620" w:rsidP="00411620">
      <w:pPr>
        <w:bidi w:val="0"/>
        <w:spacing w:line="216" w:lineRule="auto"/>
        <w:rPr>
          <w:rFonts w:ascii="Cambria Math" w:hAnsi="Cambria Math"/>
          <w:sz w:val="23"/>
          <w:szCs w:val="23"/>
        </w:rPr>
      </w:pPr>
      <w:r w:rsidRPr="00B92922">
        <w:rPr>
          <w:position w:val="-28"/>
        </w:rPr>
        <w:object w:dxaOrig="4800" w:dyaOrig="660" w14:anchorId="6B5B194E">
          <v:shape id="_x0000_i1211" type="#_x0000_t75" style="width:240.2pt;height:32.65pt" o:ole="">
            <v:imagedata r:id="rId385" o:title=""/>
          </v:shape>
          <o:OLEObject Type="Embed" ProgID="Equation.DSMT4" ShapeID="_x0000_i1211" DrawAspect="Content" ObjectID="_1791375155" r:id="rId386"/>
        </w:object>
      </w:r>
    </w:p>
    <w:p w14:paraId="3E66FFBA" w14:textId="77777777" w:rsidR="00411620" w:rsidRDefault="00411620" w:rsidP="00411620">
      <w:pPr>
        <w:spacing w:line="216" w:lineRule="auto"/>
      </w:pPr>
      <w:r w:rsidRPr="00A309A0">
        <w:rPr>
          <w:rFonts w:ascii="Cambria Math" w:hAnsi="Cambria Math"/>
          <w:sz w:val="23"/>
          <w:szCs w:val="23"/>
          <w:rtl/>
        </w:rPr>
        <w:t>که در آن تولید نهایی</w:t>
      </w:r>
      <w:r w:rsidRPr="00A309A0">
        <w:rPr>
          <w:rFonts w:ascii="Cambria Math" w:hAnsi="Cambria Math" w:hint="cs"/>
          <w:sz w:val="23"/>
          <w:szCs w:val="23"/>
          <w:rtl/>
        </w:rPr>
        <w:t xml:space="preserve"> </w:t>
      </w:r>
      <w:r w:rsidRPr="00A309A0">
        <w:rPr>
          <w:rFonts w:ascii="Cambria Math" w:hAnsi="Cambria Math"/>
          <w:sz w:val="23"/>
          <w:szCs w:val="23"/>
          <w:rtl/>
        </w:rPr>
        <w:t>سرمایه</w:t>
      </w:r>
      <w:r w:rsidRPr="00A309A0">
        <w:rPr>
          <w:rFonts w:ascii="Cambria Math" w:hAnsi="Cambria Math"/>
          <w:sz w:val="23"/>
          <w:szCs w:val="23"/>
          <w:rtl/>
        </w:rPr>
        <w:softHyphen/>
      </w:r>
      <w:r w:rsidRPr="00A309A0">
        <w:rPr>
          <w:rFonts w:ascii="Cambria Math" w:hAnsi="Cambria Math" w:hint="cs"/>
          <w:sz w:val="23"/>
          <w:szCs w:val="23"/>
          <w:rtl/>
        </w:rPr>
        <w:t>ی خالص</w:t>
      </w:r>
      <w:r w:rsidRPr="00B92922">
        <w:rPr>
          <w:position w:val="-12"/>
        </w:rPr>
        <w:object w:dxaOrig="1120" w:dyaOrig="360" w14:anchorId="20E6A3F9">
          <v:shape id="_x0000_i1212" type="#_x0000_t75" style="width:56.25pt;height:18.15pt" o:ole="">
            <v:imagedata r:id="rId387" o:title=""/>
          </v:shape>
          <o:OLEObject Type="Embed" ProgID="Equation.DSMT4" ShapeID="_x0000_i1212" DrawAspect="Content" ObjectID="_1791375156" r:id="rId388"/>
        </w:object>
      </w:r>
      <w:r w:rsidRPr="00A309A0">
        <w:rPr>
          <w:rFonts w:ascii="Cambria Math" w:hAnsi="Cambria Math" w:hint="cs"/>
          <w:sz w:val="23"/>
          <w:szCs w:val="23"/>
          <w:rtl/>
        </w:rPr>
        <w:t xml:space="preserve"> </w:t>
      </w:r>
      <w:r w:rsidRPr="00A309A0">
        <w:rPr>
          <w:rFonts w:ascii="Cambria Math" w:hAnsi="Cambria Math"/>
          <w:sz w:val="23"/>
          <w:szCs w:val="23"/>
          <w:rtl/>
        </w:rPr>
        <w:t xml:space="preserve">برابر است با نرخ بازدهی </w:t>
      </w:r>
      <w:r w:rsidRPr="00A309A0">
        <w:rPr>
          <w:rFonts w:ascii="Cambria Math" w:hAnsi="Cambria Math" w:hint="cs"/>
          <w:sz w:val="23"/>
          <w:szCs w:val="23"/>
          <w:rtl/>
        </w:rPr>
        <w:t>حقیقی</w:t>
      </w:r>
      <w:r w:rsidRPr="00A309A0">
        <w:rPr>
          <w:rFonts w:ascii="Cambria Math" w:hAnsi="Cambria Math"/>
          <w:sz w:val="23"/>
          <w:szCs w:val="23"/>
          <w:rtl/>
        </w:rPr>
        <w:t xml:space="preserve"> سرمایه</w:t>
      </w:r>
      <w:r w:rsidRPr="00B92922">
        <w:rPr>
          <w:position w:val="-10"/>
        </w:rPr>
        <w:object w:dxaOrig="320" w:dyaOrig="320" w14:anchorId="4B2D4AD1">
          <v:shape id="_x0000_i1213" type="#_x0000_t75" style="width:15.75pt;height:15.75pt" o:ole="">
            <v:imagedata r:id="rId389" o:title=""/>
          </v:shape>
          <o:OLEObject Type="Embed" ProgID="Equation.DSMT4" ShapeID="_x0000_i1213" DrawAspect="Content" ObjectID="_1791375157" r:id="rId390"/>
        </w:object>
      </w:r>
      <w:r w:rsidRPr="00A309A0">
        <w:rPr>
          <w:rFonts w:ascii="Cambria Math" w:hAnsi="Cambria Math" w:hint="cs"/>
          <w:sz w:val="23"/>
          <w:szCs w:val="23"/>
          <w:rtl/>
        </w:rPr>
        <w:t xml:space="preserve">. </w:t>
      </w:r>
      <w:r w:rsidRPr="00A309A0">
        <w:rPr>
          <w:rFonts w:ascii="Cambria Math" w:hAnsi="Cambria Math"/>
          <w:sz w:val="23"/>
          <w:szCs w:val="23"/>
          <w:rtl/>
        </w:rPr>
        <w:t>افزایش در</w:t>
      </w:r>
      <w:r w:rsidRPr="00B92922">
        <w:rPr>
          <w:position w:val="-10"/>
        </w:rPr>
        <w:object w:dxaOrig="320" w:dyaOrig="320" w14:anchorId="239C1915">
          <v:shape id="_x0000_i1214" type="#_x0000_t75" style="width:15.75pt;height:15.75pt" o:ole="">
            <v:imagedata r:id="rId391" o:title=""/>
          </v:shape>
          <o:OLEObject Type="Embed" ProgID="Equation.DSMT4" ShapeID="_x0000_i1214" DrawAspect="Content" ObjectID="_1791375158" r:id="rId392"/>
        </w:object>
      </w:r>
      <w:r w:rsidRPr="00A309A0">
        <w:rPr>
          <w:rFonts w:ascii="Cambria Math" w:hAnsi="Cambria Math"/>
          <w:sz w:val="23"/>
          <w:szCs w:val="23"/>
          <w:rtl/>
        </w:rPr>
        <w:t>، مثلاً از طریق شوک تکنولوژیکی که منجر به افزایش تولید نهایی سرمایه در دوره</w:t>
      </w:r>
      <w:r w:rsidRPr="00A309A0">
        <w:rPr>
          <w:rFonts w:ascii="Cambria Math" w:hAnsi="Cambria Math"/>
          <w:sz w:val="23"/>
          <w:szCs w:val="23"/>
          <w:rtl/>
        </w:rPr>
        <w:softHyphen/>
        <w:t xml:space="preserve">ی </w:t>
      </w:r>
      <w:r w:rsidRPr="00B92922">
        <w:rPr>
          <w:position w:val="-6"/>
        </w:rPr>
        <w:object w:dxaOrig="440" w:dyaOrig="260" w14:anchorId="367AF659">
          <v:shape id="_x0000_i1215" type="#_x0000_t75" style="width:22.4pt;height:12.7pt" o:ole="">
            <v:imagedata r:id="rId393" o:title=""/>
          </v:shape>
          <o:OLEObject Type="Embed" ProgID="Equation.DSMT4" ShapeID="_x0000_i1215" DrawAspect="Content" ObjectID="_1791375159" r:id="rId394"/>
        </w:object>
      </w:r>
      <w:r w:rsidRPr="00A309A0">
        <w:rPr>
          <w:rFonts w:ascii="Cambria Math" w:hAnsi="Cambria Math"/>
          <w:sz w:val="23"/>
          <w:szCs w:val="23"/>
          <w:rtl/>
        </w:rPr>
        <w:t xml:space="preserve"> می</w:t>
      </w:r>
      <w:r w:rsidRPr="00A309A0">
        <w:rPr>
          <w:rFonts w:ascii="Cambria Math" w:hAnsi="Cambria Math"/>
          <w:sz w:val="23"/>
          <w:szCs w:val="23"/>
          <w:rtl/>
        </w:rPr>
        <w:softHyphen/>
        <w:t>شود، شیب قید منبع را تندتر کرده، و منجر به تغییر در</w:t>
      </w:r>
      <w:r w:rsidRPr="00B92922">
        <w:rPr>
          <w:position w:val="-10"/>
        </w:rPr>
        <w:object w:dxaOrig="200" w:dyaOrig="320" w14:anchorId="26498542">
          <v:shape id="_x0000_i1216" type="#_x0000_t75" style="width:10.3pt;height:15.75pt" o:ole="">
            <v:imagedata r:id="rId395" o:title=""/>
          </v:shape>
          <o:OLEObject Type="Embed" ProgID="Equation.DSMT4" ShapeID="_x0000_i1216" DrawAspect="Content" ObjectID="_1791375160" r:id="rId396"/>
        </w:object>
      </w:r>
      <w:r w:rsidRPr="00A309A0">
        <w:rPr>
          <w:rFonts w:ascii="Cambria Math" w:eastAsiaTheme="minorEastAsia" w:hAnsi="Cambria Math"/>
          <w:sz w:val="23"/>
          <w:szCs w:val="23"/>
          <w:rtl/>
        </w:rPr>
        <w:t>،</w:t>
      </w:r>
      <w:r w:rsidRPr="00A309A0">
        <w:rPr>
          <w:rFonts w:ascii="Cambria Math" w:hAnsi="Cambria Math"/>
          <w:sz w:val="23"/>
          <w:szCs w:val="23"/>
          <w:rtl/>
        </w:rPr>
        <w:t xml:space="preserve"> </w:t>
      </w:r>
      <w:r w:rsidRPr="00B92922">
        <w:rPr>
          <w:position w:val="-10"/>
        </w:rPr>
        <w:object w:dxaOrig="340" w:dyaOrig="320" w14:anchorId="6D89EF0B">
          <v:shape id="_x0000_i1217" type="#_x0000_t75" style="width:16.95pt;height:15.75pt" o:ole="">
            <v:imagedata r:id="rId397" o:title=""/>
          </v:shape>
          <o:OLEObject Type="Embed" ProgID="Equation.DSMT4" ShapeID="_x0000_i1217" DrawAspect="Content" ObjectID="_1791375161" r:id="rId398"/>
        </w:object>
      </w:r>
      <w:r w:rsidRPr="00A309A0">
        <w:rPr>
          <w:rFonts w:ascii="Cambria Math" w:eastAsiaTheme="minorEastAsia" w:hAnsi="Cambria Math"/>
          <w:sz w:val="23"/>
          <w:szCs w:val="23"/>
          <w:rtl/>
        </w:rPr>
        <w:t xml:space="preserve"> و بالاخره</w:t>
      </w:r>
      <w:r w:rsidRPr="00B92922">
        <w:rPr>
          <w:position w:val="-10"/>
        </w:rPr>
        <w:object w:dxaOrig="240" w:dyaOrig="320" w14:anchorId="5FA4706E">
          <v:shape id="_x0000_i1218" type="#_x0000_t75" style="width:12.1pt;height:15.75pt" o:ole="">
            <v:imagedata r:id="rId399" o:title=""/>
          </v:shape>
          <o:OLEObject Type="Embed" ProgID="Equation.DSMT4" ShapeID="_x0000_i1218" DrawAspect="Content" ObjectID="_1791375162" r:id="rId400"/>
        </w:object>
      </w:r>
    </w:p>
    <w:p w14:paraId="106D4FC0" w14:textId="77777777" w:rsidR="00411620" w:rsidRDefault="00411620" w:rsidP="00411620">
      <w:pPr>
        <w:spacing w:line="216" w:lineRule="auto"/>
        <w:rPr>
          <w:rFonts w:ascii="Cambria Math" w:hAnsi="Cambria Math"/>
          <w:sz w:val="23"/>
          <w:szCs w:val="23"/>
        </w:rPr>
      </w:pPr>
      <w:r w:rsidRPr="00A309A0">
        <w:rPr>
          <w:rFonts w:ascii="Cambria Math" w:eastAsiaTheme="minorEastAsia" w:hAnsi="Cambria Math"/>
          <w:sz w:val="23"/>
          <w:szCs w:val="23"/>
          <w:rtl/>
        </w:rPr>
        <w:t xml:space="preserve"> </w:t>
      </w:r>
      <w:r w:rsidRPr="00A309A0">
        <w:rPr>
          <w:rFonts w:ascii="Cambria Math" w:hAnsi="Cambria Math"/>
          <w:sz w:val="23"/>
          <w:szCs w:val="23"/>
          <w:rtl/>
        </w:rPr>
        <w:t>می‌شود.</w:t>
      </w:r>
      <w:r w:rsidRPr="00A309A0">
        <w:rPr>
          <w:rFonts w:ascii="Cambria Math" w:hAnsi="Cambria Math" w:hint="cs"/>
          <w:sz w:val="23"/>
          <w:szCs w:val="23"/>
          <w:rtl/>
        </w:rPr>
        <w:t xml:space="preserve"> در این خصوص در فصل چهارم</w:t>
      </w:r>
      <w:r w:rsidRPr="00A309A0">
        <w:rPr>
          <w:rFonts w:ascii="Cambria Math" w:hAnsi="Cambria Math"/>
          <w:sz w:val="23"/>
          <w:szCs w:val="23"/>
          <w:rtl/>
        </w:rPr>
        <w:t xml:space="preserve"> </w:t>
      </w:r>
      <w:r w:rsidRPr="00A309A0">
        <w:rPr>
          <w:rFonts w:ascii="Cambria Math" w:hAnsi="Cambria Math" w:hint="cs"/>
          <w:sz w:val="23"/>
          <w:szCs w:val="23"/>
          <w:rtl/>
        </w:rPr>
        <w:t>توضیحات بیشتر ارائه خواهد شد.</w:t>
      </w:r>
    </w:p>
    <w:p w14:paraId="4C992FAC" w14:textId="77777777" w:rsidR="00411620" w:rsidRPr="00A309A0" w:rsidRDefault="00411620" w:rsidP="00411620">
      <w:pPr>
        <w:pStyle w:val="Heading1"/>
        <w:spacing w:before="0" w:after="0" w:line="216" w:lineRule="auto"/>
        <w:rPr>
          <w:rFonts w:ascii="Cambria Math" w:hAnsi="Cambria Math" w:cs="B Nazanin"/>
          <w:sz w:val="23"/>
          <w:szCs w:val="23"/>
          <w:rtl/>
        </w:rPr>
      </w:pPr>
      <w:r w:rsidRPr="00A309A0">
        <w:rPr>
          <w:rFonts w:ascii="Cambria Math" w:hAnsi="Cambria Math" w:cs="B Nazanin" w:hint="cs"/>
          <w:sz w:val="23"/>
          <w:szCs w:val="23"/>
          <w:rtl/>
        </w:rPr>
        <w:t>۲. ۴. ۴</w:t>
      </w:r>
      <w:r w:rsidRPr="00A309A0">
        <w:rPr>
          <w:rFonts w:ascii="Cambria Math" w:hAnsi="Cambria Math" w:cs="B Nazanin"/>
          <w:sz w:val="23"/>
          <w:szCs w:val="23"/>
          <w:rtl/>
        </w:rPr>
        <w:t xml:space="preserve"> راه حل تعادل ایستا</w:t>
      </w:r>
      <w:r w:rsidRPr="00A309A0">
        <w:rPr>
          <w:rStyle w:val="FootnoteReference"/>
          <w:rFonts w:ascii="Cambria Math" w:eastAsiaTheme="majorEastAsia" w:hAnsi="Cambria Math" w:cs="B Nazanin"/>
          <w:sz w:val="23"/>
          <w:szCs w:val="23"/>
          <w:rtl/>
        </w:rPr>
        <w:footnoteReference w:id="70"/>
      </w:r>
      <w:r w:rsidRPr="00A309A0">
        <w:rPr>
          <w:rFonts w:ascii="Cambria Math" w:hAnsi="Cambria Math" w:cs="B Nazanin"/>
          <w:sz w:val="23"/>
          <w:szCs w:val="23"/>
          <w:rtl/>
        </w:rPr>
        <w:t xml:space="preserve"> </w:t>
      </w:r>
    </w:p>
    <w:p w14:paraId="2BC6B8CB" w14:textId="77777777" w:rsidR="00411620" w:rsidRPr="00A309A0" w:rsidRDefault="00411620" w:rsidP="00411620">
      <w:pPr>
        <w:spacing w:line="216" w:lineRule="auto"/>
        <w:rPr>
          <w:rFonts w:ascii="Cambria Math" w:hAnsi="Cambria Math"/>
          <w:sz w:val="23"/>
          <w:szCs w:val="23"/>
        </w:rPr>
      </w:pPr>
      <w:r w:rsidRPr="00A309A0">
        <w:rPr>
          <w:rFonts w:ascii="Cambria Math" w:hAnsi="Cambria Math"/>
          <w:sz w:val="23"/>
          <w:szCs w:val="23"/>
          <w:rtl/>
        </w:rPr>
        <w:t>اکنون راه حل بهینه و خصوصیات تعادل بلند</w:t>
      </w:r>
      <w:r w:rsidRPr="00A309A0">
        <w:rPr>
          <w:rFonts w:ascii="Cambria Math" w:hAnsi="Cambria Math"/>
          <w:sz w:val="23"/>
          <w:szCs w:val="23"/>
          <w:rtl/>
        </w:rPr>
        <w:softHyphen/>
        <w:t xml:space="preserve">مدت </w:t>
      </w:r>
      <w:r w:rsidRPr="00A309A0">
        <w:rPr>
          <w:rFonts w:ascii="Cambria Math" w:hAnsi="Cambria Math" w:hint="cs"/>
          <w:sz w:val="23"/>
          <w:szCs w:val="23"/>
          <w:rtl/>
        </w:rPr>
        <w:t>آن</w:t>
      </w:r>
      <w:r w:rsidRPr="00A309A0">
        <w:rPr>
          <w:rFonts w:ascii="Cambria Math" w:hAnsi="Cambria Math"/>
          <w:sz w:val="23"/>
          <w:szCs w:val="23"/>
          <w:rtl/>
        </w:rPr>
        <w:softHyphen/>
        <w:t>را بررسی خواهیم کرد. تعادل بلندمدت یک</w:t>
      </w:r>
      <w:r w:rsidRPr="00A309A0">
        <w:rPr>
          <w:rFonts w:ascii="Cambria Math" w:hAnsi="Cambria Math" w:hint="cs"/>
          <w:sz w:val="23"/>
          <w:szCs w:val="23"/>
          <w:rtl/>
        </w:rPr>
        <w:t xml:space="preserve"> </w:t>
      </w:r>
      <w:r w:rsidRPr="00A309A0">
        <w:rPr>
          <w:rFonts w:ascii="Cambria Math" w:hAnsi="Cambria Math"/>
          <w:sz w:val="23"/>
          <w:szCs w:val="23"/>
          <w:rtl/>
        </w:rPr>
        <w:t>راه حل ایستا است و مبین آن است که در صورت عدم وجود شوک</w:t>
      </w:r>
      <w:r w:rsidRPr="00A309A0">
        <w:rPr>
          <w:rFonts w:ascii="Cambria Math" w:hAnsi="Cambria Math"/>
          <w:sz w:val="23"/>
          <w:szCs w:val="23"/>
          <w:rtl/>
        </w:rPr>
        <w:softHyphen/>
        <w:t>های وارده ب</w:t>
      </w:r>
      <w:r w:rsidRPr="00A309A0">
        <w:rPr>
          <w:rFonts w:ascii="Cambria Math" w:hAnsi="Cambria Math" w:hint="cs"/>
          <w:sz w:val="23"/>
          <w:szCs w:val="23"/>
          <w:rtl/>
        </w:rPr>
        <w:t>ر</w:t>
      </w:r>
      <w:r w:rsidRPr="00A309A0">
        <w:rPr>
          <w:rFonts w:ascii="Cambria Math" w:hAnsi="Cambria Math"/>
          <w:sz w:val="23"/>
          <w:szCs w:val="23"/>
          <w:rtl/>
        </w:rPr>
        <w:t xml:space="preserve"> سیستم اقتصاد</w:t>
      </w:r>
      <w:r w:rsidRPr="00A309A0">
        <w:rPr>
          <w:rFonts w:ascii="Cambria Math" w:hAnsi="Cambria Math" w:hint="cs"/>
          <w:sz w:val="23"/>
          <w:szCs w:val="23"/>
          <w:rtl/>
        </w:rPr>
        <w:t>ی</w:t>
      </w:r>
      <w:r w:rsidRPr="00A309A0">
        <w:rPr>
          <w:rFonts w:ascii="Cambria Math" w:hAnsi="Cambria Math"/>
          <w:sz w:val="23"/>
          <w:szCs w:val="23"/>
          <w:rtl/>
        </w:rPr>
        <w:t xml:space="preserve">، مصرف و موجودی سرمایه در طی زمان ثابت باقی خواهند ماند و </w:t>
      </w:r>
      <w:r w:rsidRPr="00B92922">
        <w:rPr>
          <w:position w:val="-10"/>
        </w:rPr>
        <w:object w:dxaOrig="1240" w:dyaOrig="320" w14:anchorId="427A1A7B">
          <v:shape id="_x0000_i1219" type="#_x0000_t75" style="width:61.7pt;height:15.75pt" o:ole="">
            <v:imagedata r:id="rId401" o:title=""/>
          </v:shape>
          <o:OLEObject Type="Embed" ProgID="Equation.DSMT4" ShapeID="_x0000_i1219" DrawAspect="Content" ObjectID="_1791375163" r:id="rId402"/>
        </w:object>
      </w:r>
      <w:r w:rsidRPr="00A309A0">
        <w:rPr>
          <w:rFonts w:ascii="Cambria Math" w:hAnsi="Cambria Math"/>
          <w:sz w:val="23"/>
          <w:szCs w:val="23"/>
        </w:rPr>
        <w:t xml:space="preserve"> </w:t>
      </w:r>
      <w:r w:rsidRPr="00A309A0">
        <w:rPr>
          <w:rFonts w:ascii="Cambria Math" w:hAnsi="Cambria Math" w:hint="cs"/>
          <w:sz w:val="23"/>
          <w:szCs w:val="23"/>
          <w:rtl/>
        </w:rPr>
        <w:t>باشد</w:t>
      </w:r>
      <w:r w:rsidRPr="00A309A0">
        <w:rPr>
          <w:rFonts w:ascii="Cambria Math" w:eastAsiaTheme="minorEastAsia" w:hAnsi="Cambria Math"/>
          <w:sz w:val="23"/>
          <w:szCs w:val="23"/>
          <w:rtl/>
        </w:rPr>
        <w:t>. در نتیجه</w:t>
      </w:r>
      <w:r w:rsidRPr="00A309A0">
        <w:rPr>
          <w:rFonts w:ascii="Cambria Math" w:hAnsi="Cambria Math"/>
          <w:sz w:val="23"/>
          <w:szCs w:val="23"/>
          <w:rtl/>
        </w:rPr>
        <w:t xml:space="preserve"> برای کلیه</w:t>
      </w:r>
      <w:r w:rsidRPr="00A309A0">
        <w:rPr>
          <w:rFonts w:ascii="Cambria Math" w:hAnsi="Cambria Math"/>
          <w:sz w:val="23"/>
          <w:szCs w:val="23"/>
          <w:rtl/>
        </w:rPr>
        <w:softHyphen/>
        <w:t>ی</w:t>
      </w:r>
      <w:r w:rsidRPr="00B92922">
        <w:rPr>
          <w:position w:val="-6"/>
        </w:rPr>
        <w:object w:dxaOrig="139" w:dyaOrig="240" w14:anchorId="6156B773">
          <v:shape id="_x0000_i1220" type="#_x0000_t75" style="width:6.65pt;height:12.1pt" o:ole="">
            <v:imagedata r:id="rId403" o:title=""/>
          </v:shape>
          <o:OLEObject Type="Embed" ProgID="Equation.DSMT4" ShapeID="_x0000_i1220" DrawAspect="Content" ObjectID="_1791375164" r:id="rId404"/>
        </w:object>
      </w:r>
      <w:r w:rsidRPr="00A309A0">
        <w:rPr>
          <w:rFonts w:ascii="Cambria Math" w:hAnsi="Cambria Math"/>
          <w:sz w:val="23"/>
          <w:szCs w:val="23"/>
          <w:rtl/>
        </w:rPr>
        <w:softHyphen/>
      </w:r>
      <w:r w:rsidRPr="00A309A0">
        <w:rPr>
          <w:rFonts w:ascii="Cambria Math" w:hAnsi="Cambria Math" w:hint="cs"/>
          <w:sz w:val="23"/>
          <w:szCs w:val="23"/>
          <w:rtl/>
        </w:rPr>
        <w:t>ها</w:t>
      </w:r>
      <w:r w:rsidRPr="00A309A0">
        <w:rPr>
          <w:rFonts w:ascii="Cambria Math" w:eastAsiaTheme="minorEastAsia" w:hAnsi="Cambria Math"/>
          <w:sz w:val="23"/>
          <w:szCs w:val="23"/>
          <w:rtl/>
        </w:rPr>
        <w:t xml:space="preserve"> خواهیم داشت</w:t>
      </w:r>
      <w:r w:rsidRPr="00B92922">
        <w:rPr>
          <w:position w:val="-10"/>
        </w:rPr>
        <w:object w:dxaOrig="1280" w:dyaOrig="340" w14:anchorId="56C89DA7">
          <v:shape id="_x0000_i1221" type="#_x0000_t75" style="width:64.15pt;height:16.95pt" o:ole="">
            <v:imagedata r:id="rId405" o:title=""/>
          </v:shape>
          <o:OLEObject Type="Embed" ProgID="Equation.DSMT4" ShapeID="_x0000_i1221" DrawAspect="Content" ObjectID="_1791375165" r:id="rId406"/>
        </w:object>
      </w:r>
      <w:r w:rsidRPr="00A309A0">
        <w:rPr>
          <w:rFonts w:ascii="Cambria Math" w:eastAsiaTheme="minorEastAsia" w:hAnsi="Cambria Math"/>
          <w:sz w:val="23"/>
          <w:szCs w:val="23"/>
          <w:rtl/>
        </w:rPr>
        <w:t>.</w:t>
      </w:r>
      <w:r w:rsidRPr="00A309A0">
        <w:rPr>
          <w:rStyle w:val="FootnoteReference"/>
          <w:rFonts w:ascii="Cambria Math" w:eastAsiaTheme="minorEastAsia" w:hAnsi="Cambria Math"/>
          <w:sz w:val="23"/>
          <w:szCs w:val="23"/>
          <w:rtl/>
        </w:rPr>
        <w:footnoteReference w:id="71"/>
      </w:r>
      <w:r w:rsidRPr="00A309A0">
        <w:rPr>
          <w:rFonts w:ascii="Cambria Math" w:hAnsi="Cambria Math"/>
          <w:sz w:val="23"/>
          <w:szCs w:val="23"/>
          <w:rtl/>
        </w:rPr>
        <w:t xml:space="preserve"> در تعادل ایستا معادله</w:t>
      </w:r>
      <w:r w:rsidRPr="00A309A0">
        <w:rPr>
          <w:rFonts w:ascii="Cambria Math" w:hAnsi="Cambria Math"/>
          <w:sz w:val="23"/>
          <w:szCs w:val="23"/>
          <w:rtl/>
        </w:rPr>
        <w:softHyphen/>
        <w:t xml:space="preserve">ی اویلر </w:t>
      </w:r>
      <w:r w:rsidRPr="00A309A0">
        <w:rPr>
          <w:rFonts w:ascii="Cambria Math" w:hAnsi="Cambria Math" w:hint="cs"/>
          <w:sz w:val="23"/>
          <w:szCs w:val="23"/>
          <w:rtl/>
        </w:rPr>
        <w:t xml:space="preserve">برابر </w:t>
      </w:r>
      <w:r w:rsidRPr="00A309A0">
        <w:rPr>
          <w:rFonts w:ascii="Cambria Math" w:hAnsi="Cambria Math"/>
          <w:sz w:val="23"/>
          <w:szCs w:val="23"/>
          <w:rtl/>
        </w:rPr>
        <w:t xml:space="preserve">است </w:t>
      </w:r>
      <w:r w:rsidRPr="00A309A0">
        <w:rPr>
          <w:rFonts w:ascii="Cambria Math" w:hAnsi="Cambria Math" w:hint="cs"/>
          <w:sz w:val="23"/>
          <w:szCs w:val="23"/>
          <w:rtl/>
        </w:rPr>
        <w:t>با</w:t>
      </w:r>
      <w:r w:rsidRPr="00A309A0">
        <w:rPr>
          <w:rFonts w:ascii="Cambria Math" w:hAnsi="Cambria Math"/>
          <w:sz w:val="23"/>
          <w:szCs w:val="23"/>
          <w:rtl/>
        </w:rPr>
        <w:t xml:space="preserve">؛ </w:t>
      </w:r>
    </w:p>
    <w:p w14:paraId="01AC1F63" w14:textId="77777777" w:rsidR="00411620" w:rsidRPr="00A309A0" w:rsidRDefault="00411620" w:rsidP="00411620">
      <w:pPr>
        <w:bidi w:val="0"/>
        <w:spacing w:line="216" w:lineRule="auto"/>
        <w:rPr>
          <w:rFonts w:ascii="Cambria Math" w:hAnsi="Cambria Math"/>
          <w:sz w:val="23"/>
          <w:szCs w:val="23"/>
          <w:rtl/>
        </w:rPr>
      </w:pPr>
      <w:r w:rsidRPr="00B92922">
        <w:rPr>
          <w:position w:val="-34"/>
        </w:rPr>
        <w:object w:dxaOrig="2740" w:dyaOrig="780" w14:anchorId="6954F891">
          <v:shape id="_x0000_i1222" type="#_x0000_t75" style="width:136.75pt;height:38.7pt" o:ole="">
            <v:imagedata r:id="rId407" o:title=""/>
          </v:shape>
          <o:OLEObject Type="Embed" ProgID="Equation.DSMT4" ShapeID="_x0000_i1222" DrawAspect="Content" ObjectID="_1791375166" r:id="rId408"/>
        </w:object>
      </w:r>
    </w:p>
    <w:p w14:paraId="433CD20F"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 xml:space="preserve">و چون داشتیم </w:t>
      </w:r>
      <w:r w:rsidRPr="00B92922">
        <w:rPr>
          <w:position w:val="-22"/>
        </w:rPr>
        <w:object w:dxaOrig="880" w:dyaOrig="560" w14:anchorId="7BD0B7E7">
          <v:shape id="_x0000_i1223" type="#_x0000_t75" style="width:44.15pt;height:27.85pt" o:ole="">
            <v:imagedata r:id="rId409" o:title=""/>
          </v:shape>
          <o:OLEObject Type="Embed" ProgID="Equation.DSMT4" ShapeID="_x0000_i1223" DrawAspect="Content" ObjectID="_1791375167" r:id="rId410"/>
        </w:object>
      </w:r>
      <w:r w:rsidRPr="00A309A0">
        <w:rPr>
          <w:rFonts w:ascii="Cambria Math" w:eastAsiaTheme="minorEastAsia" w:hAnsi="Cambria Math"/>
          <w:sz w:val="23"/>
          <w:szCs w:val="23"/>
          <w:rtl/>
        </w:rPr>
        <w:t xml:space="preserve"> لذا </w:t>
      </w:r>
      <w:r w:rsidRPr="00B92922">
        <w:rPr>
          <w:position w:val="-26"/>
        </w:rPr>
        <w:object w:dxaOrig="4080" w:dyaOrig="600" w14:anchorId="112C01F8">
          <v:shape id="_x0000_i1224" type="#_x0000_t75" style="width:204.5pt;height:29.65pt" o:ole="">
            <v:imagedata r:id="rId411" o:title=""/>
          </v:shape>
          <o:OLEObject Type="Embed" ProgID="Equation.DSMT4" ShapeID="_x0000_i1224" DrawAspect="Content" ObjectID="_1791375168" r:id="rId412"/>
        </w:object>
      </w:r>
      <w:r w:rsidRPr="00A309A0">
        <w:rPr>
          <w:sz w:val="23"/>
          <w:szCs w:val="23"/>
        </w:rPr>
        <w:t>.</w:t>
      </w:r>
    </w:p>
    <w:p w14:paraId="0F537307"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همان</w:t>
      </w:r>
      <w:r w:rsidRPr="00A309A0">
        <w:rPr>
          <w:rFonts w:ascii="Cambria Math" w:hAnsi="Cambria Math"/>
          <w:sz w:val="23"/>
          <w:szCs w:val="23"/>
          <w:rtl/>
        </w:rPr>
        <w:softHyphen/>
        <w:t>گونه که ملاحظه می</w:t>
      </w:r>
      <w:r w:rsidRPr="00A309A0">
        <w:rPr>
          <w:rFonts w:ascii="Cambria Math" w:hAnsi="Cambria Math"/>
          <w:sz w:val="23"/>
          <w:szCs w:val="23"/>
          <w:rtl/>
        </w:rPr>
        <w:softHyphen/>
        <w:t>شود تولید نهایی سرمایه در بلندمدت که به روش حل بهینه بدست می</w:t>
      </w:r>
      <w:r w:rsidRPr="00A309A0">
        <w:rPr>
          <w:rFonts w:ascii="Cambria Math" w:hAnsi="Cambria Math"/>
          <w:sz w:val="23"/>
          <w:szCs w:val="23"/>
          <w:rtl/>
        </w:rPr>
        <w:softHyphen/>
        <w:t>آید، یعنی</w:t>
      </w:r>
      <w:r w:rsidRPr="00B92922">
        <w:rPr>
          <w:position w:val="-16"/>
        </w:rPr>
        <w:object w:dxaOrig="1359" w:dyaOrig="420" w14:anchorId="6054540B">
          <v:shape id="_x0000_i1225" type="#_x0000_t75" style="width:67.75pt;height:21.2pt" o:ole="">
            <v:imagedata r:id="rId413" o:title=""/>
          </v:shape>
          <o:OLEObject Type="Embed" ProgID="Equation.DSMT4" ShapeID="_x0000_i1225" DrawAspect="Content" ObjectID="_1791375169" r:id="rId414"/>
        </w:object>
      </w:r>
      <w:r w:rsidRPr="00A309A0">
        <w:rPr>
          <w:rFonts w:ascii="Cambria Math" w:hAnsi="Cambria Math"/>
          <w:sz w:val="23"/>
          <w:szCs w:val="23"/>
          <w:rtl/>
          <w:lang w:val="en-GB"/>
        </w:rPr>
        <w:t xml:space="preserve">، </w:t>
      </w:r>
      <w:r w:rsidRPr="00A309A0">
        <w:rPr>
          <w:rFonts w:ascii="Cambria Math" w:hAnsi="Cambria Math"/>
          <w:sz w:val="23"/>
          <w:szCs w:val="23"/>
          <w:rtl/>
        </w:rPr>
        <w:t>با تولید نهایی سرمایه به روش قاعده</w:t>
      </w:r>
      <w:r w:rsidRPr="00A309A0">
        <w:rPr>
          <w:rFonts w:ascii="Cambria Math" w:hAnsi="Cambria Math"/>
          <w:sz w:val="23"/>
          <w:szCs w:val="23"/>
          <w:rtl/>
        </w:rPr>
        <w:softHyphen/>
        <w:t xml:space="preserve">ی طلایی یعنی </w:t>
      </w:r>
      <w:r w:rsidRPr="00B92922">
        <w:rPr>
          <w:position w:val="-16"/>
        </w:rPr>
        <w:object w:dxaOrig="1060" w:dyaOrig="420" w14:anchorId="1E2918BE">
          <v:shape id="_x0000_i1226" type="#_x0000_t75" style="width:52.65pt;height:21.2pt" o:ole="">
            <v:imagedata r:id="rId415" o:title=""/>
          </v:shape>
          <o:OLEObject Type="Embed" ProgID="Equation.DSMT4" ShapeID="_x0000_i1226" DrawAspect="Content" ObjectID="_1791375170" r:id="rId416"/>
        </w:object>
      </w:r>
      <w:r w:rsidRPr="00A309A0">
        <w:rPr>
          <w:rFonts w:ascii="Cambria Math" w:hAnsi="Cambria Math"/>
          <w:sz w:val="23"/>
          <w:szCs w:val="23"/>
          <w:rtl/>
          <w:lang w:val="en-GB"/>
        </w:rPr>
        <w:t xml:space="preserve"> </w:t>
      </w:r>
      <w:r w:rsidRPr="00A309A0">
        <w:rPr>
          <w:rFonts w:ascii="Cambria Math" w:hAnsi="Cambria Math"/>
          <w:sz w:val="23"/>
          <w:szCs w:val="23"/>
          <w:rtl/>
        </w:rPr>
        <w:t xml:space="preserve">متفاوت است. در نمودار </w:t>
      </w:r>
      <w:r w:rsidRPr="00A309A0">
        <w:rPr>
          <w:rFonts w:ascii="Cambria Math" w:hAnsi="Cambria Math" w:hint="cs"/>
          <w:sz w:val="23"/>
          <w:szCs w:val="23"/>
          <w:rtl/>
        </w:rPr>
        <w:t>۲. ۵</w:t>
      </w:r>
      <w:r w:rsidRPr="00A309A0">
        <w:rPr>
          <w:rFonts w:ascii="Cambria Math" w:hAnsi="Cambria Math"/>
          <w:sz w:val="23"/>
          <w:szCs w:val="23"/>
          <w:rtl/>
        </w:rPr>
        <w:t xml:space="preserve"> نشان داده شده است که در بلندمدت</w:t>
      </w:r>
      <w:r w:rsidRPr="00A309A0">
        <w:rPr>
          <w:rFonts w:ascii="Cambria Math" w:hAnsi="Cambria Math" w:hint="cs"/>
          <w:sz w:val="23"/>
          <w:szCs w:val="23"/>
          <w:rtl/>
        </w:rPr>
        <w:t>،</w:t>
      </w:r>
      <w:r w:rsidRPr="00A309A0">
        <w:rPr>
          <w:rFonts w:ascii="Cambria Math" w:hAnsi="Cambria Math"/>
          <w:sz w:val="23"/>
          <w:szCs w:val="23"/>
          <w:rtl/>
        </w:rPr>
        <w:t xml:space="preserve"> سطح موجودی سرمایه به روش حل بهینه کمتر از سطح موجودی سرمایه به روش قاعده</w:t>
      </w:r>
      <w:r w:rsidRPr="00A309A0">
        <w:rPr>
          <w:rFonts w:ascii="Cambria Math" w:hAnsi="Cambria Math"/>
          <w:sz w:val="23"/>
          <w:szCs w:val="23"/>
          <w:rtl/>
        </w:rPr>
        <w:softHyphen/>
        <w:t>ی طلایی است</w:t>
      </w:r>
      <w:r w:rsidRPr="00A309A0">
        <w:rPr>
          <w:rFonts w:ascii="Cambria Math" w:hAnsi="Cambria Math" w:hint="cs"/>
          <w:sz w:val="23"/>
          <w:szCs w:val="23"/>
          <w:rtl/>
        </w:rPr>
        <w:t>.</w:t>
      </w:r>
      <w:r w:rsidRPr="00A309A0">
        <w:rPr>
          <w:rFonts w:ascii="Cambria Math" w:hAnsi="Cambria Math"/>
          <w:sz w:val="23"/>
          <w:szCs w:val="23"/>
          <w:rtl/>
        </w:rPr>
        <w:t xml:space="preserve"> زیرا در روش حل بهینه مطلوبیت حاصل از مصرف آتی با نرخ </w:t>
      </w:r>
      <w:r w:rsidRPr="00B92922">
        <w:rPr>
          <w:position w:val="-6"/>
        </w:rPr>
        <w:object w:dxaOrig="540" w:dyaOrig="260" w14:anchorId="29A6F655">
          <v:shape id="_x0000_i1227" type="#_x0000_t75" style="width:27.25pt;height:12.7pt" o:ole="">
            <v:imagedata r:id="rId417" o:title=""/>
          </v:shape>
          <o:OLEObject Type="Embed" ProgID="Equation.DSMT4" ShapeID="_x0000_i1227" DrawAspect="Content" ObjectID="_1791375171" r:id="rId418"/>
        </w:object>
      </w:r>
      <w:r w:rsidRPr="00A309A0">
        <w:rPr>
          <w:rFonts w:ascii="Cambria Math" w:hAnsi="Cambria Math"/>
          <w:sz w:val="23"/>
          <w:szCs w:val="23"/>
          <w:rtl/>
        </w:rPr>
        <w:t xml:space="preserve"> تنزیل می‌شود. در نمودار </w:t>
      </w:r>
      <w:r w:rsidRPr="00A309A0">
        <w:rPr>
          <w:rFonts w:ascii="Cambria Math" w:hAnsi="Cambria Math" w:hint="cs"/>
          <w:sz w:val="23"/>
          <w:szCs w:val="23"/>
          <w:rtl/>
        </w:rPr>
        <w:t xml:space="preserve">۲. ۶، </w:t>
      </w:r>
      <w:r w:rsidRPr="00A309A0">
        <w:rPr>
          <w:rFonts w:ascii="Cambria Math" w:hAnsi="Cambria Math"/>
          <w:sz w:val="23"/>
          <w:szCs w:val="23"/>
          <w:rtl/>
        </w:rPr>
        <w:t>موجودی سرمایه در راه حل بهینه</w:t>
      </w:r>
      <w:r w:rsidRPr="00A309A0">
        <w:rPr>
          <w:rFonts w:ascii="Cambria Math" w:hAnsi="Cambria Math" w:hint="cs"/>
          <w:sz w:val="23"/>
          <w:szCs w:val="23"/>
          <w:rtl/>
        </w:rPr>
        <w:t xml:space="preserve"> در بلندمدت،</w:t>
      </w:r>
      <w:r w:rsidRPr="00A309A0">
        <w:rPr>
          <w:rFonts w:ascii="Cambria Math" w:hAnsi="Cambria Math"/>
          <w:sz w:val="23"/>
          <w:szCs w:val="23"/>
          <w:rtl/>
        </w:rPr>
        <w:t xml:space="preserve"> در جایی به دست می</w:t>
      </w:r>
      <w:r w:rsidRPr="00A309A0">
        <w:rPr>
          <w:rFonts w:ascii="Cambria Math" w:hAnsi="Cambria Math"/>
          <w:sz w:val="23"/>
          <w:szCs w:val="23"/>
          <w:rtl/>
        </w:rPr>
        <w:softHyphen/>
        <w:t xml:space="preserve">آید که شیب تابع تولید برابر با </w:t>
      </w:r>
      <w:r w:rsidRPr="00B92922">
        <w:rPr>
          <w:position w:val="-6"/>
        </w:rPr>
        <w:object w:dxaOrig="480" w:dyaOrig="260" w14:anchorId="0544F565">
          <v:shape id="_x0000_i1228" type="#_x0000_t75" style="width:23.6pt;height:12.7pt" o:ole="">
            <v:imagedata r:id="rId419" o:title=""/>
          </v:shape>
          <o:OLEObject Type="Embed" ProgID="Equation.DSMT4" ShapeID="_x0000_i1228" DrawAspect="Content" ObjectID="_1791375172" r:id="rId420"/>
        </w:object>
      </w:r>
      <w:r w:rsidRPr="00A309A0">
        <w:rPr>
          <w:rFonts w:ascii="Cambria Math" w:hAnsi="Cambria Math"/>
          <w:sz w:val="23"/>
          <w:szCs w:val="23"/>
          <w:rtl/>
        </w:rPr>
        <w:t xml:space="preserve"> باشد که تندتر از شیب تابع تولید به روش قاعده</w:t>
      </w:r>
      <w:r w:rsidRPr="00A309A0">
        <w:rPr>
          <w:rFonts w:ascii="Cambria Math" w:hAnsi="Cambria Math"/>
          <w:sz w:val="23"/>
          <w:szCs w:val="23"/>
          <w:rtl/>
        </w:rPr>
        <w:softHyphen/>
        <w:t xml:space="preserve">ی طلایی </w:t>
      </w:r>
      <w:r w:rsidRPr="00A309A0">
        <w:rPr>
          <w:rFonts w:ascii="Cambria Math" w:hAnsi="Cambria Math" w:hint="cs"/>
          <w:sz w:val="23"/>
          <w:szCs w:val="23"/>
          <w:rtl/>
        </w:rPr>
        <w:t>یعنی</w:t>
      </w:r>
      <w:r w:rsidRPr="00B92922">
        <w:rPr>
          <w:position w:val="-6"/>
        </w:rPr>
        <w:object w:dxaOrig="200" w:dyaOrig="260" w14:anchorId="4186E75A">
          <v:shape id="_x0000_i1229" type="#_x0000_t75" style="width:10.3pt;height:12.7pt" o:ole="">
            <v:imagedata r:id="rId421" o:title=""/>
          </v:shape>
          <o:OLEObject Type="Embed" ProgID="Equation.DSMT4" ShapeID="_x0000_i1229" DrawAspect="Content" ObjectID="_1791375173" r:id="rId422"/>
        </w:object>
      </w:r>
      <w:r w:rsidRPr="00A309A0">
        <w:rPr>
          <w:rFonts w:hint="cs"/>
          <w:sz w:val="23"/>
          <w:szCs w:val="23"/>
          <w:rtl/>
        </w:rPr>
        <w:t xml:space="preserve"> </w:t>
      </w:r>
      <w:r w:rsidRPr="00A309A0">
        <w:rPr>
          <w:rFonts w:ascii="Cambria Math" w:hAnsi="Cambria Math"/>
          <w:sz w:val="23"/>
          <w:szCs w:val="23"/>
          <w:rtl/>
        </w:rPr>
        <w:t>است. همان</w:t>
      </w:r>
      <w:r w:rsidRPr="00A309A0">
        <w:rPr>
          <w:rFonts w:ascii="Cambria Math" w:hAnsi="Cambria Math"/>
          <w:sz w:val="23"/>
          <w:szCs w:val="23"/>
          <w:rtl/>
        </w:rPr>
        <w:softHyphen/>
        <w:t>گونه که مشاهده می</w:t>
      </w:r>
      <w:r w:rsidRPr="00A309A0">
        <w:rPr>
          <w:rFonts w:ascii="Cambria Math" w:hAnsi="Cambria Math"/>
          <w:sz w:val="23"/>
          <w:szCs w:val="23"/>
          <w:rtl/>
        </w:rPr>
        <w:softHyphen/>
        <w:t>شود سطح موجودی سرمایه، تولید و مصرف بلندمدت به روش حل بهینه کم</w:t>
      </w:r>
      <w:r w:rsidRPr="00A309A0">
        <w:rPr>
          <w:rFonts w:ascii="Cambria Math" w:hAnsi="Cambria Math"/>
          <w:sz w:val="23"/>
          <w:szCs w:val="23"/>
          <w:rtl/>
        </w:rPr>
        <w:softHyphen/>
        <w:t>تر از روش قاعده</w:t>
      </w:r>
      <w:r w:rsidRPr="00A309A0">
        <w:rPr>
          <w:rFonts w:ascii="Cambria Math" w:hAnsi="Cambria Math"/>
          <w:sz w:val="23"/>
          <w:szCs w:val="23"/>
          <w:rtl/>
        </w:rPr>
        <w:softHyphen/>
        <w:t>ی طلایی است</w:t>
      </w:r>
      <w:r w:rsidRPr="00A309A0">
        <w:rPr>
          <w:rFonts w:ascii="Cambria Math" w:hAnsi="Cambria Math" w:hint="cs"/>
          <w:sz w:val="23"/>
          <w:szCs w:val="23"/>
          <w:rtl/>
        </w:rPr>
        <w:t>،</w:t>
      </w:r>
      <w:r w:rsidRPr="00A309A0">
        <w:rPr>
          <w:rFonts w:ascii="Cambria Math" w:hAnsi="Cambria Math"/>
          <w:sz w:val="23"/>
          <w:szCs w:val="23"/>
          <w:rtl/>
        </w:rPr>
        <w:t xml:space="preserve"> یعنی</w:t>
      </w:r>
      <w:r w:rsidRPr="00B92922">
        <w:rPr>
          <w:position w:val="-6"/>
        </w:rPr>
        <w:object w:dxaOrig="700" w:dyaOrig="300" w14:anchorId="6F66425B">
          <v:shape id="_x0000_i1230" type="#_x0000_t75" style="width:35.1pt;height:15.15pt" o:ole="">
            <v:imagedata r:id="rId423" o:title=""/>
          </v:shape>
          <o:OLEObject Type="Embed" ProgID="Equation.DSMT4" ShapeID="_x0000_i1230" DrawAspect="Content" ObjectID="_1791375174" r:id="rId424"/>
        </w:object>
      </w:r>
      <w:r w:rsidRPr="00A309A0">
        <w:rPr>
          <w:rFonts w:ascii="Cambria Math" w:hAnsi="Cambria Math"/>
          <w:sz w:val="23"/>
          <w:szCs w:val="23"/>
          <w:rtl/>
        </w:rPr>
        <w:t>،</w:t>
      </w:r>
      <w:r w:rsidRPr="00B92922">
        <w:rPr>
          <w:position w:val="-8"/>
        </w:rPr>
        <w:object w:dxaOrig="720" w:dyaOrig="320" w14:anchorId="410C9505">
          <v:shape id="_x0000_i1231" type="#_x0000_t75" style="width:36.3pt;height:15.75pt" o:ole="">
            <v:imagedata r:id="rId425" o:title=""/>
          </v:shape>
          <o:OLEObject Type="Embed" ProgID="Equation.DSMT4" ShapeID="_x0000_i1231" DrawAspect="Content" ObjectID="_1791375175" r:id="rId426"/>
        </w:object>
      </w:r>
      <w:r w:rsidRPr="00A309A0">
        <w:rPr>
          <w:rFonts w:ascii="Cambria Math" w:hAnsi="Cambria Math" w:hint="cs"/>
          <w:sz w:val="23"/>
          <w:szCs w:val="23"/>
          <w:rtl/>
        </w:rPr>
        <w:t xml:space="preserve"> </w:t>
      </w:r>
      <w:r w:rsidRPr="00A309A0">
        <w:rPr>
          <w:rFonts w:ascii="Cambria Math" w:eastAsia="LucidaNewMath-AltItalic" w:hAnsi="Cambria Math"/>
          <w:sz w:val="23"/>
          <w:szCs w:val="23"/>
          <w:rtl/>
        </w:rPr>
        <w:t>و</w:t>
      </w:r>
      <w:r w:rsidRPr="00B92922">
        <w:rPr>
          <w:position w:val="-6"/>
        </w:rPr>
        <w:object w:dxaOrig="660" w:dyaOrig="300" w14:anchorId="1ABDB351">
          <v:shape id="_x0000_i1232" type="#_x0000_t75" style="width:32.65pt;height:15.15pt" o:ole="">
            <v:imagedata r:id="rId427" o:title=""/>
          </v:shape>
          <o:OLEObject Type="Embed" ProgID="Equation.DSMT4" ShapeID="_x0000_i1232" DrawAspect="Content" ObjectID="_1791375176" r:id="rId428"/>
        </w:object>
      </w:r>
      <w:r w:rsidRPr="00A309A0">
        <w:rPr>
          <w:rFonts w:ascii="Cambria Math" w:hAnsi="Cambria Math" w:hint="cs"/>
          <w:sz w:val="23"/>
          <w:szCs w:val="23"/>
          <w:rtl/>
        </w:rPr>
        <w:t xml:space="preserve"> </w:t>
      </w:r>
      <w:r w:rsidRPr="00A309A0">
        <w:rPr>
          <w:rFonts w:ascii="Cambria Math" w:eastAsia="LucidaNewMath-AltItalic" w:hAnsi="Cambria Math" w:hint="cs"/>
          <w:sz w:val="23"/>
          <w:szCs w:val="23"/>
          <w:rtl/>
        </w:rPr>
        <w:t>م</w:t>
      </w:r>
      <w:r w:rsidRPr="00A309A0">
        <w:rPr>
          <w:rFonts w:ascii="Cambria Math" w:eastAsia="LucidaNewMath-AltItalic" w:hAnsi="Cambria Math"/>
          <w:sz w:val="23"/>
          <w:szCs w:val="23"/>
          <w:rtl/>
        </w:rPr>
        <w:t>ی</w:t>
      </w:r>
      <w:r w:rsidRPr="00A309A0">
        <w:rPr>
          <w:rFonts w:ascii="Cambria Math" w:eastAsia="LucidaNewMath-AltItalic" w:hAnsi="Cambria Math"/>
          <w:sz w:val="23"/>
          <w:szCs w:val="23"/>
          <w:rtl/>
        </w:rPr>
        <w:softHyphen/>
        <w:t xml:space="preserve">باشد. </w:t>
      </w:r>
      <w:r w:rsidRPr="00A309A0">
        <w:rPr>
          <w:rFonts w:ascii="Cambria Math" w:hAnsi="Cambria Math"/>
          <w:sz w:val="23"/>
          <w:szCs w:val="23"/>
          <w:rtl/>
        </w:rPr>
        <w:t>بنابراین تنزیل زمان منجر به مصرف پایین</w:t>
      </w:r>
      <w:r w:rsidRPr="00A309A0">
        <w:rPr>
          <w:rFonts w:ascii="Cambria Math" w:hAnsi="Cambria Math"/>
          <w:sz w:val="23"/>
          <w:szCs w:val="23"/>
          <w:rtl/>
        </w:rPr>
        <w:softHyphen/>
        <w:t>تر و مطلوبیت کم</w:t>
      </w:r>
      <w:r w:rsidRPr="00A309A0">
        <w:rPr>
          <w:rFonts w:ascii="Cambria Math" w:hAnsi="Cambria Math"/>
          <w:sz w:val="23"/>
          <w:szCs w:val="23"/>
          <w:rtl/>
        </w:rPr>
        <w:softHyphen/>
        <w:t>تر می</w:t>
      </w:r>
      <w:r w:rsidRPr="00A309A0">
        <w:rPr>
          <w:rFonts w:ascii="Cambria Math" w:hAnsi="Cambria Math"/>
          <w:sz w:val="23"/>
          <w:szCs w:val="23"/>
          <w:rtl/>
        </w:rPr>
        <w:softHyphen/>
        <w:t xml:space="preserve">شود. شاید این استنتاج دلیل خوبی برای عدم تنزیل آینده باشد، اما به منظور نشان دادن </w:t>
      </w:r>
      <w:r w:rsidRPr="00A309A0">
        <w:rPr>
          <w:rFonts w:ascii="Cambria Math" w:hAnsi="Cambria Math" w:hint="cs"/>
          <w:sz w:val="23"/>
          <w:szCs w:val="23"/>
          <w:rtl/>
        </w:rPr>
        <w:t xml:space="preserve">مزیت و </w:t>
      </w:r>
      <w:r w:rsidRPr="00A309A0">
        <w:rPr>
          <w:rFonts w:ascii="Cambria Math" w:hAnsi="Cambria Math"/>
          <w:sz w:val="23"/>
          <w:szCs w:val="23"/>
          <w:rtl/>
        </w:rPr>
        <w:t>فایده تنزیل زمان</w:t>
      </w:r>
      <w:r w:rsidRPr="00A309A0">
        <w:rPr>
          <w:rFonts w:ascii="Cambria Math" w:hAnsi="Cambria Math" w:hint="cs"/>
          <w:sz w:val="23"/>
          <w:szCs w:val="23"/>
          <w:rtl/>
        </w:rPr>
        <w:t>،</w:t>
      </w:r>
      <w:r w:rsidRPr="00A309A0">
        <w:rPr>
          <w:rFonts w:ascii="Cambria Math" w:hAnsi="Cambria Math"/>
          <w:sz w:val="23"/>
          <w:szCs w:val="23"/>
          <w:rtl/>
        </w:rPr>
        <w:t xml:space="preserve"> </w:t>
      </w:r>
      <w:r w:rsidRPr="00A309A0">
        <w:rPr>
          <w:rFonts w:ascii="Cambria Math" w:hAnsi="Cambria Math" w:hint="cs"/>
          <w:sz w:val="23"/>
          <w:szCs w:val="23"/>
          <w:rtl/>
        </w:rPr>
        <w:t>می</w:t>
      </w:r>
      <w:r w:rsidRPr="00A309A0">
        <w:rPr>
          <w:rFonts w:ascii="Cambria Math" w:hAnsi="Cambria Math"/>
          <w:sz w:val="23"/>
          <w:szCs w:val="23"/>
          <w:rtl/>
        </w:rPr>
        <w:softHyphen/>
        <w:t>بای</w:t>
      </w:r>
      <w:r w:rsidRPr="00A309A0">
        <w:rPr>
          <w:rFonts w:ascii="Cambria Math" w:hAnsi="Cambria Math" w:hint="cs"/>
          <w:sz w:val="23"/>
          <w:szCs w:val="23"/>
          <w:rtl/>
        </w:rPr>
        <w:t>ست</w:t>
      </w:r>
      <w:r w:rsidRPr="00A309A0">
        <w:rPr>
          <w:rFonts w:ascii="Cambria Math" w:hAnsi="Cambria Math"/>
          <w:sz w:val="23"/>
          <w:szCs w:val="23"/>
          <w:rtl/>
        </w:rPr>
        <w:t xml:space="preserve"> پویایی</w:t>
      </w:r>
      <w:r w:rsidRPr="00A309A0">
        <w:rPr>
          <w:rFonts w:ascii="Cambria Math" w:hAnsi="Cambria Math"/>
          <w:sz w:val="23"/>
          <w:szCs w:val="23"/>
          <w:rtl/>
        </w:rPr>
        <w:softHyphen/>
        <w:t>ها و ثبات</w:t>
      </w:r>
      <w:r w:rsidRPr="00A309A0">
        <w:rPr>
          <w:rFonts w:ascii="Cambria Math" w:hAnsi="Cambria Math" w:hint="cs"/>
          <w:sz w:val="23"/>
          <w:szCs w:val="23"/>
          <w:rtl/>
        </w:rPr>
        <w:t xml:space="preserve"> و پایداری </w:t>
      </w:r>
      <w:r w:rsidRPr="00A309A0">
        <w:rPr>
          <w:rFonts w:ascii="Cambria Math" w:hAnsi="Cambria Math"/>
          <w:sz w:val="23"/>
          <w:szCs w:val="23"/>
          <w:rtl/>
        </w:rPr>
        <w:t xml:space="preserve">این راه حل را نیز تجزیه و تحلیل </w:t>
      </w:r>
      <w:r w:rsidRPr="00A309A0">
        <w:rPr>
          <w:rFonts w:ascii="Cambria Math" w:hAnsi="Cambria Math" w:hint="cs"/>
          <w:sz w:val="23"/>
          <w:szCs w:val="23"/>
          <w:rtl/>
        </w:rPr>
        <w:t>کنی</w:t>
      </w:r>
      <w:r w:rsidRPr="00A309A0">
        <w:rPr>
          <w:rFonts w:ascii="Cambria Math" w:hAnsi="Cambria Math"/>
          <w:sz w:val="23"/>
          <w:szCs w:val="23"/>
          <w:rtl/>
        </w:rPr>
        <w:t>م.</w:t>
      </w:r>
    </w:p>
    <w:p w14:paraId="0F709B67" w14:textId="77777777" w:rsidR="00411620" w:rsidRPr="00A309A0" w:rsidRDefault="00411620" w:rsidP="00411620">
      <w:pPr>
        <w:spacing w:line="216" w:lineRule="auto"/>
        <w:rPr>
          <w:rFonts w:ascii="Cambria Math" w:hAnsi="Cambria Math"/>
          <w:sz w:val="23"/>
          <w:szCs w:val="23"/>
          <w:rtl/>
        </w:rPr>
      </w:pPr>
    </w:p>
    <w:p w14:paraId="6E06794F" w14:textId="77777777" w:rsidR="00411620" w:rsidRPr="00A309A0" w:rsidRDefault="00411620" w:rsidP="00411620">
      <w:pPr>
        <w:spacing w:line="216" w:lineRule="auto"/>
        <w:rPr>
          <w:rFonts w:ascii="Cambria Math" w:hAnsi="Cambria Math"/>
          <w:b/>
          <w:bCs/>
          <w:sz w:val="23"/>
          <w:szCs w:val="23"/>
          <w:rtl/>
        </w:rPr>
      </w:pPr>
      <w:r w:rsidRPr="00A309A0">
        <w:rPr>
          <w:rFonts w:ascii="Cambria Math" w:hAnsi="Cambria Math"/>
          <w:sz w:val="23"/>
          <w:szCs w:val="23"/>
          <w:rtl/>
        </w:rPr>
        <w:t xml:space="preserve"> </w:t>
      </w:r>
      <w:r w:rsidRPr="00A309A0">
        <w:rPr>
          <w:rFonts w:ascii="Cambria Math" w:hAnsi="Cambria Math"/>
          <w:b/>
          <w:bCs/>
          <w:sz w:val="23"/>
          <w:szCs w:val="23"/>
          <w:rtl/>
        </w:rPr>
        <w:t xml:space="preserve">مثال </w:t>
      </w:r>
    </w:p>
    <w:p w14:paraId="0968C310" w14:textId="77777777" w:rsidR="00411620" w:rsidRDefault="00411620" w:rsidP="00411620">
      <w:pPr>
        <w:spacing w:line="216" w:lineRule="auto"/>
        <w:rPr>
          <w:rFonts w:ascii="Cambria Math" w:hAnsi="Cambria Math"/>
          <w:sz w:val="23"/>
          <w:szCs w:val="23"/>
        </w:rPr>
      </w:pPr>
      <w:r w:rsidRPr="00A309A0">
        <w:rPr>
          <w:rFonts w:ascii="Cambria Math" w:hAnsi="Cambria Math"/>
          <w:sz w:val="23"/>
          <w:szCs w:val="23"/>
          <w:rtl/>
        </w:rPr>
        <w:lastRenderedPageBreak/>
        <w:t xml:space="preserve">اگر تابع مطلوبیت از نوع تابع </w:t>
      </w:r>
      <w:r w:rsidRPr="00A309A0">
        <w:rPr>
          <w:rFonts w:ascii="Cambria Math" w:hAnsi="Cambria Math" w:hint="cs"/>
          <w:sz w:val="23"/>
          <w:szCs w:val="23"/>
          <w:rtl/>
        </w:rPr>
        <w:t xml:space="preserve">مطلوبیت </w:t>
      </w:r>
      <w:r w:rsidRPr="00A309A0">
        <w:rPr>
          <w:rFonts w:ascii="Cambria Math" w:hAnsi="Cambria Math"/>
          <w:sz w:val="23"/>
          <w:szCs w:val="23"/>
          <w:rtl/>
        </w:rPr>
        <w:t>توانی</w:t>
      </w:r>
      <w:r w:rsidRPr="00A309A0">
        <w:rPr>
          <w:rStyle w:val="FootnoteReference"/>
          <w:rFonts w:ascii="Cambria Math" w:eastAsiaTheme="majorEastAsia" w:hAnsi="Cambria Math"/>
          <w:sz w:val="23"/>
          <w:szCs w:val="23"/>
          <w:rtl/>
        </w:rPr>
        <w:footnoteReference w:id="72"/>
      </w:r>
      <w:r w:rsidRPr="00A309A0">
        <w:rPr>
          <w:rFonts w:ascii="Cambria Math" w:hAnsi="Cambria Math"/>
          <w:sz w:val="23"/>
          <w:szCs w:val="23"/>
          <w:rtl/>
        </w:rPr>
        <w:t xml:space="preserve"> و تابع تولید از نوع تابع تولید کاب داگلاس باشد</w:t>
      </w:r>
      <w:r w:rsidRPr="00A309A0">
        <w:rPr>
          <w:rFonts w:ascii="Cambria Math" w:hAnsi="Cambria Math" w:hint="cs"/>
          <w:sz w:val="23"/>
          <w:szCs w:val="23"/>
          <w:rtl/>
        </w:rPr>
        <w:t>،</w:t>
      </w:r>
      <w:r w:rsidRPr="00A309A0">
        <w:rPr>
          <w:rFonts w:ascii="Cambria Math" w:hAnsi="Cambria Math"/>
          <w:sz w:val="23"/>
          <w:szCs w:val="23"/>
          <w:rtl/>
        </w:rPr>
        <w:t xml:space="preserve"> آنگاه سطح موجودی سرمایه، تولید و مصرف به روش حل بهینه چقدر می</w:t>
      </w:r>
      <w:r w:rsidRPr="00A309A0">
        <w:rPr>
          <w:rFonts w:ascii="Cambria Math" w:hAnsi="Cambria Math"/>
          <w:sz w:val="23"/>
          <w:szCs w:val="23"/>
          <w:rtl/>
        </w:rPr>
        <w:softHyphen/>
        <w:t>باشد؟ تابع مطلوبیت عبارت است از</w:t>
      </w:r>
    </w:p>
    <w:p w14:paraId="130FFDEE" w14:textId="77777777" w:rsidR="00411620" w:rsidRDefault="00411620" w:rsidP="00411620">
      <w:pPr>
        <w:bidi w:val="0"/>
        <w:spacing w:line="216" w:lineRule="auto"/>
      </w:pPr>
      <w:r w:rsidRPr="00B92922">
        <w:rPr>
          <w:position w:val="-22"/>
        </w:rPr>
        <w:object w:dxaOrig="1260" w:dyaOrig="600" w14:anchorId="7A94DD60">
          <v:shape id="_x0000_i1233" type="#_x0000_t75" style="width:62.9pt;height:29.65pt" o:ole="">
            <v:imagedata r:id="rId429" o:title=""/>
          </v:shape>
          <o:OLEObject Type="Embed" ProgID="Equation.DSMT4" ShapeID="_x0000_i1233" DrawAspect="Content" ObjectID="_1791375177" r:id="rId430"/>
        </w:object>
      </w:r>
    </w:p>
    <w:p w14:paraId="678D4104" w14:textId="77777777" w:rsidR="00411620" w:rsidRPr="00A309A0" w:rsidRDefault="00411620" w:rsidP="00411620">
      <w:pPr>
        <w:spacing w:line="216" w:lineRule="auto"/>
        <w:rPr>
          <w:sz w:val="23"/>
          <w:szCs w:val="23"/>
        </w:rPr>
      </w:pPr>
      <w:r w:rsidRPr="00A309A0">
        <w:rPr>
          <w:rFonts w:ascii="Cambria Math" w:hAnsi="Cambria Math"/>
          <w:sz w:val="23"/>
          <w:szCs w:val="23"/>
          <w:rtl/>
        </w:rPr>
        <w:t>که در آن</w:t>
      </w:r>
      <w:r w:rsidRPr="00B92922">
        <w:rPr>
          <w:position w:val="-6"/>
        </w:rPr>
        <w:object w:dxaOrig="220" w:dyaOrig="200" w14:anchorId="3BFD997F">
          <v:shape id="_x0000_i1234" type="#_x0000_t75" style="width:10.9pt;height:10.3pt" o:ole="">
            <v:imagedata r:id="rId431" o:title=""/>
          </v:shape>
          <o:OLEObject Type="Embed" ProgID="Equation.DSMT4" ShapeID="_x0000_i1234" DrawAspect="Content" ObjectID="_1791375178" r:id="rId432"/>
        </w:object>
      </w:r>
      <w:r w:rsidRPr="00A309A0">
        <w:rPr>
          <w:rFonts w:ascii="Cambria Math" w:hAnsi="Cambria Math"/>
          <w:sz w:val="23"/>
          <w:szCs w:val="23"/>
          <w:rtl/>
        </w:rPr>
        <w:t xml:space="preserve"> ضریب ریسک </w:t>
      </w:r>
      <w:r w:rsidRPr="00A309A0">
        <w:rPr>
          <w:rFonts w:ascii="Cambria Math" w:hAnsi="Cambria Math" w:hint="cs"/>
          <w:sz w:val="23"/>
          <w:szCs w:val="23"/>
          <w:rtl/>
        </w:rPr>
        <w:t xml:space="preserve">گریزی </w:t>
      </w:r>
      <w:r w:rsidRPr="00A309A0">
        <w:rPr>
          <w:rFonts w:ascii="Cambria Math" w:hAnsi="Cambria Math"/>
          <w:sz w:val="23"/>
          <w:szCs w:val="23"/>
          <w:rtl/>
        </w:rPr>
        <w:t>نسبی</w:t>
      </w:r>
      <w:r w:rsidRPr="00A309A0">
        <w:rPr>
          <w:rStyle w:val="FootnoteReference"/>
          <w:rFonts w:ascii="Cambria Math" w:eastAsiaTheme="majorEastAsia" w:hAnsi="Cambria Math"/>
          <w:sz w:val="23"/>
          <w:szCs w:val="23"/>
          <w:rtl/>
        </w:rPr>
        <w:footnoteReference w:id="73"/>
      </w:r>
      <w:r w:rsidRPr="00A309A0">
        <w:rPr>
          <w:rFonts w:ascii="Cambria Math" w:hAnsi="Cambria Math"/>
          <w:sz w:val="23"/>
          <w:szCs w:val="23"/>
          <w:rtl/>
        </w:rPr>
        <w:t xml:space="preserve"> است و برابر است با </w:t>
      </w:r>
      <w:r w:rsidRPr="00B92922">
        <w:rPr>
          <w:position w:val="-10"/>
        </w:rPr>
        <w:object w:dxaOrig="1320" w:dyaOrig="320" w14:anchorId="0AF66D17">
          <v:shape id="_x0000_i1235" type="#_x0000_t75" style="width:65.95pt;height:15.75pt" o:ole="">
            <v:imagedata r:id="rId433" o:title=""/>
          </v:shape>
          <o:OLEObject Type="Embed" ProgID="Equation.DSMT4" ShapeID="_x0000_i1235" DrawAspect="Content" ObjectID="_1791375179" r:id="rId434"/>
        </w:object>
      </w:r>
      <w:r w:rsidRPr="00A309A0">
        <w:rPr>
          <w:rFonts w:ascii="Cambria Math" w:hAnsi="Cambria Math"/>
          <w:sz w:val="23"/>
          <w:szCs w:val="23"/>
          <w:rtl/>
        </w:rPr>
        <w:t xml:space="preserve">. زیرا </w:t>
      </w:r>
      <w:r w:rsidRPr="00A309A0">
        <w:rPr>
          <w:rFonts w:ascii="Cambria Math" w:hAnsi="Cambria Math" w:hint="cs"/>
          <w:sz w:val="23"/>
          <w:szCs w:val="23"/>
          <w:rtl/>
        </w:rPr>
        <w:t xml:space="preserve"> </w:t>
      </w:r>
    </w:p>
    <w:p w14:paraId="31042114" w14:textId="77777777" w:rsidR="00411620" w:rsidRPr="00A309A0" w:rsidRDefault="00411620" w:rsidP="00411620">
      <w:pPr>
        <w:spacing w:line="216" w:lineRule="auto"/>
        <w:jc w:val="center"/>
        <w:rPr>
          <w:rFonts w:ascii="Cambria Math" w:hAnsi="Cambria Math"/>
          <w:sz w:val="23"/>
          <w:szCs w:val="23"/>
        </w:rPr>
      </w:pPr>
      <w:r w:rsidRPr="00A309A0">
        <w:rPr>
          <w:rFonts w:ascii="Cambria Math" w:hAnsi="Cambria Math" w:hint="cs"/>
          <w:sz w:val="23"/>
          <w:szCs w:val="23"/>
          <w:rtl/>
        </w:rPr>
        <w:t>نمودار</w:t>
      </w:r>
      <w:r w:rsidRPr="00A309A0">
        <w:rPr>
          <w:rFonts w:ascii="Cambria Math" w:hAnsi="Cambria Math"/>
          <w:sz w:val="23"/>
          <w:szCs w:val="23"/>
          <w:rtl/>
        </w:rPr>
        <w:t xml:space="preserve"> </w:t>
      </w:r>
      <w:r w:rsidRPr="00A309A0">
        <w:rPr>
          <w:rFonts w:ascii="Cambria Math" w:hAnsi="Cambria Math" w:hint="cs"/>
          <w:sz w:val="23"/>
          <w:szCs w:val="23"/>
          <w:rtl/>
        </w:rPr>
        <w:t>۲. ۵</w:t>
      </w:r>
      <w:r w:rsidRPr="00A309A0">
        <w:rPr>
          <w:rFonts w:ascii="Cambria Math" w:hAnsi="Cambria Math"/>
          <w:sz w:val="23"/>
          <w:szCs w:val="23"/>
          <w:rtl/>
        </w:rPr>
        <w:t xml:space="preserve"> </w:t>
      </w:r>
    </w:p>
    <w:p w14:paraId="0675C1F4" w14:textId="77777777" w:rsidR="00411620" w:rsidRPr="00A309A0" w:rsidRDefault="00411620" w:rsidP="00411620">
      <w:pPr>
        <w:spacing w:line="216" w:lineRule="auto"/>
        <w:jc w:val="center"/>
        <w:rPr>
          <w:rFonts w:ascii="Cambria Math" w:hAnsi="Cambria Math"/>
          <w:sz w:val="23"/>
          <w:szCs w:val="23"/>
          <w:rtl/>
        </w:rPr>
      </w:pPr>
      <w:r w:rsidRPr="00A309A0">
        <w:rPr>
          <w:rFonts w:ascii="Cambria Math" w:hAnsi="Cambria Math"/>
          <w:noProof/>
          <w:sz w:val="23"/>
          <w:szCs w:val="23"/>
          <w:u w:val="single"/>
          <w:lang w:bidi="ar-SA"/>
        </w:rPr>
        <w:drawing>
          <wp:inline distT="0" distB="0" distL="0" distR="0" wp14:anchorId="4AD5D178" wp14:editId="07D1B493">
            <wp:extent cx="3652110" cy="1828800"/>
            <wp:effectExtent l="38100" t="38100" r="43815" b="381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extLst>
                        <a:ext uri="{BEBA8EAE-BF5A-486C-A8C5-ECC9F3942E4B}">
                          <a14:imgProps xmlns:a14="http://schemas.microsoft.com/office/drawing/2010/main">
                            <a14:imgLayer r:embed="rId436">
                              <a14:imgEffect>
                                <a14:brightnessContrast contrast="20000"/>
                              </a14:imgEffect>
                            </a14:imgLayer>
                          </a14:imgProps>
                        </a:ext>
                      </a:extLst>
                    </a:blip>
                    <a:stretch>
                      <a:fillRect/>
                    </a:stretch>
                  </pic:blipFill>
                  <pic:spPr>
                    <a:xfrm>
                      <a:off x="0" y="0"/>
                      <a:ext cx="3661512" cy="1833508"/>
                    </a:xfrm>
                    <a:prstGeom prst="rect">
                      <a:avLst/>
                    </a:prstGeom>
                    <a:ln w="28575">
                      <a:solidFill>
                        <a:schemeClr val="tx1"/>
                      </a:solidFill>
                    </a:ln>
                  </pic:spPr>
                </pic:pic>
              </a:graphicData>
            </a:graphic>
          </wp:inline>
        </w:drawing>
      </w:r>
    </w:p>
    <w:p w14:paraId="6E9E5E44" w14:textId="77777777" w:rsidR="00411620" w:rsidRPr="00A309A0" w:rsidRDefault="00411620" w:rsidP="00411620">
      <w:pPr>
        <w:spacing w:line="216" w:lineRule="auto"/>
        <w:jc w:val="center"/>
        <w:rPr>
          <w:rFonts w:ascii="Cambria Math" w:hAnsi="Cambria Math"/>
          <w:sz w:val="23"/>
          <w:szCs w:val="23"/>
          <w:rtl/>
        </w:rPr>
      </w:pPr>
      <w:r w:rsidRPr="00A309A0">
        <w:rPr>
          <w:rFonts w:ascii="Cambria Math" w:hAnsi="Cambria Math" w:hint="cs"/>
          <w:sz w:val="23"/>
          <w:szCs w:val="23"/>
          <w:rtl/>
        </w:rPr>
        <w:t>نمودار</w:t>
      </w:r>
      <w:r w:rsidRPr="00A309A0">
        <w:rPr>
          <w:rFonts w:ascii="Cambria Math" w:hAnsi="Cambria Math"/>
          <w:sz w:val="23"/>
          <w:szCs w:val="23"/>
          <w:rtl/>
        </w:rPr>
        <w:t xml:space="preserve"> </w:t>
      </w:r>
      <w:r w:rsidRPr="00A309A0">
        <w:rPr>
          <w:rFonts w:ascii="Cambria Math" w:hAnsi="Cambria Math" w:hint="cs"/>
          <w:sz w:val="23"/>
          <w:szCs w:val="23"/>
          <w:rtl/>
        </w:rPr>
        <w:t>۲. ۶</w:t>
      </w:r>
    </w:p>
    <w:p w14:paraId="4C93527C" w14:textId="77777777" w:rsidR="00411620" w:rsidRPr="00A309A0" w:rsidRDefault="00411620" w:rsidP="00411620">
      <w:pPr>
        <w:pStyle w:val="MTDisplayEquation"/>
        <w:tabs>
          <w:tab w:val="clear" w:pos="6660"/>
        </w:tabs>
        <w:bidi/>
        <w:spacing w:line="216" w:lineRule="auto"/>
        <w:jc w:val="center"/>
        <w:rPr>
          <w:rFonts w:ascii="Cambria Math" w:hAnsi="Cambria Math" w:cs="B Nazanin"/>
          <w:sz w:val="23"/>
          <w:szCs w:val="23"/>
          <w:rtl/>
          <w:lang w:bidi="fa-IR"/>
        </w:rPr>
      </w:pPr>
      <w:r w:rsidRPr="00A309A0">
        <w:rPr>
          <w:rFonts w:ascii="Cambria Math" w:hAnsi="Cambria Math" w:cs="B Nazanin"/>
          <w:noProof/>
          <w:sz w:val="23"/>
          <w:szCs w:val="23"/>
          <w:u w:val="single"/>
        </w:rPr>
        <w:drawing>
          <wp:inline distT="0" distB="0" distL="0" distR="0" wp14:anchorId="130925ED" wp14:editId="6100A340">
            <wp:extent cx="3651646" cy="1767358"/>
            <wp:effectExtent l="38100" t="38100" r="44450" b="425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extLst>
                        <a:ext uri="{BEBA8EAE-BF5A-486C-A8C5-ECC9F3942E4B}">
                          <a14:imgProps xmlns:a14="http://schemas.microsoft.com/office/drawing/2010/main">
                            <a14:imgLayer r:embed="rId438">
                              <a14:imgEffect>
                                <a14:brightnessContrast contrast="20000"/>
                              </a14:imgEffect>
                            </a14:imgLayer>
                          </a14:imgProps>
                        </a:ext>
                      </a:extLst>
                    </a:blip>
                    <a:stretch>
                      <a:fillRect/>
                    </a:stretch>
                  </pic:blipFill>
                  <pic:spPr>
                    <a:xfrm>
                      <a:off x="0" y="0"/>
                      <a:ext cx="3684724" cy="1783367"/>
                    </a:xfrm>
                    <a:prstGeom prst="rect">
                      <a:avLst/>
                    </a:prstGeom>
                    <a:ln w="28575">
                      <a:solidFill>
                        <a:schemeClr val="tx1"/>
                      </a:solidFill>
                    </a:ln>
                  </pic:spPr>
                </pic:pic>
              </a:graphicData>
            </a:graphic>
          </wp:inline>
        </w:drawing>
      </w:r>
    </w:p>
    <w:p w14:paraId="4AD03B95" w14:textId="77777777" w:rsidR="00411620" w:rsidRPr="00A309A0" w:rsidRDefault="00411620" w:rsidP="00411620">
      <w:pPr>
        <w:pStyle w:val="MTDisplayEquation"/>
        <w:bidi/>
        <w:spacing w:line="216" w:lineRule="auto"/>
        <w:jc w:val="center"/>
        <w:rPr>
          <w:rFonts w:ascii="Cambria Math" w:hAnsi="Cambria Math" w:cs="B Nazanin"/>
          <w:sz w:val="23"/>
          <w:szCs w:val="23"/>
          <w:rtl/>
          <w:lang w:bidi="fa-IR"/>
        </w:rPr>
      </w:pPr>
      <w:r w:rsidRPr="00A309A0">
        <w:rPr>
          <w:rFonts w:ascii="Cambria Math" w:hAnsi="Cambria Math" w:cs="B Nazanin" w:hint="cs"/>
          <w:sz w:val="23"/>
          <w:szCs w:val="23"/>
          <w:rtl/>
          <w:lang w:bidi="fa-IR"/>
        </w:rPr>
        <w:t>نمودار</w:t>
      </w:r>
      <w:r w:rsidRPr="00A309A0">
        <w:rPr>
          <w:rFonts w:ascii="Cambria Math" w:hAnsi="Cambria Math" w:cs="B Nazanin"/>
          <w:sz w:val="23"/>
          <w:szCs w:val="23"/>
          <w:rtl/>
          <w:lang w:bidi="fa-IR"/>
        </w:rPr>
        <w:t xml:space="preserve"> </w:t>
      </w:r>
      <w:r w:rsidRPr="00A309A0">
        <w:rPr>
          <w:rFonts w:ascii="Cambria Math" w:hAnsi="Cambria Math" w:cs="B Nazanin" w:hint="cs"/>
          <w:sz w:val="23"/>
          <w:szCs w:val="23"/>
          <w:rtl/>
          <w:lang w:bidi="fa-IR"/>
        </w:rPr>
        <w:t>۲. ۷</w:t>
      </w:r>
    </w:p>
    <w:p w14:paraId="318AA97B" w14:textId="77777777" w:rsidR="00411620" w:rsidRPr="00A309A0" w:rsidRDefault="00411620" w:rsidP="00411620">
      <w:pPr>
        <w:spacing w:line="216" w:lineRule="auto"/>
        <w:jc w:val="center"/>
        <w:rPr>
          <w:rFonts w:ascii="Cambria Math" w:hAnsi="Cambria Math"/>
          <w:sz w:val="23"/>
          <w:szCs w:val="23"/>
          <w:rtl/>
        </w:rPr>
      </w:pPr>
      <w:r w:rsidRPr="00A309A0">
        <w:rPr>
          <w:rFonts w:ascii="Cambria Math" w:hAnsi="Cambria Math"/>
          <w:noProof/>
          <w:sz w:val="23"/>
          <w:szCs w:val="23"/>
          <w:u w:val="single"/>
          <w:lang w:bidi="ar-SA"/>
        </w:rPr>
        <w:lastRenderedPageBreak/>
        <w:drawing>
          <wp:inline distT="0" distB="0" distL="0" distR="0" wp14:anchorId="7083CA41" wp14:editId="0AF3110F">
            <wp:extent cx="3654860" cy="1843668"/>
            <wp:effectExtent l="38100" t="38100" r="41275" b="425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extLst>
                        <a:ext uri="{BEBA8EAE-BF5A-486C-A8C5-ECC9F3942E4B}">
                          <a14:imgProps xmlns:a14="http://schemas.microsoft.com/office/drawing/2010/main">
                            <a14:imgLayer r:embed="rId440">
                              <a14:imgEffect>
                                <a14:brightnessContrast contrast="20000"/>
                              </a14:imgEffect>
                            </a14:imgLayer>
                          </a14:imgProps>
                        </a:ext>
                      </a:extLst>
                    </a:blip>
                    <a:stretch>
                      <a:fillRect/>
                    </a:stretch>
                  </pic:blipFill>
                  <pic:spPr>
                    <a:xfrm>
                      <a:off x="0" y="0"/>
                      <a:ext cx="3664527" cy="1848544"/>
                    </a:xfrm>
                    <a:prstGeom prst="rect">
                      <a:avLst/>
                    </a:prstGeom>
                    <a:ln w="28575">
                      <a:solidFill>
                        <a:schemeClr val="tx1"/>
                      </a:solidFill>
                    </a:ln>
                  </pic:spPr>
                </pic:pic>
              </a:graphicData>
            </a:graphic>
          </wp:inline>
        </w:drawing>
      </w:r>
    </w:p>
    <w:p w14:paraId="2F94B22B" w14:textId="77777777" w:rsidR="00411620" w:rsidRPr="00A309A0" w:rsidRDefault="00411620" w:rsidP="00411620">
      <w:pPr>
        <w:spacing w:line="216" w:lineRule="auto"/>
        <w:rPr>
          <w:rFonts w:ascii="Cambria Math" w:hAnsi="Cambria Math"/>
          <w:noProof/>
          <w:sz w:val="23"/>
          <w:szCs w:val="23"/>
        </w:rPr>
      </w:pPr>
    </w:p>
    <w:p w14:paraId="7683F755" w14:textId="77777777" w:rsidR="00411620" w:rsidRPr="00A309A0" w:rsidRDefault="00411620" w:rsidP="00411620">
      <w:pPr>
        <w:bidi w:val="0"/>
        <w:spacing w:line="216" w:lineRule="auto"/>
        <w:rPr>
          <w:rFonts w:ascii="Cambria Math" w:hAnsi="Cambria Math"/>
          <w:sz w:val="23"/>
          <w:szCs w:val="23"/>
          <w:rtl/>
        </w:rPr>
      </w:pPr>
      <w:r w:rsidRPr="00B92922">
        <w:rPr>
          <w:position w:val="-64"/>
        </w:rPr>
        <w:object w:dxaOrig="6380" w:dyaOrig="1380" w14:anchorId="2AC3B791">
          <v:shape id="_x0000_i1236" type="#_x0000_t75" style="width:318.85pt;height:68.95pt" o:ole="">
            <v:imagedata r:id="rId441" o:title=""/>
          </v:shape>
          <o:OLEObject Type="Embed" ProgID="Equation.DSMT4" ShapeID="_x0000_i1236" DrawAspect="Content" ObjectID="_1791375180" r:id="rId442"/>
        </w:object>
      </w:r>
    </w:p>
    <w:p w14:paraId="3FB45E4E" w14:textId="77777777" w:rsidR="00411620" w:rsidRPr="00A309A0" w:rsidRDefault="00411620" w:rsidP="00411620">
      <w:pPr>
        <w:spacing w:line="216" w:lineRule="auto"/>
        <w:rPr>
          <w:rFonts w:ascii="Cambria Math" w:hAnsi="Cambria Math"/>
          <w:noProof/>
          <w:sz w:val="23"/>
          <w:szCs w:val="23"/>
        </w:rPr>
      </w:pPr>
      <w:r w:rsidRPr="00A309A0">
        <w:rPr>
          <w:rFonts w:ascii="Cambria Math" w:hAnsi="Cambria Math"/>
          <w:noProof/>
          <w:sz w:val="23"/>
          <w:szCs w:val="23"/>
          <w:rtl/>
        </w:rPr>
        <w:t xml:space="preserve">همچنین </w:t>
      </w:r>
      <w:r w:rsidRPr="00A309A0">
        <w:rPr>
          <w:rFonts w:ascii="Cambria Math" w:hAnsi="Cambria Math" w:hint="cs"/>
          <w:noProof/>
          <w:sz w:val="23"/>
          <w:szCs w:val="23"/>
          <w:rtl/>
        </w:rPr>
        <w:t xml:space="preserve">از آن جا که </w:t>
      </w:r>
      <w:r w:rsidRPr="00A309A0">
        <w:rPr>
          <w:rFonts w:ascii="Cambria Math" w:hAnsi="Cambria Math"/>
          <w:noProof/>
          <w:sz w:val="23"/>
          <w:szCs w:val="23"/>
          <w:rtl/>
        </w:rPr>
        <w:t xml:space="preserve">تابع تولید از نوع توابع کاب داگلاس است؛ </w:t>
      </w:r>
      <w:r w:rsidRPr="00A309A0">
        <w:rPr>
          <w:rFonts w:ascii="Cambria Math" w:hAnsi="Cambria Math" w:hint="cs"/>
          <w:noProof/>
          <w:sz w:val="23"/>
          <w:szCs w:val="23"/>
          <w:rtl/>
        </w:rPr>
        <w:t>آنگاه</w:t>
      </w:r>
    </w:p>
    <w:p w14:paraId="0592BBDE" w14:textId="77777777" w:rsidR="00411620" w:rsidRPr="00A309A0" w:rsidRDefault="00411620" w:rsidP="00411620">
      <w:pPr>
        <w:pStyle w:val="MTDisplayEquation"/>
        <w:spacing w:line="216" w:lineRule="auto"/>
        <w:rPr>
          <w:rFonts w:ascii="Cambria Math" w:hAnsi="Cambria Math" w:cs="B Nazanin"/>
          <w:noProof/>
          <w:sz w:val="23"/>
          <w:szCs w:val="23"/>
          <w:lang w:val="en-GB" w:bidi="fa-IR"/>
        </w:rPr>
      </w:pPr>
      <w:r w:rsidRPr="00B92922">
        <w:rPr>
          <w:position w:val="-12"/>
        </w:rPr>
        <w:object w:dxaOrig="2940" w:dyaOrig="360" w14:anchorId="3165EF99">
          <v:shape id="_x0000_i1237" type="#_x0000_t75" style="width:146.4pt;height:18.15pt" o:ole="">
            <v:imagedata r:id="rId443" o:title=""/>
          </v:shape>
          <o:OLEObject Type="Embed" ProgID="Equation.DSMT4" ShapeID="_x0000_i1237" DrawAspect="Content" ObjectID="_1791375181" r:id="rId444"/>
        </w:object>
      </w:r>
    </w:p>
    <w:p w14:paraId="693DEBD8"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بنابراین معادله</w:t>
      </w:r>
      <w:r w:rsidRPr="00A309A0">
        <w:rPr>
          <w:rFonts w:ascii="Cambria Math" w:hAnsi="Cambria Math"/>
          <w:noProof/>
          <w:sz w:val="23"/>
          <w:szCs w:val="23"/>
          <w:rtl/>
        </w:rPr>
        <w:softHyphen/>
        <w:t xml:space="preserve">ی اویلر </w:t>
      </w:r>
      <w:r w:rsidRPr="00A309A0">
        <w:rPr>
          <w:rFonts w:ascii="Cambria Math" w:hAnsi="Cambria Math" w:hint="cs"/>
          <w:noProof/>
          <w:sz w:val="23"/>
          <w:szCs w:val="23"/>
          <w:rtl/>
        </w:rPr>
        <w:t xml:space="preserve">(۲. ۱۲) </w:t>
      </w:r>
      <w:r w:rsidRPr="00A309A0">
        <w:rPr>
          <w:rFonts w:ascii="Cambria Math" w:hAnsi="Cambria Math"/>
          <w:noProof/>
          <w:sz w:val="23"/>
          <w:szCs w:val="23"/>
          <w:rtl/>
        </w:rPr>
        <w:t xml:space="preserve">عبارت است از </w:t>
      </w:r>
    </w:p>
    <w:p w14:paraId="078DA027" w14:textId="77777777" w:rsidR="00411620" w:rsidRPr="00A309A0" w:rsidRDefault="00411620" w:rsidP="00411620">
      <w:pPr>
        <w:pStyle w:val="MTDisplayEquation"/>
        <w:spacing w:line="216" w:lineRule="auto"/>
        <w:rPr>
          <w:rFonts w:ascii="Cambria Math" w:hAnsi="Cambria Math" w:cs="B Nazanin"/>
          <w:noProof/>
          <w:sz w:val="23"/>
          <w:szCs w:val="23"/>
          <w:rtl/>
          <w:lang w:bidi="fa-IR"/>
        </w:rPr>
      </w:pPr>
      <w:r w:rsidRPr="00B92922">
        <w:rPr>
          <w:position w:val="-30"/>
        </w:rPr>
        <w:object w:dxaOrig="5740" w:dyaOrig="740" w14:anchorId="2EA583B8">
          <v:shape id="_x0000_i1238" type="#_x0000_t75" style="width:286.8pt;height:36.9pt" o:ole="">
            <v:imagedata r:id="rId445" o:title=""/>
          </v:shape>
          <o:OLEObject Type="Embed" ProgID="Equation.DSMT4" ShapeID="_x0000_i1238" DrawAspect="Content" ObjectID="_1791375182" r:id="rId446"/>
        </w:object>
      </w:r>
    </w:p>
    <w:p w14:paraId="5F45B41C" w14:textId="77777777" w:rsidR="00411620" w:rsidRPr="00A309A0" w:rsidRDefault="00411620" w:rsidP="00411620">
      <w:pPr>
        <w:spacing w:line="216" w:lineRule="auto"/>
        <w:rPr>
          <w:rFonts w:ascii="Cambria Math" w:eastAsiaTheme="minorEastAsia" w:hAnsi="Cambria Math"/>
          <w:noProof/>
          <w:sz w:val="23"/>
          <w:szCs w:val="23"/>
          <w:rtl/>
          <w:lang w:val="en-GB"/>
        </w:rPr>
      </w:pPr>
      <w:r w:rsidRPr="00A309A0">
        <w:rPr>
          <w:rFonts w:ascii="Cambria Math" w:hAnsi="Cambria Math"/>
          <w:noProof/>
          <w:sz w:val="23"/>
          <w:szCs w:val="23"/>
          <w:rtl/>
        </w:rPr>
        <w:t xml:space="preserve">در بلندمدت داریم </w:t>
      </w:r>
      <w:r w:rsidRPr="00B92922">
        <w:rPr>
          <w:position w:val="-10"/>
        </w:rPr>
        <w:object w:dxaOrig="720" w:dyaOrig="320" w14:anchorId="1EBAFA18">
          <v:shape id="_x0000_i1239" type="#_x0000_t75" style="width:36.3pt;height:15.75pt" o:ole="">
            <v:imagedata r:id="rId447" o:title=""/>
          </v:shape>
          <o:OLEObject Type="Embed" ProgID="Equation.DSMT4" ShapeID="_x0000_i1239" DrawAspect="Content" ObjectID="_1791375183" r:id="rId448"/>
        </w:object>
      </w:r>
      <w:r w:rsidRPr="00A309A0">
        <w:rPr>
          <w:rFonts w:ascii="Cambria Math" w:eastAsiaTheme="minorEastAsia" w:hAnsi="Cambria Math"/>
          <w:noProof/>
          <w:sz w:val="23"/>
          <w:szCs w:val="23"/>
          <w:rtl/>
          <w:lang w:val="en-GB"/>
        </w:rPr>
        <w:t xml:space="preserve"> و</w:t>
      </w:r>
      <w:r w:rsidRPr="00A309A0">
        <w:rPr>
          <w:rFonts w:ascii="Cambria Math" w:eastAsiaTheme="minorEastAsia" w:hAnsi="Cambria Math" w:hint="cs"/>
          <w:noProof/>
          <w:sz w:val="23"/>
          <w:szCs w:val="23"/>
          <w:rtl/>
          <w:lang w:val="en-GB"/>
        </w:rPr>
        <w:t xml:space="preserve"> در نتیجه</w:t>
      </w:r>
      <w:r w:rsidRPr="00A309A0">
        <w:rPr>
          <w:rFonts w:ascii="Cambria Math" w:eastAsiaTheme="minorEastAsia" w:hAnsi="Cambria Math"/>
          <w:noProof/>
          <w:sz w:val="23"/>
          <w:szCs w:val="23"/>
          <w:rtl/>
          <w:lang w:val="en-GB"/>
        </w:rPr>
        <w:t xml:space="preserve"> </w:t>
      </w:r>
      <w:r w:rsidRPr="00B92922">
        <w:rPr>
          <w:position w:val="-6"/>
        </w:rPr>
        <w:object w:dxaOrig="1480" w:dyaOrig="300" w14:anchorId="061932CE">
          <v:shape id="_x0000_i1240" type="#_x0000_t75" style="width:73.8pt;height:15.15pt" o:ole="">
            <v:imagedata r:id="rId449" o:title=""/>
          </v:shape>
          <o:OLEObject Type="Embed" ProgID="Equation.DSMT4" ShapeID="_x0000_i1240" DrawAspect="Content" ObjectID="_1791375184" r:id="rId450"/>
        </w:object>
      </w:r>
      <w:r w:rsidRPr="00A309A0">
        <w:rPr>
          <w:rFonts w:ascii="Cambria Math" w:eastAsiaTheme="minorEastAsia" w:hAnsi="Cambria Math"/>
          <w:noProof/>
          <w:sz w:val="23"/>
          <w:szCs w:val="23"/>
          <w:rtl/>
          <w:lang w:val="en-GB"/>
        </w:rPr>
        <w:t>، بنابراین سطح موجودی سرمایه در بلندمدت یا در وضعیت یکنواخت برابر است با</w:t>
      </w:r>
    </w:p>
    <w:p w14:paraId="101B7C01" w14:textId="77777777" w:rsidR="00411620" w:rsidRPr="00A309A0" w:rsidRDefault="00411620" w:rsidP="00411620">
      <w:pPr>
        <w:bidi w:val="0"/>
        <w:spacing w:line="216" w:lineRule="auto"/>
        <w:jc w:val="left"/>
        <w:rPr>
          <w:rFonts w:ascii="Cambria Math" w:hAnsi="Cambria Math"/>
          <w:sz w:val="23"/>
          <w:szCs w:val="23"/>
          <w:u w:val="single"/>
        </w:rPr>
      </w:pPr>
      <w:r w:rsidRPr="00B92922">
        <w:rPr>
          <w:position w:val="-26"/>
        </w:rPr>
        <w:object w:dxaOrig="1600" w:dyaOrig="680" w14:anchorId="0FBEB246">
          <v:shape id="_x0000_i1241" type="#_x0000_t75" style="width:79.85pt;height:33.9pt" o:ole="">
            <v:imagedata r:id="rId451" o:title=""/>
          </v:shape>
          <o:OLEObject Type="Embed" ProgID="Equation.DSMT4" ShapeID="_x0000_i1241" DrawAspect="Content" ObjectID="_1791375185" r:id="rId452"/>
        </w:object>
      </w:r>
    </w:p>
    <w:p w14:paraId="0970E013" w14:textId="77777777" w:rsidR="00411620" w:rsidRPr="00A309A0" w:rsidRDefault="00411620" w:rsidP="00411620">
      <w:pPr>
        <w:spacing w:line="216" w:lineRule="auto"/>
        <w:rPr>
          <w:rFonts w:ascii="Cambria Math" w:eastAsiaTheme="minorEastAsia" w:hAnsi="Cambria Math"/>
          <w:noProof/>
          <w:sz w:val="23"/>
          <w:szCs w:val="23"/>
          <w:rtl/>
          <w:lang w:val="en-GB"/>
        </w:rPr>
      </w:pPr>
      <w:r w:rsidRPr="00A309A0">
        <w:rPr>
          <w:rFonts w:ascii="Cambria Math" w:eastAsiaTheme="minorEastAsia" w:hAnsi="Cambria Math"/>
          <w:noProof/>
          <w:sz w:val="23"/>
          <w:szCs w:val="23"/>
          <w:rtl/>
          <w:lang w:val="en-GB"/>
        </w:rPr>
        <w:t xml:space="preserve">سطح تولید </w:t>
      </w:r>
      <w:r w:rsidRPr="00A309A0">
        <w:rPr>
          <w:rFonts w:ascii="Cambria Math" w:eastAsiaTheme="minorEastAsia" w:hAnsi="Cambria Math" w:hint="cs"/>
          <w:noProof/>
          <w:sz w:val="23"/>
          <w:szCs w:val="23"/>
          <w:rtl/>
          <w:lang w:val="en-GB"/>
        </w:rPr>
        <w:t xml:space="preserve">نیز </w:t>
      </w:r>
      <w:r w:rsidRPr="00A309A0">
        <w:rPr>
          <w:rFonts w:ascii="Cambria Math" w:eastAsiaTheme="minorEastAsia" w:hAnsi="Cambria Math"/>
          <w:noProof/>
          <w:sz w:val="23"/>
          <w:szCs w:val="23"/>
          <w:rtl/>
          <w:lang w:val="en-GB"/>
        </w:rPr>
        <w:t xml:space="preserve">در بلندمدت یا </w:t>
      </w:r>
      <w:r w:rsidRPr="00A309A0">
        <w:rPr>
          <w:rFonts w:ascii="Cambria Math" w:eastAsiaTheme="minorEastAsia" w:hAnsi="Cambria Math" w:hint="cs"/>
          <w:noProof/>
          <w:sz w:val="23"/>
          <w:szCs w:val="23"/>
          <w:rtl/>
          <w:lang w:val="en-GB"/>
        </w:rPr>
        <w:t xml:space="preserve">در </w:t>
      </w:r>
      <w:r w:rsidRPr="00A309A0">
        <w:rPr>
          <w:rFonts w:ascii="Cambria Math" w:eastAsiaTheme="minorEastAsia" w:hAnsi="Cambria Math"/>
          <w:noProof/>
          <w:sz w:val="23"/>
          <w:szCs w:val="23"/>
          <w:rtl/>
          <w:lang w:val="en-GB"/>
        </w:rPr>
        <w:t>وضعیت یکنواخت برابر است با</w:t>
      </w:r>
    </w:p>
    <w:p w14:paraId="4A50E4BC" w14:textId="77777777" w:rsidR="00411620" w:rsidRPr="00A309A0" w:rsidRDefault="00411620" w:rsidP="00411620">
      <w:pPr>
        <w:pStyle w:val="MTDisplayEquation"/>
        <w:spacing w:line="216" w:lineRule="auto"/>
        <w:rPr>
          <w:rFonts w:ascii="Cambria Math" w:hAnsi="Cambria Math" w:cs="B Nazanin"/>
          <w:noProof/>
          <w:sz w:val="23"/>
          <w:szCs w:val="23"/>
          <w:rtl/>
        </w:rPr>
      </w:pPr>
      <w:r w:rsidRPr="00B92922">
        <w:rPr>
          <w:position w:val="-8"/>
        </w:rPr>
        <w:object w:dxaOrig="940" w:dyaOrig="340" w14:anchorId="21C9EC11">
          <v:shape id="_x0000_i1242" type="#_x0000_t75" style="width:47.2pt;height:16.95pt" o:ole="">
            <v:imagedata r:id="rId453" o:title=""/>
          </v:shape>
          <o:OLEObject Type="Embed" ProgID="Equation.DSMT4" ShapeID="_x0000_i1242" DrawAspect="Content" ObjectID="_1791375186" r:id="rId454"/>
        </w:object>
      </w:r>
    </w:p>
    <w:p w14:paraId="1C63E41B" w14:textId="77777777" w:rsidR="00411620" w:rsidRPr="00A309A0" w:rsidRDefault="00411620" w:rsidP="00411620">
      <w:pPr>
        <w:spacing w:line="216" w:lineRule="auto"/>
        <w:rPr>
          <w:rFonts w:ascii="Cambria Math" w:eastAsiaTheme="minorEastAsia" w:hAnsi="Cambria Math"/>
          <w:noProof/>
          <w:sz w:val="23"/>
          <w:szCs w:val="23"/>
          <w:rtl/>
          <w:lang w:val="en-GB"/>
        </w:rPr>
      </w:pPr>
      <w:r w:rsidRPr="00A309A0">
        <w:rPr>
          <w:rFonts w:ascii="Cambria Math" w:eastAsiaTheme="minorEastAsia" w:hAnsi="Cambria Math" w:hint="cs"/>
          <w:noProof/>
          <w:sz w:val="23"/>
          <w:szCs w:val="23"/>
          <w:rtl/>
          <w:lang w:val="en-GB"/>
        </w:rPr>
        <w:t xml:space="preserve">همچنین </w:t>
      </w:r>
      <w:r w:rsidRPr="00A309A0">
        <w:rPr>
          <w:rFonts w:ascii="Cambria Math" w:eastAsiaTheme="minorEastAsia" w:hAnsi="Cambria Math"/>
          <w:noProof/>
          <w:sz w:val="23"/>
          <w:szCs w:val="23"/>
          <w:rtl/>
          <w:lang w:val="en-GB"/>
        </w:rPr>
        <w:t xml:space="preserve">سطح </w:t>
      </w:r>
      <w:r w:rsidRPr="00A309A0">
        <w:rPr>
          <w:rFonts w:ascii="Cambria Math" w:eastAsiaTheme="minorEastAsia" w:hAnsi="Cambria Math" w:hint="cs"/>
          <w:noProof/>
          <w:sz w:val="23"/>
          <w:szCs w:val="23"/>
          <w:rtl/>
          <w:lang w:val="en-GB"/>
        </w:rPr>
        <w:t>سرمایه</w:t>
      </w:r>
      <w:r w:rsidRPr="00A309A0">
        <w:rPr>
          <w:rFonts w:ascii="Cambria Math" w:eastAsiaTheme="minorEastAsia" w:hAnsi="Cambria Math"/>
          <w:noProof/>
          <w:sz w:val="23"/>
          <w:szCs w:val="23"/>
          <w:rtl/>
          <w:lang w:val="en-GB"/>
        </w:rPr>
        <w:softHyphen/>
      </w:r>
      <w:r w:rsidRPr="00A309A0">
        <w:rPr>
          <w:rFonts w:ascii="Cambria Math" w:eastAsiaTheme="minorEastAsia" w:hAnsi="Cambria Math" w:hint="cs"/>
          <w:noProof/>
          <w:sz w:val="23"/>
          <w:szCs w:val="23"/>
          <w:rtl/>
          <w:lang w:val="en-GB"/>
        </w:rPr>
        <w:t xml:space="preserve">گذاری </w:t>
      </w:r>
      <w:r w:rsidRPr="00A309A0">
        <w:rPr>
          <w:rFonts w:ascii="Cambria Math" w:eastAsiaTheme="minorEastAsia" w:hAnsi="Cambria Math"/>
          <w:noProof/>
          <w:sz w:val="23"/>
          <w:szCs w:val="23"/>
          <w:rtl/>
          <w:lang w:val="en-GB"/>
        </w:rPr>
        <w:t>در بلندمدت یا وضعیت یکنواخت برابر است با</w:t>
      </w:r>
    </w:p>
    <w:p w14:paraId="3F329130" w14:textId="77777777" w:rsidR="00411620" w:rsidRPr="00A309A0" w:rsidRDefault="00411620" w:rsidP="00411620">
      <w:pPr>
        <w:bidi w:val="0"/>
        <w:spacing w:line="216" w:lineRule="auto"/>
        <w:rPr>
          <w:rFonts w:ascii="Cambria Math" w:eastAsiaTheme="minorEastAsia" w:hAnsi="Cambria Math"/>
          <w:noProof/>
          <w:sz w:val="23"/>
          <w:szCs w:val="23"/>
          <w:rtl/>
          <w:lang w:val="en-GB"/>
        </w:rPr>
      </w:pPr>
      <w:r w:rsidRPr="00B92922">
        <w:rPr>
          <w:position w:val="-6"/>
        </w:rPr>
        <w:object w:dxaOrig="760" w:dyaOrig="300" w14:anchorId="5A720A56">
          <v:shape id="_x0000_i1243" type="#_x0000_t75" style="width:38.1pt;height:15.15pt" o:ole="">
            <v:imagedata r:id="rId455" o:title=""/>
          </v:shape>
          <o:OLEObject Type="Embed" ProgID="Equation.DSMT4" ShapeID="_x0000_i1243" DrawAspect="Content" ObjectID="_1791375187" r:id="rId456"/>
        </w:object>
      </w:r>
    </w:p>
    <w:p w14:paraId="11F8ACD1" w14:textId="77777777" w:rsidR="00411620" w:rsidRPr="00A309A0" w:rsidRDefault="00411620" w:rsidP="00411620">
      <w:pPr>
        <w:spacing w:line="216" w:lineRule="auto"/>
        <w:rPr>
          <w:rFonts w:ascii="Cambria Math" w:hAnsi="Cambria Math"/>
          <w:noProof/>
          <w:sz w:val="23"/>
          <w:szCs w:val="23"/>
        </w:rPr>
      </w:pPr>
      <w:r w:rsidRPr="00A309A0">
        <w:rPr>
          <w:rFonts w:ascii="Cambria Math" w:hAnsi="Cambria Math"/>
          <w:noProof/>
          <w:sz w:val="23"/>
          <w:szCs w:val="23"/>
          <w:rtl/>
        </w:rPr>
        <w:t xml:space="preserve">و سطح مصرف </w:t>
      </w:r>
      <w:r w:rsidRPr="00A309A0">
        <w:rPr>
          <w:rFonts w:ascii="Cambria Math" w:hAnsi="Cambria Math" w:hint="cs"/>
          <w:noProof/>
          <w:sz w:val="23"/>
          <w:szCs w:val="23"/>
          <w:rtl/>
        </w:rPr>
        <w:t xml:space="preserve">در </w:t>
      </w:r>
      <w:r w:rsidRPr="00A309A0">
        <w:rPr>
          <w:rFonts w:ascii="Cambria Math" w:eastAsiaTheme="minorEastAsia" w:hAnsi="Cambria Math"/>
          <w:noProof/>
          <w:sz w:val="23"/>
          <w:szCs w:val="23"/>
          <w:rtl/>
          <w:lang w:val="en-GB"/>
        </w:rPr>
        <w:t xml:space="preserve">بلندمدت یا وضعیت یکنواخت </w:t>
      </w:r>
      <w:r w:rsidRPr="00A309A0">
        <w:rPr>
          <w:rFonts w:ascii="Cambria Math" w:hAnsi="Cambria Math"/>
          <w:noProof/>
          <w:sz w:val="23"/>
          <w:szCs w:val="23"/>
          <w:rtl/>
        </w:rPr>
        <w:t>برابر است با</w:t>
      </w:r>
    </w:p>
    <w:p w14:paraId="0C0A8141" w14:textId="77777777" w:rsidR="00411620" w:rsidRPr="00A309A0" w:rsidRDefault="00411620" w:rsidP="00411620">
      <w:pPr>
        <w:pStyle w:val="MTDisplayEquation"/>
        <w:spacing w:line="216" w:lineRule="auto"/>
        <w:jc w:val="left"/>
        <w:rPr>
          <w:rFonts w:ascii="Cambria Math" w:hAnsi="Cambria Math" w:cs="B Nazanin"/>
          <w:noProof/>
          <w:sz w:val="23"/>
          <w:szCs w:val="23"/>
          <w:rtl/>
        </w:rPr>
      </w:pPr>
      <w:r w:rsidRPr="00B92922">
        <w:rPr>
          <w:position w:val="-26"/>
        </w:rPr>
        <w:object w:dxaOrig="6600" w:dyaOrig="740" w14:anchorId="64036DFD">
          <v:shape id="_x0000_i1244" type="#_x0000_t75" style="width:329.75pt;height:36.9pt" o:ole="">
            <v:imagedata r:id="rId457" o:title=""/>
          </v:shape>
          <o:OLEObject Type="Embed" ProgID="Equation.DSMT4" ShapeID="_x0000_i1244" DrawAspect="Content" ObjectID="_1791375188" r:id="rId458"/>
        </w:object>
      </w:r>
    </w:p>
    <w:p w14:paraId="0A0D5E5A" w14:textId="77777777" w:rsidR="00411620" w:rsidRPr="00A309A0" w:rsidRDefault="00411620" w:rsidP="00411620">
      <w:pPr>
        <w:spacing w:line="216" w:lineRule="auto"/>
        <w:rPr>
          <w:noProof/>
          <w:sz w:val="23"/>
          <w:szCs w:val="23"/>
          <w:rtl/>
        </w:rPr>
      </w:pPr>
    </w:p>
    <w:p w14:paraId="3DE95DF7" w14:textId="77777777" w:rsidR="00411620" w:rsidRPr="00A309A0" w:rsidRDefault="00411620" w:rsidP="00411620">
      <w:pPr>
        <w:pStyle w:val="Heading1"/>
        <w:spacing w:before="0" w:after="0" w:line="216" w:lineRule="auto"/>
        <w:rPr>
          <w:rFonts w:ascii="Cambria Math" w:hAnsi="Cambria Math" w:cs="B Nazanin"/>
          <w:noProof/>
          <w:sz w:val="23"/>
          <w:szCs w:val="23"/>
          <w:rtl/>
        </w:rPr>
      </w:pPr>
      <w:r w:rsidRPr="00A309A0">
        <w:rPr>
          <w:rFonts w:ascii="Cambria Math" w:hAnsi="Cambria Math" w:cs="B Nazanin" w:hint="cs"/>
          <w:noProof/>
          <w:sz w:val="23"/>
          <w:szCs w:val="23"/>
          <w:rtl/>
        </w:rPr>
        <w:lastRenderedPageBreak/>
        <w:t>۲ .۴. ۵</w:t>
      </w:r>
      <w:r w:rsidRPr="00A309A0">
        <w:rPr>
          <w:rFonts w:ascii="Cambria Math" w:hAnsi="Cambria Math" w:cs="B Nazanin"/>
          <w:noProof/>
          <w:sz w:val="23"/>
          <w:szCs w:val="23"/>
          <w:rtl/>
        </w:rPr>
        <w:t xml:space="preserve"> پویایی</w:t>
      </w:r>
      <w:r w:rsidRPr="00A309A0">
        <w:rPr>
          <w:rFonts w:ascii="Cambria Math" w:hAnsi="Cambria Math" w:cs="B Nazanin" w:hint="cs"/>
          <w:noProof/>
          <w:sz w:val="23"/>
          <w:szCs w:val="23"/>
          <w:rtl/>
        </w:rPr>
        <w:t>‌</w:t>
      </w:r>
      <w:r w:rsidRPr="00A309A0">
        <w:rPr>
          <w:rFonts w:ascii="Cambria Math" w:hAnsi="Cambria Math" w:cs="B Nazanin"/>
          <w:noProof/>
          <w:sz w:val="23"/>
          <w:szCs w:val="23"/>
          <w:rtl/>
        </w:rPr>
        <w:t xml:space="preserve">های راه حل بهینه </w:t>
      </w:r>
      <w:r w:rsidRPr="00A309A0">
        <w:rPr>
          <w:rFonts w:ascii="Cambria Math" w:hAnsi="Cambria Math" w:cs="B Nazanin"/>
          <w:noProof/>
          <w:sz w:val="23"/>
          <w:szCs w:val="23"/>
          <w:rtl/>
        </w:rPr>
        <w:tab/>
      </w:r>
    </w:p>
    <w:p w14:paraId="3CC69A35"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تجزیه و تحلیل پویا از طریق نمودار</w:t>
      </w:r>
      <w:r w:rsidRPr="00A309A0">
        <w:rPr>
          <w:rFonts w:ascii="Cambria Math" w:hAnsi="Cambria Math" w:hint="cs"/>
          <w:noProof/>
          <w:sz w:val="23"/>
          <w:szCs w:val="23"/>
          <w:rtl/>
        </w:rPr>
        <w:t>های</w:t>
      </w:r>
      <w:r w:rsidRPr="00A309A0">
        <w:rPr>
          <w:rFonts w:ascii="Cambria Math" w:hAnsi="Cambria Math"/>
          <w:noProof/>
          <w:sz w:val="23"/>
          <w:szCs w:val="23"/>
          <w:rtl/>
        </w:rPr>
        <w:t xml:space="preserve"> </w:t>
      </w:r>
      <w:r w:rsidRPr="00A309A0">
        <w:rPr>
          <w:rFonts w:ascii="Cambria Math" w:hAnsi="Cambria Math" w:hint="cs"/>
          <w:noProof/>
          <w:sz w:val="23"/>
          <w:szCs w:val="23"/>
          <w:rtl/>
        </w:rPr>
        <w:t>فاز</w:t>
      </w:r>
      <w:r w:rsidRPr="00A309A0">
        <w:rPr>
          <w:rStyle w:val="FootnoteReference"/>
          <w:rFonts w:ascii="Cambria Math" w:eastAsiaTheme="majorEastAsia" w:hAnsi="Cambria Math"/>
          <w:noProof/>
          <w:sz w:val="23"/>
          <w:szCs w:val="23"/>
          <w:rtl/>
        </w:rPr>
        <w:footnoteReference w:id="74"/>
      </w:r>
      <w:r w:rsidRPr="00A309A0">
        <w:rPr>
          <w:rFonts w:ascii="Cambria Math" w:hAnsi="Cambria Math"/>
          <w:noProof/>
          <w:sz w:val="23"/>
          <w:szCs w:val="23"/>
          <w:rtl/>
        </w:rPr>
        <w:t xml:space="preserve"> </w:t>
      </w:r>
      <w:r w:rsidRPr="00A309A0">
        <w:rPr>
          <w:rFonts w:ascii="NPIYagut" w:hAnsi="NPIYagut"/>
          <w:noProof/>
          <w:sz w:val="23"/>
          <w:szCs w:val="23"/>
          <w:rtl/>
        </w:rPr>
        <w:t>۲. 8</w:t>
      </w:r>
      <w:r w:rsidRPr="00A309A0">
        <w:rPr>
          <w:rFonts w:ascii="Cambria Math" w:hAnsi="Cambria Math" w:hint="cs"/>
          <w:noProof/>
          <w:sz w:val="23"/>
          <w:szCs w:val="23"/>
          <w:rtl/>
        </w:rPr>
        <w:t xml:space="preserve"> الی </w:t>
      </w:r>
      <w:r w:rsidRPr="00A309A0">
        <w:rPr>
          <w:rFonts w:ascii="NPIYagut" w:hAnsi="NPIYagut"/>
          <w:noProof/>
          <w:sz w:val="23"/>
          <w:szCs w:val="23"/>
          <w:rtl/>
        </w:rPr>
        <w:t xml:space="preserve">2. 10 </w:t>
      </w:r>
      <w:r w:rsidRPr="00A309A0">
        <w:rPr>
          <w:rFonts w:ascii="Cambria Math" w:hAnsi="Cambria Math"/>
          <w:noProof/>
          <w:sz w:val="23"/>
          <w:szCs w:val="23"/>
          <w:rtl/>
        </w:rPr>
        <w:t>امکان</w:t>
      </w:r>
      <w:r w:rsidRPr="00A309A0">
        <w:rPr>
          <w:rFonts w:ascii="Cambria Math" w:hAnsi="Cambria Math"/>
          <w:noProof/>
          <w:sz w:val="23"/>
          <w:szCs w:val="23"/>
          <w:rtl/>
        </w:rPr>
        <w:softHyphen/>
        <w:t xml:space="preserve">پذیر است. جهت تشکیل نمودار </w:t>
      </w:r>
      <w:r w:rsidRPr="00A309A0">
        <w:rPr>
          <w:rFonts w:ascii="Cambria Math" w:hAnsi="Cambria Math" w:hint="cs"/>
          <w:noProof/>
          <w:sz w:val="23"/>
          <w:szCs w:val="23"/>
          <w:rtl/>
        </w:rPr>
        <w:t>فاز</w:t>
      </w:r>
      <w:r w:rsidRPr="00A309A0">
        <w:rPr>
          <w:rFonts w:ascii="Cambria Math" w:hAnsi="Cambria Math"/>
          <w:noProof/>
          <w:sz w:val="23"/>
          <w:szCs w:val="23"/>
          <w:rtl/>
        </w:rPr>
        <w:t>، ابتدا دو معادله</w:t>
      </w:r>
      <w:r w:rsidRPr="00A309A0">
        <w:rPr>
          <w:rFonts w:ascii="Cambria Math" w:hAnsi="Cambria Math"/>
          <w:noProof/>
          <w:sz w:val="23"/>
          <w:szCs w:val="23"/>
          <w:rtl/>
        </w:rPr>
        <w:softHyphen/>
        <w:t xml:space="preserve">ای اویلر و قید منبع اقتصاد که راه حل بهینه در هر لحظه از زمان </w:t>
      </w:r>
      <w:r w:rsidRPr="00A309A0">
        <w:rPr>
          <w:rFonts w:ascii="Cambria Math" w:hAnsi="Cambria Math" w:hint="cs"/>
          <w:noProof/>
          <w:sz w:val="23"/>
          <w:szCs w:val="23"/>
          <w:rtl/>
        </w:rPr>
        <w:t xml:space="preserve">را </w:t>
      </w:r>
      <w:r w:rsidRPr="00A309A0">
        <w:rPr>
          <w:rFonts w:ascii="Cambria Math" w:hAnsi="Cambria Math"/>
          <w:noProof/>
          <w:sz w:val="23"/>
          <w:szCs w:val="23"/>
          <w:rtl/>
        </w:rPr>
        <w:t>توصیف می‌کنند</w:t>
      </w:r>
      <w:r w:rsidRPr="00A309A0">
        <w:rPr>
          <w:rFonts w:ascii="Cambria Math" w:hAnsi="Cambria Math" w:hint="cs"/>
          <w:noProof/>
          <w:sz w:val="23"/>
          <w:szCs w:val="23"/>
          <w:rtl/>
        </w:rPr>
        <w:t xml:space="preserve"> </w:t>
      </w:r>
      <w:r w:rsidRPr="00A309A0">
        <w:rPr>
          <w:rFonts w:ascii="Cambria Math" w:hAnsi="Cambria Math"/>
          <w:noProof/>
          <w:sz w:val="23"/>
          <w:szCs w:val="23"/>
          <w:rtl/>
        </w:rPr>
        <w:t>در نظر می</w:t>
      </w:r>
      <w:r w:rsidRPr="00A309A0">
        <w:rPr>
          <w:rFonts w:ascii="Cambria Math" w:hAnsi="Cambria Math"/>
          <w:noProof/>
          <w:sz w:val="23"/>
          <w:szCs w:val="23"/>
          <w:rtl/>
        </w:rPr>
        <w:softHyphen/>
        <w:t>گیریم. جهت سهولت این دو معادله بازنویسی شده</w:t>
      </w:r>
      <w:r w:rsidRPr="00A309A0">
        <w:rPr>
          <w:rFonts w:ascii="Cambria Math" w:hAnsi="Cambria Math"/>
          <w:noProof/>
          <w:sz w:val="23"/>
          <w:szCs w:val="23"/>
          <w:rtl/>
        </w:rPr>
        <w:softHyphen/>
        <w:t xml:space="preserve">اند: </w:t>
      </w:r>
    </w:p>
    <w:p w14:paraId="2A16B60D"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lang w:val="en-GB" w:bidi="fa-IR"/>
        </w:rPr>
      </w:pPr>
      <w:r w:rsidRPr="00B92922">
        <w:rPr>
          <w:position w:val="-30"/>
        </w:rPr>
        <w:object w:dxaOrig="2940" w:dyaOrig="700" w14:anchorId="729F8090">
          <v:shape id="_x0000_i1245" type="#_x0000_t75" style="width:146.4pt;height:35.1pt" o:ole="">
            <v:imagedata r:id="rId459" o:title=""/>
          </v:shape>
          <o:OLEObject Type="Embed" ProgID="Equation.DSMT4" ShapeID="_x0000_i1245" DrawAspect="Content" ObjectID="_1791375189" r:id="rId460"/>
        </w:object>
      </w:r>
    </w:p>
    <w:p w14:paraId="4452DF8C" w14:textId="77777777" w:rsidR="00411620" w:rsidRPr="00A309A0" w:rsidRDefault="00411620" w:rsidP="00411620">
      <w:pPr>
        <w:pStyle w:val="MTDisplayEquation"/>
        <w:tabs>
          <w:tab w:val="clear" w:pos="6660"/>
        </w:tabs>
        <w:spacing w:line="216" w:lineRule="auto"/>
        <w:rPr>
          <w:rFonts w:ascii="Cambria Math" w:eastAsiaTheme="minorEastAsia" w:hAnsi="Cambria Math" w:cs="B Nazanin"/>
          <w:noProof/>
          <w:sz w:val="23"/>
          <w:szCs w:val="23"/>
          <w:lang w:val="en-GB" w:bidi="fa-IR"/>
        </w:rPr>
      </w:pPr>
      <w:r w:rsidRPr="00B92922">
        <w:rPr>
          <w:position w:val="-12"/>
        </w:rPr>
        <w:object w:dxaOrig="2100" w:dyaOrig="360" w14:anchorId="6C14059A">
          <v:shape id="_x0000_i1246" type="#_x0000_t75" style="width:105.3pt;height:18.15pt" o:ole="">
            <v:imagedata r:id="rId461" o:title=""/>
          </v:shape>
          <o:OLEObject Type="Embed" ProgID="Equation.DSMT4" ShapeID="_x0000_i1246" DrawAspect="Content" ObjectID="_1791375190" r:id="rId462"/>
        </w:object>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hint="cs"/>
          <w:sz w:val="23"/>
          <w:szCs w:val="23"/>
          <w:rtl/>
        </w:rPr>
        <w:t>(۲. ۱۷)</w:t>
      </w:r>
    </w:p>
    <w:p w14:paraId="3A56DAFF" w14:textId="77777777" w:rsidR="00411620" w:rsidRPr="00A309A0" w:rsidRDefault="00411620" w:rsidP="00411620">
      <w:pPr>
        <w:spacing w:line="216" w:lineRule="auto"/>
        <w:rPr>
          <w:rFonts w:ascii="Cambria Math" w:hAnsi="Cambria Math"/>
          <w:noProof/>
          <w:sz w:val="23"/>
          <w:szCs w:val="23"/>
        </w:rPr>
      </w:pPr>
      <w:r w:rsidRPr="00A309A0">
        <w:rPr>
          <w:rFonts w:ascii="Cambria Math" w:hAnsi="Cambria Math"/>
          <w:noProof/>
          <w:sz w:val="23"/>
          <w:szCs w:val="23"/>
          <w:rtl/>
        </w:rPr>
        <w:t>هر دو معادله</w:t>
      </w:r>
      <w:r w:rsidRPr="00A309A0">
        <w:rPr>
          <w:rFonts w:ascii="Cambria Math" w:hAnsi="Cambria Math"/>
          <w:noProof/>
          <w:sz w:val="23"/>
          <w:szCs w:val="23"/>
          <w:rtl/>
        </w:rPr>
        <w:softHyphen/>
        <w:t xml:space="preserve">ی فوق غیرخطی </w:t>
      </w:r>
      <w:r w:rsidRPr="00A309A0">
        <w:rPr>
          <w:rFonts w:ascii="Cambria Math" w:hAnsi="Cambria Math" w:hint="cs"/>
          <w:noProof/>
          <w:sz w:val="23"/>
          <w:szCs w:val="23"/>
          <w:rtl/>
        </w:rPr>
        <w:t>است</w:t>
      </w:r>
      <w:r w:rsidRPr="00A309A0">
        <w:rPr>
          <w:rFonts w:ascii="Cambria Math" w:hAnsi="Cambria Math"/>
          <w:noProof/>
          <w:sz w:val="23"/>
          <w:szCs w:val="23"/>
          <w:rtl/>
        </w:rPr>
        <w:t xml:space="preserve"> و حل آن</w:t>
      </w:r>
      <w:r w:rsidRPr="00A309A0">
        <w:rPr>
          <w:rFonts w:ascii="Cambria Math" w:hAnsi="Cambria Math"/>
          <w:noProof/>
          <w:sz w:val="23"/>
          <w:szCs w:val="23"/>
          <w:rtl/>
        </w:rPr>
        <w:softHyphen/>
        <w:t>ها مش</w:t>
      </w:r>
      <w:r w:rsidRPr="00A309A0">
        <w:rPr>
          <w:rFonts w:ascii="Cambria Math" w:hAnsi="Cambria Math" w:hint="cs"/>
          <w:noProof/>
          <w:sz w:val="23"/>
          <w:szCs w:val="23"/>
          <w:rtl/>
        </w:rPr>
        <w:t>کل می</w:t>
      </w:r>
      <w:r w:rsidRPr="00A309A0">
        <w:rPr>
          <w:rFonts w:ascii="Cambria Math" w:hAnsi="Cambria Math"/>
          <w:noProof/>
          <w:sz w:val="23"/>
          <w:szCs w:val="23"/>
          <w:rtl/>
        </w:rPr>
        <w:softHyphen/>
      </w:r>
      <w:r w:rsidRPr="00A309A0">
        <w:rPr>
          <w:rFonts w:ascii="Cambria Math" w:hAnsi="Cambria Math" w:hint="cs"/>
          <w:noProof/>
          <w:sz w:val="23"/>
          <w:szCs w:val="23"/>
          <w:rtl/>
        </w:rPr>
        <w:t>باشد. معادله</w:t>
      </w:r>
      <w:r w:rsidRPr="00A309A0">
        <w:rPr>
          <w:rFonts w:ascii="Cambria Math" w:hAnsi="Cambria Math"/>
          <w:noProof/>
          <w:sz w:val="23"/>
          <w:szCs w:val="23"/>
          <w:rtl/>
        </w:rPr>
        <w:softHyphen/>
      </w:r>
      <w:r w:rsidRPr="00A309A0">
        <w:rPr>
          <w:rFonts w:ascii="Cambria Math" w:hAnsi="Cambria Math" w:hint="cs"/>
          <w:noProof/>
          <w:sz w:val="23"/>
          <w:szCs w:val="23"/>
          <w:rtl/>
        </w:rPr>
        <w:t>ی (۲. ۱۷) تغییرات موجودی سرمایه را نشان می</w:t>
      </w:r>
      <w:r w:rsidRPr="00A309A0">
        <w:rPr>
          <w:rFonts w:ascii="Cambria Math" w:hAnsi="Cambria Math"/>
          <w:noProof/>
          <w:sz w:val="23"/>
          <w:szCs w:val="23"/>
          <w:rtl/>
        </w:rPr>
        <w:softHyphen/>
      </w:r>
      <w:r w:rsidRPr="00A309A0">
        <w:rPr>
          <w:rFonts w:ascii="Cambria Math" w:hAnsi="Cambria Math" w:hint="cs"/>
          <w:noProof/>
          <w:sz w:val="23"/>
          <w:szCs w:val="23"/>
          <w:rtl/>
        </w:rPr>
        <w:t>دهد، و از معادله</w:t>
      </w:r>
      <w:r w:rsidRPr="00A309A0">
        <w:rPr>
          <w:rFonts w:ascii="Cambria Math" w:hAnsi="Cambria Math"/>
          <w:noProof/>
          <w:sz w:val="23"/>
          <w:szCs w:val="23"/>
          <w:rtl/>
        </w:rPr>
        <w:softHyphen/>
      </w:r>
      <w:r w:rsidRPr="00A309A0">
        <w:rPr>
          <w:rFonts w:ascii="Cambria Math" w:hAnsi="Cambria Math" w:hint="cs"/>
          <w:noProof/>
          <w:sz w:val="23"/>
          <w:szCs w:val="23"/>
          <w:rtl/>
        </w:rPr>
        <w:t>ی اویلر می</w:t>
      </w:r>
      <w:r w:rsidRPr="00A309A0">
        <w:rPr>
          <w:rFonts w:ascii="Cambria Math" w:hAnsi="Cambria Math"/>
          <w:noProof/>
          <w:sz w:val="23"/>
          <w:szCs w:val="23"/>
          <w:rtl/>
        </w:rPr>
        <w:softHyphen/>
      </w:r>
      <w:r w:rsidRPr="00A309A0">
        <w:rPr>
          <w:rFonts w:ascii="Cambria Math" w:hAnsi="Cambria Math" w:hint="cs"/>
          <w:noProof/>
          <w:sz w:val="23"/>
          <w:szCs w:val="23"/>
          <w:rtl/>
        </w:rPr>
        <w:t>بایست تغییرات مصرف را بدست آوریم. برای این</w:t>
      </w:r>
      <w:r w:rsidRPr="00A309A0">
        <w:rPr>
          <w:rFonts w:ascii="Cambria Math" w:hAnsi="Cambria Math"/>
          <w:noProof/>
          <w:sz w:val="23"/>
          <w:szCs w:val="23"/>
        </w:rPr>
        <w:softHyphen/>
      </w:r>
      <w:r w:rsidRPr="00A309A0">
        <w:rPr>
          <w:rFonts w:ascii="Cambria Math" w:hAnsi="Cambria Math" w:hint="cs"/>
          <w:noProof/>
          <w:sz w:val="23"/>
          <w:szCs w:val="23"/>
          <w:rtl/>
        </w:rPr>
        <w:t>کار</w:t>
      </w:r>
      <w:r w:rsidRPr="00A309A0">
        <w:rPr>
          <w:rFonts w:ascii="Cambria Math" w:hAnsi="Cambria Math"/>
          <w:noProof/>
          <w:sz w:val="23"/>
          <w:szCs w:val="23"/>
          <w:rtl/>
        </w:rPr>
        <w:t xml:space="preserve"> </w:t>
      </w:r>
      <w:r w:rsidRPr="00A309A0">
        <w:rPr>
          <w:rFonts w:ascii="Cambria Math" w:hAnsi="Cambria Math" w:hint="cs"/>
          <w:noProof/>
          <w:sz w:val="23"/>
          <w:szCs w:val="23"/>
          <w:rtl/>
        </w:rPr>
        <w:t>ر</w:t>
      </w:r>
      <w:r w:rsidRPr="00A309A0">
        <w:rPr>
          <w:rFonts w:ascii="Cambria Math" w:hAnsi="Cambria Math"/>
          <w:noProof/>
          <w:sz w:val="23"/>
          <w:szCs w:val="23"/>
          <w:rtl/>
        </w:rPr>
        <w:t>اه حل محلی یا به عبارتی، راه حل در همسایگی مقادیر تعادلی را در نظر می‌گیریم. جهت خطی</w:t>
      </w:r>
      <w:r w:rsidRPr="00A309A0">
        <w:rPr>
          <w:rFonts w:ascii="Cambria Math" w:hAnsi="Cambria Math"/>
          <w:noProof/>
          <w:sz w:val="23"/>
          <w:szCs w:val="23"/>
          <w:rtl/>
        </w:rPr>
        <w:softHyphen/>
        <w:t>سازی معادله</w:t>
      </w:r>
      <w:r w:rsidRPr="00A309A0">
        <w:rPr>
          <w:rFonts w:ascii="Cambria Math" w:hAnsi="Cambria Math"/>
          <w:noProof/>
          <w:sz w:val="23"/>
          <w:szCs w:val="23"/>
          <w:rtl/>
        </w:rPr>
        <w:softHyphen/>
        <w:t>ی اویلر، از بسط مرتبه</w:t>
      </w:r>
      <w:r w:rsidRPr="00A309A0">
        <w:rPr>
          <w:rFonts w:ascii="Cambria Math" w:hAnsi="Cambria Math"/>
          <w:noProof/>
          <w:sz w:val="23"/>
          <w:szCs w:val="23"/>
          <w:rtl/>
        </w:rPr>
        <w:softHyphen/>
        <w:t>ی اول سری تیلور</w:t>
      </w:r>
      <w:r w:rsidRPr="00A309A0">
        <w:rPr>
          <w:rStyle w:val="FootnoteReference"/>
          <w:rFonts w:ascii="Cambria Math" w:eastAsiaTheme="majorEastAsia" w:hAnsi="Cambria Math"/>
          <w:noProof/>
          <w:sz w:val="23"/>
          <w:szCs w:val="23"/>
          <w:rtl/>
        </w:rPr>
        <w:footnoteReference w:id="75"/>
      </w:r>
      <w:r w:rsidRPr="00A309A0">
        <w:rPr>
          <w:rFonts w:ascii="Cambria Math" w:hAnsi="Cambria Math"/>
          <w:noProof/>
          <w:sz w:val="23"/>
          <w:szCs w:val="23"/>
          <w:rtl/>
        </w:rPr>
        <w:t xml:space="preserve"> استفاده نموده و </w:t>
      </w:r>
      <w:r w:rsidRPr="00B92922">
        <w:rPr>
          <w:position w:val="-12"/>
        </w:rPr>
        <w:object w:dxaOrig="760" w:dyaOrig="360" w14:anchorId="5727D75C">
          <v:shape id="_x0000_i1247" type="#_x0000_t75" style="width:38.1pt;height:18.15pt" o:ole="">
            <v:imagedata r:id="rId463" o:title=""/>
          </v:shape>
          <o:OLEObject Type="Embed" ProgID="Equation.DSMT4" ShapeID="_x0000_i1247" DrawAspect="Content" ObjectID="_1791375191" r:id="rId464"/>
        </w:object>
      </w:r>
      <w:r w:rsidRPr="00A309A0">
        <w:rPr>
          <w:rFonts w:ascii="Cambria Math" w:hAnsi="Cambria Math"/>
          <w:noProof/>
          <w:sz w:val="23"/>
          <w:szCs w:val="23"/>
          <w:rtl/>
        </w:rPr>
        <w:t xml:space="preserve"> را نسبت به</w:t>
      </w:r>
      <w:r w:rsidRPr="00B92922">
        <w:rPr>
          <w:position w:val="-10"/>
        </w:rPr>
        <w:object w:dxaOrig="200" w:dyaOrig="320" w14:anchorId="2E7DCC59">
          <v:shape id="_x0000_i1248" type="#_x0000_t75" style="width:10.3pt;height:15.75pt" o:ole="">
            <v:imagedata r:id="rId465" o:title=""/>
          </v:shape>
          <o:OLEObject Type="Embed" ProgID="Equation.DSMT4" ShapeID="_x0000_i1248" DrawAspect="Content" ObjectID="_1791375192" r:id="rId466"/>
        </w:object>
      </w:r>
      <w:r w:rsidRPr="00A309A0">
        <w:rPr>
          <w:rFonts w:ascii="Cambria Math" w:hAnsi="Cambria Math"/>
          <w:noProof/>
          <w:sz w:val="23"/>
          <w:szCs w:val="23"/>
          <w:rtl/>
        </w:rPr>
        <w:t xml:space="preserve"> بدست </w:t>
      </w:r>
    </w:p>
    <w:p w14:paraId="311C3A03" w14:textId="77777777" w:rsidR="00411620" w:rsidRPr="00A309A0" w:rsidRDefault="00411620" w:rsidP="00411620">
      <w:pPr>
        <w:spacing w:line="216" w:lineRule="auto"/>
        <w:rPr>
          <w:rFonts w:ascii="Cambria Math" w:hAnsi="Cambria Math"/>
          <w:noProof/>
          <w:sz w:val="23"/>
          <w:szCs w:val="23"/>
        </w:rPr>
      </w:pPr>
      <w:r w:rsidRPr="00A309A0">
        <w:rPr>
          <w:rFonts w:ascii="Cambria Math" w:hAnsi="Cambria Math"/>
          <w:noProof/>
          <w:sz w:val="23"/>
          <w:szCs w:val="23"/>
          <w:rtl/>
        </w:rPr>
        <w:t xml:space="preserve">می‌آوریم. در این حالت داریم </w:t>
      </w:r>
    </w:p>
    <w:p w14:paraId="22EA429C" w14:textId="77777777" w:rsidR="00411620" w:rsidRPr="00A309A0" w:rsidRDefault="00411620" w:rsidP="00411620">
      <w:pPr>
        <w:pStyle w:val="MTDisplayEquation"/>
        <w:spacing w:line="216" w:lineRule="auto"/>
        <w:jc w:val="left"/>
        <w:rPr>
          <w:rFonts w:ascii="Cambria Math" w:hAnsi="Cambria Math" w:cs="B Nazanin"/>
          <w:noProof/>
          <w:sz w:val="23"/>
          <w:szCs w:val="23"/>
          <w:rtl/>
          <w:lang w:bidi="fa-IR"/>
        </w:rPr>
      </w:pPr>
      <w:r w:rsidRPr="00B92922">
        <w:rPr>
          <w:position w:val="-12"/>
        </w:rPr>
        <w:object w:dxaOrig="3140" w:dyaOrig="360" w14:anchorId="2B1549B3">
          <v:shape id="_x0000_i1249" type="#_x0000_t75" style="width:157.3pt;height:18.15pt" o:ole="">
            <v:imagedata r:id="rId467" o:title=""/>
          </v:shape>
          <o:OLEObject Type="Embed" ProgID="Equation.DSMT4" ShapeID="_x0000_i1249" DrawAspect="Content" ObjectID="_1791375193" r:id="rId468"/>
        </w:object>
      </w:r>
    </w:p>
    <w:p w14:paraId="100A1305"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lang w:val="en-GB" w:bidi="fa-IR"/>
        </w:rPr>
      </w:pPr>
      <w:r w:rsidRPr="00B92922">
        <w:rPr>
          <w:position w:val="-30"/>
        </w:rPr>
        <w:object w:dxaOrig="6160" w:dyaOrig="700" w14:anchorId="6AB929EC">
          <v:shape id="_x0000_i1250" type="#_x0000_t75" style="width:307.95pt;height:35.1pt" o:ole="">
            <v:imagedata r:id="rId469" o:title=""/>
          </v:shape>
          <o:OLEObject Type="Embed" ProgID="Equation.DSMT4" ShapeID="_x0000_i1250" DrawAspect="Content" ObjectID="_1791375194" r:id="rId470"/>
        </w:object>
      </w:r>
    </w:p>
    <w:p w14:paraId="6D887111" w14:textId="77777777" w:rsidR="00411620" w:rsidRPr="00A309A0" w:rsidRDefault="00411620" w:rsidP="00411620">
      <w:pPr>
        <w:spacing w:line="216" w:lineRule="auto"/>
        <w:rPr>
          <w:rFonts w:ascii="Cambria Math" w:eastAsiaTheme="minorEastAsia" w:hAnsi="Cambria Math"/>
          <w:noProof/>
          <w:sz w:val="23"/>
          <w:szCs w:val="23"/>
          <w:rtl/>
          <w:lang w:val="en-GB"/>
        </w:rPr>
      </w:pPr>
      <w:r w:rsidRPr="00A309A0">
        <w:rPr>
          <w:rFonts w:ascii="Cambria Math" w:eastAsiaTheme="minorEastAsia" w:hAnsi="Cambria Math"/>
          <w:noProof/>
          <w:sz w:val="23"/>
          <w:szCs w:val="23"/>
          <w:rtl/>
          <w:lang w:val="en-GB"/>
        </w:rPr>
        <w:t>و چون از معادله</w:t>
      </w:r>
      <w:r w:rsidRPr="00A309A0">
        <w:rPr>
          <w:rFonts w:ascii="Cambria Math" w:eastAsiaTheme="minorEastAsia" w:hAnsi="Cambria Math"/>
          <w:noProof/>
          <w:sz w:val="23"/>
          <w:szCs w:val="23"/>
          <w:rtl/>
          <w:lang w:val="en-GB"/>
        </w:rPr>
        <w:softHyphen/>
        <w:t xml:space="preserve">ی اویلر داریم </w:t>
      </w:r>
      <w:r w:rsidRPr="00A309A0">
        <w:rPr>
          <w:rFonts w:ascii="Cambria Math" w:eastAsiaTheme="minorEastAsia" w:hAnsi="Cambria Math"/>
          <w:noProof/>
          <w:sz w:val="23"/>
          <w:szCs w:val="23"/>
          <w:lang w:val="en-GB"/>
        </w:rPr>
        <w:t xml:space="preserve"> </w:t>
      </w:r>
    </w:p>
    <w:p w14:paraId="2666999B"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rtl/>
          <w:lang w:val="en-GB" w:bidi="fa-IR"/>
        </w:rPr>
      </w:pPr>
      <w:r w:rsidRPr="00B92922">
        <w:rPr>
          <w:position w:val="-32"/>
        </w:rPr>
        <w:object w:dxaOrig="6600" w:dyaOrig="720" w14:anchorId="5C8A3107">
          <v:shape id="_x0000_i1251" type="#_x0000_t75" style="width:329.75pt;height:36.3pt" o:ole="">
            <v:imagedata r:id="rId471" o:title=""/>
          </v:shape>
          <o:OLEObject Type="Embed" ProgID="Equation.DSMT4" ShapeID="_x0000_i1251" DrawAspect="Content" ObjectID="_1791375195" r:id="rId472"/>
        </w:object>
      </w:r>
    </w:p>
    <w:p w14:paraId="491F8FAC" w14:textId="77777777" w:rsidR="00411620" w:rsidRPr="00A309A0" w:rsidRDefault="00411620" w:rsidP="00411620">
      <w:pPr>
        <w:spacing w:line="216" w:lineRule="auto"/>
        <w:rPr>
          <w:rFonts w:ascii="Cambria Math" w:eastAsiaTheme="minorEastAsia" w:hAnsi="Cambria Math"/>
          <w:noProof/>
          <w:sz w:val="23"/>
          <w:szCs w:val="23"/>
          <w:rtl/>
          <w:lang w:val="en-GB"/>
        </w:rPr>
      </w:pPr>
      <w:r w:rsidRPr="00A309A0">
        <w:rPr>
          <w:rFonts w:ascii="Cambria Math" w:eastAsiaTheme="minorEastAsia" w:hAnsi="Cambria Math"/>
          <w:noProof/>
          <w:sz w:val="23"/>
          <w:szCs w:val="23"/>
          <w:rtl/>
          <w:lang w:val="en-GB"/>
        </w:rPr>
        <w:t>بنابراین</w:t>
      </w:r>
      <w:r w:rsidRPr="00A309A0">
        <w:rPr>
          <w:rFonts w:ascii="Cambria Math" w:eastAsiaTheme="minorEastAsia" w:hAnsi="Cambria Math" w:hint="cs"/>
          <w:noProof/>
          <w:sz w:val="23"/>
          <w:szCs w:val="23"/>
          <w:rtl/>
          <w:lang w:val="en-GB"/>
        </w:rPr>
        <w:t xml:space="preserve"> خواهیم داشت</w:t>
      </w:r>
      <w:r w:rsidRPr="00A309A0">
        <w:rPr>
          <w:rFonts w:ascii="Cambria Math" w:eastAsiaTheme="minorEastAsia" w:hAnsi="Cambria Math"/>
          <w:noProof/>
          <w:sz w:val="23"/>
          <w:szCs w:val="23"/>
          <w:rtl/>
          <w:lang w:val="en-GB"/>
        </w:rPr>
        <w:t xml:space="preserve"> </w:t>
      </w:r>
      <w:r w:rsidRPr="00A309A0">
        <w:rPr>
          <w:rFonts w:ascii="Cambria Math" w:eastAsiaTheme="minorEastAsia" w:hAnsi="Cambria Math" w:hint="cs"/>
          <w:noProof/>
          <w:sz w:val="23"/>
          <w:szCs w:val="23"/>
          <w:rtl/>
          <w:lang w:val="en-GB"/>
        </w:rPr>
        <w:t xml:space="preserve"> </w:t>
      </w:r>
    </w:p>
    <w:p w14:paraId="5AD79472"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rtl/>
          <w:lang w:bidi="fa-IR"/>
        </w:rPr>
      </w:pPr>
      <w:r w:rsidRPr="00B92922">
        <w:rPr>
          <w:position w:val="-32"/>
        </w:rPr>
        <w:object w:dxaOrig="3519" w:dyaOrig="720" w14:anchorId="3C87C1C5">
          <v:shape id="_x0000_i1252" type="#_x0000_t75" style="width:175.45pt;height:36.3pt" o:ole="">
            <v:imagedata r:id="rId473" o:title=""/>
          </v:shape>
          <o:OLEObject Type="Embed" ProgID="Equation.DSMT4" ShapeID="_x0000_i1252" DrawAspect="Content" ObjectID="_1791375196" r:id="rId474"/>
        </w:object>
      </w:r>
    </w:p>
    <w:p w14:paraId="1B66C6E3" w14:textId="77777777" w:rsidR="00411620" w:rsidRPr="00A309A0" w:rsidRDefault="00411620" w:rsidP="00411620">
      <w:pPr>
        <w:pStyle w:val="MTDisplayEquation"/>
        <w:tabs>
          <w:tab w:val="clear" w:pos="6660"/>
        </w:tabs>
        <w:spacing w:line="216" w:lineRule="auto"/>
        <w:rPr>
          <w:rFonts w:ascii="Cambria Math" w:eastAsiaTheme="minorEastAsia" w:hAnsi="Cambria Math" w:cs="B Nazanin"/>
          <w:noProof/>
          <w:sz w:val="23"/>
          <w:szCs w:val="23"/>
          <w:lang w:val="en-GB" w:bidi="fa-IR"/>
        </w:rPr>
      </w:pPr>
      <w:r w:rsidRPr="00B92922">
        <w:rPr>
          <w:position w:val="-34"/>
        </w:rPr>
        <w:object w:dxaOrig="4520" w:dyaOrig="780" w14:anchorId="3F216F71">
          <v:shape id="_x0000_i1253" type="#_x0000_t75" style="width:226.9pt;height:38.7pt" o:ole="">
            <v:imagedata r:id="rId475" o:title=""/>
          </v:shape>
          <o:OLEObject Type="Embed" ProgID="Equation.DSMT4" ShapeID="_x0000_i1253" DrawAspect="Content" ObjectID="_1791375197" r:id="rId476"/>
        </w:object>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Pr>
          <w:rFonts w:ascii="Cambria Math" w:hAnsi="Cambria Math" w:cs="B Nazanin"/>
          <w:sz w:val="23"/>
          <w:szCs w:val="23"/>
        </w:rPr>
        <w:tab/>
      </w:r>
      <w:r>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hint="cs"/>
          <w:sz w:val="23"/>
          <w:szCs w:val="23"/>
          <w:rtl/>
        </w:rPr>
        <w:t>(۲. ۱۸)</w:t>
      </w:r>
    </w:p>
    <w:p w14:paraId="50E8B467"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hint="cs"/>
          <w:noProof/>
          <w:sz w:val="23"/>
          <w:szCs w:val="23"/>
          <w:rtl/>
        </w:rPr>
        <w:t>که در آن تغییرات مصرف بدست می</w:t>
      </w:r>
      <w:r w:rsidRPr="00A309A0">
        <w:rPr>
          <w:rFonts w:ascii="Cambria Math" w:hAnsi="Cambria Math"/>
          <w:noProof/>
          <w:sz w:val="23"/>
          <w:szCs w:val="23"/>
          <w:rtl/>
        </w:rPr>
        <w:softHyphen/>
      </w:r>
      <w:r w:rsidRPr="00A309A0">
        <w:rPr>
          <w:rFonts w:ascii="Cambria Math" w:hAnsi="Cambria Math" w:hint="cs"/>
          <w:noProof/>
          <w:sz w:val="23"/>
          <w:szCs w:val="23"/>
          <w:rtl/>
        </w:rPr>
        <w:t xml:space="preserve">آید. </w:t>
      </w:r>
      <w:r w:rsidRPr="00A309A0">
        <w:rPr>
          <w:rFonts w:ascii="Cambria Math" w:hAnsi="Cambria Math"/>
          <w:noProof/>
          <w:sz w:val="23"/>
          <w:szCs w:val="23"/>
          <w:rtl/>
        </w:rPr>
        <w:t xml:space="preserve">معادلات </w:t>
      </w:r>
      <w:r w:rsidRPr="00A309A0">
        <w:rPr>
          <w:rFonts w:ascii="Cambria Math" w:hAnsi="Cambria Math" w:hint="cs"/>
          <w:sz w:val="23"/>
          <w:szCs w:val="23"/>
          <w:rtl/>
        </w:rPr>
        <w:t>(۲. ۱۷)</w:t>
      </w:r>
      <w:r w:rsidRPr="00A309A0">
        <w:rPr>
          <w:rFonts w:ascii="Cambria Math" w:hAnsi="Cambria Math"/>
          <w:noProof/>
          <w:sz w:val="23"/>
          <w:szCs w:val="23"/>
          <w:rtl/>
        </w:rPr>
        <w:t xml:space="preserve"> و </w:t>
      </w:r>
      <w:r w:rsidRPr="00A309A0">
        <w:rPr>
          <w:rFonts w:ascii="Cambria Math" w:hAnsi="Cambria Math" w:hint="cs"/>
          <w:sz w:val="23"/>
          <w:szCs w:val="23"/>
          <w:rtl/>
        </w:rPr>
        <w:t>(۲. ۱۸)</w:t>
      </w:r>
      <w:r w:rsidRPr="00A309A0">
        <w:rPr>
          <w:rFonts w:ascii="Cambria Math" w:hAnsi="Cambria Math"/>
          <w:noProof/>
          <w:sz w:val="23"/>
          <w:szCs w:val="23"/>
          <w:rtl/>
        </w:rPr>
        <w:t xml:space="preserve"> تغییرات </w:t>
      </w:r>
      <w:r w:rsidRPr="00A309A0">
        <w:rPr>
          <w:rFonts w:ascii="Cambria Math" w:hAnsi="Cambria Math" w:hint="cs"/>
          <w:noProof/>
          <w:sz w:val="23"/>
          <w:szCs w:val="23"/>
          <w:rtl/>
        </w:rPr>
        <w:t xml:space="preserve">موجودی </w:t>
      </w:r>
      <w:r w:rsidRPr="00A309A0">
        <w:rPr>
          <w:rFonts w:ascii="Cambria Math" w:hAnsi="Cambria Math"/>
          <w:noProof/>
          <w:sz w:val="23"/>
          <w:szCs w:val="23"/>
          <w:rtl/>
        </w:rPr>
        <w:t>سرمایه و</w:t>
      </w:r>
      <w:r w:rsidRPr="00A309A0">
        <w:rPr>
          <w:rFonts w:ascii="Cambria Math" w:hAnsi="Cambria Math" w:hint="cs"/>
          <w:noProof/>
          <w:sz w:val="23"/>
          <w:szCs w:val="23"/>
          <w:rtl/>
        </w:rPr>
        <w:t xml:space="preserve"> تغییرات</w:t>
      </w:r>
      <w:r w:rsidRPr="00A309A0">
        <w:rPr>
          <w:rFonts w:ascii="Cambria Math" w:hAnsi="Cambria Math"/>
          <w:noProof/>
          <w:sz w:val="23"/>
          <w:szCs w:val="23"/>
          <w:rtl/>
        </w:rPr>
        <w:t xml:space="preserve"> مصرف را بطور همزمان و در طی زمان مشخص</w:t>
      </w:r>
      <w:r w:rsidRPr="00A309A0">
        <w:rPr>
          <w:rFonts w:ascii="Cambria Math" w:hAnsi="Cambria Math" w:hint="cs"/>
          <w:noProof/>
          <w:sz w:val="23"/>
          <w:szCs w:val="23"/>
          <w:rtl/>
        </w:rPr>
        <w:t>،</w:t>
      </w:r>
      <w:r w:rsidRPr="00A309A0">
        <w:rPr>
          <w:rFonts w:ascii="Cambria Math" w:hAnsi="Cambria Math"/>
          <w:noProof/>
          <w:sz w:val="23"/>
          <w:szCs w:val="23"/>
          <w:rtl/>
        </w:rPr>
        <w:t xml:space="preserve"> </w:t>
      </w:r>
      <w:r w:rsidRPr="00A309A0">
        <w:rPr>
          <w:rFonts w:ascii="Cambria Math" w:hAnsi="Cambria Math" w:hint="cs"/>
          <w:noProof/>
          <w:sz w:val="23"/>
          <w:szCs w:val="23"/>
          <w:rtl/>
        </w:rPr>
        <w:t>و</w:t>
      </w:r>
      <w:r w:rsidRPr="00A309A0">
        <w:rPr>
          <w:rFonts w:ascii="Cambria Math" w:hAnsi="Cambria Math"/>
          <w:noProof/>
          <w:sz w:val="23"/>
          <w:szCs w:val="23"/>
          <w:rtl/>
        </w:rPr>
        <w:t xml:space="preserve"> راه حل تعادلی در وضعیت یکنواخت را نیز </w:t>
      </w:r>
      <w:r w:rsidRPr="00A309A0">
        <w:rPr>
          <w:rFonts w:ascii="Cambria Math" w:hAnsi="Cambria Math" w:hint="cs"/>
          <w:noProof/>
          <w:sz w:val="23"/>
          <w:szCs w:val="23"/>
          <w:rtl/>
        </w:rPr>
        <w:t>تبیین می</w:t>
      </w:r>
      <w:r w:rsidRPr="00A309A0">
        <w:rPr>
          <w:rFonts w:ascii="Cambria Math" w:hAnsi="Cambria Math"/>
          <w:noProof/>
          <w:sz w:val="23"/>
          <w:szCs w:val="23"/>
          <w:rtl/>
        </w:rPr>
        <w:softHyphen/>
      </w:r>
      <w:r w:rsidRPr="00A309A0">
        <w:rPr>
          <w:rFonts w:ascii="Cambria Math" w:hAnsi="Cambria Math" w:hint="cs"/>
          <w:noProof/>
          <w:sz w:val="23"/>
          <w:szCs w:val="23"/>
          <w:rtl/>
        </w:rPr>
        <w:t>کنند</w:t>
      </w:r>
      <w:r w:rsidRPr="00A309A0">
        <w:rPr>
          <w:rFonts w:ascii="Cambria Math" w:hAnsi="Cambria Math"/>
          <w:noProof/>
          <w:sz w:val="23"/>
          <w:szCs w:val="23"/>
          <w:rtl/>
        </w:rPr>
        <w:t xml:space="preserve">. </w:t>
      </w:r>
    </w:p>
    <w:p w14:paraId="0A5DA744"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پویایی مصرف از رابطه</w:t>
      </w:r>
      <w:r w:rsidRPr="00A309A0">
        <w:rPr>
          <w:rFonts w:ascii="Cambria Math" w:hAnsi="Cambria Math"/>
          <w:noProof/>
          <w:sz w:val="23"/>
          <w:szCs w:val="23"/>
          <w:rtl/>
        </w:rPr>
        <w:softHyphen/>
        <w:t>ی</w:t>
      </w:r>
      <w:r w:rsidRPr="00A309A0">
        <w:rPr>
          <w:rFonts w:ascii="Cambria Math" w:hAnsi="Cambria Math" w:hint="cs"/>
          <w:noProof/>
          <w:sz w:val="23"/>
          <w:szCs w:val="23"/>
          <w:rtl/>
        </w:rPr>
        <w:t xml:space="preserve"> (۲. ۱۸)</w:t>
      </w:r>
      <w:r w:rsidRPr="00A309A0">
        <w:rPr>
          <w:rFonts w:ascii="Cambria Math" w:eastAsiaTheme="minorEastAsia" w:hAnsi="Cambria Math"/>
          <w:noProof/>
          <w:sz w:val="23"/>
          <w:szCs w:val="23"/>
          <w:rtl/>
          <w:lang w:val="en-GB"/>
        </w:rPr>
        <w:t xml:space="preserve"> </w:t>
      </w:r>
      <w:r w:rsidRPr="00A309A0">
        <w:rPr>
          <w:rFonts w:ascii="Cambria Math" w:hAnsi="Cambria Math"/>
          <w:noProof/>
          <w:sz w:val="23"/>
          <w:szCs w:val="23"/>
          <w:rtl/>
        </w:rPr>
        <w:t>استنباط می</w:t>
      </w:r>
      <w:r w:rsidRPr="00A309A0">
        <w:rPr>
          <w:rFonts w:ascii="Cambria Math" w:hAnsi="Cambria Math"/>
          <w:noProof/>
          <w:sz w:val="23"/>
          <w:szCs w:val="23"/>
          <w:rtl/>
        </w:rPr>
        <w:softHyphen/>
        <w:t>شود. در این رابطه چنانچه</w:t>
      </w:r>
      <w:r w:rsidRPr="00B92922">
        <w:rPr>
          <w:position w:val="-6"/>
        </w:rPr>
        <w:object w:dxaOrig="600" w:dyaOrig="300" w14:anchorId="00BD29D5">
          <v:shape id="_x0000_i1254" type="#_x0000_t75" style="width:29.65pt;height:15.15pt" o:ole="">
            <v:imagedata r:id="rId477" o:title=""/>
          </v:shape>
          <o:OLEObject Type="Embed" ProgID="Equation.DSMT4" ShapeID="_x0000_i1254" DrawAspect="Content" ObjectID="_1791375198" r:id="rId478"/>
        </w:object>
      </w:r>
      <w:r w:rsidRPr="00A309A0">
        <w:rPr>
          <w:rFonts w:ascii="Cambria Math" w:eastAsiaTheme="minorEastAsia" w:hAnsi="Cambria Math"/>
          <w:noProof/>
          <w:sz w:val="23"/>
          <w:szCs w:val="23"/>
          <w:rtl/>
        </w:rPr>
        <w:t xml:space="preserve"> باشد</w:t>
      </w:r>
      <w:r w:rsidRPr="00A309A0">
        <w:rPr>
          <w:rFonts w:ascii="Cambria Math" w:eastAsiaTheme="minorEastAsia" w:hAnsi="Cambria Math" w:hint="cs"/>
          <w:noProof/>
          <w:sz w:val="23"/>
          <w:szCs w:val="23"/>
          <w:rtl/>
        </w:rPr>
        <w:t>،</w:t>
      </w:r>
      <w:r w:rsidRPr="00A309A0">
        <w:rPr>
          <w:rFonts w:ascii="Cambria Math" w:eastAsiaTheme="minorEastAsia" w:hAnsi="Cambria Math"/>
          <w:noProof/>
          <w:sz w:val="23"/>
          <w:szCs w:val="23"/>
          <w:rtl/>
        </w:rPr>
        <w:t xml:space="preserve"> آنگاه</w:t>
      </w:r>
      <w:r w:rsidRPr="00A309A0">
        <w:rPr>
          <w:rFonts w:ascii="Cambria Math" w:hAnsi="Cambria Math"/>
          <w:noProof/>
          <w:sz w:val="23"/>
          <w:szCs w:val="23"/>
          <w:rtl/>
        </w:rPr>
        <w:t xml:space="preserve"> </w:t>
      </w:r>
      <w:r w:rsidRPr="00B92922">
        <w:rPr>
          <w:position w:val="-16"/>
        </w:rPr>
        <w:object w:dxaOrig="2120" w:dyaOrig="420" w14:anchorId="73FA7371">
          <v:shape id="_x0000_i1255" type="#_x0000_t75" style="width:105.9pt;height:21.2pt" o:ole="">
            <v:imagedata r:id="rId479" o:title=""/>
          </v:shape>
          <o:OLEObject Type="Embed" ProgID="Equation.DSMT4" ShapeID="_x0000_i1255" DrawAspect="Content" ObjectID="_1791375199" r:id="rId480"/>
        </w:object>
      </w:r>
      <w:r w:rsidRPr="00A309A0">
        <w:rPr>
          <w:rFonts w:hint="cs"/>
          <w:sz w:val="23"/>
          <w:szCs w:val="23"/>
          <w:rtl/>
        </w:rPr>
        <w:t>،</w:t>
      </w:r>
      <w:r w:rsidRPr="00A309A0">
        <w:rPr>
          <w:rFonts w:ascii="Cambria Math" w:hAnsi="Cambria Math"/>
          <w:noProof/>
          <w:sz w:val="23"/>
          <w:szCs w:val="23"/>
          <w:rtl/>
        </w:rPr>
        <w:t xml:space="preserve"> و در نتیجه </w:t>
      </w:r>
      <w:r w:rsidRPr="00B92922">
        <w:rPr>
          <w:position w:val="-10"/>
        </w:rPr>
        <w:object w:dxaOrig="840" w:dyaOrig="320" w14:anchorId="6A2BB68D">
          <v:shape id="_x0000_i1256" type="#_x0000_t75" style="width:41.75pt;height:15.75pt" o:ole="">
            <v:imagedata r:id="rId481" o:title=""/>
          </v:shape>
          <o:OLEObject Type="Embed" ProgID="Equation.DSMT4" ShapeID="_x0000_i1256" DrawAspect="Content" ObjectID="_1791375200" r:id="rId482"/>
        </w:object>
      </w:r>
      <w:r w:rsidRPr="00A309A0">
        <w:rPr>
          <w:rFonts w:ascii="Cambria Math" w:eastAsiaTheme="minorEastAsia" w:hAnsi="Cambria Math"/>
          <w:noProof/>
          <w:sz w:val="23"/>
          <w:szCs w:val="23"/>
          <w:rtl/>
        </w:rPr>
        <w:t xml:space="preserve"> </w:t>
      </w:r>
      <w:r w:rsidRPr="00A309A0">
        <w:rPr>
          <w:rFonts w:ascii="Cambria Math" w:eastAsiaTheme="minorEastAsia" w:hAnsi="Cambria Math" w:hint="cs"/>
          <w:noProof/>
          <w:sz w:val="23"/>
          <w:szCs w:val="23"/>
          <w:rtl/>
        </w:rPr>
        <w:t>خواهد شد</w:t>
      </w:r>
      <w:r w:rsidRPr="00A309A0">
        <w:rPr>
          <w:rFonts w:ascii="Cambria Math" w:eastAsiaTheme="minorEastAsia" w:hAnsi="Cambria Math"/>
          <w:noProof/>
          <w:sz w:val="23"/>
          <w:szCs w:val="23"/>
          <w:rtl/>
        </w:rPr>
        <w:t xml:space="preserve"> و </w:t>
      </w:r>
      <w:r w:rsidRPr="00A309A0">
        <w:rPr>
          <w:rFonts w:ascii="Cambria Math" w:eastAsiaTheme="minorEastAsia" w:hAnsi="Cambria Math" w:hint="cs"/>
          <w:noProof/>
          <w:sz w:val="23"/>
          <w:szCs w:val="23"/>
          <w:rtl/>
        </w:rPr>
        <w:t xml:space="preserve">لذا </w:t>
      </w:r>
      <w:r w:rsidRPr="00A309A0">
        <w:rPr>
          <w:rFonts w:ascii="Cambria Math" w:eastAsiaTheme="minorEastAsia" w:hAnsi="Cambria Math"/>
          <w:noProof/>
          <w:sz w:val="23"/>
          <w:szCs w:val="23"/>
          <w:rtl/>
        </w:rPr>
        <w:t xml:space="preserve">مصرف </w:t>
      </w:r>
      <w:r w:rsidRPr="00A309A0">
        <w:rPr>
          <w:rFonts w:ascii="Cambria Math" w:eastAsiaTheme="minorEastAsia" w:hAnsi="Cambria Math" w:hint="cs"/>
          <w:noProof/>
          <w:sz w:val="23"/>
          <w:szCs w:val="23"/>
          <w:rtl/>
        </w:rPr>
        <w:t xml:space="preserve">در بلندمدت </w:t>
      </w:r>
      <w:r w:rsidRPr="00A309A0">
        <w:rPr>
          <w:rFonts w:ascii="Cambria Math" w:eastAsiaTheme="minorEastAsia" w:hAnsi="Cambria Math"/>
          <w:noProof/>
          <w:sz w:val="23"/>
          <w:szCs w:val="23"/>
          <w:rtl/>
        </w:rPr>
        <w:t xml:space="preserve">بدون </w:t>
      </w:r>
      <w:r w:rsidRPr="00A309A0">
        <w:rPr>
          <w:rFonts w:ascii="Cambria Math" w:eastAsiaTheme="minorEastAsia" w:hAnsi="Cambria Math"/>
          <w:noProof/>
          <w:sz w:val="23"/>
          <w:szCs w:val="23"/>
          <w:rtl/>
        </w:rPr>
        <w:lastRenderedPageBreak/>
        <w:t xml:space="preserve">تغییر </w:t>
      </w:r>
      <w:r w:rsidRPr="00A309A0">
        <w:rPr>
          <w:rFonts w:ascii="Cambria Math" w:eastAsiaTheme="minorEastAsia" w:hAnsi="Cambria Math" w:hint="cs"/>
          <w:noProof/>
          <w:sz w:val="23"/>
          <w:szCs w:val="23"/>
          <w:rtl/>
        </w:rPr>
        <w:t xml:space="preserve">باقی خواهد </w:t>
      </w:r>
      <w:r w:rsidRPr="00A309A0">
        <w:rPr>
          <w:rFonts w:ascii="Cambria Math" w:eastAsiaTheme="minorEastAsia" w:hAnsi="Cambria Math"/>
          <w:noProof/>
          <w:sz w:val="23"/>
          <w:szCs w:val="23"/>
          <w:rtl/>
        </w:rPr>
        <w:softHyphen/>
        <w:t>ماند</w:t>
      </w:r>
      <w:r w:rsidRPr="00A309A0">
        <w:rPr>
          <w:rFonts w:ascii="Cambria Math" w:eastAsiaTheme="minorEastAsia" w:hAnsi="Cambria Math" w:hint="cs"/>
          <w:noProof/>
          <w:sz w:val="23"/>
          <w:szCs w:val="23"/>
          <w:rtl/>
        </w:rPr>
        <w:t xml:space="preserve"> </w:t>
      </w:r>
      <w:r w:rsidRPr="00A309A0">
        <w:rPr>
          <w:rFonts w:ascii="Cambria Math" w:eastAsiaTheme="minorEastAsia" w:hAnsi="Cambria Math"/>
          <w:noProof/>
          <w:sz w:val="23"/>
          <w:szCs w:val="23"/>
          <w:rtl/>
        </w:rPr>
        <w:t>(وضعیت یکنواخت). اگر</w:t>
      </w:r>
      <w:r w:rsidRPr="00B92922">
        <w:rPr>
          <w:position w:val="-6"/>
        </w:rPr>
        <w:object w:dxaOrig="600" w:dyaOrig="300" w14:anchorId="2A073862">
          <v:shape id="_x0000_i1257" type="#_x0000_t75" style="width:29.65pt;height:15.15pt" o:ole="">
            <v:imagedata r:id="rId483" o:title=""/>
          </v:shape>
          <o:OLEObject Type="Embed" ProgID="Equation.DSMT4" ShapeID="_x0000_i1257" DrawAspect="Content" ObjectID="_1791375201" r:id="rId484"/>
        </w:object>
      </w:r>
      <w:r w:rsidRPr="00A309A0">
        <w:rPr>
          <w:rFonts w:ascii="Cambria Math" w:eastAsiaTheme="minorEastAsia" w:hAnsi="Cambria Math"/>
          <w:noProof/>
          <w:sz w:val="23"/>
          <w:szCs w:val="23"/>
          <w:rtl/>
        </w:rPr>
        <w:t xml:space="preserve"> باشد، آنگاه </w:t>
      </w:r>
      <w:r w:rsidRPr="00B92922">
        <w:rPr>
          <w:position w:val="-16"/>
        </w:rPr>
        <w:object w:dxaOrig="1440" w:dyaOrig="420" w14:anchorId="720AD66C">
          <v:shape id="_x0000_i1258" type="#_x0000_t75" style="width:1in;height:21.2pt" o:ole="">
            <v:imagedata r:id="rId485" o:title=""/>
          </v:shape>
          <o:OLEObject Type="Embed" ProgID="Equation.DSMT4" ShapeID="_x0000_i1258" DrawAspect="Content" ObjectID="_1791375202" r:id="rId486"/>
        </w:object>
      </w:r>
      <w:r w:rsidRPr="00A309A0">
        <w:rPr>
          <w:rFonts w:ascii="Cambria Math" w:hAnsi="Cambria Math"/>
          <w:noProof/>
          <w:sz w:val="23"/>
          <w:szCs w:val="23"/>
          <w:rtl/>
        </w:rPr>
        <w:t xml:space="preserve"> خواهد بود و در نتیجه</w:t>
      </w:r>
      <w:r w:rsidRPr="00B92922">
        <w:rPr>
          <w:position w:val="-10"/>
        </w:rPr>
        <w:object w:dxaOrig="859" w:dyaOrig="320" w14:anchorId="24D0F0BC">
          <v:shape id="_x0000_i1259" type="#_x0000_t75" style="width:42.95pt;height:15.75pt" o:ole="">
            <v:imagedata r:id="rId487" o:title=""/>
          </v:shape>
          <o:OLEObject Type="Embed" ProgID="Equation.DSMT4" ShapeID="_x0000_i1259" DrawAspect="Content" ObjectID="_1791375203" r:id="rId488"/>
        </w:object>
      </w:r>
      <w:r w:rsidRPr="00A309A0">
        <w:rPr>
          <w:rFonts w:ascii="Cambria Math" w:eastAsiaTheme="minorEastAsia" w:hAnsi="Cambria Math"/>
          <w:noProof/>
          <w:sz w:val="23"/>
          <w:szCs w:val="23"/>
          <w:rtl/>
          <w:lang w:val="en-GB"/>
        </w:rPr>
        <w:t xml:space="preserve"> است و مصرف مرتباً کاهش می</w:t>
      </w:r>
      <w:r w:rsidRPr="00A309A0">
        <w:rPr>
          <w:rFonts w:ascii="Cambria Math" w:eastAsiaTheme="minorEastAsia" w:hAnsi="Cambria Math"/>
          <w:noProof/>
          <w:sz w:val="23"/>
          <w:szCs w:val="23"/>
          <w:rtl/>
          <w:lang w:val="en-GB"/>
        </w:rPr>
        <w:softHyphen/>
        <w:t>یابد. و بالاخره</w:t>
      </w:r>
      <w:r w:rsidRPr="00A309A0">
        <w:rPr>
          <w:rFonts w:ascii="Cambria Math" w:hAnsi="Cambria Math"/>
          <w:noProof/>
          <w:sz w:val="23"/>
          <w:szCs w:val="23"/>
          <w:rtl/>
        </w:rPr>
        <w:t xml:space="preserve"> اگر</w:t>
      </w:r>
      <w:r w:rsidRPr="00B92922">
        <w:rPr>
          <w:position w:val="-6"/>
        </w:rPr>
        <w:object w:dxaOrig="600" w:dyaOrig="300" w14:anchorId="7EB02DBE">
          <v:shape id="_x0000_i1260" type="#_x0000_t75" style="width:29.65pt;height:15.15pt" o:ole="">
            <v:imagedata r:id="rId489" o:title=""/>
          </v:shape>
          <o:OLEObject Type="Embed" ProgID="Equation.DSMT4" ShapeID="_x0000_i1260" DrawAspect="Content" ObjectID="_1791375204" r:id="rId490"/>
        </w:object>
      </w:r>
      <w:r w:rsidRPr="00A309A0">
        <w:rPr>
          <w:rFonts w:ascii="Cambria Math" w:hAnsi="Cambria Math"/>
          <w:noProof/>
          <w:sz w:val="23"/>
          <w:szCs w:val="23"/>
          <w:rtl/>
        </w:rPr>
        <w:t xml:space="preserve"> </w:t>
      </w:r>
      <w:r w:rsidRPr="00A309A0">
        <w:rPr>
          <w:rFonts w:ascii="Cambria Math" w:eastAsiaTheme="minorEastAsia" w:hAnsi="Cambria Math"/>
          <w:noProof/>
          <w:sz w:val="23"/>
          <w:szCs w:val="23"/>
          <w:rtl/>
        </w:rPr>
        <w:t xml:space="preserve">باشد، آنگاه </w:t>
      </w:r>
      <w:r w:rsidRPr="00B92922">
        <w:rPr>
          <w:position w:val="-16"/>
        </w:rPr>
        <w:object w:dxaOrig="1440" w:dyaOrig="420" w14:anchorId="47D7BCDF">
          <v:shape id="_x0000_i1261" type="#_x0000_t75" style="width:1in;height:21.2pt" o:ole="">
            <v:imagedata r:id="rId491" o:title=""/>
          </v:shape>
          <o:OLEObject Type="Embed" ProgID="Equation.DSMT4" ShapeID="_x0000_i1261" DrawAspect="Content" ObjectID="_1791375205" r:id="rId492"/>
        </w:object>
      </w:r>
      <w:r w:rsidRPr="00A309A0">
        <w:rPr>
          <w:rFonts w:ascii="Cambria Math" w:hAnsi="Cambria Math"/>
          <w:noProof/>
          <w:sz w:val="23"/>
          <w:szCs w:val="23"/>
          <w:rtl/>
        </w:rPr>
        <w:t xml:space="preserve"> خواهد بود و در نتیجه</w:t>
      </w:r>
      <w:r w:rsidRPr="00B92922">
        <w:rPr>
          <w:position w:val="-10"/>
        </w:rPr>
        <w:object w:dxaOrig="859" w:dyaOrig="320" w14:anchorId="3A7591C0">
          <v:shape id="_x0000_i1262" type="#_x0000_t75" style="width:42.95pt;height:15.75pt" o:ole="">
            <v:imagedata r:id="rId493" o:title=""/>
          </v:shape>
          <o:OLEObject Type="Embed" ProgID="Equation.DSMT4" ShapeID="_x0000_i1262" DrawAspect="Content" ObjectID="_1791375206" r:id="rId494"/>
        </w:object>
      </w:r>
      <w:r w:rsidRPr="00A309A0">
        <w:rPr>
          <w:rFonts w:ascii="Cambria Math" w:eastAsiaTheme="minorEastAsia" w:hAnsi="Cambria Math"/>
          <w:noProof/>
          <w:sz w:val="23"/>
          <w:szCs w:val="23"/>
          <w:rtl/>
          <w:lang w:val="en-GB"/>
        </w:rPr>
        <w:t xml:space="preserve"> است و مصرف مرتباً افزایش خواهد یافت.</w:t>
      </w:r>
      <w:r w:rsidRPr="00A309A0">
        <w:rPr>
          <w:rFonts w:ascii="Cambria Math" w:hAnsi="Cambria Math"/>
          <w:noProof/>
          <w:sz w:val="23"/>
          <w:szCs w:val="23"/>
          <w:rtl/>
        </w:rPr>
        <w:t xml:space="preserve"> این نتایج </w:t>
      </w:r>
      <w:r w:rsidRPr="00A309A0">
        <w:rPr>
          <w:rFonts w:ascii="Cambria Math" w:hAnsi="Cambria Math" w:hint="cs"/>
          <w:noProof/>
          <w:sz w:val="23"/>
          <w:szCs w:val="23"/>
          <w:rtl/>
        </w:rPr>
        <w:t>را می</w:t>
      </w:r>
      <w:r w:rsidRPr="00A309A0">
        <w:rPr>
          <w:rFonts w:ascii="Cambria Math" w:hAnsi="Cambria Math"/>
          <w:noProof/>
          <w:sz w:val="23"/>
          <w:szCs w:val="23"/>
          <w:rtl/>
        </w:rPr>
        <w:softHyphen/>
      </w:r>
      <w:r w:rsidRPr="00A309A0">
        <w:rPr>
          <w:rFonts w:ascii="Cambria Math" w:hAnsi="Cambria Math" w:hint="cs"/>
          <w:noProof/>
          <w:sz w:val="23"/>
          <w:szCs w:val="23"/>
          <w:rtl/>
        </w:rPr>
        <w:t xml:space="preserve">توان </w:t>
      </w:r>
      <w:r w:rsidRPr="00A309A0">
        <w:rPr>
          <w:rFonts w:ascii="Cambria Math" w:hAnsi="Cambria Math"/>
          <w:noProof/>
          <w:sz w:val="23"/>
          <w:szCs w:val="23"/>
          <w:rtl/>
        </w:rPr>
        <w:t>در نمودار</w:t>
      </w:r>
      <w:r w:rsidRPr="00A309A0">
        <w:rPr>
          <w:rFonts w:ascii="Cambria Math" w:hAnsi="Cambria Math" w:hint="cs"/>
          <w:noProof/>
          <w:sz w:val="23"/>
          <w:szCs w:val="23"/>
          <w:rtl/>
        </w:rPr>
        <w:t xml:space="preserve"> فاز</w:t>
      </w:r>
      <w:r w:rsidRPr="00A309A0">
        <w:rPr>
          <w:rFonts w:ascii="Cambria Math" w:hAnsi="Cambria Math"/>
          <w:noProof/>
          <w:sz w:val="23"/>
          <w:szCs w:val="23"/>
          <w:rtl/>
        </w:rPr>
        <w:t xml:space="preserve"> </w:t>
      </w:r>
      <w:r w:rsidRPr="00A309A0">
        <w:rPr>
          <w:rFonts w:ascii="Cambria Math" w:hAnsi="Cambria Math" w:hint="cs"/>
          <w:noProof/>
          <w:sz w:val="23"/>
          <w:szCs w:val="23"/>
          <w:rtl/>
        </w:rPr>
        <w:t>۲. ۸</w:t>
      </w:r>
      <w:r w:rsidRPr="00A309A0">
        <w:rPr>
          <w:rFonts w:ascii="Cambria Math" w:hAnsi="Cambria Math"/>
          <w:noProof/>
          <w:sz w:val="23"/>
          <w:szCs w:val="23"/>
          <w:rtl/>
        </w:rPr>
        <w:t xml:space="preserve"> نشان داد. </w:t>
      </w:r>
    </w:p>
    <w:p w14:paraId="45E698FF" w14:textId="77777777" w:rsidR="00411620" w:rsidRPr="00A309A0" w:rsidRDefault="00411620" w:rsidP="00411620">
      <w:pPr>
        <w:spacing w:line="216" w:lineRule="auto"/>
        <w:rPr>
          <w:rFonts w:ascii="Cambria Math" w:hAnsi="Cambria Math"/>
          <w:noProof/>
          <w:sz w:val="23"/>
          <w:szCs w:val="23"/>
        </w:rPr>
      </w:pPr>
      <w:r w:rsidRPr="00A309A0">
        <w:rPr>
          <w:rFonts w:ascii="Cambria Math" w:hAnsi="Cambria Math"/>
          <w:noProof/>
          <w:sz w:val="23"/>
          <w:szCs w:val="23"/>
          <w:rtl/>
        </w:rPr>
        <w:t>رفتار پویای موجودی سرمایه با استفاده از معادله</w:t>
      </w:r>
      <w:r w:rsidRPr="00A309A0">
        <w:rPr>
          <w:rFonts w:ascii="Cambria Math" w:hAnsi="Cambria Math"/>
          <w:noProof/>
          <w:sz w:val="23"/>
          <w:szCs w:val="23"/>
          <w:rtl/>
        </w:rPr>
        <w:softHyphen/>
        <w:t xml:space="preserve">ی </w:t>
      </w:r>
      <w:r w:rsidRPr="00A309A0">
        <w:rPr>
          <w:rFonts w:ascii="Cambria Math" w:hAnsi="Cambria Math" w:hint="cs"/>
          <w:sz w:val="23"/>
          <w:szCs w:val="23"/>
          <w:rtl/>
        </w:rPr>
        <w:t>(۲. ۱۷)</w:t>
      </w:r>
      <w:r w:rsidRPr="00A309A0">
        <w:rPr>
          <w:rFonts w:ascii="Cambria Math" w:hAnsi="Cambria Math"/>
          <w:noProof/>
          <w:sz w:val="23"/>
          <w:szCs w:val="23"/>
          <w:rtl/>
        </w:rPr>
        <w:t xml:space="preserve"> تبیین می</w:t>
      </w:r>
      <w:r w:rsidRPr="00A309A0">
        <w:rPr>
          <w:rFonts w:ascii="Cambria Math" w:hAnsi="Cambria Math"/>
          <w:noProof/>
          <w:sz w:val="23"/>
          <w:szCs w:val="23"/>
          <w:rtl/>
        </w:rPr>
        <w:softHyphen/>
        <w:t xml:space="preserve">شود. </w:t>
      </w:r>
      <w:r w:rsidRPr="00A309A0">
        <w:rPr>
          <w:rFonts w:ascii="Cambria Math" w:hAnsi="Cambria Math" w:hint="cs"/>
          <w:noProof/>
          <w:sz w:val="23"/>
          <w:szCs w:val="23"/>
          <w:rtl/>
        </w:rPr>
        <w:t xml:space="preserve">بر روی منحنی در نمودار   ۲. </w:t>
      </w:r>
      <w:r w:rsidRPr="00A309A0">
        <w:rPr>
          <w:rFonts w:ascii="NPIZar" w:hAnsi="NPIZar"/>
          <w:noProof/>
          <w:sz w:val="23"/>
          <w:szCs w:val="23"/>
          <w:rtl/>
        </w:rPr>
        <w:t>9</w:t>
      </w:r>
      <w:r w:rsidRPr="00A309A0">
        <w:rPr>
          <w:rFonts w:ascii="Cambria Math" w:hAnsi="Cambria Math" w:hint="cs"/>
          <w:noProof/>
          <w:sz w:val="23"/>
          <w:szCs w:val="23"/>
          <w:rtl/>
        </w:rPr>
        <w:t xml:space="preserve"> داریم</w:t>
      </w:r>
      <w:r w:rsidRPr="00B92922">
        <w:rPr>
          <w:position w:val="-12"/>
        </w:rPr>
        <w:object w:dxaOrig="1500" w:dyaOrig="360" w14:anchorId="4B654B51">
          <v:shape id="_x0000_i1263" type="#_x0000_t75" style="width:75.05pt;height:18.15pt" o:ole="">
            <v:imagedata r:id="rId495" o:title=""/>
          </v:shape>
          <o:OLEObject Type="Embed" ProgID="Equation.DSMT4" ShapeID="_x0000_i1263" DrawAspect="Content" ObjectID="_1791375207" r:id="rId496"/>
        </w:object>
      </w:r>
      <w:r w:rsidRPr="00A309A0">
        <w:rPr>
          <w:rFonts w:ascii="Cambria Math" w:hAnsi="Cambria Math" w:hint="cs"/>
          <w:noProof/>
          <w:sz w:val="23"/>
          <w:szCs w:val="23"/>
          <w:rtl/>
        </w:rPr>
        <w:t>،</w:t>
      </w:r>
      <w:r w:rsidRPr="00A309A0">
        <w:rPr>
          <w:rFonts w:ascii="Cambria Math" w:hAnsi="Cambria Math"/>
          <w:noProof/>
          <w:sz w:val="23"/>
          <w:szCs w:val="23"/>
          <w:rtl/>
        </w:rPr>
        <w:t xml:space="preserve"> </w:t>
      </w:r>
      <w:r w:rsidRPr="00A309A0">
        <w:rPr>
          <w:rFonts w:ascii="Cambria Math" w:hAnsi="Cambria Math" w:hint="cs"/>
          <w:noProof/>
          <w:sz w:val="23"/>
          <w:szCs w:val="23"/>
          <w:rtl/>
        </w:rPr>
        <w:t>و لذا از رابطه</w:t>
      </w:r>
      <w:r w:rsidRPr="00A309A0">
        <w:rPr>
          <w:rFonts w:ascii="Cambria Math" w:hAnsi="Cambria Math"/>
          <w:noProof/>
          <w:sz w:val="23"/>
          <w:szCs w:val="23"/>
          <w:rtl/>
        </w:rPr>
        <w:softHyphen/>
      </w:r>
      <w:r w:rsidRPr="00A309A0">
        <w:rPr>
          <w:rFonts w:ascii="Cambria Math" w:hAnsi="Cambria Math" w:hint="cs"/>
          <w:noProof/>
          <w:sz w:val="23"/>
          <w:szCs w:val="23"/>
          <w:rtl/>
        </w:rPr>
        <w:t>ی (</w:t>
      </w:r>
      <w:r w:rsidRPr="00A309A0">
        <w:rPr>
          <w:rFonts w:ascii="NPIYagut" w:hAnsi="NPIYagut"/>
          <w:noProof/>
          <w:sz w:val="23"/>
          <w:szCs w:val="23"/>
          <w:rtl/>
        </w:rPr>
        <w:t>2. 17</w:t>
      </w:r>
      <w:r w:rsidRPr="00A309A0">
        <w:rPr>
          <w:rFonts w:ascii="Cambria Math" w:hAnsi="Cambria Math" w:hint="cs"/>
          <w:noProof/>
          <w:sz w:val="23"/>
          <w:szCs w:val="23"/>
          <w:rtl/>
        </w:rPr>
        <w:t xml:space="preserve">) </w:t>
      </w:r>
      <w:r w:rsidRPr="00B92922">
        <w:rPr>
          <w:position w:val="-10"/>
        </w:rPr>
        <w:object w:dxaOrig="880" w:dyaOrig="320" w14:anchorId="080730BB">
          <v:shape id="_x0000_i1264" type="#_x0000_t75" style="width:44.15pt;height:15.75pt" o:ole="">
            <v:imagedata r:id="rId497" o:title=""/>
          </v:shape>
          <o:OLEObject Type="Embed" ProgID="Equation.DSMT4" ShapeID="_x0000_i1264" DrawAspect="Content" ObjectID="_1791375208" r:id="rId498"/>
        </w:object>
      </w:r>
      <w:r w:rsidRPr="00A309A0">
        <w:rPr>
          <w:rFonts w:ascii="Cambria Math" w:hAnsi="Cambria Math" w:hint="cs"/>
          <w:sz w:val="23"/>
          <w:szCs w:val="23"/>
          <w:rtl/>
        </w:rPr>
        <w:t>می</w:t>
      </w:r>
      <w:r w:rsidRPr="00A309A0">
        <w:rPr>
          <w:rFonts w:ascii="Cambria Math" w:hAnsi="Cambria Math"/>
          <w:sz w:val="23"/>
          <w:szCs w:val="23"/>
          <w:rtl/>
        </w:rPr>
        <w:softHyphen/>
      </w:r>
      <w:r w:rsidRPr="00A309A0">
        <w:rPr>
          <w:rFonts w:ascii="Cambria Math" w:hAnsi="Cambria Math" w:hint="cs"/>
          <w:sz w:val="23"/>
          <w:szCs w:val="23"/>
          <w:rtl/>
        </w:rPr>
        <w:t>باشد</w:t>
      </w:r>
      <w:r w:rsidRPr="00A309A0">
        <w:rPr>
          <w:rFonts w:ascii="Cambria Math" w:eastAsiaTheme="minorEastAsia" w:hAnsi="Cambria Math"/>
          <w:noProof/>
          <w:sz w:val="23"/>
          <w:szCs w:val="23"/>
          <w:rtl/>
        </w:rPr>
        <w:t xml:space="preserve"> (وضعیت یکنواخت). </w:t>
      </w:r>
      <w:r w:rsidRPr="00A309A0">
        <w:rPr>
          <w:rFonts w:ascii="Cambria Math" w:eastAsiaTheme="minorEastAsia" w:hAnsi="Cambria Math" w:hint="cs"/>
          <w:noProof/>
          <w:sz w:val="23"/>
          <w:szCs w:val="23"/>
          <w:rtl/>
        </w:rPr>
        <w:t>در بالای منحنی</w:t>
      </w:r>
      <w:r w:rsidRPr="00A309A0">
        <w:rPr>
          <w:rFonts w:ascii="Cambria Math" w:eastAsiaTheme="minorEastAsia" w:hAnsi="Cambria Math"/>
          <w:noProof/>
          <w:sz w:val="23"/>
          <w:szCs w:val="23"/>
          <w:rtl/>
        </w:rPr>
        <w:t xml:space="preserve"> </w:t>
      </w:r>
      <w:r w:rsidRPr="00B92922">
        <w:rPr>
          <w:position w:val="-12"/>
        </w:rPr>
        <w:object w:dxaOrig="1460" w:dyaOrig="360" w14:anchorId="16E5224B">
          <v:shape id="_x0000_i1265" type="#_x0000_t75" style="width:73.2pt;height:18.15pt" o:ole="">
            <v:imagedata r:id="rId499" o:title=""/>
          </v:shape>
          <o:OLEObject Type="Embed" ProgID="Equation.DSMT4" ShapeID="_x0000_i1265" DrawAspect="Content" ObjectID="_1791375209" r:id="rId500"/>
        </w:object>
      </w:r>
      <w:r w:rsidRPr="00A309A0">
        <w:rPr>
          <w:rFonts w:ascii="Cambria Math" w:hAnsi="Cambria Math"/>
          <w:noProof/>
          <w:sz w:val="23"/>
          <w:szCs w:val="23"/>
          <w:rtl/>
        </w:rPr>
        <w:t xml:space="preserve"> </w:t>
      </w:r>
      <w:r w:rsidRPr="00A309A0">
        <w:rPr>
          <w:rFonts w:ascii="Cambria Math" w:hAnsi="Cambria Math" w:hint="cs"/>
          <w:noProof/>
          <w:sz w:val="23"/>
          <w:szCs w:val="23"/>
          <w:rtl/>
        </w:rPr>
        <w:t>است، و چون</w:t>
      </w:r>
      <w:r w:rsidRPr="00A309A0">
        <w:rPr>
          <w:rFonts w:ascii="Cambria Math" w:hAnsi="Cambria Math"/>
          <w:noProof/>
          <w:sz w:val="23"/>
          <w:szCs w:val="23"/>
          <w:rtl/>
        </w:rPr>
        <w:t xml:space="preserve"> </w:t>
      </w:r>
      <w:r w:rsidRPr="00B92922">
        <w:rPr>
          <w:position w:val="-10"/>
        </w:rPr>
        <w:object w:dxaOrig="840" w:dyaOrig="320" w14:anchorId="6F615F1A">
          <v:shape id="_x0000_i1266" type="#_x0000_t75" style="width:41.75pt;height:15.75pt" o:ole="">
            <v:imagedata r:id="rId501" o:title=""/>
          </v:shape>
          <o:OLEObject Type="Embed" ProgID="Equation.DSMT4" ShapeID="_x0000_i1266" DrawAspect="Content" ObjectID="_1791375210" r:id="rId502"/>
        </w:object>
      </w:r>
      <w:r w:rsidRPr="00A309A0">
        <w:rPr>
          <w:rFonts w:ascii="Cambria Math" w:hAnsi="Cambria Math"/>
          <w:noProof/>
          <w:sz w:val="23"/>
          <w:szCs w:val="23"/>
          <w:rtl/>
        </w:rPr>
        <w:t xml:space="preserve"> </w:t>
      </w:r>
      <w:r w:rsidRPr="00A309A0">
        <w:rPr>
          <w:rFonts w:ascii="Cambria Math" w:hAnsi="Cambria Math" w:hint="cs"/>
          <w:noProof/>
          <w:sz w:val="23"/>
          <w:szCs w:val="23"/>
          <w:rtl/>
        </w:rPr>
        <w:t>می</w:t>
      </w:r>
      <w:r w:rsidRPr="00A309A0">
        <w:rPr>
          <w:rFonts w:ascii="Cambria Math" w:hAnsi="Cambria Math"/>
          <w:noProof/>
          <w:sz w:val="23"/>
          <w:szCs w:val="23"/>
          <w:rtl/>
        </w:rPr>
        <w:softHyphen/>
      </w:r>
      <w:r w:rsidRPr="00A309A0">
        <w:rPr>
          <w:rFonts w:ascii="Cambria Math" w:hAnsi="Cambria Math" w:hint="cs"/>
          <w:noProof/>
          <w:sz w:val="23"/>
          <w:szCs w:val="23"/>
          <w:rtl/>
        </w:rPr>
        <w:t xml:space="preserve">باشد </w:t>
      </w:r>
      <w:r w:rsidRPr="00A309A0">
        <w:rPr>
          <w:rFonts w:ascii="Cambria Math" w:hAnsi="Cambria Math"/>
          <w:noProof/>
          <w:sz w:val="23"/>
          <w:szCs w:val="23"/>
          <w:rtl/>
        </w:rPr>
        <w:t>موجودی سرمایه مرتباً کاهش می</w:t>
      </w:r>
      <w:r w:rsidRPr="00A309A0">
        <w:rPr>
          <w:rFonts w:ascii="Cambria Math" w:hAnsi="Cambria Math"/>
          <w:noProof/>
          <w:sz w:val="23"/>
          <w:szCs w:val="23"/>
          <w:rtl/>
        </w:rPr>
        <w:softHyphen/>
        <w:t xml:space="preserve">یابد. زیرا در بالای منحنی، مصرف بعلاوه سرمایه‌گذاری خالص </w:t>
      </w:r>
      <w:r w:rsidRPr="00A309A0">
        <w:rPr>
          <w:rFonts w:ascii="Cambria Math" w:hAnsi="Cambria Math" w:hint="cs"/>
          <w:noProof/>
          <w:sz w:val="23"/>
          <w:szCs w:val="23"/>
          <w:rtl/>
        </w:rPr>
        <w:t>بیشتر ا</w:t>
      </w:r>
      <w:r w:rsidRPr="00A309A0">
        <w:rPr>
          <w:rFonts w:ascii="Cambria Math" w:hAnsi="Cambria Math"/>
          <w:noProof/>
          <w:sz w:val="23"/>
          <w:szCs w:val="23"/>
          <w:rtl/>
        </w:rPr>
        <w:t>ز تولید است</w:t>
      </w:r>
      <w:r w:rsidRPr="00A309A0">
        <w:rPr>
          <w:rFonts w:ascii="Cambria Math" w:hAnsi="Cambria Math" w:hint="cs"/>
          <w:noProof/>
          <w:sz w:val="23"/>
          <w:szCs w:val="23"/>
          <w:rtl/>
        </w:rPr>
        <w:t xml:space="preserve">، و لذا </w:t>
      </w:r>
      <w:r w:rsidRPr="00A309A0">
        <w:rPr>
          <w:rFonts w:ascii="Cambria Math" w:hAnsi="Cambria Math"/>
          <w:noProof/>
          <w:sz w:val="23"/>
          <w:szCs w:val="23"/>
          <w:rtl/>
        </w:rPr>
        <w:t xml:space="preserve">موجودی سرمایه به منظور تطبیق سطح مازاد مصرف باید کاهش یابد. و بالعکس </w:t>
      </w:r>
      <w:r w:rsidRPr="00A309A0">
        <w:rPr>
          <w:rFonts w:ascii="Cambria Math" w:eastAsiaTheme="minorEastAsia" w:hAnsi="Cambria Math"/>
          <w:noProof/>
          <w:sz w:val="23"/>
          <w:szCs w:val="23"/>
          <w:rtl/>
        </w:rPr>
        <w:t>اگر</w:t>
      </w:r>
      <w:r w:rsidRPr="00A309A0">
        <w:rPr>
          <w:rFonts w:ascii="Cambria Math" w:hAnsi="Cambria Math"/>
          <w:noProof/>
          <w:sz w:val="23"/>
          <w:szCs w:val="23"/>
          <w:rtl/>
        </w:rPr>
        <w:t xml:space="preserve"> </w:t>
      </w:r>
      <w:r w:rsidRPr="00B92922">
        <w:rPr>
          <w:position w:val="-12"/>
        </w:rPr>
        <w:object w:dxaOrig="1460" w:dyaOrig="360" w14:anchorId="058A49B5">
          <v:shape id="_x0000_i1267" type="#_x0000_t75" style="width:73.2pt;height:18.15pt" o:ole="">
            <v:imagedata r:id="rId503" o:title=""/>
          </v:shape>
          <o:OLEObject Type="Embed" ProgID="Equation.DSMT4" ShapeID="_x0000_i1267" DrawAspect="Content" ObjectID="_1791375211" r:id="rId504"/>
        </w:object>
      </w:r>
      <w:r w:rsidRPr="00A309A0">
        <w:rPr>
          <w:rFonts w:ascii="Cambria Math" w:hAnsi="Cambria Math"/>
          <w:noProof/>
          <w:sz w:val="23"/>
          <w:szCs w:val="23"/>
          <w:rtl/>
        </w:rPr>
        <w:t xml:space="preserve"> باشد</w:t>
      </w:r>
      <w:r w:rsidRPr="00A309A0">
        <w:rPr>
          <w:rFonts w:ascii="Cambria Math" w:hAnsi="Cambria Math" w:hint="cs"/>
          <w:noProof/>
          <w:sz w:val="23"/>
          <w:szCs w:val="23"/>
          <w:rtl/>
        </w:rPr>
        <w:t xml:space="preserve"> </w:t>
      </w:r>
      <w:r w:rsidRPr="00B92922">
        <w:rPr>
          <w:position w:val="-10"/>
        </w:rPr>
        <w:object w:dxaOrig="859" w:dyaOrig="320" w14:anchorId="253A4F8A">
          <v:shape id="_x0000_i1268" type="#_x0000_t75" style="width:42.95pt;height:15.75pt" o:ole="">
            <v:imagedata r:id="rId505" o:title=""/>
          </v:shape>
          <o:OLEObject Type="Embed" ProgID="Equation.DSMT4" ShapeID="_x0000_i1268" DrawAspect="Content" ObjectID="_1791375212" r:id="rId506"/>
        </w:object>
      </w:r>
      <w:r w:rsidRPr="00A309A0">
        <w:rPr>
          <w:rFonts w:ascii="Cambria Math" w:hAnsi="Cambria Math"/>
          <w:noProof/>
          <w:sz w:val="23"/>
          <w:szCs w:val="23"/>
          <w:rtl/>
        </w:rPr>
        <w:t xml:space="preserve"> </w:t>
      </w:r>
      <w:r w:rsidRPr="00A309A0">
        <w:rPr>
          <w:rFonts w:ascii="Cambria Math" w:hAnsi="Cambria Math" w:hint="cs"/>
          <w:noProof/>
          <w:sz w:val="23"/>
          <w:szCs w:val="23"/>
          <w:rtl/>
        </w:rPr>
        <w:t xml:space="preserve">است </w:t>
      </w:r>
      <w:r w:rsidRPr="00A309A0">
        <w:rPr>
          <w:rFonts w:ascii="Cambria Math" w:hAnsi="Cambria Math"/>
          <w:noProof/>
          <w:sz w:val="23"/>
          <w:szCs w:val="23"/>
          <w:rtl/>
        </w:rPr>
        <w:t>و موجودی سرمایه مرتباً افزایش می</w:t>
      </w:r>
      <w:r w:rsidRPr="00A309A0">
        <w:rPr>
          <w:rFonts w:ascii="Cambria Math" w:hAnsi="Cambria Math"/>
          <w:noProof/>
          <w:sz w:val="23"/>
          <w:szCs w:val="23"/>
          <w:rtl/>
        </w:rPr>
        <w:softHyphen/>
        <w:t>یابد. نتایج فوق در نمودار</w:t>
      </w:r>
      <w:r w:rsidRPr="00A309A0">
        <w:rPr>
          <w:rFonts w:ascii="Cambria Math" w:hAnsi="Cambria Math" w:hint="cs"/>
          <w:noProof/>
          <w:sz w:val="23"/>
          <w:szCs w:val="23"/>
          <w:rtl/>
        </w:rPr>
        <w:t xml:space="preserve"> فاز</w:t>
      </w:r>
      <w:r w:rsidRPr="00A309A0">
        <w:rPr>
          <w:rFonts w:ascii="Cambria Math" w:hAnsi="Cambria Math"/>
          <w:noProof/>
          <w:sz w:val="23"/>
          <w:szCs w:val="23"/>
          <w:rtl/>
        </w:rPr>
        <w:t xml:space="preserve"> </w:t>
      </w:r>
      <w:r w:rsidRPr="00A309A0">
        <w:rPr>
          <w:rFonts w:ascii="Cambria Math" w:hAnsi="Cambria Math" w:hint="cs"/>
          <w:noProof/>
          <w:sz w:val="23"/>
          <w:szCs w:val="23"/>
          <w:rtl/>
        </w:rPr>
        <w:t xml:space="preserve">۲. ۹ </w:t>
      </w:r>
      <w:r w:rsidRPr="00A309A0">
        <w:rPr>
          <w:rFonts w:ascii="Cambria Math" w:hAnsi="Cambria Math"/>
          <w:noProof/>
          <w:sz w:val="23"/>
          <w:szCs w:val="23"/>
          <w:rtl/>
        </w:rPr>
        <w:t xml:space="preserve">نشان داده شده است. با ترکیب نمودارهای </w:t>
      </w:r>
      <w:r w:rsidRPr="00A309A0">
        <w:rPr>
          <w:rFonts w:ascii="Cambria Math" w:hAnsi="Cambria Math" w:hint="cs"/>
          <w:noProof/>
          <w:sz w:val="23"/>
          <w:szCs w:val="23"/>
          <w:rtl/>
        </w:rPr>
        <w:t>۲. ۸</w:t>
      </w:r>
      <w:r w:rsidRPr="00A309A0">
        <w:rPr>
          <w:rFonts w:ascii="Cambria Math" w:hAnsi="Cambria Math"/>
          <w:noProof/>
          <w:sz w:val="23"/>
          <w:szCs w:val="23"/>
          <w:rtl/>
        </w:rPr>
        <w:t xml:space="preserve"> و </w:t>
      </w:r>
      <w:r w:rsidRPr="00A309A0">
        <w:rPr>
          <w:rFonts w:ascii="Cambria Math" w:hAnsi="Cambria Math" w:hint="cs"/>
          <w:noProof/>
          <w:sz w:val="23"/>
          <w:szCs w:val="23"/>
          <w:rtl/>
        </w:rPr>
        <w:t>۲. ۹</w:t>
      </w:r>
      <w:r w:rsidRPr="00A309A0">
        <w:rPr>
          <w:rFonts w:ascii="Cambria Math" w:hAnsi="Cambria Math"/>
          <w:noProof/>
          <w:sz w:val="23"/>
          <w:szCs w:val="23"/>
          <w:rtl/>
        </w:rPr>
        <w:t xml:space="preserve"> نمودار</w:t>
      </w:r>
      <w:r w:rsidRPr="00A309A0">
        <w:rPr>
          <w:rFonts w:ascii="Cambria Math" w:hAnsi="Cambria Math" w:hint="cs"/>
          <w:noProof/>
          <w:sz w:val="23"/>
          <w:szCs w:val="23"/>
          <w:rtl/>
        </w:rPr>
        <w:t xml:space="preserve"> فاز</w:t>
      </w:r>
      <w:r w:rsidRPr="00A309A0">
        <w:rPr>
          <w:rFonts w:ascii="Cambria Math" w:hAnsi="Cambria Math"/>
          <w:noProof/>
          <w:sz w:val="23"/>
          <w:szCs w:val="23"/>
          <w:rtl/>
        </w:rPr>
        <w:t xml:space="preserve"> </w:t>
      </w:r>
      <w:r w:rsidRPr="00A309A0">
        <w:rPr>
          <w:rFonts w:ascii="Cambria Math" w:hAnsi="Cambria Math" w:hint="cs"/>
          <w:noProof/>
          <w:sz w:val="23"/>
          <w:szCs w:val="23"/>
          <w:rtl/>
        </w:rPr>
        <w:t>۲. ۱۰</w:t>
      </w:r>
      <w:r w:rsidRPr="00A309A0">
        <w:rPr>
          <w:rFonts w:ascii="Cambria Math" w:hAnsi="Cambria Math"/>
          <w:noProof/>
          <w:sz w:val="23"/>
          <w:szCs w:val="23"/>
          <w:rtl/>
        </w:rPr>
        <w:t xml:space="preserve"> بدست می</w:t>
      </w:r>
      <w:r w:rsidRPr="00A309A0">
        <w:rPr>
          <w:rFonts w:ascii="Cambria Math" w:hAnsi="Cambria Math"/>
          <w:noProof/>
          <w:sz w:val="23"/>
          <w:szCs w:val="23"/>
          <w:rtl/>
        </w:rPr>
        <w:softHyphen/>
        <w:t>آید.</w:t>
      </w:r>
      <w:r w:rsidRPr="00A309A0">
        <w:rPr>
          <w:rFonts w:ascii="Cambria Math" w:hAnsi="Cambria Math"/>
          <w:noProof/>
          <w:sz w:val="23"/>
          <w:szCs w:val="23"/>
        </w:rPr>
        <w:t xml:space="preserve"> </w:t>
      </w:r>
    </w:p>
    <w:p w14:paraId="3A883871" w14:textId="77777777" w:rsidR="00411620" w:rsidRDefault="00411620" w:rsidP="00411620">
      <w:pPr>
        <w:spacing w:line="216" w:lineRule="auto"/>
        <w:rPr>
          <w:rFonts w:ascii="Cambria Math" w:hAnsi="Cambria Math"/>
          <w:noProof/>
          <w:sz w:val="23"/>
          <w:szCs w:val="23"/>
        </w:rPr>
      </w:pPr>
      <w:r w:rsidRPr="00A309A0">
        <w:rPr>
          <w:rFonts w:ascii="Cambria Math" w:hAnsi="Cambria Math"/>
          <w:noProof/>
          <w:sz w:val="23"/>
          <w:szCs w:val="23"/>
          <w:rtl/>
        </w:rPr>
        <w:t>مقادیر متغیرهای موجودی سرمایه و مصرف در بلندمدت یا وضعیت یکنواخت در نقطه</w:t>
      </w:r>
      <w:r w:rsidRPr="00A309A0">
        <w:rPr>
          <w:rFonts w:ascii="Cambria Math" w:hAnsi="Cambria Math"/>
          <w:noProof/>
          <w:sz w:val="23"/>
          <w:szCs w:val="23"/>
          <w:rtl/>
        </w:rPr>
        <w:softHyphen/>
        <w:t>ی</w:t>
      </w:r>
      <w:r w:rsidRPr="00025957">
        <w:rPr>
          <w:position w:val="-4"/>
        </w:rPr>
        <w:object w:dxaOrig="240" w:dyaOrig="240" w14:anchorId="490A301B">
          <v:shape id="_x0000_i1269" type="#_x0000_t75" style="width:12.1pt;height:12.1pt" o:ole="">
            <v:imagedata r:id="rId507" o:title=""/>
          </v:shape>
          <o:OLEObject Type="Embed" ProgID="Equation.DSMT4" ShapeID="_x0000_i1269" DrawAspect="Content" ObjectID="_1791375213" r:id="rId508"/>
        </w:object>
      </w:r>
      <w:r w:rsidRPr="00A309A0">
        <w:rPr>
          <w:rFonts w:ascii="Cambria Math" w:hAnsi="Cambria Math"/>
          <w:noProof/>
          <w:sz w:val="23"/>
          <w:szCs w:val="23"/>
          <w:rtl/>
        </w:rPr>
        <w:t xml:space="preserve"> بدست</w:t>
      </w:r>
      <w:r w:rsidRPr="00A309A0">
        <w:rPr>
          <w:rFonts w:ascii="Cambria Math" w:hAnsi="Cambria Math"/>
          <w:noProof/>
          <w:sz w:val="23"/>
          <w:szCs w:val="23"/>
        </w:rPr>
        <w:t xml:space="preserve"> </w:t>
      </w:r>
      <w:r w:rsidRPr="00A309A0">
        <w:rPr>
          <w:rFonts w:ascii="Cambria Math" w:hAnsi="Cambria Math"/>
          <w:noProof/>
          <w:sz w:val="23"/>
          <w:szCs w:val="23"/>
          <w:rtl/>
        </w:rPr>
        <w:t>می</w:t>
      </w:r>
      <w:r w:rsidRPr="00A309A0">
        <w:rPr>
          <w:rFonts w:ascii="Cambria Math" w:hAnsi="Cambria Math"/>
          <w:noProof/>
          <w:sz w:val="23"/>
          <w:szCs w:val="23"/>
          <w:rtl/>
        </w:rPr>
        <w:softHyphen/>
        <w:t>آید. منحنی</w:t>
      </w:r>
      <w:r w:rsidRPr="00B92922">
        <w:rPr>
          <w:position w:val="-6"/>
        </w:rPr>
        <w:object w:dxaOrig="360" w:dyaOrig="260" w14:anchorId="26E466E2">
          <v:shape id="_x0000_i1270" type="#_x0000_t75" style="width:18.15pt;height:12.7pt" o:ole="">
            <v:imagedata r:id="rId509" o:title=""/>
          </v:shape>
          <o:OLEObject Type="Embed" ProgID="Equation.DSMT4" ShapeID="_x0000_i1270" DrawAspect="Content" ObjectID="_1791375214" r:id="rId510"/>
        </w:object>
      </w:r>
      <w:r w:rsidRPr="00A309A0">
        <w:rPr>
          <w:rFonts w:ascii="Cambria Math" w:hAnsi="Cambria Math"/>
          <w:noProof/>
          <w:sz w:val="23"/>
          <w:szCs w:val="23"/>
          <w:rtl/>
        </w:rPr>
        <w:t xml:space="preserve"> که از</w:t>
      </w:r>
      <w:r w:rsidRPr="00025957">
        <w:rPr>
          <w:position w:val="-4"/>
        </w:rPr>
        <w:object w:dxaOrig="240" w:dyaOrig="240" w14:anchorId="234BB53C">
          <v:shape id="_x0000_i1271" type="#_x0000_t75" style="width:12.1pt;height:12.1pt" o:ole="">
            <v:imagedata r:id="rId511" o:title=""/>
          </v:shape>
          <o:OLEObject Type="Embed" ProgID="Equation.DSMT4" ShapeID="_x0000_i1271" DrawAspect="Content" ObjectID="_1791375215" r:id="rId512"/>
        </w:object>
      </w:r>
      <w:r w:rsidRPr="00A309A0">
        <w:rPr>
          <w:rFonts w:ascii="Cambria Math" w:hAnsi="Cambria Math"/>
          <w:noProof/>
          <w:sz w:val="23"/>
          <w:szCs w:val="23"/>
          <w:rtl/>
        </w:rPr>
        <w:t xml:space="preserve"> می</w:t>
      </w:r>
      <w:r w:rsidRPr="00A309A0">
        <w:rPr>
          <w:rFonts w:ascii="Cambria Math" w:hAnsi="Cambria Math"/>
          <w:noProof/>
          <w:sz w:val="23"/>
          <w:szCs w:val="23"/>
          <w:rtl/>
        </w:rPr>
        <w:softHyphen/>
        <w:t xml:space="preserve">گذرد </w:t>
      </w:r>
      <w:r w:rsidRPr="00A309A0">
        <w:rPr>
          <w:rFonts w:ascii="Cambria Math" w:hAnsi="Cambria Math" w:hint="cs"/>
          <w:noProof/>
          <w:sz w:val="23"/>
          <w:szCs w:val="23"/>
          <w:rtl/>
        </w:rPr>
        <w:t xml:space="preserve">را </w:t>
      </w:r>
      <w:r w:rsidRPr="00A309A0">
        <w:rPr>
          <w:rFonts w:ascii="Cambria Math" w:hAnsi="Cambria Math"/>
          <w:noProof/>
          <w:sz w:val="23"/>
          <w:szCs w:val="23"/>
          <w:rtl/>
        </w:rPr>
        <w:t>مسیر حائل یا زینی</w:t>
      </w:r>
      <w:r w:rsidRPr="00A309A0">
        <w:rPr>
          <w:rStyle w:val="FootnoteReference"/>
          <w:rFonts w:ascii="Cambria Math" w:eastAsiaTheme="majorEastAsia" w:hAnsi="Cambria Math"/>
          <w:noProof/>
          <w:sz w:val="23"/>
          <w:szCs w:val="23"/>
          <w:rtl/>
        </w:rPr>
        <w:footnoteReference w:id="76"/>
      </w:r>
      <w:r w:rsidRPr="00A309A0">
        <w:rPr>
          <w:rFonts w:ascii="Cambria Math" w:hAnsi="Cambria Math"/>
          <w:noProof/>
          <w:sz w:val="23"/>
          <w:szCs w:val="23"/>
          <w:rtl/>
        </w:rPr>
        <w:t xml:space="preserve"> نامند</w:t>
      </w:r>
      <w:r w:rsidRPr="00A309A0">
        <w:rPr>
          <w:rFonts w:ascii="Cambria Math" w:hAnsi="Cambria Math" w:hint="cs"/>
          <w:noProof/>
          <w:sz w:val="23"/>
          <w:szCs w:val="23"/>
          <w:rtl/>
        </w:rPr>
        <w:t>.</w:t>
      </w:r>
      <w:r w:rsidRPr="00A309A0">
        <w:rPr>
          <w:rFonts w:ascii="Cambria Math" w:hAnsi="Cambria Math"/>
          <w:noProof/>
          <w:sz w:val="23"/>
          <w:szCs w:val="23"/>
          <w:rtl/>
        </w:rPr>
        <w:t xml:space="preserve"> مقادیر تعادلی دو </w:t>
      </w:r>
      <w:r w:rsidRPr="00A309A0">
        <w:rPr>
          <w:rFonts w:ascii="Cambria Math" w:hAnsi="Cambria Math" w:hint="cs"/>
          <w:noProof/>
          <w:sz w:val="23"/>
          <w:szCs w:val="23"/>
          <w:rtl/>
        </w:rPr>
        <w:t>م</w:t>
      </w:r>
      <w:r w:rsidRPr="00A309A0">
        <w:rPr>
          <w:rFonts w:ascii="Cambria Math" w:hAnsi="Cambria Math"/>
          <w:noProof/>
          <w:sz w:val="23"/>
          <w:szCs w:val="23"/>
          <w:rtl/>
        </w:rPr>
        <w:t>تغیر موجودی</w:t>
      </w:r>
      <w:r w:rsidRPr="00A309A0">
        <w:rPr>
          <w:rFonts w:ascii="Cambria Math" w:hAnsi="Cambria Math"/>
          <w:noProof/>
          <w:sz w:val="23"/>
          <w:szCs w:val="23"/>
        </w:rPr>
        <w:t xml:space="preserve"> </w:t>
      </w:r>
      <w:r w:rsidRPr="00A309A0">
        <w:rPr>
          <w:rFonts w:ascii="Cambria Math" w:hAnsi="Cambria Math"/>
          <w:noProof/>
          <w:sz w:val="23"/>
          <w:szCs w:val="23"/>
          <w:rtl/>
        </w:rPr>
        <w:t xml:space="preserve">سرمایه و مصرف تنها روی این مسیر قابل دسترس </w:t>
      </w:r>
      <w:r w:rsidRPr="00A309A0">
        <w:rPr>
          <w:rFonts w:ascii="Cambria Math" w:hAnsi="Cambria Math" w:hint="cs"/>
          <w:noProof/>
          <w:sz w:val="23"/>
          <w:szCs w:val="23"/>
          <w:rtl/>
        </w:rPr>
        <w:t>است</w:t>
      </w:r>
      <w:r w:rsidRPr="00A309A0">
        <w:rPr>
          <w:rFonts w:ascii="Cambria Math" w:hAnsi="Cambria Math"/>
          <w:noProof/>
          <w:sz w:val="23"/>
          <w:szCs w:val="23"/>
          <w:rtl/>
        </w:rPr>
        <w:t>.علائم فلش</w:t>
      </w:r>
      <w:r w:rsidRPr="00A309A0">
        <w:rPr>
          <w:rFonts w:ascii="Cambria Math" w:hAnsi="Cambria Math"/>
          <w:noProof/>
          <w:sz w:val="23"/>
          <w:szCs w:val="23"/>
          <w:rtl/>
        </w:rPr>
        <w:softHyphen/>
        <w:t>ها رفتار پویای</w:t>
      </w:r>
      <w:r w:rsidRPr="00B92922">
        <w:rPr>
          <w:position w:val="-10"/>
        </w:rPr>
        <w:object w:dxaOrig="200" w:dyaOrig="320" w14:anchorId="2A747D10">
          <v:shape id="_x0000_i1272" type="#_x0000_t75" style="width:10.3pt;height:15.75pt" o:ole="">
            <v:imagedata r:id="rId513" o:title=""/>
          </v:shape>
          <o:OLEObject Type="Embed" ProgID="Equation.DSMT4" ShapeID="_x0000_i1272" DrawAspect="Content" ObjectID="_1791375216" r:id="rId514"/>
        </w:object>
      </w:r>
      <w:r w:rsidRPr="00A309A0">
        <w:rPr>
          <w:rFonts w:ascii="Cambria Math" w:hAnsi="Cambria Math"/>
          <w:noProof/>
          <w:sz w:val="23"/>
          <w:szCs w:val="23"/>
          <w:rtl/>
        </w:rPr>
        <w:t xml:space="preserve"> و </w:t>
      </w:r>
      <w:r w:rsidRPr="00B92922">
        <w:rPr>
          <w:position w:val="-10"/>
        </w:rPr>
        <w:object w:dxaOrig="220" w:dyaOrig="320" w14:anchorId="51EEA67A">
          <v:shape id="_x0000_i1273" type="#_x0000_t75" style="width:10.9pt;height:15.75pt" o:ole="">
            <v:imagedata r:id="rId515" o:title=""/>
          </v:shape>
          <o:OLEObject Type="Embed" ProgID="Equation.DSMT4" ShapeID="_x0000_i1273" DrawAspect="Content" ObjectID="_1791375217" r:id="rId516"/>
        </w:object>
      </w:r>
      <w:r w:rsidRPr="00A309A0">
        <w:rPr>
          <w:rFonts w:ascii="Cambria Math" w:hAnsi="Cambria Math"/>
          <w:noProof/>
          <w:sz w:val="23"/>
          <w:szCs w:val="23"/>
          <w:rtl/>
        </w:rPr>
        <w:t xml:space="preserve"> را نشان می‌دهند. این رفتار بستگی به این دارد که اقتصاد در کدام یک از چهار منطقه ممکن قرار دارد. در سمت شمال شرق، لیکن بر روی خط</w:t>
      </w:r>
      <w:r w:rsidRPr="00B92922">
        <w:rPr>
          <w:position w:val="-6"/>
        </w:rPr>
        <w:object w:dxaOrig="360" w:dyaOrig="260" w14:anchorId="4B758417">
          <v:shape id="_x0000_i1274" type="#_x0000_t75" style="width:18.15pt;height:12.7pt" o:ole="">
            <v:imagedata r:id="rId517" o:title=""/>
          </v:shape>
          <o:OLEObject Type="Embed" ProgID="Equation.DSMT4" ShapeID="_x0000_i1274" DrawAspect="Content" ObjectID="_1791375218" r:id="rId518"/>
        </w:object>
      </w:r>
      <w:r w:rsidRPr="00A309A0">
        <w:rPr>
          <w:rFonts w:ascii="Cambria Math" w:hAnsi="Cambria Math"/>
          <w:noProof/>
          <w:sz w:val="23"/>
          <w:szCs w:val="23"/>
          <w:rtl/>
        </w:rPr>
        <w:t xml:space="preserve">، مصرف </w:t>
      </w:r>
      <w:r w:rsidRPr="00A309A0">
        <w:rPr>
          <w:rFonts w:ascii="Cambria Math" w:hAnsi="Cambria Math" w:hint="cs"/>
          <w:noProof/>
          <w:sz w:val="23"/>
          <w:szCs w:val="23"/>
          <w:rtl/>
        </w:rPr>
        <w:t>و</w:t>
      </w:r>
      <w:r w:rsidRPr="00A309A0">
        <w:rPr>
          <w:rFonts w:ascii="Cambria Math" w:hAnsi="Cambria Math"/>
          <w:noProof/>
          <w:sz w:val="23"/>
          <w:szCs w:val="23"/>
          <w:rtl/>
        </w:rPr>
        <w:t xml:space="preserve"> موجودی سرمایه </w:t>
      </w:r>
      <w:r w:rsidRPr="00A309A0">
        <w:rPr>
          <w:rFonts w:ascii="Cambria Math" w:hAnsi="Cambria Math" w:hint="cs"/>
          <w:noProof/>
          <w:sz w:val="23"/>
          <w:szCs w:val="23"/>
          <w:rtl/>
        </w:rPr>
        <w:t>بیشتر از مقادیر تعادلی بلندمدت است و لذا تولید</w:t>
      </w:r>
      <w:r w:rsidRPr="00A309A0">
        <w:rPr>
          <w:rFonts w:ascii="Cambria Math" w:hAnsi="Cambria Math"/>
          <w:noProof/>
          <w:sz w:val="23"/>
          <w:szCs w:val="23"/>
          <w:rtl/>
        </w:rPr>
        <w:t xml:space="preserve"> نهایی سرمایه کمتر از</w:t>
      </w:r>
      <w:r w:rsidRPr="00B92922">
        <w:rPr>
          <w:position w:val="-6"/>
        </w:rPr>
        <w:object w:dxaOrig="480" w:dyaOrig="260" w14:anchorId="7659442A">
          <v:shape id="_x0000_i1275" type="#_x0000_t75" style="width:23.6pt;height:12.7pt" o:ole="">
            <v:imagedata r:id="rId519" o:title=""/>
          </v:shape>
          <o:OLEObject Type="Embed" ProgID="Equation.DSMT4" ShapeID="_x0000_i1275" DrawAspect="Content" ObjectID="_1791375219" r:id="rId520"/>
        </w:object>
      </w:r>
      <w:r w:rsidRPr="00A309A0">
        <w:rPr>
          <w:rFonts w:ascii="Cambria Math" w:hAnsi="Cambria Math"/>
          <w:noProof/>
          <w:sz w:val="23"/>
          <w:szCs w:val="23"/>
          <w:rtl/>
        </w:rPr>
        <w:t xml:space="preserve"> </w:t>
      </w:r>
      <w:r w:rsidRPr="00A309A0">
        <w:rPr>
          <w:rFonts w:ascii="Cambria Math" w:hAnsi="Cambria Math" w:hint="cs"/>
          <w:noProof/>
          <w:sz w:val="23"/>
          <w:szCs w:val="23"/>
          <w:rtl/>
        </w:rPr>
        <w:t>می</w:t>
      </w:r>
      <w:r w:rsidRPr="00A309A0">
        <w:rPr>
          <w:rFonts w:ascii="Cambria Math" w:hAnsi="Cambria Math"/>
          <w:noProof/>
          <w:sz w:val="23"/>
          <w:szCs w:val="23"/>
          <w:rtl/>
        </w:rPr>
        <w:softHyphen/>
      </w:r>
      <w:r w:rsidRPr="00A309A0">
        <w:rPr>
          <w:rFonts w:ascii="Cambria Math" w:hAnsi="Cambria Math" w:hint="cs"/>
          <w:noProof/>
          <w:sz w:val="23"/>
          <w:szCs w:val="23"/>
          <w:rtl/>
        </w:rPr>
        <w:t xml:space="preserve">باشد. </w:t>
      </w:r>
      <w:r w:rsidRPr="00A309A0">
        <w:rPr>
          <w:rFonts w:ascii="Cambria Math" w:hAnsi="Cambria Math"/>
          <w:noProof/>
          <w:sz w:val="23"/>
          <w:szCs w:val="23"/>
          <w:rtl/>
        </w:rPr>
        <w:t>این مقادیر پایدار نیست و در نتیجه مصرف و موجودی سرمایه باید در مسیر</w:t>
      </w:r>
      <w:r w:rsidRPr="00A309A0">
        <w:rPr>
          <w:rFonts w:ascii="Cambria Math" w:hAnsi="Cambria Math" w:hint="cs"/>
          <w:noProof/>
          <w:sz w:val="23"/>
          <w:szCs w:val="23"/>
          <w:rtl/>
        </w:rPr>
        <w:t xml:space="preserve"> زینی</w:t>
      </w:r>
      <w:r w:rsidRPr="00A309A0">
        <w:rPr>
          <w:rFonts w:ascii="Cambria Math" w:hAnsi="Cambria Math"/>
          <w:noProof/>
          <w:sz w:val="23"/>
          <w:szCs w:val="23"/>
          <w:rtl/>
        </w:rPr>
        <w:t xml:space="preserve"> بر روی خط</w:t>
      </w:r>
      <w:r w:rsidRPr="00B92922">
        <w:rPr>
          <w:position w:val="-6"/>
        </w:rPr>
        <w:object w:dxaOrig="360" w:dyaOrig="260" w14:anchorId="5998E8FB">
          <v:shape id="_x0000_i1276" type="#_x0000_t75" style="width:18.15pt;height:12.7pt" o:ole="">
            <v:imagedata r:id="rId521" o:title=""/>
          </v:shape>
          <o:OLEObject Type="Embed" ProgID="Equation.DSMT4" ShapeID="_x0000_i1276" DrawAspect="Content" ObjectID="_1791375220" r:id="rId522"/>
        </w:object>
      </w:r>
      <w:r w:rsidRPr="00A309A0">
        <w:rPr>
          <w:rFonts w:ascii="Cambria Math" w:hAnsi="Cambria Math"/>
          <w:noProof/>
          <w:sz w:val="23"/>
          <w:szCs w:val="23"/>
          <w:rtl/>
        </w:rPr>
        <w:t xml:space="preserve"> کاهش یابند. برعکس حالت</w:t>
      </w:r>
      <w:r w:rsidRPr="00A309A0">
        <w:rPr>
          <w:rFonts w:ascii="Cambria Math" w:hAnsi="Cambria Math" w:hint="cs"/>
          <w:noProof/>
          <w:sz w:val="23"/>
          <w:szCs w:val="23"/>
          <w:rtl/>
        </w:rPr>
        <w:t>ِ</w:t>
      </w:r>
      <w:r w:rsidRPr="00A309A0">
        <w:rPr>
          <w:rFonts w:ascii="Cambria Math" w:hAnsi="Cambria Math"/>
          <w:noProof/>
          <w:sz w:val="23"/>
          <w:szCs w:val="23"/>
          <w:rtl/>
        </w:rPr>
        <w:t xml:space="preserve"> فوق در منطقه</w:t>
      </w:r>
      <w:r w:rsidRPr="00A309A0">
        <w:rPr>
          <w:rFonts w:ascii="Cambria Math" w:hAnsi="Cambria Math"/>
          <w:noProof/>
          <w:sz w:val="23"/>
          <w:szCs w:val="23"/>
          <w:rtl/>
        </w:rPr>
        <w:softHyphen/>
        <w:t>ی جنوب غربی است. در این</w:t>
      </w:r>
      <w:r w:rsidRPr="00A309A0">
        <w:rPr>
          <w:rFonts w:ascii="Cambria Math" w:hAnsi="Cambria Math"/>
          <w:noProof/>
          <w:sz w:val="23"/>
          <w:szCs w:val="23"/>
          <w:rtl/>
        </w:rPr>
        <w:softHyphen/>
        <w:t xml:space="preserve">جا مصرف و </w:t>
      </w:r>
      <w:r w:rsidRPr="00A309A0">
        <w:rPr>
          <w:rFonts w:ascii="Cambria Math" w:hAnsi="Cambria Math" w:hint="cs"/>
          <w:noProof/>
          <w:sz w:val="23"/>
          <w:szCs w:val="23"/>
          <w:rtl/>
        </w:rPr>
        <w:t xml:space="preserve">موجودی </w:t>
      </w:r>
      <w:r w:rsidRPr="00A309A0">
        <w:rPr>
          <w:rFonts w:ascii="Cambria Math" w:hAnsi="Cambria Math"/>
          <w:noProof/>
          <w:sz w:val="23"/>
          <w:szCs w:val="23"/>
          <w:rtl/>
        </w:rPr>
        <w:t xml:space="preserve">سرمایه </w:t>
      </w:r>
      <w:r w:rsidRPr="00A309A0">
        <w:rPr>
          <w:rFonts w:ascii="Cambria Math" w:hAnsi="Cambria Math" w:hint="cs"/>
          <w:noProof/>
          <w:sz w:val="23"/>
          <w:szCs w:val="23"/>
          <w:rtl/>
        </w:rPr>
        <w:t>می</w:t>
      </w:r>
      <w:r w:rsidRPr="00A309A0">
        <w:rPr>
          <w:rFonts w:ascii="Cambria Math" w:hAnsi="Cambria Math"/>
          <w:noProof/>
          <w:sz w:val="23"/>
          <w:szCs w:val="23"/>
          <w:rtl/>
        </w:rPr>
        <w:softHyphen/>
      </w:r>
      <w:r w:rsidRPr="00A309A0">
        <w:rPr>
          <w:rFonts w:ascii="Cambria Math" w:hAnsi="Cambria Math" w:hint="cs"/>
          <w:noProof/>
          <w:sz w:val="23"/>
          <w:szCs w:val="23"/>
          <w:rtl/>
        </w:rPr>
        <w:t xml:space="preserve">بایست </w:t>
      </w:r>
      <w:r w:rsidRPr="00A309A0">
        <w:rPr>
          <w:rFonts w:ascii="Cambria Math" w:hAnsi="Cambria Math"/>
          <w:noProof/>
          <w:sz w:val="23"/>
          <w:szCs w:val="23"/>
          <w:rtl/>
        </w:rPr>
        <w:t>افزایش یابند. از آنجائی</w:t>
      </w:r>
      <w:r w:rsidRPr="00A309A0">
        <w:rPr>
          <w:rFonts w:ascii="Cambria Math" w:hAnsi="Cambria Math"/>
          <w:noProof/>
          <w:sz w:val="23"/>
          <w:szCs w:val="23"/>
          <w:rtl/>
        </w:rPr>
        <w:softHyphen/>
        <w:t>که دو منطقه</w:t>
      </w:r>
      <w:r w:rsidRPr="00A309A0">
        <w:rPr>
          <w:rFonts w:ascii="Cambria Math" w:hAnsi="Cambria Math"/>
          <w:noProof/>
          <w:sz w:val="23"/>
          <w:szCs w:val="23"/>
          <w:rtl/>
        </w:rPr>
        <w:softHyphen/>
      </w:r>
      <w:r w:rsidRPr="00A309A0">
        <w:rPr>
          <w:rFonts w:ascii="Cambria Math" w:hAnsi="Cambria Math" w:hint="cs"/>
          <w:noProof/>
          <w:sz w:val="23"/>
          <w:szCs w:val="23"/>
          <w:rtl/>
        </w:rPr>
        <w:t>ی</w:t>
      </w:r>
      <w:r w:rsidRPr="00A309A0">
        <w:rPr>
          <w:rFonts w:ascii="Cambria Math" w:hAnsi="Cambria Math"/>
          <w:noProof/>
          <w:sz w:val="23"/>
          <w:szCs w:val="23"/>
          <w:rtl/>
        </w:rPr>
        <w:t xml:space="preserve"> دیگر ناپایدار و غیرقابل دسترس</w:t>
      </w:r>
      <w:r w:rsidRPr="00A309A0">
        <w:rPr>
          <w:rFonts w:ascii="Cambria Math" w:hAnsi="Cambria Math"/>
          <w:noProof/>
          <w:sz w:val="23"/>
          <w:szCs w:val="23"/>
          <w:rtl/>
        </w:rPr>
        <w:softHyphen/>
        <w:t xml:space="preserve"> می</w:t>
      </w:r>
      <w:r w:rsidRPr="00A309A0">
        <w:rPr>
          <w:rFonts w:ascii="Cambria Math" w:hAnsi="Cambria Math"/>
          <w:noProof/>
          <w:sz w:val="23"/>
          <w:szCs w:val="23"/>
          <w:rtl/>
        </w:rPr>
        <w:softHyphen/>
        <w:t>باشند می‌توان آنها را نادیده گرفت. بنابراین اقتصاد در نقطه</w:t>
      </w:r>
      <w:r w:rsidRPr="00A309A0">
        <w:rPr>
          <w:rFonts w:ascii="Cambria Math" w:hAnsi="Cambria Math"/>
          <w:noProof/>
          <w:sz w:val="23"/>
          <w:szCs w:val="23"/>
          <w:rtl/>
        </w:rPr>
        <w:softHyphen/>
      </w:r>
      <w:r w:rsidRPr="00A309A0">
        <w:rPr>
          <w:rFonts w:ascii="Cambria Math" w:hAnsi="Cambria Math" w:hint="cs"/>
          <w:noProof/>
          <w:sz w:val="23"/>
          <w:szCs w:val="23"/>
          <w:rtl/>
        </w:rPr>
        <w:t>ی</w:t>
      </w:r>
      <w:r w:rsidRPr="00025957">
        <w:rPr>
          <w:position w:val="-4"/>
        </w:rPr>
        <w:object w:dxaOrig="240" w:dyaOrig="240" w14:anchorId="5A2ECA69">
          <v:shape id="_x0000_i1277" type="#_x0000_t75" style="width:12.1pt;height:12.1pt" o:ole="">
            <v:imagedata r:id="rId523" o:title=""/>
          </v:shape>
          <o:OLEObject Type="Embed" ProgID="Equation.DSMT4" ShapeID="_x0000_i1277" DrawAspect="Content" ObjectID="_1791375221" r:id="rId524"/>
        </w:object>
      </w:r>
      <w:r w:rsidRPr="00A309A0">
        <w:rPr>
          <w:rFonts w:ascii="Cambria Math" w:hAnsi="Cambria Math"/>
          <w:noProof/>
          <w:sz w:val="23"/>
          <w:szCs w:val="23"/>
          <w:rtl/>
        </w:rPr>
        <w:t xml:space="preserve"> و با حرکت در امتداد مسیر زینی به تعادل می‌رسد. در نقطه</w:t>
      </w:r>
      <w:r w:rsidRPr="00A309A0">
        <w:rPr>
          <w:rFonts w:ascii="Cambria Math" w:hAnsi="Cambria Math"/>
          <w:noProof/>
          <w:sz w:val="23"/>
          <w:szCs w:val="23"/>
          <w:rtl/>
        </w:rPr>
        <w:softHyphen/>
      </w:r>
      <w:r w:rsidRPr="00A309A0">
        <w:rPr>
          <w:rFonts w:ascii="Cambria Math" w:hAnsi="Cambria Math" w:hint="cs"/>
          <w:noProof/>
          <w:sz w:val="23"/>
          <w:szCs w:val="23"/>
          <w:rtl/>
        </w:rPr>
        <w:t>ی</w:t>
      </w:r>
      <w:r w:rsidRPr="00025957">
        <w:rPr>
          <w:position w:val="-4"/>
        </w:rPr>
        <w:object w:dxaOrig="240" w:dyaOrig="240" w14:anchorId="50180731">
          <v:shape id="_x0000_i1278" type="#_x0000_t75" style="width:12.1pt;height:12.1pt" o:ole="">
            <v:imagedata r:id="rId525" o:title=""/>
          </v:shape>
          <o:OLEObject Type="Embed" ProgID="Equation.DSMT4" ShapeID="_x0000_i1278" DrawAspect="Content" ObjectID="_1791375222" r:id="rId526"/>
        </w:object>
      </w:r>
      <w:r w:rsidRPr="00A309A0">
        <w:rPr>
          <w:rFonts w:ascii="Cambria Math" w:hAnsi="Cambria Math"/>
          <w:noProof/>
          <w:sz w:val="23"/>
          <w:szCs w:val="23"/>
          <w:rtl/>
        </w:rPr>
        <w:t xml:space="preserve"> نیازی به تغییرات بیشتر در مصرف و </w:t>
      </w:r>
      <w:r w:rsidRPr="00A309A0">
        <w:rPr>
          <w:rFonts w:ascii="Cambria Math" w:hAnsi="Cambria Math" w:hint="cs"/>
          <w:noProof/>
          <w:sz w:val="23"/>
          <w:szCs w:val="23"/>
          <w:rtl/>
        </w:rPr>
        <w:t xml:space="preserve">موجودی </w:t>
      </w:r>
      <w:r w:rsidRPr="00A309A0">
        <w:rPr>
          <w:rFonts w:ascii="Cambria Math" w:hAnsi="Cambria Math"/>
          <w:noProof/>
          <w:sz w:val="23"/>
          <w:szCs w:val="23"/>
          <w:rtl/>
        </w:rPr>
        <w:t xml:space="preserve">سرمایه نیست و اقتصاد در تعادل </w:t>
      </w:r>
      <w:r w:rsidRPr="00A309A0">
        <w:rPr>
          <w:rFonts w:ascii="Cambria Math" w:hAnsi="Cambria Math" w:hint="cs"/>
          <w:noProof/>
          <w:sz w:val="23"/>
          <w:szCs w:val="23"/>
          <w:rtl/>
        </w:rPr>
        <w:t xml:space="preserve">بلندمدت </w:t>
      </w:r>
      <w:r w:rsidRPr="00A309A0">
        <w:rPr>
          <w:rFonts w:ascii="Cambria Math" w:hAnsi="Cambria Math"/>
          <w:noProof/>
          <w:sz w:val="23"/>
          <w:szCs w:val="23"/>
          <w:rtl/>
        </w:rPr>
        <w:t xml:space="preserve">قرار دارد. هنگامی که دو </w:t>
      </w:r>
      <w:r w:rsidRPr="00A309A0">
        <w:rPr>
          <w:rFonts w:ascii="Cambria Math" w:hAnsi="Cambria Math" w:hint="cs"/>
          <w:noProof/>
          <w:sz w:val="23"/>
          <w:szCs w:val="23"/>
          <w:rtl/>
        </w:rPr>
        <w:t>ناحیه</w:t>
      </w:r>
      <w:r w:rsidRPr="00A309A0">
        <w:rPr>
          <w:rFonts w:ascii="Cambria Math" w:hAnsi="Cambria Math"/>
          <w:noProof/>
          <w:sz w:val="23"/>
          <w:szCs w:val="23"/>
          <w:rtl/>
        </w:rPr>
        <w:softHyphen/>
      </w:r>
      <w:r w:rsidRPr="00A309A0">
        <w:rPr>
          <w:rFonts w:ascii="Cambria Math" w:hAnsi="Cambria Math" w:hint="cs"/>
          <w:noProof/>
          <w:sz w:val="23"/>
          <w:szCs w:val="23"/>
          <w:rtl/>
        </w:rPr>
        <w:t>ی</w:t>
      </w:r>
      <w:r w:rsidRPr="00A309A0">
        <w:rPr>
          <w:rFonts w:ascii="Cambria Math" w:hAnsi="Cambria Math"/>
          <w:noProof/>
          <w:sz w:val="23"/>
          <w:szCs w:val="23"/>
          <w:rtl/>
        </w:rPr>
        <w:t xml:space="preserve"> ثبات</w:t>
      </w:r>
      <w:r w:rsidRPr="00A309A0">
        <w:rPr>
          <w:rStyle w:val="FootnoteReference"/>
          <w:rFonts w:ascii="Cambria Math" w:eastAsiaTheme="majorEastAsia" w:hAnsi="Cambria Math"/>
          <w:noProof/>
          <w:sz w:val="23"/>
          <w:szCs w:val="23"/>
          <w:rtl/>
        </w:rPr>
        <w:footnoteReference w:id="77"/>
      </w:r>
      <w:r w:rsidRPr="00A309A0">
        <w:rPr>
          <w:rFonts w:ascii="Cambria Math" w:hAnsi="Cambria Math"/>
          <w:noProof/>
          <w:sz w:val="23"/>
          <w:szCs w:val="23"/>
          <w:rtl/>
        </w:rPr>
        <w:t xml:space="preserve"> و دو </w:t>
      </w:r>
      <w:r w:rsidRPr="00A309A0">
        <w:rPr>
          <w:rFonts w:ascii="Cambria Math" w:hAnsi="Cambria Math" w:hint="cs"/>
          <w:noProof/>
          <w:sz w:val="23"/>
          <w:szCs w:val="23"/>
          <w:rtl/>
        </w:rPr>
        <w:t>ناحیه</w:t>
      </w:r>
      <w:r w:rsidRPr="00A309A0">
        <w:rPr>
          <w:rFonts w:ascii="Cambria Math" w:hAnsi="Cambria Math"/>
          <w:noProof/>
          <w:sz w:val="23"/>
          <w:szCs w:val="23"/>
          <w:rtl/>
        </w:rPr>
        <w:softHyphen/>
      </w:r>
      <w:r w:rsidRPr="00A309A0">
        <w:rPr>
          <w:rFonts w:ascii="Cambria Math" w:hAnsi="Cambria Math" w:hint="cs"/>
          <w:noProof/>
          <w:sz w:val="23"/>
          <w:szCs w:val="23"/>
          <w:rtl/>
        </w:rPr>
        <w:t>ی بی</w:t>
      </w:r>
      <w:r w:rsidRPr="00A309A0">
        <w:rPr>
          <w:rFonts w:ascii="Cambria Math" w:hAnsi="Cambria Math"/>
          <w:noProof/>
          <w:sz w:val="23"/>
          <w:szCs w:val="23"/>
          <w:rtl/>
        </w:rPr>
        <w:softHyphen/>
        <w:t>ثبات وجود دا</w:t>
      </w:r>
      <w:r w:rsidRPr="00A309A0">
        <w:rPr>
          <w:rFonts w:ascii="Cambria Math" w:hAnsi="Cambria Math" w:hint="cs"/>
          <w:noProof/>
          <w:sz w:val="23"/>
          <w:szCs w:val="23"/>
          <w:rtl/>
        </w:rPr>
        <w:t>شته باشد،</w:t>
      </w:r>
      <w:r w:rsidRPr="00A309A0">
        <w:rPr>
          <w:rFonts w:ascii="Cambria Math" w:hAnsi="Cambria Math"/>
          <w:noProof/>
          <w:sz w:val="23"/>
          <w:szCs w:val="23"/>
          <w:rtl/>
        </w:rPr>
        <w:t xml:space="preserve"> راه حل فوق را تعادل زینی شکل نامند. </w:t>
      </w:r>
    </w:p>
    <w:p w14:paraId="16EA1DAC" w14:textId="77777777" w:rsidR="00411620" w:rsidRDefault="00411620" w:rsidP="00411620">
      <w:pPr>
        <w:spacing w:line="216" w:lineRule="auto"/>
        <w:rPr>
          <w:rFonts w:ascii="Cambria Math" w:hAnsi="Cambria Math"/>
          <w:noProof/>
          <w:sz w:val="23"/>
          <w:szCs w:val="23"/>
        </w:rPr>
      </w:pPr>
    </w:p>
    <w:p w14:paraId="2E810210" w14:textId="77777777" w:rsidR="00411620" w:rsidRPr="00A309A0" w:rsidRDefault="00411620" w:rsidP="00411620">
      <w:pPr>
        <w:pStyle w:val="Heading1"/>
        <w:spacing w:before="0" w:after="0" w:line="216" w:lineRule="auto"/>
        <w:rPr>
          <w:rFonts w:ascii="Cambria Math" w:hAnsi="Cambria Math" w:cs="B Nazanin"/>
          <w:noProof/>
          <w:sz w:val="23"/>
          <w:szCs w:val="23"/>
          <w:rtl/>
        </w:rPr>
      </w:pPr>
      <w:r w:rsidRPr="00A309A0">
        <w:rPr>
          <w:rFonts w:ascii="Cambria Math" w:hAnsi="Cambria Math" w:cs="B Nazanin" w:hint="cs"/>
          <w:noProof/>
          <w:sz w:val="23"/>
          <w:szCs w:val="23"/>
          <w:rtl/>
        </w:rPr>
        <w:t xml:space="preserve">۲. ۴. ۶ تجزیه و تحلیل </w:t>
      </w:r>
      <w:r w:rsidRPr="00A309A0">
        <w:rPr>
          <w:rFonts w:ascii="Cambria Math" w:hAnsi="Cambria Math" w:cs="B Nazanin"/>
          <w:noProof/>
          <w:sz w:val="23"/>
          <w:szCs w:val="23"/>
          <w:rtl/>
        </w:rPr>
        <w:t>جبری پویایی</w:t>
      </w:r>
      <w:r w:rsidRPr="00A309A0">
        <w:rPr>
          <w:rFonts w:ascii="Cambria Math" w:hAnsi="Cambria Math" w:cs="B Nazanin"/>
          <w:noProof/>
          <w:sz w:val="23"/>
          <w:szCs w:val="23"/>
          <w:rtl/>
        </w:rPr>
        <w:softHyphen/>
        <w:t>های مسیر زینی</w:t>
      </w:r>
    </w:p>
    <w:p w14:paraId="2638EA98"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تجزیه و تحلیل جبری پویایی اقتصاد بر</w:t>
      </w:r>
      <w:r w:rsidRPr="00A309A0">
        <w:rPr>
          <w:rFonts w:ascii="Cambria Math" w:hAnsi="Cambria Math" w:hint="cs"/>
          <w:noProof/>
          <w:sz w:val="23"/>
          <w:szCs w:val="23"/>
          <w:rtl/>
        </w:rPr>
        <w:t xml:space="preserve"> </w:t>
      </w:r>
      <w:r w:rsidRPr="00A309A0">
        <w:rPr>
          <w:rFonts w:ascii="Cambria Math" w:hAnsi="Cambria Math"/>
          <w:noProof/>
          <w:sz w:val="23"/>
          <w:szCs w:val="23"/>
          <w:rtl/>
        </w:rPr>
        <w:t>پایه</w:t>
      </w:r>
      <w:r w:rsidRPr="00A309A0">
        <w:rPr>
          <w:rFonts w:ascii="Cambria Math" w:hAnsi="Cambria Math"/>
          <w:noProof/>
          <w:sz w:val="23"/>
          <w:szCs w:val="23"/>
          <w:rtl/>
        </w:rPr>
        <w:softHyphen/>
        <w:t xml:space="preserve">ی </w:t>
      </w:r>
      <w:r w:rsidRPr="00A309A0">
        <w:rPr>
          <w:rFonts w:ascii="Cambria Math" w:hAnsi="Cambria Math" w:hint="cs"/>
          <w:noProof/>
          <w:sz w:val="23"/>
          <w:szCs w:val="23"/>
          <w:rtl/>
        </w:rPr>
        <w:t xml:space="preserve">همان </w:t>
      </w:r>
      <w:r w:rsidRPr="00A309A0">
        <w:rPr>
          <w:rFonts w:ascii="Cambria Math" w:hAnsi="Cambria Math"/>
          <w:noProof/>
          <w:sz w:val="23"/>
          <w:szCs w:val="23"/>
          <w:rtl/>
        </w:rPr>
        <w:t>دو معادله</w:t>
      </w:r>
      <w:r w:rsidRPr="00A309A0">
        <w:rPr>
          <w:rFonts w:ascii="Cambria Math" w:hAnsi="Cambria Math"/>
          <w:noProof/>
          <w:sz w:val="23"/>
          <w:szCs w:val="23"/>
          <w:rtl/>
        </w:rPr>
        <w:softHyphen/>
        <w:t>ی غیرخطی</w:t>
      </w:r>
      <w:r w:rsidRPr="00A309A0">
        <w:rPr>
          <w:rFonts w:ascii="Cambria Math" w:hAnsi="Cambria Math" w:hint="cs"/>
          <w:noProof/>
          <w:sz w:val="23"/>
          <w:szCs w:val="23"/>
          <w:rtl/>
        </w:rPr>
        <w:t xml:space="preserve"> یعنی معادلات </w:t>
      </w:r>
      <w:r w:rsidRPr="00A309A0">
        <w:rPr>
          <w:rFonts w:ascii="Cambria Math" w:hAnsi="Cambria Math"/>
          <w:noProof/>
          <w:sz w:val="23"/>
          <w:szCs w:val="23"/>
          <w:rtl/>
        </w:rPr>
        <w:t>اویلر و قید منبع اقتصاد</w:t>
      </w:r>
      <w:r w:rsidRPr="00A309A0">
        <w:rPr>
          <w:rFonts w:ascii="Cambria Math" w:hAnsi="Cambria Math" w:hint="cs"/>
          <w:noProof/>
          <w:sz w:val="23"/>
          <w:szCs w:val="23"/>
          <w:rtl/>
        </w:rPr>
        <w:t xml:space="preserve"> </w:t>
      </w:r>
      <w:r w:rsidRPr="00A309A0">
        <w:rPr>
          <w:rFonts w:ascii="Cambria Math" w:hAnsi="Cambria Math"/>
          <w:noProof/>
          <w:sz w:val="23"/>
          <w:szCs w:val="23"/>
          <w:rtl/>
        </w:rPr>
        <w:t>است که راه حل بهینه را توصیف می‌کنند</w:t>
      </w:r>
      <w:r w:rsidRPr="00A309A0">
        <w:rPr>
          <w:rFonts w:ascii="Cambria Math" w:hAnsi="Cambria Math" w:hint="cs"/>
          <w:noProof/>
          <w:sz w:val="23"/>
          <w:szCs w:val="23"/>
          <w:rtl/>
        </w:rPr>
        <w:t>. این معادلات را مجدداً بازنویسی می</w:t>
      </w:r>
      <w:r w:rsidRPr="00A309A0">
        <w:rPr>
          <w:rFonts w:ascii="Cambria Math" w:hAnsi="Cambria Math"/>
          <w:noProof/>
          <w:sz w:val="23"/>
          <w:szCs w:val="23"/>
          <w:rtl/>
        </w:rPr>
        <w:softHyphen/>
      </w:r>
      <w:r w:rsidRPr="00A309A0">
        <w:rPr>
          <w:rFonts w:ascii="Cambria Math" w:hAnsi="Cambria Math" w:hint="cs"/>
          <w:noProof/>
          <w:sz w:val="23"/>
          <w:szCs w:val="23"/>
          <w:rtl/>
        </w:rPr>
        <w:t>کنیم</w:t>
      </w:r>
      <w:r w:rsidRPr="00A309A0">
        <w:rPr>
          <w:rFonts w:ascii="Cambria Math" w:hAnsi="Cambria Math"/>
          <w:noProof/>
          <w:sz w:val="23"/>
          <w:szCs w:val="23"/>
          <w:rtl/>
        </w:rPr>
        <w:t xml:space="preserve"> </w:t>
      </w:r>
    </w:p>
    <w:p w14:paraId="708C8755" w14:textId="77777777" w:rsidR="00411620" w:rsidRPr="00A309A0" w:rsidRDefault="00411620" w:rsidP="00411620">
      <w:pPr>
        <w:pStyle w:val="MTDisplayEquation"/>
        <w:tabs>
          <w:tab w:val="clear" w:pos="6660"/>
        </w:tabs>
        <w:spacing w:line="216" w:lineRule="auto"/>
        <w:rPr>
          <w:rFonts w:ascii="Cambria Math" w:eastAsiaTheme="minorEastAsia" w:hAnsi="Cambria Math" w:cs="B Nazanin"/>
          <w:noProof/>
          <w:sz w:val="23"/>
          <w:szCs w:val="23"/>
          <w:rtl/>
          <w:lang w:bidi="fa-IR"/>
        </w:rPr>
      </w:pPr>
      <w:r w:rsidRPr="00B92922">
        <w:rPr>
          <w:position w:val="-30"/>
        </w:rPr>
        <w:object w:dxaOrig="2940" w:dyaOrig="700" w14:anchorId="44D8D5F7">
          <v:shape id="_x0000_i1279" type="#_x0000_t75" style="width:146.4pt;height:35.1pt" o:ole="">
            <v:imagedata r:id="rId527" o:title=""/>
          </v:shape>
          <o:OLEObject Type="Embed" ProgID="Equation.DSMT4" ShapeID="_x0000_i1279" DrawAspect="Content" ObjectID="_1791375223" r:id="rId528"/>
        </w:object>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tl/>
        </w:rPr>
        <w:tab/>
      </w:r>
      <w:r>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hint="cs"/>
          <w:sz w:val="23"/>
          <w:szCs w:val="23"/>
        </w:rPr>
        <w:t xml:space="preserve"> </w:t>
      </w:r>
      <w:r w:rsidRPr="00A309A0">
        <w:rPr>
          <w:rFonts w:ascii="Cambria Math" w:hAnsi="Cambria Math" w:cs="B Nazanin" w:hint="cs"/>
          <w:sz w:val="23"/>
          <w:szCs w:val="23"/>
          <w:rtl/>
          <w:lang w:bidi="fa-IR"/>
        </w:rPr>
        <w:t>(۲. ۱۹)</w:t>
      </w:r>
    </w:p>
    <w:p w14:paraId="5A30B7F8" w14:textId="77777777" w:rsidR="00411620" w:rsidRPr="00A309A0" w:rsidRDefault="00411620" w:rsidP="00411620">
      <w:pPr>
        <w:pStyle w:val="MTDisplayEquation"/>
        <w:tabs>
          <w:tab w:val="clear" w:pos="6660"/>
        </w:tabs>
        <w:spacing w:line="216" w:lineRule="auto"/>
        <w:rPr>
          <w:rFonts w:ascii="Cambria Math" w:hAnsi="Cambria Math" w:cs="B Nazanin"/>
          <w:sz w:val="23"/>
          <w:szCs w:val="23"/>
        </w:rPr>
      </w:pPr>
      <w:r w:rsidRPr="00B92922">
        <w:rPr>
          <w:position w:val="-12"/>
        </w:rPr>
        <w:object w:dxaOrig="2100" w:dyaOrig="360" w14:anchorId="4D95458A">
          <v:shape id="_x0000_i1280" type="#_x0000_t75" style="width:105.3pt;height:18.15pt" o:ole="">
            <v:imagedata r:id="rId529" o:title=""/>
          </v:shape>
          <o:OLEObject Type="Embed" ProgID="Equation.DSMT4" ShapeID="_x0000_i1280" DrawAspect="Content" ObjectID="_1791375224" r:id="rId530"/>
        </w:object>
      </w:r>
      <w:r w:rsidRPr="00A309A0">
        <w:rPr>
          <w:rFonts w:ascii="Cambria Math" w:hAnsi="Cambria Math" w:cs="B Nazanin"/>
          <w:sz w:val="23"/>
          <w:szCs w:val="23"/>
          <w:rtl/>
        </w:rPr>
        <w:tab/>
      </w:r>
      <w:r w:rsidRPr="00A309A0">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hint="cs"/>
          <w:sz w:val="23"/>
          <w:szCs w:val="23"/>
          <w:rtl/>
        </w:rPr>
        <w:t xml:space="preserve">(۲. ۲۰) </w:t>
      </w:r>
    </w:p>
    <w:p w14:paraId="1A0E9B1C" w14:textId="77777777" w:rsidR="00411620" w:rsidRDefault="00411620" w:rsidP="00411620">
      <w:pPr>
        <w:pStyle w:val="MTDisplayEquation"/>
        <w:tabs>
          <w:tab w:val="clear" w:pos="6660"/>
        </w:tabs>
        <w:bidi/>
        <w:spacing w:line="216" w:lineRule="auto"/>
        <w:rPr>
          <w:rFonts w:ascii="Cambria Math" w:hAnsi="Cambria Math" w:cs="B Nazanin"/>
          <w:noProof/>
          <w:sz w:val="23"/>
          <w:szCs w:val="23"/>
        </w:rPr>
      </w:pPr>
      <w:r w:rsidRPr="00A309A0">
        <w:rPr>
          <w:rFonts w:ascii="Cambria Math" w:hAnsi="Cambria Math" w:cs="B Nazanin"/>
          <w:noProof/>
          <w:sz w:val="23"/>
          <w:szCs w:val="23"/>
          <w:rtl/>
        </w:rPr>
        <w:t>حل بلندمدت دو متغیر مصرف و موجودی سرمایه</w:t>
      </w:r>
      <w:r w:rsidRPr="00B92922">
        <w:rPr>
          <w:position w:val="-16"/>
        </w:rPr>
        <w:object w:dxaOrig="700" w:dyaOrig="420" w14:anchorId="72998CAE">
          <v:shape id="_x0000_i1281" type="#_x0000_t75" style="width:35.1pt;height:21.2pt" o:ole="">
            <v:imagedata r:id="rId531" o:title=""/>
          </v:shape>
          <o:OLEObject Type="Embed" ProgID="Equation.DSMT4" ShapeID="_x0000_i1281" DrawAspect="Content" ObjectID="_1791375225" r:id="rId532"/>
        </w:object>
      </w:r>
      <w:r w:rsidRPr="00A309A0">
        <w:rPr>
          <w:rFonts w:ascii="Cambria Math" w:hAnsi="Cambria Math" w:cs="B Nazanin"/>
          <w:noProof/>
          <w:sz w:val="23"/>
          <w:szCs w:val="23"/>
          <w:rtl/>
        </w:rPr>
        <w:t xml:space="preserve"> از دو معادله</w:t>
      </w:r>
      <w:r w:rsidRPr="00A309A0">
        <w:rPr>
          <w:rFonts w:ascii="Cambria Math" w:hAnsi="Cambria Math" w:cs="B Nazanin"/>
          <w:noProof/>
          <w:sz w:val="23"/>
          <w:szCs w:val="23"/>
          <w:rtl/>
        </w:rPr>
        <w:softHyphen/>
        <w:t xml:space="preserve">ی فوق زمانی </w:t>
      </w:r>
      <w:r w:rsidRPr="00A309A0">
        <w:rPr>
          <w:rFonts w:ascii="Cambria Math" w:hAnsi="Cambria Math" w:cs="B Nazanin" w:hint="cs"/>
          <w:noProof/>
          <w:sz w:val="23"/>
          <w:szCs w:val="23"/>
          <w:rtl/>
        </w:rPr>
        <w:t>بدست می</w:t>
      </w:r>
      <w:r w:rsidRPr="00A309A0">
        <w:rPr>
          <w:rFonts w:ascii="Cambria Math" w:hAnsi="Cambria Math" w:cs="B Nazanin"/>
          <w:noProof/>
          <w:sz w:val="23"/>
          <w:szCs w:val="23"/>
          <w:rtl/>
        </w:rPr>
        <w:softHyphen/>
      </w:r>
      <w:r w:rsidRPr="00A309A0">
        <w:rPr>
          <w:rFonts w:ascii="Cambria Math" w:hAnsi="Cambria Math" w:cs="B Nazanin" w:hint="cs"/>
          <w:noProof/>
          <w:sz w:val="23"/>
          <w:szCs w:val="23"/>
          <w:rtl/>
        </w:rPr>
        <w:t xml:space="preserve">آید </w:t>
      </w:r>
      <w:r w:rsidRPr="00A309A0">
        <w:rPr>
          <w:rFonts w:ascii="Cambria Math" w:hAnsi="Cambria Math" w:cs="B Nazanin"/>
          <w:noProof/>
          <w:sz w:val="23"/>
          <w:szCs w:val="23"/>
          <w:rtl/>
        </w:rPr>
        <w:t xml:space="preserve">که </w:t>
      </w:r>
      <w:r w:rsidRPr="00B92922">
        <w:rPr>
          <w:position w:val="-10"/>
        </w:rPr>
        <w:object w:dxaOrig="1500" w:dyaOrig="320" w14:anchorId="07B6EF58">
          <v:shape id="_x0000_i1282" type="#_x0000_t75" style="width:75.05pt;height:15.75pt" o:ole="">
            <v:imagedata r:id="rId533" o:title=""/>
          </v:shape>
          <o:OLEObject Type="Embed" ProgID="Equation.DSMT4" ShapeID="_x0000_i1282" DrawAspect="Content" ObjectID="_1791375226" r:id="rId534"/>
        </w:object>
      </w:r>
      <w:r w:rsidRPr="00A309A0">
        <w:rPr>
          <w:rFonts w:ascii="Cambria Math" w:hAnsi="Cambria Math" w:cs="B Nazanin"/>
          <w:noProof/>
          <w:sz w:val="23"/>
          <w:szCs w:val="23"/>
          <w:rtl/>
        </w:rPr>
        <w:t>باشد. بنابراین خواهیم داشت</w:t>
      </w:r>
    </w:p>
    <w:p w14:paraId="3D6137DF" w14:textId="77777777" w:rsidR="00411620" w:rsidRPr="00A309A0" w:rsidRDefault="00411620" w:rsidP="00411620">
      <w:pPr>
        <w:pStyle w:val="MTDisplayEquation"/>
        <w:tabs>
          <w:tab w:val="clear" w:pos="6660"/>
        </w:tabs>
        <w:spacing w:line="216" w:lineRule="auto"/>
        <w:rPr>
          <w:rFonts w:ascii="Cambria Math" w:hAnsi="Cambria Math" w:cs="B Nazanin"/>
          <w:sz w:val="23"/>
          <w:szCs w:val="23"/>
        </w:rPr>
      </w:pPr>
      <w:r w:rsidRPr="00B92922">
        <w:rPr>
          <w:position w:val="-16"/>
        </w:rPr>
        <w:object w:dxaOrig="1359" w:dyaOrig="420" w14:anchorId="1008A776">
          <v:shape id="_x0000_i1283" type="#_x0000_t75" style="width:67.75pt;height:21.2pt" o:ole="">
            <v:imagedata r:id="rId535" o:title=""/>
          </v:shape>
          <o:OLEObject Type="Embed" ProgID="Equation.DSMT4" ShapeID="_x0000_i1283" DrawAspect="Content" ObjectID="_1791375227" r:id="rId536"/>
        </w:object>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hint="cs"/>
          <w:sz w:val="23"/>
          <w:szCs w:val="23"/>
          <w:rtl/>
        </w:rPr>
        <w:t>(۲. ۲۱)</w:t>
      </w:r>
    </w:p>
    <w:p w14:paraId="55A9306A" w14:textId="77777777" w:rsidR="00411620" w:rsidRPr="00A309A0" w:rsidRDefault="00411620" w:rsidP="00411620">
      <w:pPr>
        <w:pStyle w:val="MTDisplayEquation"/>
        <w:tabs>
          <w:tab w:val="clear" w:pos="6660"/>
        </w:tabs>
        <w:spacing w:line="216" w:lineRule="auto"/>
        <w:jc w:val="left"/>
        <w:rPr>
          <w:rFonts w:ascii="Cambria Math" w:eastAsiaTheme="minorEastAsia" w:hAnsi="Cambria Math" w:cs="B Nazanin"/>
          <w:noProof/>
          <w:sz w:val="23"/>
          <w:szCs w:val="23"/>
          <w:lang w:bidi="fa-IR"/>
        </w:rPr>
      </w:pPr>
      <w:r w:rsidRPr="00B92922">
        <w:rPr>
          <w:position w:val="-16"/>
        </w:rPr>
        <w:object w:dxaOrig="1560" w:dyaOrig="420" w14:anchorId="370D1EF4">
          <v:shape id="_x0000_i1284" type="#_x0000_t75" style="width:78.05pt;height:21.2pt" o:ole="">
            <v:imagedata r:id="rId537" o:title=""/>
          </v:shape>
          <o:OLEObject Type="Embed" ProgID="Equation.DSMT4" ShapeID="_x0000_i1284" DrawAspect="Content" ObjectID="_1791375228" r:id="rId538"/>
        </w:object>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hint="cs"/>
          <w:sz w:val="23"/>
          <w:szCs w:val="23"/>
          <w:rtl/>
        </w:rPr>
        <w:t>(۲. ۲۲)</w:t>
      </w:r>
    </w:p>
    <w:p w14:paraId="56B33A82" w14:textId="77777777" w:rsidR="00411620" w:rsidRDefault="00411620" w:rsidP="00411620">
      <w:pPr>
        <w:spacing w:line="216" w:lineRule="auto"/>
        <w:jc w:val="center"/>
        <w:rPr>
          <w:rFonts w:ascii="Cambria Math" w:hAnsi="Cambria Math"/>
          <w:noProof/>
          <w:sz w:val="23"/>
          <w:szCs w:val="23"/>
        </w:rPr>
      </w:pPr>
      <w:r w:rsidRPr="00A309A0">
        <w:rPr>
          <w:rFonts w:ascii="Cambria Math" w:hAnsi="Cambria Math"/>
          <w:noProof/>
          <w:sz w:val="23"/>
          <w:szCs w:val="23"/>
          <w:rtl/>
        </w:rPr>
        <w:t>از آنجاکه معادلات اویلر و قید منبع اقتصاد</w:t>
      </w:r>
      <w:r w:rsidRPr="00A309A0">
        <w:rPr>
          <w:rFonts w:ascii="Cambria Math" w:hAnsi="Cambria Math" w:hint="cs"/>
          <w:sz w:val="23"/>
          <w:szCs w:val="23"/>
          <w:rtl/>
        </w:rPr>
        <w:t xml:space="preserve"> (۲. ۱۹)</w:t>
      </w:r>
      <w:r w:rsidRPr="00A309A0">
        <w:rPr>
          <w:rFonts w:ascii="Cambria Math" w:hAnsi="Cambria Math"/>
          <w:noProof/>
          <w:sz w:val="23"/>
          <w:szCs w:val="23"/>
          <w:rtl/>
        </w:rPr>
        <w:t xml:space="preserve"> و </w:t>
      </w:r>
      <w:r w:rsidRPr="00A309A0">
        <w:rPr>
          <w:rFonts w:ascii="Cambria Math" w:hAnsi="Cambria Math" w:hint="cs"/>
          <w:sz w:val="23"/>
          <w:szCs w:val="23"/>
          <w:rtl/>
        </w:rPr>
        <w:t>(۲. ۲۰)</w:t>
      </w:r>
      <w:r w:rsidRPr="00A309A0">
        <w:rPr>
          <w:rFonts w:ascii="Cambria Math" w:hAnsi="Cambria Math"/>
          <w:noProof/>
          <w:sz w:val="23"/>
          <w:szCs w:val="23"/>
          <w:rtl/>
        </w:rPr>
        <w:t xml:space="preserve"> بر مبنای دو متغیر </w:t>
      </w:r>
      <w:r w:rsidRPr="00B92922">
        <w:rPr>
          <w:position w:val="-6"/>
        </w:rPr>
        <w:object w:dxaOrig="160" w:dyaOrig="200" w14:anchorId="0D693C41">
          <v:shape id="_x0000_i1285" type="#_x0000_t75" style="width:7.85pt;height:10.3pt" o:ole="">
            <v:imagedata r:id="rId539" o:title=""/>
          </v:shape>
          <o:OLEObject Type="Embed" ProgID="Equation.DSMT4" ShapeID="_x0000_i1285" DrawAspect="Content" ObjectID="_1791375229" r:id="rId540"/>
        </w:object>
      </w:r>
      <w:r w:rsidRPr="00A309A0">
        <w:rPr>
          <w:rFonts w:ascii="Cambria Math" w:hAnsi="Cambria Math"/>
          <w:noProof/>
          <w:sz w:val="23"/>
          <w:szCs w:val="23"/>
          <w:rtl/>
        </w:rPr>
        <w:t xml:space="preserve"> و </w:t>
      </w:r>
      <w:r w:rsidRPr="00B92922">
        <w:rPr>
          <w:position w:val="-6"/>
        </w:rPr>
        <w:object w:dxaOrig="200" w:dyaOrig="260" w14:anchorId="19393347">
          <v:shape id="_x0000_i1286" type="#_x0000_t75" style="width:10.3pt;height:12.7pt" o:ole="">
            <v:imagedata r:id="rId541" o:title=""/>
          </v:shape>
          <o:OLEObject Type="Embed" ProgID="Equation.DSMT4" ShapeID="_x0000_i1286" DrawAspect="Content" ObjectID="_1791375230" r:id="rId542"/>
        </w:object>
      </w:r>
    </w:p>
    <w:p w14:paraId="34D86B90" w14:textId="77777777" w:rsidR="00411620" w:rsidRDefault="00411620" w:rsidP="00411620">
      <w:pPr>
        <w:spacing w:line="216" w:lineRule="auto"/>
        <w:jc w:val="center"/>
        <w:rPr>
          <w:rFonts w:ascii="Cambria Math" w:hAnsi="Cambria Math"/>
          <w:noProof/>
          <w:sz w:val="23"/>
          <w:szCs w:val="23"/>
        </w:rPr>
      </w:pPr>
    </w:p>
    <w:p w14:paraId="6DA34116" w14:textId="77777777" w:rsidR="00411620" w:rsidRDefault="00411620" w:rsidP="00411620">
      <w:pPr>
        <w:spacing w:line="216" w:lineRule="auto"/>
        <w:jc w:val="center"/>
        <w:rPr>
          <w:rFonts w:ascii="Cambria Math" w:hAnsi="Cambria Math"/>
          <w:noProof/>
          <w:sz w:val="23"/>
          <w:szCs w:val="23"/>
        </w:rPr>
      </w:pPr>
    </w:p>
    <w:p w14:paraId="2B04D7AA" w14:textId="77777777" w:rsidR="00411620" w:rsidRPr="00A309A0" w:rsidRDefault="00411620" w:rsidP="00411620">
      <w:pPr>
        <w:spacing w:line="216" w:lineRule="auto"/>
        <w:jc w:val="center"/>
        <w:rPr>
          <w:rFonts w:ascii="Cambria Math" w:hAnsi="Cambria Math"/>
          <w:noProof/>
          <w:sz w:val="23"/>
          <w:szCs w:val="23"/>
          <w:rtl/>
        </w:rPr>
      </w:pPr>
      <w:r w:rsidRPr="00A309A0">
        <w:rPr>
          <w:rFonts w:ascii="Cambria Math" w:hAnsi="Cambria Math" w:hint="cs"/>
          <w:noProof/>
          <w:sz w:val="23"/>
          <w:szCs w:val="23"/>
          <w:rtl/>
        </w:rPr>
        <w:t>نمودار ۲. ۸</w:t>
      </w:r>
    </w:p>
    <w:p w14:paraId="73D2532C" w14:textId="77777777" w:rsidR="00411620" w:rsidRPr="00A309A0" w:rsidRDefault="00411620" w:rsidP="00411620">
      <w:pPr>
        <w:spacing w:line="216" w:lineRule="auto"/>
        <w:jc w:val="center"/>
        <w:rPr>
          <w:rFonts w:ascii="Cambria Math" w:hAnsi="Cambria Math"/>
          <w:noProof/>
          <w:sz w:val="23"/>
          <w:szCs w:val="23"/>
          <w:rtl/>
        </w:rPr>
      </w:pPr>
      <w:r w:rsidRPr="00A309A0">
        <w:rPr>
          <w:rFonts w:ascii="Cambria Math" w:hAnsi="Cambria Math"/>
          <w:noProof/>
          <w:sz w:val="23"/>
          <w:szCs w:val="23"/>
          <w:u w:val="single"/>
          <w:rtl/>
          <w:lang w:bidi="ar-SA"/>
        </w:rPr>
        <w:drawing>
          <wp:inline distT="0" distB="0" distL="0" distR="0" wp14:anchorId="29E2203A" wp14:editId="62FB1840">
            <wp:extent cx="3655695" cy="1818106"/>
            <wp:effectExtent l="38100" t="38100" r="40005" b="298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3">
                      <a:lum contrast="20000"/>
                      <a:extLst>
                        <a:ext uri="{28A0092B-C50C-407E-A947-70E740481C1C}">
                          <a14:useLocalDpi xmlns:a14="http://schemas.microsoft.com/office/drawing/2010/main" val="0"/>
                        </a:ext>
                      </a:extLst>
                    </a:blip>
                    <a:srcRect/>
                    <a:stretch>
                      <a:fillRect/>
                    </a:stretch>
                  </pic:blipFill>
                  <pic:spPr bwMode="auto">
                    <a:xfrm>
                      <a:off x="0" y="0"/>
                      <a:ext cx="3673821" cy="1827121"/>
                    </a:xfrm>
                    <a:prstGeom prst="rect">
                      <a:avLst/>
                    </a:prstGeom>
                    <a:ln w="28575">
                      <a:solidFill>
                        <a:schemeClr val="tx1"/>
                      </a:solidFill>
                    </a:ln>
                  </pic:spPr>
                </pic:pic>
              </a:graphicData>
            </a:graphic>
          </wp:inline>
        </w:drawing>
      </w:r>
    </w:p>
    <w:p w14:paraId="66CDA496" w14:textId="77777777" w:rsidR="00411620" w:rsidRPr="00A309A0" w:rsidRDefault="00411620" w:rsidP="00411620">
      <w:pPr>
        <w:spacing w:line="216" w:lineRule="auto"/>
        <w:jc w:val="center"/>
        <w:rPr>
          <w:rFonts w:ascii="Cambria Math" w:hAnsi="Cambria Math"/>
          <w:noProof/>
          <w:sz w:val="23"/>
          <w:szCs w:val="23"/>
          <w:rtl/>
        </w:rPr>
      </w:pPr>
      <w:r w:rsidRPr="00A309A0">
        <w:rPr>
          <w:rFonts w:ascii="Cambria Math" w:hAnsi="Cambria Math" w:hint="cs"/>
          <w:noProof/>
          <w:sz w:val="23"/>
          <w:szCs w:val="23"/>
          <w:rtl/>
        </w:rPr>
        <w:t>نمودار</w:t>
      </w:r>
      <w:r w:rsidRPr="00A309A0">
        <w:rPr>
          <w:rFonts w:ascii="Cambria Math" w:hAnsi="Cambria Math"/>
          <w:noProof/>
          <w:sz w:val="23"/>
          <w:szCs w:val="23"/>
          <w:rtl/>
        </w:rPr>
        <w:t xml:space="preserve"> </w:t>
      </w:r>
      <w:r w:rsidRPr="00A309A0">
        <w:rPr>
          <w:rFonts w:ascii="Cambria Math" w:hAnsi="Cambria Math" w:hint="cs"/>
          <w:noProof/>
          <w:sz w:val="23"/>
          <w:szCs w:val="23"/>
          <w:rtl/>
        </w:rPr>
        <w:t>۲. ۹</w:t>
      </w:r>
    </w:p>
    <w:p w14:paraId="7A2FF404" w14:textId="77777777" w:rsidR="00411620" w:rsidRPr="00A309A0" w:rsidRDefault="00411620" w:rsidP="00411620">
      <w:pPr>
        <w:spacing w:line="216" w:lineRule="auto"/>
        <w:jc w:val="center"/>
        <w:rPr>
          <w:rFonts w:ascii="Cambria Math" w:hAnsi="Cambria Math"/>
          <w:noProof/>
          <w:sz w:val="23"/>
          <w:szCs w:val="23"/>
          <w:rtl/>
        </w:rPr>
      </w:pPr>
      <w:r w:rsidRPr="00A309A0">
        <w:rPr>
          <w:rFonts w:ascii="Cambria Math" w:hAnsi="Cambria Math"/>
          <w:noProof/>
          <w:sz w:val="23"/>
          <w:szCs w:val="23"/>
          <w:u w:val="single"/>
          <w:rtl/>
          <w:lang w:bidi="ar-SA"/>
        </w:rPr>
        <w:drawing>
          <wp:inline distT="0" distB="0" distL="0" distR="0" wp14:anchorId="55DE3E84" wp14:editId="4A11440A">
            <wp:extent cx="3654425" cy="1788160"/>
            <wp:effectExtent l="38100" t="38100" r="41275" b="406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4" cstate="print">
                      <a:lum contrast="20000"/>
                      <a:extLst>
                        <a:ext uri="{28A0092B-C50C-407E-A947-70E740481C1C}">
                          <a14:useLocalDpi xmlns:a14="http://schemas.microsoft.com/office/drawing/2010/main" val="0"/>
                        </a:ext>
                      </a:extLst>
                    </a:blip>
                    <a:srcRect/>
                    <a:stretch>
                      <a:fillRect/>
                    </a:stretch>
                  </pic:blipFill>
                  <pic:spPr bwMode="auto">
                    <a:xfrm>
                      <a:off x="0" y="0"/>
                      <a:ext cx="3668073" cy="1794838"/>
                    </a:xfrm>
                    <a:prstGeom prst="rect">
                      <a:avLst/>
                    </a:prstGeom>
                    <a:ln w="28575">
                      <a:solidFill>
                        <a:schemeClr val="tx1"/>
                      </a:solidFill>
                    </a:ln>
                  </pic:spPr>
                </pic:pic>
              </a:graphicData>
            </a:graphic>
          </wp:inline>
        </w:drawing>
      </w:r>
    </w:p>
    <w:p w14:paraId="1CB14261" w14:textId="77777777" w:rsidR="00411620" w:rsidRPr="00A309A0" w:rsidRDefault="00411620" w:rsidP="00411620">
      <w:pPr>
        <w:spacing w:line="216" w:lineRule="auto"/>
        <w:jc w:val="center"/>
        <w:rPr>
          <w:rFonts w:ascii="Cambria Math" w:hAnsi="Cambria Math"/>
          <w:noProof/>
          <w:sz w:val="23"/>
          <w:szCs w:val="23"/>
          <w:rtl/>
        </w:rPr>
      </w:pPr>
      <w:r w:rsidRPr="00A309A0">
        <w:rPr>
          <w:rFonts w:ascii="Cambria Math" w:hAnsi="Cambria Math" w:hint="cs"/>
          <w:noProof/>
          <w:sz w:val="23"/>
          <w:szCs w:val="23"/>
          <w:rtl/>
        </w:rPr>
        <w:t>نمودار</w:t>
      </w:r>
      <w:r w:rsidRPr="00A309A0">
        <w:rPr>
          <w:rFonts w:ascii="Cambria Math" w:hAnsi="Cambria Math"/>
          <w:noProof/>
          <w:sz w:val="23"/>
          <w:szCs w:val="23"/>
          <w:rtl/>
        </w:rPr>
        <w:t xml:space="preserve"> </w:t>
      </w:r>
      <w:r w:rsidRPr="00A309A0">
        <w:rPr>
          <w:rFonts w:ascii="Cambria Math" w:hAnsi="Cambria Math" w:hint="cs"/>
          <w:noProof/>
          <w:sz w:val="23"/>
          <w:szCs w:val="23"/>
          <w:rtl/>
        </w:rPr>
        <w:t>۲. ۱۰</w:t>
      </w:r>
    </w:p>
    <w:p w14:paraId="574C3FB4" w14:textId="77777777" w:rsidR="00411620" w:rsidRPr="00A309A0" w:rsidRDefault="00411620" w:rsidP="00411620">
      <w:pPr>
        <w:spacing w:line="216" w:lineRule="auto"/>
        <w:jc w:val="center"/>
        <w:rPr>
          <w:rFonts w:ascii="Cambria Math" w:hAnsi="Cambria Math"/>
          <w:noProof/>
          <w:sz w:val="23"/>
          <w:szCs w:val="23"/>
          <w:rtl/>
        </w:rPr>
      </w:pPr>
      <w:r w:rsidRPr="00A309A0">
        <w:rPr>
          <w:rFonts w:ascii="Cambria Math" w:hAnsi="Cambria Math"/>
          <w:noProof/>
          <w:sz w:val="23"/>
          <w:szCs w:val="23"/>
          <w:u w:val="single"/>
          <w:rtl/>
          <w:lang w:bidi="ar-SA"/>
        </w:rPr>
        <w:lastRenderedPageBreak/>
        <w:drawing>
          <wp:inline distT="0" distB="0" distL="0" distR="0" wp14:anchorId="136C17AA" wp14:editId="34D49B0B">
            <wp:extent cx="3654802" cy="1814286"/>
            <wp:effectExtent l="38100" t="38100" r="41275" b="336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5" cstate="print">
                      <a:lum contrast="20000"/>
                      <a:extLst>
                        <a:ext uri="{28A0092B-C50C-407E-A947-70E740481C1C}">
                          <a14:useLocalDpi xmlns:a14="http://schemas.microsoft.com/office/drawing/2010/main" val="0"/>
                        </a:ext>
                      </a:extLst>
                    </a:blip>
                    <a:srcRect/>
                    <a:stretch>
                      <a:fillRect/>
                    </a:stretch>
                  </pic:blipFill>
                  <pic:spPr bwMode="auto">
                    <a:xfrm>
                      <a:off x="0" y="0"/>
                      <a:ext cx="3667542" cy="1820610"/>
                    </a:xfrm>
                    <a:prstGeom prst="rect">
                      <a:avLst/>
                    </a:prstGeom>
                    <a:ln w="28575">
                      <a:solidFill>
                        <a:schemeClr val="tx1"/>
                      </a:solidFill>
                    </a:ln>
                  </pic:spPr>
                </pic:pic>
              </a:graphicData>
            </a:graphic>
          </wp:inline>
        </w:drawing>
      </w:r>
    </w:p>
    <w:p w14:paraId="2334CCA3" w14:textId="77777777" w:rsidR="00411620" w:rsidRPr="00A309A0" w:rsidRDefault="00411620" w:rsidP="00411620">
      <w:pPr>
        <w:spacing w:line="216" w:lineRule="auto"/>
        <w:rPr>
          <w:rFonts w:ascii="Cambria Math" w:hAnsi="Cambria Math"/>
          <w:noProof/>
          <w:sz w:val="23"/>
          <w:szCs w:val="23"/>
        </w:rPr>
      </w:pPr>
      <w:r w:rsidRPr="00A309A0">
        <w:rPr>
          <w:rFonts w:ascii="Cambria Math" w:hAnsi="Cambria Math"/>
          <w:noProof/>
          <w:sz w:val="23"/>
          <w:szCs w:val="23"/>
          <w:rtl/>
        </w:rPr>
        <w:t>غیرخطی هستند، لذا تجزیه و تحلیل بر مبنای تقریب خطی محلی</w:t>
      </w:r>
      <w:r w:rsidRPr="00A309A0">
        <w:rPr>
          <w:rStyle w:val="FootnoteReference"/>
          <w:rFonts w:ascii="Cambria Math" w:eastAsiaTheme="majorEastAsia" w:hAnsi="Cambria Math"/>
          <w:noProof/>
          <w:sz w:val="23"/>
          <w:szCs w:val="23"/>
          <w:rtl/>
        </w:rPr>
        <w:footnoteReference w:id="78"/>
      </w:r>
      <w:r w:rsidRPr="00A309A0">
        <w:rPr>
          <w:rFonts w:ascii="Cambria Math" w:hAnsi="Cambria Math"/>
          <w:noProof/>
          <w:sz w:val="23"/>
          <w:szCs w:val="23"/>
          <w:rtl/>
        </w:rPr>
        <w:t xml:space="preserve"> از سیستم غیرخطی </w:t>
      </w:r>
      <w:r w:rsidRPr="00A309A0">
        <w:rPr>
          <w:rFonts w:ascii="Cambria Math" w:hAnsi="Cambria Math" w:hint="cs"/>
          <w:noProof/>
          <w:sz w:val="23"/>
          <w:szCs w:val="23"/>
          <w:rtl/>
        </w:rPr>
        <w:t>خواهد بود</w:t>
      </w:r>
      <w:r w:rsidRPr="00A309A0">
        <w:rPr>
          <w:rFonts w:ascii="Cambria Math" w:hAnsi="Cambria Math"/>
          <w:noProof/>
          <w:sz w:val="23"/>
          <w:szCs w:val="23"/>
          <w:rtl/>
        </w:rPr>
        <w:t>. تقریب خطی معادله</w:t>
      </w:r>
      <w:r w:rsidRPr="00A309A0">
        <w:rPr>
          <w:rFonts w:ascii="Cambria Math" w:hAnsi="Cambria Math"/>
          <w:noProof/>
          <w:sz w:val="23"/>
          <w:szCs w:val="23"/>
          <w:rtl/>
        </w:rPr>
        <w:softHyphen/>
        <w:t>ی قید من</w:t>
      </w:r>
      <w:r w:rsidRPr="00A309A0">
        <w:rPr>
          <w:rFonts w:ascii="Cambria Math" w:hAnsi="Cambria Math" w:hint="cs"/>
          <w:noProof/>
          <w:sz w:val="23"/>
          <w:szCs w:val="23"/>
          <w:rtl/>
        </w:rPr>
        <w:t>ب</w:t>
      </w:r>
      <w:r w:rsidRPr="00A309A0">
        <w:rPr>
          <w:rFonts w:ascii="Cambria Math" w:hAnsi="Cambria Math"/>
          <w:noProof/>
          <w:sz w:val="23"/>
          <w:szCs w:val="23"/>
          <w:rtl/>
        </w:rPr>
        <w:t xml:space="preserve">ع </w:t>
      </w:r>
      <w:r w:rsidRPr="00A309A0">
        <w:rPr>
          <w:rFonts w:ascii="Cambria Math" w:hAnsi="Cambria Math" w:hint="cs"/>
          <w:sz w:val="23"/>
          <w:szCs w:val="23"/>
          <w:rtl/>
        </w:rPr>
        <w:t>(۲. ۲۰)</w:t>
      </w:r>
      <w:r w:rsidRPr="00A309A0">
        <w:rPr>
          <w:rFonts w:ascii="Cambria Math" w:hAnsi="Cambria Math"/>
          <w:noProof/>
          <w:sz w:val="23"/>
          <w:szCs w:val="23"/>
          <w:rtl/>
        </w:rPr>
        <w:t xml:space="preserve"> عبارت است از؛</w:t>
      </w:r>
    </w:p>
    <w:p w14:paraId="3B9B4070" w14:textId="77777777" w:rsidR="00411620" w:rsidRPr="00A309A0" w:rsidRDefault="00411620" w:rsidP="00411620">
      <w:pPr>
        <w:pStyle w:val="MTDisplayEquation"/>
        <w:spacing w:line="216" w:lineRule="auto"/>
        <w:rPr>
          <w:rFonts w:cs="B Nazanin"/>
          <w:sz w:val="23"/>
          <w:szCs w:val="23"/>
          <w:rtl/>
        </w:rPr>
      </w:pPr>
      <w:r w:rsidRPr="00B92922">
        <w:rPr>
          <w:position w:val="-16"/>
        </w:rPr>
        <w:object w:dxaOrig="3700" w:dyaOrig="420" w14:anchorId="4270DDF8">
          <v:shape id="_x0000_i1287" type="#_x0000_t75" style="width:184.55pt;height:21.2pt" o:ole="">
            <v:imagedata r:id="rId546" o:title=""/>
          </v:shape>
          <o:OLEObject Type="Embed" ProgID="Equation.DSMT4" ShapeID="_x0000_i1287" DrawAspect="Content" ObjectID="_1791375231" r:id="rId547"/>
        </w:object>
      </w:r>
    </w:p>
    <w:p w14:paraId="4E03DD81" w14:textId="77777777" w:rsidR="00411620" w:rsidRPr="00A309A0" w:rsidRDefault="00411620" w:rsidP="00411620">
      <w:pPr>
        <w:spacing w:line="216" w:lineRule="auto"/>
        <w:rPr>
          <w:rFonts w:eastAsiaTheme="minorEastAsia"/>
          <w:sz w:val="23"/>
          <w:szCs w:val="23"/>
          <w:lang w:bidi="ar-SA"/>
        </w:rPr>
      </w:pPr>
      <w:r w:rsidRPr="00A309A0">
        <w:rPr>
          <w:rFonts w:eastAsiaTheme="minorEastAsia" w:hint="cs"/>
          <w:sz w:val="23"/>
          <w:szCs w:val="23"/>
          <w:rtl/>
          <w:lang w:bidi="ar-SA"/>
        </w:rPr>
        <w:t>و یا</w:t>
      </w:r>
    </w:p>
    <w:p w14:paraId="05558F62"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rtl/>
          <w:lang w:bidi="fa-IR"/>
        </w:rPr>
      </w:pPr>
      <w:r w:rsidRPr="00B92922">
        <w:rPr>
          <w:position w:val="-18"/>
        </w:rPr>
        <w:object w:dxaOrig="6220" w:dyaOrig="480" w14:anchorId="7F004F41">
          <v:shape id="_x0000_i1288" type="#_x0000_t75" style="width:311pt;height:23.6pt" o:ole="">
            <v:imagedata r:id="rId548" o:title=""/>
          </v:shape>
          <o:OLEObject Type="Embed" ProgID="Equation.DSMT4" ShapeID="_x0000_i1288" DrawAspect="Content" ObjectID="_1791375232" r:id="rId549"/>
        </w:object>
      </w:r>
    </w:p>
    <w:p w14:paraId="3E6A5D32" w14:textId="77777777" w:rsidR="00411620" w:rsidRPr="00A309A0" w:rsidRDefault="00411620" w:rsidP="00411620">
      <w:pPr>
        <w:pStyle w:val="MTDisplayEquation"/>
        <w:tabs>
          <w:tab w:val="clear" w:pos="6660"/>
        </w:tabs>
        <w:spacing w:line="216" w:lineRule="auto"/>
        <w:rPr>
          <w:rFonts w:ascii="Cambria Math" w:hAnsi="Cambria Math" w:cs="B Nazanin"/>
          <w:noProof/>
          <w:sz w:val="23"/>
          <w:szCs w:val="23"/>
          <w:lang w:bidi="fa-IR"/>
        </w:rPr>
      </w:pPr>
      <w:r w:rsidRPr="00B92922">
        <w:rPr>
          <w:position w:val="-16"/>
        </w:rPr>
        <w:object w:dxaOrig="3660" w:dyaOrig="420" w14:anchorId="49ED5A7D">
          <v:shape id="_x0000_i1289" type="#_x0000_t75" style="width:183.35pt;height:21.2pt" o:ole="">
            <v:imagedata r:id="rId550" o:title=""/>
          </v:shape>
          <o:OLEObject Type="Embed" ProgID="Equation.DSMT4" ShapeID="_x0000_i1289" DrawAspect="Content" ObjectID="_1791375233" r:id="rId551"/>
        </w:object>
      </w:r>
      <w:r w:rsidRPr="00A309A0">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sz w:val="23"/>
          <w:szCs w:val="23"/>
        </w:rPr>
        <w:tab/>
      </w:r>
      <w:r w:rsidRPr="00A309A0">
        <w:rPr>
          <w:rFonts w:ascii="Cambria Math" w:hAnsi="Cambria Math" w:cs="B Nazanin"/>
          <w:sz w:val="23"/>
          <w:szCs w:val="23"/>
        </w:rPr>
        <w:tab/>
      </w:r>
      <w:r>
        <w:rPr>
          <w:rFonts w:ascii="Cambria Math" w:hAnsi="Cambria Math" w:cs="B Nazanin"/>
          <w:sz w:val="23"/>
          <w:szCs w:val="23"/>
        </w:rPr>
        <w:tab/>
      </w:r>
      <w:r>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hint="cs"/>
          <w:sz w:val="23"/>
          <w:szCs w:val="23"/>
          <w:rtl/>
        </w:rPr>
        <w:t>(۲. ۲۳)</w:t>
      </w:r>
    </w:p>
    <w:p w14:paraId="118622A8" w14:textId="77777777" w:rsidR="00411620" w:rsidRPr="00A309A0" w:rsidRDefault="00411620" w:rsidP="00411620">
      <w:pPr>
        <w:tabs>
          <w:tab w:val="right" w:pos="7087"/>
        </w:tabs>
        <w:spacing w:line="216" w:lineRule="auto"/>
        <w:rPr>
          <w:rFonts w:ascii="Cambria Math" w:hAnsi="Cambria Math"/>
          <w:noProof/>
          <w:sz w:val="23"/>
          <w:szCs w:val="23"/>
          <w:rtl/>
        </w:rPr>
      </w:pPr>
      <w:r w:rsidRPr="00A309A0">
        <w:rPr>
          <w:rFonts w:ascii="Cambria Math" w:hAnsi="Cambria Math" w:hint="cs"/>
          <w:noProof/>
          <w:sz w:val="23"/>
          <w:szCs w:val="23"/>
          <w:rtl/>
        </w:rPr>
        <w:t xml:space="preserve">به همین ترتیب </w:t>
      </w:r>
      <w:r w:rsidRPr="00A309A0">
        <w:rPr>
          <w:rFonts w:ascii="Cambria Math" w:hAnsi="Cambria Math"/>
          <w:noProof/>
          <w:sz w:val="23"/>
          <w:szCs w:val="23"/>
          <w:rtl/>
        </w:rPr>
        <w:t>تقریب خطی معادله</w:t>
      </w:r>
      <w:r w:rsidRPr="00A309A0">
        <w:rPr>
          <w:rFonts w:ascii="Cambria Math" w:hAnsi="Cambria Math"/>
          <w:noProof/>
          <w:sz w:val="23"/>
          <w:szCs w:val="23"/>
          <w:rtl/>
        </w:rPr>
        <w:softHyphen/>
        <w:t xml:space="preserve">ی اویلر </w:t>
      </w:r>
      <w:r w:rsidRPr="00A309A0">
        <w:rPr>
          <w:rFonts w:ascii="Cambria Math" w:hAnsi="Cambria Math" w:hint="cs"/>
          <w:noProof/>
          <w:sz w:val="23"/>
          <w:szCs w:val="23"/>
          <w:rtl/>
        </w:rPr>
        <w:t>(۲. ۱۹)</w:t>
      </w:r>
      <w:r w:rsidRPr="00A309A0">
        <w:rPr>
          <w:rFonts w:ascii="Cambria Math" w:hAnsi="Cambria Math"/>
          <w:noProof/>
          <w:sz w:val="23"/>
          <w:szCs w:val="23"/>
          <w:rtl/>
        </w:rPr>
        <w:t xml:space="preserve"> به</w:t>
      </w:r>
      <w:r w:rsidRPr="00A309A0">
        <w:rPr>
          <w:rFonts w:ascii="Cambria Math" w:hAnsi="Cambria Math"/>
          <w:noProof/>
          <w:sz w:val="23"/>
          <w:szCs w:val="23"/>
          <w:rtl/>
        </w:rPr>
        <w:softHyphen/>
        <w:t>وسیله</w:t>
      </w:r>
      <w:r w:rsidRPr="00A309A0">
        <w:rPr>
          <w:rFonts w:ascii="Cambria Math" w:hAnsi="Cambria Math"/>
          <w:noProof/>
          <w:sz w:val="23"/>
          <w:szCs w:val="23"/>
          <w:rtl/>
        </w:rPr>
        <w:softHyphen/>
        <w:t>ی بسط مرتبه</w:t>
      </w:r>
      <w:r w:rsidRPr="00A309A0">
        <w:rPr>
          <w:rFonts w:ascii="Cambria Math" w:hAnsi="Cambria Math"/>
          <w:noProof/>
          <w:sz w:val="23"/>
          <w:szCs w:val="23"/>
          <w:rtl/>
        </w:rPr>
        <w:softHyphen/>
        <w:t xml:space="preserve">ی اول سری تیلور پیرامون </w:t>
      </w:r>
      <w:r w:rsidRPr="00B92922">
        <w:rPr>
          <w:position w:val="-16"/>
        </w:rPr>
        <w:object w:dxaOrig="680" w:dyaOrig="420" w14:anchorId="31B53A36">
          <v:shape id="_x0000_i1290" type="#_x0000_t75" style="width:33.9pt;height:21.2pt" o:ole="">
            <v:imagedata r:id="rId552" o:title=""/>
          </v:shape>
          <o:OLEObject Type="Embed" ProgID="Equation.DSMT4" ShapeID="_x0000_i1290" DrawAspect="Content" ObjectID="_1791375234" r:id="rId553"/>
        </w:object>
      </w:r>
      <w:r w:rsidRPr="00A309A0">
        <w:rPr>
          <w:rFonts w:ascii="Cambria Math" w:hAnsi="Cambria Math"/>
          <w:noProof/>
          <w:sz w:val="23"/>
          <w:szCs w:val="23"/>
          <w:rtl/>
        </w:rPr>
        <w:t xml:space="preserve"> به</w:t>
      </w:r>
      <w:r w:rsidRPr="00A309A0">
        <w:rPr>
          <w:rFonts w:ascii="Cambria Math" w:hAnsi="Cambria Math"/>
          <w:noProof/>
          <w:sz w:val="23"/>
          <w:szCs w:val="23"/>
          <w:rtl/>
        </w:rPr>
        <w:softHyphen/>
        <w:t>دست می</w:t>
      </w:r>
      <w:r w:rsidRPr="00A309A0">
        <w:rPr>
          <w:rFonts w:ascii="Cambria Math" w:hAnsi="Cambria Math"/>
          <w:noProof/>
          <w:sz w:val="23"/>
          <w:szCs w:val="23"/>
          <w:rtl/>
        </w:rPr>
        <w:softHyphen/>
        <w:t>آ</w:t>
      </w:r>
      <w:r w:rsidRPr="00A309A0">
        <w:rPr>
          <w:rFonts w:ascii="Cambria Math" w:hAnsi="Cambria Math"/>
          <w:noProof/>
          <w:sz w:val="23"/>
          <w:szCs w:val="23"/>
          <w:rtl/>
        </w:rPr>
        <w:softHyphen/>
        <w:t>ید و عبارت است از:</w:t>
      </w:r>
    </w:p>
    <w:p w14:paraId="61EC3230" w14:textId="77777777" w:rsidR="00411620" w:rsidRPr="00A309A0" w:rsidRDefault="00411620" w:rsidP="00411620">
      <w:pPr>
        <w:pStyle w:val="MTDisplayEquation"/>
        <w:tabs>
          <w:tab w:val="clear" w:pos="6660"/>
          <w:tab w:val="right" w:pos="7087"/>
        </w:tabs>
        <w:spacing w:line="216" w:lineRule="auto"/>
        <w:rPr>
          <w:rFonts w:ascii="Cambria Math" w:hAnsi="Cambria Math" w:cs="B Nazanin"/>
          <w:noProof/>
          <w:sz w:val="23"/>
          <w:szCs w:val="23"/>
          <w:rtl/>
          <w:lang w:bidi="fa-IR"/>
        </w:rPr>
      </w:pPr>
      <w:r w:rsidRPr="00B92922">
        <w:rPr>
          <w:position w:val="-36"/>
        </w:rPr>
        <w:object w:dxaOrig="5140" w:dyaOrig="820" w14:anchorId="10870A6E">
          <v:shape id="_x0000_i1291" type="#_x0000_t75" style="width:257.15pt;height:41.15pt" o:ole="">
            <v:imagedata r:id="rId554" o:title=""/>
          </v:shape>
          <o:OLEObject Type="Embed" ProgID="Equation.DSMT4" ShapeID="_x0000_i1291" DrawAspect="Content" ObjectID="_1791375235" r:id="rId555"/>
        </w:object>
      </w:r>
    </w:p>
    <w:p w14:paraId="3D4E4D41" w14:textId="77777777" w:rsidR="00411620" w:rsidRPr="00A309A0" w:rsidRDefault="00411620" w:rsidP="00411620">
      <w:pPr>
        <w:tabs>
          <w:tab w:val="right" w:pos="7087"/>
        </w:tabs>
        <w:spacing w:line="216" w:lineRule="auto"/>
        <w:rPr>
          <w:rFonts w:ascii="Cambria Math" w:hAnsi="Cambria Math"/>
          <w:noProof/>
          <w:sz w:val="23"/>
          <w:szCs w:val="23"/>
          <w:rtl/>
        </w:rPr>
      </w:pPr>
      <w:r w:rsidRPr="00A309A0">
        <w:rPr>
          <w:rFonts w:ascii="Cambria Math" w:hAnsi="Cambria Math"/>
          <w:noProof/>
          <w:sz w:val="23"/>
          <w:szCs w:val="23"/>
          <w:rtl/>
        </w:rPr>
        <w:t xml:space="preserve">و با استفاده از نتایج </w:t>
      </w:r>
      <w:r w:rsidRPr="00A309A0">
        <w:rPr>
          <w:rFonts w:ascii="Cambria Math" w:hAnsi="Cambria Math" w:hint="cs"/>
          <w:sz w:val="23"/>
          <w:szCs w:val="23"/>
          <w:rtl/>
        </w:rPr>
        <w:t>(۲. ۲۱)</w:t>
      </w:r>
      <w:r w:rsidRPr="00A309A0">
        <w:rPr>
          <w:rFonts w:ascii="Cambria Math" w:hAnsi="Cambria Math"/>
          <w:noProof/>
          <w:sz w:val="23"/>
          <w:szCs w:val="23"/>
          <w:rtl/>
        </w:rPr>
        <w:t>، معادله</w:t>
      </w:r>
      <w:r w:rsidRPr="00A309A0">
        <w:rPr>
          <w:rFonts w:ascii="Cambria Math" w:hAnsi="Cambria Math"/>
          <w:noProof/>
          <w:sz w:val="23"/>
          <w:szCs w:val="23"/>
          <w:rtl/>
        </w:rPr>
        <w:softHyphen/>
        <w:t>ی فوق را می‌توان به صورت زیر بازنویسی نمود</w:t>
      </w:r>
    </w:p>
    <w:p w14:paraId="7FF68D14" w14:textId="77777777" w:rsidR="00411620" w:rsidRPr="00A309A0" w:rsidRDefault="00411620" w:rsidP="00411620">
      <w:pPr>
        <w:pStyle w:val="MTDisplayEquation"/>
        <w:tabs>
          <w:tab w:val="clear" w:pos="6660"/>
          <w:tab w:val="right" w:pos="7087"/>
        </w:tabs>
        <w:spacing w:line="216" w:lineRule="auto"/>
        <w:rPr>
          <w:rFonts w:ascii="Cambria Math" w:eastAsiaTheme="minorEastAsia" w:hAnsi="Cambria Math" w:cs="B Nazanin"/>
          <w:noProof/>
          <w:sz w:val="23"/>
          <w:szCs w:val="23"/>
          <w:lang w:bidi="fa-IR"/>
        </w:rPr>
      </w:pPr>
      <w:r w:rsidRPr="00B92922">
        <w:rPr>
          <w:position w:val="-36"/>
        </w:rPr>
        <w:object w:dxaOrig="5780" w:dyaOrig="820" w14:anchorId="27A7C526">
          <v:shape id="_x0000_i1292" type="#_x0000_t75" style="width:289.2pt;height:41.15pt" o:ole="">
            <v:imagedata r:id="rId556" o:title=""/>
          </v:shape>
          <o:OLEObject Type="Embed" ProgID="Equation.DSMT4" ShapeID="_x0000_i1292" DrawAspect="Content" ObjectID="_1791375236" r:id="rId557"/>
        </w:object>
      </w:r>
    </w:p>
    <w:p w14:paraId="308F29A2" w14:textId="77777777" w:rsidR="00411620" w:rsidRPr="00A309A0" w:rsidRDefault="00411620" w:rsidP="00411620">
      <w:pPr>
        <w:tabs>
          <w:tab w:val="right" w:pos="7087"/>
        </w:tabs>
        <w:spacing w:line="216" w:lineRule="auto"/>
        <w:rPr>
          <w:rFonts w:ascii="Cambria Math" w:eastAsiaTheme="minorEastAsia" w:hAnsi="Cambria Math"/>
          <w:noProof/>
          <w:sz w:val="23"/>
          <w:szCs w:val="23"/>
          <w:rtl/>
        </w:rPr>
      </w:pPr>
      <w:r w:rsidRPr="00A309A0">
        <w:rPr>
          <w:rFonts w:ascii="Cambria Math" w:eastAsiaTheme="minorEastAsia" w:hAnsi="Cambria Math"/>
          <w:noProof/>
          <w:sz w:val="23"/>
          <w:szCs w:val="23"/>
          <w:rtl/>
        </w:rPr>
        <w:t>و یا</w:t>
      </w:r>
    </w:p>
    <w:p w14:paraId="7F3CFEF2" w14:textId="77777777" w:rsidR="00411620" w:rsidRPr="00A309A0" w:rsidRDefault="00411620" w:rsidP="00411620">
      <w:pPr>
        <w:pStyle w:val="MTDisplayEquation"/>
        <w:tabs>
          <w:tab w:val="clear" w:pos="6660"/>
          <w:tab w:val="right" w:pos="7087"/>
        </w:tabs>
        <w:spacing w:line="216" w:lineRule="auto"/>
        <w:rPr>
          <w:rFonts w:ascii="Cambria Math" w:eastAsiaTheme="minorEastAsia" w:hAnsi="Cambria Math" w:cs="B Nazanin"/>
          <w:noProof/>
          <w:sz w:val="23"/>
          <w:szCs w:val="23"/>
          <w:lang w:bidi="fa-IR"/>
        </w:rPr>
      </w:pPr>
      <w:r w:rsidRPr="00B92922">
        <w:rPr>
          <w:position w:val="-36"/>
        </w:rPr>
        <w:object w:dxaOrig="5380" w:dyaOrig="820" w14:anchorId="6A431C91">
          <v:shape id="_x0000_i1293" type="#_x0000_t75" style="width:268.65pt;height:41.15pt" o:ole="">
            <v:imagedata r:id="rId558" o:title=""/>
          </v:shape>
          <o:OLEObject Type="Embed" ProgID="Equation.DSMT4" ShapeID="_x0000_i1293" DrawAspect="Content" ObjectID="_1791375237" r:id="rId559"/>
        </w:object>
      </w:r>
    </w:p>
    <w:p w14:paraId="620D749C" w14:textId="77777777" w:rsidR="00411620" w:rsidRPr="00A309A0" w:rsidRDefault="00411620" w:rsidP="00411620">
      <w:pPr>
        <w:pStyle w:val="MTDisplayEquation"/>
        <w:tabs>
          <w:tab w:val="clear" w:pos="6660"/>
          <w:tab w:val="right" w:pos="7087"/>
        </w:tabs>
        <w:spacing w:line="216" w:lineRule="auto"/>
        <w:rPr>
          <w:rFonts w:ascii="Cambria Math" w:eastAsiaTheme="minorEastAsia" w:hAnsi="Cambria Math" w:cs="B Nazanin"/>
          <w:noProof/>
          <w:sz w:val="23"/>
          <w:szCs w:val="23"/>
          <w:rtl/>
          <w:lang w:bidi="fa-IR"/>
        </w:rPr>
      </w:pPr>
      <w:r w:rsidRPr="00B92922">
        <w:rPr>
          <w:position w:val="-34"/>
        </w:rPr>
        <w:object w:dxaOrig="4740" w:dyaOrig="780" w14:anchorId="2BABD7BE">
          <v:shape id="_x0000_i1294" type="#_x0000_t75" style="width:236.55pt;height:38.7pt" o:ole="">
            <v:imagedata r:id="rId560" o:title=""/>
          </v:shape>
          <o:OLEObject Type="Embed" ProgID="Equation.DSMT4" ShapeID="_x0000_i1294" DrawAspect="Content" ObjectID="_1791375238" r:id="rId561"/>
        </w:object>
      </w:r>
    </w:p>
    <w:p w14:paraId="393F77B0" w14:textId="77777777" w:rsidR="00411620" w:rsidRPr="00A309A0" w:rsidRDefault="00411620" w:rsidP="00411620">
      <w:pPr>
        <w:tabs>
          <w:tab w:val="right" w:pos="7087"/>
        </w:tabs>
        <w:spacing w:line="216" w:lineRule="auto"/>
        <w:rPr>
          <w:rFonts w:ascii="Cambria Math" w:hAnsi="Cambria Math"/>
          <w:noProof/>
          <w:sz w:val="23"/>
          <w:szCs w:val="23"/>
          <w:rtl/>
        </w:rPr>
      </w:pPr>
      <w:r w:rsidRPr="00A309A0">
        <w:rPr>
          <w:rFonts w:ascii="Cambria Math" w:hAnsi="Cambria Math"/>
          <w:noProof/>
          <w:sz w:val="23"/>
          <w:szCs w:val="23"/>
          <w:rtl/>
        </w:rPr>
        <w:lastRenderedPageBreak/>
        <w:t>با جایگزاری رابطه</w:t>
      </w:r>
      <w:r w:rsidRPr="00A309A0">
        <w:rPr>
          <w:rFonts w:ascii="Cambria Math" w:hAnsi="Cambria Math"/>
          <w:noProof/>
          <w:sz w:val="23"/>
          <w:szCs w:val="23"/>
          <w:rtl/>
        </w:rPr>
        <w:softHyphen/>
        <w:t xml:space="preserve">ی </w:t>
      </w:r>
      <w:r w:rsidRPr="00A309A0">
        <w:rPr>
          <w:rFonts w:ascii="Cambria Math" w:hAnsi="Cambria Math" w:hint="cs"/>
          <w:sz w:val="23"/>
          <w:szCs w:val="23"/>
          <w:rtl/>
        </w:rPr>
        <w:t>(۲. ۲۳)</w:t>
      </w:r>
      <w:r w:rsidRPr="00A309A0">
        <w:rPr>
          <w:rFonts w:ascii="Cambria Math" w:hAnsi="Cambria Math"/>
          <w:noProof/>
          <w:sz w:val="23"/>
          <w:szCs w:val="23"/>
          <w:rtl/>
        </w:rPr>
        <w:t xml:space="preserve"> در رابطه</w:t>
      </w:r>
      <w:r w:rsidRPr="00A309A0">
        <w:rPr>
          <w:rFonts w:ascii="Cambria Math" w:hAnsi="Cambria Math"/>
          <w:noProof/>
          <w:sz w:val="23"/>
          <w:szCs w:val="23"/>
          <w:rtl/>
        </w:rPr>
        <w:softHyphen/>
        <w:t>ی فوق خواهیم داشت؛</w:t>
      </w:r>
    </w:p>
    <w:p w14:paraId="52DF6DCF" w14:textId="77777777" w:rsidR="00411620" w:rsidRPr="00A309A0" w:rsidRDefault="00411620" w:rsidP="00411620">
      <w:pPr>
        <w:bidi w:val="0"/>
        <w:spacing w:line="216" w:lineRule="auto"/>
        <w:jc w:val="left"/>
        <w:rPr>
          <w:rFonts w:ascii="Cambria Math" w:hAnsi="Cambria Math"/>
          <w:noProof/>
          <w:sz w:val="23"/>
          <w:szCs w:val="23"/>
          <w:rtl/>
        </w:rPr>
      </w:pPr>
      <w:r w:rsidRPr="00B92922">
        <w:rPr>
          <w:position w:val="-36"/>
        </w:rPr>
        <w:object w:dxaOrig="6660" w:dyaOrig="820" w14:anchorId="7A807188">
          <v:shape id="_x0000_i1295" type="#_x0000_t75" style="width:307.35pt;height:41.15pt" o:ole="">
            <v:imagedata r:id="rId562" o:title=""/>
          </v:shape>
          <o:OLEObject Type="Embed" ProgID="Equation.DSMT4" ShapeID="_x0000_i1295" DrawAspect="Content" ObjectID="_1791375239" r:id="rId563"/>
        </w:object>
      </w:r>
      <w:r w:rsidRPr="00A309A0">
        <w:rPr>
          <w:sz w:val="23"/>
          <w:szCs w:val="23"/>
          <w:rtl/>
        </w:rPr>
        <w:tab/>
      </w:r>
      <w:r w:rsidRPr="00A309A0">
        <w:rPr>
          <w:rFonts w:ascii="Cambria Math" w:hAnsi="Cambria Math" w:hint="cs"/>
          <w:sz w:val="23"/>
          <w:szCs w:val="23"/>
          <w:rtl/>
        </w:rPr>
        <w:t>(۲. ۲۴)</w:t>
      </w:r>
    </w:p>
    <w:p w14:paraId="608473FE" w14:textId="77777777" w:rsidR="00411620" w:rsidRPr="00A309A0" w:rsidRDefault="00411620" w:rsidP="00411620">
      <w:pPr>
        <w:pStyle w:val="MTDisplayEquation"/>
        <w:tabs>
          <w:tab w:val="clear" w:pos="6660"/>
        </w:tabs>
        <w:bidi/>
        <w:spacing w:line="216" w:lineRule="auto"/>
        <w:jc w:val="left"/>
        <w:rPr>
          <w:rFonts w:ascii="Cambria Math" w:hAnsi="Cambria Math" w:cs="B Nazanin"/>
          <w:noProof/>
          <w:sz w:val="23"/>
          <w:szCs w:val="23"/>
          <w:rtl/>
        </w:rPr>
      </w:pPr>
      <w:r w:rsidRPr="00A309A0">
        <w:rPr>
          <w:rFonts w:ascii="Cambria Math" w:hAnsi="Cambria Math" w:cs="B Nazanin"/>
          <w:noProof/>
          <w:sz w:val="23"/>
          <w:szCs w:val="23"/>
          <w:rtl/>
        </w:rPr>
        <w:t xml:space="preserve">معادلات </w:t>
      </w:r>
      <w:r w:rsidRPr="00A309A0">
        <w:rPr>
          <w:rFonts w:ascii="Cambria Math" w:hAnsi="Cambria Math" w:cs="B Nazanin" w:hint="cs"/>
          <w:sz w:val="23"/>
          <w:szCs w:val="23"/>
          <w:rtl/>
        </w:rPr>
        <w:t>(۲. ۲۳)</w:t>
      </w:r>
      <w:r w:rsidRPr="00A309A0">
        <w:rPr>
          <w:rFonts w:ascii="Cambria Math" w:hAnsi="Cambria Math" w:cs="B Nazanin"/>
          <w:noProof/>
          <w:sz w:val="23"/>
          <w:szCs w:val="23"/>
          <w:rtl/>
        </w:rPr>
        <w:t xml:space="preserve"> و</w:t>
      </w:r>
      <w:r w:rsidRPr="00A309A0">
        <w:rPr>
          <w:rFonts w:ascii="Cambria Math" w:hAnsi="Cambria Math" w:cs="B Nazanin" w:hint="cs"/>
          <w:noProof/>
          <w:sz w:val="23"/>
          <w:szCs w:val="23"/>
          <w:rtl/>
        </w:rPr>
        <w:t xml:space="preserve"> (۲. ۲۴) </w:t>
      </w:r>
      <w:r w:rsidRPr="00A309A0">
        <w:rPr>
          <w:rFonts w:ascii="Cambria Math" w:hAnsi="Cambria Math" w:cs="B Nazanin"/>
          <w:noProof/>
          <w:sz w:val="23"/>
          <w:szCs w:val="23"/>
          <w:rtl/>
        </w:rPr>
        <w:t>را می</w:t>
      </w:r>
      <w:r w:rsidRPr="00A309A0">
        <w:rPr>
          <w:rFonts w:ascii="Cambria Math" w:hAnsi="Cambria Math" w:cs="B Nazanin"/>
          <w:noProof/>
          <w:sz w:val="23"/>
          <w:szCs w:val="23"/>
          <w:rtl/>
        </w:rPr>
        <w:softHyphen/>
        <w:t xml:space="preserve">توان به صورت ماتریس انحراف از مقادیر تعادلی بلندمدت نیز نوشت. </w:t>
      </w:r>
      <w:r w:rsidRPr="00A309A0">
        <w:rPr>
          <w:rFonts w:ascii="Cambria Math" w:hAnsi="Cambria Math" w:cs="B Nazanin" w:hint="cs"/>
          <w:noProof/>
          <w:sz w:val="23"/>
          <w:szCs w:val="23"/>
          <w:rtl/>
        </w:rPr>
        <w:t>ل</w:t>
      </w:r>
      <w:r w:rsidRPr="00A309A0">
        <w:rPr>
          <w:rFonts w:ascii="Cambria Math" w:hAnsi="Cambria Math" w:cs="B Nazanin"/>
          <w:noProof/>
          <w:sz w:val="23"/>
          <w:szCs w:val="23"/>
          <w:rtl/>
        </w:rPr>
        <w:t>ذا</w:t>
      </w:r>
    </w:p>
    <w:p w14:paraId="5462B04A" w14:textId="77777777" w:rsidR="00411620" w:rsidRPr="00A309A0" w:rsidRDefault="00411620" w:rsidP="00411620">
      <w:pPr>
        <w:pStyle w:val="MTDisplayEquation"/>
        <w:spacing w:line="216" w:lineRule="auto"/>
        <w:jc w:val="left"/>
        <w:rPr>
          <w:rFonts w:ascii="Cambria Math" w:hAnsi="Cambria Math" w:cs="B Nazanin"/>
          <w:noProof/>
          <w:sz w:val="23"/>
          <w:szCs w:val="23"/>
          <w:rtl/>
        </w:rPr>
      </w:pPr>
      <w:r w:rsidRPr="00B92922">
        <w:rPr>
          <w:position w:val="-52"/>
        </w:rPr>
        <w:object w:dxaOrig="6000" w:dyaOrig="1140" w14:anchorId="2C90629F">
          <v:shape id="_x0000_i1296" type="#_x0000_t75" style="width:300.1pt;height:57.5pt" o:ole="">
            <v:imagedata r:id="rId564" o:title=""/>
          </v:shape>
          <o:OLEObject Type="Embed" ProgID="Equation.DSMT4" ShapeID="_x0000_i1296" DrawAspect="Content" ObjectID="_1791375240" r:id="rId565"/>
        </w:object>
      </w:r>
    </w:p>
    <w:p w14:paraId="6911D8A1"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 xml:space="preserve">و یا </w:t>
      </w:r>
    </w:p>
    <w:p w14:paraId="6CB078D8" w14:textId="77777777" w:rsidR="00411620" w:rsidRPr="00A309A0" w:rsidRDefault="00411620" w:rsidP="00411620">
      <w:pPr>
        <w:pStyle w:val="MTDisplayEquation"/>
        <w:spacing w:line="216" w:lineRule="auto"/>
        <w:rPr>
          <w:rFonts w:ascii="Cambria Math" w:hAnsi="Cambria Math" w:cs="B Nazanin"/>
          <w:noProof/>
          <w:sz w:val="23"/>
          <w:szCs w:val="23"/>
          <w:lang w:val="en-GB" w:bidi="fa-IR"/>
        </w:rPr>
      </w:pPr>
      <w:r w:rsidRPr="00B92922">
        <w:rPr>
          <w:position w:val="-12"/>
        </w:rPr>
        <w:object w:dxaOrig="3240" w:dyaOrig="360" w14:anchorId="3A243D1D">
          <v:shape id="_x0000_i1297" type="#_x0000_t75" style="width:162.15pt;height:18.15pt" o:ole="">
            <v:imagedata r:id="rId566" o:title=""/>
          </v:shape>
          <o:OLEObject Type="Embed" ProgID="Equation.DSMT4" ShapeID="_x0000_i1297" DrawAspect="Content" ObjectID="_1791375241" r:id="rId567"/>
        </w:object>
      </w:r>
    </w:p>
    <w:p w14:paraId="4918E6F0" w14:textId="77777777" w:rsidR="00411620" w:rsidRPr="00A309A0" w:rsidRDefault="00411620" w:rsidP="00411620">
      <w:pPr>
        <w:spacing w:line="216" w:lineRule="auto"/>
        <w:rPr>
          <w:rFonts w:ascii="Cambria Math" w:eastAsiaTheme="minorEastAsia" w:hAnsi="Cambria Math"/>
          <w:noProof/>
          <w:sz w:val="23"/>
          <w:szCs w:val="23"/>
          <w:rtl/>
          <w:lang w:val="en-GB"/>
        </w:rPr>
      </w:pPr>
      <w:r w:rsidRPr="00A309A0">
        <w:rPr>
          <w:rFonts w:ascii="Cambria Math" w:hAnsi="Cambria Math"/>
          <w:noProof/>
          <w:sz w:val="23"/>
          <w:szCs w:val="23"/>
          <w:rtl/>
        </w:rPr>
        <w:t>که در آن</w:t>
      </w:r>
      <w:r w:rsidRPr="00025957">
        <w:rPr>
          <w:position w:val="-4"/>
        </w:rPr>
        <w:object w:dxaOrig="220" w:dyaOrig="240" w14:anchorId="1B4942BA">
          <v:shape id="_x0000_i1298" type="#_x0000_t75" style="width:10.9pt;height:12.1pt" o:ole="">
            <v:imagedata r:id="rId568" o:title=""/>
          </v:shape>
          <o:OLEObject Type="Embed" ProgID="Equation.DSMT4" ShapeID="_x0000_i1298" DrawAspect="Content" ObjectID="_1791375242" r:id="rId569"/>
        </w:object>
      </w:r>
      <w:r w:rsidRPr="00A309A0">
        <w:rPr>
          <w:rFonts w:ascii="Cambria Math" w:eastAsiaTheme="minorEastAsia" w:hAnsi="Cambria Math"/>
          <w:noProof/>
          <w:sz w:val="23"/>
          <w:szCs w:val="23"/>
          <w:rtl/>
          <w:lang w:val="en-GB"/>
        </w:rPr>
        <w:t xml:space="preserve"> اپراتور با وقفه است و بردار</w:t>
      </w:r>
      <w:r w:rsidRPr="00B92922">
        <w:rPr>
          <w:position w:val="-10"/>
        </w:rPr>
        <w:object w:dxaOrig="240" w:dyaOrig="320" w14:anchorId="64918E18">
          <v:shape id="_x0000_i1299" type="#_x0000_t75" style="width:12.1pt;height:15.75pt" o:ole="">
            <v:imagedata r:id="rId570" o:title=""/>
          </v:shape>
          <o:OLEObject Type="Embed" ProgID="Equation.DSMT4" ShapeID="_x0000_i1299" DrawAspect="Content" ObjectID="_1791375243" r:id="rId571"/>
        </w:object>
      </w:r>
      <w:r w:rsidRPr="00A309A0">
        <w:rPr>
          <w:rFonts w:ascii="Cambria Math" w:hAnsi="Cambria Math" w:hint="cs"/>
          <w:sz w:val="23"/>
          <w:szCs w:val="23"/>
          <w:rtl/>
        </w:rPr>
        <w:t xml:space="preserve"> </w:t>
      </w:r>
      <w:r w:rsidRPr="00A309A0">
        <w:rPr>
          <w:rFonts w:ascii="Cambria Math" w:eastAsiaTheme="minorEastAsia" w:hAnsi="Cambria Math"/>
          <w:noProof/>
          <w:sz w:val="23"/>
          <w:szCs w:val="23"/>
          <w:rtl/>
          <w:lang w:val="en-GB"/>
        </w:rPr>
        <w:t>و ماتری</w:t>
      </w:r>
      <w:r w:rsidRPr="00A309A0">
        <w:rPr>
          <w:rFonts w:ascii="Cambria Math" w:eastAsiaTheme="minorEastAsia" w:hAnsi="Cambria Math" w:hint="cs"/>
          <w:noProof/>
          <w:sz w:val="23"/>
          <w:szCs w:val="23"/>
          <w:rtl/>
          <w:lang w:val="en-GB"/>
        </w:rPr>
        <w:t>س</w:t>
      </w:r>
      <w:r w:rsidRPr="00025957">
        <w:rPr>
          <w:position w:val="-4"/>
        </w:rPr>
        <w:object w:dxaOrig="240" w:dyaOrig="240" w14:anchorId="3F051539">
          <v:shape id="_x0000_i1300" type="#_x0000_t75" style="width:12.1pt;height:12.1pt" o:ole="">
            <v:imagedata r:id="rId572" o:title=""/>
          </v:shape>
          <o:OLEObject Type="Embed" ProgID="Equation.DSMT4" ShapeID="_x0000_i1300" DrawAspect="Content" ObjectID="_1791375244" r:id="rId573"/>
        </w:object>
      </w:r>
      <w:r w:rsidRPr="00A309A0">
        <w:rPr>
          <w:rFonts w:ascii="Cambria Math" w:eastAsiaTheme="minorEastAsia" w:hAnsi="Cambria Math"/>
          <w:noProof/>
          <w:sz w:val="23"/>
          <w:szCs w:val="23"/>
          <w:rtl/>
          <w:lang w:val="en-GB"/>
        </w:rPr>
        <w:t xml:space="preserve"> به ترتیب عبارتند از:</w:t>
      </w:r>
    </w:p>
    <w:p w14:paraId="5B605163" w14:textId="77777777" w:rsidR="00411620" w:rsidRPr="00A309A0" w:rsidRDefault="00411620" w:rsidP="00411620">
      <w:pPr>
        <w:spacing w:line="216" w:lineRule="auto"/>
        <w:rPr>
          <w:rFonts w:ascii="Cambria Math" w:eastAsiaTheme="minorEastAsia" w:hAnsi="Cambria Math"/>
          <w:noProof/>
          <w:sz w:val="23"/>
          <w:szCs w:val="23"/>
          <w:rtl/>
          <w:lang w:val="en-GB"/>
        </w:rPr>
      </w:pPr>
    </w:p>
    <w:p w14:paraId="191F38C1" w14:textId="77777777" w:rsidR="00411620" w:rsidRPr="00A309A0" w:rsidRDefault="00411620" w:rsidP="00411620">
      <w:pPr>
        <w:pStyle w:val="MTDisplayEquation"/>
        <w:spacing w:line="216" w:lineRule="auto"/>
        <w:rPr>
          <w:rFonts w:ascii="Cambria Math" w:hAnsi="Cambria Math" w:cs="B Nazanin"/>
          <w:noProof/>
          <w:sz w:val="23"/>
          <w:szCs w:val="23"/>
          <w:rtl/>
          <w:lang w:val="en-GB" w:bidi="fa-IR"/>
        </w:rPr>
      </w:pPr>
      <w:r w:rsidRPr="00B92922">
        <w:rPr>
          <w:position w:val="-52"/>
        </w:rPr>
        <w:object w:dxaOrig="6160" w:dyaOrig="1140" w14:anchorId="410BF1C4">
          <v:shape id="_x0000_i1301" type="#_x0000_t75" style="width:307.95pt;height:57.5pt" o:ole="">
            <v:imagedata r:id="rId574" o:title=""/>
          </v:shape>
          <o:OLEObject Type="Embed" ProgID="Equation.DSMT4" ShapeID="_x0000_i1301" DrawAspect="Content" ObjectID="_1791375245" r:id="rId575"/>
        </w:object>
      </w:r>
    </w:p>
    <w:p w14:paraId="5DD10C45" w14:textId="77777777" w:rsidR="00411620" w:rsidRPr="00A309A0" w:rsidRDefault="00411620" w:rsidP="00411620">
      <w:pPr>
        <w:spacing w:line="216" w:lineRule="auto"/>
        <w:rPr>
          <w:rFonts w:ascii="Cambria Math" w:hAnsi="Cambria Math"/>
          <w:noProof/>
          <w:sz w:val="23"/>
          <w:szCs w:val="23"/>
          <w:rtl/>
        </w:rPr>
      </w:pPr>
    </w:p>
    <w:p w14:paraId="37D089D6"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رابطه</w:t>
      </w:r>
      <w:r w:rsidRPr="00A309A0">
        <w:rPr>
          <w:rFonts w:ascii="Cambria Math" w:hAnsi="Cambria Math"/>
          <w:noProof/>
          <w:sz w:val="23"/>
          <w:szCs w:val="23"/>
          <w:rtl/>
        </w:rPr>
        <w:softHyphen/>
        <w:t>ی فوق یک معادله</w:t>
      </w:r>
      <w:r w:rsidRPr="00A309A0">
        <w:rPr>
          <w:rFonts w:ascii="Cambria Math" w:hAnsi="Cambria Math"/>
          <w:noProof/>
          <w:sz w:val="23"/>
          <w:szCs w:val="23"/>
          <w:rtl/>
        </w:rPr>
        <w:softHyphen/>
        <w:t>ی خودرگرسیونی برداری مرتبه اول</w:t>
      </w:r>
      <w:r w:rsidRPr="00A309A0">
        <w:rPr>
          <w:rStyle w:val="FootnoteReference"/>
          <w:rFonts w:ascii="Cambria Math" w:eastAsiaTheme="majorEastAsia" w:hAnsi="Cambria Math"/>
          <w:noProof/>
          <w:sz w:val="23"/>
          <w:szCs w:val="23"/>
          <w:rtl/>
        </w:rPr>
        <w:footnoteReference w:id="79"/>
      </w:r>
      <w:r w:rsidRPr="00A309A0">
        <w:rPr>
          <w:rFonts w:ascii="Cambria Math" w:hAnsi="Cambria Math"/>
          <w:noProof/>
          <w:sz w:val="23"/>
          <w:szCs w:val="23"/>
          <w:rtl/>
        </w:rPr>
        <w:t xml:space="preserve"> یا </w:t>
      </w:r>
      <w:r w:rsidRPr="00A309A0">
        <w:rPr>
          <w:rFonts w:ascii="Cambria Math" w:hAnsi="Cambria Math"/>
          <w:noProof/>
          <w:sz w:val="23"/>
          <w:szCs w:val="23"/>
        </w:rPr>
        <w:t>VAR(1)</w:t>
      </w:r>
      <w:r w:rsidRPr="00A309A0">
        <w:rPr>
          <w:rFonts w:ascii="Cambria Math" w:hAnsi="Cambria Math" w:hint="cs"/>
          <w:noProof/>
          <w:sz w:val="23"/>
          <w:szCs w:val="23"/>
          <w:rtl/>
        </w:rPr>
        <w:t xml:space="preserve"> </w:t>
      </w:r>
      <w:r w:rsidRPr="00A309A0">
        <w:rPr>
          <w:rFonts w:ascii="Cambria Math" w:hAnsi="Cambria Math"/>
          <w:noProof/>
          <w:sz w:val="23"/>
          <w:szCs w:val="23"/>
          <w:rtl/>
        </w:rPr>
        <w:t>است. پویایی سیستم فوق بستگی به ریشه</w:t>
      </w:r>
      <w:r w:rsidRPr="00A309A0">
        <w:rPr>
          <w:rFonts w:ascii="Cambria Math" w:hAnsi="Cambria Math"/>
          <w:noProof/>
          <w:sz w:val="23"/>
          <w:szCs w:val="23"/>
          <w:rtl/>
        </w:rPr>
        <w:softHyphen/>
        <w:t>های مشخصه</w:t>
      </w:r>
      <w:r w:rsidRPr="00A309A0">
        <w:rPr>
          <w:rFonts w:ascii="Cambria Math" w:hAnsi="Cambria Math"/>
          <w:noProof/>
          <w:sz w:val="23"/>
          <w:szCs w:val="23"/>
          <w:rtl/>
        </w:rPr>
        <w:softHyphen/>
        <w:t>ی ماتریس</w:t>
      </w:r>
      <w:r w:rsidRPr="00025957">
        <w:rPr>
          <w:position w:val="-4"/>
        </w:rPr>
        <w:object w:dxaOrig="240" w:dyaOrig="240" w14:anchorId="0246BFAD">
          <v:shape id="_x0000_i1302" type="#_x0000_t75" style="width:12.1pt;height:12.1pt" o:ole="">
            <v:imagedata r:id="rId576" o:title=""/>
          </v:shape>
          <o:OLEObject Type="Embed" ProgID="Equation.DSMT4" ShapeID="_x0000_i1302" DrawAspect="Content" ObjectID="_1791375246" r:id="rId577"/>
        </w:object>
      </w:r>
      <w:r w:rsidRPr="00A309A0">
        <w:rPr>
          <w:rFonts w:ascii="Cambria Math" w:hAnsi="Cambria Math"/>
          <w:noProof/>
          <w:sz w:val="23"/>
          <w:szCs w:val="23"/>
          <w:rtl/>
        </w:rPr>
        <w:t xml:space="preserve"> دارد که از دترمینان ماتریس</w:t>
      </w:r>
      <w:r w:rsidRPr="00B92922">
        <w:rPr>
          <w:position w:val="-12"/>
        </w:rPr>
        <w:object w:dxaOrig="1100" w:dyaOrig="360" w14:anchorId="6F3410A8">
          <v:shape id="_x0000_i1303" type="#_x0000_t75" style="width:55.05pt;height:18.15pt" o:ole="">
            <v:imagedata r:id="rId578" o:title=""/>
          </v:shape>
          <o:OLEObject Type="Embed" ProgID="Equation.DSMT4" ShapeID="_x0000_i1303" DrawAspect="Content" ObjectID="_1791375247" r:id="rId579"/>
        </w:object>
      </w:r>
      <w:r w:rsidRPr="00A309A0">
        <w:rPr>
          <w:rFonts w:ascii="Cambria Math" w:eastAsiaTheme="minorEastAsia" w:hAnsi="Cambria Math"/>
          <w:noProof/>
          <w:sz w:val="23"/>
          <w:szCs w:val="23"/>
          <w:rtl/>
        </w:rPr>
        <w:t xml:space="preserve"> بدست می</w:t>
      </w:r>
      <w:r w:rsidRPr="00A309A0">
        <w:rPr>
          <w:rFonts w:ascii="Cambria Math" w:eastAsiaTheme="minorEastAsia" w:hAnsi="Cambria Math"/>
          <w:noProof/>
          <w:sz w:val="23"/>
          <w:szCs w:val="23"/>
          <w:rtl/>
        </w:rPr>
        <w:softHyphen/>
        <w:t xml:space="preserve">آید. </w:t>
      </w:r>
      <w:r w:rsidRPr="00A309A0">
        <w:rPr>
          <w:rFonts w:ascii="Cambria Math" w:hAnsi="Cambria Math"/>
          <w:noProof/>
          <w:sz w:val="23"/>
          <w:szCs w:val="23"/>
          <w:rtl/>
        </w:rPr>
        <w:t xml:space="preserve">و یا، </w:t>
      </w:r>
    </w:p>
    <w:p w14:paraId="56449741"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lang w:bidi="fa-IR"/>
        </w:rPr>
      </w:pPr>
      <w:r w:rsidRPr="00B92922">
        <w:rPr>
          <w:position w:val="-12"/>
        </w:rPr>
        <w:object w:dxaOrig="4480" w:dyaOrig="360" w14:anchorId="3B7001CF">
          <v:shape id="_x0000_i1304" type="#_x0000_t75" style="width:223.85pt;height:18.15pt" o:ole="">
            <v:imagedata r:id="rId580" o:title=""/>
          </v:shape>
          <o:OLEObject Type="Embed" ProgID="Equation.DSMT4" ShapeID="_x0000_i1304" DrawAspect="Content" ObjectID="_1791375248" r:id="rId581"/>
        </w:object>
      </w:r>
    </w:p>
    <w:p w14:paraId="206B8184"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lang w:bidi="fa-IR"/>
        </w:rPr>
      </w:pPr>
      <w:r w:rsidRPr="00B92922">
        <w:rPr>
          <w:position w:val="-12"/>
        </w:rPr>
        <w:object w:dxaOrig="3379" w:dyaOrig="360" w14:anchorId="530227A8">
          <v:shape id="_x0000_i1305" type="#_x0000_t75" style="width:169.4pt;height:18.15pt" o:ole="">
            <v:imagedata r:id="rId582" o:title=""/>
          </v:shape>
          <o:OLEObject Type="Embed" ProgID="Equation.DSMT4" ShapeID="_x0000_i1305" DrawAspect="Content" ObjectID="_1791375249" r:id="rId583"/>
        </w:object>
      </w:r>
    </w:p>
    <w:p w14:paraId="575463D1" w14:textId="77777777" w:rsidR="00411620" w:rsidRPr="00A309A0" w:rsidRDefault="00411620" w:rsidP="00411620">
      <w:pPr>
        <w:spacing w:line="216" w:lineRule="auto"/>
        <w:rPr>
          <w:rFonts w:ascii="Cambria Math" w:eastAsiaTheme="minorEastAsia" w:hAnsi="Cambria Math"/>
          <w:noProof/>
          <w:sz w:val="23"/>
          <w:szCs w:val="23"/>
          <w:rtl/>
        </w:rPr>
      </w:pPr>
      <w:r w:rsidRPr="00A309A0">
        <w:rPr>
          <w:rFonts w:ascii="Cambria Math" w:eastAsiaTheme="minorEastAsia" w:hAnsi="Cambria Math"/>
          <w:noProof/>
          <w:sz w:val="23"/>
          <w:szCs w:val="23"/>
          <w:rtl/>
        </w:rPr>
        <w:t>بنابراین</w:t>
      </w:r>
    </w:p>
    <w:p w14:paraId="5B8631F9" w14:textId="77777777" w:rsidR="00411620" w:rsidRPr="00A309A0" w:rsidRDefault="00411620" w:rsidP="00411620">
      <w:pPr>
        <w:spacing w:line="216" w:lineRule="auto"/>
        <w:rPr>
          <w:rFonts w:ascii="Cambria Math" w:eastAsiaTheme="minorEastAsia" w:hAnsi="Cambria Math"/>
          <w:noProof/>
          <w:sz w:val="23"/>
          <w:szCs w:val="23"/>
          <w:rtl/>
        </w:rPr>
      </w:pPr>
    </w:p>
    <w:p w14:paraId="4638109F"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lang w:bidi="fa-IR"/>
        </w:rPr>
      </w:pPr>
      <w:r w:rsidRPr="00B92922">
        <w:rPr>
          <w:position w:val="-22"/>
        </w:rPr>
        <w:object w:dxaOrig="3519" w:dyaOrig="800" w14:anchorId="14B8407C">
          <v:shape id="_x0000_i1306" type="#_x0000_t75" style="width:175.45pt;height:40.55pt" o:ole="">
            <v:imagedata r:id="rId584" o:title=""/>
          </v:shape>
          <o:OLEObject Type="Embed" ProgID="Equation.DSMT4" ShapeID="_x0000_i1306" DrawAspect="Content" ObjectID="_1791375250" r:id="rId585"/>
        </w:object>
      </w:r>
    </w:p>
    <w:p w14:paraId="6FE28491" w14:textId="77777777" w:rsidR="00411620" w:rsidRPr="00A309A0" w:rsidRDefault="00411620" w:rsidP="00411620">
      <w:pPr>
        <w:pStyle w:val="MTDisplayEquation"/>
        <w:bidi/>
        <w:spacing w:line="216" w:lineRule="auto"/>
        <w:jc w:val="right"/>
        <w:rPr>
          <w:rFonts w:ascii="Cambria Math" w:eastAsiaTheme="minorEastAsia" w:hAnsi="Cambria Math" w:cs="B Nazanin"/>
          <w:noProof/>
          <w:sz w:val="23"/>
          <w:szCs w:val="23"/>
          <w:lang w:bidi="fa-IR"/>
        </w:rPr>
      </w:pPr>
      <w:r w:rsidRPr="00A309A0">
        <w:rPr>
          <w:rFonts w:ascii="Cambria Math" w:hAnsi="Cambria Math" w:cs="B Nazanin"/>
          <w:sz w:val="23"/>
          <w:szCs w:val="23"/>
        </w:rPr>
        <w:lastRenderedPageBreak/>
        <w:tab/>
      </w:r>
      <w:r w:rsidRPr="00B92922">
        <w:rPr>
          <w:position w:val="-22"/>
        </w:rPr>
        <w:object w:dxaOrig="5020" w:dyaOrig="1080" w14:anchorId="7B8E9076">
          <v:shape id="_x0000_i1307" type="#_x0000_t75" style="width:251.1pt;height:53.85pt" o:ole="">
            <v:imagedata r:id="rId586" o:title=""/>
          </v:shape>
          <o:OLEObject Type="Embed" ProgID="Equation.DSMT4" ShapeID="_x0000_i1307" DrawAspect="Content" ObjectID="_1791375251" r:id="rId587"/>
        </w:object>
      </w:r>
      <w:r w:rsidRPr="00A309A0">
        <w:rPr>
          <w:rFonts w:ascii="Cambria Math" w:hAnsi="Cambria Math" w:cs="B Nazanin"/>
          <w:sz w:val="23"/>
          <w:szCs w:val="23"/>
        </w:rPr>
        <w:tab/>
      </w:r>
      <w:r w:rsidRPr="00B92922">
        <w:rPr>
          <w:position w:val="-22"/>
        </w:rPr>
        <w:object w:dxaOrig="6700" w:dyaOrig="1080" w14:anchorId="274900A5">
          <v:shape id="_x0000_i1308" type="#_x0000_t75" style="width:335.2pt;height:59.3pt" o:ole="">
            <v:imagedata r:id="rId588" o:title=""/>
          </v:shape>
          <o:OLEObject Type="Embed" ProgID="Equation.DSMT4" ShapeID="_x0000_i1308" DrawAspect="Content" ObjectID="_1791375252" r:id="rId589"/>
        </w:object>
      </w:r>
    </w:p>
    <w:p w14:paraId="6004A297"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lang w:val="en-GB" w:bidi="fa-IR"/>
        </w:rPr>
      </w:pPr>
      <w:r w:rsidRPr="00B92922">
        <w:rPr>
          <w:position w:val="-64"/>
        </w:rPr>
        <w:object w:dxaOrig="2960" w:dyaOrig="1400" w14:anchorId="36AA847F">
          <v:shape id="_x0000_i1309" type="#_x0000_t75" style="width:147.65pt;height:83.5pt" o:ole="">
            <v:imagedata r:id="rId590" o:title=""/>
          </v:shape>
          <o:OLEObject Type="Embed" ProgID="Equation.DSMT4" ShapeID="_x0000_i1309" DrawAspect="Content" ObjectID="_1791375253" r:id="rId591"/>
        </w:object>
      </w:r>
    </w:p>
    <w:p w14:paraId="2CDE54B2"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rtl/>
          <w:lang w:val="en-GB" w:bidi="fa-IR"/>
        </w:rPr>
      </w:pPr>
      <w:r w:rsidRPr="00B92922">
        <w:rPr>
          <w:position w:val="-108"/>
        </w:rPr>
        <w:object w:dxaOrig="5580" w:dyaOrig="2260" w14:anchorId="46A9CBB6">
          <v:shape id="_x0000_i1310" type="#_x0000_t75" style="width:278.9pt;height:113.15pt" o:ole="">
            <v:imagedata r:id="rId592" o:title=""/>
          </v:shape>
          <o:OLEObject Type="Embed" ProgID="Equation.DSMT4" ShapeID="_x0000_i1310" DrawAspect="Content" ObjectID="_1791375254" r:id="rId593"/>
        </w:object>
      </w:r>
    </w:p>
    <w:p w14:paraId="68640255" w14:textId="77777777" w:rsidR="00411620" w:rsidRPr="00A309A0" w:rsidRDefault="00411620" w:rsidP="00411620">
      <w:pPr>
        <w:pStyle w:val="MTDisplayEquation"/>
        <w:bidi/>
        <w:spacing w:line="216" w:lineRule="auto"/>
        <w:rPr>
          <w:rFonts w:ascii="Cambria Math" w:hAnsi="Cambria Math" w:cs="B Nazanin"/>
          <w:sz w:val="23"/>
          <w:szCs w:val="23"/>
        </w:rPr>
      </w:pPr>
      <w:r w:rsidRPr="00A309A0">
        <w:rPr>
          <w:rFonts w:ascii="Cambria Math" w:hAnsi="Cambria Math" w:cs="B Nazanin"/>
          <w:sz w:val="23"/>
          <w:szCs w:val="23"/>
        </w:rPr>
        <w:tab/>
      </w:r>
    </w:p>
    <w:p w14:paraId="5FBA76A1" w14:textId="77777777" w:rsidR="00411620" w:rsidRPr="00A309A0" w:rsidRDefault="00411620" w:rsidP="00411620">
      <w:pPr>
        <w:pStyle w:val="MTDisplayEquation"/>
        <w:bidi/>
        <w:spacing w:line="216" w:lineRule="auto"/>
        <w:rPr>
          <w:rFonts w:ascii="Cambria Math" w:hAnsi="Cambria Math" w:cs="B Nazanin"/>
          <w:noProof/>
          <w:sz w:val="23"/>
          <w:szCs w:val="23"/>
          <w:lang w:bidi="fa-IR"/>
        </w:rPr>
      </w:pPr>
      <w:r w:rsidRPr="00A309A0">
        <w:rPr>
          <w:rFonts w:ascii="Cambria Math" w:hAnsi="Cambria Math" w:cs="B Nazanin"/>
          <w:sz w:val="23"/>
          <w:szCs w:val="23"/>
          <w:rtl/>
          <w:lang w:bidi="fa-IR"/>
        </w:rPr>
        <w:t>اگر سیستم پویای فوق دارای مسیر زینی یا حا</w:t>
      </w:r>
      <w:r w:rsidRPr="00A309A0">
        <w:rPr>
          <w:rFonts w:ascii="Cambria Math" w:hAnsi="Cambria Math" w:cs="B Nazanin" w:hint="cs"/>
          <w:sz w:val="23"/>
          <w:szCs w:val="23"/>
          <w:rtl/>
          <w:lang w:bidi="fa-IR"/>
        </w:rPr>
        <w:t>ئ</w:t>
      </w:r>
      <w:r w:rsidRPr="00A309A0">
        <w:rPr>
          <w:rFonts w:ascii="Cambria Math" w:hAnsi="Cambria Math" w:cs="B Nazanin"/>
          <w:sz w:val="23"/>
          <w:szCs w:val="23"/>
          <w:rtl/>
          <w:lang w:bidi="fa-IR"/>
        </w:rPr>
        <w:t>ل باشد، آنگاه یکی از ریشه</w:t>
      </w:r>
      <w:r w:rsidRPr="00A309A0">
        <w:rPr>
          <w:rFonts w:ascii="Cambria Math" w:hAnsi="Cambria Math" w:cs="B Nazanin"/>
          <w:sz w:val="23"/>
          <w:szCs w:val="23"/>
          <w:rtl/>
          <w:lang w:bidi="fa-IR"/>
        </w:rPr>
        <w:softHyphen/>
        <w:t>ها، مثلاً</w:t>
      </w:r>
      <w:r w:rsidRPr="00B92922">
        <w:rPr>
          <w:position w:val="-10"/>
        </w:rPr>
        <w:object w:dxaOrig="240" w:dyaOrig="320" w14:anchorId="7AF8DB35">
          <v:shape id="_x0000_i1311" type="#_x0000_t75" style="width:12.1pt;height:15.75pt" o:ole="">
            <v:imagedata r:id="rId594" o:title=""/>
          </v:shape>
          <o:OLEObject Type="Embed" ProgID="Equation.DSMT4" ShapeID="_x0000_i1311" DrawAspect="Content" ObjectID="_1791375255" r:id="rId595"/>
        </w:object>
      </w:r>
      <w:r w:rsidRPr="00A309A0">
        <w:rPr>
          <w:rFonts w:ascii="Cambria Math" w:hAnsi="Cambria Math" w:cs="B Nazanin"/>
          <w:sz w:val="23"/>
          <w:szCs w:val="23"/>
          <w:rtl/>
          <w:lang w:bidi="fa-IR"/>
        </w:rPr>
        <w:t xml:space="preserve"> می</w:t>
      </w:r>
      <w:r w:rsidRPr="00A309A0">
        <w:rPr>
          <w:rFonts w:ascii="Cambria Math" w:hAnsi="Cambria Math" w:cs="B Nazanin"/>
          <w:sz w:val="23"/>
          <w:szCs w:val="23"/>
          <w:rtl/>
          <w:lang w:bidi="fa-IR"/>
        </w:rPr>
        <w:softHyphen/>
        <w:t xml:space="preserve">بایست باثبات باشد و شرط </w:t>
      </w:r>
      <w:r w:rsidRPr="00B92922">
        <w:rPr>
          <w:position w:val="-12"/>
        </w:rPr>
        <w:object w:dxaOrig="639" w:dyaOrig="360" w14:anchorId="37FE7525">
          <v:shape id="_x0000_i1312" type="#_x0000_t75" style="width:31.45pt;height:18.15pt" o:ole="">
            <v:imagedata r:id="rId596" o:title=""/>
          </v:shape>
          <o:OLEObject Type="Embed" ProgID="Equation.DSMT4" ShapeID="_x0000_i1312" DrawAspect="Content" ObjectID="_1791375256" r:id="rId597"/>
        </w:object>
      </w:r>
      <w:r w:rsidRPr="00A309A0">
        <w:rPr>
          <w:rFonts w:ascii="Cambria Math" w:hAnsi="Cambria Math" w:cs="B Nazanin"/>
          <w:sz w:val="23"/>
          <w:szCs w:val="23"/>
          <w:rtl/>
          <w:lang w:bidi="fa-IR"/>
        </w:rPr>
        <w:t xml:space="preserve"> را تأمین کند و ریشه</w:t>
      </w:r>
      <w:r w:rsidRPr="00A309A0">
        <w:rPr>
          <w:rFonts w:ascii="Cambria Math" w:hAnsi="Cambria Math" w:cs="B Nazanin"/>
          <w:sz w:val="23"/>
          <w:szCs w:val="23"/>
          <w:rtl/>
          <w:lang w:bidi="fa-IR"/>
        </w:rPr>
        <w:softHyphen/>
        <w:t>ی دیگر مثلاً</w:t>
      </w:r>
      <w:r w:rsidRPr="00B92922">
        <w:rPr>
          <w:position w:val="-10"/>
        </w:rPr>
        <w:object w:dxaOrig="260" w:dyaOrig="320" w14:anchorId="37E0CDB4">
          <v:shape id="_x0000_i1313" type="#_x0000_t75" style="width:12.7pt;height:15.75pt" o:ole="">
            <v:imagedata r:id="rId598" o:title=""/>
          </v:shape>
          <o:OLEObject Type="Embed" ProgID="Equation.DSMT4" ShapeID="_x0000_i1313" DrawAspect="Content" ObjectID="_1791375257" r:id="rId599"/>
        </w:object>
      </w:r>
      <w:r w:rsidRPr="00A309A0">
        <w:rPr>
          <w:rFonts w:ascii="Cambria Math" w:eastAsiaTheme="minorEastAsia" w:hAnsi="Cambria Math" w:cs="B Nazanin"/>
          <w:sz w:val="23"/>
          <w:szCs w:val="23"/>
          <w:rtl/>
          <w:lang w:bidi="fa-IR"/>
        </w:rPr>
        <w:t xml:space="preserve"> </w:t>
      </w:r>
      <w:r w:rsidRPr="00A309A0">
        <w:rPr>
          <w:rFonts w:ascii="Cambria Math" w:hAnsi="Cambria Math" w:cs="B Nazanin"/>
          <w:sz w:val="23"/>
          <w:szCs w:val="23"/>
          <w:rtl/>
          <w:lang w:bidi="fa-IR"/>
        </w:rPr>
        <w:t>بی</w:t>
      </w:r>
      <w:r w:rsidRPr="00A309A0">
        <w:rPr>
          <w:rFonts w:ascii="Cambria Math" w:hAnsi="Cambria Math" w:cs="B Nazanin"/>
          <w:sz w:val="23"/>
          <w:szCs w:val="23"/>
          <w:rtl/>
          <w:lang w:bidi="fa-IR"/>
        </w:rPr>
        <w:softHyphen/>
        <w:t xml:space="preserve">ثبات بوده و شرط </w:t>
      </w:r>
      <w:r w:rsidRPr="00B92922">
        <w:rPr>
          <w:position w:val="-12"/>
        </w:rPr>
        <w:object w:dxaOrig="660" w:dyaOrig="360" w14:anchorId="4640543F">
          <v:shape id="_x0000_i1314" type="#_x0000_t75" style="width:32.65pt;height:18.15pt" o:ole="">
            <v:imagedata r:id="rId600" o:title=""/>
          </v:shape>
          <o:OLEObject Type="Embed" ProgID="Equation.DSMT4" ShapeID="_x0000_i1314" DrawAspect="Content" ObjectID="_1791375258" r:id="rId601"/>
        </w:object>
      </w:r>
      <w:r w:rsidRPr="00A309A0">
        <w:rPr>
          <w:rFonts w:ascii="Cambria Math" w:hAnsi="Cambria Math" w:cs="B Nazanin"/>
          <w:sz w:val="23"/>
          <w:szCs w:val="23"/>
          <w:rtl/>
          <w:lang w:bidi="fa-IR"/>
        </w:rPr>
        <w:t xml:space="preserve"> را تضمین نماید. از آنجاکه </w:t>
      </w:r>
      <w:r w:rsidRPr="00B92922">
        <w:rPr>
          <w:position w:val="-6"/>
        </w:rPr>
        <w:object w:dxaOrig="1240" w:dyaOrig="260" w14:anchorId="2CECD745">
          <v:shape id="_x0000_i1315" type="#_x0000_t75" style="width:61.7pt;height:12.7pt" o:ole="">
            <v:imagedata r:id="rId602" o:title=""/>
          </v:shape>
          <o:OLEObject Type="Embed" ProgID="Equation.DSMT4" ShapeID="_x0000_i1315" DrawAspect="Content" ObjectID="_1791375259" r:id="rId603"/>
        </w:object>
      </w:r>
      <w:r w:rsidRPr="00A309A0">
        <w:rPr>
          <w:rFonts w:ascii="Cambria Math" w:eastAsiaTheme="minorEastAsia" w:hAnsi="Cambria Math" w:cs="B Nazanin"/>
          <w:sz w:val="23"/>
          <w:szCs w:val="23"/>
          <w:rtl/>
          <w:lang w:bidi="fa-IR"/>
        </w:rPr>
        <w:t xml:space="preserve"> است لذا</w:t>
      </w:r>
      <w:r w:rsidRPr="00A309A0">
        <w:rPr>
          <w:rFonts w:ascii="Cambria Math" w:hAnsi="Cambria Math" w:cs="B Nazanin"/>
          <w:noProof/>
          <w:sz w:val="23"/>
          <w:szCs w:val="23"/>
          <w:rtl/>
          <w:lang w:bidi="fa-IR"/>
        </w:rPr>
        <w:t xml:space="preserve">، </w:t>
      </w:r>
      <w:r w:rsidRPr="00B92922">
        <w:rPr>
          <w:position w:val="-10"/>
        </w:rPr>
        <w:object w:dxaOrig="900" w:dyaOrig="320" w14:anchorId="150B3880">
          <v:shape id="_x0000_i1316" type="#_x0000_t75" style="width:44.75pt;height:15.75pt" o:ole="">
            <v:imagedata r:id="rId604" o:title=""/>
          </v:shape>
          <o:OLEObject Type="Embed" ProgID="Equation.DSMT4" ShapeID="_x0000_i1316" DrawAspect="Content" ObjectID="_1791375260" r:id="rId605"/>
        </w:object>
      </w:r>
      <w:r w:rsidRPr="00A309A0">
        <w:rPr>
          <w:rFonts w:ascii="Cambria Math" w:hAnsi="Cambria Math" w:cs="B Nazanin"/>
          <w:noProof/>
          <w:sz w:val="23"/>
          <w:szCs w:val="23"/>
          <w:rtl/>
          <w:lang w:bidi="fa-IR"/>
        </w:rPr>
        <w:t xml:space="preserve"> و </w:t>
      </w:r>
      <w:r w:rsidRPr="00B92922">
        <w:rPr>
          <w:position w:val="-10"/>
        </w:rPr>
        <w:object w:dxaOrig="580" w:dyaOrig="320" w14:anchorId="6A835672">
          <v:shape id="_x0000_i1317" type="#_x0000_t75" style="width:29.05pt;height:15.75pt" o:ole="">
            <v:imagedata r:id="rId606" o:title=""/>
          </v:shape>
          <o:OLEObject Type="Embed" ProgID="Equation.DSMT4" ShapeID="_x0000_i1317" DrawAspect="Content" ObjectID="_1791375261" r:id="rId607"/>
        </w:object>
      </w:r>
      <w:r w:rsidRPr="00A309A0">
        <w:rPr>
          <w:rFonts w:ascii="Cambria Math" w:hAnsi="Cambria Math" w:cs="B Nazanin"/>
          <w:noProof/>
          <w:sz w:val="23"/>
          <w:szCs w:val="23"/>
          <w:rtl/>
          <w:lang w:bidi="fa-IR"/>
        </w:rPr>
        <w:t xml:space="preserve"> خواهد بود. بنابراین همان</w:t>
      </w:r>
      <w:r w:rsidRPr="00A309A0">
        <w:rPr>
          <w:rFonts w:ascii="Cambria Math" w:hAnsi="Cambria Math" w:cs="B Nazanin"/>
          <w:noProof/>
          <w:sz w:val="23"/>
          <w:szCs w:val="23"/>
          <w:rtl/>
          <w:lang w:bidi="fa-IR"/>
        </w:rPr>
        <w:softHyphen/>
        <w:t xml:space="preserve">طور که در نمودار </w:t>
      </w:r>
      <w:r w:rsidRPr="00A309A0">
        <w:rPr>
          <w:rFonts w:ascii="Cambria Math" w:hAnsi="Cambria Math" w:cs="B Nazanin" w:hint="cs"/>
          <w:noProof/>
          <w:sz w:val="23"/>
          <w:szCs w:val="23"/>
          <w:rtl/>
          <w:lang w:bidi="fa-IR"/>
        </w:rPr>
        <w:t xml:space="preserve">۲. ۱۰ </w:t>
      </w:r>
      <w:r w:rsidRPr="00A309A0">
        <w:rPr>
          <w:rFonts w:ascii="Cambria Math" w:hAnsi="Cambria Math" w:cs="B Nazanin"/>
          <w:noProof/>
          <w:sz w:val="23"/>
          <w:szCs w:val="23"/>
          <w:rtl/>
          <w:lang w:bidi="fa-IR"/>
        </w:rPr>
        <w:t xml:space="preserve">نیز نشان داده شده است </w:t>
      </w:r>
      <w:r w:rsidRPr="00A309A0">
        <w:rPr>
          <w:rFonts w:ascii="Cambria Math" w:hAnsi="Cambria Math" w:cs="B Nazanin" w:hint="cs"/>
          <w:noProof/>
          <w:sz w:val="23"/>
          <w:szCs w:val="23"/>
          <w:rtl/>
          <w:lang w:bidi="fa-IR"/>
        </w:rPr>
        <w:t xml:space="preserve">اگر تابع تولید کاب-داگلاس و تابع مطلوبیت توانی باشد آنگاه </w:t>
      </w:r>
      <w:r w:rsidRPr="00A309A0">
        <w:rPr>
          <w:rFonts w:ascii="Cambria Math" w:hAnsi="Cambria Math" w:cs="B Nazanin"/>
          <w:noProof/>
          <w:sz w:val="23"/>
          <w:szCs w:val="23"/>
          <w:rtl/>
          <w:lang w:bidi="fa-IR"/>
        </w:rPr>
        <w:t xml:space="preserve">پویایی راه حل بهینه دارای مسیر زینی شکل است. یادآور می‌شویم که بر مبنای مثال قبل داریم </w:t>
      </w:r>
    </w:p>
    <w:p w14:paraId="0F65F314" w14:textId="77777777" w:rsidR="00411620" w:rsidRPr="00A309A0" w:rsidRDefault="00411620" w:rsidP="00411620">
      <w:pPr>
        <w:pStyle w:val="MTDisplayEquation"/>
        <w:spacing w:line="216" w:lineRule="auto"/>
        <w:rPr>
          <w:rFonts w:ascii="Cambria Math" w:hAnsi="Cambria Math" w:cs="B Nazanin"/>
          <w:sz w:val="23"/>
          <w:szCs w:val="23"/>
        </w:rPr>
      </w:pPr>
      <w:r w:rsidRPr="00B92922">
        <w:rPr>
          <w:position w:val="-34"/>
        </w:rPr>
        <w:object w:dxaOrig="2940" w:dyaOrig="780" w14:anchorId="4B984C59">
          <v:shape id="_x0000_i1318" type="#_x0000_t75" style="width:146.4pt;height:38.7pt" o:ole="">
            <v:imagedata r:id="rId608" o:title=""/>
          </v:shape>
          <o:OLEObject Type="Embed" ProgID="Equation.DSMT4" ShapeID="_x0000_i1318" DrawAspect="Content" ObjectID="_1791375262" r:id="rId609"/>
        </w:object>
      </w:r>
    </w:p>
    <w:p w14:paraId="552B1204" w14:textId="77777777" w:rsidR="00411620" w:rsidRPr="00A309A0" w:rsidRDefault="00411620" w:rsidP="00411620">
      <w:pPr>
        <w:pStyle w:val="Heading1"/>
        <w:spacing w:before="0" w:after="0" w:line="216" w:lineRule="auto"/>
        <w:rPr>
          <w:rFonts w:ascii="Cambria Math" w:hAnsi="Cambria Math" w:cs="B Nazanin"/>
          <w:noProof/>
          <w:sz w:val="23"/>
          <w:szCs w:val="23"/>
          <w:rtl/>
        </w:rPr>
      </w:pPr>
      <w:r w:rsidRPr="00A309A0">
        <w:rPr>
          <w:rFonts w:ascii="Cambria Math" w:hAnsi="Cambria Math" w:cs="B Nazanin" w:hint="cs"/>
          <w:noProof/>
          <w:sz w:val="23"/>
          <w:szCs w:val="23"/>
          <w:rtl/>
        </w:rPr>
        <w:lastRenderedPageBreak/>
        <w:t>۲. ۵</w:t>
      </w:r>
      <w:r w:rsidRPr="00A309A0">
        <w:rPr>
          <w:rFonts w:ascii="Cambria Math" w:hAnsi="Cambria Math" w:cs="B Nazanin"/>
          <w:noProof/>
          <w:sz w:val="23"/>
          <w:szCs w:val="23"/>
          <w:rtl/>
        </w:rPr>
        <w:t xml:space="preserve"> پویایی</w:t>
      </w:r>
      <w:r w:rsidRPr="00A309A0">
        <w:rPr>
          <w:rFonts w:ascii="Cambria Math" w:hAnsi="Cambria Math" w:cs="B Nazanin"/>
          <w:noProof/>
          <w:sz w:val="23"/>
          <w:szCs w:val="23"/>
        </w:rPr>
        <w:softHyphen/>
      </w:r>
      <w:r w:rsidRPr="00A309A0">
        <w:rPr>
          <w:rFonts w:ascii="Cambria Math" w:hAnsi="Cambria Math" w:cs="B Nazanin"/>
          <w:noProof/>
          <w:sz w:val="23"/>
          <w:szCs w:val="23"/>
          <w:rtl/>
        </w:rPr>
        <w:t xml:space="preserve">های </w:t>
      </w:r>
      <w:r w:rsidRPr="00A309A0">
        <w:rPr>
          <w:rFonts w:ascii="Cambria Math" w:hAnsi="Cambria Math" w:cs="B Nazanin" w:hint="cs"/>
          <w:noProof/>
          <w:sz w:val="23"/>
          <w:szCs w:val="23"/>
          <w:rtl/>
        </w:rPr>
        <w:t>ادوار</w:t>
      </w:r>
      <w:r w:rsidRPr="00A309A0">
        <w:rPr>
          <w:rFonts w:ascii="Cambria Math" w:hAnsi="Cambria Math" w:cs="B Nazanin"/>
          <w:noProof/>
          <w:sz w:val="23"/>
          <w:szCs w:val="23"/>
          <w:rtl/>
        </w:rPr>
        <w:t xml:space="preserve"> تجاری حقیقی </w:t>
      </w:r>
      <w:r w:rsidRPr="00A309A0">
        <w:rPr>
          <w:rStyle w:val="FootnoteReference"/>
          <w:rFonts w:ascii="Cambria Math" w:eastAsiaTheme="majorEastAsia" w:hAnsi="Cambria Math" w:cs="B Nazanin"/>
          <w:noProof/>
          <w:sz w:val="23"/>
          <w:szCs w:val="23"/>
          <w:rtl/>
        </w:rPr>
        <w:footnoteReference w:id="80"/>
      </w:r>
      <w:r w:rsidRPr="00A309A0">
        <w:rPr>
          <w:rFonts w:ascii="Cambria Math" w:hAnsi="Cambria Math" w:cs="B Nazanin"/>
          <w:noProof/>
          <w:sz w:val="23"/>
          <w:szCs w:val="23"/>
          <w:rtl/>
        </w:rPr>
        <w:t xml:space="preserve"> </w:t>
      </w:r>
    </w:p>
    <w:p w14:paraId="705F15CB" w14:textId="77777777" w:rsidR="00411620" w:rsidRDefault="00411620" w:rsidP="00411620">
      <w:pPr>
        <w:spacing w:line="216" w:lineRule="auto"/>
        <w:rPr>
          <w:rFonts w:ascii="Cambria Math" w:hAnsi="Cambria Math"/>
          <w:noProof/>
          <w:sz w:val="23"/>
          <w:szCs w:val="23"/>
        </w:rPr>
      </w:pPr>
      <w:r w:rsidRPr="00A309A0">
        <w:rPr>
          <w:rFonts w:ascii="Cambria Math" w:hAnsi="Cambria Math"/>
          <w:noProof/>
          <w:sz w:val="23"/>
          <w:szCs w:val="23"/>
          <w:rtl/>
        </w:rPr>
        <w:t>بدلیل وجود شوک</w:t>
      </w:r>
      <w:r w:rsidRPr="00A309A0">
        <w:rPr>
          <w:rFonts w:ascii="Cambria Math" w:hAnsi="Cambria Math"/>
          <w:noProof/>
          <w:sz w:val="23"/>
          <w:szCs w:val="23"/>
          <w:rtl/>
        </w:rPr>
        <w:softHyphen/>
        <w:t>های موقت</w:t>
      </w:r>
      <w:r w:rsidRPr="00A309A0">
        <w:rPr>
          <w:rFonts w:ascii="Cambria Math" w:hAnsi="Cambria Math" w:hint="cs"/>
          <w:noProof/>
          <w:sz w:val="23"/>
          <w:szCs w:val="23"/>
          <w:rtl/>
        </w:rPr>
        <w:t>ی</w:t>
      </w:r>
      <w:r w:rsidRPr="00A309A0">
        <w:rPr>
          <w:rFonts w:ascii="Cambria Math" w:hAnsi="Cambria Math"/>
          <w:noProof/>
          <w:sz w:val="23"/>
          <w:szCs w:val="23"/>
          <w:rtl/>
        </w:rPr>
        <w:t xml:space="preserve"> یا دائمی</w:t>
      </w:r>
      <w:r w:rsidRPr="00A309A0">
        <w:rPr>
          <w:rFonts w:ascii="Cambria Math" w:hAnsi="Cambria Math" w:hint="cs"/>
          <w:noProof/>
          <w:sz w:val="23"/>
          <w:szCs w:val="23"/>
          <w:rtl/>
        </w:rPr>
        <w:t>، و</w:t>
      </w:r>
      <w:r w:rsidRPr="00A309A0">
        <w:rPr>
          <w:rFonts w:ascii="Cambria Math" w:hAnsi="Cambria Math"/>
          <w:noProof/>
          <w:sz w:val="23"/>
          <w:szCs w:val="23"/>
          <w:rtl/>
        </w:rPr>
        <w:t xml:space="preserve"> </w:t>
      </w:r>
      <w:r w:rsidRPr="00A309A0">
        <w:rPr>
          <w:rFonts w:ascii="Cambria Math" w:hAnsi="Cambria Math" w:hint="cs"/>
          <w:noProof/>
          <w:sz w:val="23"/>
          <w:szCs w:val="23"/>
          <w:rtl/>
        </w:rPr>
        <w:t>یا شوک</w:t>
      </w:r>
      <w:r w:rsidRPr="00A309A0">
        <w:rPr>
          <w:rFonts w:ascii="Cambria Math" w:hAnsi="Cambria Math"/>
          <w:noProof/>
          <w:sz w:val="23"/>
          <w:szCs w:val="23"/>
          <w:rtl/>
        </w:rPr>
        <w:softHyphen/>
      </w:r>
      <w:r w:rsidRPr="00A309A0">
        <w:rPr>
          <w:rFonts w:ascii="Cambria Math" w:hAnsi="Cambria Math" w:hint="cs"/>
          <w:noProof/>
          <w:sz w:val="23"/>
          <w:szCs w:val="23"/>
          <w:rtl/>
        </w:rPr>
        <w:t xml:space="preserve">های </w:t>
      </w:r>
      <w:r w:rsidRPr="00A309A0">
        <w:rPr>
          <w:rFonts w:ascii="Cambria Math" w:hAnsi="Cambria Math"/>
          <w:noProof/>
          <w:sz w:val="23"/>
          <w:szCs w:val="23"/>
          <w:rtl/>
        </w:rPr>
        <w:t>پیش</w:t>
      </w:r>
      <w:r w:rsidRPr="00A309A0">
        <w:rPr>
          <w:rFonts w:ascii="Cambria Math" w:hAnsi="Cambria Math"/>
          <w:noProof/>
          <w:sz w:val="23"/>
          <w:szCs w:val="23"/>
          <w:rtl/>
        </w:rPr>
        <w:softHyphen/>
        <w:t>بینی شده</w:t>
      </w:r>
      <w:r w:rsidRPr="00A309A0">
        <w:rPr>
          <w:rStyle w:val="FootnoteReference"/>
          <w:rFonts w:ascii="Cambria Math" w:eastAsiaTheme="majorEastAsia" w:hAnsi="Cambria Math"/>
          <w:noProof/>
          <w:sz w:val="23"/>
          <w:szCs w:val="23"/>
          <w:rtl/>
        </w:rPr>
        <w:footnoteReference w:id="81"/>
      </w:r>
      <w:r w:rsidRPr="00A309A0">
        <w:rPr>
          <w:rFonts w:ascii="Cambria Math" w:hAnsi="Cambria Math"/>
          <w:noProof/>
          <w:sz w:val="23"/>
          <w:szCs w:val="23"/>
          <w:rtl/>
        </w:rPr>
        <w:t xml:space="preserve"> یا پیش</w:t>
      </w:r>
      <w:r w:rsidRPr="00A309A0">
        <w:rPr>
          <w:rFonts w:ascii="Cambria Math" w:hAnsi="Cambria Math"/>
          <w:noProof/>
          <w:sz w:val="23"/>
          <w:szCs w:val="23"/>
          <w:rtl/>
        </w:rPr>
        <w:softHyphen/>
        <w:t>بینی نشده</w:t>
      </w:r>
      <w:r w:rsidRPr="00A309A0">
        <w:rPr>
          <w:rStyle w:val="FootnoteReference"/>
          <w:rFonts w:ascii="Cambria Math" w:eastAsiaTheme="majorEastAsia" w:hAnsi="Cambria Math"/>
          <w:noProof/>
          <w:sz w:val="23"/>
          <w:szCs w:val="23"/>
          <w:rtl/>
        </w:rPr>
        <w:footnoteReference w:id="82"/>
      </w:r>
      <w:r w:rsidRPr="00A309A0">
        <w:rPr>
          <w:rFonts w:ascii="Cambria Math" w:hAnsi="Cambria Math"/>
          <w:noProof/>
          <w:sz w:val="23"/>
          <w:szCs w:val="23"/>
          <w:rtl/>
        </w:rPr>
        <w:t xml:space="preserve"> ممکن است متغیرهای اقتصادی از مقادیر تعادلی بلندمدت خود </w:t>
      </w:r>
      <w:r w:rsidRPr="00A309A0">
        <w:rPr>
          <w:rFonts w:ascii="Cambria Math" w:hAnsi="Cambria Math" w:hint="cs"/>
          <w:noProof/>
          <w:sz w:val="23"/>
          <w:szCs w:val="23"/>
          <w:rtl/>
        </w:rPr>
        <w:t>دور شوند</w:t>
      </w:r>
      <w:r w:rsidRPr="00A309A0">
        <w:rPr>
          <w:rFonts w:ascii="Cambria Math" w:hAnsi="Cambria Math"/>
          <w:noProof/>
          <w:sz w:val="23"/>
          <w:szCs w:val="23"/>
          <w:rtl/>
        </w:rPr>
        <w:t>. بسته به نوع شوک، موقعیت تعادلی اقتصاد ممکن است بدون تغییر باقی بماند و یا تغییر کند، و حرکت به سمت مقادیر تعادلی ممکن است آنی و یا آهسته باشد. مسیری که اقتصاد به سمت نقطه</w:t>
      </w:r>
      <w:r w:rsidRPr="00A309A0">
        <w:rPr>
          <w:rFonts w:ascii="Cambria Math" w:hAnsi="Cambria Math"/>
          <w:noProof/>
          <w:sz w:val="23"/>
          <w:szCs w:val="23"/>
          <w:rtl/>
        </w:rPr>
        <w:softHyphen/>
      </w:r>
      <w:r w:rsidRPr="00A309A0">
        <w:rPr>
          <w:rFonts w:ascii="Cambria Math" w:hAnsi="Cambria Math" w:hint="cs"/>
          <w:noProof/>
          <w:sz w:val="23"/>
          <w:szCs w:val="23"/>
          <w:rtl/>
        </w:rPr>
        <w:t>ی</w:t>
      </w:r>
      <w:r w:rsidRPr="00A309A0">
        <w:rPr>
          <w:rFonts w:ascii="Cambria Math" w:hAnsi="Cambria Math"/>
          <w:noProof/>
          <w:sz w:val="23"/>
          <w:szCs w:val="23"/>
          <w:rtl/>
        </w:rPr>
        <w:softHyphen/>
        <w:t xml:space="preserve"> تعادلی جدید حرکت می</w:t>
      </w:r>
      <w:r w:rsidRPr="00A309A0">
        <w:rPr>
          <w:rFonts w:ascii="Cambria Math" w:hAnsi="Cambria Math"/>
          <w:noProof/>
          <w:sz w:val="23"/>
          <w:szCs w:val="23"/>
          <w:rtl/>
        </w:rPr>
        <w:softHyphen/>
        <w:t xml:space="preserve">کند را </w:t>
      </w:r>
      <w:r w:rsidRPr="00A309A0">
        <w:rPr>
          <w:rFonts w:ascii="Cambria Math" w:hAnsi="Cambria Math" w:hint="cs"/>
          <w:noProof/>
          <w:sz w:val="23"/>
          <w:szCs w:val="23"/>
          <w:rtl/>
        </w:rPr>
        <w:t>ادوار یا چرخه</w:t>
      </w:r>
      <w:r w:rsidRPr="00A309A0">
        <w:rPr>
          <w:rFonts w:ascii="Cambria Math" w:hAnsi="Cambria Math"/>
          <w:noProof/>
          <w:sz w:val="23"/>
          <w:szCs w:val="23"/>
          <w:rtl/>
        </w:rPr>
        <w:softHyphen/>
      </w:r>
      <w:r w:rsidRPr="00A309A0">
        <w:rPr>
          <w:rFonts w:ascii="Cambria Math" w:hAnsi="Cambria Math" w:hint="cs"/>
          <w:noProof/>
          <w:sz w:val="23"/>
          <w:szCs w:val="23"/>
          <w:rtl/>
        </w:rPr>
        <w:t xml:space="preserve">ی </w:t>
      </w:r>
      <w:r w:rsidRPr="00A309A0">
        <w:rPr>
          <w:rFonts w:ascii="Cambria Math" w:hAnsi="Cambria Math"/>
          <w:noProof/>
          <w:sz w:val="23"/>
          <w:szCs w:val="23"/>
          <w:rtl/>
        </w:rPr>
        <w:t>تجاری نامند</w:t>
      </w:r>
      <w:r w:rsidRPr="00A309A0">
        <w:rPr>
          <w:rFonts w:ascii="Cambria Math" w:hAnsi="Cambria Math" w:hint="cs"/>
          <w:noProof/>
          <w:sz w:val="23"/>
          <w:szCs w:val="23"/>
          <w:rtl/>
        </w:rPr>
        <w:t>،</w:t>
      </w:r>
      <w:r w:rsidRPr="00A309A0">
        <w:rPr>
          <w:rFonts w:ascii="Cambria Math" w:hAnsi="Cambria Math"/>
          <w:noProof/>
          <w:sz w:val="23"/>
          <w:szCs w:val="23"/>
          <w:rtl/>
        </w:rPr>
        <w:t xml:space="preserve"> هرچند ممکن است این مسیر </w:t>
      </w:r>
      <w:r w:rsidRPr="00A309A0">
        <w:rPr>
          <w:rFonts w:ascii="Cambria Math" w:hAnsi="Cambria Math" w:hint="cs"/>
          <w:noProof/>
          <w:sz w:val="23"/>
          <w:szCs w:val="23"/>
          <w:rtl/>
        </w:rPr>
        <w:t>ادواری یا چرخه</w:t>
      </w:r>
      <w:r w:rsidRPr="00A309A0">
        <w:rPr>
          <w:rFonts w:ascii="Cambria Math" w:hAnsi="Cambria Math"/>
          <w:noProof/>
          <w:sz w:val="23"/>
          <w:szCs w:val="23"/>
          <w:rtl/>
        </w:rPr>
        <w:softHyphen/>
      </w:r>
      <w:r w:rsidRPr="00A309A0">
        <w:rPr>
          <w:rFonts w:ascii="Cambria Math" w:hAnsi="Cambria Math" w:hint="cs"/>
          <w:noProof/>
          <w:sz w:val="23"/>
          <w:szCs w:val="23"/>
          <w:rtl/>
        </w:rPr>
        <w:t>ی</w:t>
      </w:r>
      <w:r w:rsidRPr="00A309A0">
        <w:rPr>
          <w:rFonts w:ascii="Cambria Math" w:hAnsi="Cambria Math"/>
          <w:noProof/>
          <w:sz w:val="23"/>
          <w:szCs w:val="23"/>
          <w:rtl/>
        </w:rPr>
        <w:t xml:space="preserve"> نباشد. اگر چه اقتصاد در طی مسیر تعدیل، در تعادل بلندمدت نخواهد بود، اما در جهت بازگشت به سمت مقادیر تعادلی بلندمدت </w:t>
      </w:r>
      <w:r w:rsidRPr="00A309A0">
        <w:rPr>
          <w:rFonts w:ascii="Cambria Math" w:hAnsi="Cambria Math" w:hint="cs"/>
          <w:noProof/>
          <w:sz w:val="23"/>
          <w:szCs w:val="23"/>
          <w:rtl/>
        </w:rPr>
        <w:t>همواره</w:t>
      </w:r>
      <w:r w:rsidRPr="00A309A0">
        <w:rPr>
          <w:rFonts w:ascii="Cambria Math" w:hAnsi="Cambria Math"/>
          <w:noProof/>
          <w:sz w:val="23"/>
          <w:szCs w:val="23"/>
          <w:rtl/>
        </w:rPr>
        <w:t xml:space="preserve"> بهینه رفتار می‌کند. در واقع، اقتصاد به دنبال رسیدن به دنباله</w:t>
      </w:r>
      <w:r w:rsidRPr="00A309A0">
        <w:rPr>
          <w:rFonts w:ascii="Cambria Math" w:hAnsi="Cambria Math"/>
          <w:noProof/>
          <w:sz w:val="23"/>
          <w:szCs w:val="23"/>
          <w:rtl/>
        </w:rPr>
        <w:softHyphen/>
        <w:t>ای از تعادل</w:t>
      </w:r>
      <w:r w:rsidRPr="00A309A0">
        <w:rPr>
          <w:rFonts w:ascii="Cambria Math" w:hAnsi="Cambria Math"/>
          <w:noProof/>
          <w:sz w:val="23"/>
          <w:szCs w:val="23"/>
          <w:rtl/>
        </w:rPr>
        <w:softHyphen/>
        <w:t>های موقت</w:t>
      </w:r>
      <w:r w:rsidRPr="00A309A0">
        <w:rPr>
          <w:rFonts w:ascii="Cambria Math" w:hAnsi="Cambria Math" w:hint="cs"/>
          <w:noProof/>
          <w:sz w:val="23"/>
          <w:szCs w:val="23"/>
          <w:rtl/>
        </w:rPr>
        <w:t>ی</w:t>
      </w:r>
      <w:r w:rsidRPr="00A309A0">
        <w:rPr>
          <w:rFonts w:ascii="Cambria Math" w:hAnsi="Cambria Math"/>
          <w:noProof/>
          <w:sz w:val="23"/>
          <w:szCs w:val="23"/>
          <w:rtl/>
        </w:rPr>
        <w:t xml:space="preserve"> است که هر کدام از آن</w:t>
      </w:r>
      <w:r w:rsidRPr="00A309A0">
        <w:rPr>
          <w:rFonts w:ascii="Cambria Math" w:hAnsi="Cambria Math"/>
          <w:noProof/>
          <w:sz w:val="23"/>
          <w:szCs w:val="23"/>
          <w:rtl/>
        </w:rPr>
        <w:softHyphen/>
        <w:t>ها در زمان خود بهینه</w:t>
      </w:r>
      <w:r w:rsidRPr="00A309A0">
        <w:rPr>
          <w:rFonts w:ascii="Cambria Math" w:hAnsi="Cambria Math"/>
          <w:noProof/>
          <w:sz w:val="23"/>
          <w:szCs w:val="23"/>
          <w:rtl/>
        </w:rPr>
        <w:softHyphen/>
        <w:t>اند. هدف سیاست</w:t>
      </w:r>
      <w:r w:rsidRPr="00A309A0">
        <w:rPr>
          <w:rFonts w:ascii="Cambria Math" w:hAnsi="Cambria Math"/>
          <w:noProof/>
          <w:sz w:val="23"/>
          <w:szCs w:val="23"/>
          <w:rtl/>
        </w:rPr>
        <w:softHyphen/>
        <w:t>های تثبیت</w:t>
      </w:r>
      <w:r w:rsidRPr="00A309A0">
        <w:rPr>
          <w:rStyle w:val="FootnoteReference"/>
          <w:rFonts w:ascii="Cambria Math" w:eastAsiaTheme="majorEastAsia" w:hAnsi="Cambria Math"/>
          <w:noProof/>
          <w:sz w:val="23"/>
          <w:szCs w:val="23"/>
          <w:rtl/>
        </w:rPr>
        <w:footnoteReference w:id="83"/>
      </w:r>
      <w:r w:rsidRPr="00A309A0">
        <w:rPr>
          <w:rFonts w:ascii="Cambria Math" w:hAnsi="Cambria Math"/>
          <w:noProof/>
          <w:sz w:val="23"/>
          <w:szCs w:val="23"/>
          <w:rtl/>
        </w:rPr>
        <w:t xml:space="preserve"> سرعت بخشیدنِ بازگشت به مقادیر تعادلی بلندمدت است. اهمیت این موضوع با وجود نقص</w:t>
      </w:r>
      <w:r w:rsidRPr="00A309A0">
        <w:rPr>
          <w:rFonts w:ascii="Cambria Math" w:hAnsi="Cambria Math"/>
          <w:noProof/>
          <w:sz w:val="23"/>
          <w:szCs w:val="23"/>
          <w:rtl/>
        </w:rPr>
        <w:softHyphen/>
        <w:t>های بازار</w:t>
      </w:r>
      <w:r w:rsidRPr="00A309A0">
        <w:rPr>
          <w:rStyle w:val="FootnoteReference"/>
          <w:rFonts w:ascii="Cambria Math" w:eastAsiaTheme="majorEastAsia" w:hAnsi="Cambria Math"/>
          <w:noProof/>
          <w:sz w:val="23"/>
          <w:szCs w:val="23"/>
          <w:rtl/>
        </w:rPr>
        <w:footnoteReference w:id="84"/>
      </w:r>
      <w:r w:rsidRPr="00A309A0">
        <w:rPr>
          <w:rFonts w:ascii="Cambria Math" w:hAnsi="Cambria Math"/>
          <w:noProof/>
          <w:sz w:val="23"/>
          <w:szCs w:val="23"/>
          <w:rtl/>
        </w:rPr>
        <w:t xml:space="preserve"> مثلاً در </w:t>
      </w:r>
      <w:r w:rsidRPr="00A309A0">
        <w:rPr>
          <w:rFonts w:ascii="Cambria Math" w:hAnsi="Cambria Math" w:hint="cs"/>
          <w:noProof/>
          <w:sz w:val="23"/>
          <w:szCs w:val="23"/>
          <w:rtl/>
        </w:rPr>
        <w:t xml:space="preserve">بازار </w:t>
      </w:r>
      <w:r w:rsidRPr="00A309A0">
        <w:rPr>
          <w:rFonts w:ascii="Cambria Math" w:hAnsi="Cambria Math"/>
          <w:noProof/>
          <w:sz w:val="23"/>
          <w:szCs w:val="23"/>
          <w:rtl/>
        </w:rPr>
        <w:t>رقابت انحصاری، و انعطاف</w:t>
      </w:r>
      <w:r w:rsidRPr="00A309A0">
        <w:rPr>
          <w:rFonts w:ascii="Cambria Math" w:hAnsi="Cambria Math"/>
          <w:noProof/>
          <w:sz w:val="23"/>
          <w:szCs w:val="23"/>
          <w:rtl/>
        </w:rPr>
        <w:softHyphen/>
        <w:t xml:space="preserve">ناپذیری قیمت که موجب کاهش تولید و رفاه اقتصادی می‌شود، از مدل اولیه که در آن نه بازار و نه نقص بازار وجود دارد بیشتر است. این موارد در فصول </w:t>
      </w:r>
      <w:r w:rsidRPr="00A309A0">
        <w:rPr>
          <w:rFonts w:ascii="Cambria Math" w:hAnsi="Cambria Math" w:hint="cs"/>
          <w:noProof/>
          <w:sz w:val="23"/>
          <w:szCs w:val="23"/>
          <w:rtl/>
        </w:rPr>
        <w:t xml:space="preserve">نهم، </w:t>
      </w:r>
    </w:p>
    <w:p w14:paraId="0AD3EDA2"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hint="cs"/>
          <w:noProof/>
          <w:sz w:val="23"/>
          <w:szCs w:val="23"/>
          <w:rtl/>
        </w:rPr>
        <w:t>چهاردهم و شانزدهم</w:t>
      </w:r>
      <w:r w:rsidRPr="00A309A0">
        <w:rPr>
          <w:rFonts w:ascii="Cambria Math" w:hAnsi="Cambria Math"/>
          <w:noProof/>
          <w:sz w:val="23"/>
          <w:szCs w:val="23"/>
          <w:rtl/>
        </w:rPr>
        <w:t xml:space="preserve"> بررسی خواهند شد. </w:t>
      </w:r>
    </w:p>
    <w:p w14:paraId="7F500E14"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 xml:space="preserve">تئوری </w:t>
      </w:r>
      <w:r w:rsidRPr="00A309A0">
        <w:rPr>
          <w:rFonts w:ascii="Cambria Math" w:hAnsi="Cambria Math" w:hint="cs"/>
          <w:noProof/>
          <w:sz w:val="23"/>
          <w:szCs w:val="23"/>
          <w:rtl/>
        </w:rPr>
        <w:t>ادوار</w:t>
      </w:r>
      <w:r w:rsidRPr="00A309A0">
        <w:rPr>
          <w:rFonts w:ascii="Cambria Math" w:hAnsi="Cambria Math"/>
          <w:noProof/>
          <w:sz w:val="23"/>
          <w:szCs w:val="23"/>
          <w:rtl/>
        </w:rPr>
        <w:t xml:space="preserve"> تجاری حقیقی، اثر شوک</w:t>
      </w:r>
      <w:r w:rsidRPr="00A309A0">
        <w:rPr>
          <w:rFonts w:ascii="Cambria Math" w:hAnsi="Cambria Math"/>
          <w:noProof/>
          <w:sz w:val="23"/>
          <w:szCs w:val="23"/>
          <w:rtl/>
        </w:rPr>
        <w:softHyphen/>
        <w:t>های تکنولوژیکی(بهره</w:t>
      </w:r>
      <w:r w:rsidRPr="00A309A0">
        <w:rPr>
          <w:rFonts w:ascii="Cambria Math" w:hAnsi="Cambria Math"/>
          <w:noProof/>
          <w:sz w:val="23"/>
          <w:szCs w:val="23"/>
          <w:rtl/>
        </w:rPr>
        <w:softHyphen/>
        <w:t>وری) در اقتصاد را مورد بررسی قرار می</w:t>
      </w:r>
      <w:r w:rsidRPr="00A309A0">
        <w:rPr>
          <w:rFonts w:ascii="Cambria Math" w:hAnsi="Cambria Math"/>
          <w:noProof/>
          <w:sz w:val="23"/>
          <w:szCs w:val="23"/>
          <w:rtl/>
        </w:rPr>
        <w:softHyphen/>
        <w:t>دهد. شوک مثبت تکنولوژیکیِ دائمی، تابع تولید را به سمت بالا منتقل کرده، و تولید نهایی سرمایه</w:t>
      </w:r>
      <w:r w:rsidRPr="00B92922">
        <w:rPr>
          <w:position w:val="-12"/>
        </w:rPr>
        <w:object w:dxaOrig="600" w:dyaOrig="360" w14:anchorId="2CB5D29E">
          <v:shape id="_x0000_i1319" type="#_x0000_t75" style="width:29.65pt;height:18.15pt" o:ole="">
            <v:imagedata r:id="rId610" o:title=""/>
          </v:shape>
          <o:OLEObject Type="Embed" ProgID="Equation.DSMT4" ShapeID="_x0000_i1319" DrawAspect="Content" ObjectID="_1791375263" r:id="rId611"/>
        </w:object>
      </w:r>
      <w:r w:rsidRPr="00A309A0">
        <w:rPr>
          <w:rFonts w:ascii="Cambria Math" w:hAnsi="Cambria Math"/>
          <w:noProof/>
          <w:sz w:val="23"/>
          <w:szCs w:val="23"/>
          <w:rtl/>
        </w:rPr>
        <w:t xml:space="preserve"> را افزایش می</w:t>
      </w:r>
      <w:r w:rsidRPr="00A309A0">
        <w:rPr>
          <w:rFonts w:ascii="Cambria Math" w:hAnsi="Cambria Math"/>
          <w:noProof/>
          <w:sz w:val="23"/>
          <w:szCs w:val="23"/>
          <w:rtl/>
        </w:rPr>
        <w:softHyphen/>
        <w:t>دهد. بنابراین به</w:t>
      </w:r>
      <w:r w:rsidRPr="00A309A0">
        <w:rPr>
          <w:rFonts w:ascii="Cambria Math" w:hAnsi="Cambria Math"/>
          <w:noProof/>
          <w:sz w:val="23"/>
          <w:szCs w:val="23"/>
          <w:rtl/>
        </w:rPr>
        <w:softHyphen/>
        <w:t>ازای هر مقدار از موجودی سرمایه</w:t>
      </w:r>
      <w:r w:rsidRPr="00B92922">
        <w:rPr>
          <w:position w:val="-6"/>
        </w:rPr>
        <w:object w:dxaOrig="200" w:dyaOrig="260" w14:anchorId="565DBA88">
          <v:shape id="_x0000_i1320" type="#_x0000_t75" style="width:10.3pt;height:12.7pt" o:ole="">
            <v:imagedata r:id="rId612" o:title=""/>
          </v:shape>
          <o:OLEObject Type="Embed" ProgID="Equation.DSMT4" ShapeID="_x0000_i1320" DrawAspect="Content" ObjectID="_1791375264" r:id="rId613"/>
        </w:object>
      </w:r>
      <w:r w:rsidRPr="00A309A0">
        <w:rPr>
          <w:rFonts w:ascii="Cambria Math" w:hAnsi="Cambria Math"/>
          <w:noProof/>
          <w:sz w:val="23"/>
          <w:szCs w:val="23"/>
          <w:rtl/>
        </w:rPr>
        <w:t>، تولید</w:t>
      </w:r>
      <w:r w:rsidRPr="00B92922">
        <w:rPr>
          <w:position w:val="-8"/>
        </w:rPr>
        <w:object w:dxaOrig="200" w:dyaOrig="220" w14:anchorId="64C9EA04">
          <v:shape id="_x0000_i1321" type="#_x0000_t75" style="width:10.3pt;height:10.9pt" o:ole="">
            <v:imagedata r:id="rId614" o:title=""/>
          </v:shape>
          <o:OLEObject Type="Embed" ProgID="Equation.DSMT4" ShapeID="_x0000_i1321" DrawAspect="Content" ObjectID="_1791375265" r:id="rId615"/>
        </w:object>
      </w:r>
      <w:r w:rsidRPr="00A309A0">
        <w:rPr>
          <w:rFonts w:ascii="Cambria Math" w:hAnsi="Cambria Math"/>
          <w:noProof/>
          <w:sz w:val="23"/>
          <w:szCs w:val="23"/>
          <w:rtl/>
        </w:rPr>
        <w:t xml:space="preserve"> افزایش می</w:t>
      </w:r>
      <w:r w:rsidRPr="00A309A0">
        <w:rPr>
          <w:rFonts w:ascii="Cambria Math" w:hAnsi="Cambria Math"/>
          <w:noProof/>
          <w:sz w:val="23"/>
          <w:szCs w:val="23"/>
          <w:rtl/>
        </w:rPr>
        <w:softHyphen/>
        <w:t>یابد. شوک تکنولوژیکی مثبت دائمی، به صورت انتقال منحنی تولید نهایی سرمایه از</w:t>
      </w:r>
      <w:r w:rsidRPr="00B92922">
        <w:rPr>
          <w:position w:val="-10"/>
        </w:rPr>
        <w:object w:dxaOrig="300" w:dyaOrig="320" w14:anchorId="312389E6">
          <v:shape id="_x0000_i1322" type="#_x0000_t75" style="width:15.15pt;height:15.75pt" o:ole="">
            <v:imagedata r:id="rId616" o:title=""/>
          </v:shape>
          <o:OLEObject Type="Embed" ProgID="Equation.DSMT4" ShapeID="_x0000_i1322" DrawAspect="Content" ObjectID="_1791375266" r:id="rId617"/>
        </w:object>
      </w:r>
      <w:r w:rsidRPr="00A309A0">
        <w:rPr>
          <w:rFonts w:ascii="Cambria Math" w:hAnsi="Cambria Math"/>
          <w:noProof/>
          <w:sz w:val="23"/>
          <w:szCs w:val="23"/>
          <w:rtl/>
        </w:rPr>
        <w:t xml:space="preserve"> </w:t>
      </w:r>
      <w:r w:rsidRPr="00A309A0">
        <w:rPr>
          <w:rFonts w:ascii="Cambria Math" w:hAnsi="Cambria Math" w:hint="cs"/>
          <w:noProof/>
          <w:sz w:val="23"/>
          <w:szCs w:val="23"/>
          <w:rtl/>
        </w:rPr>
        <w:t>به</w:t>
      </w:r>
      <w:r w:rsidRPr="00B92922">
        <w:rPr>
          <w:position w:val="-10"/>
        </w:rPr>
        <w:object w:dxaOrig="300" w:dyaOrig="320" w14:anchorId="3B6E0C5B">
          <v:shape id="_x0000_i1323" type="#_x0000_t75" style="width:15.15pt;height:15.75pt" o:ole="">
            <v:imagedata r:id="rId618" o:title=""/>
          </v:shape>
          <o:OLEObject Type="Embed" ProgID="Equation.DSMT4" ShapeID="_x0000_i1323" DrawAspect="Content" ObjectID="_1791375267" r:id="rId619"/>
        </w:object>
      </w:r>
      <w:r w:rsidRPr="00A309A0">
        <w:rPr>
          <w:rFonts w:ascii="Cambria Math" w:eastAsiaTheme="minorEastAsia" w:hAnsi="Cambria Math"/>
          <w:noProof/>
          <w:sz w:val="23"/>
          <w:szCs w:val="23"/>
          <w:rtl/>
        </w:rPr>
        <w:t xml:space="preserve"> </w:t>
      </w:r>
      <w:r w:rsidRPr="00A309A0">
        <w:rPr>
          <w:rFonts w:ascii="Cambria Math" w:hAnsi="Cambria Math"/>
          <w:noProof/>
          <w:sz w:val="23"/>
          <w:szCs w:val="23"/>
          <w:rtl/>
        </w:rPr>
        <w:t xml:space="preserve">در نمودار </w:t>
      </w:r>
      <w:r w:rsidRPr="00A309A0">
        <w:rPr>
          <w:rFonts w:ascii="Cambria Math" w:hAnsi="Cambria Math" w:hint="cs"/>
          <w:noProof/>
          <w:sz w:val="23"/>
          <w:szCs w:val="23"/>
          <w:rtl/>
        </w:rPr>
        <w:t>۲. ۱۱ ن</w:t>
      </w:r>
      <w:r w:rsidRPr="00A309A0">
        <w:rPr>
          <w:rFonts w:ascii="Cambria Math" w:hAnsi="Cambria Math"/>
          <w:noProof/>
          <w:sz w:val="23"/>
          <w:szCs w:val="23"/>
          <w:rtl/>
        </w:rPr>
        <w:t>شان داده شده است. از</w:t>
      </w:r>
      <w:r w:rsidRPr="00A309A0">
        <w:rPr>
          <w:rFonts w:ascii="Cambria Math" w:hAnsi="Cambria Math" w:hint="cs"/>
          <w:noProof/>
          <w:sz w:val="23"/>
          <w:szCs w:val="23"/>
          <w:rtl/>
        </w:rPr>
        <w:t xml:space="preserve"> </w:t>
      </w:r>
      <w:r w:rsidRPr="00A309A0">
        <w:rPr>
          <w:rFonts w:ascii="Cambria Math" w:hAnsi="Cambria Math"/>
          <w:noProof/>
          <w:sz w:val="23"/>
          <w:szCs w:val="23"/>
          <w:rtl/>
        </w:rPr>
        <w:t>آن</w:t>
      </w:r>
      <w:r w:rsidRPr="00A309A0">
        <w:rPr>
          <w:rFonts w:ascii="Cambria Math" w:hAnsi="Cambria Math"/>
          <w:noProof/>
          <w:sz w:val="23"/>
          <w:szCs w:val="23"/>
          <w:rtl/>
        </w:rPr>
        <w:softHyphen/>
        <w:t>جا</w:t>
      </w:r>
      <w:r w:rsidRPr="00A309A0">
        <w:rPr>
          <w:rFonts w:ascii="Cambria Math" w:hAnsi="Cambria Math" w:hint="cs"/>
          <w:noProof/>
          <w:sz w:val="23"/>
          <w:szCs w:val="23"/>
          <w:rtl/>
        </w:rPr>
        <w:t xml:space="preserve"> </w:t>
      </w:r>
      <w:r w:rsidRPr="00A309A0">
        <w:rPr>
          <w:rFonts w:ascii="Cambria Math" w:hAnsi="Cambria Math"/>
          <w:noProof/>
          <w:sz w:val="23"/>
          <w:szCs w:val="23"/>
          <w:rtl/>
        </w:rPr>
        <w:t>که</w:t>
      </w:r>
      <w:r w:rsidRPr="00B92922">
        <w:rPr>
          <w:position w:val="-6"/>
        </w:rPr>
        <w:object w:dxaOrig="520" w:dyaOrig="260" w14:anchorId="07DCC3B2">
          <v:shape id="_x0000_i1324" type="#_x0000_t75" style="width:26pt;height:12.7pt" o:ole="">
            <v:imagedata r:id="rId620" o:title=""/>
          </v:shape>
          <o:OLEObject Type="Embed" ProgID="Equation.DSMT4" ShapeID="_x0000_i1324" DrawAspect="Content" ObjectID="_1791375268" r:id="rId621"/>
        </w:object>
      </w:r>
      <w:r w:rsidRPr="00A309A0">
        <w:rPr>
          <w:rFonts w:ascii="Cambria Math" w:hAnsi="Cambria Math"/>
          <w:noProof/>
          <w:sz w:val="23"/>
          <w:szCs w:val="23"/>
          <w:rtl/>
        </w:rPr>
        <w:t xml:space="preserve"> </w:t>
      </w:r>
      <w:r w:rsidRPr="00A309A0">
        <w:rPr>
          <w:rFonts w:ascii="Cambria Math" w:hAnsi="Cambria Math" w:hint="cs"/>
          <w:noProof/>
          <w:sz w:val="23"/>
          <w:szCs w:val="23"/>
          <w:rtl/>
        </w:rPr>
        <w:t>ثابت است</w:t>
      </w:r>
      <w:r w:rsidRPr="00A309A0">
        <w:rPr>
          <w:rFonts w:ascii="Cambria Math" w:hAnsi="Cambria Math"/>
          <w:noProof/>
          <w:sz w:val="23"/>
          <w:szCs w:val="23"/>
          <w:rtl/>
        </w:rPr>
        <w:t xml:space="preserve">، </w:t>
      </w:r>
      <w:r w:rsidRPr="00A309A0">
        <w:rPr>
          <w:rFonts w:ascii="Cambria Math" w:hAnsi="Cambria Math" w:hint="cs"/>
          <w:noProof/>
          <w:sz w:val="23"/>
          <w:szCs w:val="23"/>
          <w:rtl/>
        </w:rPr>
        <w:t xml:space="preserve">لذا </w:t>
      </w:r>
      <w:r w:rsidRPr="00A309A0">
        <w:rPr>
          <w:rFonts w:ascii="Cambria Math" w:hAnsi="Cambria Math"/>
          <w:noProof/>
          <w:sz w:val="23"/>
          <w:szCs w:val="23"/>
          <w:rtl/>
        </w:rPr>
        <w:t>سطح بهینه</w:t>
      </w:r>
      <w:r w:rsidRPr="00A309A0">
        <w:rPr>
          <w:rFonts w:ascii="Cambria Math" w:hAnsi="Cambria Math"/>
          <w:noProof/>
          <w:sz w:val="23"/>
          <w:szCs w:val="23"/>
          <w:rtl/>
        </w:rPr>
        <w:softHyphen/>
        <w:t>ی تعادلی سرمایه از</w:t>
      </w:r>
      <w:r w:rsidRPr="00B92922">
        <w:rPr>
          <w:position w:val="-10"/>
        </w:rPr>
        <w:object w:dxaOrig="260" w:dyaOrig="340" w14:anchorId="3B4C45D4">
          <v:shape id="_x0000_i1325" type="#_x0000_t75" style="width:12.7pt;height:16.95pt" o:ole="">
            <v:imagedata r:id="rId622" o:title=""/>
          </v:shape>
          <o:OLEObject Type="Embed" ProgID="Equation.DSMT4" ShapeID="_x0000_i1325" DrawAspect="Content" ObjectID="_1791375269" r:id="rId623"/>
        </w:object>
      </w:r>
      <w:r w:rsidRPr="00A309A0">
        <w:rPr>
          <w:rFonts w:ascii="Cambria Math" w:hAnsi="Cambria Math"/>
          <w:noProof/>
          <w:sz w:val="23"/>
          <w:szCs w:val="23"/>
          <w:rtl/>
        </w:rPr>
        <w:t xml:space="preserve"> به</w:t>
      </w:r>
      <w:r w:rsidRPr="00B92922">
        <w:rPr>
          <w:position w:val="-10"/>
        </w:rPr>
        <w:object w:dxaOrig="260" w:dyaOrig="340" w14:anchorId="781F9866">
          <v:shape id="_x0000_i1326" type="#_x0000_t75" style="width:12.7pt;height:16.95pt" o:ole="">
            <v:imagedata r:id="rId624" o:title=""/>
          </v:shape>
          <o:OLEObject Type="Embed" ProgID="Equation.DSMT4" ShapeID="_x0000_i1326" DrawAspect="Content" ObjectID="_1791375270" r:id="rId625"/>
        </w:object>
      </w:r>
      <w:r w:rsidRPr="00A309A0">
        <w:rPr>
          <w:rFonts w:ascii="Cambria Math" w:hAnsi="Cambria Math"/>
          <w:noProof/>
          <w:sz w:val="23"/>
          <w:szCs w:val="23"/>
          <w:rtl/>
        </w:rPr>
        <w:t xml:space="preserve"> افزایش خواهد یافت.</w:t>
      </w:r>
    </w:p>
    <w:p w14:paraId="3D39183E" w14:textId="77777777" w:rsidR="00411620" w:rsidRDefault="00411620" w:rsidP="00411620">
      <w:pPr>
        <w:spacing w:line="216" w:lineRule="auto"/>
        <w:rPr>
          <w:rFonts w:ascii="Cambria Math" w:hAnsi="Cambria Math"/>
          <w:noProof/>
          <w:sz w:val="23"/>
          <w:szCs w:val="23"/>
        </w:rPr>
      </w:pPr>
      <w:r w:rsidRPr="00A309A0">
        <w:rPr>
          <w:rFonts w:ascii="Cambria Math" w:hAnsi="Cambria Math"/>
          <w:noProof/>
          <w:sz w:val="23"/>
          <w:szCs w:val="23"/>
          <w:rtl/>
        </w:rPr>
        <w:t>اثر شوک تکنولوژیکی مثبت دائمی و پویایی</w:t>
      </w:r>
      <w:r w:rsidRPr="00A309A0">
        <w:rPr>
          <w:rFonts w:ascii="Cambria Math" w:hAnsi="Cambria Math"/>
          <w:noProof/>
          <w:sz w:val="23"/>
          <w:szCs w:val="23"/>
          <w:rtl/>
        </w:rPr>
        <w:softHyphen/>
        <w:t xml:space="preserve">های آن بر مصرف در نمودار </w:t>
      </w:r>
      <w:r w:rsidRPr="00A309A0">
        <w:rPr>
          <w:rFonts w:ascii="Cambria Math" w:hAnsi="Cambria Math" w:hint="cs"/>
          <w:noProof/>
          <w:sz w:val="23"/>
          <w:szCs w:val="23"/>
          <w:rtl/>
        </w:rPr>
        <w:t>۲. ۱۲ ن</w:t>
      </w:r>
      <w:r w:rsidRPr="00A309A0">
        <w:rPr>
          <w:rFonts w:ascii="Cambria Math" w:hAnsi="Cambria Math"/>
          <w:noProof/>
          <w:sz w:val="23"/>
          <w:szCs w:val="23"/>
          <w:rtl/>
        </w:rPr>
        <w:t>شان داده شده است. همان</w:t>
      </w:r>
      <w:r w:rsidRPr="00A309A0">
        <w:rPr>
          <w:rFonts w:ascii="Cambria Math" w:hAnsi="Cambria Math"/>
          <w:noProof/>
          <w:sz w:val="23"/>
          <w:szCs w:val="23"/>
          <w:rtl/>
        </w:rPr>
        <w:softHyphen/>
        <w:t>گونه که ملاحظه می</w:t>
      </w:r>
      <w:r w:rsidRPr="00A309A0">
        <w:rPr>
          <w:rFonts w:ascii="Cambria Math" w:hAnsi="Cambria Math"/>
          <w:noProof/>
          <w:sz w:val="23"/>
          <w:szCs w:val="23"/>
          <w:rtl/>
        </w:rPr>
        <w:softHyphen/>
        <w:t>شود منحنی مصرف به سمت بالا منتقل می</w:t>
      </w:r>
      <w:r w:rsidRPr="00A309A0">
        <w:rPr>
          <w:rFonts w:ascii="Cambria Math" w:hAnsi="Cambria Math"/>
          <w:noProof/>
          <w:sz w:val="23"/>
          <w:szCs w:val="23"/>
          <w:rtl/>
        </w:rPr>
        <w:softHyphen/>
        <w:t>شو‌د. تعادل اولیه در نقطه</w:t>
      </w:r>
      <w:r w:rsidRPr="00A309A0">
        <w:rPr>
          <w:rFonts w:ascii="Cambria Math" w:hAnsi="Cambria Math"/>
          <w:noProof/>
          <w:sz w:val="23"/>
          <w:szCs w:val="23"/>
          <w:rtl/>
        </w:rPr>
        <w:softHyphen/>
      </w:r>
      <w:r w:rsidRPr="00A309A0">
        <w:rPr>
          <w:rFonts w:ascii="Cambria Math" w:hAnsi="Cambria Math" w:hint="cs"/>
          <w:noProof/>
          <w:sz w:val="23"/>
          <w:szCs w:val="23"/>
          <w:rtl/>
        </w:rPr>
        <w:t>ی</w:t>
      </w:r>
      <w:r w:rsidRPr="00025957">
        <w:rPr>
          <w:position w:val="-4"/>
        </w:rPr>
        <w:object w:dxaOrig="240" w:dyaOrig="240" w14:anchorId="6F267EB5">
          <v:shape id="_x0000_i1327" type="#_x0000_t75" style="width:12.1pt;height:12.1pt" o:ole="">
            <v:imagedata r:id="rId626" o:title=""/>
          </v:shape>
          <o:OLEObject Type="Embed" ProgID="Equation.DSMT4" ShapeID="_x0000_i1327" DrawAspect="Content" ObjectID="_1791375271" r:id="rId627"/>
        </w:object>
      </w:r>
      <w:r w:rsidRPr="00A309A0">
        <w:rPr>
          <w:rFonts w:ascii="Cambria Math" w:hAnsi="Cambria Math"/>
          <w:noProof/>
          <w:sz w:val="23"/>
          <w:szCs w:val="23"/>
          <w:rtl/>
        </w:rPr>
        <w:t>، و</w:t>
      </w:r>
      <w:r w:rsidRPr="00A309A0">
        <w:rPr>
          <w:rFonts w:ascii="Cambria Math" w:hAnsi="Cambria Math" w:hint="cs"/>
          <w:noProof/>
          <w:sz w:val="23"/>
          <w:szCs w:val="23"/>
          <w:rtl/>
        </w:rPr>
        <w:t xml:space="preserve"> </w:t>
      </w:r>
      <w:r w:rsidRPr="00A309A0">
        <w:rPr>
          <w:rFonts w:ascii="Cambria Math" w:hAnsi="Cambria Math"/>
          <w:noProof/>
          <w:sz w:val="23"/>
          <w:szCs w:val="23"/>
          <w:rtl/>
        </w:rPr>
        <w:t>بعد از اعمال شوک، تعادل جدید در نقطه</w:t>
      </w:r>
      <w:r w:rsidRPr="00A309A0">
        <w:rPr>
          <w:rFonts w:ascii="Cambria Math" w:hAnsi="Cambria Math"/>
          <w:noProof/>
          <w:sz w:val="23"/>
          <w:szCs w:val="23"/>
          <w:rtl/>
        </w:rPr>
        <w:softHyphen/>
      </w:r>
      <w:r w:rsidRPr="00A309A0">
        <w:rPr>
          <w:rFonts w:ascii="Cambria Math" w:hAnsi="Cambria Math" w:hint="cs"/>
          <w:noProof/>
          <w:sz w:val="23"/>
          <w:szCs w:val="23"/>
          <w:rtl/>
        </w:rPr>
        <w:t>ی</w:t>
      </w:r>
      <w:r w:rsidRPr="00025957">
        <w:rPr>
          <w:position w:val="-4"/>
        </w:rPr>
        <w:object w:dxaOrig="240" w:dyaOrig="240" w14:anchorId="32D7D71F">
          <v:shape id="_x0000_i1328" type="#_x0000_t75" style="width:12.1pt;height:12.1pt" o:ole="">
            <v:imagedata r:id="rId628" o:title=""/>
          </v:shape>
          <o:OLEObject Type="Embed" ProgID="Equation.DSMT4" ShapeID="_x0000_i1328" DrawAspect="Content" ObjectID="_1791375272" r:id="rId629"/>
        </w:object>
      </w:r>
      <w:r w:rsidRPr="00A309A0">
        <w:rPr>
          <w:rFonts w:ascii="Cambria Math" w:hAnsi="Cambria Math"/>
          <w:noProof/>
          <w:sz w:val="23"/>
          <w:szCs w:val="23"/>
          <w:rtl/>
        </w:rPr>
        <w:t xml:space="preserve"> </w:t>
      </w:r>
      <w:r w:rsidRPr="00A309A0">
        <w:rPr>
          <w:rFonts w:ascii="Cambria Math" w:hAnsi="Cambria Math" w:hint="cs"/>
          <w:noProof/>
          <w:sz w:val="23"/>
          <w:szCs w:val="23"/>
          <w:rtl/>
        </w:rPr>
        <w:t xml:space="preserve">خواهد بود </w:t>
      </w:r>
      <w:r w:rsidRPr="00A309A0">
        <w:rPr>
          <w:rFonts w:ascii="Cambria Math" w:hAnsi="Cambria Math"/>
          <w:noProof/>
          <w:sz w:val="23"/>
          <w:szCs w:val="23"/>
          <w:rtl/>
        </w:rPr>
        <w:t xml:space="preserve">و مسیر زینی از </w:t>
      </w:r>
      <w:r w:rsidRPr="00A309A0">
        <w:rPr>
          <w:rFonts w:ascii="Cambria Math" w:hAnsi="Cambria Math" w:hint="cs"/>
          <w:noProof/>
          <w:sz w:val="23"/>
          <w:szCs w:val="23"/>
          <w:rtl/>
        </w:rPr>
        <w:t xml:space="preserve">آن </w:t>
      </w:r>
      <w:r w:rsidRPr="00A309A0">
        <w:rPr>
          <w:rFonts w:ascii="Cambria Math" w:hAnsi="Cambria Math"/>
          <w:noProof/>
          <w:sz w:val="23"/>
          <w:szCs w:val="23"/>
          <w:rtl/>
        </w:rPr>
        <w:t>نقطه می‌گذرد. ازآنجاکه اقتصاد همو</w:t>
      </w:r>
      <w:r w:rsidRPr="00A309A0">
        <w:rPr>
          <w:rFonts w:ascii="Cambria Math" w:hAnsi="Cambria Math" w:hint="cs"/>
          <w:noProof/>
          <w:sz w:val="23"/>
          <w:szCs w:val="23"/>
          <w:rtl/>
        </w:rPr>
        <w:t>ا</w:t>
      </w:r>
      <w:r w:rsidRPr="00A309A0">
        <w:rPr>
          <w:rFonts w:ascii="Cambria Math" w:hAnsi="Cambria Math"/>
          <w:noProof/>
          <w:sz w:val="23"/>
          <w:szCs w:val="23"/>
          <w:rtl/>
        </w:rPr>
        <w:t>ره در مسیر زینی است، سئوال این است که اقتصاد چگونه از نقطه</w:t>
      </w:r>
      <w:r w:rsidRPr="00A309A0">
        <w:rPr>
          <w:rFonts w:ascii="Cambria Math" w:hAnsi="Cambria Math"/>
          <w:noProof/>
          <w:sz w:val="23"/>
          <w:szCs w:val="23"/>
          <w:rtl/>
        </w:rPr>
        <w:softHyphen/>
      </w:r>
      <w:r w:rsidRPr="00A309A0">
        <w:rPr>
          <w:rFonts w:ascii="Cambria Math" w:hAnsi="Cambria Math" w:hint="cs"/>
          <w:noProof/>
          <w:sz w:val="23"/>
          <w:szCs w:val="23"/>
          <w:rtl/>
        </w:rPr>
        <w:t>ی</w:t>
      </w:r>
      <w:r w:rsidRPr="00025957">
        <w:rPr>
          <w:position w:val="-4"/>
        </w:rPr>
        <w:object w:dxaOrig="240" w:dyaOrig="240" w14:anchorId="1D64935C">
          <v:shape id="_x0000_i1329" type="#_x0000_t75" style="width:12.1pt;height:12.1pt" o:ole="">
            <v:imagedata r:id="rId630" o:title=""/>
          </v:shape>
          <o:OLEObject Type="Embed" ProgID="Equation.DSMT4" ShapeID="_x0000_i1329" DrawAspect="Content" ObjectID="_1791375273" r:id="rId631"/>
        </w:object>
      </w:r>
      <w:r w:rsidRPr="00A309A0">
        <w:rPr>
          <w:rFonts w:ascii="Cambria Math" w:hAnsi="Cambria Math"/>
          <w:noProof/>
          <w:sz w:val="23"/>
          <w:szCs w:val="23"/>
          <w:rtl/>
        </w:rPr>
        <w:t xml:space="preserve"> به نقطه</w:t>
      </w:r>
      <w:r w:rsidRPr="00A309A0">
        <w:rPr>
          <w:rFonts w:ascii="Cambria Math" w:hAnsi="Cambria Math"/>
          <w:noProof/>
          <w:sz w:val="23"/>
          <w:szCs w:val="23"/>
          <w:rtl/>
        </w:rPr>
        <w:softHyphen/>
      </w:r>
      <w:r w:rsidRPr="00A309A0">
        <w:rPr>
          <w:rFonts w:ascii="Cambria Math" w:hAnsi="Cambria Math" w:hint="cs"/>
          <w:noProof/>
          <w:sz w:val="23"/>
          <w:szCs w:val="23"/>
          <w:rtl/>
        </w:rPr>
        <w:t>ی</w:t>
      </w:r>
      <w:r w:rsidRPr="00025957">
        <w:rPr>
          <w:position w:val="-4"/>
        </w:rPr>
        <w:object w:dxaOrig="240" w:dyaOrig="240" w14:anchorId="3675F4C2">
          <v:shape id="_x0000_i1330" type="#_x0000_t75" style="width:12.1pt;height:12.1pt" o:ole="">
            <v:imagedata r:id="rId632" o:title=""/>
          </v:shape>
          <o:OLEObject Type="Embed" ProgID="Equation.DSMT4" ShapeID="_x0000_i1330" DrawAspect="Content" ObjectID="_1791375274" r:id="rId633"/>
        </w:object>
      </w:r>
      <w:r w:rsidRPr="00A309A0">
        <w:rPr>
          <w:rFonts w:ascii="Cambria Math" w:hAnsi="Cambria Math"/>
          <w:noProof/>
          <w:sz w:val="23"/>
          <w:szCs w:val="23"/>
          <w:rtl/>
        </w:rPr>
        <w:t xml:space="preserve"> حرکت می‌کند؟</w:t>
      </w:r>
      <w:r w:rsidRPr="00A309A0">
        <w:rPr>
          <w:rFonts w:ascii="Cambria Math" w:hAnsi="Cambria Math" w:hint="cs"/>
          <w:noProof/>
          <w:sz w:val="23"/>
          <w:szCs w:val="23"/>
          <w:rtl/>
        </w:rPr>
        <w:t xml:space="preserve"> </w:t>
      </w:r>
      <w:r w:rsidRPr="00A309A0">
        <w:rPr>
          <w:rFonts w:ascii="Cambria Math" w:hAnsi="Cambria Math"/>
          <w:noProof/>
          <w:sz w:val="23"/>
          <w:szCs w:val="23"/>
          <w:rtl/>
        </w:rPr>
        <w:t xml:space="preserve">در ابتدا موجودی سرمایه </w:t>
      </w:r>
      <w:r w:rsidRPr="00B92922">
        <w:rPr>
          <w:position w:val="-10"/>
        </w:rPr>
        <w:object w:dxaOrig="260" w:dyaOrig="340" w14:anchorId="663B8320">
          <v:shape id="_x0000_i1331" type="#_x0000_t75" style="width:12.7pt;height:16.95pt" o:ole="">
            <v:imagedata r:id="rId634" o:title=""/>
          </v:shape>
          <o:OLEObject Type="Embed" ProgID="Equation.DSMT4" ShapeID="_x0000_i1331" DrawAspect="Content" ObjectID="_1791375275" r:id="rId635"/>
        </w:object>
      </w:r>
      <w:r w:rsidRPr="00A309A0">
        <w:rPr>
          <w:rFonts w:ascii="Cambria Math" w:hAnsi="Cambria Math"/>
          <w:noProof/>
          <w:sz w:val="23"/>
          <w:szCs w:val="23"/>
          <w:rtl/>
        </w:rPr>
        <w:t xml:space="preserve"> است. با افزایش بهره</w:t>
      </w:r>
      <w:r w:rsidRPr="00A309A0">
        <w:rPr>
          <w:rFonts w:ascii="Cambria Math" w:hAnsi="Cambria Math"/>
          <w:noProof/>
          <w:sz w:val="23"/>
          <w:szCs w:val="23"/>
          <w:rtl/>
        </w:rPr>
        <w:softHyphen/>
        <w:t>وری در زمان</w:t>
      </w:r>
      <w:r w:rsidRPr="00B92922">
        <w:rPr>
          <w:position w:val="-6"/>
        </w:rPr>
        <w:object w:dxaOrig="139" w:dyaOrig="240" w14:anchorId="14225BDD">
          <v:shape id="_x0000_i1332" type="#_x0000_t75" style="width:6.65pt;height:12.1pt" o:ole="">
            <v:imagedata r:id="rId636" o:title=""/>
          </v:shape>
          <o:OLEObject Type="Embed" ProgID="Equation.DSMT4" ShapeID="_x0000_i1332" DrawAspect="Content" ObjectID="_1791375276" r:id="rId637"/>
        </w:object>
      </w:r>
      <w:r w:rsidRPr="00A309A0">
        <w:rPr>
          <w:rFonts w:ascii="Cambria Math" w:hAnsi="Cambria Math"/>
          <w:noProof/>
          <w:sz w:val="23"/>
          <w:szCs w:val="23"/>
          <w:rtl/>
          <w:lang w:val="en-GB"/>
        </w:rPr>
        <w:t>، تولید، مصرف و سرمایه</w:t>
      </w:r>
      <w:r w:rsidRPr="00A309A0">
        <w:rPr>
          <w:rFonts w:ascii="Cambria Math" w:hAnsi="Cambria Math"/>
          <w:noProof/>
          <w:sz w:val="23"/>
          <w:szCs w:val="23"/>
          <w:rtl/>
          <w:lang w:val="en-GB"/>
        </w:rPr>
        <w:softHyphen/>
        <w:t>گذاری افزایش می</w:t>
      </w:r>
      <w:r w:rsidRPr="00A309A0">
        <w:rPr>
          <w:rFonts w:ascii="Cambria Math" w:hAnsi="Cambria Math"/>
          <w:noProof/>
          <w:sz w:val="23"/>
          <w:szCs w:val="23"/>
          <w:rtl/>
          <w:lang w:val="en-GB"/>
        </w:rPr>
        <w:softHyphen/>
        <w:t xml:space="preserve">یابند </w:t>
      </w:r>
      <w:r w:rsidRPr="00A309A0">
        <w:rPr>
          <w:rFonts w:ascii="Cambria Math" w:hAnsi="Cambria Math" w:hint="cs"/>
          <w:noProof/>
          <w:sz w:val="23"/>
          <w:szCs w:val="23"/>
          <w:rtl/>
          <w:lang w:val="en-GB"/>
        </w:rPr>
        <w:t>و</w:t>
      </w:r>
      <w:r w:rsidRPr="00A309A0">
        <w:rPr>
          <w:rFonts w:ascii="Cambria Math" w:hAnsi="Cambria Math"/>
          <w:noProof/>
          <w:sz w:val="23"/>
          <w:szCs w:val="23"/>
          <w:rtl/>
          <w:lang w:val="en-GB"/>
        </w:rPr>
        <w:t xml:space="preserve"> موجودی سرمایه در آن زمان ثابت است. زیرا </w:t>
      </w:r>
      <w:r w:rsidRPr="00A309A0">
        <w:rPr>
          <w:rFonts w:ascii="Cambria Math" w:hAnsi="Cambria Math"/>
          <w:noProof/>
          <w:sz w:val="23"/>
          <w:szCs w:val="23"/>
          <w:rtl/>
        </w:rPr>
        <w:t>تغییر در موجودی سرمایه یک دوره طول می‌کشد</w:t>
      </w:r>
      <w:r w:rsidRPr="00A309A0">
        <w:rPr>
          <w:rFonts w:ascii="Cambria Math" w:hAnsi="Cambria Math" w:hint="cs"/>
          <w:noProof/>
          <w:sz w:val="23"/>
          <w:szCs w:val="23"/>
          <w:rtl/>
        </w:rPr>
        <w:t xml:space="preserve"> و</w:t>
      </w:r>
      <w:r w:rsidRPr="00A309A0">
        <w:rPr>
          <w:rFonts w:ascii="Cambria Math" w:hAnsi="Cambria Math"/>
          <w:noProof/>
          <w:sz w:val="23"/>
          <w:szCs w:val="23"/>
          <w:rtl/>
        </w:rPr>
        <w:t xml:space="preserve"> اقتصاد از</w:t>
      </w:r>
      <w:r w:rsidRPr="00025957">
        <w:rPr>
          <w:position w:val="-4"/>
        </w:rPr>
        <w:object w:dxaOrig="240" w:dyaOrig="240" w14:anchorId="052ADCB8">
          <v:shape id="_x0000_i1333" type="#_x0000_t75" style="width:12.1pt;height:12.1pt" o:ole="">
            <v:imagedata r:id="rId638" o:title=""/>
          </v:shape>
          <o:OLEObject Type="Embed" ProgID="Equation.DSMT4" ShapeID="_x0000_i1333" DrawAspect="Content" ObjectID="_1791375277" r:id="rId639"/>
        </w:object>
      </w:r>
      <w:r w:rsidRPr="00A309A0">
        <w:rPr>
          <w:rFonts w:ascii="Cambria Math" w:hAnsi="Cambria Math"/>
          <w:noProof/>
          <w:sz w:val="23"/>
          <w:szCs w:val="23"/>
          <w:rtl/>
        </w:rPr>
        <w:t xml:space="preserve"> به</w:t>
      </w:r>
      <w:r w:rsidRPr="00A309A0">
        <w:rPr>
          <w:rFonts w:ascii="Cambria Math" w:hAnsi="Cambria Math" w:hint="cs"/>
          <w:noProof/>
          <w:sz w:val="23"/>
          <w:szCs w:val="23"/>
          <w:rtl/>
        </w:rPr>
        <w:t xml:space="preserve"> سمت</w:t>
      </w:r>
      <w:r w:rsidRPr="00B92922">
        <w:rPr>
          <w:position w:val="-6"/>
        </w:rPr>
        <w:object w:dxaOrig="220" w:dyaOrig="260" w14:anchorId="5862317E">
          <v:shape id="_x0000_i1334" type="#_x0000_t75" style="width:10.9pt;height:12.7pt" o:ole="">
            <v:imagedata r:id="rId640" o:title=""/>
          </v:shape>
          <o:OLEObject Type="Embed" ProgID="Equation.DSMT4" ShapeID="_x0000_i1334" DrawAspect="Content" ObjectID="_1791375278" r:id="rId641"/>
        </w:object>
      </w:r>
      <w:r w:rsidRPr="00A309A0">
        <w:rPr>
          <w:rFonts w:ascii="Cambria Math" w:hAnsi="Cambria Math"/>
          <w:noProof/>
          <w:sz w:val="23"/>
          <w:szCs w:val="23"/>
          <w:rtl/>
        </w:rPr>
        <w:t>، که برروی مسیر زینی جدید است حرکت می</w:t>
      </w:r>
      <w:r w:rsidRPr="00A309A0">
        <w:rPr>
          <w:rFonts w:ascii="Cambria Math" w:hAnsi="Cambria Math"/>
          <w:noProof/>
          <w:sz w:val="23"/>
          <w:szCs w:val="23"/>
          <w:rtl/>
        </w:rPr>
        <w:softHyphen/>
        <w:t>کند.</w:t>
      </w:r>
    </w:p>
    <w:p w14:paraId="5263C97B"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lastRenderedPageBreak/>
        <w:t>با افزایش سرمایه‌گذاری در زمان</w:t>
      </w:r>
      <w:r w:rsidRPr="00B92922">
        <w:rPr>
          <w:position w:val="-6"/>
        </w:rPr>
        <w:object w:dxaOrig="139" w:dyaOrig="240" w14:anchorId="4A11A6E2">
          <v:shape id="_x0000_i1335" type="#_x0000_t75" style="width:6.65pt;height:12.1pt" o:ole="">
            <v:imagedata r:id="rId642" o:title=""/>
          </v:shape>
          <o:OLEObject Type="Embed" ProgID="Equation.DSMT4" ShapeID="_x0000_i1335" DrawAspect="Content" ObjectID="_1791375279" r:id="rId643"/>
        </w:object>
      </w:r>
      <w:r w:rsidRPr="00A309A0">
        <w:rPr>
          <w:rFonts w:ascii="Cambria Math" w:eastAsiaTheme="minorEastAsia" w:hAnsi="Cambria Math"/>
          <w:noProof/>
          <w:sz w:val="23"/>
          <w:szCs w:val="23"/>
          <w:rtl/>
        </w:rPr>
        <w:t>،</w:t>
      </w:r>
      <w:r w:rsidRPr="00A309A0">
        <w:rPr>
          <w:rFonts w:ascii="Cambria Math" w:hAnsi="Cambria Math"/>
          <w:noProof/>
          <w:sz w:val="23"/>
          <w:szCs w:val="23"/>
          <w:rtl/>
        </w:rPr>
        <w:t xml:space="preserve"> موجودی سرمایه در زمان </w:t>
      </w:r>
      <w:r w:rsidRPr="00B92922">
        <w:rPr>
          <w:position w:val="-6"/>
        </w:rPr>
        <w:object w:dxaOrig="440" w:dyaOrig="260" w14:anchorId="223C0C76">
          <v:shape id="_x0000_i1336" type="#_x0000_t75" style="width:22.4pt;height:12.7pt" o:ole="">
            <v:imagedata r:id="rId644" o:title=""/>
          </v:shape>
          <o:OLEObject Type="Embed" ProgID="Equation.DSMT4" ShapeID="_x0000_i1336" DrawAspect="Content" ObjectID="_1791375280" r:id="rId645"/>
        </w:object>
      </w:r>
      <w:r w:rsidRPr="00A309A0">
        <w:rPr>
          <w:rFonts w:ascii="Cambria Math" w:hAnsi="Cambria Math"/>
          <w:noProof/>
          <w:sz w:val="23"/>
          <w:szCs w:val="23"/>
          <w:rtl/>
        </w:rPr>
        <w:t xml:space="preserve"> افزایش یافته و </w:t>
      </w:r>
      <w:r w:rsidRPr="00A309A0">
        <w:rPr>
          <w:rFonts w:ascii="Cambria Math" w:hAnsi="Cambria Math" w:hint="cs"/>
          <w:noProof/>
          <w:sz w:val="23"/>
          <w:szCs w:val="23"/>
          <w:rtl/>
        </w:rPr>
        <w:t xml:space="preserve">به تبع آن </w:t>
      </w:r>
      <w:r w:rsidRPr="00A309A0">
        <w:rPr>
          <w:rFonts w:ascii="Cambria Math" w:hAnsi="Cambria Math"/>
          <w:noProof/>
          <w:sz w:val="23"/>
          <w:szCs w:val="23"/>
          <w:rtl/>
        </w:rPr>
        <w:t>تولید و مصرف در آن دوره افزایش خواهند یافت. در نتیجه، اقتصاد در امتداد مسیر زینی شکل حرکت کرده و به نقطه</w:t>
      </w:r>
      <w:r w:rsidRPr="00A309A0">
        <w:rPr>
          <w:rFonts w:ascii="Cambria Math" w:hAnsi="Cambria Math"/>
          <w:noProof/>
          <w:sz w:val="23"/>
          <w:szCs w:val="23"/>
          <w:rtl/>
        </w:rPr>
        <w:softHyphen/>
        <w:t>ی تعادلی جدید</w:t>
      </w:r>
      <w:r w:rsidRPr="00025957">
        <w:rPr>
          <w:position w:val="-4"/>
        </w:rPr>
        <w:object w:dxaOrig="240" w:dyaOrig="240" w14:anchorId="74B6D4F8">
          <v:shape id="_x0000_i1337" type="#_x0000_t75" style="width:12.1pt;height:12.1pt" o:ole="">
            <v:imagedata r:id="rId646" o:title=""/>
          </v:shape>
          <o:OLEObject Type="Embed" ProgID="Equation.DSMT4" ShapeID="_x0000_i1337" DrawAspect="Content" ObjectID="_1791375281" r:id="rId647"/>
        </w:object>
      </w:r>
      <w:r w:rsidRPr="00A309A0">
        <w:rPr>
          <w:rFonts w:ascii="Cambria Math" w:hAnsi="Cambria Math"/>
          <w:noProof/>
          <w:sz w:val="23"/>
          <w:szCs w:val="23"/>
          <w:rtl/>
          <w:lang w:val="en-GB"/>
        </w:rPr>
        <w:t xml:space="preserve"> می</w:t>
      </w:r>
      <w:r w:rsidRPr="00A309A0">
        <w:rPr>
          <w:rFonts w:ascii="Cambria Math" w:hAnsi="Cambria Math"/>
          <w:noProof/>
          <w:sz w:val="23"/>
          <w:szCs w:val="23"/>
          <w:rtl/>
          <w:lang w:val="en-GB"/>
        </w:rPr>
        <w:softHyphen/>
        <w:t>رسد.</w:t>
      </w:r>
      <w:r w:rsidRPr="00A309A0">
        <w:rPr>
          <w:rFonts w:ascii="Cambria Math" w:hAnsi="Cambria Math"/>
          <w:noProof/>
          <w:sz w:val="23"/>
          <w:szCs w:val="23"/>
          <w:rtl/>
        </w:rPr>
        <w:t xml:space="preserve"> بنابراین یک شوک تکنولوژیکی مثبت دائمی، باعث افزایش تولید، مصرف و موجودی سرمایه می‌شود، لیکن در کوتاه</w:t>
      </w:r>
      <w:r w:rsidRPr="00A309A0">
        <w:rPr>
          <w:rFonts w:ascii="Cambria Math" w:hAnsi="Cambria Math"/>
          <w:noProof/>
          <w:sz w:val="23"/>
          <w:szCs w:val="23"/>
          <w:rtl/>
        </w:rPr>
        <w:softHyphen/>
        <w:t xml:space="preserve">مدت فقط مصرف را افزایش می‌دهد. </w:t>
      </w:r>
    </w:p>
    <w:p w14:paraId="59354E0C" w14:textId="77777777" w:rsidR="00411620" w:rsidRDefault="00411620" w:rsidP="00411620">
      <w:pPr>
        <w:spacing w:line="216" w:lineRule="auto"/>
        <w:rPr>
          <w:rFonts w:ascii="Cambria Math" w:hAnsi="Cambria Math"/>
          <w:noProof/>
          <w:sz w:val="23"/>
          <w:szCs w:val="23"/>
        </w:rPr>
      </w:pPr>
      <w:r w:rsidRPr="00A309A0">
        <w:rPr>
          <w:rFonts w:ascii="Cambria Math" w:hAnsi="Cambria Math"/>
          <w:noProof/>
          <w:sz w:val="23"/>
          <w:szCs w:val="23"/>
          <w:rtl/>
        </w:rPr>
        <w:t>چنانچه شوک تکنولوژیکی مثبت</w:t>
      </w:r>
      <w:r w:rsidRPr="00A309A0">
        <w:rPr>
          <w:rFonts w:ascii="Cambria Math" w:hAnsi="Cambria Math" w:hint="cs"/>
          <w:noProof/>
          <w:sz w:val="23"/>
          <w:szCs w:val="23"/>
          <w:rtl/>
        </w:rPr>
        <w:t>،</w:t>
      </w:r>
      <w:r w:rsidRPr="00A309A0">
        <w:rPr>
          <w:rFonts w:ascii="Cambria Math" w:hAnsi="Cambria Math"/>
          <w:noProof/>
          <w:sz w:val="23"/>
          <w:szCs w:val="23"/>
          <w:rtl/>
        </w:rPr>
        <w:t xml:space="preserve"> موقتی باشد، در این</w:t>
      </w:r>
      <w:r w:rsidRPr="00A309A0">
        <w:rPr>
          <w:rFonts w:ascii="Cambria Math" w:hAnsi="Cambria Math"/>
          <w:noProof/>
          <w:sz w:val="23"/>
          <w:szCs w:val="23"/>
          <w:rtl/>
        </w:rPr>
        <w:softHyphen/>
        <w:t>صورت سطح مصرف و موجودی سرمایه</w:t>
      </w:r>
      <w:r w:rsidRPr="00A309A0">
        <w:rPr>
          <w:rFonts w:ascii="Cambria Math" w:hAnsi="Cambria Math"/>
          <w:noProof/>
          <w:sz w:val="23"/>
          <w:szCs w:val="23"/>
          <w:rtl/>
        </w:rPr>
        <w:softHyphen/>
        <w:t>ی تعادلی بلندمدت بدون تغییر باقی مانده و فقط در کوتاه</w:t>
      </w:r>
      <w:r w:rsidRPr="00A309A0">
        <w:rPr>
          <w:rFonts w:ascii="Cambria Math" w:hAnsi="Cambria Math"/>
          <w:noProof/>
          <w:sz w:val="23"/>
          <w:szCs w:val="23"/>
          <w:rtl/>
        </w:rPr>
        <w:softHyphen/>
        <w:t>مدت بدلیل افزایش در تولید، مصرف افزایش یافته و هیچ</w:t>
      </w:r>
      <w:r w:rsidRPr="00A309A0">
        <w:rPr>
          <w:rFonts w:ascii="Cambria Math" w:hAnsi="Cambria Math"/>
          <w:noProof/>
          <w:sz w:val="23"/>
          <w:szCs w:val="23"/>
          <w:rtl/>
        </w:rPr>
        <w:softHyphen/>
      </w:r>
      <w:r w:rsidRPr="00A309A0">
        <w:rPr>
          <w:rFonts w:ascii="Cambria Math" w:hAnsi="Cambria Math" w:hint="cs"/>
          <w:noProof/>
          <w:sz w:val="23"/>
          <w:szCs w:val="23"/>
          <w:rtl/>
        </w:rPr>
        <w:t>گونه</w:t>
      </w:r>
      <w:r w:rsidRPr="00A309A0">
        <w:rPr>
          <w:rFonts w:ascii="Cambria Math" w:hAnsi="Cambria Math"/>
          <w:noProof/>
          <w:sz w:val="23"/>
          <w:szCs w:val="23"/>
          <w:rtl/>
        </w:rPr>
        <w:t xml:space="preserve"> سرمایه‌گذاری خالص جدیدی صورت نمی</w:t>
      </w:r>
      <w:r w:rsidRPr="00A309A0">
        <w:rPr>
          <w:rFonts w:ascii="Cambria Math" w:hAnsi="Cambria Math"/>
          <w:noProof/>
          <w:sz w:val="23"/>
          <w:szCs w:val="23"/>
          <w:rtl/>
        </w:rPr>
        <w:softHyphen/>
        <w:t>گیرد</w:t>
      </w:r>
      <w:r w:rsidRPr="00A309A0">
        <w:rPr>
          <w:rFonts w:ascii="Cambria Math" w:hAnsi="Cambria Math" w:hint="cs"/>
          <w:noProof/>
          <w:sz w:val="23"/>
          <w:szCs w:val="23"/>
          <w:rtl/>
        </w:rPr>
        <w:t>،</w:t>
      </w:r>
      <w:r w:rsidRPr="00A309A0">
        <w:rPr>
          <w:rFonts w:ascii="Cambria Math" w:hAnsi="Cambria Math"/>
          <w:noProof/>
          <w:sz w:val="23"/>
          <w:szCs w:val="23"/>
          <w:rtl/>
        </w:rPr>
        <w:t xml:space="preserve"> و در زمان </w:t>
      </w:r>
      <w:r w:rsidRPr="00B92922">
        <w:rPr>
          <w:position w:val="-6"/>
        </w:rPr>
        <w:object w:dxaOrig="440" w:dyaOrig="260" w14:anchorId="25152096">
          <v:shape id="_x0000_i1338" type="#_x0000_t75" style="width:22.4pt;height:12.7pt" o:ole="">
            <v:imagedata r:id="rId648" o:title=""/>
          </v:shape>
          <o:OLEObject Type="Embed" ProgID="Equation.DSMT4" ShapeID="_x0000_i1338" DrawAspect="Content" ObjectID="_1791375282" r:id="rId649"/>
        </w:object>
      </w:r>
      <w:r w:rsidRPr="00A309A0">
        <w:rPr>
          <w:rFonts w:ascii="Cambria Math" w:hAnsi="Cambria Math"/>
          <w:noProof/>
          <w:sz w:val="23"/>
          <w:szCs w:val="23"/>
          <w:rtl/>
        </w:rPr>
        <w:t xml:space="preserve"> سطح تعادلی مصرف به مقادیر اولیه</w:t>
      </w:r>
      <w:r w:rsidRPr="00A309A0">
        <w:rPr>
          <w:rFonts w:ascii="Cambria Math" w:hAnsi="Cambria Math"/>
          <w:noProof/>
          <w:sz w:val="23"/>
          <w:szCs w:val="23"/>
          <w:rtl/>
        </w:rPr>
        <w:softHyphen/>
        <w:t xml:space="preserve">ی خود باز خواهد گشت. </w:t>
      </w:r>
    </w:p>
    <w:p w14:paraId="6CFFFE72" w14:textId="77777777" w:rsidR="00411620" w:rsidRDefault="00411620" w:rsidP="00411620">
      <w:pPr>
        <w:spacing w:line="216" w:lineRule="auto"/>
        <w:rPr>
          <w:rFonts w:ascii="Cambria Math" w:hAnsi="Cambria Math"/>
          <w:noProof/>
          <w:sz w:val="23"/>
          <w:szCs w:val="23"/>
        </w:rPr>
      </w:pPr>
    </w:p>
    <w:p w14:paraId="33D13E52" w14:textId="77777777" w:rsidR="00411620" w:rsidRPr="00A309A0" w:rsidRDefault="00411620" w:rsidP="00411620">
      <w:pPr>
        <w:pStyle w:val="Heading1"/>
        <w:spacing w:before="0" w:after="0" w:line="216" w:lineRule="auto"/>
        <w:rPr>
          <w:rFonts w:ascii="Cambria Math" w:hAnsi="Cambria Math" w:cs="B Nazanin"/>
          <w:noProof/>
          <w:sz w:val="23"/>
          <w:szCs w:val="23"/>
          <w:rtl/>
        </w:rPr>
      </w:pPr>
      <w:r w:rsidRPr="00A309A0">
        <w:rPr>
          <w:rFonts w:ascii="Cambria Math" w:hAnsi="Cambria Math" w:cs="B Nazanin" w:hint="cs"/>
          <w:noProof/>
          <w:sz w:val="23"/>
          <w:szCs w:val="23"/>
          <w:rtl/>
        </w:rPr>
        <w:t xml:space="preserve">۲. ۶ </w:t>
      </w:r>
      <w:r w:rsidRPr="00A309A0">
        <w:rPr>
          <w:rFonts w:ascii="Cambria Math" w:hAnsi="Cambria Math" w:cs="B Nazanin"/>
          <w:noProof/>
          <w:sz w:val="23"/>
          <w:szCs w:val="23"/>
          <w:rtl/>
        </w:rPr>
        <w:t xml:space="preserve">نیروی کار در مدل اولیه </w:t>
      </w:r>
    </w:p>
    <w:p w14:paraId="7D50A0A2"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از آن</w:t>
      </w:r>
      <w:r w:rsidRPr="00A309A0">
        <w:rPr>
          <w:rFonts w:ascii="Cambria Math" w:hAnsi="Cambria Math"/>
          <w:noProof/>
          <w:sz w:val="23"/>
          <w:szCs w:val="23"/>
          <w:rtl/>
        </w:rPr>
        <w:softHyphen/>
        <w:t xml:space="preserve">جا که در مدل </w:t>
      </w:r>
      <w:r w:rsidRPr="00A309A0">
        <w:rPr>
          <w:rFonts w:ascii="Cambria Math" w:hAnsi="Cambria Math" w:hint="cs"/>
          <w:noProof/>
          <w:sz w:val="23"/>
          <w:szCs w:val="23"/>
          <w:rtl/>
        </w:rPr>
        <w:t>اولیه</w:t>
      </w:r>
      <w:r w:rsidRPr="00A309A0">
        <w:rPr>
          <w:rFonts w:ascii="Cambria Math" w:hAnsi="Cambria Math"/>
          <w:noProof/>
          <w:sz w:val="23"/>
          <w:szCs w:val="23"/>
          <w:rtl/>
        </w:rPr>
        <w:t xml:space="preserve"> تولید</w:t>
      </w:r>
      <w:r w:rsidRPr="00A309A0">
        <w:rPr>
          <w:rFonts w:ascii="Cambria Math" w:hAnsi="Cambria Math" w:hint="cs"/>
          <w:noProof/>
          <w:sz w:val="23"/>
          <w:szCs w:val="23"/>
          <w:rtl/>
        </w:rPr>
        <w:t xml:space="preserve"> فقط</w:t>
      </w:r>
      <w:r w:rsidRPr="00A309A0">
        <w:rPr>
          <w:rFonts w:ascii="Cambria Math" w:hAnsi="Cambria Math"/>
          <w:noProof/>
          <w:sz w:val="23"/>
          <w:szCs w:val="23"/>
          <w:rtl/>
        </w:rPr>
        <w:t xml:space="preserve"> تابعی </w:t>
      </w:r>
      <w:r w:rsidRPr="00A309A0">
        <w:rPr>
          <w:rFonts w:ascii="Cambria Math" w:hAnsi="Cambria Math" w:hint="cs"/>
          <w:noProof/>
          <w:sz w:val="23"/>
          <w:szCs w:val="23"/>
          <w:rtl/>
        </w:rPr>
        <w:t xml:space="preserve">است </w:t>
      </w:r>
      <w:r w:rsidRPr="00A309A0">
        <w:rPr>
          <w:rFonts w:ascii="Cambria Math" w:hAnsi="Cambria Math"/>
          <w:noProof/>
          <w:sz w:val="23"/>
          <w:szCs w:val="23"/>
          <w:rtl/>
        </w:rPr>
        <w:t>از موجودی سرمایه</w:t>
      </w:r>
      <w:r w:rsidRPr="00A309A0">
        <w:rPr>
          <w:rFonts w:ascii="Cambria Math" w:hAnsi="Cambria Math" w:hint="cs"/>
          <w:noProof/>
          <w:sz w:val="23"/>
          <w:szCs w:val="23"/>
          <w:rtl/>
        </w:rPr>
        <w:t>،</w:t>
      </w:r>
      <w:r w:rsidRPr="00A309A0">
        <w:rPr>
          <w:rFonts w:ascii="Cambria Math" w:hAnsi="Cambria Math"/>
          <w:noProof/>
          <w:sz w:val="23"/>
          <w:szCs w:val="23"/>
          <w:rtl/>
        </w:rPr>
        <w:t xml:space="preserve"> لذا نیروی کار صریحاً وارد مدل نشده و به طور ضمنی، فرض شده که خانوار مقدار ثابتی از زمان</w:t>
      </w:r>
      <w:r w:rsidRPr="00A309A0">
        <w:rPr>
          <w:rFonts w:ascii="Cambria Math" w:hAnsi="Cambria Math" w:hint="cs"/>
          <w:noProof/>
          <w:sz w:val="23"/>
          <w:szCs w:val="23"/>
          <w:rtl/>
        </w:rPr>
        <w:t>ِ</w:t>
      </w:r>
      <w:r w:rsidRPr="00A309A0">
        <w:rPr>
          <w:rFonts w:ascii="Cambria Math" w:hAnsi="Cambria Math"/>
          <w:noProof/>
          <w:sz w:val="23"/>
          <w:szCs w:val="23"/>
          <w:rtl/>
        </w:rPr>
        <w:t xml:space="preserve"> در دسترس خود را صرف کار می‌کند. اکنون اجازه می‌دهیم تا مردم بین کار و فراغت تمایز قائل شده و درخصوص مقدار زمان</w:t>
      </w:r>
      <w:r>
        <w:rPr>
          <w:rFonts w:ascii="Cambria Math" w:hAnsi="Cambria Math"/>
          <w:noProof/>
          <w:sz w:val="23"/>
          <w:szCs w:val="23"/>
        </w:rPr>
        <w:t xml:space="preserve"> </w:t>
      </w:r>
      <w:r w:rsidRPr="00A309A0">
        <w:rPr>
          <w:rFonts w:ascii="Cambria Math" w:hAnsi="Cambria Math"/>
          <w:noProof/>
          <w:sz w:val="23"/>
          <w:szCs w:val="23"/>
          <w:rtl/>
        </w:rPr>
        <w:t>کار و فراغت تصمیم بگیرند. فراغت به طور مستقیم مطلوبیت را افزایش می</w:t>
      </w:r>
      <w:r w:rsidRPr="00A309A0">
        <w:rPr>
          <w:rFonts w:ascii="Cambria Math" w:hAnsi="Cambria Math"/>
          <w:noProof/>
          <w:sz w:val="23"/>
          <w:szCs w:val="23"/>
          <w:rtl/>
        </w:rPr>
        <w:softHyphen/>
        <w:t>دهد</w:t>
      </w:r>
      <w:r w:rsidRPr="00A309A0">
        <w:rPr>
          <w:rFonts w:ascii="Cambria Math" w:hAnsi="Cambria Math" w:hint="cs"/>
          <w:noProof/>
          <w:sz w:val="23"/>
          <w:szCs w:val="23"/>
          <w:rtl/>
        </w:rPr>
        <w:t>،</w:t>
      </w:r>
      <w:r w:rsidRPr="00A309A0">
        <w:rPr>
          <w:rFonts w:ascii="Cambria Math" w:hAnsi="Cambria Math"/>
          <w:noProof/>
          <w:sz w:val="23"/>
          <w:szCs w:val="23"/>
          <w:rtl/>
        </w:rPr>
        <w:t xml:space="preserve"> و کار به</w:t>
      </w:r>
      <w:r w:rsidRPr="00A309A0">
        <w:rPr>
          <w:rFonts w:ascii="Cambria Math" w:hAnsi="Cambria Math"/>
          <w:noProof/>
          <w:sz w:val="23"/>
          <w:szCs w:val="23"/>
          <w:rtl/>
        </w:rPr>
        <w:softHyphen/>
        <w:t>طور غیرمستقیم از طریق ایجاد درآمد و مصرف</w:t>
      </w:r>
      <w:r w:rsidRPr="00A309A0">
        <w:rPr>
          <w:rFonts w:ascii="Cambria Math" w:hAnsi="Cambria Math" w:hint="cs"/>
          <w:noProof/>
          <w:sz w:val="23"/>
          <w:szCs w:val="23"/>
          <w:rtl/>
        </w:rPr>
        <w:t>،</w:t>
      </w:r>
      <w:r w:rsidRPr="00A309A0">
        <w:rPr>
          <w:rFonts w:ascii="Cambria Math" w:hAnsi="Cambria Math"/>
          <w:noProof/>
          <w:sz w:val="23"/>
          <w:szCs w:val="23"/>
          <w:rtl/>
        </w:rPr>
        <w:t xml:space="preserve"> مطلوبیت را افزایش خواهد داد. با این مفروضات قادر خواهیم بود تابع عرضه</w:t>
      </w:r>
      <w:r w:rsidRPr="00A309A0">
        <w:rPr>
          <w:rFonts w:ascii="Cambria Math" w:hAnsi="Cambria Math"/>
          <w:noProof/>
          <w:sz w:val="23"/>
          <w:szCs w:val="23"/>
          <w:rtl/>
        </w:rPr>
        <w:softHyphen/>
        <w:t xml:space="preserve">ی نیروی کار و نرخ دستمزد ضمنی را </w:t>
      </w:r>
      <w:r w:rsidRPr="00A309A0">
        <w:rPr>
          <w:rFonts w:ascii="Cambria Math" w:hAnsi="Cambria Math" w:hint="cs"/>
          <w:noProof/>
          <w:sz w:val="23"/>
          <w:szCs w:val="23"/>
          <w:rtl/>
        </w:rPr>
        <w:t xml:space="preserve">نیز </w:t>
      </w:r>
      <w:r w:rsidRPr="00A309A0">
        <w:rPr>
          <w:rFonts w:ascii="Cambria Math" w:hAnsi="Cambria Math"/>
          <w:noProof/>
          <w:sz w:val="23"/>
          <w:szCs w:val="23"/>
          <w:rtl/>
        </w:rPr>
        <w:t xml:space="preserve">استخراج نمائیم. </w:t>
      </w:r>
    </w:p>
    <w:p w14:paraId="192F66AF" w14:textId="77777777" w:rsidR="00411620" w:rsidRPr="00A309A0" w:rsidRDefault="00411620" w:rsidP="00411620">
      <w:pPr>
        <w:spacing w:line="216" w:lineRule="auto"/>
        <w:rPr>
          <w:rFonts w:ascii="Cambria Math" w:hAnsi="Cambria Math"/>
          <w:noProof/>
          <w:sz w:val="23"/>
          <w:szCs w:val="23"/>
        </w:rPr>
      </w:pPr>
    </w:p>
    <w:p w14:paraId="4A82F68E" w14:textId="77777777" w:rsidR="00411620" w:rsidRPr="00A309A0" w:rsidRDefault="00411620" w:rsidP="00411620">
      <w:pPr>
        <w:spacing w:line="216" w:lineRule="auto"/>
        <w:rPr>
          <w:rFonts w:ascii="Cambria Math" w:hAnsi="Cambria Math"/>
          <w:noProof/>
          <w:sz w:val="23"/>
          <w:szCs w:val="23"/>
        </w:rPr>
      </w:pPr>
    </w:p>
    <w:p w14:paraId="1D397B28" w14:textId="77777777" w:rsidR="00411620" w:rsidRPr="00A309A0" w:rsidRDefault="00411620" w:rsidP="00411620">
      <w:pPr>
        <w:spacing w:line="216" w:lineRule="auto"/>
        <w:jc w:val="center"/>
        <w:rPr>
          <w:rFonts w:ascii="Cambria Math" w:hAnsi="Cambria Math"/>
          <w:noProof/>
          <w:sz w:val="23"/>
          <w:szCs w:val="23"/>
          <w:rtl/>
          <w:lang w:val="en-GB" w:eastAsia="en-GB"/>
        </w:rPr>
      </w:pPr>
      <w:r w:rsidRPr="00A309A0">
        <w:rPr>
          <w:rFonts w:ascii="Cambria Math" w:hAnsi="Cambria Math" w:hint="cs"/>
          <w:noProof/>
          <w:sz w:val="23"/>
          <w:szCs w:val="23"/>
          <w:rtl/>
          <w:lang w:val="en-GB" w:eastAsia="en-GB"/>
        </w:rPr>
        <w:t>نمودار</w:t>
      </w:r>
      <w:r w:rsidRPr="00A309A0">
        <w:rPr>
          <w:rFonts w:ascii="Cambria Math" w:hAnsi="Cambria Math"/>
          <w:noProof/>
          <w:sz w:val="23"/>
          <w:szCs w:val="23"/>
          <w:rtl/>
          <w:lang w:val="en-GB" w:eastAsia="en-GB"/>
        </w:rPr>
        <w:t xml:space="preserve"> </w:t>
      </w:r>
      <w:r w:rsidRPr="00A309A0">
        <w:rPr>
          <w:rFonts w:ascii="Cambria Math" w:hAnsi="Cambria Math" w:hint="cs"/>
          <w:noProof/>
          <w:sz w:val="23"/>
          <w:szCs w:val="23"/>
          <w:rtl/>
          <w:lang w:val="en-GB" w:eastAsia="en-GB"/>
        </w:rPr>
        <w:t>۲. ۱۱</w:t>
      </w:r>
    </w:p>
    <w:p w14:paraId="413671A4" w14:textId="77777777" w:rsidR="00411620" w:rsidRPr="00A309A0" w:rsidRDefault="00411620" w:rsidP="00411620">
      <w:pPr>
        <w:spacing w:line="216" w:lineRule="auto"/>
        <w:jc w:val="center"/>
        <w:rPr>
          <w:rFonts w:ascii="Cambria Math" w:hAnsi="Cambria Math"/>
          <w:noProof/>
          <w:sz w:val="23"/>
          <w:szCs w:val="23"/>
          <w:rtl/>
          <w:lang w:val="en-GB" w:eastAsia="en-GB"/>
        </w:rPr>
      </w:pPr>
      <w:r w:rsidRPr="00A309A0">
        <w:rPr>
          <w:rFonts w:ascii="Cambria Math" w:hAnsi="Cambria Math"/>
          <w:noProof/>
          <w:sz w:val="23"/>
          <w:szCs w:val="23"/>
          <w:u w:val="single"/>
          <w:lang w:bidi="ar-SA"/>
        </w:rPr>
        <w:drawing>
          <wp:inline distT="0" distB="0" distL="0" distR="0" wp14:anchorId="5B4CB702" wp14:editId="2915A28B">
            <wp:extent cx="3652562" cy="2056497"/>
            <wp:effectExtent l="38100" t="38100" r="43180" b="393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0" cstate="print">
                      <a:lum contrast="20000"/>
                      <a:extLst>
                        <a:ext uri="{28A0092B-C50C-407E-A947-70E740481C1C}">
                          <a14:useLocalDpi xmlns:a14="http://schemas.microsoft.com/office/drawing/2010/main" val="0"/>
                        </a:ext>
                      </a:extLst>
                    </a:blip>
                    <a:srcRect/>
                    <a:stretch>
                      <a:fillRect/>
                    </a:stretch>
                  </pic:blipFill>
                  <pic:spPr bwMode="auto">
                    <a:xfrm>
                      <a:off x="0" y="0"/>
                      <a:ext cx="3672061" cy="2067475"/>
                    </a:xfrm>
                    <a:prstGeom prst="rect">
                      <a:avLst/>
                    </a:prstGeom>
                    <a:ln w="28575">
                      <a:solidFill>
                        <a:schemeClr val="tx1"/>
                      </a:solidFill>
                    </a:ln>
                  </pic:spPr>
                </pic:pic>
              </a:graphicData>
            </a:graphic>
          </wp:inline>
        </w:drawing>
      </w:r>
    </w:p>
    <w:p w14:paraId="60B27EB0" w14:textId="77777777" w:rsidR="00411620" w:rsidRPr="00A309A0" w:rsidRDefault="00411620" w:rsidP="00411620">
      <w:pPr>
        <w:spacing w:line="216" w:lineRule="auto"/>
        <w:jc w:val="center"/>
        <w:rPr>
          <w:rFonts w:ascii="Cambria Math" w:hAnsi="Cambria Math"/>
          <w:noProof/>
          <w:sz w:val="23"/>
          <w:szCs w:val="23"/>
          <w:rtl/>
          <w:lang w:val="en-GB" w:eastAsia="en-GB"/>
        </w:rPr>
      </w:pPr>
    </w:p>
    <w:p w14:paraId="3AB3052C" w14:textId="77777777" w:rsidR="00411620" w:rsidRPr="00A309A0" w:rsidRDefault="00411620" w:rsidP="00411620">
      <w:pPr>
        <w:spacing w:line="216" w:lineRule="auto"/>
        <w:jc w:val="center"/>
        <w:rPr>
          <w:rFonts w:ascii="Cambria Math" w:hAnsi="Cambria Math"/>
          <w:noProof/>
          <w:sz w:val="23"/>
          <w:szCs w:val="23"/>
          <w:rtl/>
        </w:rPr>
      </w:pPr>
      <w:r w:rsidRPr="00A309A0">
        <w:rPr>
          <w:rFonts w:ascii="Cambria Math" w:hAnsi="Cambria Math" w:hint="cs"/>
          <w:noProof/>
          <w:sz w:val="23"/>
          <w:szCs w:val="23"/>
          <w:rtl/>
          <w:lang w:val="en-GB" w:eastAsia="en-GB"/>
        </w:rPr>
        <w:t>نمودار</w:t>
      </w:r>
      <w:r w:rsidRPr="00A309A0">
        <w:rPr>
          <w:rFonts w:ascii="Cambria Math" w:hAnsi="Cambria Math"/>
          <w:noProof/>
          <w:sz w:val="23"/>
          <w:szCs w:val="23"/>
          <w:rtl/>
          <w:lang w:val="en-GB" w:eastAsia="en-GB"/>
        </w:rPr>
        <w:t xml:space="preserve"> </w:t>
      </w:r>
      <w:r w:rsidRPr="00A309A0">
        <w:rPr>
          <w:rFonts w:ascii="Cambria Math" w:hAnsi="Cambria Math" w:hint="cs"/>
          <w:noProof/>
          <w:sz w:val="23"/>
          <w:szCs w:val="23"/>
          <w:rtl/>
          <w:lang w:val="en-GB" w:eastAsia="en-GB"/>
        </w:rPr>
        <w:t>۲. ۱۲</w:t>
      </w:r>
    </w:p>
    <w:p w14:paraId="00DA3DA8" w14:textId="77777777" w:rsidR="00411620" w:rsidRPr="00A309A0" w:rsidRDefault="00411620" w:rsidP="00411620">
      <w:pPr>
        <w:spacing w:line="216" w:lineRule="auto"/>
        <w:jc w:val="center"/>
        <w:rPr>
          <w:rFonts w:ascii="Cambria Math" w:hAnsi="Cambria Math"/>
          <w:noProof/>
          <w:sz w:val="23"/>
          <w:szCs w:val="23"/>
          <w:rtl/>
        </w:rPr>
      </w:pPr>
      <w:r w:rsidRPr="00A309A0">
        <w:rPr>
          <w:rFonts w:ascii="Cambria Math" w:hAnsi="Cambria Math"/>
          <w:noProof/>
          <w:sz w:val="23"/>
          <w:szCs w:val="23"/>
          <w:u w:val="single"/>
          <w:rtl/>
          <w:lang w:bidi="ar-SA"/>
        </w:rPr>
        <w:lastRenderedPageBreak/>
        <w:drawing>
          <wp:inline distT="0" distB="0" distL="0" distR="0" wp14:anchorId="3E0967AB" wp14:editId="09DAD54E">
            <wp:extent cx="3650410" cy="2009512"/>
            <wp:effectExtent l="38100" t="38100" r="45720" b="292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1" cstate="print">
                      <a:lum contrast="20000"/>
                      <a:extLst>
                        <a:ext uri="{28A0092B-C50C-407E-A947-70E740481C1C}">
                          <a14:useLocalDpi xmlns:a14="http://schemas.microsoft.com/office/drawing/2010/main" val="0"/>
                        </a:ext>
                      </a:extLst>
                    </a:blip>
                    <a:srcRect/>
                    <a:stretch>
                      <a:fillRect/>
                    </a:stretch>
                  </pic:blipFill>
                  <pic:spPr bwMode="auto">
                    <a:xfrm>
                      <a:off x="0" y="0"/>
                      <a:ext cx="3679345" cy="2025440"/>
                    </a:xfrm>
                    <a:prstGeom prst="rect">
                      <a:avLst/>
                    </a:prstGeom>
                    <a:ln w="28575">
                      <a:solidFill>
                        <a:schemeClr val="tx1"/>
                      </a:solidFill>
                    </a:ln>
                  </pic:spPr>
                </pic:pic>
              </a:graphicData>
            </a:graphic>
          </wp:inline>
        </w:drawing>
      </w:r>
    </w:p>
    <w:p w14:paraId="4F7C133F" w14:textId="77777777" w:rsidR="00411620" w:rsidRPr="00A309A0" w:rsidRDefault="00411620" w:rsidP="00411620">
      <w:pPr>
        <w:spacing w:line="216" w:lineRule="auto"/>
        <w:rPr>
          <w:rFonts w:ascii="Cambria Math" w:hAnsi="Cambria Math"/>
          <w:noProof/>
          <w:sz w:val="23"/>
          <w:szCs w:val="23"/>
          <w:rtl/>
        </w:rPr>
      </w:pPr>
    </w:p>
    <w:p w14:paraId="65FB4116"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 xml:space="preserve">فرض </w:t>
      </w:r>
      <w:r w:rsidRPr="00A309A0">
        <w:rPr>
          <w:rFonts w:ascii="Cambria Math" w:hAnsi="Cambria Math"/>
          <w:noProof/>
          <w:sz w:val="23"/>
          <w:szCs w:val="23"/>
          <w:rtl/>
        </w:rPr>
        <w:softHyphen/>
        <w:t>کنید کل مقدار زمان</w:t>
      </w:r>
      <w:r w:rsidRPr="00A309A0">
        <w:rPr>
          <w:rFonts w:ascii="Cambria Math" w:hAnsi="Cambria Math" w:hint="cs"/>
          <w:noProof/>
          <w:sz w:val="23"/>
          <w:szCs w:val="23"/>
          <w:rtl/>
        </w:rPr>
        <w:t>ِ</w:t>
      </w:r>
      <w:r w:rsidRPr="00A309A0">
        <w:rPr>
          <w:rFonts w:ascii="Cambria Math" w:hAnsi="Cambria Math"/>
          <w:noProof/>
          <w:sz w:val="23"/>
          <w:szCs w:val="23"/>
          <w:rtl/>
        </w:rPr>
        <w:t xml:space="preserve"> در دسترس خانوار به یک واحد نرمالایز شده، به</w:t>
      </w:r>
      <w:r w:rsidRPr="00A309A0">
        <w:rPr>
          <w:rFonts w:ascii="Cambria Math" w:hAnsi="Cambria Math"/>
          <w:noProof/>
          <w:sz w:val="23"/>
          <w:szCs w:val="23"/>
          <w:rtl/>
        </w:rPr>
        <w:softHyphen/>
        <w:t>طوری</w:t>
      </w:r>
      <w:r w:rsidRPr="00A309A0">
        <w:rPr>
          <w:rFonts w:ascii="Cambria Math" w:hAnsi="Cambria Math"/>
          <w:noProof/>
          <w:sz w:val="23"/>
          <w:szCs w:val="23"/>
          <w:rtl/>
        </w:rPr>
        <w:softHyphen/>
        <w:t>که</w:t>
      </w:r>
      <w:r w:rsidRPr="00B92922">
        <w:rPr>
          <w:position w:val="-10"/>
        </w:rPr>
        <w:object w:dxaOrig="900" w:dyaOrig="320" w14:anchorId="368FE2F3">
          <v:shape id="_x0000_i1339" type="#_x0000_t75" style="width:44.75pt;height:15.75pt" o:ole="">
            <v:imagedata r:id="rId652" o:title=""/>
          </v:shape>
          <o:OLEObject Type="Embed" ProgID="Equation.DSMT4" ShapeID="_x0000_i1339" DrawAspect="Content" ObjectID="_1791375283" r:id="rId653"/>
        </w:object>
      </w:r>
      <w:r w:rsidRPr="00A309A0">
        <w:rPr>
          <w:rFonts w:ascii="Cambria Math" w:eastAsiaTheme="minorEastAsia" w:hAnsi="Cambria Math"/>
          <w:noProof/>
          <w:sz w:val="23"/>
          <w:szCs w:val="23"/>
          <w:rtl/>
        </w:rPr>
        <w:t xml:space="preserve">، </w:t>
      </w:r>
      <w:r w:rsidRPr="00A309A0">
        <w:rPr>
          <w:rFonts w:ascii="Cambria Math" w:eastAsiaTheme="minorEastAsia" w:hAnsi="Cambria Math" w:hint="cs"/>
          <w:noProof/>
          <w:sz w:val="23"/>
          <w:szCs w:val="23"/>
          <w:rtl/>
        </w:rPr>
        <w:t xml:space="preserve">و </w:t>
      </w:r>
      <w:r w:rsidRPr="00A309A0">
        <w:rPr>
          <w:rFonts w:ascii="Cambria Math" w:eastAsiaTheme="minorEastAsia" w:hAnsi="Cambria Math"/>
          <w:noProof/>
          <w:sz w:val="23"/>
          <w:szCs w:val="23"/>
          <w:rtl/>
        </w:rPr>
        <w:t>در آن</w:t>
      </w:r>
      <w:r w:rsidRPr="00B92922">
        <w:rPr>
          <w:position w:val="-10"/>
        </w:rPr>
        <w:object w:dxaOrig="240" w:dyaOrig="320" w14:anchorId="4902508E">
          <v:shape id="_x0000_i1340" type="#_x0000_t75" style="width:12.1pt;height:15.75pt" o:ole="">
            <v:imagedata r:id="rId654" o:title=""/>
          </v:shape>
          <o:OLEObject Type="Embed" ProgID="Equation.DSMT4" ShapeID="_x0000_i1340" DrawAspect="Content" ObjectID="_1791375284" r:id="rId655"/>
        </w:object>
      </w:r>
      <w:r w:rsidRPr="00A309A0">
        <w:rPr>
          <w:rFonts w:ascii="Cambria Math" w:hAnsi="Cambria Math"/>
          <w:noProof/>
          <w:sz w:val="23"/>
          <w:szCs w:val="23"/>
          <w:rtl/>
        </w:rPr>
        <w:t xml:space="preserve"> مدت زمان کار و</w:t>
      </w:r>
      <w:r w:rsidRPr="00B92922">
        <w:rPr>
          <w:position w:val="-10"/>
        </w:rPr>
        <w:object w:dxaOrig="180" w:dyaOrig="320" w14:anchorId="78D92DFA">
          <v:shape id="_x0000_i1341" type="#_x0000_t75" style="width:9.1pt;height:15.75pt" o:ole="">
            <v:imagedata r:id="rId656" o:title=""/>
          </v:shape>
          <o:OLEObject Type="Embed" ProgID="Equation.DSMT4" ShapeID="_x0000_i1341" DrawAspect="Content" ObjectID="_1791375285" r:id="rId657"/>
        </w:object>
      </w:r>
      <w:r w:rsidRPr="00A309A0">
        <w:rPr>
          <w:rFonts w:ascii="Cambria Math" w:hAnsi="Cambria Math"/>
          <w:noProof/>
          <w:sz w:val="23"/>
          <w:szCs w:val="23"/>
          <w:rtl/>
        </w:rPr>
        <w:t xml:space="preserve"> اوقات فراغت است. در مدل پایه، </w:t>
      </w:r>
      <w:r w:rsidRPr="00B92922">
        <w:rPr>
          <w:position w:val="-10"/>
        </w:rPr>
        <w:object w:dxaOrig="580" w:dyaOrig="320" w14:anchorId="3EC5BA38">
          <v:shape id="_x0000_i1342" type="#_x0000_t75" style="width:29.05pt;height:15.75pt" o:ole="">
            <v:imagedata r:id="rId658" o:title=""/>
          </v:shape>
          <o:OLEObject Type="Embed" ProgID="Equation.DSMT4" ShapeID="_x0000_i1342" DrawAspect="Content" ObjectID="_1791375286" r:id="rId659"/>
        </w:object>
      </w:r>
      <w:r w:rsidRPr="00A309A0">
        <w:rPr>
          <w:rFonts w:ascii="Cambria Math" w:eastAsiaTheme="minorEastAsia" w:hAnsi="Cambria Math"/>
          <w:noProof/>
          <w:sz w:val="23"/>
          <w:szCs w:val="23"/>
          <w:rtl/>
        </w:rPr>
        <w:t xml:space="preserve"> می</w:t>
      </w:r>
      <w:r w:rsidRPr="00A309A0">
        <w:rPr>
          <w:rFonts w:ascii="Cambria Math" w:eastAsiaTheme="minorEastAsia" w:hAnsi="Cambria Math"/>
          <w:noProof/>
          <w:sz w:val="23"/>
          <w:szCs w:val="23"/>
          <w:rtl/>
        </w:rPr>
        <w:softHyphen/>
        <w:t xml:space="preserve">باشد </w:t>
      </w:r>
      <w:r w:rsidRPr="00A309A0">
        <w:rPr>
          <w:rFonts w:ascii="Cambria Math" w:hAnsi="Cambria Math"/>
          <w:noProof/>
          <w:sz w:val="23"/>
          <w:szCs w:val="23"/>
          <w:rtl/>
        </w:rPr>
        <w:t>در حالی</w:t>
      </w:r>
      <w:r w:rsidRPr="00A309A0">
        <w:rPr>
          <w:rFonts w:ascii="Cambria Math" w:hAnsi="Cambria Math"/>
          <w:noProof/>
          <w:sz w:val="23"/>
          <w:szCs w:val="23"/>
          <w:rtl/>
        </w:rPr>
        <w:softHyphen/>
        <w:t xml:space="preserve">که اکنون اجازه می‌دهیم </w:t>
      </w:r>
      <w:r w:rsidRPr="00B92922">
        <w:rPr>
          <w:position w:val="-10"/>
        </w:rPr>
        <w:object w:dxaOrig="240" w:dyaOrig="320" w14:anchorId="4285CD7C">
          <v:shape id="_x0000_i1343" type="#_x0000_t75" style="width:12.1pt;height:15.75pt" o:ole="">
            <v:imagedata r:id="rId660" o:title=""/>
          </v:shape>
          <o:OLEObject Type="Embed" ProgID="Equation.DSMT4" ShapeID="_x0000_i1343" DrawAspect="Content" ObjectID="_1791375287" r:id="rId661"/>
        </w:object>
      </w:r>
      <w:r w:rsidRPr="00A309A0">
        <w:rPr>
          <w:rFonts w:ascii="Cambria Math" w:hAnsi="Cambria Math"/>
          <w:noProof/>
          <w:sz w:val="23"/>
          <w:szCs w:val="23"/>
          <w:rtl/>
        </w:rPr>
        <w:t xml:space="preserve"> توسط خانوار </w:t>
      </w:r>
      <w:r w:rsidRPr="00A309A0">
        <w:rPr>
          <w:rFonts w:ascii="Cambria Math" w:hAnsi="Cambria Math" w:hint="cs"/>
          <w:noProof/>
          <w:sz w:val="23"/>
          <w:szCs w:val="23"/>
          <w:rtl/>
        </w:rPr>
        <w:t xml:space="preserve">تعیین </w:t>
      </w:r>
      <w:r w:rsidRPr="00A309A0">
        <w:rPr>
          <w:rFonts w:ascii="Cambria Math" w:hAnsi="Cambria Math"/>
          <w:noProof/>
          <w:sz w:val="23"/>
          <w:szCs w:val="23"/>
          <w:rtl/>
        </w:rPr>
        <w:t>شود. همچنین فرض کنید مطلوبیت خانوار از طریق مصرف و فراغت حاصل می</w:t>
      </w:r>
      <w:r w:rsidRPr="00A309A0">
        <w:rPr>
          <w:rFonts w:ascii="Cambria Math" w:hAnsi="Cambria Math"/>
          <w:noProof/>
          <w:sz w:val="23"/>
          <w:szCs w:val="23"/>
          <w:rtl/>
        </w:rPr>
        <w:softHyphen/>
        <w:t>شود. بنابراین تابع مطلوبیت به صورت</w:t>
      </w:r>
      <w:r w:rsidRPr="00B92922">
        <w:rPr>
          <w:position w:val="-12"/>
        </w:rPr>
        <w:object w:dxaOrig="780" w:dyaOrig="360" w14:anchorId="2228F167">
          <v:shape id="_x0000_i1344" type="#_x0000_t75" style="width:38.7pt;height:18.15pt" o:ole="">
            <v:imagedata r:id="rId662" o:title=""/>
          </v:shape>
          <o:OLEObject Type="Embed" ProgID="Equation.DSMT4" ShapeID="_x0000_i1344" DrawAspect="Content" ObjectID="_1791375288" r:id="rId663"/>
        </w:object>
      </w:r>
      <w:r w:rsidRPr="00A309A0">
        <w:rPr>
          <w:rFonts w:ascii="Cambria Math" w:hAnsi="Cambria Math"/>
          <w:noProof/>
          <w:sz w:val="23"/>
          <w:szCs w:val="23"/>
          <w:rtl/>
        </w:rPr>
        <w:t xml:space="preserve"> بازنویسی می‌شود، که در آن </w:t>
      </w:r>
      <w:r w:rsidRPr="00B92922">
        <w:rPr>
          <w:position w:val="-10"/>
        </w:rPr>
        <w:object w:dxaOrig="660" w:dyaOrig="320" w14:anchorId="17C1D0B7">
          <v:shape id="_x0000_i1345" type="#_x0000_t75" style="width:32.65pt;height:15.75pt" o:ole="">
            <v:imagedata r:id="rId664" o:title=""/>
          </v:shape>
          <o:OLEObject Type="Embed" ProgID="Equation.DSMT4" ShapeID="_x0000_i1345" DrawAspect="Content" ObjectID="_1791375289" r:id="rId665"/>
        </w:object>
      </w:r>
      <w:r w:rsidRPr="00A309A0">
        <w:rPr>
          <w:rFonts w:ascii="Cambria Math" w:hAnsi="Cambria Math" w:hint="cs"/>
          <w:sz w:val="23"/>
          <w:szCs w:val="23"/>
          <w:rtl/>
        </w:rPr>
        <w:t xml:space="preserve">، </w:t>
      </w:r>
      <w:r w:rsidRPr="00B92922">
        <w:rPr>
          <w:position w:val="-10"/>
        </w:rPr>
        <w:object w:dxaOrig="639" w:dyaOrig="320" w14:anchorId="0170BD39">
          <v:shape id="_x0000_i1346" type="#_x0000_t75" style="width:31.45pt;height:15.75pt" o:ole="">
            <v:imagedata r:id="rId666" o:title=""/>
          </v:shape>
          <o:OLEObject Type="Embed" ProgID="Equation.DSMT4" ShapeID="_x0000_i1346" DrawAspect="Content" ObjectID="_1791375290" r:id="rId667"/>
        </w:object>
      </w:r>
      <w:r w:rsidRPr="00A309A0">
        <w:rPr>
          <w:rFonts w:ascii="Cambria Math" w:hAnsi="Cambria Math"/>
          <w:noProof/>
          <w:sz w:val="23"/>
          <w:szCs w:val="23"/>
          <w:rtl/>
        </w:rPr>
        <w:t xml:space="preserve">، </w:t>
      </w:r>
      <w:r w:rsidRPr="00B92922">
        <w:rPr>
          <w:position w:val="-10"/>
        </w:rPr>
        <w:object w:dxaOrig="700" w:dyaOrig="320" w14:anchorId="5D17E4C9">
          <v:shape id="_x0000_i1347" type="#_x0000_t75" style="width:35.1pt;height:15.75pt" o:ole="">
            <v:imagedata r:id="rId668" o:title=""/>
          </v:shape>
          <o:OLEObject Type="Embed" ProgID="Equation.DSMT4" ShapeID="_x0000_i1347" DrawAspect="Content" ObjectID="_1791375291" r:id="rId669"/>
        </w:object>
      </w:r>
      <w:r w:rsidRPr="00A309A0">
        <w:rPr>
          <w:rFonts w:ascii="Cambria Math" w:hAnsi="Cambria Math"/>
          <w:noProof/>
          <w:sz w:val="23"/>
          <w:szCs w:val="23"/>
          <w:rtl/>
        </w:rPr>
        <w:t xml:space="preserve">، و </w:t>
      </w:r>
      <w:r w:rsidRPr="00B92922">
        <w:rPr>
          <w:position w:val="-10"/>
        </w:rPr>
        <w:object w:dxaOrig="680" w:dyaOrig="320" w14:anchorId="78B0CBE2">
          <v:shape id="_x0000_i1348" type="#_x0000_t75" style="width:33.9pt;height:15.75pt" o:ole="">
            <v:imagedata r:id="rId670" o:title=""/>
          </v:shape>
          <o:OLEObject Type="Embed" ProgID="Equation.DSMT4" ShapeID="_x0000_i1348" DrawAspect="Content" ObjectID="_1791375292" r:id="rId671"/>
        </w:object>
      </w:r>
      <w:r w:rsidRPr="00A309A0">
        <w:rPr>
          <w:rFonts w:ascii="Cambria Math" w:eastAsiaTheme="minorEastAsia" w:hAnsi="Cambria Math"/>
          <w:noProof/>
          <w:sz w:val="23"/>
          <w:szCs w:val="23"/>
          <w:rtl/>
        </w:rPr>
        <w:t xml:space="preserve"> است</w:t>
      </w:r>
      <w:r w:rsidRPr="00A309A0">
        <w:rPr>
          <w:rFonts w:ascii="Cambria Math" w:hAnsi="Cambria Math"/>
          <w:noProof/>
          <w:sz w:val="23"/>
          <w:szCs w:val="23"/>
          <w:rtl/>
        </w:rPr>
        <w:t xml:space="preserve">. به عبارت دیگر، مطلوبیت نهایی مصرف و فراغت مثبت، اما نرخ </w:t>
      </w:r>
      <w:r w:rsidRPr="00A309A0">
        <w:rPr>
          <w:rFonts w:ascii="Cambria Math" w:hAnsi="Cambria Math" w:hint="cs"/>
          <w:noProof/>
          <w:sz w:val="23"/>
          <w:szCs w:val="23"/>
          <w:rtl/>
        </w:rPr>
        <w:t xml:space="preserve">آن </w:t>
      </w:r>
      <w:r w:rsidRPr="00A309A0">
        <w:rPr>
          <w:rFonts w:ascii="Cambria Math" w:hAnsi="Cambria Math"/>
          <w:noProof/>
          <w:sz w:val="23"/>
          <w:szCs w:val="23"/>
          <w:rtl/>
        </w:rPr>
        <w:t xml:space="preserve">کاهنده </w:t>
      </w:r>
      <w:r w:rsidRPr="00A309A0">
        <w:rPr>
          <w:rFonts w:ascii="Cambria Math" w:hAnsi="Cambria Math" w:hint="cs"/>
          <w:noProof/>
          <w:sz w:val="23"/>
          <w:szCs w:val="23"/>
          <w:rtl/>
        </w:rPr>
        <w:t>خواهد بود</w:t>
      </w:r>
      <w:r w:rsidRPr="00A309A0">
        <w:rPr>
          <w:rFonts w:ascii="Cambria Math" w:hAnsi="Cambria Math"/>
          <w:noProof/>
          <w:sz w:val="23"/>
          <w:szCs w:val="23"/>
          <w:rtl/>
        </w:rPr>
        <w:t>. برای سهولت</w:t>
      </w:r>
      <w:r w:rsidRPr="00A309A0">
        <w:rPr>
          <w:rFonts w:ascii="Cambria Math" w:hAnsi="Cambria Math" w:hint="cs"/>
          <w:noProof/>
          <w:sz w:val="23"/>
          <w:szCs w:val="23"/>
          <w:rtl/>
        </w:rPr>
        <w:t>،</w:t>
      </w:r>
      <w:r w:rsidRPr="00A309A0">
        <w:rPr>
          <w:rFonts w:ascii="Cambria Math" w:hAnsi="Cambria Math"/>
          <w:noProof/>
          <w:sz w:val="23"/>
          <w:szCs w:val="23"/>
          <w:rtl/>
        </w:rPr>
        <w:t xml:space="preserve"> فرض می‌کنیم بین مصرف و فراغت جانشینی وجود ندارد و </w:t>
      </w:r>
      <w:r w:rsidRPr="00B92922">
        <w:rPr>
          <w:position w:val="-10"/>
        </w:rPr>
        <w:object w:dxaOrig="680" w:dyaOrig="320" w14:anchorId="318A92BD">
          <v:shape id="_x0000_i1349" type="#_x0000_t75" style="width:33.9pt;height:15.75pt" o:ole="">
            <v:imagedata r:id="rId672" o:title=""/>
          </v:shape>
          <o:OLEObject Type="Embed" ProgID="Equation.DSMT4" ShapeID="_x0000_i1349" DrawAspect="Content" ObjectID="_1791375293" r:id="rId673"/>
        </w:object>
      </w:r>
      <w:r w:rsidRPr="00A309A0">
        <w:rPr>
          <w:rFonts w:ascii="Cambria Math" w:eastAsiaTheme="minorEastAsia" w:hAnsi="Cambria Math"/>
          <w:noProof/>
          <w:sz w:val="23"/>
          <w:szCs w:val="23"/>
          <w:rtl/>
        </w:rPr>
        <w:t xml:space="preserve"> است</w:t>
      </w:r>
      <w:r w:rsidRPr="00A309A0">
        <w:rPr>
          <w:rFonts w:ascii="Cambria Math" w:hAnsi="Cambria Math" w:hint="cs"/>
          <w:noProof/>
          <w:sz w:val="23"/>
          <w:szCs w:val="23"/>
          <w:rtl/>
        </w:rPr>
        <w:t>.</w:t>
      </w:r>
      <w:r w:rsidRPr="00A309A0">
        <w:rPr>
          <w:rFonts w:ascii="Cambria Math" w:hAnsi="Cambria Math"/>
          <w:noProof/>
          <w:sz w:val="23"/>
          <w:szCs w:val="23"/>
          <w:rtl/>
        </w:rPr>
        <w:t xml:space="preserve"> همچنین کار و موجودی سرمایه نهاده</w:t>
      </w:r>
      <w:r w:rsidRPr="00A309A0">
        <w:rPr>
          <w:rFonts w:ascii="Cambria Math" w:hAnsi="Cambria Math"/>
          <w:noProof/>
          <w:sz w:val="23"/>
          <w:szCs w:val="23"/>
          <w:rtl/>
        </w:rPr>
        <w:softHyphen/>
        <w:t>های تولید می</w:t>
      </w:r>
      <w:r w:rsidRPr="00A309A0">
        <w:rPr>
          <w:rFonts w:ascii="Cambria Math" w:hAnsi="Cambria Math"/>
          <w:noProof/>
          <w:sz w:val="23"/>
          <w:szCs w:val="23"/>
          <w:rtl/>
        </w:rPr>
        <w:softHyphen/>
        <w:t>باشند، بطوری</w:t>
      </w:r>
      <w:r w:rsidRPr="00A309A0">
        <w:rPr>
          <w:rFonts w:ascii="Cambria Math" w:hAnsi="Cambria Math"/>
          <w:noProof/>
          <w:sz w:val="23"/>
          <w:szCs w:val="23"/>
          <w:rtl/>
        </w:rPr>
        <w:softHyphen/>
        <w:t xml:space="preserve">که تابع تولید عبارت است از </w:t>
      </w:r>
      <w:r w:rsidRPr="00B92922">
        <w:rPr>
          <w:position w:val="-12"/>
        </w:rPr>
        <w:object w:dxaOrig="859" w:dyaOrig="360" w14:anchorId="2C2C3D65">
          <v:shape id="_x0000_i1350" type="#_x0000_t75" style="width:42.95pt;height:18.15pt" o:ole="">
            <v:imagedata r:id="rId674" o:title=""/>
          </v:shape>
          <o:OLEObject Type="Embed" ProgID="Equation.DSMT4" ShapeID="_x0000_i1350" DrawAspect="Content" ObjectID="_1791375294" r:id="rId675"/>
        </w:object>
      </w:r>
      <w:r w:rsidRPr="00A309A0">
        <w:rPr>
          <w:rFonts w:ascii="Cambria Math" w:hAnsi="Cambria Math"/>
          <w:noProof/>
          <w:sz w:val="23"/>
          <w:szCs w:val="23"/>
          <w:rtl/>
        </w:rPr>
        <w:t xml:space="preserve">، و </w:t>
      </w:r>
      <w:r w:rsidRPr="00B92922">
        <w:rPr>
          <w:position w:val="-10"/>
        </w:rPr>
        <w:object w:dxaOrig="639" w:dyaOrig="320" w14:anchorId="383C1246">
          <v:shape id="_x0000_i1351" type="#_x0000_t75" style="width:31.45pt;height:15.75pt" o:ole="">
            <v:imagedata r:id="rId676" o:title=""/>
          </v:shape>
          <o:OLEObject Type="Embed" ProgID="Equation.DSMT4" ShapeID="_x0000_i1351" DrawAspect="Content" ObjectID="_1791375295" r:id="rId677"/>
        </w:object>
      </w:r>
      <w:r w:rsidRPr="00A309A0">
        <w:rPr>
          <w:rFonts w:ascii="Cambria Math" w:hAnsi="Cambria Math"/>
          <w:noProof/>
          <w:sz w:val="23"/>
          <w:szCs w:val="23"/>
          <w:rtl/>
        </w:rPr>
        <w:t xml:space="preserve">، </w:t>
      </w:r>
      <w:r w:rsidRPr="00B92922">
        <w:rPr>
          <w:position w:val="-10"/>
        </w:rPr>
        <w:object w:dxaOrig="720" w:dyaOrig="320" w14:anchorId="7395E550">
          <v:shape id="_x0000_i1352" type="#_x0000_t75" style="width:36.3pt;height:15.75pt" o:ole="">
            <v:imagedata r:id="rId678" o:title=""/>
          </v:shape>
          <o:OLEObject Type="Embed" ProgID="Equation.DSMT4" ShapeID="_x0000_i1352" DrawAspect="Content" ObjectID="_1791375296" r:id="rId679"/>
        </w:object>
      </w:r>
      <w:r w:rsidRPr="00A309A0">
        <w:rPr>
          <w:rFonts w:ascii="Cambria Math" w:hAnsi="Cambria Math"/>
          <w:noProof/>
          <w:sz w:val="23"/>
          <w:szCs w:val="23"/>
          <w:rtl/>
        </w:rPr>
        <w:t xml:space="preserve">، </w:t>
      </w:r>
      <w:r w:rsidRPr="00B92922">
        <w:rPr>
          <w:position w:val="-10"/>
        </w:rPr>
        <w:object w:dxaOrig="660" w:dyaOrig="320" w14:anchorId="588B1EC1">
          <v:shape id="_x0000_i1353" type="#_x0000_t75" style="width:32.65pt;height:15.75pt" o:ole="">
            <v:imagedata r:id="rId680" o:title=""/>
          </v:shape>
          <o:OLEObject Type="Embed" ProgID="Equation.DSMT4" ShapeID="_x0000_i1353" DrawAspect="Content" ObjectID="_1791375297" r:id="rId681"/>
        </w:object>
      </w:r>
      <w:r w:rsidRPr="00A309A0">
        <w:rPr>
          <w:rFonts w:ascii="Cambria Math" w:hAnsi="Cambria Math"/>
          <w:noProof/>
          <w:sz w:val="23"/>
          <w:szCs w:val="23"/>
          <w:rtl/>
        </w:rPr>
        <w:t xml:space="preserve">، </w:t>
      </w:r>
      <w:r w:rsidRPr="00B92922">
        <w:rPr>
          <w:position w:val="-10"/>
        </w:rPr>
        <w:object w:dxaOrig="720" w:dyaOrig="320" w14:anchorId="6C27B325">
          <v:shape id="_x0000_i1354" type="#_x0000_t75" style="width:36.3pt;height:15.75pt" o:ole="">
            <v:imagedata r:id="rId682" o:title=""/>
          </v:shape>
          <o:OLEObject Type="Embed" ProgID="Equation.DSMT4" ShapeID="_x0000_i1354" DrawAspect="Content" ObjectID="_1791375298" r:id="rId683"/>
        </w:object>
      </w:r>
      <w:r w:rsidRPr="00A309A0">
        <w:rPr>
          <w:rFonts w:ascii="Cambria Math" w:hAnsi="Cambria Math"/>
          <w:noProof/>
          <w:sz w:val="23"/>
          <w:szCs w:val="23"/>
          <w:rtl/>
        </w:rPr>
        <w:t xml:space="preserve">، </w:t>
      </w:r>
      <w:r w:rsidRPr="00B92922">
        <w:rPr>
          <w:position w:val="-10"/>
        </w:rPr>
        <w:object w:dxaOrig="720" w:dyaOrig="320" w14:anchorId="4A1074E6">
          <v:shape id="_x0000_i1355" type="#_x0000_t75" style="width:36.3pt;height:15.75pt" o:ole="">
            <v:imagedata r:id="rId684" o:title=""/>
          </v:shape>
          <o:OLEObject Type="Embed" ProgID="Equation.DSMT4" ShapeID="_x0000_i1355" DrawAspect="Content" ObjectID="_1791375299" r:id="rId685"/>
        </w:object>
      </w:r>
      <w:r w:rsidRPr="00A309A0">
        <w:rPr>
          <w:rFonts w:ascii="Cambria Math" w:hAnsi="Cambria Math"/>
          <w:noProof/>
          <w:sz w:val="23"/>
          <w:szCs w:val="23"/>
          <w:rtl/>
        </w:rPr>
        <w:t xml:space="preserve">، </w:t>
      </w:r>
      <w:r w:rsidRPr="00B92922">
        <w:rPr>
          <w:position w:val="-18"/>
        </w:rPr>
        <w:object w:dxaOrig="1840" w:dyaOrig="400" w14:anchorId="7461691A">
          <v:shape id="_x0000_i1356" type="#_x0000_t75" style="width:91.35pt;height:19.95pt" o:ole="">
            <v:imagedata r:id="rId686" o:title=""/>
          </v:shape>
          <o:OLEObject Type="Embed" ProgID="Equation.DSMT4" ShapeID="_x0000_i1356" DrawAspect="Content" ObjectID="_1791375300" r:id="rId687"/>
        </w:object>
      </w:r>
      <w:r w:rsidRPr="00A309A0">
        <w:rPr>
          <w:rFonts w:ascii="Cambria Math" w:eastAsiaTheme="minorEastAsia" w:hAnsi="Cambria Math"/>
          <w:noProof/>
          <w:sz w:val="23"/>
          <w:szCs w:val="23"/>
          <w:rtl/>
        </w:rPr>
        <w:t xml:space="preserve"> و</w:t>
      </w:r>
      <w:r w:rsidRPr="00A309A0">
        <w:rPr>
          <w:rFonts w:ascii="Cambria Math" w:hAnsi="Cambria Math"/>
          <w:noProof/>
          <w:sz w:val="23"/>
          <w:szCs w:val="23"/>
          <w:rtl/>
        </w:rPr>
        <w:t xml:space="preserve"> </w:t>
      </w:r>
      <w:r w:rsidRPr="00B92922">
        <w:rPr>
          <w:position w:val="-18"/>
        </w:rPr>
        <w:object w:dxaOrig="1800" w:dyaOrig="400" w14:anchorId="580A0A92">
          <v:shape id="_x0000_i1357" type="#_x0000_t75" style="width:90.15pt;height:19.95pt" o:ole="">
            <v:imagedata r:id="rId688" o:title=""/>
          </v:shape>
          <o:OLEObject Type="Embed" ProgID="Equation.DSMT4" ShapeID="_x0000_i1357" DrawAspect="Content" ObjectID="_1791375301" r:id="rId689"/>
        </w:object>
      </w:r>
      <w:r w:rsidRPr="00A309A0">
        <w:rPr>
          <w:rFonts w:ascii="Cambria Math" w:hAnsi="Cambria Math"/>
          <w:noProof/>
          <w:sz w:val="23"/>
          <w:szCs w:val="23"/>
          <w:rtl/>
        </w:rPr>
        <w:t xml:space="preserve"> </w:t>
      </w:r>
      <w:r w:rsidRPr="00A309A0">
        <w:rPr>
          <w:rFonts w:ascii="Cambria Math" w:eastAsiaTheme="minorEastAsia" w:hAnsi="Cambria Math"/>
          <w:noProof/>
          <w:sz w:val="23"/>
          <w:szCs w:val="23"/>
          <w:rtl/>
        </w:rPr>
        <w:t>است</w:t>
      </w:r>
      <w:r w:rsidRPr="00A309A0">
        <w:rPr>
          <w:rFonts w:ascii="Cambria Math" w:hAnsi="Cambria Math"/>
          <w:noProof/>
          <w:sz w:val="23"/>
          <w:szCs w:val="23"/>
          <w:rtl/>
        </w:rPr>
        <w:t xml:space="preserve">. </w:t>
      </w:r>
    </w:p>
    <w:p w14:paraId="72FCCF31" w14:textId="77777777" w:rsidR="00411620" w:rsidRPr="00A309A0" w:rsidRDefault="00411620" w:rsidP="00411620">
      <w:pPr>
        <w:spacing w:line="216" w:lineRule="auto"/>
        <w:rPr>
          <w:rFonts w:ascii="Cambria Math" w:hAnsi="Cambria Math"/>
          <w:noProof/>
          <w:sz w:val="23"/>
          <w:szCs w:val="23"/>
        </w:rPr>
      </w:pPr>
      <w:r w:rsidRPr="00A309A0">
        <w:rPr>
          <w:rFonts w:ascii="Cambria Math" w:hAnsi="Cambria Math"/>
          <w:noProof/>
          <w:sz w:val="23"/>
          <w:szCs w:val="23"/>
          <w:rtl/>
        </w:rPr>
        <w:t>کارگزار نمونه در اقتصاد</w:t>
      </w:r>
      <w:r w:rsidRPr="00A309A0">
        <w:rPr>
          <w:rFonts w:ascii="Cambria Math" w:hAnsi="Cambria Math" w:hint="cs"/>
          <w:noProof/>
          <w:sz w:val="23"/>
          <w:szCs w:val="23"/>
          <w:rtl/>
        </w:rPr>
        <w:t>،</w:t>
      </w:r>
      <w:r w:rsidRPr="00A309A0">
        <w:rPr>
          <w:rFonts w:ascii="Cambria Math" w:hAnsi="Cambria Math"/>
          <w:noProof/>
          <w:sz w:val="23"/>
          <w:szCs w:val="23"/>
          <w:rtl/>
        </w:rPr>
        <w:t xml:space="preserve"> مطلوبیت تنزیل شده را نسبت به قید منبع </w:t>
      </w:r>
      <w:r w:rsidRPr="00A309A0">
        <w:rPr>
          <w:rFonts w:ascii="Cambria Math" w:hAnsi="Cambria Math" w:hint="cs"/>
          <w:noProof/>
          <w:sz w:val="23"/>
          <w:szCs w:val="23"/>
          <w:rtl/>
        </w:rPr>
        <w:t>اقتصاد</w:t>
      </w:r>
      <w:r w:rsidRPr="00A309A0">
        <w:rPr>
          <w:rFonts w:ascii="Cambria Math" w:hAnsi="Cambria Math"/>
          <w:noProof/>
          <w:sz w:val="23"/>
          <w:szCs w:val="23"/>
          <w:rtl/>
        </w:rPr>
        <w:t xml:space="preserve"> </w:t>
      </w:r>
      <w:r w:rsidRPr="00B92922">
        <w:rPr>
          <w:position w:val="-12"/>
        </w:rPr>
        <w:object w:dxaOrig="2659" w:dyaOrig="360" w14:anchorId="14447442">
          <v:shape id="_x0000_i1358" type="#_x0000_t75" style="width:132.5pt;height:18.15pt" o:ole="">
            <v:imagedata r:id="rId690" o:title=""/>
          </v:shape>
          <o:OLEObject Type="Embed" ProgID="Equation.DSMT4" ShapeID="_x0000_i1358" DrawAspect="Content" ObjectID="_1791375302" r:id="rId691"/>
        </w:object>
      </w:r>
      <w:r w:rsidRPr="00A309A0">
        <w:rPr>
          <w:rFonts w:ascii="Cambria Math" w:hAnsi="Cambria Math"/>
          <w:noProof/>
          <w:sz w:val="23"/>
          <w:szCs w:val="23"/>
          <w:rtl/>
        </w:rPr>
        <w:t xml:space="preserve"> و قید نیروی کار </w:t>
      </w:r>
      <w:r w:rsidRPr="00B92922">
        <w:rPr>
          <w:position w:val="-10"/>
        </w:rPr>
        <w:object w:dxaOrig="900" w:dyaOrig="320" w14:anchorId="212CCD10">
          <v:shape id="_x0000_i1359" type="#_x0000_t75" style="width:44.75pt;height:15.75pt" o:ole="">
            <v:imagedata r:id="rId692" o:title=""/>
          </v:shape>
          <o:OLEObject Type="Embed" ProgID="Equation.DSMT4" ShapeID="_x0000_i1359" DrawAspect="Content" ObjectID="_1791375303" r:id="rId693"/>
        </w:object>
      </w:r>
      <w:r w:rsidRPr="00A309A0">
        <w:rPr>
          <w:rFonts w:ascii="Cambria Math" w:hAnsi="Cambria Math" w:hint="cs"/>
          <w:sz w:val="23"/>
          <w:szCs w:val="23"/>
          <w:rtl/>
        </w:rPr>
        <w:t>،</w:t>
      </w:r>
      <w:r w:rsidRPr="00A309A0">
        <w:rPr>
          <w:rFonts w:ascii="Cambria Math" w:hAnsi="Cambria Math"/>
          <w:noProof/>
          <w:sz w:val="23"/>
          <w:szCs w:val="23"/>
          <w:rtl/>
        </w:rPr>
        <w:t xml:space="preserve"> و بر حسب متغیرهای مصرف،</w:t>
      </w:r>
      <w:r w:rsidRPr="00A309A0">
        <w:rPr>
          <w:rFonts w:ascii="Cambria Math" w:hAnsi="Cambria Math" w:hint="cs"/>
          <w:noProof/>
          <w:sz w:val="23"/>
          <w:szCs w:val="23"/>
          <w:rtl/>
        </w:rPr>
        <w:t xml:space="preserve"> </w:t>
      </w:r>
      <w:r w:rsidRPr="00A309A0">
        <w:rPr>
          <w:rFonts w:ascii="Cambria Math" w:hAnsi="Cambria Math"/>
          <w:noProof/>
          <w:sz w:val="23"/>
          <w:szCs w:val="23"/>
          <w:rtl/>
        </w:rPr>
        <w:t xml:space="preserve">موجودی سرمایه و کار و فراغت و همچنین دو ضریب لاگرانژ حداکثر می‌کند. بنابراین لاگرانژین </w:t>
      </w:r>
      <w:r w:rsidRPr="00A309A0">
        <w:rPr>
          <w:rFonts w:ascii="Cambria Math" w:hAnsi="Cambria Math" w:hint="cs"/>
          <w:noProof/>
          <w:sz w:val="23"/>
          <w:szCs w:val="23"/>
          <w:rtl/>
        </w:rPr>
        <w:t xml:space="preserve">این مسئله </w:t>
      </w:r>
      <w:r w:rsidRPr="00A309A0">
        <w:rPr>
          <w:rFonts w:ascii="Cambria Math" w:hAnsi="Cambria Math"/>
          <w:noProof/>
          <w:sz w:val="23"/>
          <w:szCs w:val="23"/>
          <w:rtl/>
        </w:rPr>
        <w:t>عبارت است از؛</w:t>
      </w:r>
    </w:p>
    <w:p w14:paraId="67A581B6" w14:textId="77777777" w:rsidR="00411620" w:rsidRPr="00A309A0" w:rsidRDefault="00411620" w:rsidP="00411620">
      <w:pPr>
        <w:bidi w:val="0"/>
        <w:spacing w:line="216" w:lineRule="auto"/>
        <w:rPr>
          <w:rFonts w:ascii="Cambria Math" w:hAnsi="Cambria Math"/>
          <w:noProof/>
          <w:sz w:val="23"/>
          <w:szCs w:val="23"/>
          <w:rtl/>
        </w:rPr>
      </w:pPr>
      <w:r w:rsidRPr="00B92922">
        <w:rPr>
          <w:position w:val="-34"/>
        </w:rPr>
        <w:object w:dxaOrig="6120" w:dyaOrig="780" w14:anchorId="4EC3A46C">
          <v:shape id="_x0000_i1360" type="#_x0000_t75" style="width:306.15pt;height:38.7pt" o:ole="">
            <v:imagedata r:id="rId694" o:title=""/>
          </v:shape>
          <o:OLEObject Type="Embed" ProgID="Equation.DSMT4" ShapeID="_x0000_i1360" DrawAspect="Content" ObjectID="_1791375304" r:id="rId695"/>
        </w:object>
      </w:r>
      <w:r w:rsidRPr="00A309A0">
        <w:rPr>
          <w:rFonts w:ascii="Cambria Math" w:hAnsi="Cambria Math"/>
          <w:noProof/>
          <w:sz w:val="23"/>
          <w:szCs w:val="23"/>
          <w:rtl/>
        </w:rPr>
        <w:t xml:space="preserve"> </w:t>
      </w:r>
    </w:p>
    <w:p w14:paraId="536E0725" w14:textId="77777777" w:rsidR="00411620" w:rsidRPr="00A309A0" w:rsidRDefault="00411620" w:rsidP="00411620">
      <w:pPr>
        <w:spacing w:line="216" w:lineRule="auto"/>
        <w:rPr>
          <w:rFonts w:ascii="Cambria Math" w:hAnsi="Cambria Math"/>
          <w:noProof/>
          <w:sz w:val="23"/>
          <w:szCs w:val="23"/>
        </w:rPr>
      </w:pPr>
      <w:r w:rsidRPr="00A309A0">
        <w:rPr>
          <w:rFonts w:ascii="Cambria Math" w:hAnsi="Cambria Math"/>
          <w:noProof/>
          <w:sz w:val="23"/>
          <w:szCs w:val="23"/>
          <w:rtl/>
        </w:rPr>
        <w:t xml:space="preserve">شروط مرتبه اول برابر است با </w:t>
      </w:r>
    </w:p>
    <w:p w14:paraId="3F150316" w14:textId="77777777" w:rsidR="00411620" w:rsidRPr="00A309A0" w:rsidRDefault="00411620" w:rsidP="00411620">
      <w:pPr>
        <w:pStyle w:val="MTDisplayEquation"/>
        <w:tabs>
          <w:tab w:val="clear" w:pos="6660"/>
        </w:tabs>
        <w:spacing w:line="216" w:lineRule="auto"/>
        <w:rPr>
          <w:rFonts w:ascii="Cambria Math" w:eastAsiaTheme="minorEastAsia" w:hAnsi="Cambria Math" w:cs="B Nazanin"/>
          <w:noProof/>
          <w:sz w:val="23"/>
          <w:szCs w:val="23"/>
        </w:rPr>
      </w:pPr>
      <w:r w:rsidRPr="00B92922">
        <w:rPr>
          <w:position w:val="-28"/>
        </w:rPr>
        <w:object w:dxaOrig="3460" w:dyaOrig="639" w14:anchorId="42879342">
          <v:shape id="_x0000_i1361" type="#_x0000_t75" style="width:172.45pt;height:31.45pt" o:ole="">
            <v:imagedata r:id="rId696" o:title=""/>
          </v:shape>
          <o:OLEObject Type="Embed" ProgID="Equation.DSMT4" ShapeID="_x0000_i1361" DrawAspect="Content" ObjectID="_1791375305" r:id="rId697"/>
        </w:object>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Pr>
          <w:rFonts w:ascii="Cambria Math" w:hAnsi="Cambria Math" w:cs="B Nazanin"/>
          <w:sz w:val="23"/>
          <w:szCs w:val="23"/>
          <w:rtl/>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hint="cs"/>
          <w:sz w:val="23"/>
          <w:szCs w:val="23"/>
          <w:rtl/>
        </w:rPr>
        <w:t>(۲. ۲۵)</w:t>
      </w:r>
    </w:p>
    <w:p w14:paraId="24244B5F" w14:textId="77777777" w:rsidR="00411620" w:rsidRPr="00A309A0" w:rsidRDefault="00411620" w:rsidP="00411620">
      <w:pPr>
        <w:pStyle w:val="MTDisplayEquation"/>
        <w:tabs>
          <w:tab w:val="clear" w:pos="6660"/>
        </w:tabs>
        <w:spacing w:line="216" w:lineRule="auto"/>
        <w:rPr>
          <w:rFonts w:ascii="Cambria Math" w:hAnsi="Cambria Math" w:cs="B Nazanin"/>
          <w:noProof/>
          <w:sz w:val="23"/>
          <w:szCs w:val="23"/>
          <w:rtl/>
        </w:rPr>
      </w:pPr>
      <w:r w:rsidRPr="00B92922">
        <w:rPr>
          <w:position w:val="-28"/>
        </w:rPr>
        <w:object w:dxaOrig="3440" w:dyaOrig="639" w14:anchorId="66292484">
          <v:shape id="_x0000_i1362" type="#_x0000_t75" style="width:171.85pt;height:31.45pt" o:ole="">
            <v:imagedata r:id="rId698" o:title=""/>
          </v:shape>
          <o:OLEObject Type="Embed" ProgID="Equation.DSMT4" ShapeID="_x0000_i1362" DrawAspect="Content" ObjectID="_1791375306" r:id="rId699"/>
        </w:object>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Pr>
          <w:rFonts w:ascii="Cambria Math" w:hAnsi="Cambria Math" w:cs="B Nazanin"/>
          <w:sz w:val="23"/>
          <w:szCs w:val="23"/>
          <w:rtl/>
        </w:rPr>
        <w:tab/>
      </w:r>
      <w:r w:rsidRPr="00A309A0">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hint="cs"/>
          <w:sz w:val="23"/>
          <w:szCs w:val="23"/>
          <w:rtl/>
        </w:rPr>
        <w:t>(۲. ۲۶)</w:t>
      </w:r>
    </w:p>
    <w:p w14:paraId="1F6C2FF7" w14:textId="77777777" w:rsidR="00411620" w:rsidRPr="00A309A0" w:rsidRDefault="00411620" w:rsidP="00411620">
      <w:pPr>
        <w:pStyle w:val="MTDisplayEquation"/>
        <w:tabs>
          <w:tab w:val="clear" w:pos="6660"/>
        </w:tabs>
        <w:spacing w:line="216" w:lineRule="auto"/>
        <w:rPr>
          <w:rFonts w:ascii="Cambria Math" w:hAnsi="Cambria Math" w:cs="B Nazanin"/>
          <w:noProof/>
          <w:sz w:val="23"/>
          <w:szCs w:val="23"/>
          <w:rtl/>
        </w:rPr>
      </w:pPr>
      <w:r w:rsidRPr="00B92922">
        <w:rPr>
          <w:position w:val="-28"/>
        </w:rPr>
        <w:object w:dxaOrig="3600" w:dyaOrig="639" w14:anchorId="536AB81D">
          <v:shape id="_x0000_i1363" type="#_x0000_t75" style="width:180.3pt;height:31.45pt" o:ole="">
            <v:imagedata r:id="rId700" o:title=""/>
          </v:shape>
          <o:OLEObject Type="Embed" ProgID="Equation.DSMT4" ShapeID="_x0000_i1363" DrawAspect="Content" ObjectID="_1791375307" r:id="rId701"/>
        </w:object>
      </w:r>
      <w:r w:rsidRPr="00A309A0">
        <w:rPr>
          <w:rFonts w:ascii="Cambria Math" w:hAnsi="Cambria Math" w:cs="B Nazanin"/>
          <w:sz w:val="23"/>
          <w:szCs w:val="23"/>
          <w:rtl/>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tl/>
        </w:rPr>
        <w:tab/>
      </w:r>
      <w:r>
        <w:rPr>
          <w:rFonts w:ascii="Cambria Math" w:hAnsi="Cambria Math" w:cs="B Nazanin"/>
          <w:sz w:val="23"/>
          <w:szCs w:val="23"/>
        </w:rPr>
        <w:tab/>
      </w:r>
      <w:r>
        <w:rPr>
          <w:rFonts w:ascii="Cambria Math" w:hAnsi="Cambria Math" w:cs="B Nazanin"/>
          <w:sz w:val="23"/>
          <w:szCs w:val="23"/>
          <w:rtl/>
        </w:rPr>
        <w:tab/>
      </w:r>
      <w:r>
        <w:rPr>
          <w:rFonts w:ascii="Cambria Math" w:hAnsi="Cambria Math" w:cs="B Nazanin"/>
          <w:sz w:val="23"/>
          <w:szCs w:val="23"/>
          <w:rtl/>
        </w:rPr>
        <w:tab/>
      </w:r>
      <w:r w:rsidRPr="00A309A0">
        <w:rPr>
          <w:rFonts w:ascii="Cambria Math" w:hAnsi="Cambria Math" w:cs="B Nazanin" w:hint="cs"/>
          <w:sz w:val="23"/>
          <w:szCs w:val="23"/>
          <w:rtl/>
        </w:rPr>
        <w:t>(۲. ۲۷)</w:t>
      </w:r>
    </w:p>
    <w:p w14:paraId="1478CFE7" w14:textId="77777777" w:rsidR="00411620" w:rsidRPr="00A309A0" w:rsidRDefault="00411620" w:rsidP="00411620">
      <w:pPr>
        <w:pStyle w:val="MTDisplayEquation"/>
        <w:tabs>
          <w:tab w:val="clear" w:pos="6660"/>
        </w:tabs>
        <w:spacing w:line="216" w:lineRule="auto"/>
        <w:rPr>
          <w:rFonts w:ascii="Cambria Math" w:hAnsi="Cambria Math" w:cs="B Nazanin"/>
          <w:noProof/>
          <w:sz w:val="23"/>
          <w:szCs w:val="23"/>
          <w:rtl/>
        </w:rPr>
      </w:pPr>
      <w:r w:rsidRPr="00B92922">
        <w:rPr>
          <w:position w:val="-28"/>
        </w:rPr>
        <w:object w:dxaOrig="4380" w:dyaOrig="639" w14:anchorId="40261A69">
          <v:shape id="_x0000_i1364" type="#_x0000_t75" style="width:219.65pt;height:31.45pt" o:ole="">
            <v:imagedata r:id="rId702" o:title=""/>
          </v:shape>
          <o:OLEObject Type="Embed" ProgID="Equation.DSMT4" ShapeID="_x0000_i1364" DrawAspect="Content" ObjectID="_1791375308" r:id="rId703"/>
        </w:object>
      </w:r>
      <w:r w:rsidRPr="00A309A0">
        <w:rPr>
          <w:rFonts w:ascii="Cambria Math" w:hAnsi="Cambria Math" w:cs="B Nazanin"/>
          <w:sz w:val="23"/>
          <w:szCs w:val="23"/>
          <w:rtl/>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tl/>
        </w:rPr>
        <w:tab/>
      </w:r>
      <w:r>
        <w:rPr>
          <w:rFonts w:ascii="Cambria Math" w:hAnsi="Cambria Math" w:cs="B Nazanin"/>
          <w:sz w:val="23"/>
          <w:szCs w:val="23"/>
          <w:rtl/>
        </w:rPr>
        <w:tab/>
      </w:r>
      <w:r>
        <w:rPr>
          <w:rFonts w:ascii="Cambria Math" w:hAnsi="Cambria Math" w:cs="B Nazanin"/>
          <w:sz w:val="23"/>
          <w:szCs w:val="23"/>
          <w:rtl/>
        </w:rPr>
        <w:tab/>
      </w:r>
      <w:r w:rsidRPr="00A309A0">
        <w:rPr>
          <w:rFonts w:ascii="Cambria Math" w:hAnsi="Cambria Math" w:cs="B Nazanin" w:hint="cs"/>
          <w:sz w:val="23"/>
          <w:szCs w:val="23"/>
          <w:rtl/>
        </w:rPr>
        <w:t>(۲. ۲۸)</w:t>
      </w:r>
    </w:p>
    <w:p w14:paraId="79CC9B18"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اگر معادله</w:t>
      </w:r>
      <w:r w:rsidRPr="00A309A0">
        <w:rPr>
          <w:rFonts w:ascii="Cambria Math" w:hAnsi="Cambria Math"/>
          <w:noProof/>
          <w:sz w:val="23"/>
          <w:szCs w:val="23"/>
          <w:rtl/>
        </w:rPr>
        <w:softHyphen/>
        <w:t xml:space="preserve">ی اول از شروط مرتبه اول را برای </w:t>
      </w:r>
      <w:r w:rsidRPr="00B92922">
        <w:rPr>
          <w:position w:val="-8"/>
        </w:rPr>
        <w:object w:dxaOrig="740" w:dyaOrig="279" w14:anchorId="10CFFAE0">
          <v:shape id="_x0000_i1365" type="#_x0000_t75" style="width:36.9pt;height:14.5pt" o:ole="">
            <v:imagedata r:id="rId704" o:title=""/>
          </v:shape>
          <o:OLEObject Type="Embed" ProgID="Equation.DSMT4" ShapeID="_x0000_i1365" DrawAspect="Content" ObjectID="_1791375309" r:id="rId705"/>
        </w:object>
      </w:r>
      <w:r w:rsidRPr="00A309A0">
        <w:rPr>
          <w:rFonts w:ascii="Cambria Math" w:eastAsiaTheme="minorEastAsia" w:hAnsi="Cambria Math"/>
          <w:noProof/>
          <w:sz w:val="23"/>
          <w:szCs w:val="23"/>
          <w:rtl/>
          <w:lang w:val="en-GB"/>
        </w:rPr>
        <w:t xml:space="preserve">حل کرده و در </w:t>
      </w:r>
      <w:r w:rsidRPr="00A309A0">
        <w:rPr>
          <w:rFonts w:ascii="Cambria Math" w:hAnsi="Cambria Math"/>
          <w:noProof/>
          <w:sz w:val="23"/>
          <w:szCs w:val="23"/>
          <w:rtl/>
        </w:rPr>
        <w:t>معادله</w:t>
      </w:r>
      <w:r w:rsidRPr="00A309A0">
        <w:rPr>
          <w:rFonts w:ascii="Cambria Math" w:hAnsi="Cambria Math"/>
          <w:noProof/>
          <w:sz w:val="23"/>
          <w:szCs w:val="23"/>
          <w:rtl/>
        </w:rPr>
        <w:softHyphen/>
        <w:t xml:space="preserve">ی چهارم برای </w:t>
      </w:r>
      <w:r w:rsidRPr="00B92922">
        <w:rPr>
          <w:position w:val="-6"/>
        </w:rPr>
        <w:object w:dxaOrig="499" w:dyaOrig="260" w14:anchorId="15D816DB">
          <v:shape id="_x0000_i1366" type="#_x0000_t75" style="width:24.8pt;height:13.3pt" o:ole="">
            <v:imagedata r:id="rId706" o:title=""/>
          </v:shape>
          <o:OLEObject Type="Embed" ProgID="Equation.DSMT4" ShapeID="_x0000_i1366" DrawAspect="Content" ObjectID="_1791375310" r:id="rId707"/>
        </w:object>
      </w:r>
      <w:r w:rsidRPr="00A309A0">
        <w:rPr>
          <w:rFonts w:ascii="Cambria Math" w:hAnsi="Cambria Math"/>
          <w:noProof/>
          <w:sz w:val="23"/>
          <w:szCs w:val="23"/>
          <w:rtl/>
        </w:rPr>
        <w:t xml:space="preserve"> قرار دهیم خواهیم داشت؛</w:t>
      </w:r>
    </w:p>
    <w:p w14:paraId="3966E12E" w14:textId="77777777" w:rsidR="00411620" w:rsidRPr="00A309A0" w:rsidRDefault="00411620" w:rsidP="00411620">
      <w:pPr>
        <w:pStyle w:val="MTDisplayEquation"/>
        <w:tabs>
          <w:tab w:val="clear" w:pos="6660"/>
        </w:tabs>
        <w:spacing w:line="216" w:lineRule="auto"/>
        <w:rPr>
          <w:rFonts w:ascii="Cambria Math" w:hAnsi="Cambria Math" w:cs="B Nazanin"/>
          <w:noProof/>
          <w:sz w:val="23"/>
          <w:szCs w:val="23"/>
          <w:rtl/>
        </w:rPr>
      </w:pPr>
      <w:r w:rsidRPr="00B92922">
        <w:rPr>
          <w:position w:val="-30"/>
        </w:rPr>
        <w:object w:dxaOrig="2460" w:dyaOrig="680" w14:anchorId="1DF17ADF">
          <v:shape id="_x0000_i1367" type="#_x0000_t75" style="width:122.8pt;height:33.9pt" o:ole="">
            <v:imagedata r:id="rId708" o:title=""/>
          </v:shape>
          <o:OLEObject Type="Embed" ProgID="Equation.DSMT4" ShapeID="_x0000_i1367" DrawAspect="Content" ObjectID="_1791375311" r:id="rId709"/>
        </w:object>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tl/>
        </w:rPr>
        <w:tab/>
      </w:r>
      <w:r>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hint="cs"/>
          <w:sz w:val="23"/>
          <w:szCs w:val="23"/>
          <w:rtl/>
        </w:rPr>
        <w:t>(۲. ۲۹)</w:t>
      </w:r>
      <w:r w:rsidRPr="00A309A0">
        <w:rPr>
          <w:rFonts w:ascii="Cambria Math" w:hAnsi="Cambria Math" w:cs="B Nazanin" w:hint="cs"/>
          <w:sz w:val="23"/>
          <w:szCs w:val="23"/>
        </w:rPr>
        <w:t xml:space="preserve"> </w:t>
      </w:r>
    </w:p>
    <w:p w14:paraId="3AD9661F"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که همان معادله</w:t>
      </w:r>
      <w:r w:rsidRPr="00A309A0">
        <w:rPr>
          <w:rFonts w:ascii="Cambria Math" w:hAnsi="Cambria Math"/>
          <w:noProof/>
          <w:sz w:val="23"/>
          <w:szCs w:val="23"/>
          <w:rtl/>
        </w:rPr>
        <w:softHyphen/>
        <w:t xml:space="preserve">ی اویلر قبل </w:t>
      </w:r>
      <w:r w:rsidRPr="00A309A0">
        <w:rPr>
          <w:rFonts w:ascii="Cambria Math" w:hAnsi="Cambria Math" w:hint="cs"/>
          <w:noProof/>
          <w:sz w:val="23"/>
          <w:szCs w:val="23"/>
          <w:rtl/>
        </w:rPr>
        <w:t>بدست می</w:t>
      </w:r>
      <w:r w:rsidRPr="00A309A0">
        <w:rPr>
          <w:rFonts w:ascii="Cambria Math" w:hAnsi="Cambria Math"/>
          <w:noProof/>
          <w:sz w:val="23"/>
          <w:szCs w:val="23"/>
          <w:rtl/>
        </w:rPr>
        <w:softHyphen/>
      </w:r>
      <w:r w:rsidRPr="00A309A0">
        <w:rPr>
          <w:rFonts w:ascii="Cambria Math" w:hAnsi="Cambria Math" w:hint="cs"/>
          <w:noProof/>
          <w:sz w:val="23"/>
          <w:szCs w:val="23"/>
          <w:rtl/>
        </w:rPr>
        <w:t>آید</w:t>
      </w:r>
      <w:r w:rsidRPr="00A309A0">
        <w:rPr>
          <w:rFonts w:ascii="Cambria Math" w:hAnsi="Cambria Math"/>
          <w:noProof/>
          <w:sz w:val="23"/>
          <w:szCs w:val="23"/>
          <w:rtl/>
        </w:rPr>
        <w:t>.</w:t>
      </w:r>
    </w:p>
    <w:p w14:paraId="412F86E2"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از شر</w:t>
      </w:r>
      <w:r w:rsidRPr="00A309A0">
        <w:rPr>
          <w:rFonts w:ascii="Cambria Math" w:hAnsi="Cambria Math" w:hint="cs"/>
          <w:noProof/>
          <w:sz w:val="23"/>
          <w:szCs w:val="23"/>
          <w:rtl/>
        </w:rPr>
        <w:t>ای</w:t>
      </w:r>
      <w:r w:rsidRPr="00A309A0">
        <w:rPr>
          <w:rFonts w:ascii="Cambria Math" w:hAnsi="Cambria Math"/>
          <w:noProof/>
          <w:sz w:val="23"/>
          <w:szCs w:val="23"/>
          <w:rtl/>
        </w:rPr>
        <w:t xml:space="preserve">ط مرتبه اول مربوط </w:t>
      </w:r>
      <w:r w:rsidRPr="00A309A0">
        <w:rPr>
          <w:rFonts w:ascii="Cambria Math" w:hAnsi="Cambria Math" w:hint="cs"/>
          <w:noProof/>
          <w:sz w:val="23"/>
          <w:szCs w:val="23"/>
          <w:rtl/>
        </w:rPr>
        <w:t xml:space="preserve">به </w:t>
      </w:r>
      <w:r w:rsidRPr="00A309A0">
        <w:rPr>
          <w:rFonts w:ascii="Cambria Math" w:hAnsi="Cambria Math"/>
          <w:noProof/>
          <w:sz w:val="23"/>
          <w:szCs w:val="23"/>
          <w:rtl/>
        </w:rPr>
        <w:t>مصرف، فراغت و کار به ترتیب داریم؛</w:t>
      </w:r>
    </w:p>
    <w:p w14:paraId="57565ADA"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rPr>
      </w:pPr>
      <w:r w:rsidRPr="00B92922">
        <w:rPr>
          <w:position w:val="-12"/>
        </w:rPr>
        <w:object w:dxaOrig="1260" w:dyaOrig="360" w14:anchorId="54037009">
          <v:shape id="_x0000_i1368" type="#_x0000_t75" style="width:62.9pt;height:18.15pt" o:ole="">
            <v:imagedata r:id="rId710" o:title=""/>
          </v:shape>
          <o:OLEObject Type="Embed" ProgID="Equation.DSMT4" ShapeID="_x0000_i1368" DrawAspect="Content" ObjectID="_1791375312" r:id="rId711"/>
        </w:object>
      </w:r>
    </w:p>
    <w:p w14:paraId="26E8335D" w14:textId="77777777" w:rsidR="00411620" w:rsidRPr="00A309A0" w:rsidRDefault="00411620" w:rsidP="00411620">
      <w:pPr>
        <w:pStyle w:val="MTDisplayEquation"/>
        <w:spacing w:line="216" w:lineRule="auto"/>
        <w:rPr>
          <w:rFonts w:ascii="Cambria Math" w:hAnsi="Cambria Math" w:cs="B Nazanin"/>
          <w:noProof/>
          <w:sz w:val="23"/>
          <w:szCs w:val="23"/>
          <w:rtl/>
        </w:rPr>
      </w:pPr>
      <w:r w:rsidRPr="00B92922">
        <w:rPr>
          <w:position w:val="-12"/>
        </w:rPr>
        <w:object w:dxaOrig="1260" w:dyaOrig="360" w14:anchorId="22EDFDDC">
          <v:shape id="_x0000_i1369" type="#_x0000_t75" style="width:62.9pt;height:18.15pt" o:ole="">
            <v:imagedata r:id="rId712" o:title=""/>
          </v:shape>
          <o:OLEObject Type="Embed" ProgID="Equation.DSMT4" ShapeID="_x0000_i1369" DrawAspect="Content" ObjectID="_1791375313" r:id="rId713"/>
        </w:object>
      </w:r>
    </w:p>
    <w:p w14:paraId="35074C48"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rtl/>
        </w:rPr>
      </w:pPr>
      <w:r w:rsidRPr="00B92922">
        <w:rPr>
          <w:position w:val="-12"/>
        </w:rPr>
        <w:object w:dxaOrig="4500" w:dyaOrig="360" w14:anchorId="1F30ACAD">
          <v:shape id="_x0000_i1370" type="#_x0000_t75" style="width:225.1pt;height:18.15pt" o:ole="">
            <v:imagedata r:id="rId714" o:title=""/>
          </v:shape>
          <o:OLEObject Type="Embed" ProgID="Equation.DSMT4" ShapeID="_x0000_i1370" DrawAspect="Content" ObjectID="_1791375314" r:id="rId715"/>
        </w:object>
      </w:r>
    </w:p>
    <w:p w14:paraId="7406234B" w14:textId="77777777" w:rsidR="00411620" w:rsidRPr="00A309A0" w:rsidRDefault="00411620" w:rsidP="00411620">
      <w:pPr>
        <w:spacing w:line="216" w:lineRule="auto"/>
        <w:rPr>
          <w:rFonts w:ascii="Cambria Math" w:hAnsi="Cambria Math"/>
          <w:noProof/>
          <w:sz w:val="23"/>
          <w:szCs w:val="23"/>
          <w:rtl/>
        </w:rPr>
      </w:pPr>
      <w:r w:rsidRPr="00A309A0">
        <w:rPr>
          <w:rFonts w:ascii="Cambria Math" w:eastAsiaTheme="minorEastAsia" w:hAnsi="Cambria Math"/>
          <w:noProof/>
          <w:sz w:val="23"/>
          <w:szCs w:val="23"/>
          <w:rtl/>
        </w:rPr>
        <w:t xml:space="preserve">و برای </w:t>
      </w:r>
      <w:r w:rsidRPr="00B92922">
        <w:rPr>
          <w:position w:val="-6"/>
        </w:rPr>
        <w:object w:dxaOrig="520" w:dyaOrig="260" w14:anchorId="295D34D4">
          <v:shape id="_x0000_i1371" type="#_x0000_t75" style="width:26pt;height:13.3pt" o:ole="">
            <v:imagedata r:id="rId716" o:title=""/>
          </v:shape>
          <o:OLEObject Type="Embed" ProgID="Equation.DSMT4" ShapeID="_x0000_i1371" DrawAspect="Content" ObjectID="_1791375315" r:id="rId717"/>
        </w:object>
      </w:r>
      <w:r w:rsidRPr="00A309A0">
        <w:rPr>
          <w:rFonts w:ascii="Cambria Math" w:hAnsi="Cambria Math"/>
          <w:noProof/>
          <w:sz w:val="23"/>
          <w:szCs w:val="23"/>
          <w:rtl/>
        </w:rPr>
        <w:t xml:space="preserve"> داریم</w:t>
      </w:r>
    </w:p>
    <w:p w14:paraId="2A84FCD8" w14:textId="77777777" w:rsidR="00411620" w:rsidRPr="00A309A0" w:rsidRDefault="00411620" w:rsidP="00411620">
      <w:pPr>
        <w:pStyle w:val="MTDisplayEquation"/>
        <w:tabs>
          <w:tab w:val="clear" w:pos="3320"/>
          <w:tab w:val="clear" w:pos="6660"/>
          <w:tab w:val="center" w:pos="0"/>
        </w:tabs>
        <w:spacing w:line="216" w:lineRule="auto"/>
        <w:rPr>
          <w:rFonts w:ascii="Cambria Math" w:eastAsiaTheme="minorEastAsia" w:hAnsi="Cambria Math" w:cs="B Nazanin"/>
          <w:noProof/>
          <w:sz w:val="23"/>
          <w:szCs w:val="23"/>
          <w:rtl/>
          <w:lang w:val="en-GB" w:bidi="fa-IR"/>
        </w:rPr>
      </w:pPr>
      <w:r w:rsidRPr="00B92922">
        <w:rPr>
          <w:position w:val="-12"/>
        </w:rPr>
        <w:object w:dxaOrig="1200" w:dyaOrig="340" w14:anchorId="77C06388">
          <v:shape id="_x0000_i1372" type="#_x0000_t75" style="width:59.9pt;height:16.95pt" o:ole="">
            <v:imagedata r:id="rId718" o:title=""/>
          </v:shape>
          <o:OLEObject Type="Embed" ProgID="Equation.DSMT4" ShapeID="_x0000_i1372" DrawAspect="Content" ObjectID="_1791375316" r:id="rId719"/>
        </w:object>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hint="cs"/>
          <w:sz w:val="23"/>
          <w:szCs w:val="23"/>
          <w:rtl/>
        </w:rPr>
        <w:t>(۲. ۳۰)</w:t>
      </w:r>
    </w:p>
    <w:p w14:paraId="4AE4A30A"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اگر طرفین این رابطه را در</w:t>
      </w:r>
      <w:r w:rsidRPr="00B92922">
        <w:rPr>
          <w:position w:val="-10"/>
        </w:rPr>
        <w:object w:dxaOrig="300" w:dyaOrig="320" w14:anchorId="2AB7534A">
          <v:shape id="_x0000_i1373" type="#_x0000_t75" style="width:15.15pt;height:15.75pt" o:ole="">
            <v:imagedata r:id="rId720" o:title=""/>
          </v:shape>
          <o:OLEObject Type="Embed" ProgID="Equation.DSMT4" ShapeID="_x0000_i1373" DrawAspect="Content" ObjectID="_1791375317" r:id="rId721"/>
        </w:object>
      </w:r>
      <w:r w:rsidRPr="00A309A0">
        <w:rPr>
          <w:rFonts w:ascii="Cambria Math" w:hAnsi="Cambria Math"/>
          <w:noProof/>
          <w:sz w:val="23"/>
          <w:szCs w:val="23"/>
          <w:rtl/>
        </w:rPr>
        <w:t xml:space="preserve"> ضرب کنیم خواهیم داشت؛</w:t>
      </w:r>
    </w:p>
    <w:p w14:paraId="404F95CB"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lang w:bidi="fa-IR"/>
        </w:rPr>
      </w:pPr>
      <w:r w:rsidRPr="00B92922">
        <w:rPr>
          <w:position w:val="-12"/>
        </w:rPr>
        <w:object w:dxaOrig="4720" w:dyaOrig="340" w14:anchorId="56031386">
          <v:shape id="_x0000_i1374" type="#_x0000_t75" style="width:235.95pt;height:16.95pt" o:ole="">
            <v:imagedata r:id="rId722" o:title=""/>
          </v:shape>
          <o:OLEObject Type="Embed" ProgID="Equation.DSMT4" ShapeID="_x0000_i1374" DrawAspect="Content" ObjectID="_1791375318" r:id="rId723"/>
        </w:object>
      </w:r>
    </w:p>
    <w:p w14:paraId="48325A72"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تفسیر معادله</w:t>
      </w:r>
      <w:r w:rsidRPr="00A309A0">
        <w:rPr>
          <w:rFonts w:ascii="Cambria Math" w:hAnsi="Cambria Math"/>
          <w:noProof/>
          <w:sz w:val="23"/>
          <w:szCs w:val="23"/>
          <w:rtl/>
        </w:rPr>
        <w:softHyphen/>
      </w:r>
      <w:r w:rsidRPr="00A309A0">
        <w:rPr>
          <w:rFonts w:ascii="Cambria Math" w:hAnsi="Cambria Math" w:hint="cs"/>
          <w:noProof/>
          <w:sz w:val="23"/>
          <w:szCs w:val="23"/>
          <w:rtl/>
        </w:rPr>
        <w:t>ی</w:t>
      </w:r>
      <w:r w:rsidRPr="00A309A0">
        <w:rPr>
          <w:rFonts w:ascii="Cambria Math" w:hAnsi="Cambria Math"/>
          <w:noProof/>
          <w:sz w:val="23"/>
          <w:szCs w:val="23"/>
          <w:rtl/>
        </w:rPr>
        <w:t xml:space="preserve"> فوق بدین شرح است.</w:t>
      </w:r>
      <w:r w:rsidRPr="00A309A0">
        <w:rPr>
          <w:rFonts w:ascii="Cambria Math" w:hAnsi="Cambria Math" w:hint="cs"/>
          <w:noProof/>
          <w:sz w:val="23"/>
          <w:szCs w:val="23"/>
          <w:rtl/>
        </w:rPr>
        <w:t xml:space="preserve"> </w:t>
      </w:r>
      <w:r w:rsidRPr="00A309A0">
        <w:rPr>
          <w:rFonts w:ascii="Cambria Math" w:hAnsi="Cambria Math"/>
          <w:noProof/>
          <w:sz w:val="23"/>
          <w:szCs w:val="23"/>
          <w:rtl/>
        </w:rPr>
        <w:t xml:space="preserve">با کاهش فراغت </w:t>
      </w:r>
      <w:r w:rsidRPr="00A309A0">
        <w:rPr>
          <w:rFonts w:ascii="Cambria Math" w:hAnsi="Cambria Math" w:hint="cs"/>
          <w:noProof/>
          <w:sz w:val="23"/>
          <w:szCs w:val="23"/>
          <w:rtl/>
        </w:rPr>
        <w:t xml:space="preserve">در زمان </w:t>
      </w:r>
      <w:r w:rsidRPr="00A309A0">
        <w:rPr>
          <w:rFonts w:ascii="Cambria Math" w:hAnsi="Cambria Math"/>
          <w:i/>
          <w:iCs/>
          <w:noProof/>
          <w:sz w:val="23"/>
          <w:szCs w:val="23"/>
        </w:rPr>
        <w:t>t</w:t>
      </w:r>
      <w:r w:rsidRPr="00A309A0">
        <w:rPr>
          <w:rFonts w:ascii="Cambria Math" w:hAnsi="Cambria Math" w:hint="cs"/>
          <w:noProof/>
          <w:sz w:val="23"/>
          <w:szCs w:val="23"/>
          <w:rtl/>
        </w:rPr>
        <w:t xml:space="preserve"> </w:t>
      </w:r>
      <w:r w:rsidRPr="00A309A0">
        <w:rPr>
          <w:rFonts w:ascii="Cambria Math" w:hAnsi="Cambria Math"/>
          <w:noProof/>
          <w:sz w:val="23"/>
          <w:szCs w:val="23"/>
          <w:rtl/>
        </w:rPr>
        <w:t>به میزان</w:t>
      </w:r>
      <w:r w:rsidRPr="00B92922">
        <w:rPr>
          <w:position w:val="-10"/>
        </w:rPr>
        <w:object w:dxaOrig="300" w:dyaOrig="320" w14:anchorId="4F10ED1F">
          <v:shape id="_x0000_i1375" type="#_x0000_t75" style="width:15.15pt;height:15.75pt" o:ole="">
            <v:imagedata r:id="rId724" o:title=""/>
          </v:shape>
          <o:OLEObject Type="Embed" ProgID="Equation.DSMT4" ShapeID="_x0000_i1375" DrawAspect="Content" ObjectID="_1791375319" r:id="rId725"/>
        </w:object>
      </w:r>
      <w:r w:rsidRPr="00B92922">
        <w:rPr>
          <w:position w:val="-12"/>
        </w:rPr>
        <w:object w:dxaOrig="1480" w:dyaOrig="360" w14:anchorId="57659840">
          <v:shape id="_x0000_i1376" type="#_x0000_t75" style="width:73.8pt;height:18.15pt" o:ole="">
            <v:imagedata r:id="rId726" o:title=""/>
          </v:shape>
          <o:OLEObject Type="Embed" ProgID="Equation.DSMT4" ShapeID="_x0000_i1376" DrawAspect="Content" ObjectID="_1791375320" r:id="rId727"/>
        </w:object>
      </w:r>
      <w:r w:rsidRPr="00A309A0">
        <w:rPr>
          <w:rFonts w:ascii="Cambria Math" w:hAnsi="Cambria Math"/>
          <w:noProof/>
          <w:sz w:val="23"/>
          <w:szCs w:val="23"/>
          <w:rtl/>
        </w:rPr>
        <w:t xml:space="preserve">، مطلوبیت خانوار به میزان </w:t>
      </w:r>
      <w:r w:rsidRPr="00B92922">
        <w:rPr>
          <w:position w:val="-12"/>
        </w:rPr>
        <w:object w:dxaOrig="600" w:dyaOrig="340" w14:anchorId="6F8EAEDB">
          <v:shape id="_x0000_i1377" type="#_x0000_t75" style="width:29.65pt;height:16.95pt" o:ole="">
            <v:imagedata r:id="rId728" o:title=""/>
          </v:shape>
          <o:OLEObject Type="Embed" ProgID="Equation.DSMT4" ShapeID="_x0000_i1377" DrawAspect="Content" ObjectID="_1791375321" r:id="rId729"/>
        </w:object>
      </w:r>
      <w:r w:rsidRPr="00A309A0">
        <w:rPr>
          <w:rFonts w:ascii="Cambria Math" w:eastAsia="LucidaNewMath-AltItalic" w:hAnsi="Cambria Math"/>
          <w:sz w:val="23"/>
          <w:szCs w:val="23"/>
          <w:rtl/>
        </w:rPr>
        <w:t xml:space="preserve"> کاهش می</w:t>
      </w:r>
      <w:r w:rsidRPr="00A309A0">
        <w:rPr>
          <w:rFonts w:ascii="Cambria Math" w:eastAsia="LucidaNewMath-AltItalic" w:hAnsi="Cambria Math"/>
          <w:sz w:val="23"/>
          <w:szCs w:val="23"/>
          <w:rtl/>
        </w:rPr>
        <w:softHyphen/>
        <w:t>یابد، که</w:t>
      </w:r>
      <w:r w:rsidRPr="00A309A0">
        <w:rPr>
          <w:rFonts w:ascii="Cambria Math" w:hAnsi="Cambria Math"/>
          <w:noProof/>
          <w:sz w:val="23"/>
          <w:szCs w:val="23"/>
          <w:rtl/>
        </w:rPr>
        <w:t xml:space="preserve"> در واقع سمت چپ معادله</w:t>
      </w:r>
      <w:r w:rsidRPr="00A309A0">
        <w:rPr>
          <w:rFonts w:ascii="Cambria Math" w:hAnsi="Cambria Math"/>
          <w:noProof/>
          <w:sz w:val="23"/>
          <w:szCs w:val="23"/>
          <w:rtl/>
        </w:rPr>
        <w:softHyphen/>
        <w:t>ی</w:t>
      </w:r>
      <w:r w:rsidRPr="00A309A0">
        <w:rPr>
          <w:rFonts w:ascii="Cambria Math" w:hAnsi="Cambria Math" w:hint="cs"/>
          <w:noProof/>
          <w:sz w:val="23"/>
          <w:szCs w:val="23"/>
          <w:rtl/>
        </w:rPr>
        <w:t xml:space="preserve"> (۲. ۳۰)</w:t>
      </w:r>
      <w:r w:rsidRPr="00A309A0">
        <w:rPr>
          <w:rFonts w:ascii="Cambria Math" w:hAnsi="Cambria Math"/>
          <w:noProof/>
          <w:sz w:val="23"/>
          <w:szCs w:val="23"/>
          <w:rtl/>
        </w:rPr>
        <w:t xml:space="preserve"> است. کاهش مطلوبیت حاصل از کاهش فراغت</w:t>
      </w:r>
      <w:r w:rsidRPr="00A309A0">
        <w:rPr>
          <w:rFonts w:ascii="Cambria Math" w:hAnsi="Cambria Math" w:hint="cs"/>
          <w:noProof/>
          <w:sz w:val="23"/>
          <w:szCs w:val="23"/>
          <w:rtl/>
        </w:rPr>
        <w:t>،</w:t>
      </w:r>
      <w:r w:rsidRPr="00A309A0">
        <w:rPr>
          <w:rFonts w:ascii="Cambria Math" w:hAnsi="Cambria Math"/>
          <w:noProof/>
          <w:sz w:val="23"/>
          <w:szCs w:val="23"/>
          <w:rtl/>
        </w:rPr>
        <w:t xml:space="preserve"> بوسیله</w:t>
      </w:r>
      <w:r w:rsidRPr="00A309A0">
        <w:rPr>
          <w:rFonts w:ascii="Cambria Math" w:hAnsi="Cambria Math"/>
          <w:noProof/>
          <w:sz w:val="23"/>
          <w:szCs w:val="23"/>
          <w:rtl/>
        </w:rPr>
        <w:softHyphen/>
        <w:t xml:space="preserve">ی افزایش مطلوبیت حاصل از مصرفِ کالای تولید شده یعنی </w:t>
      </w:r>
      <w:r w:rsidRPr="00B92922">
        <w:rPr>
          <w:position w:val="-12"/>
        </w:rPr>
        <w:object w:dxaOrig="2180" w:dyaOrig="340" w14:anchorId="4FD6FF12">
          <v:shape id="_x0000_i1378" type="#_x0000_t75" style="width:108.9pt;height:16.95pt" o:ole="">
            <v:imagedata r:id="rId730" o:title=""/>
          </v:shape>
          <o:OLEObject Type="Embed" ProgID="Equation.DSMT4" ShapeID="_x0000_i1378" DrawAspect="Content" ObjectID="_1791375322" r:id="rId731"/>
        </w:object>
      </w:r>
      <w:r w:rsidRPr="00A309A0">
        <w:rPr>
          <w:rFonts w:ascii="Cambria Math" w:hAnsi="Cambria Math"/>
          <w:noProof/>
          <w:sz w:val="23"/>
          <w:szCs w:val="23"/>
          <w:rtl/>
        </w:rPr>
        <w:t xml:space="preserve"> جبران می‌شود، که </w:t>
      </w:r>
      <w:r w:rsidRPr="00A309A0">
        <w:rPr>
          <w:rFonts w:ascii="Cambria Math" w:hAnsi="Cambria Math" w:hint="cs"/>
          <w:noProof/>
          <w:sz w:val="23"/>
          <w:szCs w:val="23"/>
          <w:rtl/>
        </w:rPr>
        <w:t>در واقع</w:t>
      </w:r>
      <w:r w:rsidRPr="00A309A0">
        <w:rPr>
          <w:rFonts w:ascii="Cambria Math" w:hAnsi="Cambria Math"/>
          <w:noProof/>
          <w:sz w:val="23"/>
          <w:szCs w:val="23"/>
          <w:rtl/>
        </w:rPr>
        <w:t xml:space="preserve"> سمت راست معادله</w:t>
      </w:r>
      <w:r w:rsidRPr="00A309A0">
        <w:rPr>
          <w:rFonts w:ascii="Cambria Math" w:hAnsi="Cambria Math"/>
          <w:noProof/>
          <w:sz w:val="23"/>
          <w:szCs w:val="23"/>
          <w:rtl/>
        </w:rPr>
        <w:softHyphen/>
        <w:t xml:space="preserve">ی </w:t>
      </w:r>
      <w:r w:rsidRPr="00A309A0">
        <w:rPr>
          <w:rFonts w:ascii="Cambria Math" w:hAnsi="Cambria Math" w:hint="cs"/>
          <w:sz w:val="23"/>
          <w:szCs w:val="23"/>
          <w:rtl/>
        </w:rPr>
        <w:t>(۲. ۳۰)</w:t>
      </w:r>
      <w:r w:rsidRPr="00A309A0">
        <w:rPr>
          <w:rFonts w:ascii="Cambria Math" w:hAnsi="Cambria Math"/>
          <w:noProof/>
          <w:sz w:val="23"/>
          <w:szCs w:val="23"/>
          <w:rtl/>
        </w:rPr>
        <w:t xml:space="preserve"> خواهد بود. این رابطه نشان می</w:t>
      </w:r>
      <w:r w:rsidRPr="00A309A0">
        <w:rPr>
          <w:rFonts w:ascii="Cambria Math" w:hAnsi="Cambria Math"/>
          <w:noProof/>
          <w:sz w:val="23"/>
          <w:szCs w:val="23"/>
          <w:rtl/>
        </w:rPr>
        <w:softHyphen/>
        <w:t>دهد که خانوار در چه شرایطی حاضر به از دست دادن فراغت است. بنابراین معادله</w:t>
      </w:r>
      <w:r w:rsidRPr="00A309A0">
        <w:rPr>
          <w:rFonts w:ascii="Cambria Math" w:hAnsi="Cambria Math"/>
          <w:noProof/>
          <w:sz w:val="23"/>
          <w:szCs w:val="23"/>
          <w:rtl/>
        </w:rPr>
        <w:softHyphen/>
        <w:t xml:space="preserve">ی </w:t>
      </w:r>
      <w:r w:rsidRPr="00A309A0">
        <w:rPr>
          <w:rFonts w:ascii="Cambria Math" w:hAnsi="Cambria Math" w:hint="cs"/>
          <w:sz w:val="23"/>
          <w:szCs w:val="23"/>
          <w:rtl/>
        </w:rPr>
        <w:t>(۲. ۳۰)</w:t>
      </w:r>
      <w:r w:rsidRPr="00A309A0">
        <w:rPr>
          <w:rFonts w:ascii="Cambria Math" w:hAnsi="Cambria Math"/>
          <w:noProof/>
          <w:sz w:val="23"/>
          <w:szCs w:val="23"/>
          <w:rtl/>
        </w:rPr>
        <w:t xml:space="preserve"> همان تابع عرضه</w:t>
      </w:r>
      <w:r w:rsidRPr="00A309A0">
        <w:rPr>
          <w:rFonts w:ascii="Cambria Math" w:hAnsi="Cambria Math"/>
          <w:noProof/>
          <w:sz w:val="23"/>
          <w:szCs w:val="23"/>
          <w:rtl/>
        </w:rPr>
        <w:softHyphen/>
        <w:t xml:space="preserve">ی نیروی کار است که در آن فرض شده </w:t>
      </w:r>
      <w:r w:rsidRPr="00B92922">
        <w:rPr>
          <w:position w:val="-10"/>
        </w:rPr>
        <w:object w:dxaOrig="960" w:dyaOrig="320" w14:anchorId="06042498">
          <v:shape id="_x0000_i1379" type="#_x0000_t75" style="width:48.4pt;height:15.75pt" o:ole="">
            <v:imagedata r:id="rId732" o:title=""/>
          </v:shape>
          <o:OLEObject Type="Embed" ProgID="Equation.DSMT4" ShapeID="_x0000_i1379" DrawAspect="Content" ObjectID="_1791375323" r:id="rId733"/>
        </w:object>
      </w:r>
      <w:r w:rsidRPr="00A309A0">
        <w:rPr>
          <w:rFonts w:ascii="Cambria Math" w:hAnsi="Cambria Math" w:hint="cs"/>
          <w:sz w:val="23"/>
          <w:szCs w:val="23"/>
          <w:rtl/>
        </w:rPr>
        <w:t xml:space="preserve"> </w:t>
      </w:r>
      <w:r w:rsidRPr="00A309A0">
        <w:rPr>
          <w:rFonts w:ascii="Cambria Math" w:hAnsi="Cambria Math"/>
          <w:noProof/>
          <w:sz w:val="23"/>
          <w:szCs w:val="23"/>
          <w:rtl/>
        </w:rPr>
        <w:t>است.</w:t>
      </w:r>
    </w:p>
    <w:p w14:paraId="4EC4AF1D" w14:textId="77777777" w:rsidR="00411620" w:rsidRPr="00A309A0" w:rsidRDefault="00411620" w:rsidP="00411620">
      <w:pPr>
        <w:spacing w:line="216" w:lineRule="auto"/>
        <w:rPr>
          <w:rFonts w:ascii="Cambria Math" w:eastAsiaTheme="minorEastAsia" w:hAnsi="Cambria Math"/>
          <w:noProof/>
          <w:sz w:val="23"/>
          <w:szCs w:val="23"/>
          <w:rtl/>
        </w:rPr>
      </w:pPr>
      <w:r w:rsidRPr="00A309A0">
        <w:rPr>
          <w:rFonts w:ascii="Cambria Math" w:hAnsi="Cambria Math"/>
          <w:noProof/>
          <w:sz w:val="23"/>
          <w:szCs w:val="23"/>
          <w:rtl/>
        </w:rPr>
        <w:t xml:space="preserve"> مقدار تعادلی بلندمدت و یا مقدار تعادلی در وضعیت یکنواخت</w:t>
      </w:r>
      <w:r w:rsidRPr="00A309A0">
        <w:rPr>
          <w:rFonts w:ascii="Cambria Math" w:hAnsi="Cambria Math" w:hint="cs"/>
          <w:noProof/>
          <w:sz w:val="23"/>
          <w:szCs w:val="23"/>
          <w:rtl/>
        </w:rPr>
        <w:t>ِ</w:t>
      </w:r>
      <w:r w:rsidRPr="00A309A0">
        <w:rPr>
          <w:rFonts w:ascii="Cambria Math" w:hAnsi="Cambria Math"/>
          <w:noProof/>
          <w:sz w:val="23"/>
          <w:szCs w:val="23"/>
          <w:rtl/>
        </w:rPr>
        <w:t xml:space="preserve"> متغیر موجودی سرمایه از معادله</w:t>
      </w:r>
      <w:r w:rsidRPr="00A309A0">
        <w:rPr>
          <w:rFonts w:ascii="Cambria Math" w:hAnsi="Cambria Math"/>
          <w:noProof/>
          <w:sz w:val="23"/>
          <w:szCs w:val="23"/>
          <w:rtl/>
        </w:rPr>
        <w:softHyphen/>
        <w:t>ی اویلر بدست می</w:t>
      </w:r>
      <w:r w:rsidRPr="00A309A0">
        <w:rPr>
          <w:rFonts w:ascii="Cambria Math" w:hAnsi="Cambria Math"/>
          <w:noProof/>
          <w:sz w:val="23"/>
          <w:szCs w:val="23"/>
          <w:rtl/>
        </w:rPr>
        <w:softHyphen/>
        <w:t xml:space="preserve">آید که در آن </w:t>
      </w:r>
      <w:r w:rsidRPr="00B92922">
        <w:rPr>
          <w:position w:val="-10"/>
        </w:rPr>
        <w:object w:dxaOrig="840" w:dyaOrig="320" w14:anchorId="67FC8088">
          <v:shape id="_x0000_i1380" type="#_x0000_t75" style="width:41.75pt;height:15.75pt" o:ole="">
            <v:imagedata r:id="rId734" o:title=""/>
          </v:shape>
          <o:OLEObject Type="Embed" ProgID="Equation.DSMT4" ShapeID="_x0000_i1380" DrawAspect="Content" ObjectID="_1791375324" r:id="rId735"/>
        </w:object>
      </w:r>
      <w:r w:rsidRPr="00A309A0">
        <w:rPr>
          <w:rFonts w:ascii="Cambria Math" w:hAnsi="Cambria Math"/>
          <w:noProof/>
          <w:sz w:val="23"/>
          <w:szCs w:val="23"/>
          <w:rtl/>
        </w:rPr>
        <w:t xml:space="preserve"> و</w:t>
      </w:r>
      <w:r w:rsidRPr="00B92922">
        <w:rPr>
          <w:position w:val="-10"/>
        </w:rPr>
        <w:object w:dxaOrig="620" w:dyaOrig="340" w14:anchorId="5CDBCCC7">
          <v:shape id="_x0000_i1381" type="#_x0000_t75" style="width:30.85pt;height:16.95pt" o:ole="">
            <v:imagedata r:id="rId736" o:title=""/>
          </v:shape>
          <o:OLEObject Type="Embed" ProgID="Equation.DSMT4" ShapeID="_x0000_i1381" DrawAspect="Content" ObjectID="_1791375325" r:id="rId737"/>
        </w:object>
      </w:r>
      <w:r w:rsidRPr="00A309A0">
        <w:rPr>
          <w:rFonts w:ascii="Cambria Math" w:eastAsiaTheme="minorEastAsia" w:hAnsi="Cambria Math"/>
          <w:noProof/>
          <w:sz w:val="23"/>
          <w:szCs w:val="23"/>
          <w:rtl/>
        </w:rPr>
        <w:t xml:space="preserve"> و</w:t>
      </w:r>
      <w:r w:rsidRPr="00B92922">
        <w:rPr>
          <w:position w:val="-10"/>
        </w:rPr>
        <w:object w:dxaOrig="660" w:dyaOrig="340" w14:anchorId="774BD34B">
          <v:shape id="_x0000_i1382" type="#_x0000_t75" style="width:32.65pt;height:16.95pt" o:ole="">
            <v:imagedata r:id="rId738" o:title=""/>
          </v:shape>
          <o:OLEObject Type="Embed" ProgID="Equation.DSMT4" ShapeID="_x0000_i1382" DrawAspect="Content" ObjectID="_1791375326" r:id="rId739"/>
        </w:object>
      </w:r>
      <w:r w:rsidRPr="00A309A0">
        <w:rPr>
          <w:rFonts w:ascii="Cambria Math" w:eastAsiaTheme="minorEastAsia" w:hAnsi="Cambria Math"/>
          <w:noProof/>
          <w:sz w:val="23"/>
          <w:szCs w:val="23"/>
          <w:rtl/>
        </w:rPr>
        <w:t xml:space="preserve"> است</w:t>
      </w:r>
      <w:r w:rsidRPr="00A309A0">
        <w:rPr>
          <w:rFonts w:ascii="Cambria Math" w:eastAsiaTheme="minorEastAsia" w:hAnsi="Cambria Math" w:hint="cs"/>
          <w:noProof/>
          <w:sz w:val="23"/>
          <w:szCs w:val="23"/>
          <w:rtl/>
        </w:rPr>
        <w:t>.</w:t>
      </w:r>
      <w:r w:rsidRPr="00A309A0">
        <w:rPr>
          <w:rFonts w:ascii="Cambria Math" w:eastAsiaTheme="minorEastAsia" w:hAnsi="Cambria Math"/>
          <w:noProof/>
          <w:sz w:val="23"/>
          <w:szCs w:val="23"/>
          <w:rtl/>
        </w:rPr>
        <w:t xml:space="preserve"> بنابراین</w:t>
      </w:r>
    </w:p>
    <w:p w14:paraId="6A7ED45C"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rtl/>
        </w:rPr>
      </w:pPr>
      <w:r w:rsidRPr="00B92922">
        <w:rPr>
          <w:position w:val="-34"/>
        </w:rPr>
        <w:object w:dxaOrig="4200" w:dyaOrig="780" w14:anchorId="32F5DEC1">
          <v:shape id="_x0000_i1383" type="#_x0000_t75" style="width:209.95pt;height:38.7pt" o:ole="">
            <v:imagedata r:id="rId740" o:title=""/>
          </v:shape>
          <o:OLEObject Type="Embed" ProgID="Equation.DSMT4" ShapeID="_x0000_i1383" DrawAspect="Content" ObjectID="_1791375327" r:id="rId741"/>
        </w:object>
      </w:r>
    </w:p>
    <w:p w14:paraId="1EA5ABAF"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 xml:space="preserve">مقادیر تعادلی بلندمدتِ مصرف از قید منبع به دست می‌آید که در آن </w:t>
      </w:r>
      <w:r w:rsidRPr="00B92922">
        <w:rPr>
          <w:position w:val="-10"/>
        </w:rPr>
        <w:object w:dxaOrig="859" w:dyaOrig="320" w14:anchorId="1D6F6B5B">
          <v:shape id="_x0000_i1384" type="#_x0000_t75" style="width:42.95pt;height:15.75pt" o:ole="">
            <v:imagedata r:id="rId742" o:title=""/>
          </v:shape>
          <o:OLEObject Type="Embed" ProgID="Equation.DSMT4" ShapeID="_x0000_i1384" DrawAspect="Content" ObjectID="_1791375328" r:id="rId743"/>
        </w:object>
      </w:r>
      <w:r w:rsidRPr="00A309A0">
        <w:rPr>
          <w:rFonts w:ascii="Cambria Math" w:hAnsi="Cambria Math"/>
          <w:noProof/>
          <w:sz w:val="23"/>
          <w:szCs w:val="23"/>
          <w:rtl/>
        </w:rPr>
        <w:t>است. لذا</w:t>
      </w:r>
    </w:p>
    <w:p w14:paraId="54B81F61" w14:textId="77777777" w:rsidR="00411620" w:rsidRPr="00A309A0" w:rsidRDefault="00411620" w:rsidP="00411620">
      <w:pPr>
        <w:pStyle w:val="MTDisplayEquation"/>
        <w:spacing w:line="216" w:lineRule="auto"/>
        <w:rPr>
          <w:rFonts w:ascii="Cambria Math" w:eastAsiaTheme="minorEastAsia" w:hAnsi="Cambria Math" w:cs="B Nazanin"/>
          <w:noProof/>
          <w:sz w:val="23"/>
          <w:szCs w:val="23"/>
          <w:rtl/>
          <w:lang w:bidi="fa-IR"/>
        </w:rPr>
      </w:pPr>
      <w:r w:rsidRPr="00B92922">
        <w:rPr>
          <w:position w:val="-16"/>
        </w:rPr>
        <w:object w:dxaOrig="5420" w:dyaOrig="420" w14:anchorId="56764259">
          <v:shape id="_x0000_i1385" type="#_x0000_t75" style="width:270.45pt;height:21.2pt" o:ole="">
            <v:imagedata r:id="rId744" o:title=""/>
          </v:shape>
          <o:OLEObject Type="Embed" ProgID="Equation.DSMT4" ShapeID="_x0000_i1385" DrawAspect="Content" ObjectID="_1791375329" r:id="rId745"/>
        </w:object>
      </w:r>
    </w:p>
    <w:p w14:paraId="3698BF08" w14:textId="77777777" w:rsidR="00411620" w:rsidRPr="00A309A0" w:rsidRDefault="00411620" w:rsidP="00411620">
      <w:pPr>
        <w:spacing w:line="216" w:lineRule="auto"/>
        <w:rPr>
          <w:rFonts w:ascii="Cambria Math" w:hAnsi="Cambria Math"/>
          <w:noProof/>
          <w:sz w:val="23"/>
          <w:szCs w:val="23"/>
        </w:rPr>
      </w:pPr>
      <w:r w:rsidRPr="00A309A0">
        <w:rPr>
          <w:rFonts w:ascii="Cambria Math" w:hAnsi="Cambria Math"/>
          <w:noProof/>
          <w:sz w:val="23"/>
          <w:szCs w:val="23"/>
          <w:rtl/>
        </w:rPr>
        <w:t xml:space="preserve"> با توجه به مقادیر تعادلی بلندمدت موجودی سرمایه و مصرف، از معادله</w:t>
      </w:r>
      <w:r w:rsidRPr="00A309A0">
        <w:rPr>
          <w:rFonts w:ascii="Cambria Math" w:hAnsi="Cambria Math"/>
          <w:noProof/>
          <w:sz w:val="23"/>
          <w:szCs w:val="23"/>
          <w:rtl/>
        </w:rPr>
        <w:softHyphen/>
        <w:t>ی</w:t>
      </w:r>
      <w:r w:rsidRPr="00A309A0">
        <w:rPr>
          <w:rFonts w:ascii="Cambria Math" w:hAnsi="Cambria Math" w:hint="cs"/>
          <w:sz w:val="23"/>
          <w:szCs w:val="23"/>
          <w:rtl/>
        </w:rPr>
        <w:t xml:space="preserve"> (۲. ۳۰)</w:t>
      </w:r>
      <w:r w:rsidRPr="00A309A0">
        <w:rPr>
          <w:rFonts w:ascii="Cambria Math" w:hAnsi="Cambria Math"/>
          <w:noProof/>
          <w:sz w:val="23"/>
          <w:szCs w:val="23"/>
          <w:rtl/>
        </w:rPr>
        <w:t xml:space="preserve"> یعنی </w:t>
      </w:r>
      <w:r w:rsidRPr="00B92922">
        <w:rPr>
          <w:position w:val="-14"/>
        </w:rPr>
        <w:object w:dxaOrig="1140" w:dyaOrig="360" w14:anchorId="11DC2454">
          <v:shape id="_x0000_i1386" type="#_x0000_t75" style="width:57.5pt;height:18.15pt" o:ole="">
            <v:imagedata r:id="rId746" o:title=""/>
          </v:shape>
          <o:OLEObject Type="Embed" ProgID="Equation.DSMT4" ShapeID="_x0000_i1386" DrawAspect="Content" ObjectID="_1791375330" r:id="rId747"/>
        </w:object>
      </w:r>
      <w:r w:rsidRPr="00A309A0">
        <w:rPr>
          <w:rFonts w:ascii="Cambria Math" w:eastAsiaTheme="minorEastAsia" w:hAnsi="Cambria Math"/>
          <w:noProof/>
          <w:sz w:val="23"/>
          <w:szCs w:val="23"/>
          <w:rtl/>
        </w:rPr>
        <w:t xml:space="preserve">، </w:t>
      </w:r>
      <w:r w:rsidRPr="00A309A0">
        <w:rPr>
          <w:rFonts w:ascii="Cambria Math" w:hAnsi="Cambria Math"/>
          <w:noProof/>
          <w:sz w:val="23"/>
          <w:szCs w:val="23"/>
          <w:rtl/>
        </w:rPr>
        <w:t>مقدار تعادلی</w:t>
      </w:r>
      <w:r w:rsidRPr="00B92922">
        <w:rPr>
          <w:position w:val="-10"/>
        </w:rPr>
        <w:object w:dxaOrig="180" w:dyaOrig="320" w14:anchorId="456A75BE">
          <v:shape id="_x0000_i1387" type="#_x0000_t75" style="width:9.1pt;height:15.75pt" o:ole="">
            <v:imagedata r:id="rId748" o:title=""/>
          </v:shape>
          <o:OLEObject Type="Embed" ProgID="Equation.DSMT4" ShapeID="_x0000_i1387" DrawAspect="Content" ObjectID="_1791375331" r:id="rId749"/>
        </w:object>
      </w:r>
      <w:r w:rsidRPr="00A309A0">
        <w:rPr>
          <w:rFonts w:ascii="Cambria Math" w:hAnsi="Cambria Math"/>
          <w:noProof/>
          <w:sz w:val="23"/>
          <w:szCs w:val="23"/>
          <w:rtl/>
        </w:rPr>
        <w:t xml:space="preserve"> و از قید کار-فراغت </w:t>
      </w:r>
      <w:r w:rsidRPr="00A309A0">
        <w:rPr>
          <w:rFonts w:ascii="Cambria Math" w:hAnsi="Cambria Math" w:hint="cs"/>
          <w:noProof/>
          <w:sz w:val="23"/>
          <w:szCs w:val="23"/>
          <w:rtl/>
        </w:rPr>
        <w:t xml:space="preserve">یعنی </w:t>
      </w:r>
      <w:r w:rsidRPr="00B92922">
        <w:rPr>
          <w:position w:val="-10"/>
        </w:rPr>
        <w:object w:dxaOrig="900" w:dyaOrig="320" w14:anchorId="2033E1F4">
          <v:shape id="_x0000_i1388" type="#_x0000_t75" style="width:44.75pt;height:15.75pt" o:ole="">
            <v:imagedata r:id="rId750" o:title=""/>
          </v:shape>
          <o:OLEObject Type="Embed" ProgID="Equation.DSMT4" ShapeID="_x0000_i1388" DrawAspect="Content" ObjectID="_1791375332" r:id="rId751"/>
        </w:object>
      </w:r>
      <w:r w:rsidRPr="00A309A0">
        <w:rPr>
          <w:rFonts w:ascii="Cambria Math" w:hAnsi="Cambria Math" w:hint="cs"/>
          <w:sz w:val="23"/>
          <w:szCs w:val="23"/>
          <w:rtl/>
        </w:rPr>
        <w:t xml:space="preserve">، </w:t>
      </w:r>
      <w:r w:rsidRPr="00A309A0">
        <w:rPr>
          <w:rFonts w:ascii="Cambria Math" w:hAnsi="Cambria Math"/>
          <w:noProof/>
          <w:sz w:val="23"/>
          <w:szCs w:val="23"/>
          <w:rtl/>
        </w:rPr>
        <w:t>مقدار تعادلی</w:t>
      </w:r>
      <w:r w:rsidRPr="00B92922">
        <w:rPr>
          <w:position w:val="-10"/>
        </w:rPr>
        <w:object w:dxaOrig="240" w:dyaOrig="320" w14:anchorId="016FFEA6">
          <v:shape id="_x0000_i1389" type="#_x0000_t75" style="width:12.1pt;height:15.75pt" o:ole="">
            <v:imagedata r:id="rId752" o:title=""/>
          </v:shape>
          <o:OLEObject Type="Embed" ProgID="Equation.DSMT4" ShapeID="_x0000_i1389" DrawAspect="Content" ObjectID="_1791375333" r:id="rId753"/>
        </w:object>
      </w:r>
      <w:r w:rsidRPr="00A309A0">
        <w:rPr>
          <w:rFonts w:ascii="Cambria Math" w:hAnsi="Cambria Math"/>
          <w:noProof/>
          <w:sz w:val="23"/>
          <w:szCs w:val="23"/>
          <w:rtl/>
        </w:rPr>
        <w:t xml:space="preserve"> ی</w:t>
      </w:r>
      <w:r w:rsidRPr="00A309A0">
        <w:rPr>
          <w:rFonts w:ascii="Cambria Math" w:hAnsi="Cambria Math" w:hint="cs"/>
          <w:noProof/>
          <w:sz w:val="23"/>
          <w:szCs w:val="23"/>
          <w:rtl/>
        </w:rPr>
        <w:t>ا</w:t>
      </w:r>
      <w:r w:rsidRPr="00A309A0">
        <w:rPr>
          <w:rFonts w:ascii="Cambria Math" w:hAnsi="Cambria Math"/>
          <w:noProof/>
          <w:sz w:val="23"/>
          <w:szCs w:val="23"/>
          <w:rtl/>
        </w:rPr>
        <w:t xml:space="preserve"> </w:t>
      </w:r>
      <w:r w:rsidRPr="00B92922">
        <w:rPr>
          <w:position w:val="-6"/>
        </w:rPr>
        <w:object w:dxaOrig="920" w:dyaOrig="300" w14:anchorId="4088D1D7">
          <v:shape id="_x0000_i1390" type="#_x0000_t75" style="width:46pt;height:15.15pt" o:ole="">
            <v:imagedata r:id="rId754" o:title=""/>
          </v:shape>
          <o:OLEObject Type="Embed" ProgID="Equation.DSMT4" ShapeID="_x0000_i1390" DrawAspect="Content" ObjectID="_1791375334" r:id="rId755"/>
        </w:object>
      </w:r>
      <w:r w:rsidRPr="00A309A0">
        <w:rPr>
          <w:rFonts w:ascii="Cambria Math" w:eastAsiaTheme="minorEastAsia" w:hAnsi="Cambria Math"/>
          <w:noProof/>
          <w:sz w:val="23"/>
          <w:szCs w:val="23"/>
          <w:rtl/>
        </w:rPr>
        <w:t xml:space="preserve"> </w:t>
      </w:r>
      <w:r w:rsidRPr="00A309A0">
        <w:rPr>
          <w:rFonts w:ascii="Cambria Math" w:hAnsi="Cambria Math"/>
          <w:noProof/>
          <w:sz w:val="23"/>
          <w:szCs w:val="23"/>
          <w:rtl/>
        </w:rPr>
        <w:t>در وضعیت یکنواخت بدست می</w:t>
      </w:r>
      <w:r w:rsidRPr="00A309A0">
        <w:rPr>
          <w:rFonts w:ascii="Cambria Math" w:hAnsi="Cambria Math"/>
          <w:noProof/>
          <w:sz w:val="23"/>
          <w:szCs w:val="23"/>
          <w:rtl/>
        </w:rPr>
        <w:softHyphen/>
        <w:t>آید.</w:t>
      </w:r>
      <w:r w:rsidRPr="00A309A0">
        <w:rPr>
          <w:rFonts w:ascii="Cambria Math" w:hAnsi="Cambria Math" w:hint="cs"/>
          <w:noProof/>
          <w:sz w:val="23"/>
          <w:szCs w:val="23"/>
          <w:rtl/>
        </w:rPr>
        <w:t xml:space="preserve"> </w:t>
      </w:r>
      <w:r w:rsidRPr="00A309A0">
        <w:rPr>
          <w:rFonts w:ascii="Cambria Math" w:hAnsi="Cambria Math"/>
          <w:noProof/>
          <w:sz w:val="23"/>
          <w:szCs w:val="23"/>
          <w:rtl/>
        </w:rPr>
        <w:t>راه حل</w:t>
      </w:r>
      <w:r w:rsidRPr="00A309A0">
        <w:rPr>
          <w:rFonts w:ascii="Cambria Math" w:hAnsi="Cambria Math"/>
          <w:noProof/>
          <w:sz w:val="23"/>
          <w:szCs w:val="23"/>
          <w:rtl/>
        </w:rPr>
        <w:softHyphen/>
        <w:t xml:space="preserve"> کوتاه</w:t>
      </w:r>
      <w:r w:rsidRPr="00A309A0">
        <w:rPr>
          <w:rFonts w:ascii="Cambria Math" w:hAnsi="Cambria Math"/>
          <w:noProof/>
          <w:sz w:val="23"/>
          <w:szCs w:val="23"/>
          <w:rtl/>
        </w:rPr>
        <w:softHyphen/>
        <w:t>مدت برای</w:t>
      </w:r>
      <w:r w:rsidRPr="00B92922">
        <w:rPr>
          <w:position w:val="-10"/>
        </w:rPr>
        <w:object w:dxaOrig="200" w:dyaOrig="320" w14:anchorId="5BE6ED09">
          <v:shape id="_x0000_i1391" type="#_x0000_t75" style="width:10.3pt;height:15.75pt" o:ole="">
            <v:imagedata r:id="rId756" o:title=""/>
          </v:shape>
          <o:OLEObject Type="Embed" ProgID="Equation.DSMT4" ShapeID="_x0000_i1391" DrawAspect="Content" ObjectID="_1791375335" r:id="rId757"/>
        </w:object>
      </w:r>
      <w:r w:rsidRPr="00A309A0">
        <w:rPr>
          <w:rFonts w:ascii="Cambria Math" w:hAnsi="Cambria Math"/>
          <w:noProof/>
          <w:sz w:val="23"/>
          <w:szCs w:val="23"/>
          <w:rtl/>
        </w:rPr>
        <w:t xml:space="preserve"> و</w:t>
      </w:r>
      <w:r w:rsidRPr="00B92922">
        <w:rPr>
          <w:position w:val="-10"/>
        </w:rPr>
        <w:object w:dxaOrig="220" w:dyaOrig="320" w14:anchorId="452065F5">
          <v:shape id="_x0000_i1392" type="#_x0000_t75" style="width:10.3pt;height:15.75pt" o:ole="">
            <v:imagedata r:id="rId758" o:title=""/>
          </v:shape>
          <o:OLEObject Type="Embed" ProgID="Equation.DSMT4" ShapeID="_x0000_i1392" DrawAspect="Content" ObjectID="_1791375336" r:id="rId759"/>
        </w:object>
      </w:r>
      <w:r w:rsidRPr="00A309A0">
        <w:rPr>
          <w:rFonts w:ascii="Cambria Math" w:hAnsi="Cambria Math"/>
          <w:noProof/>
          <w:sz w:val="23"/>
          <w:szCs w:val="23"/>
          <w:rtl/>
        </w:rPr>
        <w:t xml:space="preserve"> همانند قبل، و پویایی</w:t>
      </w:r>
      <w:r w:rsidRPr="00A309A0">
        <w:rPr>
          <w:rFonts w:ascii="Cambria Math" w:hAnsi="Cambria Math"/>
          <w:noProof/>
          <w:sz w:val="23"/>
          <w:szCs w:val="23"/>
          <w:rtl/>
        </w:rPr>
        <w:softHyphen/>
        <w:t>های کوتاه</w:t>
      </w:r>
      <w:r w:rsidRPr="00A309A0">
        <w:rPr>
          <w:rFonts w:ascii="Cambria Math" w:hAnsi="Cambria Math"/>
          <w:noProof/>
          <w:sz w:val="23"/>
          <w:szCs w:val="23"/>
          <w:rtl/>
        </w:rPr>
        <w:softHyphen/>
        <w:t xml:space="preserve">مدت </w:t>
      </w:r>
      <w:r w:rsidRPr="00B92922">
        <w:rPr>
          <w:position w:val="-10"/>
        </w:rPr>
        <w:object w:dxaOrig="180" w:dyaOrig="320" w14:anchorId="06F4533B">
          <v:shape id="_x0000_i1393" type="#_x0000_t75" style="width:9.1pt;height:15.75pt" o:ole="">
            <v:imagedata r:id="rId760" o:title=""/>
          </v:shape>
          <o:OLEObject Type="Embed" ProgID="Equation.DSMT4" ShapeID="_x0000_i1393" DrawAspect="Content" ObjectID="_1791375337" r:id="rId761"/>
        </w:object>
      </w:r>
      <w:r w:rsidRPr="00A309A0">
        <w:rPr>
          <w:rFonts w:ascii="Cambria Math" w:hAnsi="Cambria Math"/>
          <w:noProof/>
          <w:sz w:val="23"/>
          <w:szCs w:val="23"/>
          <w:rtl/>
        </w:rPr>
        <w:t xml:space="preserve"> و </w:t>
      </w:r>
      <w:r w:rsidRPr="00B92922">
        <w:rPr>
          <w:position w:val="-10"/>
        </w:rPr>
        <w:object w:dxaOrig="240" w:dyaOrig="320" w14:anchorId="6629AF23">
          <v:shape id="_x0000_i1394" type="#_x0000_t75" style="width:12.1pt;height:15.75pt" o:ole="">
            <v:imagedata r:id="rId762" o:title=""/>
          </v:shape>
          <o:OLEObject Type="Embed" ProgID="Equation.DSMT4" ShapeID="_x0000_i1394" DrawAspect="Content" ObjectID="_1791375338" r:id="rId763"/>
        </w:object>
      </w:r>
      <w:r w:rsidRPr="00A309A0">
        <w:rPr>
          <w:rFonts w:ascii="Cambria Math" w:hAnsi="Cambria Math"/>
          <w:noProof/>
          <w:sz w:val="23"/>
          <w:szCs w:val="23"/>
          <w:rtl/>
        </w:rPr>
        <w:t xml:space="preserve"> شبیه پویایی</w:t>
      </w:r>
      <w:r w:rsidRPr="00A309A0">
        <w:rPr>
          <w:rFonts w:ascii="Cambria Math" w:hAnsi="Cambria Math"/>
          <w:noProof/>
          <w:sz w:val="23"/>
          <w:szCs w:val="23"/>
        </w:rPr>
        <w:softHyphen/>
      </w:r>
      <w:r w:rsidRPr="00A309A0">
        <w:rPr>
          <w:rFonts w:ascii="Cambria Math" w:hAnsi="Cambria Math"/>
          <w:noProof/>
          <w:sz w:val="23"/>
          <w:szCs w:val="23"/>
          <w:rtl/>
        </w:rPr>
        <w:t>های کوتاه</w:t>
      </w:r>
      <w:r w:rsidRPr="00A309A0">
        <w:rPr>
          <w:rFonts w:ascii="Cambria Math" w:hAnsi="Cambria Math"/>
          <w:noProof/>
          <w:sz w:val="23"/>
          <w:szCs w:val="23"/>
        </w:rPr>
        <w:softHyphen/>
      </w:r>
      <w:r w:rsidRPr="00A309A0">
        <w:rPr>
          <w:rFonts w:ascii="Cambria Math" w:hAnsi="Cambria Math"/>
          <w:noProof/>
          <w:sz w:val="23"/>
          <w:szCs w:val="23"/>
          <w:rtl/>
        </w:rPr>
        <w:t>مدت</w:t>
      </w:r>
      <w:r w:rsidRPr="00B92922">
        <w:rPr>
          <w:position w:val="-10"/>
        </w:rPr>
        <w:object w:dxaOrig="200" w:dyaOrig="320" w14:anchorId="6830AE19">
          <v:shape id="_x0000_i1395" type="#_x0000_t75" style="width:10.3pt;height:15.75pt" o:ole="">
            <v:imagedata r:id="rId764" o:title=""/>
          </v:shape>
          <o:OLEObject Type="Embed" ProgID="Equation.DSMT4" ShapeID="_x0000_i1395" DrawAspect="Content" ObjectID="_1791375339" r:id="rId765"/>
        </w:object>
      </w:r>
      <w:r w:rsidRPr="00A309A0">
        <w:rPr>
          <w:rFonts w:ascii="Cambria Math" w:hAnsi="Cambria Math"/>
          <w:noProof/>
          <w:sz w:val="23"/>
          <w:szCs w:val="23"/>
          <w:rtl/>
        </w:rPr>
        <w:t xml:space="preserve"> است. </w:t>
      </w:r>
    </w:p>
    <w:p w14:paraId="1CE553E0"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اکنون می‌توان نرخ دستمزد و نرخ بازده سرمایه که به طور ضمنی و نه صریح در مدل تعریف شده</w:t>
      </w:r>
      <w:r w:rsidRPr="00A309A0">
        <w:rPr>
          <w:rFonts w:ascii="Cambria Math" w:hAnsi="Cambria Math"/>
          <w:noProof/>
          <w:sz w:val="23"/>
          <w:szCs w:val="23"/>
          <w:rtl/>
        </w:rPr>
        <w:softHyphen/>
      </w:r>
      <w:r w:rsidRPr="00A309A0">
        <w:rPr>
          <w:rFonts w:ascii="Cambria Math" w:hAnsi="Cambria Math"/>
          <w:noProof/>
          <w:sz w:val="23"/>
          <w:szCs w:val="23"/>
        </w:rPr>
        <w:t xml:space="preserve"> </w:t>
      </w:r>
      <w:r w:rsidRPr="00A309A0">
        <w:rPr>
          <w:rFonts w:ascii="Cambria Math" w:hAnsi="Cambria Math" w:hint="cs"/>
          <w:noProof/>
          <w:sz w:val="23"/>
          <w:szCs w:val="23"/>
          <w:rtl/>
        </w:rPr>
        <w:t>است</w:t>
      </w:r>
      <w:r w:rsidRPr="00A309A0">
        <w:rPr>
          <w:rFonts w:ascii="Cambria Math" w:hAnsi="Cambria Math"/>
          <w:noProof/>
          <w:sz w:val="23"/>
          <w:szCs w:val="23"/>
          <w:rtl/>
        </w:rPr>
        <w:t xml:space="preserve"> را بدست آورد. اگر تابع تولید همگن از درجه</w:t>
      </w:r>
      <w:r w:rsidRPr="00A309A0">
        <w:rPr>
          <w:rFonts w:ascii="Cambria Math" w:hAnsi="Cambria Math"/>
          <w:noProof/>
          <w:sz w:val="23"/>
          <w:szCs w:val="23"/>
          <w:rtl/>
        </w:rPr>
        <w:softHyphen/>
        <w:t>ی</w:t>
      </w:r>
      <w:r w:rsidRPr="00A309A0">
        <w:rPr>
          <w:rFonts w:ascii="Cambria Math" w:hAnsi="Cambria Math" w:hint="cs"/>
          <w:noProof/>
          <w:sz w:val="23"/>
          <w:szCs w:val="23"/>
          <w:rtl/>
        </w:rPr>
        <w:t xml:space="preserve"> </w:t>
      </w:r>
      <w:r w:rsidRPr="00A309A0">
        <w:rPr>
          <w:rFonts w:ascii="Cambria Math" w:hAnsi="Cambria Math"/>
          <w:noProof/>
          <w:sz w:val="23"/>
          <w:szCs w:val="23"/>
          <w:rtl/>
        </w:rPr>
        <w:t>یک باشد و یا تابع تولید دارای بازده ثابت به مقیاس باشد</w:t>
      </w:r>
      <w:r w:rsidRPr="00A309A0">
        <w:rPr>
          <w:rFonts w:ascii="Cambria Math" w:hAnsi="Cambria Math" w:hint="cs"/>
          <w:noProof/>
          <w:sz w:val="23"/>
          <w:szCs w:val="23"/>
          <w:rtl/>
        </w:rPr>
        <w:t>،</w:t>
      </w:r>
      <w:r w:rsidRPr="00A309A0">
        <w:rPr>
          <w:rStyle w:val="FootnoteReference"/>
          <w:rFonts w:ascii="Cambria Math" w:eastAsiaTheme="majorEastAsia" w:hAnsi="Cambria Math"/>
          <w:noProof/>
          <w:sz w:val="23"/>
          <w:szCs w:val="23"/>
          <w:rtl/>
        </w:rPr>
        <w:footnoteReference w:id="85"/>
      </w:r>
      <w:r w:rsidRPr="00A309A0">
        <w:rPr>
          <w:rFonts w:ascii="Cambria Math" w:hAnsi="Cambria Math"/>
          <w:noProof/>
          <w:sz w:val="23"/>
          <w:szCs w:val="23"/>
          <w:rtl/>
        </w:rPr>
        <w:t xml:space="preserve"> آنگاه براحتی می‌توان نشان داد</w:t>
      </w:r>
    </w:p>
    <w:p w14:paraId="24CF742B" w14:textId="77777777" w:rsidR="00411620" w:rsidRPr="00A309A0" w:rsidRDefault="00411620" w:rsidP="00411620">
      <w:pPr>
        <w:pStyle w:val="MTDisplayEquation"/>
        <w:tabs>
          <w:tab w:val="clear" w:pos="6660"/>
        </w:tabs>
        <w:spacing w:line="216" w:lineRule="auto"/>
        <w:rPr>
          <w:rFonts w:ascii="Cambria Math" w:eastAsiaTheme="minorEastAsia" w:hAnsi="Cambria Math" w:cs="B Nazanin"/>
          <w:noProof/>
          <w:sz w:val="23"/>
          <w:szCs w:val="23"/>
          <w:rtl/>
          <w:lang w:val="en-GB" w:bidi="fa-IR"/>
        </w:rPr>
      </w:pPr>
      <w:r w:rsidRPr="00B92922">
        <w:rPr>
          <w:position w:val="-12"/>
        </w:rPr>
        <w:object w:dxaOrig="2200" w:dyaOrig="340" w14:anchorId="2E93F3DD">
          <v:shape id="_x0000_i1396" type="#_x0000_t75" style="width:110.1pt;height:16.95pt" o:ole="">
            <v:imagedata r:id="rId766" o:title=""/>
          </v:shape>
          <o:OLEObject Type="Embed" ProgID="Equation.DSMT4" ShapeID="_x0000_i1396" DrawAspect="Content" ObjectID="_1791375340" r:id="rId767"/>
        </w:object>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hint="cs"/>
          <w:sz w:val="23"/>
          <w:szCs w:val="23"/>
          <w:rtl/>
        </w:rPr>
        <w:t>(۲. ۳۱)</w:t>
      </w:r>
    </w:p>
    <w:p w14:paraId="45A86D83"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hint="cs"/>
          <w:noProof/>
          <w:sz w:val="23"/>
          <w:szCs w:val="23"/>
          <w:rtl/>
        </w:rPr>
        <w:t xml:space="preserve">بنابراین </w:t>
      </w:r>
      <w:r w:rsidRPr="00A309A0">
        <w:rPr>
          <w:rFonts w:ascii="Cambria Math" w:hAnsi="Cambria Math"/>
          <w:noProof/>
          <w:sz w:val="23"/>
          <w:szCs w:val="23"/>
          <w:rtl/>
        </w:rPr>
        <w:t xml:space="preserve">ارزش کل تولید بین کار و سرمایه تقسیم ‌شده </w:t>
      </w:r>
      <w:r w:rsidRPr="00A309A0">
        <w:rPr>
          <w:rFonts w:ascii="Cambria Math" w:hAnsi="Cambria Math" w:hint="cs"/>
          <w:noProof/>
          <w:sz w:val="23"/>
          <w:szCs w:val="23"/>
          <w:rtl/>
        </w:rPr>
        <w:t>که در آن</w:t>
      </w:r>
      <w:r w:rsidRPr="00B92922">
        <w:rPr>
          <w:position w:val="-12"/>
        </w:rPr>
        <w:object w:dxaOrig="540" w:dyaOrig="340" w14:anchorId="7CFF25A5">
          <v:shape id="_x0000_i1397" type="#_x0000_t75" style="width:27.25pt;height:16.95pt" o:ole="">
            <v:imagedata r:id="rId768" o:title=""/>
          </v:shape>
          <o:OLEObject Type="Embed" ProgID="Equation.DSMT4" ShapeID="_x0000_i1397" DrawAspect="Content" ObjectID="_1791375341" r:id="rId769"/>
        </w:object>
      </w:r>
      <w:r w:rsidRPr="00A309A0">
        <w:rPr>
          <w:rFonts w:ascii="Cambria Math" w:hAnsi="Cambria Math"/>
          <w:noProof/>
          <w:sz w:val="23"/>
          <w:szCs w:val="23"/>
          <w:rtl/>
        </w:rPr>
        <w:t xml:space="preserve"> سهم نیروی کار از تولید و</w:t>
      </w:r>
      <w:r w:rsidRPr="00B92922">
        <w:rPr>
          <w:position w:val="-12"/>
        </w:rPr>
        <w:object w:dxaOrig="520" w:dyaOrig="340" w14:anchorId="63542C44">
          <v:shape id="_x0000_i1398" type="#_x0000_t75" style="width:26pt;height:16.95pt" o:ole="">
            <v:imagedata r:id="rId770" o:title=""/>
          </v:shape>
          <o:OLEObject Type="Embed" ProgID="Equation.DSMT4" ShapeID="_x0000_i1398" DrawAspect="Content" ObjectID="_1791375342" r:id="rId771"/>
        </w:object>
      </w:r>
      <w:r w:rsidRPr="00A309A0">
        <w:rPr>
          <w:rFonts w:ascii="Cambria Math" w:hAnsi="Cambria Math"/>
          <w:noProof/>
          <w:sz w:val="23"/>
          <w:szCs w:val="23"/>
          <w:rtl/>
        </w:rPr>
        <w:t xml:space="preserve"> سهم سرمایه از تولید </w:t>
      </w:r>
      <w:r w:rsidRPr="00A309A0">
        <w:rPr>
          <w:rFonts w:ascii="Cambria Math" w:hAnsi="Cambria Math" w:hint="cs"/>
          <w:noProof/>
          <w:sz w:val="23"/>
          <w:szCs w:val="23"/>
          <w:rtl/>
        </w:rPr>
        <w:t>می</w:t>
      </w:r>
      <w:r w:rsidRPr="00A309A0">
        <w:rPr>
          <w:rFonts w:ascii="Cambria Math" w:hAnsi="Cambria Math"/>
          <w:noProof/>
          <w:sz w:val="23"/>
          <w:szCs w:val="23"/>
          <w:rtl/>
        </w:rPr>
        <w:softHyphen/>
      </w:r>
      <w:r w:rsidRPr="00A309A0">
        <w:rPr>
          <w:rFonts w:ascii="Cambria Math" w:hAnsi="Cambria Math" w:hint="cs"/>
          <w:noProof/>
          <w:sz w:val="23"/>
          <w:szCs w:val="23"/>
          <w:rtl/>
        </w:rPr>
        <w:t>باشد</w:t>
      </w:r>
      <w:r w:rsidRPr="00A309A0">
        <w:rPr>
          <w:rFonts w:ascii="Cambria Math" w:hAnsi="Cambria Math"/>
          <w:noProof/>
          <w:sz w:val="23"/>
          <w:szCs w:val="23"/>
          <w:rtl/>
        </w:rPr>
        <w:t xml:space="preserve">. اگر </w:t>
      </w:r>
      <w:r w:rsidRPr="00A309A0">
        <w:rPr>
          <w:rFonts w:ascii="Cambria Math" w:hAnsi="Cambria Math" w:hint="cs"/>
          <w:noProof/>
          <w:sz w:val="23"/>
          <w:szCs w:val="23"/>
          <w:rtl/>
        </w:rPr>
        <w:t xml:space="preserve">دریافتی </w:t>
      </w:r>
      <w:r w:rsidRPr="00A309A0">
        <w:rPr>
          <w:rFonts w:ascii="Cambria Math" w:hAnsi="Cambria Math"/>
          <w:noProof/>
          <w:sz w:val="23"/>
          <w:szCs w:val="23"/>
          <w:rtl/>
        </w:rPr>
        <w:t xml:space="preserve">نیروی کار </w:t>
      </w:r>
      <w:r w:rsidRPr="00A309A0">
        <w:rPr>
          <w:rFonts w:ascii="Cambria Math" w:hAnsi="Cambria Math" w:hint="cs"/>
          <w:noProof/>
          <w:sz w:val="23"/>
          <w:szCs w:val="23"/>
          <w:rtl/>
        </w:rPr>
        <w:t xml:space="preserve">برابر </w:t>
      </w:r>
      <w:r w:rsidRPr="00A309A0">
        <w:rPr>
          <w:rFonts w:ascii="Cambria Math" w:hAnsi="Cambria Math"/>
          <w:noProof/>
          <w:sz w:val="23"/>
          <w:szCs w:val="23"/>
          <w:rtl/>
        </w:rPr>
        <w:t xml:space="preserve">تولید نهایی </w:t>
      </w:r>
      <w:r w:rsidRPr="00A309A0">
        <w:rPr>
          <w:rFonts w:ascii="Cambria Math" w:hAnsi="Cambria Math" w:hint="cs"/>
          <w:noProof/>
          <w:sz w:val="23"/>
          <w:szCs w:val="23"/>
          <w:rtl/>
        </w:rPr>
        <w:t>کار باشد</w:t>
      </w:r>
      <w:r w:rsidRPr="00A309A0">
        <w:rPr>
          <w:rFonts w:ascii="Cambria Math" w:hAnsi="Cambria Math"/>
          <w:noProof/>
          <w:sz w:val="23"/>
          <w:szCs w:val="23"/>
          <w:rtl/>
        </w:rPr>
        <w:t>، آنگاه نرخ دستمزد ضمنی</w:t>
      </w:r>
      <w:r w:rsidRPr="00A309A0">
        <w:rPr>
          <w:rStyle w:val="FootnoteReference"/>
          <w:rFonts w:ascii="Cambria Math" w:eastAsiaTheme="majorEastAsia" w:hAnsi="Cambria Math"/>
          <w:noProof/>
          <w:sz w:val="23"/>
          <w:szCs w:val="23"/>
          <w:rtl/>
        </w:rPr>
        <w:footnoteReference w:id="86"/>
      </w:r>
      <w:r w:rsidRPr="00A309A0">
        <w:rPr>
          <w:rFonts w:ascii="Cambria Math" w:hAnsi="Cambria Math"/>
          <w:noProof/>
          <w:sz w:val="23"/>
          <w:szCs w:val="23"/>
          <w:rtl/>
        </w:rPr>
        <w:t xml:space="preserve"> برابر است با تولید نهایی نیروی کار یعنی</w:t>
      </w:r>
      <w:r w:rsidRPr="00B92922">
        <w:rPr>
          <w:position w:val="-12"/>
        </w:rPr>
        <w:object w:dxaOrig="820" w:dyaOrig="340" w14:anchorId="2F331A53">
          <v:shape id="_x0000_i1399" type="#_x0000_t75" style="width:41.15pt;height:16.95pt" o:ole="">
            <v:imagedata r:id="rId772" o:title=""/>
          </v:shape>
          <o:OLEObject Type="Embed" ProgID="Equation.DSMT4" ShapeID="_x0000_i1399" DrawAspect="Content" ObjectID="_1791375343" r:id="rId773"/>
        </w:object>
      </w:r>
      <w:r w:rsidRPr="00A309A0">
        <w:rPr>
          <w:rFonts w:ascii="Cambria Math" w:hAnsi="Cambria Math"/>
          <w:noProof/>
          <w:sz w:val="23"/>
          <w:szCs w:val="23"/>
          <w:rtl/>
        </w:rPr>
        <w:t>. به</w:t>
      </w:r>
      <w:r w:rsidRPr="00A309A0">
        <w:rPr>
          <w:rFonts w:ascii="Cambria Math" w:hAnsi="Cambria Math"/>
          <w:noProof/>
          <w:sz w:val="23"/>
          <w:szCs w:val="23"/>
          <w:rtl/>
        </w:rPr>
        <w:softHyphen/>
        <w:t xml:space="preserve">طور مشابه، اگر پرداختی به سرمایه برابر تولید نهایی آن باشد، در این صورت </w:t>
      </w:r>
      <w:r w:rsidRPr="00B92922">
        <w:rPr>
          <w:position w:val="-12"/>
        </w:rPr>
        <w:object w:dxaOrig="1080" w:dyaOrig="340" w14:anchorId="5685B206">
          <v:shape id="_x0000_i1400" type="#_x0000_t75" style="width:53.85pt;height:16.95pt" o:ole="">
            <v:imagedata r:id="rId774" o:title=""/>
          </v:shape>
          <o:OLEObject Type="Embed" ProgID="Equation.DSMT4" ShapeID="_x0000_i1400" DrawAspect="Content" ObjectID="_1791375344" r:id="rId775"/>
        </w:object>
      </w:r>
      <w:r w:rsidRPr="00A309A0">
        <w:rPr>
          <w:rFonts w:ascii="Cambria Math" w:hAnsi="Cambria Math" w:hint="cs"/>
          <w:sz w:val="23"/>
          <w:szCs w:val="23"/>
          <w:rtl/>
        </w:rPr>
        <w:t xml:space="preserve"> است</w:t>
      </w:r>
      <w:r w:rsidRPr="00A309A0">
        <w:rPr>
          <w:rFonts w:ascii="Cambria Math" w:hAnsi="Cambria Math"/>
          <w:noProof/>
          <w:sz w:val="23"/>
          <w:szCs w:val="23"/>
          <w:rtl/>
        </w:rPr>
        <w:t>. بنابراین معادله</w:t>
      </w:r>
      <w:r w:rsidRPr="00A309A0">
        <w:rPr>
          <w:rFonts w:ascii="Cambria Math" w:hAnsi="Cambria Math"/>
          <w:noProof/>
          <w:sz w:val="23"/>
          <w:szCs w:val="23"/>
          <w:rtl/>
        </w:rPr>
        <w:softHyphen/>
        <w:t>ی</w:t>
      </w:r>
      <w:r w:rsidRPr="00A309A0">
        <w:rPr>
          <w:rFonts w:ascii="Cambria Math" w:hAnsi="Cambria Math" w:hint="cs"/>
          <w:noProof/>
          <w:sz w:val="23"/>
          <w:szCs w:val="23"/>
          <w:rtl/>
        </w:rPr>
        <w:t xml:space="preserve"> </w:t>
      </w:r>
      <w:r w:rsidRPr="00A309A0">
        <w:rPr>
          <w:rFonts w:ascii="Cambria Math" w:hAnsi="Cambria Math" w:hint="cs"/>
          <w:sz w:val="23"/>
          <w:szCs w:val="23"/>
          <w:rtl/>
        </w:rPr>
        <w:t>(۲. ۳۱)</w:t>
      </w:r>
      <w:r w:rsidRPr="00A309A0">
        <w:rPr>
          <w:rFonts w:ascii="Cambria Math" w:hAnsi="Cambria Math"/>
          <w:noProof/>
          <w:sz w:val="23"/>
          <w:szCs w:val="23"/>
          <w:rtl/>
        </w:rPr>
        <w:t xml:space="preserve"> را می</w:t>
      </w:r>
      <w:r w:rsidRPr="00A309A0">
        <w:rPr>
          <w:rFonts w:ascii="Cambria Math" w:hAnsi="Cambria Math"/>
          <w:noProof/>
          <w:sz w:val="23"/>
          <w:szCs w:val="23"/>
          <w:rtl/>
        </w:rPr>
        <w:softHyphen/>
        <w:t>توان به صورت زیر نوشت؛</w:t>
      </w:r>
    </w:p>
    <w:p w14:paraId="697E16E6" w14:textId="77777777" w:rsidR="00411620" w:rsidRPr="00A309A0" w:rsidRDefault="00411620" w:rsidP="00411620">
      <w:pPr>
        <w:bidi w:val="0"/>
        <w:spacing w:line="216" w:lineRule="auto"/>
        <w:rPr>
          <w:rFonts w:ascii="Cambria Math" w:hAnsi="Cambria Math"/>
          <w:noProof/>
          <w:sz w:val="23"/>
          <w:szCs w:val="23"/>
          <w:rtl/>
        </w:rPr>
      </w:pPr>
      <w:r w:rsidRPr="00A309A0">
        <w:rPr>
          <w:rFonts w:ascii="Cambria Math" w:hAnsi="Cambria Math"/>
          <w:noProof/>
          <w:sz w:val="23"/>
          <w:szCs w:val="23"/>
          <w:rtl/>
        </w:rPr>
        <w:t xml:space="preserve"> </w:t>
      </w:r>
      <w:r w:rsidRPr="00B92922">
        <w:rPr>
          <w:position w:val="-10"/>
        </w:rPr>
        <w:object w:dxaOrig="2400" w:dyaOrig="320" w14:anchorId="620B8225">
          <v:shape id="_x0000_i1401" type="#_x0000_t75" style="width:119.8pt;height:15.75pt" o:ole="">
            <v:imagedata r:id="rId776" o:title=""/>
          </v:shape>
          <o:OLEObject Type="Embed" ProgID="Equation.DSMT4" ShapeID="_x0000_i1401" DrawAspect="Content" ObjectID="_1791375345" r:id="rId777"/>
        </w:object>
      </w:r>
    </w:p>
    <w:p w14:paraId="25416D5E" w14:textId="77777777" w:rsidR="00411620" w:rsidRPr="00A309A0" w:rsidRDefault="00411620" w:rsidP="00411620">
      <w:pPr>
        <w:spacing w:line="216" w:lineRule="auto"/>
        <w:rPr>
          <w:rFonts w:ascii="Cambria Math" w:hAnsi="Cambria Math"/>
          <w:noProof/>
          <w:sz w:val="23"/>
          <w:szCs w:val="23"/>
        </w:rPr>
      </w:pPr>
      <w:r w:rsidRPr="00A309A0">
        <w:rPr>
          <w:rFonts w:ascii="Cambria Math" w:hAnsi="Cambria Math"/>
          <w:noProof/>
          <w:sz w:val="23"/>
          <w:szCs w:val="23"/>
          <w:rtl/>
        </w:rPr>
        <w:t>با عنایت به این</w:t>
      </w:r>
      <w:r w:rsidRPr="00A309A0">
        <w:rPr>
          <w:rFonts w:ascii="Cambria Math" w:hAnsi="Cambria Math"/>
          <w:noProof/>
          <w:sz w:val="23"/>
          <w:szCs w:val="23"/>
          <w:rtl/>
        </w:rPr>
        <w:softHyphen/>
        <w:t>که سطح عمومی قیمت</w:t>
      </w:r>
      <w:r w:rsidRPr="00A309A0">
        <w:rPr>
          <w:rFonts w:ascii="Cambria Math" w:hAnsi="Cambria Math"/>
          <w:noProof/>
          <w:sz w:val="23"/>
          <w:szCs w:val="23"/>
          <w:rtl/>
        </w:rPr>
        <w:softHyphen/>
        <w:t xml:space="preserve">ها برابر واحد در نظر گرفته شده است، </w:t>
      </w:r>
      <w:r w:rsidRPr="00A309A0">
        <w:rPr>
          <w:rFonts w:ascii="Cambria Math" w:hAnsi="Cambria Math" w:hint="cs"/>
          <w:noProof/>
          <w:sz w:val="23"/>
          <w:szCs w:val="23"/>
          <w:rtl/>
        </w:rPr>
        <w:t xml:space="preserve">لذا </w:t>
      </w:r>
      <w:r w:rsidRPr="00A309A0">
        <w:rPr>
          <w:rFonts w:ascii="Cambria Math" w:hAnsi="Cambria Math"/>
          <w:noProof/>
          <w:sz w:val="23"/>
          <w:szCs w:val="23"/>
          <w:rtl/>
        </w:rPr>
        <w:t>دستمزد حقیقی به صورت زیر بدست می</w:t>
      </w:r>
      <w:r w:rsidRPr="00A309A0">
        <w:rPr>
          <w:rFonts w:ascii="Cambria Math" w:hAnsi="Cambria Math"/>
          <w:noProof/>
          <w:sz w:val="23"/>
          <w:szCs w:val="23"/>
          <w:rtl/>
        </w:rPr>
        <w:softHyphen/>
        <w:t>آید؛</w:t>
      </w:r>
    </w:p>
    <w:p w14:paraId="5A0D73A2" w14:textId="77777777" w:rsidR="00411620" w:rsidRPr="00A309A0" w:rsidRDefault="00411620" w:rsidP="00411620">
      <w:pPr>
        <w:pStyle w:val="MTDisplayEquation"/>
        <w:spacing w:line="216" w:lineRule="auto"/>
        <w:rPr>
          <w:rFonts w:ascii="Cambria Math" w:hAnsi="Cambria Math" w:cs="B Nazanin"/>
          <w:noProof/>
          <w:sz w:val="23"/>
          <w:szCs w:val="23"/>
          <w:rtl/>
          <w:lang w:bidi="fa-IR"/>
        </w:rPr>
      </w:pPr>
      <w:r w:rsidRPr="00B92922">
        <w:rPr>
          <w:position w:val="-28"/>
        </w:rPr>
        <w:object w:dxaOrig="2280" w:dyaOrig="639" w14:anchorId="6E8CA9D8">
          <v:shape id="_x0000_i1402" type="#_x0000_t75" style="width:113.75pt;height:31.45pt" o:ole="">
            <v:imagedata r:id="rId778" o:title=""/>
          </v:shape>
          <o:OLEObject Type="Embed" ProgID="Equation.DSMT4" ShapeID="_x0000_i1402" DrawAspect="Content" ObjectID="_1791375346" r:id="rId779"/>
        </w:object>
      </w:r>
    </w:p>
    <w:p w14:paraId="5119E870"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و در وضعیت یکنواخت</w:t>
      </w:r>
      <w:r w:rsidRPr="00A309A0">
        <w:rPr>
          <w:rFonts w:ascii="Cambria Math" w:hAnsi="Cambria Math" w:hint="cs"/>
          <w:noProof/>
          <w:sz w:val="23"/>
          <w:szCs w:val="23"/>
          <w:rtl/>
        </w:rPr>
        <w:t xml:space="preserve"> از آنجا که </w:t>
      </w:r>
      <w:r w:rsidRPr="00B92922">
        <w:rPr>
          <w:position w:val="-10"/>
        </w:rPr>
        <w:object w:dxaOrig="560" w:dyaOrig="320" w14:anchorId="255CAC98">
          <v:shape id="_x0000_i1403" type="#_x0000_t75" style="width:27.85pt;height:15.75pt" o:ole="">
            <v:imagedata r:id="rId780" o:title=""/>
          </v:shape>
          <o:OLEObject Type="Embed" ProgID="Equation.DSMT4" ShapeID="_x0000_i1403" DrawAspect="Content" ObjectID="_1791375347" r:id="rId781"/>
        </w:object>
      </w:r>
      <w:r w:rsidRPr="00A309A0">
        <w:rPr>
          <w:rFonts w:ascii="Cambria Math" w:eastAsiaTheme="minorEastAsia" w:hAnsi="Cambria Math"/>
          <w:noProof/>
          <w:sz w:val="23"/>
          <w:szCs w:val="23"/>
          <w:rtl/>
        </w:rPr>
        <w:t xml:space="preserve"> است</w:t>
      </w:r>
      <w:r w:rsidRPr="00A309A0">
        <w:rPr>
          <w:rFonts w:ascii="Cambria Math" w:eastAsiaTheme="minorEastAsia" w:hAnsi="Cambria Math" w:hint="cs"/>
          <w:noProof/>
          <w:sz w:val="23"/>
          <w:szCs w:val="23"/>
          <w:rtl/>
        </w:rPr>
        <w:t>،</w:t>
      </w:r>
      <w:r w:rsidRPr="00A309A0">
        <w:rPr>
          <w:rFonts w:ascii="Cambria Math" w:eastAsiaTheme="minorEastAsia" w:hAnsi="Cambria Math"/>
          <w:noProof/>
          <w:sz w:val="23"/>
          <w:szCs w:val="23"/>
          <w:rtl/>
        </w:rPr>
        <w:t xml:space="preserve"> بنابراین</w:t>
      </w:r>
      <w:r w:rsidRPr="00A309A0">
        <w:rPr>
          <w:rFonts w:ascii="Cambria Math" w:eastAsiaTheme="minorEastAsia" w:hAnsi="Cambria Math" w:hint="cs"/>
          <w:noProof/>
          <w:sz w:val="23"/>
          <w:szCs w:val="23"/>
          <w:rtl/>
        </w:rPr>
        <w:t xml:space="preserve"> خواهیم داشت</w:t>
      </w:r>
    </w:p>
    <w:p w14:paraId="69F701AD" w14:textId="77777777" w:rsidR="00411620" w:rsidRPr="00A309A0" w:rsidRDefault="00411620" w:rsidP="00411620">
      <w:pPr>
        <w:bidi w:val="0"/>
        <w:spacing w:line="216" w:lineRule="auto"/>
        <w:rPr>
          <w:rFonts w:ascii="Cambria Math" w:hAnsi="Cambria Math"/>
          <w:noProof/>
          <w:sz w:val="23"/>
          <w:szCs w:val="23"/>
          <w:rtl/>
        </w:rPr>
      </w:pPr>
      <w:r w:rsidRPr="00A309A0">
        <w:rPr>
          <w:rFonts w:ascii="Cambria Math" w:hAnsi="Cambria Math"/>
          <w:noProof/>
          <w:sz w:val="23"/>
          <w:szCs w:val="23"/>
          <w:rtl/>
        </w:rPr>
        <w:t xml:space="preserve"> </w:t>
      </w:r>
      <w:r w:rsidRPr="00B92922">
        <w:rPr>
          <w:position w:val="-22"/>
        </w:rPr>
        <w:object w:dxaOrig="2460" w:dyaOrig="660" w14:anchorId="6F561710">
          <v:shape id="_x0000_i1404" type="#_x0000_t75" style="width:122.8pt;height:32.65pt" o:ole="">
            <v:imagedata r:id="rId782" o:title=""/>
          </v:shape>
          <o:OLEObject Type="Embed" ProgID="Equation.DSMT4" ShapeID="_x0000_i1404" DrawAspect="Content" ObjectID="_1791375348" r:id="rId783"/>
        </w:object>
      </w:r>
    </w:p>
    <w:p w14:paraId="440846C1"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همان</w:t>
      </w:r>
      <w:r w:rsidRPr="00A309A0">
        <w:rPr>
          <w:rFonts w:ascii="Cambria Math" w:hAnsi="Cambria Math"/>
          <w:sz w:val="23"/>
          <w:szCs w:val="23"/>
          <w:rtl/>
        </w:rPr>
        <w:softHyphen/>
        <w:t xml:space="preserve">طور که قبلا اشاره شد، نیروی کار صریحاً در مدل اولیه وارد نشده است. اگر فرض کنیم </w:t>
      </w:r>
      <w:r w:rsidRPr="00B92922">
        <w:rPr>
          <w:position w:val="-10"/>
        </w:rPr>
        <w:object w:dxaOrig="580" w:dyaOrig="320" w14:anchorId="54BFA477">
          <v:shape id="_x0000_i1405" type="#_x0000_t75" style="width:29.05pt;height:15.75pt" o:ole="">
            <v:imagedata r:id="rId784" o:title=""/>
          </v:shape>
          <o:OLEObject Type="Embed" ProgID="Equation.DSMT4" ShapeID="_x0000_i1405" DrawAspect="Content" ObjectID="_1791375349" r:id="rId785"/>
        </w:object>
      </w:r>
      <w:r w:rsidRPr="00A309A0">
        <w:rPr>
          <w:rFonts w:ascii="Cambria Math" w:eastAsiaTheme="minorEastAsia" w:hAnsi="Cambria Math"/>
          <w:sz w:val="23"/>
          <w:szCs w:val="23"/>
          <w:rtl/>
        </w:rPr>
        <w:t xml:space="preserve"> است</w:t>
      </w:r>
      <w:r w:rsidRPr="00A309A0">
        <w:rPr>
          <w:rFonts w:ascii="Cambria Math" w:hAnsi="Cambria Math"/>
          <w:sz w:val="23"/>
          <w:szCs w:val="23"/>
          <w:rtl/>
        </w:rPr>
        <w:t xml:space="preserve">، آنگاه نیروی کار به طور ضمنی وارد مدل شده و دستمزد حقیقی ضمنی برابر خواهد بود با، </w:t>
      </w:r>
    </w:p>
    <w:p w14:paraId="0C8F2C17" w14:textId="77777777" w:rsidR="00411620" w:rsidRPr="00A309A0" w:rsidRDefault="00411620" w:rsidP="00411620">
      <w:pPr>
        <w:pStyle w:val="MTDisplayEquation"/>
        <w:spacing w:line="216" w:lineRule="auto"/>
        <w:rPr>
          <w:rFonts w:ascii="Cambria Math" w:hAnsi="Cambria Math" w:cs="B Nazanin"/>
          <w:sz w:val="23"/>
          <w:szCs w:val="23"/>
          <w:rtl/>
          <w:lang w:bidi="fa-IR"/>
        </w:rPr>
      </w:pPr>
      <w:r w:rsidRPr="00B92922">
        <w:rPr>
          <w:position w:val="-10"/>
        </w:rPr>
        <w:object w:dxaOrig="2120" w:dyaOrig="320" w14:anchorId="5715598C">
          <v:shape id="_x0000_i1406" type="#_x0000_t75" style="width:105.9pt;height:15.75pt" o:ole="">
            <v:imagedata r:id="rId786" o:title=""/>
          </v:shape>
          <o:OLEObject Type="Embed" ProgID="Equation.DSMT4" ShapeID="_x0000_i1406" DrawAspect="Content" ObjectID="_1791375350" r:id="rId787"/>
        </w:object>
      </w:r>
    </w:p>
    <w:p w14:paraId="6B9B16E4"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 xml:space="preserve">و در وضعیت یکنواخت خواهیم داشت </w:t>
      </w:r>
    </w:p>
    <w:p w14:paraId="37CA0CEF" w14:textId="77777777" w:rsidR="00411620" w:rsidRPr="00A309A0" w:rsidRDefault="00411620" w:rsidP="00411620">
      <w:pPr>
        <w:bidi w:val="0"/>
        <w:spacing w:line="216" w:lineRule="auto"/>
        <w:rPr>
          <w:rFonts w:ascii="Cambria Math" w:eastAsiaTheme="minorEastAsia" w:hAnsi="Cambria Math"/>
          <w:noProof/>
          <w:sz w:val="23"/>
          <w:szCs w:val="23"/>
          <w:rtl/>
          <w:lang w:val="en-GB"/>
        </w:rPr>
      </w:pPr>
      <w:r w:rsidRPr="00A309A0">
        <w:rPr>
          <w:rFonts w:ascii="Cambria Math" w:hAnsi="Cambria Math"/>
          <w:noProof/>
          <w:sz w:val="23"/>
          <w:szCs w:val="23"/>
          <w:rtl/>
        </w:rPr>
        <w:t xml:space="preserve"> </w:t>
      </w:r>
      <w:r w:rsidRPr="00B92922">
        <w:rPr>
          <w:position w:val="-16"/>
        </w:rPr>
        <w:object w:dxaOrig="2120" w:dyaOrig="420" w14:anchorId="69193469">
          <v:shape id="_x0000_i1407" type="#_x0000_t75" style="width:105.9pt;height:21.2pt" o:ole="">
            <v:imagedata r:id="rId788" o:title=""/>
          </v:shape>
          <o:OLEObject Type="Embed" ProgID="Equation.DSMT4" ShapeID="_x0000_i1407" DrawAspect="Content" ObjectID="_1791375351" r:id="rId789"/>
        </w:object>
      </w:r>
    </w:p>
    <w:p w14:paraId="5D5EFA13" w14:textId="77777777" w:rsidR="00411620" w:rsidRPr="00A309A0" w:rsidRDefault="00411620" w:rsidP="00411620">
      <w:pPr>
        <w:pStyle w:val="Heading1"/>
        <w:spacing w:before="0" w:after="0" w:line="216" w:lineRule="auto"/>
        <w:rPr>
          <w:rFonts w:ascii="Cambria Math" w:hAnsi="Cambria Math" w:cs="B Nazanin"/>
          <w:noProof/>
          <w:sz w:val="23"/>
          <w:szCs w:val="23"/>
          <w:rtl/>
        </w:rPr>
      </w:pPr>
      <w:r w:rsidRPr="00A309A0">
        <w:rPr>
          <w:rFonts w:ascii="Cambria Math" w:hAnsi="Cambria Math" w:cs="B Nazanin" w:hint="cs"/>
          <w:noProof/>
          <w:sz w:val="23"/>
          <w:szCs w:val="23"/>
          <w:rtl/>
        </w:rPr>
        <w:t>۲. ۷</w:t>
      </w:r>
      <w:r w:rsidRPr="00A309A0">
        <w:rPr>
          <w:rFonts w:ascii="Cambria Math" w:hAnsi="Cambria Math" w:cs="B Nazanin"/>
          <w:noProof/>
          <w:sz w:val="23"/>
          <w:szCs w:val="23"/>
          <w:rtl/>
        </w:rPr>
        <w:t xml:space="preserve"> سرمایه‌گذاری </w:t>
      </w:r>
    </w:p>
    <w:p w14:paraId="1FAC8F29"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hint="cs"/>
          <w:noProof/>
          <w:sz w:val="23"/>
          <w:szCs w:val="23"/>
          <w:rtl/>
        </w:rPr>
        <w:t xml:space="preserve">در مدل اولیه متغیر </w:t>
      </w:r>
      <w:r w:rsidRPr="00A309A0">
        <w:rPr>
          <w:rFonts w:ascii="Cambria Math" w:hAnsi="Cambria Math"/>
          <w:noProof/>
          <w:sz w:val="23"/>
          <w:szCs w:val="23"/>
          <w:rtl/>
        </w:rPr>
        <w:t>سرمایه</w:t>
      </w:r>
      <w:r w:rsidRPr="00A309A0">
        <w:rPr>
          <w:rFonts w:ascii="Cambria Math" w:hAnsi="Cambria Math"/>
          <w:noProof/>
          <w:sz w:val="23"/>
          <w:szCs w:val="23"/>
          <w:rtl/>
        </w:rPr>
        <w:softHyphen/>
        <w:t>گذاری وجود داشت ولی با یک جایگزاری ساده آن</w:t>
      </w:r>
      <w:r w:rsidRPr="00A309A0">
        <w:rPr>
          <w:rFonts w:ascii="Cambria Math" w:hAnsi="Cambria Math"/>
          <w:noProof/>
          <w:sz w:val="23"/>
          <w:szCs w:val="23"/>
          <w:rtl/>
        </w:rPr>
        <w:softHyphen/>
        <w:t>را از مدل اقتصادی حذف نموده و به</w:t>
      </w:r>
      <w:r w:rsidRPr="00A309A0">
        <w:rPr>
          <w:rFonts w:ascii="Cambria Math" w:hAnsi="Cambria Math" w:hint="cs"/>
          <w:noProof/>
          <w:sz w:val="23"/>
          <w:szCs w:val="23"/>
          <w:rtl/>
        </w:rPr>
        <w:t xml:space="preserve"> دو متغیر</w:t>
      </w:r>
      <w:r w:rsidRPr="00A309A0">
        <w:rPr>
          <w:rFonts w:ascii="Cambria Math" w:hAnsi="Cambria Math"/>
          <w:noProof/>
          <w:sz w:val="23"/>
          <w:szCs w:val="23"/>
          <w:rtl/>
        </w:rPr>
        <w:t xml:space="preserve"> موجودی سرمایه و مصرف </w:t>
      </w:r>
      <w:r w:rsidRPr="00A309A0">
        <w:rPr>
          <w:rFonts w:ascii="Cambria Math" w:hAnsi="Cambria Math" w:hint="cs"/>
          <w:noProof/>
          <w:sz w:val="23"/>
          <w:szCs w:val="23"/>
          <w:rtl/>
        </w:rPr>
        <w:t>اکتفا کر</w:t>
      </w:r>
      <w:r w:rsidRPr="00A309A0">
        <w:rPr>
          <w:rFonts w:ascii="Cambria Math" w:hAnsi="Cambria Math"/>
          <w:noProof/>
          <w:sz w:val="23"/>
          <w:szCs w:val="23"/>
          <w:rtl/>
        </w:rPr>
        <w:t xml:space="preserve">دیم. اکنون مطلوبیت را با توجه به </w:t>
      </w:r>
      <w:r w:rsidRPr="00A309A0">
        <w:rPr>
          <w:rFonts w:ascii="Cambria Math" w:hAnsi="Cambria Math" w:hint="cs"/>
          <w:noProof/>
          <w:sz w:val="23"/>
          <w:szCs w:val="23"/>
          <w:rtl/>
        </w:rPr>
        <w:t>ق</w:t>
      </w:r>
      <w:r w:rsidRPr="00A309A0">
        <w:rPr>
          <w:rFonts w:ascii="Cambria Math" w:hAnsi="Cambria Math"/>
          <w:noProof/>
          <w:sz w:val="23"/>
          <w:szCs w:val="23"/>
          <w:rtl/>
        </w:rPr>
        <w:t xml:space="preserve">ید منبع اقتصاد و </w:t>
      </w:r>
      <w:r w:rsidRPr="00A309A0">
        <w:rPr>
          <w:rFonts w:ascii="Cambria Math" w:hAnsi="Cambria Math" w:hint="cs"/>
          <w:noProof/>
          <w:sz w:val="23"/>
          <w:szCs w:val="23"/>
          <w:rtl/>
        </w:rPr>
        <w:t>معادله</w:t>
      </w:r>
      <w:r w:rsidRPr="00A309A0">
        <w:rPr>
          <w:rFonts w:ascii="Cambria Math" w:hAnsi="Cambria Math"/>
          <w:noProof/>
          <w:sz w:val="23"/>
          <w:szCs w:val="23"/>
          <w:rtl/>
        </w:rPr>
        <w:softHyphen/>
      </w:r>
      <w:r w:rsidRPr="00A309A0">
        <w:rPr>
          <w:rFonts w:ascii="Cambria Math" w:hAnsi="Cambria Math" w:hint="cs"/>
          <w:noProof/>
          <w:sz w:val="23"/>
          <w:szCs w:val="23"/>
          <w:rtl/>
        </w:rPr>
        <w:t>ی انباشت</w:t>
      </w:r>
      <w:r w:rsidRPr="00A309A0">
        <w:rPr>
          <w:rFonts w:ascii="Cambria Math" w:hAnsi="Cambria Math"/>
          <w:noProof/>
          <w:sz w:val="23"/>
          <w:szCs w:val="23"/>
          <w:rtl/>
        </w:rPr>
        <w:t xml:space="preserve"> سرمایه حداکثر نموده و تغییرات سرمایه</w:t>
      </w:r>
      <w:r w:rsidRPr="00A309A0">
        <w:rPr>
          <w:rFonts w:ascii="Cambria Math" w:hAnsi="Cambria Math"/>
          <w:noProof/>
          <w:sz w:val="23"/>
          <w:szCs w:val="23"/>
          <w:rtl/>
        </w:rPr>
        <w:softHyphen/>
        <w:t xml:space="preserve">گذاری را با توجه به وجود </w:t>
      </w:r>
      <w:r w:rsidRPr="00A309A0">
        <w:rPr>
          <w:rFonts w:ascii="Cambria Math" w:hAnsi="Cambria Math"/>
          <w:noProof/>
          <w:sz w:val="23"/>
          <w:szCs w:val="23"/>
          <w:rtl/>
        </w:rPr>
        <w:lastRenderedPageBreak/>
        <w:t>هزینه</w:t>
      </w:r>
      <w:r w:rsidRPr="00A309A0">
        <w:rPr>
          <w:rFonts w:ascii="Cambria Math" w:hAnsi="Cambria Math"/>
          <w:noProof/>
          <w:sz w:val="23"/>
          <w:szCs w:val="23"/>
          <w:rtl/>
        </w:rPr>
        <w:softHyphen/>
        <w:t>های نصب و راه</w:t>
      </w:r>
      <w:r w:rsidRPr="00A309A0">
        <w:rPr>
          <w:rFonts w:ascii="Cambria Math" w:hAnsi="Cambria Math"/>
          <w:noProof/>
          <w:sz w:val="23"/>
          <w:szCs w:val="23"/>
          <w:rtl/>
        </w:rPr>
        <w:softHyphen/>
        <w:t>اندازی</w:t>
      </w:r>
      <w:r w:rsidRPr="00A309A0">
        <w:rPr>
          <w:rStyle w:val="FootnoteReference"/>
          <w:rFonts w:ascii="Cambria Math" w:eastAsiaTheme="majorEastAsia" w:hAnsi="Cambria Math"/>
          <w:noProof/>
          <w:sz w:val="23"/>
          <w:szCs w:val="23"/>
          <w:rtl/>
        </w:rPr>
        <w:footnoteReference w:id="87"/>
      </w:r>
      <w:r w:rsidRPr="00A309A0">
        <w:rPr>
          <w:rFonts w:ascii="Cambria Math" w:hAnsi="Cambria Math"/>
          <w:noProof/>
          <w:sz w:val="23"/>
          <w:szCs w:val="23"/>
          <w:rtl/>
        </w:rPr>
        <w:t xml:space="preserve"> در تئوری سرمایه</w:t>
      </w:r>
      <w:r w:rsidRPr="00A309A0">
        <w:rPr>
          <w:rFonts w:ascii="Cambria Math" w:hAnsi="Cambria Math"/>
          <w:noProof/>
          <w:sz w:val="23"/>
          <w:szCs w:val="23"/>
          <w:rtl/>
        </w:rPr>
        <w:softHyphen/>
        <w:t>گذاری</w:t>
      </w:r>
      <w:r w:rsidRPr="00B92922">
        <w:rPr>
          <w:position w:val="-8"/>
        </w:rPr>
        <w:object w:dxaOrig="200" w:dyaOrig="240" w14:anchorId="06FC9736">
          <v:shape id="_x0000_i1408" type="#_x0000_t75" style="width:10.3pt;height:12.1pt" o:ole="">
            <v:imagedata r:id="rId790" o:title=""/>
          </v:shape>
          <o:OLEObject Type="Embed" ProgID="Equation.DSMT4" ShapeID="_x0000_i1408" DrawAspect="Content" ObjectID="_1791375352" r:id="rId791"/>
        </w:object>
      </w:r>
      <w:r w:rsidRPr="00A309A0">
        <w:rPr>
          <w:rFonts w:ascii="Cambria Math" w:hAnsi="Cambria Math"/>
          <w:noProof/>
          <w:sz w:val="23"/>
          <w:szCs w:val="23"/>
          <w:rtl/>
        </w:rPr>
        <w:t xml:space="preserve"> توبین</w:t>
      </w:r>
      <w:r w:rsidRPr="00A309A0">
        <w:rPr>
          <w:rStyle w:val="FootnoteReference"/>
          <w:rFonts w:ascii="Cambria Math" w:eastAsiaTheme="majorEastAsia" w:hAnsi="Cambria Math"/>
          <w:noProof/>
          <w:sz w:val="23"/>
          <w:szCs w:val="23"/>
          <w:rtl/>
        </w:rPr>
        <w:footnoteReference w:id="88"/>
      </w:r>
      <w:r w:rsidRPr="00A309A0">
        <w:rPr>
          <w:rFonts w:ascii="Cambria Math" w:hAnsi="Cambria Math"/>
          <w:noProof/>
          <w:sz w:val="23"/>
          <w:szCs w:val="23"/>
          <w:rtl/>
        </w:rPr>
        <w:t xml:space="preserve"> مورد بررسی قرار می</w:t>
      </w:r>
      <w:r w:rsidRPr="00A309A0">
        <w:rPr>
          <w:rFonts w:ascii="Cambria Math" w:hAnsi="Cambria Math"/>
          <w:noProof/>
          <w:sz w:val="23"/>
          <w:szCs w:val="23"/>
          <w:rtl/>
        </w:rPr>
        <w:softHyphen/>
        <w:t>دهیم</w:t>
      </w:r>
      <w:r w:rsidRPr="00A309A0">
        <w:rPr>
          <w:rFonts w:ascii="Cambria Math" w:hAnsi="Cambria Math" w:hint="cs"/>
          <w:noProof/>
          <w:sz w:val="23"/>
          <w:szCs w:val="23"/>
          <w:rtl/>
        </w:rPr>
        <w:t xml:space="preserve"> </w:t>
      </w:r>
      <w:r w:rsidRPr="00A309A0">
        <w:rPr>
          <w:rFonts w:ascii="Cambria Math" w:hAnsi="Cambria Math"/>
          <w:noProof/>
          <w:sz w:val="23"/>
          <w:szCs w:val="23"/>
          <w:rtl/>
        </w:rPr>
        <w:t>(همچنین نگاه کنید به هایاشی</w:t>
      </w:r>
      <w:r w:rsidRPr="00A309A0">
        <w:rPr>
          <w:rStyle w:val="FootnoteReference"/>
          <w:rFonts w:ascii="Cambria Math" w:eastAsiaTheme="majorEastAsia" w:hAnsi="Cambria Math"/>
          <w:noProof/>
          <w:sz w:val="23"/>
          <w:szCs w:val="23"/>
          <w:rtl/>
        </w:rPr>
        <w:footnoteReference w:id="89"/>
      </w:r>
      <w:r w:rsidRPr="00A309A0">
        <w:rPr>
          <w:rFonts w:ascii="Cambria Math" w:hAnsi="Cambria Math"/>
          <w:noProof/>
          <w:sz w:val="23"/>
          <w:szCs w:val="23"/>
          <w:rtl/>
        </w:rPr>
        <w:t>). روش دیگر جهت بررسی اثر سرمایه‌گذاری بر رفتار پویای اقتصاد وجود فرض تأخیر زمانی در استقرار سرمایه‌گذار</w:t>
      </w:r>
      <w:r w:rsidRPr="00A309A0">
        <w:rPr>
          <w:rFonts w:ascii="Cambria Math" w:hAnsi="Cambria Math" w:hint="cs"/>
          <w:noProof/>
          <w:sz w:val="23"/>
          <w:szCs w:val="23"/>
          <w:rtl/>
        </w:rPr>
        <w:t>ی</w:t>
      </w:r>
      <w:r w:rsidRPr="00A309A0">
        <w:rPr>
          <w:rFonts w:ascii="Cambria Math" w:hAnsi="Cambria Math"/>
          <w:noProof/>
          <w:sz w:val="23"/>
          <w:szCs w:val="23"/>
          <w:rtl/>
        </w:rPr>
        <w:softHyphen/>
        <w:t>های جدید است که این رویکرد به کیدلند و پرسکات</w:t>
      </w:r>
      <w:r w:rsidRPr="00A309A0">
        <w:rPr>
          <w:rStyle w:val="FootnoteReference"/>
          <w:rFonts w:ascii="Cambria Math" w:eastAsiaTheme="majorEastAsia" w:hAnsi="Cambria Math"/>
          <w:noProof/>
          <w:sz w:val="23"/>
          <w:szCs w:val="23"/>
          <w:rtl/>
        </w:rPr>
        <w:footnoteReference w:id="90"/>
      </w:r>
      <w:r w:rsidRPr="00A309A0">
        <w:rPr>
          <w:rFonts w:ascii="Cambria Math" w:hAnsi="Cambria Math"/>
          <w:noProof/>
          <w:sz w:val="23"/>
          <w:szCs w:val="23"/>
          <w:rtl/>
        </w:rPr>
        <w:t xml:space="preserve"> منتسب است و آن</w:t>
      </w:r>
      <w:r w:rsidRPr="00A309A0">
        <w:rPr>
          <w:rFonts w:ascii="Cambria Math" w:hAnsi="Cambria Math"/>
          <w:noProof/>
          <w:sz w:val="23"/>
          <w:szCs w:val="23"/>
          <w:rtl/>
        </w:rPr>
        <w:softHyphen/>
        <w:t>را تئوری سرمایه</w:t>
      </w:r>
      <w:r w:rsidRPr="00A309A0">
        <w:rPr>
          <w:rFonts w:ascii="Cambria Math" w:hAnsi="Cambria Math"/>
          <w:noProof/>
          <w:sz w:val="23"/>
          <w:szCs w:val="23"/>
          <w:rtl/>
        </w:rPr>
        <w:softHyphen/>
        <w:t>گذاری " زمان برای ساخت</w:t>
      </w:r>
      <w:r w:rsidRPr="00A309A0">
        <w:rPr>
          <w:rStyle w:val="FootnoteReference"/>
          <w:rFonts w:ascii="Cambria Math" w:eastAsiaTheme="majorEastAsia" w:hAnsi="Cambria Math"/>
          <w:noProof/>
          <w:sz w:val="23"/>
          <w:szCs w:val="23"/>
          <w:rtl/>
        </w:rPr>
        <w:footnoteReference w:id="91"/>
      </w:r>
      <w:r w:rsidRPr="00A309A0">
        <w:rPr>
          <w:rFonts w:ascii="Cambria Math" w:hAnsi="Cambria Math"/>
          <w:noProof/>
          <w:sz w:val="23"/>
          <w:szCs w:val="23"/>
          <w:rtl/>
        </w:rPr>
        <w:t xml:space="preserve"> " نامند.</w:t>
      </w:r>
    </w:p>
    <w:p w14:paraId="39FCCCB8"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 xml:space="preserve"> </w:t>
      </w:r>
    </w:p>
    <w:p w14:paraId="32468ADB" w14:textId="77777777" w:rsidR="00411620" w:rsidRPr="00A309A0" w:rsidRDefault="00411620" w:rsidP="00411620">
      <w:pPr>
        <w:pStyle w:val="Heading2"/>
        <w:spacing w:before="0" w:line="216" w:lineRule="auto"/>
        <w:rPr>
          <w:rFonts w:ascii="Cambria Math" w:hAnsi="Cambria Math" w:cs="B Nazanin"/>
          <w:i/>
          <w:iCs/>
          <w:noProof/>
          <w:color w:val="000000" w:themeColor="text1"/>
          <w:sz w:val="23"/>
          <w:szCs w:val="23"/>
          <w:rtl/>
        </w:rPr>
      </w:pPr>
      <w:r w:rsidRPr="00A309A0">
        <w:rPr>
          <w:rFonts w:ascii="Cambria Math" w:hAnsi="Cambria Math" w:cs="B Nazanin" w:hint="cs"/>
          <w:noProof/>
          <w:color w:val="000000" w:themeColor="text1"/>
          <w:sz w:val="23"/>
          <w:szCs w:val="23"/>
          <w:rtl/>
        </w:rPr>
        <w:t>۲. ۷. ۱</w:t>
      </w:r>
      <w:r w:rsidRPr="00A309A0">
        <w:rPr>
          <w:rFonts w:ascii="Cambria Math" w:hAnsi="Cambria Math" w:cs="B Nazanin"/>
          <w:noProof/>
          <w:color w:val="000000" w:themeColor="text1"/>
          <w:sz w:val="23"/>
          <w:szCs w:val="23"/>
          <w:rtl/>
        </w:rPr>
        <w:t xml:space="preserve"> تئوری سرمایه</w:t>
      </w:r>
      <w:r w:rsidRPr="00A309A0">
        <w:rPr>
          <w:rFonts w:ascii="Cambria Math" w:hAnsi="Cambria Math" w:cs="B Nazanin"/>
          <w:noProof/>
          <w:color w:val="000000" w:themeColor="text1"/>
          <w:sz w:val="23"/>
          <w:szCs w:val="23"/>
          <w:rtl/>
        </w:rPr>
        <w:softHyphen/>
        <w:t xml:space="preserve">گذاری </w:t>
      </w:r>
      <w:r w:rsidRPr="00A309A0">
        <w:rPr>
          <w:rFonts w:ascii="Cambria Math" w:hAnsi="Cambria Math" w:cs="B Nazanin"/>
          <w:noProof/>
          <w:color w:val="000000" w:themeColor="text1"/>
          <w:sz w:val="23"/>
          <w:szCs w:val="23"/>
        </w:rPr>
        <w:t>q</w:t>
      </w:r>
      <w:r w:rsidRPr="00A309A0">
        <w:rPr>
          <w:rFonts w:ascii="Cambria Math" w:hAnsi="Cambria Math" w:cs="B Nazanin"/>
          <w:noProof/>
          <w:color w:val="000000" w:themeColor="text1"/>
          <w:sz w:val="23"/>
          <w:szCs w:val="23"/>
          <w:rtl/>
        </w:rPr>
        <w:t xml:space="preserve"> توبین</w:t>
      </w:r>
    </w:p>
    <w:p w14:paraId="5749CF7F"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 xml:space="preserve">در مدل </w:t>
      </w:r>
      <w:r w:rsidRPr="00A309A0">
        <w:rPr>
          <w:rFonts w:ascii="Cambria Math" w:hAnsi="Cambria Math" w:hint="cs"/>
          <w:noProof/>
          <w:sz w:val="23"/>
          <w:szCs w:val="23"/>
          <w:rtl/>
        </w:rPr>
        <w:t xml:space="preserve">اولیه و </w:t>
      </w:r>
      <w:r w:rsidRPr="00A309A0">
        <w:rPr>
          <w:rFonts w:ascii="Cambria Math" w:hAnsi="Cambria Math"/>
          <w:noProof/>
          <w:sz w:val="23"/>
          <w:szCs w:val="23"/>
          <w:rtl/>
        </w:rPr>
        <w:t>پایه</w:t>
      </w:r>
      <w:r w:rsidRPr="00A309A0">
        <w:rPr>
          <w:rFonts w:ascii="Cambria Math" w:hAnsi="Cambria Math" w:hint="cs"/>
          <w:noProof/>
          <w:sz w:val="23"/>
          <w:szCs w:val="23"/>
          <w:rtl/>
        </w:rPr>
        <w:t>،</w:t>
      </w:r>
      <w:r w:rsidRPr="00A309A0">
        <w:rPr>
          <w:rFonts w:ascii="Cambria Math" w:hAnsi="Cambria Math"/>
          <w:noProof/>
          <w:sz w:val="23"/>
          <w:szCs w:val="23"/>
          <w:rtl/>
        </w:rPr>
        <w:t xml:space="preserve"> بر سطوح بهینه</w:t>
      </w:r>
      <w:r w:rsidRPr="00A309A0">
        <w:rPr>
          <w:rFonts w:ascii="Cambria Math" w:hAnsi="Cambria Math"/>
          <w:noProof/>
          <w:sz w:val="23"/>
          <w:szCs w:val="23"/>
          <w:rtl/>
        </w:rPr>
        <w:softHyphen/>
        <w:t xml:space="preserve">ی مصرف و موجودی سرمایه تمرکز </w:t>
      </w:r>
      <w:r w:rsidRPr="00A309A0">
        <w:rPr>
          <w:rFonts w:ascii="Cambria Math" w:hAnsi="Cambria Math" w:hint="cs"/>
          <w:noProof/>
          <w:sz w:val="23"/>
          <w:szCs w:val="23"/>
          <w:rtl/>
        </w:rPr>
        <w:t>کردیم</w:t>
      </w:r>
      <w:r w:rsidRPr="00A309A0">
        <w:rPr>
          <w:rFonts w:ascii="Cambria Math" w:hAnsi="Cambria Math"/>
          <w:noProof/>
          <w:sz w:val="23"/>
          <w:szCs w:val="23"/>
          <w:rtl/>
        </w:rPr>
        <w:t xml:space="preserve">. در بخش </w:t>
      </w:r>
      <w:r w:rsidRPr="00A309A0">
        <w:rPr>
          <w:rFonts w:ascii="Cambria Math" w:hAnsi="Cambria Math" w:hint="cs"/>
          <w:noProof/>
          <w:sz w:val="23"/>
          <w:szCs w:val="23"/>
          <w:rtl/>
        </w:rPr>
        <w:t>۲. ۵</w:t>
      </w:r>
      <w:r w:rsidRPr="00A309A0">
        <w:rPr>
          <w:rFonts w:ascii="Cambria Math" w:hAnsi="Cambria Math"/>
          <w:noProof/>
          <w:sz w:val="23"/>
          <w:szCs w:val="23"/>
          <w:rtl/>
        </w:rPr>
        <w:t xml:space="preserve"> ملاحظه شد که تغییر دائمی در سطح تعادلی بلندمدت </w:t>
      </w:r>
      <w:r w:rsidRPr="00A309A0">
        <w:rPr>
          <w:rFonts w:ascii="Cambria Math" w:hAnsi="Cambria Math" w:hint="cs"/>
          <w:noProof/>
          <w:sz w:val="23"/>
          <w:szCs w:val="23"/>
          <w:rtl/>
        </w:rPr>
        <w:t xml:space="preserve">موجودی </w:t>
      </w:r>
      <w:r w:rsidRPr="00A309A0">
        <w:rPr>
          <w:rFonts w:ascii="Cambria Math" w:hAnsi="Cambria Math"/>
          <w:noProof/>
          <w:sz w:val="23"/>
          <w:szCs w:val="23"/>
          <w:rtl/>
        </w:rPr>
        <w:t>سرمایه بهینه خواهد بود</w:t>
      </w:r>
      <w:r w:rsidRPr="00A309A0">
        <w:rPr>
          <w:rFonts w:ascii="Cambria Math" w:hAnsi="Cambria Math" w:hint="cs"/>
          <w:noProof/>
          <w:sz w:val="23"/>
          <w:szCs w:val="23"/>
          <w:rtl/>
        </w:rPr>
        <w:t>،</w:t>
      </w:r>
      <w:r w:rsidRPr="00A309A0">
        <w:rPr>
          <w:rFonts w:ascii="Cambria Math" w:hAnsi="Cambria Math"/>
          <w:noProof/>
          <w:sz w:val="23"/>
          <w:szCs w:val="23"/>
          <w:rtl/>
        </w:rPr>
        <w:t xml:space="preserve"> اگر سطح موجودی سرمایه در طول زمان و در امتداد مسیر زینی تعدیل شود. مسیر بهینه</w:t>
      </w:r>
      <w:r w:rsidRPr="00A309A0">
        <w:rPr>
          <w:rFonts w:ascii="Cambria Math" w:hAnsi="Cambria Math"/>
          <w:noProof/>
          <w:sz w:val="23"/>
          <w:szCs w:val="23"/>
          <w:rtl/>
        </w:rPr>
        <w:softHyphen/>
        <w:t>ی تعدیل برای موجودی سرمایه مبین سطح بهینه</w:t>
      </w:r>
      <w:r w:rsidRPr="00A309A0">
        <w:rPr>
          <w:rFonts w:ascii="Cambria Math" w:hAnsi="Cambria Math"/>
          <w:noProof/>
          <w:sz w:val="23"/>
          <w:szCs w:val="23"/>
          <w:rtl/>
        </w:rPr>
        <w:softHyphen/>
        <w:t>ی سرمایه‌گذاری در هر دوره است. سطح بهینه</w:t>
      </w:r>
      <w:r w:rsidRPr="00A309A0">
        <w:rPr>
          <w:rFonts w:ascii="Cambria Math" w:hAnsi="Cambria Math"/>
          <w:noProof/>
          <w:sz w:val="23"/>
          <w:szCs w:val="23"/>
          <w:rtl/>
        </w:rPr>
        <w:softHyphen/>
        <w:t>ی سرمایه‌گذاری در هر دوره متفاوت خواهد بود تا این</w:t>
      </w:r>
      <w:r w:rsidRPr="00A309A0">
        <w:rPr>
          <w:rFonts w:ascii="Cambria Math" w:hAnsi="Cambria Math"/>
          <w:noProof/>
          <w:sz w:val="23"/>
          <w:szCs w:val="23"/>
          <w:rtl/>
        </w:rPr>
        <w:softHyphen/>
        <w:t>که سطح تعادلی عمومی بلندمدت موجودی سرمایه به دست آید. در این موقعیت سرمایه‌گذاری تنها برای جایگزینی سرمایه</w:t>
      </w:r>
      <w:r w:rsidRPr="00A309A0">
        <w:rPr>
          <w:rFonts w:ascii="Cambria Math" w:hAnsi="Cambria Math"/>
          <w:noProof/>
          <w:sz w:val="23"/>
          <w:szCs w:val="23"/>
          <w:rtl/>
        </w:rPr>
        <w:softHyphen/>
        <w:t>ی مستهلک شده انجام می</w:t>
      </w:r>
      <w:r w:rsidRPr="00A309A0">
        <w:rPr>
          <w:rFonts w:ascii="Cambria Math" w:hAnsi="Cambria Math"/>
          <w:noProof/>
          <w:sz w:val="23"/>
          <w:szCs w:val="23"/>
          <w:rtl/>
        </w:rPr>
        <w:softHyphen/>
        <w:t>شود. اگرچه تعدیل موجودی سرمایه به سطح وضعیت یکنواخت جدید</w:t>
      </w:r>
      <w:r w:rsidRPr="00A309A0">
        <w:rPr>
          <w:rFonts w:ascii="Cambria Math" w:hAnsi="Cambria Math" w:hint="cs"/>
          <w:noProof/>
          <w:sz w:val="23"/>
          <w:szCs w:val="23"/>
          <w:rtl/>
        </w:rPr>
        <w:t>،</w:t>
      </w:r>
      <w:r w:rsidRPr="00A309A0">
        <w:rPr>
          <w:rFonts w:ascii="Cambria Math" w:hAnsi="Cambria Math"/>
          <w:noProof/>
          <w:sz w:val="23"/>
          <w:szCs w:val="23"/>
          <w:rtl/>
        </w:rPr>
        <w:t xml:space="preserve"> زمان</w:t>
      </w:r>
      <w:r w:rsidRPr="00A309A0">
        <w:rPr>
          <w:rFonts w:ascii="Cambria Math" w:hAnsi="Cambria Math"/>
          <w:noProof/>
          <w:sz w:val="23"/>
          <w:szCs w:val="23"/>
          <w:rtl/>
        </w:rPr>
        <w:softHyphen/>
        <w:t>بر است، اما سرمایه‌گذاری در مدل اولیه سریعاً به سطح بهینه</w:t>
      </w:r>
      <w:r w:rsidRPr="00A309A0">
        <w:rPr>
          <w:rFonts w:ascii="Cambria Math" w:hAnsi="Cambria Math"/>
          <w:noProof/>
          <w:sz w:val="23"/>
          <w:szCs w:val="23"/>
          <w:rtl/>
        </w:rPr>
        <w:softHyphen/>
        <w:t>ی هر دوره تعدیل می‌شد. در عمل، با توجه به هزینه</w:t>
      </w:r>
      <w:r w:rsidRPr="00A309A0">
        <w:rPr>
          <w:rFonts w:ascii="Cambria Math" w:hAnsi="Cambria Math"/>
          <w:noProof/>
          <w:sz w:val="23"/>
          <w:szCs w:val="23"/>
          <w:rtl/>
        </w:rPr>
        <w:softHyphen/>
        <w:t>های نصب و راه</w:t>
      </w:r>
      <w:r w:rsidRPr="00A309A0">
        <w:rPr>
          <w:rFonts w:ascii="Cambria Math" w:hAnsi="Cambria Math"/>
          <w:noProof/>
          <w:sz w:val="23"/>
          <w:szCs w:val="23"/>
          <w:rtl/>
        </w:rPr>
        <w:softHyphen/>
        <w:t>اندازی، سرمایه</w:t>
      </w:r>
      <w:r w:rsidRPr="00A309A0">
        <w:rPr>
          <w:rFonts w:ascii="Cambria Math" w:hAnsi="Cambria Math"/>
          <w:noProof/>
          <w:sz w:val="23"/>
          <w:szCs w:val="23"/>
          <w:rtl/>
        </w:rPr>
        <w:softHyphen/>
        <w:t>گذاری بهینه است اگر آهسته</w:t>
      </w:r>
      <w:r w:rsidRPr="00A309A0">
        <w:rPr>
          <w:rFonts w:ascii="Cambria Math" w:hAnsi="Cambria Math"/>
          <w:noProof/>
          <w:sz w:val="23"/>
          <w:szCs w:val="23"/>
          <w:rtl/>
        </w:rPr>
        <w:softHyphen/>
        <w:t>تر تعدیل شود. در این</w:t>
      </w:r>
      <w:r w:rsidRPr="00A309A0">
        <w:rPr>
          <w:rFonts w:ascii="Cambria Math" w:hAnsi="Cambria Math" w:hint="cs"/>
          <w:noProof/>
          <w:sz w:val="23"/>
          <w:szCs w:val="23"/>
          <w:rtl/>
        </w:rPr>
        <w:t xml:space="preserve"> </w:t>
      </w:r>
      <w:r w:rsidRPr="00A309A0">
        <w:rPr>
          <w:rFonts w:ascii="Cambria Math" w:hAnsi="Cambria Math"/>
          <w:noProof/>
          <w:sz w:val="23"/>
          <w:szCs w:val="23"/>
          <w:rtl/>
        </w:rPr>
        <w:softHyphen/>
        <w:t xml:space="preserve">صورت، رفتار پویای </w:t>
      </w:r>
      <w:r w:rsidRPr="00A309A0">
        <w:rPr>
          <w:rFonts w:ascii="Cambria Math" w:hAnsi="Cambria Math" w:hint="cs"/>
          <w:noProof/>
          <w:sz w:val="23"/>
          <w:szCs w:val="23"/>
          <w:rtl/>
        </w:rPr>
        <w:t xml:space="preserve">موجودی </w:t>
      </w:r>
      <w:r w:rsidRPr="00A309A0">
        <w:rPr>
          <w:rFonts w:ascii="Cambria Math" w:hAnsi="Cambria Math"/>
          <w:noProof/>
          <w:sz w:val="23"/>
          <w:szCs w:val="23"/>
          <w:rtl/>
        </w:rPr>
        <w:t xml:space="preserve">سرمایه هر دو فرایند تعدیل را منعکس می‌کند. </w:t>
      </w:r>
    </w:p>
    <w:p w14:paraId="45AA101B"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ابتدا فرض می</w:t>
      </w:r>
      <w:r w:rsidRPr="00A309A0">
        <w:rPr>
          <w:rFonts w:ascii="Cambria Math" w:hAnsi="Cambria Math"/>
          <w:noProof/>
          <w:sz w:val="23"/>
          <w:szCs w:val="23"/>
          <w:rtl/>
        </w:rPr>
        <w:softHyphen/>
        <w:t>شود سرمایه‌گذاری جدید، هزینه</w:t>
      </w:r>
      <w:r w:rsidRPr="00A309A0">
        <w:rPr>
          <w:rFonts w:ascii="Cambria Math" w:hAnsi="Cambria Math"/>
          <w:noProof/>
          <w:sz w:val="23"/>
          <w:szCs w:val="23"/>
          <w:rtl/>
        </w:rPr>
        <w:softHyphen/>
        <w:t xml:space="preserve">ی </w:t>
      </w:r>
      <w:r w:rsidRPr="00B92922">
        <w:rPr>
          <w:position w:val="-30"/>
        </w:rPr>
        <w:object w:dxaOrig="780" w:dyaOrig="700" w14:anchorId="234197C9">
          <v:shape id="_x0000_i1409" type="#_x0000_t75" style="width:38.7pt;height:35.1pt" o:ole="">
            <v:imagedata r:id="rId792" o:title=""/>
          </v:shape>
          <o:OLEObject Type="Embed" ProgID="Equation.DSMT4" ShapeID="_x0000_i1409" DrawAspect="Content" ObjectID="_1791375353" r:id="rId793"/>
        </w:object>
      </w:r>
      <w:r w:rsidRPr="00A309A0">
        <w:rPr>
          <w:rFonts w:ascii="Cambria Math" w:hAnsi="Cambria Math"/>
          <w:noProof/>
          <w:sz w:val="23"/>
          <w:szCs w:val="23"/>
          <w:rtl/>
        </w:rPr>
        <w:t xml:space="preserve"> را بر هر واحد سرمایه‌گذاری تحمیل می‌کند، بطوری</w:t>
      </w:r>
      <w:r w:rsidRPr="00A309A0">
        <w:rPr>
          <w:rFonts w:ascii="Cambria Math" w:hAnsi="Cambria Math"/>
          <w:noProof/>
          <w:sz w:val="23"/>
          <w:szCs w:val="23"/>
          <w:rtl/>
        </w:rPr>
        <w:softHyphen/>
        <w:t xml:space="preserve">که </w:t>
      </w:r>
      <w:r w:rsidRPr="00B92922">
        <w:rPr>
          <w:position w:val="-10"/>
        </w:rPr>
        <w:object w:dxaOrig="520" w:dyaOrig="300" w14:anchorId="2668B118">
          <v:shape id="_x0000_i1410" type="#_x0000_t75" style="width:26pt;height:15.15pt" o:ole="">
            <v:imagedata r:id="rId794" o:title=""/>
          </v:shape>
          <o:OLEObject Type="Embed" ProgID="Equation.DSMT4" ShapeID="_x0000_i1410" DrawAspect="Content" ObjectID="_1791375354" r:id="rId795"/>
        </w:object>
      </w:r>
      <w:r w:rsidRPr="00A309A0">
        <w:rPr>
          <w:rFonts w:ascii="Cambria Math" w:eastAsiaTheme="minorEastAsia" w:hAnsi="Cambria Math"/>
          <w:noProof/>
          <w:sz w:val="23"/>
          <w:szCs w:val="23"/>
          <w:rtl/>
        </w:rPr>
        <w:t xml:space="preserve"> است</w:t>
      </w:r>
      <w:r w:rsidRPr="00A309A0">
        <w:rPr>
          <w:rFonts w:ascii="Cambria Math" w:hAnsi="Cambria Math"/>
          <w:noProof/>
          <w:sz w:val="23"/>
          <w:szCs w:val="23"/>
          <w:rtl/>
        </w:rPr>
        <w:t>. به عبارت دیگر، هزینه</w:t>
      </w:r>
      <w:r w:rsidRPr="00A309A0">
        <w:rPr>
          <w:rFonts w:ascii="Cambria Math" w:hAnsi="Cambria Math"/>
          <w:noProof/>
          <w:sz w:val="23"/>
          <w:szCs w:val="23"/>
          <w:rtl/>
        </w:rPr>
        <w:softHyphen/>
        <w:t xml:space="preserve">ی هر واحد سرمایه‌گذاری به </w:t>
      </w:r>
      <w:r w:rsidRPr="00A309A0">
        <w:rPr>
          <w:rFonts w:ascii="Cambria Math" w:hAnsi="Cambria Math" w:hint="cs"/>
          <w:noProof/>
          <w:sz w:val="23"/>
          <w:szCs w:val="23"/>
          <w:rtl/>
        </w:rPr>
        <w:t xml:space="preserve">مقدار </w:t>
      </w:r>
      <w:r w:rsidRPr="00A309A0">
        <w:rPr>
          <w:rFonts w:ascii="Cambria Math" w:hAnsi="Cambria Math"/>
          <w:noProof/>
          <w:sz w:val="23"/>
          <w:szCs w:val="23"/>
          <w:rtl/>
        </w:rPr>
        <w:t xml:space="preserve">موجودی سرمایه وابسته است. </w:t>
      </w:r>
      <w:r w:rsidRPr="00A309A0">
        <w:rPr>
          <w:rFonts w:ascii="Cambria Math" w:hAnsi="Cambria Math" w:hint="cs"/>
          <w:noProof/>
          <w:sz w:val="23"/>
          <w:szCs w:val="23"/>
          <w:rtl/>
        </w:rPr>
        <w:t>فرم ریاضی رابطه</w:t>
      </w:r>
      <w:r w:rsidRPr="00A309A0">
        <w:rPr>
          <w:rFonts w:ascii="Cambria Math" w:hAnsi="Cambria Math"/>
          <w:noProof/>
          <w:sz w:val="23"/>
          <w:szCs w:val="23"/>
          <w:rtl/>
        </w:rPr>
        <w:softHyphen/>
      </w:r>
      <w:r w:rsidRPr="00A309A0">
        <w:rPr>
          <w:rFonts w:ascii="Cambria Math" w:hAnsi="Cambria Math" w:hint="cs"/>
          <w:noProof/>
          <w:sz w:val="23"/>
          <w:szCs w:val="23"/>
          <w:rtl/>
        </w:rPr>
        <w:t>ی</w:t>
      </w:r>
      <w:r w:rsidRPr="00A309A0">
        <w:rPr>
          <w:rFonts w:ascii="Cambria Math" w:hAnsi="Cambria Math"/>
          <w:noProof/>
          <w:sz w:val="23"/>
          <w:szCs w:val="23"/>
          <w:rtl/>
        </w:rPr>
        <w:t xml:space="preserve"> تبعی هزینه</w:t>
      </w:r>
      <w:r w:rsidRPr="00A309A0">
        <w:rPr>
          <w:rFonts w:ascii="Cambria Math" w:hAnsi="Cambria Math"/>
          <w:noProof/>
          <w:sz w:val="23"/>
          <w:szCs w:val="23"/>
          <w:rtl/>
        </w:rPr>
        <w:softHyphen/>
        <w:t>ی نصب و راه</w:t>
      </w:r>
      <w:r w:rsidRPr="00A309A0">
        <w:rPr>
          <w:rFonts w:ascii="Cambria Math" w:hAnsi="Cambria Math"/>
          <w:noProof/>
          <w:sz w:val="23"/>
          <w:szCs w:val="23"/>
          <w:rtl/>
        </w:rPr>
        <w:softHyphen/>
        <w:t xml:space="preserve">اندازی با توجه به سهولت </w:t>
      </w:r>
      <w:r w:rsidRPr="00A309A0">
        <w:rPr>
          <w:rFonts w:ascii="Cambria Math" w:hAnsi="Cambria Math" w:hint="cs"/>
          <w:noProof/>
          <w:sz w:val="23"/>
          <w:szCs w:val="23"/>
          <w:rtl/>
        </w:rPr>
        <w:t>د</w:t>
      </w:r>
      <w:r w:rsidRPr="00A309A0">
        <w:rPr>
          <w:rFonts w:ascii="Cambria Math" w:hAnsi="Cambria Math"/>
          <w:noProof/>
          <w:sz w:val="23"/>
          <w:szCs w:val="23"/>
          <w:rtl/>
        </w:rPr>
        <w:t>ر تفسیر نتایج انتخاب شده است. بنابراین قید منبع اقتصاد نسبت به</w:t>
      </w:r>
      <w:r w:rsidRPr="00B92922">
        <w:rPr>
          <w:position w:val="-10"/>
        </w:rPr>
        <w:object w:dxaOrig="220" w:dyaOrig="320" w14:anchorId="195EAC9B">
          <v:shape id="_x0000_i1411" type="#_x0000_t75" style="width:10.3pt;height:15.75pt" o:ole="">
            <v:imagedata r:id="rId796" o:title=""/>
          </v:shape>
          <o:OLEObject Type="Embed" ProgID="Equation.DSMT4" ShapeID="_x0000_i1411" DrawAspect="Content" ObjectID="_1791375355" r:id="rId797"/>
        </w:object>
      </w:r>
      <w:r w:rsidRPr="00A309A0">
        <w:rPr>
          <w:rFonts w:ascii="Cambria Math" w:hAnsi="Cambria Math"/>
          <w:noProof/>
          <w:sz w:val="23"/>
          <w:szCs w:val="23"/>
          <w:rtl/>
        </w:rPr>
        <w:t xml:space="preserve"> و</w:t>
      </w:r>
      <w:r w:rsidRPr="00B92922">
        <w:rPr>
          <w:position w:val="-10"/>
        </w:rPr>
        <w:object w:dxaOrig="180" w:dyaOrig="320" w14:anchorId="60106357">
          <v:shape id="_x0000_i1412" type="#_x0000_t75" style="width:9.1pt;height:15.75pt" o:ole="">
            <v:imagedata r:id="rId798" o:title=""/>
          </v:shape>
          <o:OLEObject Type="Embed" ProgID="Equation.DSMT4" ShapeID="_x0000_i1412" DrawAspect="Content" ObjectID="_1791375356" r:id="rId799"/>
        </w:object>
      </w:r>
      <w:r w:rsidRPr="00A309A0">
        <w:rPr>
          <w:rFonts w:ascii="Cambria Math" w:hAnsi="Cambria Math"/>
          <w:noProof/>
          <w:sz w:val="23"/>
          <w:szCs w:val="23"/>
          <w:rtl/>
        </w:rPr>
        <w:t xml:space="preserve"> غیرخطی است و </w:t>
      </w:r>
      <w:r w:rsidRPr="00A309A0">
        <w:rPr>
          <w:rFonts w:ascii="Cambria Math" w:hAnsi="Cambria Math" w:hint="cs"/>
          <w:noProof/>
          <w:sz w:val="23"/>
          <w:szCs w:val="23"/>
          <w:rtl/>
        </w:rPr>
        <w:t>از</w:t>
      </w:r>
      <w:r w:rsidRPr="00A309A0">
        <w:rPr>
          <w:rFonts w:ascii="Cambria Math" w:hAnsi="Cambria Math"/>
          <w:noProof/>
          <w:sz w:val="23"/>
          <w:szCs w:val="23"/>
          <w:rtl/>
        </w:rPr>
        <w:t xml:space="preserve"> رابطه</w:t>
      </w:r>
      <w:r w:rsidRPr="00A309A0">
        <w:rPr>
          <w:rFonts w:ascii="Cambria Math" w:hAnsi="Cambria Math"/>
          <w:noProof/>
          <w:sz w:val="23"/>
          <w:szCs w:val="23"/>
          <w:rtl/>
        </w:rPr>
        <w:softHyphen/>
      </w:r>
      <w:r w:rsidRPr="00A309A0">
        <w:rPr>
          <w:rFonts w:ascii="Cambria Math" w:hAnsi="Cambria Math" w:hint="cs"/>
          <w:noProof/>
          <w:sz w:val="23"/>
          <w:szCs w:val="23"/>
          <w:rtl/>
        </w:rPr>
        <w:t>ی</w:t>
      </w:r>
      <w:r w:rsidRPr="00A309A0">
        <w:rPr>
          <w:rFonts w:ascii="Cambria Math" w:hAnsi="Cambria Math"/>
          <w:noProof/>
          <w:sz w:val="23"/>
          <w:szCs w:val="23"/>
          <w:rtl/>
        </w:rPr>
        <w:t xml:space="preserve"> زیر بدست می‌آید </w:t>
      </w:r>
    </w:p>
    <w:p w14:paraId="2838B4E6" w14:textId="77777777" w:rsidR="00411620" w:rsidRPr="00A309A0" w:rsidRDefault="00411620" w:rsidP="00411620">
      <w:pPr>
        <w:pStyle w:val="MTDisplayEquation"/>
        <w:tabs>
          <w:tab w:val="clear" w:pos="6660"/>
        </w:tabs>
        <w:spacing w:line="216" w:lineRule="auto"/>
        <w:rPr>
          <w:rFonts w:ascii="Cambria Math" w:hAnsi="Cambria Math" w:cs="B Nazanin"/>
          <w:noProof/>
          <w:sz w:val="23"/>
          <w:szCs w:val="23"/>
          <w:rtl/>
          <w:lang w:bidi="fa-IR"/>
        </w:rPr>
      </w:pPr>
      <w:r w:rsidRPr="00B92922">
        <w:rPr>
          <w:position w:val="-30"/>
        </w:rPr>
        <w:object w:dxaOrig="3640" w:dyaOrig="720" w14:anchorId="6FBFE0D0">
          <v:shape id="_x0000_i1413" type="#_x0000_t75" style="width:181.5pt;height:36.3pt" o:ole="">
            <v:imagedata r:id="rId800" o:title=""/>
          </v:shape>
          <o:OLEObject Type="Embed" ProgID="Equation.DSMT4" ShapeID="_x0000_i1413" DrawAspect="Content" ObjectID="_1791375357" r:id="rId801"/>
        </w:object>
      </w:r>
      <w:r w:rsidRPr="00A309A0">
        <w:rPr>
          <w:rFonts w:ascii="Cambria Math" w:hAnsi="Cambria Math" w:cs="B Nazanin"/>
          <w:sz w:val="23"/>
          <w:szCs w:val="23"/>
        </w:rPr>
        <w:tab/>
      </w:r>
      <w:r w:rsidRPr="00A309A0">
        <w:rPr>
          <w:rFonts w:ascii="Cambria Math" w:hAnsi="Cambria Math" w:cs="B Nazanin"/>
          <w:sz w:val="23"/>
          <w:szCs w:val="23"/>
        </w:rPr>
        <w:tab/>
      </w:r>
      <w:r>
        <w:rPr>
          <w:rFonts w:ascii="Cambria Math" w:hAnsi="Cambria Math" w:cs="B Nazanin"/>
          <w:sz w:val="23"/>
          <w:szCs w:val="23"/>
          <w:rtl/>
        </w:rPr>
        <w:tab/>
      </w:r>
      <w:r>
        <w:rPr>
          <w:rFonts w:ascii="Cambria Math" w:hAnsi="Cambria Math" w:cs="B Nazanin"/>
          <w:sz w:val="23"/>
          <w:szCs w:val="23"/>
          <w:rtl/>
        </w:rPr>
        <w:tab/>
      </w:r>
      <w:r w:rsidRPr="00A309A0">
        <w:rPr>
          <w:rFonts w:ascii="Cambria Math" w:hAnsi="Cambria Math" w:cs="B Nazanin"/>
          <w:sz w:val="23"/>
          <w:szCs w:val="23"/>
        </w:rPr>
        <w:tab/>
      </w:r>
      <w:r w:rsidRPr="00A309A0">
        <w:rPr>
          <w:rFonts w:ascii="Cambria Math" w:hAnsi="Cambria Math" w:cs="B Nazanin"/>
          <w:sz w:val="23"/>
          <w:szCs w:val="23"/>
        </w:rPr>
        <w:tab/>
      </w:r>
      <w:r>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hint="cs"/>
          <w:sz w:val="23"/>
          <w:szCs w:val="23"/>
          <w:rtl/>
          <w:lang w:bidi="fa-IR"/>
        </w:rPr>
        <w:t>(۲. ۳۲)</w:t>
      </w:r>
    </w:p>
    <w:p w14:paraId="2280B446"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برای سهوات همچنین فرض شده که در تابع تولید، تنها عامل تولید موجودی سرمایه</w:t>
      </w:r>
      <w:r w:rsidRPr="00A309A0">
        <w:rPr>
          <w:rFonts w:ascii="Cambria Math" w:hAnsi="Cambria Math" w:hint="cs"/>
          <w:noProof/>
          <w:sz w:val="23"/>
          <w:szCs w:val="23"/>
          <w:rtl/>
        </w:rPr>
        <w:t xml:space="preserve"> </w:t>
      </w:r>
      <w:r w:rsidRPr="00A309A0">
        <w:rPr>
          <w:rFonts w:ascii="Cambria Math" w:hAnsi="Cambria Math"/>
          <w:noProof/>
          <w:sz w:val="23"/>
          <w:szCs w:val="23"/>
          <w:rtl/>
        </w:rPr>
        <w:t>است و نیروی کار را نادیده می‌گیریم. از آنجا که به رفتار سرمایه</w:t>
      </w:r>
      <w:r w:rsidRPr="00A309A0">
        <w:rPr>
          <w:rFonts w:ascii="Cambria Math" w:hAnsi="Cambria Math"/>
          <w:noProof/>
          <w:sz w:val="23"/>
          <w:szCs w:val="23"/>
          <w:rtl/>
        </w:rPr>
        <w:softHyphen/>
        <w:t>گذاری نیز توجه داریم لذا قید منبع اقتصاد را با معادله</w:t>
      </w:r>
      <w:r w:rsidRPr="00A309A0">
        <w:rPr>
          <w:rFonts w:ascii="Cambria Math" w:hAnsi="Cambria Math"/>
          <w:noProof/>
          <w:sz w:val="23"/>
          <w:szCs w:val="23"/>
          <w:rtl/>
        </w:rPr>
        <w:softHyphen/>
        <w:t>ی انباشت سرمایه ترکیب ن</w:t>
      </w:r>
      <w:r w:rsidRPr="00A309A0">
        <w:rPr>
          <w:rFonts w:ascii="Cambria Math" w:hAnsi="Cambria Math" w:hint="cs"/>
          <w:noProof/>
          <w:sz w:val="23"/>
          <w:szCs w:val="23"/>
          <w:rtl/>
        </w:rPr>
        <w:t>کرده</w:t>
      </w:r>
      <w:r w:rsidRPr="00A309A0">
        <w:rPr>
          <w:rFonts w:ascii="Cambria Math" w:hAnsi="Cambria Math"/>
          <w:noProof/>
          <w:sz w:val="23"/>
          <w:szCs w:val="23"/>
          <w:rtl/>
        </w:rPr>
        <w:t xml:space="preserve">، و هر دو را با دو قید جداگانه در لاگرانژین بازنویسی می‌کنیم. </w:t>
      </w:r>
      <w:r w:rsidRPr="00A309A0">
        <w:rPr>
          <w:rFonts w:ascii="Cambria Math" w:hAnsi="Cambria Math"/>
          <w:noProof/>
          <w:sz w:val="23"/>
          <w:szCs w:val="23"/>
          <w:rtl/>
        </w:rPr>
        <w:lastRenderedPageBreak/>
        <w:t xml:space="preserve">لاگرانژین </w:t>
      </w:r>
      <w:r w:rsidRPr="00A309A0">
        <w:rPr>
          <w:rFonts w:ascii="Cambria Math" w:hAnsi="Cambria Math" w:hint="cs"/>
          <w:noProof/>
          <w:sz w:val="23"/>
          <w:szCs w:val="23"/>
          <w:rtl/>
        </w:rPr>
        <w:t>این مسئله برای</w:t>
      </w:r>
      <w:r w:rsidRPr="00A309A0">
        <w:rPr>
          <w:rFonts w:ascii="Cambria Math" w:hAnsi="Cambria Math"/>
          <w:noProof/>
          <w:sz w:val="23"/>
          <w:szCs w:val="23"/>
          <w:rtl/>
        </w:rPr>
        <w:t xml:space="preserve"> به حداکثر رساندن ارزش حال</w:t>
      </w:r>
      <w:r w:rsidRPr="00A309A0">
        <w:rPr>
          <w:rFonts w:ascii="Cambria Math" w:hAnsi="Cambria Math" w:hint="cs"/>
          <w:noProof/>
          <w:sz w:val="23"/>
          <w:szCs w:val="23"/>
          <w:rtl/>
        </w:rPr>
        <w:t>ِ</w:t>
      </w:r>
      <w:r w:rsidRPr="00A309A0">
        <w:rPr>
          <w:rFonts w:ascii="Cambria Math" w:hAnsi="Cambria Math"/>
          <w:noProof/>
          <w:sz w:val="23"/>
          <w:szCs w:val="23"/>
          <w:rtl/>
        </w:rPr>
        <w:t xml:space="preserve"> مطلوبیت </w:t>
      </w:r>
      <w:r w:rsidRPr="00A309A0">
        <w:rPr>
          <w:rFonts w:ascii="Cambria Math" w:hAnsi="Cambria Math" w:hint="cs"/>
          <w:noProof/>
          <w:sz w:val="23"/>
          <w:szCs w:val="23"/>
          <w:rtl/>
        </w:rPr>
        <w:t>بین</w:t>
      </w:r>
      <w:r w:rsidRPr="00A309A0">
        <w:rPr>
          <w:rFonts w:ascii="Cambria Math" w:hAnsi="Cambria Math"/>
          <w:noProof/>
          <w:sz w:val="23"/>
          <w:szCs w:val="23"/>
          <w:rtl/>
        </w:rPr>
        <w:softHyphen/>
      </w:r>
      <w:r w:rsidRPr="00A309A0">
        <w:rPr>
          <w:rFonts w:ascii="Cambria Math" w:hAnsi="Cambria Math" w:hint="cs"/>
          <w:noProof/>
          <w:sz w:val="23"/>
          <w:szCs w:val="23"/>
          <w:rtl/>
        </w:rPr>
        <w:t>دوره</w:t>
      </w:r>
      <w:r w:rsidRPr="00A309A0">
        <w:rPr>
          <w:rFonts w:ascii="Cambria Math" w:hAnsi="Cambria Math"/>
          <w:noProof/>
          <w:sz w:val="23"/>
          <w:szCs w:val="23"/>
          <w:rtl/>
        </w:rPr>
        <w:softHyphen/>
      </w:r>
      <w:r w:rsidRPr="00A309A0">
        <w:rPr>
          <w:rFonts w:ascii="Cambria Math" w:hAnsi="Cambria Math" w:hint="cs"/>
          <w:noProof/>
          <w:sz w:val="23"/>
          <w:szCs w:val="23"/>
          <w:rtl/>
        </w:rPr>
        <w:t xml:space="preserve">ای </w:t>
      </w:r>
      <w:r w:rsidRPr="00A309A0">
        <w:rPr>
          <w:rFonts w:ascii="Cambria Math" w:hAnsi="Cambria Math"/>
          <w:noProof/>
          <w:sz w:val="23"/>
          <w:szCs w:val="23"/>
          <w:rtl/>
        </w:rPr>
        <w:t xml:space="preserve">با دو قید فوق عبارت است از؛ </w:t>
      </w:r>
    </w:p>
    <w:p w14:paraId="3E90974E" w14:textId="77777777" w:rsidR="00411620" w:rsidRPr="00A309A0" w:rsidRDefault="00411620" w:rsidP="00411620">
      <w:pPr>
        <w:bidi w:val="0"/>
        <w:spacing w:line="216" w:lineRule="auto"/>
        <w:rPr>
          <w:rFonts w:ascii="Cambria Math" w:hAnsi="Cambria Math"/>
          <w:noProof/>
          <w:sz w:val="23"/>
          <w:szCs w:val="23"/>
          <w:rtl/>
        </w:rPr>
      </w:pPr>
      <w:r w:rsidRPr="00A309A0">
        <w:rPr>
          <w:rFonts w:ascii="Cambria Math" w:hAnsi="Cambria Math"/>
          <w:noProof/>
          <w:sz w:val="23"/>
          <w:szCs w:val="23"/>
          <w:rtl/>
        </w:rPr>
        <w:t xml:space="preserve"> </w:t>
      </w:r>
      <w:r w:rsidRPr="00B92922">
        <w:rPr>
          <w:position w:val="-50"/>
        </w:rPr>
        <w:object w:dxaOrig="5080" w:dyaOrig="1120" w14:anchorId="2F206E18">
          <v:shape id="_x0000_i1414" type="#_x0000_t75" style="width:254.1pt;height:56.25pt" o:ole="">
            <v:imagedata r:id="rId802" o:title=""/>
          </v:shape>
          <o:OLEObject Type="Embed" ProgID="Equation.DSMT4" ShapeID="_x0000_i1414" DrawAspect="Content" ObjectID="_1791375358" r:id="rId803"/>
        </w:object>
      </w:r>
      <w:r w:rsidRPr="00A309A0">
        <w:rPr>
          <w:rFonts w:ascii="Cambria Math" w:hAnsi="Cambria Math"/>
          <w:noProof/>
          <w:sz w:val="23"/>
          <w:szCs w:val="23"/>
          <w:rtl/>
        </w:rPr>
        <w:t xml:space="preserve"> </w:t>
      </w:r>
    </w:p>
    <w:p w14:paraId="4C0955D0"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شروط مرتبه</w:t>
      </w:r>
      <w:r w:rsidRPr="00A309A0">
        <w:rPr>
          <w:rFonts w:ascii="Cambria Math" w:hAnsi="Cambria Math"/>
          <w:noProof/>
          <w:sz w:val="23"/>
          <w:szCs w:val="23"/>
          <w:vertAlign w:val="subscript"/>
          <w:rtl/>
        </w:rPr>
        <w:softHyphen/>
      </w:r>
      <w:r w:rsidRPr="00A309A0">
        <w:rPr>
          <w:rFonts w:ascii="Cambria Math" w:hAnsi="Cambria Math"/>
          <w:noProof/>
          <w:sz w:val="23"/>
          <w:szCs w:val="23"/>
          <w:rtl/>
        </w:rPr>
        <w:t>ی اول عبارتند از</w:t>
      </w:r>
    </w:p>
    <w:p w14:paraId="1D2DFB89" w14:textId="77777777" w:rsidR="00411620" w:rsidRPr="00A309A0" w:rsidRDefault="00411620" w:rsidP="00411620">
      <w:pPr>
        <w:bidi w:val="0"/>
        <w:spacing w:line="216" w:lineRule="auto"/>
        <w:rPr>
          <w:rFonts w:ascii="Cambria Math" w:eastAsiaTheme="minorEastAsia" w:hAnsi="Cambria Math"/>
          <w:noProof/>
          <w:sz w:val="23"/>
          <w:szCs w:val="23"/>
        </w:rPr>
      </w:pPr>
      <w:r w:rsidRPr="00A309A0">
        <w:rPr>
          <w:rFonts w:ascii="Cambria Math" w:hAnsi="Cambria Math"/>
          <w:noProof/>
          <w:sz w:val="23"/>
          <w:szCs w:val="23"/>
          <w:rtl/>
        </w:rPr>
        <w:t xml:space="preserve"> </w:t>
      </w:r>
      <w:r w:rsidRPr="00B92922">
        <w:rPr>
          <w:position w:val="-28"/>
        </w:rPr>
        <w:object w:dxaOrig="3860" w:dyaOrig="639" w14:anchorId="0A2C632B">
          <v:shape id="_x0000_i1415" type="#_x0000_t75" style="width:192.4pt;height:31.45pt" o:ole="">
            <v:imagedata r:id="rId804" o:title=""/>
          </v:shape>
          <o:OLEObject Type="Embed" ProgID="Equation.DSMT4" ShapeID="_x0000_i1415" DrawAspect="Content" ObjectID="_1791375359" r:id="rId805"/>
        </w:object>
      </w:r>
    </w:p>
    <w:p w14:paraId="08176AA0" w14:textId="77777777" w:rsidR="00411620" w:rsidRPr="00A309A0" w:rsidRDefault="00411620" w:rsidP="00411620">
      <w:pPr>
        <w:pStyle w:val="MTDisplayEquation"/>
        <w:spacing w:line="216" w:lineRule="auto"/>
        <w:rPr>
          <w:rFonts w:ascii="Cambria Math" w:hAnsi="Cambria Math" w:cs="B Nazanin"/>
          <w:noProof/>
          <w:sz w:val="23"/>
          <w:szCs w:val="23"/>
          <w:rtl/>
        </w:rPr>
      </w:pPr>
      <w:r w:rsidRPr="00B92922">
        <w:rPr>
          <w:position w:val="-30"/>
        </w:rPr>
        <w:object w:dxaOrig="3920" w:dyaOrig="700" w14:anchorId="63E510EE">
          <v:shape id="_x0000_i1416" type="#_x0000_t75" style="width:196.65pt;height:35.1pt" o:ole="">
            <v:imagedata r:id="rId806" o:title=""/>
          </v:shape>
          <o:OLEObject Type="Embed" ProgID="Equation.DSMT4" ShapeID="_x0000_i1416" DrawAspect="Content" ObjectID="_1791375360" r:id="rId807"/>
        </w:object>
      </w:r>
    </w:p>
    <w:p w14:paraId="056223EA" w14:textId="77777777" w:rsidR="00411620" w:rsidRPr="00A309A0" w:rsidRDefault="00411620" w:rsidP="00411620">
      <w:pPr>
        <w:pStyle w:val="MTDisplayEquation"/>
        <w:spacing w:line="216" w:lineRule="auto"/>
        <w:rPr>
          <w:rFonts w:ascii="Cambria Math" w:hAnsi="Cambria Math" w:cs="B Nazanin"/>
          <w:noProof/>
          <w:sz w:val="23"/>
          <w:szCs w:val="23"/>
          <w:rtl/>
        </w:rPr>
      </w:pPr>
      <w:r w:rsidRPr="00B92922">
        <w:rPr>
          <w:position w:val="-36"/>
        </w:rPr>
        <w:object w:dxaOrig="5400" w:dyaOrig="820" w14:anchorId="65C77005">
          <v:shape id="_x0000_i1417" type="#_x0000_t75" style="width:270.45pt;height:41.15pt" o:ole="">
            <v:imagedata r:id="rId808" o:title=""/>
          </v:shape>
          <o:OLEObject Type="Embed" ProgID="Equation.DSMT4" ShapeID="_x0000_i1417" DrawAspect="Content" ObjectID="_1791375361" r:id="rId809"/>
        </w:object>
      </w:r>
    </w:p>
    <w:p w14:paraId="21088CCB" w14:textId="77777777" w:rsidR="00411620" w:rsidRPr="00A309A0" w:rsidRDefault="00411620" w:rsidP="00411620">
      <w:pPr>
        <w:spacing w:line="216" w:lineRule="auto"/>
        <w:rPr>
          <w:rFonts w:ascii="Cambria Math" w:hAnsi="Cambria Math"/>
          <w:noProof/>
          <w:sz w:val="23"/>
          <w:szCs w:val="23"/>
          <w:rtl/>
        </w:rPr>
      </w:pPr>
      <w:r w:rsidRPr="00A309A0">
        <w:rPr>
          <w:rFonts w:ascii="Cambria Math" w:hAnsi="Cambria Math"/>
          <w:noProof/>
          <w:sz w:val="23"/>
          <w:szCs w:val="23"/>
          <w:rtl/>
        </w:rPr>
        <w:t>از معادله</w:t>
      </w:r>
      <w:r w:rsidRPr="00A309A0">
        <w:rPr>
          <w:rFonts w:ascii="Cambria Math" w:hAnsi="Cambria Math"/>
          <w:noProof/>
          <w:sz w:val="23"/>
          <w:szCs w:val="23"/>
          <w:rtl/>
        </w:rPr>
        <w:softHyphen/>
        <w:t>ی سرمایه</w:t>
      </w:r>
      <w:r w:rsidRPr="00A309A0">
        <w:rPr>
          <w:rFonts w:ascii="Cambria Math" w:hAnsi="Cambria Math"/>
          <w:noProof/>
          <w:sz w:val="23"/>
          <w:szCs w:val="23"/>
          <w:rtl/>
        </w:rPr>
        <w:softHyphen/>
        <w:t>گذاری یا معادله</w:t>
      </w:r>
      <w:r w:rsidRPr="00A309A0">
        <w:rPr>
          <w:rFonts w:ascii="Cambria Math" w:hAnsi="Cambria Math"/>
          <w:noProof/>
          <w:sz w:val="23"/>
          <w:szCs w:val="23"/>
          <w:rtl/>
        </w:rPr>
        <w:softHyphen/>
        <w:t>ی دوم از شروط فوق داریم؛</w:t>
      </w:r>
    </w:p>
    <w:p w14:paraId="600E17D8" w14:textId="77777777" w:rsidR="00411620" w:rsidRPr="00A309A0" w:rsidRDefault="00411620" w:rsidP="00411620">
      <w:pPr>
        <w:bidi w:val="0"/>
        <w:spacing w:line="216" w:lineRule="auto"/>
        <w:jc w:val="left"/>
        <w:rPr>
          <w:rFonts w:ascii="Cambria Math" w:hAnsi="Cambria Math"/>
          <w:sz w:val="23"/>
          <w:szCs w:val="23"/>
          <w:rtl/>
        </w:rPr>
      </w:pPr>
      <w:r w:rsidRPr="00B92922">
        <w:rPr>
          <w:position w:val="-26"/>
        </w:rPr>
        <w:object w:dxaOrig="3019" w:dyaOrig="600" w14:anchorId="2F216FCC">
          <v:shape id="_x0000_i1418" type="#_x0000_t75" style="width:151.25pt;height:29.65pt" o:ole="">
            <v:imagedata r:id="rId810" o:title=""/>
          </v:shape>
          <o:OLEObject Type="Embed" ProgID="Equation.DSMT4" ShapeID="_x0000_i1418" DrawAspect="Content" ObjectID="_1791375362" r:id="rId811"/>
        </w:object>
      </w:r>
      <w:r w:rsidRPr="00A309A0">
        <w:rPr>
          <w:rFonts w:ascii="Cambria Math" w:hAnsi="Cambria Math"/>
          <w:sz w:val="23"/>
          <w:szCs w:val="23"/>
          <w:rtl/>
        </w:rPr>
        <w:tab/>
      </w:r>
      <w:r w:rsidRPr="00A309A0">
        <w:rPr>
          <w:rFonts w:ascii="Cambria Math" w:hAnsi="Cambria Math"/>
          <w:sz w:val="23"/>
          <w:szCs w:val="23"/>
        </w:rPr>
        <w:tab/>
      </w:r>
      <w:r w:rsidRPr="00A309A0">
        <w:rPr>
          <w:rFonts w:ascii="Cambria Math" w:hAnsi="Cambria Math"/>
          <w:sz w:val="23"/>
          <w:szCs w:val="23"/>
        </w:rPr>
        <w:tab/>
      </w:r>
      <w:r w:rsidRPr="00A309A0">
        <w:rPr>
          <w:rFonts w:ascii="Cambria Math" w:hAnsi="Cambria Math"/>
          <w:sz w:val="23"/>
          <w:szCs w:val="23"/>
        </w:rPr>
        <w:tab/>
      </w:r>
      <w:r w:rsidRPr="00A309A0">
        <w:rPr>
          <w:rFonts w:ascii="Cambria Math" w:hAnsi="Cambria Math"/>
          <w:sz w:val="23"/>
          <w:szCs w:val="23"/>
        </w:rPr>
        <w:tab/>
      </w:r>
      <w:r w:rsidRPr="00A309A0">
        <w:rPr>
          <w:rFonts w:ascii="Cambria Math" w:hAnsi="Cambria Math"/>
          <w:sz w:val="23"/>
          <w:szCs w:val="23"/>
        </w:rPr>
        <w:tab/>
      </w:r>
      <w:r>
        <w:rPr>
          <w:rFonts w:ascii="Cambria Math" w:hAnsi="Cambria Math"/>
          <w:sz w:val="23"/>
          <w:szCs w:val="23"/>
          <w:rtl/>
        </w:rPr>
        <w:tab/>
      </w:r>
      <w:r>
        <w:rPr>
          <w:rFonts w:ascii="Cambria Math" w:hAnsi="Cambria Math"/>
          <w:sz w:val="23"/>
          <w:szCs w:val="23"/>
          <w:rtl/>
        </w:rPr>
        <w:tab/>
      </w:r>
      <w:r w:rsidRPr="00A309A0">
        <w:rPr>
          <w:rFonts w:ascii="Cambria Math" w:hAnsi="Cambria Math"/>
          <w:sz w:val="23"/>
          <w:szCs w:val="23"/>
        </w:rPr>
        <w:tab/>
      </w:r>
      <w:r w:rsidRPr="00A309A0">
        <w:rPr>
          <w:rFonts w:ascii="Cambria Math" w:hAnsi="Cambria Math"/>
          <w:sz w:val="23"/>
          <w:szCs w:val="23"/>
          <w:rtl/>
        </w:rPr>
        <w:tab/>
      </w:r>
      <w:r w:rsidRPr="00A309A0">
        <w:rPr>
          <w:rFonts w:ascii="Cambria Math" w:hAnsi="Cambria Math"/>
          <w:sz w:val="23"/>
          <w:szCs w:val="23"/>
        </w:rPr>
        <w:tab/>
      </w:r>
      <w:r w:rsidRPr="00A309A0">
        <w:rPr>
          <w:rFonts w:ascii="Cambria Math" w:hAnsi="Cambria Math" w:hint="cs"/>
          <w:sz w:val="23"/>
          <w:szCs w:val="23"/>
          <w:rtl/>
        </w:rPr>
        <w:t>(۲. ۳۳)</w:t>
      </w:r>
    </w:p>
    <w:p w14:paraId="17B599FB" w14:textId="77777777" w:rsidR="00411620" w:rsidRPr="00A309A0" w:rsidRDefault="00411620" w:rsidP="00411620">
      <w:pPr>
        <w:spacing w:line="216" w:lineRule="auto"/>
        <w:jc w:val="left"/>
        <w:rPr>
          <w:rFonts w:ascii="Cambria Math" w:hAnsi="Cambria Math"/>
          <w:sz w:val="23"/>
          <w:szCs w:val="23"/>
          <w:rtl/>
        </w:rPr>
      </w:pPr>
      <w:r w:rsidRPr="00A309A0">
        <w:rPr>
          <w:rFonts w:ascii="Cambria Math" w:hAnsi="Cambria Math" w:hint="cs"/>
          <w:sz w:val="23"/>
          <w:szCs w:val="23"/>
          <w:rtl/>
        </w:rPr>
        <w:t>و</w:t>
      </w:r>
    </w:p>
    <w:p w14:paraId="2CE0E3DD" w14:textId="77777777" w:rsidR="00411620" w:rsidRPr="00A309A0" w:rsidRDefault="00411620" w:rsidP="00411620">
      <w:pPr>
        <w:bidi w:val="0"/>
        <w:spacing w:line="216" w:lineRule="auto"/>
        <w:jc w:val="left"/>
        <w:rPr>
          <w:rFonts w:ascii="Cambria Math" w:hAnsi="Cambria Math"/>
          <w:sz w:val="23"/>
          <w:szCs w:val="23"/>
          <w:rtl/>
        </w:rPr>
      </w:pPr>
      <w:r w:rsidRPr="00B92922">
        <w:rPr>
          <w:position w:val="-28"/>
        </w:rPr>
        <w:object w:dxaOrig="1300" w:dyaOrig="639" w14:anchorId="30CAA1E1">
          <v:shape id="_x0000_i1419" type="#_x0000_t75" style="width:65.35pt;height:31.45pt" o:ole="">
            <v:imagedata r:id="rId812" o:title=""/>
          </v:shape>
          <o:OLEObject Type="Embed" ProgID="Equation.DSMT4" ShapeID="_x0000_i1419" DrawAspect="Content" ObjectID="_1791375363" r:id="rId813"/>
        </w:object>
      </w:r>
      <w:r w:rsidRPr="00A309A0">
        <w:rPr>
          <w:rFonts w:ascii="Cambria Math" w:hAnsi="Cambria Math"/>
          <w:sz w:val="23"/>
          <w:szCs w:val="23"/>
          <w:rtl/>
        </w:rPr>
        <w:tab/>
      </w:r>
      <w:r w:rsidRPr="00A309A0">
        <w:rPr>
          <w:rFonts w:ascii="Cambria Math" w:hAnsi="Cambria Math"/>
          <w:sz w:val="23"/>
          <w:szCs w:val="23"/>
        </w:rPr>
        <w:tab/>
      </w:r>
      <w:r w:rsidRPr="00A309A0">
        <w:rPr>
          <w:rFonts w:ascii="Cambria Math" w:hAnsi="Cambria Math"/>
          <w:sz w:val="23"/>
          <w:szCs w:val="23"/>
        </w:rPr>
        <w:tab/>
      </w:r>
      <w:r w:rsidRPr="00A309A0">
        <w:rPr>
          <w:rFonts w:ascii="Cambria Math" w:hAnsi="Cambria Math"/>
          <w:sz w:val="23"/>
          <w:szCs w:val="23"/>
        </w:rPr>
        <w:tab/>
      </w:r>
      <w:r w:rsidRPr="00A309A0">
        <w:rPr>
          <w:rFonts w:ascii="Cambria Math" w:hAnsi="Cambria Math"/>
          <w:sz w:val="23"/>
          <w:szCs w:val="23"/>
          <w:rtl/>
        </w:rPr>
        <w:tab/>
      </w:r>
      <w:r w:rsidRPr="00A309A0">
        <w:rPr>
          <w:rFonts w:ascii="Cambria Math" w:hAnsi="Cambria Math"/>
          <w:sz w:val="23"/>
          <w:szCs w:val="23"/>
        </w:rPr>
        <w:tab/>
      </w:r>
      <w:r w:rsidRPr="00A309A0">
        <w:rPr>
          <w:rFonts w:ascii="Cambria Math" w:hAnsi="Cambria Math" w:hint="cs"/>
          <w:sz w:val="23"/>
          <w:szCs w:val="23"/>
          <w:rtl/>
        </w:rPr>
        <w:t xml:space="preserve"> </w:t>
      </w:r>
      <w:r w:rsidRPr="00A309A0">
        <w:rPr>
          <w:rFonts w:ascii="Cambria Math" w:hAnsi="Cambria Math" w:hint="cs"/>
          <w:sz w:val="23"/>
          <w:szCs w:val="23"/>
          <w:rtl/>
        </w:rPr>
        <w:tab/>
      </w:r>
      <w:r w:rsidRPr="00A309A0">
        <w:rPr>
          <w:rFonts w:ascii="Cambria Math" w:hAnsi="Cambria Math"/>
          <w:sz w:val="23"/>
          <w:szCs w:val="23"/>
        </w:rPr>
        <w:tab/>
      </w:r>
      <w:r w:rsidRPr="00A309A0">
        <w:rPr>
          <w:rFonts w:ascii="Cambria Math" w:hAnsi="Cambria Math"/>
          <w:sz w:val="23"/>
          <w:szCs w:val="23"/>
          <w:rtl/>
        </w:rPr>
        <w:tab/>
      </w:r>
      <w:r w:rsidRPr="00A309A0">
        <w:rPr>
          <w:rFonts w:ascii="Cambria Math" w:hAnsi="Cambria Math" w:hint="cs"/>
          <w:sz w:val="23"/>
          <w:szCs w:val="23"/>
          <w:rtl/>
        </w:rPr>
        <w:t xml:space="preserve">   </w:t>
      </w:r>
      <w:r w:rsidRPr="00A309A0">
        <w:rPr>
          <w:rFonts w:ascii="Cambria Math" w:hAnsi="Cambria Math"/>
          <w:sz w:val="23"/>
          <w:szCs w:val="23"/>
        </w:rPr>
        <w:tab/>
      </w:r>
      <w:r w:rsidRPr="00A309A0">
        <w:rPr>
          <w:rFonts w:ascii="Cambria Math" w:hAnsi="Cambria Math"/>
          <w:sz w:val="23"/>
          <w:szCs w:val="23"/>
        </w:rPr>
        <w:tab/>
      </w:r>
      <w:r w:rsidRPr="00A309A0">
        <w:rPr>
          <w:rFonts w:ascii="Cambria Math" w:hAnsi="Cambria Math"/>
          <w:sz w:val="23"/>
          <w:szCs w:val="23"/>
        </w:rPr>
        <w:tab/>
      </w:r>
      <w:r w:rsidRPr="00A309A0">
        <w:rPr>
          <w:rFonts w:ascii="Cambria Math" w:hAnsi="Cambria Math"/>
          <w:sz w:val="23"/>
          <w:szCs w:val="23"/>
        </w:rPr>
        <w:tab/>
      </w:r>
      <w:r w:rsidRPr="00A309A0">
        <w:rPr>
          <w:rFonts w:ascii="Cambria Math" w:hAnsi="Cambria Math"/>
          <w:sz w:val="23"/>
          <w:szCs w:val="23"/>
          <w:rtl/>
        </w:rPr>
        <w:tab/>
      </w:r>
      <w:r>
        <w:rPr>
          <w:rFonts w:ascii="Cambria Math" w:hAnsi="Cambria Math"/>
          <w:sz w:val="23"/>
          <w:szCs w:val="23"/>
          <w:rtl/>
        </w:rPr>
        <w:tab/>
      </w:r>
      <w:r>
        <w:rPr>
          <w:rFonts w:ascii="Cambria Math" w:hAnsi="Cambria Math"/>
          <w:sz w:val="23"/>
          <w:szCs w:val="23"/>
          <w:rtl/>
        </w:rPr>
        <w:tab/>
      </w:r>
      <w:r w:rsidRPr="00A309A0">
        <w:rPr>
          <w:rFonts w:ascii="Cambria Math" w:hAnsi="Cambria Math"/>
          <w:sz w:val="23"/>
          <w:szCs w:val="23"/>
        </w:rPr>
        <w:tab/>
      </w:r>
      <w:r w:rsidRPr="00A309A0">
        <w:rPr>
          <w:rFonts w:ascii="Cambria Math" w:hAnsi="Cambria Math" w:hint="cs"/>
          <w:sz w:val="23"/>
          <w:szCs w:val="23"/>
          <w:rtl/>
        </w:rPr>
        <w:t>(۲. ۳۴)</w:t>
      </w:r>
    </w:p>
    <w:p w14:paraId="4A92592B" w14:textId="77777777" w:rsidR="00411620" w:rsidRPr="00A309A0" w:rsidRDefault="00411620" w:rsidP="00411620">
      <w:pPr>
        <w:spacing w:line="216" w:lineRule="auto"/>
        <w:rPr>
          <w:rFonts w:ascii="Cambria Math" w:hAnsi="Cambria Math"/>
          <w:sz w:val="23"/>
          <w:szCs w:val="23"/>
          <w:rtl/>
        </w:rPr>
      </w:pPr>
      <w:r w:rsidRPr="00A309A0">
        <w:rPr>
          <w:rFonts w:ascii="Cambria Math" w:eastAsiaTheme="minorEastAsia" w:hAnsi="Cambria Math"/>
          <w:sz w:val="23"/>
          <w:szCs w:val="23"/>
          <w:rtl/>
        </w:rPr>
        <w:t>که در آن متغ</w:t>
      </w:r>
      <w:r w:rsidRPr="00A309A0">
        <w:rPr>
          <w:rFonts w:ascii="Cambria Math" w:eastAsiaTheme="minorEastAsia" w:hAnsi="Cambria Math" w:hint="cs"/>
          <w:sz w:val="23"/>
          <w:szCs w:val="23"/>
          <w:rtl/>
        </w:rPr>
        <w:t>ی</w:t>
      </w:r>
      <w:r w:rsidRPr="00A309A0">
        <w:rPr>
          <w:rFonts w:ascii="Cambria Math" w:eastAsiaTheme="minorEastAsia" w:hAnsi="Cambria Math"/>
          <w:sz w:val="23"/>
          <w:szCs w:val="23"/>
          <w:rtl/>
        </w:rPr>
        <w:t>ر</w:t>
      </w:r>
      <w:r w:rsidRPr="00A309A0">
        <w:rPr>
          <w:rFonts w:ascii="Cambria Math" w:eastAsiaTheme="minorEastAsia" w:hAnsi="Cambria Math" w:hint="cs"/>
          <w:sz w:val="23"/>
          <w:szCs w:val="23"/>
          <w:rtl/>
        </w:rPr>
        <w:t xml:space="preserve"> </w:t>
      </w:r>
      <w:r w:rsidRPr="00B92922">
        <w:rPr>
          <w:position w:val="-8"/>
        </w:rPr>
        <w:object w:dxaOrig="200" w:dyaOrig="240" w14:anchorId="68B0F420">
          <v:shape id="_x0000_i1420" type="#_x0000_t75" style="width:10.3pt;height:12.1pt" o:ole="">
            <v:imagedata r:id="rId814" o:title=""/>
          </v:shape>
          <o:OLEObject Type="Embed" ProgID="Equation.DSMT4" ShapeID="_x0000_i1420" DrawAspect="Content" ObjectID="_1791375364" r:id="rId815"/>
        </w:object>
      </w:r>
      <w:r w:rsidRPr="00A309A0">
        <w:rPr>
          <w:rFonts w:ascii="Cambria Math" w:eastAsiaTheme="minorEastAsia" w:hAnsi="Cambria Math"/>
          <w:sz w:val="23"/>
          <w:szCs w:val="23"/>
          <w:rtl/>
          <w:lang w:val="en-GB"/>
        </w:rPr>
        <w:t>، همان</w:t>
      </w:r>
      <w:r w:rsidRPr="00A309A0">
        <w:rPr>
          <w:rFonts w:ascii="Cambria Math" w:eastAsiaTheme="minorEastAsia" w:hAnsi="Cambria Math" w:hint="cs"/>
          <w:sz w:val="23"/>
          <w:szCs w:val="23"/>
          <w:rtl/>
          <w:lang w:val="en-GB"/>
        </w:rPr>
        <w:t xml:space="preserve"> </w:t>
      </w:r>
      <w:r w:rsidRPr="00B92922">
        <w:rPr>
          <w:position w:val="-8"/>
        </w:rPr>
        <w:object w:dxaOrig="200" w:dyaOrig="240" w14:anchorId="67926316">
          <v:shape id="_x0000_i1421" type="#_x0000_t75" style="width:10.3pt;height:12.1pt" o:ole="">
            <v:imagedata r:id="rId816" o:title=""/>
          </v:shape>
          <o:OLEObject Type="Embed" ProgID="Equation.DSMT4" ShapeID="_x0000_i1421" DrawAspect="Content" ObjectID="_1791375365" r:id="rId817"/>
        </w:object>
      </w:r>
      <w:r w:rsidRPr="00A309A0">
        <w:rPr>
          <w:rFonts w:ascii="Cambria Math" w:hAnsi="Cambria Math"/>
          <w:sz w:val="23"/>
          <w:szCs w:val="23"/>
          <w:rtl/>
        </w:rPr>
        <w:t xml:space="preserve"> توبین </w:t>
      </w:r>
      <w:r w:rsidRPr="00A309A0">
        <w:rPr>
          <w:rFonts w:ascii="Cambria Math" w:hAnsi="Cambria Math" w:hint="cs"/>
          <w:sz w:val="23"/>
          <w:szCs w:val="23"/>
          <w:rtl/>
        </w:rPr>
        <w:t>است</w:t>
      </w:r>
      <w:r w:rsidRPr="00A309A0">
        <w:rPr>
          <w:rFonts w:ascii="Cambria Math" w:hAnsi="Cambria Math"/>
          <w:sz w:val="23"/>
          <w:szCs w:val="23"/>
          <w:rtl/>
        </w:rPr>
        <w:t xml:space="preserve">. چنانچه </w:t>
      </w:r>
      <w:r w:rsidRPr="00B92922">
        <w:rPr>
          <w:position w:val="-10"/>
        </w:rPr>
        <w:object w:dxaOrig="700" w:dyaOrig="320" w14:anchorId="75F03FAB">
          <v:shape id="_x0000_i1422" type="#_x0000_t75" style="width:35.1pt;height:15.75pt" o:ole="">
            <v:imagedata r:id="rId818" o:title=""/>
          </v:shape>
          <o:OLEObject Type="Embed" ProgID="Equation.DSMT4" ShapeID="_x0000_i1422" DrawAspect="Content" ObjectID="_1791375366" r:id="rId819"/>
        </w:object>
      </w:r>
      <w:r w:rsidRPr="00A309A0">
        <w:rPr>
          <w:rFonts w:ascii="Cambria Math" w:eastAsiaTheme="minorEastAsia" w:hAnsi="Cambria Math"/>
          <w:sz w:val="23"/>
          <w:szCs w:val="23"/>
          <w:rtl/>
        </w:rPr>
        <w:t xml:space="preserve"> باشد آنگاه </w:t>
      </w:r>
      <w:r w:rsidRPr="00A309A0">
        <w:rPr>
          <w:rFonts w:ascii="Cambria Math" w:hAnsi="Cambria Math"/>
          <w:sz w:val="23"/>
          <w:szCs w:val="23"/>
          <w:rtl/>
        </w:rPr>
        <w:t>سرمایه‌گذاری در دوره</w:t>
      </w:r>
      <w:r w:rsidRPr="00A309A0">
        <w:rPr>
          <w:rFonts w:ascii="Cambria Math" w:hAnsi="Cambria Math"/>
          <w:sz w:val="23"/>
          <w:szCs w:val="23"/>
          <w:rtl/>
        </w:rPr>
        <w:softHyphen/>
        <w:t>ی</w:t>
      </w:r>
      <w:r w:rsidRPr="00B92922">
        <w:rPr>
          <w:position w:val="-6"/>
        </w:rPr>
        <w:object w:dxaOrig="440" w:dyaOrig="240" w14:anchorId="1CC78CEB">
          <v:shape id="_x0000_i1423" type="#_x0000_t75" style="width:22.4pt;height:12.1pt" o:ole="">
            <v:imagedata r:id="rId820" o:title=""/>
          </v:shape>
          <o:OLEObject Type="Embed" ProgID="Equation.DSMT4" ShapeID="_x0000_i1423" DrawAspect="Content" ObjectID="_1791375367" r:id="rId821"/>
        </w:object>
      </w:r>
      <w:r w:rsidRPr="00A309A0">
        <w:rPr>
          <w:rFonts w:ascii="Cambria Math" w:hAnsi="Cambria Math"/>
          <w:sz w:val="23"/>
          <w:szCs w:val="23"/>
          <w:rtl/>
        </w:rPr>
        <w:t xml:space="preserve"> انجام می</w:t>
      </w:r>
      <w:r w:rsidRPr="00A309A0">
        <w:rPr>
          <w:rFonts w:ascii="Cambria Math" w:hAnsi="Cambria Math"/>
          <w:sz w:val="23"/>
          <w:szCs w:val="23"/>
          <w:rtl/>
        </w:rPr>
        <w:softHyphen/>
        <w:t>شود.</w:t>
      </w:r>
      <w:r w:rsidRPr="00B92922">
        <w:rPr>
          <w:position w:val="-8"/>
        </w:rPr>
        <w:object w:dxaOrig="200" w:dyaOrig="240" w14:anchorId="2E75C859">
          <v:shape id="_x0000_i1424" type="#_x0000_t75" style="width:10.3pt;height:12.1pt" o:ole="">
            <v:imagedata r:id="rId822" o:title=""/>
          </v:shape>
          <o:OLEObject Type="Embed" ProgID="Equation.DSMT4" ShapeID="_x0000_i1424" DrawAspect="Content" ObjectID="_1791375368" r:id="rId823"/>
        </w:object>
      </w:r>
      <w:r w:rsidRPr="00A309A0">
        <w:rPr>
          <w:rFonts w:ascii="Cambria Math" w:hAnsi="Cambria Math"/>
          <w:sz w:val="23"/>
          <w:szCs w:val="23"/>
          <w:rtl/>
        </w:rPr>
        <w:t xml:space="preserve"> توبین دارای تفاسیر متعدد است اما در این</w:t>
      </w:r>
      <w:r w:rsidRPr="00A309A0">
        <w:rPr>
          <w:rFonts w:ascii="Cambria Math" w:hAnsi="Cambria Math"/>
          <w:sz w:val="23"/>
          <w:szCs w:val="23"/>
          <w:rtl/>
        </w:rPr>
        <w:softHyphen/>
        <w:t>جا به شرح زیر تفسیر می‌شود. یک واحد افزایش در موجودی سرمایه</w:t>
      </w:r>
      <w:r w:rsidRPr="00A309A0">
        <w:rPr>
          <w:rFonts w:ascii="Cambria Math" w:hAnsi="Cambria Math"/>
          <w:sz w:val="23"/>
          <w:szCs w:val="23"/>
          <w:rtl/>
        </w:rPr>
        <w:softHyphen/>
      </w:r>
      <w:r w:rsidRPr="00A309A0">
        <w:rPr>
          <w:rFonts w:ascii="Cambria Math" w:hAnsi="Cambria Math" w:hint="cs"/>
          <w:sz w:val="23"/>
          <w:szCs w:val="23"/>
          <w:rtl/>
        </w:rPr>
        <w:t>ی</w:t>
      </w:r>
      <w:r w:rsidRPr="00A309A0">
        <w:rPr>
          <w:rFonts w:ascii="Cambria Math" w:hAnsi="Cambria Math"/>
          <w:sz w:val="23"/>
          <w:szCs w:val="23"/>
          <w:rtl/>
        </w:rPr>
        <w:t xml:space="preserve"> آتی که از عدم مصرف و افزایش سرمایه</w:t>
      </w:r>
      <w:r w:rsidRPr="00A309A0">
        <w:rPr>
          <w:rFonts w:ascii="Cambria Math" w:hAnsi="Cambria Math"/>
          <w:sz w:val="23"/>
          <w:szCs w:val="23"/>
          <w:rtl/>
        </w:rPr>
        <w:softHyphen/>
        <w:t>گذاری دوره</w:t>
      </w:r>
      <w:r w:rsidRPr="00A309A0">
        <w:rPr>
          <w:rFonts w:ascii="Cambria Math" w:hAnsi="Cambria Math"/>
          <w:sz w:val="23"/>
          <w:szCs w:val="23"/>
          <w:rtl/>
        </w:rPr>
        <w:softHyphen/>
      </w:r>
      <w:r w:rsidRPr="00A309A0">
        <w:rPr>
          <w:rFonts w:ascii="Cambria Math" w:hAnsi="Cambria Math" w:hint="cs"/>
          <w:sz w:val="23"/>
          <w:szCs w:val="23"/>
          <w:rtl/>
        </w:rPr>
        <w:t>ی</w:t>
      </w:r>
      <w:r w:rsidRPr="00A309A0">
        <w:rPr>
          <w:rFonts w:ascii="Cambria Math" w:hAnsi="Cambria Math"/>
          <w:sz w:val="23"/>
          <w:szCs w:val="23"/>
          <w:rtl/>
        </w:rPr>
        <w:t xml:space="preserve"> </w:t>
      </w:r>
      <w:r w:rsidRPr="00A309A0">
        <w:rPr>
          <w:rFonts w:ascii="Cambria Math" w:hAnsi="Cambria Math"/>
          <w:sz w:val="23"/>
          <w:szCs w:val="23"/>
          <w:rtl/>
        </w:rPr>
        <w:softHyphen/>
        <w:t>جاری حاصل می</w:t>
      </w:r>
      <w:r w:rsidRPr="00A309A0">
        <w:rPr>
          <w:rFonts w:ascii="Cambria Math" w:hAnsi="Cambria Math"/>
          <w:sz w:val="23"/>
          <w:szCs w:val="23"/>
          <w:rtl/>
        </w:rPr>
        <w:softHyphen/>
        <w:t>شود باعث افزایش تولید، مصرف و مطلوبیت حاصل از مصرف آتی می</w:t>
      </w:r>
      <w:r w:rsidRPr="00A309A0">
        <w:rPr>
          <w:rFonts w:ascii="Cambria Math" w:hAnsi="Cambria Math"/>
          <w:sz w:val="23"/>
          <w:szCs w:val="23"/>
          <w:rtl/>
        </w:rPr>
        <w:softHyphen/>
        <w:t xml:space="preserve">شود. لذا </w:t>
      </w:r>
      <w:r w:rsidRPr="00B92922">
        <w:rPr>
          <w:position w:val="-6"/>
        </w:rPr>
        <w:object w:dxaOrig="200" w:dyaOrig="260" w14:anchorId="7793C1EA">
          <v:shape id="_x0000_i1425" type="#_x0000_t75" style="width:10.3pt;height:13.3pt" o:ole="">
            <v:imagedata r:id="rId824" o:title=""/>
          </v:shape>
          <o:OLEObject Type="Embed" ProgID="Equation.DSMT4" ShapeID="_x0000_i1425" DrawAspect="Content" ObjectID="_1791375369" r:id="rId825"/>
        </w:object>
      </w:r>
      <w:r w:rsidRPr="00A309A0">
        <w:rPr>
          <w:rFonts w:ascii="Cambria Math" w:hAnsi="Cambria Math"/>
          <w:sz w:val="23"/>
          <w:szCs w:val="23"/>
          <w:rtl/>
        </w:rPr>
        <w:t xml:space="preserve"> فایده</w:t>
      </w:r>
      <w:r w:rsidRPr="00A309A0">
        <w:rPr>
          <w:rFonts w:ascii="Cambria Math" w:hAnsi="Cambria Math"/>
          <w:sz w:val="23"/>
          <w:szCs w:val="23"/>
          <w:rtl/>
        </w:rPr>
        <w:softHyphen/>
        <w:t>ی نهایی برحسب مطلوبیت حاصل از عدم مصرف جاری به</w:t>
      </w:r>
      <w:r w:rsidRPr="00A309A0">
        <w:rPr>
          <w:rFonts w:ascii="Cambria Math" w:hAnsi="Cambria Math"/>
          <w:sz w:val="23"/>
          <w:szCs w:val="23"/>
          <w:rtl/>
        </w:rPr>
        <w:softHyphen/>
        <w:t>منظور سرمایه‌گذاری، موجودی سرمایه</w:t>
      </w:r>
      <w:r w:rsidRPr="00A309A0">
        <w:rPr>
          <w:rFonts w:ascii="Cambria Math" w:hAnsi="Cambria Math" w:hint="cs"/>
          <w:sz w:val="23"/>
          <w:szCs w:val="23"/>
          <w:rtl/>
        </w:rPr>
        <w:t xml:space="preserve"> و</w:t>
      </w:r>
      <w:r w:rsidRPr="00A309A0">
        <w:rPr>
          <w:rFonts w:ascii="Cambria Math" w:hAnsi="Cambria Math"/>
          <w:sz w:val="23"/>
          <w:szCs w:val="23"/>
          <w:rtl/>
        </w:rPr>
        <w:t xml:space="preserve"> تولید و مصرف بیشتر آتی است. به طور مشابه،</w:t>
      </w:r>
      <w:r w:rsidRPr="00B92922">
        <w:rPr>
          <w:position w:val="-10"/>
        </w:rPr>
        <w:object w:dxaOrig="220" w:dyaOrig="240" w14:anchorId="7A832810">
          <v:shape id="_x0000_i1426" type="#_x0000_t75" style="width:10.3pt;height:12.1pt" o:ole="">
            <v:imagedata r:id="rId826" o:title=""/>
          </v:shape>
          <o:OLEObject Type="Embed" ProgID="Equation.DSMT4" ShapeID="_x0000_i1426" DrawAspect="Content" ObjectID="_1791375370" r:id="rId827"/>
        </w:object>
      </w:r>
      <w:r w:rsidRPr="00A309A0">
        <w:rPr>
          <w:rFonts w:ascii="Cambria Math" w:hAnsi="Cambria Math"/>
          <w:sz w:val="23"/>
          <w:szCs w:val="23"/>
          <w:rtl/>
        </w:rPr>
        <w:t xml:space="preserve"> فایده</w:t>
      </w:r>
      <w:r w:rsidRPr="00A309A0">
        <w:rPr>
          <w:rFonts w:ascii="Cambria Math" w:hAnsi="Cambria Math"/>
          <w:sz w:val="23"/>
          <w:szCs w:val="23"/>
          <w:rtl/>
        </w:rPr>
        <w:softHyphen/>
        <w:t>ی نهایی برحسب مطلوبیت یک واحد افزایش سرمایه‌گذاری است. بنابراین</w:t>
      </w:r>
      <w:r w:rsidRPr="00B92922">
        <w:rPr>
          <w:position w:val="-8"/>
        </w:rPr>
        <w:object w:dxaOrig="200" w:dyaOrig="240" w14:anchorId="14A4E9F9">
          <v:shape id="_x0000_i1427" type="#_x0000_t75" style="width:10.3pt;height:12.1pt" o:ole="">
            <v:imagedata r:id="rId828" o:title=""/>
          </v:shape>
          <o:OLEObject Type="Embed" ProgID="Equation.DSMT4" ShapeID="_x0000_i1427" DrawAspect="Content" ObjectID="_1791375371" r:id="rId829"/>
        </w:object>
      </w:r>
      <w:r w:rsidRPr="00A309A0">
        <w:rPr>
          <w:rFonts w:ascii="Cambria Math" w:hAnsi="Cambria Math"/>
          <w:sz w:val="23"/>
          <w:szCs w:val="23"/>
          <w:rtl/>
        </w:rPr>
        <w:t xml:space="preserve"> برابر است با فایده حاصل از سرمایه‌گذاری به</w:t>
      </w:r>
      <w:r w:rsidRPr="00A309A0">
        <w:rPr>
          <w:rFonts w:ascii="Cambria Math" w:hAnsi="Cambria Math"/>
          <w:sz w:val="23"/>
          <w:szCs w:val="23"/>
          <w:rtl/>
        </w:rPr>
        <w:softHyphen/>
        <w:t xml:space="preserve">ازای هر واحد فایده حاصل از موجودی سرمایه. اگر مطلوبیت را برحسب واحدهای تولید در نظر گیریم، آنگاه </w:t>
      </w:r>
      <w:r w:rsidRPr="00B92922">
        <w:rPr>
          <w:position w:val="-8"/>
        </w:rPr>
        <w:object w:dxaOrig="200" w:dyaOrig="240" w14:anchorId="15B0A830">
          <v:shape id="_x0000_i1428" type="#_x0000_t75" style="width:10.3pt;height:12.1pt" o:ole="">
            <v:imagedata r:id="rId830" o:title=""/>
          </v:shape>
          <o:OLEObject Type="Embed" ProgID="Equation.DSMT4" ShapeID="_x0000_i1428" DrawAspect="Content" ObjectID="_1791375372" r:id="rId831"/>
        </w:object>
      </w:r>
      <w:r w:rsidRPr="00A309A0">
        <w:rPr>
          <w:rFonts w:ascii="Cambria Math" w:hAnsi="Cambria Math"/>
          <w:sz w:val="23"/>
          <w:szCs w:val="23"/>
          <w:rtl/>
        </w:rPr>
        <w:t xml:space="preserve"> نسبت ارزش بازاری یک واحد سرمایه‌گذاری به هزینه</w:t>
      </w:r>
      <w:r w:rsidRPr="00A309A0">
        <w:rPr>
          <w:rFonts w:ascii="Cambria Math" w:hAnsi="Cambria Math"/>
          <w:sz w:val="23"/>
          <w:szCs w:val="23"/>
          <w:rtl/>
        </w:rPr>
        <w:softHyphen/>
        <w:t>های آن تفسیر می</w:t>
      </w:r>
      <w:r w:rsidRPr="00A309A0">
        <w:rPr>
          <w:rFonts w:ascii="Cambria Math" w:hAnsi="Cambria Math"/>
          <w:sz w:val="23"/>
          <w:szCs w:val="23"/>
          <w:rtl/>
        </w:rPr>
        <w:softHyphen/>
        <w:t>شود.</w:t>
      </w:r>
    </w:p>
    <w:p w14:paraId="6B73B630"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با ترکیب سه شروط مرتبه</w:t>
      </w:r>
      <w:r w:rsidRPr="00A309A0">
        <w:rPr>
          <w:rFonts w:ascii="Cambria Math" w:hAnsi="Cambria Math"/>
          <w:sz w:val="23"/>
          <w:szCs w:val="23"/>
          <w:rtl/>
        </w:rPr>
        <w:softHyphen/>
        <w:t xml:space="preserve"> اول</w:t>
      </w:r>
      <w:r w:rsidRPr="00A309A0">
        <w:rPr>
          <w:rFonts w:ascii="Cambria Math" w:hAnsi="Cambria Math" w:hint="cs"/>
          <w:sz w:val="23"/>
          <w:szCs w:val="23"/>
          <w:rtl/>
        </w:rPr>
        <w:t xml:space="preserve"> فوق</w:t>
      </w:r>
      <w:r w:rsidRPr="00A309A0">
        <w:rPr>
          <w:rFonts w:ascii="Cambria Math" w:hAnsi="Cambria Math"/>
          <w:sz w:val="23"/>
          <w:szCs w:val="23"/>
          <w:rtl/>
        </w:rPr>
        <w:t xml:space="preserve"> و</w:t>
      </w:r>
      <w:r w:rsidRPr="00A309A0">
        <w:rPr>
          <w:rFonts w:ascii="Cambria Math" w:hAnsi="Cambria Math" w:hint="cs"/>
          <w:sz w:val="23"/>
          <w:szCs w:val="23"/>
          <w:rtl/>
        </w:rPr>
        <w:t xml:space="preserve"> برای</w:t>
      </w:r>
      <w:r w:rsidRPr="00B92922">
        <w:rPr>
          <w:position w:val="-6"/>
        </w:rPr>
        <w:object w:dxaOrig="480" w:dyaOrig="260" w14:anchorId="3530EBCA">
          <v:shape id="_x0000_i1429" type="#_x0000_t75" style="width:23.6pt;height:13.3pt" o:ole="">
            <v:imagedata r:id="rId832" o:title=""/>
          </v:shape>
          <o:OLEObject Type="Embed" ProgID="Equation.DSMT4" ShapeID="_x0000_i1429" DrawAspect="Content" ObjectID="_1791375373" r:id="rId833"/>
        </w:object>
      </w:r>
      <w:r w:rsidRPr="00A309A0">
        <w:rPr>
          <w:rFonts w:ascii="Cambria Math" w:hAnsi="Cambria Math"/>
          <w:sz w:val="23"/>
          <w:szCs w:val="23"/>
          <w:rtl/>
        </w:rPr>
        <w:t>، رابطه</w:t>
      </w:r>
      <w:r w:rsidRPr="00A309A0">
        <w:rPr>
          <w:rFonts w:ascii="Cambria Math" w:hAnsi="Cambria Math"/>
          <w:sz w:val="23"/>
          <w:szCs w:val="23"/>
          <w:rtl/>
        </w:rPr>
        <w:softHyphen/>
        <w:t>ی پویای غیرخطی زیر بدست می</w:t>
      </w:r>
      <w:r w:rsidRPr="00A309A0">
        <w:rPr>
          <w:rFonts w:ascii="Cambria Math" w:hAnsi="Cambria Math"/>
          <w:sz w:val="23"/>
          <w:szCs w:val="23"/>
          <w:rtl/>
        </w:rPr>
        <w:softHyphen/>
        <w:t xml:space="preserve">آید: </w:t>
      </w:r>
    </w:p>
    <w:p w14:paraId="51213B09" w14:textId="77777777" w:rsidR="00411620" w:rsidRPr="00A309A0" w:rsidRDefault="00411620" w:rsidP="00411620">
      <w:pPr>
        <w:pStyle w:val="MTDisplayEquation"/>
        <w:tabs>
          <w:tab w:val="clear" w:pos="6660"/>
        </w:tabs>
        <w:spacing w:line="216" w:lineRule="auto"/>
        <w:rPr>
          <w:rFonts w:ascii="Cambria Math" w:hAnsi="Cambria Math" w:cs="B Nazanin"/>
          <w:sz w:val="23"/>
          <w:szCs w:val="23"/>
          <w:rtl/>
          <w:lang w:bidi="fa-IR"/>
        </w:rPr>
      </w:pPr>
      <w:r w:rsidRPr="00B92922">
        <w:rPr>
          <w:position w:val="-30"/>
        </w:rPr>
        <w:object w:dxaOrig="3980" w:dyaOrig="680" w14:anchorId="30D2809F">
          <v:shape id="_x0000_i1430" type="#_x0000_t75" style="width:198.45pt;height:33.9pt" o:ole="">
            <v:imagedata r:id="rId834" o:title=""/>
          </v:shape>
          <o:OLEObject Type="Embed" ProgID="Equation.DSMT4" ShapeID="_x0000_i1430" DrawAspect="Content" ObjectID="_1791375374" r:id="rId835"/>
        </w:object>
      </w:r>
      <w:r w:rsidRPr="00A309A0">
        <w:rPr>
          <w:rFonts w:ascii="Cambria Math" w:hAnsi="Cambria Math" w:cs="B Nazanin"/>
          <w:sz w:val="23"/>
          <w:szCs w:val="23"/>
        </w:rPr>
        <w:tab/>
      </w:r>
      <w:r w:rsidRPr="00A309A0">
        <w:rPr>
          <w:rFonts w:ascii="Cambria Math" w:hAnsi="Cambria Math" w:cs="B Nazanin"/>
          <w:sz w:val="23"/>
          <w:szCs w:val="23"/>
          <w:rtl/>
        </w:rPr>
        <w:tab/>
      </w:r>
      <w:r>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hint="cs"/>
          <w:sz w:val="23"/>
          <w:szCs w:val="23"/>
          <w:rtl/>
        </w:rPr>
        <w:t>(۲. ۳۵)</w:t>
      </w:r>
    </w:p>
    <w:p w14:paraId="02E29BD2"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lastRenderedPageBreak/>
        <w:t>معادله</w:t>
      </w:r>
      <w:r w:rsidRPr="00A309A0">
        <w:rPr>
          <w:rFonts w:ascii="Cambria Math" w:hAnsi="Cambria Math"/>
          <w:sz w:val="23"/>
          <w:szCs w:val="23"/>
          <w:rtl/>
        </w:rPr>
        <w:softHyphen/>
        <w:t xml:space="preserve">ی </w:t>
      </w:r>
      <w:r w:rsidRPr="00A309A0">
        <w:rPr>
          <w:rFonts w:ascii="Cambria Math" w:hAnsi="Cambria Math" w:hint="cs"/>
          <w:sz w:val="23"/>
          <w:szCs w:val="23"/>
          <w:rtl/>
        </w:rPr>
        <w:t>(۲. ۳۵)</w:t>
      </w:r>
      <w:r w:rsidRPr="00A309A0">
        <w:rPr>
          <w:rFonts w:ascii="Cambria Math" w:hAnsi="Cambria Math"/>
          <w:sz w:val="23"/>
          <w:szCs w:val="23"/>
          <w:rtl/>
        </w:rPr>
        <w:t xml:space="preserve"> به</w:t>
      </w:r>
      <w:r w:rsidRPr="00A309A0">
        <w:rPr>
          <w:rFonts w:ascii="Cambria Math" w:hAnsi="Cambria Math"/>
          <w:sz w:val="23"/>
          <w:szCs w:val="23"/>
          <w:rtl/>
        </w:rPr>
        <w:softHyphen/>
        <w:t xml:space="preserve">همراه معادلات </w:t>
      </w:r>
      <w:r w:rsidRPr="00A309A0">
        <w:rPr>
          <w:rFonts w:ascii="Cambria Math" w:hAnsi="Cambria Math" w:hint="cs"/>
          <w:sz w:val="23"/>
          <w:szCs w:val="23"/>
          <w:rtl/>
        </w:rPr>
        <w:t>(۲. ۳۲)</w:t>
      </w:r>
      <w:r w:rsidRPr="00A309A0">
        <w:rPr>
          <w:rFonts w:ascii="Cambria Math" w:hAnsi="Cambria Math"/>
          <w:sz w:val="23"/>
          <w:szCs w:val="23"/>
          <w:rtl/>
        </w:rPr>
        <w:t xml:space="preserve">، </w:t>
      </w:r>
      <w:r w:rsidRPr="00A309A0">
        <w:rPr>
          <w:rFonts w:ascii="Cambria Math" w:hAnsi="Cambria Math" w:hint="cs"/>
          <w:sz w:val="23"/>
          <w:szCs w:val="23"/>
          <w:rtl/>
        </w:rPr>
        <w:t>(۲. ۳۴)</w:t>
      </w:r>
      <w:r w:rsidRPr="00A309A0">
        <w:rPr>
          <w:rFonts w:ascii="Cambria Math" w:hAnsi="Cambria Math"/>
          <w:sz w:val="23"/>
          <w:szCs w:val="23"/>
          <w:rtl/>
        </w:rPr>
        <w:t xml:space="preserve"> و معادله</w:t>
      </w:r>
      <w:r w:rsidRPr="00A309A0">
        <w:rPr>
          <w:rFonts w:ascii="Cambria Math" w:hAnsi="Cambria Math"/>
          <w:sz w:val="23"/>
          <w:szCs w:val="23"/>
          <w:rtl/>
        </w:rPr>
        <w:softHyphen/>
      </w:r>
      <w:r w:rsidRPr="00A309A0">
        <w:rPr>
          <w:rFonts w:ascii="Cambria Math" w:hAnsi="Cambria Math" w:hint="cs"/>
          <w:sz w:val="23"/>
          <w:szCs w:val="23"/>
          <w:rtl/>
        </w:rPr>
        <w:t>ی</w:t>
      </w:r>
      <w:r w:rsidRPr="00A309A0">
        <w:rPr>
          <w:rFonts w:ascii="Cambria Math" w:hAnsi="Cambria Math"/>
          <w:sz w:val="23"/>
          <w:szCs w:val="23"/>
          <w:rtl/>
        </w:rPr>
        <w:t xml:space="preserve"> انباشت سرمایه</w:t>
      </w:r>
      <w:r w:rsidRPr="00A309A0">
        <w:rPr>
          <w:rFonts w:ascii="Cambria Math" w:hAnsi="Cambria Math"/>
          <w:sz w:val="23"/>
          <w:szCs w:val="23"/>
          <w:rtl/>
        </w:rPr>
        <w:softHyphen/>
        <w:t>ی</w:t>
      </w:r>
      <w:r w:rsidRPr="00A309A0">
        <w:rPr>
          <w:rFonts w:ascii="Cambria Math" w:hAnsi="Cambria Math" w:hint="cs"/>
          <w:sz w:val="23"/>
          <w:szCs w:val="23"/>
          <w:rtl/>
        </w:rPr>
        <w:t xml:space="preserve"> (۲. ۲)</w:t>
      </w:r>
      <w:r w:rsidRPr="00A309A0">
        <w:rPr>
          <w:rFonts w:ascii="Cambria Math" w:hAnsi="Cambria Math"/>
          <w:sz w:val="23"/>
          <w:szCs w:val="23"/>
          <w:rtl/>
          <w:lang w:val="en-GB"/>
        </w:rPr>
        <w:t>،</w:t>
      </w:r>
      <w:r w:rsidRPr="00A309A0">
        <w:rPr>
          <w:rFonts w:ascii="Cambria Math" w:hAnsi="Cambria Math"/>
          <w:sz w:val="23"/>
          <w:szCs w:val="23"/>
          <w:rtl/>
        </w:rPr>
        <w:t xml:space="preserve"> سیستم معادل</w:t>
      </w:r>
      <w:r w:rsidRPr="00A309A0">
        <w:rPr>
          <w:rFonts w:ascii="Cambria Math" w:hAnsi="Cambria Math" w:hint="cs"/>
          <w:sz w:val="23"/>
          <w:szCs w:val="23"/>
          <w:rtl/>
        </w:rPr>
        <w:t>ات</w:t>
      </w:r>
      <w:r w:rsidRPr="00A309A0">
        <w:rPr>
          <w:rFonts w:ascii="Cambria Math" w:hAnsi="Cambria Math"/>
          <w:sz w:val="23"/>
          <w:szCs w:val="23"/>
          <w:rtl/>
        </w:rPr>
        <w:t xml:space="preserve"> پویای غیرخطی با چهار معادله است که به ترتیب برای حل متغیرهای درون</w:t>
      </w:r>
      <w:r w:rsidRPr="00A309A0">
        <w:rPr>
          <w:rFonts w:ascii="Cambria Math" w:hAnsi="Cambria Math"/>
          <w:sz w:val="23"/>
          <w:szCs w:val="23"/>
          <w:rtl/>
        </w:rPr>
        <w:softHyphen/>
        <w:t>زای</w:t>
      </w:r>
      <w:r w:rsidRPr="00B92922">
        <w:rPr>
          <w:position w:val="-10"/>
        </w:rPr>
        <w:object w:dxaOrig="220" w:dyaOrig="320" w14:anchorId="169D1E3E">
          <v:shape id="_x0000_i1431" type="#_x0000_t75" style="width:10.3pt;height:15.75pt" o:ole="">
            <v:imagedata r:id="rId836" o:title=""/>
          </v:shape>
          <o:OLEObject Type="Embed" ProgID="Equation.DSMT4" ShapeID="_x0000_i1431" DrawAspect="Content" ObjectID="_1791375375" r:id="rId837"/>
        </w:object>
      </w:r>
      <w:r w:rsidRPr="00A309A0">
        <w:rPr>
          <w:rFonts w:ascii="Cambria Math" w:hAnsi="Cambria Math"/>
          <w:sz w:val="23"/>
          <w:szCs w:val="23"/>
          <w:rtl/>
        </w:rPr>
        <w:t xml:space="preserve">، </w:t>
      </w:r>
      <w:r w:rsidRPr="00B92922">
        <w:rPr>
          <w:position w:val="-10"/>
        </w:rPr>
        <w:object w:dxaOrig="200" w:dyaOrig="320" w14:anchorId="249DF922">
          <v:shape id="_x0000_i1432" type="#_x0000_t75" style="width:10.3pt;height:15.75pt" o:ole="">
            <v:imagedata r:id="rId838" o:title=""/>
          </v:shape>
          <o:OLEObject Type="Embed" ProgID="Equation.DSMT4" ShapeID="_x0000_i1432" DrawAspect="Content" ObjectID="_1791375376" r:id="rId839"/>
        </w:object>
      </w:r>
      <w:r w:rsidRPr="00A309A0">
        <w:rPr>
          <w:rFonts w:ascii="Cambria Math" w:hAnsi="Cambria Math"/>
          <w:sz w:val="23"/>
          <w:szCs w:val="23"/>
          <w:rtl/>
        </w:rPr>
        <w:t xml:space="preserve">، </w:t>
      </w:r>
      <w:r w:rsidRPr="00B92922">
        <w:rPr>
          <w:position w:val="-10"/>
        </w:rPr>
        <w:object w:dxaOrig="240" w:dyaOrig="320" w14:anchorId="5B6B4133">
          <v:shape id="_x0000_i1433" type="#_x0000_t75" style="width:12.1pt;height:15.75pt" o:ole="">
            <v:imagedata r:id="rId840" o:title=""/>
          </v:shape>
          <o:OLEObject Type="Embed" ProgID="Equation.DSMT4" ShapeID="_x0000_i1433" DrawAspect="Content" ObjectID="_1791375377" r:id="rId841"/>
        </w:object>
      </w:r>
      <w:r w:rsidRPr="00A309A0">
        <w:rPr>
          <w:rFonts w:ascii="Cambria Math" w:hAnsi="Cambria Math"/>
          <w:sz w:val="23"/>
          <w:szCs w:val="23"/>
          <w:rtl/>
        </w:rPr>
        <w:t xml:space="preserve"> و </w:t>
      </w:r>
      <w:r w:rsidRPr="00B92922">
        <w:rPr>
          <w:position w:val="-10"/>
        </w:rPr>
        <w:object w:dxaOrig="180" w:dyaOrig="320" w14:anchorId="3CB1360B">
          <v:shape id="_x0000_i1434" type="#_x0000_t75" style="width:9.1pt;height:15.75pt" o:ole="">
            <v:imagedata r:id="rId842" o:title=""/>
          </v:shape>
          <o:OLEObject Type="Embed" ProgID="Equation.DSMT4" ShapeID="_x0000_i1434" DrawAspect="Content" ObjectID="_1791375378" r:id="rId843"/>
        </w:object>
      </w:r>
      <w:r w:rsidRPr="00A309A0">
        <w:rPr>
          <w:rFonts w:ascii="Cambria Math" w:hAnsi="Cambria Math"/>
          <w:sz w:val="23"/>
          <w:szCs w:val="23"/>
          <w:rtl/>
        </w:rPr>
        <w:t xml:space="preserve"> مورد استفاده قرار می</w:t>
      </w:r>
      <w:r w:rsidRPr="00A309A0">
        <w:rPr>
          <w:rFonts w:ascii="Cambria Math" w:hAnsi="Cambria Math"/>
          <w:sz w:val="23"/>
          <w:szCs w:val="23"/>
          <w:rtl/>
        </w:rPr>
        <w:softHyphen/>
        <w:t>گیر</w:t>
      </w:r>
      <w:r w:rsidRPr="00A309A0">
        <w:rPr>
          <w:rFonts w:ascii="Cambria Math" w:hAnsi="Cambria Math" w:hint="cs"/>
          <w:sz w:val="23"/>
          <w:szCs w:val="23"/>
          <w:rtl/>
        </w:rPr>
        <w:t>ن</w:t>
      </w:r>
      <w:r w:rsidRPr="00A309A0">
        <w:rPr>
          <w:rFonts w:ascii="Cambria Math" w:hAnsi="Cambria Math"/>
          <w:sz w:val="23"/>
          <w:szCs w:val="23"/>
          <w:rtl/>
        </w:rPr>
        <w:t xml:space="preserve">د. </w:t>
      </w:r>
    </w:p>
    <w:p w14:paraId="4A8068B5" w14:textId="77777777" w:rsidR="00411620" w:rsidRPr="00A309A0" w:rsidRDefault="00411620" w:rsidP="00411620">
      <w:pPr>
        <w:spacing w:line="216" w:lineRule="auto"/>
        <w:rPr>
          <w:rFonts w:ascii="Cambria Math" w:hAnsi="Cambria Math"/>
          <w:sz w:val="23"/>
          <w:szCs w:val="23"/>
          <w:rtl/>
        </w:rPr>
      </w:pPr>
    </w:p>
    <w:p w14:paraId="3B3DC20C" w14:textId="77777777" w:rsidR="00411620" w:rsidRPr="00A309A0" w:rsidRDefault="00411620" w:rsidP="00411620">
      <w:pPr>
        <w:spacing w:line="216" w:lineRule="auto"/>
        <w:rPr>
          <w:rFonts w:ascii="Cambria Math" w:hAnsi="Cambria Math"/>
          <w:b/>
          <w:bCs/>
          <w:sz w:val="23"/>
          <w:szCs w:val="23"/>
          <w:rtl/>
        </w:rPr>
      </w:pPr>
      <w:r w:rsidRPr="00A309A0">
        <w:rPr>
          <w:rFonts w:ascii="Cambria Math" w:hAnsi="Cambria Math"/>
          <w:b/>
          <w:bCs/>
          <w:sz w:val="23"/>
          <w:szCs w:val="23"/>
          <w:rtl/>
        </w:rPr>
        <w:t>حل بلند</w:t>
      </w:r>
      <w:r w:rsidRPr="00A309A0">
        <w:rPr>
          <w:rFonts w:ascii="Cambria Math" w:hAnsi="Cambria Math"/>
          <w:b/>
          <w:bCs/>
          <w:sz w:val="23"/>
          <w:szCs w:val="23"/>
          <w:rtl/>
        </w:rPr>
        <w:softHyphen/>
        <w:t xml:space="preserve">مدت </w:t>
      </w:r>
    </w:p>
    <w:p w14:paraId="4B4A0C1E"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 xml:space="preserve">در بلندمدت و یا وضعیت تعادلی </w:t>
      </w:r>
      <w:r w:rsidRPr="00A309A0">
        <w:rPr>
          <w:rFonts w:ascii="Cambria Math" w:hAnsi="Cambria Math" w:hint="cs"/>
          <w:sz w:val="23"/>
          <w:szCs w:val="23"/>
          <w:rtl/>
        </w:rPr>
        <w:t>یکنواخت</w:t>
      </w:r>
      <w:r w:rsidRPr="00A309A0">
        <w:rPr>
          <w:rFonts w:ascii="Cambria Math" w:hAnsi="Cambria Math"/>
          <w:sz w:val="23"/>
          <w:szCs w:val="23"/>
          <w:rtl/>
        </w:rPr>
        <w:t xml:space="preserve"> داریم </w:t>
      </w:r>
      <w:r w:rsidRPr="00B92922">
        <w:rPr>
          <w:position w:val="-10"/>
        </w:rPr>
        <w:object w:dxaOrig="2260" w:dyaOrig="320" w14:anchorId="757308C7">
          <v:shape id="_x0000_i1435" type="#_x0000_t75" style="width:113.15pt;height:15.75pt" o:ole="">
            <v:imagedata r:id="rId844" o:title=""/>
          </v:shape>
          <o:OLEObject Type="Embed" ProgID="Equation.DSMT4" ShapeID="_x0000_i1435" DrawAspect="Content" ObjectID="_1791375379" r:id="rId845"/>
        </w:object>
      </w:r>
      <w:r w:rsidRPr="00A309A0">
        <w:rPr>
          <w:rFonts w:ascii="Cambria Math" w:eastAsiaTheme="minorEastAsia" w:hAnsi="Cambria Math"/>
          <w:sz w:val="23"/>
          <w:szCs w:val="23"/>
          <w:rtl/>
        </w:rPr>
        <w:t xml:space="preserve">. بنابراین از </w:t>
      </w:r>
      <w:r w:rsidRPr="00A309A0">
        <w:rPr>
          <w:rFonts w:ascii="Cambria Math" w:hAnsi="Cambria Math"/>
          <w:sz w:val="23"/>
          <w:szCs w:val="23"/>
          <w:rtl/>
        </w:rPr>
        <w:t>معادله</w:t>
      </w:r>
      <w:r w:rsidRPr="00A309A0">
        <w:rPr>
          <w:rFonts w:ascii="Cambria Math" w:hAnsi="Cambria Math"/>
          <w:sz w:val="23"/>
          <w:szCs w:val="23"/>
          <w:rtl/>
        </w:rPr>
        <w:softHyphen/>
        <w:t xml:space="preserve">ی انباشت سرمایه </w:t>
      </w:r>
      <w:r w:rsidRPr="00A309A0">
        <w:rPr>
          <w:rFonts w:ascii="Cambria Math" w:hAnsi="Cambria Math" w:hint="cs"/>
          <w:sz w:val="23"/>
          <w:szCs w:val="23"/>
          <w:rtl/>
        </w:rPr>
        <w:t xml:space="preserve">(۲. ۲) </w:t>
      </w:r>
      <w:r w:rsidRPr="00A309A0">
        <w:rPr>
          <w:rFonts w:ascii="Cambria Math" w:hAnsi="Cambria Math"/>
          <w:sz w:val="23"/>
          <w:szCs w:val="23"/>
          <w:rtl/>
        </w:rPr>
        <w:t>و معادله</w:t>
      </w:r>
      <w:r w:rsidRPr="00A309A0">
        <w:rPr>
          <w:rFonts w:ascii="Cambria Math" w:hAnsi="Cambria Math"/>
          <w:sz w:val="23"/>
          <w:szCs w:val="23"/>
          <w:rtl/>
        </w:rPr>
        <w:softHyphen/>
        <w:t xml:space="preserve">ی </w:t>
      </w:r>
      <w:r w:rsidRPr="00A309A0">
        <w:rPr>
          <w:rFonts w:ascii="Cambria Math" w:hAnsi="Cambria Math" w:hint="cs"/>
          <w:sz w:val="23"/>
          <w:szCs w:val="23"/>
          <w:rtl/>
        </w:rPr>
        <w:t xml:space="preserve">(۲. ۳۳) </w:t>
      </w:r>
      <w:r w:rsidRPr="00A309A0">
        <w:rPr>
          <w:rFonts w:ascii="Cambria Math" w:hAnsi="Cambria Math"/>
          <w:sz w:val="23"/>
          <w:szCs w:val="23"/>
          <w:rtl/>
        </w:rPr>
        <w:t>خواهیم داشت</w:t>
      </w:r>
    </w:p>
    <w:p w14:paraId="72BFB8DB" w14:textId="77777777" w:rsidR="00411620" w:rsidRPr="00A309A0" w:rsidRDefault="00411620" w:rsidP="00411620">
      <w:pPr>
        <w:pStyle w:val="MTDisplayEquation"/>
        <w:spacing w:line="216" w:lineRule="auto"/>
        <w:rPr>
          <w:rFonts w:ascii="Cambria Math" w:eastAsiaTheme="minorEastAsia" w:hAnsi="Cambria Math" w:cs="B Nazanin"/>
          <w:sz w:val="23"/>
          <w:szCs w:val="23"/>
          <w:lang w:val="en-GB" w:bidi="fa-IR"/>
        </w:rPr>
      </w:pPr>
      <w:r w:rsidRPr="00B92922">
        <w:rPr>
          <w:position w:val="-22"/>
        </w:rPr>
        <w:object w:dxaOrig="3000" w:dyaOrig="600" w14:anchorId="5924B0C1">
          <v:shape id="_x0000_i1436" type="#_x0000_t75" style="width:150.65pt;height:29.65pt" o:ole="">
            <v:imagedata r:id="rId846" o:title=""/>
          </v:shape>
          <o:OLEObject Type="Embed" ProgID="Equation.DSMT4" ShapeID="_x0000_i1436" DrawAspect="Content" ObjectID="_1791375380" r:id="rId847"/>
        </w:object>
      </w:r>
    </w:p>
    <w:p w14:paraId="4023A138" w14:textId="77777777" w:rsidR="00411620" w:rsidRPr="00A309A0" w:rsidRDefault="00411620" w:rsidP="00411620">
      <w:pPr>
        <w:pStyle w:val="MTDisplayEquation"/>
        <w:spacing w:line="216" w:lineRule="auto"/>
        <w:rPr>
          <w:rFonts w:ascii="Cambria Math" w:hAnsi="Cambria Math" w:cs="B Nazanin"/>
          <w:sz w:val="23"/>
          <w:szCs w:val="23"/>
          <w:rtl/>
          <w:lang w:bidi="fa-IR"/>
        </w:rPr>
      </w:pPr>
      <w:r w:rsidRPr="00B92922">
        <w:rPr>
          <w:position w:val="-26"/>
        </w:rPr>
        <w:object w:dxaOrig="3620" w:dyaOrig="639" w14:anchorId="6F9DBCB1">
          <v:shape id="_x0000_i1437" type="#_x0000_t75" style="width:180.9pt;height:31.45pt" o:ole="">
            <v:imagedata r:id="rId848" o:title=""/>
          </v:shape>
          <o:OLEObject Type="Embed" ProgID="Equation.DSMT4" ShapeID="_x0000_i1437" DrawAspect="Content" ObjectID="_1791375381" r:id="rId849"/>
        </w:object>
      </w:r>
    </w:p>
    <w:p w14:paraId="31ECBE55"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بنابراین مقدار تعادلی</w:t>
      </w:r>
      <w:r w:rsidRPr="00B92922">
        <w:rPr>
          <w:position w:val="-8"/>
        </w:rPr>
        <w:object w:dxaOrig="200" w:dyaOrig="240" w14:anchorId="115CD7AD">
          <v:shape id="_x0000_i1438" type="#_x0000_t75" style="width:10.3pt;height:12.1pt" o:ole="">
            <v:imagedata r:id="rId850" o:title=""/>
          </v:shape>
          <o:OLEObject Type="Embed" ProgID="Equation.DSMT4" ShapeID="_x0000_i1438" DrawAspect="Content" ObjectID="_1791375382" r:id="rId851"/>
        </w:object>
      </w:r>
      <w:r w:rsidRPr="00A309A0">
        <w:rPr>
          <w:rFonts w:ascii="Cambria Math" w:hAnsi="Cambria Math"/>
          <w:sz w:val="23"/>
          <w:szCs w:val="23"/>
          <w:rtl/>
          <w:lang w:val="en-GB"/>
        </w:rPr>
        <w:t xml:space="preserve"> در بلندمدت </w:t>
      </w:r>
      <w:r w:rsidRPr="00A309A0">
        <w:rPr>
          <w:rFonts w:ascii="Cambria Math" w:hAnsi="Cambria Math"/>
          <w:sz w:val="23"/>
          <w:szCs w:val="23"/>
          <w:rtl/>
        </w:rPr>
        <w:t xml:space="preserve">برابر </w:t>
      </w:r>
      <w:r w:rsidRPr="00A309A0">
        <w:rPr>
          <w:rFonts w:ascii="Cambria Math" w:hAnsi="Cambria Math" w:hint="cs"/>
          <w:sz w:val="23"/>
          <w:szCs w:val="23"/>
          <w:rtl/>
        </w:rPr>
        <w:t xml:space="preserve">خواهد بود </w:t>
      </w:r>
      <w:r w:rsidRPr="00A309A0">
        <w:rPr>
          <w:rFonts w:ascii="Cambria Math" w:hAnsi="Cambria Math"/>
          <w:sz w:val="23"/>
          <w:szCs w:val="23"/>
          <w:rtl/>
        </w:rPr>
        <w:t xml:space="preserve">با؛ </w:t>
      </w:r>
    </w:p>
    <w:p w14:paraId="624E8650" w14:textId="77777777" w:rsidR="00411620" w:rsidRPr="00A309A0" w:rsidRDefault="00411620" w:rsidP="00411620">
      <w:pPr>
        <w:pStyle w:val="MTDisplayEquation"/>
        <w:tabs>
          <w:tab w:val="clear" w:pos="6660"/>
        </w:tabs>
        <w:spacing w:line="216" w:lineRule="auto"/>
        <w:rPr>
          <w:rFonts w:ascii="Cambria Math" w:hAnsi="Cambria Math" w:cs="B Nazanin"/>
          <w:sz w:val="23"/>
          <w:szCs w:val="23"/>
          <w:rtl/>
          <w:lang w:bidi="fa-IR"/>
        </w:rPr>
      </w:pPr>
      <w:r w:rsidRPr="00B92922">
        <w:rPr>
          <w:position w:val="-10"/>
        </w:rPr>
        <w:object w:dxaOrig="1320" w:dyaOrig="340" w14:anchorId="31CAC79D">
          <v:shape id="_x0000_i1439" type="#_x0000_t75" style="width:65.35pt;height:16.95pt" o:ole="">
            <v:imagedata r:id="rId852" o:title=""/>
          </v:shape>
          <o:OLEObject Type="Embed" ProgID="Equation.DSMT4" ShapeID="_x0000_i1439" DrawAspect="Content" ObjectID="_1791375383" r:id="rId853"/>
        </w:object>
      </w:r>
      <w:r w:rsidRPr="00A309A0">
        <w:rPr>
          <w:rFonts w:ascii="Cambria Math" w:hAnsi="Cambria Math" w:cs="B Nazanin"/>
          <w:sz w:val="23"/>
          <w:szCs w:val="23"/>
          <w:rtl/>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hint="cs"/>
          <w:sz w:val="23"/>
          <w:szCs w:val="23"/>
          <w:rtl/>
        </w:rPr>
        <w:t>(۲. ۳۶)</w:t>
      </w:r>
    </w:p>
    <w:p w14:paraId="7983972E"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موجودی سرمایه در وضعیت یکنواخت از حل معادله</w:t>
      </w:r>
      <w:r w:rsidRPr="00A309A0">
        <w:rPr>
          <w:rFonts w:ascii="Cambria Math" w:hAnsi="Cambria Math"/>
          <w:sz w:val="23"/>
          <w:szCs w:val="23"/>
          <w:rtl/>
        </w:rPr>
        <w:softHyphen/>
        <w:t xml:space="preserve">ی </w:t>
      </w:r>
      <w:r w:rsidRPr="00A309A0">
        <w:rPr>
          <w:rFonts w:ascii="Cambria Math" w:hAnsi="Cambria Math" w:hint="cs"/>
          <w:sz w:val="23"/>
          <w:szCs w:val="23"/>
          <w:rtl/>
        </w:rPr>
        <w:t xml:space="preserve">(۲. ۳۵) </w:t>
      </w:r>
      <w:r w:rsidRPr="00A309A0">
        <w:rPr>
          <w:rFonts w:ascii="Cambria Math" w:hAnsi="Cambria Math"/>
          <w:sz w:val="23"/>
          <w:szCs w:val="23"/>
          <w:rtl/>
        </w:rPr>
        <w:t xml:space="preserve">و با توجه به مقادیر </w:t>
      </w:r>
      <w:r w:rsidRPr="00B92922">
        <w:rPr>
          <w:position w:val="-8"/>
        </w:rPr>
        <w:object w:dxaOrig="200" w:dyaOrig="240" w14:anchorId="4B589B9D">
          <v:shape id="_x0000_i1440" type="#_x0000_t75" style="width:10.3pt;height:12.1pt" o:ole="">
            <v:imagedata r:id="rId854" o:title=""/>
          </v:shape>
          <o:OLEObject Type="Embed" ProgID="Equation.DSMT4" ShapeID="_x0000_i1440" DrawAspect="Content" ObjectID="_1791375384" r:id="rId855"/>
        </w:object>
      </w:r>
      <w:r w:rsidRPr="00A309A0">
        <w:rPr>
          <w:rFonts w:ascii="Cambria Math" w:hAnsi="Cambria Math"/>
          <w:sz w:val="23"/>
          <w:szCs w:val="23"/>
          <w:rtl/>
        </w:rPr>
        <w:t xml:space="preserve"> تعادلی و </w:t>
      </w:r>
      <w:r w:rsidRPr="00B92922">
        <w:rPr>
          <w:position w:val="-10"/>
        </w:rPr>
        <w:object w:dxaOrig="840" w:dyaOrig="320" w14:anchorId="2156BE1D">
          <v:shape id="_x0000_i1441" type="#_x0000_t75" style="width:41.75pt;height:15.75pt" o:ole="">
            <v:imagedata r:id="rId856" o:title=""/>
          </v:shape>
          <o:OLEObject Type="Embed" ProgID="Equation.DSMT4" ShapeID="_x0000_i1441" DrawAspect="Content" ObjectID="_1791375385" r:id="rId857"/>
        </w:object>
      </w:r>
      <w:r w:rsidRPr="00A309A0">
        <w:rPr>
          <w:rFonts w:ascii="Cambria Math" w:hAnsi="Cambria Math"/>
          <w:sz w:val="23"/>
          <w:szCs w:val="23"/>
          <w:rtl/>
        </w:rPr>
        <w:t xml:space="preserve"> و </w:t>
      </w:r>
      <w:r w:rsidRPr="00B92922">
        <w:rPr>
          <w:position w:val="-12"/>
        </w:rPr>
        <w:object w:dxaOrig="1240" w:dyaOrig="360" w14:anchorId="17C81D7A">
          <v:shape id="_x0000_i1442" type="#_x0000_t75" style="width:61.7pt;height:18.15pt" o:ole="">
            <v:imagedata r:id="rId858" o:title=""/>
          </v:shape>
          <o:OLEObject Type="Embed" ProgID="Equation.DSMT4" ShapeID="_x0000_i1442" DrawAspect="Content" ObjectID="_1791375386" r:id="rId859"/>
        </w:object>
      </w:r>
      <w:r w:rsidRPr="00A309A0">
        <w:rPr>
          <w:rFonts w:ascii="Cambria Math" w:hAnsi="Cambria Math"/>
          <w:sz w:val="23"/>
          <w:szCs w:val="23"/>
          <w:rtl/>
        </w:rPr>
        <w:t>، بدست می</w:t>
      </w:r>
      <w:r w:rsidRPr="00A309A0">
        <w:rPr>
          <w:rFonts w:ascii="Cambria Math" w:hAnsi="Cambria Math"/>
          <w:sz w:val="23"/>
          <w:szCs w:val="23"/>
          <w:rtl/>
        </w:rPr>
        <w:softHyphen/>
        <w:t>آید. بنابراین</w:t>
      </w:r>
    </w:p>
    <w:p w14:paraId="484BC409" w14:textId="77777777" w:rsidR="00411620" w:rsidRPr="00A309A0" w:rsidRDefault="00411620" w:rsidP="00411620">
      <w:pPr>
        <w:tabs>
          <w:tab w:val="left" w:pos="0"/>
        </w:tabs>
        <w:bidi w:val="0"/>
        <w:spacing w:line="216" w:lineRule="auto"/>
        <w:rPr>
          <w:rFonts w:ascii="Cambria Math" w:hAnsi="Cambria Math"/>
          <w:sz w:val="23"/>
          <w:szCs w:val="23"/>
          <w:rtl/>
        </w:rPr>
      </w:pPr>
      <w:r w:rsidRPr="00B92922">
        <w:rPr>
          <w:position w:val="-26"/>
        </w:rPr>
        <w:object w:dxaOrig="2900" w:dyaOrig="620" w14:anchorId="731F9AF9">
          <v:shape id="_x0000_i1443" type="#_x0000_t75" style="width:145.2pt;height:30.85pt" o:ole="">
            <v:imagedata r:id="rId860" o:title=""/>
          </v:shape>
          <o:OLEObject Type="Embed" ProgID="Equation.DSMT4" ShapeID="_x0000_i1443" DrawAspect="Content" ObjectID="_1791375387" r:id="rId861"/>
        </w:object>
      </w:r>
      <w:r w:rsidRPr="00A309A0">
        <w:rPr>
          <w:rFonts w:ascii="Cambria Math" w:hAnsi="Cambria Math"/>
          <w:sz w:val="23"/>
          <w:szCs w:val="23"/>
        </w:rPr>
        <w:tab/>
      </w:r>
      <w:r w:rsidRPr="00A309A0">
        <w:rPr>
          <w:rFonts w:ascii="Cambria Math" w:hAnsi="Cambria Math"/>
          <w:sz w:val="23"/>
          <w:szCs w:val="23"/>
        </w:rPr>
        <w:tab/>
      </w:r>
      <w:r w:rsidRPr="00A309A0">
        <w:rPr>
          <w:rFonts w:ascii="Cambria Math" w:hAnsi="Cambria Math"/>
          <w:sz w:val="23"/>
          <w:szCs w:val="23"/>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Pr>
        <w:tab/>
      </w:r>
      <w:r w:rsidRPr="00A309A0">
        <w:rPr>
          <w:rFonts w:ascii="Cambria Math" w:hAnsi="Cambria Math" w:hint="cs"/>
          <w:sz w:val="23"/>
          <w:szCs w:val="23"/>
          <w:rtl/>
        </w:rPr>
        <w:t>(۲. ۳۷)</w:t>
      </w:r>
      <w:r w:rsidRPr="00A309A0">
        <w:rPr>
          <w:rFonts w:ascii="Cambria Math" w:hAnsi="Cambria Math" w:hint="cs"/>
          <w:sz w:val="23"/>
          <w:szCs w:val="23"/>
        </w:rPr>
        <w:t xml:space="preserve"> </w:t>
      </w:r>
    </w:p>
    <w:p w14:paraId="1DAC5EB8" w14:textId="77777777" w:rsidR="00411620" w:rsidRPr="00A309A0" w:rsidRDefault="00411620" w:rsidP="00411620">
      <w:pPr>
        <w:tabs>
          <w:tab w:val="left" w:pos="0"/>
        </w:tabs>
        <w:spacing w:line="216" w:lineRule="auto"/>
        <w:rPr>
          <w:rFonts w:ascii="Cambria Math" w:hAnsi="Cambria Math"/>
          <w:sz w:val="23"/>
          <w:szCs w:val="23"/>
          <w:rtl/>
        </w:rPr>
      </w:pPr>
      <w:r w:rsidRPr="00A309A0">
        <w:rPr>
          <w:rFonts w:ascii="Cambria Math" w:hAnsi="Cambria Math" w:hint="cs"/>
          <w:sz w:val="23"/>
          <w:szCs w:val="23"/>
          <w:rtl/>
        </w:rPr>
        <w:t xml:space="preserve">در </w:t>
      </w:r>
      <w:r w:rsidRPr="00A309A0">
        <w:rPr>
          <w:rFonts w:ascii="Cambria Math" w:hAnsi="Cambria Math"/>
          <w:sz w:val="23"/>
          <w:szCs w:val="23"/>
          <w:rtl/>
        </w:rPr>
        <w:t>صورت عدم وجود هزینه</w:t>
      </w:r>
      <w:r w:rsidRPr="00A309A0">
        <w:rPr>
          <w:rFonts w:ascii="Cambria Math" w:hAnsi="Cambria Math"/>
          <w:sz w:val="23"/>
          <w:szCs w:val="23"/>
          <w:rtl/>
        </w:rPr>
        <w:softHyphen/>
        <w:t>های نصب و راه</w:t>
      </w:r>
      <w:r w:rsidRPr="00A309A0">
        <w:rPr>
          <w:rFonts w:ascii="Cambria Math" w:hAnsi="Cambria Math"/>
          <w:sz w:val="23"/>
          <w:szCs w:val="23"/>
          <w:rtl/>
        </w:rPr>
        <w:softHyphen/>
        <w:t xml:space="preserve">اندازی، </w:t>
      </w:r>
      <w:r w:rsidRPr="00B92922">
        <w:rPr>
          <w:position w:val="-10"/>
        </w:rPr>
        <w:object w:dxaOrig="520" w:dyaOrig="300" w14:anchorId="1E893181">
          <v:shape id="_x0000_i1444" type="#_x0000_t75" style="width:26pt;height:15.15pt" o:ole="">
            <v:imagedata r:id="rId862" o:title=""/>
          </v:shape>
          <o:OLEObject Type="Embed" ProgID="Equation.DSMT4" ShapeID="_x0000_i1444" DrawAspect="Content" ObjectID="_1791375388" r:id="rId863"/>
        </w:object>
      </w:r>
      <w:r w:rsidRPr="00A309A0">
        <w:rPr>
          <w:rFonts w:ascii="Cambria Math" w:hAnsi="Cambria Math"/>
          <w:sz w:val="23"/>
          <w:szCs w:val="23"/>
          <w:rtl/>
        </w:rPr>
        <w:t xml:space="preserve"> و در نتیجه </w:t>
      </w:r>
      <w:r w:rsidRPr="00B92922">
        <w:rPr>
          <w:position w:val="-10"/>
        </w:rPr>
        <w:object w:dxaOrig="560" w:dyaOrig="320" w14:anchorId="103CDCD6">
          <v:shape id="_x0000_i1445" type="#_x0000_t75" style="width:27.85pt;height:15.75pt" o:ole="">
            <v:imagedata r:id="rId864" o:title=""/>
          </v:shape>
          <o:OLEObject Type="Embed" ProgID="Equation.DSMT4" ShapeID="_x0000_i1445" DrawAspect="Content" ObjectID="_1791375389" r:id="rId865"/>
        </w:object>
      </w:r>
      <w:r w:rsidRPr="00A309A0">
        <w:rPr>
          <w:rFonts w:ascii="Cambria Math" w:hAnsi="Cambria Math"/>
          <w:sz w:val="23"/>
          <w:szCs w:val="23"/>
          <w:rtl/>
        </w:rPr>
        <w:t xml:space="preserve"> و </w:t>
      </w:r>
      <w:r w:rsidRPr="00B92922">
        <w:rPr>
          <w:position w:val="-10"/>
        </w:rPr>
        <w:object w:dxaOrig="980" w:dyaOrig="320" w14:anchorId="09F0AF59">
          <v:shape id="_x0000_i1446" type="#_x0000_t75" style="width:49pt;height:15.75pt" o:ole="">
            <v:imagedata r:id="rId866" o:title=""/>
          </v:shape>
          <o:OLEObject Type="Embed" ProgID="Equation.DSMT4" ShapeID="_x0000_i1446" DrawAspect="Content" ObjectID="_1791375390" r:id="rId867"/>
        </w:object>
      </w:r>
      <w:r w:rsidRPr="00A309A0">
        <w:rPr>
          <w:rFonts w:hint="cs"/>
          <w:sz w:val="23"/>
          <w:szCs w:val="23"/>
          <w:rtl/>
        </w:rPr>
        <w:t xml:space="preserve"> </w:t>
      </w:r>
      <w:r w:rsidRPr="00A309A0">
        <w:rPr>
          <w:rFonts w:ascii="Cambria Math" w:hAnsi="Cambria Math" w:hint="cs"/>
          <w:sz w:val="23"/>
          <w:szCs w:val="23"/>
          <w:rtl/>
        </w:rPr>
        <w:t>می</w:t>
      </w:r>
      <w:r w:rsidRPr="00A309A0">
        <w:rPr>
          <w:rFonts w:ascii="Cambria Math" w:hAnsi="Cambria Math"/>
          <w:sz w:val="23"/>
          <w:szCs w:val="23"/>
          <w:rtl/>
        </w:rPr>
        <w:softHyphen/>
      </w:r>
      <w:r w:rsidRPr="00A309A0">
        <w:rPr>
          <w:rFonts w:ascii="Cambria Math" w:hAnsi="Cambria Math" w:hint="cs"/>
          <w:sz w:val="23"/>
          <w:szCs w:val="23"/>
          <w:rtl/>
        </w:rPr>
        <w:t>باشد</w:t>
      </w:r>
      <w:r w:rsidRPr="00A309A0">
        <w:rPr>
          <w:rFonts w:ascii="Cambria Math" w:hAnsi="Cambria Math"/>
          <w:sz w:val="23"/>
          <w:szCs w:val="23"/>
          <w:rtl/>
        </w:rPr>
        <w:t xml:space="preserve">. نتایج بدست آمده مشابه نتایج </w:t>
      </w:r>
      <w:r w:rsidRPr="00A309A0">
        <w:rPr>
          <w:rFonts w:ascii="Cambria Math" w:hAnsi="Cambria Math" w:hint="cs"/>
          <w:sz w:val="23"/>
          <w:szCs w:val="23"/>
          <w:rtl/>
        </w:rPr>
        <w:t xml:space="preserve">حل بهینه در </w:t>
      </w:r>
      <w:r w:rsidRPr="00A309A0">
        <w:rPr>
          <w:rFonts w:ascii="Cambria Math" w:hAnsi="Cambria Math"/>
          <w:sz w:val="23"/>
          <w:szCs w:val="23"/>
          <w:rtl/>
        </w:rPr>
        <w:t xml:space="preserve">مدل اولیه است. با توجه به نمودار </w:t>
      </w:r>
      <w:r w:rsidRPr="00A309A0">
        <w:rPr>
          <w:rFonts w:ascii="Cambria Math" w:hAnsi="Cambria Math" w:hint="cs"/>
          <w:sz w:val="23"/>
          <w:szCs w:val="23"/>
          <w:rtl/>
        </w:rPr>
        <w:t>۲. ۵</w:t>
      </w:r>
      <w:r w:rsidRPr="00A309A0">
        <w:rPr>
          <w:rFonts w:ascii="Cambria Math" w:hAnsi="Cambria Math"/>
          <w:sz w:val="23"/>
          <w:szCs w:val="23"/>
          <w:rtl/>
        </w:rPr>
        <w:t xml:space="preserve">، </w:t>
      </w:r>
      <w:r w:rsidRPr="00A309A0">
        <w:rPr>
          <w:rFonts w:ascii="Cambria Math" w:hAnsi="Cambria Math" w:hint="cs"/>
          <w:sz w:val="23"/>
          <w:szCs w:val="23"/>
          <w:rtl/>
        </w:rPr>
        <w:t>اگر</w:t>
      </w:r>
      <w:r w:rsidRPr="00B92922">
        <w:rPr>
          <w:position w:val="-10"/>
        </w:rPr>
        <w:object w:dxaOrig="980" w:dyaOrig="320" w14:anchorId="7183A63F">
          <v:shape id="_x0000_i1447" type="#_x0000_t75" style="width:49pt;height:15.75pt" o:ole="">
            <v:imagedata r:id="rId868" o:title=""/>
          </v:shape>
          <o:OLEObject Type="Embed" ProgID="Equation.DSMT4" ShapeID="_x0000_i1447" DrawAspect="Content" ObjectID="_1791375391" r:id="rId869"/>
        </w:object>
      </w:r>
      <w:r w:rsidRPr="00A309A0">
        <w:rPr>
          <w:rFonts w:hint="cs"/>
          <w:sz w:val="23"/>
          <w:szCs w:val="23"/>
          <w:rtl/>
        </w:rPr>
        <w:t>باشد</w:t>
      </w:r>
      <w:r w:rsidRPr="00A309A0">
        <w:rPr>
          <w:rFonts w:ascii="Cambria Math" w:hAnsi="Cambria Math"/>
          <w:sz w:val="23"/>
          <w:szCs w:val="23"/>
          <w:rtl/>
        </w:rPr>
        <w:t xml:space="preserve">، </w:t>
      </w:r>
      <w:r w:rsidRPr="00A309A0">
        <w:rPr>
          <w:rFonts w:ascii="Cambria Math" w:hAnsi="Cambria Math" w:hint="cs"/>
          <w:sz w:val="23"/>
          <w:szCs w:val="23"/>
          <w:rtl/>
        </w:rPr>
        <w:t xml:space="preserve">آنگاه </w:t>
      </w:r>
      <w:r w:rsidRPr="00A309A0">
        <w:rPr>
          <w:rFonts w:ascii="Cambria Math" w:hAnsi="Cambria Math"/>
          <w:sz w:val="23"/>
          <w:szCs w:val="23"/>
          <w:rtl/>
        </w:rPr>
        <w:t>موجودی سرمایه</w:t>
      </w:r>
      <w:r w:rsidRPr="00A309A0">
        <w:rPr>
          <w:rFonts w:ascii="Cambria Math" w:hAnsi="Cambria Math"/>
          <w:sz w:val="23"/>
          <w:szCs w:val="23"/>
          <w:rtl/>
        </w:rPr>
        <w:softHyphen/>
        <w:t>ی مورد نیاز</w:t>
      </w:r>
      <w:r w:rsidRPr="00A309A0">
        <w:rPr>
          <w:rFonts w:ascii="Cambria Math" w:hAnsi="Cambria Math" w:hint="cs"/>
          <w:sz w:val="23"/>
          <w:szCs w:val="23"/>
          <w:rtl/>
        </w:rPr>
        <w:t>ِ</w:t>
      </w:r>
      <w:r w:rsidRPr="00A309A0">
        <w:rPr>
          <w:rFonts w:ascii="Cambria Math" w:hAnsi="Cambria Math"/>
          <w:sz w:val="23"/>
          <w:szCs w:val="23"/>
          <w:rtl/>
        </w:rPr>
        <w:t xml:space="preserve"> پایدار کاهش می</w:t>
      </w:r>
      <w:r w:rsidRPr="00A309A0">
        <w:rPr>
          <w:rFonts w:ascii="Cambria Math" w:hAnsi="Cambria Math"/>
          <w:sz w:val="23"/>
          <w:szCs w:val="23"/>
          <w:rtl/>
        </w:rPr>
        <w:softHyphen/>
        <w:t>یابد. بنابراین هزینه</w:t>
      </w:r>
      <w:r w:rsidRPr="00A309A0">
        <w:rPr>
          <w:rFonts w:ascii="Cambria Math" w:hAnsi="Cambria Math"/>
          <w:sz w:val="23"/>
          <w:szCs w:val="23"/>
          <w:rtl/>
        </w:rPr>
        <w:softHyphen/>
        <w:t>های نصب و راه</w:t>
      </w:r>
      <w:r w:rsidRPr="00A309A0">
        <w:rPr>
          <w:rFonts w:ascii="Cambria Math" w:hAnsi="Cambria Math"/>
          <w:sz w:val="23"/>
          <w:szCs w:val="23"/>
          <w:rtl/>
        </w:rPr>
        <w:softHyphen/>
        <w:t>اندازی</w:t>
      </w:r>
      <w:r w:rsidRPr="00A309A0">
        <w:rPr>
          <w:rFonts w:ascii="Cambria Math" w:hAnsi="Cambria Math" w:hint="cs"/>
          <w:sz w:val="23"/>
          <w:szCs w:val="23"/>
          <w:rtl/>
        </w:rPr>
        <w:t>،</w:t>
      </w:r>
      <w:r w:rsidRPr="00A309A0">
        <w:rPr>
          <w:rFonts w:ascii="Cambria Math" w:hAnsi="Cambria Math"/>
          <w:sz w:val="23"/>
          <w:szCs w:val="23"/>
          <w:rtl/>
        </w:rPr>
        <w:t xml:space="preserve"> سطح بهینه</w:t>
      </w:r>
      <w:r w:rsidRPr="00A309A0">
        <w:rPr>
          <w:rFonts w:ascii="Cambria Math" w:hAnsi="Cambria Math"/>
          <w:sz w:val="23"/>
          <w:szCs w:val="23"/>
          <w:rtl/>
        </w:rPr>
        <w:softHyphen/>
        <w:t>ی بلندمدت موجودی سرمایه و از این رو سطوح بهینه</w:t>
      </w:r>
      <w:r w:rsidRPr="00A309A0">
        <w:rPr>
          <w:rFonts w:ascii="Cambria Math" w:hAnsi="Cambria Math"/>
          <w:sz w:val="23"/>
          <w:szCs w:val="23"/>
          <w:rtl/>
        </w:rPr>
        <w:softHyphen/>
        <w:t>ی بلندمدت تولید، مصرف و سرمایه‌گذاری را کاهش می‌دهد. زیرا هزینه</w:t>
      </w:r>
      <w:r w:rsidRPr="00A309A0">
        <w:rPr>
          <w:rFonts w:ascii="Cambria Math" w:hAnsi="Cambria Math"/>
          <w:sz w:val="23"/>
          <w:szCs w:val="23"/>
          <w:rtl/>
        </w:rPr>
        <w:softHyphen/>
        <w:t>های نصب و راه</w:t>
      </w:r>
      <w:r w:rsidRPr="00A309A0">
        <w:rPr>
          <w:rFonts w:ascii="Cambria Math" w:hAnsi="Cambria Math"/>
          <w:sz w:val="23"/>
          <w:szCs w:val="23"/>
          <w:rtl/>
        </w:rPr>
        <w:softHyphen/>
        <w:t xml:space="preserve">اندازی منابع در دسترس برای مصرف و سرمایه‌گذاری را کاهش </w:t>
      </w:r>
      <w:r w:rsidRPr="00A309A0">
        <w:rPr>
          <w:rFonts w:ascii="Cambria Math" w:hAnsi="Cambria Math" w:hint="cs"/>
          <w:sz w:val="23"/>
          <w:szCs w:val="23"/>
          <w:rtl/>
        </w:rPr>
        <w:t>خواهد داد</w:t>
      </w:r>
      <w:r w:rsidRPr="00A309A0">
        <w:rPr>
          <w:rFonts w:ascii="Cambria Math" w:hAnsi="Cambria Math"/>
          <w:sz w:val="23"/>
          <w:szCs w:val="23"/>
          <w:rtl/>
        </w:rPr>
        <w:t xml:space="preserve">. </w:t>
      </w:r>
    </w:p>
    <w:p w14:paraId="78BA7D53" w14:textId="77777777" w:rsidR="00411620" w:rsidRPr="00A309A0" w:rsidRDefault="00411620" w:rsidP="00411620">
      <w:pPr>
        <w:spacing w:line="216" w:lineRule="auto"/>
        <w:rPr>
          <w:rFonts w:ascii="Cambria Math" w:eastAsiaTheme="minorEastAsia" w:hAnsi="Cambria Math"/>
          <w:sz w:val="23"/>
          <w:szCs w:val="23"/>
          <w:rtl/>
          <w:lang w:val="en-GB"/>
        </w:rPr>
      </w:pPr>
      <w:r w:rsidRPr="00A309A0">
        <w:rPr>
          <w:rFonts w:ascii="Cambria Math" w:hAnsi="Cambria Math"/>
          <w:sz w:val="23"/>
          <w:szCs w:val="23"/>
          <w:rtl/>
        </w:rPr>
        <w:t>چنانچه مقادیر</w:t>
      </w:r>
      <w:r w:rsidRPr="00B92922">
        <w:rPr>
          <w:position w:val="-8"/>
        </w:rPr>
        <w:object w:dxaOrig="260" w:dyaOrig="320" w14:anchorId="628DB293">
          <v:shape id="_x0000_i1448" type="#_x0000_t75" style="width:13.3pt;height:15.75pt" o:ole="">
            <v:imagedata r:id="rId870" o:title=""/>
          </v:shape>
          <o:OLEObject Type="Embed" ProgID="Equation.DSMT4" ShapeID="_x0000_i1448" DrawAspect="Content" ObjectID="_1791375392" r:id="rId871"/>
        </w:object>
      </w:r>
      <w:r w:rsidRPr="00A309A0">
        <w:rPr>
          <w:rFonts w:ascii="Cambria Math" w:eastAsiaTheme="minorEastAsia" w:hAnsi="Cambria Math"/>
          <w:sz w:val="23"/>
          <w:szCs w:val="23"/>
          <w:rtl/>
          <w:lang w:val="en-GB"/>
        </w:rPr>
        <w:t xml:space="preserve"> و</w:t>
      </w:r>
      <w:r w:rsidRPr="00B92922">
        <w:rPr>
          <w:position w:val="-6"/>
        </w:rPr>
        <w:object w:dxaOrig="260" w:dyaOrig="300" w14:anchorId="71089C9F">
          <v:shape id="_x0000_i1449" type="#_x0000_t75" style="width:13.3pt;height:15.15pt" o:ole="">
            <v:imagedata r:id="rId872" o:title=""/>
          </v:shape>
          <o:OLEObject Type="Embed" ProgID="Equation.DSMT4" ShapeID="_x0000_i1449" DrawAspect="Content" ObjectID="_1791375393" r:id="rId873"/>
        </w:object>
      </w:r>
      <w:r w:rsidRPr="00A309A0">
        <w:rPr>
          <w:rFonts w:ascii="Cambria Math" w:hAnsi="Cambria Math" w:hint="cs"/>
          <w:sz w:val="23"/>
          <w:szCs w:val="23"/>
          <w:rtl/>
        </w:rPr>
        <w:t xml:space="preserve"> </w:t>
      </w:r>
      <w:r w:rsidRPr="00A309A0">
        <w:rPr>
          <w:rFonts w:ascii="Cambria Math" w:eastAsiaTheme="minorEastAsia" w:hAnsi="Cambria Math"/>
          <w:sz w:val="23"/>
          <w:szCs w:val="23"/>
          <w:rtl/>
          <w:lang w:val="en-GB"/>
        </w:rPr>
        <w:t>را در رابطه</w:t>
      </w:r>
      <w:r w:rsidRPr="00A309A0">
        <w:rPr>
          <w:rFonts w:ascii="Cambria Math" w:eastAsiaTheme="minorEastAsia" w:hAnsi="Cambria Math"/>
          <w:sz w:val="23"/>
          <w:szCs w:val="23"/>
          <w:rtl/>
          <w:lang w:val="en-GB"/>
        </w:rPr>
        <w:softHyphen/>
        <w:t xml:space="preserve">ی </w:t>
      </w:r>
      <w:r w:rsidRPr="00A309A0">
        <w:rPr>
          <w:rFonts w:ascii="Cambria Math" w:eastAsiaTheme="minorEastAsia" w:hAnsi="Cambria Math" w:hint="cs"/>
          <w:sz w:val="23"/>
          <w:szCs w:val="23"/>
          <w:rtl/>
          <w:lang w:val="en-GB"/>
        </w:rPr>
        <w:t xml:space="preserve">(۲. ۳۳) </w:t>
      </w:r>
      <w:r w:rsidRPr="00A309A0">
        <w:rPr>
          <w:rFonts w:ascii="Cambria Math" w:eastAsiaTheme="minorEastAsia" w:hAnsi="Cambria Math"/>
          <w:sz w:val="23"/>
          <w:szCs w:val="23"/>
          <w:rtl/>
          <w:lang w:val="en-GB"/>
        </w:rPr>
        <w:t>جایگ</w:t>
      </w:r>
      <w:r w:rsidRPr="00A309A0">
        <w:rPr>
          <w:rFonts w:ascii="Cambria Math" w:eastAsiaTheme="minorEastAsia" w:hAnsi="Cambria Math" w:hint="cs"/>
          <w:sz w:val="23"/>
          <w:szCs w:val="23"/>
          <w:rtl/>
          <w:lang w:val="en-GB"/>
        </w:rPr>
        <w:t>ز</w:t>
      </w:r>
      <w:r w:rsidRPr="00A309A0">
        <w:rPr>
          <w:rFonts w:ascii="Cambria Math" w:eastAsiaTheme="minorEastAsia" w:hAnsi="Cambria Math"/>
          <w:sz w:val="23"/>
          <w:szCs w:val="23"/>
          <w:rtl/>
          <w:lang w:val="en-GB"/>
        </w:rPr>
        <w:t>اری کنیم سطح بهینه</w:t>
      </w:r>
      <w:r w:rsidRPr="00A309A0">
        <w:rPr>
          <w:rFonts w:ascii="Cambria Math" w:eastAsiaTheme="minorEastAsia" w:hAnsi="Cambria Math"/>
          <w:sz w:val="23"/>
          <w:szCs w:val="23"/>
          <w:rtl/>
          <w:lang w:val="en-GB"/>
        </w:rPr>
        <w:softHyphen/>
        <w:t>ی</w:t>
      </w:r>
      <w:r w:rsidRPr="00B92922">
        <w:rPr>
          <w:position w:val="-6"/>
        </w:rPr>
        <w:object w:dxaOrig="200" w:dyaOrig="300" w14:anchorId="726D7D30">
          <v:shape id="_x0000_i1450" type="#_x0000_t75" style="width:10.3pt;height:15.15pt" o:ole="">
            <v:imagedata r:id="rId874" o:title=""/>
          </v:shape>
          <o:OLEObject Type="Embed" ProgID="Equation.DSMT4" ShapeID="_x0000_i1450" DrawAspect="Content" ObjectID="_1791375394" r:id="rId875"/>
        </w:object>
      </w:r>
      <w:r w:rsidRPr="00A309A0">
        <w:rPr>
          <w:rFonts w:ascii="Cambria Math" w:eastAsiaTheme="minorEastAsia" w:hAnsi="Cambria Math"/>
          <w:sz w:val="23"/>
          <w:szCs w:val="23"/>
          <w:rtl/>
          <w:lang w:val="en-GB"/>
        </w:rPr>
        <w:t xml:space="preserve"> بدست آمده، و با جایگزاری</w:t>
      </w:r>
      <w:r w:rsidRPr="00B92922">
        <w:rPr>
          <w:position w:val="-6"/>
        </w:rPr>
        <w:object w:dxaOrig="200" w:dyaOrig="300" w14:anchorId="6D689D56">
          <v:shape id="_x0000_i1451" type="#_x0000_t75" style="width:10.3pt;height:15.15pt" o:ole="">
            <v:imagedata r:id="rId876" o:title=""/>
          </v:shape>
          <o:OLEObject Type="Embed" ProgID="Equation.DSMT4" ShapeID="_x0000_i1451" DrawAspect="Content" ObjectID="_1791375395" r:id="rId877"/>
        </w:object>
      </w:r>
      <w:r w:rsidRPr="00A309A0">
        <w:rPr>
          <w:rFonts w:ascii="Cambria Math" w:eastAsiaTheme="minorEastAsia" w:hAnsi="Cambria Math"/>
          <w:sz w:val="23"/>
          <w:szCs w:val="23"/>
          <w:rtl/>
          <w:lang w:val="en-GB"/>
        </w:rPr>
        <w:t xml:space="preserve"> و</w:t>
      </w:r>
      <w:r w:rsidRPr="00B92922">
        <w:rPr>
          <w:position w:val="-6"/>
        </w:rPr>
        <w:object w:dxaOrig="260" w:dyaOrig="300" w14:anchorId="6168D2AB">
          <v:shape id="_x0000_i1452" type="#_x0000_t75" style="width:13.3pt;height:15.15pt" o:ole="">
            <v:imagedata r:id="rId878" o:title=""/>
          </v:shape>
          <o:OLEObject Type="Embed" ProgID="Equation.DSMT4" ShapeID="_x0000_i1452" DrawAspect="Content" ObjectID="_1791375396" r:id="rId879"/>
        </w:object>
      </w:r>
      <w:r w:rsidRPr="00A309A0">
        <w:rPr>
          <w:rFonts w:ascii="Cambria Math" w:hAnsi="Cambria Math" w:hint="cs"/>
          <w:sz w:val="23"/>
          <w:szCs w:val="23"/>
          <w:rtl/>
        </w:rPr>
        <w:t xml:space="preserve"> </w:t>
      </w:r>
      <w:r w:rsidRPr="00A309A0">
        <w:rPr>
          <w:rFonts w:ascii="Cambria Math" w:eastAsiaTheme="minorEastAsia" w:hAnsi="Cambria Math"/>
          <w:sz w:val="23"/>
          <w:szCs w:val="23"/>
          <w:rtl/>
          <w:lang w:val="en-GB"/>
        </w:rPr>
        <w:t>در رابطه</w:t>
      </w:r>
      <w:r w:rsidRPr="00A309A0">
        <w:rPr>
          <w:rFonts w:ascii="Cambria Math" w:eastAsiaTheme="minorEastAsia" w:hAnsi="Cambria Math"/>
          <w:sz w:val="23"/>
          <w:szCs w:val="23"/>
          <w:rtl/>
          <w:lang w:val="en-GB"/>
        </w:rPr>
        <w:softHyphen/>
        <w:t xml:space="preserve">ی </w:t>
      </w:r>
      <w:r w:rsidRPr="00A309A0">
        <w:rPr>
          <w:rFonts w:ascii="Cambria Math" w:eastAsiaTheme="minorEastAsia" w:hAnsi="Cambria Math" w:hint="cs"/>
          <w:sz w:val="23"/>
          <w:szCs w:val="23"/>
          <w:rtl/>
          <w:lang w:val="en-GB"/>
        </w:rPr>
        <w:t xml:space="preserve">(۲. ۳۲) </w:t>
      </w:r>
      <w:r w:rsidRPr="00A309A0">
        <w:rPr>
          <w:rFonts w:ascii="Cambria Math" w:eastAsiaTheme="minorEastAsia" w:hAnsi="Cambria Math"/>
          <w:sz w:val="23"/>
          <w:szCs w:val="23"/>
          <w:rtl/>
          <w:lang w:val="en-GB"/>
        </w:rPr>
        <w:t>مقدار تعادلی بلندمدت متغیر</w:t>
      </w:r>
      <w:r w:rsidRPr="00B92922">
        <w:rPr>
          <w:position w:val="-6"/>
        </w:rPr>
        <w:object w:dxaOrig="240" w:dyaOrig="300" w14:anchorId="0D66CFA7">
          <v:shape id="_x0000_i1453" type="#_x0000_t75" style="width:12.1pt;height:15.15pt" o:ole="">
            <v:imagedata r:id="rId880" o:title=""/>
          </v:shape>
          <o:OLEObject Type="Embed" ProgID="Equation.DSMT4" ShapeID="_x0000_i1453" DrawAspect="Content" ObjectID="_1791375397" r:id="rId881"/>
        </w:object>
      </w:r>
      <w:r w:rsidRPr="00A309A0">
        <w:rPr>
          <w:rFonts w:ascii="Cambria Math" w:hAnsi="Cambria Math" w:hint="cs"/>
          <w:sz w:val="23"/>
          <w:szCs w:val="23"/>
          <w:rtl/>
        </w:rPr>
        <w:t xml:space="preserve"> </w:t>
      </w:r>
      <w:r w:rsidRPr="00A309A0">
        <w:rPr>
          <w:rFonts w:ascii="Cambria Math" w:eastAsiaTheme="minorEastAsia" w:hAnsi="Cambria Math"/>
          <w:sz w:val="23"/>
          <w:szCs w:val="23"/>
          <w:rtl/>
          <w:lang w:val="en-GB"/>
        </w:rPr>
        <w:t>بدست خواهد آمد.</w:t>
      </w:r>
    </w:p>
    <w:p w14:paraId="2566DA1B" w14:textId="77777777" w:rsidR="00411620" w:rsidRPr="00A309A0" w:rsidRDefault="00411620" w:rsidP="00411620">
      <w:pPr>
        <w:spacing w:line="216" w:lineRule="auto"/>
        <w:rPr>
          <w:rFonts w:ascii="Cambria Math" w:hAnsi="Cambria Math"/>
          <w:sz w:val="23"/>
          <w:szCs w:val="23"/>
        </w:rPr>
      </w:pPr>
    </w:p>
    <w:p w14:paraId="75CA0882" w14:textId="77777777" w:rsidR="00411620" w:rsidRPr="00A309A0" w:rsidRDefault="00411620" w:rsidP="00411620">
      <w:pPr>
        <w:spacing w:line="216" w:lineRule="auto"/>
        <w:rPr>
          <w:rFonts w:ascii="Cambria Math" w:hAnsi="Cambria Math"/>
          <w:b/>
          <w:bCs/>
          <w:sz w:val="23"/>
          <w:szCs w:val="23"/>
          <w:rtl/>
        </w:rPr>
      </w:pPr>
      <w:r w:rsidRPr="00A309A0">
        <w:rPr>
          <w:rFonts w:ascii="Cambria Math" w:hAnsi="Cambria Math"/>
          <w:b/>
          <w:bCs/>
          <w:sz w:val="23"/>
          <w:szCs w:val="23"/>
          <w:rtl/>
        </w:rPr>
        <w:t>پویایی</w:t>
      </w:r>
      <w:r w:rsidRPr="00A309A0">
        <w:rPr>
          <w:rFonts w:ascii="Cambria Math" w:hAnsi="Cambria Math"/>
          <w:b/>
          <w:bCs/>
          <w:sz w:val="23"/>
          <w:szCs w:val="23"/>
          <w:rtl/>
        </w:rPr>
        <w:softHyphen/>
        <w:t>های کوتاه</w:t>
      </w:r>
      <w:r w:rsidRPr="00A309A0">
        <w:rPr>
          <w:rFonts w:ascii="Cambria Math" w:hAnsi="Cambria Math"/>
          <w:b/>
          <w:bCs/>
          <w:sz w:val="23"/>
          <w:szCs w:val="23"/>
          <w:rtl/>
        </w:rPr>
        <w:softHyphen/>
        <w:t xml:space="preserve">مدت </w:t>
      </w:r>
    </w:p>
    <w:p w14:paraId="62B56719" w14:textId="77777777" w:rsidR="00411620" w:rsidRPr="00A309A0" w:rsidRDefault="00411620" w:rsidP="00411620">
      <w:pPr>
        <w:spacing w:line="216" w:lineRule="auto"/>
        <w:rPr>
          <w:rFonts w:ascii="Cambria Math" w:hAnsi="Cambria Math"/>
          <w:sz w:val="23"/>
          <w:szCs w:val="23"/>
        </w:rPr>
      </w:pPr>
      <w:r w:rsidRPr="00A309A0">
        <w:rPr>
          <w:rFonts w:ascii="Cambria Math" w:hAnsi="Cambria Math"/>
          <w:sz w:val="23"/>
          <w:szCs w:val="23"/>
          <w:rtl/>
        </w:rPr>
        <w:t>هزینه</w:t>
      </w:r>
      <w:r w:rsidRPr="00A309A0">
        <w:rPr>
          <w:rFonts w:ascii="Cambria Math" w:hAnsi="Cambria Math"/>
          <w:sz w:val="23"/>
          <w:szCs w:val="23"/>
          <w:rtl/>
        </w:rPr>
        <w:softHyphen/>
        <w:t>های نصب و راه</w:t>
      </w:r>
      <w:r w:rsidRPr="00A309A0">
        <w:rPr>
          <w:rFonts w:ascii="Cambria Math" w:hAnsi="Cambria Math"/>
          <w:sz w:val="23"/>
          <w:szCs w:val="23"/>
          <w:rtl/>
        </w:rPr>
        <w:softHyphen/>
        <w:t>اندازی پویا</w:t>
      </w:r>
      <w:r w:rsidRPr="00A309A0">
        <w:rPr>
          <w:rFonts w:ascii="Cambria Math" w:hAnsi="Cambria Math" w:hint="cs"/>
          <w:sz w:val="23"/>
          <w:szCs w:val="23"/>
          <w:rtl/>
        </w:rPr>
        <w:t>ی</w:t>
      </w:r>
      <w:r w:rsidRPr="00A309A0">
        <w:rPr>
          <w:rFonts w:ascii="Cambria Math" w:hAnsi="Cambria Math"/>
          <w:sz w:val="23"/>
          <w:szCs w:val="23"/>
          <w:rtl/>
        </w:rPr>
        <w:t>ی</w:t>
      </w:r>
      <w:r w:rsidRPr="00A309A0">
        <w:rPr>
          <w:rFonts w:ascii="Cambria Math" w:hAnsi="Cambria Math"/>
          <w:sz w:val="23"/>
          <w:szCs w:val="23"/>
          <w:rtl/>
        </w:rPr>
        <w:softHyphen/>
        <w:t>های کوتاه</w:t>
      </w:r>
      <w:r w:rsidRPr="00A309A0">
        <w:rPr>
          <w:rFonts w:ascii="Cambria Math" w:hAnsi="Cambria Math"/>
          <w:sz w:val="23"/>
          <w:szCs w:val="23"/>
          <w:rtl/>
        </w:rPr>
        <w:softHyphen/>
        <w:t>مدت را نیز تحت تاثیر قرار می‌دهد. به منظور درک بیشتر تاثیر هزینه</w:t>
      </w:r>
      <w:r w:rsidRPr="00A309A0">
        <w:rPr>
          <w:rFonts w:ascii="Cambria Math" w:hAnsi="Cambria Math"/>
          <w:sz w:val="23"/>
          <w:szCs w:val="23"/>
          <w:rtl/>
        </w:rPr>
        <w:softHyphen/>
        <w:t>های نصب بر رفتار پویای مدل، معادله</w:t>
      </w:r>
      <w:r w:rsidRPr="00A309A0">
        <w:rPr>
          <w:rFonts w:ascii="Cambria Math" w:hAnsi="Cambria Math"/>
          <w:sz w:val="23"/>
          <w:szCs w:val="23"/>
          <w:rtl/>
        </w:rPr>
        <w:softHyphen/>
        <w:t xml:space="preserve">ی </w:t>
      </w:r>
      <w:r w:rsidRPr="00A309A0">
        <w:rPr>
          <w:rFonts w:ascii="Cambria Math" w:hAnsi="Cambria Math" w:hint="cs"/>
          <w:sz w:val="23"/>
          <w:szCs w:val="23"/>
          <w:rtl/>
        </w:rPr>
        <w:t>(۲. ۳۵)</w:t>
      </w:r>
      <w:r w:rsidRPr="00A309A0">
        <w:rPr>
          <w:rFonts w:ascii="Cambria Math" w:hAnsi="Cambria Math"/>
          <w:sz w:val="23"/>
          <w:szCs w:val="23"/>
          <w:rtl/>
        </w:rPr>
        <w:t xml:space="preserve"> را بازنویسی می</w:t>
      </w:r>
      <w:r w:rsidRPr="00A309A0">
        <w:rPr>
          <w:rFonts w:ascii="Cambria Math" w:hAnsi="Cambria Math"/>
          <w:sz w:val="23"/>
          <w:szCs w:val="23"/>
          <w:rtl/>
        </w:rPr>
        <w:softHyphen/>
        <w:t>کنیم. لذا</w:t>
      </w:r>
    </w:p>
    <w:p w14:paraId="64411E4B" w14:textId="77777777" w:rsidR="00411620" w:rsidRPr="00A309A0" w:rsidRDefault="00411620" w:rsidP="00411620">
      <w:pPr>
        <w:pStyle w:val="MTDisplayEquation"/>
        <w:spacing w:line="216" w:lineRule="auto"/>
        <w:rPr>
          <w:rFonts w:ascii="Cambria Math" w:hAnsi="Cambria Math" w:cs="B Nazanin"/>
          <w:sz w:val="23"/>
          <w:szCs w:val="23"/>
          <w:rtl/>
          <w:lang w:bidi="fa-IR"/>
        </w:rPr>
      </w:pPr>
      <w:r w:rsidRPr="00B92922">
        <w:rPr>
          <w:position w:val="-30"/>
        </w:rPr>
        <w:object w:dxaOrig="3980" w:dyaOrig="680" w14:anchorId="3C38F1DD">
          <v:shape id="_x0000_i1454" type="#_x0000_t75" style="width:198.45pt;height:33.9pt" o:ole="">
            <v:imagedata r:id="rId882" o:title=""/>
          </v:shape>
          <o:OLEObject Type="Embed" ProgID="Equation.DSMT4" ShapeID="_x0000_i1454" DrawAspect="Content" ObjectID="_1791375398" r:id="rId883"/>
        </w:object>
      </w:r>
    </w:p>
    <w:p w14:paraId="313418E2" w14:textId="77777777" w:rsidR="00411620" w:rsidRPr="00A309A0" w:rsidRDefault="00411620" w:rsidP="00411620">
      <w:pPr>
        <w:spacing w:line="216" w:lineRule="auto"/>
        <w:rPr>
          <w:rFonts w:ascii="Cambria Math" w:eastAsiaTheme="minorEastAsia" w:hAnsi="Cambria Math"/>
          <w:sz w:val="23"/>
          <w:szCs w:val="23"/>
          <w:rtl/>
          <w:lang w:val="en-GB"/>
        </w:rPr>
      </w:pPr>
      <w:r w:rsidRPr="00A309A0">
        <w:rPr>
          <w:rFonts w:ascii="Cambria Math" w:hAnsi="Cambria Math"/>
          <w:sz w:val="23"/>
          <w:szCs w:val="23"/>
          <w:rtl/>
        </w:rPr>
        <w:lastRenderedPageBreak/>
        <w:t>از تقریب خطی</w:t>
      </w:r>
      <w:r w:rsidRPr="00A309A0">
        <w:rPr>
          <w:rStyle w:val="FootnoteReference"/>
          <w:rFonts w:ascii="Cambria Math" w:eastAsiaTheme="majorEastAsia" w:hAnsi="Cambria Math"/>
          <w:sz w:val="23"/>
          <w:szCs w:val="23"/>
          <w:rtl/>
        </w:rPr>
        <w:footnoteReference w:id="92"/>
      </w:r>
      <w:r w:rsidRPr="00A309A0">
        <w:rPr>
          <w:rFonts w:ascii="Cambria Math" w:hAnsi="Cambria Math"/>
          <w:sz w:val="23"/>
          <w:szCs w:val="23"/>
          <w:rtl/>
        </w:rPr>
        <w:t>معادله</w:t>
      </w:r>
      <w:r w:rsidRPr="00A309A0">
        <w:rPr>
          <w:rFonts w:ascii="Cambria Math" w:hAnsi="Cambria Math"/>
          <w:sz w:val="23"/>
          <w:szCs w:val="23"/>
          <w:rtl/>
        </w:rPr>
        <w:softHyphen/>
        <w:t xml:space="preserve">ی فوق </w:t>
      </w:r>
      <w:r w:rsidRPr="00A309A0">
        <w:rPr>
          <w:rFonts w:ascii="Cambria Math" w:hAnsi="Cambria Math" w:hint="cs"/>
          <w:sz w:val="23"/>
          <w:szCs w:val="23"/>
          <w:rtl/>
        </w:rPr>
        <w:t>و همچنین</w:t>
      </w:r>
      <w:r w:rsidRPr="00A309A0">
        <w:rPr>
          <w:rFonts w:ascii="Cambria Math" w:hAnsi="Cambria Math"/>
          <w:sz w:val="23"/>
          <w:szCs w:val="23"/>
          <w:rtl/>
        </w:rPr>
        <w:t xml:space="preserve"> </w:t>
      </w:r>
      <w:r w:rsidRPr="00B92922">
        <w:rPr>
          <w:position w:val="-10"/>
        </w:rPr>
        <w:object w:dxaOrig="1020" w:dyaOrig="340" w14:anchorId="6FA38DF7">
          <v:shape id="_x0000_i1455" type="#_x0000_t75" style="width:50.8pt;height:16.95pt" o:ole="">
            <v:imagedata r:id="rId884" o:title=""/>
          </v:shape>
          <o:OLEObject Type="Embed" ProgID="Equation.DSMT4" ShapeID="_x0000_i1455" DrawAspect="Content" ObjectID="_1791375399" r:id="rId885"/>
        </w:object>
      </w:r>
      <w:r w:rsidRPr="00A309A0">
        <w:rPr>
          <w:rFonts w:ascii="Cambria Math" w:eastAsiaTheme="minorEastAsia" w:hAnsi="Cambria Math"/>
          <w:sz w:val="23"/>
          <w:szCs w:val="23"/>
          <w:rtl/>
          <w:lang w:val="en-GB"/>
        </w:rPr>
        <w:t xml:space="preserve">، و </w:t>
      </w:r>
      <w:r w:rsidRPr="00A309A0">
        <w:rPr>
          <w:rFonts w:ascii="Cambria Math" w:eastAsiaTheme="minorEastAsia" w:hAnsi="Cambria Math" w:hint="cs"/>
          <w:sz w:val="23"/>
          <w:szCs w:val="23"/>
          <w:rtl/>
          <w:lang w:val="en-GB"/>
        </w:rPr>
        <w:t>این</w:t>
      </w:r>
      <w:r w:rsidRPr="00A309A0">
        <w:rPr>
          <w:rFonts w:ascii="Cambria Math" w:eastAsiaTheme="minorEastAsia" w:hAnsi="Cambria Math"/>
          <w:sz w:val="23"/>
          <w:szCs w:val="23"/>
          <w:rtl/>
          <w:lang w:val="en-GB"/>
        </w:rPr>
        <w:softHyphen/>
      </w:r>
      <w:r w:rsidRPr="00A309A0">
        <w:rPr>
          <w:rFonts w:ascii="Cambria Math" w:eastAsiaTheme="minorEastAsia" w:hAnsi="Cambria Math" w:hint="cs"/>
          <w:sz w:val="23"/>
          <w:szCs w:val="23"/>
          <w:rtl/>
          <w:lang w:val="en-GB"/>
        </w:rPr>
        <w:t xml:space="preserve">که در </w:t>
      </w:r>
      <w:r w:rsidRPr="00A309A0">
        <w:rPr>
          <w:rFonts w:ascii="Cambria Math" w:eastAsiaTheme="minorEastAsia" w:hAnsi="Cambria Math"/>
          <w:sz w:val="23"/>
          <w:szCs w:val="23"/>
          <w:rtl/>
          <w:lang w:val="en-GB"/>
        </w:rPr>
        <w:t xml:space="preserve">وضعیت یکنواخت برای مصرف </w:t>
      </w:r>
      <w:r w:rsidRPr="00B92922">
        <w:rPr>
          <w:position w:val="-30"/>
        </w:rPr>
        <w:object w:dxaOrig="859" w:dyaOrig="680" w14:anchorId="708A1F09">
          <v:shape id="_x0000_i1456" type="#_x0000_t75" style="width:42.95pt;height:33.9pt" o:ole="">
            <v:imagedata r:id="rId886" o:title=""/>
          </v:shape>
          <o:OLEObject Type="Embed" ProgID="Equation.DSMT4" ShapeID="_x0000_i1456" DrawAspect="Content" ObjectID="_1791375400" r:id="rId887"/>
        </w:object>
      </w:r>
      <w:r w:rsidRPr="00A309A0">
        <w:rPr>
          <w:rFonts w:ascii="Cambria Math" w:hAnsi="Cambria Math" w:hint="cs"/>
          <w:sz w:val="23"/>
          <w:szCs w:val="23"/>
          <w:rtl/>
        </w:rPr>
        <w:t xml:space="preserve">است، </w:t>
      </w:r>
      <w:r w:rsidRPr="00A309A0">
        <w:rPr>
          <w:rFonts w:ascii="Cambria Math" w:eastAsiaTheme="minorEastAsia" w:hAnsi="Cambria Math"/>
          <w:sz w:val="23"/>
          <w:szCs w:val="23"/>
          <w:rtl/>
          <w:lang w:val="en-GB"/>
        </w:rPr>
        <w:t>خواهیم داشت</w:t>
      </w:r>
    </w:p>
    <w:p w14:paraId="36AB76AF" w14:textId="77777777" w:rsidR="00411620" w:rsidRPr="00A309A0" w:rsidRDefault="00411620" w:rsidP="00411620">
      <w:pPr>
        <w:bidi w:val="0"/>
        <w:spacing w:line="216" w:lineRule="auto"/>
        <w:rPr>
          <w:rFonts w:ascii="Cambria Math" w:hAnsi="Cambria Math"/>
          <w:sz w:val="23"/>
          <w:szCs w:val="23"/>
          <w:rtl/>
        </w:rPr>
      </w:pPr>
      <w:r w:rsidRPr="00B92922">
        <w:rPr>
          <w:position w:val="-26"/>
        </w:rPr>
        <w:object w:dxaOrig="3120" w:dyaOrig="620" w14:anchorId="7DD58218">
          <v:shape id="_x0000_i1457" type="#_x0000_t75" style="width:156.1pt;height:30.85pt" o:ole="">
            <v:imagedata r:id="rId888" o:title=""/>
          </v:shape>
          <o:OLEObject Type="Embed" ProgID="Equation.DSMT4" ShapeID="_x0000_i1457" DrawAspect="Content" ObjectID="_1791375401" r:id="rId889"/>
        </w:object>
      </w:r>
    </w:p>
    <w:p w14:paraId="6AF4F695" w14:textId="77777777" w:rsidR="00411620" w:rsidRPr="00A309A0" w:rsidRDefault="00411620" w:rsidP="00411620">
      <w:pPr>
        <w:spacing w:line="216" w:lineRule="auto"/>
        <w:rPr>
          <w:rFonts w:ascii="Cambria Math" w:hAnsi="Cambria Math"/>
          <w:sz w:val="23"/>
          <w:szCs w:val="23"/>
        </w:rPr>
      </w:pPr>
      <w:r w:rsidRPr="00A309A0">
        <w:rPr>
          <w:rFonts w:ascii="Cambria Math" w:hAnsi="Cambria Math"/>
          <w:sz w:val="23"/>
          <w:szCs w:val="23"/>
          <w:rtl/>
        </w:rPr>
        <w:t>با توجه به سطح موجودی سرمایه در وضعیت یکنواخت از معادله</w:t>
      </w:r>
      <w:r w:rsidRPr="00A309A0">
        <w:rPr>
          <w:rFonts w:ascii="Cambria Math" w:hAnsi="Cambria Math"/>
          <w:sz w:val="23"/>
          <w:szCs w:val="23"/>
          <w:rtl/>
        </w:rPr>
        <w:softHyphen/>
        <w:t xml:space="preserve">ی </w:t>
      </w:r>
      <w:r w:rsidRPr="00A309A0">
        <w:rPr>
          <w:rFonts w:ascii="Cambria Math" w:hAnsi="Cambria Math" w:hint="cs"/>
          <w:sz w:val="23"/>
          <w:szCs w:val="23"/>
          <w:rtl/>
        </w:rPr>
        <w:t>(۲. ۳۷)</w:t>
      </w:r>
      <w:r w:rsidRPr="00A309A0">
        <w:rPr>
          <w:rFonts w:ascii="Cambria Math" w:hAnsi="Cambria Math"/>
          <w:sz w:val="23"/>
          <w:szCs w:val="23"/>
          <w:rtl/>
        </w:rPr>
        <w:t>، معادله</w:t>
      </w:r>
      <w:r w:rsidRPr="00A309A0">
        <w:rPr>
          <w:rFonts w:ascii="Cambria Math" w:hAnsi="Cambria Math"/>
          <w:sz w:val="23"/>
          <w:szCs w:val="23"/>
          <w:rtl/>
        </w:rPr>
        <w:softHyphen/>
        <w:t>ی فوق را می</w:t>
      </w:r>
      <w:r w:rsidRPr="00A309A0">
        <w:rPr>
          <w:rFonts w:ascii="Cambria Math" w:hAnsi="Cambria Math"/>
          <w:sz w:val="23"/>
          <w:szCs w:val="23"/>
          <w:rtl/>
        </w:rPr>
        <w:softHyphen/>
        <w:t xml:space="preserve">توان برحسب انحراف از مقادیر تعادلی بلندمدت </w:t>
      </w:r>
      <w:r w:rsidRPr="00A309A0">
        <w:rPr>
          <w:rFonts w:ascii="Cambria Math" w:hAnsi="Cambria Math"/>
          <w:sz w:val="23"/>
          <w:szCs w:val="23"/>
        </w:rPr>
        <w:t>q</w:t>
      </w:r>
      <w:r w:rsidRPr="00A309A0">
        <w:rPr>
          <w:rFonts w:ascii="Cambria Math" w:hAnsi="Cambria Math" w:hint="cs"/>
          <w:sz w:val="23"/>
          <w:szCs w:val="23"/>
          <w:rtl/>
        </w:rPr>
        <w:t xml:space="preserve"> </w:t>
      </w:r>
      <w:r w:rsidRPr="00A309A0">
        <w:rPr>
          <w:rFonts w:ascii="Cambria Math" w:hAnsi="Cambria Math"/>
          <w:sz w:val="23"/>
          <w:szCs w:val="23"/>
          <w:rtl/>
          <w:lang w:val="en-GB"/>
        </w:rPr>
        <w:t>ب</w:t>
      </w:r>
      <w:r w:rsidRPr="00A309A0">
        <w:rPr>
          <w:rFonts w:ascii="Cambria Math" w:hAnsi="Cambria Math"/>
          <w:sz w:val="23"/>
          <w:szCs w:val="23"/>
          <w:rtl/>
        </w:rPr>
        <w:t>ه صورت زیر بازنویسی نمود</w:t>
      </w:r>
    </w:p>
    <w:p w14:paraId="52A49841" w14:textId="77777777" w:rsidR="00411620" w:rsidRPr="00A309A0" w:rsidRDefault="00411620" w:rsidP="00411620">
      <w:pPr>
        <w:pStyle w:val="MTDisplayEquation"/>
        <w:tabs>
          <w:tab w:val="clear" w:pos="6660"/>
          <w:tab w:val="right" w:pos="0"/>
        </w:tabs>
        <w:spacing w:line="216" w:lineRule="auto"/>
        <w:rPr>
          <w:rFonts w:ascii="Cambria Math" w:hAnsi="Cambria Math" w:cs="B Nazanin"/>
          <w:sz w:val="23"/>
          <w:szCs w:val="23"/>
          <w:rtl/>
          <w:lang w:bidi="fa-IR"/>
        </w:rPr>
      </w:pPr>
      <w:r w:rsidRPr="00B92922">
        <w:rPr>
          <w:position w:val="-14"/>
        </w:rPr>
        <w:object w:dxaOrig="3159" w:dyaOrig="380" w14:anchorId="02ECCD3B">
          <v:shape id="_x0000_i1458" type="#_x0000_t75" style="width:158.5pt;height:18.75pt" o:ole="">
            <v:imagedata r:id="rId890" o:title=""/>
          </v:shape>
          <o:OLEObject Type="Embed" ProgID="Equation.DSMT4" ShapeID="_x0000_i1458" DrawAspect="Content" ObjectID="_1791375402" r:id="rId891"/>
        </w:object>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tl/>
        </w:rPr>
        <w:tab/>
      </w:r>
      <w:r>
        <w:rPr>
          <w:rFonts w:ascii="Cambria Math" w:hAnsi="Cambria Math" w:cs="B Nazanin"/>
          <w:sz w:val="23"/>
          <w:szCs w:val="23"/>
          <w:rtl/>
        </w:rPr>
        <w:tab/>
      </w:r>
      <w:r>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hint="cs"/>
          <w:sz w:val="23"/>
          <w:szCs w:val="23"/>
          <w:rtl/>
          <w:lang w:bidi="fa-IR"/>
        </w:rPr>
        <w:t>(۲. ۳۸)</w:t>
      </w:r>
      <w:r w:rsidRPr="00A309A0">
        <w:rPr>
          <w:rFonts w:ascii="Cambria Math" w:hAnsi="Cambria Math" w:cs="B Nazanin"/>
          <w:sz w:val="23"/>
          <w:szCs w:val="23"/>
          <w:lang w:bidi="fa-IR"/>
        </w:rPr>
        <w:t xml:space="preserve"> </w:t>
      </w:r>
    </w:p>
    <w:p w14:paraId="0F71E5A2" w14:textId="77777777" w:rsidR="00411620" w:rsidRPr="00A309A0" w:rsidRDefault="00411620" w:rsidP="00411620">
      <w:pPr>
        <w:spacing w:line="216" w:lineRule="auto"/>
        <w:rPr>
          <w:rFonts w:ascii="Cambria Math" w:hAnsi="Cambria Math"/>
          <w:color w:val="000000" w:themeColor="text1"/>
          <w:sz w:val="23"/>
          <w:szCs w:val="23"/>
          <w:rtl/>
        </w:rPr>
      </w:pPr>
      <w:r w:rsidRPr="00A309A0">
        <w:rPr>
          <w:rFonts w:ascii="Cambria Math" w:hAnsi="Cambria Math"/>
          <w:color w:val="000000" w:themeColor="text1"/>
          <w:sz w:val="23"/>
          <w:szCs w:val="23"/>
          <w:rtl/>
        </w:rPr>
        <w:t>با حل این معادله به صورت</w:t>
      </w:r>
      <w:r w:rsidRPr="00A309A0">
        <w:rPr>
          <w:rFonts w:ascii="Cambria Math" w:hAnsi="Cambria Math" w:hint="cs"/>
          <w:color w:val="000000" w:themeColor="text1"/>
          <w:sz w:val="23"/>
          <w:szCs w:val="23"/>
          <w:rtl/>
        </w:rPr>
        <w:t xml:space="preserve"> </w:t>
      </w:r>
      <w:r w:rsidRPr="00A309A0">
        <w:rPr>
          <w:rFonts w:ascii="Cambria Math" w:hAnsi="Cambria Math"/>
          <w:color w:val="000000" w:themeColor="text1"/>
          <w:sz w:val="23"/>
          <w:szCs w:val="23"/>
          <w:rtl/>
        </w:rPr>
        <w:t>پیش</w:t>
      </w:r>
      <w:r w:rsidRPr="00A309A0">
        <w:rPr>
          <w:rFonts w:ascii="Cambria Math" w:hAnsi="Cambria Math"/>
          <w:color w:val="000000" w:themeColor="text1"/>
          <w:sz w:val="23"/>
          <w:szCs w:val="23"/>
          <w:rtl/>
        </w:rPr>
        <w:softHyphen/>
      </w:r>
      <w:r w:rsidRPr="00A309A0">
        <w:rPr>
          <w:rFonts w:ascii="Cambria Math" w:hAnsi="Cambria Math" w:hint="cs"/>
          <w:color w:val="000000" w:themeColor="text1"/>
          <w:sz w:val="23"/>
          <w:szCs w:val="23"/>
          <w:rtl/>
        </w:rPr>
        <w:t>رو</w:t>
      </w:r>
      <w:r w:rsidRPr="00A309A0">
        <w:rPr>
          <w:rStyle w:val="FootnoteReference"/>
          <w:rFonts w:ascii="Cambria Math" w:eastAsiaTheme="majorEastAsia" w:hAnsi="Cambria Math"/>
          <w:color w:val="000000" w:themeColor="text1"/>
          <w:sz w:val="23"/>
          <w:szCs w:val="23"/>
          <w:rtl/>
        </w:rPr>
        <w:footnoteReference w:id="93"/>
      </w:r>
      <w:r w:rsidRPr="00A309A0">
        <w:rPr>
          <w:rFonts w:ascii="Cambria Math" w:hAnsi="Cambria Math"/>
          <w:color w:val="000000" w:themeColor="text1"/>
          <w:sz w:val="23"/>
          <w:szCs w:val="23"/>
          <w:rtl/>
        </w:rPr>
        <w:t xml:space="preserve"> خواهیم داشت؛ </w:t>
      </w:r>
    </w:p>
    <w:p w14:paraId="1F834089" w14:textId="77777777" w:rsidR="00411620" w:rsidRPr="00A309A0" w:rsidRDefault="00411620" w:rsidP="00411620">
      <w:pPr>
        <w:pStyle w:val="MTDisplayEquation"/>
        <w:spacing w:line="216" w:lineRule="auto"/>
        <w:rPr>
          <w:rFonts w:ascii="Cambria Math" w:hAnsi="Cambria Math" w:cs="B Nazanin"/>
          <w:color w:val="FF0000"/>
          <w:sz w:val="23"/>
          <w:szCs w:val="23"/>
          <w:rtl/>
          <w:lang w:bidi="fa-IR"/>
        </w:rPr>
      </w:pPr>
      <w:r w:rsidRPr="00B92922">
        <w:rPr>
          <w:position w:val="-26"/>
        </w:rPr>
        <w:object w:dxaOrig="2580" w:dyaOrig="620" w14:anchorId="518A034F">
          <v:shape id="_x0000_i1459" type="#_x0000_t75" style="width:128.85pt;height:30.85pt" o:ole="">
            <v:imagedata r:id="rId892" o:title=""/>
          </v:shape>
          <o:OLEObject Type="Embed" ProgID="Equation.DSMT4" ShapeID="_x0000_i1459" DrawAspect="Content" ObjectID="_1791375403" r:id="rId893"/>
        </w:object>
      </w:r>
    </w:p>
    <w:p w14:paraId="094F8298"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بنابراین</w:t>
      </w:r>
      <w:r w:rsidRPr="00B92922">
        <w:rPr>
          <w:position w:val="-10"/>
        </w:rPr>
        <w:object w:dxaOrig="240" w:dyaOrig="320" w14:anchorId="36ADD45B">
          <v:shape id="_x0000_i1460" type="#_x0000_t75" style="width:12.1pt;height:15.75pt" o:ole="">
            <v:imagedata r:id="rId894" o:title=""/>
          </v:shape>
          <o:OLEObject Type="Embed" ProgID="Equation.DSMT4" ShapeID="_x0000_i1460" DrawAspect="Content" ObjectID="_1791375404" r:id="rId895"/>
        </w:object>
      </w:r>
      <w:r w:rsidRPr="00A309A0">
        <w:rPr>
          <w:rFonts w:ascii="Cambria Math" w:hAnsi="Cambria Math"/>
          <w:sz w:val="23"/>
          <w:szCs w:val="23"/>
          <w:rtl/>
        </w:rPr>
        <w:t xml:space="preserve"> ارزش فعلی مازاد</w:t>
      </w:r>
      <w:r w:rsidRPr="00A309A0">
        <w:rPr>
          <w:rFonts w:ascii="Cambria Math" w:hAnsi="Cambria Math" w:hint="cs"/>
          <w:sz w:val="23"/>
          <w:szCs w:val="23"/>
          <w:rtl/>
        </w:rPr>
        <w:t>ِ</w:t>
      </w:r>
      <w:r w:rsidRPr="00A309A0">
        <w:rPr>
          <w:rFonts w:ascii="Cambria Math" w:hAnsi="Cambria Math"/>
          <w:sz w:val="23"/>
          <w:szCs w:val="23"/>
          <w:rtl/>
        </w:rPr>
        <w:t xml:space="preserve"> تولید</w:t>
      </w:r>
      <w:r w:rsidRPr="00A309A0">
        <w:rPr>
          <w:rFonts w:ascii="Cambria Math" w:hAnsi="Cambria Math" w:hint="cs"/>
          <w:sz w:val="23"/>
          <w:szCs w:val="23"/>
          <w:rtl/>
        </w:rPr>
        <w:t>ِ</w:t>
      </w:r>
      <w:r w:rsidRPr="00A309A0">
        <w:rPr>
          <w:rFonts w:ascii="Cambria Math" w:hAnsi="Cambria Math"/>
          <w:sz w:val="23"/>
          <w:szCs w:val="23"/>
          <w:rtl/>
        </w:rPr>
        <w:t xml:space="preserve"> ایجاد شده به</w:t>
      </w:r>
      <w:r w:rsidRPr="00A309A0">
        <w:rPr>
          <w:rFonts w:ascii="Cambria Math" w:hAnsi="Cambria Math"/>
          <w:sz w:val="23"/>
          <w:szCs w:val="23"/>
          <w:rtl/>
        </w:rPr>
        <w:softHyphen/>
        <w:t>وسیله</w:t>
      </w:r>
      <w:r w:rsidRPr="00A309A0">
        <w:rPr>
          <w:rFonts w:ascii="Cambria Math" w:hAnsi="Cambria Math"/>
          <w:sz w:val="23"/>
          <w:szCs w:val="23"/>
          <w:rtl/>
        </w:rPr>
        <w:softHyphen/>
        <w:t>ی یک واحد افزایش در سرمایه‌گذاری است</w:t>
      </w:r>
      <w:r w:rsidRPr="00A309A0">
        <w:rPr>
          <w:rFonts w:ascii="Cambria Math" w:hAnsi="Cambria Math" w:hint="cs"/>
          <w:sz w:val="23"/>
          <w:szCs w:val="23"/>
          <w:rtl/>
        </w:rPr>
        <w:t xml:space="preserve"> که تفسیر دیگری از </w:t>
      </w:r>
      <w:r w:rsidRPr="00A309A0">
        <w:rPr>
          <w:rFonts w:asciiTheme="majorBidi" w:hAnsiTheme="majorBidi"/>
          <w:i/>
          <w:iCs/>
          <w:sz w:val="23"/>
          <w:szCs w:val="23"/>
        </w:rPr>
        <w:t>q</w:t>
      </w:r>
      <w:r w:rsidRPr="00A309A0">
        <w:rPr>
          <w:rFonts w:ascii="Cambria Math" w:hAnsi="Cambria Math" w:hint="cs"/>
          <w:sz w:val="23"/>
          <w:szCs w:val="23"/>
          <w:rtl/>
        </w:rPr>
        <w:t xml:space="preserve"> می</w:t>
      </w:r>
      <w:r w:rsidRPr="00A309A0">
        <w:rPr>
          <w:rFonts w:ascii="Cambria Math" w:hAnsi="Cambria Math"/>
          <w:sz w:val="23"/>
          <w:szCs w:val="23"/>
          <w:rtl/>
        </w:rPr>
        <w:softHyphen/>
      </w:r>
      <w:r w:rsidRPr="00A309A0">
        <w:rPr>
          <w:rFonts w:ascii="Cambria Math" w:hAnsi="Cambria Math" w:hint="cs"/>
          <w:sz w:val="23"/>
          <w:szCs w:val="23"/>
          <w:rtl/>
        </w:rPr>
        <w:t xml:space="preserve">باشد. </w:t>
      </w:r>
    </w:p>
    <w:p w14:paraId="4A51A4E2"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اکنون تعامل پویا بین</w:t>
      </w:r>
      <w:r w:rsidRPr="00B92922">
        <w:rPr>
          <w:position w:val="-10"/>
        </w:rPr>
        <w:object w:dxaOrig="220" w:dyaOrig="320" w14:anchorId="45B86BB1">
          <v:shape id="_x0000_i1461" type="#_x0000_t75" style="width:10.3pt;height:15.75pt" o:ole="">
            <v:imagedata r:id="rId896" o:title=""/>
          </v:shape>
          <o:OLEObject Type="Embed" ProgID="Equation.DSMT4" ShapeID="_x0000_i1461" DrawAspect="Content" ObjectID="_1791375405" r:id="rId897"/>
        </w:object>
      </w:r>
      <w:r w:rsidRPr="00A309A0">
        <w:rPr>
          <w:rFonts w:ascii="Cambria Math" w:hAnsi="Cambria Math"/>
          <w:sz w:val="23"/>
          <w:szCs w:val="23"/>
          <w:rtl/>
        </w:rPr>
        <w:t xml:space="preserve"> </w:t>
      </w:r>
      <w:r w:rsidRPr="00A309A0">
        <w:rPr>
          <w:rFonts w:ascii="Cambria Math" w:hAnsi="Cambria Math" w:hint="cs"/>
          <w:sz w:val="23"/>
          <w:szCs w:val="23"/>
          <w:rtl/>
        </w:rPr>
        <w:t>و</w:t>
      </w:r>
      <w:r w:rsidRPr="00B92922">
        <w:rPr>
          <w:position w:val="-10"/>
        </w:rPr>
        <w:object w:dxaOrig="240" w:dyaOrig="320" w14:anchorId="4F084DD3">
          <v:shape id="_x0000_i1462" type="#_x0000_t75" style="width:12.1pt;height:15.75pt" o:ole="">
            <v:imagedata r:id="rId898" o:title=""/>
          </v:shape>
          <o:OLEObject Type="Embed" ProgID="Equation.DSMT4" ShapeID="_x0000_i1462" DrawAspect="Content" ObjectID="_1791375406" r:id="rId899"/>
        </w:object>
      </w:r>
      <w:r w:rsidRPr="00A309A0">
        <w:rPr>
          <w:rFonts w:ascii="Cambria Math" w:hAnsi="Cambria Math"/>
          <w:sz w:val="23"/>
          <w:szCs w:val="23"/>
          <w:rtl/>
        </w:rPr>
        <w:t xml:space="preserve"> را می</w:t>
      </w:r>
      <w:r w:rsidRPr="00A309A0">
        <w:rPr>
          <w:rFonts w:ascii="Cambria Math" w:hAnsi="Cambria Math"/>
          <w:sz w:val="23"/>
          <w:szCs w:val="23"/>
          <w:rtl/>
        </w:rPr>
        <w:softHyphen/>
        <w:t>توان بر اساس دو معادله</w:t>
      </w:r>
      <w:r w:rsidRPr="00A309A0">
        <w:rPr>
          <w:rFonts w:ascii="Cambria Math" w:hAnsi="Cambria Math"/>
          <w:sz w:val="23"/>
          <w:szCs w:val="23"/>
          <w:rtl/>
        </w:rPr>
        <w:softHyphen/>
        <w:t xml:space="preserve">ی </w:t>
      </w:r>
      <w:r w:rsidRPr="00A309A0">
        <w:rPr>
          <w:rFonts w:ascii="Cambria Math" w:hAnsi="Cambria Math" w:hint="cs"/>
          <w:sz w:val="23"/>
          <w:szCs w:val="23"/>
          <w:rtl/>
        </w:rPr>
        <w:t>(۲. ۳۳)</w:t>
      </w:r>
      <w:r w:rsidRPr="00A309A0">
        <w:rPr>
          <w:rFonts w:ascii="Cambria Math" w:hAnsi="Cambria Math"/>
          <w:sz w:val="23"/>
          <w:szCs w:val="23"/>
          <w:rtl/>
        </w:rPr>
        <w:t xml:space="preserve"> و </w:t>
      </w:r>
      <w:r w:rsidRPr="00A309A0">
        <w:rPr>
          <w:rFonts w:ascii="Cambria Math" w:hAnsi="Cambria Math" w:hint="cs"/>
          <w:sz w:val="23"/>
          <w:szCs w:val="23"/>
          <w:rtl/>
        </w:rPr>
        <w:t>(۲. ۳۸)</w:t>
      </w:r>
      <w:r w:rsidRPr="00A309A0">
        <w:rPr>
          <w:rFonts w:ascii="Cambria Math" w:hAnsi="Cambria Math"/>
          <w:sz w:val="23"/>
          <w:szCs w:val="23"/>
          <w:rtl/>
        </w:rPr>
        <w:t xml:space="preserve"> و همچنین </w:t>
      </w:r>
      <w:r w:rsidRPr="00A309A0">
        <w:rPr>
          <w:rFonts w:ascii="Cambria Math" w:hAnsi="Cambria Math" w:hint="cs"/>
          <w:sz w:val="23"/>
          <w:szCs w:val="23"/>
          <w:rtl/>
        </w:rPr>
        <w:t>(۲. ۲)</w:t>
      </w:r>
      <w:r w:rsidRPr="00A309A0">
        <w:rPr>
          <w:rFonts w:ascii="Cambria Math" w:hAnsi="Cambria Math"/>
          <w:sz w:val="23"/>
          <w:szCs w:val="23"/>
          <w:rtl/>
        </w:rPr>
        <w:t xml:space="preserve"> بررسی کرد. از روابط </w:t>
      </w:r>
      <w:r w:rsidRPr="00A309A0">
        <w:rPr>
          <w:rFonts w:ascii="Cambria Math" w:hAnsi="Cambria Math" w:hint="cs"/>
          <w:sz w:val="23"/>
          <w:szCs w:val="23"/>
          <w:rtl/>
        </w:rPr>
        <w:t>(۲. ۲)</w:t>
      </w:r>
      <w:r w:rsidRPr="00A309A0">
        <w:rPr>
          <w:rFonts w:ascii="Cambria Math" w:hAnsi="Cambria Math"/>
          <w:sz w:val="23"/>
          <w:szCs w:val="23"/>
          <w:rtl/>
        </w:rPr>
        <w:t xml:space="preserve"> و </w:t>
      </w:r>
      <w:r w:rsidRPr="00A309A0">
        <w:rPr>
          <w:rFonts w:ascii="Cambria Math" w:hAnsi="Cambria Math" w:hint="cs"/>
          <w:sz w:val="23"/>
          <w:szCs w:val="23"/>
          <w:rtl/>
        </w:rPr>
        <w:t>(۲. ۳۳)</w:t>
      </w:r>
      <w:r w:rsidRPr="00A309A0">
        <w:rPr>
          <w:rFonts w:ascii="Cambria Math" w:hAnsi="Cambria Math"/>
          <w:sz w:val="23"/>
          <w:szCs w:val="23"/>
          <w:rtl/>
        </w:rPr>
        <w:t xml:space="preserve"> جهت حذف</w:t>
      </w:r>
      <w:r w:rsidRPr="00B92922">
        <w:rPr>
          <w:position w:val="-10"/>
        </w:rPr>
        <w:object w:dxaOrig="180" w:dyaOrig="320" w14:anchorId="0C9E8068">
          <v:shape id="_x0000_i1463" type="#_x0000_t75" style="width:9.1pt;height:15.75pt" o:ole="">
            <v:imagedata r:id="rId900" o:title=""/>
          </v:shape>
          <o:OLEObject Type="Embed" ProgID="Equation.DSMT4" ShapeID="_x0000_i1463" DrawAspect="Content" ObjectID="_1791375407" r:id="rId901"/>
        </w:object>
      </w:r>
      <w:r w:rsidRPr="00A309A0">
        <w:rPr>
          <w:rFonts w:ascii="Cambria Math" w:hAnsi="Cambria Math"/>
          <w:sz w:val="23"/>
          <w:szCs w:val="23"/>
          <w:rtl/>
        </w:rPr>
        <w:t xml:space="preserve"> داریم </w:t>
      </w:r>
    </w:p>
    <w:p w14:paraId="392F5DA0" w14:textId="77777777" w:rsidR="00411620" w:rsidRPr="00A309A0" w:rsidRDefault="00411620" w:rsidP="00411620">
      <w:pPr>
        <w:pStyle w:val="MTDisplayEquation"/>
        <w:spacing w:line="216" w:lineRule="auto"/>
        <w:rPr>
          <w:rFonts w:ascii="Cambria Math" w:hAnsi="Cambria Math" w:cs="B Nazanin"/>
          <w:sz w:val="23"/>
          <w:szCs w:val="23"/>
          <w:rtl/>
          <w:lang w:bidi="fa-IR"/>
        </w:rPr>
      </w:pPr>
      <w:r w:rsidRPr="00B92922">
        <w:rPr>
          <w:position w:val="-26"/>
        </w:rPr>
        <w:object w:dxaOrig="2880" w:dyaOrig="600" w14:anchorId="37B0C6B6">
          <v:shape id="_x0000_i1464" type="#_x0000_t75" style="width:2in;height:29.65pt" o:ole="">
            <v:imagedata r:id="rId902" o:title=""/>
          </v:shape>
          <o:OLEObject Type="Embed" ProgID="Equation.DSMT4" ShapeID="_x0000_i1464" DrawAspect="Content" ObjectID="_1791375408" r:id="rId903"/>
        </w:object>
      </w:r>
    </w:p>
    <w:p w14:paraId="69278FB3"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و یا</w:t>
      </w:r>
    </w:p>
    <w:p w14:paraId="2DC0B84B" w14:textId="77777777" w:rsidR="00411620" w:rsidRPr="00A309A0" w:rsidRDefault="00411620" w:rsidP="00411620">
      <w:pPr>
        <w:pStyle w:val="MTDisplayEquation"/>
        <w:spacing w:line="216" w:lineRule="auto"/>
        <w:rPr>
          <w:rFonts w:ascii="Cambria Math" w:eastAsiaTheme="minorEastAsia" w:hAnsi="Cambria Math" w:cs="B Nazanin"/>
          <w:sz w:val="23"/>
          <w:szCs w:val="23"/>
          <w:lang w:bidi="fa-IR"/>
        </w:rPr>
      </w:pPr>
      <w:r w:rsidRPr="00B92922">
        <w:rPr>
          <w:position w:val="-12"/>
        </w:rPr>
        <w:object w:dxaOrig="1660" w:dyaOrig="360" w14:anchorId="13C3FF0C">
          <v:shape id="_x0000_i1465" type="#_x0000_t75" style="width:82.3pt;height:18.15pt" o:ole="">
            <v:imagedata r:id="rId904" o:title=""/>
          </v:shape>
          <o:OLEObject Type="Embed" ProgID="Equation.DSMT4" ShapeID="_x0000_i1465" DrawAspect="Content" ObjectID="_1791375409" r:id="rId905"/>
        </w:object>
      </w:r>
    </w:p>
    <w:p w14:paraId="556AEF29"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بنابراین از رابطه</w:t>
      </w:r>
      <w:r w:rsidRPr="00A309A0">
        <w:rPr>
          <w:rFonts w:ascii="Cambria Math" w:hAnsi="Cambria Math"/>
          <w:sz w:val="23"/>
          <w:szCs w:val="23"/>
          <w:rtl/>
        </w:rPr>
        <w:softHyphen/>
        <w:t>ی فوق و معادله</w:t>
      </w:r>
      <w:r w:rsidRPr="00A309A0">
        <w:rPr>
          <w:rFonts w:ascii="Cambria Math" w:hAnsi="Cambria Math"/>
          <w:sz w:val="23"/>
          <w:szCs w:val="23"/>
          <w:rtl/>
        </w:rPr>
        <w:softHyphen/>
        <w:t xml:space="preserve">ی </w:t>
      </w:r>
      <w:r w:rsidRPr="00A309A0">
        <w:rPr>
          <w:rFonts w:ascii="Cambria Math" w:hAnsi="Cambria Math" w:hint="cs"/>
          <w:sz w:val="23"/>
          <w:szCs w:val="23"/>
          <w:rtl/>
        </w:rPr>
        <w:t>(۲. ۳۸)</w:t>
      </w:r>
      <w:r w:rsidRPr="00A309A0">
        <w:rPr>
          <w:rFonts w:ascii="Cambria Math" w:hAnsi="Cambria Math"/>
          <w:sz w:val="23"/>
          <w:szCs w:val="23"/>
          <w:rtl/>
        </w:rPr>
        <w:t xml:space="preserve"> داریم: </w:t>
      </w:r>
    </w:p>
    <w:p w14:paraId="0265D08A" w14:textId="77777777" w:rsidR="00411620" w:rsidRPr="00A309A0" w:rsidRDefault="00411620" w:rsidP="00411620">
      <w:pPr>
        <w:pStyle w:val="MTDisplayEquation"/>
        <w:spacing w:line="216" w:lineRule="auto"/>
        <w:rPr>
          <w:rFonts w:ascii="Cambria Math" w:eastAsiaTheme="minorEastAsia" w:hAnsi="Cambria Math" w:cs="B Nazanin"/>
          <w:sz w:val="23"/>
          <w:szCs w:val="23"/>
          <w:rtl/>
        </w:rPr>
      </w:pPr>
      <w:r w:rsidRPr="00B92922">
        <w:rPr>
          <w:position w:val="-14"/>
        </w:rPr>
        <w:object w:dxaOrig="3159" w:dyaOrig="380" w14:anchorId="611C3B69">
          <v:shape id="_x0000_i1466" type="#_x0000_t75" style="width:158.5pt;height:18.75pt" o:ole="">
            <v:imagedata r:id="rId906" o:title=""/>
          </v:shape>
          <o:OLEObject Type="Embed" ProgID="Equation.DSMT4" ShapeID="_x0000_i1466" DrawAspect="Content" ObjectID="_1791375410" r:id="rId907"/>
        </w:object>
      </w:r>
    </w:p>
    <w:p w14:paraId="16FDED0A" w14:textId="77777777" w:rsidR="00411620" w:rsidRPr="00A309A0" w:rsidRDefault="00411620" w:rsidP="00411620">
      <w:pPr>
        <w:pStyle w:val="MTDisplayEquation"/>
        <w:spacing w:line="216" w:lineRule="auto"/>
        <w:rPr>
          <w:rFonts w:ascii="Cambria Math" w:eastAsiaTheme="minorEastAsia" w:hAnsi="Cambria Math" w:cs="B Nazanin"/>
          <w:sz w:val="23"/>
          <w:szCs w:val="23"/>
          <w:lang w:bidi="fa-IR"/>
        </w:rPr>
      </w:pPr>
      <w:r w:rsidRPr="00B92922">
        <w:rPr>
          <w:position w:val="-12"/>
        </w:rPr>
        <w:object w:dxaOrig="1660" w:dyaOrig="360" w14:anchorId="13201300">
          <v:shape id="_x0000_i1467" type="#_x0000_t75" style="width:82.3pt;height:18.15pt" o:ole="">
            <v:imagedata r:id="rId908" o:title=""/>
          </v:shape>
          <o:OLEObject Type="Embed" ProgID="Equation.DSMT4" ShapeID="_x0000_i1467" DrawAspect="Content" ObjectID="_1791375411" r:id="rId909"/>
        </w:object>
      </w:r>
    </w:p>
    <w:p w14:paraId="267B673D" w14:textId="77777777" w:rsidR="00411620" w:rsidRPr="00A309A0" w:rsidRDefault="00411620" w:rsidP="00411620">
      <w:pPr>
        <w:spacing w:line="216" w:lineRule="auto"/>
        <w:rPr>
          <w:rFonts w:ascii="Cambria Math" w:hAnsi="Cambria Math"/>
          <w:sz w:val="23"/>
          <w:szCs w:val="23"/>
        </w:rPr>
      </w:pPr>
      <w:r w:rsidRPr="00A309A0">
        <w:rPr>
          <w:rFonts w:ascii="Cambria Math" w:hAnsi="Cambria Math"/>
          <w:sz w:val="23"/>
          <w:szCs w:val="23"/>
          <w:rtl/>
        </w:rPr>
        <w:t>تقریب خطی این دو معادله پیرامون وضعیت یکنواخت</w:t>
      </w:r>
      <w:r w:rsidRPr="00A309A0">
        <w:rPr>
          <w:rFonts w:ascii="Cambria Math" w:hAnsi="Cambria Math" w:hint="cs"/>
          <w:sz w:val="23"/>
          <w:szCs w:val="23"/>
          <w:rtl/>
        </w:rPr>
        <w:t>ِ</w:t>
      </w:r>
      <w:r w:rsidRPr="00A309A0">
        <w:rPr>
          <w:rFonts w:ascii="Cambria Math" w:hAnsi="Cambria Math"/>
          <w:sz w:val="23"/>
          <w:szCs w:val="23"/>
          <w:rtl/>
        </w:rPr>
        <w:t xml:space="preserve"> دو متغیر</w:t>
      </w:r>
      <w:r w:rsidRPr="00B92922">
        <w:rPr>
          <w:position w:val="-6"/>
        </w:rPr>
        <w:object w:dxaOrig="200" w:dyaOrig="260" w14:anchorId="50859109">
          <v:shape id="_x0000_i1468" type="#_x0000_t75" style="width:10.3pt;height:13.3pt" o:ole="">
            <v:imagedata r:id="rId910" o:title=""/>
          </v:shape>
          <o:OLEObject Type="Embed" ProgID="Equation.DSMT4" ShapeID="_x0000_i1468" DrawAspect="Content" ObjectID="_1791375412" r:id="rId911"/>
        </w:object>
      </w:r>
      <w:r w:rsidRPr="00A309A0">
        <w:rPr>
          <w:rFonts w:ascii="Cambria Math" w:hAnsi="Cambria Math"/>
          <w:sz w:val="23"/>
          <w:szCs w:val="23"/>
          <w:rtl/>
        </w:rPr>
        <w:t xml:space="preserve"> و</w:t>
      </w:r>
      <w:r w:rsidRPr="00B92922">
        <w:rPr>
          <w:position w:val="-8"/>
        </w:rPr>
        <w:object w:dxaOrig="200" w:dyaOrig="240" w14:anchorId="2F19DC4A">
          <v:shape id="_x0000_i1469" type="#_x0000_t75" style="width:10.3pt;height:12.1pt" o:ole="">
            <v:imagedata r:id="rId912" o:title=""/>
          </v:shape>
          <o:OLEObject Type="Embed" ProgID="Equation.DSMT4" ShapeID="_x0000_i1469" DrawAspect="Content" ObjectID="_1791375413" r:id="rId913"/>
        </w:object>
      </w:r>
      <w:r w:rsidRPr="00A309A0">
        <w:rPr>
          <w:rFonts w:ascii="Cambria Math" w:hAnsi="Cambria Math"/>
          <w:sz w:val="23"/>
          <w:szCs w:val="23"/>
          <w:rtl/>
        </w:rPr>
        <w:t xml:space="preserve"> </w:t>
      </w:r>
      <w:r w:rsidRPr="00A309A0">
        <w:rPr>
          <w:rFonts w:ascii="Cambria Math" w:hAnsi="Cambria Math" w:hint="cs"/>
          <w:sz w:val="23"/>
          <w:szCs w:val="23"/>
          <w:rtl/>
        </w:rPr>
        <w:t xml:space="preserve">برابر </w:t>
      </w:r>
      <w:r w:rsidRPr="00A309A0">
        <w:rPr>
          <w:rFonts w:ascii="Cambria Math" w:hAnsi="Cambria Math"/>
          <w:sz w:val="23"/>
          <w:szCs w:val="23"/>
          <w:rtl/>
        </w:rPr>
        <w:t xml:space="preserve">است </w:t>
      </w:r>
      <w:r w:rsidRPr="00A309A0">
        <w:rPr>
          <w:rFonts w:ascii="Cambria Math" w:hAnsi="Cambria Math" w:hint="cs"/>
          <w:sz w:val="23"/>
          <w:szCs w:val="23"/>
          <w:rtl/>
        </w:rPr>
        <w:t>ب</w:t>
      </w:r>
      <w:r w:rsidRPr="00A309A0">
        <w:rPr>
          <w:rFonts w:ascii="Cambria Math" w:hAnsi="Cambria Math"/>
          <w:sz w:val="23"/>
          <w:szCs w:val="23"/>
          <w:rtl/>
        </w:rPr>
        <w:t xml:space="preserve">ا؛ </w:t>
      </w:r>
    </w:p>
    <w:p w14:paraId="67344807" w14:textId="77777777" w:rsidR="00411620" w:rsidRPr="00A309A0" w:rsidRDefault="00411620" w:rsidP="00411620">
      <w:pPr>
        <w:spacing w:line="216" w:lineRule="auto"/>
        <w:jc w:val="center"/>
        <w:rPr>
          <w:rFonts w:ascii="Cambria Math" w:hAnsi="Cambria Math"/>
          <w:sz w:val="23"/>
          <w:szCs w:val="23"/>
          <w:rtl/>
        </w:rPr>
      </w:pPr>
      <w:r w:rsidRPr="00A309A0">
        <w:rPr>
          <w:rFonts w:ascii="Cambria Math" w:hAnsi="Cambria Math" w:hint="cs"/>
          <w:sz w:val="23"/>
          <w:szCs w:val="23"/>
          <w:rtl/>
        </w:rPr>
        <w:t>نمودار</w:t>
      </w:r>
      <w:r w:rsidRPr="00A309A0">
        <w:rPr>
          <w:rFonts w:ascii="Cambria Math" w:hAnsi="Cambria Math"/>
          <w:sz w:val="23"/>
          <w:szCs w:val="23"/>
          <w:rtl/>
        </w:rPr>
        <w:t xml:space="preserve"> </w:t>
      </w:r>
      <w:r w:rsidRPr="00A309A0">
        <w:rPr>
          <w:rFonts w:ascii="Cambria Math" w:hAnsi="Cambria Math" w:hint="cs"/>
          <w:sz w:val="23"/>
          <w:szCs w:val="23"/>
          <w:rtl/>
        </w:rPr>
        <w:t>۲. ۱۳</w:t>
      </w:r>
    </w:p>
    <w:p w14:paraId="5BBC2F93" w14:textId="77777777" w:rsidR="00411620" w:rsidRPr="00A309A0" w:rsidRDefault="00411620" w:rsidP="00411620">
      <w:pPr>
        <w:spacing w:line="216" w:lineRule="auto"/>
        <w:jc w:val="center"/>
        <w:rPr>
          <w:rFonts w:ascii="Cambria Math" w:hAnsi="Cambria Math"/>
          <w:sz w:val="23"/>
          <w:szCs w:val="23"/>
          <w:rtl/>
        </w:rPr>
      </w:pPr>
      <w:r w:rsidRPr="00A309A0">
        <w:rPr>
          <w:rFonts w:ascii="Cambria Math" w:hAnsi="Cambria Math"/>
          <w:noProof/>
          <w:sz w:val="23"/>
          <w:szCs w:val="23"/>
          <w:u w:val="single"/>
          <w:rtl/>
          <w:lang w:bidi="ar-SA"/>
        </w:rPr>
        <w:lastRenderedPageBreak/>
        <w:drawing>
          <wp:inline distT="0" distB="0" distL="0" distR="0" wp14:anchorId="2B35BE12" wp14:editId="47C97CE0">
            <wp:extent cx="3664828" cy="2011045"/>
            <wp:effectExtent l="38100" t="38100" r="31115" b="463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4" cstate="print">
                      <a:lum contrast="20000"/>
                      <a:extLst>
                        <a:ext uri="{28A0092B-C50C-407E-A947-70E740481C1C}">
                          <a14:useLocalDpi xmlns:a14="http://schemas.microsoft.com/office/drawing/2010/main" val="0"/>
                        </a:ext>
                      </a:extLst>
                    </a:blip>
                    <a:srcRect/>
                    <a:stretch>
                      <a:fillRect/>
                    </a:stretch>
                  </pic:blipFill>
                  <pic:spPr bwMode="auto">
                    <a:xfrm>
                      <a:off x="0" y="0"/>
                      <a:ext cx="3670279" cy="2014036"/>
                    </a:xfrm>
                    <a:prstGeom prst="rect">
                      <a:avLst/>
                    </a:prstGeom>
                    <a:ln w="28575">
                      <a:solidFill>
                        <a:schemeClr val="tx1"/>
                      </a:solidFill>
                    </a:ln>
                  </pic:spPr>
                </pic:pic>
              </a:graphicData>
            </a:graphic>
          </wp:inline>
        </w:drawing>
      </w:r>
    </w:p>
    <w:p w14:paraId="5D79FDFB" w14:textId="77777777" w:rsidR="00411620" w:rsidRPr="00A309A0" w:rsidRDefault="00411620" w:rsidP="00411620">
      <w:pPr>
        <w:spacing w:line="216" w:lineRule="auto"/>
        <w:rPr>
          <w:rFonts w:ascii="Cambria Math" w:hAnsi="Cambria Math"/>
          <w:sz w:val="23"/>
          <w:szCs w:val="23"/>
        </w:rPr>
      </w:pPr>
    </w:p>
    <w:p w14:paraId="2C116F62" w14:textId="77777777" w:rsidR="00411620" w:rsidRPr="00A309A0" w:rsidRDefault="00411620" w:rsidP="00411620">
      <w:pPr>
        <w:bidi w:val="0"/>
        <w:spacing w:line="216" w:lineRule="auto"/>
        <w:rPr>
          <w:rFonts w:ascii="Cambria Math" w:hAnsi="Cambria Math"/>
          <w:sz w:val="23"/>
          <w:szCs w:val="23"/>
        </w:rPr>
      </w:pPr>
      <w:r w:rsidRPr="00B92922">
        <w:rPr>
          <w:position w:val="-12"/>
        </w:rPr>
        <w:object w:dxaOrig="4500" w:dyaOrig="360" w14:anchorId="0E24CA71">
          <v:shape id="_x0000_i1470" type="#_x0000_t75" style="width:225.1pt;height:18.15pt" o:ole="">
            <v:imagedata r:id="rId915" o:title=""/>
          </v:shape>
          <o:OLEObject Type="Embed" ProgID="Equation.DSMT4" ShapeID="_x0000_i1470" DrawAspect="Content" ObjectID="_1791375414" r:id="rId916"/>
        </w:object>
      </w:r>
      <w:r>
        <w:rPr>
          <w:rtl/>
        </w:rPr>
        <w:tab/>
      </w:r>
      <w:r>
        <w:rPr>
          <w:rtl/>
        </w:rPr>
        <w:tab/>
      </w:r>
      <w:r w:rsidRPr="00A309A0">
        <w:rPr>
          <w:rFonts w:ascii="Cambria Math" w:hAnsi="Cambria Math"/>
          <w:sz w:val="23"/>
          <w:szCs w:val="23"/>
        </w:rPr>
        <w:tab/>
      </w:r>
      <w:r w:rsidRPr="00A309A0">
        <w:rPr>
          <w:rFonts w:ascii="Cambria Math" w:hAnsi="Cambria Math"/>
          <w:sz w:val="23"/>
          <w:szCs w:val="23"/>
        </w:rPr>
        <w:tab/>
      </w:r>
      <w:r w:rsidRPr="00A309A0">
        <w:rPr>
          <w:rFonts w:ascii="Cambria Math" w:hAnsi="Cambria Math"/>
          <w:sz w:val="23"/>
          <w:szCs w:val="23"/>
          <w:rtl/>
        </w:rPr>
        <w:tab/>
      </w:r>
      <w:r w:rsidRPr="00A309A0">
        <w:rPr>
          <w:rFonts w:ascii="Cambria Math" w:hAnsi="Cambria Math"/>
          <w:sz w:val="23"/>
          <w:szCs w:val="23"/>
        </w:rPr>
        <w:tab/>
        <w:t xml:space="preserve"> </w:t>
      </w:r>
      <w:r w:rsidRPr="00A309A0">
        <w:rPr>
          <w:rFonts w:ascii="Cambria Math" w:hAnsi="Cambria Math" w:hint="cs"/>
          <w:sz w:val="23"/>
          <w:szCs w:val="23"/>
          <w:rtl/>
        </w:rPr>
        <w:t>(۲. ۳۹)</w:t>
      </w:r>
    </w:p>
    <w:p w14:paraId="33EADD57" w14:textId="77777777" w:rsidR="00411620" w:rsidRPr="00A309A0" w:rsidRDefault="00411620" w:rsidP="00411620">
      <w:pPr>
        <w:bidi w:val="0"/>
        <w:spacing w:line="216" w:lineRule="auto"/>
        <w:rPr>
          <w:rFonts w:ascii="Cambria Math" w:hAnsi="Cambria Math"/>
          <w:sz w:val="23"/>
          <w:szCs w:val="23"/>
          <w:rtl/>
        </w:rPr>
      </w:pPr>
      <w:r w:rsidRPr="00B92922">
        <w:rPr>
          <w:position w:val="-12"/>
        </w:rPr>
        <w:object w:dxaOrig="1660" w:dyaOrig="360" w14:anchorId="3477166F">
          <v:shape id="_x0000_i1471" type="#_x0000_t75" style="width:82.3pt;height:18.15pt" o:ole="">
            <v:imagedata r:id="rId917" o:title=""/>
          </v:shape>
          <o:OLEObject Type="Embed" ProgID="Equation.DSMT4" ShapeID="_x0000_i1471" DrawAspect="Content" ObjectID="_1791375415" r:id="rId918"/>
        </w:object>
      </w:r>
      <w:r w:rsidRPr="00A309A0">
        <w:rPr>
          <w:sz w:val="23"/>
          <w:szCs w:val="23"/>
          <w:rtl/>
        </w:rPr>
        <w:tab/>
      </w:r>
      <w:r w:rsidRPr="00A309A0">
        <w:rPr>
          <w:sz w:val="23"/>
          <w:szCs w:val="23"/>
          <w:rtl/>
        </w:rPr>
        <w:tab/>
      </w:r>
      <w:r w:rsidRPr="00A309A0">
        <w:rPr>
          <w:sz w:val="23"/>
          <w:szCs w:val="23"/>
          <w:rtl/>
        </w:rPr>
        <w:tab/>
      </w:r>
      <w:r w:rsidRPr="00A309A0">
        <w:rPr>
          <w:sz w:val="23"/>
          <w:szCs w:val="23"/>
          <w:rtl/>
        </w:rPr>
        <w:tab/>
      </w:r>
      <w:r w:rsidRPr="00A309A0">
        <w:rPr>
          <w:sz w:val="23"/>
          <w:szCs w:val="23"/>
          <w:rtl/>
        </w:rPr>
        <w:tab/>
      </w:r>
      <w:r w:rsidRPr="00A309A0">
        <w:rPr>
          <w:sz w:val="23"/>
          <w:szCs w:val="23"/>
          <w:rtl/>
        </w:rPr>
        <w:tab/>
      </w:r>
      <w:r w:rsidRPr="00A309A0">
        <w:rPr>
          <w:sz w:val="23"/>
          <w:szCs w:val="23"/>
          <w:rtl/>
        </w:rPr>
        <w:tab/>
      </w:r>
      <w:r w:rsidRPr="00A309A0">
        <w:rPr>
          <w:sz w:val="23"/>
          <w:szCs w:val="23"/>
          <w:rtl/>
        </w:rPr>
        <w:tab/>
      </w:r>
      <w:r w:rsidRPr="00A309A0">
        <w:rPr>
          <w:sz w:val="23"/>
          <w:szCs w:val="23"/>
          <w:rtl/>
        </w:rPr>
        <w:tab/>
      </w:r>
      <w:r w:rsidRPr="00A309A0">
        <w:rPr>
          <w:sz w:val="23"/>
          <w:szCs w:val="23"/>
          <w:rtl/>
        </w:rPr>
        <w:tab/>
      </w:r>
      <w:r w:rsidRPr="00A309A0">
        <w:rPr>
          <w:sz w:val="23"/>
          <w:szCs w:val="23"/>
          <w:rtl/>
        </w:rPr>
        <w:tab/>
      </w:r>
      <w:r w:rsidRPr="00A309A0">
        <w:rPr>
          <w:sz w:val="23"/>
          <w:szCs w:val="23"/>
          <w:rtl/>
        </w:rPr>
        <w:tab/>
      </w:r>
      <w:r>
        <w:rPr>
          <w:sz w:val="23"/>
          <w:szCs w:val="23"/>
          <w:rtl/>
        </w:rPr>
        <w:tab/>
      </w:r>
      <w:r>
        <w:rPr>
          <w:sz w:val="23"/>
          <w:szCs w:val="23"/>
          <w:rtl/>
        </w:rPr>
        <w:tab/>
      </w:r>
      <w:r w:rsidRPr="00A309A0">
        <w:rPr>
          <w:sz w:val="23"/>
          <w:szCs w:val="23"/>
          <w:rtl/>
        </w:rPr>
        <w:tab/>
      </w:r>
      <w:r w:rsidRPr="00A309A0">
        <w:rPr>
          <w:rFonts w:ascii="Cambria Math" w:hAnsi="Cambria Math"/>
          <w:sz w:val="23"/>
          <w:szCs w:val="23"/>
          <w:rtl/>
        </w:rPr>
        <w:tab/>
      </w:r>
      <w:r w:rsidRPr="00A309A0">
        <w:rPr>
          <w:rFonts w:ascii="Cambria Math" w:hAnsi="Cambria Math" w:hint="cs"/>
          <w:sz w:val="23"/>
          <w:szCs w:val="23"/>
          <w:rtl/>
        </w:rPr>
        <w:t xml:space="preserve">(۲. ۴۰) </w:t>
      </w:r>
    </w:p>
    <w:p w14:paraId="543A2B2B"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که در آن</w:t>
      </w:r>
      <w:r w:rsidRPr="00B92922">
        <w:rPr>
          <w:position w:val="-6"/>
        </w:rPr>
        <w:object w:dxaOrig="200" w:dyaOrig="260" w14:anchorId="57A481CE">
          <v:shape id="_x0000_i1472" type="#_x0000_t75" style="width:10.3pt;height:13.3pt" o:ole="">
            <v:imagedata r:id="rId919" o:title=""/>
          </v:shape>
          <o:OLEObject Type="Embed" ProgID="Equation.DSMT4" ShapeID="_x0000_i1472" DrawAspect="Content" ObjectID="_1791375416" r:id="rId920"/>
        </w:object>
      </w:r>
      <w:r w:rsidRPr="00A309A0">
        <w:rPr>
          <w:rFonts w:ascii="Cambria Math" w:hAnsi="Cambria Math"/>
          <w:sz w:val="23"/>
          <w:szCs w:val="23"/>
          <w:rtl/>
        </w:rPr>
        <w:t xml:space="preserve"> </w:t>
      </w:r>
      <w:r w:rsidRPr="00A309A0">
        <w:rPr>
          <w:rFonts w:ascii="Cambria Math" w:hAnsi="Cambria Math" w:hint="cs"/>
          <w:sz w:val="23"/>
          <w:szCs w:val="23"/>
          <w:rtl/>
        </w:rPr>
        <w:t>مقدار</w:t>
      </w:r>
      <w:r w:rsidRPr="00B92922">
        <w:rPr>
          <w:position w:val="-10"/>
        </w:rPr>
        <w:object w:dxaOrig="220" w:dyaOrig="320" w14:anchorId="5D14A1BD">
          <v:shape id="_x0000_i1473" type="#_x0000_t75" style="width:10.3pt;height:15.75pt" o:ole="">
            <v:imagedata r:id="rId921" o:title=""/>
          </v:shape>
          <o:OLEObject Type="Embed" ProgID="Equation.DSMT4" ShapeID="_x0000_i1473" DrawAspect="Content" ObjectID="_1791375417" r:id="rId922"/>
        </w:object>
      </w:r>
      <w:r w:rsidRPr="00A309A0">
        <w:rPr>
          <w:rFonts w:ascii="Cambria Math" w:hAnsi="Cambria Math"/>
          <w:sz w:val="23"/>
          <w:szCs w:val="23"/>
          <w:rtl/>
        </w:rPr>
        <w:t xml:space="preserve"> در وضعیت یکنواخت است. در وضعیت یکنواخت </w:t>
      </w:r>
      <w:r w:rsidRPr="00B92922">
        <w:rPr>
          <w:position w:val="-10"/>
        </w:rPr>
        <w:object w:dxaOrig="1520" w:dyaOrig="320" w14:anchorId="7B8DAAB2">
          <v:shape id="_x0000_i1474" type="#_x0000_t75" style="width:76.25pt;height:15.75pt" o:ole="">
            <v:imagedata r:id="rId923" o:title=""/>
          </v:shape>
          <o:OLEObject Type="Embed" ProgID="Equation.DSMT4" ShapeID="_x0000_i1474" DrawAspect="Content" ObjectID="_1791375418" r:id="rId924"/>
        </w:object>
      </w:r>
      <w:r w:rsidRPr="00A309A0">
        <w:rPr>
          <w:rFonts w:ascii="Cambria Math" w:eastAsiaTheme="minorEastAsia" w:hAnsi="Cambria Math"/>
          <w:sz w:val="23"/>
          <w:szCs w:val="23"/>
          <w:rtl/>
        </w:rPr>
        <w:t xml:space="preserve"> و چون </w:t>
      </w:r>
      <w:r w:rsidRPr="00B92922">
        <w:rPr>
          <w:position w:val="-22"/>
        </w:rPr>
        <w:object w:dxaOrig="880" w:dyaOrig="560" w14:anchorId="04DA631B">
          <v:shape id="_x0000_i1475" type="#_x0000_t75" style="width:44.15pt;height:27.85pt" o:ole="">
            <v:imagedata r:id="rId925" o:title=""/>
          </v:shape>
          <o:OLEObject Type="Embed" ProgID="Equation.DSMT4" ShapeID="_x0000_i1475" DrawAspect="Content" ObjectID="_1791375419" r:id="rId926"/>
        </w:object>
      </w:r>
      <w:r w:rsidRPr="00A309A0">
        <w:rPr>
          <w:rFonts w:ascii="Cambria Math" w:hAnsi="Cambria Math" w:hint="cs"/>
          <w:sz w:val="23"/>
          <w:szCs w:val="23"/>
          <w:rtl/>
        </w:rPr>
        <w:t xml:space="preserve">، </w:t>
      </w:r>
      <w:r w:rsidRPr="00A309A0">
        <w:rPr>
          <w:rFonts w:ascii="Cambria Math" w:hAnsi="Cambria Math"/>
          <w:sz w:val="23"/>
          <w:szCs w:val="23"/>
          <w:rtl/>
        </w:rPr>
        <w:t>بنابراین رابطه</w:t>
      </w:r>
      <w:r w:rsidRPr="00A309A0">
        <w:rPr>
          <w:rFonts w:ascii="Cambria Math" w:hAnsi="Cambria Math"/>
          <w:sz w:val="23"/>
          <w:szCs w:val="23"/>
          <w:rtl/>
        </w:rPr>
        <w:softHyphen/>
        <w:t xml:space="preserve">ی </w:t>
      </w:r>
      <w:r w:rsidRPr="00A309A0">
        <w:rPr>
          <w:rFonts w:ascii="Cambria Math" w:hAnsi="Cambria Math" w:hint="cs"/>
          <w:sz w:val="23"/>
          <w:szCs w:val="23"/>
          <w:rtl/>
        </w:rPr>
        <w:t>(۲. ۳۹)</w:t>
      </w:r>
      <w:r w:rsidRPr="00A309A0">
        <w:rPr>
          <w:rFonts w:ascii="Cambria Math" w:hAnsi="Cambria Math"/>
          <w:sz w:val="23"/>
          <w:szCs w:val="23"/>
          <w:rtl/>
        </w:rPr>
        <w:t xml:space="preserve"> برابر است با؛</w:t>
      </w:r>
    </w:p>
    <w:p w14:paraId="56970549" w14:textId="77777777" w:rsidR="00411620" w:rsidRPr="00A309A0" w:rsidRDefault="00411620" w:rsidP="00411620">
      <w:pPr>
        <w:pStyle w:val="MTDisplayEquation"/>
        <w:tabs>
          <w:tab w:val="clear" w:pos="6660"/>
        </w:tabs>
        <w:spacing w:line="216" w:lineRule="auto"/>
        <w:rPr>
          <w:rFonts w:ascii="Cambria Math" w:hAnsi="Cambria Math" w:cs="B Nazanin"/>
          <w:sz w:val="23"/>
          <w:szCs w:val="23"/>
          <w:lang w:bidi="fa-IR"/>
        </w:rPr>
      </w:pPr>
      <w:r w:rsidRPr="00B92922">
        <w:rPr>
          <w:position w:val="-28"/>
        </w:rPr>
        <w:object w:dxaOrig="3180" w:dyaOrig="620" w14:anchorId="4918C0C6">
          <v:shape id="_x0000_i1476" type="#_x0000_t75" style="width:159.15pt;height:30.85pt" o:ole="">
            <v:imagedata r:id="rId927" o:title=""/>
          </v:shape>
          <o:OLEObject Type="Embed" ProgID="Equation.DSMT4" ShapeID="_x0000_i1476" DrawAspect="Content" ObjectID="_1791375420" r:id="rId928"/>
        </w:object>
      </w:r>
      <w:r w:rsidRPr="00A309A0">
        <w:rPr>
          <w:rFonts w:ascii="Cambria Math" w:hAnsi="Cambria Math" w:cs="B Nazanin" w:hint="cs"/>
          <w:sz w:val="23"/>
          <w:szCs w:val="23"/>
        </w:rPr>
        <w:t xml:space="preserve"> </w:t>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sidRPr="00A309A0">
        <w:rPr>
          <w:rFonts w:ascii="Cambria Math" w:hAnsi="Cambria Math" w:cs="B Nazanin"/>
          <w:sz w:val="23"/>
          <w:szCs w:val="23"/>
        </w:rPr>
        <w:tab/>
      </w:r>
      <w:r>
        <w:rPr>
          <w:rFonts w:ascii="Cambria Math" w:hAnsi="Cambria Math" w:cs="B Nazanin"/>
          <w:sz w:val="23"/>
          <w:szCs w:val="23"/>
          <w:rtl/>
        </w:rPr>
        <w:tab/>
      </w:r>
      <w:r>
        <w:rPr>
          <w:rFonts w:ascii="Cambria Math" w:hAnsi="Cambria Math" w:cs="B Nazanin"/>
          <w:sz w:val="23"/>
          <w:szCs w:val="23"/>
          <w:rtl/>
        </w:rPr>
        <w:tab/>
      </w:r>
      <w:r>
        <w:rPr>
          <w:rFonts w:ascii="Cambria Math" w:hAnsi="Cambria Math" w:cs="B Nazanin"/>
          <w:sz w:val="23"/>
          <w:szCs w:val="23"/>
          <w:rtl/>
        </w:rPr>
        <w:tab/>
      </w:r>
      <w:r w:rsidRPr="00A309A0">
        <w:rPr>
          <w:rFonts w:ascii="Cambria Math" w:hAnsi="Cambria Math" w:cs="B Nazanin"/>
          <w:sz w:val="23"/>
          <w:szCs w:val="23"/>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hint="cs"/>
          <w:sz w:val="23"/>
          <w:szCs w:val="23"/>
          <w:rtl/>
        </w:rPr>
        <w:t>(۲. ۴۱)</w:t>
      </w:r>
    </w:p>
    <w:p w14:paraId="7AB2943D"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 xml:space="preserve">ازآنجاکه </w:t>
      </w:r>
      <w:r w:rsidRPr="00B92922">
        <w:rPr>
          <w:position w:val="-10"/>
        </w:rPr>
        <w:object w:dxaOrig="720" w:dyaOrig="320" w14:anchorId="55A84E16">
          <v:shape id="_x0000_i1477" type="#_x0000_t75" style="width:36.3pt;height:15.75pt" o:ole="">
            <v:imagedata r:id="rId929" o:title=""/>
          </v:shape>
          <o:OLEObject Type="Embed" ProgID="Equation.DSMT4" ShapeID="_x0000_i1477" DrawAspect="Content" ObjectID="_1791375421" r:id="rId930"/>
        </w:object>
      </w:r>
      <w:r w:rsidRPr="00A309A0">
        <w:rPr>
          <w:rFonts w:ascii="Cambria Math" w:eastAsiaTheme="minorEastAsia" w:hAnsi="Cambria Math"/>
          <w:sz w:val="23"/>
          <w:szCs w:val="23"/>
          <w:rtl/>
        </w:rPr>
        <w:t xml:space="preserve"> است</w:t>
      </w:r>
      <w:r w:rsidRPr="00A309A0">
        <w:rPr>
          <w:rFonts w:ascii="Cambria Math" w:hAnsi="Cambria Math"/>
          <w:sz w:val="23"/>
          <w:szCs w:val="23"/>
          <w:rtl/>
        </w:rPr>
        <w:t>، لذا در وضعیت یکنواخت</w:t>
      </w:r>
      <w:r w:rsidRPr="00A309A0">
        <w:rPr>
          <w:rFonts w:ascii="Cambria Math" w:hAnsi="Cambria Math" w:hint="cs"/>
          <w:sz w:val="23"/>
          <w:szCs w:val="23"/>
          <w:rtl/>
        </w:rPr>
        <w:t>،</w:t>
      </w:r>
      <w:r w:rsidRPr="00A309A0">
        <w:rPr>
          <w:rFonts w:ascii="Cambria Math" w:hAnsi="Cambria Math"/>
          <w:sz w:val="23"/>
          <w:szCs w:val="23"/>
          <w:rtl/>
        </w:rPr>
        <w:t xml:space="preserve"> رابطه</w:t>
      </w:r>
      <w:r w:rsidRPr="00A309A0">
        <w:rPr>
          <w:rFonts w:ascii="Cambria Math" w:hAnsi="Cambria Math"/>
          <w:sz w:val="23"/>
          <w:szCs w:val="23"/>
          <w:rtl/>
        </w:rPr>
        <w:softHyphen/>
        <w:t xml:space="preserve">ی منفی بین </w:t>
      </w:r>
      <w:r w:rsidRPr="00B92922">
        <w:rPr>
          <w:position w:val="-10"/>
        </w:rPr>
        <w:object w:dxaOrig="220" w:dyaOrig="320" w14:anchorId="34C879E2">
          <v:shape id="_x0000_i1478" type="#_x0000_t75" style="width:10.3pt;height:15.75pt" o:ole="">
            <v:imagedata r:id="rId931" o:title=""/>
          </v:shape>
          <o:OLEObject Type="Embed" ProgID="Equation.DSMT4" ShapeID="_x0000_i1478" DrawAspect="Content" ObjectID="_1791375422" r:id="rId932"/>
        </w:object>
      </w:r>
      <w:r w:rsidRPr="00A309A0">
        <w:rPr>
          <w:rFonts w:ascii="Cambria Math" w:hAnsi="Cambria Math"/>
          <w:sz w:val="23"/>
          <w:szCs w:val="23"/>
          <w:rtl/>
        </w:rPr>
        <w:t xml:space="preserve"> و </w:t>
      </w:r>
      <w:r w:rsidRPr="00B92922">
        <w:rPr>
          <w:position w:val="-10"/>
        </w:rPr>
        <w:object w:dxaOrig="240" w:dyaOrig="320" w14:anchorId="09F8AF6B">
          <v:shape id="_x0000_i1479" type="#_x0000_t75" style="width:12.1pt;height:15.75pt" o:ole="">
            <v:imagedata r:id="rId933" o:title=""/>
          </v:shape>
          <o:OLEObject Type="Embed" ProgID="Equation.DSMT4" ShapeID="_x0000_i1479" DrawAspect="Content" ObjectID="_1791375423" r:id="rId934"/>
        </w:object>
      </w:r>
      <w:r w:rsidRPr="00A309A0">
        <w:rPr>
          <w:rFonts w:ascii="Cambria Math" w:hAnsi="Cambria Math"/>
          <w:sz w:val="23"/>
          <w:szCs w:val="23"/>
          <w:rtl/>
        </w:rPr>
        <w:t xml:space="preserve"> برقرار است. بررسی پویایی بین</w:t>
      </w:r>
      <w:r w:rsidRPr="00B92922">
        <w:rPr>
          <w:position w:val="-10"/>
        </w:rPr>
        <w:object w:dxaOrig="220" w:dyaOrig="320" w14:anchorId="246E46F5">
          <v:shape id="_x0000_i1480" type="#_x0000_t75" style="width:10.3pt;height:15.75pt" o:ole="">
            <v:imagedata r:id="rId935" o:title=""/>
          </v:shape>
          <o:OLEObject Type="Embed" ProgID="Equation.DSMT4" ShapeID="_x0000_i1480" DrawAspect="Content" ObjectID="_1791375424" r:id="rId936"/>
        </w:object>
      </w:r>
      <w:r w:rsidRPr="00A309A0">
        <w:rPr>
          <w:rFonts w:ascii="Cambria Math" w:hAnsi="Cambria Math"/>
          <w:sz w:val="23"/>
          <w:szCs w:val="23"/>
          <w:rtl/>
        </w:rPr>
        <w:t xml:space="preserve"> و</w:t>
      </w:r>
      <w:r w:rsidRPr="00B92922">
        <w:rPr>
          <w:position w:val="-10"/>
        </w:rPr>
        <w:object w:dxaOrig="240" w:dyaOrig="320" w14:anchorId="35A4E97D">
          <v:shape id="_x0000_i1481" type="#_x0000_t75" style="width:12.1pt;height:15.75pt" o:ole="">
            <v:imagedata r:id="rId937" o:title=""/>
          </v:shape>
          <o:OLEObject Type="Embed" ProgID="Equation.DSMT4" ShapeID="_x0000_i1481" DrawAspect="Content" ObjectID="_1791375425" r:id="rId938"/>
        </w:object>
      </w:r>
      <w:r w:rsidRPr="00A309A0">
        <w:rPr>
          <w:rFonts w:ascii="Cambria Math" w:hAnsi="Cambria Math"/>
          <w:sz w:val="23"/>
          <w:szCs w:val="23"/>
          <w:rtl/>
        </w:rPr>
        <w:t xml:space="preserve"> را می‌توان با توجه به اثر افزایش دائمی بهره</w:t>
      </w:r>
      <w:r w:rsidRPr="00A309A0">
        <w:rPr>
          <w:rFonts w:ascii="Cambria Math" w:hAnsi="Cambria Math"/>
          <w:sz w:val="23"/>
          <w:szCs w:val="23"/>
          <w:rtl/>
        </w:rPr>
        <w:softHyphen/>
        <w:t xml:space="preserve">وری سرمایه نشان داد. در نمودار </w:t>
      </w:r>
      <w:r w:rsidRPr="00A309A0">
        <w:rPr>
          <w:rFonts w:ascii="Cambria Math" w:hAnsi="Cambria Math" w:hint="cs"/>
          <w:sz w:val="23"/>
          <w:szCs w:val="23"/>
          <w:rtl/>
        </w:rPr>
        <w:t>۲. ۱۳</w:t>
      </w:r>
      <w:r w:rsidRPr="00A309A0">
        <w:rPr>
          <w:rFonts w:ascii="Cambria Math" w:hAnsi="Cambria Math"/>
          <w:sz w:val="23"/>
          <w:szCs w:val="23"/>
          <w:rtl/>
        </w:rPr>
        <w:t xml:space="preserve"> خط </w:t>
      </w:r>
      <w:r w:rsidRPr="00B92922">
        <w:rPr>
          <w:position w:val="-8"/>
        </w:rPr>
        <w:object w:dxaOrig="660" w:dyaOrig="279" w14:anchorId="129E3B00">
          <v:shape id="_x0000_i1482" type="#_x0000_t75" style="width:32.65pt;height:14.5pt" o:ole="">
            <v:imagedata r:id="rId939" o:title=""/>
          </v:shape>
          <o:OLEObject Type="Embed" ProgID="Equation.DSMT4" ShapeID="_x0000_i1482" DrawAspect="Content" ObjectID="_1791375426" r:id="rId940"/>
        </w:object>
      </w:r>
      <w:r w:rsidRPr="00A309A0">
        <w:rPr>
          <w:rFonts w:ascii="Cambria Math" w:hAnsi="Cambria Math"/>
          <w:sz w:val="23"/>
          <w:szCs w:val="23"/>
          <w:rtl/>
        </w:rPr>
        <w:t xml:space="preserve"> رابطه</w:t>
      </w:r>
      <w:r w:rsidRPr="00A309A0">
        <w:rPr>
          <w:rFonts w:ascii="Cambria Math" w:hAnsi="Cambria Math"/>
          <w:sz w:val="23"/>
          <w:szCs w:val="23"/>
          <w:rtl/>
        </w:rPr>
        <w:softHyphen/>
        <w:t>ی بلندمدت بین</w:t>
      </w:r>
      <w:r w:rsidRPr="00B92922">
        <w:rPr>
          <w:position w:val="-10"/>
        </w:rPr>
        <w:object w:dxaOrig="220" w:dyaOrig="320" w14:anchorId="5B4A39A1">
          <v:shape id="_x0000_i1483" type="#_x0000_t75" style="width:10.3pt;height:15.75pt" o:ole="">
            <v:imagedata r:id="rId941" o:title=""/>
          </v:shape>
          <o:OLEObject Type="Embed" ProgID="Equation.DSMT4" ShapeID="_x0000_i1483" DrawAspect="Content" ObjectID="_1791375427" r:id="rId942"/>
        </w:object>
      </w:r>
      <w:r w:rsidRPr="00A309A0">
        <w:rPr>
          <w:rFonts w:ascii="Cambria Math" w:hAnsi="Cambria Math"/>
          <w:sz w:val="23"/>
          <w:szCs w:val="23"/>
          <w:rtl/>
        </w:rPr>
        <w:t xml:space="preserve"> و</w:t>
      </w:r>
      <w:r w:rsidRPr="00A309A0">
        <w:rPr>
          <w:rFonts w:ascii="Cambria Math" w:hAnsi="Cambria Math" w:hint="cs"/>
          <w:sz w:val="23"/>
          <w:szCs w:val="23"/>
          <w:rtl/>
        </w:rPr>
        <w:t xml:space="preserve"> </w:t>
      </w:r>
      <w:r w:rsidRPr="00B92922">
        <w:rPr>
          <w:position w:val="-10"/>
        </w:rPr>
        <w:object w:dxaOrig="240" w:dyaOrig="320" w14:anchorId="4991AC08">
          <v:shape id="_x0000_i1484" type="#_x0000_t75" style="width:12.1pt;height:15.75pt" o:ole="">
            <v:imagedata r:id="rId943" o:title=""/>
          </v:shape>
          <o:OLEObject Type="Embed" ProgID="Equation.DSMT4" ShapeID="_x0000_i1484" DrawAspect="Content" ObjectID="_1791375428" r:id="rId944"/>
        </w:object>
      </w:r>
      <w:r w:rsidRPr="00A309A0">
        <w:rPr>
          <w:rFonts w:ascii="Cambria Math" w:hAnsi="Cambria Math"/>
          <w:sz w:val="23"/>
          <w:szCs w:val="23"/>
          <w:rtl/>
        </w:rPr>
        <w:t xml:space="preserve"> را بواسطه</w:t>
      </w:r>
      <w:r w:rsidRPr="00A309A0">
        <w:rPr>
          <w:rFonts w:ascii="Cambria Math" w:hAnsi="Cambria Math"/>
          <w:sz w:val="23"/>
          <w:szCs w:val="23"/>
          <w:rtl/>
        </w:rPr>
        <w:softHyphen/>
        <w:t>ی معادله</w:t>
      </w:r>
      <w:r w:rsidRPr="00A309A0">
        <w:rPr>
          <w:rFonts w:ascii="Cambria Math" w:hAnsi="Cambria Math"/>
          <w:sz w:val="23"/>
          <w:szCs w:val="23"/>
          <w:rtl/>
        </w:rPr>
        <w:softHyphen/>
        <w:t>ی</w:t>
      </w:r>
      <w:r w:rsidRPr="00A309A0">
        <w:rPr>
          <w:rFonts w:ascii="Cambria Math" w:hAnsi="Cambria Math" w:hint="cs"/>
          <w:sz w:val="23"/>
          <w:szCs w:val="23"/>
          <w:rtl/>
        </w:rPr>
        <w:t xml:space="preserve"> (۲. ۴۱)</w:t>
      </w:r>
      <w:r w:rsidRPr="00A309A0">
        <w:rPr>
          <w:rFonts w:ascii="Cambria Math" w:hAnsi="Cambria Math"/>
          <w:sz w:val="23"/>
          <w:szCs w:val="23"/>
          <w:rtl/>
        </w:rPr>
        <w:t xml:space="preserve"> نشان می‌دهد</w:t>
      </w:r>
      <w:r w:rsidRPr="00A309A0">
        <w:rPr>
          <w:rFonts w:ascii="Cambria Math" w:hAnsi="Cambria Math" w:hint="cs"/>
          <w:sz w:val="23"/>
          <w:szCs w:val="23"/>
          <w:rtl/>
        </w:rPr>
        <w:t xml:space="preserve"> و</w:t>
      </w:r>
      <w:r w:rsidRPr="00A309A0">
        <w:rPr>
          <w:rFonts w:ascii="Cambria Math" w:hAnsi="Cambria Math"/>
          <w:sz w:val="23"/>
          <w:szCs w:val="23"/>
          <w:rtl/>
        </w:rPr>
        <w:t xml:space="preserve"> خط</w:t>
      </w:r>
      <w:r w:rsidRPr="00B92922">
        <w:rPr>
          <w:position w:val="-6"/>
        </w:rPr>
        <w:object w:dxaOrig="660" w:dyaOrig="260" w14:anchorId="748180E0">
          <v:shape id="_x0000_i1485" type="#_x0000_t75" style="width:32.65pt;height:13.3pt" o:ole="">
            <v:imagedata r:id="rId945" o:title=""/>
          </v:shape>
          <o:OLEObject Type="Embed" ProgID="Equation.DSMT4" ShapeID="_x0000_i1485" DrawAspect="Content" ObjectID="_1791375429" r:id="rId946"/>
        </w:object>
      </w:r>
      <w:r w:rsidRPr="00A309A0">
        <w:rPr>
          <w:rFonts w:ascii="Cambria Math" w:hAnsi="Cambria Math"/>
          <w:sz w:val="23"/>
          <w:szCs w:val="23"/>
          <w:rtl/>
        </w:rPr>
        <w:t xml:space="preserve"> سطح تعادلی بلندمدت</w:t>
      </w:r>
      <w:r w:rsidRPr="00B92922">
        <w:rPr>
          <w:position w:val="-10"/>
        </w:rPr>
        <w:object w:dxaOrig="220" w:dyaOrig="320" w14:anchorId="273A06A4">
          <v:shape id="_x0000_i1486" type="#_x0000_t75" style="width:10.3pt;height:15.75pt" o:ole="">
            <v:imagedata r:id="rId947" o:title=""/>
          </v:shape>
          <o:OLEObject Type="Embed" ProgID="Equation.DSMT4" ShapeID="_x0000_i1486" DrawAspect="Content" ObjectID="_1791375430" r:id="rId948"/>
        </w:object>
      </w:r>
      <w:r w:rsidRPr="00A309A0">
        <w:rPr>
          <w:rFonts w:ascii="Cambria Math" w:hAnsi="Cambria Math"/>
          <w:sz w:val="23"/>
          <w:szCs w:val="23"/>
          <w:rtl/>
        </w:rPr>
        <w:t xml:space="preserve"> است که از معادله</w:t>
      </w:r>
      <w:r w:rsidRPr="00A309A0">
        <w:rPr>
          <w:rFonts w:ascii="Cambria Math" w:hAnsi="Cambria Math"/>
          <w:sz w:val="23"/>
          <w:szCs w:val="23"/>
          <w:rtl/>
        </w:rPr>
        <w:softHyphen/>
        <w:t xml:space="preserve">ی </w:t>
      </w:r>
      <w:r w:rsidRPr="00A309A0">
        <w:rPr>
          <w:rFonts w:ascii="Cambria Math" w:hAnsi="Cambria Math" w:hint="cs"/>
          <w:sz w:val="23"/>
          <w:szCs w:val="23"/>
          <w:rtl/>
        </w:rPr>
        <w:t>(۲. ۴۰)</w:t>
      </w:r>
      <w:r w:rsidRPr="00A309A0">
        <w:rPr>
          <w:rFonts w:ascii="Cambria Math" w:hAnsi="Cambria Math"/>
          <w:sz w:val="23"/>
          <w:szCs w:val="23"/>
          <w:rtl/>
        </w:rPr>
        <w:t xml:space="preserve"> با قرار دادن </w:t>
      </w:r>
      <w:r w:rsidRPr="00B92922">
        <w:rPr>
          <w:position w:val="-10"/>
        </w:rPr>
        <w:object w:dxaOrig="859" w:dyaOrig="320" w14:anchorId="781D7F64">
          <v:shape id="_x0000_i1487" type="#_x0000_t75" style="width:42.95pt;height:15.75pt" o:ole="">
            <v:imagedata r:id="rId949" o:title=""/>
          </v:shape>
          <o:OLEObject Type="Embed" ProgID="Equation.DSMT4" ShapeID="_x0000_i1487" DrawAspect="Content" ObjectID="_1791375431" r:id="rId950"/>
        </w:object>
      </w:r>
      <w:r w:rsidRPr="00A309A0">
        <w:rPr>
          <w:rFonts w:ascii="Cambria Math" w:hAnsi="Cambria Math"/>
          <w:sz w:val="23"/>
          <w:szCs w:val="23"/>
          <w:rtl/>
        </w:rPr>
        <w:t xml:space="preserve"> و به تبع آن </w:t>
      </w:r>
      <w:r w:rsidRPr="00B92922">
        <w:rPr>
          <w:position w:val="-10"/>
        </w:rPr>
        <w:object w:dxaOrig="600" w:dyaOrig="320" w14:anchorId="1EAD19EA">
          <v:shape id="_x0000_i1488" type="#_x0000_t75" style="width:29.65pt;height:15.75pt" o:ole="">
            <v:imagedata r:id="rId951" o:title=""/>
          </v:shape>
          <o:OLEObject Type="Embed" ProgID="Equation.DSMT4" ShapeID="_x0000_i1488" DrawAspect="Content" ObjectID="_1791375432" r:id="rId952"/>
        </w:object>
      </w:r>
      <w:r w:rsidRPr="00A309A0">
        <w:rPr>
          <w:rFonts w:ascii="Cambria Math" w:eastAsiaTheme="minorEastAsia" w:hAnsi="Cambria Math"/>
          <w:sz w:val="23"/>
          <w:szCs w:val="23"/>
          <w:rtl/>
        </w:rPr>
        <w:t xml:space="preserve"> </w:t>
      </w:r>
      <w:r w:rsidRPr="00A309A0">
        <w:rPr>
          <w:rFonts w:ascii="Cambria Math" w:hAnsi="Cambria Math"/>
          <w:sz w:val="23"/>
          <w:szCs w:val="23"/>
          <w:rtl/>
        </w:rPr>
        <w:t>به دست می‌آید. این دو خط همدیگر را در نقطه</w:t>
      </w:r>
      <w:r w:rsidRPr="00A309A0">
        <w:rPr>
          <w:rFonts w:ascii="Cambria Math" w:hAnsi="Cambria Math"/>
          <w:sz w:val="23"/>
          <w:szCs w:val="23"/>
          <w:rtl/>
        </w:rPr>
        <w:softHyphen/>
        <w:t xml:space="preserve">ی </w:t>
      </w:r>
      <w:r w:rsidRPr="00A309A0">
        <w:rPr>
          <w:rFonts w:ascii="Cambria Math" w:hAnsi="Cambria Math"/>
          <w:i/>
          <w:iCs/>
          <w:sz w:val="23"/>
          <w:szCs w:val="23"/>
          <w:lang w:val="en-GB"/>
        </w:rPr>
        <w:t>C</w:t>
      </w:r>
      <w:r w:rsidRPr="00A309A0">
        <w:rPr>
          <w:rFonts w:ascii="Cambria Math" w:hAnsi="Cambria Math"/>
          <w:sz w:val="23"/>
          <w:szCs w:val="23"/>
          <w:rtl/>
        </w:rPr>
        <w:t xml:space="preserve"> قطع می‌کنند. لازم به ذکر است که در این نقطه</w:t>
      </w:r>
      <w:r w:rsidRPr="00B92922">
        <w:rPr>
          <w:position w:val="-10"/>
        </w:rPr>
        <w:object w:dxaOrig="1320" w:dyaOrig="320" w14:anchorId="71C7DFC6">
          <v:shape id="_x0000_i1489" type="#_x0000_t75" style="width:65.35pt;height:15.75pt" o:ole="">
            <v:imagedata r:id="rId953" o:title=""/>
          </v:shape>
          <o:OLEObject Type="Embed" ProgID="Equation.DSMT4" ShapeID="_x0000_i1489" DrawAspect="Content" ObjectID="_1791375433" r:id="rId954"/>
        </w:object>
      </w:r>
      <w:r w:rsidRPr="00A309A0">
        <w:rPr>
          <w:rFonts w:ascii="Cambria Math" w:eastAsiaTheme="minorEastAsia" w:hAnsi="Cambria Math"/>
          <w:sz w:val="23"/>
          <w:szCs w:val="23"/>
          <w:rtl/>
        </w:rPr>
        <w:t xml:space="preserve"> است</w:t>
      </w:r>
      <w:r w:rsidRPr="00A309A0">
        <w:rPr>
          <w:rFonts w:ascii="Cambria Math" w:hAnsi="Cambria Math"/>
          <w:sz w:val="23"/>
          <w:szCs w:val="23"/>
          <w:rtl/>
        </w:rPr>
        <w:t>. با افزایش در بهره</w:t>
      </w:r>
      <w:r w:rsidRPr="00A309A0">
        <w:rPr>
          <w:rFonts w:ascii="Cambria Math" w:hAnsi="Cambria Math"/>
          <w:sz w:val="23"/>
          <w:szCs w:val="23"/>
          <w:rtl/>
        </w:rPr>
        <w:softHyphen/>
        <w:t xml:space="preserve">وری، </w:t>
      </w:r>
      <w:r w:rsidRPr="00B92922">
        <w:rPr>
          <w:position w:val="-10"/>
        </w:rPr>
        <w:object w:dxaOrig="240" w:dyaOrig="320" w14:anchorId="1BE0B0DC">
          <v:shape id="_x0000_i1490" type="#_x0000_t75" style="width:12.1pt;height:15.75pt" o:ole="">
            <v:imagedata r:id="rId955" o:title=""/>
          </v:shape>
          <o:OLEObject Type="Embed" ProgID="Equation.DSMT4" ShapeID="_x0000_i1490" DrawAspect="Content" ObjectID="_1791375434" r:id="rId956"/>
        </w:object>
      </w:r>
      <w:r w:rsidRPr="00A309A0">
        <w:rPr>
          <w:rFonts w:ascii="Cambria Math" w:hAnsi="Cambria Math"/>
          <w:sz w:val="23"/>
          <w:szCs w:val="23"/>
          <w:rtl/>
        </w:rPr>
        <w:t xml:space="preserve"> و به تبع آن سرمایه‌گذاری افزایش خواهد یافت. در ابتدا </w:t>
      </w:r>
      <w:r w:rsidRPr="00B92922">
        <w:rPr>
          <w:position w:val="-10"/>
        </w:rPr>
        <w:object w:dxaOrig="220" w:dyaOrig="320" w14:anchorId="15ED9A34">
          <v:shape id="_x0000_i1491" type="#_x0000_t75" style="width:10.3pt;height:15.75pt" o:ole="">
            <v:imagedata r:id="rId957" o:title=""/>
          </v:shape>
          <o:OLEObject Type="Embed" ProgID="Equation.DSMT4" ShapeID="_x0000_i1491" DrawAspect="Content" ObjectID="_1791375435" r:id="rId958"/>
        </w:object>
      </w:r>
      <w:r w:rsidRPr="00A309A0">
        <w:rPr>
          <w:rFonts w:ascii="Cambria Math" w:hAnsi="Cambria Math"/>
          <w:sz w:val="23"/>
          <w:szCs w:val="23"/>
          <w:rtl/>
        </w:rPr>
        <w:t xml:space="preserve"> بدون تغییر باقی مانده و بنابراین اقتصاد به </w:t>
      </w:r>
      <w:r w:rsidRPr="00A309A0">
        <w:rPr>
          <w:rFonts w:ascii="Cambria Math" w:hAnsi="Cambria Math" w:hint="cs"/>
          <w:sz w:val="23"/>
          <w:szCs w:val="23"/>
          <w:rtl/>
        </w:rPr>
        <w:t xml:space="preserve">سمت </w:t>
      </w:r>
      <w:r w:rsidRPr="00A309A0">
        <w:rPr>
          <w:rFonts w:ascii="Cambria Math" w:hAnsi="Cambria Math"/>
          <w:sz w:val="23"/>
          <w:szCs w:val="23"/>
          <w:rtl/>
        </w:rPr>
        <w:t>نقطه</w:t>
      </w:r>
      <w:r w:rsidRPr="00A309A0">
        <w:rPr>
          <w:rFonts w:ascii="Cambria Math" w:hAnsi="Cambria Math"/>
          <w:sz w:val="23"/>
          <w:szCs w:val="23"/>
          <w:rtl/>
        </w:rPr>
        <w:softHyphen/>
      </w:r>
      <w:r w:rsidRPr="00A309A0">
        <w:rPr>
          <w:rFonts w:ascii="Cambria Math" w:hAnsi="Cambria Math" w:hint="cs"/>
          <w:sz w:val="23"/>
          <w:szCs w:val="23"/>
          <w:rtl/>
        </w:rPr>
        <w:t>ی</w:t>
      </w:r>
      <w:r w:rsidRPr="00A309A0">
        <w:rPr>
          <w:rFonts w:ascii="Cambria Math" w:hAnsi="Cambria Math"/>
          <w:sz w:val="23"/>
          <w:szCs w:val="23"/>
          <w:rtl/>
        </w:rPr>
        <w:t xml:space="preserve"> </w:t>
      </w:r>
      <w:r w:rsidRPr="00025957">
        <w:rPr>
          <w:position w:val="-4"/>
        </w:rPr>
        <w:object w:dxaOrig="240" w:dyaOrig="240" w14:anchorId="57416BCB">
          <v:shape id="_x0000_i1492" type="#_x0000_t75" style="width:12.1pt;height:12.1pt" o:ole="">
            <v:imagedata r:id="rId959" o:title=""/>
          </v:shape>
          <o:OLEObject Type="Embed" ProgID="Equation.DSMT4" ShapeID="_x0000_i1492" DrawAspect="Content" ObjectID="_1791375436" r:id="rId960"/>
        </w:object>
      </w:r>
      <w:r w:rsidRPr="00A309A0">
        <w:rPr>
          <w:rFonts w:ascii="Cambria Math" w:hAnsi="Cambria Math"/>
          <w:sz w:val="23"/>
          <w:szCs w:val="23"/>
          <w:rtl/>
        </w:rPr>
        <w:t xml:space="preserve"> حرکت می‌کند. </w:t>
      </w:r>
    </w:p>
    <w:p w14:paraId="2FEDD662"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سرمایه‌گذاری جدید در هر دوره موجودی سرمایه را افزایش داده و با افزایش</w:t>
      </w:r>
      <w:r w:rsidRPr="00B92922">
        <w:rPr>
          <w:position w:val="-6"/>
        </w:rPr>
        <w:object w:dxaOrig="200" w:dyaOrig="260" w14:anchorId="03D13FB7">
          <v:shape id="_x0000_i1493" type="#_x0000_t75" style="width:10.3pt;height:13.3pt" o:ole="">
            <v:imagedata r:id="rId961" o:title=""/>
          </v:shape>
          <o:OLEObject Type="Embed" ProgID="Equation.DSMT4" ShapeID="_x0000_i1493" DrawAspect="Content" ObjectID="_1791375437" r:id="rId962"/>
        </w:object>
      </w:r>
      <w:r w:rsidRPr="00A309A0">
        <w:rPr>
          <w:rFonts w:ascii="Cambria Math" w:hAnsi="Cambria Math"/>
          <w:sz w:val="23"/>
          <w:szCs w:val="23"/>
          <w:rtl/>
        </w:rPr>
        <w:t xml:space="preserve"> از رابطه</w:t>
      </w:r>
      <w:r w:rsidRPr="00A309A0">
        <w:rPr>
          <w:rFonts w:ascii="Cambria Math" w:hAnsi="Cambria Math"/>
          <w:sz w:val="23"/>
          <w:szCs w:val="23"/>
          <w:rtl/>
        </w:rPr>
        <w:softHyphen/>
        <w:t xml:space="preserve">ی </w:t>
      </w:r>
      <w:r w:rsidRPr="00A309A0">
        <w:rPr>
          <w:rFonts w:ascii="Cambria Math" w:hAnsi="Cambria Math" w:hint="cs"/>
          <w:sz w:val="23"/>
          <w:szCs w:val="23"/>
          <w:rtl/>
        </w:rPr>
        <w:t>(۲. ۴۱)</w:t>
      </w:r>
      <w:r w:rsidRPr="00A309A0">
        <w:rPr>
          <w:rFonts w:ascii="Cambria Math" w:hAnsi="Cambria Math"/>
          <w:sz w:val="23"/>
          <w:szCs w:val="23"/>
          <w:rtl/>
        </w:rPr>
        <w:t xml:space="preserve"> متغیر</w:t>
      </w:r>
      <w:r w:rsidRPr="00B92922">
        <w:rPr>
          <w:position w:val="-8"/>
        </w:rPr>
        <w:object w:dxaOrig="200" w:dyaOrig="240" w14:anchorId="0D85F15A">
          <v:shape id="_x0000_i1494" type="#_x0000_t75" style="width:10.3pt;height:12.1pt" o:ole="">
            <v:imagedata r:id="rId963" o:title=""/>
          </v:shape>
          <o:OLEObject Type="Embed" ProgID="Equation.DSMT4" ShapeID="_x0000_i1494" DrawAspect="Content" ObjectID="_1791375438" r:id="rId964"/>
        </w:object>
      </w:r>
      <w:r w:rsidRPr="00A309A0">
        <w:rPr>
          <w:rFonts w:ascii="Cambria Math" w:eastAsiaTheme="minorEastAsia" w:hAnsi="Cambria Math"/>
          <w:sz w:val="23"/>
          <w:szCs w:val="23"/>
          <w:rtl/>
        </w:rPr>
        <w:t xml:space="preserve"> کاهش یافته </w:t>
      </w:r>
      <w:r w:rsidRPr="00A309A0">
        <w:rPr>
          <w:rFonts w:ascii="Cambria Math" w:hAnsi="Cambria Math"/>
          <w:sz w:val="23"/>
          <w:szCs w:val="23"/>
          <w:rtl/>
        </w:rPr>
        <w:t>تا</w:t>
      </w:r>
      <w:r w:rsidRPr="00A309A0">
        <w:rPr>
          <w:rFonts w:ascii="Cambria Math" w:hAnsi="Cambria Math" w:hint="cs"/>
          <w:sz w:val="23"/>
          <w:szCs w:val="23"/>
          <w:rtl/>
        </w:rPr>
        <w:t xml:space="preserve"> </w:t>
      </w:r>
      <w:r w:rsidRPr="00A309A0">
        <w:rPr>
          <w:rFonts w:ascii="Cambria Math" w:hAnsi="Cambria Math"/>
          <w:sz w:val="23"/>
          <w:szCs w:val="23"/>
          <w:rtl/>
        </w:rPr>
        <w:t>این</w:t>
      </w:r>
      <w:r w:rsidRPr="00A309A0">
        <w:rPr>
          <w:rFonts w:ascii="Cambria Math" w:hAnsi="Cambria Math"/>
          <w:sz w:val="23"/>
          <w:szCs w:val="23"/>
          <w:rtl/>
        </w:rPr>
        <w:softHyphen/>
        <w:t>که اقتصاد به تعادل بلندمدت خود در نقطه</w:t>
      </w:r>
      <w:r w:rsidRPr="00A309A0">
        <w:rPr>
          <w:rFonts w:ascii="Cambria Math" w:hAnsi="Cambria Math"/>
          <w:sz w:val="23"/>
          <w:szCs w:val="23"/>
          <w:rtl/>
        </w:rPr>
        <w:softHyphen/>
        <w:t xml:space="preserve">ی </w:t>
      </w:r>
      <w:r w:rsidRPr="00B92922">
        <w:rPr>
          <w:position w:val="-6"/>
        </w:rPr>
        <w:object w:dxaOrig="220" w:dyaOrig="260" w14:anchorId="6688C111">
          <v:shape id="_x0000_i1495" type="#_x0000_t75" style="width:10.3pt;height:13.3pt" o:ole="">
            <v:imagedata r:id="rId965" o:title=""/>
          </v:shape>
          <o:OLEObject Type="Embed" ProgID="Equation.DSMT4" ShapeID="_x0000_i1495" DrawAspect="Content" ObjectID="_1791375439" r:id="rId966"/>
        </w:object>
      </w:r>
      <w:r w:rsidRPr="00A309A0">
        <w:rPr>
          <w:rFonts w:ascii="Cambria Math" w:hAnsi="Cambria Math"/>
          <w:sz w:val="23"/>
          <w:szCs w:val="23"/>
          <w:rtl/>
        </w:rPr>
        <w:t xml:space="preserve"> و با حرکت در امتداد مسیر زینی از </w:t>
      </w:r>
      <w:r w:rsidRPr="00025957">
        <w:rPr>
          <w:position w:val="-4"/>
        </w:rPr>
        <w:object w:dxaOrig="240" w:dyaOrig="240" w14:anchorId="27638BEF">
          <v:shape id="_x0000_i1496" type="#_x0000_t75" style="width:12.1pt;height:12.1pt" o:ole="">
            <v:imagedata r:id="rId967" o:title=""/>
          </v:shape>
          <o:OLEObject Type="Embed" ProgID="Equation.DSMT4" ShapeID="_x0000_i1496" DrawAspect="Content" ObjectID="_1791375440" r:id="rId968"/>
        </w:object>
      </w:r>
      <w:r w:rsidRPr="00A309A0">
        <w:rPr>
          <w:rFonts w:ascii="Cambria Math" w:hAnsi="Cambria Math"/>
          <w:sz w:val="23"/>
          <w:szCs w:val="23"/>
          <w:rtl/>
        </w:rPr>
        <w:t xml:space="preserve"> برسد. </w:t>
      </w:r>
      <w:r w:rsidRPr="00A309A0">
        <w:rPr>
          <w:rFonts w:ascii="Cambria Math" w:hAnsi="Cambria Math"/>
          <w:color w:val="000000" w:themeColor="text1"/>
          <w:sz w:val="23"/>
          <w:szCs w:val="23"/>
          <w:rtl/>
        </w:rPr>
        <w:t xml:space="preserve">در این نقطه </w:t>
      </w:r>
      <w:r w:rsidRPr="00B92922">
        <w:rPr>
          <w:position w:val="-10"/>
        </w:rPr>
        <w:object w:dxaOrig="240" w:dyaOrig="320" w14:anchorId="30FC12BD">
          <v:shape id="_x0000_i1497" type="#_x0000_t75" style="width:12.1pt;height:15.75pt" o:ole="">
            <v:imagedata r:id="rId969" o:title=""/>
          </v:shape>
          <o:OLEObject Type="Embed" ProgID="Equation.DSMT4" ShapeID="_x0000_i1497" DrawAspect="Content" ObjectID="_1791375441" r:id="rId970"/>
        </w:object>
      </w:r>
      <w:r w:rsidRPr="00A309A0">
        <w:rPr>
          <w:rFonts w:ascii="Cambria Math" w:hAnsi="Cambria Math"/>
          <w:color w:val="000000" w:themeColor="text1"/>
          <w:sz w:val="23"/>
          <w:szCs w:val="23"/>
          <w:rtl/>
        </w:rPr>
        <w:t xml:space="preserve"> به سطح تعادل بلندمدت خود برمی‌گردد و موجودی سرمایه، تولید، و مصرف تعادلی با افزایش بهره</w:t>
      </w:r>
      <w:r w:rsidRPr="00A309A0">
        <w:rPr>
          <w:rFonts w:ascii="Cambria Math" w:hAnsi="Cambria Math"/>
          <w:color w:val="000000" w:themeColor="text1"/>
          <w:sz w:val="23"/>
          <w:szCs w:val="23"/>
          <w:rtl/>
        </w:rPr>
        <w:softHyphen/>
        <w:t>وری افزایش خواهند یافت.</w:t>
      </w:r>
      <w:r w:rsidRPr="00A309A0">
        <w:rPr>
          <w:rFonts w:ascii="Cambria Math" w:hAnsi="Cambria Math" w:hint="cs"/>
          <w:color w:val="000000" w:themeColor="text1"/>
          <w:sz w:val="23"/>
          <w:szCs w:val="23"/>
          <w:rtl/>
        </w:rPr>
        <w:t xml:space="preserve"> </w:t>
      </w:r>
      <w:r w:rsidRPr="00A309A0">
        <w:rPr>
          <w:rFonts w:ascii="Cambria Math" w:hAnsi="Cambria Math"/>
          <w:sz w:val="23"/>
          <w:szCs w:val="23"/>
          <w:rtl/>
        </w:rPr>
        <w:t>اثرات کوتاه</w:t>
      </w:r>
      <w:r w:rsidRPr="00A309A0">
        <w:rPr>
          <w:rFonts w:ascii="Cambria Math" w:hAnsi="Cambria Math"/>
          <w:sz w:val="23"/>
          <w:szCs w:val="23"/>
          <w:rtl/>
        </w:rPr>
        <w:softHyphen/>
        <w:t>مدت افزایش بهره</w:t>
      </w:r>
      <w:r w:rsidRPr="00A309A0">
        <w:rPr>
          <w:rFonts w:ascii="Cambria Math" w:hAnsi="Cambria Math"/>
          <w:sz w:val="23"/>
          <w:szCs w:val="23"/>
          <w:rtl/>
        </w:rPr>
        <w:softHyphen/>
        <w:t>وری بر متغیرهای مصرف و سرمایه</w:t>
      </w:r>
      <w:r w:rsidRPr="00A309A0">
        <w:rPr>
          <w:rFonts w:ascii="Cambria Math" w:hAnsi="Cambria Math"/>
          <w:sz w:val="23"/>
          <w:szCs w:val="23"/>
          <w:rtl/>
        </w:rPr>
        <w:softHyphen/>
        <w:t xml:space="preserve">گذاری نیز از روابط </w:t>
      </w:r>
      <w:r w:rsidRPr="00A309A0">
        <w:rPr>
          <w:rFonts w:ascii="Cambria Math" w:hAnsi="Cambria Math" w:hint="cs"/>
          <w:sz w:val="23"/>
          <w:szCs w:val="23"/>
          <w:rtl/>
        </w:rPr>
        <w:t>(۲. ۳۲)</w:t>
      </w:r>
      <w:r w:rsidRPr="00A309A0">
        <w:rPr>
          <w:rFonts w:ascii="Cambria Math" w:eastAsiaTheme="minorEastAsia" w:hAnsi="Cambria Math"/>
          <w:sz w:val="23"/>
          <w:szCs w:val="23"/>
          <w:rtl/>
        </w:rPr>
        <w:t xml:space="preserve"> و</w:t>
      </w:r>
      <w:r w:rsidRPr="00A309A0">
        <w:rPr>
          <w:rFonts w:ascii="Cambria Math" w:eastAsiaTheme="minorEastAsia" w:hAnsi="Cambria Math" w:hint="cs"/>
          <w:sz w:val="23"/>
          <w:szCs w:val="23"/>
          <w:rtl/>
        </w:rPr>
        <w:t xml:space="preserve"> </w:t>
      </w:r>
      <w:r w:rsidRPr="00A309A0">
        <w:rPr>
          <w:rFonts w:ascii="Cambria Math" w:hAnsi="Cambria Math" w:hint="cs"/>
          <w:sz w:val="23"/>
          <w:szCs w:val="23"/>
          <w:rtl/>
        </w:rPr>
        <w:t>(۲. ۲)</w:t>
      </w:r>
      <w:r w:rsidRPr="00A309A0">
        <w:rPr>
          <w:rFonts w:ascii="Cambria Math" w:eastAsiaTheme="minorEastAsia" w:hAnsi="Cambria Math"/>
          <w:sz w:val="23"/>
          <w:szCs w:val="23"/>
          <w:rtl/>
        </w:rPr>
        <w:t xml:space="preserve"> بدست خواهد آمد.</w:t>
      </w:r>
    </w:p>
    <w:p w14:paraId="52462892" w14:textId="77777777" w:rsidR="00411620" w:rsidRPr="00A309A0" w:rsidRDefault="00411620" w:rsidP="00411620">
      <w:pPr>
        <w:pStyle w:val="Heading2"/>
        <w:spacing w:before="0" w:line="216" w:lineRule="auto"/>
        <w:rPr>
          <w:rFonts w:ascii="Cambria Math" w:hAnsi="Cambria Math" w:cs="B Nazanin"/>
          <w:i/>
          <w:iCs/>
          <w:color w:val="000000" w:themeColor="text1"/>
          <w:sz w:val="23"/>
          <w:szCs w:val="23"/>
          <w:rtl/>
        </w:rPr>
      </w:pPr>
      <w:r w:rsidRPr="00A309A0">
        <w:rPr>
          <w:rFonts w:ascii="Cambria Math" w:hAnsi="Cambria Math" w:cs="B Nazanin" w:hint="cs"/>
          <w:color w:val="000000" w:themeColor="text1"/>
          <w:sz w:val="23"/>
          <w:szCs w:val="23"/>
          <w:rtl/>
        </w:rPr>
        <w:lastRenderedPageBreak/>
        <w:t xml:space="preserve">۲. ۷. ۲ </w:t>
      </w:r>
      <w:r w:rsidRPr="00A309A0">
        <w:rPr>
          <w:rFonts w:ascii="Cambria Math" w:hAnsi="Cambria Math" w:cs="B Nazanin"/>
          <w:color w:val="000000" w:themeColor="text1"/>
          <w:sz w:val="23"/>
          <w:szCs w:val="23"/>
          <w:rtl/>
        </w:rPr>
        <w:t>تئوری سرمایه</w:t>
      </w:r>
      <w:r w:rsidRPr="00A309A0">
        <w:rPr>
          <w:rFonts w:ascii="Cambria Math" w:hAnsi="Cambria Math" w:cs="B Nazanin"/>
          <w:color w:val="000000" w:themeColor="text1"/>
          <w:sz w:val="23"/>
          <w:szCs w:val="23"/>
          <w:rtl/>
        </w:rPr>
        <w:softHyphen/>
        <w:t>گذاری زمان</w:t>
      </w:r>
      <w:r w:rsidRPr="00A309A0">
        <w:rPr>
          <w:rFonts w:ascii="Cambria Math" w:hAnsi="Cambria Math" w:cs="B Nazanin" w:hint="cs"/>
          <w:color w:val="000000" w:themeColor="text1"/>
          <w:sz w:val="23"/>
          <w:szCs w:val="23"/>
          <w:rtl/>
        </w:rPr>
        <w:t>-</w:t>
      </w:r>
      <w:r w:rsidRPr="00A309A0">
        <w:rPr>
          <w:rFonts w:ascii="Cambria Math" w:hAnsi="Cambria Math" w:cs="B Nazanin"/>
          <w:color w:val="000000" w:themeColor="text1"/>
          <w:sz w:val="23"/>
          <w:szCs w:val="23"/>
          <w:rtl/>
        </w:rPr>
        <w:t xml:space="preserve">ساخت </w:t>
      </w:r>
    </w:p>
    <w:p w14:paraId="688F4101"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روش دیگر جهت تبیین رفتار سرمایه</w:t>
      </w:r>
      <w:r w:rsidRPr="00A309A0">
        <w:rPr>
          <w:rFonts w:ascii="Cambria Math" w:hAnsi="Cambria Math"/>
          <w:sz w:val="23"/>
          <w:szCs w:val="23"/>
          <w:rtl/>
        </w:rPr>
        <w:softHyphen/>
        <w:t>گذاری این است که فرض کنیم نصب و راه</w:t>
      </w:r>
      <w:r w:rsidRPr="00A309A0">
        <w:rPr>
          <w:rFonts w:ascii="Cambria Math" w:hAnsi="Cambria Math"/>
          <w:sz w:val="23"/>
          <w:szCs w:val="23"/>
          <w:rtl/>
        </w:rPr>
        <w:softHyphen/>
        <w:t>اندازی سرمایه‌گذاری زمان</w:t>
      </w:r>
      <w:r w:rsidRPr="00A309A0">
        <w:rPr>
          <w:rFonts w:ascii="Cambria Math" w:hAnsi="Cambria Math"/>
          <w:sz w:val="23"/>
          <w:szCs w:val="23"/>
          <w:rtl/>
        </w:rPr>
        <w:softHyphen/>
        <w:t>بر است. کیدلند و پرسکات</w:t>
      </w:r>
      <w:r w:rsidRPr="00A309A0">
        <w:rPr>
          <w:rStyle w:val="FootnoteReference"/>
          <w:rFonts w:ascii="Cambria Math" w:eastAsiaTheme="majorEastAsia" w:hAnsi="Cambria Math"/>
          <w:sz w:val="23"/>
          <w:szCs w:val="23"/>
          <w:rtl/>
        </w:rPr>
        <w:footnoteReference w:id="94"/>
      </w:r>
      <w:r w:rsidRPr="00A309A0">
        <w:rPr>
          <w:rFonts w:ascii="Cambria Math" w:hAnsi="Cambria Math"/>
          <w:sz w:val="23"/>
          <w:szCs w:val="23"/>
          <w:rtl/>
        </w:rPr>
        <w:t xml:space="preserve"> اولین کسانی بودند که این ایده را در تئوری سرمایه‌گذاری نئوکلاسیک وارد مدل </w:t>
      </w:r>
      <w:r w:rsidRPr="00A309A0">
        <w:rPr>
          <w:rFonts w:ascii="Cambria Math" w:hAnsi="Cambria Math" w:hint="cs"/>
          <w:sz w:val="23"/>
          <w:szCs w:val="23"/>
          <w:rtl/>
        </w:rPr>
        <w:t>ادوار</w:t>
      </w:r>
      <w:r w:rsidRPr="00A309A0">
        <w:rPr>
          <w:rFonts w:ascii="Cambria Math" w:hAnsi="Cambria Math"/>
          <w:sz w:val="23"/>
          <w:szCs w:val="23"/>
          <w:rtl/>
        </w:rPr>
        <w:t xml:space="preserve"> تجاری حقیقی اقتصاد کلان تعادل عمومی پویا کردند.</w:t>
      </w:r>
      <w:r w:rsidRPr="00A309A0">
        <w:rPr>
          <w:rStyle w:val="FootnoteReference"/>
          <w:rFonts w:ascii="Cambria Math" w:eastAsiaTheme="majorEastAsia" w:hAnsi="Cambria Math"/>
          <w:sz w:val="23"/>
          <w:szCs w:val="23"/>
          <w:rtl/>
        </w:rPr>
        <w:footnoteReference w:id="95"/>
      </w:r>
      <w:r w:rsidRPr="00A309A0">
        <w:rPr>
          <w:rFonts w:ascii="Cambria Math" w:hAnsi="Cambria Math"/>
          <w:sz w:val="23"/>
          <w:szCs w:val="23"/>
          <w:rtl/>
        </w:rPr>
        <w:t xml:space="preserve"> </w:t>
      </w:r>
      <w:r w:rsidRPr="00A309A0">
        <w:rPr>
          <w:rFonts w:ascii="Cambria Math" w:hAnsi="Cambria Math" w:hint="cs"/>
          <w:sz w:val="23"/>
          <w:szCs w:val="23"/>
          <w:rtl/>
        </w:rPr>
        <w:t xml:space="preserve">در </w:t>
      </w:r>
      <w:r w:rsidRPr="00A309A0">
        <w:rPr>
          <w:rFonts w:ascii="Cambria Math" w:hAnsi="Cambria Math"/>
          <w:sz w:val="23"/>
          <w:szCs w:val="23"/>
          <w:rtl/>
        </w:rPr>
        <w:t>این تئوری تصریح معادله</w:t>
      </w:r>
      <w:r w:rsidRPr="00A309A0">
        <w:rPr>
          <w:rFonts w:ascii="Cambria Math" w:hAnsi="Cambria Math"/>
          <w:sz w:val="23"/>
          <w:szCs w:val="23"/>
          <w:rtl/>
        </w:rPr>
        <w:softHyphen/>
        <w:t>ی انباشت سرمایه</w:t>
      </w:r>
      <w:r w:rsidRPr="00A309A0">
        <w:rPr>
          <w:rFonts w:ascii="Cambria Math" w:hAnsi="Cambria Math"/>
          <w:sz w:val="23"/>
          <w:szCs w:val="23"/>
          <w:rtl/>
        </w:rPr>
        <w:softHyphen/>
        <w:t xml:space="preserve">ی </w:t>
      </w:r>
      <w:r w:rsidRPr="00A309A0">
        <w:rPr>
          <w:rFonts w:ascii="Cambria Math" w:hAnsi="Cambria Math" w:hint="cs"/>
          <w:sz w:val="23"/>
          <w:szCs w:val="23"/>
          <w:rtl/>
        </w:rPr>
        <w:t>(۲. ۲)</w:t>
      </w:r>
      <w:r w:rsidRPr="00A309A0">
        <w:rPr>
          <w:rFonts w:ascii="Cambria Math" w:eastAsiaTheme="minorEastAsia" w:hAnsi="Cambria Math"/>
          <w:sz w:val="23"/>
          <w:szCs w:val="23"/>
          <w:rtl/>
        </w:rPr>
        <w:t xml:space="preserve"> </w:t>
      </w:r>
      <w:r w:rsidRPr="00A309A0">
        <w:rPr>
          <w:rFonts w:ascii="Cambria Math" w:hAnsi="Cambria Math"/>
          <w:sz w:val="23"/>
          <w:szCs w:val="23"/>
          <w:rtl/>
        </w:rPr>
        <w:t>ت</w:t>
      </w:r>
      <w:r w:rsidRPr="00A309A0">
        <w:rPr>
          <w:rFonts w:ascii="Cambria Math" w:hAnsi="Cambria Math" w:hint="cs"/>
          <w:sz w:val="23"/>
          <w:szCs w:val="23"/>
          <w:rtl/>
        </w:rPr>
        <w:t>غییر می</w:t>
      </w:r>
      <w:r w:rsidRPr="00A309A0">
        <w:rPr>
          <w:rFonts w:ascii="Cambria Math" w:hAnsi="Cambria Math"/>
          <w:sz w:val="23"/>
          <w:szCs w:val="23"/>
          <w:rtl/>
        </w:rPr>
        <w:softHyphen/>
      </w:r>
      <w:r w:rsidRPr="00A309A0">
        <w:rPr>
          <w:rFonts w:ascii="Cambria Math" w:hAnsi="Cambria Math" w:hint="cs"/>
          <w:sz w:val="23"/>
          <w:szCs w:val="23"/>
          <w:rtl/>
        </w:rPr>
        <w:t>کند</w:t>
      </w:r>
      <w:r w:rsidRPr="00A309A0">
        <w:rPr>
          <w:rFonts w:ascii="Cambria Math" w:hAnsi="Cambria Math"/>
          <w:sz w:val="23"/>
          <w:szCs w:val="23"/>
          <w:rtl/>
        </w:rPr>
        <w:t>. در حالت اول فرض می</w:t>
      </w:r>
      <w:r w:rsidRPr="00A309A0">
        <w:rPr>
          <w:rFonts w:ascii="Cambria Math" w:hAnsi="Cambria Math"/>
          <w:sz w:val="23"/>
          <w:szCs w:val="23"/>
          <w:rtl/>
        </w:rPr>
        <w:softHyphen/>
        <w:t>شود که مخارج سرمایه‌گذاری در زمان</w:t>
      </w:r>
      <w:r w:rsidRPr="00B92922">
        <w:rPr>
          <w:position w:val="-6"/>
        </w:rPr>
        <w:object w:dxaOrig="139" w:dyaOrig="240" w14:anchorId="51679801">
          <v:shape id="_x0000_i1498" type="#_x0000_t75" style="width:6.65pt;height:12.1pt" o:ole="">
            <v:imagedata r:id="rId971" o:title=""/>
          </v:shape>
          <o:OLEObject Type="Embed" ProgID="Equation.DSMT4" ShapeID="_x0000_i1498" DrawAspect="Content" ObjectID="_1791375442" r:id="rId972"/>
        </w:object>
      </w:r>
      <w:r w:rsidRPr="00A309A0">
        <w:rPr>
          <w:rFonts w:ascii="Cambria Math" w:hAnsi="Cambria Math"/>
          <w:sz w:val="23"/>
          <w:szCs w:val="23"/>
          <w:rtl/>
        </w:rPr>
        <w:t xml:space="preserve"> نتیجه</w:t>
      </w:r>
      <w:r w:rsidRPr="00A309A0">
        <w:rPr>
          <w:rFonts w:ascii="Cambria Math" w:hAnsi="Cambria Math"/>
          <w:sz w:val="23"/>
          <w:szCs w:val="23"/>
          <w:rtl/>
        </w:rPr>
        <w:softHyphen/>
        <w:t>ی تصمیمات سرمایه‌گذاری گذشته</w:t>
      </w:r>
      <w:r w:rsidRPr="00A309A0">
        <w:rPr>
          <w:rFonts w:ascii="Cambria Math" w:hAnsi="Cambria Math"/>
          <w:sz w:val="23"/>
          <w:szCs w:val="23"/>
          <w:rtl/>
        </w:rPr>
        <w:softHyphen/>
        <w:t xml:space="preserve">ی </w:t>
      </w:r>
      <w:r w:rsidRPr="00B92922">
        <w:rPr>
          <w:position w:val="-10"/>
        </w:rPr>
        <w:object w:dxaOrig="200" w:dyaOrig="340" w14:anchorId="0E3F32D0">
          <v:shape id="_x0000_i1499" type="#_x0000_t75" style="width:10.3pt;height:16.95pt" o:ole="">
            <v:imagedata r:id="rId973" o:title=""/>
          </v:shape>
          <o:OLEObject Type="Embed" ProgID="Equation.DSMT4" ShapeID="_x0000_i1499" DrawAspect="Content" ObjectID="_1791375443" r:id="rId974"/>
        </w:object>
      </w:r>
      <w:r w:rsidRPr="00A309A0">
        <w:rPr>
          <w:rFonts w:ascii="Cambria Math" w:hAnsi="Cambria Math"/>
          <w:sz w:val="23"/>
          <w:szCs w:val="23"/>
          <w:rtl/>
        </w:rPr>
        <w:t xml:space="preserve"> با ضریب </w:t>
      </w:r>
      <w:r w:rsidRPr="00B92922">
        <w:rPr>
          <w:position w:val="-10"/>
        </w:rPr>
        <w:object w:dxaOrig="220" w:dyaOrig="320" w14:anchorId="298CFDE0">
          <v:shape id="_x0000_i1500" type="#_x0000_t75" style="width:10.3pt;height:15.75pt" o:ole="">
            <v:imagedata r:id="rId975" o:title=""/>
          </v:shape>
          <o:OLEObject Type="Embed" ProgID="Equation.DSMT4" ShapeID="_x0000_i1500" DrawAspect="Content" ObjectID="_1791375444" r:id="rId976"/>
        </w:object>
      </w:r>
      <w:r w:rsidRPr="00A309A0">
        <w:rPr>
          <w:rFonts w:ascii="Cambria Math" w:hAnsi="Cambria Math"/>
          <w:sz w:val="23"/>
          <w:szCs w:val="23"/>
          <w:rtl/>
        </w:rPr>
        <w:t xml:space="preserve"> است. لذا خواهیم داشت؛ </w:t>
      </w:r>
    </w:p>
    <w:p w14:paraId="5ABDA6A4" w14:textId="77777777" w:rsidR="00411620" w:rsidRPr="00A309A0" w:rsidRDefault="00411620" w:rsidP="00411620">
      <w:pPr>
        <w:bidi w:val="0"/>
        <w:spacing w:line="216" w:lineRule="auto"/>
        <w:rPr>
          <w:rFonts w:ascii="Cambria Math" w:hAnsi="Cambria Math"/>
          <w:sz w:val="23"/>
          <w:szCs w:val="23"/>
          <w:rtl/>
        </w:rPr>
      </w:pPr>
      <w:r w:rsidRPr="00B92922">
        <w:rPr>
          <w:position w:val="-26"/>
        </w:rPr>
        <w:object w:dxaOrig="1020" w:dyaOrig="620" w14:anchorId="20F44994">
          <v:shape id="_x0000_i1501" type="#_x0000_t75" style="width:50.8pt;height:30.85pt" o:ole="">
            <v:imagedata r:id="rId977" o:title=""/>
          </v:shape>
          <o:OLEObject Type="Embed" ProgID="Equation.DSMT4" ShapeID="_x0000_i1501" DrawAspect="Content" ObjectID="_1791375445" r:id="rId978"/>
        </w:object>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hint="cs"/>
          <w:sz w:val="23"/>
          <w:szCs w:val="23"/>
          <w:rtl/>
        </w:rPr>
        <w:t>(۲. ۴۲)</w:t>
      </w:r>
    </w:p>
    <w:p w14:paraId="38AED545"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 xml:space="preserve">اگر جهت نصب تأخیر وجود داشته باشد، آنگاه </w:t>
      </w:r>
      <w:r w:rsidRPr="00B92922">
        <w:rPr>
          <w:position w:val="-10"/>
        </w:rPr>
        <w:object w:dxaOrig="220" w:dyaOrig="320" w14:anchorId="56B76604">
          <v:shape id="_x0000_i1502" type="#_x0000_t75" style="width:10.3pt;height:15.75pt" o:ole="">
            <v:imagedata r:id="rId979" o:title=""/>
          </v:shape>
          <o:OLEObject Type="Embed" ProgID="Equation.DSMT4" ShapeID="_x0000_i1502" DrawAspect="Content" ObjectID="_1791375446" r:id="rId980"/>
        </w:object>
      </w:r>
      <w:r w:rsidRPr="00A309A0">
        <w:rPr>
          <w:rFonts w:ascii="Cambria Math" w:hAnsi="Cambria Math"/>
          <w:sz w:val="23"/>
          <w:szCs w:val="23"/>
          <w:rtl/>
        </w:rPr>
        <w:t xml:space="preserve"> به ازای </w:t>
      </w:r>
      <w:r w:rsidRPr="00B92922">
        <w:rPr>
          <w:position w:val="-6"/>
        </w:rPr>
        <w:object w:dxaOrig="859" w:dyaOrig="260" w14:anchorId="54D18A95">
          <v:shape id="_x0000_i1503" type="#_x0000_t75" style="width:42.95pt;height:13.3pt" o:ole="">
            <v:imagedata r:id="rId981" o:title=""/>
          </v:shape>
          <o:OLEObject Type="Embed" ProgID="Equation.DSMT4" ShapeID="_x0000_i1503" DrawAspect="Content" ObjectID="_1791375447" r:id="rId982"/>
        </w:object>
      </w:r>
      <w:r w:rsidRPr="00A309A0">
        <w:rPr>
          <w:rFonts w:ascii="Cambria Math" w:eastAsiaTheme="minorEastAsia" w:hAnsi="Cambria Math"/>
          <w:sz w:val="23"/>
          <w:szCs w:val="23"/>
          <w:rtl/>
        </w:rPr>
        <w:t xml:space="preserve">، برابر صفر </w:t>
      </w:r>
      <w:r w:rsidRPr="00A309A0">
        <w:rPr>
          <w:rFonts w:ascii="Cambria Math" w:eastAsiaTheme="minorEastAsia" w:hAnsi="Cambria Math" w:hint="cs"/>
          <w:sz w:val="23"/>
          <w:szCs w:val="23"/>
          <w:rtl/>
        </w:rPr>
        <w:t>خواهد بود</w:t>
      </w:r>
      <w:r w:rsidRPr="00A309A0">
        <w:rPr>
          <w:rFonts w:ascii="Cambria Math" w:eastAsiaTheme="minorEastAsia" w:hAnsi="Cambria Math"/>
          <w:sz w:val="23"/>
          <w:szCs w:val="23"/>
          <w:rtl/>
        </w:rPr>
        <w:t xml:space="preserve"> </w:t>
      </w:r>
      <w:r w:rsidRPr="00A309A0">
        <w:rPr>
          <w:rFonts w:ascii="Cambria Math" w:eastAsiaTheme="minorEastAsia" w:hAnsi="Cambria Math" w:hint="cs"/>
          <w:sz w:val="23"/>
          <w:szCs w:val="23"/>
          <w:rtl/>
        </w:rPr>
        <w:t xml:space="preserve">و </w:t>
      </w:r>
      <w:r w:rsidRPr="00A309A0">
        <w:rPr>
          <w:rFonts w:ascii="Cambria Math" w:eastAsiaTheme="minorEastAsia" w:hAnsi="Cambria Math"/>
          <w:sz w:val="23"/>
          <w:szCs w:val="23"/>
          <w:rtl/>
        </w:rPr>
        <w:t>در این صورت</w:t>
      </w:r>
      <w:r w:rsidRPr="00A309A0">
        <w:rPr>
          <w:rFonts w:ascii="Cambria Math" w:hAnsi="Cambria Math"/>
          <w:sz w:val="23"/>
          <w:szCs w:val="23"/>
          <w:rtl/>
        </w:rPr>
        <w:t xml:space="preserve"> معادله</w:t>
      </w:r>
      <w:r w:rsidRPr="00A309A0">
        <w:rPr>
          <w:rFonts w:ascii="Cambria Math" w:hAnsi="Cambria Math"/>
          <w:sz w:val="23"/>
          <w:szCs w:val="23"/>
          <w:rtl/>
        </w:rPr>
        <w:softHyphen/>
        <w:t xml:space="preserve">ی انباشت سرمایه </w:t>
      </w:r>
      <w:r w:rsidRPr="00A309A0">
        <w:rPr>
          <w:rFonts w:ascii="Cambria Math" w:hAnsi="Cambria Math" w:hint="cs"/>
          <w:sz w:val="23"/>
          <w:szCs w:val="23"/>
          <w:rtl/>
        </w:rPr>
        <w:t>(۲. ۲)</w:t>
      </w:r>
      <w:r w:rsidRPr="00A309A0">
        <w:rPr>
          <w:rFonts w:ascii="Cambria Math" w:hAnsi="Cambria Math"/>
          <w:sz w:val="23"/>
          <w:szCs w:val="23"/>
          <w:rtl/>
        </w:rPr>
        <w:t xml:space="preserve"> بدون تغییر باقی خواهد ‌ماند و مطلوبیت تنزیل شده نسبت به قیود قبل بانضمام </w:t>
      </w:r>
      <w:r w:rsidRPr="00A309A0">
        <w:rPr>
          <w:rFonts w:ascii="Cambria Math" w:hAnsi="Cambria Math" w:hint="cs"/>
          <w:sz w:val="23"/>
          <w:szCs w:val="23"/>
          <w:rtl/>
        </w:rPr>
        <w:t>معادله</w:t>
      </w:r>
      <w:r w:rsidRPr="00A309A0">
        <w:rPr>
          <w:rFonts w:ascii="Cambria Math" w:hAnsi="Cambria Math"/>
          <w:sz w:val="23"/>
          <w:szCs w:val="23"/>
          <w:rtl/>
        </w:rPr>
        <w:softHyphen/>
      </w:r>
      <w:r w:rsidRPr="00A309A0">
        <w:rPr>
          <w:rFonts w:ascii="Cambria Math" w:hAnsi="Cambria Math" w:hint="cs"/>
          <w:sz w:val="23"/>
          <w:szCs w:val="23"/>
          <w:rtl/>
        </w:rPr>
        <w:t>ی (۲. ۴۲)</w:t>
      </w:r>
      <w:r w:rsidRPr="00A309A0">
        <w:rPr>
          <w:rFonts w:ascii="Cambria Math" w:hAnsi="Cambria Math"/>
          <w:sz w:val="23"/>
          <w:szCs w:val="23"/>
          <w:rtl/>
        </w:rPr>
        <w:t xml:space="preserve"> جهت محاسبه</w:t>
      </w:r>
      <w:r w:rsidRPr="00A309A0">
        <w:rPr>
          <w:rFonts w:ascii="Cambria Math" w:hAnsi="Cambria Math"/>
          <w:sz w:val="23"/>
          <w:szCs w:val="23"/>
          <w:rtl/>
        </w:rPr>
        <w:softHyphen/>
        <w:t>ی</w:t>
      </w:r>
      <w:r w:rsidRPr="00B92922">
        <w:rPr>
          <w:position w:val="-10"/>
        </w:rPr>
        <w:object w:dxaOrig="200" w:dyaOrig="340" w14:anchorId="05BE5BE3">
          <v:shape id="_x0000_i1504" type="#_x0000_t75" style="width:10.3pt;height:16.95pt" o:ole="">
            <v:imagedata r:id="rId983" o:title=""/>
          </v:shape>
          <o:OLEObject Type="Embed" ProgID="Equation.DSMT4" ShapeID="_x0000_i1504" DrawAspect="Content" ObjectID="_1791375448" r:id="rId984"/>
        </w:object>
      </w:r>
      <w:r w:rsidRPr="00A309A0">
        <w:rPr>
          <w:rFonts w:ascii="Cambria Math" w:hAnsi="Cambria Math"/>
          <w:sz w:val="23"/>
          <w:szCs w:val="23"/>
          <w:rtl/>
        </w:rPr>
        <w:t xml:space="preserve"> و</w:t>
      </w:r>
      <w:r w:rsidRPr="00B92922">
        <w:rPr>
          <w:position w:val="-10"/>
        </w:rPr>
        <w:object w:dxaOrig="180" w:dyaOrig="320" w14:anchorId="72D7BA33">
          <v:shape id="_x0000_i1505" type="#_x0000_t75" style="width:9.1pt;height:15.75pt" o:ole="">
            <v:imagedata r:id="rId985" o:title=""/>
          </v:shape>
          <o:OLEObject Type="Embed" ProgID="Equation.DSMT4" ShapeID="_x0000_i1505" DrawAspect="Content" ObjectID="_1791375449" r:id="rId986"/>
        </w:object>
      </w:r>
      <w:r w:rsidRPr="00A309A0">
        <w:rPr>
          <w:rFonts w:ascii="Cambria Math" w:hAnsi="Cambria Math" w:hint="cs"/>
          <w:sz w:val="23"/>
          <w:szCs w:val="23"/>
          <w:rtl/>
        </w:rPr>
        <w:t>،</w:t>
      </w:r>
      <w:r w:rsidRPr="00A309A0">
        <w:rPr>
          <w:rFonts w:ascii="Cambria Math" w:hAnsi="Cambria Math"/>
          <w:sz w:val="23"/>
          <w:szCs w:val="23"/>
          <w:rtl/>
        </w:rPr>
        <w:t xml:space="preserve"> و همچنین مصرف و موجودی سرمایه حداکثر می</w:t>
      </w:r>
      <w:r w:rsidRPr="00A309A0">
        <w:rPr>
          <w:rFonts w:ascii="Cambria Math" w:hAnsi="Cambria Math"/>
          <w:sz w:val="23"/>
          <w:szCs w:val="23"/>
          <w:rtl/>
        </w:rPr>
        <w:softHyphen/>
        <w:t xml:space="preserve">شود. این همان رویکرد کیدلند و پرسکات است. </w:t>
      </w:r>
    </w:p>
    <w:p w14:paraId="26387CED"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 xml:space="preserve">حالت دیگر </w:t>
      </w:r>
      <w:r w:rsidRPr="00A309A0">
        <w:rPr>
          <w:rFonts w:ascii="Cambria Math" w:hAnsi="Cambria Math" w:hint="cs"/>
          <w:sz w:val="23"/>
          <w:szCs w:val="23"/>
          <w:rtl/>
        </w:rPr>
        <w:t>آن</w:t>
      </w:r>
      <w:r w:rsidRPr="00A309A0">
        <w:rPr>
          <w:rFonts w:ascii="Cambria Math" w:hAnsi="Cambria Math"/>
          <w:sz w:val="23"/>
          <w:szCs w:val="23"/>
          <w:rtl/>
        </w:rPr>
        <w:t xml:space="preserve"> است که فرض کنیم سرمایه‌گذاری انجام شده در دوره</w:t>
      </w:r>
      <w:r w:rsidRPr="00A309A0">
        <w:rPr>
          <w:rFonts w:ascii="Cambria Math" w:hAnsi="Cambria Math"/>
          <w:sz w:val="23"/>
          <w:szCs w:val="23"/>
          <w:rtl/>
        </w:rPr>
        <w:softHyphen/>
        <w:t>های گذشته نصب و راه</w:t>
      </w:r>
      <w:r w:rsidRPr="00A309A0">
        <w:rPr>
          <w:rFonts w:ascii="Cambria Math" w:hAnsi="Cambria Math"/>
          <w:sz w:val="23"/>
          <w:szCs w:val="23"/>
          <w:rtl/>
        </w:rPr>
        <w:softHyphen/>
        <w:t>اندازی شده و به</w:t>
      </w:r>
      <w:r w:rsidRPr="00A309A0">
        <w:rPr>
          <w:rFonts w:ascii="Cambria Math" w:hAnsi="Cambria Math"/>
          <w:sz w:val="23"/>
          <w:szCs w:val="23"/>
          <w:rtl/>
        </w:rPr>
        <w:softHyphen/>
        <w:t>عنوان بخشی از موجودی سرمایه</w:t>
      </w:r>
      <w:r w:rsidRPr="00A309A0">
        <w:rPr>
          <w:rFonts w:ascii="Cambria Math" w:hAnsi="Cambria Math"/>
          <w:sz w:val="23"/>
          <w:szCs w:val="23"/>
          <w:rtl/>
        </w:rPr>
        <w:softHyphen/>
        <w:t>ی طی دوره</w:t>
      </w:r>
      <w:r w:rsidRPr="00A309A0">
        <w:rPr>
          <w:rFonts w:ascii="Cambria Math" w:hAnsi="Cambria Math"/>
          <w:sz w:val="23"/>
          <w:szCs w:val="23"/>
          <w:rtl/>
        </w:rPr>
        <w:softHyphen/>
        <w:t>ی</w:t>
      </w:r>
      <w:r w:rsidRPr="00B92922">
        <w:rPr>
          <w:position w:val="-6"/>
        </w:rPr>
        <w:object w:dxaOrig="420" w:dyaOrig="260" w14:anchorId="590F3335">
          <v:shape id="_x0000_i1506" type="#_x0000_t75" style="width:21.2pt;height:13.3pt" o:ole="">
            <v:imagedata r:id="rId987" o:title=""/>
          </v:shape>
          <o:OLEObject Type="Embed" ProgID="Equation.DSMT4" ShapeID="_x0000_i1506" DrawAspect="Content" ObjectID="_1791375450" r:id="rId988"/>
        </w:object>
      </w:r>
      <w:r w:rsidRPr="00A309A0">
        <w:rPr>
          <w:rFonts w:ascii="Cambria Math" w:hAnsi="Cambria Math"/>
          <w:sz w:val="23"/>
          <w:szCs w:val="23"/>
          <w:rtl/>
        </w:rPr>
        <w:t xml:space="preserve"> مورد استفاده قرار می</w:t>
      </w:r>
      <w:r w:rsidRPr="00A309A0">
        <w:rPr>
          <w:rFonts w:ascii="Cambria Math" w:hAnsi="Cambria Math"/>
          <w:sz w:val="23"/>
          <w:szCs w:val="23"/>
          <w:rtl/>
        </w:rPr>
        <w:softHyphen/>
        <w:t xml:space="preserve">گیرد. بنابراین معادله </w:t>
      </w:r>
      <w:r w:rsidRPr="00A309A0">
        <w:rPr>
          <w:rFonts w:ascii="Cambria Math" w:hAnsi="Cambria Math" w:hint="cs"/>
          <w:sz w:val="23"/>
          <w:szCs w:val="23"/>
          <w:rtl/>
        </w:rPr>
        <w:t>(۲. ۲)</w:t>
      </w:r>
      <w:r w:rsidRPr="00A309A0">
        <w:rPr>
          <w:rFonts w:ascii="Cambria Math" w:hAnsi="Cambria Math"/>
          <w:sz w:val="23"/>
          <w:szCs w:val="23"/>
          <w:rtl/>
        </w:rPr>
        <w:t xml:space="preserve"> می‌تواند به صورت زیر بازنویسی شود.</w:t>
      </w:r>
    </w:p>
    <w:p w14:paraId="601D672A" w14:textId="77777777" w:rsidR="00411620" w:rsidRPr="00A309A0" w:rsidRDefault="00411620" w:rsidP="00411620">
      <w:pPr>
        <w:bidi w:val="0"/>
        <w:spacing w:line="216" w:lineRule="auto"/>
        <w:rPr>
          <w:rFonts w:ascii="Cambria Math" w:hAnsi="Cambria Math"/>
          <w:sz w:val="23"/>
          <w:szCs w:val="23"/>
          <w:rtl/>
        </w:rPr>
      </w:pPr>
      <w:r w:rsidRPr="00A309A0">
        <w:rPr>
          <w:rFonts w:ascii="Cambria Math" w:hAnsi="Cambria Math"/>
          <w:sz w:val="23"/>
          <w:szCs w:val="23"/>
          <w:rtl/>
        </w:rPr>
        <w:t xml:space="preserve"> </w:t>
      </w:r>
      <w:r w:rsidRPr="00B92922">
        <w:rPr>
          <w:position w:val="-26"/>
        </w:rPr>
        <w:object w:dxaOrig="1800" w:dyaOrig="620" w14:anchorId="372C5BAF">
          <v:shape id="_x0000_i1507" type="#_x0000_t75" style="width:90.15pt;height:30.85pt" o:ole="">
            <v:imagedata r:id="rId989" o:title=""/>
          </v:shape>
          <o:OLEObject Type="Embed" ProgID="Equation.DSMT4" ShapeID="_x0000_i1507" DrawAspect="Content" ObjectID="_1791375451" r:id="rId990"/>
        </w:object>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sidRPr="00A309A0">
        <w:rPr>
          <w:rFonts w:ascii="Cambria Math" w:hAnsi="Cambria Math"/>
          <w:sz w:val="23"/>
          <w:szCs w:val="23"/>
          <w:rtl/>
        </w:rPr>
        <w:tab/>
      </w:r>
      <w:r>
        <w:rPr>
          <w:rFonts w:ascii="Cambria Math" w:hAnsi="Cambria Math"/>
          <w:sz w:val="23"/>
          <w:szCs w:val="23"/>
          <w:rtl/>
        </w:rPr>
        <w:tab/>
      </w:r>
      <w:r>
        <w:rPr>
          <w:rFonts w:ascii="Cambria Math" w:hAnsi="Cambria Math"/>
          <w:sz w:val="23"/>
          <w:szCs w:val="23"/>
          <w:rtl/>
        </w:rPr>
        <w:tab/>
      </w:r>
      <w:r w:rsidRPr="00A309A0">
        <w:rPr>
          <w:rFonts w:ascii="Cambria Math" w:hAnsi="Cambria Math"/>
          <w:sz w:val="23"/>
          <w:szCs w:val="23"/>
          <w:rtl/>
        </w:rPr>
        <w:tab/>
      </w:r>
      <w:r w:rsidRPr="00A309A0">
        <w:rPr>
          <w:rFonts w:ascii="Cambria Math" w:hAnsi="Cambria Math" w:hint="cs"/>
          <w:sz w:val="23"/>
          <w:szCs w:val="23"/>
          <w:rtl/>
        </w:rPr>
        <w:t>(۲. ۴۳)</w:t>
      </w:r>
    </w:p>
    <w:p w14:paraId="630B92A5"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 xml:space="preserve">که در آن </w:t>
      </w:r>
      <w:r w:rsidRPr="00B92922">
        <w:rPr>
          <w:position w:val="-26"/>
        </w:rPr>
        <w:object w:dxaOrig="760" w:dyaOrig="620" w14:anchorId="3BC623D6">
          <v:shape id="_x0000_i1508" type="#_x0000_t75" style="width:38.1pt;height:30.85pt" o:ole="">
            <v:imagedata r:id="rId991" o:title=""/>
          </v:shape>
          <o:OLEObject Type="Embed" ProgID="Equation.DSMT4" ShapeID="_x0000_i1508" DrawAspect="Content" ObjectID="_1791375452" r:id="rId992"/>
        </w:object>
      </w:r>
      <w:r w:rsidRPr="00A309A0">
        <w:rPr>
          <w:rFonts w:ascii="Cambria Math" w:hAnsi="Cambria Math" w:hint="cs"/>
          <w:sz w:val="23"/>
          <w:szCs w:val="23"/>
          <w:rtl/>
        </w:rPr>
        <w:t xml:space="preserve"> </w:t>
      </w:r>
      <w:r w:rsidRPr="00A309A0">
        <w:rPr>
          <w:rFonts w:ascii="Cambria Math" w:hAnsi="Cambria Math"/>
          <w:sz w:val="23"/>
          <w:szCs w:val="23"/>
          <w:rtl/>
        </w:rPr>
        <w:t>توزیع باوقفه</w:t>
      </w:r>
      <w:r w:rsidRPr="00A309A0">
        <w:rPr>
          <w:rFonts w:ascii="Cambria Math" w:hAnsi="Cambria Math"/>
          <w:sz w:val="23"/>
          <w:szCs w:val="23"/>
          <w:rtl/>
        </w:rPr>
        <w:softHyphen/>
      </w:r>
      <w:r w:rsidRPr="00A309A0">
        <w:rPr>
          <w:rFonts w:ascii="Cambria Math" w:hAnsi="Cambria Math" w:hint="cs"/>
          <w:sz w:val="23"/>
          <w:szCs w:val="23"/>
          <w:rtl/>
        </w:rPr>
        <w:t>ی</w:t>
      </w:r>
      <w:r w:rsidRPr="00A309A0">
        <w:rPr>
          <w:rFonts w:ascii="Cambria Math" w:hAnsi="Cambria Math"/>
          <w:sz w:val="23"/>
          <w:szCs w:val="23"/>
          <w:rtl/>
        </w:rPr>
        <w:t xml:space="preserve"> هزینه</w:t>
      </w:r>
      <w:r w:rsidRPr="00A309A0">
        <w:rPr>
          <w:rFonts w:ascii="Cambria Math" w:hAnsi="Cambria Math"/>
          <w:sz w:val="23"/>
          <w:szCs w:val="23"/>
          <w:rtl/>
        </w:rPr>
        <w:softHyphen/>
        <w:t>های نصب و راه</w:t>
      </w:r>
      <w:r w:rsidRPr="00A309A0">
        <w:rPr>
          <w:rFonts w:ascii="Cambria Math" w:hAnsi="Cambria Math"/>
          <w:sz w:val="23"/>
          <w:szCs w:val="23"/>
          <w:rtl/>
        </w:rPr>
        <w:softHyphen/>
        <w:t>اندازی را منعکس خواهد کرد. تصریح دیگر</w:t>
      </w:r>
      <w:r w:rsidRPr="00A309A0">
        <w:rPr>
          <w:rFonts w:ascii="Cambria Math" w:hAnsi="Cambria Math" w:hint="cs"/>
          <w:sz w:val="23"/>
          <w:szCs w:val="23"/>
          <w:rtl/>
        </w:rPr>
        <w:t>،</w:t>
      </w:r>
      <w:r w:rsidRPr="00A309A0">
        <w:rPr>
          <w:rFonts w:ascii="Cambria Math" w:hAnsi="Cambria Math"/>
          <w:sz w:val="23"/>
          <w:szCs w:val="23"/>
          <w:rtl/>
        </w:rPr>
        <w:t xml:space="preserve"> ترکیب استهلاک در</w:t>
      </w:r>
      <w:r w:rsidRPr="00A309A0">
        <w:rPr>
          <w:rFonts w:ascii="Cambria Math" w:hAnsi="Cambria Math" w:hint="cs"/>
          <w:sz w:val="23"/>
          <w:szCs w:val="23"/>
          <w:rtl/>
        </w:rPr>
        <w:t xml:space="preserve"> ضریب</w:t>
      </w:r>
      <w:r w:rsidRPr="00A309A0">
        <w:rPr>
          <w:rFonts w:ascii="Cambria Math" w:hAnsi="Cambria Math"/>
          <w:sz w:val="23"/>
          <w:szCs w:val="23"/>
          <w:rtl/>
        </w:rPr>
        <w:t xml:space="preserve"> </w:t>
      </w:r>
      <w:r w:rsidRPr="00B92922">
        <w:rPr>
          <w:position w:val="-10"/>
        </w:rPr>
        <w:object w:dxaOrig="220" w:dyaOrig="320" w14:anchorId="3B59ABB9">
          <v:shape id="_x0000_i1509" type="#_x0000_t75" style="width:10.3pt;height:15.75pt" o:ole="">
            <v:imagedata r:id="rId993" o:title=""/>
          </v:shape>
          <o:OLEObject Type="Embed" ProgID="Equation.DSMT4" ShapeID="_x0000_i1509" DrawAspect="Content" ObjectID="_1791375453" r:id="rId994"/>
        </w:object>
      </w:r>
      <w:r w:rsidRPr="00A309A0">
        <w:rPr>
          <w:rFonts w:ascii="Cambria Math" w:hAnsi="Cambria Math"/>
          <w:sz w:val="23"/>
          <w:szCs w:val="23"/>
          <w:rtl/>
        </w:rPr>
        <w:t xml:space="preserve"> است و فرض </w:t>
      </w:r>
      <w:r w:rsidRPr="00A309A0">
        <w:rPr>
          <w:rFonts w:ascii="Cambria Math" w:hAnsi="Cambria Math" w:hint="cs"/>
          <w:sz w:val="23"/>
          <w:szCs w:val="23"/>
          <w:rtl/>
        </w:rPr>
        <w:t>می</w:t>
      </w:r>
      <w:r w:rsidRPr="00A309A0">
        <w:rPr>
          <w:rFonts w:ascii="Cambria Math" w:hAnsi="Cambria Math"/>
          <w:sz w:val="23"/>
          <w:szCs w:val="23"/>
          <w:rtl/>
        </w:rPr>
        <w:softHyphen/>
      </w:r>
      <w:r w:rsidRPr="00A309A0">
        <w:rPr>
          <w:rFonts w:ascii="Cambria Math" w:hAnsi="Cambria Math" w:hint="cs"/>
          <w:sz w:val="23"/>
          <w:szCs w:val="23"/>
          <w:rtl/>
        </w:rPr>
        <w:t xml:space="preserve">شود </w:t>
      </w:r>
      <w:r w:rsidRPr="00A309A0">
        <w:rPr>
          <w:rFonts w:ascii="Cambria Math" w:hAnsi="Cambria Math"/>
          <w:sz w:val="23"/>
          <w:szCs w:val="23"/>
          <w:rtl/>
        </w:rPr>
        <w:t>که نسبت سرمایه‌گذاری انجام شده در دوره</w:t>
      </w:r>
      <w:r w:rsidRPr="00A309A0">
        <w:rPr>
          <w:rFonts w:ascii="Cambria Math" w:hAnsi="Cambria Math"/>
          <w:sz w:val="23"/>
          <w:szCs w:val="23"/>
          <w:rtl/>
        </w:rPr>
        <w:softHyphen/>
      </w:r>
      <w:r w:rsidRPr="00A309A0">
        <w:rPr>
          <w:rFonts w:ascii="Cambria Math" w:hAnsi="Cambria Math" w:hint="cs"/>
          <w:sz w:val="23"/>
          <w:szCs w:val="23"/>
          <w:rtl/>
        </w:rPr>
        <w:t>ی</w:t>
      </w:r>
      <w:r w:rsidRPr="00B92922">
        <w:rPr>
          <w:position w:val="-6"/>
        </w:rPr>
        <w:object w:dxaOrig="139" w:dyaOrig="240" w14:anchorId="7A1DB005">
          <v:shape id="_x0000_i1510" type="#_x0000_t75" style="width:6.65pt;height:12.1pt" o:ole="">
            <v:imagedata r:id="rId995" o:title=""/>
          </v:shape>
          <o:OLEObject Type="Embed" ProgID="Equation.DSMT4" ShapeID="_x0000_i1510" DrawAspect="Content" ObjectID="_1791375454" r:id="rId996"/>
        </w:object>
      </w:r>
      <w:r w:rsidRPr="00A309A0">
        <w:rPr>
          <w:rFonts w:ascii="Cambria Math" w:hAnsi="Cambria Math"/>
          <w:sz w:val="23"/>
          <w:szCs w:val="23"/>
          <w:rtl/>
        </w:rPr>
        <w:t xml:space="preserve"> منجر به سرمایه</w:t>
      </w:r>
      <w:r w:rsidRPr="00A309A0">
        <w:rPr>
          <w:rFonts w:ascii="Cambria Math" w:hAnsi="Cambria Math"/>
          <w:sz w:val="23"/>
          <w:szCs w:val="23"/>
          <w:rtl/>
        </w:rPr>
        <w:softHyphen/>
      </w:r>
      <w:r w:rsidRPr="00A309A0">
        <w:rPr>
          <w:rFonts w:ascii="Cambria Math" w:hAnsi="Cambria Math" w:hint="cs"/>
          <w:sz w:val="23"/>
          <w:szCs w:val="23"/>
          <w:rtl/>
        </w:rPr>
        <w:t>ی</w:t>
      </w:r>
      <w:r w:rsidRPr="00A309A0">
        <w:rPr>
          <w:rFonts w:ascii="Cambria Math" w:hAnsi="Cambria Math"/>
          <w:sz w:val="23"/>
          <w:szCs w:val="23"/>
          <w:rtl/>
        </w:rPr>
        <w:t xml:space="preserve"> مولد در دوره</w:t>
      </w:r>
      <w:r w:rsidRPr="00B92922">
        <w:rPr>
          <w:position w:val="-6"/>
        </w:rPr>
        <w:object w:dxaOrig="420" w:dyaOrig="260" w14:anchorId="5FF6AB85">
          <v:shape id="_x0000_i1511" type="#_x0000_t75" style="width:21.2pt;height:13.3pt" o:ole="">
            <v:imagedata r:id="rId997" o:title=""/>
          </v:shape>
          <o:OLEObject Type="Embed" ProgID="Equation.DSMT4" ShapeID="_x0000_i1511" DrawAspect="Content" ObjectID="_1791375455" r:id="rId998"/>
        </w:object>
      </w:r>
      <w:r w:rsidRPr="00A309A0">
        <w:rPr>
          <w:rFonts w:ascii="Cambria Math" w:hAnsi="Cambria Math"/>
          <w:sz w:val="23"/>
          <w:szCs w:val="23"/>
          <w:rtl/>
        </w:rPr>
        <w:t xml:space="preserve"> می‌شود.</w:t>
      </w:r>
    </w:p>
    <w:p w14:paraId="4E059C5B" w14:textId="77777777" w:rsidR="00411620" w:rsidRPr="00A309A0" w:rsidRDefault="00411620" w:rsidP="00411620">
      <w:pPr>
        <w:spacing w:line="216" w:lineRule="auto"/>
        <w:rPr>
          <w:rFonts w:ascii="Cambria Math" w:hAnsi="Cambria Math"/>
          <w:sz w:val="23"/>
          <w:szCs w:val="23"/>
          <w:rtl/>
        </w:rPr>
      </w:pPr>
      <w:r w:rsidRPr="00A309A0">
        <w:rPr>
          <w:rFonts w:ascii="Cambria Math" w:hAnsi="Cambria Math"/>
          <w:sz w:val="23"/>
          <w:szCs w:val="23"/>
          <w:rtl/>
        </w:rPr>
        <w:t xml:space="preserve">در اینصورت معادله </w:t>
      </w:r>
      <w:r w:rsidRPr="00A309A0">
        <w:rPr>
          <w:rFonts w:ascii="Cambria Math" w:hAnsi="Cambria Math" w:hint="cs"/>
          <w:sz w:val="23"/>
          <w:szCs w:val="23"/>
          <w:rtl/>
        </w:rPr>
        <w:t>(۲. ۴۳)</w:t>
      </w:r>
      <w:r w:rsidRPr="00A309A0">
        <w:rPr>
          <w:rFonts w:ascii="Cambria Math" w:eastAsiaTheme="minorEastAsia" w:hAnsi="Cambria Math"/>
          <w:sz w:val="23"/>
          <w:szCs w:val="23"/>
          <w:rtl/>
        </w:rPr>
        <w:t xml:space="preserve"> </w:t>
      </w:r>
      <w:r w:rsidRPr="00A309A0">
        <w:rPr>
          <w:rFonts w:ascii="Cambria Math" w:hAnsi="Cambria Math"/>
          <w:sz w:val="23"/>
          <w:szCs w:val="23"/>
          <w:rtl/>
        </w:rPr>
        <w:t xml:space="preserve">می‌تواند با </w:t>
      </w:r>
      <w:r w:rsidRPr="00B92922">
        <w:rPr>
          <w:position w:val="-6"/>
        </w:rPr>
        <w:object w:dxaOrig="540" w:dyaOrig="260" w14:anchorId="151F0953">
          <v:shape id="_x0000_i1512" type="#_x0000_t75" style="width:27.25pt;height:13.3pt" o:ole="">
            <v:imagedata r:id="rId999" o:title=""/>
          </v:shape>
          <o:OLEObject Type="Embed" ProgID="Equation.DSMT4" ShapeID="_x0000_i1512" DrawAspect="Content" ObjectID="_1791375456" r:id="rId1000"/>
        </w:object>
      </w:r>
      <w:r w:rsidRPr="00A309A0">
        <w:rPr>
          <w:rFonts w:ascii="Cambria Math" w:hAnsi="Cambria Math"/>
          <w:sz w:val="23"/>
          <w:szCs w:val="23"/>
          <w:rtl/>
        </w:rPr>
        <w:t xml:space="preserve"> بازنویسی شود. </w:t>
      </w:r>
      <w:r w:rsidRPr="00A309A0">
        <w:rPr>
          <w:rFonts w:ascii="Cambria Math" w:hAnsi="Cambria Math" w:hint="cs"/>
          <w:sz w:val="23"/>
          <w:szCs w:val="23"/>
          <w:rtl/>
        </w:rPr>
        <w:t>در</w:t>
      </w:r>
      <w:r w:rsidRPr="00A309A0">
        <w:rPr>
          <w:rFonts w:ascii="Cambria Math" w:hAnsi="Cambria Math"/>
          <w:sz w:val="23"/>
          <w:szCs w:val="23"/>
          <w:rtl/>
        </w:rPr>
        <w:t xml:space="preserve"> نتیجه، با استفاده از اتحاد درآمد ملی </w:t>
      </w:r>
      <w:r w:rsidRPr="00A309A0">
        <w:rPr>
          <w:rFonts w:ascii="Cambria Math" w:hAnsi="Cambria Math" w:hint="cs"/>
          <w:sz w:val="23"/>
          <w:szCs w:val="23"/>
          <w:rtl/>
        </w:rPr>
        <w:t xml:space="preserve">(۲. ۱) </w:t>
      </w:r>
      <w:r w:rsidRPr="00A309A0">
        <w:rPr>
          <w:rFonts w:ascii="Cambria Math" w:hAnsi="Cambria Math"/>
          <w:sz w:val="23"/>
          <w:szCs w:val="23"/>
          <w:rtl/>
        </w:rPr>
        <w:t xml:space="preserve">و تابع تولید، قید منبع اقتصاد به صورت زیر خواهد بود </w:t>
      </w:r>
    </w:p>
    <w:p w14:paraId="484C35C9" w14:textId="77777777" w:rsidR="00411620" w:rsidRPr="00A309A0" w:rsidRDefault="00411620" w:rsidP="00411620">
      <w:pPr>
        <w:pStyle w:val="MTDisplayEquation"/>
        <w:tabs>
          <w:tab w:val="clear" w:pos="3320"/>
          <w:tab w:val="clear" w:pos="6660"/>
          <w:tab w:val="center" w:pos="0"/>
        </w:tabs>
        <w:spacing w:line="216" w:lineRule="auto"/>
        <w:rPr>
          <w:rFonts w:ascii="Cambria Math" w:hAnsi="Cambria Math" w:cs="B Nazanin"/>
          <w:sz w:val="23"/>
          <w:szCs w:val="23"/>
        </w:rPr>
      </w:pPr>
      <w:r w:rsidRPr="00B92922">
        <w:rPr>
          <w:position w:val="-26"/>
        </w:rPr>
        <w:object w:dxaOrig="2460" w:dyaOrig="620" w14:anchorId="62B5803B">
          <v:shape id="_x0000_i1513" type="#_x0000_t75" style="width:122.8pt;height:30.85pt" o:ole="">
            <v:imagedata r:id="rId1001" o:title=""/>
          </v:shape>
          <o:OLEObject Type="Embed" ProgID="Equation.DSMT4" ShapeID="_x0000_i1513" DrawAspect="Content" ObjectID="_1791375457" r:id="rId1002"/>
        </w:object>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sz w:val="23"/>
          <w:szCs w:val="23"/>
          <w:rtl/>
        </w:rPr>
        <w:tab/>
      </w:r>
      <w:r>
        <w:rPr>
          <w:rFonts w:ascii="Cambria Math" w:hAnsi="Cambria Math" w:cs="B Nazanin"/>
          <w:sz w:val="23"/>
          <w:szCs w:val="23"/>
          <w:rtl/>
        </w:rPr>
        <w:tab/>
      </w:r>
      <w:r>
        <w:rPr>
          <w:rFonts w:ascii="Cambria Math" w:hAnsi="Cambria Math" w:cs="B Nazanin"/>
          <w:sz w:val="23"/>
          <w:szCs w:val="23"/>
          <w:rtl/>
        </w:rPr>
        <w:tab/>
      </w:r>
      <w:r w:rsidRPr="00A309A0">
        <w:rPr>
          <w:rFonts w:ascii="Cambria Math" w:hAnsi="Cambria Math" w:cs="B Nazanin"/>
          <w:sz w:val="23"/>
          <w:szCs w:val="23"/>
          <w:rtl/>
        </w:rPr>
        <w:tab/>
      </w:r>
      <w:r w:rsidRPr="00A309A0">
        <w:rPr>
          <w:rFonts w:ascii="Cambria Math" w:hAnsi="Cambria Math" w:cs="B Nazanin" w:hint="cs"/>
          <w:sz w:val="23"/>
          <w:szCs w:val="23"/>
          <w:rtl/>
        </w:rPr>
        <w:t>(۲. ۴۴)</w:t>
      </w:r>
    </w:p>
    <w:p w14:paraId="2EB83AFC" w14:textId="77777777" w:rsidR="00411620" w:rsidRDefault="00411620" w:rsidP="00411620">
      <w:pPr>
        <w:pStyle w:val="MTDisplayEquation"/>
        <w:tabs>
          <w:tab w:val="clear" w:pos="3320"/>
          <w:tab w:val="clear" w:pos="6660"/>
          <w:tab w:val="center" w:pos="7110"/>
        </w:tabs>
        <w:bidi/>
        <w:spacing w:line="216" w:lineRule="auto"/>
        <w:rPr>
          <w:rFonts w:ascii="Cambria Math" w:hAnsi="Cambria Math" w:cs="B Nazanin"/>
          <w:sz w:val="23"/>
          <w:szCs w:val="23"/>
          <w:rtl/>
          <w:lang w:bidi="fa-IR"/>
        </w:rPr>
      </w:pPr>
      <w:r w:rsidRPr="00A309A0">
        <w:rPr>
          <w:rFonts w:ascii="Cambria Math" w:hAnsi="Cambria Math" w:cs="B Nazanin" w:hint="cs"/>
          <w:sz w:val="23"/>
          <w:szCs w:val="23"/>
          <w:rtl/>
          <w:lang w:bidi="fa-IR"/>
        </w:rPr>
        <w:t>در این حالت</w:t>
      </w:r>
      <w:r w:rsidRPr="00A309A0">
        <w:rPr>
          <w:rFonts w:ascii="Cambria Math" w:hAnsi="Cambria Math" w:cs="B Nazanin"/>
          <w:sz w:val="23"/>
          <w:szCs w:val="23"/>
          <w:rtl/>
          <w:lang w:bidi="fa-IR"/>
        </w:rPr>
        <w:t xml:space="preserve"> مطلوبیت تنزیل شده</w:t>
      </w:r>
      <w:r w:rsidRPr="00A309A0">
        <w:rPr>
          <w:rFonts w:ascii="Cambria Math" w:hAnsi="Cambria Math" w:cs="B Nazanin"/>
          <w:sz w:val="23"/>
          <w:szCs w:val="23"/>
          <w:rtl/>
          <w:lang w:bidi="fa-IR"/>
        </w:rPr>
        <w:softHyphen/>
        <w:t>ی بین دوره</w:t>
      </w:r>
      <w:r w:rsidRPr="00A309A0">
        <w:rPr>
          <w:rFonts w:ascii="Cambria Math" w:hAnsi="Cambria Math" w:cs="B Nazanin"/>
          <w:sz w:val="23"/>
          <w:szCs w:val="23"/>
          <w:rtl/>
          <w:lang w:bidi="fa-IR"/>
        </w:rPr>
        <w:softHyphen/>
        <w:t xml:space="preserve">ای </w:t>
      </w:r>
      <w:r w:rsidRPr="00B92922">
        <w:rPr>
          <w:position w:val="-26"/>
        </w:rPr>
        <w:object w:dxaOrig="1140" w:dyaOrig="620" w14:anchorId="6805316C">
          <v:shape id="_x0000_i1514" type="#_x0000_t75" style="width:57.5pt;height:30.85pt" o:ole="">
            <v:imagedata r:id="rId1003" o:title=""/>
          </v:shape>
          <o:OLEObject Type="Embed" ProgID="Equation.DSMT4" ShapeID="_x0000_i1514" DrawAspect="Content" ObjectID="_1791375458" r:id="rId1004"/>
        </w:object>
      </w:r>
      <w:r w:rsidRPr="00A309A0">
        <w:rPr>
          <w:rFonts w:cs="B Nazanin" w:hint="cs"/>
          <w:sz w:val="23"/>
          <w:szCs w:val="23"/>
          <w:rtl/>
          <w:lang w:bidi="fa-IR"/>
        </w:rPr>
        <w:t>ن</w:t>
      </w:r>
      <w:r w:rsidRPr="00A309A0">
        <w:rPr>
          <w:rFonts w:ascii="Cambria Math" w:hAnsi="Cambria Math" w:cs="B Nazanin" w:hint="cs"/>
          <w:sz w:val="23"/>
          <w:szCs w:val="23"/>
          <w:rtl/>
          <w:lang w:bidi="fa-IR"/>
        </w:rPr>
        <w:t>سب</w:t>
      </w:r>
      <w:r w:rsidRPr="00A309A0">
        <w:rPr>
          <w:rFonts w:ascii="Cambria Math" w:hAnsi="Cambria Math" w:cs="B Nazanin"/>
          <w:sz w:val="23"/>
          <w:szCs w:val="23"/>
          <w:rtl/>
          <w:lang w:bidi="fa-IR"/>
        </w:rPr>
        <w:t>ت به معادله</w:t>
      </w:r>
      <w:r w:rsidRPr="00A309A0">
        <w:rPr>
          <w:rFonts w:ascii="Cambria Math" w:hAnsi="Cambria Math" w:cs="B Nazanin"/>
          <w:sz w:val="23"/>
          <w:szCs w:val="23"/>
          <w:rtl/>
          <w:lang w:bidi="fa-IR"/>
        </w:rPr>
        <w:softHyphen/>
        <w:t xml:space="preserve">ی </w:t>
      </w:r>
      <w:r w:rsidRPr="00A309A0">
        <w:rPr>
          <w:rFonts w:ascii="Cambria Math" w:hAnsi="Cambria Math" w:cs="B Nazanin" w:hint="cs"/>
          <w:sz w:val="23"/>
          <w:szCs w:val="23"/>
          <w:rtl/>
        </w:rPr>
        <w:t>(۲. ۴۴)</w:t>
      </w:r>
      <w:r w:rsidRPr="00A309A0">
        <w:rPr>
          <w:rFonts w:ascii="Cambria Math" w:hAnsi="Cambria Math" w:cs="B Nazanin"/>
          <w:sz w:val="23"/>
          <w:szCs w:val="23"/>
          <w:rtl/>
          <w:lang w:bidi="fa-IR"/>
        </w:rPr>
        <w:t xml:space="preserve"> حداکثر شد</w:t>
      </w:r>
      <w:r w:rsidRPr="00A309A0">
        <w:rPr>
          <w:rFonts w:ascii="Cambria Math" w:hAnsi="Cambria Math" w:cs="B Nazanin" w:hint="cs"/>
          <w:sz w:val="23"/>
          <w:szCs w:val="23"/>
          <w:rtl/>
          <w:lang w:bidi="fa-IR"/>
        </w:rPr>
        <w:t xml:space="preserve">ه و نتایج متعاقب آن بر اساس </w:t>
      </w:r>
      <w:r w:rsidRPr="00A309A0">
        <w:rPr>
          <w:rFonts w:ascii="Cambria Math" w:hAnsi="Cambria Math" w:cs="B Nazanin"/>
          <w:sz w:val="23"/>
          <w:szCs w:val="23"/>
          <w:rtl/>
          <w:lang w:bidi="fa-IR"/>
        </w:rPr>
        <w:softHyphen/>
      </w:r>
      <w:r w:rsidRPr="00A309A0">
        <w:rPr>
          <w:rFonts w:ascii="Cambria Math" w:hAnsi="Cambria Math" w:cs="B Nazanin" w:hint="cs"/>
          <w:sz w:val="23"/>
          <w:szCs w:val="23"/>
          <w:rtl/>
          <w:lang w:bidi="fa-IR"/>
        </w:rPr>
        <w:t>معادله</w:t>
      </w:r>
      <w:r w:rsidRPr="00A309A0">
        <w:rPr>
          <w:rFonts w:ascii="Cambria Math" w:hAnsi="Cambria Math" w:cs="B Nazanin"/>
          <w:sz w:val="23"/>
          <w:szCs w:val="23"/>
          <w:rtl/>
          <w:lang w:bidi="fa-IR"/>
        </w:rPr>
        <w:softHyphen/>
      </w:r>
      <w:r w:rsidRPr="00A309A0">
        <w:rPr>
          <w:rFonts w:ascii="Cambria Math" w:hAnsi="Cambria Math" w:cs="B Nazanin" w:hint="cs"/>
          <w:sz w:val="23"/>
          <w:szCs w:val="23"/>
          <w:rtl/>
          <w:lang w:bidi="fa-IR"/>
        </w:rPr>
        <w:t>ی لاگرانژین جدید بدست خواهد آمد</w:t>
      </w:r>
      <w:r w:rsidRPr="00A309A0">
        <w:rPr>
          <w:rFonts w:ascii="Cambria Math" w:hAnsi="Cambria Math" w:cs="B Nazanin"/>
          <w:sz w:val="23"/>
          <w:szCs w:val="23"/>
          <w:rtl/>
          <w:lang w:bidi="fa-IR"/>
        </w:rPr>
        <w:t>.</w:t>
      </w:r>
      <w:r>
        <w:rPr>
          <w:rFonts w:ascii="Cambria Math" w:hAnsi="Cambria Math" w:cs="B Nazanin"/>
          <w:sz w:val="23"/>
          <w:szCs w:val="23"/>
          <w:rtl/>
          <w:lang w:bidi="fa-IR"/>
        </w:rPr>
        <w:br w:type="page"/>
      </w:r>
    </w:p>
    <w:p w14:paraId="19601DE8" w14:textId="77777777" w:rsidR="00411620" w:rsidRPr="00A62FF4" w:rsidRDefault="00411620" w:rsidP="00411620">
      <w:pPr>
        <w:pStyle w:val="a3"/>
        <w:spacing w:before="1080" w:after="720"/>
        <w:ind w:left="0"/>
        <w:rPr>
          <w:rFonts w:cs="B Nazanin"/>
          <w:sz w:val="40"/>
          <w:szCs w:val="40"/>
        </w:rPr>
      </w:pPr>
      <w:r w:rsidRPr="00A62FF4">
        <w:rPr>
          <w:rFonts w:cs="B Nazanin" w:hint="cs"/>
          <w:color w:val="auto"/>
          <w:sz w:val="40"/>
          <w:szCs w:val="40"/>
          <w:rtl/>
        </w:rPr>
        <w:lastRenderedPageBreak/>
        <w:t>فصل سوم</w:t>
      </w:r>
    </w:p>
    <w:p w14:paraId="17681092" w14:textId="77777777" w:rsidR="00411620" w:rsidRPr="00A62FF4" w:rsidRDefault="00411620" w:rsidP="00411620">
      <w:pPr>
        <w:pStyle w:val="a4"/>
        <w:pBdr>
          <w:top w:val="none" w:sz="0" w:space="0" w:color="auto"/>
          <w:bottom w:val="none" w:sz="0" w:space="0" w:color="auto"/>
        </w:pBdr>
        <w:shd w:val="clear" w:color="auto" w:fill="FFFFFF" w:themeFill="background1"/>
        <w:spacing w:after="720"/>
        <w:rPr>
          <w:rFonts w:ascii="Times New Roman" w:hAnsi="Times New Roman" w:cs="B Nazanin"/>
          <w:sz w:val="40"/>
          <w:szCs w:val="40"/>
          <w:rtl/>
        </w:rPr>
      </w:pPr>
      <w:r w:rsidRPr="00A62FF4">
        <w:rPr>
          <w:rFonts w:ascii="Times New Roman" w:eastAsia="Yu Gothic UI" w:hAnsi="Times New Roman" w:cs="B Nazanin" w:hint="cs"/>
          <w:sz w:val="40"/>
          <w:szCs w:val="40"/>
          <w:rtl/>
          <w14:glow w14:rad="0">
            <w14:srgbClr w14:val="000000">
              <w14:alpha w14:val="91000"/>
            </w14:srgbClr>
          </w14:glow>
          <w14:shadow w14:blurRad="63500" w14:dist="0" w14:dir="0" w14:sx="1000" w14:sy="1000" w14:kx="0" w14:ky="0" w14:algn="ctr">
            <w14:srgbClr w14:val="000000">
              <w14:alpha w14:val="16000"/>
            </w14:srgbClr>
          </w14:shadow>
        </w:rPr>
        <w:t>رشد اقتصادی</w:t>
      </w:r>
    </w:p>
    <w:p w14:paraId="0E5068DD" w14:textId="77777777" w:rsidR="00411620" w:rsidRPr="00A62FF4" w:rsidRDefault="00411620" w:rsidP="00411620">
      <w:pPr>
        <w:pStyle w:val="Heading11"/>
        <w:bidi/>
        <w:spacing w:before="0" w:line="216" w:lineRule="auto"/>
        <w:rPr>
          <w:rFonts w:ascii="Times New Roman" w:hAnsi="Times New Roman" w:cs="B Nazanin"/>
          <w:sz w:val="23"/>
          <w:szCs w:val="23"/>
          <w:rtl/>
        </w:rPr>
      </w:pPr>
      <w:r w:rsidRPr="00A62FF4">
        <w:rPr>
          <w:rFonts w:ascii="Times New Roman" w:hAnsi="Times New Roman" w:cs="B Nazanin" w:hint="cs"/>
          <w:sz w:val="23"/>
          <w:szCs w:val="23"/>
          <w:rtl/>
          <w:lang w:bidi="fa-IR"/>
        </w:rPr>
        <w:t>۳. ۱ مقد</w:t>
      </w:r>
      <w:r w:rsidRPr="00A62FF4">
        <w:rPr>
          <w:rFonts w:ascii="Times New Roman" w:hAnsi="Times New Roman" w:cs="B Nazanin"/>
          <w:sz w:val="23"/>
          <w:szCs w:val="23"/>
          <w:rtl/>
        </w:rPr>
        <w:t xml:space="preserve">مه </w:t>
      </w:r>
    </w:p>
    <w:p w14:paraId="3DD3A620" w14:textId="77777777" w:rsidR="00411620" w:rsidRPr="00A62FF4" w:rsidRDefault="00411620" w:rsidP="00411620">
      <w:pPr>
        <w:spacing w:line="216" w:lineRule="auto"/>
        <w:rPr>
          <w:sz w:val="23"/>
          <w:szCs w:val="23"/>
          <w:rtl/>
        </w:rPr>
      </w:pPr>
      <w:r w:rsidRPr="00A62FF4">
        <w:rPr>
          <w:rFonts w:hint="cs"/>
          <w:sz w:val="23"/>
          <w:szCs w:val="23"/>
          <w:rtl/>
        </w:rPr>
        <w:t>در مدل</w:t>
      </w:r>
      <w:r w:rsidRPr="00A62FF4">
        <w:rPr>
          <w:sz w:val="23"/>
          <w:szCs w:val="23"/>
        </w:rPr>
        <w:t xml:space="preserve"> </w:t>
      </w:r>
      <w:r w:rsidRPr="00A62FF4">
        <w:rPr>
          <w:rFonts w:hint="cs"/>
          <w:sz w:val="23"/>
          <w:szCs w:val="23"/>
          <w:rtl/>
        </w:rPr>
        <w:t>اقتصاد کلانِ بسیار ساده و اولیه</w:t>
      </w:r>
      <w:r w:rsidRPr="00A62FF4">
        <w:rPr>
          <w:sz w:val="23"/>
          <w:szCs w:val="23"/>
          <w:rtl/>
        </w:rPr>
        <w:softHyphen/>
      </w:r>
      <w:r w:rsidRPr="00A62FF4">
        <w:rPr>
          <w:rFonts w:hint="cs"/>
          <w:sz w:val="23"/>
          <w:szCs w:val="23"/>
          <w:rtl/>
        </w:rPr>
        <w:t>ا</w:t>
      </w:r>
      <w:r w:rsidRPr="00A62FF4">
        <w:rPr>
          <w:sz w:val="23"/>
          <w:szCs w:val="23"/>
          <w:rtl/>
        </w:rPr>
        <w:softHyphen/>
      </w:r>
      <w:r w:rsidRPr="00A62FF4">
        <w:rPr>
          <w:rFonts w:hint="cs"/>
          <w:sz w:val="23"/>
          <w:szCs w:val="23"/>
          <w:rtl/>
        </w:rPr>
        <w:t>ی که در فصل قبل ارائه شد، متغیرهای موجود در تعادل بلندمدت یا وضعیت یکنواخت بدون تغییر بوده و لذا رشد آن</w:t>
      </w:r>
      <w:r w:rsidRPr="00A62FF4">
        <w:rPr>
          <w:sz w:val="23"/>
          <w:szCs w:val="23"/>
        </w:rPr>
        <w:softHyphen/>
        <w:t xml:space="preserve"> </w:t>
      </w:r>
      <w:r w:rsidRPr="00A62FF4">
        <w:rPr>
          <w:rFonts w:hint="cs"/>
          <w:sz w:val="23"/>
          <w:szCs w:val="23"/>
          <w:rtl/>
        </w:rPr>
        <w:t>متغیرها برابر با صفر در نظر گرفته شده بود. این وضعیت را تعادل ایستا</w:t>
      </w:r>
      <w:r w:rsidRPr="00A62FF4">
        <w:rPr>
          <w:rStyle w:val="FootnoteReference"/>
          <w:sz w:val="23"/>
          <w:szCs w:val="23"/>
          <w:rtl/>
        </w:rPr>
        <w:footnoteReference w:id="96"/>
      </w:r>
      <w:r w:rsidRPr="00A62FF4">
        <w:rPr>
          <w:rFonts w:hint="cs"/>
          <w:sz w:val="23"/>
          <w:szCs w:val="23"/>
          <w:rtl/>
        </w:rPr>
        <w:t xml:space="preserve"> نامیدیم. برای روشن شدن این موضوع مختصری از وضعیت تعادل ایستا در علم نجوم را مورد بررسی قرار می</w:t>
      </w:r>
      <w:r w:rsidRPr="00A62FF4">
        <w:rPr>
          <w:sz w:val="23"/>
          <w:szCs w:val="23"/>
          <w:rtl/>
        </w:rPr>
        <w:softHyphen/>
      </w:r>
      <w:r w:rsidRPr="00A62FF4">
        <w:rPr>
          <w:rFonts w:hint="cs"/>
          <w:sz w:val="23"/>
          <w:szCs w:val="23"/>
          <w:rtl/>
        </w:rPr>
        <w:t>دهیم. در علم نجوم و مسائل کیهانی، تعادل ایستا وضعیتی است که در آن فرض می</w:t>
      </w:r>
      <w:r w:rsidRPr="00A62FF4">
        <w:rPr>
          <w:sz w:val="23"/>
          <w:szCs w:val="23"/>
          <w:rtl/>
        </w:rPr>
        <w:softHyphen/>
      </w:r>
      <w:r w:rsidRPr="00A62FF4">
        <w:rPr>
          <w:rFonts w:hint="cs"/>
          <w:sz w:val="23"/>
          <w:szCs w:val="23"/>
          <w:rtl/>
        </w:rPr>
        <w:t>شود جهان ما به نسبتِ ثابتی از سیارات و ستارگانی سرگردان، پابرجاست و به شکل محسوسی نه به سمت بیرون گسترش می</w:t>
      </w:r>
      <w:r w:rsidRPr="00A62FF4">
        <w:rPr>
          <w:sz w:val="23"/>
          <w:szCs w:val="23"/>
          <w:rtl/>
        </w:rPr>
        <w:softHyphen/>
      </w:r>
      <w:r w:rsidRPr="00A62FF4">
        <w:rPr>
          <w:rFonts w:hint="cs"/>
          <w:sz w:val="23"/>
          <w:szCs w:val="23"/>
          <w:rtl/>
        </w:rPr>
        <w:t>یابد و نه به درون خود منقبض می</w:t>
      </w:r>
      <w:r w:rsidRPr="00A62FF4">
        <w:rPr>
          <w:sz w:val="23"/>
          <w:szCs w:val="23"/>
          <w:rtl/>
        </w:rPr>
        <w:softHyphen/>
      </w:r>
      <w:r w:rsidRPr="00A62FF4">
        <w:rPr>
          <w:rFonts w:hint="cs"/>
          <w:sz w:val="23"/>
          <w:szCs w:val="23"/>
          <w:rtl/>
        </w:rPr>
        <w:t>شود. با این مفروضات آلبرت اینشتین در سال ۱۹۱۵ در معادلات میدان خود در نظریه</w:t>
      </w:r>
      <w:r w:rsidRPr="00A62FF4">
        <w:rPr>
          <w:sz w:val="23"/>
          <w:szCs w:val="23"/>
          <w:rtl/>
        </w:rPr>
        <w:softHyphen/>
      </w:r>
      <w:r w:rsidRPr="00A62FF4">
        <w:rPr>
          <w:rFonts w:hint="cs"/>
          <w:sz w:val="23"/>
          <w:szCs w:val="23"/>
          <w:rtl/>
        </w:rPr>
        <w:t>ی نسبیت عام ضریبی را به نام ثابت کیهانی افزود. این ضریب همانند دافعه عمل می</w:t>
      </w:r>
      <w:r w:rsidRPr="00A62FF4">
        <w:rPr>
          <w:sz w:val="23"/>
          <w:szCs w:val="23"/>
          <w:rtl/>
        </w:rPr>
        <w:softHyphen/>
      </w:r>
      <w:r w:rsidRPr="00A62FF4">
        <w:rPr>
          <w:rFonts w:hint="cs"/>
          <w:sz w:val="23"/>
          <w:szCs w:val="23"/>
          <w:rtl/>
        </w:rPr>
        <w:t>کند و به این دلیل در معادلات او جایگزاری شد که در جهت عکس کشش جاذبه</w:t>
      </w:r>
      <w:r w:rsidRPr="00A62FF4">
        <w:rPr>
          <w:sz w:val="23"/>
          <w:szCs w:val="23"/>
          <w:rtl/>
        </w:rPr>
        <w:softHyphen/>
      </w:r>
      <w:r w:rsidRPr="00A62FF4">
        <w:rPr>
          <w:rFonts w:hint="cs"/>
          <w:sz w:val="23"/>
          <w:szCs w:val="23"/>
          <w:rtl/>
        </w:rPr>
        <w:t>ای است. اگر ستارگان و سیارات با اندازه</w:t>
      </w:r>
      <w:r w:rsidRPr="00A62FF4">
        <w:rPr>
          <w:sz w:val="23"/>
          <w:szCs w:val="23"/>
          <w:rtl/>
        </w:rPr>
        <w:softHyphen/>
      </w:r>
      <w:r w:rsidRPr="00A62FF4">
        <w:rPr>
          <w:rFonts w:hint="cs"/>
          <w:sz w:val="23"/>
          <w:szCs w:val="23"/>
          <w:rtl/>
        </w:rPr>
        <w:t>ی حرکت از یکدیگر دور نشوند و این جهان ثابت باشد، آنگاه بر مبنای نیروی کشش جاذبه می</w:t>
      </w:r>
      <w:r w:rsidRPr="00A62FF4">
        <w:rPr>
          <w:sz w:val="23"/>
          <w:szCs w:val="23"/>
          <w:rtl/>
        </w:rPr>
        <w:softHyphen/>
      </w:r>
      <w:r w:rsidRPr="00A62FF4">
        <w:rPr>
          <w:rFonts w:hint="cs"/>
          <w:sz w:val="23"/>
          <w:szCs w:val="23"/>
          <w:rtl/>
        </w:rPr>
        <w:t>بایست به درون هم جذب شوند. ضریب ثابت کیهانی این مشکل را حل می</w:t>
      </w:r>
      <w:r w:rsidRPr="00A62FF4">
        <w:rPr>
          <w:sz w:val="23"/>
          <w:szCs w:val="23"/>
          <w:rtl/>
        </w:rPr>
        <w:softHyphen/>
      </w:r>
      <w:r w:rsidRPr="00A62FF4">
        <w:rPr>
          <w:rFonts w:hint="cs"/>
          <w:sz w:val="23"/>
          <w:szCs w:val="23"/>
          <w:rtl/>
        </w:rPr>
        <w:t>کند. بعدها در سال ۱۹۲۴ کشفیات ادوین هابل با تلسکوب یکصد اینچی در رصدخانه</w:t>
      </w:r>
      <w:r w:rsidRPr="00A62FF4">
        <w:rPr>
          <w:sz w:val="23"/>
          <w:szCs w:val="23"/>
          <w:rtl/>
        </w:rPr>
        <w:softHyphen/>
      </w:r>
      <w:r w:rsidRPr="00A62FF4">
        <w:rPr>
          <w:rFonts w:hint="cs"/>
          <w:sz w:val="23"/>
          <w:szCs w:val="23"/>
          <w:rtl/>
        </w:rPr>
        <w:t>ی مانت ویلسن در کوه</w:t>
      </w:r>
      <w:r w:rsidRPr="00A62FF4">
        <w:rPr>
          <w:sz w:val="23"/>
          <w:szCs w:val="23"/>
          <w:rtl/>
        </w:rPr>
        <w:softHyphen/>
      </w:r>
      <w:r w:rsidRPr="00A62FF4">
        <w:rPr>
          <w:rFonts w:hint="cs"/>
          <w:sz w:val="23"/>
          <w:szCs w:val="23"/>
          <w:rtl/>
        </w:rPr>
        <w:t>های پاسدونا کالیفرنیا، کهکشان آندرومدا که نزدیک</w:t>
      </w:r>
      <w:r w:rsidRPr="00A62FF4">
        <w:rPr>
          <w:sz w:val="23"/>
          <w:szCs w:val="23"/>
          <w:rtl/>
        </w:rPr>
        <w:softHyphen/>
      </w:r>
      <w:r w:rsidRPr="00A62FF4">
        <w:rPr>
          <w:rFonts w:hint="cs"/>
          <w:sz w:val="23"/>
          <w:szCs w:val="23"/>
          <w:rtl/>
        </w:rPr>
        <w:t>ترین کهکشان به ما است را با اندازه</w:t>
      </w:r>
      <w:r w:rsidRPr="00A62FF4">
        <w:rPr>
          <w:sz w:val="23"/>
          <w:szCs w:val="23"/>
          <w:rtl/>
        </w:rPr>
        <w:softHyphen/>
      </w:r>
      <w:r w:rsidRPr="00A62FF4">
        <w:rPr>
          <w:rFonts w:hint="cs"/>
          <w:sz w:val="23"/>
          <w:szCs w:val="23"/>
          <w:rtl/>
        </w:rPr>
        <w:t>ی تقریبی کهکشان راه شیری و با فاصله</w:t>
      </w:r>
      <w:r w:rsidRPr="00A62FF4">
        <w:rPr>
          <w:sz w:val="23"/>
          <w:szCs w:val="23"/>
          <w:rtl/>
        </w:rPr>
        <w:softHyphen/>
      </w:r>
      <w:r w:rsidRPr="00A62FF4">
        <w:rPr>
          <w:rFonts w:hint="cs"/>
          <w:sz w:val="23"/>
          <w:szCs w:val="23"/>
          <w:rtl/>
        </w:rPr>
        <w:t>ی دو میلیون سال نوری شناسایی کرد، و پس از آن ۲۴ کهکشان دیگر، و اکنون بیش از یکصد میلیارد کهکشان کشف شده است. متعاقب آن، هابل با استفاده از اندازه</w:t>
      </w:r>
      <w:r w:rsidRPr="00A62FF4">
        <w:rPr>
          <w:sz w:val="23"/>
          <w:szCs w:val="23"/>
          <w:rtl/>
        </w:rPr>
        <w:softHyphen/>
      </w:r>
      <w:r w:rsidRPr="00A62FF4">
        <w:rPr>
          <w:rFonts w:hint="cs"/>
          <w:sz w:val="23"/>
          <w:szCs w:val="23"/>
          <w:rtl/>
        </w:rPr>
        <w:t>گیری انحراف به سمت نورِ قرمزِ طیف ستارگان که چیزی شبیه اثر دوپلر در امواج صوتی است، با کشف بسیار مهم و اعجاب</w:t>
      </w:r>
      <w:r w:rsidRPr="00A62FF4">
        <w:rPr>
          <w:sz w:val="23"/>
          <w:szCs w:val="23"/>
          <w:rtl/>
        </w:rPr>
        <w:softHyphen/>
      </w:r>
      <w:r w:rsidRPr="00A62FF4">
        <w:rPr>
          <w:rFonts w:hint="cs"/>
          <w:sz w:val="23"/>
          <w:szCs w:val="23"/>
          <w:rtl/>
        </w:rPr>
        <w:t>آوری متوجه شد که کهکشان</w:t>
      </w:r>
      <w:r w:rsidRPr="00A62FF4">
        <w:rPr>
          <w:sz w:val="23"/>
          <w:szCs w:val="23"/>
          <w:rtl/>
        </w:rPr>
        <w:softHyphen/>
      </w:r>
      <w:r w:rsidRPr="00A62FF4">
        <w:rPr>
          <w:rFonts w:hint="cs"/>
          <w:sz w:val="23"/>
          <w:szCs w:val="23"/>
          <w:rtl/>
        </w:rPr>
        <w:t>ها از یکدیگر دور می</w:t>
      </w:r>
      <w:r w:rsidRPr="00A62FF4">
        <w:rPr>
          <w:sz w:val="23"/>
          <w:szCs w:val="23"/>
          <w:rtl/>
        </w:rPr>
        <w:softHyphen/>
      </w:r>
      <w:r w:rsidRPr="00A62FF4">
        <w:rPr>
          <w:rFonts w:hint="cs"/>
          <w:sz w:val="23"/>
          <w:szCs w:val="23"/>
          <w:rtl/>
        </w:rPr>
        <w:t>شوند. دانشمندان علم نجوم با اندازه</w:t>
      </w:r>
      <w:r w:rsidRPr="00A62FF4">
        <w:rPr>
          <w:sz w:val="23"/>
          <w:szCs w:val="23"/>
          <w:rtl/>
        </w:rPr>
        <w:softHyphen/>
      </w:r>
      <w:r w:rsidRPr="00A62FF4">
        <w:rPr>
          <w:rFonts w:hint="cs"/>
          <w:sz w:val="23"/>
          <w:szCs w:val="23"/>
          <w:rtl/>
        </w:rPr>
        <w:t>گیری فاصله</w:t>
      </w:r>
      <w:r w:rsidRPr="00A62FF4">
        <w:rPr>
          <w:sz w:val="23"/>
          <w:szCs w:val="23"/>
          <w:rtl/>
        </w:rPr>
        <w:softHyphen/>
      </w:r>
      <w:r w:rsidRPr="00A62FF4">
        <w:rPr>
          <w:rFonts w:hint="cs"/>
          <w:sz w:val="23"/>
          <w:szCs w:val="23"/>
          <w:rtl/>
        </w:rPr>
        <w:t>ی کهکشان</w:t>
      </w:r>
      <w:r w:rsidRPr="00A62FF4">
        <w:rPr>
          <w:sz w:val="23"/>
          <w:szCs w:val="23"/>
          <w:rtl/>
        </w:rPr>
        <w:softHyphen/>
      </w:r>
      <w:r w:rsidRPr="00A62FF4">
        <w:rPr>
          <w:rFonts w:hint="cs"/>
          <w:sz w:val="23"/>
          <w:szCs w:val="23"/>
          <w:rtl/>
        </w:rPr>
        <w:t>ها و سرعت دور شدن آن</w:t>
      </w:r>
      <w:r w:rsidRPr="00A62FF4">
        <w:rPr>
          <w:sz w:val="23"/>
          <w:szCs w:val="23"/>
          <w:rtl/>
        </w:rPr>
        <w:softHyphen/>
      </w:r>
      <w:r w:rsidRPr="00A62FF4">
        <w:rPr>
          <w:rFonts w:hint="cs"/>
          <w:sz w:val="23"/>
          <w:szCs w:val="23"/>
          <w:rtl/>
        </w:rPr>
        <w:t>ها به این نتیجه رسیدند که تمامی جهان و ساختار کیهان در حال گسترش است. به عبارتی، ضریب ثابت کیهانی که به معادلات نسبیت عام اینشتین اضافه شده بود تا پاسخ</w:t>
      </w:r>
      <w:r w:rsidRPr="00A62FF4">
        <w:rPr>
          <w:sz w:val="23"/>
          <w:szCs w:val="23"/>
          <w:rtl/>
        </w:rPr>
        <w:softHyphen/>
      </w:r>
      <w:r w:rsidRPr="00A62FF4">
        <w:rPr>
          <w:rFonts w:hint="cs"/>
          <w:sz w:val="23"/>
          <w:szCs w:val="23"/>
          <w:rtl/>
        </w:rPr>
        <w:t>گوی جهان ثابت باشد، در اصل ضروری و لازم نبوده است. بدون تردید اگر اینشتین به معادلات اولیه</w:t>
      </w:r>
      <w:r w:rsidRPr="00A62FF4">
        <w:rPr>
          <w:sz w:val="23"/>
          <w:szCs w:val="23"/>
          <w:rtl/>
        </w:rPr>
        <w:softHyphen/>
      </w:r>
      <w:r w:rsidRPr="00A62FF4">
        <w:rPr>
          <w:rFonts w:hint="cs"/>
          <w:sz w:val="23"/>
          <w:szCs w:val="23"/>
          <w:rtl/>
        </w:rPr>
        <w:t>ی نظریه</w:t>
      </w:r>
      <w:r w:rsidRPr="00A62FF4">
        <w:rPr>
          <w:sz w:val="23"/>
          <w:szCs w:val="23"/>
          <w:rtl/>
        </w:rPr>
        <w:softHyphen/>
      </w:r>
      <w:r w:rsidRPr="00A62FF4">
        <w:rPr>
          <w:rFonts w:hint="cs"/>
          <w:sz w:val="23"/>
          <w:szCs w:val="23"/>
          <w:rtl/>
        </w:rPr>
        <w:t>ی نسبیت عام اعتماد می</w:t>
      </w:r>
      <w:r w:rsidRPr="00A62FF4">
        <w:rPr>
          <w:sz w:val="23"/>
          <w:szCs w:val="23"/>
          <w:rtl/>
        </w:rPr>
        <w:softHyphen/>
      </w:r>
      <w:r w:rsidRPr="00A62FF4">
        <w:rPr>
          <w:rFonts w:hint="cs"/>
          <w:sz w:val="23"/>
          <w:szCs w:val="23"/>
          <w:rtl/>
        </w:rPr>
        <w:t>کرد و ضریب ثابت کیهانی را بدان نمی</w:t>
      </w:r>
      <w:r w:rsidRPr="00A62FF4">
        <w:rPr>
          <w:sz w:val="23"/>
          <w:szCs w:val="23"/>
          <w:rtl/>
        </w:rPr>
        <w:softHyphen/>
      </w:r>
      <w:r w:rsidRPr="00A62FF4">
        <w:rPr>
          <w:rFonts w:hint="cs"/>
          <w:sz w:val="23"/>
          <w:szCs w:val="23"/>
          <w:rtl/>
        </w:rPr>
        <w:t>افزود و قبل از کشفیات هابل اعلان می</w:t>
      </w:r>
      <w:r w:rsidRPr="00A62FF4">
        <w:rPr>
          <w:sz w:val="23"/>
          <w:szCs w:val="23"/>
          <w:rtl/>
        </w:rPr>
        <w:softHyphen/>
      </w:r>
      <w:r w:rsidRPr="00A62FF4">
        <w:rPr>
          <w:rFonts w:hint="cs"/>
          <w:sz w:val="23"/>
          <w:szCs w:val="23"/>
          <w:rtl/>
        </w:rPr>
        <w:t>کرد که بر اساس فرمول</w:t>
      </w:r>
      <w:r w:rsidRPr="00A62FF4">
        <w:rPr>
          <w:sz w:val="23"/>
          <w:szCs w:val="23"/>
          <w:rtl/>
        </w:rPr>
        <w:softHyphen/>
      </w:r>
      <w:r w:rsidRPr="00A62FF4">
        <w:rPr>
          <w:rFonts w:hint="cs"/>
          <w:sz w:val="23"/>
          <w:szCs w:val="23"/>
          <w:rtl/>
        </w:rPr>
        <w:t>های نظریه</w:t>
      </w:r>
      <w:r w:rsidRPr="00A62FF4">
        <w:rPr>
          <w:sz w:val="23"/>
          <w:szCs w:val="23"/>
          <w:rtl/>
        </w:rPr>
        <w:softHyphen/>
      </w:r>
      <w:r w:rsidRPr="00A62FF4">
        <w:rPr>
          <w:rFonts w:hint="cs"/>
          <w:sz w:val="23"/>
          <w:szCs w:val="23"/>
          <w:rtl/>
        </w:rPr>
        <w:t>ی نسبیت عام، جهان در حال انبساط و گسترش است</w:t>
      </w:r>
      <w:r w:rsidRPr="00A62FF4">
        <w:rPr>
          <w:sz w:val="23"/>
          <w:szCs w:val="23"/>
        </w:rPr>
        <w:t xml:space="preserve"> </w:t>
      </w:r>
      <w:r w:rsidRPr="00A62FF4">
        <w:rPr>
          <w:rFonts w:hint="cs"/>
          <w:sz w:val="23"/>
          <w:szCs w:val="23"/>
          <w:rtl/>
        </w:rPr>
        <w:t xml:space="preserve">یکبار </w:t>
      </w:r>
      <w:r w:rsidRPr="00A62FF4">
        <w:rPr>
          <w:rFonts w:hint="cs"/>
          <w:sz w:val="23"/>
          <w:szCs w:val="23"/>
          <w:rtl/>
        </w:rPr>
        <w:lastRenderedPageBreak/>
        <w:t>دیگر جهان را شگفت زده می</w:t>
      </w:r>
      <w:r w:rsidRPr="00A62FF4">
        <w:rPr>
          <w:sz w:val="23"/>
          <w:szCs w:val="23"/>
          <w:rtl/>
        </w:rPr>
        <w:softHyphen/>
      </w:r>
      <w:r w:rsidRPr="00A62FF4">
        <w:rPr>
          <w:rFonts w:hint="cs"/>
          <w:sz w:val="23"/>
          <w:szCs w:val="23"/>
          <w:rtl/>
        </w:rPr>
        <w:t>کرد. جرج گاموف نقل می</w:t>
      </w:r>
      <w:r w:rsidRPr="00A62FF4">
        <w:rPr>
          <w:sz w:val="23"/>
          <w:szCs w:val="23"/>
          <w:rtl/>
        </w:rPr>
        <w:softHyphen/>
      </w:r>
      <w:r w:rsidRPr="00A62FF4">
        <w:rPr>
          <w:rFonts w:hint="cs"/>
          <w:sz w:val="23"/>
          <w:szCs w:val="23"/>
          <w:rtl/>
        </w:rPr>
        <w:t>کند هنگامی</w:t>
      </w:r>
      <w:r w:rsidRPr="00A62FF4">
        <w:rPr>
          <w:sz w:val="23"/>
          <w:szCs w:val="23"/>
          <w:rtl/>
        </w:rPr>
        <w:softHyphen/>
      </w:r>
      <w:r w:rsidRPr="00A62FF4">
        <w:rPr>
          <w:rFonts w:hint="cs"/>
          <w:sz w:val="23"/>
          <w:szCs w:val="23"/>
          <w:rtl/>
        </w:rPr>
        <w:t>که در باره</w:t>
      </w:r>
      <w:r w:rsidRPr="00A62FF4">
        <w:rPr>
          <w:sz w:val="23"/>
          <w:szCs w:val="23"/>
          <w:rtl/>
        </w:rPr>
        <w:softHyphen/>
      </w:r>
      <w:r w:rsidRPr="00A62FF4">
        <w:rPr>
          <w:rFonts w:hint="cs"/>
          <w:sz w:val="23"/>
          <w:szCs w:val="23"/>
          <w:rtl/>
        </w:rPr>
        <w:t>ی مسائل کیهانی با اینشتین بحث و گفتگو می</w:t>
      </w:r>
      <w:r w:rsidRPr="00A62FF4">
        <w:rPr>
          <w:sz w:val="23"/>
          <w:szCs w:val="23"/>
          <w:rtl/>
        </w:rPr>
        <w:softHyphen/>
      </w:r>
      <w:r w:rsidRPr="00A62FF4">
        <w:rPr>
          <w:rFonts w:hint="cs"/>
          <w:sz w:val="23"/>
          <w:szCs w:val="23"/>
          <w:rtl/>
        </w:rPr>
        <w:t>کردم، به زعم وی اضافه کردن ثابت کیهانی به فرمول</w:t>
      </w:r>
      <w:r w:rsidRPr="00A62FF4">
        <w:rPr>
          <w:sz w:val="23"/>
          <w:szCs w:val="23"/>
          <w:rtl/>
        </w:rPr>
        <w:softHyphen/>
      </w:r>
      <w:r w:rsidRPr="00A62FF4">
        <w:rPr>
          <w:rFonts w:hint="cs"/>
          <w:sz w:val="23"/>
          <w:szCs w:val="23"/>
          <w:rtl/>
        </w:rPr>
        <w:t>های نسبیت عام بزرگ</w:t>
      </w:r>
      <w:r w:rsidRPr="00A62FF4">
        <w:rPr>
          <w:sz w:val="23"/>
          <w:szCs w:val="23"/>
          <w:rtl/>
        </w:rPr>
        <w:softHyphen/>
      </w:r>
      <w:r w:rsidRPr="00A62FF4">
        <w:rPr>
          <w:rFonts w:hint="cs"/>
          <w:sz w:val="23"/>
          <w:szCs w:val="23"/>
          <w:rtl/>
        </w:rPr>
        <w:t xml:space="preserve">ترین اشتباه علمی او بوده است.      </w:t>
      </w:r>
    </w:p>
    <w:p w14:paraId="7B98EA2B" w14:textId="77777777" w:rsidR="00411620" w:rsidRPr="00A62FF4" w:rsidRDefault="00411620" w:rsidP="00411620">
      <w:pPr>
        <w:spacing w:line="216" w:lineRule="auto"/>
        <w:rPr>
          <w:sz w:val="23"/>
          <w:szCs w:val="23"/>
          <w:rtl/>
        </w:rPr>
      </w:pPr>
      <w:r w:rsidRPr="00A62FF4">
        <w:rPr>
          <w:sz w:val="23"/>
          <w:szCs w:val="23"/>
        </w:rPr>
        <w:t xml:space="preserve"> </w:t>
      </w:r>
      <w:r w:rsidRPr="00A62FF4">
        <w:rPr>
          <w:rFonts w:hint="cs"/>
          <w:sz w:val="23"/>
          <w:szCs w:val="23"/>
          <w:rtl/>
        </w:rPr>
        <w:t>در مسائل اقتصاد کلان نیز انبساط متغیرهای اقتصادی مشاهده شده و فرض تعادل ایستا ضروری نیست. در بسیاری از کشورها، متغیرهای اقتصادی در بلندمدت و یا وضعیت یکنواخت، با نرخ رشد ثابت و مثبتی در حال گسترش می</w:t>
      </w:r>
      <w:r w:rsidRPr="00A62FF4">
        <w:rPr>
          <w:sz w:val="23"/>
          <w:szCs w:val="23"/>
          <w:rtl/>
        </w:rPr>
        <w:softHyphen/>
      </w:r>
      <w:r w:rsidRPr="00A62FF4">
        <w:rPr>
          <w:rFonts w:hint="cs"/>
          <w:sz w:val="23"/>
          <w:szCs w:val="23"/>
          <w:rtl/>
        </w:rPr>
        <w:t>باشند. این وضعیت را تعادل همراه با رشد</w:t>
      </w:r>
      <w:r w:rsidRPr="00A62FF4">
        <w:rPr>
          <w:rStyle w:val="FootnoteReference"/>
          <w:sz w:val="23"/>
          <w:szCs w:val="23"/>
          <w:rtl/>
        </w:rPr>
        <w:footnoteReference w:id="97"/>
      </w:r>
      <w:r w:rsidRPr="00A62FF4">
        <w:rPr>
          <w:rFonts w:hint="cs"/>
          <w:sz w:val="23"/>
          <w:szCs w:val="23"/>
          <w:rtl/>
        </w:rPr>
        <w:t xml:space="preserve"> گویند. در این فصل با معرفی مدل‌های رشد، این امکان فراهم می‌شود تا متغیرهای موجود در مدل اقتصادی در بلندمدت، با نرخ رشد ثابتی تغییر کنند. </w:t>
      </w:r>
    </w:p>
    <w:p w14:paraId="345C7DF1" w14:textId="77777777" w:rsidR="00411620" w:rsidRPr="00A62FF4" w:rsidRDefault="00411620" w:rsidP="00411620">
      <w:pPr>
        <w:spacing w:line="216" w:lineRule="auto"/>
        <w:rPr>
          <w:sz w:val="23"/>
          <w:szCs w:val="23"/>
          <w:rtl/>
        </w:rPr>
      </w:pPr>
      <w:r w:rsidRPr="00A62FF4">
        <w:rPr>
          <w:rFonts w:hint="cs"/>
          <w:sz w:val="23"/>
          <w:szCs w:val="23"/>
          <w:rtl/>
        </w:rPr>
        <w:t>رشد تولید را می‌توان در مفهوم، افزایش مستمر در مقادیر کالاها و خدمات طی دوره</w:t>
      </w:r>
      <w:r w:rsidRPr="00A62FF4">
        <w:rPr>
          <w:rFonts w:hint="cs"/>
          <w:sz w:val="23"/>
          <w:szCs w:val="23"/>
          <w:rtl/>
        </w:rPr>
        <w:softHyphen/>
        <w:t>های اقتصادی تعریف نمود. عوامل موثر بر رشد تولید به</w:t>
      </w:r>
      <w:r w:rsidRPr="00A62FF4">
        <w:rPr>
          <w:sz w:val="23"/>
          <w:szCs w:val="23"/>
          <w:rtl/>
        </w:rPr>
        <w:softHyphen/>
      </w:r>
      <w:r w:rsidRPr="00A62FF4">
        <w:rPr>
          <w:rFonts w:hint="cs"/>
          <w:sz w:val="23"/>
          <w:szCs w:val="23"/>
          <w:rtl/>
        </w:rPr>
        <w:t>عنوان یکی از مهم</w:t>
      </w:r>
      <w:r w:rsidRPr="00A62FF4">
        <w:rPr>
          <w:sz w:val="23"/>
          <w:szCs w:val="23"/>
          <w:rtl/>
        </w:rPr>
        <w:softHyphen/>
      </w:r>
      <w:r w:rsidRPr="00A62FF4">
        <w:rPr>
          <w:rFonts w:hint="cs"/>
          <w:sz w:val="23"/>
          <w:szCs w:val="23"/>
          <w:rtl/>
        </w:rPr>
        <w:t>ترین سوال</w:t>
      </w:r>
      <w:r w:rsidRPr="00A62FF4">
        <w:rPr>
          <w:sz w:val="23"/>
          <w:szCs w:val="23"/>
          <w:rtl/>
        </w:rPr>
        <w:softHyphen/>
      </w:r>
      <w:r w:rsidRPr="00A62FF4">
        <w:rPr>
          <w:rFonts w:hint="cs"/>
          <w:sz w:val="23"/>
          <w:szCs w:val="23"/>
          <w:rtl/>
        </w:rPr>
        <w:t>هایی است که بیش از یک قرن ذهن بشر و بسیاری از اقتصاددانان را به خود مشغول کرده است. رمزی در سال ۱۹۲۸ با ارائه</w:t>
      </w:r>
      <w:r w:rsidRPr="00A62FF4">
        <w:rPr>
          <w:sz w:val="23"/>
          <w:szCs w:val="23"/>
          <w:rtl/>
        </w:rPr>
        <w:softHyphen/>
      </w:r>
      <w:r w:rsidRPr="00A62FF4">
        <w:rPr>
          <w:rFonts w:hint="cs"/>
          <w:sz w:val="23"/>
          <w:szCs w:val="23"/>
          <w:rtl/>
        </w:rPr>
        <w:t>ی مقاله</w:t>
      </w:r>
      <w:r w:rsidRPr="00A62FF4">
        <w:rPr>
          <w:sz w:val="23"/>
          <w:szCs w:val="23"/>
          <w:rtl/>
        </w:rPr>
        <w:softHyphen/>
      </w:r>
      <w:r w:rsidRPr="00A62FF4">
        <w:rPr>
          <w:rFonts w:hint="cs"/>
          <w:sz w:val="23"/>
          <w:szCs w:val="23"/>
          <w:rtl/>
        </w:rPr>
        <w:t>ای در خصوص رشد اقتصادی، نظریه</w:t>
      </w:r>
      <w:r w:rsidRPr="00A62FF4">
        <w:rPr>
          <w:sz w:val="23"/>
          <w:szCs w:val="23"/>
          <w:rtl/>
        </w:rPr>
        <w:softHyphen/>
      </w:r>
      <w:r w:rsidRPr="00A62FF4">
        <w:rPr>
          <w:rFonts w:hint="cs"/>
          <w:sz w:val="23"/>
          <w:szCs w:val="23"/>
          <w:rtl/>
        </w:rPr>
        <w:t>پردازی در این حوزه را پایه</w:t>
      </w:r>
      <w:r w:rsidRPr="00A62FF4">
        <w:rPr>
          <w:sz w:val="23"/>
          <w:szCs w:val="23"/>
          <w:rtl/>
        </w:rPr>
        <w:softHyphen/>
      </w:r>
      <w:r w:rsidRPr="00A62FF4">
        <w:rPr>
          <w:rFonts w:hint="cs"/>
          <w:sz w:val="23"/>
          <w:szCs w:val="23"/>
          <w:rtl/>
        </w:rPr>
        <w:t>گذاری کرد و بدلیل پیچیدگی روابط موجود در مبانی نظری و روش تجزیه و تحلیل وی، آن نظریه</w:t>
      </w:r>
      <w:r w:rsidRPr="00A62FF4">
        <w:rPr>
          <w:sz w:val="23"/>
          <w:szCs w:val="23"/>
          <w:rtl/>
        </w:rPr>
        <w:softHyphen/>
      </w:r>
      <w:r w:rsidRPr="00A62FF4">
        <w:rPr>
          <w:rFonts w:hint="cs"/>
          <w:sz w:val="23"/>
          <w:szCs w:val="23"/>
          <w:rtl/>
        </w:rPr>
        <w:t xml:space="preserve"> تا دهه</w:t>
      </w:r>
      <w:r w:rsidRPr="00A62FF4">
        <w:rPr>
          <w:sz w:val="23"/>
          <w:szCs w:val="23"/>
          <w:rtl/>
        </w:rPr>
        <w:softHyphen/>
      </w:r>
      <w:r w:rsidRPr="00A62FF4">
        <w:rPr>
          <w:rFonts w:hint="cs"/>
          <w:sz w:val="23"/>
          <w:szCs w:val="23"/>
          <w:rtl/>
        </w:rPr>
        <w:t>ی ۱۹۶۰ مورد توجه اقتصاددانان قرار نگرفت. ‌‌در سال ۱۹۳۲وان نیومن در دانشگاه وین اتریش توانست مدل ریاضی رشد اقتصادی را ارائه کند. به دنبال آن در سال ۱۹۳۹هارود‌‌ ‌اقتصاددان انگلیسی و در سال ۱۹۴۶دومار مقاله</w:t>
      </w:r>
      <w:r w:rsidRPr="00A62FF4">
        <w:rPr>
          <w:sz w:val="23"/>
          <w:szCs w:val="23"/>
          <w:rtl/>
        </w:rPr>
        <w:softHyphen/>
      </w:r>
      <w:r w:rsidRPr="00A62FF4">
        <w:rPr>
          <w:rFonts w:hint="cs"/>
          <w:sz w:val="23"/>
          <w:szCs w:val="23"/>
          <w:rtl/>
        </w:rPr>
        <w:t>ای را در مورد رشد اقتصادی نگاشتند و نتایج تحقیقات این دو اقتصاددان طی مقاله</w:t>
      </w:r>
      <w:r w:rsidRPr="00A62FF4">
        <w:rPr>
          <w:sz w:val="23"/>
          <w:szCs w:val="23"/>
          <w:rtl/>
        </w:rPr>
        <w:softHyphen/>
      </w:r>
      <w:r w:rsidRPr="00A62FF4">
        <w:rPr>
          <w:rFonts w:hint="cs"/>
          <w:sz w:val="23"/>
          <w:szCs w:val="23"/>
          <w:rtl/>
        </w:rPr>
        <w:t>ای با عنوان "مدل رشد هارود-‌‌‌‌‌‌‌‌‌‌‌‌‌‌‌‌‌‌‌‌‌‌‌‌‌‌‌‌‌دومار" ارائه شد.‌‌‌‌‌ وجه مشخصه</w:t>
      </w:r>
      <w:r w:rsidRPr="00A62FF4">
        <w:rPr>
          <w:sz w:val="23"/>
          <w:szCs w:val="23"/>
          <w:rtl/>
        </w:rPr>
        <w:softHyphen/>
      </w:r>
      <w:r w:rsidRPr="00A62FF4">
        <w:rPr>
          <w:rFonts w:hint="cs"/>
          <w:sz w:val="23"/>
          <w:szCs w:val="23"/>
          <w:rtl/>
        </w:rPr>
        <w:t>ی مقاله رشد هارود-دومار بررسی دینامیکی مسائل اقتصادی بود.‌‌ ‌‌در اواسط دهه</w:t>
      </w:r>
      <w:r w:rsidRPr="00A62FF4">
        <w:rPr>
          <w:sz w:val="23"/>
          <w:szCs w:val="23"/>
          <w:rtl/>
        </w:rPr>
        <w:softHyphen/>
      </w:r>
      <w:r w:rsidRPr="00A62FF4">
        <w:rPr>
          <w:rFonts w:hint="cs"/>
          <w:sz w:val="23"/>
          <w:szCs w:val="23"/>
          <w:rtl/>
        </w:rPr>
        <w:t>ی۱۹۵۰ میلادی سولو و سوان نیز در دو مقاله‌ی جداگانه نظریات خود را در خصوص رشد اقتصادی ارائه نمودند. نظریه</w:t>
      </w:r>
      <w:r w:rsidRPr="00A62FF4">
        <w:rPr>
          <w:sz w:val="23"/>
          <w:szCs w:val="23"/>
          <w:rtl/>
        </w:rPr>
        <w:softHyphen/>
      </w:r>
      <w:r w:rsidRPr="00A62FF4">
        <w:rPr>
          <w:rFonts w:hint="cs"/>
          <w:sz w:val="23"/>
          <w:szCs w:val="23"/>
          <w:rtl/>
        </w:rPr>
        <w:t>ی این</w:t>
      </w:r>
      <w:r w:rsidRPr="00A62FF4">
        <w:rPr>
          <w:sz w:val="23"/>
          <w:szCs w:val="23"/>
          <w:rtl/>
        </w:rPr>
        <w:softHyphen/>
      </w:r>
      <w:r w:rsidRPr="00A62FF4">
        <w:rPr>
          <w:rFonts w:hint="cs"/>
          <w:sz w:val="23"/>
          <w:szCs w:val="23"/>
          <w:rtl/>
        </w:rPr>
        <w:t>دو باعث شد که توجه بسیاری از اقتصاددانان به سمت این مسائل جلب شود و در نتیجه تئوری</w:t>
      </w:r>
      <w:r w:rsidRPr="00A62FF4">
        <w:rPr>
          <w:sz w:val="23"/>
          <w:szCs w:val="23"/>
          <w:rtl/>
        </w:rPr>
        <w:softHyphen/>
      </w:r>
      <w:r w:rsidRPr="00A62FF4">
        <w:rPr>
          <w:rFonts w:hint="cs"/>
          <w:sz w:val="23"/>
          <w:szCs w:val="23"/>
          <w:rtl/>
        </w:rPr>
        <w:t>های مربوط به رشد اقتصادی تا اوایل ۱۹۷۰ میلادی یکی از مباحث محوری در علم اقتصاد باشد.</w:t>
      </w:r>
    </w:p>
    <w:p w14:paraId="5B584604" w14:textId="77777777" w:rsidR="00411620" w:rsidRPr="00A62FF4" w:rsidRDefault="00411620" w:rsidP="00411620">
      <w:pPr>
        <w:spacing w:line="216" w:lineRule="auto"/>
        <w:rPr>
          <w:sz w:val="23"/>
          <w:szCs w:val="23"/>
          <w:rtl/>
        </w:rPr>
      </w:pPr>
      <w:r w:rsidRPr="00A62FF4">
        <w:rPr>
          <w:rFonts w:hint="cs"/>
          <w:sz w:val="23"/>
          <w:szCs w:val="23"/>
          <w:rtl/>
        </w:rPr>
        <w:t>مدل رشد سولو-‌‌سوان در سال ۱۹۵۶ اولین تلاش جهت فرموله کردن تجزیه تحلیل رشد بلند‌‌مدت بود.‌‌‌‌‌ ‌‌مدل این دو اقتصاددان بر پایه</w:t>
      </w:r>
      <w:r w:rsidRPr="00A62FF4">
        <w:rPr>
          <w:sz w:val="23"/>
          <w:szCs w:val="23"/>
          <w:rtl/>
        </w:rPr>
        <w:softHyphen/>
      </w:r>
      <w:r w:rsidRPr="00A62FF4">
        <w:rPr>
          <w:rFonts w:hint="cs"/>
          <w:sz w:val="23"/>
          <w:szCs w:val="23"/>
          <w:rtl/>
        </w:rPr>
        <w:t>ی تابع تولید نئوکلاسیکی و بر مبنای فروض بازدهی ثابت به مقیاس، بازدهی نزولی نهاده</w:t>
      </w:r>
      <w:r w:rsidRPr="00A62FF4">
        <w:rPr>
          <w:sz w:val="23"/>
          <w:szCs w:val="23"/>
          <w:rtl/>
        </w:rPr>
        <w:softHyphen/>
      </w:r>
      <w:r w:rsidRPr="00A62FF4">
        <w:rPr>
          <w:rFonts w:hint="cs"/>
          <w:sz w:val="23"/>
          <w:szCs w:val="23"/>
          <w:rtl/>
        </w:rPr>
        <w:t>های تولید، و وجود کشش جانشینی ثابت بین نهاده</w:t>
      </w:r>
      <w:r w:rsidRPr="00A62FF4">
        <w:rPr>
          <w:rFonts w:hint="cs"/>
          <w:sz w:val="23"/>
          <w:szCs w:val="23"/>
          <w:rtl/>
        </w:rPr>
        <w:softHyphen/>
        <w:t>های تولید بنا شده بود.‌ بر اساس تئوری رشد آن</w:t>
      </w:r>
      <w:r w:rsidRPr="00A62FF4">
        <w:rPr>
          <w:sz w:val="23"/>
          <w:szCs w:val="23"/>
          <w:rtl/>
        </w:rPr>
        <w:softHyphen/>
      </w:r>
      <w:r w:rsidRPr="00A62FF4">
        <w:rPr>
          <w:rFonts w:hint="cs"/>
          <w:sz w:val="23"/>
          <w:szCs w:val="23"/>
          <w:rtl/>
        </w:rPr>
        <w:t>ها که مبتنی بر فرض بازدهی نزولی سرمایه است، اقتصاد‌‌ها‌‌‌‌‌‌یی که سرمایه</w:t>
      </w:r>
      <w:r w:rsidRPr="00A62FF4">
        <w:rPr>
          <w:sz w:val="23"/>
          <w:szCs w:val="23"/>
          <w:rtl/>
        </w:rPr>
        <w:softHyphen/>
      </w:r>
      <w:r w:rsidRPr="00A62FF4">
        <w:rPr>
          <w:rFonts w:hint="cs"/>
          <w:sz w:val="23"/>
          <w:szCs w:val="23"/>
          <w:rtl/>
        </w:rPr>
        <w:t>ی کمتری دارند نرخ</w:t>
      </w:r>
      <w:r w:rsidRPr="00A62FF4">
        <w:rPr>
          <w:rFonts w:hint="cs"/>
          <w:sz w:val="23"/>
          <w:szCs w:val="23"/>
          <w:rtl/>
        </w:rPr>
        <w:softHyphen/>
        <w:t xml:space="preserve"> رشد بالاتری را خواهند داشت. </w:t>
      </w:r>
    </w:p>
    <w:p w14:paraId="6482DB85" w14:textId="77777777" w:rsidR="00411620" w:rsidRPr="00A62FF4" w:rsidRDefault="00411620" w:rsidP="00411620">
      <w:pPr>
        <w:spacing w:line="216" w:lineRule="auto"/>
        <w:rPr>
          <w:sz w:val="23"/>
          <w:szCs w:val="23"/>
          <w:rtl/>
        </w:rPr>
      </w:pPr>
      <w:r w:rsidRPr="00A62FF4">
        <w:rPr>
          <w:rFonts w:hint="cs"/>
          <w:sz w:val="23"/>
          <w:szCs w:val="23"/>
          <w:rtl/>
        </w:rPr>
        <w:t>نظریه</w:t>
      </w:r>
      <w:r w:rsidRPr="00A62FF4">
        <w:rPr>
          <w:sz w:val="23"/>
          <w:szCs w:val="23"/>
          <w:rtl/>
        </w:rPr>
        <w:softHyphen/>
      </w:r>
      <w:r w:rsidRPr="00A62FF4">
        <w:rPr>
          <w:rFonts w:hint="cs"/>
          <w:sz w:val="23"/>
          <w:szCs w:val="23"/>
          <w:rtl/>
        </w:rPr>
        <w:t>پردازان مدل</w:t>
      </w:r>
      <w:r w:rsidRPr="00A62FF4">
        <w:rPr>
          <w:rFonts w:hint="cs"/>
          <w:sz w:val="23"/>
          <w:szCs w:val="23"/>
          <w:rtl/>
        </w:rPr>
        <w:softHyphen/>
        <w:t>های رشد نئوکلا‌‌‌سیکی در اواخر دهه</w:t>
      </w:r>
      <w:r w:rsidRPr="00A62FF4">
        <w:rPr>
          <w:sz w:val="23"/>
          <w:szCs w:val="23"/>
          <w:rtl/>
        </w:rPr>
        <w:softHyphen/>
      </w:r>
      <w:r w:rsidRPr="00A62FF4">
        <w:rPr>
          <w:rFonts w:hint="cs"/>
          <w:sz w:val="23"/>
          <w:szCs w:val="23"/>
          <w:rtl/>
        </w:rPr>
        <w:t>ی۱۹۶۰ به این نتیجه رسیدند که نظریه</w:t>
      </w:r>
      <w:r w:rsidRPr="00A62FF4">
        <w:rPr>
          <w:sz w:val="23"/>
          <w:szCs w:val="23"/>
          <w:rtl/>
        </w:rPr>
        <w:softHyphen/>
      </w:r>
      <w:r w:rsidRPr="00A62FF4">
        <w:rPr>
          <w:rFonts w:hint="cs"/>
          <w:sz w:val="23"/>
          <w:szCs w:val="23"/>
          <w:rtl/>
        </w:rPr>
        <w:t>ی رشد سولو-سوان دارای اشکالاتی اساسی ‌‌است. ‌جهت رفع نواقص، پیشرفت تکنولوژی را برون</w:t>
      </w:r>
      <w:r w:rsidRPr="00A62FF4">
        <w:rPr>
          <w:rFonts w:hint="cs"/>
          <w:sz w:val="23"/>
          <w:szCs w:val="23"/>
          <w:rtl/>
        </w:rPr>
        <w:softHyphen/>
        <w:t>زا در نظر گرفته و ‌‌بدین صورت توانستند وجود نرخ رشد مثبت و ثابت و هم چنین هم</w:t>
      </w:r>
      <w:r w:rsidRPr="00A62FF4">
        <w:rPr>
          <w:sz w:val="23"/>
          <w:szCs w:val="23"/>
          <w:rtl/>
        </w:rPr>
        <w:softHyphen/>
      </w:r>
      <w:r w:rsidRPr="00A62FF4">
        <w:rPr>
          <w:rFonts w:hint="cs"/>
          <w:sz w:val="23"/>
          <w:szCs w:val="23"/>
          <w:rtl/>
        </w:rPr>
        <w:t>گرایی شرطی را در اقتصاد توجیه کنند.‌ ‌بر‌‌ این ‌اساس کشورها بوسیله ابداع و اختراع به رشد خود ادامه می‌‌دهند. ‌‌‌ضعف آشکار این فرض آن است که نرخ رشد بلند‌‌مدت بوسیله</w:t>
      </w:r>
      <w:r w:rsidRPr="00A62FF4">
        <w:rPr>
          <w:sz w:val="23"/>
          <w:szCs w:val="23"/>
          <w:rtl/>
        </w:rPr>
        <w:softHyphen/>
      </w:r>
      <w:r w:rsidRPr="00A62FF4">
        <w:rPr>
          <w:rFonts w:hint="cs"/>
          <w:sz w:val="23"/>
          <w:szCs w:val="23"/>
          <w:rtl/>
        </w:rPr>
        <w:t>ی نرخ پیشرفت تکنولوژی که خارج از مدل می‌‌باشد‌ تعریف می</w:t>
      </w:r>
      <w:r w:rsidRPr="00A62FF4">
        <w:rPr>
          <w:sz w:val="23"/>
          <w:szCs w:val="23"/>
          <w:rtl/>
        </w:rPr>
        <w:softHyphen/>
      </w:r>
      <w:r w:rsidRPr="00A62FF4">
        <w:rPr>
          <w:rFonts w:hint="cs"/>
          <w:sz w:val="23"/>
          <w:szCs w:val="23"/>
          <w:rtl/>
        </w:rPr>
        <w:t xml:space="preserve">شود.‌ </w:t>
      </w:r>
    </w:p>
    <w:p w14:paraId="0B2C75E1" w14:textId="77777777" w:rsidR="00411620" w:rsidRPr="00A62FF4" w:rsidRDefault="00411620" w:rsidP="00411620">
      <w:pPr>
        <w:spacing w:line="216" w:lineRule="auto"/>
        <w:rPr>
          <w:sz w:val="23"/>
          <w:szCs w:val="23"/>
          <w:rtl/>
        </w:rPr>
      </w:pPr>
      <w:r w:rsidRPr="00A62FF4">
        <w:rPr>
          <w:rFonts w:hint="cs"/>
          <w:sz w:val="23"/>
          <w:szCs w:val="23"/>
          <w:rtl/>
        </w:rPr>
        <w:lastRenderedPageBreak/>
        <w:t>در دهه</w:t>
      </w:r>
      <w:r w:rsidRPr="00A62FF4">
        <w:rPr>
          <w:sz w:val="23"/>
          <w:szCs w:val="23"/>
          <w:rtl/>
        </w:rPr>
        <w:softHyphen/>
      </w:r>
      <w:r w:rsidRPr="00A62FF4">
        <w:rPr>
          <w:rFonts w:hint="cs"/>
          <w:sz w:val="23"/>
          <w:szCs w:val="23"/>
          <w:rtl/>
        </w:rPr>
        <w:t>ی ۱۹۸۰ اقتصاددانان سعی کردند تکنولوژی را به صورت درون</w:t>
      </w:r>
      <w:r w:rsidRPr="00A62FF4">
        <w:rPr>
          <w:sz w:val="23"/>
          <w:szCs w:val="23"/>
          <w:rtl/>
        </w:rPr>
        <w:softHyphen/>
      </w:r>
      <w:r w:rsidRPr="00A62FF4">
        <w:rPr>
          <w:rFonts w:hint="cs"/>
          <w:sz w:val="23"/>
          <w:szCs w:val="23"/>
          <w:rtl/>
        </w:rPr>
        <w:t>زا وارد مدل اقتصادی کنند و به تبع آن مفاهیم سرمایه</w:t>
      </w:r>
      <w:r w:rsidRPr="00A62FF4">
        <w:rPr>
          <w:sz w:val="23"/>
          <w:szCs w:val="23"/>
          <w:rtl/>
        </w:rPr>
        <w:softHyphen/>
      </w:r>
      <w:r w:rsidRPr="00A62FF4">
        <w:rPr>
          <w:rFonts w:hint="cs"/>
          <w:sz w:val="23"/>
          <w:szCs w:val="23"/>
          <w:rtl/>
        </w:rPr>
        <w:t>ی انسانی، مهارت و دانش که کارگران را کارا‌‌تر می</w:t>
      </w:r>
      <w:r w:rsidRPr="00A62FF4">
        <w:rPr>
          <w:rFonts w:hint="cs"/>
          <w:sz w:val="23"/>
          <w:szCs w:val="23"/>
          <w:rtl/>
        </w:rPr>
        <w:softHyphen/>
        <w:t>کند وارد مدل</w:t>
      </w:r>
      <w:r w:rsidRPr="00A62FF4">
        <w:rPr>
          <w:rFonts w:hint="cs"/>
          <w:sz w:val="23"/>
          <w:szCs w:val="23"/>
          <w:rtl/>
        </w:rPr>
        <w:softHyphen/>
        <w:t>های رشد اقتصادی شد.‌‌ ویژگی اصلی سرمایه</w:t>
      </w:r>
      <w:r w:rsidRPr="00A62FF4">
        <w:rPr>
          <w:sz w:val="23"/>
          <w:szCs w:val="23"/>
          <w:rtl/>
        </w:rPr>
        <w:softHyphen/>
      </w:r>
      <w:r w:rsidRPr="00A62FF4">
        <w:rPr>
          <w:rFonts w:hint="cs"/>
          <w:sz w:val="23"/>
          <w:szCs w:val="23"/>
          <w:rtl/>
        </w:rPr>
        <w:t>ی انسانی دارا‌‌ بودن نرخ بازدهی فزاینده است. بنابراین نرخ رشد تولید به تغییرات تکنولوژیکی و فاکتورهای فزاینده</w:t>
      </w:r>
      <w:r w:rsidRPr="00A62FF4">
        <w:rPr>
          <w:sz w:val="23"/>
          <w:szCs w:val="23"/>
          <w:rtl/>
        </w:rPr>
        <w:softHyphen/>
      </w:r>
      <w:r w:rsidRPr="00A62FF4">
        <w:rPr>
          <w:rFonts w:hint="cs"/>
          <w:sz w:val="23"/>
          <w:szCs w:val="23"/>
          <w:rtl/>
        </w:rPr>
        <w:t>ی سرمایه</w:t>
      </w:r>
      <w:r w:rsidRPr="00A62FF4">
        <w:rPr>
          <w:sz w:val="23"/>
          <w:szCs w:val="23"/>
          <w:rtl/>
        </w:rPr>
        <w:softHyphen/>
      </w:r>
      <w:r w:rsidRPr="00A62FF4">
        <w:rPr>
          <w:rFonts w:hint="cs"/>
          <w:sz w:val="23"/>
          <w:szCs w:val="23"/>
          <w:rtl/>
        </w:rPr>
        <w:t>ی انسانی همانند آموزش نیز بستگی خواهد داشت.</w:t>
      </w:r>
    </w:p>
    <w:p w14:paraId="43B2F62E" w14:textId="77777777" w:rsidR="00411620" w:rsidRPr="00A62FF4" w:rsidRDefault="00411620" w:rsidP="00411620">
      <w:pPr>
        <w:spacing w:line="216" w:lineRule="auto"/>
        <w:rPr>
          <w:sz w:val="23"/>
          <w:szCs w:val="23"/>
          <w:rtl/>
        </w:rPr>
      </w:pPr>
      <w:r w:rsidRPr="00A62FF4">
        <w:rPr>
          <w:rFonts w:hint="cs"/>
          <w:sz w:val="23"/>
          <w:szCs w:val="23"/>
          <w:rtl/>
        </w:rPr>
        <w:t>از اواسط دهه</w:t>
      </w:r>
      <w:r w:rsidRPr="00A62FF4">
        <w:rPr>
          <w:sz w:val="23"/>
          <w:szCs w:val="23"/>
          <w:rtl/>
        </w:rPr>
        <w:softHyphen/>
      </w:r>
      <w:r w:rsidRPr="00A62FF4">
        <w:rPr>
          <w:rFonts w:hint="cs"/>
          <w:sz w:val="23"/>
          <w:szCs w:val="23"/>
          <w:rtl/>
        </w:rPr>
        <w:t>ی ۱۹۸۰ تحقیقات رشد اقتصادی روند تازه</w:t>
      </w:r>
      <w:r w:rsidRPr="00A62FF4">
        <w:rPr>
          <w:sz w:val="23"/>
          <w:szCs w:val="23"/>
          <w:rtl/>
        </w:rPr>
        <w:softHyphen/>
      </w:r>
      <w:r w:rsidRPr="00A62FF4">
        <w:rPr>
          <w:rFonts w:hint="cs"/>
          <w:sz w:val="23"/>
          <w:szCs w:val="23"/>
          <w:rtl/>
        </w:rPr>
        <w:t>ای را با مطالعات رومر و لوکاس آغاز کرد. ‌‌در این مدل</w:t>
      </w:r>
      <w:r w:rsidRPr="00A62FF4">
        <w:rPr>
          <w:rFonts w:hint="cs"/>
          <w:sz w:val="23"/>
          <w:szCs w:val="23"/>
          <w:rtl/>
        </w:rPr>
        <w:softHyphen/>
        <w:t>ها اثر سرریز دانش بین تولیدکنندگان، و منافع خارجی سرمایه‌ی انسانی منجر به افزایش رشد می</w:t>
      </w:r>
      <w:r w:rsidRPr="00A62FF4">
        <w:rPr>
          <w:rFonts w:hint="cs"/>
          <w:sz w:val="23"/>
          <w:szCs w:val="23"/>
          <w:rtl/>
        </w:rPr>
        <w:softHyphen/>
        <w:t>شود.‌ رومر در سال</w:t>
      </w:r>
      <w:r w:rsidRPr="00A62FF4">
        <w:rPr>
          <w:sz w:val="23"/>
          <w:szCs w:val="23"/>
          <w:rtl/>
        </w:rPr>
        <w:softHyphen/>
      </w:r>
      <w:r w:rsidRPr="00A62FF4">
        <w:rPr>
          <w:rFonts w:hint="cs"/>
          <w:sz w:val="23"/>
          <w:szCs w:val="23"/>
          <w:rtl/>
        </w:rPr>
        <w:t>های ۱۹۸۷ و ۱۹۹۰، و کروسمن و هلپمن در سال ۱۹۹۱ به اهمیت تحقیق و توسعه در رشد اقتصادی پرداختند. بر طبق این تحقیقات پیشرفت تکنولوژی توسط تلاش</w:t>
      </w:r>
      <w:r w:rsidRPr="00A62FF4">
        <w:rPr>
          <w:rFonts w:hint="cs"/>
          <w:sz w:val="23"/>
          <w:szCs w:val="23"/>
          <w:rtl/>
        </w:rPr>
        <w:softHyphen/>
        <w:t>های هدفمند در حوزه</w:t>
      </w:r>
      <w:r w:rsidRPr="00A62FF4">
        <w:rPr>
          <w:sz w:val="23"/>
          <w:szCs w:val="23"/>
          <w:rtl/>
        </w:rPr>
        <w:softHyphen/>
      </w:r>
      <w:r w:rsidRPr="00A62FF4">
        <w:rPr>
          <w:rFonts w:hint="cs"/>
          <w:sz w:val="23"/>
          <w:szCs w:val="23"/>
          <w:rtl/>
        </w:rPr>
        <w:t>ی تحقیق و توسعه بوجود می‌‌آید. اگر خلق نوآوری به عنوان فرآیندی پایدار در اقتصاد صورت گیرد،‌ در آن‌‌صورت شاهد نرخ رشد بلند‌‌مدت مثبت در اقتصاد خواهیم بود. ‌‌در این مدل</w:t>
      </w:r>
      <w:r w:rsidRPr="00A62FF4">
        <w:rPr>
          <w:sz w:val="23"/>
          <w:szCs w:val="23"/>
          <w:rtl/>
        </w:rPr>
        <w:softHyphen/>
      </w:r>
      <w:r w:rsidRPr="00A62FF4">
        <w:rPr>
          <w:sz w:val="23"/>
          <w:szCs w:val="23"/>
          <w:rtl/>
        </w:rPr>
        <w:softHyphen/>
      </w:r>
      <w:r w:rsidRPr="00A62FF4">
        <w:rPr>
          <w:rFonts w:hint="cs"/>
          <w:sz w:val="23"/>
          <w:szCs w:val="23"/>
          <w:rtl/>
        </w:rPr>
        <w:t>ها</w:t>
      </w:r>
      <w:r w:rsidRPr="00A62FF4">
        <w:rPr>
          <w:sz w:val="23"/>
          <w:szCs w:val="23"/>
          <w:rtl/>
        </w:rPr>
        <w:softHyphen/>
      </w:r>
      <w:r w:rsidRPr="00A62FF4">
        <w:rPr>
          <w:rFonts w:hint="cs"/>
          <w:sz w:val="23"/>
          <w:szCs w:val="23"/>
          <w:rtl/>
        </w:rPr>
        <w:t xml:space="preserve"> نرخ رشد بلند‌‌مدت به عواملی مثل عملکرد دولت در زمینه</w:t>
      </w:r>
      <w:r w:rsidRPr="00A62FF4">
        <w:rPr>
          <w:sz w:val="23"/>
          <w:szCs w:val="23"/>
          <w:rtl/>
        </w:rPr>
        <w:softHyphen/>
      </w:r>
      <w:r w:rsidRPr="00A62FF4">
        <w:rPr>
          <w:rFonts w:hint="cs"/>
          <w:sz w:val="23"/>
          <w:szCs w:val="23"/>
          <w:rtl/>
        </w:rPr>
        <w:t>هایی هم</w:t>
      </w:r>
      <w:r w:rsidRPr="00A62FF4">
        <w:rPr>
          <w:sz w:val="23"/>
          <w:szCs w:val="23"/>
          <w:rtl/>
        </w:rPr>
        <w:softHyphen/>
      </w:r>
      <w:r w:rsidRPr="00A62FF4">
        <w:rPr>
          <w:rFonts w:hint="cs"/>
          <w:sz w:val="23"/>
          <w:szCs w:val="23"/>
          <w:rtl/>
        </w:rPr>
        <w:t>چون نظام مالیاتی، ‌حفظ قانون،‌ تأمین خدمات زیربنایی، ‌حمایت از حقوق مالکیت معنوی، ‌مقررات تجارت بین‌‌الملل و بازارهای مالی و ... بستگی داشته و لذا دولت توانایی تاثیرگذاری بر نرخ رشد بلند‌‌مدت اقتصاد را خواهد داشت.‌‌ تحقیقات اخیر به پارامترهای مهم دیگری با نام اشاعه تکنولوژی هم پرداخته‌ ‌ا‌‌ست. ‌‌‌در مدل</w:t>
      </w:r>
      <w:r w:rsidRPr="00A62FF4">
        <w:rPr>
          <w:rFonts w:hint="cs"/>
          <w:sz w:val="23"/>
          <w:szCs w:val="23"/>
          <w:rtl/>
        </w:rPr>
        <w:softHyphen/>
        <w:t>های جدید اشاعه تکنولوژی برای فرمول</w:t>
      </w:r>
      <w:r w:rsidRPr="00A62FF4">
        <w:rPr>
          <w:sz w:val="23"/>
          <w:szCs w:val="23"/>
          <w:rtl/>
        </w:rPr>
        <w:softHyphen/>
      </w:r>
      <w:r w:rsidRPr="00A62FF4">
        <w:rPr>
          <w:rFonts w:hint="cs"/>
          <w:sz w:val="23"/>
          <w:szCs w:val="23"/>
          <w:rtl/>
        </w:rPr>
        <w:t>بندی رشد اقتصاد‌‌ها‌‌یی که به عنوان کشورهای پیرو به دنبال تقلید از کشورهای پیشرفته هستند، ‌مناسب به نظر می‌‌رسد.‌ کپی کردن تکنولوژی روشی بسیار ارزان</w:t>
      </w:r>
      <w:r w:rsidRPr="00A62FF4">
        <w:rPr>
          <w:sz w:val="23"/>
          <w:szCs w:val="23"/>
          <w:rtl/>
        </w:rPr>
        <w:softHyphen/>
      </w:r>
      <w:r w:rsidRPr="00A62FF4">
        <w:rPr>
          <w:rFonts w:hint="cs"/>
          <w:sz w:val="23"/>
          <w:szCs w:val="23"/>
          <w:rtl/>
        </w:rPr>
        <w:t>تر از از ایجاد نوآوری است و در کشورهای ضعیف‌‌تر بسیار مورد استفاده قرار می</w:t>
      </w:r>
      <w:r w:rsidRPr="00A62FF4">
        <w:rPr>
          <w:rFonts w:hint="cs"/>
          <w:sz w:val="23"/>
          <w:szCs w:val="23"/>
          <w:rtl/>
        </w:rPr>
        <w:softHyphen/>
        <w:t>گیرد. مدل</w:t>
      </w:r>
      <w:r w:rsidRPr="00A62FF4">
        <w:rPr>
          <w:rFonts w:hint="cs"/>
          <w:sz w:val="23"/>
          <w:szCs w:val="23"/>
          <w:rtl/>
        </w:rPr>
        <w:softHyphen/>
        <w:t>های مبتنی بر اشاعه</w:t>
      </w:r>
      <w:r w:rsidRPr="00A62FF4">
        <w:rPr>
          <w:sz w:val="23"/>
          <w:szCs w:val="23"/>
          <w:rtl/>
        </w:rPr>
        <w:softHyphen/>
      </w:r>
      <w:r w:rsidRPr="00A62FF4">
        <w:rPr>
          <w:rFonts w:hint="cs"/>
          <w:sz w:val="23"/>
          <w:szCs w:val="23"/>
          <w:rtl/>
        </w:rPr>
        <w:t>ی تکنولوژی، اثبات کننده</w:t>
      </w:r>
      <w:r w:rsidRPr="00A62FF4">
        <w:rPr>
          <w:sz w:val="23"/>
          <w:szCs w:val="23"/>
          <w:rtl/>
        </w:rPr>
        <w:softHyphen/>
      </w:r>
      <w:r w:rsidRPr="00A62FF4">
        <w:rPr>
          <w:rFonts w:hint="cs"/>
          <w:sz w:val="23"/>
          <w:szCs w:val="23"/>
          <w:rtl/>
        </w:rPr>
        <w:t>ی نوعی از همگرایی شرطی میان کشورهاست که می</w:t>
      </w:r>
      <w:r w:rsidRPr="00A62FF4">
        <w:rPr>
          <w:rFonts w:hint="cs"/>
          <w:sz w:val="23"/>
          <w:szCs w:val="23"/>
          <w:rtl/>
        </w:rPr>
        <w:softHyphen/>
        <w:t>تواند شباهت‌‌ها‌‌‌یی با پیش</w:t>
      </w:r>
      <w:r w:rsidRPr="00A62FF4">
        <w:rPr>
          <w:sz w:val="23"/>
          <w:szCs w:val="23"/>
          <w:rtl/>
        </w:rPr>
        <w:softHyphen/>
      </w:r>
      <w:r w:rsidRPr="00A62FF4">
        <w:rPr>
          <w:rFonts w:hint="cs"/>
          <w:sz w:val="23"/>
          <w:szCs w:val="23"/>
          <w:rtl/>
        </w:rPr>
        <w:t>بینی</w:t>
      </w:r>
      <w:r w:rsidRPr="00A62FF4">
        <w:rPr>
          <w:rFonts w:hint="cs"/>
          <w:sz w:val="23"/>
          <w:szCs w:val="23"/>
          <w:rtl/>
        </w:rPr>
        <w:softHyphen/>
        <w:t>های مدل رشد نئوکلاسیک داشته باشد. در مدل رشد نئوکلاسیک پارامترهای برون</w:t>
      </w:r>
      <w:r w:rsidRPr="00A62FF4">
        <w:rPr>
          <w:sz w:val="23"/>
          <w:szCs w:val="23"/>
          <w:rtl/>
        </w:rPr>
        <w:softHyphen/>
      </w:r>
      <w:r w:rsidRPr="00A62FF4">
        <w:rPr>
          <w:rFonts w:hint="cs"/>
          <w:sz w:val="23"/>
          <w:szCs w:val="23"/>
          <w:rtl/>
        </w:rPr>
        <w:t>زا همانند نرخ رشد جمعیت نقش مهمی دارند. نرخ بالای رشد جمعیت منجر به کاهش سطح محصول سرانه</w:t>
      </w:r>
      <w:r w:rsidRPr="00A62FF4">
        <w:rPr>
          <w:sz w:val="23"/>
          <w:szCs w:val="23"/>
          <w:rtl/>
        </w:rPr>
        <w:softHyphen/>
      </w:r>
      <w:r w:rsidRPr="00A62FF4">
        <w:rPr>
          <w:rFonts w:hint="cs"/>
          <w:sz w:val="23"/>
          <w:szCs w:val="23"/>
          <w:rtl/>
        </w:rPr>
        <w:t>ی پایدار شده و ‌‌در نتیجه شاهد کاهش نرخ رشد سرانه به ازای مقدار اولیه درآمد سرانه خواهیم بود.</w:t>
      </w:r>
    </w:p>
    <w:p w14:paraId="439B1A74" w14:textId="77777777" w:rsidR="00411620" w:rsidRPr="00A62FF4" w:rsidRDefault="00411620" w:rsidP="00411620">
      <w:pPr>
        <w:spacing w:line="216" w:lineRule="auto"/>
        <w:rPr>
          <w:sz w:val="23"/>
          <w:szCs w:val="23"/>
          <w:rtl/>
        </w:rPr>
      </w:pPr>
      <w:r w:rsidRPr="00A62FF4">
        <w:rPr>
          <w:rFonts w:hint="cs"/>
          <w:sz w:val="23"/>
          <w:szCs w:val="23"/>
          <w:rtl/>
        </w:rPr>
        <w:t>ناسازگاری اساسی میان تحقیقات در این حوزه در دهه</w:t>
      </w:r>
      <w:r w:rsidRPr="00A62FF4">
        <w:rPr>
          <w:sz w:val="23"/>
          <w:szCs w:val="23"/>
          <w:rtl/>
        </w:rPr>
        <w:softHyphen/>
      </w:r>
      <w:r w:rsidRPr="00A62FF4">
        <w:rPr>
          <w:rFonts w:hint="cs"/>
          <w:sz w:val="23"/>
          <w:szCs w:val="23"/>
          <w:rtl/>
        </w:rPr>
        <w:t>ی ۱۹۶۰ و دهه</w:t>
      </w:r>
      <w:r w:rsidRPr="00A62FF4">
        <w:rPr>
          <w:sz w:val="23"/>
          <w:szCs w:val="23"/>
          <w:rtl/>
        </w:rPr>
        <w:softHyphen/>
      </w:r>
      <w:r w:rsidRPr="00A62FF4">
        <w:rPr>
          <w:rFonts w:hint="cs"/>
          <w:sz w:val="23"/>
          <w:szCs w:val="23"/>
          <w:rtl/>
        </w:rPr>
        <w:t>ها</w:t>
      </w:r>
      <w:r w:rsidRPr="00A62FF4">
        <w:rPr>
          <w:sz w:val="23"/>
          <w:szCs w:val="23"/>
          <w:rtl/>
        </w:rPr>
        <w:softHyphen/>
      </w:r>
      <w:r w:rsidRPr="00A62FF4">
        <w:rPr>
          <w:rFonts w:hint="cs"/>
          <w:sz w:val="23"/>
          <w:szCs w:val="23"/>
          <w:rtl/>
        </w:rPr>
        <w:t>ی ۱۹۸۰ و ۱۹۹۰ بیشتر معطوف به الزامات تجربی نظریه</w:t>
      </w:r>
      <w:r w:rsidRPr="00A62FF4">
        <w:rPr>
          <w:rFonts w:hint="cs"/>
          <w:sz w:val="23"/>
          <w:szCs w:val="23"/>
          <w:rtl/>
        </w:rPr>
        <w:softHyphen/>
        <w:t>ها و مرتبط بودن تئوری</w:t>
      </w:r>
      <w:r w:rsidRPr="00A62FF4">
        <w:rPr>
          <w:sz w:val="23"/>
          <w:szCs w:val="23"/>
          <w:rtl/>
        </w:rPr>
        <w:softHyphen/>
      </w:r>
      <w:r w:rsidRPr="00A62FF4">
        <w:rPr>
          <w:rFonts w:hint="cs"/>
          <w:sz w:val="23"/>
          <w:szCs w:val="23"/>
          <w:rtl/>
        </w:rPr>
        <w:t>ها با آمارهای تجربی است.‌ در واقع مقالات زیادی سعی بر این داشته‌‌اند که تئوری</w:t>
      </w:r>
      <w:r w:rsidRPr="00A62FF4">
        <w:rPr>
          <w:rFonts w:hint="cs"/>
          <w:sz w:val="23"/>
          <w:szCs w:val="23"/>
          <w:rtl/>
        </w:rPr>
        <w:softHyphen/>
        <w:t>های قدیمی</w:t>
      </w:r>
      <w:r w:rsidRPr="00A62FF4">
        <w:rPr>
          <w:rFonts w:hint="cs"/>
          <w:sz w:val="23"/>
          <w:szCs w:val="23"/>
          <w:rtl/>
        </w:rPr>
        <w:softHyphen/>
        <w:t>تر را با کاربردهای آماری و الزامات تجربی نزدیک</w:t>
      </w:r>
      <w:r w:rsidRPr="00A62FF4">
        <w:rPr>
          <w:sz w:val="23"/>
          <w:szCs w:val="23"/>
          <w:rtl/>
        </w:rPr>
        <w:softHyphen/>
      </w:r>
      <w:r w:rsidRPr="00A62FF4">
        <w:rPr>
          <w:rFonts w:hint="cs"/>
          <w:sz w:val="23"/>
          <w:szCs w:val="23"/>
          <w:rtl/>
        </w:rPr>
        <w:t>تر کنند.‌‌ این امر با پرداختن به موضوعاتی هم</w:t>
      </w:r>
      <w:r w:rsidRPr="00A62FF4">
        <w:rPr>
          <w:sz w:val="23"/>
          <w:szCs w:val="23"/>
          <w:rtl/>
        </w:rPr>
        <w:softHyphen/>
      </w:r>
      <w:r w:rsidRPr="00A62FF4">
        <w:rPr>
          <w:rFonts w:hint="cs"/>
          <w:sz w:val="23"/>
          <w:szCs w:val="23"/>
          <w:rtl/>
        </w:rPr>
        <w:t>چون بازده</w:t>
      </w:r>
      <w:r w:rsidRPr="00A62FF4">
        <w:rPr>
          <w:rFonts w:hint="cs"/>
          <w:sz w:val="23"/>
          <w:szCs w:val="23"/>
          <w:rtl/>
        </w:rPr>
        <w:softHyphen/>
        <w:t xml:space="preserve"> فزاینده، تحقیق و توسعه،‌ سرمایه</w:t>
      </w:r>
      <w:r w:rsidRPr="00A62FF4">
        <w:rPr>
          <w:sz w:val="23"/>
          <w:szCs w:val="23"/>
          <w:rtl/>
        </w:rPr>
        <w:softHyphen/>
      </w:r>
      <w:r w:rsidRPr="00A62FF4">
        <w:rPr>
          <w:rFonts w:hint="cs"/>
          <w:sz w:val="23"/>
          <w:szCs w:val="23"/>
          <w:rtl/>
        </w:rPr>
        <w:t>ی انسانی و اشاعه</w:t>
      </w:r>
      <w:r w:rsidRPr="00A62FF4">
        <w:rPr>
          <w:sz w:val="23"/>
          <w:szCs w:val="23"/>
          <w:rtl/>
        </w:rPr>
        <w:softHyphen/>
      </w:r>
      <w:r w:rsidRPr="00A62FF4">
        <w:rPr>
          <w:rFonts w:hint="cs"/>
          <w:sz w:val="23"/>
          <w:szCs w:val="23"/>
          <w:rtl/>
        </w:rPr>
        <w:t>ی تکنولوژی میسر شده است. در این راستا نگاهی گذرا به آمارهای برخی از کشورها نشان می‌دهد متوسط نرخ رشد سالانه‌ی تولید ناخالص داخلی سرانه‌ی ۱۱۲ کشور در طی سال‌های ۱۹۶۰-۲۰۰۰ تقریباً ۱.۸ درصد و متوسط نسبت سرمایه‌گذاری به تولید ناخالص داخلی آن</w:t>
      </w:r>
      <w:r w:rsidRPr="00A62FF4">
        <w:rPr>
          <w:sz w:val="23"/>
          <w:szCs w:val="23"/>
          <w:rtl/>
        </w:rPr>
        <w:softHyphen/>
      </w:r>
      <w:r w:rsidRPr="00A62FF4">
        <w:rPr>
          <w:rFonts w:hint="cs"/>
          <w:sz w:val="23"/>
          <w:szCs w:val="23"/>
          <w:rtl/>
        </w:rPr>
        <w:t>ها ۱۶ درصد است.</w:t>
      </w:r>
      <w:r w:rsidRPr="00A62FF4">
        <w:rPr>
          <w:rStyle w:val="FootnoteReference"/>
          <w:rFonts w:eastAsiaTheme="minorHAnsi"/>
          <w:sz w:val="23"/>
          <w:szCs w:val="23"/>
          <w:rtl/>
        </w:rPr>
        <w:footnoteReference w:id="98"/>
      </w:r>
      <w:r w:rsidRPr="00A62FF4">
        <w:rPr>
          <w:rFonts w:hint="cs"/>
          <w:sz w:val="23"/>
          <w:szCs w:val="23"/>
          <w:rtl/>
        </w:rPr>
        <w:t xml:space="preserve"> برای کشورهای آفریقایی متوسط نرخ رشد سالانه‌ی تولید ناخالص داخلی سرانه‌ی ۶ .۰ درصد و متوسط نسبت سرمایه‌گذاری به تولید ناخالص داخلی ۱۰ درصد است. همچنین برای کشورهای </w:t>
      </w:r>
      <w:r w:rsidRPr="00A62FF4">
        <w:rPr>
          <w:rFonts w:hint="cs"/>
          <w:sz w:val="23"/>
          <w:szCs w:val="23"/>
          <w:rtl/>
        </w:rPr>
        <w:lastRenderedPageBreak/>
        <w:t>آسیای جنوب شرقی متوسط نرخ رشد سالانه‌ی تولید ناخالص داخلی سرانه ۹. ۴ درصد و متوسط نسبت سرمایه‌گذاری به تولید ناخالص داخلی ۲۵ درصد می‌باشد. از این آمارها این</w:t>
      </w:r>
      <w:r w:rsidRPr="00A62FF4">
        <w:rPr>
          <w:sz w:val="23"/>
          <w:szCs w:val="23"/>
          <w:rtl/>
        </w:rPr>
        <w:softHyphen/>
      </w:r>
      <w:r w:rsidRPr="00A62FF4">
        <w:rPr>
          <w:rFonts w:hint="cs"/>
          <w:sz w:val="23"/>
          <w:szCs w:val="23"/>
          <w:rtl/>
        </w:rPr>
        <w:t xml:space="preserve">گونه مستفاد می‌شود که نرخ رشد تولید ناخالص داخلی با سرمایه‌گذاری همبستگی مثبت دارد. از طرفی دیگر، متوسط نرخ رشد سالانه‌ی تولید ناخالص داخلی سرانه‌ی ۲۳ کشور عضو سازمان همکاری‌های اقتصادی و توسعه، </w:t>
      </w:r>
      <w:r w:rsidRPr="00A62FF4">
        <w:rPr>
          <w:sz w:val="23"/>
          <w:szCs w:val="23"/>
        </w:rPr>
        <w:t>OECD</w:t>
      </w:r>
      <w:r w:rsidRPr="00A62FF4">
        <w:rPr>
          <w:rFonts w:hint="cs"/>
          <w:sz w:val="23"/>
          <w:szCs w:val="23"/>
          <w:rtl/>
        </w:rPr>
        <w:t>، ۷. ۲ درصد، و متوسط نسبت سرمایه‌گذاری به تولید ناخالص داخلی این کشورها حدود ۲۵ درصد است که تقریباً برابر با کشورهای جنوب شرقی آسیا است. بنابراین سرمایه</w:t>
      </w:r>
      <w:r w:rsidRPr="00A62FF4">
        <w:rPr>
          <w:sz w:val="23"/>
          <w:szCs w:val="23"/>
          <w:rtl/>
        </w:rPr>
        <w:softHyphen/>
      </w:r>
      <w:r w:rsidRPr="00A62FF4">
        <w:rPr>
          <w:rFonts w:hint="cs"/>
          <w:sz w:val="23"/>
          <w:szCs w:val="23"/>
          <w:rtl/>
        </w:rPr>
        <w:t>گذاری تنها عامل رشد اقتصادی نیست. در واقع رشد اقتصادی به رشد عوامل تولید یعنی رشد موجودی سرمایه، رشد نیروی کار و پیشرفت تکنولوژیکی که در تجهیزات جدید ظاهر می</w:t>
      </w:r>
      <w:r w:rsidRPr="00A62FF4">
        <w:rPr>
          <w:sz w:val="23"/>
          <w:szCs w:val="23"/>
          <w:rtl/>
        </w:rPr>
        <w:softHyphen/>
      </w:r>
      <w:r w:rsidRPr="00A62FF4">
        <w:rPr>
          <w:rFonts w:hint="cs"/>
          <w:sz w:val="23"/>
          <w:szCs w:val="23"/>
          <w:rtl/>
        </w:rPr>
        <w:t>شود و ... وابسته است. رشد نیروی کار ممکن است از طریق رشد جمعیت، مهاجرت و یا تغییر در نرخ مشارکت تحقق یابد، و پیشرفت تکنولوژی بنابر دلایلی همان پیشرفت در دانش بشری است.</w:t>
      </w:r>
      <w:r w:rsidRPr="00A62FF4">
        <w:rPr>
          <w:sz w:val="23"/>
          <w:szCs w:val="23"/>
        </w:rPr>
        <w:t xml:space="preserve"> </w:t>
      </w:r>
    </w:p>
    <w:p w14:paraId="3052A284" w14:textId="77777777" w:rsidR="00411620" w:rsidRPr="00A62FF4" w:rsidRDefault="00411620" w:rsidP="00411620">
      <w:pPr>
        <w:spacing w:line="216" w:lineRule="auto"/>
        <w:rPr>
          <w:sz w:val="23"/>
          <w:szCs w:val="23"/>
          <w:rtl/>
        </w:rPr>
      </w:pPr>
      <w:r w:rsidRPr="00A62FF4">
        <w:rPr>
          <w:rFonts w:hint="cs"/>
          <w:sz w:val="23"/>
          <w:szCs w:val="23"/>
          <w:rtl/>
        </w:rPr>
        <w:t>در این فصل رابطه</w:t>
      </w:r>
      <w:r w:rsidRPr="00A62FF4">
        <w:rPr>
          <w:sz w:val="23"/>
          <w:szCs w:val="23"/>
          <w:rtl/>
        </w:rPr>
        <w:softHyphen/>
      </w:r>
      <w:r w:rsidRPr="00A62FF4">
        <w:rPr>
          <w:rFonts w:hint="cs"/>
          <w:sz w:val="23"/>
          <w:szCs w:val="23"/>
          <w:rtl/>
        </w:rPr>
        <w:t>ی</w:t>
      </w:r>
      <w:r w:rsidRPr="00A62FF4">
        <w:rPr>
          <w:sz w:val="23"/>
          <w:szCs w:val="23"/>
          <w:rtl/>
        </w:rPr>
        <w:t xml:space="preserve"> </w:t>
      </w:r>
      <w:r w:rsidRPr="00A62FF4">
        <w:rPr>
          <w:rFonts w:hint="cs"/>
          <w:sz w:val="23"/>
          <w:szCs w:val="23"/>
          <w:rtl/>
        </w:rPr>
        <w:t>اول</w:t>
      </w:r>
      <w:r w:rsidRPr="00A62FF4">
        <w:rPr>
          <w:sz w:val="23"/>
          <w:szCs w:val="23"/>
          <w:rtl/>
        </w:rPr>
        <w:t xml:space="preserve"> </w:t>
      </w:r>
      <w:r w:rsidRPr="00A62FF4">
        <w:rPr>
          <w:rFonts w:hint="cs"/>
          <w:sz w:val="23"/>
          <w:szCs w:val="23"/>
          <w:rtl/>
        </w:rPr>
        <w:t>از فصل قبل، یعنی تابع تولید را بر اساس دو تئوری رشد سولو-سوان و تئوری رشد رمزی مورد بررسی و مداقه‌ی بیشتر قرار می</w:t>
      </w:r>
      <w:r w:rsidRPr="00A62FF4">
        <w:rPr>
          <w:rFonts w:hint="cs"/>
          <w:sz w:val="23"/>
          <w:szCs w:val="23"/>
          <w:rtl/>
        </w:rPr>
        <w:softHyphen/>
        <w:t>دهیم</w:t>
      </w:r>
      <w:r w:rsidRPr="00A62FF4">
        <w:rPr>
          <w:sz w:val="23"/>
          <w:szCs w:val="23"/>
        </w:rPr>
        <w:t xml:space="preserve"> </w:t>
      </w:r>
      <w:r w:rsidRPr="00A62FF4">
        <w:rPr>
          <w:rFonts w:hint="cs"/>
          <w:sz w:val="23"/>
          <w:szCs w:val="23"/>
          <w:rtl/>
        </w:rPr>
        <w:t>. در این صورت نه تنها امکان بررسی الگوی اقتصادی با مقادیر ثابت متغیرها و به تبع آن وضعیت تعادل ایستا فراهم می‌شود، بلکه امکان تجزیه و تحلیل مدل</w:t>
      </w:r>
      <w:r w:rsidRPr="00A62FF4">
        <w:rPr>
          <w:sz w:val="23"/>
          <w:szCs w:val="23"/>
          <w:rtl/>
        </w:rPr>
        <w:softHyphen/>
      </w:r>
      <w:r w:rsidRPr="00A62FF4">
        <w:rPr>
          <w:rFonts w:hint="cs"/>
          <w:sz w:val="23"/>
          <w:szCs w:val="23"/>
          <w:rtl/>
        </w:rPr>
        <w:t xml:space="preserve">های اقتصادی که در وضعیت یکنواخت متغیرهای آن دارای رشد غیر صفر ولی ثابت هستند، یعنی وضعیت تعادل همراه با رشد نیز میسر خواهد شد. </w:t>
      </w:r>
    </w:p>
    <w:p w14:paraId="6D317BA4" w14:textId="77777777" w:rsidR="00411620" w:rsidRPr="00A62FF4" w:rsidRDefault="00411620" w:rsidP="00411620">
      <w:pPr>
        <w:spacing w:line="216" w:lineRule="auto"/>
        <w:rPr>
          <w:sz w:val="23"/>
          <w:szCs w:val="23"/>
          <w:rtl/>
        </w:rPr>
      </w:pPr>
    </w:p>
    <w:p w14:paraId="1E612CAE" w14:textId="77777777" w:rsidR="00411620" w:rsidRPr="00A62FF4" w:rsidRDefault="00411620" w:rsidP="00411620">
      <w:pPr>
        <w:pStyle w:val="Heading11"/>
        <w:bidi/>
        <w:spacing w:before="0" w:line="216" w:lineRule="auto"/>
        <w:rPr>
          <w:rFonts w:ascii="Times New Roman" w:hAnsi="Times New Roman" w:cs="B Nazanin"/>
          <w:sz w:val="23"/>
          <w:szCs w:val="23"/>
          <w:rtl/>
        </w:rPr>
      </w:pPr>
      <w:r w:rsidRPr="00A62FF4">
        <w:rPr>
          <w:rFonts w:ascii="Times New Roman" w:hAnsi="Times New Roman" w:cs="B Nazanin" w:hint="cs"/>
          <w:sz w:val="23"/>
          <w:szCs w:val="23"/>
          <w:rtl/>
        </w:rPr>
        <w:t xml:space="preserve">۳. ۲ </w:t>
      </w:r>
      <w:r w:rsidRPr="00A62FF4">
        <w:rPr>
          <w:rFonts w:ascii="Times New Roman" w:hAnsi="Times New Roman" w:cs="B Nazanin"/>
          <w:sz w:val="23"/>
          <w:szCs w:val="23"/>
          <w:rtl/>
        </w:rPr>
        <w:t>مدل</w:t>
      </w:r>
      <w:r w:rsidRPr="00A62FF4">
        <w:rPr>
          <w:rFonts w:ascii="Times New Roman" w:hAnsi="Times New Roman" w:cs="B Nazanin"/>
          <w:sz w:val="23"/>
          <w:szCs w:val="23"/>
        </w:rPr>
        <w:softHyphen/>
      </w:r>
      <w:r w:rsidRPr="00A62FF4">
        <w:rPr>
          <w:rFonts w:ascii="Times New Roman" w:hAnsi="Times New Roman" w:cs="B Nazanin"/>
          <w:sz w:val="23"/>
          <w:szCs w:val="23"/>
          <w:rtl/>
        </w:rPr>
        <w:t>سازی رشد اقتصادی</w:t>
      </w:r>
    </w:p>
    <w:p w14:paraId="10FBCA7B" w14:textId="77777777" w:rsidR="00411620" w:rsidRPr="00A62FF4" w:rsidRDefault="00411620" w:rsidP="00411620">
      <w:pPr>
        <w:spacing w:line="216" w:lineRule="auto"/>
        <w:rPr>
          <w:sz w:val="23"/>
          <w:szCs w:val="23"/>
        </w:rPr>
      </w:pPr>
      <w:r w:rsidRPr="00A62FF4">
        <w:rPr>
          <w:rFonts w:hint="cs"/>
          <w:sz w:val="23"/>
          <w:szCs w:val="23"/>
          <w:rtl/>
        </w:rPr>
        <w:t>ابتدا تابع تولید زیر را در نظر می</w:t>
      </w:r>
      <w:r w:rsidRPr="00A62FF4">
        <w:rPr>
          <w:sz w:val="23"/>
          <w:szCs w:val="23"/>
          <w:rtl/>
        </w:rPr>
        <w:softHyphen/>
      </w:r>
      <w:r w:rsidRPr="00A62FF4">
        <w:rPr>
          <w:rFonts w:hint="cs"/>
          <w:sz w:val="23"/>
          <w:szCs w:val="23"/>
          <w:rtl/>
        </w:rPr>
        <w:t xml:space="preserve">گیریم </w:t>
      </w:r>
    </w:p>
    <w:p w14:paraId="26939E29" w14:textId="77777777" w:rsidR="00411620" w:rsidRPr="00A62FF4" w:rsidRDefault="00411620" w:rsidP="00411620">
      <w:pPr>
        <w:pStyle w:val="MTDisplayEquation"/>
        <w:spacing w:line="216" w:lineRule="auto"/>
        <w:rPr>
          <w:rFonts w:ascii="Times New Roman" w:hAnsi="Times New Roman" w:cs="B Nazanin"/>
          <w:sz w:val="23"/>
          <w:szCs w:val="23"/>
        </w:rPr>
      </w:pPr>
      <w:r w:rsidRPr="00A62FF4">
        <w:rPr>
          <w:position w:val="-12"/>
        </w:rPr>
        <w:object w:dxaOrig="1620" w:dyaOrig="360" w14:anchorId="111B5133">
          <v:shape id="_x0000_i1515" type="#_x0000_t75" style="width:81.1pt;height:18.15pt" o:ole="">
            <v:imagedata r:id="rId1005" o:title=""/>
          </v:shape>
          <o:OLEObject Type="Embed" ProgID="Equation.DSMT4" ShapeID="_x0000_i1515" DrawAspect="Content" ObjectID="_1791375459" r:id="rId1006"/>
        </w:object>
      </w:r>
    </w:p>
    <w:p w14:paraId="08275DB2" w14:textId="77777777" w:rsidR="00411620" w:rsidRPr="00A62FF4" w:rsidRDefault="00411620" w:rsidP="00411620">
      <w:pPr>
        <w:spacing w:line="216" w:lineRule="auto"/>
        <w:rPr>
          <w:rFonts w:eastAsiaTheme="minorEastAsia"/>
          <w:sz w:val="23"/>
          <w:szCs w:val="23"/>
          <w:rtl/>
        </w:rPr>
      </w:pPr>
      <w:r w:rsidRPr="00A62FF4">
        <w:rPr>
          <w:rFonts w:hint="cs"/>
          <w:sz w:val="23"/>
          <w:szCs w:val="23"/>
          <w:rtl/>
        </w:rPr>
        <w:t>که در آن ستانده و یا سطح تولید و یا جریان محصول در زمان</w:t>
      </w:r>
      <w:r w:rsidRPr="00A62FF4">
        <w:rPr>
          <w:i/>
          <w:iCs/>
          <w:sz w:val="23"/>
          <w:szCs w:val="23"/>
        </w:rPr>
        <w:t>t</w:t>
      </w:r>
      <w:r w:rsidRPr="00A62FF4">
        <w:rPr>
          <w:i/>
          <w:iCs/>
          <w:sz w:val="23"/>
          <w:szCs w:val="23"/>
          <w:rtl/>
        </w:rPr>
        <w:t xml:space="preserve"> </w:t>
      </w:r>
      <w:r w:rsidRPr="00A62FF4">
        <w:rPr>
          <w:rFonts w:hint="cs"/>
          <w:sz w:val="23"/>
          <w:szCs w:val="23"/>
          <w:rtl/>
        </w:rPr>
        <w:t>است</w:t>
      </w:r>
      <w:r w:rsidRPr="00A62FF4">
        <w:rPr>
          <w:sz w:val="23"/>
          <w:szCs w:val="23"/>
        </w:rPr>
        <w:t>.</w:t>
      </w:r>
      <w:r w:rsidRPr="00A62FF4">
        <w:rPr>
          <w:rFonts w:hint="cs"/>
          <w:sz w:val="23"/>
          <w:szCs w:val="23"/>
          <w:rtl/>
        </w:rPr>
        <w:t xml:space="preserve"> اولین نهاده در تابع تولید فوق</w:t>
      </w:r>
      <w:r w:rsidRPr="00A62FF4">
        <w:rPr>
          <w:position w:val="-10"/>
        </w:rPr>
        <w:object w:dxaOrig="300" w:dyaOrig="320" w14:anchorId="6006BE55">
          <v:shape id="_x0000_i1516" type="#_x0000_t75" style="width:15.15pt;height:15.75pt" o:ole="">
            <v:imagedata r:id="rId1007" o:title=""/>
          </v:shape>
          <o:OLEObject Type="Embed" ProgID="Equation.DSMT4" ShapeID="_x0000_i1516" DrawAspect="Content" ObjectID="_1791375460" r:id="rId1008"/>
        </w:object>
      </w:r>
      <w:r w:rsidRPr="00A62FF4">
        <w:rPr>
          <w:rFonts w:hint="cs"/>
          <w:sz w:val="23"/>
          <w:szCs w:val="23"/>
          <w:rtl/>
        </w:rPr>
        <w:t xml:space="preserve"> یا موجودی سرمایه‌ی فیزیکی بادوام همانند ماشین آلات و ساختمان است</w:t>
      </w:r>
      <w:r w:rsidRPr="00A62FF4">
        <w:rPr>
          <w:sz w:val="23"/>
          <w:szCs w:val="23"/>
        </w:rPr>
        <w:t xml:space="preserve"> </w:t>
      </w:r>
      <w:r w:rsidRPr="00A62FF4">
        <w:rPr>
          <w:rFonts w:hint="cs"/>
          <w:sz w:val="23"/>
          <w:szCs w:val="23"/>
          <w:rtl/>
        </w:rPr>
        <w:t>که براساس تابع تولیدی همانند تابع تولید فوق در گذشته تولید شده، ولی بجای آن</w:t>
      </w:r>
      <w:r w:rsidRPr="00A62FF4">
        <w:rPr>
          <w:sz w:val="23"/>
          <w:szCs w:val="23"/>
          <w:rtl/>
        </w:rPr>
        <w:softHyphen/>
      </w:r>
      <w:r w:rsidRPr="00A62FF4">
        <w:rPr>
          <w:rFonts w:hint="cs"/>
          <w:sz w:val="23"/>
          <w:szCs w:val="23"/>
          <w:rtl/>
        </w:rPr>
        <w:t>که آن تولیدات مصرف شود، پس</w:t>
      </w:r>
      <w:r w:rsidRPr="00A62FF4">
        <w:rPr>
          <w:sz w:val="23"/>
          <w:szCs w:val="23"/>
          <w:rtl/>
        </w:rPr>
        <w:softHyphen/>
      </w:r>
      <w:r w:rsidRPr="00A62FF4">
        <w:rPr>
          <w:rFonts w:hint="cs"/>
          <w:sz w:val="23"/>
          <w:szCs w:val="23"/>
          <w:rtl/>
        </w:rPr>
        <w:t>انداز و سرمایه</w:t>
      </w:r>
      <w:r w:rsidRPr="00A62FF4">
        <w:rPr>
          <w:sz w:val="23"/>
          <w:szCs w:val="23"/>
          <w:rtl/>
        </w:rPr>
        <w:softHyphen/>
      </w:r>
      <w:r w:rsidRPr="00A62FF4">
        <w:rPr>
          <w:rFonts w:hint="cs"/>
          <w:sz w:val="23"/>
          <w:szCs w:val="23"/>
          <w:rtl/>
        </w:rPr>
        <w:t>گذاری و سپس در طی زمان انباشته شده است. دومین نهاده</w:t>
      </w:r>
      <w:r w:rsidRPr="00A62FF4">
        <w:rPr>
          <w:sz w:val="23"/>
          <w:szCs w:val="23"/>
          <w:rtl/>
        </w:rPr>
        <w:softHyphen/>
      </w:r>
      <w:r w:rsidRPr="00A62FF4">
        <w:rPr>
          <w:rFonts w:hint="cs"/>
          <w:sz w:val="23"/>
          <w:szCs w:val="23"/>
          <w:rtl/>
        </w:rPr>
        <w:t>ی تولید نیروی کار یا</w:t>
      </w:r>
      <w:r w:rsidRPr="00A62FF4">
        <w:rPr>
          <w:position w:val="-10"/>
        </w:rPr>
        <w:object w:dxaOrig="260" w:dyaOrig="320" w14:anchorId="7DC0B48B">
          <v:shape id="_x0000_i1517" type="#_x0000_t75" style="width:13.3pt;height:15.75pt" o:ole="">
            <v:imagedata r:id="rId1009" o:title=""/>
          </v:shape>
          <o:OLEObject Type="Embed" ProgID="Equation.DSMT4" ShapeID="_x0000_i1517" DrawAspect="Content" ObjectID="_1791375461" r:id="rId1010"/>
        </w:object>
      </w:r>
      <w:r w:rsidRPr="00A62FF4">
        <w:rPr>
          <w:rFonts w:eastAsiaTheme="minorEastAsia" w:hint="cs"/>
          <w:sz w:val="23"/>
          <w:szCs w:val="23"/>
          <w:rtl/>
        </w:rPr>
        <w:t xml:space="preserve"> است که ممکن است برابر با</w:t>
      </w:r>
      <w:r w:rsidRPr="00A62FF4">
        <w:rPr>
          <w:rFonts w:hint="cs"/>
          <w:sz w:val="23"/>
          <w:szCs w:val="23"/>
          <w:rtl/>
        </w:rPr>
        <w:t xml:space="preserve"> تعداد نیروی کار، ساعات کار نیروی کار، توان فیزیکی و یا سلامت روح و روان و یا جسم نیروی کار باشد. </w:t>
      </w:r>
      <w:r w:rsidRPr="00A62FF4">
        <w:rPr>
          <w:rFonts w:eastAsiaTheme="minorEastAsia" w:hint="cs"/>
          <w:sz w:val="23"/>
          <w:szCs w:val="23"/>
          <w:rtl/>
        </w:rPr>
        <w:t>موجودی سرمایه و نیروی کار را کالای رقیب نامند یعنی این دو نهاده‌ی تولید، نمی</w:t>
      </w:r>
      <w:r w:rsidRPr="00A62FF4">
        <w:rPr>
          <w:rFonts w:eastAsiaTheme="minorEastAsia"/>
          <w:sz w:val="23"/>
          <w:szCs w:val="23"/>
          <w:rtl/>
        </w:rPr>
        <w:softHyphen/>
      </w:r>
      <w:r w:rsidRPr="00A62FF4">
        <w:rPr>
          <w:rFonts w:eastAsiaTheme="minorEastAsia" w:hint="cs"/>
          <w:sz w:val="23"/>
          <w:szCs w:val="23"/>
          <w:rtl/>
        </w:rPr>
        <w:t>توانند توسط چند تولیدکننده و بطور همزمان در توابع تولید آن</w:t>
      </w:r>
      <w:r w:rsidRPr="00A62FF4">
        <w:rPr>
          <w:rFonts w:eastAsiaTheme="minorEastAsia"/>
          <w:sz w:val="23"/>
          <w:szCs w:val="23"/>
          <w:rtl/>
        </w:rPr>
        <w:softHyphen/>
      </w:r>
      <w:r w:rsidRPr="00A62FF4">
        <w:rPr>
          <w:rFonts w:eastAsiaTheme="minorEastAsia" w:hint="cs"/>
          <w:sz w:val="23"/>
          <w:szCs w:val="23"/>
          <w:rtl/>
        </w:rPr>
        <w:t>ها قرار گیرند. اگر ماشین</w:t>
      </w:r>
      <w:r w:rsidRPr="00A62FF4">
        <w:rPr>
          <w:rFonts w:eastAsiaTheme="minorEastAsia"/>
          <w:sz w:val="23"/>
          <w:szCs w:val="23"/>
          <w:rtl/>
        </w:rPr>
        <w:softHyphen/>
      </w:r>
      <w:r w:rsidRPr="00A62FF4">
        <w:rPr>
          <w:rFonts w:eastAsiaTheme="minorEastAsia" w:hint="cs"/>
          <w:sz w:val="23"/>
          <w:szCs w:val="23"/>
          <w:rtl/>
        </w:rPr>
        <w:t>آلات و نیروی کاری به عنوان نهاده</w:t>
      </w:r>
      <w:r w:rsidRPr="00A62FF4">
        <w:rPr>
          <w:rFonts w:eastAsiaTheme="minorEastAsia"/>
          <w:sz w:val="23"/>
          <w:szCs w:val="23"/>
          <w:rtl/>
        </w:rPr>
        <w:softHyphen/>
      </w:r>
      <w:r w:rsidRPr="00A62FF4">
        <w:rPr>
          <w:rFonts w:eastAsiaTheme="minorEastAsia" w:hint="cs"/>
          <w:sz w:val="23"/>
          <w:szCs w:val="23"/>
          <w:rtl/>
        </w:rPr>
        <w:t>ی تولید توسط یک تولیدکننده مورد استفاده قرار گیرد، آن نهاده‌ها نمی</w:t>
      </w:r>
      <w:r w:rsidRPr="00A62FF4">
        <w:rPr>
          <w:rFonts w:eastAsiaTheme="minorEastAsia"/>
          <w:sz w:val="23"/>
          <w:szCs w:val="23"/>
          <w:rtl/>
        </w:rPr>
        <w:softHyphen/>
      </w:r>
      <w:r w:rsidRPr="00A62FF4">
        <w:rPr>
          <w:rFonts w:eastAsiaTheme="minorEastAsia" w:hint="cs"/>
          <w:sz w:val="23"/>
          <w:szCs w:val="23"/>
          <w:rtl/>
        </w:rPr>
        <w:t>توانند در همان زمان و توسط تولیدکننده‌ی دیگری مورد استفاده قرار گیرند.</w:t>
      </w:r>
      <w:r w:rsidRPr="00A62FF4">
        <w:rPr>
          <w:rStyle w:val="FootnoteReference"/>
          <w:rFonts w:eastAsiaTheme="minorEastAsia"/>
          <w:sz w:val="23"/>
          <w:szCs w:val="23"/>
          <w:rtl/>
        </w:rPr>
        <w:footnoteReference w:id="99"/>
      </w:r>
      <w:r w:rsidRPr="00A62FF4">
        <w:rPr>
          <w:rFonts w:hint="cs"/>
          <w:sz w:val="23"/>
          <w:szCs w:val="23"/>
          <w:rtl/>
        </w:rPr>
        <w:t xml:space="preserve"> بالاخره سومین نهاده‌ی تولید عامل تکنولوژی و یا </w:t>
      </w:r>
      <w:r w:rsidRPr="00A62FF4">
        <w:rPr>
          <w:position w:val="-10"/>
        </w:rPr>
        <w:object w:dxaOrig="240" w:dyaOrig="320" w14:anchorId="64DB2763">
          <v:shape id="_x0000_i1518" type="#_x0000_t75" style="width:12.1pt;height:15.75pt" o:ole="">
            <v:imagedata r:id="rId1011" o:title=""/>
          </v:shape>
          <o:OLEObject Type="Embed" ProgID="Equation.DSMT4" ShapeID="_x0000_i1518" DrawAspect="Content" ObjectID="_1791375462" r:id="rId1012"/>
        </w:object>
      </w:r>
      <w:r w:rsidRPr="00A62FF4">
        <w:rPr>
          <w:rFonts w:eastAsiaTheme="minorEastAsia" w:hint="cs"/>
          <w:sz w:val="23"/>
          <w:szCs w:val="23"/>
          <w:rtl/>
        </w:rPr>
        <w:t xml:space="preserve"> است. این عامل در واقع دانشی است که دو نهاده‌ی موجودی سرمایه و نیروی کار را برای تولید کالاها و خدمات ترکیب می‌کنند. تکنولوژی با گذشت زمان بهبود خواهد یافت. با بهبود و پیشرفت تکنولوژی، و با مقادیر ثابت موجودی سرمایه و نیروی </w:t>
      </w:r>
      <w:r w:rsidRPr="00A62FF4">
        <w:rPr>
          <w:rFonts w:eastAsiaTheme="minorEastAsia" w:hint="cs"/>
          <w:sz w:val="23"/>
          <w:szCs w:val="23"/>
          <w:rtl/>
        </w:rPr>
        <w:lastRenderedPageBreak/>
        <w:t xml:space="preserve">کار، مقدار تولید کالاها و خدمات نیز افزایش خواهند یافت. همچنین تکنولوژی تولید در کشورهای مختلف و در یک زمان خاص متفاوت است. تکنولوژی کالایی است غیررقیب، زیرا دو یا چند تولیدکننده می‌توانند از دانش و فرمولی مشابه و بطور همزمان برای تولید کالاها و خدمات استفاده کنند. </w:t>
      </w:r>
    </w:p>
    <w:p w14:paraId="69421E20" w14:textId="77777777" w:rsidR="00411620" w:rsidRPr="00A62FF4" w:rsidRDefault="00411620" w:rsidP="00411620">
      <w:pPr>
        <w:spacing w:line="216" w:lineRule="auto"/>
        <w:rPr>
          <w:sz w:val="23"/>
          <w:szCs w:val="23"/>
          <w:rtl/>
        </w:rPr>
      </w:pPr>
      <w:r w:rsidRPr="00A62FF4">
        <w:rPr>
          <w:rFonts w:hint="cs"/>
          <w:sz w:val="23"/>
          <w:szCs w:val="23"/>
          <w:rtl/>
        </w:rPr>
        <w:t>اکنون با توجه به تابع تولید فوق دو تئوری رشد سولو-سوان که در آن نرخ پس</w:t>
      </w:r>
      <w:r w:rsidRPr="00A62FF4">
        <w:rPr>
          <w:sz w:val="23"/>
          <w:szCs w:val="23"/>
          <w:rtl/>
        </w:rPr>
        <w:softHyphen/>
      </w:r>
      <w:r w:rsidRPr="00A62FF4">
        <w:rPr>
          <w:rFonts w:hint="cs"/>
          <w:sz w:val="23"/>
          <w:szCs w:val="23"/>
          <w:rtl/>
        </w:rPr>
        <w:t>انداز برون</w:t>
      </w:r>
      <w:r w:rsidRPr="00A62FF4">
        <w:rPr>
          <w:sz w:val="23"/>
          <w:szCs w:val="23"/>
          <w:rtl/>
        </w:rPr>
        <w:softHyphen/>
      </w:r>
      <w:r w:rsidRPr="00A62FF4">
        <w:rPr>
          <w:sz w:val="23"/>
          <w:szCs w:val="23"/>
          <w:rtl/>
        </w:rPr>
        <w:softHyphen/>
      </w:r>
      <w:r w:rsidRPr="00A62FF4">
        <w:rPr>
          <w:rFonts w:hint="cs"/>
          <w:sz w:val="23"/>
          <w:szCs w:val="23"/>
          <w:rtl/>
        </w:rPr>
        <w:t>زاست و همانند حل مدل به روش قاعده</w:t>
      </w:r>
      <w:r w:rsidRPr="00A62FF4">
        <w:rPr>
          <w:sz w:val="23"/>
          <w:szCs w:val="23"/>
          <w:rtl/>
        </w:rPr>
        <w:softHyphen/>
      </w:r>
      <w:r w:rsidRPr="00A62FF4">
        <w:rPr>
          <w:rFonts w:hint="cs"/>
          <w:sz w:val="23"/>
          <w:szCs w:val="23"/>
          <w:rtl/>
        </w:rPr>
        <w:t>ی طلایی است، و تئوری رشد بهینه که در آن نرخ پس</w:t>
      </w:r>
      <w:r w:rsidRPr="00A62FF4">
        <w:rPr>
          <w:sz w:val="23"/>
          <w:szCs w:val="23"/>
          <w:rtl/>
        </w:rPr>
        <w:softHyphen/>
      </w:r>
      <w:r w:rsidRPr="00A62FF4">
        <w:rPr>
          <w:rFonts w:hint="cs"/>
          <w:sz w:val="23"/>
          <w:szCs w:val="23"/>
          <w:rtl/>
        </w:rPr>
        <w:t>انداز درون</w:t>
      </w:r>
      <w:r w:rsidRPr="00A62FF4">
        <w:rPr>
          <w:sz w:val="23"/>
          <w:szCs w:val="23"/>
          <w:rtl/>
        </w:rPr>
        <w:softHyphen/>
      </w:r>
      <w:r w:rsidRPr="00A62FF4">
        <w:rPr>
          <w:sz w:val="23"/>
          <w:szCs w:val="23"/>
          <w:rtl/>
        </w:rPr>
        <w:softHyphen/>
      </w:r>
      <w:r w:rsidRPr="00A62FF4">
        <w:rPr>
          <w:rFonts w:hint="cs"/>
          <w:sz w:val="23"/>
          <w:szCs w:val="23"/>
          <w:rtl/>
        </w:rPr>
        <w:t>زاست و همانند حل بهینه در فصل قبل می‌باشد را مورد بررسی قرار می</w:t>
      </w:r>
      <w:r w:rsidRPr="00A62FF4">
        <w:rPr>
          <w:sz w:val="23"/>
          <w:szCs w:val="23"/>
          <w:rtl/>
        </w:rPr>
        <w:softHyphen/>
      </w:r>
      <w:r w:rsidRPr="00A62FF4">
        <w:rPr>
          <w:rFonts w:hint="cs"/>
          <w:sz w:val="23"/>
          <w:szCs w:val="23"/>
          <w:rtl/>
        </w:rPr>
        <w:t xml:space="preserve">دهیم. </w:t>
      </w:r>
    </w:p>
    <w:p w14:paraId="288A8EC3" w14:textId="77777777" w:rsidR="00411620" w:rsidRPr="00A62FF4" w:rsidRDefault="00411620" w:rsidP="00411620">
      <w:pPr>
        <w:spacing w:line="216" w:lineRule="auto"/>
        <w:rPr>
          <w:sz w:val="23"/>
          <w:szCs w:val="23"/>
          <w:rtl/>
        </w:rPr>
      </w:pPr>
      <w:r w:rsidRPr="00A62FF4">
        <w:rPr>
          <w:rFonts w:hint="cs"/>
          <w:sz w:val="23"/>
          <w:szCs w:val="23"/>
          <w:rtl/>
        </w:rPr>
        <w:t xml:space="preserve"> </w:t>
      </w:r>
    </w:p>
    <w:p w14:paraId="6693A036" w14:textId="77777777" w:rsidR="00411620" w:rsidRPr="00A62FF4" w:rsidRDefault="00411620" w:rsidP="00411620">
      <w:pPr>
        <w:pStyle w:val="Heading11"/>
        <w:bidi/>
        <w:spacing w:before="0" w:line="216" w:lineRule="auto"/>
        <w:rPr>
          <w:rFonts w:ascii="Times New Roman" w:hAnsi="Times New Roman" w:cs="B Nazanin"/>
          <w:sz w:val="23"/>
          <w:szCs w:val="23"/>
          <w:rtl/>
        </w:rPr>
      </w:pPr>
      <w:r w:rsidRPr="00A62FF4">
        <w:rPr>
          <w:rFonts w:ascii="Times New Roman" w:hAnsi="Times New Roman" w:cs="B Nazanin" w:hint="cs"/>
          <w:sz w:val="23"/>
          <w:szCs w:val="23"/>
          <w:rtl/>
        </w:rPr>
        <w:t xml:space="preserve">۳. ۳ مدل رشد نئوکلاسیک سولو-سوان </w:t>
      </w:r>
    </w:p>
    <w:p w14:paraId="48761B7F" w14:textId="77777777" w:rsidR="00411620" w:rsidRPr="00A62FF4" w:rsidRDefault="00411620" w:rsidP="00411620">
      <w:pPr>
        <w:spacing w:line="216" w:lineRule="auto"/>
        <w:rPr>
          <w:rFonts w:eastAsia="Calibri"/>
          <w:sz w:val="23"/>
          <w:szCs w:val="23"/>
          <w:rtl/>
        </w:rPr>
      </w:pPr>
      <w:r w:rsidRPr="00A62FF4">
        <w:rPr>
          <w:rFonts w:eastAsia="Calibri" w:hint="cs"/>
          <w:sz w:val="23"/>
          <w:szCs w:val="23"/>
          <w:rtl/>
        </w:rPr>
        <w:t>اکثر مدل</w:t>
      </w:r>
      <w:r w:rsidRPr="00A62FF4">
        <w:rPr>
          <w:rFonts w:eastAsia="Calibri" w:hint="cs"/>
          <w:sz w:val="23"/>
          <w:szCs w:val="23"/>
          <w:rtl/>
        </w:rPr>
        <w:softHyphen/>
        <w:t>های رشد دارای ساختار تعادل عمومی مشابهی هستند. ‌‌‌‌‌‌‌خانوار‌‌ها مالک نهاده</w:t>
      </w:r>
      <w:r w:rsidRPr="00A62FF4">
        <w:rPr>
          <w:rFonts w:eastAsia="Calibri" w:hint="cs"/>
          <w:sz w:val="23"/>
          <w:szCs w:val="23"/>
          <w:rtl/>
        </w:rPr>
        <w:softHyphen/>
        <w:t>های تولید و دارایی</w:t>
      </w:r>
      <w:r w:rsidRPr="00A62FF4">
        <w:rPr>
          <w:rFonts w:eastAsia="Calibri" w:hint="cs"/>
          <w:sz w:val="23"/>
          <w:szCs w:val="23"/>
          <w:rtl/>
        </w:rPr>
        <w:softHyphen/>
        <w:t>های بنگاه</w:t>
      </w:r>
      <w:r w:rsidRPr="00A62FF4">
        <w:rPr>
          <w:rFonts w:eastAsia="Calibri" w:hint="cs"/>
          <w:sz w:val="23"/>
          <w:szCs w:val="23"/>
          <w:rtl/>
        </w:rPr>
        <w:softHyphen/>
        <w:t>ها بوده، و در مورد مقدار مصرف و پس</w:t>
      </w:r>
      <w:r w:rsidRPr="00A62FF4">
        <w:rPr>
          <w:rFonts w:eastAsia="Calibri"/>
          <w:sz w:val="23"/>
          <w:szCs w:val="23"/>
          <w:rtl/>
        </w:rPr>
        <w:softHyphen/>
      </w:r>
      <w:r w:rsidRPr="00A62FF4">
        <w:rPr>
          <w:rFonts w:eastAsia="Calibri" w:hint="cs"/>
          <w:sz w:val="23"/>
          <w:szCs w:val="23"/>
          <w:rtl/>
        </w:rPr>
        <w:t>اندازشان تصمیم می</w:t>
      </w:r>
      <w:r w:rsidRPr="00A62FF4">
        <w:rPr>
          <w:rFonts w:eastAsia="Calibri"/>
          <w:sz w:val="23"/>
          <w:szCs w:val="23"/>
          <w:rtl/>
        </w:rPr>
        <w:softHyphen/>
      </w:r>
      <w:r w:rsidRPr="00A62FF4">
        <w:rPr>
          <w:rFonts w:eastAsia="Calibri" w:hint="cs"/>
          <w:sz w:val="23"/>
          <w:szCs w:val="23"/>
          <w:rtl/>
        </w:rPr>
        <w:t>گیرند. بنگاه‌ها نیز نهاده‌های تولید یعنی سرمایه را به خدمت گرفته و نیروی کار را استخدام می</w:t>
      </w:r>
      <w:r w:rsidRPr="00A62FF4">
        <w:rPr>
          <w:rFonts w:eastAsia="Calibri" w:hint="cs"/>
          <w:sz w:val="23"/>
          <w:szCs w:val="23"/>
          <w:rtl/>
        </w:rPr>
        <w:softHyphen/>
        <w:t>کنند، و اجناس تولید شده را به خانوار‌‌ها یا بنگاه</w:t>
      </w:r>
      <w:r w:rsidRPr="00A62FF4">
        <w:rPr>
          <w:rFonts w:eastAsia="Calibri" w:hint="cs"/>
          <w:sz w:val="23"/>
          <w:szCs w:val="23"/>
          <w:rtl/>
        </w:rPr>
        <w:softHyphen/>
        <w:t>های دیگر می‌‌فروشند. بازارها نیز مکان‌‌ها‌‌یی هستند که در آن</w:t>
      </w:r>
      <w:r w:rsidRPr="00A62FF4">
        <w:rPr>
          <w:rFonts w:eastAsia="Calibri"/>
          <w:sz w:val="23"/>
          <w:szCs w:val="23"/>
          <w:rtl/>
        </w:rPr>
        <w:softHyphen/>
      </w:r>
      <w:r w:rsidRPr="00A62FF4">
        <w:rPr>
          <w:rFonts w:eastAsia="Calibri" w:hint="cs"/>
          <w:sz w:val="23"/>
          <w:szCs w:val="23"/>
          <w:rtl/>
        </w:rPr>
        <w:t xml:space="preserve"> بنگاه</w:t>
      </w:r>
      <w:r w:rsidRPr="00A62FF4">
        <w:rPr>
          <w:rFonts w:eastAsia="Calibri" w:hint="cs"/>
          <w:sz w:val="23"/>
          <w:szCs w:val="23"/>
          <w:rtl/>
        </w:rPr>
        <w:softHyphen/>
        <w:t>ها کالاها و خدمات خود را به خانوار‌‌ها یا بنگاه</w:t>
      </w:r>
      <w:r w:rsidRPr="00A62FF4">
        <w:rPr>
          <w:rFonts w:eastAsia="Calibri" w:hint="cs"/>
          <w:sz w:val="23"/>
          <w:szCs w:val="23"/>
          <w:rtl/>
        </w:rPr>
        <w:softHyphen/>
        <w:t>های دیگر، و در مقابل خانوار‌‌ها هم نهاده‌های تولید را به بنگاه‌‌ها می‌‌فروشند، و قیمت</w:t>
      </w:r>
      <w:r w:rsidRPr="00A62FF4">
        <w:rPr>
          <w:rFonts w:eastAsia="Calibri" w:hint="cs"/>
          <w:sz w:val="23"/>
          <w:szCs w:val="23"/>
          <w:rtl/>
        </w:rPr>
        <w:softHyphen/>
        <w:t>های نسبی نهاده‌ها و کالاها توسط مقادیر عرضه و تقاضا تعیین می‌‌شود. با حذف بازارها و بنگاه‌‌ها می‌توان مدل اقتصادیِ با یک واحد مرکب خانوار-تولیدکننده را بدست ‌‌آورد که در آن کسی که مالک نهاده‌‌ها‌‌ست، خود، آن‌ها را به ستانده تبدیل می‌‌کند.</w:t>
      </w:r>
    </w:p>
    <w:p w14:paraId="7609B5D8" w14:textId="77777777" w:rsidR="00411620" w:rsidRPr="00A62FF4" w:rsidRDefault="00411620" w:rsidP="00411620">
      <w:pPr>
        <w:spacing w:line="216" w:lineRule="auto"/>
        <w:rPr>
          <w:sz w:val="23"/>
          <w:szCs w:val="23"/>
          <w:rtl/>
        </w:rPr>
      </w:pPr>
      <w:r w:rsidRPr="00A62FF4">
        <w:rPr>
          <w:rFonts w:hint="cs"/>
          <w:sz w:val="23"/>
          <w:szCs w:val="23"/>
          <w:rtl/>
        </w:rPr>
        <w:t>در این جا فرض می‌شود اقتصاد بسته است و امکان خرید و فروش کالاها و خدمات و همچنین دارایی‌های خارجی و داخلی، از خارج و داخل توسط خانوار داخلی و خارجی وجود ندارد. همچنین تقاضا برای کالاها و خدمات توسط دولت صورت نمی</w:t>
      </w:r>
      <w:r w:rsidRPr="00A62FF4">
        <w:rPr>
          <w:sz w:val="23"/>
          <w:szCs w:val="23"/>
          <w:rtl/>
        </w:rPr>
        <w:softHyphen/>
      </w:r>
      <w:r w:rsidRPr="00A62FF4">
        <w:rPr>
          <w:rFonts w:hint="cs"/>
          <w:sz w:val="23"/>
          <w:szCs w:val="23"/>
          <w:rtl/>
        </w:rPr>
        <w:t>گیرد و تمامی تولیدات مصروف مخارج مصرفی و سرمایه‌گذاری می‌شود. از آنجا که کل درآمد خانوار بین مصرف و پس‌انداز توزیع می‌شود و با فرض برابری تولید و درآمد، در یک اقتصاد ساده، سرمایه‌گذاری برابر با پس‌انداز خواهد شد. اگر فرض کنیم درآمد خانوار بین مصرف و پس</w:t>
      </w:r>
      <w:r w:rsidRPr="00A62FF4">
        <w:rPr>
          <w:sz w:val="23"/>
          <w:szCs w:val="23"/>
          <w:rtl/>
        </w:rPr>
        <w:softHyphen/>
      </w:r>
      <w:r w:rsidRPr="00A62FF4">
        <w:rPr>
          <w:rFonts w:hint="cs"/>
          <w:sz w:val="23"/>
          <w:szCs w:val="23"/>
          <w:rtl/>
        </w:rPr>
        <w:t>انداز تخصیص یابد، و مصرف تابعی از درآمد باشد آنگاه خواهیم داشت؛</w:t>
      </w:r>
    </w:p>
    <w:p w14:paraId="6D921015" w14:textId="77777777" w:rsidR="00411620" w:rsidRPr="00A62FF4" w:rsidRDefault="00411620" w:rsidP="00411620">
      <w:pPr>
        <w:pStyle w:val="MTDisplayEquation"/>
        <w:spacing w:line="216" w:lineRule="auto"/>
        <w:rPr>
          <w:rFonts w:ascii="Times New Roman" w:eastAsiaTheme="minorEastAsia" w:hAnsi="Times New Roman" w:cs="B Nazanin"/>
          <w:sz w:val="23"/>
          <w:szCs w:val="23"/>
          <w:rtl/>
          <w:lang w:val="en-GB"/>
        </w:rPr>
      </w:pPr>
      <w:r w:rsidRPr="00A62FF4">
        <w:rPr>
          <w:position w:val="-48"/>
        </w:rPr>
        <w:object w:dxaOrig="4580" w:dyaOrig="1020" w14:anchorId="4682FA93">
          <v:shape id="_x0000_i1519" type="#_x0000_t75" style="width:228.7pt;height:50.8pt" o:ole="">
            <v:imagedata r:id="rId1013" o:title=""/>
          </v:shape>
          <o:OLEObject Type="Embed" ProgID="Equation.DSMT4" ShapeID="_x0000_i1519" DrawAspect="Content" ObjectID="_1791375463" r:id="rId1014"/>
        </w:object>
      </w:r>
    </w:p>
    <w:p w14:paraId="177FF622" w14:textId="77777777" w:rsidR="00411620" w:rsidRPr="00A62FF4" w:rsidRDefault="00411620" w:rsidP="00411620">
      <w:pPr>
        <w:spacing w:line="216" w:lineRule="auto"/>
        <w:rPr>
          <w:rFonts w:eastAsiaTheme="minorEastAsia"/>
          <w:sz w:val="23"/>
          <w:szCs w:val="23"/>
          <w:lang w:val="en-GB"/>
        </w:rPr>
      </w:pPr>
      <w:r w:rsidRPr="00A62FF4">
        <w:rPr>
          <w:rFonts w:hint="cs"/>
          <w:sz w:val="23"/>
          <w:szCs w:val="23"/>
          <w:rtl/>
        </w:rPr>
        <w:t xml:space="preserve"> در روابط فوق</w:t>
      </w:r>
      <w:r w:rsidRPr="00A62FF4">
        <w:rPr>
          <w:position w:val="-10"/>
        </w:rPr>
        <w:object w:dxaOrig="260" w:dyaOrig="320" w14:anchorId="29D3ABAD">
          <v:shape id="_x0000_i1520" type="#_x0000_t75" style="width:13.3pt;height:15.75pt" o:ole="">
            <v:imagedata r:id="rId1015" o:title=""/>
          </v:shape>
          <o:OLEObject Type="Embed" ProgID="Equation.DSMT4" ShapeID="_x0000_i1520" DrawAspect="Content" ObjectID="_1791375464" r:id="rId1016"/>
        </w:object>
      </w:r>
      <w:r w:rsidRPr="00A62FF4">
        <w:rPr>
          <w:rFonts w:eastAsiaTheme="minorEastAsia" w:hint="cs"/>
          <w:sz w:val="23"/>
          <w:szCs w:val="23"/>
          <w:rtl/>
        </w:rPr>
        <w:t xml:space="preserve"> پس</w:t>
      </w:r>
      <w:r w:rsidRPr="00A62FF4">
        <w:rPr>
          <w:rFonts w:eastAsiaTheme="minorEastAsia"/>
          <w:sz w:val="23"/>
          <w:szCs w:val="23"/>
          <w:rtl/>
        </w:rPr>
        <w:softHyphen/>
      </w:r>
      <w:r w:rsidRPr="00A62FF4">
        <w:rPr>
          <w:rFonts w:eastAsiaTheme="minorEastAsia" w:hint="cs"/>
          <w:sz w:val="23"/>
          <w:szCs w:val="23"/>
          <w:rtl/>
        </w:rPr>
        <w:t>انداز،</w:t>
      </w:r>
      <w:r w:rsidRPr="00A62FF4">
        <w:rPr>
          <w:position w:val="-10"/>
        </w:rPr>
        <w:object w:dxaOrig="220" w:dyaOrig="300" w14:anchorId="386DD042">
          <v:shape id="_x0000_i1521" type="#_x0000_t75" style="width:10.9pt;height:15.15pt" o:ole="">
            <v:imagedata r:id="rId1017" o:title=""/>
          </v:shape>
          <o:OLEObject Type="Embed" ProgID="Equation.DSMT4" ShapeID="_x0000_i1521" DrawAspect="Content" ObjectID="_1791375465" r:id="rId1018"/>
        </w:object>
      </w:r>
      <w:r w:rsidRPr="00A62FF4">
        <w:rPr>
          <w:rFonts w:hint="cs"/>
          <w:sz w:val="23"/>
          <w:szCs w:val="23"/>
          <w:rtl/>
        </w:rPr>
        <w:t>میل نهایی و یا میل متوسط به مصرف</w:t>
      </w:r>
      <w:r w:rsidRPr="00A62FF4">
        <w:rPr>
          <w:rFonts w:eastAsiaTheme="minorEastAsia" w:hint="cs"/>
          <w:sz w:val="23"/>
          <w:szCs w:val="23"/>
          <w:rtl/>
        </w:rPr>
        <w:t>، و</w:t>
      </w:r>
      <w:r w:rsidRPr="00A62FF4">
        <w:rPr>
          <w:position w:val="-6"/>
        </w:rPr>
        <w:object w:dxaOrig="160" w:dyaOrig="200" w14:anchorId="67DB4798">
          <v:shape id="_x0000_i1522" type="#_x0000_t75" style="width:8.45pt;height:10.3pt" o:ole="">
            <v:imagedata r:id="rId1019" o:title=""/>
          </v:shape>
          <o:OLEObject Type="Embed" ProgID="Equation.DSMT4" ShapeID="_x0000_i1522" DrawAspect="Content" ObjectID="_1791375466" r:id="rId1020"/>
        </w:object>
      </w:r>
      <w:r w:rsidRPr="00A62FF4">
        <w:rPr>
          <w:rFonts w:hint="cs"/>
          <w:sz w:val="23"/>
          <w:szCs w:val="23"/>
          <w:rtl/>
        </w:rPr>
        <w:t xml:space="preserve"> </w:t>
      </w:r>
      <w:r w:rsidRPr="00A62FF4">
        <w:rPr>
          <w:rFonts w:eastAsiaTheme="minorEastAsia" w:hint="cs"/>
          <w:sz w:val="23"/>
          <w:szCs w:val="23"/>
          <w:rtl/>
        </w:rPr>
        <w:t>میل نهایی و یا میل متوسط به پس</w:t>
      </w:r>
      <w:r w:rsidRPr="00A62FF4">
        <w:rPr>
          <w:rFonts w:eastAsiaTheme="minorEastAsia"/>
          <w:sz w:val="23"/>
          <w:szCs w:val="23"/>
          <w:rtl/>
        </w:rPr>
        <w:softHyphen/>
      </w:r>
      <w:r w:rsidRPr="00A62FF4">
        <w:rPr>
          <w:rFonts w:eastAsiaTheme="minorEastAsia" w:hint="cs"/>
          <w:sz w:val="23"/>
          <w:szCs w:val="23"/>
          <w:rtl/>
        </w:rPr>
        <w:t xml:space="preserve">انداز و یا نرخ پس‌انداز </w:t>
      </w:r>
      <w:r w:rsidRPr="00A62FF4">
        <w:rPr>
          <w:rFonts w:eastAsiaTheme="minorEastAsia" w:hint="cs"/>
          <w:sz w:val="23"/>
          <w:szCs w:val="23"/>
          <w:rtl/>
          <w:lang w:val="en-GB"/>
        </w:rPr>
        <w:t>است. بنابراین</w:t>
      </w:r>
    </w:p>
    <w:p w14:paraId="23123D9C" w14:textId="77777777" w:rsidR="00411620" w:rsidRPr="00A62FF4" w:rsidRDefault="00411620" w:rsidP="00411620">
      <w:pPr>
        <w:pStyle w:val="MTDisplayEquation"/>
        <w:spacing w:line="216" w:lineRule="auto"/>
        <w:rPr>
          <w:rFonts w:ascii="Times New Roman" w:eastAsiaTheme="minorEastAsia" w:hAnsi="Times New Roman" w:cs="B Nazanin"/>
          <w:sz w:val="23"/>
          <w:szCs w:val="23"/>
        </w:rPr>
      </w:pPr>
      <w:r w:rsidRPr="00A62FF4">
        <w:rPr>
          <w:position w:val="-30"/>
        </w:rPr>
        <w:object w:dxaOrig="4660" w:dyaOrig="700" w14:anchorId="62568754">
          <v:shape id="_x0000_i1523" type="#_x0000_t75" style="width:232.95pt;height:35.1pt" o:ole="">
            <v:imagedata r:id="rId1021" o:title=""/>
          </v:shape>
          <o:OLEObject Type="Embed" ProgID="Equation.DSMT4" ShapeID="_x0000_i1523" DrawAspect="Content" ObjectID="_1791375467" r:id="rId1022"/>
        </w:object>
      </w:r>
    </w:p>
    <w:p w14:paraId="0DD2598C" w14:textId="77777777" w:rsidR="00411620" w:rsidRPr="00A62FF4" w:rsidRDefault="00411620" w:rsidP="00411620">
      <w:pPr>
        <w:spacing w:line="216" w:lineRule="auto"/>
        <w:rPr>
          <w:sz w:val="23"/>
          <w:szCs w:val="23"/>
          <w:rtl/>
        </w:rPr>
      </w:pPr>
      <w:r w:rsidRPr="00A62FF4">
        <w:rPr>
          <w:rFonts w:hint="cs"/>
          <w:sz w:val="23"/>
          <w:szCs w:val="23"/>
          <w:rtl/>
        </w:rPr>
        <w:t>که در آن</w:t>
      </w:r>
      <w:r w:rsidRPr="00A62FF4">
        <w:rPr>
          <w:position w:val="-10"/>
        </w:rPr>
        <w:object w:dxaOrig="200" w:dyaOrig="320" w14:anchorId="2C929E0C">
          <v:shape id="_x0000_i1524" type="#_x0000_t75" style="width:10.3pt;height:15.75pt" o:ole="">
            <v:imagedata r:id="rId1023" o:title=""/>
          </v:shape>
          <o:OLEObject Type="Embed" ProgID="Equation.DSMT4" ShapeID="_x0000_i1524" DrawAspect="Content" ObjectID="_1791375468" r:id="rId1024"/>
        </w:object>
      </w:r>
      <w:r w:rsidRPr="00A62FF4">
        <w:rPr>
          <w:rFonts w:hint="cs"/>
          <w:sz w:val="23"/>
          <w:szCs w:val="23"/>
          <w:rtl/>
        </w:rPr>
        <w:t xml:space="preserve"> مصرف سرانه و</w:t>
      </w:r>
      <w:r w:rsidRPr="00A62FF4">
        <w:rPr>
          <w:position w:val="-10"/>
        </w:rPr>
        <w:object w:dxaOrig="240" w:dyaOrig="320" w14:anchorId="0FC607DB">
          <v:shape id="_x0000_i1525" type="#_x0000_t75" style="width:12.1pt;height:15.75pt" o:ole="">
            <v:imagedata r:id="rId1025" o:title=""/>
          </v:shape>
          <o:OLEObject Type="Embed" ProgID="Equation.DSMT4" ShapeID="_x0000_i1525" DrawAspect="Content" ObjectID="_1791375469" r:id="rId1026"/>
        </w:object>
      </w:r>
      <w:r w:rsidRPr="00A62FF4">
        <w:rPr>
          <w:rFonts w:hint="cs"/>
          <w:sz w:val="23"/>
          <w:szCs w:val="23"/>
          <w:rtl/>
        </w:rPr>
        <w:t xml:space="preserve"> تولید یا درآمد سرانه می‌باشد. نرخ پس‌انداز توسط خانوار و در مقایسه با هزینه و فایده‌ی مصرف در زمان‌های حال و آینده تعیین می‌شود. این مقایسه شامل پارامترهای رجحان و ترجیحات خانوار و وضعیت متغیرهای اقتصادی همانند ثروت و نرخ بهره است. می‌توان </w:t>
      </w:r>
      <w:r w:rsidRPr="00A62FF4">
        <w:rPr>
          <w:rFonts w:hint="cs"/>
          <w:sz w:val="23"/>
          <w:szCs w:val="23"/>
          <w:rtl/>
        </w:rPr>
        <w:lastRenderedPageBreak/>
        <w:t>نشان داد که نرخ پس‌انداز تابع پیچیده</w:t>
      </w:r>
      <w:r w:rsidRPr="00A62FF4">
        <w:rPr>
          <w:sz w:val="23"/>
          <w:szCs w:val="23"/>
          <w:rtl/>
        </w:rPr>
        <w:softHyphen/>
      </w:r>
      <w:r w:rsidRPr="00A62FF4">
        <w:rPr>
          <w:rFonts w:hint="cs"/>
          <w:sz w:val="23"/>
          <w:szCs w:val="23"/>
          <w:rtl/>
        </w:rPr>
        <w:t>ای از پارامترهای اقتصادی است که در مدل رمزی بدان اشاره خواهیم کرد. در مدل رشد سولو-سوان نرخ پس</w:t>
      </w:r>
      <w:r w:rsidRPr="00A62FF4">
        <w:rPr>
          <w:sz w:val="23"/>
          <w:szCs w:val="23"/>
          <w:rtl/>
        </w:rPr>
        <w:softHyphen/>
      </w:r>
      <w:r w:rsidRPr="00A62FF4">
        <w:rPr>
          <w:rFonts w:hint="cs"/>
          <w:sz w:val="23"/>
          <w:szCs w:val="23"/>
          <w:rtl/>
        </w:rPr>
        <w:t>انداز ثابت و برون</w:t>
      </w:r>
      <w:r w:rsidRPr="00A62FF4">
        <w:rPr>
          <w:sz w:val="23"/>
          <w:szCs w:val="23"/>
          <w:rtl/>
        </w:rPr>
        <w:softHyphen/>
      </w:r>
      <w:r w:rsidRPr="00A62FF4">
        <w:rPr>
          <w:rFonts w:hint="cs"/>
          <w:sz w:val="23"/>
          <w:szCs w:val="23"/>
          <w:rtl/>
        </w:rPr>
        <w:t>زاست و بین صفر و یک قرار دارد. از آن جا که پس</w:t>
      </w:r>
      <w:r w:rsidRPr="00A62FF4">
        <w:rPr>
          <w:sz w:val="23"/>
          <w:szCs w:val="23"/>
          <w:rtl/>
        </w:rPr>
        <w:softHyphen/>
      </w:r>
      <w:r w:rsidRPr="00A62FF4">
        <w:rPr>
          <w:rFonts w:hint="cs"/>
          <w:sz w:val="23"/>
          <w:szCs w:val="23"/>
          <w:rtl/>
        </w:rPr>
        <w:t>انداز برابر با سرمایه</w:t>
      </w:r>
      <w:r w:rsidRPr="00A62FF4">
        <w:rPr>
          <w:sz w:val="23"/>
          <w:szCs w:val="23"/>
          <w:rtl/>
        </w:rPr>
        <w:softHyphen/>
      </w:r>
      <w:r w:rsidRPr="00A62FF4">
        <w:rPr>
          <w:rFonts w:hint="cs"/>
          <w:sz w:val="23"/>
          <w:szCs w:val="23"/>
          <w:rtl/>
        </w:rPr>
        <w:t>گذاری است، لذا نرخ پس‌انداز نیز برابر با نرخ سرمایه‌گذاری خواهد بود. بنابراین</w:t>
      </w:r>
    </w:p>
    <w:p w14:paraId="59C21B76" w14:textId="77777777" w:rsidR="00411620" w:rsidRPr="00A62FF4" w:rsidRDefault="00411620" w:rsidP="00411620">
      <w:pPr>
        <w:pStyle w:val="MTDisplayEquation"/>
        <w:spacing w:line="216" w:lineRule="auto"/>
        <w:rPr>
          <w:rFonts w:ascii="Times New Roman" w:eastAsiaTheme="minorEastAsia" w:hAnsi="Times New Roman" w:cs="B Nazanin"/>
          <w:sz w:val="23"/>
          <w:szCs w:val="23"/>
          <w:lang w:val="en-GB"/>
        </w:rPr>
      </w:pPr>
      <w:r w:rsidRPr="00A62FF4">
        <w:rPr>
          <w:position w:val="-42"/>
        </w:rPr>
        <w:object w:dxaOrig="3960" w:dyaOrig="960" w14:anchorId="3B2819B3">
          <v:shape id="_x0000_i1526" type="#_x0000_t75" style="width:198.45pt;height:47.8pt" o:ole="">
            <v:imagedata r:id="rId1027" o:title=""/>
          </v:shape>
          <o:OLEObject Type="Embed" ProgID="Equation.DSMT4" ShapeID="_x0000_i1526" DrawAspect="Content" ObjectID="_1791375470" r:id="rId1028"/>
        </w:object>
      </w:r>
    </w:p>
    <w:p w14:paraId="06A46246" w14:textId="77777777" w:rsidR="00411620" w:rsidRPr="00A62FF4" w:rsidRDefault="00411620" w:rsidP="00411620">
      <w:pPr>
        <w:spacing w:line="216" w:lineRule="auto"/>
        <w:rPr>
          <w:rFonts w:eastAsiaTheme="minorEastAsia"/>
          <w:sz w:val="23"/>
          <w:szCs w:val="23"/>
        </w:rPr>
      </w:pPr>
      <w:r w:rsidRPr="00A62FF4">
        <w:rPr>
          <w:rFonts w:hint="cs"/>
          <w:sz w:val="23"/>
          <w:szCs w:val="23"/>
          <w:rtl/>
        </w:rPr>
        <w:t>لذا نرخ سرمایه</w:t>
      </w:r>
      <w:r w:rsidRPr="00A62FF4">
        <w:rPr>
          <w:sz w:val="23"/>
          <w:szCs w:val="23"/>
        </w:rPr>
        <w:softHyphen/>
      </w:r>
      <w:r w:rsidRPr="00A62FF4">
        <w:rPr>
          <w:rFonts w:hint="cs"/>
          <w:sz w:val="23"/>
          <w:szCs w:val="23"/>
          <w:rtl/>
        </w:rPr>
        <w:t>گذاری</w:t>
      </w:r>
      <w:r w:rsidRPr="00A62FF4">
        <w:rPr>
          <w:position w:val="-6"/>
        </w:rPr>
        <w:object w:dxaOrig="139" w:dyaOrig="260" w14:anchorId="0C6ECA43">
          <v:shape id="_x0000_i1527" type="#_x0000_t75" style="width:6.65pt;height:13.3pt" o:ole="">
            <v:imagedata r:id="rId1029" o:title=""/>
          </v:shape>
          <o:OLEObject Type="Embed" ProgID="Equation.DSMT4" ShapeID="_x0000_i1527" DrawAspect="Content" ObjectID="_1791375471" r:id="rId1030"/>
        </w:object>
      </w:r>
      <w:r w:rsidRPr="00A62FF4">
        <w:rPr>
          <w:sz w:val="23"/>
          <w:szCs w:val="23"/>
        </w:rPr>
        <w:t xml:space="preserve"> </w:t>
      </w:r>
      <w:r w:rsidRPr="00A62FF4">
        <w:rPr>
          <w:rFonts w:hint="cs"/>
          <w:sz w:val="23"/>
          <w:szCs w:val="23"/>
          <w:rtl/>
        </w:rPr>
        <w:t xml:space="preserve">نیز ثابت است. به عبارتی دیگر در اقتصاد بسته، نرخ پس‌انداز معرف بخشی از تولید ناخالص داخلی است که اقتصاد صرف سرمایه‌گذاری می‌کند. همچنین فرض می‌شود موجودی سرمایه با نرخ ثابت </w:t>
      </w:r>
      <w:r w:rsidRPr="00A62FF4">
        <w:rPr>
          <w:position w:val="-6"/>
        </w:rPr>
        <w:object w:dxaOrig="540" w:dyaOrig="260" w14:anchorId="115224D7">
          <v:shape id="_x0000_i1528" type="#_x0000_t75" style="width:27.25pt;height:13.3pt" o:ole="">
            <v:imagedata r:id="rId1031" o:title=""/>
          </v:shape>
          <o:OLEObject Type="Embed" ProgID="Equation.DSMT4" ShapeID="_x0000_i1528" DrawAspect="Content" ObjectID="_1791375472" r:id="rId1032"/>
        </w:object>
      </w:r>
      <w:r w:rsidRPr="00A62FF4">
        <w:rPr>
          <w:rFonts w:hint="cs"/>
          <w:sz w:val="23"/>
          <w:szCs w:val="23"/>
          <w:rtl/>
        </w:rPr>
        <w:t xml:space="preserve"> مستهلک می‌شود</w:t>
      </w:r>
      <w:r w:rsidRPr="00A62FF4">
        <w:rPr>
          <w:sz w:val="23"/>
          <w:szCs w:val="23"/>
        </w:rPr>
        <w:t>.</w:t>
      </w:r>
      <w:r w:rsidRPr="00A62FF4">
        <w:rPr>
          <w:rFonts w:hint="cs"/>
          <w:sz w:val="23"/>
          <w:szCs w:val="23"/>
          <w:rtl/>
        </w:rPr>
        <w:t xml:space="preserve"> تغییرات در موجودی سرمایه‌ی فیزیکی در زمان </w:t>
      </w:r>
      <w:r w:rsidRPr="00A62FF4">
        <w:rPr>
          <w:i/>
          <w:iCs/>
          <w:sz w:val="23"/>
          <w:szCs w:val="23"/>
        </w:rPr>
        <w:t>t</w:t>
      </w:r>
      <w:r w:rsidRPr="00A62FF4">
        <w:rPr>
          <w:rFonts w:hint="cs"/>
          <w:sz w:val="23"/>
          <w:szCs w:val="23"/>
          <w:rtl/>
        </w:rPr>
        <w:t xml:space="preserve"> برابر است با سرمایه‌گذاری ناخالص منهای استهلاک موجودی سرمایه در زمان </w:t>
      </w:r>
      <w:r w:rsidRPr="00A62FF4">
        <w:rPr>
          <w:i/>
          <w:iCs/>
          <w:sz w:val="23"/>
          <w:szCs w:val="23"/>
        </w:rPr>
        <w:t>t</w:t>
      </w:r>
      <w:r w:rsidRPr="00A62FF4">
        <w:rPr>
          <w:rFonts w:hint="cs"/>
          <w:sz w:val="23"/>
          <w:szCs w:val="23"/>
          <w:rtl/>
        </w:rPr>
        <w:t>. یعنی</w:t>
      </w:r>
    </w:p>
    <w:p w14:paraId="6B5ADA30" w14:textId="77777777" w:rsidR="00411620" w:rsidRPr="00A62FF4" w:rsidRDefault="00411620" w:rsidP="00411620">
      <w:pPr>
        <w:pStyle w:val="MTDisplayEquation"/>
        <w:tabs>
          <w:tab w:val="clear" w:pos="6660"/>
          <w:tab w:val="right" w:pos="0"/>
          <w:tab w:val="left" w:pos="5625"/>
        </w:tabs>
        <w:spacing w:line="216" w:lineRule="auto"/>
        <w:rPr>
          <w:rFonts w:ascii="Times New Roman" w:hAnsi="Times New Roman" w:cs="B Nazanin"/>
          <w:sz w:val="23"/>
          <w:szCs w:val="23"/>
          <w:rtl/>
        </w:rPr>
      </w:pPr>
      <w:r w:rsidRPr="00A62FF4">
        <w:rPr>
          <w:position w:val="-10"/>
        </w:rPr>
        <w:object w:dxaOrig="3019" w:dyaOrig="340" w14:anchorId="175BFDF0">
          <v:shape id="_x0000_i1529" type="#_x0000_t75" style="width:150.65pt;height:16.95pt" o:ole="">
            <v:imagedata r:id="rId1033" o:title=""/>
          </v:shape>
          <o:OLEObject Type="Embed" ProgID="Equation.DSMT4" ShapeID="_x0000_i1529" DrawAspect="Content" ObjectID="_1791375473" r:id="rId1034"/>
        </w:object>
      </w:r>
      <w:r w:rsidRPr="00A62FF4">
        <w:rPr>
          <w:rFonts w:ascii="Times New Roman" w:hAnsi="Times New Roman" w:cs="B Nazanin"/>
          <w:sz w:val="23"/>
          <w:szCs w:val="23"/>
        </w:rPr>
        <w:tab/>
      </w:r>
      <w:r w:rsidRPr="00A62FF4">
        <w:rPr>
          <w:rFonts w:ascii="Times New Roman" w:hAnsi="Times New Roman" w:cs="B Nazanin"/>
          <w:sz w:val="23"/>
          <w:szCs w:val="23"/>
        </w:rPr>
        <w:tab/>
      </w:r>
      <w:r>
        <w:rPr>
          <w:rFonts w:ascii="Times New Roman" w:hAnsi="Times New Roman" w:cs="B Nazanin"/>
          <w:sz w:val="23"/>
          <w:szCs w:val="23"/>
          <w:rtl/>
        </w:rPr>
        <w:tab/>
      </w:r>
      <w:r>
        <w:rPr>
          <w:rFonts w:ascii="Times New Roman" w:hAnsi="Times New Roman" w:cs="B Nazanin"/>
          <w:sz w:val="23"/>
          <w:szCs w:val="23"/>
          <w:rtl/>
        </w:rPr>
        <w:tab/>
      </w:r>
      <w:r w:rsidRPr="00A62FF4">
        <w:rPr>
          <w:rFonts w:ascii="Times New Roman" w:hAnsi="Times New Roman" w:cs="B Nazanin"/>
          <w:sz w:val="23"/>
          <w:szCs w:val="23"/>
          <w:rtl/>
        </w:rPr>
        <w:tab/>
      </w:r>
      <w:r w:rsidRPr="00A62FF4">
        <w:rPr>
          <w:rFonts w:ascii="Times New Roman" w:hAnsi="Times New Roman" w:cs="B Nazanin" w:hint="cs"/>
          <w:sz w:val="23"/>
          <w:szCs w:val="23"/>
          <w:rtl/>
        </w:rPr>
        <w:t>(۳. ۱)</w:t>
      </w:r>
    </w:p>
    <w:p w14:paraId="17715D93" w14:textId="77777777" w:rsidR="00411620" w:rsidRPr="00A62FF4" w:rsidRDefault="00411620" w:rsidP="00411620">
      <w:pPr>
        <w:spacing w:line="216" w:lineRule="auto"/>
        <w:rPr>
          <w:sz w:val="23"/>
          <w:szCs w:val="23"/>
        </w:rPr>
      </w:pPr>
      <w:r w:rsidRPr="00A62FF4">
        <w:rPr>
          <w:rFonts w:hint="cs"/>
          <w:sz w:val="23"/>
          <w:szCs w:val="23"/>
          <w:rtl/>
        </w:rPr>
        <w:t>این رابطه پویایی‌های موجودی سرمایه‌ی فیزیکی را تبیین می‌کند.</w:t>
      </w:r>
    </w:p>
    <w:p w14:paraId="731F86DF" w14:textId="77777777" w:rsidR="00411620" w:rsidRPr="00A62FF4" w:rsidRDefault="00411620" w:rsidP="00411620">
      <w:pPr>
        <w:spacing w:line="216" w:lineRule="auto"/>
        <w:rPr>
          <w:sz w:val="23"/>
          <w:szCs w:val="23"/>
          <w:rtl/>
        </w:rPr>
      </w:pPr>
      <w:r w:rsidRPr="00A62FF4">
        <w:rPr>
          <w:rFonts w:hint="cs"/>
          <w:sz w:val="23"/>
          <w:szCs w:val="23"/>
          <w:rtl/>
        </w:rPr>
        <w:t>نهاده‌ی نیروی کار نیز بدلیل نرخ باروری و مرگ و میر، نرخ مشارکت، مهاجرت و بهبود در مهارت و کیفیت نیروی کار، در طی زمان تغییر می‌کند. در اینجا فرض می‌شود نهاده‌ی نیروی کار برابر است با کل جمعیت، و نرخ رشد جمعیت نیز ثابت و برون</w:t>
      </w:r>
      <w:r w:rsidRPr="00A62FF4">
        <w:rPr>
          <w:sz w:val="23"/>
          <w:szCs w:val="23"/>
        </w:rPr>
        <w:softHyphen/>
      </w:r>
      <w:r w:rsidRPr="00A62FF4">
        <w:rPr>
          <w:rFonts w:hint="cs"/>
          <w:sz w:val="23"/>
          <w:szCs w:val="23"/>
          <w:rtl/>
        </w:rPr>
        <w:t>زا است.</w:t>
      </w:r>
      <w:r w:rsidRPr="00A62FF4">
        <w:rPr>
          <w:sz w:val="23"/>
          <w:szCs w:val="23"/>
        </w:rPr>
        <w:t xml:space="preserve"> </w:t>
      </w:r>
      <w:r w:rsidRPr="00A62FF4">
        <w:rPr>
          <w:rFonts w:hint="cs"/>
          <w:sz w:val="23"/>
          <w:szCs w:val="23"/>
          <w:rtl/>
        </w:rPr>
        <w:t xml:space="preserve">بنابراین جمعیت یا نیروی کار در زمان </w:t>
      </w:r>
      <w:r w:rsidRPr="00A62FF4">
        <w:rPr>
          <w:i/>
          <w:iCs/>
          <w:sz w:val="23"/>
          <w:szCs w:val="23"/>
        </w:rPr>
        <w:t>t</w:t>
      </w:r>
      <w:r w:rsidRPr="00A62FF4">
        <w:rPr>
          <w:rFonts w:hint="cs"/>
          <w:sz w:val="23"/>
          <w:szCs w:val="23"/>
          <w:rtl/>
        </w:rPr>
        <w:t xml:space="preserve"> برابر است با</w:t>
      </w:r>
    </w:p>
    <w:p w14:paraId="1B861B3D" w14:textId="77777777" w:rsidR="00411620" w:rsidRPr="00A62FF4" w:rsidRDefault="00411620" w:rsidP="00411620">
      <w:pPr>
        <w:bidi w:val="0"/>
        <w:spacing w:line="216" w:lineRule="auto"/>
        <w:rPr>
          <w:sz w:val="23"/>
          <w:szCs w:val="23"/>
          <w:rtl/>
        </w:rPr>
      </w:pPr>
      <w:r w:rsidRPr="00A62FF4">
        <w:rPr>
          <w:rFonts w:hint="cs"/>
          <w:sz w:val="23"/>
          <w:szCs w:val="23"/>
        </w:rPr>
        <w:t xml:space="preserve"> </w:t>
      </w:r>
      <w:r w:rsidRPr="00A62FF4">
        <w:rPr>
          <w:position w:val="-10"/>
        </w:rPr>
        <w:object w:dxaOrig="940" w:dyaOrig="340" w14:anchorId="3F298BA5">
          <v:shape id="_x0000_i1530" type="#_x0000_t75" style="width:46.6pt;height:16.95pt" o:ole="">
            <v:imagedata r:id="rId1035" o:title=""/>
          </v:shape>
          <o:OLEObject Type="Embed" ProgID="Equation.DSMT4" ShapeID="_x0000_i1530" DrawAspect="Content" ObjectID="_1791375474" r:id="rId1036"/>
        </w:object>
      </w:r>
    </w:p>
    <w:p w14:paraId="02CFC150" w14:textId="77777777" w:rsidR="00411620" w:rsidRPr="00A62FF4" w:rsidRDefault="00411620" w:rsidP="00411620">
      <w:pPr>
        <w:spacing w:line="216" w:lineRule="auto"/>
        <w:rPr>
          <w:sz w:val="23"/>
          <w:szCs w:val="23"/>
          <w:rtl/>
        </w:rPr>
      </w:pPr>
      <w:r w:rsidRPr="00A62FF4">
        <w:rPr>
          <w:rFonts w:hint="cs"/>
          <w:sz w:val="23"/>
          <w:szCs w:val="23"/>
          <w:rtl/>
        </w:rPr>
        <w:t xml:space="preserve">که در آن نرخ رشد جمعیت برابر است با </w:t>
      </w:r>
      <w:r w:rsidRPr="00A62FF4">
        <w:rPr>
          <w:i/>
          <w:iCs/>
          <w:sz w:val="23"/>
          <w:szCs w:val="23"/>
        </w:rPr>
        <w:t>n</w:t>
      </w:r>
      <w:r w:rsidRPr="00A62FF4">
        <w:rPr>
          <w:rFonts w:hint="cs"/>
          <w:i/>
          <w:iCs/>
          <w:sz w:val="23"/>
          <w:szCs w:val="23"/>
          <w:rtl/>
        </w:rPr>
        <w:t>،</w:t>
      </w:r>
      <w:r w:rsidRPr="00A62FF4">
        <w:rPr>
          <w:rFonts w:hint="cs"/>
          <w:sz w:val="23"/>
          <w:szCs w:val="23"/>
          <w:rtl/>
        </w:rPr>
        <w:t xml:space="preserve"> زیرا</w:t>
      </w:r>
    </w:p>
    <w:p w14:paraId="7737DED8" w14:textId="77777777" w:rsidR="00411620" w:rsidRPr="00A62FF4" w:rsidRDefault="00411620" w:rsidP="00411620">
      <w:pPr>
        <w:bidi w:val="0"/>
        <w:spacing w:line="216" w:lineRule="auto"/>
        <w:rPr>
          <w:sz w:val="23"/>
          <w:szCs w:val="23"/>
        </w:rPr>
      </w:pPr>
      <w:r w:rsidRPr="00A62FF4">
        <w:rPr>
          <w:rFonts w:hint="cs"/>
          <w:sz w:val="23"/>
          <w:szCs w:val="23"/>
          <w:rtl/>
        </w:rPr>
        <w:t xml:space="preserve"> </w:t>
      </w:r>
      <w:r w:rsidRPr="00A62FF4">
        <w:rPr>
          <w:position w:val="-16"/>
        </w:rPr>
        <w:object w:dxaOrig="2640" w:dyaOrig="420" w14:anchorId="37DF2045">
          <v:shape id="_x0000_i1531" type="#_x0000_t75" style="width:131.9pt;height:21.2pt" o:ole="">
            <v:imagedata r:id="rId1037" o:title=""/>
          </v:shape>
          <o:OLEObject Type="Embed" ProgID="Equation.DSMT4" ShapeID="_x0000_i1531" DrawAspect="Content" ObjectID="_1791375475" r:id="rId1038"/>
        </w:object>
      </w:r>
    </w:p>
    <w:p w14:paraId="356CFAEF" w14:textId="77777777" w:rsidR="00411620" w:rsidRPr="00A62FF4" w:rsidRDefault="00411620" w:rsidP="00411620">
      <w:pPr>
        <w:bidi w:val="0"/>
        <w:spacing w:line="216" w:lineRule="auto"/>
        <w:rPr>
          <w:sz w:val="23"/>
          <w:szCs w:val="23"/>
          <w:rtl/>
        </w:rPr>
      </w:pPr>
      <w:r w:rsidRPr="00A62FF4">
        <w:rPr>
          <w:position w:val="-14"/>
        </w:rPr>
        <w:object w:dxaOrig="4620" w:dyaOrig="380" w14:anchorId="05E5BD0E">
          <v:shape id="_x0000_i1532" type="#_x0000_t75" style="width:231.15pt;height:18.75pt" o:ole="">
            <v:imagedata r:id="rId1039" o:title=""/>
          </v:shape>
          <o:OLEObject Type="Embed" ProgID="Equation.DSMT4" ShapeID="_x0000_i1532" DrawAspect="Content" ObjectID="_1791375476" r:id="rId1040"/>
        </w:object>
      </w:r>
    </w:p>
    <w:p w14:paraId="30E373F9" w14:textId="77777777" w:rsidR="00411620" w:rsidRPr="00A62FF4" w:rsidRDefault="00411620" w:rsidP="00411620">
      <w:pPr>
        <w:spacing w:line="216" w:lineRule="auto"/>
        <w:rPr>
          <w:sz w:val="23"/>
          <w:szCs w:val="23"/>
          <w:rtl/>
        </w:rPr>
      </w:pPr>
      <w:r w:rsidRPr="00A62FF4">
        <w:rPr>
          <w:rFonts w:hint="cs"/>
          <w:sz w:val="23"/>
          <w:szCs w:val="23"/>
          <w:rtl/>
        </w:rPr>
        <w:t>با جمعیت و تکنولوژی داده شده، رابطه‌ی (۳. ۱) مسیر موجودی سرمایه و به تبع آن تولید و همچنین رشد آن‌ها را در طی زمان مشخص می</w:t>
      </w:r>
      <w:r w:rsidRPr="00A62FF4">
        <w:rPr>
          <w:sz w:val="23"/>
          <w:szCs w:val="23"/>
          <w:rtl/>
        </w:rPr>
        <w:softHyphen/>
      </w:r>
      <w:r w:rsidRPr="00A62FF4">
        <w:rPr>
          <w:rFonts w:hint="cs"/>
          <w:sz w:val="23"/>
          <w:szCs w:val="23"/>
          <w:rtl/>
        </w:rPr>
        <w:t>سازد. در قسمت بعد نشان می</w:t>
      </w:r>
      <w:r w:rsidRPr="00A62FF4">
        <w:rPr>
          <w:sz w:val="23"/>
          <w:szCs w:val="23"/>
          <w:rtl/>
        </w:rPr>
        <w:softHyphen/>
      </w:r>
      <w:r w:rsidRPr="00A62FF4">
        <w:rPr>
          <w:rFonts w:hint="cs"/>
          <w:sz w:val="23"/>
          <w:szCs w:val="23"/>
          <w:rtl/>
        </w:rPr>
        <w:t>دهیم که در الگوی رشد سولو-سوان مسیر زمانی سطوح و رشد متغیرها به شکل تابع تولید وابسته است، مفهوم بازده</w:t>
      </w:r>
      <w:r w:rsidRPr="00A62FF4">
        <w:rPr>
          <w:sz w:val="23"/>
          <w:szCs w:val="23"/>
          <w:rtl/>
        </w:rPr>
        <w:softHyphen/>
      </w:r>
      <w:r w:rsidRPr="00A62FF4">
        <w:rPr>
          <w:rFonts w:hint="cs"/>
          <w:sz w:val="23"/>
          <w:szCs w:val="23"/>
          <w:rtl/>
        </w:rPr>
        <w:t>ی کاهنده به مقیاسِ موجودی سرمایه‌ فرض اساسی است،‌ و متغیرهای مؤثر بر رشد اقتصادی به صورت برون</w:t>
      </w:r>
      <w:r w:rsidRPr="00A62FF4">
        <w:rPr>
          <w:sz w:val="23"/>
          <w:szCs w:val="23"/>
          <w:rtl/>
        </w:rPr>
        <w:softHyphen/>
      </w:r>
      <w:r w:rsidRPr="00A62FF4">
        <w:rPr>
          <w:rFonts w:hint="cs"/>
          <w:sz w:val="23"/>
          <w:szCs w:val="23"/>
          <w:rtl/>
        </w:rPr>
        <w:t xml:space="preserve">زا در نظر </w:t>
      </w:r>
      <w:r w:rsidRPr="00A62FF4">
        <w:rPr>
          <w:rFonts w:hint="cs"/>
          <w:sz w:val="23"/>
          <w:szCs w:val="23"/>
          <w:rtl/>
        </w:rPr>
        <w:softHyphen/>
        <w:t>گرفته می‌شوند. همچنین الگوی رشد سولو-سوان که به</w:t>
      </w:r>
      <w:r w:rsidRPr="00A62FF4">
        <w:rPr>
          <w:sz w:val="23"/>
          <w:szCs w:val="23"/>
          <w:rtl/>
        </w:rPr>
        <w:softHyphen/>
      </w:r>
      <w:r w:rsidRPr="00A62FF4">
        <w:rPr>
          <w:rFonts w:hint="cs"/>
          <w:sz w:val="23"/>
          <w:szCs w:val="23"/>
          <w:rtl/>
        </w:rPr>
        <w:t>عنوان الگوی رشد نئوکلاسیک شناخته می</w:t>
      </w:r>
      <w:r w:rsidRPr="00A62FF4">
        <w:rPr>
          <w:rFonts w:hint="cs"/>
          <w:sz w:val="23"/>
          <w:szCs w:val="23"/>
          <w:rtl/>
        </w:rPr>
        <w:softHyphen/>
        <w:t>شود، یکی از انواع الگو‌‌های رشد برون</w:t>
      </w:r>
      <w:r w:rsidRPr="00A62FF4">
        <w:rPr>
          <w:sz w:val="23"/>
          <w:szCs w:val="23"/>
          <w:rtl/>
        </w:rPr>
        <w:softHyphen/>
      </w:r>
      <w:r w:rsidRPr="00A62FF4">
        <w:rPr>
          <w:rFonts w:hint="cs"/>
          <w:sz w:val="23"/>
          <w:szCs w:val="23"/>
          <w:rtl/>
        </w:rPr>
        <w:t>زا محسوب می</w:t>
      </w:r>
      <w:r w:rsidRPr="00A62FF4">
        <w:rPr>
          <w:sz w:val="23"/>
          <w:szCs w:val="23"/>
          <w:rtl/>
        </w:rPr>
        <w:softHyphen/>
      </w:r>
      <w:r w:rsidRPr="00A62FF4">
        <w:rPr>
          <w:rFonts w:hint="cs"/>
          <w:sz w:val="23"/>
          <w:szCs w:val="23"/>
          <w:rtl/>
        </w:rPr>
        <w:t xml:space="preserve">شود. </w:t>
      </w:r>
    </w:p>
    <w:p w14:paraId="20E4E66F" w14:textId="77777777" w:rsidR="00411620" w:rsidRPr="00A62FF4" w:rsidRDefault="00411620" w:rsidP="00411620">
      <w:pPr>
        <w:spacing w:line="216" w:lineRule="auto"/>
        <w:rPr>
          <w:sz w:val="23"/>
          <w:szCs w:val="23"/>
          <w:rtl/>
        </w:rPr>
      </w:pPr>
    </w:p>
    <w:p w14:paraId="0868F50A" w14:textId="77777777" w:rsidR="00411620" w:rsidRPr="00A62FF4" w:rsidRDefault="00411620" w:rsidP="00411620">
      <w:pPr>
        <w:pStyle w:val="Heading11"/>
        <w:bidi/>
        <w:spacing w:before="0" w:line="216" w:lineRule="auto"/>
        <w:rPr>
          <w:rFonts w:ascii="Times New Roman" w:hAnsi="Times New Roman" w:cs="B Nazanin"/>
          <w:sz w:val="23"/>
          <w:szCs w:val="23"/>
        </w:rPr>
      </w:pPr>
      <w:r w:rsidRPr="00A62FF4">
        <w:rPr>
          <w:rFonts w:ascii="Times New Roman" w:hAnsi="Times New Roman" w:cs="B Nazanin" w:hint="cs"/>
          <w:sz w:val="23"/>
          <w:szCs w:val="23"/>
          <w:rtl/>
        </w:rPr>
        <w:t xml:space="preserve">۳. ۳. ۱ تابع تولید نئوکلاسیک </w:t>
      </w:r>
    </w:p>
    <w:p w14:paraId="3D8D2366" w14:textId="77777777" w:rsidR="00411620" w:rsidRPr="00A62FF4" w:rsidRDefault="00411620" w:rsidP="00411620">
      <w:pPr>
        <w:spacing w:line="216" w:lineRule="auto"/>
        <w:rPr>
          <w:sz w:val="23"/>
          <w:szCs w:val="23"/>
          <w:rtl/>
        </w:rPr>
      </w:pPr>
      <w:r w:rsidRPr="00A62FF4">
        <w:rPr>
          <w:rFonts w:hint="cs"/>
          <w:sz w:val="23"/>
          <w:szCs w:val="23"/>
          <w:rtl/>
        </w:rPr>
        <w:t>تابع تولید نئوکلاسیک دارای چهار ویژگی زیر است.</w:t>
      </w:r>
    </w:p>
    <w:p w14:paraId="6A93E4AE" w14:textId="77777777" w:rsidR="00411620" w:rsidRPr="00A62FF4" w:rsidRDefault="00411620" w:rsidP="00411620">
      <w:pPr>
        <w:spacing w:line="216" w:lineRule="auto"/>
        <w:rPr>
          <w:b/>
          <w:bCs/>
          <w:sz w:val="23"/>
          <w:szCs w:val="23"/>
        </w:rPr>
      </w:pPr>
    </w:p>
    <w:p w14:paraId="46B8E53E" w14:textId="77777777" w:rsidR="00411620" w:rsidRPr="00A62FF4" w:rsidRDefault="00411620" w:rsidP="00411620">
      <w:pPr>
        <w:spacing w:line="216" w:lineRule="auto"/>
        <w:rPr>
          <w:sz w:val="23"/>
          <w:szCs w:val="23"/>
          <w:rtl/>
        </w:rPr>
      </w:pPr>
      <w:r w:rsidRPr="00A62FF4">
        <w:rPr>
          <w:rFonts w:hint="cs"/>
          <w:b/>
          <w:bCs/>
          <w:sz w:val="23"/>
          <w:szCs w:val="23"/>
          <w:rtl/>
        </w:rPr>
        <w:t>بازده ثابت به مقیاس</w:t>
      </w:r>
      <w:r w:rsidRPr="00A62FF4">
        <w:rPr>
          <w:rFonts w:hint="cs"/>
          <w:sz w:val="23"/>
          <w:szCs w:val="23"/>
          <w:rtl/>
        </w:rPr>
        <w:t xml:space="preserve">: بر اساس این فرض چنانچه نهاده‌های نیروی کار و موجودی سرمایه </w:t>
      </w:r>
      <w:r w:rsidRPr="00A62FF4">
        <w:rPr>
          <w:position w:val="-6"/>
        </w:rPr>
        <w:object w:dxaOrig="200" w:dyaOrig="260" w14:anchorId="59926839">
          <v:shape id="_x0000_i1533" type="#_x0000_t75" style="width:10.3pt;height:13.3pt" o:ole="">
            <v:imagedata r:id="rId1041" o:title=""/>
          </v:shape>
          <o:OLEObject Type="Embed" ProgID="Equation.DSMT4" ShapeID="_x0000_i1533" DrawAspect="Content" ObjectID="_1791375477" r:id="rId1042"/>
        </w:object>
      </w:r>
      <w:r w:rsidRPr="00A62FF4">
        <w:rPr>
          <w:rFonts w:hint="cs"/>
          <w:sz w:val="23"/>
          <w:szCs w:val="23"/>
          <w:rtl/>
        </w:rPr>
        <w:t xml:space="preserve"> برابر افزایش یابند، آنگاه تولید نیز </w:t>
      </w:r>
      <w:r w:rsidRPr="00A62FF4">
        <w:rPr>
          <w:position w:val="-6"/>
        </w:rPr>
        <w:object w:dxaOrig="200" w:dyaOrig="260" w14:anchorId="60B53E01">
          <v:shape id="_x0000_i1534" type="#_x0000_t75" style="width:10.3pt;height:13.3pt" o:ole="">
            <v:imagedata r:id="rId1043" o:title=""/>
          </v:shape>
          <o:OLEObject Type="Embed" ProgID="Equation.DSMT4" ShapeID="_x0000_i1534" DrawAspect="Content" ObjectID="_1791375478" r:id="rId1044"/>
        </w:object>
      </w:r>
      <w:r w:rsidRPr="00A62FF4">
        <w:rPr>
          <w:rFonts w:hint="cs"/>
          <w:sz w:val="23"/>
          <w:szCs w:val="23"/>
          <w:rtl/>
        </w:rPr>
        <w:t xml:space="preserve"> برابر افزایش خواهد یافت. این ویژگی را همگنی از درجه یک نسبت </w:t>
      </w:r>
      <w:r w:rsidRPr="00A62FF4">
        <w:rPr>
          <w:rFonts w:hint="cs"/>
          <w:sz w:val="23"/>
          <w:szCs w:val="23"/>
          <w:rtl/>
        </w:rPr>
        <w:lastRenderedPageBreak/>
        <w:t>به نهاده‌های تولید یعنی نهاده</w:t>
      </w:r>
      <w:r w:rsidRPr="00A62FF4">
        <w:rPr>
          <w:sz w:val="23"/>
          <w:szCs w:val="23"/>
          <w:rtl/>
        </w:rPr>
        <w:softHyphen/>
      </w:r>
      <w:r w:rsidRPr="00A62FF4">
        <w:rPr>
          <w:rFonts w:hint="cs"/>
          <w:sz w:val="23"/>
          <w:szCs w:val="23"/>
          <w:rtl/>
        </w:rPr>
        <w:t xml:space="preserve">های موجودی سرمایه و نیروی کار نیز نامند. باید به این نکته توجه شود که ضریب </w:t>
      </w:r>
      <w:r w:rsidRPr="00A62FF4">
        <w:rPr>
          <w:position w:val="-6"/>
        </w:rPr>
        <w:object w:dxaOrig="200" w:dyaOrig="260" w14:anchorId="24188A66">
          <v:shape id="_x0000_i1535" type="#_x0000_t75" style="width:10.3pt;height:13.3pt" o:ole="">
            <v:imagedata r:id="rId1045" o:title=""/>
          </v:shape>
          <o:OLEObject Type="Embed" ProgID="Equation.DSMT4" ShapeID="_x0000_i1535" DrawAspect="Content" ObjectID="_1791375479" r:id="rId1046"/>
        </w:object>
      </w:r>
      <w:r w:rsidRPr="00A62FF4">
        <w:rPr>
          <w:rFonts w:hint="cs"/>
          <w:sz w:val="23"/>
          <w:szCs w:val="23"/>
          <w:rtl/>
        </w:rPr>
        <w:t xml:space="preserve"> تنها در برگیرنده‌ی کالاهای رقیب یعنی موجودی سرمایه و نیروی کار می‌باشد و عامل تکنولوژی که کالایی غیررقیب</w:t>
      </w:r>
      <w:r w:rsidRPr="00A62FF4">
        <w:rPr>
          <w:rStyle w:val="FootnoteReference"/>
          <w:rFonts w:eastAsiaTheme="minorHAnsi"/>
          <w:sz w:val="23"/>
          <w:szCs w:val="23"/>
          <w:rtl/>
        </w:rPr>
        <w:footnoteReference w:id="100"/>
      </w:r>
      <w:r w:rsidRPr="00A62FF4">
        <w:rPr>
          <w:rFonts w:hint="cs"/>
          <w:sz w:val="23"/>
          <w:szCs w:val="23"/>
          <w:rtl/>
        </w:rPr>
        <w:t xml:space="preserve"> است را در بر نمی</w:t>
      </w:r>
      <w:r w:rsidRPr="00A62FF4">
        <w:rPr>
          <w:sz w:val="23"/>
          <w:szCs w:val="23"/>
          <w:rtl/>
        </w:rPr>
        <w:softHyphen/>
      </w:r>
      <w:r w:rsidRPr="00A62FF4">
        <w:rPr>
          <w:rFonts w:hint="cs"/>
          <w:sz w:val="23"/>
          <w:szCs w:val="23"/>
          <w:rtl/>
        </w:rPr>
        <w:t>گیرد. زیرا با افزایش نیروی کار و موجودی سرمایه و استفاده از همانندسازی بنگاه‌های تولیدی امکان استفاده از عامل تکنولوژی به</w:t>
      </w:r>
      <w:r w:rsidRPr="00A62FF4">
        <w:rPr>
          <w:sz w:val="23"/>
          <w:szCs w:val="23"/>
          <w:rtl/>
        </w:rPr>
        <w:softHyphen/>
      </w:r>
      <w:r w:rsidRPr="00A62FF4">
        <w:rPr>
          <w:rFonts w:hint="cs"/>
          <w:sz w:val="23"/>
          <w:szCs w:val="23"/>
          <w:rtl/>
        </w:rPr>
        <w:t>طور همزمان در واحد‌های تولیدی جدید نیز وجود دارد و ضرورتی بر افزایش آن نیست. بنابر این خواهیم داشت</w:t>
      </w:r>
    </w:p>
    <w:p w14:paraId="3E3F42EE" w14:textId="77777777" w:rsidR="00411620" w:rsidRPr="00A62FF4" w:rsidRDefault="00411620" w:rsidP="00411620">
      <w:pPr>
        <w:bidi w:val="0"/>
        <w:spacing w:line="216" w:lineRule="auto"/>
        <w:rPr>
          <w:sz w:val="23"/>
          <w:szCs w:val="23"/>
          <w:rtl/>
        </w:rPr>
      </w:pPr>
      <w:r w:rsidRPr="00A62FF4">
        <w:rPr>
          <w:rFonts w:hint="cs"/>
          <w:sz w:val="23"/>
          <w:szCs w:val="23"/>
        </w:rPr>
        <w:t xml:space="preserve"> </w:t>
      </w:r>
      <w:r w:rsidRPr="00A62FF4">
        <w:rPr>
          <w:position w:val="-12"/>
        </w:rPr>
        <w:object w:dxaOrig="2940" w:dyaOrig="360" w14:anchorId="5C824352">
          <v:shape id="_x0000_i1536" type="#_x0000_t75" style="width:147.05pt;height:18.15pt" o:ole="">
            <v:imagedata r:id="rId1047" o:title=""/>
          </v:shape>
          <o:OLEObject Type="Embed" ProgID="Equation.DSMT4" ShapeID="_x0000_i1536" DrawAspect="Content" ObjectID="_1791375480" r:id="rId1048"/>
        </w:object>
      </w:r>
    </w:p>
    <w:p w14:paraId="1BF78246" w14:textId="77777777" w:rsidR="00411620" w:rsidRPr="00A62FF4" w:rsidRDefault="00411620" w:rsidP="00411620">
      <w:pPr>
        <w:spacing w:line="216" w:lineRule="auto"/>
        <w:rPr>
          <w:b/>
          <w:bCs/>
          <w:sz w:val="23"/>
          <w:szCs w:val="23"/>
        </w:rPr>
      </w:pPr>
    </w:p>
    <w:p w14:paraId="014D7ACB" w14:textId="77777777" w:rsidR="00411620" w:rsidRPr="00A62FF4" w:rsidRDefault="00411620" w:rsidP="00411620">
      <w:pPr>
        <w:spacing w:line="216" w:lineRule="auto"/>
        <w:rPr>
          <w:sz w:val="23"/>
          <w:szCs w:val="23"/>
          <w:rtl/>
        </w:rPr>
      </w:pPr>
      <w:r w:rsidRPr="00A62FF4">
        <w:rPr>
          <w:rFonts w:hint="cs"/>
          <w:b/>
          <w:bCs/>
          <w:sz w:val="23"/>
          <w:szCs w:val="23"/>
          <w:rtl/>
        </w:rPr>
        <w:t>بازده‌ی نهایی مثبت و کاهنده‌ی نهاده‌های تولید</w:t>
      </w:r>
      <w:r w:rsidRPr="00A62FF4">
        <w:rPr>
          <w:rFonts w:hint="cs"/>
          <w:sz w:val="23"/>
          <w:szCs w:val="23"/>
          <w:rtl/>
        </w:rPr>
        <w:t>: با فرض ثابت بودن عامل تکنولوژی و نیروی کار، با هر واحد افزایش در سرمایه تولید نیز افزایش خواهد یافت، ولی با شیب کاهنده. همچنین با فرض ثابت بودن عامل تکنولوژی و موجودی سرمایه، با هر واحد افزایش در نیروی کار تولید نیز افزایش خواهد یافت، ولی با شیب کاهنده. بنابراین</w:t>
      </w:r>
    </w:p>
    <w:p w14:paraId="146C7C8A" w14:textId="77777777" w:rsidR="00411620" w:rsidRPr="00A62FF4" w:rsidRDefault="00411620" w:rsidP="00411620">
      <w:pPr>
        <w:bidi w:val="0"/>
        <w:spacing w:line="216" w:lineRule="auto"/>
        <w:rPr>
          <w:sz w:val="23"/>
          <w:szCs w:val="23"/>
          <w:rtl/>
        </w:rPr>
      </w:pPr>
      <w:r w:rsidRPr="00A62FF4">
        <w:rPr>
          <w:position w:val="-22"/>
        </w:rPr>
        <w:object w:dxaOrig="3980" w:dyaOrig="600" w14:anchorId="0C5D7995">
          <v:shape id="_x0000_i1537" type="#_x0000_t75" style="width:199.05pt;height:29.65pt" o:ole="">
            <v:imagedata r:id="rId1049" o:title=""/>
          </v:shape>
          <o:OLEObject Type="Embed" ProgID="Equation.DSMT4" ShapeID="_x0000_i1537" DrawAspect="Content" ObjectID="_1791375481" r:id="rId1050"/>
        </w:object>
      </w:r>
    </w:p>
    <w:p w14:paraId="20F275DB" w14:textId="77777777" w:rsidR="00411620" w:rsidRPr="00A62FF4" w:rsidRDefault="00411620" w:rsidP="00411620">
      <w:pPr>
        <w:spacing w:line="216" w:lineRule="auto"/>
        <w:rPr>
          <w:b/>
          <w:bCs/>
          <w:sz w:val="23"/>
          <w:szCs w:val="23"/>
        </w:rPr>
      </w:pPr>
    </w:p>
    <w:p w14:paraId="10A0089F" w14:textId="77777777" w:rsidR="00411620" w:rsidRPr="00A62FF4" w:rsidRDefault="00411620" w:rsidP="00411620">
      <w:pPr>
        <w:spacing w:line="216" w:lineRule="auto"/>
        <w:rPr>
          <w:sz w:val="23"/>
          <w:szCs w:val="23"/>
          <w:rtl/>
        </w:rPr>
      </w:pPr>
      <w:r w:rsidRPr="00A62FF4">
        <w:rPr>
          <w:rFonts w:hint="cs"/>
          <w:b/>
          <w:bCs/>
          <w:sz w:val="23"/>
          <w:szCs w:val="23"/>
          <w:rtl/>
        </w:rPr>
        <w:t>شروط اینادا</w:t>
      </w:r>
      <w:r w:rsidRPr="00A62FF4">
        <w:rPr>
          <w:rStyle w:val="FootnoteReference"/>
          <w:rFonts w:eastAsiaTheme="minorHAnsi"/>
          <w:sz w:val="23"/>
          <w:szCs w:val="23"/>
          <w:rtl/>
        </w:rPr>
        <w:footnoteReference w:id="101"/>
      </w:r>
      <w:r w:rsidRPr="00A62FF4">
        <w:rPr>
          <w:rFonts w:hint="cs"/>
          <w:sz w:val="23"/>
          <w:szCs w:val="23"/>
          <w:rtl/>
        </w:rPr>
        <w:t>: با کاهش سرمایه (نیروی کار) به سمت صفر، بازدهی نهایی سرمایه‌ (نیروی کار) به سمت بی</w:t>
      </w:r>
      <w:r w:rsidRPr="00A62FF4">
        <w:rPr>
          <w:sz w:val="23"/>
          <w:szCs w:val="23"/>
          <w:rtl/>
        </w:rPr>
        <w:softHyphen/>
      </w:r>
      <w:r w:rsidRPr="00A62FF4">
        <w:rPr>
          <w:rFonts w:hint="cs"/>
          <w:sz w:val="23"/>
          <w:szCs w:val="23"/>
          <w:rtl/>
        </w:rPr>
        <w:t>نهایت میل خواهد کرد، و با افزایش سرمایه (نیروی کار) به سمت بی</w:t>
      </w:r>
      <w:r w:rsidRPr="00A62FF4">
        <w:rPr>
          <w:sz w:val="23"/>
          <w:szCs w:val="23"/>
          <w:rtl/>
        </w:rPr>
        <w:softHyphen/>
      </w:r>
      <w:r w:rsidRPr="00A62FF4">
        <w:rPr>
          <w:rFonts w:hint="cs"/>
          <w:sz w:val="23"/>
          <w:szCs w:val="23"/>
          <w:rtl/>
        </w:rPr>
        <w:t>نهایت، بازدهی نهایی سرمایه‌ (نیروی کار) به سمت صفر میل می‌کند. بنابراین</w:t>
      </w:r>
    </w:p>
    <w:p w14:paraId="6677847A" w14:textId="77777777" w:rsidR="00411620" w:rsidRPr="00A62FF4" w:rsidRDefault="00411620" w:rsidP="00411620">
      <w:pPr>
        <w:bidi w:val="0"/>
        <w:spacing w:line="216" w:lineRule="auto"/>
        <w:rPr>
          <w:sz w:val="23"/>
          <w:szCs w:val="23"/>
          <w:rtl/>
        </w:rPr>
      </w:pPr>
      <w:r w:rsidRPr="00A62FF4">
        <w:rPr>
          <w:position w:val="-58"/>
        </w:rPr>
        <w:object w:dxaOrig="2400" w:dyaOrig="1260" w14:anchorId="790E05F8">
          <v:shape id="_x0000_i1538" type="#_x0000_t75" style="width:119.8pt;height:62.9pt" o:ole="">
            <v:imagedata r:id="rId1051" o:title=""/>
          </v:shape>
          <o:OLEObject Type="Embed" ProgID="Equation.DSMT4" ShapeID="_x0000_i1538" DrawAspect="Content" ObjectID="_1791375482" r:id="rId1052"/>
        </w:object>
      </w:r>
    </w:p>
    <w:p w14:paraId="1222342C" w14:textId="77777777" w:rsidR="00411620" w:rsidRPr="00A62FF4" w:rsidRDefault="00411620" w:rsidP="00411620">
      <w:pPr>
        <w:spacing w:line="216" w:lineRule="auto"/>
        <w:rPr>
          <w:b/>
          <w:bCs/>
          <w:sz w:val="23"/>
          <w:szCs w:val="23"/>
        </w:rPr>
      </w:pPr>
    </w:p>
    <w:p w14:paraId="453830BC" w14:textId="77777777" w:rsidR="00411620" w:rsidRPr="00A62FF4" w:rsidRDefault="00411620" w:rsidP="00411620">
      <w:pPr>
        <w:spacing w:line="216" w:lineRule="auto"/>
        <w:rPr>
          <w:sz w:val="23"/>
          <w:szCs w:val="23"/>
          <w:rtl/>
        </w:rPr>
      </w:pPr>
      <w:r w:rsidRPr="00A62FF4">
        <w:rPr>
          <w:rFonts w:hint="cs"/>
          <w:b/>
          <w:bCs/>
          <w:sz w:val="23"/>
          <w:szCs w:val="23"/>
          <w:rtl/>
        </w:rPr>
        <w:t>ضرورت</w:t>
      </w:r>
      <w:r w:rsidRPr="00A62FF4">
        <w:rPr>
          <w:rStyle w:val="FootnoteReference"/>
          <w:rFonts w:eastAsiaTheme="minorHAnsi"/>
          <w:sz w:val="23"/>
          <w:szCs w:val="23"/>
          <w:rtl/>
        </w:rPr>
        <w:footnoteReference w:id="102"/>
      </w:r>
      <w:r w:rsidRPr="00A62FF4">
        <w:rPr>
          <w:rFonts w:hint="cs"/>
          <w:sz w:val="23"/>
          <w:szCs w:val="23"/>
          <w:rtl/>
        </w:rPr>
        <w:t>: با توجه به این فرض وجود هر یک از عوامل تولید در ایجاد کالاها و خدمات ضرورت دارد. یعنی</w:t>
      </w:r>
    </w:p>
    <w:p w14:paraId="17B27158" w14:textId="77777777" w:rsidR="00411620" w:rsidRPr="00A62FF4" w:rsidRDefault="00411620" w:rsidP="00411620">
      <w:pPr>
        <w:bidi w:val="0"/>
        <w:spacing w:line="216" w:lineRule="auto"/>
        <w:rPr>
          <w:sz w:val="23"/>
          <w:szCs w:val="23"/>
        </w:rPr>
      </w:pPr>
      <w:r w:rsidRPr="00A62FF4">
        <w:rPr>
          <w:position w:val="-8"/>
        </w:rPr>
        <w:object w:dxaOrig="2000" w:dyaOrig="279" w14:anchorId="2A07E7D1">
          <v:shape id="_x0000_i1539" type="#_x0000_t75" style="width:99.85pt;height:14.5pt" o:ole="">
            <v:imagedata r:id="rId1053" o:title=""/>
          </v:shape>
          <o:OLEObject Type="Embed" ProgID="Equation.DSMT4" ShapeID="_x0000_i1539" DrawAspect="Content" ObjectID="_1791375483" r:id="rId1054"/>
        </w:object>
      </w:r>
    </w:p>
    <w:p w14:paraId="33B2F6AA" w14:textId="77777777" w:rsidR="00411620" w:rsidRPr="00A62FF4" w:rsidRDefault="00411620" w:rsidP="00411620">
      <w:pPr>
        <w:bidi w:val="0"/>
        <w:spacing w:line="216" w:lineRule="auto"/>
        <w:rPr>
          <w:sz w:val="23"/>
          <w:szCs w:val="23"/>
          <w:rtl/>
        </w:rPr>
      </w:pPr>
    </w:p>
    <w:p w14:paraId="73ADAC59" w14:textId="77777777" w:rsidR="00411620" w:rsidRPr="00A62FF4" w:rsidRDefault="00411620" w:rsidP="00411620">
      <w:pPr>
        <w:pStyle w:val="Heading11"/>
        <w:bidi/>
        <w:spacing w:before="0" w:line="216" w:lineRule="auto"/>
        <w:rPr>
          <w:rFonts w:ascii="Times New Roman" w:hAnsi="Times New Roman" w:cs="B Nazanin"/>
          <w:sz w:val="23"/>
          <w:szCs w:val="23"/>
          <w:rtl/>
        </w:rPr>
      </w:pPr>
      <w:r w:rsidRPr="00A62FF4">
        <w:rPr>
          <w:rFonts w:ascii="Times New Roman" w:hAnsi="Times New Roman" w:cs="B Nazanin" w:hint="cs"/>
          <w:sz w:val="23"/>
          <w:szCs w:val="23"/>
          <w:rtl/>
        </w:rPr>
        <w:t>۳. ۳. ۲ متغیرهای سرانه</w:t>
      </w:r>
    </w:p>
    <w:p w14:paraId="68B9D54E" w14:textId="77777777" w:rsidR="00411620" w:rsidRPr="00A62FF4" w:rsidRDefault="00411620" w:rsidP="00411620">
      <w:pPr>
        <w:spacing w:line="216" w:lineRule="auto"/>
        <w:rPr>
          <w:sz w:val="23"/>
          <w:szCs w:val="23"/>
        </w:rPr>
      </w:pPr>
      <w:r w:rsidRPr="00A62FF4">
        <w:rPr>
          <w:rFonts w:hint="cs"/>
          <w:sz w:val="23"/>
          <w:szCs w:val="23"/>
          <w:rtl/>
        </w:rPr>
        <w:t>برای آن</w:t>
      </w:r>
      <w:r w:rsidRPr="00A62FF4">
        <w:rPr>
          <w:sz w:val="23"/>
          <w:szCs w:val="23"/>
          <w:rtl/>
        </w:rPr>
        <w:softHyphen/>
      </w:r>
      <w:r w:rsidRPr="00A62FF4">
        <w:rPr>
          <w:rFonts w:hint="cs"/>
          <w:sz w:val="23"/>
          <w:szCs w:val="23"/>
          <w:rtl/>
        </w:rPr>
        <w:t>که بتوان تولید ناخالص داخلی هر کشور را با یکدیگر مقایسه کرد می‌بایست سطح تولید را به ازاء هر فرد بدست آورد. در این</w:t>
      </w:r>
      <w:r w:rsidRPr="00A62FF4">
        <w:rPr>
          <w:sz w:val="23"/>
          <w:szCs w:val="23"/>
          <w:rtl/>
        </w:rPr>
        <w:softHyphen/>
      </w:r>
      <w:r w:rsidRPr="00A62FF4">
        <w:rPr>
          <w:rFonts w:hint="cs"/>
          <w:sz w:val="23"/>
          <w:szCs w:val="23"/>
          <w:rtl/>
        </w:rPr>
        <w:t xml:space="preserve">صورت سطح تولید کشورهای هند و هلند قابل مقایسه خواهد بود. </w:t>
      </w:r>
      <w:r w:rsidRPr="00A62FF4">
        <w:rPr>
          <w:rFonts w:hint="cs"/>
          <w:sz w:val="23"/>
          <w:szCs w:val="23"/>
          <w:rtl/>
        </w:rPr>
        <w:lastRenderedPageBreak/>
        <w:t xml:space="preserve">اکنون با فرض وجود بازده ثابت به مقیاس می‌توان نهاده‌های تولید را در مقدار </w:t>
      </w:r>
      <w:r w:rsidRPr="00A62FF4">
        <w:rPr>
          <w:position w:val="-22"/>
        </w:rPr>
        <w:object w:dxaOrig="620" w:dyaOrig="560" w14:anchorId="0C5505FC">
          <v:shape id="_x0000_i1540" type="#_x0000_t75" style="width:31.45pt;height:27.85pt" o:ole="">
            <v:imagedata r:id="rId1055" o:title=""/>
          </v:shape>
          <o:OLEObject Type="Embed" ProgID="Equation.DSMT4" ShapeID="_x0000_i1540" DrawAspect="Content" ObjectID="_1791375484" r:id="rId1056"/>
        </w:object>
      </w:r>
      <w:r w:rsidRPr="00A62FF4">
        <w:rPr>
          <w:rFonts w:hint="cs"/>
          <w:sz w:val="23"/>
          <w:szCs w:val="23"/>
          <w:rtl/>
        </w:rPr>
        <w:t xml:space="preserve"> ضرب نمود و تابع تولید را به صورت زیر بازنویسی کرد</w:t>
      </w:r>
    </w:p>
    <w:p w14:paraId="3C38FEA8" w14:textId="77777777" w:rsidR="00411620" w:rsidRPr="00A62FF4" w:rsidRDefault="00411620" w:rsidP="00411620">
      <w:pPr>
        <w:bidi w:val="0"/>
        <w:spacing w:line="216" w:lineRule="auto"/>
        <w:rPr>
          <w:sz w:val="23"/>
          <w:szCs w:val="23"/>
          <w:rtl/>
        </w:rPr>
      </w:pPr>
      <w:r w:rsidRPr="00A62FF4">
        <w:rPr>
          <w:position w:val="-8"/>
        </w:rPr>
        <w:object w:dxaOrig="1420" w:dyaOrig="279" w14:anchorId="34D34BD8">
          <v:shape id="_x0000_i1541" type="#_x0000_t75" style="width:70.8pt;height:13.9pt" o:ole="">
            <v:imagedata r:id="rId1057" o:title=""/>
          </v:shape>
          <o:OLEObject Type="Embed" ProgID="Equation.DSMT4" ShapeID="_x0000_i1541" DrawAspect="Content" ObjectID="_1791375485" r:id="rId1058"/>
        </w:object>
      </w:r>
    </w:p>
    <w:p w14:paraId="718E4D64" w14:textId="77777777" w:rsidR="00411620" w:rsidRPr="00A62FF4" w:rsidRDefault="00411620" w:rsidP="00411620">
      <w:pPr>
        <w:bidi w:val="0"/>
        <w:spacing w:line="216" w:lineRule="auto"/>
        <w:rPr>
          <w:sz w:val="23"/>
          <w:szCs w:val="23"/>
          <w:rtl/>
        </w:rPr>
      </w:pPr>
      <w:r w:rsidRPr="00A62FF4">
        <w:rPr>
          <w:position w:val="-22"/>
        </w:rPr>
        <w:object w:dxaOrig="2940" w:dyaOrig="560" w14:anchorId="29117942">
          <v:shape id="_x0000_i1542" type="#_x0000_t75" style="width:147.05pt;height:27.85pt" o:ole="">
            <v:imagedata r:id="rId1059" o:title=""/>
          </v:shape>
          <o:OLEObject Type="Embed" ProgID="Equation.DSMT4" ShapeID="_x0000_i1542" DrawAspect="Content" ObjectID="_1791375486" r:id="rId1060"/>
        </w:object>
      </w:r>
    </w:p>
    <w:p w14:paraId="7B3BF7C6" w14:textId="77777777" w:rsidR="00411620" w:rsidRPr="00A62FF4" w:rsidRDefault="00411620" w:rsidP="00411620">
      <w:pPr>
        <w:bidi w:val="0"/>
        <w:spacing w:line="216" w:lineRule="auto"/>
        <w:rPr>
          <w:sz w:val="23"/>
          <w:szCs w:val="23"/>
          <w:rtl/>
        </w:rPr>
      </w:pPr>
      <w:r w:rsidRPr="00A62FF4">
        <w:rPr>
          <w:position w:val="-22"/>
        </w:rPr>
        <w:object w:dxaOrig="3840" w:dyaOrig="560" w14:anchorId="1E65A003">
          <v:shape id="_x0000_i1543" type="#_x0000_t75" style="width:191.8pt;height:27.85pt" o:ole="">
            <v:imagedata r:id="rId1061" o:title=""/>
          </v:shape>
          <o:OLEObject Type="Embed" ProgID="Equation.DSMT4" ShapeID="_x0000_i1543" DrawAspect="Content" ObjectID="_1791375487" r:id="rId1062"/>
        </w:object>
      </w:r>
    </w:p>
    <w:p w14:paraId="469D7046" w14:textId="77777777" w:rsidR="00411620" w:rsidRPr="00A62FF4" w:rsidRDefault="00411620" w:rsidP="00411620">
      <w:pPr>
        <w:spacing w:line="216" w:lineRule="auto"/>
        <w:rPr>
          <w:sz w:val="23"/>
          <w:szCs w:val="23"/>
          <w:rtl/>
        </w:rPr>
      </w:pPr>
      <w:r w:rsidRPr="00A62FF4">
        <w:rPr>
          <w:rFonts w:hint="cs"/>
          <w:sz w:val="23"/>
          <w:szCs w:val="23"/>
          <w:rtl/>
        </w:rPr>
        <w:t>که در آن</w:t>
      </w:r>
      <w:r w:rsidRPr="00A62FF4">
        <w:rPr>
          <w:position w:val="-6"/>
        </w:rPr>
        <w:object w:dxaOrig="200" w:dyaOrig="260" w14:anchorId="3BB84E0F">
          <v:shape id="_x0000_i1544" type="#_x0000_t75" style="width:10.3pt;height:12.7pt" o:ole="">
            <v:imagedata r:id="rId1063" o:title=""/>
          </v:shape>
          <o:OLEObject Type="Embed" ProgID="Equation.DSMT4" ShapeID="_x0000_i1544" DrawAspect="Content" ObjectID="_1791375488" r:id="rId1064"/>
        </w:object>
      </w:r>
      <w:r w:rsidRPr="00A62FF4">
        <w:rPr>
          <w:sz w:val="23"/>
          <w:szCs w:val="23"/>
        </w:rPr>
        <w:t xml:space="preserve"> </w:t>
      </w:r>
      <w:r w:rsidRPr="00A62FF4">
        <w:rPr>
          <w:rFonts w:hint="cs"/>
          <w:sz w:val="23"/>
          <w:szCs w:val="23"/>
          <w:rtl/>
        </w:rPr>
        <w:t>موجودی سرمایه‌ی سرانه و یا موجودی سرمایه به ازاء هر</w:t>
      </w:r>
      <w:r w:rsidRPr="00A62FF4">
        <w:rPr>
          <w:sz w:val="23"/>
          <w:szCs w:val="23"/>
        </w:rPr>
        <w:t xml:space="preserve"> </w:t>
      </w:r>
      <w:r w:rsidRPr="00A62FF4">
        <w:rPr>
          <w:rFonts w:hint="cs"/>
          <w:sz w:val="23"/>
          <w:szCs w:val="23"/>
          <w:rtl/>
        </w:rPr>
        <w:t>واحد نیروی کار، و</w:t>
      </w:r>
      <w:r w:rsidRPr="00A62FF4">
        <w:rPr>
          <w:position w:val="-8"/>
        </w:rPr>
        <w:object w:dxaOrig="200" w:dyaOrig="220" w14:anchorId="28976D6B">
          <v:shape id="_x0000_i1545" type="#_x0000_t75" style="width:10.3pt;height:10.9pt" o:ole="">
            <v:imagedata r:id="rId1065" o:title=""/>
          </v:shape>
          <o:OLEObject Type="Embed" ProgID="Equation.DSMT4" ShapeID="_x0000_i1545" DrawAspect="Content" ObjectID="_1791375489" r:id="rId1066"/>
        </w:object>
      </w:r>
      <w:r w:rsidRPr="00A62FF4">
        <w:rPr>
          <w:rFonts w:hint="cs"/>
          <w:sz w:val="23"/>
          <w:szCs w:val="23"/>
          <w:rtl/>
        </w:rPr>
        <w:t xml:space="preserve"> تولید سرانه </w:t>
      </w:r>
    </w:p>
    <w:p w14:paraId="20E90553" w14:textId="77777777" w:rsidR="00411620" w:rsidRPr="00A62FF4" w:rsidRDefault="00411620" w:rsidP="00411620">
      <w:pPr>
        <w:spacing w:line="216" w:lineRule="auto"/>
        <w:rPr>
          <w:sz w:val="23"/>
          <w:szCs w:val="23"/>
          <w:rtl/>
        </w:rPr>
      </w:pPr>
      <w:r w:rsidRPr="00A62FF4">
        <w:rPr>
          <w:rFonts w:hint="cs"/>
          <w:sz w:val="23"/>
          <w:szCs w:val="23"/>
          <w:rtl/>
        </w:rPr>
        <w:t>و یا تولید به ازاء هر واحد نیروی کار می‌باشد. از رابطه‌ی فوق براحتی می‌توان تولید نهایی نهاده‌های تولید را بدست آورد. از آن جا که داریم</w:t>
      </w:r>
    </w:p>
    <w:p w14:paraId="267DF71A" w14:textId="77777777" w:rsidR="00411620" w:rsidRPr="00A62FF4" w:rsidRDefault="00411620" w:rsidP="00411620">
      <w:pPr>
        <w:bidi w:val="0"/>
        <w:spacing w:line="216" w:lineRule="auto"/>
        <w:rPr>
          <w:sz w:val="23"/>
          <w:szCs w:val="23"/>
          <w:rtl/>
        </w:rPr>
      </w:pPr>
      <w:r w:rsidRPr="00A62FF4">
        <w:rPr>
          <w:rFonts w:hint="cs"/>
          <w:sz w:val="23"/>
          <w:szCs w:val="23"/>
          <w:rtl/>
        </w:rPr>
        <w:t xml:space="preserve"> </w:t>
      </w:r>
      <w:r w:rsidRPr="00A62FF4">
        <w:rPr>
          <w:position w:val="-26"/>
        </w:rPr>
        <w:object w:dxaOrig="2360" w:dyaOrig="620" w14:anchorId="544D5EC9">
          <v:shape id="_x0000_i1546" type="#_x0000_t75" style="width:118pt;height:31.45pt" o:ole="">
            <v:imagedata r:id="rId1067" o:title=""/>
          </v:shape>
          <o:OLEObject Type="Embed" ProgID="Equation.DSMT4" ShapeID="_x0000_i1546" DrawAspect="Content" ObjectID="_1791375490" r:id="rId1068"/>
        </w:object>
      </w:r>
    </w:p>
    <w:p w14:paraId="497D71E4" w14:textId="77777777" w:rsidR="00411620" w:rsidRPr="00A62FF4" w:rsidRDefault="00411620" w:rsidP="00411620">
      <w:pPr>
        <w:spacing w:line="216" w:lineRule="auto"/>
        <w:rPr>
          <w:sz w:val="23"/>
          <w:szCs w:val="23"/>
          <w:rtl/>
        </w:rPr>
      </w:pPr>
      <w:r w:rsidRPr="00A62FF4">
        <w:rPr>
          <w:rFonts w:hint="cs"/>
          <w:sz w:val="23"/>
          <w:szCs w:val="23"/>
          <w:rtl/>
        </w:rPr>
        <w:t>لذا</w:t>
      </w:r>
      <w:r w:rsidRPr="00A62FF4">
        <w:rPr>
          <w:sz w:val="23"/>
          <w:szCs w:val="23"/>
        </w:rPr>
        <w:t xml:space="preserve"> </w:t>
      </w:r>
      <w:r w:rsidRPr="00A62FF4">
        <w:rPr>
          <w:rFonts w:hint="cs"/>
          <w:sz w:val="23"/>
          <w:szCs w:val="23"/>
          <w:rtl/>
        </w:rPr>
        <w:t>با فرض ثابت بودن نهاده</w:t>
      </w:r>
      <w:r w:rsidRPr="00A62FF4">
        <w:rPr>
          <w:sz w:val="23"/>
          <w:szCs w:val="23"/>
          <w:rtl/>
        </w:rPr>
        <w:softHyphen/>
      </w:r>
      <w:r w:rsidRPr="00A62FF4">
        <w:rPr>
          <w:rFonts w:hint="cs"/>
          <w:sz w:val="23"/>
          <w:szCs w:val="23"/>
          <w:rtl/>
        </w:rPr>
        <w:t>ی تکنولوژی خواهیم داشت</w:t>
      </w:r>
    </w:p>
    <w:p w14:paraId="6C8722AC" w14:textId="77777777" w:rsidR="00411620" w:rsidRPr="00A62FF4" w:rsidRDefault="00411620" w:rsidP="00411620">
      <w:pPr>
        <w:bidi w:val="0"/>
        <w:spacing w:line="216" w:lineRule="auto"/>
        <w:rPr>
          <w:sz w:val="23"/>
          <w:szCs w:val="23"/>
        </w:rPr>
      </w:pPr>
      <w:r w:rsidRPr="00A62FF4">
        <w:rPr>
          <w:position w:val="-60"/>
        </w:rPr>
        <w:object w:dxaOrig="5080" w:dyaOrig="1300" w14:anchorId="373A38B6">
          <v:shape id="_x0000_i1547" type="#_x0000_t75" style="width:254.1pt;height:64.75pt" o:ole="">
            <v:imagedata r:id="rId1069" o:title=""/>
          </v:shape>
          <o:OLEObject Type="Embed" ProgID="Equation.DSMT4" ShapeID="_x0000_i1547" DrawAspect="Content" ObjectID="_1791375491" r:id="rId1070"/>
        </w:object>
      </w:r>
    </w:p>
    <w:p w14:paraId="174A2170" w14:textId="77777777" w:rsidR="00411620" w:rsidRPr="00A62FF4" w:rsidRDefault="00411620" w:rsidP="00411620">
      <w:pPr>
        <w:spacing w:line="216" w:lineRule="auto"/>
        <w:rPr>
          <w:sz w:val="23"/>
          <w:szCs w:val="23"/>
          <w:rtl/>
        </w:rPr>
      </w:pPr>
      <w:r w:rsidRPr="00A62FF4">
        <w:rPr>
          <w:rFonts w:hint="cs"/>
          <w:sz w:val="23"/>
          <w:szCs w:val="23"/>
          <w:rtl/>
        </w:rPr>
        <w:t>نمودار (۳. ۱) تابع تولید نئوکلاسیک سرانه را نشان می‌دهد. این تابع از مبدا مختصات آغاز شده که در آنجا مقدار تولید برابر صفر است (شرط ضرورت)، شیب آن مثبت و مقعر است (شرط بازدهی نهایی مثبت با شیب کاهنده)، و با افزایش موجودی سرمایه به سمت بی</w:t>
      </w:r>
      <w:r w:rsidRPr="00A62FF4">
        <w:rPr>
          <w:sz w:val="23"/>
          <w:szCs w:val="23"/>
          <w:rtl/>
        </w:rPr>
        <w:softHyphen/>
      </w:r>
      <w:r w:rsidRPr="00A62FF4">
        <w:rPr>
          <w:rFonts w:hint="cs"/>
          <w:sz w:val="23"/>
          <w:szCs w:val="23"/>
          <w:rtl/>
        </w:rPr>
        <w:t xml:space="preserve">نهایت شیب آن موازی محور افقی می‌شود (شروط اینادا). </w:t>
      </w:r>
    </w:p>
    <w:p w14:paraId="11F19065" w14:textId="77777777" w:rsidR="00411620" w:rsidRPr="00A62FF4" w:rsidRDefault="00411620" w:rsidP="00411620">
      <w:pPr>
        <w:spacing w:line="216" w:lineRule="auto"/>
        <w:rPr>
          <w:sz w:val="23"/>
          <w:szCs w:val="23"/>
          <w:rtl/>
        </w:rPr>
      </w:pPr>
    </w:p>
    <w:p w14:paraId="7B3D29D6" w14:textId="77777777" w:rsidR="00411620" w:rsidRPr="00A62FF4" w:rsidRDefault="00411620" w:rsidP="00411620">
      <w:pPr>
        <w:spacing w:line="216" w:lineRule="auto"/>
        <w:rPr>
          <w:sz w:val="23"/>
          <w:szCs w:val="23"/>
          <w:rtl/>
        </w:rPr>
      </w:pPr>
      <w:r w:rsidRPr="00A62FF4">
        <w:rPr>
          <w:rFonts w:hint="cs"/>
          <w:b/>
          <w:bCs/>
          <w:sz w:val="23"/>
          <w:szCs w:val="23"/>
          <w:rtl/>
        </w:rPr>
        <w:t>مثال</w:t>
      </w:r>
      <w:r w:rsidRPr="00A62FF4">
        <w:rPr>
          <w:rFonts w:hint="cs"/>
          <w:sz w:val="23"/>
          <w:szCs w:val="23"/>
          <w:rtl/>
        </w:rPr>
        <w:t>: تابع تولید کاب-داگلاس، تابع تولید نئوکلاسیک است. زیرا در این تابع داریم</w:t>
      </w:r>
    </w:p>
    <w:p w14:paraId="747AEAF4" w14:textId="77777777" w:rsidR="00411620" w:rsidRPr="00A62FF4" w:rsidRDefault="00411620" w:rsidP="00411620">
      <w:pPr>
        <w:spacing w:line="216" w:lineRule="auto"/>
        <w:jc w:val="center"/>
        <w:rPr>
          <w:sz w:val="23"/>
          <w:szCs w:val="23"/>
        </w:rPr>
      </w:pPr>
    </w:p>
    <w:p w14:paraId="2A94885B" w14:textId="77777777" w:rsidR="00411620" w:rsidRPr="00A62FF4" w:rsidRDefault="00411620" w:rsidP="00411620">
      <w:pPr>
        <w:spacing w:line="216" w:lineRule="auto"/>
        <w:jc w:val="center"/>
        <w:rPr>
          <w:sz w:val="23"/>
          <w:szCs w:val="23"/>
          <w:rtl/>
        </w:rPr>
      </w:pPr>
      <w:r w:rsidRPr="00A62FF4">
        <w:rPr>
          <w:rFonts w:hint="cs"/>
          <w:sz w:val="23"/>
          <w:szCs w:val="23"/>
          <w:rtl/>
        </w:rPr>
        <w:t>نمودار ۳. ۱</w:t>
      </w:r>
    </w:p>
    <w:p w14:paraId="1F3FCC53" w14:textId="77777777" w:rsidR="00411620" w:rsidRPr="00A62FF4" w:rsidRDefault="00411620" w:rsidP="00411620">
      <w:pPr>
        <w:spacing w:line="216" w:lineRule="auto"/>
        <w:jc w:val="center"/>
        <w:rPr>
          <w:sz w:val="23"/>
          <w:szCs w:val="23"/>
          <w:rtl/>
        </w:rPr>
      </w:pPr>
      <w:r w:rsidRPr="00A62FF4">
        <w:rPr>
          <w:noProof/>
          <w:sz w:val="23"/>
          <w:szCs w:val="23"/>
          <w:u w:val="single"/>
          <w:lang w:bidi="ar-SA"/>
        </w:rPr>
        <w:lastRenderedPageBreak/>
        <w:drawing>
          <wp:inline distT="0" distB="0" distL="0" distR="0" wp14:anchorId="7D5C4E42" wp14:editId="59332F9D">
            <wp:extent cx="3653617" cy="2022557"/>
            <wp:effectExtent l="38100" t="38100" r="42545" b="349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1">
                      <a:extLst>
                        <a:ext uri="{BEBA8EAE-BF5A-486C-A8C5-ECC9F3942E4B}">
                          <a14:imgProps xmlns:a14="http://schemas.microsoft.com/office/drawing/2010/main">
                            <a14:imgLayer r:embed="rId1072">
                              <a14:imgEffect>
                                <a14:brightnessContrast bright="20000" contrast="20000"/>
                              </a14:imgEffect>
                            </a14:imgLayer>
                          </a14:imgProps>
                        </a:ext>
                      </a:extLst>
                    </a:blip>
                    <a:stretch>
                      <a:fillRect/>
                    </a:stretch>
                  </pic:blipFill>
                  <pic:spPr>
                    <a:xfrm>
                      <a:off x="0" y="0"/>
                      <a:ext cx="3670486" cy="2031896"/>
                    </a:xfrm>
                    <a:prstGeom prst="rect">
                      <a:avLst/>
                    </a:prstGeom>
                    <a:ln w="28575">
                      <a:solidFill>
                        <a:schemeClr val="tx1"/>
                      </a:solidFill>
                    </a:ln>
                  </pic:spPr>
                </pic:pic>
              </a:graphicData>
            </a:graphic>
          </wp:inline>
        </w:drawing>
      </w:r>
    </w:p>
    <w:p w14:paraId="6D8E47A5" w14:textId="77777777" w:rsidR="00411620" w:rsidRPr="00A62FF4" w:rsidRDefault="00411620" w:rsidP="00411620">
      <w:pPr>
        <w:spacing w:line="216" w:lineRule="auto"/>
        <w:rPr>
          <w:sz w:val="23"/>
          <w:szCs w:val="23"/>
          <w:rtl/>
        </w:rPr>
      </w:pPr>
    </w:p>
    <w:p w14:paraId="065F6753" w14:textId="77777777" w:rsidR="00411620" w:rsidRPr="00A62FF4" w:rsidRDefault="00411620" w:rsidP="00411620">
      <w:pPr>
        <w:bidi w:val="0"/>
        <w:spacing w:line="216" w:lineRule="auto"/>
        <w:rPr>
          <w:sz w:val="23"/>
          <w:szCs w:val="23"/>
          <w:rtl/>
        </w:rPr>
      </w:pPr>
      <w:r w:rsidRPr="00A62FF4">
        <w:rPr>
          <w:position w:val="-10"/>
        </w:rPr>
        <w:object w:dxaOrig="1359" w:dyaOrig="340" w14:anchorId="4F9E62FA">
          <v:shape id="_x0000_i1548" type="#_x0000_t75" style="width:68.35pt;height:16.95pt" o:ole="">
            <v:imagedata r:id="rId1073" o:title=""/>
          </v:shape>
          <o:OLEObject Type="Embed" ProgID="Equation.DSMT4" ShapeID="_x0000_i1548" DrawAspect="Content" ObjectID="_1791375492" r:id="rId1074"/>
        </w:object>
      </w:r>
    </w:p>
    <w:p w14:paraId="150BA1AA" w14:textId="77777777" w:rsidR="00411620" w:rsidRPr="00A62FF4" w:rsidRDefault="00411620" w:rsidP="00411620">
      <w:pPr>
        <w:spacing w:line="216" w:lineRule="auto"/>
        <w:rPr>
          <w:sz w:val="23"/>
          <w:szCs w:val="23"/>
        </w:rPr>
      </w:pPr>
      <w:r w:rsidRPr="00A62FF4">
        <w:rPr>
          <w:rFonts w:hint="cs"/>
          <w:sz w:val="23"/>
          <w:szCs w:val="23"/>
          <w:rtl/>
        </w:rPr>
        <w:t xml:space="preserve"> و درآن پارامتر </w:t>
      </w:r>
      <w:r w:rsidRPr="00A62FF4">
        <w:rPr>
          <w:i/>
          <w:iCs/>
          <w:sz w:val="23"/>
          <w:szCs w:val="23"/>
        </w:rPr>
        <w:t>A</w:t>
      </w:r>
      <w:r w:rsidRPr="00A62FF4">
        <w:rPr>
          <w:rFonts w:hint="cs"/>
          <w:sz w:val="23"/>
          <w:szCs w:val="23"/>
          <w:rtl/>
        </w:rPr>
        <w:t xml:space="preserve"> سطح تکنولوژی و پارامتر</w:t>
      </w:r>
      <w:r w:rsidRPr="00A62FF4">
        <w:rPr>
          <w:position w:val="-6"/>
        </w:rPr>
        <w:object w:dxaOrig="859" w:dyaOrig="260" w14:anchorId="0A47E7E4">
          <v:shape id="_x0000_i1549" type="#_x0000_t75" style="width:42.95pt;height:12.7pt" o:ole="">
            <v:imagedata r:id="rId1075" o:title=""/>
          </v:shape>
          <o:OLEObject Type="Embed" ProgID="Equation.DSMT4" ShapeID="_x0000_i1549" DrawAspect="Content" ObjectID="_1791375493" r:id="rId1076"/>
        </w:object>
      </w:r>
      <w:r w:rsidRPr="00A62FF4">
        <w:rPr>
          <w:rFonts w:hint="cs"/>
          <w:sz w:val="23"/>
          <w:szCs w:val="23"/>
          <w:rtl/>
        </w:rPr>
        <w:t xml:space="preserve"> خواهد بود. تابع تولید فوق را می‌توان به صورت سرانه نیز بازنویسی کرد. بنابراین</w:t>
      </w:r>
    </w:p>
    <w:p w14:paraId="7A45A74F" w14:textId="77777777" w:rsidR="00411620" w:rsidRPr="00A62FF4" w:rsidRDefault="00411620" w:rsidP="00411620">
      <w:pPr>
        <w:bidi w:val="0"/>
        <w:spacing w:line="216" w:lineRule="auto"/>
        <w:rPr>
          <w:sz w:val="23"/>
          <w:szCs w:val="23"/>
        </w:rPr>
      </w:pPr>
      <w:r w:rsidRPr="00A62FF4">
        <w:rPr>
          <w:position w:val="-28"/>
        </w:rPr>
        <w:object w:dxaOrig="5220" w:dyaOrig="660" w14:anchorId="0397CBDB">
          <v:shape id="_x0000_i1550" type="#_x0000_t75" style="width:260.75pt;height:32.65pt" o:ole="">
            <v:imagedata r:id="rId1077" o:title=""/>
          </v:shape>
          <o:OLEObject Type="Embed" ProgID="Equation.DSMT4" ShapeID="_x0000_i1550" DrawAspect="Content" ObjectID="_1791375494" r:id="rId1078"/>
        </w:object>
      </w:r>
      <w:r w:rsidRPr="00025957">
        <w:rPr>
          <w:position w:val="-4"/>
        </w:rPr>
        <w:object w:dxaOrig="180" w:dyaOrig="260" w14:anchorId="7174429C">
          <v:shape id="_x0000_i1551" type="#_x0000_t75" style="width:9.1pt;height:12.7pt" o:ole="">
            <v:imagedata r:id="rId1079" o:title=""/>
          </v:shape>
          <o:OLEObject Type="Embed" ProgID="Equation.DSMT4" ShapeID="_x0000_i1551" DrawAspect="Content" ObjectID="_1791375495" r:id="rId1080"/>
        </w:object>
      </w:r>
    </w:p>
    <w:p w14:paraId="5D307683" w14:textId="77777777" w:rsidR="00411620" w:rsidRPr="00A62FF4" w:rsidRDefault="00411620" w:rsidP="00411620">
      <w:pPr>
        <w:spacing w:line="216" w:lineRule="auto"/>
        <w:rPr>
          <w:sz w:val="23"/>
          <w:szCs w:val="23"/>
          <w:rtl/>
        </w:rPr>
      </w:pPr>
      <w:r w:rsidRPr="00A62FF4">
        <w:rPr>
          <w:rFonts w:hint="cs"/>
          <w:sz w:val="23"/>
          <w:szCs w:val="23"/>
          <w:rtl/>
        </w:rPr>
        <w:t>باید توجه نمود که</w:t>
      </w:r>
    </w:p>
    <w:p w14:paraId="273F6053" w14:textId="77777777" w:rsidR="00411620" w:rsidRPr="00A62FF4" w:rsidRDefault="00411620" w:rsidP="00411620">
      <w:pPr>
        <w:bidi w:val="0"/>
        <w:spacing w:line="216" w:lineRule="auto"/>
        <w:rPr>
          <w:sz w:val="23"/>
          <w:szCs w:val="23"/>
          <w:rtl/>
        </w:rPr>
      </w:pPr>
      <w:r w:rsidRPr="00A62FF4">
        <w:rPr>
          <w:position w:val="-10"/>
        </w:rPr>
        <w:object w:dxaOrig="1780" w:dyaOrig="340" w14:anchorId="142C4167">
          <v:shape id="_x0000_i1552" type="#_x0000_t75" style="width:89.55pt;height:16.95pt" o:ole="">
            <v:imagedata r:id="rId1081" o:title=""/>
          </v:shape>
          <o:OLEObject Type="Embed" ProgID="Equation.DSMT4" ShapeID="_x0000_i1552" DrawAspect="Content" ObjectID="_1791375496" r:id="rId1082"/>
        </w:object>
      </w:r>
    </w:p>
    <w:p w14:paraId="455F16BC" w14:textId="77777777" w:rsidR="00411620" w:rsidRPr="00A62FF4" w:rsidRDefault="00411620" w:rsidP="00411620">
      <w:pPr>
        <w:bidi w:val="0"/>
        <w:spacing w:line="216" w:lineRule="auto"/>
        <w:rPr>
          <w:sz w:val="23"/>
          <w:szCs w:val="23"/>
          <w:rtl/>
        </w:rPr>
      </w:pPr>
      <w:r w:rsidRPr="00A62FF4">
        <w:rPr>
          <w:position w:val="-10"/>
        </w:rPr>
        <w:object w:dxaOrig="2540" w:dyaOrig="340" w14:anchorId="00D5C119">
          <v:shape id="_x0000_i1553" type="#_x0000_t75" style="width:127.05pt;height:16.95pt" o:ole="">
            <v:imagedata r:id="rId1083" o:title=""/>
          </v:shape>
          <o:OLEObject Type="Embed" ProgID="Equation.DSMT4" ShapeID="_x0000_i1553" DrawAspect="Content" ObjectID="_1791375497" r:id="rId1084"/>
        </w:object>
      </w:r>
    </w:p>
    <w:p w14:paraId="6BF8082E" w14:textId="77777777" w:rsidR="00411620" w:rsidRPr="00A62FF4" w:rsidRDefault="00411620" w:rsidP="00411620">
      <w:pPr>
        <w:bidi w:val="0"/>
        <w:spacing w:line="216" w:lineRule="auto"/>
        <w:rPr>
          <w:sz w:val="23"/>
          <w:szCs w:val="23"/>
          <w:rtl/>
        </w:rPr>
      </w:pPr>
      <w:r w:rsidRPr="00A62FF4">
        <w:rPr>
          <w:position w:val="-18"/>
        </w:rPr>
        <w:object w:dxaOrig="1280" w:dyaOrig="400" w14:anchorId="235D83CC">
          <v:shape id="_x0000_i1554" type="#_x0000_t75" style="width:63.55pt;height:20.55pt" o:ole="">
            <v:imagedata r:id="rId1085" o:title=""/>
          </v:shape>
          <o:OLEObject Type="Embed" ProgID="Equation.DSMT4" ShapeID="_x0000_i1554" DrawAspect="Content" ObjectID="_1791375498" r:id="rId1086"/>
        </w:object>
      </w:r>
    </w:p>
    <w:p w14:paraId="255EBD68" w14:textId="77777777" w:rsidR="00411620" w:rsidRPr="00A62FF4" w:rsidRDefault="00411620" w:rsidP="00411620">
      <w:pPr>
        <w:bidi w:val="0"/>
        <w:spacing w:line="216" w:lineRule="auto"/>
        <w:rPr>
          <w:sz w:val="23"/>
          <w:szCs w:val="23"/>
        </w:rPr>
      </w:pPr>
      <w:r w:rsidRPr="00A62FF4">
        <w:rPr>
          <w:position w:val="-18"/>
        </w:rPr>
        <w:object w:dxaOrig="1240" w:dyaOrig="400" w14:anchorId="5595E6ED">
          <v:shape id="_x0000_i1555" type="#_x0000_t75" style="width:61.7pt;height:20.55pt" o:ole="">
            <v:imagedata r:id="rId1087" o:title=""/>
          </v:shape>
          <o:OLEObject Type="Embed" ProgID="Equation.DSMT4" ShapeID="_x0000_i1555" DrawAspect="Content" ObjectID="_1791375499" r:id="rId1088"/>
        </w:object>
      </w:r>
    </w:p>
    <w:p w14:paraId="3E94F973" w14:textId="77777777" w:rsidR="00411620" w:rsidRPr="00A62FF4" w:rsidRDefault="00411620" w:rsidP="00411620">
      <w:pPr>
        <w:spacing w:line="216" w:lineRule="auto"/>
        <w:rPr>
          <w:sz w:val="23"/>
          <w:szCs w:val="23"/>
          <w:rtl/>
        </w:rPr>
      </w:pPr>
      <w:r w:rsidRPr="00A62FF4">
        <w:rPr>
          <w:rFonts w:hint="cs"/>
          <w:sz w:val="23"/>
          <w:szCs w:val="23"/>
          <w:rtl/>
        </w:rPr>
        <w:t>بنابراین تابع تولید کاب-داگلاس تمامی ویژگی‌های تابع تولید نئوکلاسیک را داراست. ضمناً همان</w:t>
      </w:r>
      <w:r w:rsidRPr="00A62FF4">
        <w:rPr>
          <w:sz w:val="23"/>
          <w:szCs w:val="23"/>
        </w:rPr>
        <w:softHyphen/>
      </w:r>
      <w:r w:rsidRPr="00A62FF4">
        <w:rPr>
          <w:rFonts w:hint="cs"/>
          <w:sz w:val="23"/>
          <w:szCs w:val="23"/>
          <w:rtl/>
        </w:rPr>
        <w:t>گونه که در قسمت بعد توضیح داده می‌شود، در بازار رقابت کامل، پرداختی به سرمایه و نیروی کار برابر تولید نهایی آن</w:t>
      </w:r>
      <w:r w:rsidRPr="00A62FF4">
        <w:rPr>
          <w:sz w:val="23"/>
          <w:szCs w:val="23"/>
          <w:rtl/>
        </w:rPr>
        <w:softHyphen/>
      </w:r>
      <w:r w:rsidRPr="00A62FF4">
        <w:rPr>
          <w:rFonts w:hint="cs"/>
          <w:sz w:val="23"/>
          <w:szCs w:val="23"/>
          <w:rtl/>
        </w:rPr>
        <w:t>ها خواهد بود. بازده نهایی سرمایه برابر است با قیمت اجاره‌ی سرمایه یعنی</w:t>
      </w:r>
      <w:r w:rsidRPr="00A62FF4">
        <w:rPr>
          <w:position w:val="-6"/>
        </w:rPr>
        <w:object w:dxaOrig="240" w:dyaOrig="260" w14:anchorId="72C8F1D1">
          <v:shape id="_x0000_i1556" type="#_x0000_t75" style="width:11.5pt;height:12.7pt" o:ole="">
            <v:imagedata r:id="rId1089" o:title=""/>
          </v:shape>
          <o:OLEObject Type="Embed" ProgID="Equation.DSMT4" ShapeID="_x0000_i1556" DrawAspect="Content" ObjectID="_1791375500" r:id="rId1090"/>
        </w:object>
      </w:r>
      <w:r w:rsidRPr="00A62FF4">
        <w:rPr>
          <w:rFonts w:hint="cs"/>
          <w:sz w:val="23"/>
          <w:szCs w:val="23"/>
          <w:rtl/>
        </w:rPr>
        <w:t>، و بازده نهایی نیروی کار نیز برابر است با نرخ دستمزد</w:t>
      </w:r>
      <w:r w:rsidRPr="00A62FF4">
        <w:rPr>
          <w:position w:val="-6"/>
        </w:rPr>
        <w:object w:dxaOrig="279" w:dyaOrig="260" w14:anchorId="21F1CDAC">
          <v:shape id="_x0000_i1557" type="#_x0000_t75" style="width:13.9pt;height:12.7pt" o:ole="">
            <v:imagedata r:id="rId1091" o:title=""/>
          </v:shape>
          <o:OLEObject Type="Embed" ProgID="Equation.DSMT4" ShapeID="_x0000_i1557" DrawAspect="Content" ObjectID="_1791375501" r:id="rId1092"/>
        </w:object>
      </w:r>
      <w:r w:rsidRPr="00A62FF4">
        <w:rPr>
          <w:rFonts w:hint="cs"/>
          <w:sz w:val="23"/>
          <w:szCs w:val="23"/>
          <w:rtl/>
        </w:rPr>
        <w:t xml:space="preserve">. بنابراین به هر واحد سرمایه نرخ اجاره‌ی سرمایه </w:t>
      </w:r>
      <w:r w:rsidRPr="00A62FF4">
        <w:rPr>
          <w:position w:val="-8"/>
        </w:rPr>
        <w:object w:dxaOrig="1760" w:dyaOrig="320" w14:anchorId="546C04F1">
          <v:shape id="_x0000_i1558" type="#_x0000_t75" style="width:87.75pt;height:15.75pt" o:ole="">
            <v:imagedata r:id="rId1093" o:title=""/>
          </v:shape>
          <o:OLEObject Type="Embed" ProgID="Equation.DSMT4" ShapeID="_x0000_i1558" DrawAspect="Content" ObjectID="_1791375502" r:id="rId1094"/>
        </w:object>
      </w:r>
      <w:r w:rsidRPr="00A62FF4">
        <w:rPr>
          <w:rFonts w:hint="cs"/>
          <w:sz w:val="23"/>
          <w:szCs w:val="23"/>
          <w:rtl/>
        </w:rPr>
        <w:t>، و به هر واحد نیروی کار نرخ دستمزد</w:t>
      </w:r>
      <w:r w:rsidRPr="00A62FF4">
        <w:rPr>
          <w:position w:val="-8"/>
        </w:rPr>
        <w:object w:dxaOrig="2780" w:dyaOrig="320" w14:anchorId="4F067A00">
          <v:shape id="_x0000_i1559" type="#_x0000_t75" style="width:139.15pt;height:15.75pt" o:ole="">
            <v:imagedata r:id="rId1095" o:title=""/>
          </v:shape>
          <o:OLEObject Type="Embed" ProgID="Equation.DSMT4" ShapeID="_x0000_i1559" DrawAspect="Content" ObjectID="_1791375503" r:id="rId1096"/>
        </w:object>
      </w:r>
      <w:r w:rsidRPr="00A62FF4">
        <w:rPr>
          <w:rFonts w:hint="cs"/>
          <w:sz w:val="23"/>
          <w:szCs w:val="23"/>
          <w:rtl/>
        </w:rPr>
        <w:t xml:space="preserve"> پرداخت خواهد شد. بهمین ترتیب سهم سرمایه از تولید برابر با</w:t>
      </w:r>
    </w:p>
    <w:p w14:paraId="7432933B" w14:textId="77777777" w:rsidR="00411620" w:rsidRPr="00A62FF4" w:rsidRDefault="00411620" w:rsidP="00411620">
      <w:pPr>
        <w:bidi w:val="0"/>
        <w:spacing w:line="216" w:lineRule="auto"/>
        <w:rPr>
          <w:sz w:val="23"/>
          <w:szCs w:val="23"/>
          <w:rtl/>
        </w:rPr>
      </w:pPr>
      <w:r w:rsidRPr="00A62FF4">
        <w:rPr>
          <w:position w:val="-26"/>
        </w:rPr>
        <w:object w:dxaOrig="2220" w:dyaOrig="639" w14:anchorId="468333C8">
          <v:shape id="_x0000_i1560" type="#_x0000_t75" style="width:111.35pt;height:32.05pt" o:ole="">
            <v:imagedata r:id="rId1097" o:title=""/>
          </v:shape>
          <o:OLEObject Type="Embed" ProgID="Equation.DSMT4" ShapeID="_x0000_i1560" DrawAspect="Content" ObjectID="_1791375504" r:id="rId1098"/>
        </w:object>
      </w:r>
    </w:p>
    <w:p w14:paraId="53473232" w14:textId="77777777" w:rsidR="00411620" w:rsidRPr="00A62FF4" w:rsidRDefault="00411620" w:rsidP="00411620">
      <w:pPr>
        <w:spacing w:line="216" w:lineRule="auto"/>
        <w:rPr>
          <w:sz w:val="23"/>
          <w:szCs w:val="23"/>
          <w:rtl/>
        </w:rPr>
      </w:pPr>
      <w:r w:rsidRPr="00A62FF4">
        <w:rPr>
          <w:rFonts w:hint="cs"/>
          <w:sz w:val="23"/>
          <w:szCs w:val="23"/>
          <w:rtl/>
        </w:rPr>
        <w:t xml:space="preserve">و سهم نیروی کار از تولید نیز برابر است با </w:t>
      </w:r>
    </w:p>
    <w:p w14:paraId="6D5D9A6D" w14:textId="77777777" w:rsidR="00411620" w:rsidRPr="00A62FF4" w:rsidRDefault="00411620" w:rsidP="00411620">
      <w:pPr>
        <w:bidi w:val="0"/>
        <w:spacing w:line="216" w:lineRule="auto"/>
        <w:rPr>
          <w:sz w:val="23"/>
          <w:szCs w:val="23"/>
          <w:rtl/>
        </w:rPr>
      </w:pPr>
      <w:r w:rsidRPr="00A62FF4">
        <w:rPr>
          <w:position w:val="-26"/>
        </w:rPr>
        <w:object w:dxaOrig="2840" w:dyaOrig="639" w14:anchorId="32665B12">
          <v:shape id="_x0000_i1561" type="#_x0000_t75" style="width:142.2pt;height:32.05pt" o:ole="">
            <v:imagedata r:id="rId1099" o:title=""/>
          </v:shape>
          <o:OLEObject Type="Embed" ProgID="Equation.DSMT4" ShapeID="_x0000_i1561" DrawAspect="Content" ObjectID="_1791375505" r:id="rId1100"/>
        </w:object>
      </w:r>
    </w:p>
    <w:p w14:paraId="3AFA47E0" w14:textId="77777777" w:rsidR="00411620" w:rsidRPr="00A62FF4" w:rsidRDefault="00411620" w:rsidP="00411620">
      <w:pPr>
        <w:spacing w:line="216" w:lineRule="auto"/>
        <w:rPr>
          <w:sz w:val="23"/>
          <w:szCs w:val="23"/>
          <w:rtl/>
        </w:rPr>
      </w:pPr>
      <w:r w:rsidRPr="00A62FF4">
        <w:rPr>
          <w:rFonts w:hint="cs"/>
          <w:sz w:val="23"/>
          <w:szCs w:val="23"/>
          <w:rtl/>
        </w:rPr>
        <w:t xml:space="preserve"> بنابراین در بازار رقابت کامل، و تابع تولید کاب-داگلاس، سهم نهاده‌های تولید مستقل از موجودی سرمایه‌ی سرانه</w:t>
      </w:r>
      <w:r w:rsidRPr="00A62FF4">
        <w:rPr>
          <w:sz w:val="23"/>
          <w:szCs w:val="23"/>
          <w:rtl/>
        </w:rPr>
        <w:softHyphen/>
      </w:r>
      <w:r w:rsidRPr="00A62FF4">
        <w:rPr>
          <w:rFonts w:hint="cs"/>
          <w:sz w:val="23"/>
          <w:szCs w:val="23"/>
          <w:rtl/>
        </w:rPr>
        <w:t xml:space="preserve">ی </w:t>
      </w:r>
      <w:r w:rsidRPr="00A62FF4">
        <w:rPr>
          <w:position w:val="-6"/>
        </w:rPr>
        <w:object w:dxaOrig="200" w:dyaOrig="260" w14:anchorId="1BC08C18">
          <v:shape id="_x0000_i1562" type="#_x0000_t75" style="width:10.3pt;height:12.7pt" o:ole="">
            <v:imagedata r:id="rId1101" o:title=""/>
          </v:shape>
          <o:OLEObject Type="Embed" ProgID="Equation.DSMT4" ShapeID="_x0000_i1562" DrawAspect="Content" ObjectID="_1791375506" r:id="rId1102"/>
        </w:object>
      </w:r>
      <w:r w:rsidRPr="00A62FF4">
        <w:rPr>
          <w:sz w:val="23"/>
          <w:szCs w:val="23"/>
          <w:rtl/>
        </w:rPr>
        <w:t xml:space="preserve"> </w:t>
      </w:r>
      <w:r w:rsidRPr="00A62FF4">
        <w:rPr>
          <w:rFonts w:hint="cs"/>
          <w:sz w:val="23"/>
          <w:szCs w:val="23"/>
          <w:rtl/>
        </w:rPr>
        <w:t xml:space="preserve">خواهد بود. </w:t>
      </w:r>
    </w:p>
    <w:p w14:paraId="2EA43504" w14:textId="77777777" w:rsidR="00411620" w:rsidRPr="00A62FF4" w:rsidRDefault="00411620" w:rsidP="00411620">
      <w:pPr>
        <w:spacing w:line="216" w:lineRule="auto"/>
        <w:rPr>
          <w:sz w:val="23"/>
          <w:szCs w:val="23"/>
          <w:rtl/>
        </w:rPr>
      </w:pPr>
    </w:p>
    <w:p w14:paraId="6C92AFB8" w14:textId="77777777" w:rsidR="00411620" w:rsidRPr="00A62FF4" w:rsidRDefault="00411620" w:rsidP="00411620">
      <w:pPr>
        <w:pStyle w:val="Heading11"/>
        <w:bidi/>
        <w:spacing w:before="0" w:line="216" w:lineRule="auto"/>
        <w:rPr>
          <w:rFonts w:ascii="Times New Roman" w:hAnsi="Times New Roman" w:cs="B Nazanin"/>
          <w:sz w:val="23"/>
          <w:szCs w:val="23"/>
          <w:rtl/>
        </w:rPr>
      </w:pPr>
      <w:r w:rsidRPr="00A62FF4">
        <w:rPr>
          <w:rFonts w:ascii="Times New Roman" w:hAnsi="Times New Roman" w:cs="B Nazanin" w:hint="cs"/>
          <w:sz w:val="23"/>
          <w:szCs w:val="23"/>
          <w:rtl/>
        </w:rPr>
        <w:t xml:space="preserve">۳. ۳. ۳ مدل رشد پایه </w:t>
      </w:r>
    </w:p>
    <w:p w14:paraId="526C1ACE" w14:textId="77777777" w:rsidR="00411620" w:rsidRPr="00A62FF4" w:rsidRDefault="00411620" w:rsidP="00411620">
      <w:pPr>
        <w:spacing w:line="216" w:lineRule="auto"/>
        <w:rPr>
          <w:sz w:val="23"/>
          <w:szCs w:val="23"/>
          <w:rtl/>
        </w:rPr>
      </w:pPr>
      <w:r w:rsidRPr="00A62FF4">
        <w:rPr>
          <w:rFonts w:hint="cs"/>
          <w:sz w:val="23"/>
          <w:szCs w:val="23"/>
          <w:rtl/>
        </w:rPr>
        <w:t>اکنون می‌توان مدل رشد سولو-سوان را بر اساس متغیرهای سرانه مورد بررسی قرار داد. از رابطه‌ی</w:t>
      </w:r>
      <w:r w:rsidRPr="00A62FF4">
        <w:rPr>
          <w:sz w:val="23"/>
          <w:szCs w:val="23"/>
        </w:rPr>
        <w:t xml:space="preserve"> </w:t>
      </w:r>
      <w:r w:rsidRPr="00A62FF4">
        <w:rPr>
          <w:rFonts w:hint="cs"/>
          <w:sz w:val="23"/>
          <w:szCs w:val="23"/>
          <w:rtl/>
        </w:rPr>
        <w:t>(۳. ۱) داشتیم</w:t>
      </w:r>
    </w:p>
    <w:p w14:paraId="184D3F82" w14:textId="77777777" w:rsidR="00411620" w:rsidRPr="00A62FF4" w:rsidRDefault="00411620" w:rsidP="00411620">
      <w:pPr>
        <w:pStyle w:val="MTDisplayEquation"/>
        <w:spacing w:line="216" w:lineRule="auto"/>
        <w:rPr>
          <w:rFonts w:ascii="Times New Roman" w:hAnsi="Times New Roman" w:cs="B Nazanin"/>
          <w:sz w:val="23"/>
          <w:szCs w:val="23"/>
          <w:rtl/>
        </w:rPr>
      </w:pPr>
      <w:r w:rsidRPr="00A62FF4">
        <w:rPr>
          <w:position w:val="-10"/>
        </w:rPr>
        <w:object w:dxaOrig="3019" w:dyaOrig="340" w14:anchorId="44CB444B">
          <v:shape id="_x0000_i1563" type="#_x0000_t75" style="width:151.25pt;height:16.95pt" o:ole="">
            <v:imagedata r:id="rId1103" o:title=""/>
          </v:shape>
          <o:OLEObject Type="Embed" ProgID="Equation.DSMT4" ShapeID="_x0000_i1563" DrawAspect="Content" ObjectID="_1791375507" r:id="rId1104"/>
        </w:object>
      </w:r>
      <w:r w:rsidRPr="00A62FF4">
        <w:rPr>
          <w:rFonts w:ascii="Times New Roman" w:hAnsi="Times New Roman" w:cs="B Nazanin"/>
          <w:sz w:val="23"/>
          <w:szCs w:val="23"/>
          <w:rtl/>
        </w:rPr>
        <w:tab/>
      </w:r>
      <w:r w:rsidRPr="00A62FF4">
        <w:rPr>
          <w:rFonts w:ascii="Times New Roman" w:hAnsi="Times New Roman" w:cs="B Nazanin"/>
          <w:sz w:val="23"/>
          <w:szCs w:val="23"/>
          <w:rtl/>
        </w:rPr>
        <w:tab/>
      </w:r>
    </w:p>
    <w:p w14:paraId="668A1C91" w14:textId="77777777" w:rsidR="00411620" w:rsidRPr="00A62FF4" w:rsidRDefault="00411620" w:rsidP="00411620">
      <w:pPr>
        <w:spacing w:line="216" w:lineRule="auto"/>
        <w:rPr>
          <w:sz w:val="23"/>
          <w:szCs w:val="23"/>
          <w:rtl/>
        </w:rPr>
      </w:pPr>
      <w:r w:rsidRPr="00A62FF4">
        <w:rPr>
          <w:rFonts w:hint="cs"/>
          <w:sz w:val="23"/>
          <w:szCs w:val="23"/>
          <w:rtl/>
        </w:rPr>
        <w:t>چنانچه طرفین رابطه‌ی فوق را بر نیروی کار تقسیم کنیم خواهیم داشت</w:t>
      </w:r>
    </w:p>
    <w:p w14:paraId="5B76C54F" w14:textId="77777777" w:rsidR="00411620" w:rsidRPr="00A62FF4" w:rsidRDefault="00411620" w:rsidP="00411620">
      <w:pPr>
        <w:bidi w:val="0"/>
        <w:spacing w:line="216" w:lineRule="auto"/>
        <w:rPr>
          <w:sz w:val="23"/>
          <w:szCs w:val="23"/>
          <w:rtl/>
        </w:rPr>
      </w:pPr>
      <w:r w:rsidRPr="00A62FF4">
        <w:rPr>
          <w:position w:val="-22"/>
        </w:rPr>
        <w:object w:dxaOrig="3280" w:dyaOrig="600" w14:anchorId="4507C757">
          <v:shape id="_x0000_i1564" type="#_x0000_t75" style="width:164.55pt;height:29.65pt" o:ole="">
            <v:imagedata r:id="rId1105" o:title=""/>
          </v:shape>
          <o:OLEObject Type="Embed" ProgID="Equation.DSMT4" ShapeID="_x0000_i1564" DrawAspect="Content" ObjectID="_1791375508" r:id="rId1106"/>
        </w:object>
      </w:r>
      <w:r w:rsidRPr="00A62FF4">
        <w:rPr>
          <w:sz w:val="23"/>
          <w:szCs w:val="23"/>
        </w:rPr>
        <w:tab/>
      </w:r>
      <w:r w:rsidRPr="00A62FF4">
        <w:rPr>
          <w:sz w:val="23"/>
          <w:szCs w:val="23"/>
          <w:rtl/>
        </w:rPr>
        <w:tab/>
      </w:r>
      <w:r w:rsidRPr="00A62FF4">
        <w:rPr>
          <w:sz w:val="23"/>
          <w:szCs w:val="23"/>
          <w:rtl/>
        </w:rPr>
        <w:tab/>
      </w:r>
      <w:r w:rsidRPr="00A62FF4">
        <w:rPr>
          <w:sz w:val="23"/>
          <w:szCs w:val="23"/>
          <w:rtl/>
        </w:rPr>
        <w:tab/>
      </w:r>
      <w:r w:rsidRPr="00A62FF4">
        <w:rPr>
          <w:sz w:val="23"/>
          <w:szCs w:val="23"/>
          <w:rtl/>
        </w:rPr>
        <w:tab/>
      </w:r>
      <w:r>
        <w:rPr>
          <w:sz w:val="23"/>
          <w:szCs w:val="23"/>
          <w:rtl/>
        </w:rPr>
        <w:tab/>
      </w:r>
      <w:r>
        <w:rPr>
          <w:sz w:val="23"/>
          <w:szCs w:val="23"/>
          <w:rtl/>
        </w:rPr>
        <w:tab/>
      </w:r>
      <w:r>
        <w:rPr>
          <w:sz w:val="23"/>
          <w:szCs w:val="23"/>
          <w:rtl/>
        </w:rPr>
        <w:tab/>
      </w:r>
      <w:r w:rsidRPr="00A62FF4">
        <w:rPr>
          <w:sz w:val="23"/>
          <w:szCs w:val="23"/>
          <w:rtl/>
        </w:rPr>
        <w:tab/>
      </w:r>
      <w:r w:rsidRPr="00A62FF4">
        <w:rPr>
          <w:sz w:val="23"/>
          <w:szCs w:val="23"/>
          <w:rtl/>
        </w:rPr>
        <w:tab/>
      </w:r>
      <w:r w:rsidRPr="00A62FF4">
        <w:rPr>
          <w:sz w:val="23"/>
          <w:szCs w:val="23"/>
        </w:rPr>
        <w:tab/>
      </w:r>
      <w:r w:rsidRPr="00A62FF4">
        <w:rPr>
          <w:rFonts w:hint="cs"/>
          <w:sz w:val="23"/>
          <w:szCs w:val="23"/>
          <w:rtl/>
        </w:rPr>
        <w:t>(۳. ۲)</w:t>
      </w:r>
    </w:p>
    <w:p w14:paraId="767C5158" w14:textId="77777777" w:rsidR="00411620" w:rsidRPr="00A62FF4" w:rsidRDefault="00411620" w:rsidP="00411620">
      <w:pPr>
        <w:spacing w:line="216" w:lineRule="auto"/>
        <w:rPr>
          <w:sz w:val="23"/>
          <w:szCs w:val="23"/>
          <w:rtl/>
        </w:rPr>
      </w:pPr>
      <w:r w:rsidRPr="00A62FF4">
        <w:rPr>
          <w:rFonts w:hint="cs"/>
          <w:sz w:val="23"/>
          <w:szCs w:val="23"/>
          <w:rtl/>
        </w:rPr>
        <w:t>بنظر می</w:t>
      </w:r>
      <w:r w:rsidRPr="00A62FF4">
        <w:rPr>
          <w:sz w:val="23"/>
          <w:szCs w:val="23"/>
          <w:rtl/>
        </w:rPr>
        <w:softHyphen/>
      </w:r>
      <w:r w:rsidRPr="00A62FF4">
        <w:rPr>
          <w:rFonts w:hint="cs"/>
          <w:sz w:val="23"/>
          <w:szCs w:val="23"/>
          <w:rtl/>
        </w:rPr>
        <w:t>رسد که رابطه</w:t>
      </w:r>
      <w:r w:rsidRPr="00A62FF4">
        <w:rPr>
          <w:sz w:val="23"/>
          <w:szCs w:val="23"/>
          <w:rtl/>
        </w:rPr>
        <w:softHyphen/>
      </w:r>
      <w:r w:rsidRPr="00A62FF4">
        <w:rPr>
          <w:rFonts w:hint="cs"/>
          <w:sz w:val="23"/>
          <w:szCs w:val="23"/>
          <w:rtl/>
        </w:rPr>
        <w:t>ی فوق یک معادله</w:t>
      </w:r>
      <w:r w:rsidRPr="00A62FF4">
        <w:rPr>
          <w:sz w:val="23"/>
          <w:szCs w:val="23"/>
          <w:rtl/>
        </w:rPr>
        <w:softHyphen/>
      </w:r>
      <w:r w:rsidRPr="00A62FF4">
        <w:rPr>
          <w:rFonts w:hint="cs"/>
          <w:sz w:val="23"/>
          <w:szCs w:val="23"/>
          <w:rtl/>
        </w:rPr>
        <w:t>ی دیفرانسل باشد، ولی این</w:t>
      </w:r>
      <w:r w:rsidRPr="00A62FF4">
        <w:rPr>
          <w:sz w:val="23"/>
          <w:szCs w:val="23"/>
          <w:rtl/>
        </w:rPr>
        <w:softHyphen/>
      </w:r>
      <w:r w:rsidRPr="00A62FF4">
        <w:rPr>
          <w:rFonts w:hint="cs"/>
          <w:sz w:val="23"/>
          <w:szCs w:val="23"/>
          <w:rtl/>
        </w:rPr>
        <w:t xml:space="preserve">گونه نیست. زیرا سمت راست رابطه‌ی فوق بر حسب متغیرهای سرانه است ولی سمت چپ این رابطه یعنی </w:t>
      </w:r>
      <w:r w:rsidRPr="00A62FF4">
        <w:rPr>
          <w:position w:val="-22"/>
        </w:rPr>
        <w:object w:dxaOrig="1060" w:dyaOrig="600" w14:anchorId="56772321">
          <v:shape id="_x0000_i1565" type="#_x0000_t75" style="width:53.25pt;height:29.65pt" o:ole="">
            <v:imagedata r:id="rId1107" o:title=""/>
          </v:shape>
          <o:OLEObject Type="Embed" ProgID="Equation.DSMT4" ShapeID="_x0000_i1565" DrawAspect="Content" ObjectID="_1791375509" r:id="rId1108"/>
        </w:object>
      </w:r>
      <w:r w:rsidRPr="00A62FF4">
        <w:rPr>
          <w:rFonts w:hint="cs"/>
          <w:sz w:val="23"/>
          <w:szCs w:val="23"/>
          <w:rtl/>
        </w:rPr>
        <w:t xml:space="preserve"> بر حسب متغیرهای سرانه نیست. اما از آنجا که داریم</w:t>
      </w:r>
      <w:r w:rsidRPr="00A62FF4">
        <w:rPr>
          <w:position w:val="-22"/>
        </w:rPr>
        <w:object w:dxaOrig="639" w:dyaOrig="560" w14:anchorId="338B909D">
          <v:shape id="_x0000_i1566" type="#_x0000_t75" style="width:32.05pt;height:27.85pt" o:ole="">
            <v:imagedata r:id="rId1109" o:title=""/>
          </v:shape>
          <o:OLEObject Type="Embed" ProgID="Equation.DSMT4" ShapeID="_x0000_i1566" DrawAspect="Content" ObjectID="_1791375510" r:id="rId1110"/>
        </w:object>
      </w:r>
      <w:r w:rsidRPr="00A62FF4">
        <w:rPr>
          <w:rFonts w:hint="cs"/>
          <w:sz w:val="23"/>
          <w:szCs w:val="23"/>
          <w:rtl/>
        </w:rPr>
        <w:t>،</w:t>
      </w:r>
      <w:r w:rsidRPr="00A62FF4">
        <w:rPr>
          <w:sz w:val="23"/>
          <w:szCs w:val="23"/>
        </w:rPr>
        <w:t xml:space="preserve"> </w:t>
      </w:r>
      <w:r w:rsidRPr="00A62FF4">
        <w:rPr>
          <w:rFonts w:hint="cs"/>
          <w:sz w:val="23"/>
          <w:szCs w:val="23"/>
          <w:rtl/>
        </w:rPr>
        <w:t>لذا</w:t>
      </w:r>
    </w:p>
    <w:p w14:paraId="1A49A185" w14:textId="77777777" w:rsidR="00411620" w:rsidRPr="00A62FF4" w:rsidRDefault="00411620" w:rsidP="00411620">
      <w:pPr>
        <w:bidi w:val="0"/>
        <w:spacing w:line="216" w:lineRule="auto"/>
        <w:rPr>
          <w:sz w:val="23"/>
          <w:szCs w:val="23"/>
          <w:rtl/>
        </w:rPr>
      </w:pPr>
      <w:r w:rsidRPr="00A62FF4">
        <w:rPr>
          <w:position w:val="-22"/>
        </w:rPr>
        <w:object w:dxaOrig="5800" w:dyaOrig="600" w14:anchorId="0C37B8E5">
          <v:shape id="_x0000_i1567" type="#_x0000_t75" style="width:289.8pt;height:29.65pt" o:ole="">
            <v:imagedata r:id="rId1111" o:title=""/>
          </v:shape>
          <o:OLEObject Type="Embed" ProgID="Equation.DSMT4" ShapeID="_x0000_i1567" DrawAspect="Content" ObjectID="_1791375511" r:id="rId1112"/>
        </w:object>
      </w:r>
    </w:p>
    <w:p w14:paraId="15C62B3C" w14:textId="77777777" w:rsidR="00411620" w:rsidRPr="00A62FF4" w:rsidRDefault="00411620" w:rsidP="00411620">
      <w:pPr>
        <w:bidi w:val="0"/>
        <w:spacing w:line="216" w:lineRule="auto"/>
        <w:rPr>
          <w:sz w:val="23"/>
          <w:szCs w:val="23"/>
          <w:rtl/>
        </w:rPr>
      </w:pPr>
    </w:p>
    <w:p w14:paraId="6E754DF3" w14:textId="77777777" w:rsidR="00411620" w:rsidRPr="00A62FF4" w:rsidRDefault="00411620" w:rsidP="00411620">
      <w:pPr>
        <w:spacing w:line="216" w:lineRule="auto"/>
        <w:rPr>
          <w:sz w:val="23"/>
          <w:szCs w:val="23"/>
          <w:rtl/>
        </w:rPr>
      </w:pPr>
      <w:r w:rsidRPr="00A62FF4">
        <w:rPr>
          <w:rFonts w:hint="cs"/>
          <w:sz w:val="23"/>
          <w:szCs w:val="23"/>
          <w:rtl/>
        </w:rPr>
        <w:t>و با جایگزاری در رابطه‌ی (۳. ۲) خواهیم داشت</w:t>
      </w:r>
    </w:p>
    <w:p w14:paraId="253C431D" w14:textId="77777777" w:rsidR="00411620" w:rsidRPr="00A62FF4" w:rsidRDefault="00411620" w:rsidP="00411620">
      <w:pPr>
        <w:bidi w:val="0"/>
        <w:spacing w:line="216" w:lineRule="auto"/>
        <w:rPr>
          <w:sz w:val="23"/>
          <w:szCs w:val="23"/>
          <w:rtl/>
        </w:rPr>
      </w:pPr>
      <w:r w:rsidRPr="00A62FF4">
        <w:rPr>
          <w:position w:val="-8"/>
        </w:rPr>
        <w:object w:dxaOrig="1780" w:dyaOrig="320" w14:anchorId="50BCE535">
          <v:shape id="_x0000_i1568" type="#_x0000_t75" style="width:89.55pt;height:15.75pt" o:ole="">
            <v:imagedata r:id="rId1113" o:title=""/>
          </v:shape>
          <o:OLEObject Type="Embed" ProgID="Equation.DSMT4" ShapeID="_x0000_i1568" DrawAspect="Content" ObjectID="_1791375512" r:id="rId1114"/>
        </w:object>
      </w:r>
      <w:r w:rsidRPr="00A62FF4">
        <w:rPr>
          <w:sz w:val="23"/>
          <w:szCs w:val="23"/>
        </w:rPr>
        <w:tab/>
      </w:r>
      <w:r w:rsidRPr="00A62FF4">
        <w:rPr>
          <w:sz w:val="23"/>
          <w:szCs w:val="23"/>
        </w:rPr>
        <w:tab/>
      </w:r>
      <w:r w:rsidRPr="00A62FF4">
        <w:rPr>
          <w:sz w:val="23"/>
          <w:szCs w:val="23"/>
        </w:rPr>
        <w:tab/>
      </w:r>
      <w:r w:rsidRPr="00A62FF4">
        <w:rPr>
          <w:sz w:val="23"/>
          <w:szCs w:val="23"/>
        </w:rPr>
        <w:tab/>
      </w:r>
      <w:r w:rsidRPr="00A62FF4">
        <w:rPr>
          <w:sz w:val="23"/>
          <w:szCs w:val="23"/>
          <w:rtl/>
        </w:rPr>
        <w:tab/>
      </w:r>
      <w:r w:rsidRPr="00A62FF4">
        <w:rPr>
          <w:sz w:val="23"/>
          <w:szCs w:val="23"/>
          <w:rtl/>
        </w:rPr>
        <w:tab/>
      </w:r>
      <w:r w:rsidRPr="00A62FF4">
        <w:rPr>
          <w:sz w:val="23"/>
          <w:szCs w:val="23"/>
          <w:rtl/>
        </w:rPr>
        <w:tab/>
      </w:r>
      <w:r w:rsidRPr="00A62FF4">
        <w:rPr>
          <w:sz w:val="23"/>
          <w:szCs w:val="23"/>
          <w:rtl/>
        </w:rPr>
        <w:tab/>
      </w:r>
      <w:r w:rsidRPr="00A62FF4">
        <w:rPr>
          <w:sz w:val="23"/>
          <w:szCs w:val="23"/>
          <w:rtl/>
        </w:rPr>
        <w:tab/>
      </w:r>
      <w:r w:rsidRPr="00A62FF4">
        <w:rPr>
          <w:sz w:val="23"/>
          <w:szCs w:val="23"/>
        </w:rPr>
        <w:tab/>
      </w:r>
      <w:r w:rsidRPr="00A62FF4">
        <w:rPr>
          <w:sz w:val="23"/>
          <w:szCs w:val="23"/>
          <w:rtl/>
        </w:rPr>
        <w:tab/>
      </w:r>
      <w:r w:rsidRPr="00A62FF4">
        <w:rPr>
          <w:sz w:val="23"/>
          <w:szCs w:val="23"/>
          <w:rtl/>
        </w:rPr>
        <w:tab/>
      </w:r>
      <w:r w:rsidRPr="00A62FF4">
        <w:rPr>
          <w:sz w:val="23"/>
          <w:szCs w:val="23"/>
        </w:rPr>
        <w:tab/>
      </w:r>
      <w:r>
        <w:rPr>
          <w:sz w:val="23"/>
          <w:szCs w:val="23"/>
          <w:rtl/>
        </w:rPr>
        <w:tab/>
      </w:r>
      <w:r>
        <w:rPr>
          <w:sz w:val="23"/>
          <w:szCs w:val="23"/>
          <w:rtl/>
        </w:rPr>
        <w:tab/>
      </w:r>
      <w:r w:rsidRPr="00A62FF4">
        <w:rPr>
          <w:sz w:val="23"/>
          <w:szCs w:val="23"/>
        </w:rPr>
        <w:tab/>
      </w:r>
      <w:r w:rsidRPr="00A62FF4">
        <w:rPr>
          <w:rFonts w:hint="cs"/>
          <w:sz w:val="23"/>
          <w:szCs w:val="23"/>
          <w:rtl/>
        </w:rPr>
        <w:t>(۳. ۳)</w:t>
      </w:r>
    </w:p>
    <w:p w14:paraId="13E76F4D" w14:textId="77777777" w:rsidR="00411620" w:rsidRPr="00A62FF4" w:rsidRDefault="00411620" w:rsidP="00411620">
      <w:pPr>
        <w:spacing w:line="216" w:lineRule="auto"/>
        <w:rPr>
          <w:sz w:val="23"/>
          <w:szCs w:val="23"/>
          <w:rtl/>
        </w:rPr>
      </w:pPr>
      <w:r w:rsidRPr="00A62FF4">
        <w:rPr>
          <w:rFonts w:hint="cs"/>
          <w:sz w:val="23"/>
          <w:szCs w:val="23"/>
          <w:rtl/>
        </w:rPr>
        <w:t xml:space="preserve">رابطه‌ی فوق معادله‌ی دیفرانسیل غیرخطی الگوی رشد سولو-سوان است که تنها به موجودی سرمایه‌ی سرانه وابسته است. در این رابطه </w:t>
      </w:r>
      <w:r w:rsidRPr="00A62FF4">
        <w:rPr>
          <w:position w:val="-8"/>
        </w:rPr>
        <w:object w:dxaOrig="660" w:dyaOrig="279" w14:anchorId="79B20F0C">
          <v:shape id="_x0000_i1569" type="#_x0000_t75" style="width:32.65pt;height:13.9pt" o:ole="">
            <v:imagedata r:id="rId1115" o:title=""/>
          </v:shape>
          <o:OLEObject Type="Embed" ProgID="Equation.DSMT4" ShapeID="_x0000_i1569" DrawAspect="Content" ObjectID="_1791375513" r:id="rId1116"/>
        </w:object>
      </w:r>
      <w:r w:rsidRPr="00A62FF4">
        <w:rPr>
          <w:rFonts w:hint="cs"/>
          <w:sz w:val="23"/>
          <w:szCs w:val="23"/>
          <w:rtl/>
        </w:rPr>
        <w:t xml:space="preserve"> نرخ استهلاک مؤثر موجودی سرمایه‌ی سرانه است، و اگر نرخ پس‌انداز برابر با صفر باشد، آنگاه موجودی سرمایه‌ی سرانه بدلیل استهلاک و رشد جمعیت مرتباً کاهش خواهد یافت. </w:t>
      </w:r>
    </w:p>
    <w:p w14:paraId="30A5A68E" w14:textId="77777777" w:rsidR="00411620" w:rsidRPr="00A62FF4" w:rsidRDefault="00411620" w:rsidP="00411620">
      <w:pPr>
        <w:spacing w:line="216" w:lineRule="auto"/>
        <w:rPr>
          <w:sz w:val="23"/>
          <w:szCs w:val="23"/>
          <w:rtl/>
        </w:rPr>
      </w:pPr>
      <w:r w:rsidRPr="00A62FF4">
        <w:rPr>
          <w:rFonts w:hint="cs"/>
          <w:sz w:val="23"/>
          <w:szCs w:val="23"/>
          <w:rtl/>
        </w:rPr>
        <w:t xml:space="preserve"> نمودار ۳. ۱ نحوه‌ی عملکرد رابطه‌ی فوق را نشان می‌دهد. منحنی فوقانی در این نمودار مبین تابع تولید</w:t>
      </w:r>
      <w:r w:rsidRPr="00A62FF4">
        <w:rPr>
          <w:position w:val="-8"/>
        </w:rPr>
        <w:object w:dxaOrig="460" w:dyaOrig="279" w14:anchorId="3EF835AC">
          <v:shape id="_x0000_i1570" type="#_x0000_t75" style="width:23pt;height:13.9pt" o:ole="">
            <v:imagedata r:id="rId1117" o:title=""/>
          </v:shape>
          <o:OLEObject Type="Embed" ProgID="Equation.DSMT4" ShapeID="_x0000_i1570" DrawAspect="Content" ObjectID="_1791375514" r:id="rId1118"/>
        </w:object>
      </w:r>
      <w:r w:rsidRPr="00A62FF4">
        <w:rPr>
          <w:rFonts w:hint="cs"/>
          <w:sz w:val="23"/>
          <w:szCs w:val="23"/>
          <w:rtl/>
        </w:rPr>
        <w:t xml:space="preserve"> است و مقادیر تولید سرانه را به ازای هر مقدار از موجودی سرمایه‌ی سرانه نشان می‌دهد. این تابع ویژگی‌های تابع تولید نئوکلاسیک را داراست. عبارت</w:t>
      </w:r>
      <w:r w:rsidRPr="00A62FF4">
        <w:rPr>
          <w:position w:val="-8"/>
        </w:rPr>
        <w:object w:dxaOrig="800" w:dyaOrig="279" w14:anchorId="532FDA21">
          <v:shape id="_x0000_i1571" type="#_x0000_t75" style="width:39.95pt;height:13.9pt" o:ole="">
            <v:imagedata r:id="rId1119" o:title=""/>
          </v:shape>
          <o:OLEObject Type="Embed" ProgID="Equation.DSMT4" ShapeID="_x0000_i1571" DrawAspect="Content" ObjectID="_1791375515" r:id="rId1120"/>
        </w:object>
      </w:r>
      <w:r w:rsidRPr="00A62FF4">
        <w:rPr>
          <w:sz w:val="23"/>
          <w:szCs w:val="23"/>
        </w:rPr>
        <w:t xml:space="preserve"> </w:t>
      </w:r>
      <w:r w:rsidRPr="00A62FF4">
        <w:rPr>
          <w:rFonts w:hint="cs"/>
          <w:sz w:val="23"/>
          <w:szCs w:val="23"/>
          <w:rtl/>
        </w:rPr>
        <w:t xml:space="preserve">نیز که از مبدا و با شیب </w:t>
      </w:r>
      <w:r w:rsidRPr="00A62FF4">
        <w:rPr>
          <w:position w:val="-8"/>
        </w:rPr>
        <w:object w:dxaOrig="660" w:dyaOrig="279" w14:anchorId="6DD00B3D">
          <v:shape id="_x0000_i1572" type="#_x0000_t75" style="width:32.65pt;height:13.9pt" o:ole="">
            <v:imagedata r:id="rId1121" o:title=""/>
          </v:shape>
          <o:OLEObject Type="Embed" ProgID="Equation.DSMT4" ShapeID="_x0000_i1572" DrawAspect="Content" ObjectID="_1791375516" r:id="rId1122"/>
        </w:object>
      </w:r>
      <w:r w:rsidRPr="00A62FF4">
        <w:rPr>
          <w:rFonts w:hint="cs"/>
          <w:sz w:val="23"/>
          <w:szCs w:val="23"/>
          <w:rtl/>
        </w:rPr>
        <w:t xml:space="preserve"> می‌گذرد، مقادیر استهلاک سرمایه را به ازاء هر مقدار از موجودی سرمایه‌ی سرانه نشان می‌دهد. در این نمودار</w:t>
      </w:r>
      <w:r w:rsidRPr="00A62FF4">
        <w:rPr>
          <w:position w:val="-8"/>
        </w:rPr>
        <w:object w:dxaOrig="540" w:dyaOrig="279" w14:anchorId="614C0889">
          <v:shape id="_x0000_i1573" type="#_x0000_t75" style="width:27.25pt;height:13.9pt" o:ole="">
            <v:imagedata r:id="rId1123" o:title=""/>
          </v:shape>
          <o:OLEObject Type="Embed" ProgID="Equation.DSMT4" ShapeID="_x0000_i1573" DrawAspect="Content" ObjectID="_1791375517" r:id="rId1124"/>
        </w:object>
      </w:r>
      <w:r w:rsidRPr="00A62FF4">
        <w:rPr>
          <w:rFonts w:hint="cs"/>
          <w:sz w:val="23"/>
          <w:szCs w:val="23"/>
          <w:rtl/>
        </w:rPr>
        <w:t xml:space="preserve"> بخشی از تولید است که پس‌انداز و یا سرمایه‌گذاری می‌شود. این منحنی از مبدا مختصات عبور کرده</w:t>
      </w:r>
      <w:r w:rsidRPr="00A62FF4">
        <w:rPr>
          <w:position w:val="-8"/>
        </w:rPr>
        <w:object w:dxaOrig="920" w:dyaOrig="279" w14:anchorId="3CF066D5">
          <v:shape id="_x0000_i1574" type="#_x0000_t75" style="width:46pt;height:13.9pt" o:ole="">
            <v:imagedata r:id="rId1125" o:title=""/>
          </v:shape>
          <o:OLEObject Type="Embed" ProgID="Equation.DSMT4" ShapeID="_x0000_i1574" DrawAspect="Content" ObjectID="_1791375518" r:id="rId1126"/>
        </w:object>
      </w:r>
      <w:r w:rsidRPr="00A62FF4">
        <w:rPr>
          <w:rFonts w:hint="cs"/>
          <w:sz w:val="23"/>
          <w:szCs w:val="23"/>
          <w:rtl/>
        </w:rPr>
        <w:t xml:space="preserve">، شیب مثبت داشته و با افزایش موجودی سرمایه‌ی سرانه شیب آن کاهش می‌یابد. شروط اینادا دلالت بر این دارد که در </w:t>
      </w:r>
      <w:r w:rsidRPr="00A62FF4">
        <w:rPr>
          <w:position w:val="-6"/>
        </w:rPr>
        <w:object w:dxaOrig="540" w:dyaOrig="260" w14:anchorId="6DA5C4E7">
          <v:shape id="_x0000_i1575" type="#_x0000_t75" style="width:27.25pt;height:12.7pt" o:ole="">
            <v:imagedata r:id="rId1127" o:title=""/>
          </v:shape>
          <o:OLEObject Type="Embed" ProgID="Equation.DSMT4" ShapeID="_x0000_i1575" DrawAspect="Content" ObjectID="_1791375519" r:id="rId1128"/>
        </w:object>
      </w:r>
      <w:r w:rsidRPr="00A62FF4">
        <w:rPr>
          <w:rFonts w:hint="cs"/>
          <w:sz w:val="23"/>
          <w:szCs w:val="23"/>
          <w:rtl/>
        </w:rPr>
        <w:t xml:space="preserve"> شیب تابع </w:t>
      </w:r>
      <w:r w:rsidRPr="00A62FF4">
        <w:rPr>
          <w:position w:val="-8"/>
        </w:rPr>
        <w:object w:dxaOrig="540" w:dyaOrig="279" w14:anchorId="0B7FD5B8">
          <v:shape id="_x0000_i1576" type="#_x0000_t75" style="width:27.25pt;height:13.9pt" o:ole="">
            <v:imagedata r:id="rId1129" o:title=""/>
          </v:shape>
          <o:OLEObject Type="Embed" ProgID="Equation.DSMT4" ShapeID="_x0000_i1576" DrawAspect="Content" ObjectID="_1791375520" r:id="rId1130"/>
        </w:object>
      </w:r>
      <w:r w:rsidRPr="00A62FF4">
        <w:rPr>
          <w:rFonts w:hint="cs"/>
          <w:sz w:val="23"/>
          <w:szCs w:val="23"/>
          <w:rtl/>
        </w:rPr>
        <w:t xml:space="preserve"> بی</w:t>
      </w:r>
      <w:r w:rsidRPr="00A62FF4">
        <w:rPr>
          <w:sz w:val="23"/>
          <w:szCs w:val="23"/>
          <w:rtl/>
        </w:rPr>
        <w:softHyphen/>
      </w:r>
      <w:r w:rsidRPr="00A62FF4">
        <w:rPr>
          <w:rFonts w:hint="cs"/>
          <w:sz w:val="23"/>
          <w:szCs w:val="23"/>
          <w:rtl/>
        </w:rPr>
        <w:t>نهایت و با افزایش</w:t>
      </w:r>
      <w:r w:rsidRPr="00A62FF4">
        <w:rPr>
          <w:position w:val="-6"/>
        </w:rPr>
        <w:object w:dxaOrig="200" w:dyaOrig="260" w14:anchorId="4236BACD">
          <v:shape id="_x0000_i1577" type="#_x0000_t75" style="width:10.3pt;height:12.7pt" o:ole="">
            <v:imagedata r:id="rId1131" o:title=""/>
          </v:shape>
          <o:OLEObject Type="Embed" ProgID="Equation.DSMT4" ShapeID="_x0000_i1577" DrawAspect="Content" ObjectID="_1791375521" r:id="rId1132"/>
        </w:object>
      </w:r>
      <w:r w:rsidRPr="00A62FF4">
        <w:rPr>
          <w:rFonts w:hint="cs"/>
          <w:sz w:val="23"/>
          <w:szCs w:val="23"/>
          <w:rtl/>
        </w:rPr>
        <w:t xml:space="preserve"> شیب آن کاهش یافته تا بالاخره شیب به سمت صفر میل ‌کند. این ویژگی </w:t>
      </w:r>
      <w:r w:rsidRPr="00A62FF4">
        <w:rPr>
          <w:rFonts w:hint="cs"/>
          <w:sz w:val="23"/>
          <w:szCs w:val="23"/>
          <w:rtl/>
        </w:rPr>
        <w:lastRenderedPageBreak/>
        <w:t>دلالت بر آن دارد که به غیر از مبدا مختصات منحنی پس‌انداز و استهلاک مؤثر همدیگر را فقط در یک نقطه قطع کنند.</w:t>
      </w:r>
    </w:p>
    <w:p w14:paraId="5DF3574C" w14:textId="77777777" w:rsidR="00411620" w:rsidRPr="00A62FF4" w:rsidRDefault="00411620" w:rsidP="00411620">
      <w:pPr>
        <w:spacing w:line="216" w:lineRule="auto"/>
        <w:rPr>
          <w:sz w:val="23"/>
          <w:szCs w:val="23"/>
        </w:rPr>
      </w:pPr>
      <w:r w:rsidRPr="00A62FF4">
        <w:rPr>
          <w:rFonts w:hint="cs"/>
          <w:sz w:val="23"/>
          <w:szCs w:val="23"/>
          <w:rtl/>
        </w:rPr>
        <w:t>اکنون سوال این است که بالاترین مقدار موجودی سرمایه</w:t>
      </w:r>
      <w:r w:rsidRPr="00A62FF4">
        <w:rPr>
          <w:sz w:val="23"/>
          <w:szCs w:val="23"/>
          <w:rtl/>
        </w:rPr>
        <w:softHyphen/>
      </w:r>
      <w:r w:rsidRPr="00A62FF4">
        <w:rPr>
          <w:rFonts w:hint="cs"/>
          <w:sz w:val="23"/>
          <w:szCs w:val="23"/>
          <w:rtl/>
        </w:rPr>
        <w:t>ی پایدار در اقتصاد چقدر است؟ جهت بدست آوردن موجودی سرمایه</w:t>
      </w:r>
      <w:r w:rsidRPr="00A62FF4">
        <w:rPr>
          <w:sz w:val="23"/>
          <w:szCs w:val="23"/>
          <w:rtl/>
        </w:rPr>
        <w:softHyphen/>
      </w:r>
      <w:r w:rsidRPr="00A62FF4">
        <w:rPr>
          <w:rFonts w:hint="cs"/>
          <w:sz w:val="23"/>
          <w:szCs w:val="23"/>
          <w:rtl/>
        </w:rPr>
        <w:t>ی سرانه‌ی پایدار از توابع تولید سرانه</w:t>
      </w:r>
      <w:r w:rsidRPr="00A62FF4">
        <w:rPr>
          <w:position w:val="-12"/>
        </w:rPr>
        <w:object w:dxaOrig="960" w:dyaOrig="360" w14:anchorId="48A924D6">
          <v:shape id="_x0000_i1578" type="#_x0000_t75" style="width:48.4pt;height:18.15pt" o:ole="">
            <v:imagedata r:id="rId1133" o:title=""/>
          </v:shape>
          <o:OLEObject Type="Embed" ProgID="Equation.DSMT4" ShapeID="_x0000_i1578" DrawAspect="Content" ObjectID="_1791375522" r:id="rId1134"/>
        </w:object>
      </w:r>
      <w:r w:rsidRPr="00A62FF4">
        <w:rPr>
          <w:rFonts w:eastAsiaTheme="minorEastAsia" w:hint="cs"/>
          <w:sz w:val="23"/>
          <w:szCs w:val="23"/>
          <w:rtl/>
        </w:rPr>
        <w:t>، س</w:t>
      </w:r>
      <w:r w:rsidRPr="00A62FF4">
        <w:rPr>
          <w:rFonts w:hint="cs"/>
          <w:sz w:val="23"/>
          <w:szCs w:val="23"/>
          <w:rtl/>
        </w:rPr>
        <w:t>رمایه</w:t>
      </w:r>
      <w:r w:rsidRPr="00A62FF4">
        <w:rPr>
          <w:rFonts w:hint="cs"/>
          <w:sz w:val="23"/>
          <w:szCs w:val="23"/>
          <w:rtl/>
        </w:rPr>
        <w:softHyphen/>
        <w:t>گذاری ناخالص سرانه یا پس</w:t>
      </w:r>
      <w:r w:rsidRPr="00A62FF4">
        <w:rPr>
          <w:rFonts w:hint="cs"/>
          <w:sz w:val="23"/>
          <w:szCs w:val="23"/>
          <w:rtl/>
        </w:rPr>
        <w:softHyphen/>
        <w:t>انداز سرانه</w:t>
      </w:r>
      <w:r w:rsidRPr="00A62FF4">
        <w:rPr>
          <w:position w:val="-12"/>
        </w:rPr>
        <w:object w:dxaOrig="1120" w:dyaOrig="360" w14:anchorId="1BF701D5">
          <v:shape id="_x0000_i1579" type="#_x0000_t75" style="width:56.25pt;height:18.15pt" o:ole="">
            <v:imagedata r:id="rId1135" o:title=""/>
          </v:shape>
          <o:OLEObject Type="Embed" ProgID="Equation.DSMT4" ShapeID="_x0000_i1579" DrawAspect="Content" ObjectID="_1791375523" r:id="rId1136"/>
        </w:object>
      </w:r>
      <w:r w:rsidRPr="00A62FF4">
        <w:rPr>
          <w:rFonts w:hint="cs"/>
          <w:sz w:val="23"/>
          <w:szCs w:val="23"/>
          <w:rtl/>
        </w:rPr>
        <w:t>، و استهلاک مؤثر سرانه</w:t>
      </w:r>
      <w:r w:rsidRPr="00A62FF4">
        <w:rPr>
          <w:position w:val="-12"/>
        </w:rPr>
        <w:object w:dxaOrig="859" w:dyaOrig="360" w14:anchorId="6E0E04EB">
          <v:shape id="_x0000_i1580" type="#_x0000_t75" style="width:42.95pt;height:18.15pt" o:ole="">
            <v:imagedata r:id="rId1137" o:title=""/>
          </v:shape>
          <o:OLEObject Type="Embed" ProgID="Equation.DSMT4" ShapeID="_x0000_i1580" DrawAspect="Content" ObjectID="_1791375524" r:id="rId1138"/>
        </w:object>
      </w:r>
      <w:r w:rsidRPr="00A62FF4">
        <w:rPr>
          <w:rFonts w:hint="cs"/>
          <w:sz w:val="23"/>
          <w:szCs w:val="23"/>
          <w:rtl/>
        </w:rPr>
        <w:t xml:space="preserve"> استفاده خواهیم کرد. همان</w:t>
      </w:r>
      <w:r w:rsidRPr="00A62FF4">
        <w:rPr>
          <w:sz w:val="23"/>
          <w:szCs w:val="23"/>
          <w:rtl/>
        </w:rPr>
        <w:softHyphen/>
      </w:r>
      <w:r w:rsidRPr="00A62FF4">
        <w:rPr>
          <w:rFonts w:hint="cs"/>
          <w:sz w:val="23"/>
          <w:szCs w:val="23"/>
          <w:rtl/>
        </w:rPr>
        <w:t>طور که در نمودار فوق ملاحظه می</w:t>
      </w:r>
      <w:r w:rsidRPr="00A62FF4">
        <w:rPr>
          <w:sz w:val="23"/>
          <w:szCs w:val="23"/>
          <w:rtl/>
        </w:rPr>
        <w:softHyphen/>
      </w:r>
      <w:r w:rsidRPr="00A62FF4">
        <w:rPr>
          <w:rFonts w:hint="cs"/>
          <w:sz w:val="23"/>
          <w:szCs w:val="23"/>
          <w:rtl/>
        </w:rPr>
        <w:t>شود چنانچه</w:t>
      </w:r>
      <w:r w:rsidRPr="00A62FF4">
        <w:rPr>
          <w:position w:val="-6"/>
        </w:rPr>
        <w:object w:dxaOrig="600" w:dyaOrig="300" w14:anchorId="2ADFA295">
          <v:shape id="_x0000_i1581" type="#_x0000_t75" style="width:29.65pt;height:15.15pt" o:ole="">
            <v:imagedata r:id="rId1139" o:title=""/>
          </v:shape>
          <o:OLEObject Type="Embed" ProgID="Equation.DSMT4" ShapeID="_x0000_i1581" DrawAspect="Content" ObjectID="_1791375525" r:id="rId1140"/>
        </w:object>
      </w:r>
      <w:r w:rsidRPr="00A62FF4">
        <w:rPr>
          <w:rFonts w:hint="cs"/>
          <w:sz w:val="23"/>
          <w:szCs w:val="23"/>
          <w:rtl/>
        </w:rPr>
        <w:t xml:space="preserve"> باشد، آنگاه</w:t>
      </w:r>
      <w:r w:rsidRPr="00A62FF4">
        <w:rPr>
          <w:position w:val="-8"/>
        </w:rPr>
        <w:object w:dxaOrig="1480" w:dyaOrig="279" w14:anchorId="606D07AB">
          <v:shape id="_x0000_i1582" type="#_x0000_t75" style="width:73.8pt;height:13.9pt" o:ole="">
            <v:imagedata r:id="rId1141" o:title=""/>
          </v:shape>
          <o:OLEObject Type="Embed" ProgID="Equation.DSMT4" ShapeID="_x0000_i1582" DrawAspect="Content" ObjectID="_1791375526" r:id="rId1142"/>
        </w:object>
      </w:r>
      <w:r w:rsidRPr="00A62FF4">
        <w:rPr>
          <w:rFonts w:eastAsiaTheme="minorEastAsia" w:hint="cs"/>
          <w:sz w:val="23"/>
          <w:szCs w:val="23"/>
          <w:rtl/>
        </w:rPr>
        <w:t>خواهد بود و از رابطه</w:t>
      </w:r>
      <w:r w:rsidRPr="00A62FF4">
        <w:rPr>
          <w:rFonts w:eastAsiaTheme="minorEastAsia"/>
          <w:sz w:val="23"/>
          <w:szCs w:val="23"/>
          <w:rtl/>
        </w:rPr>
        <w:softHyphen/>
      </w:r>
      <w:r w:rsidRPr="00A62FF4">
        <w:rPr>
          <w:rFonts w:eastAsiaTheme="minorEastAsia" w:hint="cs"/>
          <w:sz w:val="23"/>
          <w:szCs w:val="23"/>
          <w:rtl/>
        </w:rPr>
        <w:t xml:space="preserve">ی (۳. ۳) رشد موجودی سرمایه یعنی </w:t>
      </w:r>
      <w:r w:rsidRPr="00A62FF4">
        <w:rPr>
          <w:position w:val="-6"/>
        </w:rPr>
        <w:object w:dxaOrig="540" w:dyaOrig="300" w14:anchorId="51CC0748">
          <v:shape id="_x0000_i1583" type="#_x0000_t75" style="width:27.25pt;height:15.15pt" o:ole="">
            <v:imagedata r:id="rId1143" o:title=""/>
          </v:shape>
          <o:OLEObject Type="Embed" ProgID="Equation.DSMT4" ShapeID="_x0000_i1583" DrawAspect="Content" ObjectID="_1791375527" r:id="rId1144"/>
        </w:object>
      </w:r>
      <w:r w:rsidRPr="00A62FF4">
        <w:rPr>
          <w:rFonts w:hint="cs"/>
          <w:sz w:val="23"/>
          <w:szCs w:val="23"/>
          <w:rtl/>
        </w:rPr>
        <w:t>می</w:t>
      </w:r>
      <w:r w:rsidRPr="00A62FF4">
        <w:rPr>
          <w:sz w:val="23"/>
          <w:szCs w:val="23"/>
          <w:rtl/>
        </w:rPr>
        <w:softHyphen/>
      </w:r>
      <w:r w:rsidRPr="00A62FF4">
        <w:rPr>
          <w:rFonts w:hint="cs"/>
          <w:sz w:val="23"/>
          <w:szCs w:val="23"/>
          <w:rtl/>
        </w:rPr>
        <w:t>شود. در این</w:t>
      </w:r>
      <w:r w:rsidRPr="00A62FF4">
        <w:rPr>
          <w:sz w:val="23"/>
          <w:szCs w:val="23"/>
          <w:rtl/>
        </w:rPr>
        <w:softHyphen/>
      </w:r>
      <w:r w:rsidRPr="00A62FF4">
        <w:rPr>
          <w:rFonts w:hint="cs"/>
          <w:sz w:val="23"/>
          <w:szCs w:val="23"/>
          <w:rtl/>
        </w:rPr>
        <w:t>حالت موجودی سرمایه</w:t>
      </w:r>
      <w:r w:rsidRPr="00A62FF4">
        <w:rPr>
          <w:sz w:val="23"/>
          <w:szCs w:val="23"/>
          <w:rtl/>
        </w:rPr>
        <w:softHyphen/>
      </w:r>
      <w:r w:rsidRPr="00A62FF4">
        <w:rPr>
          <w:rFonts w:hint="cs"/>
          <w:sz w:val="23"/>
          <w:szCs w:val="23"/>
          <w:rtl/>
        </w:rPr>
        <w:t>ی سرانه مرتباً افزایش می</w:t>
      </w:r>
      <w:r w:rsidRPr="00A62FF4">
        <w:rPr>
          <w:sz w:val="23"/>
          <w:szCs w:val="23"/>
          <w:rtl/>
        </w:rPr>
        <w:softHyphen/>
      </w:r>
      <w:r w:rsidRPr="00A62FF4">
        <w:rPr>
          <w:rFonts w:hint="cs"/>
          <w:sz w:val="23"/>
          <w:szCs w:val="23"/>
          <w:rtl/>
        </w:rPr>
        <w:t>یابد. به همین ترتیب اگر</w:t>
      </w:r>
      <w:r w:rsidRPr="00A62FF4">
        <w:rPr>
          <w:position w:val="-6"/>
        </w:rPr>
        <w:object w:dxaOrig="600" w:dyaOrig="300" w14:anchorId="1B403F08">
          <v:shape id="_x0000_i1584" type="#_x0000_t75" style="width:29.65pt;height:15.15pt" o:ole="">
            <v:imagedata r:id="rId1145" o:title=""/>
          </v:shape>
          <o:OLEObject Type="Embed" ProgID="Equation.DSMT4" ShapeID="_x0000_i1584" DrawAspect="Content" ObjectID="_1791375528" r:id="rId1146"/>
        </w:object>
      </w:r>
      <w:r w:rsidRPr="00A62FF4">
        <w:rPr>
          <w:rFonts w:hint="cs"/>
          <w:sz w:val="23"/>
          <w:szCs w:val="23"/>
          <w:rtl/>
        </w:rPr>
        <w:t xml:space="preserve"> باشد، آنگاه</w:t>
      </w:r>
      <w:r w:rsidRPr="00A62FF4">
        <w:rPr>
          <w:position w:val="-12"/>
        </w:rPr>
        <w:object w:dxaOrig="1600" w:dyaOrig="360" w14:anchorId="0ABEE2A3">
          <v:shape id="_x0000_i1585" type="#_x0000_t75" style="width:80.45pt;height:18.15pt" o:ole="">
            <v:imagedata r:id="rId1147" o:title=""/>
          </v:shape>
          <o:OLEObject Type="Embed" ProgID="Equation.DSMT4" ShapeID="_x0000_i1585" DrawAspect="Content" ObjectID="_1791375529" r:id="rId1148"/>
        </w:object>
      </w:r>
      <w:r w:rsidRPr="00A62FF4">
        <w:rPr>
          <w:rFonts w:eastAsiaTheme="minorEastAsia" w:hint="cs"/>
          <w:sz w:val="23"/>
          <w:szCs w:val="23"/>
          <w:rtl/>
        </w:rPr>
        <w:t xml:space="preserve"> خواهد بود و </w:t>
      </w:r>
      <w:r w:rsidRPr="00A62FF4">
        <w:rPr>
          <w:position w:val="-6"/>
        </w:rPr>
        <w:object w:dxaOrig="540" w:dyaOrig="300" w14:anchorId="58093AB0">
          <v:shape id="_x0000_i1586" type="#_x0000_t75" style="width:27.25pt;height:15.15pt" o:ole="">
            <v:imagedata r:id="rId1149" o:title=""/>
          </v:shape>
          <o:OLEObject Type="Embed" ProgID="Equation.DSMT4" ShapeID="_x0000_i1586" DrawAspect="Content" ObjectID="_1791375530" r:id="rId1150"/>
        </w:object>
      </w:r>
      <w:r w:rsidRPr="00A62FF4">
        <w:rPr>
          <w:rFonts w:hint="cs"/>
          <w:sz w:val="23"/>
          <w:szCs w:val="23"/>
          <w:rtl/>
        </w:rPr>
        <w:t xml:space="preserve"> خواهد شد. یعنی موجودی سرمایه</w:t>
      </w:r>
      <w:r w:rsidRPr="00A62FF4">
        <w:rPr>
          <w:sz w:val="23"/>
          <w:szCs w:val="23"/>
          <w:rtl/>
        </w:rPr>
        <w:softHyphen/>
      </w:r>
      <w:r w:rsidRPr="00A62FF4">
        <w:rPr>
          <w:rFonts w:hint="cs"/>
          <w:sz w:val="23"/>
          <w:szCs w:val="23"/>
          <w:rtl/>
        </w:rPr>
        <w:t>ی سرانه مرتباً کاهش می</w:t>
      </w:r>
      <w:r w:rsidRPr="00A62FF4">
        <w:rPr>
          <w:sz w:val="23"/>
          <w:szCs w:val="23"/>
          <w:rtl/>
        </w:rPr>
        <w:softHyphen/>
      </w:r>
      <w:r w:rsidRPr="00A62FF4">
        <w:rPr>
          <w:rFonts w:hint="cs"/>
          <w:sz w:val="23"/>
          <w:szCs w:val="23"/>
          <w:rtl/>
        </w:rPr>
        <w:t>یابد. بنابراین در الگوی رشد سولو-سوان، مقدار تعادلی موجودی سرمایه</w:t>
      </w:r>
      <w:r w:rsidRPr="00A62FF4">
        <w:rPr>
          <w:sz w:val="23"/>
          <w:szCs w:val="23"/>
          <w:rtl/>
        </w:rPr>
        <w:softHyphen/>
      </w:r>
      <w:r w:rsidRPr="00A62FF4">
        <w:rPr>
          <w:rFonts w:hint="cs"/>
          <w:sz w:val="23"/>
          <w:szCs w:val="23"/>
          <w:rtl/>
        </w:rPr>
        <w:t>ی سرانه در وضعیت یکنواخت همان</w:t>
      </w:r>
      <w:r w:rsidRPr="00A62FF4">
        <w:rPr>
          <w:position w:val="-6"/>
        </w:rPr>
        <w:object w:dxaOrig="260" w:dyaOrig="300" w14:anchorId="751D69F8">
          <v:shape id="_x0000_i1587" type="#_x0000_t75" style="width:12.7pt;height:15.15pt" o:ole="">
            <v:imagedata r:id="rId1151" o:title=""/>
          </v:shape>
          <o:OLEObject Type="Embed" ProgID="Equation.DSMT4" ShapeID="_x0000_i1587" DrawAspect="Content" ObjectID="_1791375531" r:id="rId1152"/>
        </w:object>
      </w:r>
      <w:r w:rsidRPr="00A62FF4">
        <w:rPr>
          <w:rFonts w:hint="cs"/>
          <w:sz w:val="23"/>
          <w:szCs w:val="23"/>
          <w:rtl/>
        </w:rPr>
        <w:t xml:space="preserve"> است که درآن </w:t>
      </w:r>
      <w:r w:rsidRPr="00A62FF4">
        <w:rPr>
          <w:position w:val="-6"/>
        </w:rPr>
        <w:object w:dxaOrig="540" w:dyaOrig="300" w14:anchorId="04774EDA">
          <v:shape id="_x0000_i1588" type="#_x0000_t75" style="width:27.25pt;height:15.15pt" o:ole="">
            <v:imagedata r:id="rId1153" o:title=""/>
          </v:shape>
          <o:OLEObject Type="Embed" ProgID="Equation.DSMT4" ShapeID="_x0000_i1588" DrawAspect="Content" ObjectID="_1791375532" r:id="rId1154"/>
        </w:object>
      </w:r>
      <w:r w:rsidRPr="00A62FF4">
        <w:rPr>
          <w:rFonts w:hint="cs"/>
          <w:sz w:val="23"/>
          <w:szCs w:val="23"/>
          <w:rtl/>
        </w:rPr>
        <w:t xml:space="preserve"> و یا</w:t>
      </w:r>
      <w:r w:rsidRPr="00A62FF4">
        <w:rPr>
          <w:position w:val="-6"/>
        </w:rPr>
        <w:object w:dxaOrig="200" w:dyaOrig="260" w14:anchorId="7018A921">
          <v:shape id="_x0000_i1589" type="#_x0000_t75" style="width:10.3pt;height:12.7pt" o:ole="">
            <v:imagedata r:id="rId1155" o:title=""/>
          </v:shape>
          <o:OLEObject Type="Embed" ProgID="Equation.DSMT4" ShapeID="_x0000_i1589" DrawAspect="Content" ObjectID="_1791375533" r:id="rId1156"/>
        </w:object>
      </w:r>
      <w:r w:rsidRPr="00A62FF4">
        <w:rPr>
          <w:sz w:val="23"/>
          <w:szCs w:val="23"/>
        </w:rPr>
        <w:t xml:space="preserve"> </w:t>
      </w:r>
      <w:r w:rsidRPr="00A62FF4">
        <w:rPr>
          <w:rFonts w:hint="cs"/>
          <w:sz w:val="23"/>
          <w:szCs w:val="23"/>
          <w:rtl/>
        </w:rPr>
        <w:t>ثابت است و لذا رشد آن برابر است با صفر. در این نقطه</w:t>
      </w:r>
      <w:r w:rsidRPr="00A62FF4">
        <w:rPr>
          <w:position w:val="-12"/>
        </w:rPr>
        <w:object w:dxaOrig="1660" w:dyaOrig="360" w14:anchorId="7D1D5012">
          <v:shape id="_x0000_i1590" type="#_x0000_t75" style="width:82.9pt;height:18.15pt" o:ole="">
            <v:imagedata r:id="rId1157" o:title=""/>
          </v:shape>
          <o:OLEObject Type="Embed" ProgID="Equation.DSMT4" ShapeID="_x0000_i1590" DrawAspect="Content" ObjectID="_1791375534" r:id="rId1158"/>
        </w:object>
      </w:r>
      <w:r w:rsidRPr="00A62FF4">
        <w:rPr>
          <w:rFonts w:hint="cs"/>
          <w:sz w:val="23"/>
          <w:szCs w:val="23"/>
          <w:rtl/>
        </w:rPr>
        <w:t xml:space="preserve">خواهد شد. </w:t>
      </w:r>
    </w:p>
    <w:p w14:paraId="5B68E3E9" w14:textId="77777777" w:rsidR="00411620" w:rsidRPr="00A62FF4" w:rsidRDefault="00411620" w:rsidP="00411620">
      <w:pPr>
        <w:spacing w:line="216" w:lineRule="auto"/>
        <w:rPr>
          <w:sz w:val="23"/>
          <w:szCs w:val="23"/>
          <w:rtl/>
        </w:rPr>
      </w:pPr>
      <w:r w:rsidRPr="00A62FF4">
        <w:rPr>
          <w:rFonts w:hint="cs"/>
          <w:sz w:val="23"/>
          <w:szCs w:val="23"/>
          <w:rtl/>
        </w:rPr>
        <w:t xml:space="preserve">از آنجا که داریم </w:t>
      </w:r>
      <w:r w:rsidRPr="00A62FF4">
        <w:rPr>
          <w:position w:val="-8"/>
        </w:rPr>
        <w:object w:dxaOrig="980" w:dyaOrig="320" w14:anchorId="6895B0C2">
          <v:shape id="_x0000_i1591" type="#_x0000_t75" style="width:49pt;height:15.75pt" o:ole="">
            <v:imagedata r:id="rId1159" o:title=""/>
          </v:shape>
          <o:OLEObject Type="Embed" ProgID="Equation.DSMT4" ShapeID="_x0000_i1591" DrawAspect="Content" ObjectID="_1791375535" r:id="rId1160"/>
        </w:object>
      </w:r>
      <w:r w:rsidRPr="00A62FF4">
        <w:rPr>
          <w:rFonts w:hint="cs"/>
          <w:sz w:val="23"/>
          <w:szCs w:val="23"/>
          <w:rtl/>
        </w:rPr>
        <w:t xml:space="preserve"> و </w:t>
      </w:r>
      <w:r w:rsidRPr="00A62FF4">
        <w:rPr>
          <w:position w:val="-12"/>
        </w:rPr>
        <w:object w:dxaOrig="1500" w:dyaOrig="360" w14:anchorId="51AAE3CF">
          <v:shape id="_x0000_i1592" type="#_x0000_t75" style="width:75.05pt;height:18.15pt" o:ole="">
            <v:imagedata r:id="rId1161" o:title=""/>
          </v:shape>
          <o:OLEObject Type="Embed" ProgID="Equation.DSMT4" ShapeID="_x0000_i1592" DrawAspect="Content" ObjectID="_1791375536" r:id="rId1162"/>
        </w:object>
      </w:r>
      <w:r w:rsidRPr="00A62FF4">
        <w:rPr>
          <w:rFonts w:hint="cs"/>
          <w:sz w:val="23"/>
          <w:szCs w:val="23"/>
          <w:rtl/>
        </w:rPr>
        <w:t>، و همچنین در وضعیت تعادلی موجودی سرمایه</w:t>
      </w:r>
      <w:r w:rsidRPr="00A62FF4">
        <w:rPr>
          <w:sz w:val="23"/>
          <w:szCs w:val="23"/>
          <w:rtl/>
        </w:rPr>
        <w:softHyphen/>
      </w:r>
      <w:r w:rsidRPr="00A62FF4">
        <w:rPr>
          <w:rFonts w:hint="cs"/>
          <w:sz w:val="23"/>
          <w:szCs w:val="23"/>
          <w:rtl/>
        </w:rPr>
        <w:t>ی سرانه ثابت است، لذا تولید سرانه و مصرف سرانه نیز در بلندمدت بدون تغییر باقی خواهند ماند. همچنین از آن</w:t>
      </w:r>
      <w:r w:rsidRPr="00A62FF4">
        <w:rPr>
          <w:sz w:val="23"/>
          <w:szCs w:val="23"/>
          <w:rtl/>
        </w:rPr>
        <w:softHyphen/>
      </w:r>
      <w:r w:rsidRPr="00A62FF4">
        <w:rPr>
          <w:rFonts w:hint="cs"/>
          <w:sz w:val="23"/>
          <w:szCs w:val="23"/>
          <w:rtl/>
        </w:rPr>
        <w:t>جا که</w:t>
      </w:r>
    </w:p>
    <w:p w14:paraId="61FC51A9" w14:textId="77777777" w:rsidR="00411620" w:rsidRPr="00A62FF4" w:rsidRDefault="00411620" w:rsidP="00411620">
      <w:pPr>
        <w:bidi w:val="0"/>
        <w:spacing w:line="216" w:lineRule="auto"/>
        <w:rPr>
          <w:sz w:val="23"/>
          <w:szCs w:val="23"/>
          <w:rtl/>
        </w:rPr>
      </w:pPr>
      <w:r w:rsidRPr="00A62FF4">
        <w:rPr>
          <w:position w:val="-10"/>
        </w:rPr>
        <w:object w:dxaOrig="3200" w:dyaOrig="320" w14:anchorId="23F2542B">
          <v:shape id="_x0000_i1593" type="#_x0000_t75" style="width:159.75pt;height:15.75pt" o:ole="">
            <v:imagedata r:id="rId1163" o:title=""/>
          </v:shape>
          <o:OLEObject Type="Embed" ProgID="Equation.DSMT4" ShapeID="_x0000_i1593" DrawAspect="Content" ObjectID="_1791375537" r:id="rId1164"/>
        </w:object>
      </w:r>
    </w:p>
    <w:p w14:paraId="27D5AF71" w14:textId="77777777" w:rsidR="00411620" w:rsidRPr="00A62FF4" w:rsidRDefault="00411620" w:rsidP="00411620">
      <w:pPr>
        <w:spacing w:line="216" w:lineRule="auto"/>
        <w:rPr>
          <w:sz w:val="23"/>
          <w:szCs w:val="23"/>
        </w:rPr>
      </w:pPr>
      <w:r w:rsidRPr="00A62FF4">
        <w:rPr>
          <w:rFonts w:hint="cs"/>
          <w:sz w:val="23"/>
          <w:szCs w:val="23"/>
          <w:rtl/>
        </w:rPr>
        <w:t>و در حالت کلی داریم</w:t>
      </w:r>
    </w:p>
    <w:p w14:paraId="4BB83CDE" w14:textId="77777777" w:rsidR="00411620" w:rsidRPr="00A62FF4" w:rsidRDefault="00411620" w:rsidP="00411620">
      <w:pPr>
        <w:bidi w:val="0"/>
        <w:spacing w:line="216" w:lineRule="auto"/>
        <w:rPr>
          <w:sz w:val="23"/>
          <w:szCs w:val="23"/>
        </w:rPr>
      </w:pPr>
      <w:r w:rsidRPr="00A62FF4">
        <w:rPr>
          <w:rFonts w:hint="cs"/>
          <w:sz w:val="23"/>
          <w:szCs w:val="23"/>
          <w:rtl/>
        </w:rPr>
        <w:t xml:space="preserve"> </w:t>
      </w:r>
      <w:r w:rsidRPr="00A62FF4">
        <w:rPr>
          <w:position w:val="-22"/>
        </w:rPr>
        <w:object w:dxaOrig="3760" w:dyaOrig="560" w14:anchorId="2293B28A">
          <v:shape id="_x0000_i1594" type="#_x0000_t75" style="width:188.15pt;height:27.85pt" o:ole="">
            <v:imagedata r:id="rId1165" o:title=""/>
          </v:shape>
          <o:OLEObject Type="Embed" ProgID="Equation.DSMT4" ShapeID="_x0000_i1594" DrawAspect="Content" ObjectID="_1791375538" r:id="rId1166"/>
        </w:object>
      </w:r>
    </w:p>
    <w:p w14:paraId="7604010A" w14:textId="77777777" w:rsidR="00411620" w:rsidRPr="00A62FF4" w:rsidRDefault="00411620" w:rsidP="00411620">
      <w:pPr>
        <w:spacing w:line="216" w:lineRule="auto"/>
        <w:rPr>
          <w:sz w:val="23"/>
          <w:szCs w:val="23"/>
          <w:rtl/>
        </w:rPr>
      </w:pPr>
      <w:r w:rsidRPr="00A62FF4">
        <w:rPr>
          <w:rFonts w:hint="cs"/>
          <w:sz w:val="23"/>
          <w:szCs w:val="23"/>
          <w:rtl/>
        </w:rPr>
        <w:t>لذا</w:t>
      </w:r>
      <w:r w:rsidRPr="00A62FF4">
        <w:rPr>
          <w:sz w:val="23"/>
          <w:szCs w:val="23"/>
        </w:rPr>
        <w:t xml:space="preserve"> </w:t>
      </w:r>
      <w:r w:rsidRPr="00A62FF4">
        <w:rPr>
          <w:rFonts w:hint="cs"/>
          <w:sz w:val="23"/>
          <w:szCs w:val="23"/>
          <w:rtl/>
        </w:rPr>
        <w:t>در بلندمدت و یا در وضعیت یکنواخت</w:t>
      </w:r>
      <w:r w:rsidRPr="00025957">
        <w:rPr>
          <w:position w:val="-4"/>
        </w:rPr>
        <w:object w:dxaOrig="260" w:dyaOrig="240" w14:anchorId="17352576">
          <v:shape id="_x0000_i1595" type="#_x0000_t75" style="width:12.7pt;height:11.5pt" o:ole="">
            <v:imagedata r:id="rId1167" o:title=""/>
          </v:shape>
          <o:OLEObject Type="Embed" ProgID="Equation.DSMT4" ShapeID="_x0000_i1595" DrawAspect="Content" ObjectID="_1791375539" r:id="rId1168"/>
        </w:object>
      </w:r>
      <w:r w:rsidRPr="00A62FF4">
        <w:rPr>
          <w:rFonts w:hint="cs"/>
          <w:sz w:val="23"/>
          <w:szCs w:val="23"/>
          <w:rtl/>
        </w:rPr>
        <w:t>،</w:t>
      </w:r>
      <w:r w:rsidRPr="00025957">
        <w:rPr>
          <w:position w:val="-4"/>
        </w:rPr>
        <w:object w:dxaOrig="240" w:dyaOrig="240" w14:anchorId="6CEAE4B9">
          <v:shape id="_x0000_i1596" type="#_x0000_t75" style="width:11.5pt;height:11.5pt" o:ole="">
            <v:imagedata r:id="rId1169" o:title=""/>
          </v:shape>
          <o:OLEObject Type="Embed" ProgID="Equation.DSMT4" ShapeID="_x0000_i1596" DrawAspect="Content" ObjectID="_1791375540" r:id="rId1170"/>
        </w:object>
      </w:r>
      <w:r w:rsidRPr="00A62FF4">
        <w:rPr>
          <w:sz w:val="23"/>
          <w:szCs w:val="23"/>
        </w:rPr>
        <w:t xml:space="preserve"> </w:t>
      </w:r>
      <w:r w:rsidRPr="00A62FF4">
        <w:rPr>
          <w:rFonts w:hint="cs"/>
          <w:sz w:val="23"/>
          <w:szCs w:val="23"/>
          <w:rtl/>
        </w:rPr>
        <w:t>و</w:t>
      </w:r>
      <w:r w:rsidRPr="00A62FF4">
        <w:rPr>
          <w:position w:val="-6"/>
        </w:rPr>
        <w:object w:dxaOrig="220" w:dyaOrig="260" w14:anchorId="0A558AA4">
          <v:shape id="_x0000_i1597" type="#_x0000_t75" style="width:10.9pt;height:12.7pt" o:ole="">
            <v:imagedata r:id="rId1171" o:title=""/>
          </v:shape>
          <o:OLEObject Type="Embed" ProgID="Equation.DSMT4" ShapeID="_x0000_i1597" DrawAspect="Content" ObjectID="_1791375541" r:id="rId1172"/>
        </w:object>
      </w:r>
      <w:r w:rsidRPr="00A62FF4">
        <w:rPr>
          <w:rFonts w:hint="cs"/>
          <w:sz w:val="23"/>
          <w:szCs w:val="23"/>
          <w:rtl/>
        </w:rPr>
        <w:t xml:space="preserve"> یعنی موجودی سرمایه، تولید و مصرف به اندازه‌ی نرخ رشد جمعیت یعنی</w:t>
      </w:r>
      <w:r w:rsidRPr="00A62FF4">
        <w:rPr>
          <w:position w:val="-6"/>
        </w:rPr>
        <w:object w:dxaOrig="200" w:dyaOrig="200" w14:anchorId="0EB46BC1">
          <v:shape id="_x0000_i1598" type="#_x0000_t75" style="width:10.3pt;height:10.3pt" o:ole="">
            <v:imagedata r:id="rId1173" o:title=""/>
          </v:shape>
          <o:OLEObject Type="Embed" ProgID="Equation.DSMT4" ShapeID="_x0000_i1598" DrawAspect="Content" ObjectID="_1791375542" r:id="rId1174"/>
        </w:object>
      </w:r>
      <w:r w:rsidRPr="00A62FF4">
        <w:rPr>
          <w:rFonts w:hint="cs"/>
          <w:sz w:val="23"/>
          <w:szCs w:val="23"/>
          <w:rtl/>
        </w:rPr>
        <w:t xml:space="preserve"> افزایش خواهند یافت. </w:t>
      </w:r>
    </w:p>
    <w:p w14:paraId="12A8C828" w14:textId="77777777" w:rsidR="00411620" w:rsidRPr="00A62FF4" w:rsidRDefault="00411620" w:rsidP="00411620">
      <w:pPr>
        <w:spacing w:line="216" w:lineRule="auto"/>
        <w:rPr>
          <w:sz w:val="23"/>
          <w:szCs w:val="23"/>
          <w:rtl/>
        </w:rPr>
      </w:pPr>
      <w:r w:rsidRPr="00A62FF4">
        <w:rPr>
          <w:rFonts w:hint="cs"/>
          <w:sz w:val="23"/>
          <w:szCs w:val="23"/>
          <w:rtl/>
        </w:rPr>
        <w:t>براحتی از رابطه‌ی (۳. ۳) و همچنین نمودار ۳. ۱ می‌توان نشان داد که اگر نرخ پس</w:t>
      </w:r>
      <w:r w:rsidRPr="00A62FF4">
        <w:rPr>
          <w:sz w:val="23"/>
          <w:szCs w:val="23"/>
          <w:rtl/>
        </w:rPr>
        <w:softHyphen/>
      </w:r>
      <w:r w:rsidRPr="00A62FF4">
        <w:rPr>
          <w:rFonts w:hint="cs"/>
          <w:sz w:val="23"/>
          <w:szCs w:val="23"/>
          <w:rtl/>
        </w:rPr>
        <w:t>انداز و یا تکنولوژی افزایش، و یا نرخ رشد جمعیت و نرخ استهلاک کاهش یابند، آنگاه موجودی سرمایه</w:t>
      </w:r>
      <w:r w:rsidRPr="00A62FF4">
        <w:rPr>
          <w:sz w:val="23"/>
          <w:szCs w:val="23"/>
          <w:rtl/>
        </w:rPr>
        <w:softHyphen/>
      </w:r>
      <w:r w:rsidRPr="00A62FF4">
        <w:rPr>
          <w:rFonts w:hint="cs"/>
          <w:sz w:val="23"/>
          <w:szCs w:val="23"/>
          <w:rtl/>
        </w:rPr>
        <w:t>ی سرانه در بلندمدت افزایش یافته، ولی در وضعیت یکنواخت، علیرغم افزایش موجودی سرمایه‌ی سرانه تغییرات آن مجدداً برابر با صفر خواهد بود. به عبارتی دیگر، افزایش و یا کاهش</w:t>
      </w:r>
      <w:r w:rsidRPr="00025957">
        <w:rPr>
          <w:position w:val="-4"/>
        </w:rPr>
        <w:object w:dxaOrig="240" w:dyaOrig="240" w14:anchorId="3A968B1A">
          <v:shape id="_x0000_i1599" type="#_x0000_t75" style="width:11.5pt;height:11.5pt" o:ole="">
            <v:imagedata r:id="rId1175" o:title=""/>
          </v:shape>
          <o:OLEObject Type="Embed" ProgID="Equation.DSMT4" ShapeID="_x0000_i1599" DrawAspect="Content" ObjectID="_1791375543" r:id="rId1176"/>
        </w:object>
      </w:r>
      <w:r w:rsidRPr="00A62FF4">
        <w:rPr>
          <w:rFonts w:hint="cs"/>
          <w:sz w:val="23"/>
          <w:szCs w:val="23"/>
          <w:rtl/>
        </w:rPr>
        <w:t>،</w:t>
      </w:r>
      <w:r w:rsidRPr="00A62FF4">
        <w:rPr>
          <w:position w:val="-6"/>
        </w:rPr>
        <w:object w:dxaOrig="160" w:dyaOrig="200" w14:anchorId="3C6342EE">
          <v:shape id="_x0000_i1600" type="#_x0000_t75" style="width:8.45pt;height:10.3pt" o:ole="">
            <v:imagedata r:id="rId1177" o:title=""/>
          </v:shape>
          <o:OLEObject Type="Embed" ProgID="Equation.DSMT4" ShapeID="_x0000_i1600" DrawAspect="Content" ObjectID="_1791375544" r:id="rId1178"/>
        </w:object>
      </w:r>
      <w:r w:rsidRPr="00A62FF4">
        <w:rPr>
          <w:rFonts w:hint="cs"/>
          <w:sz w:val="23"/>
          <w:szCs w:val="23"/>
          <w:rtl/>
        </w:rPr>
        <w:t>،</w:t>
      </w:r>
      <w:r w:rsidRPr="00A62FF4">
        <w:rPr>
          <w:position w:val="-6"/>
        </w:rPr>
        <w:object w:dxaOrig="200" w:dyaOrig="200" w14:anchorId="470B802C">
          <v:shape id="_x0000_i1601" type="#_x0000_t75" style="width:10.3pt;height:10.3pt" o:ole="">
            <v:imagedata r:id="rId1179" o:title=""/>
          </v:shape>
          <o:OLEObject Type="Embed" ProgID="Equation.DSMT4" ShapeID="_x0000_i1601" DrawAspect="Content" ObjectID="_1791375545" r:id="rId1180"/>
        </w:object>
      </w:r>
      <w:r w:rsidRPr="00A62FF4">
        <w:rPr>
          <w:rFonts w:hint="cs"/>
          <w:sz w:val="23"/>
          <w:szCs w:val="23"/>
          <w:rtl/>
        </w:rPr>
        <w:t xml:space="preserve"> و</w:t>
      </w:r>
      <w:r w:rsidRPr="00A62FF4">
        <w:rPr>
          <w:position w:val="-6"/>
        </w:rPr>
        <w:object w:dxaOrig="200" w:dyaOrig="260" w14:anchorId="1F40FE6A">
          <v:shape id="_x0000_i1602" type="#_x0000_t75" style="width:10.3pt;height:12.7pt" o:ole="">
            <v:imagedata r:id="rId1181" o:title=""/>
          </v:shape>
          <o:OLEObject Type="Embed" ProgID="Equation.DSMT4" ShapeID="_x0000_i1602" DrawAspect="Content" ObjectID="_1791375546" r:id="rId1182"/>
        </w:object>
      </w:r>
      <w:r w:rsidRPr="00A62FF4">
        <w:rPr>
          <w:rFonts w:hint="cs"/>
          <w:sz w:val="23"/>
          <w:szCs w:val="23"/>
          <w:rtl/>
        </w:rPr>
        <w:t xml:space="preserve"> بر تغییرات متغیرها در بلندمدت بی</w:t>
      </w:r>
      <w:r w:rsidRPr="00A62FF4">
        <w:rPr>
          <w:rFonts w:hint="cs"/>
          <w:sz w:val="23"/>
          <w:szCs w:val="23"/>
          <w:rtl/>
        </w:rPr>
        <w:softHyphen/>
        <w:t>تاثیر است ولی در کوتاه</w:t>
      </w:r>
      <w:r w:rsidRPr="00A62FF4">
        <w:rPr>
          <w:sz w:val="23"/>
          <w:szCs w:val="23"/>
          <w:rtl/>
        </w:rPr>
        <w:softHyphen/>
      </w:r>
      <w:r w:rsidRPr="00A62FF4">
        <w:rPr>
          <w:rFonts w:hint="cs"/>
          <w:sz w:val="23"/>
          <w:szCs w:val="23"/>
          <w:rtl/>
        </w:rPr>
        <w:t>مدت این</w:t>
      </w:r>
      <w:r w:rsidRPr="00A62FF4">
        <w:rPr>
          <w:sz w:val="23"/>
          <w:szCs w:val="23"/>
          <w:rtl/>
        </w:rPr>
        <w:softHyphen/>
      </w:r>
      <w:r w:rsidRPr="00A62FF4">
        <w:rPr>
          <w:rFonts w:hint="cs"/>
          <w:sz w:val="23"/>
          <w:szCs w:val="23"/>
          <w:rtl/>
        </w:rPr>
        <w:t>گونه نیست.</w:t>
      </w:r>
    </w:p>
    <w:p w14:paraId="7013732E" w14:textId="77777777" w:rsidR="00411620" w:rsidRPr="00A62FF4" w:rsidRDefault="00411620" w:rsidP="00411620">
      <w:pPr>
        <w:spacing w:line="216" w:lineRule="auto"/>
        <w:rPr>
          <w:sz w:val="23"/>
          <w:szCs w:val="23"/>
          <w:rtl/>
        </w:rPr>
      </w:pPr>
      <w:r w:rsidRPr="00A62FF4">
        <w:rPr>
          <w:rFonts w:hint="cs"/>
          <w:sz w:val="23"/>
          <w:szCs w:val="23"/>
          <w:rtl/>
        </w:rPr>
        <w:t>رابطه‌ی (۳. ۳) را می‌توان بر اساس نرخ رشد نیز بیان نمود. چنانچه طرفین این رابطه را بر</w:t>
      </w:r>
      <w:r w:rsidRPr="00A62FF4">
        <w:rPr>
          <w:position w:val="-6"/>
        </w:rPr>
        <w:object w:dxaOrig="200" w:dyaOrig="260" w14:anchorId="1B6CE79A">
          <v:shape id="_x0000_i1603" type="#_x0000_t75" style="width:10.3pt;height:12.7pt" o:ole="">
            <v:imagedata r:id="rId1183" o:title=""/>
          </v:shape>
          <o:OLEObject Type="Embed" ProgID="Equation.DSMT4" ShapeID="_x0000_i1603" DrawAspect="Content" ObjectID="_1791375547" r:id="rId1184"/>
        </w:object>
      </w:r>
      <w:r w:rsidRPr="00A62FF4">
        <w:rPr>
          <w:sz w:val="23"/>
          <w:szCs w:val="23"/>
        </w:rPr>
        <w:t xml:space="preserve"> </w:t>
      </w:r>
      <w:r w:rsidRPr="00A62FF4">
        <w:rPr>
          <w:rFonts w:hint="cs"/>
          <w:sz w:val="23"/>
          <w:szCs w:val="23"/>
          <w:rtl/>
        </w:rPr>
        <w:t>تقسیم کنیم خواهیم داشت</w:t>
      </w:r>
    </w:p>
    <w:p w14:paraId="3536A4F2" w14:textId="77777777" w:rsidR="00411620" w:rsidRPr="00A62FF4" w:rsidRDefault="00411620" w:rsidP="00411620">
      <w:pPr>
        <w:pStyle w:val="MTDisplayEquation"/>
        <w:tabs>
          <w:tab w:val="clear" w:pos="6660"/>
        </w:tabs>
        <w:spacing w:line="216" w:lineRule="auto"/>
        <w:rPr>
          <w:rFonts w:ascii="Times New Roman" w:hAnsi="Times New Roman" w:cs="B Nazanin"/>
          <w:sz w:val="23"/>
          <w:szCs w:val="23"/>
          <w:rtl/>
          <w:lang w:val="en-GB"/>
        </w:rPr>
      </w:pPr>
      <w:r w:rsidRPr="00A62FF4">
        <w:rPr>
          <w:position w:val="-22"/>
        </w:rPr>
        <w:object w:dxaOrig="2200" w:dyaOrig="600" w14:anchorId="3BFDB02C">
          <v:shape id="_x0000_i1604" type="#_x0000_t75" style="width:110.1pt;height:29.65pt" o:ole="">
            <v:imagedata r:id="rId1185" o:title=""/>
          </v:shape>
          <o:OLEObject Type="Embed" ProgID="Equation.DSMT4" ShapeID="_x0000_i1604" DrawAspect="Content" ObjectID="_1791375548" r:id="rId1186"/>
        </w:object>
      </w:r>
      <w:r w:rsidRPr="00025957">
        <w:rPr>
          <w:position w:val="-4"/>
        </w:rPr>
        <w:object w:dxaOrig="180" w:dyaOrig="260" w14:anchorId="0E5C6ECA">
          <v:shape id="_x0000_i1605" type="#_x0000_t75" style="width:9.1pt;height:12.7pt" o:ole="">
            <v:imagedata r:id="rId1079" o:title=""/>
          </v:shape>
          <o:OLEObject Type="Embed" ProgID="Equation.DSMT4" ShapeID="_x0000_i1605" DrawAspect="Content" ObjectID="_1791375549" r:id="rId1187"/>
        </w:object>
      </w:r>
      <w:r w:rsidRPr="00A62FF4">
        <w:rPr>
          <w:rFonts w:ascii="Times New Roman" w:hAnsi="Times New Roman" w:cs="B Nazanin"/>
          <w:sz w:val="23"/>
          <w:szCs w:val="23"/>
        </w:rPr>
        <w:tab/>
      </w:r>
      <w:r w:rsidRPr="00A62FF4">
        <w:rPr>
          <w:rFonts w:ascii="Times New Roman" w:hAnsi="Times New Roman" w:cs="B Nazanin"/>
          <w:sz w:val="23"/>
          <w:szCs w:val="23"/>
        </w:rPr>
        <w:tab/>
      </w:r>
      <w:r>
        <w:rPr>
          <w:rFonts w:ascii="Times New Roman" w:hAnsi="Times New Roman" w:cs="B Nazanin"/>
          <w:sz w:val="23"/>
          <w:szCs w:val="23"/>
          <w:rtl/>
        </w:rPr>
        <w:tab/>
      </w:r>
      <w:r>
        <w:rPr>
          <w:rFonts w:ascii="Times New Roman" w:hAnsi="Times New Roman" w:cs="B Nazanin"/>
          <w:sz w:val="23"/>
          <w:szCs w:val="23"/>
          <w:rtl/>
        </w:rPr>
        <w:tab/>
      </w:r>
      <w:r w:rsidRPr="00A62FF4">
        <w:rPr>
          <w:rFonts w:ascii="Times New Roman" w:hAnsi="Times New Roman" w:cs="B Nazanin"/>
          <w:sz w:val="23"/>
          <w:szCs w:val="23"/>
        </w:rPr>
        <w:tab/>
      </w:r>
      <w:r w:rsidRPr="00A62FF4">
        <w:rPr>
          <w:rFonts w:ascii="Times New Roman" w:hAnsi="Times New Roman" w:cs="B Nazanin"/>
          <w:sz w:val="23"/>
          <w:szCs w:val="23"/>
          <w:rtl/>
        </w:rPr>
        <w:tab/>
      </w:r>
      <w:r w:rsidRPr="00A62FF4">
        <w:rPr>
          <w:rFonts w:ascii="Times New Roman" w:hAnsi="Times New Roman" w:cs="B Nazanin"/>
          <w:sz w:val="23"/>
          <w:szCs w:val="23"/>
          <w:rtl/>
        </w:rPr>
        <w:tab/>
      </w:r>
      <w:r w:rsidRPr="00A62FF4">
        <w:rPr>
          <w:rFonts w:ascii="Times New Roman" w:hAnsi="Times New Roman" w:cs="B Nazanin"/>
          <w:sz w:val="23"/>
          <w:szCs w:val="23"/>
        </w:rPr>
        <w:tab/>
      </w:r>
      <w:r w:rsidRPr="00A62FF4">
        <w:rPr>
          <w:rFonts w:ascii="Times New Roman" w:hAnsi="Times New Roman" w:cs="B Nazanin"/>
          <w:sz w:val="23"/>
          <w:szCs w:val="23"/>
        </w:rPr>
        <w:tab/>
      </w:r>
      <w:r w:rsidRPr="00A62FF4">
        <w:rPr>
          <w:rFonts w:ascii="Times New Roman" w:hAnsi="Times New Roman" w:cs="B Nazanin"/>
          <w:sz w:val="23"/>
          <w:szCs w:val="23"/>
        </w:rPr>
        <w:tab/>
      </w:r>
      <w:r w:rsidRPr="00A62FF4">
        <w:rPr>
          <w:rFonts w:ascii="Times New Roman" w:hAnsi="Times New Roman" w:cs="B Nazanin"/>
          <w:sz w:val="23"/>
          <w:szCs w:val="23"/>
        </w:rPr>
        <w:tab/>
      </w:r>
      <w:r w:rsidRPr="00A62FF4">
        <w:rPr>
          <w:rFonts w:ascii="Times New Roman" w:hAnsi="Times New Roman" w:cs="B Nazanin"/>
          <w:sz w:val="23"/>
          <w:szCs w:val="23"/>
        </w:rPr>
        <w:tab/>
      </w:r>
      <w:r w:rsidRPr="00A62FF4">
        <w:rPr>
          <w:rFonts w:ascii="Times New Roman" w:hAnsi="Times New Roman" w:cs="B Nazanin" w:hint="cs"/>
          <w:sz w:val="23"/>
          <w:szCs w:val="23"/>
          <w:rtl/>
        </w:rPr>
        <w:t>(۳. ۴)</w:t>
      </w:r>
    </w:p>
    <w:p w14:paraId="0C62ADDC" w14:textId="77777777" w:rsidR="00411620" w:rsidRPr="00A62FF4" w:rsidRDefault="00411620" w:rsidP="00411620">
      <w:pPr>
        <w:tabs>
          <w:tab w:val="right" w:pos="6662"/>
        </w:tabs>
        <w:spacing w:line="216" w:lineRule="auto"/>
        <w:rPr>
          <w:sz w:val="23"/>
          <w:szCs w:val="23"/>
        </w:rPr>
      </w:pPr>
      <w:r w:rsidRPr="00A62FF4">
        <w:rPr>
          <w:rFonts w:hint="cs"/>
          <w:sz w:val="23"/>
          <w:szCs w:val="23"/>
          <w:rtl/>
        </w:rPr>
        <w:lastRenderedPageBreak/>
        <w:t>که در آن</w:t>
      </w:r>
      <w:r w:rsidRPr="00A62FF4">
        <w:rPr>
          <w:position w:val="-10"/>
        </w:rPr>
        <w:object w:dxaOrig="260" w:dyaOrig="320" w14:anchorId="0B12F6F4">
          <v:shape id="_x0000_i1606" type="#_x0000_t75" style="width:12.7pt;height:15.75pt" o:ole="">
            <v:imagedata r:id="rId1188" o:title=""/>
          </v:shape>
          <o:OLEObject Type="Embed" ProgID="Equation.DSMT4" ShapeID="_x0000_i1606" DrawAspect="Content" ObjectID="_1791375550" r:id="rId1189"/>
        </w:object>
      </w:r>
      <w:r w:rsidRPr="00A62FF4">
        <w:rPr>
          <w:sz w:val="23"/>
          <w:szCs w:val="23"/>
        </w:rPr>
        <w:t xml:space="preserve"> </w:t>
      </w:r>
      <w:r w:rsidRPr="00A62FF4">
        <w:rPr>
          <w:rFonts w:hint="cs"/>
          <w:sz w:val="23"/>
          <w:szCs w:val="23"/>
          <w:rtl/>
        </w:rPr>
        <w:t xml:space="preserve">نرخ رشد موجودی سرمایه‌ی سرانه است و در واقع فاصله‌ی عمودی منحنی پس‌انداز به ازاء موجودی سرمایه‌ی سرانه یعنی </w:t>
      </w:r>
      <w:r w:rsidRPr="00A62FF4">
        <w:rPr>
          <w:position w:val="-22"/>
        </w:rPr>
        <w:object w:dxaOrig="600" w:dyaOrig="560" w14:anchorId="7198B1A0">
          <v:shape id="_x0000_i1607" type="#_x0000_t75" style="width:29.65pt;height:27.85pt" o:ole="">
            <v:imagedata r:id="rId1190" o:title=""/>
          </v:shape>
          <o:OLEObject Type="Embed" ProgID="Equation.DSMT4" ShapeID="_x0000_i1607" DrawAspect="Content" ObjectID="_1791375551" r:id="rId1191"/>
        </w:object>
      </w:r>
      <w:r w:rsidRPr="00A62FF4">
        <w:rPr>
          <w:rFonts w:hint="cs"/>
          <w:sz w:val="23"/>
          <w:szCs w:val="23"/>
          <w:rtl/>
        </w:rPr>
        <w:t xml:space="preserve"> از خط استهلاک مؤثر یعنی</w:t>
      </w:r>
      <w:r w:rsidRPr="00A62FF4">
        <w:rPr>
          <w:position w:val="-12"/>
        </w:rPr>
        <w:object w:dxaOrig="680" w:dyaOrig="360" w14:anchorId="09E32FCE">
          <v:shape id="_x0000_i1608" type="#_x0000_t75" style="width:33.9pt;height:18.15pt" o:ole="">
            <v:imagedata r:id="rId1192" o:title=""/>
          </v:shape>
          <o:OLEObject Type="Embed" ProgID="Equation.DSMT4" ShapeID="_x0000_i1608" DrawAspect="Content" ObjectID="_1791375552" r:id="rId1193"/>
        </w:object>
      </w:r>
      <w:r w:rsidRPr="00A62FF4">
        <w:rPr>
          <w:rFonts w:hint="cs"/>
          <w:sz w:val="23"/>
          <w:szCs w:val="23"/>
          <w:rtl/>
        </w:rPr>
        <w:t xml:space="preserve"> می‌باشد. از آنجا که در بلندمدت </w:t>
      </w:r>
      <w:r w:rsidRPr="00A62FF4">
        <w:rPr>
          <w:position w:val="-6"/>
        </w:rPr>
        <w:object w:dxaOrig="540" w:dyaOrig="300" w14:anchorId="6BAD9BDE">
          <v:shape id="_x0000_i1609" type="#_x0000_t75" style="width:27.25pt;height:15.15pt" o:ole="">
            <v:imagedata r:id="rId1194" o:title=""/>
          </v:shape>
          <o:OLEObject Type="Embed" ProgID="Equation.DSMT4" ShapeID="_x0000_i1609" DrawAspect="Content" ObjectID="_1791375553" r:id="rId1195"/>
        </w:object>
      </w:r>
      <w:r w:rsidRPr="00A62FF4">
        <w:rPr>
          <w:rFonts w:hint="cs"/>
          <w:sz w:val="23"/>
          <w:szCs w:val="23"/>
          <w:rtl/>
        </w:rPr>
        <w:t xml:space="preserve"> است لذا</w:t>
      </w:r>
    </w:p>
    <w:p w14:paraId="40B49183" w14:textId="77777777" w:rsidR="00411620" w:rsidRPr="00A62FF4" w:rsidRDefault="00411620" w:rsidP="00411620">
      <w:pPr>
        <w:tabs>
          <w:tab w:val="right" w:pos="6662"/>
        </w:tabs>
        <w:bidi w:val="0"/>
        <w:spacing w:line="216" w:lineRule="auto"/>
        <w:rPr>
          <w:sz w:val="23"/>
          <w:szCs w:val="23"/>
          <w:rtl/>
        </w:rPr>
      </w:pPr>
      <w:r w:rsidRPr="00A62FF4">
        <w:rPr>
          <w:rFonts w:hint="cs"/>
          <w:sz w:val="23"/>
          <w:szCs w:val="23"/>
          <w:rtl/>
        </w:rPr>
        <w:t xml:space="preserve"> </w:t>
      </w:r>
      <w:r w:rsidRPr="00A62FF4">
        <w:rPr>
          <w:position w:val="-22"/>
        </w:rPr>
        <w:object w:dxaOrig="4599" w:dyaOrig="600" w14:anchorId="7E419007">
          <v:shape id="_x0000_i1610" type="#_x0000_t75" style="width:229.9pt;height:29.65pt" o:ole="">
            <v:imagedata r:id="rId1196" o:title=""/>
          </v:shape>
          <o:OLEObject Type="Embed" ProgID="Equation.DSMT4" ShapeID="_x0000_i1610" DrawAspect="Content" ObjectID="_1791375554" r:id="rId1197"/>
        </w:object>
      </w:r>
    </w:p>
    <w:p w14:paraId="6A3F1818" w14:textId="77777777" w:rsidR="00411620" w:rsidRPr="00A62FF4" w:rsidRDefault="00411620" w:rsidP="00411620">
      <w:pPr>
        <w:tabs>
          <w:tab w:val="right" w:pos="6662"/>
        </w:tabs>
        <w:spacing w:line="216" w:lineRule="auto"/>
        <w:rPr>
          <w:sz w:val="23"/>
          <w:szCs w:val="23"/>
        </w:rPr>
      </w:pPr>
      <w:r w:rsidRPr="00A62FF4">
        <w:rPr>
          <w:rFonts w:hint="cs"/>
          <w:sz w:val="23"/>
          <w:szCs w:val="23"/>
          <w:rtl/>
        </w:rPr>
        <w:t>در سمت چپ</w:t>
      </w:r>
      <w:r w:rsidRPr="00A62FF4">
        <w:rPr>
          <w:position w:val="-6"/>
        </w:rPr>
        <w:object w:dxaOrig="260" w:dyaOrig="300" w14:anchorId="343F4A77">
          <v:shape id="_x0000_i1611" type="#_x0000_t75" style="width:12.7pt;height:15.15pt" o:ole="">
            <v:imagedata r:id="rId1198" o:title=""/>
          </v:shape>
          <o:OLEObject Type="Embed" ProgID="Equation.DSMT4" ShapeID="_x0000_i1611" DrawAspect="Content" ObjectID="_1791375555" r:id="rId1199"/>
        </w:object>
      </w:r>
      <w:r w:rsidRPr="00A62FF4">
        <w:rPr>
          <w:sz w:val="23"/>
          <w:szCs w:val="23"/>
        </w:rPr>
        <w:t xml:space="preserve"> </w:t>
      </w:r>
      <w:r w:rsidRPr="00A62FF4">
        <w:rPr>
          <w:rFonts w:hint="cs"/>
          <w:sz w:val="23"/>
          <w:szCs w:val="23"/>
          <w:rtl/>
        </w:rPr>
        <w:t>یعنی</w:t>
      </w:r>
      <w:r w:rsidRPr="00A62FF4">
        <w:rPr>
          <w:position w:val="-6"/>
        </w:rPr>
        <w:object w:dxaOrig="600" w:dyaOrig="300" w14:anchorId="7B187CB0">
          <v:shape id="_x0000_i1612" type="#_x0000_t75" style="width:29.65pt;height:15.15pt" o:ole="">
            <v:imagedata r:id="rId1200" o:title=""/>
          </v:shape>
          <o:OLEObject Type="Embed" ProgID="Equation.DSMT4" ShapeID="_x0000_i1612" DrawAspect="Content" ObjectID="_1791375556" r:id="rId1201"/>
        </w:object>
      </w:r>
      <w:r w:rsidRPr="00A62FF4">
        <w:rPr>
          <w:sz w:val="23"/>
          <w:szCs w:val="23"/>
        </w:rPr>
        <w:t xml:space="preserve"> </w:t>
      </w:r>
      <w:r w:rsidRPr="00A62FF4">
        <w:rPr>
          <w:rFonts w:hint="cs"/>
          <w:sz w:val="23"/>
          <w:szCs w:val="23"/>
          <w:rtl/>
        </w:rPr>
        <w:t>بدلیل آن که</w:t>
      </w:r>
      <w:r w:rsidRPr="00A62FF4">
        <w:rPr>
          <w:position w:val="-6"/>
        </w:rPr>
        <w:object w:dxaOrig="540" w:dyaOrig="400" w14:anchorId="75745462">
          <v:shape id="_x0000_i1613" type="#_x0000_t75" style="width:27.25pt;height:20.55pt" o:ole="">
            <v:imagedata r:id="rId1202" o:title=""/>
          </v:shape>
          <o:OLEObject Type="Embed" ProgID="Equation.DSMT4" ShapeID="_x0000_i1613" DrawAspect="Content" ObjectID="_1791375557" r:id="rId1203"/>
        </w:object>
      </w:r>
      <w:r w:rsidRPr="00A62FF4">
        <w:rPr>
          <w:rFonts w:hint="cs"/>
          <w:sz w:val="23"/>
          <w:szCs w:val="23"/>
          <w:rtl/>
        </w:rPr>
        <w:t xml:space="preserve"> است، لذا از رابطه</w:t>
      </w:r>
      <w:r w:rsidRPr="00A62FF4">
        <w:rPr>
          <w:sz w:val="23"/>
          <w:szCs w:val="23"/>
          <w:rtl/>
        </w:rPr>
        <w:softHyphen/>
      </w:r>
      <w:r w:rsidRPr="00A62FF4">
        <w:rPr>
          <w:rFonts w:hint="cs"/>
          <w:sz w:val="23"/>
          <w:szCs w:val="23"/>
          <w:rtl/>
        </w:rPr>
        <w:t>ی (۳. ۴) داریم</w:t>
      </w:r>
    </w:p>
    <w:p w14:paraId="118C31D4" w14:textId="77777777" w:rsidR="00411620" w:rsidRDefault="00411620" w:rsidP="00411620">
      <w:pPr>
        <w:tabs>
          <w:tab w:val="right" w:pos="6662"/>
        </w:tabs>
        <w:bidi w:val="0"/>
        <w:spacing w:line="216" w:lineRule="auto"/>
      </w:pPr>
      <w:r w:rsidRPr="00A62FF4">
        <w:rPr>
          <w:position w:val="-28"/>
        </w:rPr>
        <w:object w:dxaOrig="4480" w:dyaOrig="639" w14:anchorId="0AD63BE6">
          <v:shape id="_x0000_i1614" type="#_x0000_t75" style="width:224.45pt;height:32.05pt" o:ole="">
            <v:imagedata r:id="rId1204" o:title=""/>
          </v:shape>
          <o:OLEObject Type="Embed" ProgID="Equation.DSMT4" ShapeID="_x0000_i1614" DrawAspect="Content" ObjectID="_1791375558" r:id="rId1205"/>
        </w:object>
      </w:r>
    </w:p>
    <w:p w14:paraId="4A605513" w14:textId="77777777" w:rsidR="00411620" w:rsidRPr="00A62FF4" w:rsidRDefault="00411620" w:rsidP="00411620">
      <w:pPr>
        <w:tabs>
          <w:tab w:val="right" w:pos="6662"/>
        </w:tabs>
        <w:spacing w:line="216" w:lineRule="auto"/>
        <w:rPr>
          <w:sz w:val="23"/>
          <w:szCs w:val="23"/>
        </w:rPr>
      </w:pPr>
      <w:r w:rsidRPr="00A62FF4">
        <w:rPr>
          <w:rFonts w:hint="cs"/>
          <w:sz w:val="23"/>
          <w:szCs w:val="23"/>
          <w:rtl/>
        </w:rPr>
        <w:t>و در سمت</w:t>
      </w:r>
      <w:r w:rsidRPr="00A62FF4">
        <w:rPr>
          <w:sz w:val="23"/>
          <w:szCs w:val="23"/>
        </w:rPr>
        <w:t xml:space="preserve"> </w:t>
      </w:r>
      <w:r w:rsidRPr="00A62FF4">
        <w:rPr>
          <w:rFonts w:hint="cs"/>
          <w:sz w:val="23"/>
          <w:szCs w:val="23"/>
          <w:rtl/>
        </w:rPr>
        <w:t>راست</w:t>
      </w:r>
      <w:r w:rsidRPr="00A62FF4">
        <w:rPr>
          <w:position w:val="-6"/>
        </w:rPr>
        <w:object w:dxaOrig="260" w:dyaOrig="300" w14:anchorId="57C4A99D">
          <v:shape id="_x0000_i1615" type="#_x0000_t75" style="width:12.7pt;height:15.15pt" o:ole="">
            <v:imagedata r:id="rId1206" o:title=""/>
          </v:shape>
          <o:OLEObject Type="Embed" ProgID="Equation.DSMT4" ShapeID="_x0000_i1615" DrawAspect="Content" ObjectID="_1791375559" r:id="rId1207"/>
        </w:object>
      </w:r>
      <w:r w:rsidRPr="00A62FF4">
        <w:rPr>
          <w:sz w:val="23"/>
          <w:szCs w:val="23"/>
        </w:rPr>
        <w:t xml:space="preserve"> </w:t>
      </w:r>
      <w:r w:rsidRPr="00A62FF4">
        <w:rPr>
          <w:rFonts w:hint="cs"/>
          <w:sz w:val="23"/>
          <w:szCs w:val="23"/>
          <w:rtl/>
        </w:rPr>
        <w:t>یعنی</w:t>
      </w:r>
      <w:r w:rsidRPr="00A62FF4">
        <w:rPr>
          <w:position w:val="-6"/>
        </w:rPr>
        <w:object w:dxaOrig="600" w:dyaOrig="300" w14:anchorId="2EABDBAE">
          <v:shape id="_x0000_i1616" type="#_x0000_t75" style="width:29.65pt;height:15.15pt" o:ole="">
            <v:imagedata r:id="rId1208" o:title=""/>
          </v:shape>
          <o:OLEObject Type="Embed" ProgID="Equation.DSMT4" ShapeID="_x0000_i1616" DrawAspect="Content" ObjectID="_1791375560" r:id="rId1209"/>
        </w:object>
      </w:r>
      <w:r w:rsidRPr="00A62FF4">
        <w:rPr>
          <w:sz w:val="23"/>
          <w:szCs w:val="23"/>
        </w:rPr>
        <w:t xml:space="preserve"> </w:t>
      </w:r>
      <w:r w:rsidRPr="00A62FF4">
        <w:rPr>
          <w:rFonts w:hint="cs"/>
          <w:sz w:val="23"/>
          <w:szCs w:val="23"/>
          <w:rtl/>
        </w:rPr>
        <w:t xml:space="preserve">بدلیل آن که </w:t>
      </w:r>
      <w:r w:rsidRPr="00A62FF4">
        <w:rPr>
          <w:position w:val="-6"/>
        </w:rPr>
        <w:object w:dxaOrig="540" w:dyaOrig="400" w14:anchorId="12176E6B">
          <v:shape id="_x0000_i1617" type="#_x0000_t75" style="width:27.25pt;height:20.55pt" o:ole="">
            <v:imagedata r:id="rId1210" o:title=""/>
          </v:shape>
          <o:OLEObject Type="Embed" ProgID="Equation.DSMT4" ShapeID="_x0000_i1617" DrawAspect="Content" ObjectID="_1791375561" r:id="rId1211"/>
        </w:object>
      </w:r>
      <w:r w:rsidRPr="00A62FF4">
        <w:rPr>
          <w:rFonts w:hint="cs"/>
          <w:sz w:val="23"/>
          <w:szCs w:val="23"/>
          <w:rtl/>
        </w:rPr>
        <w:t xml:space="preserve"> است، لذا </w:t>
      </w:r>
    </w:p>
    <w:p w14:paraId="6CACA98B" w14:textId="77777777" w:rsidR="00411620" w:rsidRPr="00A62FF4" w:rsidRDefault="00411620" w:rsidP="00411620">
      <w:pPr>
        <w:tabs>
          <w:tab w:val="right" w:pos="6662"/>
        </w:tabs>
        <w:bidi w:val="0"/>
        <w:spacing w:line="216" w:lineRule="auto"/>
        <w:rPr>
          <w:sz w:val="23"/>
          <w:szCs w:val="23"/>
          <w:rtl/>
        </w:rPr>
      </w:pPr>
      <w:r w:rsidRPr="00A62FF4">
        <w:rPr>
          <w:position w:val="-28"/>
        </w:rPr>
        <w:object w:dxaOrig="4480" w:dyaOrig="639" w14:anchorId="27F3A7EF">
          <v:shape id="_x0000_i1618" type="#_x0000_t75" style="width:224.45pt;height:32.05pt" o:ole="">
            <v:imagedata r:id="rId1212" o:title=""/>
          </v:shape>
          <o:OLEObject Type="Embed" ProgID="Equation.DSMT4" ShapeID="_x0000_i1618" DrawAspect="Content" ObjectID="_1791375562" r:id="rId1213"/>
        </w:object>
      </w:r>
      <w:r w:rsidRPr="00A62FF4">
        <w:rPr>
          <w:rFonts w:hint="cs"/>
          <w:sz w:val="23"/>
          <w:szCs w:val="23"/>
          <w:rtl/>
        </w:rPr>
        <w:t xml:space="preserve"> </w:t>
      </w:r>
    </w:p>
    <w:p w14:paraId="36F12C10" w14:textId="77777777" w:rsidR="00411620" w:rsidRPr="00A62FF4" w:rsidRDefault="00411620" w:rsidP="00411620">
      <w:pPr>
        <w:tabs>
          <w:tab w:val="right" w:pos="6662"/>
        </w:tabs>
        <w:spacing w:line="216" w:lineRule="auto"/>
        <w:rPr>
          <w:sz w:val="23"/>
          <w:szCs w:val="23"/>
          <w:rtl/>
        </w:rPr>
      </w:pPr>
      <w:r w:rsidRPr="00A62FF4">
        <w:rPr>
          <w:rFonts w:hint="cs"/>
          <w:sz w:val="23"/>
          <w:szCs w:val="23"/>
          <w:rtl/>
        </w:rPr>
        <w:t>توابع موجود در رابطه</w:t>
      </w:r>
      <w:r w:rsidRPr="00A62FF4">
        <w:rPr>
          <w:sz w:val="23"/>
          <w:szCs w:val="23"/>
          <w:rtl/>
        </w:rPr>
        <w:softHyphen/>
      </w:r>
      <w:r w:rsidRPr="00A62FF4">
        <w:rPr>
          <w:rFonts w:hint="cs"/>
          <w:sz w:val="23"/>
          <w:szCs w:val="23"/>
          <w:rtl/>
        </w:rPr>
        <w:t xml:space="preserve">ی (۳. ۴) یعنی منحنی پس‌انداز به ازاء موجودی سرمایه‌ی سرانه </w:t>
      </w:r>
      <w:r w:rsidRPr="00A62FF4">
        <w:rPr>
          <w:position w:val="-22"/>
        </w:rPr>
        <w:object w:dxaOrig="600" w:dyaOrig="560" w14:anchorId="497E43FB">
          <v:shape id="_x0000_i1619" type="#_x0000_t75" style="width:29.65pt;height:27.85pt" o:ole="">
            <v:imagedata r:id="rId1214" o:title=""/>
          </v:shape>
          <o:OLEObject Type="Embed" ProgID="Equation.DSMT4" ShapeID="_x0000_i1619" DrawAspect="Content" ObjectID="_1791375563" r:id="rId1215"/>
        </w:object>
      </w:r>
      <w:r w:rsidRPr="00A62FF4">
        <w:rPr>
          <w:rFonts w:hint="cs"/>
          <w:sz w:val="23"/>
          <w:szCs w:val="23"/>
          <w:rtl/>
        </w:rPr>
        <w:t xml:space="preserve">، و همچنین خط استهلاک مؤثر یعنی </w:t>
      </w:r>
      <w:r w:rsidRPr="00A62FF4">
        <w:rPr>
          <w:position w:val="-12"/>
        </w:rPr>
        <w:object w:dxaOrig="820" w:dyaOrig="360" w14:anchorId="0C02CAF4">
          <v:shape id="_x0000_i1620" type="#_x0000_t75" style="width:40.55pt;height:18.15pt" o:ole="">
            <v:imagedata r:id="rId1216" o:title=""/>
          </v:shape>
          <o:OLEObject Type="Embed" ProgID="Equation.DSMT4" ShapeID="_x0000_i1620" DrawAspect="Content" ObjectID="_1791375564" r:id="rId1217"/>
        </w:object>
      </w:r>
      <w:r w:rsidRPr="00A62FF4">
        <w:rPr>
          <w:rFonts w:hint="cs"/>
          <w:sz w:val="23"/>
          <w:szCs w:val="23"/>
          <w:rtl/>
        </w:rPr>
        <w:t xml:space="preserve"> را می‌توان بر حسب</w:t>
      </w:r>
      <w:r w:rsidRPr="00A62FF4">
        <w:rPr>
          <w:position w:val="-6"/>
        </w:rPr>
        <w:object w:dxaOrig="200" w:dyaOrig="260" w14:anchorId="6230B327">
          <v:shape id="_x0000_i1621" type="#_x0000_t75" style="width:10.3pt;height:12.7pt" o:ole="">
            <v:imagedata r:id="rId1218" o:title=""/>
          </v:shape>
          <o:OLEObject Type="Embed" ProgID="Equation.DSMT4" ShapeID="_x0000_i1621" DrawAspect="Content" ObjectID="_1791375565" r:id="rId1219"/>
        </w:object>
      </w:r>
      <w:r w:rsidRPr="00A62FF4">
        <w:rPr>
          <w:rFonts w:hint="cs"/>
          <w:sz w:val="23"/>
          <w:szCs w:val="23"/>
          <w:rtl/>
        </w:rPr>
        <w:t xml:space="preserve"> در نمودار ۳. ۲ نشان داد. همان</w:t>
      </w:r>
      <w:r w:rsidRPr="00A62FF4">
        <w:rPr>
          <w:sz w:val="23"/>
          <w:szCs w:val="23"/>
          <w:rtl/>
        </w:rPr>
        <w:softHyphen/>
      </w:r>
      <w:r w:rsidRPr="00A62FF4">
        <w:rPr>
          <w:rFonts w:hint="cs"/>
          <w:sz w:val="23"/>
          <w:szCs w:val="23"/>
          <w:rtl/>
        </w:rPr>
        <w:t>گونه که ملاحظه می</w:t>
      </w:r>
      <w:r w:rsidRPr="00A62FF4">
        <w:rPr>
          <w:sz w:val="23"/>
          <w:szCs w:val="23"/>
          <w:rtl/>
        </w:rPr>
        <w:softHyphen/>
      </w:r>
      <w:r w:rsidRPr="00A62FF4">
        <w:rPr>
          <w:rFonts w:hint="cs"/>
          <w:sz w:val="23"/>
          <w:szCs w:val="23"/>
          <w:rtl/>
        </w:rPr>
        <w:t>شود نرخ رشد جمعیت و نرخ استهلاک مستقل از</w:t>
      </w:r>
      <w:r w:rsidRPr="00A62FF4">
        <w:rPr>
          <w:position w:val="-6"/>
        </w:rPr>
        <w:object w:dxaOrig="200" w:dyaOrig="260" w14:anchorId="0155C812">
          <v:shape id="_x0000_i1622" type="#_x0000_t75" style="width:10.3pt;height:12.7pt" o:ole="">
            <v:imagedata r:id="rId1220" o:title=""/>
          </v:shape>
          <o:OLEObject Type="Embed" ProgID="Equation.DSMT4" ShapeID="_x0000_i1622" DrawAspect="Content" ObjectID="_1791375566" r:id="rId1221"/>
        </w:object>
      </w:r>
      <w:r w:rsidRPr="00A62FF4">
        <w:rPr>
          <w:rFonts w:hint="cs"/>
          <w:sz w:val="23"/>
          <w:szCs w:val="23"/>
          <w:rtl/>
        </w:rPr>
        <w:t xml:space="preserve"> است، بنابراین</w:t>
      </w:r>
      <w:r w:rsidRPr="00A62FF4">
        <w:rPr>
          <w:position w:val="-12"/>
        </w:rPr>
        <w:object w:dxaOrig="700" w:dyaOrig="360" w14:anchorId="52E91967">
          <v:shape id="_x0000_i1623" type="#_x0000_t75" style="width:35.1pt;height:18.15pt" o:ole="">
            <v:imagedata r:id="rId1222" o:title=""/>
          </v:shape>
          <o:OLEObject Type="Embed" ProgID="Equation.DSMT4" ShapeID="_x0000_i1623" DrawAspect="Content" ObjectID="_1791375567" r:id="rId1223"/>
        </w:object>
      </w:r>
      <w:r w:rsidRPr="00A62FF4">
        <w:rPr>
          <w:rFonts w:hint="cs"/>
          <w:sz w:val="23"/>
          <w:szCs w:val="23"/>
          <w:rtl/>
        </w:rPr>
        <w:t xml:space="preserve"> موازی محور افقی است. اما منحنی پس‌انداز به ازاء نیروی کار سرانه دارای شیب منفی است. زیرا</w:t>
      </w:r>
    </w:p>
    <w:p w14:paraId="5D34314F" w14:textId="77777777" w:rsidR="00411620" w:rsidRPr="00A62FF4" w:rsidRDefault="00411620" w:rsidP="00411620">
      <w:pPr>
        <w:tabs>
          <w:tab w:val="right" w:pos="6662"/>
        </w:tabs>
        <w:bidi w:val="0"/>
        <w:spacing w:line="216" w:lineRule="auto"/>
        <w:rPr>
          <w:sz w:val="23"/>
          <w:szCs w:val="23"/>
        </w:rPr>
      </w:pPr>
      <w:r w:rsidRPr="00A62FF4">
        <w:rPr>
          <w:position w:val="-26"/>
        </w:rPr>
        <w:object w:dxaOrig="3440" w:dyaOrig="920" w14:anchorId="53806D78">
          <v:shape id="_x0000_i1624" type="#_x0000_t75" style="width:171.85pt;height:46pt" o:ole="">
            <v:imagedata r:id="rId1224" o:title=""/>
          </v:shape>
          <o:OLEObject Type="Embed" ProgID="Equation.DSMT4" ShapeID="_x0000_i1624" DrawAspect="Content" ObjectID="_1791375568" r:id="rId1225"/>
        </w:object>
      </w:r>
      <w:r w:rsidRPr="00A62FF4">
        <w:rPr>
          <w:rFonts w:hint="cs"/>
          <w:sz w:val="23"/>
          <w:szCs w:val="23"/>
          <w:rtl/>
        </w:rPr>
        <w:t xml:space="preserve"> </w:t>
      </w:r>
    </w:p>
    <w:p w14:paraId="36549930" w14:textId="77777777" w:rsidR="00411620" w:rsidRPr="00A62FF4" w:rsidRDefault="00411620" w:rsidP="00411620">
      <w:pPr>
        <w:tabs>
          <w:tab w:val="right" w:pos="6662"/>
        </w:tabs>
        <w:spacing w:line="216" w:lineRule="auto"/>
        <w:rPr>
          <w:sz w:val="23"/>
          <w:szCs w:val="23"/>
          <w:rtl/>
        </w:rPr>
      </w:pPr>
      <w:r w:rsidRPr="00A62FF4">
        <w:rPr>
          <w:rFonts w:hint="cs"/>
          <w:sz w:val="23"/>
          <w:szCs w:val="23"/>
          <w:rtl/>
        </w:rPr>
        <w:t xml:space="preserve"> یعنی</w:t>
      </w:r>
      <w:r w:rsidRPr="00A62FF4">
        <w:rPr>
          <w:position w:val="-22"/>
        </w:rPr>
        <w:object w:dxaOrig="600" w:dyaOrig="560" w14:anchorId="00F46CDD">
          <v:shape id="_x0000_i1625" type="#_x0000_t75" style="width:29.65pt;height:27.85pt" o:ole="">
            <v:imagedata r:id="rId1226" o:title=""/>
          </v:shape>
          <o:OLEObject Type="Embed" ProgID="Equation.DSMT4" ShapeID="_x0000_i1625" DrawAspect="Content" ObjectID="_1791375569" r:id="rId1227"/>
        </w:object>
      </w:r>
      <w:r w:rsidRPr="00A62FF4">
        <w:rPr>
          <w:rFonts w:hint="cs"/>
          <w:sz w:val="23"/>
          <w:szCs w:val="23"/>
          <w:rtl/>
        </w:rPr>
        <w:t xml:space="preserve"> با کاهش</w:t>
      </w:r>
      <w:r w:rsidRPr="00A62FF4">
        <w:rPr>
          <w:position w:val="-6"/>
        </w:rPr>
        <w:object w:dxaOrig="200" w:dyaOrig="260" w14:anchorId="3C010CB6">
          <v:shape id="_x0000_i1626" type="#_x0000_t75" style="width:10.3pt;height:12.7pt" o:ole="">
            <v:imagedata r:id="rId1228" o:title=""/>
          </v:shape>
          <o:OLEObject Type="Embed" ProgID="Equation.DSMT4" ShapeID="_x0000_i1626" DrawAspect="Content" ObjectID="_1791375570" r:id="rId1229"/>
        </w:object>
      </w:r>
      <w:r w:rsidRPr="00A62FF4">
        <w:rPr>
          <w:rFonts w:hint="cs"/>
          <w:sz w:val="23"/>
          <w:szCs w:val="23"/>
          <w:rtl/>
        </w:rPr>
        <w:t xml:space="preserve"> افزایش می‌یابد و بالعکس. از طرفی</w:t>
      </w:r>
    </w:p>
    <w:p w14:paraId="66859915" w14:textId="77777777" w:rsidR="00411620" w:rsidRPr="00A62FF4" w:rsidRDefault="00411620" w:rsidP="00411620">
      <w:pPr>
        <w:tabs>
          <w:tab w:val="right" w:pos="6662"/>
        </w:tabs>
        <w:bidi w:val="0"/>
        <w:spacing w:line="216" w:lineRule="auto"/>
        <w:rPr>
          <w:sz w:val="23"/>
          <w:szCs w:val="23"/>
          <w:rtl/>
        </w:rPr>
      </w:pPr>
      <w:r w:rsidRPr="00A62FF4">
        <w:rPr>
          <w:position w:val="-22"/>
        </w:rPr>
        <w:object w:dxaOrig="1280" w:dyaOrig="560" w14:anchorId="0F518554">
          <v:shape id="_x0000_i1627" type="#_x0000_t75" style="width:63.55pt;height:27.85pt" o:ole="">
            <v:imagedata r:id="rId1230" o:title=""/>
          </v:shape>
          <o:OLEObject Type="Embed" ProgID="Equation.DSMT4" ShapeID="_x0000_i1627" DrawAspect="Content" ObjectID="_1791375571" r:id="rId1231"/>
        </w:object>
      </w:r>
    </w:p>
    <w:p w14:paraId="2E4EA1E2" w14:textId="77777777" w:rsidR="00411620" w:rsidRPr="00A62FF4" w:rsidRDefault="00411620" w:rsidP="00411620">
      <w:pPr>
        <w:tabs>
          <w:tab w:val="right" w:pos="6662"/>
        </w:tabs>
        <w:spacing w:line="216" w:lineRule="auto"/>
        <w:rPr>
          <w:sz w:val="23"/>
          <w:szCs w:val="23"/>
          <w:rtl/>
        </w:rPr>
      </w:pPr>
      <w:r w:rsidRPr="00A62FF4">
        <w:rPr>
          <w:rFonts w:hint="cs"/>
          <w:sz w:val="23"/>
          <w:szCs w:val="23"/>
          <w:rtl/>
        </w:rPr>
        <w:t>و با استفاده از قاعده‌ی هوپیتال و شرط اینادا</w:t>
      </w:r>
    </w:p>
    <w:p w14:paraId="19A51A1E" w14:textId="77777777" w:rsidR="00411620" w:rsidRPr="00A62FF4" w:rsidRDefault="00411620" w:rsidP="00411620">
      <w:pPr>
        <w:tabs>
          <w:tab w:val="right" w:pos="6662"/>
        </w:tabs>
        <w:bidi w:val="0"/>
        <w:spacing w:line="216" w:lineRule="auto"/>
        <w:rPr>
          <w:sz w:val="23"/>
          <w:szCs w:val="23"/>
          <w:rtl/>
        </w:rPr>
      </w:pPr>
      <w:r w:rsidRPr="00A62FF4">
        <w:rPr>
          <w:position w:val="-22"/>
        </w:rPr>
        <w:object w:dxaOrig="2360" w:dyaOrig="560" w14:anchorId="457492F9">
          <v:shape id="_x0000_i1628" type="#_x0000_t75" style="width:118pt;height:27.85pt" o:ole="">
            <v:imagedata r:id="rId1232" o:title=""/>
          </v:shape>
          <o:OLEObject Type="Embed" ProgID="Equation.DSMT4" ShapeID="_x0000_i1628" DrawAspect="Content" ObjectID="_1791375572" r:id="rId1233"/>
        </w:object>
      </w:r>
    </w:p>
    <w:p w14:paraId="6DE7C185" w14:textId="77777777" w:rsidR="00411620" w:rsidRPr="00A62FF4" w:rsidRDefault="00411620" w:rsidP="00411620">
      <w:pPr>
        <w:tabs>
          <w:tab w:val="right" w:pos="6662"/>
        </w:tabs>
        <w:spacing w:line="216" w:lineRule="auto"/>
        <w:rPr>
          <w:sz w:val="23"/>
          <w:szCs w:val="23"/>
          <w:rtl/>
        </w:rPr>
      </w:pPr>
      <w:r w:rsidRPr="00A62FF4">
        <w:rPr>
          <w:rFonts w:hint="cs"/>
          <w:sz w:val="23"/>
          <w:szCs w:val="23"/>
          <w:rtl/>
        </w:rPr>
        <w:t xml:space="preserve">و به همین ترتیب </w:t>
      </w:r>
    </w:p>
    <w:p w14:paraId="6EF7F63D" w14:textId="77777777" w:rsidR="00411620" w:rsidRPr="00A62FF4" w:rsidRDefault="00411620" w:rsidP="00411620">
      <w:pPr>
        <w:tabs>
          <w:tab w:val="right" w:pos="6662"/>
        </w:tabs>
        <w:bidi w:val="0"/>
        <w:spacing w:line="216" w:lineRule="auto"/>
        <w:rPr>
          <w:sz w:val="23"/>
          <w:szCs w:val="23"/>
          <w:rtl/>
        </w:rPr>
      </w:pPr>
      <w:r w:rsidRPr="00A62FF4">
        <w:rPr>
          <w:position w:val="-22"/>
        </w:rPr>
        <w:object w:dxaOrig="1320" w:dyaOrig="560" w14:anchorId="243741C9">
          <v:shape id="_x0000_i1629" type="#_x0000_t75" style="width:65.95pt;height:27.85pt" o:ole="">
            <v:imagedata r:id="rId1234" o:title=""/>
          </v:shape>
          <o:OLEObject Type="Embed" ProgID="Equation.DSMT4" ShapeID="_x0000_i1629" DrawAspect="Content" ObjectID="_1791375573" r:id="rId1235"/>
        </w:object>
      </w:r>
    </w:p>
    <w:p w14:paraId="39AE63CB" w14:textId="77777777" w:rsidR="00411620" w:rsidRPr="00A62FF4" w:rsidRDefault="00411620" w:rsidP="00411620">
      <w:pPr>
        <w:tabs>
          <w:tab w:val="right" w:pos="6662"/>
        </w:tabs>
        <w:spacing w:line="216" w:lineRule="auto"/>
        <w:rPr>
          <w:sz w:val="23"/>
          <w:szCs w:val="23"/>
          <w:rtl/>
        </w:rPr>
      </w:pPr>
      <w:r w:rsidRPr="00A62FF4">
        <w:rPr>
          <w:rFonts w:hint="cs"/>
          <w:sz w:val="23"/>
          <w:szCs w:val="23"/>
          <w:rtl/>
        </w:rPr>
        <w:t>و با استفاده از قاعده‌ی هوپیتال و شرط اینادا داریم</w:t>
      </w:r>
    </w:p>
    <w:p w14:paraId="7237304B" w14:textId="77777777" w:rsidR="00411620" w:rsidRPr="00A62FF4" w:rsidRDefault="00411620" w:rsidP="00411620">
      <w:pPr>
        <w:tabs>
          <w:tab w:val="right" w:pos="6662"/>
        </w:tabs>
        <w:bidi w:val="0"/>
        <w:spacing w:line="216" w:lineRule="auto"/>
        <w:rPr>
          <w:sz w:val="23"/>
          <w:szCs w:val="23"/>
        </w:rPr>
      </w:pPr>
      <w:r w:rsidRPr="00A62FF4">
        <w:rPr>
          <w:position w:val="-22"/>
        </w:rPr>
        <w:object w:dxaOrig="2320" w:dyaOrig="560" w14:anchorId="76E38200">
          <v:shape id="_x0000_i1630" type="#_x0000_t75" style="width:116.15pt;height:27.85pt" o:ole="">
            <v:imagedata r:id="rId1236" o:title=""/>
          </v:shape>
          <o:OLEObject Type="Embed" ProgID="Equation.DSMT4" ShapeID="_x0000_i1630" DrawAspect="Content" ObjectID="_1791375574" r:id="rId1237"/>
        </w:object>
      </w:r>
    </w:p>
    <w:p w14:paraId="4A44AD60" w14:textId="77777777" w:rsidR="00411620" w:rsidRPr="00A62FF4" w:rsidRDefault="00411620" w:rsidP="00411620">
      <w:pPr>
        <w:tabs>
          <w:tab w:val="right" w:pos="6662"/>
        </w:tabs>
        <w:bidi w:val="0"/>
        <w:spacing w:line="216" w:lineRule="auto"/>
        <w:rPr>
          <w:sz w:val="23"/>
          <w:szCs w:val="23"/>
        </w:rPr>
      </w:pPr>
    </w:p>
    <w:p w14:paraId="47BC06BA" w14:textId="77777777" w:rsidR="00411620" w:rsidRPr="00A62FF4" w:rsidRDefault="00411620" w:rsidP="00411620">
      <w:pPr>
        <w:tabs>
          <w:tab w:val="right" w:pos="6662"/>
        </w:tabs>
        <w:spacing w:line="216" w:lineRule="auto"/>
        <w:jc w:val="center"/>
        <w:rPr>
          <w:sz w:val="23"/>
          <w:szCs w:val="23"/>
          <w:rtl/>
        </w:rPr>
      </w:pPr>
      <w:r w:rsidRPr="00A62FF4">
        <w:rPr>
          <w:rFonts w:hint="cs"/>
          <w:sz w:val="23"/>
          <w:szCs w:val="23"/>
          <w:rtl/>
        </w:rPr>
        <w:t>نمودار۳. ۲</w:t>
      </w:r>
    </w:p>
    <w:p w14:paraId="135AF905" w14:textId="77777777" w:rsidR="00411620" w:rsidRPr="00A62FF4" w:rsidRDefault="00411620" w:rsidP="00411620">
      <w:pPr>
        <w:tabs>
          <w:tab w:val="right" w:pos="6804"/>
        </w:tabs>
        <w:spacing w:line="216" w:lineRule="auto"/>
        <w:jc w:val="center"/>
        <w:rPr>
          <w:sz w:val="23"/>
          <w:szCs w:val="23"/>
          <w:rtl/>
        </w:rPr>
      </w:pPr>
      <w:r w:rsidRPr="00A62FF4">
        <w:rPr>
          <w:noProof/>
          <w:sz w:val="23"/>
          <w:szCs w:val="23"/>
          <w:u w:val="single"/>
          <w:lang w:bidi="ar-SA"/>
        </w:rPr>
        <w:drawing>
          <wp:inline distT="0" distB="0" distL="0" distR="0" wp14:anchorId="1BB67AC5" wp14:editId="42909E26">
            <wp:extent cx="3656712" cy="2008961"/>
            <wp:effectExtent l="38100" t="38100" r="39370" b="298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8">
                      <a:extLst>
                        <a:ext uri="{BEBA8EAE-BF5A-486C-A8C5-ECC9F3942E4B}">
                          <a14:imgProps xmlns:a14="http://schemas.microsoft.com/office/drawing/2010/main">
                            <a14:imgLayer r:embed="rId1239">
                              <a14:imgEffect>
                                <a14:brightnessContrast bright="20000" contrast="20000"/>
                              </a14:imgEffect>
                            </a14:imgLayer>
                          </a14:imgProps>
                        </a:ext>
                      </a:extLst>
                    </a:blip>
                    <a:stretch>
                      <a:fillRect/>
                    </a:stretch>
                  </pic:blipFill>
                  <pic:spPr>
                    <a:xfrm>
                      <a:off x="0" y="0"/>
                      <a:ext cx="3657600" cy="2009449"/>
                    </a:xfrm>
                    <a:prstGeom prst="rect">
                      <a:avLst/>
                    </a:prstGeom>
                    <a:ln w="28575">
                      <a:solidFill>
                        <a:schemeClr val="tx1"/>
                      </a:solidFill>
                    </a:ln>
                  </pic:spPr>
                </pic:pic>
              </a:graphicData>
            </a:graphic>
          </wp:inline>
        </w:drawing>
      </w:r>
    </w:p>
    <w:p w14:paraId="240FFA6D" w14:textId="77777777" w:rsidR="00411620" w:rsidRPr="00A62FF4" w:rsidRDefault="00411620" w:rsidP="00411620">
      <w:pPr>
        <w:tabs>
          <w:tab w:val="right" w:pos="6662"/>
        </w:tabs>
        <w:spacing w:line="216" w:lineRule="auto"/>
        <w:rPr>
          <w:sz w:val="23"/>
          <w:szCs w:val="23"/>
          <w:rtl/>
        </w:rPr>
      </w:pPr>
    </w:p>
    <w:p w14:paraId="1406F7A0" w14:textId="77777777" w:rsidR="00411620" w:rsidRPr="00A62FF4" w:rsidRDefault="00411620" w:rsidP="00411620">
      <w:pPr>
        <w:tabs>
          <w:tab w:val="right" w:pos="6662"/>
        </w:tabs>
        <w:spacing w:line="216" w:lineRule="auto"/>
        <w:rPr>
          <w:sz w:val="23"/>
          <w:szCs w:val="23"/>
          <w:rtl/>
        </w:rPr>
      </w:pPr>
      <w:r w:rsidRPr="00A62FF4">
        <w:rPr>
          <w:rFonts w:hint="cs"/>
          <w:sz w:val="23"/>
          <w:szCs w:val="23"/>
          <w:rtl/>
        </w:rPr>
        <w:t>از رابطه</w:t>
      </w:r>
      <w:r w:rsidRPr="00A62FF4">
        <w:rPr>
          <w:sz w:val="23"/>
          <w:szCs w:val="23"/>
          <w:rtl/>
        </w:rPr>
        <w:softHyphen/>
      </w:r>
      <w:r w:rsidRPr="00A62FF4">
        <w:rPr>
          <w:rFonts w:hint="cs"/>
          <w:sz w:val="23"/>
          <w:szCs w:val="23"/>
          <w:rtl/>
        </w:rPr>
        <w:t>ی (۳. ۴) فاصله‌ی عمودی بین</w:t>
      </w:r>
      <w:r w:rsidRPr="00A62FF4">
        <w:rPr>
          <w:position w:val="-28"/>
        </w:rPr>
        <w:object w:dxaOrig="660" w:dyaOrig="639" w14:anchorId="10FF2CDE">
          <v:shape id="_x0000_i1631" type="#_x0000_t75" style="width:32.65pt;height:32.05pt" o:ole="">
            <v:imagedata r:id="rId1240" o:title=""/>
          </v:shape>
          <o:OLEObject Type="Embed" ProgID="Equation.DSMT4" ShapeID="_x0000_i1631" DrawAspect="Content" ObjectID="_1791375575" r:id="rId1241"/>
        </w:object>
      </w:r>
      <w:r w:rsidRPr="00A62FF4">
        <w:rPr>
          <w:rFonts w:hint="cs"/>
          <w:sz w:val="23"/>
          <w:szCs w:val="23"/>
          <w:rtl/>
        </w:rPr>
        <w:t xml:space="preserve"> و</w:t>
      </w:r>
      <w:r w:rsidRPr="00A62FF4">
        <w:rPr>
          <w:position w:val="-12"/>
        </w:rPr>
        <w:object w:dxaOrig="700" w:dyaOrig="360" w14:anchorId="286905A9">
          <v:shape id="_x0000_i1632" type="#_x0000_t75" style="width:35.1pt;height:18.15pt" o:ole="">
            <v:imagedata r:id="rId1242" o:title=""/>
          </v:shape>
          <o:OLEObject Type="Embed" ProgID="Equation.DSMT4" ShapeID="_x0000_i1632" DrawAspect="Content" ObjectID="_1791375576" r:id="rId1243"/>
        </w:object>
      </w:r>
      <w:r w:rsidRPr="00A62FF4">
        <w:rPr>
          <w:rFonts w:hint="cs"/>
          <w:sz w:val="23"/>
          <w:szCs w:val="23"/>
          <w:rtl/>
        </w:rPr>
        <w:t xml:space="preserve"> نرخ رشد موجودی سرمایه‌ی سرانه را نشان می‌دهد و نقطه‌ی تقاطع آن‌ها وضعیت یکنواخت و یا تعادل بلندمدت موجودی سرمایه‌ی سرانه است که درآن</w:t>
      </w:r>
      <w:r w:rsidRPr="00A62FF4">
        <w:rPr>
          <w:position w:val="-22"/>
        </w:rPr>
        <w:object w:dxaOrig="1460" w:dyaOrig="560" w14:anchorId="600AE308">
          <v:shape id="_x0000_i1633" type="#_x0000_t75" style="width:73.2pt;height:27.85pt" o:ole="">
            <v:imagedata r:id="rId1244" o:title=""/>
          </v:shape>
          <o:OLEObject Type="Embed" ProgID="Equation.DSMT4" ShapeID="_x0000_i1633" DrawAspect="Content" ObjectID="_1791375577" r:id="rId1245"/>
        </w:object>
      </w:r>
      <w:r w:rsidRPr="00A62FF4">
        <w:rPr>
          <w:rFonts w:hint="cs"/>
          <w:sz w:val="23"/>
          <w:szCs w:val="23"/>
          <w:rtl/>
        </w:rPr>
        <w:t xml:space="preserve"> و </w:t>
      </w:r>
      <w:r w:rsidRPr="00A62FF4">
        <w:rPr>
          <w:position w:val="-10"/>
        </w:rPr>
        <w:object w:dxaOrig="620" w:dyaOrig="320" w14:anchorId="1CB4A46B">
          <v:shape id="_x0000_i1634" type="#_x0000_t75" style="width:31.45pt;height:15.75pt" o:ole="">
            <v:imagedata r:id="rId1246" o:title=""/>
          </v:shape>
          <o:OLEObject Type="Embed" ProgID="Equation.DSMT4" ShapeID="_x0000_i1634" DrawAspect="Content" ObjectID="_1791375578" r:id="rId1247"/>
        </w:object>
      </w:r>
      <w:r w:rsidRPr="00A62FF4">
        <w:rPr>
          <w:rFonts w:hint="cs"/>
          <w:sz w:val="23"/>
          <w:szCs w:val="23"/>
          <w:rtl/>
        </w:rPr>
        <w:t xml:space="preserve"> می‌باشد. از آنجا که</w:t>
      </w:r>
      <w:r w:rsidRPr="00A62FF4">
        <w:rPr>
          <w:position w:val="-12"/>
        </w:rPr>
        <w:object w:dxaOrig="1040" w:dyaOrig="360" w14:anchorId="59144FAC">
          <v:shape id="_x0000_i1635" type="#_x0000_t75" style="width:51.45pt;height:18.15pt" o:ole="">
            <v:imagedata r:id="rId1248" o:title=""/>
          </v:shape>
          <o:OLEObject Type="Embed" ProgID="Equation.DSMT4" ShapeID="_x0000_i1635" DrawAspect="Content" ObjectID="_1791375579" r:id="rId1249"/>
        </w:object>
      </w:r>
      <w:r w:rsidRPr="00A62FF4">
        <w:rPr>
          <w:sz w:val="23"/>
          <w:szCs w:val="23"/>
        </w:rPr>
        <w:t xml:space="preserve"> </w:t>
      </w:r>
      <w:r w:rsidRPr="00A62FF4">
        <w:rPr>
          <w:rFonts w:hint="cs"/>
          <w:sz w:val="23"/>
          <w:szCs w:val="23"/>
          <w:rtl/>
        </w:rPr>
        <w:t>است، و منحنی</w:t>
      </w:r>
      <w:r w:rsidRPr="00A62FF4">
        <w:rPr>
          <w:position w:val="-22"/>
        </w:rPr>
        <w:object w:dxaOrig="600" w:dyaOrig="560" w14:anchorId="7B41592A">
          <v:shape id="_x0000_i1636" type="#_x0000_t75" style="width:29.65pt;height:27.85pt" o:ole="">
            <v:imagedata r:id="rId1250" o:title=""/>
          </v:shape>
          <o:OLEObject Type="Embed" ProgID="Equation.DSMT4" ShapeID="_x0000_i1636" DrawAspect="Content" ObjectID="_1791375580" r:id="rId1251"/>
        </w:object>
      </w:r>
      <w:r w:rsidRPr="00A62FF4">
        <w:rPr>
          <w:rFonts w:hint="cs"/>
          <w:sz w:val="23"/>
          <w:szCs w:val="23"/>
          <w:rtl/>
        </w:rPr>
        <w:t xml:space="preserve"> بطور یکنواخت از مثبت بینهایت به سمت صفر کاهش می‌یابد، بنابراین منحنی پس‌انداز و خط استهلاک تنها یکبار همدیگر را قطع نموده و بنابراین موجودی سرمایه به نیروی کار در وضعیت یکنواخت وجود داشته و منحصر به فرد است. </w:t>
      </w:r>
    </w:p>
    <w:p w14:paraId="6A56684C" w14:textId="77777777" w:rsidR="00411620" w:rsidRPr="00A62FF4" w:rsidRDefault="00411620" w:rsidP="00411620">
      <w:pPr>
        <w:tabs>
          <w:tab w:val="right" w:pos="6662"/>
        </w:tabs>
        <w:spacing w:line="216" w:lineRule="auto"/>
        <w:rPr>
          <w:sz w:val="23"/>
          <w:szCs w:val="23"/>
        </w:rPr>
      </w:pPr>
      <w:r w:rsidRPr="00A62FF4">
        <w:rPr>
          <w:rFonts w:hint="cs"/>
          <w:sz w:val="23"/>
          <w:szCs w:val="23"/>
          <w:rtl/>
        </w:rPr>
        <w:t xml:space="preserve">در نمودار ۳. ۲ نشان داده می‌شود که در سمت چپ وضعیت تعادلی </w:t>
      </w:r>
      <w:r w:rsidRPr="00A62FF4">
        <w:rPr>
          <w:position w:val="-22"/>
        </w:rPr>
        <w:object w:dxaOrig="1420" w:dyaOrig="560" w14:anchorId="15069EBD">
          <v:shape id="_x0000_i1637" type="#_x0000_t75" style="width:70.8pt;height:27.85pt" o:ole="">
            <v:imagedata r:id="rId1252" o:title=""/>
          </v:shape>
          <o:OLEObject Type="Embed" ProgID="Equation.DSMT4" ShapeID="_x0000_i1637" DrawAspect="Content" ObjectID="_1791375581" r:id="rId1253"/>
        </w:object>
      </w:r>
      <w:r w:rsidRPr="00A62FF4">
        <w:rPr>
          <w:rFonts w:hint="cs"/>
          <w:sz w:val="23"/>
          <w:szCs w:val="23"/>
          <w:rtl/>
        </w:rPr>
        <w:t xml:space="preserve"> است و لذا نرخ رشد موجودی سرمایه‌ی سرانه مثبت است. همچنین با افزایش</w:t>
      </w:r>
      <w:r w:rsidRPr="00A62FF4">
        <w:rPr>
          <w:position w:val="-6"/>
        </w:rPr>
        <w:object w:dxaOrig="200" w:dyaOrig="260" w14:anchorId="3A048384">
          <v:shape id="_x0000_i1638" type="#_x0000_t75" style="width:10.3pt;height:12.7pt" o:ole="">
            <v:imagedata r:id="rId1254" o:title=""/>
          </v:shape>
          <o:OLEObject Type="Embed" ProgID="Equation.DSMT4" ShapeID="_x0000_i1638" DrawAspect="Content" ObjectID="_1791375582" r:id="rId1255"/>
        </w:object>
      </w:r>
      <w:r w:rsidRPr="00A62FF4">
        <w:rPr>
          <w:rFonts w:hint="cs"/>
          <w:sz w:val="23"/>
          <w:szCs w:val="23"/>
          <w:rtl/>
        </w:rPr>
        <w:t>، نرخ رشد موجودی سرمایه‌ی سرانه مرتباً کاهش می‌یابد. بازده نزولی سرمایه دلیل اصلی کاهش نرخ رشد</w:t>
      </w:r>
      <w:r w:rsidRPr="00A62FF4">
        <w:rPr>
          <w:position w:val="-6"/>
        </w:rPr>
        <w:object w:dxaOrig="200" w:dyaOrig="260" w14:anchorId="5A362409">
          <v:shape id="_x0000_i1639" type="#_x0000_t75" style="width:10.3pt;height:12.7pt" o:ole="">
            <v:imagedata r:id="rId1256" o:title=""/>
          </v:shape>
          <o:OLEObject Type="Embed" ProgID="Equation.DSMT4" ShapeID="_x0000_i1639" DrawAspect="Content" ObjectID="_1791375583" r:id="rId1257"/>
        </w:object>
      </w:r>
      <w:r w:rsidRPr="00A62FF4">
        <w:rPr>
          <w:rFonts w:hint="cs"/>
          <w:sz w:val="23"/>
          <w:szCs w:val="23"/>
          <w:rtl/>
        </w:rPr>
        <w:t xml:space="preserve"> به تبع افزایش</w:t>
      </w:r>
      <w:r w:rsidRPr="00A62FF4">
        <w:rPr>
          <w:position w:val="-6"/>
        </w:rPr>
        <w:object w:dxaOrig="200" w:dyaOrig="260" w14:anchorId="6A11593D">
          <v:shape id="_x0000_i1640" type="#_x0000_t75" style="width:10.3pt;height:12.7pt" o:ole="">
            <v:imagedata r:id="rId1258" o:title=""/>
          </v:shape>
          <o:OLEObject Type="Embed" ProgID="Equation.DSMT4" ShapeID="_x0000_i1640" DrawAspect="Content" ObjectID="_1791375584" r:id="rId1259"/>
        </w:object>
      </w:r>
      <w:r w:rsidRPr="00A62FF4">
        <w:rPr>
          <w:rFonts w:hint="cs"/>
          <w:sz w:val="23"/>
          <w:szCs w:val="23"/>
          <w:rtl/>
        </w:rPr>
        <w:t xml:space="preserve"> در مسیر گذار است. هنگامی که </w:t>
      </w:r>
      <w:r w:rsidRPr="00A62FF4">
        <w:rPr>
          <w:position w:val="-6"/>
        </w:rPr>
        <w:object w:dxaOrig="620" w:dyaOrig="260" w14:anchorId="36996F8C">
          <v:shape id="_x0000_i1641" type="#_x0000_t75" style="width:31.45pt;height:12.7pt" o:ole="">
            <v:imagedata r:id="rId1260" o:title=""/>
          </v:shape>
          <o:OLEObject Type="Embed" ProgID="Equation.DSMT4" ShapeID="_x0000_i1641" DrawAspect="Content" ObjectID="_1791375585" r:id="rId1261"/>
        </w:object>
      </w:r>
      <w:r w:rsidRPr="00A62FF4">
        <w:rPr>
          <w:sz w:val="23"/>
          <w:szCs w:val="23"/>
        </w:rPr>
        <w:t xml:space="preserve"> </w:t>
      </w:r>
      <w:r w:rsidRPr="00A62FF4">
        <w:rPr>
          <w:rFonts w:hint="cs"/>
          <w:sz w:val="23"/>
          <w:szCs w:val="23"/>
          <w:rtl/>
        </w:rPr>
        <w:t>میل می‌کند، تولید نهایی موجودی سرمایه به سمت بی</w:t>
      </w:r>
      <w:r w:rsidRPr="00A62FF4">
        <w:rPr>
          <w:sz w:val="23"/>
          <w:szCs w:val="23"/>
          <w:rtl/>
        </w:rPr>
        <w:softHyphen/>
      </w:r>
      <w:r w:rsidRPr="00A62FF4">
        <w:rPr>
          <w:rFonts w:hint="cs"/>
          <w:sz w:val="23"/>
          <w:szCs w:val="23"/>
          <w:rtl/>
        </w:rPr>
        <w:t>نهایت میل کرده و لذا</w:t>
      </w:r>
      <w:r w:rsidRPr="00A62FF4">
        <w:rPr>
          <w:position w:val="-22"/>
        </w:rPr>
        <w:object w:dxaOrig="600" w:dyaOrig="560" w14:anchorId="37592766">
          <v:shape id="_x0000_i1642" type="#_x0000_t75" style="width:29.65pt;height:27.85pt" o:ole="">
            <v:imagedata r:id="rId1262" o:title=""/>
          </v:shape>
          <o:OLEObject Type="Embed" ProgID="Equation.DSMT4" ShapeID="_x0000_i1642" DrawAspect="Content" ObjectID="_1791375586" r:id="rId1263"/>
        </w:object>
      </w:r>
      <w:r w:rsidRPr="00A62FF4">
        <w:rPr>
          <w:rFonts w:hint="cs"/>
          <w:sz w:val="23"/>
          <w:szCs w:val="23"/>
          <w:rtl/>
        </w:rPr>
        <w:t xml:space="preserve"> بسیار بیشتر از</w:t>
      </w:r>
      <w:r w:rsidRPr="00A62FF4">
        <w:rPr>
          <w:position w:val="-8"/>
        </w:rPr>
        <w:object w:dxaOrig="660" w:dyaOrig="279" w14:anchorId="72495037">
          <v:shape id="_x0000_i1643" type="#_x0000_t75" style="width:32.65pt;height:13.9pt" o:ole="">
            <v:imagedata r:id="rId1264" o:title=""/>
          </v:shape>
          <o:OLEObject Type="Embed" ProgID="Equation.DSMT4" ShapeID="_x0000_i1643" DrawAspect="Content" ObjectID="_1791375587" r:id="rId1265"/>
        </w:object>
      </w:r>
      <w:r w:rsidRPr="00A62FF4">
        <w:rPr>
          <w:rFonts w:hint="cs"/>
          <w:sz w:val="23"/>
          <w:szCs w:val="23"/>
          <w:rtl/>
        </w:rPr>
        <w:t xml:space="preserve"> خواهد بود. در نتیجه نرخ رشد</w:t>
      </w:r>
      <w:r w:rsidRPr="00A62FF4">
        <w:rPr>
          <w:position w:val="-6"/>
        </w:rPr>
        <w:object w:dxaOrig="200" w:dyaOrig="260" w14:anchorId="019737DC">
          <v:shape id="_x0000_i1644" type="#_x0000_t75" style="width:10.3pt;height:12.7pt" o:ole="">
            <v:imagedata r:id="rId1266" o:title=""/>
          </v:shape>
          <o:OLEObject Type="Embed" ProgID="Equation.DSMT4" ShapeID="_x0000_i1644" DrawAspect="Content" ObjectID="_1791375588" r:id="rId1267"/>
        </w:object>
      </w:r>
      <w:r w:rsidRPr="00A62FF4">
        <w:rPr>
          <w:rFonts w:hint="cs"/>
          <w:sz w:val="23"/>
          <w:szCs w:val="23"/>
          <w:rtl/>
        </w:rPr>
        <w:t xml:space="preserve"> بسیار زیاد و با افزایش</w:t>
      </w:r>
      <w:r w:rsidRPr="00A62FF4">
        <w:rPr>
          <w:position w:val="-6"/>
        </w:rPr>
        <w:object w:dxaOrig="200" w:dyaOrig="260" w14:anchorId="2146995D">
          <v:shape id="_x0000_i1645" type="#_x0000_t75" style="width:10.3pt;height:12.7pt" o:ole="">
            <v:imagedata r:id="rId1268" o:title=""/>
          </v:shape>
          <o:OLEObject Type="Embed" ProgID="Equation.DSMT4" ShapeID="_x0000_i1645" DrawAspect="Content" ObjectID="_1791375589" r:id="rId1269"/>
        </w:object>
      </w:r>
      <w:r w:rsidRPr="00A62FF4">
        <w:rPr>
          <w:rFonts w:hint="cs"/>
          <w:sz w:val="23"/>
          <w:szCs w:val="23"/>
          <w:rtl/>
        </w:rPr>
        <w:t xml:space="preserve"> نرخ رشد</w:t>
      </w:r>
      <w:r w:rsidRPr="00A62FF4">
        <w:rPr>
          <w:position w:val="-6"/>
        </w:rPr>
        <w:object w:dxaOrig="200" w:dyaOrig="260" w14:anchorId="2C763F3B">
          <v:shape id="_x0000_i1646" type="#_x0000_t75" style="width:10.3pt;height:12.7pt" o:ole="">
            <v:imagedata r:id="rId1270" o:title=""/>
          </v:shape>
          <o:OLEObject Type="Embed" ProgID="Equation.DSMT4" ShapeID="_x0000_i1646" DrawAspect="Content" ObjectID="_1791375590" r:id="rId1271"/>
        </w:object>
      </w:r>
      <w:r w:rsidRPr="00A62FF4">
        <w:rPr>
          <w:rFonts w:hint="cs"/>
          <w:sz w:val="23"/>
          <w:szCs w:val="23"/>
          <w:rtl/>
        </w:rPr>
        <w:t xml:space="preserve"> مرتباً کاهش خواهد یافت و بالعکس. </w:t>
      </w:r>
    </w:p>
    <w:p w14:paraId="0FEC2E23" w14:textId="77777777" w:rsidR="00411620" w:rsidRPr="00A62FF4" w:rsidRDefault="00411620" w:rsidP="00411620">
      <w:pPr>
        <w:tabs>
          <w:tab w:val="right" w:pos="6662"/>
        </w:tabs>
        <w:spacing w:line="216" w:lineRule="auto"/>
        <w:rPr>
          <w:sz w:val="23"/>
          <w:szCs w:val="23"/>
          <w:rtl/>
        </w:rPr>
      </w:pPr>
      <w:r w:rsidRPr="00A62FF4">
        <w:rPr>
          <w:rFonts w:hint="cs"/>
          <w:sz w:val="23"/>
          <w:szCs w:val="23"/>
          <w:rtl/>
        </w:rPr>
        <w:t>همان</w:t>
      </w:r>
      <w:r w:rsidRPr="00A62FF4">
        <w:rPr>
          <w:sz w:val="23"/>
          <w:szCs w:val="23"/>
          <w:rtl/>
        </w:rPr>
        <w:softHyphen/>
      </w:r>
      <w:r w:rsidRPr="00A62FF4">
        <w:rPr>
          <w:rFonts w:hint="cs"/>
          <w:sz w:val="23"/>
          <w:szCs w:val="23"/>
          <w:rtl/>
        </w:rPr>
        <w:t>گونه که در نمودار ۳. ۲ ملاحظه می‌شود رشد موجودی سرمایه</w:t>
      </w:r>
      <w:r w:rsidRPr="00A62FF4">
        <w:rPr>
          <w:sz w:val="23"/>
          <w:szCs w:val="23"/>
          <w:rtl/>
        </w:rPr>
        <w:softHyphen/>
      </w:r>
      <w:r w:rsidRPr="00A62FF4">
        <w:rPr>
          <w:rFonts w:hint="cs"/>
          <w:sz w:val="23"/>
          <w:szCs w:val="23"/>
          <w:rtl/>
        </w:rPr>
        <w:t>ی سرانه در وضعیت یکنواخت و بلندمدت برابر با صفر است. از آنجا که</w:t>
      </w:r>
      <w:r w:rsidRPr="00A62FF4">
        <w:rPr>
          <w:position w:val="-8"/>
        </w:rPr>
        <w:object w:dxaOrig="980" w:dyaOrig="320" w14:anchorId="4F64937C">
          <v:shape id="_x0000_i1647" type="#_x0000_t75" style="width:49pt;height:15.75pt" o:ole="">
            <v:imagedata r:id="rId1272" o:title=""/>
          </v:shape>
          <o:OLEObject Type="Embed" ProgID="Equation.DSMT4" ShapeID="_x0000_i1647" DrawAspect="Content" ObjectID="_1791375591" r:id="rId1273"/>
        </w:object>
      </w:r>
      <w:r w:rsidRPr="00A62FF4">
        <w:rPr>
          <w:rFonts w:hint="cs"/>
          <w:sz w:val="23"/>
          <w:szCs w:val="23"/>
          <w:rtl/>
        </w:rPr>
        <w:t xml:space="preserve"> و</w:t>
      </w:r>
      <w:r w:rsidRPr="00A62FF4">
        <w:rPr>
          <w:position w:val="-12"/>
        </w:rPr>
        <w:object w:dxaOrig="1500" w:dyaOrig="360" w14:anchorId="607AE475">
          <v:shape id="_x0000_i1648" type="#_x0000_t75" style="width:75.05pt;height:18.15pt" o:ole="">
            <v:imagedata r:id="rId1274" o:title=""/>
          </v:shape>
          <o:OLEObject Type="Embed" ProgID="Equation.DSMT4" ShapeID="_x0000_i1648" DrawAspect="Content" ObjectID="_1791375592" r:id="rId1275"/>
        </w:object>
      </w:r>
      <w:r w:rsidRPr="00A62FF4">
        <w:rPr>
          <w:rFonts w:hint="cs"/>
          <w:sz w:val="23"/>
          <w:szCs w:val="23"/>
          <w:rtl/>
        </w:rPr>
        <w:t xml:space="preserve"> است، لذا نرخ رشد تولید سرانه و مصرف سرانه در بلندمدت نیز برابر صفر خواهد بود. همچنین از آن</w:t>
      </w:r>
      <w:r w:rsidRPr="00A62FF4">
        <w:rPr>
          <w:sz w:val="23"/>
          <w:szCs w:val="23"/>
          <w:rtl/>
        </w:rPr>
        <w:softHyphen/>
      </w:r>
      <w:r w:rsidRPr="00A62FF4">
        <w:rPr>
          <w:rFonts w:hint="cs"/>
          <w:sz w:val="23"/>
          <w:szCs w:val="23"/>
          <w:rtl/>
        </w:rPr>
        <w:t>جا که داریم</w:t>
      </w:r>
      <w:r w:rsidRPr="00A62FF4">
        <w:rPr>
          <w:position w:val="-6"/>
        </w:rPr>
        <w:object w:dxaOrig="920" w:dyaOrig="260" w14:anchorId="659B4DF2">
          <v:shape id="_x0000_i1649" type="#_x0000_t75" style="width:46pt;height:12.7pt" o:ole="">
            <v:imagedata r:id="rId1276" o:title=""/>
          </v:shape>
          <o:OLEObject Type="Embed" ProgID="Equation.DSMT4" ShapeID="_x0000_i1649" DrawAspect="Content" ObjectID="_1791375593" r:id="rId1277"/>
        </w:object>
      </w:r>
      <w:r w:rsidRPr="00A62FF4">
        <w:rPr>
          <w:rFonts w:eastAsiaTheme="minorEastAsia" w:hint="cs"/>
          <w:sz w:val="23"/>
          <w:szCs w:val="23"/>
          <w:rtl/>
        </w:rPr>
        <w:t>،</w:t>
      </w:r>
      <w:r w:rsidRPr="00A62FF4">
        <w:rPr>
          <w:position w:val="-8"/>
        </w:rPr>
        <w:object w:dxaOrig="880" w:dyaOrig="279" w14:anchorId="120A16E8">
          <v:shape id="_x0000_i1650" type="#_x0000_t75" style="width:44.15pt;height:13.9pt" o:ole="">
            <v:imagedata r:id="rId1278" o:title=""/>
          </v:shape>
          <o:OLEObject Type="Embed" ProgID="Equation.DSMT4" ShapeID="_x0000_i1650" DrawAspect="Content" ObjectID="_1791375594" r:id="rId1279"/>
        </w:object>
      </w:r>
      <w:r w:rsidRPr="00A62FF4">
        <w:rPr>
          <w:rFonts w:hint="cs"/>
          <w:sz w:val="23"/>
          <w:szCs w:val="23"/>
          <w:rtl/>
        </w:rPr>
        <w:t>و</w:t>
      </w:r>
      <w:r w:rsidRPr="00A62FF4">
        <w:rPr>
          <w:position w:val="-6"/>
        </w:rPr>
        <w:object w:dxaOrig="840" w:dyaOrig="260" w14:anchorId="281D7B87">
          <v:shape id="_x0000_i1651" type="#_x0000_t75" style="width:41.75pt;height:12.7pt" o:ole="">
            <v:imagedata r:id="rId1280" o:title=""/>
          </v:shape>
          <o:OLEObject Type="Embed" ProgID="Equation.DSMT4" ShapeID="_x0000_i1651" DrawAspect="Content" ObjectID="_1791375595" r:id="rId1281"/>
        </w:object>
      </w:r>
      <w:r w:rsidRPr="00A62FF4">
        <w:rPr>
          <w:rFonts w:hint="cs"/>
          <w:sz w:val="23"/>
          <w:szCs w:val="23"/>
          <w:rtl/>
        </w:rPr>
        <w:t>، لذا نرخ رشد</w:t>
      </w:r>
      <w:r w:rsidRPr="00A62FF4">
        <w:rPr>
          <w:position w:val="-6"/>
        </w:rPr>
        <w:object w:dxaOrig="220" w:dyaOrig="260" w14:anchorId="0E18BB32">
          <v:shape id="_x0000_i1652" type="#_x0000_t75" style="width:10.9pt;height:12.7pt" o:ole="">
            <v:imagedata r:id="rId1282" o:title=""/>
          </v:shape>
          <o:OLEObject Type="Embed" ProgID="Equation.DSMT4" ShapeID="_x0000_i1652" DrawAspect="Content" ObjectID="_1791375596" r:id="rId1283"/>
        </w:object>
      </w:r>
      <w:r w:rsidRPr="00A62FF4">
        <w:rPr>
          <w:rFonts w:hint="cs"/>
          <w:sz w:val="23"/>
          <w:szCs w:val="23"/>
          <w:rtl/>
        </w:rPr>
        <w:t>،</w:t>
      </w:r>
      <w:r w:rsidRPr="00025957">
        <w:rPr>
          <w:position w:val="-4"/>
        </w:rPr>
        <w:object w:dxaOrig="240" w:dyaOrig="240" w14:anchorId="65D215C6">
          <v:shape id="_x0000_i1653" type="#_x0000_t75" style="width:11.5pt;height:11.5pt" o:ole="">
            <v:imagedata r:id="rId1284" o:title=""/>
          </v:shape>
          <o:OLEObject Type="Embed" ProgID="Equation.DSMT4" ShapeID="_x0000_i1653" DrawAspect="Content" ObjectID="_1791375597" r:id="rId1285"/>
        </w:object>
      </w:r>
      <w:r w:rsidRPr="00A62FF4">
        <w:rPr>
          <w:sz w:val="23"/>
          <w:szCs w:val="23"/>
        </w:rPr>
        <w:t xml:space="preserve"> </w:t>
      </w:r>
      <w:r w:rsidRPr="00A62FF4">
        <w:rPr>
          <w:rFonts w:hint="cs"/>
          <w:sz w:val="23"/>
          <w:szCs w:val="23"/>
          <w:rtl/>
        </w:rPr>
        <w:t>و</w:t>
      </w:r>
      <w:r w:rsidRPr="00025957">
        <w:rPr>
          <w:position w:val="-4"/>
        </w:rPr>
        <w:object w:dxaOrig="260" w:dyaOrig="240" w14:anchorId="479A3801">
          <v:shape id="_x0000_i1654" type="#_x0000_t75" style="width:12.7pt;height:11.5pt" o:ole="">
            <v:imagedata r:id="rId1286" o:title=""/>
          </v:shape>
          <o:OLEObject Type="Embed" ProgID="Equation.DSMT4" ShapeID="_x0000_i1654" DrawAspect="Content" ObjectID="_1791375598" r:id="rId1287"/>
        </w:object>
      </w:r>
      <w:r w:rsidRPr="00A62FF4">
        <w:rPr>
          <w:rFonts w:hint="cs"/>
          <w:sz w:val="23"/>
          <w:szCs w:val="23"/>
          <w:rtl/>
        </w:rPr>
        <w:t xml:space="preserve"> در بلندمدت برابر با نرخ رشد جمعیت یعنی </w:t>
      </w:r>
      <w:r w:rsidRPr="00A62FF4">
        <w:rPr>
          <w:position w:val="-6"/>
        </w:rPr>
        <w:object w:dxaOrig="200" w:dyaOrig="200" w14:anchorId="0263477F">
          <v:shape id="_x0000_i1655" type="#_x0000_t75" style="width:10.3pt;height:10.3pt" o:ole="">
            <v:imagedata r:id="rId1288" o:title=""/>
          </v:shape>
          <o:OLEObject Type="Embed" ProgID="Equation.DSMT4" ShapeID="_x0000_i1655" DrawAspect="Content" ObjectID="_1791375599" r:id="rId1289"/>
        </w:object>
      </w:r>
      <w:r w:rsidRPr="00A62FF4">
        <w:rPr>
          <w:rFonts w:hint="cs"/>
          <w:sz w:val="23"/>
          <w:szCs w:val="23"/>
          <w:rtl/>
        </w:rPr>
        <w:t xml:space="preserve"> خواهد بود. </w:t>
      </w:r>
    </w:p>
    <w:p w14:paraId="72B2B839" w14:textId="77777777" w:rsidR="00411620" w:rsidRPr="00A62FF4" w:rsidRDefault="00411620" w:rsidP="00411620">
      <w:pPr>
        <w:spacing w:line="216" w:lineRule="auto"/>
        <w:rPr>
          <w:sz w:val="23"/>
          <w:szCs w:val="23"/>
        </w:rPr>
      </w:pPr>
      <w:r w:rsidRPr="00A62FF4">
        <w:rPr>
          <w:rFonts w:hint="cs"/>
          <w:sz w:val="23"/>
          <w:szCs w:val="23"/>
          <w:rtl/>
        </w:rPr>
        <w:t>اگر نرخ پس</w:t>
      </w:r>
      <w:r w:rsidRPr="00A62FF4">
        <w:rPr>
          <w:sz w:val="23"/>
          <w:szCs w:val="23"/>
          <w:rtl/>
        </w:rPr>
        <w:softHyphen/>
      </w:r>
      <w:r w:rsidRPr="00A62FF4">
        <w:rPr>
          <w:rFonts w:hint="cs"/>
          <w:sz w:val="23"/>
          <w:szCs w:val="23"/>
          <w:rtl/>
        </w:rPr>
        <w:t>انداز و یا تکنولوژی افزایش، و یا نرخ رشد جمعیت یا نرخ استهلاک کاهش یابد، آنگاه سطح موجودی سرمایه</w:t>
      </w:r>
      <w:r w:rsidRPr="00A62FF4">
        <w:rPr>
          <w:sz w:val="23"/>
          <w:szCs w:val="23"/>
          <w:rtl/>
        </w:rPr>
        <w:softHyphen/>
      </w:r>
      <w:r w:rsidRPr="00A62FF4">
        <w:rPr>
          <w:rFonts w:hint="cs"/>
          <w:sz w:val="23"/>
          <w:szCs w:val="23"/>
          <w:rtl/>
        </w:rPr>
        <w:t>ی سرانه در بلندمدت افزایش یافته ولی نرخ رشد آن مجدداً برابر صفر است. لذا تغییرات</w:t>
      </w:r>
      <w:r w:rsidRPr="00025957">
        <w:rPr>
          <w:position w:val="-4"/>
        </w:rPr>
        <w:object w:dxaOrig="240" w:dyaOrig="240" w14:anchorId="35BA9167">
          <v:shape id="_x0000_i1656" type="#_x0000_t75" style="width:11.5pt;height:11.5pt" o:ole="">
            <v:imagedata r:id="rId1290" o:title=""/>
          </v:shape>
          <o:OLEObject Type="Embed" ProgID="Equation.DSMT4" ShapeID="_x0000_i1656" DrawAspect="Content" ObjectID="_1791375600" r:id="rId1291"/>
        </w:object>
      </w:r>
      <w:r w:rsidRPr="00A62FF4">
        <w:rPr>
          <w:rFonts w:hint="cs"/>
          <w:sz w:val="23"/>
          <w:szCs w:val="23"/>
          <w:rtl/>
        </w:rPr>
        <w:t>،</w:t>
      </w:r>
      <w:r w:rsidRPr="00A62FF4">
        <w:rPr>
          <w:position w:val="-6"/>
        </w:rPr>
        <w:object w:dxaOrig="160" w:dyaOrig="200" w14:anchorId="5168F416">
          <v:shape id="_x0000_i1657" type="#_x0000_t75" style="width:8.45pt;height:10.3pt" o:ole="">
            <v:imagedata r:id="rId1292" o:title=""/>
          </v:shape>
          <o:OLEObject Type="Embed" ProgID="Equation.DSMT4" ShapeID="_x0000_i1657" DrawAspect="Content" ObjectID="_1791375601" r:id="rId1293"/>
        </w:object>
      </w:r>
      <w:r w:rsidRPr="00A62FF4">
        <w:rPr>
          <w:rFonts w:hint="cs"/>
          <w:sz w:val="23"/>
          <w:szCs w:val="23"/>
          <w:rtl/>
        </w:rPr>
        <w:t>،</w:t>
      </w:r>
      <w:r w:rsidRPr="00A62FF4">
        <w:rPr>
          <w:position w:val="-6"/>
        </w:rPr>
        <w:object w:dxaOrig="200" w:dyaOrig="200" w14:anchorId="4268CE67">
          <v:shape id="_x0000_i1658" type="#_x0000_t75" style="width:10.3pt;height:10.3pt" o:ole="">
            <v:imagedata r:id="rId1294" o:title=""/>
          </v:shape>
          <o:OLEObject Type="Embed" ProgID="Equation.DSMT4" ShapeID="_x0000_i1658" DrawAspect="Content" ObjectID="_1791375602" r:id="rId1295"/>
        </w:object>
      </w:r>
      <w:r w:rsidRPr="00A62FF4">
        <w:rPr>
          <w:rFonts w:hint="cs"/>
          <w:sz w:val="23"/>
          <w:szCs w:val="23"/>
          <w:rtl/>
        </w:rPr>
        <w:t xml:space="preserve"> و</w:t>
      </w:r>
      <w:r w:rsidRPr="00A62FF4">
        <w:rPr>
          <w:position w:val="-6"/>
        </w:rPr>
        <w:object w:dxaOrig="200" w:dyaOrig="260" w14:anchorId="49C31A29">
          <v:shape id="_x0000_i1659" type="#_x0000_t75" style="width:10.3pt;height:12.7pt" o:ole="">
            <v:imagedata r:id="rId1296" o:title=""/>
          </v:shape>
          <o:OLEObject Type="Embed" ProgID="Equation.DSMT4" ShapeID="_x0000_i1659" DrawAspect="Content" ObjectID="_1791375603" r:id="rId1297"/>
        </w:object>
      </w:r>
      <w:r w:rsidRPr="00A62FF4">
        <w:rPr>
          <w:rFonts w:hint="cs"/>
          <w:sz w:val="23"/>
          <w:szCs w:val="23"/>
          <w:rtl/>
        </w:rPr>
        <w:t xml:space="preserve"> در بلندمدت بر نرخ رشد متغیرها بی</w:t>
      </w:r>
      <w:r w:rsidRPr="00A62FF4">
        <w:rPr>
          <w:rFonts w:hint="cs"/>
          <w:sz w:val="23"/>
          <w:szCs w:val="23"/>
          <w:rtl/>
        </w:rPr>
        <w:softHyphen/>
        <w:t>تاثیر است ولی در کوتاه</w:t>
      </w:r>
      <w:r w:rsidRPr="00A62FF4">
        <w:rPr>
          <w:sz w:val="23"/>
          <w:szCs w:val="23"/>
          <w:rtl/>
        </w:rPr>
        <w:softHyphen/>
      </w:r>
      <w:r w:rsidRPr="00A62FF4">
        <w:rPr>
          <w:rFonts w:hint="cs"/>
          <w:sz w:val="23"/>
          <w:szCs w:val="23"/>
          <w:rtl/>
        </w:rPr>
        <w:t>مدت این</w:t>
      </w:r>
      <w:r w:rsidRPr="00A62FF4">
        <w:rPr>
          <w:sz w:val="23"/>
          <w:szCs w:val="23"/>
          <w:rtl/>
        </w:rPr>
        <w:softHyphen/>
      </w:r>
      <w:r w:rsidRPr="00A62FF4">
        <w:rPr>
          <w:rFonts w:hint="cs"/>
          <w:sz w:val="23"/>
          <w:szCs w:val="23"/>
          <w:rtl/>
        </w:rPr>
        <w:t xml:space="preserve">گونه نیست. </w:t>
      </w:r>
    </w:p>
    <w:p w14:paraId="4D5255CC" w14:textId="77777777" w:rsidR="00411620" w:rsidRPr="00A62FF4" w:rsidRDefault="00411620" w:rsidP="00411620">
      <w:pPr>
        <w:spacing w:line="216" w:lineRule="auto"/>
        <w:rPr>
          <w:sz w:val="23"/>
          <w:szCs w:val="23"/>
          <w:rtl/>
        </w:rPr>
      </w:pPr>
      <w:r w:rsidRPr="00A62FF4">
        <w:rPr>
          <w:rFonts w:hint="cs"/>
          <w:sz w:val="23"/>
          <w:szCs w:val="23"/>
          <w:rtl/>
        </w:rPr>
        <w:t>همچنین رابطه</w:t>
      </w:r>
      <w:r w:rsidRPr="00A62FF4">
        <w:rPr>
          <w:sz w:val="23"/>
          <w:szCs w:val="23"/>
          <w:rtl/>
        </w:rPr>
        <w:softHyphen/>
      </w:r>
      <w:r w:rsidRPr="00A62FF4">
        <w:rPr>
          <w:rFonts w:hint="cs"/>
          <w:sz w:val="23"/>
          <w:szCs w:val="23"/>
          <w:rtl/>
        </w:rPr>
        <w:t>ی بین رشد موجودی سرمایه</w:t>
      </w:r>
      <w:r w:rsidRPr="00A62FF4">
        <w:rPr>
          <w:sz w:val="23"/>
          <w:szCs w:val="23"/>
          <w:rtl/>
        </w:rPr>
        <w:softHyphen/>
      </w:r>
      <w:r w:rsidRPr="00A62FF4">
        <w:rPr>
          <w:rFonts w:hint="cs"/>
          <w:sz w:val="23"/>
          <w:szCs w:val="23"/>
          <w:rtl/>
        </w:rPr>
        <w:t>ی سرانه و موجودی سرمایه</w:t>
      </w:r>
      <w:r w:rsidRPr="00A62FF4">
        <w:rPr>
          <w:sz w:val="23"/>
          <w:szCs w:val="23"/>
          <w:rtl/>
        </w:rPr>
        <w:softHyphen/>
      </w:r>
      <w:r w:rsidRPr="00A62FF4">
        <w:rPr>
          <w:rFonts w:hint="cs"/>
          <w:sz w:val="23"/>
          <w:szCs w:val="23"/>
          <w:rtl/>
        </w:rPr>
        <w:t>ی سرانه را می</w:t>
      </w:r>
      <w:r w:rsidRPr="00A62FF4">
        <w:rPr>
          <w:sz w:val="23"/>
          <w:szCs w:val="23"/>
          <w:rtl/>
        </w:rPr>
        <w:softHyphen/>
      </w:r>
      <w:r w:rsidRPr="00A62FF4">
        <w:rPr>
          <w:rFonts w:hint="cs"/>
          <w:sz w:val="23"/>
          <w:szCs w:val="23"/>
          <w:rtl/>
        </w:rPr>
        <w:t>توان از معادله</w:t>
      </w:r>
      <w:r w:rsidRPr="00A62FF4">
        <w:rPr>
          <w:sz w:val="23"/>
          <w:szCs w:val="23"/>
          <w:rtl/>
        </w:rPr>
        <w:softHyphen/>
      </w:r>
      <w:r w:rsidRPr="00A62FF4">
        <w:rPr>
          <w:rFonts w:hint="cs"/>
          <w:sz w:val="23"/>
          <w:szCs w:val="23"/>
          <w:rtl/>
        </w:rPr>
        <w:t xml:space="preserve">ی </w:t>
      </w:r>
      <w:r w:rsidRPr="00A62FF4">
        <w:rPr>
          <w:rFonts w:hint="cs"/>
          <w:sz w:val="23"/>
          <w:szCs w:val="23"/>
          <w:rtl/>
          <w:lang w:val="en-GB"/>
        </w:rPr>
        <w:t>(۳. ۱) نیز به صورت زیر استخراج نمود</w:t>
      </w:r>
      <w:r w:rsidRPr="00A62FF4">
        <w:rPr>
          <w:rFonts w:hint="cs"/>
          <w:sz w:val="23"/>
          <w:szCs w:val="23"/>
          <w:rtl/>
        </w:rPr>
        <w:t>. در این معادله داشتیم</w:t>
      </w:r>
    </w:p>
    <w:p w14:paraId="6AB24CF2" w14:textId="77777777" w:rsidR="00411620" w:rsidRPr="00A62FF4" w:rsidRDefault="00411620" w:rsidP="00411620">
      <w:pPr>
        <w:bidi w:val="0"/>
        <w:spacing w:line="216" w:lineRule="auto"/>
        <w:rPr>
          <w:rFonts w:eastAsiaTheme="minorEastAsia"/>
          <w:sz w:val="23"/>
          <w:szCs w:val="23"/>
        </w:rPr>
      </w:pPr>
      <w:r w:rsidRPr="00A62FF4">
        <w:rPr>
          <w:position w:val="-22"/>
        </w:rPr>
        <w:object w:dxaOrig="2340" w:dyaOrig="560" w14:anchorId="5CCF8171">
          <v:shape id="_x0000_i1660" type="#_x0000_t75" style="width:116.75pt;height:27.85pt" o:ole="">
            <v:imagedata r:id="rId1298" o:title=""/>
          </v:shape>
          <o:OLEObject Type="Embed" ProgID="Equation.DSMT4" ShapeID="_x0000_i1660" DrawAspect="Content" ObjectID="_1791375604" r:id="rId1299"/>
        </w:object>
      </w:r>
    </w:p>
    <w:p w14:paraId="553ED7F3" w14:textId="77777777" w:rsidR="00411620" w:rsidRPr="00A62FF4" w:rsidRDefault="00411620" w:rsidP="00411620">
      <w:pPr>
        <w:spacing w:line="216" w:lineRule="auto"/>
        <w:rPr>
          <w:rFonts w:eastAsiaTheme="minorEastAsia"/>
          <w:sz w:val="23"/>
          <w:szCs w:val="23"/>
          <w:rtl/>
          <w:lang w:val="en-GB"/>
        </w:rPr>
      </w:pPr>
      <w:r w:rsidRPr="00A62FF4">
        <w:rPr>
          <w:rFonts w:eastAsiaTheme="minorEastAsia" w:hint="cs"/>
          <w:sz w:val="23"/>
          <w:szCs w:val="23"/>
          <w:rtl/>
        </w:rPr>
        <w:t xml:space="preserve">با مشتق از تابع فوق نسبت به </w:t>
      </w:r>
      <w:r w:rsidRPr="00A62FF4">
        <w:rPr>
          <w:position w:val="-6"/>
        </w:rPr>
        <w:object w:dxaOrig="200" w:dyaOrig="260" w14:anchorId="1FA5B122">
          <v:shape id="_x0000_i1661" type="#_x0000_t75" style="width:10.3pt;height:12.7pt" o:ole="">
            <v:imagedata r:id="rId1300" o:title=""/>
          </v:shape>
          <o:OLEObject Type="Embed" ProgID="Equation.DSMT4" ShapeID="_x0000_i1661" DrawAspect="Content" ObjectID="_1791375605" r:id="rId1301"/>
        </w:object>
      </w:r>
      <w:r w:rsidRPr="00A62FF4">
        <w:rPr>
          <w:rFonts w:eastAsiaTheme="minorEastAsia" w:hint="cs"/>
          <w:sz w:val="23"/>
          <w:szCs w:val="23"/>
          <w:rtl/>
          <w:lang w:val="en-GB"/>
        </w:rPr>
        <w:t xml:space="preserve"> خواهیم داشت:</w:t>
      </w:r>
    </w:p>
    <w:p w14:paraId="66EF5EAA" w14:textId="77777777" w:rsidR="00411620" w:rsidRPr="00A62FF4" w:rsidRDefault="00411620" w:rsidP="00411620">
      <w:pPr>
        <w:bidi w:val="0"/>
        <w:spacing w:line="216" w:lineRule="auto"/>
        <w:rPr>
          <w:rFonts w:eastAsiaTheme="minorEastAsia"/>
          <w:sz w:val="23"/>
          <w:szCs w:val="23"/>
        </w:rPr>
      </w:pPr>
      <w:r w:rsidRPr="00A62FF4">
        <w:rPr>
          <w:position w:val="-30"/>
        </w:rPr>
        <w:object w:dxaOrig="4540" w:dyaOrig="720" w14:anchorId="32891A1A">
          <v:shape id="_x0000_i1662" type="#_x0000_t75" style="width:226.9pt;height:36.3pt" o:ole="">
            <v:imagedata r:id="rId1302" o:title=""/>
          </v:shape>
          <o:OLEObject Type="Embed" ProgID="Equation.DSMT4" ShapeID="_x0000_i1662" DrawAspect="Content" ObjectID="_1791375606" r:id="rId1303"/>
        </w:object>
      </w:r>
    </w:p>
    <w:p w14:paraId="080F945A" w14:textId="77777777" w:rsidR="00411620" w:rsidRPr="00A62FF4" w:rsidRDefault="00411620" w:rsidP="00411620">
      <w:pPr>
        <w:spacing w:line="216" w:lineRule="auto"/>
        <w:rPr>
          <w:sz w:val="23"/>
          <w:szCs w:val="23"/>
          <w:rtl/>
        </w:rPr>
      </w:pPr>
      <w:r w:rsidRPr="00A62FF4">
        <w:rPr>
          <w:rFonts w:hint="cs"/>
          <w:sz w:val="23"/>
          <w:szCs w:val="23"/>
          <w:rtl/>
        </w:rPr>
        <w:t>لذا با افزایش موجودی سرمایه</w:t>
      </w:r>
      <w:r w:rsidRPr="00A62FF4">
        <w:rPr>
          <w:sz w:val="23"/>
          <w:szCs w:val="23"/>
          <w:rtl/>
        </w:rPr>
        <w:softHyphen/>
      </w:r>
      <w:r w:rsidRPr="00A62FF4">
        <w:rPr>
          <w:rFonts w:hint="cs"/>
          <w:sz w:val="23"/>
          <w:szCs w:val="23"/>
          <w:rtl/>
        </w:rPr>
        <w:t>ی سرانه، رشد موجودی سرمایه</w:t>
      </w:r>
      <w:r w:rsidRPr="00A62FF4">
        <w:rPr>
          <w:sz w:val="23"/>
          <w:szCs w:val="23"/>
          <w:rtl/>
        </w:rPr>
        <w:softHyphen/>
      </w:r>
      <w:r w:rsidRPr="00A62FF4">
        <w:rPr>
          <w:rFonts w:hint="cs"/>
          <w:sz w:val="23"/>
          <w:szCs w:val="23"/>
          <w:rtl/>
        </w:rPr>
        <w:t>ی سرانه کاهش خواهد یافت.</w:t>
      </w:r>
      <w:r w:rsidRPr="00A62FF4">
        <w:rPr>
          <w:sz w:val="23"/>
          <w:szCs w:val="23"/>
        </w:rPr>
        <w:t xml:space="preserve"> </w:t>
      </w:r>
    </w:p>
    <w:p w14:paraId="58BAE615" w14:textId="77777777" w:rsidR="00411620" w:rsidRPr="00A62FF4" w:rsidRDefault="00411620" w:rsidP="00411620">
      <w:pPr>
        <w:spacing w:line="216" w:lineRule="auto"/>
        <w:rPr>
          <w:sz w:val="23"/>
          <w:szCs w:val="23"/>
          <w:rtl/>
        </w:rPr>
      </w:pPr>
      <w:r w:rsidRPr="00A62FF4">
        <w:rPr>
          <w:rFonts w:hint="cs"/>
          <w:sz w:val="23"/>
          <w:szCs w:val="23"/>
          <w:rtl/>
        </w:rPr>
        <w:t>در خصوص رابطه</w:t>
      </w:r>
      <w:r w:rsidRPr="00A62FF4">
        <w:rPr>
          <w:sz w:val="23"/>
          <w:szCs w:val="23"/>
          <w:rtl/>
        </w:rPr>
        <w:softHyphen/>
      </w:r>
      <w:r w:rsidRPr="00A62FF4">
        <w:rPr>
          <w:rFonts w:hint="cs"/>
          <w:sz w:val="23"/>
          <w:szCs w:val="23"/>
          <w:rtl/>
        </w:rPr>
        <w:t>ی بین موجودی سرمایه</w:t>
      </w:r>
      <w:r w:rsidRPr="00A62FF4">
        <w:rPr>
          <w:sz w:val="23"/>
          <w:szCs w:val="23"/>
          <w:rtl/>
        </w:rPr>
        <w:softHyphen/>
      </w:r>
      <w:r w:rsidRPr="00A62FF4">
        <w:rPr>
          <w:rFonts w:hint="cs"/>
          <w:sz w:val="23"/>
          <w:szCs w:val="23"/>
          <w:rtl/>
        </w:rPr>
        <w:t xml:space="preserve">ی سرانه با رشد تولید یعنی </w:t>
      </w:r>
      <w:r w:rsidRPr="00A62FF4">
        <w:rPr>
          <w:position w:val="-26"/>
        </w:rPr>
        <w:object w:dxaOrig="660" w:dyaOrig="600" w14:anchorId="50BB2C7D">
          <v:shape id="_x0000_i1663" type="#_x0000_t75" style="width:32.65pt;height:29.65pt" o:ole="">
            <v:imagedata r:id="rId1304" o:title=""/>
          </v:shape>
          <o:OLEObject Type="Embed" ProgID="Equation.DSMT4" ShapeID="_x0000_i1663" DrawAspect="Content" ObjectID="_1791375607" r:id="rId1305"/>
        </w:object>
      </w:r>
      <w:r w:rsidRPr="00A62FF4">
        <w:rPr>
          <w:rFonts w:eastAsiaTheme="minorEastAsia" w:hint="cs"/>
          <w:sz w:val="23"/>
          <w:szCs w:val="23"/>
          <w:rtl/>
        </w:rPr>
        <w:t xml:space="preserve"> نیز </w:t>
      </w:r>
      <w:r w:rsidRPr="00A62FF4">
        <w:rPr>
          <w:rFonts w:hint="cs"/>
          <w:sz w:val="23"/>
          <w:szCs w:val="23"/>
          <w:rtl/>
        </w:rPr>
        <w:t xml:space="preserve">داریم </w:t>
      </w:r>
    </w:p>
    <w:p w14:paraId="1519A5F9" w14:textId="77777777" w:rsidR="00411620" w:rsidRPr="00A62FF4" w:rsidRDefault="00411620" w:rsidP="00411620">
      <w:pPr>
        <w:pStyle w:val="MTDisplayEquation"/>
        <w:spacing w:line="216" w:lineRule="auto"/>
        <w:rPr>
          <w:rFonts w:ascii="Times New Roman" w:eastAsiaTheme="minorEastAsia" w:hAnsi="Times New Roman" w:cs="B Nazanin"/>
          <w:sz w:val="23"/>
          <w:szCs w:val="23"/>
          <w:rtl/>
        </w:rPr>
      </w:pPr>
      <w:r w:rsidRPr="00A62FF4">
        <w:rPr>
          <w:position w:val="-22"/>
        </w:rPr>
        <w:object w:dxaOrig="3960" w:dyaOrig="620" w14:anchorId="37A69778">
          <v:shape id="_x0000_i1664" type="#_x0000_t75" style="width:198.45pt;height:31.45pt" o:ole="">
            <v:imagedata r:id="rId1306" o:title=""/>
          </v:shape>
          <o:OLEObject Type="Embed" ProgID="Equation.DSMT4" ShapeID="_x0000_i1664" DrawAspect="Content" ObjectID="_1791375608" r:id="rId1307"/>
        </w:object>
      </w:r>
    </w:p>
    <w:p w14:paraId="1400FBFB" w14:textId="77777777" w:rsidR="00411620" w:rsidRPr="00A62FF4" w:rsidRDefault="00411620" w:rsidP="00411620">
      <w:pPr>
        <w:pStyle w:val="MTDisplayEquation"/>
        <w:spacing w:line="216" w:lineRule="auto"/>
        <w:rPr>
          <w:rFonts w:ascii="Times New Roman" w:hAnsi="Times New Roman" w:cs="B Nazanin"/>
          <w:sz w:val="23"/>
          <w:szCs w:val="23"/>
          <w:rtl/>
        </w:rPr>
      </w:pPr>
      <w:r w:rsidRPr="00A62FF4">
        <w:rPr>
          <w:position w:val="-30"/>
        </w:rPr>
        <w:object w:dxaOrig="6440" w:dyaOrig="700" w14:anchorId="0D0DAB31">
          <v:shape id="_x0000_i1665" type="#_x0000_t75" style="width:321.9pt;height:35.1pt" o:ole="">
            <v:imagedata r:id="rId1308" o:title=""/>
          </v:shape>
          <o:OLEObject Type="Embed" ProgID="Equation.DSMT4" ShapeID="_x0000_i1665" DrawAspect="Content" ObjectID="_1791375609" r:id="rId1309"/>
        </w:object>
      </w:r>
    </w:p>
    <w:p w14:paraId="04CF7A58" w14:textId="77777777" w:rsidR="00411620" w:rsidRPr="00A62FF4" w:rsidRDefault="00411620" w:rsidP="00411620">
      <w:pPr>
        <w:spacing w:line="216" w:lineRule="auto"/>
        <w:rPr>
          <w:rFonts w:eastAsiaTheme="minorEastAsia"/>
          <w:sz w:val="23"/>
          <w:szCs w:val="23"/>
          <w:rtl/>
          <w:lang w:val="en-GB"/>
        </w:rPr>
      </w:pPr>
      <w:r w:rsidRPr="00A62FF4">
        <w:rPr>
          <w:rFonts w:eastAsiaTheme="minorEastAsia" w:hint="cs"/>
          <w:sz w:val="23"/>
          <w:szCs w:val="23"/>
          <w:rtl/>
        </w:rPr>
        <w:t>با مشتق</w:t>
      </w:r>
      <w:r w:rsidRPr="00A62FF4">
        <w:rPr>
          <w:rFonts w:eastAsiaTheme="minorEastAsia"/>
          <w:sz w:val="23"/>
          <w:szCs w:val="23"/>
          <w:rtl/>
        </w:rPr>
        <w:softHyphen/>
      </w:r>
      <w:r w:rsidRPr="00A62FF4">
        <w:rPr>
          <w:rFonts w:eastAsiaTheme="minorEastAsia" w:hint="cs"/>
          <w:sz w:val="23"/>
          <w:szCs w:val="23"/>
          <w:rtl/>
        </w:rPr>
        <w:t xml:space="preserve"> تابع فوق نسبت به</w:t>
      </w:r>
      <w:r w:rsidRPr="00A62FF4">
        <w:rPr>
          <w:position w:val="-6"/>
        </w:rPr>
        <w:object w:dxaOrig="200" w:dyaOrig="260" w14:anchorId="606D2D0C">
          <v:shape id="_x0000_i1666" type="#_x0000_t75" style="width:10.3pt;height:12.7pt" o:ole="">
            <v:imagedata r:id="rId1310" o:title=""/>
          </v:shape>
          <o:OLEObject Type="Embed" ProgID="Equation.DSMT4" ShapeID="_x0000_i1666" DrawAspect="Content" ObjectID="_1791375610" r:id="rId1311"/>
        </w:object>
      </w:r>
      <w:r w:rsidRPr="00A62FF4">
        <w:rPr>
          <w:rFonts w:eastAsiaTheme="minorEastAsia" w:hint="cs"/>
          <w:sz w:val="23"/>
          <w:szCs w:val="23"/>
          <w:rtl/>
          <w:lang w:val="en-GB"/>
        </w:rPr>
        <w:t xml:space="preserve"> خواهیم داشت:</w:t>
      </w:r>
    </w:p>
    <w:p w14:paraId="26953140" w14:textId="77777777" w:rsidR="00411620" w:rsidRPr="00A62FF4" w:rsidRDefault="00411620" w:rsidP="00411620">
      <w:pPr>
        <w:pStyle w:val="MTDisplayEquation"/>
        <w:spacing w:line="216" w:lineRule="auto"/>
        <w:rPr>
          <w:rFonts w:ascii="Times New Roman" w:eastAsiaTheme="minorEastAsia" w:hAnsi="Times New Roman" w:cs="B Nazanin"/>
          <w:sz w:val="23"/>
          <w:szCs w:val="23"/>
        </w:rPr>
      </w:pPr>
      <w:r w:rsidRPr="00A62FF4">
        <w:rPr>
          <w:position w:val="-36"/>
        </w:rPr>
        <w:object w:dxaOrig="4980" w:dyaOrig="880" w14:anchorId="576612AE">
          <v:shape id="_x0000_i1667" type="#_x0000_t75" style="width:248.65pt;height:44.15pt" o:ole="">
            <v:imagedata r:id="rId1312" o:title=""/>
          </v:shape>
          <o:OLEObject Type="Embed" ProgID="Equation.DSMT4" ShapeID="_x0000_i1667" DrawAspect="Content" ObjectID="_1791375611" r:id="rId1313"/>
        </w:object>
      </w:r>
    </w:p>
    <w:p w14:paraId="448F2F54" w14:textId="77777777" w:rsidR="00411620" w:rsidRPr="00A62FF4" w:rsidRDefault="00411620" w:rsidP="00411620">
      <w:pPr>
        <w:pStyle w:val="MTDisplayEquation"/>
        <w:spacing w:line="216" w:lineRule="auto"/>
        <w:rPr>
          <w:rFonts w:ascii="Times New Roman" w:eastAsiaTheme="minorEastAsia" w:hAnsi="Times New Roman" w:cs="B Nazanin"/>
          <w:sz w:val="23"/>
          <w:szCs w:val="23"/>
        </w:rPr>
      </w:pPr>
      <w:r w:rsidRPr="00A62FF4">
        <w:rPr>
          <w:rFonts w:ascii="Times New Roman" w:hAnsi="Times New Roman" w:cs="B Nazanin"/>
          <w:sz w:val="23"/>
          <w:szCs w:val="23"/>
        </w:rPr>
        <w:tab/>
      </w:r>
      <w:r w:rsidRPr="00A62FF4">
        <w:rPr>
          <w:position w:val="-30"/>
        </w:rPr>
        <w:object w:dxaOrig="6300" w:dyaOrig="700" w14:anchorId="01E77794">
          <v:shape id="_x0000_i1668" type="#_x0000_t75" style="width:315.25pt;height:35.1pt" o:ole="">
            <v:imagedata r:id="rId1314" o:title=""/>
          </v:shape>
          <o:OLEObject Type="Embed" ProgID="Equation.DSMT4" ShapeID="_x0000_i1668" DrawAspect="Content" ObjectID="_1791375612" r:id="rId1315"/>
        </w:object>
      </w:r>
    </w:p>
    <w:p w14:paraId="44178381" w14:textId="77777777" w:rsidR="00411620" w:rsidRPr="00A62FF4" w:rsidRDefault="00411620" w:rsidP="00411620">
      <w:pPr>
        <w:pStyle w:val="MTDisplayEquation"/>
        <w:tabs>
          <w:tab w:val="clear" w:pos="3320"/>
          <w:tab w:val="center" w:pos="180"/>
        </w:tabs>
        <w:spacing w:line="216" w:lineRule="auto"/>
        <w:rPr>
          <w:rFonts w:ascii="Times New Roman" w:eastAsiaTheme="minorEastAsia" w:hAnsi="Times New Roman" w:cs="B Nazanin"/>
          <w:sz w:val="23"/>
          <w:szCs w:val="23"/>
          <w:rtl/>
        </w:rPr>
      </w:pPr>
      <w:r w:rsidRPr="00A62FF4">
        <w:rPr>
          <w:rFonts w:ascii="Times New Roman" w:hAnsi="Times New Roman" w:cs="B Nazanin"/>
          <w:sz w:val="23"/>
          <w:szCs w:val="23"/>
        </w:rPr>
        <w:tab/>
      </w:r>
      <w:r w:rsidRPr="00A62FF4">
        <w:rPr>
          <w:position w:val="-30"/>
        </w:rPr>
        <w:object w:dxaOrig="4020" w:dyaOrig="720" w14:anchorId="27E31E7E">
          <v:shape id="_x0000_i1669" type="#_x0000_t75" style="width:200.85pt;height:36.3pt" o:ole="">
            <v:imagedata r:id="rId1316" o:title=""/>
          </v:shape>
          <o:OLEObject Type="Embed" ProgID="Equation.DSMT4" ShapeID="_x0000_i1669" DrawAspect="Content" ObjectID="_1791375613" r:id="rId1317"/>
        </w:object>
      </w:r>
    </w:p>
    <w:p w14:paraId="551CCB79" w14:textId="77777777" w:rsidR="00411620" w:rsidRDefault="00411620" w:rsidP="00411620">
      <w:pPr>
        <w:spacing w:line="216" w:lineRule="auto"/>
        <w:rPr>
          <w:sz w:val="23"/>
          <w:szCs w:val="23"/>
          <w:rtl/>
        </w:rPr>
      </w:pPr>
      <w:r w:rsidRPr="00A62FF4">
        <w:rPr>
          <w:rFonts w:eastAsiaTheme="minorEastAsia" w:hint="cs"/>
          <w:sz w:val="23"/>
          <w:szCs w:val="23"/>
          <w:rtl/>
        </w:rPr>
        <w:t>در رابطه</w:t>
      </w:r>
      <w:r w:rsidRPr="00A62FF4">
        <w:rPr>
          <w:rFonts w:eastAsiaTheme="minorEastAsia"/>
          <w:sz w:val="23"/>
          <w:szCs w:val="23"/>
          <w:rtl/>
        </w:rPr>
        <w:softHyphen/>
      </w:r>
      <w:r w:rsidRPr="00A62FF4">
        <w:rPr>
          <w:rFonts w:eastAsiaTheme="minorEastAsia" w:hint="cs"/>
          <w:sz w:val="23"/>
          <w:szCs w:val="23"/>
          <w:rtl/>
        </w:rPr>
        <w:t>ی</w:t>
      </w:r>
      <w:r w:rsidRPr="00A62FF4">
        <w:rPr>
          <w:rFonts w:eastAsiaTheme="minorEastAsia"/>
          <w:sz w:val="23"/>
          <w:szCs w:val="23"/>
        </w:rPr>
        <w:softHyphen/>
        <w:t xml:space="preserve"> </w:t>
      </w:r>
      <w:r w:rsidRPr="00A62FF4">
        <w:rPr>
          <w:rFonts w:eastAsiaTheme="minorEastAsia" w:hint="cs"/>
          <w:sz w:val="23"/>
          <w:szCs w:val="23"/>
          <w:rtl/>
        </w:rPr>
        <w:t>فوق</w:t>
      </w:r>
      <w:r w:rsidRPr="00A62FF4">
        <w:rPr>
          <w:position w:val="-30"/>
        </w:rPr>
        <w:object w:dxaOrig="2640" w:dyaOrig="720" w14:anchorId="4F158451">
          <v:shape id="_x0000_i1670" type="#_x0000_t75" style="width:132.5pt;height:36.3pt" o:ole="">
            <v:imagedata r:id="rId1318" o:title=""/>
          </v:shape>
          <o:OLEObject Type="Embed" ProgID="Equation.DSMT4" ShapeID="_x0000_i1670" DrawAspect="Content" ObjectID="_1791375614" r:id="rId1319"/>
        </w:object>
      </w:r>
      <w:r w:rsidRPr="00A62FF4">
        <w:rPr>
          <w:rFonts w:eastAsiaTheme="minorEastAsia" w:hint="cs"/>
          <w:sz w:val="23"/>
          <w:szCs w:val="23"/>
          <w:rtl/>
        </w:rPr>
        <w:t xml:space="preserve"> و </w:t>
      </w:r>
      <w:r w:rsidRPr="00A62FF4">
        <w:rPr>
          <w:position w:val="-30"/>
        </w:rPr>
        <w:object w:dxaOrig="1080" w:dyaOrig="700" w14:anchorId="0781FF48">
          <v:shape id="_x0000_i1671" type="#_x0000_t75" style="width:53.85pt;height:35.1pt" o:ole="">
            <v:imagedata r:id="rId1320" o:title=""/>
          </v:shape>
          <o:OLEObject Type="Embed" ProgID="Equation.DSMT4" ShapeID="_x0000_i1671" DrawAspect="Content" ObjectID="_1791375615" r:id="rId1321"/>
        </w:object>
      </w:r>
      <w:r w:rsidRPr="00A62FF4">
        <w:rPr>
          <w:rFonts w:eastAsiaTheme="minorEastAsia" w:hint="cs"/>
          <w:sz w:val="23"/>
          <w:szCs w:val="23"/>
          <w:rtl/>
          <w:lang w:val="en-GB"/>
        </w:rPr>
        <w:t xml:space="preserve"> است. چنانچه</w:t>
      </w:r>
      <w:r w:rsidRPr="00A62FF4">
        <w:rPr>
          <w:position w:val="-6"/>
        </w:rPr>
        <w:object w:dxaOrig="600" w:dyaOrig="300" w14:anchorId="212B1731">
          <v:shape id="_x0000_i1672" type="#_x0000_t75" style="width:29.65pt;height:15.15pt" o:ole="">
            <v:imagedata r:id="rId1322" o:title=""/>
          </v:shape>
          <o:OLEObject Type="Embed" ProgID="Equation.DSMT4" ShapeID="_x0000_i1672" DrawAspect="Content" ObjectID="_1791375616" r:id="rId1323"/>
        </w:object>
      </w:r>
      <w:r w:rsidRPr="00A62FF4">
        <w:rPr>
          <w:rFonts w:eastAsiaTheme="minorEastAsia"/>
          <w:sz w:val="23"/>
          <w:szCs w:val="23"/>
          <w:lang w:val="en-GB"/>
        </w:rPr>
        <w:t xml:space="preserve"> </w:t>
      </w:r>
      <w:r w:rsidRPr="00A62FF4">
        <w:rPr>
          <w:rFonts w:eastAsiaTheme="minorEastAsia" w:hint="cs"/>
          <w:sz w:val="23"/>
          <w:szCs w:val="23"/>
          <w:rtl/>
          <w:lang w:val="en-GB"/>
        </w:rPr>
        <w:t xml:space="preserve">باشد آنگاه </w:t>
      </w:r>
      <w:r w:rsidRPr="00A62FF4">
        <w:rPr>
          <w:position w:val="-22"/>
        </w:rPr>
        <w:object w:dxaOrig="560" w:dyaOrig="600" w14:anchorId="0D2588D2">
          <v:shape id="_x0000_i1673" type="#_x0000_t75" style="width:27.85pt;height:29.65pt" o:ole="">
            <v:imagedata r:id="rId1324" o:title=""/>
          </v:shape>
          <o:OLEObject Type="Embed" ProgID="Equation.DSMT4" ShapeID="_x0000_i1673" DrawAspect="Content" ObjectID="_1791375617" r:id="rId1325"/>
        </w:object>
      </w:r>
      <w:r w:rsidRPr="00A62FF4">
        <w:rPr>
          <w:rFonts w:eastAsiaTheme="minorEastAsia" w:hint="cs"/>
          <w:sz w:val="23"/>
          <w:szCs w:val="23"/>
          <w:rtl/>
        </w:rPr>
        <w:t xml:space="preserve"> خواهد بود و لذا </w:t>
      </w:r>
      <w:r w:rsidRPr="00A62FF4">
        <w:rPr>
          <w:position w:val="-22"/>
        </w:rPr>
        <w:object w:dxaOrig="760" w:dyaOrig="600" w14:anchorId="73FEA7D8">
          <v:shape id="_x0000_i1674" type="#_x0000_t75" style="width:38.1pt;height:29.65pt" o:ole="">
            <v:imagedata r:id="rId1326" o:title=""/>
          </v:shape>
          <o:OLEObject Type="Embed" ProgID="Equation.DSMT4" ShapeID="_x0000_i1674" DrawAspect="Content" ObjectID="_1791375618" r:id="rId1327"/>
        </w:object>
      </w:r>
      <w:r w:rsidRPr="00A62FF4">
        <w:rPr>
          <w:rFonts w:eastAsiaTheme="minorEastAsia" w:hint="cs"/>
          <w:sz w:val="23"/>
          <w:szCs w:val="23"/>
          <w:rtl/>
        </w:rPr>
        <w:t xml:space="preserve"> می</w:t>
      </w:r>
      <w:r w:rsidRPr="00A62FF4">
        <w:rPr>
          <w:rFonts w:eastAsiaTheme="minorEastAsia"/>
          <w:sz w:val="23"/>
          <w:szCs w:val="23"/>
          <w:rtl/>
        </w:rPr>
        <w:softHyphen/>
      </w:r>
      <w:r w:rsidRPr="00A62FF4">
        <w:rPr>
          <w:rFonts w:eastAsiaTheme="minorEastAsia" w:hint="cs"/>
          <w:sz w:val="23"/>
          <w:szCs w:val="23"/>
          <w:rtl/>
        </w:rPr>
        <w:t>باشد. بنابراین با افزایش موجودی سرمایه</w:t>
      </w:r>
      <w:r w:rsidRPr="00A62FF4">
        <w:rPr>
          <w:rFonts w:eastAsiaTheme="minorEastAsia"/>
          <w:sz w:val="23"/>
          <w:szCs w:val="23"/>
          <w:rtl/>
        </w:rPr>
        <w:softHyphen/>
      </w:r>
      <w:r w:rsidRPr="00A62FF4">
        <w:rPr>
          <w:rFonts w:eastAsiaTheme="minorEastAsia" w:hint="cs"/>
          <w:sz w:val="23"/>
          <w:szCs w:val="23"/>
          <w:rtl/>
        </w:rPr>
        <w:t xml:space="preserve">ی سرانه، </w:t>
      </w:r>
      <w:r w:rsidRPr="00A62FF4">
        <w:rPr>
          <w:rFonts w:eastAsiaTheme="minorEastAsia" w:hint="cs"/>
          <w:sz w:val="23"/>
          <w:szCs w:val="23"/>
          <w:rtl/>
        </w:rPr>
        <w:lastRenderedPageBreak/>
        <w:t>رشد تولید سرانه کاهش می</w:t>
      </w:r>
      <w:r w:rsidRPr="00A62FF4">
        <w:rPr>
          <w:rFonts w:eastAsiaTheme="minorEastAsia"/>
          <w:sz w:val="23"/>
          <w:szCs w:val="23"/>
          <w:rtl/>
        </w:rPr>
        <w:softHyphen/>
      </w:r>
      <w:r w:rsidRPr="00A62FF4">
        <w:rPr>
          <w:rFonts w:eastAsiaTheme="minorEastAsia" w:hint="cs"/>
          <w:sz w:val="23"/>
          <w:szCs w:val="23"/>
          <w:rtl/>
        </w:rPr>
        <w:t xml:space="preserve">یابد. اما </w:t>
      </w:r>
      <w:r w:rsidRPr="00A62FF4">
        <w:rPr>
          <w:rFonts w:eastAsiaTheme="minorEastAsia" w:hint="cs"/>
          <w:sz w:val="23"/>
          <w:szCs w:val="23"/>
          <w:rtl/>
          <w:lang w:val="en-GB"/>
        </w:rPr>
        <w:t>اگر</w:t>
      </w:r>
      <w:r w:rsidRPr="00A62FF4">
        <w:rPr>
          <w:position w:val="-6"/>
        </w:rPr>
        <w:object w:dxaOrig="600" w:dyaOrig="300" w14:anchorId="0B79F538">
          <v:shape id="_x0000_i1675" type="#_x0000_t75" style="width:29.65pt;height:15.15pt" o:ole="">
            <v:imagedata r:id="rId1328" o:title=""/>
          </v:shape>
          <o:OLEObject Type="Embed" ProgID="Equation.DSMT4" ShapeID="_x0000_i1675" DrawAspect="Content" ObjectID="_1791375619" r:id="rId1329"/>
        </w:object>
      </w:r>
      <w:r w:rsidRPr="00A62FF4">
        <w:rPr>
          <w:rFonts w:eastAsiaTheme="minorEastAsia"/>
          <w:sz w:val="23"/>
          <w:szCs w:val="23"/>
          <w:lang w:val="en-GB"/>
        </w:rPr>
        <w:t xml:space="preserve"> </w:t>
      </w:r>
      <w:r w:rsidRPr="00A62FF4">
        <w:rPr>
          <w:rFonts w:eastAsiaTheme="minorEastAsia" w:hint="cs"/>
          <w:sz w:val="23"/>
          <w:szCs w:val="23"/>
          <w:rtl/>
          <w:lang w:val="en-GB"/>
        </w:rPr>
        <w:t xml:space="preserve">باشد، آنگاه </w:t>
      </w:r>
      <w:r w:rsidRPr="00A62FF4">
        <w:rPr>
          <w:position w:val="-22"/>
        </w:rPr>
        <w:object w:dxaOrig="560" w:dyaOrig="600" w14:anchorId="60C1209C">
          <v:shape id="_x0000_i1676" type="#_x0000_t75" style="width:27.85pt;height:29.65pt" o:ole="">
            <v:imagedata r:id="rId1330" o:title=""/>
          </v:shape>
          <o:OLEObject Type="Embed" ProgID="Equation.DSMT4" ShapeID="_x0000_i1676" DrawAspect="Content" ObjectID="_1791375620" r:id="rId1331"/>
        </w:object>
      </w:r>
      <w:r w:rsidRPr="00A62FF4">
        <w:rPr>
          <w:rFonts w:eastAsiaTheme="minorEastAsia" w:hint="cs"/>
          <w:sz w:val="23"/>
          <w:szCs w:val="23"/>
          <w:rtl/>
        </w:rPr>
        <w:t xml:space="preserve"> است و لذا </w:t>
      </w:r>
      <w:r w:rsidRPr="00A62FF4">
        <w:rPr>
          <w:position w:val="-22"/>
        </w:rPr>
        <w:object w:dxaOrig="420" w:dyaOrig="600" w14:anchorId="6C0CF482">
          <v:shape id="_x0000_i1677" type="#_x0000_t75" style="width:21.2pt;height:29.65pt" o:ole="">
            <v:imagedata r:id="rId1332" o:title=""/>
          </v:shape>
          <o:OLEObject Type="Embed" ProgID="Equation.DSMT4" ShapeID="_x0000_i1677" DrawAspect="Content" ObjectID="_1791375621" r:id="rId1333"/>
        </w:object>
      </w:r>
      <w:r w:rsidRPr="00A62FF4">
        <w:rPr>
          <w:rFonts w:eastAsiaTheme="minorEastAsia" w:hint="cs"/>
          <w:sz w:val="23"/>
          <w:szCs w:val="23"/>
          <w:rtl/>
        </w:rPr>
        <w:t xml:space="preserve"> مبهم خواهد بود. زیرا با افزایش موجودی سرمایه</w:t>
      </w:r>
      <w:r w:rsidRPr="00A62FF4">
        <w:rPr>
          <w:rFonts w:eastAsiaTheme="minorEastAsia"/>
          <w:sz w:val="23"/>
          <w:szCs w:val="23"/>
          <w:rtl/>
        </w:rPr>
        <w:softHyphen/>
      </w:r>
      <w:r w:rsidRPr="00A62FF4">
        <w:rPr>
          <w:rFonts w:eastAsiaTheme="minorEastAsia" w:hint="cs"/>
          <w:sz w:val="23"/>
          <w:szCs w:val="23"/>
          <w:rtl/>
        </w:rPr>
        <w:t xml:space="preserve">ی سرانه رشد تولید سرانه ممکن است افزایش و یا کاهش </w:t>
      </w:r>
      <w:r w:rsidRPr="00A62FF4">
        <w:rPr>
          <w:rFonts w:eastAsiaTheme="minorEastAsia"/>
          <w:sz w:val="23"/>
          <w:szCs w:val="23"/>
          <w:rtl/>
        </w:rPr>
        <w:softHyphen/>
      </w:r>
      <w:r w:rsidRPr="00A62FF4">
        <w:rPr>
          <w:rFonts w:eastAsiaTheme="minorEastAsia" w:hint="cs"/>
          <w:sz w:val="23"/>
          <w:szCs w:val="23"/>
          <w:rtl/>
        </w:rPr>
        <w:t>یابد. اما اگر اقتصاد در نزدیکی مقادیر تعادلی بلندمدت یا وضعیت یکنواخت یعنی</w:t>
      </w:r>
      <w:r w:rsidRPr="00A62FF4">
        <w:rPr>
          <w:position w:val="-6"/>
        </w:rPr>
        <w:object w:dxaOrig="260" w:dyaOrig="300" w14:anchorId="480D1863">
          <v:shape id="_x0000_i1678" type="#_x0000_t75" style="width:12.7pt;height:15.15pt" o:ole="">
            <v:imagedata r:id="rId1334" o:title=""/>
          </v:shape>
          <o:OLEObject Type="Embed" ProgID="Equation.DSMT4" ShapeID="_x0000_i1678" DrawAspect="Content" ObjectID="_1791375622" r:id="rId1335"/>
        </w:object>
      </w:r>
      <w:r w:rsidRPr="00A62FF4">
        <w:rPr>
          <w:rFonts w:eastAsiaTheme="minorEastAsia" w:hint="cs"/>
          <w:sz w:val="23"/>
          <w:szCs w:val="23"/>
          <w:rtl/>
        </w:rPr>
        <w:t xml:space="preserve"> قرار داشته باشد، آنگاه </w:t>
      </w:r>
      <w:r w:rsidRPr="00A62FF4">
        <w:rPr>
          <w:position w:val="-22"/>
        </w:rPr>
        <w:object w:dxaOrig="560" w:dyaOrig="600" w14:anchorId="396D5CDD">
          <v:shape id="_x0000_i1679" type="#_x0000_t75" style="width:27.85pt;height:29.65pt" o:ole="">
            <v:imagedata r:id="rId1336" o:title=""/>
          </v:shape>
          <o:OLEObject Type="Embed" ProgID="Equation.DSMT4" ShapeID="_x0000_i1679" DrawAspect="Content" ObjectID="_1791375623" r:id="rId1337"/>
        </w:object>
      </w:r>
      <w:r w:rsidRPr="00A62FF4">
        <w:rPr>
          <w:rFonts w:eastAsiaTheme="minorEastAsia" w:hint="cs"/>
          <w:sz w:val="23"/>
          <w:szCs w:val="23"/>
          <w:rtl/>
        </w:rPr>
        <w:t xml:space="preserve"> است و مجدداً </w:t>
      </w:r>
      <w:r w:rsidRPr="00A62FF4">
        <w:rPr>
          <w:position w:val="-22"/>
        </w:rPr>
        <w:object w:dxaOrig="760" w:dyaOrig="600" w14:anchorId="33906E64">
          <v:shape id="_x0000_i1680" type="#_x0000_t75" style="width:38.1pt;height:29.65pt" o:ole="">
            <v:imagedata r:id="rId1338" o:title=""/>
          </v:shape>
          <o:OLEObject Type="Embed" ProgID="Equation.DSMT4" ShapeID="_x0000_i1680" DrawAspect="Content" ObjectID="_1791375624" r:id="rId1339"/>
        </w:object>
      </w:r>
      <w:r w:rsidRPr="00A62FF4">
        <w:rPr>
          <w:rFonts w:eastAsiaTheme="minorEastAsia" w:hint="cs"/>
          <w:sz w:val="23"/>
          <w:szCs w:val="23"/>
          <w:rtl/>
        </w:rPr>
        <w:t xml:space="preserve"> خواهد بود، حتی اگر</w:t>
      </w:r>
      <w:r w:rsidRPr="00A62FF4">
        <w:rPr>
          <w:position w:val="-6"/>
        </w:rPr>
        <w:object w:dxaOrig="600" w:dyaOrig="300" w14:anchorId="46E7BF94">
          <v:shape id="_x0000_i1681" type="#_x0000_t75" style="width:29.65pt;height:15.15pt" o:ole="">
            <v:imagedata r:id="rId1340" o:title=""/>
          </v:shape>
          <o:OLEObject Type="Embed" ProgID="Equation.DSMT4" ShapeID="_x0000_i1681" DrawAspect="Content" ObjectID="_1791375625" r:id="rId1341"/>
        </w:object>
      </w:r>
      <w:r w:rsidRPr="00A62FF4">
        <w:rPr>
          <w:rFonts w:eastAsiaTheme="minorEastAsia"/>
          <w:sz w:val="23"/>
          <w:szCs w:val="23"/>
          <w:lang w:val="en-GB"/>
        </w:rPr>
        <w:t xml:space="preserve"> </w:t>
      </w:r>
      <w:r w:rsidRPr="00A62FF4">
        <w:rPr>
          <w:rFonts w:eastAsiaTheme="minorEastAsia" w:hint="cs"/>
          <w:sz w:val="23"/>
          <w:szCs w:val="23"/>
          <w:rtl/>
          <w:lang w:val="en-GB"/>
        </w:rPr>
        <w:t xml:space="preserve">باشد. </w:t>
      </w:r>
      <w:r w:rsidRPr="00A62FF4">
        <w:rPr>
          <w:rFonts w:hint="cs"/>
          <w:sz w:val="23"/>
          <w:szCs w:val="23"/>
          <w:rtl/>
        </w:rPr>
        <w:t>خلاصه این</w:t>
      </w:r>
      <w:r w:rsidRPr="00A62FF4">
        <w:rPr>
          <w:sz w:val="23"/>
          <w:szCs w:val="23"/>
          <w:rtl/>
        </w:rPr>
        <w:softHyphen/>
      </w:r>
      <w:r w:rsidRPr="00A62FF4">
        <w:rPr>
          <w:rFonts w:hint="cs"/>
          <w:sz w:val="23"/>
          <w:szCs w:val="23"/>
          <w:rtl/>
        </w:rPr>
        <w:t>که، از رابطه</w:t>
      </w:r>
      <w:r w:rsidRPr="00A62FF4">
        <w:rPr>
          <w:sz w:val="23"/>
          <w:szCs w:val="23"/>
          <w:rtl/>
        </w:rPr>
        <w:softHyphen/>
      </w:r>
      <w:r w:rsidRPr="00A62FF4">
        <w:rPr>
          <w:sz w:val="23"/>
          <w:szCs w:val="23"/>
          <w:rtl/>
        </w:rPr>
        <w:softHyphen/>
      </w:r>
      <w:r w:rsidRPr="00A62FF4">
        <w:rPr>
          <w:rFonts w:hint="cs"/>
          <w:sz w:val="23"/>
          <w:szCs w:val="23"/>
          <w:rtl/>
        </w:rPr>
        <w:t>ی  (۳. ۴) نکات مهم زیر بدست می</w:t>
      </w:r>
      <w:r w:rsidRPr="00A62FF4">
        <w:rPr>
          <w:sz w:val="23"/>
          <w:szCs w:val="23"/>
          <w:rtl/>
        </w:rPr>
        <w:softHyphen/>
      </w:r>
      <w:r w:rsidRPr="00A62FF4">
        <w:rPr>
          <w:rFonts w:hint="cs"/>
          <w:sz w:val="23"/>
          <w:szCs w:val="23"/>
          <w:rtl/>
        </w:rPr>
        <w:t>آید.</w:t>
      </w:r>
    </w:p>
    <w:p w14:paraId="4CB6B21B" w14:textId="77777777" w:rsidR="00411620" w:rsidRPr="00A62FF4" w:rsidRDefault="00411620" w:rsidP="00411620">
      <w:pPr>
        <w:spacing w:line="216" w:lineRule="auto"/>
        <w:rPr>
          <w:sz w:val="23"/>
          <w:szCs w:val="23"/>
          <w:rtl/>
        </w:rPr>
      </w:pPr>
    </w:p>
    <w:p w14:paraId="17DB84C9" w14:textId="77777777" w:rsidR="00411620" w:rsidRPr="00A62FF4" w:rsidRDefault="00411620" w:rsidP="00C67946">
      <w:pPr>
        <w:pStyle w:val="ListParagraph"/>
        <w:numPr>
          <w:ilvl w:val="0"/>
          <w:numId w:val="3"/>
        </w:numPr>
        <w:spacing w:line="216" w:lineRule="auto"/>
        <w:ind w:left="337" w:firstLine="0"/>
        <w:rPr>
          <w:sz w:val="23"/>
          <w:szCs w:val="23"/>
        </w:rPr>
      </w:pPr>
      <w:r w:rsidRPr="00A62FF4">
        <w:rPr>
          <w:rFonts w:hint="cs"/>
          <w:sz w:val="23"/>
          <w:szCs w:val="23"/>
          <w:rtl/>
        </w:rPr>
        <w:t xml:space="preserve"> از آن</w:t>
      </w:r>
      <w:r w:rsidRPr="00A62FF4">
        <w:rPr>
          <w:sz w:val="23"/>
          <w:szCs w:val="23"/>
          <w:rtl/>
        </w:rPr>
        <w:softHyphen/>
      </w:r>
      <w:r w:rsidRPr="00A62FF4">
        <w:rPr>
          <w:rFonts w:hint="cs"/>
          <w:sz w:val="23"/>
          <w:szCs w:val="23"/>
          <w:rtl/>
        </w:rPr>
        <w:t xml:space="preserve">جاکه </w:t>
      </w:r>
      <w:r w:rsidRPr="00A62FF4">
        <w:rPr>
          <w:position w:val="-14"/>
        </w:rPr>
        <w:object w:dxaOrig="1080" w:dyaOrig="360" w14:anchorId="43AD7505">
          <v:shape id="_x0000_i1682" type="#_x0000_t75" style="width:53.85pt;height:18.15pt" o:ole="">
            <v:imagedata r:id="rId1342" o:title=""/>
          </v:shape>
          <o:OLEObject Type="Embed" ProgID="Equation.DSMT4" ShapeID="_x0000_i1682" DrawAspect="Content" ObjectID="_1791375626" r:id="rId1343"/>
        </w:object>
      </w:r>
      <w:r w:rsidRPr="00A62FF4">
        <w:rPr>
          <w:rFonts w:eastAsiaTheme="minorEastAsia" w:hint="cs"/>
          <w:sz w:val="23"/>
          <w:szCs w:val="23"/>
          <w:rtl/>
        </w:rPr>
        <w:t xml:space="preserve"> است لذا کشورهای کمتر توسعه یافته رشد بالاتری دارند. </w:t>
      </w:r>
    </w:p>
    <w:p w14:paraId="5B81D7BA" w14:textId="77777777" w:rsidR="00411620" w:rsidRPr="00A62FF4" w:rsidRDefault="00411620" w:rsidP="00C67946">
      <w:pPr>
        <w:pStyle w:val="ListParagraph"/>
        <w:numPr>
          <w:ilvl w:val="0"/>
          <w:numId w:val="3"/>
        </w:numPr>
        <w:spacing w:line="216" w:lineRule="auto"/>
        <w:ind w:left="337" w:firstLine="0"/>
        <w:rPr>
          <w:sz w:val="23"/>
          <w:szCs w:val="23"/>
        </w:rPr>
      </w:pPr>
      <w:r w:rsidRPr="00A62FF4">
        <w:rPr>
          <w:rFonts w:eastAsiaTheme="minorEastAsia" w:hint="cs"/>
          <w:sz w:val="23"/>
          <w:szCs w:val="23"/>
          <w:rtl/>
        </w:rPr>
        <w:t>همچنین</w:t>
      </w:r>
      <w:r w:rsidRPr="00A62FF4">
        <w:rPr>
          <w:rFonts w:hint="cs"/>
          <w:sz w:val="23"/>
          <w:szCs w:val="23"/>
          <w:rtl/>
        </w:rPr>
        <w:t xml:space="preserve"> </w:t>
      </w:r>
      <w:r w:rsidRPr="00A62FF4">
        <w:rPr>
          <w:position w:val="-10"/>
        </w:rPr>
        <w:object w:dxaOrig="1680" w:dyaOrig="320" w14:anchorId="706F1C00">
          <v:shape id="_x0000_i1683" type="#_x0000_t75" style="width:83.5pt;height:15.75pt" o:ole="">
            <v:imagedata r:id="rId1344" o:title=""/>
          </v:shape>
          <o:OLEObject Type="Embed" ProgID="Equation.DSMT4" ShapeID="_x0000_i1683" DrawAspect="Content" ObjectID="_1791375627" r:id="rId1345"/>
        </w:object>
      </w:r>
      <w:r w:rsidRPr="00A62FF4">
        <w:rPr>
          <w:rFonts w:hint="cs"/>
          <w:sz w:val="23"/>
          <w:szCs w:val="23"/>
          <w:rtl/>
        </w:rPr>
        <w:t xml:space="preserve"> است لذا با افزایش نرخ پس</w:t>
      </w:r>
      <w:r w:rsidRPr="00A62FF4">
        <w:rPr>
          <w:sz w:val="23"/>
          <w:szCs w:val="23"/>
          <w:rtl/>
        </w:rPr>
        <w:softHyphen/>
      </w:r>
      <w:r w:rsidRPr="00A62FF4">
        <w:rPr>
          <w:rFonts w:hint="cs"/>
          <w:sz w:val="23"/>
          <w:szCs w:val="23"/>
          <w:rtl/>
        </w:rPr>
        <w:t>انداز، نرخ رشد موجودی سرمایه</w:t>
      </w:r>
      <w:r w:rsidRPr="00A62FF4">
        <w:rPr>
          <w:sz w:val="23"/>
          <w:szCs w:val="23"/>
          <w:rtl/>
        </w:rPr>
        <w:softHyphen/>
      </w:r>
      <w:r w:rsidRPr="00A62FF4">
        <w:rPr>
          <w:rFonts w:hint="cs"/>
          <w:sz w:val="23"/>
          <w:szCs w:val="23"/>
          <w:rtl/>
        </w:rPr>
        <w:t>ی سرانه افزایش می</w:t>
      </w:r>
      <w:r w:rsidRPr="00A62FF4">
        <w:rPr>
          <w:sz w:val="23"/>
          <w:szCs w:val="23"/>
          <w:rtl/>
        </w:rPr>
        <w:softHyphen/>
      </w:r>
      <w:r w:rsidRPr="00A62FF4">
        <w:rPr>
          <w:rFonts w:hint="cs"/>
          <w:sz w:val="23"/>
          <w:szCs w:val="23"/>
          <w:rtl/>
        </w:rPr>
        <w:t>یابد.</w:t>
      </w:r>
    </w:p>
    <w:p w14:paraId="1F3DEA11" w14:textId="77777777" w:rsidR="00411620" w:rsidRPr="00A62FF4" w:rsidRDefault="00411620" w:rsidP="00C67946">
      <w:pPr>
        <w:pStyle w:val="ListParagraph"/>
        <w:numPr>
          <w:ilvl w:val="0"/>
          <w:numId w:val="3"/>
        </w:numPr>
        <w:spacing w:line="216" w:lineRule="auto"/>
        <w:ind w:left="337" w:firstLine="0"/>
        <w:rPr>
          <w:sz w:val="23"/>
          <w:szCs w:val="23"/>
        </w:rPr>
      </w:pPr>
      <w:r w:rsidRPr="00A62FF4">
        <w:rPr>
          <w:rFonts w:hint="cs"/>
          <w:sz w:val="23"/>
          <w:szCs w:val="23"/>
          <w:rtl/>
        </w:rPr>
        <w:t xml:space="preserve">با توجه به اینکه </w:t>
      </w:r>
      <w:r w:rsidRPr="00A62FF4">
        <w:rPr>
          <w:position w:val="-10"/>
        </w:rPr>
        <w:object w:dxaOrig="2020" w:dyaOrig="320" w14:anchorId="71922E5F">
          <v:shape id="_x0000_i1684" type="#_x0000_t75" style="width:101.05pt;height:15.75pt" o:ole="">
            <v:imagedata r:id="rId1346" o:title=""/>
          </v:shape>
          <o:OLEObject Type="Embed" ProgID="Equation.DSMT4" ShapeID="_x0000_i1684" DrawAspect="Content" ObjectID="_1791375628" r:id="rId1347"/>
        </w:object>
      </w:r>
      <w:r w:rsidRPr="00A62FF4">
        <w:rPr>
          <w:rFonts w:hint="cs"/>
          <w:sz w:val="23"/>
          <w:szCs w:val="23"/>
          <w:rtl/>
        </w:rPr>
        <w:t xml:space="preserve"> است، لذا با کاهش نرخ رشد جمعیت و یا نرخ استهلاک، نرخ رشد موجودی سرمایه</w:t>
      </w:r>
      <w:r w:rsidRPr="00A62FF4">
        <w:rPr>
          <w:sz w:val="23"/>
          <w:szCs w:val="23"/>
          <w:rtl/>
        </w:rPr>
        <w:softHyphen/>
      </w:r>
      <w:r w:rsidRPr="00A62FF4">
        <w:rPr>
          <w:rFonts w:hint="cs"/>
          <w:sz w:val="23"/>
          <w:szCs w:val="23"/>
          <w:rtl/>
        </w:rPr>
        <w:t>ی سرانه افزایش می</w:t>
      </w:r>
      <w:r w:rsidRPr="00A62FF4">
        <w:rPr>
          <w:sz w:val="23"/>
          <w:szCs w:val="23"/>
          <w:rtl/>
        </w:rPr>
        <w:softHyphen/>
      </w:r>
      <w:r w:rsidRPr="00A62FF4">
        <w:rPr>
          <w:rFonts w:hint="cs"/>
          <w:sz w:val="23"/>
          <w:szCs w:val="23"/>
          <w:rtl/>
        </w:rPr>
        <w:t>یابد.</w:t>
      </w:r>
    </w:p>
    <w:p w14:paraId="25494C71" w14:textId="77777777" w:rsidR="00411620" w:rsidRPr="00A62FF4" w:rsidRDefault="00411620" w:rsidP="00C67946">
      <w:pPr>
        <w:pStyle w:val="ListParagraph"/>
        <w:numPr>
          <w:ilvl w:val="0"/>
          <w:numId w:val="3"/>
        </w:numPr>
        <w:spacing w:line="216" w:lineRule="auto"/>
        <w:ind w:left="337" w:firstLine="0"/>
        <w:rPr>
          <w:sz w:val="23"/>
          <w:szCs w:val="23"/>
        </w:rPr>
      </w:pPr>
      <w:r w:rsidRPr="00A62FF4">
        <w:rPr>
          <w:rFonts w:hint="cs"/>
          <w:sz w:val="23"/>
          <w:szCs w:val="23"/>
          <w:rtl/>
        </w:rPr>
        <w:t>پیشرفت تکنولوژی تابع تولید را به بالا منتقل می</w:t>
      </w:r>
      <w:r w:rsidRPr="00A62FF4">
        <w:rPr>
          <w:rFonts w:hint="cs"/>
          <w:sz w:val="23"/>
          <w:szCs w:val="23"/>
          <w:rtl/>
        </w:rPr>
        <w:softHyphen/>
        <w:t xml:space="preserve">کند. بنابراین در همان سطح از </w:t>
      </w:r>
      <w:r w:rsidRPr="00A62FF4">
        <w:rPr>
          <w:position w:val="-6"/>
        </w:rPr>
        <w:object w:dxaOrig="200" w:dyaOrig="260" w14:anchorId="1009F4D1">
          <v:shape id="_x0000_i1685" type="#_x0000_t75" style="width:10.3pt;height:12.7pt" o:ole="">
            <v:imagedata r:id="rId1348" o:title=""/>
          </v:shape>
          <o:OLEObject Type="Embed" ProgID="Equation.DSMT4" ShapeID="_x0000_i1685" DrawAspect="Content" ObjectID="_1791375629" r:id="rId1349"/>
        </w:object>
      </w:r>
      <w:r w:rsidRPr="00A62FF4">
        <w:rPr>
          <w:rFonts w:eastAsiaTheme="minorEastAsia" w:hint="cs"/>
          <w:sz w:val="23"/>
          <w:szCs w:val="23"/>
          <w:rtl/>
          <w:lang w:val="en-GB"/>
        </w:rPr>
        <w:t xml:space="preserve"> نسبت </w:t>
      </w:r>
      <w:r w:rsidRPr="00A62FF4">
        <w:rPr>
          <w:position w:val="-12"/>
        </w:rPr>
        <w:object w:dxaOrig="760" w:dyaOrig="360" w14:anchorId="6901A49B">
          <v:shape id="_x0000_i1686" type="#_x0000_t75" style="width:38.1pt;height:18.15pt" o:ole="">
            <v:imagedata r:id="rId1350" o:title=""/>
          </v:shape>
          <o:OLEObject Type="Embed" ProgID="Equation.DSMT4" ShapeID="_x0000_i1686" DrawAspect="Content" ObjectID="_1791375630" r:id="rId1351"/>
        </w:object>
      </w:r>
      <w:r w:rsidRPr="00A62FF4">
        <w:rPr>
          <w:rFonts w:hint="cs"/>
          <w:sz w:val="23"/>
          <w:szCs w:val="23"/>
          <w:rtl/>
        </w:rPr>
        <w:t xml:space="preserve"> افزایش می</w:t>
      </w:r>
      <w:r w:rsidRPr="00A62FF4">
        <w:rPr>
          <w:sz w:val="23"/>
          <w:szCs w:val="23"/>
          <w:rtl/>
        </w:rPr>
        <w:softHyphen/>
      </w:r>
      <w:r w:rsidRPr="00A62FF4">
        <w:rPr>
          <w:rFonts w:hint="cs"/>
          <w:sz w:val="23"/>
          <w:szCs w:val="23"/>
          <w:rtl/>
        </w:rPr>
        <w:t>یابد و از آنجا</w:t>
      </w:r>
      <w:r w:rsidRPr="00A62FF4">
        <w:rPr>
          <w:position w:val="-14"/>
        </w:rPr>
        <w:object w:dxaOrig="2160" w:dyaOrig="380" w14:anchorId="7F14AE5D">
          <v:shape id="_x0000_i1687" type="#_x0000_t75" style="width:108.3pt;height:18.75pt" o:ole="">
            <v:imagedata r:id="rId1352" o:title=""/>
          </v:shape>
          <o:OLEObject Type="Embed" ProgID="Equation.DSMT4" ShapeID="_x0000_i1687" DrawAspect="Content" ObjectID="_1791375631" r:id="rId1353"/>
        </w:object>
      </w:r>
      <w:r w:rsidRPr="00A62FF4">
        <w:rPr>
          <w:rFonts w:hint="cs"/>
          <w:sz w:val="23"/>
          <w:szCs w:val="23"/>
          <w:rtl/>
        </w:rPr>
        <w:t xml:space="preserve"> لذا با پیشرفت تکنولوژی، </w:t>
      </w:r>
      <w:r w:rsidRPr="00A62FF4">
        <w:rPr>
          <w:position w:val="-12"/>
        </w:rPr>
        <w:object w:dxaOrig="760" w:dyaOrig="360" w14:anchorId="577220BE">
          <v:shape id="_x0000_i1688" type="#_x0000_t75" style="width:38.1pt;height:18.15pt" o:ole="">
            <v:imagedata r:id="rId1354" o:title=""/>
          </v:shape>
          <o:OLEObject Type="Embed" ProgID="Equation.DSMT4" ShapeID="_x0000_i1688" DrawAspect="Content" ObjectID="_1791375632" r:id="rId1355"/>
        </w:object>
      </w:r>
      <w:r w:rsidRPr="00A62FF4">
        <w:rPr>
          <w:rFonts w:hint="cs"/>
          <w:sz w:val="23"/>
          <w:szCs w:val="23"/>
          <w:rtl/>
        </w:rPr>
        <w:t xml:space="preserve"> و به تبع آن نرخ رشد موجودی سرمایه</w:t>
      </w:r>
      <w:r w:rsidRPr="00A62FF4">
        <w:rPr>
          <w:sz w:val="23"/>
          <w:szCs w:val="23"/>
          <w:rtl/>
        </w:rPr>
        <w:softHyphen/>
      </w:r>
      <w:r w:rsidRPr="00A62FF4">
        <w:rPr>
          <w:rFonts w:hint="cs"/>
          <w:sz w:val="23"/>
          <w:szCs w:val="23"/>
          <w:rtl/>
        </w:rPr>
        <w:t>ی سرانه افزایش می</w:t>
      </w:r>
      <w:r w:rsidRPr="00A62FF4">
        <w:rPr>
          <w:sz w:val="23"/>
          <w:szCs w:val="23"/>
          <w:rtl/>
        </w:rPr>
        <w:softHyphen/>
      </w:r>
      <w:r w:rsidRPr="00A62FF4">
        <w:rPr>
          <w:rFonts w:hint="cs"/>
          <w:sz w:val="23"/>
          <w:szCs w:val="23"/>
          <w:rtl/>
        </w:rPr>
        <w:t>یابد.</w:t>
      </w:r>
    </w:p>
    <w:p w14:paraId="080662B8" w14:textId="77777777" w:rsidR="00411620" w:rsidRPr="00A62FF4" w:rsidRDefault="00411620" w:rsidP="00C67946">
      <w:pPr>
        <w:pStyle w:val="ListParagraph"/>
        <w:numPr>
          <w:ilvl w:val="0"/>
          <w:numId w:val="3"/>
        </w:numPr>
        <w:spacing w:line="216" w:lineRule="auto"/>
        <w:ind w:left="337" w:firstLine="0"/>
        <w:rPr>
          <w:sz w:val="23"/>
          <w:szCs w:val="23"/>
        </w:rPr>
      </w:pPr>
      <w:r w:rsidRPr="00A62FF4">
        <w:rPr>
          <w:rFonts w:hint="cs"/>
          <w:sz w:val="23"/>
          <w:szCs w:val="23"/>
          <w:rtl/>
        </w:rPr>
        <w:t>کشورهای توسعه</w:t>
      </w:r>
      <w:r w:rsidRPr="00A62FF4">
        <w:rPr>
          <w:rFonts w:hint="cs"/>
          <w:sz w:val="23"/>
          <w:szCs w:val="23"/>
          <w:rtl/>
        </w:rPr>
        <w:softHyphen/>
        <w:t>یافته،</w:t>
      </w:r>
      <w:r w:rsidRPr="00A62FF4">
        <w:rPr>
          <w:position w:val="-6"/>
        </w:rPr>
        <w:object w:dxaOrig="160" w:dyaOrig="200" w14:anchorId="505EF5B6">
          <v:shape id="_x0000_i1689" type="#_x0000_t75" style="width:8.45pt;height:10.3pt" o:ole="">
            <v:imagedata r:id="rId1356" o:title=""/>
          </v:shape>
          <o:OLEObject Type="Embed" ProgID="Equation.DSMT4" ShapeID="_x0000_i1689" DrawAspect="Content" ObjectID="_1791375633" r:id="rId1357"/>
        </w:object>
      </w:r>
      <w:r w:rsidRPr="00A62FF4">
        <w:rPr>
          <w:rFonts w:hint="cs"/>
          <w:sz w:val="23"/>
          <w:szCs w:val="23"/>
          <w:rtl/>
        </w:rPr>
        <w:t xml:space="preserve"> و پیشرفت تکنولوژی بالاتر دارند و لذا نرخ رشد موجودی سرمایه</w:t>
      </w:r>
      <w:r w:rsidRPr="00A62FF4">
        <w:rPr>
          <w:sz w:val="23"/>
          <w:szCs w:val="23"/>
          <w:rtl/>
        </w:rPr>
        <w:softHyphen/>
      </w:r>
      <w:r w:rsidRPr="00A62FF4">
        <w:rPr>
          <w:rFonts w:hint="cs"/>
          <w:sz w:val="23"/>
          <w:szCs w:val="23"/>
          <w:rtl/>
        </w:rPr>
        <w:t>ی سرانه</w:t>
      </w:r>
      <w:r w:rsidRPr="00A62FF4">
        <w:rPr>
          <w:sz w:val="23"/>
          <w:szCs w:val="23"/>
          <w:rtl/>
        </w:rPr>
        <w:softHyphen/>
      </w:r>
      <w:r w:rsidRPr="00A62FF4">
        <w:rPr>
          <w:rFonts w:hint="cs"/>
          <w:sz w:val="23"/>
          <w:szCs w:val="23"/>
          <w:rtl/>
        </w:rPr>
        <w:t>ی آن</w:t>
      </w:r>
      <w:r w:rsidRPr="00A62FF4">
        <w:rPr>
          <w:sz w:val="23"/>
          <w:szCs w:val="23"/>
          <w:rtl/>
        </w:rPr>
        <w:softHyphen/>
      </w:r>
      <w:r w:rsidRPr="00A62FF4">
        <w:rPr>
          <w:rFonts w:hint="cs"/>
          <w:sz w:val="23"/>
          <w:szCs w:val="23"/>
          <w:rtl/>
        </w:rPr>
        <w:t xml:space="preserve">ها بیشتر است. </w:t>
      </w:r>
    </w:p>
    <w:p w14:paraId="7805F43F" w14:textId="77777777" w:rsidR="00411620" w:rsidRPr="00A62FF4" w:rsidRDefault="00411620" w:rsidP="00C67946">
      <w:pPr>
        <w:pStyle w:val="ListParagraph"/>
        <w:numPr>
          <w:ilvl w:val="0"/>
          <w:numId w:val="3"/>
        </w:numPr>
        <w:spacing w:line="216" w:lineRule="auto"/>
        <w:ind w:left="337" w:firstLine="0"/>
        <w:rPr>
          <w:sz w:val="23"/>
          <w:szCs w:val="23"/>
          <w:rtl/>
        </w:rPr>
      </w:pPr>
      <w:r w:rsidRPr="00A62FF4">
        <w:rPr>
          <w:rFonts w:hint="cs"/>
          <w:sz w:val="23"/>
          <w:szCs w:val="23"/>
          <w:rtl/>
        </w:rPr>
        <w:t xml:space="preserve">کشورهای در حال توسعه </w:t>
      </w:r>
      <w:r w:rsidRPr="00A62FF4">
        <w:rPr>
          <w:i/>
          <w:iCs/>
          <w:sz w:val="23"/>
          <w:szCs w:val="23"/>
        </w:rPr>
        <w:t>n</w:t>
      </w:r>
      <w:r w:rsidRPr="00A62FF4">
        <w:rPr>
          <w:rFonts w:hint="cs"/>
          <w:sz w:val="23"/>
          <w:szCs w:val="23"/>
          <w:rtl/>
        </w:rPr>
        <w:t xml:space="preserve"> بالاتر و </w:t>
      </w:r>
      <w:r w:rsidRPr="00A62FF4">
        <w:rPr>
          <w:i/>
          <w:iCs/>
          <w:sz w:val="23"/>
          <w:szCs w:val="23"/>
        </w:rPr>
        <w:t>k</w:t>
      </w:r>
      <w:r w:rsidRPr="00A62FF4">
        <w:rPr>
          <w:rFonts w:hint="cs"/>
          <w:sz w:val="23"/>
          <w:szCs w:val="23"/>
          <w:rtl/>
        </w:rPr>
        <w:t xml:space="preserve"> کمتر دارند، و چون تولید نهایی موجودی سرمایه در این کشورها بیشتر است (بخاطر کمتر بودن </w:t>
      </w:r>
      <w:r w:rsidRPr="00A62FF4">
        <w:rPr>
          <w:i/>
          <w:iCs/>
          <w:sz w:val="23"/>
          <w:szCs w:val="23"/>
        </w:rPr>
        <w:t>k</w:t>
      </w:r>
      <w:r w:rsidRPr="00A62FF4">
        <w:rPr>
          <w:rFonts w:hint="cs"/>
          <w:sz w:val="23"/>
          <w:szCs w:val="23"/>
          <w:rtl/>
        </w:rPr>
        <w:t>) آنگاه این مزیت در متغیرهای سرانه با افزایش نرخ رشد جمعیت تعدیل می</w:t>
      </w:r>
      <w:r w:rsidRPr="00A62FF4">
        <w:rPr>
          <w:sz w:val="23"/>
          <w:szCs w:val="23"/>
          <w:rtl/>
        </w:rPr>
        <w:softHyphen/>
      </w:r>
      <w:r w:rsidRPr="00A62FF4">
        <w:rPr>
          <w:rFonts w:hint="cs"/>
          <w:sz w:val="23"/>
          <w:szCs w:val="23"/>
          <w:rtl/>
        </w:rPr>
        <w:t>شود.</w:t>
      </w:r>
    </w:p>
    <w:p w14:paraId="17781910" w14:textId="77777777" w:rsidR="00411620" w:rsidRPr="00A62FF4" w:rsidRDefault="00411620" w:rsidP="00411620">
      <w:pPr>
        <w:spacing w:line="216" w:lineRule="auto"/>
        <w:rPr>
          <w:rFonts w:eastAsiaTheme="minorEastAsia"/>
          <w:b/>
          <w:bCs/>
          <w:sz w:val="23"/>
          <w:szCs w:val="23"/>
          <w:rtl/>
          <w:lang w:val="en-GB"/>
        </w:rPr>
      </w:pPr>
    </w:p>
    <w:p w14:paraId="75663E2C" w14:textId="77777777" w:rsidR="00411620" w:rsidRPr="00A62FF4" w:rsidRDefault="00411620" w:rsidP="00411620">
      <w:pPr>
        <w:spacing w:line="216" w:lineRule="auto"/>
        <w:rPr>
          <w:rFonts w:eastAsiaTheme="minorEastAsia"/>
          <w:b/>
          <w:bCs/>
          <w:sz w:val="23"/>
          <w:szCs w:val="23"/>
          <w:rtl/>
          <w:lang w:val="en-GB"/>
        </w:rPr>
      </w:pPr>
      <w:r w:rsidRPr="00A62FF4">
        <w:rPr>
          <w:rFonts w:eastAsiaTheme="minorEastAsia" w:hint="cs"/>
          <w:b/>
          <w:bCs/>
          <w:sz w:val="23"/>
          <w:szCs w:val="23"/>
          <w:rtl/>
          <w:lang w:val="en-GB"/>
        </w:rPr>
        <w:t>همگرایی مطلق و همگرایی شرطی</w:t>
      </w:r>
    </w:p>
    <w:p w14:paraId="6E6C0323" w14:textId="77777777" w:rsidR="00411620" w:rsidRPr="00A62FF4" w:rsidRDefault="00411620" w:rsidP="00411620">
      <w:pPr>
        <w:spacing w:line="216" w:lineRule="auto"/>
        <w:rPr>
          <w:sz w:val="23"/>
          <w:szCs w:val="23"/>
          <w:rtl/>
        </w:rPr>
      </w:pPr>
      <w:r w:rsidRPr="00A62FF4">
        <w:rPr>
          <w:rFonts w:hint="cs"/>
          <w:sz w:val="23"/>
          <w:szCs w:val="23"/>
          <w:rtl/>
        </w:rPr>
        <w:t>بزعم نظریه پردازان مدل</w:t>
      </w:r>
      <w:r w:rsidRPr="00A62FF4">
        <w:rPr>
          <w:rFonts w:hint="eastAsia"/>
          <w:sz w:val="23"/>
          <w:szCs w:val="23"/>
          <w:rtl/>
        </w:rPr>
        <w:t>‌</w:t>
      </w:r>
      <w:r w:rsidRPr="00A62FF4">
        <w:rPr>
          <w:rFonts w:hint="eastAsia"/>
          <w:sz w:val="23"/>
          <w:szCs w:val="23"/>
        </w:rPr>
        <w:t>‌</w:t>
      </w:r>
      <w:r w:rsidRPr="00A62FF4">
        <w:rPr>
          <w:rFonts w:hint="cs"/>
          <w:sz w:val="23"/>
          <w:szCs w:val="23"/>
          <w:rtl/>
        </w:rPr>
        <w:t>های رشد نئوکلاسیک، با نرخ</w:t>
      </w:r>
      <w:r w:rsidRPr="00A62FF4">
        <w:rPr>
          <w:sz w:val="23"/>
          <w:szCs w:val="23"/>
          <w:rtl/>
        </w:rPr>
        <w:softHyphen/>
      </w:r>
      <w:r w:rsidRPr="00A62FF4">
        <w:rPr>
          <w:rFonts w:hint="cs"/>
          <w:sz w:val="23"/>
          <w:szCs w:val="23"/>
          <w:rtl/>
        </w:rPr>
        <w:t>های پس</w:t>
      </w:r>
      <w:r w:rsidRPr="00A62FF4">
        <w:rPr>
          <w:rFonts w:hint="eastAsia"/>
          <w:sz w:val="23"/>
          <w:szCs w:val="23"/>
          <w:rtl/>
        </w:rPr>
        <w:t>‌</w:t>
      </w:r>
      <w:r w:rsidRPr="00A62FF4">
        <w:rPr>
          <w:rFonts w:hint="cs"/>
          <w:sz w:val="23"/>
          <w:szCs w:val="23"/>
          <w:rtl/>
        </w:rPr>
        <w:t>انداز، رشد تکنولوژی، استهلاک، و نرخ</w:t>
      </w:r>
      <w:r w:rsidRPr="00A62FF4">
        <w:rPr>
          <w:rFonts w:hint="eastAsia"/>
          <w:sz w:val="23"/>
          <w:szCs w:val="23"/>
          <w:rtl/>
        </w:rPr>
        <w:t>‌</w:t>
      </w:r>
      <w:r w:rsidRPr="00A62FF4">
        <w:rPr>
          <w:rFonts w:hint="eastAsia"/>
          <w:sz w:val="23"/>
          <w:szCs w:val="23"/>
        </w:rPr>
        <w:t>‌</w:t>
      </w:r>
      <w:r w:rsidRPr="00A62FF4">
        <w:rPr>
          <w:rFonts w:hint="cs"/>
          <w:sz w:val="23"/>
          <w:szCs w:val="23"/>
          <w:rtl/>
        </w:rPr>
        <w:t xml:space="preserve"> رشد جمعیت یکسان، و توابع تولید همانند، اقتصاد</w:t>
      </w:r>
      <w:r w:rsidRPr="00A62FF4">
        <w:rPr>
          <w:rFonts w:hint="eastAsia"/>
          <w:sz w:val="23"/>
          <w:szCs w:val="23"/>
          <w:rtl/>
        </w:rPr>
        <w:t>‌‌</w:t>
      </w:r>
      <w:r w:rsidRPr="00A62FF4">
        <w:rPr>
          <w:rFonts w:hint="cs"/>
          <w:sz w:val="23"/>
          <w:szCs w:val="23"/>
          <w:rtl/>
        </w:rPr>
        <w:t xml:space="preserve"> کشورها در هر شرایطی یعنی با هر موجودی سرمایه و تولید سرانه</w:t>
      </w:r>
      <w:r w:rsidRPr="00A62FF4">
        <w:rPr>
          <w:sz w:val="23"/>
          <w:szCs w:val="23"/>
          <w:rtl/>
        </w:rPr>
        <w:softHyphen/>
      </w:r>
      <w:r w:rsidRPr="00A62FF4">
        <w:rPr>
          <w:rFonts w:hint="cs"/>
          <w:sz w:val="23"/>
          <w:szCs w:val="23"/>
          <w:rtl/>
        </w:rPr>
        <w:t>ی اولیه، نهایتاً به یک نقطه</w:t>
      </w:r>
      <w:r w:rsidRPr="00A62FF4">
        <w:rPr>
          <w:sz w:val="23"/>
          <w:szCs w:val="23"/>
          <w:rtl/>
        </w:rPr>
        <w:softHyphen/>
      </w:r>
      <w:r w:rsidRPr="00A62FF4">
        <w:rPr>
          <w:rFonts w:hint="cs"/>
          <w:sz w:val="23"/>
          <w:szCs w:val="23"/>
          <w:rtl/>
        </w:rPr>
        <w:t>ی تعادلی بلندمدت همگرا می</w:t>
      </w:r>
      <w:r w:rsidRPr="00A62FF4">
        <w:rPr>
          <w:rFonts w:hint="eastAsia"/>
          <w:sz w:val="23"/>
          <w:szCs w:val="23"/>
          <w:rtl/>
        </w:rPr>
        <w:t>‌</w:t>
      </w:r>
      <w:r w:rsidRPr="00A62FF4">
        <w:rPr>
          <w:rFonts w:hint="eastAsia"/>
          <w:sz w:val="23"/>
          <w:szCs w:val="23"/>
        </w:rPr>
        <w:t>‌</w:t>
      </w:r>
      <w:r w:rsidRPr="00A62FF4">
        <w:rPr>
          <w:rFonts w:hint="cs"/>
          <w:sz w:val="23"/>
          <w:szCs w:val="23"/>
          <w:rtl/>
        </w:rPr>
        <w:t>شوند. بنابراین رشد درآمد سرانه</w:t>
      </w:r>
      <w:r w:rsidRPr="00A62FF4">
        <w:rPr>
          <w:sz w:val="23"/>
          <w:szCs w:val="23"/>
          <w:rtl/>
        </w:rPr>
        <w:softHyphen/>
      </w:r>
      <w:r w:rsidRPr="00A62FF4">
        <w:rPr>
          <w:rFonts w:hint="cs"/>
          <w:sz w:val="23"/>
          <w:szCs w:val="23"/>
          <w:rtl/>
        </w:rPr>
        <w:t>ی اقتصاد کشورهای فقیرتر بالاتر از کشورهای توسعه یافته است. به عبارتی دیگر مشتق رشد موجودی سرمایه</w:t>
      </w:r>
      <w:r w:rsidRPr="00A62FF4">
        <w:rPr>
          <w:sz w:val="23"/>
          <w:szCs w:val="23"/>
          <w:rtl/>
        </w:rPr>
        <w:softHyphen/>
      </w:r>
      <w:r w:rsidRPr="00A62FF4">
        <w:rPr>
          <w:rFonts w:hint="cs"/>
          <w:sz w:val="23"/>
          <w:szCs w:val="23"/>
          <w:rtl/>
        </w:rPr>
        <w:t>ی سرانه نسبت به سطح موجودی سرانه برابر است با:</w:t>
      </w:r>
    </w:p>
    <w:p w14:paraId="40C137F2" w14:textId="77777777" w:rsidR="00411620" w:rsidRPr="00A62FF4" w:rsidRDefault="00411620" w:rsidP="00411620">
      <w:pPr>
        <w:pStyle w:val="MTDisplayEquation"/>
        <w:tabs>
          <w:tab w:val="clear" w:pos="3320"/>
          <w:tab w:val="clear" w:pos="6660"/>
          <w:tab w:val="center" w:pos="0"/>
        </w:tabs>
        <w:spacing w:line="216" w:lineRule="auto"/>
        <w:jc w:val="left"/>
        <w:rPr>
          <w:rFonts w:ascii="Times New Roman" w:eastAsia="Times New Roman" w:hAnsi="Times New Roman" w:cs="B Nazanin"/>
          <w:sz w:val="23"/>
          <w:szCs w:val="23"/>
        </w:rPr>
      </w:pPr>
      <w:r w:rsidRPr="00A62FF4">
        <w:rPr>
          <w:position w:val="-22"/>
        </w:rPr>
        <w:object w:dxaOrig="2420" w:dyaOrig="960" w14:anchorId="6605150A">
          <v:shape id="_x0000_i1690" type="#_x0000_t75" style="width:121pt;height:48.4pt" o:ole="">
            <v:imagedata r:id="rId1358" o:title=""/>
          </v:shape>
          <o:OLEObject Type="Embed" ProgID="Equation.DSMT4" ShapeID="_x0000_i1690" DrawAspect="Content" ObjectID="_1791375634" r:id="rId1359"/>
        </w:object>
      </w:r>
    </w:p>
    <w:p w14:paraId="4F8C1DD9" w14:textId="77777777" w:rsidR="00411620" w:rsidRPr="00A62FF4" w:rsidRDefault="00411620" w:rsidP="00411620">
      <w:pPr>
        <w:spacing w:line="216" w:lineRule="auto"/>
        <w:rPr>
          <w:sz w:val="23"/>
          <w:szCs w:val="23"/>
          <w:rtl/>
        </w:rPr>
      </w:pPr>
      <w:r w:rsidRPr="00A62FF4">
        <w:rPr>
          <w:rFonts w:hint="cs"/>
          <w:sz w:val="23"/>
          <w:szCs w:val="23"/>
          <w:rtl/>
        </w:rPr>
        <w:t>براساس رابطه</w:t>
      </w:r>
      <w:r w:rsidRPr="00A62FF4">
        <w:rPr>
          <w:sz w:val="23"/>
          <w:szCs w:val="23"/>
          <w:rtl/>
        </w:rPr>
        <w:softHyphen/>
      </w:r>
      <w:r w:rsidRPr="00A62FF4">
        <w:rPr>
          <w:rFonts w:hint="cs"/>
          <w:sz w:val="23"/>
          <w:szCs w:val="23"/>
          <w:rtl/>
        </w:rPr>
        <w:t xml:space="preserve">ی فوق مشتق </w:t>
      </w:r>
      <m:oMath>
        <m:sSub>
          <m:sSubPr>
            <m:ctrlPr>
              <w:rPr>
                <w:rFonts w:ascii="Cambria Math" w:hAnsi="Cambria Math"/>
                <w:sz w:val="23"/>
                <w:szCs w:val="23"/>
              </w:rPr>
            </m:ctrlPr>
          </m:sSubPr>
          <m:e>
            <m:r>
              <w:rPr>
                <w:rFonts w:ascii="Cambria Math" w:hAnsi="Cambria Math"/>
                <w:sz w:val="23"/>
                <w:szCs w:val="23"/>
              </w:rPr>
              <m:t>γ</m:t>
            </m:r>
          </m:e>
          <m:sub>
            <m:r>
              <w:rPr>
                <w:rFonts w:ascii="Cambria Math" w:hAnsi="Cambria Math"/>
                <w:sz w:val="23"/>
                <w:szCs w:val="23"/>
              </w:rPr>
              <m:t>k</m:t>
            </m:r>
          </m:sub>
        </m:sSub>
      </m:oMath>
      <w:r w:rsidRPr="00A62FF4">
        <w:rPr>
          <w:rFonts w:hint="cs"/>
          <w:sz w:val="23"/>
          <w:szCs w:val="23"/>
          <w:rtl/>
        </w:rPr>
        <w:t xml:space="preserve"> نسبت به سرمایه سرانه منفی است. به تعبیری سطوح بالاتر سرمایه سرانه، نرخ رشد پایین</w:t>
      </w:r>
      <w:r w:rsidRPr="00A62FF4">
        <w:rPr>
          <w:sz w:val="23"/>
          <w:szCs w:val="23"/>
          <w:rtl/>
        </w:rPr>
        <w:softHyphen/>
      </w:r>
      <w:r w:rsidRPr="00A62FF4">
        <w:rPr>
          <w:rFonts w:hint="cs"/>
          <w:sz w:val="23"/>
          <w:szCs w:val="23"/>
          <w:rtl/>
        </w:rPr>
        <w:t>تری را در بر خواهد داشت. بر اساس این رابطه این سوال را می</w:t>
      </w:r>
      <w:r w:rsidRPr="00A62FF4">
        <w:rPr>
          <w:rFonts w:hint="eastAsia"/>
          <w:sz w:val="23"/>
          <w:szCs w:val="23"/>
          <w:rtl/>
        </w:rPr>
        <w:t>‌</w:t>
      </w:r>
      <w:r w:rsidRPr="00A62FF4">
        <w:rPr>
          <w:rFonts w:hint="cs"/>
          <w:sz w:val="23"/>
          <w:szCs w:val="23"/>
          <w:rtl/>
        </w:rPr>
        <w:t xml:space="preserve">توان مطرح کرد </w:t>
      </w:r>
      <w:r w:rsidRPr="00A62FF4">
        <w:rPr>
          <w:rFonts w:hint="cs"/>
          <w:sz w:val="23"/>
          <w:szCs w:val="23"/>
          <w:rtl/>
        </w:rPr>
        <w:lastRenderedPageBreak/>
        <w:t>که آیا اقتصادهای با سرمایه</w:t>
      </w:r>
      <w:r w:rsidRPr="00A62FF4">
        <w:rPr>
          <w:sz w:val="23"/>
          <w:szCs w:val="23"/>
          <w:rtl/>
        </w:rPr>
        <w:softHyphen/>
      </w:r>
      <w:r w:rsidRPr="00A62FF4">
        <w:rPr>
          <w:rFonts w:hint="cs"/>
          <w:sz w:val="23"/>
          <w:szCs w:val="23"/>
          <w:rtl/>
        </w:rPr>
        <w:t>ی سرانه</w:t>
      </w:r>
      <w:r w:rsidRPr="00A62FF4">
        <w:rPr>
          <w:sz w:val="23"/>
          <w:szCs w:val="23"/>
          <w:rtl/>
        </w:rPr>
        <w:softHyphen/>
      </w:r>
      <w:r w:rsidRPr="00A62FF4">
        <w:rPr>
          <w:rFonts w:hint="cs"/>
          <w:sz w:val="23"/>
          <w:szCs w:val="23"/>
          <w:rtl/>
        </w:rPr>
        <w:t>ی پایین</w:t>
      </w:r>
      <w:r w:rsidRPr="00A62FF4">
        <w:rPr>
          <w:rFonts w:hint="eastAsia"/>
          <w:sz w:val="23"/>
          <w:szCs w:val="23"/>
          <w:rtl/>
        </w:rPr>
        <w:t>‌</w:t>
      </w:r>
      <w:r w:rsidRPr="00A62FF4">
        <w:rPr>
          <w:rFonts w:hint="eastAsia"/>
          <w:sz w:val="23"/>
          <w:szCs w:val="23"/>
        </w:rPr>
        <w:t>‌</w:t>
      </w:r>
      <w:r w:rsidRPr="00A62FF4">
        <w:rPr>
          <w:rFonts w:hint="cs"/>
          <w:sz w:val="23"/>
          <w:szCs w:val="23"/>
          <w:rtl/>
        </w:rPr>
        <w:t>تر رشد سریعتری از بقیه کشورها خواهند داشت؟ یا به عبارت دیگر درآمد سرانه</w:t>
      </w:r>
      <w:r w:rsidRPr="00A62FF4">
        <w:rPr>
          <w:sz w:val="23"/>
          <w:szCs w:val="23"/>
          <w:rtl/>
        </w:rPr>
        <w:softHyphen/>
      </w:r>
      <w:r w:rsidRPr="00A62FF4">
        <w:rPr>
          <w:rFonts w:hint="cs"/>
          <w:sz w:val="23"/>
          <w:szCs w:val="23"/>
          <w:rtl/>
        </w:rPr>
        <w:t>ی کشورها میل به همگرایی دارند؟</w:t>
      </w:r>
    </w:p>
    <w:p w14:paraId="4D61ECFE" w14:textId="77777777" w:rsidR="00411620" w:rsidRPr="00A62FF4" w:rsidRDefault="00411620" w:rsidP="00411620">
      <w:pPr>
        <w:spacing w:line="216" w:lineRule="auto"/>
        <w:rPr>
          <w:sz w:val="23"/>
          <w:szCs w:val="23"/>
          <w:rtl/>
        </w:rPr>
      </w:pPr>
      <w:r w:rsidRPr="00A62FF4">
        <w:rPr>
          <w:rFonts w:hint="cs"/>
          <w:sz w:val="23"/>
          <w:szCs w:val="23"/>
          <w:rtl/>
        </w:rPr>
        <w:t xml:space="preserve">از آنجا که مشتق </w:t>
      </w:r>
      <m:oMath>
        <m:sSub>
          <m:sSubPr>
            <m:ctrlPr>
              <w:rPr>
                <w:rFonts w:ascii="Cambria Math" w:hAnsi="Cambria Math"/>
                <w:sz w:val="23"/>
                <w:szCs w:val="23"/>
              </w:rPr>
            </m:ctrlPr>
          </m:sSubPr>
          <m:e>
            <m:r>
              <w:rPr>
                <w:rFonts w:ascii="Cambria Math" w:hAnsi="Cambria Math"/>
                <w:sz w:val="23"/>
                <w:szCs w:val="23"/>
              </w:rPr>
              <m:t>γ</m:t>
            </m:r>
          </m:e>
          <m:sub>
            <m:r>
              <w:rPr>
                <w:rFonts w:ascii="Cambria Math" w:hAnsi="Cambria Math"/>
                <w:sz w:val="23"/>
                <w:szCs w:val="23"/>
              </w:rPr>
              <m:t>k</m:t>
            </m:r>
          </m:sub>
        </m:sSub>
      </m:oMath>
      <w:r w:rsidRPr="00A62FF4">
        <w:rPr>
          <w:rFonts w:hint="cs"/>
          <w:sz w:val="23"/>
          <w:szCs w:val="23"/>
          <w:rtl/>
        </w:rPr>
        <w:t xml:space="preserve"> نسبت به</w:t>
      </w:r>
      <w:r w:rsidRPr="00A62FF4">
        <w:rPr>
          <w:position w:val="-6"/>
        </w:rPr>
        <w:object w:dxaOrig="200" w:dyaOrig="260" w14:anchorId="6C051D3C">
          <v:shape id="_x0000_i1691" type="#_x0000_t75" style="width:10.3pt;height:12.7pt" o:ole="">
            <v:imagedata r:id="rId1360" o:title=""/>
          </v:shape>
          <o:OLEObject Type="Embed" ProgID="Equation.DSMT4" ShapeID="_x0000_i1691" DrawAspect="Content" ObjectID="_1791375635" r:id="rId1361"/>
        </w:object>
      </w:r>
      <w:r w:rsidRPr="00A62FF4">
        <w:rPr>
          <w:sz w:val="23"/>
          <w:szCs w:val="23"/>
        </w:rPr>
        <w:t xml:space="preserve"> </w:t>
      </w:r>
      <w:r w:rsidRPr="00A62FF4">
        <w:rPr>
          <w:rFonts w:hint="cs"/>
          <w:sz w:val="23"/>
          <w:szCs w:val="23"/>
          <w:rtl/>
        </w:rPr>
        <w:t>منفی است، لذا می</w:t>
      </w:r>
      <w:r w:rsidRPr="00A62FF4">
        <w:rPr>
          <w:sz w:val="23"/>
          <w:szCs w:val="23"/>
          <w:rtl/>
        </w:rPr>
        <w:softHyphen/>
      </w:r>
      <w:r w:rsidRPr="00A62FF4">
        <w:rPr>
          <w:rFonts w:hint="cs"/>
          <w:sz w:val="23"/>
          <w:szCs w:val="23"/>
          <w:rtl/>
        </w:rPr>
        <w:t>توان این فرضیه را ارائه کرد که کشورهای با مقادیر پایین سرمایه به نیروی کار، نرخ رشد بالاتری را تجربه خواهند کرد، و کشورهای دارای مقادیر اولیه بالاتر سرمایه به نیروی کار، نرخ رشد پایین</w:t>
      </w:r>
      <w:r w:rsidRPr="00A62FF4">
        <w:rPr>
          <w:sz w:val="23"/>
          <w:szCs w:val="23"/>
          <w:rtl/>
        </w:rPr>
        <w:softHyphen/>
      </w:r>
      <w:r w:rsidRPr="00A62FF4">
        <w:rPr>
          <w:rFonts w:hint="cs"/>
          <w:sz w:val="23"/>
          <w:szCs w:val="23"/>
          <w:rtl/>
        </w:rPr>
        <w:t>تر سرمایه را خواهند داشت. این نتیجه متناظر است با فرضیه</w:t>
      </w:r>
      <w:r w:rsidRPr="00A62FF4">
        <w:rPr>
          <w:rFonts w:hint="eastAsia"/>
          <w:sz w:val="23"/>
          <w:szCs w:val="23"/>
          <w:rtl/>
        </w:rPr>
        <w:t>‌‌</w:t>
      </w:r>
      <w:r w:rsidRPr="00A62FF4">
        <w:rPr>
          <w:rFonts w:hint="cs"/>
          <w:sz w:val="23"/>
          <w:szCs w:val="23"/>
          <w:rtl/>
        </w:rPr>
        <w:t xml:space="preserve">ی همگرایی مطلق. در این فرضیه اقتصادهای فقیر تمایل دارند تا رشد بیشتری نسبت به کشورهای ثروتمند داشته باشند. </w:t>
      </w:r>
    </w:p>
    <w:p w14:paraId="40CD99F9" w14:textId="77777777" w:rsidR="00411620" w:rsidRPr="00A62FF4" w:rsidRDefault="00411620" w:rsidP="00411620">
      <w:pPr>
        <w:spacing w:line="216" w:lineRule="auto"/>
        <w:rPr>
          <w:sz w:val="23"/>
          <w:szCs w:val="23"/>
          <w:rtl/>
        </w:rPr>
      </w:pPr>
      <w:r w:rsidRPr="00A62FF4">
        <w:rPr>
          <w:rFonts w:hint="cs"/>
          <w:sz w:val="23"/>
          <w:szCs w:val="23"/>
          <w:rtl/>
        </w:rPr>
        <w:t>اقتصاددانان برای بررسی صحت فرضیه</w:t>
      </w:r>
      <w:r w:rsidRPr="00A62FF4">
        <w:rPr>
          <w:sz w:val="23"/>
          <w:szCs w:val="23"/>
          <w:rtl/>
        </w:rPr>
        <w:softHyphen/>
      </w:r>
      <w:r w:rsidRPr="00A62FF4">
        <w:rPr>
          <w:rFonts w:hint="cs"/>
          <w:sz w:val="23"/>
          <w:szCs w:val="23"/>
          <w:rtl/>
        </w:rPr>
        <w:t>ی همگرایی مطلق، رابطه</w:t>
      </w:r>
      <w:r w:rsidRPr="00A62FF4">
        <w:rPr>
          <w:sz w:val="23"/>
          <w:szCs w:val="23"/>
          <w:rtl/>
        </w:rPr>
        <w:softHyphen/>
      </w:r>
      <w:r w:rsidRPr="00A62FF4">
        <w:rPr>
          <w:rFonts w:hint="cs"/>
          <w:sz w:val="23"/>
          <w:szCs w:val="23"/>
          <w:rtl/>
        </w:rPr>
        <w:t>ی میان نرخ رشد سالانه تولید سرانه</w:t>
      </w:r>
      <w:r w:rsidRPr="00A62FF4">
        <w:rPr>
          <w:sz w:val="23"/>
          <w:szCs w:val="23"/>
          <w:rtl/>
        </w:rPr>
        <w:softHyphen/>
      </w:r>
      <w:r w:rsidRPr="00A62FF4">
        <w:rPr>
          <w:rFonts w:hint="cs"/>
          <w:sz w:val="23"/>
          <w:szCs w:val="23"/>
          <w:rtl/>
        </w:rPr>
        <w:t>ی واقعی ۱۱۸کشور را در طی دوره ۱۹۸۵-۱۹۶۰ نسبت به لگاریتم تولید سرانه واقعی آن</w:t>
      </w:r>
      <w:r w:rsidRPr="00A62FF4">
        <w:rPr>
          <w:rFonts w:hint="cs"/>
          <w:sz w:val="23"/>
          <w:szCs w:val="23"/>
          <w:rtl/>
        </w:rPr>
        <w:softHyphen/>
        <w:t xml:space="preserve">ها مورد بررسی قرار دادند. براساس نتایج بدست آمده نرخ رشد </w:t>
      </w:r>
      <w:r w:rsidRPr="00A62FF4">
        <w:rPr>
          <w:sz w:val="23"/>
          <w:szCs w:val="23"/>
        </w:rPr>
        <w:t>GDP</w:t>
      </w:r>
      <w:r w:rsidRPr="00A62FF4">
        <w:rPr>
          <w:rFonts w:hint="cs"/>
          <w:sz w:val="23"/>
          <w:szCs w:val="23"/>
          <w:rtl/>
        </w:rPr>
        <w:t xml:space="preserve"> کشورها ارتباطی به شرایط ابتدایی آن</w:t>
      </w:r>
      <w:r w:rsidRPr="00A62FF4">
        <w:rPr>
          <w:rFonts w:hint="cs"/>
          <w:sz w:val="23"/>
          <w:szCs w:val="23"/>
          <w:rtl/>
        </w:rPr>
        <w:softHyphen/>
        <w:t>ها یا ثروتمند و فقیر بودن آن</w:t>
      </w:r>
      <w:r w:rsidRPr="00A62FF4">
        <w:rPr>
          <w:rFonts w:hint="cs"/>
          <w:sz w:val="23"/>
          <w:szCs w:val="23"/>
          <w:rtl/>
        </w:rPr>
        <w:softHyphen/>
        <w:t>ها ندارد. در نتیجه بررسی</w:t>
      </w:r>
      <w:r w:rsidRPr="00A62FF4">
        <w:rPr>
          <w:rFonts w:hint="eastAsia"/>
          <w:sz w:val="23"/>
          <w:szCs w:val="23"/>
          <w:rtl/>
        </w:rPr>
        <w:t>‌</w:t>
      </w:r>
      <w:r w:rsidRPr="00A62FF4">
        <w:rPr>
          <w:rFonts w:hint="cs"/>
          <w:sz w:val="23"/>
          <w:szCs w:val="23"/>
          <w:rtl/>
        </w:rPr>
        <w:t>های تجربی داده</w:t>
      </w:r>
      <w:r w:rsidRPr="00A62FF4">
        <w:rPr>
          <w:sz w:val="23"/>
          <w:szCs w:val="23"/>
          <w:rtl/>
        </w:rPr>
        <w:softHyphen/>
      </w:r>
      <w:r w:rsidRPr="00A62FF4">
        <w:rPr>
          <w:rFonts w:hint="cs"/>
          <w:sz w:val="23"/>
          <w:szCs w:val="23"/>
          <w:rtl/>
        </w:rPr>
        <w:t>ها، فرضیه همگرایی مطلق را تایید نمی</w:t>
      </w:r>
      <w:r w:rsidRPr="00A62FF4">
        <w:rPr>
          <w:sz w:val="23"/>
          <w:szCs w:val="23"/>
          <w:rtl/>
        </w:rPr>
        <w:softHyphen/>
      </w:r>
      <w:r w:rsidRPr="00A62FF4">
        <w:rPr>
          <w:rFonts w:hint="cs"/>
          <w:sz w:val="23"/>
          <w:szCs w:val="23"/>
          <w:rtl/>
        </w:rPr>
        <w:t>کند.</w:t>
      </w:r>
    </w:p>
    <w:p w14:paraId="2A98CD29" w14:textId="77777777" w:rsidR="00411620" w:rsidRPr="00A62FF4" w:rsidRDefault="00411620" w:rsidP="00411620">
      <w:pPr>
        <w:spacing w:line="216" w:lineRule="auto"/>
        <w:rPr>
          <w:sz w:val="23"/>
          <w:szCs w:val="23"/>
          <w:rtl/>
        </w:rPr>
      </w:pPr>
      <w:r w:rsidRPr="00A62FF4">
        <w:rPr>
          <w:rFonts w:hint="cs"/>
          <w:sz w:val="23"/>
          <w:szCs w:val="23"/>
          <w:rtl/>
        </w:rPr>
        <w:t>جهت آزمون تجربی فرضیه</w:t>
      </w:r>
      <w:r w:rsidRPr="00A62FF4">
        <w:rPr>
          <w:sz w:val="23"/>
          <w:szCs w:val="23"/>
          <w:rtl/>
        </w:rPr>
        <w:softHyphen/>
      </w:r>
      <w:r w:rsidRPr="00A62FF4">
        <w:rPr>
          <w:rFonts w:hint="cs"/>
          <w:sz w:val="23"/>
          <w:szCs w:val="23"/>
          <w:rtl/>
        </w:rPr>
        <w:t>ی همگرایی مطلق، بار دیگر گروه همگون</w:t>
      </w:r>
      <w:r w:rsidRPr="00A62FF4">
        <w:rPr>
          <w:rFonts w:hint="eastAsia"/>
          <w:sz w:val="23"/>
          <w:szCs w:val="23"/>
          <w:rtl/>
        </w:rPr>
        <w:t>‌</w:t>
      </w:r>
      <w:r w:rsidRPr="00A62FF4">
        <w:rPr>
          <w:rFonts w:hint="cs"/>
          <w:sz w:val="23"/>
          <w:szCs w:val="23"/>
          <w:rtl/>
        </w:rPr>
        <w:t xml:space="preserve">تری از کشورها شامل ۲۰کشور پیشرفته از اعضای </w:t>
      </w:r>
      <w:r w:rsidRPr="00A62FF4">
        <w:rPr>
          <w:sz w:val="23"/>
          <w:szCs w:val="23"/>
        </w:rPr>
        <w:t>OECD</w:t>
      </w:r>
      <w:r w:rsidRPr="00A62FF4">
        <w:rPr>
          <w:sz w:val="23"/>
          <w:szCs w:val="23"/>
          <w:rtl/>
        </w:rPr>
        <w:t xml:space="preserve"> </w:t>
      </w:r>
      <w:r w:rsidRPr="00A62FF4">
        <w:rPr>
          <w:rFonts w:hint="cs"/>
          <w:sz w:val="23"/>
          <w:szCs w:val="23"/>
          <w:rtl/>
        </w:rPr>
        <w:t>در طی دوره</w:t>
      </w:r>
      <w:r w:rsidRPr="00A62FF4">
        <w:rPr>
          <w:sz w:val="23"/>
          <w:szCs w:val="23"/>
          <w:rtl/>
        </w:rPr>
        <w:softHyphen/>
      </w:r>
      <w:r w:rsidRPr="00A62FF4">
        <w:rPr>
          <w:rFonts w:hint="cs"/>
          <w:sz w:val="23"/>
          <w:szCs w:val="23"/>
          <w:rtl/>
        </w:rPr>
        <w:t>ی ۱۹۸۵-۱۹۶۰ انتخاب شدند. در این کشورها نرخ</w:t>
      </w:r>
      <w:r w:rsidRPr="00A62FF4">
        <w:rPr>
          <w:sz w:val="23"/>
          <w:szCs w:val="23"/>
          <w:rtl/>
        </w:rPr>
        <w:softHyphen/>
      </w:r>
      <w:r w:rsidRPr="00A62FF4">
        <w:rPr>
          <w:rFonts w:hint="cs"/>
          <w:sz w:val="23"/>
          <w:szCs w:val="23"/>
          <w:rtl/>
        </w:rPr>
        <w:t>های پس</w:t>
      </w:r>
      <w:r w:rsidRPr="00A62FF4">
        <w:rPr>
          <w:rFonts w:hint="eastAsia"/>
          <w:sz w:val="23"/>
          <w:szCs w:val="23"/>
          <w:rtl/>
        </w:rPr>
        <w:t>‌</w:t>
      </w:r>
      <w:r w:rsidRPr="00A62FF4">
        <w:rPr>
          <w:rFonts w:hint="cs"/>
          <w:sz w:val="23"/>
          <w:szCs w:val="23"/>
          <w:rtl/>
        </w:rPr>
        <w:t>انداز، رشد تکنولوژی، استهلاک و نرخ</w:t>
      </w:r>
      <w:r w:rsidRPr="00A62FF4">
        <w:rPr>
          <w:rFonts w:hint="eastAsia"/>
          <w:sz w:val="23"/>
          <w:szCs w:val="23"/>
          <w:rtl/>
        </w:rPr>
        <w:t>‌</w:t>
      </w:r>
      <w:r w:rsidRPr="00A62FF4">
        <w:rPr>
          <w:rFonts w:hint="eastAsia"/>
          <w:sz w:val="23"/>
          <w:szCs w:val="23"/>
        </w:rPr>
        <w:t>‌</w:t>
      </w:r>
      <w:r w:rsidRPr="00A62FF4">
        <w:rPr>
          <w:rFonts w:hint="cs"/>
          <w:sz w:val="23"/>
          <w:szCs w:val="23"/>
          <w:rtl/>
        </w:rPr>
        <w:t xml:space="preserve"> رشد جمعیت تقریباً یکسان، و توابع تولید تقریباً همسان است. بر اساس نتایج بدست آمده متوسط نرخ رشد </w:t>
      </w:r>
      <w:r w:rsidRPr="00A62FF4">
        <w:rPr>
          <w:sz w:val="23"/>
          <w:szCs w:val="23"/>
        </w:rPr>
        <w:t>GDP</w:t>
      </w:r>
      <w:r w:rsidRPr="00A62FF4">
        <w:rPr>
          <w:rFonts w:hint="cs"/>
          <w:sz w:val="23"/>
          <w:szCs w:val="23"/>
          <w:rtl/>
        </w:rPr>
        <w:t xml:space="preserve"> سرانه واقعی این کشورها با </w:t>
      </w:r>
      <w:r w:rsidRPr="00A62FF4">
        <w:rPr>
          <w:sz w:val="23"/>
          <w:szCs w:val="23"/>
        </w:rPr>
        <w:t>GDP</w:t>
      </w:r>
      <w:r w:rsidRPr="00A62FF4">
        <w:rPr>
          <w:rFonts w:hint="cs"/>
          <w:sz w:val="23"/>
          <w:szCs w:val="23"/>
          <w:rtl/>
        </w:rPr>
        <w:t xml:space="preserve"> سرانه واقعی رابطه</w:t>
      </w:r>
      <w:r w:rsidRPr="00A62FF4">
        <w:rPr>
          <w:sz w:val="23"/>
          <w:szCs w:val="23"/>
          <w:rtl/>
        </w:rPr>
        <w:softHyphen/>
      </w:r>
      <w:r w:rsidRPr="00A62FF4">
        <w:rPr>
          <w:rFonts w:hint="cs"/>
          <w:sz w:val="23"/>
          <w:szCs w:val="23"/>
          <w:rtl/>
        </w:rPr>
        <w:t xml:space="preserve">ی منفی دارد. در نتیجه فرضیه همگرایی بین کشورهای </w:t>
      </w:r>
      <w:r w:rsidRPr="00A62FF4">
        <w:rPr>
          <w:sz w:val="23"/>
          <w:szCs w:val="23"/>
        </w:rPr>
        <w:t>OECD</w:t>
      </w:r>
      <w:r w:rsidRPr="00A62FF4">
        <w:rPr>
          <w:rFonts w:hint="cs"/>
          <w:sz w:val="23"/>
          <w:szCs w:val="23"/>
          <w:rtl/>
        </w:rPr>
        <w:t xml:space="preserve"> تأیید می</w:t>
      </w:r>
      <w:r w:rsidRPr="00A62FF4">
        <w:rPr>
          <w:rFonts w:hint="eastAsia"/>
          <w:sz w:val="23"/>
          <w:szCs w:val="23"/>
          <w:rtl/>
        </w:rPr>
        <w:t>‌</w:t>
      </w:r>
      <w:r w:rsidRPr="00A62FF4">
        <w:rPr>
          <w:rFonts w:hint="cs"/>
          <w:sz w:val="23"/>
          <w:szCs w:val="23"/>
          <w:rtl/>
        </w:rPr>
        <w:t>شود. بنابراین نتیجه می</w:t>
      </w:r>
      <w:r w:rsidRPr="00A62FF4">
        <w:rPr>
          <w:sz w:val="23"/>
          <w:szCs w:val="23"/>
          <w:rtl/>
        </w:rPr>
        <w:softHyphen/>
      </w:r>
      <w:r w:rsidRPr="00A62FF4">
        <w:rPr>
          <w:rFonts w:hint="cs"/>
          <w:sz w:val="23"/>
          <w:szCs w:val="23"/>
          <w:rtl/>
        </w:rPr>
        <w:t>گیریم که فرضیه</w:t>
      </w:r>
      <w:r w:rsidRPr="00A62FF4">
        <w:rPr>
          <w:sz w:val="23"/>
          <w:szCs w:val="23"/>
          <w:rtl/>
        </w:rPr>
        <w:softHyphen/>
      </w:r>
      <w:r w:rsidRPr="00A62FF4">
        <w:rPr>
          <w:rFonts w:hint="cs"/>
          <w:sz w:val="23"/>
          <w:szCs w:val="23"/>
          <w:rtl/>
        </w:rPr>
        <w:t xml:space="preserve">ی همگرایی مستلزم همگن بودن کشورهاست. </w:t>
      </w:r>
    </w:p>
    <w:p w14:paraId="4303605B" w14:textId="77777777" w:rsidR="00411620" w:rsidRPr="00A62FF4" w:rsidRDefault="00411620" w:rsidP="00411620">
      <w:pPr>
        <w:spacing w:line="216" w:lineRule="auto"/>
        <w:rPr>
          <w:sz w:val="23"/>
          <w:szCs w:val="23"/>
          <w:rtl/>
        </w:rPr>
      </w:pPr>
      <w:r w:rsidRPr="00A62FF4">
        <w:rPr>
          <w:rFonts w:hint="cs"/>
          <w:sz w:val="23"/>
          <w:szCs w:val="23"/>
          <w:rtl/>
        </w:rPr>
        <w:t xml:space="preserve">در شرایطی که فرضیه همگرایی مطلق در مشاهدات تجربی کشورهای ناهمگن شکست </w:t>
      </w:r>
      <w:r w:rsidRPr="00A62FF4">
        <w:rPr>
          <w:rFonts w:hint="eastAsia"/>
          <w:sz w:val="23"/>
          <w:szCs w:val="23"/>
          <w:rtl/>
        </w:rPr>
        <w:t>‌</w:t>
      </w:r>
      <w:r w:rsidRPr="00A62FF4">
        <w:rPr>
          <w:rFonts w:hint="cs"/>
          <w:sz w:val="23"/>
          <w:szCs w:val="23"/>
          <w:rtl/>
        </w:rPr>
        <w:t>می</w:t>
      </w:r>
      <w:r w:rsidRPr="00A62FF4">
        <w:rPr>
          <w:rFonts w:hint="eastAsia"/>
          <w:sz w:val="23"/>
          <w:szCs w:val="23"/>
          <w:rtl/>
        </w:rPr>
        <w:t>‌‌</w:t>
      </w:r>
      <w:r w:rsidRPr="00A62FF4">
        <w:rPr>
          <w:rFonts w:hint="cs"/>
          <w:sz w:val="23"/>
          <w:szCs w:val="23"/>
          <w:rtl/>
        </w:rPr>
        <w:t>خورد، فرضیه دیگری با نام همگرایی شرطی مورد توجه قرار می</w:t>
      </w:r>
      <w:r w:rsidRPr="00A62FF4">
        <w:rPr>
          <w:sz w:val="23"/>
          <w:szCs w:val="23"/>
          <w:rtl/>
        </w:rPr>
        <w:softHyphen/>
      </w:r>
      <w:r w:rsidRPr="00A62FF4">
        <w:rPr>
          <w:rFonts w:hint="cs"/>
          <w:sz w:val="23"/>
          <w:szCs w:val="23"/>
          <w:rtl/>
        </w:rPr>
        <w:t>گیرد. بر این اساس اگر فرض کنیم اقتصاد</w:t>
      </w:r>
      <w:r w:rsidRPr="00A62FF4">
        <w:rPr>
          <w:rFonts w:hint="eastAsia"/>
          <w:sz w:val="23"/>
          <w:szCs w:val="23"/>
          <w:rtl/>
        </w:rPr>
        <w:t>‌‌</w:t>
      </w:r>
      <w:r w:rsidRPr="00A62FF4">
        <w:rPr>
          <w:rFonts w:hint="cs"/>
          <w:sz w:val="23"/>
          <w:szCs w:val="23"/>
          <w:rtl/>
        </w:rPr>
        <w:t xml:space="preserve"> کشورها دارای وضعیت پایدار متفاوت باشند، در نتیجه با وجود پارامترهای متفاوت، اقتصاد</w:t>
      </w:r>
      <w:r w:rsidRPr="00A62FF4">
        <w:rPr>
          <w:rFonts w:hint="eastAsia"/>
          <w:sz w:val="23"/>
          <w:szCs w:val="23"/>
          <w:rtl/>
        </w:rPr>
        <w:t>‌‌</w:t>
      </w:r>
      <w:r w:rsidRPr="00A62FF4">
        <w:rPr>
          <w:rFonts w:hint="cs"/>
          <w:sz w:val="23"/>
          <w:szCs w:val="23"/>
          <w:rtl/>
        </w:rPr>
        <w:t xml:space="preserve"> آن</w:t>
      </w:r>
      <w:r w:rsidRPr="00A62FF4">
        <w:rPr>
          <w:sz w:val="23"/>
          <w:szCs w:val="23"/>
          <w:rtl/>
        </w:rPr>
        <w:softHyphen/>
      </w:r>
      <w:r w:rsidRPr="00A62FF4">
        <w:rPr>
          <w:rFonts w:hint="cs"/>
          <w:sz w:val="23"/>
          <w:szCs w:val="23"/>
          <w:rtl/>
        </w:rPr>
        <w:t>ها به سمت وضعیت پایدار منحصر به فرد خود حرکت می</w:t>
      </w:r>
      <w:r w:rsidRPr="00A62FF4">
        <w:rPr>
          <w:rFonts w:hint="eastAsia"/>
          <w:sz w:val="23"/>
          <w:szCs w:val="23"/>
          <w:rtl/>
        </w:rPr>
        <w:t>‌‌</w:t>
      </w:r>
      <w:r w:rsidRPr="00A62FF4">
        <w:rPr>
          <w:rFonts w:hint="cs"/>
          <w:sz w:val="23"/>
          <w:szCs w:val="23"/>
          <w:rtl/>
        </w:rPr>
        <w:t>کنند، و هر کشوری که از وضعیت پایدار خود دورتر باشد با سرعت بیشتری رشد می</w:t>
      </w:r>
      <w:r w:rsidRPr="00A62FF4">
        <w:rPr>
          <w:rFonts w:hint="eastAsia"/>
          <w:sz w:val="23"/>
          <w:szCs w:val="23"/>
          <w:rtl/>
        </w:rPr>
        <w:t>‌‌</w:t>
      </w:r>
      <w:r w:rsidRPr="00A62FF4">
        <w:rPr>
          <w:rFonts w:hint="cs"/>
          <w:sz w:val="23"/>
          <w:szCs w:val="23"/>
          <w:rtl/>
        </w:rPr>
        <w:t xml:space="preserve">کند. </w:t>
      </w:r>
    </w:p>
    <w:p w14:paraId="73946151" w14:textId="77777777" w:rsidR="00411620" w:rsidRPr="00A62FF4" w:rsidRDefault="00411620" w:rsidP="00411620">
      <w:pPr>
        <w:spacing w:line="216" w:lineRule="auto"/>
        <w:rPr>
          <w:sz w:val="23"/>
          <w:szCs w:val="23"/>
        </w:rPr>
      </w:pPr>
      <w:r w:rsidRPr="00A62FF4">
        <w:rPr>
          <w:rFonts w:hint="cs"/>
          <w:sz w:val="23"/>
          <w:szCs w:val="23"/>
          <w:rtl/>
        </w:rPr>
        <w:t xml:space="preserve">در نمودار ۳. ۳ منحنی </w:t>
      </w:r>
      <w:r w:rsidRPr="00A62FF4">
        <w:rPr>
          <w:position w:val="-12"/>
        </w:rPr>
        <w:object w:dxaOrig="840" w:dyaOrig="360" w14:anchorId="1B3F89A0">
          <v:shape id="_x0000_i1692" type="#_x0000_t75" style="width:41.75pt;height:18.15pt" o:ole="">
            <v:imagedata r:id="rId1362" o:title=""/>
          </v:shape>
          <o:OLEObject Type="Embed" ProgID="Equation.DSMT4" ShapeID="_x0000_i1692" DrawAspect="Content" ObjectID="_1791375636" r:id="rId1363"/>
        </w:object>
      </w:r>
      <w:r w:rsidRPr="00A62FF4">
        <w:rPr>
          <w:sz w:val="23"/>
          <w:szCs w:val="23"/>
        </w:rPr>
        <w:t xml:space="preserve"> </w:t>
      </w:r>
      <w:r w:rsidRPr="00A62FF4">
        <w:rPr>
          <w:rFonts w:hint="cs"/>
          <w:sz w:val="23"/>
          <w:szCs w:val="23"/>
          <w:rtl/>
        </w:rPr>
        <w:t>برای دو اقتصادی که سرمایه</w:t>
      </w:r>
      <w:r w:rsidRPr="00A62FF4">
        <w:rPr>
          <w:sz w:val="23"/>
          <w:szCs w:val="23"/>
          <w:rtl/>
        </w:rPr>
        <w:softHyphen/>
      </w:r>
      <w:r w:rsidRPr="00A62FF4">
        <w:rPr>
          <w:rFonts w:hint="cs"/>
          <w:sz w:val="23"/>
          <w:szCs w:val="23"/>
          <w:rtl/>
        </w:rPr>
        <w:t>ی سرانه</w:t>
      </w:r>
      <w:r w:rsidRPr="00A62FF4">
        <w:rPr>
          <w:sz w:val="23"/>
          <w:szCs w:val="23"/>
          <w:rtl/>
        </w:rPr>
        <w:softHyphen/>
      </w:r>
      <w:r w:rsidRPr="00A62FF4">
        <w:rPr>
          <w:rFonts w:hint="cs"/>
          <w:sz w:val="23"/>
          <w:szCs w:val="23"/>
          <w:rtl/>
        </w:rPr>
        <w:t>ی اولیه</w:t>
      </w:r>
      <w:r w:rsidRPr="00A62FF4">
        <w:rPr>
          <w:sz w:val="23"/>
          <w:szCs w:val="23"/>
          <w:rtl/>
        </w:rPr>
        <w:softHyphen/>
      </w:r>
      <w:r w:rsidRPr="00A62FF4">
        <w:rPr>
          <w:rFonts w:hint="cs"/>
          <w:sz w:val="23"/>
          <w:szCs w:val="23"/>
          <w:rtl/>
        </w:rPr>
        <w:t xml:space="preserve">ی متفاوت دارند ترسیم شده </w:t>
      </w:r>
      <w:r w:rsidRPr="00A62FF4">
        <w:rPr>
          <w:rFonts w:hint="eastAsia"/>
          <w:sz w:val="23"/>
          <w:szCs w:val="23"/>
          <w:rtl/>
        </w:rPr>
        <w:t>‌‌</w:t>
      </w:r>
      <w:r w:rsidRPr="00A62FF4">
        <w:rPr>
          <w:rFonts w:hint="cs"/>
          <w:sz w:val="23"/>
          <w:szCs w:val="23"/>
          <w:rtl/>
        </w:rPr>
        <w:t>است. تنها تفاوت آن</w:t>
      </w:r>
      <w:r w:rsidRPr="00A62FF4">
        <w:rPr>
          <w:sz w:val="23"/>
          <w:szCs w:val="23"/>
          <w:rtl/>
        </w:rPr>
        <w:softHyphen/>
      </w:r>
      <w:r w:rsidRPr="00A62FF4">
        <w:rPr>
          <w:rFonts w:hint="cs"/>
          <w:sz w:val="23"/>
          <w:szCs w:val="23"/>
          <w:rtl/>
        </w:rPr>
        <w:t>ها اختلاف در نرخ</w:t>
      </w:r>
      <w:r w:rsidRPr="00A62FF4">
        <w:rPr>
          <w:rFonts w:hint="eastAsia"/>
          <w:sz w:val="23"/>
          <w:szCs w:val="23"/>
          <w:rtl/>
        </w:rPr>
        <w:t>‌‌</w:t>
      </w:r>
      <w:r w:rsidRPr="00A62FF4">
        <w:rPr>
          <w:rFonts w:hint="cs"/>
          <w:sz w:val="23"/>
          <w:szCs w:val="23"/>
          <w:rtl/>
        </w:rPr>
        <w:t xml:space="preserve"> پس</w:t>
      </w:r>
      <w:r w:rsidRPr="00A62FF4">
        <w:rPr>
          <w:rFonts w:hint="eastAsia"/>
          <w:sz w:val="23"/>
          <w:szCs w:val="23"/>
          <w:rtl/>
        </w:rPr>
        <w:t>‌</w:t>
      </w:r>
      <w:r w:rsidRPr="00A62FF4">
        <w:rPr>
          <w:rFonts w:hint="cs"/>
          <w:sz w:val="23"/>
          <w:szCs w:val="23"/>
          <w:rtl/>
        </w:rPr>
        <w:t>انداز این دو کشور است. وجود تفاوت در نرخ</w:t>
      </w:r>
      <w:r w:rsidRPr="00A62FF4">
        <w:rPr>
          <w:rFonts w:hint="eastAsia"/>
          <w:sz w:val="23"/>
          <w:szCs w:val="23"/>
          <w:rtl/>
        </w:rPr>
        <w:t>‌</w:t>
      </w:r>
      <w:r w:rsidRPr="00A62FF4">
        <w:rPr>
          <w:rFonts w:hint="cs"/>
          <w:sz w:val="23"/>
          <w:szCs w:val="23"/>
          <w:rtl/>
        </w:rPr>
        <w:t>های پس</w:t>
      </w:r>
      <w:r w:rsidRPr="00A62FF4">
        <w:rPr>
          <w:rFonts w:hint="eastAsia"/>
          <w:sz w:val="23"/>
          <w:szCs w:val="23"/>
          <w:rtl/>
        </w:rPr>
        <w:t>‌</w:t>
      </w:r>
      <w:r w:rsidRPr="00A62FF4">
        <w:rPr>
          <w:rFonts w:hint="cs"/>
          <w:sz w:val="23"/>
          <w:szCs w:val="23"/>
          <w:rtl/>
        </w:rPr>
        <w:t>انداز باعث ایجاد اختلاف سرمایه در وضعیت پایدار اقتصاد فقیر و غنی می</w:t>
      </w:r>
      <w:r w:rsidRPr="00A62FF4">
        <w:rPr>
          <w:rFonts w:hint="eastAsia"/>
          <w:sz w:val="23"/>
          <w:szCs w:val="23"/>
          <w:rtl/>
        </w:rPr>
        <w:t>‌</w:t>
      </w:r>
      <w:r w:rsidRPr="00A62FF4">
        <w:rPr>
          <w:rFonts w:hint="eastAsia"/>
          <w:sz w:val="23"/>
          <w:szCs w:val="23"/>
        </w:rPr>
        <w:t>‌</w:t>
      </w:r>
      <w:r w:rsidRPr="00A62FF4">
        <w:rPr>
          <w:rFonts w:hint="cs"/>
          <w:sz w:val="23"/>
          <w:szCs w:val="23"/>
          <w:rtl/>
        </w:rPr>
        <w:t>گردد.</w:t>
      </w:r>
      <w:r w:rsidRPr="00A62FF4">
        <w:rPr>
          <w:sz w:val="23"/>
          <w:szCs w:val="23"/>
        </w:rPr>
        <w:t xml:space="preserve"> </w:t>
      </w:r>
      <w:r w:rsidRPr="00A62FF4">
        <w:rPr>
          <w:rFonts w:hint="cs"/>
          <w:sz w:val="23"/>
          <w:szCs w:val="23"/>
          <w:rtl/>
        </w:rPr>
        <w:t>در این نمودار</w:t>
      </w:r>
      <w:r w:rsidRPr="00A62FF4">
        <w:rPr>
          <w:position w:val="-14"/>
        </w:rPr>
        <w:object w:dxaOrig="980" w:dyaOrig="360" w14:anchorId="6F8F784B">
          <v:shape id="_x0000_i1693" type="#_x0000_t75" style="width:49pt;height:18.15pt" o:ole="">
            <v:imagedata r:id="rId1364" o:title=""/>
          </v:shape>
          <o:OLEObject Type="Embed" ProgID="Equation.DSMT4" ShapeID="_x0000_i1693" DrawAspect="Content" ObjectID="_1791375637" r:id="rId1365"/>
        </w:object>
      </w:r>
      <w:r w:rsidRPr="00A62FF4">
        <w:rPr>
          <w:rFonts w:hint="cs"/>
          <w:sz w:val="23"/>
          <w:szCs w:val="23"/>
          <w:rtl/>
        </w:rPr>
        <w:t xml:space="preserve"> و </w:t>
      </w:r>
      <w:r w:rsidRPr="00A62FF4">
        <w:rPr>
          <w:position w:val="-14"/>
        </w:rPr>
        <w:object w:dxaOrig="1560" w:dyaOrig="360" w14:anchorId="6E06C5C9">
          <v:shape id="_x0000_i1694" type="#_x0000_t75" style="width:78.05pt;height:18.15pt" o:ole="">
            <v:imagedata r:id="rId1366" o:title=""/>
          </v:shape>
          <o:OLEObject Type="Embed" ProgID="Equation.DSMT4" ShapeID="_x0000_i1694" DrawAspect="Content" ObjectID="_1791375638" r:id="rId1367"/>
        </w:object>
      </w:r>
      <w:r w:rsidRPr="00A62FF4">
        <w:rPr>
          <w:rFonts w:hint="cs"/>
          <w:sz w:val="23"/>
          <w:szCs w:val="23"/>
          <w:vertAlign w:val="subscript"/>
          <w:rtl/>
        </w:rPr>
        <w:t xml:space="preserve"> </w:t>
      </w:r>
      <w:r w:rsidRPr="00A62FF4">
        <w:rPr>
          <w:rFonts w:hint="cs"/>
          <w:sz w:val="23"/>
          <w:szCs w:val="23"/>
          <w:rtl/>
        </w:rPr>
        <w:t>می</w:t>
      </w:r>
      <w:r w:rsidRPr="00A62FF4">
        <w:rPr>
          <w:rFonts w:hint="eastAsia"/>
          <w:sz w:val="23"/>
          <w:szCs w:val="23"/>
          <w:rtl/>
        </w:rPr>
        <w:t>‌</w:t>
      </w:r>
      <w:r w:rsidRPr="00A62FF4">
        <w:rPr>
          <w:rFonts w:hint="cs"/>
          <w:sz w:val="23"/>
          <w:szCs w:val="23"/>
          <w:rtl/>
        </w:rPr>
        <w:t>باشد. در نتیجه</w:t>
      </w:r>
      <w:r w:rsidRPr="00A62FF4">
        <w:rPr>
          <w:position w:val="-14"/>
        </w:rPr>
        <w:object w:dxaOrig="1020" w:dyaOrig="380" w14:anchorId="14DEA9A2">
          <v:shape id="_x0000_i1695" type="#_x0000_t75" style="width:50.8pt;height:18.75pt" o:ole="">
            <v:imagedata r:id="rId1368" o:title=""/>
          </v:shape>
          <o:OLEObject Type="Embed" ProgID="Equation.DSMT4" ShapeID="_x0000_i1695" DrawAspect="Content" ObjectID="_1791375639" r:id="rId1369"/>
        </w:object>
      </w:r>
      <w:r w:rsidRPr="00A62FF4">
        <w:rPr>
          <w:rFonts w:hint="cs"/>
          <w:sz w:val="23"/>
          <w:szCs w:val="23"/>
          <w:rtl/>
        </w:rPr>
        <w:t xml:space="preserve"> خواهد بود. از</w:t>
      </w:r>
      <w:r w:rsidRPr="00A62FF4">
        <w:rPr>
          <w:sz w:val="23"/>
          <w:szCs w:val="23"/>
        </w:rPr>
        <w:t xml:space="preserve"> </w:t>
      </w:r>
      <w:r w:rsidRPr="00A62FF4">
        <w:rPr>
          <w:rFonts w:hint="cs"/>
          <w:sz w:val="23"/>
          <w:szCs w:val="23"/>
          <w:rtl/>
        </w:rPr>
        <w:t>آن</w:t>
      </w:r>
      <w:r w:rsidRPr="00A62FF4">
        <w:rPr>
          <w:sz w:val="23"/>
          <w:szCs w:val="23"/>
          <w:rtl/>
        </w:rPr>
        <w:softHyphen/>
      </w:r>
      <w:r w:rsidRPr="00A62FF4">
        <w:rPr>
          <w:rFonts w:hint="cs"/>
          <w:sz w:val="23"/>
          <w:szCs w:val="23"/>
          <w:rtl/>
        </w:rPr>
        <w:t>جا که در اقتصاد ثروتمند نرخ پس</w:t>
      </w:r>
      <w:r w:rsidRPr="00A62FF4">
        <w:rPr>
          <w:rFonts w:hint="eastAsia"/>
          <w:sz w:val="23"/>
          <w:szCs w:val="23"/>
          <w:rtl/>
        </w:rPr>
        <w:t>‌</w:t>
      </w:r>
      <w:r w:rsidRPr="00A62FF4">
        <w:rPr>
          <w:rFonts w:hint="cs"/>
          <w:sz w:val="23"/>
          <w:szCs w:val="23"/>
          <w:rtl/>
        </w:rPr>
        <w:t>انداز بالاتر است، نرخ رشد موجودی سرمایه و تولید سرانه</w:t>
      </w:r>
      <w:r w:rsidRPr="00A62FF4">
        <w:rPr>
          <w:sz w:val="23"/>
          <w:szCs w:val="23"/>
          <w:rtl/>
        </w:rPr>
        <w:softHyphen/>
      </w:r>
      <w:r w:rsidRPr="00A62FF4">
        <w:rPr>
          <w:rFonts w:hint="cs"/>
          <w:sz w:val="23"/>
          <w:szCs w:val="23"/>
          <w:rtl/>
        </w:rPr>
        <w:t>ی آن نیز بزرگتر از نرخ رشد اقتصاد فقیر خواهد بود، و فرض همگرایی مطلق رد می</w:t>
      </w:r>
      <w:r w:rsidRPr="00A62FF4">
        <w:rPr>
          <w:rFonts w:hint="eastAsia"/>
          <w:sz w:val="23"/>
          <w:szCs w:val="23"/>
          <w:rtl/>
        </w:rPr>
        <w:t>‌</w:t>
      </w:r>
      <w:r w:rsidRPr="00A62FF4">
        <w:rPr>
          <w:rFonts w:hint="cs"/>
          <w:sz w:val="23"/>
          <w:szCs w:val="23"/>
          <w:rtl/>
        </w:rPr>
        <w:t>شود. این نکته توجیحی است که چرا کشوری که از ابتدا ثروتمند یا فقیر است، هم</w:t>
      </w:r>
      <w:r w:rsidRPr="00A62FF4">
        <w:rPr>
          <w:rFonts w:hint="eastAsia"/>
          <w:sz w:val="23"/>
          <w:szCs w:val="23"/>
          <w:rtl/>
        </w:rPr>
        <w:t>‌</w:t>
      </w:r>
      <w:r w:rsidRPr="00A62FF4">
        <w:rPr>
          <w:rFonts w:hint="cs"/>
          <w:sz w:val="23"/>
          <w:szCs w:val="23"/>
          <w:rtl/>
        </w:rPr>
        <w:t>چنان ثروتمند یا فقیر باقی خواهد ماند. در فرض همگرایی شرطی عواملی هم</w:t>
      </w:r>
      <w:r w:rsidRPr="00A62FF4">
        <w:rPr>
          <w:sz w:val="23"/>
          <w:szCs w:val="23"/>
          <w:rtl/>
        </w:rPr>
        <w:softHyphen/>
      </w:r>
      <w:r w:rsidRPr="00A62FF4">
        <w:rPr>
          <w:rFonts w:hint="cs"/>
          <w:sz w:val="23"/>
          <w:szCs w:val="23"/>
          <w:rtl/>
        </w:rPr>
        <w:t>چون نرخ پس</w:t>
      </w:r>
      <w:r w:rsidRPr="00A62FF4">
        <w:rPr>
          <w:rFonts w:hint="eastAsia"/>
          <w:sz w:val="23"/>
          <w:szCs w:val="23"/>
          <w:rtl/>
        </w:rPr>
        <w:t>‌</w:t>
      </w:r>
      <w:r w:rsidRPr="00A62FF4">
        <w:rPr>
          <w:rFonts w:hint="cs"/>
          <w:sz w:val="23"/>
          <w:szCs w:val="23"/>
          <w:rtl/>
        </w:rPr>
        <w:t xml:space="preserve">انداز </w:t>
      </w:r>
      <w:r w:rsidRPr="00A62FF4">
        <w:rPr>
          <w:sz w:val="23"/>
          <w:szCs w:val="23"/>
        </w:rPr>
        <w:t>s</w:t>
      </w:r>
      <w:r w:rsidRPr="00A62FF4">
        <w:rPr>
          <w:rFonts w:hint="cs"/>
          <w:sz w:val="23"/>
          <w:szCs w:val="23"/>
          <w:rtl/>
        </w:rPr>
        <w:t>، سطح تولید اولیه</w:t>
      </w:r>
      <w:r w:rsidRPr="00A62FF4">
        <w:rPr>
          <w:sz w:val="23"/>
          <w:szCs w:val="23"/>
          <w:rtl/>
        </w:rPr>
        <w:softHyphen/>
      </w:r>
      <w:r w:rsidRPr="00A62FF4">
        <w:rPr>
          <w:rFonts w:hint="cs"/>
          <w:sz w:val="23"/>
          <w:szCs w:val="23"/>
          <w:rtl/>
        </w:rPr>
        <w:t>ی</w:t>
      </w:r>
      <w:r w:rsidRPr="00A62FF4">
        <w:rPr>
          <w:position w:val="-8"/>
        </w:rPr>
        <w:object w:dxaOrig="440" w:dyaOrig="279" w14:anchorId="3D1E57D6">
          <v:shape id="_x0000_i1696" type="#_x0000_t75" style="width:21.8pt;height:13.9pt" o:ole="">
            <v:imagedata r:id="rId1370" o:title=""/>
          </v:shape>
          <o:OLEObject Type="Embed" ProgID="Equation.DSMT4" ShapeID="_x0000_i1696" DrawAspect="Content" ObjectID="_1791375640" r:id="rId1371"/>
        </w:object>
      </w:r>
      <w:r w:rsidRPr="00A62FF4">
        <w:rPr>
          <w:rFonts w:hint="cs"/>
          <w:sz w:val="23"/>
          <w:szCs w:val="23"/>
          <w:rtl/>
        </w:rPr>
        <w:t>، و سیاست</w:t>
      </w:r>
      <w:r w:rsidRPr="00A62FF4">
        <w:rPr>
          <w:rFonts w:hint="eastAsia"/>
          <w:sz w:val="23"/>
          <w:szCs w:val="23"/>
          <w:rtl/>
        </w:rPr>
        <w:t>‌</w:t>
      </w:r>
      <w:r w:rsidRPr="00A62FF4">
        <w:rPr>
          <w:rFonts w:hint="cs"/>
          <w:sz w:val="23"/>
          <w:szCs w:val="23"/>
          <w:rtl/>
        </w:rPr>
        <w:t>های دولت که باعث تفاوت در مقدار</w:t>
      </w:r>
      <w:r w:rsidRPr="00A62FF4">
        <w:rPr>
          <w:position w:val="-6"/>
        </w:rPr>
        <w:object w:dxaOrig="260" w:dyaOrig="300" w14:anchorId="501C781F">
          <v:shape id="_x0000_i1697" type="#_x0000_t75" style="width:12.7pt;height:15.15pt" o:ole="">
            <v:imagedata r:id="rId1372" o:title=""/>
          </v:shape>
          <o:OLEObject Type="Embed" ProgID="Equation.DSMT4" ShapeID="_x0000_i1697" DrawAspect="Content" ObjectID="_1791375641" r:id="rId1373"/>
        </w:object>
      </w:r>
      <w:r w:rsidRPr="00A62FF4">
        <w:rPr>
          <w:sz w:val="23"/>
          <w:szCs w:val="23"/>
        </w:rPr>
        <w:t xml:space="preserve"> </w:t>
      </w:r>
      <w:r w:rsidRPr="00A62FF4">
        <w:rPr>
          <w:rFonts w:hint="cs"/>
          <w:sz w:val="23"/>
          <w:szCs w:val="23"/>
          <w:rtl/>
        </w:rPr>
        <w:t>می</w:t>
      </w:r>
      <w:r w:rsidRPr="00A62FF4">
        <w:rPr>
          <w:rFonts w:hint="eastAsia"/>
          <w:sz w:val="23"/>
          <w:szCs w:val="23"/>
          <w:rtl/>
        </w:rPr>
        <w:t>‌</w:t>
      </w:r>
      <w:r w:rsidRPr="00A62FF4">
        <w:rPr>
          <w:rFonts w:hint="cs"/>
          <w:sz w:val="23"/>
          <w:szCs w:val="23"/>
          <w:rtl/>
        </w:rPr>
        <w:t>شوند باید ثابت نگه داشته شوند.</w:t>
      </w:r>
    </w:p>
    <w:p w14:paraId="1E664D99" w14:textId="77777777" w:rsidR="00411620" w:rsidRDefault="00411620" w:rsidP="00411620">
      <w:pPr>
        <w:spacing w:line="216" w:lineRule="auto"/>
        <w:rPr>
          <w:sz w:val="23"/>
          <w:szCs w:val="23"/>
        </w:rPr>
      </w:pPr>
      <w:r w:rsidRPr="00A62FF4">
        <w:rPr>
          <w:rFonts w:hint="cs"/>
          <w:sz w:val="23"/>
          <w:szCs w:val="23"/>
          <w:rtl/>
        </w:rPr>
        <w:lastRenderedPageBreak/>
        <w:t>برای تبیین مفهوم همگرایی شرطی ابتدا باید نرخ پس</w:t>
      </w:r>
      <w:r w:rsidRPr="00A62FF4">
        <w:rPr>
          <w:rFonts w:hint="eastAsia"/>
          <w:sz w:val="23"/>
          <w:szCs w:val="23"/>
          <w:rtl/>
        </w:rPr>
        <w:t>‌</w:t>
      </w:r>
      <w:r w:rsidRPr="00A62FF4">
        <w:rPr>
          <w:rFonts w:hint="cs"/>
          <w:sz w:val="23"/>
          <w:szCs w:val="23"/>
          <w:rtl/>
        </w:rPr>
        <w:t>انداز را در وضعیت یکنواخت و بر اساس رابطه</w:t>
      </w:r>
      <w:r w:rsidRPr="00A62FF4">
        <w:rPr>
          <w:sz w:val="23"/>
          <w:szCs w:val="23"/>
          <w:rtl/>
        </w:rPr>
        <w:softHyphen/>
      </w:r>
      <w:r>
        <w:rPr>
          <w:rFonts w:hint="cs"/>
          <w:sz w:val="23"/>
          <w:szCs w:val="23"/>
          <w:rtl/>
        </w:rPr>
        <w:t>ی (۳. ۴) بازنویسی کنیم،</w:t>
      </w:r>
      <w:r w:rsidRPr="00A62FF4">
        <w:rPr>
          <w:rFonts w:hint="cs"/>
          <w:sz w:val="23"/>
          <w:szCs w:val="23"/>
          <w:rtl/>
        </w:rPr>
        <w:t xml:space="preserve"> یعنی</w:t>
      </w:r>
      <w:r w:rsidRPr="00A62FF4">
        <w:rPr>
          <w:position w:val="-34"/>
        </w:rPr>
        <w:object w:dxaOrig="1620" w:dyaOrig="720" w14:anchorId="6F390CC2">
          <v:shape id="_x0000_i1698" type="#_x0000_t75" style="width:81.1pt;height:36.3pt" o:ole="">
            <v:imagedata r:id="rId1374" o:title=""/>
          </v:shape>
          <o:OLEObject Type="Embed" ProgID="Equation.DSMT4" ShapeID="_x0000_i1698" DrawAspect="Content" ObjectID="_1791375642" r:id="rId1375"/>
        </w:object>
      </w:r>
      <w:r>
        <w:rPr>
          <w:rFonts w:hint="cs"/>
          <w:rtl/>
        </w:rPr>
        <w:t>.</w:t>
      </w:r>
    </w:p>
    <w:p w14:paraId="55BBB315" w14:textId="77777777" w:rsidR="00411620" w:rsidRPr="00A62FF4" w:rsidRDefault="00411620" w:rsidP="00411620">
      <w:pPr>
        <w:spacing w:line="216" w:lineRule="auto"/>
        <w:jc w:val="center"/>
        <w:rPr>
          <w:sz w:val="23"/>
          <w:szCs w:val="23"/>
          <w:rtl/>
        </w:rPr>
      </w:pPr>
      <w:r w:rsidRPr="00A62FF4">
        <w:rPr>
          <w:rFonts w:hint="cs"/>
          <w:sz w:val="23"/>
          <w:szCs w:val="23"/>
          <w:rtl/>
        </w:rPr>
        <w:t>نمودار ۳. ۳</w:t>
      </w:r>
    </w:p>
    <w:p w14:paraId="1CD217EE" w14:textId="77777777" w:rsidR="00411620" w:rsidRPr="00A62FF4" w:rsidRDefault="00411620" w:rsidP="00411620">
      <w:pPr>
        <w:spacing w:line="216" w:lineRule="auto"/>
        <w:jc w:val="center"/>
        <w:rPr>
          <w:sz w:val="23"/>
          <w:szCs w:val="23"/>
          <w:rtl/>
        </w:rPr>
      </w:pPr>
      <w:r w:rsidRPr="00A62FF4">
        <w:rPr>
          <w:noProof/>
          <w:sz w:val="23"/>
          <w:szCs w:val="23"/>
          <w:u w:val="single"/>
          <w:lang w:bidi="ar-SA"/>
        </w:rPr>
        <w:drawing>
          <wp:inline distT="0" distB="0" distL="0" distR="0" wp14:anchorId="410FF5B1" wp14:editId="1C5151A2">
            <wp:extent cx="3654504" cy="2005561"/>
            <wp:effectExtent l="38100" t="38100" r="41275" b="330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6">
                      <a:extLst>
                        <a:ext uri="{BEBA8EAE-BF5A-486C-A8C5-ECC9F3942E4B}">
                          <a14:imgProps xmlns:a14="http://schemas.microsoft.com/office/drawing/2010/main">
                            <a14:imgLayer r:embed="rId1377">
                              <a14:imgEffect>
                                <a14:brightnessContrast contrast="20000"/>
                              </a14:imgEffect>
                            </a14:imgLayer>
                          </a14:imgProps>
                        </a:ext>
                      </a:extLst>
                    </a:blip>
                    <a:stretch>
                      <a:fillRect/>
                    </a:stretch>
                  </pic:blipFill>
                  <pic:spPr>
                    <a:xfrm>
                      <a:off x="0" y="0"/>
                      <a:ext cx="3657600" cy="2007260"/>
                    </a:xfrm>
                    <a:prstGeom prst="rect">
                      <a:avLst/>
                    </a:prstGeom>
                    <a:ln w="28575">
                      <a:solidFill>
                        <a:schemeClr val="tx1"/>
                      </a:solidFill>
                    </a:ln>
                  </pic:spPr>
                </pic:pic>
              </a:graphicData>
            </a:graphic>
          </wp:inline>
        </w:drawing>
      </w:r>
    </w:p>
    <w:p w14:paraId="42ECBD22" w14:textId="77777777" w:rsidR="00411620" w:rsidRPr="00A62FF4" w:rsidRDefault="00411620" w:rsidP="00411620">
      <w:pPr>
        <w:spacing w:line="216" w:lineRule="auto"/>
        <w:rPr>
          <w:sz w:val="23"/>
          <w:szCs w:val="23"/>
          <w:rtl/>
        </w:rPr>
      </w:pPr>
    </w:p>
    <w:p w14:paraId="0F20999F" w14:textId="77777777" w:rsidR="00411620" w:rsidRPr="00A62FF4" w:rsidRDefault="00411620" w:rsidP="00411620">
      <w:pPr>
        <w:spacing w:line="216" w:lineRule="auto"/>
        <w:rPr>
          <w:sz w:val="23"/>
          <w:szCs w:val="23"/>
        </w:rPr>
      </w:pPr>
      <w:r w:rsidRPr="00A62FF4">
        <w:rPr>
          <w:rFonts w:hint="cs"/>
          <w:sz w:val="23"/>
          <w:szCs w:val="23"/>
          <w:rtl/>
        </w:rPr>
        <w:t xml:space="preserve">در صورت جایگزینی </w:t>
      </w:r>
      <w:r w:rsidRPr="00A62FF4">
        <w:rPr>
          <w:sz w:val="23"/>
          <w:szCs w:val="23"/>
        </w:rPr>
        <w:t>s</w:t>
      </w:r>
      <w:r w:rsidRPr="00A62FF4">
        <w:rPr>
          <w:rFonts w:hint="cs"/>
          <w:sz w:val="23"/>
          <w:szCs w:val="23"/>
          <w:rtl/>
        </w:rPr>
        <w:t xml:space="preserve"> در رابطه</w:t>
      </w:r>
      <w:r w:rsidRPr="00A62FF4">
        <w:rPr>
          <w:sz w:val="23"/>
          <w:szCs w:val="23"/>
          <w:rtl/>
        </w:rPr>
        <w:softHyphen/>
      </w:r>
      <w:r w:rsidRPr="00A62FF4">
        <w:rPr>
          <w:rFonts w:hint="cs"/>
          <w:sz w:val="23"/>
          <w:szCs w:val="23"/>
          <w:rtl/>
        </w:rPr>
        <w:t>ی(۳. ۴) خواهیم داشت:</w:t>
      </w:r>
    </w:p>
    <w:p w14:paraId="70B21B30" w14:textId="77777777" w:rsidR="00411620" w:rsidRPr="00A62FF4" w:rsidRDefault="00411620" w:rsidP="00411620">
      <w:pPr>
        <w:bidi w:val="0"/>
        <w:spacing w:line="216" w:lineRule="auto"/>
        <w:rPr>
          <w:sz w:val="23"/>
          <w:szCs w:val="23"/>
        </w:rPr>
      </w:pPr>
      <w:r w:rsidRPr="00A62FF4">
        <w:rPr>
          <w:position w:val="-34"/>
        </w:rPr>
        <w:object w:dxaOrig="5880" w:dyaOrig="760" w14:anchorId="7AAB63F6">
          <v:shape id="_x0000_i1699" type="#_x0000_t75" style="width:294.05pt;height:38.1pt" o:ole="">
            <v:imagedata r:id="rId1378" o:title=""/>
          </v:shape>
          <o:OLEObject Type="Embed" ProgID="Equation.DSMT4" ShapeID="_x0000_i1699" DrawAspect="Content" ObjectID="_1791375643" r:id="rId1379"/>
        </w:object>
      </w:r>
    </w:p>
    <w:p w14:paraId="7BC9E3A4" w14:textId="77777777" w:rsidR="00411620" w:rsidRPr="00A62FF4" w:rsidRDefault="00411620" w:rsidP="00411620">
      <w:pPr>
        <w:spacing w:line="216" w:lineRule="auto"/>
        <w:rPr>
          <w:sz w:val="23"/>
          <w:szCs w:val="23"/>
        </w:rPr>
      </w:pPr>
      <w:r w:rsidRPr="00A62FF4">
        <w:rPr>
          <w:rFonts w:hint="cs"/>
          <w:sz w:val="23"/>
          <w:szCs w:val="23"/>
          <w:rtl/>
        </w:rPr>
        <w:t xml:space="preserve">در معادله فوق اگر </w:t>
      </w:r>
      <w:r w:rsidRPr="00A62FF4">
        <w:rPr>
          <w:position w:val="-6"/>
        </w:rPr>
        <w:object w:dxaOrig="600" w:dyaOrig="300" w14:anchorId="1C26CD61">
          <v:shape id="_x0000_i1700" type="#_x0000_t75" style="width:30.25pt;height:15.15pt" o:ole="">
            <v:imagedata r:id="rId1380" o:title=""/>
          </v:shape>
          <o:OLEObject Type="Embed" ProgID="Equation.DSMT4" ShapeID="_x0000_i1700" DrawAspect="Content" ObjectID="_1791375644" r:id="rId1381"/>
        </w:object>
      </w:r>
      <w:r w:rsidRPr="00A62FF4">
        <w:rPr>
          <w:rFonts w:hint="cs"/>
          <w:sz w:val="23"/>
          <w:szCs w:val="23"/>
          <w:rtl/>
        </w:rPr>
        <w:t xml:space="preserve"> باشد، آنگاه </w:t>
      </w:r>
      <w:r w:rsidRPr="00A62FF4">
        <w:rPr>
          <w:position w:val="-10"/>
        </w:rPr>
        <w:object w:dxaOrig="400" w:dyaOrig="320" w14:anchorId="17A1C334">
          <v:shape id="_x0000_i1701" type="#_x0000_t75" style="width:19.95pt;height:15.75pt" o:ole="">
            <v:imagedata r:id="rId1382" o:title=""/>
          </v:shape>
          <o:OLEObject Type="Embed" ProgID="Equation.DSMT4" ShapeID="_x0000_i1701" DrawAspect="Content" ObjectID="_1791375645" r:id="rId1383"/>
        </w:object>
      </w:r>
      <w:r w:rsidRPr="00A62FF4">
        <w:rPr>
          <w:rFonts w:hint="cs"/>
          <w:sz w:val="23"/>
          <w:szCs w:val="23"/>
          <w:rtl/>
        </w:rPr>
        <w:t xml:space="preserve"> خواهد شد. با مقدار مشخص</w:t>
      </w:r>
      <w:r w:rsidRPr="00A62FF4">
        <w:rPr>
          <w:position w:val="-6"/>
        </w:rPr>
        <w:object w:dxaOrig="260" w:dyaOrig="300" w14:anchorId="33CA67E0">
          <v:shape id="_x0000_i1702" type="#_x0000_t75" style="width:12.7pt;height:15.15pt" o:ole="">
            <v:imagedata r:id="rId1384" o:title=""/>
          </v:shape>
          <o:OLEObject Type="Embed" ProgID="Equation.DSMT4" ShapeID="_x0000_i1702" DrawAspect="Content" ObjectID="_1791375646" r:id="rId1385"/>
        </w:object>
      </w:r>
      <w:r w:rsidRPr="00A62FF4">
        <w:rPr>
          <w:rFonts w:hint="cs"/>
          <w:sz w:val="23"/>
          <w:szCs w:val="23"/>
          <w:rtl/>
        </w:rPr>
        <w:t>، این رابطه بدین معنی است که کاهش</w:t>
      </w:r>
      <w:r w:rsidRPr="00A62FF4">
        <w:rPr>
          <w:position w:val="-6"/>
        </w:rPr>
        <w:object w:dxaOrig="200" w:dyaOrig="260" w14:anchorId="76FFC8E0">
          <v:shape id="_x0000_i1703" type="#_x0000_t75" style="width:10.3pt;height:12.7pt" o:ole="">
            <v:imagedata r:id="rId1386" o:title=""/>
          </v:shape>
          <o:OLEObject Type="Embed" ProgID="Equation.DSMT4" ShapeID="_x0000_i1703" DrawAspect="Content" ObjectID="_1791375647" r:id="rId1387"/>
        </w:object>
      </w:r>
      <w:r w:rsidRPr="00A62FF4">
        <w:rPr>
          <w:sz w:val="23"/>
          <w:szCs w:val="23"/>
        </w:rPr>
        <w:t xml:space="preserve"> </w:t>
      </w:r>
      <w:r w:rsidRPr="00A62FF4">
        <w:rPr>
          <w:rFonts w:hint="cs"/>
          <w:sz w:val="23"/>
          <w:szCs w:val="23"/>
          <w:rtl/>
        </w:rPr>
        <w:t xml:space="preserve">باعث افزایش </w:t>
      </w:r>
      <w:r w:rsidRPr="00A62FF4">
        <w:rPr>
          <w:position w:val="-12"/>
        </w:rPr>
        <w:object w:dxaOrig="760" w:dyaOrig="360" w14:anchorId="4DCA24AC">
          <v:shape id="_x0000_i1704" type="#_x0000_t75" style="width:38.1pt;height:18.15pt" o:ole="">
            <v:imagedata r:id="rId1388" o:title=""/>
          </v:shape>
          <o:OLEObject Type="Embed" ProgID="Equation.DSMT4" ShapeID="_x0000_i1704" DrawAspect="Content" ObjectID="_1791375648" r:id="rId1389"/>
        </w:object>
      </w:r>
      <w:r w:rsidRPr="00A62FF4">
        <w:rPr>
          <w:rFonts w:hint="cs"/>
          <w:sz w:val="23"/>
          <w:szCs w:val="23"/>
          <w:rtl/>
        </w:rPr>
        <w:t xml:space="preserve"> و در نتیجه افزایش</w:t>
      </w:r>
      <w:r w:rsidRPr="00A62FF4">
        <w:rPr>
          <w:position w:val="-10"/>
        </w:rPr>
        <w:object w:dxaOrig="260" w:dyaOrig="320" w14:anchorId="5EEDB885">
          <v:shape id="_x0000_i1705" type="#_x0000_t75" style="width:12.7pt;height:15.75pt" o:ole="">
            <v:imagedata r:id="rId1390" o:title=""/>
          </v:shape>
          <o:OLEObject Type="Embed" ProgID="Equation.DSMT4" ShapeID="_x0000_i1705" DrawAspect="Content" ObjectID="_1791375649" r:id="rId1391"/>
        </w:object>
      </w:r>
      <w:r w:rsidRPr="00A62FF4">
        <w:rPr>
          <w:rFonts w:hint="cs"/>
          <w:sz w:val="23"/>
          <w:szCs w:val="23"/>
          <w:rtl/>
        </w:rPr>
        <w:t xml:space="preserve"> می</w:t>
      </w:r>
      <w:r w:rsidRPr="00A62FF4">
        <w:rPr>
          <w:rFonts w:hint="eastAsia"/>
          <w:sz w:val="23"/>
          <w:szCs w:val="23"/>
          <w:rtl/>
        </w:rPr>
        <w:t>‌</w:t>
      </w:r>
      <w:r w:rsidRPr="00A62FF4">
        <w:rPr>
          <w:rFonts w:hint="cs"/>
          <w:sz w:val="23"/>
          <w:szCs w:val="23"/>
          <w:rtl/>
        </w:rPr>
        <w:t>شود.</w:t>
      </w:r>
      <w:r w:rsidRPr="00A62FF4">
        <w:rPr>
          <w:sz w:val="23"/>
          <w:szCs w:val="23"/>
        </w:rPr>
        <w:t xml:space="preserve"> </w:t>
      </w:r>
      <w:r w:rsidRPr="00A62FF4">
        <w:rPr>
          <w:rFonts w:hint="cs"/>
          <w:sz w:val="23"/>
          <w:szCs w:val="23"/>
          <w:rtl/>
        </w:rPr>
        <w:t xml:space="preserve">اما یک مقدار کم </w:t>
      </w:r>
      <w:r w:rsidRPr="00A62FF4">
        <w:rPr>
          <w:i/>
          <w:iCs/>
          <w:sz w:val="23"/>
          <w:szCs w:val="23"/>
        </w:rPr>
        <w:t>k</w:t>
      </w:r>
      <w:r w:rsidRPr="00A62FF4">
        <w:rPr>
          <w:rFonts w:hint="cs"/>
          <w:sz w:val="23"/>
          <w:szCs w:val="23"/>
          <w:rtl/>
        </w:rPr>
        <w:t xml:space="preserve"> فقط وقتی باعث افزایش</w:t>
      </w:r>
      <w:r w:rsidRPr="00A62FF4">
        <w:rPr>
          <w:position w:val="-10"/>
        </w:rPr>
        <w:object w:dxaOrig="260" w:dyaOrig="320" w14:anchorId="60CC9E95">
          <v:shape id="_x0000_i1706" type="#_x0000_t75" style="width:12.7pt;height:15.75pt" o:ole="">
            <v:imagedata r:id="rId1392" o:title=""/>
          </v:shape>
          <o:OLEObject Type="Embed" ProgID="Equation.DSMT4" ShapeID="_x0000_i1706" DrawAspect="Content" ObjectID="_1791375650" r:id="rId1393"/>
        </w:object>
      </w:r>
      <w:r w:rsidRPr="00A62FF4">
        <w:rPr>
          <w:rFonts w:hint="cs"/>
          <w:sz w:val="23"/>
          <w:szCs w:val="23"/>
          <w:rtl/>
        </w:rPr>
        <w:t xml:space="preserve"> می</w:t>
      </w:r>
      <w:r w:rsidRPr="00A62FF4">
        <w:rPr>
          <w:rFonts w:hint="eastAsia"/>
          <w:sz w:val="23"/>
          <w:szCs w:val="23"/>
          <w:rtl/>
        </w:rPr>
        <w:t>‌</w:t>
      </w:r>
      <w:r w:rsidRPr="00A62FF4">
        <w:rPr>
          <w:rFonts w:hint="cs"/>
          <w:sz w:val="23"/>
          <w:szCs w:val="23"/>
          <w:rtl/>
        </w:rPr>
        <w:t>شود که مقدار سرمایه سرانه نسبت به مقدار</w:t>
      </w:r>
      <w:r w:rsidRPr="00A62FF4">
        <w:rPr>
          <w:position w:val="-6"/>
        </w:rPr>
        <w:object w:dxaOrig="260" w:dyaOrig="300" w14:anchorId="24EC92EC">
          <v:shape id="_x0000_i1707" type="#_x0000_t75" style="width:12.7pt;height:15.15pt" o:ole="">
            <v:imagedata r:id="rId1394" o:title=""/>
          </v:shape>
          <o:OLEObject Type="Embed" ProgID="Equation.DSMT4" ShapeID="_x0000_i1707" DrawAspect="Content" ObjectID="_1791375651" r:id="rId1395"/>
        </w:object>
      </w:r>
      <w:r w:rsidRPr="00A62FF4">
        <w:rPr>
          <w:rFonts w:hint="cs"/>
          <w:sz w:val="23"/>
          <w:szCs w:val="23"/>
          <w:rtl/>
        </w:rPr>
        <w:t xml:space="preserve"> تفاوت زیادی داشته باشد. بنابراین چنانچه در یک اقتصاد فقیر میان مقدار تعادل باثبات</w:t>
      </w:r>
      <w:r w:rsidRPr="00A62FF4">
        <w:rPr>
          <w:position w:val="-6"/>
        </w:rPr>
        <w:object w:dxaOrig="260" w:dyaOrig="300" w14:anchorId="22CD2494">
          <v:shape id="_x0000_i1708" type="#_x0000_t75" style="width:12.7pt;height:15.15pt" o:ole="">
            <v:imagedata r:id="rId1396" o:title=""/>
          </v:shape>
          <o:OLEObject Type="Embed" ProgID="Equation.DSMT4" ShapeID="_x0000_i1708" DrawAspect="Content" ObjectID="_1791375652" r:id="rId1397"/>
        </w:object>
      </w:r>
      <w:r w:rsidRPr="00A62FF4">
        <w:rPr>
          <w:rFonts w:hint="cs"/>
          <w:sz w:val="23"/>
          <w:szCs w:val="23"/>
          <w:rtl/>
        </w:rPr>
        <w:t xml:space="preserve"> و مقدار جاری اختلاف کمی وجود داشته باشد آنگاه انتظار رشد سریع وجود ندارد. در صورتی که بر اساس شرط اولیه،</w:t>
      </w:r>
      <w:r w:rsidRPr="00A62FF4">
        <w:rPr>
          <w:position w:val="-6"/>
        </w:rPr>
        <w:object w:dxaOrig="260" w:dyaOrig="300" w14:anchorId="33010820">
          <v:shape id="_x0000_i1709" type="#_x0000_t75" style="width:12.7pt;height:15.15pt" o:ole="">
            <v:imagedata r:id="rId1398" o:title=""/>
          </v:shape>
          <o:OLEObject Type="Embed" ProgID="Equation.DSMT4" ShapeID="_x0000_i1709" DrawAspect="Content" ObjectID="_1791375653" r:id="rId1399"/>
        </w:object>
      </w:r>
      <w:r w:rsidRPr="00A62FF4">
        <w:rPr>
          <w:rFonts w:hint="cs"/>
          <w:sz w:val="23"/>
          <w:szCs w:val="23"/>
          <w:rtl/>
        </w:rPr>
        <w:t xml:space="preserve"> ثابت باشد با کاهش</w:t>
      </w:r>
      <w:r w:rsidRPr="00A62FF4">
        <w:rPr>
          <w:position w:val="-6"/>
        </w:rPr>
        <w:object w:dxaOrig="200" w:dyaOrig="260" w14:anchorId="49A17C9B">
          <v:shape id="_x0000_i1710" type="#_x0000_t75" style="width:10.3pt;height:12.7pt" o:ole="">
            <v:imagedata r:id="rId1400" o:title=""/>
          </v:shape>
          <o:OLEObject Type="Embed" ProgID="Equation.DSMT4" ShapeID="_x0000_i1710" DrawAspect="Content" ObjectID="_1791375654" r:id="rId1401"/>
        </w:object>
      </w:r>
      <w:r w:rsidRPr="00A62FF4">
        <w:rPr>
          <w:rFonts w:hint="cs"/>
          <w:sz w:val="23"/>
          <w:szCs w:val="23"/>
          <w:rtl/>
        </w:rPr>
        <w:t>،</w:t>
      </w:r>
      <w:r w:rsidRPr="00A62FF4">
        <w:rPr>
          <w:position w:val="-10"/>
        </w:rPr>
        <w:object w:dxaOrig="260" w:dyaOrig="320" w14:anchorId="53361D00">
          <v:shape id="_x0000_i1711" type="#_x0000_t75" style="width:12.7pt;height:15.75pt" o:ole="">
            <v:imagedata r:id="rId1402" o:title=""/>
          </v:shape>
          <o:OLEObject Type="Embed" ProgID="Equation.DSMT4" ShapeID="_x0000_i1711" DrawAspect="Content" ObjectID="_1791375655" r:id="rId1403"/>
        </w:object>
      </w:r>
      <w:r w:rsidRPr="00A62FF4">
        <w:rPr>
          <w:rFonts w:hint="cs"/>
          <w:sz w:val="23"/>
          <w:szCs w:val="23"/>
          <w:rtl/>
        </w:rPr>
        <w:t xml:space="preserve"> افزایش می</w:t>
      </w:r>
      <w:r w:rsidRPr="00A62FF4">
        <w:rPr>
          <w:rFonts w:hint="eastAsia"/>
          <w:sz w:val="23"/>
          <w:szCs w:val="23"/>
          <w:rtl/>
        </w:rPr>
        <w:t>‌</w:t>
      </w:r>
      <w:r w:rsidRPr="00A62FF4">
        <w:rPr>
          <w:rFonts w:hint="cs"/>
          <w:sz w:val="23"/>
          <w:szCs w:val="23"/>
          <w:rtl/>
        </w:rPr>
        <w:t>یابد. در نتیجه در صورت وجود یک گروه از اقتصادهای ناهمگن که</w:t>
      </w:r>
      <w:r w:rsidRPr="00A62FF4">
        <w:rPr>
          <w:position w:val="-6"/>
        </w:rPr>
        <w:object w:dxaOrig="260" w:dyaOrig="300" w14:anchorId="5E0368E8">
          <v:shape id="_x0000_i1712" type="#_x0000_t75" style="width:12.7pt;height:15.15pt" o:ole="">
            <v:imagedata r:id="rId1404" o:title=""/>
          </v:shape>
          <o:OLEObject Type="Embed" ProgID="Equation.DSMT4" ShapeID="_x0000_i1712" DrawAspect="Content" ObjectID="_1791375656" r:id="rId1405"/>
        </w:object>
      </w:r>
      <w:r w:rsidRPr="00A62FF4">
        <w:rPr>
          <w:rFonts w:hint="cs"/>
          <w:sz w:val="23"/>
          <w:szCs w:val="23"/>
          <w:rtl/>
        </w:rPr>
        <w:t xml:space="preserve"> و</w:t>
      </w:r>
      <w:r w:rsidRPr="00A62FF4">
        <w:rPr>
          <w:sz w:val="23"/>
          <w:szCs w:val="23"/>
        </w:rPr>
        <w:t xml:space="preserve"> </w:t>
      </w:r>
      <w:r w:rsidRPr="00A62FF4">
        <w:rPr>
          <w:position w:val="-8"/>
        </w:rPr>
        <w:object w:dxaOrig="260" w:dyaOrig="320" w14:anchorId="43DC794D">
          <v:shape id="_x0000_i1713" type="#_x0000_t75" style="width:12.7pt;height:15.75pt" o:ole="">
            <v:imagedata r:id="rId1406" o:title=""/>
          </v:shape>
          <o:OLEObject Type="Embed" ProgID="Equation.DSMT4" ShapeID="_x0000_i1713" DrawAspect="Content" ObjectID="_1791375657" r:id="rId1407"/>
        </w:object>
      </w:r>
      <w:r w:rsidRPr="00A62FF4">
        <w:rPr>
          <w:rFonts w:hint="cs"/>
          <w:sz w:val="23"/>
          <w:szCs w:val="23"/>
          <w:rtl/>
        </w:rPr>
        <w:t>آن</w:t>
      </w:r>
      <w:r w:rsidRPr="00A62FF4">
        <w:rPr>
          <w:sz w:val="23"/>
          <w:szCs w:val="23"/>
          <w:rtl/>
        </w:rPr>
        <w:softHyphen/>
      </w:r>
      <w:r w:rsidRPr="00A62FF4">
        <w:rPr>
          <w:rFonts w:hint="cs"/>
          <w:sz w:val="23"/>
          <w:szCs w:val="23"/>
          <w:rtl/>
        </w:rPr>
        <w:t>ها تفاوت</w:t>
      </w:r>
      <w:r w:rsidRPr="00A62FF4">
        <w:rPr>
          <w:rFonts w:hint="eastAsia"/>
          <w:sz w:val="23"/>
          <w:szCs w:val="23"/>
          <w:rtl/>
        </w:rPr>
        <w:t>‌</w:t>
      </w:r>
      <w:r w:rsidRPr="00A62FF4">
        <w:rPr>
          <w:rFonts w:hint="cs"/>
          <w:sz w:val="23"/>
          <w:szCs w:val="23"/>
          <w:rtl/>
        </w:rPr>
        <w:t>های اندکی دارند، بر طبق معادله</w:t>
      </w:r>
      <w:r w:rsidRPr="00A62FF4">
        <w:rPr>
          <w:sz w:val="23"/>
          <w:szCs w:val="23"/>
          <w:rtl/>
        </w:rPr>
        <w:softHyphen/>
      </w:r>
      <w:r w:rsidRPr="00A62FF4">
        <w:rPr>
          <w:rFonts w:hint="cs"/>
          <w:sz w:val="23"/>
          <w:szCs w:val="23"/>
          <w:rtl/>
        </w:rPr>
        <w:t>ی فوق شاهد همگرایی شرطی خواهیم بود. به این معنا که بین نرخ رشد سرمایه سرانه</w:t>
      </w:r>
      <w:r w:rsidRPr="00A62FF4">
        <w:rPr>
          <w:position w:val="-10"/>
        </w:rPr>
        <w:object w:dxaOrig="260" w:dyaOrig="320" w14:anchorId="7C2663D3">
          <v:shape id="_x0000_i1714" type="#_x0000_t75" style="width:12.7pt;height:15.75pt" o:ole="">
            <v:imagedata r:id="rId1408" o:title=""/>
          </v:shape>
          <o:OLEObject Type="Embed" ProgID="Equation.DSMT4" ShapeID="_x0000_i1714" DrawAspect="Content" ObjectID="_1791375658" r:id="rId1409"/>
        </w:object>
      </w:r>
      <w:r w:rsidRPr="00A62FF4">
        <w:rPr>
          <w:rFonts w:hint="cs"/>
          <w:sz w:val="23"/>
          <w:szCs w:val="23"/>
          <w:rtl/>
        </w:rPr>
        <w:t xml:space="preserve"> و سطح</w:t>
      </w:r>
      <w:r w:rsidRPr="00A62FF4">
        <w:rPr>
          <w:position w:val="-6"/>
        </w:rPr>
        <w:object w:dxaOrig="260" w:dyaOrig="300" w14:anchorId="67D08239">
          <v:shape id="_x0000_i1715" type="#_x0000_t75" style="width:12.7pt;height:15.15pt" o:ole="">
            <v:imagedata r:id="rId1410" o:title=""/>
          </v:shape>
          <o:OLEObject Type="Embed" ProgID="Equation.DSMT4" ShapeID="_x0000_i1715" DrawAspect="Content" ObjectID="_1791375659" r:id="rId1411"/>
        </w:object>
      </w:r>
      <w:r w:rsidRPr="00A62FF4">
        <w:rPr>
          <w:rFonts w:hint="cs"/>
          <w:sz w:val="23"/>
          <w:szCs w:val="23"/>
          <w:rtl/>
        </w:rPr>
        <w:t xml:space="preserve"> رابطه معکوس وجود دارد. </w:t>
      </w:r>
    </w:p>
    <w:p w14:paraId="0B2EF74D" w14:textId="77777777" w:rsidR="00411620" w:rsidRPr="00A62FF4" w:rsidRDefault="00411620" w:rsidP="00411620">
      <w:pPr>
        <w:spacing w:line="216" w:lineRule="auto"/>
        <w:rPr>
          <w:rFonts w:eastAsia="Calibri"/>
          <w:sz w:val="23"/>
          <w:szCs w:val="23"/>
          <w:rtl/>
        </w:rPr>
      </w:pPr>
      <w:r w:rsidRPr="00A62FF4">
        <w:rPr>
          <w:rFonts w:eastAsia="Calibri" w:hint="cs"/>
          <w:sz w:val="23"/>
          <w:szCs w:val="23"/>
          <w:rtl/>
        </w:rPr>
        <w:t>محاسبه</w:t>
      </w:r>
      <w:r w:rsidRPr="00A62FF4">
        <w:rPr>
          <w:rFonts w:eastAsia="Calibri"/>
          <w:sz w:val="23"/>
          <w:szCs w:val="23"/>
          <w:rtl/>
        </w:rPr>
        <w:softHyphen/>
      </w:r>
      <w:r w:rsidRPr="00A62FF4">
        <w:rPr>
          <w:rFonts w:eastAsia="Calibri" w:hint="cs"/>
          <w:sz w:val="23"/>
          <w:szCs w:val="23"/>
          <w:rtl/>
        </w:rPr>
        <w:t>ی سرعت همگرایی یکی از فاکتورهای اساسی جهت بررسی وضعیت متغیر درآمد سرانه نسبت به وضعیت با ثبات خود می‌‌باشد. اگر سرعت همگرایی اقتصاد‌‌ کم باشد نشان می‌‌دهد که اقتصاد‌‌ نزدیک به وضعیت پایدار است و اگر سرعت همگرایی بالا باشد نشان‌‌دهنده</w:t>
      </w:r>
      <w:r w:rsidRPr="00A62FF4">
        <w:rPr>
          <w:rFonts w:eastAsia="Calibri"/>
          <w:sz w:val="23"/>
          <w:szCs w:val="23"/>
          <w:rtl/>
        </w:rPr>
        <w:softHyphen/>
      </w:r>
      <w:r w:rsidRPr="00A62FF4">
        <w:rPr>
          <w:rFonts w:eastAsia="Calibri" w:hint="cs"/>
          <w:sz w:val="23"/>
          <w:szCs w:val="23"/>
          <w:rtl/>
        </w:rPr>
        <w:t xml:space="preserve">ی دور‌‌ بودن اقتصاد از سطح وضعیت پایدارش است. جهت تخمین سرعت همگرایی از تابع تولید کاب-داگلاس استفاده می‌‌کنیم. هرچند می‌‌توان این روش را به سایر توابع نیز تعمیم داد. اگر پیشرفت تکنولوژی در این </w:t>
      </w:r>
      <w:r w:rsidRPr="00A62FF4">
        <w:rPr>
          <w:rFonts w:eastAsia="Calibri" w:hint="cs"/>
          <w:sz w:val="23"/>
          <w:szCs w:val="23"/>
          <w:rtl/>
        </w:rPr>
        <w:lastRenderedPageBreak/>
        <w:t>تابع لحاظ شود و فرض شود که تکنولوژی</w:t>
      </w:r>
      <w:r w:rsidRPr="00A62FF4">
        <w:rPr>
          <w:position w:val="-10"/>
        </w:rPr>
        <w:object w:dxaOrig="279" w:dyaOrig="320" w14:anchorId="4520A630">
          <v:shape id="_x0000_i1716" type="#_x0000_t75" style="width:13.9pt;height:15.75pt" o:ole="">
            <v:imagedata r:id="rId1412" o:title=""/>
          </v:shape>
          <o:OLEObject Type="Embed" ProgID="Equation.DSMT4" ShapeID="_x0000_i1716" DrawAspect="Content" ObjectID="_1791375660" r:id="rId1413"/>
        </w:object>
      </w:r>
      <w:r w:rsidRPr="00A62FF4">
        <w:rPr>
          <w:rFonts w:eastAsia="Calibri" w:hint="cs"/>
          <w:sz w:val="23"/>
          <w:szCs w:val="23"/>
          <w:rtl/>
        </w:rPr>
        <w:t xml:space="preserve"> با نرخ ثابت</w:t>
      </w:r>
      <w:r w:rsidRPr="00A62FF4">
        <w:rPr>
          <w:position w:val="-6"/>
        </w:rPr>
        <w:object w:dxaOrig="200" w:dyaOrig="200" w14:anchorId="10946558">
          <v:shape id="_x0000_i1717" type="#_x0000_t75" style="width:10.3pt;height:10.3pt" o:ole="">
            <v:imagedata r:id="rId1414" o:title=""/>
          </v:shape>
          <o:OLEObject Type="Embed" ProgID="Equation.DSMT4" ShapeID="_x0000_i1717" DrawAspect="Content" ObjectID="_1791375661" r:id="rId1415"/>
        </w:object>
      </w:r>
      <w:r w:rsidRPr="00A62FF4">
        <w:rPr>
          <w:rFonts w:hint="cs"/>
          <w:sz w:val="23"/>
          <w:szCs w:val="23"/>
          <w:rtl/>
        </w:rPr>
        <w:t xml:space="preserve"> </w:t>
      </w:r>
      <w:r w:rsidRPr="00A62FF4">
        <w:rPr>
          <w:rFonts w:eastAsia="Calibri" w:hint="cs"/>
          <w:sz w:val="23"/>
          <w:szCs w:val="23"/>
          <w:rtl/>
        </w:rPr>
        <w:t>رشد می‌‌کند، و</w:t>
      </w:r>
      <w:r w:rsidRPr="00A62FF4">
        <w:rPr>
          <w:position w:val="-6"/>
        </w:rPr>
        <w:object w:dxaOrig="200" w:dyaOrig="260" w14:anchorId="280095A5">
          <v:shape id="_x0000_i1718" type="#_x0000_t75" style="width:10.3pt;height:12.7pt" o:ole="">
            <v:imagedata r:id="rId1416" o:title=""/>
          </v:shape>
          <o:OLEObject Type="Embed" ProgID="Equation.DSMT4" ShapeID="_x0000_i1718" DrawAspect="Content" ObjectID="_1791375662" r:id="rId1417"/>
        </w:object>
      </w:r>
      <w:r w:rsidRPr="00A62FF4">
        <w:rPr>
          <w:rFonts w:hint="cs"/>
          <w:sz w:val="23"/>
          <w:szCs w:val="23"/>
          <w:rtl/>
        </w:rPr>
        <w:t xml:space="preserve"> </w:t>
      </w:r>
      <w:r w:rsidRPr="00A62FF4">
        <w:rPr>
          <w:rFonts w:eastAsia="Calibri" w:hint="cs"/>
          <w:sz w:val="23"/>
          <w:szCs w:val="23"/>
          <w:rtl/>
        </w:rPr>
        <w:t>و</w:t>
      </w:r>
      <w:r w:rsidRPr="00A62FF4">
        <w:rPr>
          <w:rFonts w:eastAsia="Calibri"/>
          <w:sz w:val="23"/>
          <w:szCs w:val="23"/>
        </w:rPr>
        <w:t xml:space="preserve"> </w:t>
      </w:r>
      <w:r w:rsidRPr="00A62FF4">
        <w:rPr>
          <w:position w:val="-10"/>
        </w:rPr>
        <w:object w:dxaOrig="279" w:dyaOrig="320" w14:anchorId="3979A904">
          <v:shape id="_x0000_i1719" type="#_x0000_t75" style="width:13.9pt;height:15.75pt" o:ole="">
            <v:imagedata r:id="rId1418" o:title=""/>
          </v:shape>
          <o:OLEObject Type="Embed" ProgID="Equation.DSMT4" ShapeID="_x0000_i1719" DrawAspect="Content" ObjectID="_1791375663" r:id="rId1419"/>
        </w:object>
      </w:r>
      <w:r w:rsidRPr="00A62FF4">
        <w:rPr>
          <w:rFonts w:hint="cs"/>
          <w:sz w:val="23"/>
          <w:szCs w:val="23"/>
          <w:rtl/>
        </w:rPr>
        <w:t>د</w:t>
      </w:r>
      <w:r w:rsidRPr="00A62FF4">
        <w:rPr>
          <w:rFonts w:eastAsia="Calibri" w:hint="cs"/>
          <w:sz w:val="23"/>
          <w:szCs w:val="23"/>
          <w:rtl/>
        </w:rPr>
        <w:t>ر وضعیت یکنواخت نرخ رشد یکسان داشته باشند، می‌توان نوشت:</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0"/>
        <w:gridCol w:w="3662"/>
      </w:tblGrid>
      <w:tr w:rsidR="00411620" w:rsidRPr="00A62FF4" w14:paraId="2621A6AE" w14:textId="77777777" w:rsidTr="00450AC0">
        <w:tc>
          <w:tcPr>
            <w:tcW w:w="4810" w:type="dxa"/>
          </w:tcPr>
          <w:p w14:paraId="23D20E08" w14:textId="77777777" w:rsidR="00411620" w:rsidRPr="00A62FF4" w:rsidRDefault="00411620" w:rsidP="00450AC0">
            <w:pPr>
              <w:spacing w:line="216" w:lineRule="auto"/>
              <w:rPr>
                <w:rFonts w:eastAsia="Calibri"/>
                <w:sz w:val="23"/>
                <w:szCs w:val="23"/>
                <w:rtl/>
              </w:rPr>
            </w:pPr>
          </w:p>
        </w:tc>
        <w:tc>
          <w:tcPr>
            <w:tcW w:w="4810" w:type="dxa"/>
          </w:tcPr>
          <w:p w14:paraId="4C710034" w14:textId="77777777" w:rsidR="00411620" w:rsidRPr="00A62FF4" w:rsidRDefault="00411620" w:rsidP="00450AC0">
            <w:pPr>
              <w:tabs>
                <w:tab w:val="center" w:pos="1800"/>
                <w:tab w:val="right" w:pos="3600"/>
              </w:tabs>
              <w:bidi w:val="0"/>
              <w:spacing w:line="216" w:lineRule="auto"/>
              <w:rPr>
                <w:rFonts w:eastAsia="Calibri"/>
                <w:sz w:val="23"/>
                <w:szCs w:val="23"/>
                <w:rtl/>
              </w:rPr>
            </w:pPr>
            <w:r w:rsidRPr="00A62FF4">
              <w:rPr>
                <w:position w:val="-30"/>
              </w:rPr>
              <w:object w:dxaOrig="1440" w:dyaOrig="660" w14:anchorId="0B55E2A3">
                <v:shape id="_x0000_i1720" type="#_x0000_t75" style="width:1in;height:33.3pt" o:ole="">
                  <v:imagedata r:id="rId1420" o:title=""/>
                </v:shape>
                <o:OLEObject Type="Embed" ProgID="Equation.DSMT4" ShapeID="_x0000_i1720" DrawAspect="Content" ObjectID="_1791375664" r:id="rId1421"/>
              </w:object>
            </w:r>
          </w:p>
        </w:tc>
      </w:tr>
    </w:tbl>
    <w:p w14:paraId="7404283D" w14:textId="77777777" w:rsidR="00411620" w:rsidRPr="00A62FF4" w:rsidRDefault="00411620" w:rsidP="00411620">
      <w:pPr>
        <w:spacing w:line="216" w:lineRule="auto"/>
        <w:rPr>
          <w:rFonts w:eastAsia="Calibri"/>
          <w:sz w:val="23"/>
          <w:szCs w:val="23"/>
          <w:rtl/>
        </w:rPr>
      </w:pPr>
      <w:r w:rsidRPr="00A62FF4">
        <w:rPr>
          <w:rFonts w:eastAsia="Calibri" w:hint="cs"/>
          <w:sz w:val="23"/>
          <w:szCs w:val="23"/>
          <w:rtl/>
        </w:rPr>
        <w:t>که در آن</w:t>
      </w:r>
      <w:r w:rsidRPr="00A62FF4">
        <w:rPr>
          <w:position w:val="-10"/>
        </w:rPr>
        <w:object w:dxaOrig="900" w:dyaOrig="360" w14:anchorId="78E43511">
          <v:shape id="_x0000_i1721" type="#_x0000_t75" style="width:44.75pt;height:18.15pt" o:ole="">
            <v:imagedata r:id="rId1422" o:title=""/>
          </v:shape>
          <o:OLEObject Type="Embed" ProgID="Equation.DSMT4" ShapeID="_x0000_i1721" DrawAspect="Content" ObjectID="_1791375665" r:id="rId1423"/>
        </w:object>
      </w:r>
      <w:r w:rsidRPr="00A62FF4">
        <w:rPr>
          <w:rFonts w:eastAsia="Calibri" w:hint="cs"/>
          <w:sz w:val="23"/>
          <w:szCs w:val="23"/>
          <w:rtl/>
        </w:rPr>
        <w:t xml:space="preserve"> مقدار نیروی کار مؤثر بوده و عبارت است از مقدار فیزیکی نیروی کار </w:t>
      </w:r>
      <w:r w:rsidRPr="00A62FF4">
        <w:rPr>
          <w:rFonts w:eastAsia="Calibri"/>
          <w:i/>
          <w:iCs/>
          <w:sz w:val="23"/>
          <w:szCs w:val="23"/>
        </w:rPr>
        <w:t>L</w:t>
      </w:r>
      <w:r w:rsidRPr="00A62FF4">
        <w:rPr>
          <w:rFonts w:eastAsia="Calibri" w:hint="cs"/>
          <w:sz w:val="23"/>
          <w:szCs w:val="23"/>
          <w:rtl/>
        </w:rPr>
        <w:t xml:space="preserve"> که در کارایی ضرب شده است. اگر</w:t>
      </w:r>
      <w:r w:rsidRPr="00A62FF4">
        <w:rPr>
          <w:position w:val="-6"/>
        </w:rPr>
        <w:object w:dxaOrig="200" w:dyaOrig="200" w14:anchorId="65D4D3AC">
          <v:shape id="_x0000_i1722" type="#_x0000_t75" style="width:10.3pt;height:10.3pt" o:ole="">
            <v:imagedata r:id="rId1424" o:title=""/>
          </v:shape>
          <o:OLEObject Type="Embed" ProgID="Equation.DSMT4" ShapeID="_x0000_i1722" DrawAspect="Content" ObjectID="_1791375666" r:id="rId1425"/>
        </w:object>
      </w:r>
      <w:r w:rsidRPr="00A62FF4">
        <w:rPr>
          <w:sz w:val="23"/>
          <w:szCs w:val="23"/>
        </w:rPr>
        <w:t xml:space="preserve"> </w:t>
      </w:r>
      <w:r w:rsidRPr="00A62FF4">
        <w:rPr>
          <w:rFonts w:eastAsia="Calibri" w:hint="cs"/>
          <w:sz w:val="23"/>
          <w:szCs w:val="23"/>
          <w:rtl/>
        </w:rPr>
        <w:t>و</w:t>
      </w:r>
      <w:r w:rsidRPr="00A62FF4">
        <w:rPr>
          <w:position w:val="-6"/>
        </w:rPr>
        <w:object w:dxaOrig="200" w:dyaOrig="320" w14:anchorId="30C9491F">
          <v:shape id="_x0000_i1723" type="#_x0000_t75" style="width:10.3pt;height:15.75pt" o:ole="">
            <v:imagedata r:id="rId1426" o:title=""/>
          </v:shape>
          <o:OLEObject Type="Embed" ProgID="Equation.DSMT4" ShapeID="_x0000_i1723" DrawAspect="Content" ObjectID="_1791375667" r:id="rId1427"/>
        </w:object>
      </w:r>
      <w:r w:rsidRPr="00A62FF4">
        <w:rPr>
          <w:rFonts w:hint="cs"/>
          <w:sz w:val="23"/>
          <w:szCs w:val="23"/>
          <w:rtl/>
        </w:rPr>
        <w:t xml:space="preserve"> </w:t>
      </w:r>
      <w:r w:rsidRPr="00A62FF4">
        <w:rPr>
          <w:rFonts w:eastAsia="Calibri" w:hint="cs"/>
          <w:sz w:val="23"/>
          <w:szCs w:val="23"/>
          <w:rtl/>
        </w:rPr>
        <w:t>در معادله</w:t>
      </w:r>
      <w:r w:rsidRPr="00A62FF4">
        <w:rPr>
          <w:rFonts w:eastAsia="Calibri"/>
          <w:sz w:val="23"/>
          <w:szCs w:val="23"/>
          <w:rtl/>
        </w:rPr>
        <w:softHyphen/>
      </w:r>
      <w:r w:rsidRPr="00A62FF4">
        <w:rPr>
          <w:rFonts w:eastAsia="Calibri" w:hint="cs"/>
          <w:sz w:val="23"/>
          <w:szCs w:val="23"/>
          <w:rtl/>
        </w:rPr>
        <w:t>ی (۳. ۴) جایگذاری شوند، معادله</w:t>
      </w:r>
      <w:r w:rsidRPr="00A62FF4">
        <w:rPr>
          <w:rFonts w:eastAsia="Calibri"/>
          <w:sz w:val="23"/>
          <w:szCs w:val="23"/>
          <w:rtl/>
        </w:rPr>
        <w:softHyphen/>
      </w:r>
      <w:r w:rsidRPr="00A62FF4">
        <w:rPr>
          <w:rFonts w:eastAsia="Calibri" w:hint="cs"/>
          <w:sz w:val="23"/>
          <w:szCs w:val="23"/>
          <w:rtl/>
        </w:rPr>
        <w:t>ی زیر را بدست خواهیم آورد:</w:t>
      </w:r>
    </w:p>
    <w:p w14:paraId="5E88B3DB" w14:textId="77777777" w:rsidR="00411620" w:rsidRPr="00A62FF4" w:rsidRDefault="00411620" w:rsidP="00411620">
      <w:pPr>
        <w:pStyle w:val="MTDisplayEquation"/>
        <w:tabs>
          <w:tab w:val="clear" w:pos="3320"/>
          <w:tab w:val="center" w:pos="90"/>
        </w:tabs>
        <w:spacing w:line="216" w:lineRule="auto"/>
        <w:jc w:val="left"/>
        <w:rPr>
          <w:rFonts w:ascii="Times New Roman" w:eastAsia="Calibri" w:hAnsi="Times New Roman" w:cs="B Nazanin"/>
          <w:sz w:val="23"/>
          <w:szCs w:val="23"/>
        </w:rPr>
      </w:pPr>
      <w:r w:rsidRPr="00A62FF4">
        <w:rPr>
          <w:position w:val="-24"/>
        </w:rPr>
        <w:object w:dxaOrig="2180" w:dyaOrig="740" w14:anchorId="350709B9">
          <v:shape id="_x0000_i1724" type="#_x0000_t75" style="width:108.9pt;height:36.9pt" o:ole="">
            <v:imagedata r:id="rId1428" o:title=""/>
          </v:shape>
          <o:OLEObject Type="Embed" ProgID="Equation.DSMT4" ShapeID="_x0000_i1724" DrawAspect="Content" ObjectID="_1791375668" r:id="rId1429"/>
        </w:object>
      </w:r>
    </w:p>
    <w:p w14:paraId="3D68B09A" w14:textId="77777777" w:rsidR="00411620" w:rsidRPr="00A62FF4" w:rsidRDefault="00411620" w:rsidP="00411620">
      <w:pPr>
        <w:spacing w:line="216" w:lineRule="auto"/>
        <w:rPr>
          <w:rFonts w:eastAsia="Calibri"/>
          <w:sz w:val="23"/>
          <w:szCs w:val="23"/>
        </w:rPr>
      </w:pPr>
      <w:r w:rsidRPr="00A62FF4">
        <w:rPr>
          <w:rFonts w:eastAsia="Calibri" w:hint="cs"/>
          <w:sz w:val="23"/>
          <w:szCs w:val="23"/>
          <w:rtl/>
        </w:rPr>
        <w:t>در رابطه</w:t>
      </w:r>
      <w:r w:rsidRPr="00A62FF4">
        <w:rPr>
          <w:rFonts w:eastAsia="Calibri"/>
          <w:sz w:val="23"/>
          <w:szCs w:val="23"/>
          <w:rtl/>
        </w:rPr>
        <w:softHyphen/>
      </w:r>
      <w:r w:rsidRPr="00A62FF4">
        <w:rPr>
          <w:rFonts w:eastAsia="Calibri" w:hint="cs"/>
          <w:sz w:val="23"/>
          <w:szCs w:val="23"/>
          <w:rtl/>
        </w:rPr>
        <w:t xml:space="preserve">ی فوق عبارت </w:t>
      </w:r>
      <w:r w:rsidRPr="00A62FF4">
        <w:rPr>
          <w:position w:val="-12"/>
        </w:rPr>
        <w:object w:dxaOrig="999" w:dyaOrig="360" w14:anchorId="6A0CC16A">
          <v:shape id="_x0000_i1725" type="#_x0000_t75" style="width:50.2pt;height:18.15pt" o:ole="">
            <v:imagedata r:id="rId1430" o:title=""/>
          </v:shape>
          <o:OLEObject Type="Embed" ProgID="Equation.DSMT4" ShapeID="_x0000_i1725" DrawAspect="Content" ObjectID="_1791375669" r:id="rId1431"/>
        </w:object>
      </w:r>
      <w:r w:rsidRPr="00A62FF4">
        <w:rPr>
          <w:rFonts w:eastAsia="Calibri" w:hint="cs"/>
          <w:sz w:val="23"/>
          <w:szCs w:val="23"/>
          <w:rtl/>
        </w:rPr>
        <w:t>، نرخ استهلاک موثر</w:t>
      </w:r>
      <w:r w:rsidRPr="00A62FF4">
        <w:rPr>
          <w:rFonts w:eastAsia="Calibri"/>
          <w:sz w:val="23"/>
          <w:szCs w:val="23"/>
        </w:rPr>
        <w:t xml:space="preserve"> </w:t>
      </w:r>
      <w:r w:rsidRPr="00A62FF4">
        <w:rPr>
          <w:rFonts w:eastAsia="Calibri" w:hint="cs"/>
          <w:sz w:val="23"/>
          <w:szCs w:val="23"/>
          <w:rtl/>
        </w:rPr>
        <w:t>می‌‌باشد. نرخ رشد</w:t>
      </w:r>
      <w:r w:rsidRPr="00A62FF4">
        <w:rPr>
          <w:position w:val="-6"/>
        </w:rPr>
        <w:object w:dxaOrig="200" w:dyaOrig="320" w14:anchorId="0664FD17">
          <v:shape id="_x0000_i1726" type="#_x0000_t75" style="width:10.3pt;height:15.75pt" o:ole="">
            <v:imagedata r:id="rId1432" o:title=""/>
          </v:shape>
          <o:OLEObject Type="Embed" ProgID="Equation.DSMT4" ShapeID="_x0000_i1726" DrawAspect="Content" ObjectID="_1791375670" r:id="rId1433"/>
        </w:object>
      </w:r>
      <w:r w:rsidRPr="00A62FF4">
        <w:rPr>
          <w:rFonts w:eastAsia="Calibri" w:hint="cs"/>
          <w:sz w:val="23"/>
          <w:szCs w:val="23"/>
          <w:rtl/>
        </w:rPr>
        <w:t xml:space="preserve"> بر اساس تابع تولید کاب-داگلاس به صورت زیر بدست می‌‌آید:</w:t>
      </w:r>
    </w:p>
    <w:p w14:paraId="744BC7D4" w14:textId="77777777" w:rsidR="00411620" w:rsidRPr="00A62FF4" w:rsidRDefault="00411620" w:rsidP="00411620">
      <w:pPr>
        <w:pStyle w:val="MTDisplayEquation"/>
        <w:tabs>
          <w:tab w:val="clear" w:pos="3320"/>
          <w:tab w:val="clear" w:pos="6660"/>
          <w:tab w:val="right" w:pos="0"/>
        </w:tabs>
        <w:spacing w:line="216" w:lineRule="auto"/>
        <w:jc w:val="left"/>
        <w:rPr>
          <w:rFonts w:ascii="Times New Roman" w:eastAsia="Calibri" w:hAnsi="Times New Roman" w:cs="B Nazanin"/>
          <w:sz w:val="23"/>
          <w:szCs w:val="23"/>
          <w:rtl/>
        </w:rPr>
      </w:pPr>
      <w:r w:rsidRPr="00A62FF4">
        <w:rPr>
          <w:position w:val="-14"/>
        </w:rPr>
        <w:object w:dxaOrig="2320" w:dyaOrig="400" w14:anchorId="6B4E1F50">
          <v:shape id="_x0000_i1727" type="#_x0000_t75" style="width:116.15pt;height:19.95pt" o:ole="">
            <v:imagedata r:id="rId1434" o:title=""/>
          </v:shape>
          <o:OLEObject Type="Embed" ProgID="Equation.DSMT4" ShapeID="_x0000_i1727" DrawAspect="Content" ObjectID="_1791375671" r:id="rId1435"/>
        </w:object>
      </w:r>
    </w:p>
    <w:p w14:paraId="1A3DFF96" w14:textId="77777777" w:rsidR="00411620" w:rsidRPr="00A62FF4" w:rsidRDefault="00411620" w:rsidP="00411620">
      <w:pPr>
        <w:spacing w:line="216" w:lineRule="auto"/>
        <w:rPr>
          <w:rFonts w:eastAsia="Calibri"/>
          <w:sz w:val="23"/>
          <w:szCs w:val="23"/>
        </w:rPr>
      </w:pPr>
      <w:r w:rsidRPr="00A62FF4">
        <w:rPr>
          <w:rFonts w:eastAsia="Calibri" w:hint="cs"/>
          <w:sz w:val="23"/>
          <w:szCs w:val="23"/>
          <w:rtl/>
        </w:rPr>
        <w:t>و برآورد لگاریتم خطی آن در همسایگی تعادل بلندمدت به صورت زیر بدست می‌‌آید:</w:t>
      </w:r>
    </w:p>
    <w:p w14:paraId="5782E2CD" w14:textId="77777777" w:rsidR="00411620" w:rsidRPr="00A62FF4" w:rsidRDefault="00411620" w:rsidP="00411620">
      <w:pPr>
        <w:bidi w:val="0"/>
        <w:spacing w:line="216" w:lineRule="auto"/>
        <w:rPr>
          <w:rFonts w:eastAsia="Calibri"/>
          <w:sz w:val="23"/>
          <w:szCs w:val="23"/>
        </w:rPr>
      </w:pPr>
      <w:r w:rsidRPr="00A62FF4">
        <w:rPr>
          <w:position w:val="-32"/>
        </w:rPr>
        <w:object w:dxaOrig="2820" w:dyaOrig="840" w14:anchorId="2F14369A">
          <v:shape id="_x0000_i1728" type="#_x0000_t75" style="width:140.95pt;height:41.75pt" o:ole="">
            <v:imagedata r:id="rId1436" o:title=""/>
          </v:shape>
          <o:OLEObject Type="Embed" ProgID="Equation.DSMT4" ShapeID="_x0000_i1728" DrawAspect="Content" ObjectID="_1791375672" r:id="rId1437"/>
        </w:object>
      </w:r>
    </w:p>
    <w:p w14:paraId="5343ACFC" w14:textId="77777777" w:rsidR="00411620" w:rsidRPr="00A62FF4" w:rsidRDefault="00411620" w:rsidP="00411620">
      <w:pPr>
        <w:bidi w:val="0"/>
        <w:spacing w:line="216" w:lineRule="auto"/>
        <w:rPr>
          <w:rFonts w:eastAsia="Calibri"/>
          <w:sz w:val="23"/>
          <w:szCs w:val="23"/>
          <w:rtl/>
        </w:rPr>
      </w:pPr>
      <w:r w:rsidRPr="00A62FF4">
        <w:rPr>
          <w:position w:val="-12"/>
        </w:rPr>
        <w:object w:dxaOrig="1980" w:dyaOrig="360" w14:anchorId="357F7335">
          <v:shape id="_x0000_i1729" type="#_x0000_t75" style="width:99.25pt;height:18.15pt" o:ole="">
            <v:imagedata r:id="rId1438" o:title=""/>
          </v:shape>
          <o:OLEObject Type="Embed" ProgID="Equation.DSMT4" ShapeID="_x0000_i1729" DrawAspect="Content" ObjectID="_1791375673" r:id="rId1439"/>
        </w:object>
      </w:r>
    </w:p>
    <w:p w14:paraId="66502992" w14:textId="77777777" w:rsidR="00411620" w:rsidRPr="00A62FF4" w:rsidRDefault="00411620" w:rsidP="00411620">
      <w:pPr>
        <w:spacing w:line="216" w:lineRule="auto"/>
        <w:rPr>
          <w:rFonts w:eastAsia="Calibri"/>
          <w:sz w:val="23"/>
          <w:szCs w:val="23"/>
          <w:rtl/>
        </w:rPr>
      </w:pPr>
      <w:r w:rsidRPr="00A62FF4">
        <w:rPr>
          <w:rFonts w:eastAsia="Calibri" w:hint="cs"/>
          <w:sz w:val="23"/>
          <w:szCs w:val="23"/>
          <w:rtl/>
        </w:rPr>
        <w:t xml:space="preserve">ضریب </w:t>
      </w:r>
      <w:r w:rsidRPr="00A62FF4">
        <w:rPr>
          <w:rFonts w:ascii="Cambria" w:eastAsia="Calibri" w:hAnsi="Cambria" w:cs="Cambria" w:hint="cs"/>
          <w:sz w:val="23"/>
          <w:szCs w:val="23"/>
          <w:rtl/>
        </w:rPr>
        <w:t>β</w:t>
      </w:r>
      <w:r w:rsidRPr="00A62FF4">
        <w:rPr>
          <w:rFonts w:eastAsia="Calibri" w:hint="cs"/>
          <w:sz w:val="23"/>
          <w:szCs w:val="23"/>
          <w:rtl/>
        </w:rPr>
        <w:t xml:space="preserve"> سرعت همگرایی</w:t>
      </w:r>
      <w:r w:rsidRPr="00A62FF4">
        <w:rPr>
          <w:position w:val="-6"/>
        </w:rPr>
        <w:object w:dxaOrig="200" w:dyaOrig="320" w14:anchorId="75739A1B">
          <v:shape id="_x0000_i1730" type="#_x0000_t75" style="width:10.3pt;height:15.75pt" o:ole="">
            <v:imagedata r:id="rId1440" o:title=""/>
          </v:shape>
          <o:OLEObject Type="Embed" ProgID="Equation.DSMT4" ShapeID="_x0000_i1730" DrawAspect="Content" ObjectID="_1791375674" r:id="rId1441"/>
        </w:object>
      </w:r>
      <w:r w:rsidRPr="00A62FF4">
        <w:rPr>
          <w:rFonts w:eastAsia="Calibri" w:hint="cs"/>
          <w:sz w:val="23"/>
          <w:szCs w:val="23"/>
          <w:rtl/>
        </w:rPr>
        <w:t xml:space="preserve"> را به سمت</w:t>
      </w:r>
      <w:r w:rsidRPr="00A62FF4">
        <w:rPr>
          <w:position w:val="-6"/>
        </w:rPr>
        <w:object w:dxaOrig="260" w:dyaOrig="320" w14:anchorId="6EEC068D">
          <v:shape id="_x0000_i1731" type="#_x0000_t75" style="width:12.7pt;height:15.75pt" o:ole="">
            <v:imagedata r:id="rId1442" o:title=""/>
          </v:shape>
          <o:OLEObject Type="Embed" ProgID="Equation.DSMT4" ShapeID="_x0000_i1731" DrawAspect="Content" ObjectID="_1791375675" r:id="rId1443"/>
        </w:object>
      </w:r>
      <w:r w:rsidRPr="00A62FF4">
        <w:rPr>
          <w:sz w:val="23"/>
          <w:szCs w:val="23"/>
        </w:rPr>
        <w:t xml:space="preserve"> </w:t>
      </w:r>
      <w:r w:rsidRPr="00A62FF4">
        <w:rPr>
          <w:rFonts w:eastAsia="Calibri" w:hint="cs"/>
          <w:sz w:val="23"/>
          <w:szCs w:val="23"/>
          <w:rtl/>
        </w:rPr>
        <w:t>نشان می‌‌دهد.</w:t>
      </w:r>
    </w:p>
    <w:p w14:paraId="2C57A0B4" w14:textId="77777777" w:rsidR="00411620" w:rsidRPr="00A62FF4" w:rsidRDefault="00411620" w:rsidP="00411620">
      <w:pPr>
        <w:spacing w:line="216" w:lineRule="auto"/>
        <w:rPr>
          <w:rFonts w:eastAsia="Calibri"/>
          <w:sz w:val="23"/>
          <w:szCs w:val="23"/>
          <w:rtl/>
        </w:rPr>
      </w:pPr>
      <w:r w:rsidRPr="00A62FF4">
        <w:rPr>
          <w:rFonts w:eastAsia="Calibri" w:hint="cs"/>
          <w:sz w:val="23"/>
          <w:szCs w:val="23"/>
          <w:rtl/>
        </w:rPr>
        <w:t>معادله فوق را می‌توان برای نرخ رشد</w:t>
      </w:r>
      <w:r w:rsidRPr="00A62FF4">
        <w:rPr>
          <w:position w:val="-8"/>
        </w:rPr>
        <w:object w:dxaOrig="200" w:dyaOrig="279" w14:anchorId="6FC43C17">
          <v:shape id="_x0000_i1732" type="#_x0000_t75" style="width:10.3pt;height:13.9pt" o:ole="">
            <v:imagedata r:id="rId1444" o:title=""/>
          </v:shape>
          <o:OLEObject Type="Embed" ProgID="Equation.DSMT4" ShapeID="_x0000_i1732" DrawAspect="Content" ObjectID="_1791375676" r:id="rId1445"/>
        </w:object>
      </w:r>
      <w:r w:rsidRPr="00A62FF4">
        <w:rPr>
          <w:rFonts w:eastAsia="Calibri" w:hint="cs"/>
          <w:sz w:val="23"/>
          <w:szCs w:val="23"/>
          <w:rtl/>
        </w:rPr>
        <w:t xml:space="preserve"> نیز بکار برد. با توجه به تابع کاب-داگلاس</w:t>
      </w:r>
      <w:r w:rsidRPr="00A62FF4">
        <w:rPr>
          <w:position w:val="-8"/>
        </w:rPr>
        <w:object w:dxaOrig="800" w:dyaOrig="340" w14:anchorId="56423BB6">
          <v:shape id="_x0000_i1733" type="#_x0000_t75" style="width:39.95pt;height:16.95pt" o:ole="">
            <v:imagedata r:id="rId1446" o:title=""/>
          </v:shape>
          <o:OLEObject Type="Embed" ProgID="Equation.DSMT4" ShapeID="_x0000_i1733" DrawAspect="Content" ObjectID="_1791375677" r:id="rId1447"/>
        </w:object>
      </w:r>
      <w:r w:rsidRPr="00A62FF4">
        <w:rPr>
          <w:rFonts w:eastAsia="Calibri" w:hint="cs"/>
          <w:sz w:val="23"/>
          <w:szCs w:val="23"/>
          <w:rtl/>
        </w:rPr>
        <w:t>خواهیم داشت:</w:t>
      </w:r>
    </w:p>
    <w:p w14:paraId="38BCEAFD" w14:textId="77777777" w:rsidR="00411620" w:rsidRPr="00A62FF4" w:rsidRDefault="00411620" w:rsidP="00411620">
      <w:pPr>
        <w:pStyle w:val="MTDisplayEquation"/>
        <w:tabs>
          <w:tab w:val="clear" w:pos="3320"/>
          <w:tab w:val="center" w:pos="0"/>
        </w:tabs>
        <w:spacing w:line="216" w:lineRule="auto"/>
        <w:jc w:val="left"/>
        <w:rPr>
          <w:rFonts w:ascii="Times New Roman" w:eastAsia="Calibri" w:hAnsi="Times New Roman" w:cs="B Nazanin"/>
          <w:sz w:val="23"/>
          <w:szCs w:val="23"/>
          <w:rtl/>
        </w:rPr>
      </w:pPr>
      <w:r w:rsidRPr="00A62FF4">
        <w:rPr>
          <w:position w:val="-14"/>
        </w:rPr>
        <w:object w:dxaOrig="800" w:dyaOrig="360" w14:anchorId="45F98A9C">
          <v:shape id="_x0000_i1734" type="#_x0000_t75" style="width:39.95pt;height:18.15pt" o:ole="">
            <v:imagedata r:id="rId1448" o:title=""/>
          </v:shape>
          <o:OLEObject Type="Embed" ProgID="Equation.DSMT4" ShapeID="_x0000_i1734" DrawAspect="Content" ObjectID="_1791375678" r:id="rId1449"/>
        </w:object>
      </w:r>
    </w:p>
    <w:p w14:paraId="428FBE55" w14:textId="77777777" w:rsidR="00411620" w:rsidRPr="00A62FF4" w:rsidRDefault="00411620" w:rsidP="00411620">
      <w:pPr>
        <w:spacing w:line="216" w:lineRule="auto"/>
        <w:rPr>
          <w:rFonts w:eastAsia="Calibri"/>
          <w:sz w:val="23"/>
          <w:szCs w:val="23"/>
        </w:rPr>
      </w:pPr>
      <w:r w:rsidRPr="00A62FF4">
        <w:rPr>
          <w:rFonts w:eastAsia="Calibri" w:hint="cs"/>
          <w:sz w:val="23"/>
          <w:szCs w:val="23"/>
          <w:rtl/>
        </w:rPr>
        <w:t>و در صورت جایگزینی در معادله</w:t>
      </w:r>
      <w:r w:rsidRPr="00A62FF4">
        <w:rPr>
          <w:rFonts w:eastAsia="Calibri"/>
          <w:sz w:val="23"/>
          <w:szCs w:val="23"/>
          <w:rtl/>
        </w:rPr>
        <w:softHyphen/>
      </w:r>
      <w:r w:rsidRPr="00A62FF4">
        <w:rPr>
          <w:rFonts w:eastAsia="Calibri" w:hint="cs"/>
          <w:sz w:val="23"/>
          <w:szCs w:val="23"/>
          <w:rtl/>
        </w:rPr>
        <w:t>ی فوق خواهیم داشت:</w:t>
      </w:r>
    </w:p>
    <w:p w14:paraId="1F85953A" w14:textId="77777777" w:rsidR="00411620" w:rsidRPr="00A62FF4" w:rsidRDefault="00411620" w:rsidP="00411620">
      <w:pPr>
        <w:bidi w:val="0"/>
        <w:spacing w:line="216" w:lineRule="auto"/>
        <w:rPr>
          <w:rFonts w:eastAsia="Calibri"/>
          <w:sz w:val="23"/>
          <w:szCs w:val="23"/>
        </w:rPr>
      </w:pPr>
      <w:r w:rsidRPr="00A62FF4">
        <w:rPr>
          <w:position w:val="-28"/>
        </w:rPr>
        <w:object w:dxaOrig="4340" w:dyaOrig="800" w14:anchorId="1147662E">
          <v:shape id="_x0000_i1735" type="#_x0000_t75" style="width:217.2pt;height:39.95pt" o:ole="">
            <v:imagedata r:id="rId1450" o:title=""/>
          </v:shape>
          <o:OLEObject Type="Embed" ProgID="Equation.DSMT4" ShapeID="_x0000_i1735" DrawAspect="Content" ObjectID="_1791375679" r:id="rId1451"/>
        </w:object>
      </w:r>
    </w:p>
    <w:p w14:paraId="62BA9D72" w14:textId="77777777" w:rsidR="00411620" w:rsidRPr="00A62FF4" w:rsidRDefault="00411620" w:rsidP="00411620">
      <w:pPr>
        <w:pStyle w:val="MTDisplayEquation"/>
        <w:bidi/>
        <w:spacing w:line="216" w:lineRule="auto"/>
        <w:rPr>
          <w:rFonts w:ascii="Times New Roman" w:eastAsia="Calibri" w:hAnsi="Times New Roman" w:cs="B Nazanin"/>
          <w:sz w:val="23"/>
          <w:szCs w:val="23"/>
          <w:rtl/>
        </w:rPr>
      </w:pPr>
      <w:r w:rsidRPr="00A62FF4">
        <w:rPr>
          <w:rFonts w:ascii="Times New Roman" w:hAnsi="Times New Roman" w:cs="B Nazanin"/>
          <w:sz w:val="23"/>
          <w:szCs w:val="23"/>
        </w:rPr>
        <w:tab/>
      </w:r>
      <w:r w:rsidRPr="00A62FF4">
        <w:rPr>
          <w:rFonts w:ascii="Times New Roman" w:eastAsia="Calibri" w:hAnsi="Times New Roman" w:cs="B Nazanin" w:hint="cs"/>
          <w:sz w:val="23"/>
          <w:szCs w:val="23"/>
          <w:rtl/>
        </w:rPr>
        <w:t xml:space="preserve">عبارت </w:t>
      </w:r>
      <w:r w:rsidRPr="00A62FF4">
        <w:rPr>
          <w:position w:val="-12"/>
        </w:rPr>
        <w:object w:dxaOrig="1980" w:dyaOrig="360" w14:anchorId="7B27AE93">
          <v:shape id="_x0000_i1736" type="#_x0000_t75" style="width:99.25pt;height:18.15pt" o:ole="">
            <v:imagedata r:id="rId1452" o:title=""/>
          </v:shape>
          <o:OLEObject Type="Embed" ProgID="Equation.DSMT4" ShapeID="_x0000_i1736" DrawAspect="Content" ObjectID="_1791375680" r:id="rId1453"/>
        </w:object>
      </w:r>
      <w:r w:rsidRPr="00A62FF4">
        <w:rPr>
          <w:rFonts w:ascii="Times New Roman" w:eastAsia="Calibri" w:hAnsi="Times New Roman" w:cs="B Nazanin"/>
          <w:sz w:val="23"/>
          <w:szCs w:val="23"/>
          <w:rtl/>
        </w:rPr>
        <w:t xml:space="preserve"> </w:t>
      </w:r>
      <w:r w:rsidRPr="00A62FF4">
        <w:rPr>
          <w:rFonts w:ascii="Times New Roman" w:eastAsia="Calibri" w:hAnsi="Times New Roman" w:cs="B Nazanin" w:hint="cs"/>
          <w:sz w:val="23"/>
          <w:szCs w:val="23"/>
          <w:rtl/>
        </w:rPr>
        <w:t xml:space="preserve">در واقع سرعتی است که تولید به مقدار تعادلی خود نزدیک </w:t>
      </w:r>
    </w:p>
    <w:p w14:paraId="2C371447" w14:textId="77777777" w:rsidR="00411620" w:rsidRPr="00A62FF4" w:rsidRDefault="00411620" w:rsidP="00411620">
      <w:pPr>
        <w:pStyle w:val="MTDisplayEquation"/>
        <w:bidi/>
        <w:spacing w:line="216" w:lineRule="auto"/>
        <w:rPr>
          <w:rFonts w:ascii="Times New Roman" w:eastAsia="Calibri" w:hAnsi="Times New Roman" w:cs="B Nazanin"/>
          <w:sz w:val="23"/>
          <w:szCs w:val="23"/>
          <w:rtl/>
        </w:rPr>
      </w:pPr>
      <w:r w:rsidRPr="00A62FF4">
        <w:rPr>
          <w:rFonts w:ascii="Times New Roman" w:eastAsia="Calibri" w:hAnsi="Times New Roman" w:cs="B Nazanin" w:hint="cs"/>
          <w:sz w:val="23"/>
          <w:szCs w:val="23"/>
          <w:rtl/>
        </w:rPr>
        <w:t>می‌‌شود. همان</w:t>
      </w:r>
      <w:r w:rsidRPr="00A62FF4">
        <w:rPr>
          <w:rFonts w:ascii="Times New Roman" w:eastAsia="Calibri" w:hAnsi="Times New Roman" w:cs="B Nazanin"/>
          <w:sz w:val="23"/>
          <w:szCs w:val="23"/>
          <w:rtl/>
        </w:rPr>
        <w:softHyphen/>
      </w:r>
      <w:r w:rsidRPr="00A62FF4">
        <w:rPr>
          <w:rFonts w:ascii="Times New Roman" w:eastAsia="Calibri" w:hAnsi="Times New Roman" w:cs="B Nazanin" w:hint="cs"/>
          <w:sz w:val="23"/>
          <w:szCs w:val="23"/>
          <w:rtl/>
        </w:rPr>
        <w:t>گونه که ملاحظه می</w:t>
      </w:r>
      <w:r w:rsidRPr="00A62FF4">
        <w:rPr>
          <w:rFonts w:ascii="Times New Roman" w:eastAsia="Calibri" w:hAnsi="Times New Roman" w:cs="B Nazanin"/>
          <w:sz w:val="23"/>
          <w:szCs w:val="23"/>
          <w:rtl/>
        </w:rPr>
        <w:softHyphen/>
      </w:r>
      <w:r w:rsidRPr="00A62FF4">
        <w:rPr>
          <w:rFonts w:ascii="Times New Roman" w:eastAsia="Calibri" w:hAnsi="Times New Roman" w:cs="B Nazanin" w:hint="cs"/>
          <w:sz w:val="23"/>
          <w:szCs w:val="23"/>
          <w:rtl/>
        </w:rPr>
        <w:t>شود نرخ پس‌انداز تاثیری بر سرعت همگرایی یا</w:t>
      </w:r>
      <w:r w:rsidRPr="00A62FF4">
        <w:rPr>
          <w:position w:val="-10"/>
        </w:rPr>
        <w:object w:dxaOrig="220" w:dyaOrig="300" w14:anchorId="3C6142A0">
          <v:shape id="_x0000_i1737" type="#_x0000_t75" style="width:10.9pt;height:15.15pt" o:ole="">
            <v:imagedata r:id="rId1454" o:title=""/>
          </v:shape>
          <o:OLEObject Type="Embed" ProgID="Equation.DSMT4" ShapeID="_x0000_i1737" DrawAspect="Content" ObjectID="_1791375681" r:id="rId1455"/>
        </w:object>
      </w:r>
      <w:r w:rsidRPr="00A62FF4">
        <w:rPr>
          <w:rFonts w:ascii="Times New Roman" w:eastAsia="Calibri" w:hAnsi="Times New Roman" w:cs="B Nazanin" w:hint="cs"/>
          <w:sz w:val="23"/>
          <w:szCs w:val="23"/>
          <w:rtl/>
        </w:rPr>
        <w:t xml:space="preserve"> ندارد. با یک</w:t>
      </w:r>
      <w:r w:rsidRPr="00A62FF4">
        <w:rPr>
          <w:position w:val="-6"/>
        </w:rPr>
        <w:object w:dxaOrig="200" w:dyaOrig="320" w14:anchorId="7A45CC76">
          <v:shape id="_x0000_i1738" type="#_x0000_t75" style="width:10.3pt;height:15.75pt" o:ole="">
            <v:imagedata r:id="rId1456" o:title=""/>
          </v:shape>
          <o:OLEObject Type="Embed" ProgID="Equation.DSMT4" ShapeID="_x0000_i1738" DrawAspect="Content" ObjectID="_1791375682" r:id="rId1457"/>
        </w:object>
      </w:r>
      <w:r w:rsidRPr="00A62FF4">
        <w:rPr>
          <w:rFonts w:ascii="Times New Roman" w:eastAsia="Calibri" w:hAnsi="Times New Roman" w:cs="B Nazanin" w:hint="cs"/>
          <w:sz w:val="23"/>
          <w:szCs w:val="23"/>
          <w:rtl/>
        </w:rPr>
        <w:t xml:space="preserve"> مشخص،</w:t>
      </w:r>
      <w:r w:rsidRPr="00A62FF4">
        <w:rPr>
          <w:rFonts w:ascii="Times New Roman" w:eastAsia="Calibri" w:hAnsi="Times New Roman" w:cs="B Nazanin"/>
          <w:sz w:val="23"/>
          <w:szCs w:val="23"/>
        </w:rPr>
        <w:t xml:space="preserve"> </w:t>
      </w:r>
      <w:r w:rsidRPr="00A62FF4">
        <w:rPr>
          <w:rFonts w:ascii="Times New Roman" w:eastAsia="Calibri" w:hAnsi="Times New Roman" w:cs="B Nazanin" w:hint="cs"/>
          <w:sz w:val="23"/>
          <w:szCs w:val="23"/>
          <w:rtl/>
        </w:rPr>
        <w:t>نرخ پس‌انداز بالاتر منجر به سرمایه‌گذاری بیشتر می‌شود و در نتیجه سرعت همگرایی افزایش می‌‌‌یابد. از طرفی دیگر نرخ پس‌انداز بیشتر</w:t>
      </w:r>
      <w:r w:rsidRPr="00A62FF4">
        <w:rPr>
          <w:rFonts w:ascii="Times New Roman" w:eastAsia="Calibri" w:hAnsi="Times New Roman" w:cs="B Nazanin" w:hint="cs"/>
          <w:sz w:val="23"/>
          <w:szCs w:val="23"/>
          <w:rtl/>
          <w:lang w:bidi="fa-IR"/>
        </w:rPr>
        <w:t>،</w:t>
      </w:r>
      <w:r w:rsidRPr="00A62FF4">
        <w:rPr>
          <w:rFonts w:ascii="Times New Roman" w:eastAsia="Calibri" w:hAnsi="Times New Roman" w:cs="B Nazanin" w:hint="cs"/>
          <w:sz w:val="23"/>
          <w:szCs w:val="23"/>
          <w:rtl/>
        </w:rPr>
        <w:t xml:space="preserve"> میزان سرمایه مورد نیاز در وضعیت یکنواخت را افزایش می‌‌دهد و در نتیجه متوسط تولید سرمایه را در نزدیکی وضعیت پایدار کاهش می‌‌دهد که موجب کاهش سرعت همگرایی می‌‌شود. علاوه بر این، ضریب همگرایی بدست آمده مستقل از سطح </w:t>
      </w:r>
      <w:r w:rsidRPr="00A62FF4">
        <w:rPr>
          <w:rFonts w:ascii="Times New Roman" w:eastAsia="Calibri" w:hAnsi="Times New Roman" w:cs="B Nazanin" w:hint="cs"/>
          <w:sz w:val="23"/>
          <w:szCs w:val="23"/>
          <w:rtl/>
        </w:rPr>
        <w:lastRenderedPageBreak/>
        <w:t xml:space="preserve">تکنولوژی </w:t>
      </w:r>
      <w:r w:rsidRPr="00A62FF4">
        <w:rPr>
          <w:rFonts w:ascii="Times New Roman" w:eastAsia="Calibri" w:hAnsi="Times New Roman" w:cs="B Nazanin"/>
          <w:sz w:val="23"/>
          <w:szCs w:val="23"/>
        </w:rPr>
        <w:t>A</w:t>
      </w:r>
      <w:r w:rsidRPr="00A62FF4">
        <w:rPr>
          <w:rFonts w:ascii="Times New Roman" w:eastAsia="Calibri" w:hAnsi="Times New Roman" w:cs="B Nazanin" w:hint="cs"/>
          <w:sz w:val="23"/>
          <w:szCs w:val="23"/>
          <w:rtl/>
        </w:rPr>
        <w:t xml:space="preserve"> می‌‌باشد که همانند نرخ پس</w:t>
      </w:r>
      <w:r w:rsidRPr="00A62FF4">
        <w:rPr>
          <w:rFonts w:ascii="Times New Roman" w:eastAsia="Calibri" w:hAnsi="Times New Roman" w:cs="B Nazanin"/>
          <w:sz w:val="23"/>
          <w:szCs w:val="23"/>
          <w:rtl/>
        </w:rPr>
        <w:softHyphen/>
      </w:r>
      <w:r w:rsidRPr="00A62FF4">
        <w:rPr>
          <w:rFonts w:ascii="Times New Roman" w:eastAsia="Calibri" w:hAnsi="Times New Roman" w:cs="B Nazanin" w:hint="cs"/>
          <w:sz w:val="23"/>
          <w:szCs w:val="23"/>
          <w:rtl/>
        </w:rPr>
        <w:t>انداز،</w:t>
      </w:r>
      <w:r w:rsidRPr="00A62FF4">
        <w:rPr>
          <w:rFonts w:ascii="Times New Roman" w:eastAsia="Calibri" w:hAnsi="Times New Roman" w:cs="B Nazanin"/>
          <w:sz w:val="23"/>
          <w:szCs w:val="23"/>
        </w:rPr>
        <w:t xml:space="preserve"> </w:t>
      </w:r>
      <w:r w:rsidRPr="00A62FF4">
        <w:rPr>
          <w:rFonts w:ascii="Times New Roman" w:eastAsia="Calibri" w:hAnsi="Times New Roman" w:cs="B Nazanin" w:hint="cs"/>
          <w:sz w:val="23"/>
          <w:szCs w:val="23"/>
          <w:rtl/>
        </w:rPr>
        <w:t>این متغیر دو اثر جبرانی متفاوت بر سرعت همگرایی می‌‌گذارد که با وجود تابع کاب-داگلاس این اثرات خنثی می‌‌شوند.</w:t>
      </w:r>
    </w:p>
    <w:p w14:paraId="5811B6EB" w14:textId="77777777" w:rsidR="00411620" w:rsidRPr="00A62FF4" w:rsidRDefault="00411620" w:rsidP="00411620">
      <w:pPr>
        <w:spacing w:line="216" w:lineRule="auto"/>
        <w:rPr>
          <w:sz w:val="23"/>
          <w:szCs w:val="23"/>
          <w:rtl/>
        </w:rPr>
      </w:pPr>
    </w:p>
    <w:p w14:paraId="3AA32805" w14:textId="77777777" w:rsidR="00411620" w:rsidRPr="00A62FF4" w:rsidRDefault="00411620" w:rsidP="00411620">
      <w:pPr>
        <w:spacing w:line="216" w:lineRule="auto"/>
        <w:rPr>
          <w:b/>
          <w:bCs/>
          <w:sz w:val="23"/>
          <w:szCs w:val="23"/>
        </w:rPr>
      </w:pPr>
      <w:r w:rsidRPr="00A62FF4">
        <w:rPr>
          <w:rFonts w:hint="cs"/>
          <w:b/>
          <w:bCs/>
          <w:sz w:val="23"/>
          <w:szCs w:val="23"/>
          <w:rtl/>
        </w:rPr>
        <w:t>نرخ پس</w:t>
      </w:r>
      <w:r w:rsidRPr="00A62FF4">
        <w:rPr>
          <w:b/>
          <w:bCs/>
          <w:sz w:val="23"/>
          <w:szCs w:val="23"/>
          <w:rtl/>
        </w:rPr>
        <w:softHyphen/>
      </w:r>
      <w:r w:rsidRPr="00A62FF4">
        <w:rPr>
          <w:rFonts w:hint="cs"/>
          <w:b/>
          <w:bCs/>
          <w:sz w:val="23"/>
          <w:szCs w:val="23"/>
          <w:rtl/>
        </w:rPr>
        <w:t>انداز طلایی</w:t>
      </w:r>
    </w:p>
    <w:p w14:paraId="204308B5" w14:textId="77777777" w:rsidR="00411620" w:rsidRPr="00A62FF4" w:rsidRDefault="00411620" w:rsidP="00411620">
      <w:pPr>
        <w:spacing w:line="216" w:lineRule="auto"/>
        <w:rPr>
          <w:sz w:val="23"/>
          <w:szCs w:val="23"/>
          <w:rtl/>
        </w:rPr>
      </w:pPr>
      <w:r w:rsidRPr="00A62FF4">
        <w:rPr>
          <w:rFonts w:hint="cs"/>
          <w:sz w:val="23"/>
          <w:szCs w:val="23"/>
          <w:rtl/>
        </w:rPr>
        <w:t>همان</w:t>
      </w:r>
      <w:r w:rsidRPr="00A62FF4">
        <w:rPr>
          <w:sz w:val="23"/>
          <w:szCs w:val="23"/>
          <w:rtl/>
        </w:rPr>
        <w:softHyphen/>
      </w:r>
      <w:r w:rsidRPr="00A62FF4">
        <w:rPr>
          <w:rFonts w:hint="cs"/>
          <w:sz w:val="23"/>
          <w:szCs w:val="23"/>
          <w:rtl/>
        </w:rPr>
        <w:t>گونه که در نمودار ۳. ۴ ملاحظه می‌شود با</w:t>
      </w:r>
      <w:r w:rsidRPr="00A62FF4">
        <w:rPr>
          <w:i/>
          <w:iCs/>
          <w:sz w:val="23"/>
          <w:szCs w:val="23"/>
        </w:rPr>
        <w:t>T</w:t>
      </w:r>
      <w:r w:rsidRPr="00A62FF4">
        <w:rPr>
          <w:i/>
          <w:iCs/>
          <w:sz w:val="23"/>
          <w:szCs w:val="23"/>
          <w:lang w:val="en-GB"/>
        </w:rPr>
        <w:t xml:space="preserve"> </w:t>
      </w:r>
      <w:r w:rsidRPr="00A62FF4">
        <w:rPr>
          <w:sz w:val="23"/>
          <w:szCs w:val="23"/>
        </w:rPr>
        <w:t>,</w:t>
      </w:r>
      <w:r w:rsidRPr="00A62FF4">
        <w:rPr>
          <w:i/>
          <w:iCs/>
          <w:sz w:val="23"/>
          <w:szCs w:val="23"/>
        </w:rPr>
        <w:t>n</w:t>
      </w:r>
      <w:r w:rsidRPr="00A62FF4">
        <w:rPr>
          <w:sz w:val="23"/>
          <w:szCs w:val="23"/>
        </w:rPr>
        <w:t>,</w:t>
      </w:r>
      <w:r w:rsidRPr="00A62FF4">
        <w:rPr>
          <w:position w:val="-6"/>
        </w:rPr>
        <w:object w:dxaOrig="220" w:dyaOrig="260" w14:anchorId="62C1D0FD">
          <v:shape id="_x0000_i1739" type="#_x0000_t75" style="width:10.9pt;height:12.7pt" o:ole="">
            <v:imagedata r:id="rId1458" o:title=""/>
          </v:shape>
          <o:OLEObject Type="Embed" ProgID="Equation.DSMT4" ShapeID="_x0000_i1739" DrawAspect="Content" ObjectID="_1791375683" r:id="rId1459"/>
        </w:object>
      </w:r>
      <w:r w:rsidRPr="00A62FF4">
        <w:rPr>
          <w:rFonts w:hint="cs"/>
          <w:sz w:val="23"/>
          <w:szCs w:val="23"/>
          <w:rtl/>
        </w:rPr>
        <w:t xml:space="preserve"> مشخص و داده شده، به ازای هر نرخ پس</w:t>
      </w:r>
      <w:r w:rsidRPr="00A62FF4">
        <w:rPr>
          <w:sz w:val="23"/>
          <w:szCs w:val="23"/>
          <w:rtl/>
        </w:rPr>
        <w:softHyphen/>
      </w:r>
      <w:r w:rsidRPr="00A62FF4">
        <w:rPr>
          <w:rFonts w:hint="cs"/>
          <w:sz w:val="23"/>
          <w:szCs w:val="23"/>
          <w:rtl/>
        </w:rPr>
        <w:t>اندازی مقدار منحصربفردی برای</w:t>
      </w:r>
      <w:r w:rsidRPr="00A62FF4">
        <w:rPr>
          <w:position w:val="-6"/>
        </w:rPr>
        <w:object w:dxaOrig="260" w:dyaOrig="300" w14:anchorId="407B5925">
          <v:shape id="_x0000_i1740" type="#_x0000_t75" style="width:12.7pt;height:15.15pt" o:ole="">
            <v:imagedata r:id="rId1460" o:title=""/>
          </v:shape>
          <o:OLEObject Type="Embed" ProgID="Equation.DSMT4" ShapeID="_x0000_i1740" DrawAspect="Content" ObjectID="_1791375684" r:id="rId1461"/>
        </w:object>
      </w:r>
      <w:r w:rsidRPr="00A62FF4">
        <w:rPr>
          <w:rFonts w:eastAsiaTheme="minorEastAsia" w:hint="cs"/>
          <w:sz w:val="23"/>
          <w:szCs w:val="23"/>
          <w:rtl/>
        </w:rPr>
        <w:t xml:space="preserve"> </w:t>
      </w:r>
      <w:r w:rsidRPr="00A62FF4">
        <w:rPr>
          <w:rFonts w:hint="cs"/>
          <w:sz w:val="23"/>
          <w:szCs w:val="23"/>
          <w:rtl/>
        </w:rPr>
        <w:t>وجود دارد. با افزایش نرخ پس</w:t>
      </w:r>
      <w:r w:rsidRPr="00A62FF4">
        <w:rPr>
          <w:sz w:val="23"/>
          <w:szCs w:val="23"/>
          <w:rtl/>
        </w:rPr>
        <w:softHyphen/>
      </w:r>
      <w:r w:rsidRPr="00A62FF4">
        <w:rPr>
          <w:rFonts w:hint="cs"/>
          <w:sz w:val="23"/>
          <w:szCs w:val="23"/>
          <w:rtl/>
        </w:rPr>
        <w:t>انداز، موجودی سرمایه‌ی سرانه در وضعیت یکنواخت نیز افزایش یافته و لذا</w:t>
      </w:r>
      <w:r w:rsidRPr="00A62FF4">
        <w:rPr>
          <w:position w:val="-6"/>
        </w:rPr>
        <w:object w:dxaOrig="260" w:dyaOrig="300" w14:anchorId="5717B51C">
          <v:shape id="_x0000_i1741" type="#_x0000_t75" style="width:12.7pt;height:15.15pt" o:ole="">
            <v:imagedata r:id="rId1462" o:title=""/>
          </v:shape>
          <o:OLEObject Type="Embed" ProgID="Equation.DSMT4" ShapeID="_x0000_i1741" DrawAspect="Content" ObjectID="_1791375685" r:id="rId1463"/>
        </w:object>
      </w:r>
      <w:r w:rsidRPr="00A62FF4">
        <w:rPr>
          <w:rFonts w:hint="cs"/>
          <w:sz w:val="23"/>
          <w:szCs w:val="23"/>
          <w:rtl/>
        </w:rPr>
        <w:t xml:space="preserve"> تابعی است از</w:t>
      </w:r>
      <w:r w:rsidRPr="00A62FF4">
        <w:rPr>
          <w:position w:val="-6"/>
        </w:rPr>
        <w:object w:dxaOrig="160" w:dyaOrig="200" w14:anchorId="438BD6C0">
          <v:shape id="_x0000_i1742" type="#_x0000_t75" style="width:7.85pt;height:10.3pt" o:ole="">
            <v:imagedata r:id="rId1464" o:title=""/>
          </v:shape>
          <o:OLEObject Type="Embed" ProgID="Equation.DSMT4" ShapeID="_x0000_i1742" DrawAspect="Content" ObjectID="_1791375686" r:id="rId1465"/>
        </w:object>
      </w:r>
      <w:r w:rsidRPr="00A62FF4">
        <w:rPr>
          <w:rFonts w:hint="cs"/>
          <w:sz w:val="23"/>
          <w:szCs w:val="23"/>
          <w:rtl/>
        </w:rPr>
        <w:t xml:space="preserve"> و </w:t>
      </w:r>
      <w:r w:rsidRPr="00A62FF4">
        <w:rPr>
          <w:position w:val="-12"/>
        </w:rPr>
        <w:object w:dxaOrig="1380" w:dyaOrig="360" w14:anchorId="66BA6CF3">
          <v:shape id="_x0000_i1743" type="#_x0000_t75" style="width:68.95pt;height:18.15pt" o:ole="">
            <v:imagedata r:id="rId1466" o:title=""/>
          </v:shape>
          <o:OLEObject Type="Embed" ProgID="Equation.DSMT4" ShapeID="_x0000_i1743" DrawAspect="Content" ObjectID="_1791375687" r:id="rId1467"/>
        </w:object>
      </w:r>
      <w:r w:rsidRPr="00A62FF4">
        <w:rPr>
          <w:rFonts w:hint="cs"/>
          <w:sz w:val="23"/>
          <w:szCs w:val="23"/>
          <w:vertAlign w:val="superscript"/>
          <w:rtl/>
        </w:rPr>
        <w:t xml:space="preserve"> </w:t>
      </w:r>
      <w:r w:rsidRPr="00A62FF4">
        <w:rPr>
          <w:rFonts w:hint="cs"/>
          <w:sz w:val="23"/>
          <w:szCs w:val="23"/>
          <w:rtl/>
        </w:rPr>
        <w:t>می</w:t>
      </w:r>
      <w:r w:rsidRPr="00A62FF4">
        <w:rPr>
          <w:sz w:val="23"/>
          <w:szCs w:val="23"/>
          <w:rtl/>
        </w:rPr>
        <w:softHyphen/>
      </w:r>
      <w:r w:rsidRPr="00A62FF4">
        <w:rPr>
          <w:rFonts w:hint="cs"/>
          <w:sz w:val="23"/>
          <w:szCs w:val="23"/>
          <w:rtl/>
        </w:rPr>
        <w:t>باشد.</w:t>
      </w:r>
      <w:r w:rsidRPr="00A62FF4">
        <w:rPr>
          <w:sz w:val="23"/>
          <w:szCs w:val="23"/>
        </w:rPr>
        <w:t xml:space="preserve"> </w:t>
      </w:r>
      <w:r w:rsidRPr="00A62FF4">
        <w:rPr>
          <w:rFonts w:hint="cs"/>
          <w:sz w:val="23"/>
          <w:szCs w:val="23"/>
          <w:rtl/>
        </w:rPr>
        <w:t>از طرفی داریم</w:t>
      </w:r>
    </w:p>
    <w:p w14:paraId="46B1C6C5" w14:textId="77777777" w:rsidR="00411620" w:rsidRPr="00A62FF4" w:rsidRDefault="00411620" w:rsidP="00411620">
      <w:pPr>
        <w:bidi w:val="0"/>
        <w:spacing w:line="216" w:lineRule="auto"/>
        <w:rPr>
          <w:sz w:val="23"/>
          <w:szCs w:val="23"/>
          <w:rtl/>
        </w:rPr>
      </w:pPr>
      <w:r w:rsidRPr="00A62FF4">
        <w:rPr>
          <w:rFonts w:hint="cs"/>
          <w:sz w:val="23"/>
          <w:szCs w:val="23"/>
          <w:rtl/>
        </w:rPr>
        <w:t xml:space="preserve"> </w:t>
      </w:r>
      <w:r w:rsidRPr="00A62FF4">
        <w:rPr>
          <w:position w:val="-16"/>
        </w:rPr>
        <w:object w:dxaOrig="3040" w:dyaOrig="420" w14:anchorId="18F28105">
          <v:shape id="_x0000_i1744" type="#_x0000_t75" style="width:151.85pt;height:21.2pt" o:ole="">
            <v:imagedata r:id="rId1468" o:title=""/>
          </v:shape>
          <o:OLEObject Type="Embed" ProgID="Equation.DSMT4" ShapeID="_x0000_i1744" DrawAspect="Content" ObjectID="_1791375688" r:id="rId1469"/>
        </w:object>
      </w:r>
      <w:r w:rsidRPr="00A62FF4">
        <w:rPr>
          <w:rFonts w:hint="cs"/>
          <w:sz w:val="23"/>
          <w:szCs w:val="23"/>
          <w:rtl/>
        </w:rPr>
        <w:t xml:space="preserve"> </w:t>
      </w:r>
    </w:p>
    <w:p w14:paraId="2D234431" w14:textId="77777777" w:rsidR="00411620" w:rsidRPr="00A62FF4" w:rsidRDefault="00411620" w:rsidP="00411620">
      <w:pPr>
        <w:spacing w:line="216" w:lineRule="auto"/>
        <w:rPr>
          <w:sz w:val="23"/>
          <w:szCs w:val="23"/>
          <w:rtl/>
        </w:rPr>
      </w:pPr>
      <w:r w:rsidRPr="00A62FF4">
        <w:rPr>
          <w:rFonts w:hint="cs"/>
          <w:sz w:val="23"/>
          <w:szCs w:val="23"/>
          <w:rtl/>
        </w:rPr>
        <w:t>و در بلندمدت</w:t>
      </w:r>
      <w:r w:rsidRPr="00A62FF4">
        <w:rPr>
          <w:position w:val="-16"/>
        </w:rPr>
        <w:object w:dxaOrig="1700" w:dyaOrig="420" w14:anchorId="2A4C4F05">
          <v:shape id="_x0000_i1745" type="#_x0000_t75" style="width:84.7pt;height:21.2pt" o:ole="">
            <v:imagedata r:id="rId1470" o:title=""/>
          </v:shape>
          <o:OLEObject Type="Embed" ProgID="Equation.DSMT4" ShapeID="_x0000_i1745" DrawAspect="Content" ObjectID="_1791375689" r:id="rId1471"/>
        </w:object>
      </w:r>
      <w:r w:rsidRPr="00A62FF4">
        <w:rPr>
          <w:rFonts w:hint="cs"/>
          <w:sz w:val="23"/>
          <w:szCs w:val="23"/>
          <w:rtl/>
        </w:rPr>
        <w:t>.</w:t>
      </w:r>
      <w:r w:rsidRPr="00A62FF4">
        <w:rPr>
          <w:sz w:val="23"/>
          <w:szCs w:val="23"/>
        </w:rPr>
        <w:t xml:space="preserve"> </w:t>
      </w:r>
      <w:r w:rsidRPr="00A62FF4">
        <w:rPr>
          <w:rFonts w:hint="cs"/>
          <w:sz w:val="23"/>
          <w:szCs w:val="23"/>
          <w:rtl/>
        </w:rPr>
        <w:t>چون</w:t>
      </w:r>
      <w:r w:rsidRPr="00A62FF4">
        <w:rPr>
          <w:position w:val="-6"/>
        </w:rPr>
        <w:object w:dxaOrig="260" w:dyaOrig="300" w14:anchorId="4C80411E">
          <v:shape id="_x0000_i1746" type="#_x0000_t75" style="width:12.7pt;height:15.15pt" o:ole="">
            <v:imagedata r:id="rId1472" o:title=""/>
          </v:shape>
          <o:OLEObject Type="Embed" ProgID="Equation.DSMT4" ShapeID="_x0000_i1746" DrawAspect="Content" ObjectID="_1791375690" r:id="rId1473"/>
        </w:object>
      </w:r>
      <w:r w:rsidRPr="00A62FF4">
        <w:rPr>
          <w:rFonts w:hint="cs"/>
          <w:sz w:val="23"/>
          <w:szCs w:val="23"/>
          <w:rtl/>
        </w:rPr>
        <w:t xml:space="preserve"> تابعی است از</w:t>
      </w:r>
      <w:r w:rsidRPr="00A62FF4">
        <w:rPr>
          <w:position w:val="-6"/>
        </w:rPr>
        <w:object w:dxaOrig="160" w:dyaOrig="200" w14:anchorId="6F4EEE9E">
          <v:shape id="_x0000_i1747" type="#_x0000_t75" style="width:7.85pt;height:10.3pt" o:ole="">
            <v:imagedata r:id="rId1474" o:title=""/>
          </v:shape>
          <o:OLEObject Type="Embed" ProgID="Equation.DSMT4" ShapeID="_x0000_i1747" DrawAspect="Content" ObjectID="_1791375691" r:id="rId1475"/>
        </w:object>
      </w:r>
      <w:r w:rsidRPr="00A62FF4">
        <w:rPr>
          <w:rFonts w:hint="cs"/>
          <w:sz w:val="23"/>
          <w:szCs w:val="23"/>
          <w:rtl/>
        </w:rPr>
        <w:t>، مصرف نیز تابعی از نرخ پس</w:t>
      </w:r>
      <w:r w:rsidRPr="00A62FF4">
        <w:rPr>
          <w:sz w:val="23"/>
          <w:szCs w:val="23"/>
          <w:rtl/>
        </w:rPr>
        <w:softHyphen/>
      </w:r>
      <w:r w:rsidRPr="00A62FF4">
        <w:rPr>
          <w:rFonts w:hint="cs"/>
          <w:sz w:val="23"/>
          <w:szCs w:val="23"/>
          <w:rtl/>
        </w:rPr>
        <w:t>انداز خواهد بود و لذا</w:t>
      </w:r>
    </w:p>
    <w:p w14:paraId="3CFBD05C" w14:textId="77777777" w:rsidR="00411620" w:rsidRPr="00A62FF4" w:rsidRDefault="00411620" w:rsidP="00411620">
      <w:pPr>
        <w:bidi w:val="0"/>
        <w:spacing w:line="216" w:lineRule="auto"/>
        <w:rPr>
          <w:sz w:val="23"/>
          <w:szCs w:val="23"/>
          <w:rtl/>
        </w:rPr>
      </w:pPr>
      <w:r w:rsidRPr="00A62FF4">
        <w:rPr>
          <w:rFonts w:hint="cs"/>
          <w:sz w:val="23"/>
          <w:szCs w:val="23"/>
          <w:rtl/>
        </w:rPr>
        <w:t xml:space="preserve"> </w:t>
      </w:r>
      <w:r w:rsidRPr="00A62FF4">
        <w:rPr>
          <w:position w:val="-16"/>
        </w:rPr>
        <w:object w:dxaOrig="2840" w:dyaOrig="420" w14:anchorId="4225119E">
          <v:shape id="_x0000_i1748" type="#_x0000_t75" style="width:142.2pt;height:21.2pt" o:ole="">
            <v:imagedata r:id="rId1476" o:title=""/>
          </v:shape>
          <o:OLEObject Type="Embed" ProgID="Equation.DSMT4" ShapeID="_x0000_i1748" DrawAspect="Content" ObjectID="_1791375692" r:id="rId1477"/>
        </w:object>
      </w:r>
    </w:p>
    <w:p w14:paraId="23753AFB" w14:textId="77777777" w:rsidR="00411620" w:rsidRPr="00A62FF4" w:rsidRDefault="00411620" w:rsidP="00411620">
      <w:pPr>
        <w:spacing w:line="216" w:lineRule="auto"/>
        <w:rPr>
          <w:sz w:val="23"/>
          <w:szCs w:val="23"/>
          <w:rtl/>
        </w:rPr>
      </w:pPr>
      <w:r w:rsidRPr="00A62FF4">
        <w:rPr>
          <w:rFonts w:hint="cs"/>
          <w:sz w:val="23"/>
          <w:szCs w:val="23"/>
          <w:rtl/>
        </w:rPr>
        <w:t>جهت بدست آوردن حداکثر مصرف با توجه به نرخ پس</w:t>
      </w:r>
      <w:r w:rsidRPr="00A62FF4">
        <w:rPr>
          <w:sz w:val="23"/>
          <w:szCs w:val="23"/>
          <w:rtl/>
        </w:rPr>
        <w:softHyphen/>
      </w:r>
      <w:r w:rsidRPr="00A62FF4">
        <w:rPr>
          <w:rFonts w:hint="cs"/>
          <w:sz w:val="23"/>
          <w:szCs w:val="23"/>
          <w:rtl/>
        </w:rPr>
        <w:t>انداز، از رابطه</w:t>
      </w:r>
      <w:r w:rsidRPr="00A62FF4">
        <w:rPr>
          <w:sz w:val="23"/>
          <w:szCs w:val="23"/>
          <w:rtl/>
        </w:rPr>
        <w:softHyphen/>
      </w:r>
      <w:r w:rsidRPr="00A62FF4">
        <w:rPr>
          <w:rFonts w:hint="cs"/>
          <w:sz w:val="23"/>
          <w:szCs w:val="23"/>
          <w:rtl/>
        </w:rPr>
        <w:t>ی فوق نسبت به</w:t>
      </w:r>
      <w:r w:rsidRPr="00A62FF4">
        <w:rPr>
          <w:sz w:val="23"/>
          <w:szCs w:val="23"/>
        </w:rPr>
        <w:t xml:space="preserve"> </w:t>
      </w:r>
      <w:r w:rsidRPr="00A62FF4">
        <w:rPr>
          <w:position w:val="-6"/>
        </w:rPr>
        <w:object w:dxaOrig="160" w:dyaOrig="200" w14:anchorId="2321BBBB">
          <v:shape id="_x0000_i1749" type="#_x0000_t75" style="width:7.85pt;height:10.3pt" o:ole="">
            <v:imagedata r:id="rId1478" o:title=""/>
          </v:shape>
          <o:OLEObject Type="Embed" ProgID="Equation.DSMT4" ShapeID="_x0000_i1749" DrawAspect="Content" ObjectID="_1791375693" r:id="rId1479"/>
        </w:object>
      </w:r>
      <w:r w:rsidRPr="00A62FF4">
        <w:rPr>
          <w:sz w:val="23"/>
          <w:szCs w:val="23"/>
          <w:lang w:val="en-GB"/>
        </w:rPr>
        <w:t xml:space="preserve"> </w:t>
      </w:r>
      <w:r w:rsidRPr="00A62FF4">
        <w:rPr>
          <w:rFonts w:hint="cs"/>
          <w:sz w:val="23"/>
          <w:szCs w:val="23"/>
          <w:rtl/>
        </w:rPr>
        <w:t>مشتق می</w:t>
      </w:r>
      <w:r w:rsidRPr="00A62FF4">
        <w:rPr>
          <w:rFonts w:hint="cs"/>
          <w:sz w:val="23"/>
          <w:szCs w:val="23"/>
          <w:rtl/>
        </w:rPr>
        <w:softHyphen/>
        <w:t>گیریم</w:t>
      </w:r>
      <w:r w:rsidRPr="00A62FF4">
        <w:rPr>
          <w:sz w:val="23"/>
          <w:szCs w:val="23"/>
        </w:rPr>
        <w:t>.</w:t>
      </w:r>
      <w:r w:rsidRPr="00A62FF4">
        <w:rPr>
          <w:rFonts w:hint="cs"/>
          <w:sz w:val="23"/>
          <w:szCs w:val="23"/>
          <w:rtl/>
        </w:rPr>
        <w:t xml:space="preserve"> لذا</w:t>
      </w:r>
    </w:p>
    <w:p w14:paraId="636475B0" w14:textId="77777777" w:rsidR="00411620" w:rsidRPr="00A62FF4" w:rsidRDefault="00411620" w:rsidP="00411620">
      <w:pPr>
        <w:pStyle w:val="MTDisplayEquation"/>
        <w:spacing w:line="216" w:lineRule="auto"/>
        <w:rPr>
          <w:rFonts w:ascii="Times New Roman" w:hAnsi="Times New Roman" w:cs="B Nazanin"/>
          <w:sz w:val="23"/>
          <w:szCs w:val="23"/>
        </w:rPr>
      </w:pPr>
      <w:r w:rsidRPr="00A62FF4">
        <w:rPr>
          <w:position w:val="-22"/>
        </w:rPr>
        <w:object w:dxaOrig="7280" w:dyaOrig="620" w14:anchorId="602BCCE6">
          <v:shape id="_x0000_i1750" type="#_x0000_t75" style="width:341.25pt;height:30.85pt" o:ole="">
            <v:imagedata r:id="rId1480" o:title=""/>
          </v:shape>
          <o:OLEObject Type="Embed" ProgID="Equation.DSMT4" ShapeID="_x0000_i1750" DrawAspect="Content" ObjectID="_1791375694" r:id="rId1481"/>
        </w:object>
      </w:r>
    </w:p>
    <w:p w14:paraId="2003DE38" w14:textId="77777777" w:rsidR="00411620" w:rsidRPr="00A62FF4" w:rsidRDefault="00411620" w:rsidP="00411620">
      <w:pPr>
        <w:spacing w:line="216" w:lineRule="auto"/>
        <w:rPr>
          <w:sz w:val="23"/>
          <w:szCs w:val="23"/>
          <w:rtl/>
          <w:lang w:val="en-GB"/>
        </w:rPr>
      </w:pPr>
      <w:r w:rsidRPr="00A62FF4">
        <w:rPr>
          <w:rFonts w:hint="cs"/>
          <w:sz w:val="23"/>
          <w:szCs w:val="23"/>
          <w:rtl/>
        </w:rPr>
        <w:t xml:space="preserve">و چون </w:t>
      </w:r>
      <w:r w:rsidRPr="00A62FF4">
        <w:rPr>
          <w:position w:val="-12"/>
        </w:rPr>
        <w:object w:dxaOrig="1380" w:dyaOrig="360" w14:anchorId="0B6076D7">
          <v:shape id="_x0000_i1751" type="#_x0000_t75" style="width:68.95pt;height:18.15pt" o:ole="">
            <v:imagedata r:id="rId1482" o:title=""/>
          </v:shape>
          <o:OLEObject Type="Embed" ProgID="Equation.DSMT4" ShapeID="_x0000_i1751" DrawAspect="Content" ObjectID="_1791375695" r:id="rId1483"/>
        </w:object>
      </w:r>
      <w:r w:rsidRPr="00A62FF4">
        <w:rPr>
          <w:rFonts w:eastAsiaTheme="minorEastAsia"/>
          <w:sz w:val="23"/>
          <w:szCs w:val="23"/>
        </w:rPr>
        <w:t xml:space="preserve"> </w:t>
      </w:r>
      <w:r w:rsidRPr="00A62FF4">
        <w:rPr>
          <w:rFonts w:eastAsiaTheme="minorEastAsia" w:hint="cs"/>
          <w:sz w:val="23"/>
          <w:szCs w:val="23"/>
          <w:rtl/>
        </w:rPr>
        <w:t xml:space="preserve">است، بنابراین </w:t>
      </w:r>
    </w:p>
    <w:p w14:paraId="4F70D8CB" w14:textId="77777777" w:rsidR="00411620" w:rsidRPr="00A62FF4" w:rsidRDefault="00411620" w:rsidP="00411620">
      <w:pPr>
        <w:bidi w:val="0"/>
        <w:spacing w:line="216" w:lineRule="auto"/>
        <w:rPr>
          <w:sz w:val="23"/>
          <w:szCs w:val="23"/>
          <w:rtl/>
        </w:rPr>
      </w:pPr>
      <w:r w:rsidRPr="00A62FF4">
        <w:rPr>
          <w:position w:val="-16"/>
        </w:rPr>
        <w:object w:dxaOrig="2400" w:dyaOrig="420" w14:anchorId="0EBBBD12">
          <v:shape id="_x0000_i1752" type="#_x0000_t75" style="width:119.8pt;height:21.2pt" o:ole="">
            <v:imagedata r:id="rId1484" o:title=""/>
          </v:shape>
          <o:OLEObject Type="Embed" ProgID="Equation.DSMT4" ShapeID="_x0000_i1752" DrawAspect="Content" ObjectID="_1791375696" r:id="rId1485"/>
        </w:object>
      </w:r>
    </w:p>
    <w:p w14:paraId="3739C468" w14:textId="77777777" w:rsidR="00411620" w:rsidRPr="00A62FF4" w:rsidRDefault="00411620" w:rsidP="00411620">
      <w:pPr>
        <w:spacing w:line="216" w:lineRule="auto"/>
        <w:rPr>
          <w:sz w:val="23"/>
          <w:szCs w:val="23"/>
          <w:rtl/>
        </w:rPr>
      </w:pPr>
      <w:r w:rsidRPr="00A62FF4">
        <w:rPr>
          <w:rFonts w:hint="cs"/>
          <w:sz w:val="23"/>
          <w:szCs w:val="23"/>
          <w:rtl/>
        </w:rPr>
        <w:t>بنابراین چنانچه نرخ پس</w:t>
      </w:r>
      <w:r w:rsidRPr="00A62FF4">
        <w:rPr>
          <w:sz w:val="23"/>
          <w:szCs w:val="23"/>
          <w:rtl/>
        </w:rPr>
        <w:softHyphen/>
      </w:r>
      <w:r w:rsidRPr="00A62FF4">
        <w:rPr>
          <w:rFonts w:hint="cs"/>
          <w:sz w:val="23"/>
          <w:szCs w:val="23"/>
          <w:rtl/>
        </w:rPr>
        <w:t>انداز به گونه</w:t>
      </w:r>
      <w:r w:rsidRPr="00A62FF4">
        <w:rPr>
          <w:sz w:val="23"/>
          <w:szCs w:val="23"/>
          <w:rtl/>
        </w:rPr>
        <w:softHyphen/>
      </w:r>
      <w:r w:rsidRPr="00A62FF4">
        <w:rPr>
          <w:rFonts w:hint="cs"/>
          <w:sz w:val="23"/>
          <w:szCs w:val="23"/>
          <w:rtl/>
        </w:rPr>
        <w:t>ای تعیین شود که در آن تولید نهایی موجودی سرمایه</w:t>
      </w:r>
      <w:r w:rsidRPr="00A62FF4">
        <w:rPr>
          <w:sz w:val="23"/>
          <w:szCs w:val="23"/>
          <w:rtl/>
        </w:rPr>
        <w:softHyphen/>
      </w:r>
      <w:r w:rsidRPr="00A62FF4">
        <w:rPr>
          <w:rFonts w:hint="cs"/>
          <w:sz w:val="23"/>
          <w:szCs w:val="23"/>
          <w:rtl/>
        </w:rPr>
        <w:t>ی سرانه برابر با نرخ استهلاک مؤثر باشد، آنگاه حداکثر مصرف سرانه حاصل خواهد شد. نرخ پس</w:t>
      </w:r>
      <w:r w:rsidRPr="00A62FF4">
        <w:rPr>
          <w:sz w:val="23"/>
          <w:szCs w:val="23"/>
        </w:rPr>
        <w:softHyphen/>
      </w:r>
      <w:r w:rsidRPr="00A62FF4">
        <w:rPr>
          <w:rFonts w:hint="cs"/>
          <w:sz w:val="23"/>
          <w:szCs w:val="23"/>
          <w:rtl/>
        </w:rPr>
        <w:t>اندازِ متناظر با شرط فوق</w:t>
      </w:r>
      <w:r w:rsidRPr="00A62FF4">
        <w:rPr>
          <w:sz w:val="23"/>
          <w:szCs w:val="23"/>
        </w:rPr>
        <w:t xml:space="preserve"> </w:t>
      </w:r>
      <w:r w:rsidRPr="00A62FF4">
        <w:rPr>
          <w:rFonts w:hint="cs"/>
          <w:sz w:val="23"/>
          <w:szCs w:val="23"/>
          <w:rtl/>
        </w:rPr>
        <w:t>را نرخ پس</w:t>
      </w:r>
      <w:r w:rsidRPr="00A62FF4">
        <w:rPr>
          <w:sz w:val="23"/>
          <w:szCs w:val="23"/>
          <w:rtl/>
        </w:rPr>
        <w:softHyphen/>
      </w:r>
      <w:r w:rsidRPr="00A62FF4">
        <w:rPr>
          <w:rFonts w:hint="cs"/>
          <w:sz w:val="23"/>
          <w:szCs w:val="23"/>
          <w:rtl/>
        </w:rPr>
        <w:t>اندار طلایی یا</w:t>
      </w:r>
      <w:r w:rsidRPr="00A62FF4">
        <w:rPr>
          <w:sz w:val="23"/>
          <w:szCs w:val="23"/>
        </w:rPr>
        <w:softHyphen/>
      </w:r>
      <w:r w:rsidRPr="00A62FF4">
        <w:rPr>
          <w:position w:val="-14"/>
        </w:rPr>
        <w:object w:dxaOrig="420" w:dyaOrig="360" w14:anchorId="53512066">
          <v:shape id="_x0000_i1753" type="#_x0000_t75" style="width:21.2pt;height:18.15pt" o:ole="">
            <v:imagedata r:id="rId1486" o:title=""/>
          </v:shape>
          <o:OLEObject Type="Embed" ProgID="Equation.DSMT4" ShapeID="_x0000_i1753" DrawAspect="Content" ObjectID="_1791375697" r:id="rId1487"/>
        </w:object>
      </w:r>
      <w:r w:rsidRPr="00A62FF4">
        <w:rPr>
          <w:sz w:val="23"/>
          <w:szCs w:val="23"/>
          <w:rtl/>
        </w:rPr>
        <w:softHyphen/>
      </w:r>
      <w:r w:rsidRPr="00A62FF4">
        <w:rPr>
          <w:rFonts w:hint="cs"/>
          <w:sz w:val="23"/>
          <w:szCs w:val="23"/>
          <w:rtl/>
        </w:rPr>
        <w:t>، و مصرف سرانه</w:t>
      </w:r>
      <w:r w:rsidRPr="00A62FF4">
        <w:rPr>
          <w:sz w:val="23"/>
          <w:szCs w:val="23"/>
          <w:rtl/>
        </w:rPr>
        <w:softHyphen/>
      </w:r>
      <w:r w:rsidRPr="00A62FF4">
        <w:rPr>
          <w:rFonts w:hint="cs"/>
          <w:sz w:val="23"/>
          <w:szCs w:val="23"/>
          <w:rtl/>
        </w:rPr>
        <w:t>ی متناظر با آن را مصرف طلایی یا</w:t>
      </w:r>
      <w:r w:rsidRPr="00A62FF4">
        <w:rPr>
          <w:position w:val="-14"/>
        </w:rPr>
        <w:object w:dxaOrig="420" w:dyaOrig="360" w14:anchorId="6A54C01E">
          <v:shape id="_x0000_i1754" type="#_x0000_t75" style="width:21.2pt;height:18.15pt" o:ole="">
            <v:imagedata r:id="rId1488" o:title=""/>
          </v:shape>
          <o:OLEObject Type="Embed" ProgID="Equation.DSMT4" ShapeID="_x0000_i1754" DrawAspect="Content" ObjectID="_1791375698" r:id="rId1489"/>
        </w:object>
      </w:r>
      <w:r w:rsidRPr="00A62FF4">
        <w:rPr>
          <w:rFonts w:hint="cs"/>
          <w:sz w:val="23"/>
          <w:szCs w:val="23"/>
          <w:rtl/>
        </w:rPr>
        <w:t xml:space="preserve"> نامند. نمودار ۳ . ۴ نرخ پس</w:t>
      </w:r>
      <w:r w:rsidRPr="00A62FF4">
        <w:rPr>
          <w:sz w:val="23"/>
          <w:szCs w:val="23"/>
          <w:rtl/>
        </w:rPr>
        <w:softHyphen/>
      </w:r>
      <w:r w:rsidRPr="00A62FF4">
        <w:rPr>
          <w:rFonts w:hint="cs"/>
          <w:sz w:val="23"/>
          <w:szCs w:val="23"/>
          <w:rtl/>
        </w:rPr>
        <w:t>انداز متناظر با حداکثر مصرف را نشان می</w:t>
      </w:r>
      <w:r w:rsidRPr="00A62FF4">
        <w:rPr>
          <w:sz w:val="23"/>
          <w:szCs w:val="23"/>
          <w:rtl/>
        </w:rPr>
        <w:softHyphen/>
      </w:r>
      <w:r w:rsidRPr="00A62FF4">
        <w:rPr>
          <w:rFonts w:hint="cs"/>
          <w:sz w:val="23"/>
          <w:szCs w:val="23"/>
          <w:rtl/>
        </w:rPr>
        <w:t>دهد.</w:t>
      </w:r>
    </w:p>
    <w:p w14:paraId="3E308965" w14:textId="77777777" w:rsidR="00411620" w:rsidRPr="00A62FF4" w:rsidRDefault="00411620" w:rsidP="00411620">
      <w:pPr>
        <w:tabs>
          <w:tab w:val="left" w:pos="2578"/>
        </w:tabs>
        <w:spacing w:line="216" w:lineRule="auto"/>
        <w:rPr>
          <w:sz w:val="23"/>
          <w:szCs w:val="23"/>
          <w:rtl/>
        </w:rPr>
      </w:pPr>
      <w:r w:rsidRPr="00A62FF4">
        <w:rPr>
          <w:sz w:val="23"/>
          <w:szCs w:val="23"/>
          <w:rtl/>
        </w:rPr>
        <w:tab/>
      </w:r>
    </w:p>
    <w:p w14:paraId="6713C9B2" w14:textId="77777777" w:rsidR="00411620" w:rsidRPr="00A62FF4" w:rsidRDefault="00411620" w:rsidP="00411620">
      <w:pPr>
        <w:pStyle w:val="Heading11"/>
        <w:bidi/>
        <w:spacing w:before="0" w:line="216" w:lineRule="auto"/>
        <w:rPr>
          <w:rFonts w:ascii="Times New Roman" w:hAnsi="Times New Roman" w:cs="B Nazanin"/>
          <w:sz w:val="23"/>
          <w:szCs w:val="23"/>
          <w:rtl/>
        </w:rPr>
      </w:pPr>
      <w:r w:rsidRPr="00A62FF4">
        <w:rPr>
          <w:rFonts w:ascii="Times New Roman" w:hAnsi="Times New Roman" w:cs="B Nazanin" w:hint="cs"/>
          <w:sz w:val="23"/>
          <w:szCs w:val="23"/>
          <w:rtl/>
        </w:rPr>
        <w:t>۳. ۳. ۴ رشد متوازن</w:t>
      </w:r>
      <w:r w:rsidRPr="00A62FF4">
        <w:rPr>
          <w:rStyle w:val="FootnoteReference"/>
          <w:rFonts w:ascii="Times New Roman" w:eastAsiaTheme="minorHAnsi" w:hAnsi="Times New Roman" w:cs="B Nazanin"/>
          <w:sz w:val="23"/>
          <w:szCs w:val="23"/>
          <w:rtl/>
        </w:rPr>
        <w:footnoteReference w:id="103"/>
      </w:r>
      <w:r w:rsidRPr="00A62FF4">
        <w:rPr>
          <w:rFonts w:ascii="Times New Roman" w:hAnsi="Times New Roman" w:cs="B Nazanin" w:hint="cs"/>
          <w:sz w:val="23"/>
          <w:szCs w:val="23"/>
          <w:rtl/>
        </w:rPr>
        <w:t xml:space="preserve"> </w:t>
      </w:r>
    </w:p>
    <w:p w14:paraId="7D2DA1FA" w14:textId="77777777" w:rsidR="00411620" w:rsidRPr="00A62FF4" w:rsidRDefault="00411620" w:rsidP="00411620">
      <w:pPr>
        <w:spacing w:line="216" w:lineRule="auto"/>
        <w:rPr>
          <w:sz w:val="23"/>
          <w:szCs w:val="23"/>
          <w:rtl/>
        </w:rPr>
      </w:pPr>
      <w:r w:rsidRPr="00A62FF4">
        <w:rPr>
          <w:rFonts w:hint="cs"/>
          <w:sz w:val="23"/>
          <w:szCs w:val="23"/>
          <w:rtl/>
        </w:rPr>
        <w:t xml:space="preserve">اگر تابع تولید </w:t>
      </w:r>
      <w:r w:rsidRPr="00A62FF4">
        <w:rPr>
          <w:position w:val="-12"/>
        </w:rPr>
        <w:object w:dxaOrig="1380" w:dyaOrig="400" w14:anchorId="505B41A6">
          <v:shape id="_x0000_i1755" type="#_x0000_t75" style="width:68.95pt;height:19.95pt" o:ole="">
            <v:imagedata r:id="rId1490" o:title=""/>
          </v:shape>
          <o:OLEObject Type="Embed" ProgID="Equation.DSMT4" ShapeID="_x0000_i1755" DrawAspect="Content" ObjectID="_1791375699" r:id="rId1491"/>
        </w:object>
      </w:r>
      <w:r w:rsidRPr="00A62FF4">
        <w:rPr>
          <w:rFonts w:eastAsiaTheme="minorEastAsia" w:hint="cs"/>
          <w:sz w:val="23"/>
          <w:szCs w:val="23"/>
          <w:rtl/>
        </w:rPr>
        <w:t xml:space="preserve"> </w:t>
      </w:r>
      <w:r w:rsidRPr="00A62FF4">
        <w:rPr>
          <w:rFonts w:hint="cs"/>
          <w:sz w:val="23"/>
          <w:szCs w:val="23"/>
          <w:rtl/>
        </w:rPr>
        <w:t xml:space="preserve">و نرخ رشد </w:t>
      </w:r>
      <w:r w:rsidRPr="00A62FF4">
        <w:rPr>
          <w:i/>
          <w:iCs/>
          <w:sz w:val="23"/>
          <w:szCs w:val="23"/>
        </w:rPr>
        <w:t>k</w:t>
      </w:r>
      <w:r w:rsidRPr="00A62FF4">
        <w:rPr>
          <w:rFonts w:hint="cs"/>
          <w:sz w:val="23"/>
          <w:szCs w:val="23"/>
          <w:rtl/>
        </w:rPr>
        <w:t xml:space="preserve"> برابر </w:t>
      </w:r>
      <w:r w:rsidRPr="00A62FF4">
        <w:rPr>
          <w:position w:val="-30"/>
        </w:rPr>
        <w:object w:dxaOrig="1640" w:dyaOrig="700" w14:anchorId="57F255B8">
          <v:shape id="_x0000_i1756" type="#_x0000_t75" style="width:82.3pt;height:35.1pt" o:ole="">
            <v:imagedata r:id="rId1492" o:title=""/>
          </v:shape>
          <o:OLEObject Type="Embed" ProgID="Equation.DSMT4" ShapeID="_x0000_i1756" DrawAspect="Content" ObjectID="_1791375700" r:id="rId1493"/>
        </w:object>
      </w:r>
      <w:r w:rsidRPr="00A62FF4">
        <w:rPr>
          <w:rFonts w:hint="cs"/>
          <w:sz w:val="23"/>
          <w:szCs w:val="23"/>
          <w:rtl/>
        </w:rPr>
        <w:t xml:space="preserve"> باشد، آنگاه:</w:t>
      </w:r>
    </w:p>
    <w:p w14:paraId="5AABFEBC" w14:textId="77777777" w:rsidR="00411620" w:rsidRPr="00A62FF4" w:rsidRDefault="00411620" w:rsidP="00411620">
      <w:pPr>
        <w:bidi w:val="0"/>
        <w:spacing w:line="216" w:lineRule="auto"/>
        <w:rPr>
          <w:sz w:val="23"/>
          <w:szCs w:val="23"/>
          <w:rtl/>
        </w:rPr>
      </w:pPr>
      <w:r w:rsidRPr="00A62FF4">
        <w:rPr>
          <w:position w:val="-32"/>
        </w:rPr>
        <w:object w:dxaOrig="6020" w:dyaOrig="740" w14:anchorId="06CF5A93">
          <v:shape id="_x0000_i1757" type="#_x0000_t75" style="width:300.7pt;height:36.9pt" o:ole="">
            <v:imagedata r:id="rId1494" o:title=""/>
          </v:shape>
          <o:OLEObject Type="Embed" ProgID="Equation.DSMT4" ShapeID="_x0000_i1757" DrawAspect="Content" ObjectID="_1791375701" r:id="rId1495"/>
        </w:object>
      </w:r>
    </w:p>
    <w:p w14:paraId="13586983" w14:textId="77777777" w:rsidR="00411620" w:rsidRPr="00A62FF4" w:rsidRDefault="00411620" w:rsidP="00411620">
      <w:pPr>
        <w:spacing w:line="216" w:lineRule="auto"/>
        <w:rPr>
          <w:sz w:val="23"/>
          <w:szCs w:val="23"/>
          <w:rtl/>
        </w:rPr>
      </w:pPr>
      <w:r w:rsidRPr="00A62FF4">
        <w:rPr>
          <w:rFonts w:hint="cs"/>
          <w:sz w:val="23"/>
          <w:szCs w:val="23"/>
          <w:rtl/>
        </w:rPr>
        <w:t xml:space="preserve">و </w:t>
      </w:r>
    </w:p>
    <w:p w14:paraId="41D479B1" w14:textId="77777777" w:rsidR="00411620" w:rsidRPr="00A62FF4" w:rsidRDefault="00411620" w:rsidP="00411620">
      <w:pPr>
        <w:bidi w:val="0"/>
        <w:spacing w:line="216" w:lineRule="auto"/>
        <w:rPr>
          <w:sz w:val="23"/>
          <w:szCs w:val="23"/>
        </w:rPr>
      </w:pPr>
      <w:r w:rsidRPr="00A62FF4">
        <w:rPr>
          <w:position w:val="-30"/>
        </w:rPr>
        <w:object w:dxaOrig="4520" w:dyaOrig="720" w14:anchorId="5BD26E00">
          <v:shape id="_x0000_i1758" type="#_x0000_t75" style="width:226.3pt;height:36.3pt" o:ole="">
            <v:imagedata r:id="rId1496" o:title=""/>
          </v:shape>
          <o:OLEObject Type="Embed" ProgID="Equation.DSMT4" ShapeID="_x0000_i1758" DrawAspect="Content" ObjectID="_1791375702" r:id="rId1497"/>
        </w:object>
      </w:r>
      <w:r w:rsidRPr="00A62FF4">
        <w:rPr>
          <w:sz w:val="23"/>
          <w:szCs w:val="23"/>
        </w:rPr>
        <w:t xml:space="preserve"> </w:t>
      </w:r>
    </w:p>
    <w:p w14:paraId="0F4D507F" w14:textId="77777777" w:rsidR="00411620" w:rsidRPr="00A62FF4" w:rsidRDefault="00411620" w:rsidP="00411620">
      <w:pPr>
        <w:spacing w:line="216" w:lineRule="auto"/>
        <w:jc w:val="center"/>
        <w:rPr>
          <w:sz w:val="23"/>
          <w:szCs w:val="23"/>
          <w:rtl/>
        </w:rPr>
      </w:pPr>
    </w:p>
    <w:p w14:paraId="2415DFC5" w14:textId="77777777" w:rsidR="00411620" w:rsidRPr="00A62FF4" w:rsidRDefault="00411620" w:rsidP="00411620">
      <w:pPr>
        <w:spacing w:line="216" w:lineRule="auto"/>
        <w:jc w:val="center"/>
        <w:rPr>
          <w:sz w:val="23"/>
          <w:szCs w:val="23"/>
          <w:rtl/>
        </w:rPr>
      </w:pPr>
      <w:r w:rsidRPr="00A62FF4">
        <w:rPr>
          <w:rFonts w:hint="cs"/>
          <w:sz w:val="23"/>
          <w:szCs w:val="23"/>
          <w:rtl/>
        </w:rPr>
        <w:t xml:space="preserve">نمودار ۳ . </w:t>
      </w:r>
      <w:r w:rsidRPr="00A62FF4">
        <w:rPr>
          <w:rFonts w:ascii="NPIYagut" w:hAnsi="NPIYagut"/>
          <w:sz w:val="23"/>
          <w:szCs w:val="23"/>
          <w:rtl/>
        </w:rPr>
        <w:t>4</w:t>
      </w:r>
    </w:p>
    <w:p w14:paraId="763654EA" w14:textId="77777777" w:rsidR="00411620" w:rsidRPr="00A62FF4" w:rsidRDefault="00411620" w:rsidP="00411620">
      <w:pPr>
        <w:spacing w:line="216" w:lineRule="auto"/>
        <w:jc w:val="center"/>
        <w:rPr>
          <w:sz w:val="23"/>
          <w:szCs w:val="23"/>
          <w:rtl/>
        </w:rPr>
      </w:pPr>
      <w:r w:rsidRPr="00A62FF4">
        <w:rPr>
          <w:noProof/>
          <w:sz w:val="23"/>
          <w:szCs w:val="23"/>
          <w:u w:val="single"/>
          <w:lang w:bidi="ar-SA"/>
        </w:rPr>
        <w:drawing>
          <wp:inline distT="0" distB="0" distL="0" distR="0" wp14:anchorId="76B56E84" wp14:editId="295DC6C6">
            <wp:extent cx="3651740" cy="1971675"/>
            <wp:effectExtent l="38100" t="38100" r="444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8">
                      <a:extLst>
                        <a:ext uri="{BEBA8EAE-BF5A-486C-A8C5-ECC9F3942E4B}">
                          <a14:imgProps xmlns:a14="http://schemas.microsoft.com/office/drawing/2010/main">
                            <a14:imgLayer r:embed="rId1499">
                              <a14:imgEffect>
                                <a14:brightnessContrast contrast="20000"/>
                              </a14:imgEffect>
                            </a14:imgLayer>
                          </a14:imgProps>
                        </a:ext>
                      </a:extLst>
                    </a:blip>
                    <a:stretch>
                      <a:fillRect/>
                    </a:stretch>
                  </pic:blipFill>
                  <pic:spPr>
                    <a:xfrm>
                      <a:off x="0" y="0"/>
                      <a:ext cx="3676385" cy="1984982"/>
                    </a:xfrm>
                    <a:prstGeom prst="rect">
                      <a:avLst/>
                    </a:prstGeom>
                    <a:ln w="28575">
                      <a:solidFill>
                        <a:schemeClr val="tx1"/>
                      </a:solidFill>
                    </a:ln>
                  </pic:spPr>
                </pic:pic>
              </a:graphicData>
            </a:graphic>
          </wp:inline>
        </w:drawing>
      </w:r>
    </w:p>
    <w:p w14:paraId="1D6498BC" w14:textId="77777777" w:rsidR="00411620" w:rsidRPr="00A62FF4" w:rsidRDefault="00411620" w:rsidP="00411620">
      <w:pPr>
        <w:spacing w:line="216" w:lineRule="auto"/>
        <w:jc w:val="center"/>
        <w:rPr>
          <w:sz w:val="23"/>
          <w:szCs w:val="23"/>
          <w:rtl/>
        </w:rPr>
      </w:pPr>
    </w:p>
    <w:p w14:paraId="3744245D" w14:textId="77777777" w:rsidR="00411620" w:rsidRPr="00A62FF4" w:rsidRDefault="00411620" w:rsidP="00411620">
      <w:pPr>
        <w:spacing w:line="216" w:lineRule="auto"/>
        <w:jc w:val="center"/>
        <w:rPr>
          <w:sz w:val="23"/>
          <w:szCs w:val="23"/>
          <w:rtl/>
        </w:rPr>
      </w:pPr>
      <w:r w:rsidRPr="00A62FF4">
        <w:rPr>
          <w:noProof/>
          <w:sz w:val="23"/>
          <w:szCs w:val="23"/>
          <w:u w:val="single"/>
          <w:lang w:bidi="ar-SA"/>
        </w:rPr>
        <w:drawing>
          <wp:inline distT="0" distB="0" distL="0" distR="0" wp14:anchorId="0D9F677C" wp14:editId="3751B373">
            <wp:extent cx="3651885" cy="1957388"/>
            <wp:effectExtent l="38100" t="38100" r="43815" b="431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0">
                      <a:extLst>
                        <a:ext uri="{BEBA8EAE-BF5A-486C-A8C5-ECC9F3942E4B}">
                          <a14:imgProps xmlns:a14="http://schemas.microsoft.com/office/drawing/2010/main">
                            <a14:imgLayer r:embed="rId1501">
                              <a14:imgEffect>
                                <a14:brightnessContrast contrast="20000"/>
                              </a14:imgEffect>
                            </a14:imgLayer>
                          </a14:imgProps>
                        </a:ext>
                      </a:extLst>
                    </a:blip>
                    <a:stretch>
                      <a:fillRect/>
                    </a:stretch>
                  </pic:blipFill>
                  <pic:spPr>
                    <a:xfrm>
                      <a:off x="0" y="0"/>
                      <a:ext cx="3676559" cy="1970613"/>
                    </a:xfrm>
                    <a:prstGeom prst="rect">
                      <a:avLst/>
                    </a:prstGeom>
                    <a:ln w="28575">
                      <a:solidFill>
                        <a:schemeClr val="tx1"/>
                      </a:solidFill>
                    </a:ln>
                  </pic:spPr>
                </pic:pic>
              </a:graphicData>
            </a:graphic>
          </wp:inline>
        </w:drawing>
      </w:r>
    </w:p>
    <w:p w14:paraId="4C33C2E0" w14:textId="77777777" w:rsidR="00411620" w:rsidRPr="00A62FF4" w:rsidRDefault="00411620" w:rsidP="00411620">
      <w:pPr>
        <w:bidi w:val="0"/>
        <w:spacing w:line="216" w:lineRule="auto"/>
        <w:rPr>
          <w:sz w:val="23"/>
          <w:szCs w:val="23"/>
          <w:rtl/>
        </w:rPr>
      </w:pPr>
    </w:p>
    <w:p w14:paraId="78C7E2F7" w14:textId="77777777" w:rsidR="00411620" w:rsidRPr="00A62FF4" w:rsidRDefault="00411620" w:rsidP="00411620">
      <w:pPr>
        <w:spacing w:line="216" w:lineRule="auto"/>
        <w:rPr>
          <w:sz w:val="23"/>
          <w:szCs w:val="23"/>
          <w:rtl/>
        </w:rPr>
      </w:pPr>
      <w:r w:rsidRPr="00A62FF4">
        <w:rPr>
          <w:rFonts w:hint="cs"/>
          <w:sz w:val="23"/>
          <w:szCs w:val="23"/>
          <w:rtl/>
        </w:rPr>
        <w:t xml:space="preserve">لذا اگر چه نرخ رشد </w:t>
      </w:r>
      <w:r w:rsidRPr="00A62FF4">
        <w:rPr>
          <w:i/>
          <w:iCs/>
          <w:sz w:val="23"/>
          <w:szCs w:val="23"/>
          <w:lang w:val="en-GB"/>
        </w:rPr>
        <w:t>y</w:t>
      </w:r>
      <w:r w:rsidRPr="00A62FF4">
        <w:rPr>
          <w:rFonts w:hint="cs"/>
          <w:sz w:val="23"/>
          <w:szCs w:val="23"/>
          <w:rtl/>
          <w:lang w:val="en-GB"/>
        </w:rPr>
        <w:t xml:space="preserve"> و</w:t>
      </w:r>
      <w:r w:rsidRPr="00A62FF4">
        <w:rPr>
          <w:sz w:val="23"/>
          <w:szCs w:val="23"/>
        </w:rPr>
        <w:t xml:space="preserve"> </w:t>
      </w:r>
      <w:r w:rsidRPr="00A62FF4">
        <w:rPr>
          <w:i/>
          <w:iCs/>
          <w:sz w:val="23"/>
          <w:szCs w:val="23"/>
        </w:rPr>
        <w:t>c</w:t>
      </w:r>
      <w:r w:rsidRPr="00A62FF4">
        <w:rPr>
          <w:sz w:val="23"/>
          <w:szCs w:val="23"/>
        </w:rPr>
        <w:t xml:space="preserve"> </w:t>
      </w:r>
      <w:r w:rsidRPr="00A62FF4">
        <w:rPr>
          <w:rFonts w:hint="cs"/>
          <w:sz w:val="23"/>
          <w:szCs w:val="23"/>
          <w:rtl/>
        </w:rPr>
        <w:t>برابرند با</w:t>
      </w:r>
      <w:r w:rsidRPr="00A62FF4">
        <w:rPr>
          <w:position w:val="-10"/>
        </w:rPr>
        <w:object w:dxaOrig="740" w:dyaOrig="320" w14:anchorId="32D2E379">
          <v:shape id="_x0000_i1759" type="#_x0000_t75" style="width:36.9pt;height:15.75pt" o:ole="">
            <v:imagedata r:id="rId1502" o:title=""/>
          </v:shape>
          <o:OLEObject Type="Embed" ProgID="Equation.DSMT4" ShapeID="_x0000_i1759" DrawAspect="Content" ObjectID="_1791375703" r:id="rId1503"/>
        </w:object>
      </w:r>
      <w:r w:rsidRPr="00A62FF4">
        <w:rPr>
          <w:rFonts w:hint="cs"/>
          <w:sz w:val="23"/>
          <w:szCs w:val="23"/>
          <w:rtl/>
        </w:rPr>
        <w:t xml:space="preserve">، اما نرخ رشد </w:t>
      </w:r>
      <w:r w:rsidRPr="00A62FF4">
        <w:rPr>
          <w:i/>
          <w:iCs/>
          <w:sz w:val="23"/>
          <w:szCs w:val="23"/>
        </w:rPr>
        <w:t>k</w:t>
      </w:r>
      <w:r w:rsidRPr="00A62FF4">
        <w:rPr>
          <w:rFonts w:hint="cs"/>
          <w:sz w:val="23"/>
          <w:szCs w:val="23"/>
          <w:rtl/>
        </w:rPr>
        <w:t xml:space="preserve"> برابر خواهد بود با </w:t>
      </w:r>
      <w:r w:rsidRPr="00A62FF4">
        <w:rPr>
          <w:position w:val="-10"/>
        </w:rPr>
        <w:object w:dxaOrig="260" w:dyaOrig="320" w14:anchorId="5F6D5AE4">
          <v:shape id="_x0000_i1760" type="#_x0000_t75" style="width:12.7pt;height:15.75pt" o:ole="">
            <v:imagedata r:id="rId1504" o:title=""/>
          </v:shape>
          <o:OLEObject Type="Embed" ProgID="Equation.DSMT4" ShapeID="_x0000_i1760" DrawAspect="Content" ObjectID="_1791375704" r:id="rId1505"/>
        </w:object>
      </w:r>
      <w:r w:rsidRPr="00A62FF4">
        <w:rPr>
          <w:rFonts w:hint="cs"/>
          <w:sz w:val="23"/>
          <w:szCs w:val="23"/>
          <w:rtl/>
        </w:rPr>
        <w:t xml:space="preserve"> که با نرخ رشد درآمد و مصرف سرانه متفاوت است که بدان رشد نامتوازن</w:t>
      </w:r>
      <w:r w:rsidRPr="00A62FF4">
        <w:rPr>
          <w:rStyle w:val="FootnoteReference"/>
          <w:sz w:val="23"/>
          <w:szCs w:val="23"/>
          <w:rtl/>
        </w:rPr>
        <w:footnoteReference w:id="104"/>
      </w:r>
      <w:r w:rsidRPr="00A62FF4">
        <w:rPr>
          <w:rFonts w:hint="cs"/>
          <w:sz w:val="23"/>
          <w:szCs w:val="23"/>
          <w:rtl/>
        </w:rPr>
        <w:t xml:space="preserve"> گفته می</w:t>
      </w:r>
      <w:r w:rsidRPr="00A62FF4">
        <w:rPr>
          <w:rFonts w:hint="cs"/>
          <w:sz w:val="23"/>
          <w:szCs w:val="23"/>
          <w:rtl/>
        </w:rPr>
        <w:softHyphen/>
        <w:t>شود. برای اینکه رشد اقتصاد متوازن باشد باید</w:t>
      </w:r>
    </w:p>
    <w:p w14:paraId="275B0489" w14:textId="77777777" w:rsidR="00411620" w:rsidRPr="00A62FF4" w:rsidRDefault="00411620" w:rsidP="00411620">
      <w:pPr>
        <w:bidi w:val="0"/>
        <w:spacing w:line="216" w:lineRule="auto"/>
        <w:rPr>
          <w:sz w:val="23"/>
          <w:szCs w:val="23"/>
          <w:rtl/>
        </w:rPr>
      </w:pPr>
      <w:r w:rsidRPr="00A62FF4">
        <w:rPr>
          <w:rFonts w:hint="cs"/>
          <w:sz w:val="23"/>
          <w:szCs w:val="23"/>
          <w:rtl/>
        </w:rPr>
        <w:lastRenderedPageBreak/>
        <w:t xml:space="preserve"> </w:t>
      </w:r>
      <w:r w:rsidRPr="00A62FF4">
        <w:rPr>
          <w:position w:val="-22"/>
        </w:rPr>
        <w:object w:dxaOrig="4640" w:dyaOrig="560" w14:anchorId="0144D70A">
          <v:shape id="_x0000_i1761" type="#_x0000_t75" style="width:231.75pt;height:27.85pt" o:ole="">
            <v:imagedata r:id="rId1506" o:title=""/>
          </v:shape>
          <o:OLEObject Type="Embed" ProgID="Equation.DSMT4" ShapeID="_x0000_i1761" DrawAspect="Content" ObjectID="_1791375705" r:id="rId1507"/>
        </w:object>
      </w:r>
      <w:r w:rsidRPr="00A62FF4">
        <w:rPr>
          <w:rFonts w:hint="cs"/>
          <w:sz w:val="23"/>
          <w:szCs w:val="23"/>
          <w:rtl/>
        </w:rPr>
        <w:t xml:space="preserve"> </w:t>
      </w:r>
    </w:p>
    <w:p w14:paraId="69C9B756" w14:textId="77777777" w:rsidR="00411620" w:rsidRPr="00A62FF4" w:rsidRDefault="00411620" w:rsidP="00411620">
      <w:pPr>
        <w:spacing w:line="216" w:lineRule="auto"/>
        <w:rPr>
          <w:rFonts w:eastAsiaTheme="minorEastAsia"/>
          <w:sz w:val="23"/>
          <w:szCs w:val="23"/>
        </w:rPr>
      </w:pPr>
      <w:r w:rsidRPr="00A62FF4">
        <w:rPr>
          <w:rFonts w:hint="cs"/>
          <w:sz w:val="23"/>
          <w:szCs w:val="23"/>
          <w:rtl/>
        </w:rPr>
        <w:t>لذا رشد متوازن اتفاق نمی</w:t>
      </w:r>
      <w:r w:rsidRPr="00A62FF4">
        <w:rPr>
          <w:rFonts w:hint="cs"/>
          <w:sz w:val="23"/>
          <w:szCs w:val="23"/>
          <w:rtl/>
        </w:rPr>
        <w:softHyphen/>
        <w:t xml:space="preserve">افتد مگر آنکه </w:t>
      </w:r>
      <w:r w:rsidRPr="00A62FF4">
        <w:rPr>
          <w:position w:val="-10"/>
        </w:rPr>
        <w:object w:dxaOrig="560" w:dyaOrig="300" w14:anchorId="48FA57ED">
          <v:shape id="_x0000_i1762" type="#_x0000_t75" style="width:27.85pt;height:15.15pt" o:ole="">
            <v:imagedata r:id="rId1508" o:title=""/>
          </v:shape>
          <o:OLEObject Type="Embed" ProgID="Equation.DSMT4" ShapeID="_x0000_i1762" DrawAspect="Content" ObjectID="_1791375706" r:id="rId1509"/>
        </w:object>
      </w:r>
      <w:r w:rsidRPr="00A62FF4">
        <w:rPr>
          <w:rFonts w:eastAsiaTheme="minorEastAsia" w:hint="cs"/>
          <w:sz w:val="23"/>
          <w:szCs w:val="23"/>
          <w:rtl/>
        </w:rPr>
        <w:t xml:space="preserve"> باشد. یعنی پیشرفت تکنولوژی در اقتصاد وجود داشته باشد.</w:t>
      </w:r>
    </w:p>
    <w:p w14:paraId="7A8B4797" w14:textId="77777777" w:rsidR="00411620" w:rsidRPr="00A62FF4" w:rsidRDefault="00411620" w:rsidP="00411620">
      <w:pPr>
        <w:bidi w:val="0"/>
        <w:spacing w:line="216" w:lineRule="auto"/>
        <w:rPr>
          <w:sz w:val="23"/>
          <w:szCs w:val="23"/>
          <w:rtl/>
        </w:rPr>
      </w:pPr>
    </w:p>
    <w:p w14:paraId="4C465488" w14:textId="77777777" w:rsidR="00411620" w:rsidRPr="00A62FF4" w:rsidRDefault="00411620" w:rsidP="00411620">
      <w:pPr>
        <w:pStyle w:val="Heading1"/>
        <w:spacing w:before="0" w:after="0" w:line="216" w:lineRule="auto"/>
        <w:rPr>
          <w:rFonts w:ascii="Times New Roman" w:hAnsi="Times New Roman" w:cs="B Nazanin"/>
          <w:sz w:val="23"/>
          <w:szCs w:val="23"/>
          <w:rtl/>
        </w:rPr>
      </w:pPr>
      <w:r w:rsidRPr="00A62FF4">
        <w:rPr>
          <w:rFonts w:ascii="Times New Roman" w:hAnsi="Times New Roman" w:cs="B Nazanin" w:hint="cs"/>
          <w:sz w:val="23"/>
          <w:szCs w:val="23"/>
          <w:rtl/>
        </w:rPr>
        <w:t xml:space="preserve">۳. ۴ تئوری رشد بهینه </w:t>
      </w:r>
    </w:p>
    <w:p w14:paraId="4125B5CE" w14:textId="77777777" w:rsidR="00411620" w:rsidRPr="00A62FF4" w:rsidRDefault="00411620" w:rsidP="00411620">
      <w:pPr>
        <w:spacing w:line="216" w:lineRule="auto"/>
        <w:rPr>
          <w:sz w:val="23"/>
          <w:szCs w:val="23"/>
          <w:rtl/>
        </w:rPr>
      </w:pPr>
      <w:r w:rsidRPr="00A62FF4">
        <w:rPr>
          <w:rFonts w:eastAsia="Calibri" w:hint="cs"/>
          <w:sz w:val="23"/>
          <w:szCs w:val="23"/>
          <w:rtl/>
        </w:rPr>
        <w:t>برای این</w:t>
      </w:r>
      <w:r w:rsidRPr="00A62FF4">
        <w:rPr>
          <w:rFonts w:eastAsia="Calibri"/>
          <w:sz w:val="23"/>
          <w:szCs w:val="23"/>
          <w:rtl/>
        </w:rPr>
        <w:softHyphen/>
      </w:r>
      <w:r w:rsidRPr="00A62FF4">
        <w:rPr>
          <w:rFonts w:eastAsia="Calibri" w:hint="cs"/>
          <w:sz w:val="23"/>
          <w:szCs w:val="23"/>
          <w:rtl/>
        </w:rPr>
        <w:t>که بتوان تصویر کامل‌تری از مدل رشد اقتصادی ارائه نمود، می‌بایست مسیر مصرف و نرخ پس‌انداز از طریق رفتار بهینه</w:t>
      </w:r>
      <w:r w:rsidRPr="00A62FF4">
        <w:rPr>
          <w:rFonts w:eastAsia="Calibri"/>
          <w:sz w:val="23"/>
          <w:szCs w:val="23"/>
          <w:rtl/>
        </w:rPr>
        <w:softHyphen/>
      </w:r>
      <w:r w:rsidRPr="00A62FF4">
        <w:rPr>
          <w:rFonts w:eastAsia="Calibri" w:hint="cs"/>
          <w:sz w:val="23"/>
          <w:szCs w:val="23"/>
          <w:rtl/>
        </w:rPr>
        <w:t>ی خانوارها و بنگاه</w:t>
      </w:r>
      <w:r w:rsidRPr="00A62FF4">
        <w:rPr>
          <w:rFonts w:eastAsia="Calibri"/>
          <w:sz w:val="23"/>
          <w:szCs w:val="23"/>
          <w:rtl/>
        </w:rPr>
        <w:softHyphen/>
      </w:r>
      <w:r w:rsidRPr="00A62FF4">
        <w:rPr>
          <w:rFonts w:eastAsia="Calibri" w:hint="cs"/>
          <w:sz w:val="23"/>
          <w:szCs w:val="23"/>
          <w:rtl/>
        </w:rPr>
        <w:t>ها که در بازارهای رقابتی عمل می‌کنند، تعیین شود. فرض می‌شود تعداد زیادی خانوار وجود دارد که مقدار مصرف و پس‌انداز را برای حداکثر کردن مطلوبیت خود، با توجه به قید بودجه</w:t>
      </w:r>
      <w:r w:rsidRPr="00A62FF4">
        <w:rPr>
          <w:rFonts w:eastAsia="Calibri"/>
          <w:sz w:val="23"/>
          <w:szCs w:val="23"/>
          <w:rtl/>
        </w:rPr>
        <w:softHyphen/>
      </w:r>
      <w:r w:rsidRPr="00A62FF4">
        <w:rPr>
          <w:rFonts w:eastAsia="Calibri" w:hint="cs"/>
          <w:sz w:val="23"/>
          <w:szCs w:val="23"/>
          <w:rtl/>
        </w:rPr>
        <w:t>ی بین</w:t>
      </w:r>
      <w:r w:rsidRPr="00A62FF4">
        <w:rPr>
          <w:rFonts w:eastAsia="Calibri"/>
          <w:sz w:val="23"/>
          <w:szCs w:val="23"/>
          <w:rtl/>
        </w:rPr>
        <w:softHyphen/>
      </w:r>
      <w:r w:rsidRPr="00A62FF4">
        <w:rPr>
          <w:rFonts w:eastAsia="Calibri" w:hint="cs"/>
          <w:sz w:val="23"/>
          <w:szCs w:val="23"/>
          <w:rtl/>
        </w:rPr>
        <w:t>زمانی تعیین می‌کنند. این خصوصیتِ رفتار مصرف</w:t>
      </w:r>
      <w:r w:rsidRPr="00A62FF4">
        <w:rPr>
          <w:rFonts w:eastAsia="Calibri"/>
          <w:sz w:val="23"/>
          <w:szCs w:val="23"/>
          <w:rtl/>
        </w:rPr>
        <w:softHyphen/>
      </w:r>
      <w:r w:rsidRPr="00A62FF4">
        <w:rPr>
          <w:rFonts w:eastAsia="Calibri" w:hint="cs"/>
          <w:sz w:val="23"/>
          <w:szCs w:val="23"/>
          <w:rtl/>
        </w:rPr>
        <w:t>کننده، عنصر کلیدی در مدل رشدی است که ابتدا توسط رمزی در سال ۱۹۲۸ پایه‌گذاری شد و سپس بوسیله</w:t>
      </w:r>
      <w:r w:rsidRPr="00A62FF4">
        <w:rPr>
          <w:rFonts w:eastAsia="Calibri"/>
          <w:sz w:val="23"/>
          <w:szCs w:val="23"/>
          <w:rtl/>
        </w:rPr>
        <w:softHyphen/>
      </w:r>
      <w:r w:rsidRPr="00A62FF4">
        <w:rPr>
          <w:rFonts w:eastAsia="Calibri" w:hint="cs"/>
          <w:sz w:val="23"/>
          <w:szCs w:val="23"/>
          <w:rtl/>
        </w:rPr>
        <w:t>ی کاس و کوپمنز در سال ۱۹۵۶ بسط پیدا کرد. در این مدل نرخ پس</w:t>
      </w:r>
      <w:r w:rsidRPr="00A62FF4">
        <w:rPr>
          <w:rFonts w:eastAsia="Calibri"/>
          <w:sz w:val="23"/>
          <w:szCs w:val="23"/>
          <w:rtl/>
        </w:rPr>
        <w:softHyphen/>
      </w:r>
      <w:r w:rsidRPr="00A62FF4">
        <w:rPr>
          <w:rFonts w:eastAsia="Calibri" w:hint="cs"/>
          <w:sz w:val="23"/>
          <w:szCs w:val="23"/>
          <w:rtl/>
        </w:rPr>
        <w:t>انداز به‌طور کلی ثابت نیست بلکه درون</w:t>
      </w:r>
      <w:r w:rsidRPr="00A62FF4">
        <w:rPr>
          <w:rFonts w:eastAsia="Calibri"/>
          <w:sz w:val="23"/>
          <w:szCs w:val="23"/>
          <w:rtl/>
        </w:rPr>
        <w:softHyphen/>
      </w:r>
      <w:r w:rsidRPr="00A62FF4">
        <w:rPr>
          <w:rFonts w:eastAsia="Calibri" w:hint="cs"/>
          <w:sz w:val="23"/>
          <w:szCs w:val="23"/>
          <w:rtl/>
        </w:rPr>
        <w:t>زاست و تابعی از موجودی سرمایه</w:t>
      </w:r>
      <w:r w:rsidRPr="00A62FF4">
        <w:rPr>
          <w:rFonts w:eastAsia="Calibri"/>
          <w:sz w:val="23"/>
          <w:szCs w:val="23"/>
          <w:rtl/>
        </w:rPr>
        <w:softHyphen/>
      </w:r>
      <w:r w:rsidRPr="00A62FF4">
        <w:rPr>
          <w:rFonts w:eastAsia="Calibri" w:hint="cs"/>
          <w:sz w:val="23"/>
          <w:szCs w:val="23"/>
          <w:rtl/>
        </w:rPr>
        <w:t xml:space="preserve">ی سرانه است. </w:t>
      </w:r>
      <w:r w:rsidRPr="00A62FF4">
        <w:rPr>
          <w:rFonts w:eastAsia="MTSY" w:hint="cs"/>
          <w:sz w:val="23"/>
          <w:szCs w:val="23"/>
          <w:rtl/>
        </w:rPr>
        <w:t xml:space="preserve">همانند قبل تولید کالاها و خدمات از ترکیب نهاده‌های تولید و همچنین تکنولوژی در دسترس بوجود می‌آیند. بنابراین </w:t>
      </w:r>
    </w:p>
    <w:p w14:paraId="5EBC75DA" w14:textId="77777777" w:rsidR="00411620" w:rsidRPr="00A62FF4" w:rsidRDefault="00411620" w:rsidP="00411620">
      <w:pPr>
        <w:bidi w:val="0"/>
        <w:spacing w:line="216" w:lineRule="auto"/>
        <w:rPr>
          <w:rFonts w:eastAsia="MTSY"/>
          <w:sz w:val="23"/>
          <w:szCs w:val="23"/>
          <w:rtl/>
        </w:rPr>
      </w:pPr>
      <w:r w:rsidRPr="00A62FF4">
        <w:rPr>
          <w:position w:val="-12"/>
        </w:rPr>
        <w:object w:dxaOrig="1500" w:dyaOrig="360" w14:anchorId="470BE8E7">
          <v:shape id="_x0000_i1763" type="#_x0000_t75" style="width:75.05pt;height:18.15pt" o:ole="">
            <v:imagedata r:id="rId1510" o:title=""/>
          </v:shape>
          <o:OLEObject Type="Embed" ProgID="Equation.DSMT4" ShapeID="_x0000_i1763" DrawAspect="Content" ObjectID="_1791375707" r:id="rId1511"/>
        </w:object>
      </w:r>
    </w:p>
    <w:p w14:paraId="7F021A1D" w14:textId="77777777" w:rsidR="00411620" w:rsidRPr="00A62FF4" w:rsidRDefault="00411620" w:rsidP="00411620">
      <w:pPr>
        <w:spacing w:line="216" w:lineRule="auto"/>
        <w:rPr>
          <w:rFonts w:eastAsia="MTSY"/>
          <w:sz w:val="23"/>
          <w:szCs w:val="23"/>
          <w:rtl/>
        </w:rPr>
      </w:pPr>
      <w:r w:rsidRPr="00A62FF4">
        <w:rPr>
          <w:rFonts w:eastAsia="MTSY" w:hint="cs"/>
          <w:sz w:val="23"/>
          <w:szCs w:val="23"/>
          <w:rtl/>
        </w:rPr>
        <w:t>در تابع تولید فوق</w:t>
      </w:r>
      <w:r w:rsidRPr="00025957">
        <w:rPr>
          <w:position w:val="-4"/>
        </w:rPr>
        <w:object w:dxaOrig="240" w:dyaOrig="240" w14:anchorId="2EF2C800">
          <v:shape id="_x0000_i1764" type="#_x0000_t75" style="width:12.1pt;height:12.1pt" o:ole="">
            <v:imagedata r:id="rId1512" o:title=""/>
          </v:shape>
          <o:OLEObject Type="Embed" ProgID="Equation.DSMT4" ShapeID="_x0000_i1764" DrawAspect="Content" ObjectID="_1791375708" r:id="rId1513"/>
        </w:object>
      </w:r>
      <w:r w:rsidRPr="00A62FF4">
        <w:rPr>
          <w:rFonts w:eastAsia="MTSY" w:hint="cs"/>
          <w:sz w:val="23"/>
          <w:szCs w:val="23"/>
          <w:rtl/>
        </w:rPr>
        <w:t xml:space="preserve"> جریان محصول یا تولید کالاها و خدمات،</w:t>
      </w:r>
      <w:r w:rsidRPr="00025957">
        <w:rPr>
          <w:position w:val="-4"/>
        </w:rPr>
        <w:object w:dxaOrig="260" w:dyaOrig="240" w14:anchorId="32EF78EC">
          <v:shape id="_x0000_i1765" type="#_x0000_t75" style="width:12.7pt;height:12.1pt" o:ole="">
            <v:imagedata r:id="rId1514" o:title=""/>
          </v:shape>
          <o:OLEObject Type="Embed" ProgID="Equation.DSMT4" ShapeID="_x0000_i1765" DrawAspect="Content" ObjectID="_1791375709" r:id="rId1515"/>
        </w:object>
      </w:r>
      <w:r w:rsidRPr="00A62FF4">
        <w:rPr>
          <w:sz w:val="23"/>
          <w:szCs w:val="23"/>
        </w:rPr>
        <w:t xml:space="preserve"> </w:t>
      </w:r>
      <w:r w:rsidRPr="00A62FF4">
        <w:rPr>
          <w:rFonts w:eastAsia="MTSY" w:hint="cs"/>
          <w:sz w:val="23"/>
          <w:szCs w:val="23"/>
          <w:rtl/>
        </w:rPr>
        <w:t>موجودی سرمایه فیزیکی،</w:t>
      </w:r>
      <w:r w:rsidRPr="00025957">
        <w:rPr>
          <w:position w:val="-4"/>
        </w:rPr>
        <w:object w:dxaOrig="220" w:dyaOrig="240" w14:anchorId="27FED62B">
          <v:shape id="_x0000_i1766" type="#_x0000_t75" style="width:10.9pt;height:12.1pt" o:ole="">
            <v:imagedata r:id="rId1516" o:title=""/>
          </v:shape>
          <o:OLEObject Type="Embed" ProgID="Equation.DSMT4" ShapeID="_x0000_i1766" DrawAspect="Content" ObjectID="_1791375710" r:id="rId1517"/>
        </w:object>
      </w:r>
      <w:r w:rsidRPr="00A62FF4">
        <w:rPr>
          <w:rFonts w:hint="cs"/>
          <w:sz w:val="23"/>
          <w:szCs w:val="23"/>
          <w:rtl/>
        </w:rPr>
        <w:t xml:space="preserve"> </w:t>
      </w:r>
      <w:r w:rsidRPr="00A62FF4">
        <w:rPr>
          <w:rFonts w:eastAsia="MTSY" w:hint="cs"/>
          <w:sz w:val="23"/>
          <w:szCs w:val="23"/>
          <w:rtl/>
        </w:rPr>
        <w:t>نیروی کار و</w:t>
      </w:r>
      <w:r w:rsidRPr="00025957">
        <w:rPr>
          <w:position w:val="-4"/>
        </w:rPr>
        <w:object w:dxaOrig="240" w:dyaOrig="240" w14:anchorId="766B00B1">
          <v:shape id="_x0000_i1767" type="#_x0000_t75" style="width:12.1pt;height:12.1pt" o:ole="">
            <v:imagedata r:id="rId1518" o:title=""/>
          </v:shape>
          <o:OLEObject Type="Embed" ProgID="Equation.DSMT4" ShapeID="_x0000_i1767" DrawAspect="Content" ObjectID="_1791375711" r:id="rId1519"/>
        </w:object>
      </w:r>
      <w:r w:rsidRPr="00A62FF4">
        <w:rPr>
          <w:rFonts w:eastAsia="MTSY" w:hint="cs"/>
          <w:sz w:val="23"/>
          <w:szCs w:val="23"/>
          <w:rtl/>
        </w:rPr>
        <w:t xml:space="preserve"> سطح تکنولوژی است که با نرخ ثابت </w:t>
      </w:r>
      <w:r w:rsidRPr="00A62FF4">
        <w:rPr>
          <w:position w:val="-6"/>
        </w:rPr>
        <w:object w:dxaOrig="540" w:dyaOrig="260" w14:anchorId="020674AD">
          <v:shape id="_x0000_i1768" type="#_x0000_t75" style="width:27.25pt;height:12.7pt" o:ole="">
            <v:imagedata r:id="rId1520" o:title=""/>
          </v:shape>
          <o:OLEObject Type="Embed" ProgID="Equation.DSMT4" ShapeID="_x0000_i1768" DrawAspect="Content" ObjectID="_1791375712" r:id="rId1521"/>
        </w:object>
      </w:r>
      <w:r w:rsidRPr="00A62FF4">
        <w:rPr>
          <w:rFonts w:eastAsia="MTSY" w:hint="cs"/>
          <w:sz w:val="23"/>
          <w:szCs w:val="23"/>
          <w:rtl/>
        </w:rPr>
        <w:t xml:space="preserve"> رشد می‌کند. بنابراین</w:t>
      </w:r>
      <w:r w:rsidRPr="00A62FF4">
        <w:rPr>
          <w:position w:val="-10"/>
        </w:rPr>
        <w:object w:dxaOrig="700" w:dyaOrig="340" w14:anchorId="4CB6B364">
          <v:shape id="_x0000_i1769" type="#_x0000_t75" style="width:35.1pt;height:16.95pt" o:ole="">
            <v:imagedata r:id="rId1522" o:title=""/>
          </v:shape>
          <o:OLEObject Type="Embed" ProgID="Equation.DSMT4" ShapeID="_x0000_i1769" DrawAspect="Content" ObjectID="_1791375713" r:id="rId1523"/>
        </w:object>
      </w:r>
      <w:r w:rsidRPr="00A62FF4">
        <w:rPr>
          <w:rFonts w:eastAsia="MTSY" w:hint="cs"/>
          <w:sz w:val="23"/>
          <w:szCs w:val="23"/>
          <w:rtl/>
        </w:rPr>
        <w:t xml:space="preserve"> است که در آن سطح اولیه‌ی تکنولوژی یعنی </w:t>
      </w:r>
      <w:r w:rsidRPr="00A62FF4">
        <w:rPr>
          <w:position w:val="-10"/>
        </w:rPr>
        <w:object w:dxaOrig="260" w:dyaOrig="320" w14:anchorId="180CD30F">
          <v:shape id="_x0000_i1770" type="#_x0000_t75" style="width:12.7pt;height:15.75pt" o:ole="">
            <v:imagedata r:id="rId1524" o:title=""/>
          </v:shape>
          <o:OLEObject Type="Embed" ProgID="Equation.DSMT4" ShapeID="_x0000_i1770" DrawAspect="Content" ObjectID="_1791375714" r:id="rId1525"/>
        </w:object>
      </w:r>
      <w:r w:rsidRPr="00A62FF4">
        <w:rPr>
          <w:rFonts w:eastAsia="MTSY" w:hint="cs"/>
          <w:sz w:val="23"/>
          <w:szCs w:val="23"/>
          <w:rtl/>
        </w:rPr>
        <w:t xml:space="preserve">، به یک نرمالایز شده است. </w:t>
      </w:r>
      <w:r w:rsidRPr="00A62FF4">
        <w:rPr>
          <w:rFonts w:hint="cs"/>
          <w:sz w:val="23"/>
          <w:szCs w:val="23"/>
          <w:rtl/>
        </w:rPr>
        <w:t>در این تابع نیروی</w:t>
      </w:r>
      <w:r w:rsidRPr="00A62FF4">
        <w:rPr>
          <w:sz w:val="23"/>
          <w:szCs w:val="23"/>
          <w:rtl/>
        </w:rPr>
        <w:t xml:space="preserve"> </w:t>
      </w:r>
      <w:r w:rsidRPr="00A62FF4">
        <w:rPr>
          <w:rFonts w:hint="cs"/>
          <w:sz w:val="23"/>
          <w:szCs w:val="23"/>
          <w:rtl/>
        </w:rPr>
        <w:t>کار</w:t>
      </w:r>
      <w:r w:rsidRPr="00A62FF4">
        <w:rPr>
          <w:sz w:val="23"/>
          <w:szCs w:val="23"/>
          <w:rtl/>
        </w:rPr>
        <w:t xml:space="preserve"> </w:t>
      </w:r>
      <w:r w:rsidRPr="00A62FF4">
        <w:rPr>
          <w:rFonts w:hint="cs"/>
          <w:sz w:val="23"/>
          <w:szCs w:val="23"/>
          <w:rtl/>
        </w:rPr>
        <w:t>مؤثر برابر</w:t>
      </w:r>
      <w:r w:rsidRPr="00A62FF4">
        <w:rPr>
          <w:sz w:val="23"/>
          <w:szCs w:val="23"/>
          <w:rtl/>
        </w:rPr>
        <w:t xml:space="preserve"> </w:t>
      </w:r>
      <w:r w:rsidRPr="00A62FF4">
        <w:rPr>
          <w:rFonts w:hint="cs"/>
          <w:sz w:val="23"/>
          <w:szCs w:val="23"/>
          <w:rtl/>
        </w:rPr>
        <w:t xml:space="preserve">است با </w:t>
      </w:r>
      <w:r w:rsidRPr="00A62FF4">
        <w:rPr>
          <w:position w:val="-10"/>
        </w:rPr>
        <w:object w:dxaOrig="859" w:dyaOrig="360" w14:anchorId="3F0994C1">
          <v:shape id="_x0000_i1771" type="#_x0000_t75" style="width:42.95pt;height:18.15pt" o:ole="">
            <v:imagedata r:id="rId1526" o:title=""/>
          </v:shape>
          <o:OLEObject Type="Embed" ProgID="Equation.DSMT4" ShapeID="_x0000_i1771" DrawAspect="Content" ObjectID="_1791375715" r:id="rId1527"/>
        </w:object>
      </w:r>
      <w:r w:rsidRPr="00A62FF4">
        <w:rPr>
          <w:rFonts w:hint="cs"/>
          <w:sz w:val="23"/>
          <w:szCs w:val="23"/>
          <w:rtl/>
        </w:rPr>
        <w:t>، یعنی پیشرفت تکنولوژیکی باعث افزایش بهره</w:t>
      </w:r>
      <w:r w:rsidRPr="00A62FF4">
        <w:rPr>
          <w:rFonts w:hint="cs"/>
          <w:sz w:val="23"/>
          <w:szCs w:val="23"/>
          <w:rtl/>
        </w:rPr>
        <w:softHyphen/>
        <w:t>وری نیروی کار شده و لذا با افزایش تکنولو‌ژی، همان سطح از تولید را می</w:t>
      </w:r>
      <w:r w:rsidRPr="00A62FF4">
        <w:rPr>
          <w:sz w:val="23"/>
          <w:szCs w:val="23"/>
          <w:rtl/>
        </w:rPr>
        <w:softHyphen/>
      </w:r>
      <w:r w:rsidRPr="00A62FF4">
        <w:rPr>
          <w:rFonts w:hint="cs"/>
          <w:sz w:val="23"/>
          <w:szCs w:val="23"/>
          <w:rtl/>
        </w:rPr>
        <w:t>توان با نیروی کار کمتر بدست آورد. این نوع</w:t>
      </w:r>
      <w:r w:rsidRPr="00A62FF4">
        <w:rPr>
          <w:sz w:val="23"/>
          <w:szCs w:val="23"/>
          <w:rtl/>
        </w:rPr>
        <w:softHyphen/>
      </w:r>
      <w:r w:rsidRPr="00A62FF4">
        <w:rPr>
          <w:rFonts w:hint="cs"/>
          <w:sz w:val="23"/>
          <w:szCs w:val="23"/>
          <w:rtl/>
        </w:rPr>
        <w:t xml:space="preserve"> پیشرفت تکنولوژیکی را پیشرفت تکنولوژی کار-افزا</w:t>
      </w:r>
      <w:r w:rsidRPr="00A62FF4">
        <w:rPr>
          <w:rStyle w:val="FootnoteReference"/>
          <w:rFonts w:eastAsiaTheme="minorHAnsi"/>
          <w:sz w:val="23"/>
          <w:szCs w:val="23"/>
          <w:rtl/>
        </w:rPr>
        <w:footnoteReference w:id="105"/>
      </w:r>
      <w:r w:rsidRPr="00A62FF4">
        <w:rPr>
          <w:rFonts w:hint="cs"/>
          <w:sz w:val="23"/>
          <w:szCs w:val="23"/>
          <w:rtl/>
        </w:rPr>
        <w:t xml:space="preserve"> نامند. در این</w:t>
      </w:r>
      <w:r w:rsidRPr="00A62FF4">
        <w:rPr>
          <w:sz w:val="23"/>
          <w:szCs w:val="23"/>
          <w:rtl/>
        </w:rPr>
        <w:softHyphen/>
      </w:r>
      <w:r w:rsidRPr="00A62FF4">
        <w:rPr>
          <w:rFonts w:hint="cs"/>
          <w:sz w:val="23"/>
          <w:szCs w:val="23"/>
          <w:rtl/>
        </w:rPr>
        <w:t>صورت تابع تولید عبارت خواهد بود از</w:t>
      </w:r>
      <w:r w:rsidRPr="00A62FF4">
        <w:rPr>
          <w:position w:val="-12"/>
        </w:rPr>
        <w:object w:dxaOrig="1420" w:dyaOrig="360" w14:anchorId="6D9C93B1">
          <v:shape id="_x0000_i1772" type="#_x0000_t75" style="width:70.8pt;height:18.15pt" o:ole="">
            <v:imagedata r:id="rId1528" o:title=""/>
          </v:shape>
          <o:OLEObject Type="Embed" ProgID="Equation.DSMT4" ShapeID="_x0000_i1772" DrawAspect="Content" ObjectID="_1791375716" r:id="rId1529"/>
        </w:object>
      </w:r>
      <w:r w:rsidRPr="00A62FF4">
        <w:rPr>
          <w:rFonts w:hint="cs"/>
          <w:sz w:val="23"/>
          <w:szCs w:val="23"/>
          <w:rtl/>
        </w:rPr>
        <w:t xml:space="preserve"> که در آن با افزایش </w:t>
      </w:r>
      <w:r w:rsidRPr="00A62FF4">
        <w:rPr>
          <w:i/>
          <w:iCs/>
          <w:sz w:val="23"/>
          <w:szCs w:val="23"/>
        </w:rPr>
        <w:t>T</w:t>
      </w:r>
      <w:r w:rsidRPr="00A62FF4">
        <w:rPr>
          <w:rFonts w:hint="cs"/>
          <w:sz w:val="23"/>
          <w:szCs w:val="23"/>
          <w:rtl/>
        </w:rPr>
        <w:t>، شیب تابع مرزی تولید</w:t>
      </w:r>
      <w:r w:rsidRPr="00A62FF4">
        <w:rPr>
          <w:rStyle w:val="FootnoteReference"/>
          <w:rFonts w:eastAsiaTheme="minorHAnsi"/>
          <w:sz w:val="23"/>
          <w:szCs w:val="23"/>
          <w:rtl/>
        </w:rPr>
        <w:footnoteReference w:id="106"/>
      </w:r>
      <w:r w:rsidRPr="00A62FF4">
        <w:rPr>
          <w:rFonts w:hint="cs"/>
          <w:sz w:val="23"/>
          <w:szCs w:val="23"/>
          <w:rtl/>
        </w:rPr>
        <w:t xml:space="preserve"> تغییر می</w:t>
      </w:r>
      <w:r w:rsidRPr="00A62FF4">
        <w:rPr>
          <w:sz w:val="23"/>
          <w:szCs w:val="23"/>
          <w:rtl/>
        </w:rPr>
        <w:softHyphen/>
      </w:r>
      <w:r w:rsidRPr="00A62FF4">
        <w:rPr>
          <w:rFonts w:hint="cs"/>
          <w:sz w:val="23"/>
          <w:szCs w:val="23"/>
          <w:rtl/>
        </w:rPr>
        <w:t>کند و نسبت موجودی سرمایه به نیروی کار افزایش می</w:t>
      </w:r>
      <w:r w:rsidRPr="00A62FF4">
        <w:rPr>
          <w:sz w:val="23"/>
          <w:szCs w:val="23"/>
          <w:rtl/>
        </w:rPr>
        <w:softHyphen/>
      </w:r>
      <w:r w:rsidRPr="00A62FF4">
        <w:rPr>
          <w:rFonts w:hint="cs"/>
          <w:sz w:val="23"/>
          <w:szCs w:val="23"/>
          <w:rtl/>
        </w:rPr>
        <w:t xml:space="preserve">یابد. </w:t>
      </w:r>
      <w:r w:rsidRPr="00A62FF4">
        <w:rPr>
          <w:rFonts w:eastAsia="MTSY" w:hint="cs"/>
          <w:sz w:val="23"/>
          <w:szCs w:val="23"/>
          <w:rtl/>
        </w:rPr>
        <w:t>فرض می‌شود تابع</w:t>
      </w:r>
      <w:r w:rsidRPr="00A62FF4">
        <w:rPr>
          <w:rFonts w:eastAsia="MTSY"/>
          <w:sz w:val="23"/>
          <w:szCs w:val="23"/>
          <w:rtl/>
        </w:rPr>
        <w:t xml:space="preserve"> </w:t>
      </w:r>
      <w:r w:rsidRPr="00A62FF4">
        <w:rPr>
          <w:rFonts w:eastAsia="MTSY" w:hint="cs"/>
          <w:sz w:val="23"/>
          <w:szCs w:val="23"/>
          <w:rtl/>
        </w:rPr>
        <w:t>تولید فوق مشخصات تابع</w:t>
      </w:r>
      <w:r w:rsidRPr="00A62FF4">
        <w:rPr>
          <w:rFonts w:eastAsia="MTSY"/>
          <w:sz w:val="23"/>
          <w:szCs w:val="23"/>
          <w:rtl/>
        </w:rPr>
        <w:t xml:space="preserve"> </w:t>
      </w:r>
      <w:r w:rsidRPr="00A62FF4">
        <w:rPr>
          <w:rFonts w:eastAsia="MTSY" w:hint="cs"/>
          <w:sz w:val="23"/>
          <w:szCs w:val="23"/>
          <w:rtl/>
        </w:rPr>
        <w:t>تولید نئو‌کلاسیکی</w:t>
      </w:r>
      <w:r w:rsidRPr="00A62FF4">
        <w:rPr>
          <w:rFonts w:eastAsia="MTSY"/>
          <w:sz w:val="23"/>
          <w:szCs w:val="23"/>
          <w:rtl/>
        </w:rPr>
        <w:t xml:space="preserve"> </w:t>
      </w:r>
      <w:r w:rsidRPr="00A62FF4">
        <w:rPr>
          <w:rFonts w:eastAsia="MTSY" w:hint="cs"/>
          <w:sz w:val="23"/>
          <w:szCs w:val="23"/>
          <w:rtl/>
        </w:rPr>
        <w:t>را</w:t>
      </w:r>
      <w:r w:rsidRPr="00A62FF4">
        <w:rPr>
          <w:rFonts w:eastAsia="MTSY"/>
          <w:sz w:val="23"/>
          <w:szCs w:val="23"/>
          <w:rtl/>
        </w:rPr>
        <w:t xml:space="preserve"> </w:t>
      </w:r>
      <w:r w:rsidRPr="00A62FF4">
        <w:rPr>
          <w:rFonts w:eastAsia="MTSY" w:hint="cs"/>
          <w:sz w:val="23"/>
          <w:szCs w:val="23"/>
          <w:rtl/>
        </w:rPr>
        <w:t>داراست. یعنی بازده</w:t>
      </w:r>
      <w:r w:rsidRPr="00A62FF4">
        <w:rPr>
          <w:rFonts w:eastAsia="MTSY"/>
          <w:sz w:val="23"/>
          <w:szCs w:val="23"/>
          <w:rtl/>
        </w:rPr>
        <w:t xml:space="preserve"> </w:t>
      </w:r>
      <w:r w:rsidRPr="00A62FF4">
        <w:rPr>
          <w:rFonts w:eastAsia="MTSY" w:hint="cs"/>
          <w:sz w:val="23"/>
          <w:szCs w:val="23"/>
          <w:rtl/>
        </w:rPr>
        <w:t>ثابت</w:t>
      </w:r>
      <w:r w:rsidRPr="00A62FF4">
        <w:rPr>
          <w:rFonts w:eastAsia="MTSY"/>
          <w:sz w:val="23"/>
          <w:szCs w:val="23"/>
          <w:rtl/>
        </w:rPr>
        <w:t xml:space="preserve"> </w:t>
      </w:r>
      <w:r w:rsidRPr="00A62FF4">
        <w:rPr>
          <w:rFonts w:eastAsia="MTSY" w:hint="cs"/>
          <w:sz w:val="23"/>
          <w:szCs w:val="23"/>
          <w:rtl/>
        </w:rPr>
        <w:t>به</w:t>
      </w:r>
      <w:r w:rsidRPr="00A62FF4">
        <w:rPr>
          <w:rFonts w:eastAsia="MTSY"/>
          <w:sz w:val="23"/>
          <w:szCs w:val="23"/>
          <w:rtl/>
        </w:rPr>
        <w:t xml:space="preserve"> </w:t>
      </w:r>
      <w:r w:rsidRPr="00A62FF4">
        <w:rPr>
          <w:rFonts w:eastAsia="MTSY" w:hint="cs"/>
          <w:sz w:val="23"/>
          <w:szCs w:val="23"/>
          <w:rtl/>
        </w:rPr>
        <w:t>مقیاس نسبت به</w:t>
      </w:r>
      <w:r w:rsidRPr="00A62FF4">
        <w:rPr>
          <w:rFonts w:eastAsia="MTSY"/>
          <w:sz w:val="23"/>
          <w:szCs w:val="23"/>
          <w:rtl/>
        </w:rPr>
        <w:t xml:space="preserve"> </w:t>
      </w:r>
      <w:r w:rsidRPr="00A62FF4">
        <w:rPr>
          <w:rFonts w:eastAsia="MTSY"/>
          <w:i/>
          <w:iCs/>
          <w:sz w:val="23"/>
          <w:szCs w:val="23"/>
        </w:rPr>
        <w:t>K</w:t>
      </w:r>
      <w:r w:rsidRPr="00A62FF4">
        <w:rPr>
          <w:rFonts w:eastAsia="MTSY"/>
          <w:i/>
          <w:iCs/>
          <w:sz w:val="23"/>
          <w:szCs w:val="23"/>
          <w:rtl/>
        </w:rPr>
        <w:t xml:space="preserve"> </w:t>
      </w:r>
      <w:r w:rsidRPr="00A62FF4">
        <w:rPr>
          <w:rFonts w:eastAsia="MTSY" w:hint="cs"/>
          <w:sz w:val="23"/>
          <w:szCs w:val="23"/>
          <w:rtl/>
        </w:rPr>
        <w:t>و</w:t>
      </w:r>
      <w:r w:rsidRPr="00A62FF4">
        <w:rPr>
          <w:rFonts w:eastAsia="MTSY"/>
          <w:sz w:val="23"/>
          <w:szCs w:val="23"/>
          <w:rtl/>
        </w:rPr>
        <w:t xml:space="preserve"> </w:t>
      </w:r>
      <w:r w:rsidRPr="00A62FF4">
        <w:rPr>
          <w:rFonts w:eastAsia="MTSY"/>
          <w:i/>
          <w:iCs/>
          <w:sz w:val="23"/>
          <w:szCs w:val="23"/>
        </w:rPr>
        <w:t>L</w:t>
      </w:r>
      <w:r w:rsidRPr="00A62FF4">
        <w:rPr>
          <w:rFonts w:eastAsia="MTSY"/>
          <w:i/>
          <w:iCs/>
          <w:sz w:val="23"/>
          <w:szCs w:val="23"/>
          <w:rtl/>
        </w:rPr>
        <w:t xml:space="preserve"> </w:t>
      </w:r>
      <w:r w:rsidRPr="00A62FF4">
        <w:rPr>
          <w:rFonts w:eastAsia="MTSY" w:hint="cs"/>
          <w:sz w:val="23"/>
          <w:szCs w:val="23"/>
          <w:rtl/>
        </w:rPr>
        <w:t>وجود دارد، بازده‌ی نهایی</w:t>
      </w:r>
      <w:r w:rsidRPr="00A62FF4">
        <w:rPr>
          <w:rFonts w:eastAsia="MTSY"/>
          <w:sz w:val="23"/>
          <w:szCs w:val="23"/>
          <w:rtl/>
        </w:rPr>
        <w:t xml:space="preserve"> </w:t>
      </w:r>
      <w:r w:rsidRPr="00A62FF4">
        <w:rPr>
          <w:rFonts w:eastAsia="MTSY" w:hint="cs"/>
          <w:sz w:val="23"/>
          <w:szCs w:val="23"/>
          <w:rtl/>
        </w:rPr>
        <w:t xml:space="preserve">نهاده‌های تولید مثبت و با افزایش نهاده‌ها کاهش می‌یابند. ضمناً شروط اینادا و ضرورت نیز وجود دارد. </w:t>
      </w:r>
    </w:p>
    <w:p w14:paraId="0EB0B649" w14:textId="77777777" w:rsidR="00411620" w:rsidRPr="00A62FF4" w:rsidRDefault="00411620" w:rsidP="00411620">
      <w:pPr>
        <w:spacing w:line="216" w:lineRule="auto"/>
        <w:rPr>
          <w:rFonts w:eastAsia="Calibri"/>
          <w:sz w:val="23"/>
          <w:szCs w:val="23"/>
          <w:rtl/>
        </w:rPr>
      </w:pPr>
      <w:r w:rsidRPr="00A62FF4">
        <w:rPr>
          <w:rFonts w:eastAsia="Calibri" w:hint="cs"/>
          <w:sz w:val="23"/>
          <w:szCs w:val="23"/>
          <w:rtl/>
        </w:rPr>
        <w:t xml:space="preserve">مقادیر تولید و موجودی سرمایه‌ی فیزیکی به ازای هر واحد نیروی کار مؤثر برابر خواهد بود با </w:t>
      </w:r>
    </w:p>
    <w:p w14:paraId="2C4DC9CA" w14:textId="77777777" w:rsidR="00411620" w:rsidRPr="00A62FF4" w:rsidRDefault="00411620" w:rsidP="00411620">
      <w:pPr>
        <w:bidi w:val="0"/>
        <w:spacing w:line="216" w:lineRule="auto"/>
        <w:rPr>
          <w:rFonts w:eastAsiaTheme="minorEastAsia"/>
          <w:sz w:val="23"/>
          <w:szCs w:val="23"/>
          <w:rtl/>
        </w:rPr>
      </w:pPr>
      <w:r w:rsidRPr="00A62FF4">
        <w:rPr>
          <w:position w:val="-10"/>
        </w:rPr>
        <w:object w:dxaOrig="2180" w:dyaOrig="360" w14:anchorId="2ADAD680">
          <v:shape id="_x0000_i1773" type="#_x0000_t75" style="width:108.9pt;height:18.15pt" o:ole="">
            <v:imagedata r:id="rId1530" o:title=""/>
          </v:shape>
          <o:OLEObject Type="Embed" ProgID="Equation.DSMT4" ShapeID="_x0000_i1773" DrawAspect="Content" ObjectID="_1791375717" r:id="rId1531"/>
        </w:object>
      </w:r>
    </w:p>
    <w:p w14:paraId="3F4317DC" w14:textId="77777777" w:rsidR="00411620" w:rsidRPr="00A62FF4" w:rsidRDefault="00411620" w:rsidP="00411620">
      <w:pPr>
        <w:tabs>
          <w:tab w:val="left" w:pos="5713"/>
        </w:tabs>
        <w:spacing w:line="216" w:lineRule="auto"/>
        <w:rPr>
          <w:rFonts w:eastAsia="MTSY"/>
          <w:sz w:val="23"/>
          <w:szCs w:val="23"/>
          <w:rtl/>
        </w:rPr>
      </w:pPr>
      <w:r w:rsidRPr="00A62FF4">
        <w:rPr>
          <w:rFonts w:eastAsia="MTSY" w:hint="cs"/>
          <w:sz w:val="23"/>
          <w:szCs w:val="23"/>
          <w:rtl/>
        </w:rPr>
        <w:t>و یا</w:t>
      </w:r>
    </w:p>
    <w:p w14:paraId="0BF725B9" w14:textId="77777777" w:rsidR="00411620" w:rsidRPr="00A62FF4" w:rsidRDefault="00411620" w:rsidP="00411620">
      <w:pPr>
        <w:tabs>
          <w:tab w:val="left" w:pos="5713"/>
        </w:tabs>
        <w:bidi w:val="0"/>
        <w:spacing w:line="216" w:lineRule="auto"/>
        <w:rPr>
          <w:rFonts w:eastAsia="MTSY"/>
          <w:sz w:val="23"/>
          <w:szCs w:val="23"/>
          <w:rtl/>
        </w:rPr>
      </w:pPr>
      <w:r w:rsidRPr="00A62FF4">
        <w:rPr>
          <w:position w:val="-30"/>
        </w:rPr>
        <w:object w:dxaOrig="1960" w:dyaOrig="720" w14:anchorId="2863C73D">
          <v:shape id="_x0000_i1774" type="#_x0000_t75" style="width:98pt;height:36.3pt" o:ole="">
            <v:imagedata r:id="rId1532" o:title=""/>
          </v:shape>
          <o:OLEObject Type="Embed" ProgID="Equation.DSMT4" ShapeID="_x0000_i1774" DrawAspect="Content" ObjectID="_1791375718" r:id="rId1533"/>
        </w:object>
      </w:r>
      <w:r w:rsidRPr="00A62FF4">
        <w:rPr>
          <w:rFonts w:eastAsia="MTSY" w:hint="cs"/>
          <w:sz w:val="23"/>
          <w:szCs w:val="23"/>
        </w:rPr>
        <w:t xml:space="preserve"> </w:t>
      </w:r>
    </w:p>
    <w:p w14:paraId="236ED2AC" w14:textId="77777777" w:rsidR="00411620" w:rsidRPr="00A62FF4" w:rsidRDefault="00411620" w:rsidP="00411620">
      <w:pPr>
        <w:spacing w:line="216" w:lineRule="auto"/>
        <w:rPr>
          <w:rFonts w:eastAsiaTheme="minorEastAsia"/>
          <w:sz w:val="23"/>
          <w:szCs w:val="23"/>
          <w:rtl/>
        </w:rPr>
      </w:pPr>
      <w:r w:rsidRPr="00A62FF4">
        <w:rPr>
          <w:rFonts w:eastAsiaTheme="minorEastAsia" w:hint="cs"/>
          <w:sz w:val="23"/>
          <w:szCs w:val="23"/>
          <w:rtl/>
        </w:rPr>
        <w:lastRenderedPageBreak/>
        <w:t>بازده نهایی عوامل تولید نیز عبارت است از</w:t>
      </w:r>
    </w:p>
    <w:p w14:paraId="6D94C741" w14:textId="77777777" w:rsidR="00411620" w:rsidRPr="00A62FF4" w:rsidRDefault="00411620" w:rsidP="00411620">
      <w:pPr>
        <w:tabs>
          <w:tab w:val="left" w:pos="5713"/>
        </w:tabs>
        <w:bidi w:val="0"/>
        <w:spacing w:line="216" w:lineRule="auto"/>
        <w:rPr>
          <w:rFonts w:eastAsia="MTSY"/>
          <w:sz w:val="23"/>
          <w:szCs w:val="23"/>
          <w:rtl/>
        </w:rPr>
      </w:pPr>
      <w:r w:rsidRPr="00A62FF4">
        <w:rPr>
          <w:position w:val="-22"/>
        </w:rPr>
        <w:object w:dxaOrig="3720" w:dyaOrig="560" w14:anchorId="16DF47BA">
          <v:shape id="_x0000_i1775" type="#_x0000_t75" style="width:185.75pt;height:27.85pt" o:ole="">
            <v:imagedata r:id="rId1534" o:title=""/>
          </v:shape>
          <o:OLEObject Type="Embed" ProgID="Equation.DSMT4" ShapeID="_x0000_i1775" DrawAspect="Content" ObjectID="_1791375719" r:id="rId1535"/>
        </w:object>
      </w:r>
    </w:p>
    <w:p w14:paraId="7FAD0058" w14:textId="77777777" w:rsidR="00411620" w:rsidRPr="00A62FF4" w:rsidRDefault="00411620" w:rsidP="00411620">
      <w:pPr>
        <w:tabs>
          <w:tab w:val="left" w:pos="5713"/>
        </w:tabs>
        <w:spacing w:line="216" w:lineRule="auto"/>
        <w:rPr>
          <w:rFonts w:eastAsia="MTSY"/>
          <w:sz w:val="23"/>
          <w:szCs w:val="23"/>
          <w:rtl/>
        </w:rPr>
      </w:pPr>
      <w:r w:rsidRPr="00A62FF4">
        <w:rPr>
          <w:rFonts w:eastAsia="MTSY" w:hint="cs"/>
          <w:sz w:val="23"/>
          <w:szCs w:val="23"/>
          <w:rtl/>
        </w:rPr>
        <w:t>شرایط اینادا نیز برقرار است، یعنی</w:t>
      </w:r>
    </w:p>
    <w:p w14:paraId="2AF33A5D" w14:textId="77777777" w:rsidR="00411620" w:rsidRPr="00A62FF4" w:rsidRDefault="00411620" w:rsidP="00411620">
      <w:pPr>
        <w:tabs>
          <w:tab w:val="left" w:pos="5713"/>
        </w:tabs>
        <w:bidi w:val="0"/>
        <w:spacing w:line="216" w:lineRule="auto"/>
        <w:rPr>
          <w:rFonts w:eastAsia="MTSY"/>
          <w:sz w:val="23"/>
          <w:szCs w:val="23"/>
          <w:rtl/>
        </w:rPr>
      </w:pPr>
      <w:r w:rsidRPr="00A62FF4">
        <w:rPr>
          <w:position w:val="-20"/>
        </w:rPr>
        <w:object w:dxaOrig="3060" w:dyaOrig="480" w14:anchorId="0ECF78E0">
          <v:shape id="_x0000_i1776" type="#_x0000_t75" style="width:153.1pt;height:24.2pt" o:ole="">
            <v:imagedata r:id="rId1536" o:title=""/>
          </v:shape>
          <o:OLEObject Type="Embed" ProgID="Equation.DSMT4" ShapeID="_x0000_i1776" DrawAspect="Content" ObjectID="_1791375720" r:id="rId1537"/>
        </w:object>
      </w:r>
    </w:p>
    <w:p w14:paraId="5012C824" w14:textId="77777777" w:rsidR="00411620" w:rsidRPr="00A62FF4" w:rsidRDefault="00411620" w:rsidP="00411620">
      <w:pPr>
        <w:spacing w:line="216" w:lineRule="auto"/>
        <w:rPr>
          <w:sz w:val="23"/>
          <w:szCs w:val="23"/>
          <w:rtl/>
        </w:rPr>
      </w:pPr>
      <w:r w:rsidRPr="00A62FF4">
        <w:rPr>
          <w:rFonts w:hint="cs"/>
          <w:sz w:val="23"/>
          <w:szCs w:val="23"/>
          <w:rtl/>
        </w:rPr>
        <w:t>و بر اساس شرط ضرورت</w:t>
      </w:r>
      <w:r w:rsidRPr="00A62FF4">
        <w:rPr>
          <w:position w:val="-12"/>
        </w:rPr>
        <w:object w:dxaOrig="820" w:dyaOrig="360" w14:anchorId="485CD5BB">
          <v:shape id="_x0000_i1777" type="#_x0000_t75" style="width:41.15pt;height:18.15pt" o:ole="">
            <v:imagedata r:id="rId1538" o:title=""/>
          </v:shape>
          <o:OLEObject Type="Embed" ProgID="Equation.DSMT4" ShapeID="_x0000_i1777" DrawAspect="Content" ObjectID="_1791375721" r:id="rId1539"/>
        </w:object>
      </w:r>
      <w:r w:rsidRPr="00A62FF4">
        <w:rPr>
          <w:rFonts w:hint="cs"/>
          <w:sz w:val="23"/>
          <w:szCs w:val="23"/>
          <w:rtl/>
        </w:rPr>
        <w:t xml:space="preserve"> است. </w:t>
      </w:r>
    </w:p>
    <w:p w14:paraId="7B94FC6B" w14:textId="77777777" w:rsidR="00411620" w:rsidRPr="00A62FF4" w:rsidRDefault="00411620" w:rsidP="00411620">
      <w:pPr>
        <w:spacing w:line="216" w:lineRule="auto"/>
        <w:rPr>
          <w:rFonts w:eastAsiaTheme="minorEastAsia"/>
          <w:sz w:val="23"/>
          <w:szCs w:val="23"/>
          <w:rtl/>
        </w:rPr>
      </w:pPr>
      <w:r w:rsidRPr="00A62FF4">
        <w:rPr>
          <w:rFonts w:hint="cs"/>
          <w:sz w:val="23"/>
          <w:szCs w:val="23"/>
          <w:rtl/>
        </w:rPr>
        <w:t>همان</w:t>
      </w:r>
      <w:r w:rsidRPr="00A62FF4">
        <w:rPr>
          <w:sz w:val="23"/>
          <w:szCs w:val="23"/>
          <w:rtl/>
        </w:rPr>
        <w:softHyphen/>
      </w:r>
      <w:r w:rsidRPr="00A62FF4">
        <w:rPr>
          <w:rFonts w:hint="cs"/>
          <w:sz w:val="23"/>
          <w:szCs w:val="23"/>
          <w:rtl/>
        </w:rPr>
        <w:t xml:space="preserve">گونه که قبلاً توضیح داده شد، تابع تولید کاب-داگلاس ویژگی توابع تولید نئوکلاسیک را داراست. بنابراین با توجه به </w:t>
      </w:r>
      <w:r w:rsidRPr="00A62FF4">
        <w:rPr>
          <w:rFonts w:eastAsiaTheme="minorEastAsia" w:hint="cs"/>
          <w:sz w:val="23"/>
          <w:szCs w:val="23"/>
          <w:rtl/>
        </w:rPr>
        <w:t xml:space="preserve">پیشرفت تکنولوژی و رشد جمعیت تابع تولید کاب-داگلاس برابر خواهد بود با: </w:t>
      </w:r>
    </w:p>
    <w:p w14:paraId="1DA491EE" w14:textId="77777777" w:rsidR="00411620" w:rsidRPr="00A62FF4" w:rsidRDefault="00411620" w:rsidP="00411620">
      <w:pPr>
        <w:bidi w:val="0"/>
        <w:spacing w:line="216" w:lineRule="auto"/>
        <w:rPr>
          <w:rFonts w:eastAsiaTheme="minorEastAsia"/>
          <w:sz w:val="23"/>
          <w:szCs w:val="23"/>
          <w:rtl/>
        </w:rPr>
      </w:pPr>
      <w:r w:rsidRPr="00A62FF4">
        <w:rPr>
          <w:position w:val="-20"/>
        </w:rPr>
        <w:object w:dxaOrig="4980" w:dyaOrig="540" w14:anchorId="2C805528">
          <v:shape id="_x0000_i1778" type="#_x0000_t75" style="width:249.3pt;height:27.25pt" o:ole="">
            <v:imagedata r:id="rId1540" o:title=""/>
          </v:shape>
          <o:OLEObject Type="Embed" ProgID="Equation.DSMT4" ShapeID="_x0000_i1778" DrawAspect="Content" ObjectID="_1791375722" r:id="rId1541"/>
        </w:object>
      </w:r>
    </w:p>
    <w:p w14:paraId="4D7F1115" w14:textId="77777777" w:rsidR="00411620" w:rsidRPr="00A62FF4" w:rsidRDefault="00411620" w:rsidP="00411620">
      <w:pPr>
        <w:spacing w:line="216" w:lineRule="auto"/>
        <w:rPr>
          <w:color w:val="000000" w:themeColor="text1"/>
          <w:sz w:val="23"/>
          <w:szCs w:val="23"/>
          <w:rtl/>
        </w:rPr>
      </w:pPr>
      <w:r w:rsidRPr="00A62FF4">
        <w:rPr>
          <w:rFonts w:hint="cs"/>
          <w:sz w:val="23"/>
          <w:szCs w:val="23"/>
          <w:rtl/>
        </w:rPr>
        <w:t>که در آن</w:t>
      </w:r>
      <w:r w:rsidRPr="00A62FF4">
        <w:rPr>
          <w:position w:val="-12"/>
        </w:rPr>
        <w:object w:dxaOrig="1780" w:dyaOrig="400" w14:anchorId="524F9A6D">
          <v:shape id="_x0000_i1779" type="#_x0000_t75" style="width:88.95pt;height:19.95pt" o:ole="">
            <v:imagedata r:id="rId1542" o:title=""/>
          </v:shape>
          <o:OLEObject Type="Embed" ProgID="Equation.DSMT4" ShapeID="_x0000_i1779" DrawAspect="Content" ObjectID="_1791375723" r:id="rId1543"/>
        </w:object>
      </w:r>
      <w:r w:rsidRPr="00A62FF4">
        <w:rPr>
          <w:rFonts w:eastAsiaTheme="minorEastAsia" w:hint="cs"/>
          <w:sz w:val="23"/>
          <w:szCs w:val="23"/>
          <w:rtl/>
        </w:rPr>
        <w:t xml:space="preserve"> </w:t>
      </w:r>
      <w:r w:rsidRPr="00A62FF4">
        <w:rPr>
          <w:rFonts w:hint="cs"/>
          <w:color w:val="000000" w:themeColor="text1"/>
          <w:sz w:val="23"/>
          <w:szCs w:val="23"/>
          <w:rtl/>
        </w:rPr>
        <w:t xml:space="preserve">همچنین فرض می‌شود </w:t>
      </w:r>
      <w:r w:rsidRPr="00A62FF4">
        <w:rPr>
          <w:position w:val="-12"/>
        </w:rPr>
        <w:object w:dxaOrig="1380" w:dyaOrig="400" w14:anchorId="52E41898">
          <v:shape id="_x0000_i1780" type="#_x0000_t75" style="width:68.95pt;height:19.95pt" o:ole="">
            <v:imagedata r:id="rId1544" o:title=""/>
          </v:shape>
          <o:OLEObject Type="Embed" ProgID="Equation.DSMT4" ShapeID="_x0000_i1780" DrawAspect="Content" ObjectID="_1791375724" r:id="rId1545"/>
        </w:object>
      </w:r>
      <w:r w:rsidRPr="00A62FF4">
        <w:rPr>
          <w:rFonts w:hint="cs"/>
          <w:color w:val="000000" w:themeColor="text1"/>
          <w:sz w:val="23"/>
          <w:szCs w:val="23"/>
          <w:rtl/>
        </w:rPr>
        <w:t>. لذا داریم:</w:t>
      </w:r>
    </w:p>
    <w:p w14:paraId="1EBF2042" w14:textId="77777777" w:rsidR="00411620" w:rsidRPr="00A62FF4" w:rsidRDefault="00411620" w:rsidP="00411620">
      <w:pPr>
        <w:bidi w:val="0"/>
        <w:spacing w:line="216" w:lineRule="auto"/>
        <w:rPr>
          <w:rFonts w:eastAsiaTheme="minorEastAsia"/>
          <w:sz w:val="23"/>
          <w:szCs w:val="23"/>
        </w:rPr>
      </w:pPr>
      <w:r w:rsidRPr="00A62FF4">
        <w:rPr>
          <w:rFonts w:hint="cs"/>
          <w:color w:val="000000" w:themeColor="text1"/>
          <w:sz w:val="23"/>
          <w:szCs w:val="23"/>
          <w:rtl/>
        </w:rPr>
        <w:t xml:space="preserve"> </w:t>
      </w:r>
      <w:r w:rsidRPr="00A62FF4">
        <w:rPr>
          <w:position w:val="-20"/>
        </w:rPr>
        <w:object w:dxaOrig="5920" w:dyaOrig="540" w14:anchorId="1390669F">
          <v:shape id="_x0000_i1781" type="#_x0000_t75" style="width:295.85pt;height:27.25pt" o:ole="">
            <v:imagedata r:id="rId1546" o:title=""/>
          </v:shape>
          <o:OLEObject Type="Embed" ProgID="Equation.DSMT4" ShapeID="_x0000_i1781" DrawAspect="Content" ObjectID="_1791375725" r:id="rId1547"/>
        </w:object>
      </w:r>
    </w:p>
    <w:p w14:paraId="25453E59" w14:textId="77777777" w:rsidR="00411620" w:rsidRPr="00A62FF4" w:rsidRDefault="00411620" w:rsidP="00411620">
      <w:pPr>
        <w:spacing w:line="216" w:lineRule="auto"/>
        <w:rPr>
          <w:rFonts w:eastAsiaTheme="minorEastAsia"/>
          <w:sz w:val="23"/>
          <w:szCs w:val="23"/>
          <w:rtl/>
        </w:rPr>
      </w:pPr>
      <w:r w:rsidRPr="00025957">
        <w:rPr>
          <w:position w:val="-4"/>
        </w:rPr>
        <w:object w:dxaOrig="180" w:dyaOrig="260" w14:anchorId="25BDAEB7">
          <v:shape id="_x0000_i1782" type="#_x0000_t75" style="width:9.1pt;height:12.7pt" o:ole="">
            <v:imagedata r:id="rId1548" o:title=""/>
          </v:shape>
          <o:OLEObject Type="Embed" ProgID="Equation.DSMT4" ShapeID="_x0000_i1782" DrawAspect="Content" ObjectID="_1791375726" r:id="rId1549"/>
        </w:object>
      </w:r>
      <w:r w:rsidRPr="00A62FF4">
        <w:rPr>
          <w:sz w:val="23"/>
          <w:szCs w:val="23"/>
        </w:rPr>
        <w:t xml:space="preserve"> </w:t>
      </w:r>
      <w:r w:rsidRPr="00A62FF4">
        <w:rPr>
          <w:rFonts w:eastAsiaTheme="minorEastAsia" w:hint="cs"/>
          <w:sz w:val="23"/>
          <w:szCs w:val="23"/>
          <w:rtl/>
        </w:rPr>
        <w:t xml:space="preserve">که در آن </w:t>
      </w:r>
    </w:p>
    <w:p w14:paraId="6C75A2E9" w14:textId="77777777" w:rsidR="00411620" w:rsidRPr="00A62FF4" w:rsidRDefault="00411620" w:rsidP="00411620">
      <w:pPr>
        <w:bidi w:val="0"/>
        <w:spacing w:line="216" w:lineRule="auto"/>
        <w:rPr>
          <w:sz w:val="23"/>
          <w:szCs w:val="23"/>
        </w:rPr>
      </w:pPr>
      <w:r w:rsidRPr="00A62FF4">
        <w:rPr>
          <w:position w:val="-12"/>
        </w:rPr>
        <w:object w:dxaOrig="2320" w:dyaOrig="400" w14:anchorId="78E46ADC">
          <v:shape id="_x0000_i1783" type="#_x0000_t75" style="width:116.15pt;height:19.95pt" o:ole="">
            <v:imagedata r:id="rId1550" o:title=""/>
          </v:shape>
          <o:OLEObject Type="Embed" ProgID="Equation.DSMT4" ShapeID="_x0000_i1783" DrawAspect="Content" ObjectID="_1791375727" r:id="rId1551"/>
        </w:object>
      </w:r>
      <w:r w:rsidRPr="00A62FF4">
        <w:rPr>
          <w:sz w:val="23"/>
          <w:szCs w:val="23"/>
        </w:rPr>
        <w:t xml:space="preserve"> </w:t>
      </w:r>
    </w:p>
    <w:p w14:paraId="77F7C8E4" w14:textId="77777777" w:rsidR="00411620" w:rsidRPr="00A62FF4" w:rsidRDefault="00411620" w:rsidP="00411620">
      <w:pPr>
        <w:spacing w:line="216" w:lineRule="auto"/>
        <w:rPr>
          <w:sz w:val="23"/>
          <w:szCs w:val="23"/>
          <w:rtl/>
        </w:rPr>
      </w:pPr>
      <w:r w:rsidRPr="00A62FF4">
        <w:rPr>
          <w:rFonts w:hint="cs"/>
          <w:sz w:val="23"/>
          <w:szCs w:val="23"/>
          <w:rtl/>
        </w:rPr>
        <w:t>و یا</w:t>
      </w:r>
    </w:p>
    <w:p w14:paraId="77E2C398" w14:textId="77777777" w:rsidR="00411620" w:rsidRPr="00A62FF4" w:rsidRDefault="00411620" w:rsidP="00411620">
      <w:pPr>
        <w:bidi w:val="0"/>
        <w:spacing w:line="216" w:lineRule="auto"/>
        <w:rPr>
          <w:sz w:val="23"/>
          <w:szCs w:val="23"/>
        </w:rPr>
      </w:pPr>
      <w:r w:rsidRPr="00A62FF4">
        <w:rPr>
          <w:position w:val="-22"/>
        </w:rPr>
        <w:object w:dxaOrig="5480" w:dyaOrig="560" w14:anchorId="6DE46597">
          <v:shape id="_x0000_i1784" type="#_x0000_t75" style="width:274.1pt;height:27.85pt" o:ole="">
            <v:imagedata r:id="rId1552" o:title=""/>
          </v:shape>
          <o:OLEObject Type="Embed" ProgID="Equation.DSMT4" ShapeID="_x0000_i1784" DrawAspect="Content" ObjectID="_1791375728" r:id="rId1553"/>
        </w:object>
      </w:r>
      <w:r w:rsidRPr="00A62FF4">
        <w:rPr>
          <w:sz w:val="23"/>
          <w:szCs w:val="23"/>
        </w:rPr>
        <w:t xml:space="preserve"> </w:t>
      </w:r>
    </w:p>
    <w:p w14:paraId="5176864B" w14:textId="77777777" w:rsidR="00411620" w:rsidRPr="00A62FF4" w:rsidRDefault="00411620" w:rsidP="00411620">
      <w:pPr>
        <w:spacing w:line="216" w:lineRule="auto"/>
        <w:rPr>
          <w:sz w:val="23"/>
          <w:szCs w:val="23"/>
          <w:rtl/>
        </w:rPr>
      </w:pPr>
      <w:r w:rsidRPr="00A62FF4">
        <w:rPr>
          <w:rFonts w:hint="cs"/>
          <w:sz w:val="23"/>
          <w:szCs w:val="23"/>
          <w:rtl/>
        </w:rPr>
        <w:t>چنانچه سطح تولید و موجودی سرمایه را بر</w:t>
      </w:r>
      <w:r w:rsidRPr="00A62FF4">
        <w:rPr>
          <w:position w:val="-10"/>
        </w:rPr>
        <w:object w:dxaOrig="260" w:dyaOrig="360" w14:anchorId="6E1A52CE">
          <v:shape id="_x0000_i1785" type="#_x0000_t75" style="width:12.7pt;height:18.15pt" o:ole="">
            <v:imagedata r:id="rId1554" o:title=""/>
          </v:shape>
          <o:OLEObject Type="Embed" ProgID="Equation.DSMT4" ShapeID="_x0000_i1785" DrawAspect="Content" ObjectID="_1791375729" r:id="rId1555"/>
        </w:object>
      </w:r>
      <w:r w:rsidRPr="00A62FF4">
        <w:rPr>
          <w:rFonts w:eastAsiaTheme="minorEastAsia" w:hint="cs"/>
          <w:sz w:val="23"/>
          <w:szCs w:val="23"/>
          <w:rtl/>
        </w:rPr>
        <w:t xml:space="preserve"> تقسیم کنیم، آنگاه تولید و موجودی سرمایه به</w:t>
      </w:r>
      <w:r w:rsidRPr="00A62FF4">
        <w:rPr>
          <w:rFonts w:hint="cs"/>
          <w:sz w:val="23"/>
          <w:szCs w:val="23"/>
          <w:rtl/>
        </w:rPr>
        <w:t xml:space="preserve"> ازای هر واحد نیروی کار مؤثر بدست خواهد آمد. </w:t>
      </w:r>
    </w:p>
    <w:p w14:paraId="4B0AD0A0" w14:textId="77777777" w:rsidR="00411620" w:rsidRPr="00A62FF4" w:rsidRDefault="00411620" w:rsidP="00411620">
      <w:pPr>
        <w:pStyle w:val="MTDisplayEquation"/>
        <w:spacing w:line="216" w:lineRule="auto"/>
        <w:rPr>
          <w:rFonts w:ascii="Times New Roman" w:hAnsi="Times New Roman" w:cs="B Nazanin"/>
          <w:sz w:val="23"/>
          <w:szCs w:val="23"/>
        </w:rPr>
      </w:pPr>
      <w:r w:rsidRPr="00A62FF4">
        <w:rPr>
          <w:position w:val="-34"/>
        </w:rPr>
        <w:object w:dxaOrig="3360" w:dyaOrig="700" w14:anchorId="02E799E8">
          <v:shape id="_x0000_i1786" type="#_x0000_t75" style="width:168.2pt;height:35.1pt" o:ole="">
            <v:imagedata r:id="rId1556" o:title=""/>
          </v:shape>
          <o:OLEObject Type="Embed" ProgID="Equation.DSMT4" ShapeID="_x0000_i1786" DrawAspect="Content" ObjectID="_1791375730" r:id="rId1557"/>
        </w:object>
      </w:r>
    </w:p>
    <w:p w14:paraId="78F25ABF" w14:textId="77777777" w:rsidR="00411620" w:rsidRPr="00A62FF4" w:rsidRDefault="00411620" w:rsidP="00411620">
      <w:pPr>
        <w:pStyle w:val="MTDisplayEquation"/>
        <w:spacing w:line="216" w:lineRule="auto"/>
        <w:rPr>
          <w:rFonts w:ascii="Times New Roman" w:eastAsiaTheme="minorEastAsia" w:hAnsi="Times New Roman" w:cs="B Nazanin"/>
          <w:sz w:val="23"/>
          <w:szCs w:val="23"/>
        </w:rPr>
      </w:pPr>
      <w:r w:rsidRPr="00A62FF4">
        <w:rPr>
          <w:position w:val="-34"/>
        </w:rPr>
        <w:object w:dxaOrig="3400" w:dyaOrig="700" w14:anchorId="0A081082">
          <v:shape id="_x0000_i1787" type="#_x0000_t75" style="width:170pt;height:35.1pt" o:ole="">
            <v:imagedata r:id="rId1558" o:title=""/>
          </v:shape>
          <o:OLEObject Type="Embed" ProgID="Equation.DSMT4" ShapeID="_x0000_i1787" DrawAspect="Content" ObjectID="_1791375731" r:id="rId1559"/>
        </w:object>
      </w:r>
    </w:p>
    <w:p w14:paraId="04903C50" w14:textId="77777777" w:rsidR="00411620" w:rsidRPr="00A62FF4" w:rsidRDefault="00411620" w:rsidP="00411620">
      <w:pPr>
        <w:spacing w:line="216" w:lineRule="auto"/>
        <w:rPr>
          <w:rFonts w:eastAsiaTheme="minorEastAsia"/>
          <w:sz w:val="23"/>
          <w:szCs w:val="23"/>
          <w:rtl/>
        </w:rPr>
      </w:pPr>
      <w:r w:rsidRPr="00A62FF4">
        <w:rPr>
          <w:rFonts w:hint="cs"/>
          <w:sz w:val="23"/>
          <w:szCs w:val="23"/>
          <w:rtl/>
        </w:rPr>
        <w:t xml:space="preserve">و چون : </w:t>
      </w:r>
    </w:p>
    <w:p w14:paraId="2C668455" w14:textId="77777777" w:rsidR="00411620" w:rsidRPr="00A62FF4" w:rsidRDefault="00411620" w:rsidP="00411620">
      <w:pPr>
        <w:pStyle w:val="MTDisplayEquation"/>
        <w:spacing w:line="216" w:lineRule="auto"/>
        <w:rPr>
          <w:rFonts w:ascii="Times New Roman" w:hAnsi="Times New Roman" w:cs="B Nazanin"/>
          <w:sz w:val="23"/>
          <w:szCs w:val="23"/>
          <w:rtl/>
        </w:rPr>
      </w:pPr>
      <w:r w:rsidRPr="00A62FF4">
        <w:rPr>
          <w:position w:val="-30"/>
        </w:rPr>
        <w:object w:dxaOrig="4660" w:dyaOrig="700" w14:anchorId="726DF9AF">
          <v:shape id="_x0000_i1788" type="#_x0000_t75" style="width:232.95pt;height:35.1pt" o:ole="">
            <v:imagedata r:id="rId1560" o:title=""/>
          </v:shape>
          <o:OLEObject Type="Embed" ProgID="Equation.DSMT4" ShapeID="_x0000_i1788" DrawAspect="Content" ObjectID="_1791375732" r:id="rId1561"/>
        </w:object>
      </w:r>
    </w:p>
    <w:p w14:paraId="73EF7E5A" w14:textId="77777777" w:rsidR="00411620" w:rsidRPr="00A62FF4" w:rsidRDefault="00411620" w:rsidP="00411620">
      <w:pPr>
        <w:bidi w:val="0"/>
        <w:spacing w:line="216" w:lineRule="auto"/>
        <w:rPr>
          <w:sz w:val="23"/>
          <w:szCs w:val="23"/>
        </w:rPr>
      </w:pPr>
    </w:p>
    <w:p w14:paraId="45CF3BDB" w14:textId="77777777" w:rsidR="00411620" w:rsidRPr="00A62FF4" w:rsidRDefault="00411620" w:rsidP="00411620">
      <w:pPr>
        <w:spacing w:line="216" w:lineRule="auto"/>
        <w:rPr>
          <w:sz w:val="23"/>
          <w:szCs w:val="23"/>
          <w:rtl/>
        </w:rPr>
      </w:pPr>
      <w:r w:rsidRPr="00A62FF4">
        <w:rPr>
          <w:rFonts w:hint="cs"/>
          <w:sz w:val="23"/>
          <w:szCs w:val="23"/>
          <w:rtl/>
        </w:rPr>
        <w:t xml:space="preserve">اتحاد درآمد ملی نیز عبارت است از : </w:t>
      </w:r>
    </w:p>
    <w:p w14:paraId="3A380F75" w14:textId="77777777" w:rsidR="00411620" w:rsidRPr="00A62FF4" w:rsidRDefault="00411620" w:rsidP="00411620">
      <w:pPr>
        <w:pStyle w:val="MTDisplayEquation"/>
        <w:spacing w:line="216" w:lineRule="auto"/>
        <w:rPr>
          <w:rFonts w:ascii="Times New Roman" w:eastAsiaTheme="minorEastAsia" w:hAnsi="Times New Roman" w:cs="B Nazanin"/>
          <w:sz w:val="23"/>
          <w:szCs w:val="23"/>
        </w:rPr>
      </w:pPr>
      <w:r w:rsidRPr="00A62FF4">
        <w:rPr>
          <w:position w:val="-10"/>
        </w:rPr>
        <w:object w:dxaOrig="1040" w:dyaOrig="320" w14:anchorId="001090BA">
          <v:shape id="_x0000_i1789" type="#_x0000_t75" style="width:52.05pt;height:15.75pt" o:ole="">
            <v:imagedata r:id="rId1562" o:title=""/>
          </v:shape>
          <o:OLEObject Type="Embed" ProgID="Equation.DSMT4" ShapeID="_x0000_i1789" DrawAspect="Content" ObjectID="_1791375733" r:id="rId1563"/>
        </w:object>
      </w:r>
    </w:p>
    <w:p w14:paraId="13B5DF9C" w14:textId="77777777" w:rsidR="00411620" w:rsidRPr="00A62FF4" w:rsidRDefault="00411620" w:rsidP="00411620">
      <w:pPr>
        <w:spacing w:line="216" w:lineRule="auto"/>
        <w:rPr>
          <w:rFonts w:eastAsiaTheme="minorEastAsia"/>
          <w:sz w:val="23"/>
          <w:szCs w:val="23"/>
          <w:rtl/>
        </w:rPr>
      </w:pPr>
      <w:r w:rsidRPr="00A62FF4">
        <w:rPr>
          <w:rFonts w:eastAsiaTheme="minorEastAsia" w:hint="cs"/>
          <w:sz w:val="23"/>
          <w:szCs w:val="23"/>
          <w:rtl/>
        </w:rPr>
        <w:t>بنابراین</w:t>
      </w:r>
    </w:p>
    <w:p w14:paraId="435030EC" w14:textId="77777777" w:rsidR="00411620" w:rsidRPr="00A62FF4" w:rsidRDefault="00411620" w:rsidP="00411620">
      <w:pPr>
        <w:pStyle w:val="MTDisplayEquation"/>
        <w:spacing w:line="216" w:lineRule="auto"/>
        <w:rPr>
          <w:rFonts w:ascii="Times New Roman" w:eastAsiaTheme="minorEastAsia" w:hAnsi="Times New Roman" w:cs="B Nazanin"/>
          <w:sz w:val="23"/>
          <w:szCs w:val="23"/>
        </w:rPr>
      </w:pPr>
      <w:r w:rsidRPr="00A62FF4">
        <w:rPr>
          <w:position w:val="-30"/>
        </w:rPr>
        <w:object w:dxaOrig="2240" w:dyaOrig="660" w14:anchorId="168CD1F7">
          <v:shape id="_x0000_i1790" type="#_x0000_t75" style="width:111.95pt;height:33.3pt" o:ole="">
            <v:imagedata r:id="rId1564" o:title=""/>
          </v:shape>
          <o:OLEObject Type="Embed" ProgID="Equation.DSMT4" ShapeID="_x0000_i1790" DrawAspect="Content" ObjectID="_1791375734" r:id="rId1565"/>
        </w:object>
      </w:r>
    </w:p>
    <w:p w14:paraId="7671B1FC" w14:textId="77777777" w:rsidR="00411620" w:rsidRPr="00A62FF4" w:rsidRDefault="00411620" w:rsidP="00411620">
      <w:pPr>
        <w:spacing w:line="216" w:lineRule="auto"/>
        <w:rPr>
          <w:sz w:val="23"/>
          <w:szCs w:val="23"/>
          <w:rtl/>
        </w:rPr>
      </w:pPr>
      <w:r w:rsidRPr="00A62FF4">
        <w:rPr>
          <w:rFonts w:hint="cs"/>
          <w:sz w:val="23"/>
          <w:szCs w:val="23"/>
          <w:rtl/>
        </w:rPr>
        <w:t>که در آن</w:t>
      </w:r>
      <w:r w:rsidRPr="00A62FF4">
        <w:rPr>
          <w:position w:val="-10"/>
        </w:rPr>
        <w:object w:dxaOrig="200" w:dyaOrig="320" w14:anchorId="335FB285">
          <v:shape id="_x0000_i1791" type="#_x0000_t75" style="width:10.3pt;height:15.75pt" o:ole="">
            <v:imagedata r:id="rId1566" o:title=""/>
          </v:shape>
          <o:OLEObject Type="Embed" ProgID="Equation.DSMT4" ShapeID="_x0000_i1791" DrawAspect="Content" ObjectID="_1791375735" r:id="rId1567"/>
        </w:object>
      </w:r>
      <w:r w:rsidRPr="00A62FF4">
        <w:rPr>
          <w:rFonts w:hint="cs"/>
          <w:sz w:val="23"/>
          <w:szCs w:val="23"/>
          <w:rtl/>
        </w:rPr>
        <w:t xml:space="preserve"> عبارت است از مصرف به ازاء هر واحد نیروی کار مؤثر و</w:t>
      </w:r>
      <w:r w:rsidRPr="00A62FF4">
        <w:rPr>
          <w:position w:val="-10"/>
        </w:rPr>
        <w:object w:dxaOrig="180" w:dyaOrig="360" w14:anchorId="79506BE1">
          <v:shape id="_x0000_i1792" type="#_x0000_t75" style="width:9.1pt;height:18.15pt" o:ole="">
            <v:imagedata r:id="rId1568" o:title=""/>
          </v:shape>
          <o:OLEObject Type="Embed" ProgID="Equation.DSMT4" ShapeID="_x0000_i1792" DrawAspect="Content" ObjectID="_1791375736" r:id="rId1569"/>
        </w:object>
      </w:r>
      <w:r w:rsidRPr="00A62FF4">
        <w:rPr>
          <w:rFonts w:hint="cs"/>
          <w:sz w:val="23"/>
          <w:szCs w:val="23"/>
          <w:rtl/>
        </w:rPr>
        <w:t xml:space="preserve"> عبارت است ازسرمایه</w:t>
      </w:r>
      <w:r w:rsidRPr="00A62FF4">
        <w:rPr>
          <w:sz w:val="23"/>
          <w:szCs w:val="23"/>
          <w:rtl/>
        </w:rPr>
        <w:softHyphen/>
      </w:r>
      <w:r w:rsidRPr="00A62FF4">
        <w:rPr>
          <w:rFonts w:hint="cs"/>
          <w:sz w:val="23"/>
          <w:szCs w:val="23"/>
          <w:rtl/>
        </w:rPr>
        <w:t>گذاری به ازای هر واحد نیروی کار مؤثر. اگر معادله</w:t>
      </w:r>
      <w:r w:rsidRPr="00A62FF4">
        <w:rPr>
          <w:sz w:val="23"/>
          <w:szCs w:val="23"/>
          <w:rtl/>
        </w:rPr>
        <w:softHyphen/>
      </w:r>
      <w:r w:rsidRPr="00A62FF4">
        <w:rPr>
          <w:rFonts w:hint="cs"/>
          <w:sz w:val="23"/>
          <w:szCs w:val="23"/>
          <w:rtl/>
        </w:rPr>
        <w:t>ی انباشت سرمایه را بر</w:t>
      </w:r>
      <w:r w:rsidRPr="00A62FF4">
        <w:rPr>
          <w:position w:val="-10"/>
        </w:rPr>
        <w:object w:dxaOrig="260" w:dyaOrig="360" w14:anchorId="1D477D05">
          <v:shape id="_x0000_i1793" type="#_x0000_t75" style="width:12.7pt;height:18.15pt" o:ole="">
            <v:imagedata r:id="rId1570" o:title=""/>
          </v:shape>
          <o:OLEObject Type="Embed" ProgID="Equation.DSMT4" ShapeID="_x0000_i1793" DrawAspect="Content" ObjectID="_1791375737" r:id="rId1571"/>
        </w:object>
      </w:r>
      <w:r w:rsidRPr="00A62FF4">
        <w:rPr>
          <w:rFonts w:eastAsiaTheme="minorEastAsia"/>
          <w:sz w:val="23"/>
          <w:szCs w:val="23"/>
        </w:rPr>
        <w:t xml:space="preserve"> </w:t>
      </w:r>
      <w:r w:rsidRPr="00A62FF4">
        <w:rPr>
          <w:rFonts w:hint="cs"/>
          <w:sz w:val="23"/>
          <w:szCs w:val="23"/>
          <w:rtl/>
        </w:rPr>
        <w:t xml:space="preserve">تقسیم کنیم خواهیم داشت: </w:t>
      </w:r>
    </w:p>
    <w:p w14:paraId="02C6121A" w14:textId="77777777" w:rsidR="00411620" w:rsidRPr="00A62FF4" w:rsidRDefault="00411620" w:rsidP="00411620">
      <w:pPr>
        <w:pStyle w:val="MTDisplayEquation"/>
        <w:spacing w:line="216" w:lineRule="auto"/>
        <w:rPr>
          <w:rFonts w:ascii="Times New Roman" w:hAnsi="Times New Roman" w:cs="B Nazanin"/>
          <w:sz w:val="23"/>
          <w:szCs w:val="23"/>
        </w:rPr>
      </w:pPr>
      <w:r w:rsidRPr="00A62FF4">
        <w:rPr>
          <w:position w:val="-30"/>
        </w:rPr>
        <w:object w:dxaOrig="2020" w:dyaOrig="660" w14:anchorId="5A93DA0B">
          <v:shape id="_x0000_i1794" type="#_x0000_t75" style="width:101.05pt;height:33.3pt" o:ole="">
            <v:imagedata r:id="rId1572" o:title=""/>
          </v:shape>
          <o:OLEObject Type="Embed" ProgID="Equation.DSMT4" ShapeID="_x0000_i1794" DrawAspect="Content" ObjectID="_1791375738" r:id="rId1573"/>
        </w:object>
      </w:r>
    </w:p>
    <w:p w14:paraId="03B1252C" w14:textId="77777777" w:rsidR="00411620" w:rsidRPr="00A62FF4" w:rsidRDefault="00411620" w:rsidP="00411620">
      <w:pPr>
        <w:spacing w:line="216" w:lineRule="auto"/>
        <w:rPr>
          <w:sz w:val="23"/>
          <w:szCs w:val="23"/>
        </w:rPr>
      </w:pPr>
      <w:r w:rsidRPr="00A62FF4">
        <w:rPr>
          <w:rFonts w:hint="cs"/>
          <w:sz w:val="23"/>
          <w:szCs w:val="23"/>
          <w:rtl/>
        </w:rPr>
        <w:t>از طرفی چون</w:t>
      </w:r>
      <w:r w:rsidRPr="00A62FF4">
        <w:rPr>
          <w:rStyle w:val="FootnoteReference"/>
          <w:rFonts w:eastAsiaTheme="minorHAnsi"/>
          <w:sz w:val="23"/>
          <w:szCs w:val="23"/>
          <w:rtl/>
        </w:rPr>
        <w:footnoteReference w:id="107"/>
      </w:r>
    </w:p>
    <w:p w14:paraId="3DEBC587" w14:textId="77777777" w:rsidR="00411620" w:rsidRPr="00A62FF4" w:rsidRDefault="00411620" w:rsidP="00411620">
      <w:pPr>
        <w:pStyle w:val="MTDisplayEquation"/>
        <w:spacing w:line="216" w:lineRule="auto"/>
        <w:rPr>
          <w:rFonts w:ascii="Times New Roman" w:eastAsiaTheme="minorEastAsia" w:hAnsi="Times New Roman" w:cs="B Nazanin"/>
          <w:sz w:val="23"/>
          <w:szCs w:val="23"/>
        </w:rPr>
      </w:pPr>
      <w:r w:rsidRPr="00A62FF4">
        <w:rPr>
          <w:position w:val="-26"/>
        </w:rPr>
        <w:object w:dxaOrig="6520" w:dyaOrig="660" w14:anchorId="7520BECB">
          <v:shape id="_x0000_i1795" type="#_x0000_t75" style="width:326.1pt;height:33.3pt" o:ole="">
            <v:imagedata r:id="rId1574" o:title=""/>
          </v:shape>
          <o:OLEObject Type="Embed" ProgID="Equation.DSMT4" ShapeID="_x0000_i1795" DrawAspect="Content" ObjectID="_1791375739" r:id="rId1575"/>
        </w:object>
      </w:r>
    </w:p>
    <w:p w14:paraId="1905B3E3" w14:textId="77777777" w:rsidR="00411620" w:rsidRPr="00A62FF4" w:rsidRDefault="00411620" w:rsidP="00411620">
      <w:pPr>
        <w:spacing w:line="216" w:lineRule="auto"/>
        <w:rPr>
          <w:sz w:val="23"/>
          <w:szCs w:val="23"/>
          <w:rtl/>
        </w:rPr>
      </w:pPr>
      <w:r w:rsidRPr="00A62FF4">
        <w:rPr>
          <w:rFonts w:hint="cs"/>
          <w:sz w:val="23"/>
          <w:szCs w:val="23"/>
          <w:rtl/>
        </w:rPr>
        <w:t>بنابراین</w:t>
      </w:r>
    </w:p>
    <w:p w14:paraId="0AD2CC95" w14:textId="77777777" w:rsidR="00411620" w:rsidRPr="00A62FF4" w:rsidRDefault="00411620" w:rsidP="00411620">
      <w:pPr>
        <w:pStyle w:val="MTDisplayEquation"/>
        <w:spacing w:line="216" w:lineRule="auto"/>
        <w:rPr>
          <w:rFonts w:ascii="Times New Roman" w:hAnsi="Times New Roman" w:cs="B Nazanin"/>
          <w:sz w:val="23"/>
          <w:szCs w:val="23"/>
        </w:rPr>
      </w:pPr>
      <w:r w:rsidRPr="00A62FF4">
        <w:rPr>
          <w:position w:val="-30"/>
        </w:rPr>
        <w:object w:dxaOrig="5980" w:dyaOrig="660" w14:anchorId="04447A0B">
          <v:shape id="_x0000_i1796" type="#_x0000_t75" style="width:298.9pt;height:33.3pt" o:ole="">
            <v:imagedata r:id="rId1576" o:title=""/>
          </v:shape>
          <o:OLEObject Type="Embed" ProgID="Equation.DSMT4" ShapeID="_x0000_i1796" DrawAspect="Content" ObjectID="_1791375740" r:id="rId1577"/>
        </w:object>
      </w:r>
    </w:p>
    <w:p w14:paraId="53FF1DAF" w14:textId="77777777" w:rsidR="00411620" w:rsidRPr="00A62FF4" w:rsidRDefault="00411620" w:rsidP="00411620">
      <w:pPr>
        <w:spacing w:line="216" w:lineRule="auto"/>
        <w:rPr>
          <w:sz w:val="23"/>
          <w:szCs w:val="23"/>
        </w:rPr>
      </w:pPr>
      <w:r w:rsidRPr="00A62FF4">
        <w:rPr>
          <w:rFonts w:hint="cs"/>
          <w:sz w:val="23"/>
          <w:szCs w:val="23"/>
          <w:rtl/>
        </w:rPr>
        <w:t xml:space="preserve">بنابراین قید منابع اقتصاد یا </w:t>
      </w:r>
      <w:r w:rsidRPr="00A62FF4">
        <w:rPr>
          <w:position w:val="-10"/>
        </w:rPr>
        <w:object w:dxaOrig="940" w:dyaOrig="360" w14:anchorId="520ABB0E">
          <v:shape id="_x0000_i1797" type="#_x0000_t75" style="width:47.2pt;height:18.15pt" o:ole="">
            <v:imagedata r:id="rId1578" o:title=""/>
          </v:shape>
          <o:OLEObject Type="Embed" ProgID="Equation.DSMT4" ShapeID="_x0000_i1797" DrawAspect="Content" ObjectID="_1791375741" r:id="rId1579"/>
        </w:object>
      </w:r>
      <w:r w:rsidRPr="00A62FF4">
        <w:rPr>
          <w:rFonts w:eastAsiaTheme="minorEastAsia" w:hint="cs"/>
          <w:sz w:val="23"/>
          <w:szCs w:val="23"/>
          <w:rtl/>
        </w:rPr>
        <w:t xml:space="preserve"> </w:t>
      </w:r>
      <w:r w:rsidRPr="00A62FF4">
        <w:rPr>
          <w:rFonts w:hint="cs"/>
          <w:sz w:val="23"/>
          <w:szCs w:val="23"/>
          <w:rtl/>
        </w:rPr>
        <w:t>برابر خواهد بود با:</w:t>
      </w:r>
    </w:p>
    <w:p w14:paraId="7D22AD32" w14:textId="77777777" w:rsidR="00411620" w:rsidRPr="00A62FF4" w:rsidRDefault="00411620" w:rsidP="00411620">
      <w:pPr>
        <w:bidi w:val="0"/>
        <w:spacing w:line="216" w:lineRule="auto"/>
        <w:rPr>
          <w:sz w:val="23"/>
          <w:szCs w:val="23"/>
        </w:rPr>
      </w:pPr>
      <w:r w:rsidRPr="00A62FF4">
        <w:rPr>
          <w:rFonts w:hint="cs"/>
          <w:sz w:val="23"/>
          <w:szCs w:val="23"/>
          <w:rtl/>
        </w:rPr>
        <w:t xml:space="preserve"> </w:t>
      </w:r>
      <w:r w:rsidRPr="00A62FF4">
        <w:rPr>
          <w:position w:val="-12"/>
        </w:rPr>
        <w:object w:dxaOrig="3159" w:dyaOrig="380" w14:anchorId="00B6F7BC">
          <v:shape id="_x0000_i1798" type="#_x0000_t75" style="width:157.9pt;height:18.75pt" o:ole="">
            <v:imagedata r:id="rId1580" o:title=""/>
          </v:shape>
          <o:OLEObject Type="Embed" ProgID="Equation.DSMT4" ShapeID="_x0000_i1798" DrawAspect="Content" ObjectID="_1791375742" r:id="rId1581"/>
        </w:object>
      </w:r>
    </w:p>
    <w:p w14:paraId="365B4336" w14:textId="77777777" w:rsidR="00411620" w:rsidRPr="00A62FF4" w:rsidRDefault="00411620" w:rsidP="00411620">
      <w:pPr>
        <w:spacing w:line="216" w:lineRule="auto"/>
        <w:rPr>
          <w:sz w:val="23"/>
          <w:szCs w:val="23"/>
          <w:rtl/>
        </w:rPr>
      </w:pPr>
      <w:r w:rsidRPr="00A62FF4">
        <w:rPr>
          <w:rFonts w:hint="cs"/>
          <w:sz w:val="23"/>
          <w:szCs w:val="23"/>
          <w:rtl/>
        </w:rPr>
        <w:t>خانوار مطلوبیت تنزیل شده‌ی حاصل از مصرف خود را با توجه به قید منابع اقتصاد در طی دوره‌ی زمانی حداکثر می</w:t>
      </w:r>
      <w:r w:rsidRPr="00A62FF4">
        <w:rPr>
          <w:sz w:val="23"/>
          <w:szCs w:val="23"/>
          <w:rtl/>
        </w:rPr>
        <w:softHyphen/>
      </w:r>
      <w:r w:rsidRPr="00A62FF4">
        <w:rPr>
          <w:rFonts w:hint="cs"/>
          <w:sz w:val="23"/>
          <w:szCs w:val="23"/>
          <w:rtl/>
        </w:rPr>
        <w:t>کند. بنابراین،</w:t>
      </w:r>
    </w:p>
    <w:p w14:paraId="662E45C2" w14:textId="77777777" w:rsidR="00411620" w:rsidRPr="00A62FF4" w:rsidRDefault="00411620" w:rsidP="00411620">
      <w:pPr>
        <w:bidi w:val="0"/>
        <w:spacing w:line="216" w:lineRule="auto"/>
        <w:rPr>
          <w:sz w:val="23"/>
          <w:szCs w:val="23"/>
        </w:rPr>
      </w:pPr>
      <w:r w:rsidRPr="00A62FF4">
        <w:rPr>
          <w:position w:val="-26"/>
        </w:rPr>
        <w:object w:dxaOrig="2060" w:dyaOrig="620" w14:anchorId="064A8D24">
          <v:shape id="_x0000_i1799" type="#_x0000_t75" style="width:102.85pt;height:30.85pt" o:ole="">
            <v:imagedata r:id="rId1582" o:title=""/>
          </v:shape>
          <o:OLEObject Type="Embed" ProgID="Equation.DSMT4" ShapeID="_x0000_i1799" DrawAspect="Content" ObjectID="_1791375743" r:id="rId1583"/>
        </w:object>
      </w:r>
      <w:r w:rsidRPr="00A62FF4">
        <w:rPr>
          <w:rFonts w:hint="cs"/>
          <w:sz w:val="23"/>
          <w:szCs w:val="23"/>
          <w:rtl/>
        </w:rPr>
        <w:t xml:space="preserve"> </w:t>
      </w:r>
    </w:p>
    <w:p w14:paraId="183706D6" w14:textId="77777777" w:rsidR="00411620" w:rsidRPr="00A62FF4" w:rsidRDefault="00411620" w:rsidP="00411620">
      <w:pPr>
        <w:bidi w:val="0"/>
        <w:spacing w:line="216" w:lineRule="auto"/>
        <w:rPr>
          <w:sz w:val="23"/>
          <w:szCs w:val="23"/>
          <w:rtl/>
        </w:rPr>
      </w:pPr>
      <w:r w:rsidRPr="00A62FF4">
        <w:rPr>
          <w:rFonts w:hint="cs"/>
          <w:sz w:val="23"/>
          <w:szCs w:val="23"/>
          <w:rtl/>
        </w:rPr>
        <w:t xml:space="preserve"> </w:t>
      </w:r>
      <w:r w:rsidRPr="00A62FF4">
        <w:rPr>
          <w:position w:val="-12"/>
        </w:rPr>
        <w:object w:dxaOrig="4300" w:dyaOrig="360" w14:anchorId="75154723">
          <v:shape id="_x0000_i1800" type="#_x0000_t75" style="width:214.8pt;height:18.15pt" o:ole="">
            <v:imagedata r:id="rId1584" o:title=""/>
          </v:shape>
          <o:OLEObject Type="Embed" ProgID="Equation.DSMT4" ShapeID="_x0000_i1800" DrawAspect="Content" ObjectID="_1791375744" r:id="rId1585"/>
        </w:object>
      </w:r>
      <w:r w:rsidRPr="00A62FF4">
        <w:rPr>
          <w:rFonts w:hint="cs"/>
          <w:sz w:val="23"/>
          <w:szCs w:val="23"/>
        </w:rPr>
        <w:t xml:space="preserve"> </w:t>
      </w:r>
    </w:p>
    <w:p w14:paraId="120DEDAD" w14:textId="77777777" w:rsidR="00411620" w:rsidRPr="00A62FF4" w:rsidRDefault="00411620" w:rsidP="00411620">
      <w:pPr>
        <w:spacing w:line="216" w:lineRule="auto"/>
        <w:rPr>
          <w:sz w:val="23"/>
          <w:szCs w:val="23"/>
          <w:rtl/>
        </w:rPr>
      </w:pPr>
      <w:r w:rsidRPr="00A62FF4">
        <w:rPr>
          <w:rFonts w:hint="cs"/>
          <w:sz w:val="23"/>
          <w:szCs w:val="23"/>
          <w:rtl/>
        </w:rPr>
        <w:t>می</w:t>
      </w:r>
      <w:r w:rsidRPr="00A62FF4">
        <w:rPr>
          <w:sz w:val="23"/>
          <w:szCs w:val="23"/>
          <w:rtl/>
        </w:rPr>
        <w:softHyphen/>
      </w:r>
      <w:r w:rsidRPr="00A62FF4">
        <w:rPr>
          <w:rFonts w:hint="cs"/>
          <w:sz w:val="23"/>
          <w:szCs w:val="23"/>
          <w:rtl/>
        </w:rPr>
        <w:t>توان نشان داد برای آن</w:t>
      </w:r>
      <w:r w:rsidRPr="00A62FF4">
        <w:rPr>
          <w:sz w:val="23"/>
          <w:szCs w:val="23"/>
        </w:rPr>
        <w:softHyphen/>
      </w:r>
      <w:r w:rsidRPr="00A62FF4">
        <w:rPr>
          <w:rFonts w:hint="cs"/>
          <w:sz w:val="23"/>
          <w:szCs w:val="23"/>
          <w:rtl/>
        </w:rPr>
        <w:t>که در وضعیت یکنواخت مقدار</w:t>
      </w:r>
      <w:r w:rsidRPr="00025957">
        <w:rPr>
          <w:position w:val="-4"/>
        </w:rPr>
        <w:object w:dxaOrig="180" w:dyaOrig="180" w14:anchorId="4C5703BB">
          <v:shape id="_x0000_i1801" type="#_x0000_t75" style="width:9.1pt;height:9.1pt" o:ole="">
            <v:imagedata r:id="rId1586" o:title=""/>
          </v:shape>
          <o:OLEObject Type="Embed" ProgID="Equation.DSMT4" ShapeID="_x0000_i1801" DrawAspect="Content" ObjectID="_1791375745" r:id="rId1587"/>
        </w:object>
      </w:r>
      <w:r w:rsidRPr="00A62FF4">
        <w:rPr>
          <w:rFonts w:hint="cs"/>
          <w:sz w:val="23"/>
          <w:szCs w:val="23"/>
          <w:rtl/>
        </w:rPr>
        <w:t xml:space="preserve"> و</w:t>
      </w:r>
      <w:r w:rsidRPr="00A62FF4">
        <w:rPr>
          <w:position w:val="-22"/>
        </w:rPr>
        <w:object w:dxaOrig="200" w:dyaOrig="560" w14:anchorId="4136FAD2">
          <v:shape id="_x0000_i1802" type="#_x0000_t75" style="width:10.3pt;height:27.85pt" o:ole="">
            <v:imagedata r:id="rId1588" o:title=""/>
          </v:shape>
          <o:OLEObject Type="Embed" ProgID="Equation.DSMT4" ShapeID="_x0000_i1802" DrawAspect="Content" ObjectID="_1791375746" r:id="rId1589"/>
        </w:object>
      </w:r>
      <w:r w:rsidRPr="00A62FF4">
        <w:rPr>
          <w:rFonts w:hint="cs"/>
          <w:sz w:val="23"/>
          <w:szCs w:val="23"/>
          <w:rtl/>
        </w:rPr>
        <w:t xml:space="preserve"> ثابت باشند، باید کشش مطلوبیت نهایی بطور مجانبی ثابت باشد. حالت متعارفی از تابع مطلوبیت یعنی </w:t>
      </w:r>
      <w:r w:rsidRPr="00A62FF4">
        <w:rPr>
          <w:position w:val="-22"/>
        </w:rPr>
        <w:object w:dxaOrig="1579" w:dyaOrig="600" w14:anchorId="7541149D">
          <v:shape id="_x0000_i1803" type="#_x0000_t75" style="width:79.25pt;height:30.25pt" o:ole="">
            <v:imagedata r:id="rId1590" o:title=""/>
          </v:shape>
          <o:OLEObject Type="Embed" ProgID="Equation.DSMT4" ShapeID="_x0000_i1803" DrawAspect="Content" ObjectID="_1791375747" r:id="rId1591"/>
        </w:object>
      </w:r>
      <w:r w:rsidRPr="00A62FF4">
        <w:rPr>
          <w:rFonts w:eastAsiaTheme="minorEastAsia" w:hint="cs"/>
          <w:sz w:val="23"/>
          <w:szCs w:val="23"/>
          <w:rtl/>
        </w:rPr>
        <w:t xml:space="preserve">را </w:t>
      </w:r>
      <w:r w:rsidRPr="00A62FF4">
        <w:rPr>
          <w:rFonts w:hint="cs"/>
          <w:sz w:val="23"/>
          <w:szCs w:val="23"/>
          <w:rtl/>
        </w:rPr>
        <w:t>در نظر می</w:t>
      </w:r>
      <w:r w:rsidRPr="00A62FF4">
        <w:rPr>
          <w:sz w:val="23"/>
          <w:szCs w:val="23"/>
          <w:rtl/>
        </w:rPr>
        <w:softHyphen/>
      </w:r>
      <w:r w:rsidRPr="00A62FF4">
        <w:rPr>
          <w:rFonts w:hint="cs"/>
          <w:sz w:val="23"/>
          <w:szCs w:val="23"/>
          <w:rtl/>
        </w:rPr>
        <w:t>گیریم که این ویژگی را داشته باشد. از طرفی</w:t>
      </w:r>
    </w:p>
    <w:p w14:paraId="3B63C696" w14:textId="77777777" w:rsidR="00411620" w:rsidRPr="00A62FF4" w:rsidRDefault="00411620" w:rsidP="00411620">
      <w:pPr>
        <w:pStyle w:val="MTDisplayEquation"/>
        <w:spacing w:line="216" w:lineRule="auto"/>
        <w:rPr>
          <w:rFonts w:ascii="Times New Roman" w:hAnsi="Times New Roman" w:cs="B Nazanin"/>
          <w:sz w:val="23"/>
          <w:szCs w:val="23"/>
          <w:rtl/>
        </w:rPr>
      </w:pPr>
      <w:r w:rsidRPr="00A62FF4">
        <w:rPr>
          <w:position w:val="-34"/>
        </w:rPr>
        <w:object w:dxaOrig="4099" w:dyaOrig="700" w14:anchorId="5CC0D26E">
          <v:shape id="_x0000_i1804" type="#_x0000_t75" style="width:205.1pt;height:35.1pt" o:ole="">
            <v:imagedata r:id="rId1592" o:title=""/>
          </v:shape>
          <o:OLEObject Type="Embed" ProgID="Equation.DSMT4" ShapeID="_x0000_i1804" DrawAspect="Content" ObjectID="_1791375748" r:id="rId1593"/>
        </w:object>
      </w:r>
    </w:p>
    <w:p w14:paraId="7DC63FEE" w14:textId="77777777" w:rsidR="00411620" w:rsidRPr="00A62FF4" w:rsidRDefault="00411620" w:rsidP="00411620">
      <w:pPr>
        <w:spacing w:line="216" w:lineRule="auto"/>
        <w:rPr>
          <w:sz w:val="23"/>
          <w:szCs w:val="23"/>
        </w:rPr>
      </w:pPr>
      <w:r w:rsidRPr="00A62FF4">
        <w:rPr>
          <w:rFonts w:hint="cs"/>
          <w:sz w:val="23"/>
          <w:szCs w:val="23"/>
          <w:rtl/>
        </w:rPr>
        <w:t>با فرض نرمالایزکردن نیروی کار یعنی</w:t>
      </w:r>
      <w:r w:rsidRPr="00A62FF4">
        <w:rPr>
          <w:position w:val="-10"/>
        </w:rPr>
        <w:object w:dxaOrig="620" w:dyaOrig="320" w14:anchorId="6C55A87D">
          <v:shape id="_x0000_i1805" type="#_x0000_t75" style="width:30.85pt;height:15.75pt" o:ole="">
            <v:imagedata r:id="rId1594" o:title=""/>
          </v:shape>
          <o:OLEObject Type="Embed" ProgID="Equation.DSMT4" ShapeID="_x0000_i1805" DrawAspect="Content" ObjectID="_1791375749" r:id="rId1595"/>
        </w:object>
      </w:r>
      <w:r w:rsidRPr="00A62FF4">
        <w:rPr>
          <w:rFonts w:hint="cs"/>
          <w:sz w:val="23"/>
          <w:szCs w:val="23"/>
          <w:rtl/>
        </w:rPr>
        <w:t>، داریم</w:t>
      </w:r>
    </w:p>
    <w:p w14:paraId="398F8CB1" w14:textId="77777777" w:rsidR="00411620" w:rsidRPr="00A62FF4" w:rsidRDefault="00411620" w:rsidP="00411620">
      <w:pPr>
        <w:pStyle w:val="MTDisplayEquation"/>
        <w:spacing w:line="216" w:lineRule="auto"/>
        <w:rPr>
          <w:rFonts w:ascii="Times New Roman" w:hAnsi="Times New Roman" w:cs="B Nazanin"/>
          <w:sz w:val="23"/>
          <w:szCs w:val="23"/>
          <w:rtl/>
        </w:rPr>
      </w:pPr>
      <w:r w:rsidRPr="00A62FF4">
        <w:rPr>
          <w:position w:val="-22"/>
        </w:rPr>
        <w:object w:dxaOrig="2360" w:dyaOrig="780" w14:anchorId="2D2DBE25">
          <v:shape id="_x0000_i1806" type="#_x0000_t75" style="width:118pt;height:38.7pt" o:ole="">
            <v:imagedata r:id="rId1596" o:title=""/>
          </v:shape>
          <o:OLEObject Type="Embed" ProgID="Equation.DSMT4" ShapeID="_x0000_i1806" DrawAspect="Content" ObjectID="_1791375750" r:id="rId1597"/>
        </w:object>
      </w:r>
    </w:p>
    <w:p w14:paraId="53152643" w14:textId="77777777" w:rsidR="00411620" w:rsidRDefault="00411620" w:rsidP="00411620">
      <w:pPr>
        <w:spacing w:line="216" w:lineRule="auto"/>
        <w:rPr>
          <w:sz w:val="23"/>
          <w:szCs w:val="23"/>
          <w:rtl/>
        </w:rPr>
      </w:pPr>
      <w:r w:rsidRPr="00A62FF4">
        <w:rPr>
          <w:rFonts w:hint="cs"/>
          <w:sz w:val="23"/>
          <w:szCs w:val="23"/>
          <w:rtl/>
        </w:rPr>
        <w:lastRenderedPageBreak/>
        <w:t>لذا لاگرانژین این مسئله عبارت است از :</w:t>
      </w:r>
    </w:p>
    <w:p w14:paraId="6D69A883" w14:textId="77777777" w:rsidR="00411620" w:rsidRPr="00A62FF4" w:rsidRDefault="00411620" w:rsidP="00411620">
      <w:pPr>
        <w:pStyle w:val="MTDisplayEquation"/>
        <w:bidi/>
        <w:spacing w:line="216" w:lineRule="auto"/>
        <w:rPr>
          <w:rFonts w:ascii="Times New Roman" w:hAnsi="Times New Roman" w:cs="B Nazanin"/>
          <w:sz w:val="23"/>
          <w:szCs w:val="23"/>
          <w:rtl/>
        </w:rPr>
      </w:pPr>
      <w:r w:rsidRPr="00A62FF4">
        <w:rPr>
          <w:position w:val="-48"/>
        </w:rPr>
        <w:object w:dxaOrig="6880" w:dyaOrig="1060" w14:anchorId="4EE4594C">
          <v:shape id="_x0000_i1807" type="#_x0000_t75" style="width:344.25pt;height:53.25pt" o:ole="">
            <v:imagedata r:id="rId1598" o:title=""/>
          </v:shape>
          <o:OLEObject Type="Embed" ProgID="Equation.DSMT4" ShapeID="_x0000_i1807" DrawAspect="Content" ObjectID="_1791375751" r:id="rId1599"/>
        </w:object>
      </w:r>
      <w:r w:rsidRPr="00A62FF4">
        <w:rPr>
          <w:rFonts w:ascii="Times New Roman" w:hAnsi="Times New Roman" w:cs="B Nazanin" w:hint="cs"/>
          <w:sz w:val="23"/>
          <w:szCs w:val="23"/>
          <w:rtl/>
        </w:rPr>
        <w:t xml:space="preserve">و شرایط مرتبه اول عبارتند از: </w:t>
      </w:r>
    </w:p>
    <w:p w14:paraId="09729112" w14:textId="77777777" w:rsidR="00411620" w:rsidRPr="00A62FF4" w:rsidRDefault="00411620" w:rsidP="00411620">
      <w:pPr>
        <w:bidi w:val="0"/>
        <w:spacing w:line="216" w:lineRule="auto"/>
        <w:rPr>
          <w:sz w:val="23"/>
          <w:szCs w:val="23"/>
        </w:rPr>
      </w:pPr>
      <w:r w:rsidRPr="00A62FF4">
        <w:rPr>
          <w:position w:val="-28"/>
        </w:rPr>
        <w:object w:dxaOrig="5120" w:dyaOrig="720" w14:anchorId="294299DE">
          <v:shape id="_x0000_i1808" type="#_x0000_t75" style="width:255.95pt;height:36.3pt" o:ole="">
            <v:imagedata r:id="rId1600" o:title=""/>
          </v:shape>
          <o:OLEObject Type="Embed" ProgID="Equation.DSMT4" ShapeID="_x0000_i1808" DrawAspect="Content" ObjectID="_1791375752" r:id="rId1601"/>
        </w:object>
      </w:r>
    </w:p>
    <w:p w14:paraId="0B340D2D" w14:textId="77777777" w:rsidR="00411620" w:rsidRPr="00A62FF4" w:rsidRDefault="00411620" w:rsidP="00411620">
      <w:pPr>
        <w:pStyle w:val="MTDisplayEquation"/>
        <w:spacing w:line="216" w:lineRule="auto"/>
        <w:rPr>
          <w:rFonts w:ascii="Times New Roman" w:hAnsi="Times New Roman" w:cs="B Nazanin"/>
          <w:sz w:val="23"/>
          <w:szCs w:val="23"/>
        </w:rPr>
      </w:pPr>
      <w:r w:rsidRPr="00A62FF4">
        <w:rPr>
          <w:position w:val="-30"/>
        </w:rPr>
        <w:object w:dxaOrig="5260" w:dyaOrig="639" w14:anchorId="7B15AAA5">
          <v:shape id="_x0000_i1809" type="#_x0000_t75" style="width:263.2pt;height:32.05pt" o:ole="">
            <v:imagedata r:id="rId1602" o:title=""/>
          </v:shape>
          <o:OLEObject Type="Embed" ProgID="Equation.DSMT4" ShapeID="_x0000_i1809" DrawAspect="Content" ObjectID="_1791375753" r:id="rId1603"/>
        </w:object>
      </w:r>
    </w:p>
    <w:p w14:paraId="66EA1C36" w14:textId="77777777" w:rsidR="00411620" w:rsidRPr="00A62FF4" w:rsidRDefault="00411620" w:rsidP="00411620">
      <w:pPr>
        <w:spacing w:line="216" w:lineRule="auto"/>
        <w:rPr>
          <w:sz w:val="23"/>
          <w:szCs w:val="23"/>
        </w:rPr>
      </w:pPr>
      <w:r w:rsidRPr="00A62FF4">
        <w:rPr>
          <w:rFonts w:hint="cs"/>
          <w:sz w:val="23"/>
          <w:szCs w:val="23"/>
          <w:rtl/>
        </w:rPr>
        <w:t>اگر معادله</w:t>
      </w:r>
      <w:r w:rsidRPr="00A62FF4">
        <w:rPr>
          <w:sz w:val="23"/>
          <w:szCs w:val="23"/>
          <w:rtl/>
        </w:rPr>
        <w:softHyphen/>
      </w:r>
      <w:r w:rsidRPr="00A62FF4">
        <w:rPr>
          <w:rFonts w:hint="cs"/>
          <w:sz w:val="23"/>
          <w:szCs w:val="23"/>
          <w:rtl/>
        </w:rPr>
        <w:t xml:space="preserve">ی اول از شرایط مرتبه اول را برای </w:t>
      </w:r>
      <w:r w:rsidRPr="00A62FF4">
        <w:rPr>
          <w:position w:val="-8"/>
        </w:rPr>
        <w:object w:dxaOrig="660" w:dyaOrig="279" w14:anchorId="09406359">
          <v:shape id="_x0000_i1810" type="#_x0000_t75" style="width:33.3pt;height:13.9pt" o:ole="">
            <v:imagedata r:id="rId1604" o:title=""/>
          </v:shape>
          <o:OLEObject Type="Embed" ProgID="Equation.DSMT4" ShapeID="_x0000_i1810" DrawAspect="Content" ObjectID="_1791375754" r:id="rId1605"/>
        </w:object>
      </w:r>
      <w:r w:rsidRPr="00A62FF4">
        <w:rPr>
          <w:rFonts w:hint="cs"/>
          <w:sz w:val="23"/>
          <w:szCs w:val="23"/>
          <w:rtl/>
        </w:rPr>
        <w:t xml:space="preserve"> حل کنیم خواهیم داشت: </w:t>
      </w:r>
    </w:p>
    <w:p w14:paraId="3E492B8B" w14:textId="77777777" w:rsidR="00411620" w:rsidRPr="00A62FF4" w:rsidRDefault="00411620" w:rsidP="00411620">
      <w:pPr>
        <w:bidi w:val="0"/>
        <w:spacing w:line="216" w:lineRule="auto"/>
        <w:rPr>
          <w:sz w:val="23"/>
          <w:szCs w:val="23"/>
        </w:rPr>
      </w:pPr>
      <w:r w:rsidRPr="00A62FF4">
        <w:rPr>
          <w:position w:val="-12"/>
        </w:rPr>
        <w:object w:dxaOrig="2580" w:dyaOrig="400" w14:anchorId="062FF3ED">
          <v:shape id="_x0000_i1811" type="#_x0000_t75" style="width:128.85pt;height:19.95pt" o:ole="">
            <v:imagedata r:id="rId1606" o:title=""/>
          </v:shape>
          <o:OLEObject Type="Embed" ProgID="Equation.DSMT4" ShapeID="_x0000_i1811" DrawAspect="Content" ObjectID="_1791375755" r:id="rId1607"/>
        </w:object>
      </w:r>
      <w:r w:rsidRPr="00A62FF4">
        <w:rPr>
          <w:sz w:val="23"/>
          <w:szCs w:val="23"/>
        </w:rPr>
        <w:t xml:space="preserve"> </w:t>
      </w:r>
    </w:p>
    <w:p w14:paraId="18184ADE" w14:textId="77777777" w:rsidR="00411620" w:rsidRPr="00A62FF4" w:rsidRDefault="00411620" w:rsidP="00411620">
      <w:pPr>
        <w:bidi w:val="0"/>
        <w:spacing w:line="216" w:lineRule="auto"/>
        <w:rPr>
          <w:sz w:val="23"/>
          <w:szCs w:val="23"/>
        </w:rPr>
      </w:pPr>
      <w:r w:rsidRPr="00A62FF4">
        <w:rPr>
          <w:position w:val="-12"/>
        </w:rPr>
        <w:object w:dxaOrig="3080" w:dyaOrig="400" w14:anchorId="78AD6D1D">
          <v:shape id="_x0000_i1812" type="#_x0000_t75" style="width:154.3pt;height:19.95pt" o:ole="">
            <v:imagedata r:id="rId1608" o:title=""/>
          </v:shape>
          <o:OLEObject Type="Embed" ProgID="Equation.DSMT4" ShapeID="_x0000_i1812" DrawAspect="Content" ObjectID="_1791375756" r:id="rId1609"/>
        </w:object>
      </w:r>
      <w:r w:rsidRPr="00A62FF4">
        <w:rPr>
          <w:sz w:val="23"/>
          <w:szCs w:val="23"/>
        </w:rPr>
        <w:t xml:space="preserve"> </w:t>
      </w:r>
    </w:p>
    <w:p w14:paraId="76FCD22E" w14:textId="77777777" w:rsidR="00411620" w:rsidRPr="00A62FF4" w:rsidRDefault="00411620" w:rsidP="00411620">
      <w:pPr>
        <w:spacing w:line="216" w:lineRule="auto"/>
        <w:rPr>
          <w:sz w:val="23"/>
          <w:szCs w:val="23"/>
        </w:rPr>
      </w:pPr>
      <w:r w:rsidRPr="00A62FF4">
        <w:rPr>
          <w:rFonts w:hint="cs"/>
          <w:sz w:val="23"/>
          <w:szCs w:val="23"/>
          <w:rtl/>
        </w:rPr>
        <w:t>و معادله</w:t>
      </w:r>
      <w:r w:rsidRPr="00A62FF4">
        <w:rPr>
          <w:sz w:val="23"/>
          <w:szCs w:val="23"/>
          <w:rtl/>
        </w:rPr>
        <w:softHyphen/>
      </w:r>
      <w:r w:rsidRPr="00A62FF4">
        <w:rPr>
          <w:rFonts w:hint="cs"/>
          <w:sz w:val="23"/>
          <w:szCs w:val="23"/>
          <w:rtl/>
        </w:rPr>
        <w:t xml:space="preserve">ی دوم از شرایط مرتبه اول را برای </w:t>
      </w:r>
      <w:r w:rsidRPr="00A62FF4">
        <w:rPr>
          <w:position w:val="-6"/>
        </w:rPr>
        <w:object w:dxaOrig="480" w:dyaOrig="260" w14:anchorId="303FDD35">
          <v:shape id="_x0000_i1813" type="#_x0000_t75" style="width:24.2pt;height:12.7pt" o:ole="">
            <v:imagedata r:id="rId1610" o:title=""/>
          </v:shape>
          <o:OLEObject Type="Embed" ProgID="Equation.DSMT4" ShapeID="_x0000_i1813" DrawAspect="Content" ObjectID="_1791375757" r:id="rId1611"/>
        </w:object>
      </w:r>
      <w:r w:rsidRPr="00A62FF4">
        <w:rPr>
          <w:sz w:val="23"/>
          <w:szCs w:val="23"/>
        </w:rPr>
        <w:t xml:space="preserve"> </w:t>
      </w:r>
      <w:r w:rsidRPr="00A62FF4">
        <w:rPr>
          <w:rFonts w:hint="cs"/>
          <w:sz w:val="23"/>
          <w:szCs w:val="23"/>
          <w:rtl/>
        </w:rPr>
        <w:t>حل کنیم و بجاری</w:t>
      </w:r>
      <w:r w:rsidRPr="00A62FF4">
        <w:rPr>
          <w:position w:val="-10"/>
        </w:rPr>
        <w:object w:dxaOrig="220" w:dyaOrig="320" w14:anchorId="1D1614D8">
          <v:shape id="_x0000_i1814" type="#_x0000_t75" style="width:10.9pt;height:15.75pt" o:ole="">
            <v:imagedata r:id="rId1612" o:title=""/>
          </v:shape>
          <o:OLEObject Type="Embed" ProgID="Equation.DSMT4" ShapeID="_x0000_i1814" DrawAspect="Content" ObjectID="_1791375758" r:id="rId1613"/>
        </w:object>
      </w:r>
      <w:r w:rsidRPr="00A62FF4">
        <w:rPr>
          <w:sz w:val="23"/>
          <w:szCs w:val="23"/>
        </w:rPr>
        <w:t xml:space="preserve"> </w:t>
      </w:r>
      <w:r w:rsidRPr="00A62FF4">
        <w:rPr>
          <w:rFonts w:hint="cs"/>
          <w:sz w:val="23"/>
          <w:szCs w:val="23"/>
          <w:rtl/>
        </w:rPr>
        <w:t>و</w:t>
      </w:r>
      <w:r w:rsidRPr="00A62FF4">
        <w:rPr>
          <w:position w:val="-10"/>
        </w:rPr>
        <w:object w:dxaOrig="360" w:dyaOrig="320" w14:anchorId="732A6D18">
          <v:shape id="_x0000_i1815" type="#_x0000_t75" style="width:18.15pt;height:15.75pt" o:ole="">
            <v:imagedata r:id="rId1614" o:title=""/>
          </v:shape>
          <o:OLEObject Type="Embed" ProgID="Equation.DSMT4" ShapeID="_x0000_i1815" DrawAspect="Content" ObjectID="_1791375759" r:id="rId1615"/>
        </w:object>
      </w:r>
      <w:r w:rsidRPr="00A62FF4">
        <w:rPr>
          <w:rFonts w:hint="cs"/>
          <w:sz w:val="23"/>
          <w:szCs w:val="23"/>
          <w:rtl/>
        </w:rPr>
        <w:t xml:space="preserve"> مقادیر آنرا جایگزین کنیم خواهیم داشت:</w:t>
      </w:r>
    </w:p>
    <w:p w14:paraId="5C181D01" w14:textId="77777777" w:rsidR="00411620" w:rsidRPr="00A62FF4" w:rsidRDefault="00411620" w:rsidP="00411620">
      <w:pPr>
        <w:pStyle w:val="MTDisplayEquation"/>
        <w:spacing w:line="216" w:lineRule="auto"/>
        <w:rPr>
          <w:rFonts w:ascii="Times New Roman" w:eastAsiaTheme="minorEastAsia" w:hAnsi="Times New Roman" w:cs="B Nazanin"/>
          <w:sz w:val="23"/>
          <w:szCs w:val="23"/>
        </w:rPr>
      </w:pPr>
      <w:r w:rsidRPr="00A62FF4">
        <w:rPr>
          <w:position w:val="-18"/>
        </w:rPr>
        <w:object w:dxaOrig="5580" w:dyaOrig="460" w14:anchorId="3DA82EA0">
          <v:shape id="_x0000_i1816" type="#_x0000_t75" style="width:278.9pt;height:23pt" o:ole="">
            <v:imagedata r:id="rId1616" o:title=""/>
          </v:shape>
          <o:OLEObject Type="Embed" ProgID="Equation.DSMT4" ShapeID="_x0000_i1816" DrawAspect="Content" ObjectID="_1791375760" r:id="rId1617"/>
        </w:object>
      </w:r>
    </w:p>
    <w:p w14:paraId="241D9797" w14:textId="77777777" w:rsidR="00411620" w:rsidRPr="00A62FF4" w:rsidRDefault="00411620" w:rsidP="00411620">
      <w:pPr>
        <w:bidi w:val="0"/>
        <w:spacing w:line="216" w:lineRule="auto"/>
        <w:rPr>
          <w:rFonts w:eastAsiaTheme="minorEastAsia"/>
          <w:sz w:val="23"/>
          <w:szCs w:val="23"/>
          <w:rtl/>
        </w:rPr>
      </w:pPr>
      <w:r w:rsidRPr="00A62FF4">
        <w:rPr>
          <w:position w:val="-30"/>
        </w:rPr>
        <w:object w:dxaOrig="4520" w:dyaOrig="740" w14:anchorId="7811822B">
          <v:shape id="_x0000_i1817" type="#_x0000_t75" style="width:226.3pt;height:36.9pt" o:ole="">
            <v:imagedata r:id="rId1618" o:title=""/>
          </v:shape>
          <o:OLEObject Type="Embed" ProgID="Equation.DSMT4" ShapeID="_x0000_i1817" DrawAspect="Content" ObjectID="_1791375761" r:id="rId1619"/>
        </w:object>
      </w:r>
    </w:p>
    <w:p w14:paraId="1E4D48BC" w14:textId="77777777" w:rsidR="00411620" w:rsidRPr="00A62FF4" w:rsidRDefault="00411620" w:rsidP="00411620">
      <w:pPr>
        <w:spacing w:line="216" w:lineRule="auto"/>
        <w:rPr>
          <w:sz w:val="23"/>
          <w:szCs w:val="23"/>
          <w:rtl/>
        </w:rPr>
      </w:pPr>
      <w:r w:rsidRPr="00A62FF4">
        <w:rPr>
          <w:rFonts w:hint="cs"/>
          <w:sz w:val="23"/>
          <w:szCs w:val="23"/>
          <w:rtl/>
        </w:rPr>
        <w:t>رابطه</w:t>
      </w:r>
      <w:r w:rsidRPr="00A62FF4">
        <w:rPr>
          <w:sz w:val="23"/>
          <w:szCs w:val="23"/>
          <w:rtl/>
        </w:rPr>
        <w:softHyphen/>
      </w:r>
      <w:r w:rsidRPr="00A62FF4">
        <w:rPr>
          <w:rFonts w:hint="cs"/>
          <w:sz w:val="23"/>
          <w:szCs w:val="23"/>
          <w:rtl/>
        </w:rPr>
        <w:t>ی فوق همان معادله</w:t>
      </w:r>
      <w:r w:rsidRPr="00A62FF4">
        <w:rPr>
          <w:sz w:val="23"/>
          <w:szCs w:val="23"/>
          <w:rtl/>
        </w:rPr>
        <w:softHyphen/>
      </w:r>
      <w:r w:rsidRPr="00A62FF4">
        <w:rPr>
          <w:rFonts w:hint="cs"/>
          <w:sz w:val="23"/>
          <w:szCs w:val="23"/>
          <w:rtl/>
        </w:rPr>
        <w:t>ی اویلر است. اگر</w:t>
      </w:r>
      <w:r w:rsidRPr="00A62FF4">
        <w:rPr>
          <w:position w:val="-10"/>
        </w:rPr>
        <w:object w:dxaOrig="560" w:dyaOrig="300" w14:anchorId="52BBA7DA">
          <v:shape id="_x0000_i1818" type="#_x0000_t75" style="width:27.85pt;height:15.15pt" o:ole="">
            <v:imagedata r:id="rId1620" o:title=""/>
          </v:shape>
          <o:OLEObject Type="Embed" ProgID="Equation.DSMT4" ShapeID="_x0000_i1818" DrawAspect="Content" ObjectID="_1791375762" r:id="rId1621"/>
        </w:object>
      </w:r>
      <w:r w:rsidRPr="00A62FF4">
        <w:rPr>
          <w:rFonts w:hint="cs"/>
          <w:sz w:val="23"/>
          <w:szCs w:val="23"/>
          <w:rtl/>
        </w:rPr>
        <w:t xml:space="preserve"> باشد، یعنی اقتصاد در وضعیت تعادل ایستا</w:t>
      </w:r>
      <w:r w:rsidRPr="00A62FF4">
        <w:rPr>
          <w:sz w:val="23"/>
          <w:szCs w:val="23"/>
        </w:rPr>
        <w:t xml:space="preserve"> </w:t>
      </w:r>
      <w:r w:rsidRPr="00A62FF4">
        <w:rPr>
          <w:rFonts w:hint="cs"/>
          <w:sz w:val="23"/>
          <w:szCs w:val="23"/>
          <w:rtl/>
        </w:rPr>
        <w:t xml:space="preserve">است که در آن رشد متغیرهای سرانه یعنی رشد موجودی سرمایه و مصرف به ازای نیروی کار در وضعیت یکنواخت صفر و </w:t>
      </w:r>
      <w:r w:rsidRPr="00A62FF4">
        <w:rPr>
          <w:position w:val="-10"/>
        </w:rPr>
        <w:object w:dxaOrig="1500" w:dyaOrig="320" w14:anchorId="04233655">
          <v:shape id="_x0000_i1819" type="#_x0000_t75" style="width:75.05pt;height:15.75pt" o:ole="">
            <v:imagedata r:id="rId1622" o:title=""/>
          </v:shape>
          <o:OLEObject Type="Embed" ProgID="Equation.DSMT4" ShapeID="_x0000_i1819" DrawAspect="Content" ObjectID="_1791375763" r:id="rId1623"/>
        </w:object>
      </w:r>
      <w:r w:rsidRPr="00A62FF4">
        <w:rPr>
          <w:rFonts w:hint="cs"/>
          <w:sz w:val="23"/>
          <w:szCs w:val="23"/>
          <w:rtl/>
        </w:rPr>
        <w:t xml:space="preserve"> می</w:t>
      </w:r>
      <w:r w:rsidRPr="00A62FF4">
        <w:rPr>
          <w:sz w:val="23"/>
          <w:szCs w:val="23"/>
          <w:rtl/>
        </w:rPr>
        <w:softHyphen/>
      </w:r>
      <w:r w:rsidRPr="00A62FF4">
        <w:rPr>
          <w:rFonts w:hint="cs"/>
          <w:sz w:val="23"/>
          <w:szCs w:val="23"/>
          <w:rtl/>
        </w:rPr>
        <w:t xml:space="preserve">باشد. </w:t>
      </w:r>
    </w:p>
    <w:p w14:paraId="15EC15B6" w14:textId="77777777" w:rsidR="00411620" w:rsidRPr="00A62FF4" w:rsidRDefault="00411620" w:rsidP="00411620">
      <w:pPr>
        <w:spacing w:line="216" w:lineRule="auto"/>
        <w:rPr>
          <w:rFonts w:eastAsiaTheme="minorEastAsia"/>
          <w:sz w:val="23"/>
          <w:szCs w:val="23"/>
          <w:rtl/>
        </w:rPr>
      </w:pPr>
      <w:r w:rsidRPr="00A62FF4">
        <w:rPr>
          <w:rFonts w:hint="cs"/>
          <w:sz w:val="23"/>
          <w:szCs w:val="23"/>
          <w:rtl/>
        </w:rPr>
        <w:t>چنانچه رشد تکنولوژی وجود داشته باشد، آنگاه متغیرهای مصرف و موجودی سرمایه به ازای نیروی کار مؤثر دروضعیت یکنواخت رشد صفر خواهند داشت. بنابراین خواهیم داشت</w:t>
      </w:r>
      <w:r w:rsidRPr="00A62FF4">
        <w:rPr>
          <w:position w:val="-10"/>
        </w:rPr>
        <w:object w:dxaOrig="1500" w:dyaOrig="360" w14:anchorId="55E81014">
          <v:shape id="_x0000_i1820" type="#_x0000_t75" style="width:75.05pt;height:18.15pt" o:ole="">
            <v:imagedata r:id="rId1624" o:title=""/>
          </v:shape>
          <o:OLEObject Type="Embed" ProgID="Equation.DSMT4" ShapeID="_x0000_i1820" DrawAspect="Content" ObjectID="_1791375764" r:id="rId1625"/>
        </w:object>
      </w:r>
      <w:r w:rsidRPr="00A62FF4">
        <w:rPr>
          <w:rFonts w:hint="cs"/>
          <w:sz w:val="23"/>
          <w:szCs w:val="23"/>
          <w:rtl/>
        </w:rPr>
        <w:t xml:space="preserve">. از آنجا که در وضعیت یکنواخت </w:t>
      </w:r>
      <w:r w:rsidRPr="00A62FF4">
        <w:rPr>
          <w:position w:val="-10"/>
        </w:rPr>
        <w:object w:dxaOrig="1700" w:dyaOrig="320" w14:anchorId="42BDA7C2">
          <v:shape id="_x0000_i1821" type="#_x0000_t75" style="width:84.7pt;height:15.75pt" o:ole="">
            <v:imagedata r:id="rId1626" o:title=""/>
          </v:shape>
          <o:OLEObject Type="Embed" ProgID="Equation.DSMT4" ShapeID="_x0000_i1821" DrawAspect="Content" ObjectID="_1791375765" r:id="rId1627"/>
        </w:object>
      </w:r>
      <w:r w:rsidRPr="00A62FF4">
        <w:rPr>
          <w:rFonts w:hint="cs"/>
          <w:sz w:val="23"/>
          <w:szCs w:val="23"/>
          <w:rtl/>
        </w:rPr>
        <w:t xml:space="preserve"> است لذا</w:t>
      </w:r>
      <w:r w:rsidRPr="00A62FF4">
        <w:rPr>
          <w:position w:val="-10"/>
        </w:rPr>
        <w:object w:dxaOrig="720" w:dyaOrig="320" w14:anchorId="00D984D0">
          <v:shape id="_x0000_i1822" type="#_x0000_t75" style="width:36.3pt;height:15.75pt" o:ole="">
            <v:imagedata r:id="rId1628" o:title=""/>
          </v:shape>
          <o:OLEObject Type="Embed" ProgID="Equation.DSMT4" ShapeID="_x0000_i1822" DrawAspect="Content" ObjectID="_1791375766" r:id="rId1629"/>
        </w:object>
      </w:r>
      <w:r w:rsidRPr="00A62FF4">
        <w:rPr>
          <w:sz w:val="23"/>
          <w:szCs w:val="23"/>
        </w:rPr>
        <w:t>.</w:t>
      </w:r>
      <w:r w:rsidRPr="00A62FF4">
        <w:rPr>
          <w:rFonts w:eastAsiaTheme="minorEastAsia" w:hint="cs"/>
          <w:sz w:val="23"/>
          <w:szCs w:val="23"/>
          <w:rtl/>
        </w:rPr>
        <w:t xml:space="preserve"> بنابر</w:t>
      </w:r>
      <w:r w:rsidRPr="00A62FF4">
        <w:rPr>
          <w:rFonts w:eastAsiaTheme="minorEastAsia"/>
          <w:sz w:val="23"/>
          <w:szCs w:val="23"/>
          <w:rtl/>
        </w:rPr>
        <w:softHyphen/>
      </w:r>
      <w:r w:rsidRPr="00A62FF4">
        <w:rPr>
          <w:rFonts w:eastAsiaTheme="minorEastAsia" w:hint="cs"/>
          <w:sz w:val="23"/>
          <w:szCs w:val="23"/>
          <w:rtl/>
        </w:rPr>
        <w:t>این</w:t>
      </w:r>
    </w:p>
    <w:p w14:paraId="1D09B08D" w14:textId="77777777" w:rsidR="00411620" w:rsidRPr="00A62FF4" w:rsidRDefault="00411620" w:rsidP="00411620">
      <w:pPr>
        <w:bidi w:val="0"/>
        <w:spacing w:line="216" w:lineRule="auto"/>
        <w:rPr>
          <w:sz w:val="23"/>
          <w:szCs w:val="23"/>
          <w:rtl/>
        </w:rPr>
      </w:pPr>
      <w:r w:rsidRPr="00A62FF4">
        <w:rPr>
          <w:rFonts w:hint="cs"/>
          <w:sz w:val="23"/>
          <w:szCs w:val="23"/>
          <w:rtl/>
        </w:rPr>
        <w:t xml:space="preserve"> </w:t>
      </w:r>
      <w:r w:rsidRPr="00A62FF4">
        <w:rPr>
          <w:position w:val="-18"/>
        </w:rPr>
        <w:object w:dxaOrig="3420" w:dyaOrig="460" w14:anchorId="33C8D00B">
          <v:shape id="_x0000_i1823" type="#_x0000_t75" style="width:170.6pt;height:23pt" o:ole="">
            <v:imagedata r:id="rId1630" o:title=""/>
          </v:shape>
          <o:OLEObject Type="Embed" ProgID="Equation.DSMT4" ShapeID="_x0000_i1823" DrawAspect="Content" ObjectID="_1791375767" r:id="rId1631"/>
        </w:object>
      </w:r>
      <w:r w:rsidRPr="00A62FF4">
        <w:rPr>
          <w:rFonts w:hint="cs"/>
          <w:sz w:val="23"/>
          <w:szCs w:val="23"/>
          <w:rtl/>
        </w:rPr>
        <w:t xml:space="preserve"> </w:t>
      </w:r>
    </w:p>
    <w:p w14:paraId="17C6C500" w14:textId="77777777" w:rsidR="00411620" w:rsidRPr="00A62FF4" w:rsidRDefault="00411620" w:rsidP="00411620">
      <w:pPr>
        <w:spacing w:line="216" w:lineRule="auto"/>
        <w:rPr>
          <w:sz w:val="23"/>
          <w:szCs w:val="23"/>
          <w:rtl/>
        </w:rPr>
      </w:pPr>
      <w:r w:rsidRPr="00A62FF4">
        <w:rPr>
          <w:rFonts w:hint="cs"/>
          <w:sz w:val="23"/>
          <w:szCs w:val="23"/>
          <w:rtl/>
        </w:rPr>
        <w:t>و یا تولید نهایی سرمایه به ازای هر واحد نیروی کار مؤثر در وضعیت یکنواخت برابر خواهد بود با:</w:t>
      </w:r>
    </w:p>
    <w:p w14:paraId="3F80582F" w14:textId="77777777" w:rsidR="00411620" w:rsidRPr="00A62FF4" w:rsidRDefault="00411620" w:rsidP="00411620">
      <w:pPr>
        <w:pStyle w:val="MTDisplayEquation"/>
        <w:spacing w:line="216" w:lineRule="auto"/>
        <w:rPr>
          <w:rFonts w:ascii="Times New Roman" w:hAnsi="Times New Roman" w:cs="B Nazanin"/>
          <w:sz w:val="23"/>
          <w:szCs w:val="23"/>
        </w:rPr>
      </w:pPr>
      <w:r w:rsidRPr="00A62FF4">
        <w:rPr>
          <w:position w:val="-34"/>
        </w:rPr>
        <w:object w:dxaOrig="3580" w:dyaOrig="680" w14:anchorId="39E1FD7B">
          <v:shape id="_x0000_i1824" type="#_x0000_t75" style="width:178.5pt;height:33.9pt" o:ole="">
            <v:imagedata r:id="rId1632" o:title=""/>
          </v:shape>
          <o:OLEObject Type="Embed" ProgID="Equation.DSMT4" ShapeID="_x0000_i1824" DrawAspect="Content" ObjectID="_1791375768" r:id="rId1633"/>
        </w:object>
      </w:r>
    </w:p>
    <w:p w14:paraId="39C3CBFB" w14:textId="77777777" w:rsidR="00411620" w:rsidRPr="00A62FF4" w:rsidRDefault="00411620" w:rsidP="00411620">
      <w:pPr>
        <w:spacing w:line="216" w:lineRule="auto"/>
        <w:rPr>
          <w:sz w:val="23"/>
          <w:szCs w:val="23"/>
        </w:rPr>
      </w:pPr>
      <w:r w:rsidRPr="00A62FF4">
        <w:rPr>
          <w:rFonts w:hint="cs"/>
          <w:sz w:val="23"/>
          <w:szCs w:val="23"/>
          <w:rtl/>
        </w:rPr>
        <w:t xml:space="preserve">با فرض </w:t>
      </w:r>
      <w:r w:rsidRPr="00A62FF4">
        <w:rPr>
          <w:position w:val="-22"/>
        </w:rPr>
        <w:object w:dxaOrig="880" w:dyaOrig="560" w14:anchorId="2DC6219A">
          <v:shape id="_x0000_i1825" type="#_x0000_t75" style="width:44.15pt;height:27.85pt" o:ole="">
            <v:imagedata r:id="rId1634" o:title=""/>
          </v:shape>
          <o:OLEObject Type="Embed" ProgID="Equation.DSMT4" ShapeID="_x0000_i1825" DrawAspect="Content" ObjectID="_1791375769" r:id="rId1635"/>
        </w:object>
      </w:r>
      <w:r w:rsidRPr="00A62FF4">
        <w:rPr>
          <w:rFonts w:eastAsiaTheme="minorEastAsia" w:hint="cs"/>
          <w:sz w:val="23"/>
          <w:szCs w:val="23"/>
          <w:rtl/>
        </w:rPr>
        <w:t xml:space="preserve"> و تقریب تیلور </w:t>
      </w:r>
      <w:r w:rsidRPr="00A62FF4">
        <w:rPr>
          <w:position w:val="-22"/>
        </w:rPr>
        <w:object w:dxaOrig="1200" w:dyaOrig="560" w14:anchorId="2503DEDF">
          <v:shape id="_x0000_i1826" type="#_x0000_t75" style="width:59.9pt;height:27.85pt" o:ole="">
            <v:imagedata r:id="rId1636" o:title=""/>
          </v:shape>
          <o:OLEObject Type="Embed" ProgID="Equation.DSMT4" ShapeID="_x0000_i1826" DrawAspect="Content" ObjectID="_1791375770" r:id="rId1637"/>
        </w:object>
      </w:r>
      <w:r w:rsidRPr="00A62FF4">
        <w:rPr>
          <w:rFonts w:eastAsiaTheme="minorEastAsia" w:hint="cs"/>
          <w:sz w:val="23"/>
          <w:szCs w:val="23"/>
          <w:rtl/>
        </w:rPr>
        <w:t xml:space="preserve">، </w:t>
      </w:r>
      <w:r w:rsidRPr="00A62FF4">
        <w:rPr>
          <w:rFonts w:hint="cs"/>
          <w:sz w:val="23"/>
          <w:szCs w:val="23"/>
          <w:rtl/>
        </w:rPr>
        <w:t>تولید نهایی سرمایه به ازای هر واحد نیروی کار مؤثر در وضعیت یکنواخت برابر خواهد بود با:</w:t>
      </w:r>
    </w:p>
    <w:p w14:paraId="27752BE9" w14:textId="77777777" w:rsidR="00411620" w:rsidRPr="00A62FF4" w:rsidRDefault="00411620" w:rsidP="00411620">
      <w:pPr>
        <w:pStyle w:val="MTDisplayEquation"/>
        <w:spacing w:line="216" w:lineRule="auto"/>
        <w:rPr>
          <w:rFonts w:ascii="Times New Roman" w:hAnsi="Times New Roman" w:cs="B Nazanin"/>
          <w:sz w:val="23"/>
          <w:szCs w:val="23"/>
        </w:rPr>
      </w:pPr>
      <w:r w:rsidRPr="00A62FF4">
        <w:rPr>
          <w:position w:val="-26"/>
        </w:rPr>
        <w:object w:dxaOrig="3280" w:dyaOrig="620" w14:anchorId="2089E742">
          <v:shape id="_x0000_i1827" type="#_x0000_t75" style="width:163.95pt;height:30.85pt" o:ole="">
            <v:imagedata r:id="rId1638" o:title=""/>
          </v:shape>
          <o:OLEObject Type="Embed" ProgID="Equation.DSMT4" ShapeID="_x0000_i1827" DrawAspect="Content" ObjectID="_1791375771" r:id="rId1639"/>
        </w:object>
      </w:r>
    </w:p>
    <w:p w14:paraId="5522474F" w14:textId="77777777" w:rsidR="00411620" w:rsidRPr="00A62FF4" w:rsidRDefault="00411620" w:rsidP="00411620">
      <w:pPr>
        <w:spacing w:line="216" w:lineRule="auto"/>
        <w:rPr>
          <w:sz w:val="23"/>
          <w:szCs w:val="23"/>
          <w:rtl/>
        </w:rPr>
      </w:pPr>
      <w:r w:rsidRPr="00A62FF4">
        <w:rPr>
          <w:rFonts w:hint="cs"/>
          <w:sz w:val="23"/>
          <w:szCs w:val="23"/>
          <w:rtl/>
        </w:rPr>
        <w:t>اکنون سطح بهینه</w:t>
      </w:r>
      <w:r w:rsidRPr="00A62FF4">
        <w:rPr>
          <w:sz w:val="23"/>
          <w:szCs w:val="23"/>
          <w:rtl/>
        </w:rPr>
        <w:softHyphen/>
      </w:r>
      <w:r w:rsidRPr="00A62FF4">
        <w:rPr>
          <w:rFonts w:hint="cs"/>
          <w:sz w:val="23"/>
          <w:szCs w:val="23"/>
          <w:rtl/>
        </w:rPr>
        <w:t>ی</w:t>
      </w:r>
      <w:r w:rsidRPr="00A62FF4">
        <w:rPr>
          <w:position w:val="-6"/>
        </w:rPr>
        <w:object w:dxaOrig="260" w:dyaOrig="320" w14:anchorId="65798513">
          <v:shape id="_x0000_i1828" type="#_x0000_t75" style="width:12.7pt;height:15.75pt" o:ole="">
            <v:imagedata r:id="rId1640" o:title=""/>
          </v:shape>
          <o:OLEObject Type="Embed" ProgID="Equation.DSMT4" ShapeID="_x0000_i1828" DrawAspect="Content" ObjectID="_1791375772" r:id="rId1641"/>
        </w:object>
      </w:r>
      <w:r w:rsidRPr="00A62FF4">
        <w:rPr>
          <w:rFonts w:hint="cs"/>
          <w:sz w:val="23"/>
          <w:szCs w:val="23"/>
          <w:rtl/>
        </w:rPr>
        <w:t xml:space="preserve"> اقتصادی که درآن رشد جمعیت و رشد تکنولوژی وجود دارد را می</w:t>
      </w:r>
      <w:r w:rsidRPr="00A62FF4">
        <w:rPr>
          <w:sz w:val="23"/>
          <w:szCs w:val="23"/>
          <w:rtl/>
        </w:rPr>
        <w:softHyphen/>
      </w:r>
      <w:r w:rsidRPr="00A62FF4">
        <w:rPr>
          <w:rFonts w:hint="cs"/>
          <w:sz w:val="23"/>
          <w:szCs w:val="23"/>
          <w:rtl/>
        </w:rPr>
        <w:t>توان با سطح بهینه</w:t>
      </w:r>
      <w:r w:rsidRPr="00A62FF4">
        <w:rPr>
          <w:sz w:val="23"/>
          <w:szCs w:val="23"/>
          <w:rtl/>
        </w:rPr>
        <w:softHyphen/>
      </w:r>
      <w:r w:rsidRPr="00A62FF4">
        <w:rPr>
          <w:rFonts w:hint="cs"/>
          <w:sz w:val="23"/>
          <w:szCs w:val="23"/>
          <w:rtl/>
        </w:rPr>
        <w:t>ی</w:t>
      </w:r>
      <w:r w:rsidRPr="00A62FF4">
        <w:rPr>
          <w:position w:val="-6"/>
        </w:rPr>
        <w:object w:dxaOrig="260" w:dyaOrig="300" w14:anchorId="01F3094A">
          <v:shape id="_x0000_i1829" type="#_x0000_t75" style="width:12.7pt;height:15.15pt" o:ole="">
            <v:imagedata r:id="rId1642" o:title=""/>
          </v:shape>
          <o:OLEObject Type="Embed" ProgID="Equation.DSMT4" ShapeID="_x0000_i1829" DrawAspect="Content" ObjectID="_1791375773" r:id="rId1643"/>
        </w:object>
      </w:r>
      <w:r w:rsidRPr="00A62FF4">
        <w:rPr>
          <w:rFonts w:hint="cs"/>
          <w:sz w:val="23"/>
          <w:szCs w:val="23"/>
          <w:rtl/>
        </w:rPr>
        <w:t xml:space="preserve"> اقتصادی مقایسه کرد که در آن رشد جمعیت و رشد تکنولوژی وجود ندارد. زمانی که </w:t>
      </w:r>
      <w:r w:rsidRPr="00A62FF4">
        <w:rPr>
          <w:position w:val="-10"/>
        </w:rPr>
        <w:object w:dxaOrig="900" w:dyaOrig="300" w14:anchorId="63B81820">
          <v:shape id="_x0000_i1830" type="#_x0000_t75" style="width:44.75pt;height:15.15pt" o:ole="">
            <v:imagedata r:id="rId1644" o:title=""/>
          </v:shape>
          <o:OLEObject Type="Embed" ProgID="Equation.DSMT4" ShapeID="_x0000_i1830" DrawAspect="Content" ObjectID="_1791375774" r:id="rId1645"/>
        </w:object>
      </w:r>
      <w:r w:rsidRPr="00A62FF4">
        <w:rPr>
          <w:rFonts w:hint="cs"/>
          <w:sz w:val="23"/>
          <w:szCs w:val="23"/>
          <w:rtl/>
        </w:rPr>
        <w:t xml:space="preserve"> باشد</w:t>
      </w:r>
      <w:r w:rsidRPr="00A62FF4">
        <w:rPr>
          <w:position w:val="-16"/>
        </w:rPr>
        <w:object w:dxaOrig="1020" w:dyaOrig="420" w14:anchorId="28825EF7">
          <v:shape id="_x0000_i1831" type="#_x0000_t75" style="width:50.8pt;height:21.2pt" o:ole="">
            <v:imagedata r:id="rId1646" o:title=""/>
          </v:shape>
          <o:OLEObject Type="Embed" ProgID="Equation.DSMT4" ShapeID="_x0000_i1831" DrawAspect="Content" ObjectID="_1791375775" r:id="rId1647"/>
        </w:object>
      </w:r>
      <w:r w:rsidRPr="00A62FF4">
        <w:rPr>
          <w:rFonts w:hint="cs"/>
          <w:sz w:val="23"/>
          <w:szCs w:val="23"/>
          <w:rtl/>
        </w:rPr>
        <w:t xml:space="preserve"> است. اما اگر </w:t>
      </w:r>
      <w:r w:rsidRPr="00A62FF4">
        <w:rPr>
          <w:position w:val="-10"/>
        </w:rPr>
        <w:object w:dxaOrig="760" w:dyaOrig="300" w14:anchorId="2C820452">
          <v:shape id="_x0000_i1832" type="#_x0000_t75" style="width:38.1pt;height:15.15pt" o:ole="">
            <v:imagedata r:id="rId1648" o:title=""/>
          </v:shape>
          <o:OLEObject Type="Embed" ProgID="Equation.DSMT4" ShapeID="_x0000_i1832" DrawAspect="Content" ObjectID="_1791375776" r:id="rId1649"/>
        </w:object>
      </w:r>
      <w:r w:rsidRPr="00A62FF4">
        <w:rPr>
          <w:rFonts w:hint="cs"/>
          <w:sz w:val="23"/>
          <w:szCs w:val="23"/>
          <w:rtl/>
        </w:rPr>
        <w:t xml:space="preserve"> باشند، آنگاه خواهیم داشت: </w:t>
      </w:r>
      <w:r w:rsidRPr="00A62FF4">
        <w:rPr>
          <w:position w:val="-18"/>
        </w:rPr>
        <w:object w:dxaOrig="1480" w:dyaOrig="460" w14:anchorId="12EC886C">
          <v:shape id="_x0000_i1833" type="#_x0000_t75" style="width:73.8pt;height:23pt" o:ole="">
            <v:imagedata r:id="rId1650" o:title=""/>
          </v:shape>
          <o:OLEObject Type="Embed" ProgID="Equation.DSMT4" ShapeID="_x0000_i1833" DrawAspect="Content" ObjectID="_1791375777" r:id="rId1651"/>
        </w:object>
      </w:r>
      <w:r w:rsidRPr="00A62FF4">
        <w:rPr>
          <w:rFonts w:hint="cs"/>
          <w:sz w:val="23"/>
          <w:szCs w:val="23"/>
          <w:rtl/>
        </w:rPr>
        <w:t>. یعنی مقدار</w:t>
      </w:r>
      <w:r w:rsidRPr="00A62FF4">
        <w:rPr>
          <w:position w:val="-6"/>
        </w:rPr>
        <w:object w:dxaOrig="260" w:dyaOrig="320" w14:anchorId="173A476B">
          <v:shape id="_x0000_i1834" type="#_x0000_t75" style="width:12.7pt;height:15.75pt" o:ole="">
            <v:imagedata r:id="rId1652" o:title=""/>
          </v:shape>
          <o:OLEObject Type="Embed" ProgID="Equation.DSMT4" ShapeID="_x0000_i1834" DrawAspect="Content" ObjectID="_1791375778" r:id="rId1653"/>
        </w:object>
      </w:r>
      <w:r w:rsidRPr="00A62FF4">
        <w:rPr>
          <w:rFonts w:eastAsiaTheme="minorEastAsia" w:hint="cs"/>
          <w:sz w:val="23"/>
          <w:szCs w:val="23"/>
          <w:rtl/>
        </w:rPr>
        <w:t xml:space="preserve"> و به تبع آن</w:t>
      </w:r>
      <w:r w:rsidRPr="00A62FF4">
        <w:rPr>
          <w:position w:val="-8"/>
        </w:rPr>
        <w:object w:dxaOrig="260" w:dyaOrig="320" w14:anchorId="31D27F7B">
          <v:shape id="_x0000_i1835" type="#_x0000_t75" style="width:12.7pt;height:15.75pt" o:ole="">
            <v:imagedata r:id="rId1654" o:title=""/>
          </v:shape>
          <o:OLEObject Type="Embed" ProgID="Equation.DSMT4" ShapeID="_x0000_i1835" DrawAspect="Content" ObjectID="_1791375779" r:id="rId1655"/>
        </w:object>
      </w:r>
      <w:r w:rsidRPr="00A62FF4">
        <w:rPr>
          <w:rFonts w:eastAsiaTheme="minorEastAsia" w:hint="cs"/>
          <w:sz w:val="23"/>
          <w:szCs w:val="23"/>
          <w:rtl/>
        </w:rPr>
        <w:t xml:space="preserve"> و</w:t>
      </w:r>
      <w:r w:rsidRPr="00A62FF4">
        <w:rPr>
          <w:position w:val="-6"/>
        </w:rPr>
        <w:object w:dxaOrig="240" w:dyaOrig="300" w14:anchorId="73716095">
          <v:shape id="_x0000_i1836" type="#_x0000_t75" style="width:12.1pt;height:15.15pt" o:ole="">
            <v:imagedata r:id="rId1656" o:title=""/>
          </v:shape>
          <o:OLEObject Type="Embed" ProgID="Equation.DSMT4" ShapeID="_x0000_i1836" DrawAspect="Content" ObjectID="_1791375780" r:id="rId1657"/>
        </w:object>
      </w:r>
      <w:r w:rsidRPr="00A62FF4">
        <w:rPr>
          <w:rFonts w:eastAsiaTheme="minorEastAsia" w:hint="cs"/>
          <w:sz w:val="23"/>
          <w:szCs w:val="23"/>
          <w:rtl/>
        </w:rPr>
        <w:t xml:space="preserve"> </w:t>
      </w:r>
      <w:r w:rsidRPr="00A62FF4">
        <w:rPr>
          <w:rFonts w:hint="cs"/>
          <w:sz w:val="23"/>
          <w:szCs w:val="23"/>
          <w:rtl/>
        </w:rPr>
        <w:t>د</w:t>
      </w:r>
      <w:r w:rsidRPr="00A62FF4">
        <w:rPr>
          <w:rFonts w:hint="cs"/>
          <w:sz w:val="23"/>
          <w:szCs w:val="23"/>
          <w:rtl/>
          <w:lang w:val="en-GB"/>
        </w:rPr>
        <w:t>ر وضعیت یکنواخت و بلندمدت</w:t>
      </w:r>
      <w:r w:rsidRPr="00A62FF4">
        <w:rPr>
          <w:rFonts w:hint="cs"/>
          <w:sz w:val="23"/>
          <w:szCs w:val="23"/>
          <w:rtl/>
        </w:rPr>
        <w:t xml:space="preserve"> کاهش می</w:t>
      </w:r>
      <w:r w:rsidRPr="00A62FF4">
        <w:rPr>
          <w:rFonts w:hint="cs"/>
          <w:sz w:val="23"/>
          <w:szCs w:val="23"/>
          <w:rtl/>
        </w:rPr>
        <w:softHyphen/>
        <w:t xml:space="preserve">یابند. از آنجا که </w:t>
      </w:r>
    </w:p>
    <w:p w14:paraId="1F168E59" w14:textId="77777777" w:rsidR="00411620" w:rsidRPr="00A62FF4" w:rsidRDefault="00411620" w:rsidP="00411620">
      <w:pPr>
        <w:bidi w:val="0"/>
        <w:spacing w:line="216" w:lineRule="auto"/>
        <w:rPr>
          <w:sz w:val="23"/>
          <w:szCs w:val="23"/>
          <w:rtl/>
        </w:rPr>
      </w:pPr>
      <w:r w:rsidRPr="00A62FF4">
        <w:rPr>
          <w:position w:val="-30"/>
        </w:rPr>
        <w:object w:dxaOrig="7020" w:dyaOrig="820" w14:anchorId="5F93183B">
          <v:shape id="_x0000_i1837" type="#_x0000_t75" style="width:341.25pt;height:41.15pt" o:ole="">
            <v:imagedata r:id="rId1658" o:title=""/>
          </v:shape>
          <o:OLEObject Type="Embed" ProgID="Equation.DSMT4" ShapeID="_x0000_i1837" DrawAspect="Content" ObjectID="_1791375781" r:id="rId1659"/>
        </w:object>
      </w:r>
      <w:r w:rsidRPr="00A62FF4">
        <w:rPr>
          <w:sz w:val="23"/>
          <w:szCs w:val="23"/>
        </w:rPr>
        <w:t xml:space="preserve"> </w:t>
      </w:r>
    </w:p>
    <w:p w14:paraId="3F5FAE58" w14:textId="77777777" w:rsidR="00411620" w:rsidRPr="00A62FF4" w:rsidRDefault="00411620" w:rsidP="00411620">
      <w:pPr>
        <w:spacing w:line="216" w:lineRule="auto"/>
        <w:rPr>
          <w:sz w:val="23"/>
          <w:szCs w:val="23"/>
          <w:rtl/>
        </w:rPr>
      </w:pPr>
      <w:r w:rsidRPr="00A62FF4">
        <w:rPr>
          <w:rFonts w:hint="cs"/>
          <w:sz w:val="23"/>
          <w:szCs w:val="23"/>
          <w:rtl/>
        </w:rPr>
        <w:t>با توجه به این</w:t>
      </w:r>
      <w:r w:rsidRPr="00A62FF4">
        <w:rPr>
          <w:sz w:val="23"/>
          <w:szCs w:val="23"/>
          <w:rtl/>
        </w:rPr>
        <w:softHyphen/>
      </w:r>
      <w:r w:rsidRPr="00A62FF4">
        <w:rPr>
          <w:rFonts w:hint="cs"/>
          <w:sz w:val="23"/>
          <w:szCs w:val="23"/>
          <w:rtl/>
        </w:rPr>
        <w:t>که</w:t>
      </w:r>
      <w:r w:rsidRPr="00A62FF4">
        <w:rPr>
          <w:position w:val="-6"/>
        </w:rPr>
        <w:object w:dxaOrig="260" w:dyaOrig="320" w14:anchorId="2915830D">
          <v:shape id="_x0000_i1838" type="#_x0000_t75" style="width:12.7pt;height:15.75pt" o:ole="">
            <v:imagedata r:id="rId1660" o:title=""/>
          </v:shape>
          <o:OLEObject Type="Embed" ProgID="Equation.DSMT4" ShapeID="_x0000_i1838" DrawAspect="Content" ObjectID="_1791375782" r:id="rId1661"/>
        </w:object>
      </w:r>
      <w:r w:rsidRPr="00A62FF4">
        <w:rPr>
          <w:sz w:val="23"/>
          <w:szCs w:val="23"/>
        </w:rPr>
        <w:t xml:space="preserve"> </w:t>
      </w:r>
      <w:r w:rsidRPr="00A62FF4">
        <w:rPr>
          <w:rFonts w:hint="cs"/>
          <w:sz w:val="23"/>
          <w:szCs w:val="23"/>
          <w:rtl/>
        </w:rPr>
        <w:t xml:space="preserve">یا موجودی سرمایه به ازای نیروی کار مؤثر در وضعیت یکنواخت تعادلی ثابت است، آنگاه </w:t>
      </w:r>
    </w:p>
    <w:p w14:paraId="54B040C8" w14:textId="77777777" w:rsidR="00411620" w:rsidRPr="00A62FF4" w:rsidRDefault="00411620" w:rsidP="00411620">
      <w:pPr>
        <w:pStyle w:val="MTDisplayEquation"/>
        <w:spacing w:line="216" w:lineRule="auto"/>
        <w:rPr>
          <w:rFonts w:ascii="Times New Roman" w:hAnsi="Times New Roman" w:cs="B Nazanin"/>
          <w:sz w:val="23"/>
          <w:szCs w:val="23"/>
        </w:rPr>
      </w:pPr>
      <w:r w:rsidRPr="00A62FF4">
        <w:rPr>
          <w:position w:val="-36"/>
        </w:rPr>
        <w:object w:dxaOrig="6460" w:dyaOrig="859" w14:anchorId="3951479D">
          <v:shape id="_x0000_i1839" type="#_x0000_t75" style="width:323.1pt;height:42.95pt" o:ole="">
            <v:imagedata r:id="rId1662" o:title=""/>
          </v:shape>
          <o:OLEObject Type="Embed" ProgID="Equation.DSMT4" ShapeID="_x0000_i1839" DrawAspect="Content" ObjectID="_1791375783" r:id="rId1663"/>
        </w:object>
      </w:r>
    </w:p>
    <w:p w14:paraId="08B21832" w14:textId="77777777" w:rsidR="00411620" w:rsidRPr="00A62FF4" w:rsidRDefault="00411620" w:rsidP="00411620">
      <w:pPr>
        <w:spacing w:line="216" w:lineRule="auto"/>
        <w:rPr>
          <w:sz w:val="23"/>
          <w:szCs w:val="23"/>
          <w:rtl/>
        </w:rPr>
      </w:pPr>
      <w:r w:rsidRPr="00A62FF4">
        <w:rPr>
          <w:rFonts w:hint="cs"/>
          <w:sz w:val="23"/>
          <w:szCs w:val="23"/>
          <w:rtl/>
        </w:rPr>
        <w:t>یعنی در وضعیت یکنواخت، موجودی سرمایه</w:t>
      </w:r>
      <w:r w:rsidRPr="00A62FF4">
        <w:rPr>
          <w:sz w:val="23"/>
          <w:szCs w:val="23"/>
          <w:rtl/>
        </w:rPr>
        <w:softHyphen/>
      </w:r>
      <w:r w:rsidRPr="00A62FF4">
        <w:rPr>
          <w:rFonts w:hint="cs"/>
          <w:sz w:val="23"/>
          <w:szCs w:val="23"/>
          <w:rtl/>
        </w:rPr>
        <w:t xml:space="preserve">ی سرانه با نرخ ثابت </w:t>
      </w:r>
      <w:r w:rsidRPr="00A62FF4">
        <w:rPr>
          <w:position w:val="-12"/>
        </w:rPr>
        <w:object w:dxaOrig="900" w:dyaOrig="480" w14:anchorId="7E352D38">
          <v:shape id="_x0000_i1840" type="#_x0000_t75" style="width:44.75pt;height:24.2pt" o:ole="">
            <v:imagedata r:id="rId1664" o:title=""/>
          </v:shape>
          <o:OLEObject Type="Embed" ProgID="Equation.DSMT4" ShapeID="_x0000_i1840" DrawAspect="Content" ObjectID="_1791375784" r:id="rId1665"/>
        </w:object>
      </w:r>
      <w:r w:rsidRPr="00A62FF4">
        <w:rPr>
          <w:rFonts w:hint="cs"/>
          <w:sz w:val="23"/>
          <w:szCs w:val="23"/>
          <w:rtl/>
        </w:rPr>
        <w:t xml:space="preserve"> افزایش خواهد یافت. در وضعیت یکنواخت موجودی سرمایه</w:t>
      </w:r>
      <w:r w:rsidRPr="00A62FF4">
        <w:rPr>
          <w:sz w:val="23"/>
          <w:szCs w:val="23"/>
          <w:rtl/>
        </w:rPr>
        <w:softHyphen/>
      </w:r>
      <w:r w:rsidRPr="00A62FF4">
        <w:rPr>
          <w:rFonts w:hint="cs"/>
          <w:sz w:val="23"/>
          <w:szCs w:val="23"/>
          <w:rtl/>
        </w:rPr>
        <w:t>ی سرانه برابر است با</w:t>
      </w:r>
    </w:p>
    <w:p w14:paraId="3356D9FB" w14:textId="77777777" w:rsidR="00411620" w:rsidRPr="00A62FF4" w:rsidRDefault="00411620" w:rsidP="00411620">
      <w:pPr>
        <w:pStyle w:val="MTDisplayEquation"/>
        <w:spacing w:line="216" w:lineRule="auto"/>
        <w:rPr>
          <w:rFonts w:ascii="Times New Roman" w:hAnsi="Times New Roman" w:cs="B Nazanin"/>
          <w:sz w:val="23"/>
          <w:szCs w:val="23"/>
        </w:rPr>
      </w:pPr>
      <w:r w:rsidRPr="00A62FF4">
        <w:rPr>
          <w:position w:val="-30"/>
        </w:rPr>
        <w:object w:dxaOrig="4300" w:dyaOrig="820" w14:anchorId="5914BFB8">
          <v:shape id="_x0000_i1841" type="#_x0000_t75" style="width:214.8pt;height:41.15pt" o:ole="">
            <v:imagedata r:id="rId1666" o:title=""/>
          </v:shape>
          <o:OLEObject Type="Embed" ProgID="Equation.DSMT4" ShapeID="_x0000_i1841" DrawAspect="Content" ObjectID="_1791375785" r:id="rId1667"/>
        </w:object>
      </w:r>
    </w:p>
    <w:p w14:paraId="25F54548" w14:textId="77777777" w:rsidR="00411620" w:rsidRPr="00A62FF4" w:rsidRDefault="00411620" w:rsidP="00411620">
      <w:pPr>
        <w:spacing w:line="216" w:lineRule="auto"/>
        <w:rPr>
          <w:sz w:val="23"/>
          <w:szCs w:val="23"/>
          <w:rtl/>
        </w:rPr>
      </w:pPr>
      <w:r w:rsidRPr="00A62FF4">
        <w:rPr>
          <w:rFonts w:hint="cs"/>
          <w:sz w:val="23"/>
          <w:szCs w:val="23"/>
          <w:rtl/>
        </w:rPr>
        <w:t>با توجه به این</w:t>
      </w:r>
      <w:r w:rsidRPr="00A62FF4">
        <w:rPr>
          <w:sz w:val="23"/>
          <w:szCs w:val="23"/>
          <w:rtl/>
        </w:rPr>
        <w:softHyphen/>
      </w:r>
      <w:r w:rsidRPr="00A62FF4">
        <w:rPr>
          <w:rFonts w:hint="cs"/>
          <w:sz w:val="23"/>
          <w:szCs w:val="23"/>
          <w:rtl/>
        </w:rPr>
        <w:t>که موجودی سرمایه</w:t>
      </w:r>
      <w:r w:rsidRPr="00A62FF4">
        <w:rPr>
          <w:sz w:val="23"/>
          <w:szCs w:val="23"/>
          <w:rtl/>
        </w:rPr>
        <w:softHyphen/>
      </w:r>
      <w:r w:rsidRPr="00A62FF4">
        <w:rPr>
          <w:rFonts w:hint="cs"/>
          <w:sz w:val="23"/>
          <w:szCs w:val="23"/>
          <w:rtl/>
        </w:rPr>
        <w:t xml:space="preserve">ی سرانه با نرخ </w:t>
      </w:r>
      <w:r w:rsidRPr="00A62FF4">
        <w:rPr>
          <w:position w:val="-12"/>
        </w:rPr>
        <w:object w:dxaOrig="900" w:dyaOrig="480" w14:anchorId="0C0BD1C9">
          <v:shape id="_x0000_i1842" type="#_x0000_t75" style="width:44.75pt;height:24.2pt" o:ole="">
            <v:imagedata r:id="rId1668" o:title=""/>
          </v:shape>
          <o:OLEObject Type="Embed" ProgID="Equation.DSMT4" ShapeID="_x0000_i1842" DrawAspect="Content" ObjectID="_1791375786" r:id="rId1669"/>
        </w:object>
      </w:r>
      <w:r w:rsidRPr="00A62FF4">
        <w:rPr>
          <w:rFonts w:hint="cs"/>
          <w:sz w:val="23"/>
          <w:szCs w:val="23"/>
          <w:rtl/>
        </w:rPr>
        <w:t xml:space="preserve"> افزایش می</w:t>
      </w:r>
      <w:r w:rsidRPr="00A62FF4">
        <w:rPr>
          <w:sz w:val="23"/>
          <w:szCs w:val="23"/>
          <w:rtl/>
        </w:rPr>
        <w:softHyphen/>
      </w:r>
      <w:r w:rsidRPr="00A62FF4">
        <w:rPr>
          <w:rFonts w:hint="cs"/>
          <w:sz w:val="23"/>
          <w:szCs w:val="23"/>
          <w:rtl/>
        </w:rPr>
        <w:t>یابد، لذا</w:t>
      </w:r>
    </w:p>
    <w:p w14:paraId="4D6F9F7E" w14:textId="77777777" w:rsidR="00411620" w:rsidRPr="00A62FF4" w:rsidRDefault="00411620" w:rsidP="00411620">
      <w:pPr>
        <w:pStyle w:val="MTDisplayEquation"/>
        <w:tabs>
          <w:tab w:val="left" w:pos="795"/>
        </w:tabs>
        <w:spacing w:line="216" w:lineRule="auto"/>
        <w:rPr>
          <w:rFonts w:ascii="Times New Roman" w:eastAsiaTheme="minorEastAsia" w:hAnsi="Times New Roman" w:cs="B Nazanin"/>
          <w:sz w:val="23"/>
          <w:szCs w:val="23"/>
        </w:rPr>
      </w:pPr>
      <w:r w:rsidRPr="00A62FF4">
        <w:rPr>
          <w:position w:val="-32"/>
        </w:rPr>
        <w:object w:dxaOrig="5780" w:dyaOrig="740" w14:anchorId="3C7BBAA0">
          <v:shape id="_x0000_i1843" type="#_x0000_t75" style="width:289.2pt;height:36.9pt" o:ole="">
            <v:imagedata r:id="rId1670" o:title=""/>
          </v:shape>
          <o:OLEObject Type="Embed" ProgID="Equation.DSMT4" ShapeID="_x0000_i1843" DrawAspect="Content" ObjectID="_1791375787" r:id="rId1671"/>
        </w:object>
      </w:r>
    </w:p>
    <w:p w14:paraId="4E46716D" w14:textId="77777777" w:rsidR="00411620" w:rsidRPr="00A62FF4" w:rsidRDefault="00411620" w:rsidP="00411620">
      <w:pPr>
        <w:pStyle w:val="MTDisplayEquation"/>
        <w:spacing w:line="216" w:lineRule="auto"/>
        <w:rPr>
          <w:rFonts w:ascii="Times New Roman" w:hAnsi="Times New Roman" w:cs="B Nazanin"/>
          <w:sz w:val="23"/>
          <w:szCs w:val="23"/>
          <w:rtl/>
          <w:lang w:val="en-GB"/>
        </w:rPr>
      </w:pPr>
      <w:r w:rsidRPr="00A62FF4">
        <w:rPr>
          <w:position w:val="-30"/>
        </w:rPr>
        <w:object w:dxaOrig="1400" w:dyaOrig="700" w14:anchorId="71B36536">
          <v:shape id="_x0000_i1844" type="#_x0000_t75" style="width:70.2pt;height:35.1pt" o:ole="">
            <v:imagedata r:id="rId1672" o:title=""/>
          </v:shape>
          <o:OLEObject Type="Embed" ProgID="Equation.DSMT4" ShapeID="_x0000_i1844" DrawAspect="Content" ObjectID="_1791375788" r:id="rId1673"/>
        </w:object>
      </w:r>
    </w:p>
    <w:p w14:paraId="7F7A3577" w14:textId="77777777" w:rsidR="00411620" w:rsidRPr="00A62FF4" w:rsidRDefault="00411620" w:rsidP="00411620">
      <w:pPr>
        <w:spacing w:line="216" w:lineRule="auto"/>
        <w:rPr>
          <w:sz w:val="23"/>
          <w:szCs w:val="23"/>
          <w:rtl/>
        </w:rPr>
      </w:pPr>
      <w:r w:rsidRPr="00A62FF4">
        <w:rPr>
          <w:rFonts w:hint="cs"/>
          <w:sz w:val="23"/>
          <w:szCs w:val="23"/>
          <w:rtl/>
        </w:rPr>
        <w:t>به همین ترتیب چون جمعیت</w:t>
      </w:r>
      <w:r w:rsidRPr="00A62FF4">
        <w:rPr>
          <w:position w:val="-10"/>
        </w:rPr>
        <w:object w:dxaOrig="300" w:dyaOrig="320" w14:anchorId="0A3EC7B3">
          <v:shape id="_x0000_i1845" type="#_x0000_t75" style="width:15.15pt;height:15.75pt" o:ole="">
            <v:imagedata r:id="rId1674" o:title=""/>
          </v:shape>
          <o:OLEObject Type="Embed" ProgID="Equation.DSMT4" ShapeID="_x0000_i1845" DrawAspect="Content" ObjectID="_1791375789" r:id="rId1675"/>
        </w:object>
      </w:r>
      <w:r w:rsidRPr="00A62FF4">
        <w:rPr>
          <w:rFonts w:hint="cs"/>
          <w:sz w:val="23"/>
          <w:szCs w:val="23"/>
          <w:rtl/>
        </w:rPr>
        <w:t xml:space="preserve"> (یا نیروی کار</w:t>
      </w:r>
      <w:r w:rsidRPr="00A62FF4">
        <w:rPr>
          <w:position w:val="-10"/>
        </w:rPr>
        <w:object w:dxaOrig="260" w:dyaOrig="320" w14:anchorId="257FD3E7">
          <v:shape id="_x0000_i1846" type="#_x0000_t75" style="width:12.7pt;height:15.75pt" o:ole="">
            <v:imagedata r:id="rId1676" o:title=""/>
          </v:shape>
          <o:OLEObject Type="Embed" ProgID="Equation.DSMT4" ShapeID="_x0000_i1846" DrawAspect="Content" ObjectID="_1791375790" r:id="rId1677"/>
        </w:object>
      </w:r>
      <w:r w:rsidRPr="00A62FF4">
        <w:rPr>
          <w:sz w:val="23"/>
          <w:szCs w:val="23"/>
        </w:rPr>
        <w:t>(</w:t>
      </w:r>
      <w:r w:rsidRPr="00A62FF4">
        <w:rPr>
          <w:rFonts w:hint="cs"/>
          <w:sz w:val="23"/>
          <w:szCs w:val="23"/>
          <w:rtl/>
        </w:rPr>
        <w:t xml:space="preserve">، با نرخ </w:t>
      </w:r>
      <w:r w:rsidRPr="00A62FF4">
        <w:rPr>
          <w:position w:val="-6"/>
        </w:rPr>
        <w:object w:dxaOrig="200" w:dyaOrig="200" w14:anchorId="33F10F66">
          <v:shape id="_x0000_i1847" type="#_x0000_t75" style="width:10.3pt;height:10.3pt" o:ole="">
            <v:imagedata r:id="rId1678" o:title=""/>
          </v:shape>
          <o:OLEObject Type="Embed" ProgID="Equation.DSMT4" ShapeID="_x0000_i1847" DrawAspect="Content" ObjectID="_1791375791" r:id="rId1679"/>
        </w:object>
      </w:r>
      <w:r w:rsidRPr="00A62FF4">
        <w:rPr>
          <w:rFonts w:hint="cs"/>
          <w:sz w:val="23"/>
          <w:szCs w:val="23"/>
          <w:rtl/>
        </w:rPr>
        <w:t xml:space="preserve"> افزایش می</w:t>
      </w:r>
      <w:r w:rsidRPr="00A62FF4">
        <w:rPr>
          <w:rFonts w:hint="cs"/>
          <w:sz w:val="23"/>
          <w:szCs w:val="23"/>
          <w:rtl/>
        </w:rPr>
        <w:softHyphen/>
        <w:t xml:space="preserve">یابد لذا موجودی سرمایه </w:t>
      </w:r>
      <w:r w:rsidRPr="00025957">
        <w:rPr>
          <w:position w:val="-4"/>
        </w:rPr>
        <w:object w:dxaOrig="260" w:dyaOrig="240" w14:anchorId="41E884A9">
          <v:shape id="_x0000_i1848" type="#_x0000_t75" style="width:12.7pt;height:12.1pt" o:ole="">
            <v:imagedata r:id="rId1680" o:title=""/>
          </v:shape>
          <o:OLEObject Type="Embed" ProgID="Equation.DSMT4" ShapeID="_x0000_i1848" DrawAspect="Content" ObjectID="_1791375792" r:id="rId1681"/>
        </w:object>
      </w:r>
      <w:r w:rsidRPr="00A62FF4">
        <w:rPr>
          <w:rFonts w:hint="cs"/>
          <w:sz w:val="23"/>
          <w:szCs w:val="23"/>
          <w:rtl/>
        </w:rPr>
        <w:t xml:space="preserve"> در وضعیت یکنواخت با نرخ رشد</w:t>
      </w:r>
      <w:r w:rsidRPr="00A62FF4">
        <w:rPr>
          <w:position w:val="-22"/>
        </w:rPr>
        <w:object w:dxaOrig="1200" w:dyaOrig="560" w14:anchorId="1036219D">
          <v:shape id="_x0000_i1849" type="#_x0000_t75" style="width:59.9pt;height:27.85pt" o:ole="">
            <v:imagedata r:id="rId1682" o:title=""/>
          </v:shape>
          <o:OLEObject Type="Embed" ProgID="Equation.DSMT4" ShapeID="_x0000_i1849" DrawAspect="Content" ObjectID="_1791375793" r:id="rId1683"/>
        </w:object>
      </w:r>
      <w:r w:rsidRPr="00A62FF4">
        <w:rPr>
          <w:rFonts w:hint="cs"/>
          <w:sz w:val="23"/>
          <w:szCs w:val="23"/>
          <w:rtl/>
        </w:rPr>
        <w:t xml:space="preserve"> افزایش خواهد یافت. </w:t>
      </w:r>
    </w:p>
    <w:p w14:paraId="0E621264" w14:textId="77777777" w:rsidR="00411620" w:rsidRPr="00A62FF4" w:rsidRDefault="00411620" w:rsidP="00411620">
      <w:pPr>
        <w:spacing w:line="216" w:lineRule="auto"/>
        <w:rPr>
          <w:sz w:val="23"/>
          <w:szCs w:val="23"/>
          <w:rtl/>
        </w:rPr>
      </w:pPr>
      <w:r w:rsidRPr="00A62FF4">
        <w:rPr>
          <w:rFonts w:hint="cs"/>
          <w:sz w:val="23"/>
          <w:szCs w:val="23"/>
          <w:rtl/>
        </w:rPr>
        <w:t>از آنجاکه در وضعیت یکنواخت داریم</w:t>
      </w:r>
      <w:r w:rsidRPr="00A62FF4">
        <w:rPr>
          <w:position w:val="-8"/>
        </w:rPr>
        <w:object w:dxaOrig="780" w:dyaOrig="340" w14:anchorId="07B42BD3">
          <v:shape id="_x0000_i1850" type="#_x0000_t75" style="width:38.7pt;height:16.95pt" o:ole="">
            <v:imagedata r:id="rId1684" o:title=""/>
          </v:shape>
          <o:OLEObject Type="Embed" ProgID="Equation.DSMT4" ShapeID="_x0000_i1850" DrawAspect="Content" ObjectID="_1791375794" r:id="rId1685"/>
        </w:object>
      </w:r>
      <w:r w:rsidRPr="00A62FF4">
        <w:rPr>
          <w:rFonts w:eastAsiaTheme="minorEastAsia" w:hint="cs"/>
          <w:sz w:val="23"/>
          <w:szCs w:val="23"/>
          <w:rtl/>
        </w:rPr>
        <w:t>، و</w:t>
      </w:r>
      <w:r w:rsidRPr="00A62FF4">
        <w:rPr>
          <w:position w:val="-6"/>
        </w:rPr>
        <w:object w:dxaOrig="260" w:dyaOrig="320" w14:anchorId="26020270">
          <v:shape id="_x0000_i1851" type="#_x0000_t75" style="width:12.7pt;height:15.75pt" o:ole="">
            <v:imagedata r:id="rId1686" o:title=""/>
          </v:shape>
          <o:OLEObject Type="Embed" ProgID="Equation.DSMT4" ShapeID="_x0000_i1851" DrawAspect="Content" ObjectID="_1791375795" r:id="rId1687"/>
        </w:object>
      </w:r>
      <w:r w:rsidRPr="00A62FF4">
        <w:rPr>
          <w:rFonts w:hint="cs"/>
          <w:sz w:val="23"/>
          <w:szCs w:val="23"/>
          <w:rtl/>
        </w:rPr>
        <w:t xml:space="preserve"> ثابت است، لذا</w:t>
      </w:r>
      <w:r w:rsidRPr="00A62FF4">
        <w:rPr>
          <w:position w:val="-8"/>
        </w:rPr>
        <w:object w:dxaOrig="260" w:dyaOrig="320" w14:anchorId="362452C9">
          <v:shape id="_x0000_i1852" type="#_x0000_t75" style="width:12.7pt;height:15.75pt" o:ole="">
            <v:imagedata r:id="rId1688" o:title=""/>
          </v:shape>
          <o:OLEObject Type="Embed" ProgID="Equation.DSMT4" ShapeID="_x0000_i1852" DrawAspect="Content" ObjectID="_1791375796" r:id="rId1689"/>
        </w:object>
      </w:r>
      <w:r w:rsidRPr="00A62FF4">
        <w:rPr>
          <w:rFonts w:eastAsiaTheme="minorEastAsia" w:hint="cs"/>
          <w:sz w:val="23"/>
          <w:szCs w:val="23"/>
          <w:rtl/>
        </w:rPr>
        <w:t xml:space="preserve"> </w:t>
      </w:r>
      <w:r w:rsidRPr="00A62FF4">
        <w:rPr>
          <w:rFonts w:hint="cs"/>
          <w:sz w:val="23"/>
          <w:szCs w:val="23"/>
          <w:rtl/>
        </w:rPr>
        <w:t>نیز ثابت است. همانند فوق چون</w:t>
      </w:r>
    </w:p>
    <w:p w14:paraId="6368390E" w14:textId="77777777" w:rsidR="00411620" w:rsidRPr="00A62FF4" w:rsidRDefault="00411620" w:rsidP="00411620">
      <w:pPr>
        <w:pStyle w:val="MTDisplayEquation"/>
        <w:spacing w:line="216" w:lineRule="auto"/>
        <w:rPr>
          <w:rFonts w:ascii="Times New Roman" w:hAnsi="Times New Roman" w:cs="B Nazanin"/>
          <w:sz w:val="23"/>
          <w:szCs w:val="23"/>
          <w:rtl/>
        </w:rPr>
      </w:pPr>
      <w:r w:rsidRPr="00A62FF4">
        <w:rPr>
          <w:position w:val="-42"/>
        </w:rPr>
        <w:object w:dxaOrig="6380" w:dyaOrig="999" w14:anchorId="2A88C987">
          <v:shape id="_x0000_i1853" type="#_x0000_t75" style="width:318.85pt;height:50.2pt" o:ole="">
            <v:imagedata r:id="rId1690" o:title=""/>
          </v:shape>
          <o:OLEObject Type="Embed" ProgID="Equation.DSMT4" ShapeID="_x0000_i1853" DrawAspect="Content" ObjectID="_1791375797" r:id="rId1691"/>
        </w:object>
      </w:r>
      <w:r w:rsidRPr="00A62FF4">
        <w:rPr>
          <w:rFonts w:ascii="Times New Roman" w:hAnsi="Times New Roman" w:cs="B Nazanin" w:hint="cs"/>
          <w:sz w:val="23"/>
          <w:szCs w:val="23"/>
          <w:rtl/>
        </w:rPr>
        <w:t xml:space="preserve"> </w:t>
      </w:r>
    </w:p>
    <w:p w14:paraId="3061A6CD" w14:textId="77777777" w:rsidR="00411620" w:rsidRPr="00A62FF4" w:rsidRDefault="00411620" w:rsidP="00411620">
      <w:pPr>
        <w:spacing w:line="216" w:lineRule="auto"/>
        <w:rPr>
          <w:sz w:val="23"/>
          <w:szCs w:val="23"/>
          <w:rtl/>
        </w:rPr>
      </w:pPr>
      <w:r w:rsidRPr="00A62FF4">
        <w:rPr>
          <w:rFonts w:hint="cs"/>
          <w:sz w:val="23"/>
          <w:szCs w:val="23"/>
          <w:rtl/>
        </w:rPr>
        <w:t xml:space="preserve"> لذا تولید به ازاء نیروی کار یا تولید سرانه در مسیر تعادلی وضعیت یکنواخت با نرخ </w:t>
      </w:r>
      <w:r w:rsidRPr="00A62FF4">
        <w:rPr>
          <w:position w:val="-20"/>
        </w:rPr>
        <w:object w:dxaOrig="1280" w:dyaOrig="499" w14:anchorId="5CA81815">
          <v:shape id="_x0000_i1854" type="#_x0000_t75" style="width:64.15pt;height:24.8pt" o:ole="">
            <v:imagedata r:id="rId1692" o:title=""/>
          </v:shape>
          <o:OLEObject Type="Embed" ProgID="Equation.DSMT4" ShapeID="_x0000_i1854" DrawAspect="Content" ObjectID="_1791375798" r:id="rId1693"/>
        </w:object>
      </w:r>
      <w:r w:rsidRPr="00A62FF4">
        <w:rPr>
          <w:rFonts w:hint="cs"/>
          <w:sz w:val="23"/>
          <w:szCs w:val="23"/>
          <w:rtl/>
        </w:rPr>
        <w:t xml:space="preserve"> افزایش می</w:t>
      </w:r>
      <w:r w:rsidRPr="00A62FF4">
        <w:rPr>
          <w:rFonts w:hint="cs"/>
          <w:sz w:val="23"/>
          <w:szCs w:val="23"/>
          <w:rtl/>
        </w:rPr>
        <w:softHyphen/>
        <w:t xml:space="preserve">یابد، یعنی نرخ رشد آن برابر است با </w:t>
      </w:r>
      <w:r w:rsidRPr="00A62FF4">
        <w:rPr>
          <w:position w:val="-22"/>
        </w:rPr>
        <w:object w:dxaOrig="540" w:dyaOrig="560" w14:anchorId="37B0C7E1">
          <v:shape id="_x0000_i1855" type="#_x0000_t75" style="width:27.25pt;height:27.85pt" o:ole="">
            <v:imagedata r:id="rId1694" o:title=""/>
          </v:shape>
          <o:OLEObject Type="Embed" ProgID="Equation.DSMT4" ShapeID="_x0000_i1855" DrawAspect="Content" ObjectID="_1791375799" r:id="rId1695"/>
        </w:object>
      </w:r>
      <w:r w:rsidRPr="00A62FF4">
        <w:rPr>
          <w:rFonts w:hint="cs"/>
          <w:sz w:val="23"/>
          <w:szCs w:val="23"/>
          <w:rtl/>
        </w:rPr>
        <w:t xml:space="preserve">، و نرخ رشد سطح تولید یا </w:t>
      </w:r>
      <w:r w:rsidRPr="00A62FF4">
        <w:rPr>
          <w:i/>
          <w:iCs/>
          <w:sz w:val="23"/>
          <w:szCs w:val="23"/>
        </w:rPr>
        <w:t>Y</w:t>
      </w:r>
      <w:r w:rsidRPr="00A62FF4">
        <w:rPr>
          <w:rFonts w:hint="cs"/>
          <w:sz w:val="23"/>
          <w:szCs w:val="23"/>
          <w:rtl/>
        </w:rPr>
        <w:t xml:space="preserve"> در وضعیت یکنواخت نیز برابر است با </w:t>
      </w:r>
      <w:r w:rsidRPr="00A62FF4">
        <w:rPr>
          <w:position w:val="-22"/>
        </w:rPr>
        <w:object w:dxaOrig="1200" w:dyaOrig="560" w14:anchorId="13F0CBF2">
          <v:shape id="_x0000_i1856" type="#_x0000_t75" style="width:59.9pt;height:27.85pt" o:ole="">
            <v:imagedata r:id="rId1696" o:title=""/>
          </v:shape>
          <o:OLEObject Type="Embed" ProgID="Equation.DSMT4" ShapeID="_x0000_i1856" DrawAspect="Content" ObjectID="_1791375800" r:id="rId1697"/>
        </w:object>
      </w:r>
      <w:r w:rsidRPr="00A62FF4">
        <w:rPr>
          <w:rFonts w:hint="cs"/>
          <w:sz w:val="23"/>
          <w:szCs w:val="23"/>
          <w:rtl/>
        </w:rPr>
        <w:t xml:space="preserve">. همین مطالب در خصوص </w:t>
      </w:r>
      <w:r w:rsidRPr="00A62FF4">
        <w:rPr>
          <w:position w:val="-6"/>
        </w:rPr>
        <w:object w:dxaOrig="160" w:dyaOrig="260" w14:anchorId="17CCC827">
          <v:shape id="_x0000_i1857" type="#_x0000_t75" style="width:7.85pt;height:12.7pt" o:ole="">
            <v:imagedata r:id="rId1698" o:title=""/>
          </v:shape>
          <o:OLEObject Type="Embed" ProgID="Equation.DSMT4" ShapeID="_x0000_i1857" DrawAspect="Content" ObjectID="_1791375801" r:id="rId1699"/>
        </w:object>
      </w:r>
      <w:r w:rsidRPr="00A62FF4">
        <w:rPr>
          <w:rFonts w:hint="cs"/>
          <w:sz w:val="23"/>
          <w:szCs w:val="23"/>
          <w:rtl/>
        </w:rPr>
        <w:t xml:space="preserve"> ، </w:t>
      </w:r>
      <w:r w:rsidRPr="00A62FF4">
        <w:rPr>
          <w:position w:val="-6"/>
        </w:rPr>
        <w:object w:dxaOrig="240" w:dyaOrig="200" w14:anchorId="26272D5A">
          <v:shape id="_x0000_i1858" type="#_x0000_t75" style="width:12.1pt;height:10.3pt" o:ole="">
            <v:imagedata r:id="rId1700" o:title=""/>
          </v:shape>
          <o:OLEObject Type="Embed" ProgID="Equation.DSMT4" ShapeID="_x0000_i1858" DrawAspect="Content" ObjectID="_1791375802" r:id="rId1701"/>
        </w:object>
      </w:r>
      <w:r w:rsidRPr="00A62FF4">
        <w:rPr>
          <w:rFonts w:hint="cs"/>
          <w:sz w:val="23"/>
          <w:szCs w:val="23"/>
          <w:rtl/>
        </w:rPr>
        <w:t>و نیز</w:t>
      </w:r>
      <w:r w:rsidRPr="00A62FF4">
        <w:rPr>
          <w:position w:val="-6"/>
        </w:rPr>
        <w:object w:dxaOrig="220" w:dyaOrig="260" w14:anchorId="48039D7A">
          <v:shape id="_x0000_i1859" type="#_x0000_t75" style="width:10.9pt;height:12.7pt" o:ole="">
            <v:imagedata r:id="rId1702" o:title=""/>
          </v:shape>
          <o:OLEObject Type="Embed" ProgID="Equation.DSMT4" ShapeID="_x0000_i1859" DrawAspect="Content" ObjectID="_1791375803" r:id="rId1703"/>
        </w:object>
      </w:r>
      <w:r w:rsidRPr="00A62FF4">
        <w:rPr>
          <w:rFonts w:hint="cs"/>
          <w:sz w:val="23"/>
          <w:szCs w:val="23"/>
          <w:rtl/>
        </w:rPr>
        <w:t xml:space="preserve"> صادق است.</w:t>
      </w:r>
    </w:p>
    <w:p w14:paraId="2D48E2B6" w14:textId="77777777" w:rsidR="00411620" w:rsidRPr="00A62FF4" w:rsidRDefault="00411620" w:rsidP="00411620">
      <w:pPr>
        <w:spacing w:line="216" w:lineRule="auto"/>
        <w:rPr>
          <w:sz w:val="23"/>
          <w:szCs w:val="23"/>
        </w:rPr>
      </w:pPr>
      <w:r w:rsidRPr="00A62FF4">
        <w:rPr>
          <w:rFonts w:hint="cs"/>
          <w:sz w:val="23"/>
          <w:szCs w:val="23"/>
          <w:rtl/>
        </w:rPr>
        <w:t>در مدل رشد بهینه، نرخ پس</w:t>
      </w:r>
      <w:r w:rsidRPr="00A62FF4">
        <w:rPr>
          <w:sz w:val="23"/>
          <w:szCs w:val="23"/>
        </w:rPr>
        <w:softHyphen/>
      </w:r>
      <w:r w:rsidRPr="00A62FF4">
        <w:rPr>
          <w:rFonts w:hint="cs"/>
          <w:sz w:val="23"/>
          <w:szCs w:val="23"/>
          <w:rtl/>
        </w:rPr>
        <w:t>انداز همانند مدل رشد سولو-سوان در وضعیت یکنواخت ثابت است</w:t>
      </w:r>
      <w:r w:rsidRPr="00A62FF4">
        <w:rPr>
          <w:sz w:val="23"/>
          <w:szCs w:val="23"/>
        </w:rPr>
        <w:t>.</w:t>
      </w:r>
      <w:r w:rsidRPr="00A62FF4">
        <w:rPr>
          <w:rFonts w:hint="cs"/>
          <w:sz w:val="23"/>
          <w:szCs w:val="23"/>
          <w:rtl/>
        </w:rPr>
        <w:t xml:space="preserve"> زیرا </w:t>
      </w:r>
      <w:r w:rsidRPr="00A62FF4">
        <w:rPr>
          <w:position w:val="-12"/>
        </w:rPr>
        <w:object w:dxaOrig="2580" w:dyaOrig="360" w14:anchorId="4DBD2B9C">
          <v:shape id="_x0000_i1860" type="#_x0000_t75" style="width:128.85pt;height:18.15pt" o:ole="">
            <v:imagedata r:id="rId1704" o:title=""/>
          </v:shape>
          <o:OLEObject Type="Embed" ProgID="Equation.DSMT4" ShapeID="_x0000_i1860" DrawAspect="Content" ObjectID="_1791375804" r:id="rId1705"/>
        </w:object>
      </w:r>
      <w:r w:rsidRPr="00A62FF4">
        <w:rPr>
          <w:rFonts w:hint="cs"/>
          <w:sz w:val="23"/>
          <w:szCs w:val="23"/>
          <w:rtl/>
        </w:rPr>
        <w:t>. مهم</w:t>
      </w:r>
      <w:r w:rsidRPr="00A62FF4">
        <w:rPr>
          <w:sz w:val="23"/>
          <w:szCs w:val="23"/>
        </w:rPr>
        <w:softHyphen/>
      </w:r>
      <w:r w:rsidRPr="00A62FF4">
        <w:rPr>
          <w:rFonts w:hint="cs"/>
          <w:sz w:val="23"/>
          <w:szCs w:val="23"/>
          <w:rtl/>
        </w:rPr>
        <w:t>ترین تفاوت مدل رشد رمزی یا رشد بهینه با مدل رشد سولو-سوان در آن است که در مدل رشد سولو-سوان نرخ پس</w:t>
      </w:r>
      <w:r w:rsidRPr="00A62FF4">
        <w:rPr>
          <w:rFonts w:hint="cs"/>
          <w:sz w:val="23"/>
          <w:szCs w:val="23"/>
          <w:rtl/>
        </w:rPr>
        <w:softHyphen/>
        <w:t>انداز در طی زمان ثابت و برون</w:t>
      </w:r>
      <w:r w:rsidRPr="00A62FF4">
        <w:rPr>
          <w:rFonts w:hint="cs"/>
          <w:sz w:val="23"/>
          <w:szCs w:val="23"/>
          <w:rtl/>
        </w:rPr>
        <w:softHyphen/>
        <w:t>زا است، درحالی</w:t>
      </w:r>
      <w:r w:rsidRPr="00A62FF4">
        <w:rPr>
          <w:sz w:val="23"/>
          <w:szCs w:val="23"/>
          <w:rtl/>
        </w:rPr>
        <w:softHyphen/>
      </w:r>
      <w:r w:rsidRPr="00A62FF4">
        <w:rPr>
          <w:rFonts w:hint="cs"/>
          <w:sz w:val="23"/>
          <w:szCs w:val="23"/>
          <w:rtl/>
        </w:rPr>
        <w:t>که در مدل رشد بهینه، نرخ پس</w:t>
      </w:r>
      <w:r w:rsidRPr="00A62FF4">
        <w:rPr>
          <w:sz w:val="23"/>
          <w:szCs w:val="23"/>
          <w:rtl/>
        </w:rPr>
        <w:softHyphen/>
      </w:r>
      <w:r w:rsidRPr="00A62FF4">
        <w:rPr>
          <w:rFonts w:hint="cs"/>
          <w:sz w:val="23"/>
          <w:szCs w:val="23"/>
          <w:rtl/>
        </w:rPr>
        <w:t>انداز درون</w:t>
      </w:r>
      <w:r w:rsidRPr="00A62FF4">
        <w:rPr>
          <w:rFonts w:hint="cs"/>
          <w:sz w:val="23"/>
          <w:szCs w:val="23"/>
          <w:rtl/>
        </w:rPr>
        <w:softHyphen/>
        <w:t>زا است و به پارامترهای ترجیحات، تکنولوژی، نرخ استهلاک و رشد جمعیت وابسته است. زیرا از آن</w:t>
      </w:r>
      <w:r w:rsidRPr="00A62FF4">
        <w:rPr>
          <w:sz w:val="23"/>
          <w:szCs w:val="23"/>
          <w:rtl/>
        </w:rPr>
        <w:softHyphen/>
      </w:r>
      <w:r w:rsidRPr="00A62FF4">
        <w:rPr>
          <w:rFonts w:hint="cs"/>
          <w:sz w:val="23"/>
          <w:szCs w:val="23"/>
          <w:rtl/>
        </w:rPr>
        <w:t>جا که داشتیم</w:t>
      </w:r>
    </w:p>
    <w:p w14:paraId="602E2A98" w14:textId="77777777" w:rsidR="00411620" w:rsidRPr="00A62FF4" w:rsidRDefault="00411620" w:rsidP="00411620">
      <w:pPr>
        <w:pStyle w:val="MTDisplayEquation"/>
        <w:spacing w:line="216" w:lineRule="auto"/>
        <w:rPr>
          <w:rFonts w:ascii="Times New Roman" w:eastAsiaTheme="minorEastAsia" w:hAnsi="Times New Roman" w:cs="B Nazanin"/>
          <w:sz w:val="23"/>
          <w:szCs w:val="23"/>
          <w:rtl/>
        </w:rPr>
      </w:pPr>
      <w:r w:rsidRPr="00A62FF4">
        <w:rPr>
          <w:position w:val="-10"/>
        </w:rPr>
        <w:object w:dxaOrig="700" w:dyaOrig="360" w14:anchorId="6D3ED4CA">
          <v:shape id="_x0000_i1861" type="#_x0000_t75" style="width:35.1pt;height:18.15pt" o:ole="">
            <v:imagedata r:id="rId1706" o:title=""/>
          </v:shape>
          <o:OLEObject Type="Embed" ProgID="Equation.DSMT4" ShapeID="_x0000_i1861" DrawAspect="Content" ObjectID="_1791375805" r:id="rId1707"/>
        </w:object>
      </w:r>
    </w:p>
    <w:p w14:paraId="6624F82F" w14:textId="77777777" w:rsidR="00411620" w:rsidRPr="00A62FF4" w:rsidRDefault="00411620" w:rsidP="00411620">
      <w:pPr>
        <w:bidi w:val="0"/>
        <w:spacing w:line="216" w:lineRule="auto"/>
        <w:rPr>
          <w:sz w:val="23"/>
          <w:szCs w:val="23"/>
        </w:rPr>
      </w:pPr>
      <w:r w:rsidRPr="00A62FF4">
        <w:rPr>
          <w:position w:val="-12"/>
        </w:rPr>
        <w:object w:dxaOrig="2260" w:dyaOrig="380" w14:anchorId="1E763069">
          <v:shape id="_x0000_i1862" type="#_x0000_t75" style="width:113.15pt;height:18.75pt" o:ole="">
            <v:imagedata r:id="rId1708" o:title=""/>
          </v:shape>
          <o:OLEObject Type="Embed" ProgID="Equation.DSMT4" ShapeID="_x0000_i1862" DrawAspect="Content" ObjectID="_1791375806" r:id="rId1709"/>
        </w:object>
      </w:r>
      <w:r w:rsidRPr="00A62FF4">
        <w:rPr>
          <w:sz w:val="23"/>
          <w:szCs w:val="23"/>
        </w:rPr>
        <w:t xml:space="preserve"> </w:t>
      </w:r>
    </w:p>
    <w:p w14:paraId="335223A7" w14:textId="77777777" w:rsidR="00411620" w:rsidRPr="00A62FF4" w:rsidRDefault="00411620" w:rsidP="00411620">
      <w:pPr>
        <w:spacing w:line="216" w:lineRule="auto"/>
        <w:rPr>
          <w:sz w:val="23"/>
          <w:szCs w:val="23"/>
          <w:rtl/>
        </w:rPr>
      </w:pPr>
      <w:r w:rsidRPr="00A62FF4">
        <w:rPr>
          <w:rFonts w:hint="cs"/>
          <w:sz w:val="23"/>
          <w:szCs w:val="23"/>
          <w:rtl/>
        </w:rPr>
        <w:t xml:space="preserve">لذا: </w:t>
      </w:r>
    </w:p>
    <w:p w14:paraId="712E8BD1" w14:textId="77777777" w:rsidR="00411620" w:rsidRPr="00A62FF4" w:rsidRDefault="00411620" w:rsidP="00411620">
      <w:pPr>
        <w:pStyle w:val="MTDisplayEquation"/>
        <w:spacing w:line="216" w:lineRule="auto"/>
        <w:rPr>
          <w:rFonts w:ascii="Times New Roman" w:hAnsi="Times New Roman" w:cs="B Nazanin"/>
          <w:sz w:val="23"/>
          <w:szCs w:val="23"/>
        </w:rPr>
      </w:pPr>
      <w:r w:rsidRPr="00A62FF4">
        <w:rPr>
          <w:position w:val="-12"/>
        </w:rPr>
        <w:object w:dxaOrig="3820" w:dyaOrig="380" w14:anchorId="372BFCB1">
          <v:shape id="_x0000_i1863" type="#_x0000_t75" style="width:191.2pt;height:18.75pt" o:ole="">
            <v:imagedata r:id="rId1710" o:title=""/>
          </v:shape>
          <o:OLEObject Type="Embed" ProgID="Equation.DSMT4" ShapeID="_x0000_i1863" DrawAspect="Content" ObjectID="_1791375807" r:id="rId1711"/>
        </w:object>
      </w:r>
    </w:p>
    <w:p w14:paraId="21B6BC13" w14:textId="77777777" w:rsidR="00411620" w:rsidRPr="00A62FF4" w:rsidRDefault="00411620" w:rsidP="00411620">
      <w:pPr>
        <w:spacing w:line="216" w:lineRule="auto"/>
        <w:rPr>
          <w:sz w:val="23"/>
          <w:szCs w:val="23"/>
        </w:rPr>
      </w:pPr>
      <w:r w:rsidRPr="00A62FF4">
        <w:rPr>
          <w:rFonts w:hint="cs"/>
          <w:sz w:val="23"/>
          <w:szCs w:val="23"/>
          <w:rtl/>
        </w:rPr>
        <w:t xml:space="preserve">بنابراین در وضعیت یکنواخت داریم: </w:t>
      </w:r>
    </w:p>
    <w:p w14:paraId="7A59F526" w14:textId="77777777" w:rsidR="00411620" w:rsidRPr="00A62FF4" w:rsidRDefault="00411620" w:rsidP="00411620">
      <w:pPr>
        <w:pStyle w:val="MTDisplayEquation"/>
        <w:spacing w:line="216" w:lineRule="auto"/>
        <w:rPr>
          <w:rFonts w:ascii="Times New Roman" w:hAnsi="Times New Roman" w:cs="B Nazanin"/>
          <w:sz w:val="23"/>
          <w:szCs w:val="23"/>
        </w:rPr>
      </w:pPr>
      <w:r w:rsidRPr="00A62FF4">
        <w:rPr>
          <w:position w:val="-18"/>
        </w:rPr>
        <w:object w:dxaOrig="4520" w:dyaOrig="460" w14:anchorId="2D89F642">
          <v:shape id="_x0000_i1864" type="#_x0000_t75" style="width:226.3pt;height:23pt" o:ole="">
            <v:imagedata r:id="rId1712" o:title=""/>
          </v:shape>
          <o:OLEObject Type="Embed" ProgID="Equation.DSMT4" ShapeID="_x0000_i1864" DrawAspect="Content" ObjectID="_1791375808" r:id="rId1713"/>
        </w:object>
      </w:r>
    </w:p>
    <w:p w14:paraId="681EA13F" w14:textId="77777777" w:rsidR="00411620" w:rsidRPr="00A62FF4" w:rsidRDefault="00411620" w:rsidP="00411620">
      <w:pPr>
        <w:spacing w:line="216" w:lineRule="auto"/>
        <w:rPr>
          <w:sz w:val="23"/>
          <w:szCs w:val="23"/>
          <w:rtl/>
        </w:rPr>
      </w:pPr>
      <w:r w:rsidRPr="00A62FF4">
        <w:rPr>
          <w:rFonts w:hint="cs"/>
          <w:sz w:val="23"/>
          <w:szCs w:val="23"/>
          <w:rtl/>
        </w:rPr>
        <w:t xml:space="preserve">از طرفی چون داشتیم: </w:t>
      </w:r>
    </w:p>
    <w:p w14:paraId="7A1CE432" w14:textId="77777777" w:rsidR="00411620" w:rsidRPr="00A62FF4" w:rsidRDefault="00411620" w:rsidP="00411620">
      <w:pPr>
        <w:pStyle w:val="MTDisplayEquation"/>
        <w:spacing w:line="216" w:lineRule="auto"/>
        <w:rPr>
          <w:rFonts w:ascii="Times New Roman" w:hAnsi="Times New Roman" w:cs="B Nazanin"/>
          <w:sz w:val="23"/>
          <w:szCs w:val="23"/>
        </w:rPr>
      </w:pPr>
      <w:r w:rsidRPr="00A62FF4">
        <w:rPr>
          <w:position w:val="-30"/>
        </w:rPr>
        <w:object w:dxaOrig="3100" w:dyaOrig="820" w14:anchorId="20B9014B">
          <v:shape id="_x0000_i1865" type="#_x0000_t75" style="width:154.9pt;height:41.15pt" o:ole="">
            <v:imagedata r:id="rId1714" o:title=""/>
          </v:shape>
          <o:OLEObject Type="Embed" ProgID="Equation.DSMT4" ShapeID="_x0000_i1865" DrawAspect="Content" ObjectID="_1791375809" r:id="rId1715"/>
        </w:object>
      </w:r>
    </w:p>
    <w:p w14:paraId="416B4B19" w14:textId="77777777" w:rsidR="00411620" w:rsidRPr="00A62FF4" w:rsidRDefault="00411620" w:rsidP="00411620">
      <w:pPr>
        <w:spacing w:line="216" w:lineRule="auto"/>
        <w:rPr>
          <w:sz w:val="23"/>
          <w:szCs w:val="23"/>
          <w:rtl/>
        </w:rPr>
      </w:pPr>
      <w:r w:rsidRPr="00A62FF4">
        <w:rPr>
          <w:rFonts w:hint="cs"/>
          <w:sz w:val="23"/>
          <w:szCs w:val="23"/>
          <w:rtl/>
        </w:rPr>
        <w:t xml:space="preserve">لذا </w:t>
      </w:r>
    </w:p>
    <w:p w14:paraId="4C2CDE84" w14:textId="77777777" w:rsidR="00411620" w:rsidRPr="00A62FF4" w:rsidRDefault="00411620" w:rsidP="00411620">
      <w:pPr>
        <w:pStyle w:val="MTDisplayEquation"/>
        <w:spacing w:line="216" w:lineRule="auto"/>
        <w:rPr>
          <w:rFonts w:ascii="Times New Roman" w:hAnsi="Times New Roman" w:cs="B Nazanin"/>
          <w:sz w:val="23"/>
          <w:szCs w:val="23"/>
        </w:rPr>
      </w:pPr>
      <w:r w:rsidRPr="00A62FF4">
        <w:rPr>
          <w:position w:val="-26"/>
        </w:rPr>
        <w:object w:dxaOrig="4780" w:dyaOrig="680" w14:anchorId="74736060">
          <v:shape id="_x0000_i1866" type="#_x0000_t75" style="width:239pt;height:33.9pt" o:ole="">
            <v:imagedata r:id="rId1716" o:title=""/>
          </v:shape>
          <o:OLEObject Type="Embed" ProgID="Equation.DSMT4" ShapeID="_x0000_i1866" DrawAspect="Content" ObjectID="_1791375810" r:id="rId1717"/>
        </w:object>
      </w:r>
    </w:p>
    <w:p w14:paraId="70613F06" w14:textId="77777777" w:rsidR="00411620" w:rsidRPr="00A62FF4" w:rsidRDefault="00411620" w:rsidP="00411620">
      <w:pPr>
        <w:spacing w:line="216" w:lineRule="auto"/>
        <w:rPr>
          <w:sz w:val="23"/>
          <w:szCs w:val="23"/>
          <w:rtl/>
        </w:rPr>
      </w:pPr>
      <w:r w:rsidRPr="00A62FF4">
        <w:rPr>
          <w:rFonts w:hint="cs"/>
          <w:sz w:val="23"/>
          <w:szCs w:val="23"/>
          <w:rtl/>
        </w:rPr>
        <w:t>و یا :</w:t>
      </w:r>
    </w:p>
    <w:p w14:paraId="5DBBB78C" w14:textId="77777777" w:rsidR="00411620" w:rsidRPr="00A62FF4" w:rsidRDefault="00411620" w:rsidP="00411620">
      <w:pPr>
        <w:pStyle w:val="MTDisplayEquation"/>
        <w:spacing w:line="216" w:lineRule="auto"/>
        <w:rPr>
          <w:rFonts w:ascii="Times New Roman" w:hAnsi="Times New Roman" w:cs="B Nazanin"/>
          <w:sz w:val="23"/>
          <w:szCs w:val="23"/>
        </w:rPr>
      </w:pPr>
      <w:r w:rsidRPr="00A62FF4">
        <w:rPr>
          <w:rFonts w:ascii="Times New Roman" w:hAnsi="Times New Roman" w:cs="B Nazanin"/>
          <w:sz w:val="23"/>
          <w:szCs w:val="23"/>
        </w:rPr>
        <w:tab/>
      </w:r>
      <w:r w:rsidRPr="00A62FF4">
        <w:rPr>
          <w:position w:val="-58"/>
        </w:rPr>
        <w:object w:dxaOrig="6740" w:dyaOrig="1260" w14:anchorId="094543AE">
          <v:shape id="_x0000_i1867" type="#_x0000_t75" style="width:337pt;height:62.9pt" o:ole="">
            <v:imagedata r:id="rId1718" o:title=""/>
          </v:shape>
          <o:OLEObject Type="Embed" ProgID="Equation.DSMT4" ShapeID="_x0000_i1867" DrawAspect="Content" ObjectID="_1791375811" r:id="rId1719"/>
        </w:object>
      </w:r>
    </w:p>
    <w:p w14:paraId="057D6522" w14:textId="77777777" w:rsidR="00411620" w:rsidRPr="00A62FF4" w:rsidRDefault="00411620" w:rsidP="00411620">
      <w:pPr>
        <w:spacing w:line="216" w:lineRule="auto"/>
        <w:rPr>
          <w:sz w:val="23"/>
          <w:szCs w:val="23"/>
          <w:rtl/>
        </w:rPr>
      </w:pPr>
      <w:r w:rsidRPr="00A62FF4">
        <w:rPr>
          <w:rFonts w:hint="cs"/>
          <w:sz w:val="23"/>
          <w:szCs w:val="23"/>
          <w:rtl/>
        </w:rPr>
        <w:lastRenderedPageBreak/>
        <w:t>در مدل سولو- سوان و در کوتاه</w:t>
      </w:r>
      <w:r w:rsidRPr="00A62FF4">
        <w:rPr>
          <w:sz w:val="23"/>
          <w:szCs w:val="23"/>
          <w:rtl/>
        </w:rPr>
        <w:softHyphen/>
      </w:r>
      <w:r w:rsidRPr="00A62FF4">
        <w:rPr>
          <w:rFonts w:hint="cs"/>
          <w:sz w:val="23"/>
          <w:szCs w:val="23"/>
          <w:rtl/>
        </w:rPr>
        <w:t>مدت نرخ پس‌انداز ثابت است، اما در مدل رشد بهینه ممکن است نرخ پس</w:t>
      </w:r>
      <w:r w:rsidRPr="00A62FF4">
        <w:rPr>
          <w:sz w:val="23"/>
          <w:szCs w:val="23"/>
          <w:rtl/>
        </w:rPr>
        <w:softHyphen/>
      </w:r>
      <w:r w:rsidRPr="00A62FF4">
        <w:rPr>
          <w:rFonts w:hint="cs"/>
          <w:sz w:val="23"/>
          <w:szCs w:val="23"/>
          <w:rtl/>
        </w:rPr>
        <w:t xml:space="preserve">انداز از مقدار بهینه خود </w:t>
      </w:r>
      <w:r w:rsidRPr="00A62FF4">
        <w:rPr>
          <w:sz w:val="23"/>
          <w:szCs w:val="23"/>
        </w:rPr>
        <w:t>(s</w:t>
      </w:r>
      <w:r w:rsidRPr="00A62FF4">
        <w:rPr>
          <w:sz w:val="23"/>
          <w:szCs w:val="23"/>
          <w:vertAlign w:val="superscript"/>
        </w:rPr>
        <w:t>*</w:t>
      </w:r>
      <w:r w:rsidRPr="00A62FF4">
        <w:rPr>
          <w:sz w:val="23"/>
          <w:szCs w:val="23"/>
        </w:rPr>
        <w:t>)</w:t>
      </w:r>
      <w:r w:rsidRPr="00A62FF4">
        <w:rPr>
          <w:rFonts w:hint="cs"/>
          <w:sz w:val="23"/>
          <w:szCs w:val="23"/>
          <w:rtl/>
        </w:rPr>
        <w:t xml:space="preserve"> اختلاف داشته باشد. همچنین در مدل رشد بهینه رفتار پویای متغیرهای مصرف و موجودی سرمایه به ازای نیروی کار مؤثر در مسیر زینی است که در اینجا مورد بررسی قرار نگرفته است. </w:t>
      </w:r>
    </w:p>
    <w:p w14:paraId="369D72B6" w14:textId="77777777" w:rsidR="00411620" w:rsidRPr="00A62FF4" w:rsidRDefault="00411620" w:rsidP="00411620">
      <w:pPr>
        <w:spacing w:line="216" w:lineRule="auto"/>
        <w:rPr>
          <w:sz w:val="23"/>
          <w:szCs w:val="23"/>
        </w:rPr>
      </w:pPr>
    </w:p>
    <w:p w14:paraId="51469425" w14:textId="77777777" w:rsidR="00411620" w:rsidRPr="00A62FF4" w:rsidRDefault="00411620" w:rsidP="00411620">
      <w:pPr>
        <w:pStyle w:val="Heading1"/>
        <w:spacing w:before="0" w:after="0" w:line="216" w:lineRule="auto"/>
        <w:rPr>
          <w:rFonts w:ascii="Times New Roman" w:hAnsi="Times New Roman" w:cs="B Nazanin"/>
          <w:sz w:val="23"/>
          <w:szCs w:val="23"/>
          <w:rtl/>
        </w:rPr>
      </w:pPr>
      <w:r w:rsidRPr="00A62FF4">
        <w:rPr>
          <w:rFonts w:ascii="Times New Roman" w:hAnsi="Times New Roman" w:cs="B Nazanin" w:hint="cs"/>
          <w:sz w:val="23"/>
          <w:szCs w:val="23"/>
          <w:rtl/>
        </w:rPr>
        <w:t>۳. ۵ مدل رشد درون</w:t>
      </w:r>
      <w:r w:rsidRPr="00A62FF4">
        <w:rPr>
          <w:rFonts w:ascii="Times New Roman" w:hAnsi="Times New Roman" w:cs="B Nazanin" w:hint="cs"/>
          <w:sz w:val="23"/>
          <w:szCs w:val="23"/>
          <w:rtl/>
        </w:rPr>
        <w:softHyphen/>
        <w:t xml:space="preserve">زا </w:t>
      </w:r>
    </w:p>
    <w:p w14:paraId="1BAE3C17" w14:textId="77777777" w:rsidR="00411620" w:rsidRPr="00A62FF4" w:rsidRDefault="00411620" w:rsidP="00411620">
      <w:pPr>
        <w:spacing w:line="216" w:lineRule="auto"/>
        <w:rPr>
          <w:rFonts w:eastAsia="Calibri"/>
          <w:sz w:val="23"/>
          <w:szCs w:val="23"/>
        </w:rPr>
      </w:pPr>
      <w:r w:rsidRPr="00A62FF4">
        <w:rPr>
          <w:rFonts w:eastAsia="Calibri" w:hint="cs"/>
          <w:sz w:val="23"/>
          <w:szCs w:val="23"/>
          <w:rtl/>
        </w:rPr>
        <w:t>در الگوی رشد سولو-سوان نرخ رشد تولید سرانه در وضعیت یکنواخت برابر با نرخ برون</w:t>
      </w:r>
      <w:r w:rsidRPr="00A62FF4">
        <w:rPr>
          <w:rFonts w:eastAsia="Calibri"/>
          <w:sz w:val="23"/>
          <w:szCs w:val="23"/>
          <w:rtl/>
        </w:rPr>
        <w:softHyphen/>
      </w:r>
      <w:r w:rsidRPr="00A62FF4">
        <w:rPr>
          <w:rFonts w:eastAsia="Calibri" w:hint="cs"/>
          <w:sz w:val="23"/>
          <w:szCs w:val="23"/>
          <w:rtl/>
        </w:rPr>
        <w:t>زای رشد عوامل تولید است. بنابراین الگوی سولو-سوان به عنوان الگوی رشد برون</w:t>
      </w:r>
      <w:r w:rsidRPr="00A62FF4">
        <w:rPr>
          <w:rFonts w:eastAsia="Calibri"/>
          <w:sz w:val="23"/>
          <w:szCs w:val="23"/>
          <w:rtl/>
        </w:rPr>
        <w:softHyphen/>
      </w:r>
      <w:r w:rsidRPr="00A62FF4">
        <w:rPr>
          <w:rFonts w:eastAsia="Calibri" w:hint="cs"/>
          <w:sz w:val="23"/>
          <w:szCs w:val="23"/>
          <w:rtl/>
        </w:rPr>
        <w:t>زا شناخته شده ‌است. از آنجایی که الگوهای رشد برون</w:t>
      </w:r>
      <w:r w:rsidRPr="00A62FF4">
        <w:rPr>
          <w:rFonts w:eastAsia="Calibri"/>
          <w:sz w:val="23"/>
          <w:szCs w:val="23"/>
          <w:rtl/>
        </w:rPr>
        <w:softHyphen/>
      </w:r>
      <w:r w:rsidRPr="00A62FF4">
        <w:rPr>
          <w:rFonts w:eastAsia="Calibri" w:hint="cs"/>
          <w:sz w:val="23"/>
          <w:szCs w:val="23"/>
          <w:rtl/>
        </w:rPr>
        <w:t>زا در توجیه علل رشد بلندمدت با مشکلاتی روبرو است لذا استفاده از این الگوها برای توسعه سیاست‌های رشد اقتصادی مناسب نیست. این نوع الگوهای رشد به هیچ وجه چگونگی پیشرفت فنی و تفاوت رشد بلندمدت کشورها را توضیح نمی</w:t>
      </w:r>
      <w:r w:rsidRPr="00A62FF4">
        <w:rPr>
          <w:rFonts w:eastAsia="Calibri"/>
          <w:sz w:val="23"/>
          <w:szCs w:val="23"/>
          <w:rtl/>
        </w:rPr>
        <w:softHyphen/>
      </w:r>
      <w:r w:rsidRPr="00A62FF4">
        <w:rPr>
          <w:rFonts w:eastAsia="Calibri" w:hint="cs"/>
          <w:sz w:val="23"/>
          <w:szCs w:val="23"/>
          <w:rtl/>
        </w:rPr>
        <w:t>دهند. رومر در سال ۱۹۸۶ و گروهی از اقتصاددانان، تئوری‌هایی را معرفی کردند که بر پایه</w:t>
      </w:r>
      <w:r w:rsidRPr="00A62FF4">
        <w:rPr>
          <w:rFonts w:eastAsia="Calibri"/>
          <w:sz w:val="23"/>
          <w:szCs w:val="23"/>
          <w:rtl/>
        </w:rPr>
        <w:softHyphen/>
      </w:r>
      <w:r w:rsidRPr="00A62FF4">
        <w:rPr>
          <w:rFonts w:eastAsia="Calibri" w:hint="cs"/>
          <w:sz w:val="23"/>
          <w:szCs w:val="23"/>
          <w:rtl/>
        </w:rPr>
        <w:t>ی آنها رشد بلندمدت اقتصاد توسط عوامل درونی سیستم اقتصادی تعیین می‌شود و آن</w:t>
      </w:r>
      <w:r w:rsidRPr="00A62FF4">
        <w:rPr>
          <w:rFonts w:eastAsia="Calibri"/>
          <w:sz w:val="23"/>
          <w:szCs w:val="23"/>
          <w:rtl/>
        </w:rPr>
        <w:softHyphen/>
      </w:r>
      <w:r w:rsidRPr="00A62FF4">
        <w:rPr>
          <w:rFonts w:eastAsia="Calibri" w:hint="cs"/>
          <w:sz w:val="23"/>
          <w:szCs w:val="23"/>
          <w:rtl/>
        </w:rPr>
        <w:t>ها را الگوهای رشد درون</w:t>
      </w:r>
      <w:r w:rsidRPr="00A62FF4">
        <w:rPr>
          <w:rFonts w:eastAsia="Calibri"/>
          <w:sz w:val="23"/>
          <w:szCs w:val="23"/>
          <w:rtl/>
        </w:rPr>
        <w:softHyphen/>
      </w:r>
      <w:r w:rsidRPr="00A62FF4">
        <w:rPr>
          <w:rFonts w:eastAsia="Calibri" w:hint="cs"/>
          <w:sz w:val="23"/>
          <w:szCs w:val="23"/>
          <w:rtl/>
        </w:rPr>
        <w:t>زا نامند. این الگوها بر اساس عوامل درون</w:t>
      </w:r>
      <w:r w:rsidRPr="00A62FF4">
        <w:rPr>
          <w:rFonts w:eastAsia="Calibri"/>
          <w:sz w:val="23"/>
          <w:szCs w:val="23"/>
          <w:rtl/>
        </w:rPr>
        <w:softHyphen/>
      </w:r>
      <w:r w:rsidRPr="00A62FF4">
        <w:rPr>
          <w:rFonts w:eastAsia="Calibri" w:hint="cs"/>
          <w:sz w:val="23"/>
          <w:szCs w:val="23"/>
          <w:rtl/>
        </w:rPr>
        <w:t>زای رشد بلندمدت در شرایط بازدهی فزاینده به مقیاس به دو گروه اصلی الگوهای مبتنی بر سرمایه</w:t>
      </w:r>
      <w:r w:rsidRPr="00A62FF4">
        <w:rPr>
          <w:rFonts w:eastAsia="Calibri"/>
          <w:sz w:val="23"/>
          <w:szCs w:val="23"/>
          <w:rtl/>
        </w:rPr>
        <w:softHyphen/>
      </w:r>
      <w:r w:rsidRPr="00A62FF4">
        <w:rPr>
          <w:rFonts w:eastAsia="Calibri" w:hint="cs"/>
          <w:sz w:val="23"/>
          <w:szCs w:val="23"/>
          <w:rtl/>
        </w:rPr>
        <w:t>ی انسانی و الگوهای مبتنی بر تحقیق و توسعه تقسیم می</w:t>
      </w:r>
      <w:r w:rsidRPr="00A62FF4">
        <w:rPr>
          <w:rFonts w:eastAsia="Calibri"/>
          <w:sz w:val="23"/>
          <w:szCs w:val="23"/>
          <w:rtl/>
        </w:rPr>
        <w:softHyphen/>
      </w:r>
      <w:r w:rsidRPr="00A62FF4">
        <w:rPr>
          <w:rFonts w:eastAsia="Calibri" w:hint="cs"/>
          <w:sz w:val="23"/>
          <w:szCs w:val="23"/>
          <w:rtl/>
        </w:rPr>
        <w:t>شوند.</w:t>
      </w:r>
      <w:r w:rsidRPr="00A62FF4">
        <w:rPr>
          <w:rFonts w:hint="cs"/>
          <w:sz w:val="23"/>
          <w:szCs w:val="23"/>
          <w:rtl/>
        </w:rPr>
        <w:t xml:space="preserve"> پیشرفت تکنولوژی لزوماً از طریق ابداعات و نوآوری است که مستلزم سرمایه</w:t>
      </w:r>
      <w:r w:rsidRPr="00A62FF4">
        <w:rPr>
          <w:rFonts w:hint="cs"/>
          <w:sz w:val="23"/>
          <w:szCs w:val="23"/>
          <w:rtl/>
        </w:rPr>
        <w:softHyphen/>
        <w:t>گذاری در تحقیق و توسعه و مهارت نیروی انسانی است. در این حالت پیشرفت تکنولوژیکی دیگر برون</w:t>
      </w:r>
      <w:r w:rsidRPr="00A62FF4">
        <w:rPr>
          <w:rFonts w:hint="cs"/>
          <w:sz w:val="23"/>
          <w:szCs w:val="23"/>
          <w:rtl/>
        </w:rPr>
        <w:softHyphen/>
        <w:t>زا نیست. در این خصوص تئوری</w:t>
      </w:r>
      <w:r w:rsidRPr="00A62FF4">
        <w:rPr>
          <w:rFonts w:hint="cs"/>
          <w:sz w:val="23"/>
          <w:szCs w:val="23"/>
          <w:rtl/>
        </w:rPr>
        <w:softHyphen/>
        <w:t xml:space="preserve">های مدرن رشد همانند مدل رشد </w:t>
      </w:r>
      <w:r w:rsidRPr="00A62FF4">
        <w:rPr>
          <w:sz w:val="23"/>
          <w:szCs w:val="23"/>
          <w:rtl/>
        </w:rPr>
        <w:t>رومر</w:t>
      </w:r>
      <w:r w:rsidRPr="00A62FF4">
        <w:rPr>
          <w:rStyle w:val="FootnoteReference"/>
          <w:sz w:val="23"/>
          <w:szCs w:val="23"/>
          <w:rtl/>
        </w:rPr>
        <w:footnoteReference w:id="108"/>
      </w:r>
      <w:r w:rsidRPr="00A62FF4">
        <w:rPr>
          <w:rFonts w:hint="cs"/>
          <w:sz w:val="23"/>
          <w:szCs w:val="23"/>
          <w:rtl/>
        </w:rPr>
        <w:t xml:space="preserve">، </w:t>
      </w:r>
      <w:r w:rsidRPr="00A62FF4">
        <w:rPr>
          <w:sz w:val="23"/>
          <w:szCs w:val="23"/>
          <w:rtl/>
        </w:rPr>
        <w:t>ربلو</w:t>
      </w:r>
      <w:r w:rsidRPr="00A62FF4">
        <w:rPr>
          <w:rStyle w:val="FootnoteReference"/>
          <w:sz w:val="23"/>
          <w:szCs w:val="23"/>
          <w:rtl/>
        </w:rPr>
        <w:footnoteReference w:id="109"/>
      </w:r>
      <w:r w:rsidRPr="00A62FF4">
        <w:rPr>
          <w:rFonts w:hint="cs"/>
          <w:sz w:val="23"/>
          <w:szCs w:val="23"/>
          <w:rtl/>
        </w:rPr>
        <w:t xml:space="preserve"> و بارو و سالای-مارتین</w:t>
      </w:r>
      <w:r w:rsidRPr="00A62FF4">
        <w:rPr>
          <w:rStyle w:val="FootnoteReference"/>
          <w:sz w:val="23"/>
          <w:szCs w:val="23"/>
          <w:rtl/>
        </w:rPr>
        <w:footnoteReference w:id="110"/>
      </w:r>
      <w:r w:rsidRPr="00A62FF4">
        <w:rPr>
          <w:rFonts w:hint="cs"/>
          <w:sz w:val="23"/>
          <w:szCs w:val="23"/>
          <w:rtl/>
        </w:rPr>
        <w:t xml:space="preserve"> را می</w:t>
      </w:r>
      <w:r w:rsidRPr="00A62FF4">
        <w:rPr>
          <w:sz w:val="23"/>
          <w:szCs w:val="23"/>
          <w:rtl/>
        </w:rPr>
        <w:softHyphen/>
      </w:r>
      <w:r w:rsidRPr="00A62FF4">
        <w:rPr>
          <w:rFonts w:hint="cs"/>
          <w:sz w:val="23"/>
          <w:szCs w:val="23"/>
          <w:rtl/>
        </w:rPr>
        <w:t xml:space="preserve">توان ملاحظه کرد. </w:t>
      </w:r>
    </w:p>
    <w:p w14:paraId="0644005F" w14:textId="77777777" w:rsidR="00411620" w:rsidRPr="00A62FF4" w:rsidRDefault="00411620" w:rsidP="00411620">
      <w:pPr>
        <w:spacing w:line="216" w:lineRule="auto"/>
        <w:rPr>
          <w:sz w:val="23"/>
          <w:szCs w:val="23"/>
          <w:rtl/>
        </w:rPr>
      </w:pPr>
    </w:p>
    <w:p w14:paraId="79CEF0F5" w14:textId="77777777" w:rsidR="00411620" w:rsidRPr="00A62FF4" w:rsidRDefault="00411620" w:rsidP="00411620">
      <w:pPr>
        <w:pStyle w:val="Heading1"/>
        <w:spacing w:before="0" w:after="0" w:line="216" w:lineRule="auto"/>
        <w:rPr>
          <w:rFonts w:ascii="Times New Roman" w:hAnsi="Times New Roman" w:cs="B Nazanin"/>
          <w:sz w:val="23"/>
          <w:szCs w:val="23"/>
          <w:rtl/>
        </w:rPr>
      </w:pPr>
      <w:r w:rsidRPr="00A62FF4">
        <w:rPr>
          <w:rFonts w:ascii="Times New Roman" w:hAnsi="Times New Roman" w:cs="B Nazanin" w:hint="cs"/>
          <w:sz w:val="23"/>
          <w:szCs w:val="23"/>
          <w:rtl/>
        </w:rPr>
        <w:t>۳. ۵. ۱ رشد درون</w:t>
      </w:r>
      <w:r w:rsidRPr="00A62FF4">
        <w:rPr>
          <w:rFonts w:ascii="Times New Roman" w:hAnsi="Times New Roman" w:cs="B Nazanin" w:hint="cs"/>
          <w:sz w:val="23"/>
          <w:szCs w:val="23"/>
          <w:rtl/>
        </w:rPr>
        <w:softHyphen/>
        <w:t xml:space="preserve">زا در مدل </w:t>
      </w:r>
      <w:r w:rsidRPr="00A62FF4">
        <w:rPr>
          <w:rFonts w:ascii="Times New Roman" w:hAnsi="Times New Roman" w:cs="B Nazanin"/>
          <w:sz w:val="23"/>
          <w:szCs w:val="23"/>
        </w:rPr>
        <w:t>AK</w:t>
      </w:r>
      <w:r w:rsidRPr="00A62FF4">
        <w:rPr>
          <w:rFonts w:ascii="Times New Roman" w:hAnsi="Times New Roman" w:cs="B Nazanin" w:hint="cs"/>
          <w:sz w:val="23"/>
          <w:szCs w:val="23"/>
          <w:rtl/>
        </w:rPr>
        <w:t xml:space="preserve"> </w:t>
      </w:r>
    </w:p>
    <w:p w14:paraId="12FEECE7" w14:textId="77777777" w:rsidR="00411620" w:rsidRPr="00A62FF4" w:rsidRDefault="00411620" w:rsidP="00411620">
      <w:pPr>
        <w:spacing w:line="216" w:lineRule="auto"/>
        <w:rPr>
          <w:sz w:val="23"/>
          <w:szCs w:val="23"/>
          <w:rtl/>
        </w:rPr>
      </w:pPr>
      <w:r w:rsidRPr="00A62FF4">
        <w:rPr>
          <w:rFonts w:eastAsia="Calibri" w:hint="cs"/>
          <w:sz w:val="23"/>
          <w:szCs w:val="23"/>
          <w:rtl/>
        </w:rPr>
        <w:t xml:space="preserve"> </w:t>
      </w:r>
      <w:r w:rsidRPr="00A62FF4">
        <w:rPr>
          <w:rFonts w:hint="cs"/>
          <w:sz w:val="23"/>
          <w:szCs w:val="23"/>
          <w:rtl/>
        </w:rPr>
        <w:t>نام الگوی رشد فوق از شکل تابع تولید زیر اقتباس شده است</w:t>
      </w:r>
    </w:p>
    <w:p w14:paraId="58D3242C" w14:textId="77777777" w:rsidR="00411620" w:rsidRPr="00A62FF4" w:rsidRDefault="00411620" w:rsidP="00411620">
      <w:pPr>
        <w:bidi w:val="0"/>
        <w:spacing w:line="216" w:lineRule="auto"/>
        <w:rPr>
          <w:sz w:val="23"/>
          <w:szCs w:val="23"/>
          <w:rtl/>
        </w:rPr>
      </w:pPr>
      <w:r w:rsidRPr="00A62FF4">
        <w:rPr>
          <w:rFonts w:hint="cs"/>
          <w:sz w:val="23"/>
          <w:szCs w:val="23"/>
          <w:rtl/>
        </w:rPr>
        <w:t xml:space="preserve"> </w:t>
      </w:r>
      <w:r w:rsidRPr="00A62FF4">
        <w:rPr>
          <w:position w:val="-10"/>
        </w:rPr>
        <w:object w:dxaOrig="1880" w:dyaOrig="340" w14:anchorId="414226FA">
          <v:shape id="_x0000_i1868" type="#_x0000_t75" style="width:93.8pt;height:16.95pt" o:ole="">
            <v:imagedata r:id="rId1720" o:title=""/>
          </v:shape>
          <o:OLEObject Type="Embed" ProgID="Equation.DSMT4" ShapeID="_x0000_i1868" DrawAspect="Content" ObjectID="_1791375812" r:id="rId1721"/>
        </w:object>
      </w:r>
      <w:r w:rsidRPr="00A62FF4">
        <w:rPr>
          <w:rFonts w:hint="cs"/>
          <w:sz w:val="23"/>
          <w:szCs w:val="23"/>
          <w:rtl/>
        </w:rPr>
        <w:t xml:space="preserve"> </w:t>
      </w:r>
    </w:p>
    <w:p w14:paraId="371F860D" w14:textId="77777777" w:rsidR="00411620" w:rsidRPr="00A62FF4" w:rsidRDefault="00411620" w:rsidP="00411620">
      <w:pPr>
        <w:spacing w:line="216" w:lineRule="auto"/>
        <w:rPr>
          <w:sz w:val="23"/>
          <w:szCs w:val="23"/>
        </w:rPr>
      </w:pPr>
      <w:r w:rsidRPr="00A62FF4">
        <w:rPr>
          <w:rFonts w:hint="cs"/>
          <w:sz w:val="23"/>
          <w:szCs w:val="23"/>
          <w:rtl/>
        </w:rPr>
        <w:t>که در آن</w:t>
      </w:r>
      <w:r w:rsidRPr="00A62FF4">
        <w:rPr>
          <w:position w:val="-10"/>
        </w:rPr>
        <w:object w:dxaOrig="300" w:dyaOrig="320" w14:anchorId="21DE2A93">
          <v:shape id="_x0000_i1869" type="#_x0000_t75" style="width:15.15pt;height:15.75pt" o:ole="">
            <v:imagedata r:id="rId1722" o:title=""/>
          </v:shape>
          <o:OLEObject Type="Embed" ProgID="Equation.DSMT4" ShapeID="_x0000_i1869" DrawAspect="Content" ObjectID="_1791375813" r:id="rId1723"/>
        </w:object>
      </w:r>
      <w:r w:rsidRPr="00A62FF4">
        <w:rPr>
          <w:rFonts w:hint="cs"/>
          <w:sz w:val="23"/>
          <w:szCs w:val="23"/>
          <w:rtl/>
        </w:rPr>
        <w:t xml:space="preserve"> شامل موجودی سرمایه فیزیکی و سرمایه</w:t>
      </w:r>
      <w:r w:rsidRPr="00A62FF4">
        <w:rPr>
          <w:sz w:val="23"/>
          <w:szCs w:val="23"/>
          <w:rtl/>
        </w:rPr>
        <w:softHyphen/>
      </w:r>
      <w:r w:rsidRPr="00A62FF4">
        <w:rPr>
          <w:rFonts w:hint="cs"/>
          <w:sz w:val="23"/>
          <w:szCs w:val="23"/>
          <w:rtl/>
        </w:rPr>
        <w:t>ی انسانی است. در این</w:t>
      </w:r>
      <w:r w:rsidRPr="00A62FF4">
        <w:rPr>
          <w:sz w:val="23"/>
          <w:szCs w:val="23"/>
          <w:rtl/>
        </w:rPr>
        <w:softHyphen/>
      </w:r>
      <w:r w:rsidRPr="00A62FF4">
        <w:rPr>
          <w:rFonts w:hint="cs"/>
          <w:sz w:val="23"/>
          <w:szCs w:val="23"/>
          <w:rtl/>
        </w:rPr>
        <w:t xml:space="preserve">جا </w:t>
      </w:r>
      <w:r w:rsidRPr="00A62FF4">
        <w:rPr>
          <w:position w:val="-6"/>
        </w:rPr>
        <w:object w:dxaOrig="580" w:dyaOrig="260" w14:anchorId="63141680">
          <v:shape id="_x0000_i1870" type="#_x0000_t75" style="width:29.05pt;height:12.7pt" o:ole="">
            <v:imagedata r:id="rId1724" o:title=""/>
          </v:shape>
          <o:OLEObject Type="Embed" ProgID="Equation.DSMT4" ShapeID="_x0000_i1870" DrawAspect="Content" ObjectID="_1791375814" r:id="rId1725"/>
        </w:object>
      </w:r>
      <w:r w:rsidRPr="00A62FF4">
        <w:rPr>
          <w:rFonts w:eastAsiaTheme="minorEastAsia" w:hint="cs"/>
          <w:sz w:val="23"/>
          <w:szCs w:val="23"/>
          <w:rtl/>
        </w:rPr>
        <w:t xml:space="preserve"> است، </w:t>
      </w:r>
      <w:r w:rsidRPr="00A62FF4">
        <w:rPr>
          <w:rFonts w:hint="cs"/>
          <w:sz w:val="23"/>
          <w:szCs w:val="23"/>
          <w:rtl/>
        </w:rPr>
        <w:t>یعنی سرمایه</w:t>
      </w:r>
      <w:r w:rsidRPr="00A62FF4">
        <w:rPr>
          <w:rFonts w:hint="cs"/>
          <w:sz w:val="23"/>
          <w:szCs w:val="23"/>
          <w:rtl/>
        </w:rPr>
        <w:softHyphen/>
        <w:t>گذاری</w:t>
      </w:r>
      <w:r w:rsidRPr="00A62FF4">
        <w:rPr>
          <w:rFonts w:hint="cs"/>
          <w:sz w:val="23"/>
          <w:szCs w:val="23"/>
          <w:rtl/>
        </w:rPr>
        <w:softHyphen/>
        <w:t>های جدید، بهره</w:t>
      </w:r>
      <w:r w:rsidRPr="00A62FF4">
        <w:rPr>
          <w:rFonts w:hint="cs"/>
          <w:sz w:val="23"/>
          <w:szCs w:val="23"/>
          <w:rtl/>
        </w:rPr>
        <w:softHyphen/>
        <w:t>وری بالاتری نسبت به سرمایه</w:t>
      </w:r>
      <w:r w:rsidRPr="00A62FF4">
        <w:rPr>
          <w:rFonts w:hint="cs"/>
          <w:sz w:val="23"/>
          <w:szCs w:val="23"/>
          <w:rtl/>
        </w:rPr>
        <w:softHyphen/>
        <w:t>گذاری</w:t>
      </w:r>
      <w:r w:rsidRPr="00A62FF4">
        <w:rPr>
          <w:rFonts w:hint="cs"/>
          <w:sz w:val="23"/>
          <w:szCs w:val="23"/>
          <w:rtl/>
        </w:rPr>
        <w:softHyphen/>
        <w:t>های گذشته دارند. در این مدل پیشرفت تکنولوژیکی برون</w:t>
      </w:r>
      <w:r w:rsidRPr="00A62FF4">
        <w:rPr>
          <w:rFonts w:hint="cs"/>
          <w:sz w:val="23"/>
          <w:szCs w:val="23"/>
          <w:rtl/>
        </w:rPr>
        <w:softHyphen/>
        <w:t>زا نیست و بازده ثابت به مقیاس نسبت به</w:t>
      </w:r>
      <w:r w:rsidRPr="00025957">
        <w:rPr>
          <w:position w:val="-4"/>
        </w:rPr>
        <w:object w:dxaOrig="260" w:dyaOrig="240" w14:anchorId="14B0292F">
          <v:shape id="_x0000_i1871" type="#_x0000_t75" style="width:12.7pt;height:12.1pt" o:ole="">
            <v:imagedata r:id="rId1726" o:title=""/>
          </v:shape>
          <o:OLEObject Type="Embed" ProgID="Equation.DSMT4" ShapeID="_x0000_i1871" DrawAspect="Content" ObjectID="_1791375815" r:id="rId1727"/>
        </w:object>
      </w:r>
      <w:r w:rsidRPr="00A62FF4">
        <w:rPr>
          <w:rFonts w:hint="cs"/>
          <w:sz w:val="23"/>
          <w:szCs w:val="23"/>
          <w:rtl/>
        </w:rPr>
        <w:t xml:space="preserve"> وجود دارد. اگر</w:t>
      </w:r>
      <w:r w:rsidRPr="00A62FF4">
        <w:rPr>
          <w:position w:val="-6"/>
        </w:rPr>
        <w:object w:dxaOrig="200" w:dyaOrig="260" w14:anchorId="4528AD24">
          <v:shape id="_x0000_i1872" type="#_x0000_t75" style="width:10.3pt;height:12.7pt" o:ole="">
            <v:imagedata r:id="rId1728" o:title=""/>
          </v:shape>
          <o:OLEObject Type="Embed" ProgID="Equation.DSMT4" ShapeID="_x0000_i1872" DrawAspect="Content" ObjectID="_1791375816" r:id="rId1729"/>
        </w:object>
      </w:r>
      <w:r w:rsidRPr="00A62FF4">
        <w:rPr>
          <w:sz w:val="23"/>
          <w:szCs w:val="23"/>
        </w:rPr>
        <w:t xml:space="preserve"> </w:t>
      </w:r>
      <w:r w:rsidRPr="00A62FF4">
        <w:rPr>
          <w:rFonts w:hint="cs"/>
          <w:sz w:val="23"/>
          <w:szCs w:val="23"/>
          <w:rtl/>
        </w:rPr>
        <w:t>و</w:t>
      </w:r>
      <w:r w:rsidRPr="00A62FF4">
        <w:rPr>
          <w:position w:val="-8"/>
        </w:rPr>
        <w:object w:dxaOrig="200" w:dyaOrig="220" w14:anchorId="44871957">
          <v:shape id="_x0000_i1873" type="#_x0000_t75" style="width:10.3pt;height:10.9pt" o:ole="">
            <v:imagedata r:id="rId1730" o:title=""/>
          </v:shape>
          <o:OLEObject Type="Embed" ProgID="Equation.DSMT4" ShapeID="_x0000_i1873" DrawAspect="Content" ObjectID="_1791375817" r:id="rId1731"/>
        </w:object>
      </w:r>
      <w:r w:rsidRPr="00A62FF4">
        <w:rPr>
          <w:rFonts w:hint="cs"/>
          <w:sz w:val="23"/>
          <w:szCs w:val="23"/>
          <w:rtl/>
        </w:rPr>
        <w:t xml:space="preserve"> به ترتیب موجودی سرمایه سرانه و تولید سرانه باشند، آنگاه خواهیم داشت</w:t>
      </w:r>
    </w:p>
    <w:p w14:paraId="4F6660F0" w14:textId="77777777" w:rsidR="00411620" w:rsidRPr="00A62FF4" w:rsidRDefault="00411620" w:rsidP="00411620">
      <w:pPr>
        <w:bidi w:val="0"/>
        <w:spacing w:line="216" w:lineRule="auto"/>
        <w:rPr>
          <w:sz w:val="23"/>
          <w:szCs w:val="23"/>
          <w:rtl/>
        </w:rPr>
      </w:pPr>
      <w:r w:rsidRPr="00A62FF4">
        <w:rPr>
          <w:position w:val="-28"/>
        </w:rPr>
        <w:object w:dxaOrig="3540" w:dyaOrig="639" w14:anchorId="0DE40197">
          <v:shape id="_x0000_i1874" type="#_x0000_t75" style="width:177.3pt;height:32.05pt" o:ole="">
            <v:imagedata r:id="rId1732" o:title=""/>
          </v:shape>
          <o:OLEObject Type="Embed" ProgID="Equation.DSMT4" ShapeID="_x0000_i1874" DrawAspect="Content" ObjectID="_1791375818" r:id="rId1733"/>
        </w:object>
      </w:r>
      <w:r w:rsidRPr="00A62FF4">
        <w:rPr>
          <w:rFonts w:hint="cs"/>
          <w:sz w:val="23"/>
          <w:szCs w:val="23"/>
          <w:rtl/>
        </w:rPr>
        <w:t xml:space="preserve"> </w:t>
      </w:r>
    </w:p>
    <w:p w14:paraId="25A1A437" w14:textId="77777777" w:rsidR="00411620" w:rsidRPr="00A62FF4" w:rsidRDefault="00411620" w:rsidP="00411620">
      <w:pPr>
        <w:spacing w:line="216" w:lineRule="auto"/>
        <w:rPr>
          <w:sz w:val="23"/>
          <w:szCs w:val="23"/>
          <w:rtl/>
        </w:rPr>
      </w:pPr>
      <w:r w:rsidRPr="00A62FF4">
        <w:rPr>
          <w:rFonts w:hint="cs"/>
          <w:sz w:val="23"/>
          <w:szCs w:val="23"/>
          <w:rtl/>
        </w:rPr>
        <w:t xml:space="preserve"> از معادله</w:t>
      </w:r>
      <w:r w:rsidRPr="00A62FF4">
        <w:rPr>
          <w:sz w:val="23"/>
          <w:szCs w:val="23"/>
          <w:rtl/>
        </w:rPr>
        <w:softHyphen/>
      </w:r>
      <w:r w:rsidRPr="00A62FF4">
        <w:rPr>
          <w:rFonts w:hint="cs"/>
          <w:sz w:val="23"/>
          <w:szCs w:val="23"/>
          <w:rtl/>
        </w:rPr>
        <w:t xml:space="preserve">ی (۳. ۴) داشتیم: </w:t>
      </w:r>
    </w:p>
    <w:p w14:paraId="4525A154" w14:textId="77777777" w:rsidR="00411620" w:rsidRPr="00A62FF4" w:rsidRDefault="00411620" w:rsidP="00411620">
      <w:pPr>
        <w:pStyle w:val="MTDisplayEquation"/>
        <w:spacing w:line="216" w:lineRule="auto"/>
        <w:rPr>
          <w:rFonts w:ascii="Times New Roman" w:eastAsiaTheme="minorEastAsia" w:hAnsi="Times New Roman" w:cs="B Nazanin"/>
          <w:sz w:val="23"/>
          <w:szCs w:val="23"/>
          <w:rtl/>
        </w:rPr>
      </w:pPr>
      <w:r w:rsidRPr="00A62FF4">
        <w:rPr>
          <w:position w:val="-28"/>
        </w:rPr>
        <w:object w:dxaOrig="3159" w:dyaOrig="639" w14:anchorId="7F1DAF4E">
          <v:shape id="_x0000_i1875" type="#_x0000_t75" style="width:157.9pt;height:32.05pt" o:ole="">
            <v:imagedata r:id="rId1734" o:title=""/>
          </v:shape>
          <o:OLEObject Type="Embed" ProgID="Equation.DSMT4" ShapeID="_x0000_i1875" DrawAspect="Content" ObjectID="_1791375819" r:id="rId1735"/>
        </w:object>
      </w:r>
    </w:p>
    <w:p w14:paraId="4FAAFB11" w14:textId="77777777" w:rsidR="00411620" w:rsidRPr="00A62FF4" w:rsidRDefault="00411620" w:rsidP="00411620">
      <w:pPr>
        <w:spacing w:line="216" w:lineRule="auto"/>
        <w:rPr>
          <w:sz w:val="23"/>
          <w:szCs w:val="23"/>
          <w:rtl/>
        </w:rPr>
      </w:pPr>
      <w:r w:rsidRPr="00A62FF4">
        <w:rPr>
          <w:rFonts w:hint="cs"/>
          <w:sz w:val="23"/>
          <w:szCs w:val="23"/>
          <w:rtl/>
        </w:rPr>
        <w:t>از آنجا که نرخ رشد موجودی سرمایه</w:t>
      </w:r>
      <w:r w:rsidRPr="00A62FF4">
        <w:rPr>
          <w:sz w:val="23"/>
          <w:szCs w:val="23"/>
          <w:rtl/>
        </w:rPr>
        <w:softHyphen/>
      </w:r>
      <w:r w:rsidRPr="00A62FF4">
        <w:rPr>
          <w:rFonts w:hint="cs"/>
          <w:sz w:val="23"/>
          <w:szCs w:val="23"/>
          <w:rtl/>
        </w:rPr>
        <w:t>ی سرانه تابعی از موجودی سرمایه</w:t>
      </w:r>
      <w:r w:rsidRPr="00A62FF4">
        <w:rPr>
          <w:sz w:val="23"/>
          <w:szCs w:val="23"/>
          <w:rtl/>
        </w:rPr>
        <w:softHyphen/>
      </w:r>
      <w:r w:rsidRPr="00A62FF4">
        <w:rPr>
          <w:rFonts w:hint="cs"/>
          <w:sz w:val="23"/>
          <w:szCs w:val="23"/>
          <w:rtl/>
        </w:rPr>
        <w:t>ی سرانه نیست، لذا علیرغم</w:t>
      </w:r>
      <w:r w:rsidRPr="00A62FF4">
        <w:rPr>
          <w:position w:val="-6"/>
        </w:rPr>
        <w:object w:dxaOrig="200" w:dyaOrig="260" w14:anchorId="30DB3F0B">
          <v:shape id="_x0000_i1876" type="#_x0000_t75" style="width:10.3pt;height:12.7pt" o:ole="">
            <v:imagedata r:id="rId1736" o:title=""/>
          </v:shape>
          <o:OLEObject Type="Embed" ProgID="Equation.DSMT4" ShapeID="_x0000_i1876" DrawAspect="Content" ObjectID="_1791375820" r:id="rId1737"/>
        </w:object>
      </w:r>
      <w:r w:rsidRPr="00A62FF4">
        <w:rPr>
          <w:rFonts w:eastAsiaTheme="minorEastAsia" w:hint="cs"/>
          <w:sz w:val="23"/>
          <w:szCs w:val="23"/>
          <w:rtl/>
        </w:rPr>
        <w:t>،</w:t>
      </w:r>
      <w:r w:rsidRPr="00A62FF4">
        <w:rPr>
          <w:rFonts w:hint="cs"/>
          <w:sz w:val="23"/>
          <w:szCs w:val="23"/>
          <w:rtl/>
        </w:rPr>
        <w:t xml:space="preserve"> اگر</w:t>
      </w:r>
      <w:r w:rsidRPr="00A62FF4">
        <w:rPr>
          <w:position w:val="-12"/>
        </w:rPr>
        <w:object w:dxaOrig="1160" w:dyaOrig="360" w14:anchorId="660E5EA3">
          <v:shape id="_x0000_i1877" type="#_x0000_t75" style="width:57.5pt;height:18.15pt" o:ole="">
            <v:imagedata r:id="rId1738" o:title=""/>
          </v:shape>
          <o:OLEObject Type="Embed" ProgID="Equation.DSMT4" ShapeID="_x0000_i1877" DrawAspect="Content" ObjectID="_1791375821" r:id="rId1739"/>
        </w:object>
      </w:r>
      <w:r w:rsidRPr="00A62FF4">
        <w:rPr>
          <w:rFonts w:eastAsiaTheme="minorEastAsia" w:hint="cs"/>
          <w:sz w:val="23"/>
          <w:szCs w:val="23"/>
          <w:rtl/>
        </w:rPr>
        <w:t xml:space="preserve"> باشد، آن</w:t>
      </w:r>
      <w:r w:rsidRPr="00A62FF4">
        <w:rPr>
          <w:rFonts w:hint="cs"/>
          <w:sz w:val="23"/>
          <w:szCs w:val="23"/>
          <w:rtl/>
        </w:rPr>
        <w:t>گاه نرخ رشد در وضعیت یکنواخت مثبت و ثابت خواهد بود. لذا نرخ رشد موجودی سرمایه</w:t>
      </w:r>
      <w:r w:rsidRPr="00A62FF4">
        <w:rPr>
          <w:sz w:val="23"/>
          <w:szCs w:val="23"/>
          <w:rtl/>
        </w:rPr>
        <w:softHyphen/>
      </w:r>
      <w:r w:rsidRPr="00A62FF4">
        <w:rPr>
          <w:rFonts w:hint="cs"/>
          <w:sz w:val="23"/>
          <w:szCs w:val="23"/>
          <w:rtl/>
        </w:rPr>
        <w:t>ی سرانه با افزایش موجودی سرمایه</w:t>
      </w:r>
      <w:r w:rsidRPr="00A62FF4">
        <w:rPr>
          <w:sz w:val="23"/>
          <w:szCs w:val="23"/>
          <w:rtl/>
        </w:rPr>
        <w:softHyphen/>
      </w:r>
      <w:r w:rsidRPr="00A62FF4">
        <w:rPr>
          <w:rFonts w:hint="cs"/>
          <w:sz w:val="23"/>
          <w:szCs w:val="23"/>
          <w:rtl/>
        </w:rPr>
        <w:t>ی سرانه کاهش نمی</w:t>
      </w:r>
      <w:r w:rsidRPr="00A62FF4">
        <w:rPr>
          <w:sz w:val="23"/>
          <w:szCs w:val="23"/>
          <w:rtl/>
        </w:rPr>
        <w:softHyphen/>
      </w:r>
      <w:r w:rsidRPr="00A62FF4">
        <w:rPr>
          <w:rFonts w:hint="cs"/>
          <w:sz w:val="23"/>
          <w:szCs w:val="23"/>
          <w:rtl/>
        </w:rPr>
        <w:t>یابد و به مقدار اولیه</w:t>
      </w:r>
      <w:r w:rsidRPr="00A62FF4">
        <w:rPr>
          <w:position w:val="-6"/>
        </w:rPr>
        <w:object w:dxaOrig="200" w:dyaOrig="260" w14:anchorId="505184A8">
          <v:shape id="_x0000_i1878" type="#_x0000_t75" style="width:10.3pt;height:12.7pt" o:ole="">
            <v:imagedata r:id="rId1740" o:title=""/>
          </v:shape>
          <o:OLEObject Type="Embed" ProgID="Equation.DSMT4" ShapeID="_x0000_i1878" DrawAspect="Content" ObjectID="_1791375822" r:id="rId1741"/>
        </w:object>
      </w:r>
      <w:r w:rsidRPr="00A62FF4">
        <w:rPr>
          <w:rFonts w:hint="cs"/>
          <w:sz w:val="23"/>
          <w:szCs w:val="23"/>
          <w:rtl/>
        </w:rPr>
        <w:t xml:space="preserve"> وابسته نیست. بنابراین کشورهای با</w:t>
      </w:r>
      <w:r w:rsidRPr="00A62FF4">
        <w:rPr>
          <w:position w:val="-6"/>
        </w:rPr>
        <w:object w:dxaOrig="200" w:dyaOrig="260" w14:anchorId="625AFB05">
          <v:shape id="_x0000_i1879" type="#_x0000_t75" style="width:10.3pt;height:12.7pt" o:ole="">
            <v:imagedata r:id="rId1742" o:title=""/>
          </v:shape>
          <o:OLEObject Type="Embed" ProgID="Equation.DSMT4" ShapeID="_x0000_i1879" DrawAspect="Content" ObjectID="_1791375823" r:id="rId1743"/>
        </w:object>
      </w:r>
      <w:r w:rsidRPr="00A62FF4">
        <w:rPr>
          <w:rFonts w:hint="cs"/>
          <w:sz w:val="23"/>
          <w:szCs w:val="23"/>
          <w:rtl/>
        </w:rPr>
        <w:t>های مختلف، و</w:t>
      </w:r>
      <w:r w:rsidRPr="00A62FF4">
        <w:rPr>
          <w:position w:val="-6"/>
        </w:rPr>
        <w:object w:dxaOrig="160" w:dyaOrig="200" w14:anchorId="575CCE6C">
          <v:shape id="_x0000_i1880" type="#_x0000_t75" style="width:7.85pt;height:10.3pt" o:ole="">
            <v:imagedata r:id="rId1744" o:title=""/>
          </v:shape>
          <o:OLEObject Type="Embed" ProgID="Equation.DSMT4" ShapeID="_x0000_i1880" DrawAspect="Content" ObjectID="_1791375824" r:id="rId1745"/>
        </w:object>
      </w:r>
      <w:r w:rsidRPr="00A62FF4">
        <w:rPr>
          <w:rFonts w:hint="cs"/>
          <w:sz w:val="23"/>
          <w:szCs w:val="23"/>
          <w:rtl/>
        </w:rPr>
        <w:t>،</w:t>
      </w:r>
      <w:r w:rsidRPr="00025957">
        <w:rPr>
          <w:position w:val="-4"/>
        </w:rPr>
        <w:object w:dxaOrig="240" w:dyaOrig="240" w14:anchorId="1E67FCBF">
          <v:shape id="_x0000_i1881" type="#_x0000_t75" style="width:12.1pt;height:12.1pt" o:ole="">
            <v:imagedata r:id="rId1746" o:title=""/>
          </v:shape>
          <o:OLEObject Type="Embed" ProgID="Equation.DSMT4" ShapeID="_x0000_i1881" DrawAspect="Content" ObjectID="_1791375825" r:id="rId1747"/>
        </w:object>
      </w:r>
      <w:r w:rsidRPr="00A62FF4">
        <w:rPr>
          <w:rFonts w:hint="cs"/>
          <w:sz w:val="23"/>
          <w:szCs w:val="23"/>
          <w:rtl/>
        </w:rPr>
        <w:t>،</w:t>
      </w:r>
      <w:r w:rsidRPr="00A62FF4">
        <w:rPr>
          <w:position w:val="-6"/>
        </w:rPr>
        <w:object w:dxaOrig="200" w:dyaOrig="200" w14:anchorId="1657FA5D">
          <v:shape id="_x0000_i1882" type="#_x0000_t75" style="width:10.3pt;height:10.3pt" o:ole="">
            <v:imagedata r:id="rId1748" o:title=""/>
          </v:shape>
          <o:OLEObject Type="Embed" ProgID="Equation.DSMT4" ShapeID="_x0000_i1882" DrawAspect="Content" ObjectID="_1791375826" r:id="rId1749"/>
        </w:object>
      </w:r>
      <w:r w:rsidRPr="00A62FF4">
        <w:rPr>
          <w:rFonts w:hint="cs"/>
          <w:sz w:val="23"/>
          <w:szCs w:val="23"/>
          <w:rtl/>
        </w:rPr>
        <w:t xml:space="preserve"> و</w:t>
      </w:r>
      <w:r w:rsidRPr="00A62FF4">
        <w:rPr>
          <w:position w:val="-6"/>
        </w:rPr>
        <w:object w:dxaOrig="200" w:dyaOrig="260" w14:anchorId="482C867F">
          <v:shape id="_x0000_i1883" type="#_x0000_t75" style="width:10.3pt;height:12.7pt" o:ole="">
            <v:imagedata r:id="rId1750" o:title=""/>
          </v:shape>
          <o:OLEObject Type="Embed" ProgID="Equation.DSMT4" ShapeID="_x0000_i1883" DrawAspect="Content" ObjectID="_1791375827" r:id="rId1751"/>
        </w:object>
      </w:r>
      <w:r w:rsidRPr="00A62FF4">
        <w:rPr>
          <w:rFonts w:hint="cs"/>
          <w:sz w:val="23"/>
          <w:szCs w:val="23"/>
          <w:rtl/>
        </w:rPr>
        <w:t>یکسان می</w:t>
      </w:r>
      <w:r w:rsidRPr="00A62FF4">
        <w:rPr>
          <w:sz w:val="23"/>
          <w:szCs w:val="23"/>
          <w:rtl/>
        </w:rPr>
        <w:softHyphen/>
      </w:r>
      <w:r w:rsidRPr="00A62FF4">
        <w:rPr>
          <w:rFonts w:hint="cs"/>
          <w:sz w:val="23"/>
          <w:szCs w:val="23"/>
          <w:rtl/>
        </w:rPr>
        <w:t>توانند در بلندمدت نرخ رشد مثبت و ثابتی را در طی زمان تجربه کنند. این نرخ رشد در وضعیت یکنواخت به پارامترهای</w:t>
      </w:r>
      <w:r w:rsidRPr="00A62FF4">
        <w:rPr>
          <w:position w:val="-6"/>
        </w:rPr>
        <w:object w:dxaOrig="160" w:dyaOrig="200" w14:anchorId="6F307F44">
          <v:shape id="_x0000_i1884" type="#_x0000_t75" style="width:7.85pt;height:10.3pt" o:ole="">
            <v:imagedata r:id="rId1752" o:title=""/>
          </v:shape>
          <o:OLEObject Type="Embed" ProgID="Equation.DSMT4" ShapeID="_x0000_i1884" DrawAspect="Content" ObjectID="_1791375828" r:id="rId1753"/>
        </w:object>
      </w:r>
      <w:r w:rsidRPr="00A62FF4">
        <w:rPr>
          <w:rFonts w:hint="cs"/>
          <w:sz w:val="23"/>
          <w:szCs w:val="23"/>
          <w:rtl/>
        </w:rPr>
        <w:t>،</w:t>
      </w:r>
      <w:r w:rsidRPr="00025957">
        <w:rPr>
          <w:position w:val="-4"/>
        </w:rPr>
        <w:object w:dxaOrig="240" w:dyaOrig="240" w14:anchorId="328F3855">
          <v:shape id="_x0000_i1885" type="#_x0000_t75" style="width:12.1pt;height:12.1pt" o:ole="">
            <v:imagedata r:id="rId1754" o:title=""/>
          </v:shape>
          <o:OLEObject Type="Embed" ProgID="Equation.DSMT4" ShapeID="_x0000_i1885" DrawAspect="Content" ObjectID="_1791375829" r:id="rId1755"/>
        </w:object>
      </w:r>
      <w:r w:rsidRPr="00A62FF4">
        <w:rPr>
          <w:rFonts w:hint="cs"/>
          <w:sz w:val="23"/>
          <w:szCs w:val="23"/>
          <w:rtl/>
        </w:rPr>
        <w:t>،</w:t>
      </w:r>
      <w:r w:rsidRPr="00A62FF4">
        <w:rPr>
          <w:position w:val="-6"/>
        </w:rPr>
        <w:object w:dxaOrig="200" w:dyaOrig="200" w14:anchorId="3B70EC9F">
          <v:shape id="_x0000_i1886" type="#_x0000_t75" style="width:10.3pt;height:10.3pt" o:ole="">
            <v:imagedata r:id="rId1756" o:title=""/>
          </v:shape>
          <o:OLEObject Type="Embed" ProgID="Equation.DSMT4" ShapeID="_x0000_i1886" DrawAspect="Content" ObjectID="_1791375830" r:id="rId1757"/>
        </w:object>
      </w:r>
      <w:r w:rsidRPr="00A62FF4">
        <w:rPr>
          <w:rFonts w:hint="cs"/>
          <w:sz w:val="23"/>
          <w:szCs w:val="23"/>
          <w:rtl/>
        </w:rPr>
        <w:t xml:space="preserve"> و</w:t>
      </w:r>
      <w:r w:rsidRPr="00A62FF4">
        <w:rPr>
          <w:position w:val="-6"/>
        </w:rPr>
        <w:object w:dxaOrig="200" w:dyaOrig="260" w14:anchorId="76325E22">
          <v:shape id="_x0000_i1887" type="#_x0000_t75" style="width:10.3pt;height:12.7pt" o:ole="">
            <v:imagedata r:id="rId1758" o:title=""/>
          </v:shape>
          <o:OLEObject Type="Embed" ProgID="Equation.DSMT4" ShapeID="_x0000_i1887" DrawAspect="Content" ObjectID="_1791375831" r:id="rId1759"/>
        </w:object>
      </w:r>
      <w:r w:rsidRPr="00A62FF4">
        <w:rPr>
          <w:rFonts w:hint="cs"/>
          <w:sz w:val="23"/>
          <w:szCs w:val="23"/>
          <w:rtl/>
        </w:rPr>
        <w:t xml:space="preserve"> وابسته است. این نتیجه در هر دو مدل سولو-سوان و مدل رشد بهینه</w:t>
      </w:r>
      <w:r w:rsidRPr="00A62FF4">
        <w:rPr>
          <w:sz w:val="23"/>
          <w:szCs w:val="23"/>
          <w:rtl/>
        </w:rPr>
        <w:softHyphen/>
      </w:r>
      <w:r w:rsidRPr="00A62FF4">
        <w:rPr>
          <w:rFonts w:hint="cs"/>
          <w:sz w:val="23"/>
          <w:szCs w:val="23"/>
          <w:rtl/>
        </w:rPr>
        <w:t>ی رمزی بدست می</w:t>
      </w:r>
      <w:r w:rsidRPr="00A62FF4">
        <w:rPr>
          <w:rFonts w:hint="cs"/>
          <w:sz w:val="23"/>
          <w:szCs w:val="23"/>
          <w:rtl/>
        </w:rPr>
        <w:softHyphen/>
        <w:t xml:space="preserve">آید. زیرا در این مدل تولید نهایی سرمایه مثبت ولی شیب آن کاهنده نیست. یعنی </w:t>
      </w:r>
      <w:r w:rsidRPr="00A62FF4">
        <w:rPr>
          <w:position w:val="-10"/>
        </w:rPr>
        <w:object w:dxaOrig="1300" w:dyaOrig="320" w14:anchorId="05523E68">
          <v:shape id="_x0000_i1888" type="#_x0000_t75" style="width:64.75pt;height:15.75pt" o:ole="">
            <v:imagedata r:id="rId1760" o:title=""/>
          </v:shape>
          <o:OLEObject Type="Embed" ProgID="Equation.DSMT4" ShapeID="_x0000_i1888" DrawAspect="Content" ObjectID="_1791375832" r:id="rId1761"/>
        </w:object>
      </w:r>
      <w:r w:rsidRPr="00A62FF4">
        <w:rPr>
          <w:rFonts w:hint="cs"/>
          <w:sz w:val="23"/>
          <w:szCs w:val="23"/>
          <w:rtl/>
        </w:rPr>
        <w:t xml:space="preserve">، ولی </w:t>
      </w:r>
      <w:r w:rsidRPr="00A62FF4">
        <w:rPr>
          <w:position w:val="-10"/>
        </w:rPr>
        <w:object w:dxaOrig="920" w:dyaOrig="320" w14:anchorId="3F30DF97">
          <v:shape id="_x0000_i1889" type="#_x0000_t75" style="width:46pt;height:15.75pt" o:ole="">
            <v:imagedata r:id="rId1762" o:title=""/>
          </v:shape>
          <o:OLEObject Type="Embed" ProgID="Equation.DSMT4" ShapeID="_x0000_i1889" DrawAspect="Content" ObjectID="_1791375833" r:id="rId1763"/>
        </w:object>
      </w:r>
      <w:r w:rsidRPr="00A62FF4">
        <w:rPr>
          <w:rFonts w:hint="cs"/>
          <w:sz w:val="23"/>
          <w:szCs w:val="23"/>
          <w:rtl/>
        </w:rPr>
        <w:t xml:space="preserve"> و منفی نیست. </w:t>
      </w:r>
    </w:p>
    <w:p w14:paraId="6D6E9610" w14:textId="77777777" w:rsidR="00411620" w:rsidRPr="00A62FF4" w:rsidRDefault="00411620" w:rsidP="00411620">
      <w:pPr>
        <w:spacing w:line="216" w:lineRule="auto"/>
        <w:rPr>
          <w:sz w:val="23"/>
          <w:szCs w:val="23"/>
          <w:rtl/>
        </w:rPr>
      </w:pPr>
    </w:p>
    <w:p w14:paraId="467FCA50" w14:textId="77777777" w:rsidR="00411620" w:rsidRPr="00A62FF4" w:rsidRDefault="00411620" w:rsidP="00411620">
      <w:pPr>
        <w:pStyle w:val="Heading1"/>
        <w:spacing w:before="0" w:after="0" w:line="216" w:lineRule="auto"/>
        <w:rPr>
          <w:rFonts w:ascii="Times New Roman" w:eastAsia="Calibri" w:hAnsi="Times New Roman" w:cs="B Nazanin"/>
          <w:sz w:val="23"/>
          <w:szCs w:val="23"/>
          <w:rtl/>
        </w:rPr>
      </w:pPr>
      <w:r w:rsidRPr="00A62FF4">
        <w:rPr>
          <w:rFonts w:ascii="Times New Roman" w:eastAsia="Calibri" w:hAnsi="Times New Roman" w:cs="B Nazanin" w:hint="cs"/>
          <w:sz w:val="23"/>
          <w:szCs w:val="23"/>
          <w:rtl/>
        </w:rPr>
        <w:t>۳. ۵. ۲ یادگیری حین انجام کار</w:t>
      </w:r>
    </w:p>
    <w:p w14:paraId="2F814B7C" w14:textId="77777777" w:rsidR="00411620" w:rsidRPr="00A62FF4" w:rsidRDefault="00411620" w:rsidP="00411620">
      <w:pPr>
        <w:spacing w:line="216" w:lineRule="auto"/>
        <w:rPr>
          <w:rFonts w:eastAsia="Calibri"/>
          <w:sz w:val="23"/>
          <w:szCs w:val="23"/>
        </w:rPr>
      </w:pPr>
      <w:r w:rsidRPr="00A62FF4">
        <w:rPr>
          <w:rFonts w:eastAsia="Calibri" w:hint="cs"/>
          <w:sz w:val="23"/>
          <w:szCs w:val="23"/>
          <w:rtl/>
        </w:rPr>
        <w:t>الگوی مناسب جهت درون</w:t>
      </w:r>
      <w:r w:rsidRPr="00A62FF4">
        <w:rPr>
          <w:rFonts w:eastAsia="Calibri"/>
          <w:sz w:val="23"/>
          <w:szCs w:val="23"/>
          <w:rtl/>
        </w:rPr>
        <w:softHyphen/>
      </w:r>
      <w:r w:rsidRPr="00A62FF4">
        <w:rPr>
          <w:rFonts w:eastAsia="Calibri" w:hint="cs"/>
          <w:sz w:val="23"/>
          <w:szCs w:val="23"/>
          <w:rtl/>
        </w:rPr>
        <w:t>زا کردن پیشرفت‌های فنی ابتدا توسط کنت اَرو در سال ۱۹۶۲ ارائه شد. بر اساس این الگو که از واقعیات تجربی استفاده می</w:t>
      </w:r>
      <w:r w:rsidRPr="00A62FF4">
        <w:rPr>
          <w:rFonts w:eastAsia="Calibri"/>
          <w:sz w:val="23"/>
          <w:szCs w:val="23"/>
          <w:rtl/>
        </w:rPr>
        <w:softHyphen/>
      </w:r>
      <w:r w:rsidRPr="00A62FF4">
        <w:rPr>
          <w:rFonts w:eastAsia="Calibri" w:hint="cs"/>
          <w:sz w:val="23"/>
          <w:szCs w:val="23"/>
          <w:rtl/>
        </w:rPr>
        <w:t>شود، افراد بدون هیچ</w:t>
      </w:r>
      <w:r w:rsidRPr="00A62FF4">
        <w:rPr>
          <w:rFonts w:eastAsia="Calibri"/>
          <w:sz w:val="23"/>
          <w:szCs w:val="23"/>
          <w:rtl/>
        </w:rPr>
        <w:softHyphen/>
      </w:r>
      <w:r w:rsidRPr="00A62FF4">
        <w:rPr>
          <w:rFonts w:eastAsia="Calibri" w:hint="cs"/>
          <w:sz w:val="23"/>
          <w:szCs w:val="23"/>
          <w:rtl/>
        </w:rPr>
        <w:t>گونه تلاش برنامه</w:t>
      </w:r>
      <w:r w:rsidRPr="00A62FF4">
        <w:rPr>
          <w:rFonts w:eastAsia="Calibri"/>
          <w:sz w:val="23"/>
          <w:szCs w:val="23"/>
          <w:rtl/>
        </w:rPr>
        <w:softHyphen/>
      </w:r>
      <w:r w:rsidRPr="00A62FF4">
        <w:rPr>
          <w:rFonts w:eastAsia="Calibri" w:hint="cs"/>
          <w:sz w:val="23"/>
          <w:szCs w:val="23"/>
          <w:rtl/>
        </w:rPr>
        <w:t>ریزی شده‌ای باعث بهبود بهره‌وری و ایجاد نوآوری در فرآیند تولید می‌شوند. انباشت دانش نتیجه</w:t>
      </w:r>
      <w:r w:rsidRPr="00A62FF4">
        <w:rPr>
          <w:rFonts w:eastAsia="Calibri"/>
          <w:sz w:val="23"/>
          <w:szCs w:val="23"/>
          <w:rtl/>
        </w:rPr>
        <w:softHyphen/>
      </w:r>
      <w:r w:rsidRPr="00A62FF4">
        <w:rPr>
          <w:rFonts w:eastAsia="Calibri" w:hint="cs"/>
          <w:sz w:val="23"/>
          <w:szCs w:val="23"/>
          <w:rtl/>
        </w:rPr>
        <w:t>ی فرعی فعالیت‌های متداول اقتصادی است. نرخ انباشت دانش هم، به مقدار دانش ایجاد شده توسط فعالیت‌های معمول افتصادی بستگی دارد. بر اساس این الگو نرخ انباشت دانش ارتباطی به فعالیت‌های تحقیق و توسعه</w:t>
      </w:r>
      <w:r w:rsidRPr="00A62FF4">
        <w:rPr>
          <w:rFonts w:eastAsia="Calibri"/>
          <w:sz w:val="23"/>
          <w:szCs w:val="23"/>
          <w:rtl/>
        </w:rPr>
        <w:softHyphen/>
      </w:r>
      <w:r w:rsidRPr="00A62FF4">
        <w:rPr>
          <w:rFonts w:eastAsia="Calibri" w:hint="cs"/>
          <w:sz w:val="23"/>
          <w:szCs w:val="23"/>
          <w:rtl/>
        </w:rPr>
        <w:t>ی برنامه‌ریزی شده ندارد. اکنون تابع تولید را به صورت زیر در نظر می</w:t>
      </w:r>
      <w:r w:rsidRPr="00A62FF4">
        <w:rPr>
          <w:rFonts w:eastAsia="Calibri"/>
          <w:sz w:val="23"/>
          <w:szCs w:val="23"/>
          <w:rtl/>
        </w:rPr>
        <w:softHyphen/>
      </w:r>
      <w:r w:rsidRPr="00A62FF4">
        <w:rPr>
          <w:rFonts w:eastAsia="Calibri" w:hint="cs"/>
          <w:sz w:val="23"/>
          <w:szCs w:val="23"/>
          <w:rtl/>
        </w:rPr>
        <w:t>گیریم:</w:t>
      </w:r>
    </w:p>
    <w:tbl>
      <w:tblPr>
        <w:tblStyle w:val="TableGrid2"/>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8"/>
        <w:gridCol w:w="3994"/>
      </w:tblGrid>
      <w:tr w:rsidR="00411620" w:rsidRPr="00A62FF4" w14:paraId="247A8266" w14:textId="77777777" w:rsidTr="00450AC0">
        <w:tc>
          <w:tcPr>
            <w:tcW w:w="2963" w:type="dxa"/>
          </w:tcPr>
          <w:p w14:paraId="0E39A785" w14:textId="77777777" w:rsidR="00411620" w:rsidRPr="00A62FF4" w:rsidRDefault="00411620" w:rsidP="00450AC0">
            <w:pPr>
              <w:spacing w:line="216" w:lineRule="auto"/>
              <w:rPr>
                <w:rFonts w:eastAsia="Calibri"/>
                <w:sz w:val="23"/>
                <w:szCs w:val="23"/>
                <w:rtl/>
              </w:rPr>
            </w:pPr>
          </w:p>
        </w:tc>
        <w:tc>
          <w:tcPr>
            <w:tcW w:w="4124" w:type="dxa"/>
          </w:tcPr>
          <w:p w14:paraId="54DC5A21" w14:textId="77777777" w:rsidR="00411620" w:rsidRPr="00A62FF4" w:rsidRDefault="00411620" w:rsidP="00450AC0">
            <w:pPr>
              <w:tabs>
                <w:tab w:val="center" w:pos="2000"/>
                <w:tab w:val="right" w:pos="4000"/>
              </w:tabs>
              <w:bidi w:val="0"/>
              <w:spacing w:line="216" w:lineRule="auto"/>
              <w:rPr>
                <w:rFonts w:eastAsia="Calibri"/>
                <w:sz w:val="23"/>
                <w:szCs w:val="23"/>
                <w:rtl/>
              </w:rPr>
            </w:pPr>
            <w:r w:rsidRPr="00A62FF4">
              <w:rPr>
                <w:position w:val="-12"/>
              </w:rPr>
              <w:object w:dxaOrig="1620" w:dyaOrig="400" w14:anchorId="50FE8C74">
                <v:shape id="_x0000_i1890" type="#_x0000_t75" style="width:81.1pt;height:19.95pt" o:ole="">
                  <v:imagedata r:id="rId1764" o:title=""/>
                </v:shape>
                <o:OLEObject Type="Embed" ProgID="Equation.DSMT4" ShapeID="_x0000_i1890" DrawAspect="Content" ObjectID="_1791375834" r:id="rId1765"/>
              </w:object>
            </w:r>
          </w:p>
        </w:tc>
      </w:tr>
    </w:tbl>
    <w:p w14:paraId="0AE957CD" w14:textId="77777777" w:rsidR="00411620" w:rsidRPr="00A62FF4" w:rsidRDefault="00411620" w:rsidP="00411620">
      <w:pPr>
        <w:spacing w:line="216" w:lineRule="auto"/>
        <w:rPr>
          <w:rFonts w:eastAsia="Calibri"/>
          <w:sz w:val="23"/>
          <w:szCs w:val="23"/>
        </w:rPr>
      </w:pPr>
      <w:r w:rsidRPr="00A62FF4">
        <w:rPr>
          <w:rFonts w:eastAsia="Calibri" w:hint="cs"/>
          <w:sz w:val="23"/>
          <w:szCs w:val="23"/>
          <w:rtl/>
        </w:rPr>
        <w:t>که در آن فرض می</w:t>
      </w:r>
      <w:r w:rsidRPr="00A62FF4">
        <w:rPr>
          <w:rFonts w:eastAsia="Calibri"/>
          <w:sz w:val="23"/>
          <w:szCs w:val="23"/>
          <w:rtl/>
        </w:rPr>
        <w:softHyphen/>
      </w:r>
      <w:r w:rsidRPr="00A62FF4">
        <w:rPr>
          <w:rFonts w:eastAsia="Calibri" w:hint="cs"/>
          <w:sz w:val="23"/>
          <w:szCs w:val="23"/>
          <w:rtl/>
        </w:rPr>
        <w:t xml:space="preserve">شود افزایش دانش </w:t>
      </w:r>
      <w:r w:rsidRPr="00A62FF4">
        <w:rPr>
          <w:rFonts w:eastAsia="Calibri"/>
          <w:i/>
          <w:iCs/>
          <w:sz w:val="23"/>
          <w:szCs w:val="23"/>
        </w:rPr>
        <w:t>A</w:t>
      </w:r>
      <w:r w:rsidRPr="00A62FF4">
        <w:rPr>
          <w:rFonts w:eastAsia="Calibri" w:hint="cs"/>
          <w:sz w:val="23"/>
          <w:szCs w:val="23"/>
          <w:rtl/>
        </w:rPr>
        <w:t xml:space="preserve"> تابعی از موجودی سرمایه است. زیرا در حین افزایش فعالیت‌های اقتصادی و انباشت سرمایه دانش هم افزایش خواهد یافت. بنابراین تابع انباشت دانش به صورت زیر می‌باشد</w:t>
      </w:r>
    </w:p>
    <w:p w14:paraId="34DA17A9" w14:textId="77777777" w:rsidR="00411620" w:rsidRPr="00A62FF4" w:rsidRDefault="00411620" w:rsidP="00411620">
      <w:pPr>
        <w:bidi w:val="0"/>
        <w:spacing w:line="216" w:lineRule="auto"/>
        <w:rPr>
          <w:rFonts w:eastAsia="Calibri"/>
          <w:sz w:val="23"/>
          <w:szCs w:val="23"/>
        </w:rPr>
      </w:pPr>
      <w:r w:rsidRPr="00A62FF4">
        <w:rPr>
          <w:position w:val="-10"/>
        </w:rPr>
        <w:object w:dxaOrig="2000" w:dyaOrig="340" w14:anchorId="505F2DDC">
          <v:shape id="_x0000_i1891" type="#_x0000_t75" style="width:99.85pt;height:16.95pt" o:ole="">
            <v:imagedata r:id="rId1766" o:title=""/>
          </v:shape>
          <o:OLEObject Type="Embed" ProgID="Equation.DSMT4" ShapeID="_x0000_i1891" DrawAspect="Content" ObjectID="_1791375835" r:id="rId1767"/>
        </w:object>
      </w:r>
    </w:p>
    <w:p w14:paraId="2DCA6D1C" w14:textId="77777777" w:rsidR="00411620" w:rsidRPr="00A62FF4" w:rsidRDefault="00411620" w:rsidP="00411620">
      <w:pPr>
        <w:spacing w:line="216" w:lineRule="auto"/>
        <w:rPr>
          <w:rFonts w:eastAsia="Calibri"/>
          <w:sz w:val="23"/>
          <w:szCs w:val="23"/>
        </w:rPr>
      </w:pPr>
      <w:r w:rsidRPr="00A62FF4">
        <w:rPr>
          <w:rFonts w:eastAsia="Calibri" w:hint="cs"/>
          <w:sz w:val="23"/>
          <w:szCs w:val="23"/>
          <w:rtl/>
        </w:rPr>
        <w:t>با جایگزاری</w:t>
      </w:r>
      <w:r w:rsidRPr="00A62FF4">
        <w:rPr>
          <w:rFonts w:eastAsia="Calibri"/>
          <w:sz w:val="23"/>
          <w:szCs w:val="23"/>
        </w:rPr>
        <w:t xml:space="preserve"> </w:t>
      </w:r>
      <w:r w:rsidRPr="00A62FF4">
        <w:rPr>
          <w:rFonts w:eastAsia="Calibri" w:hint="cs"/>
          <w:sz w:val="23"/>
          <w:szCs w:val="23"/>
          <w:rtl/>
        </w:rPr>
        <w:t>رابطه</w:t>
      </w:r>
      <w:r w:rsidRPr="00A62FF4">
        <w:rPr>
          <w:rFonts w:eastAsia="Calibri"/>
          <w:sz w:val="23"/>
          <w:szCs w:val="23"/>
          <w:rtl/>
        </w:rPr>
        <w:softHyphen/>
      </w:r>
      <w:r w:rsidRPr="00A62FF4">
        <w:rPr>
          <w:rFonts w:eastAsia="Calibri" w:hint="cs"/>
          <w:sz w:val="23"/>
          <w:szCs w:val="23"/>
          <w:rtl/>
        </w:rPr>
        <w:t>ی فوق</w:t>
      </w:r>
      <w:r w:rsidRPr="00A62FF4">
        <w:rPr>
          <w:rFonts w:eastAsia="Calibri"/>
          <w:sz w:val="23"/>
          <w:szCs w:val="23"/>
        </w:rPr>
        <w:t xml:space="preserve"> </w:t>
      </w:r>
      <w:r w:rsidRPr="00A62FF4">
        <w:rPr>
          <w:rFonts w:eastAsia="Calibri" w:hint="cs"/>
          <w:sz w:val="23"/>
          <w:szCs w:val="23"/>
          <w:rtl/>
        </w:rPr>
        <w:t>در تابع تولید خواهیم داشت:</w:t>
      </w:r>
    </w:p>
    <w:p w14:paraId="49C8A649" w14:textId="77777777" w:rsidR="00411620" w:rsidRPr="00A62FF4" w:rsidRDefault="00411620" w:rsidP="00411620">
      <w:pPr>
        <w:bidi w:val="0"/>
        <w:spacing w:line="216" w:lineRule="auto"/>
        <w:rPr>
          <w:sz w:val="23"/>
          <w:szCs w:val="23"/>
        </w:rPr>
      </w:pPr>
      <w:r w:rsidRPr="00A62FF4">
        <w:rPr>
          <w:position w:val="-10"/>
        </w:rPr>
        <w:object w:dxaOrig="2220" w:dyaOrig="340" w14:anchorId="6E6F2417">
          <v:shape id="_x0000_i1892" type="#_x0000_t75" style="width:110.7pt;height:16.95pt" o:ole="">
            <v:imagedata r:id="rId1768" o:title=""/>
          </v:shape>
          <o:OLEObject Type="Embed" ProgID="Equation.DSMT4" ShapeID="_x0000_i1892" DrawAspect="Content" ObjectID="_1791375836" r:id="rId1769"/>
        </w:object>
      </w:r>
    </w:p>
    <w:p w14:paraId="31A01390" w14:textId="77777777" w:rsidR="00411620" w:rsidRPr="00A62FF4" w:rsidRDefault="00411620" w:rsidP="00411620">
      <w:pPr>
        <w:spacing w:line="216" w:lineRule="auto"/>
        <w:rPr>
          <w:rFonts w:eastAsia="Calibri"/>
          <w:sz w:val="23"/>
          <w:szCs w:val="23"/>
        </w:rPr>
      </w:pPr>
      <w:r w:rsidRPr="00A62FF4">
        <w:rPr>
          <w:rFonts w:eastAsia="Calibri" w:hint="cs"/>
          <w:sz w:val="23"/>
          <w:szCs w:val="23"/>
          <w:rtl/>
        </w:rPr>
        <w:t>اگر نرخ استهلاک برابر با صفر باشد، آنگاه تغییرات موجودی سرمایه به صورت زیر خواهد بود:</w:t>
      </w:r>
    </w:p>
    <w:p w14:paraId="651B5B5E" w14:textId="77777777" w:rsidR="00411620" w:rsidRPr="00A62FF4" w:rsidRDefault="00411620" w:rsidP="00411620">
      <w:pPr>
        <w:pStyle w:val="MTDisplayEquation"/>
        <w:tabs>
          <w:tab w:val="clear" w:pos="3320"/>
          <w:tab w:val="center" w:pos="90"/>
        </w:tabs>
        <w:spacing w:line="216" w:lineRule="auto"/>
        <w:rPr>
          <w:rFonts w:ascii="Times New Roman" w:hAnsi="Times New Roman" w:cs="B Nazanin"/>
          <w:sz w:val="23"/>
          <w:szCs w:val="23"/>
          <w:rtl/>
          <w:lang w:bidi="fa-IR"/>
        </w:rPr>
      </w:pPr>
      <w:r w:rsidRPr="00A62FF4">
        <w:rPr>
          <w:rFonts w:ascii="Times New Roman" w:hAnsi="Times New Roman" w:cs="B Nazanin"/>
          <w:sz w:val="23"/>
          <w:szCs w:val="23"/>
        </w:rPr>
        <w:tab/>
      </w:r>
      <w:r w:rsidRPr="00A62FF4">
        <w:rPr>
          <w:position w:val="-10"/>
        </w:rPr>
        <w:object w:dxaOrig="3280" w:dyaOrig="340" w14:anchorId="38C87806">
          <v:shape id="_x0000_i1893" type="#_x0000_t75" style="width:163.95pt;height:16.95pt" o:ole="">
            <v:imagedata r:id="rId1770" o:title=""/>
          </v:shape>
          <o:OLEObject Type="Embed" ProgID="Equation.DSMT4" ShapeID="_x0000_i1893" DrawAspect="Content" ObjectID="_1791375837" r:id="rId1771"/>
        </w:object>
      </w:r>
    </w:p>
    <w:p w14:paraId="658D201B" w14:textId="77777777" w:rsidR="00411620" w:rsidRPr="00A62FF4" w:rsidRDefault="00411620" w:rsidP="00411620">
      <w:pPr>
        <w:spacing w:line="216" w:lineRule="auto"/>
        <w:rPr>
          <w:rFonts w:eastAsia="Calibri"/>
          <w:sz w:val="23"/>
          <w:szCs w:val="23"/>
        </w:rPr>
      </w:pPr>
      <w:r w:rsidRPr="00A62FF4">
        <w:rPr>
          <w:rFonts w:eastAsia="Calibri" w:hint="cs"/>
          <w:sz w:val="23"/>
          <w:szCs w:val="23"/>
          <w:rtl/>
        </w:rPr>
        <w:t>با بررسی بازدهی نسبت به مقیاس برای</w:t>
      </w:r>
      <w:r w:rsidRPr="00025957">
        <w:rPr>
          <w:position w:val="-4"/>
        </w:rPr>
        <w:object w:dxaOrig="260" w:dyaOrig="240" w14:anchorId="7DB146C8">
          <v:shape id="_x0000_i1894" type="#_x0000_t75" style="width:12.7pt;height:12.1pt" o:ole="">
            <v:imagedata r:id="rId1772" o:title=""/>
          </v:shape>
          <o:OLEObject Type="Embed" ProgID="Equation.DSMT4" ShapeID="_x0000_i1894" DrawAspect="Content" ObjectID="_1791375838" r:id="rId1773"/>
        </w:object>
      </w:r>
      <w:r w:rsidRPr="00A62FF4">
        <w:rPr>
          <w:rFonts w:eastAsia="Calibri"/>
          <w:sz w:val="23"/>
          <w:szCs w:val="23"/>
        </w:rPr>
        <w:t xml:space="preserve"> </w:t>
      </w:r>
      <w:r w:rsidRPr="00A62FF4">
        <w:rPr>
          <w:rFonts w:eastAsia="Calibri" w:hint="cs"/>
          <w:sz w:val="23"/>
          <w:szCs w:val="23"/>
          <w:rtl/>
        </w:rPr>
        <w:t>پویایی اقتصاد در تولید دانش ارزیابی می‌شود. در این مدل با ارزیابی این</w:t>
      </w:r>
      <w:r w:rsidRPr="00A62FF4">
        <w:rPr>
          <w:rFonts w:eastAsia="Calibri"/>
          <w:sz w:val="23"/>
          <w:szCs w:val="23"/>
          <w:rtl/>
        </w:rPr>
        <w:softHyphen/>
      </w:r>
      <w:r w:rsidRPr="00A62FF4">
        <w:rPr>
          <w:rFonts w:eastAsia="Calibri" w:hint="cs"/>
          <w:sz w:val="23"/>
          <w:szCs w:val="23"/>
          <w:rtl/>
        </w:rPr>
        <w:t>که ضریب</w:t>
      </w:r>
      <w:r w:rsidRPr="00A62FF4">
        <w:rPr>
          <w:position w:val="-8"/>
        </w:rPr>
        <w:object w:dxaOrig="1100" w:dyaOrig="279" w14:anchorId="14F5673C">
          <v:shape id="_x0000_i1895" type="#_x0000_t75" style="width:55.05pt;height:13.9pt" o:ole="">
            <v:imagedata r:id="rId1774" o:title=""/>
          </v:shape>
          <o:OLEObject Type="Embed" ProgID="Equation.DSMT4" ShapeID="_x0000_i1895" DrawAspect="Content" ObjectID="_1791375839" r:id="rId1775"/>
        </w:object>
      </w:r>
      <w:r w:rsidRPr="00A62FF4">
        <w:rPr>
          <w:rFonts w:eastAsia="Calibri"/>
          <w:sz w:val="23"/>
          <w:szCs w:val="23"/>
        </w:rPr>
        <w:t xml:space="preserve"> </w:t>
      </w:r>
      <w:r w:rsidRPr="00A62FF4">
        <w:rPr>
          <w:rFonts w:eastAsia="Calibri" w:hint="cs"/>
          <w:sz w:val="23"/>
          <w:szCs w:val="23"/>
          <w:rtl/>
        </w:rPr>
        <w:t>بزرگ</w:t>
      </w:r>
      <w:r w:rsidRPr="00A62FF4">
        <w:rPr>
          <w:rFonts w:eastAsia="Calibri"/>
          <w:sz w:val="23"/>
          <w:szCs w:val="23"/>
          <w:rtl/>
        </w:rPr>
        <w:softHyphen/>
      </w:r>
      <w:r w:rsidRPr="00A62FF4">
        <w:rPr>
          <w:rFonts w:eastAsia="Calibri" w:hint="cs"/>
          <w:sz w:val="23"/>
          <w:szCs w:val="23"/>
          <w:rtl/>
        </w:rPr>
        <w:t>تر و یا کوچک</w:t>
      </w:r>
      <w:r w:rsidRPr="00A62FF4">
        <w:rPr>
          <w:rFonts w:eastAsia="Calibri"/>
          <w:sz w:val="23"/>
          <w:szCs w:val="23"/>
          <w:rtl/>
        </w:rPr>
        <w:softHyphen/>
      </w:r>
      <w:r w:rsidRPr="00A62FF4">
        <w:rPr>
          <w:rFonts w:eastAsia="Calibri" w:hint="cs"/>
          <w:sz w:val="23"/>
          <w:szCs w:val="23"/>
          <w:rtl/>
        </w:rPr>
        <w:t>تر از واحد است، که معادل است با ارزیابی این</w:t>
      </w:r>
      <w:r w:rsidRPr="00A62FF4">
        <w:rPr>
          <w:rFonts w:eastAsia="Calibri"/>
          <w:sz w:val="23"/>
          <w:szCs w:val="23"/>
          <w:rtl/>
        </w:rPr>
        <w:softHyphen/>
      </w:r>
      <w:r w:rsidRPr="00A62FF4">
        <w:rPr>
          <w:rFonts w:eastAsia="Calibri" w:hint="cs"/>
          <w:sz w:val="23"/>
          <w:szCs w:val="23"/>
          <w:rtl/>
        </w:rPr>
        <w:t xml:space="preserve">که ضریب </w:t>
      </w:r>
      <w:r w:rsidRPr="00A62FF4">
        <w:rPr>
          <w:position w:val="-6"/>
        </w:rPr>
        <w:object w:dxaOrig="200" w:dyaOrig="260" w14:anchorId="258636F3">
          <v:shape id="_x0000_i1896" type="#_x0000_t75" style="width:10.3pt;height:12.7pt" o:ole="">
            <v:imagedata r:id="rId1776" o:title=""/>
          </v:shape>
          <o:OLEObject Type="Embed" ProgID="Equation.DSMT4" ShapeID="_x0000_i1896" DrawAspect="Content" ObjectID="_1791375840" r:id="rId1777"/>
        </w:object>
      </w:r>
      <w:r w:rsidRPr="00A62FF4">
        <w:rPr>
          <w:rFonts w:eastAsia="Calibri" w:hint="cs"/>
          <w:sz w:val="23"/>
          <w:szCs w:val="23"/>
          <w:rtl/>
        </w:rPr>
        <w:t xml:space="preserve"> بزرگ</w:t>
      </w:r>
      <w:r w:rsidRPr="00A62FF4">
        <w:rPr>
          <w:rFonts w:eastAsia="Calibri"/>
          <w:sz w:val="23"/>
          <w:szCs w:val="23"/>
          <w:rtl/>
        </w:rPr>
        <w:softHyphen/>
      </w:r>
      <w:r w:rsidRPr="00A62FF4">
        <w:rPr>
          <w:rFonts w:eastAsia="Calibri" w:hint="cs"/>
          <w:sz w:val="23"/>
          <w:szCs w:val="23"/>
          <w:rtl/>
        </w:rPr>
        <w:t>تر یا کوچک</w:t>
      </w:r>
      <w:r w:rsidRPr="00A62FF4">
        <w:rPr>
          <w:rFonts w:eastAsia="Calibri"/>
          <w:sz w:val="23"/>
          <w:szCs w:val="23"/>
          <w:rtl/>
        </w:rPr>
        <w:softHyphen/>
      </w:r>
      <w:r w:rsidRPr="00A62FF4">
        <w:rPr>
          <w:rFonts w:eastAsia="Calibri" w:hint="cs"/>
          <w:sz w:val="23"/>
          <w:szCs w:val="23"/>
          <w:rtl/>
        </w:rPr>
        <w:t>تر از واحد است به نتایج مهمی خواهیم رسید. اگر</w:t>
      </w:r>
      <w:r w:rsidRPr="00A62FF4">
        <w:rPr>
          <w:position w:val="-6"/>
        </w:rPr>
        <w:object w:dxaOrig="499" w:dyaOrig="260" w14:anchorId="28F6CD10">
          <v:shape id="_x0000_i1897" type="#_x0000_t75" style="width:24.8pt;height:12.7pt" o:ole="">
            <v:imagedata r:id="rId1778" o:title=""/>
          </v:shape>
          <o:OLEObject Type="Embed" ProgID="Equation.DSMT4" ShapeID="_x0000_i1897" DrawAspect="Content" ObjectID="_1791375841" r:id="rId1779"/>
        </w:object>
      </w:r>
      <w:r w:rsidRPr="00A62FF4">
        <w:rPr>
          <w:rFonts w:hint="cs"/>
          <w:sz w:val="23"/>
          <w:szCs w:val="23"/>
          <w:rtl/>
        </w:rPr>
        <w:t xml:space="preserve"> </w:t>
      </w:r>
      <w:r w:rsidRPr="00A62FF4">
        <w:rPr>
          <w:rFonts w:eastAsia="Calibri" w:hint="cs"/>
          <w:sz w:val="23"/>
          <w:szCs w:val="23"/>
          <w:rtl/>
        </w:rPr>
        <w:t>باشد، آنگاه نرخ رشد بلندمدت اقتصاد تابعی از</w:t>
      </w:r>
      <w:r w:rsidRPr="00A62FF4">
        <w:rPr>
          <w:position w:val="-6"/>
        </w:rPr>
        <w:object w:dxaOrig="200" w:dyaOrig="200" w14:anchorId="1F25AEEA">
          <v:shape id="_x0000_i1898" type="#_x0000_t75" style="width:10.3pt;height:10.3pt" o:ole="">
            <v:imagedata r:id="rId1780" o:title=""/>
          </v:shape>
          <o:OLEObject Type="Embed" ProgID="Equation.DSMT4" ShapeID="_x0000_i1898" DrawAspect="Content" ObjectID="_1791375842" r:id="rId1781"/>
        </w:object>
      </w:r>
      <w:r w:rsidRPr="00A62FF4">
        <w:rPr>
          <w:rFonts w:eastAsia="Calibri"/>
          <w:sz w:val="23"/>
          <w:szCs w:val="23"/>
        </w:rPr>
        <w:t xml:space="preserve"> </w:t>
      </w:r>
      <w:r w:rsidRPr="00A62FF4">
        <w:rPr>
          <w:rFonts w:eastAsia="Calibri" w:hint="cs"/>
          <w:sz w:val="23"/>
          <w:szCs w:val="23"/>
          <w:rtl/>
        </w:rPr>
        <w:t xml:space="preserve">خواهد بود. </w:t>
      </w:r>
    </w:p>
    <w:p w14:paraId="7215886B" w14:textId="77777777" w:rsidR="00411620" w:rsidRPr="00A62FF4" w:rsidRDefault="00411620" w:rsidP="00411620">
      <w:pPr>
        <w:spacing w:line="216" w:lineRule="auto"/>
        <w:rPr>
          <w:rFonts w:eastAsia="Calibri"/>
          <w:sz w:val="23"/>
          <w:szCs w:val="23"/>
        </w:rPr>
      </w:pPr>
    </w:p>
    <w:p w14:paraId="3F1F5E31" w14:textId="77777777" w:rsidR="00411620" w:rsidRPr="00A62FF4" w:rsidRDefault="00411620" w:rsidP="00411620">
      <w:pPr>
        <w:pStyle w:val="Heading1"/>
        <w:spacing w:before="0" w:after="0" w:line="216" w:lineRule="auto"/>
        <w:rPr>
          <w:rFonts w:ascii="Times New Roman" w:hAnsi="Times New Roman" w:cs="B Nazanin"/>
          <w:sz w:val="23"/>
          <w:szCs w:val="23"/>
          <w:rtl/>
        </w:rPr>
      </w:pPr>
      <w:r w:rsidRPr="00A62FF4">
        <w:rPr>
          <w:rFonts w:ascii="Times New Roman" w:hAnsi="Times New Roman" w:cs="B Nazanin" w:hint="cs"/>
          <w:sz w:val="23"/>
          <w:szCs w:val="23"/>
          <w:rtl/>
        </w:rPr>
        <w:lastRenderedPageBreak/>
        <w:t>۳. ۵. ۳ سرمایه انسانی و مدل</w:t>
      </w:r>
      <w:r w:rsidRPr="00A62FF4">
        <w:rPr>
          <w:rFonts w:ascii="Times New Roman" w:hAnsi="Times New Roman" w:cs="B Nazanin"/>
          <w:sz w:val="23"/>
          <w:szCs w:val="23"/>
          <w:rtl/>
        </w:rPr>
        <w:softHyphen/>
      </w:r>
      <w:r w:rsidRPr="00A62FF4">
        <w:rPr>
          <w:rFonts w:ascii="Times New Roman" w:hAnsi="Times New Roman" w:cs="B Nazanin" w:hint="cs"/>
          <w:sz w:val="23"/>
          <w:szCs w:val="23"/>
          <w:rtl/>
        </w:rPr>
        <w:t>های رشد درون</w:t>
      </w:r>
      <w:r w:rsidRPr="00A62FF4">
        <w:rPr>
          <w:rFonts w:ascii="Times New Roman" w:hAnsi="Times New Roman" w:cs="B Nazanin" w:hint="cs"/>
          <w:sz w:val="23"/>
          <w:szCs w:val="23"/>
          <w:rtl/>
        </w:rPr>
        <w:softHyphen/>
        <w:t xml:space="preserve">زا </w:t>
      </w:r>
    </w:p>
    <w:p w14:paraId="316D583E" w14:textId="77777777" w:rsidR="00411620" w:rsidRPr="00A62FF4" w:rsidRDefault="00411620" w:rsidP="00411620">
      <w:pPr>
        <w:pStyle w:val="Heading1"/>
        <w:spacing w:before="0" w:after="0" w:line="216" w:lineRule="auto"/>
        <w:rPr>
          <w:rFonts w:ascii="Times New Roman" w:hAnsi="Times New Roman" w:cs="B Nazanin"/>
          <w:sz w:val="23"/>
          <w:szCs w:val="23"/>
          <w:rtl/>
        </w:rPr>
      </w:pPr>
      <w:r w:rsidRPr="00A62FF4">
        <w:rPr>
          <w:rFonts w:ascii="Times New Roman" w:hAnsi="Times New Roman" w:cs="B Nazanin" w:hint="cs"/>
          <w:sz w:val="23"/>
          <w:szCs w:val="23"/>
          <w:rtl/>
        </w:rPr>
        <w:t xml:space="preserve">مدل یک بخشی </w:t>
      </w:r>
    </w:p>
    <w:p w14:paraId="4ADEFF37" w14:textId="77777777" w:rsidR="00411620" w:rsidRPr="00A62FF4" w:rsidRDefault="00411620" w:rsidP="00411620">
      <w:pPr>
        <w:spacing w:line="216" w:lineRule="auto"/>
        <w:rPr>
          <w:sz w:val="23"/>
          <w:szCs w:val="23"/>
          <w:rtl/>
        </w:rPr>
      </w:pPr>
      <w:r w:rsidRPr="00A62FF4">
        <w:rPr>
          <w:rFonts w:hint="cs"/>
          <w:sz w:val="23"/>
          <w:szCs w:val="23"/>
          <w:rtl/>
        </w:rPr>
        <w:t>در این مدل، سرمایه</w:t>
      </w:r>
      <w:r w:rsidRPr="00A62FF4">
        <w:rPr>
          <w:sz w:val="23"/>
          <w:szCs w:val="23"/>
          <w:rtl/>
        </w:rPr>
        <w:softHyphen/>
      </w:r>
      <w:r w:rsidRPr="00A62FF4">
        <w:rPr>
          <w:rFonts w:hint="cs"/>
          <w:sz w:val="23"/>
          <w:szCs w:val="23"/>
          <w:rtl/>
        </w:rPr>
        <w:t xml:space="preserve">ی فیزیکی از سرمایه انسانی منفک شده است. چنانچه فرض کنیم </w:t>
      </w:r>
      <w:r w:rsidRPr="00A62FF4">
        <w:rPr>
          <w:position w:val="-10"/>
        </w:rPr>
        <w:object w:dxaOrig="240" w:dyaOrig="320" w14:anchorId="03B40128">
          <v:shape id="_x0000_i1899" type="#_x0000_t75" style="width:12.1pt;height:15.75pt" o:ole="">
            <v:imagedata r:id="rId1782" o:title=""/>
          </v:shape>
          <o:OLEObject Type="Embed" ProgID="Equation.DSMT4" ShapeID="_x0000_i1899" DrawAspect="Content" ObjectID="_1791375843" r:id="rId1783"/>
        </w:object>
      </w:r>
      <w:r w:rsidRPr="00A62FF4">
        <w:rPr>
          <w:rFonts w:hint="cs"/>
          <w:sz w:val="23"/>
          <w:szCs w:val="23"/>
          <w:rtl/>
        </w:rPr>
        <w:t xml:space="preserve"> سرمایه انسانی و </w:t>
      </w:r>
      <w:r w:rsidRPr="00A62FF4">
        <w:rPr>
          <w:position w:val="-10"/>
        </w:rPr>
        <w:object w:dxaOrig="220" w:dyaOrig="320" w14:anchorId="2B9D0D36">
          <v:shape id="_x0000_i1900" type="#_x0000_t75" style="width:10.9pt;height:15.75pt" o:ole="">
            <v:imagedata r:id="rId1784" o:title=""/>
          </v:shape>
          <o:OLEObject Type="Embed" ProgID="Equation.DSMT4" ShapeID="_x0000_i1900" DrawAspect="Content" ObjectID="_1791375844" r:id="rId1785"/>
        </w:object>
      </w:r>
      <w:r w:rsidRPr="00A62FF4">
        <w:rPr>
          <w:rFonts w:eastAsiaTheme="minorEastAsia"/>
          <w:sz w:val="23"/>
          <w:szCs w:val="23"/>
        </w:rPr>
        <w:t xml:space="preserve"> </w:t>
      </w:r>
      <w:r w:rsidRPr="00A62FF4">
        <w:rPr>
          <w:rFonts w:hint="cs"/>
          <w:sz w:val="23"/>
          <w:szCs w:val="23"/>
          <w:rtl/>
        </w:rPr>
        <w:t>سرمایه</w:t>
      </w:r>
      <w:r w:rsidRPr="00A62FF4">
        <w:rPr>
          <w:sz w:val="23"/>
          <w:szCs w:val="23"/>
          <w:rtl/>
        </w:rPr>
        <w:softHyphen/>
      </w:r>
      <w:r w:rsidRPr="00A62FF4">
        <w:rPr>
          <w:rFonts w:hint="cs"/>
          <w:sz w:val="23"/>
          <w:szCs w:val="23"/>
          <w:rtl/>
        </w:rPr>
        <w:t xml:space="preserve">ی فیزیکی است و فرض </w:t>
      </w:r>
      <w:r w:rsidRPr="00A62FF4">
        <w:rPr>
          <w:rFonts w:hint="cs"/>
          <w:sz w:val="23"/>
          <w:szCs w:val="23"/>
          <w:rtl/>
        </w:rPr>
        <w:softHyphen/>
        <w:t>کنیم پیشرفت تکنولوژیکی وجود ندارد، تابع تولید سرانه عبارت خواهد بود از:</w:t>
      </w:r>
    </w:p>
    <w:p w14:paraId="67F1BFC3" w14:textId="77777777" w:rsidR="00411620" w:rsidRPr="00A62FF4" w:rsidRDefault="00411620" w:rsidP="00411620">
      <w:pPr>
        <w:bidi w:val="0"/>
        <w:spacing w:line="216" w:lineRule="auto"/>
        <w:rPr>
          <w:sz w:val="23"/>
          <w:szCs w:val="23"/>
        </w:rPr>
      </w:pPr>
      <w:r w:rsidRPr="00A62FF4">
        <w:rPr>
          <w:rFonts w:hint="cs"/>
          <w:sz w:val="23"/>
          <w:szCs w:val="23"/>
          <w:rtl/>
        </w:rPr>
        <w:t xml:space="preserve"> </w:t>
      </w:r>
      <w:r w:rsidRPr="00A62FF4">
        <w:rPr>
          <w:position w:val="-10"/>
        </w:rPr>
        <w:object w:dxaOrig="2460" w:dyaOrig="340" w14:anchorId="43109481">
          <v:shape id="_x0000_i1901" type="#_x0000_t75" style="width:122.8pt;height:16.95pt" o:ole="">
            <v:imagedata r:id="rId1786" o:title=""/>
          </v:shape>
          <o:OLEObject Type="Embed" ProgID="Equation.DSMT4" ShapeID="_x0000_i1901" DrawAspect="Content" ObjectID="_1791375845" r:id="rId1787"/>
        </w:object>
      </w:r>
      <w:r w:rsidRPr="00A62FF4">
        <w:rPr>
          <w:sz w:val="23"/>
          <w:szCs w:val="23"/>
        </w:rPr>
        <w:t xml:space="preserve"> </w:t>
      </w:r>
    </w:p>
    <w:p w14:paraId="4056936D" w14:textId="77777777" w:rsidR="00411620" w:rsidRPr="00A62FF4" w:rsidRDefault="00411620" w:rsidP="00411620">
      <w:pPr>
        <w:spacing w:line="216" w:lineRule="auto"/>
        <w:rPr>
          <w:sz w:val="23"/>
          <w:szCs w:val="23"/>
        </w:rPr>
      </w:pPr>
      <w:r w:rsidRPr="00A62FF4">
        <w:rPr>
          <w:rFonts w:hint="cs"/>
          <w:sz w:val="23"/>
          <w:szCs w:val="23"/>
          <w:rtl/>
        </w:rPr>
        <w:t>معادله</w:t>
      </w:r>
      <w:r w:rsidRPr="00A62FF4">
        <w:rPr>
          <w:sz w:val="23"/>
          <w:szCs w:val="23"/>
          <w:rtl/>
        </w:rPr>
        <w:softHyphen/>
      </w:r>
      <w:r w:rsidRPr="00A62FF4">
        <w:rPr>
          <w:rFonts w:hint="cs"/>
          <w:sz w:val="23"/>
          <w:szCs w:val="23"/>
          <w:rtl/>
        </w:rPr>
        <w:t>ی انباشت سرمایه نیز همانند قبل عبارت است از</w:t>
      </w:r>
    </w:p>
    <w:p w14:paraId="5462928A" w14:textId="77777777" w:rsidR="00411620" w:rsidRPr="00A62FF4" w:rsidRDefault="00411620" w:rsidP="00411620">
      <w:pPr>
        <w:pStyle w:val="MTDisplayEquation"/>
        <w:spacing w:line="216" w:lineRule="auto"/>
        <w:rPr>
          <w:rFonts w:ascii="Times New Roman" w:hAnsi="Times New Roman" w:cs="B Nazanin"/>
          <w:sz w:val="23"/>
          <w:szCs w:val="23"/>
          <w:rtl/>
        </w:rPr>
      </w:pPr>
      <w:r w:rsidRPr="00A62FF4">
        <w:rPr>
          <w:position w:val="-32"/>
        </w:rPr>
        <w:object w:dxaOrig="1780" w:dyaOrig="740" w14:anchorId="6E1DE211">
          <v:shape id="_x0000_i1902" type="#_x0000_t75" style="width:89.55pt;height:36.9pt" o:ole="">
            <v:imagedata r:id="rId1788" o:title=""/>
          </v:shape>
          <o:OLEObject Type="Embed" ProgID="Equation.DSMT4" ShapeID="_x0000_i1902" DrawAspect="Content" ObjectID="_1791375846" r:id="rId1789"/>
        </w:object>
      </w:r>
    </w:p>
    <w:p w14:paraId="649C9F15" w14:textId="77777777" w:rsidR="00411620" w:rsidRPr="00A62FF4" w:rsidRDefault="00411620" w:rsidP="00411620">
      <w:pPr>
        <w:spacing w:line="216" w:lineRule="auto"/>
        <w:rPr>
          <w:sz w:val="23"/>
          <w:szCs w:val="23"/>
        </w:rPr>
      </w:pPr>
      <w:r w:rsidRPr="00A62FF4">
        <w:rPr>
          <w:rFonts w:hint="cs"/>
          <w:sz w:val="23"/>
          <w:szCs w:val="23"/>
          <w:rtl/>
        </w:rPr>
        <w:t>که در آن</w:t>
      </w:r>
      <w:r w:rsidRPr="00A62FF4">
        <w:rPr>
          <w:position w:val="-10"/>
        </w:rPr>
        <w:object w:dxaOrig="220" w:dyaOrig="340" w14:anchorId="0B7691C7">
          <v:shape id="_x0000_i1903" type="#_x0000_t75" style="width:10.9pt;height:16.95pt" o:ole="">
            <v:imagedata r:id="rId1790" o:title=""/>
          </v:shape>
          <o:OLEObject Type="Embed" ProgID="Equation.DSMT4" ShapeID="_x0000_i1903" DrawAspect="Content" ObjectID="_1791375847" r:id="rId1791"/>
        </w:object>
      </w:r>
      <w:r w:rsidRPr="00A62FF4">
        <w:rPr>
          <w:rFonts w:hint="cs"/>
          <w:sz w:val="23"/>
          <w:szCs w:val="23"/>
          <w:rtl/>
        </w:rPr>
        <w:t xml:space="preserve"> سرمایه</w:t>
      </w:r>
      <w:r w:rsidRPr="00A62FF4">
        <w:rPr>
          <w:rFonts w:hint="cs"/>
          <w:sz w:val="23"/>
          <w:szCs w:val="23"/>
          <w:rtl/>
        </w:rPr>
        <w:softHyphen/>
        <w:t>گذاری فیزیکی،</w:t>
      </w:r>
      <w:r w:rsidRPr="00A62FF4">
        <w:rPr>
          <w:position w:val="-10"/>
        </w:rPr>
        <w:object w:dxaOrig="220" w:dyaOrig="340" w14:anchorId="5EC32C79">
          <v:shape id="_x0000_i1904" type="#_x0000_t75" style="width:10.9pt;height:16.95pt" o:ole="">
            <v:imagedata r:id="rId1792" o:title=""/>
          </v:shape>
          <o:OLEObject Type="Embed" ProgID="Equation.DSMT4" ShapeID="_x0000_i1904" DrawAspect="Content" ObjectID="_1791375848" r:id="rId1793"/>
        </w:object>
      </w:r>
      <w:r w:rsidRPr="00A62FF4">
        <w:rPr>
          <w:rFonts w:hint="cs"/>
          <w:sz w:val="23"/>
          <w:szCs w:val="23"/>
          <w:rtl/>
        </w:rPr>
        <w:t xml:space="preserve"> سرمایه</w:t>
      </w:r>
      <w:r w:rsidRPr="00A62FF4">
        <w:rPr>
          <w:rFonts w:hint="cs"/>
          <w:sz w:val="23"/>
          <w:szCs w:val="23"/>
          <w:rtl/>
        </w:rPr>
        <w:softHyphen/>
        <w:t>گذاری انسانی و</w:t>
      </w:r>
      <w:r w:rsidRPr="00A62FF4">
        <w:rPr>
          <w:position w:val="-10"/>
        </w:rPr>
        <w:object w:dxaOrig="240" w:dyaOrig="320" w14:anchorId="008E0C1B">
          <v:shape id="_x0000_i1905" type="#_x0000_t75" style="width:12.1pt;height:15.75pt" o:ole="">
            <v:imagedata r:id="rId1794" o:title=""/>
          </v:shape>
          <o:OLEObject Type="Embed" ProgID="Equation.DSMT4" ShapeID="_x0000_i1905" DrawAspect="Content" ObjectID="_1791375849" r:id="rId1795"/>
        </w:object>
      </w:r>
      <w:r w:rsidRPr="00A62FF4">
        <w:rPr>
          <w:rFonts w:eastAsiaTheme="minorEastAsia" w:hint="cs"/>
          <w:sz w:val="23"/>
          <w:szCs w:val="23"/>
          <w:rtl/>
        </w:rPr>
        <w:t xml:space="preserve"> موجودی سرمایه</w:t>
      </w:r>
      <w:r w:rsidRPr="00A62FF4">
        <w:rPr>
          <w:rFonts w:eastAsiaTheme="minorEastAsia"/>
          <w:sz w:val="23"/>
          <w:szCs w:val="23"/>
          <w:rtl/>
        </w:rPr>
        <w:softHyphen/>
      </w:r>
      <w:r w:rsidRPr="00A62FF4">
        <w:rPr>
          <w:rFonts w:eastAsiaTheme="minorEastAsia" w:hint="cs"/>
          <w:sz w:val="23"/>
          <w:szCs w:val="23"/>
          <w:rtl/>
        </w:rPr>
        <w:t xml:space="preserve">ی انسانی </w:t>
      </w:r>
      <w:r w:rsidRPr="00A62FF4">
        <w:rPr>
          <w:rFonts w:hint="cs"/>
          <w:sz w:val="23"/>
          <w:szCs w:val="23"/>
          <w:rtl/>
        </w:rPr>
        <w:t>در زمان</w:t>
      </w:r>
      <w:r w:rsidRPr="00A62FF4">
        <w:rPr>
          <w:position w:val="-6"/>
        </w:rPr>
        <w:object w:dxaOrig="139" w:dyaOrig="240" w14:anchorId="64731BBB">
          <v:shape id="_x0000_i1906" type="#_x0000_t75" style="width:7.25pt;height:12.1pt" o:ole="">
            <v:imagedata r:id="rId1796" o:title=""/>
          </v:shape>
          <o:OLEObject Type="Embed" ProgID="Equation.DSMT4" ShapeID="_x0000_i1906" DrawAspect="Content" ObjectID="_1791375850" r:id="rId1797"/>
        </w:object>
      </w:r>
      <w:r w:rsidRPr="00A62FF4">
        <w:rPr>
          <w:rFonts w:hint="cs"/>
          <w:sz w:val="23"/>
          <w:szCs w:val="23"/>
          <w:rtl/>
        </w:rPr>
        <w:t xml:space="preserve"> است. برای سادگی فرض می</w:t>
      </w:r>
      <w:r w:rsidRPr="00A62FF4">
        <w:rPr>
          <w:sz w:val="23"/>
          <w:szCs w:val="23"/>
          <w:rtl/>
        </w:rPr>
        <w:softHyphen/>
      </w:r>
      <w:r w:rsidRPr="00A62FF4">
        <w:rPr>
          <w:rFonts w:hint="cs"/>
          <w:sz w:val="23"/>
          <w:szCs w:val="23"/>
          <w:rtl/>
        </w:rPr>
        <w:t>کنیم نرخ استهلاک سرمایه فیزیکی و سرمایه</w:t>
      </w:r>
      <w:r w:rsidRPr="00A62FF4">
        <w:rPr>
          <w:sz w:val="23"/>
          <w:szCs w:val="23"/>
          <w:rtl/>
        </w:rPr>
        <w:softHyphen/>
      </w:r>
      <w:r w:rsidRPr="00A62FF4">
        <w:rPr>
          <w:rFonts w:hint="cs"/>
          <w:sz w:val="23"/>
          <w:szCs w:val="23"/>
          <w:rtl/>
        </w:rPr>
        <w:t>ی انسانی یکسان است و نرخ رشد جمعیت</w:t>
      </w:r>
      <w:r w:rsidRPr="00A62FF4">
        <w:rPr>
          <w:position w:val="-6"/>
        </w:rPr>
        <w:object w:dxaOrig="200" w:dyaOrig="200" w14:anchorId="2EFBD06B">
          <v:shape id="_x0000_i1907" type="#_x0000_t75" style="width:10.3pt;height:10.3pt" o:ole="">
            <v:imagedata r:id="rId1798" o:title=""/>
          </v:shape>
          <o:OLEObject Type="Embed" ProgID="Equation.DSMT4" ShapeID="_x0000_i1907" DrawAspect="Content" ObjectID="_1791375851" r:id="rId1799"/>
        </w:object>
      </w:r>
      <w:r w:rsidRPr="00A62FF4">
        <w:rPr>
          <w:rFonts w:hint="cs"/>
          <w:sz w:val="23"/>
          <w:szCs w:val="23"/>
          <w:rtl/>
        </w:rPr>
        <w:t xml:space="preserve"> برابر است با صفر. قید منابع اقتصاد عبارت است از</w:t>
      </w:r>
    </w:p>
    <w:p w14:paraId="678FD87F" w14:textId="77777777" w:rsidR="00411620" w:rsidRPr="00A62FF4" w:rsidRDefault="00411620" w:rsidP="00411620">
      <w:pPr>
        <w:bidi w:val="0"/>
        <w:spacing w:line="216" w:lineRule="auto"/>
        <w:rPr>
          <w:sz w:val="23"/>
          <w:szCs w:val="23"/>
          <w:rtl/>
        </w:rPr>
      </w:pPr>
      <w:r w:rsidRPr="00A62FF4">
        <w:rPr>
          <w:position w:val="-10"/>
        </w:rPr>
        <w:object w:dxaOrig="1340" w:dyaOrig="340" w14:anchorId="0D776500">
          <v:shape id="_x0000_i1908" type="#_x0000_t75" style="width:67.15pt;height:16.95pt" o:ole="">
            <v:imagedata r:id="rId1800" o:title=""/>
          </v:shape>
          <o:OLEObject Type="Embed" ProgID="Equation.DSMT4" ShapeID="_x0000_i1908" DrawAspect="Content" ObjectID="_1791375852" r:id="rId1801"/>
        </w:object>
      </w:r>
      <w:r w:rsidRPr="00A62FF4">
        <w:rPr>
          <w:rFonts w:hint="cs"/>
          <w:sz w:val="23"/>
          <w:szCs w:val="23"/>
          <w:rtl/>
        </w:rPr>
        <w:t xml:space="preserve"> </w:t>
      </w:r>
    </w:p>
    <w:p w14:paraId="1471613F" w14:textId="77777777" w:rsidR="00411620" w:rsidRPr="00A62FF4" w:rsidRDefault="00411620" w:rsidP="00411620">
      <w:pPr>
        <w:spacing w:line="216" w:lineRule="auto"/>
        <w:rPr>
          <w:sz w:val="23"/>
          <w:szCs w:val="23"/>
          <w:rtl/>
        </w:rPr>
      </w:pPr>
      <w:r w:rsidRPr="00A62FF4">
        <w:rPr>
          <w:rFonts w:hint="cs"/>
          <w:sz w:val="23"/>
          <w:szCs w:val="23"/>
          <w:rtl/>
        </w:rPr>
        <w:t xml:space="preserve">ویا </w:t>
      </w:r>
    </w:p>
    <w:p w14:paraId="5CAC70F2" w14:textId="77777777" w:rsidR="00411620" w:rsidRPr="00A62FF4" w:rsidRDefault="00411620" w:rsidP="00411620">
      <w:pPr>
        <w:pStyle w:val="MTDisplayEquation"/>
        <w:spacing w:line="216" w:lineRule="auto"/>
        <w:rPr>
          <w:rFonts w:ascii="Times New Roman" w:hAnsi="Times New Roman" w:cs="B Nazanin"/>
          <w:sz w:val="23"/>
          <w:szCs w:val="23"/>
          <w:rtl/>
        </w:rPr>
      </w:pPr>
      <w:r w:rsidRPr="00A62FF4">
        <w:rPr>
          <w:position w:val="-12"/>
        </w:rPr>
        <w:object w:dxaOrig="4120" w:dyaOrig="360" w14:anchorId="386A7975">
          <v:shape id="_x0000_i1909" type="#_x0000_t75" style="width:205.7pt;height:18.15pt" o:ole="">
            <v:imagedata r:id="rId1802" o:title=""/>
          </v:shape>
          <o:OLEObject Type="Embed" ProgID="Equation.DSMT4" ShapeID="_x0000_i1909" DrawAspect="Content" ObjectID="_1791375853" r:id="rId1803"/>
        </w:object>
      </w:r>
    </w:p>
    <w:p w14:paraId="5E75E38E" w14:textId="77777777" w:rsidR="00411620" w:rsidRPr="00A62FF4" w:rsidRDefault="00411620" w:rsidP="00411620">
      <w:pPr>
        <w:spacing w:line="216" w:lineRule="auto"/>
        <w:rPr>
          <w:sz w:val="23"/>
          <w:szCs w:val="23"/>
          <w:rtl/>
        </w:rPr>
      </w:pPr>
      <w:r w:rsidRPr="00A62FF4">
        <w:rPr>
          <w:rFonts w:hint="cs"/>
          <w:sz w:val="23"/>
          <w:szCs w:val="23"/>
          <w:rtl/>
        </w:rPr>
        <w:t>همچنین فرض می</w:t>
      </w:r>
      <w:r w:rsidRPr="00A62FF4">
        <w:rPr>
          <w:sz w:val="23"/>
          <w:szCs w:val="23"/>
          <w:rtl/>
        </w:rPr>
        <w:softHyphen/>
      </w:r>
      <w:r w:rsidRPr="00A62FF4">
        <w:rPr>
          <w:rFonts w:hint="cs"/>
          <w:sz w:val="23"/>
          <w:szCs w:val="23"/>
          <w:rtl/>
        </w:rPr>
        <w:t>شود تابع مطلوبیت به صورت تابع توانی است. حل بهینه از طریق حداکثر کردن لاگرانژین زیر بدست می</w:t>
      </w:r>
      <w:r w:rsidRPr="00A62FF4">
        <w:rPr>
          <w:rFonts w:hint="cs"/>
          <w:sz w:val="23"/>
          <w:szCs w:val="23"/>
          <w:rtl/>
        </w:rPr>
        <w:softHyphen/>
        <w:t>آید. یعنی</w:t>
      </w:r>
    </w:p>
    <w:p w14:paraId="6BA7B126" w14:textId="77777777" w:rsidR="00411620" w:rsidRPr="00A62FF4" w:rsidRDefault="00411620" w:rsidP="00411620">
      <w:pPr>
        <w:bidi w:val="0"/>
        <w:spacing w:line="216" w:lineRule="auto"/>
        <w:rPr>
          <w:sz w:val="23"/>
          <w:szCs w:val="23"/>
        </w:rPr>
      </w:pPr>
      <w:r w:rsidRPr="00A62FF4">
        <w:rPr>
          <w:position w:val="-46"/>
        </w:rPr>
        <w:object w:dxaOrig="6020" w:dyaOrig="1040" w14:anchorId="67C249C7">
          <v:shape id="_x0000_i1910" type="#_x0000_t75" style="width:300.7pt;height:52.05pt" o:ole="">
            <v:imagedata r:id="rId1804" o:title=""/>
          </v:shape>
          <o:OLEObject Type="Embed" ProgID="Equation.DSMT4" ShapeID="_x0000_i1910" DrawAspect="Content" ObjectID="_1791375854" r:id="rId1805"/>
        </w:object>
      </w:r>
      <w:r w:rsidRPr="00A62FF4">
        <w:rPr>
          <w:sz w:val="23"/>
          <w:szCs w:val="23"/>
        </w:rPr>
        <w:t xml:space="preserve"> </w:t>
      </w:r>
    </w:p>
    <w:p w14:paraId="1B43F498" w14:textId="77777777" w:rsidR="00411620" w:rsidRPr="00A62FF4" w:rsidRDefault="00411620" w:rsidP="00411620">
      <w:pPr>
        <w:spacing w:line="216" w:lineRule="auto"/>
        <w:rPr>
          <w:sz w:val="23"/>
          <w:szCs w:val="23"/>
          <w:rtl/>
        </w:rPr>
      </w:pPr>
      <w:r w:rsidRPr="00A62FF4">
        <w:rPr>
          <w:rFonts w:hint="cs"/>
          <w:sz w:val="23"/>
          <w:szCs w:val="23"/>
          <w:rtl/>
        </w:rPr>
        <w:t xml:space="preserve">شرایط مرتبه اول عبارتند از : </w:t>
      </w:r>
    </w:p>
    <w:p w14:paraId="190B3361" w14:textId="77777777" w:rsidR="00411620" w:rsidRPr="00A62FF4" w:rsidRDefault="00411620" w:rsidP="00411620">
      <w:pPr>
        <w:bidi w:val="0"/>
        <w:spacing w:line="216" w:lineRule="auto"/>
        <w:rPr>
          <w:sz w:val="23"/>
          <w:szCs w:val="23"/>
        </w:rPr>
      </w:pPr>
      <w:r w:rsidRPr="00A62FF4">
        <w:rPr>
          <w:position w:val="-28"/>
        </w:rPr>
        <w:object w:dxaOrig="3240" w:dyaOrig="639" w14:anchorId="2395540D">
          <v:shape id="_x0000_i1911" type="#_x0000_t75" style="width:162.15pt;height:32.05pt" o:ole="">
            <v:imagedata r:id="rId1806" o:title=""/>
          </v:shape>
          <o:OLEObject Type="Embed" ProgID="Equation.DSMT4" ShapeID="_x0000_i1911" DrawAspect="Content" ObjectID="_1791375855" r:id="rId1807"/>
        </w:object>
      </w:r>
      <w:r w:rsidRPr="00A62FF4">
        <w:rPr>
          <w:sz w:val="23"/>
          <w:szCs w:val="23"/>
        </w:rPr>
        <w:t xml:space="preserve"> </w:t>
      </w:r>
    </w:p>
    <w:p w14:paraId="5DBEC0A4" w14:textId="77777777" w:rsidR="00411620" w:rsidRPr="00A62FF4" w:rsidRDefault="00411620" w:rsidP="00411620">
      <w:pPr>
        <w:bidi w:val="0"/>
        <w:spacing w:line="216" w:lineRule="auto"/>
        <w:rPr>
          <w:sz w:val="23"/>
          <w:szCs w:val="23"/>
        </w:rPr>
      </w:pPr>
      <w:r w:rsidRPr="00A62FF4">
        <w:rPr>
          <w:position w:val="-28"/>
        </w:rPr>
        <w:object w:dxaOrig="5620" w:dyaOrig="639" w14:anchorId="32C63AC2">
          <v:shape id="_x0000_i1912" type="#_x0000_t75" style="width:280.75pt;height:32.05pt" o:ole="">
            <v:imagedata r:id="rId1808" o:title=""/>
          </v:shape>
          <o:OLEObject Type="Embed" ProgID="Equation.DSMT4" ShapeID="_x0000_i1912" DrawAspect="Content" ObjectID="_1791375856" r:id="rId1809"/>
        </w:object>
      </w:r>
      <w:r w:rsidRPr="00A62FF4">
        <w:rPr>
          <w:sz w:val="23"/>
          <w:szCs w:val="23"/>
        </w:rPr>
        <w:t xml:space="preserve"> </w:t>
      </w:r>
    </w:p>
    <w:p w14:paraId="79F13A74" w14:textId="77777777" w:rsidR="00411620" w:rsidRPr="00A62FF4" w:rsidRDefault="00411620" w:rsidP="00411620">
      <w:pPr>
        <w:bidi w:val="0"/>
        <w:spacing w:line="216" w:lineRule="auto"/>
        <w:rPr>
          <w:sz w:val="23"/>
          <w:szCs w:val="23"/>
        </w:rPr>
      </w:pPr>
      <w:r w:rsidRPr="00A62FF4">
        <w:rPr>
          <w:position w:val="-28"/>
        </w:rPr>
        <w:object w:dxaOrig="5580" w:dyaOrig="639" w14:anchorId="79C8FB9D">
          <v:shape id="_x0000_i1913" type="#_x0000_t75" style="width:278.9pt;height:32.05pt" o:ole="">
            <v:imagedata r:id="rId1810" o:title=""/>
          </v:shape>
          <o:OLEObject Type="Embed" ProgID="Equation.DSMT4" ShapeID="_x0000_i1913" DrawAspect="Content" ObjectID="_1791375857" r:id="rId1811"/>
        </w:object>
      </w:r>
      <w:r w:rsidRPr="00A62FF4">
        <w:rPr>
          <w:sz w:val="23"/>
          <w:szCs w:val="23"/>
        </w:rPr>
        <w:t xml:space="preserve"> </w:t>
      </w:r>
    </w:p>
    <w:p w14:paraId="365C5D0B" w14:textId="77777777" w:rsidR="00411620" w:rsidRPr="00A62FF4" w:rsidRDefault="00411620" w:rsidP="00411620">
      <w:pPr>
        <w:spacing w:line="216" w:lineRule="auto"/>
        <w:rPr>
          <w:sz w:val="23"/>
          <w:szCs w:val="23"/>
          <w:rtl/>
        </w:rPr>
      </w:pPr>
      <w:r w:rsidRPr="00A62FF4">
        <w:rPr>
          <w:rFonts w:hint="cs"/>
          <w:sz w:val="23"/>
          <w:szCs w:val="23"/>
          <w:rtl/>
        </w:rPr>
        <w:t>اولین معادله از شرایط مرتبه</w:t>
      </w:r>
      <w:r w:rsidRPr="00A62FF4">
        <w:rPr>
          <w:sz w:val="23"/>
          <w:szCs w:val="23"/>
          <w:rtl/>
        </w:rPr>
        <w:softHyphen/>
      </w:r>
      <w:r w:rsidRPr="00A62FF4">
        <w:rPr>
          <w:rFonts w:hint="cs"/>
          <w:sz w:val="23"/>
          <w:szCs w:val="23"/>
          <w:rtl/>
        </w:rPr>
        <w:t xml:space="preserve">ی اول را برای </w:t>
      </w:r>
      <w:r w:rsidRPr="00A62FF4">
        <w:rPr>
          <w:position w:val="-8"/>
        </w:rPr>
        <w:object w:dxaOrig="660" w:dyaOrig="279" w14:anchorId="2E69BFC1">
          <v:shape id="_x0000_i1914" type="#_x0000_t75" style="width:33.3pt;height:13.9pt" o:ole="">
            <v:imagedata r:id="rId1812" o:title=""/>
          </v:shape>
          <o:OLEObject Type="Embed" ProgID="Equation.DSMT4" ShapeID="_x0000_i1914" DrawAspect="Content" ObjectID="_1791375858" r:id="rId1813"/>
        </w:object>
      </w:r>
      <w:r w:rsidRPr="00A62FF4">
        <w:rPr>
          <w:rFonts w:eastAsiaTheme="minorEastAsia" w:hint="cs"/>
          <w:sz w:val="23"/>
          <w:szCs w:val="23"/>
          <w:rtl/>
        </w:rPr>
        <w:t xml:space="preserve"> </w:t>
      </w:r>
      <w:r w:rsidRPr="00A62FF4">
        <w:rPr>
          <w:rFonts w:hint="cs"/>
          <w:sz w:val="23"/>
          <w:szCs w:val="23"/>
          <w:rtl/>
        </w:rPr>
        <w:t>حل می</w:t>
      </w:r>
      <w:r w:rsidRPr="00A62FF4">
        <w:rPr>
          <w:rFonts w:hint="cs"/>
          <w:sz w:val="23"/>
          <w:szCs w:val="23"/>
          <w:rtl/>
        </w:rPr>
        <w:softHyphen/>
        <w:t xml:space="preserve">کنیم و </w:t>
      </w:r>
      <w:r w:rsidRPr="00A62FF4">
        <w:rPr>
          <w:position w:val="-10"/>
        </w:rPr>
        <w:object w:dxaOrig="220" w:dyaOrig="320" w14:anchorId="29EE238F">
          <v:shape id="_x0000_i1915" type="#_x0000_t75" style="width:10.9pt;height:15.75pt" o:ole="">
            <v:imagedata r:id="rId1814" o:title=""/>
          </v:shape>
          <o:OLEObject Type="Embed" ProgID="Equation.DSMT4" ShapeID="_x0000_i1915" DrawAspect="Content" ObjectID="_1791375859" r:id="rId1815"/>
        </w:object>
      </w:r>
      <w:r w:rsidRPr="00A62FF4">
        <w:rPr>
          <w:rFonts w:hint="cs"/>
          <w:sz w:val="23"/>
          <w:szCs w:val="23"/>
          <w:rtl/>
        </w:rPr>
        <w:t xml:space="preserve"> و </w:t>
      </w:r>
      <w:r w:rsidRPr="00A62FF4">
        <w:rPr>
          <w:position w:val="-10"/>
        </w:rPr>
        <w:object w:dxaOrig="360" w:dyaOrig="320" w14:anchorId="2FD6F3A0">
          <v:shape id="_x0000_i1916" type="#_x0000_t75" style="width:18.15pt;height:15.75pt" o:ole="">
            <v:imagedata r:id="rId1816" o:title=""/>
          </v:shape>
          <o:OLEObject Type="Embed" ProgID="Equation.DSMT4" ShapeID="_x0000_i1916" DrawAspect="Content" ObjectID="_1791375860" r:id="rId1817"/>
        </w:object>
      </w:r>
      <w:r w:rsidRPr="00A62FF4">
        <w:rPr>
          <w:rFonts w:hint="cs"/>
          <w:sz w:val="23"/>
          <w:szCs w:val="23"/>
          <w:rtl/>
        </w:rPr>
        <w:t xml:space="preserve"> را بدست می</w:t>
      </w:r>
      <w:r w:rsidRPr="00A62FF4">
        <w:rPr>
          <w:rFonts w:hint="cs"/>
          <w:sz w:val="23"/>
          <w:szCs w:val="23"/>
          <w:rtl/>
        </w:rPr>
        <w:softHyphen/>
        <w:t>آوریم. چنانچه</w:t>
      </w:r>
      <w:r w:rsidRPr="00A62FF4">
        <w:rPr>
          <w:sz w:val="23"/>
          <w:szCs w:val="23"/>
        </w:rPr>
        <w:t xml:space="preserve"> </w:t>
      </w:r>
      <w:r w:rsidRPr="00A62FF4">
        <w:rPr>
          <w:position w:val="-10"/>
        </w:rPr>
        <w:object w:dxaOrig="220" w:dyaOrig="320" w14:anchorId="644D1053">
          <v:shape id="_x0000_i1917" type="#_x0000_t75" style="width:10.9pt;height:15.75pt" o:ole="">
            <v:imagedata r:id="rId1818" o:title=""/>
          </v:shape>
          <o:OLEObject Type="Embed" ProgID="Equation.DSMT4" ShapeID="_x0000_i1917" DrawAspect="Content" ObjectID="_1791375861" r:id="rId1819"/>
        </w:object>
      </w:r>
      <w:r w:rsidRPr="00A62FF4">
        <w:rPr>
          <w:rFonts w:hint="cs"/>
          <w:sz w:val="23"/>
          <w:szCs w:val="23"/>
          <w:rtl/>
        </w:rPr>
        <w:t>و</w:t>
      </w:r>
      <w:r w:rsidRPr="00A62FF4">
        <w:rPr>
          <w:position w:val="-10"/>
        </w:rPr>
        <w:object w:dxaOrig="360" w:dyaOrig="320" w14:anchorId="7B7819C3">
          <v:shape id="_x0000_i1918" type="#_x0000_t75" style="width:18.15pt;height:15.75pt" o:ole="">
            <v:imagedata r:id="rId1820" o:title=""/>
          </v:shape>
          <o:OLEObject Type="Embed" ProgID="Equation.DSMT4" ShapeID="_x0000_i1918" DrawAspect="Content" ObjectID="_1791375862" r:id="rId1821"/>
        </w:object>
      </w:r>
      <w:r w:rsidRPr="00A62FF4">
        <w:rPr>
          <w:rFonts w:hint="cs"/>
          <w:sz w:val="23"/>
          <w:szCs w:val="23"/>
          <w:rtl/>
        </w:rPr>
        <w:t xml:space="preserve"> را در معادله دوم برای </w:t>
      </w:r>
      <w:r w:rsidRPr="00A62FF4">
        <w:rPr>
          <w:position w:val="-6"/>
        </w:rPr>
        <w:object w:dxaOrig="480" w:dyaOrig="260" w14:anchorId="49815755">
          <v:shape id="_x0000_i1919" type="#_x0000_t75" style="width:24.2pt;height:12.7pt" o:ole="">
            <v:imagedata r:id="rId1822" o:title=""/>
          </v:shape>
          <o:OLEObject Type="Embed" ProgID="Equation.DSMT4" ShapeID="_x0000_i1919" DrawAspect="Content" ObjectID="_1791375863" r:id="rId1823"/>
        </w:object>
      </w:r>
      <w:r w:rsidRPr="00A62FF4">
        <w:rPr>
          <w:rFonts w:hint="cs"/>
          <w:sz w:val="23"/>
          <w:szCs w:val="23"/>
          <w:rtl/>
        </w:rPr>
        <w:t xml:space="preserve"> قرار دهیم خواهیم داشت</w:t>
      </w:r>
      <w:r w:rsidRPr="00A62FF4">
        <w:rPr>
          <w:sz w:val="23"/>
          <w:szCs w:val="23"/>
        </w:rPr>
        <w:t xml:space="preserve"> </w:t>
      </w:r>
    </w:p>
    <w:p w14:paraId="106A2DDD" w14:textId="77777777" w:rsidR="00411620" w:rsidRPr="00A62FF4" w:rsidRDefault="00411620" w:rsidP="00411620">
      <w:pPr>
        <w:bidi w:val="0"/>
        <w:spacing w:line="216" w:lineRule="auto"/>
        <w:rPr>
          <w:sz w:val="23"/>
          <w:szCs w:val="23"/>
        </w:rPr>
      </w:pPr>
      <w:proofErr w:type="gramStart"/>
      <w:r w:rsidRPr="00A62FF4">
        <w:rPr>
          <w:sz w:val="23"/>
          <w:szCs w:val="23"/>
        </w:rPr>
        <w:t>β(</w:t>
      </w:r>
      <w:proofErr w:type="gramEnd"/>
      <w:r w:rsidRPr="00A62FF4">
        <w:rPr>
          <w:position w:val="-36"/>
        </w:rPr>
        <w:object w:dxaOrig="3240" w:dyaOrig="820" w14:anchorId="02003DB6">
          <v:shape id="_x0000_i1920" type="#_x0000_t75" style="width:162.15pt;height:41.15pt" o:ole="">
            <v:imagedata r:id="rId1824" o:title=""/>
          </v:shape>
          <o:OLEObject Type="Embed" ProgID="Equation.DSMT4" ShapeID="_x0000_i1920" DrawAspect="Content" ObjectID="_1791375864" r:id="rId1825"/>
        </w:object>
      </w:r>
      <w:r w:rsidRPr="00A62FF4">
        <w:rPr>
          <w:sz w:val="23"/>
          <w:szCs w:val="23"/>
        </w:rPr>
        <w:t xml:space="preserve"> </w:t>
      </w:r>
    </w:p>
    <w:p w14:paraId="546E39F8" w14:textId="77777777" w:rsidR="00411620" w:rsidRPr="00A62FF4" w:rsidRDefault="00411620" w:rsidP="00411620">
      <w:pPr>
        <w:spacing w:line="216" w:lineRule="auto"/>
        <w:rPr>
          <w:sz w:val="23"/>
          <w:szCs w:val="23"/>
          <w:rtl/>
        </w:rPr>
      </w:pPr>
      <w:r w:rsidRPr="00A62FF4">
        <w:rPr>
          <w:rFonts w:hint="cs"/>
          <w:sz w:val="23"/>
          <w:szCs w:val="23"/>
          <w:rtl/>
        </w:rPr>
        <w:lastRenderedPageBreak/>
        <w:t>که همان معادله</w:t>
      </w:r>
      <w:r w:rsidRPr="00A62FF4">
        <w:rPr>
          <w:sz w:val="23"/>
          <w:szCs w:val="23"/>
          <w:rtl/>
        </w:rPr>
        <w:softHyphen/>
      </w:r>
      <w:r w:rsidRPr="00A62FF4">
        <w:rPr>
          <w:rFonts w:hint="cs"/>
          <w:sz w:val="23"/>
          <w:szCs w:val="23"/>
          <w:rtl/>
        </w:rPr>
        <w:t xml:space="preserve">ی اویلر است. اگر </w:t>
      </w:r>
      <w:r w:rsidRPr="00A62FF4">
        <w:rPr>
          <w:position w:val="-10"/>
        </w:rPr>
        <w:object w:dxaOrig="220" w:dyaOrig="320" w14:anchorId="5E4C1CD2">
          <v:shape id="_x0000_i1921" type="#_x0000_t75" style="width:10.9pt;height:15.75pt" o:ole="">
            <v:imagedata r:id="rId1826" o:title=""/>
          </v:shape>
          <o:OLEObject Type="Embed" ProgID="Equation.DSMT4" ShapeID="_x0000_i1921" DrawAspect="Content" ObjectID="_1791375865" r:id="rId1827"/>
        </w:object>
      </w:r>
      <w:r w:rsidRPr="00A62FF4">
        <w:rPr>
          <w:rFonts w:hint="cs"/>
          <w:sz w:val="23"/>
          <w:szCs w:val="23"/>
          <w:rtl/>
        </w:rPr>
        <w:t xml:space="preserve"> و </w:t>
      </w:r>
      <w:r w:rsidRPr="00A62FF4">
        <w:rPr>
          <w:position w:val="-10"/>
        </w:rPr>
        <w:object w:dxaOrig="360" w:dyaOrig="320" w14:anchorId="28FA9CDA">
          <v:shape id="_x0000_i1922" type="#_x0000_t75" style="width:18.15pt;height:15.75pt" o:ole="">
            <v:imagedata r:id="rId1828" o:title=""/>
          </v:shape>
          <o:OLEObject Type="Embed" ProgID="Equation.DSMT4" ShapeID="_x0000_i1922" DrawAspect="Content" ObjectID="_1791375866" r:id="rId1829"/>
        </w:object>
      </w:r>
      <w:r w:rsidRPr="00A62FF4">
        <w:rPr>
          <w:rFonts w:hint="cs"/>
          <w:sz w:val="23"/>
          <w:szCs w:val="23"/>
          <w:rtl/>
        </w:rPr>
        <w:t xml:space="preserve"> را در معادله</w:t>
      </w:r>
      <w:r w:rsidRPr="00A62FF4">
        <w:rPr>
          <w:sz w:val="23"/>
          <w:szCs w:val="23"/>
          <w:rtl/>
        </w:rPr>
        <w:softHyphen/>
      </w:r>
      <w:r w:rsidRPr="00A62FF4">
        <w:rPr>
          <w:rFonts w:hint="cs"/>
          <w:sz w:val="23"/>
          <w:szCs w:val="23"/>
          <w:rtl/>
        </w:rPr>
        <w:t xml:space="preserve">ی سوم برای </w:t>
      </w:r>
      <w:r w:rsidRPr="00A62FF4">
        <w:rPr>
          <w:position w:val="-6"/>
        </w:rPr>
        <w:object w:dxaOrig="480" w:dyaOrig="260" w14:anchorId="31602BA4">
          <v:shape id="_x0000_i1923" type="#_x0000_t75" style="width:24.2pt;height:12.7pt" o:ole="">
            <v:imagedata r:id="rId1830" o:title=""/>
          </v:shape>
          <o:OLEObject Type="Embed" ProgID="Equation.DSMT4" ShapeID="_x0000_i1923" DrawAspect="Content" ObjectID="_1791375867" r:id="rId1831"/>
        </w:object>
      </w:r>
      <w:r w:rsidRPr="00A62FF4">
        <w:rPr>
          <w:rFonts w:hint="cs"/>
          <w:sz w:val="23"/>
          <w:szCs w:val="23"/>
          <w:rtl/>
        </w:rPr>
        <w:t xml:space="preserve"> قرار دهیم، خواهیم داشت</w:t>
      </w:r>
    </w:p>
    <w:p w14:paraId="23B2D243" w14:textId="77777777" w:rsidR="00411620" w:rsidRPr="00A62FF4" w:rsidRDefault="00411620" w:rsidP="00411620">
      <w:pPr>
        <w:bidi w:val="0"/>
        <w:spacing w:line="216" w:lineRule="auto"/>
        <w:rPr>
          <w:sz w:val="23"/>
          <w:szCs w:val="23"/>
        </w:rPr>
      </w:pPr>
      <w:r w:rsidRPr="00A62FF4">
        <w:rPr>
          <w:position w:val="-36"/>
        </w:rPr>
        <w:object w:dxaOrig="3720" w:dyaOrig="820" w14:anchorId="51770141">
          <v:shape id="_x0000_i1924" type="#_x0000_t75" style="width:185.75pt;height:41.15pt" o:ole="">
            <v:imagedata r:id="rId1832" o:title=""/>
          </v:shape>
          <o:OLEObject Type="Embed" ProgID="Equation.DSMT4" ShapeID="_x0000_i1924" DrawAspect="Content" ObjectID="_1791375868" r:id="rId1833"/>
        </w:object>
      </w:r>
      <w:r w:rsidRPr="00A62FF4">
        <w:rPr>
          <w:sz w:val="23"/>
          <w:szCs w:val="23"/>
        </w:rPr>
        <w:t xml:space="preserve"> </w:t>
      </w:r>
    </w:p>
    <w:p w14:paraId="1E390EC9" w14:textId="77777777" w:rsidR="00411620" w:rsidRPr="00A62FF4" w:rsidRDefault="00411620" w:rsidP="00411620">
      <w:pPr>
        <w:spacing w:line="216" w:lineRule="auto"/>
        <w:rPr>
          <w:sz w:val="23"/>
          <w:szCs w:val="23"/>
          <w:rtl/>
        </w:rPr>
      </w:pPr>
      <w:r w:rsidRPr="00A62FF4">
        <w:rPr>
          <w:rFonts w:hint="cs"/>
          <w:sz w:val="23"/>
          <w:szCs w:val="23"/>
          <w:rtl/>
        </w:rPr>
        <w:t xml:space="preserve">از تقسیم طرفین این دو رابطه داریم </w:t>
      </w:r>
      <w:r w:rsidRPr="00A62FF4">
        <w:rPr>
          <w:position w:val="-28"/>
        </w:rPr>
        <w:object w:dxaOrig="1100" w:dyaOrig="639" w14:anchorId="5D77E9D0">
          <v:shape id="_x0000_i1925" type="#_x0000_t75" style="width:55.05pt;height:32.05pt" o:ole="">
            <v:imagedata r:id="rId1834" o:title=""/>
          </v:shape>
          <o:OLEObject Type="Embed" ProgID="Equation.DSMT4" ShapeID="_x0000_i1925" DrawAspect="Content" ObjectID="_1791375869" r:id="rId1835"/>
        </w:object>
      </w:r>
      <w:r w:rsidRPr="00A62FF4">
        <w:rPr>
          <w:rFonts w:hint="cs"/>
          <w:sz w:val="23"/>
          <w:szCs w:val="23"/>
          <w:rtl/>
        </w:rPr>
        <w:t xml:space="preserve"> که مقداری است ثابت. در وضعیت یکنواخت </w:t>
      </w:r>
      <w:r w:rsidRPr="00A62FF4">
        <w:rPr>
          <w:position w:val="-28"/>
        </w:rPr>
        <w:object w:dxaOrig="1920" w:dyaOrig="639" w14:anchorId="5C51AA2D">
          <v:shape id="_x0000_i1926" type="#_x0000_t75" style="width:96.2pt;height:32.05pt" o:ole="">
            <v:imagedata r:id="rId1836" o:title=""/>
          </v:shape>
          <o:OLEObject Type="Embed" ProgID="Equation.DSMT4" ShapeID="_x0000_i1926" DrawAspect="Content" ObjectID="_1791375870" r:id="rId1837"/>
        </w:object>
      </w:r>
      <w:r w:rsidRPr="00A62FF4">
        <w:rPr>
          <w:rFonts w:hint="cs"/>
          <w:sz w:val="23"/>
          <w:szCs w:val="23"/>
          <w:rtl/>
        </w:rPr>
        <w:t xml:space="preserve"> می</w:t>
      </w:r>
      <w:r w:rsidRPr="00A62FF4">
        <w:rPr>
          <w:sz w:val="23"/>
          <w:szCs w:val="23"/>
          <w:rtl/>
        </w:rPr>
        <w:softHyphen/>
      </w:r>
      <w:r w:rsidRPr="00A62FF4">
        <w:rPr>
          <w:rFonts w:hint="cs"/>
          <w:sz w:val="23"/>
          <w:szCs w:val="23"/>
          <w:rtl/>
        </w:rPr>
        <w:t>باشد، و لذا معادله</w:t>
      </w:r>
      <w:r w:rsidRPr="00A62FF4">
        <w:rPr>
          <w:sz w:val="23"/>
          <w:szCs w:val="23"/>
          <w:rtl/>
        </w:rPr>
        <w:softHyphen/>
      </w:r>
      <w:r w:rsidRPr="00A62FF4">
        <w:rPr>
          <w:rFonts w:hint="cs"/>
          <w:sz w:val="23"/>
          <w:szCs w:val="23"/>
          <w:rtl/>
        </w:rPr>
        <w:t xml:space="preserve">ی اویلر عبارت خواهد بود </w:t>
      </w:r>
    </w:p>
    <w:p w14:paraId="0DF90293" w14:textId="77777777" w:rsidR="00411620" w:rsidRPr="00A62FF4" w:rsidRDefault="00411620" w:rsidP="00411620">
      <w:pPr>
        <w:bidi w:val="0"/>
        <w:spacing w:line="216" w:lineRule="auto"/>
        <w:rPr>
          <w:sz w:val="23"/>
          <w:szCs w:val="23"/>
        </w:rPr>
      </w:pPr>
      <w:r w:rsidRPr="00A62FF4">
        <w:rPr>
          <w:position w:val="-34"/>
        </w:rPr>
        <w:object w:dxaOrig="3360" w:dyaOrig="780" w14:anchorId="43FA637A">
          <v:shape id="_x0000_i1927" type="#_x0000_t75" style="width:168.2pt;height:38.7pt" o:ole="">
            <v:imagedata r:id="rId1838" o:title=""/>
          </v:shape>
          <o:OLEObject Type="Embed" ProgID="Equation.DSMT4" ShapeID="_x0000_i1927" DrawAspect="Content" ObjectID="_1791375871" r:id="rId1839"/>
        </w:object>
      </w:r>
      <w:r w:rsidRPr="00A62FF4">
        <w:rPr>
          <w:sz w:val="23"/>
          <w:szCs w:val="23"/>
        </w:rPr>
        <w:t xml:space="preserve"> </w:t>
      </w:r>
    </w:p>
    <w:p w14:paraId="24E474CE" w14:textId="77777777" w:rsidR="00411620" w:rsidRPr="00A62FF4" w:rsidRDefault="00411620" w:rsidP="00411620">
      <w:pPr>
        <w:spacing w:line="216" w:lineRule="auto"/>
        <w:rPr>
          <w:sz w:val="23"/>
          <w:szCs w:val="23"/>
          <w:rtl/>
        </w:rPr>
      </w:pPr>
      <w:r w:rsidRPr="00A62FF4">
        <w:rPr>
          <w:rFonts w:hint="cs"/>
          <w:sz w:val="23"/>
          <w:szCs w:val="23"/>
          <w:rtl/>
        </w:rPr>
        <w:t xml:space="preserve">و چون </w:t>
      </w:r>
      <w:r w:rsidRPr="00A62FF4">
        <w:rPr>
          <w:position w:val="-22"/>
        </w:rPr>
        <w:object w:dxaOrig="880" w:dyaOrig="560" w14:anchorId="77C72512">
          <v:shape id="_x0000_i1928" type="#_x0000_t75" style="width:44.15pt;height:27.85pt" o:ole="">
            <v:imagedata r:id="rId1840" o:title=""/>
          </v:shape>
          <o:OLEObject Type="Embed" ProgID="Equation.DSMT4" ShapeID="_x0000_i1928" DrawAspect="Content" ObjectID="_1791375872" r:id="rId1841"/>
        </w:object>
      </w:r>
      <w:r w:rsidRPr="00A62FF4">
        <w:rPr>
          <w:rFonts w:hint="cs"/>
          <w:sz w:val="23"/>
          <w:szCs w:val="23"/>
          <w:rtl/>
        </w:rPr>
        <w:t xml:space="preserve"> لذا </w:t>
      </w:r>
    </w:p>
    <w:p w14:paraId="6B61CD8A" w14:textId="77777777" w:rsidR="00411620" w:rsidRPr="00A62FF4" w:rsidRDefault="00411620" w:rsidP="00411620">
      <w:pPr>
        <w:bidi w:val="0"/>
        <w:spacing w:line="216" w:lineRule="auto"/>
        <w:rPr>
          <w:sz w:val="23"/>
          <w:szCs w:val="23"/>
          <w:rtl/>
        </w:rPr>
      </w:pPr>
      <w:r w:rsidRPr="00A62FF4">
        <w:rPr>
          <w:position w:val="-34"/>
        </w:rPr>
        <w:object w:dxaOrig="3500" w:dyaOrig="780" w14:anchorId="2DE61701">
          <v:shape id="_x0000_i1929" type="#_x0000_t75" style="width:175.45pt;height:38.7pt" o:ole="">
            <v:imagedata r:id="rId1842" o:title=""/>
          </v:shape>
          <o:OLEObject Type="Embed" ProgID="Equation.DSMT4" ShapeID="_x0000_i1929" DrawAspect="Content" ObjectID="_1791375873" r:id="rId1843"/>
        </w:object>
      </w:r>
      <w:r w:rsidRPr="00A62FF4">
        <w:rPr>
          <w:sz w:val="23"/>
          <w:szCs w:val="23"/>
        </w:rPr>
        <w:t xml:space="preserve"> </w:t>
      </w:r>
    </w:p>
    <w:p w14:paraId="221704A5" w14:textId="77777777" w:rsidR="00411620" w:rsidRPr="00A62FF4" w:rsidRDefault="00411620" w:rsidP="00411620">
      <w:pPr>
        <w:spacing w:line="216" w:lineRule="auto"/>
        <w:rPr>
          <w:sz w:val="23"/>
          <w:szCs w:val="23"/>
          <w:rtl/>
        </w:rPr>
      </w:pPr>
      <w:r w:rsidRPr="00A62FF4">
        <w:rPr>
          <w:rFonts w:hint="cs"/>
          <w:sz w:val="23"/>
          <w:szCs w:val="23"/>
          <w:rtl/>
        </w:rPr>
        <w:t>چنانچه از طرفین لگاریتم بگیریم خواهیم داشت</w:t>
      </w:r>
    </w:p>
    <w:p w14:paraId="6819FBCA" w14:textId="77777777" w:rsidR="00411620" w:rsidRPr="00A62FF4" w:rsidRDefault="00411620" w:rsidP="00411620">
      <w:pPr>
        <w:pStyle w:val="MTDisplayEquation"/>
        <w:spacing w:line="216" w:lineRule="auto"/>
        <w:rPr>
          <w:rFonts w:ascii="Times New Roman" w:eastAsiaTheme="minorEastAsia" w:hAnsi="Times New Roman" w:cs="B Nazanin"/>
          <w:sz w:val="23"/>
          <w:szCs w:val="23"/>
        </w:rPr>
      </w:pPr>
      <w:r w:rsidRPr="00A62FF4">
        <w:rPr>
          <w:position w:val="-34"/>
        </w:rPr>
        <w:object w:dxaOrig="4440" w:dyaOrig="780" w14:anchorId="6F0D57C1">
          <v:shape id="_x0000_i1930" type="#_x0000_t75" style="width:222.05pt;height:38.7pt" o:ole="">
            <v:imagedata r:id="rId1844" o:title=""/>
          </v:shape>
          <o:OLEObject Type="Embed" ProgID="Equation.DSMT4" ShapeID="_x0000_i1930" DrawAspect="Content" ObjectID="_1791375874" r:id="rId1845"/>
        </w:object>
      </w:r>
    </w:p>
    <w:p w14:paraId="47DD6A05" w14:textId="77777777" w:rsidR="00411620" w:rsidRPr="00A62FF4" w:rsidRDefault="00411620" w:rsidP="00411620">
      <w:pPr>
        <w:spacing w:line="216" w:lineRule="auto"/>
        <w:rPr>
          <w:sz w:val="23"/>
          <w:szCs w:val="23"/>
        </w:rPr>
      </w:pPr>
      <w:r w:rsidRPr="00A62FF4">
        <w:rPr>
          <w:rFonts w:hint="cs"/>
          <w:sz w:val="23"/>
          <w:szCs w:val="23"/>
          <w:rtl/>
        </w:rPr>
        <w:t>همچنین داریم</w:t>
      </w:r>
    </w:p>
    <w:p w14:paraId="14392267" w14:textId="77777777" w:rsidR="00411620" w:rsidRPr="00A62FF4" w:rsidRDefault="00411620" w:rsidP="00411620">
      <w:pPr>
        <w:bidi w:val="0"/>
        <w:spacing w:line="216" w:lineRule="auto"/>
        <w:rPr>
          <w:sz w:val="23"/>
          <w:szCs w:val="23"/>
        </w:rPr>
      </w:pPr>
      <w:r w:rsidRPr="00A62FF4">
        <w:rPr>
          <w:position w:val="-34"/>
        </w:rPr>
        <w:object w:dxaOrig="6380" w:dyaOrig="780" w14:anchorId="6DEC7182">
          <v:shape id="_x0000_i1931" type="#_x0000_t75" style="width:318.85pt;height:38.7pt" o:ole="">
            <v:imagedata r:id="rId1846" o:title=""/>
          </v:shape>
          <o:OLEObject Type="Embed" ProgID="Equation.DSMT4" ShapeID="_x0000_i1931" DrawAspect="Content" ObjectID="_1791375875" r:id="rId1847"/>
        </w:object>
      </w:r>
    </w:p>
    <w:p w14:paraId="6EE98210" w14:textId="77777777" w:rsidR="00411620" w:rsidRPr="00A62FF4" w:rsidRDefault="00411620" w:rsidP="00411620">
      <w:pPr>
        <w:spacing w:line="216" w:lineRule="auto"/>
        <w:rPr>
          <w:rFonts w:eastAsiaTheme="minorEastAsia"/>
          <w:sz w:val="23"/>
          <w:szCs w:val="23"/>
          <w:rtl/>
        </w:rPr>
      </w:pPr>
      <w:r w:rsidRPr="00A62FF4">
        <w:rPr>
          <w:rFonts w:hint="cs"/>
          <w:sz w:val="23"/>
          <w:szCs w:val="23"/>
          <w:rtl/>
        </w:rPr>
        <w:t>بنابراین</w:t>
      </w:r>
    </w:p>
    <w:p w14:paraId="0F2F85F1" w14:textId="77777777" w:rsidR="00411620" w:rsidRPr="00A62FF4" w:rsidRDefault="00411620" w:rsidP="00411620">
      <w:pPr>
        <w:bidi w:val="0"/>
        <w:spacing w:line="216" w:lineRule="auto"/>
        <w:rPr>
          <w:rFonts w:eastAsiaTheme="minorEastAsia"/>
          <w:sz w:val="23"/>
          <w:szCs w:val="23"/>
        </w:rPr>
      </w:pPr>
      <w:r w:rsidRPr="00A62FF4">
        <w:rPr>
          <w:sz w:val="23"/>
          <w:szCs w:val="23"/>
        </w:rPr>
        <w:t xml:space="preserve"> </w:t>
      </w:r>
      <w:r w:rsidRPr="00A62FF4">
        <w:rPr>
          <w:position w:val="-34"/>
        </w:rPr>
        <w:object w:dxaOrig="3560" w:dyaOrig="780" w14:anchorId="22CB85BC">
          <v:shape id="_x0000_i1932" type="#_x0000_t75" style="width:178.5pt;height:38.7pt" o:ole="">
            <v:imagedata r:id="rId1848" o:title=""/>
          </v:shape>
          <o:OLEObject Type="Embed" ProgID="Equation.DSMT4" ShapeID="_x0000_i1932" DrawAspect="Content" ObjectID="_1791375876" r:id="rId1849"/>
        </w:object>
      </w:r>
    </w:p>
    <w:p w14:paraId="2D323835" w14:textId="77777777" w:rsidR="00411620" w:rsidRPr="00A62FF4" w:rsidRDefault="00411620" w:rsidP="00411620">
      <w:pPr>
        <w:spacing w:line="216" w:lineRule="auto"/>
        <w:rPr>
          <w:rFonts w:eastAsiaTheme="minorEastAsia"/>
          <w:sz w:val="23"/>
          <w:szCs w:val="23"/>
          <w:rtl/>
        </w:rPr>
      </w:pPr>
      <w:r w:rsidRPr="00A62FF4">
        <w:rPr>
          <w:rFonts w:hint="cs"/>
          <w:sz w:val="23"/>
          <w:szCs w:val="23"/>
          <w:rtl/>
        </w:rPr>
        <w:t xml:space="preserve">و چون </w:t>
      </w:r>
    </w:p>
    <w:p w14:paraId="7AA311EE" w14:textId="77777777" w:rsidR="00411620" w:rsidRPr="00A62FF4" w:rsidRDefault="00411620" w:rsidP="00411620">
      <w:pPr>
        <w:bidi w:val="0"/>
        <w:spacing w:line="216" w:lineRule="auto"/>
        <w:rPr>
          <w:sz w:val="23"/>
          <w:szCs w:val="23"/>
        </w:rPr>
      </w:pPr>
      <w:r w:rsidRPr="00A62FF4">
        <w:rPr>
          <w:position w:val="-26"/>
        </w:rPr>
        <w:object w:dxaOrig="5380" w:dyaOrig="680" w14:anchorId="74D63A5C">
          <v:shape id="_x0000_i1933" type="#_x0000_t75" style="width:269.25pt;height:33.9pt" o:ole="">
            <v:imagedata r:id="rId1850" o:title=""/>
          </v:shape>
          <o:OLEObject Type="Embed" ProgID="Equation.DSMT4" ShapeID="_x0000_i1933" DrawAspect="Content" ObjectID="_1791375877" r:id="rId1851"/>
        </w:object>
      </w:r>
      <w:r w:rsidRPr="00A62FF4">
        <w:rPr>
          <w:sz w:val="23"/>
          <w:szCs w:val="23"/>
        </w:rPr>
        <w:t xml:space="preserve"> </w:t>
      </w:r>
    </w:p>
    <w:p w14:paraId="5CF3DF01" w14:textId="77777777" w:rsidR="00411620" w:rsidRPr="00A62FF4" w:rsidRDefault="00411620" w:rsidP="00411620">
      <w:pPr>
        <w:spacing w:line="216" w:lineRule="auto"/>
        <w:rPr>
          <w:sz w:val="23"/>
          <w:szCs w:val="23"/>
          <w:rtl/>
        </w:rPr>
      </w:pPr>
      <w:r w:rsidRPr="00A62FF4">
        <w:rPr>
          <w:rFonts w:hint="cs"/>
          <w:sz w:val="23"/>
          <w:szCs w:val="23"/>
          <w:rtl/>
        </w:rPr>
        <w:t>ویا</w:t>
      </w:r>
    </w:p>
    <w:p w14:paraId="12BF19D5" w14:textId="77777777" w:rsidR="00411620" w:rsidRPr="00A62FF4" w:rsidRDefault="00411620" w:rsidP="00411620">
      <w:pPr>
        <w:pStyle w:val="MTDisplayEquation"/>
        <w:tabs>
          <w:tab w:val="clear" w:pos="6660"/>
          <w:tab w:val="right" w:pos="6804"/>
        </w:tabs>
        <w:spacing w:line="216" w:lineRule="auto"/>
        <w:rPr>
          <w:rFonts w:ascii="Times New Roman" w:eastAsiaTheme="minorEastAsia" w:hAnsi="Times New Roman" w:cs="B Nazanin"/>
          <w:sz w:val="23"/>
          <w:szCs w:val="23"/>
        </w:rPr>
      </w:pPr>
      <w:r w:rsidRPr="00A62FF4">
        <w:rPr>
          <w:position w:val="-60"/>
        </w:rPr>
        <w:object w:dxaOrig="7699" w:dyaOrig="1040" w14:anchorId="5989DD0C">
          <v:shape id="_x0000_i1934" type="#_x0000_t75" style="width:339.45pt;height:52.05pt" o:ole="">
            <v:imagedata r:id="rId1852" o:title=""/>
          </v:shape>
          <o:OLEObject Type="Embed" ProgID="Equation.DSMT4" ShapeID="_x0000_i1934" DrawAspect="Content" ObjectID="_1791375878" r:id="rId1853"/>
        </w:object>
      </w:r>
    </w:p>
    <w:p w14:paraId="484ECC82" w14:textId="77777777" w:rsidR="00411620" w:rsidRPr="00A62FF4" w:rsidRDefault="00411620" w:rsidP="00411620">
      <w:pPr>
        <w:spacing w:line="216" w:lineRule="auto"/>
        <w:rPr>
          <w:sz w:val="23"/>
          <w:szCs w:val="23"/>
          <w:rtl/>
        </w:rPr>
      </w:pPr>
      <w:r w:rsidRPr="00A62FF4">
        <w:rPr>
          <w:rFonts w:hint="cs"/>
          <w:sz w:val="23"/>
          <w:szCs w:val="23"/>
          <w:rtl/>
        </w:rPr>
        <w:lastRenderedPageBreak/>
        <w:t>لذا :</w:t>
      </w:r>
    </w:p>
    <w:p w14:paraId="12085FAF" w14:textId="77777777" w:rsidR="00411620" w:rsidRPr="00A62FF4" w:rsidRDefault="00411620" w:rsidP="00411620">
      <w:pPr>
        <w:bidi w:val="0"/>
        <w:spacing w:line="216" w:lineRule="auto"/>
        <w:rPr>
          <w:sz w:val="23"/>
          <w:szCs w:val="23"/>
        </w:rPr>
      </w:pPr>
      <w:r w:rsidRPr="00A62FF4">
        <w:rPr>
          <w:position w:val="-22"/>
        </w:rPr>
        <w:object w:dxaOrig="1359" w:dyaOrig="560" w14:anchorId="18F1F87E">
          <v:shape id="_x0000_i1935" type="#_x0000_t75" style="width:67.75pt;height:27.85pt" o:ole="">
            <v:imagedata r:id="rId1854" o:title=""/>
          </v:shape>
          <o:OLEObject Type="Embed" ProgID="Equation.DSMT4" ShapeID="_x0000_i1935" DrawAspect="Content" ObjectID="_1791375879" r:id="rId1855"/>
        </w:object>
      </w:r>
      <w:r w:rsidRPr="00A62FF4">
        <w:rPr>
          <w:sz w:val="23"/>
          <w:szCs w:val="23"/>
        </w:rPr>
        <w:t xml:space="preserve"> </w:t>
      </w:r>
    </w:p>
    <w:p w14:paraId="664B88D9" w14:textId="77777777" w:rsidR="00411620" w:rsidRPr="00A62FF4" w:rsidRDefault="00411620" w:rsidP="00411620">
      <w:pPr>
        <w:spacing w:line="216" w:lineRule="auto"/>
        <w:rPr>
          <w:sz w:val="23"/>
          <w:szCs w:val="23"/>
          <w:rtl/>
        </w:rPr>
      </w:pPr>
      <w:r w:rsidRPr="00A62FF4">
        <w:rPr>
          <w:rFonts w:hint="cs"/>
          <w:sz w:val="23"/>
          <w:szCs w:val="23"/>
          <w:rtl/>
        </w:rPr>
        <w:t>نرخ رشد سرمایه فیزیکی و سرمایه</w:t>
      </w:r>
      <w:r w:rsidRPr="00A62FF4">
        <w:rPr>
          <w:sz w:val="23"/>
          <w:szCs w:val="23"/>
          <w:rtl/>
        </w:rPr>
        <w:softHyphen/>
      </w:r>
      <w:r w:rsidRPr="00A62FF4">
        <w:rPr>
          <w:rFonts w:hint="cs"/>
          <w:sz w:val="23"/>
          <w:szCs w:val="23"/>
          <w:rtl/>
        </w:rPr>
        <w:t xml:space="preserve">ی انسانی نیز یکسان است و برابر است با نرخ رشد مصرف. از آنجا که نسبت </w:t>
      </w:r>
      <w:r w:rsidRPr="00A62FF4">
        <w:rPr>
          <w:position w:val="-28"/>
        </w:rPr>
        <w:object w:dxaOrig="980" w:dyaOrig="639" w14:anchorId="15D6B92A">
          <v:shape id="_x0000_i1936" type="#_x0000_t75" style="width:49pt;height:32.05pt" o:ole="">
            <v:imagedata r:id="rId1856" o:title=""/>
          </v:shape>
          <o:OLEObject Type="Embed" ProgID="Equation.DSMT4" ShapeID="_x0000_i1936" DrawAspect="Content" ObjectID="_1791375880" r:id="rId1857"/>
        </w:object>
      </w:r>
      <w:r w:rsidRPr="00A62FF4">
        <w:rPr>
          <w:rFonts w:hint="cs"/>
          <w:sz w:val="23"/>
          <w:szCs w:val="23"/>
          <w:rtl/>
        </w:rPr>
        <w:t xml:space="preserve"> در تعادل بلندمدت و یا وضعیت یکنواخت ثابت است، لذا</w:t>
      </w:r>
    </w:p>
    <w:p w14:paraId="7ACDE996" w14:textId="77777777" w:rsidR="00411620" w:rsidRPr="00A62FF4" w:rsidRDefault="00411620" w:rsidP="00411620">
      <w:pPr>
        <w:bidi w:val="0"/>
        <w:spacing w:line="216" w:lineRule="auto"/>
        <w:rPr>
          <w:sz w:val="23"/>
          <w:szCs w:val="23"/>
          <w:rtl/>
        </w:rPr>
      </w:pPr>
      <w:r w:rsidRPr="00A62FF4">
        <w:rPr>
          <w:position w:val="-30"/>
        </w:rPr>
        <w:object w:dxaOrig="6360" w:dyaOrig="760" w14:anchorId="698A4D5B">
          <v:shape id="_x0000_i1937" type="#_x0000_t75" style="width:318.25pt;height:38.1pt" o:ole="">
            <v:imagedata r:id="rId1858" o:title=""/>
          </v:shape>
          <o:OLEObject Type="Embed" ProgID="Equation.DSMT4" ShapeID="_x0000_i1937" DrawAspect="Content" ObjectID="_1791375881" r:id="rId1859"/>
        </w:object>
      </w:r>
      <w:r w:rsidRPr="00A62FF4">
        <w:rPr>
          <w:rFonts w:hint="cs"/>
          <w:sz w:val="23"/>
          <w:szCs w:val="23"/>
          <w:rtl/>
        </w:rPr>
        <w:t xml:space="preserve"> </w:t>
      </w:r>
    </w:p>
    <w:p w14:paraId="488709E4" w14:textId="77777777" w:rsidR="00411620" w:rsidRPr="00A62FF4" w:rsidRDefault="00411620" w:rsidP="00411620">
      <w:pPr>
        <w:spacing w:line="216" w:lineRule="auto"/>
        <w:rPr>
          <w:sz w:val="23"/>
          <w:szCs w:val="23"/>
        </w:rPr>
      </w:pPr>
      <w:r w:rsidRPr="00A62FF4">
        <w:rPr>
          <w:rFonts w:hint="cs"/>
          <w:sz w:val="23"/>
          <w:szCs w:val="23"/>
          <w:rtl/>
        </w:rPr>
        <w:t>اگر نسبت ثابت</w:t>
      </w:r>
      <w:r w:rsidRPr="00A62FF4">
        <w:rPr>
          <w:position w:val="-22"/>
        </w:rPr>
        <w:object w:dxaOrig="240" w:dyaOrig="560" w14:anchorId="79C698BC">
          <v:shape id="_x0000_i1938" type="#_x0000_t75" style="width:12.1pt;height:27.85pt" o:ole="">
            <v:imagedata r:id="rId1860" o:title=""/>
          </v:shape>
          <o:OLEObject Type="Embed" ProgID="Equation.DSMT4" ShapeID="_x0000_i1938" DrawAspect="Content" ObjectID="_1791375882" r:id="rId1861"/>
        </w:object>
      </w:r>
      <w:r w:rsidRPr="00A62FF4">
        <w:rPr>
          <w:rFonts w:hint="cs"/>
          <w:sz w:val="23"/>
          <w:szCs w:val="23"/>
          <w:rtl/>
        </w:rPr>
        <w:t xml:space="preserve"> را در تابع تولید جایگزین کنیم (این نسبت بهینه است) آنگاه تابع تولید </w:t>
      </w:r>
      <w:r w:rsidRPr="00A62FF4">
        <w:rPr>
          <w:sz w:val="23"/>
          <w:szCs w:val="23"/>
        </w:rPr>
        <w:t>AK</w:t>
      </w:r>
      <w:r w:rsidRPr="00A62FF4">
        <w:rPr>
          <w:rFonts w:hint="cs"/>
          <w:sz w:val="23"/>
          <w:szCs w:val="23"/>
          <w:rtl/>
        </w:rPr>
        <w:t xml:space="preserve"> را بدست می</w:t>
      </w:r>
      <w:r w:rsidRPr="00A62FF4">
        <w:rPr>
          <w:rFonts w:hint="cs"/>
          <w:sz w:val="23"/>
          <w:szCs w:val="23"/>
          <w:rtl/>
        </w:rPr>
        <w:softHyphen/>
        <w:t xml:space="preserve">آوریم. یعنی </w:t>
      </w:r>
    </w:p>
    <w:p w14:paraId="7F9346F7" w14:textId="77777777" w:rsidR="00411620" w:rsidRPr="00A62FF4" w:rsidRDefault="00411620" w:rsidP="00411620">
      <w:pPr>
        <w:bidi w:val="0"/>
        <w:spacing w:line="216" w:lineRule="auto"/>
        <w:rPr>
          <w:sz w:val="23"/>
          <w:szCs w:val="23"/>
        </w:rPr>
      </w:pPr>
      <w:r w:rsidRPr="00A62FF4">
        <w:rPr>
          <w:position w:val="-14"/>
        </w:rPr>
        <w:object w:dxaOrig="6180" w:dyaOrig="440" w14:anchorId="52DE6E17">
          <v:shape id="_x0000_i1939" type="#_x0000_t75" style="width:309.2pt;height:21.8pt" o:ole="">
            <v:imagedata r:id="rId1862" o:title=""/>
          </v:shape>
          <o:OLEObject Type="Embed" ProgID="Equation.DSMT4" ShapeID="_x0000_i1939" DrawAspect="Content" ObjectID="_1791375883" r:id="rId1863"/>
        </w:object>
      </w:r>
    </w:p>
    <w:p w14:paraId="50167B73" w14:textId="77777777" w:rsidR="00411620" w:rsidRPr="00A62FF4" w:rsidRDefault="00411620" w:rsidP="00411620">
      <w:pPr>
        <w:spacing w:line="216" w:lineRule="auto"/>
        <w:rPr>
          <w:b/>
          <w:bCs/>
          <w:sz w:val="23"/>
          <w:szCs w:val="23"/>
        </w:rPr>
      </w:pPr>
    </w:p>
    <w:p w14:paraId="098ABF3A" w14:textId="77777777" w:rsidR="00411620" w:rsidRPr="00A62FF4" w:rsidRDefault="00411620" w:rsidP="00411620">
      <w:pPr>
        <w:spacing w:line="216" w:lineRule="auto"/>
        <w:rPr>
          <w:b/>
          <w:bCs/>
          <w:sz w:val="23"/>
          <w:szCs w:val="23"/>
          <w:rtl/>
        </w:rPr>
      </w:pPr>
      <w:r w:rsidRPr="00A62FF4">
        <w:rPr>
          <w:rFonts w:hint="cs"/>
          <w:b/>
          <w:bCs/>
          <w:sz w:val="23"/>
          <w:szCs w:val="23"/>
          <w:rtl/>
        </w:rPr>
        <w:t>مدل دو بخشی</w:t>
      </w:r>
    </w:p>
    <w:p w14:paraId="2AD6BC62" w14:textId="77777777" w:rsidR="00411620" w:rsidRPr="00A62FF4" w:rsidRDefault="00411620" w:rsidP="00411620">
      <w:pPr>
        <w:spacing w:line="216" w:lineRule="auto"/>
        <w:rPr>
          <w:sz w:val="23"/>
          <w:szCs w:val="23"/>
          <w:rtl/>
        </w:rPr>
      </w:pPr>
      <w:r w:rsidRPr="00A62FF4">
        <w:rPr>
          <w:rFonts w:hint="cs"/>
          <w:sz w:val="23"/>
          <w:szCs w:val="23"/>
          <w:rtl/>
        </w:rPr>
        <w:t>در این مدل، سرمایه</w:t>
      </w:r>
      <w:r w:rsidRPr="00A62FF4">
        <w:rPr>
          <w:sz w:val="23"/>
          <w:szCs w:val="23"/>
          <w:rtl/>
        </w:rPr>
        <w:softHyphen/>
      </w:r>
      <w:r w:rsidRPr="00A62FF4">
        <w:rPr>
          <w:rFonts w:hint="cs"/>
          <w:sz w:val="23"/>
          <w:szCs w:val="23"/>
          <w:rtl/>
        </w:rPr>
        <w:t>ی فیزیکی و سرمایه انسانی با تکنولوژی</w:t>
      </w:r>
      <w:r w:rsidRPr="00A62FF4">
        <w:rPr>
          <w:sz w:val="23"/>
          <w:szCs w:val="23"/>
          <w:rtl/>
        </w:rPr>
        <w:softHyphen/>
      </w:r>
      <w:r w:rsidRPr="00A62FF4">
        <w:rPr>
          <w:rFonts w:hint="cs"/>
          <w:sz w:val="23"/>
          <w:szCs w:val="23"/>
          <w:rtl/>
        </w:rPr>
        <w:t>های متفاوت تولید می</w:t>
      </w:r>
      <w:r w:rsidRPr="00A62FF4">
        <w:rPr>
          <w:sz w:val="23"/>
          <w:szCs w:val="23"/>
          <w:rtl/>
        </w:rPr>
        <w:softHyphen/>
      </w:r>
      <w:r w:rsidRPr="00A62FF4">
        <w:rPr>
          <w:rFonts w:hint="cs"/>
          <w:sz w:val="23"/>
          <w:szCs w:val="23"/>
          <w:rtl/>
        </w:rPr>
        <w:t>شوند.</w:t>
      </w:r>
      <w:r w:rsidRPr="00A62FF4">
        <w:rPr>
          <w:rStyle w:val="FootnoteReference"/>
          <w:rFonts w:eastAsiaTheme="minorHAnsi"/>
          <w:sz w:val="23"/>
          <w:szCs w:val="23"/>
          <w:rtl/>
        </w:rPr>
        <w:footnoteReference w:id="111"/>
      </w:r>
      <w:r w:rsidRPr="00A62FF4">
        <w:rPr>
          <w:rFonts w:hint="cs"/>
          <w:sz w:val="23"/>
          <w:szCs w:val="23"/>
          <w:rtl/>
        </w:rPr>
        <w:t xml:space="preserve"> بنابراین در قید منبع ملی باید تجدید نظر شده و تابع تولید سرمایه</w:t>
      </w:r>
      <w:r w:rsidRPr="00A62FF4">
        <w:rPr>
          <w:sz w:val="23"/>
          <w:szCs w:val="23"/>
          <w:rtl/>
        </w:rPr>
        <w:softHyphen/>
      </w:r>
      <w:r w:rsidRPr="00A62FF4">
        <w:rPr>
          <w:rFonts w:hint="cs"/>
          <w:sz w:val="23"/>
          <w:szCs w:val="23"/>
          <w:rtl/>
        </w:rPr>
        <w:t>ی انسانی نیز معرفی می</w:t>
      </w:r>
      <w:r w:rsidRPr="00A62FF4">
        <w:rPr>
          <w:sz w:val="23"/>
          <w:szCs w:val="23"/>
          <w:rtl/>
        </w:rPr>
        <w:softHyphen/>
      </w:r>
      <w:r w:rsidRPr="00A62FF4">
        <w:rPr>
          <w:rFonts w:hint="cs"/>
          <w:sz w:val="23"/>
          <w:szCs w:val="23"/>
          <w:rtl/>
        </w:rPr>
        <w:t>شود. قید منبع جدید عبارت است از</w:t>
      </w:r>
    </w:p>
    <w:p w14:paraId="0B05CACE" w14:textId="77777777" w:rsidR="00411620" w:rsidRPr="00A62FF4" w:rsidRDefault="00411620" w:rsidP="00411620">
      <w:pPr>
        <w:bidi w:val="0"/>
        <w:spacing w:line="216" w:lineRule="auto"/>
        <w:rPr>
          <w:sz w:val="23"/>
          <w:szCs w:val="23"/>
        </w:rPr>
      </w:pPr>
      <w:r w:rsidRPr="00A62FF4">
        <w:rPr>
          <w:position w:val="-10"/>
        </w:rPr>
        <w:object w:dxaOrig="980" w:dyaOrig="340" w14:anchorId="3A3243B2">
          <v:shape id="_x0000_i1940" type="#_x0000_t75" style="width:49pt;height:16.95pt" o:ole="">
            <v:imagedata r:id="rId1864" o:title=""/>
          </v:shape>
          <o:OLEObject Type="Embed" ProgID="Equation.DSMT4" ShapeID="_x0000_i1940" DrawAspect="Content" ObjectID="_1791375884" r:id="rId1865"/>
        </w:object>
      </w:r>
    </w:p>
    <w:p w14:paraId="7841F415" w14:textId="77777777" w:rsidR="00411620" w:rsidRPr="00A62FF4" w:rsidRDefault="00411620" w:rsidP="00411620">
      <w:pPr>
        <w:spacing w:line="216" w:lineRule="auto"/>
        <w:rPr>
          <w:sz w:val="23"/>
          <w:szCs w:val="23"/>
          <w:rtl/>
        </w:rPr>
      </w:pPr>
      <w:r w:rsidRPr="00A62FF4">
        <w:rPr>
          <w:rFonts w:hint="cs"/>
          <w:sz w:val="23"/>
          <w:szCs w:val="23"/>
          <w:rtl/>
        </w:rPr>
        <w:t>که درآن مقادیر مصرف و سرمایه</w:t>
      </w:r>
      <w:r w:rsidRPr="00A62FF4">
        <w:rPr>
          <w:sz w:val="23"/>
          <w:szCs w:val="23"/>
          <w:rtl/>
        </w:rPr>
        <w:softHyphen/>
      </w:r>
      <w:r w:rsidRPr="00A62FF4">
        <w:rPr>
          <w:rFonts w:hint="cs"/>
          <w:sz w:val="23"/>
          <w:szCs w:val="23"/>
          <w:rtl/>
        </w:rPr>
        <w:t>گذاری فیزیکی بوسیله</w:t>
      </w:r>
      <w:r w:rsidRPr="00A62FF4">
        <w:rPr>
          <w:sz w:val="23"/>
          <w:szCs w:val="23"/>
          <w:rtl/>
        </w:rPr>
        <w:softHyphen/>
      </w:r>
      <w:r w:rsidRPr="00A62FF4">
        <w:rPr>
          <w:rFonts w:hint="cs"/>
          <w:sz w:val="23"/>
          <w:szCs w:val="23"/>
          <w:rtl/>
        </w:rPr>
        <w:t>ی تابع زیر تولید می</w:t>
      </w:r>
      <w:r w:rsidRPr="00A62FF4">
        <w:rPr>
          <w:sz w:val="23"/>
          <w:szCs w:val="23"/>
          <w:rtl/>
        </w:rPr>
        <w:softHyphen/>
      </w:r>
      <w:r w:rsidRPr="00A62FF4">
        <w:rPr>
          <w:rFonts w:hint="cs"/>
          <w:sz w:val="23"/>
          <w:szCs w:val="23"/>
          <w:rtl/>
        </w:rPr>
        <w:t>شوند</w:t>
      </w:r>
    </w:p>
    <w:p w14:paraId="153DD320" w14:textId="77777777" w:rsidR="00411620" w:rsidRPr="00A62FF4" w:rsidRDefault="00411620" w:rsidP="00411620">
      <w:pPr>
        <w:bidi w:val="0"/>
        <w:spacing w:line="216" w:lineRule="auto"/>
        <w:rPr>
          <w:sz w:val="23"/>
          <w:szCs w:val="23"/>
        </w:rPr>
      </w:pPr>
      <w:r w:rsidRPr="00A62FF4">
        <w:rPr>
          <w:rFonts w:hint="cs"/>
          <w:sz w:val="23"/>
          <w:szCs w:val="23"/>
          <w:rtl/>
        </w:rPr>
        <w:t xml:space="preserve"> </w:t>
      </w:r>
      <w:r w:rsidRPr="00A62FF4">
        <w:rPr>
          <w:position w:val="-12"/>
        </w:rPr>
        <w:object w:dxaOrig="3540" w:dyaOrig="400" w14:anchorId="355BC740">
          <v:shape id="_x0000_i1941" type="#_x0000_t75" style="width:177.3pt;height:19.95pt" o:ole="">
            <v:imagedata r:id="rId1866" o:title=""/>
          </v:shape>
          <o:OLEObject Type="Embed" ProgID="Equation.DSMT4" ShapeID="_x0000_i1941" DrawAspect="Content" ObjectID="_1791375885" r:id="rId1867"/>
        </w:object>
      </w:r>
      <w:r w:rsidRPr="00A62FF4">
        <w:rPr>
          <w:sz w:val="23"/>
          <w:szCs w:val="23"/>
        </w:rPr>
        <w:t xml:space="preserve"> </w:t>
      </w:r>
    </w:p>
    <w:p w14:paraId="7FD93216" w14:textId="77777777" w:rsidR="00411620" w:rsidRPr="00A62FF4" w:rsidRDefault="00411620" w:rsidP="00411620">
      <w:pPr>
        <w:spacing w:line="216" w:lineRule="auto"/>
        <w:rPr>
          <w:sz w:val="23"/>
          <w:szCs w:val="23"/>
        </w:rPr>
      </w:pPr>
      <w:r w:rsidRPr="00A62FF4">
        <w:rPr>
          <w:rFonts w:hint="cs"/>
          <w:sz w:val="23"/>
          <w:szCs w:val="23"/>
          <w:rtl/>
        </w:rPr>
        <w:t>در رابطه</w:t>
      </w:r>
      <w:r w:rsidRPr="00A62FF4">
        <w:rPr>
          <w:sz w:val="23"/>
          <w:szCs w:val="23"/>
          <w:rtl/>
        </w:rPr>
        <w:softHyphen/>
      </w:r>
      <w:r w:rsidRPr="00A62FF4">
        <w:rPr>
          <w:rFonts w:hint="cs"/>
          <w:sz w:val="23"/>
          <w:szCs w:val="23"/>
          <w:rtl/>
        </w:rPr>
        <w:t xml:space="preserve">ی فوق پارامترهای </w:t>
      </w:r>
      <w:r w:rsidRPr="00A62FF4">
        <w:rPr>
          <w:position w:val="-6"/>
        </w:rPr>
        <w:object w:dxaOrig="200" w:dyaOrig="200" w14:anchorId="1CF7B5F3">
          <v:shape id="_x0000_i1942" type="#_x0000_t75" style="width:10.3pt;height:10.3pt" o:ole="">
            <v:imagedata r:id="rId1868" o:title=""/>
          </v:shape>
          <o:OLEObject Type="Embed" ProgID="Equation.DSMT4" ShapeID="_x0000_i1942" DrawAspect="Content" ObjectID="_1791375886" r:id="rId1869"/>
        </w:object>
      </w:r>
      <w:r w:rsidRPr="00A62FF4">
        <w:rPr>
          <w:rFonts w:hint="cs"/>
          <w:sz w:val="23"/>
          <w:szCs w:val="23"/>
          <w:rtl/>
        </w:rPr>
        <w:t xml:space="preserve"> و </w:t>
      </w:r>
      <w:r w:rsidRPr="00A62FF4">
        <w:rPr>
          <w:position w:val="-6"/>
        </w:rPr>
        <w:object w:dxaOrig="180" w:dyaOrig="200" w14:anchorId="660BDAA1">
          <v:shape id="_x0000_i1943" type="#_x0000_t75" style="width:9.1pt;height:10.3pt" o:ole="">
            <v:imagedata r:id="rId1870" o:title=""/>
          </v:shape>
          <o:OLEObject Type="Embed" ProgID="Equation.DSMT4" ShapeID="_x0000_i1943" DrawAspect="Content" ObjectID="_1791375887" r:id="rId1871"/>
        </w:object>
      </w:r>
      <w:r w:rsidRPr="00A62FF4">
        <w:rPr>
          <w:rFonts w:hint="cs"/>
          <w:sz w:val="23"/>
          <w:szCs w:val="23"/>
          <w:rtl/>
        </w:rPr>
        <w:t xml:space="preserve"> به ترتیب سهم سرمایه</w:t>
      </w:r>
      <w:r w:rsidRPr="00A62FF4">
        <w:rPr>
          <w:sz w:val="23"/>
          <w:szCs w:val="23"/>
          <w:rtl/>
        </w:rPr>
        <w:softHyphen/>
      </w:r>
      <w:r w:rsidRPr="00A62FF4">
        <w:rPr>
          <w:rFonts w:hint="cs"/>
          <w:sz w:val="23"/>
          <w:szCs w:val="23"/>
          <w:rtl/>
        </w:rPr>
        <w:t>ی فیزیکی و سرمایه</w:t>
      </w:r>
      <w:r w:rsidRPr="00A62FF4">
        <w:rPr>
          <w:sz w:val="23"/>
          <w:szCs w:val="23"/>
          <w:rtl/>
        </w:rPr>
        <w:softHyphen/>
      </w:r>
      <w:r w:rsidRPr="00A62FF4">
        <w:rPr>
          <w:rFonts w:hint="cs"/>
          <w:sz w:val="23"/>
          <w:szCs w:val="23"/>
          <w:rtl/>
        </w:rPr>
        <w:t>ی انسانی در تولید می</w:t>
      </w:r>
      <w:r w:rsidRPr="00A62FF4">
        <w:rPr>
          <w:sz w:val="23"/>
          <w:szCs w:val="23"/>
          <w:rtl/>
        </w:rPr>
        <w:softHyphen/>
      </w:r>
      <w:r w:rsidRPr="00A62FF4">
        <w:rPr>
          <w:rFonts w:hint="cs"/>
          <w:sz w:val="23"/>
          <w:szCs w:val="23"/>
          <w:rtl/>
        </w:rPr>
        <w:t>باشد، و فرض می</w:t>
      </w:r>
      <w:r w:rsidRPr="00A62FF4">
        <w:rPr>
          <w:sz w:val="23"/>
          <w:szCs w:val="23"/>
          <w:rtl/>
        </w:rPr>
        <w:softHyphen/>
      </w:r>
      <w:r w:rsidRPr="00A62FF4">
        <w:rPr>
          <w:rFonts w:hint="cs"/>
          <w:sz w:val="23"/>
          <w:szCs w:val="23"/>
          <w:rtl/>
        </w:rPr>
        <w:t>شود سرمایه</w:t>
      </w:r>
      <w:r w:rsidRPr="00A62FF4">
        <w:rPr>
          <w:sz w:val="23"/>
          <w:szCs w:val="23"/>
          <w:rtl/>
        </w:rPr>
        <w:softHyphen/>
      </w:r>
      <w:r w:rsidRPr="00A62FF4">
        <w:rPr>
          <w:rFonts w:hint="cs"/>
          <w:sz w:val="23"/>
          <w:szCs w:val="23"/>
          <w:rtl/>
        </w:rPr>
        <w:t>ی انسانی با استفاده از تابع زیر تولید می</w:t>
      </w:r>
      <w:r w:rsidRPr="00A62FF4">
        <w:rPr>
          <w:sz w:val="23"/>
          <w:szCs w:val="23"/>
          <w:rtl/>
        </w:rPr>
        <w:softHyphen/>
      </w:r>
      <w:r w:rsidRPr="00A62FF4">
        <w:rPr>
          <w:rFonts w:hint="cs"/>
          <w:sz w:val="23"/>
          <w:szCs w:val="23"/>
          <w:rtl/>
        </w:rPr>
        <w:t xml:space="preserve">شود </w:t>
      </w:r>
    </w:p>
    <w:p w14:paraId="4A63706D" w14:textId="77777777" w:rsidR="00411620" w:rsidRPr="00A62FF4" w:rsidRDefault="00411620" w:rsidP="00411620">
      <w:pPr>
        <w:pStyle w:val="MTDisplayEquation"/>
        <w:spacing w:line="216" w:lineRule="auto"/>
        <w:rPr>
          <w:rFonts w:ascii="Times New Roman" w:hAnsi="Times New Roman" w:cs="B Nazanin"/>
          <w:sz w:val="23"/>
          <w:szCs w:val="23"/>
          <w:rtl/>
        </w:rPr>
      </w:pPr>
      <w:r w:rsidRPr="00A62FF4">
        <w:rPr>
          <w:position w:val="-14"/>
        </w:rPr>
        <w:object w:dxaOrig="4020" w:dyaOrig="440" w14:anchorId="6FCF4AE5">
          <v:shape id="_x0000_i1944" type="#_x0000_t75" style="width:200.85pt;height:21.8pt" o:ole="">
            <v:imagedata r:id="rId1872" o:title=""/>
          </v:shape>
          <o:OLEObject Type="Embed" ProgID="Equation.DSMT4" ShapeID="_x0000_i1944" DrawAspect="Content" ObjectID="_1791375888" r:id="rId1873"/>
        </w:object>
      </w:r>
    </w:p>
    <w:p w14:paraId="63DCD7F1" w14:textId="77777777" w:rsidR="00411620" w:rsidRPr="00A62FF4" w:rsidRDefault="00411620" w:rsidP="00411620">
      <w:pPr>
        <w:spacing w:line="216" w:lineRule="auto"/>
        <w:rPr>
          <w:sz w:val="23"/>
          <w:szCs w:val="23"/>
        </w:rPr>
      </w:pPr>
      <w:r w:rsidRPr="00A62FF4">
        <w:rPr>
          <w:rFonts w:hint="cs"/>
          <w:sz w:val="23"/>
          <w:szCs w:val="23"/>
          <w:rtl/>
        </w:rPr>
        <w:t xml:space="preserve">که در آن </w:t>
      </w:r>
      <w:r w:rsidRPr="00A62FF4">
        <w:rPr>
          <w:position w:val="-6"/>
        </w:rPr>
        <w:object w:dxaOrig="480" w:dyaOrig="260" w14:anchorId="7E792F6B">
          <v:shape id="_x0000_i1945" type="#_x0000_t75" style="width:24.2pt;height:12.7pt" o:ole="">
            <v:imagedata r:id="rId1874" o:title=""/>
          </v:shape>
          <o:OLEObject Type="Embed" ProgID="Equation.DSMT4" ShapeID="_x0000_i1945" DrawAspect="Content" ObjectID="_1791375889" r:id="rId1875"/>
        </w:object>
      </w:r>
      <w:r w:rsidRPr="00A62FF4">
        <w:rPr>
          <w:rFonts w:hint="cs"/>
          <w:sz w:val="23"/>
          <w:szCs w:val="23"/>
          <w:rtl/>
        </w:rPr>
        <w:t xml:space="preserve"> و </w:t>
      </w:r>
      <w:r w:rsidRPr="00A62FF4">
        <w:rPr>
          <w:position w:val="-6"/>
        </w:rPr>
        <w:object w:dxaOrig="460" w:dyaOrig="260" w14:anchorId="0A1D225F">
          <v:shape id="_x0000_i1946" type="#_x0000_t75" style="width:23pt;height:12.7pt" o:ole="">
            <v:imagedata r:id="rId1876" o:title=""/>
          </v:shape>
          <o:OLEObject Type="Embed" ProgID="Equation.DSMT4" ShapeID="_x0000_i1946" DrawAspect="Content" ObjectID="_1791375890" r:id="rId1877"/>
        </w:object>
      </w:r>
      <w:r w:rsidRPr="00A62FF4">
        <w:rPr>
          <w:rFonts w:hint="cs"/>
          <w:sz w:val="23"/>
          <w:szCs w:val="23"/>
          <w:rtl/>
        </w:rPr>
        <w:t xml:space="preserve"> به ترتیب سهم سرمایه</w:t>
      </w:r>
      <w:r w:rsidRPr="00A62FF4">
        <w:rPr>
          <w:sz w:val="23"/>
          <w:szCs w:val="23"/>
          <w:rtl/>
        </w:rPr>
        <w:softHyphen/>
      </w:r>
      <w:r w:rsidRPr="00A62FF4">
        <w:rPr>
          <w:rFonts w:hint="cs"/>
          <w:sz w:val="23"/>
          <w:szCs w:val="23"/>
          <w:rtl/>
        </w:rPr>
        <w:t>ی فیزیکی و سرمایه</w:t>
      </w:r>
      <w:r w:rsidRPr="00A62FF4">
        <w:rPr>
          <w:sz w:val="23"/>
          <w:szCs w:val="23"/>
          <w:rtl/>
        </w:rPr>
        <w:softHyphen/>
      </w:r>
      <w:r w:rsidRPr="00A62FF4">
        <w:rPr>
          <w:rFonts w:hint="cs"/>
          <w:sz w:val="23"/>
          <w:szCs w:val="23"/>
          <w:rtl/>
        </w:rPr>
        <w:t>ی انسانی بکار رفته در تولید سرمایه</w:t>
      </w:r>
      <w:r w:rsidRPr="00A62FF4">
        <w:rPr>
          <w:sz w:val="23"/>
          <w:szCs w:val="23"/>
          <w:rtl/>
        </w:rPr>
        <w:softHyphen/>
      </w:r>
      <w:r w:rsidRPr="00A62FF4">
        <w:rPr>
          <w:rFonts w:hint="cs"/>
          <w:sz w:val="23"/>
          <w:szCs w:val="23"/>
          <w:rtl/>
        </w:rPr>
        <w:t>ی انسانی می</w:t>
      </w:r>
      <w:r w:rsidRPr="00A62FF4">
        <w:rPr>
          <w:sz w:val="23"/>
          <w:szCs w:val="23"/>
          <w:rtl/>
        </w:rPr>
        <w:softHyphen/>
      </w:r>
      <w:r w:rsidRPr="00A62FF4">
        <w:rPr>
          <w:rFonts w:hint="cs"/>
          <w:sz w:val="23"/>
          <w:szCs w:val="23"/>
          <w:rtl/>
        </w:rPr>
        <w:t>باشد. حالت خاصی از این مدل زمانی است که تولید کالاهای فیزیکی مستلزم هم سرمایه</w:t>
      </w:r>
      <w:r w:rsidRPr="00A62FF4">
        <w:rPr>
          <w:sz w:val="23"/>
          <w:szCs w:val="23"/>
          <w:rtl/>
        </w:rPr>
        <w:softHyphen/>
      </w:r>
      <w:r w:rsidRPr="00A62FF4">
        <w:rPr>
          <w:rFonts w:hint="cs"/>
          <w:sz w:val="23"/>
          <w:szCs w:val="23"/>
          <w:rtl/>
        </w:rPr>
        <w:t>ی فیزیکی و هم سرمایه</w:t>
      </w:r>
      <w:r w:rsidRPr="00A62FF4">
        <w:rPr>
          <w:sz w:val="23"/>
          <w:szCs w:val="23"/>
          <w:rtl/>
        </w:rPr>
        <w:softHyphen/>
      </w:r>
      <w:r w:rsidRPr="00A62FF4">
        <w:rPr>
          <w:rFonts w:hint="cs"/>
          <w:sz w:val="23"/>
          <w:szCs w:val="23"/>
          <w:rtl/>
        </w:rPr>
        <w:t>ی انسانی باشد، ولی تولید سرمایه</w:t>
      </w:r>
      <w:r w:rsidRPr="00A62FF4">
        <w:rPr>
          <w:sz w:val="23"/>
          <w:szCs w:val="23"/>
          <w:rtl/>
        </w:rPr>
        <w:softHyphen/>
      </w:r>
      <w:r w:rsidRPr="00A62FF4">
        <w:rPr>
          <w:rFonts w:hint="cs"/>
          <w:sz w:val="23"/>
          <w:szCs w:val="23"/>
          <w:rtl/>
        </w:rPr>
        <w:t>ی انسانی فقط مستلزم سرمایه</w:t>
      </w:r>
      <w:r w:rsidRPr="00A62FF4">
        <w:rPr>
          <w:sz w:val="23"/>
          <w:szCs w:val="23"/>
          <w:rtl/>
        </w:rPr>
        <w:softHyphen/>
      </w:r>
      <w:r w:rsidRPr="00A62FF4">
        <w:rPr>
          <w:rFonts w:hint="cs"/>
          <w:sz w:val="23"/>
          <w:szCs w:val="23"/>
          <w:rtl/>
        </w:rPr>
        <w:t xml:space="preserve">ی انسانی باشد. در این صورت </w:t>
      </w:r>
      <w:r w:rsidRPr="00A62FF4">
        <w:rPr>
          <w:position w:val="-6"/>
        </w:rPr>
        <w:object w:dxaOrig="499" w:dyaOrig="260" w14:anchorId="1ABC4BCA">
          <v:shape id="_x0000_i1947" type="#_x0000_t75" style="width:24.8pt;height:12.7pt" o:ole="">
            <v:imagedata r:id="rId1878" o:title=""/>
          </v:shape>
          <o:OLEObject Type="Embed" ProgID="Equation.DSMT4" ShapeID="_x0000_i1947" DrawAspect="Content" ObjectID="_1791375891" r:id="rId1879"/>
        </w:object>
      </w:r>
      <w:r w:rsidRPr="00A62FF4">
        <w:rPr>
          <w:rFonts w:hint="cs"/>
          <w:sz w:val="23"/>
          <w:szCs w:val="23"/>
          <w:rtl/>
        </w:rPr>
        <w:t xml:space="preserve"> خواهد بود که بدان مدل اوزاوا گویند.</w:t>
      </w:r>
      <w:r w:rsidRPr="00A62FF4">
        <w:rPr>
          <w:rStyle w:val="FootnoteReference"/>
          <w:rFonts w:eastAsiaTheme="minorHAnsi"/>
          <w:sz w:val="23"/>
          <w:szCs w:val="23"/>
          <w:rtl/>
        </w:rPr>
        <w:footnoteReference w:id="112"/>
      </w:r>
      <w:r w:rsidRPr="00A62FF4">
        <w:rPr>
          <w:rFonts w:hint="cs"/>
          <w:sz w:val="23"/>
          <w:szCs w:val="23"/>
          <w:rtl/>
        </w:rPr>
        <w:t xml:space="preserve"> </w:t>
      </w:r>
    </w:p>
    <w:p w14:paraId="2A552A4B" w14:textId="77777777" w:rsidR="00411620" w:rsidRPr="00A62FF4" w:rsidRDefault="00411620" w:rsidP="00411620">
      <w:pPr>
        <w:spacing w:line="216" w:lineRule="auto"/>
        <w:rPr>
          <w:sz w:val="23"/>
          <w:szCs w:val="23"/>
          <w:rtl/>
        </w:rPr>
      </w:pPr>
      <w:r w:rsidRPr="00A62FF4">
        <w:rPr>
          <w:rFonts w:hint="cs"/>
          <w:sz w:val="23"/>
          <w:szCs w:val="23"/>
          <w:rtl/>
        </w:rPr>
        <w:t>لاگرانژین مدل عمومی</w:t>
      </w:r>
      <w:r w:rsidRPr="00A62FF4">
        <w:rPr>
          <w:sz w:val="23"/>
          <w:szCs w:val="23"/>
          <w:rtl/>
        </w:rPr>
        <w:softHyphen/>
      </w:r>
      <w:r w:rsidRPr="00A62FF4">
        <w:rPr>
          <w:rFonts w:hint="cs"/>
          <w:sz w:val="23"/>
          <w:szCs w:val="23"/>
          <w:rtl/>
        </w:rPr>
        <w:t>تر عبارت است از</w:t>
      </w:r>
    </w:p>
    <w:p w14:paraId="20444EBF" w14:textId="77777777" w:rsidR="00411620" w:rsidRPr="00A62FF4" w:rsidRDefault="00411620" w:rsidP="00411620">
      <w:pPr>
        <w:bidi w:val="0"/>
        <w:spacing w:line="216" w:lineRule="auto"/>
        <w:rPr>
          <w:sz w:val="23"/>
          <w:szCs w:val="23"/>
        </w:rPr>
      </w:pPr>
      <w:r w:rsidRPr="00A62FF4">
        <w:rPr>
          <w:position w:val="-80"/>
        </w:rPr>
        <w:object w:dxaOrig="6080" w:dyaOrig="1719" w14:anchorId="44B43D7A">
          <v:shape id="_x0000_i1948" type="#_x0000_t75" style="width:303.75pt;height:85.9pt" o:ole="">
            <v:imagedata r:id="rId1880" o:title=""/>
          </v:shape>
          <o:OLEObject Type="Embed" ProgID="Equation.DSMT4" ShapeID="_x0000_i1948" DrawAspect="Content" ObjectID="_1791375892" r:id="rId1881"/>
        </w:object>
      </w:r>
      <w:r w:rsidRPr="00A62FF4">
        <w:rPr>
          <w:sz w:val="23"/>
          <w:szCs w:val="23"/>
        </w:rPr>
        <w:t xml:space="preserve"> </w:t>
      </w:r>
    </w:p>
    <w:p w14:paraId="778DC482" w14:textId="77777777" w:rsidR="00411620" w:rsidRPr="00A62FF4" w:rsidRDefault="00411620" w:rsidP="00411620">
      <w:pPr>
        <w:spacing w:line="216" w:lineRule="auto"/>
        <w:rPr>
          <w:sz w:val="23"/>
          <w:szCs w:val="23"/>
          <w:rtl/>
        </w:rPr>
      </w:pPr>
      <w:r w:rsidRPr="00A62FF4">
        <w:rPr>
          <w:rFonts w:hint="cs"/>
          <w:sz w:val="23"/>
          <w:szCs w:val="23"/>
          <w:rtl/>
        </w:rPr>
        <w:t xml:space="preserve">و شرایط مرتبه اول عبارتند از : </w:t>
      </w:r>
    </w:p>
    <w:p w14:paraId="14B8A83D" w14:textId="77777777" w:rsidR="00411620" w:rsidRPr="00A62FF4" w:rsidRDefault="00411620" w:rsidP="00411620">
      <w:pPr>
        <w:bidi w:val="0"/>
        <w:spacing w:line="216" w:lineRule="auto"/>
        <w:rPr>
          <w:sz w:val="23"/>
          <w:szCs w:val="23"/>
        </w:rPr>
      </w:pPr>
      <w:r w:rsidRPr="00A62FF4">
        <w:rPr>
          <w:position w:val="-28"/>
        </w:rPr>
        <w:object w:dxaOrig="3240" w:dyaOrig="639" w14:anchorId="51A75AE5">
          <v:shape id="_x0000_i1949" type="#_x0000_t75" style="width:162.15pt;height:32.05pt" o:ole="">
            <v:imagedata r:id="rId1882" o:title=""/>
          </v:shape>
          <o:OLEObject Type="Embed" ProgID="Equation.DSMT4" ShapeID="_x0000_i1949" DrawAspect="Content" ObjectID="_1791375893" r:id="rId1883"/>
        </w:object>
      </w:r>
      <w:r w:rsidRPr="00A62FF4">
        <w:rPr>
          <w:sz w:val="23"/>
          <w:szCs w:val="23"/>
        </w:rPr>
        <w:t xml:space="preserve"> </w:t>
      </w:r>
    </w:p>
    <w:p w14:paraId="0B1AED20" w14:textId="77777777" w:rsidR="00411620" w:rsidRPr="00A62FF4" w:rsidRDefault="00411620" w:rsidP="00411620">
      <w:pPr>
        <w:bidi w:val="0"/>
        <w:spacing w:line="216" w:lineRule="auto"/>
        <w:rPr>
          <w:sz w:val="23"/>
          <w:szCs w:val="23"/>
        </w:rPr>
      </w:pPr>
      <w:r w:rsidRPr="00A62FF4">
        <w:rPr>
          <w:position w:val="-76"/>
        </w:rPr>
        <w:object w:dxaOrig="4900" w:dyaOrig="1620" w14:anchorId="1C56DA69">
          <v:shape id="_x0000_i1950" type="#_x0000_t75" style="width:245.05pt;height:81.1pt" o:ole="">
            <v:imagedata r:id="rId1884" o:title=""/>
          </v:shape>
          <o:OLEObject Type="Embed" ProgID="Equation.DSMT4" ShapeID="_x0000_i1950" DrawAspect="Content" ObjectID="_1791375894" r:id="rId1885"/>
        </w:object>
      </w:r>
      <w:r w:rsidRPr="00A62FF4">
        <w:rPr>
          <w:sz w:val="23"/>
          <w:szCs w:val="23"/>
        </w:rPr>
        <w:t xml:space="preserve"> </w:t>
      </w:r>
    </w:p>
    <w:p w14:paraId="2307AA9C" w14:textId="77777777" w:rsidR="00411620" w:rsidRPr="00A62FF4" w:rsidRDefault="00411620" w:rsidP="00411620">
      <w:pPr>
        <w:bidi w:val="0"/>
        <w:spacing w:line="216" w:lineRule="auto"/>
        <w:rPr>
          <w:sz w:val="23"/>
          <w:szCs w:val="23"/>
        </w:rPr>
      </w:pPr>
      <w:r w:rsidRPr="00A62FF4">
        <w:rPr>
          <w:position w:val="-74"/>
        </w:rPr>
        <w:object w:dxaOrig="6039" w:dyaOrig="1579" w14:anchorId="4B05B21B">
          <v:shape id="_x0000_i1951" type="#_x0000_t75" style="width:301.9pt;height:79.25pt" o:ole="">
            <v:imagedata r:id="rId1886" o:title=""/>
          </v:shape>
          <o:OLEObject Type="Embed" ProgID="Equation.DSMT4" ShapeID="_x0000_i1951" DrawAspect="Content" ObjectID="_1791375895" r:id="rId1887"/>
        </w:object>
      </w:r>
      <w:r w:rsidRPr="00A62FF4">
        <w:rPr>
          <w:sz w:val="23"/>
          <w:szCs w:val="23"/>
        </w:rPr>
        <w:t xml:space="preserve"> </w:t>
      </w:r>
    </w:p>
    <w:p w14:paraId="7828EF2C" w14:textId="77777777" w:rsidR="00411620" w:rsidRPr="00A62FF4" w:rsidRDefault="00411620" w:rsidP="00411620">
      <w:pPr>
        <w:spacing w:line="216" w:lineRule="auto"/>
        <w:rPr>
          <w:sz w:val="23"/>
          <w:szCs w:val="23"/>
          <w:rtl/>
        </w:rPr>
      </w:pPr>
      <w:r w:rsidRPr="00A62FF4">
        <w:rPr>
          <w:rFonts w:hint="cs"/>
          <w:sz w:val="23"/>
          <w:szCs w:val="23"/>
          <w:rtl/>
        </w:rPr>
        <w:t xml:space="preserve">بنابراین حل این مسئله مبتنی است بر تابع غیرخطی پویا نسبت به </w:t>
      </w:r>
      <w:r w:rsidRPr="00A62FF4">
        <w:rPr>
          <w:position w:val="-10"/>
        </w:rPr>
        <w:object w:dxaOrig="200" w:dyaOrig="320" w14:anchorId="348E85FC">
          <v:shape id="_x0000_i1952" type="#_x0000_t75" style="width:10.3pt;height:15.75pt" o:ole="">
            <v:imagedata r:id="rId1888" o:title=""/>
          </v:shape>
          <o:OLEObject Type="Embed" ProgID="Equation.DSMT4" ShapeID="_x0000_i1952" DrawAspect="Content" ObjectID="_1791375896" r:id="rId1889"/>
        </w:object>
      </w:r>
      <w:r w:rsidRPr="00A62FF4">
        <w:rPr>
          <w:rFonts w:hint="cs"/>
          <w:sz w:val="23"/>
          <w:szCs w:val="23"/>
          <w:rtl/>
        </w:rPr>
        <w:t>،</w:t>
      </w:r>
      <w:r w:rsidRPr="00A62FF4">
        <w:rPr>
          <w:position w:val="-10"/>
        </w:rPr>
        <w:object w:dxaOrig="220" w:dyaOrig="320" w14:anchorId="5AB6D5A9">
          <v:shape id="_x0000_i1953" type="#_x0000_t75" style="width:10.9pt;height:15.75pt" o:ole="">
            <v:imagedata r:id="rId1890" o:title=""/>
          </v:shape>
          <o:OLEObject Type="Embed" ProgID="Equation.DSMT4" ShapeID="_x0000_i1953" DrawAspect="Content" ObjectID="_1791375897" r:id="rId1891"/>
        </w:object>
      </w:r>
      <w:r w:rsidRPr="00A62FF4">
        <w:rPr>
          <w:rFonts w:hint="cs"/>
          <w:sz w:val="23"/>
          <w:szCs w:val="23"/>
          <w:rtl/>
        </w:rPr>
        <w:t>،</w:t>
      </w:r>
      <w:r w:rsidRPr="00A62FF4">
        <w:rPr>
          <w:position w:val="-10"/>
        </w:rPr>
        <w:object w:dxaOrig="240" w:dyaOrig="320" w14:anchorId="332F8851">
          <v:shape id="_x0000_i1954" type="#_x0000_t75" style="width:12.1pt;height:15.75pt" o:ole="">
            <v:imagedata r:id="rId1892" o:title=""/>
          </v:shape>
          <o:OLEObject Type="Embed" ProgID="Equation.DSMT4" ShapeID="_x0000_i1954" DrawAspect="Content" ObjectID="_1791375898" r:id="rId1893"/>
        </w:object>
      </w:r>
      <w:r w:rsidRPr="00A62FF4">
        <w:rPr>
          <w:rFonts w:hint="cs"/>
          <w:sz w:val="23"/>
          <w:szCs w:val="23"/>
          <w:rtl/>
        </w:rPr>
        <w:t>،</w:t>
      </w:r>
      <w:r w:rsidRPr="00A62FF4">
        <w:rPr>
          <w:position w:val="-10"/>
        </w:rPr>
        <w:object w:dxaOrig="220" w:dyaOrig="320" w14:anchorId="418D4FB0">
          <v:shape id="_x0000_i1955" type="#_x0000_t75" style="width:10.9pt;height:15.75pt" o:ole="">
            <v:imagedata r:id="rId1894" o:title=""/>
          </v:shape>
          <o:OLEObject Type="Embed" ProgID="Equation.DSMT4" ShapeID="_x0000_i1955" DrawAspect="Content" ObjectID="_1791375899" r:id="rId1895"/>
        </w:object>
      </w:r>
      <w:r w:rsidRPr="00A62FF4">
        <w:rPr>
          <w:rFonts w:hint="cs"/>
          <w:sz w:val="23"/>
          <w:szCs w:val="23"/>
          <w:rtl/>
        </w:rPr>
        <w:t xml:space="preserve">و </w:t>
      </w:r>
      <w:r w:rsidRPr="00A62FF4">
        <w:rPr>
          <w:position w:val="-10"/>
        </w:rPr>
        <w:object w:dxaOrig="240" w:dyaOrig="320" w14:anchorId="6536D89E">
          <v:shape id="_x0000_i1956" type="#_x0000_t75" style="width:12.1pt;height:15.75pt" o:ole="">
            <v:imagedata r:id="rId1896" o:title=""/>
          </v:shape>
          <o:OLEObject Type="Embed" ProgID="Equation.DSMT4" ShapeID="_x0000_i1956" DrawAspect="Content" ObjectID="_1791375900" r:id="rId1897"/>
        </w:object>
      </w:r>
      <w:r w:rsidRPr="00A62FF4">
        <w:rPr>
          <w:rFonts w:hint="cs"/>
          <w:sz w:val="23"/>
          <w:szCs w:val="23"/>
          <w:rtl/>
        </w:rPr>
        <w:t xml:space="preserve"> و لذا راه حل محلی ممکن است. نرخ بازدهی سرمایه</w:t>
      </w:r>
      <w:r w:rsidRPr="00A62FF4">
        <w:rPr>
          <w:sz w:val="23"/>
          <w:szCs w:val="23"/>
          <w:rtl/>
        </w:rPr>
        <w:softHyphen/>
      </w:r>
      <w:r w:rsidRPr="00A62FF4">
        <w:rPr>
          <w:rFonts w:hint="cs"/>
          <w:sz w:val="23"/>
          <w:szCs w:val="23"/>
          <w:rtl/>
        </w:rPr>
        <w:t>ی فیزیکی و سرمایه</w:t>
      </w:r>
      <w:r w:rsidRPr="00A62FF4">
        <w:rPr>
          <w:sz w:val="23"/>
          <w:szCs w:val="23"/>
          <w:rtl/>
        </w:rPr>
        <w:softHyphen/>
      </w:r>
      <w:r w:rsidRPr="00A62FF4">
        <w:rPr>
          <w:rFonts w:hint="cs"/>
          <w:sz w:val="23"/>
          <w:szCs w:val="23"/>
          <w:rtl/>
        </w:rPr>
        <w:t>ی انسانی و یا تولید نهایی آن</w:t>
      </w:r>
      <w:r w:rsidRPr="00A62FF4">
        <w:rPr>
          <w:sz w:val="23"/>
          <w:szCs w:val="23"/>
          <w:rtl/>
        </w:rPr>
        <w:softHyphen/>
      </w:r>
      <w:r w:rsidRPr="00A62FF4">
        <w:rPr>
          <w:rFonts w:hint="cs"/>
          <w:sz w:val="23"/>
          <w:szCs w:val="23"/>
          <w:rtl/>
        </w:rPr>
        <w:t>ها ممکن است به صورت زیر نوشته شود</w:t>
      </w:r>
    </w:p>
    <w:p w14:paraId="556C5648" w14:textId="77777777" w:rsidR="00411620" w:rsidRPr="00A62FF4" w:rsidRDefault="00411620" w:rsidP="00411620">
      <w:pPr>
        <w:bidi w:val="0"/>
        <w:spacing w:line="216" w:lineRule="auto"/>
        <w:rPr>
          <w:sz w:val="23"/>
          <w:szCs w:val="23"/>
          <w:rtl/>
        </w:rPr>
      </w:pPr>
      <w:r w:rsidRPr="00A62FF4">
        <w:rPr>
          <w:position w:val="-30"/>
        </w:rPr>
        <w:object w:dxaOrig="5840" w:dyaOrig="760" w14:anchorId="042122C2">
          <v:shape id="_x0000_i1957" type="#_x0000_t75" style="width:292.25pt;height:38.1pt" o:ole="">
            <v:imagedata r:id="rId1898" o:title=""/>
          </v:shape>
          <o:OLEObject Type="Embed" ProgID="Equation.DSMT4" ShapeID="_x0000_i1957" DrawAspect="Content" ObjectID="_1791375901" r:id="rId1899"/>
        </w:object>
      </w:r>
    </w:p>
    <w:p w14:paraId="3836E631" w14:textId="77777777" w:rsidR="00411620" w:rsidRPr="00A62FF4" w:rsidRDefault="00411620" w:rsidP="00411620">
      <w:pPr>
        <w:spacing w:line="216" w:lineRule="auto"/>
        <w:rPr>
          <w:sz w:val="23"/>
          <w:szCs w:val="23"/>
          <w:rtl/>
        </w:rPr>
      </w:pPr>
      <w:r w:rsidRPr="00A62FF4">
        <w:rPr>
          <w:rFonts w:hint="cs"/>
          <w:sz w:val="23"/>
          <w:szCs w:val="23"/>
          <w:rtl/>
        </w:rPr>
        <w:t>تخصیص بهینه</w:t>
      </w:r>
      <w:r w:rsidRPr="00A62FF4">
        <w:rPr>
          <w:sz w:val="23"/>
          <w:szCs w:val="23"/>
          <w:rtl/>
        </w:rPr>
        <w:softHyphen/>
      </w:r>
      <w:r w:rsidRPr="00A62FF4">
        <w:rPr>
          <w:rFonts w:hint="cs"/>
          <w:sz w:val="23"/>
          <w:szCs w:val="23"/>
          <w:rtl/>
        </w:rPr>
        <w:t>ی منابع مبین آن است که این دو نرخ با یکدیگر برابرند. بنابراین</w:t>
      </w:r>
    </w:p>
    <w:p w14:paraId="2D29BE11" w14:textId="77777777" w:rsidR="00411620" w:rsidRPr="00A62FF4" w:rsidRDefault="00411620" w:rsidP="00411620">
      <w:pPr>
        <w:bidi w:val="0"/>
        <w:spacing w:line="216" w:lineRule="auto"/>
        <w:rPr>
          <w:sz w:val="23"/>
          <w:szCs w:val="23"/>
          <w:rtl/>
        </w:rPr>
      </w:pPr>
      <w:r w:rsidRPr="00A62FF4">
        <w:rPr>
          <w:position w:val="-34"/>
        </w:rPr>
        <w:object w:dxaOrig="4220" w:dyaOrig="840" w14:anchorId="063F1B89">
          <v:shape id="_x0000_i1958" type="#_x0000_t75" style="width:211.15pt;height:41.75pt" o:ole="">
            <v:imagedata r:id="rId1900" o:title=""/>
          </v:shape>
          <o:OLEObject Type="Embed" ProgID="Equation.DSMT4" ShapeID="_x0000_i1958" DrawAspect="Content" ObjectID="_1791375902" r:id="rId1901"/>
        </w:object>
      </w:r>
    </w:p>
    <w:p w14:paraId="356D6AF7" w14:textId="77777777" w:rsidR="00411620" w:rsidRPr="00A62FF4" w:rsidRDefault="00411620" w:rsidP="00411620">
      <w:pPr>
        <w:spacing w:line="216" w:lineRule="auto"/>
        <w:rPr>
          <w:sz w:val="23"/>
          <w:szCs w:val="23"/>
          <w:rtl/>
        </w:rPr>
      </w:pPr>
      <w:r w:rsidRPr="00A62FF4">
        <w:rPr>
          <w:rFonts w:hint="cs"/>
          <w:sz w:val="23"/>
          <w:szCs w:val="23"/>
          <w:rtl/>
        </w:rPr>
        <w:t>بنابراین</w:t>
      </w:r>
      <w:r w:rsidRPr="00A62FF4">
        <w:rPr>
          <w:position w:val="-28"/>
        </w:rPr>
        <w:object w:dxaOrig="279" w:dyaOrig="639" w14:anchorId="3E100CF1">
          <v:shape id="_x0000_i1959" type="#_x0000_t75" style="width:13.9pt;height:32.05pt" o:ole="">
            <v:imagedata r:id="rId1902" o:title=""/>
          </v:shape>
          <o:OLEObject Type="Embed" ProgID="Equation.DSMT4" ShapeID="_x0000_i1959" DrawAspect="Content" ObjectID="_1791375903" r:id="rId1903"/>
        </w:object>
      </w:r>
      <w:r w:rsidRPr="00A62FF4">
        <w:rPr>
          <w:rFonts w:hint="cs"/>
          <w:sz w:val="23"/>
          <w:szCs w:val="23"/>
          <w:rtl/>
        </w:rPr>
        <w:t xml:space="preserve"> ثابت است و نرخ بازدهی نیز می</w:t>
      </w:r>
      <w:r w:rsidRPr="00A62FF4">
        <w:rPr>
          <w:sz w:val="23"/>
          <w:szCs w:val="23"/>
          <w:rtl/>
        </w:rPr>
        <w:softHyphen/>
      </w:r>
      <w:r w:rsidRPr="00A62FF4">
        <w:rPr>
          <w:rFonts w:hint="cs"/>
          <w:sz w:val="23"/>
          <w:szCs w:val="23"/>
          <w:rtl/>
        </w:rPr>
        <w:t>بایست ثابت باشد. نرخ رشد اقتصاد که ثابت و مثبت است ممکن است با بازنویسی معادله</w:t>
      </w:r>
      <w:r w:rsidRPr="00A62FF4">
        <w:rPr>
          <w:sz w:val="23"/>
          <w:szCs w:val="23"/>
          <w:rtl/>
        </w:rPr>
        <w:softHyphen/>
      </w:r>
      <w:r w:rsidRPr="00A62FF4">
        <w:rPr>
          <w:rFonts w:hint="cs"/>
          <w:sz w:val="23"/>
          <w:szCs w:val="23"/>
          <w:rtl/>
        </w:rPr>
        <w:t>ی انباشت سرمایه</w:t>
      </w:r>
      <w:r w:rsidRPr="00A62FF4">
        <w:rPr>
          <w:sz w:val="23"/>
          <w:szCs w:val="23"/>
          <w:rtl/>
        </w:rPr>
        <w:softHyphen/>
      </w:r>
      <w:r w:rsidRPr="00A62FF4">
        <w:rPr>
          <w:rFonts w:hint="cs"/>
          <w:sz w:val="23"/>
          <w:szCs w:val="23"/>
          <w:rtl/>
        </w:rPr>
        <w:t>ی انسانی به صورت زیر نوشته شود</w:t>
      </w:r>
    </w:p>
    <w:p w14:paraId="41AD68F0" w14:textId="77777777" w:rsidR="00411620" w:rsidRPr="00A62FF4" w:rsidRDefault="00411620" w:rsidP="00411620">
      <w:pPr>
        <w:bidi w:val="0"/>
        <w:spacing w:line="216" w:lineRule="auto"/>
        <w:rPr>
          <w:sz w:val="23"/>
          <w:szCs w:val="23"/>
        </w:rPr>
      </w:pPr>
      <w:r w:rsidRPr="00A62FF4">
        <w:rPr>
          <w:position w:val="-30"/>
        </w:rPr>
        <w:object w:dxaOrig="4940" w:dyaOrig="760" w14:anchorId="08CD5FE8">
          <v:shape id="_x0000_i1960" type="#_x0000_t75" style="width:247.45pt;height:38.1pt" o:ole="">
            <v:imagedata r:id="rId1904" o:title=""/>
          </v:shape>
          <o:OLEObject Type="Embed" ProgID="Equation.DSMT4" ShapeID="_x0000_i1960" DrawAspect="Content" ObjectID="_1791375904" r:id="rId1905"/>
        </w:object>
      </w:r>
      <w:r w:rsidRPr="00A62FF4">
        <w:rPr>
          <w:sz w:val="23"/>
          <w:szCs w:val="23"/>
        </w:rPr>
        <w:t xml:space="preserve"> </w:t>
      </w:r>
    </w:p>
    <w:p w14:paraId="349F858C" w14:textId="77777777" w:rsidR="00411620" w:rsidRPr="00A62FF4" w:rsidRDefault="00411620" w:rsidP="00411620">
      <w:pPr>
        <w:spacing w:line="216" w:lineRule="auto"/>
        <w:rPr>
          <w:sz w:val="23"/>
          <w:szCs w:val="23"/>
          <w:rtl/>
        </w:rPr>
      </w:pPr>
      <w:r w:rsidRPr="00A62FF4">
        <w:rPr>
          <w:rFonts w:hint="cs"/>
          <w:sz w:val="23"/>
          <w:szCs w:val="23"/>
          <w:rtl/>
        </w:rPr>
        <w:lastRenderedPageBreak/>
        <w:t>برای تکمیل حل این مدل تابع تولید کالاها را به صورت زیر بازنویسی می</w:t>
      </w:r>
      <w:r w:rsidRPr="00A62FF4">
        <w:rPr>
          <w:sz w:val="23"/>
          <w:szCs w:val="23"/>
          <w:rtl/>
        </w:rPr>
        <w:softHyphen/>
      </w:r>
      <w:r w:rsidRPr="00A62FF4">
        <w:rPr>
          <w:rFonts w:hint="cs"/>
          <w:sz w:val="23"/>
          <w:szCs w:val="23"/>
          <w:rtl/>
        </w:rPr>
        <w:t>کنیم</w:t>
      </w:r>
    </w:p>
    <w:p w14:paraId="66D314D6" w14:textId="77777777" w:rsidR="00411620" w:rsidRPr="00A62FF4" w:rsidRDefault="00411620" w:rsidP="00411620">
      <w:pPr>
        <w:bidi w:val="0"/>
        <w:spacing w:line="216" w:lineRule="auto"/>
        <w:rPr>
          <w:sz w:val="23"/>
          <w:szCs w:val="23"/>
          <w:rtl/>
        </w:rPr>
      </w:pPr>
      <w:r w:rsidRPr="00A62FF4">
        <w:rPr>
          <w:position w:val="-30"/>
        </w:rPr>
        <w:object w:dxaOrig="1400" w:dyaOrig="740" w14:anchorId="49E4FF67">
          <v:shape id="_x0000_i1961" type="#_x0000_t75" style="width:70.2pt;height:36.9pt" o:ole="">
            <v:imagedata r:id="rId1906" o:title=""/>
          </v:shape>
          <o:OLEObject Type="Embed" ProgID="Equation.DSMT4" ShapeID="_x0000_i1961" DrawAspect="Content" ObjectID="_1791375905" r:id="rId1907"/>
        </w:object>
      </w:r>
    </w:p>
    <w:p w14:paraId="4AD352CC" w14:textId="77777777" w:rsidR="00411620" w:rsidRPr="00A62FF4" w:rsidRDefault="00411620" w:rsidP="00411620">
      <w:pPr>
        <w:spacing w:line="216" w:lineRule="auto"/>
        <w:rPr>
          <w:sz w:val="23"/>
          <w:szCs w:val="23"/>
          <w:rtl/>
        </w:rPr>
      </w:pPr>
      <w:r w:rsidRPr="00A62FF4">
        <w:rPr>
          <w:rFonts w:hint="cs"/>
          <w:sz w:val="23"/>
          <w:szCs w:val="23"/>
          <w:rtl/>
        </w:rPr>
        <w:t>که نشان می</w:t>
      </w:r>
      <w:r w:rsidRPr="00A62FF4">
        <w:rPr>
          <w:sz w:val="23"/>
          <w:szCs w:val="23"/>
          <w:rtl/>
        </w:rPr>
        <w:softHyphen/>
      </w:r>
      <w:r w:rsidRPr="00A62FF4">
        <w:rPr>
          <w:rFonts w:hint="cs"/>
          <w:sz w:val="23"/>
          <w:szCs w:val="23"/>
          <w:rtl/>
        </w:rPr>
        <w:t>دهد</w:t>
      </w:r>
      <w:r w:rsidRPr="00A62FF4">
        <w:rPr>
          <w:position w:val="-28"/>
        </w:rPr>
        <w:object w:dxaOrig="300" w:dyaOrig="639" w14:anchorId="7126EE21">
          <v:shape id="_x0000_i1962" type="#_x0000_t75" style="width:15.15pt;height:32.05pt" o:ole="">
            <v:imagedata r:id="rId1908" o:title=""/>
          </v:shape>
          <o:OLEObject Type="Embed" ProgID="Equation.DSMT4" ShapeID="_x0000_i1962" DrawAspect="Content" ObjectID="_1791375906" r:id="rId1909"/>
        </w:object>
      </w:r>
      <w:r w:rsidRPr="00A62FF4">
        <w:rPr>
          <w:sz w:val="23"/>
          <w:szCs w:val="23"/>
        </w:rPr>
        <w:t xml:space="preserve"> </w:t>
      </w:r>
      <w:r w:rsidRPr="00A62FF4">
        <w:rPr>
          <w:rFonts w:hint="cs"/>
          <w:sz w:val="23"/>
          <w:szCs w:val="23"/>
          <w:rtl/>
        </w:rPr>
        <w:t>ثابت است. از قید منابع خواهیم داشت</w:t>
      </w:r>
    </w:p>
    <w:p w14:paraId="281C3C05" w14:textId="77777777" w:rsidR="00411620" w:rsidRPr="00A62FF4" w:rsidRDefault="00411620" w:rsidP="00411620">
      <w:pPr>
        <w:bidi w:val="0"/>
        <w:spacing w:line="216" w:lineRule="auto"/>
        <w:rPr>
          <w:sz w:val="23"/>
          <w:szCs w:val="23"/>
          <w:rtl/>
        </w:rPr>
      </w:pPr>
      <w:r w:rsidRPr="00A62FF4">
        <w:rPr>
          <w:position w:val="-30"/>
        </w:rPr>
        <w:object w:dxaOrig="4160" w:dyaOrig="720" w14:anchorId="7D8A4E69">
          <v:shape id="_x0000_i1963" type="#_x0000_t75" style="width:207.55pt;height:36.3pt" o:ole="">
            <v:imagedata r:id="rId1910" o:title=""/>
          </v:shape>
          <o:OLEObject Type="Embed" ProgID="Equation.DSMT4" ShapeID="_x0000_i1963" DrawAspect="Content" ObjectID="_1791375907" r:id="rId1911"/>
        </w:object>
      </w:r>
    </w:p>
    <w:p w14:paraId="5E375279" w14:textId="77777777" w:rsidR="00411620" w:rsidRPr="00A62FF4" w:rsidRDefault="00411620" w:rsidP="00411620">
      <w:pPr>
        <w:spacing w:line="216" w:lineRule="auto"/>
        <w:rPr>
          <w:sz w:val="23"/>
          <w:szCs w:val="23"/>
          <w:rtl/>
        </w:rPr>
      </w:pPr>
      <w:r w:rsidRPr="00A62FF4">
        <w:rPr>
          <w:rFonts w:hint="cs"/>
          <w:sz w:val="23"/>
          <w:szCs w:val="23"/>
          <w:rtl/>
        </w:rPr>
        <w:t>که نشان می</w:t>
      </w:r>
      <w:r w:rsidRPr="00A62FF4">
        <w:rPr>
          <w:sz w:val="23"/>
          <w:szCs w:val="23"/>
          <w:rtl/>
        </w:rPr>
        <w:softHyphen/>
      </w:r>
      <w:r w:rsidRPr="00A62FF4">
        <w:rPr>
          <w:rFonts w:hint="cs"/>
          <w:sz w:val="23"/>
          <w:szCs w:val="23"/>
          <w:rtl/>
        </w:rPr>
        <w:t>دهد</w:t>
      </w:r>
      <w:r w:rsidRPr="00A62FF4">
        <w:rPr>
          <w:position w:val="-28"/>
        </w:rPr>
        <w:object w:dxaOrig="279" w:dyaOrig="639" w14:anchorId="3DEF1E09">
          <v:shape id="_x0000_i1964" type="#_x0000_t75" style="width:13.9pt;height:32.05pt" o:ole="">
            <v:imagedata r:id="rId1912" o:title=""/>
          </v:shape>
          <o:OLEObject Type="Embed" ProgID="Equation.DSMT4" ShapeID="_x0000_i1964" DrawAspect="Content" ObjectID="_1791375908" r:id="rId1913"/>
        </w:object>
      </w:r>
      <w:r w:rsidRPr="00A62FF4">
        <w:rPr>
          <w:rFonts w:hint="cs"/>
          <w:sz w:val="23"/>
          <w:szCs w:val="23"/>
          <w:rtl/>
        </w:rPr>
        <w:t xml:space="preserve"> نیز ثابت است. </w:t>
      </w:r>
    </w:p>
    <w:p w14:paraId="0B63D0D0" w14:textId="77777777" w:rsidR="00411620" w:rsidRPr="00A62FF4" w:rsidRDefault="00411620" w:rsidP="00411620">
      <w:pPr>
        <w:spacing w:line="216" w:lineRule="auto"/>
        <w:rPr>
          <w:sz w:val="23"/>
          <w:szCs w:val="23"/>
          <w:rtl/>
        </w:rPr>
      </w:pPr>
      <w:r w:rsidRPr="00A62FF4">
        <w:rPr>
          <w:rFonts w:hint="cs"/>
          <w:sz w:val="23"/>
          <w:szCs w:val="23"/>
          <w:rtl/>
        </w:rPr>
        <w:t>بطور خلاصه نشان داده شد که بدون پیشرفت تکنولوژیکی برون</w:t>
      </w:r>
      <w:r w:rsidRPr="00A62FF4">
        <w:rPr>
          <w:sz w:val="23"/>
          <w:szCs w:val="23"/>
          <w:rtl/>
        </w:rPr>
        <w:softHyphen/>
      </w:r>
      <w:r w:rsidRPr="00A62FF4">
        <w:rPr>
          <w:rFonts w:hint="cs"/>
          <w:sz w:val="23"/>
          <w:szCs w:val="23"/>
          <w:rtl/>
        </w:rPr>
        <w:t>زا، اقتصاد بواسطه</w:t>
      </w:r>
      <w:r w:rsidRPr="00A62FF4">
        <w:rPr>
          <w:sz w:val="23"/>
          <w:szCs w:val="23"/>
          <w:rtl/>
        </w:rPr>
        <w:softHyphen/>
      </w:r>
      <w:r w:rsidRPr="00A62FF4">
        <w:rPr>
          <w:rFonts w:hint="cs"/>
          <w:sz w:val="23"/>
          <w:szCs w:val="23"/>
          <w:rtl/>
        </w:rPr>
        <w:t>ی وجود سرمایه</w:t>
      </w:r>
      <w:r w:rsidRPr="00A62FF4">
        <w:rPr>
          <w:sz w:val="23"/>
          <w:szCs w:val="23"/>
          <w:rtl/>
        </w:rPr>
        <w:softHyphen/>
      </w:r>
      <w:r w:rsidRPr="00A62FF4">
        <w:rPr>
          <w:rFonts w:hint="cs"/>
          <w:sz w:val="23"/>
          <w:szCs w:val="23"/>
          <w:rtl/>
        </w:rPr>
        <w:t>ی انسانی به رشد متوازن دست خواهد یافت. در واقع پیشرفت تکنولوژیکی را دورن</w:t>
      </w:r>
      <w:r w:rsidRPr="00A62FF4">
        <w:rPr>
          <w:sz w:val="23"/>
          <w:szCs w:val="23"/>
          <w:rtl/>
        </w:rPr>
        <w:softHyphen/>
      </w:r>
      <w:r w:rsidRPr="00A62FF4">
        <w:rPr>
          <w:rFonts w:hint="cs"/>
          <w:sz w:val="23"/>
          <w:szCs w:val="23"/>
          <w:rtl/>
        </w:rPr>
        <w:t>زا نموده</w:t>
      </w:r>
      <w:r w:rsidRPr="00A62FF4">
        <w:rPr>
          <w:sz w:val="23"/>
          <w:szCs w:val="23"/>
          <w:rtl/>
        </w:rPr>
        <w:softHyphen/>
      </w:r>
      <w:r w:rsidRPr="00A62FF4">
        <w:rPr>
          <w:rFonts w:hint="cs"/>
          <w:sz w:val="23"/>
          <w:szCs w:val="23"/>
          <w:rtl/>
        </w:rPr>
        <w:t>ایم که متضمن سرمایه</w:t>
      </w:r>
      <w:r w:rsidRPr="00A62FF4">
        <w:rPr>
          <w:sz w:val="23"/>
          <w:szCs w:val="23"/>
          <w:rtl/>
        </w:rPr>
        <w:softHyphen/>
      </w:r>
      <w:r w:rsidRPr="00A62FF4">
        <w:rPr>
          <w:rFonts w:hint="cs"/>
          <w:sz w:val="23"/>
          <w:szCs w:val="23"/>
          <w:rtl/>
        </w:rPr>
        <w:t>ی انسانی است</w:t>
      </w:r>
    </w:p>
    <w:p w14:paraId="0F4E81C6" w14:textId="77777777" w:rsidR="00411620" w:rsidRPr="00A62FF4" w:rsidRDefault="00411620" w:rsidP="00411620">
      <w:pPr>
        <w:spacing w:line="216" w:lineRule="auto"/>
        <w:rPr>
          <w:sz w:val="23"/>
          <w:szCs w:val="23"/>
          <w:rtl/>
        </w:rPr>
      </w:pPr>
    </w:p>
    <w:p w14:paraId="51D543F9" w14:textId="77777777" w:rsidR="00411620" w:rsidRPr="00A62FF4" w:rsidRDefault="00411620" w:rsidP="00411620">
      <w:pPr>
        <w:pStyle w:val="Heading11"/>
        <w:bidi/>
        <w:spacing w:before="0" w:line="216" w:lineRule="auto"/>
        <w:rPr>
          <w:rFonts w:ascii="Times New Roman" w:hAnsi="Times New Roman" w:cs="B Nazanin"/>
          <w:sz w:val="23"/>
          <w:szCs w:val="23"/>
          <w:rtl/>
        </w:rPr>
      </w:pPr>
      <w:r w:rsidRPr="00A62FF4">
        <w:rPr>
          <w:rFonts w:ascii="Times New Roman" w:hAnsi="Times New Roman" w:cs="B Nazanin" w:hint="cs"/>
          <w:sz w:val="23"/>
          <w:szCs w:val="23"/>
          <w:rtl/>
        </w:rPr>
        <w:t xml:space="preserve">نتایج </w:t>
      </w:r>
    </w:p>
    <w:p w14:paraId="7D9D8663" w14:textId="77777777" w:rsidR="00411620" w:rsidRDefault="00411620" w:rsidP="00411620">
      <w:pPr>
        <w:spacing w:line="216" w:lineRule="auto"/>
        <w:rPr>
          <w:sz w:val="23"/>
          <w:szCs w:val="23"/>
          <w:rtl/>
        </w:rPr>
      </w:pPr>
      <w:r w:rsidRPr="00A62FF4">
        <w:rPr>
          <w:rFonts w:hint="cs"/>
          <w:sz w:val="23"/>
          <w:szCs w:val="23"/>
          <w:rtl/>
        </w:rPr>
        <w:t>در این فصل نشان دادیم که رفتار بسیاری از متغیرهای اقتصادی را می</w:t>
      </w:r>
      <w:r w:rsidRPr="00A62FF4">
        <w:rPr>
          <w:sz w:val="23"/>
          <w:szCs w:val="23"/>
          <w:rtl/>
        </w:rPr>
        <w:softHyphen/>
      </w:r>
      <w:r w:rsidRPr="00A62FF4">
        <w:rPr>
          <w:rFonts w:hint="cs"/>
          <w:sz w:val="23"/>
          <w:szCs w:val="23"/>
          <w:rtl/>
        </w:rPr>
        <w:t>توان در وضعیت یکنواخت همراه با رشد توضیح داد. ضمناً نشان داده شد که سرما</w:t>
      </w:r>
      <w:r w:rsidRPr="00A62FF4">
        <w:rPr>
          <w:sz w:val="23"/>
          <w:szCs w:val="23"/>
          <w:rtl/>
        </w:rPr>
        <w:softHyphen/>
      </w:r>
      <w:r w:rsidRPr="00A62FF4">
        <w:rPr>
          <w:rFonts w:hint="cs"/>
          <w:sz w:val="23"/>
          <w:szCs w:val="23"/>
          <w:rtl/>
        </w:rPr>
        <w:t>یه</w:t>
      </w:r>
      <w:r w:rsidRPr="00A62FF4">
        <w:rPr>
          <w:sz w:val="23"/>
          <w:szCs w:val="23"/>
          <w:rtl/>
        </w:rPr>
        <w:softHyphen/>
      </w:r>
      <w:r w:rsidRPr="00A62FF4">
        <w:rPr>
          <w:rFonts w:hint="cs"/>
          <w:sz w:val="23"/>
          <w:szCs w:val="23"/>
          <w:rtl/>
        </w:rPr>
        <w:t>گذاری تنها عامل رشد اقتصادی نیست و رشد از طریق سه منبع دیگر یعنی رشد تکنولوژیکی، رشد نیروی کار و رشد سرمایه</w:t>
      </w:r>
      <w:r w:rsidRPr="00A62FF4">
        <w:rPr>
          <w:sz w:val="23"/>
          <w:szCs w:val="23"/>
          <w:rtl/>
        </w:rPr>
        <w:softHyphen/>
      </w:r>
      <w:r w:rsidRPr="00A62FF4">
        <w:rPr>
          <w:rFonts w:hint="cs"/>
          <w:sz w:val="23"/>
          <w:szCs w:val="23"/>
          <w:rtl/>
        </w:rPr>
        <w:t>ی انسانی از طریق تحصیلات نیز بوجود می</w:t>
      </w:r>
      <w:r w:rsidRPr="00A62FF4">
        <w:rPr>
          <w:sz w:val="23"/>
          <w:szCs w:val="23"/>
          <w:rtl/>
        </w:rPr>
        <w:softHyphen/>
      </w:r>
      <w:r w:rsidRPr="00A62FF4">
        <w:rPr>
          <w:rFonts w:hint="cs"/>
          <w:sz w:val="23"/>
          <w:szCs w:val="23"/>
          <w:rtl/>
        </w:rPr>
        <w:t>آید. رشد اقتصادی متوازن بدون رشد تکنولوژیکی نیز ممکن است. همچنین نشان داده شد رشد پایدار بدون پیشرفت تکنولوژیکیِ برون</w:t>
      </w:r>
      <w:r w:rsidRPr="00A62FF4">
        <w:rPr>
          <w:rFonts w:hint="cs"/>
          <w:sz w:val="23"/>
          <w:szCs w:val="23"/>
          <w:rtl/>
        </w:rPr>
        <w:softHyphen/>
        <w:t>زا از طریق سرمایه</w:t>
      </w:r>
      <w:r w:rsidRPr="00A62FF4">
        <w:rPr>
          <w:rFonts w:hint="cs"/>
          <w:sz w:val="23"/>
          <w:szCs w:val="23"/>
          <w:rtl/>
        </w:rPr>
        <w:softHyphen/>
        <w:t>گذاری در سرمایه انسانی نیز میسر است.</w:t>
      </w:r>
      <w:r>
        <w:rPr>
          <w:sz w:val="23"/>
          <w:szCs w:val="23"/>
          <w:rtl/>
        </w:rPr>
        <w:br w:type="page"/>
      </w:r>
    </w:p>
    <w:p w14:paraId="1F39897D" w14:textId="77777777" w:rsidR="00411620" w:rsidRPr="00A62FF4" w:rsidRDefault="00411620" w:rsidP="00411620">
      <w:pPr>
        <w:spacing w:line="216" w:lineRule="auto"/>
        <w:rPr>
          <w:sz w:val="23"/>
          <w:szCs w:val="23"/>
        </w:rPr>
      </w:pPr>
    </w:p>
    <w:p w14:paraId="5CE69064" w14:textId="77777777" w:rsidR="00411620" w:rsidRPr="00005251" w:rsidRDefault="00411620" w:rsidP="00411620">
      <w:pPr>
        <w:pStyle w:val="a3"/>
        <w:spacing w:before="1080" w:after="720"/>
        <w:ind w:left="-40"/>
        <w:rPr>
          <w:rFonts w:ascii="IRNarges" w:hAnsi="IRNarges" w:cs="B Nazanin"/>
          <w:b w:val="0"/>
          <w:i/>
          <w:color w:val="000000" w:themeColor="text1"/>
          <w:sz w:val="40"/>
          <w:szCs w:val="40"/>
          <w:rtl/>
        </w:rPr>
      </w:pPr>
      <w:r w:rsidRPr="00005251">
        <w:rPr>
          <w:rFonts w:ascii="IRNarges" w:hAnsi="IRNarges" w:cs="B Nazanin"/>
          <w:b w:val="0"/>
          <w:i/>
          <w:color w:val="000000" w:themeColor="text1"/>
          <w:sz w:val="40"/>
          <w:szCs w:val="40"/>
          <w:rtl/>
        </w:rPr>
        <w:t>فصل چهارم</w:t>
      </w:r>
    </w:p>
    <w:p w14:paraId="143E395A" w14:textId="77777777" w:rsidR="00411620" w:rsidRPr="00005251" w:rsidRDefault="00411620" w:rsidP="00411620">
      <w:pPr>
        <w:pStyle w:val="a3"/>
        <w:spacing w:before="0" w:after="720"/>
        <w:ind w:left="-40"/>
        <w:rPr>
          <w:i/>
          <w:sz w:val="40"/>
          <w:szCs w:val="40"/>
          <w:rtl/>
        </w:rPr>
      </w:pPr>
      <w:r w:rsidRPr="00005251">
        <w:rPr>
          <w:rFonts w:ascii="IRNarges" w:hAnsi="IRNarges" w:cs="B Nazanin"/>
          <w:b w:val="0"/>
          <w:i/>
          <w:color w:val="000000" w:themeColor="text1"/>
          <w:sz w:val="40"/>
          <w:szCs w:val="40"/>
          <w:rtl/>
        </w:rPr>
        <w:t>اقتصاد غیرمتمرکز</w:t>
      </w:r>
    </w:p>
    <w:p w14:paraId="322AF030" w14:textId="77777777" w:rsidR="00411620" w:rsidRPr="00005251" w:rsidRDefault="00411620" w:rsidP="00411620">
      <w:pPr>
        <w:pStyle w:val="Heading1"/>
        <w:spacing w:before="0" w:after="0" w:line="216" w:lineRule="auto"/>
        <w:rPr>
          <w:rFonts w:ascii="Times New Roman" w:hAnsi="Times New Roman" w:cs="B Nazanin"/>
          <w:b w:val="0"/>
          <w:i/>
          <w:sz w:val="23"/>
          <w:szCs w:val="23"/>
          <w:rtl/>
        </w:rPr>
      </w:pPr>
      <w:r w:rsidRPr="00005251">
        <w:rPr>
          <w:rFonts w:ascii="Times New Roman" w:hAnsi="Times New Roman" w:cs="B Nazanin" w:hint="cs"/>
          <w:b w:val="0"/>
          <w:i/>
          <w:sz w:val="23"/>
          <w:szCs w:val="23"/>
          <w:rtl/>
        </w:rPr>
        <w:t xml:space="preserve">۴. ۱ </w:t>
      </w:r>
      <w:r w:rsidRPr="00005251">
        <w:rPr>
          <w:rFonts w:ascii="Times New Roman" w:hAnsi="Times New Roman" w:cs="B Nazanin"/>
          <w:b w:val="0"/>
          <w:i/>
          <w:sz w:val="23"/>
          <w:szCs w:val="23"/>
          <w:rtl/>
        </w:rPr>
        <w:t>مقدمه</w:t>
      </w:r>
    </w:p>
    <w:p w14:paraId="344D27A5" w14:textId="77777777" w:rsidR="00411620" w:rsidRPr="00005251" w:rsidRDefault="00411620" w:rsidP="00411620">
      <w:pPr>
        <w:spacing w:line="216" w:lineRule="auto"/>
        <w:rPr>
          <w:i/>
          <w:sz w:val="23"/>
          <w:szCs w:val="23"/>
          <w:rtl/>
        </w:rPr>
      </w:pPr>
      <w:r w:rsidRPr="00005251">
        <w:rPr>
          <w:rFonts w:hint="cs"/>
          <w:i/>
          <w:sz w:val="23"/>
          <w:szCs w:val="23"/>
          <w:rtl/>
        </w:rPr>
        <w:t>در مدلی که در فصل دوم ارائه شد، کلیه</w:t>
      </w:r>
      <w:r w:rsidRPr="00005251">
        <w:rPr>
          <w:i/>
          <w:sz w:val="23"/>
          <w:szCs w:val="23"/>
          <w:rtl/>
        </w:rPr>
        <w:softHyphen/>
      </w:r>
      <w:r w:rsidRPr="00005251">
        <w:rPr>
          <w:rFonts w:hint="cs"/>
          <w:i/>
          <w:sz w:val="23"/>
          <w:szCs w:val="23"/>
          <w:rtl/>
        </w:rPr>
        <w:t>ی تصمیمات اقتصادی مربوط به مصرف، پس</w:t>
      </w:r>
      <w:r w:rsidRPr="00005251">
        <w:rPr>
          <w:i/>
          <w:sz w:val="23"/>
          <w:szCs w:val="23"/>
          <w:rtl/>
        </w:rPr>
        <w:softHyphen/>
      </w:r>
      <w:r w:rsidRPr="00005251">
        <w:rPr>
          <w:rFonts w:hint="cs"/>
          <w:i/>
          <w:sz w:val="23"/>
          <w:szCs w:val="23"/>
          <w:rtl/>
        </w:rPr>
        <w:t>انداز، سرمایه</w:t>
      </w:r>
      <w:r w:rsidRPr="00005251">
        <w:rPr>
          <w:i/>
          <w:sz w:val="23"/>
          <w:szCs w:val="23"/>
          <w:rtl/>
        </w:rPr>
        <w:softHyphen/>
      </w:r>
      <w:r w:rsidRPr="00005251">
        <w:rPr>
          <w:rFonts w:hint="cs"/>
          <w:i/>
          <w:sz w:val="23"/>
          <w:szCs w:val="23"/>
          <w:rtl/>
        </w:rPr>
        <w:t>گذاری، انباشت سرمایه و کار و فراغت توسط کارگزار نمونه یا برنامه</w:t>
      </w:r>
      <w:r w:rsidRPr="00005251">
        <w:rPr>
          <w:i/>
          <w:sz w:val="23"/>
          <w:szCs w:val="23"/>
          <w:rtl/>
        </w:rPr>
        <w:softHyphen/>
      </w:r>
      <w:r w:rsidRPr="00005251">
        <w:rPr>
          <w:rFonts w:hint="cs"/>
          <w:i/>
          <w:sz w:val="23"/>
          <w:szCs w:val="23"/>
          <w:rtl/>
        </w:rPr>
        <w:t>ریز متمرکز گرفته می</w:t>
      </w:r>
      <w:r w:rsidRPr="00005251">
        <w:rPr>
          <w:i/>
          <w:sz w:val="23"/>
          <w:szCs w:val="23"/>
          <w:rtl/>
        </w:rPr>
        <w:softHyphen/>
      </w:r>
      <w:r w:rsidRPr="00005251">
        <w:rPr>
          <w:rFonts w:hint="cs"/>
          <w:i/>
          <w:sz w:val="23"/>
          <w:szCs w:val="23"/>
          <w:rtl/>
        </w:rPr>
        <w:t>شد. درآن فصل دو فرضِ وجود بنگاه و بازار را از اقتصاد حذف نمودیم و فقط خانوار را در مدل اقتصادی لحاظ نمودیم (مدل رابینسون کروزو)، و عملاً در اقتصاد ساختار بازار وجود نداشت تا قیمت</w:t>
      </w:r>
      <w:r w:rsidRPr="00005251">
        <w:rPr>
          <w:i/>
          <w:sz w:val="23"/>
          <w:szCs w:val="23"/>
          <w:rtl/>
        </w:rPr>
        <w:softHyphen/>
      </w:r>
      <w:r w:rsidRPr="00005251">
        <w:rPr>
          <w:rFonts w:hint="cs"/>
          <w:i/>
          <w:sz w:val="23"/>
          <w:szCs w:val="23"/>
          <w:rtl/>
        </w:rPr>
        <w:t>های نسبی عرضه و تقاضای کالاها و خدمات و عرضه و تقاضای نیروی کار را مشخص کند. امّا در این فصل بین خانوار و بنگاه تمایز قائل می‌‌شویم. از آن</w:t>
      </w:r>
      <w:r w:rsidRPr="00005251">
        <w:rPr>
          <w:i/>
          <w:sz w:val="23"/>
          <w:szCs w:val="23"/>
          <w:rtl/>
        </w:rPr>
        <w:softHyphen/>
      </w:r>
      <w:r w:rsidRPr="00005251">
        <w:rPr>
          <w:rFonts w:hint="cs"/>
          <w:i/>
          <w:sz w:val="23"/>
          <w:szCs w:val="23"/>
          <w:rtl/>
        </w:rPr>
        <w:t>جاکه موجودی سرمایه در تملک خانوار است و اجاره</w:t>
      </w:r>
      <w:r w:rsidRPr="00005251">
        <w:rPr>
          <w:i/>
          <w:sz w:val="23"/>
          <w:szCs w:val="23"/>
          <w:rtl/>
        </w:rPr>
        <w:softHyphen/>
      </w:r>
      <w:r w:rsidRPr="00005251">
        <w:rPr>
          <w:rFonts w:hint="cs"/>
          <w:i/>
          <w:sz w:val="23"/>
          <w:szCs w:val="23"/>
          <w:rtl/>
        </w:rPr>
        <w:t>ی آن را از تولید</w:t>
      </w:r>
      <w:r w:rsidRPr="00005251">
        <w:rPr>
          <w:i/>
          <w:sz w:val="23"/>
          <w:szCs w:val="23"/>
          <w:rtl/>
        </w:rPr>
        <w:softHyphen/>
      </w:r>
      <w:r w:rsidRPr="00005251">
        <w:rPr>
          <w:rFonts w:hint="cs"/>
          <w:i/>
          <w:sz w:val="23"/>
          <w:szCs w:val="23"/>
          <w:rtl/>
        </w:rPr>
        <w:t>کننده دریافت می‌کند، لذا در قید بودجه</w:t>
      </w:r>
      <w:r w:rsidRPr="00005251">
        <w:rPr>
          <w:i/>
          <w:sz w:val="23"/>
          <w:szCs w:val="23"/>
          <w:rtl/>
        </w:rPr>
        <w:softHyphen/>
      </w:r>
      <w:r w:rsidRPr="00005251">
        <w:rPr>
          <w:rFonts w:hint="cs"/>
          <w:i/>
          <w:sz w:val="23"/>
          <w:szCs w:val="23"/>
          <w:rtl/>
        </w:rPr>
        <w:t>ی خانوار موجودی سرمایه</w:t>
      </w:r>
      <w:r w:rsidRPr="00005251">
        <w:rPr>
          <w:i/>
          <w:sz w:val="23"/>
          <w:szCs w:val="23"/>
          <w:rtl/>
        </w:rPr>
        <w:softHyphen/>
      </w:r>
      <w:r w:rsidRPr="00005251">
        <w:rPr>
          <w:rFonts w:hint="cs"/>
          <w:i/>
          <w:sz w:val="23"/>
          <w:szCs w:val="23"/>
          <w:rtl/>
        </w:rPr>
        <w:t>ی بنگاه یعنی</w:t>
      </w:r>
      <w:r w:rsidRPr="00025957">
        <w:rPr>
          <w:position w:val="-4"/>
        </w:rPr>
        <w:object w:dxaOrig="260" w:dyaOrig="240" w14:anchorId="15B311E7">
          <v:shape id="_x0000_i1965" type="#_x0000_t75" style="width:12.7pt;height:12.1pt" o:ole="">
            <v:imagedata r:id="rId1914" o:title=""/>
          </v:shape>
          <o:OLEObject Type="Embed" ProgID="Equation.DSMT4" ShapeID="_x0000_i1965" DrawAspect="Content" ObjectID="_1791375909" r:id="rId1915"/>
        </w:object>
      </w:r>
      <w:r w:rsidRPr="00005251">
        <w:rPr>
          <w:i/>
          <w:sz w:val="23"/>
          <w:szCs w:val="23"/>
          <w:rtl/>
          <w:lang w:val="en-GB"/>
        </w:rPr>
        <w:t xml:space="preserve"> </w:t>
      </w:r>
      <w:r w:rsidRPr="00005251">
        <w:rPr>
          <w:rFonts w:hint="cs"/>
          <w:i/>
          <w:sz w:val="23"/>
          <w:szCs w:val="23"/>
          <w:rtl/>
        </w:rPr>
        <w:t xml:space="preserve">به </w:t>
      </w:r>
      <w:r w:rsidRPr="00005251">
        <w:rPr>
          <w:rFonts w:eastAsiaTheme="minorEastAsia" w:hint="cs"/>
          <w:i/>
          <w:sz w:val="23"/>
          <w:szCs w:val="23"/>
          <w:rtl/>
        </w:rPr>
        <w:t>ذخائر دارایی</w:t>
      </w:r>
      <w:r w:rsidRPr="00005251">
        <w:rPr>
          <w:rFonts w:eastAsiaTheme="minorEastAsia"/>
          <w:i/>
          <w:sz w:val="23"/>
          <w:szCs w:val="23"/>
          <w:rtl/>
        </w:rPr>
        <w:softHyphen/>
      </w:r>
      <w:r w:rsidRPr="00005251">
        <w:rPr>
          <w:rFonts w:eastAsiaTheme="minorEastAsia" w:hint="cs"/>
          <w:i/>
          <w:sz w:val="23"/>
          <w:szCs w:val="23"/>
          <w:rtl/>
        </w:rPr>
        <w:t xml:space="preserve">های مالی خانوار یعنی </w:t>
      </w:r>
      <w:r w:rsidRPr="00005251">
        <w:rPr>
          <w:rFonts w:eastAsiaTheme="minorEastAsia"/>
          <w:i/>
          <w:sz w:val="23"/>
          <w:szCs w:val="23"/>
        </w:rPr>
        <w:t>a</w:t>
      </w:r>
      <w:r w:rsidRPr="00005251">
        <w:rPr>
          <w:rFonts w:eastAsiaTheme="minorEastAsia" w:hint="cs"/>
          <w:i/>
          <w:sz w:val="23"/>
          <w:szCs w:val="23"/>
          <w:rtl/>
        </w:rPr>
        <w:t xml:space="preserve"> </w:t>
      </w:r>
      <w:r w:rsidRPr="00005251">
        <w:rPr>
          <w:rFonts w:hint="cs"/>
          <w:i/>
          <w:sz w:val="23"/>
          <w:szCs w:val="23"/>
          <w:rtl/>
        </w:rPr>
        <w:t>تبدیل می‌شود. خانوار مصرف می‌‌</w:t>
      </w:r>
      <w:r w:rsidRPr="00005251">
        <w:rPr>
          <w:i/>
          <w:sz w:val="23"/>
          <w:szCs w:val="23"/>
          <w:rtl/>
        </w:rPr>
        <w:softHyphen/>
      </w:r>
      <w:r w:rsidRPr="00005251">
        <w:rPr>
          <w:rFonts w:hint="cs"/>
          <w:i/>
          <w:sz w:val="23"/>
          <w:szCs w:val="23"/>
          <w:rtl/>
        </w:rPr>
        <w:t>کند، صاحب سهام بنگاه</w:t>
      </w:r>
      <w:r w:rsidRPr="00005251">
        <w:rPr>
          <w:i/>
          <w:sz w:val="23"/>
          <w:szCs w:val="23"/>
          <w:rtl/>
        </w:rPr>
        <w:softHyphen/>
      </w:r>
      <w:r w:rsidRPr="00005251">
        <w:rPr>
          <w:rFonts w:hint="cs"/>
          <w:i/>
          <w:sz w:val="23"/>
          <w:szCs w:val="23"/>
          <w:rtl/>
        </w:rPr>
        <w:t>هاست و سود سهام را از بنگاه دریافت می‌‌</w:t>
      </w:r>
      <w:r w:rsidRPr="00005251">
        <w:rPr>
          <w:i/>
          <w:sz w:val="23"/>
          <w:szCs w:val="23"/>
          <w:rtl/>
        </w:rPr>
        <w:softHyphen/>
      </w:r>
      <w:r w:rsidRPr="00005251">
        <w:rPr>
          <w:rFonts w:hint="cs"/>
          <w:i/>
          <w:sz w:val="23"/>
          <w:szCs w:val="23"/>
          <w:rtl/>
        </w:rPr>
        <w:t>کند.</w:t>
      </w:r>
      <w:r w:rsidRPr="00005251">
        <w:rPr>
          <w:i/>
          <w:sz w:val="23"/>
          <w:szCs w:val="23"/>
        </w:rPr>
        <w:t xml:space="preserve"> </w:t>
      </w:r>
      <w:r w:rsidRPr="00005251">
        <w:rPr>
          <w:rFonts w:hint="cs"/>
          <w:i/>
          <w:sz w:val="23"/>
          <w:szCs w:val="23"/>
          <w:rtl/>
        </w:rPr>
        <w:t>خانوار همچنین نیروی کار را به بنگاه عرضه می‌کند و و با دریافت دستمزد پس</w:t>
      </w:r>
      <w:r w:rsidRPr="00005251">
        <w:rPr>
          <w:i/>
          <w:sz w:val="23"/>
          <w:szCs w:val="23"/>
          <w:rtl/>
        </w:rPr>
        <w:softHyphen/>
      </w:r>
      <w:r w:rsidRPr="00005251">
        <w:rPr>
          <w:rFonts w:hint="cs"/>
          <w:i/>
          <w:sz w:val="23"/>
          <w:szCs w:val="23"/>
          <w:rtl/>
        </w:rPr>
        <w:t>انداز می‌کند (دارایی‌های مالی). بنگاه نیز با سرمایه</w:t>
      </w:r>
      <w:r w:rsidRPr="00005251">
        <w:rPr>
          <w:i/>
          <w:sz w:val="23"/>
          <w:szCs w:val="23"/>
          <w:rtl/>
        </w:rPr>
        <w:softHyphen/>
      </w:r>
      <w:r w:rsidRPr="00005251">
        <w:rPr>
          <w:rFonts w:hint="cs"/>
          <w:i/>
          <w:sz w:val="23"/>
          <w:szCs w:val="23"/>
          <w:rtl/>
        </w:rPr>
        <w:t>گذاری، میزان موجودی سرمایه را مشخص می‌کند، تقاضای اشتغال توسط بنگاه صورت گرفته و بالاخره بنگاه تولید می‌کند. بنگاه از خانوار قرض می‌کند تا سرمایه</w:t>
      </w:r>
      <w:r w:rsidRPr="00005251">
        <w:rPr>
          <w:i/>
          <w:sz w:val="23"/>
          <w:szCs w:val="23"/>
          <w:rtl/>
        </w:rPr>
        <w:softHyphen/>
      </w:r>
      <w:r w:rsidRPr="00005251">
        <w:rPr>
          <w:rFonts w:hint="cs"/>
          <w:i/>
          <w:sz w:val="23"/>
          <w:szCs w:val="23"/>
          <w:rtl/>
        </w:rPr>
        <w:t>گذاری را تامین مالی کند، به خانوار دستمزد پرداخت می‌کند و سود سهام را بین خانوار تقسیم می‌کند. به همین ترتیب با تفکیک خانوار از بنگاه متغیرهای جدیدی وارد مدل اقتصادی می‌شود.</w:t>
      </w:r>
    </w:p>
    <w:p w14:paraId="0EF6C65A" w14:textId="77777777" w:rsidR="00411620" w:rsidRPr="00005251" w:rsidRDefault="00411620" w:rsidP="00411620">
      <w:pPr>
        <w:spacing w:line="216" w:lineRule="auto"/>
        <w:rPr>
          <w:i/>
          <w:sz w:val="23"/>
          <w:szCs w:val="23"/>
          <w:rtl/>
        </w:rPr>
      </w:pPr>
      <w:r w:rsidRPr="00005251">
        <w:rPr>
          <w:rFonts w:hint="cs"/>
          <w:i/>
          <w:sz w:val="23"/>
          <w:szCs w:val="23"/>
          <w:rtl/>
        </w:rPr>
        <w:t>در این فصل ابتدا رفتار خانوار با حذف بازار نیروی کار بررسی می‌شود. لذا تصمیمات خانوار در خصوص مصرف و پس</w:t>
      </w:r>
      <w:r w:rsidRPr="00005251">
        <w:rPr>
          <w:i/>
          <w:sz w:val="23"/>
          <w:szCs w:val="23"/>
          <w:rtl/>
        </w:rPr>
        <w:softHyphen/>
      </w:r>
      <w:r w:rsidRPr="00005251">
        <w:rPr>
          <w:rFonts w:hint="cs"/>
          <w:i/>
          <w:sz w:val="23"/>
          <w:szCs w:val="23"/>
          <w:rtl/>
        </w:rPr>
        <w:t>انداز مورد بررسی قرار خواهد گرفت. سپس رفتار بنگاه در خصوص سرمایه</w:t>
      </w:r>
      <w:r w:rsidRPr="00005251">
        <w:rPr>
          <w:i/>
          <w:sz w:val="23"/>
          <w:szCs w:val="23"/>
          <w:rtl/>
        </w:rPr>
        <w:softHyphen/>
      </w:r>
      <w:r w:rsidRPr="00005251">
        <w:rPr>
          <w:rFonts w:hint="cs"/>
          <w:i/>
          <w:sz w:val="23"/>
          <w:szCs w:val="23"/>
          <w:rtl/>
        </w:rPr>
        <w:t>گذاری، بدهی مالی و تقاضا برای نیروی کار مورد ارزیابی قرار خواهد گرفت. نهایتاً جهت دسترسی به مدل تعادل عمومی، بازار کالاها و خدمات، بازار نیروی کار و بازار سهام و اوراق قرضه مورد بررسی قرار خواهند گرفت.</w:t>
      </w:r>
    </w:p>
    <w:p w14:paraId="2C242345" w14:textId="77777777" w:rsidR="00411620" w:rsidRPr="00005251" w:rsidRDefault="00411620" w:rsidP="00411620">
      <w:pPr>
        <w:spacing w:line="216" w:lineRule="auto"/>
        <w:rPr>
          <w:i/>
          <w:sz w:val="23"/>
          <w:szCs w:val="23"/>
          <w:rtl/>
        </w:rPr>
      </w:pPr>
    </w:p>
    <w:p w14:paraId="0169C6DE" w14:textId="77777777" w:rsidR="00411620" w:rsidRPr="00005251" w:rsidRDefault="00411620" w:rsidP="00411620">
      <w:pPr>
        <w:pStyle w:val="Heading1"/>
        <w:spacing w:before="0" w:after="0" w:line="216" w:lineRule="auto"/>
        <w:rPr>
          <w:rFonts w:ascii="Times New Roman" w:hAnsi="Times New Roman" w:cs="B Nazanin"/>
          <w:b w:val="0"/>
          <w:i/>
          <w:sz w:val="23"/>
          <w:szCs w:val="23"/>
          <w:rtl/>
        </w:rPr>
      </w:pPr>
      <w:r w:rsidRPr="00005251">
        <w:rPr>
          <w:rFonts w:ascii="Times New Roman" w:hAnsi="Times New Roman" w:cs="B Nazanin" w:hint="cs"/>
          <w:b w:val="0"/>
          <w:i/>
          <w:sz w:val="23"/>
          <w:szCs w:val="23"/>
          <w:rtl/>
        </w:rPr>
        <w:t>۴. ۲ خانوار</w:t>
      </w:r>
    </w:p>
    <w:p w14:paraId="51FED9FC" w14:textId="77777777" w:rsidR="00411620" w:rsidRPr="00005251" w:rsidRDefault="00411620" w:rsidP="00411620">
      <w:pPr>
        <w:spacing w:line="216" w:lineRule="auto"/>
        <w:rPr>
          <w:i/>
          <w:sz w:val="23"/>
          <w:szCs w:val="23"/>
          <w:rtl/>
        </w:rPr>
      </w:pPr>
      <w:r w:rsidRPr="00005251">
        <w:rPr>
          <w:rFonts w:hint="cs"/>
          <w:i/>
          <w:sz w:val="23"/>
          <w:szCs w:val="23"/>
          <w:rtl/>
        </w:rPr>
        <w:t>ابتدا رفتار مصرفی خانوار را مورد بررسی قرار می</w:t>
      </w:r>
      <w:r w:rsidRPr="00005251">
        <w:rPr>
          <w:i/>
          <w:sz w:val="23"/>
          <w:szCs w:val="23"/>
          <w:rtl/>
        </w:rPr>
        <w:softHyphen/>
      </w:r>
      <w:r w:rsidRPr="00005251">
        <w:rPr>
          <w:rFonts w:hint="cs"/>
          <w:i/>
          <w:sz w:val="23"/>
          <w:szCs w:val="23"/>
          <w:rtl/>
        </w:rPr>
        <w:t xml:space="preserve">دهیم. </w:t>
      </w:r>
    </w:p>
    <w:p w14:paraId="38FD8040" w14:textId="77777777" w:rsidR="00411620" w:rsidRPr="00005251" w:rsidRDefault="00411620" w:rsidP="00411620">
      <w:pPr>
        <w:spacing w:line="216" w:lineRule="auto"/>
        <w:rPr>
          <w:i/>
          <w:sz w:val="23"/>
          <w:szCs w:val="23"/>
          <w:rtl/>
        </w:rPr>
      </w:pPr>
    </w:p>
    <w:p w14:paraId="702DE52C" w14:textId="77777777" w:rsidR="00411620" w:rsidRPr="00005251" w:rsidRDefault="00411620" w:rsidP="00411620">
      <w:pPr>
        <w:pStyle w:val="Heading1"/>
        <w:spacing w:before="0" w:after="0" w:line="216" w:lineRule="auto"/>
        <w:rPr>
          <w:rFonts w:ascii="Times New Roman" w:hAnsi="Times New Roman" w:cs="B Nazanin"/>
          <w:b w:val="0"/>
          <w:i/>
          <w:sz w:val="23"/>
          <w:szCs w:val="23"/>
          <w:rtl/>
        </w:rPr>
      </w:pPr>
      <w:r w:rsidRPr="00005251">
        <w:rPr>
          <w:rFonts w:ascii="Times New Roman" w:hAnsi="Times New Roman" w:cs="B Nazanin" w:hint="cs"/>
          <w:b w:val="0"/>
          <w:i/>
          <w:sz w:val="23"/>
          <w:szCs w:val="23"/>
          <w:rtl/>
        </w:rPr>
        <w:t>۴. ۲. ۱ مصرف</w:t>
      </w:r>
    </w:p>
    <w:p w14:paraId="2BBDC597" w14:textId="77777777" w:rsidR="00411620" w:rsidRPr="00005251" w:rsidRDefault="00411620" w:rsidP="00411620">
      <w:pPr>
        <w:spacing w:line="216" w:lineRule="auto"/>
        <w:rPr>
          <w:i/>
          <w:sz w:val="23"/>
          <w:szCs w:val="23"/>
          <w:rtl/>
        </w:rPr>
      </w:pPr>
      <w:r w:rsidRPr="00005251">
        <w:rPr>
          <w:rFonts w:eastAsiaTheme="minorEastAsia" w:hint="cs"/>
          <w:i/>
          <w:sz w:val="23"/>
          <w:szCs w:val="23"/>
          <w:rtl/>
        </w:rPr>
        <w:t>کارگزار نمونه</w:t>
      </w:r>
      <w:r w:rsidRPr="00005251">
        <w:rPr>
          <w:rFonts w:hint="cs"/>
          <w:i/>
          <w:sz w:val="23"/>
          <w:szCs w:val="23"/>
          <w:rtl/>
        </w:rPr>
        <w:t xml:space="preserve"> مطلوبیت تنزیل شده</w:t>
      </w:r>
      <w:r w:rsidRPr="00005251">
        <w:rPr>
          <w:i/>
          <w:sz w:val="23"/>
          <w:szCs w:val="23"/>
          <w:rtl/>
        </w:rPr>
        <w:softHyphen/>
      </w:r>
      <w:r w:rsidRPr="00005251">
        <w:rPr>
          <w:rFonts w:hint="cs"/>
          <w:i/>
          <w:sz w:val="23"/>
          <w:szCs w:val="23"/>
          <w:rtl/>
        </w:rPr>
        <w:t>ی بین</w:t>
      </w:r>
      <w:r w:rsidRPr="00005251">
        <w:rPr>
          <w:i/>
          <w:sz w:val="23"/>
          <w:szCs w:val="23"/>
          <w:rtl/>
        </w:rPr>
        <w:softHyphen/>
      </w:r>
      <w:r w:rsidRPr="00005251">
        <w:rPr>
          <w:rFonts w:hint="cs"/>
          <w:i/>
          <w:sz w:val="23"/>
          <w:szCs w:val="23"/>
          <w:rtl/>
        </w:rPr>
        <w:t>دوره</w:t>
      </w:r>
      <w:r w:rsidRPr="00005251">
        <w:rPr>
          <w:i/>
          <w:sz w:val="23"/>
          <w:szCs w:val="23"/>
          <w:rtl/>
        </w:rPr>
        <w:softHyphen/>
      </w:r>
      <w:r w:rsidRPr="00005251">
        <w:rPr>
          <w:rFonts w:hint="cs"/>
          <w:i/>
          <w:sz w:val="23"/>
          <w:szCs w:val="23"/>
          <w:rtl/>
        </w:rPr>
        <w:t>ای خود را نسبت به قید بودجه</w:t>
      </w:r>
      <w:r w:rsidRPr="00005251">
        <w:rPr>
          <w:i/>
          <w:sz w:val="23"/>
          <w:szCs w:val="23"/>
          <w:rtl/>
        </w:rPr>
        <w:softHyphen/>
      </w:r>
      <w:r w:rsidRPr="00005251">
        <w:rPr>
          <w:rFonts w:hint="cs"/>
          <w:i/>
          <w:sz w:val="23"/>
          <w:szCs w:val="23"/>
          <w:rtl/>
        </w:rPr>
        <w:t>ی خود و بر حسب متغیرهای مصرف و دارایی</w:t>
      </w:r>
      <w:r w:rsidRPr="00005251">
        <w:rPr>
          <w:i/>
          <w:sz w:val="23"/>
          <w:szCs w:val="23"/>
          <w:rtl/>
        </w:rPr>
        <w:softHyphen/>
      </w:r>
      <w:r w:rsidRPr="00005251">
        <w:rPr>
          <w:rFonts w:hint="cs"/>
          <w:i/>
          <w:sz w:val="23"/>
          <w:szCs w:val="23"/>
          <w:rtl/>
        </w:rPr>
        <w:t>های مالی حداکثر می‌کند. لذا</w:t>
      </w:r>
    </w:p>
    <w:p w14:paraId="2A520E65" w14:textId="77777777" w:rsidR="00411620" w:rsidRPr="00005251" w:rsidRDefault="00411620" w:rsidP="00411620">
      <w:pPr>
        <w:bidi w:val="0"/>
        <w:spacing w:line="216" w:lineRule="auto"/>
        <w:rPr>
          <w:i/>
          <w:sz w:val="23"/>
          <w:szCs w:val="23"/>
          <w:lang w:val="en-GB"/>
        </w:rPr>
      </w:pPr>
      <w:r w:rsidRPr="00005251">
        <w:rPr>
          <w:position w:val="-26"/>
        </w:rPr>
        <w:object w:dxaOrig="2040" w:dyaOrig="620" w14:anchorId="11C2867D">
          <v:shape id="_x0000_i1966" type="#_x0000_t75" style="width:102.25pt;height:31.45pt" o:ole="">
            <v:imagedata r:id="rId1916" o:title=""/>
          </v:shape>
          <o:OLEObject Type="Embed" ProgID="Equation.DSMT4" ShapeID="_x0000_i1966" DrawAspect="Content" ObjectID="_1791375910" r:id="rId1917"/>
        </w:object>
      </w:r>
      <w:r w:rsidRPr="00005251">
        <w:rPr>
          <w:rFonts w:eastAsiaTheme="minorEastAsia"/>
          <w:i/>
          <w:sz w:val="23"/>
          <w:szCs w:val="23"/>
          <w:rtl/>
          <w:lang w:val="en-GB"/>
        </w:rPr>
        <w:tab/>
      </w:r>
      <w:r w:rsidRPr="00005251">
        <w:rPr>
          <w:rFonts w:eastAsiaTheme="minorEastAsia"/>
          <w:i/>
          <w:sz w:val="23"/>
          <w:szCs w:val="23"/>
          <w:rtl/>
          <w:lang w:val="en-GB"/>
        </w:rPr>
        <w:tab/>
      </w:r>
      <w:r w:rsidRPr="00005251">
        <w:rPr>
          <w:rFonts w:eastAsiaTheme="minorEastAsia"/>
          <w:i/>
          <w:sz w:val="23"/>
          <w:szCs w:val="23"/>
          <w:rtl/>
          <w:lang w:val="en-GB"/>
        </w:rPr>
        <w:tab/>
      </w:r>
      <w:r w:rsidRPr="00005251">
        <w:rPr>
          <w:rFonts w:eastAsiaTheme="minorEastAsia"/>
          <w:i/>
          <w:sz w:val="23"/>
          <w:szCs w:val="23"/>
          <w:rtl/>
          <w:lang w:val="en-GB"/>
        </w:rPr>
        <w:tab/>
      </w:r>
      <w:r w:rsidRPr="00005251">
        <w:rPr>
          <w:rFonts w:eastAsiaTheme="minorEastAsia"/>
          <w:i/>
          <w:sz w:val="23"/>
          <w:szCs w:val="23"/>
          <w:rtl/>
          <w:lang w:val="en-GB"/>
        </w:rPr>
        <w:tab/>
      </w:r>
      <w:r w:rsidRPr="00005251">
        <w:rPr>
          <w:rFonts w:eastAsiaTheme="minorEastAsia"/>
          <w:i/>
          <w:sz w:val="23"/>
          <w:szCs w:val="23"/>
          <w:rtl/>
          <w:lang w:val="en-GB"/>
        </w:rPr>
        <w:tab/>
      </w:r>
      <w:r w:rsidRPr="00005251">
        <w:rPr>
          <w:rFonts w:eastAsiaTheme="minorEastAsia"/>
          <w:i/>
          <w:sz w:val="23"/>
          <w:szCs w:val="23"/>
          <w:rtl/>
          <w:lang w:val="en-GB"/>
        </w:rPr>
        <w:tab/>
      </w:r>
      <w:r w:rsidRPr="00005251">
        <w:rPr>
          <w:rFonts w:eastAsiaTheme="minorEastAsia"/>
          <w:i/>
          <w:sz w:val="23"/>
          <w:szCs w:val="23"/>
          <w:rtl/>
          <w:lang w:val="en-GB"/>
        </w:rPr>
        <w:tab/>
      </w:r>
      <w:r w:rsidRPr="00005251">
        <w:rPr>
          <w:rFonts w:eastAsiaTheme="minorEastAsia"/>
          <w:i/>
          <w:sz w:val="23"/>
          <w:szCs w:val="23"/>
          <w:rtl/>
          <w:lang w:val="en-GB"/>
        </w:rPr>
        <w:tab/>
      </w:r>
      <w:r>
        <w:rPr>
          <w:rFonts w:eastAsiaTheme="minorEastAsia"/>
          <w:i/>
          <w:sz w:val="23"/>
          <w:szCs w:val="23"/>
          <w:rtl/>
          <w:lang w:val="en-GB"/>
        </w:rPr>
        <w:tab/>
      </w:r>
      <w:r>
        <w:rPr>
          <w:rFonts w:eastAsiaTheme="minorEastAsia"/>
          <w:i/>
          <w:sz w:val="23"/>
          <w:szCs w:val="23"/>
          <w:rtl/>
          <w:lang w:val="en-GB"/>
        </w:rPr>
        <w:tab/>
      </w:r>
      <w:r w:rsidRPr="00005251">
        <w:rPr>
          <w:rFonts w:eastAsiaTheme="minorEastAsia"/>
          <w:i/>
          <w:sz w:val="23"/>
          <w:szCs w:val="23"/>
          <w:rtl/>
          <w:lang w:val="en-GB"/>
        </w:rPr>
        <w:tab/>
      </w:r>
      <w:r w:rsidRPr="00005251">
        <w:rPr>
          <w:rFonts w:eastAsiaTheme="minorEastAsia"/>
          <w:i/>
          <w:sz w:val="23"/>
          <w:szCs w:val="23"/>
          <w:lang w:val="en-GB"/>
        </w:rPr>
        <w:tab/>
      </w:r>
      <w:r w:rsidRPr="00005251">
        <w:rPr>
          <w:rFonts w:eastAsiaTheme="minorEastAsia"/>
          <w:i/>
          <w:sz w:val="23"/>
          <w:szCs w:val="23"/>
          <w:lang w:val="en-GB"/>
        </w:rPr>
        <w:tab/>
      </w:r>
      <w:r w:rsidRPr="00005251">
        <w:rPr>
          <w:rFonts w:eastAsiaTheme="minorEastAsia" w:hint="cs"/>
          <w:i/>
          <w:sz w:val="23"/>
          <w:szCs w:val="23"/>
          <w:rtl/>
          <w:lang w:val="en-GB"/>
        </w:rPr>
        <w:t>(۴. ۱)</w:t>
      </w:r>
    </w:p>
    <w:bookmarkStart w:id="6" w:name="MTBlankEqn"/>
    <w:p w14:paraId="28FEF8AF" w14:textId="77777777" w:rsidR="00411620" w:rsidRPr="00005251" w:rsidRDefault="00411620" w:rsidP="00411620">
      <w:pPr>
        <w:bidi w:val="0"/>
        <w:spacing w:line="216" w:lineRule="auto"/>
        <w:rPr>
          <w:rFonts w:eastAsiaTheme="minorEastAsia"/>
          <w:i/>
          <w:sz w:val="23"/>
          <w:szCs w:val="23"/>
          <w:rtl/>
        </w:rPr>
      </w:pPr>
      <w:r w:rsidRPr="00005251">
        <w:rPr>
          <w:position w:val="-10"/>
        </w:rPr>
        <w:object w:dxaOrig="3240" w:dyaOrig="320" w14:anchorId="6EAE2C65">
          <v:shape id="_x0000_i1967" type="#_x0000_t75" style="width:162.15pt;height:15.75pt" o:ole="">
            <v:imagedata r:id="rId1918" o:title=""/>
          </v:shape>
          <o:OLEObject Type="Embed" ProgID="Equation.DSMT4" ShapeID="_x0000_i1967" DrawAspect="Content" ObjectID="_1791375911" r:id="rId1919"/>
        </w:object>
      </w:r>
      <w:bookmarkEnd w:id="6"/>
      <w:r w:rsidRPr="00005251">
        <w:rPr>
          <w:rFonts w:eastAsiaTheme="minorEastAsia"/>
          <w:i/>
          <w:sz w:val="23"/>
          <w:szCs w:val="23"/>
        </w:rPr>
        <w:t xml:space="preserve"> </w:t>
      </w:r>
      <w:r w:rsidRPr="00005251">
        <w:rPr>
          <w:rFonts w:eastAsiaTheme="minorEastAsia"/>
          <w:i/>
          <w:sz w:val="23"/>
          <w:szCs w:val="23"/>
          <w:rtl/>
        </w:rPr>
        <w:tab/>
      </w:r>
      <w:r w:rsidRPr="00005251">
        <w:rPr>
          <w:rFonts w:eastAsiaTheme="minorEastAsia"/>
          <w:i/>
          <w:sz w:val="23"/>
          <w:szCs w:val="23"/>
          <w:rtl/>
        </w:rPr>
        <w:tab/>
      </w:r>
      <w:r w:rsidRPr="00005251">
        <w:rPr>
          <w:rFonts w:eastAsiaTheme="minorEastAsia"/>
          <w:i/>
          <w:sz w:val="23"/>
          <w:szCs w:val="23"/>
          <w:rtl/>
        </w:rPr>
        <w:tab/>
      </w:r>
      <w:r w:rsidRPr="00005251">
        <w:rPr>
          <w:rFonts w:eastAsiaTheme="minorEastAsia"/>
          <w:i/>
          <w:sz w:val="23"/>
          <w:szCs w:val="23"/>
          <w:rtl/>
        </w:rPr>
        <w:tab/>
      </w:r>
      <w:r w:rsidRPr="00005251">
        <w:rPr>
          <w:rFonts w:eastAsiaTheme="minorEastAsia"/>
          <w:i/>
          <w:sz w:val="23"/>
          <w:szCs w:val="23"/>
          <w:rtl/>
        </w:rPr>
        <w:tab/>
      </w:r>
      <w:r>
        <w:rPr>
          <w:rFonts w:eastAsiaTheme="minorEastAsia"/>
          <w:i/>
          <w:sz w:val="23"/>
          <w:szCs w:val="23"/>
          <w:rtl/>
        </w:rPr>
        <w:tab/>
      </w:r>
      <w:r w:rsidRPr="00005251">
        <w:rPr>
          <w:rFonts w:eastAsiaTheme="minorEastAsia"/>
          <w:i/>
          <w:sz w:val="23"/>
          <w:szCs w:val="23"/>
          <w:rtl/>
        </w:rPr>
        <w:tab/>
      </w:r>
      <w:r>
        <w:rPr>
          <w:rFonts w:eastAsiaTheme="minorEastAsia"/>
          <w:i/>
          <w:sz w:val="23"/>
          <w:szCs w:val="23"/>
          <w:rtl/>
        </w:rPr>
        <w:tab/>
      </w:r>
      <w:r>
        <w:rPr>
          <w:rFonts w:eastAsiaTheme="minorEastAsia"/>
          <w:i/>
          <w:sz w:val="23"/>
          <w:szCs w:val="23"/>
          <w:rtl/>
        </w:rPr>
        <w:tab/>
      </w:r>
      <w:r w:rsidRPr="00005251">
        <w:rPr>
          <w:rFonts w:eastAsiaTheme="minorEastAsia"/>
          <w:i/>
          <w:sz w:val="23"/>
          <w:szCs w:val="23"/>
          <w:rtl/>
        </w:rPr>
        <w:tab/>
      </w:r>
      <w:r w:rsidRPr="00005251">
        <w:rPr>
          <w:rFonts w:eastAsiaTheme="minorEastAsia" w:hint="cs"/>
          <w:i/>
          <w:sz w:val="23"/>
          <w:szCs w:val="23"/>
          <w:rtl/>
        </w:rPr>
        <w:t>(۴. ۲)</w:t>
      </w:r>
      <w:r w:rsidRPr="00005251">
        <w:rPr>
          <w:rFonts w:eastAsiaTheme="minorEastAsia"/>
          <w:i/>
          <w:sz w:val="23"/>
          <w:szCs w:val="23"/>
        </w:rPr>
        <w:t xml:space="preserve"> </w:t>
      </w:r>
    </w:p>
    <w:p w14:paraId="589709B2"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و یا</w:t>
      </w:r>
      <w:r w:rsidRPr="00005251">
        <w:rPr>
          <w:rFonts w:eastAsiaTheme="minorEastAsia"/>
          <w:i/>
          <w:sz w:val="23"/>
          <w:szCs w:val="23"/>
        </w:rPr>
        <w:t xml:space="preserve"> </w:t>
      </w:r>
      <w:r w:rsidRPr="00005251">
        <w:rPr>
          <w:rFonts w:eastAsiaTheme="minorEastAsia"/>
          <w:i/>
          <w:sz w:val="23"/>
          <w:szCs w:val="23"/>
        </w:rPr>
        <w:tab/>
      </w:r>
      <w:r w:rsidRPr="00005251">
        <w:rPr>
          <w:rFonts w:eastAsiaTheme="minorEastAsia"/>
          <w:i/>
          <w:sz w:val="23"/>
          <w:szCs w:val="23"/>
        </w:rPr>
        <w:tab/>
      </w:r>
    </w:p>
    <w:p w14:paraId="355BCD61" w14:textId="77777777" w:rsidR="00411620" w:rsidRPr="00005251" w:rsidRDefault="00411620" w:rsidP="00411620">
      <w:pPr>
        <w:bidi w:val="0"/>
        <w:spacing w:line="216" w:lineRule="auto"/>
        <w:jc w:val="left"/>
        <w:rPr>
          <w:rFonts w:eastAsiaTheme="minorEastAsia"/>
          <w:i/>
          <w:sz w:val="23"/>
          <w:szCs w:val="23"/>
          <w:rtl/>
        </w:rPr>
      </w:pPr>
      <w:r w:rsidRPr="00005251">
        <w:rPr>
          <w:position w:val="-12"/>
        </w:rPr>
        <w:object w:dxaOrig="2799" w:dyaOrig="360" w14:anchorId="2AEA075E">
          <v:shape id="_x0000_i1968" type="#_x0000_t75" style="width:139.75pt;height:18.15pt" o:ole="">
            <v:imagedata r:id="rId1920" o:title=""/>
          </v:shape>
          <o:OLEObject Type="Embed" ProgID="Equation.DSMT4" ShapeID="_x0000_i1968" DrawAspect="Content" ObjectID="_1791375912" r:id="rId1921"/>
        </w:object>
      </w:r>
      <w:r w:rsidRPr="00005251">
        <w:rPr>
          <w:i/>
          <w:sz w:val="23"/>
          <w:szCs w:val="23"/>
        </w:rPr>
        <w:tab/>
      </w:r>
      <w:r w:rsidRPr="00005251">
        <w:rPr>
          <w:i/>
          <w:sz w:val="23"/>
          <w:szCs w:val="23"/>
        </w:rPr>
        <w:tab/>
      </w:r>
      <w:r w:rsidRPr="00005251">
        <w:rPr>
          <w:i/>
          <w:sz w:val="23"/>
          <w:szCs w:val="23"/>
        </w:rPr>
        <w:tab/>
      </w:r>
      <w:r w:rsidRPr="00005251">
        <w:rPr>
          <w:i/>
          <w:sz w:val="23"/>
          <w:szCs w:val="23"/>
        </w:rPr>
        <w:tab/>
      </w:r>
      <w:r w:rsidRPr="00005251">
        <w:rPr>
          <w:i/>
          <w:sz w:val="23"/>
          <w:szCs w:val="23"/>
        </w:rPr>
        <w:tab/>
      </w:r>
      <w:r w:rsidRPr="00005251">
        <w:rPr>
          <w:i/>
          <w:sz w:val="23"/>
          <w:szCs w:val="23"/>
        </w:rPr>
        <w:tab/>
      </w:r>
      <w:r w:rsidRPr="00005251">
        <w:rPr>
          <w:i/>
          <w:sz w:val="23"/>
          <w:szCs w:val="23"/>
        </w:rPr>
        <w:tab/>
      </w:r>
      <w:r w:rsidRPr="00005251">
        <w:rPr>
          <w:i/>
          <w:sz w:val="23"/>
          <w:szCs w:val="23"/>
        </w:rPr>
        <w:tab/>
      </w:r>
      <w:r>
        <w:rPr>
          <w:i/>
          <w:sz w:val="23"/>
          <w:szCs w:val="23"/>
          <w:rtl/>
        </w:rPr>
        <w:tab/>
      </w:r>
      <w:r>
        <w:rPr>
          <w:i/>
          <w:sz w:val="23"/>
          <w:szCs w:val="23"/>
          <w:rtl/>
        </w:rPr>
        <w:tab/>
      </w:r>
      <w:r>
        <w:rPr>
          <w:i/>
          <w:sz w:val="23"/>
          <w:szCs w:val="23"/>
          <w:rtl/>
        </w:rPr>
        <w:tab/>
      </w:r>
      <w:r w:rsidRPr="00005251">
        <w:rPr>
          <w:i/>
          <w:sz w:val="23"/>
          <w:szCs w:val="23"/>
        </w:rPr>
        <w:tab/>
        <w:t>(</w:t>
      </w:r>
      <w:r w:rsidRPr="00005251">
        <w:rPr>
          <w:rFonts w:eastAsiaTheme="minorEastAsia" w:hint="cs"/>
          <w:i/>
          <w:sz w:val="23"/>
          <w:szCs w:val="23"/>
          <w:rtl/>
        </w:rPr>
        <w:t>(۴. ۳</w:t>
      </w:r>
    </w:p>
    <w:p w14:paraId="1DE2C24E"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در قید بودجه</w:t>
      </w:r>
      <w:r w:rsidRPr="00005251">
        <w:rPr>
          <w:rFonts w:eastAsiaTheme="minorEastAsia"/>
          <w:i/>
          <w:sz w:val="23"/>
          <w:szCs w:val="23"/>
          <w:rtl/>
        </w:rPr>
        <w:softHyphen/>
      </w:r>
      <w:r w:rsidRPr="00005251">
        <w:rPr>
          <w:rFonts w:eastAsiaTheme="minorEastAsia" w:hint="cs"/>
          <w:i/>
          <w:sz w:val="23"/>
          <w:szCs w:val="23"/>
          <w:rtl/>
        </w:rPr>
        <w:t>ی</w:t>
      </w:r>
      <w:r w:rsidRPr="00005251">
        <w:rPr>
          <w:rFonts w:eastAsiaTheme="minorEastAsia"/>
          <w:i/>
          <w:sz w:val="23"/>
          <w:szCs w:val="23"/>
          <w:rtl/>
        </w:rPr>
        <w:t xml:space="preserve"> </w:t>
      </w:r>
      <w:r w:rsidRPr="00005251">
        <w:rPr>
          <w:rFonts w:eastAsiaTheme="minorEastAsia" w:hint="cs"/>
          <w:i/>
          <w:sz w:val="23"/>
          <w:szCs w:val="23"/>
          <w:rtl/>
        </w:rPr>
        <w:t>(۴. ۲) متغیر</w:t>
      </w:r>
      <w:r w:rsidRPr="00005251">
        <w:rPr>
          <w:position w:val="-10"/>
        </w:rPr>
        <w:object w:dxaOrig="240" w:dyaOrig="320" w14:anchorId="6F29718B">
          <v:shape id="_x0000_i1969" type="#_x0000_t75" style="width:12.1pt;height:15.75pt" o:ole="">
            <v:imagedata r:id="rId1922" o:title=""/>
          </v:shape>
          <o:OLEObject Type="Embed" ProgID="Equation.DSMT4" ShapeID="_x0000_i1969" DrawAspect="Content" ObjectID="_1791375913" r:id="rId1923"/>
        </w:object>
      </w:r>
      <w:r w:rsidRPr="00005251">
        <w:rPr>
          <w:rFonts w:eastAsiaTheme="minorEastAsia" w:hint="cs"/>
          <w:i/>
          <w:sz w:val="23"/>
          <w:szCs w:val="23"/>
          <w:rtl/>
          <w:lang w:val="en-GB"/>
        </w:rPr>
        <w:t xml:space="preserve"> </w:t>
      </w:r>
      <w:r w:rsidRPr="00005251">
        <w:rPr>
          <w:rFonts w:eastAsiaTheme="minorEastAsia" w:hint="cs"/>
          <w:i/>
          <w:sz w:val="23"/>
          <w:szCs w:val="23"/>
          <w:rtl/>
        </w:rPr>
        <w:t>دارایی مالی است. اگر</w:t>
      </w:r>
      <w:r w:rsidRPr="00005251">
        <w:rPr>
          <w:position w:val="-10"/>
        </w:rPr>
        <w:object w:dxaOrig="600" w:dyaOrig="320" w14:anchorId="23F5DDE1">
          <v:shape id="_x0000_i1970" type="#_x0000_t75" style="width:30.25pt;height:15.75pt" o:ole="">
            <v:imagedata r:id="rId1924" o:title=""/>
          </v:shape>
          <o:OLEObject Type="Embed" ProgID="Equation.DSMT4" ShapeID="_x0000_i1970" DrawAspect="Content" ObjectID="_1791375914" r:id="rId1925"/>
        </w:object>
      </w:r>
      <w:r w:rsidRPr="00005251">
        <w:rPr>
          <w:rFonts w:eastAsiaTheme="minorEastAsia" w:hint="cs"/>
          <w:i/>
          <w:sz w:val="23"/>
          <w:szCs w:val="23"/>
          <w:rtl/>
        </w:rPr>
        <w:t xml:space="preserve"> باشد آنگاه خانوار وام دهنده و اگر</w:t>
      </w:r>
      <w:r w:rsidRPr="00005251">
        <w:rPr>
          <w:position w:val="-10"/>
        </w:rPr>
        <w:object w:dxaOrig="600" w:dyaOrig="320" w14:anchorId="2A4DC84C">
          <v:shape id="_x0000_i1971" type="#_x0000_t75" style="width:30.25pt;height:15.75pt" o:ole="">
            <v:imagedata r:id="rId1926" o:title=""/>
          </v:shape>
          <o:OLEObject Type="Embed" ProgID="Equation.DSMT4" ShapeID="_x0000_i1971" DrawAspect="Content" ObjectID="_1791375915" r:id="rId1927"/>
        </w:object>
      </w:r>
      <w:r w:rsidRPr="00005251">
        <w:rPr>
          <w:rFonts w:eastAsiaTheme="minorEastAsia" w:hint="cs"/>
          <w:i/>
          <w:sz w:val="23"/>
          <w:szCs w:val="23"/>
          <w:rtl/>
        </w:rPr>
        <w:t xml:space="preserve"> باشد، خانوار وام گیرنده است.</w:t>
      </w:r>
      <w:r w:rsidRPr="00005251">
        <w:rPr>
          <w:position w:val="-10"/>
        </w:rPr>
        <w:object w:dxaOrig="180" w:dyaOrig="320" w14:anchorId="0509D0FF">
          <v:shape id="_x0000_i1972" type="#_x0000_t75" style="width:9.1pt;height:15.75pt" o:ole="">
            <v:imagedata r:id="rId1928" o:title=""/>
          </v:shape>
          <o:OLEObject Type="Embed" ProgID="Equation.DSMT4" ShapeID="_x0000_i1972" DrawAspect="Content" ObjectID="_1791375916" r:id="rId1929"/>
        </w:object>
      </w:r>
      <w:r w:rsidRPr="00005251">
        <w:rPr>
          <w:rFonts w:eastAsiaTheme="minorEastAsia" w:hint="cs"/>
          <w:i/>
          <w:sz w:val="23"/>
          <w:szCs w:val="23"/>
          <w:rtl/>
        </w:rPr>
        <w:t xml:space="preserve"> نرخ بهره</w:t>
      </w:r>
      <w:r w:rsidRPr="00005251">
        <w:rPr>
          <w:rFonts w:eastAsiaTheme="minorEastAsia"/>
          <w:i/>
          <w:sz w:val="23"/>
          <w:szCs w:val="23"/>
          <w:rtl/>
        </w:rPr>
        <w:softHyphen/>
      </w:r>
      <w:r w:rsidRPr="00005251">
        <w:rPr>
          <w:rFonts w:eastAsiaTheme="minorEastAsia" w:hint="cs"/>
          <w:i/>
          <w:sz w:val="23"/>
          <w:szCs w:val="23"/>
          <w:rtl/>
        </w:rPr>
        <w:t>ی دارایی</w:t>
      </w:r>
      <w:r w:rsidRPr="00005251">
        <w:rPr>
          <w:rFonts w:eastAsiaTheme="minorEastAsia"/>
          <w:i/>
          <w:sz w:val="23"/>
          <w:szCs w:val="23"/>
          <w:rtl/>
        </w:rPr>
        <w:softHyphen/>
      </w:r>
      <w:r w:rsidRPr="00005251">
        <w:rPr>
          <w:rFonts w:eastAsiaTheme="minorEastAsia" w:hint="cs"/>
          <w:i/>
          <w:sz w:val="23"/>
          <w:szCs w:val="23"/>
          <w:rtl/>
        </w:rPr>
        <w:t>های مالی است که در ابتدای دوره</w:t>
      </w:r>
      <w:r w:rsidRPr="00005251">
        <w:rPr>
          <w:rFonts w:eastAsiaTheme="minorEastAsia"/>
          <w:i/>
          <w:sz w:val="23"/>
          <w:szCs w:val="23"/>
          <w:rtl/>
        </w:rPr>
        <w:softHyphen/>
      </w:r>
      <w:r w:rsidRPr="00005251">
        <w:rPr>
          <w:rFonts w:eastAsiaTheme="minorEastAsia" w:hint="cs"/>
          <w:i/>
          <w:sz w:val="23"/>
          <w:szCs w:val="23"/>
          <w:rtl/>
        </w:rPr>
        <w:t>ی زمانی</w:t>
      </w:r>
      <w:r w:rsidRPr="00005251">
        <w:rPr>
          <w:position w:val="-6"/>
        </w:rPr>
        <w:object w:dxaOrig="139" w:dyaOrig="240" w14:anchorId="64A381C1">
          <v:shape id="_x0000_i1973" type="#_x0000_t75" style="width:7.25pt;height:12.1pt" o:ole="">
            <v:imagedata r:id="rId1930" o:title=""/>
          </v:shape>
          <o:OLEObject Type="Embed" ProgID="Equation.DSMT4" ShapeID="_x0000_i1973" DrawAspect="Content" ObjectID="_1791375917" r:id="rId1931"/>
        </w:object>
      </w:r>
      <w:r w:rsidRPr="00005251">
        <w:rPr>
          <w:rFonts w:eastAsiaTheme="minorEastAsia" w:hint="cs"/>
          <w:i/>
          <w:sz w:val="23"/>
          <w:szCs w:val="23"/>
          <w:rtl/>
        </w:rPr>
        <w:t xml:space="preserve"> پرداخت می‌شود. متغیر</w:t>
      </w:r>
      <w:r w:rsidRPr="00005251">
        <w:rPr>
          <w:rFonts w:eastAsiaTheme="minorEastAsia"/>
          <w:i/>
          <w:sz w:val="23"/>
          <w:szCs w:val="23"/>
        </w:rPr>
        <w:t xml:space="preserve"> </w:t>
      </w:r>
      <w:r w:rsidRPr="00005251">
        <w:rPr>
          <w:position w:val="-10"/>
        </w:rPr>
        <w:object w:dxaOrig="240" w:dyaOrig="320" w14:anchorId="6FB5AF03">
          <v:shape id="_x0000_i1974" type="#_x0000_t75" style="width:12.1pt;height:15.75pt" o:ole="">
            <v:imagedata r:id="rId1932" o:title=""/>
          </v:shape>
          <o:OLEObject Type="Embed" ProgID="Equation.DSMT4" ShapeID="_x0000_i1974" DrawAspect="Content" ObjectID="_1791375918" r:id="rId1933"/>
        </w:object>
      </w:r>
      <w:r w:rsidRPr="00005251">
        <w:rPr>
          <w:rFonts w:eastAsiaTheme="minorEastAsia" w:hint="cs"/>
          <w:i/>
          <w:sz w:val="23"/>
          <w:szCs w:val="23"/>
          <w:rtl/>
        </w:rPr>
        <w:t>درآمد خانوار است و فرض می‌شود برون</w:t>
      </w:r>
      <w:r w:rsidRPr="00005251">
        <w:rPr>
          <w:rFonts w:eastAsiaTheme="minorEastAsia"/>
          <w:i/>
          <w:sz w:val="23"/>
          <w:szCs w:val="23"/>
          <w:rtl/>
        </w:rPr>
        <w:softHyphen/>
      </w:r>
      <w:r w:rsidRPr="00005251">
        <w:rPr>
          <w:rFonts w:eastAsiaTheme="minorEastAsia" w:hint="cs"/>
          <w:i/>
          <w:sz w:val="23"/>
          <w:szCs w:val="23"/>
          <w:rtl/>
        </w:rPr>
        <w:t>زاست. همه متغیرها حقیقی هستند. سمت راست رابطه</w:t>
      </w:r>
      <w:r w:rsidRPr="00005251">
        <w:rPr>
          <w:rFonts w:eastAsiaTheme="minorEastAsia"/>
          <w:i/>
          <w:sz w:val="23"/>
          <w:szCs w:val="23"/>
          <w:rtl/>
        </w:rPr>
        <w:softHyphen/>
      </w:r>
      <w:r w:rsidRPr="00005251">
        <w:rPr>
          <w:rFonts w:eastAsiaTheme="minorEastAsia" w:hint="cs"/>
          <w:i/>
          <w:sz w:val="23"/>
          <w:szCs w:val="23"/>
          <w:rtl/>
        </w:rPr>
        <w:t>ی</w:t>
      </w:r>
      <w:r w:rsidRPr="00005251">
        <w:rPr>
          <w:rFonts w:eastAsiaTheme="minorEastAsia"/>
          <w:i/>
          <w:sz w:val="23"/>
          <w:szCs w:val="23"/>
          <w:rtl/>
        </w:rPr>
        <w:t xml:space="preserve"> </w:t>
      </w:r>
      <w:r w:rsidRPr="00005251">
        <w:rPr>
          <w:rFonts w:eastAsiaTheme="minorEastAsia" w:hint="cs"/>
          <w:i/>
          <w:sz w:val="23"/>
          <w:szCs w:val="23"/>
          <w:rtl/>
        </w:rPr>
        <w:t>(۴. ۲) کل درآمد خانوار و سمت چپ آن کل مخارج مصرفی بعلاوه تغییر در دارایی</w:t>
      </w:r>
      <w:r w:rsidRPr="00005251">
        <w:rPr>
          <w:rFonts w:eastAsiaTheme="minorEastAsia"/>
          <w:i/>
          <w:sz w:val="23"/>
          <w:szCs w:val="23"/>
          <w:rtl/>
        </w:rPr>
        <w:softHyphen/>
      </w:r>
      <w:r w:rsidRPr="00005251">
        <w:rPr>
          <w:rFonts w:eastAsiaTheme="minorEastAsia" w:hint="cs"/>
          <w:i/>
          <w:sz w:val="23"/>
          <w:szCs w:val="23"/>
          <w:rtl/>
        </w:rPr>
        <w:t>های مالی یا پس</w:t>
      </w:r>
      <w:r w:rsidRPr="00005251">
        <w:rPr>
          <w:rFonts w:eastAsiaTheme="minorEastAsia"/>
          <w:i/>
          <w:sz w:val="23"/>
          <w:szCs w:val="23"/>
          <w:rtl/>
        </w:rPr>
        <w:softHyphen/>
      </w:r>
      <w:r w:rsidRPr="00005251">
        <w:rPr>
          <w:rFonts w:eastAsiaTheme="minorEastAsia" w:hint="cs"/>
          <w:i/>
          <w:sz w:val="23"/>
          <w:szCs w:val="23"/>
          <w:rtl/>
        </w:rPr>
        <w:t>انداز است. از آنجاکه در دارایی</w:t>
      </w:r>
      <w:r w:rsidRPr="00005251">
        <w:rPr>
          <w:rFonts w:eastAsiaTheme="minorEastAsia"/>
          <w:i/>
          <w:sz w:val="23"/>
          <w:szCs w:val="23"/>
          <w:rtl/>
        </w:rPr>
        <w:softHyphen/>
      </w:r>
      <w:r w:rsidRPr="00005251">
        <w:rPr>
          <w:rFonts w:eastAsiaTheme="minorEastAsia" w:hint="cs"/>
          <w:i/>
          <w:sz w:val="23"/>
          <w:szCs w:val="23"/>
          <w:rtl/>
        </w:rPr>
        <w:t>های مالی</w:t>
      </w:r>
      <w:r w:rsidRPr="00005251">
        <w:rPr>
          <w:position w:val="-10"/>
        </w:rPr>
        <w:object w:dxaOrig="240" w:dyaOrig="320" w14:anchorId="2808077E">
          <v:shape id="_x0000_i1975" type="#_x0000_t75" style="width:12.1pt;height:15.75pt" o:ole="">
            <v:imagedata r:id="rId1934" o:title=""/>
          </v:shape>
          <o:OLEObject Type="Embed" ProgID="Equation.DSMT4" ShapeID="_x0000_i1975" DrawAspect="Content" ObjectID="_1791375919" r:id="rId1935"/>
        </w:object>
      </w:r>
      <w:r w:rsidRPr="00005251">
        <w:rPr>
          <w:rFonts w:eastAsiaTheme="minorEastAsia" w:hint="cs"/>
          <w:i/>
          <w:sz w:val="23"/>
          <w:szCs w:val="23"/>
          <w:rtl/>
        </w:rPr>
        <w:t xml:space="preserve"> در ابتدای دوره</w:t>
      </w:r>
      <w:r w:rsidRPr="00005251">
        <w:rPr>
          <w:rFonts w:eastAsiaTheme="minorEastAsia"/>
          <w:i/>
          <w:sz w:val="23"/>
          <w:szCs w:val="23"/>
          <w:rtl/>
        </w:rPr>
        <w:softHyphen/>
      </w:r>
      <w:r w:rsidRPr="00005251">
        <w:rPr>
          <w:rFonts w:eastAsiaTheme="minorEastAsia" w:hint="cs"/>
          <w:i/>
          <w:sz w:val="23"/>
          <w:szCs w:val="23"/>
          <w:rtl/>
        </w:rPr>
        <w:t xml:space="preserve">ی زمانی </w:t>
      </w:r>
      <w:r w:rsidRPr="00005251">
        <w:rPr>
          <w:rFonts w:eastAsiaTheme="minorEastAsia"/>
          <w:i/>
          <w:sz w:val="23"/>
          <w:szCs w:val="23"/>
        </w:rPr>
        <w:t>t</w:t>
      </w:r>
      <w:r w:rsidRPr="00005251">
        <w:rPr>
          <w:rFonts w:eastAsiaTheme="minorEastAsia" w:hint="cs"/>
          <w:i/>
          <w:sz w:val="23"/>
          <w:szCs w:val="23"/>
          <w:rtl/>
        </w:rPr>
        <w:t xml:space="preserve"> معلوم و داده شده است (که همان</w:t>
      </w:r>
      <w:r w:rsidRPr="00005251">
        <w:rPr>
          <w:position w:val="-10"/>
        </w:rPr>
        <w:object w:dxaOrig="220" w:dyaOrig="320" w14:anchorId="57143AEC">
          <v:shape id="_x0000_i1976" type="#_x0000_t75" style="width:10.9pt;height:15.75pt" o:ole="">
            <v:imagedata r:id="rId1936" o:title=""/>
          </v:shape>
          <o:OLEObject Type="Embed" ProgID="Equation.DSMT4" ShapeID="_x0000_i1976" DrawAspect="Content" ObjectID="_1791375920" r:id="rId1937"/>
        </w:object>
      </w:r>
      <w:r w:rsidRPr="00005251">
        <w:rPr>
          <w:rFonts w:eastAsiaTheme="minorEastAsia" w:hint="cs"/>
          <w:i/>
          <w:sz w:val="23"/>
          <w:szCs w:val="23"/>
          <w:rtl/>
        </w:rPr>
        <w:t xml:space="preserve"> بنگاه است)، لذا خانوار مقادیر</w:t>
      </w:r>
      <w:r w:rsidRPr="00005251">
        <w:rPr>
          <w:position w:val="-10"/>
        </w:rPr>
        <w:object w:dxaOrig="780" w:dyaOrig="320" w14:anchorId="3E255AE2">
          <v:shape id="_x0000_i1977" type="#_x0000_t75" style="width:38.7pt;height:15.75pt" o:ole="">
            <v:imagedata r:id="rId1938" o:title=""/>
          </v:shape>
          <o:OLEObject Type="Embed" ProgID="Equation.DSMT4" ShapeID="_x0000_i1977" DrawAspect="Content" ObjectID="_1791375921" r:id="rId1939"/>
        </w:object>
      </w:r>
      <w:r w:rsidRPr="00005251">
        <w:rPr>
          <w:rFonts w:eastAsiaTheme="minorEastAsia" w:hint="cs"/>
          <w:i/>
          <w:sz w:val="23"/>
          <w:szCs w:val="23"/>
          <w:rtl/>
        </w:rPr>
        <w:t xml:space="preserve">، </w:t>
      </w:r>
      <w:r w:rsidRPr="00005251">
        <w:rPr>
          <w:position w:val="-10"/>
        </w:rPr>
        <w:object w:dxaOrig="920" w:dyaOrig="320" w14:anchorId="3A1C6033">
          <v:shape id="_x0000_i1978" type="#_x0000_t75" style="width:46pt;height:15.75pt" o:ole="">
            <v:imagedata r:id="rId1940" o:title=""/>
          </v:shape>
          <o:OLEObject Type="Embed" ProgID="Equation.DSMT4" ShapeID="_x0000_i1978" DrawAspect="Content" ObjectID="_1791375922" r:id="rId1941"/>
        </w:object>
      </w:r>
      <w:r w:rsidRPr="00005251">
        <w:rPr>
          <w:rFonts w:eastAsiaTheme="minorEastAsia" w:hint="cs"/>
          <w:i/>
          <w:sz w:val="23"/>
          <w:szCs w:val="23"/>
          <w:rtl/>
        </w:rPr>
        <w:t xml:space="preserve"> و ... و</w:t>
      </w:r>
      <w:r w:rsidRPr="00005251">
        <w:rPr>
          <w:rFonts w:eastAsiaTheme="minorEastAsia"/>
          <w:i/>
          <w:sz w:val="23"/>
          <w:szCs w:val="23"/>
        </w:rPr>
        <w:t xml:space="preserve"> </w:t>
      </w:r>
      <w:r w:rsidRPr="00005251">
        <w:rPr>
          <w:rFonts w:eastAsiaTheme="minorEastAsia" w:hint="cs"/>
          <w:i/>
          <w:sz w:val="23"/>
          <w:szCs w:val="23"/>
          <w:rtl/>
        </w:rPr>
        <w:t>همان</w:t>
      </w:r>
      <w:r w:rsidRPr="00005251">
        <w:rPr>
          <w:rFonts w:eastAsiaTheme="minorEastAsia"/>
          <w:i/>
          <w:sz w:val="23"/>
          <w:szCs w:val="23"/>
          <w:rtl/>
        </w:rPr>
        <w:softHyphen/>
      </w:r>
      <w:r w:rsidRPr="00005251">
        <w:rPr>
          <w:rFonts w:eastAsiaTheme="minorEastAsia" w:hint="cs"/>
          <w:i/>
          <w:sz w:val="23"/>
          <w:szCs w:val="23"/>
          <w:rtl/>
        </w:rPr>
        <w:t xml:space="preserve">گونه که در فصل دوم اشاره شد درواقع مقادیر </w:t>
      </w:r>
      <w:r w:rsidRPr="00005251">
        <w:rPr>
          <w:position w:val="-10"/>
        </w:rPr>
        <w:object w:dxaOrig="999" w:dyaOrig="320" w14:anchorId="6DA36508">
          <v:shape id="_x0000_i1979" type="#_x0000_t75" style="width:50.2pt;height:15.75pt" o:ole="">
            <v:imagedata r:id="rId1942" o:title=""/>
          </v:shape>
          <o:OLEObject Type="Embed" ProgID="Equation.DSMT4" ShapeID="_x0000_i1979" DrawAspect="Content" ObjectID="_1791375923" r:id="rId1943"/>
        </w:object>
      </w:r>
      <w:r w:rsidRPr="00005251">
        <w:rPr>
          <w:rFonts w:eastAsiaTheme="minorEastAsia" w:hint="cs"/>
          <w:i/>
          <w:sz w:val="23"/>
          <w:szCs w:val="23"/>
          <w:rtl/>
        </w:rPr>
        <w:t xml:space="preserve"> را تعیین می</w:t>
      </w:r>
      <w:r w:rsidRPr="00005251">
        <w:rPr>
          <w:rFonts w:eastAsiaTheme="minorEastAsia"/>
          <w:i/>
          <w:sz w:val="23"/>
          <w:szCs w:val="23"/>
          <w:rtl/>
        </w:rPr>
        <w:softHyphen/>
      </w:r>
      <w:r w:rsidRPr="00005251">
        <w:rPr>
          <w:rFonts w:eastAsiaTheme="minorEastAsia" w:hint="cs"/>
          <w:i/>
          <w:sz w:val="23"/>
          <w:szCs w:val="23"/>
          <w:rtl/>
        </w:rPr>
        <w:t xml:space="preserve">کند. </w:t>
      </w:r>
    </w:p>
    <w:p w14:paraId="1F44E96E"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مهمترین تغییرات مدل اقتصادی نسبت به فصل دوم، جاگذاری</w:t>
      </w:r>
      <w:r w:rsidRPr="00005251">
        <w:rPr>
          <w:position w:val="-10"/>
        </w:rPr>
        <w:object w:dxaOrig="240" w:dyaOrig="320" w14:anchorId="3067E250">
          <v:shape id="_x0000_i1980" type="#_x0000_t75" style="width:12.1pt;height:15.75pt" o:ole="">
            <v:imagedata r:id="rId1944" o:title=""/>
          </v:shape>
          <o:OLEObject Type="Embed" ProgID="Equation.DSMT4" ShapeID="_x0000_i1980" DrawAspect="Content" ObjectID="_1791375924" r:id="rId1945"/>
        </w:object>
      </w:r>
      <w:r w:rsidRPr="00005251">
        <w:rPr>
          <w:rFonts w:eastAsiaTheme="minorEastAsia" w:hint="cs"/>
          <w:i/>
          <w:sz w:val="23"/>
          <w:szCs w:val="23"/>
          <w:rtl/>
        </w:rPr>
        <w:t xml:space="preserve"> به جای</w:t>
      </w:r>
      <w:r w:rsidRPr="00005251">
        <w:rPr>
          <w:position w:val="-10"/>
        </w:rPr>
        <w:object w:dxaOrig="220" w:dyaOrig="320" w14:anchorId="1C61DB06">
          <v:shape id="_x0000_i1981" type="#_x0000_t75" style="width:10.9pt;height:15.75pt" o:ole="">
            <v:imagedata r:id="rId1946" o:title=""/>
          </v:shape>
          <o:OLEObject Type="Embed" ProgID="Equation.DSMT4" ShapeID="_x0000_i1981" DrawAspect="Content" ObjectID="_1791375925" r:id="rId1947"/>
        </w:object>
      </w:r>
      <w:r w:rsidRPr="00005251">
        <w:rPr>
          <w:rFonts w:eastAsiaTheme="minorEastAsia" w:hint="cs"/>
          <w:i/>
          <w:sz w:val="23"/>
          <w:szCs w:val="23"/>
          <w:rtl/>
        </w:rPr>
        <w:t>، معرفی</w:t>
      </w:r>
      <w:r w:rsidRPr="00005251">
        <w:rPr>
          <w:position w:val="-10"/>
        </w:rPr>
        <w:object w:dxaOrig="180" w:dyaOrig="320" w14:anchorId="711C455A">
          <v:shape id="_x0000_i1982" type="#_x0000_t75" style="width:9.1pt;height:15.75pt" o:ole="">
            <v:imagedata r:id="rId1948" o:title=""/>
          </v:shape>
          <o:OLEObject Type="Embed" ProgID="Equation.DSMT4" ShapeID="_x0000_i1982" DrawAspect="Content" ObjectID="_1791375926" r:id="rId1949"/>
        </w:object>
      </w:r>
      <w:r w:rsidRPr="00005251">
        <w:rPr>
          <w:rFonts w:eastAsiaTheme="minorEastAsia" w:hint="cs"/>
          <w:i/>
          <w:sz w:val="23"/>
          <w:szCs w:val="23"/>
          <w:rtl/>
        </w:rPr>
        <w:t xml:space="preserve"> در مدل به طور صریح، و جایگزاری قید بودجه</w:t>
      </w:r>
      <w:r w:rsidRPr="00005251">
        <w:rPr>
          <w:rFonts w:eastAsiaTheme="minorEastAsia"/>
          <w:i/>
          <w:sz w:val="23"/>
          <w:szCs w:val="23"/>
          <w:rtl/>
        </w:rPr>
        <w:softHyphen/>
      </w:r>
      <w:r w:rsidRPr="00005251">
        <w:rPr>
          <w:rFonts w:eastAsiaTheme="minorEastAsia" w:hint="cs"/>
          <w:i/>
          <w:sz w:val="23"/>
          <w:szCs w:val="23"/>
          <w:rtl/>
        </w:rPr>
        <w:t>ی خانوار به جای قید منابع ملی است. با توجه به تابع هدف و قید بودجه</w:t>
      </w:r>
      <w:r w:rsidRPr="00005251">
        <w:rPr>
          <w:rFonts w:eastAsiaTheme="minorEastAsia"/>
          <w:i/>
          <w:sz w:val="23"/>
          <w:szCs w:val="23"/>
          <w:rtl/>
        </w:rPr>
        <w:softHyphen/>
      </w:r>
      <w:r w:rsidRPr="00005251">
        <w:rPr>
          <w:rFonts w:eastAsiaTheme="minorEastAsia" w:hint="cs"/>
          <w:i/>
          <w:sz w:val="23"/>
          <w:szCs w:val="23"/>
          <w:rtl/>
        </w:rPr>
        <w:t>ی خانوار لاگرانژین این مسئله را می‌توان به صورت زیر نوشت.</w:t>
      </w:r>
    </w:p>
    <w:p w14:paraId="31BBD231" w14:textId="77777777" w:rsidR="00411620" w:rsidRPr="00005251" w:rsidRDefault="00411620" w:rsidP="00411620">
      <w:pPr>
        <w:pStyle w:val="MTDisplayEquation"/>
        <w:spacing w:line="216" w:lineRule="auto"/>
        <w:jc w:val="left"/>
        <w:rPr>
          <w:rFonts w:ascii="Times New Roman" w:eastAsiaTheme="minorEastAsia" w:hAnsi="Times New Roman" w:cs="B Nazanin"/>
          <w:i/>
          <w:sz w:val="23"/>
          <w:szCs w:val="23"/>
          <w:rtl/>
        </w:rPr>
      </w:pPr>
      <w:r w:rsidRPr="00005251">
        <w:rPr>
          <w:position w:val="-26"/>
        </w:rPr>
        <w:object w:dxaOrig="5179" w:dyaOrig="620" w14:anchorId="649D752B">
          <v:shape id="_x0000_i1983" type="#_x0000_t75" style="width:258.95pt;height:31.45pt" o:ole="">
            <v:imagedata r:id="rId1950" o:title=""/>
          </v:shape>
          <o:OLEObject Type="Embed" ProgID="Equation.DSMT4" ShapeID="_x0000_i1983" DrawAspect="Content" ObjectID="_1791375927" r:id="rId1951"/>
        </w:object>
      </w:r>
    </w:p>
    <w:p w14:paraId="0D7B623E" w14:textId="77777777" w:rsidR="00411620" w:rsidRPr="00005251" w:rsidRDefault="00411620" w:rsidP="00411620">
      <w:pPr>
        <w:spacing w:line="216" w:lineRule="auto"/>
        <w:rPr>
          <w:rFonts w:eastAsiaTheme="minorEastAsia"/>
          <w:i/>
          <w:sz w:val="23"/>
          <w:szCs w:val="23"/>
        </w:rPr>
      </w:pPr>
      <w:r w:rsidRPr="00005251">
        <w:rPr>
          <w:rFonts w:eastAsiaTheme="minorEastAsia" w:hint="cs"/>
          <w:i/>
          <w:sz w:val="23"/>
          <w:szCs w:val="23"/>
          <w:rtl/>
        </w:rPr>
        <w:t>شرایط مرتبه</w:t>
      </w:r>
      <w:r w:rsidRPr="00005251">
        <w:rPr>
          <w:rFonts w:eastAsiaTheme="minorEastAsia"/>
          <w:i/>
          <w:sz w:val="23"/>
          <w:szCs w:val="23"/>
          <w:rtl/>
        </w:rPr>
        <w:softHyphen/>
      </w:r>
      <w:r w:rsidRPr="00005251">
        <w:rPr>
          <w:rFonts w:eastAsiaTheme="minorEastAsia" w:hint="cs"/>
          <w:i/>
          <w:sz w:val="23"/>
          <w:szCs w:val="23"/>
          <w:rtl/>
        </w:rPr>
        <w:t>ی اول عبارتند است از :</w:t>
      </w:r>
    </w:p>
    <w:p w14:paraId="5174A017"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lang w:val="en-GB"/>
        </w:rPr>
      </w:pPr>
      <w:r w:rsidRPr="00005251">
        <w:rPr>
          <w:position w:val="-28"/>
        </w:rPr>
        <w:object w:dxaOrig="3700" w:dyaOrig="620" w14:anchorId="07A4ECFC">
          <v:shape id="_x0000_i1984" type="#_x0000_t75" style="width:184.55pt;height:31.45pt" o:ole="">
            <v:imagedata r:id="rId1952" o:title=""/>
          </v:shape>
          <o:OLEObject Type="Embed" ProgID="Equation.DSMT4" ShapeID="_x0000_i1984" DrawAspect="Content" ObjectID="_1791375928" r:id="rId1953"/>
        </w:object>
      </w:r>
    </w:p>
    <w:p w14:paraId="022E7BB5" w14:textId="77777777" w:rsidR="00411620" w:rsidRPr="00005251" w:rsidRDefault="00411620" w:rsidP="00411620">
      <w:pPr>
        <w:pStyle w:val="MTDisplayEquation"/>
        <w:spacing w:line="216" w:lineRule="auto"/>
        <w:jc w:val="left"/>
        <w:rPr>
          <w:rFonts w:ascii="Times New Roman" w:eastAsiaTheme="minorEastAsia" w:hAnsi="Times New Roman" w:cs="B Nazanin"/>
          <w:i/>
          <w:sz w:val="23"/>
          <w:szCs w:val="23"/>
          <w:rtl/>
        </w:rPr>
      </w:pPr>
      <w:r w:rsidRPr="00005251">
        <w:rPr>
          <w:position w:val="-28"/>
        </w:rPr>
        <w:object w:dxaOrig="3960" w:dyaOrig="620" w14:anchorId="5D242469">
          <v:shape id="_x0000_i1985" type="#_x0000_t75" style="width:198.45pt;height:31.45pt" o:ole="">
            <v:imagedata r:id="rId1954" o:title=""/>
          </v:shape>
          <o:OLEObject Type="Embed" ProgID="Equation.DSMT4" ShapeID="_x0000_i1985" DrawAspect="Content" ObjectID="_1791375929" r:id="rId1955"/>
        </w:object>
      </w:r>
    </w:p>
    <w:p w14:paraId="4C4C9111"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با فرض</w:t>
      </w:r>
      <w:r w:rsidRPr="00005251">
        <w:rPr>
          <w:rFonts w:eastAsiaTheme="minorEastAsia"/>
          <w:i/>
          <w:sz w:val="23"/>
          <w:szCs w:val="23"/>
        </w:rPr>
        <w:t xml:space="preserve"> </w:t>
      </w:r>
      <w:r w:rsidRPr="00005251">
        <w:rPr>
          <w:rFonts w:eastAsiaTheme="minorEastAsia" w:hint="cs"/>
          <w:i/>
          <w:sz w:val="23"/>
          <w:szCs w:val="23"/>
          <w:rtl/>
        </w:rPr>
        <w:t>این</w:t>
      </w:r>
      <w:r w:rsidRPr="00005251">
        <w:rPr>
          <w:rFonts w:eastAsiaTheme="minorEastAsia"/>
          <w:i/>
          <w:sz w:val="23"/>
          <w:szCs w:val="23"/>
          <w:rtl/>
        </w:rPr>
        <w:softHyphen/>
      </w:r>
      <w:r w:rsidRPr="00005251">
        <w:rPr>
          <w:rFonts w:eastAsiaTheme="minorEastAsia" w:hint="cs"/>
          <w:i/>
          <w:sz w:val="23"/>
          <w:szCs w:val="23"/>
          <w:rtl/>
        </w:rPr>
        <w:t xml:space="preserve">که </w:t>
      </w:r>
      <w:r w:rsidRPr="00005251">
        <w:rPr>
          <w:position w:val="-8"/>
        </w:rPr>
        <w:object w:dxaOrig="660" w:dyaOrig="279" w14:anchorId="4E95B812">
          <v:shape id="_x0000_i1986" type="#_x0000_t75" style="width:33.3pt;height:14.5pt" o:ole="">
            <v:imagedata r:id="rId1956" o:title=""/>
          </v:shape>
          <o:OLEObject Type="Embed" ProgID="Equation.DSMT4" ShapeID="_x0000_i1986" DrawAspect="Content" ObjectID="_1791375930" r:id="rId1957"/>
        </w:object>
      </w:r>
      <w:r w:rsidRPr="00005251">
        <w:rPr>
          <w:rFonts w:eastAsiaTheme="minorEastAsia" w:hint="cs"/>
          <w:i/>
          <w:sz w:val="23"/>
          <w:szCs w:val="23"/>
          <w:rtl/>
        </w:rPr>
        <w:t xml:space="preserve"> باشد با بدست آوردن</w:t>
      </w:r>
      <w:r w:rsidRPr="00005251">
        <w:rPr>
          <w:position w:val="-10"/>
        </w:rPr>
        <w:object w:dxaOrig="220" w:dyaOrig="320" w14:anchorId="60C361E7">
          <v:shape id="_x0000_i1987" type="#_x0000_t75" style="width:10.9pt;height:15.75pt" o:ole="">
            <v:imagedata r:id="rId1958" o:title=""/>
          </v:shape>
          <o:OLEObject Type="Embed" ProgID="Equation.DSMT4" ShapeID="_x0000_i1987" DrawAspect="Content" ObjectID="_1791375931" r:id="rId1959"/>
        </w:object>
      </w:r>
      <w:r w:rsidRPr="00005251">
        <w:rPr>
          <w:rFonts w:eastAsiaTheme="minorEastAsia" w:hint="cs"/>
          <w:i/>
          <w:sz w:val="23"/>
          <w:szCs w:val="23"/>
          <w:rtl/>
        </w:rPr>
        <w:t xml:space="preserve"> و</w:t>
      </w:r>
      <w:r w:rsidRPr="00005251">
        <w:rPr>
          <w:position w:val="-10"/>
        </w:rPr>
        <w:object w:dxaOrig="360" w:dyaOrig="320" w14:anchorId="428FD32E">
          <v:shape id="_x0000_i1988" type="#_x0000_t75" style="width:18.15pt;height:15.75pt" o:ole="">
            <v:imagedata r:id="rId1960" o:title=""/>
          </v:shape>
          <o:OLEObject Type="Embed" ProgID="Equation.DSMT4" ShapeID="_x0000_i1988" DrawAspect="Content" ObjectID="_1791375932" r:id="rId1961"/>
        </w:object>
      </w:r>
      <w:r w:rsidRPr="00005251">
        <w:rPr>
          <w:rFonts w:eastAsiaTheme="minorEastAsia"/>
          <w:i/>
          <w:sz w:val="23"/>
          <w:szCs w:val="23"/>
        </w:rPr>
        <w:t xml:space="preserve"> </w:t>
      </w:r>
      <w:r w:rsidRPr="00005251">
        <w:rPr>
          <w:rFonts w:eastAsiaTheme="minorEastAsia" w:hint="cs"/>
          <w:i/>
          <w:sz w:val="23"/>
          <w:szCs w:val="23"/>
          <w:rtl/>
        </w:rPr>
        <w:t>از اولین معادله</w:t>
      </w:r>
      <w:r w:rsidRPr="00005251">
        <w:rPr>
          <w:rFonts w:eastAsiaTheme="minorEastAsia"/>
          <w:i/>
          <w:sz w:val="23"/>
          <w:szCs w:val="23"/>
          <w:rtl/>
        </w:rPr>
        <w:softHyphen/>
      </w:r>
      <w:r w:rsidRPr="00005251">
        <w:rPr>
          <w:rFonts w:eastAsiaTheme="minorEastAsia" w:hint="cs"/>
          <w:i/>
          <w:sz w:val="23"/>
          <w:szCs w:val="23"/>
          <w:rtl/>
        </w:rPr>
        <w:t>ی شرایط مرتبه اول و جایگزاری آن در رابطه</w:t>
      </w:r>
      <w:r w:rsidRPr="00005251">
        <w:rPr>
          <w:rFonts w:eastAsiaTheme="minorEastAsia"/>
          <w:i/>
          <w:sz w:val="23"/>
          <w:szCs w:val="23"/>
          <w:rtl/>
        </w:rPr>
        <w:softHyphen/>
      </w:r>
      <w:r w:rsidRPr="00005251">
        <w:rPr>
          <w:rFonts w:eastAsiaTheme="minorEastAsia" w:hint="cs"/>
          <w:i/>
          <w:sz w:val="23"/>
          <w:szCs w:val="23"/>
          <w:rtl/>
        </w:rPr>
        <w:t>ی دوم خواهیم داشت؛</w:t>
      </w:r>
    </w:p>
    <w:p w14:paraId="30660981" w14:textId="77777777" w:rsidR="00411620" w:rsidRPr="00005251" w:rsidRDefault="00411620" w:rsidP="00411620">
      <w:pPr>
        <w:pStyle w:val="MTDisplayEquation"/>
        <w:tabs>
          <w:tab w:val="clear" w:pos="3320"/>
          <w:tab w:val="clear" w:pos="6660"/>
        </w:tabs>
        <w:spacing w:line="216" w:lineRule="auto"/>
        <w:rPr>
          <w:rFonts w:ascii="Times New Roman" w:eastAsiaTheme="minorEastAsia" w:hAnsi="Times New Roman" w:cs="B Nazanin"/>
          <w:i/>
          <w:sz w:val="23"/>
          <w:szCs w:val="23"/>
          <w:lang w:val="en-GB"/>
        </w:rPr>
      </w:pPr>
      <w:r w:rsidRPr="00005251">
        <w:rPr>
          <w:position w:val="-30"/>
        </w:rPr>
        <w:object w:dxaOrig="1980" w:dyaOrig="700" w14:anchorId="22A553A5">
          <v:shape id="_x0000_i1989" type="#_x0000_t75" style="width:99.25pt;height:34.5pt" o:ole="">
            <v:imagedata r:id="rId1962" o:title=""/>
          </v:shape>
          <o:OLEObject Type="Embed" ProgID="Equation.DSMT4" ShapeID="_x0000_i1989" DrawAspect="Content" ObjectID="_1791375933" r:id="rId1963"/>
        </w:object>
      </w:r>
      <w:r w:rsidRPr="00005251">
        <w:rPr>
          <w:rFonts w:ascii="Times New Roman" w:hAnsi="Times New Roman"/>
          <w:i/>
          <w:sz w:val="23"/>
          <w:szCs w:val="23"/>
          <w:rtl/>
        </w:rPr>
        <w:tab/>
      </w:r>
      <w:r w:rsidRPr="00005251">
        <w:rPr>
          <w:rFonts w:ascii="Times New Roman" w:hAnsi="Times New Roman"/>
          <w:i/>
          <w:sz w:val="23"/>
          <w:szCs w:val="23"/>
          <w:rtl/>
        </w:rPr>
        <w:tab/>
      </w:r>
      <w:r w:rsidRPr="00005251">
        <w:rPr>
          <w:rFonts w:ascii="Times New Roman" w:hAnsi="Times New Roman"/>
          <w:i/>
          <w:sz w:val="23"/>
          <w:szCs w:val="23"/>
          <w:rtl/>
        </w:rPr>
        <w:tab/>
      </w:r>
      <w:r w:rsidRPr="00005251">
        <w:rPr>
          <w:rFonts w:ascii="Times New Roman" w:hAnsi="Times New Roman"/>
          <w:i/>
          <w:sz w:val="23"/>
          <w:szCs w:val="23"/>
          <w:rtl/>
        </w:rPr>
        <w:tab/>
      </w:r>
      <w:r w:rsidRPr="00005251">
        <w:rPr>
          <w:rFonts w:ascii="Times New Roman" w:hAnsi="Times New Roman"/>
          <w:i/>
          <w:sz w:val="23"/>
          <w:szCs w:val="23"/>
          <w:rtl/>
        </w:rPr>
        <w:tab/>
      </w:r>
      <w:r w:rsidRPr="00005251">
        <w:rPr>
          <w:rFonts w:ascii="Times New Roman" w:hAnsi="Times New Roman"/>
          <w:i/>
          <w:sz w:val="23"/>
          <w:szCs w:val="23"/>
          <w:rtl/>
        </w:rPr>
        <w:tab/>
      </w:r>
      <w:r w:rsidRPr="00005251">
        <w:rPr>
          <w:rFonts w:ascii="Times New Roman" w:hAnsi="Times New Roman"/>
          <w:i/>
          <w:sz w:val="23"/>
          <w:szCs w:val="23"/>
          <w:rtl/>
        </w:rPr>
        <w:tab/>
      </w:r>
      <w:r w:rsidRPr="00005251">
        <w:rPr>
          <w:rFonts w:ascii="Times New Roman" w:hAnsi="Times New Roman"/>
          <w:i/>
          <w:sz w:val="23"/>
          <w:szCs w:val="23"/>
          <w:rtl/>
        </w:rPr>
        <w:tab/>
      </w:r>
      <w:r w:rsidRPr="00005251">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sidRPr="00005251">
        <w:rPr>
          <w:rFonts w:ascii="Times New Roman" w:hAnsi="Times New Roman"/>
          <w:i/>
          <w:sz w:val="23"/>
          <w:szCs w:val="23"/>
          <w:rtl/>
        </w:rPr>
        <w:tab/>
      </w:r>
      <w:r w:rsidRPr="00005251">
        <w:rPr>
          <w:rFonts w:ascii="Times New Roman" w:hAnsi="Times New Roman"/>
          <w:i/>
          <w:sz w:val="23"/>
          <w:szCs w:val="23"/>
          <w:rtl/>
        </w:rPr>
        <w:tab/>
      </w:r>
      <w:r w:rsidRPr="00005251">
        <w:rPr>
          <w:rFonts w:ascii="Times New Roman" w:hAnsi="Times New Roman"/>
          <w:i/>
          <w:sz w:val="23"/>
          <w:szCs w:val="23"/>
          <w:rtl/>
        </w:rPr>
        <w:tab/>
      </w:r>
      <w:r w:rsidRPr="00005251">
        <w:rPr>
          <w:rFonts w:ascii="Times New Roman" w:hAnsi="Times New Roman"/>
          <w:i/>
          <w:sz w:val="23"/>
          <w:szCs w:val="23"/>
          <w:rtl/>
        </w:rPr>
        <w:tab/>
      </w:r>
      <w:r w:rsidRPr="00005251">
        <w:rPr>
          <w:rFonts w:ascii="Times New Roman" w:hAnsi="Times New Roman" w:hint="cs"/>
          <w:i/>
          <w:sz w:val="23"/>
          <w:szCs w:val="23"/>
          <w:rtl/>
        </w:rPr>
        <w:t>(۴. ۴)</w:t>
      </w:r>
    </w:p>
    <w:p w14:paraId="5587598D" w14:textId="77777777" w:rsidR="00411620" w:rsidRPr="00005251" w:rsidRDefault="00411620" w:rsidP="00411620">
      <w:pPr>
        <w:spacing w:line="216" w:lineRule="auto"/>
        <w:rPr>
          <w:rFonts w:eastAsiaTheme="minorEastAsia"/>
          <w:i/>
          <w:sz w:val="23"/>
          <w:szCs w:val="23"/>
          <w:lang w:val="en-GB"/>
        </w:rPr>
      </w:pPr>
      <w:r w:rsidRPr="00005251">
        <w:rPr>
          <w:rFonts w:eastAsiaTheme="minorEastAsia" w:hint="cs"/>
          <w:i/>
          <w:sz w:val="23"/>
          <w:szCs w:val="23"/>
          <w:rtl/>
        </w:rPr>
        <w:lastRenderedPageBreak/>
        <w:t>که با فرض</w:t>
      </w:r>
      <w:r w:rsidRPr="00005251">
        <w:rPr>
          <w:position w:val="-12"/>
        </w:rPr>
        <w:object w:dxaOrig="1600" w:dyaOrig="360" w14:anchorId="3B86A2CE">
          <v:shape id="_x0000_i1990" type="#_x0000_t75" style="width:79.85pt;height:18.15pt" o:ole="">
            <v:imagedata r:id="rId1964" o:title=""/>
          </v:shape>
          <o:OLEObject Type="Embed" ProgID="Equation.DSMT4" ShapeID="_x0000_i1990" DrawAspect="Content" ObjectID="_1791375934" r:id="rId1965"/>
        </w:object>
      </w:r>
      <w:r w:rsidRPr="00005251">
        <w:rPr>
          <w:rFonts w:eastAsiaTheme="minorEastAsia" w:hint="cs"/>
          <w:i/>
          <w:sz w:val="23"/>
          <w:szCs w:val="23"/>
          <w:rtl/>
        </w:rPr>
        <w:t xml:space="preserve"> همان معادله اویلر </w:t>
      </w:r>
      <w:r w:rsidRPr="00005251">
        <w:rPr>
          <w:rFonts w:eastAsiaTheme="minorEastAsia" w:hint="cs"/>
          <w:i/>
          <w:sz w:val="23"/>
          <w:szCs w:val="23"/>
          <w:rtl/>
          <w:lang w:val="en-GB"/>
        </w:rPr>
        <w:t>است.</w:t>
      </w:r>
    </w:p>
    <w:p w14:paraId="44835F32" w14:textId="77777777" w:rsidR="00411620" w:rsidRPr="00005251" w:rsidRDefault="00411620" w:rsidP="00411620">
      <w:pPr>
        <w:spacing w:line="216" w:lineRule="auto"/>
        <w:rPr>
          <w:rFonts w:eastAsiaTheme="minorEastAsia"/>
          <w:i/>
          <w:sz w:val="23"/>
          <w:szCs w:val="23"/>
          <w:rtl/>
        </w:rPr>
      </w:pPr>
    </w:p>
    <w:p w14:paraId="7EE7ED5B" w14:textId="77777777" w:rsidR="00411620" w:rsidRPr="00005251" w:rsidRDefault="00411620" w:rsidP="00411620">
      <w:pPr>
        <w:pStyle w:val="Heading1"/>
        <w:spacing w:before="0" w:after="0" w:line="216" w:lineRule="auto"/>
        <w:rPr>
          <w:rFonts w:ascii="Times New Roman" w:hAnsi="Times New Roman" w:cs="B Nazanin"/>
          <w:b w:val="0"/>
          <w:i/>
          <w:sz w:val="23"/>
          <w:szCs w:val="23"/>
          <w:rtl/>
        </w:rPr>
      </w:pPr>
      <w:r w:rsidRPr="00005251">
        <w:rPr>
          <w:rFonts w:ascii="Times New Roman" w:hAnsi="Times New Roman" w:cs="B Nazanin" w:hint="cs"/>
          <w:b w:val="0"/>
          <w:i/>
          <w:sz w:val="23"/>
          <w:szCs w:val="23"/>
          <w:rtl/>
        </w:rPr>
        <w:t>قید بودجه بین</w:t>
      </w:r>
      <w:r w:rsidRPr="00005251">
        <w:rPr>
          <w:rFonts w:ascii="Times New Roman" w:hAnsi="Times New Roman" w:cs="B Nazanin"/>
          <w:b w:val="0"/>
          <w:i/>
          <w:sz w:val="23"/>
          <w:szCs w:val="23"/>
          <w:rtl/>
        </w:rPr>
        <w:softHyphen/>
      </w:r>
      <w:r w:rsidRPr="00005251">
        <w:rPr>
          <w:rFonts w:ascii="Times New Roman" w:hAnsi="Times New Roman" w:cs="B Nazanin" w:hint="cs"/>
          <w:b w:val="0"/>
          <w:i/>
          <w:sz w:val="23"/>
          <w:szCs w:val="23"/>
          <w:rtl/>
        </w:rPr>
        <w:t>دوره</w:t>
      </w:r>
      <w:r w:rsidRPr="00005251">
        <w:rPr>
          <w:rFonts w:ascii="Times New Roman" w:hAnsi="Times New Roman" w:cs="B Nazanin"/>
          <w:b w:val="0"/>
          <w:i/>
          <w:sz w:val="23"/>
          <w:szCs w:val="23"/>
          <w:rtl/>
        </w:rPr>
        <w:softHyphen/>
      </w:r>
      <w:r w:rsidRPr="00005251">
        <w:rPr>
          <w:rFonts w:ascii="Times New Roman" w:hAnsi="Times New Roman" w:cs="B Nazanin" w:hint="cs"/>
          <w:b w:val="0"/>
          <w:i/>
          <w:sz w:val="23"/>
          <w:szCs w:val="23"/>
          <w:rtl/>
        </w:rPr>
        <w:t xml:space="preserve">ای </w:t>
      </w:r>
    </w:p>
    <w:p w14:paraId="2289C75A"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رفتار خانوار را به</w:t>
      </w:r>
      <w:r w:rsidRPr="00005251">
        <w:rPr>
          <w:rFonts w:eastAsiaTheme="minorEastAsia"/>
          <w:i/>
          <w:sz w:val="23"/>
          <w:szCs w:val="23"/>
          <w:rtl/>
        </w:rPr>
        <w:softHyphen/>
      </w:r>
      <w:r w:rsidRPr="00005251">
        <w:rPr>
          <w:rFonts w:eastAsiaTheme="minorEastAsia" w:hint="cs"/>
          <w:i/>
          <w:sz w:val="23"/>
          <w:szCs w:val="23"/>
          <w:rtl/>
        </w:rPr>
        <w:t>گونه</w:t>
      </w:r>
      <w:r w:rsidRPr="00005251">
        <w:rPr>
          <w:rFonts w:eastAsiaTheme="minorEastAsia"/>
          <w:i/>
          <w:sz w:val="23"/>
          <w:szCs w:val="23"/>
          <w:rtl/>
        </w:rPr>
        <w:softHyphen/>
      </w:r>
      <w:r w:rsidRPr="00005251">
        <w:rPr>
          <w:rFonts w:eastAsiaTheme="minorEastAsia" w:hint="cs"/>
          <w:i/>
          <w:sz w:val="23"/>
          <w:szCs w:val="23"/>
          <w:rtl/>
        </w:rPr>
        <w:t>ای دیگر نیز می‌توان بررسی کرد. در بخش قبل تابع مطلوبیت نسبت به</w:t>
      </w:r>
      <w:r w:rsidRPr="00005251">
        <w:rPr>
          <w:position w:val="-6"/>
        </w:rPr>
        <w:object w:dxaOrig="160" w:dyaOrig="200" w14:anchorId="372085B7">
          <v:shape id="_x0000_i1991" type="#_x0000_t75" style="width:7.85pt;height:10.3pt" o:ole="">
            <v:imagedata r:id="rId1966" o:title=""/>
          </v:shape>
          <o:OLEObject Type="Embed" ProgID="Equation.DSMT4" ShapeID="_x0000_i1991" DrawAspect="Content" ObjectID="_1791375935" r:id="rId1967"/>
        </w:object>
      </w:r>
      <w:r w:rsidRPr="00005251">
        <w:rPr>
          <w:rFonts w:eastAsiaTheme="minorEastAsia" w:hint="cs"/>
          <w:i/>
          <w:sz w:val="23"/>
          <w:szCs w:val="23"/>
          <w:rtl/>
        </w:rPr>
        <w:t xml:space="preserve"> و</w:t>
      </w:r>
      <w:r w:rsidRPr="00005251">
        <w:rPr>
          <w:position w:val="-6"/>
        </w:rPr>
        <w:object w:dxaOrig="200" w:dyaOrig="200" w14:anchorId="75B67EE4">
          <v:shape id="_x0000_i1992" type="#_x0000_t75" style="width:10.3pt;height:10.3pt" o:ole="">
            <v:imagedata r:id="rId1968" o:title=""/>
          </v:shape>
          <o:OLEObject Type="Embed" ProgID="Equation.DSMT4" ShapeID="_x0000_i1992" DrawAspect="Content" ObjectID="_1791375936" r:id="rId1969"/>
        </w:object>
      </w:r>
      <w:r w:rsidRPr="00005251">
        <w:rPr>
          <w:rFonts w:hint="cs"/>
          <w:i/>
          <w:sz w:val="23"/>
          <w:szCs w:val="23"/>
          <w:rtl/>
        </w:rPr>
        <w:t xml:space="preserve"> </w:t>
      </w:r>
      <w:r w:rsidRPr="00005251">
        <w:rPr>
          <w:rFonts w:eastAsiaTheme="minorEastAsia" w:hint="cs"/>
          <w:i/>
          <w:sz w:val="23"/>
          <w:szCs w:val="23"/>
          <w:rtl/>
        </w:rPr>
        <w:t>حداکثر ‌می</w:t>
      </w:r>
      <w:r w:rsidRPr="00005251">
        <w:rPr>
          <w:rFonts w:eastAsiaTheme="minorEastAsia"/>
          <w:i/>
          <w:sz w:val="23"/>
          <w:szCs w:val="23"/>
          <w:rtl/>
        </w:rPr>
        <w:softHyphen/>
      </w:r>
      <w:r w:rsidRPr="00005251">
        <w:rPr>
          <w:rFonts w:eastAsiaTheme="minorEastAsia" w:hint="cs"/>
          <w:i/>
          <w:sz w:val="23"/>
          <w:szCs w:val="23"/>
          <w:rtl/>
        </w:rPr>
        <w:t>شد، ولی در این بخش جهت بررسی رفتار خانوار، مطلوبیت خانوار نسبت به قید بودجه بین دوره</w:t>
      </w:r>
      <w:r w:rsidRPr="00005251">
        <w:rPr>
          <w:rFonts w:eastAsiaTheme="minorEastAsia"/>
          <w:i/>
          <w:sz w:val="23"/>
          <w:szCs w:val="23"/>
          <w:rtl/>
        </w:rPr>
        <w:softHyphen/>
      </w:r>
      <w:r w:rsidRPr="00005251">
        <w:rPr>
          <w:rFonts w:eastAsiaTheme="minorEastAsia" w:hint="cs"/>
          <w:i/>
          <w:sz w:val="23"/>
          <w:szCs w:val="23"/>
          <w:rtl/>
        </w:rPr>
        <w:t>ای یعنی رابطه</w:t>
      </w:r>
      <w:r w:rsidRPr="00005251">
        <w:rPr>
          <w:rFonts w:eastAsiaTheme="minorEastAsia"/>
          <w:i/>
          <w:sz w:val="23"/>
          <w:szCs w:val="23"/>
          <w:rtl/>
        </w:rPr>
        <w:t xml:space="preserve"> </w:t>
      </w:r>
      <w:r w:rsidRPr="00005251">
        <w:rPr>
          <w:rFonts w:eastAsiaTheme="minorEastAsia" w:hint="cs"/>
          <w:i/>
          <w:sz w:val="23"/>
          <w:szCs w:val="23"/>
          <w:rtl/>
        </w:rPr>
        <w:t>(۴. ۲) برای زمان</w:t>
      </w:r>
      <w:r w:rsidRPr="00005251">
        <w:rPr>
          <w:rFonts w:eastAsiaTheme="minorEastAsia"/>
          <w:i/>
          <w:sz w:val="23"/>
          <w:szCs w:val="23"/>
          <w:rtl/>
        </w:rPr>
        <w:softHyphen/>
      </w:r>
      <w:r w:rsidRPr="00005251">
        <w:rPr>
          <w:rFonts w:eastAsiaTheme="minorEastAsia" w:hint="cs"/>
          <w:i/>
          <w:sz w:val="23"/>
          <w:szCs w:val="23"/>
          <w:rtl/>
        </w:rPr>
        <w:t xml:space="preserve">های </w:t>
      </w:r>
      <w:r w:rsidRPr="00005251">
        <w:rPr>
          <w:position w:val="-8"/>
        </w:rPr>
        <w:object w:dxaOrig="1280" w:dyaOrig="279" w14:anchorId="752EE09E">
          <v:shape id="_x0000_i1993" type="#_x0000_t75" style="width:64.15pt;height:14.5pt" o:ole="">
            <v:imagedata r:id="rId1970" o:title=""/>
          </v:shape>
          <o:OLEObject Type="Embed" ProgID="Equation.DSMT4" ShapeID="_x0000_i1993" DrawAspect="Content" ObjectID="_1791375937" r:id="rId1971"/>
        </w:object>
      </w:r>
      <w:r w:rsidRPr="00005251">
        <w:rPr>
          <w:rFonts w:eastAsiaTheme="minorEastAsia" w:hint="cs"/>
          <w:i/>
          <w:sz w:val="23"/>
          <w:szCs w:val="23"/>
          <w:rtl/>
        </w:rPr>
        <w:t xml:space="preserve"> حداکثر می‌شود. از رابطه</w:t>
      </w:r>
      <w:r w:rsidRPr="00005251">
        <w:rPr>
          <w:rFonts w:eastAsiaTheme="minorEastAsia"/>
          <w:i/>
          <w:sz w:val="23"/>
          <w:szCs w:val="23"/>
          <w:rtl/>
        </w:rPr>
        <w:softHyphen/>
      </w:r>
      <w:r w:rsidRPr="00005251">
        <w:rPr>
          <w:rFonts w:eastAsiaTheme="minorEastAsia" w:hint="cs"/>
          <w:i/>
          <w:sz w:val="23"/>
          <w:szCs w:val="23"/>
          <w:rtl/>
        </w:rPr>
        <w:t>ی</w:t>
      </w:r>
      <w:r w:rsidRPr="00005251">
        <w:rPr>
          <w:rFonts w:eastAsiaTheme="minorEastAsia"/>
          <w:i/>
          <w:sz w:val="23"/>
          <w:szCs w:val="23"/>
          <w:rtl/>
        </w:rPr>
        <w:t xml:space="preserve"> </w:t>
      </w:r>
      <w:r w:rsidRPr="00005251">
        <w:rPr>
          <w:rFonts w:eastAsiaTheme="minorEastAsia" w:hint="cs"/>
          <w:i/>
          <w:sz w:val="23"/>
          <w:szCs w:val="23"/>
          <w:rtl/>
        </w:rPr>
        <w:t xml:space="preserve">(۴. ۲) برای </w:t>
      </w:r>
      <w:r w:rsidRPr="00005251">
        <w:rPr>
          <w:position w:val="-8"/>
        </w:rPr>
        <w:object w:dxaOrig="660" w:dyaOrig="279" w14:anchorId="226C0DE7">
          <v:shape id="_x0000_i1994" type="#_x0000_t75" style="width:33.3pt;height:14.5pt" o:ole="">
            <v:imagedata r:id="rId1972" o:title=""/>
          </v:shape>
          <o:OLEObject Type="Embed" ProgID="Equation.DSMT4" ShapeID="_x0000_i1994" DrawAspect="Content" ObjectID="_1791375938" r:id="rId1973"/>
        </w:object>
      </w:r>
      <w:r w:rsidRPr="00005251">
        <w:rPr>
          <w:rFonts w:eastAsiaTheme="minorEastAsia" w:hint="cs"/>
          <w:i/>
          <w:sz w:val="23"/>
          <w:szCs w:val="23"/>
          <w:rtl/>
        </w:rPr>
        <w:t xml:space="preserve"> داریم:</w:t>
      </w:r>
    </w:p>
    <w:p w14:paraId="1AB194F3" w14:textId="77777777" w:rsidR="00411620" w:rsidRPr="00005251" w:rsidRDefault="00411620" w:rsidP="00411620">
      <w:pPr>
        <w:pStyle w:val="MTDisplayEquation"/>
        <w:spacing w:line="216" w:lineRule="auto"/>
        <w:jc w:val="left"/>
        <w:rPr>
          <w:rFonts w:ascii="Times New Roman" w:eastAsiaTheme="minorEastAsia" w:hAnsi="Times New Roman" w:cs="B Nazanin"/>
          <w:i/>
          <w:sz w:val="23"/>
          <w:szCs w:val="23"/>
        </w:rPr>
      </w:pPr>
      <w:r w:rsidRPr="00005251">
        <w:rPr>
          <w:position w:val="-12"/>
        </w:rPr>
        <w:object w:dxaOrig="2980" w:dyaOrig="360" w14:anchorId="265E1E2D">
          <v:shape id="_x0000_i1995" type="#_x0000_t75" style="width:148.85pt;height:18.15pt" o:ole="">
            <v:imagedata r:id="rId1974" o:title=""/>
          </v:shape>
          <o:OLEObject Type="Embed" ProgID="Equation.DSMT4" ShapeID="_x0000_i1995" DrawAspect="Content" ObjectID="_1791375939" r:id="rId1975"/>
        </w:object>
      </w:r>
    </w:p>
    <w:p w14:paraId="29ABEC2B" w14:textId="77777777" w:rsidR="00411620" w:rsidRPr="00005251" w:rsidRDefault="00411620" w:rsidP="00411620">
      <w:pPr>
        <w:pStyle w:val="MTDisplayEquation"/>
        <w:spacing w:line="216" w:lineRule="auto"/>
        <w:jc w:val="left"/>
        <w:rPr>
          <w:rFonts w:ascii="Times New Roman" w:eastAsiaTheme="minorEastAsia" w:hAnsi="Times New Roman" w:cs="B Nazanin"/>
          <w:i/>
          <w:sz w:val="23"/>
          <w:szCs w:val="23"/>
        </w:rPr>
      </w:pPr>
      <w:r w:rsidRPr="00005251">
        <w:rPr>
          <w:position w:val="-12"/>
        </w:rPr>
        <w:object w:dxaOrig="3500" w:dyaOrig="360" w14:anchorId="03B8743A">
          <v:shape id="_x0000_i1996" type="#_x0000_t75" style="width:175.45pt;height:18.15pt" o:ole="">
            <v:imagedata r:id="rId1976" o:title=""/>
          </v:shape>
          <o:OLEObject Type="Embed" ProgID="Equation.DSMT4" ShapeID="_x0000_i1996" DrawAspect="Content" ObjectID="_1791375940" r:id="rId1977"/>
        </w:object>
      </w:r>
    </w:p>
    <w:p w14:paraId="439008CF" w14:textId="77777777" w:rsidR="00411620" w:rsidRPr="00005251" w:rsidRDefault="00411620" w:rsidP="00411620">
      <w:pPr>
        <w:pStyle w:val="MTDisplayEquation"/>
        <w:tabs>
          <w:tab w:val="clear" w:pos="3320"/>
          <w:tab w:val="clear" w:pos="6660"/>
        </w:tabs>
        <w:spacing w:line="216" w:lineRule="auto"/>
        <w:jc w:val="left"/>
        <w:rPr>
          <w:rFonts w:ascii="Times New Roman" w:eastAsiaTheme="minorEastAsia" w:hAnsi="Times New Roman" w:cs="B Nazanin"/>
          <w:i/>
          <w:sz w:val="23"/>
          <w:szCs w:val="23"/>
        </w:rPr>
      </w:pPr>
      <w:r w:rsidRPr="00005251">
        <w:rPr>
          <w:position w:val="-14"/>
        </w:rPr>
        <w:object w:dxaOrig="3660" w:dyaOrig="380" w14:anchorId="564F7A4F">
          <v:shape id="_x0000_i1997" type="#_x0000_t75" style="width:182.7pt;height:18.75pt" o:ole="">
            <v:imagedata r:id="rId1978" o:title=""/>
          </v:shape>
          <o:OLEObject Type="Embed" ProgID="Equation.DSMT4" ShapeID="_x0000_i1997" DrawAspect="Content" ObjectID="_1791375941" r:id="rId1979"/>
        </w:object>
      </w:r>
      <w:r w:rsidRPr="00005251">
        <w:rPr>
          <w:rFonts w:ascii="Times New Roman" w:hAnsi="Times New Roman"/>
          <w:i/>
          <w:sz w:val="23"/>
          <w:szCs w:val="23"/>
          <w:rtl/>
        </w:rPr>
        <w:tab/>
      </w:r>
      <w:r w:rsidRPr="00005251">
        <w:rPr>
          <w:rFonts w:ascii="Times New Roman" w:hAnsi="Times New Roman"/>
          <w:i/>
          <w:sz w:val="23"/>
          <w:szCs w:val="23"/>
          <w:rtl/>
        </w:rPr>
        <w:tab/>
      </w:r>
      <w:r w:rsidRPr="00005251">
        <w:rPr>
          <w:rFonts w:ascii="Times New Roman" w:hAnsi="Times New Roman"/>
          <w:i/>
          <w:sz w:val="23"/>
          <w:szCs w:val="23"/>
          <w:rtl/>
        </w:rPr>
        <w:tab/>
      </w:r>
      <w:r w:rsidRPr="00005251">
        <w:rPr>
          <w:rFonts w:ascii="Times New Roman" w:hAnsi="Times New Roman"/>
          <w:i/>
          <w:sz w:val="23"/>
          <w:szCs w:val="23"/>
          <w:rtl/>
        </w:rPr>
        <w:tab/>
      </w:r>
      <w:r w:rsidRPr="00005251">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sidRPr="00005251">
        <w:rPr>
          <w:rFonts w:ascii="Times New Roman" w:hAnsi="Times New Roman"/>
          <w:i/>
          <w:sz w:val="23"/>
          <w:szCs w:val="23"/>
          <w:rtl/>
        </w:rPr>
        <w:tab/>
      </w:r>
      <w:r w:rsidRPr="00005251">
        <w:rPr>
          <w:rFonts w:ascii="Times New Roman" w:hAnsi="Times New Roman"/>
          <w:i/>
          <w:sz w:val="23"/>
          <w:szCs w:val="23"/>
          <w:rtl/>
        </w:rPr>
        <w:tab/>
      </w:r>
      <w:r w:rsidRPr="00005251">
        <w:rPr>
          <w:rFonts w:ascii="Times New Roman" w:hAnsi="Times New Roman" w:hint="cs"/>
          <w:i/>
          <w:sz w:val="23"/>
          <w:szCs w:val="23"/>
          <w:rtl/>
        </w:rPr>
        <w:t>(۴. ۵)</w:t>
      </w:r>
    </w:p>
    <w:p w14:paraId="07AEC937"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با تقسیم رابطه</w:t>
      </w:r>
      <w:r w:rsidRPr="00005251">
        <w:rPr>
          <w:rFonts w:eastAsiaTheme="minorEastAsia"/>
          <w:i/>
          <w:sz w:val="23"/>
          <w:szCs w:val="23"/>
          <w:rtl/>
        </w:rPr>
        <w:softHyphen/>
      </w:r>
      <w:r w:rsidRPr="00005251">
        <w:rPr>
          <w:rFonts w:eastAsiaTheme="minorEastAsia" w:hint="cs"/>
          <w:i/>
          <w:sz w:val="23"/>
          <w:szCs w:val="23"/>
          <w:rtl/>
        </w:rPr>
        <w:t xml:space="preserve">ی فوق بر </w:t>
      </w:r>
      <w:r w:rsidRPr="00005251">
        <w:rPr>
          <w:position w:val="-12"/>
        </w:rPr>
        <w:object w:dxaOrig="780" w:dyaOrig="360" w14:anchorId="42140D1A">
          <v:shape id="_x0000_i1998" type="#_x0000_t75" style="width:38.7pt;height:18.15pt" o:ole="">
            <v:imagedata r:id="rId1980" o:title=""/>
          </v:shape>
          <o:OLEObject Type="Embed" ProgID="Equation.DSMT4" ShapeID="_x0000_i1998" DrawAspect="Content" ObjectID="_1791375942" r:id="rId1981"/>
        </w:object>
      </w:r>
      <w:r w:rsidRPr="00005251">
        <w:rPr>
          <w:rFonts w:eastAsiaTheme="minorEastAsia" w:hint="cs"/>
          <w:i/>
          <w:sz w:val="23"/>
          <w:szCs w:val="23"/>
          <w:rtl/>
        </w:rPr>
        <w:t xml:space="preserve"> و بازنویسی آن خواهیم داشت</w:t>
      </w:r>
    </w:p>
    <w:p w14:paraId="5769F88E" w14:textId="77777777" w:rsidR="00411620" w:rsidRPr="00005251" w:rsidRDefault="00411620" w:rsidP="00411620">
      <w:pPr>
        <w:pStyle w:val="MTDisplayEquation"/>
        <w:tabs>
          <w:tab w:val="clear" w:pos="3320"/>
          <w:tab w:val="clear" w:pos="6660"/>
        </w:tabs>
        <w:spacing w:line="216" w:lineRule="auto"/>
        <w:jc w:val="left"/>
        <w:rPr>
          <w:rFonts w:ascii="Times New Roman" w:eastAsiaTheme="minorEastAsia" w:hAnsi="Times New Roman" w:cs="B Nazanin"/>
          <w:i/>
          <w:sz w:val="23"/>
          <w:szCs w:val="23"/>
          <w:rtl/>
        </w:rPr>
      </w:pPr>
      <w:r w:rsidRPr="00005251">
        <w:rPr>
          <w:position w:val="-30"/>
        </w:rPr>
        <w:object w:dxaOrig="4420" w:dyaOrig="660" w14:anchorId="16478793">
          <v:shape id="_x0000_i1999" type="#_x0000_t75" style="width:220.85pt;height:33.3pt" o:ole="">
            <v:imagedata r:id="rId1982" o:title=""/>
          </v:shape>
          <o:OLEObject Type="Embed" ProgID="Equation.DSMT4" ShapeID="_x0000_i1999" DrawAspect="Content" ObjectID="_1791375943" r:id="rId1983"/>
        </w:object>
      </w:r>
      <w:r w:rsidRPr="00005251">
        <w:rPr>
          <w:rFonts w:ascii="Times New Roman" w:hAnsi="Times New Roman"/>
          <w:i/>
          <w:sz w:val="23"/>
          <w:szCs w:val="23"/>
          <w:rtl/>
        </w:rPr>
        <w:tab/>
      </w:r>
      <w:r w:rsidRPr="00005251">
        <w:rPr>
          <w:rFonts w:ascii="Times New Roman" w:hAnsi="Times New Roman"/>
          <w:i/>
          <w:sz w:val="23"/>
          <w:szCs w:val="23"/>
          <w:rtl/>
        </w:rPr>
        <w:tab/>
      </w:r>
      <w:r w:rsidRPr="00005251">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sidRPr="00005251">
        <w:rPr>
          <w:rFonts w:ascii="Times New Roman" w:hAnsi="Times New Roman"/>
          <w:i/>
          <w:sz w:val="23"/>
          <w:szCs w:val="23"/>
          <w:rtl/>
        </w:rPr>
        <w:tab/>
      </w:r>
      <w:r w:rsidRPr="00005251">
        <w:rPr>
          <w:rFonts w:ascii="Times New Roman" w:hAnsi="Times New Roman" w:hint="cs"/>
          <w:i/>
          <w:sz w:val="23"/>
          <w:szCs w:val="23"/>
          <w:rtl/>
        </w:rPr>
        <w:t>(۴. ۶)</w:t>
      </w:r>
    </w:p>
    <w:p w14:paraId="1771348F"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 xml:space="preserve">و برای </w:t>
      </w:r>
      <w:r w:rsidRPr="00005251">
        <w:rPr>
          <w:position w:val="-6"/>
        </w:rPr>
        <w:object w:dxaOrig="499" w:dyaOrig="260" w14:anchorId="5128BFCF">
          <v:shape id="_x0000_i2000" type="#_x0000_t75" style="width:24.8pt;height:12.7pt" o:ole="">
            <v:imagedata r:id="rId1984" o:title=""/>
          </v:shape>
          <o:OLEObject Type="Embed" ProgID="Equation.DSMT4" ShapeID="_x0000_i2000" DrawAspect="Content" ObjectID="_1791375944" r:id="rId1985"/>
        </w:object>
      </w:r>
      <w:r w:rsidRPr="00005251">
        <w:rPr>
          <w:rFonts w:eastAsiaTheme="minorEastAsia" w:hint="cs"/>
          <w:i/>
          <w:sz w:val="23"/>
          <w:szCs w:val="23"/>
          <w:rtl/>
        </w:rPr>
        <w:t xml:space="preserve"> داریم:</w:t>
      </w:r>
    </w:p>
    <w:p w14:paraId="6CFA04AC"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12"/>
        </w:rPr>
        <w:object w:dxaOrig="3580" w:dyaOrig="360" w14:anchorId="235344E3">
          <v:shape id="_x0000_i2001" type="#_x0000_t75" style="width:178.5pt;height:18.15pt" o:ole="">
            <v:imagedata r:id="rId1986" o:title=""/>
          </v:shape>
          <o:OLEObject Type="Embed" ProgID="Equation.DSMT4" ShapeID="_x0000_i2001" DrawAspect="Content" ObjectID="_1791375945" r:id="rId1987"/>
        </w:object>
      </w:r>
    </w:p>
    <w:p w14:paraId="4E923990" w14:textId="77777777" w:rsidR="00411620" w:rsidRPr="00005251" w:rsidRDefault="00411620" w:rsidP="00411620">
      <w:pPr>
        <w:pStyle w:val="MTDisplayEquation"/>
        <w:tabs>
          <w:tab w:val="clear" w:pos="6660"/>
        </w:tabs>
        <w:bidi/>
        <w:spacing w:line="216" w:lineRule="auto"/>
        <w:rPr>
          <w:rFonts w:ascii="Times New Roman" w:eastAsiaTheme="minorEastAsia" w:hAnsi="Times New Roman" w:cs="B Nazanin"/>
          <w:i/>
          <w:sz w:val="23"/>
          <w:szCs w:val="23"/>
          <w:rtl/>
        </w:rPr>
      </w:pPr>
      <w:r w:rsidRPr="00005251">
        <w:rPr>
          <w:position w:val="-16"/>
        </w:rPr>
        <w:object w:dxaOrig="6460" w:dyaOrig="420" w14:anchorId="4C868664">
          <v:shape id="_x0000_i2002" type="#_x0000_t75" style="width:323.1pt;height:21.2pt" o:ole="">
            <v:imagedata r:id="rId1988" o:title=""/>
          </v:shape>
          <o:OLEObject Type="Embed" ProgID="Equation.DSMT4" ShapeID="_x0000_i2002" DrawAspect="Content" ObjectID="_1791375946" r:id="rId1989"/>
        </w:object>
      </w:r>
      <w:r w:rsidRPr="00005251">
        <w:rPr>
          <w:rFonts w:ascii="Times New Roman" w:eastAsiaTheme="minorEastAsia" w:hAnsi="Times New Roman" w:cs="B Nazanin" w:hint="cs"/>
          <w:i/>
          <w:sz w:val="23"/>
          <w:szCs w:val="23"/>
          <w:rtl/>
        </w:rPr>
        <w:t>با تقسیم رابطه</w:t>
      </w:r>
      <w:r w:rsidRPr="00005251">
        <w:rPr>
          <w:rFonts w:ascii="Times New Roman" w:eastAsiaTheme="minorEastAsia" w:hAnsi="Times New Roman" w:cs="B Nazanin"/>
          <w:i/>
          <w:sz w:val="23"/>
          <w:szCs w:val="23"/>
          <w:rtl/>
        </w:rPr>
        <w:softHyphen/>
      </w:r>
      <w:r w:rsidRPr="00005251">
        <w:rPr>
          <w:rFonts w:ascii="Times New Roman" w:eastAsiaTheme="minorEastAsia" w:hAnsi="Times New Roman" w:cs="B Nazanin" w:hint="cs"/>
          <w:i/>
          <w:sz w:val="23"/>
          <w:szCs w:val="23"/>
          <w:rtl/>
        </w:rPr>
        <w:t xml:space="preserve">ی فوق بر </w:t>
      </w:r>
      <w:r w:rsidRPr="00005251">
        <w:rPr>
          <w:position w:val="-12"/>
        </w:rPr>
        <w:object w:dxaOrig="1540" w:dyaOrig="360" w14:anchorId="5FDE8092">
          <v:shape id="_x0000_i2003" type="#_x0000_t75" style="width:76.85pt;height:18.15pt" o:ole="">
            <v:imagedata r:id="rId1990" o:title=""/>
          </v:shape>
          <o:OLEObject Type="Embed" ProgID="Equation.DSMT4" ShapeID="_x0000_i2003" DrawAspect="Content" ObjectID="_1791375947" r:id="rId1991"/>
        </w:object>
      </w:r>
      <w:r w:rsidRPr="00005251">
        <w:rPr>
          <w:rFonts w:ascii="Times New Roman" w:eastAsiaTheme="minorEastAsia" w:hAnsi="Times New Roman" w:cs="B Nazanin" w:hint="cs"/>
          <w:i/>
          <w:sz w:val="23"/>
          <w:szCs w:val="23"/>
          <w:rtl/>
        </w:rPr>
        <w:t xml:space="preserve"> و بازنویسی آن خواهیم داشت</w:t>
      </w:r>
    </w:p>
    <w:p w14:paraId="5AB7258C" w14:textId="77777777" w:rsidR="00411620" w:rsidRPr="00005251" w:rsidRDefault="00411620" w:rsidP="00411620">
      <w:pPr>
        <w:pStyle w:val="MTDisplayEquation"/>
        <w:spacing w:line="216" w:lineRule="auto"/>
        <w:jc w:val="left"/>
        <w:rPr>
          <w:rFonts w:ascii="Times New Roman" w:eastAsiaTheme="minorEastAsia" w:hAnsi="Times New Roman" w:cs="B Nazanin"/>
          <w:i/>
          <w:sz w:val="23"/>
          <w:szCs w:val="23"/>
        </w:rPr>
      </w:pPr>
      <w:r w:rsidRPr="00005251">
        <w:rPr>
          <w:position w:val="-30"/>
        </w:rPr>
        <w:object w:dxaOrig="4720" w:dyaOrig="660" w14:anchorId="75F73D7F">
          <v:shape id="_x0000_i2004" type="#_x0000_t75" style="width:235.95pt;height:33.3pt" o:ole="">
            <v:imagedata r:id="rId1992" o:title=""/>
          </v:shape>
          <o:OLEObject Type="Embed" ProgID="Equation.DSMT4" ShapeID="_x0000_i2004" DrawAspect="Content" ObjectID="_1791375948" r:id="rId1993"/>
        </w:object>
      </w:r>
    </w:p>
    <w:p w14:paraId="3F285CB4"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30"/>
        </w:rPr>
        <w:object w:dxaOrig="3840" w:dyaOrig="660" w14:anchorId="28FF36E3">
          <v:shape id="_x0000_i2005" type="#_x0000_t75" style="width:191.8pt;height:33.3pt" o:ole="">
            <v:imagedata r:id="rId1994" o:title=""/>
          </v:shape>
          <o:OLEObject Type="Embed" ProgID="Equation.DSMT4" ShapeID="_x0000_i2005" DrawAspect="Content" ObjectID="_1791375949" r:id="rId1995"/>
        </w:object>
      </w:r>
    </w:p>
    <w:p w14:paraId="0A792E00"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 xml:space="preserve">و با تکرارهای بعدی تا </w:t>
      </w:r>
      <w:r w:rsidRPr="00005251">
        <w:rPr>
          <w:position w:val="-6"/>
        </w:rPr>
        <w:object w:dxaOrig="480" w:dyaOrig="260" w14:anchorId="61E95EC8">
          <v:shape id="_x0000_i2006" type="#_x0000_t75" style="width:24.2pt;height:12.7pt" o:ole="">
            <v:imagedata r:id="rId1996" o:title=""/>
          </v:shape>
          <o:OLEObject Type="Embed" ProgID="Equation.DSMT4" ShapeID="_x0000_i2006" DrawAspect="Content" ObjectID="_1791375950" r:id="rId1997"/>
        </w:object>
      </w:r>
      <w:r w:rsidRPr="00005251">
        <w:rPr>
          <w:rFonts w:eastAsiaTheme="minorEastAsia" w:hint="cs"/>
          <w:i/>
          <w:sz w:val="23"/>
          <w:szCs w:val="23"/>
          <w:rtl/>
        </w:rPr>
        <w:t>خواهیم داشت</w:t>
      </w:r>
    </w:p>
    <w:p w14:paraId="65E669D9" w14:textId="77777777" w:rsidR="00411620" w:rsidRPr="00005251"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tl/>
        </w:rPr>
      </w:pPr>
      <w:r w:rsidRPr="00005251">
        <w:rPr>
          <w:position w:val="-36"/>
        </w:rPr>
        <w:object w:dxaOrig="3480" w:dyaOrig="720" w14:anchorId="50E600F6">
          <v:shape id="_x0000_i2007" type="#_x0000_t75" style="width:173.65pt;height:36.3pt" o:ole="">
            <v:imagedata r:id="rId1998" o:title=""/>
          </v:shape>
          <o:OLEObject Type="Embed" ProgID="Equation.DSMT4" ShapeID="_x0000_i2007" DrawAspect="Content" ObjectID="_1791375951" r:id="rId1999"/>
        </w:object>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Pr>
          <w:rFonts w:ascii="Times New Roman" w:hAnsi="Times New Roman"/>
          <w:i/>
          <w:sz w:val="23"/>
          <w:szCs w:val="23"/>
          <w:rtl/>
        </w:rPr>
        <w:tab/>
      </w:r>
      <w:r>
        <w:rPr>
          <w:rFonts w:ascii="Times New Roman" w:hAnsi="Times New Roman"/>
          <w:i/>
          <w:sz w:val="23"/>
          <w:szCs w:val="23"/>
          <w:rtl/>
        </w:rPr>
        <w:tab/>
      </w:r>
      <w:r w:rsidRPr="00005251">
        <w:rPr>
          <w:rFonts w:ascii="Times New Roman" w:hAnsi="Times New Roman"/>
          <w:i/>
          <w:sz w:val="23"/>
          <w:szCs w:val="23"/>
        </w:rPr>
        <w:tab/>
      </w:r>
      <w:r w:rsidRPr="00005251">
        <w:rPr>
          <w:rFonts w:ascii="Times New Roman" w:hAnsi="Times New Roman"/>
          <w:i/>
          <w:sz w:val="23"/>
          <w:szCs w:val="23"/>
        </w:rPr>
        <w:tab/>
      </w:r>
      <w:r>
        <w:rPr>
          <w:rFonts w:ascii="Times New Roman" w:hAnsi="Times New Roman"/>
          <w:i/>
          <w:sz w:val="23"/>
          <w:szCs w:val="23"/>
        </w:rPr>
        <w:tab/>
      </w:r>
      <w:r w:rsidRPr="00005251">
        <w:rPr>
          <w:rFonts w:ascii="Times New Roman" w:hAnsi="Times New Roman" w:cs="B Nazanin" w:hint="cs"/>
          <w:i/>
          <w:sz w:val="23"/>
          <w:szCs w:val="23"/>
        </w:rPr>
        <w:t xml:space="preserve"> </w:t>
      </w:r>
      <w:r w:rsidRPr="00005251">
        <w:rPr>
          <w:rFonts w:ascii="Times New Roman" w:hAnsi="Times New Roman" w:cs="B Nazanin" w:hint="cs"/>
          <w:i/>
          <w:sz w:val="23"/>
          <w:szCs w:val="23"/>
          <w:rtl/>
        </w:rPr>
        <w:t>(۴. ۷)</w:t>
      </w:r>
      <w:r w:rsidRPr="00005251">
        <w:rPr>
          <w:rFonts w:ascii="Times New Roman" w:hAnsi="Times New Roman" w:cs="B Nazanin" w:hint="cs"/>
          <w:i/>
          <w:sz w:val="23"/>
          <w:szCs w:val="23"/>
        </w:rPr>
        <w:t xml:space="preserve"> </w:t>
      </w:r>
    </w:p>
    <w:p w14:paraId="53779E58" w14:textId="77777777" w:rsidR="00411620" w:rsidRPr="00005251" w:rsidRDefault="00411620" w:rsidP="00411620">
      <w:pPr>
        <w:pStyle w:val="MTDisplayEquation"/>
        <w:tabs>
          <w:tab w:val="clear" w:pos="6660"/>
        </w:tabs>
        <w:spacing w:line="216" w:lineRule="auto"/>
        <w:jc w:val="left"/>
        <w:rPr>
          <w:rFonts w:ascii="Times New Roman" w:eastAsiaTheme="minorEastAsia" w:hAnsi="Times New Roman" w:cs="B Nazanin"/>
          <w:i/>
          <w:sz w:val="23"/>
          <w:szCs w:val="23"/>
          <w:u w:val="single"/>
          <w:rtl/>
        </w:rPr>
      </w:pPr>
      <w:r w:rsidRPr="00005251">
        <w:rPr>
          <w:position w:val="-36"/>
        </w:rPr>
        <w:object w:dxaOrig="3159" w:dyaOrig="720" w14:anchorId="22BFC332">
          <v:shape id="_x0000_i2008" type="#_x0000_t75" style="width:158.5pt;height:36.3pt" o:ole="">
            <v:imagedata r:id="rId2000" o:title=""/>
          </v:shape>
          <o:OLEObject Type="Embed" ProgID="Equation.DSMT4" ShapeID="_x0000_i2008" DrawAspect="Content" ObjectID="_1791375952" r:id="rId2001"/>
        </w:object>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Pr>
          <w:rFonts w:ascii="Times New Roman" w:hAnsi="Times New Roman"/>
          <w:i/>
          <w:sz w:val="23"/>
          <w:szCs w:val="23"/>
        </w:rPr>
        <w:tab/>
      </w:r>
      <w:r>
        <w:rPr>
          <w:rFonts w:ascii="Times New Roman" w:hAnsi="Times New Roman"/>
          <w:i/>
          <w:sz w:val="23"/>
          <w:szCs w:val="23"/>
          <w:rtl/>
        </w:rPr>
        <w:tab/>
      </w:r>
      <w:r>
        <w:rPr>
          <w:rFonts w:ascii="Times New Roman" w:hAnsi="Times New Roman"/>
          <w:i/>
          <w:sz w:val="23"/>
          <w:szCs w:val="23"/>
          <w:rtl/>
        </w:rPr>
        <w:tab/>
      </w:r>
      <w:r w:rsidRPr="00005251">
        <w:rPr>
          <w:rFonts w:ascii="Times New Roman" w:hAnsi="Times New Roman"/>
          <w:i/>
          <w:sz w:val="23"/>
          <w:szCs w:val="23"/>
        </w:rPr>
        <w:tab/>
      </w:r>
      <w:r w:rsidRPr="00005251">
        <w:rPr>
          <w:rFonts w:ascii="Times New Roman" w:hAnsi="Times New Roman" w:cs="B Nazanin" w:hint="cs"/>
          <w:i/>
          <w:sz w:val="23"/>
          <w:szCs w:val="23"/>
          <w:rtl/>
        </w:rPr>
        <w:t>(۴. ۸)</w:t>
      </w:r>
      <w:r w:rsidRPr="00005251">
        <w:rPr>
          <w:rFonts w:ascii="Times New Roman" w:hAnsi="Times New Roman" w:cs="B Nazanin" w:hint="cs"/>
          <w:i/>
          <w:sz w:val="23"/>
          <w:szCs w:val="23"/>
        </w:rPr>
        <w:t xml:space="preserve"> </w:t>
      </w:r>
    </w:p>
    <w:p w14:paraId="2F02811E"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که در آن</w:t>
      </w:r>
      <w:r w:rsidRPr="00005251">
        <w:rPr>
          <w:position w:val="-10"/>
        </w:rPr>
        <w:object w:dxaOrig="279" w:dyaOrig="320" w14:anchorId="31B0293C">
          <v:shape id="_x0000_i2009" type="#_x0000_t75" style="width:14.5pt;height:15.75pt" o:ole="">
            <v:imagedata r:id="rId2002" o:title=""/>
          </v:shape>
          <o:OLEObject Type="Embed" ProgID="Equation.DSMT4" ShapeID="_x0000_i2009" DrawAspect="Content" ObjectID="_1791375953" r:id="rId2003"/>
        </w:object>
      </w:r>
      <w:r w:rsidRPr="00005251">
        <w:rPr>
          <w:rFonts w:eastAsiaTheme="minorEastAsia" w:hint="cs"/>
          <w:i/>
          <w:sz w:val="23"/>
          <w:szCs w:val="23"/>
          <w:rtl/>
        </w:rPr>
        <w:t xml:space="preserve"> همان ثروت است و برابر است با رابطه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rFonts w:hint="cs"/>
          <w:i/>
          <w:sz w:val="23"/>
          <w:szCs w:val="23"/>
          <w:rtl/>
        </w:rPr>
        <w:t xml:space="preserve">(۴. ۷) یا </w:t>
      </w:r>
      <w:r w:rsidRPr="00005251">
        <w:rPr>
          <w:rFonts w:eastAsiaTheme="minorEastAsia" w:hint="cs"/>
          <w:i/>
          <w:sz w:val="23"/>
          <w:szCs w:val="23"/>
          <w:rtl/>
        </w:rPr>
        <w:t>مصارف آن که در واقع ارزش تنزیل شده</w:t>
      </w:r>
      <w:r w:rsidRPr="00005251">
        <w:rPr>
          <w:rFonts w:eastAsiaTheme="minorEastAsia"/>
          <w:i/>
          <w:sz w:val="23"/>
          <w:szCs w:val="23"/>
          <w:rtl/>
        </w:rPr>
        <w:softHyphen/>
      </w:r>
      <w:r w:rsidRPr="00005251">
        <w:rPr>
          <w:rFonts w:eastAsiaTheme="minorEastAsia" w:hint="cs"/>
          <w:i/>
          <w:sz w:val="23"/>
          <w:szCs w:val="23"/>
          <w:rtl/>
        </w:rPr>
        <w:t>ی دارایی مالی انتهای دوره بعلاوه</w:t>
      </w:r>
      <w:r w:rsidRPr="00005251">
        <w:rPr>
          <w:rFonts w:eastAsiaTheme="minorEastAsia"/>
          <w:i/>
          <w:sz w:val="23"/>
          <w:szCs w:val="23"/>
          <w:rtl/>
        </w:rPr>
        <w:softHyphen/>
      </w:r>
      <w:r w:rsidRPr="00005251">
        <w:rPr>
          <w:rFonts w:eastAsiaTheme="minorEastAsia" w:hint="cs"/>
          <w:i/>
          <w:sz w:val="23"/>
          <w:szCs w:val="23"/>
          <w:rtl/>
        </w:rPr>
        <w:t>ی مصرف جاری و ارزش فعلی مصرف</w:t>
      </w:r>
      <w:r w:rsidRPr="00005251">
        <w:rPr>
          <w:rFonts w:eastAsiaTheme="minorEastAsia"/>
          <w:i/>
          <w:sz w:val="23"/>
          <w:szCs w:val="23"/>
          <w:rtl/>
        </w:rPr>
        <w:softHyphen/>
      </w:r>
      <w:r w:rsidRPr="00005251">
        <w:rPr>
          <w:rFonts w:eastAsiaTheme="minorEastAsia" w:hint="cs"/>
          <w:i/>
          <w:sz w:val="23"/>
          <w:szCs w:val="23"/>
          <w:rtl/>
        </w:rPr>
        <w:t>های آتی است. و یا ثروت برابر است با رابطه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rFonts w:hint="cs"/>
          <w:i/>
          <w:sz w:val="23"/>
          <w:szCs w:val="23"/>
          <w:rtl/>
        </w:rPr>
        <w:t>(۴. ۸)</w:t>
      </w:r>
      <w:r w:rsidRPr="00005251">
        <w:rPr>
          <w:rFonts w:eastAsiaTheme="minorEastAsia" w:hint="cs"/>
          <w:i/>
          <w:sz w:val="23"/>
          <w:szCs w:val="23"/>
          <w:rtl/>
        </w:rPr>
        <w:t xml:space="preserve"> یا منابع آن که همان درآمد جاری و ارزش فعلی درآمدهای آتی بعلاوه دارایی</w:t>
      </w:r>
      <w:r w:rsidRPr="00005251">
        <w:rPr>
          <w:rFonts w:eastAsiaTheme="minorEastAsia"/>
          <w:i/>
          <w:sz w:val="23"/>
          <w:szCs w:val="23"/>
          <w:rtl/>
        </w:rPr>
        <w:softHyphen/>
      </w:r>
      <w:r w:rsidRPr="00005251">
        <w:rPr>
          <w:rFonts w:eastAsiaTheme="minorEastAsia" w:hint="cs"/>
          <w:i/>
          <w:sz w:val="23"/>
          <w:szCs w:val="23"/>
          <w:rtl/>
        </w:rPr>
        <w:t xml:space="preserve">های مالی اولیه است. </w:t>
      </w:r>
    </w:p>
    <w:p w14:paraId="0E202C00" w14:textId="77777777" w:rsidR="00411620" w:rsidRPr="00005251" w:rsidRDefault="00411620" w:rsidP="00411620">
      <w:pPr>
        <w:spacing w:line="216" w:lineRule="auto"/>
        <w:rPr>
          <w:rFonts w:eastAsiaTheme="minorEastAsia"/>
          <w:i/>
          <w:sz w:val="23"/>
          <w:szCs w:val="23"/>
        </w:rPr>
      </w:pPr>
      <w:r w:rsidRPr="00005251">
        <w:rPr>
          <w:rFonts w:eastAsiaTheme="minorEastAsia" w:hint="cs"/>
          <w:i/>
          <w:sz w:val="23"/>
          <w:szCs w:val="23"/>
          <w:rtl/>
        </w:rPr>
        <w:lastRenderedPageBreak/>
        <w:t xml:space="preserve">وقتی </w:t>
      </w:r>
      <w:r w:rsidRPr="00005251">
        <w:rPr>
          <w:position w:val="-6"/>
        </w:rPr>
        <w:object w:dxaOrig="660" w:dyaOrig="220" w14:anchorId="4E2AB4FE">
          <v:shape id="_x0000_i2010" type="#_x0000_t75" style="width:33.3pt;height:10.9pt" o:ole="">
            <v:imagedata r:id="rId2004" o:title=""/>
          </v:shape>
          <o:OLEObject Type="Embed" ProgID="Equation.DSMT4" ShapeID="_x0000_i2010" DrawAspect="Content" ObjectID="_1791375954" r:id="rId2005"/>
        </w:object>
      </w:r>
      <w:r w:rsidRPr="00005251">
        <w:rPr>
          <w:rFonts w:eastAsiaTheme="minorEastAsia"/>
          <w:i/>
          <w:sz w:val="23"/>
          <w:szCs w:val="23"/>
        </w:rPr>
        <w:t xml:space="preserve"> </w:t>
      </w:r>
      <w:r w:rsidRPr="00005251">
        <w:rPr>
          <w:rFonts w:eastAsiaTheme="minorEastAsia" w:hint="cs"/>
          <w:i/>
          <w:sz w:val="23"/>
          <w:szCs w:val="23"/>
          <w:rtl/>
        </w:rPr>
        <w:t xml:space="preserve">میل </w:t>
      </w:r>
      <w:r w:rsidRPr="00005251">
        <w:rPr>
          <w:rFonts w:eastAsiaTheme="minorEastAsia"/>
          <w:i/>
          <w:sz w:val="23"/>
          <w:szCs w:val="23"/>
          <w:rtl/>
        </w:rPr>
        <w:softHyphen/>
      </w:r>
      <w:r w:rsidRPr="00005251">
        <w:rPr>
          <w:rFonts w:eastAsiaTheme="minorEastAsia" w:hint="cs"/>
          <w:i/>
          <w:sz w:val="23"/>
          <w:szCs w:val="23"/>
          <w:rtl/>
        </w:rPr>
        <w:t>کند آنگاه قید بودجه بین</w:t>
      </w:r>
      <w:r w:rsidRPr="00005251">
        <w:rPr>
          <w:rFonts w:eastAsiaTheme="minorEastAsia"/>
          <w:i/>
          <w:sz w:val="23"/>
          <w:szCs w:val="23"/>
          <w:rtl/>
        </w:rPr>
        <w:softHyphen/>
      </w:r>
      <w:r w:rsidRPr="00005251">
        <w:rPr>
          <w:rFonts w:eastAsiaTheme="minorEastAsia" w:hint="cs"/>
          <w:i/>
          <w:sz w:val="23"/>
          <w:szCs w:val="23"/>
          <w:rtl/>
        </w:rPr>
        <w:t>دوره</w:t>
      </w:r>
      <w:r w:rsidRPr="00005251">
        <w:rPr>
          <w:rFonts w:eastAsiaTheme="minorEastAsia"/>
          <w:i/>
          <w:sz w:val="23"/>
          <w:szCs w:val="23"/>
          <w:rtl/>
        </w:rPr>
        <w:softHyphen/>
      </w:r>
      <w:r w:rsidRPr="00005251">
        <w:rPr>
          <w:rFonts w:eastAsiaTheme="minorEastAsia" w:hint="cs"/>
          <w:i/>
          <w:sz w:val="23"/>
          <w:szCs w:val="23"/>
          <w:rtl/>
        </w:rPr>
        <w:t>ایِ نامحدود را خواهیم داشت. در این صورت چون ثروت محدود است می</w:t>
      </w:r>
      <w:r w:rsidRPr="00005251">
        <w:rPr>
          <w:rFonts w:eastAsiaTheme="minorEastAsia"/>
          <w:i/>
          <w:sz w:val="23"/>
          <w:szCs w:val="23"/>
          <w:rtl/>
        </w:rPr>
        <w:softHyphen/>
      </w:r>
      <w:r w:rsidRPr="00005251">
        <w:rPr>
          <w:rFonts w:eastAsiaTheme="minorEastAsia" w:hint="cs"/>
          <w:i/>
          <w:sz w:val="23"/>
          <w:szCs w:val="23"/>
          <w:rtl/>
        </w:rPr>
        <w:t>بایست شرط تراگردی زیر را داشته باشیم:</w:t>
      </w:r>
    </w:p>
    <w:p w14:paraId="0344B626" w14:textId="77777777" w:rsidR="00411620" w:rsidRPr="00005251"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005251">
        <w:rPr>
          <w:position w:val="-36"/>
        </w:rPr>
        <w:object w:dxaOrig="2020" w:dyaOrig="720" w14:anchorId="576E5814">
          <v:shape id="_x0000_i2011" type="#_x0000_t75" style="width:101.05pt;height:36.3pt" o:ole="">
            <v:imagedata r:id="rId2006" o:title=""/>
          </v:shape>
          <o:OLEObject Type="Embed" ProgID="Equation.DSMT4" ShapeID="_x0000_i2011" DrawAspect="Content" ObjectID="_1791375955" r:id="rId2007"/>
        </w:object>
      </w:r>
      <w:r w:rsidRPr="00005251">
        <w:rPr>
          <w:rFonts w:ascii="Times New Roman" w:hAnsi="Times New Roman" w:cs="B Nazanin"/>
          <w:i/>
          <w:sz w:val="23"/>
          <w:szCs w:val="23"/>
          <w:rtl/>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Pr>
          <w:rFonts w:ascii="Times New Roman" w:hAnsi="Times New Roman" w:cs="B Nazanin"/>
          <w:i/>
          <w:sz w:val="23"/>
          <w:szCs w:val="23"/>
          <w:rtl/>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tl/>
        </w:rPr>
        <w:tab/>
      </w:r>
      <w:r w:rsidRPr="00005251">
        <w:rPr>
          <w:rFonts w:ascii="Times New Roman" w:hAnsi="Times New Roman" w:cs="B Nazanin" w:hint="cs"/>
          <w:i/>
          <w:sz w:val="23"/>
          <w:szCs w:val="23"/>
          <w:rtl/>
        </w:rPr>
        <w:t>(۴. ۹)</w:t>
      </w:r>
    </w:p>
    <w:p w14:paraId="7E0C817B"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برای فهم رابطه</w:t>
      </w:r>
      <w:r w:rsidRPr="00005251">
        <w:rPr>
          <w:rFonts w:eastAsiaTheme="minorEastAsia"/>
          <w:i/>
          <w:sz w:val="23"/>
          <w:szCs w:val="23"/>
          <w:rtl/>
        </w:rPr>
        <w:softHyphen/>
      </w:r>
      <w:r w:rsidRPr="00005251">
        <w:rPr>
          <w:rFonts w:eastAsiaTheme="minorEastAsia" w:hint="cs"/>
          <w:i/>
          <w:sz w:val="23"/>
          <w:szCs w:val="23"/>
          <w:rtl/>
        </w:rPr>
        <w:t>ی فوق فرض می‌کنیم در زمان</w:t>
      </w:r>
      <w:r w:rsidRPr="00005251">
        <w:rPr>
          <w:position w:val="-6"/>
        </w:rPr>
        <w:object w:dxaOrig="480" w:dyaOrig="240" w14:anchorId="3F35CF02">
          <v:shape id="_x0000_i2012" type="#_x0000_t75" style="width:24.2pt;height:12.1pt" o:ole="">
            <v:imagedata r:id="rId2008" o:title=""/>
          </v:shape>
          <o:OLEObject Type="Embed" ProgID="Equation.DSMT4" ShapeID="_x0000_i2012" DrawAspect="Content" ObjectID="_1791375956" r:id="rId2009"/>
        </w:object>
      </w:r>
      <w:r w:rsidRPr="00005251">
        <w:rPr>
          <w:i/>
          <w:sz w:val="23"/>
          <w:szCs w:val="23"/>
        </w:rPr>
        <w:t xml:space="preserve"> </w:t>
      </w:r>
      <w:r w:rsidRPr="00005251">
        <w:rPr>
          <w:rFonts w:eastAsiaTheme="minorEastAsia" w:hint="cs"/>
          <w:i/>
          <w:sz w:val="23"/>
          <w:szCs w:val="23"/>
          <w:rtl/>
        </w:rPr>
        <w:t>اگر</w:t>
      </w:r>
      <w:r w:rsidRPr="00005251">
        <w:rPr>
          <w:rFonts w:eastAsiaTheme="minorEastAsia"/>
          <w:i/>
          <w:sz w:val="23"/>
          <w:szCs w:val="23"/>
        </w:rPr>
        <w:t xml:space="preserve"> </w:t>
      </w:r>
      <w:r w:rsidRPr="00005251">
        <w:rPr>
          <w:rFonts w:eastAsiaTheme="minorEastAsia" w:hint="cs"/>
          <w:i/>
          <w:sz w:val="23"/>
          <w:szCs w:val="23"/>
          <w:rtl/>
        </w:rPr>
        <w:t>دارایی</w:t>
      </w:r>
      <w:r w:rsidRPr="00005251">
        <w:rPr>
          <w:position w:val="-10"/>
        </w:rPr>
        <w:object w:dxaOrig="400" w:dyaOrig="320" w14:anchorId="0E534E1B">
          <v:shape id="_x0000_i2013" type="#_x0000_t75" style="width:19.95pt;height:15.75pt" o:ole="">
            <v:imagedata r:id="rId2010" o:title=""/>
          </v:shape>
          <o:OLEObject Type="Embed" ProgID="Equation.DSMT4" ShapeID="_x0000_i2013" DrawAspect="Content" ObjectID="_1791375957" r:id="rId2011"/>
        </w:object>
      </w:r>
      <w:r w:rsidRPr="00005251">
        <w:rPr>
          <w:rFonts w:eastAsiaTheme="minorEastAsia" w:hint="cs"/>
          <w:i/>
          <w:sz w:val="23"/>
          <w:szCs w:val="23"/>
          <w:rtl/>
        </w:rPr>
        <w:t xml:space="preserve"> مصرف شود آنگاه مطلوبیت آن برابر خواهد بود با</w:t>
      </w:r>
      <w:r w:rsidRPr="00005251">
        <w:rPr>
          <w:position w:val="-12"/>
        </w:rPr>
        <w:object w:dxaOrig="1300" w:dyaOrig="360" w14:anchorId="2CE81523">
          <v:shape id="_x0000_i2014" type="#_x0000_t75" style="width:64.75pt;height:18.15pt" o:ole="">
            <v:imagedata r:id="rId2012" o:title=""/>
          </v:shape>
          <o:OLEObject Type="Embed" ProgID="Equation.DSMT4" ShapeID="_x0000_i2014" DrawAspect="Content" ObjectID="_1791375958" r:id="rId2013"/>
        </w:object>
      </w:r>
      <w:r w:rsidRPr="00005251">
        <w:rPr>
          <w:rFonts w:eastAsiaTheme="minorEastAsia" w:hint="cs"/>
          <w:i/>
          <w:sz w:val="23"/>
          <w:szCs w:val="23"/>
          <w:rtl/>
        </w:rPr>
        <w:t>. چنانچه افق زمانی خانوار</w:t>
      </w:r>
      <w:r w:rsidRPr="00005251">
        <w:rPr>
          <w:position w:val="-6"/>
        </w:rPr>
        <w:object w:dxaOrig="480" w:dyaOrig="240" w14:anchorId="5E7FA373">
          <v:shape id="_x0000_i2015" type="#_x0000_t75" style="width:24.2pt;height:12.1pt" o:ole="">
            <v:imagedata r:id="rId2014" o:title=""/>
          </v:shape>
          <o:OLEObject Type="Embed" ProgID="Equation.DSMT4" ShapeID="_x0000_i2015" DrawAspect="Content" ObjectID="_1791375959" r:id="rId2015"/>
        </w:object>
      </w:r>
      <w:r w:rsidRPr="00005251">
        <w:rPr>
          <w:rFonts w:eastAsiaTheme="minorEastAsia" w:hint="cs"/>
          <w:i/>
          <w:sz w:val="23"/>
          <w:szCs w:val="23"/>
          <w:rtl/>
        </w:rPr>
        <w:t xml:space="preserve"> باشد آنگاه در صورت عدم انگیزه</w:t>
      </w:r>
      <w:r w:rsidRPr="00005251">
        <w:rPr>
          <w:rFonts w:eastAsiaTheme="minorEastAsia"/>
          <w:i/>
          <w:sz w:val="23"/>
          <w:szCs w:val="23"/>
          <w:rtl/>
        </w:rPr>
        <w:softHyphen/>
      </w:r>
      <w:r w:rsidRPr="00005251">
        <w:rPr>
          <w:rFonts w:eastAsiaTheme="minorEastAsia" w:hint="cs"/>
          <w:i/>
          <w:sz w:val="23"/>
          <w:szCs w:val="23"/>
          <w:rtl/>
        </w:rPr>
        <w:t>ی به ارث گذاشتنِ دارایی مالی در زمان</w:t>
      </w:r>
      <w:r w:rsidRPr="00005251">
        <w:rPr>
          <w:position w:val="-6"/>
        </w:rPr>
        <w:object w:dxaOrig="480" w:dyaOrig="240" w14:anchorId="61AE5468">
          <v:shape id="_x0000_i2016" type="#_x0000_t75" style="width:24.2pt;height:12.1pt" o:ole="">
            <v:imagedata r:id="rId2016" o:title=""/>
          </v:shape>
          <o:OLEObject Type="Embed" ProgID="Equation.DSMT4" ShapeID="_x0000_i2016" DrawAspect="Content" ObjectID="_1791375960" r:id="rId2017"/>
        </w:object>
      </w:r>
      <w:r w:rsidRPr="00005251">
        <w:rPr>
          <w:rFonts w:eastAsiaTheme="minorEastAsia"/>
          <w:i/>
          <w:sz w:val="23"/>
          <w:szCs w:val="23"/>
          <w:rtl/>
        </w:rPr>
        <w:t>،</w:t>
      </w:r>
      <w:r w:rsidRPr="00005251">
        <w:rPr>
          <w:rFonts w:eastAsiaTheme="minorEastAsia" w:hint="cs"/>
          <w:i/>
          <w:sz w:val="23"/>
          <w:szCs w:val="23"/>
          <w:rtl/>
        </w:rPr>
        <w:t xml:space="preserve"> آن دارایی باید مصرف شود. لذا اگر</w:t>
      </w:r>
      <w:r w:rsidRPr="00005251">
        <w:rPr>
          <w:position w:val="-6"/>
        </w:rPr>
        <w:object w:dxaOrig="660" w:dyaOrig="220" w14:anchorId="77E90D9E">
          <v:shape id="_x0000_i2017" type="#_x0000_t75" style="width:33.3pt;height:10.9pt" o:ole="">
            <v:imagedata r:id="rId2018" o:title=""/>
          </v:shape>
          <o:OLEObject Type="Embed" ProgID="Equation.DSMT4" ShapeID="_x0000_i2017" DrawAspect="Content" ObjectID="_1791375961" r:id="rId2019"/>
        </w:object>
      </w:r>
      <w:r w:rsidRPr="00005251">
        <w:rPr>
          <w:rFonts w:eastAsiaTheme="minorEastAsia"/>
          <w:i/>
          <w:sz w:val="23"/>
          <w:szCs w:val="23"/>
        </w:rPr>
        <w:t xml:space="preserve"> </w:t>
      </w:r>
      <w:r w:rsidRPr="00005251">
        <w:rPr>
          <w:rFonts w:eastAsiaTheme="minorEastAsia" w:hint="cs"/>
          <w:i/>
          <w:sz w:val="23"/>
          <w:szCs w:val="23"/>
          <w:rtl/>
        </w:rPr>
        <w:t>شرط بهینه</w:t>
      </w:r>
      <w:r w:rsidRPr="00005251">
        <w:rPr>
          <w:rFonts w:eastAsiaTheme="minorEastAsia"/>
          <w:i/>
          <w:sz w:val="23"/>
          <w:szCs w:val="23"/>
          <w:rtl/>
        </w:rPr>
        <w:softHyphen/>
      </w:r>
      <w:r w:rsidRPr="00005251">
        <w:rPr>
          <w:rFonts w:eastAsiaTheme="minorEastAsia" w:hint="cs"/>
          <w:i/>
          <w:sz w:val="23"/>
          <w:szCs w:val="23"/>
          <w:rtl/>
        </w:rPr>
        <w:t>ی زیر را باید داشته باشیم:</w:t>
      </w:r>
    </w:p>
    <w:p w14:paraId="40D035EF"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18"/>
        </w:rPr>
        <w:object w:dxaOrig="2040" w:dyaOrig="420" w14:anchorId="42BC5F8F">
          <v:shape id="_x0000_i2018" type="#_x0000_t75" style="width:102.25pt;height:21.2pt" o:ole="">
            <v:imagedata r:id="rId2020" o:title=""/>
          </v:shape>
          <o:OLEObject Type="Embed" ProgID="Equation.DSMT4" ShapeID="_x0000_i2018" DrawAspect="Content" ObjectID="_1791375962" r:id="rId2021"/>
        </w:object>
      </w:r>
    </w:p>
    <w:p w14:paraId="0EB1F21C" w14:textId="77777777" w:rsidR="00411620" w:rsidRPr="00005251" w:rsidRDefault="00411620" w:rsidP="00411620">
      <w:pPr>
        <w:spacing w:line="216" w:lineRule="auto"/>
        <w:rPr>
          <w:rFonts w:eastAsiaTheme="minorEastAsia"/>
          <w:i/>
          <w:noProof/>
          <w:sz w:val="23"/>
          <w:szCs w:val="23"/>
          <w:rtl/>
          <w:lang w:val="en-GB" w:eastAsia="en-GB"/>
        </w:rPr>
      </w:pPr>
      <w:r w:rsidRPr="00005251">
        <w:rPr>
          <w:rFonts w:eastAsiaTheme="minorEastAsia" w:hint="cs"/>
          <w:i/>
          <w:sz w:val="23"/>
          <w:szCs w:val="23"/>
          <w:rtl/>
        </w:rPr>
        <w:t xml:space="preserve">از طرفی داریم </w:t>
      </w:r>
      <w:r w:rsidRPr="00005251">
        <w:rPr>
          <w:position w:val="-6"/>
        </w:rPr>
        <w:object w:dxaOrig="360" w:dyaOrig="260" w14:anchorId="4FAABFD9">
          <v:shape id="_x0000_i2019" type="#_x0000_t75" style="width:18.15pt;height:12.7pt" o:ole="">
            <v:imagedata r:id="rId2022" o:title=""/>
          </v:shape>
          <o:OLEObject Type="Embed" ProgID="Equation.DSMT4" ShapeID="_x0000_i2019" DrawAspect="Content" ObjectID="_1791375963" r:id="rId2023"/>
        </w:object>
      </w:r>
      <w:r w:rsidRPr="00005251">
        <w:rPr>
          <w:rFonts w:eastAsiaTheme="minorEastAsia"/>
          <w:i/>
          <w:sz w:val="23"/>
          <w:szCs w:val="23"/>
        </w:rPr>
        <w:t xml:space="preserve"> </w:t>
      </w:r>
      <w:r w:rsidRPr="00005251">
        <w:rPr>
          <w:position w:val="-12"/>
        </w:rPr>
        <w:object w:dxaOrig="780" w:dyaOrig="360" w14:anchorId="648ECBEF">
          <v:shape id="_x0000_i2020" type="#_x0000_t75" style="width:38.7pt;height:18.15pt" o:ole="">
            <v:imagedata r:id="rId2024" o:title=""/>
          </v:shape>
          <o:OLEObject Type="Embed" ProgID="Equation.DSMT4" ShapeID="_x0000_i2020" DrawAspect="Content" ObjectID="_1791375964" r:id="rId2025"/>
        </w:object>
      </w:r>
      <w:r w:rsidRPr="00005251">
        <w:rPr>
          <w:rFonts w:eastAsiaTheme="minorEastAsia" w:hint="cs"/>
          <w:i/>
          <w:sz w:val="23"/>
          <w:szCs w:val="23"/>
          <w:rtl/>
        </w:rPr>
        <w:t>، لذا می</w:t>
      </w:r>
      <w:r w:rsidRPr="00005251">
        <w:rPr>
          <w:rFonts w:eastAsiaTheme="minorEastAsia"/>
          <w:i/>
          <w:sz w:val="23"/>
          <w:szCs w:val="23"/>
          <w:rtl/>
        </w:rPr>
        <w:softHyphen/>
      </w:r>
      <w:r w:rsidRPr="00005251">
        <w:rPr>
          <w:rFonts w:eastAsiaTheme="minorEastAsia" w:hint="cs"/>
          <w:i/>
          <w:sz w:val="23"/>
          <w:szCs w:val="23"/>
          <w:rtl/>
        </w:rPr>
        <w:t xml:space="preserve">بایست </w:t>
      </w:r>
      <w:r w:rsidRPr="00005251">
        <w:rPr>
          <w:position w:val="-18"/>
        </w:rPr>
        <w:object w:dxaOrig="1340" w:dyaOrig="420" w14:anchorId="55328370">
          <v:shape id="_x0000_i2021" type="#_x0000_t75" style="width:67.15pt;height:21.2pt" o:ole="">
            <v:imagedata r:id="rId2026" o:title=""/>
          </v:shape>
          <o:OLEObject Type="Embed" ProgID="Equation.DSMT4" ShapeID="_x0000_i2021" DrawAspect="Content" ObjectID="_1791375965" r:id="rId2027"/>
        </w:object>
      </w:r>
      <w:r w:rsidRPr="00005251">
        <w:rPr>
          <w:rFonts w:eastAsiaTheme="minorEastAsia" w:hint="cs"/>
          <w:i/>
          <w:sz w:val="23"/>
          <w:szCs w:val="23"/>
          <w:rtl/>
        </w:rPr>
        <w:t xml:space="preserve"> باشد. چون </w:t>
      </w:r>
      <w:r w:rsidRPr="00005251">
        <w:rPr>
          <w:position w:val="-22"/>
        </w:rPr>
        <w:object w:dxaOrig="880" w:dyaOrig="560" w14:anchorId="0DE943F2">
          <v:shape id="_x0000_i2022" type="#_x0000_t75" style="width:44.15pt;height:27.85pt" o:ole="">
            <v:imagedata r:id="rId2028" o:title=""/>
          </v:shape>
          <o:OLEObject Type="Embed" ProgID="Equation.DSMT4" ShapeID="_x0000_i2022" DrawAspect="Content" ObjectID="_1791375966" r:id="rId2029"/>
        </w:object>
      </w:r>
      <w:r w:rsidRPr="00005251">
        <w:rPr>
          <w:rFonts w:eastAsiaTheme="minorEastAsia" w:hint="cs"/>
          <w:i/>
          <w:sz w:val="23"/>
          <w:szCs w:val="23"/>
          <w:rtl/>
        </w:rPr>
        <w:t xml:space="preserve"> و در وضعیت یکنواخت </w:t>
      </w:r>
      <w:r w:rsidRPr="00005251">
        <w:rPr>
          <w:position w:val="-10"/>
        </w:rPr>
        <w:object w:dxaOrig="560" w:dyaOrig="320" w14:anchorId="48E04FBD">
          <v:shape id="_x0000_i2023" type="#_x0000_t75" style="width:27.85pt;height:15.75pt" o:ole="">
            <v:imagedata r:id="rId2030" o:title=""/>
          </v:shape>
          <o:OLEObject Type="Embed" ProgID="Equation.DSMT4" ShapeID="_x0000_i2023" DrawAspect="Content" ObjectID="_1791375967" r:id="rId2031"/>
        </w:object>
      </w:r>
      <w:r w:rsidRPr="00005251">
        <w:rPr>
          <w:rFonts w:eastAsiaTheme="minorEastAsia" w:hint="cs"/>
          <w:i/>
          <w:sz w:val="23"/>
          <w:szCs w:val="23"/>
          <w:rtl/>
        </w:rPr>
        <w:t xml:space="preserve"> است، آنگاه </w:t>
      </w:r>
    </w:p>
    <w:p w14:paraId="5BA1DF4E" w14:textId="77777777" w:rsidR="00411620" w:rsidRPr="00005251" w:rsidRDefault="00411620" w:rsidP="00411620">
      <w:pPr>
        <w:pStyle w:val="MTDisplayEquation"/>
        <w:spacing w:line="216" w:lineRule="auto"/>
        <w:rPr>
          <w:rFonts w:ascii="Times New Roman" w:eastAsiaTheme="minorEastAsia" w:hAnsi="Times New Roman" w:cs="B Nazanin"/>
          <w:i/>
          <w:noProof/>
          <w:sz w:val="23"/>
          <w:szCs w:val="23"/>
          <w:rtl/>
          <w:lang w:val="en-GB" w:eastAsia="en-GB"/>
        </w:rPr>
      </w:pPr>
      <w:r w:rsidRPr="00005251">
        <w:rPr>
          <w:position w:val="-36"/>
        </w:rPr>
        <w:object w:dxaOrig="5539" w:dyaOrig="700" w14:anchorId="605FE1AC">
          <v:shape id="_x0000_i2024" type="#_x0000_t75" style="width:277.1pt;height:34.5pt" o:ole="">
            <v:imagedata r:id="rId2032" o:title=""/>
          </v:shape>
          <o:OLEObject Type="Embed" ProgID="Equation.DSMT4" ShapeID="_x0000_i2024" DrawAspect="Content" ObjectID="_1791375968" r:id="rId2033"/>
        </w:object>
      </w:r>
    </w:p>
    <w:p w14:paraId="6C00A9F2" w14:textId="77777777" w:rsidR="00411620" w:rsidRPr="00005251" w:rsidRDefault="00411620" w:rsidP="00411620">
      <w:pPr>
        <w:spacing w:line="216" w:lineRule="auto"/>
        <w:rPr>
          <w:rFonts w:eastAsiaTheme="minorEastAsia"/>
          <w:i/>
          <w:sz w:val="23"/>
          <w:szCs w:val="23"/>
        </w:rPr>
      </w:pPr>
      <w:r w:rsidRPr="00005251">
        <w:rPr>
          <w:rFonts w:eastAsiaTheme="minorEastAsia" w:hint="cs"/>
          <w:i/>
          <w:sz w:val="23"/>
          <w:szCs w:val="23"/>
          <w:rtl/>
        </w:rPr>
        <w:t>لذا رابطه</w:t>
      </w:r>
      <w:r w:rsidRPr="00005251">
        <w:rPr>
          <w:rFonts w:eastAsiaTheme="minorEastAsia"/>
          <w:i/>
          <w:sz w:val="23"/>
          <w:szCs w:val="23"/>
          <w:rtl/>
        </w:rPr>
        <w:softHyphen/>
      </w:r>
      <w:r w:rsidRPr="00005251">
        <w:rPr>
          <w:rFonts w:eastAsiaTheme="minorEastAsia" w:hint="cs"/>
          <w:i/>
          <w:sz w:val="23"/>
          <w:szCs w:val="23"/>
          <w:rtl/>
        </w:rPr>
        <w:t>ی (۴. ۹) اثبات می</w:t>
      </w:r>
      <w:r w:rsidRPr="00005251">
        <w:rPr>
          <w:rFonts w:eastAsiaTheme="minorEastAsia"/>
          <w:i/>
          <w:sz w:val="23"/>
          <w:szCs w:val="23"/>
          <w:rtl/>
        </w:rPr>
        <w:softHyphen/>
      </w:r>
      <w:r w:rsidRPr="00005251">
        <w:rPr>
          <w:rFonts w:eastAsiaTheme="minorEastAsia" w:hint="cs"/>
          <w:i/>
          <w:sz w:val="23"/>
          <w:szCs w:val="23"/>
          <w:rtl/>
        </w:rPr>
        <w:t>شود.</w:t>
      </w:r>
    </w:p>
    <w:p w14:paraId="7084975B"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اگر نرخ بهره ثابت باشد آنگاه از رابطه</w:t>
      </w:r>
      <w:r w:rsidRPr="00005251">
        <w:rPr>
          <w:rFonts w:eastAsiaTheme="minorEastAsia"/>
          <w:i/>
          <w:sz w:val="23"/>
          <w:szCs w:val="23"/>
          <w:rtl/>
        </w:rPr>
        <w:softHyphen/>
      </w:r>
      <w:r w:rsidRPr="00005251">
        <w:rPr>
          <w:rFonts w:eastAsiaTheme="minorEastAsia" w:hint="cs"/>
          <w:i/>
          <w:sz w:val="23"/>
          <w:szCs w:val="23"/>
          <w:rtl/>
        </w:rPr>
        <w:t>ی (۴. ۷) و (۴. ۸) ثروت برابر خواهد بود با:</w:t>
      </w:r>
    </w:p>
    <w:p w14:paraId="29AF745F" w14:textId="77777777" w:rsidR="00411620" w:rsidRPr="00005251" w:rsidRDefault="00411620" w:rsidP="00411620">
      <w:pPr>
        <w:bidi w:val="0"/>
        <w:spacing w:line="216" w:lineRule="auto"/>
        <w:rPr>
          <w:rFonts w:eastAsiaTheme="minorEastAsia"/>
          <w:i/>
          <w:sz w:val="23"/>
          <w:szCs w:val="23"/>
          <w:rtl/>
          <w:lang w:val="en-GB"/>
        </w:rPr>
      </w:pPr>
      <w:r w:rsidRPr="00005251">
        <w:rPr>
          <w:position w:val="-34"/>
        </w:rPr>
        <w:object w:dxaOrig="3500" w:dyaOrig="700" w14:anchorId="59615F6C">
          <v:shape id="_x0000_i2025" type="#_x0000_t75" style="width:175.45pt;height:34.5pt" o:ole="">
            <v:imagedata r:id="rId2034" o:title=""/>
          </v:shape>
          <o:OLEObject Type="Embed" ProgID="Equation.DSMT4" ShapeID="_x0000_i2025" DrawAspect="Content" ObjectID="_1791375969" r:id="rId2035"/>
        </w:object>
      </w:r>
      <w:r w:rsidRPr="00005251">
        <w:rPr>
          <w:i/>
          <w:sz w:val="23"/>
          <w:szCs w:val="23"/>
          <w:rtl/>
        </w:rPr>
        <w:tab/>
      </w:r>
      <w:r w:rsidRPr="00005251">
        <w:rPr>
          <w:i/>
          <w:sz w:val="23"/>
          <w:szCs w:val="23"/>
          <w:rtl/>
        </w:rPr>
        <w:tab/>
      </w:r>
      <w:r w:rsidRPr="00005251">
        <w:rPr>
          <w:i/>
          <w:sz w:val="23"/>
          <w:szCs w:val="23"/>
        </w:rPr>
        <w:tab/>
      </w:r>
      <w:r>
        <w:rPr>
          <w:i/>
          <w:sz w:val="23"/>
          <w:szCs w:val="23"/>
          <w:rtl/>
        </w:rPr>
        <w:tab/>
      </w:r>
      <w:r w:rsidRPr="00005251">
        <w:rPr>
          <w:i/>
          <w:sz w:val="23"/>
          <w:szCs w:val="23"/>
        </w:rPr>
        <w:tab/>
      </w:r>
      <w:r w:rsidRPr="00005251">
        <w:rPr>
          <w:i/>
          <w:sz w:val="23"/>
          <w:szCs w:val="23"/>
          <w:rtl/>
        </w:rPr>
        <w:tab/>
      </w:r>
      <w:r w:rsidRPr="00005251">
        <w:rPr>
          <w:i/>
          <w:sz w:val="23"/>
          <w:szCs w:val="23"/>
          <w:rtl/>
        </w:rPr>
        <w:tab/>
      </w:r>
      <w:r w:rsidRPr="00005251">
        <w:rPr>
          <w:i/>
          <w:sz w:val="23"/>
          <w:szCs w:val="23"/>
          <w:rtl/>
        </w:rPr>
        <w:tab/>
      </w:r>
      <w:r w:rsidRPr="00005251">
        <w:rPr>
          <w:i/>
          <w:sz w:val="23"/>
          <w:szCs w:val="23"/>
          <w:rtl/>
        </w:rPr>
        <w:tab/>
      </w:r>
      <w:r w:rsidRPr="00005251">
        <w:rPr>
          <w:rFonts w:hint="cs"/>
          <w:i/>
          <w:sz w:val="23"/>
          <w:szCs w:val="23"/>
          <w:rtl/>
        </w:rPr>
        <w:t xml:space="preserve">(۴. ۱۰) </w:t>
      </w:r>
    </w:p>
    <w:p w14:paraId="4B103328"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 xml:space="preserve">بنابراین خانوار می‌تواند تابع مطلوبیت خود را نسبت به قید ثروت </w:t>
      </w:r>
      <w:r w:rsidRPr="00005251">
        <w:rPr>
          <w:rFonts w:hint="cs"/>
          <w:i/>
          <w:sz w:val="23"/>
          <w:szCs w:val="23"/>
          <w:rtl/>
        </w:rPr>
        <w:t>(۴. ۱۰)</w:t>
      </w:r>
      <w:r w:rsidRPr="00005251">
        <w:rPr>
          <w:rFonts w:eastAsiaTheme="minorEastAsia" w:hint="cs"/>
          <w:i/>
          <w:sz w:val="23"/>
          <w:szCs w:val="23"/>
          <w:rtl/>
          <w:lang w:val="en-GB"/>
        </w:rPr>
        <w:t xml:space="preserve"> </w:t>
      </w:r>
      <w:r w:rsidRPr="00005251">
        <w:rPr>
          <w:rFonts w:eastAsiaTheme="minorEastAsia" w:hint="cs"/>
          <w:i/>
          <w:sz w:val="23"/>
          <w:szCs w:val="23"/>
          <w:rtl/>
        </w:rPr>
        <w:t>حداکثر نماید.</w:t>
      </w:r>
    </w:p>
    <w:p w14:paraId="47876CC8" w14:textId="77777777" w:rsidR="00411620" w:rsidRPr="00005251" w:rsidRDefault="00411620" w:rsidP="00411620">
      <w:pPr>
        <w:spacing w:line="216" w:lineRule="auto"/>
        <w:rPr>
          <w:rFonts w:eastAsiaTheme="minorEastAsia"/>
          <w:i/>
          <w:sz w:val="23"/>
          <w:szCs w:val="23"/>
          <w:rtl/>
        </w:rPr>
      </w:pPr>
    </w:p>
    <w:p w14:paraId="31651A09" w14:textId="77777777" w:rsidR="00411620" w:rsidRPr="00005251" w:rsidRDefault="00411620" w:rsidP="00411620">
      <w:pPr>
        <w:pStyle w:val="Heading1"/>
        <w:spacing w:before="0" w:after="0" w:line="216" w:lineRule="auto"/>
        <w:rPr>
          <w:rFonts w:ascii="Times New Roman" w:hAnsi="Times New Roman" w:cs="B Nazanin"/>
          <w:b w:val="0"/>
          <w:i/>
          <w:sz w:val="23"/>
          <w:szCs w:val="23"/>
        </w:rPr>
      </w:pPr>
      <w:r w:rsidRPr="00005251">
        <w:rPr>
          <w:rFonts w:ascii="Times New Roman" w:hAnsi="Times New Roman" w:cs="B Nazanin" w:hint="cs"/>
          <w:b w:val="0"/>
          <w:i/>
          <w:sz w:val="23"/>
          <w:szCs w:val="23"/>
          <w:rtl/>
        </w:rPr>
        <w:t>تفسیر معادله</w:t>
      </w:r>
      <w:r w:rsidRPr="00005251">
        <w:rPr>
          <w:rFonts w:ascii="Times New Roman" w:hAnsi="Times New Roman" w:cs="B Nazanin"/>
          <w:b w:val="0"/>
          <w:i/>
          <w:sz w:val="23"/>
          <w:szCs w:val="23"/>
          <w:rtl/>
        </w:rPr>
        <w:softHyphen/>
      </w:r>
      <w:r w:rsidRPr="00005251">
        <w:rPr>
          <w:rFonts w:ascii="Times New Roman" w:hAnsi="Times New Roman" w:cs="B Nazanin" w:hint="cs"/>
          <w:b w:val="0"/>
          <w:i/>
          <w:sz w:val="23"/>
          <w:szCs w:val="23"/>
          <w:rtl/>
        </w:rPr>
        <w:t>ی اویلر</w:t>
      </w:r>
    </w:p>
    <w:p w14:paraId="0EA49BE5" w14:textId="77777777" w:rsidR="00411620" w:rsidRPr="00005251" w:rsidRDefault="00411620" w:rsidP="00411620">
      <w:pPr>
        <w:spacing w:line="216" w:lineRule="auto"/>
        <w:rPr>
          <w:rFonts w:eastAsiaTheme="minorEastAsia"/>
          <w:i/>
          <w:sz w:val="23"/>
          <w:szCs w:val="23"/>
        </w:rPr>
      </w:pPr>
      <w:r w:rsidRPr="00005251">
        <w:rPr>
          <w:rFonts w:eastAsiaTheme="minorEastAsia" w:hint="cs"/>
          <w:i/>
          <w:sz w:val="23"/>
          <w:szCs w:val="23"/>
          <w:rtl/>
        </w:rPr>
        <w:t>همانند فصل دوم مسئله</w:t>
      </w:r>
      <w:r w:rsidRPr="00005251">
        <w:rPr>
          <w:rFonts w:eastAsiaTheme="minorEastAsia"/>
          <w:i/>
          <w:sz w:val="23"/>
          <w:szCs w:val="23"/>
          <w:rtl/>
        </w:rPr>
        <w:softHyphen/>
      </w:r>
      <w:r w:rsidRPr="00005251">
        <w:rPr>
          <w:rFonts w:eastAsiaTheme="minorEastAsia" w:hint="cs"/>
          <w:i/>
          <w:sz w:val="23"/>
          <w:szCs w:val="23"/>
          <w:rtl/>
        </w:rPr>
        <w:t>ی حداکثرسازی مطلوبیت را به دو دوره تقلیل می‌دهیم و مصرف در زمان</w:t>
      </w:r>
      <w:r w:rsidRPr="00005251">
        <w:rPr>
          <w:position w:val="-6"/>
        </w:rPr>
        <w:object w:dxaOrig="139" w:dyaOrig="240" w14:anchorId="07968735">
          <v:shape id="_x0000_i2026" type="#_x0000_t75" style="width:7.25pt;height:12.1pt" o:ole="">
            <v:imagedata r:id="rId2036" o:title=""/>
          </v:shape>
          <o:OLEObject Type="Embed" ProgID="Equation.DSMT4" ShapeID="_x0000_i2026" DrawAspect="Content" ObjectID="_1791375970" r:id="rId2037"/>
        </w:object>
      </w:r>
      <w:r w:rsidRPr="00005251">
        <w:rPr>
          <w:rFonts w:eastAsiaTheme="minorEastAsia" w:hint="cs"/>
          <w:i/>
          <w:sz w:val="23"/>
          <w:szCs w:val="23"/>
          <w:rtl/>
          <w:lang w:val="en-GB"/>
        </w:rPr>
        <w:t xml:space="preserve"> یا </w:t>
      </w:r>
      <w:r w:rsidRPr="00005251">
        <w:rPr>
          <w:position w:val="-10"/>
        </w:rPr>
        <w:object w:dxaOrig="200" w:dyaOrig="320" w14:anchorId="34CDAEFB">
          <v:shape id="_x0000_i2027" type="#_x0000_t75" style="width:10.3pt;height:15.75pt" o:ole="">
            <v:imagedata r:id="rId2038" o:title=""/>
          </v:shape>
          <o:OLEObject Type="Embed" ProgID="Equation.DSMT4" ShapeID="_x0000_i2027" DrawAspect="Content" ObjectID="_1791375971" r:id="rId2039"/>
        </w:object>
      </w:r>
      <w:r w:rsidRPr="00005251">
        <w:rPr>
          <w:rFonts w:eastAsiaTheme="minorEastAsia" w:hint="cs"/>
          <w:i/>
          <w:sz w:val="23"/>
          <w:szCs w:val="23"/>
          <w:rtl/>
        </w:rPr>
        <w:t xml:space="preserve"> را با مقداری کم یعنی</w:t>
      </w:r>
      <w:r w:rsidRPr="00005251">
        <w:rPr>
          <w:position w:val="-10"/>
        </w:rPr>
        <w:object w:dxaOrig="340" w:dyaOrig="320" w14:anchorId="51BEABE6">
          <v:shape id="_x0000_i2028" type="#_x0000_t75" style="width:16.95pt;height:15.75pt" o:ole="">
            <v:imagedata r:id="rId2040" o:title=""/>
          </v:shape>
          <o:OLEObject Type="Embed" ProgID="Equation.DSMT4" ShapeID="_x0000_i2028" DrawAspect="Content" ObjectID="_1791375972" r:id="rId2041"/>
        </w:object>
      </w:r>
      <w:r w:rsidRPr="00005251">
        <w:rPr>
          <w:rFonts w:eastAsiaTheme="minorEastAsia" w:hint="cs"/>
          <w:i/>
          <w:sz w:val="23"/>
          <w:szCs w:val="23"/>
          <w:rtl/>
        </w:rPr>
        <w:t xml:space="preserve"> کاهش می‌دهیم. سپس میزان افزایش مصرف در دوره</w:t>
      </w:r>
      <w:r w:rsidRPr="00005251">
        <w:rPr>
          <w:rFonts w:eastAsiaTheme="minorEastAsia"/>
          <w:i/>
          <w:sz w:val="23"/>
          <w:szCs w:val="23"/>
          <w:rtl/>
        </w:rPr>
        <w:softHyphen/>
      </w:r>
      <w:r w:rsidRPr="00005251">
        <w:rPr>
          <w:rFonts w:eastAsiaTheme="minorEastAsia" w:hint="cs"/>
          <w:i/>
          <w:sz w:val="23"/>
          <w:szCs w:val="23"/>
          <w:rtl/>
        </w:rPr>
        <w:t xml:space="preserve">ی بعد یا </w:t>
      </w:r>
      <w:r w:rsidRPr="00005251">
        <w:rPr>
          <w:position w:val="-10"/>
        </w:rPr>
        <w:object w:dxaOrig="340" w:dyaOrig="320" w14:anchorId="1AD572CB">
          <v:shape id="_x0000_i2029" type="#_x0000_t75" style="width:16.95pt;height:15.75pt" o:ole="">
            <v:imagedata r:id="rId2042" o:title=""/>
          </v:shape>
          <o:OLEObject Type="Embed" ProgID="Equation.DSMT4" ShapeID="_x0000_i2029" DrawAspect="Content" ObjectID="_1791375973" r:id="rId2043"/>
        </w:object>
      </w:r>
      <w:r w:rsidRPr="00005251">
        <w:rPr>
          <w:rFonts w:eastAsiaTheme="minorEastAsia" w:hint="cs"/>
          <w:i/>
          <w:sz w:val="23"/>
          <w:szCs w:val="23"/>
          <w:rtl/>
        </w:rPr>
        <w:t xml:space="preserve"> را به</w:t>
      </w:r>
      <w:r w:rsidRPr="00005251">
        <w:rPr>
          <w:rFonts w:eastAsiaTheme="minorEastAsia"/>
          <w:i/>
          <w:sz w:val="23"/>
          <w:szCs w:val="23"/>
          <w:rtl/>
        </w:rPr>
        <w:softHyphen/>
      </w:r>
      <w:r w:rsidRPr="00005251">
        <w:rPr>
          <w:rFonts w:eastAsiaTheme="minorEastAsia" w:hint="cs"/>
          <w:i/>
          <w:sz w:val="23"/>
          <w:szCs w:val="23"/>
          <w:rtl/>
        </w:rPr>
        <w:t>گونه</w:t>
      </w:r>
      <w:r w:rsidRPr="00005251">
        <w:rPr>
          <w:rFonts w:eastAsiaTheme="minorEastAsia"/>
          <w:i/>
          <w:sz w:val="23"/>
          <w:szCs w:val="23"/>
          <w:rtl/>
        </w:rPr>
        <w:softHyphen/>
      </w:r>
      <w:r w:rsidRPr="00005251">
        <w:rPr>
          <w:rFonts w:eastAsiaTheme="minorEastAsia" w:hint="cs"/>
          <w:i/>
          <w:sz w:val="23"/>
          <w:szCs w:val="23"/>
          <w:rtl/>
        </w:rPr>
        <w:t xml:space="preserve">ای که مطلوبیت کل دو دوره یا </w:t>
      </w:r>
      <w:r w:rsidRPr="00005251">
        <w:rPr>
          <w:position w:val="-10"/>
        </w:rPr>
        <w:object w:dxaOrig="240" w:dyaOrig="320" w14:anchorId="09A1A03A">
          <v:shape id="_x0000_i2030" type="#_x0000_t75" style="width:12.1pt;height:15.75pt" o:ole="">
            <v:imagedata r:id="rId2044" o:title=""/>
          </v:shape>
          <o:OLEObject Type="Embed" ProgID="Equation.DSMT4" ShapeID="_x0000_i2030" DrawAspect="Content" ObjectID="_1791375974" r:id="rId2045"/>
        </w:object>
      </w:r>
      <w:r w:rsidRPr="00005251">
        <w:rPr>
          <w:rFonts w:eastAsiaTheme="minorEastAsia" w:hint="cs"/>
          <w:i/>
          <w:sz w:val="23"/>
          <w:szCs w:val="23"/>
          <w:rtl/>
        </w:rPr>
        <w:t xml:space="preserve"> بدون تغییر باقی بماند را محاسبه می</w:t>
      </w:r>
      <w:r w:rsidRPr="00005251">
        <w:rPr>
          <w:rFonts w:eastAsiaTheme="minorEastAsia"/>
          <w:i/>
          <w:sz w:val="23"/>
          <w:szCs w:val="23"/>
          <w:rtl/>
        </w:rPr>
        <w:softHyphen/>
      </w:r>
      <w:r w:rsidRPr="00005251">
        <w:rPr>
          <w:rFonts w:eastAsiaTheme="minorEastAsia" w:hint="cs"/>
          <w:i/>
          <w:sz w:val="23"/>
          <w:szCs w:val="23"/>
          <w:rtl/>
        </w:rPr>
        <w:t>کنیم. به عبارتی با دیفرانسیل</w:t>
      </w:r>
      <w:r w:rsidRPr="00005251">
        <w:rPr>
          <w:rFonts w:eastAsiaTheme="minorEastAsia"/>
          <w:i/>
          <w:sz w:val="23"/>
          <w:szCs w:val="23"/>
          <w:rtl/>
        </w:rPr>
        <w:softHyphen/>
      </w:r>
      <w:r w:rsidRPr="00005251">
        <w:rPr>
          <w:rFonts w:eastAsiaTheme="minorEastAsia" w:hint="cs"/>
          <w:i/>
          <w:sz w:val="23"/>
          <w:szCs w:val="23"/>
          <w:rtl/>
        </w:rPr>
        <w:t>گیری از</w:t>
      </w:r>
      <w:r w:rsidRPr="00005251">
        <w:rPr>
          <w:position w:val="-10"/>
        </w:rPr>
        <w:object w:dxaOrig="240" w:dyaOrig="320" w14:anchorId="188C99AE">
          <v:shape id="_x0000_i2031" type="#_x0000_t75" style="width:12.1pt;height:15.75pt" o:ole="">
            <v:imagedata r:id="rId2046" o:title=""/>
          </v:shape>
          <o:OLEObject Type="Embed" ProgID="Equation.DSMT4" ShapeID="_x0000_i2031" DrawAspect="Content" ObjectID="_1791375975" r:id="rId2047"/>
        </w:object>
      </w:r>
      <w:r w:rsidRPr="00005251">
        <w:rPr>
          <w:rFonts w:eastAsiaTheme="minorEastAsia" w:hint="cs"/>
          <w:i/>
          <w:sz w:val="23"/>
          <w:szCs w:val="23"/>
          <w:rtl/>
        </w:rPr>
        <w:t xml:space="preserve"> داریم:</w:t>
      </w:r>
    </w:p>
    <w:p w14:paraId="5BFD64C0"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12"/>
        </w:rPr>
        <w:object w:dxaOrig="5160" w:dyaOrig="360" w14:anchorId="64F05C0F">
          <v:shape id="_x0000_i2032" type="#_x0000_t75" style="width:257.75pt;height:18.15pt" o:ole="">
            <v:imagedata r:id="rId2048" o:title=""/>
          </v:shape>
          <o:OLEObject Type="Embed" ProgID="Equation.DSMT4" ShapeID="_x0000_i2032" DrawAspect="Content" ObjectID="_1791375976" r:id="rId2049"/>
        </w:object>
      </w:r>
    </w:p>
    <w:p w14:paraId="230EFB4F"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با کاهش مصرف در زمان</w:t>
      </w:r>
      <w:r w:rsidRPr="00005251">
        <w:rPr>
          <w:position w:val="-6"/>
        </w:rPr>
        <w:object w:dxaOrig="139" w:dyaOrig="240" w14:anchorId="74089FF6">
          <v:shape id="_x0000_i2033" type="#_x0000_t75" style="width:7.25pt;height:12.1pt" o:ole="">
            <v:imagedata r:id="rId2050" o:title=""/>
          </v:shape>
          <o:OLEObject Type="Embed" ProgID="Equation.DSMT4" ShapeID="_x0000_i2033" DrawAspect="Content" ObjectID="_1791375977" r:id="rId2051"/>
        </w:object>
      </w:r>
      <w:r w:rsidRPr="00005251">
        <w:rPr>
          <w:rFonts w:eastAsiaTheme="minorEastAsia" w:hint="cs"/>
          <w:i/>
          <w:sz w:val="23"/>
          <w:szCs w:val="23"/>
          <w:rtl/>
          <w:lang w:val="en-GB"/>
        </w:rPr>
        <w:t xml:space="preserve">، </w:t>
      </w:r>
      <w:r w:rsidRPr="00005251">
        <w:rPr>
          <w:rFonts w:eastAsiaTheme="minorEastAsia" w:hint="cs"/>
          <w:i/>
          <w:sz w:val="23"/>
          <w:szCs w:val="23"/>
          <w:rtl/>
        </w:rPr>
        <w:t>کاهش مطلوبیت در همان زمان برابر است با</w:t>
      </w:r>
      <w:r w:rsidRPr="00005251">
        <w:rPr>
          <w:position w:val="-10"/>
        </w:rPr>
        <w:object w:dxaOrig="859" w:dyaOrig="320" w14:anchorId="09ED8B85">
          <v:shape id="_x0000_i2034" type="#_x0000_t75" style="width:42.95pt;height:15.75pt" o:ole="">
            <v:imagedata r:id="rId2052" o:title=""/>
          </v:shape>
          <o:OLEObject Type="Embed" ProgID="Equation.DSMT4" ShapeID="_x0000_i2034" DrawAspect="Content" ObjectID="_1791375978" r:id="rId2053"/>
        </w:object>
      </w:r>
      <w:r w:rsidRPr="00005251">
        <w:rPr>
          <w:rFonts w:eastAsiaTheme="minorEastAsia" w:hint="cs"/>
          <w:i/>
          <w:sz w:val="23"/>
          <w:szCs w:val="23"/>
          <w:rtl/>
        </w:rPr>
        <w:t>. برای این</w:t>
      </w:r>
      <w:r w:rsidRPr="00005251">
        <w:rPr>
          <w:rFonts w:eastAsiaTheme="minorEastAsia"/>
          <w:i/>
          <w:sz w:val="23"/>
          <w:szCs w:val="23"/>
          <w:rtl/>
        </w:rPr>
        <w:softHyphen/>
      </w:r>
      <w:r w:rsidRPr="00005251">
        <w:rPr>
          <w:rFonts w:eastAsiaTheme="minorEastAsia" w:hint="cs"/>
          <w:i/>
          <w:sz w:val="23"/>
          <w:szCs w:val="23"/>
          <w:rtl/>
        </w:rPr>
        <w:t>که</w:t>
      </w:r>
      <w:r w:rsidRPr="00005251">
        <w:rPr>
          <w:position w:val="-10"/>
        </w:rPr>
        <w:object w:dxaOrig="300" w:dyaOrig="320" w14:anchorId="790E1733">
          <v:shape id="_x0000_i2035" type="#_x0000_t75" style="width:15.15pt;height:15.75pt" o:ole="">
            <v:imagedata r:id="rId2054" o:title=""/>
          </v:shape>
          <o:OLEObject Type="Embed" ProgID="Equation.DSMT4" ShapeID="_x0000_i2035" DrawAspect="Content" ObjectID="_1791375979" r:id="rId2055"/>
        </w:object>
      </w:r>
      <w:r w:rsidRPr="00005251">
        <w:rPr>
          <w:rFonts w:eastAsiaTheme="minorEastAsia" w:hint="cs"/>
          <w:i/>
          <w:sz w:val="23"/>
          <w:szCs w:val="23"/>
          <w:rtl/>
        </w:rPr>
        <w:t xml:space="preserve"> بدون تغییر باشد (</w:t>
      </w:r>
      <w:r w:rsidRPr="00005251">
        <w:rPr>
          <w:position w:val="-10"/>
        </w:rPr>
        <w:object w:dxaOrig="240" w:dyaOrig="320" w14:anchorId="2C9CEDF9">
          <v:shape id="_x0000_i2036" type="#_x0000_t75" style="width:12.1pt;height:15.75pt" o:ole="">
            <v:imagedata r:id="rId2056" o:title=""/>
          </v:shape>
          <o:OLEObject Type="Embed" ProgID="Equation.DSMT4" ShapeID="_x0000_i2036" DrawAspect="Content" ObjectID="_1791375980" r:id="rId2057"/>
        </w:object>
      </w:r>
      <w:r w:rsidRPr="00005251">
        <w:rPr>
          <w:rFonts w:hint="cs"/>
          <w:i/>
          <w:sz w:val="23"/>
          <w:szCs w:val="23"/>
          <w:rtl/>
        </w:rPr>
        <w:t xml:space="preserve"> می</w:t>
      </w:r>
      <w:r w:rsidRPr="00005251">
        <w:rPr>
          <w:i/>
          <w:sz w:val="23"/>
          <w:szCs w:val="23"/>
          <w:rtl/>
        </w:rPr>
        <w:softHyphen/>
      </w:r>
      <w:r w:rsidRPr="00005251">
        <w:rPr>
          <w:rFonts w:hint="cs"/>
          <w:i/>
          <w:sz w:val="23"/>
          <w:szCs w:val="23"/>
          <w:rtl/>
        </w:rPr>
        <w:t xml:space="preserve">بایست حداکثرشود) </w:t>
      </w:r>
      <w:r w:rsidRPr="00005251">
        <w:rPr>
          <w:rFonts w:eastAsiaTheme="minorEastAsia" w:hint="cs"/>
          <w:i/>
          <w:sz w:val="23"/>
          <w:szCs w:val="23"/>
          <w:rtl/>
        </w:rPr>
        <w:t>باید افزایش در مطلوبیت تنزیل شده</w:t>
      </w:r>
      <w:r w:rsidRPr="00005251">
        <w:rPr>
          <w:rFonts w:eastAsiaTheme="minorEastAsia"/>
          <w:i/>
          <w:sz w:val="23"/>
          <w:szCs w:val="23"/>
          <w:rtl/>
        </w:rPr>
        <w:softHyphen/>
      </w:r>
      <w:r w:rsidRPr="00005251">
        <w:rPr>
          <w:rFonts w:eastAsiaTheme="minorEastAsia" w:hint="cs"/>
          <w:i/>
          <w:sz w:val="23"/>
          <w:szCs w:val="23"/>
          <w:rtl/>
        </w:rPr>
        <w:t>ی دوره</w:t>
      </w:r>
      <w:r w:rsidRPr="00005251">
        <w:rPr>
          <w:rFonts w:eastAsiaTheme="minorEastAsia"/>
          <w:i/>
          <w:sz w:val="23"/>
          <w:szCs w:val="23"/>
        </w:rPr>
        <w:softHyphen/>
      </w:r>
      <w:r w:rsidRPr="00005251">
        <w:rPr>
          <w:rFonts w:eastAsiaTheme="minorEastAsia" w:hint="cs"/>
          <w:i/>
          <w:sz w:val="23"/>
          <w:szCs w:val="23"/>
          <w:rtl/>
        </w:rPr>
        <w:t xml:space="preserve">ی بعد برابر باشد با </w:t>
      </w:r>
      <w:r w:rsidRPr="00005251">
        <w:rPr>
          <w:position w:val="-10"/>
        </w:rPr>
        <w:object w:dxaOrig="1260" w:dyaOrig="320" w14:anchorId="1B623968">
          <v:shape id="_x0000_i2037" type="#_x0000_t75" style="width:62.9pt;height:15.75pt" o:ole="">
            <v:imagedata r:id="rId2058" o:title=""/>
          </v:shape>
          <o:OLEObject Type="Embed" ProgID="Equation.DSMT4" ShapeID="_x0000_i2037" DrawAspect="Content" ObjectID="_1791375981" r:id="rId2059"/>
        </w:object>
      </w:r>
      <w:r w:rsidRPr="00005251">
        <w:rPr>
          <w:rFonts w:eastAsiaTheme="minorEastAsia" w:hint="cs"/>
          <w:i/>
          <w:sz w:val="23"/>
          <w:szCs w:val="23"/>
          <w:rtl/>
        </w:rPr>
        <w:t>. لذا</w:t>
      </w:r>
    </w:p>
    <w:p w14:paraId="10CBCC36" w14:textId="77777777" w:rsidR="00411620" w:rsidRPr="00005251" w:rsidRDefault="00411620" w:rsidP="00411620">
      <w:pPr>
        <w:pStyle w:val="MTDisplayEquation"/>
        <w:tabs>
          <w:tab w:val="clear" w:pos="3320"/>
          <w:tab w:val="clear" w:pos="6660"/>
        </w:tabs>
        <w:spacing w:line="216" w:lineRule="auto"/>
        <w:rPr>
          <w:rFonts w:ascii="Times New Roman" w:eastAsiaTheme="minorEastAsia" w:hAnsi="Times New Roman" w:cs="B Nazanin"/>
          <w:i/>
          <w:sz w:val="23"/>
          <w:szCs w:val="23"/>
          <w:rtl/>
          <w:lang w:val="en-GB"/>
        </w:rPr>
      </w:pPr>
      <w:r w:rsidRPr="00005251">
        <w:rPr>
          <w:position w:val="-28"/>
        </w:rPr>
        <w:object w:dxaOrig="5020" w:dyaOrig="639" w14:anchorId="22411D5B">
          <v:shape id="_x0000_i2038" type="#_x0000_t75" style="width:251.1pt;height:32.05pt" o:ole="">
            <v:imagedata r:id="rId2060" o:title=""/>
          </v:shape>
          <o:OLEObject Type="Embed" ProgID="Equation.DSMT4" ShapeID="_x0000_i2038" DrawAspect="Content" ObjectID="_1791375982" r:id="rId2061"/>
        </w:object>
      </w:r>
      <w:r>
        <w:rPr>
          <w:rtl/>
        </w:rPr>
        <w:tab/>
      </w:r>
      <w:r>
        <w:rPr>
          <w:rtl/>
        </w:rPr>
        <w:tab/>
      </w:r>
      <w:r w:rsidRPr="00005251">
        <w:rPr>
          <w:sz w:val="23"/>
          <w:szCs w:val="23"/>
        </w:rPr>
        <w:tab/>
      </w:r>
      <w:r w:rsidRPr="00005251">
        <w:rPr>
          <w:sz w:val="23"/>
          <w:szCs w:val="23"/>
        </w:rPr>
        <w:tab/>
      </w:r>
      <w:r w:rsidRPr="00005251">
        <w:rPr>
          <w:rFonts w:ascii="Times New Roman" w:hAnsi="Times New Roman" w:cs="B Nazanin" w:hint="cs"/>
          <w:i/>
          <w:sz w:val="23"/>
          <w:szCs w:val="23"/>
          <w:rtl/>
        </w:rPr>
        <w:t>(۴. ۱۱)</w:t>
      </w:r>
    </w:p>
    <w:p w14:paraId="7565E42B"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lastRenderedPageBreak/>
        <w:t xml:space="preserve">چون </w:t>
      </w:r>
      <w:r w:rsidRPr="00005251">
        <w:rPr>
          <w:position w:val="-10"/>
        </w:rPr>
        <w:object w:dxaOrig="740" w:dyaOrig="320" w14:anchorId="370FE5FB">
          <v:shape id="_x0000_i2039" type="#_x0000_t75" style="width:37.5pt;height:15.75pt" o:ole="">
            <v:imagedata r:id="rId2062" o:title=""/>
          </v:shape>
          <o:OLEObject Type="Embed" ProgID="Equation.DSMT4" ShapeID="_x0000_i2039" DrawAspect="Content" ObjectID="_1791375983" r:id="rId2063"/>
        </w:object>
      </w:r>
      <w:r w:rsidRPr="00005251">
        <w:rPr>
          <w:rFonts w:eastAsiaTheme="minorEastAsia" w:hint="cs"/>
          <w:i/>
          <w:sz w:val="23"/>
          <w:szCs w:val="23"/>
          <w:rtl/>
        </w:rPr>
        <w:t xml:space="preserve"> است، چنانچه مصرف در دوره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position w:val="-6"/>
        </w:rPr>
        <w:object w:dxaOrig="440" w:dyaOrig="260" w14:anchorId="77F69151">
          <v:shape id="_x0000_i2040" type="#_x0000_t75" style="width:21.8pt;height:12.7pt" o:ole="">
            <v:imagedata r:id="rId2064" o:title=""/>
          </v:shape>
          <o:OLEObject Type="Embed" ProgID="Equation.DSMT4" ShapeID="_x0000_i2040" DrawAspect="Content" ObjectID="_1791375984" r:id="rId2065"/>
        </w:object>
      </w:r>
      <w:r w:rsidRPr="00005251">
        <w:rPr>
          <w:rFonts w:eastAsiaTheme="minorEastAsia" w:hint="cs"/>
          <w:i/>
          <w:sz w:val="23"/>
          <w:szCs w:val="23"/>
          <w:rtl/>
          <w:lang w:val="en-GB"/>
        </w:rPr>
        <w:t xml:space="preserve"> به میزان</w:t>
      </w:r>
      <w:r w:rsidRPr="00005251">
        <w:rPr>
          <w:position w:val="-28"/>
        </w:rPr>
        <w:object w:dxaOrig="1180" w:dyaOrig="639" w14:anchorId="4931C709">
          <v:shape id="_x0000_i2041" type="#_x0000_t75" style="width:59.3pt;height:32.05pt" o:ole="">
            <v:imagedata r:id="rId2066" o:title=""/>
          </v:shape>
          <o:OLEObject Type="Embed" ProgID="Equation.DSMT4" ShapeID="_x0000_i2041" DrawAspect="Content" ObjectID="_1791375985" r:id="rId2067"/>
        </w:object>
      </w:r>
      <w:r w:rsidRPr="00005251">
        <w:rPr>
          <w:rFonts w:eastAsiaTheme="minorEastAsia" w:hint="cs"/>
          <w:i/>
          <w:sz w:val="23"/>
          <w:szCs w:val="23"/>
          <w:rtl/>
        </w:rPr>
        <w:t xml:space="preserve"> </w:t>
      </w:r>
      <w:r w:rsidRPr="00005251">
        <w:rPr>
          <w:rFonts w:eastAsiaTheme="minorEastAsia" w:hint="cs"/>
          <w:i/>
          <w:sz w:val="23"/>
          <w:szCs w:val="23"/>
          <w:rtl/>
          <w:lang w:val="en-GB"/>
        </w:rPr>
        <w:t xml:space="preserve">افزایش یابد (زیرا </w:t>
      </w:r>
      <w:r w:rsidRPr="00005251">
        <w:rPr>
          <w:position w:val="-10"/>
        </w:rPr>
        <w:object w:dxaOrig="700" w:dyaOrig="320" w14:anchorId="15AD92CB">
          <v:shape id="_x0000_i2042" type="#_x0000_t75" style="width:34.5pt;height:15.75pt" o:ole="">
            <v:imagedata r:id="rId2068" o:title=""/>
          </v:shape>
          <o:OLEObject Type="Embed" ProgID="Equation.DSMT4" ShapeID="_x0000_i2042" DrawAspect="Content" ObjectID="_1791375986" r:id="rId2069"/>
        </w:object>
      </w:r>
      <w:r w:rsidRPr="00005251">
        <w:rPr>
          <w:rFonts w:eastAsiaTheme="minorEastAsia" w:hint="cs"/>
          <w:i/>
          <w:sz w:val="23"/>
          <w:szCs w:val="23"/>
          <w:rtl/>
          <w:lang w:val="en-GB"/>
        </w:rPr>
        <w:t xml:space="preserve"> است) آنگاه </w:t>
      </w:r>
      <w:r w:rsidRPr="00005251">
        <w:rPr>
          <w:rFonts w:eastAsiaTheme="minorEastAsia" w:hint="cs"/>
          <w:i/>
          <w:sz w:val="23"/>
          <w:szCs w:val="23"/>
          <w:rtl/>
        </w:rPr>
        <w:t>مطلوبیت تنزیل شده</w:t>
      </w:r>
      <w:r w:rsidRPr="00005251">
        <w:rPr>
          <w:rFonts w:eastAsiaTheme="minorEastAsia"/>
          <w:i/>
          <w:sz w:val="23"/>
          <w:szCs w:val="23"/>
          <w:rtl/>
        </w:rPr>
        <w:softHyphen/>
      </w:r>
      <w:r w:rsidRPr="00005251">
        <w:rPr>
          <w:rFonts w:eastAsiaTheme="minorEastAsia" w:hint="cs"/>
          <w:i/>
          <w:sz w:val="23"/>
          <w:szCs w:val="23"/>
          <w:rtl/>
        </w:rPr>
        <w:t>ی دو دوره حداکثر خواهد بود.</w:t>
      </w:r>
    </w:p>
    <w:p w14:paraId="60EF3A6F"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از آنجا که مطلوبیت با توجه به قید بودجه</w:t>
      </w:r>
      <w:r w:rsidRPr="00005251">
        <w:rPr>
          <w:rFonts w:eastAsiaTheme="minorEastAsia"/>
          <w:i/>
          <w:sz w:val="23"/>
          <w:szCs w:val="23"/>
          <w:rtl/>
        </w:rPr>
        <w:softHyphen/>
      </w:r>
      <w:r w:rsidRPr="00005251">
        <w:rPr>
          <w:rFonts w:eastAsiaTheme="minorEastAsia" w:hint="cs"/>
          <w:i/>
          <w:sz w:val="23"/>
          <w:szCs w:val="23"/>
          <w:rtl/>
        </w:rPr>
        <w:t>ی خانوار حداکثر می</w:t>
      </w:r>
      <w:r w:rsidRPr="00005251">
        <w:rPr>
          <w:rFonts w:eastAsiaTheme="minorEastAsia"/>
          <w:i/>
          <w:sz w:val="23"/>
          <w:szCs w:val="23"/>
          <w:rtl/>
        </w:rPr>
        <w:softHyphen/>
      </w:r>
      <w:r w:rsidRPr="00005251">
        <w:rPr>
          <w:rFonts w:eastAsiaTheme="minorEastAsia" w:hint="cs"/>
          <w:i/>
          <w:sz w:val="23"/>
          <w:szCs w:val="23"/>
          <w:rtl/>
        </w:rPr>
        <w:t>شود، لذا قید بودجه دو دوره</w:t>
      </w:r>
      <w:r w:rsidRPr="00005251">
        <w:rPr>
          <w:rFonts w:eastAsiaTheme="minorEastAsia"/>
          <w:i/>
          <w:sz w:val="23"/>
          <w:szCs w:val="23"/>
          <w:rtl/>
        </w:rPr>
        <w:softHyphen/>
      </w:r>
      <w:r w:rsidRPr="00005251">
        <w:rPr>
          <w:rFonts w:eastAsiaTheme="minorEastAsia" w:hint="cs"/>
          <w:i/>
          <w:sz w:val="23"/>
          <w:szCs w:val="23"/>
          <w:rtl/>
        </w:rPr>
        <w:t>ای خانوار را نیز باید مورد استفاده قرار ‌دهیم.</w:t>
      </w:r>
      <w:r w:rsidRPr="00005251">
        <w:rPr>
          <w:rFonts w:eastAsiaTheme="minorEastAsia"/>
          <w:i/>
          <w:sz w:val="23"/>
          <w:szCs w:val="23"/>
        </w:rPr>
        <w:t xml:space="preserve"> </w:t>
      </w:r>
      <w:r w:rsidRPr="00005251">
        <w:rPr>
          <w:rFonts w:eastAsiaTheme="minorEastAsia" w:hint="cs"/>
          <w:i/>
          <w:sz w:val="23"/>
          <w:szCs w:val="23"/>
          <w:rtl/>
        </w:rPr>
        <w:t>برای</w:t>
      </w:r>
      <w:r w:rsidRPr="00005251">
        <w:rPr>
          <w:position w:val="-8"/>
        </w:rPr>
        <w:object w:dxaOrig="660" w:dyaOrig="279" w14:anchorId="3EE52626">
          <v:shape id="_x0000_i2043" type="#_x0000_t75" style="width:33.3pt;height:14.5pt" o:ole="">
            <v:imagedata r:id="rId2070" o:title=""/>
          </v:shape>
          <o:OLEObject Type="Embed" ProgID="Equation.DSMT4" ShapeID="_x0000_i2043" DrawAspect="Content" ObjectID="_1791375987" r:id="rId2071"/>
        </w:object>
      </w:r>
      <w:r w:rsidRPr="00005251">
        <w:rPr>
          <w:i/>
          <w:sz w:val="23"/>
          <w:szCs w:val="23"/>
        </w:rPr>
        <w:t xml:space="preserve"> </w:t>
      </w:r>
      <w:r w:rsidRPr="00005251">
        <w:rPr>
          <w:rFonts w:hint="cs"/>
          <w:i/>
          <w:sz w:val="23"/>
          <w:szCs w:val="23"/>
          <w:rtl/>
        </w:rPr>
        <w:t>خواهیم داشت:</w:t>
      </w:r>
    </w:p>
    <w:p w14:paraId="54A1950E"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726B59">
        <w:rPr>
          <w:position w:val="-12"/>
        </w:rPr>
        <w:object w:dxaOrig="6399" w:dyaOrig="360" w14:anchorId="77F566AE">
          <v:shape id="_x0000_i2044" type="#_x0000_t75" style="width:320.05pt;height:18.15pt" o:ole="">
            <v:imagedata r:id="rId2072" o:title=""/>
          </v:shape>
          <o:OLEObject Type="Embed" ProgID="Equation.DSMT4" ShapeID="_x0000_i2044" DrawAspect="Content" ObjectID="_1791375988" r:id="rId2073"/>
        </w:object>
      </w:r>
    </w:p>
    <w:p w14:paraId="55E02708"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726B59">
        <w:rPr>
          <w:position w:val="-12"/>
        </w:rPr>
        <w:object w:dxaOrig="7460" w:dyaOrig="360" w14:anchorId="1C710A1D">
          <v:shape id="_x0000_i2045" type="#_x0000_t75" style="width:336.4pt;height:18.15pt" o:ole="">
            <v:imagedata r:id="rId2074" o:title=""/>
          </v:shape>
          <o:OLEObject Type="Embed" ProgID="Equation.DSMT4" ShapeID="_x0000_i2045" DrawAspect="Content" ObjectID="_1791375989" r:id="rId2075"/>
        </w:object>
      </w:r>
    </w:p>
    <w:p w14:paraId="13463BCB"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با فرض ثابت بودن</w:t>
      </w:r>
      <w:r w:rsidRPr="00005251">
        <w:rPr>
          <w:position w:val="-6"/>
        </w:rPr>
        <w:object w:dxaOrig="200" w:dyaOrig="200" w14:anchorId="379DB967">
          <v:shape id="_x0000_i2046" type="#_x0000_t75" style="width:10.3pt;height:10.3pt" o:ole="">
            <v:imagedata r:id="rId2076" o:title=""/>
          </v:shape>
          <o:OLEObject Type="Embed" ProgID="Equation.DSMT4" ShapeID="_x0000_i2046" DrawAspect="Content" ObjectID="_1791375990" r:id="rId2077"/>
        </w:object>
      </w:r>
      <w:r w:rsidRPr="00005251">
        <w:rPr>
          <w:rFonts w:eastAsiaTheme="minorEastAsia" w:hint="cs"/>
          <w:i/>
          <w:sz w:val="23"/>
          <w:szCs w:val="23"/>
          <w:rtl/>
        </w:rPr>
        <w:t xml:space="preserve"> و</w:t>
      </w:r>
      <w:r w:rsidRPr="00005251">
        <w:rPr>
          <w:position w:val="-10"/>
        </w:rPr>
        <w:object w:dxaOrig="240" w:dyaOrig="320" w14:anchorId="38DE671B">
          <v:shape id="_x0000_i2047" type="#_x0000_t75" style="width:12.1pt;height:15.75pt" o:ole="">
            <v:imagedata r:id="rId2078" o:title=""/>
          </v:shape>
          <o:OLEObject Type="Embed" ProgID="Equation.DSMT4" ShapeID="_x0000_i2047" DrawAspect="Content" ObjectID="_1791375991" r:id="rId2079"/>
        </w:object>
      </w:r>
      <w:r w:rsidRPr="00005251">
        <w:rPr>
          <w:rFonts w:eastAsiaTheme="minorEastAsia" w:hint="cs"/>
          <w:i/>
          <w:sz w:val="23"/>
          <w:szCs w:val="23"/>
          <w:rtl/>
        </w:rPr>
        <w:t xml:space="preserve"> و</w:t>
      </w:r>
      <w:r w:rsidRPr="00005251">
        <w:rPr>
          <w:position w:val="-10"/>
        </w:rPr>
        <w:object w:dxaOrig="380" w:dyaOrig="320" w14:anchorId="4726439C">
          <v:shape id="_x0000_i2048" type="#_x0000_t75" style="width:18.75pt;height:15.75pt" o:ole="">
            <v:imagedata r:id="rId2080" o:title=""/>
          </v:shape>
          <o:OLEObject Type="Embed" ProgID="Equation.DSMT4" ShapeID="_x0000_i2048" DrawAspect="Content" ObjectID="_1791375992" r:id="rId2081"/>
        </w:object>
      </w:r>
      <w:r w:rsidRPr="00005251">
        <w:rPr>
          <w:rFonts w:eastAsiaTheme="minorEastAsia" w:hint="cs"/>
          <w:i/>
          <w:sz w:val="23"/>
          <w:szCs w:val="23"/>
          <w:rtl/>
        </w:rPr>
        <w:t xml:space="preserve"> و نرخ بهره داریم</w:t>
      </w:r>
    </w:p>
    <w:p w14:paraId="0870A514"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10"/>
        </w:rPr>
        <w:object w:dxaOrig="2000" w:dyaOrig="320" w14:anchorId="21FC987B">
          <v:shape id="_x0000_i2049" type="#_x0000_t75" style="width:99.85pt;height:15.75pt" o:ole="">
            <v:imagedata r:id="rId2082" o:title=""/>
          </v:shape>
          <o:OLEObject Type="Embed" ProgID="Equation.DSMT4" ShapeID="_x0000_i2049" DrawAspect="Content" ObjectID="_1791375993" r:id="rId2083"/>
        </w:object>
      </w:r>
    </w:p>
    <w:p w14:paraId="6479AAEF" w14:textId="77777777" w:rsidR="00411620" w:rsidRPr="00005251" w:rsidRDefault="00411620" w:rsidP="00411620">
      <w:pPr>
        <w:pStyle w:val="MTDisplayEquation"/>
        <w:tabs>
          <w:tab w:val="clear" w:pos="6660"/>
        </w:tabs>
        <w:spacing w:line="216" w:lineRule="auto"/>
        <w:rPr>
          <w:rFonts w:ascii="Times New Roman" w:eastAsiaTheme="minorEastAsia" w:hAnsi="Times New Roman" w:cs="B Nazanin"/>
          <w:i/>
          <w:sz w:val="23"/>
          <w:szCs w:val="23"/>
          <w:u w:val="single"/>
          <w:rtl/>
        </w:rPr>
      </w:pPr>
      <w:r w:rsidRPr="00005251">
        <w:rPr>
          <w:position w:val="-12"/>
        </w:rPr>
        <w:object w:dxaOrig="4099" w:dyaOrig="360" w14:anchorId="7272743B">
          <v:shape id="_x0000_i2050" type="#_x0000_t75" style="width:205.1pt;height:18.15pt" o:ole="">
            <v:imagedata r:id="rId2084" o:title=""/>
          </v:shape>
          <o:OLEObject Type="Embed" ProgID="Equation.DSMT4" ShapeID="_x0000_i2050" DrawAspect="Content" ObjectID="_1791375994" r:id="rId2085"/>
        </w:object>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Pr>
          <w:rFonts w:ascii="Times New Roman" w:hAnsi="Times New Roman"/>
          <w:i/>
          <w:sz w:val="23"/>
          <w:szCs w:val="23"/>
          <w:rtl/>
        </w:rPr>
        <w:tab/>
      </w:r>
      <w:r>
        <w:rPr>
          <w:rFonts w:ascii="Times New Roman" w:hAnsi="Times New Roman"/>
          <w:i/>
          <w:sz w:val="23"/>
          <w:szCs w:val="23"/>
        </w:rPr>
        <w:tab/>
      </w:r>
      <w:r w:rsidRPr="00005251">
        <w:rPr>
          <w:rFonts w:ascii="Times New Roman" w:hAnsi="Times New Roman" w:cs="B Nazanin"/>
          <w:i/>
          <w:sz w:val="23"/>
          <w:szCs w:val="23"/>
          <w:rtl/>
        </w:rPr>
        <w:tab/>
      </w:r>
      <w:r w:rsidRPr="00005251">
        <w:rPr>
          <w:rFonts w:ascii="Times New Roman" w:hAnsi="Times New Roman" w:cs="B Nazanin" w:hint="cs"/>
          <w:i/>
          <w:sz w:val="23"/>
          <w:szCs w:val="23"/>
          <w:rtl/>
        </w:rPr>
        <w:t>(۴. ۱۲)</w:t>
      </w:r>
    </w:p>
    <w:p w14:paraId="2A9F7548" w14:textId="77777777" w:rsidR="00411620" w:rsidRPr="00005251" w:rsidRDefault="00411620" w:rsidP="00411620">
      <w:pPr>
        <w:spacing w:line="216" w:lineRule="auto"/>
        <w:rPr>
          <w:rFonts w:eastAsiaTheme="minorEastAsia"/>
          <w:i/>
          <w:sz w:val="23"/>
          <w:szCs w:val="23"/>
        </w:rPr>
      </w:pPr>
      <w:r w:rsidRPr="00005251">
        <w:rPr>
          <w:rFonts w:eastAsiaTheme="minorEastAsia" w:hint="cs"/>
          <w:i/>
          <w:sz w:val="23"/>
          <w:szCs w:val="23"/>
          <w:rtl/>
        </w:rPr>
        <w:t xml:space="preserve">و با ترکیب رابطه </w:t>
      </w:r>
      <w:r w:rsidRPr="00005251">
        <w:rPr>
          <w:rFonts w:hint="cs"/>
          <w:i/>
          <w:sz w:val="23"/>
          <w:szCs w:val="23"/>
          <w:rtl/>
        </w:rPr>
        <w:t>(۴. ۱۱)</w:t>
      </w:r>
      <w:r w:rsidRPr="00005251">
        <w:rPr>
          <w:rFonts w:eastAsiaTheme="minorEastAsia" w:hint="cs"/>
          <w:i/>
          <w:sz w:val="23"/>
          <w:szCs w:val="23"/>
          <w:rtl/>
        </w:rPr>
        <w:t xml:space="preserve"> و </w:t>
      </w:r>
      <w:r w:rsidRPr="00005251">
        <w:rPr>
          <w:rFonts w:hint="cs"/>
          <w:i/>
          <w:sz w:val="23"/>
          <w:szCs w:val="23"/>
          <w:rtl/>
        </w:rPr>
        <w:t>(۴. ۱۲)</w:t>
      </w:r>
      <w:r w:rsidRPr="00005251">
        <w:rPr>
          <w:rFonts w:eastAsiaTheme="minorEastAsia" w:hint="cs"/>
          <w:i/>
          <w:sz w:val="23"/>
          <w:szCs w:val="23"/>
          <w:rtl/>
        </w:rPr>
        <w:t xml:space="preserve"> داریم</w:t>
      </w:r>
    </w:p>
    <w:p w14:paraId="4263188F" w14:textId="77777777" w:rsidR="00411620" w:rsidRPr="00005251" w:rsidRDefault="00411620" w:rsidP="00411620">
      <w:pPr>
        <w:pStyle w:val="MTDisplayEquation"/>
        <w:tabs>
          <w:tab w:val="clear" w:pos="6660"/>
        </w:tabs>
        <w:spacing w:line="216" w:lineRule="auto"/>
        <w:rPr>
          <w:rFonts w:ascii="Times New Roman" w:eastAsiaTheme="minorEastAsia" w:hAnsi="Times New Roman" w:cs="B Nazanin"/>
          <w:i/>
          <w:sz w:val="23"/>
          <w:szCs w:val="23"/>
          <w:rtl/>
        </w:rPr>
      </w:pPr>
      <w:r w:rsidRPr="00005251">
        <w:rPr>
          <w:position w:val="-28"/>
        </w:rPr>
        <w:object w:dxaOrig="2680" w:dyaOrig="639" w14:anchorId="2BE1FB90">
          <v:shape id="_x0000_i2051" type="#_x0000_t75" style="width:133.7pt;height:32.05pt" o:ole="">
            <v:imagedata r:id="rId2086" o:title=""/>
          </v:shape>
          <o:OLEObject Type="Embed" ProgID="Equation.DSMT4" ShapeID="_x0000_i2051" DrawAspect="Content" ObjectID="_1791375995" r:id="rId2087"/>
        </w:object>
      </w:r>
      <w:r w:rsidRPr="00005251">
        <w:rPr>
          <w:rFonts w:ascii="Times New Roman" w:hAnsi="Times New Roman" w:cs="B Nazanin"/>
          <w:i/>
          <w:sz w:val="23"/>
          <w:szCs w:val="23"/>
          <w:rtl/>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Pr>
          <w:rFonts w:ascii="Times New Roman" w:hAnsi="Times New Roman" w:cs="B Nazanin"/>
          <w:i/>
          <w:sz w:val="23"/>
          <w:szCs w:val="23"/>
          <w:rtl/>
        </w:rPr>
        <w:tab/>
      </w:r>
      <w:r w:rsidRPr="00005251">
        <w:rPr>
          <w:rFonts w:ascii="Times New Roman" w:hAnsi="Times New Roman" w:cs="B Nazanin"/>
          <w:i/>
          <w:sz w:val="23"/>
          <w:szCs w:val="23"/>
          <w:rtl/>
        </w:rPr>
        <w:tab/>
      </w:r>
      <w:r w:rsidRPr="00005251">
        <w:rPr>
          <w:rFonts w:ascii="Times New Roman" w:hAnsi="Times New Roman" w:cs="B Nazanin" w:hint="cs"/>
          <w:i/>
          <w:sz w:val="23"/>
          <w:szCs w:val="23"/>
          <w:rtl/>
        </w:rPr>
        <w:t>(۴. ۱۳)</w:t>
      </w:r>
    </w:p>
    <w:p w14:paraId="6EB1F1C6"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و از رابطه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rFonts w:hint="cs"/>
          <w:i/>
          <w:sz w:val="23"/>
          <w:szCs w:val="23"/>
          <w:rtl/>
        </w:rPr>
        <w:t>(۴. ۱۳)</w:t>
      </w:r>
      <w:r w:rsidRPr="00005251">
        <w:rPr>
          <w:rFonts w:eastAsiaTheme="minorEastAsia" w:hint="cs"/>
          <w:i/>
          <w:sz w:val="23"/>
          <w:szCs w:val="23"/>
          <w:rtl/>
        </w:rPr>
        <w:t xml:space="preserve"> خواهیم داشت</w:t>
      </w:r>
    </w:p>
    <w:p w14:paraId="3B95323D"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12"/>
        </w:rPr>
        <w:object w:dxaOrig="4959" w:dyaOrig="360" w14:anchorId="177C8E2B">
          <v:shape id="_x0000_i2052" type="#_x0000_t75" style="width:248.05pt;height:18.15pt" o:ole="">
            <v:imagedata r:id="rId2088" o:title=""/>
          </v:shape>
          <o:OLEObject Type="Embed" ProgID="Equation.DSMT4" ShapeID="_x0000_i2052" DrawAspect="Content" ObjectID="_1791375996" r:id="rId2089"/>
        </w:object>
      </w:r>
    </w:p>
    <w:p w14:paraId="65B52AFF"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یعنی کاهش در مطلوبیت در زمان</w:t>
      </w:r>
      <w:r w:rsidRPr="00005251">
        <w:rPr>
          <w:position w:val="-6"/>
        </w:rPr>
        <w:object w:dxaOrig="139" w:dyaOrig="240" w14:anchorId="2066CCB5">
          <v:shape id="_x0000_i2053" type="#_x0000_t75" style="width:7.25pt;height:12.1pt" o:ole="">
            <v:imagedata r:id="rId2090" o:title=""/>
          </v:shape>
          <o:OLEObject Type="Embed" ProgID="Equation.DSMT4" ShapeID="_x0000_i2053" DrawAspect="Content" ObjectID="_1791375997" r:id="rId2091"/>
        </w:object>
      </w:r>
      <w:r w:rsidRPr="00005251">
        <w:rPr>
          <w:rFonts w:eastAsiaTheme="minorEastAsia" w:hint="cs"/>
          <w:i/>
          <w:sz w:val="23"/>
          <w:szCs w:val="23"/>
          <w:rtl/>
        </w:rPr>
        <w:t xml:space="preserve"> به تبع کاهش در مصرف و افزایش پس</w:t>
      </w:r>
      <w:r w:rsidRPr="00005251">
        <w:rPr>
          <w:rFonts w:eastAsiaTheme="minorEastAsia"/>
          <w:i/>
          <w:sz w:val="23"/>
          <w:szCs w:val="23"/>
          <w:rtl/>
        </w:rPr>
        <w:softHyphen/>
      </w:r>
      <w:r w:rsidRPr="00005251">
        <w:rPr>
          <w:rFonts w:eastAsiaTheme="minorEastAsia" w:hint="cs"/>
          <w:i/>
          <w:sz w:val="23"/>
          <w:szCs w:val="23"/>
          <w:rtl/>
        </w:rPr>
        <w:t xml:space="preserve">انداز </w:t>
      </w:r>
      <w:r w:rsidRPr="00005251">
        <w:rPr>
          <w:rFonts w:eastAsiaTheme="minorEastAsia"/>
          <w:i/>
          <w:sz w:val="23"/>
          <w:szCs w:val="23"/>
        </w:rPr>
        <w:t xml:space="preserve"> </w:t>
      </w:r>
      <w:r w:rsidRPr="00005251">
        <w:rPr>
          <w:rFonts w:eastAsiaTheme="minorEastAsia" w:hint="cs"/>
          <w:i/>
          <w:sz w:val="23"/>
          <w:szCs w:val="23"/>
          <w:rtl/>
        </w:rPr>
        <w:t xml:space="preserve">یعنی </w:t>
      </w:r>
      <w:r w:rsidRPr="00005251">
        <w:rPr>
          <w:position w:val="-10"/>
        </w:rPr>
        <w:object w:dxaOrig="1140" w:dyaOrig="320" w14:anchorId="22C8015D">
          <v:shape id="_x0000_i2054" type="#_x0000_t75" style="width:56.85pt;height:15.75pt" o:ole="">
            <v:imagedata r:id="rId2092" o:title=""/>
          </v:shape>
          <o:OLEObject Type="Embed" ProgID="Equation.DSMT4" ShapeID="_x0000_i2054" DrawAspect="Content" ObjectID="_1791375998" r:id="rId2093"/>
        </w:object>
      </w:r>
      <w:r w:rsidRPr="00005251">
        <w:rPr>
          <w:rFonts w:eastAsiaTheme="minorEastAsia" w:hint="cs"/>
          <w:i/>
          <w:sz w:val="23"/>
          <w:szCs w:val="23"/>
          <w:rtl/>
        </w:rPr>
        <w:t>، بواسطه</w:t>
      </w:r>
      <w:r w:rsidRPr="00005251">
        <w:rPr>
          <w:rFonts w:eastAsiaTheme="minorEastAsia"/>
          <w:i/>
          <w:sz w:val="23"/>
          <w:szCs w:val="23"/>
          <w:rtl/>
        </w:rPr>
        <w:softHyphen/>
      </w:r>
      <w:r w:rsidRPr="00005251">
        <w:rPr>
          <w:rFonts w:eastAsiaTheme="minorEastAsia" w:hint="cs"/>
          <w:i/>
          <w:sz w:val="23"/>
          <w:szCs w:val="23"/>
          <w:rtl/>
        </w:rPr>
        <w:t>ی افزایش در مطلوبیت تنزیل شده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position w:val="-12"/>
        </w:rPr>
        <w:object w:dxaOrig="2200" w:dyaOrig="360" w14:anchorId="6DE91CCE">
          <v:shape id="_x0000_i2055" type="#_x0000_t75" style="width:110.1pt;height:18.15pt" o:ole="">
            <v:imagedata r:id="rId2094" o:title=""/>
          </v:shape>
          <o:OLEObject Type="Embed" ProgID="Equation.DSMT4" ShapeID="_x0000_i2055" DrawAspect="Content" ObjectID="_1791375999" r:id="rId2095"/>
        </w:object>
      </w:r>
      <w:r w:rsidRPr="00005251">
        <w:rPr>
          <w:rFonts w:eastAsiaTheme="minorEastAsia" w:hint="cs"/>
          <w:i/>
          <w:sz w:val="23"/>
          <w:szCs w:val="23"/>
          <w:rtl/>
        </w:rPr>
        <w:t xml:space="preserve"> جبران می‌شود. به پس</w:t>
      </w:r>
      <w:r w:rsidRPr="00005251">
        <w:rPr>
          <w:rFonts w:eastAsiaTheme="minorEastAsia"/>
          <w:i/>
          <w:sz w:val="23"/>
          <w:szCs w:val="23"/>
          <w:rtl/>
        </w:rPr>
        <w:softHyphen/>
      </w:r>
      <w:r w:rsidRPr="00005251">
        <w:rPr>
          <w:rFonts w:eastAsiaTheme="minorEastAsia" w:hint="cs"/>
          <w:i/>
          <w:sz w:val="23"/>
          <w:szCs w:val="23"/>
          <w:rtl/>
        </w:rPr>
        <w:t xml:space="preserve">انداز نرخ بهره تعلق می‌گیرد و </w:t>
      </w:r>
      <w:r w:rsidRPr="00005251">
        <w:rPr>
          <w:rFonts w:eastAsiaTheme="minorEastAsia"/>
          <w:i/>
          <w:sz w:val="23"/>
          <w:szCs w:val="23"/>
        </w:rPr>
        <w:t xml:space="preserve"> </w:t>
      </w:r>
      <w:r w:rsidRPr="00005251">
        <w:rPr>
          <w:rFonts w:eastAsiaTheme="minorEastAsia" w:hint="cs"/>
          <w:i/>
          <w:sz w:val="23"/>
          <w:szCs w:val="23"/>
          <w:rtl/>
        </w:rPr>
        <w:t xml:space="preserve">رابطه </w:t>
      </w:r>
      <w:r w:rsidRPr="00005251">
        <w:rPr>
          <w:rFonts w:hint="cs"/>
          <w:i/>
          <w:sz w:val="23"/>
          <w:szCs w:val="23"/>
          <w:rtl/>
        </w:rPr>
        <w:t>(۴. ۱۳)</w:t>
      </w:r>
      <w:r w:rsidRPr="00005251">
        <w:rPr>
          <w:rFonts w:eastAsiaTheme="minorEastAsia" w:hint="cs"/>
          <w:i/>
          <w:sz w:val="23"/>
          <w:szCs w:val="23"/>
          <w:rtl/>
        </w:rPr>
        <w:t xml:space="preserve"> همان معادله اویلر است.</w:t>
      </w:r>
    </w:p>
    <w:p w14:paraId="723F547F"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از رابطه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rFonts w:hint="cs"/>
          <w:i/>
          <w:sz w:val="23"/>
          <w:szCs w:val="23"/>
          <w:rtl/>
        </w:rPr>
        <w:t>(۴. ۶)</w:t>
      </w:r>
      <w:r w:rsidRPr="00005251">
        <w:rPr>
          <w:rFonts w:eastAsiaTheme="minorEastAsia" w:hint="cs"/>
          <w:i/>
          <w:sz w:val="23"/>
          <w:szCs w:val="23"/>
          <w:rtl/>
        </w:rPr>
        <w:t xml:space="preserve"> داریم:</w:t>
      </w:r>
    </w:p>
    <w:p w14:paraId="02998081"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30"/>
        </w:rPr>
        <w:object w:dxaOrig="4420" w:dyaOrig="660" w14:anchorId="23030ABE">
          <v:shape id="_x0000_i2056" type="#_x0000_t75" style="width:220.85pt;height:33.3pt" o:ole="">
            <v:imagedata r:id="rId2096" o:title=""/>
          </v:shape>
          <o:OLEObject Type="Embed" ProgID="Equation.DSMT4" ShapeID="_x0000_i2056" DrawAspect="Content" ObjectID="_1791376000" r:id="rId2097"/>
        </w:object>
      </w:r>
    </w:p>
    <w:p w14:paraId="55E38BC9"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در این رابطه</w:t>
      </w:r>
      <w:r w:rsidRPr="00005251">
        <w:rPr>
          <w:rFonts w:eastAsiaTheme="minorEastAsia"/>
          <w:i/>
          <w:sz w:val="23"/>
          <w:szCs w:val="23"/>
          <w:rtl/>
        </w:rPr>
        <w:softHyphen/>
      </w:r>
      <w:r w:rsidRPr="00005251">
        <w:rPr>
          <w:rFonts w:eastAsiaTheme="minorEastAsia" w:hint="cs"/>
          <w:i/>
          <w:sz w:val="23"/>
          <w:szCs w:val="23"/>
          <w:rtl/>
        </w:rPr>
        <w:t xml:space="preserve"> مصرف در زمان</w:t>
      </w:r>
      <w:r w:rsidRPr="00005251">
        <w:rPr>
          <w:position w:val="-6"/>
        </w:rPr>
        <w:object w:dxaOrig="139" w:dyaOrig="240" w14:anchorId="46BFD0E6">
          <v:shape id="_x0000_i2057" type="#_x0000_t75" style="width:7.25pt;height:12.1pt" o:ole="">
            <v:imagedata r:id="rId2098" o:title=""/>
          </v:shape>
          <o:OLEObject Type="Embed" ProgID="Equation.DSMT4" ShapeID="_x0000_i2057" DrawAspect="Content" ObjectID="_1791376001" r:id="rId2099"/>
        </w:object>
      </w:r>
      <w:r w:rsidRPr="00005251">
        <w:rPr>
          <w:rFonts w:hint="cs"/>
          <w:sz w:val="23"/>
          <w:szCs w:val="23"/>
          <w:rtl/>
        </w:rPr>
        <w:t xml:space="preserve"> </w:t>
      </w:r>
      <w:r w:rsidRPr="00005251">
        <w:rPr>
          <w:rFonts w:eastAsiaTheme="minorEastAsia" w:hint="cs"/>
          <w:i/>
          <w:sz w:val="23"/>
          <w:szCs w:val="23"/>
          <w:rtl/>
          <w:lang w:val="en-GB"/>
        </w:rPr>
        <w:t xml:space="preserve">یا </w:t>
      </w:r>
      <w:r w:rsidRPr="00005251">
        <w:rPr>
          <w:position w:val="-10"/>
        </w:rPr>
        <w:object w:dxaOrig="200" w:dyaOrig="320" w14:anchorId="47BDD209">
          <v:shape id="_x0000_i2058" type="#_x0000_t75" style="width:10.3pt;height:15.75pt" o:ole="">
            <v:imagedata r:id="rId2100" o:title=""/>
          </v:shape>
          <o:OLEObject Type="Embed" ProgID="Equation.DSMT4" ShapeID="_x0000_i2058" DrawAspect="Content" ObjectID="_1791376002" r:id="rId2101"/>
        </w:object>
      </w:r>
      <w:r w:rsidRPr="00005251">
        <w:rPr>
          <w:rFonts w:eastAsiaTheme="minorEastAsia" w:hint="cs"/>
          <w:i/>
          <w:sz w:val="23"/>
          <w:szCs w:val="23"/>
          <w:vertAlign w:val="subscript"/>
          <w:rtl/>
        </w:rPr>
        <w:t xml:space="preserve"> </w:t>
      </w:r>
      <w:r w:rsidRPr="00005251">
        <w:rPr>
          <w:rFonts w:eastAsiaTheme="minorEastAsia" w:hint="cs"/>
          <w:i/>
          <w:sz w:val="23"/>
          <w:szCs w:val="23"/>
          <w:rtl/>
        </w:rPr>
        <w:t>حداکثر است اگر درآمد</w:t>
      </w:r>
      <w:r w:rsidRPr="00005251">
        <w:rPr>
          <w:position w:val="-10"/>
        </w:rPr>
        <w:object w:dxaOrig="240" w:dyaOrig="320" w14:anchorId="582F6BE0">
          <v:shape id="_x0000_i2059" type="#_x0000_t75" style="width:12.1pt;height:15.75pt" o:ole="">
            <v:imagedata r:id="rId2102" o:title=""/>
          </v:shape>
          <o:OLEObject Type="Embed" ProgID="Equation.DSMT4" ShapeID="_x0000_i2059" DrawAspect="Content" ObjectID="_1791376003" r:id="rId2103"/>
        </w:object>
      </w:r>
      <w:r w:rsidRPr="00005251">
        <w:rPr>
          <w:rFonts w:eastAsiaTheme="minorEastAsia" w:hint="cs"/>
          <w:i/>
          <w:sz w:val="23"/>
          <w:szCs w:val="23"/>
          <w:rtl/>
        </w:rPr>
        <w:t xml:space="preserve"> و درآمد تنزیل شده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position w:val="-30"/>
        </w:rPr>
        <w:object w:dxaOrig="820" w:dyaOrig="660" w14:anchorId="2E4A4A97">
          <v:shape id="_x0000_i2060" type="#_x0000_t75" style="width:40.55pt;height:33.3pt" o:ole="">
            <v:imagedata r:id="rId2104" o:title=""/>
          </v:shape>
          <o:OLEObject Type="Embed" ProgID="Equation.DSMT4" ShapeID="_x0000_i2060" DrawAspect="Content" ObjectID="_1791376004" r:id="rId2105"/>
        </w:object>
      </w:r>
      <w:r w:rsidRPr="00005251">
        <w:rPr>
          <w:rFonts w:eastAsiaTheme="minorEastAsia" w:hint="cs"/>
          <w:i/>
          <w:sz w:val="23"/>
          <w:szCs w:val="23"/>
          <w:rtl/>
          <w:lang w:val="en-GB"/>
        </w:rPr>
        <w:t xml:space="preserve">، </w:t>
      </w:r>
      <w:r w:rsidRPr="00005251">
        <w:rPr>
          <w:rFonts w:eastAsiaTheme="minorEastAsia" w:hint="cs"/>
          <w:i/>
          <w:sz w:val="23"/>
          <w:szCs w:val="23"/>
          <w:rtl/>
        </w:rPr>
        <w:t>بعلاوه دارایی مالی</w:t>
      </w:r>
      <w:r w:rsidRPr="00005251">
        <w:rPr>
          <w:position w:val="-10"/>
        </w:rPr>
        <w:object w:dxaOrig="240" w:dyaOrig="320" w14:anchorId="731C5101">
          <v:shape id="_x0000_i2061" type="#_x0000_t75" style="width:12.1pt;height:15.75pt" o:ole="">
            <v:imagedata r:id="rId2106" o:title=""/>
          </v:shape>
          <o:OLEObject Type="Embed" ProgID="Equation.DSMT4" ShapeID="_x0000_i2061" DrawAspect="Content" ObjectID="_1791376005" r:id="rId2107"/>
        </w:object>
      </w:r>
      <w:r w:rsidRPr="00005251">
        <w:rPr>
          <w:rFonts w:hint="cs"/>
          <w:i/>
          <w:sz w:val="23"/>
          <w:szCs w:val="23"/>
          <w:rtl/>
        </w:rPr>
        <w:t xml:space="preserve"> </w:t>
      </w:r>
      <w:r w:rsidRPr="00005251">
        <w:rPr>
          <w:rFonts w:eastAsiaTheme="minorEastAsia" w:hint="cs"/>
          <w:i/>
          <w:sz w:val="23"/>
          <w:szCs w:val="23"/>
          <w:rtl/>
        </w:rPr>
        <w:t>و بهره</w:t>
      </w:r>
      <w:r w:rsidRPr="00005251">
        <w:rPr>
          <w:rFonts w:eastAsiaTheme="minorEastAsia"/>
          <w:i/>
          <w:sz w:val="23"/>
          <w:szCs w:val="23"/>
          <w:rtl/>
        </w:rPr>
        <w:softHyphen/>
      </w:r>
      <w:r w:rsidRPr="00005251">
        <w:rPr>
          <w:rFonts w:eastAsiaTheme="minorEastAsia" w:hint="cs"/>
          <w:i/>
          <w:sz w:val="23"/>
          <w:szCs w:val="23"/>
          <w:rtl/>
        </w:rPr>
        <w:t xml:space="preserve">ی حاصل از آن یعنی </w:t>
      </w:r>
      <w:r w:rsidRPr="00005251">
        <w:rPr>
          <w:position w:val="-10"/>
        </w:rPr>
        <w:object w:dxaOrig="360" w:dyaOrig="320" w14:anchorId="205C7E83">
          <v:shape id="_x0000_i2062" type="#_x0000_t75" style="width:18.15pt;height:15.75pt" o:ole="">
            <v:imagedata r:id="rId2108" o:title=""/>
          </v:shape>
          <o:OLEObject Type="Embed" ProgID="Equation.DSMT4" ShapeID="_x0000_i2062" DrawAspect="Content" ObjectID="_1791376006" r:id="rId2109"/>
        </w:object>
      </w:r>
      <w:r w:rsidRPr="00005251">
        <w:rPr>
          <w:rFonts w:eastAsiaTheme="minorEastAsia" w:hint="cs"/>
          <w:i/>
          <w:sz w:val="23"/>
          <w:szCs w:val="23"/>
          <w:rtl/>
        </w:rPr>
        <w:t xml:space="preserve"> مصرف شوند و </w:t>
      </w:r>
      <w:r w:rsidRPr="00005251">
        <w:rPr>
          <w:position w:val="-10"/>
        </w:rPr>
        <w:object w:dxaOrig="1260" w:dyaOrig="320" w14:anchorId="176E37D7">
          <v:shape id="_x0000_i2063" type="#_x0000_t75" style="width:62.9pt;height:15.75pt" o:ole="">
            <v:imagedata r:id="rId2110" o:title=""/>
          </v:shape>
          <o:OLEObject Type="Embed" ProgID="Equation.DSMT4" ShapeID="_x0000_i2063" DrawAspect="Content" ObjectID="_1791376007" r:id="rId2111"/>
        </w:object>
      </w:r>
      <w:r w:rsidRPr="00005251">
        <w:rPr>
          <w:rFonts w:eastAsiaTheme="minorEastAsia" w:hint="cs"/>
          <w:i/>
          <w:sz w:val="23"/>
          <w:szCs w:val="23"/>
          <w:rtl/>
        </w:rPr>
        <w:t xml:space="preserve"> باشد</w:t>
      </w:r>
      <w:r w:rsidRPr="00005251">
        <w:rPr>
          <w:rFonts w:eastAsiaTheme="minorEastAsia"/>
          <w:i/>
          <w:sz w:val="23"/>
          <w:szCs w:val="23"/>
        </w:rPr>
        <w:t>.</w:t>
      </w:r>
      <w:r w:rsidRPr="00005251">
        <w:rPr>
          <w:rFonts w:eastAsiaTheme="minorEastAsia" w:hint="cs"/>
          <w:i/>
          <w:sz w:val="23"/>
          <w:szCs w:val="23"/>
          <w:rtl/>
        </w:rPr>
        <w:t xml:space="preserve"> به همین ترتیب مصرف در زمان </w:t>
      </w:r>
      <w:r w:rsidRPr="00005251">
        <w:rPr>
          <w:position w:val="-6"/>
        </w:rPr>
        <w:object w:dxaOrig="440" w:dyaOrig="260" w14:anchorId="7A60FB2F">
          <v:shape id="_x0000_i2064" type="#_x0000_t75" style="width:21.8pt;height:12.7pt" o:ole="">
            <v:imagedata r:id="rId2112" o:title=""/>
          </v:shape>
          <o:OLEObject Type="Embed" ProgID="Equation.DSMT4" ShapeID="_x0000_i2064" DrawAspect="Content" ObjectID="_1791376008" r:id="rId2113"/>
        </w:object>
      </w:r>
      <w:r w:rsidRPr="00005251">
        <w:rPr>
          <w:rFonts w:eastAsiaTheme="minorEastAsia" w:hint="cs"/>
          <w:i/>
          <w:sz w:val="23"/>
          <w:szCs w:val="23"/>
          <w:rtl/>
          <w:lang w:val="en-GB"/>
        </w:rPr>
        <w:t xml:space="preserve"> یا</w:t>
      </w:r>
      <w:r w:rsidRPr="00005251">
        <w:rPr>
          <w:rFonts w:eastAsiaTheme="minorEastAsia" w:hint="cs"/>
          <w:i/>
          <w:sz w:val="23"/>
          <w:szCs w:val="23"/>
          <w:rtl/>
        </w:rPr>
        <w:t xml:space="preserve"> </w:t>
      </w:r>
      <w:r w:rsidRPr="00005251">
        <w:rPr>
          <w:position w:val="-10"/>
        </w:rPr>
        <w:object w:dxaOrig="340" w:dyaOrig="320" w14:anchorId="7591303C">
          <v:shape id="_x0000_i2065" type="#_x0000_t75" style="width:16.95pt;height:15.75pt" o:ole="">
            <v:imagedata r:id="rId2114" o:title=""/>
          </v:shape>
          <o:OLEObject Type="Embed" ProgID="Equation.DSMT4" ShapeID="_x0000_i2065" DrawAspect="Content" ObjectID="_1791376009" r:id="rId2115"/>
        </w:object>
      </w:r>
      <w:r w:rsidRPr="00005251">
        <w:rPr>
          <w:rFonts w:eastAsiaTheme="minorEastAsia" w:hint="cs"/>
          <w:i/>
          <w:sz w:val="23"/>
          <w:szCs w:val="23"/>
          <w:vertAlign w:val="subscript"/>
          <w:rtl/>
        </w:rPr>
        <w:t xml:space="preserve"> </w:t>
      </w:r>
      <w:r w:rsidRPr="00005251">
        <w:rPr>
          <w:rFonts w:eastAsiaTheme="minorEastAsia" w:hint="cs"/>
          <w:i/>
          <w:sz w:val="23"/>
          <w:szCs w:val="23"/>
          <w:rtl/>
        </w:rPr>
        <w:t>حداکثر است اگر درآمد</w:t>
      </w:r>
      <w:r w:rsidRPr="00005251">
        <w:rPr>
          <w:position w:val="-10"/>
        </w:rPr>
        <w:object w:dxaOrig="360" w:dyaOrig="320" w14:anchorId="5DF458DE">
          <v:shape id="_x0000_i2066" type="#_x0000_t75" style="width:18.15pt;height:15.75pt" o:ole="">
            <v:imagedata r:id="rId2116" o:title=""/>
          </v:shape>
          <o:OLEObject Type="Embed" ProgID="Equation.DSMT4" ShapeID="_x0000_i2066" DrawAspect="Content" ObjectID="_1791376010" r:id="rId2117"/>
        </w:object>
      </w:r>
      <w:r w:rsidRPr="00005251">
        <w:rPr>
          <w:rFonts w:eastAsiaTheme="minorEastAsia" w:hint="cs"/>
          <w:i/>
          <w:sz w:val="23"/>
          <w:szCs w:val="23"/>
          <w:rtl/>
        </w:rPr>
        <w:t xml:space="preserve"> بعلاوه درآمد و بهره</w:t>
      </w:r>
      <w:r w:rsidRPr="00005251">
        <w:rPr>
          <w:rFonts w:eastAsiaTheme="minorEastAsia"/>
          <w:i/>
          <w:sz w:val="23"/>
          <w:szCs w:val="23"/>
          <w:rtl/>
        </w:rPr>
        <w:softHyphen/>
      </w:r>
      <w:r w:rsidRPr="00005251">
        <w:rPr>
          <w:rFonts w:eastAsiaTheme="minorEastAsia" w:hint="cs"/>
          <w:i/>
          <w:sz w:val="23"/>
          <w:szCs w:val="23"/>
          <w:rtl/>
        </w:rPr>
        <w:t>ی حاصل از آن</w:t>
      </w:r>
      <w:r w:rsidRPr="00005251">
        <w:rPr>
          <w:position w:val="-12"/>
        </w:rPr>
        <w:object w:dxaOrig="960" w:dyaOrig="360" w14:anchorId="02022C39">
          <v:shape id="_x0000_i2067" type="#_x0000_t75" style="width:47.8pt;height:18.15pt" o:ole="">
            <v:imagedata r:id="rId2118" o:title=""/>
          </v:shape>
          <o:OLEObject Type="Embed" ProgID="Equation.DSMT4" ShapeID="_x0000_i2067" DrawAspect="Content" ObjectID="_1791376011" r:id="rId2119"/>
        </w:object>
      </w:r>
      <w:r w:rsidRPr="00005251">
        <w:rPr>
          <w:rFonts w:eastAsiaTheme="minorEastAsia" w:hint="cs"/>
          <w:i/>
          <w:sz w:val="23"/>
          <w:szCs w:val="23"/>
          <w:rtl/>
          <w:lang w:val="en-GB"/>
        </w:rPr>
        <w:t xml:space="preserve">، </w:t>
      </w:r>
      <w:r w:rsidRPr="00005251">
        <w:rPr>
          <w:rFonts w:eastAsiaTheme="minorEastAsia" w:hint="cs"/>
          <w:i/>
          <w:sz w:val="23"/>
          <w:szCs w:val="23"/>
          <w:rtl/>
        </w:rPr>
        <w:t>بعلاوه دارایی مالی و بهره</w:t>
      </w:r>
      <w:r w:rsidRPr="00005251">
        <w:rPr>
          <w:rFonts w:eastAsiaTheme="minorEastAsia"/>
          <w:i/>
          <w:sz w:val="23"/>
          <w:szCs w:val="23"/>
          <w:rtl/>
        </w:rPr>
        <w:softHyphen/>
      </w:r>
      <w:r w:rsidRPr="00005251">
        <w:rPr>
          <w:rFonts w:eastAsiaTheme="minorEastAsia" w:hint="cs"/>
          <w:i/>
          <w:sz w:val="23"/>
          <w:szCs w:val="23"/>
          <w:rtl/>
        </w:rPr>
        <w:t xml:space="preserve">ی حاصل از آن </w:t>
      </w:r>
      <w:r w:rsidRPr="00005251">
        <w:rPr>
          <w:position w:val="-12"/>
        </w:rPr>
        <w:object w:dxaOrig="940" w:dyaOrig="400" w14:anchorId="28672594">
          <v:shape id="_x0000_i2068" type="#_x0000_t75" style="width:47.2pt;height:19.95pt" o:ole="">
            <v:imagedata r:id="rId2120" o:title=""/>
          </v:shape>
          <o:OLEObject Type="Embed" ProgID="Equation.DSMT4" ShapeID="_x0000_i2068" DrawAspect="Content" ObjectID="_1791376012" r:id="rId2121"/>
        </w:object>
      </w:r>
      <w:r w:rsidRPr="00005251">
        <w:rPr>
          <w:rFonts w:eastAsiaTheme="minorEastAsia" w:hint="cs"/>
          <w:i/>
          <w:sz w:val="23"/>
          <w:szCs w:val="23"/>
          <w:rtl/>
        </w:rPr>
        <w:t xml:space="preserve"> مصرف شود و </w:t>
      </w:r>
      <w:r w:rsidRPr="00005251">
        <w:rPr>
          <w:position w:val="-10"/>
        </w:rPr>
        <w:object w:dxaOrig="1120" w:dyaOrig="320" w14:anchorId="18197251">
          <v:shape id="_x0000_i2069" type="#_x0000_t75" style="width:56.25pt;height:15.75pt" o:ole="">
            <v:imagedata r:id="rId2122" o:title=""/>
          </v:shape>
          <o:OLEObject Type="Embed" ProgID="Equation.DSMT4" ShapeID="_x0000_i2069" DrawAspect="Content" ObjectID="_1791376013" r:id="rId2123"/>
        </w:object>
      </w:r>
      <w:r w:rsidRPr="00005251">
        <w:rPr>
          <w:rFonts w:eastAsiaTheme="minorEastAsia" w:hint="cs"/>
          <w:i/>
          <w:sz w:val="23"/>
          <w:szCs w:val="23"/>
          <w:rtl/>
        </w:rPr>
        <w:t xml:space="preserve"> باشد</w:t>
      </w:r>
      <w:r w:rsidRPr="00005251">
        <w:rPr>
          <w:rFonts w:eastAsiaTheme="minorEastAsia"/>
          <w:i/>
          <w:sz w:val="23"/>
          <w:szCs w:val="23"/>
        </w:rPr>
        <w:t>.</w:t>
      </w:r>
      <w:r w:rsidRPr="00005251">
        <w:rPr>
          <w:rFonts w:eastAsiaTheme="minorEastAsia" w:hint="cs"/>
          <w:i/>
          <w:sz w:val="23"/>
          <w:szCs w:val="23"/>
          <w:rtl/>
        </w:rPr>
        <w:t xml:space="preserve"> اگر فرض کنیم نرخ بهره ثابت است یعنی </w:t>
      </w:r>
      <w:r w:rsidRPr="00005251">
        <w:rPr>
          <w:position w:val="-10"/>
        </w:rPr>
        <w:object w:dxaOrig="499" w:dyaOrig="320" w14:anchorId="234345D9">
          <v:shape id="_x0000_i2070" type="#_x0000_t75" style="width:24.8pt;height:15.75pt" o:ole="">
            <v:imagedata r:id="rId2124" o:title=""/>
          </v:shape>
          <o:OLEObject Type="Embed" ProgID="Equation.DSMT4" ShapeID="_x0000_i2070" DrawAspect="Content" ObjectID="_1791376014" r:id="rId2125"/>
        </w:object>
      </w:r>
      <w:r w:rsidRPr="00005251">
        <w:rPr>
          <w:rFonts w:eastAsiaTheme="minorEastAsia" w:hint="cs"/>
          <w:i/>
          <w:sz w:val="23"/>
          <w:szCs w:val="23"/>
          <w:rtl/>
        </w:rPr>
        <w:t xml:space="preserve"> آنگاه</w:t>
      </w:r>
      <w:r>
        <w:rPr>
          <w:rFonts w:eastAsiaTheme="minorEastAsia" w:hint="cs"/>
          <w:i/>
          <w:sz w:val="23"/>
          <w:szCs w:val="23"/>
          <w:rtl/>
        </w:rPr>
        <w:t xml:space="preserve"> </w:t>
      </w:r>
      <w:r w:rsidRPr="00005251">
        <w:rPr>
          <w:position w:val="-22"/>
        </w:rPr>
        <w:object w:dxaOrig="6280" w:dyaOrig="580" w14:anchorId="66DB670D">
          <v:shape id="_x0000_i2071" type="#_x0000_t75" style="width:286.2pt;height:29.05pt" o:ole="">
            <v:imagedata r:id="rId2126" o:title=""/>
          </v:shape>
          <o:OLEObject Type="Embed" ProgID="Equation.DSMT4" ShapeID="_x0000_i2071" DrawAspect="Content" ObjectID="_1791376015" r:id="rId2127"/>
        </w:object>
      </w:r>
      <w:r>
        <w:rPr>
          <w:rFonts w:hint="cs"/>
          <w:rtl/>
        </w:rPr>
        <w:t>.</w:t>
      </w:r>
    </w:p>
    <w:p w14:paraId="15767D55" w14:textId="77777777" w:rsidR="00411620" w:rsidRDefault="00411620" w:rsidP="00411620">
      <w:pPr>
        <w:spacing w:line="216" w:lineRule="auto"/>
        <w:rPr>
          <w:rFonts w:eastAsiaTheme="minorEastAsia"/>
          <w:i/>
          <w:sz w:val="23"/>
          <w:szCs w:val="23"/>
          <w:rtl/>
        </w:rPr>
      </w:pPr>
      <w:r w:rsidRPr="00005251">
        <w:rPr>
          <w:rFonts w:eastAsiaTheme="minorEastAsia" w:hint="cs"/>
          <w:i/>
          <w:sz w:val="23"/>
          <w:szCs w:val="23"/>
          <w:rtl/>
        </w:rPr>
        <w:t>از آنجاکه</w:t>
      </w:r>
      <w:r w:rsidRPr="00005251">
        <w:rPr>
          <w:position w:val="-10"/>
        </w:rPr>
        <w:object w:dxaOrig="660" w:dyaOrig="320" w14:anchorId="0A0D5A08">
          <v:shape id="_x0000_i2072" type="#_x0000_t75" style="width:33.3pt;height:15.75pt" o:ole="">
            <v:imagedata r:id="rId2128" o:title=""/>
          </v:shape>
          <o:OLEObject Type="Embed" ProgID="Equation.DSMT4" ShapeID="_x0000_i2072" DrawAspect="Content" ObjectID="_1791376016" r:id="rId2129"/>
        </w:object>
      </w:r>
      <w:r w:rsidRPr="00005251">
        <w:rPr>
          <w:rFonts w:eastAsiaTheme="minorEastAsia" w:hint="cs"/>
          <w:i/>
          <w:sz w:val="23"/>
          <w:szCs w:val="23"/>
          <w:rtl/>
        </w:rPr>
        <w:t xml:space="preserve"> زمانی است که </w:t>
      </w:r>
      <w:r w:rsidRPr="00005251">
        <w:rPr>
          <w:position w:val="-10"/>
        </w:rPr>
        <w:object w:dxaOrig="700" w:dyaOrig="320" w14:anchorId="3D43A57F">
          <v:shape id="_x0000_i2073" type="#_x0000_t75" style="width:34.5pt;height:15.75pt" o:ole="">
            <v:imagedata r:id="rId2130" o:title=""/>
          </v:shape>
          <o:OLEObject Type="Embed" ProgID="Equation.DSMT4" ShapeID="_x0000_i2073" DrawAspect="Content" ObjectID="_1791376017" r:id="rId2131"/>
        </w:object>
      </w:r>
      <w:r w:rsidRPr="00005251">
        <w:rPr>
          <w:rFonts w:eastAsiaTheme="minorEastAsia" w:hint="cs"/>
          <w:i/>
          <w:sz w:val="23"/>
          <w:szCs w:val="23"/>
          <w:rtl/>
        </w:rPr>
        <w:t xml:space="preserve"> است، و</w:t>
      </w:r>
      <w:r w:rsidRPr="00005251">
        <w:rPr>
          <w:position w:val="-10"/>
        </w:rPr>
        <w:object w:dxaOrig="780" w:dyaOrig="320" w14:anchorId="6730C2A4">
          <v:shape id="_x0000_i2074" type="#_x0000_t75" style="width:38.7pt;height:15.75pt" o:ole="">
            <v:imagedata r:id="rId2132" o:title=""/>
          </v:shape>
          <o:OLEObject Type="Embed" ProgID="Equation.DSMT4" ShapeID="_x0000_i2074" DrawAspect="Content" ObjectID="_1791376018" r:id="rId2133"/>
        </w:object>
      </w:r>
      <w:r w:rsidRPr="00005251">
        <w:rPr>
          <w:rFonts w:eastAsiaTheme="minorEastAsia" w:hint="cs"/>
          <w:i/>
          <w:sz w:val="23"/>
          <w:szCs w:val="23"/>
          <w:rtl/>
        </w:rPr>
        <w:t xml:space="preserve"> زمانی است که </w:t>
      </w:r>
      <w:r w:rsidRPr="00005251">
        <w:rPr>
          <w:position w:val="-10"/>
        </w:rPr>
        <w:object w:dxaOrig="560" w:dyaOrig="320" w14:anchorId="54A7EEAF">
          <v:shape id="_x0000_i2075" type="#_x0000_t75" style="width:27.85pt;height:15.75pt" o:ole="">
            <v:imagedata r:id="rId2134" o:title=""/>
          </v:shape>
          <o:OLEObject Type="Embed" ProgID="Equation.DSMT4" ShapeID="_x0000_i2075" DrawAspect="Content" ObjectID="_1791376019" r:id="rId2135"/>
        </w:object>
      </w:r>
      <w:r w:rsidRPr="00005251">
        <w:rPr>
          <w:rFonts w:eastAsiaTheme="minorEastAsia" w:hint="cs"/>
          <w:i/>
          <w:sz w:val="23"/>
          <w:szCs w:val="23"/>
          <w:rtl/>
        </w:rPr>
        <w:t xml:space="preserve"> است، لذا</w:t>
      </w:r>
    </w:p>
    <w:p w14:paraId="7DB2F227"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 xml:space="preserve"> قید بودجه در نمودار زیر هر دو محور را قطع خواهد کرد. مطابق رابطه</w:t>
      </w:r>
      <w:r w:rsidRPr="00005251">
        <w:rPr>
          <w:rFonts w:eastAsiaTheme="minorEastAsia"/>
          <w:i/>
          <w:sz w:val="23"/>
          <w:szCs w:val="23"/>
          <w:rtl/>
        </w:rPr>
        <w:softHyphen/>
      </w:r>
      <w:r w:rsidRPr="00005251">
        <w:rPr>
          <w:rFonts w:eastAsiaTheme="minorEastAsia" w:hint="cs"/>
          <w:i/>
          <w:sz w:val="23"/>
          <w:szCs w:val="23"/>
          <w:rtl/>
        </w:rPr>
        <w:t>ی</w:t>
      </w:r>
      <w:r w:rsidRPr="00005251">
        <w:rPr>
          <w:i/>
          <w:sz w:val="23"/>
          <w:szCs w:val="23"/>
        </w:rPr>
        <w:t xml:space="preserve"> </w:t>
      </w:r>
      <w:r w:rsidRPr="00005251">
        <w:rPr>
          <w:rFonts w:hint="cs"/>
          <w:i/>
          <w:sz w:val="23"/>
          <w:szCs w:val="23"/>
          <w:rtl/>
        </w:rPr>
        <w:t>(۴. ۱۳)</w:t>
      </w:r>
      <w:r w:rsidRPr="00005251">
        <w:rPr>
          <w:rFonts w:eastAsiaTheme="minorEastAsia" w:hint="cs"/>
          <w:i/>
          <w:sz w:val="23"/>
          <w:szCs w:val="23"/>
          <w:rtl/>
          <w:lang w:val="en-GB"/>
        </w:rPr>
        <w:t xml:space="preserve"> </w:t>
      </w:r>
      <w:r w:rsidRPr="00005251">
        <w:rPr>
          <w:rFonts w:eastAsiaTheme="minorEastAsia" w:hint="cs"/>
          <w:i/>
          <w:sz w:val="23"/>
          <w:szCs w:val="23"/>
          <w:rtl/>
        </w:rPr>
        <w:t>شیب منحنی منفی است و بر اساس رابطه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rFonts w:hint="cs"/>
          <w:i/>
          <w:sz w:val="23"/>
          <w:szCs w:val="23"/>
          <w:rtl/>
        </w:rPr>
        <w:t>(۴. ۱۱)</w:t>
      </w:r>
      <w:r w:rsidRPr="00005251">
        <w:rPr>
          <w:rFonts w:eastAsiaTheme="minorEastAsia" w:hint="cs"/>
          <w:i/>
          <w:sz w:val="23"/>
          <w:szCs w:val="23"/>
          <w:rtl/>
        </w:rPr>
        <w:t xml:space="preserve"> مطلوبیت بهینه بواسطه</w:t>
      </w:r>
      <w:r w:rsidRPr="00005251">
        <w:rPr>
          <w:rFonts w:eastAsiaTheme="minorEastAsia"/>
          <w:i/>
          <w:sz w:val="23"/>
          <w:szCs w:val="23"/>
          <w:rtl/>
        </w:rPr>
        <w:softHyphen/>
      </w:r>
      <w:r w:rsidRPr="00005251">
        <w:rPr>
          <w:rFonts w:eastAsiaTheme="minorEastAsia" w:hint="cs"/>
          <w:i/>
          <w:sz w:val="23"/>
          <w:szCs w:val="23"/>
          <w:rtl/>
        </w:rPr>
        <w:t xml:space="preserve">یِ مصرف در زمان </w:t>
      </w:r>
      <w:r w:rsidRPr="00005251">
        <w:rPr>
          <w:position w:val="-6"/>
        </w:rPr>
        <w:object w:dxaOrig="139" w:dyaOrig="240" w14:anchorId="497C9900">
          <v:shape id="_x0000_i2076" type="#_x0000_t75" style="width:7.25pt;height:12.1pt" o:ole="">
            <v:imagedata r:id="rId2136" o:title=""/>
          </v:shape>
          <o:OLEObject Type="Embed" ProgID="Equation.DSMT4" ShapeID="_x0000_i2076" DrawAspect="Content" ObjectID="_1791376020" r:id="rId2137"/>
        </w:object>
      </w:r>
      <w:r w:rsidRPr="00005251">
        <w:rPr>
          <w:rFonts w:eastAsiaTheme="minorEastAsia" w:hint="cs"/>
          <w:i/>
          <w:sz w:val="23"/>
          <w:szCs w:val="23"/>
          <w:rtl/>
          <w:lang w:val="en-GB"/>
        </w:rPr>
        <w:t xml:space="preserve"> و </w:t>
      </w:r>
      <w:r w:rsidRPr="00005251">
        <w:rPr>
          <w:position w:val="-6"/>
        </w:rPr>
        <w:object w:dxaOrig="440" w:dyaOrig="260" w14:anchorId="4C065E48">
          <v:shape id="_x0000_i2077" type="#_x0000_t75" style="width:21.8pt;height:12.7pt" o:ole="">
            <v:imagedata r:id="rId2138" o:title=""/>
          </v:shape>
          <o:OLEObject Type="Embed" ProgID="Equation.DSMT4" ShapeID="_x0000_i2077" DrawAspect="Content" ObjectID="_1791376021" r:id="rId2139"/>
        </w:object>
      </w:r>
      <w:r w:rsidRPr="00005251">
        <w:rPr>
          <w:rFonts w:eastAsiaTheme="minorEastAsia" w:hint="cs"/>
          <w:i/>
          <w:sz w:val="23"/>
          <w:szCs w:val="23"/>
          <w:rtl/>
          <w:lang w:val="en-GB"/>
        </w:rPr>
        <w:t xml:space="preserve"> </w:t>
      </w:r>
      <w:r w:rsidRPr="00005251">
        <w:rPr>
          <w:rFonts w:eastAsiaTheme="minorEastAsia" w:hint="cs"/>
          <w:i/>
          <w:sz w:val="23"/>
          <w:szCs w:val="23"/>
          <w:rtl/>
        </w:rPr>
        <w:t xml:space="preserve">بدست </w:t>
      </w:r>
      <w:r w:rsidRPr="00005251">
        <w:rPr>
          <w:rFonts w:eastAsiaTheme="minorEastAsia" w:hint="cs"/>
          <w:i/>
          <w:sz w:val="23"/>
          <w:szCs w:val="23"/>
          <w:rtl/>
        </w:rPr>
        <w:lastRenderedPageBreak/>
        <w:t xml:space="preserve">خواهد آمد. از رابطه </w:t>
      </w:r>
      <w:r w:rsidRPr="00005251">
        <w:rPr>
          <w:rFonts w:hint="cs"/>
          <w:i/>
          <w:sz w:val="23"/>
          <w:szCs w:val="23"/>
          <w:rtl/>
        </w:rPr>
        <w:t>(۴. ۱۳)</w:t>
      </w:r>
      <w:r w:rsidRPr="00005251">
        <w:rPr>
          <w:rFonts w:eastAsiaTheme="minorEastAsia" w:hint="cs"/>
          <w:i/>
          <w:sz w:val="23"/>
          <w:szCs w:val="23"/>
          <w:rtl/>
        </w:rPr>
        <w:t xml:space="preserve"> شیب منحنی بی</w:t>
      </w:r>
      <w:r w:rsidRPr="00005251">
        <w:rPr>
          <w:rFonts w:eastAsiaTheme="minorEastAsia"/>
          <w:i/>
          <w:sz w:val="23"/>
          <w:szCs w:val="23"/>
          <w:rtl/>
        </w:rPr>
        <w:softHyphen/>
      </w:r>
      <w:r w:rsidRPr="00005251">
        <w:rPr>
          <w:rFonts w:eastAsiaTheme="minorEastAsia" w:hint="cs"/>
          <w:i/>
          <w:sz w:val="23"/>
          <w:szCs w:val="23"/>
          <w:rtl/>
        </w:rPr>
        <w:t xml:space="preserve">تفاوتی می‌بایست برابر با شیب خط بودجه یعنی </w:t>
      </w:r>
      <w:r w:rsidRPr="00005251">
        <w:rPr>
          <w:position w:val="-10"/>
        </w:rPr>
        <w:object w:dxaOrig="600" w:dyaOrig="320" w14:anchorId="2B5BBC5C">
          <v:shape id="_x0000_i2078" type="#_x0000_t75" style="width:30.25pt;height:15.75pt" o:ole="">
            <v:imagedata r:id="rId2140" o:title=""/>
          </v:shape>
          <o:OLEObject Type="Embed" ProgID="Equation.DSMT4" ShapeID="_x0000_i2078" DrawAspect="Content" ObjectID="_1791376022" r:id="rId2141"/>
        </w:object>
      </w:r>
      <w:r w:rsidRPr="00005251">
        <w:rPr>
          <w:rFonts w:eastAsiaTheme="minorEastAsia" w:hint="cs"/>
          <w:i/>
          <w:sz w:val="23"/>
          <w:szCs w:val="23"/>
          <w:rtl/>
        </w:rPr>
        <w:t xml:space="preserve"> باشد.</w:t>
      </w:r>
      <w:r w:rsidRPr="00005251">
        <w:rPr>
          <w:rFonts w:eastAsiaTheme="minorEastAsia"/>
          <w:i/>
          <w:sz w:val="23"/>
          <w:szCs w:val="23"/>
        </w:rPr>
        <w:t xml:space="preserve"> </w:t>
      </w:r>
      <w:r w:rsidRPr="00005251">
        <w:rPr>
          <w:rFonts w:eastAsiaTheme="minorEastAsia" w:hint="cs"/>
          <w:i/>
          <w:sz w:val="23"/>
          <w:szCs w:val="23"/>
          <w:rtl/>
        </w:rPr>
        <w:t xml:space="preserve">بنابراین مصرف بهینه به روش حل بهینه در نمودار ۴. ۱ برابر است با </w:t>
      </w:r>
      <w:r w:rsidRPr="00005251">
        <w:rPr>
          <w:position w:val="-10"/>
        </w:rPr>
        <w:object w:dxaOrig="240" w:dyaOrig="340" w14:anchorId="7955E4D8">
          <v:shape id="_x0000_i2079" type="#_x0000_t75" style="width:12.1pt;height:16.95pt" o:ole="">
            <v:imagedata r:id="rId2142" o:title=""/>
          </v:shape>
          <o:OLEObject Type="Embed" ProgID="Equation.DSMT4" ShapeID="_x0000_i2079" DrawAspect="Content" ObjectID="_1791376023" r:id="rId2143"/>
        </w:object>
      </w:r>
      <w:r w:rsidRPr="00005251">
        <w:rPr>
          <w:rFonts w:hint="cs"/>
          <w:i/>
          <w:sz w:val="23"/>
          <w:szCs w:val="23"/>
          <w:rtl/>
        </w:rPr>
        <w:t xml:space="preserve"> و</w:t>
      </w:r>
      <w:r w:rsidRPr="00005251">
        <w:rPr>
          <w:position w:val="-10"/>
        </w:rPr>
        <w:object w:dxaOrig="340" w:dyaOrig="340" w14:anchorId="6F3920FC">
          <v:shape id="_x0000_i2080" type="#_x0000_t75" style="width:16.95pt;height:16.95pt" o:ole="">
            <v:imagedata r:id="rId2144" o:title=""/>
          </v:shape>
          <o:OLEObject Type="Embed" ProgID="Equation.DSMT4" ShapeID="_x0000_i2080" DrawAspect="Content" ObjectID="_1791376024" r:id="rId2145"/>
        </w:object>
      </w:r>
      <w:r w:rsidRPr="00005251">
        <w:rPr>
          <w:rFonts w:eastAsiaTheme="minorEastAsia" w:hint="cs"/>
          <w:i/>
          <w:sz w:val="23"/>
          <w:szCs w:val="23"/>
          <w:rtl/>
        </w:rPr>
        <w:t xml:space="preserve">. </w:t>
      </w:r>
    </w:p>
    <w:p w14:paraId="5500BEEC"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اگر</w:t>
      </w:r>
      <w:r w:rsidRPr="00005251">
        <w:rPr>
          <w:position w:val="-10"/>
        </w:rPr>
        <w:object w:dxaOrig="240" w:dyaOrig="320" w14:anchorId="7DB360C0">
          <v:shape id="_x0000_i2081" type="#_x0000_t75" style="width:11.5pt;height:16.35pt" o:ole="">
            <v:imagedata r:id="rId2146" o:title=""/>
          </v:shape>
          <o:OLEObject Type="Embed" ProgID="Equation.DSMT4" ShapeID="_x0000_i2081" DrawAspect="Content" ObjectID="_1791376025" r:id="rId2147"/>
        </w:object>
      </w:r>
      <w:r w:rsidRPr="00005251">
        <w:rPr>
          <w:rFonts w:eastAsiaTheme="minorEastAsia" w:hint="cs"/>
          <w:i/>
          <w:sz w:val="23"/>
          <w:szCs w:val="23"/>
          <w:rtl/>
        </w:rPr>
        <w:t xml:space="preserve"> و یا</w:t>
      </w:r>
      <w:r w:rsidRPr="00005251">
        <w:rPr>
          <w:position w:val="-10"/>
        </w:rPr>
        <w:object w:dxaOrig="360" w:dyaOrig="320" w14:anchorId="659393AB">
          <v:shape id="_x0000_i2082" type="#_x0000_t75" style="width:18.15pt;height:16.35pt" o:ole="">
            <v:imagedata r:id="rId2148" o:title=""/>
          </v:shape>
          <o:OLEObject Type="Embed" ProgID="Equation.DSMT4" ShapeID="_x0000_i2082" DrawAspect="Content" ObjectID="_1791376026" r:id="rId2149"/>
        </w:object>
      </w:r>
      <w:r w:rsidRPr="00005251">
        <w:rPr>
          <w:rFonts w:eastAsiaTheme="minorEastAsia" w:hint="cs"/>
          <w:i/>
          <w:sz w:val="23"/>
          <w:szCs w:val="23"/>
          <w:rtl/>
        </w:rPr>
        <w:t xml:space="preserve"> افزایش یابند، آنگاه قید بودجه به سمت بالا منتقل می‌شود و لذا</w:t>
      </w:r>
      <w:r w:rsidRPr="00005251">
        <w:rPr>
          <w:position w:val="-10"/>
        </w:rPr>
        <w:object w:dxaOrig="240" w:dyaOrig="340" w14:anchorId="6994F2F1">
          <v:shape id="_x0000_i2083" type="#_x0000_t75" style="width:11.5pt;height:16.95pt" o:ole="">
            <v:imagedata r:id="rId2150" o:title=""/>
          </v:shape>
          <o:OLEObject Type="Embed" ProgID="Equation.DSMT4" ShapeID="_x0000_i2083" DrawAspect="Content" ObjectID="_1791376027" r:id="rId2151"/>
        </w:object>
      </w:r>
      <w:r w:rsidRPr="00005251">
        <w:rPr>
          <w:rFonts w:eastAsiaTheme="minorEastAsia" w:hint="cs"/>
          <w:i/>
          <w:sz w:val="23"/>
          <w:szCs w:val="23"/>
          <w:rtl/>
        </w:rPr>
        <w:t xml:space="preserve"> و</w:t>
      </w:r>
      <w:r w:rsidRPr="00005251">
        <w:rPr>
          <w:position w:val="-10"/>
        </w:rPr>
        <w:object w:dxaOrig="340" w:dyaOrig="340" w14:anchorId="1238F001">
          <v:shape id="_x0000_i2084" type="#_x0000_t75" style="width:16.95pt;height:16.95pt" o:ole="">
            <v:imagedata r:id="rId2152" o:title=""/>
          </v:shape>
          <o:OLEObject Type="Embed" ProgID="Equation.DSMT4" ShapeID="_x0000_i2084" DrawAspect="Content" ObjectID="_1791376028" r:id="rId2153"/>
        </w:object>
      </w:r>
      <w:r w:rsidRPr="00005251">
        <w:rPr>
          <w:rFonts w:eastAsiaTheme="minorEastAsia" w:hint="cs"/>
          <w:i/>
          <w:sz w:val="23"/>
          <w:szCs w:val="23"/>
          <w:rtl/>
        </w:rPr>
        <w:t xml:space="preserve"> و به تبع آن</w:t>
      </w:r>
      <w:r w:rsidRPr="00005251">
        <w:rPr>
          <w:position w:val="-10"/>
        </w:rPr>
        <w:object w:dxaOrig="240" w:dyaOrig="320" w14:anchorId="2D5C11C8">
          <v:shape id="_x0000_i2085" type="#_x0000_t75" style="width:11.5pt;height:16.35pt" o:ole="">
            <v:imagedata r:id="rId2154" o:title=""/>
          </v:shape>
          <o:OLEObject Type="Embed" ProgID="Equation.DSMT4" ShapeID="_x0000_i2085" DrawAspect="Content" ObjectID="_1791376029" r:id="rId2155"/>
        </w:object>
      </w:r>
      <w:r w:rsidRPr="00005251">
        <w:rPr>
          <w:rFonts w:eastAsiaTheme="minorEastAsia" w:hint="cs"/>
          <w:i/>
          <w:sz w:val="23"/>
          <w:szCs w:val="23"/>
          <w:rtl/>
        </w:rPr>
        <w:t xml:space="preserve"> افزایش می</w:t>
      </w:r>
      <w:r w:rsidRPr="00005251">
        <w:rPr>
          <w:rFonts w:eastAsiaTheme="minorEastAsia"/>
          <w:i/>
          <w:sz w:val="23"/>
          <w:szCs w:val="23"/>
          <w:rtl/>
        </w:rPr>
        <w:softHyphen/>
      </w:r>
      <w:r w:rsidRPr="00005251">
        <w:rPr>
          <w:rFonts w:eastAsiaTheme="minorEastAsia" w:hint="cs"/>
          <w:i/>
          <w:sz w:val="23"/>
          <w:szCs w:val="23"/>
          <w:rtl/>
        </w:rPr>
        <w:t>یابد. اگر</w:t>
      </w:r>
      <w:r w:rsidRPr="00025957">
        <w:rPr>
          <w:position w:val="-4"/>
        </w:rPr>
        <w:object w:dxaOrig="180" w:dyaOrig="180" w14:anchorId="40230112">
          <v:shape id="_x0000_i2086" type="#_x0000_t75" style="width:9.1pt;height:9.1pt" o:ole="">
            <v:imagedata r:id="rId2156" o:title=""/>
          </v:shape>
          <o:OLEObject Type="Embed" ProgID="Equation.DSMT4" ShapeID="_x0000_i2086" DrawAspect="Content" ObjectID="_1791376030" r:id="rId2157"/>
        </w:object>
      </w:r>
      <w:r w:rsidRPr="00005251">
        <w:rPr>
          <w:rFonts w:eastAsiaTheme="minorEastAsia" w:hint="cs"/>
          <w:i/>
          <w:sz w:val="23"/>
          <w:szCs w:val="23"/>
          <w:rtl/>
        </w:rPr>
        <w:t xml:space="preserve"> افزایش یابد شیب خط بودجه و لذا مقدار مصرف بهینه</w:t>
      </w:r>
      <w:r w:rsidRPr="00005251">
        <w:rPr>
          <w:position w:val="-10"/>
        </w:rPr>
        <w:object w:dxaOrig="240" w:dyaOrig="340" w14:anchorId="19ECDA18">
          <v:shape id="_x0000_i2087" type="#_x0000_t75" style="width:11.5pt;height:16.95pt" o:ole="">
            <v:imagedata r:id="rId2158" o:title=""/>
          </v:shape>
          <o:OLEObject Type="Embed" ProgID="Equation.DSMT4" ShapeID="_x0000_i2087" DrawAspect="Content" ObjectID="_1791376031" r:id="rId2159"/>
        </w:object>
      </w:r>
      <w:r w:rsidRPr="00005251">
        <w:rPr>
          <w:rFonts w:eastAsiaTheme="minorEastAsia" w:hint="cs"/>
          <w:i/>
          <w:sz w:val="23"/>
          <w:szCs w:val="23"/>
          <w:vertAlign w:val="subscript"/>
          <w:rtl/>
        </w:rPr>
        <w:t xml:space="preserve"> </w:t>
      </w:r>
      <w:r w:rsidRPr="00005251">
        <w:rPr>
          <w:rFonts w:eastAsiaTheme="minorEastAsia" w:hint="cs"/>
          <w:i/>
          <w:sz w:val="23"/>
          <w:szCs w:val="23"/>
          <w:rtl/>
        </w:rPr>
        <w:t xml:space="preserve">و </w:t>
      </w:r>
      <w:r w:rsidRPr="00005251">
        <w:rPr>
          <w:position w:val="-10"/>
        </w:rPr>
        <w:object w:dxaOrig="340" w:dyaOrig="340" w14:anchorId="2E779A4B">
          <v:shape id="_x0000_i2088" type="#_x0000_t75" style="width:16.95pt;height:16.95pt" o:ole="">
            <v:imagedata r:id="rId2160" o:title=""/>
          </v:shape>
          <o:OLEObject Type="Embed" ProgID="Equation.DSMT4" ShapeID="_x0000_i2088" DrawAspect="Content" ObjectID="_1791376032" r:id="rId2161"/>
        </w:object>
      </w:r>
      <w:r w:rsidRPr="00005251">
        <w:rPr>
          <w:rFonts w:eastAsiaTheme="minorEastAsia" w:hint="cs"/>
          <w:i/>
          <w:sz w:val="23"/>
          <w:szCs w:val="23"/>
          <w:rtl/>
        </w:rPr>
        <w:t xml:space="preserve"> تغییر می‌کنند. با توجه به مدل فوق ممکن است </w:t>
      </w:r>
      <w:r w:rsidRPr="00005251">
        <w:rPr>
          <w:position w:val="-10"/>
        </w:rPr>
        <w:object w:dxaOrig="600" w:dyaOrig="320" w14:anchorId="3D670557">
          <v:shape id="_x0000_i2089" type="#_x0000_t75" style="width:29.65pt;height:16.35pt" o:ole="">
            <v:imagedata r:id="rId2162" o:title=""/>
          </v:shape>
          <o:OLEObject Type="Embed" ProgID="Equation.DSMT4" ShapeID="_x0000_i2089" DrawAspect="Content" ObjectID="_1791376033" r:id="rId2163"/>
        </w:object>
      </w:r>
      <w:r w:rsidRPr="00005251">
        <w:rPr>
          <w:rFonts w:eastAsiaTheme="minorEastAsia" w:hint="cs"/>
          <w:i/>
          <w:sz w:val="23"/>
          <w:szCs w:val="23"/>
          <w:rtl/>
        </w:rPr>
        <w:t xml:space="preserve"> باشد و </w:t>
      </w:r>
      <w:r w:rsidRPr="00025957">
        <w:rPr>
          <w:position w:val="-4"/>
        </w:rPr>
        <w:object w:dxaOrig="180" w:dyaOrig="180" w14:anchorId="3444A922">
          <v:shape id="_x0000_i2090" type="#_x0000_t75" style="width:9.1pt;height:9.1pt" o:ole="">
            <v:imagedata r:id="rId2164" o:title=""/>
          </v:shape>
          <o:OLEObject Type="Embed" ProgID="Equation.DSMT4" ShapeID="_x0000_i2090" DrawAspect="Content" ObjectID="_1791376034" r:id="rId2165"/>
        </w:object>
      </w:r>
      <w:r w:rsidRPr="00005251">
        <w:rPr>
          <w:rFonts w:eastAsiaTheme="minorEastAsia" w:hint="cs"/>
          <w:i/>
          <w:sz w:val="23"/>
          <w:szCs w:val="23"/>
          <w:rtl/>
        </w:rPr>
        <w:t xml:space="preserve"> افزایش یابد، آنگاه </w:t>
      </w:r>
      <w:r w:rsidRPr="00005251">
        <w:rPr>
          <w:position w:val="-10"/>
        </w:rPr>
        <w:object w:dxaOrig="639" w:dyaOrig="320" w14:anchorId="49193E9D">
          <v:shape id="_x0000_i2091" type="#_x0000_t75" style="width:32.05pt;height:16.35pt" o:ole="">
            <v:imagedata r:id="rId2166" o:title=""/>
          </v:shape>
          <o:OLEObject Type="Embed" ProgID="Equation.DSMT4" ShapeID="_x0000_i2091" DrawAspect="Content" ObjectID="_1791376035" r:id="rId2167"/>
        </w:object>
      </w:r>
      <w:r w:rsidRPr="00005251">
        <w:rPr>
          <w:rFonts w:eastAsiaTheme="minorEastAsia" w:hint="cs"/>
          <w:i/>
          <w:sz w:val="23"/>
          <w:szCs w:val="23"/>
          <w:rtl/>
        </w:rPr>
        <w:t xml:space="preserve"> کاهش و </w:t>
      </w:r>
      <w:r w:rsidRPr="00005251">
        <w:rPr>
          <w:position w:val="-10"/>
        </w:rPr>
        <w:object w:dxaOrig="780" w:dyaOrig="320" w14:anchorId="6883EEE4">
          <v:shape id="_x0000_i2092" type="#_x0000_t75" style="width:39.35pt;height:16.35pt" o:ole="">
            <v:imagedata r:id="rId2168" o:title=""/>
          </v:shape>
          <o:OLEObject Type="Embed" ProgID="Equation.DSMT4" ShapeID="_x0000_i2092" DrawAspect="Content" ObjectID="_1791376036" r:id="rId2169"/>
        </w:object>
      </w:r>
      <w:r w:rsidRPr="00005251">
        <w:rPr>
          <w:rFonts w:eastAsiaTheme="minorEastAsia" w:hint="cs"/>
          <w:i/>
          <w:sz w:val="23"/>
          <w:szCs w:val="23"/>
          <w:rtl/>
        </w:rPr>
        <w:t>افزایش یافته و لذا اثرآن بر</w:t>
      </w:r>
      <w:r w:rsidRPr="00005251">
        <w:rPr>
          <w:position w:val="-10"/>
        </w:rPr>
        <w:object w:dxaOrig="240" w:dyaOrig="320" w14:anchorId="28708336">
          <v:shape id="_x0000_i2093" type="#_x0000_t75" style="width:11.5pt;height:16.35pt" o:ole="">
            <v:imagedata r:id="rId2170" o:title=""/>
          </v:shape>
          <o:OLEObject Type="Embed" ProgID="Equation.DSMT4" ShapeID="_x0000_i2093" DrawAspect="Content" ObjectID="_1791376037" r:id="rId2171"/>
        </w:object>
      </w:r>
      <w:r w:rsidRPr="00005251">
        <w:rPr>
          <w:rFonts w:eastAsiaTheme="minorEastAsia" w:hint="cs"/>
          <w:i/>
          <w:sz w:val="23"/>
          <w:szCs w:val="23"/>
          <w:rtl/>
        </w:rPr>
        <w:t xml:space="preserve"> مبهم است. زیرا معلوم نیست بر روی همان منحنی بی</w:t>
      </w:r>
      <w:r w:rsidRPr="00005251">
        <w:rPr>
          <w:rFonts w:eastAsiaTheme="minorEastAsia"/>
          <w:i/>
          <w:sz w:val="23"/>
          <w:szCs w:val="23"/>
          <w:rtl/>
        </w:rPr>
        <w:softHyphen/>
      </w:r>
      <w:r w:rsidRPr="00005251">
        <w:rPr>
          <w:rFonts w:eastAsiaTheme="minorEastAsia" w:hint="cs"/>
          <w:i/>
          <w:sz w:val="23"/>
          <w:szCs w:val="23"/>
          <w:rtl/>
        </w:rPr>
        <w:t>تفاوتی، منحنی بی</w:t>
      </w:r>
      <w:r w:rsidRPr="00005251">
        <w:rPr>
          <w:rFonts w:eastAsiaTheme="minorEastAsia"/>
          <w:i/>
          <w:sz w:val="23"/>
          <w:szCs w:val="23"/>
          <w:rtl/>
        </w:rPr>
        <w:softHyphen/>
      </w:r>
      <w:r w:rsidRPr="00005251">
        <w:rPr>
          <w:rFonts w:eastAsiaTheme="minorEastAsia" w:hint="cs"/>
          <w:i/>
          <w:sz w:val="23"/>
          <w:szCs w:val="23"/>
          <w:rtl/>
        </w:rPr>
        <w:t>تفاوتی پایین</w:t>
      </w:r>
      <w:r w:rsidRPr="00005251">
        <w:rPr>
          <w:rFonts w:eastAsiaTheme="minorEastAsia"/>
          <w:i/>
          <w:sz w:val="23"/>
          <w:szCs w:val="23"/>
          <w:rtl/>
        </w:rPr>
        <w:softHyphen/>
      </w:r>
      <w:r w:rsidRPr="00005251">
        <w:rPr>
          <w:rFonts w:eastAsiaTheme="minorEastAsia" w:hint="cs"/>
          <w:i/>
          <w:sz w:val="23"/>
          <w:szCs w:val="23"/>
          <w:rtl/>
        </w:rPr>
        <w:t>تر و یا منحنی بی</w:t>
      </w:r>
      <w:r w:rsidRPr="00005251">
        <w:rPr>
          <w:rFonts w:eastAsiaTheme="minorEastAsia"/>
          <w:i/>
          <w:sz w:val="23"/>
          <w:szCs w:val="23"/>
          <w:rtl/>
        </w:rPr>
        <w:softHyphen/>
      </w:r>
      <w:r w:rsidRPr="00005251">
        <w:rPr>
          <w:rFonts w:eastAsiaTheme="minorEastAsia" w:hint="cs"/>
          <w:i/>
          <w:sz w:val="23"/>
          <w:szCs w:val="23"/>
          <w:rtl/>
        </w:rPr>
        <w:t xml:space="preserve">تفاوتی بالاتر از قبل قرار گیریم. اگر </w:t>
      </w:r>
      <w:r w:rsidRPr="00005251">
        <w:rPr>
          <w:position w:val="-10"/>
        </w:rPr>
        <w:object w:dxaOrig="600" w:dyaOrig="320" w14:anchorId="7F66750C">
          <v:shape id="_x0000_i2094" type="#_x0000_t75" style="width:29.65pt;height:16.35pt" o:ole="">
            <v:imagedata r:id="rId2172" o:title=""/>
          </v:shape>
          <o:OLEObject Type="Embed" ProgID="Equation.DSMT4" ShapeID="_x0000_i2094" DrawAspect="Content" ObjectID="_1791376038" r:id="rId2173"/>
        </w:object>
      </w:r>
      <w:r w:rsidRPr="00005251">
        <w:rPr>
          <w:rFonts w:eastAsiaTheme="minorEastAsia" w:hint="cs"/>
          <w:i/>
          <w:sz w:val="23"/>
          <w:szCs w:val="23"/>
          <w:rtl/>
        </w:rPr>
        <w:t xml:space="preserve"> باشد و</w:t>
      </w:r>
      <w:r w:rsidRPr="00005251">
        <w:rPr>
          <w:position w:val="-6"/>
        </w:rPr>
        <w:object w:dxaOrig="200" w:dyaOrig="200" w14:anchorId="18A543AD">
          <v:shape id="_x0000_i2095" type="#_x0000_t75" style="width:10.3pt;height:10.3pt" o:ole="">
            <v:imagedata r:id="rId2174" o:title=""/>
          </v:shape>
          <o:OLEObject Type="Embed" ProgID="Equation.DSMT4" ShapeID="_x0000_i2095" DrawAspect="Content" ObjectID="_1791376039" r:id="rId2175"/>
        </w:object>
      </w:r>
      <w:r w:rsidRPr="00005251">
        <w:rPr>
          <w:rFonts w:eastAsiaTheme="minorEastAsia" w:hint="cs"/>
          <w:i/>
          <w:sz w:val="23"/>
          <w:szCs w:val="23"/>
          <w:rtl/>
        </w:rPr>
        <w:t xml:space="preserve"> افزایش یابد، آنگاه</w:t>
      </w:r>
      <w:r w:rsidRPr="00005251">
        <w:rPr>
          <w:position w:val="-10"/>
        </w:rPr>
        <w:object w:dxaOrig="639" w:dyaOrig="320" w14:anchorId="1721F022">
          <v:shape id="_x0000_i2096" type="#_x0000_t75" style="width:32.05pt;height:16.35pt" o:ole="">
            <v:imagedata r:id="rId2176" o:title=""/>
          </v:shape>
          <o:OLEObject Type="Embed" ProgID="Equation.DSMT4" ShapeID="_x0000_i2096" DrawAspect="Content" ObjectID="_1791376040" r:id="rId2177"/>
        </w:object>
      </w:r>
      <w:r w:rsidRPr="00005251">
        <w:rPr>
          <w:rFonts w:eastAsiaTheme="minorEastAsia" w:hint="cs"/>
          <w:i/>
          <w:sz w:val="23"/>
          <w:szCs w:val="23"/>
          <w:rtl/>
        </w:rPr>
        <w:t xml:space="preserve"> بیشتر از حالت قبل کاهش می‌یابد و </w:t>
      </w:r>
      <w:r w:rsidRPr="00005251">
        <w:rPr>
          <w:position w:val="-10"/>
        </w:rPr>
        <w:object w:dxaOrig="780" w:dyaOrig="320" w14:anchorId="0C06093E">
          <v:shape id="_x0000_i2097" type="#_x0000_t75" style="width:39.35pt;height:16.35pt" o:ole="">
            <v:imagedata r:id="rId2178" o:title=""/>
          </v:shape>
          <o:OLEObject Type="Embed" ProgID="Equation.DSMT4" ShapeID="_x0000_i2097" DrawAspect="Content" ObjectID="_1791376041" r:id="rId2179"/>
        </w:object>
      </w:r>
      <w:r w:rsidRPr="00005251">
        <w:rPr>
          <w:rFonts w:hint="cs"/>
          <w:i/>
          <w:sz w:val="23"/>
          <w:szCs w:val="23"/>
          <w:rtl/>
        </w:rPr>
        <w:t xml:space="preserve"> </w:t>
      </w:r>
      <w:r w:rsidRPr="00005251">
        <w:rPr>
          <w:rFonts w:eastAsiaTheme="minorEastAsia" w:hint="cs"/>
          <w:i/>
          <w:sz w:val="23"/>
          <w:szCs w:val="23"/>
          <w:rtl/>
        </w:rPr>
        <w:t>کمتر از قبل افزایش می‌یابد و ممکن است حتی ثابت و یا کاهش یابد. لذا احتمال  این</w:t>
      </w:r>
      <w:r w:rsidRPr="00005251">
        <w:rPr>
          <w:rFonts w:eastAsiaTheme="minorEastAsia"/>
          <w:i/>
          <w:sz w:val="23"/>
          <w:szCs w:val="23"/>
          <w:rtl/>
        </w:rPr>
        <w:softHyphen/>
      </w:r>
      <w:r w:rsidRPr="00005251">
        <w:rPr>
          <w:rFonts w:eastAsiaTheme="minorEastAsia" w:hint="cs"/>
          <w:i/>
          <w:sz w:val="23"/>
          <w:szCs w:val="23"/>
          <w:rtl/>
        </w:rPr>
        <w:t>که مطلوبیت کاهش یابد بیشتر از حالت اول است و بستگی به مقدار</w:t>
      </w:r>
      <w:r w:rsidRPr="00005251">
        <w:rPr>
          <w:position w:val="-10"/>
        </w:rPr>
        <w:object w:dxaOrig="240" w:dyaOrig="320" w14:anchorId="5E9D4E89">
          <v:shape id="_x0000_i2098" type="#_x0000_t75" style="width:11.5pt;height:16.35pt" o:ole="">
            <v:imagedata r:id="rId2180" o:title=""/>
          </v:shape>
          <o:OLEObject Type="Embed" ProgID="Equation.DSMT4" ShapeID="_x0000_i2098" DrawAspect="Content" ObjectID="_1791376042" r:id="rId2181"/>
        </w:object>
      </w:r>
      <w:r w:rsidRPr="00005251">
        <w:rPr>
          <w:rFonts w:hint="cs"/>
          <w:i/>
          <w:sz w:val="23"/>
          <w:szCs w:val="23"/>
          <w:rtl/>
        </w:rPr>
        <w:t>،</w:t>
      </w:r>
      <w:r w:rsidRPr="00005251">
        <w:rPr>
          <w:position w:val="-10"/>
        </w:rPr>
        <w:object w:dxaOrig="240" w:dyaOrig="320" w14:anchorId="53DAD4C1">
          <v:shape id="_x0000_i2099" type="#_x0000_t75" style="width:11.5pt;height:16.35pt" o:ole="">
            <v:imagedata r:id="rId2182" o:title=""/>
          </v:shape>
          <o:OLEObject Type="Embed" ProgID="Equation.DSMT4" ShapeID="_x0000_i2099" DrawAspect="Content" ObjectID="_1791376043" r:id="rId2183"/>
        </w:object>
      </w:r>
      <w:r w:rsidRPr="00005251">
        <w:rPr>
          <w:rFonts w:eastAsiaTheme="minorEastAsia" w:hint="cs"/>
          <w:i/>
          <w:sz w:val="23"/>
          <w:szCs w:val="23"/>
          <w:rtl/>
        </w:rPr>
        <w:t xml:space="preserve"> و</w:t>
      </w:r>
      <w:r w:rsidRPr="00005251">
        <w:rPr>
          <w:rFonts w:eastAsiaTheme="minorEastAsia"/>
          <w:i/>
          <w:sz w:val="23"/>
          <w:szCs w:val="23"/>
        </w:rPr>
        <w:t xml:space="preserve"> </w:t>
      </w:r>
      <w:r w:rsidRPr="00025957">
        <w:rPr>
          <w:position w:val="-4"/>
        </w:rPr>
        <w:object w:dxaOrig="180" w:dyaOrig="180" w14:anchorId="0D20DB0A">
          <v:shape id="_x0000_i2100" type="#_x0000_t75" style="width:9.1pt;height:9.1pt" o:ole="">
            <v:imagedata r:id="rId2184" o:title=""/>
          </v:shape>
          <o:OLEObject Type="Embed" ProgID="Equation.DSMT4" ShapeID="_x0000_i2100" DrawAspect="Content" ObjectID="_1791376044" r:id="rId2185"/>
        </w:object>
      </w:r>
      <w:r w:rsidRPr="00005251">
        <w:rPr>
          <w:rFonts w:eastAsiaTheme="minorEastAsia" w:hint="cs"/>
          <w:i/>
          <w:sz w:val="23"/>
          <w:szCs w:val="23"/>
          <w:rtl/>
        </w:rPr>
        <w:t>دارد. و بالاخره اگر</w:t>
      </w:r>
      <w:r w:rsidRPr="00005251">
        <w:rPr>
          <w:position w:val="-10"/>
        </w:rPr>
        <w:object w:dxaOrig="600" w:dyaOrig="320" w14:anchorId="407FC9D4">
          <v:shape id="_x0000_i2101" type="#_x0000_t75" style="width:29.65pt;height:16.35pt" o:ole="">
            <v:imagedata r:id="rId2186" o:title=""/>
          </v:shape>
          <o:OLEObject Type="Embed" ProgID="Equation.DSMT4" ShapeID="_x0000_i2101" DrawAspect="Content" ObjectID="_1791376045" r:id="rId2187"/>
        </w:object>
      </w:r>
      <w:r w:rsidRPr="00005251">
        <w:rPr>
          <w:rFonts w:eastAsiaTheme="minorEastAsia" w:hint="cs"/>
          <w:i/>
          <w:sz w:val="23"/>
          <w:szCs w:val="23"/>
          <w:rtl/>
        </w:rPr>
        <w:t xml:space="preserve"> باشد، و</w:t>
      </w:r>
      <w:r w:rsidRPr="00005251">
        <w:rPr>
          <w:position w:val="-6"/>
        </w:rPr>
        <w:object w:dxaOrig="200" w:dyaOrig="200" w14:anchorId="016E9087">
          <v:shape id="_x0000_i2102" type="#_x0000_t75" style="width:10.3pt;height:10.3pt" o:ole="">
            <v:imagedata r:id="rId2188" o:title=""/>
          </v:shape>
          <o:OLEObject Type="Embed" ProgID="Equation.DSMT4" ShapeID="_x0000_i2102" DrawAspect="Content" ObjectID="_1791376046" r:id="rId2189"/>
        </w:object>
      </w:r>
      <w:r w:rsidRPr="00005251">
        <w:rPr>
          <w:rFonts w:eastAsiaTheme="minorEastAsia" w:hint="cs"/>
          <w:i/>
          <w:sz w:val="23"/>
          <w:szCs w:val="23"/>
          <w:rtl/>
        </w:rPr>
        <w:t xml:space="preserve"> افزایش یابد، چنانچه</w:t>
      </w:r>
      <w:r w:rsidRPr="00005251">
        <w:rPr>
          <w:position w:val="-22"/>
        </w:rPr>
        <w:object w:dxaOrig="1440" w:dyaOrig="580" w14:anchorId="09AB3B9A">
          <v:shape id="_x0000_i2103" type="#_x0000_t75" style="width:1in;height:29.05pt" o:ole="">
            <v:imagedata r:id="rId2190" o:title=""/>
          </v:shape>
          <o:OLEObject Type="Embed" ProgID="Equation.DSMT4" ShapeID="_x0000_i2103" DrawAspect="Content" ObjectID="_1791376047" r:id="rId2191"/>
        </w:object>
      </w:r>
      <w:r w:rsidRPr="00005251">
        <w:rPr>
          <w:rFonts w:eastAsiaTheme="minorEastAsia" w:hint="cs"/>
          <w:i/>
          <w:sz w:val="23"/>
          <w:szCs w:val="23"/>
          <w:rtl/>
        </w:rPr>
        <w:t xml:space="preserve"> باشد، آنگاه با افزایش </w:t>
      </w:r>
      <w:r w:rsidRPr="00005251">
        <w:rPr>
          <w:rFonts w:eastAsiaTheme="minorEastAsia"/>
          <w:i/>
          <w:sz w:val="23"/>
          <w:szCs w:val="23"/>
        </w:rPr>
        <w:t>r</w:t>
      </w:r>
      <w:r w:rsidRPr="00005251">
        <w:rPr>
          <w:rFonts w:eastAsiaTheme="minorEastAsia" w:hint="cs"/>
          <w:i/>
          <w:sz w:val="23"/>
          <w:szCs w:val="23"/>
          <w:rtl/>
        </w:rPr>
        <w:t xml:space="preserve">، </w:t>
      </w:r>
      <w:r w:rsidRPr="00005251">
        <w:rPr>
          <w:position w:val="-10"/>
        </w:rPr>
        <w:object w:dxaOrig="639" w:dyaOrig="320" w14:anchorId="091A2B09">
          <v:shape id="_x0000_i2104" type="#_x0000_t75" style="width:32.05pt;height:16.35pt" o:ole="">
            <v:imagedata r:id="rId2192" o:title=""/>
          </v:shape>
          <o:OLEObject Type="Embed" ProgID="Equation.DSMT4" ShapeID="_x0000_i2104" DrawAspect="Content" ObjectID="_1791376048" r:id="rId2193"/>
        </w:object>
      </w:r>
      <w:r w:rsidRPr="00005251">
        <w:rPr>
          <w:rFonts w:eastAsiaTheme="minorEastAsia" w:hint="cs"/>
          <w:i/>
          <w:sz w:val="23"/>
          <w:szCs w:val="23"/>
          <w:rtl/>
        </w:rPr>
        <w:t xml:space="preserve"> نیز افزایش می</w:t>
      </w:r>
      <w:r w:rsidRPr="00005251">
        <w:rPr>
          <w:rFonts w:eastAsiaTheme="minorEastAsia"/>
          <w:i/>
          <w:sz w:val="23"/>
          <w:szCs w:val="23"/>
          <w:rtl/>
        </w:rPr>
        <w:softHyphen/>
      </w:r>
      <w:r w:rsidRPr="00005251">
        <w:rPr>
          <w:rFonts w:eastAsiaTheme="minorEastAsia" w:hint="cs"/>
          <w:i/>
          <w:sz w:val="23"/>
          <w:szCs w:val="23"/>
          <w:rtl/>
        </w:rPr>
        <w:t xml:space="preserve">یابد. اگر </w:t>
      </w:r>
      <w:r w:rsidRPr="00005251">
        <w:rPr>
          <w:position w:val="-22"/>
        </w:rPr>
        <w:object w:dxaOrig="1440" w:dyaOrig="580" w14:anchorId="4BF1BE11">
          <v:shape id="_x0000_i2105" type="#_x0000_t75" style="width:1in;height:29.05pt" o:ole="">
            <v:imagedata r:id="rId2194" o:title=""/>
          </v:shape>
          <o:OLEObject Type="Embed" ProgID="Equation.DSMT4" ShapeID="_x0000_i2105" DrawAspect="Content" ObjectID="_1791376049" r:id="rId2195"/>
        </w:object>
      </w:r>
      <w:r w:rsidRPr="00005251">
        <w:rPr>
          <w:rFonts w:eastAsiaTheme="minorEastAsia" w:hint="cs"/>
          <w:i/>
          <w:sz w:val="23"/>
          <w:szCs w:val="23"/>
          <w:rtl/>
        </w:rPr>
        <w:t xml:space="preserve"> باشد آنگاه با افزایش</w:t>
      </w:r>
      <w:r w:rsidRPr="00005251">
        <w:rPr>
          <w:position w:val="-10"/>
        </w:rPr>
        <w:object w:dxaOrig="859" w:dyaOrig="320" w14:anchorId="14156071">
          <v:shape id="_x0000_i2106" type="#_x0000_t75" style="width:42.95pt;height:16.35pt" o:ole="">
            <v:imagedata r:id="rId2196" o:title=""/>
          </v:shape>
          <o:OLEObject Type="Embed" ProgID="Equation.DSMT4" ShapeID="_x0000_i2106" DrawAspect="Content" ObjectID="_1791376050" r:id="rId2197"/>
        </w:object>
      </w:r>
      <w:r w:rsidRPr="00005251">
        <w:rPr>
          <w:rFonts w:eastAsiaTheme="minorEastAsia" w:hint="cs"/>
          <w:i/>
          <w:sz w:val="23"/>
          <w:szCs w:val="23"/>
          <w:rtl/>
        </w:rPr>
        <w:t xml:space="preserve"> بدون</w:t>
      </w:r>
      <w:r w:rsidRPr="00005251">
        <w:rPr>
          <w:rFonts w:eastAsiaTheme="minorEastAsia"/>
          <w:i/>
          <w:sz w:val="23"/>
          <w:szCs w:val="23"/>
        </w:rPr>
        <w:t xml:space="preserve"> </w:t>
      </w:r>
      <w:r w:rsidRPr="00005251">
        <w:rPr>
          <w:rFonts w:eastAsiaTheme="minorEastAsia" w:hint="cs"/>
          <w:i/>
          <w:sz w:val="23"/>
          <w:szCs w:val="23"/>
          <w:rtl/>
        </w:rPr>
        <w:t xml:space="preserve">تغییر باقی می‌ماند و چنانچه </w:t>
      </w:r>
      <w:r w:rsidRPr="00005251">
        <w:rPr>
          <w:position w:val="-22"/>
        </w:rPr>
        <w:object w:dxaOrig="1440" w:dyaOrig="580" w14:anchorId="13218B25">
          <v:shape id="_x0000_i2107" type="#_x0000_t75" style="width:1in;height:29.05pt" o:ole="">
            <v:imagedata r:id="rId2198" o:title=""/>
          </v:shape>
          <o:OLEObject Type="Embed" ProgID="Equation.DSMT4" ShapeID="_x0000_i2107" DrawAspect="Content" ObjectID="_1791376051" r:id="rId2199"/>
        </w:object>
      </w:r>
      <w:r w:rsidRPr="00005251">
        <w:rPr>
          <w:rFonts w:eastAsiaTheme="minorEastAsia" w:hint="cs"/>
          <w:i/>
          <w:sz w:val="23"/>
          <w:szCs w:val="23"/>
          <w:rtl/>
        </w:rPr>
        <w:t xml:space="preserve"> باشد</w:t>
      </w:r>
      <w:r w:rsidRPr="00005251">
        <w:rPr>
          <w:position w:val="-10"/>
        </w:rPr>
        <w:object w:dxaOrig="639" w:dyaOrig="320" w14:anchorId="08E3D7D9">
          <v:shape id="_x0000_i2108" type="#_x0000_t75" style="width:32.05pt;height:16.35pt" o:ole="">
            <v:imagedata r:id="rId2200" o:title=""/>
          </v:shape>
          <o:OLEObject Type="Embed" ProgID="Equation.DSMT4" ShapeID="_x0000_i2108" DrawAspect="Content" ObjectID="_1791376052" r:id="rId2201"/>
        </w:object>
      </w:r>
      <w:r w:rsidRPr="00005251">
        <w:rPr>
          <w:rFonts w:eastAsiaTheme="minorEastAsia" w:hint="cs"/>
          <w:i/>
          <w:sz w:val="23"/>
          <w:szCs w:val="23"/>
          <w:rtl/>
        </w:rPr>
        <w:t xml:space="preserve"> کاهش می</w:t>
      </w:r>
      <w:r w:rsidRPr="00005251">
        <w:rPr>
          <w:rFonts w:eastAsiaTheme="minorEastAsia"/>
          <w:i/>
          <w:sz w:val="23"/>
          <w:szCs w:val="23"/>
          <w:rtl/>
        </w:rPr>
        <w:softHyphen/>
      </w:r>
      <w:r w:rsidRPr="00005251">
        <w:rPr>
          <w:rFonts w:eastAsiaTheme="minorEastAsia" w:hint="cs"/>
          <w:i/>
          <w:sz w:val="23"/>
          <w:szCs w:val="23"/>
          <w:rtl/>
        </w:rPr>
        <w:t xml:space="preserve">یابد ولی در هر صورت </w:t>
      </w:r>
      <w:r w:rsidRPr="00005251">
        <w:rPr>
          <w:position w:val="-10"/>
        </w:rPr>
        <w:object w:dxaOrig="780" w:dyaOrig="320" w14:anchorId="27DC454C">
          <v:shape id="_x0000_i2109" type="#_x0000_t75" style="width:39.35pt;height:16.35pt" o:ole="">
            <v:imagedata r:id="rId2202" o:title=""/>
          </v:shape>
          <o:OLEObject Type="Embed" ProgID="Equation.DSMT4" ShapeID="_x0000_i2109" DrawAspect="Content" ObjectID="_1791376053" r:id="rId2203"/>
        </w:object>
      </w:r>
      <w:r w:rsidRPr="00005251">
        <w:rPr>
          <w:rFonts w:eastAsiaTheme="minorEastAsia" w:hint="cs"/>
          <w:i/>
          <w:sz w:val="23"/>
          <w:szCs w:val="23"/>
          <w:rtl/>
        </w:rPr>
        <w:t xml:space="preserve">افزایش خواهد یافت. با افزایش </w:t>
      </w:r>
      <w:r w:rsidRPr="00005251">
        <w:rPr>
          <w:position w:val="-10"/>
        </w:rPr>
        <w:object w:dxaOrig="780" w:dyaOrig="320" w14:anchorId="485B478E">
          <v:shape id="_x0000_i2110" type="#_x0000_t75" style="width:39.35pt;height:16.35pt" o:ole="">
            <v:imagedata r:id="rId2204" o:title=""/>
          </v:shape>
          <o:OLEObject Type="Embed" ProgID="Equation.DSMT4" ShapeID="_x0000_i2110" DrawAspect="Content" ObjectID="_1791376054" r:id="rId2205"/>
        </w:object>
      </w:r>
      <w:r w:rsidRPr="00005251">
        <w:rPr>
          <w:rFonts w:eastAsiaTheme="minorEastAsia" w:hint="cs"/>
          <w:i/>
          <w:sz w:val="23"/>
          <w:szCs w:val="23"/>
          <w:rtl/>
        </w:rPr>
        <w:t xml:space="preserve"> و افزایش و یا ثابت ماندن </w:t>
      </w:r>
      <w:r w:rsidRPr="00005251">
        <w:rPr>
          <w:position w:val="-10"/>
        </w:rPr>
        <w:object w:dxaOrig="639" w:dyaOrig="320" w14:anchorId="70D4EF58">
          <v:shape id="_x0000_i2111" type="#_x0000_t75" style="width:32.05pt;height:16.35pt" o:ole="">
            <v:imagedata r:id="rId2206" o:title=""/>
          </v:shape>
          <o:OLEObject Type="Embed" ProgID="Equation.DSMT4" ShapeID="_x0000_i2111" DrawAspect="Content" ObjectID="_1791376055" r:id="rId2207"/>
        </w:object>
      </w:r>
      <w:r w:rsidRPr="00005251">
        <w:rPr>
          <w:rFonts w:eastAsiaTheme="minorEastAsia" w:hint="cs"/>
          <w:i/>
          <w:sz w:val="23"/>
          <w:szCs w:val="23"/>
          <w:rtl/>
        </w:rPr>
        <w:t xml:space="preserve">، مطوبیت کل </w:t>
      </w:r>
      <w:r w:rsidRPr="00005251">
        <w:rPr>
          <w:position w:val="-10"/>
        </w:rPr>
        <w:object w:dxaOrig="240" w:dyaOrig="320" w14:anchorId="33EEFE3A">
          <v:shape id="_x0000_i2112" type="#_x0000_t75" style="width:11.5pt;height:16.35pt" o:ole="">
            <v:imagedata r:id="rId2208" o:title=""/>
          </v:shape>
          <o:OLEObject Type="Embed" ProgID="Equation.DSMT4" ShapeID="_x0000_i2112" DrawAspect="Content" ObjectID="_1791376056" r:id="rId2209"/>
        </w:object>
      </w:r>
      <w:r w:rsidRPr="00005251">
        <w:rPr>
          <w:rFonts w:eastAsiaTheme="minorEastAsia" w:hint="cs"/>
          <w:i/>
          <w:sz w:val="23"/>
          <w:szCs w:val="23"/>
          <w:rtl/>
        </w:rPr>
        <w:t xml:space="preserve"> نیز افزایش می‌یابد، و با افزایش </w:t>
      </w:r>
      <w:r w:rsidRPr="00005251">
        <w:rPr>
          <w:position w:val="-10"/>
        </w:rPr>
        <w:object w:dxaOrig="780" w:dyaOrig="320" w14:anchorId="729BC944">
          <v:shape id="_x0000_i2113" type="#_x0000_t75" style="width:39.35pt;height:16.35pt" o:ole="">
            <v:imagedata r:id="rId2210" o:title=""/>
          </v:shape>
          <o:OLEObject Type="Embed" ProgID="Equation.DSMT4" ShapeID="_x0000_i2113" DrawAspect="Content" ObjectID="_1791376057" r:id="rId2211"/>
        </w:object>
      </w:r>
      <w:r w:rsidRPr="00005251">
        <w:rPr>
          <w:rFonts w:eastAsiaTheme="minorEastAsia" w:hint="cs"/>
          <w:i/>
          <w:sz w:val="23"/>
          <w:szCs w:val="23"/>
          <w:rtl/>
        </w:rPr>
        <w:t xml:space="preserve"> و کاهش </w:t>
      </w:r>
      <w:r w:rsidRPr="00005251">
        <w:rPr>
          <w:position w:val="-10"/>
        </w:rPr>
        <w:object w:dxaOrig="639" w:dyaOrig="320" w14:anchorId="5D851982">
          <v:shape id="_x0000_i2114" type="#_x0000_t75" style="width:32.05pt;height:16.35pt" o:ole="">
            <v:imagedata r:id="rId2212" o:title=""/>
          </v:shape>
          <o:OLEObject Type="Embed" ProgID="Equation.DSMT4" ShapeID="_x0000_i2114" DrawAspect="Content" ObjectID="_1791376058" r:id="rId2213"/>
        </w:object>
      </w:r>
      <w:r w:rsidRPr="00005251">
        <w:rPr>
          <w:rFonts w:eastAsiaTheme="minorEastAsia" w:hint="cs"/>
          <w:i/>
          <w:sz w:val="23"/>
          <w:szCs w:val="23"/>
          <w:rtl/>
        </w:rPr>
        <w:t>، جهت تغییرات مطوبیت کل</w:t>
      </w:r>
      <w:r w:rsidRPr="00005251">
        <w:rPr>
          <w:position w:val="-10"/>
        </w:rPr>
        <w:object w:dxaOrig="240" w:dyaOrig="320" w14:anchorId="563067F7">
          <v:shape id="_x0000_i2115" type="#_x0000_t75" style="width:11.5pt;height:16.35pt" o:ole="">
            <v:imagedata r:id="rId2214" o:title=""/>
          </v:shape>
          <o:OLEObject Type="Embed" ProgID="Equation.DSMT4" ShapeID="_x0000_i2115" DrawAspect="Content" ObjectID="_1791376059" r:id="rId2215"/>
        </w:object>
      </w:r>
      <w:r w:rsidRPr="00005251">
        <w:rPr>
          <w:rFonts w:eastAsiaTheme="minorEastAsia" w:hint="cs"/>
          <w:i/>
          <w:sz w:val="23"/>
          <w:szCs w:val="23"/>
          <w:rtl/>
        </w:rPr>
        <w:t xml:space="preserve"> مبهم است. در واقع چون ثروت اکثر خانوارها حقوق بازنشستگی است، لذا خانوار در کوتاه‌مدت بگونه</w:t>
      </w:r>
      <w:r w:rsidRPr="00005251">
        <w:rPr>
          <w:rFonts w:eastAsiaTheme="minorEastAsia"/>
          <w:i/>
          <w:sz w:val="23"/>
          <w:szCs w:val="23"/>
          <w:rtl/>
        </w:rPr>
        <w:softHyphen/>
      </w:r>
      <w:r w:rsidRPr="00005251">
        <w:rPr>
          <w:rFonts w:eastAsiaTheme="minorEastAsia" w:hint="cs"/>
          <w:i/>
          <w:sz w:val="23"/>
          <w:szCs w:val="23"/>
          <w:rtl/>
        </w:rPr>
        <w:t xml:space="preserve">ای رفتار می‌کند که </w:t>
      </w:r>
      <w:r w:rsidRPr="00005251">
        <w:rPr>
          <w:position w:val="-10"/>
        </w:rPr>
        <w:object w:dxaOrig="240" w:dyaOrig="320" w14:anchorId="1A116379">
          <v:shape id="_x0000_i2116" type="#_x0000_t75" style="width:11.5pt;height:16.35pt" o:ole="">
            <v:imagedata r:id="rId2216" o:title=""/>
          </v:shape>
          <o:OLEObject Type="Embed" ProgID="Equation.DSMT4" ShapeID="_x0000_i2116" DrawAspect="Content" ObjectID="_1791376060" r:id="rId2217"/>
        </w:object>
      </w:r>
      <w:r w:rsidRPr="00005251">
        <w:rPr>
          <w:rFonts w:eastAsiaTheme="minorEastAsia" w:hint="cs"/>
          <w:i/>
          <w:sz w:val="23"/>
          <w:szCs w:val="23"/>
          <w:rtl/>
        </w:rPr>
        <w:t xml:space="preserve"> آن</w:t>
      </w:r>
      <w:r w:rsidRPr="00005251">
        <w:rPr>
          <w:rFonts w:eastAsiaTheme="minorEastAsia"/>
          <w:i/>
          <w:sz w:val="23"/>
          <w:szCs w:val="23"/>
          <w:rtl/>
        </w:rPr>
        <w:softHyphen/>
      </w:r>
      <w:r w:rsidRPr="00005251">
        <w:rPr>
          <w:rFonts w:eastAsiaTheme="minorEastAsia" w:hint="cs"/>
          <w:i/>
          <w:sz w:val="23"/>
          <w:szCs w:val="23"/>
          <w:rtl/>
        </w:rPr>
        <w:t>ها منفی است.</w:t>
      </w:r>
    </w:p>
    <w:p w14:paraId="18A94E36" w14:textId="77777777" w:rsidR="00411620" w:rsidRPr="00005251" w:rsidRDefault="00411620" w:rsidP="00411620">
      <w:pPr>
        <w:spacing w:line="216" w:lineRule="auto"/>
        <w:rPr>
          <w:rFonts w:eastAsiaTheme="minorEastAsia"/>
          <w:i/>
          <w:sz w:val="23"/>
          <w:szCs w:val="23"/>
        </w:rPr>
      </w:pPr>
    </w:p>
    <w:p w14:paraId="322A255D" w14:textId="77777777" w:rsidR="00411620" w:rsidRPr="00005251" w:rsidRDefault="00411620" w:rsidP="00411620">
      <w:pPr>
        <w:pStyle w:val="Heading1"/>
        <w:spacing w:before="0" w:after="0" w:line="216" w:lineRule="auto"/>
        <w:rPr>
          <w:rFonts w:ascii="Times New Roman" w:eastAsiaTheme="minorEastAsia" w:hAnsi="Times New Roman" w:cs="B Nazanin"/>
          <w:b w:val="0"/>
          <w:i/>
          <w:sz w:val="23"/>
          <w:szCs w:val="23"/>
          <w:rtl/>
        </w:rPr>
      </w:pPr>
      <w:r w:rsidRPr="00005251">
        <w:rPr>
          <w:rFonts w:ascii="Times New Roman" w:eastAsiaTheme="minorEastAsia" w:hAnsi="Times New Roman" w:cs="B Nazanin" w:hint="cs"/>
          <w:b w:val="0"/>
          <w:i/>
          <w:sz w:val="23"/>
          <w:szCs w:val="23"/>
          <w:rtl/>
        </w:rPr>
        <w:t xml:space="preserve">تابع مصرف </w:t>
      </w:r>
    </w:p>
    <w:p w14:paraId="15E84006" w14:textId="77777777" w:rsidR="00411620" w:rsidRDefault="00411620" w:rsidP="00411620">
      <w:pPr>
        <w:spacing w:line="216" w:lineRule="auto"/>
        <w:rPr>
          <w:rFonts w:eastAsiaTheme="minorEastAsia"/>
          <w:i/>
          <w:sz w:val="23"/>
          <w:szCs w:val="23"/>
        </w:rPr>
      </w:pPr>
      <w:r w:rsidRPr="00005251">
        <w:rPr>
          <w:rFonts w:eastAsiaTheme="minorEastAsia" w:hint="cs"/>
          <w:i/>
          <w:sz w:val="23"/>
          <w:szCs w:val="23"/>
          <w:rtl/>
        </w:rPr>
        <w:t>چه عواملی باعث تغییر در رفتار مصرفی خانوار می‌شود؟ در بخش قبل مشاهده کردیم که با افزایش درآمد</w:t>
      </w:r>
      <w:r w:rsidRPr="00005251">
        <w:rPr>
          <w:position w:val="-10"/>
        </w:rPr>
        <w:object w:dxaOrig="240" w:dyaOrig="320" w14:anchorId="2821CC49">
          <v:shape id="_x0000_i2117" type="#_x0000_t75" style="width:11.5pt;height:16.35pt" o:ole="">
            <v:imagedata r:id="rId2218" o:title=""/>
          </v:shape>
          <o:OLEObject Type="Embed" ProgID="Equation.DSMT4" ShapeID="_x0000_i2117" DrawAspect="Content" ObjectID="_1791376061" r:id="rId2219"/>
        </w:object>
      </w:r>
      <w:r w:rsidRPr="00005251">
        <w:rPr>
          <w:rFonts w:eastAsiaTheme="minorEastAsia" w:hint="cs"/>
          <w:i/>
          <w:sz w:val="23"/>
          <w:szCs w:val="23"/>
          <w:rtl/>
        </w:rPr>
        <w:t>، مخارج مصرفی خانوار نیز افزایش یافته ولی با افزایش نرخ بهره</w:t>
      </w:r>
      <w:r w:rsidRPr="00005251">
        <w:rPr>
          <w:rFonts w:eastAsiaTheme="minorEastAsia"/>
          <w:i/>
          <w:sz w:val="23"/>
          <w:szCs w:val="23"/>
          <w:rtl/>
        </w:rPr>
        <w:softHyphen/>
      </w:r>
      <w:r w:rsidRPr="00005251">
        <w:rPr>
          <w:rFonts w:eastAsiaTheme="minorEastAsia" w:hint="cs"/>
          <w:i/>
          <w:sz w:val="23"/>
          <w:szCs w:val="23"/>
          <w:rtl/>
        </w:rPr>
        <w:t>ی</w:t>
      </w:r>
      <w:r w:rsidRPr="00025957">
        <w:rPr>
          <w:position w:val="-4"/>
        </w:rPr>
        <w:object w:dxaOrig="180" w:dyaOrig="180" w14:anchorId="33A6D041">
          <v:shape id="_x0000_i2118" type="#_x0000_t75" style="width:9.1pt;height:9.1pt" o:ole="">
            <v:imagedata r:id="rId2220" o:title=""/>
          </v:shape>
          <o:OLEObject Type="Embed" ProgID="Equation.DSMT4" ShapeID="_x0000_i2118" DrawAspect="Content" ObjectID="_1791376062" r:id="rId2221"/>
        </w:object>
      </w:r>
      <w:r w:rsidRPr="00005251">
        <w:rPr>
          <w:rFonts w:eastAsiaTheme="minorEastAsia" w:hint="cs"/>
          <w:i/>
          <w:sz w:val="23"/>
          <w:szCs w:val="23"/>
          <w:rtl/>
        </w:rPr>
        <w:t>، احتمالاً مخارج مصرفی خانوار کاهش می‌یابد.</w:t>
      </w:r>
      <w:r w:rsidRPr="00005251">
        <w:rPr>
          <w:rFonts w:eastAsiaTheme="minorEastAsia"/>
          <w:i/>
          <w:sz w:val="23"/>
          <w:szCs w:val="23"/>
        </w:rPr>
        <w:t xml:space="preserve"> </w:t>
      </w:r>
      <w:r w:rsidRPr="00005251">
        <w:rPr>
          <w:rFonts w:eastAsiaTheme="minorEastAsia" w:hint="cs"/>
          <w:i/>
          <w:sz w:val="23"/>
          <w:szCs w:val="23"/>
          <w:rtl/>
        </w:rPr>
        <w:t>اکنون رفتار مصرفی خانوار در زمان</w:t>
      </w:r>
      <w:r w:rsidRPr="00005251">
        <w:rPr>
          <w:position w:val="-6"/>
        </w:rPr>
        <w:object w:dxaOrig="139" w:dyaOrig="240" w14:anchorId="21902F3F">
          <v:shape id="_x0000_i2119" type="#_x0000_t75" style="width:7.25pt;height:11.5pt" o:ole="">
            <v:imagedata r:id="rId2222" o:title=""/>
          </v:shape>
          <o:OLEObject Type="Embed" ProgID="Equation.DSMT4" ShapeID="_x0000_i2119" DrawAspect="Content" ObjectID="_1791376063" r:id="rId2223"/>
        </w:object>
      </w:r>
      <w:r w:rsidRPr="00005251">
        <w:rPr>
          <w:rFonts w:eastAsiaTheme="minorEastAsia" w:hint="cs"/>
          <w:i/>
          <w:sz w:val="23"/>
          <w:szCs w:val="23"/>
          <w:rtl/>
          <w:lang w:val="en-GB"/>
        </w:rPr>
        <w:t xml:space="preserve"> و </w:t>
      </w:r>
      <w:r w:rsidRPr="00005251">
        <w:rPr>
          <w:position w:val="-6"/>
        </w:rPr>
        <w:object w:dxaOrig="440" w:dyaOrig="260" w14:anchorId="3371515D">
          <v:shape id="_x0000_i2120" type="#_x0000_t75" style="width:21.8pt;height:12.7pt" o:ole="">
            <v:imagedata r:id="rId2224" o:title=""/>
          </v:shape>
          <o:OLEObject Type="Embed" ProgID="Equation.DSMT4" ShapeID="_x0000_i2120" DrawAspect="Content" ObjectID="_1791376064" r:id="rId2225"/>
        </w:object>
      </w:r>
      <w:r w:rsidRPr="00005251">
        <w:rPr>
          <w:rFonts w:eastAsiaTheme="minorEastAsia" w:hint="cs"/>
          <w:i/>
          <w:sz w:val="23"/>
          <w:szCs w:val="23"/>
          <w:rtl/>
          <w:lang w:val="en-GB"/>
        </w:rPr>
        <w:t xml:space="preserve"> یعنی</w:t>
      </w:r>
      <w:r w:rsidRPr="00005251">
        <w:rPr>
          <w:position w:val="-10"/>
        </w:rPr>
        <w:object w:dxaOrig="200" w:dyaOrig="320" w14:anchorId="1D4B2F95">
          <v:shape id="_x0000_i2121" type="#_x0000_t75" style="width:10.3pt;height:16.35pt" o:ole="">
            <v:imagedata r:id="rId2226" o:title=""/>
          </v:shape>
          <o:OLEObject Type="Embed" ProgID="Equation.DSMT4" ShapeID="_x0000_i2121" DrawAspect="Content" ObjectID="_1791376065" r:id="rId2227"/>
        </w:object>
      </w:r>
      <w:r w:rsidRPr="00005251">
        <w:rPr>
          <w:rFonts w:eastAsiaTheme="minorEastAsia" w:hint="cs"/>
          <w:i/>
          <w:sz w:val="23"/>
          <w:szCs w:val="23"/>
          <w:rtl/>
        </w:rPr>
        <w:t xml:space="preserve"> و </w:t>
      </w:r>
      <w:r w:rsidRPr="00005251">
        <w:rPr>
          <w:position w:val="-10"/>
        </w:rPr>
        <w:object w:dxaOrig="340" w:dyaOrig="320" w14:anchorId="686D35F4">
          <v:shape id="_x0000_i2122" type="#_x0000_t75" style="width:16.95pt;height:16.35pt" o:ole="">
            <v:imagedata r:id="rId2228" o:title=""/>
          </v:shape>
          <o:OLEObject Type="Embed" ProgID="Equation.DSMT4" ShapeID="_x0000_i2122" DrawAspect="Content" ObjectID="_1791376066" r:id="rId2229"/>
        </w:object>
      </w:r>
      <w:r w:rsidRPr="00005251">
        <w:rPr>
          <w:rFonts w:eastAsiaTheme="minorEastAsia" w:hint="cs"/>
          <w:i/>
          <w:sz w:val="23"/>
          <w:szCs w:val="23"/>
          <w:rtl/>
        </w:rPr>
        <w:t xml:space="preserve"> را در مسیر بهینه بررسی می‌کنیم.</w:t>
      </w:r>
    </w:p>
    <w:p w14:paraId="09ECD47D"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از معادله</w:t>
      </w:r>
      <w:r w:rsidRPr="00005251">
        <w:rPr>
          <w:rFonts w:eastAsiaTheme="minorEastAsia"/>
          <w:i/>
          <w:sz w:val="23"/>
          <w:szCs w:val="23"/>
          <w:rtl/>
        </w:rPr>
        <w:softHyphen/>
      </w:r>
      <w:r w:rsidRPr="00005251">
        <w:rPr>
          <w:rFonts w:eastAsiaTheme="minorEastAsia" w:hint="cs"/>
          <w:i/>
          <w:sz w:val="23"/>
          <w:szCs w:val="23"/>
          <w:rtl/>
        </w:rPr>
        <w:t xml:space="preserve">ی اویلر </w:t>
      </w:r>
      <w:r w:rsidRPr="00005251">
        <w:rPr>
          <w:rFonts w:hint="cs"/>
          <w:i/>
          <w:sz w:val="23"/>
          <w:szCs w:val="23"/>
          <w:rtl/>
        </w:rPr>
        <w:t>(۴. ۴)</w:t>
      </w:r>
      <w:r w:rsidRPr="00005251">
        <w:rPr>
          <w:rFonts w:eastAsiaTheme="minorEastAsia" w:hint="cs"/>
          <w:i/>
          <w:sz w:val="23"/>
          <w:szCs w:val="23"/>
          <w:rtl/>
          <w:lang w:val="en-GB"/>
        </w:rPr>
        <w:t xml:space="preserve"> </w:t>
      </w:r>
      <w:r w:rsidRPr="00005251">
        <w:rPr>
          <w:rFonts w:eastAsiaTheme="minorEastAsia" w:hint="cs"/>
          <w:i/>
          <w:sz w:val="23"/>
          <w:szCs w:val="23"/>
          <w:rtl/>
        </w:rPr>
        <w:t xml:space="preserve">و یا ترکیب معادلات </w:t>
      </w:r>
      <w:r w:rsidRPr="00005251">
        <w:rPr>
          <w:rFonts w:hint="cs"/>
          <w:i/>
          <w:sz w:val="23"/>
          <w:szCs w:val="23"/>
          <w:rtl/>
        </w:rPr>
        <w:t>(۴. ۱۱)</w:t>
      </w:r>
      <w:r w:rsidRPr="00005251">
        <w:rPr>
          <w:rFonts w:eastAsiaTheme="minorEastAsia" w:hint="cs"/>
          <w:i/>
          <w:sz w:val="23"/>
          <w:szCs w:val="23"/>
          <w:rtl/>
        </w:rPr>
        <w:t xml:space="preserve"> و </w:t>
      </w:r>
      <w:r w:rsidRPr="00005251">
        <w:rPr>
          <w:rFonts w:hint="cs"/>
          <w:i/>
          <w:sz w:val="23"/>
          <w:szCs w:val="23"/>
          <w:rtl/>
        </w:rPr>
        <w:t>(۴. ۱۲)</w:t>
      </w:r>
      <w:r w:rsidRPr="00005251">
        <w:rPr>
          <w:rFonts w:eastAsiaTheme="minorEastAsia" w:hint="cs"/>
          <w:i/>
          <w:sz w:val="23"/>
          <w:szCs w:val="23"/>
          <w:rtl/>
        </w:rPr>
        <w:t xml:space="preserve"> و این</w:t>
      </w:r>
      <w:r w:rsidRPr="00005251">
        <w:rPr>
          <w:rFonts w:eastAsiaTheme="minorEastAsia"/>
          <w:i/>
          <w:sz w:val="23"/>
          <w:szCs w:val="23"/>
          <w:rtl/>
        </w:rPr>
        <w:softHyphen/>
      </w:r>
      <w:r w:rsidRPr="00005251">
        <w:rPr>
          <w:rFonts w:eastAsiaTheme="minorEastAsia" w:hint="cs"/>
          <w:i/>
          <w:sz w:val="23"/>
          <w:szCs w:val="23"/>
          <w:rtl/>
        </w:rPr>
        <w:t>که</w:t>
      </w:r>
      <w:r w:rsidRPr="00005251">
        <w:rPr>
          <w:position w:val="-22"/>
        </w:rPr>
        <w:object w:dxaOrig="880" w:dyaOrig="560" w14:anchorId="40BBAEC7">
          <v:shape id="_x0000_i2123" type="#_x0000_t75" style="width:44.15pt;height:27.85pt" o:ole="">
            <v:imagedata r:id="rId2230" o:title=""/>
          </v:shape>
          <o:OLEObject Type="Embed" ProgID="Equation.DSMT4" ShapeID="_x0000_i2123" DrawAspect="Content" ObjectID="_1791376067" r:id="rId2231"/>
        </w:object>
      </w:r>
      <w:r w:rsidRPr="00005251">
        <w:rPr>
          <w:rFonts w:hint="cs"/>
          <w:i/>
          <w:sz w:val="23"/>
          <w:szCs w:val="23"/>
          <w:rtl/>
        </w:rPr>
        <w:t xml:space="preserve"> </w:t>
      </w:r>
      <w:r w:rsidRPr="00005251">
        <w:rPr>
          <w:rFonts w:eastAsiaTheme="minorEastAsia" w:hint="cs"/>
          <w:i/>
          <w:sz w:val="23"/>
          <w:szCs w:val="23"/>
          <w:rtl/>
        </w:rPr>
        <w:t>نتیجه می</w:t>
      </w:r>
      <w:r w:rsidRPr="00005251">
        <w:rPr>
          <w:rFonts w:eastAsiaTheme="minorEastAsia"/>
          <w:i/>
          <w:sz w:val="23"/>
          <w:szCs w:val="23"/>
          <w:rtl/>
        </w:rPr>
        <w:softHyphen/>
      </w:r>
      <w:r w:rsidRPr="00005251">
        <w:rPr>
          <w:rFonts w:eastAsiaTheme="minorEastAsia" w:hint="cs"/>
          <w:i/>
          <w:sz w:val="23"/>
          <w:szCs w:val="23"/>
          <w:rtl/>
        </w:rPr>
        <w:t>گیریم:</w:t>
      </w:r>
    </w:p>
    <w:p w14:paraId="5DA07CA0" w14:textId="77777777" w:rsidR="00411620" w:rsidRPr="00005251" w:rsidRDefault="00411620" w:rsidP="00411620">
      <w:pPr>
        <w:bidi w:val="0"/>
        <w:spacing w:line="216" w:lineRule="auto"/>
        <w:rPr>
          <w:rFonts w:eastAsiaTheme="minorEastAsia"/>
          <w:i/>
          <w:sz w:val="23"/>
          <w:szCs w:val="23"/>
          <w:rtl/>
        </w:rPr>
      </w:pPr>
      <w:r w:rsidRPr="00005251">
        <w:rPr>
          <w:position w:val="-30"/>
        </w:rPr>
        <w:object w:dxaOrig="5580" w:dyaOrig="700" w14:anchorId="7B2CD9A9">
          <v:shape id="_x0000_i2124" type="#_x0000_t75" style="width:278.9pt;height:34.5pt" o:ole="">
            <v:imagedata r:id="rId2232" o:title=""/>
          </v:shape>
          <o:OLEObject Type="Embed" ProgID="Equation.DSMT4" ShapeID="_x0000_i2124" DrawAspect="Content" ObjectID="_1791376068" r:id="rId2233"/>
        </w:object>
      </w:r>
    </w:p>
    <w:p w14:paraId="70D9EF52" w14:textId="77777777" w:rsidR="00411620" w:rsidRDefault="00411620" w:rsidP="00411620">
      <w:pPr>
        <w:spacing w:line="216" w:lineRule="auto"/>
        <w:rPr>
          <w:i/>
          <w:sz w:val="23"/>
          <w:szCs w:val="23"/>
          <w:rtl/>
        </w:rPr>
      </w:pPr>
      <w:r w:rsidRPr="00005251">
        <w:rPr>
          <w:rFonts w:eastAsiaTheme="minorEastAsia" w:hint="cs"/>
          <w:i/>
          <w:sz w:val="23"/>
          <w:szCs w:val="23"/>
          <w:rtl/>
        </w:rPr>
        <w:t>و چون قبلا داشتیم</w:t>
      </w:r>
      <w:r w:rsidRPr="00005251">
        <w:rPr>
          <w:i/>
          <w:sz w:val="23"/>
          <w:szCs w:val="23"/>
        </w:rPr>
        <w:t xml:space="preserve"> </w:t>
      </w:r>
    </w:p>
    <w:p w14:paraId="73BF1DE3" w14:textId="77777777" w:rsidR="00411620" w:rsidRPr="00005251" w:rsidRDefault="00411620" w:rsidP="00411620">
      <w:pPr>
        <w:pStyle w:val="MTDisplayEquation"/>
        <w:tabs>
          <w:tab w:val="clear" w:pos="6660"/>
        </w:tabs>
        <w:spacing w:line="216" w:lineRule="auto"/>
        <w:rPr>
          <w:rFonts w:ascii="Times New Roman" w:eastAsiaTheme="minorEastAsia" w:hAnsi="Times New Roman" w:cs="B Nazanin"/>
          <w:i/>
          <w:sz w:val="23"/>
          <w:szCs w:val="23"/>
          <w:lang w:val="en-GB"/>
        </w:rPr>
      </w:pPr>
      <w:r w:rsidRPr="00005251">
        <w:rPr>
          <w:position w:val="-30"/>
        </w:rPr>
        <w:object w:dxaOrig="4140" w:dyaOrig="700" w14:anchorId="02A732A4">
          <v:shape id="_x0000_i2125" type="#_x0000_t75" style="width:206.9pt;height:34.5pt" o:ole="">
            <v:imagedata r:id="rId2234" o:title=""/>
          </v:shape>
          <o:OLEObject Type="Embed" ProgID="Equation.DSMT4" ShapeID="_x0000_i2125" DrawAspect="Content" ObjectID="_1791376069" r:id="rId2235"/>
        </w:object>
      </w:r>
      <w:r w:rsidRPr="00005251">
        <w:rPr>
          <w:rFonts w:ascii="Times New Roman" w:hAnsi="Times New Roman"/>
          <w:i/>
          <w:sz w:val="23"/>
          <w:szCs w:val="23"/>
        </w:rPr>
        <w:tab/>
      </w:r>
      <w:r w:rsidRPr="00005251">
        <w:rPr>
          <w:rFonts w:ascii="Times New Roman" w:hAnsi="Times New Roman"/>
          <w:i/>
          <w:sz w:val="23"/>
          <w:szCs w:val="23"/>
        </w:rPr>
        <w:tab/>
      </w:r>
      <w:r>
        <w:rPr>
          <w:rFonts w:ascii="Times New Roman" w:hAnsi="Times New Roman"/>
          <w:i/>
          <w:sz w:val="23"/>
          <w:szCs w:val="23"/>
          <w:rtl/>
        </w:rPr>
        <w:tab/>
      </w:r>
      <w:r>
        <w:rPr>
          <w:rFonts w:ascii="Times New Roman" w:hAnsi="Times New Roman"/>
          <w:i/>
          <w:sz w:val="23"/>
          <w:szCs w:val="23"/>
          <w:rtl/>
        </w:rPr>
        <w:tab/>
      </w:r>
      <w:r w:rsidRPr="00005251">
        <w:rPr>
          <w:rFonts w:ascii="Times New Roman" w:hAnsi="Times New Roman"/>
          <w:i/>
          <w:sz w:val="23"/>
          <w:szCs w:val="23"/>
        </w:rPr>
        <w:tab/>
      </w:r>
      <w:r w:rsidRPr="00005251">
        <w:rPr>
          <w:rFonts w:ascii="Times New Roman" w:hAnsi="Times New Roman"/>
          <w:i/>
          <w:sz w:val="23"/>
          <w:szCs w:val="23"/>
          <w:rtl/>
        </w:rPr>
        <w:tab/>
      </w:r>
      <w:r w:rsidRPr="00005251">
        <w:rPr>
          <w:rFonts w:ascii="Times New Roman" w:hAnsi="Times New Roman" w:cs="B Nazanin"/>
          <w:i/>
          <w:sz w:val="23"/>
          <w:szCs w:val="23"/>
          <w:rtl/>
        </w:rPr>
        <w:tab/>
      </w:r>
      <w:r w:rsidRPr="00005251">
        <w:rPr>
          <w:rFonts w:ascii="Times New Roman" w:hAnsi="Times New Roman" w:cs="B Nazanin" w:hint="cs"/>
          <w:i/>
          <w:sz w:val="23"/>
          <w:szCs w:val="23"/>
          <w:rtl/>
        </w:rPr>
        <w:t>(۴. ۱۴)</w:t>
      </w:r>
    </w:p>
    <w:p w14:paraId="05EA8C79" w14:textId="77777777" w:rsidR="00411620" w:rsidRPr="00005251" w:rsidRDefault="00411620" w:rsidP="00411620">
      <w:pPr>
        <w:spacing w:line="216" w:lineRule="auto"/>
        <w:jc w:val="center"/>
        <w:rPr>
          <w:rFonts w:eastAsiaTheme="minorEastAsia"/>
          <w:i/>
          <w:sz w:val="23"/>
          <w:szCs w:val="23"/>
          <w:rtl/>
        </w:rPr>
      </w:pPr>
      <w:r w:rsidRPr="00005251">
        <w:rPr>
          <w:rFonts w:eastAsiaTheme="minorEastAsia" w:hint="cs"/>
          <w:i/>
          <w:sz w:val="23"/>
          <w:szCs w:val="23"/>
          <w:rtl/>
        </w:rPr>
        <w:t>نمودار ۴. ۱</w:t>
      </w:r>
    </w:p>
    <w:p w14:paraId="121BACF1" w14:textId="77777777" w:rsidR="00411620" w:rsidRPr="00005251" w:rsidRDefault="00411620" w:rsidP="00411620">
      <w:pPr>
        <w:spacing w:line="216" w:lineRule="auto"/>
        <w:jc w:val="center"/>
        <w:rPr>
          <w:rFonts w:eastAsiaTheme="minorEastAsia"/>
          <w:i/>
          <w:sz w:val="23"/>
          <w:szCs w:val="23"/>
          <w:rtl/>
        </w:rPr>
      </w:pPr>
      <w:r w:rsidRPr="00005251">
        <w:rPr>
          <w:rFonts w:eastAsiaTheme="minorEastAsia"/>
          <w:i/>
          <w:noProof/>
          <w:sz w:val="23"/>
          <w:szCs w:val="23"/>
          <w:u w:val="single"/>
          <w:lang w:bidi="ar-SA"/>
        </w:rPr>
        <w:lastRenderedPageBreak/>
        <w:drawing>
          <wp:inline distT="0" distB="0" distL="0" distR="0" wp14:anchorId="41C4BF05" wp14:editId="33E107E5">
            <wp:extent cx="3650165" cy="1996069"/>
            <wp:effectExtent l="38100" t="38100" r="45720" b="425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6" cstate="print">
                      <a:lum contrast="20000"/>
                      <a:extLst>
                        <a:ext uri="{28A0092B-C50C-407E-A947-70E740481C1C}">
                          <a14:useLocalDpi xmlns:a14="http://schemas.microsoft.com/office/drawing/2010/main" val="0"/>
                        </a:ext>
                      </a:extLst>
                    </a:blip>
                    <a:srcRect/>
                    <a:stretch>
                      <a:fillRect/>
                    </a:stretch>
                  </pic:blipFill>
                  <pic:spPr bwMode="auto">
                    <a:xfrm>
                      <a:off x="0" y="0"/>
                      <a:ext cx="3682835" cy="2013934"/>
                    </a:xfrm>
                    <a:prstGeom prst="rect">
                      <a:avLst/>
                    </a:prstGeom>
                    <a:ln w="28575">
                      <a:solidFill>
                        <a:schemeClr val="tx1"/>
                      </a:solidFill>
                    </a:ln>
                  </pic:spPr>
                </pic:pic>
              </a:graphicData>
            </a:graphic>
          </wp:inline>
        </w:drawing>
      </w:r>
    </w:p>
    <w:p w14:paraId="4AC648C1" w14:textId="77777777" w:rsidR="00411620" w:rsidRPr="00005251" w:rsidRDefault="00411620" w:rsidP="00411620">
      <w:pPr>
        <w:spacing w:line="216" w:lineRule="auto"/>
        <w:rPr>
          <w:rFonts w:eastAsiaTheme="minorEastAsia"/>
          <w:i/>
          <w:sz w:val="23"/>
          <w:szCs w:val="23"/>
          <w:rtl/>
        </w:rPr>
      </w:pPr>
    </w:p>
    <w:p w14:paraId="33E1FE96" w14:textId="77777777" w:rsidR="00411620" w:rsidRPr="00005251" w:rsidRDefault="00411620" w:rsidP="00411620">
      <w:pPr>
        <w:spacing w:line="216" w:lineRule="auto"/>
        <w:rPr>
          <w:rFonts w:eastAsiaTheme="minorEastAsia"/>
          <w:i/>
          <w:sz w:val="23"/>
          <w:szCs w:val="23"/>
          <w:u w:val="single"/>
        </w:rPr>
      </w:pPr>
      <w:r w:rsidRPr="00005251">
        <w:rPr>
          <w:rFonts w:eastAsiaTheme="minorEastAsia" w:hint="cs"/>
          <w:i/>
          <w:sz w:val="23"/>
          <w:szCs w:val="23"/>
          <w:rtl/>
        </w:rPr>
        <w:t xml:space="preserve">لذا </w:t>
      </w:r>
    </w:p>
    <w:p w14:paraId="7FF09E99" w14:textId="77777777" w:rsidR="00411620" w:rsidRPr="00005251"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005251">
        <w:rPr>
          <w:position w:val="-30"/>
        </w:rPr>
        <w:object w:dxaOrig="4000" w:dyaOrig="720" w14:anchorId="634E75FF">
          <v:shape id="_x0000_i2126" type="#_x0000_t75" style="width:199.65pt;height:36.3pt" o:ole="">
            <v:imagedata r:id="rId2237" o:title=""/>
          </v:shape>
          <o:OLEObject Type="Embed" ProgID="Equation.DSMT4" ShapeID="_x0000_i2126" DrawAspect="Content" ObjectID="_1791376070" r:id="rId2238"/>
        </w:object>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Pr>
          <w:rFonts w:ascii="Times New Roman" w:hAnsi="Times New Roman"/>
          <w:i/>
          <w:sz w:val="23"/>
          <w:szCs w:val="23"/>
          <w:rtl/>
        </w:rPr>
        <w:tab/>
      </w:r>
      <w:r>
        <w:rPr>
          <w:rFonts w:ascii="Times New Roman" w:hAnsi="Times New Roman"/>
          <w:i/>
          <w:sz w:val="23"/>
          <w:szCs w:val="23"/>
          <w:rtl/>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cs="B Nazanin"/>
          <w:i/>
          <w:sz w:val="23"/>
          <w:szCs w:val="23"/>
          <w:rtl/>
        </w:rPr>
        <w:tab/>
      </w:r>
      <w:r w:rsidRPr="00005251">
        <w:rPr>
          <w:rFonts w:ascii="Times New Roman" w:hAnsi="Times New Roman" w:cs="B Nazanin" w:hint="cs"/>
          <w:i/>
          <w:sz w:val="23"/>
          <w:szCs w:val="23"/>
          <w:rtl/>
        </w:rPr>
        <w:t>(۴. ۱۵)</w:t>
      </w:r>
    </w:p>
    <w:p w14:paraId="4D01592E"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 xml:space="preserve">که در آن </w:t>
      </w:r>
      <w:r w:rsidRPr="00005251">
        <w:rPr>
          <w:position w:val="-6"/>
        </w:rPr>
        <w:object w:dxaOrig="220" w:dyaOrig="200" w14:anchorId="5411AF39">
          <v:shape id="_x0000_i2127" type="#_x0000_t75" style="width:10.9pt;height:10.3pt" o:ole="">
            <v:imagedata r:id="rId2239" o:title=""/>
          </v:shape>
          <o:OLEObject Type="Embed" ProgID="Equation.DSMT4" ShapeID="_x0000_i2127" DrawAspect="Content" ObjectID="_1791376071" r:id="rId2240"/>
        </w:object>
      </w:r>
      <w:r w:rsidRPr="00005251">
        <w:rPr>
          <w:rFonts w:eastAsiaTheme="minorEastAsia" w:hint="cs"/>
          <w:i/>
          <w:sz w:val="23"/>
          <w:szCs w:val="23"/>
          <w:rtl/>
        </w:rPr>
        <w:t xml:space="preserve"> ضریب ریسک گریزی نسبی</w:t>
      </w:r>
      <w:r w:rsidRPr="00005251">
        <w:rPr>
          <w:rStyle w:val="FootnoteReference"/>
          <w:rFonts w:eastAsiaTheme="minorEastAsia"/>
          <w:i/>
          <w:sz w:val="23"/>
          <w:szCs w:val="23"/>
          <w:rtl/>
        </w:rPr>
        <w:footnoteReference w:id="113"/>
      </w:r>
      <w:r w:rsidRPr="00005251">
        <w:rPr>
          <w:rFonts w:eastAsiaTheme="minorEastAsia"/>
          <w:i/>
          <w:sz w:val="23"/>
          <w:szCs w:val="23"/>
        </w:rPr>
        <w:t xml:space="preserve"> </w:t>
      </w:r>
      <w:r w:rsidRPr="00005251">
        <w:rPr>
          <w:rFonts w:eastAsiaTheme="minorEastAsia" w:hint="cs"/>
          <w:i/>
          <w:sz w:val="23"/>
          <w:szCs w:val="23"/>
          <w:rtl/>
        </w:rPr>
        <w:t xml:space="preserve">است. به طور کلی ضریب </w:t>
      </w:r>
      <w:r w:rsidRPr="00005251">
        <w:rPr>
          <w:position w:val="-6"/>
        </w:rPr>
        <w:object w:dxaOrig="220" w:dyaOrig="200" w14:anchorId="457C0AA7">
          <v:shape id="_x0000_i2128" type="#_x0000_t75" style="width:10.9pt;height:10.3pt" o:ole="">
            <v:imagedata r:id="rId2241" o:title=""/>
          </v:shape>
          <o:OLEObject Type="Embed" ProgID="Equation.DSMT4" ShapeID="_x0000_i2128" DrawAspect="Content" ObjectID="_1791376072" r:id="rId2242"/>
        </w:object>
      </w:r>
      <w:r w:rsidRPr="00005251">
        <w:rPr>
          <w:rFonts w:eastAsiaTheme="minorEastAsia" w:hint="cs"/>
          <w:i/>
          <w:sz w:val="23"/>
          <w:szCs w:val="23"/>
          <w:rtl/>
        </w:rPr>
        <w:t xml:space="preserve"> در طول زمان تغییر می‌کند ولی برای سهولت بحث فرض می‌شود این ضریب ثابت است.</w:t>
      </w:r>
    </w:p>
    <w:p w14:paraId="47C70E74"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 xml:space="preserve"> در تعادل بلندمدت و یا وضعیت یکنواخت</w:t>
      </w:r>
      <w:r w:rsidRPr="00005251">
        <w:rPr>
          <w:position w:val="-10"/>
        </w:rPr>
        <w:object w:dxaOrig="680" w:dyaOrig="320" w14:anchorId="42B1868E">
          <v:shape id="_x0000_i2129" type="#_x0000_t75" style="width:33.9pt;height:16.35pt" o:ole="">
            <v:imagedata r:id="rId2243" o:title=""/>
          </v:shape>
          <o:OLEObject Type="Embed" ProgID="Equation.DSMT4" ShapeID="_x0000_i2129" DrawAspect="Content" ObjectID="_1791376073" r:id="rId2244"/>
        </w:object>
      </w:r>
      <w:r w:rsidRPr="00005251">
        <w:rPr>
          <w:rFonts w:eastAsiaTheme="minorEastAsia" w:hint="cs"/>
          <w:i/>
          <w:sz w:val="23"/>
          <w:szCs w:val="23"/>
          <w:rtl/>
        </w:rPr>
        <w:t xml:space="preserve"> می</w:t>
      </w:r>
      <w:r w:rsidRPr="00005251">
        <w:rPr>
          <w:rFonts w:eastAsiaTheme="minorEastAsia"/>
          <w:i/>
          <w:sz w:val="23"/>
          <w:szCs w:val="23"/>
          <w:rtl/>
        </w:rPr>
        <w:softHyphen/>
      </w:r>
      <w:r w:rsidRPr="00005251">
        <w:rPr>
          <w:rFonts w:eastAsiaTheme="minorEastAsia" w:hint="cs"/>
          <w:i/>
          <w:sz w:val="23"/>
          <w:szCs w:val="23"/>
          <w:rtl/>
        </w:rPr>
        <w:t>باشد. بنابراین</w:t>
      </w:r>
      <w:r w:rsidRPr="00005251">
        <w:rPr>
          <w:position w:val="-10"/>
        </w:rPr>
        <w:object w:dxaOrig="840" w:dyaOrig="320" w14:anchorId="2F83BFEB">
          <v:shape id="_x0000_i2130" type="#_x0000_t75" style="width:41.75pt;height:16.35pt" o:ole="">
            <v:imagedata r:id="rId2245" o:title=""/>
          </v:shape>
          <o:OLEObject Type="Embed" ProgID="Equation.DSMT4" ShapeID="_x0000_i2130" DrawAspect="Content" ObjectID="_1791376074" r:id="rId2246"/>
        </w:object>
      </w:r>
      <w:r w:rsidRPr="00005251">
        <w:rPr>
          <w:rFonts w:eastAsiaTheme="minorEastAsia" w:hint="cs"/>
          <w:i/>
          <w:sz w:val="23"/>
          <w:szCs w:val="23"/>
          <w:rtl/>
        </w:rPr>
        <w:t xml:space="preserve"> و یا </w:t>
      </w:r>
      <w:r w:rsidRPr="00005251">
        <w:rPr>
          <w:position w:val="-10"/>
        </w:rPr>
        <w:object w:dxaOrig="720" w:dyaOrig="320" w14:anchorId="6C66550A">
          <v:shape id="_x0000_i2131" type="#_x0000_t75" style="width:36.3pt;height:16.35pt" o:ole="">
            <v:imagedata r:id="rId2247" o:title=""/>
          </v:shape>
          <o:OLEObject Type="Embed" ProgID="Equation.DSMT4" ShapeID="_x0000_i2131" DrawAspect="Content" ObjectID="_1791376075" r:id="rId2248"/>
        </w:object>
      </w:r>
      <w:r w:rsidRPr="00005251">
        <w:rPr>
          <w:rFonts w:hint="cs"/>
          <w:i/>
          <w:sz w:val="23"/>
          <w:szCs w:val="23"/>
          <w:rtl/>
        </w:rPr>
        <w:t xml:space="preserve"> است</w:t>
      </w:r>
      <w:r w:rsidRPr="00005251">
        <w:rPr>
          <w:rFonts w:eastAsiaTheme="minorEastAsia"/>
          <w:i/>
          <w:sz w:val="23"/>
          <w:szCs w:val="23"/>
        </w:rPr>
        <w:t>.</w:t>
      </w:r>
      <w:r w:rsidRPr="00005251">
        <w:rPr>
          <w:rFonts w:eastAsiaTheme="minorEastAsia" w:hint="cs"/>
          <w:i/>
          <w:sz w:val="23"/>
          <w:szCs w:val="23"/>
          <w:rtl/>
        </w:rPr>
        <w:t xml:space="preserve"> لذا مصرف بهینه در زمان </w:t>
      </w:r>
      <w:r w:rsidRPr="00005251">
        <w:rPr>
          <w:position w:val="-6"/>
        </w:rPr>
        <w:object w:dxaOrig="440" w:dyaOrig="260" w14:anchorId="2CD94317">
          <v:shape id="_x0000_i2132" type="#_x0000_t75" style="width:21.8pt;height:12.7pt" o:ole="">
            <v:imagedata r:id="rId2249" o:title=""/>
          </v:shape>
          <o:OLEObject Type="Embed" ProgID="Equation.DSMT4" ShapeID="_x0000_i2132" DrawAspect="Content" ObjectID="_1791376076" r:id="rId2250"/>
        </w:object>
      </w:r>
      <w:r w:rsidRPr="00005251">
        <w:rPr>
          <w:rFonts w:eastAsiaTheme="minorEastAsia" w:hint="cs"/>
          <w:i/>
          <w:sz w:val="23"/>
          <w:szCs w:val="23"/>
          <w:rtl/>
        </w:rPr>
        <w:t xml:space="preserve"> برابر با مصرف بهینه در زمان</w:t>
      </w:r>
      <w:r w:rsidRPr="00005251">
        <w:rPr>
          <w:position w:val="-6"/>
        </w:rPr>
        <w:object w:dxaOrig="139" w:dyaOrig="240" w14:anchorId="25EF96E8">
          <v:shape id="_x0000_i2133" type="#_x0000_t75" style="width:7.25pt;height:11.5pt" o:ole="">
            <v:imagedata r:id="rId2251" o:title=""/>
          </v:shape>
          <o:OLEObject Type="Embed" ProgID="Equation.DSMT4" ShapeID="_x0000_i2133" DrawAspect="Content" ObjectID="_1791376077" r:id="rId2252"/>
        </w:object>
      </w:r>
      <w:r w:rsidRPr="00005251">
        <w:rPr>
          <w:rFonts w:eastAsiaTheme="minorEastAsia" w:hint="cs"/>
          <w:i/>
          <w:sz w:val="23"/>
          <w:szCs w:val="23"/>
          <w:rtl/>
        </w:rPr>
        <w:t xml:space="preserve"> است. در این حالت تمایل خانوار به پس</w:t>
      </w:r>
      <w:r w:rsidRPr="00005251">
        <w:rPr>
          <w:rFonts w:eastAsiaTheme="minorEastAsia"/>
          <w:i/>
          <w:sz w:val="23"/>
          <w:szCs w:val="23"/>
          <w:rtl/>
        </w:rPr>
        <w:softHyphen/>
      </w:r>
      <w:r w:rsidRPr="00005251">
        <w:rPr>
          <w:rFonts w:eastAsiaTheme="minorEastAsia" w:hint="cs"/>
          <w:i/>
          <w:sz w:val="23"/>
          <w:szCs w:val="23"/>
          <w:rtl/>
        </w:rPr>
        <w:t>انداز به</w:t>
      </w:r>
      <w:r w:rsidRPr="00005251">
        <w:rPr>
          <w:rFonts w:eastAsiaTheme="minorEastAsia"/>
          <w:i/>
          <w:sz w:val="23"/>
          <w:szCs w:val="23"/>
          <w:rtl/>
        </w:rPr>
        <w:softHyphen/>
      </w:r>
      <w:r w:rsidRPr="00005251">
        <w:rPr>
          <w:rFonts w:eastAsiaTheme="minorEastAsia" w:hint="cs"/>
          <w:i/>
          <w:sz w:val="23"/>
          <w:szCs w:val="23"/>
          <w:rtl/>
        </w:rPr>
        <w:t>گونه</w:t>
      </w:r>
      <w:r w:rsidRPr="00005251">
        <w:rPr>
          <w:rFonts w:eastAsiaTheme="minorEastAsia"/>
          <w:i/>
          <w:sz w:val="23"/>
          <w:szCs w:val="23"/>
          <w:rtl/>
        </w:rPr>
        <w:softHyphen/>
      </w:r>
      <w:r w:rsidRPr="00005251">
        <w:rPr>
          <w:rFonts w:eastAsiaTheme="minorEastAsia" w:hint="cs"/>
          <w:i/>
          <w:sz w:val="23"/>
          <w:szCs w:val="23"/>
          <w:rtl/>
        </w:rPr>
        <w:t>ای است که نرخ بازدهی پس</w:t>
      </w:r>
      <w:r w:rsidRPr="00005251">
        <w:rPr>
          <w:rFonts w:eastAsiaTheme="minorEastAsia"/>
          <w:i/>
          <w:sz w:val="23"/>
          <w:szCs w:val="23"/>
          <w:rtl/>
        </w:rPr>
        <w:softHyphen/>
      </w:r>
      <w:r w:rsidRPr="00005251">
        <w:rPr>
          <w:rFonts w:eastAsiaTheme="minorEastAsia" w:hint="cs"/>
          <w:i/>
          <w:sz w:val="23"/>
          <w:szCs w:val="23"/>
          <w:rtl/>
        </w:rPr>
        <w:t>انداز</w:t>
      </w:r>
      <w:r w:rsidRPr="00005251">
        <w:rPr>
          <w:position w:val="-10"/>
        </w:rPr>
        <w:object w:dxaOrig="320" w:dyaOrig="320" w14:anchorId="737D1C0B">
          <v:shape id="_x0000_i2134" type="#_x0000_t75" style="width:16.35pt;height:16.35pt" o:ole="">
            <v:imagedata r:id="rId2253" o:title=""/>
          </v:shape>
          <o:OLEObject Type="Embed" ProgID="Equation.DSMT4" ShapeID="_x0000_i2134" DrawAspect="Content" ObjectID="_1791376078" r:id="rId2254"/>
        </w:object>
      </w:r>
      <w:r w:rsidRPr="00005251">
        <w:rPr>
          <w:rFonts w:eastAsiaTheme="minorEastAsia" w:hint="cs"/>
          <w:i/>
          <w:sz w:val="23"/>
          <w:szCs w:val="23"/>
          <w:rtl/>
        </w:rPr>
        <w:t xml:space="preserve"> برابر با نرخ تنزیل زمانی</w:t>
      </w:r>
      <w:r w:rsidRPr="00005251">
        <w:rPr>
          <w:position w:val="-6"/>
        </w:rPr>
        <w:object w:dxaOrig="200" w:dyaOrig="260" w14:anchorId="21A9C311">
          <v:shape id="_x0000_i2135" type="#_x0000_t75" style="width:10.3pt;height:12.7pt" o:ole="">
            <v:imagedata r:id="rId2255" o:title=""/>
          </v:shape>
          <o:OLEObject Type="Embed" ProgID="Equation.DSMT4" ShapeID="_x0000_i2135" DrawAspect="Content" ObjectID="_1791376079" r:id="rId2256"/>
        </w:object>
      </w:r>
      <w:r w:rsidRPr="00005251">
        <w:rPr>
          <w:rFonts w:eastAsiaTheme="minorEastAsia" w:hint="cs"/>
          <w:i/>
          <w:sz w:val="23"/>
          <w:szCs w:val="23"/>
          <w:rtl/>
        </w:rPr>
        <w:t xml:space="preserve"> می</w:t>
      </w:r>
      <w:r w:rsidRPr="00005251">
        <w:rPr>
          <w:rFonts w:eastAsiaTheme="minorEastAsia"/>
          <w:i/>
          <w:sz w:val="23"/>
          <w:szCs w:val="23"/>
          <w:rtl/>
        </w:rPr>
        <w:softHyphen/>
      </w:r>
      <w:r w:rsidRPr="00005251">
        <w:rPr>
          <w:rFonts w:eastAsiaTheme="minorEastAsia" w:hint="cs"/>
          <w:i/>
          <w:sz w:val="23"/>
          <w:szCs w:val="23"/>
          <w:rtl/>
        </w:rPr>
        <w:t>شود. امّا در کوتاه</w:t>
      </w:r>
      <w:r w:rsidRPr="00005251">
        <w:rPr>
          <w:rFonts w:eastAsiaTheme="minorEastAsia"/>
          <w:i/>
          <w:sz w:val="23"/>
          <w:szCs w:val="23"/>
          <w:rtl/>
        </w:rPr>
        <w:softHyphen/>
      </w:r>
      <w:r w:rsidRPr="00005251">
        <w:rPr>
          <w:rFonts w:eastAsiaTheme="minorEastAsia" w:hint="cs"/>
          <w:i/>
          <w:sz w:val="23"/>
          <w:szCs w:val="23"/>
          <w:rtl/>
        </w:rPr>
        <w:t>مدت</w:t>
      </w:r>
      <w:r w:rsidRPr="00005251">
        <w:rPr>
          <w:position w:val="-10"/>
        </w:rPr>
        <w:object w:dxaOrig="180" w:dyaOrig="320" w14:anchorId="08AD1A67">
          <v:shape id="_x0000_i2136" type="#_x0000_t75" style="width:9.1pt;height:16.35pt" o:ole="">
            <v:imagedata r:id="rId2257" o:title=""/>
          </v:shape>
          <o:OLEObject Type="Embed" ProgID="Equation.DSMT4" ShapeID="_x0000_i2136" DrawAspect="Content" ObjectID="_1791376080" r:id="rId2258"/>
        </w:object>
      </w:r>
      <w:r w:rsidRPr="00005251">
        <w:rPr>
          <w:rFonts w:eastAsiaTheme="minorEastAsia" w:hint="cs"/>
          <w:i/>
          <w:sz w:val="23"/>
          <w:szCs w:val="23"/>
          <w:rtl/>
        </w:rPr>
        <w:t xml:space="preserve"> مرتباً در حال تغییر است. اگر </w:t>
      </w:r>
      <w:r w:rsidRPr="00005251">
        <w:rPr>
          <w:position w:val="-10"/>
        </w:rPr>
        <w:object w:dxaOrig="680" w:dyaOrig="320" w14:anchorId="73DA8FDF">
          <v:shape id="_x0000_i2137" type="#_x0000_t75" style="width:33.9pt;height:16.35pt" o:ole="">
            <v:imagedata r:id="rId2259" o:title=""/>
          </v:shape>
          <o:OLEObject Type="Embed" ProgID="Equation.DSMT4" ShapeID="_x0000_i2137" DrawAspect="Content" ObjectID="_1791376081" r:id="rId2260"/>
        </w:object>
      </w:r>
      <w:r w:rsidRPr="00005251">
        <w:rPr>
          <w:rFonts w:eastAsiaTheme="minorEastAsia" w:hint="cs"/>
          <w:i/>
          <w:sz w:val="23"/>
          <w:szCs w:val="23"/>
          <w:rtl/>
        </w:rPr>
        <w:t xml:space="preserve"> باشد آنگاه </w:t>
      </w:r>
      <w:r w:rsidRPr="00005251">
        <w:rPr>
          <w:position w:val="-10"/>
        </w:rPr>
        <w:object w:dxaOrig="840" w:dyaOrig="320" w14:anchorId="22CE4F88">
          <v:shape id="_x0000_i2138" type="#_x0000_t75" style="width:41.75pt;height:16.35pt" o:ole="">
            <v:imagedata r:id="rId2261" o:title=""/>
          </v:shape>
          <o:OLEObject Type="Embed" ProgID="Equation.DSMT4" ShapeID="_x0000_i2138" DrawAspect="Content" ObjectID="_1791376082" r:id="rId2262"/>
        </w:object>
      </w:r>
      <w:r w:rsidRPr="00005251">
        <w:rPr>
          <w:rFonts w:eastAsiaTheme="minorEastAsia" w:hint="cs"/>
          <w:i/>
          <w:sz w:val="23"/>
          <w:szCs w:val="23"/>
          <w:rtl/>
        </w:rPr>
        <w:t xml:space="preserve"> ویا </w:t>
      </w:r>
      <w:r w:rsidRPr="00005251">
        <w:rPr>
          <w:position w:val="-10"/>
        </w:rPr>
        <w:object w:dxaOrig="720" w:dyaOrig="320" w14:anchorId="5FCDCF13">
          <v:shape id="_x0000_i2139" type="#_x0000_t75" style="width:36.3pt;height:16.35pt" o:ole="">
            <v:imagedata r:id="rId2263" o:title=""/>
          </v:shape>
          <o:OLEObject Type="Embed" ProgID="Equation.DSMT4" ShapeID="_x0000_i2139" DrawAspect="Content" ObjectID="_1791376083" r:id="rId2264"/>
        </w:object>
      </w:r>
      <w:r w:rsidRPr="00005251">
        <w:rPr>
          <w:rFonts w:eastAsiaTheme="minorEastAsia" w:hint="cs"/>
          <w:i/>
          <w:sz w:val="23"/>
          <w:szCs w:val="23"/>
          <w:rtl/>
        </w:rPr>
        <w:t xml:space="preserve"> است یعنی خانوار در زمان</w:t>
      </w:r>
      <w:r w:rsidRPr="00005251">
        <w:rPr>
          <w:position w:val="-6"/>
        </w:rPr>
        <w:object w:dxaOrig="139" w:dyaOrig="240" w14:anchorId="758DEE5B">
          <v:shape id="_x0000_i2140" type="#_x0000_t75" style="width:7.25pt;height:11.5pt" o:ole="">
            <v:imagedata r:id="rId2265" o:title=""/>
          </v:shape>
          <o:OLEObject Type="Embed" ProgID="Equation.DSMT4" ShapeID="_x0000_i2140" DrawAspect="Content" ObjectID="_1791376084" r:id="rId2266"/>
        </w:object>
      </w:r>
      <w:r w:rsidRPr="00005251">
        <w:rPr>
          <w:rFonts w:eastAsiaTheme="minorEastAsia" w:hint="cs"/>
          <w:i/>
          <w:sz w:val="23"/>
          <w:szCs w:val="23"/>
          <w:rtl/>
        </w:rPr>
        <w:t xml:space="preserve"> بیشتر مصرف می‌کند. لذا مصرف در مسیر بهینه در زمان </w:t>
      </w:r>
      <w:r w:rsidRPr="00005251">
        <w:rPr>
          <w:position w:val="-6"/>
        </w:rPr>
        <w:object w:dxaOrig="440" w:dyaOrig="260" w14:anchorId="60FE0CD2">
          <v:shape id="_x0000_i2141" type="#_x0000_t75" style="width:21.8pt;height:12.7pt" o:ole="">
            <v:imagedata r:id="rId2267" o:title=""/>
          </v:shape>
          <o:OLEObject Type="Embed" ProgID="Equation.DSMT4" ShapeID="_x0000_i2141" DrawAspect="Content" ObjectID="_1791376085" r:id="rId2268"/>
        </w:object>
      </w:r>
      <w:r w:rsidRPr="00005251">
        <w:rPr>
          <w:rFonts w:eastAsiaTheme="minorEastAsia" w:hint="cs"/>
          <w:i/>
          <w:sz w:val="23"/>
          <w:szCs w:val="23"/>
          <w:rtl/>
        </w:rPr>
        <w:t xml:space="preserve"> نسبت به زمان </w:t>
      </w:r>
      <w:r w:rsidRPr="00005251">
        <w:rPr>
          <w:position w:val="-6"/>
        </w:rPr>
        <w:object w:dxaOrig="139" w:dyaOrig="240" w14:anchorId="0D3EC68F">
          <v:shape id="_x0000_i2142" type="#_x0000_t75" style="width:7.25pt;height:11.5pt" o:ole="">
            <v:imagedata r:id="rId2269" o:title=""/>
          </v:shape>
          <o:OLEObject Type="Embed" ProgID="Equation.DSMT4" ShapeID="_x0000_i2142" DrawAspect="Content" ObjectID="_1791376086" r:id="rId2270"/>
        </w:object>
      </w:r>
      <w:r w:rsidRPr="00005251">
        <w:rPr>
          <w:rFonts w:eastAsiaTheme="minorEastAsia" w:hint="cs"/>
          <w:i/>
          <w:sz w:val="23"/>
          <w:szCs w:val="23"/>
          <w:rtl/>
        </w:rPr>
        <w:t xml:space="preserve"> کاهش می‌یابد. زیرا پس</w:t>
      </w:r>
      <w:r w:rsidRPr="00005251">
        <w:rPr>
          <w:rFonts w:eastAsiaTheme="minorEastAsia"/>
          <w:i/>
          <w:sz w:val="23"/>
          <w:szCs w:val="23"/>
          <w:rtl/>
        </w:rPr>
        <w:softHyphen/>
      </w:r>
      <w:r w:rsidRPr="00005251">
        <w:rPr>
          <w:rFonts w:eastAsiaTheme="minorEastAsia" w:hint="cs"/>
          <w:i/>
          <w:sz w:val="23"/>
          <w:szCs w:val="23"/>
          <w:rtl/>
        </w:rPr>
        <w:t>انداز کاهش یافته و در دوره</w:t>
      </w:r>
      <w:r w:rsidRPr="00005251">
        <w:rPr>
          <w:rFonts w:eastAsiaTheme="minorEastAsia"/>
          <w:i/>
          <w:sz w:val="23"/>
          <w:szCs w:val="23"/>
          <w:rtl/>
        </w:rPr>
        <w:softHyphen/>
      </w:r>
      <w:r w:rsidRPr="00005251">
        <w:rPr>
          <w:rFonts w:eastAsiaTheme="minorEastAsia" w:hint="cs"/>
          <w:i/>
          <w:sz w:val="23"/>
          <w:szCs w:val="23"/>
          <w:rtl/>
        </w:rPr>
        <w:t>ی بعد نرخ بازدهی پس</w:t>
      </w:r>
      <w:r w:rsidRPr="00005251">
        <w:rPr>
          <w:rFonts w:eastAsiaTheme="minorEastAsia"/>
          <w:i/>
          <w:sz w:val="23"/>
          <w:szCs w:val="23"/>
          <w:rtl/>
        </w:rPr>
        <w:softHyphen/>
      </w:r>
      <w:r w:rsidRPr="00005251">
        <w:rPr>
          <w:rFonts w:eastAsiaTheme="minorEastAsia" w:hint="cs"/>
          <w:i/>
          <w:sz w:val="23"/>
          <w:szCs w:val="23"/>
          <w:rtl/>
        </w:rPr>
        <w:t>انداز افزایش می</w:t>
      </w:r>
      <w:r w:rsidRPr="00005251">
        <w:rPr>
          <w:rFonts w:eastAsiaTheme="minorEastAsia"/>
          <w:i/>
          <w:sz w:val="23"/>
          <w:szCs w:val="23"/>
          <w:rtl/>
        </w:rPr>
        <w:softHyphen/>
      </w:r>
      <w:r w:rsidRPr="00005251">
        <w:rPr>
          <w:rFonts w:eastAsiaTheme="minorEastAsia" w:hint="cs"/>
          <w:i/>
          <w:sz w:val="23"/>
          <w:szCs w:val="23"/>
          <w:rtl/>
        </w:rPr>
        <w:t>یابد و اقتصاد به وضعیت یکنواخت باز خواهد گشت. بالعکس اگر</w:t>
      </w:r>
      <w:r w:rsidRPr="00005251">
        <w:rPr>
          <w:position w:val="-10"/>
        </w:rPr>
        <w:object w:dxaOrig="680" w:dyaOrig="320" w14:anchorId="3C540F80">
          <v:shape id="_x0000_i2143" type="#_x0000_t75" style="width:33.9pt;height:16.35pt" o:ole="">
            <v:imagedata r:id="rId2271" o:title=""/>
          </v:shape>
          <o:OLEObject Type="Embed" ProgID="Equation.DSMT4" ShapeID="_x0000_i2143" DrawAspect="Content" ObjectID="_1791376087" r:id="rId2272"/>
        </w:object>
      </w:r>
      <w:r w:rsidRPr="00005251">
        <w:rPr>
          <w:rFonts w:eastAsiaTheme="minorEastAsia" w:hint="cs"/>
          <w:i/>
          <w:sz w:val="23"/>
          <w:szCs w:val="23"/>
          <w:rtl/>
        </w:rPr>
        <w:t xml:space="preserve"> باشد، آنگاه </w:t>
      </w:r>
      <w:r w:rsidRPr="00005251">
        <w:rPr>
          <w:position w:val="-10"/>
        </w:rPr>
        <w:object w:dxaOrig="840" w:dyaOrig="320" w14:anchorId="7FE37A23">
          <v:shape id="_x0000_i2144" type="#_x0000_t75" style="width:41.75pt;height:16.35pt" o:ole="">
            <v:imagedata r:id="rId2273" o:title=""/>
          </v:shape>
          <o:OLEObject Type="Embed" ProgID="Equation.DSMT4" ShapeID="_x0000_i2144" DrawAspect="Content" ObjectID="_1791376088" r:id="rId2274"/>
        </w:object>
      </w:r>
      <w:r w:rsidRPr="00005251">
        <w:rPr>
          <w:rFonts w:eastAsiaTheme="minorEastAsia" w:hint="cs"/>
          <w:i/>
          <w:sz w:val="23"/>
          <w:szCs w:val="23"/>
          <w:rtl/>
        </w:rPr>
        <w:t xml:space="preserve"> و یا</w:t>
      </w:r>
      <w:r w:rsidRPr="00005251">
        <w:rPr>
          <w:position w:val="-10"/>
        </w:rPr>
        <w:object w:dxaOrig="720" w:dyaOrig="320" w14:anchorId="54D18C58">
          <v:shape id="_x0000_i2145" type="#_x0000_t75" style="width:36.3pt;height:16.35pt" o:ole="">
            <v:imagedata r:id="rId2275" o:title=""/>
          </v:shape>
          <o:OLEObject Type="Embed" ProgID="Equation.DSMT4" ShapeID="_x0000_i2145" DrawAspect="Content" ObjectID="_1791376089" r:id="rId2276"/>
        </w:object>
      </w:r>
      <w:r w:rsidRPr="00005251">
        <w:rPr>
          <w:rFonts w:eastAsiaTheme="minorEastAsia" w:hint="cs"/>
          <w:i/>
          <w:sz w:val="23"/>
          <w:szCs w:val="23"/>
          <w:rtl/>
        </w:rPr>
        <w:t xml:space="preserve"> است، یعنی خانوار در زمان</w:t>
      </w:r>
      <w:r w:rsidRPr="00005251">
        <w:rPr>
          <w:position w:val="-6"/>
        </w:rPr>
        <w:object w:dxaOrig="440" w:dyaOrig="260" w14:anchorId="06020116">
          <v:shape id="_x0000_i2146" type="#_x0000_t75" style="width:21.8pt;height:12.7pt" o:ole="">
            <v:imagedata r:id="rId2277" o:title=""/>
          </v:shape>
          <o:OLEObject Type="Embed" ProgID="Equation.DSMT4" ShapeID="_x0000_i2146" DrawAspect="Content" ObjectID="_1791376090" r:id="rId2278"/>
        </w:object>
      </w:r>
      <w:r w:rsidRPr="00005251">
        <w:rPr>
          <w:rFonts w:eastAsiaTheme="minorEastAsia" w:hint="cs"/>
          <w:i/>
          <w:sz w:val="23"/>
          <w:szCs w:val="23"/>
          <w:rtl/>
        </w:rPr>
        <w:t xml:space="preserve"> بیشتر مصرف می‌کند. لذا مصرف در مسیر بهینه در زمان </w:t>
      </w:r>
      <w:r w:rsidRPr="00005251">
        <w:rPr>
          <w:position w:val="-6"/>
        </w:rPr>
        <w:object w:dxaOrig="440" w:dyaOrig="260" w14:anchorId="15F058CD">
          <v:shape id="_x0000_i2147" type="#_x0000_t75" style="width:21.8pt;height:12.7pt" o:ole="">
            <v:imagedata r:id="rId2279" o:title=""/>
          </v:shape>
          <o:OLEObject Type="Embed" ProgID="Equation.DSMT4" ShapeID="_x0000_i2147" DrawAspect="Content" ObjectID="_1791376091" r:id="rId2280"/>
        </w:object>
      </w:r>
      <w:r w:rsidRPr="00005251">
        <w:rPr>
          <w:rFonts w:eastAsiaTheme="minorEastAsia" w:hint="cs"/>
          <w:i/>
          <w:sz w:val="23"/>
          <w:szCs w:val="23"/>
          <w:rtl/>
        </w:rPr>
        <w:t xml:space="preserve"> نسبت به زمان</w:t>
      </w:r>
      <w:r w:rsidRPr="00005251">
        <w:rPr>
          <w:position w:val="-6"/>
        </w:rPr>
        <w:object w:dxaOrig="139" w:dyaOrig="240" w14:anchorId="408B5F9A">
          <v:shape id="_x0000_i2148" type="#_x0000_t75" style="width:7.25pt;height:11.5pt" o:ole="">
            <v:imagedata r:id="rId2281" o:title=""/>
          </v:shape>
          <o:OLEObject Type="Embed" ProgID="Equation.DSMT4" ShapeID="_x0000_i2148" DrawAspect="Content" ObjectID="_1791376092" r:id="rId2282"/>
        </w:object>
      </w:r>
      <w:r w:rsidRPr="00005251">
        <w:rPr>
          <w:rFonts w:eastAsiaTheme="minorEastAsia" w:hint="cs"/>
          <w:i/>
          <w:sz w:val="23"/>
          <w:szCs w:val="23"/>
          <w:rtl/>
        </w:rPr>
        <w:t xml:space="preserve"> افزایش می‌یابد. زیرا پس</w:t>
      </w:r>
      <w:r w:rsidRPr="00005251">
        <w:rPr>
          <w:rFonts w:eastAsiaTheme="minorEastAsia"/>
          <w:i/>
          <w:sz w:val="23"/>
          <w:szCs w:val="23"/>
          <w:rtl/>
        </w:rPr>
        <w:softHyphen/>
      </w:r>
      <w:r w:rsidRPr="00005251">
        <w:rPr>
          <w:rFonts w:eastAsiaTheme="minorEastAsia" w:hint="cs"/>
          <w:i/>
          <w:sz w:val="23"/>
          <w:szCs w:val="23"/>
          <w:rtl/>
        </w:rPr>
        <w:t>انداز افزایش یافته و در دوره</w:t>
      </w:r>
      <w:r w:rsidRPr="00005251">
        <w:rPr>
          <w:rFonts w:eastAsiaTheme="minorEastAsia"/>
          <w:i/>
          <w:sz w:val="23"/>
          <w:szCs w:val="23"/>
          <w:rtl/>
        </w:rPr>
        <w:softHyphen/>
      </w:r>
      <w:r w:rsidRPr="00005251">
        <w:rPr>
          <w:rFonts w:eastAsiaTheme="minorEastAsia" w:hint="cs"/>
          <w:i/>
          <w:sz w:val="23"/>
          <w:szCs w:val="23"/>
          <w:rtl/>
        </w:rPr>
        <w:t>ی بعد نرخ بازدهی پس</w:t>
      </w:r>
      <w:r w:rsidRPr="00005251">
        <w:rPr>
          <w:rFonts w:eastAsiaTheme="minorEastAsia"/>
          <w:i/>
          <w:sz w:val="23"/>
          <w:szCs w:val="23"/>
          <w:rtl/>
        </w:rPr>
        <w:softHyphen/>
      </w:r>
      <w:r w:rsidRPr="00005251">
        <w:rPr>
          <w:rFonts w:eastAsiaTheme="minorEastAsia" w:hint="cs"/>
          <w:i/>
          <w:sz w:val="23"/>
          <w:szCs w:val="23"/>
          <w:rtl/>
        </w:rPr>
        <w:t>انداز کاهش می</w:t>
      </w:r>
      <w:r w:rsidRPr="00005251">
        <w:rPr>
          <w:rFonts w:eastAsiaTheme="minorEastAsia"/>
          <w:i/>
          <w:sz w:val="23"/>
          <w:szCs w:val="23"/>
          <w:rtl/>
        </w:rPr>
        <w:softHyphen/>
      </w:r>
      <w:r w:rsidRPr="00005251">
        <w:rPr>
          <w:rFonts w:eastAsiaTheme="minorEastAsia" w:hint="cs"/>
          <w:i/>
          <w:sz w:val="23"/>
          <w:szCs w:val="23"/>
          <w:rtl/>
        </w:rPr>
        <w:t>یابد و اقتصاد مجدداً به وضعیت یکنواخت باز خواهد گشت.</w:t>
      </w:r>
    </w:p>
    <w:p w14:paraId="3A8262B0"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اکنون با ترکیب رابطه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rFonts w:hint="cs"/>
          <w:i/>
          <w:sz w:val="23"/>
          <w:szCs w:val="23"/>
          <w:rtl/>
        </w:rPr>
        <w:t>(۴. ۱۵)</w:t>
      </w:r>
      <w:r w:rsidRPr="00005251">
        <w:rPr>
          <w:rFonts w:eastAsiaTheme="minorEastAsia" w:hint="cs"/>
          <w:i/>
          <w:sz w:val="23"/>
          <w:szCs w:val="23"/>
          <w:rtl/>
          <w:lang w:val="en-GB"/>
        </w:rPr>
        <w:t xml:space="preserve"> </w:t>
      </w:r>
      <w:r w:rsidRPr="00005251">
        <w:rPr>
          <w:rFonts w:eastAsiaTheme="minorEastAsia" w:hint="cs"/>
          <w:i/>
          <w:sz w:val="23"/>
          <w:szCs w:val="23"/>
          <w:rtl/>
        </w:rPr>
        <w:t>در بلندمدت که در آن</w:t>
      </w:r>
      <w:r w:rsidRPr="00005251">
        <w:rPr>
          <w:position w:val="-10"/>
        </w:rPr>
        <w:object w:dxaOrig="1060" w:dyaOrig="320" w14:anchorId="3DDF7A73">
          <v:shape id="_x0000_i2149" type="#_x0000_t75" style="width:53.25pt;height:16.35pt" o:ole="">
            <v:imagedata r:id="rId2283" o:title=""/>
          </v:shape>
          <o:OLEObject Type="Embed" ProgID="Equation.DSMT4" ShapeID="_x0000_i2149" DrawAspect="Content" ObjectID="_1791376093" r:id="rId2284"/>
        </w:object>
      </w:r>
      <w:r w:rsidRPr="00005251">
        <w:rPr>
          <w:rFonts w:hint="cs"/>
          <w:i/>
          <w:sz w:val="23"/>
          <w:szCs w:val="23"/>
          <w:rtl/>
        </w:rPr>
        <w:t xml:space="preserve"> و </w:t>
      </w:r>
      <w:r w:rsidRPr="00005251">
        <w:rPr>
          <w:position w:val="-10"/>
        </w:rPr>
        <w:object w:dxaOrig="999" w:dyaOrig="320" w14:anchorId="41697002">
          <v:shape id="_x0000_i2150" type="#_x0000_t75" style="width:50.2pt;height:16.35pt" o:ole="">
            <v:imagedata r:id="rId2285" o:title=""/>
          </v:shape>
          <o:OLEObject Type="Embed" ProgID="Equation.DSMT4" ShapeID="_x0000_i2150" DrawAspect="Content" ObjectID="_1791376094" r:id="rId2286"/>
        </w:object>
      </w:r>
      <w:r w:rsidRPr="00005251">
        <w:rPr>
          <w:rFonts w:eastAsiaTheme="minorEastAsia" w:hint="cs"/>
          <w:i/>
          <w:sz w:val="23"/>
          <w:szCs w:val="23"/>
          <w:rtl/>
        </w:rPr>
        <w:t>، و قید بودجه بین دوره</w:t>
      </w:r>
      <w:r w:rsidRPr="00005251">
        <w:rPr>
          <w:rFonts w:eastAsiaTheme="minorEastAsia"/>
          <w:i/>
          <w:sz w:val="23"/>
          <w:szCs w:val="23"/>
          <w:rtl/>
        </w:rPr>
        <w:softHyphen/>
      </w:r>
      <w:r w:rsidRPr="00005251">
        <w:rPr>
          <w:rFonts w:eastAsiaTheme="minorEastAsia" w:hint="cs"/>
          <w:i/>
          <w:sz w:val="23"/>
          <w:szCs w:val="23"/>
          <w:rtl/>
        </w:rPr>
        <w:t>ای رابطه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rFonts w:hint="cs"/>
          <w:i/>
          <w:sz w:val="23"/>
          <w:szCs w:val="23"/>
          <w:rtl/>
        </w:rPr>
        <w:t>(۴. ۱۰)</w:t>
      </w:r>
      <w:r w:rsidRPr="00005251">
        <w:rPr>
          <w:rFonts w:eastAsiaTheme="minorEastAsia" w:hint="cs"/>
          <w:i/>
          <w:sz w:val="23"/>
          <w:szCs w:val="23"/>
          <w:rtl/>
        </w:rPr>
        <w:t>، می‌توان تابع مصرف بلندمدت را بدست آورد</w:t>
      </w:r>
      <w:r w:rsidRPr="00005251">
        <w:rPr>
          <w:rFonts w:eastAsiaTheme="minorEastAsia"/>
          <w:i/>
          <w:sz w:val="23"/>
          <w:szCs w:val="23"/>
        </w:rPr>
        <w:t>.</w:t>
      </w:r>
      <w:r w:rsidRPr="00005251">
        <w:rPr>
          <w:rFonts w:eastAsiaTheme="minorEastAsia" w:hint="cs"/>
          <w:i/>
          <w:sz w:val="23"/>
          <w:szCs w:val="23"/>
          <w:rtl/>
        </w:rPr>
        <w:t xml:space="preserve"> در</w:t>
      </w:r>
      <w:r w:rsidRPr="00005251">
        <w:rPr>
          <w:rFonts w:eastAsiaTheme="minorEastAsia"/>
          <w:i/>
          <w:sz w:val="23"/>
          <w:szCs w:val="23"/>
          <w:rtl/>
        </w:rPr>
        <w:softHyphen/>
      </w:r>
      <w:r w:rsidRPr="00005251">
        <w:rPr>
          <w:rFonts w:eastAsiaTheme="minorEastAsia" w:hint="cs"/>
          <w:i/>
          <w:sz w:val="23"/>
          <w:szCs w:val="23"/>
          <w:rtl/>
        </w:rPr>
        <w:t xml:space="preserve"> این</w:t>
      </w:r>
      <w:r w:rsidRPr="00005251">
        <w:rPr>
          <w:rFonts w:eastAsiaTheme="minorEastAsia"/>
          <w:i/>
          <w:sz w:val="23"/>
          <w:szCs w:val="23"/>
          <w:rtl/>
        </w:rPr>
        <w:softHyphen/>
      </w:r>
      <w:r w:rsidRPr="00005251">
        <w:rPr>
          <w:rFonts w:eastAsiaTheme="minorEastAsia" w:hint="cs"/>
          <w:i/>
          <w:sz w:val="23"/>
          <w:szCs w:val="23"/>
          <w:rtl/>
        </w:rPr>
        <w:t>صورت رابطه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rFonts w:hint="cs"/>
          <w:i/>
          <w:sz w:val="23"/>
          <w:szCs w:val="23"/>
          <w:rtl/>
        </w:rPr>
        <w:t>(۴. ۱۰)</w:t>
      </w:r>
      <w:r w:rsidRPr="00005251">
        <w:rPr>
          <w:rFonts w:eastAsiaTheme="minorEastAsia" w:hint="cs"/>
          <w:i/>
          <w:sz w:val="23"/>
          <w:szCs w:val="23"/>
          <w:rtl/>
          <w:lang w:val="en-GB"/>
        </w:rPr>
        <w:t xml:space="preserve"> </w:t>
      </w:r>
      <w:r w:rsidRPr="00005251">
        <w:rPr>
          <w:rFonts w:eastAsiaTheme="minorEastAsia" w:hint="cs"/>
          <w:i/>
          <w:sz w:val="23"/>
          <w:szCs w:val="23"/>
          <w:rtl/>
        </w:rPr>
        <w:t>برابر خواهد بود با:</w:t>
      </w:r>
    </w:p>
    <w:p w14:paraId="3710DF04" w14:textId="77777777" w:rsidR="00411620" w:rsidRPr="00005251"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005251">
        <w:rPr>
          <w:position w:val="-34"/>
        </w:rPr>
        <w:object w:dxaOrig="2940" w:dyaOrig="700" w14:anchorId="04FADB97">
          <v:shape id="_x0000_i2151" type="#_x0000_t75" style="width:147.05pt;height:34.5pt" o:ole="">
            <v:imagedata r:id="rId2287" o:title=""/>
          </v:shape>
          <o:OLEObject Type="Embed" ProgID="Equation.DSMT4" ShapeID="_x0000_i2151" DrawAspect="Content" ObjectID="_1791376095" r:id="rId2288"/>
        </w:object>
      </w:r>
      <w:r w:rsidRPr="00005251">
        <w:rPr>
          <w:rFonts w:ascii="Times New Roman" w:hAnsi="Times New Roman" w:cs="B Nazanin"/>
          <w:i/>
          <w:sz w:val="23"/>
          <w:szCs w:val="23"/>
          <w:rtl/>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Pr>
          <w:rFonts w:ascii="Times New Roman" w:hAnsi="Times New Roman" w:cs="B Nazanin"/>
          <w:i/>
          <w:sz w:val="23"/>
          <w:szCs w:val="23"/>
          <w:rtl/>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tl/>
        </w:rPr>
        <w:tab/>
      </w:r>
      <w:r w:rsidRPr="00005251">
        <w:rPr>
          <w:rFonts w:ascii="Times New Roman" w:hAnsi="Times New Roman" w:cs="B Nazanin" w:hint="cs"/>
          <w:i/>
          <w:sz w:val="23"/>
          <w:szCs w:val="23"/>
          <w:rtl/>
        </w:rPr>
        <w:t>(۴. ۱۶)</w:t>
      </w:r>
    </w:p>
    <w:p w14:paraId="1D487792"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در رابطه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rFonts w:hint="cs"/>
          <w:i/>
          <w:sz w:val="23"/>
          <w:szCs w:val="23"/>
          <w:rtl/>
        </w:rPr>
        <w:t>(۴. ۱۶)</w:t>
      </w:r>
      <w:r w:rsidRPr="00005251">
        <w:rPr>
          <w:rFonts w:eastAsiaTheme="minorEastAsia" w:hint="cs"/>
          <w:i/>
          <w:sz w:val="23"/>
          <w:szCs w:val="23"/>
          <w:rtl/>
          <w:lang w:val="en-GB"/>
        </w:rPr>
        <w:t xml:space="preserve"> </w:t>
      </w:r>
      <w:r w:rsidRPr="00005251">
        <w:rPr>
          <w:rFonts w:eastAsiaTheme="minorEastAsia" w:hint="cs"/>
          <w:i/>
          <w:sz w:val="23"/>
          <w:szCs w:val="23"/>
          <w:rtl/>
        </w:rPr>
        <w:t>مصرف در زمان</w:t>
      </w:r>
      <w:r w:rsidRPr="00005251">
        <w:rPr>
          <w:position w:val="-6"/>
        </w:rPr>
        <w:object w:dxaOrig="139" w:dyaOrig="240" w14:anchorId="26C6E1AF">
          <v:shape id="_x0000_i2152" type="#_x0000_t75" style="width:7.25pt;height:11.5pt" o:ole="">
            <v:imagedata r:id="rId2289" o:title=""/>
          </v:shape>
          <o:OLEObject Type="Embed" ProgID="Equation.DSMT4" ShapeID="_x0000_i2152" DrawAspect="Content" ObjectID="_1791376096" r:id="rId2290"/>
        </w:object>
      </w:r>
      <w:r w:rsidRPr="00005251">
        <w:rPr>
          <w:i/>
          <w:sz w:val="23"/>
          <w:szCs w:val="23"/>
        </w:rPr>
        <w:t xml:space="preserve"> </w:t>
      </w:r>
      <w:r w:rsidRPr="00005251">
        <w:rPr>
          <w:rFonts w:eastAsiaTheme="minorEastAsia" w:hint="cs"/>
          <w:i/>
          <w:sz w:val="23"/>
          <w:szCs w:val="23"/>
          <w:rtl/>
        </w:rPr>
        <w:t>نسبتی از ثروت است. در این رابطه تغییرات پیش</w:t>
      </w:r>
      <w:r w:rsidRPr="00005251">
        <w:rPr>
          <w:rFonts w:eastAsiaTheme="minorEastAsia"/>
          <w:i/>
          <w:sz w:val="23"/>
          <w:szCs w:val="23"/>
          <w:rtl/>
        </w:rPr>
        <w:softHyphen/>
      </w:r>
      <w:r w:rsidRPr="00005251">
        <w:rPr>
          <w:rFonts w:eastAsiaTheme="minorEastAsia" w:hint="cs"/>
          <w:i/>
          <w:sz w:val="23"/>
          <w:szCs w:val="23"/>
          <w:rtl/>
        </w:rPr>
        <w:t>بینی شده</w:t>
      </w:r>
      <w:r w:rsidRPr="00005251">
        <w:rPr>
          <w:rFonts w:eastAsiaTheme="minorEastAsia"/>
          <w:i/>
          <w:sz w:val="23"/>
          <w:szCs w:val="23"/>
          <w:rtl/>
        </w:rPr>
        <w:softHyphen/>
      </w:r>
      <w:r w:rsidRPr="00005251">
        <w:rPr>
          <w:rFonts w:eastAsiaTheme="minorEastAsia" w:hint="cs"/>
          <w:i/>
          <w:sz w:val="23"/>
          <w:szCs w:val="23"/>
          <w:rtl/>
        </w:rPr>
        <w:t>ی درآمدِ آتی بیدرنگ</w:t>
      </w:r>
      <w:r w:rsidRPr="00005251">
        <w:rPr>
          <w:position w:val="-10"/>
        </w:rPr>
        <w:object w:dxaOrig="200" w:dyaOrig="320" w14:anchorId="36CCC866">
          <v:shape id="_x0000_i2153" type="#_x0000_t75" style="width:10.3pt;height:16.35pt" o:ole="">
            <v:imagedata r:id="rId2291" o:title=""/>
          </v:shape>
          <o:OLEObject Type="Embed" ProgID="Equation.DSMT4" ShapeID="_x0000_i2153" DrawAspect="Content" ObjectID="_1791376097" r:id="rId2292"/>
        </w:object>
      </w:r>
      <w:r w:rsidRPr="00005251">
        <w:rPr>
          <w:rFonts w:eastAsiaTheme="minorEastAsia" w:hint="cs"/>
          <w:i/>
          <w:sz w:val="23"/>
          <w:szCs w:val="23"/>
          <w:rtl/>
        </w:rPr>
        <w:t xml:space="preserve"> را تغییر می‌دهد. لذا حل</w:t>
      </w:r>
      <w:r w:rsidRPr="00005251">
        <w:rPr>
          <w:position w:val="-10"/>
        </w:rPr>
        <w:object w:dxaOrig="200" w:dyaOrig="320" w14:anchorId="6930B204">
          <v:shape id="_x0000_i2154" type="#_x0000_t75" style="width:10.3pt;height:16.35pt" o:ole="">
            <v:imagedata r:id="rId2293" o:title=""/>
          </v:shape>
          <o:OLEObject Type="Embed" ProgID="Equation.DSMT4" ShapeID="_x0000_i2154" DrawAspect="Content" ObjectID="_1791376098" r:id="rId2294"/>
        </w:object>
      </w:r>
      <w:r w:rsidRPr="00005251">
        <w:rPr>
          <w:rFonts w:eastAsiaTheme="minorEastAsia" w:hint="cs"/>
          <w:i/>
          <w:sz w:val="23"/>
          <w:szCs w:val="23"/>
          <w:rtl/>
        </w:rPr>
        <w:t xml:space="preserve"> به روش پیش</w:t>
      </w:r>
      <w:r w:rsidRPr="00005251">
        <w:rPr>
          <w:rFonts w:eastAsiaTheme="minorEastAsia"/>
          <w:i/>
          <w:sz w:val="23"/>
          <w:szCs w:val="23"/>
          <w:rtl/>
        </w:rPr>
        <w:softHyphen/>
      </w:r>
      <w:r w:rsidRPr="00005251">
        <w:rPr>
          <w:rFonts w:eastAsiaTheme="minorEastAsia" w:hint="cs"/>
          <w:i/>
          <w:sz w:val="23"/>
          <w:szCs w:val="23"/>
          <w:rtl/>
        </w:rPr>
        <w:t>رو است و مبتنی است بر فرضیه</w:t>
      </w:r>
      <w:r w:rsidRPr="00005251">
        <w:rPr>
          <w:rFonts w:eastAsiaTheme="minorEastAsia"/>
          <w:i/>
          <w:sz w:val="23"/>
          <w:szCs w:val="23"/>
          <w:rtl/>
        </w:rPr>
        <w:softHyphen/>
      </w:r>
      <w:r w:rsidRPr="00005251">
        <w:rPr>
          <w:rFonts w:eastAsiaTheme="minorEastAsia" w:hint="cs"/>
          <w:i/>
          <w:sz w:val="23"/>
          <w:szCs w:val="23"/>
          <w:rtl/>
        </w:rPr>
        <w:t>ی چرخه</w:t>
      </w:r>
      <w:r w:rsidRPr="00005251">
        <w:rPr>
          <w:rFonts w:eastAsiaTheme="minorEastAsia"/>
          <w:i/>
          <w:sz w:val="23"/>
          <w:szCs w:val="23"/>
          <w:rtl/>
        </w:rPr>
        <w:softHyphen/>
      </w:r>
      <w:r w:rsidRPr="00005251">
        <w:rPr>
          <w:rFonts w:eastAsiaTheme="minorEastAsia" w:hint="cs"/>
          <w:i/>
          <w:sz w:val="23"/>
          <w:szCs w:val="23"/>
          <w:rtl/>
        </w:rPr>
        <w:t>ی سیکل زندگی مادیگلیانی و یا فرضیه</w:t>
      </w:r>
      <w:r w:rsidRPr="00005251">
        <w:rPr>
          <w:rFonts w:eastAsiaTheme="minorEastAsia"/>
          <w:i/>
          <w:sz w:val="23"/>
          <w:szCs w:val="23"/>
          <w:rtl/>
        </w:rPr>
        <w:softHyphen/>
      </w:r>
      <w:r w:rsidRPr="00005251">
        <w:rPr>
          <w:rFonts w:eastAsiaTheme="minorEastAsia" w:hint="cs"/>
          <w:i/>
          <w:sz w:val="23"/>
          <w:szCs w:val="23"/>
          <w:rtl/>
        </w:rPr>
        <w:t xml:space="preserve">ی درآمد دائمی فریدمن. در حالتی خاص که برای هر </w:t>
      </w:r>
      <w:r w:rsidRPr="00005251">
        <w:rPr>
          <w:position w:val="-6"/>
        </w:rPr>
        <w:object w:dxaOrig="499" w:dyaOrig="260" w14:anchorId="0C2A2FCE">
          <v:shape id="_x0000_i2155" type="#_x0000_t75" style="width:24.8pt;height:12.7pt" o:ole="">
            <v:imagedata r:id="rId2295" o:title=""/>
          </v:shape>
          <o:OLEObject Type="Embed" ProgID="Equation.DSMT4" ShapeID="_x0000_i2155" DrawAspect="Content" ObjectID="_1791376099" r:id="rId2296"/>
        </w:object>
      </w:r>
      <w:r w:rsidRPr="00005251">
        <w:rPr>
          <w:rFonts w:hint="cs"/>
          <w:i/>
          <w:sz w:val="23"/>
          <w:szCs w:val="23"/>
          <w:rtl/>
        </w:rPr>
        <w:t>،</w:t>
      </w:r>
      <w:r w:rsidRPr="00005251">
        <w:rPr>
          <w:rFonts w:eastAsiaTheme="minorEastAsia" w:hint="cs"/>
          <w:i/>
          <w:sz w:val="23"/>
          <w:szCs w:val="23"/>
          <w:rtl/>
        </w:rPr>
        <w:t xml:space="preserve"> </w:t>
      </w:r>
      <w:r w:rsidRPr="00005251">
        <w:rPr>
          <w:position w:val="-10"/>
        </w:rPr>
        <w:object w:dxaOrig="780" w:dyaOrig="320" w14:anchorId="497897F9">
          <v:shape id="_x0000_i2156" type="#_x0000_t75" style="width:39.35pt;height:16.35pt" o:ole="">
            <v:imagedata r:id="rId2297" o:title=""/>
          </v:shape>
          <o:OLEObject Type="Embed" ProgID="Equation.DSMT4" ShapeID="_x0000_i2156" DrawAspect="Content" ObjectID="_1791376100" r:id="rId2298"/>
        </w:object>
      </w:r>
      <w:r w:rsidRPr="00005251">
        <w:rPr>
          <w:rFonts w:eastAsiaTheme="minorEastAsia" w:hint="cs"/>
          <w:i/>
          <w:sz w:val="23"/>
          <w:szCs w:val="23"/>
          <w:rtl/>
        </w:rPr>
        <w:t xml:space="preserve"> باشد خواهیم داشت:</w:t>
      </w:r>
    </w:p>
    <w:p w14:paraId="001FCAB9"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34"/>
        </w:rPr>
        <w:object w:dxaOrig="3739" w:dyaOrig="800" w14:anchorId="326B16C1">
          <v:shape id="_x0000_i2157" type="#_x0000_t75" style="width:186.95pt;height:39.95pt" o:ole="">
            <v:imagedata r:id="rId2299" o:title=""/>
          </v:shape>
          <o:OLEObject Type="Embed" ProgID="Equation.DSMT4" ShapeID="_x0000_i2157" DrawAspect="Content" ObjectID="_1791376101" r:id="rId2300"/>
        </w:object>
      </w:r>
    </w:p>
    <w:p w14:paraId="5EB0D4E6" w14:textId="77777777" w:rsidR="00411620" w:rsidRPr="00005251" w:rsidRDefault="00411620" w:rsidP="00411620">
      <w:pPr>
        <w:pStyle w:val="MTDisplayEquation"/>
        <w:tabs>
          <w:tab w:val="clear" w:pos="6660"/>
        </w:tabs>
        <w:spacing w:line="216" w:lineRule="auto"/>
        <w:rPr>
          <w:rFonts w:ascii="Times New Roman" w:eastAsiaTheme="minorEastAsia" w:hAnsi="Times New Roman" w:cs="B Nazanin"/>
          <w:i/>
          <w:sz w:val="23"/>
          <w:szCs w:val="23"/>
          <w:rtl/>
        </w:rPr>
      </w:pPr>
      <w:r w:rsidRPr="00005251">
        <w:rPr>
          <w:position w:val="-22"/>
        </w:rPr>
        <w:object w:dxaOrig="2799" w:dyaOrig="560" w14:anchorId="5154C826">
          <v:shape id="_x0000_i2158" type="#_x0000_t75" style="width:139.75pt;height:27.85pt" o:ole="">
            <v:imagedata r:id="rId2301" o:title=""/>
          </v:shape>
          <o:OLEObject Type="Embed" ProgID="Equation.DSMT4" ShapeID="_x0000_i2158" DrawAspect="Content" ObjectID="_1791376102" r:id="rId2302"/>
        </w:object>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Pr>
          <w:rFonts w:ascii="Times New Roman" w:hAnsi="Times New Roman"/>
          <w:i/>
          <w:sz w:val="23"/>
          <w:szCs w:val="23"/>
          <w:rtl/>
        </w:rPr>
        <w:tab/>
      </w:r>
      <w:r w:rsidRPr="00005251">
        <w:rPr>
          <w:rFonts w:ascii="Times New Roman" w:hAnsi="Times New Roma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hint="cs"/>
          <w:i/>
          <w:sz w:val="23"/>
          <w:szCs w:val="23"/>
          <w:rtl/>
        </w:rPr>
        <w:t>(۴. ۱۷)</w:t>
      </w:r>
    </w:p>
    <w:p w14:paraId="40E47684"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و یا مصرف در زمان</w:t>
      </w:r>
      <w:r w:rsidRPr="00005251">
        <w:rPr>
          <w:position w:val="-6"/>
        </w:rPr>
        <w:object w:dxaOrig="139" w:dyaOrig="240" w14:anchorId="3C8F3212">
          <v:shape id="_x0000_i2159" type="#_x0000_t75" style="width:7.25pt;height:11.5pt" o:ole="">
            <v:imagedata r:id="rId2303" o:title=""/>
          </v:shape>
          <o:OLEObject Type="Embed" ProgID="Equation.DSMT4" ShapeID="_x0000_i2159" DrawAspect="Content" ObjectID="_1791376103" r:id="rId2304"/>
        </w:object>
      </w:r>
      <w:r w:rsidRPr="00005251">
        <w:rPr>
          <w:rFonts w:eastAsiaTheme="minorEastAsia" w:hint="cs"/>
          <w:i/>
          <w:sz w:val="23"/>
          <w:szCs w:val="23"/>
          <w:rtl/>
        </w:rPr>
        <w:t xml:space="preserve"> برابر است با کل درآمد، یا درآمد حاصل از پس</w:t>
      </w:r>
      <w:r w:rsidRPr="00005251">
        <w:rPr>
          <w:rFonts w:eastAsiaTheme="minorEastAsia"/>
          <w:i/>
          <w:sz w:val="23"/>
          <w:szCs w:val="23"/>
          <w:rtl/>
        </w:rPr>
        <w:softHyphen/>
      </w:r>
      <w:r w:rsidRPr="00005251">
        <w:rPr>
          <w:rFonts w:eastAsiaTheme="minorEastAsia" w:hint="cs"/>
          <w:i/>
          <w:sz w:val="23"/>
          <w:szCs w:val="23"/>
          <w:rtl/>
        </w:rPr>
        <w:t>انداز</w:t>
      </w:r>
      <w:r w:rsidRPr="00005251">
        <w:rPr>
          <w:position w:val="-10"/>
        </w:rPr>
        <w:object w:dxaOrig="320" w:dyaOrig="320" w14:anchorId="5C80B554">
          <v:shape id="_x0000_i2160" type="#_x0000_t75" style="width:16.35pt;height:16.35pt" o:ole="">
            <v:imagedata r:id="rId2305" o:title=""/>
          </v:shape>
          <o:OLEObject Type="Embed" ProgID="Equation.DSMT4" ShapeID="_x0000_i2160" DrawAspect="Content" ObjectID="_1791376104" r:id="rId2306"/>
        </w:object>
      </w:r>
      <w:r w:rsidRPr="00005251">
        <w:rPr>
          <w:rFonts w:eastAsiaTheme="minorEastAsia" w:hint="cs"/>
          <w:i/>
          <w:sz w:val="23"/>
          <w:szCs w:val="23"/>
          <w:rtl/>
        </w:rPr>
        <w:t xml:space="preserve"> بعلاوه</w:t>
      </w:r>
      <w:r w:rsidRPr="00005251">
        <w:rPr>
          <w:rFonts w:eastAsiaTheme="minorEastAsia"/>
          <w:i/>
          <w:sz w:val="23"/>
          <w:szCs w:val="23"/>
          <w:rtl/>
        </w:rPr>
        <w:softHyphen/>
      </w:r>
      <w:r w:rsidRPr="00005251">
        <w:rPr>
          <w:rFonts w:eastAsiaTheme="minorEastAsia" w:hint="cs"/>
          <w:i/>
          <w:sz w:val="23"/>
          <w:szCs w:val="23"/>
          <w:rtl/>
        </w:rPr>
        <w:t>ی درآمد حاصل از دیگر منابع</w:t>
      </w:r>
      <w:r w:rsidRPr="00005251">
        <w:rPr>
          <w:position w:val="-10"/>
        </w:rPr>
        <w:object w:dxaOrig="240" w:dyaOrig="320" w14:anchorId="50B93AB8">
          <v:shape id="_x0000_i2161" type="#_x0000_t75" style="width:11.5pt;height:16.35pt" o:ole="">
            <v:imagedata r:id="rId2307" o:title=""/>
          </v:shape>
          <o:OLEObject Type="Embed" ProgID="Equation.DSMT4" ShapeID="_x0000_i2161" DrawAspect="Content" ObjectID="_1791376105" r:id="rId2308"/>
        </w:object>
      </w:r>
      <w:r w:rsidRPr="00005251">
        <w:rPr>
          <w:rFonts w:eastAsiaTheme="minorEastAsia" w:hint="cs"/>
          <w:i/>
          <w:sz w:val="23"/>
          <w:szCs w:val="23"/>
          <w:rtl/>
        </w:rPr>
        <w:t>.</w:t>
      </w:r>
      <w:r w:rsidRPr="00005251">
        <w:rPr>
          <w:rStyle w:val="FootnoteReference"/>
          <w:rFonts w:eastAsiaTheme="minorEastAsia"/>
          <w:i/>
          <w:sz w:val="23"/>
          <w:szCs w:val="23"/>
          <w:rtl/>
        </w:rPr>
        <w:footnoteReference w:id="114"/>
      </w:r>
      <w:r w:rsidRPr="00005251">
        <w:rPr>
          <w:rFonts w:eastAsiaTheme="minorEastAsia" w:hint="cs"/>
          <w:i/>
          <w:sz w:val="23"/>
          <w:szCs w:val="23"/>
          <w:rtl/>
        </w:rPr>
        <w:t xml:space="preserve"> رابطه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rFonts w:hint="cs"/>
          <w:i/>
          <w:sz w:val="23"/>
          <w:szCs w:val="23"/>
          <w:rtl/>
        </w:rPr>
        <w:t>(۴. ۱۷)</w:t>
      </w:r>
      <w:r w:rsidRPr="00005251">
        <w:rPr>
          <w:rFonts w:eastAsiaTheme="minorEastAsia" w:hint="cs"/>
          <w:i/>
          <w:sz w:val="23"/>
          <w:szCs w:val="23"/>
          <w:rtl/>
          <w:lang w:val="en-GB"/>
        </w:rPr>
        <w:t xml:space="preserve"> </w:t>
      </w:r>
      <w:r w:rsidRPr="00005251">
        <w:rPr>
          <w:rFonts w:eastAsiaTheme="minorEastAsia" w:hint="cs"/>
          <w:i/>
          <w:sz w:val="23"/>
          <w:szCs w:val="23"/>
          <w:rtl/>
        </w:rPr>
        <w:t>همان تابع مصرف کینز است که در آن میل نهایی و متوسط به مصرف برابر با یک است، یعنی</w:t>
      </w:r>
      <w:r w:rsidRPr="00005251">
        <w:rPr>
          <w:position w:val="-28"/>
        </w:rPr>
        <w:object w:dxaOrig="1140" w:dyaOrig="639" w14:anchorId="6D0E9190">
          <v:shape id="_x0000_i2162" type="#_x0000_t75" style="width:57.5pt;height:32.05pt" o:ole="">
            <v:imagedata r:id="rId2309" o:title=""/>
          </v:shape>
          <o:OLEObject Type="Embed" ProgID="Equation.DSMT4" ShapeID="_x0000_i2162" DrawAspect="Content" ObjectID="_1791376106" r:id="rId2310"/>
        </w:object>
      </w:r>
      <w:r w:rsidRPr="00005251">
        <w:rPr>
          <w:rFonts w:eastAsiaTheme="minorEastAsia" w:hint="cs"/>
          <w:i/>
          <w:sz w:val="23"/>
          <w:szCs w:val="23"/>
          <w:rtl/>
        </w:rPr>
        <w:t>. تابع فوق مصرف در زمان</w:t>
      </w:r>
      <w:r w:rsidRPr="00005251">
        <w:rPr>
          <w:position w:val="-6"/>
        </w:rPr>
        <w:object w:dxaOrig="139" w:dyaOrig="240" w14:anchorId="62F330A7">
          <v:shape id="_x0000_i2163" type="#_x0000_t75" style="width:7.25pt;height:11.5pt" o:ole="">
            <v:imagedata r:id="rId2311" o:title=""/>
          </v:shape>
          <o:OLEObject Type="Embed" ProgID="Equation.DSMT4" ShapeID="_x0000_i2163" DrawAspect="Content" ObjectID="_1791376107" r:id="rId2312"/>
        </w:object>
      </w:r>
      <w:r w:rsidRPr="00005251">
        <w:rPr>
          <w:rFonts w:eastAsiaTheme="minorEastAsia" w:hint="cs"/>
          <w:i/>
          <w:sz w:val="23"/>
          <w:szCs w:val="23"/>
          <w:rtl/>
        </w:rPr>
        <w:t xml:space="preserve"> را نشان می</w:t>
      </w:r>
      <w:r w:rsidRPr="00005251">
        <w:rPr>
          <w:rFonts w:eastAsiaTheme="minorEastAsia"/>
          <w:i/>
          <w:sz w:val="23"/>
          <w:szCs w:val="23"/>
          <w:rtl/>
        </w:rPr>
        <w:softHyphen/>
      </w:r>
      <w:r w:rsidRPr="00005251">
        <w:rPr>
          <w:rFonts w:eastAsiaTheme="minorEastAsia" w:hint="cs"/>
          <w:i/>
          <w:sz w:val="23"/>
          <w:szCs w:val="23"/>
          <w:rtl/>
        </w:rPr>
        <w:t>دهد که در مسیر بهینه است. همین نتایج را می</w:t>
      </w:r>
      <w:r w:rsidRPr="00005251">
        <w:rPr>
          <w:rFonts w:eastAsiaTheme="minorEastAsia"/>
          <w:i/>
          <w:sz w:val="23"/>
          <w:szCs w:val="23"/>
          <w:rtl/>
        </w:rPr>
        <w:softHyphen/>
      </w:r>
      <w:r w:rsidRPr="00005251">
        <w:rPr>
          <w:rFonts w:eastAsiaTheme="minorEastAsia" w:hint="cs"/>
          <w:i/>
          <w:sz w:val="23"/>
          <w:szCs w:val="23"/>
          <w:rtl/>
        </w:rPr>
        <w:t xml:space="preserve">توان برای </w:t>
      </w:r>
      <w:r w:rsidRPr="00005251">
        <w:rPr>
          <w:position w:val="-10"/>
        </w:rPr>
        <w:object w:dxaOrig="340" w:dyaOrig="320" w14:anchorId="269E73E0">
          <v:shape id="_x0000_i2164" type="#_x0000_t75" style="width:16.95pt;height:16.35pt" o:ole="">
            <v:imagedata r:id="rId2313" o:title=""/>
          </v:shape>
          <o:OLEObject Type="Embed" ProgID="Equation.DSMT4" ShapeID="_x0000_i2164" DrawAspect="Content" ObjectID="_1791376108" r:id="rId2314"/>
        </w:object>
      </w:r>
      <w:r w:rsidRPr="00005251">
        <w:rPr>
          <w:rFonts w:eastAsiaTheme="minorEastAsia" w:hint="cs"/>
          <w:i/>
          <w:sz w:val="23"/>
          <w:szCs w:val="23"/>
          <w:rtl/>
        </w:rPr>
        <w:t xml:space="preserve"> و </w:t>
      </w:r>
      <w:r w:rsidRPr="00005251">
        <w:rPr>
          <w:position w:val="-10"/>
        </w:rPr>
        <w:object w:dxaOrig="360" w:dyaOrig="320" w14:anchorId="27D01FDC">
          <v:shape id="_x0000_i2165" type="#_x0000_t75" style="width:18.15pt;height:16.35pt" o:ole="">
            <v:imagedata r:id="rId2315" o:title=""/>
          </v:shape>
          <o:OLEObject Type="Embed" ProgID="Equation.DSMT4" ShapeID="_x0000_i2165" DrawAspect="Content" ObjectID="_1791376109" r:id="rId2316"/>
        </w:object>
      </w:r>
      <w:r w:rsidRPr="00005251">
        <w:rPr>
          <w:rFonts w:eastAsiaTheme="minorEastAsia" w:hint="cs"/>
          <w:i/>
          <w:sz w:val="23"/>
          <w:szCs w:val="23"/>
          <w:rtl/>
        </w:rPr>
        <w:t xml:space="preserve"> و ... بکار برد که به معنای تابع مصرف بهینه</w:t>
      </w:r>
      <w:r w:rsidRPr="00005251">
        <w:rPr>
          <w:rFonts w:eastAsiaTheme="minorEastAsia"/>
          <w:i/>
          <w:sz w:val="23"/>
          <w:szCs w:val="23"/>
          <w:rtl/>
        </w:rPr>
        <w:softHyphen/>
      </w:r>
      <w:r w:rsidRPr="00005251">
        <w:rPr>
          <w:rFonts w:eastAsiaTheme="minorEastAsia" w:hint="cs"/>
          <w:i/>
          <w:sz w:val="23"/>
          <w:szCs w:val="23"/>
          <w:rtl/>
        </w:rPr>
        <w:t xml:space="preserve">ی جاری و آتی است. </w:t>
      </w:r>
    </w:p>
    <w:p w14:paraId="17A36A97" w14:textId="77777777" w:rsidR="00411620" w:rsidRPr="00005251" w:rsidRDefault="00411620" w:rsidP="00411620">
      <w:pPr>
        <w:spacing w:line="216" w:lineRule="auto"/>
        <w:rPr>
          <w:rFonts w:eastAsiaTheme="minorEastAsia"/>
          <w:i/>
          <w:sz w:val="23"/>
          <w:szCs w:val="23"/>
          <w:rtl/>
        </w:rPr>
      </w:pPr>
    </w:p>
    <w:p w14:paraId="733CE504" w14:textId="77777777" w:rsidR="00411620" w:rsidRPr="00005251" w:rsidRDefault="00411620" w:rsidP="00411620">
      <w:pPr>
        <w:pStyle w:val="Heading1"/>
        <w:spacing w:before="0" w:after="0" w:line="216" w:lineRule="auto"/>
        <w:rPr>
          <w:rFonts w:ascii="Times New Roman" w:eastAsiaTheme="minorEastAsia" w:hAnsi="Times New Roman" w:cs="B Nazanin"/>
          <w:b w:val="0"/>
          <w:i/>
          <w:sz w:val="23"/>
          <w:szCs w:val="23"/>
          <w:rtl/>
        </w:rPr>
      </w:pPr>
      <w:r w:rsidRPr="00005251">
        <w:rPr>
          <w:rFonts w:ascii="Times New Roman" w:eastAsiaTheme="minorEastAsia" w:hAnsi="Times New Roman" w:cs="B Nazanin" w:hint="cs"/>
          <w:b w:val="0"/>
          <w:i/>
          <w:sz w:val="23"/>
          <w:szCs w:val="23"/>
          <w:rtl/>
        </w:rPr>
        <w:t xml:space="preserve">شوک‌های دائمی و موقت </w:t>
      </w:r>
    </w:p>
    <w:p w14:paraId="022AB335"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در رابطه</w:t>
      </w:r>
      <w:r w:rsidRPr="00005251">
        <w:rPr>
          <w:rFonts w:eastAsiaTheme="minorEastAsia"/>
          <w:i/>
          <w:sz w:val="23"/>
          <w:szCs w:val="23"/>
          <w:rtl/>
        </w:rPr>
        <w:softHyphen/>
      </w:r>
      <w:r w:rsidRPr="00005251">
        <w:rPr>
          <w:rFonts w:eastAsiaTheme="minorEastAsia" w:hint="cs"/>
          <w:i/>
          <w:sz w:val="23"/>
          <w:szCs w:val="23"/>
          <w:rtl/>
        </w:rPr>
        <w:t>ی (۴. ۱۶) فرض کردیم نرخ بهره</w:t>
      </w:r>
      <w:r w:rsidRPr="00005251">
        <w:rPr>
          <w:rFonts w:eastAsiaTheme="minorEastAsia"/>
          <w:i/>
          <w:sz w:val="23"/>
          <w:szCs w:val="23"/>
          <w:rtl/>
        </w:rPr>
        <w:softHyphen/>
      </w:r>
      <w:r w:rsidRPr="00005251">
        <w:rPr>
          <w:rFonts w:eastAsiaTheme="minorEastAsia" w:hint="cs"/>
          <w:i/>
          <w:sz w:val="23"/>
          <w:szCs w:val="23"/>
          <w:rtl/>
        </w:rPr>
        <w:t xml:space="preserve">ی حقیقی ثابت است. تغییر دائمی درآمد، متغیر </w:t>
      </w:r>
      <w:r w:rsidRPr="00005251">
        <w:rPr>
          <w:position w:val="-10"/>
        </w:rPr>
        <w:object w:dxaOrig="880" w:dyaOrig="320" w14:anchorId="7662F956">
          <v:shape id="_x0000_i2166" type="#_x0000_t75" style="width:44.15pt;height:16.35pt" o:ole="">
            <v:imagedata r:id="rId2317" o:title=""/>
          </v:shape>
          <o:OLEObject Type="Embed" ProgID="Equation.DSMT4" ShapeID="_x0000_i2166" DrawAspect="Content" ObjectID="_1791376110" r:id="rId2318"/>
        </w:object>
      </w:r>
      <w:r w:rsidRPr="00005251">
        <w:rPr>
          <w:rFonts w:hint="cs"/>
          <w:i/>
          <w:sz w:val="23"/>
          <w:szCs w:val="23"/>
          <w:rtl/>
        </w:rPr>
        <w:t xml:space="preserve"> </w:t>
      </w:r>
      <w:r w:rsidRPr="00005251">
        <w:rPr>
          <w:rFonts w:eastAsiaTheme="minorEastAsia" w:hint="cs"/>
          <w:i/>
          <w:sz w:val="23"/>
          <w:szCs w:val="23"/>
          <w:rtl/>
        </w:rPr>
        <w:t>را تغییر می‌دهد. اگر برای سادگی و سهولت فرض کنیم</w:t>
      </w:r>
      <w:r w:rsidRPr="00005251">
        <w:rPr>
          <w:rFonts w:eastAsiaTheme="minorEastAsia"/>
          <w:i/>
          <w:sz w:val="23"/>
          <w:szCs w:val="23"/>
        </w:rPr>
        <w:t xml:space="preserve"> </w:t>
      </w:r>
      <w:r w:rsidRPr="00005251">
        <w:rPr>
          <w:rFonts w:eastAsiaTheme="minorEastAsia" w:hint="cs"/>
          <w:i/>
          <w:sz w:val="23"/>
          <w:szCs w:val="23"/>
          <w:rtl/>
        </w:rPr>
        <w:t xml:space="preserve">که برای هر </w:t>
      </w:r>
      <w:r w:rsidRPr="00005251">
        <w:rPr>
          <w:position w:val="-10"/>
        </w:rPr>
        <w:object w:dxaOrig="1300" w:dyaOrig="320" w14:anchorId="4E043DD8">
          <v:shape id="_x0000_i2167" type="#_x0000_t75" style="width:64.75pt;height:16.35pt" o:ole="">
            <v:imagedata r:id="rId2319" o:title=""/>
          </v:shape>
          <o:OLEObject Type="Embed" ProgID="Equation.DSMT4" ShapeID="_x0000_i2167" DrawAspect="Content" ObjectID="_1791376111" r:id="rId2320"/>
        </w:object>
      </w:r>
      <w:r w:rsidRPr="00005251">
        <w:rPr>
          <w:rFonts w:eastAsiaTheme="minorEastAsia" w:hint="cs"/>
          <w:i/>
          <w:sz w:val="23"/>
          <w:szCs w:val="23"/>
          <w:rtl/>
        </w:rPr>
        <w:t xml:space="preserve"> و یا درآمد ثابت باشد، آنگاه می‌توان اثر تغییر</w:t>
      </w:r>
      <w:r w:rsidRPr="00005251">
        <w:rPr>
          <w:position w:val="-6"/>
        </w:rPr>
        <w:object w:dxaOrig="200" w:dyaOrig="200" w14:anchorId="13C56D00">
          <v:shape id="_x0000_i2168" type="#_x0000_t75" style="width:10.3pt;height:10.3pt" o:ole="">
            <v:imagedata r:id="rId2321" o:title=""/>
          </v:shape>
          <o:OLEObject Type="Embed" ProgID="Equation.DSMT4" ShapeID="_x0000_i2168" DrawAspect="Content" ObjectID="_1791376112" r:id="rId2322"/>
        </w:object>
      </w:r>
      <w:r w:rsidRPr="00005251">
        <w:rPr>
          <w:rFonts w:eastAsiaTheme="minorEastAsia" w:hint="cs"/>
          <w:i/>
          <w:sz w:val="23"/>
          <w:szCs w:val="23"/>
          <w:rtl/>
        </w:rPr>
        <w:t xml:space="preserve"> بر مصرف را از رابطه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rFonts w:hint="cs"/>
          <w:i/>
          <w:sz w:val="23"/>
          <w:szCs w:val="23"/>
          <w:rtl/>
        </w:rPr>
        <w:t>(۴. ۱۷)</w:t>
      </w:r>
      <w:r w:rsidRPr="00005251">
        <w:rPr>
          <w:rFonts w:eastAsiaTheme="minorEastAsia" w:hint="cs"/>
          <w:i/>
          <w:sz w:val="23"/>
          <w:szCs w:val="23"/>
          <w:rtl/>
          <w:lang w:val="en-GB"/>
        </w:rPr>
        <w:t xml:space="preserve"> </w:t>
      </w:r>
      <w:r w:rsidRPr="00005251">
        <w:rPr>
          <w:rFonts w:eastAsiaTheme="minorEastAsia" w:hint="cs"/>
          <w:i/>
          <w:sz w:val="23"/>
          <w:szCs w:val="23"/>
          <w:rtl/>
        </w:rPr>
        <w:t>بررسی کرد. در این رابطه میل نهایی و متوسط مصرف بر اثر تغییرات دائمی درآمد، برابر است با یک. لذا کل تغییرات دائمی</w:t>
      </w:r>
      <w:r w:rsidRPr="00005251">
        <w:rPr>
          <w:rFonts w:eastAsiaTheme="minorEastAsia"/>
          <w:i/>
          <w:sz w:val="23"/>
          <w:szCs w:val="23"/>
        </w:rPr>
        <w:t xml:space="preserve"> </w:t>
      </w:r>
      <w:r w:rsidRPr="00005251">
        <w:rPr>
          <w:rFonts w:eastAsiaTheme="minorEastAsia" w:hint="cs"/>
          <w:i/>
          <w:sz w:val="23"/>
          <w:szCs w:val="23"/>
          <w:rtl/>
        </w:rPr>
        <w:t>درآمد مصرف می‌شود نه پس</w:t>
      </w:r>
      <w:r w:rsidRPr="00005251">
        <w:rPr>
          <w:rFonts w:eastAsiaTheme="minorEastAsia"/>
          <w:i/>
          <w:sz w:val="23"/>
          <w:szCs w:val="23"/>
          <w:rtl/>
        </w:rPr>
        <w:softHyphen/>
      </w:r>
      <w:r w:rsidRPr="00005251">
        <w:rPr>
          <w:rFonts w:eastAsiaTheme="minorEastAsia" w:hint="cs"/>
          <w:i/>
          <w:sz w:val="23"/>
          <w:szCs w:val="23"/>
          <w:rtl/>
        </w:rPr>
        <w:t>انداز.</w:t>
      </w:r>
    </w:p>
    <w:p w14:paraId="3B29A955"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بررسی اثر تغییرات موقت درآمد بر مصرف از رابطه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rFonts w:hint="cs"/>
          <w:i/>
          <w:sz w:val="23"/>
          <w:szCs w:val="23"/>
          <w:rtl/>
        </w:rPr>
        <w:t>(۴. ۱۶)</w:t>
      </w:r>
      <w:r w:rsidRPr="00005251">
        <w:rPr>
          <w:rFonts w:eastAsiaTheme="minorEastAsia" w:hint="cs"/>
          <w:i/>
          <w:sz w:val="23"/>
          <w:szCs w:val="23"/>
          <w:rtl/>
          <w:lang w:val="en-GB"/>
        </w:rPr>
        <w:t xml:space="preserve"> </w:t>
      </w:r>
      <w:r w:rsidRPr="00005251">
        <w:rPr>
          <w:rFonts w:eastAsiaTheme="minorEastAsia" w:hint="cs"/>
          <w:i/>
          <w:sz w:val="23"/>
          <w:szCs w:val="23"/>
          <w:rtl/>
        </w:rPr>
        <w:t>امکان</w:t>
      </w:r>
      <w:r w:rsidRPr="00005251">
        <w:rPr>
          <w:rFonts w:eastAsiaTheme="minorEastAsia"/>
          <w:i/>
          <w:sz w:val="23"/>
          <w:szCs w:val="23"/>
          <w:rtl/>
        </w:rPr>
        <w:softHyphen/>
      </w:r>
      <w:r w:rsidRPr="00005251">
        <w:rPr>
          <w:rFonts w:eastAsiaTheme="minorEastAsia" w:hint="cs"/>
          <w:i/>
          <w:sz w:val="23"/>
          <w:szCs w:val="23"/>
          <w:rtl/>
        </w:rPr>
        <w:t>پذیر است. از آنجا که داشتیم،</w:t>
      </w:r>
    </w:p>
    <w:p w14:paraId="4851FABF"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34"/>
        </w:rPr>
        <w:object w:dxaOrig="4940" w:dyaOrig="700" w14:anchorId="17F35133">
          <v:shape id="_x0000_i2169" type="#_x0000_t75" style="width:247.45pt;height:34.5pt" o:ole="">
            <v:imagedata r:id="rId2323" o:title=""/>
          </v:shape>
          <o:OLEObject Type="Embed" ProgID="Equation.DSMT4" ShapeID="_x0000_i2169" DrawAspect="Content" ObjectID="_1791376113" r:id="rId2324"/>
        </w:object>
      </w:r>
    </w:p>
    <w:p w14:paraId="0C0D4C34"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 xml:space="preserve">بنابراین </w:t>
      </w:r>
      <w:r w:rsidRPr="00005251">
        <w:rPr>
          <w:position w:val="-28"/>
        </w:rPr>
        <w:object w:dxaOrig="1020" w:dyaOrig="639" w14:anchorId="6C7ECDD8">
          <v:shape id="_x0000_i2170" type="#_x0000_t75" style="width:50.8pt;height:32.05pt" o:ole="">
            <v:imagedata r:id="rId2325" o:title=""/>
          </v:shape>
          <o:OLEObject Type="Embed" ProgID="Equation.DSMT4" ShapeID="_x0000_i2170" DrawAspect="Content" ObjectID="_1791376114" r:id="rId2326"/>
        </w:object>
      </w:r>
      <w:r w:rsidRPr="00005251">
        <w:rPr>
          <w:rFonts w:eastAsiaTheme="minorEastAsia" w:hint="cs"/>
          <w:i/>
          <w:sz w:val="23"/>
          <w:szCs w:val="23"/>
          <w:rtl/>
        </w:rPr>
        <w:t>، یعنی افزایش درآمد در زمان</w:t>
      </w:r>
      <w:r w:rsidRPr="00005251">
        <w:rPr>
          <w:position w:val="-6"/>
        </w:rPr>
        <w:object w:dxaOrig="139" w:dyaOrig="240" w14:anchorId="57ABB9C6">
          <v:shape id="_x0000_i2171" type="#_x0000_t75" style="width:7.25pt;height:11.5pt" o:ole="">
            <v:imagedata r:id="rId2327" o:title=""/>
          </v:shape>
          <o:OLEObject Type="Embed" ProgID="Equation.DSMT4" ShapeID="_x0000_i2171" DrawAspect="Content" ObjectID="_1791376115" r:id="rId2328"/>
        </w:object>
      </w:r>
      <w:r w:rsidRPr="00005251">
        <w:rPr>
          <w:rFonts w:eastAsiaTheme="minorEastAsia"/>
          <w:i/>
          <w:sz w:val="23"/>
          <w:szCs w:val="23"/>
          <w:lang w:val="en-GB"/>
        </w:rPr>
        <w:t xml:space="preserve"> </w:t>
      </w:r>
      <w:r w:rsidRPr="00005251">
        <w:rPr>
          <w:rFonts w:eastAsiaTheme="minorEastAsia" w:hint="cs"/>
          <w:i/>
          <w:sz w:val="23"/>
          <w:szCs w:val="23"/>
          <w:rtl/>
          <w:lang w:val="en-GB"/>
        </w:rPr>
        <w:t>یا</w:t>
      </w:r>
      <w:r w:rsidRPr="00005251">
        <w:rPr>
          <w:position w:val="-10"/>
        </w:rPr>
        <w:object w:dxaOrig="240" w:dyaOrig="320" w14:anchorId="7202C6C1">
          <v:shape id="_x0000_i2172" type="#_x0000_t75" style="width:11.5pt;height:16.35pt" o:ole="">
            <v:imagedata r:id="rId2329" o:title=""/>
          </v:shape>
          <o:OLEObject Type="Embed" ProgID="Equation.DSMT4" ShapeID="_x0000_i2172" DrawAspect="Content" ObjectID="_1791376116" r:id="rId2330"/>
        </w:object>
      </w:r>
      <w:r w:rsidRPr="00005251">
        <w:rPr>
          <w:rFonts w:hint="cs"/>
          <w:i/>
          <w:sz w:val="23"/>
          <w:szCs w:val="23"/>
          <w:rtl/>
        </w:rPr>
        <w:t>،</w:t>
      </w:r>
      <w:r w:rsidRPr="00005251">
        <w:rPr>
          <w:rFonts w:eastAsiaTheme="minorEastAsia" w:hint="cs"/>
          <w:i/>
          <w:sz w:val="23"/>
          <w:szCs w:val="23"/>
          <w:rtl/>
        </w:rPr>
        <w:t xml:space="preserve"> مصرف را در همان زمان به اندازه</w:t>
      </w:r>
      <w:r w:rsidRPr="00005251">
        <w:rPr>
          <w:rFonts w:eastAsiaTheme="minorEastAsia"/>
          <w:i/>
          <w:sz w:val="23"/>
          <w:szCs w:val="23"/>
          <w:rtl/>
        </w:rPr>
        <w:softHyphen/>
      </w:r>
      <w:r w:rsidRPr="00005251">
        <w:rPr>
          <w:rFonts w:eastAsiaTheme="minorEastAsia" w:hint="cs"/>
          <w:i/>
          <w:sz w:val="23"/>
          <w:szCs w:val="23"/>
          <w:rtl/>
        </w:rPr>
        <w:t>ی</w:t>
      </w:r>
      <w:r w:rsidRPr="00005251">
        <w:rPr>
          <w:position w:val="-22"/>
        </w:rPr>
        <w:object w:dxaOrig="499" w:dyaOrig="560" w14:anchorId="6F8FD48B">
          <v:shape id="_x0000_i2173" type="#_x0000_t75" style="width:24.8pt;height:27.85pt" o:ole="">
            <v:imagedata r:id="rId2331" o:title=""/>
          </v:shape>
          <o:OLEObject Type="Embed" ProgID="Equation.DSMT4" ShapeID="_x0000_i2173" DrawAspect="Content" ObjectID="_1791376117" r:id="rId2332"/>
        </w:object>
      </w:r>
      <w:r w:rsidRPr="00005251">
        <w:rPr>
          <w:rFonts w:eastAsiaTheme="minorEastAsia" w:hint="cs"/>
          <w:i/>
          <w:sz w:val="23"/>
          <w:szCs w:val="23"/>
          <w:rtl/>
        </w:rPr>
        <w:t xml:space="preserve"> افزایش داده و مابقی افزایش درآمد (بیشتر تغییرات درآمد) پس</w:t>
      </w:r>
      <w:r w:rsidRPr="00005251">
        <w:rPr>
          <w:rFonts w:eastAsiaTheme="minorEastAsia"/>
          <w:i/>
          <w:sz w:val="23"/>
          <w:szCs w:val="23"/>
          <w:rtl/>
        </w:rPr>
        <w:softHyphen/>
      </w:r>
      <w:r w:rsidRPr="00005251">
        <w:rPr>
          <w:rFonts w:eastAsiaTheme="minorEastAsia" w:hint="cs"/>
          <w:i/>
          <w:sz w:val="23"/>
          <w:szCs w:val="23"/>
          <w:rtl/>
        </w:rPr>
        <w:t>انداز می</w:t>
      </w:r>
      <w:r w:rsidRPr="00005251">
        <w:rPr>
          <w:rFonts w:eastAsiaTheme="minorEastAsia"/>
          <w:i/>
          <w:sz w:val="23"/>
          <w:szCs w:val="23"/>
          <w:rtl/>
        </w:rPr>
        <w:softHyphen/>
      </w:r>
      <w:r w:rsidRPr="00005251">
        <w:rPr>
          <w:rFonts w:eastAsiaTheme="minorEastAsia" w:hint="cs"/>
          <w:i/>
          <w:sz w:val="23"/>
          <w:szCs w:val="23"/>
          <w:rtl/>
        </w:rPr>
        <w:t xml:space="preserve">شود. افزایش درآمد انتظاری در زمان </w:t>
      </w:r>
      <w:r w:rsidRPr="00005251">
        <w:rPr>
          <w:position w:val="-6"/>
        </w:rPr>
        <w:object w:dxaOrig="440" w:dyaOrig="260" w14:anchorId="7BD9D134">
          <v:shape id="_x0000_i2174" type="#_x0000_t75" style="width:21.8pt;height:12.7pt" o:ole="">
            <v:imagedata r:id="rId2333" o:title=""/>
          </v:shape>
          <o:OLEObject Type="Embed" ProgID="Equation.DSMT4" ShapeID="_x0000_i2174" DrawAspect="Content" ObjectID="_1791376118" r:id="rId2334"/>
        </w:object>
      </w:r>
      <w:r w:rsidRPr="00005251">
        <w:rPr>
          <w:rFonts w:eastAsiaTheme="minorEastAsia" w:hint="cs"/>
          <w:i/>
          <w:sz w:val="23"/>
          <w:szCs w:val="23"/>
          <w:rtl/>
        </w:rPr>
        <w:t xml:space="preserve"> </w:t>
      </w:r>
      <w:r w:rsidRPr="00005251">
        <w:rPr>
          <w:rFonts w:eastAsiaTheme="minorEastAsia" w:hint="cs"/>
          <w:i/>
          <w:sz w:val="23"/>
          <w:szCs w:val="23"/>
          <w:rtl/>
          <w:lang w:val="en-GB"/>
        </w:rPr>
        <w:t>یا</w:t>
      </w:r>
      <w:r w:rsidRPr="00005251">
        <w:rPr>
          <w:rFonts w:eastAsiaTheme="minorEastAsia" w:hint="cs"/>
          <w:i/>
          <w:sz w:val="23"/>
          <w:szCs w:val="23"/>
          <w:rtl/>
        </w:rPr>
        <w:t xml:space="preserve"> </w:t>
      </w:r>
      <w:r w:rsidRPr="00005251">
        <w:rPr>
          <w:position w:val="-10"/>
        </w:rPr>
        <w:object w:dxaOrig="360" w:dyaOrig="320" w14:anchorId="6E3BA9B4">
          <v:shape id="_x0000_i2175" type="#_x0000_t75" style="width:18.15pt;height:16.35pt" o:ole="">
            <v:imagedata r:id="rId2335" o:title=""/>
          </v:shape>
          <o:OLEObject Type="Embed" ProgID="Equation.DSMT4" ShapeID="_x0000_i2175" DrawAspect="Content" ObjectID="_1791376119" r:id="rId2336"/>
        </w:object>
      </w:r>
      <w:r w:rsidRPr="00005251">
        <w:rPr>
          <w:rFonts w:eastAsiaTheme="minorEastAsia" w:hint="cs"/>
          <w:i/>
          <w:sz w:val="23"/>
          <w:szCs w:val="23"/>
          <w:rtl/>
        </w:rPr>
        <w:t xml:space="preserve"> نیز </w:t>
      </w:r>
      <w:r w:rsidRPr="00005251">
        <w:rPr>
          <w:position w:val="-10"/>
        </w:rPr>
        <w:object w:dxaOrig="200" w:dyaOrig="320" w14:anchorId="01EA5B4D">
          <v:shape id="_x0000_i2176" type="#_x0000_t75" style="width:10.3pt;height:16.35pt" o:ole="">
            <v:imagedata r:id="rId2337" o:title=""/>
          </v:shape>
          <o:OLEObject Type="Embed" ProgID="Equation.DSMT4" ShapeID="_x0000_i2176" DrawAspect="Content" ObjectID="_1791376120" r:id="rId2338"/>
        </w:object>
      </w:r>
      <w:r w:rsidRPr="00005251">
        <w:rPr>
          <w:rFonts w:eastAsiaTheme="minorEastAsia" w:hint="cs"/>
          <w:i/>
          <w:sz w:val="23"/>
          <w:szCs w:val="23"/>
          <w:rtl/>
        </w:rPr>
        <w:t xml:space="preserve"> را افزایش می‌دهد و میل نهایی آن برابر است با </w:t>
      </w:r>
      <w:r w:rsidRPr="00005251">
        <w:rPr>
          <w:position w:val="-34"/>
        </w:rPr>
        <w:object w:dxaOrig="740" w:dyaOrig="680" w14:anchorId="16BD44A9">
          <v:shape id="_x0000_i2177" type="#_x0000_t75" style="width:37.5pt;height:33.9pt" o:ole="">
            <v:imagedata r:id="rId2339" o:title=""/>
          </v:shape>
          <o:OLEObject Type="Embed" ProgID="Equation.DSMT4" ShapeID="_x0000_i2177" DrawAspect="Content" ObjectID="_1791376121" r:id="rId2340"/>
        </w:object>
      </w:r>
      <w:r w:rsidRPr="00005251">
        <w:rPr>
          <w:rFonts w:eastAsiaTheme="minorEastAsia" w:hint="cs"/>
          <w:i/>
          <w:sz w:val="23"/>
          <w:szCs w:val="23"/>
          <w:rtl/>
        </w:rPr>
        <w:t xml:space="preserve"> که کمتر از اثر</w:t>
      </w:r>
      <w:r w:rsidRPr="00005251">
        <w:rPr>
          <w:position w:val="-10"/>
        </w:rPr>
        <w:object w:dxaOrig="240" w:dyaOrig="320" w14:anchorId="75FFB6E6">
          <v:shape id="_x0000_i2178" type="#_x0000_t75" style="width:11.5pt;height:16.35pt" o:ole="">
            <v:imagedata r:id="rId2341" o:title=""/>
          </v:shape>
          <o:OLEObject Type="Embed" ProgID="Equation.DSMT4" ShapeID="_x0000_i2178" DrawAspect="Content" ObjectID="_1791376122" r:id="rId2342"/>
        </w:object>
      </w:r>
      <w:r w:rsidRPr="00005251">
        <w:rPr>
          <w:rFonts w:eastAsiaTheme="minorEastAsia" w:hint="cs"/>
          <w:i/>
          <w:sz w:val="23"/>
          <w:szCs w:val="23"/>
          <w:rtl/>
        </w:rPr>
        <w:t xml:space="preserve"> بر مصرف است. زیرا درآمد در زمان </w:t>
      </w:r>
      <w:r w:rsidRPr="00005251">
        <w:rPr>
          <w:position w:val="-6"/>
        </w:rPr>
        <w:object w:dxaOrig="440" w:dyaOrig="260" w14:anchorId="6E188C8A">
          <v:shape id="_x0000_i2179" type="#_x0000_t75" style="width:21.8pt;height:12.7pt" o:ole="">
            <v:imagedata r:id="rId2343" o:title=""/>
          </v:shape>
          <o:OLEObject Type="Embed" ProgID="Equation.DSMT4" ShapeID="_x0000_i2179" DrawAspect="Content" ObjectID="_1791376123" r:id="rId2344"/>
        </w:object>
      </w:r>
      <w:r w:rsidRPr="00005251">
        <w:rPr>
          <w:rFonts w:eastAsiaTheme="minorEastAsia" w:hint="cs"/>
          <w:i/>
          <w:sz w:val="23"/>
          <w:szCs w:val="23"/>
          <w:rtl/>
        </w:rPr>
        <w:t xml:space="preserve"> با نرخ </w:t>
      </w:r>
      <w:r w:rsidRPr="00005251">
        <w:rPr>
          <w:position w:val="-22"/>
        </w:rPr>
        <w:object w:dxaOrig="480" w:dyaOrig="560" w14:anchorId="3ED4750E">
          <v:shape id="_x0000_i2180" type="#_x0000_t75" style="width:24.2pt;height:27.85pt" o:ole="">
            <v:imagedata r:id="rId2345" o:title=""/>
          </v:shape>
          <o:OLEObject Type="Embed" ProgID="Equation.DSMT4" ShapeID="_x0000_i2180" DrawAspect="Content" ObjectID="_1791376124" r:id="rId2346"/>
        </w:object>
      </w:r>
      <w:r w:rsidRPr="00005251">
        <w:rPr>
          <w:rFonts w:eastAsiaTheme="minorEastAsia" w:hint="cs"/>
          <w:i/>
          <w:sz w:val="23"/>
          <w:szCs w:val="23"/>
          <w:rtl/>
        </w:rPr>
        <w:t xml:space="preserve"> تنزیل می</w:t>
      </w:r>
      <w:r w:rsidRPr="00005251">
        <w:rPr>
          <w:rFonts w:eastAsiaTheme="minorEastAsia"/>
          <w:i/>
          <w:sz w:val="23"/>
          <w:szCs w:val="23"/>
          <w:rtl/>
        </w:rPr>
        <w:softHyphen/>
      </w:r>
      <w:r w:rsidRPr="00005251">
        <w:rPr>
          <w:rFonts w:eastAsiaTheme="minorEastAsia" w:hint="cs"/>
          <w:i/>
          <w:sz w:val="23"/>
          <w:szCs w:val="23"/>
          <w:rtl/>
        </w:rPr>
        <w:t>شود.</w:t>
      </w:r>
    </w:p>
    <w:p w14:paraId="7531200F"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اثر شوک</w:t>
      </w:r>
      <w:r w:rsidRPr="00005251">
        <w:rPr>
          <w:rFonts w:eastAsiaTheme="minorEastAsia"/>
          <w:i/>
          <w:sz w:val="23"/>
          <w:szCs w:val="23"/>
          <w:rtl/>
        </w:rPr>
        <w:softHyphen/>
      </w:r>
      <w:r w:rsidRPr="00005251">
        <w:rPr>
          <w:rFonts w:eastAsiaTheme="minorEastAsia" w:hint="cs"/>
          <w:i/>
          <w:sz w:val="23"/>
          <w:szCs w:val="23"/>
          <w:rtl/>
        </w:rPr>
        <w:t>های دائمی درآمد بر مصرف برابر است با مجموع تنزیل شده</w:t>
      </w:r>
      <w:r w:rsidRPr="00005251">
        <w:rPr>
          <w:rFonts w:eastAsiaTheme="minorEastAsia"/>
          <w:i/>
          <w:sz w:val="23"/>
          <w:szCs w:val="23"/>
          <w:rtl/>
        </w:rPr>
        <w:softHyphen/>
      </w:r>
      <w:r w:rsidRPr="00005251">
        <w:rPr>
          <w:rFonts w:eastAsiaTheme="minorEastAsia" w:hint="cs"/>
          <w:i/>
          <w:sz w:val="23"/>
          <w:szCs w:val="23"/>
          <w:rtl/>
        </w:rPr>
        <w:t>ی اثر درآمد جاری و آتی</w:t>
      </w:r>
      <w:r>
        <w:rPr>
          <w:rFonts w:eastAsiaTheme="minorEastAsia" w:hint="cs"/>
          <w:i/>
          <w:sz w:val="23"/>
          <w:szCs w:val="23"/>
          <w:rtl/>
        </w:rPr>
        <w:t xml:space="preserve"> </w:t>
      </w:r>
      <w:r w:rsidRPr="00005251">
        <w:rPr>
          <w:rFonts w:eastAsiaTheme="minorEastAsia" w:hint="cs"/>
          <w:i/>
          <w:sz w:val="23"/>
          <w:szCs w:val="23"/>
          <w:rtl/>
        </w:rPr>
        <w:t xml:space="preserve">انتظاری، و یا </w:t>
      </w:r>
      <w:r w:rsidRPr="00005251">
        <w:rPr>
          <w:position w:val="-34"/>
        </w:rPr>
        <w:object w:dxaOrig="3220" w:dyaOrig="800" w14:anchorId="779B7BB7">
          <v:shape id="_x0000_i2181" type="#_x0000_t75" style="width:160.95pt;height:39.95pt" o:ole="">
            <v:imagedata r:id="rId2347" o:title=""/>
          </v:shape>
          <o:OLEObject Type="Embed" ProgID="Equation.DSMT4" ShapeID="_x0000_i2181" DrawAspect="Content" ObjectID="_1791376125" r:id="rId2348"/>
        </w:object>
      </w:r>
      <w:r w:rsidRPr="00005251">
        <w:rPr>
          <w:rFonts w:eastAsiaTheme="minorEastAsia"/>
          <w:i/>
          <w:sz w:val="23"/>
          <w:szCs w:val="23"/>
        </w:rPr>
        <w:t xml:space="preserve"> .</w:t>
      </w:r>
      <w:r w:rsidRPr="00005251">
        <w:rPr>
          <w:rFonts w:eastAsiaTheme="minorEastAsia" w:hint="cs"/>
          <w:i/>
          <w:sz w:val="23"/>
          <w:szCs w:val="23"/>
          <w:rtl/>
        </w:rPr>
        <w:t xml:space="preserve"> چون میل نهایی به مصرف در تابع مصرف   </w:t>
      </w:r>
      <w:r w:rsidRPr="00005251">
        <w:rPr>
          <w:rFonts w:hint="cs"/>
          <w:i/>
          <w:sz w:val="23"/>
          <w:szCs w:val="23"/>
          <w:rtl/>
        </w:rPr>
        <w:t xml:space="preserve">(۴. ۱۷) </w:t>
      </w:r>
      <w:r w:rsidRPr="00005251">
        <w:rPr>
          <w:rFonts w:eastAsiaTheme="minorEastAsia" w:hint="cs"/>
          <w:i/>
          <w:sz w:val="23"/>
          <w:szCs w:val="23"/>
          <w:rtl/>
        </w:rPr>
        <w:t>برابر با یک است، لذا فرض می‌شود تغییر در درآمد، دائمی است نه موقتی. همچنین سیاست موقتی تغییر در درآمدِ خانوار همانند کاهش موقتی مالیات، اثر کوچکی بر مصرف می‌گذارد.</w:t>
      </w:r>
    </w:p>
    <w:p w14:paraId="78A7CFFD"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 xml:space="preserve"> اکنون اثر تغییر نرخ بهره</w:t>
      </w:r>
      <w:r w:rsidRPr="00005251">
        <w:rPr>
          <w:rFonts w:eastAsiaTheme="minorEastAsia"/>
          <w:i/>
          <w:sz w:val="23"/>
          <w:szCs w:val="23"/>
          <w:rtl/>
        </w:rPr>
        <w:softHyphen/>
      </w:r>
      <w:r w:rsidRPr="00005251">
        <w:rPr>
          <w:rFonts w:eastAsiaTheme="minorEastAsia" w:hint="cs"/>
          <w:i/>
          <w:sz w:val="23"/>
          <w:szCs w:val="23"/>
          <w:rtl/>
        </w:rPr>
        <w:t>ی</w:t>
      </w:r>
      <w:r w:rsidRPr="00025957">
        <w:rPr>
          <w:position w:val="-4"/>
        </w:rPr>
        <w:object w:dxaOrig="180" w:dyaOrig="180" w14:anchorId="22E60F52">
          <v:shape id="_x0000_i2182" type="#_x0000_t75" style="width:9.1pt;height:9.1pt" o:ole="">
            <v:imagedata r:id="rId2349" o:title=""/>
          </v:shape>
          <o:OLEObject Type="Embed" ProgID="Equation.DSMT4" ShapeID="_x0000_i2182" DrawAspect="Content" ObjectID="_1791376126" r:id="rId2350"/>
        </w:object>
      </w:r>
      <w:r w:rsidRPr="00005251">
        <w:rPr>
          <w:rFonts w:eastAsiaTheme="minorEastAsia" w:hint="cs"/>
          <w:i/>
          <w:sz w:val="23"/>
          <w:szCs w:val="23"/>
          <w:rtl/>
        </w:rPr>
        <w:t xml:space="preserve"> بر مصرف را بررسی می‌کنیم. ابتدا فرض می</w:t>
      </w:r>
      <w:r w:rsidRPr="00005251">
        <w:rPr>
          <w:rFonts w:eastAsiaTheme="minorEastAsia"/>
          <w:i/>
          <w:sz w:val="23"/>
          <w:szCs w:val="23"/>
          <w:rtl/>
        </w:rPr>
        <w:softHyphen/>
      </w:r>
      <w:r w:rsidRPr="00005251">
        <w:rPr>
          <w:rFonts w:eastAsiaTheme="minorEastAsia" w:hint="cs"/>
          <w:i/>
          <w:sz w:val="23"/>
          <w:szCs w:val="23"/>
          <w:rtl/>
        </w:rPr>
        <w:t xml:space="preserve">کنیم نرخ بهره حقیقی است. تغییر دائمی در نرخ بهره یعنی تغییر در </w:t>
      </w:r>
      <w:r w:rsidRPr="00005251">
        <w:rPr>
          <w:position w:val="-10"/>
        </w:rPr>
        <w:object w:dxaOrig="1140" w:dyaOrig="320" w14:anchorId="6EE68FBB">
          <v:shape id="_x0000_i2183" type="#_x0000_t75" style="width:57.5pt;height:16.35pt" o:ole="">
            <v:imagedata r:id="rId2351" o:title=""/>
          </v:shape>
          <o:OLEObject Type="Embed" ProgID="Equation.DSMT4" ShapeID="_x0000_i2183" DrawAspect="Content" ObjectID="_1791376127" r:id="rId2352"/>
        </w:object>
      </w:r>
      <w:r w:rsidRPr="00005251">
        <w:rPr>
          <w:rFonts w:eastAsiaTheme="minorEastAsia"/>
          <w:i/>
          <w:sz w:val="23"/>
          <w:szCs w:val="23"/>
        </w:rPr>
        <w:t>.</w:t>
      </w:r>
      <w:r w:rsidRPr="00005251">
        <w:rPr>
          <w:rFonts w:eastAsiaTheme="minorEastAsia" w:hint="cs"/>
          <w:i/>
          <w:sz w:val="23"/>
          <w:szCs w:val="23"/>
          <w:rtl/>
        </w:rPr>
        <w:t xml:space="preserve"> از رابطه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rFonts w:hint="cs"/>
          <w:i/>
          <w:sz w:val="23"/>
          <w:szCs w:val="23"/>
          <w:rtl/>
        </w:rPr>
        <w:t>(۴. ۱۷)</w:t>
      </w:r>
      <w:r w:rsidRPr="00005251">
        <w:rPr>
          <w:rFonts w:eastAsiaTheme="minorEastAsia" w:hint="cs"/>
          <w:i/>
          <w:sz w:val="23"/>
          <w:szCs w:val="23"/>
          <w:rtl/>
          <w:lang w:val="en-GB"/>
        </w:rPr>
        <w:t xml:space="preserve"> </w:t>
      </w:r>
      <w:r w:rsidRPr="00005251">
        <w:rPr>
          <w:rFonts w:eastAsiaTheme="minorEastAsia" w:hint="cs"/>
          <w:i/>
          <w:sz w:val="23"/>
          <w:szCs w:val="23"/>
          <w:rtl/>
        </w:rPr>
        <w:t>چون</w:t>
      </w:r>
      <w:r w:rsidRPr="00005251">
        <w:rPr>
          <w:position w:val="-10"/>
        </w:rPr>
        <w:object w:dxaOrig="540" w:dyaOrig="320" w14:anchorId="1E24FC0F">
          <v:shape id="_x0000_i2184" type="#_x0000_t75" style="width:27.25pt;height:16.35pt" o:ole="">
            <v:imagedata r:id="rId2353" o:title=""/>
          </v:shape>
          <o:OLEObject Type="Embed" ProgID="Equation.DSMT4" ShapeID="_x0000_i2184" DrawAspect="Content" ObjectID="_1791376128" r:id="rId2354"/>
        </w:object>
      </w:r>
      <w:r w:rsidRPr="00005251">
        <w:rPr>
          <w:rFonts w:eastAsiaTheme="minorEastAsia"/>
          <w:i/>
          <w:sz w:val="23"/>
          <w:szCs w:val="23"/>
        </w:rPr>
        <w:t xml:space="preserve"> </w:t>
      </w:r>
      <w:r w:rsidRPr="00005251">
        <w:rPr>
          <w:rFonts w:eastAsiaTheme="minorEastAsia" w:hint="cs"/>
          <w:i/>
          <w:sz w:val="23"/>
          <w:szCs w:val="23"/>
          <w:rtl/>
        </w:rPr>
        <w:t xml:space="preserve">است لذا اثر افزایش دائمی نرخ بهره بر مصرف به مقدار دارایی مالی وابسته است. اگر </w:t>
      </w:r>
      <w:r w:rsidRPr="00005251">
        <w:rPr>
          <w:position w:val="-10"/>
        </w:rPr>
        <w:object w:dxaOrig="600" w:dyaOrig="320" w14:anchorId="0BE6A07F">
          <v:shape id="_x0000_i2185" type="#_x0000_t75" style="width:29.65pt;height:16.35pt" o:ole="">
            <v:imagedata r:id="rId2355" o:title=""/>
          </v:shape>
          <o:OLEObject Type="Embed" ProgID="Equation.DSMT4" ShapeID="_x0000_i2185" DrawAspect="Content" ObjectID="_1791376129" r:id="rId2356"/>
        </w:object>
      </w:r>
      <w:r w:rsidRPr="00005251">
        <w:rPr>
          <w:rFonts w:eastAsiaTheme="minorEastAsia" w:hint="cs"/>
          <w:i/>
          <w:sz w:val="23"/>
          <w:szCs w:val="23"/>
          <w:rtl/>
        </w:rPr>
        <w:t xml:space="preserve"> باشد، آنگاه با افزایش</w:t>
      </w:r>
      <w:r w:rsidRPr="00025957">
        <w:rPr>
          <w:position w:val="-4"/>
        </w:rPr>
        <w:object w:dxaOrig="180" w:dyaOrig="180" w14:anchorId="29A7E1D5">
          <v:shape id="_x0000_i2186" type="#_x0000_t75" style="width:9.1pt;height:9.1pt" o:ole="">
            <v:imagedata r:id="rId2357" o:title=""/>
          </v:shape>
          <o:OLEObject Type="Embed" ProgID="Equation.DSMT4" ShapeID="_x0000_i2186" DrawAspect="Content" ObjectID="_1791376130" r:id="rId2358"/>
        </w:object>
      </w:r>
      <w:r w:rsidRPr="00005251">
        <w:rPr>
          <w:rFonts w:hint="cs"/>
          <w:sz w:val="23"/>
          <w:szCs w:val="23"/>
          <w:rtl/>
        </w:rPr>
        <w:t>،</w:t>
      </w:r>
      <w:r w:rsidRPr="00005251">
        <w:rPr>
          <w:rFonts w:eastAsiaTheme="minorEastAsia" w:hint="cs"/>
          <w:i/>
          <w:sz w:val="23"/>
          <w:szCs w:val="23"/>
          <w:rtl/>
          <w:lang w:val="en-GB"/>
        </w:rPr>
        <w:t xml:space="preserve"> درآمد حاصل از نرخ بهره</w:t>
      </w:r>
      <w:r w:rsidRPr="00005251">
        <w:rPr>
          <w:rFonts w:eastAsiaTheme="minorEastAsia"/>
          <w:i/>
          <w:sz w:val="23"/>
          <w:szCs w:val="23"/>
          <w:rtl/>
          <w:lang w:val="en-GB"/>
        </w:rPr>
        <w:softHyphen/>
      </w:r>
      <w:r w:rsidRPr="00005251">
        <w:rPr>
          <w:rFonts w:eastAsiaTheme="minorEastAsia" w:hint="cs"/>
          <w:i/>
          <w:sz w:val="23"/>
          <w:szCs w:val="23"/>
          <w:rtl/>
          <w:lang w:val="en-GB"/>
        </w:rPr>
        <w:t>ی دارایی</w:t>
      </w:r>
      <w:r w:rsidRPr="00005251">
        <w:rPr>
          <w:rFonts w:eastAsiaTheme="minorEastAsia"/>
          <w:i/>
          <w:sz w:val="23"/>
          <w:szCs w:val="23"/>
          <w:rtl/>
          <w:lang w:val="en-GB"/>
        </w:rPr>
        <w:softHyphen/>
      </w:r>
      <w:r w:rsidRPr="00005251">
        <w:rPr>
          <w:rFonts w:eastAsiaTheme="minorEastAsia" w:hint="cs"/>
          <w:i/>
          <w:sz w:val="23"/>
          <w:szCs w:val="23"/>
          <w:rtl/>
          <w:lang w:val="en-GB"/>
        </w:rPr>
        <w:t xml:space="preserve">های مالی بطور دائم افزایش یافته و چون </w:t>
      </w:r>
      <w:r w:rsidRPr="00005251">
        <w:rPr>
          <w:position w:val="-28"/>
        </w:rPr>
        <w:object w:dxaOrig="800" w:dyaOrig="639" w14:anchorId="288F7CFA">
          <v:shape id="_x0000_i2187" type="#_x0000_t75" style="width:39.95pt;height:32.05pt" o:ole="">
            <v:imagedata r:id="rId2359" o:title=""/>
          </v:shape>
          <o:OLEObject Type="Embed" ProgID="Equation.DSMT4" ShapeID="_x0000_i2187" DrawAspect="Content" ObjectID="_1791376131" r:id="rId2360"/>
        </w:object>
      </w:r>
      <w:r w:rsidRPr="00005251">
        <w:rPr>
          <w:rFonts w:eastAsiaTheme="minorEastAsia" w:hint="cs"/>
          <w:i/>
          <w:sz w:val="23"/>
          <w:szCs w:val="23"/>
          <w:rtl/>
        </w:rPr>
        <w:t xml:space="preserve"> است، لذا تمامی افزایش درآمد حاصل از افزایش نرخ بهره مصرف می</w:t>
      </w:r>
      <w:r w:rsidRPr="00005251">
        <w:rPr>
          <w:rFonts w:eastAsiaTheme="minorEastAsia"/>
          <w:i/>
          <w:sz w:val="23"/>
          <w:szCs w:val="23"/>
          <w:rtl/>
        </w:rPr>
        <w:softHyphen/>
      </w:r>
      <w:r w:rsidRPr="00005251">
        <w:rPr>
          <w:rFonts w:eastAsiaTheme="minorEastAsia" w:hint="cs"/>
          <w:i/>
          <w:sz w:val="23"/>
          <w:szCs w:val="23"/>
          <w:rtl/>
        </w:rPr>
        <w:t>شود نه پس</w:t>
      </w:r>
      <w:r w:rsidRPr="00005251">
        <w:rPr>
          <w:rFonts w:eastAsiaTheme="minorEastAsia"/>
          <w:i/>
          <w:sz w:val="23"/>
          <w:szCs w:val="23"/>
          <w:rtl/>
        </w:rPr>
        <w:softHyphen/>
      </w:r>
      <w:r w:rsidRPr="00005251">
        <w:rPr>
          <w:rFonts w:eastAsiaTheme="minorEastAsia" w:hint="cs"/>
          <w:i/>
          <w:sz w:val="23"/>
          <w:szCs w:val="23"/>
          <w:rtl/>
        </w:rPr>
        <w:t xml:space="preserve">انداز. اگر </w:t>
      </w:r>
      <w:r w:rsidRPr="00005251">
        <w:rPr>
          <w:position w:val="-10"/>
        </w:rPr>
        <w:object w:dxaOrig="600" w:dyaOrig="320" w14:anchorId="23BA3912">
          <v:shape id="_x0000_i2188" type="#_x0000_t75" style="width:29.65pt;height:16.35pt" o:ole="">
            <v:imagedata r:id="rId2361" o:title=""/>
          </v:shape>
          <o:OLEObject Type="Embed" ProgID="Equation.DSMT4" ShapeID="_x0000_i2188" DrawAspect="Content" ObjectID="_1791376132" r:id="rId2362"/>
        </w:object>
      </w:r>
      <w:r w:rsidRPr="00005251">
        <w:rPr>
          <w:rFonts w:eastAsiaTheme="minorEastAsia" w:hint="cs"/>
          <w:i/>
          <w:sz w:val="23"/>
          <w:szCs w:val="23"/>
          <w:rtl/>
        </w:rPr>
        <w:t xml:space="preserve"> باشد آنگاه با افزایش</w:t>
      </w:r>
      <w:r w:rsidRPr="00025957">
        <w:rPr>
          <w:position w:val="-4"/>
        </w:rPr>
        <w:object w:dxaOrig="180" w:dyaOrig="180" w14:anchorId="3A2C2E7F">
          <v:shape id="_x0000_i2189" type="#_x0000_t75" style="width:9.1pt;height:9.1pt" o:ole="">
            <v:imagedata r:id="rId2363" o:title=""/>
          </v:shape>
          <o:OLEObject Type="Embed" ProgID="Equation.DSMT4" ShapeID="_x0000_i2189" DrawAspect="Content" ObjectID="_1791376133" r:id="rId2364"/>
        </w:object>
      </w:r>
      <w:r w:rsidRPr="00005251">
        <w:rPr>
          <w:rFonts w:hint="cs"/>
          <w:i/>
          <w:sz w:val="23"/>
          <w:szCs w:val="23"/>
          <w:rtl/>
        </w:rPr>
        <w:t>،</w:t>
      </w:r>
      <w:r w:rsidRPr="00005251">
        <w:rPr>
          <w:rFonts w:eastAsiaTheme="minorEastAsia" w:hint="cs"/>
          <w:i/>
          <w:sz w:val="23"/>
          <w:szCs w:val="23"/>
          <w:rtl/>
          <w:lang w:val="en-GB"/>
        </w:rPr>
        <w:t xml:space="preserve"> درآمد حاصل از نرخ بهره</w:t>
      </w:r>
      <w:r w:rsidRPr="00005251">
        <w:rPr>
          <w:rFonts w:eastAsiaTheme="minorEastAsia"/>
          <w:i/>
          <w:sz w:val="23"/>
          <w:szCs w:val="23"/>
          <w:rtl/>
          <w:lang w:val="en-GB"/>
        </w:rPr>
        <w:softHyphen/>
      </w:r>
      <w:r w:rsidRPr="00005251">
        <w:rPr>
          <w:rFonts w:eastAsiaTheme="minorEastAsia" w:hint="cs"/>
          <w:i/>
          <w:sz w:val="23"/>
          <w:szCs w:val="23"/>
          <w:rtl/>
          <w:lang w:val="en-GB"/>
        </w:rPr>
        <w:t>ی دارایی</w:t>
      </w:r>
      <w:r w:rsidRPr="00005251">
        <w:rPr>
          <w:rFonts w:eastAsiaTheme="minorEastAsia"/>
          <w:i/>
          <w:sz w:val="23"/>
          <w:szCs w:val="23"/>
          <w:rtl/>
          <w:lang w:val="en-GB"/>
        </w:rPr>
        <w:softHyphen/>
      </w:r>
      <w:r w:rsidRPr="00005251">
        <w:rPr>
          <w:rFonts w:eastAsiaTheme="minorEastAsia" w:hint="cs"/>
          <w:i/>
          <w:sz w:val="23"/>
          <w:szCs w:val="23"/>
          <w:rtl/>
          <w:lang w:val="en-GB"/>
        </w:rPr>
        <w:t>های مالی بطور دائم کاهش می</w:t>
      </w:r>
      <w:r w:rsidRPr="00005251">
        <w:rPr>
          <w:rFonts w:eastAsiaTheme="minorEastAsia"/>
          <w:i/>
          <w:sz w:val="23"/>
          <w:szCs w:val="23"/>
          <w:rtl/>
          <w:lang w:val="en-GB"/>
        </w:rPr>
        <w:softHyphen/>
      </w:r>
      <w:r w:rsidRPr="00005251">
        <w:rPr>
          <w:rFonts w:eastAsiaTheme="minorEastAsia" w:hint="cs"/>
          <w:i/>
          <w:sz w:val="23"/>
          <w:szCs w:val="23"/>
          <w:rtl/>
          <w:lang w:val="en-GB"/>
        </w:rPr>
        <w:t xml:space="preserve">یابد، و چنانچه </w:t>
      </w:r>
      <w:r w:rsidRPr="00005251">
        <w:rPr>
          <w:position w:val="-10"/>
        </w:rPr>
        <w:object w:dxaOrig="600" w:dyaOrig="320" w14:anchorId="4C009880">
          <v:shape id="_x0000_i2190" type="#_x0000_t75" style="width:29.65pt;height:16.35pt" o:ole="">
            <v:imagedata r:id="rId2365" o:title=""/>
          </v:shape>
          <o:OLEObject Type="Embed" ProgID="Equation.DSMT4" ShapeID="_x0000_i2190" DrawAspect="Content" ObjectID="_1791376134" r:id="rId2366"/>
        </w:object>
      </w:r>
      <w:r w:rsidRPr="00005251">
        <w:rPr>
          <w:rFonts w:eastAsiaTheme="minorEastAsia" w:hint="cs"/>
          <w:i/>
          <w:sz w:val="23"/>
          <w:szCs w:val="23"/>
          <w:rtl/>
        </w:rPr>
        <w:t xml:space="preserve"> باشد تغییرات دائمی نرخ بهره بر مصرف تاثیر نمی</w:t>
      </w:r>
      <w:r w:rsidRPr="00005251">
        <w:rPr>
          <w:rFonts w:eastAsiaTheme="minorEastAsia"/>
          <w:i/>
          <w:sz w:val="23"/>
          <w:szCs w:val="23"/>
          <w:rtl/>
        </w:rPr>
        <w:softHyphen/>
      </w:r>
      <w:r w:rsidRPr="00005251">
        <w:rPr>
          <w:rFonts w:eastAsiaTheme="minorEastAsia" w:hint="cs"/>
          <w:i/>
          <w:sz w:val="23"/>
          <w:szCs w:val="23"/>
          <w:rtl/>
        </w:rPr>
        <w:t>گذارد.</w:t>
      </w:r>
    </w:p>
    <w:p w14:paraId="58E31685"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اگر نرخ بهره بطور موقتی افزایش یابد آنگاه اثر آن بر مصرف در زمان</w:t>
      </w:r>
      <w:r w:rsidRPr="00005251">
        <w:rPr>
          <w:rFonts w:eastAsiaTheme="minorEastAsia"/>
          <w:i/>
          <w:sz w:val="23"/>
          <w:szCs w:val="23"/>
          <w:rtl/>
        </w:rPr>
        <w:softHyphen/>
      </w:r>
      <w:r w:rsidRPr="00005251">
        <w:rPr>
          <w:rFonts w:eastAsiaTheme="minorEastAsia" w:hint="cs"/>
          <w:i/>
          <w:sz w:val="23"/>
          <w:szCs w:val="23"/>
          <w:rtl/>
        </w:rPr>
        <w:t>های مختلف به مقدار دارایی مالی وابسته است که قبلاً در نمودار ۴. ۱ بررسی شد. معمولاً نرخ بهره در اطراف میانگین خود در حال تغییر است. لذا تغییرات نرخ بهره به منزله</w:t>
      </w:r>
      <w:r w:rsidRPr="00005251">
        <w:rPr>
          <w:rFonts w:eastAsiaTheme="minorEastAsia"/>
          <w:i/>
          <w:sz w:val="23"/>
          <w:szCs w:val="23"/>
          <w:rtl/>
        </w:rPr>
        <w:softHyphen/>
      </w:r>
      <w:r w:rsidRPr="00005251">
        <w:rPr>
          <w:rFonts w:eastAsiaTheme="minorEastAsia" w:hint="cs"/>
          <w:i/>
          <w:sz w:val="23"/>
          <w:szCs w:val="23"/>
          <w:rtl/>
        </w:rPr>
        <w:t xml:space="preserve">ی تغییرات موقتی است نه تغییرات دائمی. </w:t>
      </w:r>
    </w:p>
    <w:p w14:paraId="1AE3BEAA" w14:textId="77777777" w:rsidR="00411620" w:rsidRPr="00005251" w:rsidRDefault="00411620" w:rsidP="00411620">
      <w:pPr>
        <w:spacing w:line="216" w:lineRule="auto"/>
        <w:rPr>
          <w:rFonts w:eastAsiaTheme="minorEastAsia"/>
          <w:i/>
          <w:sz w:val="23"/>
          <w:szCs w:val="23"/>
          <w:rtl/>
        </w:rPr>
      </w:pPr>
    </w:p>
    <w:p w14:paraId="2E164B23" w14:textId="77777777" w:rsidR="00411620" w:rsidRPr="00005251" w:rsidRDefault="00411620" w:rsidP="00411620">
      <w:pPr>
        <w:pStyle w:val="Heading1"/>
        <w:spacing w:before="0" w:after="0" w:line="216" w:lineRule="auto"/>
        <w:rPr>
          <w:rFonts w:ascii="Times New Roman" w:hAnsi="Times New Roman" w:cs="B Nazanin"/>
          <w:b w:val="0"/>
          <w:i/>
          <w:sz w:val="23"/>
          <w:szCs w:val="23"/>
        </w:rPr>
      </w:pPr>
      <w:r w:rsidRPr="00005251">
        <w:rPr>
          <w:rFonts w:ascii="Times New Roman" w:hAnsi="Times New Roman" w:cs="B Nazanin" w:hint="cs"/>
          <w:b w:val="0"/>
          <w:i/>
          <w:sz w:val="23"/>
          <w:szCs w:val="23"/>
          <w:rtl/>
        </w:rPr>
        <w:t>شوک</w:t>
      </w:r>
      <w:r w:rsidRPr="00005251">
        <w:rPr>
          <w:rFonts w:ascii="Times New Roman" w:hAnsi="Times New Roman" w:cs="B Nazanin"/>
          <w:b w:val="0"/>
          <w:i/>
          <w:sz w:val="23"/>
          <w:szCs w:val="23"/>
          <w:rtl/>
        </w:rPr>
        <w:softHyphen/>
      </w:r>
      <w:r w:rsidRPr="00005251">
        <w:rPr>
          <w:rFonts w:ascii="Times New Roman" w:hAnsi="Times New Roman" w:cs="B Nazanin" w:hint="cs"/>
          <w:b w:val="0"/>
          <w:i/>
          <w:sz w:val="23"/>
          <w:szCs w:val="23"/>
          <w:rtl/>
        </w:rPr>
        <w:t>های درآمدی پیش</w:t>
      </w:r>
      <w:r w:rsidRPr="00005251">
        <w:rPr>
          <w:rFonts w:ascii="Times New Roman" w:hAnsi="Times New Roman" w:cs="B Nazanin"/>
          <w:b w:val="0"/>
          <w:i/>
          <w:sz w:val="23"/>
          <w:szCs w:val="23"/>
          <w:rtl/>
        </w:rPr>
        <w:softHyphen/>
      </w:r>
      <w:r w:rsidRPr="00005251">
        <w:rPr>
          <w:rFonts w:ascii="Times New Roman" w:hAnsi="Times New Roman" w:cs="B Nazanin" w:hint="cs"/>
          <w:b w:val="0"/>
          <w:i/>
          <w:sz w:val="23"/>
          <w:szCs w:val="23"/>
          <w:rtl/>
        </w:rPr>
        <w:t>بینی شده و پیش</w:t>
      </w:r>
      <w:r w:rsidRPr="00005251">
        <w:rPr>
          <w:rFonts w:ascii="Times New Roman" w:hAnsi="Times New Roman" w:cs="B Nazanin"/>
          <w:b w:val="0"/>
          <w:i/>
          <w:sz w:val="23"/>
          <w:szCs w:val="23"/>
          <w:rtl/>
        </w:rPr>
        <w:softHyphen/>
      </w:r>
      <w:r w:rsidRPr="00005251">
        <w:rPr>
          <w:rFonts w:ascii="Times New Roman" w:hAnsi="Times New Roman" w:cs="B Nazanin" w:hint="cs"/>
          <w:b w:val="0"/>
          <w:i/>
          <w:sz w:val="23"/>
          <w:szCs w:val="23"/>
          <w:rtl/>
        </w:rPr>
        <w:t>بینی نشده</w:t>
      </w:r>
    </w:p>
    <w:p w14:paraId="284D4D37" w14:textId="77777777" w:rsidR="00411620" w:rsidRPr="00005251" w:rsidRDefault="00411620" w:rsidP="00411620">
      <w:pPr>
        <w:spacing w:line="216" w:lineRule="auto"/>
        <w:rPr>
          <w:i/>
          <w:sz w:val="23"/>
          <w:szCs w:val="23"/>
          <w:rtl/>
        </w:rPr>
      </w:pPr>
      <w:r w:rsidRPr="00005251">
        <w:rPr>
          <w:rFonts w:hint="cs"/>
          <w:i/>
          <w:sz w:val="23"/>
          <w:szCs w:val="23"/>
          <w:rtl/>
        </w:rPr>
        <w:t>از</w:t>
      </w:r>
      <w:r w:rsidRPr="00005251">
        <w:rPr>
          <w:i/>
          <w:sz w:val="23"/>
          <w:szCs w:val="23"/>
          <w:rtl/>
        </w:rPr>
        <w:t xml:space="preserve"> </w:t>
      </w:r>
      <w:r w:rsidRPr="00005251">
        <w:rPr>
          <w:rFonts w:hint="cs"/>
          <w:i/>
          <w:sz w:val="23"/>
          <w:szCs w:val="23"/>
          <w:rtl/>
        </w:rPr>
        <w:t>آنجاکه مصرف</w:t>
      </w:r>
      <w:r w:rsidRPr="00005251">
        <w:rPr>
          <w:i/>
          <w:sz w:val="23"/>
          <w:szCs w:val="23"/>
          <w:rtl/>
        </w:rPr>
        <w:t xml:space="preserve"> </w:t>
      </w:r>
      <w:r w:rsidRPr="00005251">
        <w:rPr>
          <w:rFonts w:hint="cs"/>
          <w:i/>
          <w:sz w:val="23"/>
          <w:szCs w:val="23"/>
          <w:rtl/>
        </w:rPr>
        <w:t>به</w:t>
      </w:r>
      <w:r w:rsidRPr="00005251">
        <w:rPr>
          <w:i/>
          <w:sz w:val="23"/>
          <w:szCs w:val="23"/>
          <w:rtl/>
        </w:rPr>
        <w:t xml:space="preserve"> </w:t>
      </w:r>
      <w:r w:rsidRPr="00005251">
        <w:rPr>
          <w:rFonts w:hint="cs"/>
          <w:i/>
          <w:sz w:val="23"/>
          <w:szCs w:val="23"/>
          <w:rtl/>
        </w:rPr>
        <w:t>ثروت وابسته است،</w:t>
      </w:r>
      <w:r w:rsidRPr="00005251">
        <w:rPr>
          <w:i/>
          <w:sz w:val="23"/>
          <w:szCs w:val="23"/>
          <w:rtl/>
        </w:rPr>
        <w:t xml:space="preserve"> </w:t>
      </w:r>
      <w:r w:rsidRPr="00005251">
        <w:rPr>
          <w:rFonts w:hint="cs"/>
          <w:i/>
          <w:sz w:val="23"/>
          <w:szCs w:val="23"/>
          <w:rtl/>
        </w:rPr>
        <w:t>و</w:t>
      </w:r>
      <w:r w:rsidRPr="00005251">
        <w:rPr>
          <w:i/>
          <w:sz w:val="23"/>
          <w:szCs w:val="23"/>
          <w:rtl/>
        </w:rPr>
        <w:t xml:space="preserve"> </w:t>
      </w:r>
      <w:r w:rsidRPr="00005251">
        <w:rPr>
          <w:rFonts w:hint="cs"/>
          <w:i/>
          <w:sz w:val="23"/>
          <w:szCs w:val="23"/>
          <w:rtl/>
        </w:rPr>
        <w:t>ثروت</w:t>
      </w:r>
      <w:r w:rsidRPr="00005251">
        <w:rPr>
          <w:i/>
          <w:sz w:val="23"/>
          <w:szCs w:val="23"/>
          <w:rtl/>
        </w:rPr>
        <w:t xml:space="preserve"> </w:t>
      </w:r>
      <w:r w:rsidRPr="00005251">
        <w:rPr>
          <w:rFonts w:hint="cs"/>
          <w:i/>
          <w:sz w:val="23"/>
          <w:szCs w:val="23"/>
          <w:rtl/>
          <w:lang w:val="en-GB"/>
        </w:rPr>
        <w:t>به صورت پیش</w:t>
      </w:r>
      <w:r w:rsidRPr="00005251">
        <w:rPr>
          <w:i/>
          <w:sz w:val="23"/>
          <w:szCs w:val="23"/>
          <w:rtl/>
          <w:lang w:val="en-GB"/>
        </w:rPr>
        <w:softHyphen/>
      </w:r>
      <w:r w:rsidRPr="00005251">
        <w:rPr>
          <w:rFonts w:hint="cs"/>
          <w:i/>
          <w:sz w:val="23"/>
          <w:szCs w:val="23"/>
          <w:rtl/>
          <w:lang w:val="en-GB"/>
        </w:rPr>
        <w:t>رو بدست می</w:t>
      </w:r>
      <w:r w:rsidRPr="00005251">
        <w:rPr>
          <w:i/>
          <w:sz w:val="23"/>
          <w:szCs w:val="23"/>
          <w:rtl/>
          <w:lang w:val="en-GB"/>
        </w:rPr>
        <w:softHyphen/>
      </w:r>
      <w:r w:rsidRPr="00005251">
        <w:rPr>
          <w:rFonts w:hint="cs"/>
          <w:i/>
          <w:sz w:val="23"/>
          <w:szCs w:val="23"/>
          <w:rtl/>
          <w:lang w:val="en-GB"/>
        </w:rPr>
        <w:t>آید</w:t>
      </w:r>
      <w:r w:rsidRPr="00005251">
        <w:rPr>
          <w:rFonts w:hint="cs"/>
          <w:i/>
          <w:sz w:val="23"/>
          <w:szCs w:val="23"/>
          <w:rtl/>
        </w:rPr>
        <w:t>،</w:t>
      </w:r>
      <w:r w:rsidRPr="00005251">
        <w:rPr>
          <w:i/>
          <w:sz w:val="23"/>
          <w:szCs w:val="23"/>
          <w:rtl/>
        </w:rPr>
        <w:t xml:space="preserve"> </w:t>
      </w:r>
      <w:r w:rsidRPr="00005251">
        <w:rPr>
          <w:rFonts w:hint="cs"/>
          <w:i/>
          <w:sz w:val="23"/>
          <w:szCs w:val="23"/>
          <w:rtl/>
        </w:rPr>
        <w:t>لذا تغییرات</w:t>
      </w:r>
      <w:r w:rsidRPr="00005251">
        <w:rPr>
          <w:i/>
          <w:sz w:val="23"/>
          <w:szCs w:val="23"/>
          <w:rtl/>
        </w:rPr>
        <w:t xml:space="preserve"> </w:t>
      </w:r>
      <w:r w:rsidRPr="00005251">
        <w:rPr>
          <w:rFonts w:hint="cs"/>
          <w:i/>
          <w:sz w:val="23"/>
          <w:szCs w:val="23"/>
          <w:rtl/>
        </w:rPr>
        <w:t>پیش</w:t>
      </w:r>
      <w:r w:rsidRPr="00005251">
        <w:rPr>
          <w:i/>
          <w:sz w:val="23"/>
          <w:szCs w:val="23"/>
          <w:rtl/>
        </w:rPr>
        <w:softHyphen/>
      </w:r>
      <w:r w:rsidRPr="00005251">
        <w:rPr>
          <w:rFonts w:hint="cs"/>
          <w:i/>
          <w:sz w:val="23"/>
          <w:szCs w:val="23"/>
          <w:rtl/>
        </w:rPr>
        <w:t>بینی</w:t>
      </w:r>
      <w:r w:rsidRPr="00005251">
        <w:rPr>
          <w:i/>
          <w:sz w:val="23"/>
          <w:szCs w:val="23"/>
          <w:rtl/>
        </w:rPr>
        <w:t xml:space="preserve"> </w:t>
      </w:r>
      <w:r w:rsidRPr="00005251">
        <w:rPr>
          <w:rFonts w:hint="cs"/>
          <w:i/>
          <w:sz w:val="23"/>
          <w:szCs w:val="23"/>
          <w:rtl/>
        </w:rPr>
        <w:t>نشده</w:t>
      </w:r>
      <w:r w:rsidRPr="00005251">
        <w:rPr>
          <w:i/>
          <w:sz w:val="23"/>
          <w:szCs w:val="23"/>
          <w:rtl/>
        </w:rPr>
        <w:softHyphen/>
      </w:r>
      <w:r w:rsidRPr="00005251">
        <w:rPr>
          <w:rFonts w:hint="cs"/>
          <w:i/>
          <w:sz w:val="23"/>
          <w:szCs w:val="23"/>
          <w:rtl/>
        </w:rPr>
        <w:t>ی</w:t>
      </w:r>
      <w:r w:rsidRPr="00005251">
        <w:rPr>
          <w:i/>
          <w:sz w:val="23"/>
          <w:szCs w:val="23"/>
          <w:rtl/>
        </w:rPr>
        <w:t xml:space="preserve"> </w:t>
      </w:r>
      <w:r w:rsidRPr="00005251">
        <w:rPr>
          <w:rFonts w:hint="cs"/>
          <w:i/>
          <w:sz w:val="23"/>
          <w:szCs w:val="23"/>
          <w:rtl/>
        </w:rPr>
        <w:t>درآمد</w:t>
      </w:r>
      <w:r w:rsidRPr="00005251">
        <w:rPr>
          <w:i/>
          <w:sz w:val="23"/>
          <w:szCs w:val="23"/>
          <w:rtl/>
        </w:rPr>
        <w:t xml:space="preserve"> </w:t>
      </w:r>
      <w:r w:rsidRPr="00005251">
        <w:rPr>
          <w:rFonts w:hint="cs"/>
          <w:i/>
          <w:sz w:val="23"/>
          <w:szCs w:val="23"/>
          <w:rtl/>
        </w:rPr>
        <w:t>و</w:t>
      </w:r>
      <w:r w:rsidRPr="00005251">
        <w:rPr>
          <w:i/>
          <w:sz w:val="23"/>
          <w:szCs w:val="23"/>
          <w:rtl/>
        </w:rPr>
        <w:t xml:space="preserve"> </w:t>
      </w:r>
      <w:r w:rsidRPr="00005251">
        <w:rPr>
          <w:rFonts w:hint="cs"/>
          <w:i/>
          <w:sz w:val="23"/>
          <w:szCs w:val="23"/>
          <w:rtl/>
        </w:rPr>
        <w:t>نرخ</w:t>
      </w:r>
      <w:r w:rsidRPr="00005251">
        <w:rPr>
          <w:i/>
          <w:sz w:val="23"/>
          <w:szCs w:val="23"/>
          <w:rtl/>
        </w:rPr>
        <w:softHyphen/>
      </w:r>
      <w:r w:rsidRPr="00005251">
        <w:rPr>
          <w:rFonts w:hint="cs"/>
          <w:i/>
          <w:sz w:val="23"/>
          <w:szCs w:val="23"/>
          <w:rtl/>
        </w:rPr>
        <w:t>های بهره</w:t>
      </w:r>
      <w:r w:rsidRPr="00005251">
        <w:rPr>
          <w:i/>
          <w:sz w:val="23"/>
          <w:szCs w:val="23"/>
          <w:rtl/>
        </w:rPr>
        <w:t xml:space="preserve"> </w:t>
      </w:r>
      <w:r w:rsidRPr="00005251">
        <w:rPr>
          <w:rFonts w:hint="cs"/>
          <w:i/>
          <w:sz w:val="23"/>
          <w:szCs w:val="23"/>
          <w:rtl/>
        </w:rPr>
        <w:t>تاثیری</w:t>
      </w:r>
      <w:r w:rsidRPr="00005251">
        <w:rPr>
          <w:i/>
          <w:sz w:val="23"/>
          <w:szCs w:val="23"/>
          <w:rtl/>
        </w:rPr>
        <w:t xml:space="preserve"> </w:t>
      </w:r>
      <w:r w:rsidRPr="00005251">
        <w:rPr>
          <w:rFonts w:hint="cs"/>
          <w:i/>
          <w:sz w:val="23"/>
          <w:szCs w:val="23"/>
          <w:rtl/>
        </w:rPr>
        <w:t>بر</w:t>
      </w:r>
      <w:r w:rsidRPr="00005251">
        <w:rPr>
          <w:i/>
          <w:sz w:val="23"/>
          <w:szCs w:val="23"/>
          <w:rtl/>
        </w:rPr>
        <w:t xml:space="preserve"> </w:t>
      </w:r>
      <w:r w:rsidRPr="00005251">
        <w:rPr>
          <w:rFonts w:hint="cs"/>
          <w:i/>
          <w:sz w:val="23"/>
          <w:szCs w:val="23"/>
          <w:rtl/>
        </w:rPr>
        <w:t>مصرف</w:t>
      </w:r>
      <w:r w:rsidRPr="00005251">
        <w:rPr>
          <w:i/>
          <w:sz w:val="23"/>
          <w:szCs w:val="23"/>
          <w:rtl/>
        </w:rPr>
        <w:t xml:space="preserve"> </w:t>
      </w:r>
      <w:r w:rsidRPr="00005251">
        <w:rPr>
          <w:rFonts w:hint="cs"/>
          <w:i/>
          <w:sz w:val="23"/>
          <w:szCs w:val="23"/>
          <w:rtl/>
        </w:rPr>
        <w:t>جاری نمی</w:t>
      </w:r>
      <w:r w:rsidRPr="00005251">
        <w:rPr>
          <w:i/>
          <w:sz w:val="23"/>
          <w:szCs w:val="23"/>
          <w:rtl/>
        </w:rPr>
        <w:softHyphen/>
      </w:r>
      <w:r w:rsidRPr="00005251">
        <w:rPr>
          <w:rFonts w:hint="cs"/>
          <w:i/>
          <w:sz w:val="23"/>
          <w:szCs w:val="23"/>
          <w:rtl/>
        </w:rPr>
        <w:t>گذارد، ولی تغییرات</w:t>
      </w:r>
      <w:r w:rsidRPr="00005251">
        <w:rPr>
          <w:i/>
          <w:sz w:val="23"/>
          <w:szCs w:val="23"/>
          <w:rtl/>
        </w:rPr>
        <w:t xml:space="preserve"> </w:t>
      </w:r>
      <w:r w:rsidRPr="00005251">
        <w:rPr>
          <w:rFonts w:hint="cs"/>
          <w:i/>
          <w:sz w:val="23"/>
          <w:szCs w:val="23"/>
          <w:rtl/>
        </w:rPr>
        <w:t>پیش</w:t>
      </w:r>
      <w:r w:rsidRPr="00005251">
        <w:rPr>
          <w:i/>
          <w:sz w:val="23"/>
          <w:szCs w:val="23"/>
          <w:rtl/>
        </w:rPr>
        <w:softHyphen/>
      </w:r>
      <w:r w:rsidRPr="00005251">
        <w:rPr>
          <w:rFonts w:hint="cs"/>
          <w:i/>
          <w:sz w:val="23"/>
          <w:szCs w:val="23"/>
          <w:rtl/>
        </w:rPr>
        <w:t>بینی شده</w:t>
      </w:r>
      <w:r w:rsidRPr="00005251">
        <w:rPr>
          <w:i/>
          <w:sz w:val="23"/>
          <w:szCs w:val="23"/>
          <w:rtl/>
        </w:rPr>
        <w:softHyphen/>
      </w:r>
      <w:r w:rsidRPr="00005251">
        <w:rPr>
          <w:rFonts w:hint="cs"/>
          <w:i/>
          <w:sz w:val="23"/>
          <w:szCs w:val="23"/>
          <w:rtl/>
        </w:rPr>
        <w:t>ی این دو متغیر مصرف</w:t>
      </w:r>
      <w:r w:rsidRPr="00005251">
        <w:rPr>
          <w:i/>
          <w:sz w:val="23"/>
          <w:szCs w:val="23"/>
          <w:rtl/>
        </w:rPr>
        <w:t xml:space="preserve"> </w:t>
      </w:r>
      <w:r w:rsidRPr="00005251">
        <w:rPr>
          <w:rFonts w:hint="cs"/>
          <w:i/>
          <w:sz w:val="23"/>
          <w:szCs w:val="23"/>
          <w:rtl/>
        </w:rPr>
        <w:t>جاری را تحت تأثیر قرار خواهد داد. قبلاً چنین ادعا</w:t>
      </w:r>
      <w:r w:rsidRPr="00005251">
        <w:rPr>
          <w:i/>
          <w:sz w:val="23"/>
          <w:szCs w:val="23"/>
          <w:rtl/>
        </w:rPr>
        <w:t xml:space="preserve"> </w:t>
      </w:r>
      <w:r w:rsidRPr="00005251">
        <w:rPr>
          <w:rFonts w:hint="cs"/>
          <w:i/>
          <w:sz w:val="23"/>
          <w:szCs w:val="23"/>
          <w:rtl/>
        </w:rPr>
        <w:t>شد</w:t>
      </w:r>
      <w:r w:rsidRPr="00005251">
        <w:rPr>
          <w:rFonts w:hint="cs"/>
          <w:i/>
          <w:sz w:val="23"/>
          <w:szCs w:val="23"/>
          <w:vertAlign w:val="superscript"/>
          <w:rtl/>
        </w:rPr>
        <w:t xml:space="preserve"> </w:t>
      </w:r>
      <w:r w:rsidRPr="00005251">
        <w:rPr>
          <w:rFonts w:hint="cs"/>
          <w:i/>
          <w:sz w:val="23"/>
          <w:szCs w:val="23"/>
          <w:rtl/>
        </w:rPr>
        <w:t>که</w:t>
      </w:r>
      <w:r w:rsidRPr="00005251">
        <w:rPr>
          <w:i/>
          <w:sz w:val="23"/>
          <w:szCs w:val="23"/>
          <w:rtl/>
        </w:rPr>
        <w:t xml:space="preserve"> </w:t>
      </w:r>
      <w:r w:rsidRPr="00005251">
        <w:rPr>
          <w:rFonts w:hint="cs"/>
          <w:i/>
          <w:sz w:val="23"/>
          <w:szCs w:val="23"/>
          <w:rtl/>
        </w:rPr>
        <w:t>رابطه</w:t>
      </w:r>
      <w:r w:rsidRPr="00005251">
        <w:rPr>
          <w:i/>
          <w:sz w:val="23"/>
          <w:szCs w:val="23"/>
          <w:rtl/>
        </w:rPr>
        <w:softHyphen/>
      </w:r>
      <w:r w:rsidRPr="00005251">
        <w:rPr>
          <w:rFonts w:hint="cs"/>
          <w:i/>
          <w:sz w:val="23"/>
          <w:szCs w:val="23"/>
          <w:rtl/>
        </w:rPr>
        <w:t>ی (۴. ۱۵)</w:t>
      </w:r>
      <w:r w:rsidRPr="00005251">
        <w:rPr>
          <w:i/>
          <w:sz w:val="23"/>
          <w:szCs w:val="23"/>
          <w:rtl/>
        </w:rPr>
        <w:t xml:space="preserve"> </w:t>
      </w:r>
      <w:r w:rsidRPr="00005251">
        <w:rPr>
          <w:rFonts w:hint="cs"/>
          <w:i/>
          <w:sz w:val="23"/>
          <w:szCs w:val="23"/>
          <w:rtl/>
        </w:rPr>
        <w:t>یک</w:t>
      </w:r>
      <w:r w:rsidRPr="00005251">
        <w:rPr>
          <w:i/>
          <w:sz w:val="23"/>
          <w:szCs w:val="23"/>
          <w:rtl/>
        </w:rPr>
        <w:t xml:space="preserve"> </w:t>
      </w:r>
      <w:r w:rsidRPr="00005251">
        <w:rPr>
          <w:rFonts w:hint="cs"/>
          <w:i/>
          <w:sz w:val="23"/>
          <w:szCs w:val="23"/>
          <w:rtl/>
        </w:rPr>
        <w:t>تابع</w:t>
      </w:r>
      <w:r w:rsidRPr="00005251">
        <w:rPr>
          <w:i/>
          <w:sz w:val="23"/>
          <w:szCs w:val="23"/>
          <w:rtl/>
        </w:rPr>
        <w:t xml:space="preserve"> </w:t>
      </w:r>
      <w:r w:rsidRPr="00005251">
        <w:rPr>
          <w:rFonts w:hint="cs"/>
          <w:i/>
          <w:sz w:val="23"/>
          <w:szCs w:val="23"/>
          <w:rtl/>
        </w:rPr>
        <w:t>مصرف</w:t>
      </w:r>
      <w:r w:rsidRPr="00005251">
        <w:rPr>
          <w:i/>
          <w:sz w:val="23"/>
          <w:szCs w:val="23"/>
          <w:rtl/>
        </w:rPr>
        <w:t xml:space="preserve"> </w:t>
      </w:r>
      <w:r w:rsidRPr="00005251">
        <w:rPr>
          <w:rFonts w:hint="cs"/>
          <w:i/>
          <w:sz w:val="23"/>
          <w:szCs w:val="23"/>
          <w:rtl/>
        </w:rPr>
        <w:t>رقیب</w:t>
      </w:r>
      <w:r w:rsidRPr="00005251">
        <w:rPr>
          <w:i/>
          <w:sz w:val="23"/>
          <w:szCs w:val="23"/>
          <w:rtl/>
        </w:rPr>
        <w:t xml:space="preserve"> </w:t>
      </w:r>
      <w:r w:rsidRPr="00005251">
        <w:rPr>
          <w:rFonts w:hint="cs"/>
          <w:i/>
          <w:sz w:val="23"/>
          <w:szCs w:val="23"/>
          <w:rtl/>
        </w:rPr>
        <w:t>برای</w:t>
      </w:r>
      <w:r w:rsidRPr="00005251">
        <w:rPr>
          <w:i/>
          <w:sz w:val="23"/>
          <w:szCs w:val="23"/>
          <w:rtl/>
        </w:rPr>
        <w:t xml:space="preserve"> </w:t>
      </w:r>
      <w:r w:rsidRPr="00005251">
        <w:rPr>
          <w:rFonts w:hint="cs"/>
          <w:i/>
          <w:sz w:val="23"/>
          <w:szCs w:val="23"/>
          <w:rtl/>
        </w:rPr>
        <w:t>رابطه</w:t>
      </w:r>
      <w:r w:rsidRPr="00005251">
        <w:rPr>
          <w:i/>
          <w:sz w:val="23"/>
          <w:szCs w:val="23"/>
          <w:rtl/>
        </w:rPr>
        <w:softHyphen/>
      </w:r>
      <w:r w:rsidRPr="00005251">
        <w:rPr>
          <w:rFonts w:hint="cs"/>
          <w:i/>
          <w:sz w:val="23"/>
          <w:szCs w:val="23"/>
          <w:rtl/>
        </w:rPr>
        <w:t>ی</w:t>
      </w:r>
      <w:r w:rsidRPr="00005251">
        <w:rPr>
          <w:i/>
          <w:sz w:val="23"/>
          <w:szCs w:val="23"/>
          <w:rtl/>
        </w:rPr>
        <w:t xml:space="preserve"> </w:t>
      </w:r>
      <w:r w:rsidRPr="00005251">
        <w:rPr>
          <w:rFonts w:hint="cs"/>
          <w:i/>
          <w:sz w:val="23"/>
          <w:szCs w:val="23"/>
          <w:rtl/>
        </w:rPr>
        <w:t>(۴. ۱۶)</w:t>
      </w:r>
      <w:r w:rsidRPr="00005251">
        <w:rPr>
          <w:i/>
          <w:sz w:val="23"/>
          <w:szCs w:val="23"/>
          <w:rtl/>
        </w:rPr>
        <w:t xml:space="preserve"> </w:t>
      </w:r>
      <w:r w:rsidRPr="00005251">
        <w:rPr>
          <w:rFonts w:hint="cs"/>
          <w:i/>
          <w:sz w:val="23"/>
          <w:szCs w:val="23"/>
          <w:rtl/>
        </w:rPr>
        <w:t>است</w:t>
      </w:r>
      <w:r w:rsidRPr="00005251">
        <w:rPr>
          <w:i/>
          <w:sz w:val="23"/>
          <w:szCs w:val="23"/>
          <w:rtl/>
        </w:rPr>
        <w:t xml:space="preserve">. </w:t>
      </w:r>
      <w:r w:rsidRPr="00005251">
        <w:rPr>
          <w:rFonts w:hint="cs"/>
          <w:i/>
          <w:sz w:val="23"/>
          <w:szCs w:val="23"/>
          <w:rtl/>
        </w:rPr>
        <w:t>در رابطه</w:t>
      </w:r>
      <w:r w:rsidRPr="00005251">
        <w:rPr>
          <w:i/>
          <w:sz w:val="23"/>
          <w:szCs w:val="23"/>
          <w:rtl/>
        </w:rPr>
        <w:softHyphen/>
      </w:r>
      <w:r w:rsidRPr="00005251">
        <w:rPr>
          <w:rFonts w:hint="cs"/>
          <w:i/>
          <w:sz w:val="23"/>
          <w:szCs w:val="23"/>
          <w:rtl/>
        </w:rPr>
        <w:t>ی</w:t>
      </w:r>
      <w:r w:rsidRPr="00005251">
        <w:rPr>
          <w:i/>
          <w:sz w:val="23"/>
          <w:szCs w:val="23"/>
          <w:rtl/>
        </w:rPr>
        <w:t xml:space="preserve"> </w:t>
      </w:r>
      <w:r w:rsidRPr="00005251">
        <w:rPr>
          <w:rFonts w:hint="cs"/>
          <w:i/>
          <w:sz w:val="23"/>
          <w:szCs w:val="23"/>
          <w:rtl/>
        </w:rPr>
        <w:t>(۴. ۱۵)</w:t>
      </w:r>
      <w:r w:rsidRPr="00005251">
        <w:rPr>
          <w:rFonts w:eastAsiaTheme="minorEastAsia" w:hint="cs"/>
          <w:i/>
          <w:sz w:val="23"/>
          <w:szCs w:val="23"/>
          <w:rtl/>
          <w:lang w:val="en-GB"/>
        </w:rPr>
        <w:t xml:space="preserve"> </w:t>
      </w:r>
      <w:r w:rsidRPr="00005251">
        <w:rPr>
          <w:rFonts w:hint="cs"/>
          <w:i/>
          <w:sz w:val="23"/>
          <w:szCs w:val="23"/>
          <w:rtl/>
        </w:rPr>
        <w:t>تغییرات مصرف</w:t>
      </w:r>
      <w:r w:rsidRPr="00005251">
        <w:rPr>
          <w:i/>
          <w:sz w:val="23"/>
          <w:szCs w:val="23"/>
          <w:rtl/>
        </w:rPr>
        <w:t xml:space="preserve"> </w:t>
      </w:r>
      <w:r w:rsidRPr="00005251">
        <w:rPr>
          <w:rFonts w:hint="cs"/>
          <w:i/>
          <w:sz w:val="23"/>
          <w:szCs w:val="23"/>
          <w:rtl/>
        </w:rPr>
        <w:t xml:space="preserve">متأثر از </w:t>
      </w:r>
      <w:r w:rsidRPr="00005251">
        <w:rPr>
          <w:rFonts w:hint="cs"/>
          <w:i/>
          <w:sz w:val="23"/>
          <w:szCs w:val="23"/>
          <w:rtl/>
        </w:rPr>
        <w:lastRenderedPageBreak/>
        <w:t>تغییرات درآمد نیست</w:t>
      </w:r>
      <w:r w:rsidRPr="00005251">
        <w:rPr>
          <w:i/>
          <w:sz w:val="23"/>
          <w:szCs w:val="23"/>
          <w:rtl/>
        </w:rPr>
        <w:t xml:space="preserve">. </w:t>
      </w:r>
      <w:r w:rsidRPr="00005251">
        <w:rPr>
          <w:rFonts w:hint="cs"/>
          <w:i/>
          <w:sz w:val="23"/>
          <w:szCs w:val="23"/>
          <w:rtl/>
        </w:rPr>
        <w:t>برای</w:t>
      </w:r>
      <w:r w:rsidRPr="00005251">
        <w:rPr>
          <w:i/>
          <w:sz w:val="23"/>
          <w:szCs w:val="23"/>
          <w:rtl/>
        </w:rPr>
        <w:t xml:space="preserve"> </w:t>
      </w:r>
      <w:r w:rsidRPr="00005251">
        <w:rPr>
          <w:rFonts w:hint="cs"/>
          <w:i/>
          <w:sz w:val="23"/>
          <w:szCs w:val="23"/>
          <w:rtl/>
        </w:rPr>
        <w:t>مثال،</w:t>
      </w:r>
      <w:r w:rsidRPr="00005251">
        <w:rPr>
          <w:i/>
          <w:sz w:val="23"/>
          <w:szCs w:val="23"/>
          <w:rtl/>
        </w:rPr>
        <w:t xml:space="preserve"> </w:t>
      </w:r>
      <w:r w:rsidRPr="00005251">
        <w:rPr>
          <w:rFonts w:hint="cs"/>
          <w:i/>
          <w:sz w:val="23"/>
          <w:szCs w:val="23"/>
          <w:rtl/>
        </w:rPr>
        <w:t xml:space="preserve">اگر فرض کنیم در بلندمدت </w:t>
      </w:r>
      <w:r w:rsidRPr="00005251">
        <w:rPr>
          <w:position w:val="-10"/>
        </w:rPr>
        <w:object w:dxaOrig="999" w:dyaOrig="320" w14:anchorId="4DE74296">
          <v:shape id="_x0000_i2191" type="#_x0000_t75" style="width:50.2pt;height:16.35pt" o:ole="">
            <v:imagedata r:id="rId2367" o:title=""/>
          </v:shape>
          <o:OLEObject Type="Embed" ProgID="Equation.DSMT4" ShapeID="_x0000_i2191" DrawAspect="Content" ObjectID="_1791376135" r:id="rId2368"/>
        </w:object>
      </w:r>
      <w:r w:rsidRPr="00005251">
        <w:rPr>
          <w:rFonts w:eastAsiaTheme="minorEastAsia" w:hint="cs"/>
          <w:i/>
          <w:sz w:val="23"/>
          <w:szCs w:val="23"/>
          <w:rtl/>
        </w:rPr>
        <w:t xml:space="preserve"> است</w:t>
      </w:r>
      <w:r w:rsidRPr="00005251">
        <w:rPr>
          <w:rFonts w:hint="cs"/>
          <w:i/>
          <w:sz w:val="23"/>
          <w:szCs w:val="23"/>
          <w:rtl/>
        </w:rPr>
        <w:t>،</w:t>
      </w:r>
      <w:r w:rsidRPr="00005251">
        <w:rPr>
          <w:i/>
          <w:sz w:val="23"/>
          <w:szCs w:val="23"/>
          <w:rtl/>
        </w:rPr>
        <w:t xml:space="preserve"> </w:t>
      </w:r>
      <w:r w:rsidRPr="00005251">
        <w:rPr>
          <w:rFonts w:hint="cs"/>
          <w:i/>
          <w:sz w:val="23"/>
          <w:szCs w:val="23"/>
          <w:rtl/>
        </w:rPr>
        <w:t>آنگاه</w:t>
      </w:r>
      <w:r w:rsidRPr="00005251">
        <w:rPr>
          <w:i/>
          <w:sz w:val="23"/>
          <w:szCs w:val="23"/>
          <w:rtl/>
        </w:rPr>
        <w:t xml:space="preserve"> </w:t>
      </w:r>
      <w:r w:rsidRPr="00005251">
        <w:rPr>
          <w:rFonts w:hint="cs"/>
          <w:i/>
          <w:sz w:val="23"/>
          <w:szCs w:val="23"/>
          <w:rtl/>
        </w:rPr>
        <w:t>رابطه</w:t>
      </w:r>
      <w:r w:rsidRPr="00005251">
        <w:rPr>
          <w:i/>
          <w:sz w:val="23"/>
          <w:szCs w:val="23"/>
          <w:rtl/>
        </w:rPr>
        <w:softHyphen/>
      </w:r>
      <w:r w:rsidRPr="00005251">
        <w:rPr>
          <w:rFonts w:hint="cs"/>
          <w:i/>
          <w:sz w:val="23"/>
          <w:szCs w:val="23"/>
          <w:rtl/>
        </w:rPr>
        <w:t>ی</w:t>
      </w:r>
      <w:r w:rsidRPr="00005251">
        <w:rPr>
          <w:i/>
          <w:sz w:val="23"/>
          <w:szCs w:val="23"/>
          <w:rtl/>
        </w:rPr>
        <w:t xml:space="preserve"> </w:t>
      </w:r>
      <w:r w:rsidRPr="00005251">
        <w:rPr>
          <w:rFonts w:hint="cs"/>
          <w:i/>
          <w:sz w:val="23"/>
          <w:szCs w:val="23"/>
          <w:rtl/>
        </w:rPr>
        <w:t>(۴. ۱۵)</w:t>
      </w:r>
      <w:r w:rsidRPr="00005251">
        <w:rPr>
          <w:rFonts w:eastAsiaTheme="minorEastAsia" w:hint="cs"/>
          <w:i/>
          <w:sz w:val="23"/>
          <w:szCs w:val="23"/>
          <w:rtl/>
          <w:lang w:val="en-GB"/>
        </w:rPr>
        <w:t xml:space="preserve"> </w:t>
      </w:r>
      <w:r w:rsidRPr="00005251">
        <w:rPr>
          <w:rFonts w:hint="cs"/>
          <w:i/>
          <w:sz w:val="23"/>
          <w:szCs w:val="23"/>
          <w:rtl/>
        </w:rPr>
        <w:t>ایجاب می</w:t>
      </w:r>
      <w:r w:rsidRPr="00005251">
        <w:rPr>
          <w:i/>
          <w:sz w:val="23"/>
          <w:szCs w:val="23"/>
          <w:rtl/>
        </w:rPr>
        <w:softHyphen/>
      </w:r>
      <w:r w:rsidRPr="00005251">
        <w:rPr>
          <w:rFonts w:hint="cs"/>
          <w:i/>
          <w:sz w:val="23"/>
          <w:szCs w:val="23"/>
          <w:rtl/>
        </w:rPr>
        <w:t>کند</w:t>
      </w:r>
      <w:r w:rsidRPr="00005251">
        <w:rPr>
          <w:i/>
          <w:sz w:val="23"/>
          <w:szCs w:val="23"/>
          <w:rtl/>
        </w:rPr>
        <w:t xml:space="preserve"> </w:t>
      </w:r>
      <w:r w:rsidRPr="00005251">
        <w:rPr>
          <w:rFonts w:hint="cs"/>
          <w:i/>
          <w:sz w:val="23"/>
          <w:szCs w:val="23"/>
          <w:rtl/>
        </w:rPr>
        <w:t>که</w:t>
      </w:r>
    </w:p>
    <w:p w14:paraId="3898061B" w14:textId="77777777" w:rsidR="00411620" w:rsidRPr="00005251" w:rsidRDefault="00411620" w:rsidP="00411620">
      <w:pPr>
        <w:bidi w:val="0"/>
        <w:spacing w:line="216" w:lineRule="auto"/>
        <w:rPr>
          <w:i/>
          <w:sz w:val="23"/>
          <w:szCs w:val="23"/>
          <w:rtl/>
        </w:rPr>
      </w:pPr>
      <w:r w:rsidRPr="00005251">
        <w:rPr>
          <w:rFonts w:hint="cs"/>
          <w:i/>
          <w:sz w:val="23"/>
          <w:szCs w:val="23"/>
          <w:rtl/>
        </w:rPr>
        <w:t xml:space="preserve"> </w:t>
      </w:r>
      <w:r w:rsidRPr="00005251">
        <w:rPr>
          <w:position w:val="-10"/>
        </w:rPr>
        <w:object w:dxaOrig="720" w:dyaOrig="320" w14:anchorId="3BF25766">
          <v:shape id="_x0000_i2192" type="#_x0000_t75" style="width:36.3pt;height:16.35pt" o:ole="">
            <v:imagedata r:id="rId2369" o:title=""/>
          </v:shape>
          <o:OLEObject Type="Embed" ProgID="Equation.DSMT4" ShapeID="_x0000_i2192" DrawAspect="Content" ObjectID="_1791376136" r:id="rId2370"/>
        </w:object>
      </w:r>
      <w:r w:rsidRPr="00005251">
        <w:rPr>
          <w:rFonts w:eastAsiaTheme="minorEastAsia"/>
          <w:i/>
          <w:sz w:val="23"/>
          <w:szCs w:val="23"/>
        </w:rPr>
        <w:t xml:space="preserve"> </w:t>
      </w:r>
      <w:r w:rsidRPr="00005251">
        <w:rPr>
          <w:rFonts w:eastAsiaTheme="minorEastAsia"/>
          <w:i/>
          <w:sz w:val="23"/>
          <w:szCs w:val="23"/>
          <w:rtl/>
        </w:rPr>
        <w:tab/>
      </w:r>
      <w:r w:rsidRPr="00005251">
        <w:rPr>
          <w:rFonts w:eastAsiaTheme="minorEastAsia"/>
          <w:i/>
          <w:sz w:val="23"/>
          <w:szCs w:val="23"/>
          <w:rtl/>
        </w:rPr>
        <w:tab/>
      </w:r>
      <w:r w:rsidRPr="00005251">
        <w:rPr>
          <w:rFonts w:eastAsiaTheme="minorEastAsia"/>
          <w:i/>
          <w:sz w:val="23"/>
          <w:szCs w:val="23"/>
          <w:rtl/>
        </w:rPr>
        <w:tab/>
      </w:r>
      <w:r w:rsidRPr="00005251">
        <w:rPr>
          <w:rFonts w:eastAsiaTheme="minorEastAsia"/>
          <w:i/>
          <w:sz w:val="23"/>
          <w:szCs w:val="23"/>
          <w:rtl/>
        </w:rPr>
        <w:tab/>
      </w:r>
      <w:r w:rsidRPr="00005251">
        <w:rPr>
          <w:rFonts w:eastAsiaTheme="minorEastAsia"/>
          <w:i/>
          <w:sz w:val="23"/>
          <w:szCs w:val="23"/>
          <w:rtl/>
        </w:rPr>
        <w:tab/>
      </w:r>
      <w:r w:rsidRPr="00005251">
        <w:rPr>
          <w:rFonts w:eastAsiaTheme="minorEastAsia"/>
          <w:i/>
          <w:sz w:val="23"/>
          <w:szCs w:val="23"/>
          <w:rtl/>
        </w:rPr>
        <w:tab/>
      </w:r>
      <w:r w:rsidRPr="00005251">
        <w:rPr>
          <w:rFonts w:eastAsiaTheme="minorEastAsia"/>
          <w:i/>
          <w:sz w:val="23"/>
          <w:szCs w:val="23"/>
        </w:rPr>
        <w:tab/>
      </w:r>
      <w:r w:rsidRPr="00005251">
        <w:rPr>
          <w:rFonts w:eastAsiaTheme="minorEastAsia"/>
          <w:i/>
          <w:sz w:val="23"/>
          <w:szCs w:val="23"/>
        </w:rPr>
        <w:tab/>
      </w:r>
      <w:r w:rsidRPr="00005251">
        <w:rPr>
          <w:rFonts w:eastAsiaTheme="minorEastAsia"/>
          <w:i/>
          <w:sz w:val="23"/>
          <w:szCs w:val="23"/>
        </w:rPr>
        <w:tab/>
      </w:r>
      <w:r w:rsidRPr="00005251">
        <w:rPr>
          <w:rFonts w:eastAsiaTheme="minorEastAsia"/>
          <w:i/>
          <w:sz w:val="23"/>
          <w:szCs w:val="23"/>
        </w:rPr>
        <w:tab/>
      </w:r>
      <w:r>
        <w:rPr>
          <w:rFonts w:eastAsiaTheme="minorEastAsia"/>
          <w:i/>
          <w:sz w:val="23"/>
          <w:szCs w:val="23"/>
          <w:rtl/>
        </w:rPr>
        <w:tab/>
      </w:r>
      <w:r>
        <w:rPr>
          <w:rFonts w:eastAsiaTheme="minorEastAsia"/>
          <w:i/>
          <w:sz w:val="23"/>
          <w:szCs w:val="23"/>
          <w:rtl/>
        </w:rPr>
        <w:tab/>
      </w:r>
      <w:r w:rsidRPr="00005251">
        <w:rPr>
          <w:rFonts w:eastAsiaTheme="minorEastAsia"/>
          <w:i/>
          <w:sz w:val="23"/>
          <w:szCs w:val="23"/>
        </w:rPr>
        <w:tab/>
      </w:r>
      <w:r w:rsidRPr="00005251">
        <w:rPr>
          <w:rFonts w:eastAsiaTheme="minorEastAsia"/>
          <w:i/>
          <w:sz w:val="23"/>
          <w:szCs w:val="23"/>
        </w:rPr>
        <w:tab/>
      </w:r>
      <w:r w:rsidRPr="00005251">
        <w:rPr>
          <w:rFonts w:eastAsiaTheme="minorEastAsia"/>
          <w:i/>
          <w:sz w:val="23"/>
          <w:szCs w:val="23"/>
        </w:rPr>
        <w:tab/>
      </w:r>
      <w:r w:rsidRPr="00005251">
        <w:rPr>
          <w:rFonts w:eastAsiaTheme="minorEastAsia"/>
          <w:i/>
          <w:sz w:val="23"/>
          <w:szCs w:val="23"/>
        </w:rPr>
        <w:tab/>
      </w:r>
      <w:r w:rsidRPr="00005251">
        <w:rPr>
          <w:rFonts w:eastAsiaTheme="minorEastAsia"/>
          <w:i/>
          <w:sz w:val="23"/>
          <w:szCs w:val="23"/>
        </w:rPr>
        <w:tab/>
      </w:r>
      <w:r w:rsidRPr="00005251">
        <w:rPr>
          <w:rFonts w:eastAsiaTheme="minorEastAsia"/>
          <w:i/>
          <w:sz w:val="23"/>
          <w:szCs w:val="23"/>
          <w:rtl/>
        </w:rPr>
        <w:tab/>
      </w:r>
      <w:r w:rsidRPr="00005251">
        <w:rPr>
          <w:rFonts w:eastAsiaTheme="minorEastAsia"/>
          <w:i/>
          <w:sz w:val="23"/>
          <w:szCs w:val="23"/>
          <w:rtl/>
        </w:rPr>
        <w:tab/>
      </w:r>
      <w:r w:rsidRPr="00005251">
        <w:rPr>
          <w:rFonts w:eastAsiaTheme="minorEastAsia" w:hint="cs"/>
          <w:i/>
          <w:sz w:val="23"/>
          <w:szCs w:val="23"/>
          <w:rtl/>
        </w:rPr>
        <w:t>(۴. ۱۸)</w:t>
      </w:r>
    </w:p>
    <w:p w14:paraId="3B2F0C75" w14:textId="77777777" w:rsidR="00411620" w:rsidRPr="00005251" w:rsidRDefault="00411620" w:rsidP="00411620">
      <w:pPr>
        <w:spacing w:line="216" w:lineRule="auto"/>
        <w:rPr>
          <w:i/>
          <w:sz w:val="23"/>
          <w:szCs w:val="23"/>
          <w:rtl/>
        </w:rPr>
      </w:pPr>
      <w:r w:rsidRPr="00005251">
        <w:rPr>
          <w:rFonts w:hint="cs"/>
          <w:i/>
          <w:sz w:val="23"/>
          <w:szCs w:val="23"/>
          <w:rtl/>
        </w:rPr>
        <w:t>که</w:t>
      </w:r>
      <w:r w:rsidRPr="00005251">
        <w:rPr>
          <w:i/>
          <w:sz w:val="23"/>
          <w:szCs w:val="23"/>
        </w:rPr>
        <w:t xml:space="preserve"> </w:t>
      </w:r>
      <w:r w:rsidRPr="00005251">
        <w:rPr>
          <w:rFonts w:hint="cs"/>
          <w:i/>
          <w:sz w:val="23"/>
          <w:szCs w:val="23"/>
          <w:rtl/>
        </w:rPr>
        <w:t>در آن درآمد</w:t>
      </w:r>
      <w:r w:rsidRPr="00005251">
        <w:rPr>
          <w:i/>
          <w:sz w:val="23"/>
          <w:szCs w:val="23"/>
          <w:rtl/>
        </w:rPr>
        <w:t xml:space="preserve"> </w:t>
      </w:r>
      <w:r w:rsidRPr="00005251">
        <w:rPr>
          <w:rFonts w:hint="cs"/>
          <w:i/>
          <w:sz w:val="23"/>
          <w:szCs w:val="23"/>
          <w:rtl/>
        </w:rPr>
        <w:t>صریحاً وارد مدل نشده و</w:t>
      </w:r>
      <w:r w:rsidRPr="00005251">
        <w:rPr>
          <w:position w:val="-10"/>
        </w:rPr>
        <w:object w:dxaOrig="380" w:dyaOrig="320" w14:anchorId="5B0FB4E7">
          <v:shape id="_x0000_i2193" type="#_x0000_t75" style="width:18.75pt;height:16.35pt" o:ole="">
            <v:imagedata r:id="rId2371" o:title=""/>
          </v:shape>
          <o:OLEObject Type="Embed" ProgID="Equation.DSMT4" ShapeID="_x0000_i2193" DrawAspect="Content" ObjectID="_1791376137" r:id="rId2372"/>
        </w:object>
      </w:r>
      <w:r w:rsidRPr="00005251">
        <w:rPr>
          <w:i/>
          <w:sz w:val="23"/>
          <w:szCs w:val="23"/>
          <w:rtl/>
        </w:rPr>
        <w:t xml:space="preserve"> </w:t>
      </w:r>
      <w:r w:rsidRPr="00005251">
        <w:rPr>
          <w:rFonts w:hint="cs"/>
          <w:i/>
          <w:sz w:val="23"/>
          <w:szCs w:val="23"/>
          <w:rtl/>
        </w:rPr>
        <w:t>تنها</w:t>
      </w:r>
      <w:r w:rsidRPr="00005251">
        <w:rPr>
          <w:i/>
          <w:sz w:val="23"/>
          <w:szCs w:val="23"/>
          <w:rtl/>
        </w:rPr>
        <w:t xml:space="preserve"> </w:t>
      </w:r>
      <w:r w:rsidRPr="00005251">
        <w:rPr>
          <w:rFonts w:hint="cs"/>
          <w:i/>
          <w:sz w:val="23"/>
          <w:szCs w:val="23"/>
          <w:rtl/>
        </w:rPr>
        <w:t>به</w:t>
      </w:r>
      <w:r w:rsidRPr="00005251">
        <w:rPr>
          <w:position w:val="-10"/>
        </w:rPr>
        <w:object w:dxaOrig="200" w:dyaOrig="320" w14:anchorId="049BDB63">
          <v:shape id="_x0000_i2194" type="#_x0000_t75" style="width:10.3pt;height:16.35pt" o:ole="">
            <v:imagedata r:id="rId2373" o:title=""/>
          </v:shape>
          <o:OLEObject Type="Embed" ProgID="Equation.DSMT4" ShapeID="_x0000_i2194" DrawAspect="Content" ObjectID="_1791376138" r:id="rId2374"/>
        </w:object>
      </w:r>
      <w:r w:rsidRPr="00005251">
        <w:rPr>
          <w:i/>
          <w:sz w:val="23"/>
          <w:szCs w:val="23"/>
          <w:rtl/>
        </w:rPr>
        <w:t xml:space="preserve"> </w:t>
      </w:r>
      <w:r w:rsidRPr="00005251">
        <w:rPr>
          <w:rFonts w:hint="cs"/>
          <w:i/>
          <w:sz w:val="23"/>
          <w:szCs w:val="23"/>
          <w:rtl/>
        </w:rPr>
        <w:t>وابسته است. برای</w:t>
      </w:r>
      <w:r w:rsidRPr="00005251">
        <w:rPr>
          <w:i/>
          <w:sz w:val="23"/>
          <w:szCs w:val="23"/>
          <w:rtl/>
        </w:rPr>
        <w:t xml:space="preserve"> </w:t>
      </w:r>
      <w:r w:rsidRPr="00005251">
        <w:rPr>
          <w:rFonts w:hint="cs"/>
          <w:i/>
          <w:sz w:val="23"/>
          <w:szCs w:val="23"/>
          <w:rtl/>
        </w:rPr>
        <w:t>فهم این</w:t>
      </w:r>
      <w:r w:rsidRPr="00005251">
        <w:rPr>
          <w:i/>
          <w:sz w:val="23"/>
          <w:szCs w:val="23"/>
          <w:rtl/>
        </w:rPr>
        <w:softHyphen/>
      </w:r>
      <w:r w:rsidRPr="00005251">
        <w:rPr>
          <w:rFonts w:hint="cs"/>
          <w:i/>
          <w:sz w:val="23"/>
          <w:szCs w:val="23"/>
          <w:rtl/>
        </w:rPr>
        <w:t>که</w:t>
      </w:r>
      <w:r w:rsidRPr="00005251">
        <w:rPr>
          <w:i/>
          <w:sz w:val="23"/>
          <w:szCs w:val="23"/>
          <w:rtl/>
        </w:rPr>
        <w:t xml:space="preserve"> </w:t>
      </w:r>
      <w:r w:rsidRPr="00005251">
        <w:rPr>
          <w:rFonts w:hint="cs"/>
          <w:i/>
          <w:sz w:val="23"/>
          <w:szCs w:val="23"/>
          <w:rtl/>
        </w:rPr>
        <w:t>چرا</w:t>
      </w:r>
      <w:r w:rsidRPr="00005251">
        <w:rPr>
          <w:i/>
          <w:sz w:val="23"/>
          <w:szCs w:val="23"/>
          <w:rtl/>
        </w:rPr>
        <w:t xml:space="preserve"> </w:t>
      </w:r>
      <w:r w:rsidRPr="00005251">
        <w:rPr>
          <w:rFonts w:hint="cs"/>
          <w:i/>
          <w:sz w:val="23"/>
          <w:szCs w:val="23"/>
          <w:rtl/>
        </w:rPr>
        <w:t>نتیجه</w:t>
      </w:r>
      <w:r w:rsidRPr="00005251">
        <w:rPr>
          <w:i/>
          <w:sz w:val="23"/>
          <w:szCs w:val="23"/>
          <w:rtl/>
        </w:rPr>
        <w:softHyphen/>
      </w:r>
      <w:r w:rsidRPr="00005251">
        <w:rPr>
          <w:rFonts w:hint="cs"/>
          <w:i/>
          <w:sz w:val="23"/>
          <w:szCs w:val="23"/>
          <w:rtl/>
        </w:rPr>
        <w:t>ی فوق نادرست</w:t>
      </w:r>
      <w:r w:rsidRPr="00005251">
        <w:rPr>
          <w:i/>
          <w:sz w:val="23"/>
          <w:szCs w:val="23"/>
          <w:rtl/>
        </w:rPr>
        <w:t xml:space="preserve"> </w:t>
      </w:r>
      <w:r w:rsidRPr="00005251">
        <w:rPr>
          <w:rFonts w:hint="cs"/>
          <w:i/>
          <w:sz w:val="23"/>
          <w:szCs w:val="23"/>
          <w:rtl/>
        </w:rPr>
        <w:t>است اثر افزایش دائمی</w:t>
      </w:r>
      <w:r w:rsidRPr="00005251">
        <w:rPr>
          <w:i/>
          <w:sz w:val="23"/>
          <w:szCs w:val="23"/>
          <w:rtl/>
        </w:rPr>
        <w:t xml:space="preserve"> </w:t>
      </w:r>
      <w:r w:rsidRPr="00005251">
        <w:rPr>
          <w:rFonts w:hint="cs"/>
          <w:i/>
          <w:sz w:val="23"/>
          <w:szCs w:val="23"/>
          <w:rtl/>
        </w:rPr>
        <w:t>اما</w:t>
      </w:r>
      <w:r w:rsidRPr="00005251">
        <w:rPr>
          <w:i/>
          <w:sz w:val="23"/>
          <w:szCs w:val="23"/>
          <w:rtl/>
        </w:rPr>
        <w:t xml:space="preserve"> </w:t>
      </w:r>
      <w:r w:rsidRPr="00005251">
        <w:rPr>
          <w:rFonts w:hint="cs"/>
          <w:i/>
          <w:sz w:val="23"/>
          <w:szCs w:val="23"/>
          <w:rtl/>
        </w:rPr>
        <w:t>پیش</w:t>
      </w:r>
      <w:r w:rsidRPr="00005251">
        <w:rPr>
          <w:i/>
          <w:sz w:val="23"/>
          <w:szCs w:val="23"/>
          <w:rtl/>
        </w:rPr>
        <w:softHyphen/>
      </w:r>
      <w:r w:rsidRPr="00005251">
        <w:rPr>
          <w:rFonts w:hint="cs"/>
          <w:i/>
          <w:sz w:val="23"/>
          <w:szCs w:val="23"/>
          <w:rtl/>
        </w:rPr>
        <w:t>بینی</w:t>
      </w:r>
      <w:r w:rsidRPr="00005251">
        <w:rPr>
          <w:i/>
          <w:sz w:val="23"/>
          <w:szCs w:val="23"/>
          <w:rtl/>
        </w:rPr>
        <w:t xml:space="preserve"> </w:t>
      </w:r>
      <w:r w:rsidRPr="00005251">
        <w:rPr>
          <w:rFonts w:hint="cs"/>
          <w:i/>
          <w:sz w:val="23"/>
          <w:szCs w:val="23"/>
          <w:rtl/>
        </w:rPr>
        <w:t>نشده</w:t>
      </w:r>
      <w:r w:rsidRPr="00005251">
        <w:rPr>
          <w:i/>
          <w:sz w:val="23"/>
          <w:szCs w:val="23"/>
          <w:rtl/>
        </w:rPr>
        <w:softHyphen/>
      </w:r>
      <w:r w:rsidRPr="00005251">
        <w:rPr>
          <w:rFonts w:hint="cs"/>
          <w:i/>
          <w:sz w:val="23"/>
          <w:szCs w:val="23"/>
          <w:rtl/>
        </w:rPr>
        <w:t>ی درآمد در</w:t>
      </w:r>
      <w:r w:rsidRPr="00005251">
        <w:rPr>
          <w:i/>
          <w:sz w:val="23"/>
          <w:szCs w:val="23"/>
          <w:rtl/>
        </w:rPr>
        <w:t xml:space="preserve"> </w:t>
      </w:r>
      <w:r w:rsidRPr="00005251">
        <w:rPr>
          <w:rFonts w:hint="cs"/>
          <w:i/>
          <w:sz w:val="23"/>
          <w:szCs w:val="23"/>
          <w:rtl/>
        </w:rPr>
        <w:t>زمان</w:t>
      </w:r>
      <w:r w:rsidRPr="00005251">
        <w:rPr>
          <w:position w:val="-6"/>
        </w:rPr>
        <w:object w:dxaOrig="440" w:dyaOrig="260" w14:anchorId="6A3C13CB">
          <v:shape id="_x0000_i2195" type="#_x0000_t75" style="width:21.8pt;height:12.7pt" o:ole="">
            <v:imagedata r:id="rId2375" o:title=""/>
          </v:shape>
          <o:OLEObject Type="Embed" ProgID="Equation.DSMT4" ShapeID="_x0000_i2195" DrawAspect="Content" ObjectID="_1791376139" r:id="rId2376"/>
        </w:object>
      </w:r>
      <w:r w:rsidRPr="00005251">
        <w:rPr>
          <w:rFonts w:hint="cs"/>
          <w:i/>
          <w:sz w:val="23"/>
          <w:szCs w:val="23"/>
          <w:rtl/>
        </w:rPr>
        <w:t xml:space="preserve"> یعنی افزایش </w:t>
      </w:r>
      <w:r w:rsidRPr="00005251">
        <w:rPr>
          <w:position w:val="-10"/>
        </w:rPr>
        <w:object w:dxaOrig="680" w:dyaOrig="320" w14:anchorId="1DD040BE">
          <v:shape id="_x0000_i2196" type="#_x0000_t75" style="width:33.9pt;height:16.35pt" o:ole="">
            <v:imagedata r:id="rId2377" o:title=""/>
          </v:shape>
          <o:OLEObject Type="Embed" ProgID="Equation.DSMT4" ShapeID="_x0000_i2196" DrawAspect="Content" ObjectID="_1791376140" r:id="rId2378"/>
        </w:object>
      </w:r>
      <w:r w:rsidRPr="00005251">
        <w:rPr>
          <w:rFonts w:hint="cs"/>
          <w:i/>
          <w:sz w:val="23"/>
          <w:szCs w:val="23"/>
          <w:rtl/>
        </w:rPr>
        <w:t>،</w:t>
      </w:r>
      <w:r w:rsidRPr="00005251">
        <w:rPr>
          <w:i/>
          <w:sz w:val="23"/>
          <w:szCs w:val="23"/>
          <w:rtl/>
        </w:rPr>
        <w:t xml:space="preserve"> </w:t>
      </w:r>
      <w:r w:rsidRPr="00005251">
        <w:rPr>
          <w:position w:val="-10"/>
        </w:rPr>
        <w:object w:dxaOrig="400" w:dyaOrig="320" w14:anchorId="59508560">
          <v:shape id="_x0000_i2197" type="#_x0000_t75" style="width:19.95pt;height:16.35pt" o:ole="">
            <v:imagedata r:id="rId2379" o:title=""/>
          </v:shape>
          <o:OLEObject Type="Embed" ProgID="Equation.DSMT4" ShapeID="_x0000_i2197" DrawAspect="Content" ObjectID="_1791376141" r:id="rId2380"/>
        </w:object>
      </w:r>
      <w:r w:rsidRPr="00005251">
        <w:rPr>
          <w:rFonts w:eastAsiaTheme="minorEastAsia" w:hint="cs"/>
          <w:i/>
          <w:sz w:val="23"/>
          <w:szCs w:val="23"/>
          <w:rtl/>
        </w:rPr>
        <w:t xml:space="preserve"> </w:t>
      </w:r>
      <w:r w:rsidRPr="00005251">
        <w:rPr>
          <w:rFonts w:hint="cs"/>
          <w:i/>
          <w:sz w:val="23"/>
          <w:szCs w:val="23"/>
          <w:rtl/>
        </w:rPr>
        <w:t>بر مصرف در زمان</w:t>
      </w:r>
      <w:r w:rsidRPr="00005251">
        <w:rPr>
          <w:position w:val="-6"/>
        </w:rPr>
        <w:object w:dxaOrig="139" w:dyaOrig="240" w14:anchorId="0119913D">
          <v:shape id="_x0000_i2198" type="#_x0000_t75" style="width:7.25pt;height:11.5pt" o:ole="">
            <v:imagedata r:id="rId2381" o:title=""/>
          </v:shape>
          <o:OLEObject Type="Embed" ProgID="Equation.DSMT4" ShapeID="_x0000_i2198" DrawAspect="Content" ObjectID="_1791376142" r:id="rId2382"/>
        </w:object>
      </w:r>
      <w:r w:rsidRPr="00005251">
        <w:rPr>
          <w:rFonts w:hint="cs"/>
          <w:i/>
          <w:sz w:val="23"/>
          <w:szCs w:val="23"/>
          <w:rtl/>
          <w:lang w:val="en-GB"/>
        </w:rPr>
        <w:t xml:space="preserve"> را بررسی می</w:t>
      </w:r>
      <w:r w:rsidRPr="00005251">
        <w:rPr>
          <w:i/>
          <w:sz w:val="23"/>
          <w:szCs w:val="23"/>
          <w:rtl/>
          <w:lang w:val="en-GB"/>
        </w:rPr>
        <w:softHyphen/>
      </w:r>
      <w:r w:rsidRPr="00005251">
        <w:rPr>
          <w:rFonts w:hint="cs"/>
          <w:i/>
          <w:sz w:val="23"/>
          <w:szCs w:val="23"/>
          <w:rtl/>
          <w:lang w:val="en-GB"/>
        </w:rPr>
        <w:t>کنیم.</w:t>
      </w:r>
      <w:r w:rsidRPr="00005251">
        <w:rPr>
          <w:rFonts w:hint="cs"/>
          <w:i/>
          <w:sz w:val="23"/>
          <w:szCs w:val="23"/>
          <w:rtl/>
        </w:rPr>
        <w:t xml:space="preserve"> از</w:t>
      </w:r>
      <w:r w:rsidRPr="00005251">
        <w:rPr>
          <w:i/>
          <w:sz w:val="23"/>
          <w:szCs w:val="23"/>
          <w:rtl/>
        </w:rPr>
        <w:t xml:space="preserve"> </w:t>
      </w:r>
      <w:r w:rsidRPr="00005251">
        <w:rPr>
          <w:rFonts w:hint="cs"/>
          <w:i/>
          <w:sz w:val="23"/>
          <w:szCs w:val="23"/>
          <w:rtl/>
        </w:rPr>
        <w:t>رابطه</w:t>
      </w:r>
      <w:r w:rsidRPr="00005251">
        <w:rPr>
          <w:i/>
          <w:sz w:val="23"/>
          <w:szCs w:val="23"/>
          <w:rtl/>
        </w:rPr>
        <w:softHyphen/>
      </w:r>
      <w:r w:rsidRPr="00005251">
        <w:rPr>
          <w:rFonts w:hint="cs"/>
          <w:i/>
          <w:sz w:val="23"/>
          <w:szCs w:val="23"/>
          <w:rtl/>
        </w:rPr>
        <w:t>ی</w:t>
      </w:r>
      <w:r w:rsidRPr="00005251">
        <w:rPr>
          <w:i/>
          <w:sz w:val="23"/>
          <w:szCs w:val="23"/>
          <w:rtl/>
        </w:rPr>
        <w:t xml:space="preserve"> </w:t>
      </w:r>
      <w:r w:rsidRPr="00005251">
        <w:rPr>
          <w:rFonts w:hint="cs"/>
          <w:i/>
          <w:sz w:val="23"/>
          <w:szCs w:val="23"/>
          <w:rtl/>
        </w:rPr>
        <w:t>(۴. ۱۷)</w:t>
      </w:r>
      <w:r w:rsidRPr="00005251">
        <w:rPr>
          <w:i/>
          <w:sz w:val="23"/>
          <w:szCs w:val="23"/>
          <w:rtl/>
        </w:rPr>
        <w:t xml:space="preserve"> </w:t>
      </w:r>
      <w:r w:rsidRPr="00005251">
        <w:rPr>
          <w:rFonts w:hint="cs"/>
          <w:i/>
          <w:sz w:val="23"/>
          <w:szCs w:val="23"/>
          <w:rtl/>
        </w:rPr>
        <w:t xml:space="preserve">برای </w:t>
      </w:r>
      <w:r w:rsidRPr="00005251">
        <w:rPr>
          <w:position w:val="-8"/>
        </w:rPr>
        <w:object w:dxaOrig="660" w:dyaOrig="279" w14:anchorId="4CE59113">
          <v:shape id="_x0000_i2199" type="#_x0000_t75" style="width:32.65pt;height:13.9pt" o:ole="">
            <v:imagedata r:id="rId2383" o:title=""/>
          </v:shape>
          <o:OLEObject Type="Embed" ProgID="Equation.DSMT4" ShapeID="_x0000_i2199" DrawAspect="Content" ObjectID="_1791376143" r:id="rId2384"/>
        </w:object>
      </w:r>
      <w:r w:rsidRPr="00005251">
        <w:rPr>
          <w:rFonts w:hint="cs"/>
          <w:i/>
          <w:sz w:val="23"/>
          <w:szCs w:val="23"/>
          <w:rtl/>
        </w:rPr>
        <w:t xml:space="preserve"> تابع</w:t>
      </w:r>
      <w:r w:rsidRPr="00005251">
        <w:rPr>
          <w:i/>
          <w:sz w:val="23"/>
          <w:szCs w:val="23"/>
          <w:rtl/>
        </w:rPr>
        <w:t xml:space="preserve"> </w:t>
      </w:r>
      <w:r w:rsidRPr="00005251">
        <w:rPr>
          <w:rFonts w:hint="cs"/>
          <w:i/>
          <w:sz w:val="23"/>
          <w:szCs w:val="23"/>
          <w:rtl/>
        </w:rPr>
        <w:t>مصرف</w:t>
      </w:r>
      <w:r w:rsidRPr="00005251">
        <w:rPr>
          <w:i/>
          <w:sz w:val="23"/>
          <w:szCs w:val="23"/>
          <w:rtl/>
        </w:rPr>
        <w:t xml:space="preserve"> </w:t>
      </w:r>
      <w:r w:rsidRPr="00005251">
        <w:rPr>
          <w:rFonts w:hint="cs"/>
          <w:i/>
          <w:sz w:val="23"/>
          <w:szCs w:val="23"/>
          <w:rtl/>
        </w:rPr>
        <w:t>برای</w:t>
      </w:r>
      <w:r w:rsidRPr="00005251">
        <w:rPr>
          <w:i/>
          <w:sz w:val="23"/>
          <w:szCs w:val="23"/>
          <w:rtl/>
        </w:rPr>
        <w:t xml:space="preserve"> </w:t>
      </w:r>
      <w:r w:rsidRPr="00005251">
        <w:rPr>
          <w:rFonts w:hint="cs"/>
          <w:i/>
          <w:sz w:val="23"/>
          <w:szCs w:val="23"/>
          <w:rtl/>
        </w:rPr>
        <w:t>دوره</w:t>
      </w:r>
      <w:r w:rsidRPr="00005251">
        <w:rPr>
          <w:i/>
          <w:sz w:val="23"/>
          <w:szCs w:val="23"/>
          <w:rtl/>
        </w:rPr>
        <w:softHyphen/>
      </w:r>
      <w:r w:rsidRPr="00005251">
        <w:rPr>
          <w:rFonts w:hint="cs"/>
          <w:i/>
          <w:sz w:val="23"/>
          <w:szCs w:val="23"/>
          <w:rtl/>
        </w:rPr>
        <w:t>ی</w:t>
      </w:r>
      <w:r w:rsidRPr="00005251">
        <w:rPr>
          <w:i/>
          <w:sz w:val="23"/>
          <w:szCs w:val="23"/>
          <w:rtl/>
        </w:rPr>
        <w:t xml:space="preserve"> </w:t>
      </w:r>
      <w:r w:rsidRPr="00005251">
        <w:rPr>
          <w:position w:val="-6"/>
        </w:rPr>
        <w:object w:dxaOrig="440" w:dyaOrig="260" w14:anchorId="1DFB5D6C">
          <v:shape id="_x0000_i2200" type="#_x0000_t75" style="width:21.8pt;height:12.7pt" o:ole="">
            <v:imagedata r:id="rId2385" o:title=""/>
          </v:shape>
          <o:OLEObject Type="Embed" ProgID="Equation.DSMT4" ShapeID="_x0000_i2200" DrawAspect="Content" ObjectID="_1791376144" r:id="rId2386"/>
        </w:object>
      </w:r>
      <w:r w:rsidRPr="00005251">
        <w:rPr>
          <w:i/>
          <w:sz w:val="23"/>
          <w:szCs w:val="23"/>
          <w:rtl/>
        </w:rPr>
        <w:t xml:space="preserve"> </w:t>
      </w:r>
      <w:r w:rsidRPr="00005251">
        <w:rPr>
          <w:rFonts w:hint="cs"/>
          <w:i/>
          <w:sz w:val="23"/>
          <w:szCs w:val="23"/>
          <w:rtl/>
        </w:rPr>
        <w:t>را می‌توان</w:t>
      </w:r>
      <w:r w:rsidRPr="00005251">
        <w:rPr>
          <w:i/>
          <w:sz w:val="23"/>
          <w:szCs w:val="23"/>
          <w:rtl/>
        </w:rPr>
        <w:t xml:space="preserve"> </w:t>
      </w:r>
      <w:r w:rsidRPr="00005251">
        <w:rPr>
          <w:rFonts w:hint="cs"/>
          <w:i/>
          <w:sz w:val="23"/>
          <w:szCs w:val="23"/>
          <w:rtl/>
        </w:rPr>
        <w:t>به صورت زیر نوشت.</w:t>
      </w:r>
    </w:p>
    <w:p w14:paraId="16FDA565"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10"/>
        </w:rPr>
        <w:object w:dxaOrig="3600" w:dyaOrig="320" w14:anchorId="4F3BBD2B">
          <v:shape id="_x0000_i2201" type="#_x0000_t75" style="width:180.3pt;height:16.35pt" o:ole="">
            <v:imagedata r:id="rId2387" o:title=""/>
          </v:shape>
          <o:OLEObject Type="Embed" ProgID="Equation.DSMT4" ShapeID="_x0000_i2201" DrawAspect="Content" ObjectID="_1791376145" r:id="rId2388"/>
        </w:object>
      </w:r>
    </w:p>
    <w:p w14:paraId="1BBED2B5" w14:textId="77777777" w:rsidR="00411620" w:rsidRPr="00005251" w:rsidRDefault="00411620" w:rsidP="00411620">
      <w:pPr>
        <w:pStyle w:val="MTDisplayEquation"/>
        <w:bidi/>
        <w:spacing w:line="216" w:lineRule="auto"/>
        <w:rPr>
          <w:rFonts w:cs="B Nazanin"/>
          <w:i/>
          <w:sz w:val="23"/>
          <w:szCs w:val="23"/>
          <w:rtl/>
        </w:rPr>
      </w:pPr>
      <w:r w:rsidRPr="00005251">
        <w:rPr>
          <w:position w:val="-12"/>
        </w:rPr>
        <w:object w:dxaOrig="6640" w:dyaOrig="360" w14:anchorId="41D4F8A8">
          <v:shape id="_x0000_i2202" type="#_x0000_t75" style="width:332.15pt;height:18.15pt" o:ole="">
            <v:imagedata r:id="rId2389" o:title=""/>
          </v:shape>
          <o:OLEObject Type="Embed" ProgID="Equation.DSMT4" ShapeID="_x0000_i2202" DrawAspect="Content" ObjectID="_1791376146" r:id="rId2390"/>
        </w:object>
      </w:r>
      <w:r w:rsidRPr="00005251">
        <w:rPr>
          <w:rFonts w:cs="B Nazanin" w:hint="cs"/>
          <w:i/>
          <w:sz w:val="23"/>
          <w:szCs w:val="23"/>
          <w:rtl/>
        </w:rPr>
        <w:t>و</w:t>
      </w:r>
      <w:r w:rsidRPr="00005251">
        <w:rPr>
          <w:rFonts w:cs="B Nazanin"/>
          <w:i/>
          <w:sz w:val="23"/>
          <w:szCs w:val="23"/>
          <w:rtl/>
        </w:rPr>
        <w:t xml:space="preserve"> </w:t>
      </w:r>
      <w:r w:rsidRPr="00005251">
        <w:rPr>
          <w:rFonts w:cs="B Nazanin" w:hint="cs"/>
          <w:i/>
          <w:sz w:val="23"/>
          <w:szCs w:val="23"/>
          <w:rtl/>
        </w:rPr>
        <w:t>با توجه به اینکه</w:t>
      </w:r>
      <w:r w:rsidRPr="00005251">
        <w:rPr>
          <w:rFonts w:cs="B Nazanin"/>
          <w:i/>
          <w:sz w:val="23"/>
          <w:szCs w:val="23"/>
          <w:rtl/>
        </w:rPr>
        <w:t xml:space="preserve"> </w:t>
      </w:r>
      <w:r w:rsidRPr="00005251">
        <w:rPr>
          <w:rFonts w:cs="B Nazanin" w:hint="cs"/>
          <w:i/>
          <w:sz w:val="23"/>
          <w:szCs w:val="23"/>
          <w:rtl/>
        </w:rPr>
        <w:t>موجودی</w:t>
      </w:r>
      <w:r w:rsidRPr="00005251">
        <w:rPr>
          <w:rFonts w:cs="B Nazanin"/>
          <w:i/>
          <w:sz w:val="23"/>
          <w:szCs w:val="23"/>
          <w:rtl/>
        </w:rPr>
        <w:t xml:space="preserve"> </w:t>
      </w:r>
      <w:r w:rsidRPr="00005251">
        <w:rPr>
          <w:rFonts w:cs="B Nazanin" w:hint="cs"/>
          <w:i/>
          <w:sz w:val="23"/>
          <w:szCs w:val="23"/>
          <w:rtl/>
        </w:rPr>
        <w:t>دارایی</w:t>
      </w:r>
      <w:r w:rsidRPr="00005251">
        <w:rPr>
          <w:rFonts w:cs="B Nazanin"/>
          <w:i/>
          <w:sz w:val="23"/>
          <w:szCs w:val="23"/>
          <w:rtl/>
        </w:rPr>
        <w:softHyphen/>
      </w:r>
      <w:r w:rsidRPr="00005251">
        <w:rPr>
          <w:rFonts w:cs="B Nazanin" w:hint="cs"/>
          <w:i/>
          <w:sz w:val="23"/>
          <w:szCs w:val="23"/>
          <w:rtl/>
        </w:rPr>
        <w:t>های</w:t>
      </w:r>
      <w:r w:rsidRPr="00005251">
        <w:rPr>
          <w:rFonts w:cs="B Nazanin"/>
          <w:i/>
          <w:sz w:val="23"/>
          <w:szCs w:val="23"/>
          <w:rtl/>
        </w:rPr>
        <w:t xml:space="preserve"> </w:t>
      </w:r>
      <w:r w:rsidRPr="00005251">
        <w:rPr>
          <w:rFonts w:cs="B Nazanin" w:hint="cs"/>
          <w:i/>
          <w:sz w:val="23"/>
          <w:szCs w:val="23"/>
          <w:rtl/>
        </w:rPr>
        <w:t>مالی بدون</w:t>
      </w:r>
      <w:r w:rsidRPr="00005251">
        <w:rPr>
          <w:rFonts w:cs="B Nazanin"/>
          <w:i/>
          <w:sz w:val="23"/>
          <w:szCs w:val="23"/>
          <w:rtl/>
        </w:rPr>
        <w:t xml:space="preserve"> </w:t>
      </w:r>
      <w:r w:rsidRPr="00005251">
        <w:rPr>
          <w:rFonts w:cs="B Nazanin" w:hint="cs"/>
          <w:i/>
          <w:sz w:val="23"/>
          <w:szCs w:val="23"/>
          <w:rtl/>
        </w:rPr>
        <w:t>تغییر</w:t>
      </w:r>
      <w:r w:rsidRPr="00005251">
        <w:rPr>
          <w:rFonts w:cs="B Nazanin"/>
          <w:i/>
          <w:sz w:val="23"/>
          <w:szCs w:val="23"/>
          <w:rtl/>
        </w:rPr>
        <w:t xml:space="preserve"> </w:t>
      </w:r>
      <w:r w:rsidRPr="00005251">
        <w:rPr>
          <w:rFonts w:cs="B Nazanin" w:hint="cs"/>
          <w:i/>
          <w:sz w:val="23"/>
          <w:szCs w:val="23"/>
          <w:rtl/>
        </w:rPr>
        <w:t>باقی می‌ماند، لذا خواهیم داشت</w:t>
      </w:r>
    </w:p>
    <w:p w14:paraId="02A63A61"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12"/>
        </w:rPr>
        <w:object w:dxaOrig="1800" w:dyaOrig="360" w14:anchorId="22541D4D">
          <v:shape id="_x0000_i2203" type="#_x0000_t75" style="width:90.15pt;height:18.15pt" o:ole="">
            <v:imagedata r:id="rId2391" o:title=""/>
          </v:shape>
          <o:OLEObject Type="Embed" ProgID="Equation.DSMT4" ShapeID="_x0000_i2203" DrawAspect="Content" ObjectID="_1791376147" r:id="rId2392"/>
        </w:object>
      </w:r>
    </w:p>
    <w:p w14:paraId="3E1A5FCC" w14:textId="77777777" w:rsidR="00411620" w:rsidRPr="00005251" w:rsidRDefault="00411620" w:rsidP="00411620">
      <w:pPr>
        <w:spacing w:line="216" w:lineRule="auto"/>
        <w:rPr>
          <w:i/>
          <w:sz w:val="23"/>
          <w:szCs w:val="23"/>
          <w:rtl/>
        </w:rPr>
      </w:pPr>
      <w:r w:rsidRPr="00005251">
        <w:rPr>
          <w:rFonts w:hint="cs"/>
          <w:i/>
          <w:sz w:val="23"/>
          <w:szCs w:val="23"/>
          <w:rtl/>
        </w:rPr>
        <w:t>اگر</w:t>
      </w:r>
      <w:r w:rsidRPr="00005251">
        <w:rPr>
          <w:i/>
          <w:sz w:val="23"/>
          <w:szCs w:val="23"/>
          <w:rtl/>
        </w:rPr>
        <w:t xml:space="preserve"> </w:t>
      </w:r>
      <w:r w:rsidRPr="00005251">
        <w:rPr>
          <w:rFonts w:hint="cs"/>
          <w:i/>
          <w:sz w:val="23"/>
          <w:szCs w:val="23"/>
          <w:rtl/>
        </w:rPr>
        <w:t>درآمد تغییر نکند</w:t>
      </w:r>
      <w:r w:rsidRPr="00005251">
        <w:rPr>
          <w:i/>
          <w:sz w:val="23"/>
          <w:szCs w:val="23"/>
          <w:rtl/>
        </w:rPr>
        <w:t xml:space="preserve"> </w:t>
      </w:r>
      <w:r w:rsidRPr="00005251">
        <w:rPr>
          <w:rFonts w:hint="cs"/>
          <w:i/>
          <w:sz w:val="23"/>
          <w:szCs w:val="23"/>
          <w:rtl/>
        </w:rPr>
        <w:t>یعنی</w:t>
      </w:r>
      <w:r w:rsidRPr="00005251">
        <w:rPr>
          <w:position w:val="-10"/>
        </w:rPr>
        <w:object w:dxaOrig="780" w:dyaOrig="320" w14:anchorId="0FF4C567">
          <v:shape id="_x0000_i2204" type="#_x0000_t75" style="width:39.35pt;height:16.35pt" o:ole="">
            <v:imagedata r:id="rId2393" o:title=""/>
          </v:shape>
          <o:OLEObject Type="Embed" ProgID="Equation.DSMT4" ShapeID="_x0000_i2204" DrawAspect="Content" ObjectID="_1791376148" r:id="rId2394"/>
        </w:object>
      </w:r>
      <w:r w:rsidRPr="00005251">
        <w:rPr>
          <w:rFonts w:hint="cs"/>
          <w:i/>
          <w:sz w:val="23"/>
          <w:szCs w:val="23"/>
          <w:rtl/>
        </w:rPr>
        <w:t xml:space="preserve"> باشد، در این</w:t>
      </w:r>
      <w:r w:rsidRPr="00005251">
        <w:rPr>
          <w:i/>
          <w:sz w:val="23"/>
          <w:szCs w:val="23"/>
          <w:rtl/>
        </w:rPr>
        <w:softHyphen/>
      </w:r>
      <w:r w:rsidRPr="00005251">
        <w:rPr>
          <w:rFonts w:hint="cs"/>
          <w:i/>
          <w:sz w:val="23"/>
          <w:szCs w:val="23"/>
          <w:rtl/>
        </w:rPr>
        <w:t>صورت مصرف</w:t>
      </w:r>
      <w:r w:rsidRPr="00005251">
        <w:rPr>
          <w:i/>
          <w:sz w:val="23"/>
          <w:szCs w:val="23"/>
          <w:rtl/>
        </w:rPr>
        <w:t xml:space="preserve"> </w:t>
      </w:r>
      <w:r w:rsidRPr="00005251">
        <w:rPr>
          <w:rFonts w:hint="cs"/>
          <w:i/>
          <w:sz w:val="23"/>
          <w:szCs w:val="23"/>
          <w:rtl/>
        </w:rPr>
        <w:t>نیز بدون</w:t>
      </w:r>
      <w:r w:rsidRPr="00005251">
        <w:rPr>
          <w:i/>
          <w:sz w:val="23"/>
          <w:szCs w:val="23"/>
          <w:rtl/>
        </w:rPr>
        <w:t xml:space="preserve"> </w:t>
      </w:r>
      <w:r w:rsidRPr="00005251">
        <w:rPr>
          <w:rFonts w:hint="cs"/>
          <w:i/>
          <w:sz w:val="23"/>
          <w:szCs w:val="23"/>
          <w:rtl/>
        </w:rPr>
        <w:t>تغییر باقی مانده و معادله</w:t>
      </w:r>
      <w:r w:rsidRPr="00005251">
        <w:rPr>
          <w:i/>
          <w:sz w:val="23"/>
          <w:szCs w:val="23"/>
          <w:rtl/>
        </w:rPr>
        <w:softHyphen/>
      </w:r>
      <w:r w:rsidRPr="00005251">
        <w:rPr>
          <w:rFonts w:hint="cs"/>
          <w:i/>
          <w:sz w:val="23"/>
          <w:szCs w:val="23"/>
          <w:rtl/>
        </w:rPr>
        <w:t>ی</w:t>
      </w:r>
      <w:r w:rsidRPr="00005251">
        <w:rPr>
          <w:i/>
          <w:sz w:val="23"/>
          <w:szCs w:val="23"/>
          <w:rtl/>
        </w:rPr>
        <w:t xml:space="preserve"> </w:t>
      </w:r>
      <w:r w:rsidRPr="00005251">
        <w:rPr>
          <w:rFonts w:hint="cs"/>
          <w:i/>
          <w:sz w:val="23"/>
          <w:szCs w:val="23"/>
          <w:rtl/>
        </w:rPr>
        <w:t>(۴. ۱۸)</w:t>
      </w:r>
      <w:r w:rsidRPr="00005251">
        <w:rPr>
          <w:i/>
          <w:sz w:val="23"/>
          <w:szCs w:val="23"/>
          <w:rtl/>
        </w:rPr>
        <w:t xml:space="preserve"> </w:t>
      </w:r>
      <w:r w:rsidRPr="00005251">
        <w:rPr>
          <w:rFonts w:hint="cs"/>
          <w:i/>
          <w:sz w:val="23"/>
          <w:szCs w:val="23"/>
          <w:rtl/>
        </w:rPr>
        <w:t>تأمین</w:t>
      </w:r>
      <w:r w:rsidRPr="00005251">
        <w:rPr>
          <w:i/>
          <w:sz w:val="23"/>
          <w:szCs w:val="23"/>
          <w:rtl/>
        </w:rPr>
        <w:t xml:space="preserve"> </w:t>
      </w:r>
      <w:r w:rsidRPr="00005251">
        <w:rPr>
          <w:rFonts w:hint="cs"/>
          <w:i/>
          <w:sz w:val="23"/>
          <w:szCs w:val="23"/>
          <w:rtl/>
        </w:rPr>
        <w:t>می</w:t>
      </w:r>
      <w:r w:rsidRPr="00005251">
        <w:rPr>
          <w:i/>
          <w:sz w:val="23"/>
          <w:szCs w:val="23"/>
          <w:rtl/>
        </w:rPr>
        <w:softHyphen/>
      </w:r>
      <w:r w:rsidRPr="00005251">
        <w:rPr>
          <w:rFonts w:hint="cs"/>
          <w:i/>
          <w:sz w:val="23"/>
          <w:szCs w:val="23"/>
          <w:rtl/>
        </w:rPr>
        <w:t>شود</w:t>
      </w:r>
      <w:r w:rsidRPr="00005251">
        <w:rPr>
          <w:i/>
          <w:sz w:val="23"/>
          <w:szCs w:val="23"/>
          <w:rtl/>
        </w:rPr>
        <w:t xml:space="preserve">. </w:t>
      </w:r>
      <w:r w:rsidRPr="00005251">
        <w:rPr>
          <w:rFonts w:hint="cs"/>
          <w:i/>
          <w:sz w:val="23"/>
          <w:szCs w:val="23"/>
          <w:rtl/>
        </w:rPr>
        <w:t>اما</w:t>
      </w:r>
      <w:r w:rsidRPr="00005251">
        <w:rPr>
          <w:i/>
          <w:sz w:val="23"/>
          <w:szCs w:val="23"/>
          <w:rtl/>
        </w:rPr>
        <w:t xml:space="preserve"> </w:t>
      </w:r>
      <w:r w:rsidRPr="00005251">
        <w:rPr>
          <w:rFonts w:hint="cs"/>
          <w:i/>
          <w:sz w:val="23"/>
          <w:szCs w:val="23"/>
          <w:rtl/>
        </w:rPr>
        <w:t>اگر</w:t>
      </w:r>
      <w:r w:rsidRPr="00005251">
        <w:rPr>
          <w:position w:val="-10"/>
        </w:rPr>
        <w:object w:dxaOrig="780" w:dyaOrig="320" w14:anchorId="3C45BD43">
          <v:shape id="_x0000_i2205" type="#_x0000_t75" style="width:39.35pt;height:16.35pt" o:ole="">
            <v:imagedata r:id="rId2395" o:title=""/>
          </v:shape>
          <o:OLEObject Type="Embed" ProgID="Equation.DSMT4" ShapeID="_x0000_i2205" DrawAspect="Content" ObjectID="_1791376149" r:id="rId2396"/>
        </w:object>
      </w:r>
      <w:r w:rsidRPr="00005251">
        <w:rPr>
          <w:i/>
          <w:sz w:val="23"/>
          <w:szCs w:val="23"/>
          <w:rtl/>
        </w:rPr>
        <w:t xml:space="preserve"> </w:t>
      </w:r>
      <w:r w:rsidRPr="00005251">
        <w:rPr>
          <w:rFonts w:hint="cs"/>
          <w:i/>
          <w:sz w:val="23"/>
          <w:szCs w:val="23"/>
          <w:rtl/>
        </w:rPr>
        <w:t>در اینصورت</w:t>
      </w:r>
      <w:r w:rsidRPr="00005251">
        <w:rPr>
          <w:i/>
          <w:sz w:val="23"/>
          <w:szCs w:val="23"/>
          <w:rtl/>
        </w:rPr>
        <w:t xml:space="preserve"> </w:t>
      </w:r>
      <w:r w:rsidRPr="00005251">
        <w:rPr>
          <w:position w:val="-10"/>
        </w:rPr>
        <w:object w:dxaOrig="720" w:dyaOrig="320" w14:anchorId="5A7A79B2">
          <v:shape id="_x0000_i2206" type="#_x0000_t75" style="width:36.3pt;height:16.35pt" o:ole="">
            <v:imagedata r:id="rId2397" o:title=""/>
          </v:shape>
          <o:OLEObject Type="Embed" ProgID="Equation.DSMT4" ShapeID="_x0000_i2206" DrawAspect="Content" ObjectID="_1791376150" r:id="rId2398"/>
        </w:object>
      </w:r>
      <w:r w:rsidRPr="00005251">
        <w:rPr>
          <w:rFonts w:hint="cs"/>
          <w:i/>
          <w:sz w:val="23"/>
          <w:szCs w:val="23"/>
          <w:rtl/>
        </w:rPr>
        <w:t xml:space="preserve"> خواهد بود</w:t>
      </w:r>
      <w:r w:rsidRPr="00005251">
        <w:rPr>
          <w:i/>
          <w:sz w:val="23"/>
          <w:szCs w:val="23"/>
          <w:rtl/>
        </w:rPr>
        <w:t xml:space="preserve">. </w:t>
      </w:r>
      <w:r w:rsidRPr="00005251">
        <w:rPr>
          <w:rFonts w:hint="cs"/>
          <w:i/>
          <w:sz w:val="23"/>
          <w:szCs w:val="23"/>
          <w:rtl/>
        </w:rPr>
        <w:t>بنابراین</w:t>
      </w:r>
      <w:r w:rsidRPr="00005251">
        <w:rPr>
          <w:i/>
          <w:sz w:val="23"/>
          <w:szCs w:val="23"/>
          <w:rtl/>
        </w:rPr>
        <w:t xml:space="preserve"> </w:t>
      </w:r>
      <w:r w:rsidRPr="00005251">
        <w:rPr>
          <w:rFonts w:hint="cs"/>
          <w:i/>
          <w:sz w:val="23"/>
          <w:szCs w:val="23"/>
          <w:rtl/>
        </w:rPr>
        <w:t>مصرف</w:t>
      </w:r>
      <w:r w:rsidRPr="00005251">
        <w:rPr>
          <w:i/>
          <w:sz w:val="23"/>
          <w:szCs w:val="23"/>
          <w:rtl/>
        </w:rPr>
        <w:t xml:space="preserve"> </w:t>
      </w:r>
      <w:r w:rsidRPr="00005251">
        <w:rPr>
          <w:rFonts w:hint="cs"/>
          <w:i/>
          <w:sz w:val="23"/>
          <w:szCs w:val="23"/>
          <w:rtl/>
        </w:rPr>
        <w:t>در</w:t>
      </w:r>
      <w:r w:rsidRPr="00005251">
        <w:rPr>
          <w:i/>
          <w:sz w:val="23"/>
          <w:szCs w:val="23"/>
          <w:rtl/>
        </w:rPr>
        <w:t xml:space="preserve"> </w:t>
      </w:r>
      <w:r w:rsidRPr="00005251">
        <w:rPr>
          <w:rFonts w:hint="cs"/>
          <w:i/>
          <w:sz w:val="23"/>
          <w:szCs w:val="23"/>
          <w:rtl/>
        </w:rPr>
        <w:t>دوره</w:t>
      </w:r>
      <w:r w:rsidRPr="00005251">
        <w:rPr>
          <w:i/>
          <w:sz w:val="23"/>
          <w:szCs w:val="23"/>
          <w:rtl/>
        </w:rPr>
        <w:softHyphen/>
      </w:r>
      <w:r w:rsidRPr="00005251">
        <w:rPr>
          <w:rFonts w:hint="cs"/>
          <w:i/>
          <w:sz w:val="23"/>
          <w:szCs w:val="23"/>
          <w:rtl/>
        </w:rPr>
        <w:t>ی</w:t>
      </w:r>
      <w:r w:rsidRPr="00005251">
        <w:rPr>
          <w:i/>
          <w:sz w:val="23"/>
          <w:szCs w:val="23"/>
          <w:rtl/>
        </w:rPr>
        <w:t xml:space="preserve"> </w:t>
      </w:r>
      <w:r w:rsidRPr="00005251">
        <w:rPr>
          <w:position w:val="-6"/>
        </w:rPr>
        <w:object w:dxaOrig="440" w:dyaOrig="260" w14:anchorId="279B9102">
          <v:shape id="_x0000_i2207" type="#_x0000_t75" style="width:21.8pt;height:12.7pt" o:ole="">
            <v:imagedata r:id="rId2399" o:title=""/>
          </v:shape>
          <o:OLEObject Type="Embed" ProgID="Equation.DSMT4" ShapeID="_x0000_i2207" DrawAspect="Content" ObjectID="_1791376151" r:id="rId2400"/>
        </w:object>
      </w:r>
      <w:r w:rsidRPr="00005251">
        <w:rPr>
          <w:i/>
          <w:sz w:val="23"/>
          <w:szCs w:val="23"/>
          <w:rtl/>
        </w:rPr>
        <w:t xml:space="preserve"> </w:t>
      </w:r>
      <w:r w:rsidRPr="00005251">
        <w:rPr>
          <w:rFonts w:hint="cs"/>
          <w:i/>
          <w:sz w:val="23"/>
          <w:szCs w:val="23"/>
          <w:rtl/>
        </w:rPr>
        <w:t>به</w:t>
      </w:r>
      <w:r w:rsidRPr="00005251">
        <w:rPr>
          <w:i/>
          <w:sz w:val="23"/>
          <w:szCs w:val="23"/>
          <w:rtl/>
        </w:rPr>
        <w:t xml:space="preserve"> </w:t>
      </w:r>
      <w:r w:rsidRPr="00005251">
        <w:rPr>
          <w:rFonts w:hint="cs"/>
          <w:i/>
          <w:sz w:val="23"/>
          <w:szCs w:val="23"/>
          <w:rtl/>
        </w:rPr>
        <w:t>افزایش</w:t>
      </w:r>
      <w:r w:rsidRPr="00005251">
        <w:rPr>
          <w:i/>
          <w:sz w:val="23"/>
          <w:szCs w:val="23"/>
          <w:rtl/>
        </w:rPr>
        <w:t xml:space="preserve"> </w:t>
      </w:r>
      <w:r w:rsidRPr="00005251">
        <w:rPr>
          <w:rFonts w:hint="cs"/>
          <w:i/>
          <w:sz w:val="23"/>
          <w:szCs w:val="23"/>
          <w:rtl/>
        </w:rPr>
        <w:t>پیش</w:t>
      </w:r>
      <w:r w:rsidRPr="00005251">
        <w:rPr>
          <w:i/>
          <w:sz w:val="23"/>
          <w:szCs w:val="23"/>
          <w:rtl/>
        </w:rPr>
        <w:softHyphen/>
      </w:r>
      <w:r w:rsidRPr="00005251">
        <w:rPr>
          <w:rFonts w:hint="cs"/>
          <w:i/>
          <w:sz w:val="23"/>
          <w:szCs w:val="23"/>
          <w:rtl/>
        </w:rPr>
        <w:t>بینی</w:t>
      </w:r>
      <w:r w:rsidRPr="00005251">
        <w:rPr>
          <w:i/>
          <w:sz w:val="23"/>
          <w:szCs w:val="23"/>
          <w:rtl/>
        </w:rPr>
        <w:t xml:space="preserve"> </w:t>
      </w:r>
      <w:r w:rsidRPr="00005251">
        <w:rPr>
          <w:rFonts w:hint="cs"/>
          <w:i/>
          <w:sz w:val="23"/>
          <w:szCs w:val="23"/>
          <w:rtl/>
        </w:rPr>
        <w:t>نشده</w:t>
      </w:r>
      <w:r w:rsidRPr="00005251">
        <w:rPr>
          <w:i/>
          <w:sz w:val="23"/>
          <w:szCs w:val="23"/>
          <w:vertAlign w:val="subscript"/>
          <w:rtl/>
        </w:rPr>
        <w:softHyphen/>
      </w:r>
      <w:r w:rsidRPr="00005251">
        <w:rPr>
          <w:i/>
          <w:sz w:val="23"/>
          <w:szCs w:val="23"/>
          <w:rtl/>
        </w:rPr>
        <w:softHyphen/>
      </w:r>
      <w:r w:rsidRPr="00005251">
        <w:rPr>
          <w:rFonts w:hint="cs"/>
          <w:i/>
          <w:sz w:val="23"/>
          <w:szCs w:val="23"/>
          <w:rtl/>
        </w:rPr>
        <w:t>ی</w:t>
      </w:r>
      <w:r w:rsidRPr="00005251">
        <w:rPr>
          <w:i/>
          <w:sz w:val="23"/>
          <w:szCs w:val="23"/>
          <w:rtl/>
        </w:rPr>
        <w:t xml:space="preserve"> </w:t>
      </w:r>
      <w:r w:rsidRPr="00005251">
        <w:rPr>
          <w:rFonts w:hint="cs"/>
          <w:i/>
          <w:sz w:val="23"/>
          <w:szCs w:val="23"/>
          <w:rtl/>
        </w:rPr>
        <w:t>درآمد</w:t>
      </w:r>
      <w:r w:rsidRPr="00005251">
        <w:rPr>
          <w:i/>
          <w:sz w:val="23"/>
          <w:szCs w:val="23"/>
          <w:rtl/>
        </w:rPr>
        <w:t xml:space="preserve"> </w:t>
      </w:r>
      <w:r w:rsidRPr="00005251">
        <w:rPr>
          <w:rFonts w:hint="cs"/>
          <w:i/>
          <w:sz w:val="23"/>
          <w:szCs w:val="23"/>
          <w:rtl/>
        </w:rPr>
        <w:t>در</w:t>
      </w:r>
      <w:r w:rsidRPr="00005251">
        <w:rPr>
          <w:i/>
          <w:sz w:val="23"/>
          <w:szCs w:val="23"/>
          <w:rtl/>
        </w:rPr>
        <w:t xml:space="preserve"> </w:t>
      </w:r>
      <w:r w:rsidRPr="00005251">
        <w:rPr>
          <w:rFonts w:hint="cs"/>
          <w:i/>
          <w:sz w:val="23"/>
          <w:szCs w:val="23"/>
          <w:rtl/>
        </w:rPr>
        <w:t>دوره</w:t>
      </w:r>
      <w:r w:rsidRPr="00005251">
        <w:rPr>
          <w:i/>
          <w:sz w:val="23"/>
          <w:szCs w:val="23"/>
          <w:rtl/>
        </w:rPr>
        <w:softHyphen/>
      </w:r>
      <w:r w:rsidRPr="00005251">
        <w:rPr>
          <w:rFonts w:hint="cs"/>
          <w:i/>
          <w:sz w:val="23"/>
          <w:szCs w:val="23"/>
          <w:rtl/>
        </w:rPr>
        <w:t xml:space="preserve">ی </w:t>
      </w:r>
      <w:r w:rsidRPr="00005251">
        <w:rPr>
          <w:position w:val="-6"/>
        </w:rPr>
        <w:object w:dxaOrig="440" w:dyaOrig="260" w14:anchorId="1616D06C">
          <v:shape id="_x0000_i2208" type="#_x0000_t75" style="width:21.8pt;height:12.7pt" o:ole="">
            <v:imagedata r:id="rId2401" o:title=""/>
          </v:shape>
          <o:OLEObject Type="Embed" ProgID="Equation.DSMT4" ShapeID="_x0000_i2208" DrawAspect="Content" ObjectID="_1791376152" r:id="rId2402"/>
        </w:object>
      </w:r>
      <w:r w:rsidRPr="00005251">
        <w:rPr>
          <w:i/>
          <w:sz w:val="23"/>
          <w:szCs w:val="23"/>
          <w:rtl/>
        </w:rPr>
        <w:t xml:space="preserve"> </w:t>
      </w:r>
      <w:r w:rsidRPr="00005251">
        <w:rPr>
          <w:rFonts w:hint="cs"/>
          <w:i/>
          <w:sz w:val="23"/>
          <w:szCs w:val="23"/>
          <w:rtl/>
        </w:rPr>
        <w:t>پاسخ</w:t>
      </w:r>
      <w:r w:rsidRPr="00005251">
        <w:rPr>
          <w:i/>
          <w:sz w:val="23"/>
          <w:szCs w:val="23"/>
          <w:rtl/>
        </w:rPr>
        <w:t xml:space="preserve"> </w:t>
      </w:r>
      <w:r w:rsidRPr="00005251">
        <w:rPr>
          <w:rFonts w:hint="cs"/>
          <w:i/>
          <w:sz w:val="23"/>
          <w:szCs w:val="23"/>
          <w:rtl/>
        </w:rPr>
        <w:t>داده است</w:t>
      </w:r>
      <w:r w:rsidRPr="00005251">
        <w:rPr>
          <w:i/>
          <w:sz w:val="23"/>
          <w:szCs w:val="23"/>
          <w:rtl/>
        </w:rPr>
        <w:t xml:space="preserve">. </w:t>
      </w:r>
      <w:r w:rsidRPr="00005251">
        <w:rPr>
          <w:rFonts w:hint="cs"/>
          <w:i/>
          <w:sz w:val="23"/>
          <w:szCs w:val="23"/>
          <w:rtl/>
        </w:rPr>
        <w:t>از</w:t>
      </w:r>
      <w:r w:rsidRPr="00005251">
        <w:rPr>
          <w:i/>
          <w:sz w:val="23"/>
          <w:szCs w:val="23"/>
          <w:rtl/>
        </w:rPr>
        <w:t xml:space="preserve"> </w:t>
      </w:r>
      <w:r w:rsidRPr="00005251">
        <w:rPr>
          <w:rFonts w:hint="cs"/>
          <w:i/>
          <w:sz w:val="23"/>
          <w:szCs w:val="23"/>
          <w:rtl/>
        </w:rPr>
        <w:t>معادله</w:t>
      </w:r>
      <w:r w:rsidRPr="00005251">
        <w:rPr>
          <w:i/>
          <w:sz w:val="23"/>
          <w:szCs w:val="23"/>
          <w:rtl/>
        </w:rPr>
        <w:softHyphen/>
      </w:r>
      <w:r w:rsidRPr="00005251">
        <w:rPr>
          <w:rFonts w:hint="cs"/>
          <w:i/>
          <w:sz w:val="23"/>
          <w:szCs w:val="23"/>
          <w:rtl/>
        </w:rPr>
        <w:t>ی</w:t>
      </w:r>
      <w:r w:rsidRPr="00005251">
        <w:rPr>
          <w:i/>
          <w:sz w:val="23"/>
          <w:szCs w:val="23"/>
          <w:rtl/>
        </w:rPr>
        <w:t xml:space="preserve"> </w:t>
      </w:r>
      <w:r w:rsidRPr="00005251">
        <w:rPr>
          <w:rFonts w:hint="cs"/>
          <w:i/>
          <w:sz w:val="23"/>
          <w:szCs w:val="23"/>
          <w:rtl/>
        </w:rPr>
        <w:t>(۴. ۱۶)</w:t>
      </w:r>
      <w:r w:rsidRPr="00005251">
        <w:rPr>
          <w:i/>
          <w:sz w:val="23"/>
          <w:szCs w:val="23"/>
          <w:rtl/>
        </w:rPr>
        <w:t xml:space="preserve"> </w:t>
      </w:r>
      <w:r w:rsidRPr="00005251">
        <w:rPr>
          <w:rFonts w:hint="cs"/>
          <w:i/>
          <w:sz w:val="23"/>
          <w:szCs w:val="23"/>
          <w:rtl/>
        </w:rPr>
        <w:t>اگر</w:t>
      </w:r>
      <w:r w:rsidRPr="00005251">
        <w:rPr>
          <w:i/>
          <w:sz w:val="23"/>
          <w:szCs w:val="23"/>
          <w:rtl/>
        </w:rPr>
        <w:t xml:space="preserve"> </w:t>
      </w:r>
      <w:r w:rsidRPr="00005251">
        <w:rPr>
          <w:rFonts w:hint="cs"/>
          <w:i/>
          <w:sz w:val="23"/>
          <w:szCs w:val="23"/>
          <w:rtl/>
        </w:rPr>
        <w:t>افزایش در</w:t>
      </w:r>
      <w:r w:rsidRPr="00005251">
        <w:rPr>
          <w:i/>
          <w:sz w:val="23"/>
          <w:szCs w:val="23"/>
          <w:rtl/>
        </w:rPr>
        <w:t xml:space="preserve"> </w:t>
      </w:r>
      <w:r w:rsidRPr="00005251">
        <w:rPr>
          <w:position w:val="-10"/>
        </w:rPr>
        <w:object w:dxaOrig="360" w:dyaOrig="320" w14:anchorId="044678C9">
          <v:shape id="_x0000_i2209" type="#_x0000_t75" style="width:18.15pt;height:16.35pt" o:ole="">
            <v:imagedata r:id="rId2403" o:title=""/>
          </v:shape>
          <o:OLEObject Type="Embed" ProgID="Equation.DSMT4" ShapeID="_x0000_i2209" DrawAspect="Content" ObjectID="_1791376153" r:id="rId2404"/>
        </w:object>
      </w:r>
      <w:r w:rsidRPr="00005251">
        <w:rPr>
          <w:i/>
          <w:sz w:val="23"/>
          <w:szCs w:val="23"/>
          <w:rtl/>
        </w:rPr>
        <w:t xml:space="preserve"> </w:t>
      </w:r>
      <w:r w:rsidRPr="00005251">
        <w:rPr>
          <w:rFonts w:hint="cs"/>
          <w:i/>
          <w:sz w:val="23"/>
          <w:szCs w:val="23"/>
          <w:rtl/>
        </w:rPr>
        <w:t>در</w:t>
      </w:r>
      <w:r w:rsidRPr="00005251">
        <w:rPr>
          <w:i/>
          <w:sz w:val="23"/>
          <w:szCs w:val="23"/>
          <w:rtl/>
        </w:rPr>
        <w:t xml:space="preserve"> </w:t>
      </w:r>
      <w:r w:rsidRPr="00005251">
        <w:rPr>
          <w:rFonts w:hint="cs"/>
          <w:i/>
          <w:sz w:val="23"/>
          <w:szCs w:val="23"/>
          <w:rtl/>
        </w:rPr>
        <w:t>دوره</w:t>
      </w:r>
      <w:r w:rsidRPr="00005251">
        <w:rPr>
          <w:i/>
          <w:sz w:val="23"/>
          <w:szCs w:val="23"/>
          <w:rtl/>
        </w:rPr>
        <w:softHyphen/>
      </w:r>
      <w:r w:rsidRPr="00005251">
        <w:rPr>
          <w:rFonts w:hint="cs"/>
          <w:i/>
          <w:sz w:val="23"/>
          <w:szCs w:val="23"/>
          <w:rtl/>
        </w:rPr>
        <w:t>ی زمانی</w:t>
      </w:r>
      <w:r w:rsidRPr="00005251">
        <w:rPr>
          <w:position w:val="-6"/>
        </w:rPr>
        <w:object w:dxaOrig="139" w:dyaOrig="240" w14:anchorId="1E945751">
          <v:shape id="_x0000_i2210" type="#_x0000_t75" style="width:7.25pt;height:11.5pt" o:ole="">
            <v:imagedata r:id="rId2405" o:title=""/>
          </v:shape>
          <o:OLEObject Type="Embed" ProgID="Equation.DSMT4" ShapeID="_x0000_i2210" DrawAspect="Content" ObjectID="_1791376154" r:id="rId2406"/>
        </w:object>
      </w:r>
      <w:r w:rsidRPr="00005251">
        <w:rPr>
          <w:i/>
          <w:sz w:val="23"/>
          <w:szCs w:val="23"/>
          <w:rtl/>
        </w:rPr>
        <w:t xml:space="preserve"> </w:t>
      </w:r>
      <w:r w:rsidRPr="00005251">
        <w:rPr>
          <w:rFonts w:hint="cs"/>
          <w:i/>
          <w:sz w:val="23"/>
          <w:szCs w:val="23"/>
          <w:rtl/>
        </w:rPr>
        <w:t>پیش</w:t>
      </w:r>
      <w:r w:rsidRPr="00005251">
        <w:rPr>
          <w:i/>
          <w:sz w:val="23"/>
          <w:szCs w:val="23"/>
          <w:rtl/>
        </w:rPr>
        <w:softHyphen/>
      </w:r>
      <w:r w:rsidRPr="00005251">
        <w:rPr>
          <w:rFonts w:hint="cs"/>
          <w:i/>
          <w:sz w:val="23"/>
          <w:szCs w:val="23"/>
          <w:rtl/>
        </w:rPr>
        <w:t>بینی</w:t>
      </w:r>
      <w:r w:rsidRPr="00005251">
        <w:rPr>
          <w:i/>
          <w:sz w:val="23"/>
          <w:szCs w:val="23"/>
          <w:rtl/>
        </w:rPr>
        <w:t xml:space="preserve"> </w:t>
      </w:r>
      <w:r w:rsidRPr="00005251">
        <w:rPr>
          <w:rFonts w:hint="cs"/>
          <w:i/>
          <w:sz w:val="23"/>
          <w:szCs w:val="23"/>
          <w:rtl/>
        </w:rPr>
        <w:t>شده</w:t>
      </w:r>
      <w:r w:rsidRPr="00005251">
        <w:rPr>
          <w:i/>
          <w:sz w:val="23"/>
          <w:szCs w:val="23"/>
          <w:rtl/>
        </w:rPr>
        <w:t xml:space="preserve"> </w:t>
      </w:r>
      <w:r w:rsidRPr="00005251">
        <w:rPr>
          <w:rFonts w:hint="cs"/>
          <w:i/>
          <w:sz w:val="23"/>
          <w:szCs w:val="23"/>
          <w:rtl/>
        </w:rPr>
        <w:t>بود،</w:t>
      </w:r>
      <w:r w:rsidRPr="00005251">
        <w:rPr>
          <w:i/>
          <w:sz w:val="23"/>
          <w:szCs w:val="23"/>
          <w:rtl/>
        </w:rPr>
        <w:t xml:space="preserve"> </w:t>
      </w:r>
      <w:r w:rsidRPr="00005251">
        <w:rPr>
          <w:rFonts w:hint="cs"/>
          <w:i/>
          <w:sz w:val="23"/>
          <w:szCs w:val="23"/>
          <w:rtl/>
        </w:rPr>
        <w:t>در اینصورت</w:t>
      </w:r>
      <w:r w:rsidRPr="00005251">
        <w:rPr>
          <w:position w:val="-10"/>
        </w:rPr>
        <w:object w:dxaOrig="200" w:dyaOrig="320" w14:anchorId="3BE67CEB">
          <v:shape id="_x0000_i2211" type="#_x0000_t75" style="width:10.3pt;height:16.35pt" o:ole="">
            <v:imagedata r:id="rId2407" o:title=""/>
          </v:shape>
          <o:OLEObject Type="Embed" ProgID="Equation.DSMT4" ShapeID="_x0000_i2211" DrawAspect="Content" ObjectID="_1791376155" r:id="rId2408"/>
        </w:object>
      </w:r>
      <w:r w:rsidRPr="00005251">
        <w:rPr>
          <w:i/>
          <w:sz w:val="23"/>
          <w:szCs w:val="23"/>
          <w:rtl/>
        </w:rPr>
        <w:t xml:space="preserve"> </w:t>
      </w:r>
      <w:r w:rsidRPr="00005251">
        <w:rPr>
          <w:rFonts w:hint="cs"/>
          <w:i/>
          <w:sz w:val="23"/>
          <w:szCs w:val="23"/>
          <w:rtl/>
        </w:rPr>
        <w:t>را</w:t>
      </w:r>
      <w:r w:rsidRPr="00005251">
        <w:rPr>
          <w:i/>
          <w:sz w:val="23"/>
          <w:szCs w:val="23"/>
          <w:rtl/>
        </w:rPr>
        <w:t xml:space="preserve"> </w:t>
      </w:r>
      <w:r w:rsidRPr="00005251">
        <w:rPr>
          <w:rFonts w:hint="cs"/>
          <w:i/>
          <w:sz w:val="23"/>
          <w:szCs w:val="23"/>
          <w:rtl/>
        </w:rPr>
        <w:t>نیز</w:t>
      </w:r>
      <w:r w:rsidRPr="00005251">
        <w:rPr>
          <w:i/>
          <w:sz w:val="23"/>
          <w:szCs w:val="23"/>
          <w:rtl/>
        </w:rPr>
        <w:t xml:space="preserve"> </w:t>
      </w:r>
      <w:r w:rsidRPr="00005251">
        <w:rPr>
          <w:rFonts w:hint="cs"/>
          <w:i/>
          <w:sz w:val="23"/>
          <w:szCs w:val="23"/>
          <w:rtl/>
        </w:rPr>
        <w:t>تغییر</w:t>
      </w:r>
      <w:r w:rsidRPr="00005251">
        <w:rPr>
          <w:i/>
          <w:sz w:val="23"/>
          <w:szCs w:val="23"/>
          <w:rtl/>
        </w:rPr>
        <w:t xml:space="preserve"> می</w:t>
      </w:r>
      <w:r w:rsidRPr="00005251">
        <w:rPr>
          <w:rFonts w:hint="cs"/>
          <w:i/>
          <w:sz w:val="23"/>
          <w:szCs w:val="23"/>
          <w:rtl/>
        </w:rPr>
        <w:t>‌داد</w:t>
      </w:r>
      <w:r w:rsidRPr="00005251">
        <w:rPr>
          <w:i/>
          <w:sz w:val="23"/>
          <w:szCs w:val="23"/>
          <w:rtl/>
        </w:rPr>
        <w:t xml:space="preserve">. </w:t>
      </w:r>
      <w:r w:rsidRPr="00005251">
        <w:rPr>
          <w:rFonts w:hint="cs"/>
          <w:i/>
          <w:sz w:val="23"/>
          <w:szCs w:val="23"/>
          <w:rtl/>
        </w:rPr>
        <w:t>در</w:t>
      </w:r>
      <w:r w:rsidRPr="00005251">
        <w:rPr>
          <w:i/>
          <w:sz w:val="23"/>
          <w:szCs w:val="23"/>
          <w:rtl/>
        </w:rPr>
        <w:t xml:space="preserve"> </w:t>
      </w:r>
      <w:r w:rsidRPr="00005251">
        <w:rPr>
          <w:rFonts w:hint="cs"/>
          <w:i/>
          <w:sz w:val="23"/>
          <w:szCs w:val="23"/>
          <w:rtl/>
        </w:rPr>
        <w:t>نتیجه</w:t>
      </w:r>
      <w:r w:rsidRPr="00005251">
        <w:rPr>
          <w:i/>
          <w:sz w:val="23"/>
          <w:szCs w:val="23"/>
          <w:rtl/>
        </w:rPr>
        <w:t xml:space="preserve"> </w:t>
      </w:r>
      <w:r w:rsidRPr="00005251">
        <w:rPr>
          <w:rFonts w:hint="cs"/>
          <w:i/>
          <w:sz w:val="23"/>
          <w:szCs w:val="23"/>
          <w:rtl/>
        </w:rPr>
        <w:t>از رابطه</w:t>
      </w:r>
      <w:r w:rsidRPr="00005251">
        <w:rPr>
          <w:i/>
          <w:sz w:val="23"/>
          <w:szCs w:val="23"/>
          <w:rtl/>
        </w:rPr>
        <w:softHyphen/>
      </w:r>
      <w:r w:rsidRPr="00005251">
        <w:rPr>
          <w:rFonts w:hint="cs"/>
          <w:i/>
          <w:sz w:val="23"/>
          <w:szCs w:val="23"/>
          <w:rtl/>
        </w:rPr>
        <w:t>ی</w:t>
      </w:r>
      <w:r w:rsidRPr="00005251">
        <w:rPr>
          <w:i/>
          <w:sz w:val="23"/>
          <w:szCs w:val="23"/>
          <w:rtl/>
        </w:rPr>
        <w:t xml:space="preserve"> </w:t>
      </w:r>
      <w:r w:rsidRPr="00005251">
        <w:rPr>
          <w:rFonts w:hint="cs"/>
          <w:i/>
          <w:sz w:val="23"/>
          <w:szCs w:val="23"/>
          <w:rtl/>
        </w:rPr>
        <w:t>(۴. ۱۸)</w:t>
      </w:r>
      <w:r w:rsidRPr="00005251">
        <w:rPr>
          <w:i/>
          <w:sz w:val="23"/>
          <w:szCs w:val="23"/>
          <w:rtl/>
        </w:rPr>
        <w:t xml:space="preserve"> </w:t>
      </w:r>
      <w:r w:rsidRPr="00005251">
        <w:rPr>
          <w:rFonts w:hint="cs"/>
          <w:i/>
          <w:sz w:val="23"/>
          <w:szCs w:val="23"/>
          <w:rtl/>
        </w:rPr>
        <w:t>اطلاعات</w:t>
      </w:r>
      <w:r w:rsidRPr="00005251">
        <w:rPr>
          <w:position w:val="-10"/>
        </w:rPr>
        <w:object w:dxaOrig="200" w:dyaOrig="320" w14:anchorId="14530995">
          <v:shape id="_x0000_i2212" type="#_x0000_t75" style="width:10.3pt;height:16.35pt" o:ole="">
            <v:imagedata r:id="rId2409" o:title=""/>
          </v:shape>
          <o:OLEObject Type="Embed" ProgID="Equation.DSMT4" ShapeID="_x0000_i2212" DrawAspect="Content" ObjectID="_1791376156" r:id="rId2410"/>
        </w:object>
      </w:r>
      <w:r w:rsidRPr="00005251">
        <w:rPr>
          <w:i/>
          <w:sz w:val="23"/>
          <w:szCs w:val="23"/>
          <w:rtl/>
        </w:rPr>
        <w:t xml:space="preserve"> </w:t>
      </w:r>
      <w:r w:rsidRPr="00005251">
        <w:rPr>
          <w:rFonts w:hint="cs"/>
          <w:i/>
          <w:sz w:val="23"/>
          <w:szCs w:val="23"/>
          <w:rtl/>
        </w:rPr>
        <w:t>برای</w:t>
      </w:r>
      <w:r w:rsidRPr="00005251">
        <w:rPr>
          <w:i/>
          <w:sz w:val="23"/>
          <w:szCs w:val="23"/>
          <w:rtl/>
        </w:rPr>
        <w:t xml:space="preserve"> </w:t>
      </w:r>
      <w:r w:rsidRPr="00005251">
        <w:rPr>
          <w:rFonts w:hint="cs"/>
          <w:i/>
          <w:sz w:val="23"/>
          <w:szCs w:val="23"/>
          <w:rtl/>
        </w:rPr>
        <w:t>تعیین</w:t>
      </w:r>
      <w:r w:rsidRPr="00005251">
        <w:rPr>
          <w:position w:val="-10"/>
        </w:rPr>
        <w:object w:dxaOrig="340" w:dyaOrig="320" w14:anchorId="50A3542C">
          <v:shape id="_x0000_i2213" type="#_x0000_t75" style="width:16.95pt;height:16.35pt" o:ole="">
            <v:imagedata r:id="rId2411" o:title=""/>
          </v:shape>
          <o:OLEObject Type="Embed" ProgID="Equation.DSMT4" ShapeID="_x0000_i2213" DrawAspect="Content" ObjectID="_1791376157" r:id="rId2412"/>
        </w:object>
      </w:r>
      <w:r w:rsidRPr="00005251">
        <w:rPr>
          <w:i/>
          <w:sz w:val="23"/>
          <w:szCs w:val="23"/>
          <w:rtl/>
        </w:rPr>
        <w:t xml:space="preserve"> </w:t>
      </w:r>
      <w:r w:rsidRPr="00005251">
        <w:rPr>
          <w:rFonts w:hint="cs"/>
          <w:i/>
          <w:sz w:val="23"/>
          <w:szCs w:val="23"/>
          <w:rtl/>
        </w:rPr>
        <w:t>کافی است</w:t>
      </w:r>
      <w:r w:rsidRPr="00005251">
        <w:rPr>
          <w:i/>
          <w:sz w:val="23"/>
          <w:szCs w:val="23"/>
          <w:rtl/>
        </w:rPr>
        <w:t xml:space="preserve"> </w:t>
      </w:r>
      <w:r w:rsidRPr="00005251">
        <w:rPr>
          <w:rFonts w:hint="cs"/>
          <w:i/>
          <w:sz w:val="23"/>
          <w:szCs w:val="23"/>
          <w:rtl/>
        </w:rPr>
        <w:t>و</w:t>
      </w:r>
      <w:r w:rsidRPr="00005251">
        <w:rPr>
          <w:i/>
          <w:sz w:val="23"/>
          <w:szCs w:val="23"/>
          <w:rtl/>
        </w:rPr>
        <w:t xml:space="preserve"> </w:t>
      </w:r>
      <w:r w:rsidRPr="00005251">
        <w:rPr>
          <w:rFonts w:hint="cs"/>
          <w:i/>
          <w:sz w:val="23"/>
          <w:szCs w:val="23"/>
          <w:rtl/>
        </w:rPr>
        <w:t>درآمد هیچ</w:t>
      </w:r>
      <w:r w:rsidRPr="00005251">
        <w:rPr>
          <w:i/>
          <w:sz w:val="23"/>
          <w:szCs w:val="23"/>
          <w:rtl/>
        </w:rPr>
        <w:t xml:space="preserve"> </w:t>
      </w:r>
      <w:r w:rsidRPr="00005251">
        <w:rPr>
          <w:rFonts w:hint="cs"/>
          <w:i/>
          <w:sz w:val="23"/>
          <w:szCs w:val="23"/>
          <w:rtl/>
        </w:rPr>
        <w:t>اطلاعات</w:t>
      </w:r>
      <w:r w:rsidRPr="00005251">
        <w:rPr>
          <w:i/>
          <w:sz w:val="23"/>
          <w:szCs w:val="23"/>
          <w:rtl/>
        </w:rPr>
        <w:t xml:space="preserve"> </w:t>
      </w:r>
      <w:r w:rsidRPr="00005251">
        <w:rPr>
          <w:rFonts w:hint="cs"/>
          <w:i/>
          <w:sz w:val="23"/>
          <w:szCs w:val="23"/>
          <w:rtl/>
        </w:rPr>
        <w:t>اضافی را در بر نمی</w:t>
      </w:r>
      <w:r w:rsidRPr="00005251">
        <w:rPr>
          <w:i/>
          <w:sz w:val="23"/>
          <w:szCs w:val="23"/>
          <w:rtl/>
        </w:rPr>
        <w:softHyphen/>
      </w:r>
      <w:r w:rsidRPr="00005251">
        <w:rPr>
          <w:rFonts w:hint="cs"/>
          <w:i/>
          <w:sz w:val="23"/>
          <w:szCs w:val="23"/>
          <w:rtl/>
        </w:rPr>
        <w:t>گیرد</w:t>
      </w:r>
      <w:r w:rsidRPr="00005251">
        <w:rPr>
          <w:i/>
          <w:sz w:val="23"/>
          <w:szCs w:val="23"/>
          <w:rtl/>
        </w:rPr>
        <w:t>.</w:t>
      </w:r>
    </w:p>
    <w:p w14:paraId="14D9F6AC" w14:textId="77777777" w:rsidR="00411620" w:rsidRPr="00005251" w:rsidRDefault="00411620" w:rsidP="00411620">
      <w:pPr>
        <w:spacing w:line="216" w:lineRule="auto"/>
        <w:rPr>
          <w:i/>
          <w:sz w:val="23"/>
          <w:szCs w:val="23"/>
        </w:rPr>
      </w:pPr>
      <w:r w:rsidRPr="00005251">
        <w:rPr>
          <w:rFonts w:hint="cs"/>
          <w:i/>
          <w:sz w:val="23"/>
          <w:szCs w:val="23"/>
          <w:rtl/>
        </w:rPr>
        <w:t>با فرض وجود عدم</w:t>
      </w:r>
      <w:r w:rsidRPr="00005251">
        <w:rPr>
          <w:i/>
          <w:sz w:val="23"/>
          <w:szCs w:val="23"/>
          <w:rtl/>
        </w:rPr>
        <w:t xml:space="preserve"> </w:t>
      </w:r>
      <w:r w:rsidRPr="00005251">
        <w:rPr>
          <w:rFonts w:hint="cs"/>
          <w:i/>
          <w:sz w:val="23"/>
          <w:szCs w:val="23"/>
          <w:rtl/>
        </w:rPr>
        <w:t>اطمینان</w:t>
      </w:r>
      <w:r w:rsidRPr="00005251">
        <w:rPr>
          <w:i/>
          <w:sz w:val="23"/>
          <w:szCs w:val="23"/>
          <w:rtl/>
        </w:rPr>
        <w:t xml:space="preserve"> </w:t>
      </w:r>
      <w:r w:rsidRPr="00005251">
        <w:rPr>
          <w:rFonts w:hint="cs"/>
          <w:i/>
          <w:sz w:val="23"/>
          <w:szCs w:val="23"/>
          <w:rtl/>
        </w:rPr>
        <w:t>نسبت به آینده، رابطه</w:t>
      </w:r>
      <w:r w:rsidRPr="00005251">
        <w:rPr>
          <w:i/>
          <w:sz w:val="23"/>
          <w:szCs w:val="23"/>
          <w:rtl/>
        </w:rPr>
        <w:softHyphen/>
      </w:r>
      <w:r w:rsidRPr="00005251">
        <w:rPr>
          <w:rFonts w:hint="cs"/>
          <w:i/>
          <w:sz w:val="23"/>
          <w:szCs w:val="23"/>
          <w:rtl/>
        </w:rPr>
        <w:t>ی (۴. ۱۸)</w:t>
      </w:r>
      <w:r w:rsidRPr="00005251">
        <w:rPr>
          <w:i/>
          <w:sz w:val="23"/>
          <w:szCs w:val="23"/>
          <w:rtl/>
        </w:rPr>
        <w:t xml:space="preserve"> </w:t>
      </w:r>
      <w:r w:rsidRPr="00005251">
        <w:rPr>
          <w:rFonts w:hint="cs"/>
          <w:i/>
          <w:sz w:val="23"/>
          <w:szCs w:val="23"/>
          <w:rtl/>
        </w:rPr>
        <w:t>را می</w:t>
      </w:r>
      <w:r w:rsidRPr="00005251">
        <w:rPr>
          <w:i/>
          <w:sz w:val="23"/>
          <w:szCs w:val="23"/>
          <w:rtl/>
        </w:rPr>
        <w:softHyphen/>
      </w:r>
      <w:r w:rsidRPr="00005251">
        <w:rPr>
          <w:rFonts w:hint="cs"/>
          <w:i/>
          <w:sz w:val="23"/>
          <w:szCs w:val="23"/>
          <w:rtl/>
        </w:rPr>
        <w:t>توان به صورت زیر نوشت:</w:t>
      </w:r>
    </w:p>
    <w:p w14:paraId="08D8DBA3" w14:textId="77777777" w:rsidR="00411620" w:rsidRPr="00005251" w:rsidRDefault="00411620" w:rsidP="00411620">
      <w:pPr>
        <w:bidi w:val="0"/>
        <w:spacing w:line="216" w:lineRule="auto"/>
        <w:rPr>
          <w:i/>
          <w:sz w:val="23"/>
          <w:szCs w:val="23"/>
          <w:rtl/>
        </w:rPr>
      </w:pPr>
      <w:r w:rsidRPr="00005251">
        <w:rPr>
          <w:position w:val="-10"/>
        </w:rPr>
        <w:object w:dxaOrig="920" w:dyaOrig="320" w14:anchorId="24E0FAEC">
          <v:shape id="_x0000_i2214" type="#_x0000_t75" style="width:46pt;height:16.35pt" o:ole="">
            <v:imagedata r:id="rId2413" o:title=""/>
          </v:shape>
          <o:OLEObject Type="Embed" ProgID="Equation.DSMT4" ShapeID="_x0000_i2214" DrawAspect="Content" ObjectID="_1791376158" r:id="rId2414"/>
        </w:object>
      </w:r>
      <w:r w:rsidRPr="00005251">
        <w:rPr>
          <w:rFonts w:eastAsiaTheme="minorEastAsia"/>
          <w:i/>
          <w:sz w:val="23"/>
          <w:szCs w:val="23"/>
        </w:rPr>
        <w:t xml:space="preserve"> </w:t>
      </w:r>
      <w:r w:rsidRPr="00005251">
        <w:rPr>
          <w:rFonts w:eastAsiaTheme="minorEastAsia"/>
          <w:i/>
          <w:sz w:val="23"/>
          <w:szCs w:val="23"/>
          <w:rtl/>
        </w:rPr>
        <w:tab/>
      </w:r>
      <w:r w:rsidRPr="00005251">
        <w:rPr>
          <w:rFonts w:eastAsiaTheme="minorEastAsia"/>
          <w:i/>
          <w:sz w:val="23"/>
          <w:szCs w:val="23"/>
          <w:rtl/>
        </w:rPr>
        <w:tab/>
      </w:r>
      <w:r w:rsidRPr="00005251">
        <w:rPr>
          <w:rFonts w:eastAsiaTheme="minorEastAsia"/>
          <w:i/>
          <w:sz w:val="23"/>
          <w:szCs w:val="23"/>
          <w:rtl/>
        </w:rPr>
        <w:tab/>
      </w:r>
      <w:r w:rsidRPr="00005251">
        <w:rPr>
          <w:rFonts w:eastAsiaTheme="minorEastAsia"/>
          <w:i/>
          <w:sz w:val="23"/>
          <w:szCs w:val="23"/>
          <w:rtl/>
        </w:rPr>
        <w:tab/>
      </w:r>
      <w:r w:rsidRPr="00005251">
        <w:rPr>
          <w:rFonts w:eastAsiaTheme="minorEastAsia"/>
          <w:i/>
          <w:sz w:val="23"/>
          <w:szCs w:val="23"/>
        </w:rPr>
        <w:tab/>
      </w:r>
      <w:r w:rsidRPr="00005251">
        <w:rPr>
          <w:rFonts w:eastAsiaTheme="minorEastAsia"/>
          <w:i/>
          <w:sz w:val="23"/>
          <w:szCs w:val="23"/>
        </w:rPr>
        <w:tab/>
      </w:r>
      <w:r w:rsidRPr="00005251">
        <w:rPr>
          <w:rFonts w:eastAsiaTheme="minorEastAsia"/>
          <w:i/>
          <w:sz w:val="23"/>
          <w:szCs w:val="23"/>
        </w:rPr>
        <w:tab/>
      </w:r>
      <w:r w:rsidRPr="00005251">
        <w:rPr>
          <w:rFonts w:eastAsiaTheme="minorEastAsia"/>
          <w:i/>
          <w:sz w:val="23"/>
          <w:szCs w:val="23"/>
        </w:rPr>
        <w:tab/>
      </w:r>
      <w:r w:rsidRPr="00005251">
        <w:rPr>
          <w:rFonts w:eastAsiaTheme="minorEastAsia"/>
          <w:i/>
          <w:sz w:val="23"/>
          <w:szCs w:val="23"/>
        </w:rPr>
        <w:tab/>
      </w:r>
      <w:r w:rsidRPr="00005251">
        <w:rPr>
          <w:rFonts w:eastAsiaTheme="minorEastAsia"/>
          <w:i/>
          <w:sz w:val="23"/>
          <w:szCs w:val="23"/>
        </w:rPr>
        <w:tab/>
      </w:r>
      <w:r w:rsidRPr="00005251">
        <w:rPr>
          <w:rFonts w:eastAsiaTheme="minorEastAsia"/>
          <w:i/>
          <w:sz w:val="23"/>
          <w:szCs w:val="23"/>
        </w:rPr>
        <w:tab/>
      </w:r>
      <w:r>
        <w:rPr>
          <w:rFonts w:eastAsiaTheme="minorEastAsia"/>
          <w:i/>
          <w:sz w:val="23"/>
          <w:szCs w:val="23"/>
          <w:rtl/>
        </w:rPr>
        <w:tab/>
      </w:r>
      <w:r w:rsidRPr="00005251">
        <w:rPr>
          <w:rFonts w:eastAsiaTheme="minorEastAsia"/>
          <w:i/>
          <w:sz w:val="23"/>
          <w:szCs w:val="23"/>
        </w:rPr>
        <w:tab/>
      </w:r>
      <w:r w:rsidRPr="00005251">
        <w:rPr>
          <w:rFonts w:eastAsiaTheme="minorEastAsia"/>
          <w:i/>
          <w:sz w:val="23"/>
          <w:szCs w:val="23"/>
          <w:rtl/>
        </w:rPr>
        <w:tab/>
      </w:r>
      <w:r w:rsidRPr="00005251">
        <w:rPr>
          <w:rFonts w:eastAsiaTheme="minorEastAsia"/>
          <w:i/>
          <w:sz w:val="23"/>
          <w:szCs w:val="23"/>
        </w:rPr>
        <w:tab/>
      </w:r>
      <w:r w:rsidRPr="00005251">
        <w:rPr>
          <w:rFonts w:eastAsiaTheme="minorEastAsia"/>
          <w:i/>
          <w:sz w:val="23"/>
          <w:szCs w:val="23"/>
          <w:rtl/>
        </w:rPr>
        <w:tab/>
      </w:r>
      <w:r w:rsidRPr="00005251">
        <w:rPr>
          <w:rFonts w:eastAsiaTheme="minorEastAsia"/>
          <w:i/>
          <w:sz w:val="23"/>
          <w:szCs w:val="23"/>
          <w:rtl/>
        </w:rPr>
        <w:tab/>
      </w:r>
      <w:r w:rsidRPr="00005251">
        <w:rPr>
          <w:rFonts w:eastAsiaTheme="minorEastAsia"/>
          <w:i/>
          <w:sz w:val="23"/>
          <w:szCs w:val="23"/>
          <w:rtl/>
        </w:rPr>
        <w:tab/>
      </w:r>
      <w:r w:rsidRPr="00005251">
        <w:rPr>
          <w:rFonts w:eastAsiaTheme="minorEastAsia" w:hint="cs"/>
          <w:i/>
          <w:sz w:val="23"/>
          <w:szCs w:val="23"/>
          <w:rtl/>
        </w:rPr>
        <w:t>(۴. ۱۹)</w:t>
      </w:r>
    </w:p>
    <w:p w14:paraId="026EA3B5" w14:textId="77777777" w:rsidR="00411620" w:rsidRDefault="00411620" w:rsidP="00411620">
      <w:pPr>
        <w:spacing w:line="216" w:lineRule="auto"/>
        <w:rPr>
          <w:i/>
          <w:sz w:val="23"/>
          <w:szCs w:val="23"/>
          <w:rtl/>
        </w:rPr>
      </w:pPr>
      <w:r w:rsidRPr="00005251">
        <w:rPr>
          <w:rFonts w:hint="cs"/>
          <w:i/>
          <w:sz w:val="23"/>
          <w:szCs w:val="23"/>
          <w:rtl/>
        </w:rPr>
        <w:t>که</w:t>
      </w:r>
      <w:r w:rsidRPr="00005251">
        <w:rPr>
          <w:i/>
          <w:sz w:val="23"/>
          <w:szCs w:val="23"/>
          <w:rtl/>
        </w:rPr>
        <w:t xml:space="preserve"> </w:t>
      </w:r>
      <w:r w:rsidRPr="00005251">
        <w:rPr>
          <w:rFonts w:hint="cs"/>
          <w:i/>
          <w:sz w:val="23"/>
          <w:szCs w:val="23"/>
          <w:rtl/>
        </w:rPr>
        <w:t>در</w:t>
      </w:r>
      <w:r w:rsidRPr="00005251">
        <w:rPr>
          <w:i/>
          <w:sz w:val="23"/>
          <w:szCs w:val="23"/>
          <w:rtl/>
        </w:rPr>
        <w:t xml:space="preserve"> </w:t>
      </w:r>
      <w:r w:rsidRPr="00005251">
        <w:rPr>
          <w:rFonts w:hint="cs"/>
          <w:i/>
          <w:sz w:val="23"/>
          <w:szCs w:val="23"/>
          <w:rtl/>
        </w:rPr>
        <w:t>آن</w:t>
      </w:r>
      <w:r w:rsidRPr="00005251">
        <w:rPr>
          <w:position w:val="-10"/>
        </w:rPr>
        <w:object w:dxaOrig="279" w:dyaOrig="320" w14:anchorId="6606E887">
          <v:shape id="_x0000_i2215" type="#_x0000_t75" style="width:13.9pt;height:16.35pt" o:ole="">
            <v:imagedata r:id="rId2415" o:title=""/>
          </v:shape>
          <o:OLEObject Type="Embed" ProgID="Equation.DSMT4" ShapeID="_x0000_i2215" DrawAspect="Content" ObjectID="_1791376159" r:id="rId2416"/>
        </w:object>
      </w:r>
      <w:r w:rsidRPr="00005251">
        <w:rPr>
          <w:i/>
          <w:sz w:val="23"/>
          <w:szCs w:val="23"/>
          <w:rtl/>
        </w:rPr>
        <w:t xml:space="preserve"> </w:t>
      </w:r>
      <w:r w:rsidRPr="00005251">
        <w:rPr>
          <w:rFonts w:hint="cs"/>
          <w:i/>
          <w:sz w:val="23"/>
          <w:szCs w:val="23"/>
          <w:rtl/>
        </w:rPr>
        <w:t>انتظارات</w:t>
      </w:r>
      <w:r w:rsidRPr="00005251">
        <w:rPr>
          <w:i/>
          <w:sz w:val="23"/>
          <w:szCs w:val="23"/>
          <w:rtl/>
        </w:rPr>
        <w:t xml:space="preserve"> </w:t>
      </w:r>
      <w:r w:rsidRPr="00005251">
        <w:rPr>
          <w:rFonts w:hint="cs"/>
          <w:i/>
          <w:sz w:val="23"/>
          <w:szCs w:val="23"/>
          <w:rtl/>
        </w:rPr>
        <w:t>شرطی</w:t>
      </w:r>
      <w:r w:rsidRPr="00005251">
        <w:rPr>
          <w:i/>
          <w:sz w:val="23"/>
          <w:szCs w:val="23"/>
          <w:rtl/>
        </w:rPr>
        <w:t xml:space="preserve"> </w:t>
      </w:r>
      <w:r w:rsidRPr="00005251">
        <w:rPr>
          <w:rFonts w:hint="cs"/>
          <w:i/>
          <w:sz w:val="23"/>
          <w:szCs w:val="23"/>
          <w:rtl/>
        </w:rPr>
        <w:t>بر</w:t>
      </w:r>
      <w:r w:rsidRPr="00005251">
        <w:rPr>
          <w:i/>
          <w:sz w:val="23"/>
          <w:szCs w:val="23"/>
          <w:rtl/>
        </w:rPr>
        <w:t xml:space="preserve"> </w:t>
      </w:r>
      <w:r w:rsidRPr="00005251">
        <w:rPr>
          <w:rFonts w:hint="cs"/>
          <w:i/>
          <w:sz w:val="23"/>
          <w:szCs w:val="23"/>
          <w:rtl/>
        </w:rPr>
        <w:t>اساس اطلاعات</w:t>
      </w:r>
      <w:r w:rsidRPr="00005251">
        <w:rPr>
          <w:i/>
          <w:sz w:val="23"/>
          <w:szCs w:val="23"/>
          <w:rtl/>
        </w:rPr>
        <w:t xml:space="preserve"> </w:t>
      </w:r>
      <w:r w:rsidRPr="00005251">
        <w:rPr>
          <w:rFonts w:hint="cs"/>
          <w:i/>
          <w:sz w:val="23"/>
          <w:szCs w:val="23"/>
          <w:rtl/>
        </w:rPr>
        <w:t>موجود</w:t>
      </w:r>
      <w:r w:rsidRPr="00005251">
        <w:rPr>
          <w:i/>
          <w:sz w:val="23"/>
          <w:szCs w:val="23"/>
          <w:rtl/>
        </w:rPr>
        <w:t xml:space="preserve"> </w:t>
      </w:r>
      <w:r w:rsidRPr="00005251">
        <w:rPr>
          <w:rFonts w:hint="cs"/>
          <w:i/>
          <w:sz w:val="23"/>
          <w:szCs w:val="23"/>
          <w:rtl/>
        </w:rPr>
        <w:t>تا</w:t>
      </w:r>
      <w:r w:rsidRPr="00005251">
        <w:rPr>
          <w:i/>
          <w:sz w:val="23"/>
          <w:szCs w:val="23"/>
          <w:rtl/>
        </w:rPr>
        <w:t xml:space="preserve"> </w:t>
      </w:r>
      <w:r w:rsidRPr="00005251">
        <w:rPr>
          <w:rFonts w:hint="cs"/>
          <w:i/>
          <w:sz w:val="23"/>
          <w:szCs w:val="23"/>
          <w:rtl/>
        </w:rPr>
        <w:t>زمان</w:t>
      </w:r>
      <w:r w:rsidRPr="00005251">
        <w:rPr>
          <w:position w:val="-6"/>
        </w:rPr>
        <w:object w:dxaOrig="139" w:dyaOrig="240" w14:anchorId="3213771C">
          <v:shape id="_x0000_i2216" type="#_x0000_t75" style="width:6.65pt;height:11.5pt" o:ole="">
            <v:imagedata r:id="rId2417" o:title=""/>
          </v:shape>
          <o:OLEObject Type="Embed" ProgID="Equation.DSMT4" ShapeID="_x0000_i2216" DrawAspect="Content" ObjectID="_1791376160" r:id="rId2418"/>
        </w:object>
      </w:r>
      <w:r w:rsidRPr="00005251">
        <w:rPr>
          <w:i/>
          <w:sz w:val="23"/>
          <w:szCs w:val="23"/>
          <w:rtl/>
        </w:rPr>
        <w:t xml:space="preserve"> </w:t>
      </w:r>
      <w:r w:rsidRPr="00005251">
        <w:rPr>
          <w:rFonts w:hint="cs"/>
          <w:i/>
          <w:sz w:val="23"/>
          <w:szCs w:val="23"/>
          <w:rtl/>
        </w:rPr>
        <w:t>است</w:t>
      </w:r>
      <w:r w:rsidRPr="00005251">
        <w:rPr>
          <w:i/>
          <w:sz w:val="23"/>
          <w:szCs w:val="23"/>
          <w:rtl/>
        </w:rPr>
        <w:t xml:space="preserve">. </w:t>
      </w:r>
      <w:r w:rsidRPr="00005251">
        <w:rPr>
          <w:rFonts w:hint="cs"/>
          <w:i/>
          <w:sz w:val="23"/>
          <w:szCs w:val="23"/>
          <w:rtl/>
        </w:rPr>
        <w:t>اگر</w:t>
      </w:r>
      <w:r w:rsidRPr="00005251">
        <w:rPr>
          <w:i/>
          <w:sz w:val="23"/>
          <w:szCs w:val="23"/>
          <w:rtl/>
        </w:rPr>
        <w:t xml:space="preserve"> </w:t>
      </w:r>
      <w:r w:rsidRPr="00005251">
        <w:rPr>
          <w:rFonts w:hint="cs"/>
          <w:i/>
          <w:sz w:val="23"/>
          <w:szCs w:val="23"/>
          <w:rtl/>
        </w:rPr>
        <w:t>انتظارات</w:t>
      </w:r>
      <w:r w:rsidRPr="00005251">
        <w:rPr>
          <w:i/>
          <w:sz w:val="23"/>
          <w:szCs w:val="23"/>
          <w:rtl/>
        </w:rPr>
        <w:t xml:space="preserve"> </w:t>
      </w:r>
      <w:r w:rsidRPr="00005251">
        <w:rPr>
          <w:rFonts w:hint="cs"/>
          <w:i/>
          <w:sz w:val="23"/>
          <w:szCs w:val="23"/>
          <w:rtl/>
        </w:rPr>
        <w:t>عقلایی</w:t>
      </w:r>
      <w:r w:rsidRPr="00005251">
        <w:rPr>
          <w:i/>
          <w:sz w:val="23"/>
          <w:szCs w:val="23"/>
          <w:vertAlign w:val="superscript"/>
          <w:rtl/>
        </w:rPr>
        <w:footnoteReference w:id="115"/>
      </w:r>
      <w:r w:rsidRPr="00005251">
        <w:rPr>
          <w:i/>
          <w:sz w:val="23"/>
          <w:szCs w:val="23"/>
          <w:rtl/>
        </w:rPr>
        <w:t xml:space="preserve"> </w:t>
      </w:r>
      <w:r w:rsidRPr="00005251">
        <w:rPr>
          <w:rFonts w:hint="cs"/>
          <w:i/>
          <w:sz w:val="23"/>
          <w:szCs w:val="23"/>
          <w:rtl/>
        </w:rPr>
        <w:t>باشد،</w:t>
      </w:r>
      <w:r w:rsidRPr="00005251">
        <w:rPr>
          <w:i/>
          <w:sz w:val="23"/>
          <w:szCs w:val="23"/>
          <w:rtl/>
        </w:rPr>
        <w:t xml:space="preserve"> </w:t>
      </w:r>
      <w:r w:rsidRPr="00005251">
        <w:rPr>
          <w:rFonts w:hint="cs"/>
          <w:i/>
          <w:sz w:val="23"/>
          <w:szCs w:val="23"/>
          <w:rtl/>
        </w:rPr>
        <w:t>آنگاه خطای</w:t>
      </w:r>
      <w:r w:rsidRPr="00005251">
        <w:rPr>
          <w:i/>
          <w:sz w:val="23"/>
          <w:szCs w:val="23"/>
          <w:rtl/>
        </w:rPr>
        <w:t xml:space="preserve"> </w:t>
      </w:r>
      <w:r w:rsidRPr="00005251">
        <w:rPr>
          <w:rFonts w:hint="cs"/>
          <w:i/>
          <w:sz w:val="23"/>
          <w:szCs w:val="23"/>
          <w:rtl/>
        </w:rPr>
        <w:t xml:space="preserve">انتظاری که برابر است با </w:t>
      </w:r>
      <w:r w:rsidRPr="00005251">
        <w:rPr>
          <w:position w:val="-10"/>
        </w:rPr>
        <w:object w:dxaOrig="1540" w:dyaOrig="320" w14:anchorId="2FCD2E83">
          <v:shape id="_x0000_i2217" type="#_x0000_t75" style="width:77.45pt;height:16.35pt" o:ole="">
            <v:imagedata r:id="rId2419" o:title=""/>
          </v:shape>
          <o:OLEObject Type="Embed" ProgID="Equation.DSMT4" ShapeID="_x0000_i2217" DrawAspect="Content" ObjectID="_1791376161" r:id="rId2420"/>
        </w:object>
      </w:r>
      <w:r w:rsidRPr="00005251">
        <w:rPr>
          <w:rFonts w:hint="cs"/>
          <w:i/>
          <w:sz w:val="23"/>
          <w:szCs w:val="23"/>
          <w:rtl/>
        </w:rPr>
        <w:t>،</w:t>
      </w:r>
      <w:r w:rsidRPr="00005251">
        <w:rPr>
          <w:rFonts w:eastAsiaTheme="minorEastAsia" w:hint="cs"/>
          <w:i/>
          <w:sz w:val="23"/>
          <w:szCs w:val="23"/>
          <w:rtl/>
        </w:rPr>
        <w:t xml:space="preserve"> </w:t>
      </w:r>
      <w:r w:rsidRPr="00005251">
        <w:rPr>
          <w:rFonts w:hint="cs"/>
          <w:i/>
          <w:sz w:val="23"/>
          <w:szCs w:val="23"/>
          <w:rtl/>
        </w:rPr>
        <w:t>نسبت به</w:t>
      </w:r>
      <w:r w:rsidRPr="00005251">
        <w:rPr>
          <w:i/>
          <w:sz w:val="23"/>
          <w:szCs w:val="23"/>
          <w:rtl/>
        </w:rPr>
        <w:t xml:space="preserve"> </w:t>
      </w:r>
      <w:r w:rsidRPr="00005251">
        <w:rPr>
          <w:rFonts w:hint="cs"/>
          <w:i/>
          <w:sz w:val="23"/>
          <w:szCs w:val="23"/>
          <w:rtl/>
        </w:rPr>
        <w:t>اطلاعات</w:t>
      </w:r>
      <w:r w:rsidRPr="00005251">
        <w:rPr>
          <w:i/>
          <w:sz w:val="23"/>
          <w:szCs w:val="23"/>
          <w:rtl/>
        </w:rPr>
        <w:t xml:space="preserve"> </w:t>
      </w:r>
      <w:r w:rsidRPr="00005251">
        <w:rPr>
          <w:rFonts w:hint="cs"/>
          <w:i/>
          <w:sz w:val="23"/>
          <w:szCs w:val="23"/>
          <w:rtl/>
        </w:rPr>
        <w:t>تا</w:t>
      </w:r>
      <w:r w:rsidRPr="00005251">
        <w:rPr>
          <w:i/>
          <w:sz w:val="23"/>
          <w:szCs w:val="23"/>
          <w:rtl/>
        </w:rPr>
        <w:t xml:space="preserve"> </w:t>
      </w:r>
      <w:r w:rsidRPr="00005251">
        <w:rPr>
          <w:rFonts w:hint="cs"/>
          <w:i/>
          <w:sz w:val="23"/>
          <w:szCs w:val="23"/>
          <w:rtl/>
        </w:rPr>
        <w:t>زمان</w:t>
      </w:r>
      <w:r w:rsidRPr="00005251">
        <w:rPr>
          <w:position w:val="-6"/>
        </w:rPr>
        <w:object w:dxaOrig="139" w:dyaOrig="240" w14:anchorId="6D7E1A0C">
          <v:shape id="_x0000_i2218" type="#_x0000_t75" style="width:6.65pt;height:11.5pt" o:ole="">
            <v:imagedata r:id="rId2421" o:title=""/>
          </v:shape>
          <o:OLEObject Type="Embed" ProgID="Equation.DSMT4" ShapeID="_x0000_i2218" DrawAspect="Content" ObjectID="_1791376162" r:id="rId2422"/>
        </w:object>
      </w:r>
      <w:r w:rsidRPr="00005251">
        <w:rPr>
          <w:i/>
          <w:sz w:val="23"/>
          <w:szCs w:val="23"/>
          <w:rtl/>
        </w:rPr>
        <w:t xml:space="preserve"> </w:t>
      </w:r>
      <w:r w:rsidRPr="00005251">
        <w:rPr>
          <w:rFonts w:hint="cs"/>
          <w:i/>
          <w:sz w:val="23"/>
          <w:szCs w:val="23"/>
          <w:rtl/>
        </w:rPr>
        <w:t>غیرقابل</w:t>
      </w:r>
      <w:r w:rsidRPr="00005251">
        <w:rPr>
          <w:i/>
          <w:sz w:val="23"/>
          <w:szCs w:val="23"/>
          <w:rtl/>
        </w:rPr>
        <w:t xml:space="preserve"> </w:t>
      </w:r>
      <w:r w:rsidRPr="00005251">
        <w:rPr>
          <w:rFonts w:hint="cs"/>
          <w:i/>
          <w:sz w:val="23"/>
          <w:szCs w:val="23"/>
          <w:rtl/>
        </w:rPr>
        <w:t>پیش</w:t>
      </w:r>
      <w:r w:rsidRPr="00005251">
        <w:rPr>
          <w:i/>
          <w:sz w:val="23"/>
          <w:szCs w:val="23"/>
          <w:rtl/>
        </w:rPr>
        <w:softHyphen/>
      </w:r>
      <w:r w:rsidRPr="00005251">
        <w:rPr>
          <w:rFonts w:hint="cs"/>
          <w:i/>
          <w:sz w:val="23"/>
          <w:szCs w:val="23"/>
          <w:rtl/>
        </w:rPr>
        <w:t>بینی</w:t>
      </w:r>
      <w:r w:rsidRPr="00005251">
        <w:rPr>
          <w:i/>
          <w:sz w:val="23"/>
          <w:szCs w:val="23"/>
          <w:rtl/>
        </w:rPr>
        <w:t xml:space="preserve"> </w:t>
      </w:r>
      <w:r w:rsidRPr="00005251">
        <w:rPr>
          <w:rFonts w:hint="cs"/>
          <w:i/>
          <w:sz w:val="23"/>
          <w:szCs w:val="23"/>
          <w:rtl/>
        </w:rPr>
        <w:t>است،</w:t>
      </w:r>
      <w:r w:rsidRPr="00005251">
        <w:rPr>
          <w:i/>
          <w:sz w:val="23"/>
          <w:szCs w:val="23"/>
          <w:rtl/>
        </w:rPr>
        <w:t xml:space="preserve"> </w:t>
      </w:r>
      <w:r w:rsidRPr="00005251">
        <w:rPr>
          <w:rFonts w:hint="cs"/>
          <w:i/>
          <w:sz w:val="23"/>
          <w:szCs w:val="23"/>
          <w:rtl/>
        </w:rPr>
        <w:t>یعنی</w:t>
      </w:r>
      <w:r w:rsidRPr="00005251">
        <w:rPr>
          <w:i/>
          <w:sz w:val="23"/>
          <w:szCs w:val="23"/>
          <w:rtl/>
        </w:rPr>
        <w:t xml:space="preserve"> </w:t>
      </w:r>
      <w:r w:rsidRPr="00005251">
        <w:rPr>
          <w:position w:val="-10"/>
        </w:rPr>
        <w:object w:dxaOrig="920" w:dyaOrig="320" w14:anchorId="19BA42FC">
          <v:shape id="_x0000_i2219" type="#_x0000_t75" style="width:46pt;height:16.35pt" o:ole="">
            <v:imagedata r:id="rId2423" o:title=""/>
          </v:shape>
          <o:OLEObject Type="Embed" ProgID="Equation.DSMT4" ShapeID="_x0000_i2219" DrawAspect="Content" ObjectID="_1791376163" r:id="rId2424"/>
        </w:object>
      </w:r>
      <w:r w:rsidRPr="00005251">
        <w:rPr>
          <w:i/>
          <w:sz w:val="23"/>
          <w:szCs w:val="23"/>
          <w:rtl/>
        </w:rPr>
        <w:t xml:space="preserve">. </w:t>
      </w:r>
      <w:r w:rsidRPr="00005251">
        <w:rPr>
          <w:rFonts w:hint="cs"/>
          <w:i/>
          <w:sz w:val="23"/>
          <w:szCs w:val="23"/>
          <w:rtl/>
        </w:rPr>
        <w:t>به تعبیری مصرف یک فرآیند مارتینگیل</w:t>
      </w:r>
      <w:r w:rsidRPr="00005251">
        <w:rPr>
          <w:i/>
          <w:sz w:val="23"/>
          <w:szCs w:val="23"/>
          <w:vertAlign w:val="superscript"/>
          <w:rtl/>
        </w:rPr>
        <w:footnoteReference w:id="116"/>
      </w:r>
      <w:r w:rsidRPr="00005251">
        <w:rPr>
          <w:rFonts w:hint="cs"/>
          <w:i/>
          <w:sz w:val="23"/>
          <w:szCs w:val="23"/>
          <w:rtl/>
        </w:rPr>
        <w:t xml:space="preserve"> است</w:t>
      </w:r>
      <w:r w:rsidRPr="00005251">
        <w:rPr>
          <w:i/>
          <w:sz w:val="23"/>
          <w:szCs w:val="23"/>
          <w:rtl/>
        </w:rPr>
        <w:t xml:space="preserve">. </w:t>
      </w:r>
      <w:r w:rsidRPr="00005251">
        <w:rPr>
          <w:rFonts w:hint="cs"/>
          <w:i/>
          <w:sz w:val="23"/>
          <w:szCs w:val="23"/>
          <w:rtl/>
        </w:rPr>
        <w:t>و اگر واریانس</w:t>
      </w:r>
      <w:r w:rsidRPr="00005251">
        <w:rPr>
          <w:position w:val="-10"/>
        </w:rPr>
        <w:object w:dxaOrig="480" w:dyaOrig="320" w14:anchorId="19A88482">
          <v:shape id="_x0000_i2220" type="#_x0000_t75" style="width:24.2pt;height:16.35pt" o:ole="">
            <v:imagedata r:id="rId2425" o:title=""/>
          </v:shape>
          <o:OLEObject Type="Embed" ProgID="Equation.DSMT4" ShapeID="_x0000_i2220" DrawAspect="Content" ObjectID="_1791376164" r:id="rId2426"/>
        </w:object>
      </w:r>
      <w:r w:rsidRPr="00005251">
        <w:rPr>
          <w:i/>
          <w:sz w:val="23"/>
          <w:szCs w:val="23"/>
          <w:rtl/>
        </w:rPr>
        <w:t xml:space="preserve"> </w:t>
      </w:r>
      <w:r w:rsidRPr="00005251">
        <w:rPr>
          <w:rFonts w:hint="cs"/>
          <w:i/>
          <w:sz w:val="23"/>
          <w:szCs w:val="23"/>
          <w:rtl/>
        </w:rPr>
        <w:t>نیز ثابت</w:t>
      </w:r>
      <w:r w:rsidRPr="00005251">
        <w:rPr>
          <w:i/>
          <w:sz w:val="23"/>
          <w:szCs w:val="23"/>
          <w:rtl/>
        </w:rPr>
        <w:t xml:space="preserve"> </w:t>
      </w:r>
      <w:r w:rsidRPr="00005251">
        <w:rPr>
          <w:rFonts w:hint="cs"/>
          <w:i/>
          <w:sz w:val="23"/>
          <w:szCs w:val="23"/>
          <w:rtl/>
        </w:rPr>
        <w:t>باشد آنگاه مصرف یک فرایند گام تصادفی</w:t>
      </w:r>
      <w:r w:rsidRPr="00005251">
        <w:rPr>
          <w:i/>
          <w:sz w:val="23"/>
          <w:szCs w:val="23"/>
          <w:vertAlign w:val="superscript"/>
          <w:rtl/>
        </w:rPr>
        <w:footnoteReference w:id="117"/>
      </w:r>
      <w:r w:rsidRPr="00005251">
        <w:rPr>
          <w:rFonts w:hint="cs"/>
          <w:i/>
          <w:sz w:val="23"/>
          <w:szCs w:val="23"/>
          <w:rtl/>
        </w:rPr>
        <w:t xml:space="preserve"> است.</w:t>
      </w:r>
      <w:r w:rsidRPr="00005251">
        <w:rPr>
          <w:i/>
          <w:sz w:val="23"/>
          <w:szCs w:val="23"/>
          <w:rtl/>
        </w:rPr>
        <w:t xml:space="preserve"> </w:t>
      </w:r>
      <w:r w:rsidRPr="00005251">
        <w:rPr>
          <w:rFonts w:hint="cs"/>
          <w:i/>
          <w:sz w:val="23"/>
          <w:szCs w:val="23"/>
          <w:rtl/>
        </w:rPr>
        <w:t>رابطه</w:t>
      </w:r>
      <w:r w:rsidRPr="00005251">
        <w:rPr>
          <w:i/>
          <w:sz w:val="23"/>
          <w:szCs w:val="23"/>
          <w:rtl/>
        </w:rPr>
        <w:softHyphen/>
      </w:r>
      <w:r w:rsidRPr="00005251">
        <w:rPr>
          <w:rFonts w:hint="cs"/>
          <w:i/>
          <w:sz w:val="23"/>
          <w:szCs w:val="23"/>
          <w:rtl/>
        </w:rPr>
        <w:t>ی</w:t>
      </w:r>
      <w:r w:rsidRPr="00005251">
        <w:rPr>
          <w:i/>
          <w:sz w:val="23"/>
          <w:szCs w:val="23"/>
          <w:rtl/>
        </w:rPr>
        <w:t xml:space="preserve"> </w:t>
      </w:r>
      <w:r w:rsidRPr="00005251">
        <w:rPr>
          <w:rFonts w:hint="cs"/>
          <w:i/>
          <w:sz w:val="23"/>
          <w:szCs w:val="23"/>
          <w:rtl/>
        </w:rPr>
        <w:t>(۴. ۱۹)</w:t>
      </w:r>
      <w:r w:rsidRPr="00005251">
        <w:rPr>
          <w:i/>
          <w:sz w:val="23"/>
          <w:szCs w:val="23"/>
          <w:rtl/>
        </w:rPr>
        <w:t xml:space="preserve"> </w:t>
      </w:r>
      <w:r w:rsidRPr="00005251">
        <w:rPr>
          <w:rFonts w:hint="cs"/>
          <w:i/>
          <w:sz w:val="23"/>
          <w:szCs w:val="23"/>
          <w:rtl/>
        </w:rPr>
        <w:t>برای</w:t>
      </w:r>
      <w:r w:rsidRPr="00005251">
        <w:rPr>
          <w:i/>
          <w:sz w:val="23"/>
          <w:szCs w:val="23"/>
          <w:rtl/>
        </w:rPr>
        <w:t xml:space="preserve"> </w:t>
      </w:r>
      <w:r w:rsidRPr="00005251">
        <w:rPr>
          <w:rFonts w:hint="cs"/>
          <w:i/>
          <w:sz w:val="23"/>
          <w:szCs w:val="23"/>
          <w:rtl/>
        </w:rPr>
        <w:t>اولین</w:t>
      </w:r>
      <w:r w:rsidRPr="00005251">
        <w:rPr>
          <w:i/>
          <w:sz w:val="23"/>
          <w:szCs w:val="23"/>
          <w:rtl/>
        </w:rPr>
        <w:t xml:space="preserve"> </w:t>
      </w:r>
      <w:r w:rsidRPr="00005251">
        <w:rPr>
          <w:rFonts w:hint="cs"/>
          <w:i/>
          <w:sz w:val="23"/>
          <w:szCs w:val="23"/>
          <w:rtl/>
        </w:rPr>
        <w:t>بار</w:t>
      </w:r>
      <w:r w:rsidRPr="00005251">
        <w:rPr>
          <w:i/>
          <w:sz w:val="23"/>
          <w:szCs w:val="23"/>
          <w:rtl/>
        </w:rPr>
        <w:t xml:space="preserve"> </w:t>
      </w:r>
      <w:r w:rsidRPr="00005251">
        <w:rPr>
          <w:rFonts w:hint="cs"/>
          <w:i/>
          <w:sz w:val="23"/>
          <w:szCs w:val="23"/>
          <w:rtl/>
        </w:rPr>
        <w:t>توسط</w:t>
      </w:r>
      <w:r w:rsidRPr="00005251">
        <w:rPr>
          <w:i/>
          <w:sz w:val="23"/>
          <w:szCs w:val="23"/>
          <w:rtl/>
        </w:rPr>
        <w:t xml:space="preserve"> </w:t>
      </w:r>
      <w:r w:rsidRPr="00005251">
        <w:rPr>
          <w:rFonts w:hint="cs"/>
          <w:i/>
          <w:sz w:val="23"/>
          <w:szCs w:val="23"/>
          <w:rtl/>
        </w:rPr>
        <w:t>رابرت هال</w:t>
      </w:r>
      <w:r w:rsidRPr="00005251">
        <w:rPr>
          <w:i/>
          <w:sz w:val="23"/>
          <w:szCs w:val="23"/>
          <w:vertAlign w:val="superscript"/>
          <w:rtl/>
        </w:rPr>
        <w:footnoteReference w:id="118"/>
      </w:r>
      <w:r w:rsidRPr="00005251">
        <w:rPr>
          <w:i/>
          <w:sz w:val="23"/>
          <w:szCs w:val="23"/>
          <w:rtl/>
        </w:rPr>
        <w:t xml:space="preserve"> </w:t>
      </w:r>
      <w:r w:rsidRPr="00005251">
        <w:rPr>
          <w:rFonts w:hint="cs"/>
          <w:i/>
          <w:sz w:val="23"/>
          <w:szCs w:val="23"/>
          <w:rtl/>
        </w:rPr>
        <w:t>به</w:t>
      </w:r>
      <w:r w:rsidRPr="00005251">
        <w:rPr>
          <w:i/>
          <w:sz w:val="23"/>
          <w:szCs w:val="23"/>
          <w:rtl/>
        </w:rPr>
        <w:t xml:space="preserve"> </w:t>
      </w:r>
      <w:r w:rsidRPr="00005251">
        <w:rPr>
          <w:rFonts w:hint="cs"/>
          <w:i/>
          <w:sz w:val="23"/>
          <w:szCs w:val="23"/>
          <w:rtl/>
        </w:rPr>
        <w:t>دست</w:t>
      </w:r>
      <w:r w:rsidRPr="00005251">
        <w:rPr>
          <w:i/>
          <w:sz w:val="23"/>
          <w:szCs w:val="23"/>
          <w:rtl/>
        </w:rPr>
        <w:t xml:space="preserve"> </w:t>
      </w:r>
      <w:r w:rsidRPr="00005251">
        <w:rPr>
          <w:rFonts w:hint="cs"/>
          <w:i/>
          <w:sz w:val="23"/>
          <w:szCs w:val="23"/>
          <w:rtl/>
        </w:rPr>
        <w:t>آمد</w:t>
      </w:r>
      <w:r w:rsidRPr="00005251">
        <w:rPr>
          <w:i/>
          <w:sz w:val="23"/>
          <w:szCs w:val="23"/>
          <w:rtl/>
        </w:rPr>
        <w:t>.</w:t>
      </w:r>
      <w:r w:rsidRPr="00005251">
        <w:rPr>
          <w:rFonts w:hint="cs"/>
          <w:i/>
          <w:sz w:val="23"/>
          <w:szCs w:val="23"/>
          <w:rtl/>
        </w:rPr>
        <w:t xml:space="preserve"> همان</w:t>
      </w:r>
      <w:r w:rsidRPr="00005251">
        <w:rPr>
          <w:i/>
          <w:sz w:val="23"/>
          <w:szCs w:val="23"/>
          <w:rtl/>
        </w:rPr>
        <w:softHyphen/>
      </w:r>
      <w:r w:rsidRPr="00005251">
        <w:rPr>
          <w:rFonts w:hint="cs"/>
          <w:i/>
          <w:sz w:val="23"/>
          <w:szCs w:val="23"/>
          <w:rtl/>
        </w:rPr>
        <w:t>گونه که نشان</w:t>
      </w:r>
      <w:r w:rsidRPr="00005251">
        <w:rPr>
          <w:i/>
          <w:sz w:val="23"/>
          <w:szCs w:val="23"/>
          <w:rtl/>
        </w:rPr>
        <w:t xml:space="preserve"> </w:t>
      </w:r>
      <w:r w:rsidRPr="00005251">
        <w:rPr>
          <w:rFonts w:hint="cs"/>
          <w:i/>
          <w:sz w:val="23"/>
          <w:szCs w:val="23"/>
          <w:rtl/>
        </w:rPr>
        <w:t>داده شد رابطه</w:t>
      </w:r>
      <w:r w:rsidRPr="00005251">
        <w:rPr>
          <w:i/>
          <w:sz w:val="23"/>
          <w:szCs w:val="23"/>
          <w:rtl/>
        </w:rPr>
        <w:softHyphen/>
      </w:r>
      <w:r w:rsidRPr="00005251">
        <w:rPr>
          <w:rFonts w:hint="cs"/>
          <w:i/>
          <w:sz w:val="23"/>
          <w:szCs w:val="23"/>
          <w:rtl/>
        </w:rPr>
        <w:t>ی</w:t>
      </w:r>
      <w:r w:rsidRPr="00005251">
        <w:rPr>
          <w:i/>
          <w:sz w:val="23"/>
          <w:szCs w:val="23"/>
          <w:rtl/>
        </w:rPr>
        <w:t xml:space="preserve"> </w:t>
      </w:r>
      <w:r w:rsidRPr="00005251">
        <w:rPr>
          <w:rFonts w:hint="cs"/>
          <w:i/>
          <w:sz w:val="23"/>
          <w:szCs w:val="23"/>
          <w:rtl/>
        </w:rPr>
        <w:t>(۴. ۱۸)</w:t>
      </w:r>
      <w:r w:rsidRPr="00005251">
        <w:rPr>
          <w:i/>
          <w:sz w:val="23"/>
          <w:szCs w:val="23"/>
          <w:rtl/>
        </w:rPr>
        <w:t xml:space="preserve"> </w:t>
      </w:r>
      <w:r w:rsidRPr="00005251">
        <w:rPr>
          <w:rFonts w:hint="cs"/>
          <w:i/>
          <w:sz w:val="23"/>
          <w:szCs w:val="23"/>
          <w:rtl/>
        </w:rPr>
        <w:t>یک</w:t>
      </w:r>
      <w:r w:rsidRPr="00005251">
        <w:rPr>
          <w:i/>
          <w:sz w:val="23"/>
          <w:szCs w:val="23"/>
          <w:rtl/>
        </w:rPr>
        <w:t xml:space="preserve"> </w:t>
      </w:r>
      <w:r w:rsidRPr="00005251">
        <w:rPr>
          <w:rFonts w:hint="cs"/>
          <w:i/>
          <w:sz w:val="23"/>
          <w:szCs w:val="23"/>
          <w:rtl/>
        </w:rPr>
        <w:t>تئوری</w:t>
      </w:r>
      <w:r w:rsidRPr="00005251">
        <w:rPr>
          <w:i/>
          <w:sz w:val="23"/>
          <w:szCs w:val="23"/>
          <w:rtl/>
        </w:rPr>
        <w:t xml:space="preserve"> </w:t>
      </w:r>
      <w:r w:rsidRPr="00005251">
        <w:rPr>
          <w:rFonts w:hint="cs"/>
          <w:i/>
          <w:sz w:val="23"/>
          <w:szCs w:val="23"/>
          <w:rtl/>
        </w:rPr>
        <w:t>جایگزین</w:t>
      </w:r>
      <w:r w:rsidRPr="00005251">
        <w:rPr>
          <w:i/>
          <w:sz w:val="23"/>
          <w:szCs w:val="23"/>
          <w:rtl/>
        </w:rPr>
        <w:t xml:space="preserve"> </w:t>
      </w:r>
      <w:r w:rsidRPr="00005251">
        <w:rPr>
          <w:rFonts w:hint="cs"/>
          <w:i/>
          <w:sz w:val="23"/>
          <w:szCs w:val="23"/>
          <w:rtl/>
        </w:rPr>
        <w:t>مصرف</w:t>
      </w:r>
      <w:r w:rsidRPr="00005251">
        <w:rPr>
          <w:i/>
          <w:sz w:val="23"/>
          <w:szCs w:val="23"/>
          <w:rtl/>
        </w:rPr>
        <w:t xml:space="preserve"> </w:t>
      </w:r>
      <w:r w:rsidRPr="00005251">
        <w:rPr>
          <w:rFonts w:hint="cs"/>
          <w:i/>
          <w:sz w:val="23"/>
          <w:szCs w:val="23"/>
          <w:rtl/>
        </w:rPr>
        <w:t>نیست،</w:t>
      </w:r>
      <w:r w:rsidRPr="00005251">
        <w:rPr>
          <w:i/>
          <w:sz w:val="23"/>
          <w:szCs w:val="23"/>
          <w:rtl/>
        </w:rPr>
        <w:t xml:space="preserve"> </w:t>
      </w:r>
      <w:r w:rsidRPr="00005251">
        <w:rPr>
          <w:rFonts w:hint="cs"/>
          <w:i/>
          <w:sz w:val="23"/>
          <w:szCs w:val="23"/>
          <w:rtl/>
        </w:rPr>
        <w:t>بلکه</w:t>
      </w:r>
      <w:r w:rsidRPr="00005251">
        <w:rPr>
          <w:i/>
          <w:sz w:val="23"/>
          <w:szCs w:val="23"/>
          <w:rtl/>
        </w:rPr>
        <w:t xml:space="preserve"> </w:t>
      </w:r>
      <w:r w:rsidRPr="00005251">
        <w:rPr>
          <w:rFonts w:hint="cs"/>
          <w:i/>
          <w:sz w:val="23"/>
          <w:szCs w:val="23"/>
          <w:rtl/>
        </w:rPr>
        <w:t>توصیفی</w:t>
      </w:r>
      <w:r w:rsidRPr="00005251">
        <w:rPr>
          <w:i/>
          <w:sz w:val="23"/>
          <w:szCs w:val="23"/>
          <w:rtl/>
        </w:rPr>
        <w:t xml:space="preserve"> </w:t>
      </w:r>
      <w:r w:rsidRPr="00005251">
        <w:rPr>
          <w:rFonts w:hint="cs"/>
          <w:i/>
          <w:sz w:val="23"/>
          <w:szCs w:val="23"/>
          <w:rtl/>
        </w:rPr>
        <w:t>از</w:t>
      </w:r>
      <w:r w:rsidRPr="00005251">
        <w:rPr>
          <w:i/>
          <w:sz w:val="23"/>
          <w:szCs w:val="23"/>
          <w:rtl/>
        </w:rPr>
        <w:t xml:space="preserve"> </w:t>
      </w:r>
      <w:r w:rsidRPr="00005251">
        <w:rPr>
          <w:rFonts w:hint="cs"/>
          <w:i/>
          <w:sz w:val="23"/>
          <w:szCs w:val="23"/>
          <w:rtl/>
        </w:rPr>
        <w:t>رفتار</w:t>
      </w:r>
      <w:r w:rsidRPr="00005251">
        <w:rPr>
          <w:i/>
          <w:sz w:val="23"/>
          <w:szCs w:val="23"/>
          <w:rtl/>
        </w:rPr>
        <w:t xml:space="preserve"> </w:t>
      </w:r>
      <w:r w:rsidRPr="00005251">
        <w:rPr>
          <w:rFonts w:hint="cs"/>
          <w:i/>
          <w:sz w:val="23"/>
          <w:szCs w:val="23"/>
          <w:rtl/>
        </w:rPr>
        <w:t>آینده</w:t>
      </w:r>
      <w:r w:rsidRPr="00005251">
        <w:rPr>
          <w:i/>
          <w:sz w:val="23"/>
          <w:szCs w:val="23"/>
          <w:rtl/>
        </w:rPr>
        <w:softHyphen/>
      </w:r>
      <w:r w:rsidRPr="00005251">
        <w:rPr>
          <w:rFonts w:hint="cs"/>
          <w:i/>
          <w:sz w:val="23"/>
          <w:szCs w:val="23"/>
          <w:rtl/>
        </w:rPr>
        <w:t>ی</w:t>
      </w:r>
      <w:r w:rsidRPr="00005251">
        <w:rPr>
          <w:i/>
          <w:sz w:val="23"/>
          <w:szCs w:val="23"/>
          <w:rtl/>
        </w:rPr>
        <w:t xml:space="preserve"> </w:t>
      </w:r>
      <w:r w:rsidRPr="00005251">
        <w:rPr>
          <w:rFonts w:hint="cs"/>
          <w:i/>
          <w:sz w:val="23"/>
          <w:szCs w:val="23"/>
          <w:rtl/>
        </w:rPr>
        <w:t>پیش</w:t>
      </w:r>
      <w:r w:rsidRPr="00005251">
        <w:rPr>
          <w:i/>
          <w:sz w:val="23"/>
          <w:szCs w:val="23"/>
          <w:rtl/>
        </w:rPr>
        <w:softHyphen/>
      </w:r>
      <w:r w:rsidRPr="00005251">
        <w:rPr>
          <w:rFonts w:hint="cs"/>
          <w:i/>
          <w:sz w:val="23"/>
          <w:szCs w:val="23"/>
          <w:rtl/>
        </w:rPr>
        <w:t>بینی شده</w:t>
      </w:r>
      <w:r w:rsidRPr="00005251">
        <w:rPr>
          <w:i/>
          <w:sz w:val="23"/>
          <w:szCs w:val="23"/>
          <w:rtl/>
        </w:rPr>
        <w:softHyphen/>
      </w:r>
      <w:r w:rsidRPr="00005251">
        <w:rPr>
          <w:rFonts w:hint="cs"/>
          <w:i/>
          <w:sz w:val="23"/>
          <w:szCs w:val="23"/>
          <w:rtl/>
        </w:rPr>
        <w:t>ی</w:t>
      </w:r>
      <w:r w:rsidRPr="00005251">
        <w:rPr>
          <w:i/>
          <w:sz w:val="23"/>
          <w:szCs w:val="23"/>
          <w:rtl/>
        </w:rPr>
        <w:t xml:space="preserve"> </w:t>
      </w:r>
      <w:r w:rsidRPr="00005251">
        <w:rPr>
          <w:rFonts w:hint="cs"/>
          <w:i/>
          <w:sz w:val="23"/>
          <w:szCs w:val="23"/>
          <w:rtl/>
        </w:rPr>
        <w:t>مصرف</w:t>
      </w:r>
      <w:r w:rsidRPr="00005251">
        <w:rPr>
          <w:i/>
          <w:sz w:val="23"/>
          <w:szCs w:val="23"/>
          <w:rtl/>
        </w:rPr>
        <w:t xml:space="preserve"> </w:t>
      </w:r>
      <w:r w:rsidRPr="00005251">
        <w:rPr>
          <w:rFonts w:hint="cs"/>
          <w:i/>
          <w:sz w:val="23"/>
          <w:szCs w:val="23"/>
          <w:rtl/>
        </w:rPr>
        <w:t>نسبت</w:t>
      </w:r>
      <w:r w:rsidRPr="00005251">
        <w:rPr>
          <w:i/>
          <w:sz w:val="23"/>
          <w:szCs w:val="23"/>
          <w:rtl/>
        </w:rPr>
        <w:t xml:space="preserve"> </w:t>
      </w:r>
      <w:r w:rsidRPr="00005251">
        <w:rPr>
          <w:rFonts w:hint="cs"/>
          <w:i/>
          <w:sz w:val="23"/>
          <w:szCs w:val="23"/>
          <w:rtl/>
        </w:rPr>
        <w:t>به</w:t>
      </w:r>
      <w:r w:rsidRPr="00005251">
        <w:rPr>
          <w:i/>
          <w:sz w:val="23"/>
          <w:szCs w:val="23"/>
          <w:rtl/>
        </w:rPr>
        <w:t xml:space="preserve"> </w:t>
      </w:r>
      <w:r w:rsidRPr="00005251">
        <w:rPr>
          <w:rFonts w:hint="cs"/>
          <w:i/>
          <w:sz w:val="23"/>
          <w:szCs w:val="23"/>
          <w:rtl/>
        </w:rPr>
        <w:t>مصرف</w:t>
      </w:r>
      <w:r w:rsidRPr="00005251">
        <w:rPr>
          <w:i/>
          <w:sz w:val="23"/>
          <w:szCs w:val="23"/>
          <w:rtl/>
        </w:rPr>
        <w:t xml:space="preserve"> </w:t>
      </w:r>
      <w:r w:rsidRPr="00005251">
        <w:rPr>
          <w:rFonts w:hint="cs"/>
          <w:i/>
          <w:sz w:val="23"/>
          <w:szCs w:val="23"/>
          <w:rtl/>
        </w:rPr>
        <w:t>امروز</w:t>
      </w:r>
      <w:r w:rsidRPr="00005251">
        <w:rPr>
          <w:i/>
          <w:sz w:val="23"/>
          <w:szCs w:val="23"/>
          <w:rtl/>
        </w:rPr>
        <w:t xml:space="preserve"> </w:t>
      </w:r>
      <w:r w:rsidRPr="00005251">
        <w:rPr>
          <w:rFonts w:hint="cs"/>
          <w:i/>
          <w:sz w:val="23"/>
          <w:szCs w:val="23"/>
          <w:rtl/>
        </w:rPr>
        <w:t>است</w:t>
      </w:r>
      <w:r w:rsidRPr="00005251">
        <w:rPr>
          <w:i/>
          <w:sz w:val="23"/>
          <w:szCs w:val="23"/>
          <w:rtl/>
        </w:rPr>
        <w:t>.</w:t>
      </w:r>
      <w:r w:rsidRPr="00005251">
        <w:rPr>
          <w:rFonts w:hint="cs"/>
          <w:i/>
          <w:sz w:val="23"/>
          <w:szCs w:val="23"/>
          <w:rtl/>
        </w:rPr>
        <w:t xml:space="preserve"> مصرف</w:t>
      </w:r>
      <w:r w:rsidRPr="00005251">
        <w:rPr>
          <w:i/>
          <w:sz w:val="23"/>
          <w:szCs w:val="23"/>
          <w:rtl/>
        </w:rPr>
        <w:t xml:space="preserve"> </w:t>
      </w:r>
      <w:r w:rsidRPr="00005251">
        <w:rPr>
          <w:rFonts w:hint="cs"/>
          <w:i/>
          <w:sz w:val="23"/>
          <w:szCs w:val="23"/>
          <w:rtl/>
        </w:rPr>
        <w:t>کنونی</w:t>
      </w:r>
      <w:r w:rsidRPr="00005251">
        <w:rPr>
          <w:i/>
          <w:sz w:val="23"/>
          <w:szCs w:val="23"/>
          <w:rtl/>
        </w:rPr>
        <w:t xml:space="preserve"> </w:t>
      </w:r>
      <w:r w:rsidRPr="00005251">
        <w:rPr>
          <w:rFonts w:hint="cs"/>
          <w:i/>
          <w:sz w:val="23"/>
          <w:szCs w:val="23"/>
          <w:rtl/>
        </w:rPr>
        <w:t>نیز توسط</w:t>
      </w:r>
      <w:r w:rsidRPr="00005251">
        <w:rPr>
          <w:i/>
          <w:sz w:val="23"/>
          <w:szCs w:val="23"/>
          <w:rtl/>
        </w:rPr>
        <w:t xml:space="preserve"> </w:t>
      </w:r>
      <w:r w:rsidRPr="00005251">
        <w:rPr>
          <w:rFonts w:hint="cs"/>
          <w:i/>
          <w:sz w:val="23"/>
          <w:szCs w:val="23"/>
          <w:rtl/>
        </w:rPr>
        <w:t>تابع</w:t>
      </w:r>
      <w:r w:rsidRPr="00005251">
        <w:rPr>
          <w:i/>
          <w:sz w:val="23"/>
          <w:szCs w:val="23"/>
          <w:rtl/>
        </w:rPr>
        <w:t xml:space="preserve"> </w:t>
      </w:r>
      <w:r w:rsidRPr="00005251">
        <w:rPr>
          <w:rFonts w:hint="cs"/>
          <w:i/>
          <w:sz w:val="23"/>
          <w:szCs w:val="23"/>
          <w:rtl/>
        </w:rPr>
        <w:t>مصرف (۴. ۱۶)،</w:t>
      </w:r>
      <w:r w:rsidRPr="00005251">
        <w:rPr>
          <w:i/>
          <w:sz w:val="23"/>
          <w:szCs w:val="23"/>
          <w:rtl/>
        </w:rPr>
        <w:t xml:space="preserve"> </w:t>
      </w:r>
      <w:r w:rsidRPr="00005251">
        <w:rPr>
          <w:rFonts w:hint="cs"/>
          <w:i/>
          <w:sz w:val="23"/>
          <w:szCs w:val="23"/>
          <w:rtl/>
        </w:rPr>
        <w:t>و</w:t>
      </w:r>
      <w:r w:rsidRPr="00005251">
        <w:rPr>
          <w:i/>
          <w:sz w:val="23"/>
          <w:szCs w:val="23"/>
          <w:rtl/>
        </w:rPr>
        <w:t xml:space="preserve"> </w:t>
      </w:r>
      <w:r w:rsidRPr="00005251">
        <w:rPr>
          <w:rFonts w:hint="cs"/>
          <w:i/>
          <w:sz w:val="23"/>
          <w:szCs w:val="23"/>
          <w:rtl/>
        </w:rPr>
        <w:t>یا</w:t>
      </w:r>
      <w:r w:rsidRPr="00005251">
        <w:rPr>
          <w:i/>
          <w:sz w:val="23"/>
          <w:szCs w:val="23"/>
          <w:rtl/>
        </w:rPr>
        <w:t xml:space="preserve"> </w:t>
      </w:r>
      <w:r w:rsidRPr="00005251">
        <w:rPr>
          <w:rFonts w:hint="cs"/>
          <w:i/>
          <w:sz w:val="23"/>
          <w:szCs w:val="23"/>
          <w:rtl/>
        </w:rPr>
        <w:t>هنگامی</w:t>
      </w:r>
      <w:r w:rsidRPr="00005251">
        <w:rPr>
          <w:i/>
          <w:sz w:val="23"/>
          <w:szCs w:val="23"/>
          <w:rtl/>
        </w:rPr>
        <w:t xml:space="preserve"> </w:t>
      </w:r>
      <w:r w:rsidRPr="00005251">
        <w:rPr>
          <w:rFonts w:hint="cs"/>
          <w:i/>
          <w:sz w:val="23"/>
          <w:szCs w:val="23"/>
          <w:rtl/>
        </w:rPr>
        <w:t>که</w:t>
      </w:r>
      <w:r w:rsidRPr="00005251">
        <w:rPr>
          <w:i/>
          <w:sz w:val="23"/>
          <w:szCs w:val="23"/>
          <w:rtl/>
        </w:rPr>
        <w:t xml:space="preserve"> </w:t>
      </w:r>
      <w:r w:rsidRPr="00005251">
        <w:rPr>
          <w:rFonts w:hint="cs"/>
          <w:i/>
          <w:sz w:val="23"/>
          <w:szCs w:val="23"/>
          <w:rtl/>
        </w:rPr>
        <w:t>انتظار</w:t>
      </w:r>
      <w:r w:rsidRPr="00005251">
        <w:rPr>
          <w:i/>
          <w:sz w:val="23"/>
          <w:szCs w:val="23"/>
          <w:rtl/>
        </w:rPr>
        <w:t xml:space="preserve"> می</w:t>
      </w:r>
      <w:r w:rsidRPr="00005251">
        <w:rPr>
          <w:rFonts w:hint="cs"/>
          <w:i/>
          <w:sz w:val="23"/>
          <w:szCs w:val="23"/>
          <w:rtl/>
        </w:rPr>
        <w:t>‌رود</w:t>
      </w:r>
      <w:r w:rsidRPr="00005251">
        <w:rPr>
          <w:i/>
          <w:sz w:val="23"/>
          <w:szCs w:val="23"/>
          <w:rtl/>
        </w:rPr>
        <w:t xml:space="preserve"> </w:t>
      </w:r>
      <w:r w:rsidRPr="00005251">
        <w:rPr>
          <w:rFonts w:hint="cs"/>
          <w:i/>
          <w:sz w:val="23"/>
          <w:szCs w:val="23"/>
          <w:rtl/>
        </w:rPr>
        <w:t>درآمد</w:t>
      </w:r>
      <w:r w:rsidRPr="00005251">
        <w:rPr>
          <w:i/>
          <w:sz w:val="23"/>
          <w:szCs w:val="23"/>
          <w:rtl/>
        </w:rPr>
        <w:t xml:space="preserve"> </w:t>
      </w:r>
      <w:r w:rsidRPr="00005251">
        <w:rPr>
          <w:rFonts w:hint="cs"/>
          <w:i/>
          <w:sz w:val="23"/>
          <w:szCs w:val="23"/>
          <w:rtl/>
        </w:rPr>
        <w:t>ثابت</w:t>
      </w:r>
      <w:r w:rsidRPr="00005251">
        <w:rPr>
          <w:i/>
          <w:sz w:val="23"/>
          <w:szCs w:val="23"/>
          <w:rtl/>
        </w:rPr>
        <w:t xml:space="preserve"> </w:t>
      </w:r>
      <w:r w:rsidRPr="00005251">
        <w:rPr>
          <w:rFonts w:hint="cs"/>
          <w:i/>
          <w:sz w:val="23"/>
          <w:szCs w:val="23"/>
          <w:rtl/>
        </w:rPr>
        <w:t>باشد،</w:t>
      </w:r>
      <w:r w:rsidRPr="00005251">
        <w:rPr>
          <w:i/>
          <w:sz w:val="23"/>
          <w:szCs w:val="23"/>
          <w:rtl/>
        </w:rPr>
        <w:t xml:space="preserve"> </w:t>
      </w:r>
      <w:r w:rsidRPr="00005251">
        <w:rPr>
          <w:rFonts w:hint="cs"/>
          <w:i/>
          <w:sz w:val="23"/>
          <w:szCs w:val="23"/>
          <w:rtl/>
        </w:rPr>
        <w:t>توسط (۴. ۱۷)</w:t>
      </w:r>
      <w:r w:rsidRPr="00005251">
        <w:rPr>
          <w:i/>
          <w:sz w:val="23"/>
          <w:szCs w:val="23"/>
          <w:rtl/>
        </w:rPr>
        <w:t xml:space="preserve"> </w:t>
      </w:r>
      <w:r w:rsidRPr="00005251">
        <w:rPr>
          <w:rFonts w:hint="cs"/>
          <w:i/>
          <w:sz w:val="23"/>
          <w:szCs w:val="23"/>
          <w:rtl/>
        </w:rPr>
        <w:t>توصیف می</w:t>
      </w:r>
      <w:r w:rsidRPr="00005251">
        <w:rPr>
          <w:i/>
          <w:sz w:val="23"/>
          <w:szCs w:val="23"/>
          <w:rtl/>
        </w:rPr>
        <w:softHyphen/>
      </w:r>
      <w:r w:rsidRPr="00005251">
        <w:rPr>
          <w:rFonts w:hint="cs"/>
          <w:i/>
          <w:sz w:val="23"/>
          <w:szCs w:val="23"/>
          <w:rtl/>
        </w:rPr>
        <w:t>شود</w:t>
      </w:r>
      <w:r w:rsidRPr="00005251">
        <w:rPr>
          <w:i/>
          <w:sz w:val="23"/>
          <w:szCs w:val="23"/>
          <w:rtl/>
        </w:rPr>
        <w:t xml:space="preserve">. </w:t>
      </w:r>
      <w:r w:rsidRPr="00005251">
        <w:rPr>
          <w:rFonts w:hint="cs"/>
          <w:i/>
          <w:sz w:val="23"/>
          <w:szCs w:val="23"/>
          <w:rtl/>
        </w:rPr>
        <w:t>تشریح</w:t>
      </w:r>
      <w:r w:rsidRPr="00005251">
        <w:rPr>
          <w:i/>
          <w:sz w:val="23"/>
          <w:szCs w:val="23"/>
          <w:rtl/>
        </w:rPr>
        <w:t xml:space="preserve"> </w:t>
      </w:r>
      <w:r w:rsidRPr="00005251">
        <w:rPr>
          <w:rFonts w:hint="cs"/>
          <w:i/>
          <w:sz w:val="23"/>
          <w:szCs w:val="23"/>
          <w:rtl/>
        </w:rPr>
        <w:t>کامل</w:t>
      </w:r>
      <w:r w:rsidRPr="00005251">
        <w:rPr>
          <w:i/>
          <w:sz w:val="23"/>
          <w:szCs w:val="23"/>
          <w:rtl/>
        </w:rPr>
        <w:t xml:space="preserve"> </w:t>
      </w:r>
      <w:r w:rsidRPr="00005251">
        <w:rPr>
          <w:rFonts w:hint="cs"/>
          <w:i/>
          <w:sz w:val="23"/>
          <w:szCs w:val="23"/>
          <w:rtl/>
        </w:rPr>
        <w:t>از</w:t>
      </w:r>
      <w:r w:rsidRPr="00005251">
        <w:rPr>
          <w:i/>
          <w:sz w:val="23"/>
          <w:szCs w:val="23"/>
          <w:rtl/>
        </w:rPr>
        <w:t xml:space="preserve"> </w:t>
      </w:r>
      <w:r w:rsidRPr="00005251">
        <w:rPr>
          <w:rFonts w:hint="cs"/>
          <w:i/>
          <w:sz w:val="23"/>
          <w:szCs w:val="23"/>
          <w:rtl/>
        </w:rPr>
        <w:t>تابع مصرف</w:t>
      </w:r>
      <w:r w:rsidRPr="00005251">
        <w:rPr>
          <w:i/>
          <w:sz w:val="23"/>
          <w:szCs w:val="23"/>
          <w:rtl/>
        </w:rPr>
        <w:t xml:space="preserve"> </w:t>
      </w:r>
      <w:r w:rsidRPr="00005251">
        <w:rPr>
          <w:rFonts w:hint="cs"/>
          <w:i/>
          <w:sz w:val="23"/>
          <w:szCs w:val="23"/>
          <w:rtl/>
        </w:rPr>
        <w:t>به</w:t>
      </w:r>
      <w:r w:rsidRPr="00005251">
        <w:rPr>
          <w:i/>
          <w:sz w:val="23"/>
          <w:szCs w:val="23"/>
          <w:rtl/>
        </w:rPr>
        <w:t xml:space="preserve"> </w:t>
      </w:r>
      <w:r w:rsidRPr="00005251">
        <w:rPr>
          <w:rFonts w:hint="cs"/>
          <w:i/>
          <w:sz w:val="23"/>
          <w:szCs w:val="23"/>
          <w:rtl/>
        </w:rPr>
        <w:t>هر</w:t>
      </w:r>
      <w:r w:rsidRPr="00005251">
        <w:rPr>
          <w:i/>
          <w:sz w:val="23"/>
          <w:szCs w:val="23"/>
          <w:rtl/>
        </w:rPr>
        <w:t xml:space="preserve"> </w:t>
      </w:r>
      <w:r w:rsidRPr="00005251">
        <w:rPr>
          <w:rFonts w:hint="cs"/>
          <w:i/>
          <w:sz w:val="23"/>
          <w:szCs w:val="23"/>
          <w:rtl/>
        </w:rPr>
        <w:t>دو</w:t>
      </w:r>
      <w:r w:rsidRPr="00005251">
        <w:rPr>
          <w:i/>
          <w:sz w:val="23"/>
          <w:szCs w:val="23"/>
          <w:rtl/>
        </w:rPr>
        <w:t xml:space="preserve"> </w:t>
      </w:r>
      <w:r w:rsidRPr="00005251">
        <w:rPr>
          <w:rFonts w:hint="cs"/>
          <w:i/>
          <w:sz w:val="23"/>
          <w:szCs w:val="23"/>
          <w:rtl/>
        </w:rPr>
        <w:t>رابطه</w:t>
      </w:r>
      <w:r w:rsidRPr="00005251">
        <w:rPr>
          <w:i/>
          <w:sz w:val="23"/>
          <w:szCs w:val="23"/>
          <w:rtl/>
        </w:rPr>
        <w:softHyphen/>
      </w:r>
      <w:r w:rsidRPr="00005251">
        <w:rPr>
          <w:rFonts w:hint="cs"/>
          <w:i/>
          <w:sz w:val="23"/>
          <w:szCs w:val="23"/>
          <w:rtl/>
        </w:rPr>
        <w:t>ی</w:t>
      </w:r>
      <w:r w:rsidRPr="00005251">
        <w:rPr>
          <w:i/>
          <w:sz w:val="23"/>
          <w:szCs w:val="23"/>
          <w:rtl/>
        </w:rPr>
        <w:t xml:space="preserve"> </w:t>
      </w:r>
      <w:r w:rsidRPr="00005251">
        <w:rPr>
          <w:rFonts w:hint="cs"/>
          <w:i/>
          <w:sz w:val="23"/>
          <w:szCs w:val="23"/>
          <w:rtl/>
        </w:rPr>
        <w:t>(۴. ۱۶)</w:t>
      </w:r>
      <w:r w:rsidRPr="00005251">
        <w:rPr>
          <w:rFonts w:eastAsiaTheme="minorEastAsia" w:hint="cs"/>
          <w:i/>
          <w:sz w:val="23"/>
          <w:szCs w:val="23"/>
          <w:rtl/>
          <w:lang w:val="en-GB"/>
        </w:rPr>
        <w:t xml:space="preserve"> </w:t>
      </w:r>
      <w:r w:rsidRPr="00005251">
        <w:rPr>
          <w:rFonts w:hint="cs"/>
          <w:i/>
          <w:sz w:val="23"/>
          <w:szCs w:val="23"/>
          <w:rtl/>
        </w:rPr>
        <w:t>و</w:t>
      </w:r>
      <w:r w:rsidRPr="00005251">
        <w:rPr>
          <w:i/>
          <w:sz w:val="23"/>
          <w:szCs w:val="23"/>
          <w:rtl/>
        </w:rPr>
        <w:t xml:space="preserve"> </w:t>
      </w:r>
      <w:r w:rsidRPr="00005251">
        <w:rPr>
          <w:rFonts w:hint="cs"/>
          <w:i/>
          <w:sz w:val="23"/>
          <w:szCs w:val="23"/>
          <w:rtl/>
        </w:rPr>
        <w:t>(۴. ۱۸) نیاز دارد</w:t>
      </w:r>
      <w:r w:rsidRPr="00005251">
        <w:rPr>
          <w:i/>
          <w:sz w:val="23"/>
          <w:szCs w:val="23"/>
          <w:rtl/>
        </w:rPr>
        <w:t xml:space="preserve">. </w:t>
      </w:r>
      <w:r w:rsidRPr="00005251">
        <w:rPr>
          <w:rFonts w:hint="cs"/>
          <w:i/>
          <w:sz w:val="23"/>
          <w:szCs w:val="23"/>
          <w:rtl/>
        </w:rPr>
        <w:t>بنابراین رابطه</w:t>
      </w:r>
      <w:r w:rsidRPr="00005251">
        <w:rPr>
          <w:i/>
          <w:sz w:val="23"/>
          <w:szCs w:val="23"/>
          <w:rtl/>
        </w:rPr>
        <w:softHyphen/>
      </w:r>
      <w:r w:rsidRPr="00005251">
        <w:rPr>
          <w:rFonts w:hint="cs"/>
          <w:i/>
          <w:sz w:val="23"/>
          <w:szCs w:val="23"/>
          <w:rtl/>
        </w:rPr>
        <w:t>ی</w:t>
      </w:r>
      <w:r w:rsidRPr="00005251">
        <w:rPr>
          <w:i/>
          <w:sz w:val="23"/>
          <w:szCs w:val="23"/>
          <w:rtl/>
        </w:rPr>
        <w:t xml:space="preserve"> </w:t>
      </w:r>
      <w:r w:rsidRPr="00005251">
        <w:rPr>
          <w:rFonts w:hint="cs"/>
          <w:i/>
          <w:sz w:val="23"/>
          <w:szCs w:val="23"/>
          <w:rtl/>
        </w:rPr>
        <w:t>(۴. ۱۸)</w:t>
      </w:r>
      <w:r w:rsidRPr="00005251">
        <w:rPr>
          <w:i/>
          <w:sz w:val="23"/>
          <w:szCs w:val="23"/>
          <w:rtl/>
        </w:rPr>
        <w:t xml:space="preserve"> </w:t>
      </w:r>
      <w:r w:rsidRPr="00005251">
        <w:rPr>
          <w:rFonts w:hint="cs"/>
          <w:i/>
          <w:sz w:val="23"/>
          <w:szCs w:val="23"/>
          <w:rtl/>
        </w:rPr>
        <w:t>یک</w:t>
      </w:r>
      <w:r w:rsidRPr="00005251">
        <w:rPr>
          <w:i/>
          <w:sz w:val="23"/>
          <w:szCs w:val="23"/>
          <w:rtl/>
        </w:rPr>
        <w:t xml:space="preserve"> </w:t>
      </w:r>
      <w:r w:rsidRPr="00005251">
        <w:rPr>
          <w:rFonts w:hint="cs"/>
          <w:i/>
          <w:sz w:val="23"/>
          <w:szCs w:val="23"/>
          <w:rtl/>
        </w:rPr>
        <w:t>تابع</w:t>
      </w:r>
      <w:r w:rsidRPr="00005251">
        <w:rPr>
          <w:i/>
          <w:sz w:val="23"/>
          <w:szCs w:val="23"/>
          <w:rtl/>
        </w:rPr>
        <w:t xml:space="preserve"> </w:t>
      </w:r>
      <w:r w:rsidRPr="00005251">
        <w:rPr>
          <w:rFonts w:hint="cs"/>
          <w:i/>
          <w:sz w:val="23"/>
          <w:szCs w:val="23"/>
          <w:rtl/>
        </w:rPr>
        <w:t>مصرف</w:t>
      </w:r>
      <w:r w:rsidRPr="00005251">
        <w:rPr>
          <w:i/>
          <w:sz w:val="23"/>
          <w:szCs w:val="23"/>
          <w:rtl/>
        </w:rPr>
        <w:t xml:space="preserve"> </w:t>
      </w:r>
      <w:r w:rsidRPr="00005251">
        <w:rPr>
          <w:rFonts w:hint="cs"/>
          <w:i/>
          <w:sz w:val="23"/>
          <w:szCs w:val="23"/>
          <w:rtl/>
        </w:rPr>
        <w:t>رقیب</w:t>
      </w:r>
      <w:r w:rsidRPr="00005251">
        <w:rPr>
          <w:i/>
          <w:sz w:val="23"/>
          <w:szCs w:val="23"/>
          <w:rtl/>
        </w:rPr>
        <w:t xml:space="preserve"> </w:t>
      </w:r>
      <w:r w:rsidRPr="00005251">
        <w:rPr>
          <w:rFonts w:hint="cs"/>
          <w:i/>
          <w:sz w:val="23"/>
          <w:szCs w:val="23"/>
          <w:rtl/>
        </w:rPr>
        <w:t>برای</w:t>
      </w:r>
      <w:r w:rsidRPr="00005251">
        <w:rPr>
          <w:i/>
          <w:sz w:val="23"/>
          <w:szCs w:val="23"/>
          <w:rtl/>
        </w:rPr>
        <w:t xml:space="preserve"> </w:t>
      </w:r>
      <w:r w:rsidRPr="00005251">
        <w:rPr>
          <w:rFonts w:hint="cs"/>
          <w:i/>
          <w:sz w:val="23"/>
          <w:szCs w:val="23"/>
          <w:rtl/>
        </w:rPr>
        <w:t>رابطه</w:t>
      </w:r>
      <w:r w:rsidRPr="00005251">
        <w:rPr>
          <w:i/>
          <w:sz w:val="23"/>
          <w:szCs w:val="23"/>
          <w:rtl/>
        </w:rPr>
        <w:softHyphen/>
      </w:r>
      <w:r w:rsidRPr="00005251">
        <w:rPr>
          <w:rFonts w:hint="cs"/>
          <w:i/>
          <w:sz w:val="23"/>
          <w:szCs w:val="23"/>
          <w:rtl/>
        </w:rPr>
        <w:t>ی</w:t>
      </w:r>
      <w:r w:rsidRPr="00005251">
        <w:rPr>
          <w:i/>
          <w:sz w:val="23"/>
          <w:szCs w:val="23"/>
          <w:rtl/>
        </w:rPr>
        <w:t xml:space="preserve"> </w:t>
      </w:r>
      <w:r w:rsidRPr="00005251">
        <w:rPr>
          <w:rFonts w:hint="cs"/>
          <w:i/>
          <w:sz w:val="23"/>
          <w:szCs w:val="23"/>
          <w:rtl/>
        </w:rPr>
        <w:t>(۴. ۱۷)</w:t>
      </w:r>
      <w:r w:rsidRPr="00005251">
        <w:rPr>
          <w:i/>
          <w:sz w:val="23"/>
          <w:szCs w:val="23"/>
          <w:rtl/>
        </w:rPr>
        <w:t xml:space="preserve"> </w:t>
      </w:r>
      <w:r w:rsidRPr="00005251">
        <w:rPr>
          <w:rFonts w:hint="cs"/>
          <w:i/>
          <w:sz w:val="23"/>
          <w:szCs w:val="23"/>
          <w:rtl/>
        </w:rPr>
        <w:t>نیست</w:t>
      </w:r>
      <w:r w:rsidRPr="00005251">
        <w:rPr>
          <w:i/>
          <w:sz w:val="23"/>
          <w:szCs w:val="23"/>
          <w:rtl/>
        </w:rPr>
        <w:t>.</w:t>
      </w:r>
      <w:r w:rsidRPr="00005251">
        <w:rPr>
          <w:rFonts w:hint="cs"/>
          <w:i/>
          <w:sz w:val="23"/>
          <w:szCs w:val="23"/>
          <w:rtl/>
        </w:rPr>
        <w:t xml:space="preserve"> </w:t>
      </w:r>
    </w:p>
    <w:p w14:paraId="698AFFAA" w14:textId="77777777" w:rsidR="00411620" w:rsidRPr="00005251" w:rsidRDefault="00411620" w:rsidP="00411620">
      <w:pPr>
        <w:spacing w:line="216" w:lineRule="auto"/>
        <w:rPr>
          <w:i/>
          <w:sz w:val="23"/>
          <w:szCs w:val="23"/>
          <w:rtl/>
        </w:rPr>
      </w:pPr>
      <w:r w:rsidRPr="00005251">
        <w:rPr>
          <w:rFonts w:hint="cs"/>
          <w:i/>
          <w:sz w:val="23"/>
          <w:szCs w:val="23"/>
          <w:rtl/>
        </w:rPr>
        <w:lastRenderedPageBreak/>
        <w:t>نمودار ۴. ۲</w:t>
      </w:r>
      <w:r w:rsidRPr="00005251">
        <w:rPr>
          <w:i/>
          <w:sz w:val="23"/>
          <w:szCs w:val="23"/>
          <w:rtl/>
        </w:rPr>
        <w:t xml:space="preserve"> </w:t>
      </w:r>
      <w:r w:rsidRPr="00005251">
        <w:rPr>
          <w:rFonts w:hint="cs"/>
          <w:i/>
          <w:sz w:val="23"/>
          <w:szCs w:val="23"/>
          <w:rtl/>
        </w:rPr>
        <w:t>رفتار</w:t>
      </w:r>
      <w:r w:rsidRPr="00005251">
        <w:rPr>
          <w:i/>
          <w:sz w:val="23"/>
          <w:szCs w:val="23"/>
          <w:rtl/>
        </w:rPr>
        <w:t xml:space="preserve"> </w:t>
      </w:r>
      <w:r w:rsidRPr="00005251">
        <w:rPr>
          <w:rFonts w:hint="cs"/>
          <w:i/>
          <w:sz w:val="23"/>
          <w:szCs w:val="23"/>
          <w:rtl/>
        </w:rPr>
        <w:t>مصرفی خانوار</w:t>
      </w:r>
      <w:r w:rsidRPr="00005251">
        <w:rPr>
          <w:i/>
          <w:sz w:val="23"/>
          <w:szCs w:val="23"/>
          <w:rtl/>
        </w:rPr>
        <w:t xml:space="preserve"> </w:t>
      </w:r>
      <w:r w:rsidRPr="00005251">
        <w:rPr>
          <w:rFonts w:hint="cs"/>
          <w:i/>
          <w:sz w:val="23"/>
          <w:szCs w:val="23"/>
          <w:rtl/>
        </w:rPr>
        <w:t>را در طی</w:t>
      </w:r>
      <w:r w:rsidRPr="00005251">
        <w:rPr>
          <w:i/>
          <w:sz w:val="23"/>
          <w:szCs w:val="23"/>
          <w:rtl/>
        </w:rPr>
        <w:t xml:space="preserve"> </w:t>
      </w:r>
      <w:r w:rsidRPr="00005251">
        <w:rPr>
          <w:rFonts w:hint="cs"/>
          <w:i/>
          <w:sz w:val="23"/>
          <w:szCs w:val="23"/>
          <w:rtl/>
        </w:rPr>
        <w:t>زمان نشان می</w:t>
      </w:r>
      <w:r w:rsidRPr="00005251">
        <w:rPr>
          <w:i/>
          <w:sz w:val="23"/>
          <w:szCs w:val="23"/>
          <w:rtl/>
        </w:rPr>
        <w:softHyphen/>
      </w:r>
      <w:r w:rsidRPr="00005251">
        <w:rPr>
          <w:rFonts w:hint="cs"/>
          <w:i/>
          <w:sz w:val="23"/>
          <w:szCs w:val="23"/>
          <w:rtl/>
        </w:rPr>
        <w:t>دهد</w:t>
      </w:r>
      <w:r w:rsidRPr="00005251">
        <w:rPr>
          <w:i/>
          <w:sz w:val="23"/>
          <w:szCs w:val="23"/>
          <w:rtl/>
        </w:rPr>
        <w:t xml:space="preserve">. </w:t>
      </w:r>
      <w:r w:rsidRPr="00005251">
        <w:rPr>
          <w:rFonts w:hint="cs"/>
          <w:i/>
          <w:sz w:val="23"/>
          <w:szCs w:val="23"/>
          <w:rtl/>
        </w:rPr>
        <w:t>این</w:t>
      </w:r>
      <w:r w:rsidRPr="00005251">
        <w:rPr>
          <w:i/>
          <w:sz w:val="23"/>
          <w:szCs w:val="23"/>
          <w:rtl/>
        </w:rPr>
        <w:t xml:space="preserve"> </w:t>
      </w:r>
      <w:r w:rsidRPr="00005251">
        <w:rPr>
          <w:rFonts w:hint="cs"/>
          <w:i/>
          <w:sz w:val="23"/>
          <w:szCs w:val="23"/>
          <w:rtl/>
        </w:rPr>
        <w:t>نمودار دو</w:t>
      </w:r>
      <w:r w:rsidRPr="00005251">
        <w:rPr>
          <w:i/>
          <w:sz w:val="23"/>
          <w:szCs w:val="23"/>
          <w:rtl/>
        </w:rPr>
        <w:t xml:space="preserve"> </w:t>
      </w:r>
      <w:r w:rsidRPr="00005251">
        <w:rPr>
          <w:rFonts w:hint="cs"/>
          <w:i/>
          <w:sz w:val="23"/>
          <w:szCs w:val="23"/>
          <w:rtl/>
        </w:rPr>
        <w:t>ویژگی شیب</w:t>
      </w:r>
      <w:r w:rsidRPr="00005251">
        <w:rPr>
          <w:i/>
          <w:sz w:val="23"/>
          <w:szCs w:val="23"/>
          <w:rtl/>
        </w:rPr>
        <w:t xml:space="preserve"> </w:t>
      </w:r>
      <w:r w:rsidRPr="00005251">
        <w:rPr>
          <w:rFonts w:hint="cs"/>
          <w:i/>
          <w:sz w:val="23"/>
          <w:szCs w:val="23"/>
          <w:rtl/>
        </w:rPr>
        <w:t>تابع مصرف و محل</w:t>
      </w:r>
      <w:r w:rsidRPr="00005251">
        <w:rPr>
          <w:i/>
          <w:sz w:val="23"/>
          <w:szCs w:val="23"/>
          <w:rtl/>
        </w:rPr>
        <w:t xml:space="preserve"> </w:t>
      </w:r>
      <w:r w:rsidRPr="00005251">
        <w:rPr>
          <w:rFonts w:hint="cs"/>
          <w:i/>
          <w:sz w:val="23"/>
          <w:szCs w:val="23"/>
          <w:rtl/>
        </w:rPr>
        <w:t>آن را در نظر می</w:t>
      </w:r>
      <w:r w:rsidRPr="00005251">
        <w:rPr>
          <w:i/>
          <w:sz w:val="23"/>
          <w:szCs w:val="23"/>
          <w:rtl/>
        </w:rPr>
        <w:softHyphen/>
      </w:r>
      <w:r w:rsidRPr="00005251">
        <w:rPr>
          <w:rFonts w:hint="cs"/>
          <w:i/>
          <w:sz w:val="23"/>
          <w:szCs w:val="23"/>
          <w:rtl/>
        </w:rPr>
        <w:t>گیرد</w:t>
      </w:r>
      <w:r w:rsidRPr="00005251">
        <w:rPr>
          <w:i/>
          <w:sz w:val="23"/>
          <w:szCs w:val="23"/>
          <w:rtl/>
        </w:rPr>
        <w:t xml:space="preserve">. </w:t>
      </w:r>
      <w:r w:rsidRPr="00005251">
        <w:rPr>
          <w:rFonts w:hint="cs"/>
          <w:i/>
          <w:sz w:val="23"/>
          <w:szCs w:val="23"/>
          <w:rtl/>
        </w:rPr>
        <w:t>در بخش</w:t>
      </w:r>
      <w:r w:rsidRPr="00005251">
        <w:rPr>
          <w:i/>
          <w:sz w:val="23"/>
          <w:szCs w:val="23"/>
          <w:rtl/>
        </w:rPr>
        <w:t xml:space="preserve"> </w:t>
      </w:r>
      <w:r w:rsidRPr="00005251">
        <w:rPr>
          <w:rFonts w:hint="cs"/>
          <w:i/>
          <w:sz w:val="23"/>
          <w:szCs w:val="23"/>
          <w:rtl/>
        </w:rPr>
        <w:t>پایینی نمودار، حرکت</w:t>
      </w:r>
      <w:r w:rsidRPr="00005251">
        <w:rPr>
          <w:i/>
          <w:sz w:val="23"/>
          <w:szCs w:val="23"/>
          <w:rtl/>
        </w:rPr>
        <w:t xml:space="preserve"> </w:t>
      </w:r>
      <w:r w:rsidRPr="00005251">
        <w:rPr>
          <w:rFonts w:hint="cs"/>
          <w:i/>
          <w:sz w:val="23"/>
          <w:szCs w:val="23"/>
          <w:rtl/>
        </w:rPr>
        <w:t>سطح مصرف توسط</w:t>
      </w:r>
      <w:r w:rsidRPr="00005251">
        <w:rPr>
          <w:i/>
          <w:sz w:val="23"/>
          <w:szCs w:val="23"/>
          <w:rtl/>
        </w:rPr>
        <w:t xml:space="preserve"> </w:t>
      </w:r>
      <w:r w:rsidRPr="00005251">
        <w:rPr>
          <w:rFonts w:hint="cs"/>
          <w:i/>
          <w:sz w:val="23"/>
          <w:szCs w:val="23"/>
          <w:rtl/>
        </w:rPr>
        <w:t>تابع</w:t>
      </w:r>
      <w:r w:rsidRPr="00005251">
        <w:rPr>
          <w:i/>
          <w:sz w:val="23"/>
          <w:szCs w:val="23"/>
          <w:rtl/>
        </w:rPr>
        <w:t xml:space="preserve"> </w:t>
      </w:r>
      <w:r w:rsidRPr="00005251">
        <w:rPr>
          <w:rFonts w:hint="cs"/>
          <w:i/>
          <w:sz w:val="23"/>
          <w:szCs w:val="23"/>
          <w:rtl/>
        </w:rPr>
        <w:t>مصرف و نرخ رشد ثابت آن توسط</w:t>
      </w:r>
      <w:r w:rsidRPr="00005251">
        <w:rPr>
          <w:i/>
          <w:sz w:val="23"/>
          <w:szCs w:val="23"/>
          <w:rtl/>
        </w:rPr>
        <w:t xml:space="preserve"> </w:t>
      </w:r>
      <w:r w:rsidRPr="00005251">
        <w:rPr>
          <w:rFonts w:hint="cs"/>
          <w:i/>
          <w:sz w:val="23"/>
          <w:szCs w:val="23"/>
          <w:rtl/>
        </w:rPr>
        <w:t>معادله</w:t>
      </w:r>
      <w:r w:rsidRPr="00005251">
        <w:rPr>
          <w:i/>
          <w:sz w:val="23"/>
          <w:szCs w:val="23"/>
          <w:rtl/>
        </w:rPr>
        <w:t xml:space="preserve"> </w:t>
      </w:r>
      <w:r w:rsidRPr="00005251">
        <w:rPr>
          <w:rFonts w:hint="cs"/>
          <w:i/>
          <w:sz w:val="23"/>
          <w:szCs w:val="23"/>
          <w:rtl/>
        </w:rPr>
        <w:t>اویلر</w:t>
      </w:r>
      <w:r w:rsidRPr="00005251">
        <w:rPr>
          <w:i/>
          <w:sz w:val="23"/>
          <w:szCs w:val="23"/>
          <w:rtl/>
        </w:rPr>
        <w:t xml:space="preserve"> </w:t>
      </w:r>
      <w:r w:rsidRPr="00005251">
        <w:rPr>
          <w:rFonts w:hint="cs"/>
          <w:i/>
          <w:sz w:val="23"/>
          <w:szCs w:val="23"/>
          <w:rtl/>
        </w:rPr>
        <w:t>تعیین می‌شود. فرض</w:t>
      </w:r>
      <w:r w:rsidRPr="00005251">
        <w:rPr>
          <w:i/>
          <w:sz w:val="23"/>
          <w:szCs w:val="23"/>
          <w:rtl/>
        </w:rPr>
        <w:t xml:space="preserve"> </w:t>
      </w:r>
      <w:r w:rsidRPr="00005251">
        <w:rPr>
          <w:rFonts w:hint="cs"/>
          <w:i/>
          <w:sz w:val="23"/>
          <w:szCs w:val="23"/>
          <w:rtl/>
        </w:rPr>
        <w:t>کنید</w:t>
      </w:r>
      <w:r w:rsidRPr="00005251">
        <w:rPr>
          <w:i/>
          <w:sz w:val="23"/>
          <w:szCs w:val="23"/>
          <w:rtl/>
        </w:rPr>
        <w:t xml:space="preserve"> </w:t>
      </w:r>
      <w:r w:rsidRPr="00005251">
        <w:rPr>
          <w:rFonts w:hint="cs"/>
          <w:i/>
          <w:sz w:val="23"/>
          <w:szCs w:val="23"/>
          <w:rtl/>
        </w:rPr>
        <w:t>که</w:t>
      </w:r>
      <w:r w:rsidRPr="00005251">
        <w:rPr>
          <w:i/>
          <w:sz w:val="23"/>
          <w:szCs w:val="23"/>
          <w:rtl/>
        </w:rPr>
        <w:t xml:space="preserve"> </w:t>
      </w:r>
      <w:r w:rsidRPr="00005251">
        <w:rPr>
          <w:rFonts w:hint="cs"/>
          <w:i/>
          <w:sz w:val="23"/>
          <w:szCs w:val="23"/>
          <w:rtl/>
        </w:rPr>
        <w:t>شوک</w:t>
      </w:r>
      <w:r w:rsidRPr="00005251">
        <w:rPr>
          <w:i/>
          <w:sz w:val="23"/>
          <w:szCs w:val="23"/>
          <w:rtl/>
        </w:rPr>
        <w:t xml:space="preserve"> </w:t>
      </w:r>
      <w:r w:rsidRPr="00005251">
        <w:rPr>
          <w:rFonts w:hint="cs"/>
          <w:i/>
          <w:sz w:val="23"/>
          <w:szCs w:val="23"/>
          <w:rtl/>
        </w:rPr>
        <w:t>مثبت</w:t>
      </w:r>
      <w:r w:rsidRPr="00005251">
        <w:rPr>
          <w:i/>
          <w:sz w:val="23"/>
          <w:szCs w:val="23"/>
          <w:rtl/>
        </w:rPr>
        <w:t xml:space="preserve"> </w:t>
      </w:r>
      <w:r w:rsidRPr="00005251">
        <w:rPr>
          <w:rFonts w:hint="cs"/>
          <w:i/>
          <w:sz w:val="23"/>
          <w:szCs w:val="23"/>
          <w:rtl/>
        </w:rPr>
        <w:t>دائمی</w:t>
      </w:r>
      <w:r w:rsidRPr="00005251">
        <w:rPr>
          <w:i/>
          <w:sz w:val="23"/>
          <w:szCs w:val="23"/>
          <w:rtl/>
        </w:rPr>
        <w:t xml:space="preserve"> </w:t>
      </w:r>
    </w:p>
    <w:p w14:paraId="147EFD59" w14:textId="77777777" w:rsidR="00411620" w:rsidRDefault="00411620" w:rsidP="00411620">
      <w:pPr>
        <w:spacing w:line="216" w:lineRule="auto"/>
        <w:jc w:val="center"/>
        <w:rPr>
          <w:i/>
          <w:noProof/>
          <w:sz w:val="23"/>
          <w:szCs w:val="23"/>
          <w:lang w:val="en-GB" w:eastAsia="en-GB"/>
        </w:rPr>
      </w:pPr>
    </w:p>
    <w:p w14:paraId="66C9E89E" w14:textId="77777777" w:rsidR="00411620" w:rsidRPr="00005251" w:rsidRDefault="00411620" w:rsidP="00411620">
      <w:pPr>
        <w:spacing w:line="216" w:lineRule="auto"/>
        <w:jc w:val="center"/>
        <w:rPr>
          <w:i/>
          <w:noProof/>
          <w:sz w:val="23"/>
          <w:szCs w:val="23"/>
          <w:rtl/>
          <w:lang w:val="en-GB" w:eastAsia="en-GB"/>
        </w:rPr>
      </w:pPr>
      <w:r w:rsidRPr="00005251">
        <w:rPr>
          <w:rFonts w:hint="cs"/>
          <w:i/>
          <w:noProof/>
          <w:sz w:val="23"/>
          <w:szCs w:val="23"/>
          <w:rtl/>
          <w:lang w:val="en-GB" w:eastAsia="en-GB"/>
        </w:rPr>
        <w:t>نمودار ۴. ۲</w:t>
      </w:r>
    </w:p>
    <w:p w14:paraId="6AEDD275" w14:textId="77777777" w:rsidR="00411620" w:rsidRPr="00005251" w:rsidRDefault="00411620" w:rsidP="00411620">
      <w:pPr>
        <w:spacing w:line="216" w:lineRule="auto"/>
        <w:jc w:val="center"/>
        <w:rPr>
          <w:i/>
          <w:sz w:val="23"/>
          <w:szCs w:val="23"/>
          <w:u w:val="single"/>
          <w:rtl/>
        </w:rPr>
      </w:pPr>
      <w:r w:rsidRPr="00005251">
        <w:rPr>
          <w:i/>
          <w:noProof/>
          <w:sz w:val="23"/>
          <w:szCs w:val="23"/>
          <w:u w:val="single"/>
          <w:rtl/>
          <w:lang w:bidi="ar-SA"/>
        </w:rPr>
        <w:drawing>
          <wp:inline distT="0" distB="0" distL="0" distR="0" wp14:anchorId="5AF8B74E" wp14:editId="129D0062">
            <wp:extent cx="3654203" cy="1999785"/>
            <wp:effectExtent l="38100" t="38100" r="41910" b="387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27">
                      <a:lum contrast="20000"/>
                      <a:extLst>
                        <a:ext uri="{28A0092B-C50C-407E-A947-70E740481C1C}">
                          <a14:useLocalDpi xmlns:a14="http://schemas.microsoft.com/office/drawing/2010/main" val="0"/>
                        </a:ext>
                      </a:extLst>
                    </a:blip>
                    <a:srcRect/>
                    <a:stretch>
                      <a:fillRect/>
                    </a:stretch>
                  </pic:blipFill>
                  <pic:spPr bwMode="auto">
                    <a:xfrm>
                      <a:off x="0" y="0"/>
                      <a:ext cx="3664465" cy="2005401"/>
                    </a:xfrm>
                    <a:prstGeom prst="rect">
                      <a:avLst/>
                    </a:prstGeom>
                    <a:ln w="28575">
                      <a:solidFill>
                        <a:schemeClr val="tx1"/>
                      </a:solidFill>
                    </a:ln>
                  </pic:spPr>
                </pic:pic>
              </a:graphicData>
            </a:graphic>
          </wp:inline>
        </w:drawing>
      </w:r>
    </w:p>
    <w:p w14:paraId="40AFC345" w14:textId="77777777" w:rsidR="00411620" w:rsidRPr="00005251" w:rsidRDefault="00411620" w:rsidP="00411620">
      <w:pPr>
        <w:spacing w:line="216" w:lineRule="auto"/>
        <w:rPr>
          <w:i/>
          <w:sz w:val="23"/>
          <w:szCs w:val="23"/>
          <w:rtl/>
        </w:rPr>
      </w:pPr>
    </w:p>
    <w:p w14:paraId="31E31625" w14:textId="77777777" w:rsidR="00411620" w:rsidRPr="00005251" w:rsidRDefault="00411620" w:rsidP="00411620">
      <w:pPr>
        <w:spacing w:line="216" w:lineRule="auto"/>
        <w:rPr>
          <w:i/>
          <w:sz w:val="23"/>
          <w:szCs w:val="23"/>
        </w:rPr>
      </w:pPr>
      <w:r w:rsidRPr="00005251">
        <w:rPr>
          <w:rFonts w:hint="cs"/>
          <w:i/>
          <w:sz w:val="23"/>
          <w:szCs w:val="23"/>
          <w:rtl/>
        </w:rPr>
        <w:t>درآمد،</w:t>
      </w:r>
      <w:r w:rsidRPr="00005251">
        <w:rPr>
          <w:i/>
          <w:sz w:val="23"/>
          <w:szCs w:val="23"/>
          <w:rtl/>
        </w:rPr>
        <w:t xml:space="preserve"> </w:t>
      </w:r>
      <w:r w:rsidRPr="00005251">
        <w:rPr>
          <w:rFonts w:hint="cs"/>
          <w:i/>
          <w:sz w:val="23"/>
          <w:szCs w:val="23"/>
          <w:rtl/>
        </w:rPr>
        <w:t>سطح مصرف</w:t>
      </w:r>
      <w:r w:rsidRPr="00005251">
        <w:rPr>
          <w:i/>
          <w:sz w:val="23"/>
          <w:szCs w:val="23"/>
          <w:rtl/>
        </w:rPr>
        <w:t xml:space="preserve"> </w:t>
      </w:r>
      <w:r w:rsidRPr="00005251">
        <w:rPr>
          <w:rFonts w:hint="cs"/>
          <w:i/>
          <w:sz w:val="23"/>
          <w:szCs w:val="23"/>
          <w:rtl/>
        </w:rPr>
        <w:t>را به</w:t>
      </w:r>
      <w:r w:rsidRPr="00005251">
        <w:rPr>
          <w:i/>
          <w:sz w:val="23"/>
          <w:szCs w:val="23"/>
          <w:rtl/>
        </w:rPr>
        <w:t xml:space="preserve"> </w:t>
      </w:r>
      <w:r w:rsidRPr="00005251">
        <w:rPr>
          <w:rFonts w:hint="cs"/>
          <w:i/>
          <w:sz w:val="23"/>
          <w:szCs w:val="23"/>
          <w:rtl/>
        </w:rPr>
        <w:t>بخش</w:t>
      </w:r>
      <w:r w:rsidRPr="00005251">
        <w:rPr>
          <w:i/>
          <w:sz w:val="23"/>
          <w:szCs w:val="23"/>
          <w:rtl/>
        </w:rPr>
        <w:t xml:space="preserve"> </w:t>
      </w:r>
      <w:r w:rsidRPr="00005251">
        <w:rPr>
          <w:rFonts w:hint="cs"/>
          <w:i/>
          <w:sz w:val="23"/>
          <w:szCs w:val="23"/>
          <w:rtl/>
        </w:rPr>
        <w:t>بالاتر منتقل کند</w:t>
      </w:r>
      <w:r w:rsidRPr="00005251">
        <w:rPr>
          <w:i/>
          <w:sz w:val="23"/>
          <w:szCs w:val="23"/>
          <w:rtl/>
        </w:rPr>
        <w:t xml:space="preserve">. </w:t>
      </w:r>
      <w:r w:rsidRPr="00005251">
        <w:rPr>
          <w:rFonts w:hint="cs"/>
          <w:i/>
          <w:sz w:val="23"/>
          <w:szCs w:val="23"/>
          <w:rtl/>
        </w:rPr>
        <w:t>سپس</w:t>
      </w:r>
      <w:r w:rsidRPr="00005251">
        <w:rPr>
          <w:i/>
          <w:sz w:val="23"/>
          <w:szCs w:val="23"/>
          <w:rtl/>
        </w:rPr>
        <w:t xml:space="preserve"> </w:t>
      </w:r>
      <w:r w:rsidRPr="00005251">
        <w:rPr>
          <w:rFonts w:hint="cs"/>
          <w:i/>
          <w:sz w:val="23"/>
          <w:szCs w:val="23"/>
          <w:rtl/>
        </w:rPr>
        <w:t>مصرف</w:t>
      </w:r>
      <w:r w:rsidRPr="00005251">
        <w:rPr>
          <w:i/>
          <w:sz w:val="23"/>
          <w:szCs w:val="23"/>
          <w:rtl/>
        </w:rPr>
        <w:t xml:space="preserve"> </w:t>
      </w:r>
      <w:r w:rsidRPr="00005251">
        <w:rPr>
          <w:rFonts w:hint="cs"/>
          <w:i/>
          <w:sz w:val="23"/>
          <w:szCs w:val="23"/>
          <w:rtl/>
        </w:rPr>
        <w:t>در طول</w:t>
      </w:r>
      <w:r w:rsidRPr="00005251">
        <w:rPr>
          <w:i/>
          <w:sz w:val="23"/>
          <w:szCs w:val="23"/>
          <w:rtl/>
        </w:rPr>
        <w:t xml:space="preserve"> </w:t>
      </w:r>
      <w:r w:rsidRPr="00005251">
        <w:rPr>
          <w:rFonts w:hint="cs"/>
          <w:i/>
          <w:sz w:val="23"/>
          <w:szCs w:val="23"/>
          <w:rtl/>
        </w:rPr>
        <w:t>این</w:t>
      </w:r>
      <w:r w:rsidRPr="00005251">
        <w:rPr>
          <w:i/>
          <w:sz w:val="23"/>
          <w:szCs w:val="23"/>
          <w:rtl/>
        </w:rPr>
        <w:t xml:space="preserve"> </w:t>
      </w:r>
      <w:r w:rsidRPr="00005251">
        <w:rPr>
          <w:rFonts w:hint="cs"/>
          <w:i/>
          <w:sz w:val="23"/>
          <w:szCs w:val="23"/>
          <w:rtl/>
        </w:rPr>
        <w:t>بخش</w:t>
      </w:r>
      <w:r w:rsidRPr="00005251">
        <w:rPr>
          <w:i/>
          <w:sz w:val="23"/>
          <w:szCs w:val="23"/>
          <w:rtl/>
        </w:rPr>
        <w:t xml:space="preserve"> </w:t>
      </w:r>
      <w:r w:rsidRPr="00005251">
        <w:rPr>
          <w:rFonts w:hint="cs"/>
          <w:i/>
          <w:sz w:val="23"/>
          <w:szCs w:val="23"/>
          <w:rtl/>
        </w:rPr>
        <w:t>حرکت</w:t>
      </w:r>
      <w:r w:rsidRPr="00005251">
        <w:rPr>
          <w:i/>
          <w:sz w:val="23"/>
          <w:szCs w:val="23"/>
          <w:rtl/>
        </w:rPr>
        <w:t xml:space="preserve"> </w:t>
      </w:r>
      <w:r w:rsidRPr="00005251">
        <w:rPr>
          <w:rFonts w:hint="cs"/>
          <w:i/>
          <w:sz w:val="23"/>
          <w:szCs w:val="23"/>
          <w:rtl/>
        </w:rPr>
        <w:t>خواهد</w:t>
      </w:r>
      <w:r w:rsidRPr="00005251">
        <w:rPr>
          <w:i/>
          <w:sz w:val="23"/>
          <w:szCs w:val="23"/>
          <w:rtl/>
        </w:rPr>
        <w:t xml:space="preserve"> </w:t>
      </w:r>
      <w:r w:rsidRPr="00005251">
        <w:rPr>
          <w:rFonts w:hint="cs"/>
          <w:i/>
          <w:sz w:val="23"/>
          <w:szCs w:val="23"/>
          <w:rtl/>
        </w:rPr>
        <w:t>کرد و</w:t>
      </w:r>
      <w:r w:rsidRPr="00005251">
        <w:rPr>
          <w:i/>
          <w:sz w:val="23"/>
          <w:szCs w:val="23"/>
          <w:rtl/>
        </w:rPr>
        <w:t xml:space="preserve"> </w:t>
      </w:r>
      <w:r w:rsidRPr="00005251">
        <w:rPr>
          <w:rFonts w:hint="cs"/>
          <w:i/>
          <w:sz w:val="23"/>
          <w:szCs w:val="23"/>
          <w:rtl/>
        </w:rPr>
        <w:t>به</w:t>
      </w:r>
      <w:r w:rsidRPr="00005251">
        <w:rPr>
          <w:i/>
          <w:sz w:val="23"/>
          <w:szCs w:val="23"/>
          <w:rtl/>
        </w:rPr>
        <w:t xml:space="preserve"> </w:t>
      </w:r>
      <w:r w:rsidRPr="00005251">
        <w:rPr>
          <w:rFonts w:hint="cs"/>
          <w:i/>
          <w:sz w:val="23"/>
          <w:szCs w:val="23"/>
          <w:rtl/>
        </w:rPr>
        <w:t>رشد خود</w:t>
      </w:r>
      <w:r w:rsidRPr="00005251">
        <w:rPr>
          <w:i/>
          <w:sz w:val="23"/>
          <w:szCs w:val="23"/>
          <w:rtl/>
        </w:rPr>
        <w:t xml:space="preserve"> </w:t>
      </w:r>
      <w:r w:rsidRPr="00005251">
        <w:rPr>
          <w:rFonts w:hint="cs"/>
          <w:i/>
          <w:sz w:val="23"/>
          <w:szCs w:val="23"/>
          <w:rtl/>
        </w:rPr>
        <w:t>با</w:t>
      </w:r>
      <w:r w:rsidRPr="00005251">
        <w:rPr>
          <w:i/>
          <w:sz w:val="23"/>
          <w:szCs w:val="23"/>
          <w:rtl/>
        </w:rPr>
        <w:t xml:space="preserve"> </w:t>
      </w:r>
      <w:r w:rsidRPr="00005251">
        <w:rPr>
          <w:rFonts w:hint="cs"/>
          <w:i/>
          <w:sz w:val="23"/>
          <w:szCs w:val="23"/>
          <w:rtl/>
        </w:rPr>
        <w:t>همان</w:t>
      </w:r>
      <w:r w:rsidRPr="00005251">
        <w:rPr>
          <w:i/>
          <w:sz w:val="23"/>
          <w:szCs w:val="23"/>
          <w:rtl/>
        </w:rPr>
        <w:t xml:space="preserve"> </w:t>
      </w:r>
      <w:r w:rsidRPr="00005251">
        <w:rPr>
          <w:rFonts w:hint="cs"/>
          <w:i/>
          <w:sz w:val="23"/>
          <w:szCs w:val="23"/>
          <w:rtl/>
        </w:rPr>
        <w:t>نرخ قبلی</w:t>
      </w:r>
      <w:r w:rsidRPr="00005251">
        <w:rPr>
          <w:i/>
          <w:sz w:val="23"/>
          <w:szCs w:val="23"/>
          <w:rtl/>
        </w:rPr>
        <w:t xml:space="preserve"> </w:t>
      </w:r>
      <w:r w:rsidRPr="00005251">
        <w:rPr>
          <w:rFonts w:hint="cs"/>
          <w:i/>
          <w:sz w:val="23"/>
          <w:szCs w:val="23"/>
          <w:rtl/>
        </w:rPr>
        <w:t>ادامه می‌دهد، زیرا معادله</w:t>
      </w:r>
      <w:r w:rsidRPr="00005251">
        <w:rPr>
          <w:i/>
          <w:sz w:val="23"/>
          <w:szCs w:val="23"/>
          <w:rtl/>
        </w:rPr>
        <w:softHyphen/>
      </w:r>
      <w:r w:rsidRPr="00005251">
        <w:rPr>
          <w:rFonts w:hint="cs"/>
          <w:i/>
          <w:sz w:val="23"/>
          <w:szCs w:val="23"/>
          <w:rtl/>
        </w:rPr>
        <w:t>ی</w:t>
      </w:r>
      <w:r w:rsidRPr="00005251">
        <w:rPr>
          <w:i/>
          <w:sz w:val="23"/>
          <w:szCs w:val="23"/>
          <w:rtl/>
        </w:rPr>
        <w:t xml:space="preserve"> </w:t>
      </w:r>
      <w:r w:rsidRPr="00005251">
        <w:rPr>
          <w:rFonts w:hint="cs"/>
          <w:i/>
          <w:sz w:val="23"/>
          <w:szCs w:val="23"/>
          <w:rtl/>
        </w:rPr>
        <w:t>اویلر</w:t>
      </w:r>
      <w:r w:rsidRPr="00005251">
        <w:rPr>
          <w:i/>
          <w:sz w:val="23"/>
          <w:szCs w:val="23"/>
          <w:rtl/>
        </w:rPr>
        <w:t xml:space="preserve"> </w:t>
      </w:r>
      <w:r w:rsidRPr="00005251">
        <w:rPr>
          <w:rFonts w:hint="cs"/>
          <w:i/>
          <w:sz w:val="23"/>
          <w:szCs w:val="23"/>
          <w:rtl/>
        </w:rPr>
        <w:t>نسبت به شوک مثبت بدون تأثیر باقی می‌ماند</w:t>
      </w:r>
      <w:r w:rsidRPr="00005251">
        <w:rPr>
          <w:i/>
          <w:sz w:val="23"/>
          <w:szCs w:val="23"/>
          <w:rtl/>
        </w:rPr>
        <w:t>.</w:t>
      </w:r>
      <w:r w:rsidRPr="00005251">
        <w:rPr>
          <w:rFonts w:hint="cs"/>
          <w:i/>
          <w:sz w:val="23"/>
          <w:szCs w:val="23"/>
          <w:rtl/>
        </w:rPr>
        <w:t xml:space="preserve"> در</w:t>
      </w:r>
      <w:r w:rsidRPr="00005251">
        <w:rPr>
          <w:i/>
          <w:sz w:val="23"/>
          <w:szCs w:val="23"/>
          <w:rtl/>
        </w:rPr>
        <w:t xml:space="preserve"> </w:t>
      </w:r>
      <w:r w:rsidRPr="00005251">
        <w:rPr>
          <w:rFonts w:hint="cs"/>
          <w:i/>
          <w:sz w:val="23"/>
          <w:szCs w:val="23"/>
          <w:rtl/>
        </w:rPr>
        <w:t>مقابل،</w:t>
      </w:r>
      <w:r w:rsidRPr="00005251">
        <w:rPr>
          <w:i/>
          <w:sz w:val="23"/>
          <w:szCs w:val="23"/>
          <w:rtl/>
        </w:rPr>
        <w:t xml:space="preserve"> </w:t>
      </w:r>
      <w:r w:rsidRPr="00005251">
        <w:rPr>
          <w:rFonts w:hint="cs"/>
          <w:i/>
          <w:sz w:val="23"/>
          <w:szCs w:val="23"/>
          <w:rtl/>
        </w:rPr>
        <w:t>شوک</w:t>
      </w:r>
      <w:r w:rsidRPr="00005251">
        <w:rPr>
          <w:i/>
          <w:sz w:val="23"/>
          <w:szCs w:val="23"/>
          <w:rtl/>
        </w:rPr>
        <w:t xml:space="preserve"> </w:t>
      </w:r>
      <w:r w:rsidRPr="00005251">
        <w:rPr>
          <w:rFonts w:hint="cs"/>
          <w:i/>
          <w:sz w:val="23"/>
          <w:szCs w:val="23"/>
          <w:rtl/>
        </w:rPr>
        <w:t>مثبت</w:t>
      </w:r>
      <w:r w:rsidRPr="00005251">
        <w:rPr>
          <w:i/>
          <w:sz w:val="23"/>
          <w:szCs w:val="23"/>
          <w:rtl/>
        </w:rPr>
        <w:t xml:space="preserve"> </w:t>
      </w:r>
      <w:r w:rsidRPr="00005251">
        <w:rPr>
          <w:rFonts w:hint="cs"/>
          <w:i/>
          <w:sz w:val="23"/>
          <w:szCs w:val="23"/>
          <w:rtl/>
        </w:rPr>
        <w:t>اما موقتیِ</w:t>
      </w:r>
      <w:r w:rsidRPr="00005251">
        <w:rPr>
          <w:i/>
          <w:sz w:val="23"/>
          <w:szCs w:val="23"/>
          <w:rtl/>
        </w:rPr>
        <w:t xml:space="preserve"> </w:t>
      </w:r>
      <w:r w:rsidRPr="00005251">
        <w:rPr>
          <w:rFonts w:hint="cs"/>
          <w:i/>
          <w:sz w:val="23"/>
          <w:szCs w:val="23"/>
          <w:rtl/>
        </w:rPr>
        <w:t>درآمدی، باعث</w:t>
      </w:r>
      <w:r w:rsidRPr="00005251">
        <w:rPr>
          <w:i/>
          <w:sz w:val="23"/>
          <w:szCs w:val="23"/>
          <w:rtl/>
        </w:rPr>
        <w:t xml:space="preserve"> </w:t>
      </w:r>
      <w:r w:rsidRPr="00005251">
        <w:rPr>
          <w:rFonts w:hint="cs"/>
          <w:i/>
          <w:sz w:val="23"/>
          <w:szCs w:val="23"/>
          <w:rtl/>
        </w:rPr>
        <w:t>افزایش مصرف</w:t>
      </w:r>
      <w:r w:rsidRPr="00005251">
        <w:rPr>
          <w:i/>
          <w:sz w:val="23"/>
          <w:szCs w:val="23"/>
          <w:rtl/>
        </w:rPr>
        <w:t xml:space="preserve"> </w:t>
      </w:r>
      <w:r w:rsidRPr="00005251">
        <w:rPr>
          <w:rFonts w:hint="cs"/>
          <w:i/>
          <w:sz w:val="23"/>
          <w:szCs w:val="23"/>
          <w:rtl/>
        </w:rPr>
        <w:t>به</w:t>
      </w:r>
      <w:r w:rsidRPr="00005251">
        <w:rPr>
          <w:i/>
          <w:sz w:val="23"/>
          <w:szCs w:val="23"/>
          <w:rtl/>
        </w:rPr>
        <w:t xml:space="preserve"> </w:t>
      </w:r>
      <w:r w:rsidRPr="00005251">
        <w:rPr>
          <w:rFonts w:hint="cs"/>
          <w:i/>
          <w:sz w:val="23"/>
          <w:szCs w:val="23"/>
          <w:rtl/>
        </w:rPr>
        <w:t>سطح بالاتر</w:t>
      </w:r>
      <w:r w:rsidRPr="00005251">
        <w:rPr>
          <w:i/>
          <w:sz w:val="23"/>
          <w:szCs w:val="23"/>
          <w:rtl/>
        </w:rPr>
        <w:t xml:space="preserve"> </w:t>
      </w:r>
      <w:r w:rsidRPr="00005251">
        <w:rPr>
          <w:rFonts w:hint="cs"/>
          <w:i/>
          <w:sz w:val="23"/>
          <w:szCs w:val="23"/>
          <w:rtl/>
        </w:rPr>
        <w:t>از</w:t>
      </w:r>
      <w:r w:rsidRPr="00005251">
        <w:rPr>
          <w:i/>
          <w:sz w:val="23"/>
          <w:szCs w:val="23"/>
          <w:rtl/>
        </w:rPr>
        <w:t xml:space="preserve"> </w:t>
      </w:r>
      <w:r w:rsidRPr="00005251">
        <w:rPr>
          <w:rFonts w:hint="cs"/>
          <w:i/>
          <w:sz w:val="23"/>
          <w:szCs w:val="23"/>
          <w:rtl/>
        </w:rPr>
        <w:t>بخش</w:t>
      </w:r>
      <w:r w:rsidRPr="00005251">
        <w:rPr>
          <w:i/>
          <w:sz w:val="23"/>
          <w:szCs w:val="23"/>
          <w:rtl/>
        </w:rPr>
        <w:t xml:space="preserve"> </w:t>
      </w:r>
      <w:r w:rsidRPr="00005251">
        <w:rPr>
          <w:rFonts w:hint="cs"/>
          <w:i/>
          <w:sz w:val="23"/>
          <w:szCs w:val="23"/>
          <w:rtl/>
        </w:rPr>
        <w:t>تحتانی</w:t>
      </w:r>
      <w:r w:rsidRPr="00005251">
        <w:rPr>
          <w:i/>
          <w:sz w:val="23"/>
          <w:szCs w:val="23"/>
          <w:vertAlign w:val="superscript"/>
          <w:rtl/>
        </w:rPr>
        <w:footnoteReference w:id="119"/>
      </w:r>
      <w:r w:rsidRPr="00005251">
        <w:rPr>
          <w:i/>
          <w:sz w:val="23"/>
          <w:szCs w:val="23"/>
          <w:rtl/>
        </w:rPr>
        <w:t xml:space="preserve"> </w:t>
      </w:r>
      <w:r w:rsidRPr="00005251">
        <w:rPr>
          <w:rFonts w:hint="cs"/>
          <w:i/>
          <w:sz w:val="23"/>
          <w:szCs w:val="23"/>
          <w:rtl/>
        </w:rPr>
        <w:t>و سپس</w:t>
      </w:r>
      <w:r w:rsidRPr="00005251">
        <w:rPr>
          <w:i/>
          <w:sz w:val="23"/>
          <w:szCs w:val="23"/>
          <w:rtl/>
        </w:rPr>
        <w:t xml:space="preserve"> </w:t>
      </w:r>
      <w:r w:rsidRPr="00005251">
        <w:rPr>
          <w:rFonts w:hint="cs"/>
          <w:i/>
          <w:sz w:val="23"/>
          <w:szCs w:val="23"/>
          <w:rtl/>
        </w:rPr>
        <w:t>بازگشت مجدد</w:t>
      </w:r>
      <w:r w:rsidRPr="00005251">
        <w:rPr>
          <w:i/>
          <w:sz w:val="23"/>
          <w:szCs w:val="23"/>
          <w:rtl/>
        </w:rPr>
        <w:t xml:space="preserve"> </w:t>
      </w:r>
      <w:r w:rsidRPr="00005251">
        <w:rPr>
          <w:rFonts w:hint="cs"/>
          <w:i/>
          <w:sz w:val="23"/>
          <w:szCs w:val="23"/>
          <w:rtl/>
        </w:rPr>
        <w:t>و</w:t>
      </w:r>
      <w:r w:rsidRPr="00005251">
        <w:rPr>
          <w:i/>
          <w:sz w:val="23"/>
          <w:szCs w:val="23"/>
          <w:rtl/>
        </w:rPr>
        <w:t xml:space="preserve"> </w:t>
      </w:r>
      <w:r w:rsidRPr="00005251">
        <w:rPr>
          <w:rFonts w:hint="cs"/>
          <w:i/>
          <w:sz w:val="23"/>
          <w:szCs w:val="23"/>
          <w:rtl/>
        </w:rPr>
        <w:t>ادامه</w:t>
      </w:r>
      <w:r w:rsidRPr="00005251">
        <w:rPr>
          <w:i/>
          <w:sz w:val="23"/>
          <w:szCs w:val="23"/>
          <w:rtl/>
        </w:rPr>
        <w:t xml:space="preserve"> </w:t>
      </w:r>
      <w:r w:rsidRPr="00005251">
        <w:rPr>
          <w:rFonts w:hint="cs"/>
          <w:i/>
          <w:sz w:val="23"/>
          <w:szCs w:val="23"/>
          <w:rtl/>
        </w:rPr>
        <w:t>در امتداد همان مسیر قبل و با نرخ</w:t>
      </w:r>
      <w:r w:rsidRPr="00005251">
        <w:rPr>
          <w:i/>
          <w:sz w:val="23"/>
          <w:szCs w:val="23"/>
          <w:rtl/>
        </w:rPr>
        <w:t xml:space="preserve"> </w:t>
      </w:r>
      <w:r w:rsidRPr="00005251">
        <w:rPr>
          <w:rFonts w:hint="cs"/>
          <w:i/>
          <w:sz w:val="23"/>
          <w:szCs w:val="23"/>
          <w:rtl/>
        </w:rPr>
        <w:t>رشد</w:t>
      </w:r>
      <w:r w:rsidRPr="00005251">
        <w:rPr>
          <w:i/>
          <w:sz w:val="23"/>
          <w:szCs w:val="23"/>
          <w:rtl/>
        </w:rPr>
        <w:t xml:space="preserve"> </w:t>
      </w:r>
      <w:r w:rsidRPr="00005251">
        <w:rPr>
          <w:rFonts w:hint="cs"/>
          <w:i/>
          <w:sz w:val="23"/>
          <w:szCs w:val="23"/>
          <w:rtl/>
        </w:rPr>
        <w:t>قبل</w:t>
      </w:r>
      <w:r w:rsidRPr="00005251">
        <w:rPr>
          <w:i/>
          <w:sz w:val="23"/>
          <w:szCs w:val="23"/>
          <w:rtl/>
        </w:rPr>
        <w:t xml:space="preserve"> می</w:t>
      </w:r>
      <w:r w:rsidRPr="00005251">
        <w:rPr>
          <w:rFonts w:hint="cs"/>
          <w:i/>
          <w:sz w:val="23"/>
          <w:szCs w:val="23"/>
          <w:rtl/>
        </w:rPr>
        <w:t>‌شود. شوک موقتی با خطوط نقطه چین نشان داده شده است</w:t>
      </w:r>
      <w:r w:rsidRPr="00005251">
        <w:rPr>
          <w:i/>
          <w:sz w:val="23"/>
          <w:szCs w:val="23"/>
          <w:rtl/>
        </w:rPr>
        <w:t xml:space="preserve">. </w:t>
      </w:r>
      <w:r w:rsidRPr="00005251">
        <w:rPr>
          <w:rFonts w:hint="cs"/>
          <w:i/>
          <w:sz w:val="23"/>
          <w:szCs w:val="23"/>
          <w:rtl/>
        </w:rPr>
        <w:t>اگر</w:t>
      </w:r>
      <w:r w:rsidRPr="00005251">
        <w:rPr>
          <w:i/>
          <w:sz w:val="23"/>
          <w:szCs w:val="23"/>
          <w:rtl/>
        </w:rPr>
        <w:t xml:space="preserve"> </w:t>
      </w:r>
      <w:r w:rsidRPr="00005251">
        <w:rPr>
          <w:rFonts w:hint="cs"/>
          <w:i/>
          <w:sz w:val="23"/>
          <w:szCs w:val="23"/>
          <w:rtl/>
        </w:rPr>
        <w:t>افزایش</w:t>
      </w:r>
      <w:r w:rsidRPr="00005251">
        <w:rPr>
          <w:i/>
          <w:sz w:val="23"/>
          <w:szCs w:val="23"/>
          <w:rtl/>
        </w:rPr>
        <w:t xml:space="preserve"> </w:t>
      </w:r>
      <w:r w:rsidRPr="00005251">
        <w:rPr>
          <w:rFonts w:hint="cs"/>
          <w:i/>
          <w:sz w:val="23"/>
          <w:szCs w:val="23"/>
          <w:rtl/>
        </w:rPr>
        <w:t>دائمی</w:t>
      </w:r>
      <w:r w:rsidRPr="00005251">
        <w:rPr>
          <w:i/>
          <w:sz w:val="23"/>
          <w:szCs w:val="23"/>
          <w:rtl/>
        </w:rPr>
        <w:t xml:space="preserve"> </w:t>
      </w:r>
      <w:r w:rsidRPr="00005251">
        <w:rPr>
          <w:rFonts w:hint="cs"/>
          <w:i/>
          <w:sz w:val="23"/>
          <w:szCs w:val="23"/>
          <w:rtl/>
        </w:rPr>
        <w:t>درآمد</w:t>
      </w:r>
      <w:r w:rsidRPr="00005251">
        <w:rPr>
          <w:i/>
          <w:sz w:val="23"/>
          <w:szCs w:val="23"/>
          <w:rtl/>
        </w:rPr>
        <w:t xml:space="preserve"> </w:t>
      </w:r>
      <w:r w:rsidRPr="00005251">
        <w:rPr>
          <w:rFonts w:hint="cs"/>
          <w:i/>
          <w:sz w:val="23"/>
          <w:szCs w:val="23"/>
          <w:rtl/>
        </w:rPr>
        <w:t>زودتر</w:t>
      </w:r>
      <w:r w:rsidRPr="00005251">
        <w:rPr>
          <w:i/>
          <w:sz w:val="23"/>
          <w:szCs w:val="23"/>
          <w:rtl/>
        </w:rPr>
        <w:t xml:space="preserve"> </w:t>
      </w:r>
      <w:r w:rsidRPr="00005251">
        <w:rPr>
          <w:rFonts w:hint="cs"/>
          <w:i/>
          <w:sz w:val="23"/>
          <w:szCs w:val="23"/>
          <w:rtl/>
        </w:rPr>
        <w:t>پیش</w:t>
      </w:r>
      <w:r w:rsidRPr="00005251">
        <w:rPr>
          <w:i/>
          <w:sz w:val="23"/>
          <w:szCs w:val="23"/>
          <w:rtl/>
        </w:rPr>
        <w:softHyphen/>
      </w:r>
      <w:r w:rsidRPr="00005251">
        <w:rPr>
          <w:rFonts w:hint="cs"/>
          <w:i/>
          <w:sz w:val="23"/>
          <w:szCs w:val="23"/>
          <w:rtl/>
        </w:rPr>
        <w:t>بینی</w:t>
      </w:r>
      <w:r w:rsidRPr="00005251">
        <w:rPr>
          <w:i/>
          <w:sz w:val="23"/>
          <w:szCs w:val="23"/>
          <w:rtl/>
        </w:rPr>
        <w:t xml:space="preserve"> </w:t>
      </w:r>
      <w:r w:rsidRPr="00005251">
        <w:rPr>
          <w:rFonts w:hint="cs"/>
          <w:i/>
          <w:sz w:val="23"/>
          <w:szCs w:val="23"/>
          <w:rtl/>
        </w:rPr>
        <w:t>شود،</w:t>
      </w:r>
      <w:r w:rsidRPr="00005251">
        <w:rPr>
          <w:i/>
          <w:sz w:val="23"/>
          <w:szCs w:val="23"/>
          <w:rtl/>
        </w:rPr>
        <w:t xml:space="preserve"> </w:t>
      </w:r>
      <w:r w:rsidRPr="00005251">
        <w:rPr>
          <w:rFonts w:hint="cs"/>
          <w:i/>
          <w:sz w:val="23"/>
          <w:szCs w:val="23"/>
          <w:rtl/>
        </w:rPr>
        <w:t>در این</w:t>
      </w:r>
      <w:r w:rsidRPr="00005251">
        <w:rPr>
          <w:i/>
          <w:sz w:val="23"/>
          <w:szCs w:val="23"/>
          <w:rtl/>
        </w:rPr>
        <w:softHyphen/>
      </w:r>
      <w:r w:rsidRPr="00005251">
        <w:rPr>
          <w:rFonts w:hint="cs"/>
          <w:i/>
          <w:sz w:val="23"/>
          <w:szCs w:val="23"/>
          <w:rtl/>
        </w:rPr>
        <w:t>صورت</w:t>
      </w:r>
      <w:r w:rsidRPr="00005251">
        <w:rPr>
          <w:i/>
          <w:sz w:val="23"/>
          <w:szCs w:val="23"/>
          <w:rtl/>
        </w:rPr>
        <w:t xml:space="preserve"> </w:t>
      </w:r>
      <w:r w:rsidRPr="00005251">
        <w:rPr>
          <w:rFonts w:hint="cs"/>
          <w:i/>
          <w:sz w:val="23"/>
          <w:szCs w:val="23"/>
          <w:rtl/>
        </w:rPr>
        <w:t>مصرف</w:t>
      </w:r>
      <w:r w:rsidRPr="00005251">
        <w:rPr>
          <w:i/>
          <w:sz w:val="23"/>
          <w:szCs w:val="23"/>
          <w:rtl/>
        </w:rPr>
        <w:t xml:space="preserve"> </w:t>
      </w:r>
      <w:r w:rsidRPr="00005251">
        <w:rPr>
          <w:rFonts w:hint="cs"/>
          <w:i/>
          <w:sz w:val="23"/>
          <w:szCs w:val="23"/>
          <w:rtl/>
        </w:rPr>
        <w:t>در</w:t>
      </w:r>
      <w:r w:rsidRPr="00005251">
        <w:rPr>
          <w:i/>
          <w:sz w:val="23"/>
          <w:szCs w:val="23"/>
          <w:rtl/>
        </w:rPr>
        <w:t xml:space="preserve"> </w:t>
      </w:r>
      <w:r w:rsidRPr="00005251">
        <w:rPr>
          <w:rFonts w:hint="cs"/>
          <w:i/>
          <w:sz w:val="23"/>
          <w:szCs w:val="23"/>
          <w:rtl/>
        </w:rPr>
        <w:t>آن</w:t>
      </w:r>
      <w:r w:rsidRPr="00005251">
        <w:rPr>
          <w:i/>
          <w:sz w:val="23"/>
          <w:szCs w:val="23"/>
          <w:rtl/>
        </w:rPr>
        <w:t xml:space="preserve"> </w:t>
      </w:r>
      <w:r w:rsidRPr="00005251">
        <w:rPr>
          <w:rFonts w:hint="cs"/>
          <w:i/>
          <w:sz w:val="23"/>
          <w:szCs w:val="23"/>
          <w:rtl/>
        </w:rPr>
        <w:t>زمان شروع</w:t>
      </w:r>
      <w:r w:rsidRPr="00005251">
        <w:rPr>
          <w:i/>
          <w:sz w:val="23"/>
          <w:szCs w:val="23"/>
          <w:rtl/>
        </w:rPr>
        <w:t xml:space="preserve"> </w:t>
      </w:r>
      <w:r w:rsidRPr="00005251">
        <w:rPr>
          <w:rFonts w:hint="cs"/>
          <w:i/>
          <w:sz w:val="23"/>
          <w:szCs w:val="23"/>
          <w:rtl/>
        </w:rPr>
        <w:t>به</w:t>
      </w:r>
      <w:r w:rsidRPr="00005251">
        <w:rPr>
          <w:i/>
          <w:sz w:val="23"/>
          <w:szCs w:val="23"/>
          <w:rtl/>
        </w:rPr>
        <w:t xml:space="preserve"> </w:t>
      </w:r>
      <w:r w:rsidRPr="00005251">
        <w:rPr>
          <w:rFonts w:hint="cs"/>
          <w:i/>
          <w:sz w:val="23"/>
          <w:szCs w:val="23"/>
          <w:rtl/>
        </w:rPr>
        <w:t>افزایش خواهد کرد</w:t>
      </w:r>
      <w:r w:rsidRPr="00005251">
        <w:rPr>
          <w:i/>
          <w:sz w:val="23"/>
          <w:szCs w:val="23"/>
          <w:rtl/>
        </w:rPr>
        <w:t xml:space="preserve">. </w:t>
      </w:r>
      <w:r w:rsidRPr="00005251">
        <w:rPr>
          <w:rFonts w:hint="cs"/>
          <w:i/>
          <w:sz w:val="23"/>
          <w:szCs w:val="23"/>
          <w:rtl/>
        </w:rPr>
        <w:t>بنابراین در نمودار ۴. ۲</w:t>
      </w:r>
      <w:r w:rsidRPr="00005251">
        <w:rPr>
          <w:i/>
          <w:sz w:val="23"/>
          <w:szCs w:val="23"/>
          <w:rtl/>
        </w:rPr>
        <w:t xml:space="preserve"> </w:t>
      </w:r>
      <w:r w:rsidRPr="00005251">
        <w:rPr>
          <w:rFonts w:hint="cs"/>
          <w:i/>
          <w:sz w:val="23"/>
          <w:szCs w:val="23"/>
          <w:rtl/>
        </w:rPr>
        <w:t>از</w:t>
      </w:r>
      <w:r w:rsidRPr="00005251">
        <w:rPr>
          <w:i/>
          <w:sz w:val="23"/>
          <w:szCs w:val="23"/>
          <w:rtl/>
        </w:rPr>
        <w:t xml:space="preserve"> </w:t>
      </w:r>
      <w:r w:rsidRPr="00005251">
        <w:rPr>
          <w:rFonts w:hint="cs"/>
          <w:i/>
          <w:sz w:val="23"/>
          <w:szCs w:val="23"/>
          <w:rtl/>
        </w:rPr>
        <w:t>زمانی که تغییر در درآمد</w:t>
      </w:r>
      <w:r w:rsidRPr="00005251">
        <w:rPr>
          <w:i/>
          <w:sz w:val="23"/>
          <w:szCs w:val="23"/>
          <w:rtl/>
        </w:rPr>
        <w:t xml:space="preserve"> </w:t>
      </w:r>
      <w:r w:rsidRPr="00005251">
        <w:rPr>
          <w:rFonts w:hint="cs"/>
          <w:i/>
          <w:sz w:val="23"/>
          <w:szCs w:val="23"/>
          <w:rtl/>
        </w:rPr>
        <w:t>پیش</w:t>
      </w:r>
      <w:r w:rsidRPr="00005251">
        <w:rPr>
          <w:i/>
          <w:sz w:val="23"/>
          <w:szCs w:val="23"/>
          <w:rtl/>
        </w:rPr>
        <w:softHyphen/>
      </w:r>
      <w:r w:rsidRPr="00005251">
        <w:rPr>
          <w:rFonts w:hint="cs"/>
          <w:i/>
          <w:sz w:val="23"/>
          <w:szCs w:val="23"/>
          <w:rtl/>
        </w:rPr>
        <w:t>بینی</w:t>
      </w:r>
      <w:r w:rsidRPr="00005251">
        <w:rPr>
          <w:i/>
          <w:sz w:val="23"/>
          <w:szCs w:val="23"/>
          <w:rtl/>
        </w:rPr>
        <w:t xml:space="preserve"> </w:t>
      </w:r>
      <w:r w:rsidRPr="00005251">
        <w:rPr>
          <w:rFonts w:hint="cs"/>
          <w:i/>
          <w:sz w:val="23"/>
          <w:szCs w:val="23"/>
          <w:rtl/>
        </w:rPr>
        <w:t>شده</w:t>
      </w:r>
      <w:r w:rsidRPr="00005251">
        <w:rPr>
          <w:i/>
          <w:sz w:val="23"/>
          <w:szCs w:val="23"/>
          <w:rtl/>
        </w:rPr>
        <w:t xml:space="preserve"> </w:t>
      </w:r>
      <w:r w:rsidRPr="00005251">
        <w:rPr>
          <w:rFonts w:hint="cs"/>
          <w:i/>
          <w:sz w:val="23"/>
          <w:szCs w:val="23"/>
          <w:rtl/>
        </w:rPr>
        <w:t>بود، مسیر</w:t>
      </w:r>
      <w:r w:rsidRPr="00005251">
        <w:rPr>
          <w:i/>
          <w:sz w:val="23"/>
          <w:szCs w:val="23"/>
          <w:rtl/>
        </w:rPr>
        <w:t xml:space="preserve"> </w:t>
      </w:r>
      <w:r w:rsidRPr="00005251">
        <w:rPr>
          <w:rFonts w:hint="cs"/>
          <w:i/>
          <w:sz w:val="23"/>
          <w:szCs w:val="23"/>
          <w:rtl/>
        </w:rPr>
        <w:t>مصرف</w:t>
      </w:r>
      <w:r w:rsidRPr="00005251">
        <w:rPr>
          <w:i/>
          <w:sz w:val="23"/>
          <w:szCs w:val="23"/>
          <w:rtl/>
        </w:rPr>
        <w:t xml:space="preserve"> </w:t>
      </w:r>
      <w:r w:rsidRPr="00005251">
        <w:rPr>
          <w:rFonts w:hint="cs"/>
          <w:i/>
          <w:sz w:val="23"/>
          <w:szCs w:val="23"/>
          <w:rtl/>
        </w:rPr>
        <w:t>بالاتر</w:t>
      </w:r>
      <w:r w:rsidRPr="00005251">
        <w:rPr>
          <w:i/>
          <w:sz w:val="23"/>
          <w:szCs w:val="23"/>
          <w:rtl/>
        </w:rPr>
        <w:t xml:space="preserve"> </w:t>
      </w:r>
      <w:r w:rsidRPr="00005251">
        <w:rPr>
          <w:rFonts w:hint="cs"/>
          <w:i/>
          <w:sz w:val="23"/>
          <w:szCs w:val="23"/>
          <w:rtl/>
        </w:rPr>
        <w:t>از</w:t>
      </w:r>
      <w:r w:rsidRPr="00005251">
        <w:rPr>
          <w:i/>
          <w:sz w:val="23"/>
          <w:szCs w:val="23"/>
          <w:rtl/>
        </w:rPr>
        <w:t xml:space="preserve"> </w:t>
      </w:r>
      <w:r w:rsidRPr="00005251">
        <w:rPr>
          <w:rFonts w:hint="cs"/>
          <w:i/>
          <w:sz w:val="23"/>
          <w:szCs w:val="23"/>
          <w:rtl/>
        </w:rPr>
        <w:t>بخش</w:t>
      </w:r>
      <w:r w:rsidRPr="00005251">
        <w:rPr>
          <w:i/>
          <w:sz w:val="23"/>
          <w:szCs w:val="23"/>
          <w:rtl/>
        </w:rPr>
        <w:t xml:space="preserve"> </w:t>
      </w:r>
      <w:r w:rsidRPr="00005251">
        <w:rPr>
          <w:rFonts w:hint="cs"/>
          <w:i/>
          <w:sz w:val="23"/>
          <w:szCs w:val="23"/>
          <w:rtl/>
        </w:rPr>
        <w:t>تحتانی</w:t>
      </w:r>
      <w:r w:rsidRPr="00005251">
        <w:rPr>
          <w:i/>
          <w:sz w:val="23"/>
          <w:szCs w:val="23"/>
          <w:rtl/>
        </w:rPr>
        <w:t xml:space="preserve"> </w:t>
      </w:r>
      <w:r w:rsidRPr="00005251">
        <w:rPr>
          <w:rFonts w:hint="cs"/>
          <w:i/>
          <w:sz w:val="23"/>
          <w:szCs w:val="23"/>
          <w:rtl/>
        </w:rPr>
        <w:t>است و زمانی</w:t>
      </w:r>
      <w:r w:rsidRPr="00005251">
        <w:rPr>
          <w:i/>
          <w:sz w:val="23"/>
          <w:szCs w:val="23"/>
          <w:rtl/>
        </w:rPr>
        <w:softHyphen/>
      </w:r>
      <w:r w:rsidRPr="00005251">
        <w:rPr>
          <w:rFonts w:hint="cs"/>
          <w:i/>
          <w:sz w:val="23"/>
          <w:szCs w:val="23"/>
          <w:rtl/>
        </w:rPr>
        <w:t>که</w:t>
      </w:r>
      <w:r w:rsidRPr="00005251">
        <w:rPr>
          <w:i/>
          <w:sz w:val="23"/>
          <w:szCs w:val="23"/>
          <w:rtl/>
        </w:rPr>
        <w:t xml:space="preserve"> </w:t>
      </w:r>
      <w:r w:rsidRPr="00005251">
        <w:rPr>
          <w:rFonts w:hint="cs"/>
          <w:i/>
          <w:sz w:val="23"/>
          <w:szCs w:val="23"/>
          <w:rtl/>
        </w:rPr>
        <w:t>افزایش</w:t>
      </w:r>
      <w:r w:rsidRPr="00005251">
        <w:rPr>
          <w:i/>
          <w:sz w:val="23"/>
          <w:szCs w:val="23"/>
          <w:rtl/>
        </w:rPr>
        <w:t xml:space="preserve"> </w:t>
      </w:r>
      <w:r w:rsidRPr="00005251">
        <w:rPr>
          <w:rFonts w:hint="cs"/>
          <w:i/>
          <w:sz w:val="23"/>
          <w:szCs w:val="23"/>
          <w:rtl/>
        </w:rPr>
        <w:t>در</w:t>
      </w:r>
      <w:r w:rsidRPr="00005251">
        <w:rPr>
          <w:i/>
          <w:sz w:val="23"/>
          <w:szCs w:val="23"/>
          <w:rtl/>
        </w:rPr>
        <w:t xml:space="preserve"> </w:t>
      </w:r>
      <w:r w:rsidRPr="00005251">
        <w:rPr>
          <w:rFonts w:hint="cs"/>
          <w:i/>
          <w:sz w:val="23"/>
          <w:szCs w:val="23"/>
          <w:rtl/>
        </w:rPr>
        <w:t>درآمد</w:t>
      </w:r>
      <w:r w:rsidRPr="00005251">
        <w:rPr>
          <w:i/>
          <w:sz w:val="23"/>
          <w:szCs w:val="23"/>
          <w:rtl/>
        </w:rPr>
        <w:t xml:space="preserve"> </w:t>
      </w:r>
      <w:r w:rsidRPr="00005251">
        <w:rPr>
          <w:rFonts w:hint="cs"/>
          <w:i/>
          <w:sz w:val="23"/>
          <w:szCs w:val="23"/>
          <w:rtl/>
        </w:rPr>
        <w:t>شکل می‌گیرد</w:t>
      </w:r>
      <w:r w:rsidRPr="00005251">
        <w:rPr>
          <w:i/>
          <w:sz w:val="23"/>
          <w:szCs w:val="23"/>
          <w:rtl/>
        </w:rPr>
        <w:t xml:space="preserve"> </w:t>
      </w:r>
      <w:r w:rsidRPr="00005251">
        <w:rPr>
          <w:rFonts w:hint="cs"/>
          <w:i/>
          <w:sz w:val="23"/>
          <w:szCs w:val="23"/>
          <w:rtl/>
        </w:rPr>
        <w:t>به</w:t>
      </w:r>
      <w:r w:rsidRPr="00005251">
        <w:rPr>
          <w:i/>
          <w:sz w:val="23"/>
          <w:szCs w:val="23"/>
          <w:rtl/>
        </w:rPr>
        <w:t xml:space="preserve"> </w:t>
      </w:r>
      <w:r w:rsidRPr="00005251">
        <w:rPr>
          <w:rFonts w:hint="cs"/>
          <w:i/>
          <w:sz w:val="23"/>
          <w:szCs w:val="23"/>
          <w:rtl/>
        </w:rPr>
        <w:t>بخش</w:t>
      </w:r>
      <w:r w:rsidRPr="00005251">
        <w:rPr>
          <w:i/>
          <w:sz w:val="23"/>
          <w:szCs w:val="23"/>
          <w:rtl/>
        </w:rPr>
        <w:t xml:space="preserve"> </w:t>
      </w:r>
      <w:r w:rsidRPr="00005251">
        <w:rPr>
          <w:rFonts w:hint="cs"/>
          <w:i/>
          <w:sz w:val="23"/>
          <w:szCs w:val="23"/>
          <w:rtl/>
        </w:rPr>
        <w:t>بالایی</w:t>
      </w:r>
      <w:r w:rsidRPr="00005251">
        <w:rPr>
          <w:i/>
          <w:sz w:val="23"/>
          <w:szCs w:val="23"/>
          <w:rtl/>
        </w:rPr>
        <w:t xml:space="preserve"> </w:t>
      </w:r>
      <w:r w:rsidRPr="00005251">
        <w:rPr>
          <w:rFonts w:hint="cs"/>
          <w:i/>
          <w:sz w:val="23"/>
          <w:szCs w:val="23"/>
          <w:rtl/>
        </w:rPr>
        <w:t>خواهد پیوست</w:t>
      </w:r>
      <w:r w:rsidRPr="00005251">
        <w:rPr>
          <w:i/>
          <w:sz w:val="23"/>
          <w:szCs w:val="23"/>
          <w:rtl/>
        </w:rPr>
        <w:t>.</w:t>
      </w:r>
      <w:r w:rsidRPr="00005251">
        <w:rPr>
          <w:rFonts w:hint="cs"/>
          <w:i/>
          <w:sz w:val="23"/>
          <w:szCs w:val="23"/>
          <w:rtl/>
        </w:rPr>
        <w:t xml:space="preserve"> </w:t>
      </w:r>
    </w:p>
    <w:p w14:paraId="6FD54861" w14:textId="77777777" w:rsidR="00411620" w:rsidRPr="00005251" w:rsidRDefault="00411620" w:rsidP="00411620">
      <w:pPr>
        <w:spacing w:line="216" w:lineRule="auto"/>
        <w:rPr>
          <w:i/>
          <w:sz w:val="23"/>
          <w:szCs w:val="23"/>
          <w:rtl/>
        </w:rPr>
      </w:pPr>
    </w:p>
    <w:p w14:paraId="6446A141" w14:textId="77777777" w:rsidR="00411620" w:rsidRPr="00005251" w:rsidRDefault="00411620" w:rsidP="00411620">
      <w:pPr>
        <w:pStyle w:val="Heading1"/>
        <w:spacing w:before="0" w:after="0" w:line="216" w:lineRule="auto"/>
        <w:rPr>
          <w:rFonts w:ascii="Times New Roman" w:hAnsi="Times New Roman" w:cs="B Nazanin"/>
          <w:b w:val="0"/>
          <w:i/>
          <w:sz w:val="23"/>
          <w:szCs w:val="23"/>
          <w:rtl/>
        </w:rPr>
      </w:pPr>
      <w:r w:rsidRPr="00005251">
        <w:rPr>
          <w:rFonts w:ascii="Times New Roman" w:hAnsi="Times New Roman" w:cs="B Nazanin" w:hint="cs"/>
          <w:b w:val="0"/>
          <w:i/>
          <w:sz w:val="23"/>
          <w:szCs w:val="23"/>
          <w:rtl/>
        </w:rPr>
        <w:t>مدل جواني ابدي</w:t>
      </w:r>
      <w:r w:rsidRPr="00005251">
        <w:rPr>
          <w:rStyle w:val="FootnoteReference"/>
          <w:rFonts w:ascii="Times New Roman" w:eastAsiaTheme="majorEastAsia" w:hAnsi="Times New Roman" w:cs="B Nazanin"/>
          <w:b w:val="0"/>
          <w:i/>
          <w:sz w:val="23"/>
          <w:szCs w:val="23"/>
          <w:rtl/>
        </w:rPr>
        <w:footnoteReference w:id="120"/>
      </w:r>
      <w:r w:rsidRPr="00005251">
        <w:rPr>
          <w:rFonts w:ascii="Times New Roman" w:hAnsi="Times New Roman" w:cs="B Nazanin" w:hint="cs"/>
          <w:b w:val="0"/>
          <w:i/>
          <w:sz w:val="23"/>
          <w:szCs w:val="23"/>
          <w:rtl/>
        </w:rPr>
        <w:t xml:space="preserve"> </w:t>
      </w:r>
    </w:p>
    <w:p w14:paraId="04A529BC" w14:textId="77777777" w:rsidR="00411620" w:rsidRPr="00005251" w:rsidRDefault="00411620" w:rsidP="00411620">
      <w:pPr>
        <w:spacing w:line="216" w:lineRule="auto"/>
        <w:rPr>
          <w:i/>
          <w:sz w:val="23"/>
          <w:szCs w:val="23"/>
          <w:rtl/>
        </w:rPr>
      </w:pPr>
      <w:r w:rsidRPr="00005251">
        <w:rPr>
          <w:rFonts w:hint="cs"/>
          <w:i/>
          <w:sz w:val="23"/>
          <w:szCs w:val="23"/>
          <w:rtl/>
        </w:rPr>
        <w:t>اين مدل توسط بلانچارد و فیشر،</w:t>
      </w:r>
      <w:r w:rsidRPr="00005251">
        <w:rPr>
          <w:rStyle w:val="FootnoteReference"/>
          <w:rFonts w:eastAsiaTheme="majorEastAsia"/>
          <w:i/>
          <w:sz w:val="23"/>
          <w:szCs w:val="23"/>
          <w:rtl/>
        </w:rPr>
        <w:footnoteReference w:id="121"/>
      </w:r>
      <w:r w:rsidRPr="00005251">
        <w:rPr>
          <w:rFonts w:hint="cs"/>
          <w:i/>
          <w:sz w:val="23"/>
          <w:szCs w:val="23"/>
          <w:rtl/>
          <w:lang w:val="en-GB"/>
        </w:rPr>
        <w:t>و یاری</w:t>
      </w:r>
      <w:r w:rsidRPr="00005251">
        <w:rPr>
          <w:rStyle w:val="FootnoteReference"/>
          <w:rFonts w:eastAsiaTheme="majorEastAsia"/>
          <w:i/>
          <w:sz w:val="23"/>
          <w:szCs w:val="23"/>
          <w:rtl/>
          <w:lang w:val="en-GB"/>
        </w:rPr>
        <w:footnoteReference w:id="122"/>
      </w:r>
      <w:r w:rsidRPr="00005251">
        <w:rPr>
          <w:rFonts w:hint="cs"/>
          <w:i/>
          <w:sz w:val="23"/>
          <w:szCs w:val="23"/>
          <w:rtl/>
          <w:lang w:val="en-GB"/>
        </w:rPr>
        <w:t xml:space="preserve"> </w:t>
      </w:r>
      <w:r w:rsidRPr="00005251">
        <w:rPr>
          <w:rFonts w:hint="cs"/>
          <w:i/>
          <w:sz w:val="23"/>
          <w:szCs w:val="23"/>
          <w:rtl/>
        </w:rPr>
        <w:t>ارائه شده است. در این مدل فرض می‌شود در هر</w:t>
      </w:r>
      <w:r w:rsidRPr="00005251">
        <w:rPr>
          <w:i/>
          <w:sz w:val="23"/>
          <w:szCs w:val="23"/>
        </w:rPr>
        <w:t xml:space="preserve"> </w:t>
      </w:r>
      <w:r w:rsidRPr="00005251">
        <w:rPr>
          <w:rFonts w:hint="cs"/>
          <w:i/>
          <w:sz w:val="23"/>
          <w:szCs w:val="23"/>
          <w:rtl/>
        </w:rPr>
        <w:t>لحظه از زمان هر فرد با احتمال فوت ثابت</w:t>
      </w:r>
      <w:r w:rsidRPr="00005251">
        <w:rPr>
          <w:position w:val="-10"/>
        </w:rPr>
        <w:object w:dxaOrig="180" w:dyaOrig="240" w14:anchorId="70F02339">
          <v:shape id="_x0000_i2221" type="#_x0000_t75" style="width:9.1pt;height:11.5pt" o:ole="">
            <v:imagedata r:id="rId2428" o:title=""/>
          </v:shape>
          <o:OLEObject Type="Embed" ProgID="Equation.DSMT4" ShapeID="_x0000_i2221" DrawAspect="Content" ObjectID="_1791376165" r:id="rId2429"/>
        </w:object>
      </w:r>
      <w:r w:rsidRPr="00005251">
        <w:rPr>
          <w:rFonts w:hint="cs"/>
          <w:i/>
          <w:sz w:val="23"/>
          <w:szCs w:val="23"/>
          <w:rtl/>
        </w:rPr>
        <w:t xml:space="preserve"> و احتمال زنده ماندن</w:t>
      </w:r>
      <w:r w:rsidRPr="00005251">
        <w:rPr>
          <w:position w:val="-10"/>
        </w:rPr>
        <w:object w:dxaOrig="499" w:dyaOrig="300" w14:anchorId="47844428">
          <v:shape id="_x0000_i2222" type="#_x0000_t75" style="width:24.8pt;height:15.15pt" o:ole="">
            <v:imagedata r:id="rId2430" o:title=""/>
          </v:shape>
          <o:OLEObject Type="Embed" ProgID="Equation.DSMT4" ShapeID="_x0000_i2222" DrawAspect="Content" ObjectID="_1791376166" r:id="rId2431"/>
        </w:object>
      </w:r>
      <w:r w:rsidRPr="00005251">
        <w:rPr>
          <w:rFonts w:hint="cs"/>
          <w:i/>
          <w:sz w:val="23"/>
          <w:szCs w:val="23"/>
          <w:rtl/>
        </w:rPr>
        <w:t xml:space="preserve"> مواجه است و این احتمال مستقل </w:t>
      </w:r>
      <w:r w:rsidRPr="00005251">
        <w:rPr>
          <w:rFonts w:hint="cs"/>
          <w:i/>
          <w:sz w:val="23"/>
          <w:szCs w:val="23"/>
          <w:rtl/>
        </w:rPr>
        <w:lastRenderedPageBreak/>
        <w:t xml:space="preserve">از سن وی است. احتمال فوت فرد در زمان </w:t>
      </w:r>
      <w:r w:rsidRPr="00005251">
        <w:rPr>
          <w:i/>
          <w:sz w:val="23"/>
          <w:szCs w:val="23"/>
        </w:rPr>
        <w:t>s</w:t>
      </w:r>
      <w:r w:rsidRPr="00005251">
        <w:rPr>
          <w:rFonts w:hint="cs"/>
          <w:i/>
          <w:sz w:val="23"/>
          <w:szCs w:val="23"/>
          <w:rtl/>
        </w:rPr>
        <w:t xml:space="preserve"> برابر خواهد بود با احتمال مشترك زنده ماندن تا زمان </w:t>
      </w:r>
      <w:r w:rsidRPr="00005251">
        <w:rPr>
          <w:i/>
          <w:sz w:val="23"/>
          <w:szCs w:val="23"/>
        </w:rPr>
        <w:t>s-1</w:t>
      </w:r>
      <w:r w:rsidRPr="00005251">
        <w:rPr>
          <w:rFonts w:hint="cs"/>
          <w:i/>
          <w:sz w:val="23"/>
          <w:szCs w:val="23"/>
          <w:rtl/>
        </w:rPr>
        <w:t xml:space="preserve"> ضربدر احتمال فوت در زمان </w:t>
      </w:r>
      <w:r w:rsidRPr="00005251">
        <w:rPr>
          <w:i/>
          <w:sz w:val="23"/>
          <w:szCs w:val="23"/>
        </w:rPr>
        <w:t>s</w:t>
      </w:r>
      <w:r w:rsidRPr="00005251">
        <w:rPr>
          <w:rFonts w:hint="cs"/>
          <w:i/>
          <w:sz w:val="23"/>
          <w:szCs w:val="23"/>
          <w:rtl/>
        </w:rPr>
        <w:t>. لذا</w:t>
      </w:r>
    </w:p>
    <w:p w14:paraId="4F3ED315" w14:textId="77777777" w:rsidR="00411620" w:rsidRPr="00005251" w:rsidRDefault="00411620" w:rsidP="00411620">
      <w:pPr>
        <w:bidi w:val="0"/>
        <w:spacing w:line="216" w:lineRule="auto"/>
        <w:rPr>
          <w:i/>
          <w:sz w:val="23"/>
          <w:szCs w:val="23"/>
          <w:rtl/>
        </w:rPr>
      </w:pPr>
      <w:r w:rsidRPr="00005251">
        <w:rPr>
          <w:position w:val="-12"/>
        </w:rPr>
        <w:object w:dxaOrig="3100" w:dyaOrig="400" w14:anchorId="38379583">
          <v:shape id="_x0000_i2223" type="#_x0000_t75" style="width:154.9pt;height:19.95pt" o:ole="">
            <v:imagedata r:id="rId2432" o:title=""/>
          </v:shape>
          <o:OLEObject Type="Embed" ProgID="Equation.DSMT4" ShapeID="_x0000_i2223" DrawAspect="Content" ObjectID="_1791376167" r:id="rId2433"/>
        </w:object>
      </w:r>
    </w:p>
    <w:p w14:paraId="3834B8E7" w14:textId="77777777" w:rsidR="00411620" w:rsidRPr="00005251" w:rsidRDefault="00411620" w:rsidP="00411620">
      <w:pPr>
        <w:spacing w:line="216" w:lineRule="auto"/>
        <w:rPr>
          <w:i/>
          <w:sz w:val="23"/>
          <w:szCs w:val="23"/>
        </w:rPr>
      </w:pPr>
      <w:r w:rsidRPr="00005251">
        <w:rPr>
          <w:rFonts w:hint="cs"/>
          <w:i/>
          <w:sz w:val="23"/>
          <w:szCs w:val="23"/>
          <w:rtl/>
        </w:rPr>
        <w:t>و دوره</w:t>
      </w:r>
      <w:r w:rsidRPr="00005251">
        <w:rPr>
          <w:i/>
          <w:sz w:val="23"/>
          <w:szCs w:val="23"/>
          <w:rtl/>
        </w:rPr>
        <w:softHyphen/>
      </w:r>
      <w:r w:rsidRPr="00005251">
        <w:rPr>
          <w:rFonts w:hint="cs"/>
          <w:i/>
          <w:sz w:val="23"/>
          <w:szCs w:val="23"/>
          <w:rtl/>
        </w:rPr>
        <w:t>ی زندگي مورد انتظار فرد برابر است با</w:t>
      </w:r>
      <w:r w:rsidRPr="00005251">
        <w:rPr>
          <w:i/>
          <w:sz w:val="23"/>
          <w:szCs w:val="23"/>
        </w:rPr>
        <w:t>:</w:t>
      </w:r>
    </w:p>
    <w:p w14:paraId="59A63B73"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26"/>
        </w:rPr>
        <w:object w:dxaOrig="2460" w:dyaOrig="620" w14:anchorId="476F9A68">
          <v:shape id="_x0000_i2224" type="#_x0000_t75" style="width:122.8pt;height:30.85pt" o:ole="">
            <v:imagedata r:id="rId2434" o:title=""/>
          </v:shape>
          <o:OLEObject Type="Embed" ProgID="Equation.DSMT4" ShapeID="_x0000_i2224" DrawAspect="Content" ObjectID="_1791376168" r:id="rId2435"/>
        </w:object>
      </w:r>
    </w:p>
    <w:p w14:paraId="59439A32" w14:textId="77777777" w:rsidR="00411620" w:rsidRPr="00005251" w:rsidRDefault="00411620" w:rsidP="00411620">
      <w:pPr>
        <w:spacing w:line="216" w:lineRule="auto"/>
        <w:rPr>
          <w:i/>
          <w:sz w:val="23"/>
          <w:szCs w:val="23"/>
        </w:rPr>
      </w:pPr>
      <w:r w:rsidRPr="00005251">
        <w:rPr>
          <w:rFonts w:hint="cs"/>
          <w:i/>
          <w:sz w:val="23"/>
          <w:szCs w:val="23"/>
          <w:rtl/>
        </w:rPr>
        <w:t xml:space="preserve"> اگر </w:t>
      </w:r>
      <w:r w:rsidRPr="00005251">
        <w:rPr>
          <w:position w:val="-10"/>
        </w:rPr>
        <w:object w:dxaOrig="560" w:dyaOrig="300" w14:anchorId="1F835D20">
          <v:shape id="_x0000_i2225" type="#_x0000_t75" style="width:28.45pt;height:15.15pt" o:ole="">
            <v:imagedata r:id="rId2436" o:title=""/>
          </v:shape>
          <o:OLEObject Type="Embed" ProgID="Equation.DSMT4" ShapeID="_x0000_i2225" DrawAspect="Content" ObjectID="_1791376169" r:id="rId2437"/>
        </w:object>
      </w:r>
      <w:r w:rsidRPr="00005251">
        <w:rPr>
          <w:i/>
          <w:sz w:val="23"/>
          <w:szCs w:val="23"/>
        </w:rPr>
        <w:t xml:space="preserve"> </w:t>
      </w:r>
      <w:r w:rsidRPr="00005251">
        <w:rPr>
          <w:rFonts w:hint="cs"/>
          <w:i/>
          <w:sz w:val="23"/>
          <w:szCs w:val="23"/>
          <w:rtl/>
        </w:rPr>
        <w:t>باشد، آنگاه فرد تا زمان بي</w:t>
      </w:r>
      <w:r w:rsidRPr="00005251">
        <w:rPr>
          <w:i/>
          <w:sz w:val="23"/>
          <w:szCs w:val="23"/>
          <w:rtl/>
        </w:rPr>
        <w:softHyphen/>
      </w:r>
      <w:r w:rsidRPr="00005251">
        <w:rPr>
          <w:rFonts w:hint="cs"/>
          <w:i/>
          <w:sz w:val="23"/>
          <w:szCs w:val="23"/>
          <w:rtl/>
        </w:rPr>
        <w:t>نهايت زندگي مي</w:t>
      </w:r>
      <w:r w:rsidRPr="00005251">
        <w:rPr>
          <w:i/>
          <w:sz w:val="23"/>
          <w:szCs w:val="23"/>
          <w:rtl/>
        </w:rPr>
        <w:softHyphen/>
      </w:r>
      <w:r w:rsidRPr="00005251">
        <w:rPr>
          <w:rFonts w:hint="cs"/>
          <w:i/>
          <w:sz w:val="23"/>
          <w:szCs w:val="23"/>
          <w:rtl/>
        </w:rPr>
        <w:t xml:space="preserve">كند كه مانند مدل اوليه است. چون متوسط طول عمر در حال افزايش است، لذا </w:t>
      </w:r>
      <w:r w:rsidRPr="00005251">
        <w:rPr>
          <w:position w:val="-10"/>
        </w:rPr>
        <w:object w:dxaOrig="220" w:dyaOrig="240" w14:anchorId="0D986A32">
          <v:shape id="_x0000_i2226" type="#_x0000_t75" style="width:10.9pt;height:11.5pt" o:ole="">
            <v:imagedata r:id="rId2438" o:title=""/>
          </v:shape>
          <o:OLEObject Type="Embed" ProgID="Equation.DSMT4" ShapeID="_x0000_i2226" DrawAspect="Content" ObjectID="_1791376170" r:id="rId2439"/>
        </w:object>
      </w:r>
      <w:r w:rsidRPr="00005251">
        <w:rPr>
          <w:rFonts w:hint="cs"/>
          <w:i/>
          <w:sz w:val="23"/>
          <w:szCs w:val="23"/>
          <w:rtl/>
        </w:rPr>
        <w:t xml:space="preserve"> مرتباً كاهش مي</w:t>
      </w:r>
      <w:r w:rsidRPr="00005251">
        <w:rPr>
          <w:i/>
          <w:sz w:val="23"/>
          <w:szCs w:val="23"/>
          <w:rtl/>
        </w:rPr>
        <w:softHyphen/>
      </w:r>
      <w:r w:rsidRPr="00005251">
        <w:rPr>
          <w:rFonts w:hint="cs"/>
          <w:i/>
          <w:sz w:val="23"/>
          <w:szCs w:val="23"/>
          <w:rtl/>
        </w:rPr>
        <w:t xml:space="preserve">يابد. </w:t>
      </w:r>
    </w:p>
    <w:p w14:paraId="117F4DD4" w14:textId="77777777" w:rsidR="00411620" w:rsidRPr="00005251" w:rsidRDefault="00411620" w:rsidP="00411620">
      <w:pPr>
        <w:spacing w:line="216" w:lineRule="auto"/>
        <w:rPr>
          <w:i/>
          <w:sz w:val="23"/>
          <w:szCs w:val="23"/>
        </w:rPr>
      </w:pPr>
      <w:r w:rsidRPr="00005251">
        <w:rPr>
          <w:rFonts w:hint="cs"/>
          <w:i/>
          <w:sz w:val="23"/>
          <w:szCs w:val="23"/>
          <w:rtl/>
        </w:rPr>
        <w:t>با توجه به اينكه زمان فوت ناشناخته است، پس</w:t>
      </w:r>
      <w:r w:rsidRPr="00005251">
        <w:rPr>
          <w:i/>
          <w:sz w:val="23"/>
          <w:szCs w:val="23"/>
          <w:rtl/>
        </w:rPr>
        <w:softHyphen/>
      </w:r>
      <w:r w:rsidRPr="00005251">
        <w:rPr>
          <w:rFonts w:hint="cs"/>
          <w:i/>
          <w:sz w:val="23"/>
          <w:szCs w:val="23"/>
          <w:rtl/>
        </w:rPr>
        <w:t>انداز و مصرف خانوار در شرايط نااطميناني صورت می</w:t>
      </w:r>
      <w:r w:rsidRPr="00005251">
        <w:rPr>
          <w:i/>
          <w:sz w:val="23"/>
          <w:szCs w:val="23"/>
          <w:rtl/>
        </w:rPr>
        <w:softHyphen/>
      </w:r>
      <w:r w:rsidRPr="00005251">
        <w:rPr>
          <w:rFonts w:hint="cs"/>
          <w:i/>
          <w:sz w:val="23"/>
          <w:szCs w:val="23"/>
          <w:rtl/>
        </w:rPr>
        <w:t xml:space="preserve">گیرد و مطلوبيت در زمان‌ </w:t>
      </w:r>
      <w:r w:rsidRPr="00005251">
        <w:rPr>
          <w:position w:val="-6"/>
        </w:rPr>
        <w:object w:dxaOrig="440" w:dyaOrig="240" w14:anchorId="2B2EC447">
          <v:shape id="_x0000_i2227" type="#_x0000_t75" style="width:22.4pt;height:11.5pt" o:ole="">
            <v:imagedata r:id="rId2440" o:title=""/>
          </v:shape>
          <o:OLEObject Type="Embed" ProgID="Equation.DSMT4" ShapeID="_x0000_i2227" DrawAspect="Content" ObjectID="_1791376171" r:id="rId2441"/>
        </w:object>
      </w:r>
      <w:r w:rsidRPr="00005251">
        <w:rPr>
          <w:rFonts w:hint="cs"/>
          <w:i/>
          <w:sz w:val="23"/>
          <w:szCs w:val="23"/>
          <w:rtl/>
        </w:rPr>
        <w:t xml:space="preserve"> با انتظار مطلوبيت با توجه به اينكه خانوار هنوز زنده است جايگزين مي</w:t>
      </w:r>
      <w:r w:rsidRPr="00005251">
        <w:rPr>
          <w:i/>
          <w:sz w:val="23"/>
          <w:szCs w:val="23"/>
          <w:rtl/>
        </w:rPr>
        <w:softHyphen/>
      </w:r>
      <w:r w:rsidRPr="00005251">
        <w:rPr>
          <w:rFonts w:hint="cs"/>
          <w:i/>
          <w:sz w:val="23"/>
          <w:szCs w:val="23"/>
          <w:rtl/>
        </w:rPr>
        <w:t xml:space="preserve">شود. احتمال زنده بودن در زمان </w:t>
      </w:r>
      <w:r w:rsidRPr="00005251">
        <w:rPr>
          <w:position w:val="-6"/>
        </w:rPr>
        <w:object w:dxaOrig="440" w:dyaOrig="240" w14:anchorId="3C2C8F8A">
          <v:shape id="_x0000_i2228" type="#_x0000_t75" style="width:22.4pt;height:11.5pt" o:ole="">
            <v:imagedata r:id="rId2442" o:title=""/>
          </v:shape>
          <o:OLEObject Type="Embed" ProgID="Equation.DSMT4" ShapeID="_x0000_i2228" DrawAspect="Content" ObjectID="_1791376172" r:id="rId2443"/>
        </w:object>
      </w:r>
      <w:r w:rsidRPr="00005251">
        <w:rPr>
          <w:rFonts w:hint="cs"/>
          <w:i/>
          <w:sz w:val="23"/>
          <w:szCs w:val="23"/>
          <w:rtl/>
        </w:rPr>
        <w:t xml:space="preserve"> برابر است با</w:t>
      </w:r>
      <w:r w:rsidRPr="00005251">
        <w:rPr>
          <w:position w:val="-12"/>
        </w:rPr>
        <w:object w:dxaOrig="720" w:dyaOrig="400" w14:anchorId="148B805F">
          <v:shape id="_x0000_i2229" type="#_x0000_t75" style="width:36.3pt;height:19.95pt" o:ole="">
            <v:imagedata r:id="rId2444" o:title=""/>
          </v:shape>
          <o:OLEObject Type="Embed" ProgID="Equation.DSMT4" ShapeID="_x0000_i2229" DrawAspect="Content" ObjectID="_1791376173" r:id="rId2445"/>
        </w:object>
      </w:r>
      <w:r w:rsidRPr="00005251">
        <w:rPr>
          <w:rFonts w:hint="cs"/>
          <w:i/>
          <w:sz w:val="23"/>
          <w:szCs w:val="23"/>
          <w:rtl/>
        </w:rPr>
        <w:t xml:space="preserve"> و ارزش حال مطلوبيت انتظاري برابر است با:</w:t>
      </w:r>
    </w:p>
    <w:p w14:paraId="5BD97370" w14:textId="77777777" w:rsidR="00411620" w:rsidRPr="00005251" w:rsidRDefault="00411620" w:rsidP="00411620">
      <w:pPr>
        <w:pStyle w:val="MTDisplayEquation"/>
        <w:spacing w:line="216" w:lineRule="auto"/>
        <w:rPr>
          <w:rFonts w:ascii="Times New Roman" w:hAnsi="Times New Roman" w:cs="B Nazanin"/>
          <w:i/>
          <w:sz w:val="23"/>
          <w:szCs w:val="23"/>
        </w:rPr>
      </w:pPr>
      <w:r w:rsidRPr="00005251">
        <w:rPr>
          <w:position w:val="-26"/>
        </w:rPr>
        <w:object w:dxaOrig="2240" w:dyaOrig="620" w14:anchorId="46C86AD1">
          <v:shape id="_x0000_i2230" type="#_x0000_t75" style="width:111.95pt;height:30.85pt" o:ole="">
            <v:imagedata r:id="rId2446" o:title=""/>
          </v:shape>
          <o:OLEObject Type="Embed" ProgID="Equation.DSMT4" ShapeID="_x0000_i2230" DrawAspect="Content" ObjectID="_1791376174" r:id="rId2447"/>
        </w:object>
      </w:r>
    </w:p>
    <w:p w14:paraId="402E7D15" w14:textId="77777777" w:rsidR="00411620" w:rsidRPr="00005251" w:rsidRDefault="00411620" w:rsidP="00411620">
      <w:pPr>
        <w:spacing w:line="216" w:lineRule="auto"/>
        <w:rPr>
          <w:i/>
          <w:sz w:val="23"/>
          <w:szCs w:val="23"/>
        </w:rPr>
      </w:pPr>
      <w:r w:rsidRPr="00005251">
        <w:rPr>
          <w:rFonts w:hint="cs"/>
          <w:i/>
          <w:sz w:val="23"/>
          <w:szCs w:val="23"/>
          <w:rtl/>
        </w:rPr>
        <w:t>هدف خانوار همانند قبل حداکثر کردن مطلوبیت تنزیل شده</w:t>
      </w:r>
      <w:r w:rsidRPr="00005251">
        <w:rPr>
          <w:i/>
          <w:sz w:val="23"/>
          <w:szCs w:val="23"/>
          <w:rtl/>
        </w:rPr>
        <w:softHyphen/>
      </w:r>
      <w:r w:rsidRPr="00005251">
        <w:rPr>
          <w:rFonts w:hint="cs"/>
          <w:i/>
          <w:sz w:val="23"/>
          <w:szCs w:val="23"/>
          <w:rtl/>
        </w:rPr>
        <w:t>ی کلِ دوره</w:t>
      </w:r>
      <w:r w:rsidRPr="00005251">
        <w:rPr>
          <w:i/>
          <w:sz w:val="23"/>
          <w:szCs w:val="23"/>
          <w:rtl/>
        </w:rPr>
        <w:softHyphen/>
      </w:r>
      <w:r w:rsidRPr="00005251">
        <w:rPr>
          <w:rFonts w:hint="cs"/>
          <w:i/>
          <w:sz w:val="23"/>
          <w:szCs w:val="23"/>
          <w:rtl/>
        </w:rPr>
        <w:t>ی زندگی است، فقط با این تفاوت که در این مدل نرخ تنزيل تغيير كرده است. همانند قبل براحتی نرخ رشد مصرفِ بهینه را می</w:t>
      </w:r>
      <w:r w:rsidRPr="00005251">
        <w:rPr>
          <w:i/>
          <w:sz w:val="23"/>
          <w:szCs w:val="23"/>
          <w:rtl/>
        </w:rPr>
        <w:softHyphen/>
      </w:r>
      <w:r w:rsidRPr="00005251">
        <w:rPr>
          <w:rFonts w:hint="cs"/>
          <w:i/>
          <w:sz w:val="23"/>
          <w:szCs w:val="23"/>
          <w:rtl/>
        </w:rPr>
        <w:t>توان محاسبه کرد که برابر خواهد بود با:</w:t>
      </w:r>
    </w:p>
    <w:p w14:paraId="52816FF6" w14:textId="77777777" w:rsidR="00411620" w:rsidRPr="00005251" w:rsidRDefault="00411620" w:rsidP="00411620">
      <w:pPr>
        <w:pStyle w:val="MTDisplayEquation"/>
        <w:tabs>
          <w:tab w:val="clear" w:pos="6660"/>
          <w:tab w:val="right" w:pos="0"/>
        </w:tabs>
        <w:spacing w:line="216" w:lineRule="auto"/>
        <w:rPr>
          <w:rFonts w:ascii="Times New Roman" w:hAnsi="Times New Roman" w:cs="B Nazanin"/>
          <w:i/>
          <w:sz w:val="23"/>
          <w:szCs w:val="23"/>
        </w:rPr>
      </w:pPr>
      <w:r w:rsidRPr="00005251">
        <w:rPr>
          <w:position w:val="-30"/>
        </w:rPr>
        <w:object w:dxaOrig="2940" w:dyaOrig="720" w14:anchorId="11B6B782">
          <v:shape id="_x0000_i2231" type="#_x0000_t75" style="width:147.05pt;height:36.3pt" o:ole="">
            <v:imagedata r:id="rId2448" o:title=""/>
          </v:shape>
          <o:OLEObject Type="Embed" ProgID="Equation.DSMT4" ShapeID="_x0000_i2231" DrawAspect="Content" ObjectID="_1791376175" r:id="rId2449"/>
        </w:object>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Pr>
          <w:rFonts w:ascii="Times New Roman" w:hAnsi="Times New Roman" w:cs="B Nazanin"/>
          <w:i/>
          <w:sz w:val="23"/>
          <w:szCs w:val="23"/>
          <w:rtl/>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hint="cs"/>
          <w:i/>
          <w:sz w:val="23"/>
          <w:szCs w:val="23"/>
          <w:rtl/>
        </w:rPr>
        <w:t>(۴. ۲۰)</w:t>
      </w:r>
    </w:p>
    <w:p w14:paraId="4AB10855" w14:textId="77777777" w:rsidR="00411620" w:rsidRPr="00005251" w:rsidRDefault="00411620" w:rsidP="00411620">
      <w:pPr>
        <w:spacing w:line="216" w:lineRule="auto"/>
        <w:rPr>
          <w:i/>
          <w:sz w:val="23"/>
          <w:szCs w:val="23"/>
          <w:rtl/>
          <w:lang w:bidi="ar-SA"/>
        </w:rPr>
      </w:pPr>
    </w:p>
    <w:p w14:paraId="0499882A" w14:textId="77777777" w:rsidR="00411620" w:rsidRPr="00005251" w:rsidRDefault="00411620" w:rsidP="00411620">
      <w:pPr>
        <w:pStyle w:val="Heading1"/>
        <w:spacing w:before="0" w:after="0" w:line="216" w:lineRule="auto"/>
        <w:rPr>
          <w:rFonts w:ascii="Times New Roman" w:hAnsi="Times New Roman" w:cs="B Nazanin"/>
          <w:b w:val="0"/>
          <w:i/>
          <w:sz w:val="23"/>
          <w:szCs w:val="23"/>
          <w:rtl/>
        </w:rPr>
      </w:pPr>
      <w:r w:rsidRPr="00005251">
        <w:rPr>
          <w:rFonts w:ascii="Times New Roman" w:hAnsi="Times New Roman" w:cs="B Nazanin" w:hint="cs"/>
          <w:b w:val="0"/>
          <w:i/>
          <w:sz w:val="23"/>
          <w:szCs w:val="23"/>
          <w:rtl/>
        </w:rPr>
        <w:t>۴. ۲. ۲ پس‌انداز خانوار</w:t>
      </w:r>
    </w:p>
    <w:p w14:paraId="11095A39" w14:textId="77777777" w:rsidR="00411620" w:rsidRPr="00005251" w:rsidRDefault="00411620" w:rsidP="00411620">
      <w:pPr>
        <w:spacing w:line="216" w:lineRule="auto"/>
        <w:rPr>
          <w:rFonts w:eastAsiaTheme="minorEastAsia"/>
          <w:i/>
          <w:sz w:val="23"/>
          <w:szCs w:val="23"/>
          <w:rtl/>
        </w:rPr>
      </w:pPr>
      <w:r w:rsidRPr="00005251">
        <w:rPr>
          <w:rFonts w:hint="cs"/>
          <w:i/>
          <w:sz w:val="23"/>
          <w:szCs w:val="23"/>
          <w:rtl/>
        </w:rPr>
        <w:t>تاکنون رفتار مصرفی خانوار مورد بررسی قرار گرفت و رفتار خانوار در خصوص پس</w:t>
      </w:r>
      <w:r w:rsidRPr="00005251">
        <w:rPr>
          <w:i/>
          <w:sz w:val="23"/>
          <w:szCs w:val="23"/>
          <w:rtl/>
        </w:rPr>
        <w:softHyphen/>
      </w:r>
      <w:r w:rsidRPr="00005251">
        <w:rPr>
          <w:rFonts w:hint="cs"/>
          <w:i/>
          <w:sz w:val="23"/>
          <w:szCs w:val="23"/>
          <w:rtl/>
        </w:rPr>
        <w:t>انداز را مورد توجه</w:t>
      </w:r>
      <w:r w:rsidRPr="00005251">
        <w:rPr>
          <w:i/>
          <w:sz w:val="23"/>
          <w:szCs w:val="23"/>
          <w:rtl/>
        </w:rPr>
        <w:softHyphen/>
      </w:r>
      <w:r w:rsidRPr="00005251">
        <w:rPr>
          <w:rFonts w:hint="cs"/>
          <w:i/>
          <w:sz w:val="23"/>
          <w:szCs w:val="23"/>
          <w:rtl/>
        </w:rPr>
        <w:t xml:space="preserve"> قرار ندادیم. اگر فرض كنيم </w:t>
      </w:r>
      <w:r w:rsidRPr="00025957">
        <w:rPr>
          <w:position w:val="-4"/>
        </w:rPr>
        <w:object w:dxaOrig="180" w:dyaOrig="180" w14:anchorId="29AAB910">
          <v:shape id="_x0000_i2232" type="#_x0000_t75" style="width:9.1pt;height:9.1pt" o:ole="">
            <v:imagedata r:id="rId2450" o:title=""/>
          </v:shape>
          <o:OLEObject Type="Embed" ProgID="Equation.DSMT4" ShapeID="_x0000_i2232" DrawAspect="Content" ObjectID="_1791376176" r:id="rId2451"/>
        </w:object>
      </w:r>
      <w:r w:rsidRPr="00005251">
        <w:rPr>
          <w:rFonts w:hint="cs"/>
          <w:i/>
          <w:sz w:val="23"/>
          <w:szCs w:val="23"/>
          <w:rtl/>
        </w:rPr>
        <w:t xml:space="preserve"> ثابت باشد، آنگاه پس</w:t>
      </w:r>
      <w:r w:rsidRPr="00005251">
        <w:rPr>
          <w:i/>
          <w:sz w:val="23"/>
          <w:szCs w:val="23"/>
          <w:rtl/>
        </w:rPr>
        <w:softHyphen/>
      </w:r>
      <w:r w:rsidRPr="00005251">
        <w:rPr>
          <w:rFonts w:hint="cs"/>
          <w:i/>
          <w:sz w:val="23"/>
          <w:szCs w:val="23"/>
          <w:rtl/>
        </w:rPr>
        <w:t>انداز برابر است</w:t>
      </w:r>
      <w:r w:rsidRPr="00005251">
        <w:rPr>
          <w:position w:val="-10"/>
        </w:rPr>
        <w:object w:dxaOrig="1480" w:dyaOrig="320" w14:anchorId="158A758E">
          <v:shape id="_x0000_i2233" type="#_x0000_t75" style="width:73.8pt;height:16.35pt" o:ole="">
            <v:imagedata r:id="rId2452" o:title=""/>
          </v:shape>
          <o:OLEObject Type="Embed" ProgID="Equation.DSMT4" ShapeID="_x0000_i2233" DrawAspect="Content" ObjectID="_1791376177" r:id="rId2453"/>
        </w:object>
      </w:r>
      <w:r w:rsidRPr="00005251">
        <w:rPr>
          <w:rFonts w:hint="cs"/>
          <w:i/>
          <w:sz w:val="23"/>
          <w:szCs w:val="23"/>
          <w:rtl/>
        </w:rPr>
        <w:t xml:space="preserve">. و چنانچه بجاي </w:t>
      </w:r>
      <w:r w:rsidRPr="00005251">
        <w:rPr>
          <w:position w:val="-10"/>
        </w:rPr>
        <w:object w:dxaOrig="200" w:dyaOrig="320" w14:anchorId="7BCC7AC9">
          <v:shape id="_x0000_i2234" type="#_x0000_t75" style="width:10.3pt;height:16.35pt" o:ole="">
            <v:imagedata r:id="rId2454" o:title=""/>
          </v:shape>
          <o:OLEObject Type="Embed" ProgID="Equation.DSMT4" ShapeID="_x0000_i2234" DrawAspect="Content" ObjectID="_1791376178" r:id="rId2455"/>
        </w:object>
      </w:r>
      <w:r w:rsidRPr="00005251">
        <w:rPr>
          <w:rFonts w:hint="cs"/>
          <w:i/>
          <w:sz w:val="23"/>
          <w:szCs w:val="23"/>
          <w:rtl/>
        </w:rPr>
        <w:t xml:space="preserve"> از رابطه</w:t>
      </w:r>
      <w:r w:rsidRPr="00005251">
        <w:rPr>
          <w:i/>
          <w:sz w:val="23"/>
          <w:szCs w:val="23"/>
          <w:rtl/>
        </w:rPr>
        <w:softHyphen/>
      </w:r>
      <w:r w:rsidRPr="00005251">
        <w:rPr>
          <w:rFonts w:hint="cs"/>
          <w:i/>
          <w:sz w:val="23"/>
          <w:szCs w:val="23"/>
          <w:rtl/>
        </w:rPr>
        <w:t xml:space="preserve">ی (۴.۱۶) جایگزین </w:t>
      </w:r>
      <w:r w:rsidRPr="00005251">
        <w:rPr>
          <w:rFonts w:eastAsiaTheme="minorEastAsia" w:hint="cs"/>
          <w:i/>
          <w:sz w:val="23"/>
          <w:szCs w:val="23"/>
          <w:rtl/>
        </w:rPr>
        <w:t>کنیم خواهیم داشت</w:t>
      </w:r>
    </w:p>
    <w:p w14:paraId="2ED70191" w14:textId="77777777" w:rsidR="00411620" w:rsidRPr="00005251" w:rsidRDefault="00411620" w:rsidP="00411620">
      <w:pPr>
        <w:pStyle w:val="MTDisplayEquation"/>
        <w:spacing w:line="216" w:lineRule="auto"/>
        <w:jc w:val="left"/>
        <w:rPr>
          <w:rFonts w:ascii="Times New Roman" w:eastAsiaTheme="minorEastAsia" w:hAnsi="Times New Roman" w:cs="B Nazanin"/>
          <w:i/>
          <w:sz w:val="23"/>
          <w:szCs w:val="23"/>
          <w:rtl/>
        </w:rPr>
      </w:pPr>
      <w:r w:rsidRPr="00005251">
        <w:rPr>
          <w:position w:val="-34"/>
        </w:rPr>
        <w:object w:dxaOrig="6100" w:dyaOrig="700" w14:anchorId="6E8F65AE">
          <v:shape id="_x0000_i2235" type="#_x0000_t75" style="width:304.95pt;height:35.1pt" o:ole="">
            <v:imagedata r:id="rId2456" o:title=""/>
          </v:shape>
          <o:OLEObject Type="Embed" ProgID="Equation.DSMT4" ShapeID="_x0000_i2235" DrawAspect="Content" ObjectID="_1791376179" r:id="rId2457"/>
        </w:object>
      </w:r>
    </w:p>
    <w:p w14:paraId="0963EEBF" w14:textId="77777777" w:rsidR="00411620" w:rsidRPr="00005251" w:rsidRDefault="00411620" w:rsidP="00411620">
      <w:pPr>
        <w:spacing w:line="216" w:lineRule="auto"/>
        <w:rPr>
          <w:i/>
          <w:sz w:val="23"/>
          <w:szCs w:val="23"/>
          <w:rtl/>
        </w:rPr>
      </w:pPr>
      <w:r w:rsidRPr="00005251">
        <w:rPr>
          <w:rFonts w:hint="cs"/>
          <w:i/>
          <w:sz w:val="23"/>
          <w:szCs w:val="23"/>
          <w:rtl/>
        </w:rPr>
        <w:t>رابطه</w:t>
      </w:r>
      <w:r w:rsidRPr="00005251">
        <w:rPr>
          <w:i/>
          <w:sz w:val="23"/>
          <w:szCs w:val="23"/>
          <w:rtl/>
        </w:rPr>
        <w:softHyphen/>
      </w:r>
      <w:r w:rsidRPr="00005251">
        <w:rPr>
          <w:rFonts w:hint="cs"/>
          <w:i/>
          <w:sz w:val="23"/>
          <w:szCs w:val="23"/>
          <w:rtl/>
        </w:rPr>
        <w:t>ی فوق تفسیر جالبي از تابع پس</w:t>
      </w:r>
      <w:r w:rsidRPr="00005251">
        <w:rPr>
          <w:i/>
          <w:sz w:val="23"/>
          <w:szCs w:val="23"/>
          <w:rtl/>
        </w:rPr>
        <w:softHyphen/>
      </w:r>
      <w:r w:rsidRPr="00005251">
        <w:rPr>
          <w:rFonts w:hint="cs"/>
          <w:i/>
          <w:sz w:val="23"/>
          <w:szCs w:val="23"/>
          <w:rtl/>
        </w:rPr>
        <w:t>انداز خانوار است. در این رابطه پس</w:t>
      </w:r>
      <w:r w:rsidRPr="00005251">
        <w:rPr>
          <w:i/>
          <w:sz w:val="23"/>
          <w:szCs w:val="23"/>
          <w:rtl/>
        </w:rPr>
        <w:softHyphen/>
      </w:r>
      <w:r w:rsidRPr="00005251">
        <w:rPr>
          <w:rFonts w:hint="cs"/>
          <w:i/>
          <w:sz w:val="23"/>
          <w:szCs w:val="23"/>
          <w:rtl/>
        </w:rPr>
        <w:t>انداز انجام مي</w:t>
      </w:r>
      <w:r w:rsidRPr="00005251">
        <w:rPr>
          <w:i/>
          <w:sz w:val="23"/>
          <w:szCs w:val="23"/>
        </w:rPr>
        <w:softHyphen/>
      </w:r>
      <w:r w:rsidRPr="00005251">
        <w:rPr>
          <w:rFonts w:hint="cs"/>
          <w:i/>
          <w:sz w:val="23"/>
          <w:szCs w:val="23"/>
          <w:rtl/>
        </w:rPr>
        <w:t>شود تا كاهش تغییرات درآمدهای آتي تنزيل شده را جبران كند.</w:t>
      </w:r>
    </w:p>
    <w:p w14:paraId="59CACB69" w14:textId="77777777" w:rsidR="00411620" w:rsidRPr="00005251" w:rsidRDefault="00411620" w:rsidP="00411620">
      <w:pPr>
        <w:spacing w:line="216" w:lineRule="auto"/>
        <w:rPr>
          <w:i/>
          <w:sz w:val="23"/>
          <w:szCs w:val="23"/>
          <w:rtl/>
        </w:rPr>
      </w:pPr>
    </w:p>
    <w:p w14:paraId="53EA538F" w14:textId="77777777" w:rsidR="00411620" w:rsidRPr="00005251" w:rsidRDefault="00411620" w:rsidP="00411620">
      <w:pPr>
        <w:pStyle w:val="Heading1"/>
        <w:spacing w:before="0" w:after="0" w:line="216" w:lineRule="auto"/>
        <w:rPr>
          <w:rFonts w:ascii="Times New Roman" w:hAnsi="Times New Roman" w:cs="B Nazanin"/>
          <w:b w:val="0"/>
          <w:i/>
          <w:sz w:val="23"/>
          <w:szCs w:val="23"/>
          <w:rtl/>
        </w:rPr>
      </w:pPr>
      <w:r w:rsidRPr="00005251">
        <w:rPr>
          <w:rFonts w:ascii="Times New Roman" w:hAnsi="Times New Roman" w:cs="B Nazanin" w:hint="cs"/>
          <w:b w:val="0"/>
          <w:i/>
          <w:sz w:val="23"/>
          <w:szCs w:val="23"/>
          <w:rtl/>
        </w:rPr>
        <w:t>۴. ۲. ۳ تئوري چرخه</w:t>
      </w:r>
      <w:r w:rsidRPr="00005251">
        <w:rPr>
          <w:rFonts w:ascii="Times New Roman" w:hAnsi="Times New Roman" w:cs="B Nazanin"/>
          <w:b w:val="0"/>
          <w:i/>
          <w:sz w:val="23"/>
          <w:szCs w:val="23"/>
          <w:rtl/>
        </w:rPr>
        <w:softHyphen/>
      </w:r>
      <w:r w:rsidRPr="00005251">
        <w:rPr>
          <w:rFonts w:ascii="Times New Roman" w:hAnsi="Times New Roman" w:cs="B Nazanin" w:hint="cs"/>
          <w:b w:val="0"/>
          <w:i/>
          <w:sz w:val="23"/>
          <w:szCs w:val="23"/>
          <w:rtl/>
        </w:rPr>
        <w:t xml:space="preserve">ی زندگي </w:t>
      </w:r>
    </w:p>
    <w:p w14:paraId="5F947BAD" w14:textId="77777777" w:rsidR="00411620" w:rsidRPr="00005251" w:rsidRDefault="00411620" w:rsidP="00411620">
      <w:pPr>
        <w:spacing w:line="216" w:lineRule="auto"/>
        <w:rPr>
          <w:i/>
          <w:sz w:val="23"/>
          <w:szCs w:val="23"/>
          <w:rtl/>
        </w:rPr>
      </w:pPr>
      <w:r w:rsidRPr="00005251">
        <w:rPr>
          <w:rFonts w:hint="cs"/>
          <w:i/>
          <w:sz w:val="23"/>
          <w:szCs w:val="23"/>
          <w:rtl/>
        </w:rPr>
        <w:t>در بخش</w:t>
      </w:r>
      <w:r w:rsidRPr="00005251">
        <w:rPr>
          <w:i/>
          <w:sz w:val="23"/>
          <w:szCs w:val="23"/>
          <w:rtl/>
        </w:rPr>
        <w:softHyphen/>
      </w:r>
      <w:r w:rsidRPr="00005251">
        <w:rPr>
          <w:rFonts w:hint="cs"/>
          <w:i/>
          <w:sz w:val="23"/>
          <w:szCs w:val="23"/>
          <w:rtl/>
        </w:rPr>
        <w:t>های قبل فرض كرديم خانوار</w:t>
      </w:r>
      <w:r w:rsidRPr="00005251">
        <w:rPr>
          <w:i/>
          <w:sz w:val="23"/>
          <w:szCs w:val="23"/>
          <w:rtl/>
        </w:rPr>
        <w:softHyphen/>
      </w:r>
      <w:r w:rsidRPr="00005251">
        <w:rPr>
          <w:rFonts w:hint="cs"/>
          <w:i/>
          <w:sz w:val="23"/>
          <w:szCs w:val="23"/>
          <w:rtl/>
        </w:rPr>
        <w:t>ها يكسانند و براي هميشه زندگي مي</w:t>
      </w:r>
      <w:r w:rsidRPr="00005251">
        <w:rPr>
          <w:i/>
          <w:sz w:val="23"/>
          <w:szCs w:val="23"/>
        </w:rPr>
        <w:softHyphen/>
      </w:r>
      <w:r w:rsidRPr="00005251">
        <w:rPr>
          <w:rFonts w:hint="cs"/>
          <w:i/>
          <w:sz w:val="23"/>
          <w:szCs w:val="23"/>
          <w:rtl/>
        </w:rPr>
        <w:t>كنند. اما باید توجه داشت که بدليل محدوديت زمانِ زندگي، سن خانوار متفاوت است. خانوار جوان (احتمالا مجرد با فاصله</w:t>
      </w:r>
      <w:r w:rsidRPr="00005251">
        <w:rPr>
          <w:i/>
          <w:sz w:val="23"/>
          <w:szCs w:val="23"/>
          <w:rtl/>
        </w:rPr>
        <w:softHyphen/>
      </w:r>
      <w:r w:rsidRPr="00005251">
        <w:rPr>
          <w:rFonts w:hint="cs"/>
          <w:i/>
          <w:sz w:val="23"/>
          <w:szCs w:val="23"/>
          <w:rtl/>
        </w:rPr>
        <w:t xml:space="preserve">ی </w:t>
      </w:r>
      <w:r w:rsidRPr="00005251">
        <w:rPr>
          <w:rFonts w:hint="cs"/>
          <w:i/>
          <w:sz w:val="23"/>
          <w:szCs w:val="23"/>
          <w:rtl/>
        </w:rPr>
        <w:lastRenderedPageBreak/>
        <w:t>زیاد از زمان بازنشستگي) رفتار مصرفي و پس</w:t>
      </w:r>
      <w:r w:rsidRPr="00005251">
        <w:rPr>
          <w:i/>
          <w:sz w:val="23"/>
          <w:szCs w:val="23"/>
          <w:rtl/>
        </w:rPr>
        <w:softHyphen/>
      </w:r>
      <w:r w:rsidRPr="00005251">
        <w:rPr>
          <w:rFonts w:hint="cs"/>
          <w:i/>
          <w:sz w:val="23"/>
          <w:szCs w:val="23"/>
          <w:rtl/>
        </w:rPr>
        <w:t>انداز متفاوتی نسبت به خانوار سالخورده (كه احتمالاً بازنشسته</w:t>
      </w:r>
      <w:r w:rsidRPr="00005251">
        <w:rPr>
          <w:i/>
          <w:sz w:val="23"/>
          <w:szCs w:val="23"/>
          <w:rtl/>
        </w:rPr>
        <w:softHyphen/>
      </w:r>
      <w:r w:rsidRPr="00005251">
        <w:rPr>
          <w:rFonts w:hint="cs"/>
          <w:i/>
          <w:sz w:val="23"/>
          <w:szCs w:val="23"/>
          <w:rtl/>
        </w:rPr>
        <w:t xml:space="preserve"> است) دارد. اغلب، خانوار جوان با فرزندان كم سن و سال، مخارج بالاتري نسبت به درآمد خود دارند تا خانوار سالخورده، و لذا نرخ پس</w:t>
      </w:r>
      <w:r w:rsidRPr="00005251">
        <w:rPr>
          <w:i/>
          <w:sz w:val="23"/>
          <w:szCs w:val="23"/>
          <w:rtl/>
        </w:rPr>
        <w:softHyphen/>
      </w:r>
      <w:r w:rsidRPr="00005251">
        <w:rPr>
          <w:rFonts w:hint="cs"/>
          <w:i/>
          <w:sz w:val="23"/>
          <w:szCs w:val="23"/>
          <w:rtl/>
        </w:rPr>
        <w:t>انداز آن</w:t>
      </w:r>
      <w:r w:rsidRPr="00005251">
        <w:rPr>
          <w:i/>
          <w:sz w:val="23"/>
          <w:szCs w:val="23"/>
          <w:rtl/>
        </w:rPr>
        <w:softHyphen/>
      </w:r>
      <w:r w:rsidRPr="00005251">
        <w:rPr>
          <w:rFonts w:hint="cs"/>
          <w:i/>
          <w:sz w:val="23"/>
          <w:szCs w:val="23"/>
          <w:rtl/>
        </w:rPr>
        <w:t>ها كم</w:t>
      </w:r>
      <w:r w:rsidRPr="00005251">
        <w:rPr>
          <w:i/>
          <w:sz w:val="23"/>
          <w:szCs w:val="23"/>
          <w:rtl/>
        </w:rPr>
        <w:softHyphen/>
      </w:r>
      <w:r w:rsidRPr="00005251">
        <w:rPr>
          <w:rFonts w:hint="cs"/>
          <w:i/>
          <w:sz w:val="23"/>
          <w:szCs w:val="23"/>
          <w:rtl/>
        </w:rPr>
        <w:t>تر است، و خانوار ميان</w:t>
      </w:r>
      <w:r w:rsidRPr="00005251">
        <w:rPr>
          <w:i/>
          <w:sz w:val="23"/>
          <w:szCs w:val="23"/>
          <w:rtl/>
        </w:rPr>
        <w:softHyphen/>
      </w:r>
      <w:r w:rsidRPr="00005251">
        <w:rPr>
          <w:rFonts w:hint="cs"/>
          <w:i/>
          <w:sz w:val="23"/>
          <w:szCs w:val="23"/>
          <w:rtl/>
        </w:rPr>
        <w:t>سال معمولاً بخش بيشتری از درآمد خود را براي دوره</w:t>
      </w:r>
      <w:r w:rsidRPr="00005251">
        <w:rPr>
          <w:i/>
          <w:sz w:val="23"/>
          <w:szCs w:val="23"/>
          <w:rtl/>
        </w:rPr>
        <w:softHyphen/>
      </w:r>
      <w:r w:rsidRPr="00005251">
        <w:rPr>
          <w:rFonts w:hint="cs"/>
          <w:i/>
          <w:sz w:val="23"/>
          <w:szCs w:val="23"/>
          <w:rtl/>
        </w:rPr>
        <w:t>ی بازنشستگي پس‌انداز مي</w:t>
      </w:r>
      <w:r w:rsidRPr="00005251">
        <w:rPr>
          <w:i/>
          <w:sz w:val="23"/>
          <w:szCs w:val="23"/>
          <w:rtl/>
        </w:rPr>
        <w:softHyphen/>
      </w:r>
      <w:r w:rsidRPr="00005251">
        <w:rPr>
          <w:rFonts w:hint="cs"/>
          <w:i/>
          <w:sz w:val="23"/>
          <w:szCs w:val="23"/>
          <w:rtl/>
        </w:rPr>
        <w:t xml:space="preserve">كند. همچنین مصرف خانوار سالخورده معمولاً به درآمد گذشته خود (احتمالا حقوق بازنشستگي) وابسته </w:t>
      </w:r>
      <w:r w:rsidRPr="00005251">
        <w:rPr>
          <w:i/>
          <w:sz w:val="23"/>
          <w:szCs w:val="23"/>
          <w:rtl/>
        </w:rPr>
        <w:softHyphen/>
      </w:r>
      <w:r w:rsidRPr="00005251">
        <w:rPr>
          <w:rFonts w:hint="cs"/>
          <w:i/>
          <w:sz w:val="23"/>
          <w:szCs w:val="23"/>
          <w:rtl/>
        </w:rPr>
        <w:t>است. لذا مصرف و پس</w:t>
      </w:r>
      <w:r w:rsidRPr="00005251">
        <w:rPr>
          <w:i/>
          <w:sz w:val="23"/>
          <w:szCs w:val="23"/>
          <w:rtl/>
        </w:rPr>
        <w:softHyphen/>
      </w:r>
      <w:r w:rsidRPr="00005251">
        <w:rPr>
          <w:rFonts w:hint="cs"/>
          <w:i/>
          <w:sz w:val="23"/>
          <w:szCs w:val="23"/>
          <w:rtl/>
        </w:rPr>
        <w:t>انداز خانوار به سن آن</w:t>
      </w:r>
      <w:r w:rsidRPr="00005251">
        <w:rPr>
          <w:i/>
          <w:sz w:val="23"/>
          <w:szCs w:val="23"/>
          <w:rtl/>
        </w:rPr>
        <w:softHyphen/>
      </w:r>
      <w:r w:rsidRPr="00005251">
        <w:rPr>
          <w:rFonts w:hint="cs"/>
          <w:i/>
          <w:sz w:val="23"/>
          <w:szCs w:val="23"/>
          <w:rtl/>
        </w:rPr>
        <w:t>ها وابسته خواهد شد. اگر توزيع جمعیت نسبتاً باثبات باشد آنگاه مي</w:t>
      </w:r>
      <w:r w:rsidRPr="00005251">
        <w:rPr>
          <w:i/>
          <w:sz w:val="23"/>
          <w:szCs w:val="23"/>
          <w:rtl/>
        </w:rPr>
        <w:softHyphen/>
      </w:r>
      <w:r w:rsidRPr="00005251">
        <w:rPr>
          <w:rFonts w:hint="cs"/>
          <w:i/>
          <w:sz w:val="23"/>
          <w:szCs w:val="23"/>
          <w:rtl/>
        </w:rPr>
        <w:t>توان رابطه</w:t>
      </w:r>
      <w:r w:rsidRPr="00005251">
        <w:rPr>
          <w:i/>
          <w:sz w:val="23"/>
          <w:szCs w:val="23"/>
          <w:rtl/>
        </w:rPr>
        <w:softHyphen/>
      </w:r>
      <w:r w:rsidRPr="00005251">
        <w:rPr>
          <w:rFonts w:hint="cs"/>
          <w:i/>
          <w:sz w:val="23"/>
          <w:szCs w:val="23"/>
          <w:rtl/>
        </w:rPr>
        <w:t>ی بين مصرف و پس</w:t>
      </w:r>
      <w:r w:rsidRPr="00005251">
        <w:rPr>
          <w:i/>
          <w:sz w:val="23"/>
          <w:szCs w:val="23"/>
          <w:rtl/>
        </w:rPr>
        <w:softHyphen/>
      </w:r>
      <w:r w:rsidRPr="00005251">
        <w:rPr>
          <w:rFonts w:hint="cs"/>
          <w:i/>
          <w:sz w:val="23"/>
          <w:szCs w:val="23"/>
          <w:rtl/>
        </w:rPr>
        <w:t xml:space="preserve">انداز را با سن در نظر نگرفت. </w:t>
      </w:r>
    </w:p>
    <w:p w14:paraId="5E5976CF" w14:textId="77777777" w:rsidR="00411620" w:rsidRPr="00005251" w:rsidRDefault="00411620" w:rsidP="00411620">
      <w:pPr>
        <w:pStyle w:val="ListParagraph"/>
        <w:spacing w:line="216" w:lineRule="auto"/>
        <w:ind w:left="0"/>
        <w:rPr>
          <w:i/>
          <w:sz w:val="23"/>
          <w:szCs w:val="23"/>
        </w:rPr>
      </w:pPr>
      <w:r w:rsidRPr="00005251">
        <w:rPr>
          <w:rFonts w:hint="cs"/>
          <w:i/>
          <w:sz w:val="23"/>
          <w:szCs w:val="23"/>
          <w:rtl/>
        </w:rPr>
        <w:t>در رابطه</w:t>
      </w:r>
      <w:r w:rsidRPr="00005251">
        <w:rPr>
          <w:i/>
          <w:sz w:val="23"/>
          <w:szCs w:val="23"/>
          <w:rtl/>
        </w:rPr>
        <w:softHyphen/>
      </w:r>
      <w:r w:rsidRPr="00005251">
        <w:rPr>
          <w:rFonts w:hint="cs"/>
          <w:i/>
          <w:sz w:val="23"/>
          <w:szCs w:val="23"/>
          <w:rtl/>
        </w:rPr>
        <w:t>ی (۴. ۱۶)</w:t>
      </w:r>
      <w:r w:rsidRPr="00005251">
        <w:rPr>
          <w:rFonts w:eastAsiaTheme="minorEastAsia" w:hint="cs"/>
          <w:i/>
          <w:sz w:val="23"/>
          <w:szCs w:val="23"/>
          <w:rtl/>
          <w:lang w:val="en-GB"/>
        </w:rPr>
        <w:t xml:space="preserve"> </w:t>
      </w:r>
      <w:r w:rsidRPr="00005251">
        <w:rPr>
          <w:rFonts w:hint="cs"/>
          <w:i/>
          <w:sz w:val="23"/>
          <w:szCs w:val="23"/>
          <w:rtl/>
        </w:rPr>
        <w:t>مصرف تابعي از ثروت است و ثروت نيز مجموع تنزيل شده</w:t>
      </w:r>
      <w:r w:rsidRPr="00005251">
        <w:rPr>
          <w:i/>
          <w:sz w:val="23"/>
          <w:szCs w:val="23"/>
          <w:rtl/>
        </w:rPr>
        <w:softHyphen/>
      </w:r>
      <w:r w:rsidRPr="00005251">
        <w:rPr>
          <w:rFonts w:hint="cs"/>
          <w:i/>
          <w:sz w:val="23"/>
          <w:szCs w:val="23"/>
          <w:rtl/>
        </w:rPr>
        <w:t>ی درآمد آتي انتظاري در طول زندگي فرد، بعلاوه درآمد جاري حاصل از دارايي مالي است كه مي</w:t>
      </w:r>
      <w:r w:rsidRPr="00005251">
        <w:rPr>
          <w:i/>
          <w:sz w:val="23"/>
          <w:szCs w:val="23"/>
          <w:rtl/>
        </w:rPr>
        <w:softHyphen/>
      </w:r>
      <w:r w:rsidRPr="00005251">
        <w:rPr>
          <w:rFonts w:hint="cs"/>
          <w:i/>
          <w:sz w:val="23"/>
          <w:szCs w:val="23"/>
          <w:rtl/>
        </w:rPr>
        <w:t>توان فرض كرد در طول زمان باثبات است. لذا ثروت با ثبات است و به تبع آن مصرف باثبات خواهد بود. بنابراین نوسانات درآمد بخاطر بي</w:t>
      </w:r>
      <w:r w:rsidRPr="00005251">
        <w:rPr>
          <w:i/>
          <w:sz w:val="23"/>
          <w:szCs w:val="23"/>
          <w:rtl/>
        </w:rPr>
        <w:softHyphen/>
      </w:r>
      <w:r w:rsidRPr="00005251">
        <w:rPr>
          <w:rFonts w:hint="cs"/>
          <w:i/>
          <w:sz w:val="23"/>
          <w:szCs w:val="23"/>
          <w:rtl/>
        </w:rPr>
        <w:t>كاري نبايد مصرف جاري را تغيير دهد که بدان تئوري مصرف چرخه</w:t>
      </w:r>
      <w:r w:rsidRPr="00005251">
        <w:rPr>
          <w:i/>
          <w:sz w:val="23"/>
          <w:szCs w:val="23"/>
          <w:rtl/>
        </w:rPr>
        <w:softHyphen/>
      </w:r>
      <w:r w:rsidRPr="00005251">
        <w:rPr>
          <w:rFonts w:hint="cs"/>
          <w:i/>
          <w:sz w:val="23"/>
          <w:szCs w:val="23"/>
          <w:rtl/>
        </w:rPr>
        <w:t>ی زندگي گفته مي</w:t>
      </w:r>
      <w:r w:rsidRPr="00005251">
        <w:rPr>
          <w:i/>
          <w:sz w:val="23"/>
          <w:szCs w:val="23"/>
          <w:rtl/>
        </w:rPr>
        <w:softHyphen/>
      </w:r>
      <w:r w:rsidRPr="00005251">
        <w:rPr>
          <w:rFonts w:hint="cs"/>
          <w:i/>
          <w:sz w:val="23"/>
          <w:szCs w:val="23"/>
          <w:rtl/>
        </w:rPr>
        <w:t xml:space="preserve">شود. اين تئوري دو فرض قوي دارد. فرض اول این است </w:t>
      </w:r>
      <w:r w:rsidRPr="00005251">
        <w:rPr>
          <w:i/>
          <w:sz w:val="23"/>
          <w:szCs w:val="23"/>
          <w:rtl/>
        </w:rPr>
        <w:softHyphen/>
      </w:r>
      <w:r w:rsidRPr="00005251">
        <w:rPr>
          <w:rFonts w:hint="cs"/>
          <w:i/>
          <w:sz w:val="23"/>
          <w:szCs w:val="23"/>
          <w:rtl/>
        </w:rPr>
        <w:t>که آينده توسط خانوار تقريباً بدرستي پيش</w:t>
      </w:r>
      <w:r w:rsidRPr="00005251">
        <w:rPr>
          <w:i/>
          <w:sz w:val="23"/>
          <w:szCs w:val="23"/>
          <w:rtl/>
        </w:rPr>
        <w:softHyphen/>
      </w:r>
      <w:r w:rsidRPr="00005251">
        <w:rPr>
          <w:rFonts w:hint="cs"/>
          <w:i/>
          <w:sz w:val="23"/>
          <w:szCs w:val="23"/>
          <w:rtl/>
        </w:rPr>
        <w:t>بيني می‌شود. يعني خانوار دارايي نگهداري می‌كند، در شرايط خوب و بد اقتصادی عواید</w:t>
      </w:r>
      <w:r w:rsidRPr="00005251">
        <w:rPr>
          <w:rStyle w:val="FootnoteReference"/>
          <w:rFonts w:eastAsiaTheme="majorEastAsia"/>
          <w:i/>
          <w:sz w:val="23"/>
          <w:szCs w:val="23"/>
          <w:rtl/>
        </w:rPr>
        <w:footnoteReference w:id="123"/>
      </w:r>
      <w:r w:rsidRPr="00005251">
        <w:rPr>
          <w:rFonts w:hint="cs"/>
          <w:i/>
          <w:sz w:val="23"/>
          <w:szCs w:val="23"/>
          <w:rtl/>
        </w:rPr>
        <w:t xml:space="preserve"> آن دارایی تغيير کرده و بواسطه</w:t>
      </w:r>
      <w:r w:rsidRPr="00005251">
        <w:rPr>
          <w:i/>
          <w:sz w:val="23"/>
          <w:szCs w:val="23"/>
          <w:rtl/>
        </w:rPr>
        <w:softHyphen/>
      </w:r>
      <w:r w:rsidRPr="00005251">
        <w:rPr>
          <w:rFonts w:hint="cs"/>
          <w:i/>
          <w:sz w:val="23"/>
          <w:szCs w:val="23"/>
          <w:rtl/>
        </w:rPr>
        <w:t>ی آن، خانوار تغييرات درآمد غيرمنتظره را جبران می‌كند، و لذا ثروت‌ بدون تغيير باقی می‌ماند. و فرض دوم آن</w:t>
      </w:r>
      <w:r w:rsidRPr="00005251">
        <w:rPr>
          <w:i/>
          <w:sz w:val="23"/>
          <w:szCs w:val="23"/>
          <w:rtl/>
        </w:rPr>
        <w:softHyphen/>
      </w:r>
      <w:r w:rsidRPr="00005251">
        <w:rPr>
          <w:rFonts w:hint="cs"/>
          <w:i/>
          <w:sz w:val="23"/>
          <w:szCs w:val="23"/>
          <w:rtl/>
        </w:rPr>
        <w:t>که خانوار قادر است قرض كند و مصرف را علي</w:t>
      </w:r>
      <w:r w:rsidRPr="00005251">
        <w:rPr>
          <w:i/>
          <w:sz w:val="23"/>
          <w:szCs w:val="23"/>
          <w:rtl/>
        </w:rPr>
        <w:softHyphen/>
      </w:r>
      <w:r w:rsidRPr="00005251">
        <w:rPr>
          <w:rFonts w:hint="cs"/>
          <w:i/>
          <w:sz w:val="23"/>
          <w:szCs w:val="23"/>
          <w:rtl/>
        </w:rPr>
        <w:t>رغم آنكه درآمد حاصل از دارايي مالي كافي نباشد ثابت نگه دارد. درحالي</w:t>
      </w:r>
      <w:r w:rsidRPr="00005251">
        <w:rPr>
          <w:i/>
          <w:sz w:val="23"/>
          <w:szCs w:val="23"/>
          <w:rtl/>
        </w:rPr>
        <w:softHyphen/>
      </w:r>
      <w:r w:rsidRPr="00005251">
        <w:rPr>
          <w:rFonts w:hint="cs"/>
          <w:i/>
          <w:sz w:val="23"/>
          <w:szCs w:val="23"/>
          <w:rtl/>
        </w:rPr>
        <w:t>كه نسبت قابل توجه‌اي از خانوار با قيد استقراض مواجه</w:t>
      </w:r>
      <w:r w:rsidRPr="00005251">
        <w:rPr>
          <w:i/>
          <w:sz w:val="23"/>
          <w:szCs w:val="23"/>
          <w:rtl/>
        </w:rPr>
        <w:softHyphen/>
      </w:r>
      <w:r w:rsidRPr="00005251">
        <w:rPr>
          <w:rFonts w:hint="cs"/>
          <w:i/>
          <w:sz w:val="23"/>
          <w:szCs w:val="23"/>
          <w:rtl/>
        </w:rPr>
        <w:t>اند و نمی‌توانند اينكار را انجام دهند، لذا مصرف آن</w:t>
      </w:r>
      <w:r w:rsidRPr="00005251">
        <w:rPr>
          <w:i/>
          <w:sz w:val="23"/>
          <w:szCs w:val="23"/>
          <w:rtl/>
        </w:rPr>
        <w:softHyphen/>
      </w:r>
      <w:r w:rsidRPr="00005251">
        <w:rPr>
          <w:rFonts w:hint="cs"/>
          <w:i/>
          <w:sz w:val="23"/>
          <w:szCs w:val="23"/>
          <w:rtl/>
        </w:rPr>
        <w:t>ها با درآمد آن‌ها نوسان خواهد كرد. براساس تئوري چرخه</w:t>
      </w:r>
      <w:r w:rsidRPr="00005251">
        <w:rPr>
          <w:i/>
          <w:sz w:val="23"/>
          <w:szCs w:val="23"/>
          <w:rtl/>
        </w:rPr>
        <w:softHyphen/>
      </w:r>
      <w:r w:rsidRPr="00005251">
        <w:rPr>
          <w:rFonts w:hint="cs"/>
          <w:i/>
          <w:sz w:val="23"/>
          <w:szCs w:val="23"/>
          <w:rtl/>
        </w:rPr>
        <w:t>ی زندگي مصرف خانوار هموار</w:t>
      </w:r>
      <w:r w:rsidRPr="00005251">
        <w:rPr>
          <w:rStyle w:val="FootnoteReference"/>
          <w:rFonts w:eastAsiaTheme="majorEastAsia"/>
          <w:i/>
          <w:sz w:val="23"/>
          <w:szCs w:val="23"/>
          <w:rtl/>
        </w:rPr>
        <w:footnoteReference w:id="124"/>
      </w:r>
      <w:r w:rsidRPr="00005251">
        <w:rPr>
          <w:rFonts w:hint="cs"/>
          <w:i/>
          <w:sz w:val="23"/>
          <w:szCs w:val="23"/>
          <w:rtl/>
        </w:rPr>
        <w:t xml:space="preserve"> است، در حالی</w:t>
      </w:r>
      <w:r w:rsidRPr="00005251">
        <w:rPr>
          <w:i/>
          <w:sz w:val="23"/>
          <w:szCs w:val="23"/>
          <w:rtl/>
        </w:rPr>
        <w:softHyphen/>
      </w:r>
      <w:r w:rsidRPr="00005251">
        <w:rPr>
          <w:rFonts w:hint="cs"/>
          <w:i/>
          <w:sz w:val="23"/>
          <w:szCs w:val="23"/>
          <w:rtl/>
        </w:rPr>
        <w:t>که اين</w:t>
      </w:r>
      <w:r w:rsidRPr="00005251">
        <w:rPr>
          <w:i/>
          <w:sz w:val="23"/>
          <w:szCs w:val="23"/>
          <w:rtl/>
        </w:rPr>
        <w:softHyphen/>
      </w:r>
      <w:r w:rsidRPr="00005251">
        <w:rPr>
          <w:rFonts w:hint="cs"/>
          <w:i/>
          <w:sz w:val="23"/>
          <w:szCs w:val="23"/>
          <w:rtl/>
        </w:rPr>
        <w:t>طور نيست.</w:t>
      </w:r>
    </w:p>
    <w:p w14:paraId="292FD0AC" w14:textId="77777777" w:rsidR="00411620" w:rsidRPr="00005251" w:rsidRDefault="00411620" w:rsidP="00411620">
      <w:pPr>
        <w:spacing w:line="216" w:lineRule="auto"/>
        <w:rPr>
          <w:i/>
          <w:sz w:val="23"/>
          <w:szCs w:val="23"/>
          <w:rtl/>
        </w:rPr>
      </w:pPr>
      <w:r w:rsidRPr="00005251">
        <w:rPr>
          <w:rFonts w:hint="cs"/>
          <w:i/>
          <w:sz w:val="23"/>
          <w:szCs w:val="23"/>
          <w:rtl/>
        </w:rPr>
        <w:t>نمودار ۴. ۳ درآمد قابل تصرف</w:t>
      </w:r>
      <w:r w:rsidRPr="00005251">
        <w:rPr>
          <w:rFonts w:hint="cs"/>
          <w:i/>
          <w:sz w:val="23"/>
          <w:szCs w:val="23"/>
          <w:rtl/>
          <w:lang w:val="en-GB"/>
        </w:rPr>
        <w:t xml:space="preserve"> </w:t>
      </w:r>
      <w:r w:rsidRPr="00005251">
        <w:rPr>
          <w:i/>
          <w:sz w:val="23"/>
          <w:szCs w:val="23"/>
          <w:lang w:val="en-GB"/>
        </w:rPr>
        <w:t>RDPI</w:t>
      </w:r>
      <w:r w:rsidRPr="00005251">
        <w:rPr>
          <w:rFonts w:hint="cs"/>
          <w:i/>
          <w:sz w:val="23"/>
          <w:szCs w:val="23"/>
          <w:rtl/>
        </w:rPr>
        <w:t xml:space="preserve"> و مصرف حقیقی </w:t>
      </w:r>
      <w:r w:rsidRPr="00005251">
        <w:rPr>
          <w:i/>
          <w:sz w:val="23"/>
          <w:szCs w:val="23"/>
          <w:lang w:val="en-GB"/>
        </w:rPr>
        <w:t>RCONS</w:t>
      </w:r>
      <w:r w:rsidRPr="00005251">
        <w:rPr>
          <w:rFonts w:hint="cs"/>
          <w:i/>
          <w:sz w:val="23"/>
          <w:szCs w:val="23"/>
          <w:rtl/>
        </w:rPr>
        <w:t xml:space="preserve"> کشور آمريكا را در طي دوره</w:t>
      </w:r>
      <w:r w:rsidRPr="00005251">
        <w:rPr>
          <w:i/>
          <w:sz w:val="23"/>
          <w:szCs w:val="23"/>
          <w:rtl/>
        </w:rPr>
        <w:softHyphen/>
      </w:r>
      <w:r w:rsidRPr="00005251">
        <w:rPr>
          <w:rFonts w:hint="cs"/>
          <w:i/>
          <w:sz w:val="23"/>
          <w:szCs w:val="23"/>
          <w:rtl/>
        </w:rPr>
        <w:t>ی ۲۰۰۳-۱۹۴۷ نشان می‌دهد. در اين نمودار مصرف كل تقريباً هموار است ولي نوسان دارد و اين نوسانات شبيه نوسانات درآمد قابل تصرف است. نمودار ۴. ۴</w:t>
      </w:r>
      <w:r w:rsidRPr="00005251">
        <w:rPr>
          <w:i/>
          <w:sz w:val="23"/>
          <w:szCs w:val="23"/>
          <w:rtl/>
        </w:rPr>
        <w:t xml:space="preserve"> </w:t>
      </w:r>
      <w:r w:rsidRPr="00005251">
        <w:rPr>
          <w:rFonts w:hint="cs"/>
          <w:i/>
          <w:sz w:val="23"/>
          <w:szCs w:val="23"/>
          <w:rtl/>
        </w:rPr>
        <w:t xml:space="preserve">نشان می‌دهد نوسانات مخارج مصرف كل، بيشتر بخاطر كالاهاي بادوام مصرفي </w:t>
      </w:r>
      <w:r w:rsidRPr="00005251">
        <w:rPr>
          <w:i/>
          <w:sz w:val="23"/>
          <w:szCs w:val="23"/>
          <w:lang w:val="en-GB"/>
        </w:rPr>
        <w:t>RDCONS</w:t>
      </w:r>
      <w:r w:rsidRPr="00005251">
        <w:rPr>
          <w:rFonts w:hint="cs"/>
          <w:i/>
          <w:sz w:val="23"/>
          <w:szCs w:val="23"/>
          <w:rtl/>
        </w:rPr>
        <w:t xml:space="preserve"> است تا كالاهاي بي</w:t>
      </w:r>
      <w:r w:rsidRPr="00005251">
        <w:rPr>
          <w:i/>
          <w:sz w:val="23"/>
          <w:szCs w:val="23"/>
          <w:rtl/>
        </w:rPr>
        <w:softHyphen/>
      </w:r>
      <w:r w:rsidRPr="00005251">
        <w:rPr>
          <w:rFonts w:hint="cs"/>
          <w:i/>
          <w:sz w:val="23"/>
          <w:szCs w:val="23"/>
          <w:rtl/>
        </w:rPr>
        <w:t xml:space="preserve">دوام مصرفي </w:t>
      </w:r>
      <w:r w:rsidRPr="00005251">
        <w:rPr>
          <w:i/>
          <w:sz w:val="23"/>
          <w:szCs w:val="23"/>
          <w:lang w:val="en-GB"/>
        </w:rPr>
        <w:t>RNDCONS</w:t>
      </w:r>
      <w:r w:rsidRPr="00005251">
        <w:rPr>
          <w:rFonts w:hint="cs"/>
          <w:i/>
          <w:sz w:val="23"/>
          <w:szCs w:val="23"/>
          <w:rtl/>
        </w:rPr>
        <w:t>. با محاسبه</w:t>
      </w:r>
      <w:r w:rsidRPr="00005251">
        <w:rPr>
          <w:i/>
          <w:sz w:val="23"/>
          <w:szCs w:val="23"/>
          <w:rtl/>
        </w:rPr>
        <w:softHyphen/>
      </w:r>
      <w:r w:rsidRPr="00005251">
        <w:rPr>
          <w:rFonts w:hint="cs"/>
          <w:i/>
          <w:sz w:val="23"/>
          <w:szCs w:val="23"/>
          <w:rtl/>
        </w:rPr>
        <w:t>ی شاخص</w:t>
      </w:r>
      <w:r w:rsidRPr="00005251">
        <w:rPr>
          <w:i/>
          <w:sz w:val="23"/>
          <w:szCs w:val="23"/>
          <w:rtl/>
        </w:rPr>
        <w:softHyphen/>
      </w:r>
      <w:r w:rsidRPr="00005251">
        <w:rPr>
          <w:rFonts w:hint="cs"/>
          <w:i/>
          <w:sz w:val="23"/>
          <w:szCs w:val="23"/>
          <w:rtl/>
        </w:rPr>
        <w:t>های اقتصاد آمریکا مشاهده می</w:t>
      </w:r>
      <w:r w:rsidRPr="00005251">
        <w:rPr>
          <w:i/>
          <w:sz w:val="23"/>
          <w:szCs w:val="23"/>
          <w:rtl/>
        </w:rPr>
        <w:softHyphen/>
      </w:r>
      <w:r w:rsidRPr="00005251">
        <w:rPr>
          <w:rFonts w:hint="cs"/>
          <w:i/>
          <w:sz w:val="23"/>
          <w:szCs w:val="23"/>
          <w:rtl/>
        </w:rPr>
        <w:t>شود که نسبت انحراف معیار نرخ رشد مصرف کل به انحراف معیار نرخ رشد درآمد قابل تصرف برابر است با ۰.۶۶ درصد، نسبت انحراف معیار نرخ رشد کالای بی</w:t>
      </w:r>
      <w:r w:rsidRPr="00005251">
        <w:rPr>
          <w:i/>
          <w:sz w:val="23"/>
          <w:szCs w:val="23"/>
          <w:rtl/>
        </w:rPr>
        <w:softHyphen/>
      </w:r>
      <w:r w:rsidRPr="00005251">
        <w:rPr>
          <w:rFonts w:hint="cs"/>
          <w:i/>
          <w:sz w:val="23"/>
          <w:szCs w:val="23"/>
          <w:rtl/>
        </w:rPr>
        <w:t>دوام مصرفی به انحراف معیار نرخ رشد درآمد قابل تصرف برابر است با ۰.۵۴ درصد، و نسبت انحراف معیار نرخ رشد کالای با دوام مصرفی به انحراف معیار نرخ رشد درآمد قابل تصرف برابر است با ۵. ۳ درصد است. در نتیجه مخارج مصرفی كالاهاي بي</w:t>
      </w:r>
      <w:r w:rsidRPr="00005251">
        <w:rPr>
          <w:i/>
          <w:sz w:val="23"/>
          <w:szCs w:val="23"/>
          <w:rtl/>
        </w:rPr>
        <w:softHyphen/>
      </w:r>
      <w:r w:rsidRPr="00005251">
        <w:rPr>
          <w:rFonts w:hint="cs"/>
          <w:i/>
          <w:sz w:val="23"/>
          <w:szCs w:val="23"/>
          <w:rtl/>
        </w:rPr>
        <w:t>دوام هموار، ولی مخارج مصرفی كالاهاي بادوام هموار نيست. بايد توجه داشت كه مخارج كالاهاي بي</w:t>
      </w:r>
      <w:r w:rsidRPr="00005251">
        <w:rPr>
          <w:i/>
          <w:sz w:val="23"/>
          <w:szCs w:val="23"/>
          <w:rtl/>
        </w:rPr>
        <w:softHyphen/>
      </w:r>
      <w:r w:rsidRPr="00005251">
        <w:rPr>
          <w:rFonts w:hint="cs"/>
          <w:i/>
          <w:sz w:val="23"/>
          <w:szCs w:val="23"/>
          <w:rtl/>
        </w:rPr>
        <w:t>دوام متغیر روانه</w:t>
      </w:r>
      <w:r w:rsidRPr="00005251">
        <w:rPr>
          <w:rStyle w:val="FootnoteReference"/>
          <w:rFonts w:eastAsiaTheme="majorEastAsia"/>
          <w:i/>
          <w:sz w:val="23"/>
          <w:szCs w:val="23"/>
          <w:rtl/>
        </w:rPr>
        <w:footnoteReference w:id="125"/>
      </w:r>
      <w:r w:rsidRPr="00005251">
        <w:rPr>
          <w:i/>
          <w:sz w:val="23"/>
          <w:szCs w:val="23"/>
        </w:rPr>
        <w:t xml:space="preserve"> </w:t>
      </w:r>
      <w:r w:rsidRPr="00005251">
        <w:rPr>
          <w:rFonts w:hint="cs"/>
          <w:i/>
          <w:sz w:val="23"/>
          <w:szCs w:val="23"/>
          <w:rtl/>
        </w:rPr>
        <w:t>ولي مخارج مصرفي كالاهاي بادوام متغير انباره</w:t>
      </w:r>
      <w:r w:rsidRPr="00005251">
        <w:rPr>
          <w:rStyle w:val="FootnoteReference"/>
          <w:rFonts w:eastAsiaTheme="majorEastAsia"/>
          <w:i/>
          <w:sz w:val="23"/>
          <w:szCs w:val="23"/>
          <w:rtl/>
        </w:rPr>
        <w:footnoteReference w:id="126"/>
      </w:r>
      <w:r w:rsidRPr="00005251">
        <w:rPr>
          <w:rFonts w:hint="cs"/>
          <w:i/>
          <w:sz w:val="23"/>
          <w:szCs w:val="23"/>
          <w:rtl/>
        </w:rPr>
        <w:t xml:space="preserve"> است. لذا تئوري مصرف چرخه</w:t>
      </w:r>
      <w:r w:rsidRPr="00005251">
        <w:rPr>
          <w:i/>
          <w:sz w:val="23"/>
          <w:szCs w:val="23"/>
          <w:rtl/>
        </w:rPr>
        <w:softHyphen/>
      </w:r>
      <w:r w:rsidRPr="00005251">
        <w:rPr>
          <w:rFonts w:hint="cs"/>
          <w:i/>
          <w:sz w:val="23"/>
          <w:szCs w:val="23"/>
          <w:rtl/>
        </w:rPr>
        <w:t xml:space="preserve">ی زندگي، مصرف كالاهاي </w:t>
      </w:r>
      <w:r w:rsidRPr="00005251">
        <w:rPr>
          <w:rFonts w:hint="cs"/>
          <w:i/>
          <w:sz w:val="23"/>
          <w:szCs w:val="23"/>
          <w:rtl/>
        </w:rPr>
        <w:lastRenderedPageBreak/>
        <w:t>بادوام مصرفي را توضيح نداده و با تجدید نظر در تئوری مصرف می</w:t>
      </w:r>
      <w:r w:rsidRPr="00005251">
        <w:rPr>
          <w:i/>
          <w:sz w:val="23"/>
          <w:szCs w:val="23"/>
          <w:rtl/>
        </w:rPr>
        <w:softHyphen/>
      </w:r>
      <w:r w:rsidRPr="00005251">
        <w:rPr>
          <w:rFonts w:hint="cs"/>
          <w:i/>
          <w:sz w:val="23"/>
          <w:szCs w:val="23"/>
          <w:rtl/>
        </w:rPr>
        <w:t>بایست مجدداً این تابع بازنويسي شود.</w:t>
      </w:r>
    </w:p>
    <w:p w14:paraId="2A65186C" w14:textId="77777777" w:rsidR="00411620" w:rsidRDefault="00411620" w:rsidP="00411620">
      <w:pPr>
        <w:spacing w:line="216" w:lineRule="auto"/>
        <w:jc w:val="center"/>
        <w:rPr>
          <w:i/>
          <w:sz w:val="23"/>
          <w:szCs w:val="23"/>
          <w:rtl/>
        </w:rPr>
      </w:pPr>
    </w:p>
    <w:p w14:paraId="0366BB15" w14:textId="77777777" w:rsidR="00411620" w:rsidRDefault="00411620" w:rsidP="00411620">
      <w:pPr>
        <w:spacing w:line="216" w:lineRule="auto"/>
        <w:jc w:val="center"/>
        <w:rPr>
          <w:i/>
          <w:sz w:val="23"/>
          <w:szCs w:val="23"/>
          <w:rtl/>
        </w:rPr>
      </w:pPr>
    </w:p>
    <w:p w14:paraId="1723D1EC" w14:textId="77777777" w:rsidR="00411620" w:rsidRDefault="00411620" w:rsidP="00411620">
      <w:pPr>
        <w:spacing w:line="216" w:lineRule="auto"/>
        <w:jc w:val="center"/>
        <w:rPr>
          <w:i/>
          <w:sz w:val="23"/>
          <w:szCs w:val="23"/>
          <w:rtl/>
        </w:rPr>
      </w:pPr>
    </w:p>
    <w:p w14:paraId="5439148A" w14:textId="77777777" w:rsidR="00411620" w:rsidRPr="00005251" w:rsidRDefault="00411620" w:rsidP="00411620">
      <w:pPr>
        <w:spacing w:line="216" w:lineRule="auto"/>
        <w:jc w:val="center"/>
        <w:rPr>
          <w:i/>
          <w:sz w:val="23"/>
          <w:szCs w:val="23"/>
          <w:rtl/>
        </w:rPr>
      </w:pPr>
      <w:r w:rsidRPr="00005251">
        <w:rPr>
          <w:rFonts w:hint="cs"/>
          <w:i/>
          <w:sz w:val="23"/>
          <w:szCs w:val="23"/>
          <w:rtl/>
        </w:rPr>
        <w:t>نمودار ۴. ۳</w:t>
      </w:r>
    </w:p>
    <w:p w14:paraId="2CD5C8C0" w14:textId="77777777" w:rsidR="00411620" w:rsidRPr="00005251" w:rsidRDefault="00411620" w:rsidP="00411620">
      <w:pPr>
        <w:spacing w:line="216" w:lineRule="auto"/>
        <w:jc w:val="center"/>
        <w:rPr>
          <w:i/>
          <w:sz w:val="23"/>
          <w:szCs w:val="23"/>
          <w:rtl/>
        </w:rPr>
      </w:pPr>
      <w:r w:rsidRPr="00005251">
        <w:rPr>
          <w:i/>
          <w:noProof/>
          <w:sz w:val="23"/>
          <w:szCs w:val="23"/>
          <w:u w:val="single"/>
          <w:rtl/>
          <w:lang w:bidi="ar-SA"/>
        </w:rPr>
        <w:drawing>
          <wp:inline distT="0" distB="0" distL="0" distR="0" wp14:anchorId="2C24694C" wp14:editId="0BE85D35">
            <wp:extent cx="3648546" cy="2033239"/>
            <wp:effectExtent l="38100" t="38100" r="28575" b="438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8">
                      <a:lum contrast="20000"/>
                      <a:extLst>
                        <a:ext uri="{28A0092B-C50C-407E-A947-70E740481C1C}">
                          <a14:useLocalDpi xmlns:a14="http://schemas.microsoft.com/office/drawing/2010/main" val="0"/>
                        </a:ext>
                      </a:extLst>
                    </a:blip>
                    <a:srcRect/>
                    <a:stretch>
                      <a:fillRect/>
                    </a:stretch>
                  </pic:blipFill>
                  <pic:spPr bwMode="auto">
                    <a:xfrm>
                      <a:off x="0" y="0"/>
                      <a:ext cx="3676823" cy="2048997"/>
                    </a:xfrm>
                    <a:prstGeom prst="rect">
                      <a:avLst/>
                    </a:prstGeom>
                    <a:ln w="28575">
                      <a:solidFill>
                        <a:schemeClr val="tx1"/>
                      </a:solidFill>
                    </a:ln>
                  </pic:spPr>
                </pic:pic>
              </a:graphicData>
            </a:graphic>
          </wp:inline>
        </w:drawing>
      </w:r>
    </w:p>
    <w:p w14:paraId="208346B1" w14:textId="77777777" w:rsidR="00411620" w:rsidRPr="00005251" w:rsidRDefault="00411620" w:rsidP="00411620">
      <w:pPr>
        <w:spacing w:line="216" w:lineRule="auto"/>
        <w:jc w:val="center"/>
        <w:rPr>
          <w:i/>
          <w:sz w:val="23"/>
          <w:szCs w:val="23"/>
          <w:rtl/>
        </w:rPr>
      </w:pPr>
      <w:r w:rsidRPr="00005251">
        <w:rPr>
          <w:i/>
          <w:sz w:val="23"/>
          <w:szCs w:val="23"/>
          <w:rtl/>
        </w:rPr>
        <w:t xml:space="preserve">شکل </w:t>
      </w:r>
      <w:r w:rsidRPr="00005251">
        <w:rPr>
          <w:rFonts w:hint="cs"/>
          <w:i/>
          <w:sz w:val="23"/>
          <w:szCs w:val="23"/>
          <w:rtl/>
        </w:rPr>
        <w:t>۴. ۴</w:t>
      </w:r>
    </w:p>
    <w:p w14:paraId="673BBF14" w14:textId="77777777" w:rsidR="00411620" w:rsidRPr="00005251" w:rsidRDefault="00411620" w:rsidP="00411620">
      <w:pPr>
        <w:spacing w:line="216" w:lineRule="auto"/>
        <w:jc w:val="center"/>
        <w:rPr>
          <w:i/>
          <w:sz w:val="23"/>
          <w:szCs w:val="23"/>
          <w:rtl/>
        </w:rPr>
      </w:pPr>
      <w:r w:rsidRPr="00005251">
        <w:rPr>
          <w:i/>
          <w:noProof/>
          <w:sz w:val="23"/>
          <w:szCs w:val="23"/>
          <w:u w:val="single"/>
          <w:rtl/>
          <w:lang w:bidi="ar-SA"/>
        </w:rPr>
        <w:drawing>
          <wp:inline distT="0" distB="0" distL="0" distR="0" wp14:anchorId="6C4C7080" wp14:editId="4B84CBD2">
            <wp:extent cx="3651523" cy="2014653"/>
            <wp:effectExtent l="38100" t="38100" r="44450" b="431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9">
                      <a:lum contrast="20000"/>
                      <a:extLst>
                        <a:ext uri="{28A0092B-C50C-407E-A947-70E740481C1C}">
                          <a14:useLocalDpi xmlns:a14="http://schemas.microsoft.com/office/drawing/2010/main" val="0"/>
                        </a:ext>
                      </a:extLst>
                    </a:blip>
                    <a:srcRect/>
                    <a:stretch>
                      <a:fillRect/>
                    </a:stretch>
                  </pic:blipFill>
                  <pic:spPr bwMode="auto">
                    <a:xfrm>
                      <a:off x="0" y="0"/>
                      <a:ext cx="3681766" cy="2031339"/>
                    </a:xfrm>
                    <a:prstGeom prst="rect">
                      <a:avLst/>
                    </a:prstGeom>
                    <a:ln w="28575">
                      <a:solidFill>
                        <a:schemeClr val="tx1"/>
                      </a:solidFill>
                    </a:ln>
                  </pic:spPr>
                </pic:pic>
              </a:graphicData>
            </a:graphic>
          </wp:inline>
        </w:drawing>
      </w:r>
    </w:p>
    <w:p w14:paraId="7A1E46BE" w14:textId="77777777" w:rsidR="00411620" w:rsidRPr="00005251" w:rsidRDefault="00411620" w:rsidP="00411620">
      <w:pPr>
        <w:bidi w:val="0"/>
        <w:spacing w:line="216" w:lineRule="auto"/>
        <w:rPr>
          <w:i/>
          <w:sz w:val="23"/>
          <w:szCs w:val="23"/>
          <w:lang w:bidi="ar-SA"/>
        </w:rPr>
      </w:pPr>
    </w:p>
    <w:p w14:paraId="768CD71D" w14:textId="77777777" w:rsidR="00411620" w:rsidRPr="00005251" w:rsidRDefault="00411620" w:rsidP="00411620">
      <w:pPr>
        <w:spacing w:line="216" w:lineRule="auto"/>
        <w:rPr>
          <w:i/>
          <w:sz w:val="23"/>
          <w:szCs w:val="23"/>
        </w:rPr>
      </w:pPr>
    </w:p>
    <w:p w14:paraId="1425698D" w14:textId="77777777" w:rsidR="00411620" w:rsidRPr="00005251" w:rsidRDefault="00411620" w:rsidP="00411620">
      <w:pPr>
        <w:pStyle w:val="Heading1"/>
        <w:spacing w:before="0" w:after="0" w:line="216" w:lineRule="auto"/>
        <w:rPr>
          <w:rFonts w:ascii="Times New Roman" w:hAnsi="Times New Roman" w:cs="B Nazanin"/>
          <w:b w:val="0"/>
          <w:i/>
          <w:sz w:val="23"/>
          <w:szCs w:val="23"/>
          <w:rtl/>
        </w:rPr>
      </w:pPr>
      <w:r w:rsidRPr="00005251">
        <w:rPr>
          <w:rFonts w:ascii="Times New Roman" w:hAnsi="Times New Roman" w:cs="B Nazanin" w:hint="cs"/>
          <w:b w:val="0"/>
          <w:i/>
          <w:sz w:val="23"/>
          <w:szCs w:val="23"/>
          <w:rtl/>
        </w:rPr>
        <w:lastRenderedPageBreak/>
        <w:t>۴. ۲. ۴ مصرف كالاهاي بادوام و بي</w:t>
      </w:r>
      <w:r w:rsidRPr="00005251">
        <w:rPr>
          <w:rFonts w:ascii="Times New Roman" w:hAnsi="Times New Roman" w:cs="B Nazanin"/>
          <w:b w:val="0"/>
          <w:i/>
          <w:sz w:val="23"/>
          <w:szCs w:val="23"/>
          <w:rtl/>
        </w:rPr>
        <w:softHyphen/>
      </w:r>
      <w:r w:rsidRPr="00005251">
        <w:rPr>
          <w:rFonts w:ascii="Times New Roman" w:hAnsi="Times New Roman" w:cs="B Nazanin" w:hint="cs"/>
          <w:b w:val="0"/>
          <w:i/>
          <w:sz w:val="23"/>
          <w:szCs w:val="23"/>
          <w:rtl/>
        </w:rPr>
        <w:t>دوام</w:t>
      </w:r>
    </w:p>
    <w:p w14:paraId="7A4EFCFE" w14:textId="77777777" w:rsidR="00411620" w:rsidRPr="00005251" w:rsidRDefault="00411620" w:rsidP="00411620">
      <w:pPr>
        <w:pStyle w:val="Heading1"/>
        <w:spacing w:before="0" w:after="0" w:line="216" w:lineRule="auto"/>
        <w:rPr>
          <w:rFonts w:ascii="Times New Roman" w:hAnsi="Times New Roman" w:cs="B Nazanin"/>
          <w:b w:val="0"/>
          <w:bCs w:val="0"/>
          <w:i/>
          <w:sz w:val="23"/>
          <w:szCs w:val="23"/>
        </w:rPr>
      </w:pPr>
      <w:r w:rsidRPr="00005251">
        <w:rPr>
          <w:rFonts w:ascii="Times New Roman" w:hAnsi="Times New Roman" w:cs="B Nazanin" w:hint="cs"/>
          <w:b w:val="0"/>
          <w:bCs w:val="0"/>
          <w:i/>
          <w:sz w:val="23"/>
          <w:szCs w:val="23"/>
          <w:rtl/>
        </w:rPr>
        <w:t>مهمترين تفاوت</w:t>
      </w:r>
      <w:r w:rsidRPr="00005251">
        <w:rPr>
          <w:rFonts w:ascii="Times New Roman" w:hAnsi="Times New Roman" w:cs="B Nazanin"/>
          <w:b w:val="0"/>
          <w:bCs w:val="0"/>
          <w:i/>
          <w:sz w:val="23"/>
          <w:szCs w:val="23"/>
        </w:rPr>
        <w:t xml:space="preserve"> </w:t>
      </w:r>
      <w:r w:rsidRPr="00005251">
        <w:rPr>
          <w:rFonts w:ascii="Times New Roman" w:hAnsi="Times New Roman" w:cs="B Nazanin" w:hint="cs"/>
          <w:b w:val="0"/>
          <w:bCs w:val="0"/>
          <w:i/>
          <w:sz w:val="23"/>
          <w:szCs w:val="23"/>
          <w:rtl/>
        </w:rPr>
        <w:t>بین مخارج مصرفی كالاهاي بادوام و بي</w:t>
      </w:r>
      <w:r w:rsidRPr="00005251">
        <w:rPr>
          <w:rFonts w:ascii="Times New Roman" w:hAnsi="Times New Roman" w:cs="B Nazanin"/>
          <w:b w:val="0"/>
          <w:bCs w:val="0"/>
          <w:i/>
          <w:sz w:val="23"/>
          <w:szCs w:val="23"/>
          <w:rtl/>
        </w:rPr>
        <w:softHyphen/>
      </w:r>
      <w:r w:rsidRPr="00005251">
        <w:rPr>
          <w:rFonts w:ascii="Times New Roman" w:hAnsi="Times New Roman" w:cs="B Nazanin" w:hint="cs"/>
          <w:b w:val="0"/>
          <w:bCs w:val="0"/>
          <w:i/>
          <w:sz w:val="23"/>
          <w:szCs w:val="23"/>
          <w:rtl/>
        </w:rPr>
        <w:t>دوام در اين است كه اولی متغیر انباره و دومی متغیر روانه است. همچنین متغیر انباره یا کالاهای بادوام مصرفی بخاطر فرسودگي و كهنگي مستهلك مي</w:t>
      </w:r>
      <w:r w:rsidRPr="00005251">
        <w:rPr>
          <w:rFonts w:ascii="Times New Roman" w:hAnsi="Times New Roman" w:cs="B Nazanin"/>
          <w:b w:val="0"/>
          <w:bCs w:val="0"/>
          <w:i/>
          <w:sz w:val="23"/>
          <w:szCs w:val="23"/>
          <w:rtl/>
        </w:rPr>
        <w:softHyphen/>
      </w:r>
      <w:r w:rsidRPr="00005251">
        <w:rPr>
          <w:rFonts w:ascii="Times New Roman" w:hAnsi="Times New Roman" w:cs="B Nazanin" w:hint="cs"/>
          <w:b w:val="0"/>
          <w:bCs w:val="0"/>
          <w:i/>
          <w:sz w:val="23"/>
          <w:szCs w:val="23"/>
          <w:rtl/>
        </w:rPr>
        <w:t>شوند. با توجه به نکات فوق می</w:t>
      </w:r>
      <w:r w:rsidRPr="00005251">
        <w:rPr>
          <w:rFonts w:ascii="Times New Roman" w:hAnsi="Times New Roman" w:cs="B Nazanin"/>
          <w:b w:val="0"/>
          <w:bCs w:val="0"/>
          <w:i/>
          <w:sz w:val="23"/>
          <w:szCs w:val="23"/>
          <w:rtl/>
        </w:rPr>
        <w:softHyphen/>
      </w:r>
      <w:r w:rsidRPr="00005251">
        <w:rPr>
          <w:rFonts w:ascii="Times New Roman" w:hAnsi="Times New Roman" w:cs="B Nazanin" w:hint="cs"/>
          <w:b w:val="0"/>
          <w:bCs w:val="0"/>
          <w:i/>
          <w:sz w:val="23"/>
          <w:szCs w:val="23"/>
          <w:rtl/>
        </w:rPr>
        <w:t>توان تابع مصرف را تعديل نمود. با فرض اینکه مصرف كالاهاي بي</w:t>
      </w:r>
      <w:r w:rsidRPr="00005251">
        <w:rPr>
          <w:rFonts w:ascii="Times New Roman" w:hAnsi="Times New Roman" w:cs="B Nazanin"/>
          <w:b w:val="0"/>
          <w:bCs w:val="0"/>
          <w:i/>
          <w:sz w:val="23"/>
          <w:szCs w:val="23"/>
          <w:rtl/>
        </w:rPr>
        <w:softHyphen/>
      </w:r>
      <w:r w:rsidRPr="00005251">
        <w:rPr>
          <w:rFonts w:ascii="Times New Roman" w:hAnsi="Times New Roman" w:cs="B Nazanin" w:hint="cs"/>
          <w:b w:val="0"/>
          <w:bCs w:val="0"/>
          <w:i/>
          <w:sz w:val="23"/>
          <w:szCs w:val="23"/>
          <w:rtl/>
        </w:rPr>
        <w:t>دوام حقیقی</w:t>
      </w:r>
      <w:r w:rsidRPr="00005251">
        <w:rPr>
          <w:position w:val="-10"/>
        </w:rPr>
        <w:object w:dxaOrig="200" w:dyaOrig="320" w14:anchorId="0E3CBD60">
          <v:shape id="_x0000_i2236" type="#_x0000_t75" style="width:10.3pt;height:16.35pt" o:ole="">
            <v:imagedata r:id="rId2460" o:title=""/>
          </v:shape>
          <o:OLEObject Type="Embed" ProgID="Equation.DSMT4" ShapeID="_x0000_i2236" DrawAspect="Content" ObjectID="_1791376180" r:id="rId2461"/>
        </w:object>
      </w:r>
      <w:r w:rsidRPr="00005251">
        <w:rPr>
          <w:rFonts w:ascii="Times New Roman" w:hAnsi="Times New Roman" w:cs="B Nazanin" w:hint="cs"/>
          <w:b w:val="0"/>
          <w:bCs w:val="0"/>
          <w:i/>
          <w:sz w:val="23"/>
          <w:szCs w:val="23"/>
          <w:rtl/>
        </w:rPr>
        <w:t>، ذخاير كالاهاي بادوام</w:t>
      </w:r>
      <w:r w:rsidRPr="00005251">
        <w:rPr>
          <w:position w:val="-10"/>
        </w:rPr>
        <w:object w:dxaOrig="279" w:dyaOrig="320" w14:anchorId="4B39B469">
          <v:shape id="_x0000_i2237" type="#_x0000_t75" style="width:13.9pt;height:16.35pt" o:ole="">
            <v:imagedata r:id="rId2462" o:title=""/>
          </v:shape>
          <o:OLEObject Type="Embed" ProgID="Equation.DSMT4" ShapeID="_x0000_i2237" DrawAspect="Content" ObjectID="_1791376181" r:id="rId2463"/>
        </w:object>
      </w:r>
      <w:r w:rsidRPr="00005251">
        <w:rPr>
          <w:rFonts w:ascii="Times New Roman" w:hAnsi="Times New Roman" w:cs="B Nazanin" w:hint="cs"/>
          <w:b w:val="0"/>
          <w:bCs w:val="0"/>
          <w:i/>
          <w:sz w:val="23"/>
          <w:szCs w:val="23"/>
          <w:rtl/>
        </w:rPr>
        <w:t xml:space="preserve"> و مخارج سرمايه</w:t>
      </w:r>
      <w:r w:rsidRPr="00005251">
        <w:rPr>
          <w:rFonts w:ascii="Times New Roman" w:hAnsi="Times New Roman" w:cs="B Nazanin"/>
          <w:b w:val="0"/>
          <w:bCs w:val="0"/>
          <w:i/>
          <w:sz w:val="23"/>
          <w:szCs w:val="23"/>
          <w:rtl/>
        </w:rPr>
        <w:softHyphen/>
      </w:r>
      <w:r w:rsidRPr="00005251">
        <w:rPr>
          <w:rFonts w:ascii="Times New Roman" w:hAnsi="Times New Roman" w:cs="B Nazanin" w:hint="cs"/>
          <w:b w:val="0"/>
          <w:bCs w:val="0"/>
          <w:i/>
          <w:sz w:val="23"/>
          <w:szCs w:val="23"/>
          <w:rtl/>
        </w:rPr>
        <w:t>گذاري كالاهاي بادوام</w:t>
      </w:r>
      <w:r w:rsidRPr="00005251">
        <w:rPr>
          <w:position w:val="-10"/>
        </w:rPr>
        <w:object w:dxaOrig="240" w:dyaOrig="320" w14:anchorId="7FCB043F">
          <v:shape id="_x0000_i2238" type="#_x0000_t75" style="width:11.5pt;height:16.35pt" o:ole="">
            <v:imagedata r:id="rId2464" o:title=""/>
          </v:shape>
          <o:OLEObject Type="Embed" ProgID="Equation.DSMT4" ShapeID="_x0000_i2238" DrawAspect="Content" ObjectID="_1791376182" r:id="rId2465"/>
        </w:object>
      </w:r>
      <w:r w:rsidRPr="00005251">
        <w:rPr>
          <w:rFonts w:ascii="Times New Roman" w:hAnsi="Times New Roman" w:cs="B Nazanin" w:hint="cs"/>
          <w:b w:val="0"/>
          <w:bCs w:val="0"/>
          <w:i/>
          <w:sz w:val="23"/>
          <w:szCs w:val="23"/>
          <w:rtl/>
        </w:rPr>
        <w:t xml:space="preserve"> باشد، آنگاه معادله</w:t>
      </w:r>
      <w:r w:rsidRPr="00005251">
        <w:rPr>
          <w:rFonts w:ascii="Times New Roman" w:hAnsi="Times New Roman" w:cs="B Nazanin"/>
          <w:b w:val="0"/>
          <w:bCs w:val="0"/>
          <w:i/>
          <w:sz w:val="23"/>
          <w:szCs w:val="23"/>
          <w:rtl/>
        </w:rPr>
        <w:softHyphen/>
      </w:r>
      <w:r w:rsidRPr="00005251">
        <w:rPr>
          <w:rFonts w:ascii="Times New Roman" w:hAnsi="Times New Roman" w:cs="B Nazanin" w:hint="cs"/>
          <w:b w:val="0"/>
          <w:bCs w:val="0"/>
          <w:i/>
          <w:sz w:val="23"/>
          <w:szCs w:val="23"/>
          <w:rtl/>
        </w:rPr>
        <w:t>ی انباشت كالاهاي بادوام مصرفی عبارت است از:</w:t>
      </w:r>
    </w:p>
    <w:p w14:paraId="434C9402" w14:textId="77777777" w:rsidR="00411620" w:rsidRPr="00005251" w:rsidRDefault="00411620" w:rsidP="00411620">
      <w:pPr>
        <w:bidi w:val="0"/>
        <w:rPr>
          <w:b/>
          <w:i/>
          <w:sz w:val="23"/>
          <w:szCs w:val="23"/>
          <w:rtl/>
        </w:rPr>
      </w:pPr>
      <w:r w:rsidRPr="00005251">
        <w:rPr>
          <w:b/>
          <w:i/>
          <w:sz w:val="23"/>
          <w:szCs w:val="23"/>
        </w:rPr>
        <w:t xml:space="preserve"> </w:t>
      </w:r>
      <w:r w:rsidRPr="00005251">
        <w:rPr>
          <w:rFonts w:hint="cs"/>
          <w:b/>
          <w:i/>
          <w:sz w:val="23"/>
          <w:szCs w:val="23"/>
          <w:rtl/>
        </w:rPr>
        <w:t xml:space="preserve"> </w:t>
      </w:r>
      <w:r w:rsidRPr="00005251">
        <w:rPr>
          <w:position w:val="-10"/>
        </w:rPr>
        <w:object w:dxaOrig="1500" w:dyaOrig="320" w14:anchorId="2A6ED881">
          <v:shape id="_x0000_i2239" type="#_x0000_t75" style="width:75.05pt;height:16.35pt" o:ole="">
            <v:imagedata r:id="rId2466" o:title=""/>
          </v:shape>
          <o:OLEObject Type="Embed" ProgID="Equation.DSMT4" ShapeID="_x0000_i2239" DrawAspect="Content" ObjectID="_1791376183" r:id="rId2467"/>
        </w:object>
      </w:r>
    </w:p>
    <w:p w14:paraId="6BD6F4C1" w14:textId="77777777" w:rsidR="00411620" w:rsidRPr="00005251" w:rsidRDefault="00411620" w:rsidP="00411620">
      <w:pPr>
        <w:spacing w:line="216" w:lineRule="auto"/>
        <w:rPr>
          <w:i/>
          <w:sz w:val="23"/>
          <w:szCs w:val="23"/>
          <w:rtl/>
        </w:rPr>
      </w:pPr>
      <w:r w:rsidRPr="00005251">
        <w:rPr>
          <w:rFonts w:hint="cs"/>
          <w:i/>
          <w:sz w:val="23"/>
          <w:szCs w:val="23"/>
          <w:rtl/>
        </w:rPr>
        <w:t xml:space="preserve">که در آن </w:t>
      </w:r>
      <w:r w:rsidRPr="00005251">
        <w:rPr>
          <w:position w:val="-6"/>
        </w:rPr>
        <w:object w:dxaOrig="180" w:dyaOrig="260" w14:anchorId="79748AD3">
          <v:shape id="_x0000_i2240" type="#_x0000_t75" style="width:9.1pt;height:12.7pt" o:ole="">
            <v:imagedata r:id="rId2468" o:title=""/>
          </v:shape>
          <o:OLEObject Type="Embed" ProgID="Equation.DSMT4" ShapeID="_x0000_i2240" DrawAspect="Content" ObjectID="_1791376184" r:id="rId2469"/>
        </w:object>
      </w:r>
      <w:r w:rsidRPr="00005251">
        <w:rPr>
          <w:rFonts w:hint="cs"/>
          <w:i/>
          <w:sz w:val="23"/>
          <w:szCs w:val="23"/>
          <w:rtl/>
        </w:rPr>
        <w:t xml:space="preserve"> نرخ استهلاك است. از آنجا که خانوار مي</w:t>
      </w:r>
      <w:r w:rsidRPr="00005251">
        <w:rPr>
          <w:i/>
          <w:sz w:val="23"/>
          <w:szCs w:val="23"/>
          <w:rtl/>
        </w:rPr>
        <w:softHyphen/>
      </w:r>
      <w:r w:rsidRPr="00005251">
        <w:rPr>
          <w:rFonts w:hint="cs"/>
          <w:i/>
          <w:sz w:val="23"/>
          <w:szCs w:val="23"/>
          <w:rtl/>
        </w:rPr>
        <w:t>تواند كالاي بادوام و بي</w:t>
      </w:r>
      <w:r w:rsidRPr="00005251">
        <w:rPr>
          <w:i/>
          <w:sz w:val="23"/>
          <w:szCs w:val="23"/>
          <w:rtl/>
        </w:rPr>
        <w:softHyphen/>
      </w:r>
      <w:r w:rsidRPr="00005251">
        <w:rPr>
          <w:rFonts w:hint="cs"/>
          <w:i/>
          <w:sz w:val="23"/>
          <w:szCs w:val="23"/>
          <w:rtl/>
        </w:rPr>
        <w:t>دوام را خريداري كند لذا قید بودجه</w:t>
      </w:r>
      <w:r w:rsidRPr="00005251">
        <w:rPr>
          <w:i/>
          <w:sz w:val="23"/>
          <w:szCs w:val="23"/>
          <w:rtl/>
        </w:rPr>
        <w:softHyphen/>
      </w:r>
      <w:r w:rsidRPr="00005251">
        <w:rPr>
          <w:rFonts w:hint="cs"/>
          <w:i/>
          <w:sz w:val="23"/>
          <w:szCs w:val="23"/>
          <w:rtl/>
        </w:rPr>
        <w:t>ی خانوار عبارت خواهد بود از</w:t>
      </w:r>
    </w:p>
    <w:p w14:paraId="30787CC3" w14:textId="77777777" w:rsidR="00411620" w:rsidRPr="00005251" w:rsidRDefault="00411620" w:rsidP="00411620">
      <w:pPr>
        <w:pStyle w:val="MTDisplayEquation"/>
        <w:spacing w:line="216" w:lineRule="auto"/>
        <w:rPr>
          <w:rFonts w:ascii="Times New Roman" w:hAnsi="Times New Roman" w:cs="B Nazanin"/>
          <w:i/>
          <w:sz w:val="23"/>
          <w:szCs w:val="23"/>
        </w:rPr>
      </w:pPr>
      <w:r w:rsidRPr="00005251">
        <w:rPr>
          <w:position w:val="-10"/>
        </w:rPr>
        <w:object w:dxaOrig="2400" w:dyaOrig="340" w14:anchorId="06FEC92D">
          <v:shape id="_x0000_i2241" type="#_x0000_t75" style="width:120.4pt;height:16.95pt" o:ole="">
            <v:imagedata r:id="rId2470" o:title=""/>
          </v:shape>
          <o:OLEObject Type="Embed" ProgID="Equation.DSMT4" ShapeID="_x0000_i2241" DrawAspect="Content" ObjectID="_1791376185" r:id="rId2471"/>
        </w:object>
      </w:r>
    </w:p>
    <w:p w14:paraId="19570701" w14:textId="77777777" w:rsidR="00411620" w:rsidRPr="00005251" w:rsidRDefault="00411620" w:rsidP="00411620">
      <w:pPr>
        <w:spacing w:line="216" w:lineRule="auto"/>
        <w:rPr>
          <w:i/>
          <w:sz w:val="23"/>
          <w:szCs w:val="23"/>
          <w:rtl/>
        </w:rPr>
      </w:pPr>
      <w:r w:rsidRPr="00005251">
        <w:rPr>
          <w:rFonts w:hint="cs"/>
          <w:i/>
          <w:sz w:val="23"/>
          <w:szCs w:val="23"/>
          <w:rtl/>
        </w:rPr>
        <w:t>كه</w:t>
      </w:r>
      <w:r w:rsidRPr="00005251">
        <w:rPr>
          <w:i/>
          <w:sz w:val="23"/>
          <w:szCs w:val="23"/>
        </w:rPr>
        <w:t xml:space="preserve"> </w:t>
      </w:r>
      <w:r w:rsidRPr="00005251">
        <w:rPr>
          <w:rFonts w:hint="cs"/>
          <w:i/>
          <w:sz w:val="23"/>
          <w:szCs w:val="23"/>
          <w:rtl/>
        </w:rPr>
        <w:t>در آن</w:t>
      </w:r>
      <w:r w:rsidRPr="00025957">
        <w:rPr>
          <w:position w:val="-4"/>
        </w:rPr>
        <w:object w:dxaOrig="340" w:dyaOrig="279" w14:anchorId="77787506">
          <v:shape id="_x0000_i2242" type="#_x0000_t75" style="width:16.95pt;height:13.9pt" o:ole="">
            <v:imagedata r:id="rId2472" o:title=""/>
          </v:shape>
          <o:OLEObject Type="Embed" ProgID="Equation.DSMT4" ShapeID="_x0000_i2242" DrawAspect="Content" ObjectID="_1791376186" r:id="rId2473"/>
        </w:object>
      </w:r>
      <w:r w:rsidRPr="00005251">
        <w:rPr>
          <w:rFonts w:hint="cs"/>
          <w:i/>
          <w:sz w:val="23"/>
          <w:szCs w:val="23"/>
          <w:rtl/>
        </w:rPr>
        <w:t xml:space="preserve"> نسبت قیمت كالاهاي بادوام به بي</w:t>
      </w:r>
      <w:r w:rsidRPr="00005251">
        <w:rPr>
          <w:i/>
          <w:sz w:val="23"/>
          <w:szCs w:val="23"/>
          <w:rtl/>
        </w:rPr>
        <w:softHyphen/>
      </w:r>
      <w:r w:rsidRPr="00005251">
        <w:rPr>
          <w:rFonts w:hint="cs"/>
          <w:i/>
          <w:sz w:val="23"/>
          <w:szCs w:val="23"/>
          <w:rtl/>
        </w:rPr>
        <w:t>دوام، و</w:t>
      </w:r>
      <w:r w:rsidRPr="00005251">
        <w:rPr>
          <w:position w:val="-10"/>
        </w:rPr>
        <w:object w:dxaOrig="499" w:dyaOrig="340" w14:anchorId="632E516D">
          <v:shape id="_x0000_i2243" type="#_x0000_t75" style="width:24.8pt;height:16.95pt" o:ole="">
            <v:imagedata r:id="rId2474" o:title=""/>
          </v:shape>
          <o:OLEObject Type="Embed" ProgID="Equation.DSMT4" ShapeID="_x0000_i2243" DrawAspect="Content" ObjectID="_1791376187" r:id="rId2475"/>
        </w:object>
      </w:r>
      <w:r w:rsidRPr="00005251">
        <w:rPr>
          <w:rFonts w:hint="cs"/>
          <w:i/>
          <w:sz w:val="23"/>
          <w:szCs w:val="23"/>
          <w:rtl/>
        </w:rPr>
        <w:t xml:space="preserve"> كل مخارج کالاهای بادوام مصرفی برحسب قيمت كالاهاي بي</w:t>
      </w:r>
      <w:r w:rsidRPr="00005251">
        <w:rPr>
          <w:i/>
          <w:sz w:val="23"/>
          <w:szCs w:val="23"/>
          <w:rtl/>
        </w:rPr>
        <w:softHyphen/>
      </w:r>
      <w:r w:rsidRPr="00005251">
        <w:rPr>
          <w:rFonts w:hint="cs"/>
          <w:i/>
          <w:sz w:val="23"/>
          <w:szCs w:val="23"/>
          <w:rtl/>
        </w:rPr>
        <w:t>دوام مصرفی است. لذا قيد بودجه خانوار برابر است با:</w:t>
      </w:r>
    </w:p>
    <w:p w14:paraId="3AB473C0" w14:textId="77777777" w:rsidR="00411620" w:rsidRPr="00005251" w:rsidRDefault="00411620" w:rsidP="00411620">
      <w:pPr>
        <w:pStyle w:val="MTDisplayEquation"/>
        <w:tabs>
          <w:tab w:val="clear" w:pos="6660"/>
          <w:tab w:val="right" w:pos="0"/>
        </w:tabs>
        <w:spacing w:line="216" w:lineRule="auto"/>
        <w:rPr>
          <w:rFonts w:ascii="Times New Roman" w:hAnsi="Times New Roman" w:cs="B Nazanin"/>
          <w:i/>
          <w:sz w:val="23"/>
          <w:szCs w:val="23"/>
        </w:rPr>
      </w:pPr>
      <w:r w:rsidRPr="00005251">
        <w:rPr>
          <w:position w:val="-12"/>
        </w:rPr>
        <w:object w:dxaOrig="3680" w:dyaOrig="360" w14:anchorId="02F6B252">
          <v:shape id="_x0000_i2244" type="#_x0000_t75" style="width:183.95pt;height:18.15pt" o:ole="">
            <v:imagedata r:id="rId2476" o:title=""/>
          </v:shape>
          <o:OLEObject Type="Embed" ProgID="Equation.DSMT4" ShapeID="_x0000_i2244" DrawAspect="Content" ObjectID="_1791376188" r:id="rId2477"/>
        </w:object>
      </w:r>
      <w:r>
        <w:rPr>
          <w:rtl/>
        </w:rPr>
        <w:tab/>
      </w:r>
      <w:r>
        <w:rPr>
          <w:rtl/>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cs="B Nazanin"/>
          <w:i/>
          <w:sz w:val="23"/>
          <w:szCs w:val="23"/>
          <w:rtl/>
        </w:rPr>
        <w:tab/>
      </w:r>
      <w:r w:rsidRPr="00005251">
        <w:rPr>
          <w:rFonts w:ascii="Times New Roman" w:hAnsi="Times New Roman" w:cs="B Nazanin" w:hint="cs"/>
          <w:i/>
          <w:sz w:val="23"/>
          <w:szCs w:val="23"/>
          <w:rtl/>
        </w:rPr>
        <w:t>(۴. ۲۱)</w:t>
      </w:r>
    </w:p>
    <w:p w14:paraId="37C9640B" w14:textId="77777777" w:rsidR="00411620" w:rsidRPr="00005251" w:rsidRDefault="00411620" w:rsidP="00411620">
      <w:pPr>
        <w:spacing w:line="216" w:lineRule="auto"/>
        <w:rPr>
          <w:i/>
          <w:sz w:val="23"/>
          <w:szCs w:val="23"/>
        </w:rPr>
      </w:pPr>
      <w:r w:rsidRPr="00005251">
        <w:rPr>
          <w:rFonts w:hint="cs"/>
          <w:i/>
          <w:sz w:val="23"/>
          <w:szCs w:val="23"/>
          <w:rtl/>
        </w:rPr>
        <w:t>مطلوبيت از طريق مصرف كالاهاي بادوام و بي</w:t>
      </w:r>
      <w:r w:rsidRPr="00005251">
        <w:rPr>
          <w:i/>
          <w:sz w:val="23"/>
          <w:szCs w:val="23"/>
          <w:rtl/>
        </w:rPr>
        <w:softHyphen/>
      </w:r>
      <w:r w:rsidRPr="00005251">
        <w:rPr>
          <w:rFonts w:hint="cs"/>
          <w:i/>
          <w:sz w:val="23"/>
          <w:szCs w:val="23"/>
          <w:rtl/>
        </w:rPr>
        <w:t>دوام بدست می‌آيد، یعنی</w:t>
      </w:r>
      <w:r w:rsidRPr="00005251">
        <w:rPr>
          <w:position w:val="-12"/>
        </w:rPr>
        <w:object w:dxaOrig="1280" w:dyaOrig="360" w14:anchorId="4D23A099">
          <v:shape id="_x0000_i2245" type="#_x0000_t75" style="width:64.15pt;height:18.15pt" o:ole="">
            <v:imagedata r:id="rId2478" o:title=""/>
          </v:shape>
          <o:OLEObject Type="Embed" ProgID="Equation.DSMT4" ShapeID="_x0000_i2245" DrawAspect="Content" ObjectID="_1791376189" r:id="rId2479"/>
        </w:object>
      </w:r>
      <w:r w:rsidRPr="00005251">
        <w:rPr>
          <w:rFonts w:hint="cs"/>
          <w:i/>
          <w:sz w:val="23"/>
          <w:szCs w:val="23"/>
          <w:rtl/>
        </w:rPr>
        <w:t xml:space="preserve"> است و فرض می</w:t>
      </w:r>
      <w:r w:rsidRPr="00005251">
        <w:rPr>
          <w:i/>
          <w:sz w:val="23"/>
          <w:szCs w:val="23"/>
          <w:rtl/>
        </w:rPr>
        <w:softHyphen/>
      </w:r>
      <w:r w:rsidRPr="00005251">
        <w:rPr>
          <w:rFonts w:hint="cs"/>
          <w:i/>
          <w:sz w:val="23"/>
          <w:szCs w:val="23"/>
          <w:rtl/>
        </w:rPr>
        <w:t xml:space="preserve">شود </w:t>
      </w:r>
      <w:r w:rsidRPr="00005251">
        <w:rPr>
          <w:position w:val="-10"/>
        </w:rPr>
        <w:object w:dxaOrig="999" w:dyaOrig="320" w14:anchorId="6AD4D8E3">
          <v:shape id="_x0000_i2246" type="#_x0000_t75" style="width:49.6pt;height:16.35pt" o:ole="">
            <v:imagedata r:id="rId2480" o:title=""/>
          </v:shape>
          <o:OLEObject Type="Embed" ProgID="Equation.DSMT4" ShapeID="_x0000_i2246" DrawAspect="Content" ObjectID="_1791376190" r:id="rId2481"/>
        </w:object>
      </w:r>
      <w:r w:rsidRPr="00005251">
        <w:rPr>
          <w:rFonts w:hint="cs"/>
          <w:i/>
          <w:sz w:val="23"/>
          <w:szCs w:val="23"/>
          <w:rtl/>
        </w:rPr>
        <w:t xml:space="preserve"> و </w:t>
      </w:r>
      <w:r w:rsidRPr="00005251">
        <w:rPr>
          <w:position w:val="-10"/>
        </w:rPr>
        <w:object w:dxaOrig="1140" w:dyaOrig="320" w14:anchorId="02915C01">
          <v:shape id="_x0000_i2247" type="#_x0000_t75" style="width:57.5pt;height:16.35pt" o:ole="">
            <v:imagedata r:id="rId2482" o:title=""/>
          </v:shape>
          <o:OLEObject Type="Embed" ProgID="Equation.DSMT4" ShapeID="_x0000_i2247" DrawAspect="Content" ObjectID="_1791376191" r:id="rId2483"/>
        </w:object>
      </w:r>
      <w:r w:rsidRPr="00005251">
        <w:rPr>
          <w:rFonts w:eastAsiaTheme="minorEastAsia"/>
          <w:i/>
          <w:sz w:val="23"/>
          <w:szCs w:val="23"/>
        </w:rPr>
        <w:t xml:space="preserve"> </w:t>
      </w:r>
      <w:r w:rsidRPr="00005251">
        <w:rPr>
          <w:rFonts w:hint="cs"/>
          <w:i/>
          <w:sz w:val="23"/>
          <w:szCs w:val="23"/>
          <w:rtl/>
        </w:rPr>
        <w:t>می</w:t>
      </w:r>
      <w:r w:rsidRPr="00005251">
        <w:rPr>
          <w:i/>
          <w:sz w:val="23"/>
          <w:szCs w:val="23"/>
          <w:rtl/>
        </w:rPr>
        <w:softHyphen/>
      </w:r>
      <w:r w:rsidRPr="00005251">
        <w:rPr>
          <w:rFonts w:hint="cs"/>
          <w:i/>
          <w:sz w:val="23"/>
          <w:szCs w:val="23"/>
          <w:rtl/>
        </w:rPr>
        <w:t>باشد. ضمناً‌ اگر</w:t>
      </w:r>
      <w:r w:rsidRPr="00005251">
        <w:rPr>
          <w:position w:val="-10"/>
        </w:rPr>
        <w:object w:dxaOrig="740" w:dyaOrig="320" w14:anchorId="1D833642">
          <v:shape id="_x0000_i2248" type="#_x0000_t75" style="width:36.9pt;height:16.35pt" o:ole="">
            <v:imagedata r:id="rId2484" o:title=""/>
          </v:shape>
          <o:OLEObject Type="Embed" ProgID="Equation.DSMT4" ShapeID="_x0000_i2248" DrawAspect="Content" ObjectID="_1791376192" r:id="rId2485"/>
        </w:object>
      </w:r>
      <w:r w:rsidRPr="00005251">
        <w:rPr>
          <w:rFonts w:hint="cs"/>
          <w:i/>
          <w:sz w:val="23"/>
          <w:szCs w:val="23"/>
          <w:rtl/>
        </w:rPr>
        <w:t xml:space="preserve"> باشد آنگاه دو كالا مكمل، و اگر </w:t>
      </w:r>
      <w:r w:rsidRPr="00005251">
        <w:rPr>
          <w:position w:val="-10"/>
        </w:rPr>
        <w:object w:dxaOrig="740" w:dyaOrig="320" w14:anchorId="4DC535AE">
          <v:shape id="_x0000_i2249" type="#_x0000_t75" style="width:36.9pt;height:16.35pt" o:ole="">
            <v:imagedata r:id="rId2486" o:title=""/>
          </v:shape>
          <o:OLEObject Type="Embed" ProgID="Equation.DSMT4" ShapeID="_x0000_i2249" DrawAspect="Content" ObjectID="_1791376193" r:id="rId2487"/>
        </w:object>
      </w:r>
      <w:r w:rsidRPr="00005251">
        <w:rPr>
          <w:rFonts w:hint="cs"/>
          <w:i/>
          <w:sz w:val="23"/>
          <w:szCs w:val="23"/>
          <w:rtl/>
        </w:rPr>
        <w:t xml:space="preserve"> باشد آن دو کالایِ مصرفی جانشين یکدیگرند.</w:t>
      </w:r>
    </w:p>
    <w:p w14:paraId="440FC4ED" w14:textId="77777777" w:rsidR="00411620" w:rsidRPr="00005251" w:rsidRDefault="00411620" w:rsidP="00411620">
      <w:pPr>
        <w:spacing w:line="216" w:lineRule="auto"/>
        <w:rPr>
          <w:i/>
          <w:sz w:val="23"/>
          <w:szCs w:val="23"/>
          <w:rtl/>
        </w:rPr>
      </w:pPr>
      <w:r w:rsidRPr="00005251">
        <w:rPr>
          <w:rFonts w:hint="cs"/>
          <w:i/>
          <w:sz w:val="23"/>
          <w:szCs w:val="23"/>
          <w:rtl/>
        </w:rPr>
        <w:t>همانند قبل مسئله</w:t>
      </w:r>
      <w:r w:rsidRPr="00005251">
        <w:rPr>
          <w:i/>
          <w:sz w:val="23"/>
          <w:szCs w:val="23"/>
          <w:rtl/>
        </w:rPr>
        <w:softHyphen/>
      </w:r>
      <w:r w:rsidRPr="00005251">
        <w:rPr>
          <w:rFonts w:hint="cs"/>
          <w:i/>
          <w:sz w:val="23"/>
          <w:szCs w:val="23"/>
          <w:rtl/>
        </w:rPr>
        <w:t>ی خانوار حداكثر كردن مطلوبيت تنزیل شده</w:t>
      </w:r>
      <w:r w:rsidRPr="00005251">
        <w:rPr>
          <w:i/>
          <w:sz w:val="23"/>
          <w:szCs w:val="23"/>
          <w:rtl/>
        </w:rPr>
        <w:softHyphen/>
      </w:r>
      <w:r w:rsidRPr="00005251">
        <w:rPr>
          <w:rFonts w:hint="cs"/>
          <w:i/>
          <w:sz w:val="23"/>
          <w:szCs w:val="23"/>
          <w:rtl/>
        </w:rPr>
        <w:t>ی بین دوره</w:t>
      </w:r>
      <w:r w:rsidRPr="00005251">
        <w:rPr>
          <w:i/>
          <w:sz w:val="23"/>
          <w:szCs w:val="23"/>
          <w:rtl/>
        </w:rPr>
        <w:softHyphen/>
      </w:r>
      <w:r w:rsidRPr="00005251">
        <w:rPr>
          <w:rFonts w:hint="cs"/>
          <w:i/>
          <w:sz w:val="23"/>
          <w:szCs w:val="23"/>
          <w:rtl/>
        </w:rPr>
        <w:t>ای</w:t>
      </w:r>
      <w:r w:rsidRPr="00005251">
        <w:rPr>
          <w:i/>
          <w:sz w:val="23"/>
          <w:szCs w:val="23"/>
        </w:rPr>
        <w:t xml:space="preserve"> </w:t>
      </w:r>
      <w:r w:rsidRPr="00005251">
        <w:rPr>
          <w:rFonts w:hint="cs"/>
          <w:i/>
          <w:sz w:val="23"/>
          <w:szCs w:val="23"/>
          <w:rtl/>
        </w:rPr>
        <w:t>نسبت به قيد بودجه</w:t>
      </w:r>
      <w:r w:rsidRPr="00005251">
        <w:rPr>
          <w:i/>
          <w:sz w:val="23"/>
          <w:szCs w:val="23"/>
          <w:rtl/>
        </w:rPr>
        <w:softHyphen/>
      </w:r>
      <w:r w:rsidRPr="00005251">
        <w:rPr>
          <w:rFonts w:hint="cs"/>
          <w:i/>
          <w:sz w:val="23"/>
          <w:szCs w:val="23"/>
          <w:rtl/>
        </w:rPr>
        <w:t>ی (۴. ۲۱)</w:t>
      </w:r>
      <w:r w:rsidRPr="00005251">
        <w:rPr>
          <w:rFonts w:eastAsiaTheme="minorEastAsia"/>
          <w:i/>
          <w:sz w:val="23"/>
          <w:szCs w:val="23"/>
          <w:lang w:val="en-GB"/>
        </w:rPr>
        <w:t xml:space="preserve"> </w:t>
      </w:r>
      <w:r w:rsidRPr="00005251">
        <w:rPr>
          <w:rFonts w:hint="cs"/>
          <w:i/>
          <w:sz w:val="23"/>
          <w:szCs w:val="23"/>
          <w:rtl/>
        </w:rPr>
        <w:t xml:space="preserve"> برحسب متغیرهای </w:t>
      </w:r>
      <w:r w:rsidRPr="00005251">
        <w:rPr>
          <w:position w:val="-10"/>
        </w:rPr>
        <w:object w:dxaOrig="1440" w:dyaOrig="320" w14:anchorId="21A92B6E">
          <v:shape id="_x0000_i2250" type="#_x0000_t75" style="width:1in;height:16.35pt" o:ole="">
            <v:imagedata r:id="rId2488" o:title=""/>
          </v:shape>
          <o:OLEObject Type="Embed" ProgID="Equation.DSMT4" ShapeID="_x0000_i2250" DrawAspect="Content" ObjectID="_1791376194" r:id="rId2489"/>
        </w:object>
      </w:r>
      <w:r w:rsidRPr="00005251">
        <w:rPr>
          <w:rFonts w:hint="cs"/>
          <w:i/>
          <w:sz w:val="23"/>
          <w:szCs w:val="23"/>
          <w:rtl/>
        </w:rPr>
        <w:t xml:space="preserve"> است</w:t>
      </w:r>
      <w:r w:rsidRPr="00005251">
        <w:rPr>
          <w:i/>
          <w:sz w:val="23"/>
          <w:szCs w:val="23"/>
        </w:rPr>
        <w:t>.</w:t>
      </w:r>
      <w:r w:rsidRPr="00005251">
        <w:rPr>
          <w:rFonts w:hint="cs"/>
          <w:i/>
          <w:sz w:val="23"/>
          <w:szCs w:val="23"/>
          <w:rtl/>
        </w:rPr>
        <w:t xml:space="preserve"> یعنی</w:t>
      </w:r>
    </w:p>
    <w:p w14:paraId="2C028427" w14:textId="77777777" w:rsidR="00411620" w:rsidRPr="00005251" w:rsidRDefault="00411620" w:rsidP="00411620">
      <w:pPr>
        <w:bidi w:val="0"/>
        <w:spacing w:line="216" w:lineRule="auto"/>
        <w:jc w:val="left"/>
        <w:rPr>
          <w:i/>
          <w:sz w:val="23"/>
          <w:szCs w:val="23"/>
          <w:rtl/>
        </w:rPr>
      </w:pPr>
      <w:r w:rsidRPr="00005251">
        <w:rPr>
          <w:position w:val="-44"/>
        </w:rPr>
        <w:object w:dxaOrig="5460" w:dyaOrig="999" w14:anchorId="71F3DEEB">
          <v:shape id="_x0000_i2251" type="#_x0000_t75" style="width:273.5pt;height:49.6pt" o:ole="">
            <v:imagedata r:id="rId2490" o:title=""/>
          </v:shape>
          <o:OLEObject Type="Embed" ProgID="Equation.DSMT4" ShapeID="_x0000_i2251" DrawAspect="Content" ObjectID="_1791376195" r:id="rId2491"/>
        </w:object>
      </w:r>
    </w:p>
    <w:p w14:paraId="77948DA7" w14:textId="77777777" w:rsidR="00411620" w:rsidRPr="00005251" w:rsidRDefault="00411620" w:rsidP="00411620">
      <w:pPr>
        <w:spacing w:line="216" w:lineRule="auto"/>
        <w:rPr>
          <w:i/>
          <w:sz w:val="23"/>
          <w:szCs w:val="23"/>
        </w:rPr>
      </w:pPr>
      <w:r w:rsidRPr="00005251">
        <w:rPr>
          <w:rFonts w:hint="cs"/>
          <w:i/>
          <w:sz w:val="23"/>
          <w:szCs w:val="23"/>
          <w:rtl/>
        </w:rPr>
        <w:t>لذا لاگرانژين این مسئله عبارت است از:</w:t>
      </w:r>
    </w:p>
    <w:p w14:paraId="190B366F" w14:textId="77777777" w:rsidR="00411620" w:rsidRPr="00005251" w:rsidRDefault="00411620" w:rsidP="00411620">
      <w:pPr>
        <w:pStyle w:val="MTDisplayEquation"/>
        <w:spacing w:line="216" w:lineRule="auto"/>
        <w:jc w:val="left"/>
        <w:rPr>
          <w:rFonts w:ascii="Times New Roman" w:eastAsiaTheme="minorEastAsia" w:hAnsi="Times New Roman" w:cs="B Nazanin"/>
          <w:i/>
          <w:sz w:val="23"/>
          <w:szCs w:val="23"/>
        </w:rPr>
      </w:pPr>
      <w:r w:rsidRPr="00005251">
        <w:rPr>
          <w:position w:val="-34"/>
        </w:rPr>
        <w:object w:dxaOrig="6820" w:dyaOrig="780" w14:anchorId="33BBD3E9">
          <v:shape id="_x0000_i2252" type="#_x0000_t75" style="width:341.25pt;height:39.35pt" o:ole="">
            <v:imagedata r:id="rId2492" o:title=""/>
          </v:shape>
          <o:OLEObject Type="Embed" ProgID="Equation.DSMT4" ShapeID="_x0000_i2252" DrawAspect="Content" ObjectID="_1791376196" r:id="rId2493"/>
        </w:object>
      </w:r>
    </w:p>
    <w:p w14:paraId="5E33F00D" w14:textId="77777777" w:rsidR="00411620" w:rsidRPr="00005251" w:rsidRDefault="00411620" w:rsidP="00411620">
      <w:pPr>
        <w:spacing w:line="216" w:lineRule="auto"/>
        <w:rPr>
          <w:i/>
          <w:sz w:val="23"/>
          <w:szCs w:val="23"/>
        </w:rPr>
      </w:pPr>
      <w:r w:rsidRPr="00005251">
        <w:rPr>
          <w:rFonts w:hint="cs"/>
          <w:i/>
          <w:sz w:val="23"/>
          <w:szCs w:val="23"/>
          <w:rtl/>
        </w:rPr>
        <w:t>شرايط مرتبه اول</w:t>
      </w:r>
      <w:r w:rsidRPr="00005251">
        <w:rPr>
          <w:i/>
          <w:sz w:val="23"/>
          <w:szCs w:val="23"/>
        </w:rPr>
        <w:t xml:space="preserve"> </w:t>
      </w:r>
      <w:r w:rsidRPr="00005251">
        <w:rPr>
          <w:rFonts w:hint="cs"/>
          <w:i/>
          <w:sz w:val="23"/>
          <w:szCs w:val="23"/>
          <w:rtl/>
        </w:rPr>
        <w:t>عبارتند از:</w:t>
      </w:r>
    </w:p>
    <w:p w14:paraId="098D179D"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lang w:val="en-GB"/>
        </w:rPr>
      </w:pPr>
      <w:r w:rsidRPr="00005251">
        <w:rPr>
          <w:position w:val="-28"/>
        </w:rPr>
        <w:object w:dxaOrig="3400" w:dyaOrig="620" w14:anchorId="47BD52E8">
          <v:shape id="_x0000_i2253" type="#_x0000_t75" style="width:170pt;height:30.85pt" o:ole="">
            <v:imagedata r:id="rId2494" o:title=""/>
          </v:shape>
          <o:OLEObject Type="Embed" ProgID="Equation.DSMT4" ShapeID="_x0000_i2253" DrawAspect="Content" ObjectID="_1791376197" r:id="rId2495"/>
        </w:object>
      </w:r>
    </w:p>
    <w:p w14:paraId="04CFA34D"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vertAlign w:val="subscript"/>
        </w:rPr>
      </w:pPr>
      <w:r w:rsidRPr="00005251">
        <w:rPr>
          <w:position w:val="-28"/>
        </w:rPr>
        <w:object w:dxaOrig="5539" w:dyaOrig="620" w14:anchorId="45227023">
          <v:shape id="_x0000_i2254" type="#_x0000_t75" style="width:277.1pt;height:30.85pt" o:ole="">
            <v:imagedata r:id="rId2496" o:title=""/>
          </v:shape>
          <o:OLEObject Type="Embed" ProgID="Equation.DSMT4" ShapeID="_x0000_i2254" DrawAspect="Content" ObjectID="_1791376198" r:id="rId2497"/>
        </w:object>
      </w:r>
    </w:p>
    <w:p w14:paraId="2CB87C78"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vertAlign w:val="subscript"/>
        </w:rPr>
      </w:pPr>
      <w:r w:rsidRPr="00005251">
        <w:rPr>
          <w:position w:val="-28"/>
        </w:rPr>
        <w:object w:dxaOrig="3960" w:dyaOrig="620" w14:anchorId="5534D118">
          <v:shape id="_x0000_i2255" type="#_x0000_t75" style="width:198.45pt;height:30.85pt" o:ole="">
            <v:imagedata r:id="rId2498" o:title=""/>
          </v:shape>
          <o:OLEObject Type="Embed" ProgID="Equation.DSMT4" ShapeID="_x0000_i2255" DrawAspect="Content" ObjectID="_1791376199" r:id="rId2499"/>
        </w:object>
      </w:r>
    </w:p>
    <w:p w14:paraId="3C8BC39D" w14:textId="77777777" w:rsidR="00411620" w:rsidRPr="00005251" w:rsidRDefault="00411620" w:rsidP="00411620">
      <w:pPr>
        <w:spacing w:line="216" w:lineRule="auto"/>
        <w:rPr>
          <w:i/>
          <w:sz w:val="23"/>
          <w:szCs w:val="23"/>
          <w:rtl/>
        </w:rPr>
      </w:pPr>
      <w:r w:rsidRPr="00005251">
        <w:rPr>
          <w:rFonts w:hint="cs"/>
          <w:i/>
          <w:sz w:val="23"/>
          <w:szCs w:val="23"/>
          <w:rtl/>
        </w:rPr>
        <w:lastRenderedPageBreak/>
        <w:t>اگر معادله</w:t>
      </w:r>
      <w:r w:rsidRPr="00005251">
        <w:rPr>
          <w:i/>
          <w:sz w:val="23"/>
          <w:szCs w:val="23"/>
          <w:rtl/>
        </w:rPr>
        <w:softHyphen/>
      </w:r>
      <w:r w:rsidRPr="00005251">
        <w:rPr>
          <w:rFonts w:hint="cs"/>
          <w:i/>
          <w:sz w:val="23"/>
          <w:szCs w:val="23"/>
          <w:rtl/>
        </w:rPr>
        <w:t>ی اول از شرایط فوق را برای</w:t>
      </w:r>
      <w:r w:rsidRPr="00005251">
        <w:rPr>
          <w:position w:val="-8"/>
        </w:rPr>
        <w:object w:dxaOrig="660" w:dyaOrig="279" w14:anchorId="66467283">
          <v:shape id="_x0000_i2256" type="#_x0000_t75" style="width:33.3pt;height:13.9pt" o:ole="">
            <v:imagedata r:id="rId2500" o:title=""/>
          </v:shape>
          <o:OLEObject Type="Embed" ProgID="Equation.DSMT4" ShapeID="_x0000_i2256" DrawAspect="Content" ObjectID="_1791376200" r:id="rId2501"/>
        </w:object>
      </w:r>
      <w:r w:rsidRPr="00005251">
        <w:rPr>
          <w:rFonts w:eastAsiaTheme="minorEastAsia" w:hint="cs"/>
          <w:i/>
          <w:sz w:val="23"/>
          <w:szCs w:val="23"/>
          <w:rtl/>
        </w:rPr>
        <w:t xml:space="preserve"> حل کنیم و در رابطه</w:t>
      </w:r>
      <w:r w:rsidRPr="00005251">
        <w:rPr>
          <w:rFonts w:eastAsiaTheme="minorEastAsia"/>
          <w:i/>
          <w:sz w:val="23"/>
          <w:szCs w:val="23"/>
          <w:rtl/>
        </w:rPr>
        <w:softHyphen/>
      </w:r>
      <w:r w:rsidRPr="00005251">
        <w:rPr>
          <w:rFonts w:eastAsiaTheme="minorEastAsia" w:hint="cs"/>
          <w:i/>
          <w:sz w:val="23"/>
          <w:szCs w:val="23"/>
          <w:rtl/>
        </w:rPr>
        <w:t>ی سوم جایگزین کنیم، معادله</w:t>
      </w:r>
      <w:r w:rsidRPr="00005251">
        <w:rPr>
          <w:rFonts w:eastAsiaTheme="minorEastAsia"/>
          <w:i/>
          <w:sz w:val="23"/>
          <w:szCs w:val="23"/>
          <w:rtl/>
        </w:rPr>
        <w:softHyphen/>
      </w:r>
      <w:r w:rsidRPr="00005251">
        <w:rPr>
          <w:rFonts w:eastAsiaTheme="minorEastAsia" w:hint="cs"/>
          <w:i/>
          <w:sz w:val="23"/>
          <w:szCs w:val="23"/>
          <w:rtl/>
        </w:rPr>
        <w:t>ی</w:t>
      </w:r>
      <w:r w:rsidRPr="00005251">
        <w:rPr>
          <w:rFonts w:hint="cs"/>
          <w:i/>
          <w:sz w:val="23"/>
          <w:szCs w:val="23"/>
          <w:rtl/>
        </w:rPr>
        <w:t xml:space="preserve"> اویلر را برحسب كالاي بي</w:t>
      </w:r>
      <w:r w:rsidRPr="00005251">
        <w:rPr>
          <w:i/>
          <w:sz w:val="23"/>
          <w:szCs w:val="23"/>
          <w:rtl/>
        </w:rPr>
        <w:softHyphen/>
      </w:r>
      <w:r w:rsidRPr="00005251">
        <w:rPr>
          <w:rFonts w:hint="cs"/>
          <w:i/>
          <w:sz w:val="23"/>
          <w:szCs w:val="23"/>
          <w:rtl/>
        </w:rPr>
        <w:t>دوام مصرفی بدست خواهیم آورد که برابر است با</w:t>
      </w:r>
    </w:p>
    <w:p w14:paraId="58DC2477" w14:textId="77777777" w:rsidR="00411620" w:rsidRPr="00005251" w:rsidRDefault="00411620" w:rsidP="00411620">
      <w:pPr>
        <w:pStyle w:val="MTDisplayEquation"/>
        <w:spacing w:line="216" w:lineRule="auto"/>
        <w:rPr>
          <w:rFonts w:ascii="Times New Roman" w:hAnsi="Times New Roman" w:cs="B Nazanin"/>
          <w:i/>
          <w:sz w:val="23"/>
          <w:szCs w:val="23"/>
          <w:rtl/>
        </w:rPr>
      </w:pPr>
      <w:r w:rsidRPr="00005251">
        <w:rPr>
          <w:position w:val="-30"/>
        </w:rPr>
        <w:object w:dxaOrig="3140" w:dyaOrig="680" w14:anchorId="37A401E7">
          <v:shape id="_x0000_i2257" type="#_x0000_t75" style="width:156.1pt;height:33.9pt" o:ole="">
            <v:imagedata r:id="rId2502" o:title=""/>
          </v:shape>
          <o:OLEObject Type="Embed" ProgID="Equation.DSMT4" ShapeID="_x0000_i2257" DrawAspect="Content" ObjectID="_1791376201" r:id="rId2503"/>
        </w:object>
      </w:r>
    </w:p>
    <w:p w14:paraId="106FDF8C" w14:textId="77777777" w:rsidR="00411620" w:rsidRPr="00005251" w:rsidRDefault="00411620" w:rsidP="00411620">
      <w:pPr>
        <w:spacing w:line="216" w:lineRule="auto"/>
        <w:rPr>
          <w:rFonts w:eastAsiaTheme="minorEastAsia"/>
          <w:i/>
          <w:sz w:val="23"/>
          <w:szCs w:val="23"/>
        </w:rPr>
      </w:pPr>
      <w:r w:rsidRPr="00005251">
        <w:rPr>
          <w:rFonts w:hint="cs"/>
          <w:i/>
          <w:sz w:val="23"/>
          <w:szCs w:val="23"/>
          <w:rtl/>
        </w:rPr>
        <w:t>از دومين رابطه</w:t>
      </w:r>
      <w:r w:rsidRPr="00005251">
        <w:rPr>
          <w:i/>
          <w:sz w:val="23"/>
          <w:szCs w:val="23"/>
          <w:rtl/>
        </w:rPr>
        <w:softHyphen/>
      </w:r>
      <w:r w:rsidRPr="00005251">
        <w:rPr>
          <w:rFonts w:hint="cs"/>
          <w:i/>
          <w:sz w:val="23"/>
          <w:szCs w:val="23"/>
          <w:rtl/>
        </w:rPr>
        <w:t xml:space="preserve"> از شرایط مرتبه</w:t>
      </w:r>
      <w:r w:rsidRPr="00005251">
        <w:rPr>
          <w:i/>
          <w:sz w:val="23"/>
          <w:szCs w:val="23"/>
          <w:rtl/>
        </w:rPr>
        <w:softHyphen/>
      </w:r>
      <w:r w:rsidRPr="00005251">
        <w:rPr>
          <w:rFonts w:hint="cs"/>
          <w:i/>
          <w:sz w:val="23"/>
          <w:szCs w:val="23"/>
          <w:rtl/>
        </w:rPr>
        <w:t xml:space="preserve">ی اول فوق و براي </w:t>
      </w:r>
      <w:r w:rsidRPr="00005251">
        <w:rPr>
          <w:position w:val="-6"/>
        </w:rPr>
        <w:object w:dxaOrig="480" w:dyaOrig="260" w14:anchorId="29E9CD7E">
          <v:shape id="_x0000_i2258" type="#_x0000_t75" style="width:24.2pt;height:12.7pt" o:ole="">
            <v:imagedata r:id="rId2504" o:title=""/>
          </v:shape>
          <o:OLEObject Type="Embed" ProgID="Equation.DSMT4" ShapeID="_x0000_i2258" DrawAspect="Content" ObjectID="_1791376202" r:id="rId2505"/>
        </w:object>
      </w:r>
      <w:r w:rsidRPr="00005251">
        <w:rPr>
          <w:rFonts w:eastAsiaTheme="minorEastAsia" w:hint="cs"/>
          <w:i/>
          <w:sz w:val="23"/>
          <w:szCs w:val="23"/>
          <w:rtl/>
        </w:rPr>
        <w:t xml:space="preserve"> </w:t>
      </w:r>
      <w:r w:rsidRPr="00005251">
        <w:rPr>
          <w:rFonts w:hint="cs"/>
          <w:i/>
          <w:sz w:val="23"/>
          <w:szCs w:val="23"/>
          <w:rtl/>
        </w:rPr>
        <w:t xml:space="preserve">داريم </w:t>
      </w:r>
      <w:r w:rsidRPr="00005251">
        <w:rPr>
          <w:position w:val="-12"/>
        </w:rPr>
        <w:object w:dxaOrig="2740" w:dyaOrig="360" w14:anchorId="097D14B2">
          <v:shape id="_x0000_i2259" type="#_x0000_t75" style="width:137.35pt;height:18.15pt" o:ole="">
            <v:imagedata r:id="rId2506" o:title=""/>
          </v:shape>
          <o:OLEObject Type="Embed" ProgID="Equation.DSMT4" ShapeID="_x0000_i2259" DrawAspect="Content" ObjectID="_1791376203" r:id="rId2507"/>
        </w:object>
      </w:r>
      <w:r w:rsidRPr="00005251">
        <w:rPr>
          <w:rFonts w:eastAsiaTheme="minorEastAsia" w:hint="cs"/>
          <w:i/>
          <w:sz w:val="23"/>
          <w:szCs w:val="23"/>
          <w:rtl/>
        </w:rPr>
        <w:t xml:space="preserve">. </w:t>
      </w:r>
      <w:r w:rsidRPr="00005251">
        <w:rPr>
          <w:rFonts w:hint="cs"/>
          <w:i/>
          <w:sz w:val="23"/>
          <w:szCs w:val="23"/>
          <w:rtl/>
        </w:rPr>
        <w:t>از سومین رابطه</w:t>
      </w:r>
      <w:r w:rsidRPr="00005251">
        <w:rPr>
          <w:i/>
          <w:sz w:val="23"/>
          <w:szCs w:val="23"/>
          <w:rtl/>
        </w:rPr>
        <w:softHyphen/>
      </w:r>
      <w:r w:rsidRPr="00005251">
        <w:rPr>
          <w:i/>
          <w:sz w:val="23"/>
          <w:szCs w:val="23"/>
        </w:rPr>
        <w:t xml:space="preserve"> </w:t>
      </w:r>
      <w:r w:rsidRPr="00005251">
        <w:rPr>
          <w:rFonts w:hint="cs"/>
          <w:i/>
          <w:sz w:val="23"/>
          <w:szCs w:val="23"/>
          <w:rtl/>
        </w:rPr>
        <w:t>از شرایط مرتبه</w:t>
      </w:r>
      <w:r w:rsidRPr="00005251">
        <w:rPr>
          <w:i/>
          <w:sz w:val="23"/>
          <w:szCs w:val="23"/>
          <w:rtl/>
        </w:rPr>
        <w:softHyphen/>
      </w:r>
      <w:r w:rsidRPr="00005251">
        <w:rPr>
          <w:rFonts w:hint="cs"/>
          <w:i/>
          <w:sz w:val="23"/>
          <w:szCs w:val="23"/>
          <w:rtl/>
        </w:rPr>
        <w:t xml:space="preserve">ی اول براي </w:t>
      </w:r>
      <w:r w:rsidRPr="00005251">
        <w:rPr>
          <w:position w:val="-6"/>
        </w:rPr>
        <w:object w:dxaOrig="480" w:dyaOrig="260" w14:anchorId="1E8FB3CD">
          <v:shape id="_x0000_i2260" type="#_x0000_t75" style="width:24.2pt;height:12.7pt" o:ole="">
            <v:imagedata r:id="rId2508" o:title=""/>
          </v:shape>
          <o:OLEObject Type="Embed" ProgID="Equation.DSMT4" ShapeID="_x0000_i2260" DrawAspect="Content" ObjectID="_1791376204" r:id="rId2509"/>
        </w:object>
      </w:r>
      <w:r w:rsidRPr="00005251">
        <w:rPr>
          <w:rFonts w:eastAsiaTheme="minorEastAsia" w:hint="cs"/>
          <w:i/>
          <w:sz w:val="23"/>
          <w:szCs w:val="23"/>
          <w:rtl/>
        </w:rPr>
        <w:t xml:space="preserve"> </w:t>
      </w:r>
      <w:r w:rsidRPr="00005251">
        <w:rPr>
          <w:rFonts w:hint="cs"/>
          <w:i/>
          <w:sz w:val="23"/>
          <w:szCs w:val="23"/>
          <w:rtl/>
        </w:rPr>
        <w:t xml:space="preserve">داريم </w:t>
      </w:r>
      <w:r w:rsidRPr="00005251">
        <w:rPr>
          <w:position w:val="-12"/>
        </w:rPr>
        <w:object w:dxaOrig="1520" w:dyaOrig="360" w14:anchorId="09F18FB9">
          <v:shape id="_x0000_i2261" type="#_x0000_t75" style="width:76.25pt;height:18.15pt" o:ole="">
            <v:imagedata r:id="rId2510" o:title=""/>
          </v:shape>
          <o:OLEObject Type="Embed" ProgID="Equation.DSMT4" ShapeID="_x0000_i2261" DrawAspect="Content" ObjectID="_1791376205" r:id="rId2511"/>
        </w:object>
      </w:r>
      <w:r w:rsidRPr="00005251">
        <w:rPr>
          <w:rFonts w:eastAsiaTheme="minorEastAsia" w:hint="cs"/>
          <w:i/>
          <w:sz w:val="23"/>
          <w:szCs w:val="23"/>
          <w:rtl/>
        </w:rPr>
        <w:t xml:space="preserve"> و </w:t>
      </w:r>
      <w:r w:rsidRPr="00005251">
        <w:rPr>
          <w:rFonts w:hint="cs"/>
          <w:i/>
          <w:sz w:val="23"/>
          <w:szCs w:val="23"/>
          <w:rtl/>
        </w:rPr>
        <w:t>از اولین رابطه</w:t>
      </w:r>
      <w:r w:rsidRPr="00005251">
        <w:rPr>
          <w:i/>
          <w:sz w:val="23"/>
          <w:szCs w:val="23"/>
          <w:rtl/>
        </w:rPr>
        <w:softHyphen/>
      </w:r>
      <w:r w:rsidRPr="00005251">
        <w:rPr>
          <w:rFonts w:hint="cs"/>
          <w:i/>
          <w:sz w:val="23"/>
          <w:szCs w:val="23"/>
          <w:rtl/>
        </w:rPr>
        <w:t xml:space="preserve"> از شرایط مرتبه</w:t>
      </w:r>
      <w:r w:rsidRPr="00005251">
        <w:rPr>
          <w:i/>
          <w:sz w:val="23"/>
          <w:szCs w:val="23"/>
          <w:rtl/>
        </w:rPr>
        <w:softHyphen/>
      </w:r>
      <w:r w:rsidRPr="00005251">
        <w:rPr>
          <w:rFonts w:hint="cs"/>
          <w:i/>
          <w:sz w:val="23"/>
          <w:szCs w:val="23"/>
          <w:rtl/>
        </w:rPr>
        <w:t xml:space="preserve">ی اول براي </w:t>
      </w:r>
      <w:r w:rsidRPr="00005251">
        <w:rPr>
          <w:position w:val="-6"/>
        </w:rPr>
        <w:object w:dxaOrig="480" w:dyaOrig="260" w14:anchorId="1323744B">
          <v:shape id="_x0000_i2262" type="#_x0000_t75" style="width:24.2pt;height:12.7pt" o:ole="">
            <v:imagedata r:id="rId2512" o:title=""/>
          </v:shape>
          <o:OLEObject Type="Embed" ProgID="Equation.DSMT4" ShapeID="_x0000_i2262" DrawAspect="Content" ObjectID="_1791376206" r:id="rId2513"/>
        </w:object>
      </w:r>
      <w:r w:rsidRPr="00005251">
        <w:rPr>
          <w:rFonts w:eastAsiaTheme="minorEastAsia" w:hint="cs"/>
          <w:i/>
          <w:sz w:val="23"/>
          <w:szCs w:val="23"/>
          <w:rtl/>
        </w:rPr>
        <w:t xml:space="preserve"> نیز داشتیم</w:t>
      </w:r>
      <w:r w:rsidRPr="00005251">
        <w:rPr>
          <w:position w:val="-12"/>
        </w:rPr>
        <w:object w:dxaOrig="1180" w:dyaOrig="340" w14:anchorId="52310AAE">
          <v:shape id="_x0000_i2263" type="#_x0000_t75" style="width:59.3pt;height:16.95pt" o:ole="">
            <v:imagedata r:id="rId2514" o:title=""/>
          </v:shape>
          <o:OLEObject Type="Embed" ProgID="Equation.DSMT4" ShapeID="_x0000_i2263" DrawAspect="Content" ObjectID="_1791376207" r:id="rId2515"/>
        </w:object>
      </w:r>
      <w:r w:rsidRPr="00005251">
        <w:rPr>
          <w:rFonts w:eastAsiaTheme="minorEastAsia" w:hint="cs"/>
          <w:i/>
          <w:sz w:val="23"/>
          <w:szCs w:val="23"/>
          <w:rtl/>
        </w:rPr>
        <w:t xml:space="preserve"> لذا</w:t>
      </w:r>
    </w:p>
    <w:p w14:paraId="2EDFAA12" w14:textId="77777777" w:rsidR="00411620" w:rsidRPr="00005251" w:rsidRDefault="00411620" w:rsidP="00411620">
      <w:pPr>
        <w:pStyle w:val="MTDisplayEquation"/>
        <w:tabs>
          <w:tab w:val="clear" w:pos="6660"/>
          <w:tab w:val="right" w:pos="7110"/>
        </w:tabs>
        <w:spacing w:line="216" w:lineRule="auto"/>
        <w:rPr>
          <w:rFonts w:ascii="Times New Roman" w:eastAsiaTheme="minorEastAsia" w:hAnsi="Times New Roman" w:cs="B Nazanin"/>
          <w:i/>
          <w:sz w:val="23"/>
          <w:szCs w:val="23"/>
          <w:rtl/>
        </w:rPr>
      </w:pPr>
      <w:r w:rsidRPr="00005251">
        <w:rPr>
          <w:position w:val="-12"/>
        </w:rPr>
        <w:object w:dxaOrig="4440" w:dyaOrig="360" w14:anchorId="3E73A035">
          <v:shape id="_x0000_i2264" type="#_x0000_t75" style="width:222.05pt;height:18.15pt" o:ole="">
            <v:imagedata r:id="rId2516" o:title=""/>
          </v:shape>
          <o:OLEObject Type="Embed" ProgID="Equation.DSMT4" ShapeID="_x0000_i2264" DrawAspect="Content" ObjectID="_1791376208" r:id="rId2517"/>
        </w:object>
      </w:r>
      <w:r>
        <w:rPr>
          <w:rtl/>
        </w:rPr>
        <w:tab/>
      </w:r>
    </w:p>
    <w:p w14:paraId="558C2E75" w14:textId="77777777" w:rsidR="00411620" w:rsidRPr="00005251" w:rsidRDefault="00411620" w:rsidP="00411620">
      <w:pPr>
        <w:bidi w:val="0"/>
        <w:spacing w:line="216" w:lineRule="auto"/>
        <w:rPr>
          <w:rFonts w:eastAsiaTheme="minorEastAsia"/>
          <w:i/>
          <w:sz w:val="23"/>
          <w:szCs w:val="23"/>
          <w:rtl/>
        </w:rPr>
      </w:pPr>
      <w:r w:rsidRPr="00005251">
        <w:rPr>
          <w:position w:val="-12"/>
        </w:rPr>
        <w:object w:dxaOrig="3019" w:dyaOrig="360" w14:anchorId="74D5F9C7">
          <v:shape id="_x0000_i2265" type="#_x0000_t75" style="width:151.25pt;height:18.15pt" o:ole="">
            <v:imagedata r:id="rId2518" o:title=""/>
          </v:shape>
          <o:OLEObject Type="Embed" ProgID="Equation.DSMT4" ShapeID="_x0000_i2265" DrawAspect="Content" ObjectID="_1791376209" r:id="rId2519"/>
        </w:object>
      </w:r>
      <w:r w:rsidRPr="00005251">
        <w:rPr>
          <w:rFonts w:eastAsiaTheme="minorEastAsia"/>
          <w:i/>
          <w:sz w:val="23"/>
          <w:szCs w:val="23"/>
        </w:rPr>
        <w:t xml:space="preserve"> </w:t>
      </w:r>
      <w:r w:rsidRPr="00005251">
        <w:rPr>
          <w:i/>
          <w:sz w:val="23"/>
          <w:szCs w:val="23"/>
        </w:rPr>
        <w:tab/>
      </w:r>
      <w:r w:rsidRPr="00005251">
        <w:rPr>
          <w:i/>
          <w:sz w:val="23"/>
          <w:szCs w:val="23"/>
        </w:rPr>
        <w:tab/>
      </w:r>
      <w:r w:rsidRPr="00005251">
        <w:rPr>
          <w:i/>
          <w:sz w:val="23"/>
          <w:szCs w:val="23"/>
        </w:rPr>
        <w:tab/>
      </w:r>
      <w:r w:rsidRPr="00005251">
        <w:rPr>
          <w:i/>
          <w:sz w:val="23"/>
          <w:szCs w:val="23"/>
        </w:rPr>
        <w:tab/>
      </w:r>
      <w:r w:rsidRPr="00005251">
        <w:rPr>
          <w:i/>
          <w:sz w:val="23"/>
          <w:szCs w:val="23"/>
          <w:rtl/>
        </w:rPr>
        <w:tab/>
      </w:r>
      <w:r w:rsidRPr="00005251">
        <w:rPr>
          <w:i/>
          <w:sz w:val="23"/>
          <w:szCs w:val="23"/>
        </w:rPr>
        <w:tab/>
      </w:r>
      <w:r w:rsidRPr="00005251">
        <w:rPr>
          <w:i/>
          <w:sz w:val="23"/>
          <w:szCs w:val="23"/>
        </w:rPr>
        <w:tab/>
      </w:r>
      <w:r>
        <w:rPr>
          <w:i/>
          <w:sz w:val="23"/>
          <w:szCs w:val="23"/>
          <w:rtl/>
        </w:rPr>
        <w:tab/>
      </w:r>
      <w:r w:rsidRPr="00005251">
        <w:rPr>
          <w:i/>
          <w:sz w:val="23"/>
          <w:szCs w:val="23"/>
        </w:rPr>
        <w:tab/>
      </w:r>
      <w:r w:rsidRPr="00005251">
        <w:rPr>
          <w:i/>
          <w:sz w:val="23"/>
          <w:szCs w:val="23"/>
        </w:rPr>
        <w:tab/>
      </w:r>
      <w:r w:rsidRPr="00005251">
        <w:rPr>
          <w:i/>
          <w:sz w:val="23"/>
          <w:szCs w:val="23"/>
        </w:rPr>
        <w:tab/>
      </w:r>
      <w:r w:rsidRPr="00005251">
        <w:rPr>
          <w:rFonts w:hint="cs"/>
          <w:i/>
          <w:sz w:val="23"/>
          <w:szCs w:val="23"/>
          <w:rtl/>
        </w:rPr>
        <w:t>(۴. ۲۲)</w:t>
      </w:r>
    </w:p>
    <w:p w14:paraId="7DDF2800" w14:textId="77777777" w:rsidR="00411620" w:rsidRPr="00005251" w:rsidRDefault="00411620" w:rsidP="00411620">
      <w:pPr>
        <w:spacing w:line="216" w:lineRule="auto"/>
        <w:rPr>
          <w:bCs/>
          <w:i/>
          <w:sz w:val="23"/>
          <w:szCs w:val="23"/>
        </w:rPr>
      </w:pPr>
    </w:p>
    <w:p w14:paraId="750E7E9C" w14:textId="77777777" w:rsidR="00411620" w:rsidRPr="00005251" w:rsidRDefault="00411620" w:rsidP="00411620">
      <w:pPr>
        <w:spacing w:line="216" w:lineRule="auto"/>
        <w:rPr>
          <w:bCs/>
          <w:i/>
          <w:sz w:val="23"/>
          <w:szCs w:val="23"/>
          <w:rtl/>
        </w:rPr>
      </w:pPr>
      <w:r w:rsidRPr="00005251">
        <w:rPr>
          <w:rFonts w:hint="cs"/>
          <w:bCs/>
          <w:i/>
          <w:sz w:val="23"/>
          <w:szCs w:val="23"/>
          <w:rtl/>
        </w:rPr>
        <w:t>مثال:</w:t>
      </w:r>
    </w:p>
    <w:p w14:paraId="481C1531" w14:textId="77777777" w:rsidR="00411620" w:rsidRPr="00005251" w:rsidRDefault="00411620" w:rsidP="00411620">
      <w:pPr>
        <w:spacing w:line="216" w:lineRule="auto"/>
        <w:rPr>
          <w:i/>
          <w:sz w:val="23"/>
          <w:szCs w:val="23"/>
        </w:rPr>
      </w:pPr>
      <w:r w:rsidRPr="00005251">
        <w:rPr>
          <w:rFonts w:hint="cs"/>
          <w:i/>
          <w:sz w:val="23"/>
          <w:szCs w:val="23"/>
          <w:rtl/>
        </w:rPr>
        <w:t>اگر تابع مطلوبيت از نوع توابع كاب- داگلاس</w:t>
      </w:r>
      <w:r w:rsidRPr="00005251">
        <w:rPr>
          <w:i/>
          <w:sz w:val="23"/>
          <w:szCs w:val="23"/>
        </w:rPr>
        <w:t xml:space="preserve"> </w:t>
      </w:r>
      <w:r w:rsidRPr="00005251">
        <w:rPr>
          <w:position w:val="-10"/>
        </w:rPr>
        <w:object w:dxaOrig="1939" w:dyaOrig="340" w14:anchorId="4FDC300B">
          <v:shape id="_x0000_i2266" type="#_x0000_t75" style="width:96.8pt;height:16.95pt" o:ole="">
            <v:imagedata r:id="rId2520" o:title=""/>
          </v:shape>
          <o:OLEObject Type="Embed" ProgID="Equation.DSMT4" ShapeID="_x0000_i2266" DrawAspect="Content" ObjectID="_1791376210" r:id="rId2521"/>
        </w:object>
      </w:r>
      <w:r w:rsidRPr="00005251">
        <w:rPr>
          <w:rFonts w:hint="cs"/>
          <w:i/>
          <w:sz w:val="23"/>
          <w:szCs w:val="23"/>
          <w:rtl/>
        </w:rPr>
        <w:t xml:space="preserve"> </w:t>
      </w:r>
      <w:r w:rsidRPr="00005251">
        <w:rPr>
          <w:i/>
          <w:sz w:val="23"/>
          <w:szCs w:val="23"/>
          <w:rtl/>
        </w:rPr>
        <w:softHyphen/>
      </w:r>
      <w:r w:rsidRPr="00005251">
        <w:rPr>
          <w:rFonts w:hint="cs"/>
          <w:i/>
          <w:sz w:val="23"/>
          <w:szCs w:val="23"/>
          <w:rtl/>
        </w:rPr>
        <w:t>باشد آنگاه</w:t>
      </w:r>
    </w:p>
    <w:p w14:paraId="7865CFA4"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30"/>
        </w:rPr>
        <w:object w:dxaOrig="6080" w:dyaOrig="760" w14:anchorId="4D2BED70">
          <v:shape id="_x0000_i2267" type="#_x0000_t75" style="width:303.75pt;height:38.1pt" o:ole="">
            <v:imagedata r:id="rId2522" o:title=""/>
          </v:shape>
          <o:OLEObject Type="Embed" ProgID="Equation.DSMT4" ShapeID="_x0000_i2267" DrawAspect="Content" ObjectID="_1791376211" r:id="rId2523"/>
        </w:object>
      </w:r>
    </w:p>
    <w:p w14:paraId="74DBB46C" w14:textId="77777777" w:rsidR="00411620" w:rsidRPr="00005251" w:rsidRDefault="00411620" w:rsidP="00411620">
      <w:pPr>
        <w:spacing w:line="216" w:lineRule="auto"/>
        <w:rPr>
          <w:i/>
          <w:sz w:val="23"/>
          <w:szCs w:val="23"/>
        </w:rPr>
      </w:pPr>
      <w:r w:rsidRPr="00005251">
        <w:rPr>
          <w:rFonts w:hint="cs"/>
          <w:i/>
          <w:sz w:val="23"/>
          <w:szCs w:val="23"/>
          <w:rtl/>
        </w:rPr>
        <w:t xml:space="preserve"> و معادله</w:t>
      </w:r>
      <w:r w:rsidRPr="00005251">
        <w:rPr>
          <w:i/>
          <w:sz w:val="23"/>
          <w:szCs w:val="23"/>
          <w:rtl/>
        </w:rPr>
        <w:softHyphen/>
      </w:r>
      <w:r w:rsidRPr="00005251">
        <w:rPr>
          <w:rFonts w:hint="cs"/>
          <w:i/>
          <w:sz w:val="23"/>
          <w:szCs w:val="23"/>
          <w:rtl/>
        </w:rPr>
        <w:t>ی اویلر برابر خواهد بود با:</w:t>
      </w:r>
    </w:p>
    <w:p w14:paraId="2BA5782A"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66"/>
        </w:rPr>
        <w:object w:dxaOrig="6220" w:dyaOrig="1420" w14:anchorId="2940BA8E">
          <v:shape id="_x0000_i2268" type="#_x0000_t75" style="width:311pt;height:71.4pt" o:ole="">
            <v:imagedata r:id="rId2524" o:title=""/>
          </v:shape>
          <o:OLEObject Type="Embed" ProgID="Equation.DSMT4" ShapeID="_x0000_i2268" DrawAspect="Content" ObjectID="_1791376212" r:id="rId2525"/>
        </w:object>
      </w:r>
    </w:p>
    <w:p w14:paraId="05FFB083" w14:textId="77777777" w:rsidR="00411620" w:rsidRPr="00005251" w:rsidRDefault="00411620" w:rsidP="00411620">
      <w:pPr>
        <w:spacing w:line="216" w:lineRule="auto"/>
        <w:rPr>
          <w:i/>
          <w:sz w:val="23"/>
          <w:szCs w:val="23"/>
          <w:rtl/>
        </w:rPr>
      </w:pPr>
      <w:r w:rsidRPr="00005251">
        <w:rPr>
          <w:position w:val="-6"/>
        </w:rPr>
        <w:object w:dxaOrig="100" w:dyaOrig="100" w14:anchorId="33419D66">
          <v:shape id="_x0000_i2269" type="#_x0000_t75" style="width:4.85pt;height:4.85pt" o:ole="">
            <v:imagedata r:id="rId2526" o:title=""/>
          </v:shape>
          <o:OLEObject Type="Embed" ProgID="Equation.DSMT4" ShapeID="_x0000_i2269" DrawAspect="Content" ObjectID="_1791376213" r:id="rId2527"/>
        </w:object>
      </w:r>
      <w:r w:rsidRPr="00005251">
        <w:rPr>
          <w:rFonts w:eastAsiaTheme="minorEastAsia"/>
          <w:i/>
          <w:sz w:val="23"/>
          <w:szCs w:val="23"/>
        </w:rPr>
        <w:t xml:space="preserve"> </w:t>
      </w:r>
      <w:r w:rsidRPr="00005251">
        <w:rPr>
          <w:rFonts w:hint="cs"/>
          <w:i/>
          <w:sz w:val="23"/>
          <w:szCs w:val="23"/>
          <w:rtl/>
        </w:rPr>
        <w:t>از طرفی از تابع كاب داگلاس داريم:</w:t>
      </w:r>
    </w:p>
    <w:p w14:paraId="3D234F7B"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12"/>
        </w:rPr>
        <w:object w:dxaOrig="2020" w:dyaOrig="360" w14:anchorId="7740144A">
          <v:shape id="_x0000_i2270" type="#_x0000_t75" style="width:101.05pt;height:18.15pt" o:ole="">
            <v:imagedata r:id="rId2528" o:title=""/>
          </v:shape>
          <o:OLEObject Type="Embed" ProgID="Equation.DSMT4" ShapeID="_x0000_i2270" DrawAspect="Content" ObjectID="_1791376214" r:id="rId2529"/>
        </w:object>
      </w:r>
    </w:p>
    <w:p w14:paraId="0EACFCE0"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 xml:space="preserve"> بنابراین رابطه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rFonts w:hint="cs"/>
          <w:i/>
          <w:sz w:val="23"/>
          <w:szCs w:val="23"/>
          <w:rtl/>
        </w:rPr>
        <w:t>(۴. ۲۲)</w:t>
      </w:r>
      <w:r w:rsidRPr="00005251">
        <w:rPr>
          <w:rFonts w:eastAsiaTheme="minorEastAsia" w:hint="cs"/>
          <w:i/>
          <w:sz w:val="23"/>
          <w:szCs w:val="23"/>
          <w:rtl/>
        </w:rPr>
        <w:t xml:space="preserve"> برابر خواهد بود با</w:t>
      </w:r>
    </w:p>
    <w:p w14:paraId="1D6DD307"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30"/>
        </w:rPr>
        <w:object w:dxaOrig="3840" w:dyaOrig="760" w14:anchorId="70574A99">
          <v:shape id="_x0000_i2271" type="#_x0000_t75" style="width:191.8pt;height:38.1pt" o:ole="">
            <v:imagedata r:id="rId2530" o:title=""/>
          </v:shape>
          <o:OLEObject Type="Embed" ProgID="Equation.DSMT4" ShapeID="_x0000_i2271" DrawAspect="Content" ObjectID="_1791376215" r:id="rId2531"/>
        </w:object>
      </w:r>
    </w:p>
    <w:p w14:paraId="1945691F" w14:textId="77777777" w:rsidR="00411620" w:rsidRPr="00005251" w:rsidRDefault="00411620" w:rsidP="00411620">
      <w:pPr>
        <w:pStyle w:val="MTDisplayEquation"/>
        <w:tabs>
          <w:tab w:val="clear" w:pos="6660"/>
          <w:tab w:val="right" w:pos="0"/>
        </w:tabs>
        <w:spacing w:line="216" w:lineRule="auto"/>
        <w:rPr>
          <w:rFonts w:ascii="Times New Roman" w:hAnsi="Times New Roman" w:cs="B Nazanin"/>
          <w:i/>
          <w:sz w:val="23"/>
          <w:szCs w:val="23"/>
        </w:rPr>
      </w:pPr>
      <w:r w:rsidRPr="00005251">
        <w:rPr>
          <w:position w:val="-28"/>
        </w:rPr>
        <w:object w:dxaOrig="2920" w:dyaOrig="639" w14:anchorId="5FD5C930">
          <v:shape id="_x0000_i2272" type="#_x0000_t75" style="width:145.8pt;height:32.05pt" o:ole="">
            <v:imagedata r:id="rId2532" o:title=""/>
          </v:shape>
          <o:OLEObject Type="Embed" ProgID="Equation.DSMT4" ShapeID="_x0000_i2272" DrawAspect="Content" ObjectID="_1791376216" r:id="rId2533"/>
        </w:object>
      </w:r>
      <w:r w:rsidRPr="00005251">
        <w:rPr>
          <w:rFonts w:ascii="Times New Roman" w:hAnsi="Times New Roman" w:cs="B Nazanin"/>
          <w:i/>
          <w:sz w:val="23"/>
          <w:szCs w:val="23"/>
          <w:rtl/>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Pr>
          <w:rFonts w:ascii="Times New Roman" w:hAnsi="Times New Roman" w:cs="B Nazanin"/>
          <w:i/>
          <w:sz w:val="23"/>
          <w:szCs w:val="23"/>
          <w:rtl/>
        </w:rPr>
        <w:tab/>
      </w:r>
      <w:r w:rsidRPr="00005251">
        <w:rPr>
          <w:rFonts w:ascii="Times New Roman" w:hAnsi="Times New Roman" w:cs="B Nazanin"/>
          <w:i/>
          <w:sz w:val="23"/>
          <w:szCs w:val="23"/>
        </w:rPr>
        <w:tab/>
      </w:r>
      <w:r w:rsidRPr="00005251">
        <w:rPr>
          <w:rFonts w:ascii="Times New Roman" w:hAnsi="Times New Roman" w:cs="B Nazanin"/>
          <w:i/>
          <w:sz w:val="23"/>
          <w:szCs w:val="23"/>
          <w:rtl/>
        </w:rPr>
        <w:tab/>
      </w:r>
      <w:r w:rsidRPr="00005251">
        <w:rPr>
          <w:rFonts w:ascii="Times New Roman" w:hAnsi="Times New Roman" w:cs="B Nazanin" w:hint="cs"/>
          <w:i/>
          <w:sz w:val="23"/>
          <w:szCs w:val="23"/>
          <w:rtl/>
        </w:rPr>
        <w:t>(۴. ۲۴)</w:t>
      </w:r>
    </w:p>
    <w:p w14:paraId="16DE78DF" w14:textId="77777777" w:rsidR="00411620" w:rsidRPr="00005251" w:rsidRDefault="00411620" w:rsidP="00411620">
      <w:pPr>
        <w:spacing w:line="216" w:lineRule="auto"/>
        <w:rPr>
          <w:i/>
          <w:sz w:val="23"/>
          <w:szCs w:val="23"/>
        </w:rPr>
      </w:pPr>
      <w:r w:rsidRPr="00005251">
        <w:rPr>
          <w:rFonts w:hint="cs"/>
          <w:i/>
          <w:sz w:val="23"/>
          <w:szCs w:val="23"/>
          <w:rtl/>
        </w:rPr>
        <w:t>در رابطه (۴. ۲۴) اگر نرخ بهره</w:t>
      </w:r>
      <w:r w:rsidRPr="00005251">
        <w:rPr>
          <w:i/>
          <w:sz w:val="23"/>
          <w:szCs w:val="23"/>
          <w:rtl/>
        </w:rPr>
        <w:softHyphen/>
      </w:r>
      <w:r w:rsidRPr="00005251">
        <w:rPr>
          <w:rFonts w:hint="cs"/>
          <w:i/>
          <w:sz w:val="23"/>
          <w:szCs w:val="23"/>
          <w:rtl/>
        </w:rPr>
        <w:t>ی واقعي افزايش يابد، آنگاه نسبت مخارج کالاهاي بي</w:t>
      </w:r>
      <w:r w:rsidRPr="00005251">
        <w:rPr>
          <w:i/>
          <w:sz w:val="23"/>
          <w:szCs w:val="23"/>
          <w:rtl/>
        </w:rPr>
        <w:softHyphen/>
      </w:r>
      <w:r w:rsidRPr="00005251">
        <w:rPr>
          <w:rFonts w:hint="cs"/>
          <w:i/>
          <w:sz w:val="23"/>
          <w:szCs w:val="23"/>
          <w:rtl/>
        </w:rPr>
        <w:t>دوام به مخارج کالاهای بادوام افزايش خواهد یافت، و يا ذخاير كالاهاي بادوام نسبت به مخارج کالاهای بي</w:t>
      </w:r>
      <w:r w:rsidRPr="00005251">
        <w:rPr>
          <w:i/>
          <w:sz w:val="23"/>
          <w:szCs w:val="23"/>
          <w:rtl/>
        </w:rPr>
        <w:softHyphen/>
      </w:r>
      <w:r w:rsidRPr="00005251">
        <w:rPr>
          <w:rFonts w:hint="cs"/>
          <w:i/>
          <w:sz w:val="23"/>
          <w:szCs w:val="23"/>
          <w:rtl/>
        </w:rPr>
        <w:t>دوام كاهش خواهد یافت. در وضعیت یکنواخت وقتي</w:t>
      </w:r>
    </w:p>
    <w:p w14:paraId="6FCFB5BC" w14:textId="77777777" w:rsidR="00411620" w:rsidRPr="00005251" w:rsidRDefault="00411620" w:rsidP="00411620">
      <w:pPr>
        <w:spacing w:line="216" w:lineRule="auto"/>
        <w:jc w:val="right"/>
        <w:rPr>
          <w:rFonts w:eastAsiaTheme="minorEastAsia"/>
          <w:i/>
          <w:sz w:val="23"/>
          <w:szCs w:val="23"/>
        </w:rPr>
      </w:pPr>
      <w:r w:rsidRPr="00005251">
        <w:rPr>
          <w:rFonts w:hint="cs"/>
          <w:i/>
          <w:sz w:val="23"/>
          <w:szCs w:val="23"/>
          <w:rtl/>
        </w:rPr>
        <w:t xml:space="preserve"> </w:t>
      </w:r>
      <w:r w:rsidRPr="00005251">
        <w:rPr>
          <w:position w:val="-10"/>
        </w:rPr>
        <w:object w:dxaOrig="3300" w:dyaOrig="320" w14:anchorId="27942F26">
          <v:shape id="_x0000_i2273" type="#_x0000_t75" style="width:165.2pt;height:16.35pt" o:ole="">
            <v:imagedata r:id="rId2534" o:title=""/>
          </v:shape>
          <o:OLEObject Type="Embed" ProgID="Equation.DSMT4" ShapeID="_x0000_i2273" DrawAspect="Content" ObjectID="_1791376217" r:id="rId2535"/>
        </w:object>
      </w:r>
    </w:p>
    <w:p w14:paraId="0E7BEC61" w14:textId="77777777" w:rsidR="00411620" w:rsidRPr="00005251" w:rsidRDefault="00411620" w:rsidP="00411620">
      <w:pPr>
        <w:pStyle w:val="MTDisplayEquation"/>
        <w:spacing w:line="216" w:lineRule="auto"/>
        <w:jc w:val="left"/>
        <w:rPr>
          <w:rFonts w:ascii="Times New Roman" w:eastAsiaTheme="minorEastAsia" w:hAnsi="Times New Roman" w:cs="B Nazanin"/>
          <w:i/>
          <w:sz w:val="23"/>
          <w:szCs w:val="23"/>
        </w:rPr>
      </w:pPr>
      <w:r w:rsidRPr="00005251">
        <w:rPr>
          <w:position w:val="-10"/>
        </w:rPr>
        <w:object w:dxaOrig="3680" w:dyaOrig="320" w14:anchorId="7AE1902E">
          <v:shape id="_x0000_i2274" type="#_x0000_t75" style="width:183.95pt;height:16.35pt" o:ole="">
            <v:imagedata r:id="rId2536" o:title=""/>
          </v:shape>
          <o:OLEObject Type="Embed" ProgID="Equation.DSMT4" ShapeID="_x0000_i2274" DrawAspect="Content" ObjectID="_1791376218" r:id="rId2537"/>
        </w:object>
      </w:r>
    </w:p>
    <w:p w14:paraId="4327FB1D" w14:textId="77777777" w:rsidR="00411620" w:rsidRPr="00005251" w:rsidRDefault="00411620" w:rsidP="00411620">
      <w:pPr>
        <w:bidi w:val="0"/>
        <w:spacing w:line="216" w:lineRule="auto"/>
        <w:rPr>
          <w:rFonts w:eastAsiaTheme="minorEastAsia"/>
          <w:i/>
          <w:sz w:val="23"/>
          <w:szCs w:val="23"/>
        </w:rPr>
      </w:pPr>
      <w:r w:rsidRPr="00005251">
        <w:rPr>
          <w:position w:val="-10"/>
        </w:rPr>
        <w:object w:dxaOrig="680" w:dyaOrig="320" w14:anchorId="3A652A93">
          <v:shape id="_x0000_i2275" type="#_x0000_t75" style="width:33.9pt;height:16.35pt" o:ole="">
            <v:imagedata r:id="rId2538" o:title=""/>
          </v:shape>
          <o:OLEObject Type="Embed" ProgID="Equation.DSMT4" ShapeID="_x0000_i2275" DrawAspect="Content" ObjectID="_1791376219" r:id="rId2539"/>
        </w:object>
      </w:r>
    </w:p>
    <w:p w14:paraId="6FD95203" w14:textId="77777777" w:rsidR="00411620" w:rsidRPr="00005251" w:rsidRDefault="00411620" w:rsidP="00411620">
      <w:pPr>
        <w:spacing w:line="216" w:lineRule="auto"/>
        <w:rPr>
          <w:rFonts w:eastAsiaTheme="minorEastAsia"/>
          <w:i/>
          <w:sz w:val="23"/>
          <w:szCs w:val="23"/>
        </w:rPr>
      </w:pPr>
      <w:r w:rsidRPr="00005251">
        <w:rPr>
          <w:rFonts w:eastAsiaTheme="minorEastAsia"/>
          <w:i/>
          <w:sz w:val="23"/>
          <w:szCs w:val="23"/>
        </w:rPr>
        <w:t xml:space="preserve"> </w:t>
      </w:r>
      <w:r w:rsidRPr="00005251">
        <w:rPr>
          <w:rFonts w:eastAsiaTheme="minorEastAsia" w:hint="cs"/>
          <w:i/>
          <w:sz w:val="23"/>
          <w:szCs w:val="23"/>
          <w:rtl/>
        </w:rPr>
        <w:t>آنگاه نسبت مخارج مصرفی کالاهای بی</w:t>
      </w:r>
      <w:r w:rsidRPr="00005251">
        <w:rPr>
          <w:rFonts w:eastAsiaTheme="minorEastAsia"/>
          <w:i/>
          <w:sz w:val="23"/>
          <w:szCs w:val="23"/>
          <w:rtl/>
        </w:rPr>
        <w:softHyphen/>
      </w:r>
      <w:r w:rsidRPr="00005251">
        <w:rPr>
          <w:rFonts w:eastAsiaTheme="minorEastAsia" w:hint="cs"/>
          <w:i/>
          <w:sz w:val="23"/>
          <w:szCs w:val="23"/>
          <w:rtl/>
        </w:rPr>
        <w:t>دوام به بادوام برابر خواهد بود با</w:t>
      </w:r>
    </w:p>
    <w:p w14:paraId="7F2C2C0E"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26"/>
        </w:rPr>
        <w:object w:dxaOrig="1840" w:dyaOrig="600" w14:anchorId="561F189A">
          <v:shape id="_x0000_i2276" type="#_x0000_t75" style="width:91.95pt;height:29.65pt" o:ole="">
            <v:imagedata r:id="rId2540" o:title=""/>
          </v:shape>
          <o:OLEObject Type="Embed" ProgID="Equation.DSMT4" ShapeID="_x0000_i2276" DrawAspect="Content" ObjectID="_1791376220" r:id="rId2541"/>
        </w:object>
      </w:r>
    </w:p>
    <w:p w14:paraId="5CA315BD" w14:textId="77777777" w:rsidR="00411620" w:rsidRPr="00005251" w:rsidRDefault="00411620" w:rsidP="00411620">
      <w:pPr>
        <w:spacing w:line="216" w:lineRule="auto"/>
        <w:rPr>
          <w:i/>
          <w:sz w:val="23"/>
          <w:szCs w:val="23"/>
        </w:rPr>
      </w:pPr>
      <w:r w:rsidRPr="00005251">
        <w:rPr>
          <w:rFonts w:hint="cs"/>
          <w:i/>
          <w:sz w:val="23"/>
          <w:szCs w:val="23"/>
          <w:rtl/>
        </w:rPr>
        <w:t>و چون داشتيم</w:t>
      </w:r>
    </w:p>
    <w:p w14:paraId="7785C8DA" w14:textId="77777777" w:rsidR="00411620" w:rsidRPr="00005251" w:rsidRDefault="00411620" w:rsidP="00411620">
      <w:pPr>
        <w:pStyle w:val="MTDisplayEquation"/>
        <w:spacing w:line="216" w:lineRule="auto"/>
        <w:rPr>
          <w:rFonts w:ascii="Times New Roman" w:hAnsi="Times New Roman" w:cs="B Nazanin"/>
          <w:i/>
          <w:sz w:val="23"/>
          <w:szCs w:val="23"/>
        </w:rPr>
      </w:pPr>
      <w:r w:rsidRPr="00005251">
        <w:rPr>
          <w:position w:val="-22"/>
        </w:rPr>
        <w:object w:dxaOrig="3260" w:dyaOrig="560" w14:anchorId="01FFA590">
          <v:shape id="_x0000_i2277" type="#_x0000_t75" style="width:163.35pt;height:28.45pt" o:ole="">
            <v:imagedata r:id="rId2542" o:title=""/>
          </v:shape>
          <o:OLEObject Type="Embed" ProgID="Equation.DSMT4" ShapeID="_x0000_i2277" DrawAspect="Content" ObjectID="_1791376221" r:id="rId2543"/>
        </w:object>
      </w:r>
    </w:p>
    <w:p w14:paraId="62774130" w14:textId="77777777" w:rsidR="00411620" w:rsidRPr="00005251" w:rsidRDefault="00411620" w:rsidP="00411620">
      <w:pPr>
        <w:spacing w:line="216" w:lineRule="auto"/>
        <w:rPr>
          <w:i/>
          <w:sz w:val="23"/>
          <w:szCs w:val="23"/>
          <w:rtl/>
        </w:rPr>
      </w:pPr>
      <w:r w:rsidRPr="00005251">
        <w:rPr>
          <w:rFonts w:hint="cs"/>
          <w:i/>
          <w:sz w:val="23"/>
          <w:szCs w:val="23"/>
          <w:rtl/>
        </w:rPr>
        <w:t xml:space="preserve"> لذا نرخ مخارج مصرفي بي</w:t>
      </w:r>
      <w:r w:rsidRPr="00005251">
        <w:rPr>
          <w:i/>
          <w:sz w:val="23"/>
          <w:szCs w:val="23"/>
          <w:rtl/>
        </w:rPr>
        <w:softHyphen/>
      </w:r>
      <w:r w:rsidRPr="00005251">
        <w:rPr>
          <w:rFonts w:hint="cs"/>
          <w:i/>
          <w:sz w:val="23"/>
          <w:szCs w:val="23"/>
          <w:rtl/>
        </w:rPr>
        <w:t>دوام به بادوام در بلندمدت برابر است با:</w:t>
      </w:r>
    </w:p>
    <w:p w14:paraId="140CC128" w14:textId="77777777" w:rsidR="00411620" w:rsidRPr="00005251" w:rsidRDefault="00411620" w:rsidP="00411620">
      <w:pPr>
        <w:pStyle w:val="MTDisplayEquation"/>
        <w:spacing w:line="216" w:lineRule="auto"/>
        <w:rPr>
          <w:rFonts w:ascii="Times New Roman" w:hAnsi="Times New Roman" w:cs="B Nazanin"/>
          <w:i/>
          <w:sz w:val="23"/>
          <w:szCs w:val="23"/>
          <w:rtl/>
        </w:rPr>
      </w:pPr>
      <w:r w:rsidRPr="00005251">
        <w:rPr>
          <w:position w:val="-26"/>
        </w:rPr>
        <w:object w:dxaOrig="1880" w:dyaOrig="620" w14:anchorId="477F4214">
          <v:shape id="_x0000_i2278" type="#_x0000_t75" style="width:94.4pt;height:30.85pt" o:ole="">
            <v:imagedata r:id="rId2544" o:title=""/>
          </v:shape>
          <o:OLEObject Type="Embed" ProgID="Equation.DSMT4" ShapeID="_x0000_i2278" DrawAspect="Content" ObjectID="_1791376222" r:id="rId2545"/>
        </w:object>
      </w:r>
    </w:p>
    <w:p w14:paraId="485AD287" w14:textId="77777777" w:rsidR="00411620" w:rsidRPr="00005251" w:rsidRDefault="00411620" w:rsidP="00411620">
      <w:pPr>
        <w:pStyle w:val="Heading1"/>
        <w:spacing w:before="0" w:after="0" w:line="216" w:lineRule="auto"/>
        <w:rPr>
          <w:rFonts w:ascii="Times New Roman" w:hAnsi="Times New Roman" w:cs="B Nazanin"/>
          <w:b w:val="0"/>
          <w:i/>
          <w:sz w:val="23"/>
          <w:szCs w:val="23"/>
          <w:rtl/>
        </w:rPr>
      </w:pPr>
      <w:r w:rsidRPr="00005251">
        <w:rPr>
          <w:rFonts w:ascii="Times New Roman" w:hAnsi="Times New Roman" w:cs="B Nazanin" w:hint="cs"/>
          <w:b w:val="0"/>
          <w:i/>
          <w:sz w:val="23"/>
          <w:szCs w:val="23"/>
          <w:rtl/>
        </w:rPr>
        <w:t>۴. ۲. ۵ عرضه</w:t>
      </w:r>
      <w:r w:rsidRPr="00005251">
        <w:rPr>
          <w:rFonts w:ascii="Times New Roman" w:hAnsi="Times New Roman" w:cs="B Nazanin"/>
          <w:b w:val="0"/>
          <w:i/>
          <w:sz w:val="23"/>
          <w:szCs w:val="23"/>
        </w:rPr>
        <w:softHyphen/>
      </w:r>
      <w:r w:rsidRPr="00005251">
        <w:rPr>
          <w:rFonts w:ascii="Times New Roman" w:hAnsi="Times New Roman" w:cs="B Nazanin"/>
          <w:b w:val="0"/>
          <w:i/>
          <w:sz w:val="23"/>
          <w:szCs w:val="23"/>
          <w:rtl/>
        </w:rPr>
        <w:softHyphen/>
      </w:r>
      <w:r w:rsidRPr="00005251">
        <w:rPr>
          <w:rFonts w:ascii="Times New Roman" w:hAnsi="Times New Roman" w:cs="B Nazanin" w:hint="cs"/>
          <w:b w:val="0"/>
          <w:i/>
          <w:sz w:val="23"/>
          <w:szCs w:val="23"/>
          <w:rtl/>
        </w:rPr>
        <w:t>ی نيروي كار</w:t>
      </w:r>
    </w:p>
    <w:p w14:paraId="5F4B6B52" w14:textId="77777777" w:rsidR="00411620" w:rsidRPr="00005251" w:rsidRDefault="00411620" w:rsidP="00411620">
      <w:pPr>
        <w:spacing w:line="216" w:lineRule="auto"/>
        <w:rPr>
          <w:i/>
          <w:sz w:val="23"/>
          <w:szCs w:val="23"/>
          <w:rtl/>
        </w:rPr>
      </w:pPr>
      <w:r w:rsidRPr="00005251">
        <w:rPr>
          <w:rFonts w:hint="cs"/>
          <w:i/>
          <w:sz w:val="23"/>
          <w:szCs w:val="23"/>
          <w:rtl/>
        </w:rPr>
        <w:t>تاكنون مخارج مصرفی و پس‌انداز خانوار را بررسی كرديم و درآمدهاي حاصل از منابع غیر دارايي مالي را داده شده در نظر گرفتيم. اكنون عرضه</w:t>
      </w:r>
      <w:r w:rsidRPr="00005251">
        <w:rPr>
          <w:i/>
          <w:sz w:val="23"/>
          <w:szCs w:val="23"/>
          <w:rtl/>
        </w:rPr>
        <w:softHyphen/>
      </w:r>
      <w:r w:rsidRPr="00005251">
        <w:rPr>
          <w:rFonts w:hint="cs"/>
          <w:i/>
          <w:sz w:val="23"/>
          <w:szCs w:val="23"/>
          <w:rtl/>
        </w:rPr>
        <w:t>ی نيروي كارِ خانوار را بررسي نموده كه اولين گام برای درون</w:t>
      </w:r>
      <w:r w:rsidRPr="00005251">
        <w:rPr>
          <w:i/>
          <w:sz w:val="23"/>
          <w:szCs w:val="23"/>
          <w:rtl/>
        </w:rPr>
        <w:softHyphen/>
      </w:r>
      <w:r w:rsidRPr="00005251">
        <w:rPr>
          <w:rFonts w:hint="cs"/>
          <w:i/>
          <w:sz w:val="23"/>
          <w:szCs w:val="23"/>
          <w:rtl/>
        </w:rPr>
        <w:t>زا نمودن درآمد</w:t>
      </w:r>
      <w:r w:rsidRPr="00005251">
        <w:rPr>
          <w:rFonts w:hint="cs"/>
          <w:i/>
          <w:color w:val="000000" w:themeColor="text1"/>
          <w:sz w:val="23"/>
          <w:szCs w:val="23"/>
          <w:rtl/>
        </w:rPr>
        <w:t xml:space="preserve"> غیر </w:t>
      </w:r>
      <w:r w:rsidRPr="00005251">
        <w:rPr>
          <w:rFonts w:hint="cs"/>
          <w:i/>
          <w:sz w:val="23"/>
          <w:szCs w:val="23"/>
          <w:rtl/>
        </w:rPr>
        <w:t>دارايي</w:t>
      </w:r>
      <w:r w:rsidRPr="00005251">
        <w:rPr>
          <w:i/>
          <w:sz w:val="23"/>
          <w:szCs w:val="23"/>
          <w:rtl/>
        </w:rPr>
        <w:softHyphen/>
      </w:r>
      <w:r w:rsidRPr="00005251">
        <w:rPr>
          <w:rFonts w:hint="cs"/>
          <w:i/>
          <w:sz w:val="23"/>
          <w:szCs w:val="23"/>
          <w:rtl/>
        </w:rPr>
        <w:t xml:space="preserve">های مالي در مدل اقتصادی است. در قسمت رفتار بنگاه نیز تقاضا براي نيروي كار را بررسي خواهیم ‌كرد. در فصل دوم دستمزد بطور ضمني وارد مدل شده بود ولي اكنون دستمزد بطور صريح وارد مدل اقتصادی خواهد شد. </w:t>
      </w:r>
    </w:p>
    <w:p w14:paraId="6B61004E" w14:textId="77777777" w:rsidR="00411620" w:rsidRPr="00005251" w:rsidRDefault="00411620" w:rsidP="00411620">
      <w:pPr>
        <w:spacing w:line="216" w:lineRule="auto"/>
        <w:rPr>
          <w:i/>
          <w:sz w:val="23"/>
          <w:szCs w:val="23"/>
          <w:rtl/>
        </w:rPr>
      </w:pPr>
      <w:r w:rsidRPr="00005251">
        <w:rPr>
          <w:rFonts w:hint="cs"/>
          <w:i/>
          <w:sz w:val="23"/>
          <w:szCs w:val="23"/>
          <w:rtl/>
        </w:rPr>
        <w:t xml:space="preserve">زمانِ صرف شده براي اشتغال خانوار، درآمد نيروي كار را ايجاد خواهد كرد و این یکی از عوامل تغییر در مصرف خانوار یا </w:t>
      </w:r>
      <w:r w:rsidRPr="00005251">
        <w:rPr>
          <w:position w:val="-10"/>
        </w:rPr>
        <w:object w:dxaOrig="200" w:dyaOrig="320" w14:anchorId="7816DF04">
          <v:shape id="_x0000_i2279" type="#_x0000_t75" style="width:10.3pt;height:16.35pt" o:ole="">
            <v:imagedata r:id="rId2546" o:title=""/>
          </v:shape>
          <o:OLEObject Type="Embed" ProgID="Equation.DSMT4" ShapeID="_x0000_i2279" DrawAspect="Content" ObjectID="_1791376223" r:id="rId2547"/>
        </w:object>
      </w:r>
      <w:r w:rsidRPr="00005251">
        <w:rPr>
          <w:rFonts w:hint="cs"/>
          <w:i/>
          <w:sz w:val="23"/>
          <w:szCs w:val="23"/>
          <w:rtl/>
        </w:rPr>
        <w:t xml:space="preserve"> است. اگر كل زمانِ در دسترس خانوار را به یک نرمالایز کنیم، آنگاه </w:t>
      </w:r>
      <w:r w:rsidRPr="00005251">
        <w:rPr>
          <w:position w:val="-10"/>
        </w:rPr>
        <w:object w:dxaOrig="900" w:dyaOrig="320" w14:anchorId="2076A6EC">
          <v:shape id="_x0000_i2280" type="#_x0000_t75" style="width:44.75pt;height:16.35pt" o:ole="">
            <v:imagedata r:id="rId2548" o:title=""/>
          </v:shape>
          <o:OLEObject Type="Embed" ProgID="Equation.DSMT4" ShapeID="_x0000_i2280" DrawAspect="Content" ObjectID="_1791376224" r:id="rId2549"/>
        </w:object>
      </w:r>
      <w:r w:rsidRPr="00005251">
        <w:rPr>
          <w:rFonts w:hint="cs"/>
          <w:i/>
          <w:sz w:val="23"/>
          <w:szCs w:val="23"/>
          <w:rtl/>
        </w:rPr>
        <w:t xml:space="preserve"> است که در آن</w:t>
      </w:r>
      <w:r w:rsidRPr="00005251">
        <w:rPr>
          <w:position w:val="-10"/>
        </w:rPr>
        <w:object w:dxaOrig="240" w:dyaOrig="320" w14:anchorId="02EE78FD">
          <v:shape id="_x0000_i2281" type="#_x0000_t75" style="width:11.5pt;height:16.35pt" o:ole="">
            <v:imagedata r:id="rId2550" o:title=""/>
          </v:shape>
          <o:OLEObject Type="Embed" ProgID="Equation.DSMT4" ShapeID="_x0000_i2281" DrawAspect="Content" ObjectID="_1791376225" r:id="rId2551"/>
        </w:object>
      </w:r>
      <w:r w:rsidRPr="00005251">
        <w:rPr>
          <w:rFonts w:eastAsiaTheme="minorEastAsia" w:hint="cs"/>
          <w:i/>
          <w:sz w:val="23"/>
          <w:szCs w:val="23"/>
          <w:rtl/>
        </w:rPr>
        <w:t xml:space="preserve"> </w:t>
      </w:r>
      <w:r w:rsidRPr="00005251">
        <w:rPr>
          <w:rFonts w:hint="cs"/>
          <w:i/>
          <w:sz w:val="23"/>
          <w:szCs w:val="23"/>
          <w:rtl/>
        </w:rPr>
        <w:t>مدت زمان صرف شده براي اشتغال و</w:t>
      </w:r>
      <w:r w:rsidRPr="00005251">
        <w:rPr>
          <w:position w:val="-10"/>
        </w:rPr>
        <w:object w:dxaOrig="180" w:dyaOrig="320" w14:anchorId="11A43FCE">
          <v:shape id="_x0000_i2282" type="#_x0000_t75" style="width:9.1pt;height:16.35pt" o:ole="">
            <v:imagedata r:id="rId2552" o:title=""/>
          </v:shape>
          <o:OLEObject Type="Embed" ProgID="Equation.DSMT4" ShapeID="_x0000_i2282" DrawAspect="Content" ObjectID="_1791376226" r:id="rId2553"/>
        </w:object>
      </w:r>
      <w:r w:rsidRPr="00005251">
        <w:rPr>
          <w:rFonts w:hint="cs"/>
          <w:i/>
          <w:sz w:val="23"/>
          <w:szCs w:val="23"/>
          <w:rtl/>
        </w:rPr>
        <w:t xml:space="preserve"> مدت زمان صرف شده براي</w:t>
      </w:r>
      <w:r w:rsidRPr="00005251">
        <w:rPr>
          <w:i/>
          <w:sz w:val="23"/>
          <w:szCs w:val="23"/>
        </w:rPr>
        <w:t xml:space="preserve"> </w:t>
      </w:r>
      <w:r w:rsidRPr="00005251">
        <w:rPr>
          <w:rFonts w:hint="cs"/>
          <w:i/>
          <w:sz w:val="23"/>
          <w:szCs w:val="23"/>
          <w:rtl/>
        </w:rPr>
        <w:t>فراغت خانوار است. برخلاف تجزيه و تحليل فصول قبل، اكنون تابع مطلوبيت خانوار متاثر از مخارج مصرفی و فراغت آن</w:t>
      </w:r>
      <w:r w:rsidRPr="00005251">
        <w:rPr>
          <w:i/>
          <w:sz w:val="23"/>
          <w:szCs w:val="23"/>
          <w:rtl/>
        </w:rPr>
        <w:softHyphen/>
      </w:r>
      <w:r w:rsidRPr="00005251">
        <w:rPr>
          <w:rFonts w:hint="cs"/>
          <w:i/>
          <w:sz w:val="23"/>
          <w:szCs w:val="23"/>
          <w:rtl/>
        </w:rPr>
        <w:t xml:space="preserve">ها است. بنابراین </w:t>
      </w:r>
    </w:p>
    <w:p w14:paraId="0355902C"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lang w:val="en-GB"/>
        </w:rPr>
      </w:pPr>
      <w:r w:rsidRPr="00005251">
        <w:rPr>
          <w:position w:val="-12"/>
        </w:rPr>
        <w:object w:dxaOrig="2040" w:dyaOrig="360" w14:anchorId="653076A9">
          <v:shape id="_x0000_i2283" type="#_x0000_t75" style="width:102.25pt;height:18.15pt" o:ole="">
            <v:imagedata r:id="rId2554" o:title=""/>
          </v:shape>
          <o:OLEObject Type="Embed" ProgID="Equation.DSMT4" ShapeID="_x0000_i2283" DrawAspect="Content" ObjectID="_1791376227" r:id="rId2555"/>
        </w:object>
      </w:r>
    </w:p>
    <w:p w14:paraId="0488A7C1" w14:textId="77777777" w:rsidR="00411620" w:rsidRPr="00005251" w:rsidRDefault="00411620" w:rsidP="00411620">
      <w:pPr>
        <w:spacing w:line="216" w:lineRule="auto"/>
        <w:rPr>
          <w:i/>
          <w:sz w:val="23"/>
          <w:szCs w:val="23"/>
          <w:rtl/>
        </w:rPr>
      </w:pPr>
      <w:r w:rsidRPr="00005251">
        <w:rPr>
          <w:rFonts w:hint="cs"/>
          <w:i/>
          <w:sz w:val="23"/>
          <w:szCs w:val="23"/>
          <w:rtl/>
        </w:rPr>
        <w:t>كه در آن فرض می</w:t>
      </w:r>
      <w:r w:rsidRPr="00005251">
        <w:rPr>
          <w:i/>
          <w:sz w:val="23"/>
          <w:szCs w:val="23"/>
          <w:rtl/>
        </w:rPr>
        <w:softHyphen/>
      </w:r>
      <w:r w:rsidRPr="00005251">
        <w:rPr>
          <w:rFonts w:hint="cs"/>
          <w:i/>
          <w:sz w:val="23"/>
          <w:szCs w:val="23"/>
          <w:rtl/>
        </w:rPr>
        <w:t xml:space="preserve">شود </w:t>
      </w:r>
      <w:r w:rsidRPr="00005251">
        <w:rPr>
          <w:position w:val="-10"/>
        </w:rPr>
        <w:object w:dxaOrig="940" w:dyaOrig="320" w14:anchorId="0F45246A">
          <v:shape id="_x0000_i2284" type="#_x0000_t75" style="width:47.2pt;height:16.35pt" o:ole="">
            <v:imagedata r:id="rId2556" o:title=""/>
          </v:shape>
          <o:OLEObject Type="Embed" ProgID="Equation.DSMT4" ShapeID="_x0000_i2284" DrawAspect="Content" ObjectID="_1791376228" r:id="rId2557"/>
        </w:object>
      </w:r>
      <w:r w:rsidRPr="00005251">
        <w:rPr>
          <w:rFonts w:hint="cs"/>
          <w:sz w:val="23"/>
          <w:szCs w:val="23"/>
          <w:rtl/>
        </w:rPr>
        <w:t xml:space="preserve"> و </w:t>
      </w:r>
      <w:r w:rsidRPr="00005251">
        <w:rPr>
          <w:position w:val="-10"/>
        </w:rPr>
        <w:object w:dxaOrig="1020" w:dyaOrig="320" w14:anchorId="6A92A303">
          <v:shape id="_x0000_i2285" type="#_x0000_t75" style="width:50.8pt;height:16.35pt" o:ole="">
            <v:imagedata r:id="rId2558" o:title=""/>
          </v:shape>
          <o:OLEObject Type="Embed" ProgID="Equation.DSMT4" ShapeID="_x0000_i2285" DrawAspect="Content" ObjectID="_1791376229" r:id="rId2559"/>
        </w:object>
      </w:r>
      <w:r w:rsidRPr="00005251">
        <w:rPr>
          <w:rFonts w:eastAsiaTheme="minorEastAsia" w:hint="cs"/>
          <w:i/>
          <w:sz w:val="23"/>
          <w:szCs w:val="23"/>
          <w:rtl/>
        </w:rPr>
        <w:t xml:space="preserve"> و</w:t>
      </w:r>
      <w:r w:rsidRPr="00005251">
        <w:rPr>
          <w:position w:val="-10"/>
        </w:rPr>
        <w:object w:dxaOrig="880" w:dyaOrig="320" w14:anchorId="1684A640">
          <v:shape id="_x0000_i2286" type="#_x0000_t75" style="width:44.15pt;height:16.35pt" o:ole="">
            <v:imagedata r:id="rId2560" o:title=""/>
          </v:shape>
          <o:OLEObject Type="Embed" ProgID="Equation.DSMT4" ShapeID="_x0000_i2286" DrawAspect="Content" ObjectID="_1791376230" r:id="rId2561"/>
        </w:object>
      </w:r>
      <w:r w:rsidRPr="00005251">
        <w:rPr>
          <w:rFonts w:eastAsiaTheme="minorEastAsia" w:hint="cs"/>
          <w:i/>
          <w:sz w:val="23"/>
          <w:szCs w:val="23"/>
          <w:rtl/>
        </w:rPr>
        <w:t xml:space="preserve"> مي</w:t>
      </w:r>
      <w:r w:rsidRPr="00005251">
        <w:rPr>
          <w:rFonts w:eastAsiaTheme="minorEastAsia"/>
          <w:i/>
          <w:sz w:val="23"/>
          <w:szCs w:val="23"/>
          <w:rtl/>
        </w:rPr>
        <w:softHyphen/>
      </w:r>
      <w:r w:rsidRPr="00005251">
        <w:rPr>
          <w:rFonts w:eastAsiaTheme="minorEastAsia" w:hint="cs"/>
          <w:i/>
          <w:sz w:val="23"/>
          <w:szCs w:val="23"/>
          <w:rtl/>
        </w:rPr>
        <w:t xml:space="preserve">باشد. </w:t>
      </w:r>
      <w:r w:rsidRPr="00005251">
        <w:rPr>
          <w:rFonts w:hint="cs"/>
          <w:i/>
          <w:sz w:val="23"/>
          <w:szCs w:val="23"/>
          <w:rtl/>
        </w:rPr>
        <w:t>قيد بودجه</w:t>
      </w:r>
      <w:r w:rsidRPr="00005251">
        <w:rPr>
          <w:i/>
          <w:sz w:val="23"/>
          <w:szCs w:val="23"/>
          <w:rtl/>
        </w:rPr>
        <w:softHyphen/>
      </w:r>
      <w:r w:rsidRPr="00005251">
        <w:rPr>
          <w:rFonts w:hint="cs"/>
          <w:i/>
          <w:sz w:val="23"/>
          <w:szCs w:val="23"/>
          <w:rtl/>
        </w:rPr>
        <w:t>ی خانوار نیز عبارت است از :</w:t>
      </w:r>
    </w:p>
    <w:p w14:paraId="09983A55" w14:textId="77777777" w:rsidR="00411620" w:rsidRPr="00005251" w:rsidRDefault="00411620" w:rsidP="00411620">
      <w:pPr>
        <w:bidi w:val="0"/>
        <w:spacing w:line="216" w:lineRule="auto"/>
        <w:rPr>
          <w:rFonts w:eastAsiaTheme="minorEastAsia"/>
          <w:i/>
          <w:sz w:val="23"/>
          <w:szCs w:val="23"/>
        </w:rPr>
      </w:pPr>
      <w:r w:rsidRPr="00005251">
        <w:rPr>
          <w:position w:val="-10"/>
        </w:rPr>
        <w:object w:dxaOrig="2360" w:dyaOrig="320" w14:anchorId="79EA97E6">
          <v:shape id="_x0000_i2287" type="#_x0000_t75" style="width:118pt;height:16.35pt" o:ole="">
            <v:imagedata r:id="rId2562" o:title=""/>
          </v:shape>
          <o:OLEObject Type="Embed" ProgID="Equation.DSMT4" ShapeID="_x0000_i2287" DrawAspect="Content" ObjectID="_1791376231" r:id="rId2563"/>
        </w:object>
      </w:r>
      <w:r w:rsidRPr="00005251">
        <w:rPr>
          <w:rFonts w:eastAsiaTheme="minorEastAsia"/>
          <w:i/>
          <w:sz w:val="23"/>
          <w:szCs w:val="23"/>
        </w:rPr>
        <w:t xml:space="preserve"> </w:t>
      </w:r>
      <w:r w:rsidRPr="00005251">
        <w:rPr>
          <w:rFonts w:eastAsiaTheme="minorEastAsia"/>
          <w:i/>
          <w:sz w:val="23"/>
          <w:szCs w:val="23"/>
          <w:rtl/>
        </w:rPr>
        <w:tab/>
      </w:r>
      <w:r w:rsidRPr="00005251">
        <w:rPr>
          <w:rFonts w:eastAsiaTheme="minorEastAsia"/>
          <w:i/>
          <w:sz w:val="23"/>
          <w:szCs w:val="23"/>
          <w:rtl/>
        </w:rPr>
        <w:tab/>
      </w:r>
      <w:r w:rsidRPr="00005251">
        <w:rPr>
          <w:rFonts w:eastAsiaTheme="minorEastAsia"/>
          <w:i/>
          <w:sz w:val="23"/>
          <w:szCs w:val="23"/>
          <w:rtl/>
        </w:rPr>
        <w:tab/>
      </w:r>
      <w:r w:rsidRPr="00005251">
        <w:rPr>
          <w:rFonts w:eastAsiaTheme="minorEastAsia"/>
          <w:i/>
          <w:sz w:val="23"/>
          <w:szCs w:val="23"/>
        </w:rPr>
        <w:tab/>
      </w:r>
      <w:r w:rsidRPr="00005251">
        <w:rPr>
          <w:rFonts w:eastAsiaTheme="minorEastAsia"/>
          <w:i/>
          <w:sz w:val="23"/>
          <w:szCs w:val="23"/>
        </w:rPr>
        <w:tab/>
      </w:r>
      <w:r w:rsidRPr="00005251">
        <w:rPr>
          <w:rFonts w:eastAsiaTheme="minorEastAsia"/>
          <w:i/>
          <w:sz w:val="23"/>
          <w:szCs w:val="23"/>
        </w:rPr>
        <w:tab/>
      </w:r>
      <w:r w:rsidRPr="00005251">
        <w:rPr>
          <w:rFonts w:eastAsiaTheme="minorEastAsia"/>
          <w:i/>
          <w:sz w:val="23"/>
          <w:szCs w:val="23"/>
        </w:rPr>
        <w:tab/>
      </w:r>
      <w:r w:rsidRPr="00005251">
        <w:rPr>
          <w:rFonts w:eastAsiaTheme="minorEastAsia"/>
          <w:i/>
          <w:sz w:val="23"/>
          <w:szCs w:val="23"/>
        </w:rPr>
        <w:tab/>
      </w:r>
      <w:r w:rsidRPr="00005251">
        <w:rPr>
          <w:rFonts w:eastAsiaTheme="minorEastAsia"/>
          <w:i/>
          <w:sz w:val="23"/>
          <w:szCs w:val="23"/>
        </w:rPr>
        <w:tab/>
      </w:r>
      <w:r w:rsidRPr="00005251">
        <w:rPr>
          <w:rFonts w:eastAsiaTheme="minorEastAsia"/>
          <w:i/>
          <w:sz w:val="23"/>
          <w:szCs w:val="23"/>
          <w:rtl/>
        </w:rPr>
        <w:tab/>
      </w:r>
      <w:r>
        <w:rPr>
          <w:rFonts w:eastAsiaTheme="minorEastAsia"/>
          <w:i/>
          <w:sz w:val="23"/>
          <w:szCs w:val="23"/>
          <w:rtl/>
        </w:rPr>
        <w:tab/>
      </w:r>
      <w:r w:rsidRPr="00005251">
        <w:rPr>
          <w:rFonts w:eastAsiaTheme="minorEastAsia"/>
          <w:i/>
          <w:sz w:val="23"/>
          <w:szCs w:val="23"/>
          <w:rtl/>
        </w:rPr>
        <w:tab/>
      </w:r>
      <w:r w:rsidRPr="00005251">
        <w:rPr>
          <w:rFonts w:eastAsiaTheme="minorEastAsia"/>
          <w:i/>
          <w:sz w:val="23"/>
          <w:szCs w:val="23"/>
          <w:rtl/>
        </w:rPr>
        <w:tab/>
      </w:r>
      <w:r w:rsidRPr="00005251">
        <w:rPr>
          <w:rFonts w:eastAsiaTheme="minorEastAsia" w:hint="cs"/>
          <w:i/>
          <w:sz w:val="23"/>
          <w:szCs w:val="23"/>
          <w:rtl/>
        </w:rPr>
        <w:t>(۴. ۲۵)</w:t>
      </w:r>
    </w:p>
    <w:p w14:paraId="30029098" w14:textId="77777777" w:rsidR="00411620" w:rsidRPr="00005251" w:rsidRDefault="00411620" w:rsidP="00411620">
      <w:pPr>
        <w:spacing w:line="216" w:lineRule="auto"/>
        <w:rPr>
          <w:i/>
          <w:sz w:val="23"/>
          <w:szCs w:val="23"/>
        </w:rPr>
      </w:pPr>
      <w:r w:rsidRPr="00005251">
        <w:rPr>
          <w:rFonts w:hint="cs"/>
          <w:i/>
          <w:noProof/>
          <w:sz w:val="23"/>
          <w:szCs w:val="23"/>
          <w:rtl/>
        </w:rPr>
        <w:t>که</w:t>
      </w:r>
      <w:r w:rsidRPr="00005251">
        <w:rPr>
          <w:i/>
          <w:noProof/>
          <w:sz w:val="23"/>
          <w:szCs w:val="23"/>
          <w:rtl/>
        </w:rPr>
        <w:t xml:space="preserve"> </w:t>
      </w:r>
      <w:r w:rsidRPr="00005251">
        <w:rPr>
          <w:rFonts w:hint="cs"/>
          <w:i/>
          <w:noProof/>
          <w:sz w:val="23"/>
          <w:szCs w:val="23"/>
          <w:rtl/>
        </w:rPr>
        <w:t>در</w:t>
      </w:r>
      <w:r w:rsidRPr="00005251">
        <w:rPr>
          <w:i/>
          <w:noProof/>
          <w:sz w:val="23"/>
          <w:szCs w:val="23"/>
          <w:rtl/>
        </w:rPr>
        <w:t xml:space="preserve"> </w:t>
      </w:r>
      <w:r w:rsidRPr="00005251">
        <w:rPr>
          <w:rFonts w:hint="cs"/>
          <w:i/>
          <w:noProof/>
          <w:sz w:val="23"/>
          <w:szCs w:val="23"/>
          <w:rtl/>
        </w:rPr>
        <w:t>آن</w:t>
      </w:r>
      <w:r w:rsidRPr="00005251">
        <w:rPr>
          <w:position w:val="-10"/>
        </w:rPr>
        <w:object w:dxaOrig="260" w:dyaOrig="320" w14:anchorId="37D24AAA">
          <v:shape id="_x0000_i2288" type="#_x0000_t75" style="width:12.7pt;height:16.35pt" o:ole="">
            <v:imagedata r:id="rId2564" o:title=""/>
          </v:shape>
          <o:OLEObject Type="Embed" ProgID="Equation.DSMT4" ShapeID="_x0000_i2288" DrawAspect="Content" ObjectID="_1791376232" r:id="rId2565"/>
        </w:object>
      </w:r>
      <w:r w:rsidRPr="00005251">
        <w:rPr>
          <w:i/>
          <w:noProof/>
          <w:sz w:val="23"/>
          <w:szCs w:val="23"/>
          <w:rtl/>
        </w:rPr>
        <w:t xml:space="preserve"> </w:t>
      </w:r>
      <w:r w:rsidRPr="00005251">
        <w:rPr>
          <w:rFonts w:hint="cs"/>
          <w:i/>
          <w:noProof/>
          <w:sz w:val="23"/>
          <w:szCs w:val="23"/>
          <w:rtl/>
        </w:rPr>
        <w:t>نرخ</w:t>
      </w:r>
      <w:r w:rsidRPr="00005251">
        <w:rPr>
          <w:i/>
          <w:noProof/>
          <w:sz w:val="23"/>
          <w:szCs w:val="23"/>
          <w:rtl/>
        </w:rPr>
        <w:t xml:space="preserve"> </w:t>
      </w:r>
      <w:r w:rsidRPr="00005251">
        <w:rPr>
          <w:rFonts w:hint="cs"/>
          <w:i/>
          <w:noProof/>
          <w:sz w:val="23"/>
          <w:szCs w:val="23"/>
          <w:rtl/>
        </w:rPr>
        <w:t>دستمزد حقیقی</w:t>
      </w:r>
      <w:r w:rsidRPr="00005251">
        <w:rPr>
          <w:i/>
          <w:noProof/>
          <w:sz w:val="23"/>
          <w:szCs w:val="23"/>
          <w:rtl/>
        </w:rPr>
        <w:t xml:space="preserve"> </w:t>
      </w:r>
      <w:r w:rsidRPr="00005251">
        <w:rPr>
          <w:rFonts w:hint="cs"/>
          <w:i/>
          <w:noProof/>
          <w:sz w:val="23"/>
          <w:szCs w:val="23"/>
          <w:rtl/>
        </w:rPr>
        <w:t>در</w:t>
      </w:r>
      <w:r w:rsidRPr="00005251">
        <w:rPr>
          <w:i/>
          <w:noProof/>
          <w:sz w:val="23"/>
          <w:szCs w:val="23"/>
          <w:rtl/>
        </w:rPr>
        <w:t xml:space="preserve"> </w:t>
      </w:r>
      <w:r w:rsidRPr="00005251">
        <w:rPr>
          <w:rFonts w:hint="cs"/>
          <w:i/>
          <w:noProof/>
          <w:sz w:val="23"/>
          <w:szCs w:val="23"/>
          <w:rtl/>
        </w:rPr>
        <w:t>هر واحد</w:t>
      </w:r>
      <w:r w:rsidRPr="00005251">
        <w:rPr>
          <w:i/>
          <w:noProof/>
          <w:sz w:val="23"/>
          <w:szCs w:val="23"/>
          <w:rtl/>
        </w:rPr>
        <w:t xml:space="preserve"> </w:t>
      </w:r>
      <w:r w:rsidRPr="00005251">
        <w:rPr>
          <w:rFonts w:hint="cs"/>
          <w:i/>
          <w:noProof/>
          <w:sz w:val="23"/>
          <w:szCs w:val="23"/>
          <w:rtl/>
        </w:rPr>
        <w:t>زمان</w:t>
      </w:r>
      <w:r w:rsidRPr="00005251">
        <w:rPr>
          <w:i/>
          <w:noProof/>
          <w:sz w:val="23"/>
          <w:szCs w:val="23"/>
          <w:rtl/>
        </w:rPr>
        <w:t xml:space="preserve"> </w:t>
      </w:r>
      <w:r w:rsidRPr="00005251">
        <w:rPr>
          <w:rFonts w:hint="cs"/>
          <w:i/>
          <w:noProof/>
          <w:sz w:val="23"/>
          <w:szCs w:val="23"/>
          <w:rtl/>
        </w:rPr>
        <w:t>کار،</w:t>
      </w:r>
      <w:r w:rsidRPr="00005251">
        <w:rPr>
          <w:position w:val="-10"/>
        </w:rPr>
        <w:object w:dxaOrig="240" w:dyaOrig="320" w14:anchorId="19873C31">
          <v:shape id="_x0000_i2289" type="#_x0000_t75" style="width:11.5pt;height:16.35pt" o:ole="">
            <v:imagedata r:id="rId2566" o:title=""/>
          </v:shape>
          <o:OLEObject Type="Embed" ProgID="Equation.DSMT4" ShapeID="_x0000_i2289" DrawAspect="Content" ObjectID="_1791376233" r:id="rId2567"/>
        </w:object>
      </w:r>
      <w:r w:rsidRPr="00005251">
        <w:rPr>
          <w:i/>
          <w:noProof/>
          <w:sz w:val="23"/>
          <w:szCs w:val="23"/>
          <w:rtl/>
        </w:rPr>
        <w:t xml:space="preserve"> </w:t>
      </w:r>
      <w:r w:rsidRPr="00005251">
        <w:rPr>
          <w:rFonts w:hint="cs"/>
          <w:i/>
          <w:noProof/>
          <w:sz w:val="23"/>
          <w:szCs w:val="23"/>
          <w:rtl/>
        </w:rPr>
        <w:t>دارایی مالی</w:t>
      </w:r>
      <w:r w:rsidRPr="00005251">
        <w:rPr>
          <w:i/>
          <w:noProof/>
          <w:sz w:val="23"/>
          <w:szCs w:val="23"/>
          <w:rtl/>
        </w:rPr>
        <w:t xml:space="preserve"> </w:t>
      </w:r>
      <w:r w:rsidRPr="00005251">
        <w:rPr>
          <w:rFonts w:hint="cs"/>
          <w:i/>
          <w:noProof/>
          <w:sz w:val="23"/>
          <w:szCs w:val="23"/>
          <w:rtl/>
        </w:rPr>
        <w:t>برون</w:t>
      </w:r>
      <w:r w:rsidRPr="00005251">
        <w:rPr>
          <w:i/>
          <w:noProof/>
          <w:sz w:val="23"/>
          <w:szCs w:val="23"/>
          <w:rtl/>
        </w:rPr>
        <w:softHyphen/>
      </w:r>
      <w:r w:rsidRPr="00005251">
        <w:rPr>
          <w:rFonts w:hint="cs"/>
          <w:i/>
          <w:noProof/>
          <w:sz w:val="23"/>
          <w:szCs w:val="23"/>
          <w:rtl/>
        </w:rPr>
        <w:t>زا</w:t>
      </w:r>
      <w:r w:rsidRPr="00005251">
        <w:rPr>
          <w:i/>
          <w:noProof/>
          <w:sz w:val="23"/>
          <w:szCs w:val="23"/>
          <w:rtl/>
        </w:rPr>
        <w:t xml:space="preserve"> </w:t>
      </w:r>
      <w:r w:rsidRPr="00005251">
        <w:rPr>
          <w:rFonts w:hint="cs"/>
          <w:i/>
          <w:noProof/>
          <w:sz w:val="23"/>
          <w:szCs w:val="23"/>
          <w:rtl/>
        </w:rPr>
        <w:t>و</w:t>
      </w:r>
      <w:r w:rsidRPr="00005251">
        <w:rPr>
          <w:position w:val="-10"/>
        </w:rPr>
        <w:object w:dxaOrig="180" w:dyaOrig="320" w14:anchorId="741CF4DF">
          <v:shape id="_x0000_i2290" type="#_x0000_t75" style="width:9.1pt;height:16.35pt" o:ole="">
            <v:imagedata r:id="rId2568" o:title=""/>
          </v:shape>
          <o:OLEObject Type="Embed" ProgID="Equation.DSMT4" ShapeID="_x0000_i2290" DrawAspect="Content" ObjectID="_1791376234" r:id="rId2569"/>
        </w:object>
      </w:r>
      <w:r w:rsidRPr="00005251">
        <w:rPr>
          <w:i/>
          <w:noProof/>
          <w:sz w:val="23"/>
          <w:szCs w:val="23"/>
          <w:rtl/>
        </w:rPr>
        <w:t xml:space="preserve"> </w:t>
      </w:r>
      <w:r w:rsidRPr="00005251">
        <w:rPr>
          <w:rFonts w:hint="cs"/>
          <w:i/>
          <w:noProof/>
          <w:sz w:val="23"/>
          <w:szCs w:val="23"/>
          <w:rtl/>
        </w:rPr>
        <w:t>نرخ</w:t>
      </w:r>
      <w:r w:rsidRPr="00005251">
        <w:rPr>
          <w:i/>
          <w:noProof/>
          <w:sz w:val="23"/>
          <w:szCs w:val="23"/>
          <w:rtl/>
        </w:rPr>
        <w:t xml:space="preserve"> </w:t>
      </w:r>
      <w:r w:rsidRPr="00005251">
        <w:rPr>
          <w:rFonts w:hint="cs"/>
          <w:i/>
          <w:noProof/>
          <w:sz w:val="23"/>
          <w:szCs w:val="23"/>
          <w:rtl/>
        </w:rPr>
        <w:t>بهره</w:t>
      </w:r>
      <w:r w:rsidRPr="00005251">
        <w:rPr>
          <w:i/>
          <w:noProof/>
          <w:sz w:val="23"/>
          <w:szCs w:val="23"/>
          <w:rtl/>
        </w:rPr>
        <w:t xml:space="preserve"> </w:t>
      </w:r>
      <w:r w:rsidRPr="00005251">
        <w:rPr>
          <w:rFonts w:hint="cs"/>
          <w:i/>
          <w:noProof/>
          <w:sz w:val="23"/>
          <w:szCs w:val="23"/>
          <w:rtl/>
        </w:rPr>
        <w:t>حقیقی</w:t>
      </w:r>
      <w:r w:rsidRPr="00005251">
        <w:rPr>
          <w:i/>
          <w:noProof/>
          <w:sz w:val="23"/>
          <w:szCs w:val="23"/>
        </w:rPr>
        <w:t xml:space="preserve"> </w:t>
      </w:r>
      <w:r w:rsidRPr="00005251">
        <w:rPr>
          <w:rFonts w:hint="cs"/>
          <w:i/>
          <w:noProof/>
          <w:sz w:val="23"/>
          <w:szCs w:val="23"/>
          <w:rtl/>
        </w:rPr>
        <w:t>منابع</w:t>
      </w:r>
      <w:r w:rsidRPr="00005251">
        <w:rPr>
          <w:i/>
          <w:noProof/>
          <w:sz w:val="23"/>
          <w:szCs w:val="23"/>
          <w:rtl/>
        </w:rPr>
        <w:t xml:space="preserve"> </w:t>
      </w:r>
      <w:r w:rsidRPr="00005251">
        <w:rPr>
          <w:rFonts w:hint="cs"/>
          <w:i/>
          <w:noProof/>
          <w:sz w:val="23"/>
          <w:szCs w:val="23"/>
          <w:rtl/>
        </w:rPr>
        <w:t>دارایی</w:t>
      </w:r>
      <w:r w:rsidRPr="00005251">
        <w:rPr>
          <w:i/>
          <w:noProof/>
          <w:sz w:val="23"/>
          <w:szCs w:val="23"/>
          <w:rtl/>
        </w:rPr>
        <w:t xml:space="preserve"> </w:t>
      </w:r>
      <w:r w:rsidRPr="00005251">
        <w:rPr>
          <w:rFonts w:hint="cs"/>
          <w:i/>
          <w:noProof/>
          <w:sz w:val="23"/>
          <w:szCs w:val="23"/>
          <w:rtl/>
        </w:rPr>
        <w:t>مالی</w:t>
      </w:r>
      <w:r w:rsidRPr="00005251">
        <w:rPr>
          <w:position w:val="-10"/>
        </w:rPr>
        <w:object w:dxaOrig="240" w:dyaOrig="320" w14:anchorId="15EAFD62">
          <v:shape id="_x0000_i2291" type="#_x0000_t75" style="width:11.5pt;height:16.35pt" o:ole="">
            <v:imagedata r:id="rId2570" o:title=""/>
          </v:shape>
          <o:OLEObject Type="Embed" ProgID="Equation.DSMT4" ShapeID="_x0000_i2291" DrawAspect="Content" ObjectID="_1791376235" r:id="rId2571"/>
        </w:object>
      </w:r>
      <w:r w:rsidRPr="00005251">
        <w:rPr>
          <w:i/>
          <w:noProof/>
          <w:sz w:val="23"/>
          <w:szCs w:val="23"/>
          <w:rtl/>
        </w:rPr>
        <w:t xml:space="preserve"> </w:t>
      </w:r>
      <w:r w:rsidRPr="00005251">
        <w:rPr>
          <w:rFonts w:hint="cs"/>
          <w:i/>
          <w:noProof/>
          <w:sz w:val="23"/>
          <w:szCs w:val="23"/>
          <w:rtl/>
        </w:rPr>
        <w:t>در آغاز</w:t>
      </w:r>
      <w:r w:rsidRPr="00005251">
        <w:rPr>
          <w:i/>
          <w:noProof/>
          <w:sz w:val="23"/>
          <w:szCs w:val="23"/>
          <w:rtl/>
        </w:rPr>
        <w:t xml:space="preserve"> </w:t>
      </w:r>
      <w:r w:rsidRPr="00005251">
        <w:rPr>
          <w:rFonts w:hint="cs"/>
          <w:i/>
          <w:noProof/>
          <w:sz w:val="23"/>
          <w:szCs w:val="23"/>
          <w:rtl/>
        </w:rPr>
        <w:t>دوره</w:t>
      </w:r>
      <w:r w:rsidRPr="00005251">
        <w:rPr>
          <w:position w:val="-6"/>
        </w:rPr>
        <w:object w:dxaOrig="139" w:dyaOrig="240" w14:anchorId="73076181">
          <v:shape id="_x0000_i2292" type="#_x0000_t75" style="width:7.25pt;height:11.5pt" o:ole="">
            <v:imagedata r:id="rId2572" o:title=""/>
          </v:shape>
          <o:OLEObject Type="Embed" ProgID="Equation.DSMT4" ShapeID="_x0000_i2292" DrawAspect="Content" ObjectID="_1791376236" r:id="rId2573"/>
        </w:object>
      </w:r>
      <w:r w:rsidRPr="00005251">
        <w:rPr>
          <w:i/>
          <w:noProof/>
          <w:sz w:val="23"/>
          <w:szCs w:val="23"/>
          <w:rtl/>
        </w:rPr>
        <w:t xml:space="preserve"> </w:t>
      </w:r>
      <w:r w:rsidRPr="00005251">
        <w:rPr>
          <w:rFonts w:hint="cs"/>
          <w:i/>
          <w:noProof/>
          <w:sz w:val="23"/>
          <w:szCs w:val="23"/>
          <w:rtl/>
        </w:rPr>
        <w:t>است</w:t>
      </w:r>
      <w:r w:rsidRPr="00005251">
        <w:rPr>
          <w:i/>
          <w:noProof/>
          <w:sz w:val="23"/>
          <w:szCs w:val="23"/>
          <w:rtl/>
        </w:rPr>
        <w:t>.</w:t>
      </w:r>
      <w:r w:rsidRPr="00005251">
        <w:rPr>
          <w:rFonts w:hint="cs"/>
          <w:i/>
          <w:noProof/>
          <w:sz w:val="23"/>
          <w:szCs w:val="23"/>
          <w:rtl/>
        </w:rPr>
        <w:t xml:space="preserve"> خانوار به دنبال حداکثر کردن مطلوبیت کل دوره نسبت به قید بودجه و بر حسب متغیرهای </w:t>
      </w:r>
      <w:r w:rsidRPr="00005251">
        <w:rPr>
          <w:position w:val="-10"/>
        </w:rPr>
        <w:object w:dxaOrig="1260" w:dyaOrig="320" w14:anchorId="7D3487F2">
          <v:shape id="_x0000_i2293" type="#_x0000_t75" style="width:62.9pt;height:16.35pt" o:ole="">
            <v:imagedata r:id="rId2574" o:title=""/>
          </v:shape>
          <o:OLEObject Type="Embed" ProgID="Equation.DSMT4" ShapeID="_x0000_i2293" DrawAspect="Content" ObjectID="_1791376237" r:id="rId2575"/>
        </w:object>
      </w:r>
      <w:r w:rsidRPr="00005251">
        <w:rPr>
          <w:i/>
          <w:sz w:val="23"/>
          <w:szCs w:val="23"/>
          <w:vertAlign w:val="subscript"/>
        </w:rPr>
        <w:t xml:space="preserve"> </w:t>
      </w:r>
      <w:r w:rsidRPr="00005251">
        <w:rPr>
          <w:rFonts w:hint="cs"/>
          <w:i/>
          <w:sz w:val="23"/>
          <w:szCs w:val="23"/>
          <w:rtl/>
        </w:rPr>
        <w:t xml:space="preserve">براي </w:t>
      </w:r>
      <w:r w:rsidRPr="00005251">
        <w:rPr>
          <w:position w:val="-6"/>
        </w:rPr>
        <w:object w:dxaOrig="499" w:dyaOrig="260" w14:anchorId="6350594E">
          <v:shape id="_x0000_i2294" type="#_x0000_t75" style="width:24.8pt;height:12.7pt" o:ole="">
            <v:imagedata r:id="rId2576" o:title=""/>
          </v:shape>
          <o:OLEObject Type="Embed" ProgID="Equation.DSMT4" ShapeID="_x0000_i2294" DrawAspect="Content" ObjectID="_1791376238" r:id="rId2577"/>
        </w:object>
      </w:r>
      <w:r w:rsidRPr="00005251">
        <w:rPr>
          <w:rFonts w:hint="cs"/>
          <w:i/>
          <w:sz w:val="23"/>
          <w:szCs w:val="23"/>
          <w:rtl/>
        </w:rPr>
        <w:t xml:space="preserve"> می</w:t>
      </w:r>
      <w:r w:rsidRPr="00005251">
        <w:rPr>
          <w:i/>
          <w:sz w:val="23"/>
          <w:szCs w:val="23"/>
          <w:rtl/>
        </w:rPr>
        <w:softHyphen/>
      </w:r>
      <w:r w:rsidRPr="00005251">
        <w:rPr>
          <w:rFonts w:hint="cs"/>
          <w:i/>
          <w:sz w:val="23"/>
          <w:szCs w:val="23"/>
          <w:rtl/>
        </w:rPr>
        <w:t>باشد. لذا لاگرانژين این مسئله عبارت است از:</w:t>
      </w:r>
    </w:p>
    <w:p w14:paraId="6D71D628"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34"/>
        </w:rPr>
        <w:object w:dxaOrig="5160" w:dyaOrig="780" w14:anchorId="1C7EF20F">
          <v:shape id="_x0000_i2295" type="#_x0000_t75" style="width:257.75pt;height:39.35pt" o:ole="">
            <v:imagedata r:id="rId2578" o:title=""/>
          </v:shape>
          <o:OLEObject Type="Embed" ProgID="Equation.DSMT4" ShapeID="_x0000_i2295" DrawAspect="Content" ObjectID="_1791376239" r:id="rId2579"/>
        </w:object>
      </w:r>
    </w:p>
    <w:p w14:paraId="4331AC8D" w14:textId="77777777" w:rsidR="00411620" w:rsidRPr="00005251" w:rsidRDefault="00411620" w:rsidP="00411620">
      <w:pPr>
        <w:spacing w:line="216" w:lineRule="auto"/>
        <w:rPr>
          <w:i/>
          <w:sz w:val="23"/>
          <w:szCs w:val="23"/>
        </w:rPr>
      </w:pPr>
      <w:r w:rsidRPr="00005251">
        <w:rPr>
          <w:rFonts w:hint="cs"/>
          <w:i/>
          <w:sz w:val="23"/>
          <w:szCs w:val="23"/>
          <w:rtl/>
        </w:rPr>
        <w:t>شرايط مرتبه اول</w:t>
      </w:r>
      <w:r w:rsidRPr="00005251">
        <w:rPr>
          <w:i/>
          <w:sz w:val="23"/>
          <w:szCs w:val="23"/>
        </w:rPr>
        <w:t xml:space="preserve"> </w:t>
      </w:r>
      <w:r w:rsidRPr="00005251">
        <w:rPr>
          <w:rFonts w:hint="cs"/>
          <w:i/>
          <w:sz w:val="23"/>
          <w:szCs w:val="23"/>
          <w:rtl/>
        </w:rPr>
        <w:t>عبارتند از:</w:t>
      </w:r>
    </w:p>
    <w:p w14:paraId="63B565FA"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lang w:val="en-GB"/>
        </w:rPr>
      </w:pPr>
      <w:r w:rsidRPr="00005251">
        <w:rPr>
          <w:position w:val="-28"/>
        </w:rPr>
        <w:object w:dxaOrig="3400" w:dyaOrig="620" w14:anchorId="4D18F26E">
          <v:shape id="_x0000_i2296" type="#_x0000_t75" style="width:170pt;height:31.45pt" o:ole="">
            <v:imagedata r:id="rId2580" o:title=""/>
          </v:shape>
          <o:OLEObject Type="Embed" ProgID="Equation.DSMT4" ShapeID="_x0000_i2296" DrawAspect="Content" ObjectID="_1791376240" r:id="rId2581"/>
        </w:object>
      </w:r>
    </w:p>
    <w:p w14:paraId="41160FF9"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vertAlign w:val="subscript"/>
        </w:rPr>
      </w:pPr>
      <w:r w:rsidRPr="00005251">
        <w:rPr>
          <w:position w:val="-28"/>
        </w:rPr>
        <w:object w:dxaOrig="3800" w:dyaOrig="620" w14:anchorId="51193CA7">
          <v:shape id="_x0000_i2297" type="#_x0000_t75" style="width:190pt;height:31.45pt" o:ole="">
            <v:imagedata r:id="rId2582" o:title=""/>
          </v:shape>
          <o:OLEObject Type="Embed" ProgID="Equation.DSMT4" ShapeID="_x0000_i2297" DrawAspect="Content" ObjectID="_1791376241" r:id="rId2583"/>
        </w:object>
      </w:r>
    </w:p>
    <w:p w14:paraId="066F895E"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vertAlign w:val="subscript"/>
        </w:rPr>
      </w:pPr>
      <w:r w:rsidRPr="00005251">
        <w:rPr>
          <w:position w:val="-28"/>
        </w:rPr>
        <w:object w:dxaOrig="3960" w:dyaOrig="620" w14:anchorId="5038B293">
          <v:shape id="_x0000_i2298" type="#_x0000_t75" style="width:198.45pt;height:31.45pt" o:ole="">
            <v:imagedata r:id="rId2584" o:title=""/>
          </v:shape>
          <o:OLEObject Type="Embed" ProgID="Equation.DSMT4" ShapeID="_x0000_i2298" DrawAspect="Content" ObjectID="_1791376242" r:id="rId2585"/>
        </w:object>
      </w:r>
    </w:p>
    <w:p w14:paraId="7FF5A0AE" w14:textId="77777777" w:rsidR="00411620" w:rsidRPr="00005251" w:rsidRDefault="00411620" w:rsidP="00411620">
      <w:pPr>
        <w:spacing w:line="216" w:lineRule="auto"/>
        <w:rPr>
          <w:i/>
          <w:sz w:val="23"/>
          <w:szCs w:val="23"/>
          <w:rtl/>
        </w:rPr>
      </w:pPr>
      <w:r w:rsidRPr="00005251">
        <w:rPr>
          <w:rFonts w:hint="cs"/>
          <w:i/>
          <w:noProof/>
          <w:sz w:val="23"/>
          <w:szCs w:val="23"/>
          <w:rtl/>
        </w:rPr>
        <w:t>با حل</w:t>
      </w:r>
      <w:r w:rsidRPr="00005251">
        <w:rPr>
          <w:i/>
          <w:noProof/>
          <w:sz w:val="23"/>
          <w:szCs w:val="23"/>
          <w:rtl/>
        </w:rPr>
        <w:t xml:space="preserve"> </w:t>
      </w:r>
      <w:r w:rsidRPr="00005251">
        <w:rPr>
          <w:rFonts w:hint="cs"/>
          <w:i/>
          <w:noProof/>
          <w:sz w:val="23"/>
          <w:szCs w:val="23"/>
          <w:rtl/>
        </w:rPr>
        <w:t>دو</w:t>
      </w:r>
      <w:r w:rsidRPr="00005251">
        <w:rPr>
          <w:i/>
          <w:noProof/>
          <w:sz w:val="23"/>
          <w:szCs w:val="23"/>
          <w:rtl/>
        </w:rPr>
        <w:t xml:space="preserve"> </w:t>
      </w:r>
      <w:r w:rsidRPr="00005251">
        <w:rPr>
          <w:rFonts w:hint="cs"/>
          <w:i/>
          <w:noProof/>
          <w:sz w:val="23"/>
          <w:szCs w:val="23"/>
          <w:rtl/>
        </w:rPr>
        <w:t>شرط</w:t>
      </w:r>
      <w:r w:rsidRPr="00005251">
        <w:rPr>
          <w:i/>
          <w:noProof/>
          <w:sz w:val="23"/>
          <w:szCs w:val="23"/>
          <w:rtl/>
        </w:rPr>
        <w:t xml:space="preserve"> </w:t>
      </w:r>
      <w:r w:rsidRPr="00005251">
        <w:rPr>
          <w:rFonts w:hint="cs"/>
          <w:i/>
          <w:noProof/>
          <w:sz w:val="23"/>
          <w:szCs w:val="23"/>
          <w:rtl/>
        </w:rPr>
        <w:t>اول</w:t>
      </w:r>
      <w:r w:rsidRPr="00005251">
        <w:rPr>
          <w:i/>
          <w:noProof/>
          <w:sz w:val="23"/>
          <w:szCs w:val="23"/>
          <w:rtl/>
        </w:rPr>
        <w:t xml:space="preserve"> </w:t>
      </w:r>
      <w:r w:rsidRPr="00005251">
        <w:rPr>
          <w:rFonts w:hint="cs"/>
          <w:i/>
          <w:noProof/>
          <w:sz w:val="23"/>
          <w:szCs w:val="23"/>
          <w:rtl/>
        </w:rPr>
        <w:t>برای</w:t>
      </w:r>
      <w:r w:rsidRPr="00005251">
        <w:rPr>
          <w:position w:val="-6"/>
        </w:rPr>
        <w:object w:dxaOrig="499" w:dyaOrig="260" w14:anchorId="2A279E6D">
          <v:shape id="_x0000_i2299" type="#_x0000_t75" style="width:24.8pt;height:12.7pt" o:ole="">
            <v:imagedata r:id="rId2586" o:title=""/>
          </v:shape>
          <o:OLEObject Type="Embed" ProgID="Equation.DSMT4" ShapeID="_x0000_i2299" DrawAspect="Content" ObjectID="_1791376243" r:id="rId2587"/>
        </w:object>
      </w:r>
      <w:r w:rsidRPr="00005251">
        <w:rPr>
          <w:i/>
          <w:noProof/>
          <w:sz w:val="23"/>
          <w:szCs w:val="23"/>
          <w:rtl/>
        </w:rPr>
        <w:t xml:space="preserve"> </w:t>
      </w:r>
      <w:r w:rsidRPr="00005251">
        <w:rPr>
          <w:rFonts w:hint="cs"/>
          <w:i/>
          <w:noProof/>
          <w:sz w:val="23"/>
          <w:szCs w:val="23"/>
          <w:rtl/>
        </w:rPr>
        <w:t>و</w:t>
      </w:r>
      <w:r w:rsidRPr="00005251">
        <w:rPr>
          <w:i/>
          <w:noProof/>
          <w:sz w:val="23"/>
          <w:szCs w:val="23"/>
          <w:rtl/>
        </w:rPr>
        <w:t xml:space="preserve"> </w:t>
      </w:r>
      <w:r w:rsidRPr="00005251">
        <w:rPr>
          <w:rFonts w:hint="cs"/>
          <w:i/>
          <w:noProof/>
          <w:sz w:val="23"/>
          <w:szCs w:val="23"/>
          <w:rtl/>
        </w:rPr>
        <w:t>حذف</w:t>
      </w:r>
      <w:r w:rsidRPr="00005251">
        <w:rPr>
          <w:position w:val="-10"/>
        </w:rPr>
        <w:object w:dxaOrig="220" w:dyaOrig="320" w14:anchorId="4CF57A16">
          <v:shape id="_x0000_i2300" type="#_x0000_t75" style="width:10.9pt;height:16.35pt" o:ole="">
            <v:imagedata r:id="rId2588" o:title=""/>
          </v:shape>
          <o:OLEObject Type="Embed" ProgID="Equation.DSMT4" ShapeID="_x0000_i2300" DrawAspect="Content" ObjectID="_1791376244" r:id="rId2589"/>
        </w:object>
      </w:r>
      <w:r w:rsidRPr="00005251">
        <w:rPr>
          <w:i/>
          <w:noProof/>
          <w:sz w:val="23"/>
          <w:szCs w:val="23"/>
          <w:rtl/>
        </w:rPr>
        <w:t xml:space="preserve"> </w:t>
      </w:r>
      <w:r w:rsidRPr="00005251">
        <w:rPr>
          <w:rFonts w:hint="cs"/>
          <w:i/>
          <w:noProof/>
          <w:sz w:val="23"/>
          <w:szCs w:val="23"/>
          <w:rtl/>
        </w:rPr>
        <w:t>رابطه</w:t>
      </w:r>
      <w:r w:rsidRPr="00005251">
        <w:rPr>
          <w:i/>
          <w:noProof/>
          <w:sz w:val="23"/>
          <w:szCs w:val="23"/>
          <w:rtl/>
        </w:rPr>
        <w:softHyphen/>
      </w:r>
      <w:r w:rsidRPr="00005251">
        <w:rPr>
          <w:rFonts w:hint="cs"/>
          <w:i/>
          <w:noProof/>
          <w:sz w:val="23"/>
          <w:szCs w:val="23"/>
          <w:rtl/>
        </w:rPr>
        <w:t>ی زیر بدست می</w:t>
      </w:r>
      <w:r w:rsidRPr="00005251">
        <w:rPr>
          <w:i/>
          <w:noProof/>
          <w:sz w:val="23"/>
          <w:szCs w:val="23"/>
          <w:rtl/>
        </w:rPr>
        <w:softHyphen/>
      </w:r>
      <w:r w:rsidRPr="00005251">
        <w:rPr>
          <w:rFonts w:hint="cs"/>
          <w:i/>
          <w:noProof/>
          <w:sz w:val="23"/>
          <w:szCs w:val="23"/>
          <w:rtl/>
        </w:rPr>
        <w:t>آید</w:t>
      </w:r>
      <w:r w:rsidRPr="00005251">
        <w:rPr>
          <w:i/>
          <w:sz w:val="23"/>
          <w:szCs w:val="23"/>
        </w:rPr>
        <w:t xml:space="preserve"> </w:t>
      </w:r>
    </w:p>
    <w:p w14:paraId="0D2222A2"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lang w:val="en-GB"/>
        </w:rPr>
      </w:pPr>
      <w:r w:rsidRPr="00005251">
        <w:rPr>
          <w:position w:val="-12"/>
        </w:rPr>
        <w:object w:dxaOrig="4400" w:dyaOrig="340" w14:anchorId="00598A91">
          <v:shape id="_x0000_i2301" type="#_x0000_t75" style="width:220.25pt;height:16.95pt" o:ole="">
            <v:imagedata r:id="rId2590" o:title=""/>
          </v:shape>
          <o:OLEObject Type="Embed" ProgID="Equation.DSMT4" ShapeID="_x0000_i2301" DrawAspect="Content" ObjectID="_1791376245" r:id="rId2591"/>
        </w:object>
      </w:r>
    </w:p>
    <w:p w14:paraId="71975839" w14:textId="77777777" w:rsidR="00411620" w:rsidRPr="00005251" w:rsidRDefault="00411620" w:rsidP="00411620">
      <w:pPr>
        <w:pStyle w:val="MTDisplayEquation"/>
        <w:tabs>
          <w:tab w:val="clear" w:pos="6660"/>
        </w:tabs>
        <w:spacing w:line="216" w:lineRule="auto"/>
        <w:rPr>
          <w:rFonts w:ascii="Times New Roman" w:eastAsiaTheme="minorEastAsia" w:hAnsi="Times New Roman" w:cs="B Nazanin"/>
          <w:i/>
          <w:sz w:val="23"/>
          <w:szCs w:val="23"/>
          <w:lang w:val="en-GB"/>
        </w:rPr>
      </w:pPr>
      <w:r w:rsidRPr="00005251">
        <w:rPr>
          <w:position w:val="-30"/>
        </w:rPr>
        <w:object w:dxaOrig="1579" w:dyaOrig="680" w14:anchorId="062597B9">
          <v:shape id="_x0000_i2302" type="#_x0000_t75" style="width:79.25pt;height:33.9pt" o:ole="">
            <v:imagedata r:id="rId2592" o:title=""/>
          </v:shape>
          <o:OLEObject Type="Embed" ProgID="Equation.DSMT4" ShapeID="_x0000_i2302" DrawAspect="Content" ObjectID="_1791376246" r:id="rId2593"/>
        </w:object>
      </w:r>
      <w:r w:rsidRPr="00005251">
        <w:rPr>
          <w:rFonts w:ascii="Times New Roman" w:hAnsi="Times New Roman" w:cs="B Nazanin"/>
          <w:i/>
          <w:sz w:val="23"/>
          <w:szCs w:val="23"/>
          <w:rtl/>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Pr>
          <w:rFonts w:ascii="Times New Roman" w:hAnsi="Times New Roman" w:cs="B Nazanin"/>
          <w:i/>
          <w:sz w:val="23"/>
          <w:szCs w:val="23"/>
          <w:rtl/>
        </w:rPr>
        <w:tab/>
      </w:r>
      <w:r w:rsidRPr="00005251">
        <w:rPr>
          <w:rFonts w:ascii="Times New Roman" w:hAnsi="Times New Roman" w:cs="B Nazanin"/>
          <w:i/>
          <w:sz w:val="23"/>
          <w:szCs w:val="23"/>
        </w:rPr>
        <w:tab/>
      </w:r>
      <w:r w:rsidRPr="00005251">
        <w:rPr>
          <w:rFonts w:ascii="Times New Roman" w:hAnsi="Times New Roman" w:cs="B Nazanin"/>
          <w:i/>
          <w:sz w:val="23"/>
          <w:szCs w:val="23"/>
          <w:rtl/>
        </w:rPr>
        <w:tab/>
      </w:r>
      <w:r w:rsidRPr="00005251">
        <w:rPr>
          <w:rFonts w:ascii="Times New Roman" w:hAnsi="Times New Roman" w:cs="B Nazanin" w:hint="cs"/>
          <w:i/>
          <w:sz w:val="23"/>
          <w:szCs w:val="23"/>
          <w:rtl/>
        </w:rPr>
        <w:t>(۴. ۲۶)</w:t>
      </w:r>
    </w:p>
    <w:p w14:paraId="56206576" w14:textId="77777777" w:rsidR="00411620" w:rsidRPr="00005251" w:rsidRDefault="00411620" w:rsidP="00411620">
      <w:pPr>
        <w:spacing w:line="216" w:lineRule="auto"/>
        <w:rPr>
          <w:i/>
          <w:sz w:val="23"/>
          <w:szCs w:val="23"/>
          <w:rtl/>
        </w:rPr>
      </w:pPr>
      <w:r w:rsidRPr="00005251">
        <w:rPr>
          <w:rFonts w:hint="cs"/>
          <w:i/>
          <w:sz w:val="23"/>
          <w:szCs w:val="23"/>
          <w:rtl/>
        </w:rPr>
        <w:t>در رابطه</w:t>
      </w:r>
      <w:r w:rsidRPr="00005251">
        <w:rPr>
          <w:i/>
          <w:sz w:val="23"/>
          <w:szCs w:val="23"/>
          <w:rtl/>
        </w:rPr>
        <w:softHyphen/>
      </w:r>
      <w:r w:rsidRPr="00005251">
        <w:rPr>
          <w:rFonts w:hint="cs"/>
          <w:i/>
          <w:sz w:val="23"/>
          <w:szCs w:val="23"/>
          <w:rtl/>
        </w:rPr>
        <w:t>ی (۴. ۲۶) با افزايش دستمزد</w:t>
      </w:r>
      <w:r w:rsidRPr="00005251">
        <w:rPr>
          <w:position w:val="-6"/>
        </w:rPr>
        <w:object w:dxaOrig="240" w:dyaOrig="200" w14:anchorId="6B3A4CC7">
          <v:shape id="_x0000_i2303" type="#_x0000_t75" style="width:11.5pt;height:10.3pt" o:ole="">
            <v:imagedata r:id="rId2594" o:title=""/>
          </v:shape>
          <o:OLEObject Type="Embed" ProgID="Equation.DSMT4" ShapeID="_x0000_i2303" DrawAspect="Content" ObjectID="_1791376247" r:id="rId2595"/>
        </w:object>
      </w:r>
      <w:r w:rsidRPr="00005251">
        <w:rPr>
          <w:rFonts w:hint="cs"/>
          <w:i/>
          <w:sz w:val="23"/>
          <w:szCs w:val="23"/>
          <w:rtl/>
        </w:rPr>
        <w:t>، و ثابت بودن</w:t>
      </w:r>
      <w:r w:rsidRPr="00005251">
        <w:rPr>
          <w:position w:val="-12"/>
        </w:rPr>
        <w:object w:dxaOrig="360" w:dyaOrig="340" w14:anchorId="36A05BD3">
          <v:shape id="_x0000_i2304" type="#_x0000_t75" style="width:18.15pt;height:16.95pt" o:ole="">
            <v:imagedata r:id="rId2596" o:title=""/>
          </v:shape>
          <o:OLEObject Type="Embed" ProgID="Equation.DSMT4" ShapeID="_x0000_i2304" DrawAspect="Content" ObjectID="_1791376248" r:id="rId2597"/>
        </w:object>
      </w:r>
      <w:r w:rsidRPr="00005251">
        <w:rPr>
          <w:rFonts w:hint="cs"/>
          <w:i/>
          <w:sz w:val="23"/>
          <w:szCs w:val="23"/>
          <w:rtl/>
        </w:rPr>
        <w:t>، مطلوبیت نهایی فراغت</w:t>
      </w:r>
      <w:r w:rsidRPr="00005251">
        <w:rPr>
          <w:position w:val="-12"/>
        </w:rPr>
        <w:object w:dxaOrig="360" w:dyaOrig="340" w14:anchorId="40EF8625">
          <v:shape id="_x0000_i2305" type="#_x0000_t75" style="width:18.15pt;height:16.95pt" o:ole="">
            <v:imagedata r:id="rId2598" o:title=""/>
          </v:shape>
          <o:OLEObject Type="Embed" ProgID="Equation.DSMT4" ShapeID="_x0000_i2305" DrawAspect="Content" ObjectID="_1791376249" r:id="rId2599"/>
        </w:object>
      </w:r>
      <w:r w:rsidRPr="00005251">
        <w:rPr>
          <w:rFonts w:hint="cs"/>
          <w:i/>
          <w:sz w:val="23"/>
          <w:szCs w:val="23"/>
          <w:rtl/>
        </w:rPr>
        <w:t xml:space="preserve"> می</w:t>
      </w:r>
      <w:r w:rsidRPr="00005251">
        <w:rPr>
          <w:i/>
          <w:sz w:val="23"/>
          <w:szCs w:val="23"/>
          <w:rtl/>
        </w:rPr>
        <w:softHyphen/>
      </w:r>
      <w:r w:rsidRPr="00005251">
        <w:rPr>
          <w:rFonts w:hint="cs"/>
          <w:i/>
          <w:sz w:val="23"/>
          <w:szCs w:val="23"/>
          <w:rtl/>
        </w:rPr>
        <w:t>بایست افزايش يابد تا رابطه</w:t>
      </w:r>
      <w:r w:rsidRPr="00005251">
        <w:rPr>
          <w:i/>
          <w:sz w:val="23"/>
          <w:szCs w:val="23"/>
          <w:rtl/>
        </w:rPr>
        <w:softHyphen/>
      </w:r>
      <w:r w:rsidRPr="00005251">
        <w:rPr>
          <w:rFonts w:hint="cs"/>
          <w:i/>
          <w:sz w:val="23"/>
          <w:szCs w:val="23"/>
          <w:rtl/>
        </w:rPr>
        <w:t xml:space="preserve">ی فوق برقرار باشد. بنابراین </w:t>
      </w:r>
      <w:r w:rsidRPr="00005251">
        <w:rPr>
          <w:i/>
          <w:sz w:val="23"/>
          <w:szCs w:val="23"/>
        </w:rPr>
        <w:t>l</w:t>
      </w:r>
      <w:r w:rsidRPr="00005251">
        <w:rPr>
          <w:rFonts w:hint="cs"/>
          <w:i/>
          <w:sz w:val="23"/>
          <w:szCs w:val="23"/>
          <w:rtl/>
        </w:rPr>
        <w:t xml:space="preserve"> یا فراغت كاهش و در نتيجه</w:t>
      </w:r>
      <w:r w:rsidRPr="00005251">
        <w:rPr>
          <w:position w:val="-6"/>
        </w:rPr>
        <w:object w:dxaOrig="200" w:dyaOrig="200" w14:anchorId="3FFA00C6">
          <v:shape id="_x0000_i2306" type="#_x0000_t75" style="width:10.3pt;height:10.3pt" o:ole="">
            <v:imagedata r:id="rId2600" o:title=""/>
          </v:shape>
          <o:OLEObject Type="Embed" ProgID="Equation.DSMT4" ShapeID="_x0000_i2306" DrawAspect="Content" ObjectID="_1791376250" r:id="rId2601"/>
        </w:object>
      </w:r>
      <w:r w:rsidRPr="00005251">
        <w:rPr>
          <w:rFonts w:hint="cs"/>
          <w:i/>
          <w:sz w:val="23"/>
          <w:szCs w:val="23"/>
          <w:rtl/>
        </w:rPr>
        <w:t xml:space="preserve"> افزايش خواهد يافت. به</w:t>
      </w:r>
      <w:r w:rsidRPr="00005251">
        <w:rPr>
          <w:i/>
          <w:sz w:val="23"/>
          <w:szCs w:val="23"/>
          <w:rtl/>
        </w:rPr>
        <w:softHyphen/>
      </w:r>
      <w:r w:rsidRPr="00005251">
        <w:rPr>
          <w:rFonts w:hint="cs"/>
          <w:i/>
          <w:sz w:val="23"/>
          <w:szCs w:val="23"/>
          <w:rtl/>
        </w:rPr>
        <w:t>عبارتی</w:t>
      </w:r>
      <w:r w:rsidRPr="00005251">
        <w:rPr>
          <w:i/>
          <w:sz w:val="23"/>
          <w:szCs w:val="23"/>
        </w:rPr>
        <w:t xml:space="preserve"> </w:t>
      </w:r>
      <w:r w:rsidRPr="00005251">
        <w:rPr>
          <w:rFonts w:hint="cs"/>
          <w:i/>
          <w:sz w:val="23"/>
          <w:szCs w:val="23"/>
          <w:rtl/>
        </w:rPr>
        <w:t>دیگر</w:t>
      </w:r>
      <w:r w:rsidRPr="00005251">
        <w:rPr>
          <w:i/>
          <w:sz w:val="23"/>
          <w:szCs w:val="23"/>
        </w:rPr>
        <w:t xml:space="preserve"> </w:t>
      </w:r>
      <w:r w:rsidRPr="00005251">
        <w:rPr>
          <w:rFonts w:hint="cs"/>
          <w:i/>
          <w:sz w:val="23"/>
          <w:szCs w:val="23"/>
          <w:rtl/>
        </w:rPr>
        <w:t>این رابطه عرضه</w:t>
      </w:r>
      <w:r w:rsidRPr="00005251">
        <w:rPr>
          <w:i/>
          <w:sz w:val="23"/>
          <w:szCs w:val="23"/>
          <w:rtl/>
        </w:rPr>
        <w:softHyphen/>
      </w:r>
      <w:r w:rsidRPr="00005251">
        <w:rPr>
          <w:rFonts w:hint="cs"/>
          <w:i/>
          <w:sz w:val="23"/>
          <w:szCs w:val="23"/>
          <w:rtl/>
        </w:rPr>
        <w:t>ی نيروي كار را بوسیله</w:t>
      </w:r>
      <w:r w:rsidRPr="00005251">
        <w:rPr>
          <w:i/>
          <w:sz w:val="23"/>
          <w:szCs w:val="23"/>
          <w:rtl/>
        </w:rPr>
        <w:softHyphen/>
      </w:r>
      <w:r w:rsidRPr="00005251">
        <w:rPr>
          <w:rFonts w:hint="cs"/>
          <w:i/>
          <w:sz w:val="23"/>
          <w:szCs w:val="23"/>
          <w:rtl/>
        </w:rPr>
        <w:t>ی خانوار نشان می</w:t>
      </w:r>
      <w:r w:rsidRPr="00005251">
        <w:rPr>
          <w:i/>
          <w:sz w:val="23"/>
          <w:szCs w:val="23"/>
          <w:rtl/>
        </w:rPr>
        <w:softHyphen/>
      </w:r>
      <w:r w:rsidRPr="00005251">
        <w:rPr>
          <w:rFonts w:hint="cs"/>
          <w:i/>
          <w:sz w:val="23"/>
          <w:szCs w:val="23"/>
          <w:rtl/>
        </w:rPr>
        <w:t xml:space="preserve">دهد. </w:t>
      </w:r>
    </w:p>
    <w:p w14:paraId="33E1494B" w14:textId="77777777" w:rsidR="00411620" w:rsidRPr="00005251" w:rsidRDefault="00411620" w:rsidP="00411620">
      <w:pPr>
        <w:spacing w:line="216" w:lineRule="auto"/>
        <w:rPr>
          <w:i/>
          <w:sz w:val="23"/>
          <w:szCs w:val="23"/>
          <w:rtl/>
        </w:rPr>
      </w:pPr>
      <w:r w:rsidRPr="00005251">
        <w:rPr>
          <w:rFonts w:hint="cs"/>
          <w:i/>
          <w:sz w:val="23"/>
          <w:szCs w:val="23"/>
          <w:rtl/>
        </w:rPr>
        <w:t xml:space="preserve">همچنین از روابط اول و سوم شروط فوق و با توجه به </w:t>
      </w:r>
      <w:r w:rsidRPr="00005251">
        <w:rPr>
          <w:position w:val="-8"/>
        </w:rPr>
        <w:object w:dxaOrig="660" w:dyaOrig="279" w14:anchorId="74FC82C5">
          <v:shape id="_x0000_i2307" type="#_x0000_t75" style="width:32.65pt;height:13.9pt" o:ole="">
            <v:imagedata r:id="rId2602" o:title=""/>
          </v:shape>
          <o:OLEObject Type="Embed" ProgID="Equation.DSMT4" ShapeID="_x0000_i2307" DrawAspect="Content" ObjectID="_1791376251" r:id="rId2603"/>
        </w:object>
      </w:r>
      <w:r w:rsidRPr="00005251">
        <w:rPr>
          <w:rFonts w:hint="cs"/>
          <w:i/>
          <w:sz w:val="23"/>
          <w:szCs w:val="23"/>
          <w:rtl/>
        </w:rPr>
        <w:t xml:space="preserve"> معادله</w:t>
      </w:r>
      <w:r w:rsidRPr="00005251">
        <w:rPr>
          <w:i/>
          <w:sz w:val="23"/>
          <w:szCs w:val="23"/>
          <w:rtl/>
        </w:rPr>
        <w:softHyphen/>
      </w:r>
      <w:r w:rsidRPr="00005251">
        <w:rPr>
          <w:rFonts w:hint="cs"/>
          <w:i/>
          <w:sz w:val="23"/>
          <w:szCs w:val="23"/>
          <w:rtl/>
        </w:rPr>
        <w:t>ی اویلر بدست می</w:t>
      </w:r>
      <w:r w:rsidRPr="00005251">
        <w:rPr>
          <w:i/>
          <w:sz w:val="23"/>
          <w:szCs w:val="23"/>
          <w:rtl/>
        </w:rPr>
        <w:softHyphen/>
      </w:r>
      <w:r w:rsidRPr="00005251">
        <w:rPr>
          <w:rFonts w:hint="cs"/>
          <w:i/>
          <w:sz w:val="23"/>
          <w:szCs w:val="23"/>
          <w:rtl/>
        </w:rPr>
        <w:t xml:space="preserve">آید و برابر است با </w:t>
      </w:r>
    </w:p>
    <w:p w14:paraId="64C58B86" w14:textId="77777777" w:rsidR="00411620" w:rsidRPr="00005251" w:rsidRDefault="00411620" w:rsidP="00411620">
      <w:pPr>
        <w:pStyle w:val="MTDisplayEquation"/>
        <w:tabs>
          <w:tab w:val="clear" w:pos="6660"/>
          <w:tab w:val="right" w:pos="0"/>
        </w:tabs>
        <w:spacing w:line="216" w:lineRule="auto"/>
        <w:rPr>
          <w:rFonts w:ascii="Times New Roman" w:hAnsi="Times New Roman" w:cs="B Nazanin"/>
          <w:i/>
          <w:sz w:val="23"/>
          <w:szCs w:val="23"/>
          <w:lang w:val="en-GB"/>
        </w:rPr>
      </w:pPr>
      <w:r w:rsidRPr="00005251">
        <w:rPr>
          <w:position w:val="-30"/>
        </w:rPr>
        <w:object w:dxaOrig="1760" w:dyaOrig="680" w14:anchorId="1631AD6A">
          <v:shape id="_x0000_i2308" type="#_x0000_t75" style="width:88.35pt;height:33.9pt" o:ole="">
            <v:imagedata r:id="rId2604" o:title=""/>
          </v:shape>
          <o:OLEObject Type="Embed" ProgID="Equation.DSMT4" ShapeID="_x0000_i2308" DrawAspect="Content" ObjectID="_1791376252" r:id="rId2605"/>
        </w:object>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cs="B Nazanin"/>
          <w:i/>
          <w:sz w:val="23"/>
          <w:szCs w:val="23"/>
          <w:rtl/>
        </w:rPr>
        <w:tab/>
      </w:r>
      <w:r>
        <w:rPr>
          <w:rFonts w:ascii="Times New Roman" w:hAnsi="Times New Roman" w:cs="B Nazanin"/>
          <w:i/>
          <w:sz w:val="23"/>
          <w:szCs w:val="23"/>
          <w:rtl/>
        </w:rPr>
        <w:tab/>
      </w:r>
      <w:r w:rsidRPr="00005251">
        <w:rPr>
          <w:rFonts w:ascii="Times New Roman" w:hAnsi="Times New Roman" w:cs="B Nazanin"/>
          <w:i/>
          <w:sz w:val="23"/>
          <w:szCs w:val="23"/>
          <w:rtl/>
        </w:rPr>
        <w:tab/>
      </w:r>
      <w:r w:rsidRPr="00005251">
        <w:rPr>
          <w:rFonts w:ascii="Times New Roman" w:hAnsi="Times New Roman" w:cs="B Nazanin" w:hint="cs"/>
          <w:i/>
          <w:sz w:val="23"/>
          <w:szCs w:val="23"/>
          <w:rtl/>
        </w:rPr>
        <w:t>(۴. ۲۷)</w:t>
      </w:r>
    </w:p>
    <w:p w14:paraId="09868640" w14:textId="77777777" w:rsidR="00411620" w:rsidRPr="00005251" w:rsidRDefault="00411620" w:rsidP="00411620">
      <w:pPr>
        <w:spacing w:line="216" w:lineRule="auto"/>
        <w:rPr>
          <w:i/>
          <w:sz w:val="23"/>
          <w:szCs w:val="23"/>
          <w:rtl/>
        </w:rPr>
      </w:pPr>
    </w:p>
    <w:p w14:paraId="08D8EE50" w14:textId="77777777" w:rsidR="00411620" w:rsidRPr="00005251" w:rsidRDefault="00411620" w:rsidP="00411620">
      <w:pPr>
        <w:spacing w:line="216" w:lineRule="auto"/>
        <w:rPr>
          <w:bCs/>
          <w:i/>
          <w:sz w:val="23"/>
          <w:szCs w:val="23"/>
          <w:rtl/>
        </w:rPr>
      </w:pPr>
      <w:r w:rsidRPr="00005251">
        <w:rPr>
          <w:rFonts w:hint="cs"/>
          <w:bCs/>
          <w:i/>
          <w:sz w:val="23"/>
          <w:szCs w:val="23"/>
          <w:rtl/>
        </w:rPr>
        <w:t>قید بودجه بین</w:t>
      </w:r>
      <w:r w:rsidRPr="00005251">
        <w:rPr>
          <w:bCs/>
          <w:i/>
          <w:sz w:val="23"/>
          <w:szCs w:val="23"/>
          <w:rtl/>
        </w:rPr>
        <w:softHyphen/>
      </w:r>
      <w:r w:rsidRPr="00005251">
        <w:rPr>
          <w:rFonts w:hint="cs"/>
          <w:bCs/>
          <w:i/>
          <w:sz w:val="23"/>
          <w:szCs w:val="23"/>
          <w:rtl/>
        </w:rPr>
        <w:t>دوره</w:t>
      </w:r>
      <w:r w:rsidRPr="00005251">
        <w:rPr>
          <w:bCs/>
          <w:i/>
          <w:sz w:val="23"/>
          <w:szCs w:val="23"/>
          <w:rtl/>
        </w:rPr>
        <w:softHyphen/>
      </w:r>
      <w:r w:rsidRPr="00005251">
        <w:rPr>
          <w:rFonts w:hint="cs"/>
          <w:bCs/>
          <w:i/>
          <w:sz w:val="23"/>
          <w:szCs w:val="23"/>
          <w:rtl/>
        </w:rPr>
        <w:t xml:space="preserve">ای </w:t>
      </w:r>
    </w:p>
    <w:p w14:paraId="053B3B39" w14:textId="77777777" w:rsidR="00411620" w:rsidRPr="00005251" w:rsidRDefault="00411620" w:rsidP="00411620">
      <w:pPr>
        <w:spacing w:line="216" w:lineRule="auto"/>
        <w:rPr>
          <w:rFonts w:eastAsiaTheme="minorEastAsia"/>
          <w:i/>
          <w:sz w:val="23"/>
          <w:szCs w:val="23"/>
        </w:rPr>
      </w:pPr>
      <w:r w:rsidRPr="00005251">
        <w:rPr>
          <w:rFonts w:eastAsiaTheme="minorEastAsia" w:hint="cs"/>
          <w:i/>
          <w:sz w:val="23"/>
          <w:szCs w:val="23"/>
          <w:rtl/>
        </w:rPr>
        <w:t>رفتار خانوار را بر اساس قید بودجه</w:t>
      </w:r>
      <w:r w:rsidRPr="00005251">
        <w:rPr>
          <w:rFonts w:eastAsiaTheme="minorEastAsia"/>
          <w:i/>
          <w:sz w:val="23"/>
          <w:szCs w:val="23"/>
          <w:rtl/>
        </w:rPr>
        <w:softHyphen/>
      </w:r>
      <w:r w:rsidRPr="00005251">
        <w:rPr>
          <w:rFonts w:eastAsiaTheme="minorEastAsia" w:hint="cs"/>
          <w:i/>
          <w:sz w:val="23"/>
          <w:szCs w:val="23"/>
          <w:rtl/>
        </w:rPr>
        <w:t>ی بین دوره</w:t>
      </w:r>
      <w:r w:rsidRPr="00005251">
        <w:rPr>
          <w:rFonts w:eastAsiaTheme="minorEastAsia"/>
          <w:i/>
          <w:sz w:val="23"/>
          <w:szCs w:val="23"/>
          <w:rtl/>
        </w:rPr>
        <w:softHyphen/>
      </w:r>
      <w:r w:rsidRPr="00005251">
        <w:rPr>
          <w:rFonts w:eastAsiaTheme="minorEastAsia" w:hint="cs"/>
          <w:i/>
          <w:sz w:val="23"/>
          <w:szCs w:val="23"/>
          <w:rtl/>
        </w:rPr>
        <w:t>ی خانوار نیز می‌توان بررسی کرد. در بخش قبل تابع مطلوبیت نسبت به</w:t>
      </w:r>
      <w:r w:rsidRPr="00005251">
        <w:rPr>
          <w:position w:val="-6"/>
        </w:rPr>
        <w:object w:dxaOrig="160" w:dyaOrig="200" w14:anchorId="0AD67A14">
          <v:shape id="_x0000_i2309" type="#_x0000_t75" style="width:7.85pt;height:10.3pt" o:ole="">
            <v:imagedata r:id="rId2606" o:title=""/>
          </v:shape>
          <o:OLEObject Type="Embed" ProgID="Equation.DSMT4" ShapeID="_x0000_i2309" DrawAspect="Content" ObjectID="_1791376253" r:id="rId2607"/>
        </w:object>
      </w:r>
      <w:r w:rsidRPr="00005251">
        <w:rPr>
          <w:rFonts w:eastAsiaTheme="minorEastAsia" w:hint="cs"/>
          <w:i/>
          <w:sz w:val="23"/>
          <w:szCs w:val="23"/>
          <w:rtl/>
          <w:lang w:val="en-GB"/>
        </w:rPr>
        <w:t>،</w:t>
      </w:r>
      <w:r w:rsidRPr="00005251">
        <w:rPr>
          <w:position w:val="-6"/>
        </w:rPr>
        <w:object w:dxaOrig="200" w:dyaOrig="200" w14:anchorId="6115F814">
          <v:shape id="_x0000_i2310" type="#_x0000_t75" style="width:10.3pt;height:10.3pt" o:ole="">
            <v:imagedata r:id="rId2608" o:title=""/>
          </v:shape>
          <o:OLEObject Type="Embed" ProgID="Equation.DSMT4" ShapeID="_x0000_i2310" DrawAspect="Content" ObjectID="_1791376254" r:id="rId2609"/>
        </w:object>
      </w:r>
      <w:r w:rsidRPr="00005251">
        <w:rPr>
          <w:i/>
          <w:sz w:val="23"/>
          <w:szCs w:val="23"/>
        </w:rPr>
        <w:t xml:space="preserve"> </w:t>
      </w:r>
      <w:r w:rsidRPr="00005251">
        <w:rPr>
          <w:rFonts w:eastAsiaTheme="minorEastAsia" w:hint="cs"/>
          <w:i/>
          <w:sz w:val="23"/>
          <w:szCs w:val="23"/>
          <w:rtl/>
        </w:rPr>
        <w:t>و</w:t>
      </w:r>
      <w:r w:rsidRPr="00005251">
        <w:rPr>
          <w:position w:val="-6"/>
        </w:rPr>
        <w:object w:dxaOrig="200" w:dyaOrig="200" w14:anchorId="22DAF48E">
          <v:shape id="_x0000_i2311" type="#_x0000_t75" style="width:10.3pt;height:10.3pt" o:ole="">
            <v:imagedata r:id="rId2610" o:title=""/>
          </v:shape>
          <o:OLEObject Type="Embed" ProgID="Equation.DSMT4" ShapeID="_x0000_i2311" DrawAspect="Content" ObjectID="_1791376255" r:id="rId2611"/>
        </w:object>
      </w:r>
      <w:r w:rsidRPr="00005251">
        <w:rPr>
          <w:i/>
          <w:sz w:val="23"/>
          <w:szCs w:val="23"/>
        </w:rPr>
        <w:t xml:space="preserve"> </w:t>
      </w:r>
      <w:r w:rsidRPr="00005251">
        <w:rPr>
          <w:rFonts w:eastAsiaTheme="minorEastAsia" w:hint="cs"/>
          <w:i/>
          <w:sz w:val="23"/>
          <w:szCs w:val="23"/>
          <w:rtl/>
        </w:rPr>
        <w:t>حداکثر می‌شد ولی در این بخش جهت بررسی رفتار خانوار، مطلوبیت خانوار نسبت به قید بودجه بین</w:t>
      </w:r>
      <w:r w:rsidRPr="00005251">
        <w:rPr>
          <w:rFonts w:eastAsiaTheme="minorEastAsia"/>
          <w:i/>
          <w:sz w:val="23"/>
          <w:szCs w:val="23"/>
          <w:rtl/>
        </w:rPr>
        <w:softHyphen/>
      </w:r>
      <w:r w:rsidRPr="00005251">
        <w:rPr>
          <w:rFonts w:eastAsiaTheme="minorEastAsia" w:hint="cs"/>
          <w:i/>
          <w:sz w:val="23"/>
          <w:szCs w:val="23"/>
          <w:rtl/>
        </w:rPr>
        <w:t>دوره</w:t>
      </w:r>
      <w:r w:rsidRPr="00005251">
        <w:rPr>
          <w:rFonts w:eastAsiaTheme="minorEastAsia"/>
          <w:i/>
          <w:sz w:val="23"/>
          <w:szCs w:val="23"/>
          <w:rtl/>
        </w:rPr>
        <w:softHyphen/>
      </w:r>
      <w:r w:rsidRPr="00005251">
        <w:rPr>
          <w:rFonts w:eastAsiaTheme="minorEastAsia" w:hint="cs"/>
          <w:i/>
          <w:sz w:val="23"/>
          <w:szCs w:val="23"/>
          <w:rtl/>
        </w:rPr>
        <w:t>ای برای زمان</w:t>
      </w:r>
      <w:r w:rsidRPr="00005251">
        <w:rPr>
          <w:rFonts w:eastAsiaTheme="minorEastAsia"/>
          <w:i/>
          <w:sz w:val="23"/>
          <w:szCs w:val="23"/>
          <w:rtl/>
        </w:rPr>
        <w:softHyphen/>
      </w:r>
      <w:r w:rsidRPr="00005251">
        <w:rPr>
          <w:rFonts w:eastAsiaTheme="minorEastAsia" w:hint="cs"/>
          <w:i/>
          <w:sz w:val="23"/>
          <w:szCs w:val="23"/>
          <w:rtl/>
        </w:rPr>
        <w:t xml:space="preserve">های </w:t>
      </w:r>
      <w:r w:rsidRPr="00005251">
        <w:rPr>
          <w:position w:val="-8"/>
        </w:rPr>
        <w:object w:dxaOrig="1280" w:dyaOrig="279" w14:anchorId="44E4A488">
          <v:shape id="_x0000_i2312" type="#_x0000_t75" style="width:64.15pt;height:13.9pt" o:ole="">
            <v:imagedata r:id="rId2612" o:title=""/>
          </v:shape>
          <o:OLEObject Type="Embed" ProgID="Equation.DSMT4" ShapeID="_x0000_i2312" DrawAspect="Content" ObjectID="_1791376256" r:id="rId2613"/>
        </w:object>
      </w:r>
      <w:r w:rsidRPr="00005251">
        <w:rPr>
          <w:rFonts w:eastAsiaTheme="minorEastAsia" w:hint="cs"/>
          <w:i/>
          <w:sz w:val="23"/>
          <w:szCs w:val="23"/>
          <w:rtl/>
        </w:rPr>
        <w:t xml:space="preserve"> حداکثر می‌شود. از رابطه</w:t>
      </w:r>
      <w:r w:rsidRPr="00005251">
        <w:rPr>
          <w:rFonts w:eastAsiaTheme="minorEastAsia"/>
          <w:i/>
          <w:sz w:val="23"/>
          <w:szCs w:val="23"/>
          <w:rtl/>
        </w:rPr>
        <w:softHyphen/>
      </w:r>
      <w:r w:rsidRPr="00005251">
        <w:rPr>
          <w:rFonts w:eastAsiaTheme="minorEastAsia" w:hint="cs"/>
          <w:i/>
          <w:sz w:val="23"/>
          <w:szCs w:val="23"/>
          <w:rtl/>
        </w:rPr>
        <w:t>ی</w:t>
      </w:r>
      <w:r w:rsidRPr="00005251">
        <w:rPr>
          <w:rFonts w:eastAsiaTheme="minorEastAsia"/>
          <w:i/>
          <w:sz w:val="23"/>
          <w:szCs w:val="23"/>
          <w:rtl/>
        </w:rPr>
        <w:t xml:space="preserve"> </w:t>
      </w:r>
      <w:r w:rsidRPr="00005251">
        <w:rPr>
          <w:rFonts w:hint="cs"/>
          <w:i/>
          <w:sz w:val="23"/>
          <w:szCs w:val="23"/>
          <w:rtl/>
        </w:rPr>
        <w:t>(۴. ۲۵)</w:t>
      </w:r>
      <w:r w:rsidRPr="00005251">
        <w:rPr>
          <w:rFonts w:eastAsiaTheme="minorEastAsia" w:hint="cs"/>
          <w:i/>
          <w:sz w:val="23"/>
          <w:szCs w:val="23"/>
          <w:rtl/>
        </w:rPr>
        <w:t xml:space="preserve"> برای </w:t>
      </w:r>
      <w:r w:rsidRPr="00005251">
        <w:rPr>
          <w:position w:val="-8"/>
        </w:rPr>
        <w:object w:dxaOrig="660" w:dyaOrig="279" w14:anchorId="1288D10C">
          <v:shape id="_x0000_i2313" type="#_x0000_t75" style="width:32.65pt;height:13.9pt" o:ole="">
            <v:imagedata r:id="rId2614" o:title=""/>
          </v:shape>
          <o:OLEObject Type="Embed" ProgID="Equation.DSMT4" ShapeID="_x0000_i2313" DrawAspect="Content" ObjectID="_1791376257" r:id="rId2615"/>
        </w:object>
      </w:r>
      <w:r w:rsidRPr="00005251">
        <w:rPr>
          <w:rFonts w:eastAsiaTheme="minorEastAsia" w:hint="cs"/>
          <w:i/>
          <w:sz w:val="23"/>
          <w:szCs w:val="23"/>
          <w:rtl/>
        </w:rPr>
        <w:t xml:space="preserve"> داریم:</w:t>
      </w:r>
    </w:p>
    <w:p w14:paraId="4C5BAA1C" w14:textId="77777777" w:rsidR="00411620" w:rsidRPr="00005251" w:rsidRDefault="00411620" w:rsidP="00411620">
      <w:pPr>
        <w:pStyle w:val="MTDisplayEquation"/>
        <w:spacing w:line="216" w:lineRule="auto"/>
        <w:rPr>
          <w:rFonts w:ascii="Times New Roman" w:hAnsi="Times New Roman" w:cs="B Nazanin"/>
          <w:i/>
          <w:sz w:val="23"/>
          <w:szCs w:val="23"/>
        </w:rPr>
      </w:pPr>
      <w:r w:rsidRPr="00005251">
        <w:rPr>
          <w:position w:val="-10"/>
        </w:rPr>
        <w:object w:dxaOrig="3320" w:dyaOrig="320" w14:anchorId="25C87275">
          <v:shape id="_x0000_i2314" type="#_x0000_t75" style="width:165.8pt;height:16.35pt" o:ole="">
            <v:imagedata r:id="rId2616" o:title=""/>
          </v:shape>
          <o:OLEObject Type="Embed" ProgID="Equation.DSMT4" ShapeID="_x0000_i2314" DrawAspect="Content" ObjectID="_1791376258" r:id="rId2617"/>
        </w:object>
      </w:r>
    </w:p>
    <w:p w14:paraId="7399DB0C" w14:textId="77777777" w:rsidR="00411620" w:rsidRPr="00005251" w:rsidRDefault="00411620" w:rsidP="00411620">
      <w:pPr>
        <w:bidi w:val="0"/>
        <w:spacing w:line="216" w:lineRule="auto"/>
        <w:rPr>
          <w:i/>
          <w:sz w:val="23"/>
          <w:szCs w:val="23"/>
          <w:rtl/>
        </w:rPr>
      </w:pPr>
      <w:r w:rsidRPr="00005251">
        <w:rPr>
          <w:position w:val="-10"/>
        </w:rPr>
        <w:object w:dxaOrig="4300" w:dyaOrig="320" w14:anchorId="15DBB5B8">
          <v:shape id="_x0000_i2315" type="#_x0000_t75" style="width:214.8pt;height:16.35pt" o:ole="">
            <v:imagedata r:id="rId2618" o:title=""/>
          </v:shape>
          <o:OLEObject Type="Embed" ProgID="Equation.DSMT4" ShapeID="_x0000_i2315" DrawAspect="Content" ObjectID="_1791376259" r:id="rId2619"/>
        </w:object>
      </w:r>
    </w:p>
    <w:p w14:paraId="70754442"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12"/>
        </w:rPr>
        <w:object w:dxaOrig="3580" w:dyaOrig="360" w14:anchorId="28D704B3">
          <v:shape id="_x0000_i2316" type="#_x0000_t75" style="width:178.5pt;height:18.15pt" o:ole="">
            <v:imagedata r:id="rId2620" o:title=""/>
          </v:shape>
          <o:OLEObject Type="Embed" ProgID="Equation.DSMT4" ShapeID="_x0000_i2316" DrawAspect="Content" ObjectID="_1791376260" r:id="rId2621"/>
        </w:object>
      </w:r>
    </w:p>
    <w:p w14:paraId="5DC87D34"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12"/>
        </w:rPr>
        <w:object w:dxaOrig="4360" w:dyaOrig="360" w14:anchorId="5BDC0AFC">
          <v:shape id="_x0000_i2317" type="#_x0000_t75" style="width:217.8pt;height:18.15pt" o:ole="">
            <v:imagedata r:id="rId2622" o:title=""/>
          </v:shape>
          <o:OLEObject Type="Embed" ProgID="Equation.DSMT4" ShapeID="_x0000_i2317" DrawAspect="Content" ObjectID="_1791376261" r:id="rId2623"/>
        </w:object>
      </w:r>
    </w:p>
    <w:p w14:paraId="6F781D03"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14"/>
        </w:rPr>
        <w:object w:dxaOrig="5600" w:dyaOrig="380" w14:anchorId="239E5C16">
          <v:shape id="_x0000_i2318" type="#_x0000_t75" style="width:280.15pt;height:18.75pt" o:ole="">
            <v:imagedata r:id="rId2624" o:title=""/>
          </v:shape>
          <o:OLEObject Type="Embed" ProgID="Equation.DSMT4" ShapeID="_x0000_i2318" DrawAspect="Content" ObjectID="_1791376262" r:id="rId2625"/>
        </w:object>
      </w:r>
    </w:p>
    <w:p w14:paraId="6DFDF638"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با تقسیم رابطه</w:t>
      </w:r>
      <w:r w:rsidRPr="00005251">
        <w:rPr>
          <w:rFonts w:eastAsiaTheme="minorEastAsia"/>
          <w:i/>
          <w:sz w:val="23"/>
          <w:szCs w:val="23"/>
          <w:rtl/>
        </w:rPr>
        <w:softHyphen/>
      </w:r>
      <w:r w:rsidRPr="00005251">
        <w:rPr>
          <w:rFonts w:eastAsiaTheme="minorEastAsia" w:hint="cs"/>
          <w:i/>
          <w:sz w:val="23"/>
          <w:szCs w:val="23"/>
          <w:rtl/>
        </w:rPr>
        <w:t xml:space="preserve">ی فوق بر </w:t>
      </w:r>
      <w:r w:rsidRPr="00005251">
        <w:rPr>
          <w:position w:val="-12"/>
        </w:rPr>
        <w:object w:dxaOrig="780" w:dyaOrig="360" w14:anchorId="0D3F791C">
          <v:shape id="_x0000_i2319" type="#_x0000_t75" style="width:39.35pt;height:18.15pt" o:ole="">
            <v:imagedata r:id="rId2626" o:title=""/>
          </v:shape>
          <o:OLEObject Type="Embed" ProgID="Equation.DSMT4" ShapeID="_x0000_i2319" DrawAspect="Content" ObjectID="_1791376263" r:id="rId2627"/>
        </w:object>
      </w:r>
      <w:r w:rsidRPr="00005251">
        <w:rPr>
          <w:rFonts w:eastAsiaTheme="minorEastAsia" w:hint="cs"/>
          <w:i/>
          <w:sz w:val="23"/>
          <w:szCs w:val="23"/>
          <w:rtl/>
        </w:rPr>
        <w:t xml:space="preserve"> و بازنویسی آن خواهیم داشت</w:t>
      </w:r>
    </w:p>
    <w:p w14:paraId="42DBC58B"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30"/>
        </w:rPr>
        <w:object w:dxaOrig="5940" w:dyaOrig="660" w14:anchorId="5715D4BA">
          <v:shape id="_x0000_i2320" type="#_x0000_t75" style="width:297.1pt;height:32.65pt" o:ole="">
            <v:imagedata r:id="rId2628" o:title=""/>
          </v:shape>
          <o:OLEObject Type="Embed" ProgID="Equation.DSMT4" ShapeID="_x0000_i2320" DrawAspect="Content" ObjectID="_1791376264" r:id="rId2629"/>
        </w:object>
      </w:r>
    </w:p>
    <w:p w14:paraId="04364170"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 xml:space="preserve">و برای </w:t>
      </w:r>
      <w:r w:rsidRPr="00005251">
        <w:rPr>
          <w:position w:val="-6"/>
        </w:rPr>
        <w:object w:dxaOrig="499" w:dyaOrig="260" w14:anchorId="7B8ECE31">
          <v:shape id="_x0000_i2321" type="#_x0000_t75" style="width:24.8pt;height:12.7pt" o:ole="">
            <v:imagedata r:id="rId2630" o:title=""/>
          </v:shape>
          <o:OLEObject Type="Embed" ProgID="Equation.DSMT4" ShapeID="_x0000_i2321" DrawAspect="Content" ObjectID="_1791376265" r:id="rId2631"/>
        </w:object>
      </w:r>
      <w:r w:rsidRPr="00005251">
        <w:rPr>
          <w:rFonts w:eastAsiaTheme="minorEastAsia" w:hint="cs"/>
          <w:i/>
          <w:sz w:val="23"/>
          <w:szCs w:val="23"/>
          <w:rtl/>
        </w:rPr>
        <w:t xml:space="preserve"> داریم:</w:t>
      </w:r>
    </w:p>
    <w:p w14:paraId="3079144B"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12"/>
        </w:rPr>
        <w:object w:dxaOrig="4459" w:dyaOrig="360" w14:anchorId="308919D9">
          <v:shape id="_x0000_i2322" type="#_x0000_t75" style="width:222.65pt;height:18.15pt" o:ole="">
            <v:imagedata r:id="rId2632" o:title=""/>
          </v:shape>
          <o:OLEObject Type="Embed" ProgID="Equation.DSMT4" ShapeID="_x0000_i2322" DrawAspect="Content" ObjectID="_1791376266" r:id="rId2633"/>
        </w:object>
      </w:r>
    </w:p>
    <w:p w14:paraId="300C5A56"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12"/>
        </w:rPr>
        <w:object w:dxaOrig="4560" w:dyaOrig="360" w14:anchorId="16B170FA">
          <v:shape id="_x0000_i2323" type="#_x0000_t75" style="width:228.1pt;height:18.15pt" o:ole="">
            <v:imagedata r:id="rId2634" o:title=""/>
          </v:shape>
          <o:OLEObject Type="Embed" ProgID="Equation.DSMT4" ShapeID="_x0000_i2323" DrawAspect="Content" ObjectID="_1791376267" r:id="rId2635"/>
        </w:object>
      </w:r>
    </w:p>
    <w:p w14:paraId="64F26DF5" w14:textId="77777777" w:rsidR="00411620" w:rsidRPr="00005251" w:rsidRDefault="00411620" w:rsidP="00411620">
      <w:pPr>
        <w:bidi w:val="0"/>
        <w:spacing w:line="216" w:lineRule="auto"/>
        <w:rPr>
          <w:rFonts w:eastAsiaTheme="minorEastAsia"/>
          <w:i/>
          <w:sz w:val="23"/>
          <w:szCs w:val="23"/>
          <w:rtl/>
        </w:rPr>
      </w:pPr>
      <w:r w:rsidRPr="00005251">
        <w:rPr>
          <w:position w:val="-14"/>
        </w:rPr>
        <w:object w:dxaOrig="5060" w:dyaOrig="380" w14:anchorId="3047E3D0">
          <v:shape id="_x0000_i2324" type="#_x0000_t75" style="width:252.9pt;height:18.75pt" o:ole="">
            <v:imagedata r:id="rId2636" o:title=""/>
          </v:shape>
          <o:OLEObject Type="Embed" ProgID="Equation.DSMT4" ShapeID="_x0000_i2324" DrawAspect="Content" ObjectID="_1791376268" r:id="rId2637"/>
        </w:object>
      </w:r>
      <w:r w:rsidRPr="00005251">
        <w:rPr>
          <w:rFonts w:eastAsiaTheme="minorEastAsia"/>
          <w:i/>
          <w:sz w:val="23"/>
          <w:szCs w:val="23"/>
        </w:rPr>
        <w:t xml:space="preserve"> </w:t>
      </w:r>
    </w:p>
    <w:p w14:paraId="43712C3E" w14:textId="77777777" w:rsidR="00411620" w:rsidRPr="00005251" w:rsidRDefault="00411620" w:rsidP="00411620">
      <w:pPr>
        <w:spacing w:line="216" w:lineRule="auto"/>
        <w:rPr>
          <w:rFonts w:eastAsiaTheme="minorEastAsia"/>
          <w:i/>
          <w:sz w:val="23"/>
          <w:szCs w:val="23"/>
          <w:rtl/>
        </w:rPr>
      </w:pPr>
      <w:r w:rsidRPr="00005251">
        <w:rPr>
          <w:rFonts w:eastAsiaTheme="minorEastAsia"/>
          <w:i/>
          <w:sz w:val="23"/>
          <w:szCs w:val="23"/>
        </w:rPr>
        <w:t xml:space="preserve"> </w:t>
      </w:r>
      <w:r w:rsidRPr="00005251">
        <w:rPr>
          <w:rFonts w:eastAsiaTheme="minorEastAsia" w:hint="cs"/>
          <w:i/>
          <w:sz w:val="23"/>
          <w:szCs w:val="23"/>
          <w:rtl/>
        </w:rPr>
        <w:t>با تقسیم رابطه</w:t>
      </w:r>
      <w:r w:rsidRPr="00005251">
        <w:rPr>
          <w:rFonts w:eastAsiaTheme="minorEastAsia"/>
          <w:i/>
          <w:sz w:val="23"/>
          <w:szCs w:val="23"/>
          <w:rtl/>
        </w:rPr>
        <w:softHyphen/>
      </w:r>
      <w:r w:rsidRPr="00005251">
        <w:rPr>
          <w:rFonts w:eastAsiaTheme="minorEastAsia" w:hint="cs"/>
          <w:i/>
          <w:sz w:val="23"/>
          <w:szCs w:val="23"/>
          <w:rtl/>
        </w:rPr>
        <w:t xml:space="preserve">ی فوق بر </w:t>
      </w:r>
      <w:r w:rsidRPr="00005251">
        <w:rPr>
          <w:position w:val="-12"/>
        </w:rPr>
        <w:object w:dxaOrig="1540" w:dyaOrig="360" w14:anchorId="50FB76DB">
          <v:shape id="_x0000_i2325" type="#_x0000_t75" style="width:76.85pt;height:18.15pt" o:ole="">
            <v:imagedata r:id="rId2638" o:title=""/>
          </v:shape>
          <o:OLEObject Type="Embed" ProgID="Equation.DSMT4" ShapeID="_x0000_i2325" DrawAspect="Content" ObjectID="_1791376269" r:id="rId2639"/>
        </w:object>
      </w:r>
      <w:r w:rsidRPr="00005251">
        <w:rPr>
          <w:rFonts w:eastAsiaTheme="minorEastAsia" w:hint="cs"/>
          <w:i/>
          <w:sz w:val="23"/>
          <w:szCs w:val="23"/>
          <w:rtl/>
        </w:rPr>
        <w:t xml:space="preserve"> و بازنویسی آن خواهیم داشت</w:t>
      </w:r>
    </w:p>
    <w:p w14:paraId="67BB1100"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30"/>
        </w:rPr>
        <w:object w:dxaOrig="4520" w:dyaOrig="660" w14:anchorId="5A0B96A9">
          <v:shape id="_x0000_i2326" type="#_x0000_t75" style="width:226.3pt;height:32.65pt" o:ole="">
            <v:imagedata r:id="rId2640" o:title=""/>
          </v:shape>
          <o:OLEObject Type="Embed" ProgID="Equation.DSMT4" ShapeID="_x0000_i2326" DrawAspect="Content" ObjectID="_1791376270" r:id="rId2641"/>
        </w:object>
      </w:r>
    </w:p>
    <w:p w14:paraId="0E881BF9"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30"/>
        </w:rPr>
        <w:object w:dxaOrig="3220" w:dyaOrig="660" w14:anchorId="099FA8D7">
          <v:shape id="_x0000_i2327" type="#_x0000_t75" style="width:160.95pt;height:32.65pt" o:ole="">
            <v:imagedata r:id="rId2642" o:title=""/>
          </v:shape>
          <o:OLEObject Type="Embed" ProgID="Equation.DSMT4" ShapeID="_x0000_i2327" DrawAspect="Content" ObjectID="_1791376271" r:id="rId2643"/>
        </w:object>
      </w:r>
    </w:p>
    <w:p w14:paraId="16A5D34F"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30"/>
        </w:rPr>
        <w:object w:dxaOrig="4440" w:dyaOrig="660" w14:anchorId="4D1CF29B">
          <v:shape id="_x0000_i2328" type="#_x0000_t75" style="width:222.05pt;height:32.65pt" o:ole="">
            <v:imagedata r:id="rId2644" o:title=""/>
          </v:shape>
          <o:OLEObject Type="Embed" ProgID="Equation.DSMT4" ShapeID="_x0000_i2328" DrawAspect="Content" ObjectID="_1791376272" r:id="rId2645"/>
        </w:object>
      </w:r>
    </w:p>
    <w:p w14:paraId="72A84BD9"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 xml:space="preserve">با تکرارهای بعدی، و برای </w:t>
      </w:r>
      <w:r w:rsidRPr="00005251">
        <w:rPr>
          <w:position w:val="-6"/>
        </w:rPr>
        <w:object w:dxaOrig="800" w:dyaOrig="260" w14:anchorId="6A940E7B">
          <v:shape id="_x0000_i2329" type="#_x0000_t75" style="width:39.95pt;height:12.7pt" o:ole="">
            <v:imagedata r:id="rId2646" o:title=""/>
          </v:shape>
          <o:OLEObject Type="Embed" ProgID="Equation.DSMT4" ShapeID="_x0000_i2329" DrawAspect="Content" ObjectID="_1791376273" r:id="rId2647"/>
        </w:object>
      </w:r>
      <w:r w:rsidRPr="00005251">
        <w:rPr>
          <w:rFonts w:eastAsiaTheme="minorEastAsia" w:hint="cs"/>
          <w:i/>
          <w:sz w:val="23"/>
          <w:szCs w:val="23"/>
          <w:rtl/>
        </w:rPr>
        <w:t xml:space="preserve"> خواهیم داشت :</w:t>
      </w:r>
    </w:p>
    <w:p w14:paraId="3D72AEFB"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36"/>
        </w:rPr>
        <w:object w:dxaOrig="3480" w:dyaOrig="720" w14:anchorId="4CFC6D48">
          <v:shape id="_x0000_i2330" type="#_x0000_t75" style="width:174.25pt;height:36.3pt" o:ole="">
            <v:imagedata r:id="rId2648" o:title=""/>
          </v:shape>
          <o:OLEObject Type="Embed" ProgID="Equation.DSMT4" ShapeID="_x0000_i2330" DrawAspect="Content" ObjectID="_1791376274" r:id="rId2649"/>
        </w:object>
      </w:r>
    </w:p>
    <w:p w14:paraId="73AFA36E"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u w:val="single"/>
          <w:rtl/>
        </w:rPr>
      </w:pPr>
      <w:r w:rsidRPr="00005251">
        <w:rPr>
          <w:position w:val="-36"/>
        </w:rPr>
        <w:object w:dxaOrig="4400" w:dyaOrig="720" w14:anchorId="0AF952E1">
          <v:shape id="_x0000_i2331" type="#_x0000_t75" style="width:220.25pt;height:36.3pt" o:ole="">
            <v:imagedata r:id="rId2650" o:title=""/>
          </v:shape>
          <o:OLEObject Type="Embed" ProgID="Equation.DSMT4" ShapeID="_x0000_i2331" DrawAspect="Content" ObjectID="_1791376275" r:id="rId2651"/>
        </w:object>
      </w:r>
    </w:p>
    <w:p w14:paraId="341DA168"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لذا ثروت برابر است با مصارف آن، یا ارزش تنزیل شده</w:t>
      </w:r>
      <w:r w:rsidRPr="00005251">
        <w:rPr>
          <w:rFonts w:eastAsiaTheme="minorEastAsia"/>
          <w:i/>
          <w:sz w:val="23"/>
          <w:szCs w:val="23"/>
          <w:rtl/>
        </w:rPr>
        <w:softHyphen/>
      </w:r>
      <w:r w:rsidRPr="00005251">
        <w:rPr>
          <w:rFonts w:eastAsiaTheme="minorEastAsia" w:hint="cs"/>
          <w:i/>
          <w:sz w:val="23"/>
          <w:szCs w:val="23"/>
          <w:rtl/>
        </w:rPr>
        <w:t>ی دارایی مالی نهایی در انتهای دوره بعلاوه</w:t>
      </w:r>
      <w:r w:rsidRPr="00005251">
        <w:rPr>
          <w:rFonts w:eastAsiaTheme="minorEastAsia"/>
          <w:i/>
          <w:sz w:val="23"/>
          <w:szCs w:val="23"/>
          <w:rtl/>
        </w:rPr>
        <w:softHyphen/>
      </w:r>
      <w:r w:rsidRPr="00005251">
        <w:rPr>
          <w:rFonts w:eastAsiaTheme="minorEastAsia" w:hint="cs"/>
          <w:i/>
          <w:sz w:val="23"/>
          <w:szCs w:val="23"/>
          <w:rtl/>
        </w:rPr>
        <w:t>ی مصرف جاری و ارزش فعلی مصرف</w:t>
      </w:r>
      <w:r w:rsidRPr="00005251">
        <w:rPr>
          <w:rFonts w:eastAsiaTheme="minorEastAsia"/>
          <w:i/>
          <w:sz w:val="23"/>
          <w:szCs w:val="23"/>
          <w:rtl/>
        </w:rPr>
        <w:softHyphen/>
      </w:r>
      <w:r w:rsidRPr="00005251">
        <w:rPr>
          <w:rFonts w:eastAsiaTheme="minorEastAsia" w:hint="cs"/>
          <w:i/>
          <w:sz w:val="23"/>
          <w:szCs w:val="23"/>
          <w:rtl/>
        </w:rPr>
        <w:t>های آتی. و یا ثروت برابر است با منابع آن یا درآمد جاری و ارزش فعلی درآمدهای آتی حاصل از دستمزد نیروی کار و غیرکاری بعلاوه دارایی</w:t>
      </w:r>
      <w:r w:rsidRPr="00005251">
        <w:rPr>
          <w:rFonts w:eastAsiaTheme="minorEastAsia"/>
          <w:i/>
          <w:sz w:val="23"/>
          <w:szCs w:val="23"/>
          <w:rtl/>
        </w:rPr>
        <w:softHyphen/>
      </w:r>
      <w:r w:rsidRPr="00005251">
        <w:rPr>
          <w:rFonts w:eastAsiaTheme="minorEastAsia" w:hint="cs"/>
          <w:i/>
          <w:sz w:val="23"/>
          <w:szCs w:val="23"/>
          <w:rtl/>
        </w:rPr>
        <w:t>های مالی اولیه.</w:t>
      </w:r>
    </w:p>
    <w:p w14:paraId="6FC5E2BA" w14:textId="77777777" w:rsidR="00411620" w:rsidRPr="00005251" w:rsidRDefault="00411620" w:rsidP="00411620">
      <w:pPr>
        <w:spacing w:line="216" w:lineRule="auto"/>
        <w:rPr>
          <w:rFonts w:eastAsiaTheme="minorEastAsia"/>
          <w:i/>
          <w:sz w:val="23"/>
          <w:szCs w:val="23"/>
        </w:rPr>
      </w:pPr>
      <w:r w:rsidRPr="00005251">
        <w:rPr>
          <w:rFonts w:eastAsiaTheme="minorEastAsia" w:hint="cs"/>
          <w:i/>
          <w:sz w:val="23"/>
          <w:szCs w:val="23"/>
          <w:rtl/>
        </w:rPr>
        <w:t xml:space="preserve">وقتی </w:t>
      </w:r>
      <w:r w:rsidRPr="00005251">
        <w:rPr>
          <w:position w:val="-6"/>
        </w:rPr>
        <w:object w:dxaOrig="660" w:dyaOrig="220" w14:anchorId="19ED2E8C">
          <v:shape id="_x0000_i2332" type="#_x0000_t75" style="width:32.65pt;height:10.9pt" o:ole="">
            <v:imagedata r:id="rId2652" o:title=""/>
          </v:shape>
          <o:OLEObject Type="Embed" ProgID="Equation.DSMT4" ShapeID="_x0000_i2332" DrawAspect="Content" ObjectID="_1791376276" r:id="rId2653"/>
        </w:object>
      </w:r>
      <w:r w:rsidRPr="00005251">
        <w:rPr>
          <w:rFonts w:eastAsiaTheme="minorEastAsia"/>
          <w:i/>
          <w:sz w:val="23"/>
          <w:szCs w:val="23"/>
        </w:rPr>
        <w:t xml:space="preserve"> </w:t>
      </w:r>
      <w:r w:rsidRPr="00005251">
        <w:rPr>
          <w:rFonts w:eastAsiaTheme="minorEastAsia" w:hint="cs"/>
          <w:i/>
          <w:sz w:val="23"/>
          <w:szCs w:val="23"/>
          <w:rtl/>
        </w:rPr>
        <w:t>میل کند، آنگاه قید بودجه بین</w:t>
      </w:r>
      <w:r w:rsidRPr="00005251">
        <w:rPr>
          <w:rFonts w:eastAsiaTheme="minorEastAsia"/>
          <w:i/>
          <w:sz w:val="23"/>
          <w:szCs w:val="23"/>
          <w:rtl/>
        </w:rPr>
        <w:softHyphen/>
      </w:r>
      <w:r w:rsidRPr="00005251">
        <w:rPr>
          <w:rFonts w:eastAsiaTheme="minorEastAsia" w:hint="cs"/>
          <w:i/>
          <w:sz w:val="23"/>
          <w:szCs w:val="23"/>
          <w:rtl/>
        </w:rPr>
        <w:t>دوره</w:t>
      </w:r>
      <w:r w:rsidRPr="00005251">
        <w:rPr>
          <w:rFonts w:eastAsiaTheme="minorEastAsia"/>
          <w:i/>
          <w:sz w:val="23"/>
          <w:szCs w:val="23"/>
          <w:rtl/>
        </w:rPr>
        <w:softHyphen/>
      </w:r>
      <w:r w:rsidRPr="00005251">
        <w:rPr>
          <w:rFonts w:eastAsiaTheme="minorEastAsia" w:hint="cs"/>
          <w:i/>
          <w:sz w:val="23"/>
          <w:szCs w:val="23"/>
          <w:rtl/>
        </w:rPr>
        <w:t>ای نامحدود را خواهیم داشت. در این صورت چون ثروت محدود است لذا می</w:t>
      </w:r>
      <w:r w:rsidRPr="00005251">
        <w:rPr>
          <w:rFonts w:eastAsiaTheme="minorEastAsia"/>
          <w:i/>
          <w:sz w:val="23"/>
          <w:szCs w:val="23"/>
          <w:rtl/>
        </w:rPr>
        <w:softHyphen/>
      </w:r>
      <w:r w:rsidRPr="00005251">
        <w:rPr>
          <w:rFonts w:eastAsiaTheme="minorEastAsia" w:hint="cs"/>
          <w:i/>
          <w:sz w:val="23"/>
          <w:szCs w:val="23"/>
          <w:rtl/>
        </w:rPr>
        <w:t>بایست شرط تراگردی زیر را داشته باشیم:</w:t>
      </w:r>
    </w:p>
    <w:p w14:paraId="1597F282"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36"/>
        </w:rPr>
        <w:object w:dxaOrig="2000" w:dyaOrig="720" w14:anchorId="3B1F7C2A">
          <v:shape id="_x0000_i2333" type="#_x0000_t75" style="width:99.85pt;height:36.3pt" o:ole="">
            <v:imagedata r:id="rId2654" o:title=""/>
          </v:shape>
          <o:OLEObject Type="Embed" ProgID="Equation.DSMT4" ShapeID="_x0000_i2333" DrawAspect="Content" ObjectID="_1791376277" r:id="rId2655"/>
        </w:object>
      </w:r>
    </w:p>
    <w:p w14:paraId="013F1F4D"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اگر نرخ بهره و مصرف ثابت باشند، آنگاه ثروت برابر خواهد بود با:</w:t>
      </w:r>
    </w:p>
    <w:p w14:paraId="6DA077AE" w14:textId="77777777" w:rsidR="00411620" w:rsidRPr="00005251" w:rsidRDefault="00411620" w:rsidP="00411620">
      <w:pPr>
        <w:bidi w:val="0"/>
        <w:spacing w:line="216" w:lineRule="auto"/>
        <w:rPr>
          <w:rFonts w:eastAsiaTheme="minorEastAsia"/>
          <w:i/>
          <w:sz w:val="23"/>
          <w:szCs w:val="23"/>
        </w:rPr>
      </w:pPr>
      <w:r w:rsidRPr="00005251">
        <w:rPr>
          <w:position w:val="-34"/>
        </w:rPr>
        <w:object w:dxaOrig="2240" w:dyaOrig="700" w14:anchorId="41EB1FCA">
          <v:shape id="_x0000_i2334" type="#_x0000_t75" style="width:111.95pt;height:34.5pt" o:ole="">
            <v:imagedata r:id="rId2656" o:title=""/>
          </v:shape>
          <o:OLEObject Type="Embed" ProgID="Equation.DSMT4" ShapeID="_x0000_i2334" DrawAspect="Content" ObjectID="_1791376278" r:id="rId2657"/>
        </w:object>
      </w:r>
      <w:r w:rsidRPr="00005251">
        <w:rPr>
          <w:rFonts w:eastAsiaTheme="minorEastAsia"/>
          <w:i/>
          <w:sz w:val="23"/>
          <w:szCs w:val="23"/>
        </w:rPr>
        <w:t xml:space="preserve">. </w:t>
      </w:r>
    </w:p>
    <w:p w14:paraId="401C3C95"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lang w:val="en-GB"/>
        </w:rPr>
      </w:pPr>
      <w:r w:rsidRPr="00005251">
        <w:rPr>
          <w:position w:val="-34"/>
        </w:rPr>
        <w:object w:dxaOrig="3680" w:dyaOrig="700" w14:anchorId="742F5BA0">
          <v:shape id="_x0000_i2335" type="#_x0000_t75" style="width:183.95pt;height:34.5pt" o:ole="">
            <v:imagedata r:id="rId2658" o:title=""/>
          </v:shape>
          <o:OLEObject Type="Embed" ProgID="Equation.DSMT4" ShapeID="_x0000_i2335" DrawAspect="Content" ObjectID="_1791376279" r:id="rId2659"/>
        </w:object>
      </w:r>
    </w:p>
    <w:p w14:paraId="164CF493"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رابطه</w:t>
      </w:r>
      <w:r w:rsidRPr="00005251">
        <w:rPr>
          <w:rFonts w:eastAsiaTheme="minorEastAsia"/>
          <w:i/>
          <w:sz w:val="23"/>
          <w:szCs w:val="23"/>
          <w:rtl/>
        </w:rPr>
        <w:softHyphen/>
      </w:r>
      <w:r w:rsidRPr="00005251">
        <w:rPr>
          <w:rFonts w:eastAsiaTheme="minorEastAsia" w:hint="cs"/>
          <w:i/>
          <w:sz w:val="23"/>
          <w:szCs w:val="23"/>
          <w:rtl/>
        </w:rPr>
        <w:t>ی فوق از قید بودجه</w:t>
      </w:r>
      <w:r w:rsidRPr="00005251">
        <w:rPr>
          <w:rFonts w:eastAsiaTheme="minorEastAsia"/>
          <w:i/>
          <w:sz w:val="23"/>
          <w:szCs w:val="23"/>
          <w:rtl/>
        </w:rPr>
        <w:softHyphen/>
      </w:r>
      <w:r w:rsidRPr="00005251">
        <w:rPr>
          <w:rFonts w:eastAsiaTheme="minorEastAsia" w:hint="cs"/>
          <w:i/>
          <w:sz w:val="23"/>
          <w:szCs w:val="23"/>
          <w:rtl/>
        </w:rPr>
        <w:t>ی بین</w:t>
      </w:r>
      <w:r w:rsidRPr="00005251">
        <w:rPr>
          <w:rFonts w:eastAsiaTheme="minorEastAsia"/>
          <w:i/>
          <w:sz w:val="23"/>
          <w:szCs w:val="23"/>
          <w:rtl/>
        </w:rPr>
        <w:softHyphen/>
      </w:r>
      <w:r w:rsidRPr="00005251">
        <w:rPr>
          <w:rFonts w:eastAsiaTheme="minorEastAsia" w:hint="cs"/>
          <w:i/>
          <w:sz w:val="23"/>
          <w:szCs w:val="23"/>
          <w:rtl/>
        </w:rPr>
        <w:t>دوره</w:t>
      </w:r>
      <w:r w:rsidRPr="00005251">
        <w:rPr>
          <w:rFonts w:eastAsiaTheme="minorEastAsia"/>
          <w:i/>
          <w:sz w:val="23"/>
          <w:szCs w:val="23"/>
          <w:rtl/>
        </w:rPr>
        <w:softHyphen/>
      </w:r>
      <w:r w:rsidRPr="00005251">
        <w:rPr>
          <w:rFonts w:eastAsiaTheme="minorEastAsia" w:hint="cs"/>
          <w:i/>
          <w:sz w:val="23"/>
          <w:szCs w:val="23"/>
          <w:rtl/>
        </w:rPr>
        <w:t>ای خانوار بدست آمده است و می</w:t>
      </w:r>
      <w:r w:rsidRPr="00005251">
        <w:rPr>
          <w:rFonts w:eastAsiaTheme="minorEastAsia"/>
          <w:i/>
          <w:sz w:val="23"/>
          <w:szCs w:val="23"/>
          <w:rtl/>
        </w:rPr>
        <w:softHyphen/>
      </w:r>
      <w:r w:rsidRPr="00005251">
        <w:rPr>
          <w:rFonts w:eastAsiaTheme="minorEastAsia" w:hint="cs"/>
          <w:i/>
          <w:sz w:val="23"/>
          <w:szCs w:val="23"/>
          <w:rtl/>
        </w:rPr>
        <w:t>توان مطلوبیت خانوار را نسبت به قید فوق حداکثر نمود.</w:t>
      </w:r>
    </w:p>
    <w:p w14:paraId="214F7A14"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بر اساس رابطه</w:t>
      </w:r>
      <w:r w:rsidRPr="00005251">
        <w:rPr>
          <w:rFonts w:eastAsiaTheme="minorEastAsia"/>
          <w:i/>
          <w:sz w:val="23"/>
          <w:szCs w:val="23"/>
          <w:rtl/>
        </w:rPr>
        <w:softHyphen/>
      </w:r>
      <w:r w:rsidRPr="00005251">
        <w:rPr>
          <w:rFonts w:eastAsiaTheme="minorEastAsia" w:hint="cs"/>
          <w:i/>
          <w:sz w:val="23"/>
          <w:szCs w:val="23"/>
          <w:rtl/>
        </w:rPr>
        <w:t>ی ثروت می</w:t>
      </w:r>
      <w:r w:rsidRPr="00005251">
        <w:rPr>
          <w:rFonts w:eastAsiaTheme="minorEastAsia"/>
          <w:i/>
          <w:sz w:val="23"/>
          <w:szCs w:val="23"/>
          <w:rtl/>
        </w:rPr>
        <w:softHyphen/>
      </w:r>
      <w:r w:rsidRPr="00005251">
        <w:rPr>
          <w:rFonts w:eastAsiaTheme="minorEastAsia" w:hint="cs"/>
          <w:i/>
          <w:sz w:val="23"/>
          <w:szCs w:val="23"/>
          <w:rtl/>
        </w:rPr>
        <w:t>توان تابع مصرف را بدست آورد. بنابراین خواهیم داشت:</w:t>
      </w:r>
    </w:p>
    <w:p w14:paraId="010B2078" w14:textId="77777777" w:rsidR="00411620" w:rsidRPr="00005251" w:rsidRDefault="00411620" w:rsidP="00411620">
      <w:pPr>
        <w:pStyle w:val="MTDisplayEquation"/>
        <w:tabs>
          <w:tab w:val="clear" w:pos="6660"/>
        </w:tabs>
        <w:spacing w:line="216" w:lineRule="auto"/>
        <w:rPr>
          <w:rFonts w:ascii="Times New Roman" w:eastAsiaTheme="minorEastAsia" w:hAnsi="Times New Roman" w:cs="B Nazanin"/>
          <w:i/>
          <w:sz w:val="23"/>
          <w:szCs w:val="23"/>
          <w:rtl/>
        </w:rPr>
      </w:pPr>
      <w:r w:rsidRPr="00005251">
        <w:rPr>
          <w:position w:val="-34"/>
        </w:rPr>
        <w:object w:dxaOrig="4120" w:dyaOrig="800" w14:anchorId="57DB01C2">
          <v:shape id="_x0000_i2336" type="#_x0000_t75" style="width:205.7pt;height:39.95pt" o:ole="">
            <v:imagedata r:id="rId2660" o:title=""/>
          </v:shape>
          <o:OLEObject Type="Embed" ProgID="Equation.DSMT4" ShapeID="_x0000_i2336" DrawAspect="Content" ObjectID="_1791376280" r:id="rId2661"/>
        </w:object>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Pr>
          <w:rFonts w:ascii="Times New Roman" w:hAnsi="Times New Roman"/>
          <w:i/>
          <w:sz w:val="23"/>
          <w:szCs w:val="23"/>
          <w:rtl/>
        </w:rPr>
        <w:tab/>
      </w:r>
      <w:r>
        <w:rPr>
          <w:rFonts w:ascii="Times New Roman" w:hAnsi="Times New Roman"/>
          <w:i/>
          <w:sz w:val="23"/>
          <w:szCs w:val="23"/>
          <w:rtl/>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cs="B Nazanin" w:hint="cs"/>
          <w:i/>
          <w:sz w:val="23"/>
          <w:szCs w:val="23"/>
          <w:rtl/>
        </w:rPr>
        <w:t>(۴. ۲۸)</w:t>
      </w:r>
    </w:p>
    <w:p w14:paraId="22E94ED9" w14:textId="77777777" w:rsidR="00411620" w:rsidRPr="00005251" w:rsidRDefault="00411620" w:rsidP="00411620">
      <w:pPr>
        <w:spacing w:line="216" w:lineRule="auto"/>
        <w:rPr>
          <w:i/>
          <w:sz w:val="23"/>
          <w:szCs w:val="23"/>
          <w:rtl/>
        </w:rPr>
      </w:pPr>
      <w:r w:rsidRPr="00005251">
        <w:rPr>
          <w:rFonts w:hint="cs"/>
          <w:i/>
          <w:sz w:val="23"/>
          <w:szCs w:val="23"/>
          <w:rtl/>
        </w:rPr>
        <w:t>معادلات (۴. ۲۶)، (۴. ۲۸) و قيد نيروي كار</w:t>
      </w:r>
      <w:r w:rsidRPr="00005251">
        <w:rPr>
          <w:position w:val="-10"/>
        </w:rPr>
        <w:object w:dxaOrig="960" w:dyaOrig="320" w14:anchorId="07DF5A67">
          <v:shape id="_x0000_i2337" type="#_x0000_t75" style="width:47.8pt;height:16.35pt" o:ole="">
            <v:imagedata r:id="rId2662" o:title=""/>
          </v:shape>
          <o:OLEObject Type="Embed" ProgID="Equation.DSMT4" ShapeID="_x0000_i2337" DrawAspect="Content" ObjectID="_1791376281" r:id="rId2663"/>
        </w:object>
      </w:r>
      <w:r w:rsidRPr="00005251">
        <w:rPr>
          <w:rFonts w:hint="cs"/>
          <w:i/>
          <w:sz w:val="23"/>
          <w:szCs w:val="23"/>
          <w:rtl/>
        </w:rPr>
        <w:t xml:space="preserve"> سه معادله</w:t>
      </w:r>
      <w:r w:rsidRPr="00005251">
        <w:rPr>
          <w:i/>
          <w:sz w:val="23"/>
          <w:szCs w:val="23"/>
          <w:rtl/>
        </w:rPr>
        <w:softHyphen/>
      </w:r>
      <w:r w:rsidRPr="00005251">
        <w:rPr>
          <w:rFonts w:hint="cs"/>
          <w:i/>
          <w:sz w:val="23"/>
          <w:szCs w:val="23"/>
          <w:rtl/>
        </w:rPr>
        <w:t xml:space="preserve">ی همزمان بر حسب </w:t>
      </w:r>
      <w:r w:rsidRPr="00005251">
        <w:rPr>
          <w:position w:val="-10"/>
        </w:rPr>
        <w:object w:dxaOrig="680" w:dyaOrig="320" w14:anchorId="1E9BDC9D">
          <v:shape id="_x0000_i2338" type="#_x0000_t75" style="width:33.9pt;height:16.35pt" o:ole="">
            <v:imagedata r:id="rId2664" o:title=""/>
          </v:shape>
          <o:OLEObject Type="Embed" ProgID="Equation.DSMT4" ShapeID="_x0000_i2338" DrawAspect="Content" ObjectID="_1791376282" r:id="rId2665"/>
        </w:object>
      </w:r>
      <w:r w:rsidRPr="00005251">
        <w:rPr>
          <w:rFonts w:hint="cs"/>
          <w:i/>
          <w:sz w:val="23"/>
          <w:szCs w:val="23"/>
          <w:rtl/>
        </w:rPr>
        <w:t xml:space="preserve"> و</w:t>
      </w:r>
      <w:r w:rsidRPr="00005251">
        <w:rPr>
          <w:position w:val="-10"/>
        </w:rPr>
        <w:object w:dxaOrig="400" w:dyaOrig="320" w14:anchorId="5C6B398B">
          <v:shape id="_x0000_i2339" type="#_x0000_t75" style="width:19.95pt;height:16.35pt" o:ole="">
            <v:imagedata r:id="rId2666" o:title=""/>
          </v:shape>
          <o:OLEObject Type="Embed" ProgID="Equation.DSMT4" ShapeID="_x0000_i2339" DrawAspect="Content" ObjectID="_1791376283" r:id="rId2667"/>
        </w:object>
      </w:r>
      <w:r w:rsidRPr="00005251">
        <w:rPr>
          <w:rFonts w:hint="cs"/>
          <w:i/>
          <w:sz w:val="23"/>
          <w:szCs w:val="23"/>
          <w:rtl/>
        </w:rPr>
        <w:t xml:space="preserve"> هستند كه براساس آن</w:t>
      </w:r>
      <w:r w:rsidRPr="00005251">
        <w:rPr>
          <w:i/>
          <w:sz w:val="23"/>
          <w:szCs w:val="23"/>
          <w:rtl/>
        </w:rPr>
        <w:softHyphen/>
      </w:r>
      <w:r w:rsidRPr="00005251">
        <w:rPr>
          <w:rFonts w:hint="cs"/>
          <w:i/>
          <w:sz w:val="23"/>
          <w:szCs w:val="23"/>
          <w:rtl/>
        </w:rPr>
        <w:t>ها مصرف، فراغت و عرضه</w:t>
      </w:r>
      <w:r w:rsidRPr="00005251">
        <w:rPr>
          <w:i/>
          <w:sz w:val="23"/>
          <w:szCs w:val="23"/>
          <w:rtl/>
        </w:rPr>
        <w:softHyphen/>
      </w:r>
      <w:r w:rsidRPr="00005251">
        <w:rPr>
          <w:rFonts w:hint="cs"/>
          <w:i/>
          <w:sz w:val="23"/>
          <w:szCs w:val="23"/>
          <w:rtl/>
        </w:rPr>
        <w:t>ی نيروي كارِ بهينه بدست خواهد آمد.</w:t>
      </w:r>
    </w:p>
    <w:p w14:paraId="6B829799" w14:textId="77777777" w:rsidR="00411620" w:rsidRDefault="00411620" w:rsidP="00411620">
      <w:pPr>
        <w:spacing w:line="216" w:lineRule="auto"/>
        <w:rPr>
          <w:i/>
          <w:sz w:val="23"/>
          <w:szCs w:val="23"/>
          <w:rtl/>
        </w:rPr>
      </w:pPr>
    </w:p>
    <w:p w14:paraId="0BFEB9D7" w14:textId="77777777" w:rsidR="00411620" w:rsidRDefault="00411620" w:rsidP="00411620">
      <w:pPr>
        <w:spacing w:line="216" w:lineRule="auto"/>
        <w:rPr>
          <w:i/>
          <w:sz w:val="23"/>
          <w:szCs w:val="23"/>
          <w:rtl/>
        </w:rPr>
      </w:pPr>
    </w:p>
    <w:p w14:paraId="462C2287" w14:textId="77777777" w:rsidR="00411620" w:rsidRPr="00005251" w:rsidRDefault="00411620" w:rsidP="00411620">
      <w:pPr>
        <w:spacing w:line="216" w:lineRule="auto"/>
        <w:rPr>
          <w:i/>
          <w:sz w:val="23"/>
          <w:szCs w:val="23"/>
        </w:rPr>
      </w:pPr>
    </w:p>
    <w:p w14:paraId="26358271" w14:textId="77777777" w:rsidR="00411620" w:rsidRPr="00005251" w:rsidRDefault="00411620" w:rsidP="00411620">
      <w:pPr>
        <w:spacing w:line="216" w:lineRule="auto"/>
        <w:rPr>
          <w:bCs/>
          <w:i/>
          <w:sz w:val="23"/>
          <w:szCs w:val="23"/>
          <w:rtl/>
        </w:rPr>
      </w:pPr>
      <w:r w:rsidRPr="00005251">
        <w:rPr>
          <w:rFonts w:hint="cs"/>
          <w:bCs/>
          <w:i/>
          <w:sz w:val="23"/>
          <w:szCs w:val="23"/>
          <w:rtl/>
        </w:rPr>
        <w:t>مثال</w:t>
      </w:r>
    </w:p>
    <w:p w14:paraId="6DD9E404" w14:textId="77777777" w:rsidR="00411620" w:rsidRPr="00005251" w:rsidRDefault="00411620" w:rsidP="00411620">
      <w:pPr>
        <w:spacing w:line="216" w:lineRule="auto"/>
        <w:rPr>
          <w:i/>
          <w:sz w:val="23"/>
          <w:szCs w:val="23"/>
        </w:rPr>
      </w:pPr>
      <w:r w:rsidRPr="00005251">
        <w:rPr>
          <w:rFonts w:hint="cs"/>
          <w:i/>
          <w:sz w:val="23"/>
          <w:szCs w:val="23"/>
          <w:rtl/>
        </w:rPr>
        <w:t xml:space="preserve">حالت خاصی را در نظر بگيريد كه براي هر </w:t>
      </w:r>
      <w:r w:rsidRPr="00005251">
        <w:rPr>
          <w:position w:val="-6"/>
        </w:rPr>
        <w:object w:dxaOrig="499" w:dyaOrig="260" w14:anchorId="188B606A">
          <v:shape id="_x0000_i2340" type="#_x0000_t75" style="width:24.8pt;height:12.7pt" o:ole="">
            <v:imagedata r:id="rId2668" o:title=""/>
          </v:shape>
          <o:OLEObject Type="Embed" ProgID="Equation.DSMT4" ShapeID="_x0000_i2340" DrawAspect="Content" ObjectID="_1791376284" r:id="rId2669"/>
        </w:object>
      </w:r>
      <w:r w:rsidRPr="00005251">
        <w:rPr>
          <w:rFonts w:eastAsiaTheme="minorEastAsia" w:hint="cs"/>
          <w:i/>
          <w:sz w:val="23"/>
          <w:szCs w:val="23"/>
          <w:rtl/>
        </w:rPr>
        <w:t xml:space="preserve"> داشته باشیم</w:t>
      </w:r>
      <w:r w:rsidRPr="00005251">
        <w:rPr>
          <w:position w:val="-10"/>
        </w:rPr>
        <w:object w:dxaOrig="840" w:dyaOrig="320" w14:anchorId="35FE90F5">
          <v:shape id="_x0000_i2341" type="#_x0000_t75" style="width:41.75pt;height:16.35pt" o:ole="">
            <v:imagedata r:id="rId2670" o:title=""/>
          </v:shape>
          <o:OLEObject Type="Embed" ProgID="Equation.DSMT4" ShapeID="_x0000_i2341" DrawAspect="Content" ObjectID="_1791376285" r:id="rId2671"/>
        </w:object>
      </w:r>
      <w:r w:rsidRPr="00005251">
        <w:rPr>
          <w:rFonts w:hint="cs"/>
          <w:i/>
          <w:sz w:val="23"/>
          <w:szCs w:val="23"/>
          <w:rtl/>
        </w:rPr>
        <w:t xml:space="preserve"> و</w:t>
      </w:r>
      <w:r w:rsidRPr="00005251">
        <w:rPr>
          <w:position w:val="-10"/>
        </w:rPr>
        <w:object w:dxaOrig="780" w:dyaOrig="320" w14:anchorId="020BE7AA">
          <v:shape id="_x0000_i2342" type="#_x0000_t75" style="width:39.35pt;height:16.35pt" o:ole="">
            <v:imagedata r:id="rId2672" o:title=""/>
          </v:shape>
          <o:OLEObject Type="Embed" ProgID="Equation.DSMT4" ShapeID="_x0000_i2342" DrawAspect="Content" ObjectID="_1791376286" r:id="rId2673"/>
        </w:object>
      </w:r>
      <w:r w:rsidRPr="00005251">
        <w:rPr>
          <w:rFonts w:hint="cs"/>
          <w:i/>
          <w:sz w:val="23"/>
          <w:szCs w:val="23"/>
          <w:rtl/>
        </w:rPr>
        <w:t xml:space="preserve">. آنگاه تابع مصرف (۴. ۲۸) عبارت است از </w:t>
      </w:r>
    </w:p>
    <w:p w14:paraId="5B0D6BC8" w14:textId="77777777" w:rsidR="00411620" w:rsidRPr="00005251" w:rsidRDefault="00411620" w:rsidP="00411620">
      <w:pPr>
        <w:pStyle w:val="MTDisplayEquation"/>
        <w:tabs>
          <w:tab w:val="clear" w:pos="6660"/>
        </w:tabs>
        <w:spacing w:line="216" w:lineRule="auto"/>
        <w:rPr>
          <w:rFonts w:ascii="Times New Roman" w:hAnsi="Times New Roman" w:cs="B Nazanin"/>
          <w:i/>
          <w:sz w:val="23"/>
          <w:szCs w:val="23"/>
          <w:rtl/>
        </w:rPr>
      </w:pPr>
      <w:r w:rsidRPr="00005251">
        <w:rPr>
          <w:position w:val="-10"/>
        </w:rPr>
        <w:object w:dxaOrig="1680" w:dyaOrig="320" w14:anchorId="1DC32460">
          <v:shape id="_x0000_i2343" type="#_x0000_t75" style="width:84.1pt;height:16.35pt" o:ole="">
            <v:imagedata r:id="rId2674" o:title=""/>
          </v:shape>
          <o:OLEObject Type="Embed" ProgID="Equation.DSMT4" ShapeID="_x0000_i2343" DrawAspect="Content" ObjectID="_1791376287" r:id="rId2675"/>
        </w:object>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Pr>
          <w:rFonts w:ascii="Times New Roman" w:hAnsi="Times New Roman"/>
          <w:i/>
          <w:sz w:val="23"/>
          <w:szCs w:val="23"/>
          <w:rtl/>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cs="B Nazanin"/>
          <w:i/>
          <w:sz w:val="23"/>
          <w:szCs w:val="23"/>
          <w:rtl/>
        </w:rPr>
        <w:tab/>
      </w:r>
      <w:r w:rsidRPr="00005251">
        <w:rPr>
          <w:rFonts w:ascii="Times New Roman" w:hAnsi="Times New Roman" w:cs="B Nazanin" w:hint="cs"/>
          <w:i/>
          <w:sz w:val="23"/>
          <w:szCs w:val="23"/>
          <w:rtl/>
        </w:rPr>
        <w:t xml:space="preserve"> </w:t>
      </w:r>
      <w:r w:rsidRPr="00005251">
        <w:rPr>
          <w:rFonts w:ascii="Times New Roman" w:hAnsi="Times New Roman" w:cs="B Nazanin"/>
          <w:i/>
          <w:sz w:val="23"/>
          <w:szCs w:val="23"/>
          <w:rtl/>
        </w:rPr>
        <w:tab/>
      </w:r>
      <w:r w:rsidRPr="00005251">
        <w:rPr>
          <w:rFonts w:ascii="Times New Roman" w:hAnsi="Times New Roman" w:cs="B Nazanin" w:hint="cs"/>
          <w:i/>
          <w:sz w:val="23"/>
          <w:szCs w:val="23"/>
          <w:rtl/>
        </w:rPr>
        <w:t>(۴. ۲۹)</w:t>
      </w:r>
    </w:p>
    <w:p w14:paraId="2CECBB16" w14:textId="77777777" w:rsidR="00411620" w:rsidRPr="00005251" w:rsidRDefault="00411620" w:rsidP="00411620">
      <w:pPr>
        <w:spacing w:line="216" w:lineRule="auto"/>
        <w:rPr>
          <w:i/>
          <w:sz w:val="23"/>
          <w:szCs w:val="23"/>
        </w:rPr>
      </w:pPr>
      <w:r w:rsidRPr="00005251">
        <w:rPr>
          <w:rFonts w:hint="cs"/>
          <w:i/>
          <w:sz w:val="23"/>
          <w:szCs w:val="23"/>
          <w:rtl/>
        </w:rPr>
        <w:t>بنابراین مصرف برابر است با كل درآمد حاصل از كار بعلاوه درآمدهاي غيركاري و درآمد حاصل از پس‌انداز. عرضه</w:t>
      </w:r>
      <w:r w:rsidRPr="00005251">
        <w:rPr>
          <w:i/>
          <w:sz w:val="23"/>
          <w:szCs w:val="23"/>
          <w:rtl/>
        </w:rPr>
        <w:softHyphen/>
      </w:r>
      <w:r w:rsidRPr="00005251">
        <w:rPr>
          <w:rFonts w:hint="cs"/>
          <w:i/>
          <w:sz w:val="23"/>
          <w:szCs w:val="23"/>
          <w:rtl/>
        </w:rPr>
        <w:t>ی نيروي كار نیز از معادله</w:t>
      </w:r>
      <w:r w:rsidRPr="00005251">
        <w:rPr>
          <w:i/>
          <w:sz w:val="23"/>
          <w:szCs w:val="23"/>
          <w:rtl/>
        </w:rPr>
        <w:softHyphen/>
      </w:r>
      <w:r w:rsidRPr="00005251">
        <w:rPr>
          <w:rFonts w:hint="cs"/>
          <w:i/>
          <w:sz w:val="23"/>
          <w:szCs w:val="23"/>
          <w:rtl/>
        </w:rPr>
        <w:t>ی (۴. ۲۶) استخراج می‌شود. اگر فرض کنیم تابع مطلوبيت برابر باشد با</w:t>
      </w:r>
    </w:p>
    <w:p w14:paraId="10D21642" w14:textId="77777777" w:rsidR="00411620" w:rsidRPr="00005251" w:rsidRDefault="00411620" w:rsidP="00411620">
      <w:pPr>
        <w:pStyle w:val="MTDisplayEquation"/>
        <w:spacing w:line="216" w:lineRule="auto"/>
        <w:rPr>
          <w:rFonts w:ascii="Times New Roman" w:hAnsi="Times New Roman" w:cs="B Nazanin"/>
          <w:i/>
          <w:sz w:val="23"/>
          <w:szCs w:val="23"/>
          <w:rtl/>
        </w:rPr>
      </w:pPr>
      <w:r w:rsidRPr="00005251">
        <w:rPr>
          <w:position w:val="-22"/>
        </w:rPr>
        <w:object w:dxaOrig="1960" w:dyaOrig="600" w14:anchorId="62573285">
          <v:shape id="_x0000_i2344" type="#_x0000_t75" style="width:97.4pt;height:29.65pt" o:ole="">
            <v:imagedata r:id="rId2676" o:title=""/>
          </v:shape>
          <o:OLEObject Type="Embed" ProgID="Equation.DSMT4" ShapeID="_x0000_i2344" DrawAspect="Content" ObjectID="_1791376288" r:id="rId2677"/>
        </w:object>
      </w:r>
    </w:p>
    <w:p w14:paraId="66AC9E97" w14:textId="77777777" w:rsidR="00411620" w:rsidRPr="00005251" w:rsidRDefault="00411620" w:rsidP="00411620">
      <w:pPr>
        <w:spacing w:line="216" w:lineRule="auto"/>
        <w:rPr>
          <w:i/>
          <w:sz w:val="23"/>
          <w:szCs w:val="23"/>
          <w:rtl/>
        </w:rPr>
      </w:pPr>
      <w:r w:rsidRPr="00005251">
        <w:rPr>
          <w:rFonts w:hint="cs"/>
          <w:i/>
          <w:sz w:val="23"/>
          <w:szCs w:val="23"/>
          <w:rtl/>
        </w:rPr>
        <w:t xml:space="preserve"> آنگاه</w:t>
      </w:r>
    </w:p>
    <w:p w14:paraId="074D050A" w14:textId="77777777" w:rsidR="00411620" w:rsidRPr="00005251" w:rsidRDefault="00411620" w:rsidP="00411620">
      <w:pPr>
        <w:bidi w:val="0"/>
        <w:spacing w:line="216" w:lineRule="auto"/>
        <w:rPr>
          <w:i/>
          <w:sz w:val="23"/>
          <w:szCs w:val="23"/>
        </w:rPr>
      </w:pPr>
      <w:r w:rsidRPr="00005251">
        <w:rPr>
          <w:rFonts w:hint="cs"/>
          <w:i/>
          <w:sz w:val="23"/>
          <w:szCs w:val="23"/>
          <w:rtl/>
        </w:rPr>
        <w:t xml:space="preserve"> </w:t>
      </w:r>
      <w:r w:rsidRPr="00005251">
        <w:rPr>
          <w:position w:val="-28"/>
        </w:rPr>
        <w:object w:dxaOrig="2920" w:dyaOrig="680" w14:anchorId="4639F946">
          <v:shape id="_x0000_i2345" type="#_x0000_t75" style="width:145.8pt;height:33.9pt" o:ole="">
            <v:imagedata r:id="rId2678" o:title=""/>
          </v:shape>
          <o:OLEObject Type="Embed" ProgID="Equation.DSMT4" ShapeID="_x0000_i2345" DrawAspect="Content" ObjectID="_1791376289" r:id="rId2679"/>
        </w:object>
      </w:r>
    </w:p>
    <w:p w14:paraId="30C6FF9D" w14:textId="77777777" w:rsidR="00411620" w:rsidRPr="00005251" w:rsidRDefault="00411620" w:rsidP="00411620">
      <w:pPr>
        <w:spacing w:line="216" w:lineRule="auto"/>
        <w:rPr>
          <w:i/>
          <w:sz w:val="23"/>
          <w:szCs w:val="23"/>
        </w:rPr>
      </w:pPr>
      <w:r w:rsidRPr="00005251">
        <w:rPr>
          <w:i/>
          <w:sz w:val="23"/>
          <w:szCs w:val="23"/>
        </w:rPr>
        <w:t xml:space="preserve"> </w:t>
      </w:r>
      <w:r w:rsidRPr="00005251">
        <w:rPr>
          <w:rFonts w:hint="cs"/>
          <w:i/>
          <w:sz w:val="23"/>
          <w:szCs w:val="23"/>
          <w:rtl/>
        </w:rPr>
        <w:t>‌از رابطه</w:t>
      </w:r>
      <w:r w:rsidRPr="00005251">
        <w:rPr>
          <w:i/>
          <w:sz w:val="23"/>
          <w:szCs w:val="23"/>
          <w:rtl/>
        </w:rPr>
        <w:softHyphen/>
      </w:r>
      <w:r w:rsidRPr="00005251">
        <w:rPr>
          <w:rFonts w:hint="cs"/>
          <w:i/>
          <w:sz w:val="23"/>
          <w:szCs w:val="23"/>
          <w:rtl/>
        </w:rPr>
        <w:t>ی (۴. ۲۶) داريم :</w:t>
      </w:r>
    </w:p>
    <w:p w14:paraId="5D48FF9A" w14:textId="77777777" w:rsidR="00411620" w:rsidRPr="00726B59" w:rsidRDefault="00411620" w:rsidP="00411620">
      <w:pPr>
        <w:pStyle w:val="MTDisplayEquation"/>
        <w:tabs>
          <w:tab w:val="clear" w:pos="3320"/>
          <w:tab w:val="clear" w:pos="6660"/>
        </w:tabs>
        <w:spacing w:line="216" w:lineRule="auto"/>
        <w:rPr>
          <w:sz w:val="23"/>
          <w:szCs w:val="23"/>
          <w:rtl/>
        </w:rPr>
      </w:pPr>
      <w:r w:rsidRPr="00005251">
        <w:rPr>
          <w:position w:val="-28"/>
        </w:rPr>
        <w:object w:dxaOrig="4380" w:dyaOrig="660" w14:anchorId="391CCDEB">
          <v:shape id="_x0000_i2346" type="#_x0000_t75" style="width:219.65pt;height:33.3pt" o:ole="">
            <v:imagedata r:id="rId2680" o:title=""/>
          </v:shape>
          <o:OLEObject Type="Embed" ProgID="Equation.DSMT4" ShapeID="_x0000_i2346" DrawAspect="Content" ObjectID="_1791376290" r:id="rId2681"/>
        </w:object>
      </w:r>
      <w:r w:rsidRPr="00005251">
        <w:rPr>
          <w:sz w:val="23"/>
          <w:szCs w:val="23"/>
        </w:rPr>
        <w:tab/>
      </w:r>
      <w:r>
        <w:rPr>
          <w:sz w:val="23"/>
          <w:szCs w:val="23"/>
          <w:rtl/>
        </w:rPr>
        <w:tab/>
      </w:r>
      <w:r>
        <w:rPr>
          <w:sz w:val="23"/>
          <w:szCs w:val="23"/>
          <w:rtl/>
        </w:rPr>
        <w:tab/>
      </w:r>
      <w:r>
        <w:rPr>
          <w:sz w:val="23"/>
          <w:szCs w:val="23"/>
          <w:rtl/>
        </w:rPr>
        <w:tab/>
      </w:r>
      <w:r w:rsidRPr="00005251">
        <w:rPr>
          <w:sz w:val="23"/>
          <w:szCs w:val="23"/>
        </w:rPr>
        <w:tab/>
      </w:r>
      <w:r w:rsidRPr="00005251">
        <w:rPr>
          <w:sz w:val="23"/>
          <w:szCs w:val="23"/>
        </w:rPr>
        <w:tab/>
      </w:r>
      <w:r w:rsidRPr="00005251">
        <w:rPr>
          <w:rFonts w:ascii="Times New Roman" w:hAnsi="Times New Roman" w:cs="B Nazanin" w:hint="cs"/>
          <w:i/>
          <w:sz w:val="23"/>
          <w:szCs w:val="23"/>
          <w:rtl/>
        </w:rPr>
        <w:t>(۴. ۳۰)</w:t>
      </w:r>
    </w:p>
    <w:p w14:paraId="5482A16B" w14:textId="77777777" w:rsidR="00411620" w:rsidRPr="00005251" w:rsidRDefault="00411620" w:rsidP="00411620">
      <w:pPr>
        <w:spacing w:line="216" w:lineRule="auto"/>
        <w:rPr>
          <w:i/>
          <w:sz w:val="23"/>
          <w:szCs w:val="23"/>
          <w:rtl/>
        </w:rPr>
      </w:pPr>
      <w:r w:rsidRPr="00005251">
        <w:rPr>
          <w:rFonts w:hint="cs"/>
          <w:i/>
          <w:sz w:val="23"/>
          <w:szCs w:val="23"/>
          <w:rtl/>
        </w:rPr>
        <w:t>در رابطه</w:t>
      </w:r>
      <w:r w:rsidRPr="00005251">
        <w:rPr>
          <w:i/>
          <w:sz w:val="23"/>
          <w:szCs w:val="23"/>
          <w:rtl/>
        </w:rPr>
        <w:softHyphen/>
      </w:r>
      <w:r w:rsidRPr="00005251">
        <w:rPr>
          <w:rFonts w:hint="cs"/>
          <w:i/>
          <w:sz w:val="23"/>
          <w:szCs w:val="23"/>
          <w:rtl/>
        </w:rPr>
        <w:t>ی فوق چنانچه دستمزد افزايش يابد، عرضه نيروي كار نیز افزايش می‌يابد و با افزایش عرضه</w:t>
      </w:r>
      <w:r w:rsidRPr="00005251">
        <w:rPr>
          <w:i/>
          <w:sz w:val="23"/>
          <w:szCs w:val="23"/>
          <w:rtl/>
        </w:rPr>
        <w:softHyphen/>
      </w:r>
      <w:r w:rsidRPr="00005251">
        <w:rPr>
          <w:rFonts w:hint="cs"/>
          <w:i/>
          <w:sz w:val="23"/>
          <w:szCs w:val="23"/>
          <w:rtl/>
        </w:rPr>
        <w:t>ی نیروی کار، درآمد حاصل از كار نیز افزايش خواهد يافت. هر چند از رابطه (۴. ۲۸) با افزايش درآمد نيروي كار مصرف افزايش می‌يابد و از رابطه</w:t>
      </w:r>
      <w:r w:rsidRPr="00005251">
        <w:rPr>
          <w:i/>
          <w:sz w:val="23"/>
          <w:szCs w:val="23"/>
          <w:rtl/>
        </w:rPr>
        <w:softHyphen/>
      </w:r>
      <w:r w:rsidRPr="00005251">
        <w:rPr>
          <w:rFonts w:hint="cs"/>
          <w:i/>
          <w:sz w:val="23"/>
          <w:szCs w:val="23"/>
          <w:rtl/>
        </w:rPr>
        <w:t>ی (۴. ۳۰)</w:t>
      </w:r>
      <w:r w:rsidRPr="00005251">
        <w:rPr>
          <w:rFonts w:eastAsiaTheme="minorEastAsia" w:hint="cs"/>
          <w:i/>
          <w:sz w:val="23"/>
          <w:szCs w:val="23"/>
          <w:rtl/>
          <w:lang w:val="en-GB"/>
        </w:rPr>
        <w:t xml:space="preserve"> </w:t>
      </w:r>
      <w:r w:rsidRPr="00005251">
        <w:rPr>
          <w:rFonts w:hint="cs"/>
          <w:i/>
          <w:sz w:val="23"/>
          <w:szCs w:val="23"/>
          <w:rtl/>
        </w:rPr>
        <w:t>با افزایش مصرف، عرضه</w:t>
      </w:r>
      <w:r w:rsidRPr="00005251">
        <w:rPr>
          <w:i/>
          <w:sz w:val="23"/>
          <w:szCs w:val="23"/>
          <w:rtl/>
        </w:rPr>
        <w:softHyphen/>
      </w:r>
      <w:r w:rsidRPr="00005251">
        <w:rPr>
          <w:rFonts w:hint="cs"/>
          <w:i/>
          <w:sz w:val="23"/>
          <w:szCs w:val="23"/>
          <w:rtl/>
        </w:rPr>
        <w:t>ی نیروی کار كاهش خواهد يافت.</w:t>
      </w:r>
      <w:r w:rsidRPr="00005251">
        <w:rPr>
          <w:i/>
          <w:sz w:val="23"/>
          <w:szCs w:val="23"/>
        </w:rPr>
        <w:t xml:space="preserve"> </w:t>
      </w:r>
      <w:r w:rsidRPr="00005251">
        <w:rPr>
          <w:rFonts w:hint="cs"/>
          <w:i/>
          <w:sz w:val="23"/>
          <w:szCs w:val="23"/>
          <w:rtl/>
        </w:rPr>
        <w:t>لذا عواقب اثر افزايش نرخ دستمزد بر عرضه</w:t>
      </w:r>
      <w:r w:rsidRPr="00005251">
        <w:rPr>
          <w:i/>
          <w:sz w:val="23"/>
          <w:szCs w:val="23"/>
          <w:rtl/>
        </w:rPr>
        <w:softHyphen/>
      </w:r>
      <w:r w:rsidRPr="00005251">
        <w:rPr>
          <w:rFonts w:hint="cs"/>
          <w:i/>
          <w:sz w:val="23"/>
          <w:szCs w:val="23"/>
          <w:rtl/>
        </w:rPr>
        <w:t>ی نيروي كار خالص معلوم نيست. از رابطه</w:t>
      </w:r>
      <w:r w:rsidRPr="00005251">
        <w:rPr>
          <w:i/>
          <w:sz w:val="23"/>
          <w:szCs w:val="23"/>
          <w:rtl/>
        </w:rPr>
        <w:softHyphen/>
      </w:r>
      <w:r w:rsidRPr="00005251">
        <w:rPr>
          <w:rFonts w:hint="cs"/>
          <w:i/>
          <w:sz w:val="23"/>
          <w:szCs w:val="23"/>
          <w:rtl/>
        </w:rPr>
        <w:t>ی (۴. ۲۸)، هرچقدر افزايش درآمد نيروي كار مصرف را کمتر افزايش دهد، آنگاه احتمال ایجاد رابطه</w:t>
      </w:r>
      <w:r w:rsidRPr="00005251">
        <w:rPr>
          <w:i/>
          <w:sz w:val="23"/>
          <w:szCs w:val="23"/>
          <w:rtl/>
        </w:rPr>
        <w:softHyphen/>
      </w:r>
      <w:r w:rsidRPr="00005251">
        <w:rPr>
          <w:rFonts w:hint="cs"/>
          <w:i/>
          <w:sz w:val="23"/>
          <w:szCs w:val="23"/>
          <w:rtl/>
        </w:rPr>
        <w:t>ی مثبت بین نرخ دستمزد و عرضه</w:t>
      </w:r>
      <w:r w:rsidRPr="00005251">
        <w:rPr>
          <w:i/>
          <w:sz w:val="23"/>
          <w:szCs w:val="23"/>
          <w:rtl/>
        </w:rPr>
        <w:softHyphen/>
      </w:r>
      <w:r w:rsidRPr="00005251">
        <w:rPr>
          <w:rFonts w:hint="cs"/>
          <w:i/>
          <w:sz w:val="23"/>
          <w:szCs w:val="23"/>
          <w:rtl/>
        </w:rPr>
        <w:t>ی نيروي كار بیشتر خواهد بود. در مقابل با افزايش در</w:t>
      </w:r>
      <w:r w:rsidRPr="00005251">
        <w:rPr>
          <w:position w:val="-10"/>
        </w:rPr>
        <w:object w:dxaOrig="240" w:dyaOrig="320" w14:anchorId="211481E5">
          <v:shape id="_x0000_i2347" type="#_x0000_t75" style="width:11.5pt;height:16.35pt" o:ole="">
            <v:imagedata r:id="rId2682" o:title=""/>
          </v:shape>
          <o:OLEObject Type="Embed" ProgID="Equation.DSMT4" ShapeID="_x0000_i2347" DrawAspect="Content" ObjectID="_1791376291" r:id="rId2683"/>
        </w:object>
      </w:r>
      <w:r w:rsidRPr="00005251">
        <w:rPr>
          <w:i/>
          <w:sz w:val="23"/>
          <w:szCs w:val="23"/>
          <w:rtl/>
        </w:rPr>
        <w:t>،</w:t>
      </w:r>
      <w:r w:rsidRPr="00005251">
        <w:rPr>
          <w:position w:val="-10"/>
        </w:rPr>
        <w:object w:dxaOrig="240" w:dyaOrig="320" w14:anchorId="2AC7F9A5">
          <v:shape id="_x0000_i2348" type="#_x0000_t75" style="width:11.5pt;height:16.35pt" o:ole="">
            <v:imagedata r:id="rId2684" o:title=""/>
          </v:shape>
          <o:OLEObject Type="Embed" ProgID="Equation.DSMT4" ShapeID="_x0000_i2348" DrawAspect="Content" ObjectID="_1791376292" r:id="rId2685"/>
        </w:object>
      </w:r>
      <w:r w:rsidRPr="00005251">
        <w:rPr>
          <w:i/>
          <w:sz w:val="23"/>
          <w:szCs w:val="23"/>
        </w:rPr>
        <w:t xml:space="preserve"> </w:t>
      </w:r>
      <w:r w:rsidRPr="00005251">
        <w:rPr>
          <w:rFonts w:hint="cs"/>
          <w:i/>
          <w:sz w:val="23"/>
          <w:szCs w:val="23"/>
          <w:rtl/>
        </w:rPr>
        <w:t>و يا</w:t>
      </w:r>
      <w:r w:rsidRPr="00005251">
        <w:rPr>
          <w:i/>
          <w:sz w:val="23"/>
          <w:szCs w:val="23"/>
        </w:rPr>
        <w:t xml:space="preserve">r </w:t>
      </w:r>
      <w:r w:rsidRPr="00005251">
        <w:rPr>
          <w:rFonts w:hint="cs"/>
          <w:i/>
          <w:sz w:val="23"/>
          <w:szCs w:val="23"/>
          <w:rtl/>
        </w:rPr>
        <w:t xml:space="preserve"> مصرف قطعاً افزايش خواهد يافت (رابطه</w:t>
      </w:r>
      <w:r w:rsidRPr="00005251">
        <w:rPr>
          <w:i/>
          <w:sz w:val="23"/>
          <w:szCs w:val="23"/>
          <w:rtl/>
        </w:rPr>
        <w:softHyphen/>
      </w:r>
      <w:r w:rsidRPr="00005251">
        <w:rPr>
          <w:rFonts w:hint="cs"/>
          <w:i/>
          <w:sz w:val="23"/>
          <w:szCs w:val="23"/>
          <w:rtl/>
        </w:rPr>
        <w:t>ی (۴. ۲۸)</w:t>
      </w:r>
      <w:r w:rsidRPr="00005251">
        <w:rPr>
          <w:i/>
          <w:sz w:val="23"/>
          <w:szCs w:val="23"/>
          <w:rtl/>
        </w:rPr>
        <w:t>)،</w:t>
      </w:r>
      <w:r w:rsidRPr="00005251">
        <w:rPr>
          <w:rFonts w:hint="cs"/>
          <w:i/>
          <w:sz w:val="23"/>
          <w:szCs w:val="23"/>
          <w:rtl/>
        </w:rPr>
        <w:t xml:space="preserve"> و عرضه نيروي كار يا </w:t>
      </w:r>
      <w:r w:rsidRPr="00005251">
        <w:rPr>
          <w:position w:val="-10"/>
        </w:rPr>
        <w:object w:dxaOrig="240" w:dyaOrig="320" w14:anchorId="54C10568">
          <v:shape id="_x0000_i2349" type="#_x0000_t75" style="width:11.5pt;height:16.35pt" o:ole="">
            <v:imagedata r:id="rId2686" o:title=""/>
          </v:shape>
          <o:OLEObject Type="Embed" ProgID="Equation.DSMT4" ShapeID="_x0000_i2349" DrawAspect="Content" ObjectID="_1791376293" r:id="rId2687"/>
        </w:object>
      </w:r>
      <w:r w:rsidRPr="00005251">
        <w:rPr>
          <w:rFonts w:hint="cs"/>
          <w:i/>
          <w:sz w:val="23"/>
          <w:szCs w:val="23"/>
          <w:rtl/>
        </w:rPr>
        <w:t xml:space="preserve"> كاهش می‌يابد، ( رابطه</w:t>
      </w:r>
      <w:r w:rsidRPr="00005251">
        <w:rPr>
          <w:i/>
          <w:sz w:val="23"/>
          <w:szCs w:val="23"/>
          <w:rtl/>
        </w:rPr>
        <w:softHyphen/>
      </w:r>
      <w:r w:rsidRPr="00005251">
        <w:rPr>
          <w:rFonts w:hint="cs"/>
          <w:i/>
          <w:sz w:val="23"/>
          <w:szCs w:val="23"/>
          <w:rtl/>
        </w:rPr>
        <w:t>ی (۴. ۳۰).</w:t>
      </w:r>
    </w:p>
    <w:p w14:paraId="327763FB" w14:textId="77777777" w:rsidR="00411620" w:rsidRPr="00005251" w:rsidRDefault="00411620" w:rsidP="00411620">
      <w:pPr>
        <w:spacing w:line="216" w:lineRule="auto"/>
        <w:rPr>
          <w:i/>
          <w:sz w:val="23"/>
          <w:szCs w:val="23"/>
          <w:rtl/>
        </w:rPr>
      </w:pPr>
    </w:p>
    <w:p w14:paraId="2943736B" w14:textId="77777777" w:rsidR="00411620" w:rsidRPr="00005251" w:rsidRDefault="00411620" w:rsidP="00411620">
      <w:pPr>
        <w:pStyle w:val="Heading1"/>
        <w:spacing w:before="0" w:after="0" w:line="216" w:lineRule="auto"/>
        <w:rPr>
          <w:rFonts w:ascii="Times New Roman" w:hAnsi="Times New Roman" w:cs="B Nazanin"/>
          <w:b w:val="0"/>
          <w:i/>
          <w:sz w:val="23"/>
          <w:szCs w:val="23"/>
        </w:rPr>
      </w:pPr>
      <w:r w:rsidRPr="00005251">
        <w:rPr>
          <w:rFonts w:ascii="Times New Roman" w:hAnsi="Times New Roman" w:cs="B Nazanin" w:hint="cs"/>
          <w:b w:val="0"/>
          <w:i/>
          <w:sz w:val="23"/>
          <w:szCs w:val="23"/>
          <w:rtl/>
        </w:rPr>
        <w:lastRenderedPageBreak/>
        <w:t>۴. ۳ بنگاه</w:t>
      </w:r>
    </w:p>
    <w:p w14:paraId="1BAFA48B" w14:textId="77777777" w:rsidR="00411620" w:rsidRPr="00005251" w:rsidRDefault="00411620" w:rsidP="00411620">
      <w:pPr>
        <w:spacing w:line="216" w:lineRule="auto"/>
        <w:rPr>
          <w:i/>
          <w:sz w:val="23"/>
          <w:szCs w:val="23"/>
        </w:rPr>
      </w:pPr>
      <w:r w:rsidRPr="00005251">
        <w:rPr>
          <w:rFonts w:hint="cs"/>
          <w:i/>
          <w:sz w:val="23"/>
          <w:szCs w:val="23"/>
          <w:rtl/>
        </w:rPr>
        <w:t>اكنون رفتار بنگاه نمونه را بررسي می‌كنيم. بنگاه در خصوص توليد و همچنين ساختار مالي خود يعني اينكه آیا سهم منتشر كند، قرض كند و يا اینکه چه نسبتي از سود سهام خود را توزيع كند تصميم می‌گيرد. فرض می‌كنيم بنگاهِ نماينده بدنبال حداكثر کردن ارزش فعلي سود آتي و جاری با توجه به انتخاب مناسب مقادیر توليد، سرمايه</w:t>
      </w:r>
      <w:r w:rsidRPr="00005251">
        <w:rPr>
          <w:i/>
          <w:sz w:val="23"/>
          <w:szCs w:val="23"/>
          <w:rtl/>
        </w:rPr>
        <w:softHyphen/>
      </w:r>
      <w:r w:rsidRPr="00005251">
        <w:rPr>
          <w:rFonts w:hint="cs"/>
          <w:i/>
          <w:sz w:val="23"/>
          <w:szCs w:val="23"/>
          <w:rtl/>
        </w:rPr>
        <w:t>گذاري، موجودي سرمايه، ‌نيروي كار و بدهي مالي است. در اينجا فرض می‌كنيم بنگاه از خانوار قرض می‌كند و لذا بدهي بنگاه برابر است با دارايي خانوار. با توجه به مفروضات فوق، دو نوع تقاضا برای نیروی کار یعنی تقاضاي نيروي كار بدون هزينه تعديل و تقاضاي نيروي كار با هزينه تعديل را مورد بررسی قرار خواهیم داد</w:t>
      </w:r>
      <w:r w:rsidRPr="00005251">
        <w:rPr>
          <w:i/>
          <w:sz w:val="23"/>
          <w:szCs w:val="23"/>
        </w:rPr>
        <w:t>.</w:t>
      </w:r>
    </w:p>
    <w:p w14:paraId="3C4825B7" w14:textId="77777777" w:rsidR="00411620" w:rsidRPr="00005251" w:rsidRDefault="00411620" w:rsidP="00411620">
      <w:pPr>
        <w:spacing w:line="216" w:lineRule="auto"/>
        <w:rPr>
          <w:i/>
          <w:sz w:val="23"/>
          <w:szCs w:val="23"/>
          <w:rtl/>
        </w:rPr>
      </w:pPr>
    </w:p>
    <w:p w14:paraId="36DBA051" w14:textId="77777777" w:rsidR="00411620" w:rsidRPr="00005251" w:rsidRDefault="00411620" w:rsidP="00411620">
      <w:pPr>
        <w:pStyle w:val="Heading1"/>
        <w:spacing w:before="0" w:after="0" w:line="216" w:lineRule="auto"/>
        <w:rPr>
          <w:rFonts w:ascii="Times New Roman" w:hAnsi="Times New Roman" w:cs="B Nazanin"/>
          <w:b w:val="0"/>
          <w:i/>
          <w:sz w:val="23"/>
          <w:szCs w:val="23"/>
          <w:rtl/>
        </w:rPr>
      </w:pPr>
      <w:r w:rsidRPr="00005251">
        <w:rPr>
          <w:rFonts w:ascii="Times New Roman" w:hAnsi="Times New Roman" w:cs="B Nazanin" w:hint="cs"/>
          <w:b w:val="0"/>
          <w:i/>
          <w:sz w:val="23"/>
          <w:szCs w:val="23"/>
          <w:rtl/>
        </w:rPr>
        <w:t xml:space="preserve">۴. ۳. ۱ تقاضاي نيروي كار بدون هزينه تعديل </w:t>
      </w:r>
    </w:p>
    <w:p w14:paraId="22A21E2B" w14:textId="77777777" w:rsidR="00411620" w:rsidRPr="00005251" w:rsidRDefault="00411620" w:rsidP="00411620">
      <w:pPr>
        <w:spacing w:line="216" w:lineRule="auto"/>
        <w:rPr>
          <w:i/>
          <w:noProof/>
          <w:sz w:val="23"/>
          <w:szCs w:val="23"/>
          <w:rtl/>
        </w:rPr>
      </w:pPr>
      <w:r w:rsidRPr="00005251">
        <w:rPr>
          <w:rFonts w:hint="cs"/>
          <w:i/>
          <w:sz w:val="23"/>
          <w:szCs w:val="23"/>
          <w:rtl/>
        </w:rPr>
        <w:t>ارزش فعلي جریان سود</w:t>
      </w:r>
      <w:r w:rsidRPr="00005251">
        <w:rPr>
          <w:i/>
          <w:sz w:val="23"/>
          <w:szCs w:val="23"/>
          <w:rtl/>
        </w:rPr>
        <w:softHyphen/>
      </w:r>
      <w:r w:rsidRPr="00005251">
        <w:rPr>
          <w:rFonts w:hint="cs"/>
          <w:i/>
          <w:sz w:val="23"/>
          <w:szCs w:val="23"/>
          <w:rtl/>
        </w:rPr>
        <w:t xml:space="preserve">های حقیقی </w:t>
      </w:r>
      <w:r w:rsidRPr="00005251">
        <w:rPr>
          <w:rFonts w:hint="cs"/>
          <w:i/>
          <w:noProof/>
          <w:sz w:val="23"/>
          <w:szCs w:val="23"/>
          <w:rtl/>
        </w:rPr>
        <w:t>تنزیل شده</w:t>
      </w:r>
      <w:r w:rsidRPr="00005251">
        <w:rPr>
          <w:i/>
          <w:noProof/>
          <w:sz w:val="23"/>
          <w:szCs w:val="23"/>
          <w:rtl/>
        </w:rPr>
        <w:softHyphen/>
      </w:r>
      <w:r w:rsidRPr="00005251">
        <w:rPr>
          <w:rFonts w:hint="cs"/>
          <w:i/>
          <w:noProof/>
          <w:sz w:val="23"/>
          <w:szCs w:val="23"/>
          <w:rtl/>
        </w:rPr>
        <w:t>ی</w:t>
      </w:r>
      <w:r w:rsidRPr="00005251">
        <w:rPr>
          <w:i/>
          <w:noProof/>
          <w:sz w:val="23"/>
          <w:szCs w:val="23"/>
          <w:rtl/>
        </w:rPr>
        <w:t xml:space="preserve"> </w:t>
      </w:r>
      <w:r w:rsidRPr="00005251">
        <w:rPr>
          <w:rFonts w:hint="cs"/>
          <w:i/>
          <w:noProof/>
          <w:sz w:val="23"/>
          <w:szCs w:val="23"/>
          <w:rtl/>
        </w:rPr>
        <w:t>بنگاه که با</w:t>
      </w:r>
      <w:r w:rsidRPr="00005251">
        <w:rPr>
          <w:i/>
          <w:noProof/>
          <w:sz w:val="23"/>
          <w:szCs w:val="23"/>
          <w:rtl/>
        </w:rPr>
        <w:t xml:space="preserve"> </w:t>
      </w:r>
      <w:r w:rsidRPr="00005251">
        <w:rPr>
          <w:rFonts w:hint="cs"/>
          <w:i/>
          <w:noProof/>
          <w:sz w:val="23"/>
          <w:szCs w:val="23"/>
          <w:rtl/>
        </w:rPr>
        <w:t>استفاده</w:t>
      </w:r>
      <w:r w:rsidRPr="00005251">
        <w:rPr>
          <w:i/>
          <w:noProof/>
          <w:sz w:val="23"/>
          <w:szCs w:val="23"/>
          <w:rtl/>
        </w:rPr>
        <w:t xml:space="preserve"> </w:t>
      </w:r>
      <w:r w:rsidRPr="00005251">
        <w:rPr>
          <w:rFonts w:hint="cs"/>
          <w:i/>
          <w:noProof/>
          <w:sz w:val="23"/>
          <w:szCs w:val="23"/>
          <w:rtl/>
        </w:rPr>
        <w:t>از</w:t>
      </w:r>
      <w:r w:rsidRPr="00005251">
        <w:rPr>
          <w:i/>
          <w:noProof/>
          <w:sz w:val="23"/>
          <w:szCs w:val="23"/>
          <w:rtl/>
        </w:rPr>
        <w:t xml:space="preserve"> </w:t>
      </w:r>
      <w:r w:rsidRPr="00005251">
        <w:rPr>
          <w:rFonts w:hint="cs"/>
          <w:i/>
          <w:noProof/>
          <w:sz w:val="23"/>
          <w:szCs w:val="23"/>
          <w:rtl/>
        </w:rPr>
        <w:t>نرخ</w:t>
      </w:r>
      <w:r w:rsidRPr="00005251">
        <w:rPr>
          <w:i/>
          <w:noProof/>
          <w:sz w:val="23"/>
          <w:szCs w:val="23"/>
          <w:rtl/>
        </w:rPr>
        <w:t xml:space="preserve"> </w:t>
      </w:r>
      <w:r w:rsidRPr="00005251">
        <w:rPr>
          <w:rFonts w:hint="cs"/>
          <w:i/>
          <w:noProof/>
          <w:sz w:val="23"/>
          <w:szCs w:val="23"/>
          <w:rtl/>
        </w:rPr>
        <w:t>بهره</w:t>
      </w:r>
      <w:r w:rsidRPr="00005251">
        <w:rPr>
          <w:i/>
          <w:noProof/>
          <w:sz w:val="23"/>
          <w:szCs w:val="23"/>
          <w:rtl/>
        </w:rPr>
        <w:softHyphen/>
      </w:r>
      <w:r w:rsidRPr="00005251">
        <w:rPr>
          <w:rFonts w:hint="cs"/>
          <w:i/>
          <w:noProof/>
          <w:sz w:val="23"/>
          <w:szCs w:val="23"/>
          <w:rtl/>
        </w:rPr>
        <w:t>ی</w:t>
      </w:r>
      <w:r w:rsidRPr="00005251">
        <w:rPr>
          <w:i/>
          <w:noProof/>
          <w:sz w:val="23"/>
          <w:szCs w:val="23"/>
          <w:rtl/>
        </w:rPr>
        <w:t xml:space="preserve"> </w:t>
      </w:r>
      <w:r w:rsidRPr="00005251">
        <w:rPr>
          <w:rFonts w:hint="cs"/>
          <w:i/>
          <w:noProof/>
          <w:sz w:val="23"/>
          <w:szCs w:val="23"/>
          <w:rtl/>
        </w:rPr>
        <w:t>حقیقی</w:t>
      </w:r>
      <w:r w:rsidRPr="00005251">
        <w:rPr>
          <w:i/>
          <w:noProof/>
          <w:sz w:val="23"/>
          <w:szCs w:val="23"/>
          <w:rtl/>
        </w:rPr>
        <w:t xml:space="preserve"> </w:t>
      </w:r>
      <w:r w:rsidRPr="00005251">
        <w:rPr>
          <w:rFonts w:hint="cs"/>
          <w:i/>
          <w:noProof/>
          <w:sz w:val="23"/>
          <w:szCs w:val="23"/>
          <w:rtl/>
        </w:rPr>
        <w:t>ثابت</w:t>
      </w:r>
      <w:r w:rsidRPr="00025957">
        <w:rPr>
          <w:position w:val="-4"/>
        </w:rPr>
        <w:object w:dxaOrig="180" w:dyaOrig="180" w14:anchorId="0BF95827">
          <v:shape id="_x0000_i2350" type="#_x0000_t75" style="width:9.1pt;height:9.1pt" o:ole="">
            <v:imagedata r:id="rId2688" o:title=""/>
          </v:shape>
          <o:OLEObject Type="Embed" ProgID="Equation.DSMT4" ShapeID="_x0000_i2350" DrawAspect="Content" ObjectID="_1791376294" r:id="rId2689"/>
        </w:object>
      </w:r>
      <w:r w:rsidRPr="00005251">
        <w:rPr>
          <w:i/>
          <w:noProof/>
          <w:sz w:val="23"/>
          <w:szCs w:val="23"/>
          <w:rtl/>
        </w:rPr>
        <w:t xml:space="preserve"> </w:t>
      </w:r>
      <w:r w:rsidRPr="00005251">
        <w:rPr>
          <w:rFonts w:hint="cs"/>
          <w:i/>
          <w:noProof/>
          <w:sz w:val="23"/>
          <w:szCs w:val="23"/>
          <w:rtl/>
        </w:rPr>
        <w:t>بدست می</w:t>
      </w:r>
      <w:r w:rsidRPr="00005251">
        <w:rPr>
          <w:i/>
          <w:noProof/>
          <w:sz w:val="23"/>
          <w:szCs w:val="23"/>
          <w:rtl/>
        </w:rPr>
        <w:softHyphen/>
      </w:r>
      <w:r w:rsidRPr="00005251">
        <w:rPr>
          <w:rFonts w:hint="cs"/>
          <w:i/>
          <w:noProof/>
          <w:sz w:val="23"/>
          <w:szCs w:val="23"/>
          <w:rtl/>
        </w:rPr>
        <w:t>آید عبارت است از:</w:t>
      </w:r>
    </w:p>
    <w:p w14:paraId="406C09D3" w14:textId="77777777" w:rsidR="00411620" w:rsidRPr="00005251" w:rsidRDefault="00411620" w:rsidP="00411620">
      <w:pPr>
        <w:pStyle w:val="MTDisplayEquation"/>
        <w:tabs>
          <w:tab w:val="clear" w:pos="6660"/>
        </w:tabs>
        <w:spacing w:line="216" w:lineRule="auto"/>
        <w:rPr>
          <w:rFonts w:ascii="Times New Roman" w:hAnsi="Times New Roman" w:cs="B Nazanin"/>
          <w:i/>
          <w:sz w:val="23"/>
          <w:szCs w:val="23"/>
        </w:rPr>
      </w:pPr>
      <w:r w:rsidRPr="00005251">
        <w:rPr>
          <w:position w:val="-34"/>
        </w:rPr>
        <w:object w:dxaOrig="3680" w:dyaOrig="700" w14:anchorId="77B77CD2">
          <v:shape id="_x0000_i2351" type="#_x0000_t75" style="width:183.95pt;height:35.1pt" o:ole="">
            <v:imagedata r:id="rId2690" o:title=""/>
          </v:shape>
          <o:OLEObject Type="Embed" ProgID="Equation.DSMT4" ShapeID="_x0000_i2351" DrawAspect="Content" ObjectID="_1791376295" r:id="rId2691"/>
        </w:object>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Pr>
          <w:rFonts w:ascii="Times New Roman" w:hAnsi="Times New Roman"/>
          <w:i/>
          <w:sz w:val="23"/>
          <w:szCs w:val="23"/>
          <w:rtl/>
        </w:rPr>
        <w:tab/>
      </w:r>
      <w:r>
        <w:rPr>
          <w:rFonts w:ascii="Times New Roman" w:hAnsi="Times New Roman"/>
          <w:i/>
          <w:sz w:val="23"/>
          <w:szCs w:val="23"/>
          <w:rtl/>
        </w:rPr>
        <w:tab/>
      </w:r>
      <w:r w:rsidRPr="00005251">
        <w:rPr>
          <w:rFonts w:ascii="Times New Roman" w:hAnsi="Times New Roman" w:cs="B Nazanin"/>
          <w:i/>
          <w:sz w:val="23"/>
          <w:szCs w:val="23"/>
          <w:rtl/>
        </w:rPr>
        <w:tab/>
      </w:r>
      <w:r w:rsidRPr="00005251">
        <w:rPr>
          <w:rFonts w:ascii="Times New Roman" w:hAnsi="Times New Roman" w:cs="B Nazanin" w:hint="cs"/>
          <w:i/>
          <w:sz w:val="23"/>
          <w:szCs w:val="23"/>
          <w:rtl/>
        </w:rPr>
        <w:t>(۴. ۳۱)</w:t>
      </w:r>
    </w:p>
    <w:p w14:paraId="0BC1B1F5" w14:textId="77777777" w:rsidR="00411620" w:rsidRPr="00005251" w:rsidRDefault="00411620" w:rsidP="00411620">
      <w:pPr>
        <w:spacing w:line="216" w:lineRule="auto"/>
        <w:rPr>
          <w:i/>
          <w:sz w:val="23"/>
          <w:szCs w:val="23"/>
        </w:rPr>
      </w:pPr>
      <w:r w:rsidRPr="00005251">
        <w:rPr>
          <w:rFonts w:hint="cs"/>
          <w:i/>
          <w:sz w:val="23"/>
          <w:szCs w:val="23"/>
          <w:rtl/>
        </w:rPr>
        <w:t>كه در آن سود حقیقی يا درآمد خالص برابر است با:</w:t>
      </w:r>
      <w:r w:rsidRPr="00005251">
        <w:rPr>
          <w:i/>
          <w:sz w:val="23"/>
          <w:szCs w:val="23"/>
        </w:rPr>
        <w:t xml:space="preserve"> </w:t>
      </w:r>
    </w:p>
    <w:p w14:paraId="20D4B05D" w14:textId="77777777" w:rsidR="00411620" w:rsidRPr="00005251" w:rsidRDefault="00411620" w:rsidP="00411620">
      <w:pPr>
        <w:bidi w:val="0"/>
        <w:spacing w:line="216" w:lineRule="auto"/>
        <w:rPr>
          <w:i/>
          <w:sz w:val="23"/>
          <w:szCs w:val="23"/>
          <w:rtl/>
        </w:rPr>
      </w:pPr>
      <w:r w:rsidRPr="00005251">
        <w:rPr>
          <w:i/>
          <w:sz w:val="23"/>
          <w:szCs w:val="23"/>
        </w:rPr>
        <w:t xml:space="preserve"> </w:t>
      </w:r>
      <w:r w:rsidRPr="00005251">
        <w:rPr>
          <w:position w:val="-10"/>
        </w:rPr>
        <w:object w:dxaOrig="2640" w:dyaOrig="320" w14:anchorId="553C8E62">
          <v:shape id="_x0000_i2352" type="#_x0000_t75" style="width:132.5pt;height:16.35pt" o:ole="">
            <v:imagedata r:id="rId2692" o:title=""/>
          </v:shape>
          <o:OLEObject Type="Embed" ProgID="Equation.DSMT4" ShapeID="_x0000_i2352" DrawAspect="Content" ObjectID="_1791376296" r:id="rId2693"/>
        </w:object>
      </w:r>
    </w:p>
    <w:p w14:paraId="1A7EA7A5" w14:textId="77777777" w:rsidR="00411620" w:rsidRPr="00005251" w:rsidRDefault="00411620" w:rsidP="00411620">
      <w:pPr>
        <w:spacing w:line="216" w:lineRule="auto"/>
        <w:rPr>
          <w:i/>
          <w:sz w:val="23"/>
          <w:szCs w:val="23"/>
          <w:rtl/>
        </w:rPr>
      </w:pPr>
      <w:r w:rsidRPr="00005251">
        <w:rPr>
          <w:rFonts w:hint="cs"/>
          <w:i/>
          <w:sz w:val="23"/>
          <w:szCs w:val="23"/>
          <w:rtl/>
        </w:rPr>
        <w:t>در رابطه</w:t>
      </w:r>
      <w:r w:rsidRPr="00005251">
        <w:rPr>
          <w:i/>
          <w:sz w:val="23"/>
          <w:szCs w:val="23"/>
          <w:rtl/>
        </w:rPr>
        <w:softHyphen/>
      </w:r>
      <w:r w:rsidRPr="00005251">
        <w:rPr>
          <w:rFonts w:hint="cs"/>
          <w:i/>
          <w:sz w:val="23"/>
          <w:szCs w:val="23"/>
          <w:rtl/>
        </w:rPr>
        <w:t>ی فوق</w:t>
      </w:r>
      <w:r w:rsidRPr="00005251">
        <w:rPr>
          <w:position w:val="-10"/>
        </w:rPr>
        <w:object w:dxaOrig="260" w:dyaOrig="320" w14:anchorId="0F2F1674">
          <v:shape id="_x0000_i2353" type="#_x0000_t75" style="width:12.7pt;height:16.35pt" o:ole="">
            <v:imagedata r:id="rId2694" o:title=""/>
          </v:shape>
          <o:OLEObject Type="Embed" ProgID="Equation.DSMT4" ShapeID="_x0000_i2353" DrawAspect="Content" ObjectID="_1791376297" r:id="rId2695"/>
        </w:object>
      </w:r>
      <w:r w:rsidRPr="00005251">
        <w:rPr>
          <w:i/>
          <w:noProof/>
          <w:sz w:val="23"/>
          <w:szCs w:val="23"/>
          <w:rtl/>
        </w:rPr>
        <w:t xml:space="preserve"> </w:t>
      </w:r>
      <w:r w:rsidRPr="00005251">
        <w:rPr>
          <w:rFonts w:hint="cs"/>
          <w:i/>
          <w:noProof/>
          <w:sz w:val="23"/>
          <w:szCs w:val="23"/>
          <w:rtl/>
        </w:rPr>
        <w:t>نرخ</w:t>
      </w:r>
      <w:r w:rsidRPr="00005251">
        <w:rPr>
          <w:i/>
          <w:noProof/>
          <w:sz w:val="23"/>
          <w:szCs w:val="23"/>
          <w:rtl/>
        </w:rPr>
        <w:t xml:space="preserve"> </w:t>
      </w:r>
      <w:r w:rsidRPr="00005251">
        <w:rPr>
          <w:rFonts w:hint="cs"/>
          <w:i/>
          <w:noProof/>
          <w:sz w:val="23"/>
          <w:szCs w:val="23"/>
          <w:rtl/>
        </w:rPr>
        <w:t>دستمزد حقیقی،</w:t>
      </w:r>
      <w:r w:rsidRPr="00005251">
        <w:rPr>
          <w:position w:val="-10"/>
        </w:rPr>
        <w:object w:dxaOrig="240" w:dyaOrig="320" w14:anchorId="1C7D133F">
          <v:shape id="_x0000_i2354" type="#_x0000_t75" style="width:11.5pt;height:16.35pt" o:ole="">
            <v:imagedata r:id="rId2696" o:title=""/>
          </v:shape>
          <o:OLEObject Type="Embed" ProgID="Equation.DSMT4" ShapeID="_x0000_i2354" DrawAspect="Content" ObjectID="_1791376298" r:id="rId2697"/>
        </w:object>
      </w:r>
      <w:r w:rsidRPr="00005251">
        <w:rPr>
          <w:i/>
          <w:noProof/>
          <w:sz w:val="23"/>
          <w:szCs w:val="23"/>
          <w:rtl/>
        </w:rPr>
        <w:t xml:space="preserve"> </w:t>
      </w:r>
      <w:r w:rsidRPr="00005251">
        <w:rPr>
          <w:rFonts w:hint="cs"/>
          <w:i/>
          <w:noProof/>
          <w:sz w:val="23"/>
          <w:szCs w:val="23"/>
          <w:rtl/>
        </w:rPr>
        <w:t>نیروی کار</w:t>
      </w:r>
      <w:r w:rsidRPr="00005251">
        <w:rPr>
          <w:i/>
          <w:noProof/>
          <w:sz w:val="23"/>
          <w:szCs w:val="23"/>
          <w:rtl/>
        </w:rPr>
        <w:t xml:space="preserve"> </w:t>
      </w:r>
      <w:r w:rsidRPr="00005251">
        <w:rPr>
          <w:rFonts w:hint="cs"/>
          <w:i/>
          <w:noProof/>
          <w:sz w:val="23"/>
          <w:szCs w:val="23"/>
          <w:rtl/>
        </w:rPr>
        <w:t>و</w:t>
      </w:r>
      <w:r w:rsidRPr="00005251">
        <w:rPr>
          <w:position w:val="-10"/>
        </w:rPr>
        <w:object w:dxaOrig="220" w:dyaOrig="320" w14:anchorId="055806B9">
          <v:shape id="_x0000_i2355" type="#_x0000_t75" style="width:10.9pt;height:16.35pt" o:ole="">
            <v:imagedata r:id="rId2698" o:title=""/>
          </v:shape>
          <o:OLEObject Type="Embed" ProgID="Equation.DSMT4" ShapeID="_x0000_i2355" DrawAspect="Content" ObjectID="_1791376299" r:id="rId2699"/>
        </w:object>
      </w:r>
      <w:r w:rsidRPr="00005251">
        <w:rPr>
          <w:i/>
          <w:noProof/>
          <w:sz w:val="23"/>
          <w:szCs w:val="23"/>
          <w:rtl/>
        </w:rPr>
        <w:t xml:space="preserve"> </w:t>
      </w:r>
      <w:r w:rsidRPr="00005251">
        <w:rPr>
          <w:rFonts w:hint="cs"/>
          <w:i/>
          <w:noProof/>
          <w:sz w:val="23"/>
          <w:szCs w:val="23"/>
          <w:rtl/>
        </w:rPr>
        <w:t>موجودی</w:t>
      </w:r>
      <w:r w:rsidRPr="00005251">
        <w:rPr>
          <w:i/>
          <w:noProof/>
          <w:sz w:val="23"/>
          <w:szCs w:val="23"/>
          <w:rtl/>
        </w:rPr>
        <w:t xml:space="preserve"> </w:t>
      </w:r>
      <w:r w:rsidRPr="00005251">
        <w:rPr>
          <w:rFonts w:hint="cs"/>
          <w:i/>
          <w:noProof/>
          <w:sz w:val="23"/>
          <w:szCs w:val="23"/>
          <w:rtl/>
        </w:rPr>
        <w:t>بدهی معوق بنگاه</w:t>
      </w:r>
      <w:r w:rsidRPr="00005251">
        <w:rPr>
          <w:rStyle w:val="FootnoteReference"/>
          <w:rFonts w:eastAsiaTheme="majorEastAsia"/>
          <w:i/>
          <w:noProof/>
          <w:sz w:val="23"/>
          <w:szCs w:val="23"/>
          <w:rtl/>
        </w:rPr>
        <w:footnoteReference w:id="127"/>
      </w:r>
      <w:r w:rsidRPr="00005251">
        <w:rPr>
          <w:i/>
          <w:noProof/>
          <w:sz w:val="23"/>
          <w:szCs w:val="23"/>
          <w:rtl/>
        </w:rPr>
        <w:t xml:space="preserve"> </w:t>
      </w:r>
      <w:r w:rsidRPr="00005251">
        <w:rPr>
          <w:rFonts w:hint="cs"/>
          <w:i/>
          <w:noProof/>
          <w:sz w:val="23"/>
          <w:szCs w:val="23"/>
          <w:rtl/>
        </w:rPr>
        <w:t>در</w:t>
      </w:r>
      <w:r w:rsidRPr="00005251">
        <w:rPr>
          <w:i/>
          <w:noProof/>
          <w:sz w:val="23"/>
          <w:szCs w:val="23"/>
          <w:rtl/>
        </w:rPr>
        <w:t xml:space="preserve"> </w:t>
      </w:r>
      <w:r w:rsidRPr="00005251">
        <w:rPr>
          <w:rFonts w:hint="cs"/>
          <w:i/>
          <w:noProof/>
          <w:sz w:val="23"/>
          <w:szCs w:val="23"/>
          <w:rtl/>
        </w:rPr>
        <w:t>آغاز</w:t>
      </w:r>
      <w:r w:rsidRPr="00005251">
        <w:rPr>
          <w:i/>
          <w:noProof/>
          <w:sz w:val="23"/>
          <w:szCs w:val="23"/>
          <w:rtl/>
        </w:rPr>
        <w:t xml:space="preserve"> </w:t>
      </w:r>
      <w:r w:rsidRPr="00005251">
        <w:rPr>
          <w:rFonts w:hint="cs"/>
          <w:i/>
          <w:noProof/>
          <w:sz w:val="23"/>
          <w:szCs w:val="23"/>
          <w:rtl/>
        </w:rPr>
        <w:t>دوره</w:t>
      </w:r>
      <w:r w:rsidRPr="00005251">
        <w:rPr>
          <w:position w:val="-6"/>
        </w:rPr>
        <w:object w:dxaOrig="139" w:dyaOrig="240" w14:anchorId="1D06887A">
          <v:shape id="_x0000_i2356" type="#_x0000_t75" style="width:6.65pt;height:11.5pt" o:ole="">
            <v:imagedata r:id="rId2700" o:title=""/>
          </v:shape>
          <o:OLEObject Type="Embed" ProgID="Equation.DSMT4" ShapeID="_x0000_i2356" DrawAspect="Content" ObjectID="_1791376300" r:id="rId2701"/>
        </w:object>
      </w:r>
      <w:r w:rsidRPr="00005251">
        <w:rPr>
          <w:i/>
          <w:noProof/>
          <w:sz w:val="23"/>
          <w:szCs w:val="23"/>
          <w:rtl/>
        </w:rPr>
        <w:t xml:space="preserve"> </w:t>
      </w:r>
      <w:r w:rsidRPr="00005251">
        <w:rPr>
          <w:rFonts w:hint="cs"/>
          <w:i/>
          <w:noProof/>
          <w:sz w:val="23"/>
          <w:szCs w:val="23"/>
          <w:rtl/>
        </w:rPr>
        <w:t>است.</w:t>
      </w:r>
      <w:r w:rsidRPr="00005251">
        <w:rPr>
          <w:i/>
          <w:noProof/>
          <w:sz w:val="23"/>
          <w:szCs w:val="23"/>
          <w:rtl/>
        </w:rPr>
        <w:t xml:space="preserve"> </w:t>
      </w:r>
      <w:r w:rsidRPr="00005251">
        <w:rPr>
          <w:rFonts w:hint="cs"/>
          <w:i/>
          <w:noProof/>
          <w:sz w:val="23"/>
          <w:szCs w:val="23"/>
          <w:rtl/>
        </w:rPr>
        <w:t>در واقع</w:t>
      </w:r>
      <w:r w:rsidRPr="00005251">
        <w:rPr>
          <w:i/>
          <w:noProof/>
          <w:sz w:val="23"/>
          <w:szCs w:val="23"/>
          <w:rtl/>
        </w:rPr>
        <w:t xml:space="preserve"> </w:t>
      </w:r>
      <w:r w:rsidRPr="00005251">
        <w:rPr>
          <w:position w:val="-10"/>
        </w:rPr>
        <w:object w:dxaOrig="220" w:dyaOrig="320" w14:anchorId="1EAE7CAD">
          <v:shape id="_x0000_i2357" type="#_x0000_t75" style="width:10.9pt;height:16.35pt" o:ole="">
            <v:imagedata r:id="rId2702" o:title=""/>
          </v:shape>
          <o:OLEObject Type="Embed" ProgID="Equation.DSMT4" ShapeID="_x0000_i2357" DrawAspect="Content" ObjectID="_1791376301" r:id="rId2703"/>
        </w:object>
      </w:r>
      <w:r w:rsidRPr="00005251">
        <w:rPr>
          <w:i/>
          <w:noProof/>
          <w:sz w:val="23"/>
          <w:szCs w:val="23"/>
          <w:rtl/>
        </w:rPr>
        <w:t xml:space="preserve"> </w:t>
      </w:r>
      <w:r w:rsidRPr="00005251">
        <w:rPr>
          <w:rFonts w:hint="cs"/>
          <w:i/>
          <w:noProof/>
          <w:sz w:val="23"/>
          <w:szCs w:val="23"/>
          <w:rtl/>
        </w:rPr>
        <w:t>بدهی</w:t>
      </w:r>
      <w:r w:rsidRPr="00005251">
        <w:rPr>
          <w:i/>
          <w:noProof/>
          <w:sz w:val="23"/>
          <w:szCs w:val="23"/>
          <w:rtl/>
        </w:rPr>
        <w:t xml:space="preserve"> </w:t>
      </w:r>
      <w:r w:rsidRPr="00005251">
        <w:rPr>
          <w:rFonts w:hint="cs"/>
          <w:i/>
          <w:noProof/>
          <w:sz w:val="23"/>
          <w:szCs w:val="23"/>
          <w:rtl/>
        </w:rPr>
        <w:t>شرکتی</w:t>
      </w:r>
      <w:r w:rsidRPr="00005251">
        <w:rPr>
          <w:rStyle w:val="FootnoteReference"/>
          <w:rFonts w:eastAsiaTheme="majorEastAsia"/>
          <w:i/>
          <w:noProof/>
          <w:sz w:val="23"/>
          <w:szCs w:val="23"/>
          <w:rtl/>
        </w:rPr>
        <w:footnoteReference w:id="128"/>
      </w:r>
      <w:r w:rsidRPr="00005251">
        <w:rPr>
          <w:i/>
          <w:noProof/>
          <w:sz w:val="23"/>
          <w:szCs w:val="23"/>
          <w:rtl/>
        </w:rPr>
        <w:t xml:space="preserve"> </w:t>
      </w:r>
      <w:r w:rsidRPr="00005251">
        <w:rPr>
          <w:rFonts w:hint="cs"/>
          <w:i/>
          <w:noProof/>
          <w:sz w:val="23"/>
          <w:szCs w:val="23"/>
          <w:rtl/>
        </w:rPr>
        <w:t>است</w:t>
      </w:r>
      <w:r w:rsidRPr="00005251">
        <w:rPr>
          <w:i/>
          <w:noProof/>
          <w:sz w:val="23"/>
          <w:szCs w:val="23"/>
          <w:rtl/>
        </w:rPr>
        <w:t xml:space="preserve"> </w:t>
      </w:r>
      <w:r w:rsidRPr="00005251">
        <w:rPr>
          <w:rFonts w:hint="cs"/>
          <w:i/>
          <w:noProof/>
          <w:sz w:val="23"/>
          <w:szCs w:val="23"/>
          <w:rtl/>
        </w:rPr>
        <w:t>که</w:t>
      </w:r>
      <w:r w:rsidRPr="00005251">
        <w:rPr>
          <w:i/>
          <w:noProof/>
          <w:sz w:val="23"/>
          <w:szCs w:val="23"/>
          <w:rtl/>
        </w:rPr>
        <w:t xml:space="preserve"> </w:t>
      </w:r>
      <w:r w:rsidRPr="00005251">
        <w:rPr>
          <w:rFonts w:hint="cs"/>
          <w:i/>
          <w:noProof/>
          <w:sz w:val="23"/>
          <w:szCs w:val="23"/>
          <w:rtl/>
        </w:rPr>
        <w:t>توسط</w:t>
      </w:r>
      <w:r w:rsidRPr="00005251">
        <w:rPr>
          <w:i/>
          <w:noProof/>
          <w:sz w:val="23"/>
          <w:szCs w:val="23"/>
          <w:rtl/>
        </w:rPr>
        <w:t xml:space="preserve"> </w:t>
      </w:r>
      <w:r w:rsidRPr="00005251">
        <w:rPr>
          <w:rFonts w:hint="cs"/>
          <w:i/>
          <w:noProof/>
          <w:color w:val="000000" w:themeColor="text1"/>
          <w:sz w:val="23"/>
          <w:szCs w:val="23"/>
          <w:rtl/>
        </w:rPr>
        <w:t>خانوار</w:t>
      </w:r>
      <w:r w:rsidRPr="00005251">
        <w:rPr>
          <w:i/>
          <w:noProof/>
          <w:color w:val="000000" w:themeColor="text1"/>
          <w:sz w:val="23"/>
          <w:szCs w:val="23"/>
          <w:rtl/>
        </w:rPr>
        <w:t xml:space="preserve"> </w:t>
      </w:r>
      <w:r w:rsidRPr="00005251">
        <w:rPr>
          <w:rFonts w:hint="cs"/>
          <w:i/>
          <w:noProof/>
          <w:color w:val="000000" w:themeColor="text1"/>
          <w:sz w:val="23"/>
          <w:szCs w:val="23"/>
          <w:rtl/>
        </w:rPr>
        <w:t>نگه داشته می</w:t>
      </w:r>
      <w:r w:rsidRPr="00005251">
        <w:rPr>
          <w:i/>
          <w:noProof/>
          <w:color w:val="000000" w:themeColor="text1"/>
          <w:sz w:val="23"/>
          <w:szCs w:val="23"/>
          <w:rtl/>
        </w:rPr>
        <w:softHyphen/>
      </w:r>
      <w:r w:rsidRPr="00005251">
        <w:rPr>
          <w:rFonts w:hint="cs"/>
          <w:i/>
          <w:noProof/>
          <w:color w:val="000000" w:themeColor="text1"/>
          <w:sz w:val="23"/>
          <w:szCs w:val="23"/>
          <w:rtl/>
        </w:rPr>
        <w:t>شود</w:t>
      </w:r>
      <w:r w:rsidRPr="00005251">
        <w:rPr>
          <w:i/>
          <w:noProof/>
          <w:color w:val="000000" w:themeColor="text1"/>
          <w:sz w:val="23"/>
          <w:szCs w:val="23"/>
          <w:rtl/>
        </w:rPr>
        <w:t>.</w:t>
      </w:r>
      <w:r w:rsidRPr="00005251">
        <w:rPr>
          <w:rFonts w:hint="cs"/>
          <w:i/>
          <w:noProof/>
          <w:color w:val="000000" w:themeColor="text1"/>
          <w:sz w:val="23"/>
          <w:szCs w:val="23"/>
          <w:rtl/>
        </w:rPr>
        <w:t xml:space="preserve"> </w:t>
      </w:r>
      <w:r w:rsidRPr="00005251">
        <w:rPr>
          <w:rFonts w:hint="cs"/>
          <w:i/>
          <w:sz w:val="23"/>
          <w:szCs w:val="23"/>
          <w:rtl/>
        </w:rPr>
        <w:t>قيمت</w:t>
      </w:r>
      <w:r w:rsidRPr="00005251">
        <w:rPr>
          <w:i/>
          <w:sz w:val="23"/>
          <w:szCs w:val="23"/>
          <w:rtl/>
        </w:rPr>
        <w:softHyphen/>
      </w:r>
      <w:r w:rsidRPr="00005251">
        <w:rPr>
          <w:rFonts w:hint="cs"/>
          <w:i/>
          <w:sz w:val="23"/>
          <w:szCs w:val="23"/>
          <w:rtl/>
        </w:rPr>
        <w:t>ها را نیز ثابت و برابر با واحد، و توليد حقیقی را تابعي از دو عامل نیروی کار و سرمایه در نظر می</w:t>
      </w:r>
      <w:r w:rsidRPr="00005251">
        <w:rPr>
          <w:i/>
          <w:sz w:val="23"/>
          <w:szCs w:val="23"/>
          <w:rtl/>
        </w:rPr>
        <w:softHyphen/>
      </w:r>
      <w:r w:rsidRPr="00005251">
        <w:rPr>
          <w:rFonts w:hint="cs"/>
          <w:i/>
          <w:sz w:val="23"/>
          <w:szCs w:val="23"/>
          <w:rtl/>
        </w:rPr>
        <w:t xml:space="preserve">گیریم. لذا </w:t>
      </w:r>
    </w:p>
    <w:p w14:paraId="07F21FD7" w14:textId="77777777" w:rsidR="00411620" w:rsidRPr="00005251" w:rsidRDefault="00411620" w:rsidP="00411620">
      <w:pPr>
        <w:pStyle w:val="MTDisplayEquation"/>
        <w:spacing w:line="216" w:lineRule="auto"/>
        <w:rPr>
          <w:rFonts w:ascii="Times New Roman" w:hAnsi="Times New Roman" w:cs="B Nazanin"/>
          <w:i/>
          <w:sz w:val="23"/>
          <w:szCs w:val="23"/>
          <w:rtl/>
        </w:rPr>
      </w:pPr>
      <w:r w:rsidRPr="00005251">
        <w:rPr>
          <w:position w:val="-12"/>
        </w:rPr>
        <w:object w:dxaOrig="1280" w:dyaOrig="360" w14:anchorId="26F1AFD9">
          <v:shape id="_x0000_i2358" type="#_x0000_t75" style="width:64.15pt;height:18.15pt" o:ole="">
            <v:imagedata r:id="rId2704" o:title=""/>
          </v:shape>
          <o:OLEObject Type="Embed" ProgID="Equation.DSMT4" ShapeID="_x0000_i2358" DrawAspect="Content" ObjectID="_1791376302" r:id="rId2705"/>
        </w:object>
      </w:r>
    </w:p>
    <w:p w14:paraId="6EBC25BD" w14:textId="77777777" w:rsidR="00411620" w:rsidRPr="00005251" w:rsidRDefault="00411620" w:rsidP="00411620">
      <w:pPr>
        <w:spacing w:line="216" w:lineRule="auto"/>
        <w:rPr>
          <w:i/>
          <w:sz w:val="23"/>
          <w:szCs w:val="23"/>
          <w:rtl/>
        </w:rPr>
      </w:pPr>
      <w:r w:rsidRPr="00005251">
        <w:rPr>
          <w:rFonts w:hint="cs"/>
          <w:i/>
          <w:sz w:val="23"/>
          <w:szCs w:val="23"/>
          <w:rtl/>
        </w:rPr>
        <w:t>همچنین موجودي سرمايه بوسيله</w:t>
      </w:r>
      <w:r w:rsidRPr="00005251">
        <w:rPr>
          <w:i/>
          <w:sz w:val="23"/>
          <w:szCs w:val="23"/>
          <w:rtl/>
        </w:rPr>
        <w:softHyphen/>
      </w:r>
      <w:r w:rsidRPr="00005251">
        <w:rPr>
          <w:rFonts w:hint="cs"/>
          <w:i/>
          <w:sz w:val="23"/>
          <w:szCs w:val="23"/>
          <w:rtl/>
        </w:rPr>
        <w:t>ی رابطه</w:t>
      </w:r>
      <w:r w:rsidRPr="00005251">
        <w:rPr>
          <w:i/>
          <w:sz w:val="23"/>
          <w:szCs w:val="23"/>
          <w:rtl/>
        </w:rPr>
        <w:softHyphen/>
      </w:r>
      <w:r w:rsidRPr="00005251">
        <w:rPr>
          <w:rFonts w:hint="cs"/>
          <w:i/>
          <w:sz w:val="23"/>
          <w:szCs w:val="23"/>
          <w:rtl/>
        </w:rPr>
        <w:t>ی زیر انباشته می‌شود</w:t>
      </w:r>
    </w:p>
    <w:p w14:paraId="4300AB10" w14:textId="77777777" w:rsidR="00411620" w:rsidRPr="00005251" w:rsidRDefault="00411620" w:rsidP="00411620">
      <w:pPr>
        <w:pStyle w:val="MTDisplayEquation"/>
        <w:spacing w:line="216" w:lineRule="auto"/>
        <w:rPr>
          <w:rFonts w:ascii="Times New Roman" w:hAnsi="Times New Roman" w:cs="B Nazanin"/>
          <w:i/>
          <w:sz w:val="23"/>
          <w:szCs w:val="23"/>
        </w:rPr>
      </w:pPr>
      <w:r w:rsidRPr="00005251">
        <w:rPr>
          <w:position w:val="-10"/>
        </w:rPr>
        <w:object w:dxaOrig="1320" w:dyaOrig="320" w14:anchorId="20F3D7C0">
          <v:shape id="_x0000_i2359" type="#_x0000_t75" style="width:66.55pt;height:16.35pt" o:ole="">
            <v:imagedata r:id="rId2706" o:title=""/>
          </v:shape>
          <o:OLEObject Type="Embed" ProgID="Equation.DSMT4" ShapeID="_x0000_i2359" DrawAspect="Content" ObjectID="_1791376303" r:id="rId2707"/>
        </w:object>
      </w:r>
    </w:p>
    <w:p w14:paraId="0BAF51C4" w14:textId="77777777" w:rsidR="00411620" w:rsidRPr="00005251" w:rsidRDefault="00411620" w:rsidP="00411620">
      <w:pPr>
        <w:spacing w:line="216" w:lineRule="auto"/>
        <w:rPr>
          <w:i/>
          <w:sz w:val="23"/>
          <w:szCs w:val="23"/>
          <w:rtl/>
        </w:rPr>
      </w:pPr>
      <w:r w:rsidRPr="00005251">
        <w:rPr>
          <w:rFonts w:eastAsiaTheme="minorEastAsia"/>
          <w:i/>
          <w:sz w:val="23"/>
          <w:szCs w:val="23"/>
          <w:vertAlign w:val="subscript"/>
        </w:rPr>
        <w:t xml:space="preserve"> </w:t>
      </w:r>
      <w:r w:rsidRPr="00005251">
        <w:rPr>
          <w:rFonts w:eastAsiaTheme="minorEastAsia"/>
          <w:i/>
          <w:sz w:val="23"/>
          <w:szCs w:val="23"/>
          <w:vertAlign w:val="subscript"/>
          <w:rtl/>
        </w:rPr>
        <w:softHyphen/>
      </w:r>
      <w:r w:rsidRPr="00005251">
        <w:rPr>
          <w:rFonts w:hint="cs"/>
          <w:i/>
          <w:sz w:val="23"/>
          <w:szCs w:val="23"/>
          <w:rtl/>
        </w:rPr>
        <w:t>بنابراین سود حقیقی يا درآمد خالص بنگاه عبارت است از :</w:t>
      </w:r>
    </w:p>
    <w:p w14:paraId="5FE09495" w14:textId="77777777" w:rsidR="00411620" w:rsidRPr="00005251" w:rsidRDefault="00411620" w:rsidP="00411620">
      <w:pPr>
        <w:pStyle w:val="MTDisplayEquation"/>
        <w:spacing w:line="216" w:lineRule="auto"/>
        <w:rPr>
          <w:rFonts w:ascii="Times New Roman" w:hAnsi="Times New Roman" w:cs="B Nazanin"/>
          <w:i/>
          <w:sz w:val="23"/>
          <w:szCs w:val="23"/>
          <w:rtl/>
        </w:rPr>
      </w:pPr>
      <w:r w:rsidRPr="00005251">
        <w:rPr>
          <w:position w:val="-12"/>
        </w:rPr>
        <w:object w:dxaOrig="4720" w:dyaOrig="360" w14:anchorId="45A891E7">
          <v:shape id="_x0000_i2360" type="#_x0000_t75" style="width:235.95pt;height:18.15pt" o:ole="">
            <v:imagedata r:id="rId2708" o:title=""/>
          </v:shape>
          <o:OLEObject Type="Embed" ProgID="Equation.DSMT4" ShapeID="_x0000_i2360" DrawAspect="Content" ObjectID="_1791376304" r:id="rId2709"/>
        </w:object>
      </w:r>
    </w:p>
    <w:p w14:paraId="45B103CD" w14:textId="77777777" w:rsidR="00411620" w:rsidRPr="00005251" w:rsidRDefault="00411620" w:rsidP="00411620">
      <w:pPr>
        <w:spacing w:line="216" w:lineRule="auto"/>
        <w:rPr>
          <w:i/>
          <w:noProof/>
          <w:sz w:val="23"/>
          <w:szCs w:val="23"/>
          <w:rtl/>
        </w:rPr>
      </w:pPr>
      <w:r w:rsidRPr="00005251">
        <w:rPr>
          <w:rFonts w:hint="cs"/>
          <w:i/>
          <w:noProof/>
          <w:sz w:val="23"/>
          <w:szCs w:val="23"/>
          <w:rtl/>
        </w:rPr>
        <w:t>بنگاه</w:t>
      </w:r>
      <w:r w:rsidRPr="00005251">
        <w:rPr>
          <w:i/>
          <w:noProof/>
          <w:sz w:val="23"/>
          <w:szCs w:val="23"/>
          <w:rtl/>
        </w:rPr>
        <w:t xml:space="preserve"> </w:t>
      </w:r>
      <w:r w:rsidRPr="00005251">
        <w:rPr>
          <w:rFonts w:hint="cs"/>
          <w:i/>
          <w:noProof/>
          <w:sz w:val="23"/>
          <w:szCs w:val="23"/>
          <w:rtl/>
        </w:rPr>
        <w:t>به</w:t>
      </w:r>
      <w:r w:rsidRPr="00005251">
        <w:rPr>
          <w:i/>
          <w:noProof/>
          <w:sz w:val="23"/>
          <w:szCs w:val="23"/>
          <w:rtl/>
        </w:rPr>
        <w:t xml:space="preserve"> </w:t>
      </w:r>
      <w:r w:rsidRPr="00005251">
        <w:rPr>
          <w:rFonts w:hint="cs"/>
          <w:i/>
          <w:noProof/>
          <w:sz w:val="23"/>
          <w:szCs w:val="23"/>
          <w:rtl/>
        </w:rPr>
        <w:t>دنبال</w:t>
      </w:r>
      <w:r w:rsidRPr="00005251">
        <w:rPr>
          <w:i/>
          <w:noProof/>
          <w:sz w:val="23"/>
          <w:szCs w:val="23"/>
          <w:rtl/>
        </w:rPr>
        <w:t xml:space="preserve"> </w:t>
      </w:r>
      <w:r w:rsidRPr="00005251">
        <w:rPr>
          <w:rFonts w:hint="cs"/>
          <w:i/>
          <w:noProof/>
          <w:sz w:val="23"/>
          <w:szCs w:val="23"/>
          <w:rtl/>
        </w:rPr>
        <w:t>حداکثر کردن</w:t>
      </w:r>
      <w:r w:rsidRPr="00005251">
        <w:rPr>
          <w:i/>
          <w:noProof/>
          <w:sz w:val="23"/>
          <w:szCs w:val="23"/>
          <w:rtl/>
        </w:rPr>
        <w:t xml:space="preserve"> </w:t>
      </w:r>
      <w:r w:rsidRPr="00005251">
        <w:rPr>
          <w:rFonts w:hint="cs"/>
          <w:i/>
          <w:noProof/>
          <w:sz w:val="23"/>
          <w:szCs w:val="23"/>
          <w:rtl/>
        </w:rPr>
        <w:t>ارزش</w:t>
      </w:r>
      <w:r w:rsidRPr="00005251">
        <w:rPr>
          <w:i/>
          <w:noProof/>
          <w:sz w:val="23"/>
          <w:szCs w:val="23"/>
          <w:rtl/>
        </w:rPr>
        <w:t xml:space="preserve"> </w:t>
      </w:r>
      <w:r w:rsidRPr="00005251">
        <w:rPr>
          <w:rFonts w:hint="cs"/>
          <w:i/>
          <w:noProof/>
          <w:sz w:val="23"/>
          <w:szCs w:val="23"/>
          <w:rtl/>
        </w:rPr>
        <w:t>فعلی</w:t>
      </w:r>
      <w:r w:rsidRPr="00005251">
        <w:rPr>
          <w:i/>
          <w:noProof/>
          <w:sz w:val="23"/>
          <w:szCs w:val="23"/>
          <w:rtl/>
        </w:rPr>
        <w:t xml:space="preserve"> </w:t>
      </w:r>
      <w:r w:rsidRPr="00005251">
        <w:rPr>
          <w:rFonts w:hint="cs"/>
          <w:i/>
          <w:noProof/>
          <w:sz w:val="23"/>
          <w:szCs w:val="23"/>
          <w:rtl/>
        </w:rPr>
        <w:t>سود خود</w:t>
      </w:r>
      <w:r w:rsidRPr="00005251">
        <w:rPr>
          <w:i/>
          <w:noProof/>
          <w:sz w:val="23"/>
          <w:szCs w:val="23"/>
          <w:rtl/>
        </w:rPr>
        <w:t xml:space="preserve"> </w:t>
      </w:r>
      <w:r w:rsidRPr="00005251">
        <w:rPr>
          <w:rFonts w:hint="cs"/>
          <w:i/>
          <w:noProof/>
          <w:sz w:val="23"/>
          <w:szCs w:val="23"/>
          <w:rtl/>
        </w:rPr>
        <w:t xml:space="preserve">بر حسب </w:t>
      </w:r>
      <w:r w:rsidRPr="00005251">
        <w:rPr>
          <w:position w:val="-12"/>
        </w:rPr>
        <w:object w:dxaOrig="1579" w:dyaOrig="360" w14:anchorId="6EF22AC0">
          <v:shape id="_x0000_i2361" type="#_x0000_t75" style="width:78.65pt;height:18.15pt" o:ole="">
            <v:imagedata r:id="rId2710" o:title=""/>
          </v:shape>
          <o:OLEObject Type="Embed" ProgID="Equation.DSMT4" ShapeID="_x0000_i2361" DrawAspect="Content" ObjectID="_1791376305" r:id="rId2711"/>
        </w:object>
      </w:r>
      <w:r w:rsidRPr="00005251">
        <w:rPr>
          <w:i/>
          <w:noProof/>
          <w:sz w:val="23"/>
          <w:szCs w:val="23"/>
          <w:rtl/>
        </w:rPr>
        <w:t xml:space="preserve"> </w:t>
      </w:r>
      <w:r w:rsidRPr="00005251">
        <w:rPr>
          <w:rFonts w:hint="cs"/>
          <w:i/>
          <w:noProof/>
          <w:sz w:val="23"/>
          <w:szCs w:val="23"/>
          <w:rtl/>
        </w:rPr>
        <w:t xml:space="preserve">و برای هر </w:t>
      </w:r>
      <w:r w:rsidRPr="00005251">
        <w:rPr>
          <w:position w:val="-6"/>
        </w:rPr>
        <w:object w:dxaOrig="499" w:dyaOrig="260" w14:anchorId="5B5EEDCD">
          <v:shape id="_x0000_i2362" type="#_x0000_t75" style="width:24.8pt;height:12.7pt" o:ole="">
            <v:imagedata r:id="rId2712" o:title=""/>
          </v:shape>
          <o:OLEObject Type="Embed" ProgID="Equation.DSMT4" ShapeID="_x0000_i2362" DrawAspect="Content" ObjectID="_1791376306" r:id="rId2713"/>
        </w:object>
      </w:r>
      <w:r w:rsidRPr="00005251">
        <w:rPr>
          <w:rFonts w:eastAsiaTheme="minorEastAsia" w:hint="cs"/>
          <w:i/>
          <w:noProof/>
          <w:sz w:val="23"/>
          <w:szCs w:val="23"/>
          <w:rtl/>
        </w:rPr>
        <w:t xml:space="preserve"> </w:t>
      </w:r>
      <w:r w:rsidRPr="00005251">
        <w:rPr>
          <w:rFonts w:hint="cs"/>
          <w:i/>
          <w:noProof/>
          <w:sz w:val="23"/>
          <w:szCs w:val="23"/>
          <w:rtl/>
        </w:rPr>
        <w:t>است. لذا</w:t>
      </w:r>
    </w:p>
    <w:p w14:paraId="32EBA9FD" w14:textId="77777777" w:rsidR="00411620" w:rsidRPr="00005251" w:rsidRDefault="00411620" w:rsidP="00411620">
      <w:pPr>
        <w:pStyle w:val="MTDisplayEquation"/>
        <w:spacing w:line="216" w:lineRule="auto"/>
        <w:rPr>
          <w:rFonts w:ascii="Times New Roman" w:hAnsi="Times New Roman" w:cs="B Nazanin"/>
          <w:i/>
          <w:noProof/>
          <w:sz w:val="23"/>
          <w:szCs w:val="23"/>
          <w:rtl/>
        </w:rPr>
      </w:pPr>
      <w:r w:rsidRPr="00005251">
        <w:rPr>
          <w:position w:val="-70"/>
        </w:rPr>
        <w:object w:dxaOrig="6100" w:dyaOrig="1500" w14:anchorId="63D5BA98">
          <v:shape id="_x0000_i2363" type="#_x0000_t75" style="width:304.95pt;height:75.05pt" o:ole="">
            <v:imagedata r:id="rId2714" o:title=""/>
          </v:shape>
          <o:OLEObject Type="Embed" ProgID="Equation.DSMT4" ShapeID="_x0000_i2363" DrawAspect="Content" ObjectID="_1791376307" r:id="rId2715"/>
        </w:object>
      </w:r>
    </w:p>
    <w:p w14:paraId="15E51293" w14:textId="77777777" w:rsidR="00411620" w:rsidRPr="00005251" w:rsidRDefault="00411620" w:rsidP="00411620">
      <w:pPr>
        <w:spacing w:line="216" w:lineRule="auto"/>
        <w:rPr>
          <w:i/>
          <w:sz w:val="23"/>
          <w:szCs w:val="23"/>
          <w:rtl/>
        </w:rPr>
      </w:pPr>
      <w:r w:rsidRPr="00005251">
        <w:rPr>
          <w:rFonts w:hint="cs"/>
          <w:i/>
          <w:sz w:val="23"/>
          <w:szCs w:val="23"/>
          <w:rtl/>
        </w:rPr>
        <w:lastRenderedPageBreak/>
        <w:t>شرایط مرتبه</w:t>
      </w:r>
      <w:r w:rsidRPr="00005251">
        <w:rPr>
          <w:i/>
          <w:sz w:val="23"/>
          <w:szCs w:val="23"/>
          <w:rtl/>
        </w:rPr>
        <w:softHyphen/>
      </w:r>
      <w:r w:rsidRPr="00005251">
        <w:rPr>
          <w:rFonts w:hint="cs"/>
          <w:i/>
          <w:sz w:val="23"/>
          <w:szCs w:val="23"/>
          <w:rtl/>
        </w:rPr>
        <w:t>ی اول عبارتند از:</w:t>
      </w:r>
    </w:p>
    <w:p w14:paraId="100645B5"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lang w:val="en-GB"/>
        </w:rPr>
      </w:pPr>
      <w:r w:rsidRPr="00005251">
        <w:rPr>
          <w:position w:val="-34"/>
        </w:rPr>
        <w:object w:dxaOrig="3300" w:dyaOrig="720" w14:anchorId="1964535B">
          <v:shape id="_x0000_i2364" type="#_x0000_t75" style="width:165.2pt;height:36.3pt" o:ole="">
            <v:imagedata r:id="rId2716" o:title=""/>
          </v:shape>
          <o:OLEObject Type="Embed" ProgID="Equation.DSMT4" ShapeID="_x0000_i2364" DrawAspect="Content" ObjectID="_1791376308" r:id="rId2717"/>
        </w:object>
      </w:r>
    </w:p>
    <w:p w14:paraId="5BACDBFC"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lang w:val="en-GB"/>
        </w:rPr>
      </w:pPr>
      <w:r w:rsidRPr="00005251">
        <w:rPr>
          <w:position w:val="-34"/>
        </w:rPr>
        <w:object w:dxaOrig="4480" w:dyaOrig="740" w14:anchorId="38DE8062">
          <v:shape id="_x0000_i2365" type="#_x0000_t75" style="width:223.25pt;height:36.9pt" o:ole="">
            <v:imagedata r:id="rId2718" o:title=""/>
          </v:shape>
          <o:OLEObject Type="Embed" ProgID="Equation.DSMT4" ShapeID="_x0000_i2365" DrawAspect="Content" ObjectID="_1791376309" r:id="rId2719"/>
        </w:object>
      </w:r>
    </w:p>
    <w:p w14:paraId="11804B56"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lang w:val="en-GB"/>
        </w:rPr>
      </w:pPr>
      <w:r w:rsidRPr="00005251">
        <w:rPr>
          <w:position w:val="-34"/>
        </w:rPr>
        <w:object w:dxaOrig="3879" w:dyaOrig="680" w14:anchorId="4AEFFD87">
          <v:shape id="_x0000_i2366" type="#_x0000_t75" style="width:193.6pt;height:33.9pt" o:ole="">
            <v:imagedata r:id="rId2720" o:title=""/>
          </v:shape>
          <o:OLEObject Type="Embed" ProgID="Equation.DSMT4" ShapeID="_x0000_i2366" DrawAspect="Content" ObjectID="_1791376310" r:id="rId2721"/>
        </w:object>
      </w:r>
    </w:p>
    <w:p w14:paraId="01D6CE3B" w14:textId="77777777" w:rsidR="00411620" w:rsidRPr="00005251" w:rsidRDefault="00411620" w:rsidP="00411620">
      <w:pPr>
        <w:spacing w:line="216" w:lineRule="auto"/>
        <w:rPr>
          <w:i/>
          <w:sz w:val="23"/>
          <w:szCs w:val="23"/>
          <w:rtl/>
        </w:rPr>
      </w:pPr>
      <w:r w:rsidRPr="00005251">
        <w:rPr>
          <w:rFonts w:hint="cs"/>
          <w:i/>
          <w:sz w:val="23"/>
          <w:szCs w:val="23"/>
          <w:rtl/>
        </w:rPr>
        <w:t>از اولين رابطه از شرایط مرتبه</w:t>
      </w:r>
      <w:r w:rsidRPr="00005251">
        <w:rPr>
          <w:i/>
          <w:sz w:val="23"/>
          <w:szCs w:val="23"/>
          <w:rtl/>
        </w:rPr>
        <w:softHyphen/>
      </w:r>
      <w:r w:rsidRPr="00005251">
        <w:rPr>
          <w:rFonts w:hint="cs"/>
          <w:i/>
          <w:sz w:val="23"/>
          <w:szCs w:val="23"/>
          <w:rtl/>
        </w:rPr>
        <w:t xml:space="preserve">ی اول فوق براي </w:t>
      </w:r>
      <w:r w:rsidRPr="00005251">
        <w:rPr>
          <w:position w:val="-6"/>
        </w:rPr>
        <w:object w:dxaOrig="520" w:dyaOrig="260" w14:anchorId="73DDFA48">
          <v:shape id="_x0000_i2367" type="#_x0000_t75" style="width:26pt;height:12.7pt" o:ole="">
            <v:imagedata r:id="rId2722" o:title=""/>
          </v:shape>
          <o:OLEObject Type="Embed" ProgID="Equation.DSMT4" ShapeID="_x0000_i2367" DrawAspect="Content" ObjectID="_1791376311" r:id="rId2723"/>
        </w:object>
      </w:r>
      <w:r w:rsidRPr="00005251">
        <w:rPr>
          <w:rFonts w:eastAsiaTheme="minorEastAsia" w:hint="cs"/>
          <w:i/>
          <w:sz w:val="23"/>
          <w:szCs w:val="23"/>
          <w:rtl/>
          <w:lang w:val="en-GB"/>
        </w:rPr>
        <w:t xml:space="preserve"> </w:t>
      </w:r>
      <w:r w:rsidRPr="00005251">
        <w:rPr>
          <w:rFonts w:hint="cs"/>
          <w:i/>
          <w:sz w:val="23"/>
          <w:szCs w:val="23"/>
          <w:rtl/>
        </w:rPr>
        <w:t xml:space="preserve">خواهیم داشت </w:t>
      </w:r>
      <w:r w:rsidRPr="00005251">
        <w:rPr>
          <w:position w:val="-12"/>
        </w:rPr>
        <w:object w:dxaOrig="820" w:dyaOrig="340" w14:anchorId="25D79EFC">
          <v:shape id="_x0000_i2368" type="#_x0000_t75" style="width:41.15pt;height:16.95pt" o:ole="">
            <v:imagedata r:id="rId2724" o:title=""/>
          </v:shape>
          <o:OLEObject Type="Embed" ProgID="Equation.DSMT4" ShapeID="_x0000_i2368" DrawAspect="Content" ObjectID="_1791376312" r:id="rId2725"/>
        </w:object>
      </w:r>
      <w:r w:rsidRPr="00005251">
        <w:rPr>
          <w:rFonts w:eastAsiaTheme="minorEastAsia" w:hint="cs"/>
          <w:i/>
          <w:sz w:val="23"/>
          <w:szCs w:val="23"/>
          <w:rtl/>
        </w:rPr>
        <w:t xml:space="preserve"> که همان تابع تقاضا </w:t>
      </w:r>
      <w:r w:rsidRPr="00005251">
        <w:rPr>
          <w:rFonts w:hint="cs"/>
          <w:i/>
          <w:sz w:val="23"/>
          <w:szCs w:val="23"/>
          <w:rtl/>
        </w:rPr>
        <w:t>براي نيروي كار است. يعني توليد نهايي نيروي كار برابر است با نرخ دستمزد. به عبارتی با موجودی سرمایه</w:t>
      </w:r>
      <w:r w:rsidRPr="00005251">
        <w:rPr>
          <w:i/>
          <w:sz w:val="23"/>
          <w:szCs w:val="23"/>
          <w:rtl/>
        </w:rPr>
        <w:softHyphen/>
      </w:r>
      <w:r w:rsidRPr="00005251">
        <w:rPr>
          <w:rFonts w:hint="cs"/>
          <w:i/>
          <w:sz w:val="23"/>
          <w:szCs w:val="23"/>
          <w:rtl/>
        </w:rPr>
        <w:t xml:space="preserve"> و تكنولوژي داده شده، چنانچه نرخ دستمزد</w:t>
      </w:r>
      <w:r w:rsidRPr="00005251">
        <w:rPr>
          <w:position w:val="-6"/>
        </w:rPr>
        <w:object w:dxaOrig="240" w:dyaOrig="200" w14:anchorId="5BFAE2B7">
          <v:shape id="_x0000_i2369" type="#_x0000_t75" style="width:11.5pt;height:10.3pt" o:ole="">
            <v:imagedata r:id="rId2726" o:title=""/>
          </v:shape>
          <o:OLEObject Type="Embed" ProgID="Equation.DSMT4" ShapeID="_x0000_i2369" DrawAspect="Content" ObjectID="_1791376313" r:id="rId2727"/>
        </w:object>
      </w:r>
      <w:r w:rsidRPr="00005251">
        <w:rPr>
          <w:rFonts w:hint="cs"/>
          <w:i/>
          <w:sz w:val="23"/>
          <w:szCs w:val="23"/>
          <w:rtl/>
        </w:rPr>
        <w:t xml:space="preserve"> افزايش يابد، تولید نهایی نیروی کار </w:t>
      </w:r>
      <w:r w:rsidRPr="00005251">
        <w:rPr>
          <w:position w:val="-10"/>
        </w:rPr>
        <w:object w:dxaOrig="300" w:dyaOrig="320" w14:anchorId="42D87706">
          <v:shape id="_x0000_i2370" type="#_x0000_t75" style="width:15.15pt;height:16.35pt" o:ole="">
            <v:imagedata r:id="rId2728" o:title=""/>
          </v:shape>
          <o:OLEObject Type="Embed" ProgID="Equation.DSMT4" ShapeID="_x0000_i2370" DrawAspect="Content" ObjectID="_1791376314" r:id="rId2729"/>
        </w:object>
      </w:r>
      <w:r w:rsidRPr="00005251">
        <w:rPr>
          <w:rFonts w:hint="cs"/>
          <w:i/>
          <w:sz w:val="23"/>
          <w:szCs w:val="23"/>
          <w:rtl/>
        </w:rPr>
        <w:t xml:space="preserve"> نیز باید افزايش يابد كه به منزله</w:t>
      </w:r>
      <w:r w:rsidRPr="00005251">
        <w:rPr>
          <w:i/>
          <w:sz w:val="23"/>
          <w:szCs w:val="23"/>
          <w:rtl/>
        </w:rPr>
        <w:softHyphen/>
      </w:r>
      <w:r w:rsidRPr="00005251">
        <w:rPr>
          <w:rFonts w:hint="cs"/>
          <w:i/>
          <w:sz w:val="23"/>
          <w:szCs w:val="23"/>
          <w:rtl/>
        </w:rPr>
        <w:t>ی کاهش تقاضا براي نيروي كار است.</w:t>
      </w:r>
    </w:p>
    <w:p w14:paraId="28B25273" w14:textId="77777777" w:rsidR="00411620" w:rsidRPr="00005251" w:rsidRDefault="00411620" w:rsidP="00411620">
      <w:pPr>
        <w:spacing w:line="216" w:lineRule="auto"/>
        <w:rPr>
          <w:i/>
          <w:sz w:val="23"/>
          <w:szCs w:val="23"/>
          <w:rtl/>
        </w:rPr>
      </w:pPr>
      <w:r w:rsidRPr="00005251">
        <w:rPr>
          <w:rFonts w:hint="cs"/>
          <w:i/>
          <w:sz w:val="23"/>
          <w:szCs w:val="23"/>
          <w:rtl/>
        </w:rPr>
        <w:t>تقاضا براي موجودی سرمایه</w:t>
      </w:r>
      <w:r w:rsidRPr="00005251">
        <w:rPr>
          <w:position w:val="-6"/>
        </w:rPr>
        <w:object w:dxaOrig="200" w:dyaOrig="260" w14:anchorId="055AF447">
          <v:shape id="_x0000_i2371" type="#_x0000_t75" style="width:10.3pt;height:12.7pt" o:ole="">
            <v:imagedata r:id="rId2730" o:title=""/>
          </v:shape>
          <o:OLEObject Type="Embed" ProgID="Equation.DSMT4" ShapeID="_x0000_i2371" DrawAspect="Content" ObjectID="_1791376315" r:id="rId2731"/>
        </w:object>
      </w:r>
      <w:r w:rsidRPr="00005251">
        <w:rPr>
          <w:rFonts w:hint="cs"/>
          <w:i/>
          <w:sz w:val="23"/>
          <w:szCs w:val="23"/>
          <w:rtl/>
          <w:lang w:val="en-GB"/>
        </w:rPr>
        <w:t xml:space="preserve"> </w:t>
      </w:r>
      <w:r w:rsidRPr="00005251">
        <w:rPr>
          <w:rFonts w:hint="cs"/>
          <w:i/>
          <w:sz w:val="23"/>
          <w:szCs w:val="23"/>
          <w:rtl/>
        </w:rPr>
        <w:t>از رابطه</w:t>
      </w:r>
      <w:r w:rsidRPr="00005251">
        <w:rPr>
          <w:i/>
          <w:sz w:val="23"/>
          <w:szCs w:val="23"/>
          <w:rtl/>
        </w:rPr>
        <w:softHyphen/>
      </w:r>
      <w:r w:rsidRPr="00005251">
        <w:rPr>
          <w:rFonts w:hint="cs"/>
          <w:i/>
          <w:sz w:val="23"/>
          <w:szCs w:val="23"/>
          <w:rtl/>
        </w:rPr>
        <w:t xml:space="preserve">ی دوم شرایط مرتبه اول بدست می‌آيد. براي </w:t>
      </w:r>
      <w:r w:rsidRPr="00005251">
        <w:rPr>
          <w:position w:val="-6"/>
        </w:rPr>
        <w:object w:dxaOrig="480" w:dyaOrig="260" w14:anchorId="0D5A0C22">
          <v:shape id="_x0000_i2372" type="#_x0000_t75" style="width:24.2pt;height:12.7pt" o:ole="">
            <v:imagedata r:id="rId2732" o:title=""/>
          </v:shape>
          <o:OLEObject Type="Embed" ProgID="Equation.DSMT4" ShapeID="_x0000_i2372" DrawAspect="Content" ObjectID="_1791376316" r:id="rId2733"/>
        </w:object>
      </w:r>
      <w:r w:rsidRPr="00005251">
        <w:rPr>
          <w:rFonts w:eastAsiaTheme="minorEastAsia" w:hint="cs"/>
          <w:i/>
          <w:sz w:val="23"/>
          <w:szCs w:val="23"/>
          <w:rtl/>
          <w:lang w:val="en-GB"/>
        </w:rPr>
        <w:t xml:space="preserve"> </w:t>
      </w:r>
      <w:r w:rsidRPr="00005251">
        <w:rPr>
          <w:rFonts w:hint="cs"/>
          <w:i/>
          <w:sz w:val="23"/>
          <w:szCs w:val="23"/>
          <w:rtl/>
        </w:rPr>
        <w:t xml:space="preserve">داريم </w:t>
      </w:r>
      <w:r w:rsidRPr="00005251">
        <w:rPr>
          <w:i/>
          <w:sz w:val="23"/>
          <w:szCs w:val="23"/>
        </w:rPr>
        <w:t>:</w:t>
      </w:r>
    </w:p>
    <w:p w14:paraId="5C11D547" w14:textId="77777777" w:rsidR="00411620" w:rsidRPr="00005251" w:rsidRDefault="00411620" w:rsidP="00411620">
      <w:pPr>
        <w:pStyle w:val="MTDisplayEquation"/>
        <w:spacing w:line="216" w:lineRule="auto"/>
        <w:rPr>
          <w:rFonts w:ascii="Times New Roman" w:hAnsi="Times New Roman" w:cs="B Nazanin"/>
          <w:i/>
          <w:sz w:val="23"/>
          <w:szCs w:val="23"/>
          <w:rtl/>
        </w:rPr>
      </w:pPr>
      <w:r w:rsidRPr="00005251">
        <w:rPr>
          <w:position w:val="-34"/>
        </w:rPr>
        <w:object w:dxaOrig="4459" w:dyaOrig="740" w14:anchorId="52901AA4">
          <v:shape id="_x0000_i2373" type="#_x0000_t75" style="width:222.65pt;height:36.9pt" o:ole="">
            <v:imagedata r:id="rId2734" o:title=""/>
          </v:shape>
          <o:OLEObject Type="Embed" ProgID="Equation.DSMT4" ShapeID="_x0000_i2373" DrawAspect="Content" ObjectID="_1791376317" r:id="rId2735"/>
        </w:object>
      </w:r>
    </w:p>
    <w:p w14:paraId="332FEAEC" w14:textId="77777777" w:rsidR="00411620" w:rsidRPr="00005251" w:rsidRDefault="00411620" w:rsidP="00411620">
      <w:pPr>
        <w:spacing w:line="216" w:lineRule="auto"/>
        <w:rPr>
          <w:i/>
          <w:sz w:val="23"/>
          <w:szCs w:val="23"/>
          <w:rtl/>
        </w:rPr>
      </w:pPr>
      <w:r w:rsidRPr="00005251">
        <w:rPr>
          <w:rFonts w:hint="cs"/>
          <w:i/>
          <w:sz w:val="23"/>
          <w:szCs w:val="23"/>
          <w:rtl/>
        </w:rPr>
        <w:t>يعني با افزايش نرخ بهره</w:t>
      </w:r>
      <w:r w:rsidRPr="00005251">
        <w:rPr>
          <w:i/>
          <w:sz w:val="23"/>
          <w:szCs w:val="23"/>
        </w:rPr>
        <w:softHyphen/>
      </w:r>
      <w:r w:rsidRPr="00005251">
        <w:rPr>
          <w:rFonts w:hint="cs"/>
          <w:i/>
          <w:sz w:val="23"/>
          <w:szCs w:val="23"/>
          <w:rtl/>
        </w:rPr>
        <w:t>ی</w:t>
      </w:r>
      <w:r w:rsidRPr="00025957">
        <w:rPr>
          <w:position w:val="-4"/>
        </w:rPr>
        <w:object w:dxaOrig="180" w:dyaOrig="180" w14:anchorId="7D5AD872">
          <v:shape id="_x0000_i2374" type="#_x0000_t75" style="width:9.1pt;height:9.1pt" o:ole="">
            <v:imagedata r:id="rId2736" o:title=""/>
          </v:shape>
          <o:OLEObject Type="Embed" ProgID="Equation.DSMT4" ShapeID="_x0000_i2374" DrawAspect="Content" ObjectID="_1791376318" r:id="rId2737"/>
        </w:object>
      </w:r>
      <w:r w:rsidRPr="00005251">
        <w:rPr>
          <w:rFonts w:hint="cs"/>
          <w:i/>
          <w:sz w:val="23"/>
          <w:szCs w:val="23"/>
          <w:rtl/>
        </w:rPr>
        <w:t xml:space="preserve"> و نرخ استهلاک</w:t>
      </w:r>
      <w:r w:rsidRPr="00005251">
        <w:rPr>
          <w:position w:val="-6"/>
        </w:rPr>
        <w:object w:dxaOrig="180" w:dyaOrig="260" w14:anchorId="212E8993">
          <v:shape id="_x0000_i2375" type="#_x0000_t75" style="width:9.1pt;height:12.7pt" o:ole="">
            <v:imagedata r:id="rId2738" o:title=""/>
          </v:shape>
          <o:OLEObject Type="Embed" ProgID="Equation.DSMT4" ShapeID="_x0000_i2375" DrawAspect="Content" ObjectID="_1791376319" r:id="rId2739"/>
        </w:object>
      </w:r>
      <w:r w:rsidRPr="00005251">
        <w:rPr>
          <w:rFonts w:hint="cs"/>
          <w:i/>
          <w:sz w:val="23"/>
          <w:szCs w:val="23"/>
          <w:rtl/>
        </w:rPr>
        <w:t xml:space="preserve">، تولید نهایی موجودی سرمایه یا </w:t>
      </w:r>
      <w:r w:rsidRPr="00005251">
        <w:rPr>
          <w:position w:val="-12"/>
        </w:rPr>
        <w:object w:dxaOrig="499" w:dyaOrig="340" w14:anchorId="11607F22">
          <v:shape id="_x0000_i2376" type="#_x0000_t75" style="width:24.8pt;height:16.95pt" o:ole="">
            <v:imagedata r:id="rId2740" o:title=""/>
          </v:shape>
          <o:OLEObject Type="Embed" ProgID="Equation.DSMT4" ShapeID="_x0000_i2376" DrawAspect="Content" ObjectID="_1791376320" r:id="rId2741"/>
        </w:object>
      </w:r>
      <w:r w:rsidRPr="00005251">
        <w:rPr>
          <w:rFonts w:eastAsiaTheme="minorEastAsia" w:hint="cs"/>
          <w:i/>
          <w:sz w:val="23"/>
          <w:szCs w:val="23"/>
          <w:vertAlign w:val="subscript"/>
          <w:rtl/>
        </w:rPr>
        <w:t xml:space="preserve"> </w:t>
      </w:r>
      <w:r w:rsidRPr="00005251">
        <w:rPr>
          <w:rFonts w:hint="cs"/>
          <w:i/>
          <w:sz w:val="23"/>
          <w:szCs w:val="23"/>
          <w:rtl/>
        </w:rPr>
        <w:t xml:space="preserve">افزايش و </w:t>
      </w:r>
      <w:r w:rsidRPr="00005251">
        <w:rPr>
          <w:position w:val="-10"/>
        </w:rPr>
        <w:object w:dxaOrig="360" w:dyaOrig="320" w14:anchorId="3DF9EDB4">
          <v:shape id="_x0000_i2377" type="#_x0000_t75" style="width:18.15pt;height:16.35pt" o:ole="">
            <v:imagedata r:id="rId2742" o:title=""/>
          </v:shape>
          <o:OLEObject Type="Embed" ProgID="Equation.DSMT4" ShapeID="_x0000_i2377" DrawAspect="Content" ObjectID="_1791376321" r:id="rId2743"/>
        </w:object>
      </w:r>
      <w:r w:rsidRPr="00005251">
        <w:rPr>
          <w:rFonts w:hint="cs"/>
          <w:i/>
          <w:sz w:val="23"/>
          <w:szCs w:val="23"/>
          <w:rtl/>
        </w:rPr>
        <w:t xml:space="preserve"> كاهش می</w:t>
      </w:r>
      <w:r w:rsidRPr="00005251">
        <w:rPr>
          <w:i/>
          <w:sz w:val="23"/>
          <w:szCs w:val="23"/>
          <w:rtl/>
        </w:rPr>
        <w:softHyphen/>
      </w:r>
      <w:r w:rsidRPr="00005251">
        <w:rPr>
          <w:rFonts w:hint="cs"/>
          <w:i/>
          <w:sz w:val="23"/>
          <w:szCs w:val="23"/>
          <w:rtl/>
        </w:rPr>
        <w:t>يابد. از طرفی چون داشتیم</w:t>
      </w:r>
      <w:r w:rsidRPr="00005251">
        <w:rPr>
          <w:position w:val="-10"/>
        </w:rPr>
        <w:object w:dxaOrig="1320" w:dyaOrig="320" w14:anchorId="3820EEA1">
          <v:shape id="_x0000_i2378" type="#_x0000_t75" style="width:66.55pt;height:16.35pt" o:ole="">
            <v:imagedata r:id="rId2744" o:title=""/>
          </v:shape>
          <o:OLEObject Type="Embed" ProgID="Equation.DSMT4" ShapeID="_x0000_i2378" DrawAspect="Content" ObjectID="_1791376322" r:id="rId2745"/>
        </w:object>
      </w:r>
      <w:r w:rsidRPr="00005251">
        <w:rPr>
          <w:rFonts w:hint="cs"/>
          <w:i/>
          <w:sz w:val="23"/>
          <w:szCs w:val="23"/>
          <w:rtl/>
        </w:rPr>
        <w:t>،</w:t>
      </w:r>
      <w:r w:rsidRPr="00005251">
        <w:rPr>
          <w:rFonts w:eastAsiaTheme="minorEastAsia"/>
          <w:i/>
          <w:sz w:val="23"/>
          <w:szCs w:val="23"/>
          <w:lang w:val="en-GB"/>
        </w:rPr>
        <w:t xml:space="preserve"> </w:t>
      </w:r>
      <w:r w:rsidRPr="00005251">
        <w:rPr>
          <w:rFonts w:eastAsiaTheme="minorEastAsia" w:hint="cs"/>
          <w:i/>
          <w:sz w:val="23"/>
          <w:szCs w:val="23"/>
          <w:rtl/>
          <w:lang w:val="en-GB"/>
        </w:rPr>
        <w:t xml:space="preserve">لذا </w:t>
      </w:r>
      <w:r w:rsidRPr="00005251">
        <w:rPr>
          <w:position w:val="-12"/>
        </w:rPr>
        <w:object w:dxaOrig="1660" w:dyaOrig="360" w14:anchorId="626F60F7">
          <v:shape id="_x0000_i2379" type="#_x0000_t75" style="width:82.9pt;height:18.15pt" o:ole="">
            <v:imagedata r:id="rId2746" o:title=""/>
          </v:shape>
          <o:OLEObject Type="Embed" ProgID="Equation.DSMT4" ShapeID="_x0000_i2379" DrawAspect="Content" ObjectID="_1791376323" r:id="rId2747"/>
        </w:object>
      </w:r>
      <w:r w:rsidRPr="00005251">
        <w:rPr>
          <w:rFonts w:eastAsiaTheme="minorEastAsia" w:hint="cs"/>
          <w:i/>
          <w:sz w:val="23"/>
          <w:szCs w:val="23"/>
          <w:rtl/>
          <w:lang w:val="en-GB"/>
        </w:rPr>
        <w:t xml:space="preserve">. بنابراین </w:t>
      </w:r>
      <w:r w:rsidRPr="00005251">
        <w:rPr>
          <w:rFonts w:hint="cs"/>
          <w:i/>
          <w:noProof/>
          <w:sz w:val="23"/>
          <w:szCs w:val="23"/>
          <w:rtl/>
        </w:rPr>
        <w:t>با</w:t>
      </w:r>
      <w:r w:rsidRPr="00005251">
        <w:rPr>
          <w:i/>
          <w:noProof/>
          <w:sz w:val="23"/>
          <w:szCs w:val="23"/>
          <w:rtl/>
        </w:rPr>
        <w:t xml:space="preserve"> </w:t>
      </w:r>
      <w:r w:rsidRPr="00005251">
        <w:rPr>
          <w:rFonts w:hint="cs"/>
          <w:i/>
          <w:noProof/>
          <w:sz w:val="23"/>
          <w:szCs w:val="23"/>
          <w:rtl/>
        </w:rPr>
        <w:t>استفاده</w:t>
      </w:r>
      <w:r w:rsidRPr="00005251">
        <w:rPr>
          <w:i/>
          <w:noProof/>
          <w:sz w:val="23"/>
          <w:szCs w:val="23"/>
          <w:rtl/>
        </w:rPr>
        <w:t xml:space="preserve"> </w:t>
      </w:r>
      <w:r w:rsidRPr="00005251">
        <w:rPr>
          <w:rFonts w:hint="cs"/>
          <w:i/>
          <w:noProof/>
          <w:sz w:val="23"/>
          <w:szCs w:val="23"/>
          <w:rtl/>
        </w:rPr>
        <w:t>از</w:t>
      </w:r>
      <w:r w:rsidRPr="00005251">
        <w:rPr>
          <w:i/>
          <w:noProof/>
          <w:sz w:val="23"/>
          <w:szCs w:val="23"/>
          <w:rtl/>
        </w:rPr>
        <w:t xml:space="preserve"> </w:t>
      </w:r>
      <w:r w:rsidRPr="00005251">
        <w:rPr>
          <w:rFonts w:hint="cs"/>
          <w:i/>
          <w:noProof/>
          <w:sz w:val="23"/>
          <w:szCs w:val="23"/>
          <w:rtl/>
        </w:rPr>
        <w:t>تابع</w:t>
      </w:r>
      <w:r w:rsidRPr="00005251">
        <w:rPr>
          <w:i/>
          <w:noProof/>
          <w:sz w:val="23"/>
          <w:szCs w:val="23"/>
          <w:rtl/>
        </w:rPr>
        <w:t xml:space="preserve"> </w:t>
      </w:r>
      <w:r w:rsidRPr="00005251">
        <w:rPr>
          <w:rFonts w:hint="cs"/>
          <w:i/>
          <w:noProof/>
          <w:sz w:val="23"/>
          <w:szCs w:val="23"/>
          <w:rtl/>
        </w:rPr>
        <w:t>معکوس</w:t>
      </w:r>
      <w:r w:rsidRPr="00005251">
        <w:rPr>
          <w:rStyle w:val="FootnoteReference"/>
          <w:rFonts w:eastAsiaTheme="majorEastAsia"/>
          <w:i/>
          <w:noProof/>
          <w:sz w:val="23"/>
          <w:szCs w:val="23"/>
          <w:rtl/>
        </w:rPr>
        <w:footnoteReference w:id="129"/>
      </w:r>
      <w:r w:rsidRPr="00005251">
        <w:rPr>
          <w:rFonts w:hint="cs"/>
          <w:i/>
          <w:noProof/>
          <w:sz w:val="23"/>
          <w:szCs w:val="23"/>
          <w:rtl/>
        </w:rPr>
        <w:t xml:space="preserve"> </w:t>
      </w:r>
      <w:r w:rsidRPr="00005251">
        <w:rPr>
          <w:rFonts w:hint="cs"/>
          <w:i/>
          <w:sz w:val="23"/>
          <w:szCs w:val="23"/>
          <w:rtl/>
        </w:rPr>
        <w:t>خواهیم داشت</w:t>
      </w:r>
    </w:p>
    <w:p w14:paraId="50542950" w14:textId="77777777" w:rsidR="00411620" w:rsidRPr="00005251" w:rsidRDefault="00411620" w:rsidP="00411620">
      <w:pPr>
        <w:pStyle w:val="MTDisplayEquation"/>
        <w:spacing w:line="216" w:lineRule="auto"/>
        <w:rPr>
          <w:rFonts w:ascii="Times New Roman" w:hAnsi="Times New Roman" w:cs="B Nazanin"/>
          <w:i/>
          <w:sz w:val="23"/>
          <w:szCs w:val="23"/>
          <w:rtl/>
        </w:rPr>
      </w:pPr>
      <w:r w:rsidRPr="00005251">
        <w:rPr>
          <w:position w:val="-12"/>
        </w:rPr>
        <w:object w:dxaOrig="2420" w:dyaOrig="360" w14:anchorId="65E7D2B3">
          <v:shape id="_x0000_i2380" type="#_x0000_t75" style="width:121pt;height:18.15pt" o:ole="">
            <v:imagedata r:id="rId2748" o:title=""/>
          </v:shape>
          <o:OLEObject Type="Embed" ProgID="Equation.DSMT4" ShapeID="_x0000_i2380" DrawAspect="Content" ObjectID="_1791376324" r:id="rId2749"/>
        </w:object>
      </w:r>
    </w:p>
    <w:p w14:paraId="47C1CA23" w14:textId="77777777" w:rsidR="00411620" w:rsidRPr="00005251" w:rsidRDefault="00411620" w:rsidP="00411620">
      <w:pPr>
        <w:spacing w:line="216" w:lineRule="auto"/>
        <w:rPr>
          <w:i/>
          <w:sz w:val="23"/>
          <w:szCs w:val="23"/>
          <w:rtl/>
        </w:rPr>
      </w:pPr>
      <w:r w:rsidRPr="00005251">
        <w:rPr>
          <w:rFonts w:hint="cs"/>
          <w:i/>
          <w:sz w:val="23"/>
          <w:szCs w:val="23"/>
          <w:rtl/>
        </w:rPr>
        <w:t>یعنی با افزایش نرخ بهره، سرمایه</w:t>
      </w:r>
      <w:r w:rsidRPr="00005251">
        <w:rPr>
          <w:i/>
          <w:sz w:val="23"/>
          <w:szCs w:val="23"/>
          <w:rtl/>
        </w:rPr>
        <w:softHyphen/>
      </w:r>
      <w:r w:rsidRPr="00005251">
        <w:rPr>
          <w:rFonts w:hint="cs"/>
          <w:i/>
          <w:sz w:val="23"/>
          <w:szCs w:val="23"/>
          <w:rtl/>
        </w:rPr>
        <w:t>گذاری كاهش می‌يابد كه تئوری دیگری از رابطه</w:t>
      </w:r>
      <w:r w:rsidRPr="00005251">
        <w:rPr>
          <w:i/>
          <w:sz w:val="23"/>
          <w:szCs w:val="23"/>
          <w:rtl/>
        </w:rPr>
        <w:softHyphen/>
      </w:r>
      <w:r w:rsidRPr="00005251">
        <w:rPr>
          <w:rFonts w:hint="cs"/>
          <w:i/>
          <w:sz w:val="23"/>
          <w:szCs w:val="23"/>
          <w:rtl/>
        </w:rPr>
        <w:t>ی معکوس بين سرمایه</w:t>
      </w:r>
      <w:r w:rsidRPr="00005251">
        <w:rPr>
          <w:i/>
          <w:sz w:val="23"/>
          <w:szCs w:val="23"/>
          <w:rtl/>
        </w:rPr>
        <w:softHyphen/>
      </w:r>
      <w:r w:rsidRPr="00005251">
        <w:rPr>
          <w:rFonts w:hint="cs"/>
          <w:i/>
          <w:sz w:val="23"/>
          <w:szCs w:val="23"/>
          <w:rtl/>
        </w:rPr>
        <w:t>گذاری و نرخ بهره است.</w:t>
      </w:r>
    </w:p>
    <w:p w14:paraId="70748604" w14:textId="77777777" w:rsidR="00411620" w:rsidRPr="00005251" w:rsidRDefault="00411620" w:rsidP="00411620">
      <w:pPr>
        <w:spacing w:line="216" w:lineRule="auto"/>
        <w:rPr>
          <w:i/>
          <w:sz w:val="23"/>
          <w:szCs w:val="23"/>
          <w:rtl/>
        </w:rPr>
      </w:pPr>
      <w:r w:rsidRPr="00005251">
        <w:rPr>
          <w:rFonts w:hint="cs"/>
          <w:i/>
          <w:sz w:val="23"/>
          <w:szCs w:val="23"/>
          <w:rtl/>
        </w:rPr>
        <w:t>با افزايش تولید نهایی سرمایه</w:t>
      </w:r>
      <w:r w:rsidRPr="00005251">
        <w:rPr>
          <w:i/>
          <w:sz w:val="23"/>
          <w:szCs w:val="23"/>
          <w:rtl/>
        </w:rPr>
        <w:softHyphen/>
      </w:r>
      <w:r w:rsidRPr="00005251">
        <w:rPr>
          <w:rFonts w:hint="cs"/>
          <w:i/>
          <w:sz w:val="23"/>
          <w:szCs w:val="23"/>
          <w:rtl/>
        </w:rPr>
        <w:t>ی</w:t>
      </w:r>
      <w:r w:rsidRPr="00005251">
        <w:rPr>
          <w:position w:val="-12"/>
        </w:rPr>
        <w:object w:dxaOrig="360" w:dyaOrig="340" w14:anchorId="098AF73F">
          <v:shape id="_x0000_i2381" type="#_x0000_t75" style="width:18.15pt;height:16.95pt" o:ole="">
            <v:imagedata r:id="rId2750" o:title=""/>
          </v:shape>
          <o:OLEObject Type="Embed" ProgID="Equation.DSMT4" ShapeID="_x0000_i2381" DrawAspect="Content" ObjectID="_1791376325" r:id="rId2751"/>
        </w:object>
      </w:r>
      <w:r w:rsidRPr="00005251">
        <w:rPr>
          <w:rFonts w:hint="cs"/>
          <w:i/>
          <w:sz w:val="23"/>
          <w:szCs w:val="23"/>
          <w:rtl/>
        </w:rPr>
        <w:t>، مثلاً از طريق شوك تكنولوژي، سطح موجودی سرمایه در وضعیت یکنواخت افزايش می‌يابد که می‌بايست از طريق سرمایه</w:t>
      </w:r>
      <w:r w:rsidRPr="00005251">
        <w:rPr>
          <w:i/>
          <w:sz w:val="23"/>
          <w:szCs w:val="23"/>
          <w:rtl/>
        </w:rPr>
        <w:softHyphen/>
      </w:r>
      <w:r w:rsidRPr="00005251">
        <w:rPr>
          <w:rFonts w:hint="cs"/>
          <w:i/>
          <w:sz w:val="23"/>
          <w:szCs w:val="23"/>
          <w:rtl/>
        </w:rPr>
        <w:t>گذاری باشد. بنابراين پیشرفت تکنولوژی منجر به افزایش سرمایه</w:t>
      </w:r>
      <w:r w:rsidRPr="00005251">
        <w:rPr>
          <w:i/>
          <w:sz w:val="23"/>
          <w:szCs w:val="23"/>
          <w:rtl/>
        </w:rPr>
        <w:softHyphen/>
      </w:r>
      <w:r w:rsidRPr="00005251">
        <w:rPr>
          <w:rFonts w:hint="cs"/>
          <w:i/>
          <w:sz w:val="23"/>
          <w:szCs w:val="23"/>
          <w:rtl/>
        </w:rPr>
        <w:t>گذاری خواهد شد. اين نتيجه بطور ضمني فرض می‌كند که وقفه‌ای در تعديل سرمايه‌گذاري وجود ندارد و سرمایه</w:t>
      </w:r>
      <w:r w:rsidRPr="00005251">
        <w:rPr>
          <w:i/>
          <w:sz w:val="23"/>
          <w:szCs w:val="23"/>
          <w:rtl/>
        </w:rPr>
        <w:softHyphen/>
      </w:r>
      <w:r w:rsidRPr="00005251">
        <w:rPr>
          <w:rFonts w:hint="cs"/>
          <w:i/>
          <w:sz w:val="23"/>
          <w:szCs w:val="23"/>
          <w:rtl/>
        </w:rPr>
        <w:t>گذاری و موجودی سرمایه فوراً به سطوح بهينه</w:t>
      </w:r>
      <w:r w:rsidRPr="00005251">
        <w:rPr>
          <w:i/>
          <w:sz w:val="23"/>
          <w:szCs w:val="23"/>
          <w:rtl/>
        </w:rPr>
        <w:softHyphen/>
      </w:r>
      <w:r w:rsidRPr="00005251">
        <w:rPr>
          <w:rFonts w:hint="cs"/>
          <w:i/>
          <w:sz w:val="23"/>
          <w:szCs w:val="23"/>
          <w:rtl/>
        </w:rPr>
        <w:t xml:space="preserve">ی خود در هر دوره خواهند رسيد. اگر هزينه‌های ديگري براي سرمايه‌گذاري وجود داشته باشد (همانند تئوري </w:t>
      </w:r>
      <w:r w:rsidRPr="00005251">
        <w:rPr>
          <w:i/>
          <w:sz w:val="23"/>
          <w:szCs w:val="23"/>
        </w:rPr>
        <w:t>q</w:t>
      </w:r>
      <w:r w:rsidRPr="00005251">
        <w:rPr>
          <w:rFonts w:hint="cs"/>
          <w:i/>
          <w:sz w:val="23"/>
          <w:szCs w:val="23"/>
          <w:rtl/>
        </w:rPr>
        <w:t xml:space="preserve"> توبين که در قسمت بعد بدان اشاره می</w:t>
      </w:r>
      <w:r w:rsidRPr="00005251">
        <w:rPr>
          <w:i/>
          <w:sz w:val="23"/>
          <w:szCs w:val="23"/>
          <w:rtl/>
        </w:rPr>
        <w:softHyphen/>
      </w:r>
      <w:r w:rsidRPr="00005251">
        <w:rPr>
          <w:rFonts w:hint="cs"/>
          <w:i/>
          <w:sz w:val="23"/>
          <w:szCs w:val="23"/>
          <w:rtl/>
        </w:rPr>
        <w:t>شود) آنگاه بنگاه زمان بيشتري را صرف خواهد كرد تا موجودی سرمایه</w:t>
      </w:r>
      <w:r w:rsidRPr="00005251">
        <w:rPr>
          <w:i/>
          <w:sz w:val="23"/>
          <w:szCs w:val="23"/>
          <w:rtl/>
        </w:rPr>
        <w:softHyphen/>
      </w:r>
      <w:r w:rsidRPr="00005251">
        <w:rPr>
          <w:rFonts w:hint="cs"/>
          <w:i/>
          <w:sz w:val="23"/>
          <w:szCs w:val="23"/>
          <w:rtl/>
        </w:rPr>
        <w:t>ی خود را به سطح بهينه</w:t>
      </w:r>
      <w:r w:rsidRPr="00005251">
        <w:rPr>
          <w:i/>
          <w:sz w:val="23"/>
          <w:szCs w:val="23"/>
          <w:rtl/>
        </w:rPr>
        <w:softHyphen/>
      </w:r>
      <w:r w:rsidRPr="00005251">
        <w:rPr>
          <w:rFonts w:hint="cs"/>
          <w:i/>
          <w:sz w:val="23"/>
          <w:szCs w:val="23"/>
          <w:rtl/>
        </w:rPr>
        <w:t>ی بلندمدت تعديل كند. در كوتاه</w:t>
      </w:r>
      <w:r w:rsidRPr="00005251">
        <w:rPr>
          <w:i/>
          <w:sz w:val="23"/>
          <w:szCs w:val="23"/>
          <w:rtl/>
        </w:rPr>
        <w:softHyphen/>
      </w:r>
      <w:r w:rsidRPr="00005251">
        <w:rPr>
          <w:rFonts w:hint="cs"/>
          <w:i/>
          <w:sz w:val="23"/>
          <w:szCs w:val="23"/>
          <w:rtl/>
        </w:rPr>
        <w:t>مدت، بنگاه</w:t>
      </w:r>
      <w:r w:rsidRPr="00005251">
        <w:rPr>
          <w:position w:val="-6"/>
        </w:rPr>
        <w:object w:dxaOrig="200" w:dyaOrig="260" w14:anchorId="333BD3AD">
          <v:shape id="_x0000_i2382" type="#_x0000_t75" style="width:10.3pt;height:12.7pt" o:ole="">
            <v:imagedata r:id="rId2752" o:title=""/>
          </v:shape>
          <o:OLEObject Type="Embed" ProgID="Equation.DSMT4" ShapeID="_x0000_i2382" DrawAspect="Content" ObjectID="_1791376326" r:id="rId2753"/>
        </w:object>
      </w:r>
      <w:r w:rsidRPr="00005251">
        <w:rPr>
          <w:rFonts w:hint="cs"/>
          <w:i/>
          <w:sz w:val="23"/>
          <w:szCs w:val="23"/>
          <w:rtl/>
        </w:rPr>
        <w:t xml:space="preserve"> را بگونه‌اي انتخاب می‌كند كه توليد نهايي خالص</w:t>
      </w:r>
      <w:r w:rsidRPr="00005251">
        <w:rPr>
          <w:position w:val="-6"/>
        </w:rPr>
        <w:object w:dxaOrig="200" w:dyaOrig="260" w14:anchorId="193458A2">
          <v:shape id="_x0000_i2383" type="#_x0000_t75" style="width:10.3pt;height:12.7pt" o:ole="">
            <v:imagedata r:id="rId2754" o:title=""/>
          </v:shape>
          <o:OLEObject Type="Embed" ProgID="Equation.DSMT4" ShapeID="_x0000_i2383" DrawAspect="Content" ObjectID="_1791376327" r:id="rId2755"/>
        </w:object>
      </w:r>
      <w:r w:rsidRPr="00005251">
        <w:rPr>
          <w:rFonts w:hint="cs"/>
          <w:i/>
          <w:sz w:val="23"/>
          <w:szCs w:val="23"/>
          <w:rtl/>
        </w:rPr>
        <w:t xml:space="preserve"> یا </w:t>
      </w:r>
      <w:r w:rsidRPr="00005251">
        <w:rPr>
          <w:position w:val="-12"/>
        </w:rPr>
        <w:object w:dxaOrig="840" w:dyaOrig="340" w14:anchorId="08390EF4">
          <v:shape id="_x0000_i2384" type="#_x0000_t75" style="width:41.75pt;height:16.95pt" o:ole="">
            <v:imagedata r:id="rId2756" o:title=""/>
          </v:shape>
          <o:OLEObject Type="Embed" ProgID="Equation.DSMT4" ShapeID="_x0000_i2384" DrawAspect="Content" ObjectID="_1791376328" r:id="rId2757"/>
        </w:object>
      </w:r>
      <w:r w:rsidRPr="00005251">
        <w:rPr>
          <w:rFonts w:hint="cs"/>
          <w:i/>
          <w:sz w:val="23"/>
          <w:szCs w:val="23"/>
          <w:rtl/>
        </w:rPr>
        <w:t xml:space="preserve"> برابر هزينه مالي آن یعنی</w:t>
      </w:r>
      <w:r w:rsidRPr="00025957">
        <w:rPr>
          <w:position w:val="-4"/>
        </w:rPr>
        <w:object w:dxaOrig="180" w:dyaOrig="180" w14:anchorId="0FFF60CA">
          <v:shape id="_x0000_i2385" type="#_x0000_t75" style="width:9.1pt;height:9.1pt" o:ole="">
            <v:imagedata r:id="rId2758" o:title=""/>
          </v:shape>
          <o:OLEObject Type="Embed" ProgID="Equation.DSMT4" ShapeID="_x0000_i2385" DrawAspect="Content" ObjectID="_1791376329" r:id="rId2759"/>
        </w:object>
      </w:r>
      <w:r w:rsidRPr="00005251">
        <w:rPr>
          <w:rFonts w:hint="cs"/>
          <w:i/>
          <w:sz w:val="23"/>
          <w:szCs w:val="23"/>
          <w:rtl/>
        </w:rPr>
        <w:t xml:space="preserve"> شود، لذا</w:t>
      </w:r>
      <w:r w:rsidRPr="00005251">
        <w:rPr>
          <w:position w:val="-12"/>
        </w:rPr>
        <w:object w:dxaOrig="1160" w:dyaOrig="340" w14:anchorId="5330D70F">
          <v:shape id="_x0000_i2386" type="#_x0000_t75" style="width:58.1pt;height:16.95pt" o:ole="">
            <v:imagedata r:id="rId2760" o:title=""/>
          </v:shape>
          <o:OLEObject Type="Embed" ProgID="Equation.DSMT4" ShapeID="_x0000_i2386" DrawAspect="Content" ObjectID="_1791376330" r:id="rId2761"/>
        </w:object>
      </w:r>
      <w:r w:rsidRPr="00005251">
        <w:rPr>
          <w:rFonts w:hint="cs"/>
          <w:i/>
          <w:sz w:val="23"/>
          <w:szCs w:val="23"/>
          <w:rtl/>
        </w:rPr>
        <w:t xml:space="preserve">. در بلندمدت (تعادل عمومي) خانوار تا جايي تمايل به پس‌انداز کردن دارد كه </w:t>
      </w:r>
      <w:r w:rsidRPr="00005251">
        <w:rPr>
          <w:rFonts w:hint="cs"/>
          <w:i/>
          <w:sz w:val="23"/>
          <w:szCs w:val="23"/>
          <w:rtl/>
        </w:rPr>
        <w:lastRenderedPageBreak/>
        <w:t>بازدهي پس‌انداز برابر نرخ ترجيحات زماني وی گردد، یعنی</w:t>
      </w:r>
      <w:r w:rsidRPr="00005251">
        <w:rPr>
          <w:position w:val="-6"/>
        </w:rPr>
        <w:object w:dxaOrig="520" w:dyaOrig="260" w14:anchorId="13B744B3">
          <v:shape id="_x0000_i2387" type="#_x0000_t75" style="width:26pt;height:12.7pt" o:ole="">
            <v:imagedata r:id="rId2762" o:title=""/>
          </v:shape>
          <o:OLEObject Type="Embed" ProgID="Equation.DSMT4" ShapeID="_x0000_i2387" DrawAspect="Content" ObjectID="_1791376331" r:id="rId2763"/>
        </w:object>
      </w:r>
      <w:r w:rsidRPr="00005251">
        <w:rPr>
          <w:rFonts w:hint="cs"/>
          <w:i/>
          <w:sz w:val="23"/>
          <w:szCs w:val="23"/>
          <w:rtl/>
        </w:rPr>
        <w:t xml:space="preserve">، و در اين لحظه </w:t>
      </w:r>
      <w:r w:rsidRPr="00005251">
        <w:rPr>
          <w:position w:val="-12"/>
        </w:rPr>
        <w:object w:dxaOrig="1520" w:dyaOrig="340" w14:anchorId="78D3503B">
          <v:shape id="_x0000_i2388" type="#_x0000_t75" style="width:76.25pt;height:16.95pt" o:ole="">
            <v:imagedata r:id="rId2764" o:title=""/>
          </v:shape>
          <o:OLEObject Type="Embed" ProgID="Equation.DSMT4" ShapeID="_x0000_i2388" DrawAspect="Content" ObjectID="_1791376332" r:id="rId2765"/>
        </w:object>
      </w:r>
      <w:r w:rsidRPr="00005251">
        <w:rPr>
          <w:rFonts w:hint="cs"/>
          <w:i/>
          <w:sz w:val="23"/>
          <w:szCs w:val="23"/>
          <w:rtl/>
        </w:rPr>
        <w:t xml:space="preserve"> خواهد بود.</w:t>
      </w:r>
    </w:p>
    <w:p w14:paraId="41463779" w14:textId="77777777" w:rsidR="00411620" w:rsidRPr="00005251" w:rsidRDefault="00411620" w:rsidP="00411620">
      <w:pPr>
        <w:spacing w:line="216" w:lineRule="auto"/>
        <w:rPr>
          <w:i/>
          <w:sz w:val="23"/>
          <w:szCs w:val="23"/>
          <w:rtl/>
        </w:rPr>
      </w:pPr>
      <w:r w:rsidRPr="00005251">
        <w:rPr>
          <w:rFonts w:hint="cs"/>
          <w:i/>
          <w:sz w:val="23"/>
          <w:szCs w:val="23"/>
          <w:rtl/>
        </w:rPr>
        <w:t>بالاخره رابطه</w:t>
      </w:r>
      <w:r w:rsidRPr="00005251">
        <w:rPr>
          <w:i/>
          <w:sz w:val="23"/>
          <w:szCs w:val="23"/>
          <w:rtl/>
        </w:rPr>
        <w:softHyphen/>
      </w:r>
      <w:r w:rsidRPr="00005251">
        <w:rPr>
          <w:rFonts w:hint="cs"/>
          <w:i/>
          <w:sz w:val="23"/>
          <w:szCs w:val="23"/>
          <w:rtl/>
        </w:rPr>
        <w:t>ی سوم از شروط فوق يعني</w:t>
      </w:r>
      <w:r w:rsidRPr="00005251">
        <w:rPr>
          <w:position w:val="-10"/>
        </w:rPr>
        <w:object w:dxaOrig="1260" w:dyaOrig="320" w14:anchorId="5DB9D307">
          <v:shape id="_x0000_i2389" type="#_x0000_t75" style="width:63.55pt;height:16.35pt" o:ole="">
            <v:imagedata r:id="rId2766" o:title=""/>
          </v:shape>
          <o:OLEObject Type="Embed" ProgID="Equation.DSMT4" ShapeID="_x0000_i2389" DrawAspect="Content" ObjectID="_1791376333" r:id="rId2767"/>
        </w:object>
      </w:r>
      <w:r w:rsidRPr="00005251">
        <w:rPr>
          <w:rFonts w:eastAsiaTheme="minorEastAsia" w:hint="cs"/>
          <w:i/>
          <w:sz w:val="23"/>
          <w:szCs w:val="23"/>
          <w:rtl/>
        </w:rPr>
        <w:t xml:space="preserve"> ا</w:t>
      </w:r>
      <w:r w:rsidRPr="00005251">
        <w:rPr>
          <w:rFonts w:hint="cs"/>
          <w:i/>
          <w:sz w:val="23"/>
          <w:szCs w:val="23"/>
          <w:rtl/>
        </w:rPr>
        <w:t>ز</w:t>
      </w:r>
      <w:r w:rsidRPr="00005251">
        <w:rPr>
          <w:position w:val="-10"/>
        </w:rPr>
        <w:object w:dxaOrig="220" w:dyaOrig="320" w14:anchorId="3CE1AD74">
          <v:shape id="_x0000_i2390" type="#_x0000_t75" style="width:10.9pt;height:16.35pt" o:ole="">
            <v:imagedata r:id="rId2768" o:title=""/>
          </v:shape>
          <o:OLEObject Type="Embed" ProgID="Equation.DSMT4" ShapeID="_x0000_i2390" DrawAspect="Content" ObjectID="_1791376334" r:id="rId2769"/>
        </w:object>
      </w:r>
      <w:r w:rsidRPr="00005251">
        <w:rPr>
          <w:rFonts w:hint="cs"/>
          <w:i/>
          <w:sz w:val="23"/>
          <w:szCs w:val="23"/>
          <w:rtl/>
        </w:rPr>
        <w:t xml:space="preserve"> مستقل بوده و براي تمامی‌ مقادير </w:t>
      </w:r>
      <w:r w:rsidRPr="00005251">
        <w:rPr>
          <w:position w:val="-6"/>
        </w:rPr>
        <w:object w:dxaOrig="180" w:dyaOrig="260" w14:anchorId="38C802EC">
          <v:shape id="_x0000_i2391" type="#_x0000_t75" style="width:9.1pt;height:12.7pt" o:ole="">
            <v:imagedata r:id="rId2770" o:title=""/>
          </v:shape>
          <o:OLEObject Type="Embed" ProgID="Equation.DSMT4" ShapeID="_x0000_i2391" DrawAspect="Content" ObjectID="_1791376335" r:id="rId2771"/>
        </w:object>
      </w:r>
      <w:r w:rsidRPr="00005251">
        <w:rPr>
          <w:rFonts w:hint="cs"/>
          <w:i/>
          <w:sz w:val="23"/>
          <w:szCs w:val="23"/>
          <w:rtl/>
        </w:rPr>
        <w:t xml:space="preserve"> </w:t>
      </w:r>
      <w:r w:rsidRPr="00005251">
        <w:rPr>
          <w:rFonts w:hint="cs"/>
          <w:i/>
          <w:sz w:val="23"/>
          <w:szCs w:val="23"/>
          <w:rtl/>
          <w:lang w:val="en-GB"/>
        </w:rPr>
        <w:t>ا</w:t>
      </w:r>
      <w:r w:rsidRPr="00005251">
        <w:rPr>
          <w:rFonts w:hint="cs"/>
          <w:i/>
          <w:sz w:val="23"/>
          <w:szCs w:val="23"/>
          <w:rtl/>
        </w:rPr>
        <w:t>ز جمله</w:t>
      </w:r>
      <w:r w:rsidRPr="00005251">
        <w:rPr>
          <w:position w:val="-10"/>
        </w:rPr>
        <w:object w:dxaOrig="580" w:dyaOrig="320" w14:anchorId="6C24F205">
          <v:shape id="_x0000_i2392" type="#_x0000_t75" style="width:29.05pt;height:16.35pt" o:ole="">
            <v:imagedata r:id="rId2772" o:title=""/>
          </v:shape>
          <o:OLEObject Type="Embed" ProgID="Equation.DSMT4" ShapeID="_x0000_i2392" DrawAspect="Content" ObjectID="_1791376336" r:id="rId2773"/>
        </w:object>
      </w:r>
      <w:r w:rsidRPr="00005251">
        <w:rPr>
          <w:rFonts w:eastAsiaTheme="minorEastAsia" w:hint="cs"/>
          <w:i/>
          <w:sz w:val="23"/>
          <w:szCs w:val="23"/>
          <w:rtl/>
        </w:rPr>
        <w:t xml:space="preserve"> صادق است</w:t>
      </w:r>
      <w:r w:rsidRPr="00005251">
        <w:rPr>
          <w:rFonts w:hint="cs"/>
          <w:i/>
          <w:sz w:val="23"/>
          <w:szCs w:val="23"/>
          <w:rtl/>
        </w:rPr>
        <w:t>. از آنجا كه هر مقدار بدهي</w:t>
      </w:r>
      <w:r w:rsidRPr="00005251">
        <w:rPr>
          <w:position w:val="-10"/>
        </w:rPr>
        <w:object w:dxaOrig="220" w:dyaOrig="320" w14:anchorId="6065A54C">
          <v:shape id="_x0000_i2393" type="#_x0000_t75" style="width:10.9pt;height:16.35pt" o:ole="">
            <v:imagedata r:id="rId2774" o:title=""/>
          </v:shape>
          <o:OLEObject Type="Embed" ProgID="Equation.DSMT4" ShapeID="_x0000_i2393" DrawAspect="Content" ObjectID="_1791376337" r:id="rId2775"/>
        </w:object>
      </w:r>
      <w:r w:rsidRPr="00005251">
        <w:rPr>
          <w:rFonts w:hint="cs"/>
          <w:i/>
          <w:sz w:val="23"/>
          <w:szCs w:val="23"/>
          <w:rtl/>
        </w:rPr>
        <w:t xml:space="preserve"> با مسئله حداكثرسازي سود بنگاه سازگار است، لذا بنگاه می‌تواند سرمايه‌گذاري جدید خود را از طریق بدهی مالی و یا از طریق سود خود تامین کند که بدان تئوری مادیگلیانی- میلر</w:t>
      </w:r>
      <w:r w:rsidRPr="00005251">
        <w:rPr>
          <w:rStyle w:val="FootnoteReference"/>
          <w:rFonts w:eastAsiaTheme="majorEastAsia"/>
          <w:i/>
          <w:sz w:val="23"/>
          <w:szCs w:val="23"/>
          <w:rtl/>
        </w:rPr>
        <w:footnoteReference w:id="130"/>
      </w:r>
      <w:r w:rsidRPr="00005251">
        <w:rPr>
          <w:rFonts w:hint="cs"/>
          <w:i/>
          <w:sz w:val="23"/>
          <w:szCs w:val="23"/>
          <w:rtl/>
        </w:rPr>
        <w:t xml:space="preserve"> گفته می‌شود.</w:t>
      </w:r>
    </w:p>
    <w:p w14:paraId="3DCAE5B6" w14:textId="77777777" w:rsidR="00411620" w:rsidRPr="00005251" w:rsidRDefault="00411620" w:rsidP="00411620">
      <w:pPr>
        <w:spacing w:line="216" w:lineRule="auto"/>
        <w:rPr>
          <w:i/>
          <w:sz w:val="23"/>
          <w:szCs w:val="23"/>
          <w:rtl/>
        </w:rPr>
      </w:pPr>
    </w:p>
    <w:p w14:paraId="2BDB5F45" w14:textId="77777777" w:rsidR="00411620" w:rsidRPr="00005251" w:rsidRDefault="00411620" w:rsidP="00411620">
      <w:pPr>
        <w:pStyle w:val="Heading1"/>
        <w:spacing w:before="0" w:after="0" w:line="216" w:lineRule="auto"/>
        <w:rPr>
          <w:rFonts w:ascii="Times New Roman" w:hAnsi="Times New Roman" w:cs="B Nazanin"/>
          <w:b w:val="0"/>
          <w:i/>
          <w:sz w:val="23"/>
          <w:szCs w:val="23"/>
          <w:rtl/>
        </w:rPr>
      </w:pPr>
      <w:r w:rsidRPr="00005251">
        <w:rPr>
          <w:rFonts w:ascii="Times New Roman" w:hAnsi="Times New Roman" w:cs="B Nazanin" w:hint="cs"/>
          <w:b w:val="0"/>
          <w:i/>
          <w:sz w:val="23"/>
          <w:szCs w:val="23"/>
          <w:rtl/>
        </w:rPr>
        <w:t>۴. ۳. ۲ تقاضا برای نیروی کار با هزینه</w:t>
      </w:r>
      <w:r w:rsidRPr="00005251">
        <w:rPr>
          <w:rFonts w:ascii="Times New Roman" w:hAnsi="Times New Roman" w:cs="B Nazanin"/>
          <w:b w:val="0"/>
          <w:i/>
          <w:sz w:val="23"/>
          <w:szCs w:val="23"/>
          <w:rtl/>
        </w:rPr>
        <w:softHyphen/>
      </w:r>
      <w:r w:rsidRPr="00005251">
        <w:rPr>
          <w:rFonts w:ascii="Times New Roman" w:hAnsi="Times New Roman" w:cs="B Nazanin" w:hint="cs"/>
          <w:b w:val="0"/>
          <w:i/>
          <w:sz w:val="23"/>
          <w:szCs w:val="23"/>
          <w:rtl/>
        </w:rPr>
        <w:t>ی تعدیل</w:t>
      </w:r>
    </w:p>
    <w:p w14:paraId="19E29FFA" w14:textId="77777777" w:rsidR="00411620" w:rsidRPr="00005251" w:rsidRDefault="00411620" w:rsidP="00411620">
      <w:pPr>
        <w:spacing w:line="216" w:lineRule="auto"/>
        <w:rPr>
          <w:i/>
          <w:sz w:val="23"/>
          <w:szCs w:val="23"/>
          <w:rtl/>
        </w:rPr>
      </w:pPr>
      <w:r w:rsidRPr="00005251">
        <w:rPr>
          <w:rFonts w:hint="cs"/>
          <w:i/>
          <w:sz w:val="23"/>
          <w:szCs w:val="23"/>
          <w:rtl/>
        </w:rPr>
        <w:t>بطورکلی نیروی کار را می</w:t>
      </w:r>
      <w:r w:rsidRPr="00005251">
        <w:rPr>
          <w:i/>
          <w:sz w:val="23"/>
          <w:szCs w:val="23"/>
          <w:rtl/>
        </w:rPr>
        <w:softHyphen/>
      </w:r>
      <w:r w:rsidRPr="00005251">
        <w:rPr>
          <w:rFonts w:hint="cs"/>
          <w:i/>
          <w:sz w:val="23"/>
          <w:szCs w:val="23"/>
          <w:rtl/>
        </w:rPr>
        <w:t>توان به تعداد افراد و ساعات کار تجزیه کرد. افراد تصمیم می‌گیرند که آیا کار کنند یا خیر، یعنی تصمیم در مشارکت توسط خانوار صورت می</w:t>
      </w:r>
      <w:r w:rsidRPr="00005251">
        <w:rPr>
          <w:i/>
          <w:sz w:val="23"/>
          <w:szCs w:val="23"/>
          <w:rtl/>
        </w:rPr>
        <w:softHyphen/>
      </w:r>
      <w:r w:rsidRPr="00005251">
        <w:rPr>
          <w:rFonts w:hint="cs"/>
          <w:i/>
          <w:sz w:val="23"/>
          <w:szCs w:val="23"/>
          <w:rtl/>
        </w:rPr>
        <w:t>گیرد که همان عرضه</w:t>
      </w:r>
      <w:r w:rsidRPr="00005251">
        <w:rPr>
          <w:i/>
          <w:sz w:val="23"/>
          <w:szCs w:val="23"/>
          <w:rtl/>
        </w:rPr>
        <w:softHyphen/>
      </w:r>
      <w:r w:rsidRPr="00005251">
        <w:rPr>
          <w:rFonts w:hint="cs"/>
          <w:i/>
          <w:sz w:val="23"/>
          <w:szCs w:val="23"/>
          <w:rtl/>
        </w:rPr>
        <w:t>ی نیروی کار است. امّا این</w:t>
      </w:r>
      <w:r w:rsidRPr="00005251">
        <w:rPr>
          <w:i/>
          <w:sz w:val="23"/>
          <w:szCs w:val="23"/>
          <w:rtl/>
        </w:rPr>
        <w:softHyphen/>
      </w:r>
      <w:r w:rsidRPr="00005251">
        <w:rPr>
          <w:rFonts w:hint="cs"/>
          <w:i/>
          <w:sz w:val="23"/>
          <w:szCs w:val="23"/>
          <w:rtl/>
        </w:rPr>
        <w:t>که خانوار چند ساعت در روز کار کند توسط بنگاه تعیین می</w:t>
      </w:r>
      <w:r w:rsidRPr="00005251">
        <w:rPr>
          <w:i/>
          <w:sz w:val="23"/>
          <w:szCs w:val="23"/>
          <w:rtl/>
        </w:rPr>
        <w:softHyphen/>
      </w:r>
      <w:r w:rsidRPr="00005251">
        <w:rPr>
          <w:rFonts w:hint="cs"/>
          <w:i/>
          <w:sz w:val="23"/>
          <w:szCs w:val="23"/>
          <w:rtl/>
        </w:rPr>
        <w:t>شود. در عمل انتخاب خانوار جهت کار تمام وقت، نیمه</w:t>
      </w:r>
      <w:r w:rsidRPr="00005251">
        <w:rPr>
          <w:i/>
          <w:sz w:val="23"/>
          <w:szCs w:val="23"/>
          <w:rtl/>
        </w:rPr>
        <w:softHyphen/>
      </w:r>
      <w:r w:rsidRPr="00005251">
        <w:rPr>
          <w:rFonts w:hint="cs"/>
          <w:i/>
          <w:sz w:val="23"/>
          <w:szCs w:val="23"/>
          <w:rtl/>
        </w:rPr>
        <w:t>وقت و یا اضافه</w:t>
      </w:r>
      <w:r w:rsidRPr="00005251">
        <w:rPr>
          <w:i/>
          <w:sz w:val="23"/>
          <w:szCs w:val="23"/>
          <w:rtl/>
        </w:rPr>
        <w:softHyphen/>
      </w:r>
      <w:r w:rsidRPr="00005251">
        <w:rPr>
          <w:rFonts w:hint="cs"/>
          <w:i/>
          <w:sz w:val="23"/>
          <w:szCs w:val="23"/>
          <w:rtl/>
        </w:rPr>
        <w:t>کار توسط بنگاه مقید می</w:t>
      </w:r>
      <w:r w:rsidRPr="00005251">
        <w:rPr>
          <w:i/>
          <w:sz w:val="23"/>
          <w:szCs w:val="23"/>
          <w:rtl/>
        </w:rPr>
        <w:softHyphen/>
      </w:r>
      <w:r w:rsidRPr="00005251">
        <w:rPr>
          <w:rFonts w:hint="cs"/>
          <w:i/>
          <w:sz w:val="23"/>
          <w:szCs w:val="23"/>
          <w:rtl/>
        </w:rPr>
        <w:t>شود. در این قسمت فرض می</w:t>
      </w:r>
      <w:r w:rsidRPr="00005251">
        <w:rPr>
          <w:i/>
          <w:sz w:val="23"/>
          <w:szCs w:val="23"/>
          <w:rtl/>
        </w:rPr>
        <w:softHyphen/>
      </w:r>
      <w:r w:rsidRPr="00005251">
        <w:rPr>
          <w:rFonts w:hint="cs"/>
          <w:i/>
          <w:sz w:val="23"/>
          <w:szCs w:val="23"/>
          <w:rtl/>
        </w:rPr>
        <w:t>شود خانوار تصمیم می</w:t>
      </w:r>
      <w:r w:rsidRPr="00005251">
        <w:rPr>
          <w:i/>
          <w:sz w:val="23"/>
          <w:szCs w:val="23"/>
          <w:rtl/>
        </w:rPr>
        <w:softHyphen/>
      </w:r>
      <w:r w:rsidRPr="00005251">
        <w:rPr>
          <w:rFonts w:hint="cs"/>
          <w:i/>
          <w:sz w:val="23"/>
          <w:szCs w:val="23"/>
          <w:rtl/>
        </w:rPr>
        <w:t>گیرد که آیا نیروی کار خود را در بازار عرضه کند یا خیر (تصمیم در مشارکت)، اما بنگاه در خصوص ساعات کار آن</w:t>
      </w:r>
      <w:r w:rsidRPr="00005251">
        <w:rPr>
          <w:i/>
          <w:sz w:val="23"/>
          <w:szCs w:val="23"/>
          <w:rtl/>
        </w:rPr>
        <w:softHyphen/>
      </w:r>
      <w:r w:rsidRPr="00005251">
        <w:rPr>
          <w:rFonts w:hint="cs"/>
          <w:i/>
          <w:sz w:val="23"/>
          <w:szCs w:val="23"/>
          <w:rtl/>
        </w:rPr>
        <w:t>ها تصمیم خواهد گرفت.</w:t>
      </w:r>
    </w:p>
    <w:p w14:paraId="261FFF5B" w14:textId="77777777" w:rsidR="00411620" w:rsidRPr="00005251" w:rsidRDefault="00411620" w:rsidP="00411620">
      <w:pPr>
        <w:spacing w:line="216" w:lineRule="auto"/>
        <w:rPr>
          <w:i/>
          <w:sz w:val="23"/>
          <w:szCs w:val="23"/>
          <w:rtl/>
        </w:rPr>
      </w:pPr>
      <w:r w:rsidRPr="00005251">
        <w:rPr>
          <w:rFonts w:hint="cs"/>
          <w:i/>
          <w:sz w:val="23"/>
          <w:szCs w:val="23"/>
          <w:rtl/>
        </w:rPr>
        <w:t>از آنجا که کارِ بیشتر مستلزم نرخِ دستمزدِ بیشتر است، و استخدام و اخراج نیروی کار هزینه</w:t>
      </w:r>
      <w:r w:rsidRPr="00005251">
        <w:rPr>
          <w:i/>
          <w:sz w:val="23"/>
          <w:szCs w:val="23"/>
          <w:rtl/>
        </w:rPr>
        <w:softHyphen/>
      </w:r>
      <w:r w:rsidRPr="00005251">
        <w:rPr>
          <w:rFonts w:hint="cs"/>
          <w:i/>
          <w:sz w:val="23"/>
          <w:szCs w:val="23"/>
          <w:rtl/>
        </w:rPr>
        <w:t>ی مازاد را برای بنگاه دربردارد، لذا بنگاه جهت افزایش تولید می</w:t>
      </w:r>
      <w:r w:rsidRPr="00005251">
        <w:rPr>
          <w:i/>
          <w:sz w:val="23"/>
          <w:szCs w:val="23"/>
          <w:rtl/>
        </w:rPr>
        <w:softHyphen/>
      </w:r>
      <w:r w:rsidRPr="00005251">
        <w:rPr>
          <w:rFonts w:hint="cs"/>
          <w:i/>
          <w:sz w:val="23"/>
          <w:szCs w:val="23"/>
          <w:rtl/>
        </w:rPr>
        <w:t>تواند ساعات کارِ همان نیروی کار قبلی را افزایش دهد و یا نیروی کار جدیدی را جذب کند که هر یک هزینه</w:t>
      </w:r>
      <w:r w:rsidRPr="00005251">
        <w:rPr>
          <w:i/>
          <w:sz w:val="23"/>
          <w:szCs w:val="23"/>
          <w:rtl/>
        </w:rPr>
        <w:softHyphen/>
      </w:r>
      <w:r w:rsidRPr="00005251">
        <w:rPr>
          <w:rFonts w:hint="cs"/>
          <w:i/>
          <w:sz w:val="23"/>
          <w:szCs w:val="23"/>
          <w:rtl/>
        </w:rPr>
        <w:t xml:space="preserve">های مربوط به خود را دارد. </w:t>
      </w:r>
    </w:p>
    <w:p w14:paraId="34940F1D" w14:textId="77777777" w:rsidR="00411620" w:rsidRPr="00005251" w:rsidRDefault="00411620" w:rsidP="00411620">
      <w:pPr>
        <w:spacing w:line="216" w:lineRule="auto"/>
        <w:rPr>
          <w:i/>
          <w:sz w:val="23"/>
          <w:szCs w:val="23"/>
          <w:rtl/>
        </w:rPr>
      </w:pPr>
      <w:r w:rsidRPr="00005251">
        <w:rPr>
          <w:rFonts w:hint="cs"/>
          <w:i/>
          <w:sz w:val="23"/>
          <w:szCs w:val="23"/>
          <w:rtl/>
        </w:rPr>
        <w:t>برای سهولت ادامه</w:t>
      </w:r>
      <w:r w:rsidRPr="00005251">
        <w:rPr>
          <w:i/>
          <w:sz w:val="23"/>
          <w:szCs w:val="23"/>
          <w:rtl/>
        </w:rPr>
        <w:softHyphen/>
      </w:r>
      <w:r w:rsidRPr="00005251">
        <w:rPr>
          <w:rFonts w:hint="cs"/>
          <w:i/>
          <w:sz w:val="23"/>
          <w:szCs w:val="23"/>
          <w:rtl/>
        </w:rPr>
        <w:t>ی بحث موجودی سرمایه را از تابع تولید خارج می</w:t>
      </w:r>
      <w:r w:rsidRPr="00005251">
        <w:rPr>
          <w:rFonts w:hint="cs"/>
          <w:i/>
          <w:sz w:val="23"/>
          <w:szCs w:val="23"/>
          <w:rtl/>
        </w:rPr>
        <w:softHyphen/>
        <w:t>کنیم. لذا تابع تولید عبارت خواهد بود از:</w:t>
      </w:r>
    </w:p>
    <w:p w14:paraId="2F14A932"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12"/>
        </w:rPr>
        <w:object w:dxaOrig="1280" w:dyaOrig="360" w14:anchorId="36833BA3">
          <v:shape id="_x0000_i2394" type="#_x0000_t75" style="width:64.15pt;height:18.15pt" o:ole="">
            <v:imagedata r:id="rId2776" o:title=""/>
          </v:shape>
          <o:OLEObject Type="Embed" ProgID="Equation.DSMT4" ShapeID="_x0000_i2394" DrawAspect="Content" ObjectID="_1791376338" r:id="rId2777"/>
        </w:object>
      </w:r>
      <w:r>
        <w:rPr>
          <w:rtl/>
        </w:rPr>
        <w:tab/>
      </w:r>
    </w:p>
    <w:p w14:paraId="46ABBEF3" w14:textId="77777777" w:rsidR="00411620" w:rsidRPr="00005251" w:rsidRDefault="00411620" w:rsidP="00411620">
      <w:pPr>
        <w:spacing w:line="216" w:lineRule="auto"/>
        <w:rPr>
          <w:i/>
          <w:sz w:val="23"/>
          <w:szCs w:val="23"/>
          <w:rtl/>
        </w:rPr>
      </w:pPr>
      <w:r w:rsidRPr="00005251">
        <w:rPr>
          <w:rFonts w:eastAsiaTheme="minorEastAsia" w:hint="cs"/>
          <w:i/>
          <w:sz w:val="23"/>
          <w:szCs w:val="23"/>
          <w:rtl/>
        </w:rPr>
        <w:t>که در آن</w:t>
      </w:r>
      <w:r w:rsidRPr="00005251">
        <w:rPr>
          <w:position w:val="-10"/>
        </w:rPr>
        <w:object w:dxaOrig="240" w:dyaOrig="320" w14:anchorId="6393ACB0">
          <v:shape id="_x0000_i2395" type="#_x0000_t75" style="width:11.5pt;height:16.35pt" o:ole="">
            <v:imagedata r:id="rId2778" o:title=""/>
          </v:shape>
          <o:OLEObject Type="Embed" ProgID="Equation.DSMT4" ShapeID="_x0000_i2395" DrawAspect="Content" ObjectID="_1791376339" r:id="rId2779"/>
        </w:object>
      </w:r>
      <w:r w:rsidRPr="00005251">
        <w:rPr>
          <w:rFonts w:hint="cs"/>
          <w:i/>
          <w:sz w:val="23"/>
          <w:szCs w:val="23"/>
          <w:rtl/>
        </w:rPr>
        <w:t xml:space="preserve"> تعداد افراد شاغل و</w:t>
      </w:r>
      <w:r w:rsidRPr="00005251">
        <w:rPr>
          <w:position w:val="-10"/>
        </w:rPr>
        <w:object w:dxaOrig="240" w:dyaOrig="320" w14:anchorId="3354B8ED">
          <v:shape id="_x0000_i2396" type="#_x0000_t75" style="width:11.5pt;height:16.35pt" o:ole="">
            <v:imagedata r:id="rId2780" o:title=""/>
          </v:shape>
          <o:OLEObject Type="Embed" ProgID="Equation.DSMT4" ShapeID="_x0000_i2396" DrawAspect="Content" ObjectID="_1791376340" r:id="rId2781"/>
        </w:object>
      </w:r>
      <w:r w:rsidRPr="00005251">
        <w:rPr>
          <w:rFonts w:hint="cs"/>
          <w:i/>
          <w:sz w:val="23"/>
          <w:szCs w:val="23"/>
          <w:rtl/>
        </w:rPr>
        <w:t xml:space="preserve"> ساعات کار هر نیروی کار است. تولید نهایی نیروی کار و تولید نهایی ساعات نیروی کار مثبت، اما با نرخ کاهنده است، یعنی</w:t>
      </w:r>
      <w:r w:rsidRPr="00005251">
        <w:rPr>
          <w:position w:val="-12"/>
        </w:rPr>
        <w:object w:dxaOrig="920" w:dyaOrig="340" w14:anchorId="54471F88">
          <v:shape id="_x0000_i2397" type="#_x0000_t75" style="width:46pt;height:16.95pt" o:ole="">
            <v:imagedata r:id="rId2782" o:title=""/>
          </v:shape>
          <o:OLEObject Type="Embed" ProgID="Equation.DSMT4" ShapeID="_x0000_i2397" DrawAspect="Content" ObjectID="_1791376341" r:id="rId2783"/>
        </w:object>
      </w:r>
      <w:r w:rsidRPr="00005251">
        <w:rPr>
          <w:rFonts w:eastAsiaTheme="minorEastAsia" w:hint="cs"/>
          <w:i/>
          <w:sz w:val="23"/>
          <w:szCs w:val="23"/>
          <w:rtl/>
        </w:rPr>
        <w:t xml:space="preserve">، </w:t>
      </w:r>
      <w:r w:rsidRPr="00005251">
        <w:rPr>
          <w:position w:val="-12"/>
        </w:rPr>
        <w:object w:dxaOrig="1060" w:dyaOrig="340" w14:anchorId="47919087">
          <v:shape id="_x0000_i2398" type="#_x0000_t75" style="width:53.25pt;height:16.95pt" o:ole="">
            <v:imagedata r:id="rId2784" o:title=""/>
          </v:shape>
          <o:OLEObject Type="Embed" ProgID="Equation.DSMT4" ShapeID="_x0000_i2398" DrawAspect="Content" ObjectID="_1791376342" r:id="rId2785"/>
        </w:object>
      </w:r>
      <w:r w:rsidRPr="00005251">
        <w:rPr>
          <w:rFonts w:hint="cs"/>
          <w:i/>
          <w:sz w:val="23"/>
          <w:szCs w:val="23"/>
          <w:rtl/>
        </w:rPr>
        <w:t>،</w:t>
      </w:r>
      <w:r w:rsidRPr="00005251">
        <w:rPr>
          <w:i/>
          <w:sz w:val="23"/>
          <w:szCs w:val="23"/>
        </w:rPr>
        <w:t xml:space="preserve"> </w:t>
      </w:r>
      <w:r w:rsidRPr="00005251">
        <w:rPr>
          <w:rFonts w:hint="cs"/>
          <w:i/>
          <w:sz w:val="23"/>
          <w:szCs w:val="23"/>
          <w:rtl/>
        </w:rPr>
        <w:t xml:space="preserve">و این دو عاملِ تولید جانشین یکدیگرند، یعنی </w:t>
      </w:r>
      <w:r w:rsidRPr="00005251">
        <w:rPr>
          <w:position w:val="-10"/>
        </w:rPr>
        <w:object w:dxaOrig="720" w:dyaOrig="320" w14:anchorId="36626901">
          <v:shape id="_x0000_i2399" type="#_x0000_t75" style="width:36.3pt;height:16.35pt" o:ole="">
            <v:imagedata r:id="rId2786" o:title=""/>
          </v:shape>
          <o:OLEObject Type="Embed" ProgID="Equation.DSMT4" ShapeID="_x0000_i2399" DrawAspect="Content" ObjectID="_1791376343" r:id="rId2787"/>
        </w:object>
      </w:r>
      <w:r w:rsidRPr="00005251">
        <w:rPr>
          <w:rFonts w:hint="cs"/>
          <w:i/>
          <w:sz w:val="23"/>
          <w:szCs w:val="23"/>
          <w:rtl/>
        </w:rPr>
        <w:t xml:space="preserve"> است. همچنین دستمزد هر فرد تابعی از ساعات کار است یعنی</w:t>
      </w:r>
      <w:r w:rsidRPr="00005251">
        <w:rPr>
          <w:position w:val="-12"/>
        </w:rPr>
        <w:object w:dxaOrig="639" w:dyaOrig="360" w14:anchorId="78631CA8">
          <v:shape id="_x0000_i2400" type="#_x0000_t75" style="width:32.05pt;height:18.15pt" o:ole="">
            <v:imagedata r:id="rId2788" o:title=""/>
          </v:shape>
          <o:OLEObject Type="Embed" ProgID="Equation.DSMT4" ShapeID="_x0000_i2400" DrawAspect="Content" ObjectID="_1791376344" r:id="rId2789"/>
        </w:object>
      </w:r>
      <w:r w:rsidRPr="00005251">
        <w:rPr>
          <w:rFonts w:hint="cs"/>
          <w:i/>
          <w:sz w:val="23"/>
          <w:szCs w:val="23"/>
          <w:rtl/>
        </w:rPr>
        <w:t xml:space="preserve"> و در آن </w:t>
      </w:r>
      <w:r w:rsidRPr="00005251">
        <w:rPr>
          <w:position w:val="-6"/>
        </w:rPr>
        <w:object w:dxaOrig="660" w:dyaOrig="260" w14:anchorId="0D4F5C4F">
          <v:shape id="_x0000_i2401" type="#_x0000_t75" style="width:33.3pt;height:12.7pt" o:ole="">
            <v:imagedata r:id="rId2790" o:title=""/>
          </v:shape>
          <o:OLEObject Type="Embed" ProgID="Equation.DSMT4" ShapeID="_x0000_i2401" DrawAspect="Content" ObjectID="_1791376345" r:id="rId2791"/>
        </w:object>
      </w:r>
      <w:r w:rsidRPr="00005251">
        <w:rPr>
          <w:rFonts w:eastAsiaTheme="minorEastAsia" w:hint="cs"/>
          <w:i/>
          <w:sz w:val="23"/>
          <w:szCs w:val="23"/>
          <w:rtl/>
        </w:rPr>
        <w:t xml:space="preserve"> و</w:t>
      </w:r>
      <w:r w:rsidRPr="00005251">
        <w:rPr>
          <w:rFonts w:hint="cs"/>
          <w:i/>
          <w:sz w:val="23"/>
          <w:szCs w:val="23"/>
          <w:rtl/>
        </w:rPr>
        <w:t xml:space="preserve"> </w:t>
      </w:r>
      <w:r w:rsidRPr="00005251">
        <w:rPr>
          <w:position w:val="-6"/>
        </w:rPr>
        <w:object w:dxaOrig="700" w:dyaOrig="260" w14:anchorId="3894FF2B">
          <v:shape id="_x0000_i2402" type="#_x0000_t75" style="width:35.1pt;height:12.7pt" o:ole="">
            <v:imagedata r:id="rId2792" o:title=""/>
          </v:shape>
          <o:OLEObject Type="Embed" ProgID="Equation.DSMT4" ShapeID="_x0000_i2402" DrawAspect="Content" ObjectID="_1791376346" r:id="rId2793"/>
        </w:object>
      </w:r>
      <w:r w:rsidRPr="00005251">
        <w:rPr>
          <w:rFonts w:hint="cs"/>
          <w:i/>
          <w:sz w:val="23"/>
          <w:szCs w:val="23"/>
          <w:rtl/>
        </w:rPr>
        <w:t xml:space="preserve"> می</w:t>
      </w:r>
      <w:r w:rsidRPr="00005251">
        <w:rPr>
          <w:i/>
          <w:sz w:val="23"/>
          <w:szCs w:val="23"/>
          <w:rtl/>
        </w:rPr>
        <w:softHyphen/>
      </w:r>
      <w:r w:rsidRPr="00005251">
        <w:rPr>
          <w:rFonts w:hint="cs"/>
          <w:i/>
          <w:sz w:val="23"/>
          <w:szCs w:val="23"/>
          <w:rtl/>
        </w:rPr>
        <w:t>باشد یعنی ساعات کاری بیشتر، مستلزم دستمزد بالاتری است. همچنین فرض می‌کنیم هزینه</w:t>
      </w:r>
      <w:r w:rsidRPr="00005251">
        <w:rPr>
          <w:i/>
          <w:sz w:val="23"/>
          <w:szCs w:val="23"/>
          <w:rtl/>
        </w:rPr>
        <w:softHyphen/>
      </w:r>
      <w:r w:rsidRPr="00005251">
        <w:rPr>
          <w:rFonts w:hint="cs"/>
          <w:i/>
          <w:sz w:val="23"/>
          <w:szCs w:val="23"/>
          <w:rtl/>
        </w:rPr>
        <w:t>های استخدام و اخراج نیروی کار وجود دارد. چنانچه</w:t>
      </w:r>
      <w:r w:rsidRPr="00005251">
        <w:rPr>
          <w:position w:val="-10"/>
        </w:rPr>
        <w:object w:dxaOrig="220" w:dyaOrig="320" w14:anchorId="470DDE80">
          <v:shape id="_x0000_i2403" type="#_x0000_t75" style="width:10.9pt;height:16.35pt" o:ole="">
            <v:imagedata r:id="rId2794" o:title=""/>
          </v:shape>
          <o:OLEObject Type="Embed" ProgID="Equation.DSMT4" ShapeID="_x0000_i2403" DrawAspect="Content" ObjectID="_1791376347" r:id="rId2795"/>
        </w:object>
      </w:r>
      <w:r w:rsidRPr="00005251">
        <w:rPr>
          <w:rFonts w:hint="cs"/>
          <w:i/>
          <w:sz w:val="23"/>
          <w:szCs w:val="23"/>
          <w:rtl/>
        </w:rPr>
        <w:t xml:space="preserve"> کل استخدام جدید و</w:t>
      </w:r>
      <w:r w:rsidRPr="00005251">
        <w:rPr>
          <w:position w:val="-10"/>
        </w:rPr>
        <w:object w:dxaOrig="240" w:dyaOrig="320" w14:anchorId="7A1DB215">
          <v:shape id="_x0000_i2404" type="#_x0000_t75" style="width:11.5pt;height:16.35pt" o:ole="">
            <v:imagedata r:id="rId2796" o:title=""/>
          </v:shape>
          <o:OLEObject Type="Embed" ProgID="Equation.DSMT4" ShapeID="_x0000_i2404" DrawAspect="Content" ObjectID="_1791376348" r:id="rId2797"/>
        </w:object>
      </w:r>
      <w:r w:rsidRPr="00005251">
        <w:rPr>
          <w:rFonts w:hint="cs"/>
          <w:i/>
          <w:sz w:val="23"/>
          <w:szCs w:val="23"/>
          <w:rtl/>
        </w:rPr>
        <w:t xml:space="preserve"> کل اخراجی نیروی کار در زمان</w:t>
      </w:r>
      <w:r w:rsidRPr="00005251">
        <w:rPr>
          <w:position w:val="-6"/>
        </w:rPr>
        <w:object w:dxaOrig="139" w:dyaOrig="240" w14:anchorId="6045CACF">
          <v:shape id="_x0000_i2405" type="#_x0000_t75" style="width:6.65pt;height:11.5pt" o:ole="">
            <v:imagedata r:id="rId2798" o:title=""/>
          </v:shape>
          <o:OLEObject Type="Embed" ProgID="Equation.DSMT4" ShapeID="_x0000_i2405" DrawAspect="Content" ObjectID="_1791376349" r:id="rId2799"/>
        </w:object>
      </w:r>
      <w:r w:rsidRPr="00005251">
        <w:rPr>
          <w:rFonts w:hint="cs"/>
          <w:i/>
          <w:sz w:val="23"/>
          <w:szCs w:val="23"/>
          <w:rtl/>
        </w:rPr>
        <w:t xml:space="preserve"> باشد، آنگاه تعداد شاغلین در زمان</w:t>
      </w:r>
      <w:r w:rsidRPr="00005251">
        <w:rPr>
          <w:position w:val="-6"/>
        </w:rPr>
        <w:object w:dxaOrig="139" w:dyaOrig="240" w14:anchorId="708258B7">
          <v:shape id="_x0000_i2406" type="#_x0000_t75" style="width:6.65pt;height:11.5pt" o:ole="">
            <v:imagedata r:id="rId2800" o:title=""/>
          </v:shape>
          <o:OLEObject Type="Embed" ProgID="Equation.DSMT4" ShapeID="_x0000_i2406" DrawAspect="Content" ObjectID="_1791376350" r:id="rId2801"/>
        </w:object>
      </w:r>
      <w:r w:rsidRPr="00005251">
        <w:rPr>
          <w:rFonts w:hint="cs"/>
          <w:i/>
          <w:sz w:val="23"/>
          <w:szCs w:val="23"/>
          <w:rtl/>
          <w:lang w:val="en-GB"/>
        </w:rPr>
        <w:t xml:space="preserve"> برابر است با:</w:t>
      </w:r>
    </w:p>
    <w:p w14:paraId="45C95DAC" w14:textId="77777777" w:rsidR="00411620" w:rsidRPr="00005251" w:rsidRDefault="00411620" w:rsidP="00411620">
      <w:pPr>
        <w:pStyle w:val="MTDisplayEquation"/>
        <w:spacing w:line="216" w:lineRule="auto"/>
        <w:rPr>
          <w:rFonts w:ascii="Times New Roman" w:hAnsi="Times New Roman" w:cs="B Nazanin"/>
          <w:i/>
          <w:sz w:val="23"/>
          <w:szCs w:val="23"/>
          <w:rtl/>
        </w:rPr>
      </w:pPr>
      <w:r w:rsidRPr="00005251">
        <w:rPr>
          <w:position w:val="-10"/>
        </w:rPr>
        <w:object w:dxaOrig="1520" w:dyaOrig="320" w14:anchorId="53924570">
          <v:shape id="_x0000_i2407" type="#_x0000_t75" style="width:76.25pt;height:16.35pt" o:ole="">
            <v:imagedata r:id="rId2802" o:title=""/>
          </v:shape>
          <o:OLEObject Type="Embed" ProgID="Equation.DSMT4" ShapeID="_x0000_i2407" DrawAspect="Content" ObjectID="_1791376351" r:id="rId2803"/>
        </w:object>
      </w:r>
    </w:p>
    <w:p w14:paraId="591B70D1" w14:textId="77777777" w:rsidR="00411620" w:rsidRPr="00005251" w:rsidRDefault="00411620" w:rsidP="00411620">
      <w:pPr>
        <w:tabs>
          <w:tab w:val="left" w:pos="-46"/>
          <w:tab w:val="left" w:pos="521"/>
        </w:tabs>
        <w:spacing w:line="216" w:lineRule="auto"/>
        <w:rPr>
          <w:i/>
          <w:sz w:val="23"/>
          <w:szCs w:val="23"/>
          <w:rtl/>
        </w:rPr>
      </w:pPr>
      <w:r w:rsidRPr="00005251">
        <w:rPr>
          <w:rFonts w:hint="cs"/>
          <w:i/>
          <w:sz w:val="23"/>
          <w:szCs w:val="23"/>
          <w:rtl/>
        </w:rPr>
        <w:t>فرض می‌شود استخدام جدید</w:t>
      </w:r>
      <w:r w:rsidRPr="00005251">
        <w:rPr>
          <w:position w:val="-6"/>
        </w:rPr>
        <w:object w:dxaOrig="180" w:dyaOrig="200" w14:anchorId="2D7EB554">
          <v:shape id="_x0000_i2408" type="#_x0000_t75" style="width:9.1pt;height:10.3pt" o:ole="">
            <v:imagedata r:id="rId2804" o:title=""/>
          </v:shape>
          <o:OLEObject Type="Embed" ProgID="Equation.DSMT4" ShapeID="_x0000_i2408" DrawAspect="Content" ObjectID="_1791376352" r:id="rId2805"/>
        </w:object>
      </w:r>
      <w:r w:rsidRPr="00005251">
        <w:rPr>
          <w:i/>
          <w:sz w:val="23"/>
          <w:szCs w:val="23"/>
          <w:rtl/>
        </w:rPr>
        <w:t>،</w:t>
      </w:r>
      <w:r w:rsidRPr="00005251">
        <w:rPr>
          <w:rFonts w:hint="cs"/>
          <w:i/>
          <w:sz w:val="23"/>
          <w:szCs w:val="23"/>
          <w:rtl/>
        </w:rPr>
        <w:t xml:space="preserve"> و اخراجی نیروی کار</w:t>
      </w:r>
      <w:r w:rsidRPr="00005251">
        <w:rPr>
          <w:position w:val="-8"/>
        </w:rPr>
        <w:object w:dxaOrig="200" w:dyaOrig="240" w14:anchorId="70FF109C">
          <v:shape id="_x0000_i2409" type="#_x0000_t75" style="width:10.3pt;height:11.5pt" o:ole="">
            <v:imagedata r:id="rId2806" o:title=""/>
          </v:shape>
          <o:OLEObject Type="Embed" ProgID="Equation.DSMT4" ShapeID="_x0000_i2409" DrawAspect="Content" ObjectID="_1791376353" r:id="rId2807"/>
        </w:object>
      </w:r>
      <w:r w:rsidRPr="00005251">
        <w:rPr>
          <w:rFonts w:hint="cs"/>
          <w:i/>
          <w:sz w:val="23"/>
          <w:szCs w:val="23"/>
          <w:rtl/>
        </w:rPr>
        <w:t>، هزینه</w:t>
      </w:r>
      <w:r w:rsidRPr="00005251">
        <w:rPr>
          <w:i/>
          <w:sz w:val="23"/>
          <w:szCs w:val="23"/>
          <w:rtl/>
        </w:rPr>
        <w:softHyphen/>
      </w:r>
      <w:r w:rsidRPr="00005251">
        <w:rPr>
          <w:rFonts w:hint="cs"/>
          <w:i/>
          <w:sz w:val="23"/>
          <w:szCs w:val="23"/>
          <w:rtl/>
        </w:rPr>
        <w:t>بر است. اگر</w:t>
      </w:r>
      <w:r w:rsidRPr="00005251">
        <w:rPr>
          <w:position w:val="-10"/>
        </w:rPr>
        <w:object w:dxaOrig="620" w:dyaOrig="320" w14:anchorId="042D1A40">
          <v:shape id="_x0000_i2410" type="#_x0000_t75" style="width:30.85pt;height:16.35pt" o:ole="">
            <v:imagedata r:id="rId2808" o:title=""/>
          </v:shape>
          <o:OLEObject Type="Embed" ProgID="Equation.DSMT4" ShapeID="_x0000_i2410" DrawAspect="Content" ObjectID="_1791376354" r:id="rId2809"/>
        </w:object>
      </w:r>
      <w:r w:rsidRPr="00005251">
        <w:rPr>
          <w:rFonts w:hint="cs"/>
          <w:i/>
          <w:sz w:val="23"/>
          <w:szCs w:val="23"/>
          <w:rtl/>
        </w:rPr>
        <w:t xml:space="preserve"> باشد آنگاه تعداد شاغلین بدون تغییر باقی مانده ولی هزینه</w:t>
      </w:r>
      <w:r w:rsidRPr="00005251">
        <w:rPr>
          <w:i/>
          <w:sz w:val="23"/>
          <w:szCs w:val="23"/>
          <w:rtl/>
        </w:rPr>
        <w:softHyphen/>
      </w:r>
      <w:r w:rsidRPr="00005251">
        <w:rPr>
          <w:rFonts w:hint="cs"/>
          <w:i/>
          <w:sz w:val="23"/>
          <w:szCs w:val="23"/>
          <w:rtl/>
        </w:rPr>
        <w:t>های استخدام و اخراج بدلیل گردش مالی استخدام</w:t>
      </w:r>
      <w:r w:rsidRPr="00005251">
        <w:rPr>
          <w:rStyle w:val="FootnoteReference"/>
          <w:rFonts w:eastAsiaTheme="majorEastAsia"/>
          <w:i/>
          <w:sz w:val="23"/>
          <w:szCs w:val="23"/>
          <w:rtl/>
        </w:rPr>
        <w:footnoteReference w:id="131"/>
      </w:r>
      <w:r w:rsidRPr="00005251">
        <w:rPr>
          <w:rFonts w:hint="cs"/>
          <w:i/>
          <w:sz w:val="23"/>
          <w:szCs w:val="23"/>
          <w:rtl/>
        </w:rPr>
        <w:t xml:space="preserve"> </w:t>
      </w:r>
      <w:r w:rsidRPr="00005251">
        <w:rPr>
          <w:rFonts w:hint="cs"/>
          <w:i/>
          <w:sz w:val="23"/>
          <w:szCs w:val="23"/>
          <w:rtl/>
        </w:rPr>
        <w:lastRenderedPageBreak/>
        <w:t>در هر دوره وجود دارد. این هزینه در زمان رونق یا رکود متفاوت است. مثلاً در زمان رونق اقتصادی نیروی کار بیشتری جهت دسترسی به شغل بهتر دست از کار می‌کشند و لذا</w:t>
      </w:r>
      <w:r w:rsidRPr="00005251">
        <w:rPr>
          <w:position w:val="-10"/>
        </w:rPr>
        <w:object w:dxaOrig="260" w:dyaOrig="320" w14:anchorId="5154BA2D">
          <v:shape id="_x0000_i2411" type="#_x0000_t75" style="width:12.7pt;height:16.35pt" o:ole="">
            <v:imagedata r:id="rId2810" o:title=""/>
          </v:shape>
          <o:OLEObject Type="Embed" ProgID="Equation.DSMT4" ShapeID="_x0000_i2411" DrawAspect="Content" ObjectID="_1791376355" r:id="rId2811"/>
        </w:object>
      </w:r>
      <w:r w:rsidRPr="00005251">
        <w:rPr>
          <w:rFonts w:hint="cs"/>
          <w:i/>
          <w:sz w:val="23"/>
          <w:szCs w:val="23"/>
          <w:rtl/>
        </w:rPr>
        <w:t xml:space="preserve"> و</w:t>
      </w:r>
      <w:r w:rsidRPr="00005251">
        <w:rPr>
          <w:position w:val="-10"/>
        </w:rPr>
        <w:object w:dxaOrig="220" w:dyaOrig="320" w14:anchorId="3A7741A4">
          <v:shape id="_x0000_i2412" type="#_x0000_t75" style="width:10.9pt;height:16.35pt" o:ole="">
            <v:imagedata r:id="rId2812" o:title=""/>
          </v:shape>
          <o:OLEObject Type="Embed" ProgID="Equation.DSMT4" ShapeID="_x0000_i2412" DrawAspect="Content" ObjectID="_1791376356" r:id="rId2813"/>
        </w:object>
      </w:r>
      <w:r w:rsidRPr="00005251">
        <w:rPr>
          <w:rFonts w:hint="cs"/>
          <w:i/>
          <w:sz w:val="23"/>
          <w:szCs w:val="23"/>
          <w:rtl/>
        </w:rPr>
        <w:t xml:space="preserve"> افزایش می‌یابد. برای سادگی فرض می‌شود تغییرات</w:t>
      </w:r>
      <w:r w:rsidRPr="00005251">
        <w:rPr>
          <w:position w:val="-8"/>
        </w:rPr>
        <w:object w:dxaOrig="200" w:dyaOrig="240" w14:anchorId="0C1DFCA2">
          <v:shape id="_x0000_i2413" type="#_x0000_t75" style="width:10.3pt;height:11.5pt" o:ole="">
            <v:imagedata r:id="rId2814" o:title=""/>
          </v:shape>
          <o:OLEObject Type="Embed" ProgID="Equation.DSMT4" ShapeID="_x0000_i2413" DrawAspect="Content" ObjectID="_1791376357" r:id="rId2815"/>
        </w:object>
      </w:r>
      <w:r w:rsidRPr="00005251">
        <w:rPr>
          <w:rFonts w:hint="cs"/>
          <w:i/>
          <w:sz w:val="23"/>
          <w:szCs w:val="23"/>
          <w:rtl/>
        </w:rPr>
        <w:t xml:space="preserve"> و</w:t>
      </w:r>
      <w:r w:rsidRPr="00005251">
        <w:rPr>
          <w:position w:val="-6"/>
        </w:rPr>
        <w:object w:dxaOrig="180" w:dyaOrig="200" w14:anchorId="75719456">
          <v:shape id="_x0000_i2414" type="#_x0000_t75" style="width:9.1pt;height:10.3pt" o:ole="">
            <v:imagedata r:id="rId2816" o:title=""/>
          </v:shape>
          <o:OLEObject Type="Embed" ProgID="Equation.DSMT4" ShapeID="_x0000_i2414" DrawAspect="Content" ObjectID="_1791376358" r:id="rId2817"/>
        </w:object>
      </w:r>
      <w:r w:rsidRPr="00005251">
        <w:rPr>
          <w:rFonts w:hint="cs"/>
          <w:i/>
          <w:sz w:val="23"/>
          <w:szCs w:val="23"/>
          <w:rtl/>
        </w:rPr>
        <w:t xml:space="preserve"> هزینه دارد ولی گردش مالی استخدام در نظر گرفته نمی‌شود.</w:t>
      </w:r>
    </w:p>
    <w:p w14:paraId="0CC3D9E5" w14:textId="77777777" w:rsidR="00411620" w:rsidRPr="00005251" w:rsidRDefault="00411620" w:rsidP="00411620">
      <w:pPr>
        <w:tabs>
          <w:tab w:val="left" w:pos="-46"/>
          <w:tab w:val="left" w:pos="521"/>
        </w:tabs>
        <w:spacing w:line="216" w:lineRule="auto"/>
        <w:rPr>
          <w:i/>
          <w:sz w:val="23"/>
          <w:szCs w:val="23"/>
        </w:rPr>
      </w:pPr>
      <w:r w:rsidRPr="00005251">
        <w:rPr>
          <w:rFonts w:hint="cs"/>
          <w:i/>
          <w:sz w:val="23"/>
          <w:szCs w:val="23"/>
          <w:rtl/>
        </w:rPr>
        <w:t>فرض می‌شود بنگاه ارزش فعلی سود خود را حداکثر می‌کند و سود حقیقی و یا درآمد خالص بنگاه برابر است با</w:t>
      </w:r>
    </w:p>
    <w:p w14:paraId="508AE31C"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22"/>
        </w:rPr>
        <w:object w:dxaOrig="3480" w:dyaOrig="560" w14:anchorId="21549E01">
          <v:shape id="_x0000_i2415" type="#_x0000_t75" style="width:174.25pt;height:28.45pt" o:ole="">
            <v:imagedata r:id="rId2818" o:title=""/>
          </v:shape>
          <o:OLEObject Type="Embed" ProgID="Equation.DSMT4" ShapeID="_x0000_i2415" DrawAspect="Content" ObjectID="_1791376359" r:id="rId2819"/>
        </w:object>
      </w:r>
    </w:p>
    <w:p w14:paraId="7B37767F" w14:textId="77777777" w:rsidR="00411620" w:rsidRPr="00005251" w:rsidRDefault="00411620" w:rsidP="00411620">
      <w:pPr>
        <w:tabs>
          <w:tab w:val="left" w:pos="-46"/>
          <w:tab w:val="left" w:pos="521"/>
        </w:tabs>
        <w:spacing w:line="216" w:lineRule="auto"/>
        <w:rPr>
          <w:i/>
          <w:sz w:val="23"/>
          <w:szCs w:val="23"/>
          <w:rtl/>
        </w:rPr>
      </w:pPr>
      <w:r w:rsidRPr="00005251">
        <w:rPr>
          <w:rFonts w:hint="cs"/>
          <w:i/>
          <w:noProof/>
          <w:sz w:val="23"/>
          <w:szCs w:val="23"/>
          <w:rtl/>
        </w:rPr>
        <w:t>آخرین</w:t>
      </w:r>
      <w:r w:rsidRPr="00005251">
        <w:rPr>
          <w:i/>
          <w:noProof/>
          <w:sz w:val="23"/>
          <w:szCs w:val="23"/>
          <w:rtl/>
        </w:rPr>
        <w:t xml:space="preserve"> </w:t>
      </w:r>
      <w:r w:rsidRPr="00005251">
        <w:rPr>
          <w:rFonts w:hint="cs"/>
          <w:i/>
          <w:noProof/>
          <w:sz w:val="23"/>
          <w:szCs w:val="23"/>
          <w:rtl/>
        </w:rPr>
        <w:t>جمله</w:t>
      </w:r>
      <w:r w:rsidRPr="00005251">
        <w:rPr>
          <w:i/>
          <w:noProof/>
          <w:sz w:val="23"/>
          <w:szCs w:val="23"/>
          <w:rtl/>
        </w:rPr>
        <w:softHyphen/>
      </w:r>
      <w:r w:rsidRPr="00005251">
        <w:rPr>
          <w:rFonts w:hint="cs"/>
          <w:i/>
          <w:noProof/>
          <w:sz w:val="23"/>
          <w:szCs w:val="23"/>
          <w:rtl/>
        </w:rPr>
        <w:t>ی</w:t>
      </w:r>
      <w:r w:rsidRPr="00005251">
        <w:rPr>
          <w:i/>
          <w:noProof/>
          <w:sz w:val="23"/>
          <w:szCs w:val="23"/>
          <w:rtl/>
        </w:rPr>
        <w:t xml:space="preserve"> </w:t>
      </w:r>
      <w:r w:rsidRPr="00005251">
        <w:rPr>
          <w:rFonts w:hint="cs"/>
          <w:i/>
          <w:noProof/>
          <w:sz w:val="23"/>
          <w:szCs w:val="23"/>
          <w:rtl/>
        </w:rPr>
        <w:t>رابطه</w:t>
      </w:r>
      <w:r w:rsidRPr="00005251">
        <w:rPr>
          <w:i/>
          <w:noProof/>
          <w:sz w:val="23"/>
          <w:szCs w:val="23"/>
          <w:rtl/>
        </w:rPr>
        <w:softHyphen/>
      </w:r>
      <w:r w:rsidRPr="00005251">
        <w:rPr>
          <w:rFonts w:hint="cs"/>
          <w:i/>
          <w:noProof/>
          <w:sz w:val="23"/>
          <w:szCs w:val="23"/>
          <w:rtl/>
        </w:rPr>
        <w:t>ی فوق منعکس</w:t>
      </w:r>
      <w:r w:rsidRPr="00005251">
        <w:rPr>
          <w:i/>
          <w:noProof/>
          <w:sz w:val="23"/>
          <w:szCs w:val="23"/>
          <w:rtl/>
        </w:rPr>
        <w:t xml:space="preserve"> </w:t>
      </w:r>
      <w:r w:rsidRPr="00005251">
        <w:rPr>
          <w:rFonts w:hint="cs"/>
          <w:i/>
          <w:noProof/>
          <w:sz w:val="23"/>
          <w:szCs w:val="23"/>
          <w:rtl/>
        </w:rPr>
        <w:t>کننده</w:t>
      </w:r>
      <w:r w:rsidRPr="00005251">
        <w:rPr>
          <w:i/>
          <w:noProof/>
          <w:sz w:val="23"/>
          <w:szCs w:val="23"/>
        </w:rPr>
        <w:softHyphen/>
      </w:r>
      <w:r w:rsidRPr="00005251">
        <w:rPr>
          <w:rFonts w:hint="cs"/>
          <w:i/>
          <w:noProof/>
          <w:sz w:val="23"/>
          <w:szCs w:val="23"/>
          <w:rtl/>
        </w:rPr>
        <w:t>ی</w:t>
      </w:r>
      <w:r w:rsidRPr="00005251">
        <w:rPr>
          <w:i/>
          <w:noProof/>
          <w:sz w:val="23"/>
          <w:szCs w:val="23"/>
          <w:rtl/>
        </w:rPr>
        <w:t xml:space="preserve"> </w:t>
      </w:r>
      <w:r w:rsidRPr="00005251">
        <w:rPr>
          <w:rFonts w:hint="cs"/>
          <w:i/>
          <w:noProof/>
          <w:sz w:val="23"/>
          <w:szCs w:val="23"/>
          <w:rtl/>
        </w:rPr>
        <w:t>هزینه</w:t>
      </w:r>
      <w:r w:rsidRPr="00005251">
        <w:rPr>
          <w:i/>
          <w:noProof/>
          <w:sz w:val="23"/>
          <w:szCs w:val="23"/>
          <w:rtl/>
        </w:rPr>
        <w:softHyphen/>
      </w:r>
      <w:r w:rsidRPr="00005251">
        <w:rPr>
          <w:rFonts w:hint="cs"/>
          <w:i/>
          <w:noProof/>
          <w:sz w:val="23"/>
          <w:szCs w:val="23"/>
          <w:rtl/>
        </w:rPr>
        <w:t>های</w:t>
      </w:r>
      <w:r w:rsidRPr="00005251">
        <w:rPr>
          <w:i/>
          <w:noProof/>
          <w:sz w:val="23"/>
          <w:szCs w:val="23"/>
          <w:rtl/>
        </w:rPr>
        <w:t xml:space="preserve"> </w:t>
      </w:r>
      <w:r w:rsidRPr="00005251">
        <w:rPr>
          <w:rFonts w:hint="cs"/>
          <w:i/>
          <w:noProof/>
          <w:sz w:val="23"/>
          <w:szCs w:val="23"/>
          <w:rtl/>
        </w:rPr>
        <w:t>استخدام</w:t>
      </w:r>
      <w:r w:rsidRPr="00005251">
        <w:rPr>
          <w:i/>
          <w:noProof/>
          <w:sz w:val="23"/>
          <w:szCs w:val="23"/>
          <w:rtl/>
        </w:rPr>
        <w:t xml:space="preserve"> </w:t>
      </w:r>
      <w:r w:rsidRPr="00005251">
        <w:rPr>
          <w:rFonts w:hint="cs"/>
          <w:i/>
          <w:noProof/>
          <w:sz w:val="23"/>
          <w:szCs w:val="23"/>
          <w:rtl/>
        </w:rPr>
        <w:t>و</w:t>
      </w:r>
      <w:r w:rsidRPr="00005251">
        <w:rPr>
          <w:i/>
          <w:noProof/>
          <w:sz w:val="23"/>
          <w:szCs w:val="23"/>
          <w:rtl/>
        </w:rPr>
        <w:t xml:space="preserve"> </w:t>
      </w:r>
      <w:r w:rsidRPr="00005251">
        <w:rPr>
          <w:rFonts w:hint="cs"/>
          <w:i/>
          <w:noProof/>
          <w:sz w:val="23"/>
          <w:szCs w:val="23"/>
          <w:rtl/>
        </w:rPr>
        <w:t>اخراج</w:t>
      </w:r>
      <w:r w:rsidRPr="00005251">
        <w:rPr>
          <w:i/>
          <w:noProof/>
          <w:sz w:val="23"/>
          <w:szCs w:val="23"/>
          <w:rtl/>
        </w:rPr>
        <w:t xml:space="preserve"> </w:t>
      </w:r>
      <w:r w:rsidRPr="00005251">
        <w:rPr>
          <w:rFonts w:hint="cs"/>
          <w:i/>
          <w:noProof/>
          <w:sz w:val="23"/>
          <w:szCs w:val="23"/>
          <w:rtl/>
        </w:rPr>
        <w:t>در</w:t>
      </w:r>
      <w:r w:rsidRPr="00005251">
        <w:rPr>
          <w:i/>
          <w:noProof/>
          <w:sz w:val="23"/>
          <w:szCs w:val="23"/>
          <w:rtl/>
        </w:rPr>
        <w:t xml:space="preserve"> </w:t>
      </w:r>
      <w:r w:rsidRPr="00005251">
        <w:rPr>
          <w:rFonts w:hint="cs"/>
          <w:i/>
          <w:noProof/>
          <w:sz w:val="23"/>
          <w:szCs w:val="23"/>
          <w:rtl/>
        </w:rPr>
        <w:t>زمان</w:t>
      </w:r>
      <w:r w:rsidRPr="00005251">
        <w:rPr>
          <w:position w:val="-6"/>
        </w:rPr>
        <w:object w:dxaOrig="139" w:dyaOrig="240" w14:anchorId="463E6275">
          <v:shape id="_x0000_i2416" type="#_x0000_t75" style="width:6.65pt;height:11.5pt" o:ole="">
            <v:imagedata r:id="rId2820" o:title=""/>
          </v:shape>
          <o:OLEObject Type="Embed" ProgID="Equation.DSMT4" ShapeID="_x0000_i2416" DrawAspect="Content" ObjectID="_1791376360" r:id="rId2821"/>
        </w:object>
      </w:r>
      <w:r w:rsidRPr="00005251">
        <w:rPr>
          <w:rFonts w:hint="cs"/>
          <w:i/>
          <w:noProof/>
          <w:sz w:val="23"/>
          <w:szCs w:val="23"/>
          <w:rtl/>
        </w:rPr>
        <w:t xml:space="preserve"> است</w:t>
      </w:r>
      <w:r w:rsidRPr="00005251">
        <w:rPr>
          <w:i/>
          <w:noProof/>
          <w:sz w:val="23"/>
          <w:szCs w:val="23"/>
          <w:rtl/>
        </w:rPr>
        <w:t xml:space="preserve">. </w:t>
      </w:r>
      <w:r w:rsidRPr="00005251">
        <w:rPr>
          <w:rFonts w:hint="cs"/>
          <w:i/>
          <w:sz w:val="23"/>
          <w:szCs w:val="23"/>
          <w:rtl/>
        </w:rPr>
        <w:t>اگر در شرایط رونق و رکود اقتصادی بدلیل گردش مالیِ استخدام این هزینه تغییر کند، آنگاه</w:t>
      </w:r>
      <w:r w:rsidRPr="00005251">
        <w:rPr>
          <w:position w:val="-6"/>
        </w:rPr>
        <w:object w:dxaOrig="220" w:dyaOrig="260" w14:anchorId="6253F107">
          <v:shape id="_x0000_i2417" type="#_x0000_t75" style="width:10.9pt;height:12.7pt" o:ole="">
            <v:imagedata r:id="rId2822" o:title=""/>
          </v:shape>
          <o:OLEObject Type="Embed" ProgID="Equation.DSMT4" ShapeID="_x0000_i2417" DrawAspect="Content" ObjectID="_1791376361" r:id="rId2823"/>
        </w:object>
      </w:r>
      <w:r w:rsidRPr="00005251">
        <w:rPr>
          <w:rFonts w:hint="cs"/>
          <w:i/>
          <w:sz w:val="23"/>
          <w:szCs w:val="23"/>
          <w:rtl/>
        </w:rPr>
        <w:t xml:space="preserve"> تابعی از زمان خواهد بود. برای سهولت و سادگی بحث همان</w:t>
      </w:r>
      <w:r w:rsidRPr="00005251">
        <w:rPr>
          <w:i/>
          <w:sz w:val="23"/>
          <w:szCs w:val="23"/>
          <w:rtl/>
        </w:rPr>
        <w:softHyphen/>
      </w:r>
      <w:r w:rsidRPr="00005251">
        <w:rPr>
          <w:rFonts w:hint="cs"/>
          <w:i/>
          <w:sz w:val="23"/>
          <w:szCs w:val="23"/>
          <w:rtl/>
        </w:rPr>
        <w:t>گونه که اشاره شد در اینجا فرض می‌شود که</w:t>
      </w:r>
      <w:r w:rsidRPr="00005251">
        <w:rPr>
          <w:position w:val="-6"/>
        </w:rPr>
        <w:object w:dxaOrig="200" w:dyaOrig="260" w14:anchorId="4952812B">
          <v:shape id="_x0000_i2418" type="#_x0000_t75" style="width:10.3pt;height:12.7pt" o:ole="">
            <v:imagedata r:id="rId2824" o:title=""/>
          </v:shape>
          <o:OLEObject Type="Embed" ProgID="Equation.DSMT4" ShapeID="_x0000_i2418" DrawAspect="Content" ObjectID="_1791376362" r:id="rId2825"/>
        </w:object>
      </w:r>
      <w:r w:rsidRPr="00005251">
        <w:rPr>
          <w:rFonts w:eastAsiaTheme="minorEastAsia" w:hint="cs"/>
          <w:i/>
          <w:sz w:val="23"/>
          <w:szCs w:val="23"/>
          <w:rtl/>
        </w:rPr>
        <w:t xml:space="preserve"> ثابت است</w:t>
      </w:r>
      <w:r w:rsidRPr="00005251">
        <w:rPr>
          <w:rFonts w:hint="cs"/>
          <w:i/>
          <w:sz w:val="23"/>
          <w:szCs w:val="23"/>
          <w:rtl/>
        </w:rPr>
        <w:t>. با حداکثر کردن</w:t>
      </w:r>
      <w:r w:rsidRPr="00005251">
        <w:rPr>
          <w:position w:val="-10"/>
        </w:rPr>
        <w:object w:dxaOrig="260" w:dyaOrig="320" w14:anchorId="7D323079">
          <v:shape id="_x0000_i2419" type="#_x0000_t75" style="width:12.7pt;height:16.35pt" o:ole="">
            <v:imagedata r:id="rId2826" o:title=""/>
          </v:shape>
          <o:OLEObject Type="Embed" ProgID="Equation.DSMT4" ShapeID="_x0000_i2419" DrawAspect="Content" ObjectID="_1791376363" r:id="rId2827"/>
        </w:object>
      </w:r>
      <w:r w:rsidRPr="00005251">
        <w:rPr>
          <w:rFonts w:hint="cs"/>
          <w:i/>
          <w:sz w:val="23"/>
          <w:szCs w:val="23"/>
          <w:rtl/>
        </w:rPr>
        <w:t xml:space="preserve"> یا</w:t>
      </w:r>
    </w:p>
    <w:p w14:paraId="19C9D15D" w14:textId="77777777" w:rsidR="00411620" w:rsidRPr="00005251" w:rsidRDefault="00411620" w:rsidP="00411620">
      <w:pPr>
        <w:pStyle w:val="MTDisplayEquation"/>
        <w:spacing w:line="216" w:lineRule="auto"/>
        <w:rPr>
          <w:rFonts w:ascii="Times New Roman" w:hAnsi="Times New Roman" w:cs="B Nazanin"/>
          <w:i/>
          <w:sz w:val="23"/>
          <w:szCs w:val="23"/>
          <w:rtl/>
        </w:rPr>
      </w:pPr>
      <w:r w:rsidRPr="00005251">
        <w:rPr>
          <w:position w:val="-34"/>
        </w:rPr>
        <w:object w:dxaOrig="4959" w:dyaOrig="920" w14:anchorId="097A9AB4">
          <v:shape id="_x0000_i2420" type="#_x0000_t75" style="width:248.05pt;height:46pt" o:ole="">
            <v:imagedata r:id="rId2828" o:title=""/>
          </v:shape>
          <o:OLEObject Type="Embed" ProgID="Equation.DSMT4" ShapeID="_x0000_i2420" DrawAspect="Content" ObjectID="_1791376364" r:id="rId2829"/>
        </w:object>
      </w:r>
    </w:p>
    <w:p w14:paraId="6E718D90" w14:textId="77777777" w:rsidR="00411620" w:rsidRPr="00005251" w:rsidRDefault="00411620" w:rsidP="00411620">
      <w:pPr>
        <w:tabs>
          <w:tab w:val="left" w:pos="-46"/>
          <w:tab w:val="left" w:pos="521"/>
        </w:tabs>
        <w:spacing w:line="216" w:lineRule="auto"/>
        <w:rPr>
          <w:i/>
          <w:sz w:val="23"/>
          <w:szCs w:val="23"/>
          <w:rtl/>
        </w:rPr>
      </w:pPr>
      <w:r w:rsidRPr="00005251">
        <w:rPr>
          <w:rFonts w:hint="cs"/>
          <w:i/>
          <w:sz w:val="23"/>
          <w:szCs w:val="23"/>
          <w:rtl/>
        </w:rPr>
        <w:t>شرایط مرتبه</w:t>
      </w:r>
      <w:r w:rsidRPr="00005251">
        <w:rPr>
          <w:i/>
          <w:sz w:val="23"/>
          <w:szCs w:val="23"/>
          <w:rtl/>
        </w:rPr>
        <w:softHyphen/>
      </w:r>
      <w:r w:rsidRPr="00005251">
        <w:rPr>
          <w:rFonts w:hint="cs"/>
          <w:i/>
          <w:sz w:val="23"/>
          <w:szCs w:val="23"/>
          <w:rtl/>
        </w:rPr>
        <w:t xml:space="preserve"> اول بر حسب </w:t>
      </w:r>
      <w:r w:rsidRPr="00005251">
        <w:rPr>
          <w:position w:val="-10"/>
        </w:rPr>
        <w:object w:dxaOrig="380" w:dyaOrig="320" w14:anchorId="3F8DB1E6">
          <v:shape id="_x0000_i2421" type="#_x0000_t75" style="width:18.75pt;height:16.35pt" o:ole="">
            <v:imagedata r:id="rId2830" o:title=""/>
          </v:shape>
          <o:OLEObject Type="Embed" ProgID="Equation.DSMT4" ShapeID="_x0000_i2421" DrawAspect="Content" ObjectID="_1791376365" r:id="rId2831"/>
        </w:object>
      </w:r>
      <w:r w:rsidRPr="00005251">
        <w:rPr>
          <w:rFonts w:hint="cs"/>
          <w:sz w:val="23"/>
          <w:szCs w:val="23"/>
          <w:rtl/>
        </w:rPr>
        <w:t xml:space="preserve"> و</w:t>
      </w:r>
      <w:r w:rsidRPr="00005251">
        <w:rPr>
          <w:position w:val="-10"/>
        </w:rPr>
        <w:object w:dxaOrig="380" w:dyaOrig="320" w14:anchorId="39EE9B79">
          <v:shape id="_x0000_i2422" type="#_x0000_t75" style="width:18.75pt;height:16.35pt" o:ole="">
            <v:imagedata r:id="rId2832" o:title=""/>
          </v:shape>
          <o:OLEObject Type="Embed" ProgID="Equation.DSMT4" ShapeID="_x0000_i2422" DrawAspect="Content" ObjectID="_1791376366" r:id="rId2833"/>
        </w:object>
      </w:r>
      <w:r w:rsidRPr="00005251">
        <w:rPr>
          <w:rFonts w:hint="cs"/>
          <w:i/>
          <w:sz w:val="23"/>
          <w:szCs w:val="23"/>
          <w:rtl/>
        </w:rPr>
        <w:t xml:space="preserve"> برای</w:t>
      </w:r>
      <w:r w:rsidRPr="00005251">
        <w:rPr>
          <w:i/>
          <w:sz w:val="23"/>
          <w:szCs w:val="23"/>
        </w:rPr>
        <w:t xml:space="preserve"> </w:t>
      </w:r>
      <w:r w:rsidRPr="00005251">
        <w:rPr>
          <w:rFonts w:hint="cs"/>
          <w:i/>
          <w:sz w:val="23"/>
          <w:szCs w:val="23"/>
          <w:rtl/>
        </w:rPr>
        <w:t>هر</w:t>
      </w:r>
      <w:r w:rsidRPr="00005251">
        <w:rPr>
          <w:position w:val="-6"/>
        </w:rPr>
        <w:object w:dxaOrig="499" w:dyaOrig="260" w14:anchorId="11CF3F69">
          <v:shape id="_x0000_i2423" type="#_x0000_t75" style="width:24.8pt;height:12.7pt" o:ole="">
            <v:imagedata r:id="rId2834" o:title=""/>
          </v:shape>
          <o:OLEObject Type="Embed" ProgID="Equation.DSMT4" ShapeID="_x0000_i2423" DrawAspect="Content" ObjectID="_1791376367" r:id="rId2835"/>
        </w:object>
      </w:r>
      <w:r w:rsidRPr="00005251">
        <w:rPr>
          <w:rFonts w:hint="cs"/>
          <w:i/>
          <w:sz w:val="23"/>
          <w:szCs w:val="23"/>
          <w:rtl/>
        </w:rPr>
        <w:t xml:space="preserve"> عبارت است از:</w:t>
      </w:r>
    </w:p>
    <w:p w14:paraId="1550B0AC"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34"/>
        </w:rPr>
        <w:object w:dxaOrig="2460" w:dyaOrig="720" w14:anchorId="56C05970">
          <v:shape id="_x0000_i2424" type="#_x0000_t75" style="width:122.8pt;height:36.3pt" o:ole="">
            <v:imagedata r:id="rId2836" o:title=""/>
          </v:shape>
          <o:OLEObject Type="Embed" ProgID="Equation.DSMT4" ShapeID="_x0000_i2424" DrawAspect="Content" ObjectID="_1791376368" r:id="rId2837"/>
        </w:object>
      </w:r>
      <w:r w:rsidRPr="00025957">
        <w:rPr>
          <w:position w:val="-4"/>
        </w:rPr>
        <w:object w:dxaOrig="180" w:dyaOrig="260" w14:anchorId="2C3403AB">
          <v:shape id="_x0000_i2425" type="#_x0000_t75" style="width:9.1pt;height:12.7pt" o:ole="">
            <v:imagedata r:id="rId1079" o:title=""/>
          </v:shape>
          <o:OLEObject Type="Embed" ProgID="Equation.DSMT4" ShapeID="_x0000_i2425" DrawAspect="Content" ObjectID="_1791376369" r:id="rId2838"/>
        </w:object>
      </w:r>
    </w:p>
    <w:p w14:paraId="53966490"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34"/>
        </w:rPr>
        <w:object w:dxaOrig="4200" w:dyaOrig="720" w14:anchorId="627D72C3">
          <v:shape id="_x0000_i2426" type="#_x0000_t75" style="width:209.95pt;height:36.3pt" o:ole="">
            <v:imagedata r:id="rId2839" o:title=""/>
          </v:shape>
          <o:OLEObject Type="Embed" ProgID="Equation.DSMT4" ShapeID="_x0000_i2426" DrawAspect="Content" ObjectID="_1791376370" r:id="rId2840"/>
        </w:object>
      </w:r>
    </w:p>
    <w:p w14:paraId="4B9CDD5A" w14:textId="77777777" w:rsidR="00411620" w:rsidRPr="00005251" w:rsidRDefault="00411620" w:rsidP="00411620">
      <w:pPr>
        <w:spacing w:line="216" w:lineRule="auto"/>
        <w:rPr>
          <w:i/>
          <w:noProof/>
          <w:sz w:val="23"/>
          <w:szCs w:val="23"/>
        </w:rPr>
      </w:pPr>
      <w:r w:rsidRPr="00005251">
        <w:rPr>
          <w:rFonts w:hint="cs"/>
          <w:i/>
          <w:noProof/>
          <w:sz w:val="23"/>
          <w:szCs w:val="23"/>
          <w:rtl/>
        </w:rPr>
        <w:t>از</w:t>
      </w:r>
      <w:r w:rsidRPr="00005251">
        <w:rPr>
          <w:i/>
          <w:noProof/>
          <w:sz w:val="23"/>
          <w:szCs w:val="23"/>
          <w:rtl/>
        </w:rPr>
        <w:t xml:space="preserve"> </w:t>
      </w:r>
      <w:r w:rsidRPr="00005251">
        <w:rPr>
          <w:rFonts w:hint="cs"/>
          <w:i/>
          <w:noProof/>
          <w:sz w:val="23"/>
          <w:szCs w:val="23"/>
          <w:rtl/>
        </w:rPr>
        <w:t>دومین رابطه از شرایط</w:t>
      </w:r>
      <w:r w:rsidRPr="00005251">
        <w:rPr>
          <w:i/>
          <w:noProof/>
          <w:sz w:val="23"/>
          <w:szCs w:val="23"/>
          <w:rtl/>
        </w:rPr>
        <w:t xml:space="preserve"> </w:t>
      </w:r>
      <w:r w:rsidRPr="00005251">
        <w:rPr>
          <w:rFonts w:hint="cs"/>
          <w:i/>
          <w:noProof/>
          <w:sz w:val="23"/>
          <w:szCs w:val="23"/>
          <w:rtl/>
        </w:rPr>
        <w:t>مرتبه</w:t>
      </w:r>
      <w:r w:rsidRPr="00005251">
        <w:rPr>
          <w:i/>
          <w:noProof/>
          <w:sz w:val="23"/>
          <w:szCs w:val="23"/>
          <w:rtl/>
        </w:rPr>
        <w:softHyphen/>
      </w:r>
      <w:r w:rsidRPr="00005251">
        <w:rPr>
          <w:rFonts w:hint="cs"/>
          <w:i/>
          <w:noProof/>
          <w:sz w:val="23"/>
          <w:szCs w:val="23"/>
          <w:rtl/>
        </w:rPr>
        <w:t xml:space="preserve">ی اول فوق و برای </w:t>
      </w:r>
      <w:r w:rsidRPr="00005251">
        <w:rPr>
          <w:position w:val="-6"/>
        </w:rPr>
        <w:object w:dxaOrig="499" w:dyaOrig="260" w14:anchorId="01A89329">
          <v:shape id="_x0000_i2427" type="#_x0000_t75" style="width:24.8pt;height:12.7pt" o:ole="">
            <v:imagedata r:id="rId2841" o:title=""/>
          </v:shape>
          <o:OLEObject Type="Embed" ProgID="Equation.DSMT4" ShapeID="_x0000_i2427" DrawAspect="Content" ObjectID="_1791376371" r:id="rId2842"/>
        </w:object>
      </w:r>
      <w:r w:rsidRPr="00005251">
        <w:rPr>
          <w:rFonts w:hint="cs"/>
          <w:i/>
          <w:noProof/>
          <w:sz w:val="23"/>
          <w:szCs w:val="23"/>
          <w:rtl/>
        </w:rPr>
        <w:t xml:space="preserve"> داریم، </w:t>
      </w:r>
    </w:p>
    <w:p w14:paraId="5BE494E5" w14:textId="77777777" w:rsidR="00411620" w:rsidRPr="00005251" w:rsidRDefault="00411620" w:rsidP="00411620">
      <w:pPr>
        <w:pStyle w:val="MTDisplayEquation"/>
        <w:tabs>
          <w:tab w:val="clear" w:pos="6660"/>
        </w:tabs>
        <w:spacing w:line="216" w:lineRule="auto"/>
        <w:rPr>
          <w:rFonts w:ascii="Times New Roman" w:hAnsi="Times New Roman" w:cs="B Nazanin"/>
          <w:i/>
          <w:noProof/>
          <w:sz w:val="23"/>
          <w:szCs w:val="23"/>
          <w:rtl/>
        </w:rPr>
      </w:pPr>
      <w:r w:rsidRPr="00005251">
        <w:rPr>
          <w:position w:val="-28"/>
        </w:rPr>
        <w:object w:dxaOrig="880" w:dyaOrig="639" w14:anchorId="3B224A16">
          <v:shape id="_x0000_i2428" type="#_x0000_t75" style="width:43.55pt;height:32.05pt" o:ole="">
            <v:imagedata r:id="rId2843" o:title=""/>
          </v:shape>
          <o:OLEObject Type="Embed" ProgID="Equation.DSMT4" ShapeID="_x0000_i2428" DrawAspect="Content" ObjectID="_1791376372" r:id="rId2844"/>
        </w:object>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Pr>
          <w:rFonts w:ascii="Times New Roman" w:hAnsi="Times New Roman"/>
          <w:i/>
          <w:sz w:val="23"/>
          <w:szCs w:val="23"/>
          <w:rtl/>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cs="B Nazanin"/>
          <w:i/>
          <w:sz w:val="23"/>
          <w:szCs w:val="23"/>
        </w:rPr>
        <w:tab/>
      </w:r>
      <w:r w:rsidRPr="00005251">
        <w:rPr>
          <w:rFonts w:ascii="Times New Roman" w:hAnsi="Times New Roman" w:cs="B Nazanin" w:hint="cs"/>
          <w:i/>
          <w:sz w:val="23"/>
          <w:szCs w:val="23"/>
          <w:rtl/>
        </w:rPr>
        <w:t>(۴. ۳۲)</w:t>
      </w:r>
    </w:p>
    <w:p w14:paraId="6B30EECE" w14:textId="77777777" w:rsidR="00411620" w:rsidRPr="00005251" w:rsidRDefault="00411620" w:rsidP="00411620">
      <w:pPr>
        <w:spacing w:line="216" w:lineRule="auto"/>
        <w:rPr>
          <w:i/>
          <w:noProof/>
          <w:sz w:val="23"/>
          <w:szCs w:val="23"/>
          <w:rtl/>
        </w:rPr>
      </w:pPr>
      <w:r w:rsidRPr="00005251">
        <w:rPr>
          <w:rFonts w:eastAsiaTheme="minorEastAsia" w:hint="cs"/>
          <w:i/>
          <w:sz w:val="23"/>
          <w:szCs w:val="23"/>
          <w:rtl/>
        </w:rPr>
        <w:t xml:space="preserve">یعنی تولید نهایی هر ساعت اضافه کار به ازای هر نیروی کار برابر است با دستمزد ساعتی نهایی. </w:t>
      </w:r>
      <w:r w:rsidRPr="00005251">
        <w:rPr>
          <w:rFonts w:hint="cs"/>
          <w:i/>
          <w:noProof/>
          <w:sz w:val="23"/>
          <w:szCs w:val="23"/>
          <w:rtl/>
        </w:rPr>
        <w:t>توجه</w:t>
      </w:r>
      <w:r w:rsidRPr="00005251">
        <w:rPr>
          <w:i/>
          <w:noProof/>
          <w:sz w:val="23"/>
          <w:szCs w:val="23"/>
          <w:rtl/>
        </w:rPr>
        <w:t xml:space="preserve"> </w:t>
      </w:r>
      <w:r w:rsidRPr="00005251">
        <w:rPr>
          <w:rFonts w:hint="cs"/>
          <w:i/>
          <w:noProof/>
          <w:sz w:val="23"/>
          <w:szCs w:val="23"/>
          <w:rtl/>
        </w:rPr>
        <w:t>داشته</w:t>
      </w:r>
      <w:r w:rsidRPr="00005251">
        <w:rPr>
          <w:i/>
          <w:noProof/>
          <w:sz w:val="23"/>
          <w:szCs w:val="23"/>
          <w:rtl/>
        </w:rPr>
        <w:t xml:space="preserve"> </w:t>
      </w:r>
      <w:r w:rsidRPr="00005251">
        <w:rPr>
          <w:rFonts w:hint="cs"/>
          <w:i/>
          <w:noProof/>
          <w:sz w:val="23"/>
          <w:szCs w:val="23"/>
          <w:rtl/>
        </w:rPr>
        <w:t>باشید</w:t>
      </w:r>
      <w:r w:rsidRPr="00005251">
        <w:rPr>
          <w:i/>
          <w:noProof/>
          <w:sz w:val="23"/>
          <w:szCs w:val="23"/>
          <w:rtl/>
        </w:rPr>
        <w:t xml:space="preserve"> </w:t>
      </w:r>
      <w:r w:rsidRPr="00005251">
        <w:rPr>
          <w:rFonts w:hint="cs"/>
          <w:i/>
          <w:noProof/>
          <w:sz w:val="23"/>
          <w:szCs w:val="23"/>
          <w:rtl/>
        </w:rPr>
        <w:t>که</w:t>
      </w:r>
      <w:r w:rsidRPr="00005251">
        <w:rPr>
          <w:i/>
          <w:noProof/>
          <w:sz w:val="23"/>
          <w:szCs w:val="23"/>
          <w:rtl/>
        </w:rPr>
        <w:t xml:space="preserve"> </w:t>
      </w:r>
      <w:r w:rsidRPr="00005251">
        <w:rPr>
          <w:rFonts w:hint="cs"/>
          <w:i/>
          <w:noProof/>
          <w:sz w:val="23"/>
          <w:szCs w:val="23"/>
          <w:rtl/>
        </w:rPr>
        <w:t>تعدیل</w:t>
      </w:r>
      <w:r w:rsidRPr="00005251">
        <w:rPr>
          <w:i/>
          <w:noProof/>
          <w:sz w:val="23"/>
          <w:szCs w:val="23"/>
          <w:rtl/>
        </w:rPr>
        <w:t xml:space="preserve"> </w:t>
      </w:r>
      <w:r w:rsidRPr="00005251">
        <w:rPr>
          <w:rFonts w:hint="cs"/>
          <w:i/>
          <w:noProof/>
          <w:sz w:val="23"/>
          <w:szCs w:val="23"/>
          <w:rtl/>
        </w:rPr>
        <w:t>در</w:t>
      </w:r>
      <w:r w:rsidRPr="00005251">
        <w:rPr>
          <w:i/>
          <w:noProof/>
          <w:sz w:val="23"/>
          <w:szCs w:val="23"/>
          <w:rtl/>
        </w:rPr>
        <w:t xml:space="preserve"> </w:t>
      </w:r>
      <w:r w:rsidRPr="00005251">
        <w:rPr>
          <w:rFonts w:hint="cs"/>
          <w:i/>
          <w:noProof/>
          <w:sz w:val="23"/>
          <w:szCs w:val="23"/>
          <w:rtl/>
        </w:rPr>
        <w:t>معادله</w:t>
      </w:r>
      <w:r w:rsidRPr="00005251">
        <w:rPr>
          <w:i/>
          <w:noProof/>
          <w:sz w:val="23"/>
          <w:szCs w:val="23"/>
          <w:rtl/>
        </w:rPr>
        <w:t xml:space="preserve"> </w:t>
      </w:r>
      <w:r w:rsidRPr="00005251">
        <w:rPr>
          <w:rFonts w:hint="cs"/>
          <w:i/>
          <w:sz w:val="23"/>
          <w:szCs w:val="23"/>
          <w:rtl/>
        </w:rPr>
        <w:t>(۴. ۳۲)</w:t>
      </w:r>
      <w:r w:rsidRPr="00005251">
        <w:rPr>
          <w:i/>
          <w:noProof/>
          <w:sz w:val="23"/>
          <w:szCs w:val="23"/>
          <w:rtl/>
        </w:rPr>
        <w:t xml:space="preserve"> </w:t>
      </w:r>
      <w:r w:rsidRPr="00005251">
        <w:rPr>
          <w:rFonts w:hint="cs"/>
          <w:i/>
          <w:noProof/>
          <w:sz w:val="23"/>
          <w:szCs w:val="23"/>
          <w:rtl/>
        </w:rPr>
        <w:t>آنی است</w:t>
      </w:r>
      <w:r w:rsidRPr="00005251">
        <w:rPr>
          <w:i/>
          <w:noProof/>
          <w:sz w:val="23"/>
          <w:szCs w:val="23"/>
          <w:rtl/>
        </w:rPr>
        <w:t xml:space="preserve">. </w:t>
      </w:r>
      <w:r w:rsidRPr="00005251">
        <w:rPr>
          <w:rFonts w:hint="cs"/>
          <w:i/>
          <w:noProof/>
          <w:sz w:val="23"/>
          <w:szCs w:val="23"/>
          <w:rtl/>
        </w:rPr>
        <w:t>با</w:t>
      </w:r>
      <w:r w:rsidRPr="00005251">
        <w:rPr>
          <w:i/>
          <w:noProof/>
          <w:sz w:val="23"/>
          <w:szCs w:val="23"/>
          <w:rtl/>
        </w:rPr>
        <w:t xml:space="preserve"> </w:t>
      </w:r>
      <w:r w:rsidRPr="00005251">
        <w:rPr>
          <w:rFonts w:hint="cs"/>
          <w:i/>
          <w:noProof/>
          <w:sz w:val="23"/>
          <w:szCs w:val="23"/>
          <w:rtl/>
        </w:rPr>
        <w:t>توجه</w:t>
      </w:r>
      <w:r w:rsidRPr="00005251">
        <w:rPr>
          <w:i/>
          <w:noProof/>
          <w:sz w:val="23"/>
          <w:szCs w:val="23"/>
          <w:rtl/>
        </w:rPr>
        <w:t xml:space="preserve"> </w:t>
      </w:r>
      <w:r w:rsidRPr="00005251">
        <w:rPr>
          <w:rFonts w:hint="cs"/>
          <w:i/>
          <w:noProof/>
          <w:sz w:val="23"/>
          <w:szCs w:val="23"/>
          <w:rtl/>
        </w:rPr>
        <w:t>به</w:t>
      </w:r>
      <w:r w:rsidRPr="00005251">
        <w:rPr>
          <w:i/>
          <w:noProof/>
          <w:sz w:val="23"/>
          <w:szCs w:val="23"/>
          <w:rtl/>
        </w:rPr>
        <w:t xml:space="preserve"> </w:t>
      </w:r>
      <w:r w:rsidRPr="00005251">
        <w:rPr>
          <w:rFonts w:hint="cs"/>
          <w:i/>
          <w:noProof/>
          <w:sz w:val="23"/>
          <w:szCs w:val="23"/>
          <w:rtl/>
        </w:rPr>
        <w:t>تعداد</w:t>
      </w:r>
      <w:r w:rsidRPr="00005251">
        <w:rPr>
          <w:i/>
          <w:noProof/>
          <w:sz w:val="23"/>
          <w:szCs w:val="23"/>
          <w:rtl/>
        </w:rPr>
        <w:t xml:space="preserve"> </w:t>
      </w:r>
      <w:r w:rsidRPr="00005251">
        <w:rPr>
          <w:rFonts w:hint="cs"/>
          <w:i/>
          <w:noProof/>
          <w:sz w:val="23"/>
          <w:szCs w:val="23"/>
          <w:rtl/>
        </w:rPr>
        <w:t>کارگران یا</w:t>
      </w:r>
      <w:r w:rsidRPr="00005251">
        <w:rPr>
          <w:position w:val="-10"/>
        </w:rPr>
        <w:object w:dxaOrig="240" w:dyaOrig="320" w14:anchorId="2D80FEB1">
          <v:shape id="_x0000_i2429" type="#_x0000_t75" style="width:11.5pt;height:16.35pt" o:ole="">
            <v:imagedata r:id="rId2845" o:title=""/>
          </v:shape>
          <o:OLEObject Type="Embed" ProgID="Equation.DSMT4" ShapeID="_x0000_i2429" DrawAspect="Content" ObjectID="_1791376373" r:id="rId2846"/>
        </w:object>
      </w:r>
      <w:r w:rsidRPr="00005251">
        <w:rPr>
          <w:rFonts w:hint="cs"/>
          <w:i/>
          <w:noProof/>
          <w:sz w:val="23"/>
          <w:szCs w:val="23"/>
          <w:rtl/>
        </w:rPr>
        <w:t xml:space="preserve"> داده شده،</w:t>
      </w:r>
      <w:r w:rsidRPr="00005251">
        <w:rPr>
          <w:i/>
          <w:noProof/>
          <w:sz w:val="23"/>
          <w:szCs w:val="23"/>
          <w:rtl/>
        </w:rPr>
        <w:t xml:space="preserve"> </w:t>
      </w:r>
      <w:r w:rsidRPr="00005251">
        <w:rPr>
          <w:rFonts w:eastAsiaTheme="minorEastAsia" w:hint="cs"/>
          <w:i/>
          <w:sz w:val="23"/>
          <w:szCs w:val="23"/>
          <w:rtl/>
        </w:rPr>
        <w:t>این رابطه مقدار ساعت کار را مشخص می</w:t>
      </w:r>
      <w:r w:rsidRPr="00005251">
        <w:rPr>
          <w:rFonts w:eastAsiaTheme="minorEastAsia"/>
          <w:i/>
          <w:sz w:val="23"/>
          <w:szCs w:val="23"/>
          <w:rtl/>
        </w:rPr>
        <w:softHyphen/>
      </w:r>
      <w:r w:rsidRPr="00005251">
        <w:rPr>
          <w:rFonts w:eastAsiaTheme="minorEastAsia" w:hint="cs"/>
          <w:i/>
          <w:sz w:val="23"/>
          <w:szCs w:val="23"/>
          <w:rtl/>
        </w:rPr>
        <w:t>کند.</w:t>
      </w:r>
      <w:r w:rsidRPr="00005251">
        <w:rPr>
          <w:i/>
          <w:noProof/>
          <w:sz w:val="23"/>
          <w:szCs w:val="23"/>
          <w:rtl/>
        </w:rPr>
        <w:t xml:space="preserve"> </w:t>
      </w:r>
      <w:r w:rsidRPr="00005251">
        <w:rPr>
          <w:rFonts w:hint="cs"/>
          <w:i/>
          <w:noProof/>
          <w:sz w:val="23"/>
          <w:szCs w:val="23"/>
          <w:rtl/>
        </w:rPr>
        <w:t>اگر</w:t>
      </w:r>
      <w:r w:rsidRPr="00005251">
        <w:rPr>
          <w:i/>
          <w:noProof/>
          <w:sz w:val="23"/>
          <w:szCs w:val="23"/>
          <w:rtl/>
        </w:rPr>
        <w:t xml:space="preserve"> </w:t>
      </w:r>
      <w:r w:rsidRPr="00005251">
        <w:rPr>
          <w:rFonts w:hint="cs"/>
          <w:i/>
          <w:noProof/>
          <w:sz w:val="23"/>
          <w:szCs w:val="23"/>
          <w:rtl/>
        </w:rPr>
        <w:t>تنها</w:t>
      </w:r>
      <w:r w:rsidRPr="00005251">
        <w:rPr>
          <w:i/>
          <w:noProof/>
          <w:sz w:val="23"/>
          <w:szCs w:val="23"/>
          <w:rtl/>
        </w:rPr>
        <w:t xml:space="preserve"> </w:t>
      </w:r>
      <w:r w:rsidRPr="00005251">
        <w:rPr>
          <w:rFonts w:hint="cs"/>
          <w:i/>
          <w:noProof/>
          <w:sz w:val="23"/>
          <w:szCs w:val="23"/>
          <w:rtl/>
        </w:rPr>
        <w:t>یک</w:t>
      </w:r>
      <w:r w:rsidRPr="00005251">
        <w:rPr>
          <w:i/>
          <w:noProof/>
          <w:sz w:val="23"/>
          <w:szCs w:val="23"/>
          <w:rtl/>
        </w:rPr>
        <w:t xml:space="preserve"> </w:t>
      </w:r>
      <w:r w:rsidRPr="00005251">
        <w:rPr>
          <w:rFonts w:hint="cs"/>
          <w:i/>
          <w:noProof/>
          <w:sz w:val="23"/>
          <w:szCs w:val="23"/>
          <w:rtl/>
        </w:rPr>
        <w:t>نرخ</w:t>
      </w:r>
      <w:r w:rsidRPr="00005251">
        <w:rPr>
          <w:i/>
          <w:noProof/>
          <w:sz w:val="23"/>
          <w:szCs w:val="23"/>
          <w:rtl/>
        </w:rPr>
        <w:t xml:space="preserve"> </w:t>
      </w:r>
      <w:r w:rsidRPr="00005251">
        <w:rPr>
          <w:rFonts w:hint="cs"/>
          <w:i/>
          <w:noProof/>
          <w:sz w:val="23"/>
          <w:szCs w:val="23"/>
          <w:rtl/>
        </w:rPr>
        <w:t>دستمزد</w:t>
      </w:r>
      <w:r w:rsidRPr="00005251">
        <w:rPr>
          <w:i/>
          <w:noProof/>
          <w:sz w:val="23"/>
          <w:szCs w:val="23"/>
          <w:rtl/>
        </w:rPr>
        <w:t xml:space="preserve"> </w:t>
      </w:r>
      <w:r w:rsidRPr="00005251">
        <w:rPr>
          <w:rFonts w:hint="cs"/>
          <w:i/>
          <w:noProof/>
          <w:sz w:val="23"/>
          <w:szCs w:val="23"/>
          <w:rtl/>
        </w:rPr>
        <w:t>ساعتی</w:t>
      </w:r>
      <w:r w:rsidRPr="00005251">
        <w:rPr>
          <w:i/>
          <w:noProof/>
          <w:sz w:val="23"/>
          <w:szCs w:val="23"/>
          <w:rtl/>
        </w:rPr>
        <w:t xml:space="preserve"> </w:t>
      </w:r>
      <w:r w:rsidRPr="00005251">
        <w:rPr>
          <w:rFonts w:hint="cs"/>
          <w:i/>
          <w:noProof/>
          <w:sz w:val="23"/>
          <w:szCs w:val="23"/>
          <w:rtl/>
        </w:rPr>
        <w:t>یکسان</w:t>
      </w:r>
      <w:r w:rsidRPr="00005251">
        <w:rPr>
          <w:rStyle w:val="FootnoteReference"/>
          <w:rFonts w:eastAsiaTheme="majorEastAsia"/>
          <w:i/>
          <w:noProof/>
          <w:sz w:val="23"/>
          <w:szCs w:val="23"/>
          <w:rtl/>
        </w:rPr>
        <w:footnoteReference w:id="132"/>
      </w:r>
      <w:r w:rsidRPr="00005251">
        <w:rPr>
          <w:rFonts w:hint="cs"/>
          <w:i/>
          <w:noProof/>
          <w:sz w:val="23"/>
          <w:szCs w:val="23"/>
          <w:rtl/>
        </w:rPr>
        <w:t xml:space="preserve"> وجود داشته باشد،</w:t>
      </w:r>
      <w:r w:rsidRPr="00005251">
        <w:rPr>
          <w:i/>
          <w:noProof/>
          <w:sz w:val="23"/>
          <w:szCs w:val="23"/>
          <w:rtl/>
        </w:rPr>
        <w:t xml:space="preserve"> </w:t>
      </w:r>
      <w:r w:rsidRPr="00005251">
        <w:rPr>
          <w:rFonts w:hint="cs"/>
          <w:i/>
          <w:noProof/>
          <w:sz w:val="23"/>
          <w:szCs w:val="23"/>
          <w:rtl/>
        </w:rPr>
        <w:t>در اینصورت</w:t>
      </w:r>
      <w:r w:rsidRPr="00005251">
        <w:rPr>
          <w:position w:val="-10"/>
        </w:rPr>
        <w:object w:dxaOrig="320" w:dyaOrig="380" w14:anchorId="48B7A34B">
          <v:shape id="_x0000_i2430" type="#_x0000_t75" style="width:16.35pt;height:18.75pt" o:ole="">
            <v:imagedata r:id="rId2847" o:title=""/>
          </v:shape>
          <o:OLEObject Type="Embed" ProgID="Equation.DSMT4" ShapeID="_x0000_i2430" DrawAspect="Content" ObjectID="_1791376374" r:id="rId2848"/>
        </w:object>
      </w:r>
      <w:r w:rsidRPr="00005251">
        <w:rPr>
          <w:i/>
          <w:noProof/>
          <w:sz w:val="23"/>
          <w:szCs w:val="23"/>
          <w:rtl/>
        </w:rPr>
        <w:t xml:space="preserve"> </w:t>
      </w:r>
      <w:r w:rsidRPr="00005251">
        <w:rPr>
          <w:rFonts w:hint="cs"/>
          <w:i/>
          <w:noProof/>
          <w:sz w:val="23"/>
          <w:szCs w:val="23"/>
          <w:rtl/>
        </w:rPr>
        <w:t>به</w:t>
      </w:r>
      <w:r w:rsidRPr="00005251">
        <w:rPr>
          <w:position w:val="-10"/>
        </w:rPr>
        <w:object w:dxaOrig="240" w:dyaOrig="320" w14:anchorId="480049AA">
          <v:shape id="_x0000_i2431" type="#_x0000_t75" style="width:11.5pt;height:16.35pt" o:ole="">
            <v:imagedata r:id="rId2849" o:title=""/>
          </v:shape>
          <o:OLEObject Type="Embed" ProgID="Equation.DSMT4" ShapeID="_x0000_i2431" DrawAspect="Content" ObjectID="_1791376375" r:id="rId2850"/>
        </w:object>
      </w:r>
      <w:r w:rsidRPr="00005251">
        <w:rPr>
          <w:i/>
          <w:noProof/>
          <w:sz w:val="23"/>
          <w:szCs w:val="23"/>
          <w:rtl/>
        </w:rPr>
        <w:t xml:space="preserve"> </w:t>
      </w:r>
      <w:r w:rsidRPr="00005251">
        <w:rPr>
          <w:rFonts w:hint="cs"/>
          <w:i/>
          <w:noProof/>
          <w:sz w:val="23"/>
          <w:szCs w:val="23"/>
          <w:rtl/>
        </w:rPr>
        <w:t>بستگی</w:t>
      </w:r>
      <w:r w:rsidRPr="00005251">
        <w:rPr>
          <w:i/>
          <w:noProof/>
          <w:sz w:val="23"/>
          <w:szCs w:val="23"/>
          <w:rtl/>
        </w:rPr>
        <w:t xml:space="preserve"> </w:t>
      </w:r>
      <w:r w:rsidRPr="00005251">
        <w:rPr>
          <w:rFonts w:hint="cs"/>
          <w:i/>
          <w:noProof/>
          <w:sz w:val="23"/>
          <w:szCs w:val="23"/>
          <w:rtl/>
        </w:rPr>
        <w:t>ندارد</w:t>
      </w:r>
      <w:r w:rsidRPr="00005251">
        <w:rPr>
          <w:i/>
          <w:noProof/>
          <w:sz w:val="23"/>
          <w:szCs w:val="23"/>
          <w:rtl/>
        </w:rPr>
        <w:t xml:space="preserve">. </w:t>
      </w:r>
    </w:p>
    <w:p w14:paraId="4F4637F7" w14:textId="77777777" w:rsidR="00411620" w:rsidRPr="00005251" w:rsidRDefault="00411620" w:rsidP="00411620">
      <w:pPr>
        <w:spacing w:line="216" w:lineRule="auto"/>
        <w:rPr>
          <w:i/>
          <w:noProof/>
          <w:sz w:val="23"/>
          <w:szCs w:val="23"/>
          <w:rtl/>
        </w:rPr>
      </w:pPr>
      <w:r w:rsidRPr="00005251">
        <w:rPr>
          <w:rFonts w:hint="cs"/>
          <w:i/>
          <w:noProof/>
          <w:sz w:val="23"/>
          <w:szCs w:val="23"/>
          <w:rtl/>
        </w:rPr>
        <w:t>از</w:t>
      </w:r>
      <w:r w:rsidRPr="00005251">
        <w:rPr>
          <w:i/>
          <w:noProof/>
          <w:sz w:val="23"/>
          <w:szCs w:val="23"/>
          <w:rtl/>
        </w:rPr>
        <w:t xml:space="preserve"> </w:t>
      </w:r>
      <w:r w:rsidRPr="00005251">
        <w:rPr>
          <w:rFonts w:hint="cs"/>
          <w:i/>
          <w:noProof/>
          <w:sz w:val="23"/>
          <w:szCs w:val="23"/>
          <w:rtl/>
        </w:rPr>
        <w:t>اولین رابطه از شرایط</w:t>
      </w:r>
      <w:r w:rsidRPr="00005251">
        <w:rPr>
          <w:i/>
          <w:noProof/>
          <w:sz w:val="23"/>
          <w:szCs w:val="23"/>
          <w:rtl/>
        </w:rPr>
        <w:t xml:space="preserve"> </w:t>
      </w:r>
      <w:r w:rsidRPr="00005251">
        <w:rPr>
          <w:rFonts w:hint="cs"/>
          <w:i/>
          <w:noProof/>
          <w:sz w:val="23"/>
          <w:szCs w:val="23"/>
          <w:rtl/>
        </w:rPr>
        <w:t>مرتبه</w:t>
      </w:r>
      <w:r w:rsidRPr="00005251">
        <w:rPr>
          <w:i/>
          <w:noProof/>
          <w:sz w:val="23"/>
          <w:szCs w:val="23"/>
          <w:rtl/>
        </w:rPr>
        <w:softHyphen/>
      </w:r>
      <w:r w:rsidRPr="00005251">
        <w:rPr>
          <w:rFonts w:hint="cs"/>
          <w:i/>
          <w:noProof/>
          <w:sz w:val="23"/>
          <w:szCs w:val="23"/>
          <w:rtl/>
        </w:rPr>
        <w:t xml:space="preserve">ی اول فوق و برای </w:t>
      </w:r>
      <w:r w:rsidRPr="00005251">
        <w:rPr>
          <w:position w:val="-6"/>
        </w:rPr>
        <w:object w:dxaOrig="499" w:dyaOrig="260" w14:anchorId="4E16DB4B">
          <v:shape id="_x0000_i2432" type="#_x0000_t75" style="width:24.8pt;height:12.7pt" o:ole="">
            <v:imagedata r:id="rId2851" o:title=""/>
          </v:shape>
          <o:OLEObject Type="Embed" ProgID="Equation.DSMT4" ShapeID="_x0000_i2432" DrawAspect="Content" ObjectID="_1791376376" r:id="rId2852"/>
        </w:object>
      </w:r>
      <w:r w:rsidRPr="00005251">
        <w:rPr>
          <w:rFonts w:hint="cs"/>
          <w:i/>
          <w:noProof/>
          <w:sz w:val="23"/>
          <w:szCs w:val="23"/>
          <w:rtl/>
        </w:rPr>
        <w:t xml:space="preserve"> سطح</w:t>
      </w:r>
      <w:r w:rsidRPr="00005251">
        <w:rPr>
          <w:i/>
          <w:noProof/>
          <w:sz w:val="23"/>
          <w:szCs w:val="23"/>
          <w:rtl/>
        </w:rPr>
        <w:t xml:space="preserve"> </w:t>
      </w:r>
      <w:r w:rsidRPr="00005251">
        <w:rPr>
          <w:rFonts w:hint="cs"/>
          <w:i/>
          <w:noProof/>
          <w:sz w:val="23"/>
          <w:szCs w:val="23"/>
          <w:rtl/>
        </w:rPr>
        <w:t>اشتغال</w:t>
      </w:r>
      <w:r w:rsidRPr="00005251">
        <w:rPr>
          <w:i/>
          <w:noProof/>
          <w:sz w:val="23"/>
          <w:szCs w:val="23"/>
          <w:rtl/>
        </w:rPr>
        <w:t xml:space="preserve"> </w:t>
      </w:r>
      <w:r w:rsidRPr="00005251">
        <w:rPr>
          <w:rFonts w:hint="cs"/>
          <w:i/>
          <w:noProof/>
          <w:sz w:val="23"/>
          <w:szCs w:val="23"/>
          <w:rtl/>
        </w:rPr>
        <w:t>بدست می</w:t>
      </w:r>
      <w:r w:rsidRPr="00005251">
        <w:rPr>
          <w:i/>
          <w:noProof/>
          <w:sz w:val="23"/>
          <w:szCs w:val="23"/>
          <w:rtl/>
        </w:rPr>
        <w:softHyphen/>
      </w:r>
      <w:r w:rsidRPr="00005251">
        <w:rPr>
          <w:rFonts w:hint="cs"/>
          <w:i/>
          <w:noProof/>
          <w:sz w:val="23"/>
          <w:szCs w:val="23"/>
          <w:rtl/>
        </w:rPr>
        <w:t>آید و</w:t>
      </w:r>
      <w:r w:rsidRPr="00005251">
        <w:rPr>
          <w:i/>
          <w:noProof/>
          <w:sz w:val="23"/>
          <w:szCs w:val="23"/>
          <w:rtl/>
        </w:rPr>
        <w:t xml:space="preserve"> </w:t>
      </w:r>
      <w:r w:rsidRPr="00005251">
        <w:rPr>
          <w:rFonts w:hint="cs"/>
          <w:i/>
          <w:noProof/>
          <w:sz w:val="23"/>
          <w:szCs w:val="23"/>
          <w:rtl/>
        </w:rPr>
        <w:t>به</w:t>
      </w:r>
      <w:r w:rsidRPr="00005251">
        <w:rPr>
          <w:i/>
          <w:noProof/>
          <w:sz w:val="23"/>
          <w:szCs w:val="23"/>
          <w:rtl/>
        </w:rPr>
        <w:t xml:space="preserve"> </w:t>
      </w:r>
      <w:r w:rsidRPr="00005251">
        <w:rPr>
          <w:rFonts w:hint="cs"/>
          <w:i/>
          <w:noProof/>
          <w:sz w:val="23"/>
          <w:szCs w:val="23"/>
          <w:rtl/>
        </w:rPr>
        <w:t>صورت زیر نوشته</w:t>
      </w:r>
      <w:r w:rsidRPr="00005251">
        <w:rPr>
          <w:i/>
          <w:noProof/>
          <w:sz w:val="23"/>
          <w:szCs w:val="23"/>
          <w:rtl/>
        </w:rPr>
        <w:t xml:space="preserve"> </w:t>
      </w:r>
      <w:r w:rsidRPr="00005251">
        <w:rPr>
          <w:rFonts w:hint="cs"/>
          <w:i/>
          <w:noProof/>
          <w:sz w:val="23"/>
          <w:szCs w:val="23"/>
          <w:rtl/>
        </w:rPr>
        <w:t>می</w:t>
      </w:r>
      <w:r w:rsidRPr="00005251">
        <w:rPr>
          <w:i/>
          <w:noProof/>
          <w:sz w:val="23"/>
          <w:szCs w:val="23"/>
          <w:rtl/>
        </w:rPr>
        <w:softHyphen/>
      </w:r>
      <w:r w:rsidRPr="00005251">
        <w:rPr>
          <w:rFonts w:hint="cs"/>
          <w:i/>
          <w:noProof/>
          <w:sz w:val="23"/>
          <w:szCs w:val="23"/>
          <w:rtl/>
        </w:rPr>
        <w:t xml:space="preserve">شود </w:t>
      </w:r>
    </w:p>
    <w:p w14:paraId="53DDE48F"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34"/>
        </w:rPr>
        <w:object w:dxaOrig="3780" w:dyaOrig="700" w14:anchorId="5DE7B299">
          <v:shape id="_x0000_i2433" type="#_x0000_t75" style="width:189.4pt;height:35.1pt" o:ole="">
            <v:imagedata r:id="rId2853" o:title=""/>
          </v:shape>
          <o:OLEObject Type="Embed" ProgID="Equation.DSMT4" ShapeID="_x0000_i2433" DrawAspect="Content" ObjectID="_1791376377" r:id="rId2854"/>
        </w:object>
      </w:r>
    </w:p>
    <w:p w14:paraId="02961606" w14:textId="77777777" w:rsidR="00411620" w:rsidRPr="00005251"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005251">
        <w:rPr>
          <w:position w:val="-30"/>
        </w:rPr>
        <w:object w:dxaOrig="3540" w:dyaOrig="639" w14:anchorId="1CBB7612">
          <v:shape id="_x0000_i2434" type="#_x0000_t75" style="width:177.3pt;height:32.05pt" o:ole="">
            <v:imagedata r:id="rId2855" o:title=""/>
          </v:shape>
          <o:OLEObject Type="Embed" ProgID="Equation.DSMT4" ShapeID="_x0000_i2434" DrawAspect="Content" ObjectID="_1791376378" r:id="rId2856"/>
        </w:object>
      </w:r>
      <w:r w:rsidRPr="00005251">
        <w:rPr>
          <w:rFonts w:ascii="Times New Roman" w:hAnsi="Times New Roman" w:cs="B Nazanin"/>
          <w:i/>
          <w:sz w:val="23"/>
          <w:szCs w:val="23"/>
          <w:rtl/>
        </w:rPr>
        <w:tab/>
      </w:r>
      <w:r w:rsidRPr="00005251">
        <w:rPr>
          <w:rFonts w:ascii="Times New Roman" w:hAnsi="Times New Roman" w:cs="B Nazanin"/>
          <w:i/>
          <w:sz w:val="23"/>
          <w:szCs w:val="23"/>
        </w:rPr>
        <w:tab/>
      </w:r>
      <w:r w:rsidRPr="00005251">
        <w:rPr>
          <w:rFonts w:ascii="Times New Roman" w:hAnsi="Times New Roman" w:cs="B Nazanin"/>
          <w:i/>
          <w:sz w:val="23"/>
          <w:szCs w:val="23"/>
        </w:rPr>
        <w:tab/>
      </w:r>
      <w:r>
        <w:rPr>
          <w:rFonts w:ascii="Times New Roman" w:hAnsi="Times New Roman" w:cs="B Nazanin"/>
          <w:i/>
          <w:sz w:val="23"/>
          <w:szCs w:val="23"/>
          <w:rtl/>
        </w:rPr>
        <w:tab/>
      </w:r>
      <w:r>
        <w:rPr>
          <w:rFonts w:ascii="Times New Roman" w:hAnsi="Times New Roman" w:cs="B Nazanin"/>
          <w:i/>
          <w:sz w:val="23"/>
          <w:szCs w:val="23"/>
          <w:rtl/>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hint="cs"/>
          <w:i/>
          <w:sz w:val="23"/>
          <w:szCs w:val="23"/>
          <w:rtl/>
        </w:rPr>
        <w:t>(۴. ۳۳)</w:t>
      </w:r>
    </w:p>
    <w:p w14:paraId="52D79003" w14:textId="77777777" w:rsidR="00411620" w:rsidRPr="00005251" w:rsidRDefault="00411620" w:rsidP="00411620">
      <w:pPr>
        <w:tabs>
          <w:tab w:val="left" w:pos="4018"/>
        </w:tabs>
        <w:spacing w:line="216" w:lineRule="auto"/>
        <w:rPr>
          <w:rFonts w:eastAsiaTheme="minorEastAsia"/>
          <w:i/>
          <w:sz w:val="23"/>
          <w:szCs w:val="23"/>
          <w:rtl/>
        </w:rPr>
      </w:pPr>
      <w:r w:rsidRPr="00005251">
        <w:rPr>
          <w:rFonts w:eastAsiaTheme="minorEastAsia" w:hint="cs"/>
          <w:i/>
          <w:sz w:val="23"/>
          <w:szCs w:val="23"/>
          <w:rtl/>
        </w:rPr>
        <w:t xml:space="preserve"> با حل رابطه</w:t>
      </w:r>
      <w:r w:rsidRPr="00005251">
        <w:rPr>
          <w:rFonts w:eastAsiaTheme="minorEastAsia"/>
          <w:i/>
          <w:sz w:val="23"/>
          <w:szCs w:val="23"/>
          <w:rtl/>
        </w:rPr>
        <w:softHyphen/>
      </w:r>
      <w:r w:rsidRPr="00005251">
        <w:rPr>
          <w:rFonts w:eastAsiaTheme="minorEastAsia" w:hint="cs"/>
          <w:i/>
          <w:sz w:val="23"/>
          <w:szCs w:val="23"/>
          <w:rtl/>
        </w:rPr>
        <w:t xml:space="preserve">ی فوق خواهیم داشت </w:t>
      </w:r>
    </w:p>
    <w:p w14:paraId="32BCA6E6" w14:textId="77777777" w:rsidR="00411620" w:rsidRPr="00005251"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005251">
        <w:rPr>
          <w:position w:val="-34"/>
        </w:rPr>
        <w:object w:dxaOrig="2680" w:dyaOrig="720" w14:anchorId="5EAD45E3">
          <v:shape id="_x0000_i2435" type="#_x0000_t75" style="width:133.7pt;height:36.3pt" o:ole="">
            <v:imagedata r:id="rId2857" o:title=""/>
          </v:shape>
          <o:OLEObject Type="Embed" ProgID="Equation.DSMT4" ShapeID="_x0000_i2435" DrawAspect="Content" ObjectID="_1791376379" r:id="rId2858"/>
        </w:object>
      </w:r>
      <w:r w:rsidRPr="00005251">
        <w:rPr>
          <w:rFonts w:ascii="Times New Roman" w:hAnsi="Times New Roman" w:cs="B Nazanin"/>
          <w:i/>
          <w:sz w:val="23"/>
          <w:szCs w:val="23"/>
          <w:rtl/>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Pr>
          <w:rFonts w:ascii="Times New Roman" w:hAnsi="Times New Roman" w:cs="B Nazanin"/>
          <w:i/>
          <w:sz w:val="23"/>
          <w:szCs w:val="23"/>
          <w:rtl/>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Pr>
        <w:tab/>
      </w:r>
      <w:r w:rsidRPr="00005251">
        <w:rPr>
          <w:rFonts w:ascii="Times New Roman" w:hAnsi="Times New Roman" w:cs="B Nazanin"/>
          <w:i/>
          <w:sz w:val="23"/>
          <w:szCs w:val="23"/>
          <w:rtl/>
        </w:rPr>
        <w:tab/>
      </w:r>
      <w:r w:rsidRPr="00005251">
        <w:rPr>
          <w:rFonts w:ascii="Times New Roman" w:hAnsi="Times New Roman" w:cs="B Nazanin" w:hint="cs"/>
          <w:i/>
          <w:sz w:val="23"/>
          <w:szCs w:val="23"/>
          <w:rtl/>
        </w:rPr>
        <w:t>(۴. ۳۴)</w:t>
      </w:r>
    </w:p>
    <w:p w14:paraId="0A5B8DF0" w14:textId="77777777" w:rsidR="00411620" w:rsidRPr="00005251" w:rsidRDefault="00411620" w:rsidP="00411620">
      <w:pPr>
        <w:tabs>
          <w:tab w:val="left" w:pos="4018"/>
        </w:tabs>
        <w:spacing w:line="216" w:lineRule="auto"/>
        <w:rPr>
          <w:rFonts w:eastAsiaTheme="minorEastAsia"/>
          <w:i/>
          <w:sz w:val="23"/>
          <w:szCs w:val="23"/>
          <w:rtl/>
          <w:lang w:val="en-GB"/>
        </w:rPr>
      </w:pPr>
      <w:r w:rsidRPr="00005251">
        <w:rPr>
          <w:rFonts w:eastAsiaTheme="minorEastAsia" w:hint="cs"/>
          <w:i/>
          <w:sz w:val="23"/>
          <w:szCs w:val="23"/>
          <w:rtl/>
        </w:rPr>
        <w:t>در معادله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rFonts w:hint="cs"/>
          <w:i/>
          <w:sz w:val="23"/>
          <w:szCs w:val="23"/>
          <w:rtl/>
        </w:rPr>
        <w:t>(۴. ۳۴)</w:t>
      </w:r>
      <w:r w:rsidRPr="00005251">
        <w:rPr>
          <w:rFonts w:eastAsiaTheme="minorEastAsia" w:hint="cs"/>
          <w:i/>
          <w:sz w:val="23"/>
          <w:szCs w:val="23"/>
          <w:rtl/>
        </w:rPr>
        <w:t>، اگر ارزش فعلی تفاوت تولید نهایی نیروی کار از دستمزد آن در زمان جاری و آتی بیشتر باشد، تعداد نیروی کار افزایش می‌یابد. ضمناً با کاهش نرخ بهره</w:t>
      </w:r>
      <w:r w:rsidRPr="00025957">
        <w:rPr>
          <w:position w:val="-4"/>
        </w:rPr>
        <w:object w:dxaOrig="180" w:dyaOrig="180" w14:anchorId="385EFBE5">
          <v:shape id="_x0000_i2436" type="#_x0000_t75" style="width:9.1pt;height:9.1pt" o:ole="">
            <v:imagedata r:id="rId2859" o:title=""/>
          </v:shape>
          <o:OLEObject Type="Embed" ProgID="Equation.DSMT4" ShapeID="_x0000_i2436" DrawAspect="Content" ObjectID="_1791376380" r:id="rId2860"/>
        </w:object>
      </w:r>
      <w:r w:rsidRPr="00005251">
        <w:rPr>
          <w:rFonts w:eastAsiaTheme="minorEastAsia" w:hint="cs"/>
          <w:i/>
          <w:sz w:val="23"/>
          <w:szCs w:val="23"/>
          <w:rtl/>
        </w:rPr>
        <w:t>و هزینه</w:t>
      </w:r>
      <w:r w:rsidRPr="00005251">
        <w:rPr>
          <w:rFonts w:eastAsiaTheme="minorEastAsia"/>
          <w:i/>
          <w:sz w:val="23"/>
          <w:szCs w:val="23"/>
          <w:rtl/>
        </w:rPr>
        <w:softHyphen/>
      </w:r>
      <w:r w:rsidRPr="00005251">
        <w:rPr>
          <w:rFonts w:eastAsiaTheme="minorEastAsia" w:hint="cs"/>
          <w:i/>
          <w:sz w:val="23"/>
          <w:szCs w:val="23"/>
          <w:rtl/>
        </w:rPr>
        <w:t>ی تعدیل</w:t>
      </w:r>
      <w:r w:rsidRPr="00005251">
        <w:rPr>
          <w:position w:val="-6"/>
        </w:rPr>
        <w:object w:dxaOrig="200" w:dyaOrig="260" w14:anchorId="2EF23F48">
          <v:shape id="_x0000_i2437" type="#_x0000_t75" style="width:10.3pt;height:12.7pt" o:ole="">
            <v:imagedata r:id="rId2861" o:title=""/>
          </v:shape>
          <o:OLEObject Type="Embed" ProgID="Equation.DSMT4" ShapeID="_x0000_i2437" DrawAspect="Content" ObjectID="_1791376381" r:id="rId2862"/>
        </w:object>
      </w:r>
      <w:r w:rsidRPr="00005251">
        <w:rPr>
          <w:rFonts w:eastAsiaTheme="minorEastAsia" w:hint="cs"/>
          <w:i/>
          <w:sz w:val="23"/>
          <w:szCs w:val="23"/>
          <w:rtl/>
        </w:rPr>
        <w:t xml:space="preserve"> نیز تقاضا برای نیروی کار افزایش خواهد یافت. در وضعیت یکنواخت از آنجا که همواره</w:t>
      </w:r>
      <w:r w:rsidRPr="00005251">
        <w:rPr>
          <w:position w:val="-10"/>
        </w:rPr>
        <w:object w:dxaOrig="740" w:dyaOrig="320" w14:anchorId="1E7284C0">
          <v:shape id="_x0000_i2438" type="#_x0000_t75" style="width:36.9pt;height:16.35pt" o:ole="">
            <v:imagedata r:id="rId2863" o:title=""/>
          </v:shape>
          <o:OLEObject Type="Embed" ProgID="Equation.DSMT4" ShapeID="_x0000_i2438" DrawAspect="Content" ObjectID="_1791376382" r:id="rId2864"/>
        </w:object>
      </w:r>
      <w:r w:rsidRPr="00005251">
        <w:rPr>
          <w:rFonts w:eastAsiaTheme="minorEastAsia" w:hint="cs"/>
          <w:i/>
          <w:sz w:val="23"/>
          <w:szCs w:val="23"/>
          <w:rtl/>
        </w:rPr>
        <w:t xml:space="preserve"> می</w:t>
      </w:r>
      <w:r w:rsidRPr="00005251">
        <w:rPr>
          <w:rFonts w:eastAsiaTheme="minorEastAsia"/>
          <w:i/>
          <w:sz w:val="23"/>
          <w:szCs w:val="23"/>
          <w:rtl/>
        </w:rPr>
        <w:softHyphen/>
      </w:r>
      <w:r w:rsidRPr="00005251">
        <w:rPr>
          <w:rFonts w:eastAsiaTheme="minorEastAsia" w:hint="cs"/>
          <w:i/>
          <w:sz w:val="23"/>
          <w:szCs w:val="23"/>
          <w:rtl/>
        </w:rPr>
        <w:t>باشد لذا</w:t>
      </w:r>
      <w:r w:rsidRPr="00005251">
        <w:rPr>
          <w:rFonts w:eastAsiaTheme="minorEastAsia"/>
          <w:i/>
          <w:sz w:val="23"/>
          <w:szCs w:val="23"/>
        </w:rPr>
        <w:t xml:space="preserve"> </w:t>
      </w:r>
      <w:r w:rsidRPr="00005251">
        <w:rPr>
          <w:position w:val="-6"/>
        </w:rPr>
        <w:object w:dxaOrig="680" w:dyaOrig="260" w14:anchorId="2A5B7A31">
          <v:shape id="_x0000_i2439" type="#_x0000_t75" style="width:33.9pt;height:12.7pt" o:ole="">
            <v:imagedata r:id="rId2865" o:title=""/>
          </v:shape>
          <o:OLEObject Type="Embed" ProgID="Equation.DSMT4" ShapeID="_x0000_i2439" DrawAspect="Content" ObjectID="_1791376383" r:id="rId2866"/>
        </w:object>
      </w:r>
      <w:r w:rsidRPr="00005251">
        <w:rPr>
          <w:rFonts w:eastAsiaTheme="minorEastAsia" w:hint="cs"/>
          <w:i/>
          <w:sz w:val="23"/>
          <w:szCs w:val="23"/>
          <w:rtl/>
          <w:lang w:val="en-GB"/>
        </w:rPr>
        <w:t xml:space="preserve"> خواهد بود.</w:t>
      </w:r>
      <w:r w:rsidRPr="00005251">
        <w:rPr>
          <w:rFonts w:eastAsiaTheme="minorEastAsia"/>
          <w:i/>
          <w:sz w:val="23"/>
          <w:szCs w:val="23"/>
          <w:lang w:val="en-GB"/>
        </w:rPr>
        <w:t xml:space="preserve"> </w:t>
      </w:r>
    </w:p>
    <w:p w14:paraId="7560F57E" w14:textId="77777777" w:rsidR="00411620" w:rsidRPr="00005251" w:rsidRDefault="00411620" w:rsidP="00411620">
      <w:pPr>
        <w:tabs>
          <w:tab w:val="left" w:pos="4018"/>
        </w:tabs>
        <w:spacing w:line="216" w:lineRule="auto"/>
        <w:rPr>
          <w:i/>
          <w:noProof/>
          <w:sz w:val="23"/>
          <w:szCs w:val="23"/>
        </w:rPr>
      </w:pPr>
      <w:r w:rsidRPr="00005251">
        <w:rPr>
          <w:rFonts w:hint="cs"/>
          <w:i/>
          <w:noProof/>
          <w:sz w:val="23"/>
          <w:szCs w:val="23"/>
          <w:rtl/>
        </w:rPr>
        <w:t>معادله</w:t>
      </w:r>
      <w:r w:rsidRPr="00005251">
        <w:rPr>
          <w:i/>
          <w:noProof/>
          <w:sz w:val="23"/>
          <w:szCs w:val="23"/>
          <w:rtl/>
        </w:rPr>
        <w:softHyphen/>
      </w:r>
      <w:r w:rsidRPr="00005251">
        <w:rPr>
          <w:rFonts w:hint="cs"/>
          <w:i/>
          <w:noProof/>
          <w:sz w:val="23"/>
          <w:szCs w:val="23"/>
          <w:rtl/>
        </w:rPr>
        <w:t>ی</w:t>
      </w:r>
      <w:r w:rsidRPr="00005251">
        <w:rPr>
          <w:i/>
          <w:noProof/>
          <w:sz w:val="23"/>
          <w:szCs w:val="23"/>
          <w:rtl/>
        </w:rPr>
        <w:t xml:space="preserve"> </w:t>
      </w:r>
      <w:r w:rsidRPr="00005251">
        <w:rPr>
          <w:rFonts w:hint="cs"/>
          <w:i/>
          <w:sz w:val="23"/>
          <w:szCs w:val="23"/>
          <w:rtl/>
        </w:rPr>
        <w:t>(۴. ۳۳)</w:t>
      </w:r>
      <w:r w:rsidRPr="00005251">
        <w:rPr>
          <w:i/>
          <w:noProof/>
          <w:sz w:val="23"/>
          <w:szCs w:val="23"/>
          <w:rtl/>
        </w:rPr>
        <w:t xml:space="preserve"> </w:t>
      </w:r>
      <w:r w:rsidRPr="00005251">
        <w:rPr>
          <w:rFonts w:hint="cs"/>
          <w:i/>
          <w:noProof/>
          <w:sz w:val="23"/>
          <w:szCs w:val="23"/>
          <w:rtl/>
        </w:rPr>
        <w:t>را می</w:t>
      </w:r>
      <w:r w:rsidRPr="00005251">
        <w:rPr>
          <w:i/>
          <w:noProof/>
          <w:sz w:val="23"/>
          <w:szCs w:val="23"/>
          <w:rtl/>
        </w:rPr>
        <w:softHyphen/>
      </w:r>
      <w:r w:rsidRPr="00005251">
        <w:rPr>
          <w:rFonts w:hint="cs"/>
          <w:i/>
          <w:noProof/>
          <w:sz w:val="23"/>
          <w:szCs w:val="23"/>
          <w:rtl/>
        </w:rPr>
        <w:t>توان</w:t>
      </w:r>
      <w:r w:rsidRPr="00005251">
        <w:rPr>
          <w:i/>
          <w:noProof/>
          <w:sz w:val="23"/>
          <w:szCs w:val="23"/>
          <w:rtl/>
        </w:rPr>
        <w:t xml:space="preserve"> </w:t>
      </w:r>
      <w:r w:rsidRPr="00005251">
        <w:rPr>
          <w:rFonts w:hint="cs"/>
          <w:i/>
          <w:noProof/>
          <w:sz w:val="23"/>
          <w:szCs w:val="23"/>
          <w:rtl/>
        </w:rPr>
        <w:t>برحسب</w:t>
      </w:r>
      <w:r w:rsidRPr="00005251">
        <w:rPr>
          <w:i/>
          <w:noProof/>
          <w:sz w:val="23"/>
          <w:szCs w:val="23"/>
          <w:rtl/>
        </w:rPr>
        <w:t xml:space="preserve"> </w:t>
      </w:r>
      <w:r w:rsidRPr="00005251">
        <w:rPr>
          <w:rFonts w:hint="cs"/>
          <w:i/>
          <w:noProof/>
          <w:sz w:val="23"/>
          <w:szCs w:val="23"/>
          <w:rtl/>
        </w:rPr>
        <w:t>سطح</w:t>
      </w:r>
      <w:r w:rsidRPr="00005251">
        <w:rPr>
          <w:i/>
          <w:noProof/>
          <w:sz w:val="23"/>
          <w:szCs w:val="23"/>
          <w:rtl/>
        </w:rPr>
        <w:t xml:space="preserve"> </w:t>
      </w:r>
      <w:r w:rsidRPr="00005251">
        <w:rPr>
          <w:rFonts w:hint="cs"/>
          <w:i/>
          <w:noProof/>
          <w:sz w:val="23"/>
          <w:szCs w:val="23"/>
          <w:rtl/>
        </w:rPr>
        <w:t>اشتغال</w:t>
      </w:r>
      <w:r w:rsidRPr="00005251">
        <w:rPr>
          <w:i/>
          <w:noProof/>
          <w:sz w:val="23"/>
          <w:szCs w:val="23"/>
          <w:rtl/>
        </w:rPr>
        <w:t xml:space="preserve"> </w:t>
      </w:r>
      <w:r w:rsidRPr="00005251">
        <w:rPr>
          <w:rFonts w:hint="cs"/>
          <w:i/>
          <w:noProof/>
          <w:sz w:val="23"/>
          <w:szCs w:val="23"/>
          <w:rtl/>
        </w:rPr>
        <w:t>نیز به</w:t>
      </w:r>
      <w:r w:rsidRPr="00005251">
        <w:rPr>
          <w:i/>
          <w:noProof/>
          <w:sz w:val="23"/>
          <w:szCs w:val="23"/>
          <w:rtl/>
        </w:rPr>
        <w:t xml:space="preserve"> </w:t>
      </w:r>
      <w:r w:rsidRPr="00005251">
        <w:rPr>
          <w:rFonts w:hint="cs"/>
          <w:i/>
          <w:noProof/>
          <w:sz w:val="23"/>
          <w:szCs w:val="23"/>
          <w:rtl/>
        </w:rPr>
        <w:t>صورت زیر</w:t>
      </w:r>
      <w:r w:rsidRPr="00005251">
        <w:rPr>
          <w:i/>
          <w:noProof/>
          <w:sz w:val="23"/>
          <w:szCs w:val="23"/>
          <w:rtl/>
        </w:rPr>
        <w:t xml:space="preserve"> </w:t>
      </w:r>
      <w:r w:rsidRPr="00005251">
        <w:rPr>
          <w:rFonts w:hint="cs"/>
          <w:i/>
          <w:noProof/>
          <w:sz w:val="23"/>
          <w:szCs w:val="23"/>
          <w:rtl/>
        </w:rPr>
        <w:t xml:space="preserve">نوشت: </w:t>
      </w:r>
    </w:p>
    <w:p w14:paraId="23B6E3A7"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30"/>
        </w:rPr>
        <w:object w:dxaOrig="4300" w:dyaOrig="639" w14:anchorId="126B655F">
          <v:shape id="_x0000_i2440" type="#_x0000_t75" style="width:214.8pt;height:32.05pt" o:ole="">
            <v:imagedata r:id="rId2867" o:title=""/>
          </v:shape>
          <o:OLEObject Type="Embed" ProgID="Equation.DSMT4" ShapeID="_x0000_i2440" DrawAspect="Content" ObjectID="_1791376384" r:id="rId2868"/>
        </w:object>
      </w:r>
    </w:p>
    <w:p w14:paraId="3A484154" w14:textId="77777777" w:rsidR="00411620" w:rsidRPr="00005251"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005251">
        <w:rPr>
          <w:position w:val="-22"/>
        </w:rPr>
        <w:object w:dxaOrig="3460" w:dyaOrig="560" w14:anchorId="3D1CB080">
          <v:shape id="_x0000_i2441" type="#_x0000_t75" style="width:173.05pt;height:28.45pt" o:ole="">
            <v:imagedata r:id="rId2869" o:title=""/>
          </v:shape>
          <o:OLEObject Type="Embed" ProgID="Equation.DSMT4" ShapeID="_x0000_i2441" DrawAspect="Content" ObjectID="_1791376385" r:id="rId2870"/>
        </w:object>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Pr>
          <w:rFonts w:ascii="Times New Roman" w:hAnsi="Times New Roman"/>
          <w:i/>
          <w:sz w:val="23"/>
          <w:szCs w:val="23"/>
          <w:rtl/>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cs="B Nazanin"/>
          <w:i/>
          <w:sz w:val="23"/>
          <w:szCs w:val="23"/>
          <w:rtl/>
        </w:rPr>
        <w:tab/>
      </w:r>
      <w:r w:rsidRPr="00005251">
        <w:rPr>
          <w:rFonts w:ascii="Times New Roman" w:hAnsi="Times New Roman" w:cs="B Nazanin" w:hint="cs"/>
          <w:i/>
          <w:sz w:val="23"/>
          <w:szCs w:val="23"/>
          <w:rtl/>
        </w:rPr>
        <w:t>(۴. ۳۵)</w:t>
      </w:r>
    </w:p>
    <w:p w14:paraId="00FF0E2F" w14:textId="77777777" w:rsidR="00411620" w:rsidRPr="00005251" w:rsidRDefault="00411620" w:rsidP="00411620">
      <w:pPr>
        <w:tabs>
          <w:tab w:val="left" w:pos="4018"/>
        </w:tabs>
        <w:spacing w:line="216" w:lineRule="auto"/>
        <w:rPr>
          <w:rFonts w:eastAsiaTheme="minorEastAsia"/>
          <w:i/>
          <w:sz w:val="23"/>
          <w:szCs w:val="23"/>
          <w:rtl/>
        </w:rPr>
      </w:pPr>
      <w:r w:rsidRPr="00005251">
        <w:rPr>
          <w:rFonts w:eastAsiaTheme="minorEastAsia" w:hint="cs"/>
          <w:i/>
          <w:sz w:val="23"/>
          <w:szCs w:val="23"/>
          <w:rtl/>
        </w:rPr>
        <w:t>رابطه</w:t>
      </w:r>
      <w:r w:rsidRPr="00005251">
        <w:rPr>
          <w:rFonts w:eastAsiaTheme="minorEastAsia"/>
          <w:i/>
          <w:sz w:val="23"/>
          <w:szCs w:val="23"/>
          <w:rtl/>
        </w:rPr>
        <w:softHyphen/>
      </w:r>
      <w:r w:rsidRPr="00005251">
        <w:rPr>
          <w:rFonts w:eastAsiaTheme="minorEastAsia" w:hint="cs"/>
          <w:i/>
          <w:sz w:val="23"/>
          <w:szCs w:val="23"/>
          <w:rtl/>
        </w:rPr>
        <w:t>ی فوق نشان می‌دهد که تعدیل بنگاه نسبت به تعداد شاغلین در طی زمان صورت می‌گیرد. اگر هزینه</w:t>
      </w:r>
      <w:r w:rsidRPr="00005251">
        <w:rPr>
          <w:rFonts w:eastAsiaTheme="minorEastAsia"/>
          <w:i/>
          <w:sz w:val="23"/>
          <w:szCs w:val="23"/>
          <w:rtl/>
        </w:rPr>
        <w:softHyphen/>
      </w:r>
      <w:r w:rsidRPr="00005251">
        <w:rPr>
          <w:rFonts w:eastAsiaTheme="minorEastAsia" w:hint="cs"/>
          <w:i/>
          <w:sz w:val="23"/>
          <w:szCs w:val="23"/>
          <w:rtl/>
        </w:rPr>
        <w:t>ی استخدام و اخراج نیروی کار یا</w:t>
      </w:r>
      <w:r w:rsidRPr="00005251">
        <w:rPr>
          <w:position w:val="-6"/>
        </w:rPr>
        <w:object w:dxaOrig="200" w:dyaOrig="260" w14:anchorId="10ABE0D1">
          <v:shape id="_x0000_i2442" type="#_x0000_t75" style="width:10.3pt;height:12.7pt" o:ole="">
            <v:imagedata r:id="rId2871" o:title=""/>
          </v:shape>
          <o:OLEObject Type="Embed" ProgID="Equation.DSMT4" ShapeID="_x0000_i2442" DrawAspect="Content" ObjectID="_1791376386" r:id="rId2872"/>
        </w:object>
      </w:r>
      <w:r w:rsidRPr="00005251">
        <w:rPr>
          <w:rFonts w:eastAsiaTheme="minorEastAsia"/>
          <w:i/>
          <w:sz w:val="23"/>
          <w:szCs w:val="23"/>
        </w:rPr>
        <w:t xml:space="preserve"> </w:t>
      </w:r>
      <w:r w:rsidRPr="00005251">
        <w:rPr>
          <w:rFonts w:eastAsiaTheme="minorEastAsia" w:hint="cs"/>
          <w:i/>
          <w:sz w:val="23"/>
          <w:szCs w:val="23"/>
          <w:rtl/>
        </w:rPr>
        <w:t xml:space="preserve">بالا باشد، آنگاه تعدیل شاغلین یا تغییرات در </w:t>
      </w:r>
      <w:r w:rsidRPr="00005251">
        <w:rPr>
          <w:position w:val="-10"/>
        </w:rPr>
        <w:object w:dxaOrig="240" w:dyaOrig="320" w14:anchorId="2CDC5BE3">
          <v:shape id="_x0000_i2443" type="#_x0000_t75" style="width:11.5pt;height:16.35pt" o:ole="">
            <v:imagedata r:id="rId2873" o:title=""/>
          </v:shape>
          <o:OLEObject Type="Embed" ProgID="Equation.DSMT4" ShapeID="_x0000_i2443" DrawAspect="Content" ObjectID="_1791376387" r:id="rId2874"/>
        </w:object>
      </w:r>
      <w:r w:rsidRPr="00005251">
        <w:rPr>
          <w:rFonts w:eastAsiaTheme="minorEastAsia" w:hint="cs"/>
          <w:i/>
          <w:sz w:val="23"/>
          <w:szCs w:val="23"/>
          <w:rtl/>
        </w:rPr>
        <w:t xml:space="preserve"> کندتر است.</w:t>
      </w:r>
    </w:p>
    <w:p w14:paraId="53CFCC4F" w14:textId="77777777" w:rsidR="00411620" w:rsidRPr="00005251" w:rsidRDefault="00411620" w:rsidP="00411620">
      <w:pPr>
        <w:tabs>
          <w:tab w:val="left" w:pos="4018"/>
        </w:tabs>
        <w:spacing w:line="216" w:lineRule="auto"/>
        <w:rPr>
          <w:rFonts w:eastAsiaTheme="minorEastAsia"/>
          <w:i/>
          <w:sz w:val="23"/>
          <w:szCs w:val="23"/>
          <w:rtl/>
        </w:rPr>
      </w:pPr>
      <w:r w:rsidRPr="00005251">
        <w:rPr>
          <w:rFonts w:eastAsiaTheme="minorEastAsia" w:hint="cs"/>
          <w:i/>
          <w:sz w:val="23"/>
          <w:szCs w:val="23"/>
          <w:rtl/>
        </w:rPr>
        <w:t>اکنون پاسخ ساعات کار و تعداد شاغلین را نسبت به افزایش دائمی‌ تقاضای نیروی کار که بوسیله</w:t>
      </w:r>
      <w:r w:rsidRPr="00005251">
        <w:rPr>
          <w:rFonts w:eastAsiaTheme="minorEastAsia"/>
          <w:i/>
          <w:sz w:val="23"/>
          <w:szCs w:val="23"/>
          <w:rtl/>
        </w:rPr>
        <w:softHyphen/>
      </w:r>
      <w:r w:rsidRPr="00005251">
        <w:rPr>
          <w:rFonts w:eastAsiaTheme="minorEastAsia" w:hint="cs"/>
          <w:i/>
          <w:sz w:val="23"/>
          <w:szCs w:val="23"/>
          <w:rtl/>
        </w:rPr>
        <w:t>ی افزایش در تولید نهایی ساعات</w:t>
      </w:r>
      <w:r w:rsidRPr="00005251">
        <w:rPr>
          <w:position w:val="-10"/>
        </w:rPr>
        <w:object w:dxaOrig="340" w:dyaOrig="320" w14:anchorId="1CBDE284">
          <v:shape id="_x0000_i2444" type="#_x0000_t75" style="width:16.95pt;height:16.35pt" o:ole="">
            <v:imagedata r:id="rId2875" o:title=""/>
          </v:shape>
          <o:OLEObject Type="Embed" ProgID="Equation.DSMT4" ShapeID="_x0000_i2444" DrawAspect="Content" ObjectID="_1791376388" r:id="rId2876"/>
        </w:object>
      </w:r>
      <w:r w:rsidRPr="00005251">
        <w:rPr>
          <w:rFonts w:hint="cs"/>
          <w:i/>
          <w:sz w:val="23"/>
          <w:szCs w:val="23"/>
          <w:rtl/>
        </w:rPr>
        <w:t xml:space="preserve"> </w:t>
      </w:r>
      <w:r w:rsidRPr="00005251">
        <w:rPr>
          <w:rFonts w:eastAsiaTheme="minorEastAsia" w:hint="cs"/>
          <w:i/>
          <w:sz w:val="23"/>
          <w:szCs w:val="23"/>
          <w:rtl/>
        </w:rPr>
        <w:t>و تولید نهایی تعداد نیروی کار</w:t>
      </w:r>
      <w:r w:rsidRPr="00005251">
        <w:rPr>
          <w:position w:val="-10"/>
        </w:rPr>
        <w:object w:dxaOrig="340" w:dyaOrig="320" w14:anchorId="3BA7ADA2">
          <v:shape id="_x0000_i2445" type="#_x0000_t75" style="width:16.95pt;height:16.35pt" o:ole="">
            <v:imagedata r:id="rId2877" o:title=""/>
          </v:shape>
          <o:OLEObject Type="Embed" ProgID="Equation.DSMT4" ShapeID="_x0000_i2445" DrawAspect="Content" ObjectID="_1791376389" r:id="rId2878"/>
        </w:object>
      </w:r>
      <w:r w:rsidRPr="00005251">
        <w:rPr>
          <w:rFonts w:eastAsiaTheme="minorEastAsia"/>
          <w:i/>
          <w:sz w:val="23"/>
          <w:szCs w:val="23"/>
        </w:rPr>
        <w:t xml:space="preserve"> </w:t>
      </w:r>
      <w:r w:rsidRPr="00005251">
        <w:rPr>
          <w:rFonts w:eastAsiaTheme="minorEastAsia" w:hint="cs"/>
          <w:i/>
          <w:sz w:val="23"/>
          <w:szCs w:val="23"/>
          <w:rtl/>
        </w:rPr>
        <w:t>است را بررسی می‌کنیم. برای وضوح تابع تولید را به صورت نفر-ساعت</w:t>
      </w:r>
      <w:r w:rsidRPr="00005251">
        <w:rPr>
          <w:rStyle w:val="FootnoteReference"/>
          <w:rFonts w:eastAsiaTheme="minorEastAsia"/>
          <w:i/>
          <w:sz w:val="23"/>
          <w:szCs w:val="23"/>
          <w:rtl/>
        </w:rPr>
        <w:footnoteReference w:id="133"/>
      </w:r>
      <w:r w:rsidRPr="00005251">
        <w:rPr>
          <w:rFonts w:eastAsiaTheme="minorEastAsia" w:hint="cs"/>
          <w:i/>
          <w:sz w:val="23"/>
          <w:szCs w:val="23"/>
          <w:rtl/>
        </w:rPr>
        <w:t xml:space="preserve"> یا </w:t>
      </w:r>
      <w:r w:rsidRPr="00005251">
        <w:rPr>
          <w:position w:val="-10"/>
        </w:rPr>
        <w:object w:dxaOrig="780" w:dyaOrig="320" w14:anchorId="2ABCE4DD">
          <v:shape id="_x0000_i2446" type="#_x0000_t75" style="width:39.35pt;height:16.35pt" o:ole="">
            <v:imagedata r:id="rId2879" o:title=""/>
          </v:shape>
          <o:OLEObject Type="Embed" ProgID="Equation.DSMT4" ShapeID="_x0000_i2446" DrawAspect="Content" ObjectID="_1791376390" r:id="rId2880"/>
        </w:object>
      </w:r>
      <w:r w:rsidRPr="00005251">
        <w:rPr>
          <w:rFonts w:eastAsiaTheme="minorEastAsia"/>
          <w:i/>
          <w:sz w:val="23"/>
          <w:szCs w:val="23"/>
        </w:rPr>
        <w:t xml:space="preserve"> </w:t>
      </w:r>
      <w:r w:rsidRPr="00005251">
        <w:rPr>
          <w:rFonts w:eastAsiaTheme="minorEastAsia" w:hint="cs"/>
          <w:i/>
          <w:sz w:val="23"/>
          <w:szCs w:val="23"/>
          <w:rtl/>
        </w:rPr>
        <w:t>در نظر می</w:t>
      </w:r>
      <w:r w:rsidRPr="00005251">
        <w:rPr>
          <w:rFonts w:eastAsiaTheme="minorEastAsia"/>
          <w:i/>
          <w:sz w:val="23"/>
          <w:szCs w:val="23"/>
          <w:rtl/>
        </w:rPr>
        <w:softHyphen/>
      </w:r>
      <w:r w:rsidRPr="00005251">
        <w:rPr>
          <w:rFonts w:eastAsiaTheme="minorEastAsia" w:hint="cs"/>
          <w:i/>
          <w:sz w:val="23"/>
          <w:szCs w:val="23"/>
          <w:rtl/>
        </w:rPr>
        <w:t>گیریم. باید توجه داشت که:</w:t>
      </w:r>
    </w:p>
    <w:p w14:paraId="65DDC51F"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12"/>
        </w:rPr>
        <w:object w:dxaOrig="2400" w:dyaOrig="340" w14:anchorId="2BA4B0ED">
          <v:shape id="_x0000_i2447" type="#_x0000_t75" style="width:120.4pt;height:16.95pt" o:ole="">
            <v:imagedata r:id="rId2881" o:title=""/>
          </v:shape>
          <o:OLEObject Type="Embed" ProgID="Equation.DSMT4" ShapeID="_x0000_i2447" DrawAspect="Content" ObjectID="_1791376391" r:id="rId2882"/>
        </w:object>
      </w:r>
    </w:p>
    <w:p w14:paraId="07E01413" w14:textId="77777777" w:rsidR="00411620" w:rsidRPr="00005251" w:rsidRDefault="00411620" w:rsidP="00411620">
      <w:pPr>
        <w:tabs>
          <w:tab w:val="left" w:pos="4018"/>
        </w:tabs>
        <w:spacing w:line="216" w:lineRule="auto"/>
        <w:rPr>
          <w:rFonts w:eastAsiaTheme="minorEastAsia"/>
          <w:i/>
          <w:sz w:val="23"/>
          <w:szCs w:val="23"/>
          <w:rtl/>
        </w:rPr>
      </w:pPr>
      <w:r w:rsidRPr="00005251">
        <w:rPr>
          <w:rFonts w:eastAsiaTheme="minorEastAsia" w:hint="cs"/>
          <w:i/>
          <w:sz w:val="23"/>
          <w:szCs w:val="23"/>
          <w:rtl/>
        </w:rPr>
        <w:t xml:space="preserve">و در بلندمدت : </w:t>
      </w:r>
    </w:p>
    <w:p w14:paraId="3A6EE043" w14:textId="77777777" w:rsidR="00411620" w:rsidRPr="00005251" w:rsidRDefault="00411620" w:rsidP="00411620">
      <w:pPr>
        <w:pStyle w:val="MTDisplayEquation"/>
        <w:spacing w:line="216" w:lineRule="auto"/>
        <w:rPr>
          <w:rFonts w:ascii="Times New Roman" w:hAnsi="Times New Roman" w:cs="B Nazanin"/>
          <w:i/>
          <w:sz w:val="23"/>
          <w:szCs w:val="23"/>
        </w:rPr>
      </w:pPr>
      <w:r w:rsidRPr="00005251">
        <w:rPr>
          <w:position w:val="-12"/>
        </w:rPr>
        <w:object w:dxaOrig="1440" w:dyaOrig="340" w14:anchorId="6824483D">
          <v:shape id="_x0000_i2448" type="#_x0000_t75" style="width:1in;height:16.95pt" o:ole="">
            <v:imagedata r:id="rId2883" o:title=""/>
          </v:shape>
          <o:OLEObject Type="Embed" ProgID="Equation.DSMT4" ShapeID="_x0000_i2448" DrawAspect="Content" ObjectID="_1791376392" r:id="rId2884"/>
        </w:object>
      </w:r>
    </w:p>
    <w:p w14:paraId="4A9E4F7E"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p>
    <w:p w14:paraId="365C76DB" w14:textId="77777777" w:rsidR="00411620" w:rsidRPr="00005251" w:rsidRDefault="00411620" w:rsidP="00411620">
      <w:pPr>
        <w:tabs>
          <w:tab w:val="left" w:pos="4018"/>
        </w:tabs>
        <w:spacing w:line="216" w:lineRule="auto"/>
        <w:rPr>
          <w:rFonts w:eastAsiaTheme="minorEastAsia"/>
          <w:i/>
          <w:sz w:val="23"/>
          <w:szCs w:val="23"/>
          <w:lang w:val="en-GB"/>
        </w:rPr>
      </w:pPr>
      <w:r w:rsidRPr="00005251">
        <w:rPr>
          <w:rFonts w:eastAsiaTheme="minorEastAsia" w:hint="cs"/>
          <w:i/>
          <w:sz w:val="23"/>
          <w:szCs w:val="23"/>
          <w:rtl/>
        </w:rPr>
        <w:t>و بدلیل شرط تحدب تابع</w:t>
      </w:r>
      <w:r w:rsidRPr="00005251">
        <w:rPr>
          <w:rFonts w:eastAsiaTheme="minorEastAsia"/>
          <w:i/>
          <w:sz w:val="23"/>
          <w:szCs w:val="23"/>
        </w:rPr>
        <w:t xml:space="preserve"> </w:t>
      </w:r>
      <w:r w:rsidRPr="00005251">
        <w:rPr>
          <w:rFonts w:eastAsiaTheme="minorEastAsia" w:hint="cs"/>
          <w:i/>
          <w:sz w:val="23"/>
          <w:szCs w:val="23"/>
          <w:rtl/>
        </w:rPr>
        <w:t xml:space="preserve">دستمزد یعنی </w:t>
      </w:r>
      <w:r w:rsidRPr="00005251">
        <w:rPr>
          <w:position w:val="-6"/>
        </w:rPr>
        <w:object w:dxaOrig="680" w:dyaOrig="260" w14:anchorId="52F44BB0">
          <v:shape id="_x0000_i2449" type="#_x0000_t75" style="width:33.9pt;height:12.7pt" o:ole="">
            <v:imagedata r:id="rId2885" o:title=""/>
          </v:shape>
          <o:OLEObject Type="Embed" ProgID="Equation.DSMT4" ShapeID="_x0000_i2449" DrawAspect="Content" ObjectID="_1791376393" r:id="rId2886"/>
        </w:object>
      </w:r>
      <w:r w:rsidRPr="00005251">
        <w:rPr>
          <w:rFonts w:eastAsiaTheme="minorEastAsia"/>
          <w:i/>
          <w:sz w:val="23"/>
          <w:szCs w:val="23"/>
        </w:rPr>
        <w:t xml:space="preserve"> </w:t>
      </w:r>
      <w:r w:rsidRPr="00005251">
        <w:rPr>
          <w:rFonts w:eastAsiaTheme="minorEastAsia" w:hint="cs"/>
          <w:i/>
          <w:sz w:val="23"/>
          <w:szCs w:val="23"/>
          <w:rtl/>
        </w:rPr>
        <w:t xml:space="preserve">و </w:t>
      </w:r>
      <w:r w:rsidRPr="00005251">
        <w:rPr>
          <w:position w:val="-6"/>
        </w:rPr>
        <w:object w:dxaOrig="720" w:dyaOrig="260" w14:anchorId="01087EA0">
          <v:shape id="_x0000_i2450" type="#_x0000_t75" style="width:36.3pt;height:12.7pt" o:ole="">
            <v:imagedata r:id="rId2887" o:title=""/>
          </v:shape>
          <o:OLEObject Type="Embed" ProgID="Equation.DSMT4" ShapeID="_x0000_i2450" DrawAspect="Content" ObjectID="_1791376394" r:id="rId2888"/>
        </w:object>
      </w:r>
      <w:r w:rsidRPr="00005251">
        <w:rPr>
          <w:rFonts w:eastAsiaTheme="minorEastAsia" w:hint="cs"/>
          <w:i/>
          <w:sz w:val="23"/>
          <w:szCs w:val="23"/>
          <w:rtl/>
          <w:lang w:val="en-GB"/>
        </w:rPr>
        <w:t>خواهیم داشت</w:t>
      </w:r>
    </w:p>
    <w:p w14:paraId="1448807C"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28"/>
        </w:rPr>
        <w:object w:dxaOrig="1719" w:dyaOrig="660" w14:anchorId="3DEE71E1">
          <v:shape id="_x0000_i2451" type="#_x0000_t75" style="width:85.9pt;height:32.65pt" o:ole="">
            <v:imagedata r:id="rId2889" o:title=""/>
          </v:shape>
          <o:OLEObject Type="Embed" ProgID="Equation.DSMT4" ShapeID="_x0000_i2451" DrawAspect="Content" ObjectID="_1791376395" r:id="rId2890"/>
        </w:object>
      </w:r>
    </w:p>
    <w:p w14:paraId="3C75CF1E" w14:textId="77777777" w:rsidR="00411620" w:rsidRPr="00005251" w:rsidRDefault="00411620" w:rsidP="00411620">
      <w:pPr>
        <w:tabs>
          <w:tab w:val="left" w:pos="4018"/>
        </w:tabs>
        <w:spacing w:line="216" w:lineRule="auto"/>
        <w:rPr>
          <w:i/>
          <w:noProof/>
          <w:sz w:val="23"/>
          <w:szCs w:val="23"/>
        </w:rPr>
      </w:pPr>
      <w:r w:rsidRPr="00005251">
        <w:rPr>
          <w:rFonts w:eastAsiaTheme="minorEastAsia" w:hint="cs"/>
          <w:i/>
          <w:sz w:val="23"/>
          <w:szCs w:val="23"/>
          <w:rtl/>
        </w:rPr>
        <w:t>لذا در بلندمدت افزایش ساعات کار به ازای نیروی کار هزینه بالاتری نسبت به افزایش تعداد نیروی کار دارد، زیرا</w:t>
      </w:r>
      <w:r w:rsidRPr="00005251">
        <w:rPr>
          <w:position w:val="-6"/>
        </w:rPr>
        <w:object w:dxaOrig="320" w:dyaOrig="260" w14:anchorId="7F938F97">
          <v:shape id="_x0000_i2452" type="#_x0000_t75" style="width:16.35pt;height:12.7pt" o:ole="">
            <v:imagedata r:id="rId2891" o:title=""/>
          </v:shape>
          <o:OLEObject Type="Embed" ProgID="Equation.DSMT4" ShapeID="_x0000_i2452" DrawAspect="Content" ObjectID="_1791376396" r:id="rId2892"/>
        </w:object>
      </w:r>
      <w:r w:rsidRPr="00005251">
        <w:rPr>
          <w:rFonts w:eastAsiaTheme="minorEastAsia"/>
          <w:i/>
          <w:sz w:val="23"/>
          <w:szCs w:val="23"/>
        </w:rPr>
        <w:t xml:space="preserve"> </w:t>
      </w:r>
      <w:r w:rsidRPr="00005251">
        <w:rPr>
          <w:rFonts w:eastAsiaTheme="minorEastAsia" w:hint="cs"/>
          <w:i/>
          <w:sz w:val="23"/>
          <w:szCs w:val="23"/>
          <w:rtl/>
        </w:rPr>
        <w:t>بیشتر از</w:t>
      </w:r>
      <w:r w:rsidRPr="00005251">
        <w:rPr>
          <w:position w:val="-6"/>
        </w:rPr>
        <w:object w:dxaOrig="279" w:dyaOrig="260" w14:anchorId="5AF88AC4">
          <v:shape id="_x0000_i2453" type="#_x0000_t75" style="width:13.9pt;height:12.7pt" o:ole="">
            <v:imagedata r:id="rId2893" o:title=""/>
          </v:shape>
          <o:OLEObject Type="Embed" ProgID="Equation.DSMT4" ShapeID="_x0000_i2453" DrawAspect="Content" ObjectID="_1791376397" r:id="rId2894"/>
        </w:object>
      </w:r>
      <w:r w:rsidRPr="00005251">
        <w:rPr>
          <w:rFonts w:eastAsiaTheme="minorEastAsia" w:hint="cs"/>
          <w:i/>
          <w:sz w:val="23"/>
          <w:szCs w:val="23"/>
          <w:rtl/>
        </w:rPr>
        <w:t xml:space="preserve"> افزایش می</w:t>
      </w:r>
      <w:r w:rsidRPr="00005251">
        <w:rPr>
          <w:rFonts w:eastAsiaTheme="minorEastAsia"/>
          <w:i/>
          <w:sz w:val="23"/>
          <w:szCs w:val="23"/>
        </w:rPr>
        <w:softHyphen/>
      </w:r>
      <w:r w:rsidRPr="00005251">
        <w:rPr>
          <w:rFonts w:eastAsiaTheme="minorEastAsia" w:hint="cs"/>
          <w:i/>
          <w:sz w:val="23"/>
          <w:szCs w:val="23"/>
          <w:rtl/>
        </w:rPr>
        <w:t>یابد</w:t>
      </w:r>
      <w:r w:rsidRPr="00005251">
        <w:rPr>
          <w:rFonts w:eastAsiaTheme="minorEastAsia"/>
          <w:i/>
          <w:sz w:val="23"/>
          <w:szCs w:val="23"/>
        </w:rPr>
        <w:t>.</w:t>
      </w:r>
      <w:r w:rsidRPr="00005251">
        <w:rPr>
          <w:rFonts w:eastAsiaTheme="minorEastAsia" w:hint="cs"/>
          <w:i/>
          <w:sz w:val="23"/>
          <w:szCs w:val="23"/>
          <w:rtl/>
        </w:rPr>
        <w:t xml:space="preserve"> بنابراین در بلندمدت ساعات کار ثابت و تعداد کارگران افزایش می</w:t>
      </w:r>
      <w:r w:rsidRPr="00005251">
        <w:rPr>
          <w:rFonts w:eastAsiaTheme="minorEastAsia"/>
          <w:i/>
          <w:sz w:val="23"/>
          <w:szCs w:val="23"/>
        </w:rPr>
        <w:softHyphen/>
      </w:r>
      <w:r w:rsidRPr="00005251">
        <w:rPr>
          <w:rFonts w:eastAsiaTheme="minorEastAsia" w:hint="cs"/>
          <w:i/>
          <w:sz w:val="23"/>
          <w:szCs w:val="23"/>
          <w:rtl/>
        </w:rPr>
        <w:t>یابد. ولی در کوتاه</w:t>
      </w:r>
      <w:r w:rsidRPr="00005251">
        <w:rPr>
          <w:rFonts w:eastAsiaTheme="minorEastAsia"/>
          <w:i/>
          <w:sz w:val="23"/>
          <w:szCs w:val="23"/>
        </w:rPr>
        <w:softHyphen/>
      </w:r>
      <w:r w:rsidRPr="00005251">
        <w:rPr>
          <w:rFonts w:eastAsiaTheme="minorEastAsia" w:hint="cs"/>
          <w:i/>
          <w:sz w:val="23"/>
          <w:szCs w:val="23"/>
          <w:rtl/>
        </w:rPr>
        <w:t>مدت از آنجا که اشتغال زمان</w:t>
      </w:r>
      <w:r w:rsidRPr="00005251">
        <w:rPr>
          <w:rFonts w:eastAsiaTheme="minorEastAsia"/>
          <w:i/>
          <w:sz w:val="23"/>
          <w:szCs w:val="23"/>
          <w:rtl/>
        </w:rPr>
        <w:softHyphen/>
      </w:r>
      <w:r w:rsidRPr="00005251">
        <w:rPr>
          <w:rFonts w:eastAsiaTheme="minorEastAsia" w:hint="cs"/>
          <w:i/>
          <w:sz w:val="23"/>
          <w:szCs w:val="23"/>
          <w:rtl/>
        </w:rPr>
        <w:t>بر است لذا جهت تعدیل نیروی کار، تغییرات آنی در مقدار ساعات کار صورت می</w:t>
      </w:r>
      <w:r w:rsidRPr="00005251">
        <w:rPr>
          <w:rFonts w:eastAsiaTheme="minorEastAsia"/>
          <w:i/>
          <w:sz w:val="23"/>
          <w:szCs w:val="23"/>
          <w:rtl/>
        </w:rPr>
        <w:softHyphen/>
      </w:r>
      <w:r w:rsidRPr="00005251">
        <w:rPr>
          <w:rFonts w:eastAsiaTheme="minorEastAsia" w:hint="cs"/>
          <w:i/>
          <w:sz w:val="23"/>
          <w:szCs w:val="23"/>
          <w:rtl/>
        </w:rPr>
        <w:t xml:space="preserve">گیرد. پاسخ ساعات کار و تعداد شاغلین نسبت به افزایش موقتی </w:t>
      </w:r>
      <w:r w:rsidRPr="00005251">
        <w:rPr>
          <w:rFonts w:eastAsiaTheme="minorEastAsia" w:hint="cs"/>
          <w:i/>
          <w:sz w:val="23"/>
          <w:szCs w:val="23"/>
          <w:rtl/>
        </w:rPr>
        <w:lastRenderedPageBreak/>
        <w:t>در تقاضا برای نیروی کار بستگی به هزینه</w:t>
      </w:r>
      <w:r w:rsidRPr="00005251">
        <w:rPr>
          <w:rFonts w:eastAsiaTheme="minorEastAsia"/>
          <w:i/>
          <w:sz w:val="23"/>
          <w:szCs w:val="23"/>
          <w:rtl/>
        </w:rPr>
        <w:softHyphen/>
      </w:r>
      <w:r w:rsidRPr="00005251">
        <w:rPr>
          <w:rFonts w:eastAsiaTheme="minorEastAsia" w:hint="cs"/>
          <w:i/>
          <w:sz w:val="23"/>
          <w:szCs w:val="23"/>
          <w:rtl/>
        </w:rPr>
        <w:t>ی</w:t>
      </w:r>
      <w:r w:rsidRPr="00005251">
        <w:rPr>
          <w:i/>
          <w:noProof/>
          <w:sz w:val="23"/>
          <w:szCs w:val="23"/>
          <w:rtl/>
        </w:rPr>
        <w:t xml:space="preserve"> </w:t>
      </w:r>
      <w:r w:rsidRPr="00005251">
        <w:rPr>
          <w:rFonts w:hint="cs"/>
          <w:i/>
          <w:noProof/>
          <w:sz w:val="23"/>
          <w:szCs w:val="23"/>
          <w:rtl/>
        </w:rPr>
        <w:t>استخدام</w:t>
      </w:r>
      <w:r w:rsidRPr="00005251">
        <w:rPr>
          <w:i/>
          <w:noProof/>
          <w:sz w:val="23"/>
          <w:szCs w:val="23"/>
          <w:rtl/>
        </w:rPr>
        <w:t xml:space="preserve"> </w:t>
      </w:r>
      <w:r w:rsidRPr="00005251">
        <w:rPr>
          <w:rFonts w:hint="cs"/>
          <w:i/>
          <w:noProof/>
          <w:sz w:val="23"/>
          <w:szCs w:val="23"/>
          <w:rtl/>
        </w:rPr>
        <w:t>و</w:t>
      </w:r>
      <w:r w:rsidRPr="00005251">
        <w:rPr>
          <w:i/>
          <w:noProof/>
          <w:sz w:val="23"/>
          <w:szCs w:val="23"/>
          <w:rtl/>
        </w:rPr>
        <w:t xml:space="preserve"> </w:t>
      </w:r>
      <w:r w:rsidRPr="00005251">
        <w:rPr>
          <w:rFonts w:hint="cs"/>
          <w:i/>
          <w:noProof/>
          <w:sz w:val="23"/>
          <w:szCs w:val="23"/>
          <w:rtl/>
        </w:rPr>
        <w:t>اخراج</w:t>
      </w:r>
      <w:r w:rsidRPr="00005251">
        <w:rPr>
          <w:rFonts w:eastAsiaTheme="minorEastAsia" w:hint="cs"/>
          <w:i/>
          <w:sz w:val="23"/>
          <w:szCs w:val="23"/>
          <w:rtl/>
        </w:rPr>
        <w:t xml:space="preserve"> نسبت به افزایش هزینه ساعات کار دارد.</w:t>
      </w:r>
      <w:r w:rsidRPr="00005251">
        <w:rPr>
          <w:rFonts w:hint="cs"/>
          <w:i/>
          <w:noProof/>
          <w:sz w:val="23"/>
          <w:szCs w:val="23"/>
          <w:rtl/>
        </w:rPr>
        <w:t xml:space="preserve"> </w:t>
      </w:r>
    </w:p>
    <w:p w14:paraId="0E9782F9" w14:textId="77777777" w:rsidR="00411620" w:rsidRPr="00005251" w:rsidRDefault="00411620" w:rsidP="00411620">
      <w:pPr>
        <w:tabs>
          <w:tab w:val="left" w:pos="4018"/>
        </w:tabs>
        <w:spacing w:line="216" w:lineRule="auto"/>
        <w:rPr>
          <w:rFonts w:eastAsiaTheme="minorEastAsia"/>
          <w:i/>
          <w:sz w:val="23"/>
          <w:szCs w:val="23"/>
          <w:rtl/>
        </w:rPr>
      </w:pPr>
    </w:p>
    <w:p w14:paraId="65885276" w14:textId="77777777" w:rsidR="00411620" w:rsidRPr="00005251" w:rsidRDefault="00411620" w:rsidP="00411620">
      <w:pPr>
        <w:pStyle w:val="Heading1"/>
        <w:spacing w:before="0" w:after="0" w:line="216" w:lineRule="auto"/>
        <w:rPr>
          <w:rFonts w:ascii="Times New Roman" w:eastAsiaTheme="minorEastAsia" w:hAnsi="Times New Roman" w:cs="B Nazanin"/>
          <w:b w:val="0"/>
          <w:i/>
          <w:sz w:val="23"/>
          <w:szCs w:val="23"/>
          <w:rtl/>
        </w:rPr>
      </w:pPr>
      <w:r w:rsidRPr="00005251">
        <w:rPr>
          <w:rFonts w:ascii="Times New Roman" w:eastAsiaTheme="minorEastAsia" w:hAnsi="Times New Roman" w:cs="B Nazanin" w:hint="cs"/>
          <w:b w:val="0"/>
          <w:i/>
          <w:sz w:val="23"/>
          <w:szCs w:val="23"/>
          <w:rtl/>
        </w:rPr>
        <w:t>۴. ۴ تعادل عمومی‌در اقتصاد غیرمتمرکز</w:t>
      </w:r>
    </w:p>
    <w:p w14:paraId="39D06810" w14:textId="77777777" w:rsidR="00411620" w:rsidRPr="00005251" w:rsidRDefault="00411620" w:rsidP="00411620">
      <w:pPr>
        <w:tabs>
          <w:tab w:val="left" w:pos="4018"/>
        </w:tabs>
        <w:spacing w:line="216" w:lineRule="auto"/>
        <w:rPr>
          <w:rFonts w:eastAsiaTheme="minorEastAsia"/>
          <w:i/>
          <w:sz w:val="23"/>
          <w:szCs w:val="23"/>
          <w:rtl/>
        </w:rPr>
      </w:pPr>
      <w:r w:rsidRPr="00005251">
        <w:rPr>
          <w:rFonts w:eastAsiaTheme="minorEastAsia" w:hint="cs"/>
          <w:i/>
          <w:sz w:val="23"/>
          <w:szCs w:val="23"/>
          <w:rtl/>
        </w:rPr>
        <w:t>تعادل عمومی‌ از طریق تعامل تصمیمات خانوار و بنگاه صورت می</w:t>
      </w:r>
      <w:r w:rsidRPr="00005251">
        <w:rPr>
          <w:rFonts w:eastAsiaTheme="minorEastAsia"/>
          <w:i/>
          <w:sz w:val="23"/>
          <w:szCs w:val="23"/>
          <w:rtl/>
        </w:rPr>
        <w:softHyphen/>
      </w:r>
      <w:r w:rsidRPr="00005251">
        <w:rPr>
          <w:rFonts w:eastAsiaTheme="minorEastAsia" w:hint="cs"/>
          <w:i/>
          <w:sz w:val="23"/>
          <w:szCs w:val="23"/>
          <w:rtl/>
        </w:rPr>
        <w:t>گیرد. در بازار کالا، تصمیمات مصرفی خانوار، و تصمیمات تولیدی و سرمایه</w:t>
      </w:r>
      <w:r w:rsidRPr="00005251">
        <w:rPr>
          <w:rFonts w:eastAsiaTheme="minorEastAsia"/>
          <w:i/>
          <w:sz w:val="23"/>
          <w:szCs w:val="23"/>
          <w:rtl/>
        </w:rPr>
        <w:softHyphen/>
      </w:r>
      <w:r w:rsidRPr="00005251">
        <w:rPr>
          <w:rFonts w:eastAsiaTheme="minorEastAsia" w:hint="cs"/>
          <w:i/>
          <w:sz w:val="23"/>
          <w:szCs w:val="23"/>
          <w:rtl/>
        </w:rPr>
        <w:t>گذاریِ بنگاه در تعامل است. در بازار نیروی کار تقاضای بنگاه برای نیروی کار و عرضه نیروی کارِ خانوار بواسطه</w:t>
      </w:r>
      <w:r w:rsidRPr="00005251">
        <w:rPr>
          <w:rFonts w:eastAsiaTheme="minorEastAsia"/>
          <w:i/>
          <w:sz w:val="23"/>
          <w:szCs w:val="23"/>
          <w:rtl/>
        </w:rPr>
        <w:softHyphen/>
      </w:r>
      <w:r w:rsidRPr="00005251">
        <w:rPr>
          <w:rFonts w:eastAsiaTheme="minorEastAsia" w:hint="cs"/>
          <w:i/>
          <w:sz w:val="23"/>
          <w:szCs w:val="23"/>
          <w:rtl/>
        </w:rPr>
        <w:t>ی دستمزد حقیقی هماهنگ خواهد شد. در بازار مالی تصمیمات در خصوص پس‌انداز خانوار و نیازهای مالی بنگاه از طریق نرخ بهره</w:t>
      </w:r>
      <w:r w:rsidRPr="00005251">
        <w:rPr>
          <w:rFonts w:eastAsiaTheme="minorEastAsia"/>
          <w:i/>
          <w:sz w:val="23"/>
          <w:szCs w:val="23"/>
          <w:rtl/>
        </w:rPr>
        <w:softHyphen/>
      </w:r>
      <w:r w:rsidRPr="00005251">
        <w:rPr>
          <w:rFonts w:eastAsiaTheme="minorEastAsia" w:hint="cs"/>
          <w:i/>
          <w:sz w:val="23"/>
          <w:szCs w:val="23"/>
          <w:rtl/>
        </w:rPr>
        <w:t>ی حقیقی تعدیل می</w:t>
      </w:r>
      <w:r w:rsidRPr="00005251">
        <w:rPr>
          <w:rFonts w:eastAsiaTheme="minorEastAsia"/>
          <w:i/>
          <w:sz w:val="23"/>
          <w:szCs w:val="23"/>
          <w:rtl/>
        </w:rPr>
        <w:softHyphen/>
      </w:r>
      <w:r w:rsidRPr="00005251">
        <w:rPr>
          <w:rFonts w:eastAsiaTheme="minorEastAsia" w:hint="cs"/>
          <w:i/>
          <w:sz w:val="23"/>
          <w:szCs w:val="23"/>
          <w:rtl/>
        </w:rPr>
        <w:t>شود، و در بازار اوراق قرضه</w:t>
      </w:r>
      <w:r w:rsidRPr="00005251">
        <w:rPr>
          <w:rStyle w:val="FootnoteReference"/>
          <w:rFonts w:eastAsiaTheme="minorEastAsia"/>
          <w:i/>
          <w:sz w:val="23"/>
          <w:szCs w:val="23"/>
          <w:rtl/>
        </w:rPr>
        <w:footnoteReference w:id="134"/>
      </w:r>
      <w:r w:rsidRPr="00005251">
        <w:rPr>
          <w:rFonts w:eastAsiaTheme="minorEastAsia" w:hint="cs"/>
          <w:i/>
          <w:sz w:val="23"/>
          <w:szCs w:val="23"/>
          <w:rtl/>
        </w:rPr>
        <w:t xml:space="preserve"> دارایی</w:t>
      </w:r>
      <w:r w:rsidRPr="00005251">
        <w:rPr>
          <w:rFonts w:eastAsiaTheme="minorEastAsia"/>
          <w:i/>
          <w:sz w:val="23"/>
          <w:szCs w:val="23"/>
          <w:rtl/>
        </w:rPr>
        <w:softHyphen/>
      </w:r>
      <w:r w:rsidRPr="00005251">
        <w:rPr>
          <w:rFonts w:eastAsiaTheme="minorEastAsia" w:hint="cs"/>
          <w:i/>
          <w:sz w:val="23"/>
          <w:szCs w:val="23"/>
          <w:rtl/>
        </w:rPr>
        <w:t xml:space="preserve">های مالی خانوار با استقراض بنگاه هماهنگ می‌شود. </w:t>
      </w:r>
      <w:r w:rsidRPr="00005251">
        <w:rPr>
          <w:rFonts w:hint="cs"/>
          <w:i/>
          <w:noProof/>
          <w:sz w:val="23"/>
          <w:szCs w:val="23"/>
          <w:rtl/>
        </w:rPr>
        <w:t>در صورت عدم وجود</w:t>
      </w:r>
      <w:r w:rsidRPr="00005251">
        <w:rPr>
          <w:i/>
          <w:noProof/>
          <w:sz w:val="23"/>
          <w:szCs w:val="23"/>
          <w:rtl/>
        </w:rPr>
        <w:t xml:space="preserve"> </w:t>
      </w:r>
      <w:r w:rsidRPr="00005251">
        <w:rPr>
          <w:rFonts w:hint="cs"/>
          <w:i/>
          <w:noProof/>
          <w:sz w:val="23"/>
          <w:szCs w:val="23"/>
          <w:rtl/>
        </w:rPr>
        <w:t>ریسک،</w:t>
      </w:r>
      <w:r w:rsidRPr="00005251">
        <w:rPr>
          <w:i/>
          <w:noProof/>
          <w:sz w:val="23"/>
          <w:szCs w:val="23"/>
          <w:rtl/>
        </w:rPr>
        <w:t xml:space="preserve"> </w:t>
      </w:r>
      <w:r w:rsidRPr="00005251">
        <w:rPr>
          <w:rFonts w:hint="cs"/>
          <w:i/>
          <w:noProof/>
          <w:sz w:val="23"/>
          <w:szCs w:val="23"/>
          <w:rtl/>
        </w:rPr>
        <w:t>قیمت</w:t>
      </w:r>
      <w:r w:rsidRPr="00005251">
        <w:rPr>
          <w:i/>
          <w:noProof/>
          <w:sz w:val="23"/>
          <w:szCs w:val="23"/>
          <w:rtl/>
        </w:rPr>
        <w:t xml:space="preserve"> </w:t>
      </w:r>
      <w:r w:rsidRPr="00005251">
        <w:rPr>
          <w:rFonts w:hint="cs"/>
          <w:i/>
          <w:noProof/>
          <w:sz w:val="23"/>
          <w:szCs w:val="23"/>
          <w:rtl/>
        </w:rPr>
        <w:t>اوراق</w:t>
      </w:r>
      <w:r w:rsidRPr="00005251">
        <w:rPr>
          <w:i/>
          <w:noProof/>
          <w:sz w:val="23"/>
          <w:szCs w:val="23"/>
          <w:rtl/>
        </w:rPr>
        <w:t xml:space="preserve"> </w:t>
      </w:r>
      <w:r w:rsidRPr="00005251">
        <w:rPr>
          <w:rFonts w:hint="cs"/>
          <w:i/>
          <w:noProof/>
          <w:sz w:val="23"/>
          <w:szCs w:val="23"/>
          <w:rtl/>
        </w:rPr>
        <w:t>قرضه</w:t>
      </w:r>
      <w:r w:rsidRPr="00005251">
        <w:rPr>
          <w:i/>
          <w:noProof/>
          <w:sz w:val="23"/>
          <w:szCs w:val="23"/>
          <w:rtl/>
        </w:rPr>
        <w:t xml:space="preserve"> </w:t>
      </w:r>
      <w:r w:rsidRPr="00005251">
        <w:rPr>
          <w:rFonts w:hint="cs"/>
          <w:i/>
          <w:noProof/>
          <w:sz w:val="23"/>
          <w:szCs w:val="23"/>
          <w:rtl/>
        </w:rPr>
        <w:t>از برابری نرخ بازدهی سرمایه</w:t>
      </w:r>
      <w:r w:rsidRPr="00005251">
        <w:rPr>
          <w:i/>
          <w:noProof/>
          <w:sz w:val="23"/>
          <w:szCs w:val="23"/>
          <w:rtl/>
        </w:rPr>
        <w:t xml:space="preserve"> </w:t>
      </w:r>
      <w:r w:rsidRPr="00005251">
        <w:rPr>
          <w:rFonts w:hint="cs"/>
          <w:i/>
          <w:noProof/>
          <w:sz w:val="23"/>
          <w:szCs w:val="23"/>
          <w:rtl/>
        </w:rPr>
        <w:t>با</w:t>
      </w:r>
      <w:r w:rsidRPr="00005251">
        <w:rPr>
          <w:i/>
          <w:noProof/>
          <w:sz w:val="23"/>
          <w:szCs w:val="23"/>
          <w:rtl/>
        </w:rPr>
        <w:t xml:space="preserve"> </w:t>
      </w:r>
      <w:r w:rsidRPr="00005251">
        <w:rPr>
          <w:rFonts w:hint="cs"/>
          <w:i/>
          <w:noProof/>
          <w:sz w:val="23"/>
          <w:szCs w:val="23"/>
          <w:rtl/>
        </w:rPr>
        <w:t>نرخ</w:t>
      </w:r>
      <w:r w:rsidRPr="00005251">
        <w:rPr>
          <w:i/>
          <w:noProof/>
          <w:sz w:val="23"/>
          <w:szCs w:val="23"/>
          <w:rtl/>
        </w:rPr>
        <w:t xml:space="preserve"> </w:t>
      </w:r>
      <w:r w:rsidRPr="00005251">
        <w:rPr>
          <w:rFonts w:hint="cs"/>
          <w:i/>
          <w:noProof/>
          <w:sz w:val="23"/>
          <w:szCs w:val="23"/>
          <w:rtl/>
        </w:rPr>
        <w:t>ترجیحات</w:t>
      </w:r>
      <w:r w:rsidRPr="00005251">
        <w:rPr>
          <w:i/>
          <w:noProof/>
          <w:sz w:val="23"/>
          <w:szCs w:val="23"/>
          <w:rtl/>
        </w:rPr>
        <w:t xml:space="preserve"> </w:t>
      </w:r>
      <w:r w:rsidRPr="00005251">
        <w:rPr>
          <w:rFonts w:hint="cs"/>
          <w:i/>
          <w:noProof/>
          <w:sz w:val="23"/>
          <w:szCs w:val="23"/>
          <w:rtl/>
        </w:rPr>
        <w:t>زمانی</w:t>
      </w:r>
      <w:r w:rsidRPr="00005251">
        <w:rPr>
          <w:i/>
          <w:noProof/>
          <w:sz w:val="23"/>
          <w:szCs w:val="23"/>
          <w:rtl/>
        </w:rPr>
        <w:t xml:space="preserve"> </w:t>
      </w:r>
      <w:r w:rsidRPr="00005251">
        <w:rPr>
          <w:rFonts w:hint="cs"/>
          <w:i/>
          <w:noProof/>
          <w:sz w:val="23"/>
          <w:szCs w:val="23"/>
          <w:rtl/>
        </w:rPr>
        <w:t>خانوار در بلندمدت</w:t>
      </w:r>
      <w:r w:rsidRPr="00005251">
        <w:rPr>
          <w:i/>
          <w:noProof/>
          <w:sz w:val="23"/>
          <w:szCs w:val="23"/>
          <w:rtl/>
        </w:rPr>
        <w:t xml:space="preserve"> </w:t>
      </w:r>
      <w:r w:rsidRPr="00005251">
        <w:rPr>
          <w:rFonts w:hint="cs"/>
          <w:i/>
          <w:noProof/>
          <w:sz w:val="23"/>
          <w:szCs w:val="23"/>
          <w:rtl/>
        </w:rPr>
        <w:t>تعیین</w:t>
      </w:r>
      <w:r w:rsidRPr="00005251">
        <w:rPr>
          <w:i/>
          <w:noProof/>
          <w:sz w:val="23"/>
          <w:szCs w:val="23"/>
          <w:rtl/>
        </w:rPr>
        <w:t xml:space="preserve"> </w:t>
      </w:r>
      <w:r w:rsidRPr="00005251">
        <w:rPr>
          <w:rFonts w:hint="cs"/>
          <w:i/>
          <w:noProof/>
          <w:sz w:val="23"/>
          <w:szCs w:val="23"/>
          <w:rtl/>
        </w:rPr>
        <w:t>می</w:t>
      </w:r>
      <w:r w:rsidRPr="00005251">
        <w:rPr>
          <w:i/>
          <w:noProof/>
          <w:sz w:val="23"/>
          <w:szCs w:val="23"/>
          <w:rtl/>
        </w:rPr>
        <w:softHyphen/>
      </w:r>
      <w:r w:rsidRPr="00005251">
        <w:rPr>
          <w:rFonts w:hint="cs"/>
          <w:i/>
          <w:noProof/>
          <w:sz w:val="23"/>
          <w:szCs w:val="23"/>
          <w:rtl/>
        </w:rPr>
        <w:t>شود</w:t>
      </w:r>
      <w:r w:rsidRPr="00005251">
        <w:rPr>
          <w:i/>
          <w:noProof/>
          <w:sz w:val="23"/>
          <w:szCs w:val="23"/>
          <w:rtl/>
        </w:rPr>
        <w:t xml:space="preserve">. </w:t>
      </w:r>
      <w:r w:rsidRPr="00005251">
        <w:rPr>
          <w:rFonts w:hint="cs"/>
          <w:i/>
          <w:noProof/>
          <w:sz w:val="23"/>
          <w:szCs w:val="23"/>
          <w:rtl/>
        </w:rPr>
        <w:t>و</w:t>
      </w:r>
      <w:r w:rsidRPr="00005251">
        <w:rPr>
          <w:i/>
          <w:noProof/>
          <w:sz w:val="23"/>
          <w:szCs w:val="23"/>
          <w:rtl/>
        </w:rPr>
        <w:t xml:space="preserve"> </w:t>
      </w:r>
      <w:r w:rsidRPr="00005251">
        <w:rPr>
          <w:rFonts w:hint="cs"/>
          <w:i/>
          <w:noProof/>
          <w:sz w:val="23"/>
          <w:szCs w:val="23"/>
          <w:rtl/>
        </w:rPr>
        <w:t>در بازار</w:t>
      </w:r>
      <w:r w:rsidRPr="00005251">
        <w:rPr>
          <w:i/>
          <w:noProof/>
          <w:sz w:val="23"/>
          <w:szCs w:val="23"/>
          <w:rtl/>
        </w:rPr>
        <w:t xml:space="preserve"> </w:t>
      </w:r>
      <w:r w:rsidRPr="00005251">
        <w:rPr>
          <w:rFonts w:hint="cs"/>
          <w:i/>
          <w:noProof/>
          <w:sz w:val="23"/>
          <w:szCs w:val="23"/>
          <w:rtl/>
        </w:rPr>
        <w:t>سهام</w:t>
      </w:r>
      <w:r w:rsidRPr="00005251">
        <w:rPr>
          <w:i/>
          <w:noProof/>
          <w:sz w:val="23"/>
          <w:szCs w:val="23"/>
          <w:rtl/>
        </w:rPr>
        <w:t xml:space="preserve"> </w:t>
      </w:r>
      <w:r w:rsidRPr="00005251">
        <w:rPr>
          <w:rFonts w:hint="cs"/>
          <w:i/>
          <w:noProof/>
          <w:sz w:val="23"/>
          <w:szCs w:val="23"/>
          <w:rtl/>
        </w:rPr>
        <w:t>قیمت</w:t>
      </w:r>
      <w:r w:rsidRPr="00005251">
        <w:rPr>
          <w:i/>
          <w:noProof/>
          <w:sz w:val="23"/>
          <w:szCs w:val="23"/>
          <w:rtl/>
        </w:rPr>
        <w:softHyphen/>
      </w:r>
      <w:r w:rsidRPr="00005251">
        <w:rPr>
          <w:rFonts w:hint="cs"/>
          <w:i/>
          <w:noProof/>
          <w:sz w:val="23"/>
          <w:szCs w:val="23"/>
          <w:rtl/>
        </w:rPr>
        <w:t>گذاری سرمایه</w:t>
      </w:r>
      <w:r w:rsidRPr="00005251">
        <w:rPr>
          <w:i/>
          <w:noProof/>
          <w:sz w:val="23"/>
          <w:szCs w:val="23"/>
          <w:rtl/>
        </w:rPr>
        <w:softHyphen/>
      </w:r>
      <w:r w:rsidRPr="00005251">
        <w:rPr>
          <w:rFonts w:hint="cs"/>
          <w:i/>
          <w:noProof/>
          <w:sz w:val="23"/>
          <w:szCs w:val="23"/>
          <w:rtl/>
        </w:rPr>
        <w:t>ی</w:t>
      </w:r>
      <w:r w:rsidRPr="00005251">
        <w:rPr>
          <w:i/>
          <w:noProof/>
          <w:sz w:val="23"/>
          <w:szCs w:val="23"/>
          <w:rtl/>
        </w:rPr>
        <w:t xml:space="preserve"> </w:t>
      </w:r>
      <w:r w:rsidRPr="00005251">
        <w:rPr>
          <w:rFonts w:hint="cs"/>
          <w:i/>
          <w:noProof/>
          <w:sz w:val="23"/>
          <w:szCs w:val="23"/>
          <w:rtl/>
        </w:rPr>
        <w:t>بنگاه</w:t>
      </w:r>
      <w:r w:rsidRPr="00005251">
        <w:rPr>
          <w:i/>
          <w:noProof/>
          <w:sz w:val="23"/>
          <w:szCs w:val="23"/>
          <w:rtl/>
        </w:rPr>
        <w:softHyphen/>
      </w:r>
      <w:r w:rsidRPr="00005251">
        <w:rPr>
          <w:rFonts w:hint="cs"/>
          <w:i/>
          <w:noProof/>
          <w:sz w:val="23"/>
          <w:szCs w:val="23"/>
          <w:rtl/>
        </w:rPr>
        <w:t>ها به صورتی است که نرخ</w:t>
      </w:r>
      <w:r w:rsidRPr="00005251">
        <w:rPr>
          <w:i/>
          <w:noProof/>
          <w:sz w:val="23"/>
          <w:szCs w:val="23"/>
          <w:rtl/>
        </w:rPr>
        <w:t xml:space="preserve"> </w:t>
      </w:r>
      <w:r w:rsidRPr="00005251">
        <w:rPr>
          <w:rFonts w:hint="cs"/>
          <w:i/>
          <w:noProof/>
          <w:sz w:val="23"/>
          <w:szCs w:val="23"/>
          <w:rtl/>
        </w:rPr>
        <w:t>بازدهی سرمایه</w:t>
      </w:r>
      <w:r w:rsidRPr="00005251">
        <w:rPr>
          <w:i/>
          <w:noProof/>
          <w:sz w:val="23"/>
          <w:szCs w:val="23"/>
          <w:rtl/>
        </w:rPr>
        <w:softHyphen/>
      </w:r>
      <w:r w:rsidRPr="00005251">
        <w:rPr>
          <w:rFonts w:hint="cs"/>
          <w:i/>
          <w:noProof/>
          <w:sz w:val="23"/>
          <w:szCs w:val="23"/>
          <w:rtl/>
        </w:rPr>
        <w:t>ی</w:t>
      </w:r>
      <w:r w:rsidRPr="00005251">
        <w:rPr>
          <w:i/>
          <w:noProof/>
          <w:sz w:val="23"/>
          <w:szCs w:val="23"/>
          <w:rtl/>
        </w:rPr>
        <w:softHyphen/>
      </w:r>
      <w:r w:rsidRPr="00005251">
        <w:rPr>
          <w:rFonts w:hint="cs"/>
          <w:i/>
          <w:noProof/>
          <w:sz w:val="23"/>
          <w:szCs w:val="23"/>
          <w:rtl/>
        </w:rPr>
        <w:t xml:space="preserve"> سهام برابر با نرخ بازدهی سرمایه در اوراق</w:t>
      </w:r>
      <w:r w:rsidRPr="00005251">
        <w:rPr>
          <w:i/>
          <w:noProof/>
          <w:sz w:val="23"/>
          <w:szCs w:val="23"/>
          <w:rtl/>
        </w:rPr>
        <w:t xml:space="preserve"> </w:t>
      </w:r>
      <w:r w:rsidRPr="00005251">
        <w:rPr>
          <w:rFonts w:hint="cs"/>
          <w:i/>
          <w:noProof/>
          <w:sz w:val="23"/>
          <w:szCs w:val="23"/>
          <w:rtl/>
        </w:rPr>
        <w:t>قرضه</w:t>
      </w:r>
      <w:r w:rsidRPr="00005251">
        <w:rPr>
          <w:i/>
          <w:noProof/>
          <w:sz w:val="23"/>
          <w:szCs w:val="23"/>
          <w:rtl/>
        </w:rPr>
        <w:t xml:space="preserve"> </w:t>
      </w:r>
      <w:r w:rsidRPr="00005251">
        <w:rPr>
          <w:rFonts w:hint="cs"/>
          <w:i/>
          <w:noProof/>
          <w:sz w:val="23"/>
          <w:szCs w:val="23"/>
          <w:rtl/>
        </w:rPr>
        <w:t>باشد</w:t>
      </w:r>
      <w:r w:rsidRPr="00005251">
        <w:rPr>
          <w:i/>
          <w:noProof/>
          <w:sz w:val="23"/>
          <w:szCs w:val="23"/>
          <w:rtl/>
        </w:rPr>
        <w:t>.</w:t>
      </w:r>
      <w:r w:rsidRPr="00005251">
        <w:rPr>
          <w:rFonts w:hint="cs"/>
          <w:i/>
          <w:noProof/>
          <w:sz w:val="23"/>
          <w:szCs w:val="23"/>
          <w:rtl/>
        </w:rPr>
        <w:t xml:space="preserve"> </w:t>
      </w:r>
    </w:p>
    <w:p w14:paraId="0B34F692" w14:textId="77777777" w:rsidR="00411620" w:rsidRPr="00005251" w:rsidRDefault="00411620" w:rsidP="00411620">
      <w:pPr>
        <w:tabs>
          <w:tab w:val="left" w:pos="4018"/>
        </w:tabs>
        <w:spacing w:line="216" w:lineRule="auto"/>
        <w:rPr>
          <w:rFonts w:eastAsiaTheme="minorEastAsia"/>
          <w:i/>
          <w:sz w:val="23"/>
          <w:szCs w:val="23"/>
          <w:rtl/>
        </w:rPr>
      </w:pPr>
    </w:p>
    <w:p w14:paraId="09E400D4" w14:textId="77777777" w:rsidR="00411620" w:rsidRPr="00005251" w:rsidRDefault="00411620" w:rsidP="00411620">
      <w:pPr>
        <w:tabs>
          <w:tab w:val="left" w:pos="4018"/>
        </w:tabs>
        <w:spacing w:line="216" w:lineRule="auto"/>
        <w:rPr>
          <w:rFonts w:eastAsiaTheme="minorEastAsia"/>
          <w:bCs/>
          <w:i/>
          <w:sz w:val="23"/>
          <w:szCs w:val="23"/>
          <w:rtl/>
        </w:rPr>
      </w:pPr>
      <w:r w:rsidRPr="00005251">
        <w:rPr>
          <w:rFonts w:eastAsiaTheme="minorEastAsia" w:hint="cs"/>
          <w:bCs/>
          <w:i/>
          <w:sz w:val="23"/>
          <w:szCs w:val="23"/>
          <w:rtl/>
        </w:rPr>
        <w:t>ادغام قید بودجه</w:t>
      </w:r>
      <w:r w:rsidRPr="00005251">
        <w:rPr>
          <w:rFonts w:eastAsiaTheme="minorEastAsia"/>
          <w:bCs/>
          <w:i/>
          <w:sz w:val="23"/>
          <w:szCs w:val="23"/>
          <w:rtl/>
        </w:rPr>
        <w:softHyphen/>
      </w:r>
      <w:r w:rsidRPr="00005251">
        <w:rPr>
          <w:rFonts w:eastAsiaTheme="minorEastAsia" w:hint="cs"/>
          <w:bCs/>
          <w:i/>
          <w:sz w:val="23"/>
          <w:szCs w:val="23"/>
          <w:rtl/>
        </w:rPr>
        <w:t>ی خانوار و سود بنگاه</w:t>
      </w:r>
    </w:p>
    <w:p w14:paraId="0B008AED" w14:textId="77777777" w:rsidR="00411620" w:rsidRPr="00005251" w:rsidRDefault="00411620" w:rsidP="00411620">
      <w:pPr>
        <w:tabs>
          <w:tab w:val="left" w:pos="4018"/>
        </w:tabs>
        <w:spacing w:line="216" w:lineRule="auto"/>
        <w:rPr>
          <w:rFonts w:eastAsiaTheme="minorEastAsia"/>
          <w:i/>
          <w:sz w:val="23"/>
          <w:szCs w:val="23"/>
          <w:rtl/>
        </w:rPr>
      </w:pPr>
      <w:r w:rsidRPr="00005251">
        <w:rPr>
          <w:rFonts w:eastAsiaTheme="minorEastAsia" w:hint="cs"/>
          <w:i/>
          <w:sz w:val="23"/>
          <w:szCs w:val="23"/>
          <w:rtl/>
        </w:rPr>
        <w:t>قبل از ورود به بحثِ تعادل عمومی، ادغام قید سود بنگاه و بودجه</w:t>
      </w:r>
      <w:r w:rsidRPr="00005251">
        <w:rPr>
          <w:rFonts w:eastAsiaTheme="minorEastAsia"/>
          <w:i/>
          <w:sz w:val="23"/>
          <w:szCs w:val="23"/>
          <w:rtl/>
        </w:rPr>
        <w:softHyphen/>
      </w:r>
      <w:r w:rsidRPr="00005251">
        <w:rPr>
          <w:rFonts w:eastAsiaTheme="minorEastAsia" w:hint="cs"/>
          <w:i/>
          <w:sz w:val="23"/>
          <w:szCs w:val="23"/>
          <w:rtl/>
        </w:rPr>
        <w:t>ی خانوار را بررسی می</w:t>
      </w:r>
      <w:r w:rsidRPr="00005251">
        <w:rPr>
          <w:rFonts w:eastAsiaTheme="minorEastAsia" w:hint="cs"/>
          <w:i/>
          <w:sz w:val="23"/>
          <w:szCs w:val="23"/>
          <w:rtl/>
        </w:rPr>
        <w:softHyphen/>
        <w:t>کنیم تا بر اساس آن متغیر</w:t>
      </w:r>
      <w:r w:rsidRPr="00005251">
        <w:rPr>
          <w:rFonts w:eastAsiaTheme="minorEastAsia"/>
          <w:i/>
          <w:sz w:val="23"/>
          <w:szCs w:val="23"/>
          <w:rtl/>
        </w:rPr>
        <w:softHyphen/>
      </w:r>
      <w:r w:rsidRPr="00005251">
        <w:rPr>
          <w:rFonts w:eastAsiaTheme="minorEastAsia" w:hint="cs"/>
          <w:i/>
          <w:sz w:val="23"/>
          <w:szCs w:val="23"/>
          <w:rtl/>
        </w:rPr>
        <w:t>های</w:t>
      </w:r>
      <w:r w:rsidRPr="00005251">
        <w:rPr>
          <w:position w:val="-10"/>
        </w:rPr>
        <w:object w:dxaOrig="920" w:dyaOrig="320" w14:anchorId="0BF0653C">
          <v:shape id="_x0000_i2454" type="#_x0000_t75" style="width:46pt;height:16.35pt" o:ole="">
            <v:imagedata r:id="rId2895" o:title=""/>
          </v:shape>
          <o:OLEObject Type="Embed" ProgID="Equation.DSMT4" ShapeID="_x0000_i2454" DrawAspect="Content" ObjectID="_1791376398" r:id="rId2896"/>
        </w:object>
      </w:r>
      <w:r w:rsidRPr="00005251">
        <w:rPr>
          <w:rFonts w:eastAsiaTheme="minorEastAsia" w:hint="cs"/>
          <w:i/>
          <w:sz w:val="23"/>
          <w:szCs w:val="23"/>
          <w:rtl/>
        </w:rPr>
        <w:t xml:space="preserve"> را تعیین کنیم. اتحاد درآمد ملی، قید بودجه خانوار و معادله</w:t>
      </w:r>
      <w:r w:rsidRPr="00005251">
        <w:rPr>
          <w:rFonts w:eastAsiaTheme="minorEastAsia"/>
          <w:i/>
          <w:sz w:val="23"/>
          <w:szCs w:val="23"/>
          <w:rtl/>
        </w:rPr>
        <w:softHyphen/>
      </w:r>
      <w:r w:rsidRPr="00005251">
        <w:rPr>
          <w:rFonts w:eastAsiaTheme="minorEastAsia" w:hint="cs"/>
          <w:i/>
          <w:sz w:val="23"/>
          <w:szCs w:val="23"/>
          <w:rtl/>
        </w:rPr>
        <w:t>ی انباشت سرمایه به ترتیب عبارتند از؛</w:t>
      </w:r>
    </w:p>
    <w:p w14:paraId="2EDE6BA2" w14:textId="77777777" w:rsidR="00411620" w:rsidRPr="00005251" w:rsidRDefault="00411620" w:rsidP="00411620">
      <w:pPr>
        <w:tabs>
          <w:tab w:val="left" w:pos="4018"/>
        </w:tabs>
        <w:bidi w:val="0"/>
        <w:spacing w:line="216" w:lineRule="auto"/>
        <w:rPr>
          <w:rFonts w:eastAsiaTheme="minorEastAsia"/>
          <w:i/>
          <w:sz w:val="23"/>
          <w:szCs w:val="23"/>
          <w:rtl/>
        </w:rPr>
      </w:pPr>
      <w:r w:rsidRPr="00005251">
        <w:rPr>
          <w:rFonts w:eastAsiaTheme="minorEastAsia" w:hint="cs"/>
          <w:i/>
          <w:sz w:val="23"/>
          <w:szCs w:val="23"/>
          <w:rtl/>
        </w:rPr>
        <w:t xml:space="preserve"> </w:t>
      </w:r>
      <w:r w:rsidRPr="00005251">
        <w:rPr>
          <w:position w:val="-12"/>
        </w:rPr>
        <w:object w:dxaOrig="4580" w:dyaOrig="360" w14:anchorId="20687515">
          <v:shape id="_x0000_i2455" type="#_x0000_t75" style="width:228.7pt;height:18.15pt" o:ole="">
            <v:imagedata r:id="rId2897" o:title=""/>
          </v:shape>
          <o:OLEObject Type="Embed" ProgID="Equation.DSMT4" ShapeID="_x0000_i2455" DrawAspect="Content" ObjectID="_1791376399" r:id="rId2898"/>
        </w:object>
      </w:r>
    </w:p>
    <w:p w14:paraId="25D3EEE9" w14:textId="77777777" w:rsidR="00411620" w:rsidRPr="00005251" w:rsidRDefault="00411620" w:rsidP="00411620">
      <w:pPr>
        <w:tabs>
          <w:tab w:val="left" w:pos="4018"/>
        </w:tabs>
        <w:bidi w:val="0"/>
        <w:spacing w:line="216" w:lineRule="auto"/>
        <w:rPr>
          <w:rFonts w:eastAsiaTheme="minorEastAsia"/>
          <w:i/>
          <w:sz w:val="23"/>
          <w:szCs w:val="23"/>
          <w:rtl/>
        </w:rPr>
      </w:pPr>
      <w:r w:rsidRPr="00005251">
        <w:rPr>
          <w:rFonts w:eastAsiaTheme="minorEastAsia" w:hint="cs"/>
          <w:i/>
          <w:sz w:val="23"/>
          <w:szCs w:val="23"/>
          <w:rtl/>
        </w:rPr>
        <w:t xml:space="preserve"> </w:t>
      </w:r>
      <w:r w:rsidRPr="00005251">
        <w:rPr>
          <w:position w:val="-10"/>
        </w:rPr>
        <w:object w:dxaOrig="2360" w:dyaOrig="320" w14:anchorId="626068A4">
          <v:shape id="_x0000_i2456" type="#_x0000_t75" style="width:118pt;height:16.35pt" o:ole="">
            <v:imagedata r:id="rId2899" o:title=""/>
          </v:shape>
          <o:OLEObject Type="Embed" ProgID="Equation.DSMT4" ShapeID="_x0000_i2456" DrawAspect="Content" ObjectID="_1791376400" r:id="rId2900"/>
        </w:object>
      </w:r>
    </w:p>
    <w:p w14:paraId="4E8117F1"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10"/>
        </w:rPr>
        <w:object w:dxaOrig="3739" w:dyaOrig="320" w14:anchorId="279B3665">
          <v:shape id="_x0000_i2457" type="#_x0000_t75" style="width:186.95pt;height:16.35pt" o:ole="">
            <v:imagedata r:id="rId2901" o:title=""/>
          </v:shape>
          <o:OLEObject Type="Embed" ProgID="Equation.DSMT4" ShapeID="_x0000_i2457" DrawAspect="Content" ObjectID="_1791376401" r:id="rId2902"/>
        </w:object>
      </w:r>
    </w:p>
    <w:p w14:paraId="49805456" w14:textId="77777777" w:rsidR="00411620" w:rsidRPr="00005251" w:rsidRDefault="00411620" w:rsidP="00411620">
      <w:pPr>
        <w:tabs>
          <w:tab w:val="left" w:pos="4018"/>
        </w:tabs>
        <w:spacing w:line="216" w:lineRule="auto"/>
        <w:rPr>
          <w:rFonts w:eastAsiaTheme="minorEastAsia"/>
          <w:i/>
          <w:sz w:val="23"/>
          <w:szCs w:val="23"/>
          <w:rtl/>
        </w:rPr>
      </w:pPr>
      <w:r w:rsidRPr="00005251">
        <w:rPr>
          <w:rFonts w:eastAsiaTheme="minorEastAsia" w:hint="cs"/>
          <w:i/>
          <w:sz w:val="23"/>
          <w:szCs w:val="23"/>
          <w:rtl/>
        </w:rPr>
        <w:t>بنابراین</w:t>
      </w:r>
    </w:p>
    <w:p w14:paraId="5B3054A3"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12"/>
        </w:rPr>
        <w:object w:dxaOrig="5420" w:dyaOrig="360" w14:anchorId="088279DE">
          <v:shape id="_x0000_i2458" type="#_x0000_t75" style="width:270.45pt;height:18.15pt" o:ole="">
            <v:imagedata r:id="rId2903" o:title=""/>
          </v:shape>
          <o:OLEObject Type="Embed" ProgID="Equation.DSMT4" ShapeID="_x0000_i2458" DrawAspect="Content" ObjectID="_1791376402" r:id="rId2904"/>
        </w:object>
      </w:r>
    </w:p>
    <w:p w14:paraId="682BD28B" w14:textId="77777777" w:rsidR="00411620" w:rsidRPr="00005251" w:rsidRDefault="00411620" w:rsidP="00411620">
      <w:pPr>
        <w:tabs>
          <w:tab w:val="left" w:pos="0"/>
        </w:tabs>
        <w:bidi w:val="0"/>
        <w:spacing w:line="216" w:lineRule="auto"/>
        <w:rPr>
          <w:i/>
          <w:sz w:val="23"/>
          <w:szCs w:val="23"/>
        </w:rPr>
      </w:pPr>
      <w:r w:rsidRPr="00005251">
        <w:rPr>
          <w:position w:val="-12"/>
        </w:rPr>
        <w:object w:dxaOrig="4320" w:dyaOrig="360" w14:anchorId="1089DD78">
          <v:shape id="_x0000_i2459" type="#_x0000_t75" style="width:3in;height:18.15pt" o:ole="">
            <v:imagedata r:id="rId2905" o:title=""/>
          </v:shape>
          <o:OLEObject Type="Embed" ProgID="Equation.DSMT4" ShapeID="_x0000_i2459" DrawAspect="Content" ObjectID="_1791376403" r:id="rId2906"/>
        </w:object>
      </w:r>
      <w:r w:rsidRPr="00005251">
        <w:rPr>
          <w:i/>
          <w:sz w:val="23"/>
          <w:szCs w:val="23"/>
        </w:rPr>
        <w:tab/>
        <w:t xml:space="preserve"> </w:t>
      </w:r>
      <w:r w:rsidRPr="00005251">
        <w:rPr>
          <w:i/>
          <w:sz w:val="23"/>
          <w:szCs w:val="23"/>
        </w:rPr>
        <w:tab/>
      </w:r>
      <w:r w:rsidRPr="00005251">
        <w:rPr>
          <w:i/>
          <w:sz w:val="23"/>
          <w:szCs w:val="23"/>
        </w:rPr>
        <w:tab/>
        <w:t xml:space="preserve">      </w:t>
      </w:r>
      <w:r>
        <w:rPr>
          <w:i/>
          <w:sz w:val="23"/>
          <w:szCs w:val="23"/>
          <w:rtl/>
        </w:rPr>
        <w:tab/>
      </w:r>
      <w:r w:rsidRPr="00005251">
        <w:rPr>
          <w:i/>
          <w:sz w:val="23"/>
          <w:szCs w:val="23"/>
        </w:rPr>
        <w:tab/>
      </w:r>
      <w:r w:rsidRPr="00005251">
        <w:rPr>
          <w:rFonts w:hint="cs"/>
          <w:i/>
          <w:sz w:val="23"/>
          <w:szCs w:val="23"/>
          <w:rtl/>
        </w:rPr>
        <w:t>(۴. ۳۶)</w:t>
      </w:r>
      <w:r w:rsidRPr="00005251">
        <w:rPr>
          <w:i/>
          <w:sz w:val="23"/>
          <w:szCs w:val="23"/>
        </w:rPr>
        <w:t xml:space="preserve">   </w:t>
      </w:r>
    </w:p>
    <w:p w14:paraId="74391CD3" w14:textId="77777777" w:rsidR="00411620" w:rsidRPr="00005251" w:rsidRDefault="00411620" w:rsidP="00411620">
      <w:pPr>
        <w:tabs>
          <w:tab w:val="left" w:pos="0"/>
        </w:tabs>
        <w:spacing w:line="216" w:lineRule="auto"/>
        <w:rPr>
          <w:rFonts w:eastAsiaTheme="minorEastAsia"/>
          <w:i/>
          <w:sz w:val="23"/>
          <w:szCs w:val="23"/>
          <w:rtl/>
        </w:rPr>
      </w:pPr>
      <w:r w:rsidRPr="00005251">
        <w:rPr>
          <w:rFonts w:eastAsiaTheme="minorEastAsia" w:hint="cs"/>
          <w:i/>
          <w:sz w:val="23"/>
          <w:szCs w:val="23"/>
          <w:rtl/>
        </w:rPr>
        <w:t>و سود بنگاه برابر است با:</w:t>
      </w:r>
    </w:p>
    <w:p w14:paraId="4E13ADEF" w14:textId="77777777" w:rsidR="00411620" w:rsidRPr="00005251"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Pr>
      </w:pPr>
      <w:r w:rsidRPr="00005251">
        <w:rPr>
          <w:position w:val="-12"/>
        </w:rPr>
        <w:object w:dxaOrig="4060" w:dyaOrig="360" w14:anchorId="1401F154">
          <v:shape id="_x0000_i2460" type="#_x0000_t75" style="width:203.3pt;height:18.15pt" o:ole="">
            <v:imagedata r:id="rId2907" o:title=""/>
          </v:shape>
          <o:OLEObject Type="Embed" ProgID="Equation.DSMT4" ShapeID="_x0000_i2460" DrawAspect="Content" ObjectID="_1791376404" r:id="rId2908"/>
        </w:object>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i/>
          <w:sz w:val="23"/>
          <w:szCs w:val="23"/>
        </w:rPr>
        <w:tab/>
      </w:r>
      <w:r>
        <w:rPr>
          <w:rFonts w:ascii="Times New Roman" w:hAnsi="Times New Roman"/>
          <w:i/>
          <w:sz w:val="23"/>
          <w:szCs w:val="23"/>
          <w:rtl/>
        </w:rPr>
        <w:tab/>
      </w:r>
      <w:r>
        <w:rPr>
          <w:rFonts w:ascii="Times New Roman" w:hAnsi="Times New Roman"/>
          <w:i/>
          <w:sz w:val="23"/>
          <w:szCs w:val="23"/>
          <w:rtl/>
        </w:rPr>
        <w:tab/>
      </w:r>
      <w:r w:rsidRPr="00005251">
        <w:rPr>
          <w:rFonts w:ascii="Times New Roman" w:hAnsi="Times New Roman"/>
          <w:i/>
          <w:sz w:val="23"/>
          <w:szCs w:val="23"/>
        </w:rPr>
        <w:tab/>
      </w:r>
      <w:r w:rsidRPr="00005251">
        <w:rPr>
          <w:rFonts w:ascii="Times New Roman" w:hAnsi="Times New Roman"/>
          <w:i/>
          <w:sz w:val="23"/>
          <w:szCs w:val="23"/>
        </w:rPr>
        <w:tab/>
      </w:r>
      <w:r w:rsidRPr="00005251">
        <w:rPr>
          <w:rFonts w:ascii="Times New Roman" w:hAnsi="Times New Roman" w:cs="B Nazanin" w:hint="cs"/>
          <w:i/>
          <w:sz w:val="23"/>
          <w:szCs w:val="23"/>
          <w:rtl/>
        </w:rPr>
        <w:t>(۴. ۳۷)</w:t>
      </w:r>
    </w:p>
    <w:p w14:paraId="64047739" w14:textId="77777777" w:rsidR="00411620" w:rsidRPr="00005251" w:rsidRDefault="00411620" w:rsidP="00411620">
      <w:pPr>
        <w:tabs>
          <w:tab w:val="left" w:pos="4018"/>
        </w:tabs>
        <w:spacing w:line="216" w:lineRule="auto"/>
        <w:rPr>
          <w:rFonts w:eastAsiaTheme="minorEastAsia"/>
          <w:i/>
          <w:sz w:val="23"/>
          <w:szCs w:val="23"/>
        </w:rPr>
      </w:pPr>
      <w:r w:rsidRPr="00005251">
        <w:rPr>
          <w:rFonts w:eastAsiaTheme="minorEastAsia" w:hint="cs"/>
          <w:i/>
          <w:sz w:val="23"/>
          <w:szCs w:val="23"/>
          <w:rtl/>
        </w:rPr>
        <w:t xml:space="preserve">اگر </w:t>
      </w:r>
      <w:r w:rsidRPr="00005251">
        <w:rPr>
          <w:rFonts w:hint="cs"/>
          <w:i/>
          <w:sz w:val="23"/>
          <w:szCs w:val="23"/>
          <w:rtl/>
        </w:rPr>
        <w:t>(۴. ۳۷</w:t>
      </w:r>
      <w:r w:rsidRPr="00005251">
        <w:rPr>
          <w:rFonts w:eastAsiaTheme="minorEastAsia" w:hint="cs"/>
          <w:i/>
          <w:sz w:val="23"/>
          <w:szCs w:val="23"/>
          <w:rtl/>
        </w:rPr>
        <w:t xml:space="preserve"> ) را از </w:t>
      </w:r>
      <w:r w:rsidRPr="00005251">
        <w:rPr>
          <w:rFonts w:hint="cs"/>
          <w:i/>
          <w:sz w:val="23"/>
          <w:szCs w:val="23"/>
          <w:rtl/>
        </w:rPr>
        <w:t>(۴. ۳۶)</w:t>
      </w:r>
      <w:r w:rsidRPr="00005251">
        <w:rPr>
          <w:rFonts w:eastAsiaTheme="minorEastAsia" w:hint="cs"/>
          <w:i/>
          <w:sz w:val="23"/>
          <w:szCs w:val="23"/>
          <w:rtl/>
        </w:rPr>
        <w:t xml:space="preserve"> کم کنیم داریم: </w:t>
      </w:r>
    </w:p>
    <w:p w14:paraId="1A5EB7E6" w14:textId="77777777" w:rsidR="00411620" w:rsidRPr="00005251" w:rsidRDefault="00411620" w:rsidP="00411620">
      <w:pPr>
        <w:tabs>
          <w:tab w:val="left" w:pos="4018"/>
        </w:tabs>
        <w:bidi w:val="0"/>
        <w:spacing w:line="216" w:lineRule="auto"/>
        <w:rPr>
          <w:rFonts w:eastAsiaTheme="minorEastAsia"/>
          <w:i/>
          <w:sz w:val="23"/>
          <w:szCs w:val="23"/>
        </w:rPr>
      </w:pPr>
      <w:r w:rsidRPr="00005251">
        <w:rPr>
          <w:rFonts w:eastAsiaTheme="minorEastAsia" w:hint="cs"/>
          <w:i/>
          <w:sz w:val="23"/>
          <w:szCs w:val="23"/>
          <w:rtl/>
        </w:rPr>
        <w:t xml:space="preserve"> </w:t>
      </w:r>
      <w:r w:rsidRPr="00005251">
        <w:rPr>
          <w:position w:val="-12"/>
        </w:rPr>
        <w:object w:dxaOrig="3019" w:dyaOrig="360" w14:anchorId="2993E7DA">
          <v:shape id="_x0000_i2461" type="#_x0000_t75" style="width:151.25pt;height:18.15pt" o:ole="">
            <v:imagedata r:id="rId2909" o:title=""/>
          </v:shape>
          <o:OLEObject Type="Embed" ProgID="Equation.DSMT4" ShapeID="_x0000_i2461" DrawAspect="Content" ObjectID="_1791376405" r:id="rId2910"/>
        </w:object>
      </w:r>
    </w:p>
    <w:p w14:paraId="3EC1C580" w14:textId="77777777" w:rsidR="00411620" w:rsidRPr="00005251" w:rsidRDefault="00411620" w:rsidP="00411620">
      <w:pPr>
        <w:tabs>
          <w:tab w:val="left" w:pos="4018"/>
        </w:tabs>
        <w:spacing w:line="216" w:lineRule="auto"/>
        <w:rPr>
          <w:rFonts w:eastAsiaTheme="minorEastAsia"/>
          <w:i/>
          <w:sz w:val="23"/>
          <w:szCs w:val="23"/>
          <w:rtl/>
        </w:rPr>
      </w:pPr>
      <w:r w:rsidRPr="00005251">
        <w:rPr>
          <w:rFonts w:eastAsiaTheme="minorEastAsia" w:hint="cs"/>
          <w:i/>
          <w:sz w:val="23"/>
          <w:szCs w:val="23"/>
          <w:rtl/>
        </w:rPr>
        <w:t>از آنجا که دارایی مالی خانوار، بدهی بنگاه می</w:t>
      </w:r>
      <w:r w:rsidRPr="00005251">
        <w:rPr>
          <w:rFonts w:eastAsiaTheme="minorEastAsia"/>
          <w:i/>
          <w:sz w:val="23"/>
          <w:szCs w:val="23"/>
          <w:rtl/>
        </w:rPr>
        <w:softHyphen/>
      </w:r>
      <w:r w:rsidRPr="00005251">
        <w:rPr>
          <w:rFonts w:eastAsiaTheme="minorEastAsia" w:hint="cs"/>
          <w:i/>
          <w:sz w:val="23"/>
          <w:szCs w:val="23"/>
          <w:rtl/>
        </w:rPr>
        <w:t xml:space="preserve">باشد لذا </w:t>
      </w:r>
      <w:r w:rsidRPr="00005251">
        <w:rPr>
          <w:position w:val="-10"/>
        </w:rPr>
        <w:object w:dxaOrig="620" w:dyaOrig="320" w14:anchorId="2A3262D9">
          <v:shape id="_x0000_i2462" type="#_x0000_t75" style="width:31.45pt;height:16.35pt" o:ole="">
            <v:imagedata r:id="rId2911" o:title=""/>
          </v:shape>
          <o:OLEObject Type="Embed" ProgID="Equation.DSMT4" ShapeID="_x0000_i2462" DrawAspect="Content" ObjectID="_1791376406" r:id="rId2912"/>
        </w:object>
      </w:r>
      <w:r w:rsidRPr="00005251">
        <w:rPr>
          <w:rFonts w:eastAsiaTheme="minorEastAsia"/>
          <w:i/>
          <w:sz w:val="23"/>
          <w:szCs w:val="23"/>
        </w:rPr>
        <w:t xml:space="preserve"> </w:t>
      </w:r>
      <w:r w:rsidRPr="00005251">
        <w:rPr>
          <w:rFonts w:eastAsiaTheme="minorEastAsia" w:hint="cs"/>
          <w:i/>
          <w:sz w:val="23"/>
          <w:szCs w:val="23"/>
          <w:rtl/>
        </w:rPr>
        <w:t xml:space="preserve">است که همان شرط تعادل در بازار اوراق قرضه است. اگر بنگاه هیچ بدهی نداشته باشد، آنگاه </w:t>
      </w:r>
      <w:r w:rsidRPr="00005251">
        <w:rPr>
          <w:position w:val="-10"/>
        </w:rPr>
        <w:object w:dxaOrig="620" w:dyaOrig="320" w14:anchorId="6A06F1B3">
          <v:shape id="_x0000_i2463" type="#_x0000_t75" style="width:31.45pt;height:16.35pt" o:ole="">
            <v:imagedata r:id="rId2913" o:title=""/>
          </v:shape>
          <o:OLEObject Type="Embed" ProgID="Equation.DSMT4" ShapeID="_x0000_i2463" DrawAspect="Content" ObjectID="_1791376407" r:id="rId2914"/>
        </w:object>
      </w:r>
      <w:r w:rsidRPr="00005251">
        <w:rPr>
          <w:rFonts w:eastAsiaTheme="minorEastAsia" w:hint="cs"/>
          <w:i/>
          <w:sz w:val="23"/>
          <w:szCs w:val="23"/>
          <w:rtl/>
        </w:rPr>
        <w:t xml:space="preserve"> لذا </w:t>
      </w:r>
      <w:r w:rsidRPr="00005251">
        <w:rPr>
          <w:position w:val="-10"/>
        </w:rPr>
        <w:object w:dxaOrig="660" w:dyaOrig="320" w14:anchorId="27735C2F">
          <v:shape id="_x0000_i2464" type="#_x0000_t75" style="width:32.65pt;height:16.35pt" o:ole="">
            <v:imagedata r:id="rId2915" o:title=""/>
          </v:shape>
          <o:OLEObject Type="Embed" ProgID="Equation.DSMT4" ShapeID="_x0000_i2464" DrawAspect="Content" ObjectID="_1791376408" r:id="rId2916"/>
        </w:object>
      </w:r>
      <w:r w:rsidRPr="00005251">
        <w:rPr>
          <w:rFonts w:eastAsiaTheme="minorEastAsia" w:hint="cs"/>
          <w:i/>
          <w:sz w:val="23"/>
          <w:szCs w:val="23"/>
          <w:rtl/>
        </w:rPr>
        <w:t xml:space="preserve"> خواهد بود. دراین</w:t>
      </w:r>
      <w:r w:rsidRPr="00005251">
        <w:rPr>
          <w:rFonts w:eastAsiaTheme="minorEastAsia"/>
          <w:i/>
          <w:sz w:val="23"/>
          <w:szCs w:val="23"/>
          <w:rtl/>
        </w:rPr>
        <w:softHyphen/>
      </w:r>
      <w:r w:rsidRPr="00005251">
        <w:rPr>
          <w:rFonts w:eastAsiaTheme="minorEastAsia" w:hint="cs"/>
          <w:i/>
          <w:sz w:val="23"/>
          <w:szCs w:val="23"/>
          <w:rtl/>
        </w:rPr>
        <w:t>صورت</w:t>
      </w:r>
      <w:r w:rsidRPr="00005251">
        <w:rPr>
          <w:position w:val="-10"/>
        </w:rPr>
        <w:object w:dxaOrig="240" w:dyaOrig="320" w14:anchorId="0FA45018">
          <v:shape id="_x0000_i2465" type="#_x0000_t75" style="width:11.5pt;height:16.35pt" o:ole="">
            <v:imagedata r:id="rId2917" o:title=""/>
          </v:shape>
          <o:OLEObject Type="Embed" ProgID="Equation.DSMT4" ShapeID="_x0000_i2465" DrawAspect="Content" ObjectID="_1791376409" r:id="rId2918"/>
        </w:object>
      </w:r>
      <w:r w:rsidRPr="00005251">
        <w:rPr>
          <w:rFonts w:eastAsiaTheme="minorEastAsia" w:hint="cs"/>
          <w:i/>
          <w:sz w:val="23"/>
          <w:szCs w:val="23"/>
          <w:rtl/>
        </w:rPr>
        <w:t xml:space="preserve"> برابر است با سود توزیع شده</w:t>
      </w:r>
      <w:r w:rsidRPr="00005251">
        <w:rPr>
          <w:rFonts w:eastAsiaTheme="minorEastAsia"/>
          <w:i/>
          <w:sz w:val="23"/>
          <w:szCs w:val="23"/>
          <w:rtl/>
        </w:rPr>
        <w:softHyphen/>
      </w:r>
      <w:r w:rsidRPr="00005251">
        <w:rPr>
          <w:rFonts w:eastAsiaTheme="minorEastAsia" w:hint="cs"/>
          <w:i/>
          <w:sz w:val="23"/>
          <w:szCs w:val="23"/>
          <w:rtl/>
        </w:rPr>
        <w:t>ی بنگاه که بصورت سود سهام توزیع می</w:t>
      </w:r>
      <w:r w:rsidRPr="00005251">
        <w:rPr>
          <w:rFonts w:eastAsiaTheme="minorEastAsia"/>
          <w:i/>
          <w:sz w:val="23"/>
          <w:szCs w:val="23"/>
          <w:rtl/>
        </w:rPr>
        <w:softHyphen/>
      </w:r>
      <w:r w:rsidRPr="00005251">
        <w:rPr>
          <w:rFonts w:eastAsiaTheme="minorEastAsia" w:hint="cs"/>
          <w:i/>
          <w:sz w:val="23"/>
          <w:szCs w:val="23"/>
          <w:rtl/>
        </w:rPr>
        <w:t>شود و درون</w:t>
      </w:r>
      <w:r w:rsidRPr="00005251">
        <w:rPr>
          <w:rFonts w:eastAsiaTheme="minorEastAsia"/>
          <w:i/>
          <w:sz w:val="23"/>
          <w:szCs w:val="23"/>
          <w:rtl/>
        </w:rPr>
        <w:softHyphen/>
      </w:r>
      <w:r w:rsidRPr="00005251">
        <w:rPr>
          <w:rFonts w:eastAsiaTheme="minorEastAsia" w:hint="cs"/>
          <w:i/>
          <w:sz w:val="23"/>
          <w:szCs w:val="23"/>
          <w:rtl/>
        </w:rPr>
        <w:t>زاست نه برون</w:t>
      </w:r>
      <w:r w:rsidRPr="00005251">
        <w:rPr>
          <w:rFonts w:eastAsiaTheme="minorEastAsia"/>
          <w:i/>
          <w:sz w:val="23"/>
          <w:szCs w:val="23"/>
          <w:rtl/>
        </w:rPr>
        <w:softHyphen/>
      </w:r>
      <w:r w:rsidRPr="00005251">
        <w:rPr>
          <w:rFonts w:eastAsiaTheme="minorEastAsia" w:hint="cs"/>
          <w:i/>
          <w:sz w:val="23"/>
          <w:szCs w:val="23"/>
          <w:rtl/>
        </w:rPr>
        <w:t>زا.</w:t>
      </w:r>
    </w:p>
    <w:p w14:paraId="2AC29C43" w14:textId="77777777" w:rsidR="00411620" w:rsidRPr="00005251" w:rsidRDefault="00411620" w:rsidP="00411620">
      <w:pPr>
        <w:tabs>
          <w:tab w:val="left" w:pos="4018"/>
        </w:tabs>
        <w:spacing w:line="216" w:lineRule="auto"/>
        <w:rPr>
          <w:rFonts w:eastAsiaTheme="minorEastAsia"/>
          <w:i/>
          <w:sz w:val="23"/>
          <w:szCs w:val="23"/>
          <w:rtl/>
        </w:rPr>
      </w:pPr>
      <w:r w:rsidRPr="00005251">
        <w:rPr>
          <w:rFonts w:eastAsiaTheme="minorEastAsia" w:hint="cs"/>
          <w:i/>
          <w:sz w:val="23"/>
          <w:szCs w:val="23"/>
          <w:rtl/>
        </w:rPr>
        <w:lastRenderedPageBreak/>
        <w:t>از آنجا که در بلند</w:t>
      </w:r>
      <w:r w:rsidRPr="00005251">
        <w:rPr>
          <w:rFonts w:eastAsiaTheme="minorEastAsia"/>
          <w:i/>
          <w:sz w:val="23"/>
          <w:szCs w:val="23"/>
          <w:rtl/>
        </w:rPr>
        <w:softHyphen/>
      </w:r>
      <w:r w:rsidRPr="00005251">
        <w:rPr>
          <w:rFonts w:eastAsiaTheme="minorEastAsia" w:hint="cs"/>
          <w:i/>
          <w:sz w:val="23"/>
          <w:szCs w:val="23"/>
          <w:rtl/>
        </w:rPr>
        <w:t>مدت</w:t>
      </w:r>
      <w:r w:rsidRPr="00005251">
        <w:rPr>
          <w:position w:val="-12"/>
        </w:rPr>
        <w:object w:dxaOrig="820" w:dyaOrig="340" w14:anchorId="2DA1541B">
          <v:shape id="_x0000_i2466" type="#_x0000_t75" style="width:40.55pt;height:16.95pt" o:ole="">
            <v:imagedata r:id="rId2919" o:title=""/>
          </v:shape>
          <o:OLEObject Type="Embed" ProgID="Equation.DSMT4" ShapeID="_x0000_i2466" DrawAspect="Content" ObjectID="_1791376410" r:id="rId2920"/>
        </w:object>
      </w:r>
      <w:r w:rsidRPr="00005251">
        <w:rPr>
          <w:rFonts w:eastAsiaTheme="minorEastAsia" w:hint="cs"/>
          <w:i/>
          <w:sz w:val="23"/>
          <w:szCs w:val="23"/>
          <w:rtl/>
        </w:rPr>
        <w:t xml:space="preserve"> و</w:t>
      </w:r>
      <w:r w:rsidRPr="00005251">
        <w:rPr>
          <w:position w:val="-12"/>
        </w:rPr>
        <w:object w:dxaOrig="1040" w:dyaOrig="340" w14:anchorId="212449CE">
          <v:shape id="_x0000_i2467" type="#_x0000_t75" style="width:52.05pt;height:16.95pt" o:ole="">
            <v:imagedata r:id="rId2921" o:title=""/>
          </v:shape>
          <o:OLEObject Type="Embed" ProgID="Equation.DSMT4" ShapeID="_x0000_i2467" DrawAspect="Content" ObjectID="_1791376411" r:id="rId2922"/>
        </w:object>
      </w:r>
      <w:r w:rsidRPr="00005251">
        <w:rPr>
          <w:rFonts w:eastAsiaTheme="minorEastAsia" w:hint="cs"/>
          <w:i/>
          <w:sz w:val="23"/>
          <w:szCs w:val="23"/>
          <w:rtl/>
        </w:rPr>
        <w:t>، لذا می</w:t>
      </w:r>
      <w:r w:rsidRPr="00005251">
        <w:rPr>
          <w:rFonts w:eastAsiaTheme="minorEastAsia"/>
          <w:i/>
          <w:sz w:val="23"/>
          <w:szCs w:val="23"/>
          <w:rtl/>
        </w:rPr>
        <w:softHyphen/>
      </w:r>
      <w:r w:rsidRPr="00005251">
        <w:rPr>
          <w:rFonts w:eastAsiaTheme="minorEastAsia" w:hint="cs"/>
          <w:i/>
          <w:sz w:val="23"/>
          <w:szCs w:val="23"/>
          <w:rtl/>
        </w:rPr>
        <w:t xml:space="preserve">توان سود بنگاه را بصورت زیر بازنویسی کرد </w:t>
      </w:r>
    </w:p>
    <w:p w14:paraId="06F18B3D"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14"/>
        </w:rPr>
        <w:object w:dxaOrig="4819" w:dyaOrig="380" w14:anchorId="08302DF2">
          <v:shape id="_x0000_i2468" type="#_x0000_t75" style="width:240.8pt;height:18.75pt" o:ole="">
            <v:imagedata r:id="rId2923" o:title=""/>
          </v:shape>
          <o:OLEObject Type="Embed" ProgID="Equation.DSMT4" ShapeID="_x0000_i2468" DrawAspect="Content" ObjectID="_1791376412" r:id="rId2924"/>
        </w:object>
      </w:r>
    </w:p>
    <w:p w14:paraId="7B774EEA"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12"/>
        </w:rPr>
        <w:object w:dxaOrig="5160" w:dyaOrig="360" w14:anchorId="3B5F42AE">
          <v:shape id="_x0000_i2469" type="#_x0000_t75" style="width:257.75pt;height:18.15pt" o:ole="">
            <v:imagedata r:id="rId2925" o:title=""/>
          </v:shape>
          <o:OLEObject Type="Embed" ProgID="Equation.DSMT4" ShapeID="_x0000_i2469" DrawAspect="Content" ObjectID="_1791376413" r:id="rId2926"/>
        </w:object>
      </w:r>
    </w:p>
    <w:p w14:paraId="2B1B6A35" w14:textId="77777777" w:rsidR="00411620" w:rsidRPr="00005251" w:rsidRDefault="00411620" w:rsidP="00411620">
      <w:pPr>
        <w:tabs>
          <w:tab w:val="left" w:pos="4018"/>
        </w:tabs>
        <w:spacing w:line="216" w:lineRule="auto"/>
        <w:rPr>
          <w:rFonts w:eastAsiaTheme="minorEastAsia"/>
          <w:i/>
          <w:sz w:val="23"/>
          <w:szCs w:val="23"/>
          <w:rtl/>
        </w:rPr>
      </w:pPr>
      <w:r w:rsidRPr="00005251">
        <w:rPr>
          <w:rFonts w:eastAsiaTheme="minorEastAsia" w:hint="cs"/>
          <w:i/>
          <w:sz w:val="23"/>
          <w:szCs w:val="23"/>
          <w:rtl/>
        </w:rPr>
        <w:t>اگر تابع تولید بازده ثابت به مقیاس داشته باشد، آنگاه</w:t>
      </w:r>
    </w:p>
    <w:p w14:paraId="55C64F31"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12"/>
        </w:rPr>
        <w:object w:dxaOrig="2240" w:dyaOrig="360" w14:anchorId="508DD5AA">
          <v:shape id="_x0000_i2470" type="#_x0000_t75" style="width:111.95pt;height:18.15pt" o:ole="">
            <v:imagedata r:id="rId2927" o:title=""/>
          </v:shape>
          <o:OLEObject Type="Embed" ProgID="Equation.DSMT4" ShapeID="_x0000_i2470" DrawAspect="Content" ObjectID="_1791376414" r:id="rId2928"/>
        </w:object>
      </w:r>
    </w:p>
    <w:p w14:paraId="33D8DFC5" w14:textId="77777777" w:rsidR="00411620" w:rsidRPr="00005251" w:rsidRDefault="00411620" w:rsidP="00411620">
      <w:pPr>
        <w:tabs>
          <w:tab w:val="left" w:pos="4018"/>
        </w:tabs>
        <w:bidi w:val="0"/>
        <w:spacing w:line="216" w:lineRule="auto"/>
        <w:rPr>
          <w:rFonts w:eastAsiaTheme="minorEastAsia"/>
          <w:i/>
          <w:sz w:val="23"/>
          <w:szCs w:val="23"/>
          <w:rtl/>
        </w:rPr>
      </w:pPr>
      <w:r w:rsidRPr="00005251">
        <w:rPr>
          <w:position w:val="-12"/>
        </w:rPr>
        <w:object w:dxaOrig="3700" w:dyaOrig="360" w14:anchorId="6C4ACD65">
          <v:shape id="_x0000_i2471" type="#_x0000_t75" style="width:184.55pt;height:18.15pt" o:ole="">
            <v:imagedata r:id="rId2929" o:title=""/>
          </v:shape>
          <o:OLEObject Type="Embed" ProgID="Equation.DSMT4" ShapeID="_x0000_i2471" DrawAspect="Content" ObjectID="_1791376415" r:id="rId2930"/>
        </w:object>
      </w:r>
      <w:r w:rsidRPr="00005251">
        <w:rPr>
          <w:i/>
          <w:sz w:val="23"/>
          <w:szCs w:val="23"/>
        </w:rPr>
        <w:tab/>
      </w:r>
      <w:r w:rsidRPr="00005251">
        <w:rPr>
          <w:i/>
          <w:sz w:val="23"/>
          <w:szCs w:val="23"/>
          <w:rtl/>
        </w:rPr>
        <w:tab/>
      </w:r>
      <w:r w:rsidRPr="00005251">
        <w:rPr>
          <w:i/>
          <w:sz w:val="23"/>
          <w:szCs w:val="23"/>
          <w:rtl/>
        </w:rPr>
        <w:tab/>
      </w:r>
      <w:r w:rsidRPr="00005251">
        <w:rPr>
          <w:i/>
          <w:sz w:val="23"/>
          <w:szCs w:val="23"/>
          <w:rtl/>
        </w:rPr>
        <w:tab/>
      </w:r>
      <w:r w:rsidRPr="00005251">
        <w:rPr>
          <w:i/>
          <w:sz w:val="23"/>
          <w:szCs w:val="23"/>
          <w:rtl/>
        </w:rPr>
        <w:tab/>
      </w:r>
      <w:r w:rsidRPr="00005251">
        <w:rPr>
          <w:i/>
          <w:sz w:val="23"/>
          <w:szCs w:val="23"/>
        </w:rPr>
        <w:tab/>
      </w:r>
      <w:r w:rsidRPr="00005251">
        <w:rPr>
          <w:i/>
          <w:sz w:val="23"/>
          <w:szCs w:val="23"/>
        </w:rPr>
        <w:tab/>
      </w:r>
      <w:r>
        <w:rPr>
          <w:i/>
          <w:sz w:val="23"/>
          <w:szCs w:val="23"/>
          <w:rtl/>
        </w:rPr>
        <w:tab/>
      </w:r>
      <w:r w:rsidRPr="00005251">
        <w:rPr>
          <w:i/>
          <w:sz w:val="23"/>
          <w:szCs w:val="23"/>
          <w:rtl/>
        </w:rPr>
        <w:tab/>
      </w:r>
      <w:r w:rsidRPr="00005251">
        <w:rPr>
          <w:rFonts w:hint="cs"/>
          <w:i/>
          <w:sz w:val="23"/>
          <w:szCs w:val="23"/>
          <w:rtl/>
        </w:rPr>
        <w:t>(۴. ۳۸)</w:t>
      </w:r>
    </w:p>
    <w:p w14:paraId="220D61A9" w14:textId="77777777" w:rsidR="00411620" w:rsidRPr="00005251" w:rsidRDefault="00411620" w:rsidP="00411620">
      <w:pPr>
        <w:tabs>
          <w:tab w:val="left" w:pos="-46"/>
        </w:tabs>
        <w:spacing w:line="216" w:lineRule="auto"/>
        <w:rPr>
          <w:rFonts w:eastAsiaTheme="minorEastAsia"/>
          <w:i/>
          <w:sz w:val="23"/>
          <w:szCs w:val="23"/>
          <w:rtl/>
        </w:rPr>
      </w:pPr>
      <w:r w:rsidRPr="00005251">
        <w:rPr>
          <w:rFonts w:eastAsiaTheme="minorEastAsia" w:hint="cs"/>
          <w:i/>
          <w:sz w:val="23"/>
          <w:szCs w:val="23"/>
          <w:rtl/>
        </w:rPr>
        <w:t xml:space="preserve">که در آن </w:t>
      </w:r>
      <w:r w:rsidRPr="00005251">
        <w:rPr>
          <w:position w:val="-12"/>
        </w:rPr>
        <w:object w:dxaOrig="760" w:dyaOrig="360" w14:anchorId="0CB69873">
          <v:shape id="_x0000_i2472" type="#_x0000_t75" style="width:38.1pt;height:18.15pt" o:ole="">
            <v:imagedata r:id="rId2931" o:title=""/>
          </v:shape>
          <o:OLEObject Type="Embed" ProgID="Equation.DSMT4" ShapeID="_x0000_i2472" DrawAspect="Content" ObjectID="_1791376416" r:id="rId2932"/>
        </w:object>
      </w:r>
      <w:r w:rsidRPr="00005251">
        <w:rPr>
          <w:rFonts w:eastAsiaTheme="minorEastAsia" w:hint="cs"/>
          <w:i/>
          <w:sz w:val="23"/>
          <w:szCs w:val="23"/>
          <w:rtl/>
        </w:rPr>
        <w:t xml:space="preserve"> ارزش خالص بنگاه است. معادله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rFonts w:hint="cs"/>
          <w:i/>
          <w:sz w:val="23"/>
          <w:szCs w:val="23"/>
          <w:rtl/>
        </w:rPr>
        <w:t>(۴. ۳۸)</w:t>
      </w:r>
      <w:r w:rsidRPr="00005251">
        <w:rPr>
          <w:rFonts w:eastAsiaTheme="minorEastAsia" w:hint="cs"/>
          <w:i/>
          <w:sz w:val="23"/>
          <w:szCs w:val="23"/>
          <w:rtl/>
        </w:rPr>
        <w:t xml:space="preserve"> را می‌توان بصورت زیر بازنویسی کرد</w:t>
      </w:r>
    </w:p>
    <w:p w14:paraId="766842BE"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22"/>
        </w:rPr>
        <w:object w:dxaOrig="2220" w:dyaOrig="620" w14:anchorId="540337E3">
          <v:shape id="_x0000_i2473" type="#_x0000_t75" style="width:110.7pt;height:31.45pt" o:ole="">
            <v:imagedata r:id="rId2933" o:title=""/>
          </v:shape>
          <o:OLEObject Type="Embed" ProgID="Equation.DSMT4" ShapeID="_x0000_i2473" DrawAspect="Content" ObjectID="_1791376417" r:id="rId2934"/>
        </w:object>
      </w:r>
    </w:p>
    <w:p w14:paraId="18D575A0" w14:textId="77777777" w:rsidR="00411620" w:rsidRPr="00005251" w:rsidRDefault="00411620" w:rsidP="00411620">
      <w:pPr>
        <w:tabs>
          <w:tab w:val="left" w:pos="-46"/>
        </w:tabs>
        <w:spacing w:line="216" w:lineRule="auto"/>
        <w:rPr>
          <w:rFonts w:eastAsiaTheme="minorEastAsia"/>
          <w:i/>
          <w:sz w:val="23"/>
          <w:szCs w:val="23"/>
          <w:rtl/>
        </w:rPr>
      </w:pPr>
      <w:r w:rsidRPr="00005251">
        <w:rPr>
          <w:rFonts w:eastAsiaTheme="minorEastAsia" w:hint="cs"/>
          <w:i/>
          <w:sz w:val="23"/>
          <w:szCs w:val="23"/>
          <w:rtl/>
        </w:rPr>
        <w:t xml:space="preserve">اگر </w:t>
      </w:r>
      <w:r w:rsidRPr="00005251">
        <w:rPr>
          <w:position w:val="-22"/>
        </w:rPr>
        <w:object w:dxaOrig="800" w:dyaOrig="560" w14:anchorId="1A83DD94">
          <v:shape id="_x0000_i2474" type="#_x0000_t75" style="width:39.95pt;height:27.85pt" o:ole="">
            <v:imagedata r:id="rId2935" o:title=""/>
          </v:shape>
          <o:OLEObject Type="Embed" ProgID="Equation.DSMT4" ShapeID="_x0000_i2474" DrawAspect="Content" ObjectID="_1791376418" r:id="rId2936"/>
        </w:object>
      </w:r>
      <w:r w:rsidRPr="00005251">
        <w:rPr>
          <w:rFonts w:eastAsiaTheme="minorEastAsia" w:hint="cs"/>
          <w:i/>
          <w:sz w:val="23"/>
          <w:szCs w:val="23"/>
          <w:rtl/>
        </w:rPr>
        <w:t xml:space="preserve"> باشد می</w:t>
      </w:r>
      <w:r w:rsidRPr="00005251">
        <w:rPr>
          <w:rFonts w:eastAsiaTheme="minorEastAsia" w:hint="cs"/>
          <w:i/>
          <w:sz w:val="23"/>
          <w:szCs w:val="23"/>
          <w:rtl/>
        </w:rPr>
        <w:softHyphen/>
        <w:t xml:space="preserve">توان معادله فوق را با توجه به شرط تراگردی </w:t>
      </w:r>
      <w:r w:rsidRPr="00005251">
        <w:rPr>
          <w:rFonts w:eastAsiaTheme="minorEastAsia" w:hint="cs"/>
          <w:i/>
          <w:sz w:val="23"/>
          <w:szCs w:val="23"/>
          <w:rtl/>
          <w:lang w:val="en-GB"/>
        </w:rPr>
        <w:t xml:space="preserve">و </w:t>
      </w:r>
      <w:r w:rsidRPr="00005251">
        <w:rPr>
          <w:rFonts w:eastAsiaTheme="minorEastAsia" w:hint="cs"/>
          <w:i/>
          <w:sz w:val="23"/>
          <w:szCs w:val="23"/>
          <w:rtl/>
        </w:rPr>
        <w:t>بصورت پیش</w:t>
      </w:r>
      <w:r w:rsidRPr="00005251">
        <w:rPr>
          <w:rFonts w:eastAsiaTheme="minorEastAsia"/>
          <w:i/>
          <w:sz w:val="23"/>
          <w:szCs w:val="23"/>
          <w:rtl/>
        </w:rPr>
        <w:softHyphen/>
      </w:r>
      <w:r w:rsidRPr="00005251">
        <w:rPr>
          <w:rFonts w:eastAsiaTheme="minorEastAsia" w:hint="cs"/>
          <w:i/>
          <w:sz w:val="23"/>
          <w:szCs w:val="23"/>
          <w:rtl/>
        </w:rPr>
        <w:t>رو</w:t>
      </w:r>
      <w:r w:rsidRPr="00005251">
        <w:rPr>
          <w:rFonts w:eastAsiaTheme="minorEastAsia"/>
          <w:i/>
          <w:sz w:val="23"/>
          <w:szCs w:val="23"/>
        </w:rPr>
        <w:t xml:space="preserve"> </w:t>
      </w:r>
      <w:r w:rsidRPr="00005251">
        <w:rPr>
          <w:rFonts w:eastAsiaTheme="minorEastAsia" w:hint="cs"/>
          <w:i/>
          <w:sz w:val="23"/>
          <w:szCs w:val="23"/>
          <w:rtl/>
        </w:rPr>
        <w:t>حل نمود. لذا خواهیم داشت؛</w:t>
      </w:r>
    </w:p>
    <w:p w14:paraId="500E45AE"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34"/>
        </w:rPr>
        <w:object w:dxaOrig="1860" w:dyaOrig="700" w14:anchorId="4FD82FA3">
          <v:shape id="_x0000_i2475" type="#_x0000_t75" style="width:93.2pt;height:34.5pt" o:ole="">
            <v:imagedata r:id="rId2937" o:title=""/>
          </v:shape>
          <o:OLEObject Type="Embed" ProgID="Equation.DSMT4" ShapeID="_x0000_i2475" DrawAspect="Content" ObjectID="_1791376419" r:id="rId2938"/>
        </w:object>
      </w:r>
    </w:p>
    <w:p w14:paraId="4E93F3C9" w14:textId="77777777" w:rsidR="00411620" w:rsidRPr="00005251" w:rsidRDefault="00411620" w:rsidP="00411620">
      <w:pPr>
        <w:tabs>
          <w:tab w:val="left" w:pos="-46"/>
        </w:tabs>
        <w:spacing w:line="216" w:lineRule="auto"/>
        <w:rPr>
          <w:rFonts w:eastAsiaTheme="minorEastAsia"/>
          <w:i/>
          <w:sz w:val="23"/>
          <w:szCs w:val="23"/>
          <w:lang w:val="en-GB"/>
        </w:rPr>
      </w:pPr>
      <w:r w:rsidRPr="00005251">
        <w:rPr>
          <w:rFonts w:eastAsiaTheme="minorEastAsia" w:hint="cs"/>
          <w:i/>
          <w:sz w:val="23"/>
          <w:szCs w:val="23"/>
          <w:rtl/>
        </w:rPr>
        <w:t xml:space="preserve">و </w:t>
      </w:r>
    </w:p>
    <w:p w14:paraId="1CFC3C1D"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34"/>
        </w:rPr>
        <w:object w:dxaOrig="1660" w:dyaOrig="700" w14:anchorId="33A854E3">
          <v:shape id="_x0000_i2476" type="#_x0000_t75" style="width:82.9pt;height:34.5pt" o:ole="">
            <v:imagedata r:id="rId2939" o:title=""/>
          </v:shape>
          <o:OLEObject Type="Embed" ProgID="Equation.DSMT4" ShapeID="_x0000_i2476" DrawAspect="Content" ObjectID="_1791376420" r:id="rId2940"/>
        </w:object>
      </w:r>
    </w:p>
    <w:p w14:paraId="139AF310"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چنانچه سود بنگاه در زمان</w:t>
      </w:r>
      <w:r w:rsidRPr="00005251">
        <w:rPr>
          <w:rFonts w:eastAsiaTheme="minorEastAsia"/>
          <w:i/>
          <w:sz w:val="23"/>
          <w:szCs w:val="23"/>
          <w:rtl/>
        </w:rPr>
        <w:softHyphen/>
      </w:r>
      <w:r w:rsidRPr="00005251">
        <w:rPr>
          <w:rFonts w:eastAsiaTheme="minorEastAsia" w:hint="cs"/>
          <w:i/>
          <w:sz w:val="23"/>
          <w:szCs w:val="23"/>
          <w:rtl/>
        </w:rPr>
        <w:t xml:space="preserve">های مختلف ثابت باشد یعنی </w:t>
      </w:r>
      <w:r w:rsidRPr="00005251">
        <w:rPr>
          <w:position w:val="-10"/>
        </w:rPr>
        <w:object w:dxaOrig="1780" w:dyaOrig="320" w14:anchorId="5BCD45AE">
          <v:shape id="_x0000_i2477" type="#_x0000_t75" style="width:88.95pt;height:16.35pt" o:ole="">
            <v:imagedata r:id="rId2941" o:title=""/>
          </v:shape>
          <o:OLEObject Type="Embed" ProgID="Equation.DSMT4" ShapeID="_x0000_i2477" DrawAspect="Content" ObjectID="_1791376421" r:id="rId2942"/>
        </w:object>
      </w:r>
      <w:r w:rsidRPr="00005251">
        <w:rPr>
          <w:rFonts w:eastAsiaTheme="minorEastAsia" w:hint="cs"/>
          <w:i/>
          <w:sz w:val="23"/>
          <w:szCs w:val="23"/>
          <w:rtl/>
        </w:rPr>
        <w:t>، آنگاه ارزش خالص بنگاه برابر خواهد بود با؛</w:t>
      </w:r>
    </w:p>
    <w:p w14:paraId="3A6B6E13"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22"/>
        </w:rPr>
        <w:object w:dxaOrig="999" w:dyaOrig="560" w14:anchorId="6CF70D68">
          <v:shape id="_x0000_i2478" type="#_x0000_t75" style="width:50.2pt;height:27.85pt" o:ole="">
            <v:imagedata r:id="rId2943" o:title=""/>
          </v:shape>
          <o:OLEObject Type="Embed" ProgID="Equation.DSMT4" ShapeID="_x0000_i2478" DrawAspect="Content" ObjectID="_1791376422" r:id="rId2944"/>
        </w:object>
      </w:r>
    </w:p>
    <w:p w14:paraId="466AB0C2" w14:textId="77777777" w:rsidR="00411620" w:rsidRPr="00005251" w:rsidRDefault="00411620" w:rsidP="00411620">
      <w:pPr>
        <w:spacing w:line="216" w:lineRule="auto"/>
        <w:rPr>
          <w:rFonts w:eastAsiaTheme="minorEastAsia"/>
          <w:i/>
          <w:sz w:val="23"/>
          <w:szCs w:val="23"/>
        </w:rPr>
      </w:pPr>
      <w:r w:rsidRPr="00005251">
        <w:rPr>
          <w:rFonts w:eastAsiaTheme="minorEastAsia" w:hint="cs"/>
          <w:i/>
          <w:sz w:val="23"/>
          <w:szCs w:val="23"/>
          <w:rtl/>
        </w:rPr>
        <w:t>یعنی ارزش خالص بنگاه یا</w:t>
      </w:r>
      <w:r w:rsidRPr="00005251">
        <w:rPr>
          <w:position w:val="-6"/>
        </w:rPr>
        <w:object w:dxaOrig="499" w:dyaOrig="260" w14:anchorId="5CCA4FE2">
          <v:shape id="_x0000_i2479" type="#_x0000_t75" style="width:24.8pt;height:12.7pt" o:ole="">
            <v:imagedata r:id="rId2945" o:title=""/>
          </v:shape>
          <o:OLEObject Type="Embed" ProgID="Equation.DSMT4" ShapeID="_x0000_i2479" DrawAspect="Content" ObjectID="_1791376423" r:id="rId2946"/>
        </w:object>
      </w:r>
      <w:r w:rsidRPr="00005251">
        <w:rPr>
          <w:rFonts w:eastAsiaTheme="minorEastAsia" w:hint="cs"/>
          <w:i/>
          <w:sz w:val="23"/>
          <w:szCs w:val="23"/>
          <w:rtl/>
        </w:rPr>
        <w:t xml:space="preserve"> برابر است با ارزش حال سودها یا </w:t>
      </w:r>
      <w:r w:rsidRPr="00005251">
        <w:rPr>
          <w:position w:val="-22"/>
        </w:rPr>
        <w:object w:dxaOrig="240" w:dyaOrig="560" w14:anchorId="586769BE">
          <v:shape id="_x0000_i2480" type="#_x0000_t75" style="width:11.5pt;height:27.85pt" o:ole="">
            <v:imagedata r:id="rId2947" o:title=""/>
          </v:shape>
          <o:OLEObject Type="Embed" ProgID="Equation.DSMT4" ShapeID="_x0000_i2480" DrawAspect="Content" ObjectID="_1791376424" r:id="rId2948"/>
        </w:object>
      </w:r>
      <w:r w:rsidRPr="00005251">
        <w:rPr>
          <w:rFonts w:eastAsiaTheme="minorEastAsia" w:hint="cs"/>
          <w:i/>
          <w:sz w:val="23"/>
          <w:szCs w:val="23"/>
          <w:rtl/>
        </w:rPr>
        <w:t>.</w:t>
      </w:r>
    </w:p>
    <w:p w14:paraId="060BE4DC"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 xml:space="preserve"> </w:t>
      </w:r>
    </w:p>
    <w:p w14:paraId="1157925C" w14:textId="77777777" w:rsidR="00411620" w:rsidRPr="00005251" w:rsidRDefault="00411620" w:rsidP="00411620">
      <w:pPr>
        <w:spacing w:line="216" w:lineRule="auto"/>
        <w:rPr>
          <w:rFonts w:eastAsiaTheme="minorEastAsia"/>
          <w:bCs/>
          <w:i/>
          <w:sz w:val="23"/>
          <w:szCs w:val="23"/>
          <w:rtl/>
        </w:rPr>
      </w:pPr>
      <w:r w:rsidRPr="00005251">
        <w:rPr>
          <w:rFonts w:eastAsiaTheme="minorEastAsia" w:hint="cs"/>
          <w:bCs/>
          <w:i/>
          <w:sz w:val="23"/>
          <w:szCs w:val="23"/>
          <w:rtl/>
        </w:rPr>
        <w:t>ارزش هر سهم</w:t>
      </w:r>
    </w:p>
    <w:p w14:paraId="67967D01" w14:textId="77777777" w:rsidR="00411620" w:rsidRPr="00005251" w:rsidRDefault="00411620" w:rsidP="00411620">
      <w:pPr>
        <w:spacing w:line="216" w:lineRule="auto"/>
        <w:rPr>
          <w:rFonts w:eastAsiaTheme="minorEastAsia"/>
          <w:i/>
          <w:sz w:val="23"/>
          <w:szCs w:val="23"/>
          <w:rtl/>
          <w:lang w:val="en-GB"/>
        </w:rPr>
      </w:pPr>
      <w:r w:rsidRPr="00005251">
        <w:rPr>
          <w:rFonts w:eastAsiaTheme="minorEastAsia" w:hint="cs"/>
          <w:i/>
          <w:sz w:val="23"/>
          <w:szCs w:val="23"/>
          <w:rtl/>
        </w:rPr>
        <w:t>اگر</w:t>
      </w:r>
      <w:r w:rsidRPr="00005251">
        <w:rPr>
          <w:position w:val="-12"/>
        </w:rPr>
        <w:object w:dxaOrig="340" w:dyaOrig="340" w14:anchorId="1250734C">
          <v:shape id="_x0000_i2481" type="#_x0000_t75" style="width:16.95pt;height:16.95pt" o:ole="">
            <v:imagedata r:id="rId2949" o:title=""/>
          </v:shape>
          <o:OLEObject Type="Embed" ProgID="Equation.DSMT4" ShapeID="_x0000_i2481" DrawAspect="Content" ObjectID="_1791376425" r:id="rId2950"/>
        </w:object>
      </w:r>
      <w:r w:rsidRPr="00005251">
        <w:rPr>
          <w:rFonts w:eastAsiaTheme="minorEastAsia" w:hint="cs"/>
          <w:i/>
          <w:sz w:val="23"/>
          <w:szCs w:val="23"/>
          <w:rtl/>
        </w:rPr>
        <w:t xml:space="preserve"> تعداد سهام موجود در زمان</w:t>
      </w:r>
      <w:r w:rsidRPr="00005251">
        <w:rPr>
          <w:position w:val="-6"/>
        </w:rPr>
        <w:object w:dxaOrig="139" w:dyaOrig="240" w14:anchorId="3363D2D9">
          <v:shape id="_x0000_i2482" type="#_x0000_t75" style="width:7.25pt;height:11.5pt" o:ole="">
            <v:imagedata r:id="rId2951" o:title=""/>
          </v:shape>
          <o:OLEObject Type="Embed" ProgID="Equation.DSMT4" ShapeID="_x0000_i2482" DrawAspect="Content" ObjectID="_1791376426" r:id="rId2952"/>
        </w:object>
      </w:r>
      <w:r w:rsidRPr="00005251">
        <w:rPr>
          <w:rFonts w:eastAsiaTheme="minorEastAsia"/>
          <w:i/>
          <w:sz w:val="23"/>
          <w:szCs w:val="23"/>
        </w:rPr>
        <w:t xml:space="preserve"> </w:t>
      </w:r>
      <w:r w:rsidRPr="00005251">
        <w:rPr>
          <w:rFonts w:eastAsiaTheme="minorEastAsia" w:hint="cs"/>
          <w:i/>
          <w:sz w:val="23"/>
          <w:szCs w:val="23"/>
          <w:rtl/>
        </w:rPr>
        <w:t>باشد آنگاه ارزش هر سهم در زمان</w:t>
      </w:r>
      <w:r w:rsidRPr="00005251">
        <w:rPr>
          <w:position w:val="-6"/>
        </w:rPr>
        <w:object w:dxaOrig="139" w:dyaOrig="240" w14:anchorId="179C9711">
          <v:shape id="_x0000_i2483" type="#_x0000_t75" style="width:7.25pt;height:11.5pt" o:ole="">
            <v:imagedata r:id="rId2953" o:title=""/>
          </v:shape>
          <o:OLEObject Type="Embed" ProgID="Equation.DSMT4" ShapeID="_x0000_i2483" DrawAspect="Content" ObjectID="_1791376427" r:id="rId2954"/>
        </w:object>
      </w:r>
      <w:r w:rsidRPr="00005251">
        <w:rPr>
          <w:rFonts w:eastAsiaTheme="minorEastAsia" w:hint="cs"/>
          <w:i/>
          <w:sz w:val="23"/>
          <w:szCs w:val="23"/>
          <w:rtl/>
          <w:lang w:val="en-GB"/>
        </w:rPr>
        <w:t xml:space="preserve"> برابر است با</w:t>
      </w:r>
    </w:p>
    <w:p w14:paraId="1346884D"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30"/>
        </w:rPr>
        <w:object w:dxaOrig="1260" w:dyaOrig="660" w14:anchorId="6D5C1E8C">
          <v:shape id="_x0000_i2484" type="#_x0000_t75" style="width:62.9pt;height:32.65pt" o:ole="">
            <v:imagedata r:id="rId2955" o:title=""/>
          </v:shape>
          <o:OLEObject Type="Embed" ProgID="Equation.DSMT4" ShapeID="_x0000_i2484" DrawAspect="Content" ObjectID="_1791376428" r:id="rId2956"/>
        </w:object>
      </w:r>
    </w:p>
    <w:p w14:paraId="13E7ABE5"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 xml:space="preserve">لذا ارزش هر سهم برابر است با </w:t>
      </w:r>
      <w:r w:rsidRPr="00005251">
        <w:rPr>
          <w:position w:val="-30"/>
        </w:rPr>
        <w:object w:dxaOrig="639" w:dyaOrig="660" w14:anchorId="020CC39E">
          <v:shape id="_x0000_i2485" type="#_x0000_t75" style="width:32.05pt;height:32.65pt" o:ole="">
            <v:imagedata r:id="rId2957" o:title=""/>
          </v:shape>
          <o:OLEObject Type="Embed" ProgID="Equation.DSMT4" ShapeID="_x0000_i2485" DrawAspect="Content" ObjectID="_1791376429" r:id="rId2958"/>
        </w:object>
      </w:r>
      <w:r w:rsidRPr="00005251">
        <w:rPr>
          <w:rFonts w:eastAsiaTheme="minorEastAsia" w:hint="cs"/>
          <w:i/>
          <w:sz w:val="23"/>
          <w:szCs w:val="23"/>
          <w:rtl/>
        </w:rPr>
        <w:t xml:space="preserve"> و یا </w:t>
      </w:r>
      <w:r w:rsidRPr="00005251">
        <w:rPr>
          <w:position w:val="-30"/>
        </w:rPr>
        <w:object w:dxaOrig="480" w:dyaOrig="660" w14:anchorId="3EB94776">
          <v:shape id="_x0000_i2486" type="#_x0000_t75" style="width:24.2pt;height:32.65pt" o:ole="">
            <v:imagedata r:id="rId2959" o:title=""/>
          </v:shape>
          <o:OLEObject Type="Embed" ProgID="Equation.DSMT4" ShapeID="_x0000_i2486" DrawAspect="Content" ObjectID="_1791376430" r:id="rId2960"/>
        </w:object>
      </w:r>
      <w:r w:rsidRPr="00005251">
        <w:rPr>
          <w:rFonts w:eastAsiaTheme="minorEastAsia" w:hint="cs"/>
          <w:i/>
          <w:sz w:val="23"/>
          <w:szCs w:val="23"/>
          <w:rtl/>
        </w:rPr>
        <w:t xml:space="preserve">، یعنی ارزش حال سود جاری و سودهای انتظاری آتی به ازای هر سهم. چنانچه تمام سود بنگاه بصورت سود سهام </w:t>
      </w:r>
      <w:r w:rsidRPr="00005251">
        <w:rPr>
          <w:position w:val="-10"/>
        </w:rPr>
        <w:object w:dxaOrig="240" w:dyaOrig="320" w14:anchorId="64F74326">
          <v:shape id="_x0000_i2487" type="#_x0000_t75" style="width:11.5pt;height:16.35pt" o:ole="">
            <v:imagedata r:id="rId2961" o:title=""/>
          </v:shape>
          <o:OLEObject Type="Embed" ProgID="Equation.DSMT4" ShapeID="_x0000_i2487" DrawAspect="Content" ObjectID="_1791376431" r:id="rId2962"/>
        </w:object>
      </w:r>
      <w:r w:rsidRPr="00005251">
        <w:rPr>
          <w:rFonts w:eastAsiaTheme="minorEastAsia" w:hint="cs"/>
          <w:i/>
          <w:sz w:val="23"/>
          <w:szCs w:val="23"/>
          <w:rtl/>
        </w:rPr>
        <w:t xml:space="preserve"> توزیع شود و سود سهام </w:t>
      </w:r>
      <w:r w:rsidRPr="00005251">
        <w:rPr>
          <w:rFonts w:eastAsiaTheme="minorEastAsia" w:hint="cs"/>
          <w:i/>
          <w:sz w:val="23"/>
          <w:szCs w:val="23"/>
          <w:rtl/>
        </w:rPr>
        <w:lastRenderedPageBreak/>
        <w:t>به سرمایه</w:t>
      </w:r>
      <w:r w:rsidRPr="00005251">
        <w:rPr>
          <w:rFonts w:eastAsiaTheme="minorEastAsia"/>
          <w:i/>
          <w:sz w:val="23"/>
          <w:szCs w:val="23"/>
          <w:rtl/>
        </w:rPr>
        <w:softHyphen/>
      </w:r>
      <w:r w:rsidRPr="00005251">
        <w:rPr>
          <w:rFonts w:eastAsiaTheme="minorEastAsia" w:hint="cs"/>
          <w:i/>
          <w:sz w:val="23"/>
          <w:szCs w:val="23"/>
          <w:rtl/>
        </w:rPr>
        <w:t>گذاری تخصیص نیابد و سود هر سهم در زمان</w:t>
      </w:r>
      <w:r w:rsidRPr="00005251">
        <w:rPr>
          <w:rFonts w:eastAsiaTheme="minorEastAsia"/>
          <w:i/>
          <w:sz w:val="23"/>
          <w:szCs w:val="23"/>
          <w:rtl/>
        </w:rPr>
        <w:softHyphen/>
      </w:r>
      <w:r w:rsidRPr="00005251">
        <w:rPr>
          <w:rFonts w:eastAsiaTheme="minorEastAsia" w:hint="cs"/>
          <w:i/>
          <w:sz w:val="23"/>
          <w:szCs w:val="23"/>
          <w:rtl/>
        </w:rPr>
        <w:t xml:space="preserve">های مختلف ثابت باشد یعنی </w:t>
      </w:r>
      <w:r w:rsidRPr="00005251">
        <w:rPr>
          <w:position w:val="-10"/>
        </w:rPr>
        <w:object w:dxaOrig="1760" w:dyaOrig="320" w14:anchorId="7CD7EC02">
          <v:shape id="_x0000_i2488" type="#_x0000_t75" style="width:88.35pt;height:16.35pt" o:ole="">
            <v:imagedata r:id="rId2963" o:title=""/>
          </v:shape>
          <o:OLEObject Type="Embed" ProgID="Equation.DSMT4" ShapeID="_x0000_i2488" DrawAspect="Content" ObjectID="_1791376432" r:id="rId2964"/>
        </w:object>
      </w:r>
      <w:r w:rsidRPr="00005251">
        <w:rPr>
          <w:rFonts w:eastAsiaTheme="minorEastAsia" w:hint="cs"/>
          <w:i/>
          <w:sz w:val="23"/>
          <w:szCs w:val="23"/>
          <w:rtl/>
        </w:rPr>
        <w:t xml:space="preserve"> آنگاه</w:t>
      </w:r>
    </w:p>
    <w:p w14:paraId="39BA3354"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34"/>
        </w:rPr>
        <w:object w:dxaOrig="5539" w:dyaOrig="700" w14:anchorId="0285F574">
          <v:shape id="_x0000_i2489" type="#_x0000_t75" style="width:277.1pt;height:34.5pt" o:ole="">
            <v:imagedata r:id="rId2965" o:title=""/>
          </v:shape>
          <o:OLEObject Type="Embed" ProgID="Equation.DSMT4" ShapeID="_x0000_i2489" DrawAspect="Content" ObjectID="_1791376433" r:id="rId2966"/>
        </w:object>
      </w:r>
    </w:p>
    <w:p w14:paraId="374FEDC4"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 xml:space="preserve">اگر </w:t>
      </w:r>
      <w:r w:rsidRPr="00005251">
        <w:rPr>
          <w:position w:val="-10"/>
        </w:rPr>
        <w:object w:dxaOrig="960" w:dyaOrig="320" w14:anchorId="682605D5">
          <v:shape id="_x0000_i2490" type="#_x0000_t75" style="width:47.8pt;height:16.35pt" o:ole="">
            <v:imagedata r:id="rId2967" o:title=""/>
          </v:shape>
          <o:OLEObject Type="Embed" ProgID="Equation.DSMT4" ShapeID="_x0000_i2490" DrawAspect="Content" ObjectID="_1791376434" r:id="rId2968"/>
        </w:object>
      </w:r>
      <w:r w:rsidRPr="00005251">
        <w:rPr>
          <w:rFonts w:eastAsiaTheme="minorEastAsia" w:hint="cs"/>
          <w:i/>
          <w:sz w:val="23"/>
          <w:szCs w:val="23"/>
          <w:rtl/>
        </w:rPr>
        <w:t xml:space="preserve"> باشد آنگاه درآمد حاصل از سودِ سهم دائمی ‌است. نرخ بازدهی سرمایه برابر است با خالص تولید نهایی سرمایه (</w:t>
      </w:r>
      <w:r w:rsidRPr="00005251">
        <w:rPr>
          <w:position w:val="-10"/>
        </w:rPr>
        <w:object w:dxaOrig="960" w:dyaOrig="320" w14:anchorId="15BA9A0B">
          <v:shape id="_x0000_i2491" type="#_x0000_t75" style="width:47.8pt;height:16.35pt" o:ole="">
            <v:imagedata r:id="rId2969" o:title=""/>
          </v:shape>
          <o:OLEObject Type="Embed" ProgID="Equation.DSMT4" ShapeID="_x0000_i2491" DrawAspect="Content" ObjectID="_1791376435" r:id="rId2970"/>
        </w:object>
      </w:r>
      <w:r w:rsidRPr="00005251">
        <w:rPr>
          <w:rFonts w:eastAsiaTheme="minorEastAsia" w:hint="cs"/>
          <w:i/>
          <w:sz w:val="23"/>
          <w:szCs w:val="23"/>
          <w:rtl/>
        </w:rPr>
        <w:t xml:space="preserve">). نرخ بازدهی اوراق قرضه </w:t>
      </w:r>
      <w:r w:rsidRPr="00025957">
        <w:rPr>
          <w:position w:val="-4"/>
        </w:rPr>
        <w:object w:dxaOrig="180" w:dyaOrig="180" w14:anchorId="32B4646D">
          <v:shape id="_x0000_i2492" type="#_x0000_t75" style="width:9.1pt;height:9.1pt" o:ole="">
            <v:imagedata r:id="rId2971" o:title=""/>
          </v:shape>
          <o:OLEObject Type="Embed" ProgID="Equation.DSMT4" ShapeID="_x0000_i2492" DrawAspect="Content" ObjectID="_1791376436" r:id="rId2972"/>
        </w:object>
      </w:r>
      <w:r w:rsidRPr="00005251">
        <w:rPr>
          <w:rFonts w:eastAsiaTheme="minorEastAsia"/>
          <w:i/>
          <w:sz w:val="23"/>
          <w:szCs w:val="23"/>
        </w:rPr>
        <w:t xml:space="preserve"> </w:t>
      </w:r>
      <w:r w:rsidRPr="00005251">
        <w:rPr>
          <w:rFonts w:eastAsiaTheme="minorEastAsia" w:hint="cs"/>
          <w:i/>
          <w:sz w:val="23"/>
          <w:szCs w:val="23"/>
          <w:rtl/>
        </w:rPr>
        <w:t xml:space="preserve">در بلندمدت برابر است با نرخ ترجیحات زمانی خانوار یعنی </w:t>
      </w:r>
      <w:r w:rsidRPr="00005251">
        <w:rPr>
          <w:position w:val="-6"/>
        </w:rPr>
        <w:object w:dxaOrig="520" w:dyaOrig="260" w14:anchorId="4D7D6790">
          <v:shape id="_x0000_i2493" type="#_x0000_t75" style="width:26pt;height:12.7pt" o:ole="">
            <v:imagedata r:id="rId2973" o:title=""/>
          </v:shape>
          <o:OLEObject Type="Embed" ProgID="Equation.DSMT4" ShapeID="_x0000_i2493" DrawAspect="Content" ObjectID="_1791376437" r:id="rId2974"/>
        </w:object>
      </w:r>
      <w:r w:rsidRPr="00005251">
        <w:rPr>
          <w:rFonts w:eastAsiaTheme="minorEastAsia"/>
          <w:i/>
          <w:sz w:val="23"/>
          <w:szCs w:val="23"/>
        </w:rPr>
        <w:t>.</w:t>
      </w:r>
      <w:r w:rsidRPr="00005251">
        <w:rPr>
          <w:rFonts w:eastAsiaTheme="minorEastAsia" w:hint="cs"/>
          <w:i/>
          <w:sz w:val="23"/>
          <w:szCs w:val="23"/>
          <w:rtl/>
        </w:rPr>
        <w:t xml:space="preserve"> </w:t>
      </w:r>
      <w:r w:rsidRPr="00005251">
        <w:rPr>
          <w:rFonts w:eastAsiaTheme="minorEastAsia"/>
          <w:i/>
          <w:sz w:val="23"/>
          <w:szCs w:val="23"/>
        </w:rPr>
        <w:t xml:space="preserve"> </w:t>
      </w:r>
      <w:r w:rsidRPr="00005251">
        <w:rPr>
          <w:rFonts w:eastAsiaTheme="minorEastAsia" w:hint="cs"/>
          <w:i/>
          <w:sz w:val="23"/>
          <w:szCs w:val="23"/>
          <w:rtl/>
        </w:rPr>
        <w:t>نرخ ترجیحات زمانی خانوار که همان</w:t>
      </w:r>
      <w:r w:rsidRPr="00005251">
        <w:rPr>
          <w:position w:val="-6"/>
        </w:rPr>
        <w:object w:dxaOrig="200" w:dyaOrig="260" w14:anchorId="5EFAE178">
          <v:shape id="_x0000_i2494" type="#_x0000_t75" style="width:10.3pt;height:12.7pt" o:ole="">
            <v:imagedata r:id="rId2975" o:title=""/>
          </v:shape>
          <o:OLEObject Type="Embed" ProgID="Equation.DSMT4" ShapeID="_x0000_i2494" DrawAspect="Content" ObjectID="_1791376438" r:id="rId2976"/>
        </w:object>
      </w:r>
      <w:r w:rsidRPr="00005251">
        <w:rPr>
          <w:rFonts w:eastAsiaTheme="minorEastAsia" w:hint="cs"/>
          <w:i/>
          <w:sz w:val="23"/>
          <w:szCs w:val="23"/>
          <w:rtl/>
        </w:rPr>
        <w:t xml:space="preserve"> است تمایل به پس</w:t>
      </w:r>
      <w:r w:rsidRPr="00005251">
        <w:rPr>
          <w:rFonts w:eastAsiaTheme="minorEastAsia"/>
          <w:i/>
          <w:sz w:val="23"/>
          <w:szCs w:val="23"/>
          <w:rtl/>
        </w:rPr>
        <w:softHyphen/>
      </w:r>
      <w:r w:rsidRPr="00005251">
        <w:rPr>
          <w:rFonts w:eastAsiaTheme="minorEastAsia" w:hint="cs"/>
          <w:i/>
          <w:sz w:val="23"/>
          <w:szCs w:val="23"/>
          <w:rtl/>
        </w:rPr>
        <w:t xml:space="preserve">انداز خانوار یا تمایل به قرض دادن به بنگاه را محدود می‌کند. </w:t>
      </w:r>
    </w:p>
    <w:p w14:paraId="1061404A" w14:textId="77777777" w:rsidR="00411620" w:rsidRPr="00005251" w:rsidRDefault="00411620" w:rsidP="00411620">
      <w:pPr>
        <w:spacing w:line="216" w:lineRule="auto"/>
        <w:rPr>
          <w:rFonts w:eastAsiaTheme="minorEastAsia"/>
          <w:i/>
          <w:color w:val="FF0000"/>
          <w:sz w:val="23"/>
          <w:szCs w:val="23"/>
          <w:rtl/>
        </w:rPr>
      </w:pPr>
    </w:p>
    <w:p w14:paraId="7DEC0051" w14:textId="77777777" w:rsidR="00411620" w:rsidRPr="00005251" w:rsidRDefault="00411620" w:rsidP="00411620">
      <w:pPr>
        <w:spacing w:line="216" w:lineRule="auto"/>
        <w:rPr>
          <w:rFonts w:eastAsiaTheme="minorEastAsia"/>
          <w:bCs/>
          <w:i/>
          <w:sz w:val="23"/>
          <w:szCs w:val="23"/>
          <w:rtl/>
        </w:rPr>
      </w:pPr>
      <w:r w:rsidRPr="00005251">
        <w:rPr>
          <w:rFonts w:eastAsiaTheme="minorEastAsia" w:hint="cs"/>
          <w:bCs/>
          <w:i/>
          <w:sz w:val="23"/>
          <w:szCs w:val="23"/>
          <w:rtl/>
        </w:rPr>
        <w:t>بازار کار</w:t>
      </w:r>
    </w:p>
    <w:p w14:paraId="61D50E6C"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با در نظر گرفتن تقاضا برای نیروی کار بدون هزینه</w:t>
      </w:r>
      <w:r w:rsidRPr="00005251">
        <w:rPr>
          <w:rFonts w:eastAsiaTheme="minorEastAsia"/>
          <w:i/>
          <w:sz w:val="23"/>
          <w:szCs w:val="23"/>
          <w:rtl/>
        </w:rPr>
        <w:softHyphen/>
      </w:r>
      <w:r w:rsidRPr="00005251">
        <w:rPr>
          <w:rFonts w:eastAsiaTheme="minorEastAsia" w:hint="cs"/>
          <w:i/>
          <w:sz w:val="23"/>
          <w:szCs w:val="23"/>
          <w:rtl/>
        </w:rPr>
        <w:t>ی تعدیل و تابع دستمزد غیرخطی، عرضه و تقاضای نیروی کار عبارتند از:</w:t>
      </w:r>
    </w:p>
    <w:p w14:paraId="45972DC2"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12"/>
        </w:rPr>
        <w:object w:dxaOrig="2500" w:dyaOrig="340" w14:anchorId="59A8907C">
          <v:shape id="_x0000_i2495" type="#_x0000_t75" style="width:124.65pt;height:16.95pt" o:ole="">
            <v:imagedata r:id="rId2977" o:title=""/>
          </v:shape>
          <o:OLEObject Type="Embed" ProgID="Equation.DSMT4" ShapeID="_x0000_i2495" DrawAspect="Content" ObjectID="_1791376439" r:id="rId2978"/>
        </w:object>
      </w:r>
    </w:p>
    <w:p w14:paraId="53C3543A" w14:textId="77777777" w:rsidR="00411620" w:rsidRPr="00005251" w:rsidRDefault="00411620" w:rsidP="00411620">
      <w:pPr>
        <w:spacing w:line="216" w:lineRule="auto"/>
        <w:rPr>
          <w:rFonts w:eastAsiaTheme="minorEastAsia"/>
          <w:i/>
          <w:sz w:val="23"/>
          <w:szCs w:val="23"/>
        </w:rPr>
      </w:pPr>
      <w:r w:rsidRPr="00005251">
        <w:rPr>
          <w:rFonts w:eastAsiaTheme="minorEastAsia" w:hint="cs"/>
          <w:i/>
          <w:sz w:val="23"/>
          <w:szCs w:val="23"/>
          <w:rtl/>
        </w:rPr>
        <w:t>دستمزد حقیقی برای تسویه در بازار به</w:t>
      </w:r>
      <w:r w:rsidRPr="00005251">
        <w:rPr>
          <w:rFonts w:eastAsiaTheme="minorEastAsia"/>
          <w:i/>
          <w:sz w:val="23"/>
          <w:szCs w:val="23"/>
          <w:rtl/>
        </w:rPr>
        <w:softHyphen/>
      </w:r>
      <w:r w:rsidRPr="00005251">
        <w:rPr>
          <w:rFonts w:eastAsiaTheme="minorEastAsia" w:hint="cs"/>
          <w:i/>
          <w:sz w:val="23"/>
          <w:szCs w:val="23"/>
          <w:rtl/>
        </w:rPr>
        <w:t>گونه</w:t>
      </w:r>
      <w:r w:rsidRPr="00005251">
        <w:rPr>
          <w:rFonts w:eastAsiaTheme="minorEastAsia"/>
          <w:i/>
          <w:sz w:val="23"/>
          <w:szCs w:val="23"/>
          <w:rtl/>
        </w:rPr>
        <w:softHyphen/>
      </w:r>
      <w:r w:rsidRPr="00005251">
        <w:rPr>
          <w:rFonts w:eastAsiaTheme="minorEastAsia" w:hint="cs"/>
          <w:i/>
          <w:sz w:val="23"/>
          <w:szCs w:val="23"/>
          <w:rtl/>
        </w:rPr>
        <w:t xml:space="preserve">ای تعدیل می‌شود که </w:t>
      </w:r>
      <w:r w:rsidRPr="00005251">
        <w:rPr>
          <w:position w:val="-30"/>
        </w:rPr>
        <w:object w:dxaOrig="1420" w:dyaOrig="680" w14:anchorId="32BBC15C">
          <v:shape id="_x0000_i2496" type="#_x0000_t75" style="width:70.8pt;height:33.9pt" o:ole="">
            <v:imagedata r:id="rId2979" o:title=""/>
          </v:shape>
          <o:OLEObject Type="Embed" ProgID="Equation.DSMT4" ShapeID="_x0000_i2496" DrawAspect="Content" ObjectID="_1791376440" r:id="rId2980"/>
        </w:object>
      </w:r>
      <w:r w:rsidRPr="00005251">
        <w:rPr>
          <w:rFonts w:hint="cs"/>
          <w:i/>
          <w:sz w:val="23"/>
          <w:szCs w:val="23"/>
          <w:rtl/>
        </w:rPr>
        <w:t xml:space="preserve"> باشد</w:t>
      </w:r>
      <w:r w:rsidRPr="00005251">
        <w:rPr>
          <w:rFonts w:eastAsiaTheme="minorEastAsia" w:hint="cs"/>
          <w:i/>
          <w:sz w:val="23"/>
          <w:szCs w:val="23"/>
          <w:rtl/>
        </w:rPr>
        <w:t>. این معادله حل تعادل جزئی</w:t>
      </w:r>
      <w:r w:rsidRPr="00005251">
        <w:rPr>
          <w:rStyle w:val="FootnoteReference"/>
          <w:rFonts w:eastAsiaTheme="minorEastAsia"/>
          <w:i/>
          <w:sz w:val="23"/>
          <w:szCs w:val="23"/>
          <w:rtl/>
        </w:rPr>
        <w:footnoteReference w:id="135"/>
      </w:r>
      <w:r w:rsidRPr="00005251">
        <w:rPr>
          <w:rFonts w:eastAsiaTheme="minorEastAsia" w:hint="cs"/>
          <w:i/>
          <w:sz w:val="23"/>
          <w:szCs w:val="23"/>
          <w:rtl/>
        </w:rPr>
        <w:t xml:space="preserve"> برای بازار نیروی</w:t>
      </w:r>
      <w:r w:rsidRPr="00005251">
        <w:rPr>
          <w:rFonts w:eastAsiaTheme="minorEastAsia"/>
          <w:i/>
          <w:sz w:val="23"/>
          <w:szCs w:val="23"/>
          <w:rtl/>
        </w:rPr>
        <w:softHyphen/>
      </w:r>
      <w:r w:rsidRPr="00005251">
        <w:rPr>
          <w:rFonts w:eastAsiaTheme="minorEastAsia" w:hint="cs"/>
          <w:i/>
          <w:sz w:val="23"/>
          <w:szCs w:val="23"/>
          <w:rtl/>
        </w:rPr>
        <w:t>کار است. زیرا تولید نهایی نیروی</w:t>
      </w:r>
      <w:r w:rsidRPr="00005251">
        <w:rPr>
          <w:rFonts w:eastAsiaTheme="minorEastAsia"/>
          <w:i/>
          <w:sz w:val="23"/>
          <w:szCs w:val="23"/>
          <w:rtl/>
        </w:rPr>
        <w:softHyphen/>
      </w:r>
      <w:r w:rsidRPr="00005251">
        <w:rPr>
          <w:rFonts w:eastAsiaTheme="minorEastAsia" w:hint="cs"/>
          <w:i/>
          <w:sz w:val="23"/>
          <w:szCs w:val="23"/>
          <w:rtl/>
        </w:rPr>
        <w:t>کار و دو مطلوبیت نهایی موجود در مدل به متغیرهای درون</w:t>
      </w:r>
      <w:r w:rsidRPr="00005251">
        <w:rPr>
          <w:rFonts w:eastAsiaTheme="minorEastAsia"/>
          <w:i/>
          <w:sz w:val="23"/>
          <w:szCs w:val="23"/>
          <w:rtl/>
        </w:rPr>
        <w:softHyphen/>
      </w:r>
      <w:r w:rsidRPr="00005251">
        <w:rPr>
          <w:rFonts w:eastAsiaTheme="minorEastAsia" w:hint="cs"/>
          <w:i/>
          <w:sz w:val="23"/>
          <w:szCs w:val="23"/>
          <w:rtl/>
        </w:rPr>
        <w:t>زای دیگر در مدل نیز وابسته</w:t>
      </w:r>
      <w:r w:rsidRPr="00005251">
        <w:rPr>
          <w:rFonts w:eastAsiaTheme="minorEastAsia"/>
          <w:i/>
          <w:sz w:val="23"/>
          <w:szCs w:val="23"/>
          <w:rtl/>
        </w:rPr>
        <w:softHyphen/>
      </w:r>
      <w:r w:rsidRPr="00005251">
        <w:rPr>
          <w:rFonts w:eastAsiaTheme="minorEastAsia" w:hint="cs"/>
          <w:i/>
          <w:sz w:val="23"/>
          <w:szCs w:val="23"/>
          <w:rtl/>
        </w:rPr>
        <w:t>اند. راه حل تعادل عمومی ‌مستلزم آن است که متغیرهای درون</w:t>
      </w:r>
      <w:r w:rsidRPr="00005251">
        <w:rPr>
          <w:rFonts w:eastAsiaTheme="minorEastAsia" w:hint="cs"/>
          <w:i/>
          <w:sz w:val="23"/>
          <w:szCs w:val="23"/>
          <w:rtl/>
        </w:rPr>
        <w:softHyphen/>
        <w:t>زا بر</w:t>
      </w:r>
      <w:r w:rsidRPr="00005251">
        <w:rPr>
          <w:rFonts w:eastAsiaTheme="minorEastAsia"/>
          <w:i/>
          <w:sz w:val="23"/>
          <w:szCs w:val="23"/>
          <w:rtl/>
        </w:rPr>
        <w:softHyphen/>
      </w:r>
      <w:r w:rsidRPr="00005251">
        <w:rPr>
          <w:rFonts w:eastAsiaTheme="minorEastAsia" w:hint="cs"/>
          <w:i/>
          <w:sz w:val="23"/>
          <w:szCs w:val="23"/>
          <w:rtl/>
        </w:rPr>
        <w:t>حسب متغیرهای برون</w:t>
      </w:r>
      <w:r w:rsidRPr="00005251">
        <w:rPr>
          <w:rFonts w:eastAsiaTheme="minorEastAsia"/>
          <w:i/>
          <w:sz w:val="23"/>
          <w:szCs w:val="23"/>
          <w:rtl/>
        </w:rPr>
        <w:softHyphen/>
      </w:r>
      <w:r w:rsidRPr="00005251">
        <w:rPr>
          <w:rFonts w:eastAsiaTheme="minorEastAsia" w:hint="cs"/>
          <w:i/>
          <w:sz w:val="23"/>
          <w:szCs w:val="23"/>
          <w:rtl/>
        </w:rPr>
        <w:t>زا نوشته شوند.</w:t>
      </w:r>
      <w:r w:rsidRPr="00005251">
        <w:rPr>
          <w:rFonts w:eastAsiaTheme="minorEastAsia"/>
          <w:i/>
          <w:sz w:val="23"/>
          <w:szCs w:val="23"/>
        </w:rPr>
        <w:t xml:space="preserve"> </w:t>
      </w:r>
      <w:r w:rsidRPr="00005251">
        <w:rPr>
          <w:rFonts w:eastAsiaTheme="minorEastAsia" w:hint="cs"/>
          <w:i/>
          <w:sz w:val="23"/>
          <w:szCs w:val="23"/>
          <w:rtl/>
        </w:rPr>
        <w:t>اگر فرض کنیم تابع تولید از نوع توابع کاب داگلاس با بازده ثابت به مقیاس باشد، آنگاه</w:t>
      </w:r>
    </w:p>
    <w:p w14:paraId="07830C5E"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30"/>
        </w:rPr>
        <w:object w:dxaOrig="5660" w:dyaOrig="740" w14:anchorId="67F5B7DE">
          <v:shape id="_x0000_i2497" type="#_x0000_t75" style="width:283.15pt;height:37.5pt" o:ole="">
            <v:imagedata r:id="rId2981" o:title=""/>
          </v:shape>
          <o:OLEObject Type="Embed" ProgID="Equation.DSMT4" ShapeID="_x0000_i2497" DrawAspect="Content" ObjectID="_1791376441" r:id="rId2982"/>
        </w:object>
      </w:r>
    </w:p>
    <w:p w14:paraId="497E16B7" w14:textId="77777777" w:rsidR="00411620" w:rsidRPr="00005251" w:rsidRDefault="00411620" w:rsidP="00411620">
      <w:pPr>
        <w:spacing w:line="216" w:lineRule="auto"/>
        <w:rPr>
          <w:rFonts w:eastAsiaTheme="minorEastAsia"/>
          <w:i/>
          <w:sz w:val="23"/>
          <w:szCs w:val="23"/>
        </w:rPr>
      </w:pPr>
      <w:r w:rsidRPr="00005251">
        <w:rPr>
          <w:rFonts w:eastAsiaTheme="minorEastAsia" w:hint="cs"/>
          <w:i/>
          <w:sz w:val="23"/>
          <w:szCs w:val="23"/>
          <w:rtl/>
        </w:rPr>
        <w:t>و چون در تابع تقاضا برای نیروی</w:t>
      </w:r>
      <w:r w:rsidRPr="00005251">
        <w:rPr>
          <w:rFonts w:eastAsiaTheme="minorEastAsia"/>
          <w:i/>
          <w:sz w:val="23"/>
          <w:szCs w:val="23"/>
          <w:rtl/>
        </w:rPr>
        <w:softHyphen/>
      </w:r>
      <w:r w:rsidRPr="00005251">
        <w:rPr>
          <w:rFonts w:eastAsiaTheme="minorEastAsia" w:hint="cs"/>
          <w:i/>
          <w:sz w:val="23"/>
          <w:szCs w:val="23"/>
          <w:rtl/>
        </w:rPr>
        <w:t>کار داشتیم</w:t>
      </w:r>
      <w:r w:rsidRPr="00005251">
        <w:rPr>
          <w:position w:val="-12"/>
        </w:rPr>
        <w:object w:dxaOrig="820" w:dyaOrig="340" w14:anchorId="589BAA7F">
          <v:shape id="_x0000_i2498" type="#_x0000_t75" style="width:40.55pt;height:16.95pt" o:ole="">
            <v:imagedata r:id="rId2983" o:title=""/>
          </v:shape>
          <o:OLEObject Type="Embed" ProgID="Equation.DSMT4" ShapeID="_x0000_i2498" DrawAspect="Content" ObjectID="_1791376442" r:id="rId2984"/>
        </w:object>
      </w:r>
      <w:r w:rsidRPr="00005251">
        <w:rPr>
          <w:rFonts w:hint="cs"/>
          <w:i/>
          <w:sz w:val="23"/>
          <w:szCs w:val="23"/>
          <w:rtl/>
        </w:rPr>
        <w:t>،</w:t>
      </w:r>
      <w:r w:rsidRPr="00005251">
        <w:rPr>
          <w:rFonts w:eastAsiaTheme="minorEastAsia" w:hint="cs"/>
          <w:i/>
          <w:sz w:val="23"/>
          <w:szCs w:val="23"/>
          <w:rtl/>
        </w:rPr>
        <w:t xml:space="preserve"> بنابراین</w:t>
      </w:r>
    </w:p>
    <w:p w14:paraId="053A3689"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30"/>
        </w:rPr>
        <w:object w:dxaOrig="4500" w:dyaOrig="840" w14:anchorId="66E8A4B9">
          <v:shape id="_x0000_i2499" type="#_x0000_t75" style="width:225.1pt;height:41.75pt" o:ole="">
            <v:imagedata r:id="rId2985" o:title=""/>
          </v:shape>
          <o:OLEObject Type="Embed" ProgID="Equation.DSMT4" ShapeID="_x0000_i2499" DrawAspect="Content" ObjectID="_1791376443" r:id="rId2986"/>
        </w:object>
      </w:r>
    </w:p>
    <w:p w14:paraId="254AE742" w14:textId="77777777" w:rsidR="00411620" w:rsidRPr="00005251" w:rsidRDefault="00411620" w:rsidP="00411620">
      <w:pPr>
        <w:spacing w:line="216" w:lineRule="auto"/>
        <w:rPr>
          <w:rFonts w:eastAsiaTheme="minorEastAsia"/>
          <w:i/>
          <w:sz w:val="23"/>
          <w:szCs w:val="23"/>
        </w:rPr>
      </w:pPr>
      <w:r w:rsidRPr="00005251">
        <w:rPr>
          <w:rFonts w:eastAsiaTheme="minorEastAsia" w:hint="cs"/>
          <w:i/>
          <w:sz w:val="23"/>
          <w:szCs w:val="23"/>
          <w:rtl/>
        </w:rPr>
        <w:t>که در آن</w:t>
      </w:r>
      <w:r w:rsidRPr="00005251">
        <w:rPr>
          <w:position w:val="-10"/>
        </w:rPr>
        <w:object w:dxaOrig="220" w:dyaOrig="320" w14:anchorId="06043E34">
          <v:shape id="_x0000_i2500" type="#_x0000_t75" style="width:10.9pt;height:16.35pt" o:ole="">
            <v:imagedata r:id="rId2987" o:title=""/>
          </v:shape>
          <o:OLEObject Type="Embed" ProgID="Equation.DSMT4" ShapeID="_x0000_i2500" DrawAspect="Content" ObjectID="_1791376444" r:id="rId2988"/>
        </w:object>
      </w:r>
      <w:r w:rsidRPr="00005251">
        <w:rPr>
          <w:rFonts w:eastAsiaTheme="minorEastAsia" w:hint="cs"/>
          <w:i/>
          <w:sz w:val="23"/>
          <w:szCs w:val="23"/>
          <w:rtl/>
        </w:rPr>
        <w:t xml:space="preserve"> در زمان</w:t>
      </w:r>
      <w:r w:rsidRPr="00005251">
        <w:rPr>
          <w:position w:val="-6"/>
        </w:rPr>
        <w:object w:dxaOrig="139" w:dyaOrig="240" w14:anchorId="6BD30111">
          <v:shape id="_x0000_i2501" type="#_x0000_t75" style="width:7.25pt;height:11.5pt" o:ole="">
            <v:imagedata r:id="rId2989" o:title=""/>
          </v:shape>
          <o:OLEObject Type="Embed" ProgID="Equation.DSMT4" ShapeID="_x0000_i2501" DrawAspect="Content" ObjectID="_1791376445" r:id="rId2990"/>
        </w:object>
      </w:r>
      <w:r w:rsidRPr="00005251">
        <w:rPr>
          <w:rFonts w:eastAsiaTheme="minorEastAsia" w:hint="cs"/>
          <w:i/>
          <w:sz w:val="23"/>
          <w:szCs w:val="23"/>
          <w:rtl/>
        </w:rPr>
        <w:t xml:space="preserve"> داده شده است.</w:t>
      </w:r>
    </w:p>
    <w:p w14:paraId="45969F60"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اگر تابع مطلوبیت را همانند قبل در نظر بگیریم خواهیم داشت؛</w:t>
      </w:r>
    </w:p>
    <w:p w14:paraId="3E6CFBE5"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22"/>
        </w:rPr>
        <w:object w:dxaOrig="2780" w:dyaOrig="600" w14:anchorId="18DCE183">
          <v:shape id="_x0000_i2502" type="#_x0000_t75" style="width:139.15pt;height:29.65pt" o:ole="">
            <v:imagedata r:id="rId2991" o:title=""/>
          </v:shape>
          <o:OLEObject Type="Embed" ProgID="Equation.DSMT4" ShapeID="_x0000_i2502" DrawAspect="Content" ObjectID="_1791376446" r:id="rId2992"/>
        </w:object>
      </w:r>
    </w:p>
    <w:p w14:paraId="760847BF"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لذا عرضه نیروی کار عبارت است از</w:t>
      </w:r>
      <w:r w:rsidRPr="00005251">
        <w:rPr>
          <w:position w:val="-12"/>
        </w:rPr>
        <w:object w:dxaOrig="1260" w:dyaOrig="340" w14:anchorId="6CC42DA3">
          <v:shape id="_x0000_i2503" type="#_x0000_t75" style="width:62.9pt;height:16.95pt" o:ole="">
            <v:imagedata r:id="rId2993" o:title=""/>
          </v:shape>
          <o:OLEObject Type="Embed" ProgID="Equation.DSMT4" ShapeID="_x0000_i2503" DrawAspect="Content" ObjectID="_1791376447" r:id="rId2994"/>
        </w:object>
      </w:r>
      <w:r w:rsidRPr="00005251">
        <w:rPr>
          <w:rFonts w:eastAsiaTheme="minorEastAsia"/>
          <w:i/>
          <w:sz w:val="23"/>
          <w:szCs w:val="23"/>
        </w:rPr>
        <w:t>.</w:t>
      </w:r>
      <w:r w:rsidRPr="00005251">
        <w:rPr>
          <w:rFonts w:eastAsiaTheme="minorEastAsia" w:hint="cs"/>
          <w:i/>
          <w:sz w:val="23"/>
          <w:szCs w:val="23"/>
          <w:rtl/>
        </w:rPr>
        <w:t xml:space="preserve"> و چون از تابع مطلوبیت داریم </w:t>
      </w:r>
    </w:p>
    <w:p w14:paraId="36B55622" w14:textId="77777777" w:rsidR="00411620" w:rsidRPr="00005251" w:rsidRDefault="00411620" w:rsidP="00411620">
      <w:pPr>
        <w:bidi w:val="0"/>
        <w:spacing w:line="216" w:lineRule="auto"/>
        <w:rPr>
          <w:rFonts w:eastAsiaTheme="minorEastAsia"/>
          <w:i/>
          <w:sz w:val="23"/>
          <w:szCs w:val="23"/>
          <w:rtl/>
        </w:rPr>
      </w:pPr>
      <w:r w:rsidRPr="00005251">
        <w:rPr>
          <w:position w:val="-28"/>
        </w:rPr>
        <w:object w:dxaOrig="4239" w:dyaOrig="620" w14:anchorId="3D17B842">
          <v:shape id="_x0000_i2504" type="#_x0000_t75" style="width:211.75pt;height:31.45pt" o:ole="">
            <v:imagedata r:id="rId2995" o:title=""/>
          </v:shape>
          <o:OLEObject Type="Embed" ProgID="Equation.DSMT4" ShapeID="_x0000_i2504" DrawAspect="Content" ObjectID="_1791376448" r:id="rId2996"/>
        </w:object>
      </w:r>
      <w:r w:rsidRPr="00005251">
        <w:rPr>
          <w:rFonts w:eastAsiaTheme="minorEastAsia"/>
          <w:i/>
          <w:sz w:val="23"/>
          <w:szCs w:val="23"/>
        </w:rPr>
        <w:t>,</w:t>
      </w:r>
    </w:p>
    <w:p w14:paraId="65B637FB"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28"/>
        </w:rPr>
        <w:object w:dxaOrig="5080" w:dyaOrig="660" w14:anchorId="52048122">
          <v:shape id="_x0000_i2505" type="#_x0000_t75" style="width:254.1pt;height:32.65pt" o:ole="">
            <v:imagedata r:id="rId2997" o:title=""/>
          </v:shape>
          <o:OLEObject Type="Embed" ProgID="Equation.DSMT4" ShapeID="_x0000_i2505" DrawAspect="Content" ObjectID="_1791376449" r:id="rId2998"/>
        </w:object>
      </w:r>
    </w:p>
    <w:p w14:paraId="1A8E8C06"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لذا عرضه</w:t>
      </w:r>
      <w:r w:rsidRPr="00005251">
        <w:rPr>
          <w:rFonts w:eastAsiaTheme="minorEastAsia"/>
          <w:i/>
          <w:sz w:val="23"/>
          <w:szCs w:val="23"/>
          <w:rtl/>
        </w:rPr>
        <w:softHyphen/>
      </w:r>
      <w:r w:rsidRPr="00005251">
        <w:rPr>
          <w:rFonts w:eastAsiaTheme="minorEastAsia" w:hint="cs"/>
          <w:i/>
          <w:sz w:val="23"/>
          <w:szCs w:val="23"/>
          <w:rtl/>
        </w:rPr>
        <w:t>ی نیروی کار تابعی از متغیر درون</w:t>
      </w:r>
      <w:r w:rsidRPr="00005251">
        <w:rPr>
          <w:rFonts w:eastAsiaTheme="minorEastAsia"/>
          <w:i/>
          <w:sz w:val="23"/>
          <w:szCs w:val="23"/>
          <w:rtl/>
        </w:rPr>
        <w:softHyphen/>
      </w:r>
      <w:r w:rsidRPr="00005251">
        <w:rPr>
          <w:rFonts w:eastAsiaTheme="minorEastAsia" w:hint="cs"/>
          <w:i/>
          <w:sz w:val="23"/>
          <w:szCs w:val="23"/>
          <w:rtl/>
        </w:rPr>
        <w:t>زای</w:t>
      </w:r>
      <w:r w:rsidRPr="00005251">
        <w:rPr>
          <w:position w:val="-10"/>
        </w:rPr>
        <w:object w:dxaOrig="200" w:dyaOrig="320" w14:anchorId="11DAE84B">
          <v:shape id="_x0000_i2506" type="#_x0000_t75" style="width:10.3pt;height:16.35pt" o:ole="">
            <v:imagedata r:id="rId2999" o:title=""/>
          </v:shape>
          <o:OLEObject Type="Embed" ProgID="Equation.DSMT4" ShapeID="_x0000_i2506" DrawAspect="Content" ObjectID="_1791376450" r:id="rId3000"/>
        </w:object>
      </w:r>
      <w:r w:rsidRPr="00005251">
        <w:rPr>
          <w:rFonts w:eastAsiaTheme="minorEastAsia" w:hint="cs"/>
          <w:i/>
          <w:sz w:val="23"/>
          <w:szCs w:val="23"/>
          <w:rtl/>
        </w:rPr>
        <w:t xml:space="preserve"> است. تعادل در مقدار نیروی کار از برابری عرضه و تقاضای نیروی کار بدست می</w:t>
      </w:r>
      <w:r w:rsidRPr="00005251">
        <w:rPr>
          <w:rFonts w:eastAsiaTheme="minorEastAsia"/>
          <w:i/>
          <w:sz w:val="23"/>
          <w:szCs w:val="23"/>
          <w:rtl/>
        </w:rPr>
        <w:softHyphen/>
      </w:r>
      <w:r w:rsidRPr="00005251">
        <w:rPr>
          <w:rFonts w:eastAsiaTheme="minorEastAsia" w:hint="cs"/>
          <w:i/>
          <w:sz w:val="23"/>
          <w:szCs w:val="23"/>
          <w:rtl/>
        </w:rPr>
        <w:t xml:space="preserve">آید و عبارتست از </w:t>
      </w:r>
    </w:p>
    <w:p w14:paraId="699E94F9"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30"/>
        </w:rPr>
        <w:object w:dxaOrig="2620" w:dyaOrig="840" w14:anchorId="160E5127">
          <v:shape id="_x0000_i2507" type="#_x0000_t75" style="width:131.3pt;height:41.75pt" o:ole="">
            <v:imagedata r:id="rId3001" o:title=""/>
          </v:shape>
          <o:OLEObject Type="Embed" ProgID="Equation.DSMT4" ShapeID="_x0000_i2507" DrawAspect="Content" ObjectID="_1791376451" r:id="rId3002"/>
        </w:object>
      </w:r>
    </w:p>
    <w:p w14:paraId="03C609A6"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که بر مبنای آن سطح تعادلی دستمزد حقیقی بدست می</w:t>
      </w:r>
      <w:r w:rsidRPr="00005251">
        <w:rPr>
          <w:rFonts w:eastAsiaTheme="minorEastAsia"/>
          <w:i/>
          <w:sz w:val="23"/>
          <w:szCs w:val="23"/>
          <w:rtl/>
        </w:rPr>
        <w:softHyphen/>
      </w:r>
      <w:r w:rsidRPr="00005251">
        <w:rPr>
          <w:rFonts w:eastAsiaTheme="minorEastAsia" w:hint="cs"/>
          <w:i/>
          <w:sz w:val="23"/>
          <w:szCs w:val="23"/>
          <w:rtl/>
        </w:rPr>
        <w:t>آید. اگر دستمزد تابعی از</w:t>
      </w:r>
      <w:r w:rsidRPr="00005251">
        <w:rPr>
          <w:position w:val="-10"/>
        </w:rPr>
        <w:object w:dxaOrig="460" w:dyaOrig="320" w14:anchorId="3E4BF8B8">
          <v:shape id="_x0000_i2508" type="#_x0000_t75" style="width:23pt;height:16.35pt" o:ole="">
            <v:imagedata r:id="rId3003" o:title=""/>
          </v:shape>
          <o:OLEObject Type="Embed" ProgID="Equation.DSMT4" ShapeID="_x0000_i2508" DrawAspect="Content" ObjectID="_1791376452" r:id="rId3004"/>
        </w:object>
      </w:r>
      <w:r w:rsidRPr="00005251">
        <w:rPr>
          <w:rFonts w:eastAsiaTheme="minorEastAsia" w:hint="cs"/>
          <w:i/>
          <w:sz w:val="23"/>
          <w:szCs w:val="23"/>
          <w:rtl/>
        </w:rPr>
        <w:t xml:space="preserve"> باشد، یعنی </w:t>
      </w:r>
      <w:r w:rsidRPr="00005251">
        <w:rPr>
          <w:position w:val="-12"/>
        </w:rPr>
        <w:object w:dxaOrig="1260" w:dyaOrig="360" w14:anchorId="0391837D">
          <v:shape id="_x0000_i2509" type="#_x0000_t75" style="width:62.9pt;height:18.15pt" o:ole="">
            <v:imagedata r:id="rId3005" o:title=""/>
          </v:shape>
          <o:OLEObject Type="Embed" ProgID="Equation.DSMT4" ShapeID="_x0000_i2509" DrawAspect="Content" ObjectID="_1791376453" r:id="rId3006"/>
        </w:object>
      </w:r>
      <w:r w:rsidRPr="00005251">
        <w:rPr>
          <w:rFonts w:hint="cs"/>
          <w:sz w:val="23"/>
          <w:szCs w:val="23"/>
          <w:rtl/>
        </w:rPr>
        <w:t>،</w:t>
      </w:r>
      <w:r w:rsidRPr="00005251">
        <w:rPr>
          <w:rFonts w:eastAsiaTheme="minorEastAsia" w:hint="cs"/>
          <w:i/>
          <w:sz w:val="23"/>
          <w:szCs w:val="23"/>
          <w:rtl/>
        </w:rPr>
        <w:t xml:space="preserve"> آنگاه</w:t>
      </w:r>
    </w:p>
    <w:p w14:paraId="5F6CDC13"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30"/>
        </w:rPr>
        <w:object w:dxaOrig="2799" w:dyaOrig="840" w14:anchorId="006E0152">
          <v:shape id="_x0000_i2510" type="#_x0000_t75" style="width:139.75pt;height:41.75pt" o:ole="">
            <v:imagedata r:id="rId3007" o:title=""/>
          </v:shape>
          <o:OLEObject Type="Embed" ProgID="Equation.DSMT4" ShapeID="_x0000_i2510" DrawAspect="Content" ObjectID="_1791376454" r:id="rId3008"/>
        </w:object>
      </w:r>
    </w:p>
    <w:p w14:paraId="6E43BCA3" w14:textId="77777777" w:rsidR="00411620" w:rsidRPr="00005251" w:rsidRDefault="00411620" w:rsidP="00411620">
      <w:pPr>
        <w:spacing w:line="216" w:lineRule="auto"/>
        <w:rPr>
          <w:rFonts w:eastAsiaTheme="minorEastAsia"/>
          <w:i/>
          <w:sz w:val="23"/>
          <w:szCs w:val="23"/>
        </w:rPr>
      </w:pPr>
      <w:r w:rsidRPr="00005251">
        <w:rPr>
          <w:rFonts w:eastAsiaTheme="minorEastAsia" w:hint="cs"/>
          <w:i/>
          <w:sz w:val="23"/>
          <w:szCs w:val="23"/>
          <w:rtl/>
        </w:rPr>
        <w:t>همچنین درآمد نیروی کار برابر است با</w:t>
      </w:r>
      <w:r w:rsidRPr="00005251">
        <w:rPr>
          <w:position w:val="-12"/>
        </w:rPr>
        <w:object w:dxaOrig="2220" w:dyaOrig="360" w14:anchorId="17354F07">
          <v:shape id="_x0000_i2511" type="#_x0000_t75" style="width:110.7pt;height:18.15pt" o:ole="">
            <v:imagedata r:id="rId3009" o:title=""/>
          </v:shape>
          <o:OLEObject Type="Embed" ProgID="Equation.DSMT4" ShapeID="_x0000_i2511" DrawAspect="Content" ObjectID="_1791376455" r:id="rId3010"/>
        </w:object>
      </w:r>
      <w:r w:rsidRPr="00005251">
        <w:rPr>
          <w:rFonts w:eastAsiaTheme="minorEastAsia"/>
          <w:i/>
          <w:sz w:val="23"/>
          <w:szCs w:val="23"/>
        </w:rPr>
        <w:t>.</w:t>
      </w:r>
    </w:p>
    <w:p w14:paraId="37A89D18" w14:textId="77777777" w:rsidR="00411620" w:rsidRPr="00005251" w:rsidRDefault="00411620" w:rsidP="00411620">
      <w:pPr>
        <w:spacing w:line="216" w:lineRule="auto"/>
        <w:rPr>
          <w:rFonts w:eastAsiaTheme="minorEastAsia"/>
          <w:i/>
          <w:sz w:val="23"/>
          <w:szCs w:val="23"/>
          <w:rtl/>
        </w:rPr>
      </w:pPr>
    </w:p>
    <w:p w14:paraId="5A9F8080" w14:textId="77777777" w:rsidR="00411620" w:rsidRPr="00005251" w:rsidRDefault="00411620" w:rsidP="00411620">
      <w:pPr>
        <w:spacing w:line="216" w:lineRule="auto"/>
        <w:rPr>
          <w:rFonts w:eastAsiaTheme="minorEastAsia"/>
          <w:bCs/>
          <w:i/>
          <w:sz w:val="23"/>
          <w:szCs w:val="23"/>
          <w:rtl/>
        </w:rPr>
      </w:pPr>
      <w:r w:rsidRPr="00005251">
        <w:rPr>
          <w:rFonts w:eastAsiaTheme="minorEastAsia" w:hint="cs"/>
          <w:bCs/>
          <w:i/>
          <w:sz w:val="23"/>
          <w:szCs w:val="23"/>
          <w:rtl/>
        </w:rPr>
        <w:t>بازار کالاها</w:t>
      </w:r>
    </w:p>
    <w:p w14:paraId="3411A616"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تعادل در بازار کالا مستلزم آن است که تقاضای کل برابر عرضه</w:t>
      </w:r>
      <w:r w:rsidRPr="00005251">
        <w:rPr>
          <w:rFonts w:eastAsiaTheme="minorEastAsia"/>
          <w:i/>
          <w:sz w:val="23"/>
          <w:szCs w:val="23"/>
          <w:rtl/>
        </w:rPr>
        <w:softHyphen/>
      </w:r>
      <w:r w:rsidRPr="00005251">
        <w:rPr>
          <w:rFonts w:eastAsiaTheme="minorEastAsia" w:hint="cs"/>
          <w:i/>
          <w:sz w:val="23"/>
          <w:szCs w:val="23"/>
          <w:rtl/>
        </w:rPr>
        <w:t>ی کل کالاها و خدمات باشد. بنابراین</w:t>
      </w:r>
    </w:p>
    <w:p w14:paraId="241D6FF0"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12"/>
        </w:rPr>
        <w:object w:dxaOrig="5420" w:dyaOrig="360" w14:anchorId="732587C6">
          <v:shape id="_x0000_i2512" type="#_x0000_t75" style="width:270.45pt;height:18.15pt" o:ole="">
            <v:imagedata r:id="rId3011" o:title=""/>
          </v:shape>
          <o:OLEObject Type="Embed" ProgID="Equation.DSMT4" ShapeID="_x0000_i2512" DrawAspect="Content" ObjectID="_1791376456" r:id="rId3012"/>
        </w:object>
      </w:r>
    </w:p>
    <w:p w14:paraId="185C0AC7"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 xml:space="preserve">اگر تابع تولید به صورت کاب داگلاس باشد، و با توجه به </w:t>
      </w:r>
      <w:r w:rsidRPr="00005251">
        <w:rPr>
          <w:position w:val="-12"/>
        </w:rPr>
        <w:object w:dxaOrig="1180" w:dyaOrig="340" w14:anchorId="01D6A02C">
          <v:shape id="_x0000_i2513" type="#_x0000_t75" style="width:59.3pt;height:16.95pt" o:ole="">
            <v:imagedata r:id="rId3013" o:title=""/>
          </v:shape>
          <o:OLEObject Type="Embed" ProgID="Equation.DSMT4" ShapeID="_x0000_i2513" DrawAspect="Content" ObjectID="_1791376457" r:id="rId3014"/>
        </w:object>
      </w:r>
      <w:r w:rsidRPr="00005251">
        <w:rPr>
          <w:rFonts w:eastAsiaTheme="minorEastAsia"/>
          <w:i/>
          <w:sz w:val="23"/>
          <w:szCs w:val="23"/>
        </w:rPr>
        <w:t xml:space="preserve"> </w:t>
      </w:r>
      <w:r w:rsidRPr="00005251">
        <w:rPr>
          <w:rFonts w:eastAsiaTheme="minorEastAsia" w:hint="cs"/>
          <w:i/>
          <w:sz w:val="23"/>
          <w:szCs w:val="23"/>
          <w:rtl/>
        </w:rPr>
        <w:t>داریم</w:t>
      </w:r>
    </w:p>
    <w:p w14:paraId="1E163DCD"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12"/>
        </w:rPr>
        <w:object w:dxaOrig="4819" w:dyaOrig="380" w14:anchorId="21CB5CC7">
          <v:shape id="_x0000_i2514" type="#_x0000_t75" style="width:240.8pt;height:18.75pt" o:ole="">
            <v:imagedata r:id="rId3015" o:title=""/>
          </v:shape>
          <o:OLEObject Type="Embed" ProgID="Equation.DSMT4" ShapeID="_x0000_i2514" DrawAspect="Content" ObjectID="_1791376458" r:id="rId3016"/>
        </w:object>
      </w:r>
    </w:p>
    <w:p w14:paraId="564D9C37"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26"/>
        </w:rPr>
        <w:object w:dxaOrig="3159" w:dyaOrig="740" w14:anchorId="11B2F8E4">
          <v:shape id="_x0000_i2515" type="#_x0000_t75" style="width:157.9pt;height:37.5pt" o:ole="">
            <v:imagedata r:id="rId3017" o:title=""/>
          </v:shape>
          <o:OLEObject Type="Embed" ProgID="Equation.DSMT4" ShapeID="_x0000_i2515" DrawAspect="Content" ObjectID="_1791376459" r:id="rId3018"/>
        </w:object>
      </w:r>
    </w:p>
    <w:p w14:paraId="7A6ED367" w14:textId="77777777" w:rsidR="00411620" w:rsidRPr="00005251" w:rsidRDefault="00411620" w:rsidP="00411620">
      <w:pPr>
        <w:spacing w:line="216" w:lineRule="auto"/>
        <w:rPr>
          <w:rFonts w:eastAsiaTheme="minorEastAsia"/>
          <w:i/>
          <w:sz w:val="23"/>
          <w:szCs w:val="23"/>
        </w:rPr>
      </w:pPr>
      <w:r w:rsidRPr="00005251">
        <w:rPr>
          <w:rFonts w:eastAsiaTheme="minorEastAsia" w:hint="cs"/>
          <w:i/>
          <w:sz w:val="23"/>
          <w:szCs w:val="23"/>
          <w:rtl/>
        </w:rPr>
        <w:t>همچنین در وضعیت یکنواخت</w:t>
      </w:r>
      <w:r w:rsidRPr="00005251">
        <w:rPr>
          <w:rFonts w:eastAsiaTheme="minorEastAsia"/>
          <w:i/>
          <w:sz w:val="23"/>
          <w:szCs w:val="23"/>
        </w:rPr>
        <w:t xml:space="preserve"> </w:t>
      </w:r>
      <w:r w:rsidRPr="00005251">
        <w:rPr>
          <w:rFonts w:eastAsiaTheme="minorEastAsia" w:hint="cs"/>
          <w:i/>
          <w:sz w:val="23"/>
          <w:szCs w:val="23"/>
          <w:rtl/>
        </w:rPr>
        <w:t xml:space="preserve">چون </w:t>
      </w:r>
      <w:r w:rsidRPr="00005251">
        <w:rPr>
          <w:position w:val="-10"/>
        </w:rPr>
        <w:object w:dxaOrig="760" w:dyaOrig="320" w14:anchorId="1A030EF5">
          <v:shape id="_x0000_i2516" type="#_x0000_t75" style="width:38.1pt;height:16.35pt" o:ole="">
            <v:imagedata r:id="rId3019" o:title=""/>
          </v:shape>
          <o:OLEObject Type="Embed" ProgID="Equation.DSMT4" ShapeID="_x0000_i2516" DrawAspect="Content" ObjectID="_1791376460" r:id="rId3020"/>
        </w:object>
      </w:r>
      <w:r w:rsidRPr="00005251">
        <w:rPr>
          <w:rFonts w:eastAsiaTheme="minorEastAsia" w:hint="cs"/>
          <w:i/>
          <w:sz w:val="23"/>
          <w:szCs w:val="23"/>
          <w:rtl/>
        </w:rPr>
        <w:t xml:space="preserve"> می</w:t>
      </w:r>
      <w:r w:rsidRPr="00005251">
        <w:rPr>
          <w:rFonts w:eastAsiaTheme="minorEastAsia"/>
          <w:i/>
          <w:sz w:val="23"/>
          <w:szCs w:val="23"/>
          <w:rtl/>
        </w:rPr>
        <w:softHyphen/>
      </w:r>
      <w:r w:rsidRPr="00005251">
        <w:rPr>
          <w:rFonts w:eastAsiaTheme="minorEastAsia" w:hint="cs"/>
          <w:i/>
          <w:sz w:val="23"/>
          <w:szCs w:val="23"/>
          <w:rtl/>
        </w:rPr>
        <w:t>باشد، لذا</w:t>
      </w:r>
    </w:p>
    <w:p w14:paraId="08B10611" w14:textId="77777777" w:rsidR="00411620" w:rsidRPr="00005251" w:rsidRDefault="00411620" w:rsidP="00411620">
      <w:pPr>
        <w:bidi w:val="0"/>
        <w:spacing w:line="216" w:lineRule="auto"/>
        <w:rPr>
          <w:rFonts w:eastAsiaTheme="minorEastAsia"/>
          <w:i/>
          <w:sz w:val="23"/>
          <w:szCs w:val="23"/>
        </w:rPr>
      </w:pPr>
      <w:r w:rsidRPr="00005251">
        <w:rPr>
          <w:rFonts w:eastAsiaTheme="minorEastAsia" w:hint="cs"/>
          <w:i/>
          <w:sz w:val="23"/>
          <w:szCs w:val="23"/>
          <w:rtl/>
        </w:rPr>
        <w:t xml:space="preserve"> </w:t>
      </w:r>
      <w:r w:rsidRPr="00005251">
        <w:rPr>
          <w:position w:val="-26"/>
        </w:rPr>
        <w:object w:dxaOrig="2360" w:dyaOrig="740" w14:anchorId="02619577">
          <v:shape id="_x0000_i2517" type="#_x0000_t75" style="width:118pt;height:37.5pt" o:ole="">
            <v:imagedata r:id="rId3021" o:title=""/>
          </v:shape>
          <o:OLEObject Type="Embed" ProgID="Equation.DSMT4" ShapeID="_x0000_i2517" DrawAspect="Content" ObjectID="_1791376461" r:id="rId3022"/>
        </w:object>
      </w:r>
    </w:p>
    <w:p w14:paraId="0A42602B"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بنابراین</w:t>
      </w:r>
    </w:p>
    <w:p w14:paraId="2F70089F"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26"/>
        </w:rPr>
        <w:object w:dxaOrig="2940" w:dyaOrig="740" w14:anchorId="74AF9C24">
          <v:shape id="_x0000_i2518" type="#_x0000_t75" style="width:147.05pt;height:37.5pt" o:ole="">
            <v:imagedata r:id="rId3023" o:title=""/>
          </v:shape>
          <o:OLEObject Type="Embed" ProgID="Equation.DSMT4" ShapeID="_x0000_i2518" DrawAspect="Content" ObjectID="_1791376462" r:id="rId3024"/>
        </w:object>
      </w:r>
    </w:p>
    <w:p w14:paraId="78077BAC" w14:textId="77777777" w:rsidR="00411620" w:rsidRPr="00005251" w:rsidRDefault="00411620" w:rsidP="00411620">
      <w:pPr>
        <w:spacing w:line="216" w:lineRule="auto"/>
        <w:rPr>
          <w:rFonts w:eastAsiaTheme="minorEastAsia"/>
          <w:i/>
          <w:sz w:val="23"/>
          <w:szCs w:val="23"/>
          <w:rtl/>
        </w:rPr>
      </w:pPr>
      <w:r w:rsidRPr="00005251">
        <w:rPr>
          <w:rFonts w:eastAsiaTheme="minorEastAsia" w:hint="cs"/>
          <w:i/>
          <w:sz w:val="23"/>
          <w:szCs w:val="23"/>
          <w:rtl/>
        </w:rPr>
        <w:t>تعادل در بازار کالاها عبارت است از:</w:t>
      </w:r>
    </w:p>
    <w:p w14:paraId="5220735D"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26"/>
        </w:rPr>
        <w:object w:dxaOrig="3540" w:dyaOrig="740" w14:anchorId="10060DD7">
          <v:shape id="_x0000_i2519" type="#_x0000_t75" style="width:177.3pt;height:37.5pt" o:ole="">
            <v:imagedata r:id="rId3025" o:title=""/>
          </v:shape>
          <o:OLEObject Type="Embed" ProgID="Equation.DSMT4" ShapeID="_x0000_i2519" DrawAspect="Content" ObjectID="_1791376463" r:id="rId3026"/>
        </w:object>
      </w:r>
    </w:p>
    <w:p w14:paraId="41F6969E" w14:textId="77777777" w:rsidR="00411620" w:rsidRPr="00005251" w:rsidRDefault="00411620" w:rsidP="00411620">
      <w:pPr>
        <w:tabs>
          <w:tab w:val="left" w:pos="26"/>
        </w:tabs>
        <w:spacing w:line="216" w:lineRule="auto"/>
        <w:rPr>
          <w:rFonts w:eastAsiaTheme="minorEastAsia"/>
          <w:i/>
          <w:sz w:val="23"/>
          <w:szCs w:val="23"/>
          <w:rtl/>
        </w:rPr>
      </w:pPr>
      <w:r w:rsidRPr="00005251">
        <w:rPr>
          <w:rFonts w:eastAsiaTheme="minorEastAsia" w:hint="cs"/>
          <w:i/>
          <w:sz w:val="23"/>
          <w:szCs w:val="23"/>
          <w:rtl/>
        </w:rPr>
        <w:lastRenderedPageBreak/>
        <w:t xml:space="preserve">همچنین از معادله </w:t>
      </w:r>
      <w:r w:rsidRPr="00005251">
        <w:rPr>
          <w:rFonts w:hint="cs"/>
          <w:i/>
          <w:sz w:val="23"/>
          <w:szCs w:val="23"/>
          <w:rtl/>
        </w:rPr>
        <w:t>(۴. ۲۹)</w:t>
      </w:r>
      <w:r w:rsidRPr="00005251">
        <w:rPr>
          <w:rFonts w:eastAsiaTheme="minorEastAsia" w:hint="cs"/>
          <w:i/>
          <w:sz w:val="23"/>
          <w:szCs w:val="23"/>
          <w:rtl/>
        </w:rPr>
        <w:t xml:space="preserve"> در وضعیت یکنواخت داریم:</w:t>
      </w:r>
    </w:p>
    <w:p w14:paraId="2BFD1174"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10"/>
        </w:rPr>
        <w:object w:dxaOrig="4239" w:dyaOrig="320" w14:anchorId="534DA5C7">
          <v:shape id="_x0000_i2520" type="#_x0000_t75" style="width:211.75pt;height:16.35pt" o:ole="">
            <v:imagedata r:id="rId3027" o:title=""/>
          </v:shape>
          <o:OLEObject Type="Embed" ProgID="Equation.DSMT4" ShapeID="_x0000_i2520" DrawAspect="Content" ObjectID="_1791376464" r:id="rId3028"/>
        </w:object>
      </w:r>
    </w:p>
    <w:p w14:paraId="269351C1"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22"/>
        </w:rPr>
        <w:object w:dxaOrig="3000" w:dyaOrig="580" w14:anchorId="64DDB7BB">
          <v:shape id="_x0000_i2521" type="#_x0000_t75" style="width:149.45pt;height:29.05pt" o:ole="">
            <v:imagedata r:id="rId3029" o:title=""/>
          </v:shape>
          <o:OLEObject Type="Embed" ProgID="Equation.DSMT4" ShapeID="_x0000_i2521" DrawAspect="Content" ObjectID="_1791376465" r:id="rId3030"/>
        </w:object>
      </w:r>
    </w:p>
    <w:p w14:paraId="7CB41EF1" w14:textId="77777777" w:rsidR="00411620" w:rsidRPr="00005251" w:rsidRDefault="00411620" w:rsidP="00411620">
      <w:pPr>
        <w:tabs>
          <w:tab w:val="left" w:pos="26"/>
        </w:tabs>
        <w:spacing w:line="216" w:lineRule="auto"/>
        <w:rPr>
          <w:rFonts w:eastAsiaTheme="minorEastAsia"/>
          <w:i/>
          <w:sz w:val="23"/>
          <w:szCs w:val="23"/>
          <w:rtl/>
        </w:rPr>
      </w:pPr>
      <w:r w:rsidRPr="00005251">
        <w:rPr>
          <w:rFonts w:eastAsiaTheme="minorEastAsia" w:hint="cs"/>
          <w:i/>
          <w:sz w:val="23"/>
          <w:szCs w:val="23"/>
          <w:rtl/>
        </w:rPr>
        <w:t>لذا تعادل در بازار کالا عبارت است از</w:t>
      </w:r>
    </w:p>
    <w:p w14:paraId="25140ED8"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tl/>
        </w:rPr>
      </w:pPr>
      <w:r w:rsidRPr="00005251">
        <w:rPr>
          <w:position w:val="-40"/>
        </w:rPr>
        <w:object w:dxaOrig="4260" w:dyaOrig="900" w14:anchorId="28DE651D">
          <v:shape id="_x0000_i2522" type="#_x0000_t75" style="width:212.35pt;height:44.75pt" o:ole="">
            <v:imagedata r:id="rId3031" o:title=""/>
          </v:shape>
          <o:OLEObject Type="Embed" ProgID="Equation.DSMT4" ShapeID="_x0000_i2522" DrawAspect="Content" ObjectID="_1791376466" r:id="rId3032"/>
        </w:object>
      </w:r>
    </w:p>
    <w:p w14:paraId="0D8A41B9" w14:textId="77777777" w:rsidR="00411620" w:rsidRPr="00005251" w:rsidRDefault="00411620" w:rsidP="00411620">
      <w:pPr>
        <w:tabs>
          <w:tab w:val="left" w:pos="26"/>
        </w:tabs>
        <w:spacing w:line="216" w:lineRule="auto"/>
        <w:rPr>
          <w:rFonts w:eastAsiaTheme="minorEastAsia"/>
          <w:i/>
          <w:sz w:val="23"/>
          <w:szCs w:val="23"/>
          <w:rtl/>
        </w:rPr>
      </w:pPr>
      <w:r w:rsidRPr="00005251">
        <w:rPr>
          <w:rFonts w:eastAsiaTheme="minorEastAsia" w:hint="cs"/>
          <w:i/>
          <w:sz w:val="23"/>
          <w:szCs w:val="23"/>
          <w:rtl/>
        </w:rPr>
        <w:t xml:space="preserve">که شامل سه متغیر </w:t>
      </w:r>
      <w:r w:rsidRPr="00005251">
        <w:rPr>
          <w:position w:val="-10"/>
        </w:rPr>
        <w:object w:dxaOrig="740" w:dyaOrig="320" w14:anchorId="76D9DDC0">
          <v:shape id="_x0000_i2523" type="#_x0000_t75" style="width:37.5pt;height:16.35pt" o:ole="">
            <v:imagedata r:id="rId3033" o:title=""/>
          </v:shape>
          <o:OLEObject Type="Embed" ProgID="Equation.DSMT4" ShapeID="_x0000_i2523" DrawAspect="Content" ObjectID="_1791376467" r:id="rId3034"/>
        </w:object>
      </w:r>
      <w:r w:rsidRPr="00005251">
        <w:rPr>
          <w:rFonts w:eastAsiaTheme="minorEastAsia" w:hint="cs"/>
          <w:i/>
          <w:sz w:val="23"/>
          <w:szCs w:val="23"/>
          <w:rtl/>
        </w:rPr>
        <w:t xml:space="preserve"> است و می‌بایست با سه معادله زیر حل شود که حل کامل مدل خواهد بود</w:t>
      </w:r>
      <w:r w:rsidRPr="00005251">
        <w:rPr>
          <w:rFonts w:eastAsiaTheme="minorEastAsia"/>
          <w:i/>
          <w:sz w:val="23"/>
          <w:szCs w:val="23"/>
        </w:rPr>
        <w:t>.</w:t>
      </w:r>
    </w:p>
    <w:p w14:paraId="0C08141A"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12"/>
        </w:rPr>
        <w:object w:dxaOrig="2500" w:dyaOrig="360" w14:anchorId="1F1D1540">
          <v:shape id="_x0000_i2524" type="#_x0000_t75" style="width:124.65pt;height:18.15pt" o:ole="">
            <v:imagedata r:id="rId3035" o:title=""/>
          </v:shape>
          <o:OLEObject Type="Embed" ProgID="Equation.DSMT4" ShapeID="_x0000_i2524" DrawAspect="Content" ObjectID="_1791376468" r:id="rId3036"/>
        </w:object>
      </w:r>
    </w:p>
    <w:p w14:paraId="2CF7DE45"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12"/>
        </w:rPr>
        <w:object w:dxaOrig="2420" w:dyaOrig="360" w14:anchorId="39C4ED86">
          <v:shape id="_x0000_i2525" type="#_x0000_t75" style="width:121pt;height:18.15pt" o:ole="">
            <v:imagedata r:id="rId3037" o:title=""/>
          </v:shape>
          <o:OLEObject Type="Embed" ProgID="Equation.DSMT4" ShapeID="_x0000_i2525" DrawAspect="Content" ObjectID="_1791376469" r:id="rId3038"/>
        </w:object>
      </w:r>
    </w:p>
    <w:p w14:paraId="3C16D914" w14:textId="77777777" w:rsidR="00411620" w:rsidRPr="00005251" w:rsidRDefault="00411620" w:rsidP="00411620">
      <w:pPr>
        <w:tabs>
          <w:tab w:val="left" w:pos="26"/>
        </w:tabs>
        <w:bidi w:val="0"/>
        <w:spacing w:line="216" w:lineRule="auto"/>
        <w:rPr>
          <w:rFonts w:eastAsiaTheme="minorEastAsia"/>
          <w:i/>
          <w:sz w:val="23"/>
          <w:szCs w:val="23"/>
          <w:rtl/>
        </w:rPr>
      </w:pPr>
      <w:r w:rsidRPr="00005251">
        <w:rPr>
          <w:position w:val="-26"/>
        </w:rPr>
        <w:object w:dxaOrig="1560" w:dyaOrig="740" w14:anchorId="52D90D23">
          <v:shape id="_x0000_i2526" type="#_x0000_t75" style="width:78.05pt;height:37.5pt" o:ole="">
            <v:imagedata r:id="rId3039" o:title=""/>
          </v:shape>
          <o:OLEObject Type="Embed" ProgID="Equation.DSMT4" ShapeID="_x0000_i2526" DrawAspect="Content" ObjectID="_1791376470" r:id="rId3040"/>
        </w:object>
      </w:r>
      <w:r w:rsidRPr="00005251">
        <w:rPr>
          <w:rFonts w:eastAsiaTheme="minorEastAsia"/>
          <w:i/>
          <w:sz w:val="23"/>
          <w:szCs w:val="23"/>
        </w:rPr>
        <w:t xml:space="preserve"> </w:t>
      </w:r>
    </w:p>
    <w:p w14:paraId="5392B034" w14:textId="77777777" w:rsidR="00411620" w:rsidRPr="00005251" w:rsidRDefault="00411620" w:rsidP="00411620">
      <w:pPr>
        <w:tabs>
          <w:tab w:val="left" w:pos="26"/>
        </w:tabs>
        <w:spacing w:line="216" w:lineRule="auto"/>
        <w:rPr>
          <w:rFonts w:eastAsiaTheme="minorEastAsia"/>
          <w:i/>
          <w:sz w:val="23"/>
          <w:szCs w:val="23"/>
          <w:rtl/>
        </w:rPr>
      </w:pPr>
    </w:p>
    <w:p w14:paraId="3D7E8FDC" w14:textId="77777777" w:rsidR="00411620" w:rsidRPr="00005251" w:rsidRDefault="00411620" w:rsidP="00411620">
      <w:pPr>
        <w:pStyle w:val="Heading1"/>
        <w:spacing w:before="0" w:after="0" w:line="216" w:lineRule="auto"/>
        <w:rPr>
          <w:rFonts w:ascii="Times New Roman" w:hAnsi="Times New Roman" w:cs="B Nazanin"/>
          <w:b w:val="0"/>
          <w:i/>
          <w:sz w:val="23"/>
          <w:szCs w:val="23"/>
          <w:rtl/>
        </w:rPr>
      </w:pPr>
      <w:r w:rsidRPr="00005251">
        <w:rPr>
          <w:rFonts w:ascii="Times New Roman" w:hAnsi="Times New Roman" w:cs="B Nazanin" w:hint="cs"/>
          <w:b w:val="0"/>
          <w:i/>
          <w:sz w:val="23"/>
          <w:szCs w:val="23"/>
          <w:rtl/>
        </w:rPr>
        <w:t>۴. ۵ مقایسه</w:t>
      </w:r>
      <w:r w:rsidRPr="00005251">
        <w:rPr>
          <w:rFonts w:ascii="Times New Roman" w:hAnsi="Times New Roman" w:cs="B Nazanin"/>
          <w:b w:val="0"/>
          <w:i/>
          <w:sz w:val="23"/>
          <w:szCs w:val="23"/>
          <w:rtl/>
        </w:rPr>
        <w:softHyphen/>
      </w:r>
      <w:r w:rsidRPr="00005251">
        <w:rPr>
          <w:rFonts w:ascii="Times New Roman" w:hAnsi="Times New Roman" w:cs="B Nazanin" w:hint="cs"/>
          <w:b w:val="0"/>
          <w:i/>
          <w:sz w:val="23"/>
          <w:szCs w:val="23"/>
          <w:rtl/>
        </w:rPr>
        <w:t>ی مدل غیرمتمرکز با مدل متمرکز</w:t>
      </w:r>
    </w:p>
    <w:p w14:paraId="3B61C403" w14:textId="77777777" w:rsidR="00411620" w:rsidRPr="00005251" w:rsidRDefault="00411620" w:rsidP="00411620">
      <w:pPr>
        <w:tabs>
          <w:tab w:val="left" w:pos="26"/>
        </w:tabs>
        <w:spacing w:line="216" w:lineRule="auto"/>
        <w:rPr>
          <w:rFonts w:eastAsiaTheme="minorEastAsia"/>
          <w:i/>
          <w:sz w:val="23"/>
          <w:szCs w:val="23"/>
        </w:rPr>
      </w:pPr>
      <w:r w:rsidRPr="00005251">
        <w:rPr>
          <w:rFonts w:eastAsiaTheme="minorEastAsia" w:hint="cs"/>
          <w:i/>
          <w:sz w:val="23"/>
          <w:szCs w:val="23"/>
          <w:rtl/>
        </w:rPr>
        <w:t>در هر دو مدل مقدار موجودی سرمایه از طریق تولید نهایی موجودی سرمایه تعیین می</w:t>
      </w:r>
      <w:r w:rsidRPr="00005251">
        <w:rPr>
          <w:rFonts w:eastAsiaTheme="minorEastAsia"/>
          <w:i/>
          <w:sz w:val="23"/>
          <w:szCs w:val="23"/>
        </w:rPr>
        <w:softHyphen/>
      </w:r>
      <w:r w:rsidRPr="00005251">
        <w:rPr>
          <w:rFonts w:eastAsiaTheme="minorEastAsia" w:hint="cs"/>
          <w:i/>
          <w:sz w:val="23"/>
          <w:szCs w:val="23"/>
          <w:rtl/>
        </w:rPr>
        <w:t>شود، و سرمایه</w:t>
      </w:r>
      <w:r w:rsidRPr="00005251">
        <w:rPr>
          <w:rFonts w:eastAsiaTheme="minorEastAsia"/>
          <w:i/>
          <w:sz w:val="23"/>
          <w:szCs w:val="23"/>
          <w:rtl/>
        </w:rPr>
        <w:softHyphen/>
      </w:r>
      <w:r w:rsidRPr="00005251">
        <w:rPr>
          <w:rFonts w:eastAsiaTheme="minorEastAsia" w:hint="cs"/>
          <w:i/>
          <w:sz w:val="23"/>
          <w:szCs w:val="23"/>
          <w:rtl/>
        </w:rPr>
        <w:t>گذاری از معادله</w:t>
      </w:r>
      <w:r w:rsidRPr="00005251">
        <w:rPr>
          <w:rFonts w:eastAsiaTheme="minorEastAsia"/>
          <w:i/>
          <w:sz w:val="23"/>
          <w:szCs w:val="23"/>
          <w:rtl/>
        </w:rPr>
        <w:softHyphen/>
      </w:r>
      <w:r w:rsidRPr="00005251">
        <w:rPr>
          <w:rFonts w:eastAsiaTheme="minorEastAsia" w:hint="cs"/>
          <w:i/>
          <w:sz w:val="23"/>
          <w:szCs w:val="23"/>
          <w:rtl/>
        </w:rPr>
        <w:t>ی انباشت سرمایه بدست می</w:t>
      </w:r>
      <w:r w:rsidRPr="00005251">
        <w:rPr>
          <w:rFonts w:eastAsiaTheme="minorEastAsia"/>
          <w:i/>
          <w:sz w:val="23"/>
          <w:szCs w:val="23"/>
        </w:rPr>
        <w:softHyphen/>
      </w:r>
      <w:r w:rsidRPr="00005251">
        <w:rPr>
          <w:rFonts w:eastAsiaTheme="minorEastAsia" w:hint="cs"/>
          <w:i/>
          <w:sz w:val="23"/>
          <w:szCs w:val="23"/>
          <w:rtl/>
        </w:rPr>
        <w:t>آید. مصرف نیز از اتحاد درآمد ملی بدست می‌آمد. در مدل متمرکز مقدار بهینه</w:t>
      </w:r>
      <w:r w:rsidRPr="00005251">
        <w:rPr>
          <w:rFonts w:eastAsiaTheme="minorEastAsia"/>
          <w:i/>
          <w:sz w:val="23"/>
          <w:szCs w:val="23"/>
          <w:rtl/>
        </w:rPr>
        <w:softHyphen/>
      </w:r>
      <w:r w:rsidRPr="00005251">
        <w:rPr>
          <w:rFonts w:eastAsiaTheme="minorEastAsia" w:hint="cs"/>
          <w:i/>
          <w:sz w:val="23"/>
          <w:szCs w:val="23"/>
          <w:rtl/>
        </w:rPr>
        <w:t>ی موجودی سرمایه از شرط</w:t>
      </w:r>
      <w:r w:rsidRPr="00005251">
        <w:rPr>
          <w:position w:val="-12"/>
        </w:rPr>
        <w:object w:dxaOrig="1540" w:dyaOrig="360" w14:anchorId="6BD9E149">
          <v:shape id="_x0000_i2527" type="#_x0000_t75" style="width:76.85pt;height:18.15pt" o:ole="">
            <v:imagedata r:id="rId3041" o:title=""/>
          </v:shape>
          <o:OLEObject Type="Embed" ProgID="Equation.DSMT4" ShapeID="_x0000_i2527" DrawAspect="Content" ObjectID="_1791376471" r:id="rId3042"/>
        </w:object>
      </w:r>
      <w:r w:rsidRPr="00005251">
        <w:rPr>
          <w:rFonts w:eastAsiaTheme="minorEastAsia"/>
          <w:i/>
          <w:sz w:val="23"/>
          <w:szCs w:val="23"/>
        </w:rPr>
        <w:t xml:space="preserve"> </w:t>
      </w:r>
      <w:r w:rsidRPr="00005251">
        <w:rPr>
          <w:rFonts w:eastAsiaTheme="minorEastAsia" w:hint="cs"/>
          <w:i/>
          <w:sz w:val="23"/>
          <w:szCs w:val="23"/>
          <w:rtl/>
        </w:rPr>
        <w:t xml:space="preserve">و در مدل غیرمتمرکز از </w:t>
      </w:r>
      <w:r w:rsidRPr="00005251">
        <w:rPr>
          <w:position w:val="-12"/>
        </w:rPr>
        <w:object w:dxaOrig="1180" w:dyaOrig="340" w14:anchorId="20A4AB1A">
          <v:shape id="_x0000_i2528" type="#_x0000_t75" style="width:59.3pt;height:16.95pt" o:ole="">
            <v:imagedata r:id="rId3043" o:title=""/>
          </v:shape>
          <o:OLEObject Type="Embed" ProgID="Equation.DSMT4" ShapeID="_x0000_i2528" DrawAspect="Content" ObjectID="_1791376472" r:id="rId3044"/>
        </w:object>
      </w:r>
      <w:r w:rsidRPr="00005251">
        <w:rPr>
          <w:rFonts w:eastAsiaTheme="minorEastAsia"/>
          <w:i/>
          <w:sz w:val="23"/>
          <w:szCs w:val="23"/>
        </w:rPr>
        <w:t xml:space="preserve"> </w:t>
      </w:r>
      <w:r w:rsidRPr="00005251">
        <w:rPr>
          <w:rFonts w:eastAsiaTheme="minorEastAsia" w:hint="cs"/>
          <w:i/>
          <w:sz w:val="23"/>
          <w:szCs w:val="23"/>
          <w:rtl/>
        </w:rPr>
        <w:t>بدست می‌آید. اگر</w:t>
      </w:r>
      <w:r w:rsidRPr="00005251">
        <w:rPr>
          <w:position w:val="-10"/>
        </w:rPr>
        <w:object w:dxaOrig="580" w:dyaOrig="320" w14:anchorId="6844C867">
          <v:shape id="_x0000_i2529" type="#_x0000_t75" style="width:29.05pt;height:16.35pt" o:ole="">
            <v:imagedata r:id="rId3045" o:title=""/>
          </v:shape>
          <o:OLEObject Type="Embed" ProgID="Equation.DSMT4" ShapeID="_x0000_i2529" DrawAspect="Content" ObjectID="_1791376473" r:id="rId3046"/>
        </w:object>
      </w:r>
      <w:r w:rsidRPr="00005251">
        <w:rPr>
          <w:rFonts w:eastAsiaTheme="minorEastAsia" w:hint="cs"/>
          <w:i/>
          <w:sz w:val="23"/>
          <w:szCs w:val="23"/>
          <w:rtl/>
        </w:rPr>
        <w:t xml:space="preserve"> باشد آنگاه </w:t>
      </w:r>
      <w:r w:rsidRPr="00005251">
        <w:rPr>
          <w:position w:val="-12"/>
        </w:rPr>
        <w:object w:dxaOrig="499" w:dyaOrig="340" w14:anchorId="31C90DF5">
          <v:shape id="_x0000_i2530" type="#_x0000_t75" style="width:24.8pt;height:16.95pt" o:ole="">
            <v:imagedata r:id="rId3047" o:title=""/>
          </v:shape>
          <o:OLEObject Type="Embed" ProgID="Equation.DSMT4" ShapeID="_x0000_i2530" DrawAspect="Content" ObjectID="_1791376474" r:id="rId3048"/>
        </w:object>
      </w:r>
      <w:r w:rsidRPr="00005251">
        <w:rPr>
          <w:rFonts w:eastAsiaTheme="minorEastAsia" w:hint="cs"/>
          <w:i/>
          <w:sz w:val="23"/>
          <w:szCs w:val="23"/>
          <w:rtl/>
        </w:rPr>
        <w:t xml:space="preserve"> به نیروی کار وابسته نخواهد بود. در وضعیت یکنواخت داریم</w:t>
      </w:r>
      <w:r w:rsidRPr="00005251">
        <w:rPr>
          <w:position w:val="-6"/>
        </w:rPr>
        <w:object w:dxaOrig="520" w:dyaOrig="260" w14:anchorId="0929311F">
          <v:shape id="_x0000_i2531" type="#_x0000_t75" style="width:26pt;height:12.7pt" o:ole="">
            <v:imagedata r:id="rId3049" o:title=""/>
          </v:shape>
          <o:OLEObject Type="Embed" ProgID="Equation.DSMT4" ShapeID="_x0000_i2531" DrawAspect="Content" ObjectID="_1791376475" r:id="rId3050"/>
        </w:object>
      </w:r>
      <w:r w:rsidRPr="00005251">
        <w:rPr>
          <w:rFonts w:eastAsiaTheme="minorEastAsia" w:hint="cs"/>
          <w:i/>
          <w:sz w:val="23"/>
          <w:szCs w:val="23"/>
          <w:rtl/>
        </w:rPr>
        <w:t>. پس‌اندازِ خانوار سرمایه</w:t>
      </w:r>
      <w:r w:rsidRPr="00005251">
        <w:rPr>
          <w:rFonts w:eastAsiaTheme="minorEastAsia"/>
          <w:i/>
          <w:sz w:val="23"/>
          <w:szCs w:val="23"/>
          <w:rtl/>
        </w:rPr>
        <w:softHyphen/>
      </w:r>
      <w:r w:rsidRPr="00005251">
        <w:rPr>
          <w:rFonts w:eastAsiaTheme="minorEastAsia" w:hint="cs"/>
          <w:i/>
          <w:sz w:val="23"/>
          <w:szCs w:val="23"/>
          <w:rtl/>
        </w:rPr>
        <w:t xml:space="preserve">گذاریِ بنگاه تا زمانی است </w:t>
      </w:r>
      <w:r w:rsidRPr="00005251">
        <w:rPr>
          <w:rFonts w:eastAsiaTheme="minorEastAsia"/>
          <w:i/>
          <w:sz w:val="23"/>
          <w:szCs w:val="23"/>
          <w:rtl/>
        </w:rPr>
        <w:softHyphen/>
      </w:r>
      <w:r w:rsidRPr="00005251">
        <w:rPr>
          <w:rFonts w:eastAsiaTheme="minorEastAsia" w:hint="cs"/>
          <w:i/>
          <w:sz w:val="23"/>
          <w:szCs w:val="23"/>
          <w:rtl/>
        </w:rPr>
        <w:t>که نرخ بازدهی سرمایه برابر با نرخ تنزیل زمان شود. در مدل متمرکز نرخ بهره بطور ضمنی وارد مدل شده که برابر است با خالص تولید نهایی سرمایه</w:t>
      </w:r>
      <w:r w:rsidRPr="00005251">
        <w:rPr>
          <w:position w:val="-12"/>
        </w:rPr>
        <w:object w:dxaOrig="1500" w:dyaOrig="360" w14:anchorId="0C4E1FD2">
          <v:shape id="_x0000_i2532" type="#_x0000_t75" style="width:75.05pt;height:18.15pt" o:ole="">
            <v:imagedata r:id="rId3051" o:title=""/>
          </v:shape>
          <o:OLEObject Type="Embed" ProgID="Equation.DSMT4" ShapeID="_x0000_i2532" DrawAspect="Content" ObjectID="_1791376476" r:id="rId3052"/>
        </w:object>
      </w:r>
      <w:r w:rsidRPr="00005251">
        <w:rPr>
          <w:rFonts w:eastAsiaTheme="minorEastAsia"/>
          <w:i/>
          <w:sz w:val="23"/>
          <w:szCs w:val="23"/>
        </w:rPr>
        <w:t>.</w:t>
      </w:r>
      <w:r w:rsidRPr="00005251">
        <w:rPr>
          <w:rFonts w:eastAsiaTheme="minorEastAsia" w:hint="cs"/>
          <w:i/>
          <w:sz w:val="23"/>
          <w:szCs w:val="23"/>
          <w:rtl/>
        </w:rPr>
        <w:t xml:space="preserve"> اگرچه</w:t>
      </w:r>
      <w:r w:rsidRPr="00005251">
        <w:rPr>
          <w:rFonts w:eastAsiaTheme="minorEastAsia"/>
          <w:i/>
          <w:sz w:val="23"/>
          <w:szCs w:val="23"/>
        </w:rPr>
        <w:t xml:space="preserve"> </w:t>
      </w:r>
      <w:r w:rsidRPr="00005251">
        <w:rPr>
          <w:rFonts w:eastAsiaTheme="minorEastAsia" w:hint="cs"/>
          <w:i/>
          <w:sz w:val="23"/>
          <w:szCs w:val="23"/>
          <w:rtl/>
        </w:rPr>
        <w:t xml:space="preserve">دستمزد بطور صریح در مدل متمرکز وارد نشده ولی بطور ضمنی بدان اشاره شده است. چون در مدل متمرکز یک واحد از نیروی کار وجود دارد یا </w:t>
      </w:r>
      <w:r w:rsidRPr="00005251">
        <w:rPr>
          <w:position w:val="-10"/>
        </w:rPr>
        <w:object w:dxaOrig="580" w:dyaOrig="320" w14:anchorId="2C277F8D">
          <v:shape id="_x0000_i2533" type="#_x0000_t75" style="width:29.05pt;height:16.35pt" o:ole="">
            <v:imagedata r:id="rId3053" o:title=""/>
          </v:shape>
          <o:OLEObject Type="Embed" ProgID="Equation.DSMT4" ShapeID="_x0000_i2533" DrawAspect="Content" ObjectID="_1791376477" r:id="rId3054"/>
        </w:object>
      </w:r>
      <w:r w:rsidRPr="00005251">
        <w:rPr>
          <w:rFonts w:hint="cs"/>
          <w:i/>
          <w:sz w:val="23"/>
          <w:szCs w:val="23"/>
          <w:rtl/>
        </w:rPr>
        <w:t xml:space="preserve">، </w:t>
      </w:r>
      <w:r w:rsidRPr="00005251">
        <w:rPr>
          <w:rFonts w:eastAsiaTheme="minorEastAsia" w:hint="cs"/>
          <w:i/>
          <w:sz w:val="23"/>
          <w:szCs w:val="23"/>
          <w:rtl/>
        </w:rPr>
        <w:t>لذا نرخ دستمزد برابر است با کل هزینه</w:t>
      </w:r>
      <w:r w:rsidRPr="00005251">
        <w:rPr>
          <w:rFonts w:eastAsiaTheme="minorEastAsia"/>
          <w:i/>
          <w:sz w:val="23"/>
          <w:szCs w:val="23"/>
          <w:rtl/>
        </w:rPr>
        <w:softHyphen/>
      </w:r>
      <w:r w:rsidRPr="00005251">
        <w:rPr>
          <w:rFonts w:eastAsiaTheme="minorEastAsia" w:hint="cs"/>
          <w:i/>
          <w:sz w:val="23"/>
          <w:szCs w:val="23"/>
          <w:rtl/>
        </w:rPr>
        <w:t>ی نیروی کار. از رابطه</w:t>
      </w:r>
      <w:r w:rsidRPr="00005251">
        <w:rPr>
          <w:rFonts w:eastAsiaTheme="minorEastAsia"/>
          <w:i/>
          <w:sz w:val="23"/>
          <w:szCs w:val="23"/>
          <w:rtl/>
        </w:rPr>
        <w:softHyphen/>
      </w:r>
      <w:r w:rsidRPr="00005251">
        <w:rPr>
          <w:rFonts w:eastAsiaTheme="minorEastAsia" w:hint="cs"/>
          <w:i/>
          <w:sz w:val="23"/>
          <w:szCs w:val="23"/>
          <w:rtl/>
        </w:rPr>
        <w:t xml:space="preserve">ی </w:t>
      </w:r>
      <w:r w:rsidRPr="00005251">
        <w:rPr>
          <w:position w:val="-12"/>
        </w:rPr>
        <w:object w:dxaOrig="2200" w:dyaOrig="360" w14:anchorId="025509E9">
          <v:shape id="_x0000_i2534" type="#_x0000_t75" style="width:110.1pt;height:18.15pt" o:ole="">
            <v:imagedata r:id="rId3055" o:title=""/>
          </v:shape>
          <o:OLEObject Type="Embed" ProgID="Equation.DSMT4" ShapeID="_x0000_i2534" DrawAspect="Content" ObjectID="_1791376478" r:id="rId3056"/>
        </w:object>
      </w:r>
      <w:r w:rsidRPr="00005251">
        <w:rPr>
          <w:rFonts w:hint="cs"/>
          <w:i/>
          <w:sz w:val="23"/>
          <w:szCs w:val="23"/>
          <w:rtl/>
        </w:rPr>
        <w:t xml:space="preserve"> </w:t>
      </w:r>
      <w:r w:rsidRPr="00005251">
        <w:rPr>
          <w:rFonts w:eastAsiaTheme="minorEastAsia" w:hint="cs"/>
          <w:i/>
          <w:sz w:val="23"/>
          <w:szCs w:val="23"/>
          <w:rtl/>
        </w:rPr>
        <w:t>و اینکه</w:t>
      </w:r>
      <w:r w:rsidRPr="00005251">
        <w:rPr>
          <w:position w:val="-12"/>
        </w:rPr>
        <w:object w:dxaOrig="800" w:dyaOrig="340" w14:anchorId="1369E047">
          <v:shape id="_x0000_i2535" type="#_x0000_t75" style="width:39.95pt;height:16.95pt" o:ole="">
            <v:imagedata r:id="rId3057" o:title=""/>
          </v:shape>
          <o:OLEObject Type="Embed" ProgID="Equation.DSMT4" ShapeID="_x0000_i2535" DrawAspect="Content" ObjectID="_1791376479" r:id="rId3058"/>
        </w:object>
      </w:r>
      <w:r w:rsidRPr="00005251">
        <w:rPr>
          <w:rFonts w:eastAsiaTheme="minorEastAsia" w:hint="cs"/>
          <w:i/>
          <w:sz w:val="23"/>
          <w:szCs w:val="23"/>
          <w:rtl/>
        </w:rPr>
        <w:t xml:space="preserve"> و </w:t>
      </w:r>
      <w:r w:rsidRPr="00005251">
        <w:rPr>
          <w:position w:val="-10"/>
        </w:rPr>
        <w:object w:dxaOrig="580" w:dyaOrig="320" w14:anchorId="5FCDB2D9">
          <v:shape id="_x0000_i2536" type="#_x0000_t75" style="width:29.05pt;height:16.35pt" o:ole="">
            <v:imagedata r:id="rId3059" o:title=""/>
          </v:shape>
          <o:OLEObject Type="Embed" ProgID="Equation.DSMT4" ShapeID="_x0000_i2536" DrawAspect="Content" ObjectID="_1791376480" r:id="rId3060"/>
        </w:object>
      </w:r>
      <w:r w:rsidRPr="00005251">
        <w:rPr>
          <w:rFonts w:eastAsiaTheme="minorEastAsia" w:hint="cs"/>
          <w:i/>
          <w:sz w:val="23"/>
          <w:szCs w:val="23"/>
          <w:rtl/>
        </w:rPr>
        <w:t xml:space="preserve"> نرخ دستمزد تلویحی را بدست می‌آوریم: </w:t>
      </w:r>
    </w:p>
    <w:p w14:paraId="30A97FCE" w14:textId="77777777" w:rsidR="00411620" w:rsidRPr="00005251" w:rsidRDefault="00411620" w:rsidP="00411620">
      <w:pPr>
        <w:tabs>
          <w:tab w:val="left" w:pos="26"/>
          <w:tab w:val="left" w:pos="5271"/>
        </w:tabs>
        <w:bidi w:val="0"/>
        <w:spacing w:line="216" w:lineRule="auto"/>
        <w:rPr>
          <w:rFonts w:eastAsiaTheme="minorEastAsia"/>
          <w:i/>
          <w:sz w:val="23"/>
          <w:szCs w:val="23"/>
          <w:rtl/>
        </w:rPr>
      </w:pPr>
      <w:r w:rsidRPr="00005251">
        <w:rPr>
          <w:position w:val="-12"/>
        </w:rPr>
        <w:object w:dxaOrig="2160" w:dyaOrig="360" w14:anchorId="7153225E">
          <v:shape id="_x0000_i2537" type="#_x0000_t75" style="width:108.3pt;height:18.15pt" o:ole="">
            <v:imagedata r:id="rId3061" o:title=""/>
          </v:shape>
          <o:OLEObject Type="Embed" ProgID="Equation.DSMT4" ShapeID="_x0000_i2537" DrawAspect="Content" ObjectID="_1791376481" r:id="rId3062"/>
        </w:object>
      </w:r>
      <w:r w:rsidRPr="00005251">
        <w:rPr>
          <w:rFonts w:eastAsiaTheme="minorEastAsia"/>
          <w:i/>
          <w:sz w:val="23"/>
          <w:szCs w:val="23"/>
        </w:rPr>
        <w:t xml:space="preserve"> </w:t>
      </w:r>
      <w:r w:rsidRPr="00005251">
        <w:rPr>
          <w:rFonts w:eastAsiaTheme="minorEastAsia" w:hint="cs"/>
          <w:i/>
          <w:sz w:val="23"/>
          <w:szCs w:val="23"/>
          <w:rtl/>
        </w:rPr>
        <w:t xml:space="preserve">  </w:t>
      </w:r>
      <w:r w:rsidRPr="00005251">
        <w:rPr>
          <w:rFonts w:eastAsiaTheme="minorEastAsia"/>
          <w:i/>
          <w:sz w:val="23"/>
          <w:szCs w:val="23"/>
          <w:rtl/>
        </w:rPr>
        <w:tab/>
      </w:r>
      <w:r>
        <w:rPr>
          <w:rFonts w:eastAsiaTheme="minorEastAsia"/>
          <w:i/>
          <w:sz w:val="23"/>
          <w:szCs w:val="23"/>
          <w:rtl/>
        </w:rPr>
        <w:tab/>
      </w:r>
      <w:r w:rsidRPr="00005251">
        <w:rPr>
          <w:rFonts w:eastAsiaTheme="minorEastAsia"/>
          <w:i/>
          <w:sz w:val="23"/>
          <w:szCs w:val="23"/>
        </w:rPr>
        <w:tab/>
      </w:r>
      <w:r w:rsidRPr="00005251">
        <w:rPr>
          <w:rFonts w:eastAsiaTheme="minorEastAsia" w:hint="cs"/>
          <w:i/>
          <w:sz w:val="23"/>
          <w:szCs w:val="23"/>
          <w:rtl/>
        </w:rPr>
        <w:t xml:space="preserve">  (۴. ۳۹)   </w:t>
      </w:r>
    </w:p>
    <w:p w14:paraId="7198DE12" w14:textId="77777777" w:rsidR="00411620" w:rsidRPr="00005251" w:rsidRDefault="00411620" w:rsidP="00411620">
      <w:pPr>
        <w:tabs>
          <w:tab w:val="left" w:pos="26"/>
        </w:tabs>
        <w:spacing w:line="216" w:lineRule="auto"/>
        <w:rPr>
          <w:rFonts w:eastAsiaTheme="minorEastAsia"/>
          <w:i/>
          <w:sz w:val="23"/>
          <w:szCs w:val="23"/>
          <w:rtl/>
        </w:rPr>
      </w:pPr>
      <w:r w:rsidRPr="00005251">
        <w:rPr>
          <w:rFonts w:eastAsiaTheme="minorEastAsia" w:hint="cs"/>
          <w:i/>
          <w:sz w:val="23"/>
          <w:szCs w:val="23"/>
          <w:rtl/>
        </w:rPr>
        <w:t xml:space="preserve">در مدل متمرکز بدهی و دارایی مالی وجود ندارد یعنی </w:t>
      </w:r>
      <w:r w:rsidRPr="00005251">
        <w:rPr>
          <w:position w:val="-10"/>
        </w:rPr>
        <w:object w:dxaOrig="980" w:dyaOrig="320" w14:anchorId="1D5A73CD">
          <v:shape id="_x0000_i2538" type="#_x0000_t75" style="width:49pt;height:16.35pt" o:ole="">
            <v:imagedata r:id="rId3063" o:title=""/>
          </v:shape>
          <o:OLEObject Type="Embed" ProgID="Equation.DSMT4" ShapeID="_x0000_i2538" DrawAspect="Content" ObjectID="_1791376482" r:id="rId3064"/>
        </w:object>
      </w:r>
      <w:r w:rsidRPr="00005251">
        <w:rPr>
          <w:rFonts w:eastAsiaTheme="minorEastAsia" w:hint="cs"/>
          <w:i/>
          <w:sz w:val="23"/>
          <w:szCs w:val="23"/>
          <w:rtl/>
        </w:rPr>
        <w:t>، و محاسبه سود بطور ضمنی از طریق مدل غیر متمرکز بدست می‌آید، که درآن</w:t>
      </w:r>
      <w:r w:rsidRPr="00005251">
        <w:rPr>
          <w:position w:val="-10"/>
        </w:rPr>
        <w:object w:dxaOrig="260" w:dyaOrig="320" w14:anchorId="3219387F">
          <v:shape id="_x0000_i2539" type="#_x0000_t75" style="width:12.7pt;height:16.35pt" o:ole="">
            <v:imagedata r:id="rId3065" o:title=""/>
          </v:shape>
          <o:OLEObject Type="Embed" ProgID="Equation.DSMT4" ShapeID="_x0000_i2539" DrawAspect="Content" ObjectID="_1791376483" r:id="rId3066"/>
        </w:object>
      </w:r>
      <w:r w:rsidRPr="00005251">
        <w:rPr>
          <w:rFonts w:eastAsiaTheme="minorEastAsia" w:hint="cs"/>
          <w:i/>
          <w:sz w:val="23"/>
          <w:szCs w:val="23"/>
          <w:rtl/>
        </w:rPr>
        <w:t xml:space="preserve"> از رابطه </w:t>
      </w:r>
      <w:r w:rsidRPr="00005251">
        <w:rPr>
          <w:rFonts w:hint="cs"/>
          <w:i/>
          <w:sz w:val="23"/>
          <w:szCs w:val="23"/>
          <w:rtl/>
        </w:rPr>
        <w:t>(۴. ۳۹) و</w:t>
      </w:r>
      <w:r w:rsidRPr="00005251">
        <w:rPr>
          <w:rFonts w:eastAsiaTheme="minorEastAsia" w:hint="cs"/>
          <w:i/>
          <w:sz w:val="23"/>
          <w:szCs w:val="23"/>
          <w:rtl/>
        </w:rPr>
        <w:t xml:space="preserve"> </w:t>
      </w:r>
      <w:r w:rsidRPr="00005251">
        <w:rPr>
          <w:position w:val="-10"/>
        </w:rPr>
        <w:object w:dxaOrig="580" w:dyaOrig="320" w14:anchorId="0C991C62">
          <v:shape id="_x0000_i2540" type="#_x0000_t75" style="width:29.05pt;height:16.35pt" o:ole="">
            <v:imagedata r:id="rId3067" o:title=""/>
          </v:shape>
          <o:OLEObject Type="Embed" ProgID="Equation.DSMT4" ShapeID="_x0000_i2540" DrawAspect="Content" ObjectID="_1791376484" r:id="rId3068"/>
        </w:object>
      </w:r>
      <w:r w:rsidRPr="00005251">
        <w:rPr>
          <w:rFonts w:eastAsiaTheme="minorEastAsia"/>
          <w:i/>
          <w:sz w:val="23"/>
          <w:szCs w:val="23"/>
        </w:rPr>
        <w:t xml:space="preserve"> </w:t>
      </w:r>
      <w:r w:rsidRPr="00005251">
        <w:rPr>
          <w:rFonts w:eastAsiaTheme="minorEastAsia" w:hint="cs"/>
          <w:i/>
          <w:sz w:val="23"/>
          <w:szCs w:val="23"/>
          <w:rtl/>
        </w:rPr>
        <w:t xml:space="preserve">است. لذا سودهای بنگاه برابر خواهد بود با </w:t>
      </w:r>
    </w:p>
    <w:p w14:paraId="108C4962"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14"/>
        </w:rPr>
        <w:object w:dxaOrig="4160" w:dyaOrig="380" w14:anchorId="68E29093">
          <v:shape id="_x0000_i2541" type="#_x0000_t75" style="width:208.15pt;height:18.75pt" o:ole="">
            <v:imagedata r:id="rId3069" o:title=""/>
          </v:shape>
          <o:OLEObject Type="Embed" ProgID="Equation.DSMT4" ShapeID="_x0000_i2541" DrawAspect="Content" ObjectID="_1791376485" r:id="rId3070"/>
        </w:object>
      </w:r>
    </w:p>
    <w:p w14:paraId="70E7FD5B" w14:textId="77777777" w:rsidR="00411620" w:rsidRPr="00005251" w:rsidRDefault="00411620" w:rsidP="00411620">
      <w:pPr>
        <w:tabs>
          <w:tab w:val="left" w:pos="26"/>
        </w:tabs>
        <w:spacing w:line="216" w:lineRule="auto"/>
        <w:rPr>
          <w:rFonts w:eastAsiaTheme="minorEastAsia"/>
          <w:i/>
          <w:sz w:val="23"/>
          <w:szCs w:val="23"/>
        </w:rPr>
      </w:pPr>
      <w:r w:rsidRPr="00005251">
        <w:rPr>
          <w:rFonts w:eastAsiaTheme="minorEastAsia" w:hint="cs"/>
          <w:i/>
          <w:sz w:val="23"/>
          <w:szCs w:val="23"/>
          <w:rtl/>
        </w:rPr>
        <w:lastRenderedPageBreak/>
        <w:t>اگر</w:t>
      </w:r>
      <w:r w:rsidRPr="00005251">
        <w:rPr>
          <w:position w:val="-12"/>
        </w:rPr>
        <w:object w:dxaOrig="1460" w:dyaOrig="360" w14:anchorId="56D1415A">
          <v:shape id="_x0000_i2542" type="#_x0000_t75" style="width:73.2pt;height:18.15pt" o:ole="">
            <v:imagedata r:id="rId3071" o:title=""/>
          </v:shape>
          <o:OLEObject Type="Embed" ProgID="Equation.DSMT4" ShapeID="_x0000_i2542" DrawAspect="Content" ObjectID="_1791376486" r:id="rId3072"/>
        </w:object>
      </w:r>
      <w:r w:rsidRPr="00005251">
        <w:rPr>
          <w:rFonts w:eastAsiaTheme="minorEastAsia"/>
          <w:i/>
          <w:sz w:val="23"/>
          <w:szCs w:val="23"/>
        </w:rPr>
        <w:t xml:space="preserve"> </w:t>
      </w:r>
      <w:r w:rsidRPr="00005251">
        <w:rPr>
          <w:rFonts w:eastAsiaTheme="minorEastAsia" w:hint="cs"/>
          <w:i/>
          <w:sz w:val="23"/>
          <w:szCs w:val="23"/>
          <w:rtl/>
        </w:rPr>
        <w:t xml:space="preserve">را جایگزاری کنیم خواهیم داشت </w:t>
      </w:r>
    </w:p>
    <w:p w14:paraId="0EEF7436" w14:textId="77777777" w:rsidR="00411620" w:rsidRPr="00005251" w:rsidRDefault="00411620" w:rsidP="00411620">
      <w:pPr>
        <w:tabs>
          <w:tab w:val="left" w:pos="26"/>
        </w:tabs>
        <w:bidi w:val="0"/>
        <w:spacing w:line="216" w:lineRule="auto"/>
        <w:rPr>
          <w:rFonts w:eastAsiaTheme="minorEastAsia"/>
          <w:i/>
          <w:sz w:val="23"/>
          <w:szCs w:val="23"/>
          <w:rtl/>
        </w:rPr>
      </w:pPr>
      <w:r w:rsidRPr="00005251">
        <w:rPr>
          <w:rFonts w:eastAsiaTheme="minorEastAsia" w:hint="cs"/>
          <w:i/>
          <w:sz w:val="23"/>
          <w:szCs w:val="23"/>
          <w:rtl/>
        </w:rPr>
        <w:t xml:space="preserve"> </w:t>
      </w:r>
      <w:r w:rsidRPr="00005251">
        <w:rPr>
          <w:position w:val="-12"/>
        </w:rPr>
        <w:object w:dxaOrig="4260" w:dyaOrig="360" w14:anchorId="34C4ED64">
          <v:shape id="_x0000_i2543" type="#_x0000_t75" style="width:212.35pt;height:18.15pt" o:ole="">
            <v:imagedata r:id="rId3073" o:title=""/>
          </v:shape>
          <o:OLEObject Type="Embed" ProgID="Equation.DSMT4" ShapeID="_x0000_i2543" DrawAspect="Content" ObjectID="_1791376487" r:id="rId3074"/>
        </w:object>
      </w:r>
    </w:p>
    <w:p w14:paraId="134A01AE" w14:textId="77777777" w:rsidR="00411620" w:rsidRPr="00005251" w:rsidRDefault="00411620" w:rsidP="00411620">
      <w:pPr>
        <w:pStyle w:val="MTDisplayEquation"/>
        <w:spacing w:line="216" w:lineRule="auto"/>
        <w:rPr>
          <w:rFonts w:ascii="Times New Roman" w:eastAsiaTheme="minorEastAsia" w:hAnsi="Times New Roman" w:cs="B Nazanin"/>
          <w:i/>
          <w:sz w:val="23"/>
          <w:szCs w:val="23"/>
        </w:rPr>
      </w:pPr>
      <w:r w:rsidRPr="00005251">
        <w:rPr>
          <w:position w:val="-34"/>
        </w:rPr>
        <w:object w:dxaOrig="3159" w:dyaOrig="700" w14:anchorId="01D3EB0D">
          <v:shape id="_x0000_i2544" type="#_x0000_t75" style="width:157.9pt;height:34.5pt" o:ole="">
            <v:imagedata r:id="rId3075" o:title=""/>
          </v:shape>
          <o:OLEObject Type="Embed" ProgID="Equation.DSMT4" ShapeID="_x0000_i2544" DrawAspect="Content" ObjectID="_1791376488" r:id="rId3076"/>
        </w:object>
      </w:r>
    </w:p>
    <w:p w14:paraId="192F1D52" w14:textId="77777777" w:rsidR="00411620" w:rsidRPr="00005251" w:rsidRDefault="00411620" w:rsidP="00411620">
      <w:pPr>
        <w:tabs>
          <w:tab w:val="left" w:pos="26"/>
        </w:tabs>
        <w:spacing w:line="216" w:lineRule="auto"/>
        <w:rPr>
          <w:rFonts w:eastAsiaTheme="minorEastAsia"/>
          <w:i/>
          <w:sz w:val="23"/>
          <w:szCs w:val="23"/>
          <w:rtl/>
        </w:rPr>
      </w:pPr>
      <w:r w:rsidRPr="00005251">
        <w:rPr>
          <w:rFonts w:eastAsiaTheme="minorEastAsia"/>
          <w:i/>
          <w:sz w:val="23"/>
          <w:szCs w:val="23"/>
        </w:rPr>
        <w:t xml:space="preserve"> </w:t>
      </w:r>
      <w:r w:rsidRPr="00005251">
        <w:rPr>
          <w:rFonts w:eastAsiaTheme="minorEastAsia" w:hint="cs"/>
          <w:i/>
          <w:sz w:val="23"/>
          <w:szCs w:val="23"/>
          <w:rtl/>
        </w:rPr>
        <w:t>یعنی</w:t>
      </w:r>
      <w:r w:rsidRPr="00005251">
        <w:rPr>
          <w:position w:val="-10"/>
        </w:rPr>
        <w:object w:dxaOrig="220" w:dyaOrig="320" w14:anchorId="39ECFD68">
          <v:shape id="_x0000_i2545" type="#_x0000_t75" style="width:10.9pt;height:16.35pt" o:ole="">
            <v:imagedata r:id="rId3077" o:title=""/>
          </v:shape>
          <o:OLEObject Type="Embed" ProgID="Equation.DSMT4" ShapeID="_x0000_i2545" DrawAspect="Content" ObjectID="_1791376489" r:id="rId3078"/>
        </w:object>
      </w:r>
      <w:r w:rsidRPr="00005251">
        <w:rPr>
          <w:rFonts w:eastAsiaTheme="minorEastAsia" w:hint="cs"/>
          <w:i/>
          <w:sz w:val="23"/>
          <w:szCs w:val="23"/>
          <w:rtl/>
        </w:rPr>
        <w:t xml:space="preserve"> برابر است با ارزش تنزیل شده سودهای آتی و جاری. اگر سود در طی زمان ثابت باشد یعنی </w:t>
      </w:r>
      <w:r w:rsidRPr="00005251">
        <w:rPr>
          <w:position w:val="-10"/>
        </w:rPr>
        <w:object w:dxaOrig="1219" w:dyaOrig="320" w14:anchorId="53C254A7">
          <v:shape id="_x0000_i2546" type="#_x0000_t75" style="width:61.1pt;height:16.35pt" o:ole="">
            <v:imagedata r:id="rId3079" o:title=""/>
          </v:shape>
          <o:OLEObject Type="Embed" ProgID="Equation.DSMT4" ShapeID="_x0000_i2546" DrawAspect="Content" ObjectID="_1791376490" r:id="rId3080"/>
        </w:object>
      </w:r>
      <w:r w:rsidRPr="00005251">
        <w:rPr>
          <w:rFonts w:eastAsiaTheme="minorEastAsia" w:hint="cs"/>
          <w:i/>
          <w:sz w:val="23"/>
          <w:szCs w:val="23"/>
          <w:rtl/>
        </w:rPr>
        <w:t xml:space="preserve"> آنگاه </w:t>
      </w:r>
      <w:r w:rsidRPr="00005251">
        <w:rPr>
          <w:position w:val="-22"/>
        </w:rPr>
        <w:object w:dxaOrig="700" w:dyaOrig="580" w14:anchorId="61365B4A">
          <v:shape id="_x0000_i2547" type="#_x0000_t75" style="width:34.5pt;height:29.05pt" o:ole="">
            <v:imagedata r:id="rId3081" o:title=""/>
          </v:shape>
          <o:OLEObject Type="Embed" ProgID="Equation.DSMT4" ShapeID="_x0000_i2547" DrawAspect="Content" ObjectID="_1791376491" r:id="rId3082"/>
        </w:object>
      </w:r>
      <w:r w:rsidRPr="00005251">
        <w:rPr>
          <w:sz w:val="23"/>
          <w:szCs w:val="23"/>
        </w:rPr>
        <w:t>.</w:t>
      </w:r>
    </w:p>
    <w:p w14:paraId="3F84939A" w14:textId="77777777" w:rsidR="00411620" w:rsidRPr="00005251" w:rsidRDefault="00411620" w:rsidP="00411620">
      <w:pPr>
        <w:tabs>
          <w:tab w:val="left" w:pos="26"/>
        </w:tabs>
        <w:spacing w:line="216" w:lineRule="auto"/>
        <w:rPr>
          <w:rFonts w:eastAsiaTheme="minorEastAsia"/>
          <w:i/>
          <w:sz w:val="23"/>
          <w:szCs w:val="23"/>
        </w:rPr>
      </w:pPr>
      <w:r w:rsidRPr="00005251">
        <w:rPr>
          <w:rFonts w:eastAsiaTheme="minorEastAsia" w:hint="cs"/>
          <w:i/>
          <w:sz w:val="23"/>
          <w:szCs w:val="23"/>
          <w:rtl/>
        </w:rPr>
        <w:t>مصرف نیز در مدل متمرکز و غیرمتمرکز از قید منبع بدست می‌آید. یعنی</w:t>
      </w:r>
    </w:p>
    <w:p w14:paraId="5C1F595B" w14:textId="77777777" w:rsidR="00411620" w:rsidRDefault="00411620" w:rsidP="00411620">
      <w:pPr>
        <w:pStyle w:val="MTDisplayEquation"/>
        <w:spacing w:line="216" w:lineRule="auto"/>
      </w:pPr>
      <w:r w:rsidRPr="00005251">
        <w:rPr>
          <w:position w:val="-12"/>
        </w:rPr>
        <w:object w:dxaOrig="2460" w:dyaOrig="360" w14:anchorId="7D5910CD">
          <v:shape id="_x0000_i2548" type="#_x0000_t75" style="width:122.8pt;height:18.15pt" o:ole="">
            <v:imagedata r:id="rId3083" o:title=""/>
          </v:shape>
          <o:OLEObject Type="Embed" ProgID="Equation.DSMT4" ShapeID="_x0000_i2548" DrawAspect="Content" ObjectID="_1791376492" r:id="rId3084"/>
        </w:object>
      </w:r>
      <w:r>
        <w:br w:type="page"/>
      </w:r>
    </w:p>
    <w:p w14:paraId="39B3CCCE" w14:textId="77777777" w:rsidR="00411620" w:rsidRPr="00005251" w:rsidRDefault="00411620" w:rsidP="00411620">
      <w:pPr>
        <w:pStyle w:val="MTDisplayEquation"/>
        <w:spacing w:line="216" w:lineRule="auto"/>
        <w:rPr>
          <w:i/>
          <w:sz w:val="23"/>
          <w:szCs w:val="23"/>
        </w:rPr>
      </w:pPr>
    </w:p>
    <w:p w14:paraId="006A805B" w14:textId="77777777" w:rsidR="00411620" w:rsidRPr="0026684F" w:rsidRDefault="00411620" w:rsidP="00411620">
      <w:pPr>
        <w:spacing w:before="1080" w:after="720" w:line="216" w:lineRule="auto"/>
        <w:jc w:val="center"/>
        <w:rPr>
          <w:bCs/>
          <w: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6684F">
        <w:rPr>
          <w:rFonts w:hint="cs"/>
          <w:bCs/>
          <w:i/>
          <w:color w:val="000000" w:themeColor="text1"/>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فصل پنجم</w:t>
      </w:r>
    </w:p>
    <w:p w14:paraId="10CAE154" w14:textId="77777777" w:rsidR="00411620" w:rsidRPr="0026684F" w:rsidRDefault="00411620" w:rsidP="00411620">
      <w:pPr>
        <w:pStyle w:val="a4"/>
        <w:pBdr>
          <w:top w:val="none" w:sz="0" w:space="0" w:color="auto"/>
          <w:bottom w:val="none" w:sz="0" w:space="0" w:color="auto"/>
        </w:pBdr>
        <w:shd w:val="clear" w:color="auto" w:fill="FFFFFF" w:themeFill="background1"/>
        <w:spacing w:after="720"/>
        <w:rPr>
          <w:rFonts w:ascii="Times New Roman" w:eastAsia="Yu Gothic UI" w:hAnsi="Times New Roman" w:cs="B Nazanin"/>
          <w:b w:val="0"/>
          <w:bCs w:val="0"/>
          <w:i/>
          <w:sz w:val="40"/>
          <w:szCs w:val="40"/>
          <w:rtl/>
          <w14:glow w14:rad="0">
            <w14:srgbClr w14:val="000000">
              <w14:alpha w14:val="91000"/>
            </w14:srgbClr>
          </w14:glow>
          <w14:shadow w14:blurRad="63500" w14:dist="0" w14:dir="0" w14:sx="1000" w14:sy="1000" w14:kx="0" w14:ky="0" w14:algn="ctr">
            <w14:srgbClr w14:val="000000">
              <w14:alpha w14:val="16000"/>
            </w14:srgbClr>
          </w14:shadow>
        </w:rPr>
      </w:pPr>
      <w:r w:rsidRPr="0026684F">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t xml:space="preserve">مخارج دولت و مالیه عمومی </w:t>
      </w:r>
    </w:p>
    <w:p w14:paraId="523304D2" w14:textId="77777777" w:rsidR="00411620" w:rsidRPr="0026684F" w:rsidRDefault="00411620" w:rsidP="00411620">
      <w:pPr>
        <w:pStyle w:val="Heading1"/>
        <w:spacing w:before="0" w:after="0" w:line="216" w:lineRule="auto"/>
        <w:rPr>
          <w:rFonts w:ascii="Times New Roman" w:hAnsi="Times New Roman" w:cs="B Nazanin"/>
          <w:b w:val="0"/>
          <w:i/>
          <w:sz w:val="23"/>
          <w:szCs w:val="23"/>
          <w:rtl/>
        </w:rPr>
      </w:pPr>
      <w:r w:rsidRPr="0026684F">
        <w:rPr>
          <w:rFonts w:ascii="Times New Roman" w:hAnsi="Times New Roman" w:cs="B Nazanin" w:hint="cs"/>
          <w:b w:val="0"/>
          <w:i/>
          <w:sz w:val="23"/>
          <w:szCs w:val="23"/>
          <w:rtl/>
        </w:rPr>
        <w:t>۵. ۱ مقدمه</w:t>
      </w:r>
    </w:p>
    <w:p w14:paraId="0A4CBF33" w14:textId="77777777" w:rsidR="00411620" w:rsidRPr="0026684F" w:rsidRDefault="00411620" w:rsidP="00411620">
      <w:pPr>
        <w:spacing w:line="216" w:lineRule="auto"/>
        <w:rPr>
          <w:i/>
          <w:sz w:val="23"/>
          <w:szCs w:val="23"/>
          <w:rtl/>
        </w:rPr>
      </w:pPr>
      <w:r w:rsidRPr="0026684F">
        <w:rPr>
          <w:rFonts w:hint="cs"/>
          <w:i/>
          <w:sz w:val="23"/>
          <w:szCs w:val="23"/>
          <w:rtl/>
        </w:rPr>
        <w:t>در این فصل با ورود دولت در اقتصاد، قید بودجه</w:t>
      </w:r>
      <w:r w:rsidRPr="0026684F">
        <w:rPr>
          <w:i/>
          <w:sz w:val="23"/>
          <w:szCs w:val="23"/>
          <w:rtl/>
        </w:rPr>
        <w:softHyphen/>
      </w:r>
      <w:r w:rsidRPr="0026684F">
        <w:rPr>
          <w:rFonts w:hint="cs"/>
          <w:i/>
          <w:sz w:val="23"/>
          <w:szCs w:val="23"/>
          <w:rtl/>
        </w:rPr>
        <w:t>ی دولت جهت تأمین مالی مخارج از طریق مالیات و اوراق قرضه</w:t>
      </w:r>
      <w:r w:rsidRPr="0026684F">
        <w:rPr>
          <w:i/>
          <w:sz w:val="23"/>
          <w:szCs w:val="23"/>
          <w:rtl/>
        </w:rPr>
        <w:softHyphen/>
      </w:r>
      <w:r w:rsidRPr="0026684F">
        <w:rPr>
          <w:rFonts w:hint="cs"/>
          <w:i/>
          <w:sz w:val="23"/>
          <w:szCs w:val="23"/>
          <w:rtl/>
        </w:rPr>
        <w:t>ی دولتی بدقت مورد بررسی خواهد گرفت. جهت تکمیل مباحث این فصل پول و سطح عمومی قیمت</w:t>
      </w:r>
      <w:r w:rsidRPr="0026684F">
        <w:rPr>
          <w:i/>
          <w:sz w:val="23"/>
          <w:szCs w:val="23"/>
          <w:rtl/>
        </w:rPr>
        <w:softHyphen/>
      </w:r>
      <w:r w:rsidRPr="0026684F">
        <w:rPr>
          <w:rFonts w:hint="cs"/>
          <w:i/>
          <w:sz w:val="23"/>
          <w:szCs w:val="23"/>
          <w:rtl/>
        </w:rPr>
        <w:t>ها را نیز در نظر گرفته اما موضوعات تقاضا برای پول، تورم و سیاست</w:t>
      </w:r>
      <w:r w:rsidRPr="0026684F">
        <w:rPr>
          <w:i/>
          <w:sz w:val="23"/>
          <w:szCs w:val="23"/>
          <w:rtl/>
        </w:rPr>
        <w:softHyphen/>
      </w:r>
      <w:r w:rsidRPr="0026684F">
        <w:rPr>
          <w:rFonts w:hint="cs"/>
          <w:i/>
          <w:sz w:val="23"/>
          <w:szCs w:val="23"/>
          <w:rtl/>
        </w:rPr>
        <w:t xml:space="preserve">های پولی را در فصول هشتم، نهم و چهاردهم مورد بررسی قرار خواهیم داد. </w:t>
      </w:r>
    </w:p>
    <w:p w14:paraId="3D4FCDA9" w14:textId="77777777" w:rsidR="00411620" w:rsidRPr="0026684F" w:rsidRDefault="00411620" w:rsidP="00411620">
      <w:pPr>
        <w:spacing w:line="216" w:lineRule="auto"/>
        <w:rPr>
          <w:i/>
          <w:sz w:val="23"/>
          <w:szCs w:val="23"/>
          <w:rtl/>
        </w:rPr>
      </w:pPr>
      <w:r w:rsidRPr="0026684F">
        <w:rPr>
          <w:rFonts w:hint="cs"/>
          <w:i/>
          <w:sz w:val="23"/>
          <w:szCs w:val="23"/>
          <w:rtl/>
        </w:rPr>
        <w:t>نقش اساسی دولت در اقتصاد تهیه</w:t>
      </w:r>
      <w:r w:rsidRPr="0026684F">
        <w:rPr>
          <w:i/>
          <w:sz w:val="23"/>
          <w:szCs w:val="23"/>
          <w:rtl/>
        </w:rPr>
        <w:softHyphen/>
      </w:r>
      <w:r w:rsidRPr="0026684F">
        <w:rPr>
          <w:rFonts w:hint="cs"/>
          <w:i/>
          <w:sz w:val="23"/>
          <w:szCs w:val="23"/>
          <w:rtl/>
        </w:rPr>
        <w:t>ی کالاها و خدمات عمومی است. بسیاری از دولت</w:t>
      </w:r>
      <w:r w:rsidRPr="0026684F">
        <w:rPr>
          <w:i/>
          <w:sz w:val="23"/>
          <w:szCs w:val="23"/>
          <w:rtl/>
        </w:rPr>
        <w:softHyphen/>
      </w:r>
      <w:r w:rsidRPr="0026684F">
        <w:rPr>
          <w:rFonts w:hint="cs"/>
          <w:i/>
          <w:sz w:val="23"/>
          <w:szCs w:val="23"/>
          <w:rtl/>
        </w:rPr>
        <w:t>ها جهت برابری</w:t>
      </w:r>
      <w:r w:rsidRPr="0026684F">
        <w:rPr>
          <w:i/>
          <w:sz w:val="23"/>
          <w:szCs w:val="23"/>
          <w:rtl/>
        </w:rPr>
        <w:softHyphen/>
      </w:r>
      <w:r w:rsidRPr="0026684F">
        <w:rPr>
          <w:rFonts w:hint="cs"/>
          <w:i/>
          <w:sz w:val="23"/>
          <w:szCs w:val="23"/>
          <w:rtl/>
        </w:rPr>
        <w:t>های اقتصادی و اجتماعی و همچنین افزایش رفاه قشر کم درآمد جامعه، نقش انتقال درآمد از گروهی از افراد به گروه دیگر را نیز بر عهده دارند. هزینه</w:t>
      </w:r>
      <w:r w:rsidRPr="0026684F">
        <w:rPr>
          <w:i/>
          <w:sz w:val="23"/>
          <w:szCs w:val="23"/>
          <w:rtl/>
        </w:rPr>
        <w:softHyphen/>
      </w:r>
      <w:r w:rsidRPr="0026684F">
        <w:rPr>
          <w:rFonts w:hint="cs"/>
          <w:i/>
          <w:sz w:val="23"/>
          <w:szCs w:val="23"/>
          <w:rtl/>
        </w:rPr>
        <w:t>های دولت از طریق مالیات، استقراض از مردم با انتشار اوراق قرضه</w:t>
      </w:r>
      <w:r w:rsidRPr="0026684F">
        <w:rPr>
          <w:i/>
          <w:sz w:val="23"/>
          <w:szCs w:val="23"/>
          <w:rtl/>
        </w:rPr>
        <w:softHyphen/>
      </w:r>
      <w:r w:rsidRPr="0026684F">
        <w:rPr>
          <w:rFonts w:hint="cs"/>
          <w:i/>
          <w:sz w:val="23"/>
          <w:szCs w:val="23"/>
          <w:rtl/>
        </w:rPr>
        <w:t xml:space="preserve"> و یا چاپ پول با استقراض از بانک مرکزی تأمین اعتبار می</w:t>
      </w:r>
      <w:r w:rsidRPr="0026684F">
        <w:rPr>
          <w:i/>
          <w:sz w:val="23"/>
          <w:szCs w:val="23"/>
          <w:rtl/>
        </w:rPr>
        <w:softHyphen/>
      </w:r>
      <w:r w:rsidRPr="0026684F">
        <w:rPr>
          <w:rFonts w:hint="cs"/>
          <w:i/>
          <w:sz w:val="23"/>
          <w:szCs w:val="23"/>
          <w:rtl/>
        </w:rPr>
        <w:t>شود. درواقع هر سه روش تأمین مالی هزینه</w:t>
      </w:r>
      <w:r w:rsidRPr="0026684F">
        <w:rPr>
          <w:i/>
          <w:sz w:val="23"/>
          <w:szCs w:val="23"/>
          <w:rtl/>
        </w:rPr>
        <w:softHyphen/>
      </w:r>
      <w:r w:rsidRPr="0026684F">
        <w:rPr>
          <w:rFonts w:hint="cs"/>
          <w:i/>
          <w:sz w:val="23"/>
          <w:szCs w:val="23"/>
          <w:rtl/>
        </w:rPr>
        <w:t>های دولت نوعی روش مالیاتی است. استقراض نوعی مالیات مدت</w:t>
      </w:r>
      <w:r w:rsidRPr="0026684F">
        <w:rPr>
          <w:i/>
          <w:sz w:val="23"/>
          <w:szCs w:val="23"/>
          <w:rtl/>
        </w:rPr>
        <w:softHyphen/>
      </w:r>
      <w:r w:rsidRPr="0026684F">
        <w:rPr>
          <w:rFonts w:hint="cs"/>
          <w:i/>
          <w:sz w:val="23"/>
          <w:szCs w:val="23"/>
          <w:rtl/>
        </w:rPr>
        <w:t>دار است زیرا نه تنها اصل مقدار استقراض بلکه نرخ بهره</w:t>
      </w:r>
      <w:r w:rsidRPr="0026684F">
        <w:rPr>
          <w:i/>
          <w:sz w:val="23"/>
          <w:szCs w:val="23"/>
          <w:rtl/>
        </w:rPr>
        <w:softHyphen/>
      </w:r>
      <w:r w:rsidRPr="0026684F">
        <w:rPr>
          <w:rFonts w:hint="cs"/>
          <w:i/>
          <w:sz w:val="23"/>
          <w:szCs w:val="23"/>
          <w:rtl/>
        </w:rPr>
        <w:t>ی آن نیز باید در آینده بازپرداخت شود. چاپ پول نیز تورم زاست و در واقع نوعی مالیات است که از طریق کاهش قدرت خرید واقعیِ پول اسمی بر نگه</w:t>
      </w:r>
      <w:r w:rsidRPr="0026684F">
        <w:rPr>
          <w:i/>
          <w:sz w:val="23"/>
          <w:szCs w:val="23"/>
          <w:rtl/>
        </w:rPr>
        <w:softHyphen/>
      </w:r>
      <w:r w:rsidRPr="0026684F">
        <w:rPr>
          <w:rFonts w:hint="cs"/>
          <w:i/>
          <w:sz w:val="23"/>
          <w:szCs w:val="23"/>
          <w:rtl/>
        </w:rPr>
        <w:t>دارندگان پول تحمیل می</w:t>
      </w:r>
      <w:r w:rsidRPr="0026684F">
        <w:rPr>
          <w:i/>
          <w:sz w:val="23"/>
          <w:szCs w:val="23"/>
          <w:rtl/>
        </w:rPr>
        <w:softHyphen/>
      </w:r>
      <w:r w:rsidRPr="0026684F">
        <w:rPr>
          <w:rFonts w:hint="cs"/>
          <w:i/>
          <w:sz w:val="23"/>
          <w:szCs w:val="23"/>
          <w:rtl/>
        </w:rPr>
        <w:t xml:space="preserve">شود. </w:t>
      </w:r>
    </w:p>
    <w:p w14:paraId="3991A6D5" w14:textId="77777777" w:rsidR="00411620" w:rsidRPr="0026684F" w:rsidRDefault="00411620" w:rsidP="00411620">
      <w:pPr>
        <w:spacing w:line="216" w:lineRule="auto"/>
        <w:rPr>
          <w:i/>
          <w:sz w:val="23"/>
          <w:szCs w:val="23"/>
          <w:rtl/>
        </w:rPr>
      </w:pPr>
      <w:r w:rsidRPr="0026684F">
        <w:rPr>
          <w:rFonts w:hint="cs"/>
          <w:i/>
          <w:sz w:val="23"/>
          <w:szCs w:val="23"/>
          <w:rtl/>
        </w:rPr>
        <w:t>صرف نظر از اهداف برابری</w:t>
      </w:r>
      <w:r w:rsidRPr="0026684F">
        <w:rPr>
          <w:i/>
          <w:sz w:val="23"/>
          <w:szCs w:val="23"/>
          <w:rtl/>
        </w:rPr>
        <w:softHyphen/>
      </w:r>
      <w:r w:rsidRPr="0026684F">
        <w:rPr>
          <w:rFonts w:hint="cs"/>
          <w:i/>
          <w:sz w:val="23"/>
          <w:szCs w:val="23"/>
          <w:rtl/>
        </w:rPr>
        <w:t>های اقتصادی و اجتماعی دولت</w:t>
      </w:r>
      <w:r w:rsidRPr="0026684F">
        <w:rPr>
          <w:i/>
          <w:sz w:val="23"/>
          <w:szCs w:val="23"/>
          <w:rtl/>
        </w:rPr>
        <w:softHyphen/>
      </w:r>
      <w:r w:rsidRPr="0026684F">
        <w:rPr>
          <w:rFonts w:hint="cs"/>
          <w:i/>
          <w:sz w:val="23"/>
          <w:szCs w:val="23"/>
          <w:rtl/>
        </w:rPr>
        <w:t>ها، سئوال اساسی این است که چرا دولت</w:t>
      </w:r>
      <w:r w:rsidRPr="0026684F">
        <w:rPr>
          <w:i/>
          <w:sz w:val="23"/>
          <w:szCs w:val="23"/>
          <w:rtl/>
        </w:rPr>
        <w:softHyphen/>
      </w:r>
      <w:r w:rsidRPr="0026684F">
        <w:rPr>
          <w:rFonts w:hint="cs"/>
          <w:i/>
          <w:sz w:val="23"/>
          <w:szCs w:val="23"/>
          <w:rtl/>
        </w:rPr>
        <w:t>ها بجای بخش خصوصی کالاها و خدمات را تهیه می</w:t>
      </w:r>
      <w:r w:rsidRPr="0026684F">
        <w:rPr>
          <w:i/>
          <w:sz w:val="23"/>
          <w:szCs w:val="23"/>
          <w:rtl/>
        </w:rPr>
        <w:softHyphen/>
      </w:r>
      <w:r w:rsidRPr="0026684F">
        <w:rPr>
          <w:rFonts w:hint="cs"/>
          <w:i/>
          <w:sz w:val="23"/>
          <w:szCs w:val="23"/>
          <w:rtl/>
        </w:rPr>
        <w:t>کنند؟ چه نوع کالاها و خدماتی باید توسط دولت</w:t>
      </w:r>
      <w:r w:rsidRPr="0026684F">
        <w:rPr>
          <w:i/>
          <w:sz w:val="23"/>
          <w:szCs w:val="23"/>
          <w:rtl/>
        </w:rPr>
        <w:softHyphen/>
      </w:r>
      <w:r w:rsidRPr="0026684F">
        <w:rPr>
          <w:rFonts w:hint="cs"/>
          <w:i/>
          <w:sz w:val="23"/>
          <w:szCs w:val="23"/>
          <w:rtl/>
        </w:rPr>
        <w:t xml:space="preserve"> برای بخش خصوصی، و چه نوع کالاها و خدماتی باید توسط خودِ بخش خصوصی تهیه </w:t>
      </w:r>
      <w:r w:rsidRPr="0026684F">
        <w:rPr>
          <w:i/>
          <w:sz w:val="23"/>
          <w:szCs w:val="23"/>
          <w:rtl/>
        </w:rPr>
        <w:softHyphen/>
      </w:r>
      <w:r w:rsidRPr="0026684F">
        <w:rPr>
          <w:rFonts w:hint="cs"/>
          <w:i/>
          <w:sz w:val="23"/>
          <w:szCs w:val="23"/>
          <w:rtl/>
        </w:rPr>
        <w:t>شوند؟ از آنجا که بدهی دولت می</w:t>
      </w:r>
      <w:r w:rsidRPr="0026684F">
        <w:rPr>
          <w:i/>
          <w:sz w:val="23"/>
          <w:szCs w:val="23"/>
          <w:rtl/>
        </w:rPr>
        <w:softHyphen/>
      </w:r>
      <w:r w:rsidRPr="0026684F">
        <w:rPr>
          <w:rFonts w:hint="cs"/>
          <w:i/>
          <w:sz w:val="23"/>
          <w:szCs w:val="23"/>
          <w:rtl/>
        </w:rPr>
        <w:t>بایست در آینده بازپرداخت شود لذا استقراض دولت در زمان حال، از طریق مالیات بر نسل فردا بازپرداخت خواهد شد. بنابراین استقراض با بازپرداخت طولانی مدت، منجر به انتقال درآمد بین</w:t>
      </w:r>
      <w:r w:rsidRPr="0026684F">
        <w:rPr>
          <w:i/>
          <w:sz w:val="23"/>
          <w:szCs w:val="23"/>
          <w:rtl/>
        </w:rPr>
        <w:softHyphen/>
      </w:r>
      <w:r w:rsidRPr="0026684F">
        <w:rPr>
          <w:rFonts w:hint="cs"/>
          <w:i/>
          <w:sz w:val="23"/>
          <w:szCs w:val="23"/>
          <w:rtl/>
        </w:rPr>
        <w:t>نسلی می</w:t>
      </w:r>
      <w:r w:rsidRPr="0026684F">
        <w:rPr>
          <w:i/>
          <w:sz w:val="23"/>
          <w:szCs w:val="23"/>
          <w:rtl/>
        </w:rPr>
        <w:softHyphen/>
      </w:r>
      <w:r w:rsidRPr="0026684F">
        <w:rPr>
          <w:rFonts w:hint="cs"/>
          <w:i/>
          <w:sz w:val="23"/>
          <w:szCs w:val="23"/>
          <w:rtl/>
        </w:rPr>
        <w:t>شود. در چه شرایطی تأمین مالی مخارج کنونی دولت از طریق بدهی (یا مالیات از نسل بعدی) بجای مالیات جاری توجیه می</w:t>
      </w:r>
      <w:r w:rsidRPr="0026684F">
        <w:rPr>
          <w:i/>
          <w:sz w:val="23"/>
          <w:szCs w:val="23"/>
          <w:rtl/>
        </w:rPr>
        <w:softHyphen/>
      </w:r>
      <w:r w:rsidRPr="0026684F">
        <w:rPr>
          <w:rFonts w:hint="cs"/>
          <w:i/>
          <w:sz w:val="23"/>
          <w:szCs w:val="23"/>
          <w:rtl/>
        </w:rPr>
        <w:t>شود؟</w:t>
      </w:r>
    </w:p>
    <w:p w14:paraId="23BA1C70" w14:textId="77777777" w:rsidR="00411620" w:rsidRPr="0026684F" w:rsidRDefault="00411620" w:rsidP="00411620">
      <w:pPr>
        <w:spacing w:line="216" w:lineRule="auto"/>
        <w:rPr>
          <w:i/>
          <w:sz w:val="23"/>
          <w:szCs w:val="23"/>
          <w:rtl/>
        </w:rPr>
      </w:pPr>
      <w:r w:rsidRPr="0026684F">
        <w:rPr>
          <w:rFonts w:hint="cs"/>
          <w:i/>
          <w:sz w:val="23"/>
          <w:szCs w:val="23"/>
          <w:rtl/>
        </w:rPr>
        <w:lastRenderedPageBreak/>
        <w:t>کالاهای عمومی محض</w:t>
      </w:r>
      <w:r w:rsidRPr="0026684F">
        <w:rPr>
          <w:rStyle w:val="FootnoteReference"/>
          <w:rFonts w:eastAsiaTheme="majorEastAsia"/>
          <w:i/>
          <w:sz w:val="23"/>
          <w:szCs w:val="23"/>
          <w:rtl/>
        </w:rPr>
        <w:footnoteReference w:id="136"/>
      </w:r>
      <w:r w:rsidRPr="0026684F">
        <w:rPr>
          <w:rFonts w:hint="cs"/>
          <w:i/>
          <w:sz w:val="23"/>
          <w:szCs w:val="23"/>
          <w:rtl/>
        </w:rPr>
        <w:t xml:space="preserve"> همانند خدمات قضایی، دفاع، پلیس، جاده و حفاظت از محیط زیست</w:t>
      </w:r>
      <w:r w:rsidRPr="0026684F">
        <w:rPr>
          <w:i/>
          <w:sz w:val="23"/>
          <w:szCs w:val="23"/>
        </w:rPr>
        <w:t xml:space="preserve"> </w:t>
      </w:r>
      <w:r w:rsidRPr="0026684F">
        <w:rPr>
          <w:rFonts w:hint="cs"/>
          <w:i/>
          <w:sz w:val="23"/>
          <w:szCs w:val="23"/>
          <w:rtl/>
        </w:rPr>
        <w:t>کالاهایی هستند که مصرف آن</w:t>
      </w:r>
      <w:r w:rsidRPr="0026684F">
        <w:rPr>
          <w:i/>
          <w:sz w:val="23"/>
          <w:szCs w:val="23"/>
          <w:rtl/>
        </w:rPr>
        <w:softHyphen/>
      </w:r>
      <w:r w:rsidRPr="0026684F">
        <w:rPr>
          <w:rFonts w:hint="cs"/>
          <w:i/>
          <w:sz w:val="23"/>
          <w:szCs w:val="23"/>
          <w:rtl/>
        </w:rPr>
        <w:t xml:space="preserve"> کالاها توسط یک نفر، مانع مصرف دیگران از همان کالاها نمی</w:t>
      </w:r>
      <w:r w:rsidRPr="0026684F">
        <w:rPr>
          <w:i/>
          <w:sz w:val="23"/>
          <w:szCs w:val="23"/>
          <w:rtl/>
        </w:rPr>
        <w:softHyphen/>
      </w:r>
      <w:r w:rsidRPr="0026684F">
        <w:rPr>
          <w:rFonts w:hint="cs"/>
          <w:i/>
          <w:sz w:val="23"/>
          <w:szCs w:val="23"/>
          <w:rtl/>
        </w:rPr>
        <w:t>شود. چه کسی باید کالاهای عمومی محض را ایجاد کند، بخش خصوصی یا دولت؟ از آنجا که تهیه و تدارک کالاهای عمومی توسط یکنفر به منزله</w:t>
      </w:r>
      <w:r w:rsidRPr="0026684F">
        <w:rPr>
          <w:i/>
          <w:sz w:val="23"/>
          <w:szCs w:val="23"/>
          <w:rtl/>
        </w:rPr>
        <w:softHyphen/>
      </w:r>
      <w:r w:rsidRPr="0026684F">
        <w:rPr>
          <w:rFonts w:hint="cs"/>
          <w:i/>
          <w:sz w:val="23"/>
          <w:szCs w:val="23"/>
          <w:rtl/>
        </w:rPr>
        <w:t>ی تهیه</w:t>
      </w:r>
      <w:r w:rsidRPr="0026684F">
        <w:rPr>
          <w:i/>
          <w:sz w:val="23"/>
          <w:szCs w:val="23"/>
          <w:rtl/>
        </w:rPr>
        <w:softHyphen/>
      </w:r>
      <w:r w:rsidRPr="0026684F">
        <w:rPr>
          <w:rFonts w:hint="cs"/>
          <w:i/>
          <w:sz w:val="23"/>
          <w:szCs w:val="23"/>
          <w:rtl/>
        </w:rPr>
        <w:t>ی آن کالا برای همه است، و تهیه</w:t>
      </w:r>
      <w:r w:rsidRPr="0026684F">
        <w:rPr>
          <w:i/>
          <w:sz w:val="23"/>
          <w:szCs w:val="23"/>
          <w:rtl/>
        </w:rPr>
        <w:softHyphen/>
      </w:r>
      <w:r w:rsidRPr="0026684F">
        <w:rPr>
          <w:rFonts w:hint="cs"/>
          <w:i/>
          <w:sz w:val="23"/>
          <w:szCs w:val="23"/>
          <w:rtl/>
        </w:rPr>
        <w:t>ی این کالاها هزینه</w:t>
      </w:r>
      <w:r w:rsidRPr="0026684F">
        <w:rPr>
          <w:i/>
          <w:sz w:val="23"/>
          <w:szCs w:val="23"/>
          <w:rtl/>
        </w:rPr>
        <w:softHyphen/>
      </w:r>
      <w:r w:rsidRPr="0026684F">
        <w:rPr>
          <w:rFonts w:hint="cs"/>
          <w:i/>
          <w:sz w:val="23"/>
          <w:szCs w:val="23"/>
          <w:rtl/>
        </w:rPr>
        <w:t>بر است، بنابراین تقریباً هیچ انگیزه</w:t>
      </w:r>
      <w:r w:rsidRPr="0026684F">
        <w:rPr>
          <w:i/>
          <w:sz w:val="23"/>
          <w:szCs w:val="23"/>
          <w:rtl/>
        </w:rPr>
        <w:softHyphen/>
      </w:r>
      <w:r w:rsidRPr="0026684F">
        <w:rPr>
          <w:rFonts w:hint="cs"/>
          <w:i/>
          <w:sz w:val="23"/>
          <w:szCs w:val="23"/>
          <w:rtl/>
        </w:rPr>
        <w:t>ای برای افراد وجود نخواهد داشت تا هزینه</w:t>
      </w:r>
      <w:r w:rsidRPr="0026684F">
        <w:rPr>
          <w:i/>
          <w:sz w:val="23"/>
          <w:szCs w:val="23"/>
          <w:rtl/>
        </w:rPr>
        <w:softHyphen/>
      </w:r>
      <w:r w:rsidRPr="0026684F">
        <w:rPr>
          <w:rFonts w:hint="cs"/>
          <w:i/>
          <w:sz w:val="23"/>
          <w:szCs w:val="23"/>
          <w:rtl/>
        </w:rPr>
        <w:t>ی تهیه</w:t>
      </w:r>
      <w:r w:rsidRPr="0026684F">
        <w:rPr>
          <w:i/>
          <w:sz w:val="23"/>
          <w:szCs w:val="23"/>
          <w:rtl/>
        </w:rPr>
        <w:softHyphen/>
      </w:r>
      <w:r w:rsidRPr="0026684F">
        <w:rPr>
          <w:rFonts w:hint="cs"/>
          <w:i/>
          <w:sz w:val="23"/>
          <w:szCs w:val="23"/>
          <w:rtl/>
        </w:rPr>
        <w:t>ی آن کالاها را برای همگان تقبل کنند. در نتیجه عدم تهیه</w:t>
      </w:r>
      <w:r w:rsidRPr="0026684F">
        <w:rPr>
          <w:i/>
          <w:sz w:val="23"/>
          <w:szCs w:val="23"/>
          <w:rtl/>
        </w:rPr>
        <w:softHyphen/>
      </w:r>
      <w:r w:rsidRPr="0026684F">
        <w:rPr>
          <w:rFonts w:hint="cs"/>
          <w:i/>
          <w:sz w:val="23"/>
          <w:szCs w:val="23"/>
          <w:rtl/>
        </w:rPr>
        <w:t>ی کالاهای عمومی توسط افراد باعث کاهش عرضه</w:t>
      </w:r>
      <w:r w:rsidRPr="0026684F">
        <w:rPr>
          <w:i/>
          <w:sz w:val="23"/>
          <w:szCs w:val="23"/>
          <w:rtl/>
        </w:rPr>
        <w:softHyphen/>
      </w:r>
      <w:r w:rsidRPr="0026684F">
        <w:rPr>
          <w:rFonts w:hint="cs"/>
          <w:i/>
          <w:sz w:val="23"/>
          <w:szCs w:val="23"/>
          <w:rtl/>
        </w:rPr>
        <w:t>ی چشمگیر آن در اقتصاد می</w:t>
      </w:r>
      <w:r w:rsidRPr="0026684F">
        <w:rPr>
          <w:i/>
          <w:sz w:val="23"/>
          <w:szCs w:val="23"/>
          <w:rtl/>
        </w:rPr>
        <w:softHyphen/>
      </w:r>
      <w:r w:rsidRPr="0026684F">
        <w:rPr>
          <w:rFonts w:hint="cs"/>
          <w:i/>
          <w:sz w:val="23"/>
          <w:szCs w:val="23"/>
          <w:rtl/>
        </w:rPr>
        <w:t>شود. یکی از دلایل مهم ورود دولت در اقتصاد تهیه</w:t>
      </w:r>
      <w:r w:rsidRPr="0026684F">
        <w:rPr>
          <w:i/>
          <w:sz w:val="23"/>
          <w:szCs w:val="23"/>
          <w:rtl/>
        </w:rPr>
        <w:softHyphen/>
      </w:r>
      <w:r w:rsidRPr="0026684F">
        <w:rPr>
          <w:rFonts w:hint="cs"/>
          <w:i/>
          <w:sz w:val="23"/>
          <w:szCs w:val="23"/>
          <w:rtl/>
        </w:rPr>
        <w:t xml:space="preserve">ی این نوع کالاهاست که جهت حداکثر کردن رفاه جامعه ضروری است. </w:t>
      </w:r>
    </w:p>
    <w:p w14:paraId="35E1AD1C" w14:textId="77777777" w:rsidR="00411620" w:rsidRPr="0026684F" w:rsidRDefault="00411620" w:rsidP="00411620">
      <w:pPr>
        <w:spacing w:line="216" w:lineRule="auto"/>
        <w:rPr>
          <w:i/>
          <w:sz w:val="23"/>
          <w:szCs w:val="23"/>
          <w:rtl/>
        </w:rPr>
      </w:pPr>
      <w:r w:rsidRPr="0026684F">
        <w:rPr>
          <w:rFonts w:hint="cs"/>
          <w:i/>
          <w:sz w:val="23"/>
          <w:szCs w:val="23"/>
          <w:rtl/>
        </w:rPr>
        <w:t>در واقع نقش احزاب سیاسی قادر ساختن افراد جهت آشکار</w:t>
      </w:r>
      <w:r w:rsidRPr="0026684F">
        <w:rPr>
          <w:i/>
          <w:sz w:val="23"/>
          <w:szCs w:val="23"/>
          <w:rtl/>
        </w:rPr>
        <w:softHyphen/>
      </w:r>
      <w:r w:rsidRPr="0026684F">
        <w:rPr>
          <w:rFonts w:hint="cs"/>
          <w:i/>
          <w:sz w:val="23"/>
          <w:szCs w:val="23"/>
          <w:rtl/>
        </w:rPr>
        <w:t>سازی ترجیحات آن</w:t>
      </w:r>
      <w:r w:rsidRPr="0026684F">
        <w:rPr>
          <w:i/>
          <w:sz w:val="23"/>
          <w:szCs w:val="23"/>
          <w:rtl/>
        </w:rPr>
        <w:softHyphen/>
      </w:r>
      <w:r w:rsidRPr="0026684F">
        <w:rPr>
          <w:rFonts w:hint="cs"/>
          <w:i/>
          <w:sz w:val="23"/>
          <w:szCs w:val="23"/>
          <w:rtl/>
        </w:rPr>
        <w:t>ها در خصوص نیاز آن</w:t>
      </w:r>
      <w:r w:rsidRPr="0026684F">
        <w:rPr>
          <w:i/>
          <w:sz w:val="23"/>
          <w:szCs w:val="23"/>
          <w:rtl/>
        </w:rPr>
        <w:softHyphen/>
      </w:r>
      <w:r w:rsidRPr="0026684F">
        <w:rPr>
          <w:rFonts w:hint="cs"/>
          <w:i/>
          <w:sz w:val="23"/>
          <w:szCs w:val="23"/>
          <w:rtl/>
        </w:rPr>
        <w:t>ها به انواع و مقدار کالاهای عمومی است. آنگاه دولت</w:t>
      </w:r>
      <w:r w:rsidRPr="0026684F">
        <w:rPr>
          <w:i/>
          <w:sz w:val="23"/>
          <w:szCs w:val="23"/>
          <w:rtl/>
        </w:rPr>
        <w:softHyphen/>
      </w:r>
      <w:r w:rsidRPr="0026684F">
        <w:rPr>
          <w:rFonts w:hint="cs"/>
          <w:i/>
          <w:sz w:val="23"/>
          <w:szCs w:val="23"/>
          <w:rtl/>
        </w:rPr>
        <w:t>ها این نیازمندی</w:t>
      </w:r>
      <w:r w:rsidRPr="0026684F">
        <w:rPr>
          <w:i/>
          <w:sz w:val="23"/>
          <w:szCs w:val="23"/>
          <w:rtl/>
        </w:rPr>
        <w:softHyphen/>
      </w:r>
      <w:r w:rsidRPr="0026684F">
        <w:rPr>
          <w:rFonts w:hint="cs"/>
          <w:i/>
          <w:sz w:val="23"/>
          <w:szCs w:val="23"/>
          <w:rtl/>
        </w:rPr>
        <w:t>ها را تهیه و تدارک دیده و هزینه</w:t>
      </w:r>
      <w:r w:rsidRPr="0026684F">
        <w:rPr>
          <w:i/>
          <w:sz w:val="23"/>
          <w:szCs w:val="23"/>
          <w:rtl/>
        </w:rPr>
        <w:softHyphen/>
      </w:r>
      <w:r w:rsidRPr="0026684F">
        <w:rPr>
          <w:rFonts w:hint="cs"/>
          <w:i/>
          <w:sz w:val="23"/>
          <w:szCs w:val="23"/>
          <w:rtl/>
        </w:rPr>
        <w:t>ی آنرا بین خانوار تقسیم می</w:t>
      </w:r>
      <w:r w:rsidRPr="0026684F">
        <w:rPr>
          <w:i/>
          <w:sz w:val="23"/>
          <w:szCs w:val="23"/>
          <w:rtl/>
        </w:rPr>
        <w:softHyphen/>
      </w:r>
      <w:r w:rsidRPr="0026684F">
        <w:rPr>
          <w:rFonts w:hint="cs"/>
          <w:i/>
          <w:sz w:val="23"/>
          <w:szCs w:val="23"/>
          <w:rtl/>
        </w:rPr>
        <w:t>کنند. نحوه</w:t>
      </w:r>
      <w:r w:rsidRPr="0026684F">
        <w:rPr>
          <w:i/>
          <w:sz w:val="23"/>
          <w:szCs w:val="23"/>
          <w:rtl/>
        </w:rPr>
        <w:softHyphen/>
      </w:r>
      <w:r w:rsidRPr="0026684F">
        <w:rPr>
          <w:rFonts w:hint="cs"/>
          <w:i/>
          <w:sz w:val="23"/>
          <w:szCs w:val="23"/>
          <w:rtl/>
        </w:rPr>
        <w:t>ی تقسیم این</w:t>
      </w:r>
      <w:r w:rsidRPr="0026684F">
        <w:rPr>
          <w:i/>
          <w:sz w:val="23"/>
          <w:szCs w:val="23"/>
          <w:rtl/>
        </w:rPr>
        <w:softHyphen/>
      </w:r>
      <w:r w:rsidRPr="0026684F">
        <w:rPr>
          <w:rFonts w:hint="cs"/>
          <w:i/>
          <w:sz w:val="23"/>
          <w:szCs w:val="23"/>
          <w:rtl/>
        </w:rPr>
        <w:t>گونه از هزینه</w:t>
      </w:r>
      <w:r w:rsidRPr="0026684F">
        <w:rPr>
          <w:i/>
          <w:sz w:val="23"/>
          <w:szCs w:val="23"/>
          <w:rtl/>
        </w:rPr>
        <w:softHyphen/>
      </w:r>
      <w:r w:rsidRPr="0026684F">
        <w:rPr>
          <w:rFonts w:hint="cs"/>
          <w:i/>
          <w:sz w:val="23"/>
          <w:szCs w:val="23"/>
          <w:rtl/>
        </w:rPr>
        <w:t>ها نیز به روش تأمین مالی وابسته است. بسیاری از کشورها کالاها و خدماتی همانند تحصیلات، بهداشت و درمان و شبکه</w:t>
      </w:r>
      <w:r w:rsidRPr="0026684F">
        <w:rPr>
          <w:i/>
          <w:sz w:val="23"/>
          <w:szCs w:val="23"/>
          <w:rtl/>
        </w:rPr>
        <w:softHyphen/>
      </w:r>
      <w:r w:rsidRPr="0026684F">
        <w:rPr>
          <w:rFonts w:hint="cs"/>
          <w:i/>
          <w:sz w:val="23"/>
          <w:szCs w:val="23"/>
          <w:rtl/>
        </w:rPr>
        <w:t>های حمل و نقل را تهیه می</w:t>
      </w:r>
      <w:r w:rsidRPr="0026684F">
        <w:rPr>
          <w:i/>
          <w:sz w:val="23"/>
          <w:szCs w:val="23"/>
          <w:rtl/>
        </w:rPr>
        <w:softHyphen/>
      </w:r>
      <w:r w:rsidRPr="0026684F">
        <w:rPr>
          <w:rFonts w:hint="cs"/>
          <w:i/>
          <w:sz w:val="23"/>
          <w:szCs w:val="23"/>
          <w:rtl/>
        </w:rPr>
        <w:t>کنند که از انواع کالاهای عمومی محض نیست. این نوع هزینه</w:t>
      </w:r>
      <w:r w:rsidRPr="0026684F">
        <w:rPr>
          <w:i/>
          <w:sz w:val="23"/>
          <w:szCs w:val="23"/>
          <w:rtl/>
        </w:rPr>
        <w:softHyphen/>
      </w:r>
      <w:r w:rsidRPr="0026684F">
        <w:rPr>
          <w:rFonts w:hint="cs"/>
          <w:i/>
          <w:sz w:val="23"/>
          <w:szCs w:val="23"/>
          <w:rtl/>
        </w:rPr>
        <w:t>ها معمولاً بدلیل تساوی حقوق، عدالت و کارایی حاصل از صرفه</w:t>
      </w:r>
      <w:r w:rsidRPr="0026684F">
        <w:rPr>
          <w:i/>
          <w:sz w:val="23"/>
          <w:szCs w:val="23"/>
          <w:rtl/>
        </w:rPr>
        <w:softHyphen/>
      </w:r>
      <w:r w:rsidRPr="0026684F">
        <w:rPr>
          <w:rFonts w:hint="cs"/>
          <w:i/>
          <w:sz w:val="23"/>
          <w:szCs w:val="23"/>
          <w:rtl/>
        </w:rPr>
        <w:t>جویی</w:t>
      </w:r>
      <w:r w:rsidRPr="0026684F">
        <w:rPr>
          <w:i/>
          <w:sz w:val="23"/>
          <w:szCs w:val="23"/>
          <w:rtl/>
        </w:rPr>
        <w:softHyphen/>
      </w:r>
      <w:r w:rsidRPr="0026684F">
        <w:rPr>
          <w:rFonts w:hint="cs"/>
          <w:i/>
          <w:sz w:val="23"/>
          <w:szCs w:val="23"/>
          <w:rtl/>
        </w:rPr>
        <w:t xml:space="preserve"> مقیاس انجام می</w:t>
      </w:r>
      <w:r w:rsidRPr="0026684F">
        <w:rPr>
          <w:i/>
          <w:sz w:val="23"/>
          <w:szCs w:val="23"/>
          <w:rtl/>
        </w:rPr>
        <w:softHyphen/>
      </w:r>
      <w:r w:rsidRPr="0026684F">
        <w:rPr>
          <w:rFonts w:hint="cs"/>
          <w:i/>
          <w:sz w:val="23"/>
          <w:szCs w:val="23"/>
          <w:rtl/>
        </w:rPr>
        <w:t>شود.</w:t>
      </w:r>
    </w:p>
    <w:p w14:paraId="2DBADC65" w14:textId="77777777" w:rsidR="00411620" w:rsidRPr="0026684F" w:rsidRDefault="00411620" w:rsidP="00411620">
      <w:pPr>
        <w:spacing w:line="216" w:lineRule="auto"/>
        <w:rPr>
          <w:i/>
          <w:sz w:val="23"/>
          <w:szCs w:val="23"/>
          <w:rtl/>
        </w:rPr>
      </w:pPr>
      <w:r w:rsidRPr="0026684F">
        <w:rPr>
          <w:rFonts w:hint="cs"/>
          <w:i/>
          <w:sz w:val="23"/>
          <w:szCs w:val="23"/>
          <w:rtl/>
        </w:rPr>
        <w:t>از طرفی دیگر، درآمدهای دولت معمولاً از طریق مالیات</w:t>
      </w:r>
      <w:r w:rsidRPr="0026684F">
        <w:rPr>
          <w:i/>
          <w:sz w:val="23"/>
          <w:szCs w:val="23"/>
          <w:rtl/>
        </w:rPr>
        <w:softHyphen/>
      </w:r>
      <w:r w:rsidRPr="0026684F">
        <w:rPr>
          <w:rFonts w:hint="cs"/>
          <w:i/>
          <w:sz w:val="23"/>
          <w:szCs w:val="23"/>
          <w:rtl/>
        </w:rPr>
        <w:t>ها تأمین می</w:t>
      </w:r>
      <w:r w:rsidRPr="0026684F">
        <w:rPr>
          <w:i/>
          <w:sz w:val="23"/>
          <w:szCs w:val="23"/>
          <w:rtl/>
        </w:rPr>
        <w:softHyphen/>
      </w:r>
      <w:r w:rsidRPr="0026684F">
        <w:rPr>
          <w:rFonts w:hint="cs"/>
          <w:i/>
          <w:sz w:val="23"/>
          <w:szCs w:val="23"/>
          <w:rtl/>
        </w:rPr>
        <w:t>شوند. مالیات</w:t>
      </w:r>
      <w:r w:rsidRPr="0026684F">
        <w:rPr>
          <w:i/>
          <w:sz w:val="23"/>
          <w:szCs w:val="23"/>
          <w:rtl/>
        </w:rPr>
        <w:softHyphen/>
      </w:r>
      <w:r w:rsidRPr="0026684F">
        <w:rPr>
          <w:rFonts w:hint="cs"/>
          <w:i/>
          <w:sz w:val="23"/>
          <w:szCs w:val="23"/>
          <w:rtl/>
        </w:rPr>
        <w:t>ها ممکن است مالیات مستقیم بر درآمد و مخارج، مالیات برای تأمین اجتماعی و مالیات بر شرکت</w:t>
      </w:r>
      <w:r w:rsidRPr="0026684F">
        <w:rPr>
          <w:i/>
          <w:sz w:val="23"/>
          <w:szCs w:val="23"/>
          <w:rtl/>
        </w:rPr>
        <w:softHyphen/>
      </w:r>
      <w:r w:rsidRPr="0026684F">
        <w:rPr>
          <w:rFonts w:hint="cs"/>
          <w:i/>
          <w:sz w:val="23"/>
          <w:szCs w:val="23"/>
          <w:rtl/>
        </w:rPr>
        <w:t>ها باشد. در بسیاری از کشورهای توسعه</w:t>
      </w:r>
      <w:r w:rsidRPr="0026684F">
        <w:rPr>
          <w:i/>
          <w:sz w:val="23"/>
          <w:szCs w:val="23"/>
          <w:rtl/>
        </w:rPr>
        <w:softHyphen/>
      </w:r>
      <w:r w:rsidRPr="0026684F">
        <w:rPr>
          <w:rFonts w:hint="cs"/>
          <w:i/>
          <w:sz w:val="23"/>
          <w:szCs w:val="23"/>
          <w:rtl/>
        </w:rPr>
        <w:t>یافته، مالیات</w:t>
      </w:r>
      <w:r w:rsidRPr="0026684F">
        <w:rPr>
          <w:i/>
          <w:sz w:val="23"/>
          <w:szCs w:val="23"/>
          <w:rtl/>
        </w:rPr>
        <w:softHyphen/>
      </w:r>
      <w:r w:rsidRPr="0026684F">
        <w:rPr>
          <w:rFonts w:hint="cs"/>
          <w:i/>
          <w:sz w:val="23"/>
          <w:szCs w:val="23"/>
          <w:rtl/>
        </w:rPr>
        <w:t>های مستقیم و مالیات</w:t>
      </w:r>
      <w:r w:rsidRPr="0026684F">
        <w:rPr>
          <w:i/>
          <w:sz w:val="23"/>
          <w:szCs w:val="23"/>
          <w:rtl/>
        </w:rPr>
        <w:softHyphen/>
      </w:r>
      <w:r w:rsidRPr="0026684F">
        <w:rPr>
          <w:rFonts w:hint="cs"/>
          <w:i/>
          <w:sz w:val="23"/>
          <w:szCs w:val="23"/>
          <w:rtl/>
        </w:rPr>
        <w:t>های برای تأمین اجتماعی که در واقع مالیات بر درآمد است حدود ۶۰ درصد، مالیات بر مصرف حدود ۲۵ درصد و مالیات بر شرکت</w:t>
      </w:r>
      <w:r w:rsidRPr="0026684F">
        <w:rPr>
          <w:i/>
          <w:sz w:val="23"/>
          <w:szCs w:val="23"/>
          <w:rtl/>
        </w:rPr>
        <w:softHyphen/>
      </w:r>
      <w:r w:rsidRPr="0026684F">
        <w:rPr>
          <w:rFonts w:hint="cs"/>
          <w:i/>
          <w:sz w:val="23"/>
          <w:szCs w:val="23"/>
          <w:rtl/>
        </w:rPr>
        <w:t>ها حدود ۱۰ درصد از کل درآمد مالیاتی را تشکیل می</w:t>
      </w:r>
      <w:r w:rsidRPr="0026684F">
        <w:rPr>
          <w:i/>
          <w:sz w:val="23"/>
          <w:szCs w:val="23"/>
          <w:rtl/>
        </w:rPr>
        <w:softHyphen/>
      </w:r>
      <w:r w:rsidRPr="0026684F">
        <w:rPr>
          <w:rFonts w:hint="cs"/>
          <w:i/>
          <w:sz w:val="23"/>
          <w:szCs w:val="23"/>
          <w:rtl/>
        </w:rPr>
        <w:t>دهد. همان</w:t>
      </w:r>
      <w:r w:rsidRPr="0026684F">
        <w:rPr>
          <w:i/>
          <w:sz w:val="23"/>
          <w:szCs w:val="23"/>
          <w:rtl/>
        </w:rPr>
        <w:softHyphen/>
      </w:r>
      <w:r w:rsidRPr="0026684F">
        <w:rPr>
          <w:rFonts w:hint="cs"/>
          <w:i/>
          <w:sz w:val="23"/>
          <w:szCs w:val="23"/>
          <w:rtl/>
        </w:rPr>
        <w:t>طور که قبلاً توضیح داده شد درآمد</w:t>
      </w:r>
      <w:r w:rsidRPr="0026684F">
        <w:rPr>
          <w:i/>
          <w:sz w:val="23"/>
          <w:szCs w:val="23"/>
          <w:rtl/>
        </w:rPr>
        <w:softHyphen/>
      </w:r>
      <w:r w:rsidRPr="0026684F">
        <w:rPr>
          <w:rFonts w:hint="cs"/>
          <w:i/>
          <w:sz w:val="23"/>
          <w:szCs w:val="23"/>
          <w:rtl/>
        </w:rPr>
        <w:t>های دولت نیز ممکن است از طریق استقراض از مردم بوسیله</w:t>
      </w:r>
      <w:r w:rsidRPr="0026684F">
        <w:rPr>
          <w:i/>
          <w:sz w:val="23"/>
          <w:szCs w:val="23"/>
          <w:rtl/>
        </w:rPr>
        <w:softHyphen/>
      </w:r>
      <w:r w:rsidRPr="0026684F">
        <w:rPr>
          <w:rFonts w:hint="cs"/>
          <w:i/>
          <w:sz w:val="23"/>
          <w:szCs w:val="23"/>
          <w:rtl/>
        </w:rPr>
        <w:t>ی انتشار اوراق قرضه، و یا استقراض از بانک مرکزی با انتشار پول افزایش یابد.</w:t>
      </w:r>
    </w:p>
    <w:p w14:paraId="74A5E4A2" w14:textId="77777777" w:rsidR="00411620" w:rsidRPr="0026684F" w:rsidRDefault="00411620" w:rsidP="00411620">
      <w:pPr>
        <w:spacing w:line="216" w:lineRule="auto"/>
        <w:rPr>
          <w:i/>
          <w:sz w:val="23"/>
          <w:szCs w:val="23"/>
          <w:rtl/>
        </w:rPr>
      </w:pPr>
      <w:r w:rsidRPr="0026684F">
        <w:rPr>
          <w:rFonts w:hint="cs"/>
          <w:i/>
          <w:sz w:val="23"/>
          <w:szCs w:val="23"/>
          <w:rtl/>
        </w:rPr>
        <w:t xml:space="preserve"> در اقتصاد کلانِ بدون پایه</w:t>
      </w:r>
      <w:r w:rsidRPr="0026684F">
        <w:rPr>
          <w:i/>
          <w:sz w:val="23"/>
          <w:szCs w:val="23"/>
          <w:rtl/>
        </w:rPr>
        <w:softHyphen/>
      </w:r>
      <w:r w:rsidRPr="0026684F">
        <w:rPr>
          <w:rFonts w:hint="cs"/>
          <w:i/>
          <w:sz w:val="23"/>
          <w:szCs w:val="23"/>
          <w:rtl/>
        </w:rPr>
        <w:t>های خرد، همانند اقتصاد کلانِ کینزین، متداول است که هزینه</w:t>
      </w:r>
      <w:r w:rsidRPr="0026684F">
        <w:rPr>
          <w:i/>
          <w:sz w:val="23"/>
          <w:szCs w:val="23"/>
          <w:rtl/>
        </w:rPr>
        <w:softHyphen/>
      </w:r>
      <w:r w:rsidRPr="0026684F">
        <w:rPr>
          <w:rFonts w:hint="cs"/>
          <w:i/>
          <w:sz w:val="23"/>
          <w:szCs w:val="23"/>
          <w:rtl/>
        </w:rPr>
        <w:t>های دولت را فاقد منافع رفاهی تلقی نمود (یعنی خرید کالاها و خدمات و دور ریختن آن</w:t>
      </w:r>
      <w:r w:rsidRPr="0026684F">
        <w:rPr>
          <w:i/>
          <w:sz w:val="23"/>
          <w:szCs w:val="23"/>
          <w:rtl/>
        </w:rPr>
        <w:softHyphen/>
      </w:r>
      <w:r w:rsidRPr="0026684F">
        <w:rPr>
          <w:rFonts w:hint="cs"/>
          <w:i/>
          <w:sz w:val="23"/>
          <w:szCs w:val="23"/>
          <w:rtl/>
        </w:rPr>
        <w:t>ها و یا به تعبیر کینز آتش زدن آن</w:t>
      </w:r>
      <w:r w:rsidRPr="0026684F">
        <w:rPr>
          <w:i/>
          <w:sz w:val="23"/>
          <w:szCs w:val="23"/>
          <w:rtl/>
        </w:rPr>
        <w:softHyphen/>
      </w:r>
      <w:r w:rsidRPr="0026684F">
        <w:rPr>
          <w:rFonts w:hint="cs"/>
          <w:i/>
          <w:sz w:val="23"/>
          <w:szCs w:val="23"/>
          <w:rtl/>
        </w:rPr>
        <w:t>ها). این تلقی از افزایش مخارج دولت، فرمول</w:t>
      </w:r>
      <w:r w:rsidRPr="0026684F">
        <w:rPr>
          <w:i/>
          <w:sz w:val="23"/>
          <w:szCs w:val="23"/>
          <w:rtl/>
        </w:rPr>
        <w:softHyphen/>
      </w:r>
      <w:r w:rsidRPr="0026684F">
        <w:rPr>
          <w:rFonts w:hint="cs"/>
          <w:i/>
          <w:sz w:val="23"/>
          <w:szCs w:val="23"/>
          <w:rtl/>
        </w:rPr>
        <w:t>بندی رضایت</w:t>
      </w:r>
      <w:r w:rsidRPr="0026684F">
        <w:rPr>
          <w:i/>
          <w:sz w:val="23"/>
          <w:szCs w:val="23"/>
          <w:rtl/>
        </w:rPr>
        <w:softHyphen/>
      </w:r>
      <w:r w:rsidRPr="0026684F">
        <w:rPr>
          <w:rFonts w:hint="cs"/>
          <w:i/>
          <w:sz w:val="23"/>
          <w:szCs w:val="23"/>
          <w:rtl/>
        </w:rPr>
        <w:t>بخشی از سیاست مالی نیست. بنابراین در این فصل جهت تجزیه و تحلیل اثر مخارج دولت بر اقتصاد، مخارج دولت در تابع مطلوبیت خانوار قرار گرفته و بر اساس آن سطح بهینه</w:t>
      </w:r>
      <w:r w:rsidRPr="0026684F">
        <w:rPr>
          <w:i/>
          <w:sz w:val="23"/>
          <w:szCs w:val="23"/>
          <w:rtl/>
        </w:rPr>
        <w:softHyphen/>
      </w:r>
      <w:r w:rsidRPr="0026684F">
        <w:rPr>
          <w:rFonts w:hint="cs"/>
          <w:i/>
          <w:sz w:val="23"/>
          <w:szCs w:val="23"/>
          <w:rtl/>
        </w:rPr>
        <w:t xml:space="preserve">ی مخارج دولت بدست خواهد آمد. همچنین سیاست مالیات بهینه، بدهی بهینه و پایداری کسری مالی یا وضعیت مالی دولت نیز مورد بررسی قرار خواهد گرفت. </w:t>
      </w:r>
    </w:p>
    <w:p w14:paraId="1B4101CE" w14:textId="77777777" w:rsidR="00411620" w:rsidRPr="0026684F" w:rsidRDefault="00411620" w:rsidP="00411620">
      <w:pPr>
        <w:spacing w:line="216" w:lineRule="auto"/>
        <w:rPr>
          <w:i/>
          <w:sz w:val="23"/>
          <w:szCs w:val="23"/>
          <w:rtl/>
        </w:rPr>
      </w:pPr>
      <w:r w:rsidRPr="0026684F">
        <w:rPr>
          <w:rFonts w:hint="cs"/>
          <w:i/>
          <w:sz w:val="23"/>
          <w:szCs w:val="23"/>
          <w:rtl/>
        </w:rPr>
        <w:t xml:space="preserve"> </w:t>
      </w:r>
    </w:p>
    <w:p w14:paraId="27EF057E" w14:textId="77777777" w:rsidR="00411620" w:rsidRPr="0026684F" w:rsidRDefault="00411620" w:rsidP="00411620">
      <w:pPr>
        <w:pStyle w:val="Heading1"/>
        <w:spacing w:before="0" w:after="0" w:line="216" w:lineRule="auto"/>
        <w:rPr>
          <w:rFonts w:ascii="Times New Roman" w:hAnsi="Times New Roman" w:cs="B Nazanin"/>
          <w:b w:val="0"/>
          <w:i/>
          <w:sz w:val="23"/>
          <w:szCs w:val="23"/>
        </w:rPr>
      </w:pPr>
      <w:r w:rsidRPr="0026684F">
        <w:rPr>
          <w:rFonts w:ascii="Times New Roman" w:hAnsi="Times New Roman" w:cs="B Nazanin" w:hint="cs"/>
          <w:b w:val="0"/>
          <w:i/>
          <w:sz w:val="23"/>
          <w:szCs w:val="23"/>
          <w:rtl/>
        </w:rPr>
        <w:t>۵. ۲ قید بودجه</w:t>
      </w:r>
      <w:r w:rsidRPr="0026684F">
        <w:rPr>
          <w:rFonts w:ascii="Times New Roman" w:hAnsi="Times New Roman" w:cs="B Nazanin"/>
          <w:b w:val="0"/>
          <w:i/>
          <w:sz w:val="23"/>
          <w:szCs w:val="23"/>
          <w:rtl/>
        </w:rPr>
        <w:softHyphen/>
      </w:r>
      <w:r w:rsidRPr="0026684F">
        <w:rPr>
          <w:rFonts w:ascii="Times New Roman" w:hAnsi="Times New Roman" w:cs="B Nazanin" w:hint="cs"/>
          <w:b w:val="0"/>
          <w:i/>
          <w:sz w:val="23"/>
          <w:szCs w:val="23"/>
          <w:rtl/>
        </w:rPr>
        <w:t>ی دولت</w:t>
      </w:r>
    </w:p>
    <w:p w14:paraId="17B27B75" w14:textId="77777777" w:rsidR="00411620" w:rsidRPr="0026684F" w:rsidRDefault="00411620" w:rsidP="00411620">
      <w:pPr>
        <w:spacing w:line="216" w:lineRule="auto"/>
        <w:rPr>
          <w:i/>
          <w:sz w:val="23"/>
          <w:szCs w:val="23"/>
          <w:rtl/>
        </w:rPr>
      </w:pPr>
      <w:r w:rsidRPr="0026684F">
        <w:rPr>
          <w:rFonts w:hint="cs"/>
          <w:i/>
          <w:sz w:val="23"/>
          <w:szCs w:val="23"/>
          <w:rtl/>
        </w:rPr>
        <w:t>قید بودجه</w:t>
      </w:r>
      <w:r w:rsidRPr="0026684F">
        <w:rPr>
          <w:i/>
          <w:sz w:val="23"/>
          <w:szCs w:val="23"/>
          <w:rtl/>
        </w:rPr>
        <w:softHyphen/>
      </w:r>
      <w:r w:rsidRPr="0026684F">
        <w:rPr>
          <w:rFonts w:hint="cs"/>
          <w:i/>
          <w:sz w:val="23"/>
          <w:szCs w:val="23"/>
          <w:rtl/>
        </w:rPr>
        <w:t>ی اسمی دولت عبارت است از</w:t>
      </w:r>
    </w:p>
    <w:p w14:paraId="3536F253" w14:textId="77777777" w:rsidR="00411620" w:rsidRPr="0026684F" w:rsidRDefault="00411620" w:rsidP="00411620">
      <w:pPr>
        <w:bidi w:val="0"/>
        <w:spacing w:line="216" w:lineRule="auto"/>
        <w:rPr>
          <w:rFonts w:eastAsiaTheme="minorEastAsia"/>
          <w:i/>
          <w:sz w:val="23"/>
          <w:szCs w:val="23"/>
        </w:rPr>
      </w:pPr>
      <w:r w:rsidRPr="00703635">
        <w:rPr>
          <w:position w:val="-10"/>
        </w:rPr>
        <w:object w:dxaOrig="3580" w:dyaOrig="340" w14:anchorId="4184B5BE">
          <v:shape id="_x0000_i2549" type="#_x0000_t75" style="width:178.5pt;height:16.95pt" o:ole="">
            <v:imagedata r:id="rId3085" o:title=""/>
          </v:shape>
          <o:OLEObject Type="Embed" ProgID="Equation.DSMT4" ShapeID="_x0000_i2549" DrawAspect="Content" ObjectID="_1791376493" r:id="rId3086"/>
        </w:object>
      </w:r>
      <w:r w:rsidRPr="0026684F">
        <w:rPr>
          <w:rFonts w:eastAsiaTheme="minorEastAsia" w:hint="cs"/>
          <w:i/>
          <w:sz w:val="23"/>
          <w:szCs w:val="23"/>
        </w:rPr>
        <w:t xml:space="preserve"> </w:t>
      </w:r>
      <w:r w:rsidRPr="0026684F">
        <w:rPr>
          <w:rFonts w:eastAsiaTheme="minorEastAsia"/>
          <w:i/>
          <w:sz w:val="23"/>
          <w:szCs w:val="23"/>
          <w:rtl/>
        </w:rPr>
        <w:tab/>
      </w:r>
      <w:r w:rsidRPr="0026684F">
        <w:rPr>
          <w:rFonts w:eastAsiaTheme="minorEastAsia"/>
          <w:i/>
          <w:sz w:val="23"/>
          <w:szCs w:val="23"/>
        </w:rPr>
        <w:tab/>
      </w:r>
      <w:r w:rsidRPr="0026684F">
        <w:rPr>
          <w:rFonts w:eastAsiaTheme="minorEastAsia"/>
          <w:i/>
          <w:sz w:val="23"/>
          <w:szCs w:val="23"/>
        </w:rPr>
        <w:tab/>
      </w:r>
      <w:r>
        <w:rPr>
          <w:rFonts w:eastAsiaTheme="minorEastAsia"/>
          <w:i/>
          <w:sz w:val="23"/>
          <w:szCs w:val="23"/>
          <w:rtl/>
        </w:rPr>
        <w:tab/>
      </w:r>
      <w:r>
        <w:rPr>
          <w:rFonts w:eastAsiaTheme="minorEastAsia"/>
          <w:i/>
          <w:sz w:val="23"/>
          <w:szCs w:val="23"/>
          <w:rtl/>
        </w:rPr>
        <w:tab/>
      </w:r>
      <w:r>
        <w:rPr>
          <w:rFonts w:eastAsiaTheme="minorEastAsia"/>
          <w:i/>
          <w:sz w:val="23"/>
          <w:szCs w:val="23"/>
          <w:rtl/>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Pr>
        <w:tab/>
      </w:r>
      <w:r w:rsidRPr="0026684F">
        <w:rPr>
          <w:rFonts w:eastAsiaTheme="minorEastAsia" w:hint="cs"/>
          <w:i/>
          <w:sz w:val="23"/>
          <w:szCs w:val="23"/>
          <w:rtl/>
        </w:rPr>
        <w:t>(۵. ۱)</w:t>
      </w:r>
    </w:p>
    <w:p w14:paraId="17FB242F" w14:textId="77777777" w:rsidR="00411620" w:rsidRPr="0026684F" w:rsidRDefault="00411620" w:rsidP="00411620">
      <w:pPr>
        <w:spacing w:line="216" w:lineRule="auto"/>
        <w:rPr>
          <w:i/>
          <w:sz w:val="23"/>
          <w:szCs w:val="23"/>
          <w:rtl/>
        </w:rPr>
      </w:pPr>
      <w:r w:rsidRPr="0026684F">
        <w:rPr>
          <w:rFonts w:eastAsiaTheme="minorEastAsia"/>
          <w:i/>
          <w:sz w:val="23"/>
          <w:szCs w:val="23"/>
          <w:rtl/>
        </w:rPr>
        <w:t xml:space="preserve"> </w:t>
      </w:r>
      <w:r w:rsidRPr="0026684F">
        <w:rPr>
          <w:rFonts w:hint="cs"/>
          <w:i/>
          <w:sz w:val="23"/>
          <w:szCs w:val="23"/>
          <w:rtl/>
        </w:rPr>
        <w:t>که در آن</w:t>
      </w:r>
      <w:r w:rsidRPr="00703635">
        <w:rPr>
          <w:position w:val="-10"/>
        </w:rPr>
        <w:object w:dxaOrig="240" w:dyaOrig="320" w14:anchorId="1B3D0AA6">
          <v:shape id="_x0000_i2550" type="#_x0000_t75" style="width:12.1pt;height:15.75pt" o:ole="">
            <v:imagedata r:id="rId3087" o:title=""/>
          </v:shape>
          <o:OLEObject Type="Embed" ProgID="Equation.DSMT4" ShapeID="_x0000_i2550" DrawAspect="Content" ObjectID="_1791376494" r:id="rId3088"/>
        </w:object>
      </w:r>
      <w:r w:rsidRPr="0026684F">
        <w:rPr>
          <w:rFonts w:hint="cs"/>
          <w:i/>
          <w:sz w:val="23"/>
          <w:szCs w:val="23"/>
          <w:rtl/>
        </w:rPr>
        <w:t>سطح عمومی قیمت ها،</w:t>
      </w:r>
      <w:r w:rsidRPr="00703635">
        <w:rPr>
          <w:position w:val="-10"/>
        </w:rPr>
        <w:object w:dxaOrig="260" w:dyaOrig="320" w14:anchorId="0FCE46DE">
          <v:shape id="_x0000_i2551" type="#_x0000_t75" style="width:12.7pt;height:15.75pt" o:ole="">
            <v:imagedata r:id="rId3089" o:title=""/>
          </v:shape>
          <o:OLEObject Type="Embed" ProgID="Equation.DSMT4" ShapeID="_x0000_i2551" DrawAspect="Content" ObjectID="_1791376495" r:id="rId3090"/>
        </w:object>
      </w:r>
      <w:r w:rsidRPr="0026684F">
        <w:rPr>
          <w:rFonts w:hint="cs"/>
          <w:i/>
          <w:sz w:val="23"/>
          <w:szCs w:val="23"/>
          <w:rtl/>
        </w:rPr>
        <w:t xml:space="preserve"> مخارج حقیقی دولت،</w:t>
      </w:r>
      <w:r w:rsidRPr="00703635">
        <w:rPr>
          <w:position w:val="-10"/>
        </w:rPr>
        <w:object w:dxaOrig="240" w:dyaOrig="320" w14:anchorId="77816DD7">
          <v:shape id="_x0000_i2552" type="#_x0000_t75" style="width:12.1pt;height:15.75pt" o:ole="">
            <v:imagedata r:id="rId3091" o:title=""/>
          </v:shape>
          <o:OLEObject Type="Embed" ProgID="Equation.DSMT4" ShapeID="_x0000_i2552" DrawAspect="Content" ObjectID="_1791376496" r:id="rId3092"/>
        </w:object>
      </w:r>
      <w:r w:rsidRPr="0026684F">
        <w:rPr>
          <w:rFonts w:hint="cs"/>
          <w:i/>
          <w:sz w:val="23"/>
          <w:szCs w:val="23"/>
          <w:rtl/>
        </w:rPr>
        <w:t xml:space="preserve"> پرداخت‌های انتقالی حقیقی به خانوار،</w:t>
      </w:r>
      <w:r w:rsidRPr="00703635">
        <w:rPr>
          <w:position w:val="-10"/>
        </w:rPr>
        <w:object w:dxaOrig="340" w:dyaOrig="340" w14:anchorId="3B5FBDFA">
          <v:shape id="_x0000_i2553" type="#_x0000_t75" style="width:16.95pt;height:16.95pt" o:ole="">
            <v:imagedata r:id="rId3093" o:title=""/>
          </v:shape>
          <o:OLEObject Type="Embed" ProgID="Equation.DSMT4" ShapeID="_x0000_i2553" DrawAspect="Content" ObjectID="_1791376497" r:id="rId3094"/>
        </w:object>
      </w:r>
      <w:r w:rsidRPr="0026684F">
        <w:rPr>
          <w:rFonts w:hint="cs"/>
          <w:i/>
          <w:sz w:val="23"/>
          <w:szCs w:val="23"/>
          <w:rtl/>
        </w:rPr>
        <w:t xml:space="preserve"> اوراق قرضه دولتی یا ارزش سررسید بدهی‌‌های اسمی دولت در زمان </w:t>
      </w:r>
      <w:r w:rsidRPr="00703635">
        <w:rPr>
          <w:position w:val="-6"/>
        </w:rPr>
        <w:object w:dxaOrig="420" w:dyaOrig="260" w14:anchorId="6307F6CF">
          <v:shape id="_x0000_i2554" type="#_x0000_t75" style="width:21.2pt;height:12.7pt" o:ole="">
            <v:imagedata r:id="rId3095" o:title=""/>
          </v:shape>
          <o:OLEObject Type="Embed" ProgID="Equation.DSMT4" ShapeID="_x0000_i2554" DrawAspect="Content" ObjectID="_1791376498" r:id="rId3096"/>
        </w:object>
      </w:r>
      <w:r w:rsidRPr="0026684F">
        <w:rPr>
          <w:rFonts w:hint="cs"/>
          <w:i/>
          <w:sz w:val="23"/>
          <w:szCs w:val="23"/>
          <w:rtl/>
        </w:rPr>
        <w:t xml:space="preserve"> که توسط خانوار نگهداری شده است،</w:t>
      </w:r>
      <w:r w:rsidRPr="00703635">
        <w:rPr>
          <w:position w:val="-10"/>
        </w:rPr>
        <w:object w:dxaOrig="340" w:dyaOrig="320" w14:anchorId="43945EFB">
          <v:shape id="_x0000_i2555" type="#_x0000_t75" style="width:16.95pt;height:15.75pt" o:ole="">
            <v:imagedata r:id="rId3097" o:title=""/>
          </v:shape>
          <o:OLEObject Type="Embed" ProgID="Equation.DSMT4" ShapeID="_x0000_i2555" DrawAspect="Content" ObjectID="_1791376499" r:id="rId3098"/>
        </w:object>
      </w:r>
      <w:r w:rsidRPr="0026684F">
        <w:rPr>
          <w:rFonts w:hint="cs"/>
          <w:i/>
          <w:sz w:val="23"/>
          <w:szCs w:val="23"/>
          <w:rtl/>
        </w:rPr>
        <w:t xml:space="preserve"> پایه</w:t>
      </w:r>
      <w:r w:rsidRPr="0026684F">
        <w:rPr>
          <w:i/>
          <w:sz w:val="23"/>
          <w:szCs w:val="23"/>
          <w:rtl/>
        </w:rPr>
        <w:softHyphen/>
      </w:r>
      <w:r w:rsidRPr="0026684F">
        <w:rPr>
          <w:rFonts w:hint="cs"/>
          <w:i/>
          <w:sz w:val="23"/>
          <w:szCs w:val="23"/>
          <w:rtl/>
        </w:rPr>
        <w:t>ی پولی،</w:t>
      </w:r>
      <w:r w:rsidRPr="00703635">
        <w:rPr>
          <w:position w:val="-10"/>
        </w:rPr>
        <w:object w:dxaOrig="240" w:dyaOrig="320" w14:anchorId="2E0C9FB9">
          <v:shape id="_x0000_i2556" type="#_x0000_t75" style="width:12.1pt;height:15.75pt" o:ole="">
            <v:imagedata r:id="rId3099" o:title=""/>
          </v:shape>
          <o:OLEObject Type="Embed" ProgID="Equation.DSMT4" ShapeID="_x0000_i2556" DrawAspect="Content" ObjectID="_1791376500" r:id="rId3100"/>
        </w:object>
      </w:r>
      <w:r w:rsidRPr="0026684F">
        <w:rPr>
          <w:rFonts w:hint="cs"/>
          <w:i/>
          <w:sz w:val="23"/>
          <w:szCs w:val="23"/>
          <w:rtl/>
        </w:rPr>
        <w:t xml:space="preserve"> کل مالیات حقیقی است.</w:t>
      </w:r>
      <w:r w:rsidRPr="00703635">
        <w:rPr>
          <w:position w:val="-10"/>
        </w:rPr>
        <w:object w:dxaOrig="340" w:dyaOrig="340" w14:anchorId="35583C32">
          <v:shape id="_x0000_i2557" type="#_x0000_t75" style="width:16.95pt;height:16.95pt" o:ole="">
            <v:imagedata r:id="rId3101" o:title=""/>
          </v:shape>
          <o:OLEObject Type="Embed" ProgID="Equation.DSMT4" ShapeID="_x0000_i2557" DrawAspect="Content" ObjectID="_1791376501" r:id="rId3102"/>
        </w:object>
      </w:r>
      <w:r w:rsidRPr="0026684F">
        <w:rPr>
          <w:rFonts w:hint="cs"/>
          <w:i/>
          <w:sz w:val="23"/>
          <w:szCs w:val="23"/>
          <w:rtl/>
        </w:rPr>
        <w:t xml:space="preserve"> نیز قیمت اوراق قرضه است و برابر است با</w:t>
      </w:r>
    </w:p>
    <w:p w14:paraId="18A7E43C" w14:textId="77777777" w:rsidR="00411620" w:rsidRPr="0026684F" w:rsidRDefault="00411620" w:rsidP="00411620">
      <w:pPr>
        <w:spacing w:line="216" w:lineRule="auto"/>
        <w:jc w:val="right"/>
        <w:rPr>
          <w:i/>
          <w:sz w:val="23"/>
          <w:szCs w:val="23"/>
          <w:rtl/>
        </w:rPr>
      </w:pPr>
      <w:r w:rsidRPr="00703635">
        <w:rPr>
          <w:position w:val="-28"/>
        </w:rPr>
        <w:object w:dxaOrig="1100" w:dyaOrig="620" w14:anchorId="150A28A7">
          <v:shape id="_x0000_i2558" type="#_x0000_t75" style="width:55.05pt;height:30.85pt" o:ole="">
            <v:imagedata r:id="rId3103" o:title=""/>
          </v:shape>
          <o:OLEObject Type="Embed" ProgID="Equation.DSMT4" ShapeID="_x0000_i2558" DrawAspect="Content" ObjectID="_1791376502" r:id="rId3104"/>
        </w:object>
      </w:r>
      <w:r w:rsidRPr="0026684F">
        <w:rPr>
          <w:rFonts w:hint="cs"/>
          <w:i/>
          <w:sz w:val="23"/>
          <w:szCs w:val="23"/>
          <w:rtl/>
        </w:rPr>
        <w:t xml:space="preserve"> </w:t>
      </w:r>
    </w:p>
    <w:p w14:paraId="7BEB9E5F" w14:textId="77777777" w:rsidR="00411620" w:rsidRPr="0026684F" w:rsidRDefault="00411620" w:rsidP="00411620">
      <w:pPr>
        <w:spacing w:line="216" w:lineRule="auto"/>
        <w:rPr>
          <w:i/>
          <w:sz w:val="23"/>
          <w:szCs w:val="23"/>
          <w:rtl/>
        </w:rPr>
      </w:pPr>
      <w:r w:rsidRPr="0026684F">
        <w:rPr>
          <w:rFonts w:eastAsiaTheme="minorEastAsia" w:hint="cs"/>
          <w:i/>
          <w:sz w:val="23"/>
          <w:szCs w:val="23"/>
          <w:rtl/>
        </w:rPr>
        <w:t>دررابطه</w:t>
      </w:r>
      <w:r w:rsidRPr="0026684F">
        <w:rPr>
          <w:rFonts w:eastAsiaTheme="minorEastAsia"/>
          <w:i/>
          <w:sz w:val="23"/>
          <w:szCs w:val="23"/>
          <w:rtl/>
        </w:rPr>
        <w:softHyphen/>
      </w:r>
      <w:r w:rsidRPr="0026684F">
        <w:rPr>
          <w:rFonts w:eastAsiaTheme="minorEastAsia" w:hint="cs"/>
          <w:i/>
          <w:sz w:val="23"/>
          <w:szCs w:val="23"/>
          <w:rtl/>
        </w:rPr>
        <w:t>ی فوق</w:t>
      </w:r>
      <w:r w:rsidRPr="00703635">
        <w:rPr>
          <w:position w:val="-10"/>
        </w:rPr>
        <w:object w:dxaOrig="279" w:dyaOrig="320" w14:anchorId="41C64404">
          <v:shape id="_x0000_i2559" type="#_x0000_t75" style="width:13.9pt;height:15.75pt" o:ole="">
            <v:imagedata r:id="rId3105" o:title=""/>
          </v:shape>
          <o:OLEObject Type="Embed" ProgID="Equation.DSMT4" ShapeID="_x0000_i2559" DrawAspect="Content" ObjectID="_1791376503" r:id="rId3106"/>
        </w:object>
      </w:r>
      <w:r w:rsidRPr="0026684F">
        <w:rPr>
          <w:rFonts w:eastAsiaTheme="minorEastAsia" w:hint="cs"/>
          <w:i/>
          <w:sz w:val="23"/>
          <w:szCs w:val="23"/>
          <w:rtl/>
        </w:rPr>
        <w:t xml:space="preserve"> </w:t>
      </w:r>
      <w:r w:rsidRPr="0026684F">
        <w:rPr>
          <w:rFonts w:hint="cs"/>
          <w:i/>
          <w:sz w:val="23"/>
          <w:szCs w:val="23"/>
          <w:rtl/>
        </w:rPr>
        <w:t>نرخ تنزیل پول یا نرخ بهره</w:t>
      </w:r>
      <w:r w:rsidRPr="0026684F">
        <w:rPr>
          <w:i/>
          <w:sz w:val="23"/>
          <w:szCs w:val="23"/>
          <w:rtl/>
        </w:rPr>
        <w:softHyphen/>
      </w:r>
      <w:r w:rsidRPr="0026684F">
        <w:rPr>
          <w:rFonts w:hint="cs"/>
          <w:i/>
          <w:sz w:val="23"/>
          <w:szCs w:val="23"/>
          <w:rtl/>
        </w:rPr>
        <w:t>ی بدهی دولت در زمان</w:t>
      </w:r>
      <w:r w:rsidRPr="00703635">
        <w:rPr>
          <w:position w:val="-6"/>
        </w:rPr>
        <w:object w:dxaOrig="139" w:dyaOrig="240" w14:anchorId="6E2C33E1">
          <v:shape id="_x0000_i2560" type="#_x0000_t75" style="width:7.25pt;height:12.1pt" o:ole="">
            <v:imagedata r:id="rId3107" o:title=""/>
          </v:shape>
          <o:OLEObject Type="Embed" ProgID="Equation.DSMT4" ShapeID="_x0000_i2560" DrawAspect="Content" ObjectID="_1791376504" r:id="rId3108"/>
        </w:object>
      </w:r>
      <w:r w:rsidRPr="0026684F">
        <w:rPr>
          <w:rFonts w:hint="cs"/>
          <w:i/>
          <w:sz w:val="23"/>
          <w:szCs w:val="23"/>
          <w:rtl/>
        </w:rPr>
        <w:t xml:space="preserve"> است که سررسید آن در زمان </w:t>
      </w:r>
      <w:r w:rsidRPr="00703635">
        <w:rPr>
          <w:position w:val="-6"/>
        </w:rPr>
        <w:object w:dxaOrig="440" w:dyaOrig="260" w14:anchorId="30CF2431">
          <v:shape id="_x0000_i2561" type="#_x0000_t75" style="width:21.8pt;height:12.7pt" o:ole="">
            <v:imagedata r:id="rId3109" o:title=""/>
          </v:shape>
          <o:OLEObject Type="Embed" ProgID="Equation.DSMT4" ShapeID="_x0000_i2561" DrawAspect="Content" ObjectID="_1791376505" r:id="rId3110"/>
        </w:object>
      </w:r>
      <w:r w:rsidRPr="0026684F">
        <w:rPr>
          <w:rFonts w:hint="cs"/>
          <w:i/>
          <w:sz w:val="23"/>
          <w:szCs w:val="23"/>
          <w:rtl/>
        </w:rPr>
        <w:t xml:space="preserve"> خواهد بود.</w:t>
      </w:r>
      <w:r w:rsidRPr="00703635">
        <w:rPr>
          <w:position w:val="-10"/>
        </w:rPr>
        <w:object w:dxaOrig="279" w:dyaOrig="320" w14:anchorId="15AC438B">
          <v:shape id="_x0000_i2562" type="#_x0000_t75" style="width:13.9pt;height:15.75pt" o:ole="">
            <v:imagedata r:id="rId3111" o:title=""/>
          </v:shape>
          <o:OLEObject Type="Embed" ProgID="Equation.DSMT4" ShapeID="_x0000_i2562" DrawAspect="Content" ObjectID="_1791376506" r:id="rId3112"/>
        </w:object>
      </w:r>
      <w:r w:rsidRPr="0026684F">
        <w:rPr>
          <w:rFonts w:hint="cs"/>
          <w:i/>
          <w:sz w:val="23"/>
          <w:szCs w:val="23"/>
          <w:rtl/>
        </w:rPr>
        <w:t xml:space="preserve"> </w:t>
      </w:r>
      <w:r w:rsidRPr="0026684F">
        <w:rPr>
          <w:rFonts w:eastAsiaTheme="minorEastAsia" w:hint="cs"/>
          <w:i/>
          <w:sz w:val="23"/>
          <w:szCs w:val="23"/>
          <w:rtl/>
        </w:rPr>
        <w:t>در واقع همان نرخ بازدهی بدون ریسک</w:t>
      </w:r>
      <w:r w:rsidRPr="0026684F">
        <w:rPr>
          <w:rStyle w:val="FootnoteReference"/>
          <w:rFonts w:eastAsiaTheme="minorEastAsia"/>
          <w:i/>
          <w:sz w:val="23"/>
          <w:szCs w:val="23"/>
          <w:rtl/>
        </w:rPr>
        <w:footnoteReference w:id="137"/>
      </w:r>
      <w:r w:rsidRPr="0026684F">
        <w:rPr>
          <w:rFonts w:eastAsiaTheme="minorEastAsia" w:hint="cs"/>
          <w:i/>
          <w:sz w:val="23"/>
          <w:szCs w:val="23"/>
          <w:rtl/>
        </w:rPr>
        <w:t xml:space="preserve"> است. البته دولت ممکن است در هر زمانی اوراق قرضه منتشر کند و سررسید آن در زمان‌‌های مختلف باشد. برای سادگی فرض می</w:t>
      </w:r>
      <w:r w:rsidRPr="0026684F">
        <w:rPr>
          <w:rFonts w:eastAsiaTheme="minorEastAsia"/>
          <w:i/>
          <w:sz w:val="23"/>
          <w:szCs w:val="23"/>
          <w:rtl/>
        </w:rPr>
        <w:softHyphen/>
      </w:r>
      <w:r w:rsidRPr="0026684F">
        <w:rPr>
          <w:rFonts w:eastAsiaTheme="minorEastAsia" w:hint="cs"/>
          <w:i/>
          <w:sz w:val="23"/>
          <w:szCs w:val="23"/>
          <w:rtl/>
        </w:rPr>
        <w:t>شود که اوراق قرضه برای یک دوره منتشر می</w:t>
      </w:r>
      <w:r w:rsidRPr="0026684F">
        <w:rPr>
          <w:rFonts w:eastAsiaTheme="minorEastAsia"/>
          <w:i/>
          <w:sz w:val="23"/>
          <w:szCs w:val="23"/>
          <w:rtl/>
        </w:rPr>
        <w:softHyphen/>
      </w:r>
      <w:r w:rsidRPr="0026684F">
        <w:rPr>
          <w:rFonts w:eastAsiaTheme="minorEastAsia" w:hint="cs"/>
          <w:i/>
          <w:sz w:val="23"/>
          <w:szCs w:val="23"/>
          <w:rtl/>
        </w:rPr>
        <w:t xml:space="preserve">شود. همچنین </w:t>
      </w:r>
      <w:r w:rsidRPr="0026684F">
        <w:rPr>
          <w:rFonts w:hint="cs"/>
          <w:i/>
          <w:sz w:val="23"/>
          <w:szCs w:val="23"/>
          <w:rtl/>
        </w:rPr>
        <w:t>ممکن است به اوراق قرضه در هر دوره</w:t>
      </w:r>
      <w:r w:rsidRPr="0026684F">
        <w:rPr>
          <w:i/>
          <w:sz w:val="23"/>
          <w:szCs w:val="23"/>
          <w:rtl/>
        </w:rPr>
        <w:softHyphen/>
      </w:r>
      <w:r w:rsidRPr="0026684F">
        <w:rPr>
          <w:rFonts w:hint="cs"/>
          <w:i/>
          <w:sz w:val="23"/>
          <w:szCs w:val="23"/>
          <w:rtl/>
        </w:rPr>
        <w:t>ی توافق شده مثلاً هر فصل مبلغ</w:t>
      </w:r>
      <w:r w:rsidRPr="00703635">
        <w:rPr>
          <w:position w:val="-6"/>
        </w:rPr>
        <w:object w:dxaOrig="180" w:dyaOrig="200" w14:anchorId="0CA7F9E0">
          <v:shape id="_x0000_i2563" type="#_x0000_t75" style="width:9.1pt;height:10.3pt" o:ole="">
            <v:imagedata r:id="rId3113" o:title=""/>
          </v:shape>
          <o:OLEObject Type="Embed" ProgID="Equation.DSMT4" ShapeID="_x0000_i2563" DrawAspect="Content" ObjectID="_1791376507" r:id="rId3114"/>
        </w:object>
      </w:r>
      <w:r w:rsidRPr="0026684F">
        <w:rPr>
          <w:rFonts w:hint="cs"/>
          <w:i/>
          <w:sz w:val="23"/>
          <w:szCs w:val="23"/>
          <w:rtl/>
        </w:rPr>
        <w:t xml:space="preserve"> ریال پرداخت شود و قبل از سررسید آن فروخته شود. در این صورت بازدهی اوراق قرضه</w:t>
      </w:r>
      <w:r w:rsidRPr="0026684F">
        <w:rPr>
          <w:i/>
          <w:sz w:val="23"/>
          <w:szCs w:val="23"/>
          <w:rtl/>
        </w:rPr>
        <w:softHyphen/>
      </w:r>
      <w:r w:rsidRPr="0026684F">
        <w:rPr>
          <w:rFonts w:hint="cs"/>
          <w:i/>
          <w:sz w:val="23"/>
          <w:szCs w:val="23"/>
          <w:rtl/>
        </w:rPr>
        <w:t>ی دولتی از فرمول زیر بدست می‌آید:</w:t>
      </w:r>
    </w:p>
    <w:p w14:paraId="192794C8" w14:textId="77777777" w:rsidR="00411620" w:rsidRPr="0026684F" w:rsidRDefault="00411620" w:rsidP="00411620">
      <w:pPr>
        <w:pStyle w:val="MTDisplayEquation"/>
        <w:spacing w:line="216" w:lineRule="auto"/>
        <w:jc w:val="left"/>
        <w:rPr>
          <w:rFonts w:ascii="Times New Roman" w:eastAsiaTheme="minorEastAsia" w:hAnsi="Times New Roman" w:cs="B Nazanin"/>
          <w:i/>
          <w:sz w:val="23"/>
          <w:szCs w:val="23"/>
          <w:rtl/>
        </w:rPr>
      </w:pPr>
      <w:r w:rsidRPr="00703635">
        <w:rPr>
          <w:position w:val="-28"/>
        </w:rPr>
        <w:object w:dxaOrig="1560" w:dyaOrig="660" w14:anchorId="2329B9B4">
          <v:shape id="_x0000_i2564" type="#_x0000_t75" style="width:78.05pt;height:33.3pt" o:ole="">
            <v:imagedata r:id="rId3115" o:title=""/>
          </v:shape>
          <o:OLEObject Type="Embed" ProgID="Equation.DSMT4" ShapeID="_x0000_i2564" DrawAspect="Content" ObjectID="_1791376508" r:id="rId3116"/>
        </w:object>
      </w:r>
    </w:p>
    <w:p w14:paraId="1E837049" w14:textId="77777777" w:rsidR="00411620" w:rsidRPr="0026684F" w:rsidRDefault="00411620" w:rsidP="00411620">
      <w:pPr>
        <w:spacing w:line="216" w:lineRule="auto"/>
        <w:rPr>
          <w:rFonts w:eastAsiaTheme="minorEastAsia"/>
          <w:i/>
          <w:sz w:val="23"/>
          <w:szCs w:val="23"/>
        </w:rPr>
      </w:pPr>
      <w:r w:rsidRPr="0026684F">
        <w:rPr>
          <w:rFonts w:eastAsiaTheme="minorEastAsia" w:hint="cs"/>
          <w:i/>
          <w:sz w:val="23"/>
          <w:szCs w:val="23"/>
          <w:rtl/>
        </w:rPr>
        <w:t>به</w:t>
      </w:r>
      <w:r w:rsidRPr="0026684F">
        <w:rPr>
          <w:rFonts w:eastAsiaTheme="minorEastAsia"/>
          <w:i/>
          <w:sz w:val="23"/>
          <w:szCs w:val="23"/>
          <w:rtl/>
        </w:rPr>
        <w:softHyphen/>
      </w:r>
      <w:r w:rsidRPr="0026684F">
        <w:rPr>
          <w:rFonts w:eastAsiaTheme="minorEastAsia" w:hint="cs"/>
          <w:i/>
          <w:sz w:val="23"/>
          <w:szCs w:val="23"/>
          <w:rtl/>
        </w:rPr>
        <w:t>عنوان مثال اگر فرض کنیم</w:t>
      </w:r>
      <w:r w:rsidRPr="00703635">
        <w:rPr>
          <w:position w:val="-10"/>
        </w:rPr>
        <w:object w:dxaOrig="880" w:dyaOrig="340" w14:anchorId="12C5F221">
          <v:shape id="_x0000_i2565" type="#_x0000_t75" style="width:44.15pt;height:16.95pt" o:ole="">
            <v:imagedata r:id="rId3117" o:title=""/>
          </v:shape>
          <o:OLEObject Type="Embed" ProgID="Equation.DSMT4" ShapeID="_x0000_i2565" DrawAspect="Content" ObjectID="_1791376509" r:id="rId3118"/>
        </w:object>
      </w:r>
      <w:r w:rsidRPr="0026684F">
        <w:rPr>
          <w:rFonts w:eastAsiaTheme="minorEastAsia" w:hint="cs"/>
          <w:i/>
          <w:sz w:val="23"/>
          <w:szCs w:val="23"/>
          <w:rtl/>
        </w:rPr>
        <w:t>،</w:t>
      </w:r>
      <w:r w:rsidRPr="00703635">
        <w:rPr>
          <w:position w:val="-6"/>
        </w:rPr>
        <w:object w:dxaOrig="680" w:dyaOrig="260" w14:anchorId="4EE69742">
          <v:shape id="_x0000_i2566" type="#_x0000_t75" style="width:33.9pt;height:12.7pt" o:ole="">
            <v:imagedata r:id="rId3119" o:title=""/>
          </v:shape>
          <o:OLEObject Type="Embed" ProgID="Equation.DSMT4" ShapeID="_x0000_i2566" DrawAspect="Content" ObjectID="_1791376510" r:id="rId3120"/>
        </w:object>
      </w:r>
      <w:r w:rsidRPr="0026684F">
        <w:rPr>
          <w:rFonts w:eastAsiaTheme="minorEastAsia" w:hint="cs"/>
          <w:i/>
          <w:sz w:val="23"/>
          <w:szCs w:val="23"/>
          <w:rtl/>
        </w:rPr>
        <w:t xml:space="preserve"> و</w:t>
      </w:r>
      <w:r w:rsidRPr="00703635">
        <w:rPr>
          <w:position w:val="-10"/>
        </w:rPr>
        <w:object w:dxaOrig="680" w:dyaOrig="340" w14:anchorId="7F458C73">
          <v:shape id="_x0000_i2567" type="#_x0000_t75" style="width:33.9pt;height:16.95pt" o:ole="">
            <v:imagedata r:id="rId3121" o:title=""/>
          </v:shape>
          <o:OLEObject Type="Embed" ProgID="Equation.DSMT4" ShapeID="_x0000_i2567" DrawAspect="Content" ObjectID="_1791376511" r:id="rId3122"/>
        </w:object>
      </w:r>
      <w:r w:rsidRPr="0026684F">
        <w:rPr>
          <w:rFonts w:eastAsiaTheme="minorEastAsia" w:hint="cs"/>
          <w:i/>
          <w:sz w:val="23"/>
          <w:szCs w:val="23"/>
          <w:rtl/>
        </w:rPr>
        <w:t xml:space="preserve"> باشد، آنگاه</w:t>
      </w:r>
      <w:r w:rsidRPr="00703635">
        <w:rPr>
          <w:position w:val="-10"/>
        </w:rPr>
        <w:object w:dxaOrig="940" w:dyaOrig="340" w14:anchorId="2A2A10F0">
          <v:shape id="_x0000_i2568" type="#_x0000_t75" style="width:47.2pt;height:16.95pt" o:ole="">
            <v:imagedata r:id="rId3123" o:title=""/>
          </v:shape>
          <o:OLEObject Type="Embed" ProgID="Equation.DSMT4" ShapeID="_x0000_i2568" DrawAspect="Content" ObjectID="_1791376512" r:id="rId3124"/>
        </w:object>
      </w:r>
      <w:r w:rsidRPr="0026684F">
        <w:rPr>
          <w:rFonts w:eastAsiaTheme="minorEastAsia" w:hint="cs"/>
          <w:i/>
          <w:sz w:val="23"/>
          <w:szCs w:val="23"/>
          <w:rtl/>
        </w:rPr>
        <w:t xml:space="preserve"> خواهد بود. در واقع از آن</w:t>
      </w:r>
      <w:r w:rsidRPr="0026684F">
        <w:rPr>
          <w:rFonts w:eastAsiaTheme="minorEastAsia"/>
          <w:i/>
          <w:sz w:val="23"/>
          <w:szCs w:val="23"/>
          <w:rtl/>
        </w:rPr>
        <w:softHyphen/>
      </w:r>
      <w:r w:rsidRPr="0026684F">
        <w:rPr>
          <w:rFonts w:eastAsiaTheme="minorEastAsia" w:hint="cs"/>
          <w:i/>
          <w:sz w:val="23"/>
          <w:szCs w:val="23"/>
          <w:rtl/>
        </w:rPr>
        <w:t>جا که</w:t>
      </w:r>
      <w:r w:rsidRPr="00703635">
        <w:rPr>
          <w:position w:val="-10"/>
        </w:rPr>
        <w:object w:dxaOrig="380" w:dyaOrig="340" w14:anchorId="2AD89617">
          <v:shape id="_x0000_i2569" type="#_x0000_t75" style="width:18.75pt;height:16.95pt" o:ole="">
            <v:imagedata r:id="rId3125" o:title=""/>
          </v:shape>
          <o:OLEObject Type="Embed" ProgID="Equation.DSMT4" ShapeID="_x0000_i2569" DrawAspect="Content" ObjectID="_1791376513" r:id="rId3126"/>
        </w:object>
      </w:r>
      <w:r w:rsidRPr="0026684F">
        <w:rPr>
          <w:rFonts w:eastAsiaTheme="minorEastAsia" w:hint="cs"/>
          <w:i/>
          <w:sz w:val="23"/>
          <w:szCs w:val="23"/>
          <w:rtl/>
        </w:rPr>
        <w:t xml:space="preserve"> ناشناخته است، لذا</w:t>
      </w:r>
      <w:r w:rsidRPr="00703635">
        <w:rPr>
          <w:position w:val="-10"/>
        </w:rPr>
        <w:object w:dxaOrig="400" w:dyaOrig="340" w14:anchorId="5202AE18">
          <v:shape id="_x0000_i2570" type="#_x0000_t75" style="width:19.95pt;height:16.95pt" o:ole="">
            <v:imagedata r:id="rId3127" o:title=""/>
          </v:shape>
          <o:OLEObject Type="Embed" ProgID="Equation.DSMT4" ShapeID="_x0000_i2570" DrawAspect="Content" ObjectID="_1791376514" r:id="rId3128"/>
        </w:object>
      </w:r>
      <w:r w:rsidRPr="0026684F">
        <w:rPr>
          <w:rFonts w:eastAsiaTheme="minorEastAsia" w:hint="cs"/>
          <w:i/>
          <w:sz w:val="23"/>
          <w:szCs w:val="23"/>
          <w:rtl/>
        </w:rPr>
        <w:t xml:space="preserve"> بازدهی توام با ریسک می</w:t>
      </w:r>
      <w:r w:rsidRPr="0026684F">
        <w:rPr>
          <w:rFonts w:eastAsiaTheme="minorEastAsia"/>
          <w:i/>
          <w:sz w:val="23"/>
          <w:szCs w:val="23"/>
          <w:rtl/>
        </w:rPr>
        <w:softHyphen/>
      </w:r>
      <w:r w:rsidRPr="0026684F">
        <w:rPr>
          <w:rFonts w:eastAsiaTheme="minorEastAsia" w:hint="cs"/>
          <w:i/>
          <w:sz w:val="23"/>
          <w:szCs w:val="23"/>
          <w:rtl/>
        </w:rPr>
        <w:t>باشد. مبحث قیمت</w:t>
      </w:r>
      <w:r w:rsidRPr="0026684F">
        <w:rPr>
          <w:rFonts w:eastAsiaTheme="minorEastAsia"/>
          <w:i/>
          <w:sz w:val="23"/>
          <w:szCs w:val="23"/>
          <w:rtl/>
        </w:rPr>
        <w:softHyphen/>
      </w:r>
      <w:r w:rsidRPr="0026684F">
        <w:rPr>
          <w:rFonts w:eastAsiaTheme="minorEastAsia" w:hint="cs"/>
          <w:i/>
          <w:sz w:val="23"/>
          <w:szCs w:val="23"/>
          <w:rtl/>
        </w:rPr>
        <w:t>گذاری اوراق قرضه</w:t>
      </w:r>
      <w:r w:rsidRPr="0026684F">
        <w:rPr>
          <w:rFonts w:eastAsiaTheme="minorEastAsia"/>
          <w:i/>
          <w:sz w:val="23"/>
          <w:szCs w:val="23"/>
          <w:rtl/>
        </w:rPr>
        <w:softHyphen/>
      </w:r>
      <w:r w:rsidRPr="0026684F">
        <w:rPr>
          <w:rFonts w:eastAsiaTheme="minorEastAsia" w:hint="cs"/>
          <w:i/>
          <w:sz w:val="23"/>
          <w:szCs w:val="23"/>
          <w:rtl/>
        </w:rPr>
        <w:t>ی دولتی را در فصل یازدهم بررسی خواهیم کرد.</w:t>
      </w:r>
      <w:r w:rsidRPr="0026684F">
        <w:rPr>
          <w:rFonts w:eastAsiaTheme="minorEastAsia"/>
          <w:i/>
          <w:sz w:val="23"/>
          <w:szCs w:val="23"/>
        </w:rPr>
        <w:t xml:space="preserve"> </w:t>
      </w:r>
      <w:r w:rsidRPr="0026684F">
        <w:rPr>
          <w:rFonts w:eastAsiaTheme="minorEastAsia" w:hint="cs"/>
          <w:i/>
          <w:sz w:val="23"/>
          <w:szCs w:val="23"/>
          <w:rtl/>
        </w:rPr>
        <w:t>سمت چپ رابطه</w:t>
      </w:r>
      <w:r w:rsidRPr="0026684F">
        <w:rPr>
          <w:rFonts w:eastAsiaTheme="minorEastAsia"/>
          <w:i/>
          <w:sz w:val="23"/>
          <w:szCs w:val="23"/>
          <w:rtl/>
        </w:rPr>
        <w:softHyphen/>
      </w:r>
      <w:r w:rsidRPr="0026684F">
        <w:rPr>
          <w:rFonts w:eastAsiaTheme="minorEastAsia" w:hint="cs"/>
          <w:i/>
          <w:sz w:val="23"/>
          <w:szCs w:val="23"/>
          <w:rtl/>
        </w:rPr>
        <w:t>ی (۵. ۱) کل مخارج اسمی دولت، و سمت راست آن رابطه، کل درآمد‌های اسمی بعلاوه</w:t>
      </w:r>
      <w:r w:rsidRPr="0026684F">
        <w:rPr>
          <w:rFonts w:eastAsiaTheme="minorEastAsia"/>
          <w:i/>
          <w:sz w:val="23"/>
          <w:szCs w:val="23"/>
          <w:rtl/>
        </w:rPr>
        <w:softHyphen/>
      </w:r>
      <w:r w:rsidRPr="0026684F">
        <w:rPr>
          <w:rFonts w:eastAsiaTheme="minorEastAsia" w:hint="cs"/>
          <w:i/>
          <w:sz w:val="23"/>
          <w:szCs w:val="23"/>
          <w:rtl/>
        </w:rPr>
        <w:t xml:space="preserve"> منابع مالی دولت جهت تأمین اعتبار مخارج دولت را نشان می</w:t>
      </w:r>
      <w:r w:rsidRPr="0026684F">
        <w:rPr>
          <w:rFonts w:eastAsiaTheme="minorEastAsia"/>
          <w:i/>
          <w:sz w:val="23"/>
          <w:szCs w:val="23"/>
          <w:rtl/>
        </w:rPr>
        <w:softHyphen/>
      </w:r>
      <w:r w:rsidRPr="0026684F">
        <w:rPr>
          <w:rFonts w:eastAsiaTheme="minorEastAsia" w:hint="cs"/>
          <w:i/>
          <w:sz w:val="23"/>
          <w:szCs w:val="23"/>
          <w:rtl/>
        </w:rPr>
        <w:t>دهد.</w:t>
      </w:r>
    </w:p>
    <w:p w14:paraId="337759C4" w14:textId="77777777" w:rsidR="00411620" w:rsidRPr="0026684F" w:rsidRDefault="00411620" w:rsidP="00411620">
      <w:pPr>
        <w:spacing w:line="216" w:lineRule="auto"/>
        <w:rPr>
          <w:rFonts w:eastAsiaTheme="minorEastAsia"/>
          <w:i/>
          <w:sz w:val="23"/>
          <w:szCs w:val="23"/>
          <w:rtl/>
        </w:rPr>
      </w:pPr>
    </w:p>
    <w:p w14:paraId="04BB855B" w14:textId="77777777" w:rsidR="00411620" w:rsidRPr="0026684F" w:rsidRDefault="00411620" w:rsidP="00411620">
      <w:pPr>
        <w:pStyle w:val="Heading1"/>
        <w:spacing w:before="0" w:after="0" w:line="216" w:lineRule="auto"/>
        <w:rPr>
          <w:rFonts w:ascii="Times New Roman" w:eastAsiaTheme="minorEastAsia" w:hAnsi="Times New Roman" w:cs="B Nazanin"/>
          <w:b w:val="0"/>
          <w:i/>
          <w:sz w:val="23"/>
          <w:szCs w:val="23"/>
          <w:rtl/>
        </w:rPr>
      </w:pPr>
      <w:r w:rsidRPr="0026684F">
        <w:rPr>
          <w:rFonts w:ascii="Times New Roman" w:eastAsiaTheme="minorEastAsia" w:hAnsi="Times New Roman" w:cs="B Nazanin" w:hint="cs"/>
          <w:b w:val="0"/>
          <w:i/>
          <w:sz w:val="23"/>
          <w:szCs w:val="23"/>
          <w:rtl/>
        </w:rPr>
        <w:t>قید بودجه حقیقی دولت</w:t>
      </w:r>
    </w:p>
    <w:p w14:paraId="28F79CAC"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اگر رابطه</w:t>
      </w:r>
      <w:r w:rsidRPr="0026684F">
        <w:rPr>
          <w:rFonts w:eastAsiaTheme="minorEastAsia"/>
          <w:i/>
          <w:sz w:val="23"/>
          <w:szCs w:val="23"/>
          <w:rtl/>
        </w:rPr>
        <w:softHyphen/>
      </w:r>
      <w:r w:rsidRPr="0026684F">
        <w:rPr>
          <w:rFonts w:eastAsiaTheme="minorEastAsia" w:hint="cs"/>
          <w:i/>
          <w:sz w:val="23"/>
          <w:szCs w:val="23"/>
          <w:rtl/>
        </w:rPr>
        <w:t>ی (۵. ۱) را بر سطح عمومی قیمت</w:t>
      </w:r>
      <w:r w:rsidRPr="0026684F">
        <w:rPr>
          <w:rFonts w:eastAsiaTheme="minorEastAsia"/>
          <w:i/>
          <w:sz w:val="23"/>
          <w:szCs w:val="23"/>
          <w:rtl/>
        </w:rPr>
        <w:softHyphen/>
      </w:r>
      <w:r w:rsidRPr="0026684F">
        <w:rPr>
          <w:rFonts w:eastAsiaTheme="minorEastAsia" w:hint="cs"/>
          <w:i/>
          <w:sz w:val="23"/>
          <w:szCs w:val="23"/>
          <w:rtl/>
        </w:rPr>
        <w:t>ها یا</w:t>
      </w:r>
      <w:r w:rsidRPr="00025957">
        <w:rPr>
          <w:position w:val="-4"/>
        </w:rPr>
        <w:object w:dxaOrig="240" w:dyaOrig="240" w14:anchorId="4BDDC255">
          <v:shape id="_x0000_i2571" type="#_x0000_t75" style="width:12.1pt;height:12.1pt" o:ole="">
            <v:imagedata r:id="rId3129" o:title=""/>
          </v:shape>
          <o:OLEObject Type="Embed" ProgID="Equation.DSMT4" ShapeID="_x0000_i2571" DrawAspect="Content" ObjectID="_1791376515" r:id="rId3130"/>
        </w:object>
      </w:r>
      <w:r w:rsidRPr="0026684F">
        <w:rPr>
          <w:rFonts w:eastAsiaTheme="minorEastAsia" w:hint="cs"/>
          <w:i/>
          <w:sz w:val="23"/>
          <w:szCs w:val="23"/>
          <w:rtl/>
        </w:rPr>
        <w:t xml:space="preserve"> تقسیم کنیم قید بودجه</w:t>
      </w:r>
      <w:r w:rsidRPr="0026684F">
        <w:rPr>
          <w:rFonts w:eastAsiaTheme="minorEastAsia"/>
          <w:i/>
          <w:sz w:val="23"/>
          <w:szCs w:val="23"/>
          <w:rtl/>
        </w:rPr>
        <w:softHyphen/>
      </w:r>
      <w:r w:rsidRPr="0026684F">
        <w:rPr>
          <w:rFonts w:eastAsiaTheme="minorEastAsia" w:hint="cs"/>
          <w:i/>
          <w:sz w:val="23"/>
          <w:szCs w:val="23"/>
          <w:rtl/>
        </w:rPr>
        <w:t>ی حقیقی دولت بدست می</w:t>
      </w:r>
      <w:r w:rsidRPr="0026684F">
        <w:rPr>
          <w:rFonts w:eastAsiaTheme="minorEastAsia"/>
          <w:i/>
          <w:sz w:val="23"/>
          <w:szCs w:val="23"/>
          <w:rtl/>
        </w:rPr>
        <w:softHyphen/>
      </w:r>
      <w:r w:rsidRPr="0026684F">
        <w:rPr>
          <w:rFonts w:eastAsiaTheme="minorEastAsia" w:hint="cs"/>
          <w:i/>
          <w:sz w:val="23"/>
          <w:szCs w:val="23"/>
          <w:rtl/>
        </w:rPr>
        <w:t>آید. لذا</w:t>
      </w:r>
    </w:p>
    <w:p w14:paraId="3E423732" w14:textId="77777777" w:rsidR="00411620" w:rsidRPr="0026684F" w:rsidRDefault="00411620" w:rsidP="00411620">
      <w:pPr>
        <w:pStyle w:val="MTDisplayEquation"/>
        <w:bidi/>
        <w:spacing w:line="216" w:lineRule="auto"/>
        <w:jc w:val="right"/>
        <w:rPr>
          <w:rFonts w:ascii="Times New Roman" w:eastAsiaTheme="minorEastAsia" w:hAnsi="Times New Roman" w:cs="B Nazanin"/>
          <w:i/>
          <w:sz w:val="23"/>
          <w:szCs w:val="23"/>
          <w:rtl/>
        </w:rPr>
      </w:pPr>
      <w:r w:rsidRPr="0026684F">
        <w:rPr>
          <w:rFonts w:ascii="Times New Roman" w:hAnsi="Times New Roman" w:cs="B Nazanin"/>
          <w:i/>
          <w:sz w:val="23"/>
          <w:szCs w:val="23"/>
        </w:rPr>
        <w:tab/>
      </w:r>
      <w:r w:rsidRPr="00703635">
        <w:rPr>
          <w:position w:val="-28"/>
        </w:rPr>
        <w:object w:dxaOrig="3560" w:dyaOrig="660" w14:anchorId="15751B23">
          <v:shape id="_x0000_i2572" type="#_x0000_t75" style="width:178.5pt;height:33.3pt" o:ole="">
            <v:imagedata r:id="rId3131" o:title=""/>
          </v:shape>
          <o:OLEObject Type="Embed" ProgID="Equation.DSMT4" ShapeID="_x0000_i2572" DrawAspect="Content" ObjectID="_1791376516" r:id="rId3132"/>
        </w:object>
      </w:r>
    </w:p>
    <w:p w14:paraId="0D4C424C"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 xml:space="preserve">و یا </w:t>
      </w:r>
    </w:p>
    <w:p w14:paraId="41981BE0" w14:textId="77777777" w:rsidR="00411620" w:rsidRPr="0026684F" w:rsidRDefault="00411620" w:rsidP="00411620">
      <w:pPr>
        <w:pStyle w:val="MTDisplayEquation"/>
        <w:bidi/>
        <w:spacing w:line="216" w:lineRule="auto"/>
        <w:jc w:val="right"/>
        <w:rPr>
          <w:rFonts w:ascii="Times New Roman" w:hAnsi="Times New Roman" w:cs="B Nazanin"/>
          <w:i/>
          <w:sz w:val="23"/>
          <w:szCs w:val="23"/>
          <w:rtl/>
        </w:rPr>
      </w:pPr>
      <w:r w:rsidRPr="0026684F">
        <w:rPr>
          <w:rFonts w:ascii="Times New Roman" w:hAnsi="Times New Roman" w:cs="B Nazanin"/>
          <w:i/>
          <w:sz w:val="23"/>
          <w:szCs w:val="23"/>
        </w:rPr>
        <w:tab/>
      </w:r>
      <w:r w:rsidRPr="00703635">
        <w:rPr>
          <w:position w:val="-28"/>
        </w:rPr>
        <w:object w:dxaOrig="4260" w:dyaOrig="660" w14:anchorId="489EC28A">
          <v:shape id="_x0000_i2573" type="#_x0000_t75" style="width:212.95pt;height:33.3pt" o:ole="">
            <v:imagedata r:id="rId3133" o:title=""/>
          </v:shape>
          <o:OLEObject Type="Embed" ProgID="Equation.DSMT4" ShapeID="_x0000_i2573" DrawAspect="Content" ObjectID="_1791376517" r:id="rId3134"/>
        </w:object>
      </w:r>
    </w:p>
    <w:p w14:paraId="0372380C"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برای محاسبه</w:t>
      </w:r>
      <w:r w:rsidRPr="0026684F">
        <w:rPr>
          <w:rFonts w:eastAsiaTheme="minorEastAsia"/>
          <w:i/>
          <w:sz w:val="23"/>
          <w:szCs w:val="23"/>
          <w:rtl/>
        </w:rPr>
        <w:softHyphen/>
      </w:r>
      <w:r w:rsidRPr="0026684F">
        <w:rPr>
          <w:rFonts w:eastAsiaTheme="minorEastAsia" w:hint="cs"/>
          <w:i/>
          <w:sz w:val="23"/>
          <w:szCs w:val="23"/>
          <w:rtl/>
        </w:rPr>
        <w:t>ی تورم یا</w:t>
      </w:r>
      <w:r w:rsidRPr="00703635">
        <w:rPr>
          <w:position w:val="-10"/>
        </w:rPr>
        <w:object w:dxaOrig="380" w:dyaOrig="320" w14:anchorId="0D9A0426">
          <v:shape id="_x0000_i2574" type="#_x0000_t75" style="width:18.75pt;height:15.75pt" o:ole="">
            <v:imagedata r:id="rId3135" o:title=""/>
          </v:shape>
          <o:OLEObject Type="Embed" ProgID="Equation.DSMT4" ShapeID="_x0000_i2574" DrawAspect="Content" ObjectID="_1791376518" r:id="rId3136"/>
        </w:object>
      </w:r>
      <w:r w:rsidRPr="0026684F">
        <w:rPr>
          <w:rFonts w:eastAsiaTheme="minorEastAsia" w:hint="cs"/>
          <w:i/>
          <w:sz w:val="23"/>
          <w:szCs w:val="23"/>
          <w:rtl/>
        </w:rPr>
        <w:t xml:space="preserve"> داریم </w:t>
      </w:r>
    </w:p>
    <w:p w14:paraId="4FDCC567" w14:textId="77777777" w:rsidR="00411620" w:rsidRPr="0026684F" w:rsidRDefault="00411620" w:rsidP="00411620">
      <w:pPr>
        <w:pStyle w:val="MTDisplayEquation"/>
        <w:spacing w:line="216" w:lineRule="auto"/>
        <w:jc w:val="left"/>
        <w:rPr>
          <w:rFonts w:ascii="Times New Roman" w:eastAsiaTheme="minorEastAsia" w:hAnsi="Times New Roman" w:cs="B Nazanin"/>
          <w:i/>
          <w:sz w:val="23"/>
          <w:szCs w:val="23"/>
          <w:rtl/>
        </w:rPr>
      </w:pPr>
      <w:r w:rsidRPr="00703635">
        <w:rPr>
          <w:position w:val="-28"/>
        </w:rPr>
        <w:object w:dxaOrig="4239" w:dyaOrig="639" w14:anchorId="689DDB60">
          <v:shape id="_x0000_i2575" type="#_x0000_t75" style="width:211.75pt;height:32.05pt" o:ole="">
            <v:imagedata r:id="rId3137" o:title=""/>
          </v:shape>
          <o:OLEObject Type="Embed" ProgID="Equation.DSMT4" ShapeID="_x0000_i2575" DrawAspect="Content" ObjectID="_1791376519" r:id="rId3138"/>
        </w:object>
      </w:r>
    </w:p>
    <w:p w14:paraId="638DDE3A"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بنابراین:</w:t>
      </w:r>
    </w:p>
    <w:p w14:paraId="549340CB" w14:textId="77777777" w:rsidR="00411620" w:rsidRPr="0026684F" w:rsidRDefault="00411620" w:rsidP="00411620">
      <w:pPr>
        <w:pStyle w:val="MTDisplayEquation"/>
        <w:spacing w:line="216" w:lineRule="auto"/>
        <w:jc w:val="left"/>
        <w:rPr>
          <w:rFonts w:ascii="Times New Roman" w:eastAsiaTheme="minorEastAsia" w:hAnsi="Times New Roman" w:cs="B Nazanin"/>
          <w:i/>
          <w:sz w:val="23"/>
          <w:szCs w:val="23"/>
          <w:rtl/>
        </w:rPr>
      </w:pPr>
      <w:r w:rsidRPr="00703635">
        <w:rPr>
          <w:position w:val="-28"/>
        </w:rPr>
        <w:object w:dxaOrig="5060" w:dyaOrig="620" w14:anchorId="0AF5ED36">
          <v:shape id="_x0000_i2576" type="#_x0000_t75" style="width:252.9pt;height:30.85pt" o:ole="">
            <v:imagedata r:id="rId3139" o:title=""/>
          </v:shape>
          <o:OLEObject Type="Embed" ProgID="Equation.DSMT4" ShapeID="_x0000_i2576" DrawAspect="Content" ObjectID="_1791376520" r:id="rId3140"/>
        </w:object>
      </w:r>
    </w:p>
    <w:p w14:paraId="302990E7"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با توجه به اینکه نرخ بهره</w:t>
      </w:r>
      <w:r w:rsidRPr="0026684F">
        <w:rPr>
          <w:rFonts w:eastAsiaTheme="minorEastAsia"/>
          <w:i/>
          <w:sz w:val="23"/>
          <w:szCs w:val="23"/>
          <w:rtl/>
        </w:rPr>
        <w:softHyphen/>
      </w:r>
      <w:r w:rsidRPr="0026684F">
        <w:rPr>
          <w:rFonts w:eastAsiaTheme="minorEastAsia" w:hint="cs"/>
          <w:i/>
          <w:sz w:val="23"/>
          <w:szCs w:val="23"/>
          <w:rtl/>
        </w:rPr>
        <w:t>ی حقیقی</w:t>
      </w:r>
      <w:r w:rsidRPr="00703635">
        <w:rPr>
          <w:position w:val="-10"/>
        </w:rPr>
        <w:object w:dxaOrig="180" w:dyaOrig="320" w14:anchorId="1799E359">
          <v:shape id="_x0000_i2577" type="#_x0000_t75" style="width:9.1pt;height:15.75pt" o:ole="">
            <v:imagedata r:id="rId3141" o:title=""/>
          </v:shape>
          <o:OLEObject Type="Embed" ProgID="Equation.DSMT4" ShapeID="_x0000_i2577" DrawAspect="Content" ObjectID="_1791376521" r:id="rId3142"/>
        </w:object>
      </w:r>
      <w:r w:rsidRPr="0026684F">
        <w:rPr>
          <w:rFonts w:eastAsiaTheme="minorEastAsia" w:hint="cs"/>
          <w:i/>
          <w:sz w:val="23"/>
          <w:szCs w:val="23"/>
          <w:rtl/>
        </w:rPr>
        <w:t xml:space="preserve"> برابر است با </w:t>
      </w:r>
    </w:p>
    <w:p w14:paraId="45A8A9A3" w14:textId="77777777" w:rsidR="00411620" w:rsidRPr="0026684F" w:rsidRDefault="00411620" w:rsidP="00411620">
      <w:pPr>
        <w:pStyle w:val="MTDisplayEquation"/>
        <w:spacing w:line="216" w:lineRule="auto"/>
        <w:jc w:val="left"/>
        <w:rPr>
          <w:rFonts w:ascii="Times New Roman" w:eastAsiaTheme="minorEastAsia" w:hAnsi="Times New Roman" w:cs="B Nazanin"/>
          <w:i/>
          <w:sz w:val="23"/>
          <w:szCs w:val="23"/>
          <w:rtl/>
        </w:rPr>
      </w:pPr>
      <w:r w:rsidRPr="00703635">
        <w:rPr>
          <w:position w:val="-28"/>
        </w:rPr>
        <w:object w:dxaOrig="1460" w:dyaOrig="639" w14:anchorId="05B37FB0">
          <v:shape id="_x0000_i2578" type="#_x0000_t75" style="width:73.2pt;height:32.05pt" o:ole="">
            <v:imagedata r:id="rId3143" o:title=""/>
          </v:shape>
          <o:OLEObject Type="Embed" ProgID="Equation.DSMT4" ShapeID="_x0000_i2578" DrawAspect="Content" ObjectID="_1791376522" r:id="rId3144"/>
        </w:object>
      </w:r>
    </w:p>
    <w:p w14:paraId="7280A322" w14:textId="77777777" w:rsidR="00411620" w:rsidRPr="0026684F" w:rsidRDefault="00411620" w:rsidP="00411620">
      <w:pPr>
        <w:bidi w:val="0"/>
        <w:spacing w:line="216" w:lineRule="auto"/>
        <w:rPr>
          <w:rFonts w:eastAsiaTheme="minorEastAsia"/>
          <w:i/>
          <w:sz w:val="23"/>
          <w:szCs w:val="23"/>
          <w:rtl/>
        </w:rPr>
      </w:pPr>
      <w:r w:rsidRPr="00703635">
        <w:rPr>
          <w:position w:val="-12"/>
        </w:rPr>
        <w:object w:dxaOrig="5340" w:dyaOrig="360" w14:anchorId="523638CF">
          <v:shape id="_x0000_i2579" type="#_x0000_t75" style="width:266.8pt;height:18.15pt" o:ole="">
            <v:imagedata r:id="rId3145" o:title=""/>
          </v:shape>
          <o:OLEObject Type="Embed" ProgID="Equation.DSMT4" ShapeID="_x0000_i2579" DrawAspect="Content" ObjectID="_1791376523" r:id="rId3146"/>
        </w:object>
      </w:r>
      <w:r w:rsidRPr="0026684F">
        <w:rPr>
          <w:rFonts w:hint="cs"/>
          <w:i/>
          <w:sz w:val="23"/>
          <w:szCs w:val="23"/>
          <w:rtl/>
        </w:rPr>
        <w:t xml:space="preserve">    </w:t>
      </w:r>
    </w:p>
    <w:p w14:paraId="4BFF5626" w14:textId="77777777" w:rsidR="00411620" w:rsidRPr="0026684F" w:rsidRDefault="00411620" w:rsidP="00411620">
      <w:pPr>
        <w:spacing w:line="216" w:lineRule="auto"/>
        <w:rPr>
          <w:rFonts w:eastAsiaTheme="minorEastAsia"/>
          <w:i/>
          <w:sz w:val="23"/>
          <w:szCs w:val="23"/>
        </w:rPr>
      </w:pPr>
      <w:r w:rsidRPr="0026684F">
        <w:rPr>
          <w:rFonts w:eastAsiaTheme="minorEastAsia" w:hint="cs"/>
          <w:i/>
          <w:sz w:val="23"/>
          <w:szCs w:val="23"/>
          <w:rtl/>
        </w:rPr>
        <w:t>بنابراین</w:t>
      </w:r>
    </w:p>
    <w:p w14:paraId="1D98C0F4" w14:textId="77777777" w:rsidR="00411620" w:rsidRPr="0026684F" w:rsidRDefault="00411620" w:rsidP="00411620">
      <w:pPr>
        <w:spacing w:line="216" w:lineRule="auto"/>
        <w:jc w:val="right"/>
        <w:rPr>
          <w:rFonts w:eastAsiaTheme="minorEastAsia"/>
          <w:i/>
          <w:sz w:val="23"/>
          <w:szCs w:val="23"/>
        </w:rPr>
      </w:pPr>
      <w:r w:rsidRPr="00703635">
        <w:rPr>
          <w:position w:val="-28"/>
        </w:rPr>
        <w:object w:dxaOrig="4760" w:dyaOrig="620" w14:anchorId="052E4E0C">
          <v:shape id="_x0000_i2580" type="#_x0000_t75" style="width:237.8pt;height:30.85pt" o:ole="">
            <v:imagedata r:id="rId3147" o:title=""/>
          </v:shape>
          <o:OLEObject Type="Embed" ProgID="Equation.DSMT4" ShapeID="_x0000_i2580" DrawAspect="Content" ObjectID="_1791376524" r:id="rId3148"/>
        </w:object>
      </w:r>
      <w:r w:rsidRPr="0026684F">
        <w:rPr>
          <w:rFonts w:eastAsiaTheme="minorEastAsia"/>
          <w:i/>
          <w:sz w:val="23"/>
          <w:szCs w:val="23"/>
        </w:rPr>
        <w:t xml:space="preserve"> </w:t>
      </w:r>
    </w:p>
    <w:p w14:paraId="082F1F9E"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در رابطه</w:t>
      </w:r>
      <w:r w:rsidRPr="0026684F">
        <w:rPr>
          <w:rFonts w:eastAsiaTheme="minorEastAsia"/>
          <w:i/>
          <w:sz w:val="23"/>
          <w:szCs w:val="23"/>
          <w:rtl/>
        </w:rPr>
        <w:softHyphen/>
      </w:r>
      <w:r w:rsidRPr="0026684F">
        <w:rPr>
          <w:rFonts w:eastAsiaTheme="minorEastAsia" w:hint="cs"/>
          <w:i/>
          <w:sz w:val="23"/>
          <w:szCs w:val="23"/>
          <w:rtl/>
        </w:rPr>
        <w:t>ی فوق،</w:t>
      </w:r>
      <w:r w:rsidRPr="00703635">
        <w:rPr>
          <w:position w:val="-10"/>
        </w:rPr>
        <w:object w:dxaOrig="600" w:dyaOrig="320" w14:anchorId="5C74C49A">
          <v:shape id="_x0000_i2581" type="#_x0000_t75" style="width:30.25pt;height:15.75pt" o:ole="">
            <v:imagedata r:id="rId3149" o:title=""/>
          </v:shape>
          <o:OLEObject Type="Embed" ProgID="Equation.DSMT4" ShapeID="_x0000_i2581" DrawAspect="Content" ObjectID="_1791376525" r:id="rId3150"/>
        </w:object>
      </w:r>
      <w:r w:rsidRPr="0026684F">
        <w:rPr>
          <w:rFonts w:eastAsiaTheme="minorEastAsia" w:hint="cs"/>
          <w:i/>
          <w:sz w:val="23"/>
          <w:szCs w:val="23"/>
          <w:rtl/>
        </w:rPr>
        <w:t xml:space="preserve"> منابع واقعی دولت از نگهدارندگان پولِ بدون نرخ بهره است که به آن حق</w:t>
      </w:r>
      <w:r w:rsidRPr="0026684F">
        <w:rPr>
          <w:rFonts w:eastAsiaTheme="minorEastAsia"/>
          <w:i/>
          <w:sz w:val="23"/>
          <w:szCs w:val="23"/>
          <w:rtl/>
        </w:rPr>
        <w:softHyphen/>
      </w:r>
      <w:r w:rsidRPr="0026684F">
        <w:rPr>
          <w:rFonts w:eastAsiaTheme="minorEastAsia" w:hint="cs"/>
          <w:i/>
          <w:sz w:val="23"/>
          <w:szCs w:val="23"/>
          <w:rtl/>
        </w:rPr>
        <w:t>الضرب</w:t>
      </w:r>
      <w:r w:rsidRPr="0026684F">
        <w:rPr>
          <w:rStyle w:val="FootnoteReference"/>
          <w:rFonts w:eastAsiaTheme="minorEastAsia"/>
          <w:i/>
          <w:sz w:val="23"/>
          <w:szCs w:val="23"/>
          <w:rtl/>
        </w:rPr>
        <w:footnoteReference w:id="138"/>
      </w:r>
      <w:r w:rsidRPr="0026684F">
        <w:rPr>
          <w:rFonts w:eastAsiaTheme="minorEastAsia" w:hint="cs"/>
          <w:i/>
          <w:sz w:val="23"/>
          <w:szCs w:val="23"/>
          <w:rtl/>
        </w:rPr>
        <w:t xml:space="preserve"> هم گفته می‌شود. حق</w:t>
      </w:r>
      <w:r w:rsidRPr="0026684F">
        <w:rPr>
          <w:rFonts w:eastAsiaTheme="minorEastAsia"/>
          <w:i/>
          <w:sz w:val="23"/>
          <w:szCs w:val="23"/>
          <w:rtl/>
        </w:rPr>
        <w:softHyphen/>
      </w:r>
      <w:r w:rsidRPr="0026684F">
        <w:rPr>
          <w:rFonts w:eastAsiaTheme="minorEastAsia" w:hint="cs"/>
          <w:i/>
          <w:sz w:val="23"/>
          <w:szCs w:val="23"/>
          <w:rtl/>
        </w:rPr>
        <w:t>الضرب، همانند مالیات، مخارج دولت را تأمین مالی می</w:t>
      </w:r>
      <w:r w:rsidRPr="0026684F">
        <w:rPr>
          <w:rFonts w:eastAsiaTheme="minorEastAsia"/>
          <w:i/>
          <w:sz w:val="23"/>
          <w:szCs w:val="23"/>
          <w:rtl/>
        </w:rPr>
        <w:softHyphen/>
      </w:r>
      <w:r w:rsidRPr="0026684F">
        <w:rPr>
          <w:rFonts w:eastAsiaTheme="minorEastAsia" w:hint="cs"/>
          <w:i/>
          <w:sz w:val="23"/>
          <w:szCs w:val="23"/>
          <w:rtl/>
        </w:rPr>
        <w:t>کند به صورتی که تورم بیشتر یعنی حق</w:t>
      </w:r>
      <w:r w:rsidRPr="0026684F">
        <w:rPr>
          <w:rFonts w:eastAsiaTheme="minorEastAsia"/>
          <w:i/>
          <w:sz w:val="23"/>
          <w:szCs w:val="23"/>
          <w:rtl/>
        </w:rPr>
        <w:softHyphen/>
      </w:r>
      <w:r w:rsidRPr="0026684F">
        <w:rPr>
          <w:rFonts w:eastAsiaTheme="minorEastAsia" w:hint="cs"/>
          <w:i/>
          <w:sz w:val="23"/>
          <w:szCs w:val="23"/>
          <w:rtl/>
        </w:rPr>
        <w:t>الضرب بالاتر. هرچند، باید توجه نمود که در صورت بالا بودن نرخ تورم ممکن است مردم تمایل به نگهداری پول نقد نداشته باشند.</w:t>
      </w:r>
    </w:p>
    <w:p w14:paraId="12DCB51C"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اگر تنها منبع تأمین اعتبار مخارج دولت حق</w:t>
      </w:r>
      <w:r w:rsidRPr="0026684F">
        <w:rPr>
          <w:rFonts w:eastAsiaTheme="minorEastAsia"/>
          <w:i/>
          <w:sz w:val="23"/>
          <w:szCs w:val="23"/>
          <w:rtl/>
        </w:rPr>
        <w:softHyphen/>
      </w:r>
      <w:r w:rsidRPr="0026684F">
        <w:rPr>
          <w:rFonts w:eastAsiaTheme="minorEastAsia" w:hint="cs"/>
          <w:i/>
          <w:sz w:val="23"/>
          <w:szCs w:val="23"/>
          <w:rtl/>
        </w:rPr>
        <w:t>الضرب باشد، آنگاه در قید بودجه</w:t>
      </w:r>
      <w:r w:rsidRPr="0026684F">
        <w:rPr>
          <w:rFonts w:eastAsiaTheme="minorEastAsia"/>
          <w:i/>
          <w:sz w:val="23"/>
          <w:szCs w:val="23"/>
          <w:rtl/>
        </w:rPr>
        <w:softHyphen/>
      </w:r>
      <w:r w:rsidRPr="0026684F">
        <w:rPr>
          <w:rFonts w:eastAsiaTheme="minorEastAsia" w:hint="cs"/>
          <w:i/>
          <w:sz w:val="23"/>
          <w:szCs w:val="23"/>
          <w:rtl/>
        </w:rPr>
        <w:t xml:space="preserve">ی حقیقی دولت خواهیم داشت </w:t>
      </w:r>
    </w:p>
    <w:p w14:paraId="381CBC4D" w14:textId="77777777" w:rsidR="00411620" w:rsidRPr="0026684F" w:rsidRDefault="00411620" w:rsidP="00411620">
      <w:pPr>
        <w:pStyle w:val="MTDisplayEquation"/>
        <w:spacing w:line="216" w:lineRule="auto"/>
        <w:jc w:val="left"/>
        <w:rPr>
          <w:rFonts w:ascii="Times New Roman" w:eastAsiaTheme="minorEastAsia" w:hAnsi="Times New Roman" w:cs="B Nazanin"/>
          <w:i/>
          <w:sz w:val="23"/>
          <w:szCs w:val="23"/>
          <w:rtl/>
        </w:rPr>
      </w:pPr>
      <w:r w:rsidRPr="00703635">
        <w:rPr>
          <w:position w:val="-10"/>
        </w:rPr>
        <w:object w:dxaOrig="1400" w:dyaOrig="320" w14:anchorId="06A7222A">
          <v:shape id="_x0000_i2582" type="#_x0000_t75" style="width:70.2pt;height:15.75pt" o:ole="">
            <v:imagedata r:id="rId3151" o:title=""/>
          </v:shape>
          <o:OLEObject Type="Embed" ProgID="Equation.DSMT4" ShapeID="_x0000_i2582" DrawAspect="Content" ObjectID="_1791376526" r:id="rId3152"/>
        </w:object>
      </w:r>
    </w:p>
    <w:p w14:paraId="4170BA9A"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و با تقسیم رابطه</w:t>
      </w:r>
      <w:r w:rsidRPr="0026684F">
        <w:rPr>
          <w:rFonts w:eastAsiaTheme="minorEastAsia"/>
          <w:i/>
          <w:sz w:val="23"/>
          <w:szCs w:val="23"/>
          <w:rtl/>
        </w:rPr>
        <w:softHyphen/>
      </w:r>
      <w:r w:rsidRPr="0026684F">
        <w:rPr>
          <w:rFonts w:eastAsiaTheme="minorEastAsia" w:hint="cs"/>
          <w:i/>
          <w:sz w:val="23"/>
          <w:szCs w:val="23"/>
          <w:rtl/>
        </w:rPr>
        <w:t>ی فوق بر تولید حقیقی داریم</w:t>
      </w:r>
    </w:p>
    <w:p w14:paraId="1CB37D9D" w14:textId="77777777" w:rsidR="00411620" w:rsidRPr="0026684F" w:rsidRDefault="00411620" w:rsidP="00411620">
      <w:pPr>
        <w:pStyle w:val="MTDisplayEquation"/>
        <w:spacing w:line="216" w:lineRule="auto"/>
        <w:jc w:val="left"/>
        <w:rPr>
          <w:rFonts w:ascii="Times New Roman" w:eastAsiaTheme="minorEastAsia" w:hAnsi="Times New Roman" w:cs="B Nazanin"/>
          <w:i/>
          <w:sz w:val="23"/>
          <w:szCs w:val="23"/>
        </w:rPr>
      </w:pPr>
      <w:r w:rsidRPr="00703635">
        <w:rPr>
          <w:position w:val="-28"/>
        </w:rPr>
        <w:object w:dxaOrig="1520" w:dyaOrig="639" w14:anchorId="54D64D0B">
          <v:shape id="_x0000_i2583" type="#_x0000_t75" style="width:76.25pt;height:32.05pt" o:ole="">
            <v:imagedata r:id="rId3153" o:title=""/>
          </v:shape>
          <o:OLEObject Type="Embed" ProgID="Equation.DSMT4" ShapeID="_x0000_i2583" DrawAspect="Content" ObjectID="_1791376527" r:id="rId3154"/>
        </w:object>
      </w:r>
    </w:p>
    <w:p w14:paraId="2CE6B771"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به عنوان مثال چنانچه نسبت مخارج و پرداخت</w:t>
      </w:r>
      <w:r w:rsidRPr="0026684F">
        <w:rPr>
          <w:rFonts w:eastAsiaTheme="minorEastAsia"/>
          <w:i/>
          <w:sz w:val="23"/>
          <w:szCs w:val="23"/>
        </w:rPr>
        <w:softHyphen/>
      </w:r>
      <w:r w:rsidRPr="0026684F">
        <w:rPr>
          <w:rFonts w:eastAsiaTheme="minorEastAsia" w:hint="cs"/>
          <w:i/>
          <w:sz w:val="23"/>
          <w:szCs w:val="23"/>
          <w:rtl/>
        </w:rPr>
        <w:t xml:space="preserve">های انتقالی دولت به </w:t>
      </w:r>
      <w:r w:rsidRPr="0026684F">
        <w:rPr>
          <w:rFonts w:eastAsiaTheme="minorEastAsia"/>
          <w:i/>
          <w:sz w:val="23"/>
          <w:szCs w:val="23"/>
        </w:rPr>
        <w:t>GDP</w:t>
      </w:r>
      <w:r w:rsidRPr="0026684F">
        <w:rPr>
          <w:rFonts w:eastAsiaTheme="minorEastAsia" w:hint="cs"/>
          <w:i/>
          <w:sz w:val="23"/>
          <w:szCs w:val="23"/>
          <w:rtl/>
        </w:rPr>
        <w:t xml:space="preserve"> برابر۵۰ درصد و نسبت حجم پول به </w:t>
      </w:r>
      <w:r w:rsidRPr="0026684F">
        <w:rPr>
          <w:rFonts w:eastAsiaTheme="minorEastAsia"/>
          <w:i/>
          <w:sz w:val="23"/>
          <w:szCs w:val="23"/>
        </w:rPr>
        <w:t>GDP</w:t>
      </w:r>
      <w:r w:rsidRPr="0026684F">
        <w:rPr>
          <w:rFonts w:eastAsiaTheme="minorEastAsia" w:hint="cs"/>
          <w:i/>
          <w:sz w:val="23"/>
          <w:szCs w:val="23"/>
          <w:rtl/>
        </w:rPr>
        <w:t xml:space="preserve"> برابر با ۲۰ درصد باشد آنگاه</w:t>
      </w:r>
      <w:r w:rsidRPr="0026684F">
        <w:rPr>
          <w:rFonts w:eastAsiaTheme="minorEastAsia"/>
          <w:i/>
          <w:sz w:val="23"/>
          <w:szCs w:val="23"/>
        </w:rPr>
        <w:t xml:space="preserve"> </w:t>
      </w:r>
      <w:r w:rsidRPr="0026684F">
        <w:rPr>
          <w:rFonts w:eastAsiaTheme="minorEastAsia" w:hint="cs"/>
          <w:i/>
          <w:sz w:val="23"/>
          <w:szCs w:val="23"/>
          <w:rtl/>
        </w:rPr>
        <w:t>برای اینکه بودجه</w:t>
      </w:r>
      <w:r w:rsidRPr="0026684F">
        <w:rPr>
          <w:rFonts w:eastAsiaTheme="minorEastAsia"/>
          <w:i/>
          <w:sz w:val="23"/>
          <w:szCs w:val="23"/>
          <w:rtl/>
        </w:rPr>
        <w:softHyphen/>
      </w:r>
      <w:r w:rsidRPr="0026684F">
        <w:rPr>
          <w:rFonts w:eastAsiaTheme="minorEastAsia" w:hint="cs"/>
          <w:i/>
          <w:sz w:val="23"/>
          <w:szCs w:val="23"/>
          <w:rtl/>
        </w:rPr>
        <w:t xml:space="preserve">ی دولت متوارن باشد تورم </w:t>
      </w:r>
      <w:r w:rsidRPr="00703635">
        <w:rPr>
          <w:position w:val="-10"/>
        </w:rPr>
        <w:object w:dxaOrig="380" w:dyaOrig="320" w14:anchorId="3C568A25">
          <v:shape id="_x0000_i2584" type="#_x0000_t75" style="width:18.75pt;height:15.75pt" o:ole="">
            <v:imagedata r:id="rId3155" o:title=""/>
          </v:shape>
          <o:OLEObject Type="Embed" ProgID="Equation.DSMT4" ShapeID="_x0000_i2584" DrawAspect="Content" ObjectID="_1791376528" r:id="rId3156"/>
        </w:object>
      </w:r>
      <w:r w:rsidRPr="0026684F">
        <w:rPr>
          <w:rFonts w:eastAsiaTheme="minorEastAsia" w:hint="cs"/>
          <w:i/>
          <w:sz w:val="23"/>
          <w:szCs w:val="23"/>
          <w:rtl/>
        </w:rPr>
        <w:t xml:space="preserve"> می</w:t>
      </w:r>
      <w:r w:rsidRPr="0026684F">
        <w:rPr>
          <w:rFonts w:eastAsiaTheme="minorEastAsia"/>
          <w:i/>
          <w:sz w:val="23"/>
          <w:szCs w:val="23"/>
          <w:rtl/>
        </w:rPr>
        <w:softHyphen/>
      </w:r>
      <w:r w:rsidRPr="0026684F">
        <w:rPr>
          <w:rFonts w:eastAsiaTheme="minorEastAsia" w:hint="cs"/>
          <w:i/>
          <w:sz w:val="23"/>
          <w:szCs w:val="23"/>
          <w:rtl/>
        </w:rPr>
        <w:t>بایست ۲۵۰ درصد باشد.</w:t>
      </w:r>
    </w:p>
    <w:p w14:paraId="2A1847DD"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جهت سهولت موضوع مورد بررسی بهتر است در رابطه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۱)</w:t>
      </w:r>
      <w:r w:rsidRPr="0026684F">
        <w:rPr>
          <w:rFonts w:eastAsiaTheme="minorEastAsia" w:hint="cs"/>
          <w:i/>
          <w:sz w:val="23"/>
          <w:szCs w:val="23"/>
          <w:rtl/>
        </w:rPr>
        <w:t xml:space="preserve"> بجای</w:t>
      </w:r>
      <w:r w:rsidRPr="00703635">
        <w:rPr>
          <w:position w:val="-10"/>
        </w:rPr>
        <w:object w:dxaOrig="340" w:dyaOrig="340" w14:anchorId="5EFE7D8A">
          <v:shape id="_x0000_i2585" type="#_x0000_t75" style="width:16.95pt;height:16.95pt" o:ole="">
            <v:imagedata r:id="rId3157" o:title=""/>
          </v:shape>
          <o:OLEObject Type="Embed" ProgID="Equation.DSMT4" ShapeID="_x0000_i2585" DrawAspect="Content" ObjectID="_1791376529" r:id="rId3158"/>
        </w:object>
      </w:r>
      <w:r w:rsidRPr="0026684F">
        <w:rPr>
          <w:rFonts w:eastAsiaTheme="minorEastAsia" w:hint="cs"/>
          <w:i/>
          <w:sz w:val="23"/>
          <w:szCs w:val="23"/>
          <w:rtl/>
        </w:rPr>
        <w:t>، اوراق قرضه</w:t>
      </w:r>
      <w:r w:rsidRPr="0026684F">
        <w:rPr>
          <w:rFonts w:eastAsiaTheme="minorEastAsia"/>
          <w:i/>
          <w:sz w:val="23"/>
          <w:szCs w:val="23"/>
          <w:rtl/>
        </w:rPr>
        <w:softHyphen/>
      </w:r>
      <w:r w:rsidRPr="0026684F">
        <w:rPr>
          <w:rFonts w:eastAsiaTheme="minorEastAsia" w:hint="cs"/>
          <w:i/>
          <w:sz w:val="23"/>
          <w:szCs w:val="23"/>
          <w:rtl/>
        </w:rPr>
        <w:t xml:space="preserve">ی منتشر شده در زمان </w:t>
      </w:r>
      <w:r w:rsidRPr="00703635">
        <w:rPr>
          <w:position w:val="-6"/>
        </w:rPr>
        <w:object w:dxaOrig="420" w:dyaOrig="260" w14:anchorId="6422F7A3">
          <v:shape id="_x0000_i2586" type="#_x0000_t75" style="width:21.2pt;height:12.7pt" o:ole="">
            <v:imagedata r:id="rId3159" o:title=""/>
          </v:shape>
          <o:OLEObject Type="Embed" ProgID="Equation.DSMT4" ShapeID="_x0000_i2586" DrawAspect="Content" ObjectID="_1791376530" r:id="rId3160"/>
        </w:object>
      </w:r>
      <w:r w:rsidRPr="0026684F">
        <w:rPr>
          <w:rFonts w:eastAsiaTheme="minorEastAsia" w:hint="cs"/>
          <w:i/>
          <w:sz w:val="23"/>
          <w:szCs w:val="23"/>
          <w:rtl/>
        </w:rPr>
        <w:t xml:space="preserve"> بعلاوه</w:t>
      </w:r>
      <w:r w:rsidRPr="0026684F">
        <w:rPr>
          <w:rFonts w:eastAsiaTheme="minorEastAsia"/>
          <w:i/>
          <w:sz w:val="23"/>
          <w:szCs w:val="23"/>
          <w:rtl/>
        </w:rPr>
        <w:softHyphen/>
      </w:r>
      <w:r w:rsidRPr="0026684F">
        <w:rPr>
          <w:rFonts w:eastAsiaTheme="minorEastAsia" w:hint="cs"/>
          <w:i/>
          <w:sz w:val="23"/>
          <w:szCs w:val="23"/>
          <w:rtl/>
        </w:rPr>
        <w:t>ی نرخ بهره</w:t>
      </w:r>
      <w:r w:rsidRPr="0026684F">
        <w:rPr>
          <w:rFonts w:eastAsiaTheme="minorEastAsia"/>
          <w:i/>
          <w:sz w:val="23"/>
          <w:szCs w:val="23"/>
        </w:rPr>
        <w:softHyphen/>
      </w:r>
      <w:r w:rsidRPr="0026684F">
        <w:rPr>
          <w:rFonts w:eastAsiaTheme="minorEastAsia" w:hint="cs"/>
          <w:i/>
          <w:sz w:val="23"/>
          <w:szCs w:val="23"/>
          <w:rtl/>
        </w:rPr>
        <w:t>ی متعلق به آن در زمان</w:t>
      </w:r>
      <w:r w:rsidRPr="00703635">
        <w:rPr>
          <w:position w:val="-6"/>
        </w:rPr>
        <w:object w:dxaOrig="139" w:dyaOrig="240" w14:anchorId="2C83269F">
          <v:shape id="_x0000_i2587" type="#_x0000_t75" style="width:7.25pt;height:12.1pt" o:ole="">
            <v:imagedata r:id="rId3161" o:title=""/>
          </v:shape>
          <o:OLEObject Type="Embed" ProgID="Equation.DSMT4" ShapeID="_x0000_i2587" DrawAspect="Content" ObjectID="_1791376531" r:id="rId3162"/>
        </w:object>
      </w:r>
      <w:r w:rsidRPr="0026684F">
        <w:rPr>
          <w:rFonts w:eastAsiaTheme="minorEastAsia" w:hint="cs"/>
          <w:i/>
          <w:sz w:val="23"/>
          <w:szCs w:val="23"/>
          <w:rtl/>
        </w:rPr>
        <w:t xml:space="preserve"> یعنی</w:t>
      </w:r>
      <w:r w:rsidRPr="00703635">
        <w:rPr>
          <w:position w:val="-12"/>
        </w:rPr>
        <w:object w:dxaOrig="960" w:dyaOrig="360" w14:anchorId="3E6D65A6">
          <v:shape id="_x0000_i2588" type="#_x0000_t75" style="width:47.8pt;height:18.15pt" o:ole="">
            <v:imagedata r:id="rId3163" o:title=""/>
          </v:shape>
          <o:OLEObject Type="Embed" ProgID="Equation.DSMT4" ShapeID="_x0000_i2588" DrawAspect="Content" ObjectID="_1791376532" r:id="rId3164"/>
        </w:object>
      </w:r>
      <w:r w:rsidRPr="0026684F">
        <w:rPr>
          <w:rFonts w:eastAsiaTheme="minorEastAsia" w:hint="cs"/>
          <w:i/>
          <w:sz w:val="23"/>
          <w:szCs w:val="23"/>
          <w:rtl/>
        </w:rPr>
        <w:t>، و بجای</w:t>
      </w:r>
      <w:r w:rsidRPr="00703635">
        <w:rPr>
          <w:position w:val="-10"/>
        </w:rPr>
        <w:object w:dxaOrig="680" w:dyaOrig="340" w14:anchorId="05E15A83">
          <v:shape id="_x0000_i2589" type="#_x0000_t75" style="width:33.9pt;height:16.95pt" o:ole="">
            <v:imagedata r:id="rId3165" o:title=""/>
          </v:shape>
          <o:OLEObject Type="Embed" ProgID="Equation.DSMT4" ShapeID="_x0000_i2589" DrawAspect="Content" ObjectID="_1791376533" r:id="rId3166"/>
        </w:object>
      </w:r>
      <w:r w:rsidRPr="0026684F">
        <w:rPr>
          <w:rFonts w:eastAsiaTheme="minorEastAsia" w:hint="cs"/>
          <w:i/>
          <w:sz w:val="23"/>
          <w:szCs w:val="23"/>
          <w:rtl/>
        </w:rPr>
        <w:t>، درآمد دولت از طریق فروش اوراق قرضه در زمان</w:t>
      </w:r>
      <w:r w:rsidRPr="00703635">
        <w:rPr>
          <w:position w:val="-6"/>
        </w:rPr>
        <w:object w:dxaOrig="139" w:dyaOrig="240" w14:anchorId="315A18D3">
          <v:shape id="_x0000_i2590" type="#_x0000_t75" style="width:7.25pt;height:12.1pt" o:ole="">
            <v:imagedata r:id="rId3167" o:title=""/>
          </v:shape>
          <o:OLEObject Type="Embed" ProgID="Equation.DSMT4" ShapeID="_x0000_i2590" DrawAspect="Content" ObjectID="_1791376534" r:id="rId3168"/>
        </w:object>
      </w:r>
      <w:r w:rsidRPr="0026684F">
        <w:rPr>
          <w:rFonts w:eastAsiaTheme="minorEastAsia" w:hint="cs"/>
          <w:i/>
          <w:sz w:val="23"/>
          <w:szCs w:val="23"/>
          <w:rtl/>
        </w:rPr>
        <w:t xml:space="preserve"> یعنی</w:t>
      </w:r>
      <w:r w:rsidRPr="00703635">
        <w:rPr>
          <w:position w:val="-10"/>
        </w:rPr>
        <w:object w:dxaOrig="400" w:dyaOrig="320" w14:anchorId="68772A32">
          <v:shape id="_x0000_i2591" type="#_x0000_t75" style="width:19.95pt;height:15.75pt" o:ole="">
            <v:imagedata r:id="rId3169" o:title=""/>
          </v:shape>
          <o:OLEObject Type="Embed" ProgID="Equation.DSMT4" ShapeID="_x0000_i2591" DrawAspect="Content" ObjectID="_1791376535" r:id="rId3170"/>
        </w:object>
      </w:r>
      <w:r w:rsidRPr="0026684F">
        <w:rPr>
          <w:rFonts w:eastAsiaTheme="minorEastAsia" w:hint="cs"/>
          <w:i/>
          <w:sz w:val="23"/>
          <w:szCs w:val="23"/>
          <w:rtl/>
        </w:rPr>
        <w:t xml:space="preserve"> را جایگزین کنیم. بنابراین قید بودجه</w:t>
      </w:r>
      <w:r w:rsidRPr="0026684F">
        <w:rPr>
          <w:rFonts w:eastAsiaTheme="minorEastAsia"/>
          <w:i/>
          <w:sz w:val="23"/>
          <w:szCs w:val="23"/>
          <w:rtl/>
        </w:rPr>
        <w:softHyphen/>
      </w:r>
      <w:r w:rsidRPr="0026684F">
        <w:rPr>
          <w:rFonts w:eastAsiaTheme="minorEastAsia" w:hint="cs"/>
          <w:i/>
          <w:sz w:val="23"/>
          <w:szCs w:val="23"/>
          <w:rtl/>
        </w:rPr>
        <w:t>ی اسمی دولت برابر خواهد بود با:</w:t>
      </w:r>
    </w:p>
    <w:p w14:paraId="0089ACA6" w14:textId="77777777" w:rsidR="00411620" w:rsidRPr="0026684F" w:rsidRDefault="00411620" w:rsidP="00411620">
      <w:pPr>
        <w:bidi w:val="0"/>
        <w:spacing w:line="216" w:lineRule="auto"/>
        <w:rPr>
          <w:i/>
          <w:sz w:val="23"/>
          <w:szCs w:val="23"/>
        </w:rPr>
      </w:pPr>
      <w:r w:rsidRPr="00703635">
        <w:rPr>
          <w:position w:val="-12"/>
        </w:rPr>
        <w:object w:dxaOrig="3940" w:dyaOrig="360" w14:anchorId="3E9AAE4F">
          <v:shape id="_x0000_i2592" type="#_x0000_t75" style="width:197.25pt;height:18.15pt" o:ole="">
            <v:imagedata r:id="rId3171" o:title=""/>
          </v:shape>
          <o:OLEObject Type="Embed" ProgID="Equation.DSMT4" ShapeID="_x0000_i2592" DrawAspect="Content" ObjectID="_1791376536" r:id="rId3172"/>
        </w:object>
      </w:r>
      <w:r w:rsidRPr="0026684F">
        <w:rPr>
          <w:i/>
          <w:sz w:val="23"/>
          <w:szCs w:val="23"/>
        </w:rPr>
        <w:tab/>
      </w:r>
      <w:r w:rsidRPr="0026684F">
        <w:rPr>
          <w:i/>
          <w:sz w:val="23"/>
          <w:szCs w:val="23"/>
        </w:rPr>
        <w:tab/>
      </w:r>
      <w:r w:rsidRPr="0026684F">
        <w:rPr>
          <w:i/>
          <w:sz w:val="23"/>
          <w:szCs w:val="23"/>
          <w:rtl/>
        </w:rPr>
        <w:tab/>
      </w:r>
      <w:r w:rsidRPr="0026684F">
        <w:rPr>
          <w:i/>
          <w:sz w:val="23"/>
          <w:szCs w:val="23"/>
        </w:rPr>
        <w:tab/>
      </w:r>
      <w:r>
        <w:rPr>
          <w:i/>
          <w:sz w:val="23"/>
          <w:szCs w:val="23"/>
          <w:rtl/>
        </w:rPr>
        <w:tab/>
      </w:r>
      <w:r>
        <w:rPr>
          <w:i/>
          <w:sz w:val="23"/>
          <w:szCs w:val="23"/>
          <w:rtl/>
        </w:rPr>
        <w:tab/>
      </w:r>
      <w:r w:rsidRPr="0026684F">
        <w:rPr>
          <w:i/>
          <w:sz w:val="23"/>
          <w:szCs w:val="23"/>
        </w:rPr>
        <w:tab/>
      </w:r>
      <w:r w:rsidRPr="0026684F">
        <w:rPr>
          <w:i/>
          <w:sz w:val="23"/>
          <w:szCs w:val="23"/>
        </w:rPr>
        <w:tab/>
      </w:r>
      <w:r w:rsidRPr="0026684F">
        <w:rPr>
          <w:rFonts w:hint="cs"/>
          <w:i/>
          <w:sz w:val="23"/>
          <w:szCs w:val="23"/>
          <w:rtl/>
        </w:rPr>
        <w:t>(۵. ۲)</w:t>
      </w:r>
      <w:r w:rsidRPr="0026684F">
        <w:rPr>
          <w:rFonts w:eastAsiaTheme="minorEastAsia" w:hint="cs"/>
          <w:i/>
          <w:sz w:val="23"/>
          <w:szCs w:val="23"/>
          <w:rtl/>
        </w:rPr>
        <w:t xml:space="preserve"> </w:t>
      </w:r>
    </w:p>
    <w:p w14:paraId="3CB11B18"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در این صورت قید بوجه حقیقی دولت برابر خواهد بود با:</w:t>
      </w:r>
    </w:p>
    <w:p w14:paraId="716949CC" w14:textId="77777777" w:rsidR="00411620" w:rsidRPr="0026684F" w:rsidRDefault="00411620" w:rsidP="00411620">
      <w:pPr>
        <w:bidi w:val="0"/>
        <w:spacing w:line="216" w:lineRule="auto"/>
        <w:rPr>
          <w:i/>
          <w:sz w:val="23"/>
          <w:szCs w:val="23"/>
          <w:rtl/>
        </w:rPr>
      </w:pPr>
      <w:r w:rsidRPr="00703635">
        <w:rPr>
          <w:position w:val="-12"/>
        </w:rPr>
        <w:object w:dxaOrig="4500" w:dyaOrig="360" w14:anchorId="4F1DE6FD">
          <v:shape id="_x0000_i2593" type="#_x0000_t75" style="width:225.1pt;height:18.15pt" o:ole="">
            <v:imagedata r:id="rId3173" o:title=""/>
          </v:shape>
          <o:OLEObject Type="Embed" ProgID="Equation.DSMT4" ShapeID="_x0000_i2593" DrawAspect="Content" ObjectID="_1791376537" r:id="rId3174"/>
        </w:object>
      </w:r>
      <w:r w:rsidRPr="0026684F">
        <w:rPr>
          <w:rFonts w:eastAsiaTheme="minorEastAsia" w:hint="cs"/>
          <w:i/>
          <w:sz w:val="23"/>
          <w:szCs w:val="23"/>
        </w:rPr>
        <w:t xml:space="preserve"> </w:t>
      </w:r>
      <w:r w:rsidRPr="0026684F">
        <w:rPr>
          <w:rFonts w:eastAsiaTheme="minorEastAsia" w:hint="cs"/>
          <w:i/>
          <w:sz w:val="23"/>
          <w:szCs w:val="23"/>
          <w:rtl/>
        </w:rPr>
        <w:tab/>
      </w:r>
      <w:r>
        <w:rPr>
          <w:rFonts w:eastAsiaTheme="minorEastAsia"/>
          <w:i/>
          <w:sz w:val="23"/>
          <w:szCs w:val="23"/>
          <w:rtl/>
        </w:rPr>
        <w:tab/>
      </w:r>
      <w:r>
        <w:rPr>
          <w:rFonts w:eastAsiaTheme="minorEastAsia"/>
          <w:i/>
          <w:sz w:val="23"/>
          <w:szCs w:val="23"/>
          <w:rtl/>
        </w:rPr>
        <w:tab/>
      </w:r>
      <w:r w:rsidRPr="0026684F">
        <w:rPr>
          <w:rFonts w:eastAsiaTheme="minorEastAsia"/>
          <w:i/>
          <w:sz w:val="23"/>
          <w:szCs w:val="23"/>
          <w:rtl/>
        </w:rPr>
        <w:tab/>
      </w:r>
      <w:r w:rsidRPr="0026684F">
        <w:rPr>
          <w:rFonts w:eastAsiaTheme="minorEastAsia"/>
          <w:i/>
          <w:sz w:val="23"/>
          <w:szCs w:val="23"/>
          <w:rtl/>
        </w:rPr>
        <w:tab/>
      </w:r>
      <w:r w:rsidRPr="0026684F">
        <w:rPr>
          <w:rFonts w:eastAsiaTheme="minorEastAsia" w:hint="cs"/>
          <w:i/>
          <w:sz w:val="23"/>
          <w:szCs w:val="23"/>
          <w:rtl/>
        </w:rPr>
        <w:t>(۵. ۳)</w:t>
      </w:r>
    </w:p>
    <w:p w14:paraId="6F4119DB"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زیرا:</w:t>
      </w:r>
    </w:p>
    <w:p w14:paraId="2F89E56A" w14:textId="77777777" w:rsidR="00411620" w:rsidRPr="0026684F" w:rsidRDefault="00411620" w:rsidP="00411620">
      <w:pPr>
        <w:pStyle w:val="MTDisplayEquation"/>
        <w:bidi/>
        <w:spacing w:line="216" w:lineRule="auto"/>
        <w:jc w:val="right"/>
        <w:rPr>
          <w:rFonts w:ascii="Times New Roman" w:hAnsi="Times New Roman" w:cs="B Nazanin"/>
          <w:i/>
          <w:sz w:val="23"/>
          <w:szCs w:val="23"/>
          <w:rtl/>
        </w:rPr>
      </w:pPr>
      <w:r w:rsidRPr="00703635">
        <w:rPr>
          <w:position w:val="-28"/>
        </w:rPr>
        <w:object w:dxaOrig="5440" w:dyaOrig="639" w14:anchorId="49334D07">
          <v:shape id="_x0000_i2594" type="#_x0000_t75" style="width:272.25pt;height:32.05pt" o:ole="">
            <v:imagedata r:id="rId3175" o:title=""/>
          </v:shape>
          <o:OLEObject Type="Embed" ProgID="Equation.DSMT4" ShapeID="_x0000_i2594" DrawAspect="Content" ObjectID="_1791376538" r:id="rId3176"/>
        </w:object>
      </w:r>
    </w:p>
    <w:p w14:paraId="5832DAEA" w14:textId="77777777" w:rsidR="00411620" w:rsidRPr="0026684F" w:rsidRDefault="00411620" w:rsidP="00411620">
      <w:pPr>
        <w:rPr>
          <w:rFonts w:eastAsiaTheme="minorEastAsia"/>
          <w:i/>
          <w:sz w:val="23"/>
          <w:szCs w:val="23"/>
          <w:rtl/>
          <w:lang w:bidi="ar-SA"/>
        </w:rPr>
      </w:pPr>
    </w:p>
    <w:p w14:paraId="320520D2" w14:textId="77777777" w:rsidR="00411620" w:rsidRPr="0026684F" w:rsidRDefault="00411620" w:rsidP="00411620">
      <w:pPr>
        <w:pStyle w:val="Heading1"/>
        <w:spacing w:before="0" w:after="0" w:line="216" w:lineRule="auto"/>
        <w:rPr>
          <w:rFonts w:ascii="Times New Roman" w:eastAsiaTheme="minorEastAsia" w:hAnsi="Times New Roman" w:cs="B Nazanin"/>
          <w:b w:val="0"/>
          <w:i/>
          <w:sz w:val="23"/>
          <w:szCs w:val="23"/>
          <w:rtl/>
        </w:rPr>
      </w:pPr>
      <w:r w:rsidRPr="0026684F">
        <w:rPr>
          <w:rFonts w:ascii="Times New Roman" w:eastAsiaTheme="minorEastAsia" w:hAnsi="Times New Roman" w:cs="B Nazanin" w:hint="cs"/>
          <w:b w:val="0"/>
          <w:i/>
          <w:sz w:val="23"/>
          <w:szCs w:val="23"/>
          <w:rtl/>
        </w:rPr>
        <w:t>۵. ۳ تأمین مالی مخارج دولت</w:t>
      </w:r>
    </w:p>
    <w:p w14:paraId="09C8DBA7" w14:textId="77777777" w:rsidR="00411620" w:rsidRPr="0026684F" w:rsidRDefault="00411620" w:rsidP="00411620">
      <w:pPr>
        <w:spacing w:line="216" w:lineRule="auto"/>
        <w:rPr>
          <w:rFonts w:eastAsiaTheme="minorEastAsia"/>
          <w:i/>
          <w:sz w:val="23"/>
          <w:szCs w:val="23"/>
        </w:rPr>
      </w:pPr>
      <w:r w:rsidRPr="0026684F">
        <w:rPr>
          <w:rFonts w:eastAsiaTheme="minorEastAsia" w:hint="cs"/>
          <w:i/>
          <w:sz w:val="23"/>
          <w:szCs w:val="23"/>
          <w:rtl/>
        </w:rPr>
        <w:t>اکنون تأمین مالی مخارج دولت را از طریق مالیات و انتشار اوراق قرضه، و با فرض ثابت</w:t>
      </w:r>
      <w:r w:rsidRPr="0026684F">
        <w:rPr>
          <w:rFonts w:eastAsiaTheme="minorEastAsia"/>
          <w:i/>
          <w:sz w:val="23"/>
          <w:szCs w:val="23"/>
        </w:rPr>
        <w:t xml:space="preserve"> </w:t>
      </w:r>
      <w:r w:rsidRPr="0026684F">
        <w:rPr>
          <w:rFonts w:eastAsiaTheme="minorEastAsia" w:hint="cs"/>
          <w:i/>
          <w:sz w:val="23"/>
          <w:szCs w:val="23"/>
          <w:rtl/>
        </w:rPr>
        <w:t>بودن نرخ بهره و سطح عمومی قیمت‌ها</w:t>
      </w:r>
      <w:r w:rsidRPr="00703635">
        <w:rPr>
          <w:position w:val="-12"/>
        </w:rPr>
        <w:object w:dxaOrig="900" w:dyaOrig="360" w14:anchorId="501EEC92">
          <v:shape id="_x0000_i2595" type="#_x0000_t75" style="width:44.75pt;height:18.15pt" o:ole="">
            <v:imagedata r:id="rId3177" o:title=""/>
          </v:shape>
          <o:OLEObject Type="Embed" ProgID="Equation.DSMT4" ShapeID="_x0000_i2595" DrawAspect="Content" ObjectID="_1791376539" r:id="rId3178"/>
        </w:object>
      </w:r>
      <w:r w:rsidRPr="0026684F">
        <w:rPr>
          <w:rFonts w:eastAsiaTheme="minorEastAsia" w:hint="cs"/>
          <w:i/>
          <w:sz w:val="23"/>
          <w:szCs w:val="23"/>
          <w:rtl/>
        </w:rPr>
        <w:t xml:space="preserve"> بررسی کرده، و تأمین مالی از طریق پول را فعلاً بررسی نمی</w:t>
      </w:r>
      <w:r w:rsidRPr="0026684F">
        <w:rPr>
          <w:rFonts w:eastAsiaTheme="minorEastAsia"/>
          <w:i/>
          <w:sz w:val="23"/>
          <w:szCs w:val="23"/>
          <w:rtl/>
        </w:rPr>
        <w:softHyphen/>
      </w:r>
      <w:r w:rsidRPr="0026684F">
        <w:rPr>
          <w:rFonts w:eastAsiaTheme="minorEastAsia" w:hint="cs"/>
          <w:i/>
          <w:sz w:val="23"/>
          <w:szCs w:val="23"/>
          <w:rtl/>
        </w:rPr>
        <w:t>کنیم</w:t>
      </w:r>
      <w:r w:rsidRPr="0026684F">
        <w:rPr>
          <w:rFonts w:eastAsiaTheme="minorEastAsia"/>
          <w:i/>
          <w:sz w:val="23"/>
          <w:szCs w:val="23"/>
        </w:rPr>
        <w:t xml:space="preserve">  </w:t>
      </w:r>
      <w:r w:rsidRPr="0026684F">
        <w:rPr>
          <w:rFonts w:eastAsiaTheme="minorEastAsia" w:hint="cs"/>
          <w:i/>
          <w:sz w:val="23"/>
          <w:szCs w:val="23"/>
          <w:rtl/>
        </w:rPr>
        <w:t>(</w:t>
      </w:r>
      <w:r w:rsidRPr="00703635">
        <w:rPr>
          <w:position w:val="-10"/>
        </w:rPr>
        <w:object w:dxaOrig="920" w:dyaOrig="320" w14:anchorId="4D666D83">
          <v:shape id="_x0000_i2596" type="#_x0000_t75" style="width:46pt;height:15.75pt" o:ole="">
            <v:imagedata r:id="rId3179" o:title=""/>
          </v:shape>
          <o:OLEObject Type="Embed" ProgID="Equation.DSMT4" ShapeID="_x0000_i2596" DrawAspect="Content" ObjectID="_1791376540" r:id="rId3180"/>
        </w:object>
      </w:r>
      <w:r w:rsidRPr="0026684F">
        <w:rPr>
          <w:rFonts w:eastAsiaTheme="minorEastAsia" w:hint="cs"/>
          <w:i/>
          <w:sz w:val="23"/>
          <w:szCs w:val="23"/>
          <w:rtl/>
        </w:rPr>
        <w:t>).</w:t>
      </w:r>
    </w:p>
    <w:p w14:paraId="799F5474" w14:textId="77777777" w:rsidR="00411620" w:rsidRPr="0026684F" w:rsidRDefault="00411620" w:rsidP="00411620">
      <w:pPr>
        <w:spacing w:line="216" w:lineRule="auto"/>
        <w:rPr>
          <w:rFonts w:eastAsiaTheme="minorEastAsia"/>
          <w:i/>
          <w:sz w:val="23"/>
          <w:szCs w:val="23"/>
          <w:rtl/>
        </w:rPr>
      </w:pPr>
    </w:p>
    <w:p w14:paraId="7077EE95" w14:textId="77777777" w:rsidR="00411620" w:rsidRPr="0026684F" w:rsidRDefault="00411620" w:rsidP="00411620">
      <w:pPr>
        <w:pStyle w:val="Heading1"/>
        <w:spacing w:before="0" w:after="0" w:line="216" w:lineRule="auto"/>
        <w:rPr>
          <w:rFonts w:ascii="Times New Roman" w:eastAsiaTheme="minorEastAsia" w:hAnsi="Times New Roman" w:cs="B Nazanin"/>
          <w:b w:val="0"/>
          <w:i/>
          <w:sz w:val="23"/>
          <w:szCs w:val="23"/>
          <w:rtl/>
        </w:rPr>
      </w:pPr>
      <w:r w:rsidRPr="0026684F">
        <w:rPr>
          <w:rFonts w:ascii="Times New Roman" w:eastAsiaTheme="minorEastAsia" w:hAnsi="Times New Roman" w:cs="B Nazanin" w:hint="cs"/>
          <w:b w:val="0"/>
          <w:i/>
          <w:sz w:val="23"/>
          <w:szCs w:val="23"/>
          <w:rtl/>
        </w:rPr>
        <w:t>الف: تامین مالی مخارج دولت از طریق مالیات</w:t>
      </w:r>
    </w:p>
    <w:p w14:paraId="4408C17D" w14:textId="77777777" w:rsidR="00411620" w:rsidRPr="0026684F" w:rsidRDefault="00411620" w:rsidP="00411620">
      <w:pPr>
        <w:spacing w:line="216" w:lineRule="auto"/>
        <w:rPr>
          <w:rFonts w:eastAsiaTheme="minorEastAsia"/>
          <w:i/>
          <w:sz w:val="23"/>
          <w:szCs w:val="23"/>
        </w:rPr>
      </w:pPr>
      <w:r w:rsidRPr="0026684F">
        <w:rPr>
          <w:rFonts w:eastAsiaTheme="minorEastAsia" w:hint="cs"/>
          <w:i/>
          <w:sz w:val="23"/>
          <w:szCs w:val="23"/>
          <w:rtl/>
        </w:rPr>
        <w:t>فرض کنید مخارج دولت بطور دائم</w:t>
      </w:r>
      <w:r w:rsidRPr="0026684F">
        <w:rPr>
          <w:rFonts w:eastAsiaTheme="minorEastAsia"/>
          <w:i/>
          <w:sz w:val="23"/>
          <w:szCs w:val="23"/>
        </w:rPr>
        <w:t xml:space="preserve"> </w:t>
      </w:r>
      <w:r w:rsidRPr="0026684F">
        <w:rPr>
          <w:rFonts w:eastAsiaTheme="minorEastAsia" w:hint="cs"/>
          <w:i/>
          <w:sz w:val="23"/>
          <w:szCs w:val="23"/>
          <w:rtl/>
        </w:rPr>
        <w:t>و به میزان</w:t>
      </w:r>
      <w:r w:rsidRPr="00703635">
        <w:rPr>
          <w:position w:val="-10"/>
        </w:rPr>
        <w:object w:dxaOrig="360" w:dyaOrig="320" w14:anchorId="6D841793">
          <v:shape id="_x0000_i2597" type="#_x0000_t75" style="width:18.15pt;height:15.75pt" o:ole="">
            <v:imagedata r:id="rId3181" o:title=""/>
          </v:shape>
          <o:OLEObject Type="Embed" ProgID="Equation.DSMT4" ShapeID="_x0000_i2597" DrawAspect="Content" ObjectID="_1791376541" r:id="rId3182"/>
        </w:object>
      </w:r>
      <w:r w:rsidRPr="0026684F">
        <w:rPr>
          <w:rFonts w:eastAsiaTheme="minorEastAsia" w:hint="cs"/>
          <w:i/>
          <w:sz w:val="23"/>
          <w:szCs w:val="23"/>
          <w:rtl/>
        </w:rPr>
        <w:t xml:space="preserve"> از زمان </w:t>
      </w:r>
      <w:r w:rsidRPr="0026684F">
        <w:rPr>
          <w:rFonts w:eastAsiaTheme="minorEastAsia"/>
          <w:i/>
          <w:sz w:val="23"/>
          <w:szCs w:val="23"/>
        </w:rPr>
        <w:t>t</w:t>
      </w:r>
      <w:r w:rsidRPr="0026684F">
        <w:rPr>
          <w:rFonts w:eastAsiaTheme="minorEastAsia" w:hint="cs"/>
          <w:i/>
          <w:sz w:val="23"/>
          <w:szCs w:val="23"/>
          <w:rtl/>
        </w:rPr>
        <w:t xml:space="preserve"> افزایش یابد و این مخارج نیز فقط از طریق مالیات‌ها تأمین اعتبار شود (</w:t>
      </w:r>
      <w:r w:rsidRPr="00703635">
        <w:rPr>
          <w:position w:val="-10"/>
        </w:rPr>
        <w:object w:dxaOrig="1760" w:dyaOrig="320" w14:anchorId="7F894C33">
          <v:shape id="_x0000_i2598" type="#_x0000_t75" style="width:87.75pt;height:15.75pt" o:ole="">
            <v:imagedata r:id="rId3183" o:title=""/>
          </v:shape>
          <o:OLEObject Type="Embed" ProgID="Equation.DSMT4" ShapeID="_x0000_i2598" DrawAspect="Content" ObjectID="_1791376542" r:id="rId3184"/>
        </w:object>
      </w:r>
      <w:r w:rsidRPr="0026684F">
        <w:rPr>
          <w:rFonts w:eastAsiaTheme="minorEastAsia" w:hint="cs"/>
          <w:i/>
          <w:sz w:val="23"/>
          <w:szCs w:val="23"/>
          <w:rtl/>
        </w:rPr>
        <w:t>). قید بودجه</w:t>
      </w:r>
      <w:r w:rsidRPr="0026684F">
        <w:rPr>
          <w:rFonts w:eastAsiaTheme="minorEastAsia"/>
          <w:i/>
          <w:sz w:val="23"/>
          <w:szCs w:val="23"/>
        </w:rPr>
        <w:softHyphen/>
      </w:r>
      <w:r w:rsidRPr="0026684F">
        <w:rPr>
          <w:rFonts w:eastAsiaTheme="minorEastAsia" w:hint="cs"/>
          <w:i/>
          <w:sz w:val="23"/>
          <w:szCs w:val="23"/>
          <w:rtl/>
        </w:rPr>
        <w:t>ی حقیقی دولت (رابطه</w:t>
      </w:r>
      <w:r w:rsidRPr="0026684F">
        <w:rPr>
          <w:rFonts w:eastAsiaTheme="minorEastAsia"/>
          <w:i/>
          <w:sz w:val="23"/>
          <w:szCs w:val="23"/>
          <w:rtl/>
        </w:rPr>
        <w:softHyphen/>
      </w:r>
      <w:r w:rsidRPr="0026684F">
        <w:rPr>
          <w:rFonts w:eastAsiaTheme="minorEastAsia" w:hint="cs"/>
          <w:i/>
          <w:sz w:val="23"/>
          <w:szCs w:val="23"/>
          <w:rtl/>
        </w:rPr>
        <w:t>ی</w:t>
      </w:r>
      <w:r w:rsidRPr="0026684F">
        <w:rPr>
          <w:rFonts w:eastAsiaTheme="minorEastAsia"/>
          <w:i/>
          <w:sz w:val="23"/>
          <w:szCs w:val="23"/>
          <w:rtl/>
        </w:rPr>
        <w:softHyphen/>
      </w:r>
      <w:r w:rsidRPr="0026684F">
        <w:rPr>
          <w:rFonts w:hint="cs"/>
          <w:i/>
          <w:sz w:val="23"/>
          <w:szCs w:val="23"/>
          <w:rtl/>
        </w:rPr>
        <w:t>(۵. ۳)</w:t>
      </w:r>
      <w:r w:rsidRPr="0026684F">
        <w:rPr>
          <w:rFonts w:eastAsiaTheme="minorEastAsia" w:hint="cs"/>
          <w:i/>
          <w:sz w:val="23"/>
          <w:szCs w:val="23"/>
          <w:rtl/>
        </w:rPr>
        <w:t>) در زمان</w:t>
      </w:r>
      <w:r w:rsidRPr="0026684F">
        <w:rPr>
          <w:rFonts w:eastAsiaTheme="minorEastAsia"/>
          <w:i/>
          <w:sz w:val="23"/>
          <w:szCs w:val="23"/>
          <w:rtl/>
        </w:rPr>
        <w:softHyphen/>
      </w:r>
      <w:r w:rsidRPr="0026684F">
        <w:rPr>
          <w:rFonts w:eastAsiaTheme="minorEastAsia" w:hint="cs"/>
          <w:i/>
          <w:sz w:val="23"/>
          <w:szCs w:val="23"/>
          <w:rtl/>
        </w:rPr>
        <w:t xml:space="preserve">های </w:t>
      </w:r>
      <w:r w:rsidRPr="00703635">
        <w:rPr>
          <w:position w:val="-8"/>
        </w:rPr>
        <w:object w:dxaOrig="999" w:dyaOrig="279" w14:anchorId="513D2CA6">
          <v:shape id="_x0000_i2599" type="#_x0000_t75" style="width:50.2pt;height:13.9pt" o:ole="">
            <v:imagedata r:id="rId3185" o:title=""/>
          </v:shape>
          <o:OLEObject Type="Embed" ProgID="Equation.DSMT4" ShapeID="_x0000_i2599" DrawAspect="Content" ObjectID="_1791376543" r:id="rId3186"/>
        </w:object>
      </w:r>
      <w:r w:rsidRPr="0026684F">
        <w:rPr>
          <w:rFonts w:eastAsiaTheme="minorEastAsia" w:hint="cs"/>
          <w:i/>
          <w:sz w:val="23"/>
          <w:szCs w:val="23"/>
          <w:rtl/>
        </w:rPr>
        <w:t xml:space="preserve"> برابر است با</w:t>
      </w:r>
    </w:p>
    <w:p w14:paraId="1EF3BFE3" w14:textId="77777777" w:rsidR="00411620" w:rsidRPr="0026684F" w:rsidRDefault="00411620" w:rsidP="00411620">
      <w:pPr>
        <w:pStyle w:val="MTDisplayEquation"/>
        <w:bidi/>
        <w:spacing w:line="216" w:lineRule="auto"/>
        <w:jc w:val="right"/>
        <w:rPr>
          <w:rFonts w:ascii="Times New Roman" w:eastAsiaTheme="minorEastAsia" w:hAnsi="Times New Roman" w:cs="B Nazanin"/>
          <w:i/>
          <w:sz w:val="23"/>
          <w:szCs w:val="23"/>
        </w:rPr>
      </w:pPr>
      <w:r w:rsidRPr="0026684F">
        <w:rPr>
          <w:rFonts w:ascii="Times New Roman" w:hAnsi="Times New Roman" w:cs="B Nazanin"/>
          <w:i/>
          <w:sz w:val="23"/>
          <w:szCs w:val="23"/>
        </w:rPr>
        <w:tab/>
      </w:r>
      <w:r w:rsidRPr="00703635">
        <w:rPr>
          <w:position w:val="-10"/>
        </w:rPr>
        <w:object w:dxaOrig="2200" w:dyaOrig="320" w14:anchorId="32E6BA57">
          <v:shape id="_x0000_i2600" type="#_x0000_t75" style="width:110.1pt;height:15.75pt" o:ole="">
            <v:imagedata r:id="rId3187" o:title=""/>
          </v:shape>
          <o:OLEObject Type="Embed" ProgID="Equation.DSMT4" ShapeID="_x0000_i2600" DrawAspect="Content" ObjectID="_1791376544" r:id="rId3188"/>
        </w:object>
      </w:r>
    </w:p>
    <w:p w14:paraId="08153B63" w14:textId="77777777" w:rsidR="00411620" w:rsidRPr="0026684F" w:rsidRDefault="00411620" w:rsidP="00411620">
      <w:pPr>
        <w:pStyle w:val="MTDisplayEquation"/>
        <w:bidi/>
        <w:spacing w:line="216" w:lineRule="auto"/>
        <w:jc w:val="right"/>
        <w:rPr>
          <w:rFonts w:ascii="Times New Roman" w:eastAsiaTheme="minorEastAsia" w:hAnsi="Times New Roman" w:cs="B Nazanin"/>
          <w:i/>
          <w:sz w:val="23"/>
          <w:szCs w:val="23"/>
        </w:rPr>
      </w:pPr>
      <w:r w:rsidRPr="0026684F">
        <w:rPr>
          <w:rFonts w:ascii="Times New Roman" w:hAnsi="Times New Roman" w:cs="B Nazanin"/>
          <w:i/>
          <w:sz w:val="23"/>
          <w:szCs w:val="23"/>
        </w:rPr>
        <w:tab/>
      </w:r>
      <w:r w:rsidRPr="00703635">
        <w:rPr>
          <w:position w:val="-10"/>
        </w:rPr>
        <w:object w:dxaOrig="2960" w:dyaOrig="320" w14:anchorId="588773DF">
          <v:shape id="_x0000_i2601" type="#_x0000_t75" style="width:148.25pt;height:15.75pt" o:ole="">
            <v:imagedata r:id="rId3189" o:title=""/>
          </v:shape>
          <o:OLEObject Type="Embed" ProgID="Equation.DSMT4" ShapeID="_x0000_i2601" DrawAspect="Content" ObjectID="_1791376545" r:id="rId3190"/>
        </w:object>
      </w:r>
    </w:p>
    <w:p w14:paraId="3194093A" w14:textId="77777777" w:rsidR="00411620" w:rsidRPr="0026684F" w:rsidRDefault="00411620" w:rsidP="00411620">
      <w:pPr>
        <w:pStyle w:val="MTDisplayEquation"/>
        <w:bidi/>
        <w:spacing w:line="216" w:lineRule="auto"/>
        <w:jc w:val="right"/>
        <w:rPr>
          <w:rFonts w:ascii="Times New Roman" w:eastAsiaTheme="minorEastAsia" w:hAnsi="Times New Roman" w:cs="B Nazanin"/>
          <w:i/>
          <w:sz w:val="23"/>
          <w:szCs w:val="23"/>
        </w:rPr>
      </w:pPr>
      <w:r w:rsidRPr="0026684F">
        <w:rPr>
          <w:rFonts w:ascii="Times New Roman" w:hAnsi="Times New Roman" w:cs="B Nazanin"/>
          <w:i/>
          <w:sz w:val="23"/>
          <w:szCs w:val="23"/>
        </w:rPr>
        <w:tab/>
      </w:r>
      <w:r w:rsidRPr="00703635">
        <w:rPr>
          <w:position w:val="-12"/>
        </w:rPr>
        <w:object w:dxaOrig="4900" w:dyaOrig="360" w14:anchorId="5F750ACD">
          <v:shape id="_x0000_i2602" type="#_x0000_t75" style="width:245.05pt;height:18.15pt" o:ole="">
            <v:imagedata r:id="rId3191" o:title=""/>
          </v:shape>
          <o:OLEObject Type="Embed" ProgID="Equation.DSMT4" ShapeID="_x0000_i2602" DrawAspect="Content" ObjectID="_1791376546" r:id="rId3192"/>
        </w:object>
      </w:r>
    </w:p>
    <w:p w14:paraId="1732BBC2"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لذا اگر مخارج دولت بطور دائم به اندازه</w:t>
      </w:r>
      <w:r w:rsidRPr="00703635">
        <w:rPr>
          <w:position w:val="-10"/>
        </w:rPr>
        <w:object w:dxaOrig="360" w:dyaOrig="320" w14:anchorId="282C3DAE">
          <v:shape id="_x0000_i2603" type="#_x0000_t75" style="width:18.15pt;height:15.75pt" o:ole="">
            <v:imagedata r:id="rId3193" o:title=""/>
          </v:shape>
          <o:OLEObject Type="Embed" ProgID="Equation.DSMT4" ShapeID="_x0000_i2603" DrawAspect="Content" ObjectID="_1791376547" r:id="rId3194"/>
        </w:object>
      </w:r>
      <w:r w:rsidRPr="0026684F">
        <w:rPr>
          <w:rFonts w:eastAsiaTheme="minorEastAsia" w:hint="cs"/>
          <w:i/>
          <w:sz w:val="23"/>
          <w:szCs w:val="23"/>
          <w:rtl/>
        </w:rPr>
        <w:t xml:space="preserve"> افزایش یابد، مالیات نیز می</w:t>
      </w:r>
      <w:r w:rsidRPr="0026684F">
        <w:rPr>
          <w:rFonts w:eastAsiaTheme="minorEastAsia"/>
          <w:i/>
          <w:sz w:val="23"/>
          <w:szCs w:val="23"/>
          <w:rtl/>
        </w:rPr>
        <w:softHyphen/>
      </w:r>
      <w:r w:rsidRPr="0026684F">
        <w:rPr>
          <w:rFonts w:eastAsiaTheme="minorEastAsia" w:hint="cs"/>
          <w:i/>
          <w:sz w:val="23"/>
          <w:szCs w:val="23"/>
          <w:rtl/>
        </w:rPr>
        <w:t>بایست بطور دائم به اندازه</w:t>
      </w:r>
      <w:r w:rsidRPr="00703635">
        <w:rPr>
          <w:position w:val="-10"/>
        </w:rPr>
        <w:object w:dxaOrig="380" w:dyaOrig="320" w14:anchorId="44470292">
          <v:shape id="_x0000_i2604" type="#_x0000_t75" style="width:18.75pt;height:15.75pt" o:ole="">
            <v:imagedata r:id="rId3195" o:title=""/>
          </v:shape>
          <o:OLEObject Type="Embed" ProgID="Equation.DSMT4" ShapeID="_x0000_i2604" DrawAspect="Content" ObjectID="_1791376548" r:id="rId3196"/>
        </w:object>
      </w:r>
      <w:r w:rsidRPr="0026684F">
        <w:rPr>
          <w:rFonts w:eastAsiaTheme="minorEastAsia" w:hint="cs"/>
          <w:i/>
          <w:sz w:val="23"/>
          <w:szCs w:val="23"/>
          <w:rtl/>
        </w:rPr>
        <w:t xml:space="preserve"> افزایش یابد تا رابطه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۳)</w:t>
      </w:r>
      <w:r w:rsidRPr="0026684F">
        <w:rPr>
          <w:rFonts w:eastAsiaTheme="minorEastAsia" w:hint="cs"/>
          <w:i/>
          <w:sz w:val="23"/>
          <w:szCs w:val="23"/>
          <w:rtl/>
        </w:rPr>
        <w:t xml:space="preserve"> همواره برقرار باشد. اکنون اثر افزایش دائمی مخارج دولت و تامین اعتبار آن از طریق مالیات‌ها را بر مصرف</w:t>
      </w:r>
      <w:r w:rsidRPr="00703635">
        <w:rPr>
          <w:position w:val="-6"/>
        </w:rPr>
        <w:object w:dxaOrig="160" w:dyaOrig="200" w14:anchorId="733A6404">
          <v:shape id="_x0000_i2605" type="#_x0000_t75" style="width:7.85pt;height:10.3pt" o:ole="">
            <v:imagedata r:id="rId3197" o:title=""/>
          </v:shape>
          <o:OLEObject Type="Embed" ProgID="Equation.DSMT4" ShapeID="_x0000_i2605" DrawAspect="Content" ObjectID="_1791376549" r:id="rId3198"/>
        </w:object>
      </w:r>
      <w:r w:rsidRPr="0026684F">
        <w:rPr>
          <w:i/>
          <w:sz w:val="23"/>
          <w:szCs w:val="23"/>
        </w:rPr>
        <w:t xml:space="preserve"> </w:t>
      </w:r>
      <w:r w:rsidRPr="0026684F">
        <w:rPr>
          <w:rFonts w:eastAsiaTheme="minorEastAsia" w:hint="cs"/>
          <w:i/>
          <w:sz w:val="23"/>
          <w:szCs w:val="23"/>
          <w:rtl/>
        </w:rPr>
        <w:t>و</w:t>
      </w:r>
      <w:r w:rsidRPr="0026684F">
        <w:rPr>
          <w:rFonts w:eastAsiaTheme="minorEastAsia"/>
          <w:i/>
          <w:sz w:val="23"/>
          <w:szCs w:val="23"/>
        </w:rPr>
        <w:t xml:space="preserve"> </w:t>
      </w:r>
      <w:r w:rsidRPr="0026684F">
        <w:rPr>
          <w:rFonts w:eastAsiaTheme="minorEastAsia" w:hint="cs"/>
          <w:i/>
          <w:sz w:val="23"/>
          <w:szCs w:val="23"/>
          <w:rtl/>
        </w:rPr>
        <w:t>تولید</w:t>
      </w:r>
      <w:r w:rsidRPr="00703635">
        <w:rPr>
          <w:position w:val="-8"/>
        </w:rPr>
        <w:object w:dxaOrig="200" w:dyaOrig="220" w14:anchorId="221BEA83">
          <v:shape id="_x0000_i2606" type="#_x0000_t75" style="width:10.3pt;height:10.9pt" o:ole="">
            <v:imagedata r:id="rId3199" o:title=""/>
          </v:shape>
          <o:OLEObject Type="Embed" ProgID="Equation.DSMT4" ShapeID="_x0000_i2606" DrawAspect="Content" ObjectID="_1791376550" r:id="rId3200"/>
        </w:object>
      </w:r>
      <w:r w:rsidRPr="0026684F">
        <w:rPr>
          <w:rFonts w:eastAsiaTheme="minorEastAsia"/>
          <w:i/>
          <w:sz w:val="23"/>
          <w:szCs w:val="23"/>
        </w:rPr>
        <w:t xml:space="preserve"> </w:t>
      </w:r>
      <w:r w:rsidRPr="0026684F">
        <w:rPr>
          <w:rFonts w:eastAsiaTheme="minorEastAsia" w:hint="cs"/>
          <w:i/>
          <w:sz w:val="23"/>
          <w:szCs w:val="23"/>
          <w:rtl/>
        </w:rPr>
        <w:t>بررسی می</w:t>
      </w:r>
      <w:r w:rsidRPr="0026684F">
        <w:rPr>
          <w:rFonts w:eastAsiaTheme="minorEastAsia"/>
          <w:i/>
          <w:sz w:val="23"/>
          <w:szCs w:val="23"/>
          <w:rtl/>
        </w:rPr>
        <w:softHyphen/>
      </w:r>
      <w:r w:rsidRPr="0026684F">
        <w:rPr>
          <w:rFonts w:eastAsiaTheme="minorEastAsia" w:hint="cs"/>
          <w:i/>
          <w:sz w:val="23"/>
          <w:szCs w:val="23"/>
          <w:rtl/>
        </w:rPr>
        <w:t>کنیم.</w:t>
      </w:r>
    </w:p>
    <w:p w14:paraId="1059B21C"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قبلاً ملاحظه کردیم که مخارج مصرفی نسبتی از ثروت است نه درآمد. با فرض ثابت بودن سطح عمومی قیمت‌ها، نرخ تورم صفر است آنگاه مصرف و ثروت خانوار برابر خواهد شد با</w:t>
      </w:r>
    </w:p>
    <w:p w14:paraId="5C128B3A" w14:textId="77777777" w:rsidR="00411620" w:rsidRPr="0026684F" w:rsidRDefault="00411620" w:rsidP="00411620">
      <w:pPr>
        <w:pStyle w:val="MTDisplayEquation"/>
        <w:spacing w:line="216" w:lineRule="auto"/>
        <w:jc w:val="left"/>
        <w:rPr>
          <w:rFonts w:ascii="Times New Roman" w:eastAsiaTheme="minorEastAsia" w:hAnsi="Times New Roman" w:cs="B Nazanin"/>
          <w:i/>
          <w:sz w:val="23"/>
          <w:szCs w:val="23"/>
        </w:rPr>
      </w:pPr>
      <w:r w:rsidRPr="00703635">
        <w:rPr>
          <w:position w:val="-34"/>
        </w:rPr>
        <w:object w:dxaOrig="4380" w:dyaOrig="700" w14:anchorId="24005D36">
          <v:shape id="_x0000_i2607" type="#_x0000_t75" style="width:219.05pt;height:35.1pt" o:ole="">
            <v:imagedata r:id="rId3201" o:title=""/>
          </v:shape>
          <o:OLEObject Type="Embed" ProgID="Equation.DSMT4" ShapeID="_x0000_i2607" DrawAspect="Content" ObjectID="_1791376551" r:id="rId3202"/>
        </w:object>
      </w:r>
    </w:p>
    <w:p w14:paraId="4E740C9B"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که در آن متغیر</w:t>
      </w:r>
      <w:r w:rsidRPr="00703635">
        <w:rPr>
          <w:position w:val="-10"/>
        </w:rPr>
        <w:object w:dxaOrig="260" w:dyaOrig="320" w14:anchorId="3D04AE3E">
          <v:shape id="_x0000_i2608" type="#_x0000_t75" style="width:12.7pt;height:15.75pt" o:ole="">
            <v:imagedata r:id="rId3203" o:title=""/>
          </v:shape>
          <o:OLEObject Type="Embed" ProgID="Equation.DSMT4" ShapeID="_x0000_i2608" DrawAspect="Content" ObjectID="_1791376552" r:id="rId3204"/>
        </w:object>
      </w:r>
      <w:r w:rsidRPr="0026684F">
        <w:rPr>
          <w:rFonts w:eastAsiaTheme="minorEastAsia" w:hint="cs"/>
          <w:i/>
          <w:sz w:val="23"/>
          <w:szCs w:val="23"/>
          <w:rtl/>
        </w:rPr>
        <w:t xml:space="preserve"> درآمد قبل از مالیات است و برون‏زاست. اگر فرض کنیم درآمد و مالیات نیز ثابت باشند، آنگاه برای هر </w:t>
      </w:r>
      <w:r w:rsidRPr="00703635">
        <w:rPr>
          <w:position w:val="-6"/>
        </w:rPr>
        <w:object w:dxaOrig="520" w:dyaOrig="260" w14:anchorId="779D6141">
          <v:shape id="_x0000_i2609" type="#_x0000_t75" style="width:26pt;height:12.7pt" o:ole="">
            <v:imagedata r:id="rId3205" o:title=""/>
          </v:shape>
          <o:OLEObject Type="Embed" ProgID="Equation.DSMT4" ShapeID="_x0000_i2609" DrawAspect="Content" ObjectID="_1791376553" r:id="rId3206"/>
        </w:object>
      </w:r>
      <w:r w:rsidRPr="0026684F">
        <w:rPr>
          <w:rFonts w:eastAsiaTheme="minorEastAsia" w:hint="cs"/>
          <w:i/>
          <w:sz w:val="23"/>
          <w:szCs w:val="23"/>
          <w:rtl/>
        </w:rPr>
        <w:t xml:space="preserve"> داریم </w:t>
      </w:r>
      <w:r w:rsidRPr="00703635">
        <w:rPr>
          <w:position w:val="-10"/>
        </w:rPr>
        <w:object w:dxaOrig="780" w:dyaOrig="320" w14:anchorId="6BA8E78F">
          <v:shape id="_x0000_i2610" type="#_x0000_t75" style="width:38.7pt;height:15.75pt" o:ole="">
            <v:imagedata r:id="rId3207" o:title=""/>
          </v:shape>
          <o:OLEObject Type="Embed" ProgID="Equation.DSMT4" ShapeID="_x0000_i2610" DrawAspect="Content" ObjectID="_1791376554" r:id="rId3208"/>
        </w:object>
      </w:r>
      <w:r w:rsidRPr="0026684F">
        <w:rPr>
          <w:rFonts w:eastAsiaTheme="minorEastAsia" w:hint="cs"/>
          <w:i/>
          <w:sz w:val="23"/>
          <w:szCs w:val="23"/>
          <w:rtl/>
        </w:rPr>
        <w:t xml:space="preserve"> و</w:t>
      </w:r>
      <w:r w:rsidRPr="00703635">
        <w:rPr>
          <w:position w:val="-10"/>
        </w:rPr>
        <w:object w:dxaOrig="780" w:dyaOrig="320" w14:anchorId="49C836FC">
          <v:shape id="_x0000_i2611" type="#_x0000_t75" style="width:38.7pt;height:15.75pt" o:ole="">
            <v:imagedata r:id="rId3209" o:title=""/>
          </v:shape>
          <o:OLEObject Type="Embed" ProgID="Equation.DSMT4" ShapeID="_x0000_i2611" DrawAspect="Content" ObjectID="_1791376555" r:id="rId3210"/>
        </w:object>
      </w:r>
      <w:r w:rsidRPr="0026684F">
        <w:rPr>
          <w:rFonts w:eastAsiaTheme="minorEastAsia"/>
          <w:i/>
          <w:sz w:val="23"/>
          <w:szCs w:val="23"/>
        </w:rPr>
        <w:t xml:space="preserve"> .</w:t>
      </w:r>
      <w:r w:rsidRPr="0026684F">
        <w:rPr>
          <w:rFonts w:eastAsiaTheme="minorEastAsia" w:hint="cs"/>
          <w:i/>
          <w:sz w:val="23"/>
          <w:szCs w:val="23"/>
          <w:rtl/>
        </w:rPr>
        <w:t xml:space="preserve"> لذا </w:t>
      </w:r>
    </w:p>
    <w:p w14:paraId="55147CA9"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34"/>
        </w:rPr>
        <w:object w:dxaOrig="3680" w:dyaOrig="700" w14:anchorId="20F239E4">
          <v:shape id="_x0000_i2612" type="#_x0000_t75" style="width:183.95pt;height:35.1pt" o:ole="">
            <v:imagedata r:id="rId3211" o:title=""/>
          </v:shape>
          <o:OLEObject Type="Embed" ProgID="Equation.DSMT4" ShapeID="_x0000_i2612" DrawAspect="Content" ObjectID="_1791376556" r:id="rId3212"/>
        </w:object>
      </w:r>
    </w:p>
    <w:p w14:paraId="0DFF3DE2"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34"/>
        </w:rPr>
        <w:object w:dxaOrig="4380" w:dyaOrig="700" w14:anchorId="07A3993A">
          <v:shape id="_x0000_i2613" type="#_x0000_t75" style="width:219.05pt;height:35.1pt" o:ole="">
            <v:imagedata r:id="rId3213" o:title=""/>
          </v:shape>
          <o:OLEObject Type="Embed" ProgID="Equation.DSMT4" ShapeID="_x0000_i2613" DrawAspect="Content" ObjectID="_1791376557" r:id="rId3214"/>
        </w:object>
      </w:r>
    </w:p>
    <w:p w14:paraId="13F5BC74" w14:textId="77777777" w:rsidR="00411620" w:rsidRPr="0026684F" w:rsidRDefault="00411620" w:rsidP="00411620">
      <w:pPr>
        <w:pStyle w:val="MTDisplayEquation"/>
        <w:spacing w:line="216" w:lineRule="auto"/>
        <w:rPr>
          <w:sz w:val="23"/>
          <w:szCs w:val="23"/>
        </w:rPr>
      </w:pPr>
      <w:r w:rsidRPr="00703635">
        <w:rPr>
          <w:position w:val="-34"/>
        </w:rPr>
        <w:object w:dxaOrig="4720" w:dyaOrig="800" w14:anchorId="2A39FECB">
          <v:shape id="_x0000_i2614" type="#_x0000_t75" style="width:235.95pt;height:39.95pt" o:ole="">
            <v:imagedata r:id="rId3215" o:title=""/>
          </v:shape>
          <o:OLEObject Type="Embed" ProgID="Equation.DSMT4" ShapeID="_x0000_i2614" DrawAspect="Content" ObjectID="_1791376558" r:id="rId3216"/>
        </w:object>
      </w:r>
    </w:p>
    <w:p w14:paraId="554B6E34" w14:textId="77777777" w:rsidR="00411620" w:rsidRPr="0026684F" w:rsidRDefault="00411620" w:rsidP="00411620">
      <w:pPr>
        <w:bidi w:val="0"/>
        <w:rPr>
          <w:rFonts w:eastAsiaTheme="minorEastAsia"/>
          <w:sz w:val="23"/>
          <w:szCs w:val="23"/>
          <w:rtl/>
          <w:lang w:bidi="ar-SA"/>
        </w:rPr>
      </w:pPr>
      <w:r w:rsidRPr="00703635">
        <w:rPr>
          <w:position w:val="-22"/>
        </w:rPr>
        <w:object w:dxaOrig="2439" w:dyaOrig="560" w14:anchorId="0DF0787B">
          <v:shape id="_x0000_i2615" type="#_x0000_t75" style="width:122.2pt;height:27.85pt" o:ole="">
            <v:imagedata r:id="rId3217" o:title=""/>
          </v:shape>
          <o:OLEObject Type="Embed" ProgID="Equation.DSMT4" ShapeID="_x0000_i2615" DrawAspect="Content" ObjectID="_1791376559" r:id="rId3218"/>
        </w:object>
      </w:r>
    </w:p>
    <w:p w14:paraId="49CFA658"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بنابراین</w:t>
      </w:r>
    </w:p>
    <w:p w14:paraId="3E2D558F" w14:textId="77777777" w:rsidR="00411620" w:rsidRPr="0026684F" w:rsidRDefault="00411620" w:rsidP="00411620">
      <w:pPr>
        <w:bidi w:val="0"/>
        <w:spacing w:line="216" w:lineRule="auto"/>
        <w:rPr>
          <w:rFonts w:eastAsiaTheme="minorEastAsia"/>
          <w:i/>
          <w:sz w:val="23"/>
          <w:szCs w:val="23"/>
        </w:rPr>
      </w:pPr>
      <w:r w:rsidRPr="00703635">
        <w:rPr>
          <w:position w:val="-22"/>
        </w:rPr>
        <w:object w:dxaOrig="2480" w:dyaOrig="560" w14:anchorId="5D4ACC24">
          <v:shape id="_x0000_i2616" type="#_x0000_t75" style="width:124.05pt;height:27.85pt" o:ole="">
            <v:imagedata r:id="rId3219" o:title=""/>
          </v:shape>
          <o:OLEObject Type="Embed" ProgID="Equation.DSMT4" ShapeID="_x0000_i2616" DrawAspect="Content" ObjectID="_1791376560" r:id="rId3220"/>
        </w:object>
      </w:r>
      <w:r w:rsidRPr="0026684F">
        <w:rPr>
          <w:i/>
          <w:sz w:val="23"/>
          <w:szCs w:val="23"/>
          <w:rtl/>
        </w:rPr>
        <w:tab/>
      </w:r>
      <w:r w:rsidRPr="0026684F">
        <w:rPr>
          <w:i/>
          <w:sz w:val="23"/>
          <w:szCs w:val="23"/>
        </w:rPr>
        <w:tab/>
      </w:r>
      <w:r w:rsidRPr="0026684F">
        <w:rPr>
          <w:i/>
          <w:sz w:val="23"/>
          <w:szCs w:val="23"/>
        </w:rPr>
        <w:tab/>
      </w:r>
      <w:r w:rsidRPr="0026684F">
        <w:rPr>
          <w:i/>
          <w:sz w:val="23"/>
          <w:szCs w:val="23"/>
        </w:rPr>
        <w:tab/>
      </w:r>
      <w:r w:rsidRPr="0026684F">
        <w:rPr>
          <w:i/>
          <w:sz w:val="23"/>
          <w:szCs w:val="23"/>
        </w:rPr>
        <w:tab/>
      </w:r>
      <w:r w:rsidRPr="0026684F">
        <w:rPr>
          <w:i/>
          <w:sz w:val="23"/>
          <w:szCs w:val="23"/>
        </w:rPr>
        <w:tab/>
      </w:r>
      <w:r>
        <w:rPr>
          <w:i/>
          <w:sz w:val="23"/>
          <w:szCs w:val="23"/>
          <w:rtl/>
        </w:rPr>
        <w:tab/>
      </w:r>
      <w:r>
        <w:rPr>
          <w:i/>
          <w:sz w:val="23"/>
          <w:szCs w:val="23"/>
          <w:rtl/>
        </w:rPr>
        <w:tab/>
      </w:r>
      <w:r w:rsidRPr="0026684F">
        <w:rPr>
          <w:i/>
          <w:sz w:val="23"/>
          <w:szCs w:val="23"/>
          <w:rtl/>
        </w:rPr>
        <w:tab/>
      </w:r>
      <w:r w:rsidRPr="0026684F">
        <w:rPr>
          <w:i/>
          <w:sz w:val="23"/>
          <w:szCs w:val="23"/>
          <w:rtl/>
        </w:rPr>
        <w:tab/>
      </w:r>
      <w:r w:rsidRPr="0026684F">
        <w:rPr>
          <w:rFonts w:hint="cs"/>
          <w:i/>
          <w:sz w:val="23"/>
          <w:szCs w:val="23"/>
          <w:rtl/>
        </w:rPr>
        <w:t xml:space="preserve"> </w:t>
      </w:r>
      <w:r w:rsidRPr="0026684F">
        <w:rPr>
          <w:i/>
          <w:sz w:val="23"/>
          <w:szCs w:val="23"/>
          <w:rtl/>
        </w:rPr>
        <w:tab/>
      </w:r>
      <w:r w:rsidRPr="0026684F">
        <w:rPr>
          <w:rFonts w:hint="cs"/>
          <w:i/>
          <w:sz w:val="23"/>
          <w:szCs w:val="23"/>
          <w:rtl/>
        </w:rPr>
        <w:t xml:space="preserve"> </w:t>
      </w:r>
      <w:r w:rsidRPr="0026684F">
        <w:rPr>
          <w:i/>
          <w:sz w:val="23"/>
          <w:szCs w:val="23"/>
        </w:rPr>
        <w:tab/>
      </w:r>
      <w:r w:rsidRPr="0026684F">
        <w:rPr>
          <w:i/>
          <w:sz w:val="23"/>
          <w:szCs w:val="23"/>
          <w:rtl/>
        </w:rPr>
        <w:tab/>
      </w:r>
      <w:r w:rsidRPr="0026684F">
        <w:rPr>
          <w:rFonts w:hint="cs"/>
          <w:i/>
          <w:sz w:val="23"/>
          <w:szCs w:val="23"/>
          <w:rtl/>
        </w:rPr>
        <w:t>(۵. ۴)</w:t>
      </w:r>
      <w:r w:rsidRPr="0026684F">
        <w:rPr>
          <w:rFonts w:eastAsiaTheme="minorEastAsia"/>
          <w:i/>
          <w:sz w:val="23"/>
          <w:szCs w:val="23"/>
        </w:rPr>
        <w:tab/>
      </w:r>
    </w:p>
    <w:p w14:paraId="6C3835C0"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اگر در زمان</w:t>
      </w:r>
      <w:r w:rsidRPr="00703635">
        <w:rPr>
          <w:position w:val="-6"/>
        </w:rPr>
        <w:object w:dxaOrig="139" w:dyaOrig="240" w14:anchorId="19866988">
          <v:shape id="_x0000_i2617" type="#_x0000_t75" style="width:7.25pt;height:12.1pt" o:ole="">
            <v:imagedata r:id="rId3221" o:title=""/>
          </v:shape>
          <o:OLEObject Type="Embed" ProgID="Equation.DSMT4" ShapeID="_x0000_i2617" DrawAspect="Content" ObjectID="_1791376561" r:id="rId3222"/>
        </w:object>
      </w:r>
      <w:r w:rsidRPr="0026684F">
        <w:rPr>
          <w:rFonts w:eastAsiaTheme="minorEastAsia" w:hint="cs"/>
          <w:i/>
          <w:sz w:val="23"/>
          <w:szCs w:val="23"/>
          <w:rtl/>
        </w:rPr>
        <w:t xml:space="preserve"> مخارج دولت و به تبع آن مالیات بطور دائم افزایش یابند، آنگاه مصرف در زمان </w:t>
      </w:r>
      <w:r w:rsidRPr="00703635">
        <w:rPr>
          <w:position w:val="-6"/>
        </w:rPr>
        <w:object w:dxaOrig="420" w:dyaOrig="260" w14:anchorId="548B41D3">
          <v:shape id="_x0000_i2618" type="#_x0000_t75" style="width:21.2pt;height:12.7pt" o:ole="">
            <v:imagedata r:id="rId3223" o:title=""/>
          </v:shape>
          <o:OLEObject Type="Embed" ProgID="Equation.DSMT4" ShapeID="_x0000_i2618" DrawAspect="Content" ObjectID="_1791376562" r:id="rId3224"/>
        </w:object>
      </w:r>
      <w:r w:rsidRPr="0026684F">
        <w:rPr>
          <w:rFonts w:eastAsiaTheme="minorEastAsia" w:hint="cs"/>
          <w:i/>
          <w:sz w:val="23"/>
          <w:szCs w:val="23"/>
          <w:rtl/>
        </w:rPr>
        <w:t xml:space="preserve"> و</w:t>
      </w:r>
      <w:r w:rsidRPr="00703635">
        <w:rPr>
          <w:position w:val="-6"/>
        </w:rPr>
        <w:object w:dxaOrig="139" w:dyaOrig="240" w14:anchorId="7D691710">
          <v:shape id="_x0000_i2619" type="#_x0000_t75" style="width:7.25pt;height:12.1pt" o:ole="">
            <v:imagedata r:id="rId3225" o:title=""/>
          </v:shape>
          <o:OLEObject Type="Embed" ProgID="Equation.DSMT4" ShapeID="_x0000_i2619" DrawAspect="Content" ObjectID="_1791376563" r:id="rId3226"/>
        </w:object>
      </w:r>
      <w:r w:rsidRPr="0026684F">
        <w:rPr>
          <w:rFonts w:eastAsiaTheme="minorEastAsia" w:hint="cs"/>
          <w:i/>
          <w:sz w:val="23"/>
          <w:szCs w:val="23"/>
          <w:rtl/>
        </w:rPr>
        <w:t xml:space="preserve"> برابر خواهد بود با:</w:t>
      </w:r>
    </w:p>
    <w:p w14:paraId="4372E8AE" w14:textId="77777777" w:rsidR="00411620" w:rsidRPr="0026684F" w:rsidRDefault="00411620" w:rsidP="00411620">
      <w:pPr>
        <w:bidi w:val="0"/>
        <w:spacing w:line="216" w:lineRule="auto"/>
        <w:rPr>
          <w:rFonts w:eastAsiaTheme="minorEastAsia"/>
          <w:i/>
          <w:sz w:val="23"/>
          <w:szCs w:val="23"/>
        </w:rPr>
      </w:pPr>
      <w:r w:rsidRPr="00703635">
        <w:rPr>
          <w:position w:val="-10"/>
        </w:rPr>
        <w:object w:dxaOrig="2540" w:dyaOrig="320" w14:anchorId="43A6B1BB">
          <v:shape id="_x0000_i2620" type="#_x0000_t75" style="width:127.05pt;height:15.75pt" o:ole="">
            <v:imagedata r:id="rId3227" o:title=""/>
          </v:shape>
          <o:OLEObject Type="Embed" ProgID="Equation.DSMT4" ShapeID="_x0000_i2620" DrawAspect="Content" ObjectID="_1791376564" r:id="rId3228"/>
        </w:object>
      </w:r>
      <w:r w:rsidRPr="0026684F">
        <w:rPr>
          <w:rFonts w:eastAsiaTheme="minorEastAsia"/>
          <w:i/>
          <w:sz w:val="23"/>
          <w:szCs w:val="23"/>
        </w:rPr>
        <w:t xml:space="preserve"> </w:t>
      </w:r>
    </w:p>
    <w:p w14:paraId="2A5544A3" w14:textId="77777777" w:rsidR="00411620" w:rsidRPr="0026684F" w:rsidRDefault="00411620" w:rsidP="00411620">
      <w:pPr>
        <w:bidi w:val="0"/>
        <w:spacing w:line="216" w:lineRule="auto"/>
        <w:rPr>
          <w:rFonts w:eastAsiaTheme="minorEastAsia"/>
          <w:i/>
          <w:sz w:val="23"/>
          <w:szCs w:val="23"/>
        </w:rPr>
      </w:pPr>
      <w:r w:rsidRPr="00703635">
        <w:rPr>
          <w:position w:val="-10"/>
        </w:rPr>
        <w:object w:dxaOrig="4740" w:dyaOrig="320" w14:anchorId="6CFD2294">
          <v:shape id="_x0000_i2621" type="#_x0000_t75" style="width:237.2pt;height:15.75pt" o:ole="">
            <v:imagedata r:id="rId3229" o:title=""/>
          </v:shape>
          <o:OLEObject Type="Embed" ProgID="Equation.DSMT4" ShapeID="_x0000_i2621" DrawAspect="Content" ObjectID="_1791376565" r:id="rId3230"/>
        </w:object>
      </w:r>
      <w:r w:rsidRPr="0026684F">
        <w:rPr>
          <w:rFonts w:eastAsiaTheme="minorEastAsia"/>
          <w:i/>
          <w:sz w:val="23"/>
          <w:szCs w:val="23"/>
        </w:rPr>
        <w:t xml:space="preserve"> </w:t>
      </w:r>
    </w:p>
    <w:p w14:paraId="2436EA7F" w14:textId="77777777" w:rsidR="00411620" w:rsidRPr="0026684F" w:rsidRDefault="00411620" w:rsidP="00411620">
      <w:pPr>
        <w:bidi w:val="0"/>
        <w:spacing w:line="216" w:lineRule="auto"/>
        <w:rPr>
          <w:rFonts w:eastAsiaTheme="minorEastAsia"/>
          <w:i/>
          <w:sz w:val="23"/>
          <w:szCs w:val="23"/>
        </w:rPr>
      </w:pPr>
      <w:r w:rsidRPr="00703635">
        <w:rPr>
          <w:position w:val="-10"/>
        </w:rPr>
        <w:object w:dxaOrig="4099" w:dyaOrig="320" w14:anchorId="46248B31">
          <v:shape id="_x0000_i2622" type="#_x0000_t75" style="width:205.1pt;height:15.75pt" o:ole="">
            <v:imagedata r:id="rId3231" o:title=""/>
          </v:shape>
          <o:OLEObject Type="Embed" ProgID="Equation.DSMT4" ShapeID="_x0000_i2622" DrawAspect="Content" ObjectID="_1791376566" r:id="rId3232"/>
        </w:object>
      </w:r>
      <w:r w:rsidRPr="0026684F">
        <w:rPr>
          <w:rFonts w:eastAsiaTheme="minorEastAsia"/>
          <w:i/>
          <w:sz w:val="23"/>
          <w:szCs w:val="23"/>
        </w:rPr>
        <w:t xml:space="preserve"> </w:t>
      </w:r>
    </w:p>
    <w:p w14:paraId="69CED656"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 xml:space="preserve"> و یا:</w:t>
      </w:r>
    </w:p>
    <w:p w14:paraId="3F019708" w14:textId="77777777" w:rsidR="00411620" w:rsidRPr="0026684F" w:rsidRDefault="00411620" w:rsidP="00411620">
      <w:pPr>
        <w:bidi w:val="0"/>
        <w:spacing w:line="216" w:lineRule="auto"/>
        <w:rPr>
          <w:rFonts w:eastAsiaTheme="minorEastAsia"/>
          <w:i/>
          <w:sz w:val="23"/>
          <w:szCs w:val="23"/>
        </w:rPr>
      </w:pPr>
      <w:r w:rsidRPr="00703635">
        <w:rPr>
          <w:position w:val="-10"/>
        </w:rPr>
        <w:object w:dxaOrig="2720" w:dyaOrig="320" w14:anchorId="02FCA15C">
          <v:shape id="_x0000_i2623" type="#_x0000_t75" style="width:136.15pt;height:15.75pt" o:ole="">
            <v:imagedata r:id="rId3233" o:title=""/>
          </v:shape>
          <o:OLEObject Type="Embed" ProgID="Equation.DSMT4" ShapeID="_x0000_i2623" DrawAspect="Content" ObjectID="_1791376567" r:id="rId3234"/>
        </w:object>
      </w:r>
      <w:r w:rsidRPr="0026684F">
        <w:rPr>
          <w:rFonts w:eastAsiaTheme="minorEastAsia"/>
          <w:i/>
          <w:sz w:val="23"/>
          <w:szCs w:val="23"/>
        </w:rPr>
        <w:t xml:space="preserve"> </w:t>
      </w:r>
    </w:p>
    <w:p w14:paraId="3B0BD610"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لذا افزایش در مخارج دولت، از طریق کاهش در مخارج مصرفی بخاطر افزایش مالیات و تأثیر آن بر ثروت کاملاً خنثی می</w:t>
      </w:r>
      <w:r w:rsidRPr="0026684F">
        <w:rPr>
          <w:rFonts w:eastAsiaTheme="minorEastAsia"/>
          <w:i/>
          <w:sz w:val="23"/>
          <w:szCs w:val="23"/>
          <w:rtl/>
        </w:rPr>
        <w:softHyphen/>
      </w:r>
      <w:r w:rsidRPr="0026684F">
        <w:rPr>
          <w:rFonts w:eastAsiaTheme="minorEastAsia" w:hint="cs"/>
          <w:i/>
          <w:sz w:val="23"/>
          <w:szCs w:val="23"/>
          <w:rtl/>
        </w:rPr>
        <w:t>شود.</w:t>
      </w:r>
    </w:p>
    <w:p w14:paraId="501FFA94"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اتحاد حساب</w:t>
      </w:r>
      <w:r w:rsidRPr="0026684F">
        <w:rPr>
          <w:rFonts w:eastAsiaTheme="minorEastAsia"/>
          <w:i/>
          <w:sz w:val="23"/>
          <w:szCs w:val="23"/>
        </w:rPr>
        <w:softHyphen/>
      </w:r>
      <w:r w:rsidRPr="0026684F">
        <w:rPr>
          <w:rFonts w:eastAsiaTheme="minorEastAsia" w:hint="cs"/>
          <w:i/>
          <w:sz w:val="23"/>
          <w:szCs w:val="23"/>
          <w:rtl/>
        </w:rPr>
        <w:t xml:space="preserve">داری ملی در زمان </w:t>
      </w:r>
      <w:r w:rsidRPr="0026684F">
        <w:rPr>
          <w:rFonts w:eastAsiaTheme="minorEastAsia"/>
          <w:i/>
          <w:sz w:val="23"/>
          <w:szCs w:val="23"/>
        </w:rPr>
        <w:t>t-1</w:t>
      </w:r>
      <w:r w:rsidRPr="0026684F">
        <w:rPr>
          <w:rFonts w:eastAsiaTheme="minorEastAsia" w:hint="cs"/>
          <w:i/>
          <w:sz w:val="23"/>
          <w:szCs w:val="23"/>
          <w:rtl/>
        </w:rPr>
        <w:t xml:space="preserve"> و</w:t>
      </w:r>
      <w:r w:rsidRPr="0026684F">
        <w:rPr>
          <w:rFonts w:eastAsiaTheme="minorEastAsia"/>
          <w:i/>
          <w:sz w:val="23"/>
          <w:szCs w:val="23"/>
        </w:rPr>
        <w:t xml:space="preserve">t </w:t>
      </w:r>
      <w:r w:rsidRPr="0026684F">
        <w:rPr>
          <w:rFonts w:eastAsiaTheme="minorEastAsia" w:hint="cs"/>
          <w:i/>
          <w:sz w:val="23"/>
          <w:szCs w:val="23"/>
          <w:rtl/>
        </w:rPr>
        <w:t xml:space="preserve"> نیز برابر است با :</w:t>
      </w:r>
    </w:p>
    <w:p w14:paraId="75DCE6A4" w14:textId="77777777" w:rsidR="00411620" w:rsidRPr="0026684F" w:rsidRDefault="00411620" w:rsidP="00411620">
      <w:pPr>
        <w:bidi w:val="0"/>
        <w:spacing w:line="216" w:lineRule="auto"/>
        <w:rPr>
          <w:rFonts w:eastAsiaTheme="minorEastAsia"/>
          <w:i/>
          <w:sz w:val="23"/>
          <w:szCs w:val="23"/>
          <w:rtl/>
        </w:rPr>
      </w:pPr>
      <w:r w:rsidRPr="00703635">
        <w:rPr>
          <w:position w:val="-10"/>
        </w:rPr>
        <w:object w:dxaOrig="2060" w:dyaOrig="320" w14:anchorId="30C6EFA2">
          <v:shape id="_x0000_i2624" type="#_x0000_t75" style="width:102.85pt;height:15.75pt" o:ole="">
            <v:imagedata r:id="rId3235" o:title=""/>
          </v:shape>
          <o:OLEObject Type="Embed" ProgID="Equation.DSMT4" ShapeID="_x0000_i2624" DrawAspect="Content" ObjectID="_1791376568" r:id="rId3236"/>
        </w:object>
      </w:r>
      <w:r w:rsidRPr="0026684F">
        <w:rPr>
          <w:rFonts w:eastAsiaTheme="minorEastAsia"/>
          <w:i/>
          <w:sz w:val="23"/>
          <w:szCs w:val="23"/>
        </w:rPr>
        <w:t xml:space="preserve"> </w:t>
      </w:r>
    </w:p>
    <w:p w14:paraId="36890A7B" w14:textId="77777777" w:rsidR="00411620" w:rsidRPr="0026684F" w:rsidRDefault="00411620" w:rsidP="00411620">
      <w:pPr>
        <w:pStyle w:val="MTDisplayEquation"/>
        <w:spacing w:line="216" w:lineRule="auto"/>
        <w:jc w:val="left"/>
        <w:rPr>
          <w:rFonts w:ascii="Times New Roman" w:eastAsiaTheme="minorEastAsia" w:hAnsi="Times New Roman" w:cs="B Nazanin"/>
          <w:i/>
          <w:sz w:val="23"/>
          <w:szCs w:val="23"/>
          <w:rtl/>
        </w:rPr>
      </w:pPr>
      <w:r w:rsidRPr="00703635">
        <w:rPr>
          <w:position w:val="-10"/>
        </w:rPr>
        <w:object w:dxaOrig="5300" w:dyaOrig="320" w14:anchorId="5AE3EFF2">
          <v:shape id="_x0000_i2625" type="#_x0000_t75" style="width:265pt;height:15.75pt" o:ole="">
            <v:imagedata r:id="rId3237" o:title=""/>
          </v:shape>
          <o:OLEObject Type="Embed" ProgID="Equation.DSMT4" ShapeID="_x0000_i2625" DrawAspect="Content" ObjectID="_1791376569" r:id="rId3238"/>
        </w:object>
      </w:r>
    </w:p>
    <w:p w14:paraId="4263CF8C"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p>
    <w:p w14:paraId="0A1E16EA" w14:textId="77777777" w:rsidR="00411620" w:rsidRPr="0026684F" w:rsidRDefault="00411620" w:rsidP="00411620">
      <w:pPr>
        <w:spacing w:line="216" w:lineRule="auto"/>
        <w:rPr>
          <w:rFonts w:eastAsiaTheme="minorEastAsia"/>
          <w:i/>
          <w:sz w:val="23"/>
          <w:szCs w:val="23"/>
        </w:rPr>
      </w:pPr>
      <w:r w:rsidRPr="0026684F">
        <w:rPr>
          <w:rFonts w:eastAsiaTheme="minorEastAsia" w:hint="cs"/>
          <w:i/>
          <w:sz w:val="23"/>
          <w:szCs w:val="23"/>
          <w:rtl/>
        </w:rPr>
        <w:t xml:space="preserve">بنابراین تولید ناخالص داخلی حقیقی یا </w:t>
      </w:r>
      <w:r w:rsidRPr="0026684F">
        <w:rPr>
          <w:rFonts w:eastAsiaTheme="minorEastAsia"/>
          <w:i/>
          <w:sz w:val="23"/>
          <w:szCs w:val="23"/>
        </w:rPr>
        <w:t>GDP</w:t>
      </w:r>
      <w:r w:rsidRPr="0026684F">
        <w:rPr>
          <w:rFonts w:eastAsiaTheme="minorEastAsia" w:hint="cs"/>
          <w:i/>
          <w:sz w:val="23"/>
          <w:szCs w:val="23"/>
          <w:rtl/>
        </w:rPr>
        <w:t xml:space="preserve"> حقیقی نیز بدون تغییر باقی مانده</w:t>
      </w:r>
      <w:r w:rsidRPr="0026684F">
        <w:rPr>
          <w:rFonts w:eastAsiaTheme="minorEastAsia"/>
          <w:i/>
          <w:sz w:val="23"/>
          <w:szCs w:val="23"/>
        </w:rPr>
        <w:t xml:space="preserve"> </w:t>
      </w:r>
      <w:r w:rsidRPr="0026684F">
        <w:rPr>
          <w:rFonts w:eastAsiaTheme="minorEastAsia" w:hint="cs"/>
          <w:i/>
          <w:sz w:val="23"/>
          <w:szCs w:val="23"/>
          <w:rtl/>
        </w:rPr>
        <w:t>و سیاست مالی سبب می</w:t>
      </w:r>
      <w:r w:rsidRPr="0026684F">
        <w:rPr>
          <w:rFonts w:eastAsiaTheme="minorEastAsia"/>
          <w:i/>
          <w:sz w:val="23"/>
          <w:szCs w:val="23"/>
          <w:rtl/>
        </w:rPr>
        <w:softHyphen/>
      </w:r>
      <w:r w:rsidRPr="0026684F">
        <w:rPr>
          <w:rFonts w:eastAsiaTheme="minorEastAsia" w:hint="cs"/>
          <w:i/>
          <w:sz w:val="23"/>
          <w:szCs w:val="23"/>
          <w:rtl/>
        </w:rPr>
        <w:t>شود مخارج مصرفی خصوصی خانوار کاملاً خنثی شود. زیرا افزایش مخارج دولت بواسطه</w:t>
      </w:r>
      <w:r w:rsidRPr="0026684F">
        <w:rPr>
          <w:rFonts w:eastAsiaTheme="minorEastAsia"/>
          <w:i/>
          <w:sz w:val="23"/>
          <w:szCs w:val="23"/>
          <w:rtl/>
        </w:rPr>
        <w:softHyphen/>
      </w:r>
      <w:r w:rsidRPr="0026684F">
        <w:rPr>
          <w:rFonts w:eastAsiaTheme="minorEastAsia" w:hint="cs"/>
          <w:i/>
          <w:sz w:val="23"/>
          <w:szCs w:val="23"/>
          <w:rtl/>
        </w:rPr>
        <w:t>ی افزایش مالیات انتظاری سبب می</w:t>
      </w:r>
      <w:r w:rsidRPr="0026684F">
        <w:rPr>
          <w:rFonts w:eastAsiaTheme="minorEastAsia"/>
          <w:i/>
          <w:sz w:val="23"/>
          <w:szCs w:val="23"/>
          <w:rtl/>
        </w:rPr>
        <w:softHyphen/>
      </w:r>
      <w:r w:rsidRPr="0026684F">
        <w:rPr>
          <w:rFonts w:eastAsiaTheme="minorEastAsia" w:hint="cs"/>
          <w:i/>
          <w:sz w:val="23"/>
          <w:szCs w:val="23"/>
          <w:rtl/>
        </w:rPr>
        <w:t>شود مخارج مصرفی خصوصی خانوار کاملاً بیرون رانده شود.</w:t>
      </w:r>
      <w:r w:rsidRPr="0026684F">
        <w:rPr>
          <w:rStyle w:val="FootnoteReference"/>
          <w:rFonts w:eastAsiaTheme="minorEastAsia"/>
          <w:i/>
          <w:sz w:val="23"/>
          <w:szCs w:val="23"/>
          <w:rtl/>
        </w:rPr>
        <w:footnoteReference w:id="139"/>
      </w:r>
      <w:r w:rsidRPr="0026684F">
        <w:rPr>
          <w:rFonts w:eastAsiaTheme="minorEastAsia" w:hint="cs"/>
          <w:i/>
          <w:sz w:val="23"/>
          <w:szCs w:val="23"/>
          <w:rtl/>
        </w:rPr>
        <w:t xml:space="preserve"> </w:t>
      </w:r>
    </w:p>
    <w:p w14:paraId="3F61B572"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با پرداخت‌های انتقالی دولت به خانوار، ثروت</w:t>
      </w:r>
      <w:r w:rsidRPr="0026684F">
        <w:rPr>
          <w:rFonts w:eastAsiaTheme="minorEastAsia"/>
          <w:i/>
          <w:color w:val="FF0000"/>
          <w:sz w:val="23"/>
          <w:szCs w:val="23"/>
        </w:rPr>
        <w:t xml:space="preserve"> </w:t>
      </w:r>
      <w:r w:rsidRPr="0026684F">
        <w:rPr>
          <w:rFonts w:eastAsiaTheme="minorEastAsia" w:hint="cs"/>
          <w:i/>
          <w:sz w:val="23"/>
          <w:szCs w:val="23"/>
          <w:rtl/>
        </w:rPr>
        <w:t>برابر خواهد بود با:</w:t>
      </w:r>
    </w:p>
    <w:p w14:paraId="227AB739" w14:textId="77777777" w:rsidR="00411620" w:rsidRPr="0026684F" w:rsidRDefault="00411620" w:rsidP="00411620">
      <w:pPr>
        <w:pStyle w:val="MTDisplayEquation"/>
        <w:spacing w:line="216" w:lineRule="auto"/>
        <w:jc w:val="left"/>
        <w:rPr>
          <w:rFonts w:ascii="Times New Roman" w:eastAsiaTheme="minorEastAsia" w:hAnsi="Times New Roman" w:cs="B Nazanin"/>
          <w:i/>
          <w:sz w:val="23"/>
          <w:szCs w:val="23"/>
          <w:rtl/>
        </w:rPr>
      </w:pPr>
      <w:r w:rsidRPr="00703635">
        <w:rPr>
          <w:position w:val="-22"/>
        </w:rPr>
        <w:object w:dxaOrig="3159" w:dyaOrig="560" w14:anchorId="7578FC70">
          <v:shape id="_x0000_i2626" type="#_x0000_t75" style="width:157.9pt;height:27.85pt" o:ole="">
            <v:imagedata r:id="rId3239" o:title=""/>
          </v:shape>
          <o:OLEObject Type="Embed" ProgID="Equation.DSMT4" ShapeID="_x0000_i2626" DrawAspect="Content" ObjectID="_1791376570" r:id="rId3240"/>
        </w:object>
      </w:r>
    </w:p>
    <w:p w14:paraId="58D3D342"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سیاست مالی از طریق پرداخت‌های انتقالی</w:t>
      </w:r>
      <w:r w:rsidRPr="0026684F">
        <w:rPr>
          <w:rFonts w:eastAsiaTheme="minorEastAsia"/>
          <w:i/>
          <w:vanish/>
          <w:sz w:val="23"/>
          <w:szCs w:val="23"/>
          <w:rtl/>
        </w:rPr>
        <w:t>ف</w:t>
      </w:r>
      <w:r w:rsidRPr="0026684F">
        <w:rPr>
          <w:rFonts w:eastAsiaTheme="minorEastAsia" w:hint="cs"/>
          <w:i/>
          <w:vanish/>
          <w:sz w:val="23"/>
          <w:szCs w:val="23"/>
          <w:rtl/>
        </w:rPr>
        <w:t>ن بر ثروت کاملا خنت ثی می ش</w:t>
      </w:r>
      <w:r w:rsidRPr="0026684F">
        <w:rPr>
          <w:rFonts w:eastAsiaTheme="minorEastAsia" w:hint="cs"/>
          <w:i/>
          <w:sz w:val="23"/>
          <w:szCs w:val="23"/>
          <w:rtl/>
        </w:rPr>
        <w:t xml:space="preserve"> و تأمین مالی آن از طریق مالیات، ثروت را تغییر نمی</w:t>
      </w:r>
      <w:r w:rsidRPr="0026684F">
        <w:rPr>
          <w:rFonts w:eastAsiaTheme="minorEastAsia"/>
          <w:i/>
          <w:sz w:val="23"/>
          <w:szCs w:val="23"/>
          <w:rtl/>
        </w:rPr>
        <w:softHyphen/>
      </w:r>
      <w:r w:rsidRPr="0026684F">
        <w:rPr>
          <w:rFonts w:eastAsiaTheme="minorEastAsia" w:hint="cs"/>
          <w:i/>
          <w:sz w:val="23"/>
          <w:szCs w:val="23"/>
          <w:rtl/>
        </w:rPr>
        <w:t>دهد. زیرا</w:t>
      </w:r>
    </w:p>
    <w:p w14:paraId="515C64BD" w14:textId="77777777" w:rsidR="00411620" w:rsidRPr="0026684F" w:rsidRDefault="00411620" w:rsidP="00411620">
      <w:pPr>
        <w:pStyle w:val="MTDisplayEquation"/>
        <w:spacing w:line="216" w:lineRule="auto"/>
        <w:jc w:val="left"/>
        <w:rPr>
          <w:rFonts w:ascii="Times New Roman" w:eastAsiaTheme="minorEastAsia" w:hAnsi="Times New Roman" w:cs="B Nazanin"/>
          <w:i/>
          <w:sz w:val="23"/>
          <w:szCs w:val="23"/>
        </w:rPr>
      </w:pPr>
      <w:r w:rsidRPr="00703635">
        <w:rPr>
          <w:position w:val="-22"/>
        </w:rPr>
        <w:object w:dxaOrig="5140" w:dyaOrig="620" w14:anchorId="3D79599C">
          <v:shape id="_x0000_i2627" type="#_x0000_t75" style="width:256.55pt;height:30.85pt" o:ole="">
            <v:imagedata r:id="rId3241" o:title=""/>
          </v:shape>
          <o:OLEObject Type="Embed" ProgID="Equation.DSMT4" ShapeID="_x0000_i2627" DrawAspect="Content" ObjectID="_1791376571" r:id="rId3242"/>
        </w:object>
      </w:r>
    </w:p>
    <w:p w14:paraId="609197BA"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همانند قبل مخارج مصرفی حقیقی و تولید حقیقی بدون تغییر باقی می</w:t>
      </w:r>
      <w:r w:rsidRPr="0026684F">
        <w:rPr>
          <w:rFonts w:eastAsiaTheme="minorEastAsia"/>
          <w:i/>
          <w:sz w:val="23"/>
          <w:szCs w:val="23"/>
          <w:rtl/>
        </w:rPr>
        <w:softHyphen/>
      </w:r>
      <w:r w:rsidRPr="0026684F">
        <w:rPr>
          <w:rFonts w:eastAsiaTheme="minorEastAsia" w:hint="cs"/>
          <w:i/>
          <w:sz w:val="23"/>
          <w:szCs w:val="23"/>
          <w:rtl/>
        </w:rPr>
        <w:t>ما</w:t>
      </w:r>
      <w:r w:rsidRPr="0026684F">
        <w:rPr>
          <w:rFonts w:eastAsiaTheme="minorEastAsia"/>
          <w:i/>
          <w:sz w:val="23"/>
          <w:szCs w:val="23"/>
          <w:rtl/>
        </w:rPr>
        <w:softHyphen/>
      </w:r>
      <w:r w:rsidRPr="0026684F">
        <w:rPr>
          <w:rFonts w:eastAsiaTheme="minorEastAsia" w:hint="cs"/>
          <w:i/>
          <w:sz w:val="23"/>
          <w:szCs w:val="23"/>
          <w:rtl/>
        </w:rPr>
        <w:t xml:space="preserve">نند. </w:t>
      </w:r>
    </w:p>
    <w:p w14:paraId="4C769815"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همان</w:t>
      </w:r>
      <w:r w:rsidRPr="0026684F">
        <w:rPr>
          <w:rFonts w:eastAsiaTheme="minorEastAsia"/>
          <w:i/>
          <w:sz w:val="23"/>
          <w:szCs w:val="23"/>
          <w:rtl/>
        </w:rPr>
        <w:softHyphen/>
      </w:r>
      <w:r w:rsidRPr="0026684F">
        <w:rPr>
          <w:rFonts w:eastAsiaTheme="minorEastAsia" w:hint="cs"/>
          <w:i/>
          <w:sz w:val="23"/>
          <w:szCs w:val="23"/>
          <w:rtl/>
        </w:rPr>
        <w:t>گونه که ملاحظه می</w:t>
      </w:r>
      <w:r w:rsidRPr="0026684F">
        <w:rPr>
          <w:rFonts w:eastAsiaTheme="minorEastAsia"/>
          <w:i/>
          <w:sz w:val="23"/>
          <w:szCs w:val="23"/>
          <w:rtl/>
        </w:rPr>
        <w:softHyphen/>
      </w:r>
      <w:r w:rsidRPr="0026684F">
        <w:rPr>
          <w:rFonts w:eastAsiaTheme="minorEastAsia" w:hint="cs"/>
          <w:i/>
          <w:sz w:val="23"/>
          <w:szCs w:val="23"/>
          <w:rtl/>
        </w:rPr>
        <w:t>شود نتایج فوق مغایر ضریب تکاثر بودجه</w:t>
      </w:r>
      <w:r w:rsidRPr="0026684F">
        <w:rPr>
          <w:rFonts w:eastAsiaTheme="minorEastAsia"/>
          <w:i/>
          <w:sz w:val="23"/>
          <w:szCs w:val="23"/>
          <w:rtl/>
        </w:rPr>
        <w:softHyphen/>
      </w:r>
      <w:r w:rsidRPr="0026684F">
        <w:rPr>
          <w:rFonts w:eastAsiaTheme="minorEastAsia" w:hint="cs"/>
          <w:i/>
          <w:sz w:val="23"/>
          <w:szCs w:val="23"/>
          <w:rtl/>
        </w:rPr>
        <w:t>ی متوازن در مدل استاندارد کینزین است. زیرا در مدل کینزین مخارج مصرفی نسبتی از درآمد کل است نه ثروت. بنابراین</w:t>
      </w:r>
    </w:p>
    <w:p w14:paraId="7CB52B7A" w14:textId="77777777" w:rsidR="00411620" w:rsidRPr="0026684F" w:rsidRDefault="00411620" w:rsidP="00411620">
      <w:pPr>
        <w:pStyle w:val="MTDisplayEquation"/>
        <w:tabs>
          <w:tab w:val="clear" w:pos="3320"/>
          <w:tab w:val="clear" w:pos="6660"/>
        </w:tabs>
        <w:spacing w:line="216" w:lineRule="auto"/>
        <w:jc w:val="left"/>
        <w:rPr>
          <w:rFonts w:ascii="Times New Roman" w:eastAsiaTheme="minorEastAsia" w:hAnsi="Times New Roman" w:cs="B Nazanin"/>
          <w:i/>
          <w:sz w:val="23"/>
          <w:szCs w:val="23"/>
          <w:rtl/>
        </w:rPr>
      </w:pPr>
      <w:r w:rsidRPr="00703635">
        <w:rPr>
          <w:position w:val="-12"/>
        </w:rPr>
        <w:object w:dxaOrig="3040" w:dyaOrig="360" w14:anchorId="736F9880">
          <v:shape id="_x0000_i2628" type="#_x0000_t75" style="width:151.85pt;height:18.15pt" o:ole="">
            <v:imagedata r:id="rId3243" o:title=""/>
          </v:shape>
          <o:OLEObject Type="Embed" ProgID="Equation.DSMT4" ShapeID="_x0000_i2628" DrawAspect="Content" ObjectID="_1791376572" r:id="rId3244"/>
        </w:object>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Pr>
          <w:rFonts w:ascii="Times New Roman" w:hAnsi="Times New Roman" w:cs="B Nazanin"/>
          <w:i/>
          <w:sz w:val="23"/>
          <w:szCs w:val="23"/>
          <w:rtl/>
        </w:rPr>
        <w:tab/>
      </w:r>
      <w:r>
        <w:rPr>
          <w:rFonts w:ascii="Times New Roman" w:hAnsi="Times New Roman" w:cs="B Nazanin"/>
          <w:i/>
          <w:sz w:val="23"/>
          <w:szCs w:val="23"/>
          <w:rtl/>
        </w:rPr>
        <w:tab/>
      </w:r>
      <w:r>
        <w:rPr>
          <w:rFonts w:ascii="Times New Roman" w:hAnsi="Times New Roman" w:cs="B Nazanin"/>
          <w:i/>
          <w:sz w:val="23"/>
          <w:szCs w:val="23"/>
          <w:rtl/>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hint="cs"/>
          <w:i/>
          <w:sz w:val="23"/>
          <w:szCs w:val="23"/>
          <w:rtl/>
        </w:rPr>
        <w:t>(۵. ۵)</w:t>
      </w:r>
    </w:p>
    <w:p w14:paraId="4D51DCF5"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 xml:space="preserve">بعد از اعمال سیاست مالی در زمان </w:t>
      </w:r>
      <w:r w:rsidRPr="0026684F">
        <w:rPr>
          <w:rFonts w:eastAsiaTheme="minorEastAsia"/>
          <w:i/>
          <w:sz w:val="23"/>
          <w:szCs w:val="23"/>
        </w:rPr>
        <w:t>t</w:t>
      </w:r>
      <w:r w:rsidRPr="0026684F">
        <w:rPr>
          <w:rFonts w:eastAsiaTheme="minorEastAsia" w:hint="cs"/>
          <w:i/>
          <w:sz w:val="23"/>
          <w:szCs w:val="23"/>
          <w:rtl/>
        </w:rPr>
        <w:t xml:space="preserve"> داریم:</w:t>
      </w:r>
    </w:p>
    <w:p w14:paraId="589683BC" w14:textId="77777777" w:rsidR="00411620" w:rsidRPr="0026684F" w:rsidRDefault="00411620" w:rsidP="00411620">
      <w:pPr>
        <w:tabs>
          <w:tab w:val="left" w:pos="2840"/>
        </w:tabs>
        <w:bidi w:val="0"/>
        <w:spacing w:line="216" w:lineRule="auto"/>
        <w:rPr>
          <w:rFonts w:eastAsiaTheme="minorEastAsia"/>
          <w:i/>
          <w:sz w:val="23"/>
          <w:szCs w:val="23"/>
          <w:rtl/>
        </w:rPr>
      </w:pPr>
      <w:r w:rsidRPr="00703635">
        <w:rPr>
          <w:position w:val="-12"/>
        </w:rPr>
        <w:object w:dxaOrig="4360" w:dyaOrig="360" w14:anchorId="1B3A56BF">
          <v:shape id="_x0000_i2629" type="#_x0000_t75" style="width:217.8pt;height:18.15pt" o:ole="">
            <v:imagedata r:id="rId3245" o:title=""/>
          </v:shape>
          <o:OLEObject Type="Embed" ProgID="Equation.DSMT4" ShapeID="_x0000_i2629" DrawAspect="Content" ObjectID="_1791376573" r:id="rId3246"/>
        </w:object>
      </w:r>
      <w:r w:rsidRPr="0026684F">
        <w:rPr>
          <w:rFonts w:eastAsiaTheme="minorEastAsia"/>
          <w:i/>
          <w:sz w:val="23"/>
          <w:szCs w:val="23"/>
        </w:rPr>
        <w:t xml:space="preserve"> </w:t>
      </w:r>
    </w:p>
    <w:p w14:paraId="2148B03F" w14:textId="77777777" w:rsidR="00411620" w:rsidRPr="0026684F" w:rsidRDefault="00411620" w:rsidP="00411620">
      <w:pPr>
        <w:tabs>
          <w:tab w:val="left" w:pos="2840"/>
        </w:tabs>
        <w:bidi w:val="0"/>
        <w:spacing w:line="216" w:lineRule="auto"/>
        <w:rPr>
          <w:rFonts w:eastAsiaTheme="minorEastAsia"/>
          <w:i/>
          <w:sz w:val="23"/>
          <w:szCs w:val="23"/>
        </w:rPr>
      </w:pPr>
      <w:r w:rsidRPr="0026684F">
        <w:rPr>
          <w:rFonts w:eastAsiaTheme="minorEastAsia" w:hint="cs"/>
          <w:i/>
          <w:sz w:val="23"/>
          <w:szCs w:val="23"/>
        </w:rPr>
        <w:t xml:space="preserve"> </w:t>
      </w:r>
      <w:r w:rsidRPr="00703635">
        <w:rPr>
          <w:position w:val="-12"/>
        </w:rPr>
        <w:object w:dxaOrig="6039" w:dyaOrig="360" w14:anchorId="281E94C3">
          <v:shape id="_x0000_i2630" type="#_x0000_t75" style="width:301.9pt;height:18.15pt" o:ole="">
            <v:imagedata r:id="rId3247" o:title=""/>
          </v:shape>
          <o:OLEObject Type="Embed" ProgID="Equation.DSMT4" ShapeID="_x0000_i2630" DrawAspect="Content" ObjectID="_1791376574" r:id="rId3248"/>
        </w:object>
      </w:r>
      <w:r w:rsidRPr="0026684F">
        <w:rPr>
          <w:rFonts w:eastAsiaTheme="minorEastAsia"/>
          <w:i/>
          <w:sz w:val="23"/>
          <w:szCs w:val="23"/>
        </w:rPr>
        <w:t xml:space="preserve"> </w:t>
      </w:r>
    </w:p>
    <w:p w14:paraId="7C9E1868"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لذا با افزایش مخارج دولت، تولید نیز افزایش می</w:t>
      </w:r>
      <w:r w:rsidRPr="0026684F">
        <w:rPr>
          <w:rFonts w:eastAsiaTheme="minorEastAsia"/>
          <w:i/>
          <w:sz w:val="23"/>
          <w:szCs w:val="23"/>
          <w:rtl/>
        </w:rPr>
        <w:softHyphen/>
      </w:r>
      <w:r w:rsidRPr="0026684F">
        <w:rPr>
          <w:rFonts w:eastAsiaTheme="minorEastAsia" w:hint="cs"/>
          <w:i/>
          <w:sz w:val="23"/>
          <w:szCs w:val="23"/>
          <w:rtl/>
        </w:rPr>
        <w:t xml:space="preserve">یابد. زیرا در مدل کینزین داریم: </w:t>
      </w:r>
    </w:p>
    <w:p w14:paraId="581B3E79" w14:textId="77777777" w:rsidR="00411620" w:rsidRPr="0026684F" w:rsidRDefault="00411620" w:rsidP="00411620">
      <w:pPr>
        <w:tabs>
          <w:tab w:val="left" w:pos="2840"/>
        </w:tabs>
        <w:bidi w:val="0"/>
        <w:spacing w:line="216" w:lineRule="auto"/>
        <w:rPr>
          <w:rFonts w:eastAsiaTheme="minorEastAsia"/>
          <w:i/>
          <w:sz w:val="23"/>
          <w:szCs w:val="23"/>
          <w:rtl/>
        </w:rPr>
      </w:pPr>
      <w:r w:rsidRPr="0026684F">
        <w:rPr>
          <w:rFonts w:eastAsiaTheme="minorEastAsia" w:hint="cs"/>
          <w:i/>
          <w:sz w:val="23"/>
          <w:szCs w:val="23"/>
        </w:rPr>
        <w:t xml:space="preserve"> </w:t>
      </w:r>
      <w:r w:rsidRPr="00703635">
        <w:rPr>
          <w:position w:val="-26"/>
        </w:rPr>
        <w:object w:dxaOrig="1480" w:dyaOrig="600" w14:anchorId="383DB93C">
          <v:shape id="_x0000_i2631" type="#_x0000_t75" style="width:73.8pt;height:29.65pt" o:ole="">
            <v:imagedata r:id="rId3249" o:title=""/>
          </v:shape>
          <o:OLEObject Type="Embed" ProgID="Equation.DSMT4" ShapeID="_x0000_i2631" DrawAspect="Content" ObjectID="_1791376575" r:id="rId3250"/>
        </w:object>
      </w:r>
      <w:r w:rsidRPr="0026684F">
        <w:rPr>
          <w:rFonts w:eastAsiaTheme="minorEastAsia" w:hint="cs"/>
          <w:i/>
          <w:sz w:val="23"/>
          <w:szCs w:val="23"/>
          <w:rtl/>
        </w:rPr>
        <w:t xml:space="preserve"> </w:t>
      </w:r>
    </w:p>
    <w:p w14:paraId="283888FE" w14:textId="77777777" w:rsidR="00411620" w:rsidRPr="0026684F" w:rsidRDefault="00411620" w:rsidP="00411620">
      <w:pPr>
        <w:pStyle w:val="Heading1"/>
        <w:spacing w:before="0" w:after="0" w:line="216" w:lineRule="auto"/>
        <w:rPr>
          <w:rFonts w:ascii="Times New Roman" w:eastAsiaTheme="minorEastAsia" w:hAnsi="Times New Roman" w:cs="B Nazanin"/>
          <w:b w:val="0"/>
          <w:i/>
          <w:sz w:val="23"/>
          <w:szCs w:val="23"/>
          <w:rtl/>
        </w:rPr>
      </w:pPr>
      <w:r w:rsidRPr="0026684F">
        <w:rPr>
          <w:rFonts w:ascii="Times New Roman" w:eastAsiaTheme="minorEastAsia" w:hAnsi="Times New Roman" w:cs="B Nazanin" w:hint="cs"/>
          <w:b w:val="0"/>
          <w:i/>
          <w:sz w:val="23"/>
          <w:szCs w:val="23"/>
          <w:rtl/>
        </w:rPr>
        <w:t>ب: تأمین مالی مخارج دولت از طریق اوراق قرضه</w:t>
      </w:r>
    </w:p>
    <w:p w14:paraId="1BEC345E" w14:textId="77777777" w:rsidR="00411620" w:rsidRPr="0026684F" w:rsidRDefault="00411620" w:rsidP="00411620">
      <w:pPr>
        <w:tabs>
          <w:tab w:val="left" w:pos="2840"/>
        </w:tabs>
        <w:spacing w:line="216" w:lineRule="auto"/>
        <w:rPr>
          <w:rFonts w:eastAsiaTheme="minorEastAsia"/>
          <w:i/>
          <w:sz w:val="23"/>
          <w:szCs w:val="23"/>
        </w:rPr>
      </w:pPr>
      <w:r w:rsidRPr="0026684F">
        <w:rPr>
          <w:rFonts w:eastAsiaTheme="minorEastAsia" w:hint="cs"/>
          <w:i/>
          <w:sz w:val="23"/>
          <w:szCs w:val="23"/>
          <w:rtl/>
        </w:rPr>
        <w:t>با افزایش مخارج دولت و تامین آن از طریق اوراق قرضه</w:t>
      </w:r>
      <w:r w:rsidRPr="0026684F">
        <w:rPr>
          <w:rFonts w:eastAsiaTheme="minorEastAsia"/>
          <w:i/>
          <w:sz w:val="23"/>
          <w:szCs w:val="23"/>
          <w:rtl/>
        </w:rPr>
        <w:softHyphen/>
      </w:r>
      <w:r w:rsidRPr="0026684F">
        <w:rPr>
          <w:rFonts w:eastAsiaTheme="minorEastAsia" w:hint="cs"/>
          <w:i/>
          <w:sz w:val="23"/>
          <w:szCs w:val="23"/>
          <w:rtl/>
        </w:rPr>
        <w:t>ی دولتی، بهره</w:t>
      </w:r>
      <w:r w:rsidRPr="0026684F">
        <w:rPr>
          <w:rFonts w:eastAsiaTheme="minorEastAsia"/>
          <w:i/>
          <w:sz w:val="23"/>
          <w:szCs w:val="23"/>
          <w:rtl/>
        </w:rPr>
        <w:softHyphen/>
      </w:r>
      <w:r w:rsidRPr="0026684F">
        <w:rPr>
          <w:rFonts w:eastAsiaTheme="minorEastAsia" w:hint="cs"/>
          <w:i/>
          <w:sz w:val="23"/>
          <w:szCs w:val="23"/>
          <w:rtl/>
        </w:rPr>
        <w:t>ی پرداختی به اوراق قرضه نیز افزایش می</w:t>
      </w:r>
      <w:r w:rsidRPr="0026684F">
        <w:rPr>
          <w:rFonts w:eastAsiaTheme="minorEastAsia"/>
          <w:i/>
          <w:sz w:val="23"/>
          <w:szCs w:val="23"/>
          <w:rtl/>
        </w:rPr>
        <w:softHyphen/>
      </w:r>
      <w:r w:rsidRPr="0026684F">
        <w:rPr>
          <w:rFonts w:eastAsiaTheme="minorEastAsia" w:hint="cs"/>
          <w:i/>
          <w:sz w:val="23"/>
          <w:szCs w:val="23"/>
          <w:rtl/>
        </w:rPr>
        <w:t>یابد. اکنون سیاست مالی دائمی و موقتیِ افزایش مخارج دولت را بررسی می‌کنیم.</w:t>
      </w:r>
    </w:p>
    <w:p w14:paraId="4FA1C78C" w14:textId="77777777" w:rsidR="00411620" w:rsidRPr="0026684F" w:rsidRDefault="00411620" w:rsidP="00411620">
      <w:pPr>
        <w:tabs>
          <w:tab w:val="left" w:pos="2840"/>
        </w:tabs>
        <w:spacing w:line="216" w:lineRule="auto"/>
        <w:rPr>
          <w:rFonts w:eastAsiaTheme="minorEastAsia"/>
          <w:i/>
          <w:sz w:val="23"/>
          <w:szCs w:val="23"/>
          <w:rtl/>
        </w:rPr>
      </w:pPr>
    </w:p>
    <w:p w14:paraId="0C71380E" w14:textId="77777777" w:rsidR="00411620" w:rsidRPr="0026684F" w:rsidRDefault="00411620" w:rsidP="00411620">
      <w:pPr>
        <w:tabs>
          <w:tab w:val="left" w:pos="2840"/>
        </w:tabs>
        <w:spacing w:line="216" w:lineRule="auto"/>
        <w:rPr>
          <w:rFonts w:eastAsiaTheme="minorEastAsia"/>
          <w:bCs/>
          <w:i/>
          <w:sz w:val="23"/>
          <w:szCs w:val="23"/>
          <w:rtl/>
        </w:rPr>
      </w:pPr>
      <w:r w:rsidRPr="0026684F">
        <w:rPr>
          <w:rFonts w:eastAsiaTheme="minorEastAsia" w:hint="cs"/>
          <w:bCs/>
          <w:i/>
          <w:sz w:val="23"/>
          <w:szCs w:val="23"/>
          <w:rtl/>
        </w:rPr>
        <w:t xml:space="preserve">افزایش دائمی مخارج دولت از زمان </w:t>
      </w:r>
      <w:r w:rsidRPr="0026684F">
        <w:rPr>
          <w:rFonts w:eastAsiaTheme="minorEastAsia"/>
          <w:bCs/>
          <w:i/>
          <w:sz w:val="23"/>
          <w:szCs w:val="23"/>
        </w:rPr>
        <w:t>t</w:t>
      </w:r>
    </w:p>
    <w:p w14:paraId="6E801DAA"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در این</w:t>
      </w:r>
      <w:r w:rsidRPr="0026684F">
        <w:rPr>
          <w:rFonts w:eastAsiaTheme="minorEastAsia"/>
          <w:i/>
          <w:sz w:val="23"/>
          <w:szCs w:val="23"/>
          <w:rtl/>
        </w:rPr>
        <w:softHyphen/>
      </w:r>
      <w:r w:rsidRPr="0026684F">
        <w:rPr>
          <w:rFonts w:eastAsiaTheme="minorEastAsia" w:hint="cs"/>
          <w:i/>
          <w:sz w:val="23"/>
          <w:szCs w:val="23"/>
          <w:rtl/>
        </w:rPr>
        <w:t>صورت قید بودجه</w:t>
      </w:r>
      <w:r w:rsidRPr="0026684F">
        <w:rPr>
          <w:rFonts w:eastAsiaTheme="minorEastAsia"/>
          <w:i/>
          <w:sz w:val="23"/>
          <w:szCs w:val="23"/>
          <w:rtl/>
        </w:rPr>
        <w:softHyphen/>
      </w:r>
      <w:r w:rsidRPr="0026684F">
        <w:rPr>
          <w:rFonts w:eastAsiaTheme="minorEastAsia" w:hint="cs"/>
          <w:i/>
          <w:sz w:val="23"/>
          <w:szCs w:val="23"/>
          <w:rtl/>
        </w:rPr>
        <w:t>ی حقیقی دولت در زمان</w:t>
      </w:r>
      <w:r w:rsidRPr="0026684F">
        <w:rPr>
          <w:rFonts w:eastAsiaTheme="minorEastAsia"/>
          <w:i/>
          <w:sz w:val="23"/>
          <w:szCs w:val="23"/>
          <w:rtl/>
        </w:rPr>
        <w:softHyphen/>
      </w:r>
      <w:r w:rsidRPr="0026684F">
        <w:rPr>
          <w:rFonts w:eastAsiaTheme="minorEastAsia" w:hint="cs"/>
          <w:i/>
          <w:sz w:val="23"/>
          <w:szCs w:val="23"/>
          <w:rtl/>
        </w:rPr>
        <w:t>‌های</w:t>
      </w:r>
      <w:r w:rsidRPr="0026684F">
        <w:rPr>
          <w:rFonts w:eastAsiaTheme="minorEastAsia"/>
          <w:i/>
          <w:sz w:val="23"/>
          <w:szCs w:val="23"/>
        </w:rPr>
        <w:t xml:space="preserve"> t-1 </w:t>
      </w:r>
      <w:r w:rsidRPr="0026684F">
        <w:rPr>
          <w:rFonts w:eastAsiaTheme="minorEastAsia" w:hint="cs"/>
          <w:i/>
          <w:sz w:val="23"/>
          <w:szCs w:val="23"/>
          <w:rtl/>
        </w:rPr>
        <w:t xml:space="preserve">و </w:t>
      </w:r>
      <w:r w:rsidRPr="0026684F">
        <w:rPr>
          <w:rFonts w:eastAsiaTheme="minorEastAsia"/>
          <w:i/>
          <w:sz w:val="23"/>
          <w:szCs w:val="23"/>
        </w:rPr>
        <w:t>t</w:t>
      </w:r>
      <w:r w:rsidRPr="0026684F">
        <w:rPr>
          <w:rFonts w:eastAsiaTheme="minorEastAsia" w:hint="cs"/>
          <w:i/>
          <w:sz w:val="23"/>
          <w:szCs w:val="23"/>
          <w:rtl/>
        </w:rPr>
        <w:t xml:space="preserve"> و ... عبارت است از</w:t>
      </w:r>
    </w:p>
    <w:p w14:paraId="43FF05E2"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10"/>
        </w:rPr>
        <w:object w:dxaOrig="2500" w:dyaOrig="320" w14:anchorId="32F7F5B5">
          <v:shape id="_x0000_i2632" type="#_x0000_t75" style="width:125.25pt;height:15.75pt" o:ole="">
            <v:imagedata r:id="rId3251" o:title=""/>
          </v:shape>
          <o:OLEObject Type="Embed" ProgID="Equation.DSMT4" ShapeID="_x0000_i2632" DrawAspect="Content" ObjectID="_1791376576" r:id="rId3252"/>
        </w:object>
      </w:r>
    </w:p>
    <w:p w14:paraId="29918426"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10"/>
        </w:rPr>
        <w:object w:dxaOrig="3660" w:dyaOrig="320" w14:anchorId="6D9A0275">
          <v:shape id="_x0000_i2633" type="#_x0000_t75" style="width:182.7pt;height:15.75pt" o:ole="">
            <v:imagedata r:id="rId3253" o:title=""/>
          </v:shape>
          <o:OLEObject Type="Embed" ProgID="Equation.DSMT4" ShapeID="_x0000_i2633" DrawAspect="Content" ObjectID="_1791376577" r:id="rId3254"/>
        </w:object>
      </w:r>
    </w:p>
    <w:p w14:paraId="4E875F80"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12"/>
        </w:rPr>
        <w:object w:dxaOrig="5380" w:dyaOrig="360" w14:anchorId="485D3D50">
          <v:shape id="_x0000_i2634" type="#_x0000_t75" style="width:269.25pt;height:18.15pt" o:ole="">
            <v:imagedata r:id="rId3255" o:title=""/>
          </v:shape>
          <o:OLEObject Type="Embed" ProgID="Equation.DSMT4" ShapeID="_x0000_i2634" DrawAspect="Content" ObjectID="_1791376578" r:id="rId3256"/>
        </w:object>
      </w:r>
    </w:p>
    <w:p w14:paraId="3A678618"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6"/>
        </w:rPr>
        <w:object w:dxaOrig="4640" w:dyaOrig="620" w14:anchorId="3C05F4D0">
          <v:shape id="_x0000_i2635" type="#_x0000_t75" style="width:232.35pt;height:31.45pt" o:ole="">
            <v:imagedata r:id="rId3257" o:title=""/>
          </v:shape>
          <o:OLEObject Type="Embed" ProgID="Equation.DSMT4" ShapeID="_x0000_i2635" DrawAspect="Content" ObjectID="_1791376579" r:id="rId3258"/>
        </w:object>
      </w:r>
    </w:p>
    <w:p w14:paraId="30902355"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از طرفی چون</w:t>
      </w:r>
    </w:p>
    <w:p w14:paraId="24A83AD7"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74"/>
        </w:rPr>
        <w:object w:dxaOrig="4280" w:dyaOrig="1280" w14:anchorId="4B8DA5BB">
          <v:shape id="_x0000_i2636" type="#_x0000_t75" style="width:214.2pt;height:64.15pt" o:ole="">
            <v:imagedata r:id="rId3259" o:title=""/>
          </v:shape>
          <o:OLEObject Type="Embed" ProgID="Equation.DSMT4" ShapeID="_x0000_i2636" DrawAspect="Content" ObjectID="_1791376580" r:id="rId3260"/>
        </w:object>
      </w:r>
    </w:p>
    <w:p w14:paraId="64E5FE1B" w14:textId="77777777" w:rsidR="00411620" w:rsidRPr="0026684F" w:rsidRDefault="00411620" w:rsidP="00411620">
      <w:pPr>
        <w:pStyle w:val="MTDisplayEquation"/>
        <w:bidi/>
        <w:spacing w:line="216" w:lineRule="auto"/>
        <w:rPr>
          <w:rFonts w:ascii="Times New Roman" w:eastAsiaTheme="minorEastAsia" w:hAnsi="Times New Roman" w:cs="B Nazanin"/>
          <w:i/>
          <w:sz w:val="23"/>
          <w:szCs w:val="23"/>
        </w:rPr>
      </w:pPr>
      <w:r w:rsidRPr="00025957">
        <w:rPr>
          <w:position w:val="-4"/>
        </w:rPr>
        <w:object w:dxaOrig="180" w:dyaOrig="260" w14:anchorId="141BCC6E">
          <v:shape id="_x0000_i2637" type="#_x0000_t75" style="width:9.1pt;height:13.3pt" o:ole="">
            <v:imagedata r:id="rId1548" o:title=""/>
          </v:shape>
          <o:OLEObject Type="Embed" ProgID="Equation.DSMT4" ShapeID="_x0000_i2637" DrawAspect="Content" ObjectID="_1791376581" r:id="rId3261"/>
        </w:object>
      </w:r>
      <w:r w:rsidRPr="0026684F">
        <w:rPr>
          <w:rFonts w:ascii="Times New Roman" w:eastAsiaTheme="minorEastAsia" w:hAnsi="Times New Roman" w:cs="B Nazanin" w:hint="cs"/>
          <w:i/>
          <w:sz w:val="23"/>
          <w:szCs w:val="23"/>
          <w:rtl/>
        </w:rPr>
        <w:t>و چون</w:t>
      </w:r>
    </w:p>
    <w:p w14:paraId="66522DE5"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10"/>
        </w:rPr>
        <w:object w:dxaOrig="2180" w:dyaOrig="320" w14:anchorId="097E551B">
          <v:shape id="_x0000_i2638" type="#_x0000_t75" style="width:108.9pt;height:15.75pt" o:ole="">
            <v:imagedata r:id="rId3262" o:title=""/>
          </v:shape>
          <o:OLEObject Type="Embed" ProgID="Equation.DSMT4" ShapeID="_x0000_i2638" DrawAspect="Content" ObjectID="_1791376582" r:id="rId3263"/>
        </w:object>
      </w:r>
    </w:p>
    <w:p w14:paraId="79B78D18"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10"/>
        </w:rPr>
        <w:object w:dxaOrig="5360" w:dyaOrig="320" w14:anchorId="4E93A8AD">
          <v:shape id="_x0000_i2639" type="#_x0000_t75" style="width:268.05pt;height:15.75pt" o:ole="">
            <v:imagedata r:id="rId3264" o:title=""/>
          </v:shape>
          <o:OLEObject Type="Embed" ProgID="Equation.DSMT4" ShapeID="_x0000_i2639" DrawAspect="Content" ObjectID="_1791376583" r:id="rId3265"/>
        </w:object>
      </w:r>
    </w:p>
    <w:p w14:paraId="11ACC8EF"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12"/>
        </w:rPr>
        <w:object w:dxaOrig="4060" w:dyaOrig="360" w14:anchorId="11BAD3B6">
          <v:shape id="_x0000_i2640" type="#_x0000_t75" style="width:203.3pt;height:18.15pt" o:ole="">
            <v:imagedata r:id="rId3266" o:title=""/>
          </v:shape>
          <o:OLEObject Type="Embed" ProgID="Equation.DSMT4" ShapeID="_x0000_i2640" DrawAspect="Content" ObjectID="_1791376584" r:id="rId3267"/>
        </w:object>
      </w:r>
    </w:p>
    <w:p w14:paraId="2CA52C00" w14:textId="77777777" w:rsidR="00411620" w:rsidRPr="0026684F" w:rsidRDefault="00411620" w:rsidP="00411620">
      <w:pPr>
        <w:pStyle w:val="MTDisplayEquation"/>
        <w:spacing w:line="216" w:lineRule="auto"/>
        <w:rPr>
          <w:rFonts w:ascii="Times New Roman" w:hAnsi="Times New Roman" w:cs="B Nazanin"/>
          <w:i/>
          <w:sz w:val="23"/>
          <w:szCs w:val="23"/>
        </w:rPr>
      </w:pPr>
      <w:r w:rsidRPr="00703635">
        <w:rPr>
          <w:position w:val="-12"/>
        </w:rPr>
        <w:object w:dxaOrig="4440" w:dyaOrig="360" w14:anchorId="47589EF2">
          <v:shape id="_x0000_i2641" type="#_x0000_t75" style="width:222.05pt;height:18.15pt" o:ole="">
            <v:imagedata r:id="rId3268" o:title=""/>
          </v:shape>
          <o:OLEObject Type="Embed" ProgID="Equation.DSMT4" ShapeID="_x0000_i2641" DrawAspect="Content" ObjectID="_1791376585" r:id="rId3269"/>
        </w:object>
      </w:r>
    </w:p>
    <w:p w14:paraId="5795D829" w14:textId="77777777" w:rsidR="00411620" w:rsidRPr="0026684F" w:rsidRDefault="00411620" w:rsidP="00411620">
      <w:pPr>
        <w:bidi w:val="0"/>
        <w:rPr>
          <w:rFonts w:eastAsiaTheme="minorEastAsia"/>
          <w:i/>
          <w:sz w:val="23"/>
          <w:szCs w:val="23"/>
          <w:lang w:bidi="ar-SA"/>
        </w:rPr>
      </w:pPr>
      <w:r w:rsidRPr="00703635">
        <w:rPr>
          <w:position w:val="-12"/>
        </w:rPr>
        <w:object w:dxaOrig="2340" w:dyaOrig="360" w14:anchorId="2DD67BBD">
          <v:shape id="_x0000_i2642" type="#_x0000_t75" style="width:117.4pt;height:18.15pt" o:ole="">
            <v:imagedata r:id="rId3270" o:title=""/>
          </v:shape>
          <o:OLEObject Type="Embed" ProgID="Equation.DSMT4" ShapeID="_x0000_i2642" DrawAspect="Content" ObjectID="_1791376586" r:id="rId3271"/>
        </w:object>
      </w:r>
    </w:p>
    <w:p w14:paraId="2A9286C5" w14:textId="77777777" w:rsidR="00411620" w:rsidRPr="0026684F" w:rsidRDefault="00411620" w:rsidP="00411620">
      <w:pPr>
        <w:rPr>
          <w:rFonts w:eastAsiaTheme="minorEastAsia"/>
          <w:i/>
          <w:sz w:val="23"/>
          <w:szCs w:val="23"/>
          <w:rtl/>
        </w:rPr>
      </w:pPr>
      <w:r w:rsidRPr="0026684F">
        <w:rPr>
          <w:rFonts w:eastAsiaTheme="minorEastAsia" w:hint="cs"/>
          <w:i/>
          <w:sz w:val="23"/>
          <w:szCs w:val="23"/>
          <w:rtl/>
        </w:rPr>
        <w:t>و به همین ترتیب</w:t>
      </w:r>
    </w:p>
    <w:p w14:paraId="5249004B" w14:textId="77777777" w:rsidR="00411620" w:rsidRPr="0026684F" w:rsidRDefault="00411620" w:rsidP="00411620">
      <w:pPr>
        <w:pStyle w:val="MTDisplayEquation"/>
        <w:spacing w:line="216" w:lineRule="auto"/>
        <w:rPr>
          <w:rFonts w:ascii="Times New Roman" w:hAnsi="Times New Roman" w:cs="B Nazanin"/>
          <w:i/>
          <w:sz w:val="23"/>
          <w:szCs w:val="23"/>
          <w:rtl/>
        </w:rPr>
      </w:pPr>
      <w:r w:rsidRPr="00703635">
        <w:rPr>
          <w:position w:val="-12"/>
        </w:rPr>
        <w:object w:dxaOrig="2600" w:dyaOrig="400" w14:anchorId="1855C2A0">
          <v:shape id="_x0000_i2643" type="#_x0000_t75" style="width:130.1pt;height:19.95pt" o:ole="">
            <v:imagedata r:id="rId3272" o:title=""/>
          </v:shape>
          <o:OLEObject Type="Embed" ProgID="Equation.DSMT4" ShapeID="_x0000_i2643" DrawAspect="Content" ObjectID="_1791376587" r:id="rId3273"/>
        </w:object>
      </w:r>
    </w:p>
    <w:p w14:paraId="559D1716" w14:textId="77777777" w:rsidR="00411620" w:rsidRPr="0026684F" w:rsidRDefault="00411620" w:rsidP="00411620">
      <w:pPr>
        <w:rPr>
          <w:rFonts w:eastAsiaTheme="minorEastAsia"/>
          <w:i/>
          <w:sz w:val="23"/>
          <w:szCs w:val="23"/>
          <w:rtl/>
          <w:lang w:bidi="ar-SA"/>
        </w:rPr>
      </w:pPr>
      <w:r w:rsidRPr="0026684F">
        <w:rPr>
          <w:rFonts w:eastAsiaTheme="minorEastAsia" w:hint="cs"/>
          <w:i/>
          <w:sz w:val="23"/>
          <w:szCs w:val="23"/>
          <w:rtl/>
          <w:lang w:bidi="ar-SA"/>
        </w:rPr>
        <w:t>و از آن</w:t>
      </w:r>
      <w:r w:rsidRPr="0026684F">
        <w:rPr>
          <w:rFonts w:eastAsiaTheme="minorEastAsia"/>
          <w:i/>
          <w:sz w:val="23"/>
          <w:szCs w:val="23"/>
          <w:rtl/>
          <w:lang w:bidi="ar-SA"/>
        </w:rPr>
        <w:softHyphen/>
      </w:r>
      <w:r w:rsidRPr="0026684F">
        <w:rPr>
          <w:rFonts w:eastAsiaTheme="minorEastAsia" w:hint="cs"/>
          <w:i/>
          <w:sz w:val="23"/>
          <w:szCs w:val="23"/>
          <w:rtl/>
          <w:lang w:bidi="ar-SA"/>
        </w:rPr>
        <w:t xml:space="preserve">جا که </w:t>
      </w:r>
    </w:p>
    <w:p w14:paraId="068B78AB" w14:textId="77777777" w:rsidR="00411620" w:rsidRPr="0026684F" w:rsidRDefault="00411620" w:rsidP="00411620">
      <w:pPr>
        <w:bidi w:val="0"/>
        <w:rPr>
          <w:rFonts w:eastAsiaTheme="minorEastAsia"/>
          <w:i/>
          <w:sz w:val="23"/>
          <w:szCs w:val="23"/>
          <w:rtl/>
          <w:lang w:bidi="ar-SA"/>
        </w:rPr>
      </w:pPr>
      <w:r w:rsidRPr="00703635">
        <w:rPr>
          <w:position w:val="-26"/>
        </w:rPr>
        <w:object w:dxaOrig="1600" w:dyaOrig="620" w14:anchorId="2D183A1C">
          <v:shape id="_x0000_i2644" type="#_x0000_t75" style="width:79.85pt;height:31.45pt" o:ole="">
            <v:imagedata r:id="rId3274" o:title=""/>
          </v:shape>
          <o:OLEObject Type="Embed" ProgID="Equation.DSMT4" ShapeID="_x0000_i2644" DrawAspect="Content" ObjectID="_1791376588" r:id="rId3275"/>
        </w:object>
      </w:r>
    </w:p>
    <w:p w14:paraId="2FA0EB26"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lastRenderedPageBreak/>
        <w:t>بنابراین</w:t>
      </w:r>
    </w:p>
    <w:p w14:paraId="4B69DF08" w14:textId="77777777" w:rsidR="00411620" w:rsidRPr="0026684F" w:rsidRDefault="00411620" w:rsidP="00411620">
      <w:pPr>
        <w:tabs>
          <w:tab w:val="left" w:pos="2840"/>
        </w:tabs>
        <w:bidi w:val="0"/>
        <w:spacing w:line="216" w:lineRule="auto"/>
        <w:rPr>
          <w:rFonts w:eastAsiaTheme="minorEastAsia"/>
          <w:i/>
          <w:sz w:val="23"/>
          <w:szCs w:val="23"/>
          <w:rtl/>
        </w:rPr>
      </w:pPr>
      <w:r w:rsidRPr="00703635">
        <w:rPr>
          <w:position w:val="-12"/>
        </w:rPr>
        <w:object w:dxaOrig="4900" w:dyaOrig="400" w14:anchorId="157A10AD">
          <v:shape id="_x0000_i2645" type="#_x0000_t75" style="width:245.05pt;height:19.95pt" o:ole="">
            <v:imagedata r:id="rId3276" o:title=""/>
          </v:shape>
          <o:OLEObject Type="Embed" ProgID="Equation.DSMT4" ShapeID="_x0000_i2645" DrawAspect="Content" ObjectID="_1791376589" r:id="rId3277"/>
        </w:object>
      </w:r>
      <w:r w:rsidRPr="0026684F">
        <w:rPr>
          <w:rFonts w:eastAsiaTheme="minorEastAsia"/>
          <w:i/>
          <w:sz w:val="23"/>
          <w:szCs w:val="23"/>
        </w:rPr>
        <w:t xml:space="preserve"> </w:t>
      </w:r>
    </w:p>
    <w:p w14:paraId="379E01A9"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2"/>
        </w:rPr>
        <w:object w:dxaOrig="5000" w:dyaOrig="660" w14:anchorId="06DE81C9">
          <v:shape id="_x0000_i2646" type="#_x0000_t75" style="width:249.9pt;height:32.65pt" o:ole="">
            <v:imagedata r:id="rId3278" o:title=""/>
          </v:shape>
          <o:OLEObject Type="Embed" ProgID="Equation.DSMT4" ShapeID="_x0000_i2646" DrawAspect="Content" ObjectID="_1791376590" r:id="rId3279"/>
        </w:object>
      </w:r>
    </w:p>
    <w:p w14:paraId="43B27C5F"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و یا</w:t>
      </w:r>
    </w:p>
    <w:p w14:paraId="315A2965"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34"/>
        </w:rPr>
        <w:object w:dxaOrig="3960" w:dyaOrig="800" w14:anchorId="2125B3B2">
          <v:shape id="_x0000_i2647" type="#_x0000_t75" style="width:198.45pt;height:39.95pt" o:ole="">
            <v:imagedata r:id="rId3280" o:title=""/>
          </v:shape>
          <o:OLEObject Type="Embed" ProgID="Equation.DSMT4" ShapeID="_x0000_i2647" DrawAspect="Content" ObjectID="_1791376591" r:id="rId3281"/>
        </w:object>
      </w:r>
    </w:p>
    <w:p w14:paraId="6AF2DC35"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و</w:t>
      </w:r>
    </w:p>
    <w:p w14:paraId="01F6D944"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34"/>
        </w:rPr>
        <w:object w:dxaOrig="2240" w:dyaOrig="700" w14:anchorId="3E6B6591">
          <v:shape id="_x0000_i2648" type="#_x0000_t75" style="width:111.95pt;height:35.1pt" o:ole="">
            <v:imagedata r:id="rId3282" o:title=""/>
          </v:shape>
          <o:OLEObject Type="Embed" ProgID="Equation.DSMT4" ShapeID="_x0000_i2648" DrawAspect="Content" ObjectID="_1791376592" r:id="rId3283"/>
        </w:object>
      </w:r>
    </w:p>
    <w:p w14:paraId="75F9AA7D" w14:textId="77777777" w:rsidR="00411620" w:rsidRPr="0026684F" w:rsidRDefault="00411620" w:rsidP="00411620">
      <w:pPr>
        <w:tabs>
          <w:tab w:val="left" w:pos="2840"/>
        </w:tabs>
        <w:spacing w:line="216" w:lineRule="auto"/>
        <w:rPr>
          <w:rFonts w:eastAsiaTheme="minorEastAsia"/>
          <w:i/>
          <w:sz w:val="23"/>
          <w:szCs w:val="23"/>
        </w:rPr>
      </w:pPr>
      <w:r w:rsidRPr="0026684F">
        <w:rPr>
          <w:rFonts w:eastAsiaTheme="minorEastAsia" w:hint="cs"/>
          <w:i/>
          <w:sz w:val="23"/>
          <w:szCs w:val="23"/>
          <w:rtl/>
        </w:rPr>
        <w:t>بنابراین بدهی تنزیل شده</w:t>
      </w:r>
      <w:r w:rsidRPr="0026684F">
        <w:rPr>
          <w:rFonts w:eastAsiaTheme="minorEastAsia"/>
          <w:i/>
          <w:sz w:val="23"/>
          <w:szCs w:val="23"/>
          <w:rtl/>
        </w:rPr>
        <w:softHyphen/>
      </w:r>
      <w:r w:rsidRPr="0026684F">
        <w:rPr>
          <w:rFonts w:eastAsiaTheme="minorEastAsia" w:hint="cs"/>
          <w:i/>
          <w:sz w:val="23"/>
          <w:szCs w:val="23"/>
          <w:rtl/>
        </w:rPr>
        <w:t>ی انتهای دوره برابر صفر نخواهد بود. این نتیجه قید بودجه</w:t>
      </w:r>
      <w:r w:rsidRPr="0026684F">
        <w:rPr>
          <w:rFonts w:eastAsiaTheme="minorEastAsia"/>
          <w:i/>
          <w:sz w:val="23"/>
          <w:szCs w:val="23"/>
          <w:rtl/>
        </w:rPr>
        <w:softHyphen/>
      </w:r>
      <w:r w:rsidRPr="0026684F">
        <w:rPr>
          <w:rFonts w:eastAsiaTheme="minorEastAsia" w:hint="cs"/>
          <w:i/>
          <w:sz w:val="23"/>
          <w:szCs w:val="23"/>
          <w:rtl/>
        </w:rPr>
        <w:t>ی بین زمانی را نقض می</w:t>
      </w:r>
      <w:r w:rsidRPr="0026684F">
        <w:rPr>
          <w:rFonts w:eastAsiaTheme="minorEastAsia"/>
          <w:i/>
          <w:sz w:val="23"/>
          <w:szCs w:val="23"/>
          <w:rtl/>
        </w:rPr>
        <w:softHyphen/>
      </w:r>
      <w:r w:rsidRPr="0026684F">
        <w:rPr>
          <w:rFonts w:eastAsiaTheme="minorEastAsia" w:hint="cs"/>
          <w:i/>
          <w:sz w:val="23"/>
          <w:szCs w:val="23"/>
          <w:rtl/>
        </w:rPr>
        <w:t>کند و لذا افزایش دائمی مخارج دولتی و تأمین اعتبار آن از طریق اوراق قرضه پایدار نخواهد بود.</w:t>
      </w:r>
    </w:p>
    <w:p w14:paraId="060E84BD" w14:textId="77777777" w:rsidR="00411620" w:rsidRPr="0026684F" w:rsidRDefault="00411620" w:rsidP="00411620">
      <w:pPr>
        <w:tabs>
          <w:tab w:val="left" w:pos="2840"/>
        </w:tabs>
        <w:spacing w:line="216" w:lineRule="auto"/>
        <w:rPr>
          <w:rFonts w:eastAsiaTheme="minorEastAsia"/>
          <w:i/>
          <w:sz w:val="23"/>
          <w:szCs w:val="23"/>
          <w:rtl/>
        </w:rPr>
      </w:pPr>
    </w:p>
    <w:p w14:paraId="7606EC7F" w14:textId="77777777" w:rsidR="00411620" w:rsidRPr="0026684F" w:rsidRDefault="00411620" w:rsidP="00411620">
      <w:pPr>
        <w:tabs>
          <w:tab w:val="left" w:pos="2840"/>
        </w:tabs>
        <w:spacing w:line="216" w:lineRule="auto"/>
        <w:rPr>
          <w:rFonts w:eastAsiaTheme="minorEastAsia"/>
          <w:bCs/>
          <w:i/>
          <w:sz w:val="23"/>
          <w:szCs w:val="23"/>
        </w:rPr>
      </w:pPr>
      <w:r w:rsidRPr="0026684F">
        <w:rPr>
          <w:rFonts w:eastAsiaTheme="minorEastAsia" w:hint="cs"/>
          <w:bCs/>
          <w:i/>
          <w:sz w:val="23"/>
          <w:szCs w:val="23"/>
          <w:rtl/>
        </w:rPr>
        <w:t xml:space="preserve">افزایش موقتی مخارج دولت و یا کاهش مالیات فقط در زمان </w:t>
      </w:r>
      <w:r w:rsidRPr="0026684F">
        <w:rPr>
          <w:rFonts w:eastAsiaTheme="minorEastAsia"/>
          <w:bCs/>
          <w:i/>
          <w:sz w:val="23"/>
          <w:szCs w:val="23"/>
        </w:rPr>
        <w:t>t</w:t>
      </w:r>
    </w:p>
    <w:p w14:paraId="02ABB9EE"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قید بودجه دولت در زمان</w:t>
      </w:r>
      <w:r w:rsidRPr="0026684F">
        <w:rPr>
          <w:rFonts w:eastAsiaTheme="minorEastAsia"/>
          <w:i/>
          <w:sz w:val="23"/>
          <w:szCs w:val="23"/>
          <w:rtl/>
        </w:rPr>
        <w:softHyphen/>
      </w:r>
      <w:r w:rsidRPr="0026684F">
        <w:rPr>
          <w:rFonts w:eastAsiaTheme="minorEastAsia" w:hint="cs"/>
          <w:i/>
          <w:sz w:val="23"/>
          <w:szCs w:val="23"/>
          <w:rtl/>
        </w:rPr>
        <w:t>‌های</w:t>
      </w:r>
      <w:r w:rsidRPr="0026684F">
        <w:rPr>
          <w:rFonts w:eastAsiaTheme="minorEastAsia"/>
          <w:i/>
          <w:sz w:val="23"/>
          <w:szCs w:val="23"/>
        </w:rPr>
        <w:t xml:space="preserve">t-1 </w:t>
      </w:r>
      <w:r w:rsidRPr="0026684F">
        <w:rPr>
          <w:rFonts w:eastAsiaTheme="minorEastAsia" w:hint="cs"/>
          <w:i/>
          <w:sz w:val="23"/>
          <w:szCs w:val="23"/>
          <w:rtl/>
        </w:rPr>
        <w:t xml:space="preserve"> و </w:t>
      </w:r>
      <w:r w:rsidRPr="0026684F">
        <w:rPr>
          <w:rFonts w:eastAsiaTheme="minorEastAsia"/>
          <w:i/>
          <w:sz w:val="23"/>
          <w:szCs w:val="23"/>
        </w:rPr>
        <w:t>t</w:t>
      </w:r>
      <w:r w:rsidRPr="0026684F">
        <w:rPr>
          <w:rFonts w:eastAsiaTheme="minorEastAsia" w:hint="cs"/>
          <w:i/>
          <w:sz w:val="23"/>
          <w:szCs w:val="23"/>
          <w:rtl/>
        </w:rPr>
        <w:t xml:space="preserve"> و ... عبارت است از</w:t>
      </w:r>
    </w:p>
    <w:p w14:paraId="11088142"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10"/>
        </w:rPr>
        <w:object w:dxaOrig="2360" w:dyaOrig="320" w14:anchorId="39244477">
          <v:shape id="_x0000_i2649" type="#_x0000_t75" style="width:118pt;height:15.75pt" o:ole="">
            <v:imagedata r:id="rId3284" o:title=""/>
          </v:shape>
          <o:OLEObject Type="Embed" ProgID="Equation.DSMT4" ShapeID="_x0000_i2649" DrawAspect="Content" ObjectID="_1791376593" r:id="rId3285"/>
        </w:object>
      </w:r>
    </w:p>
    <w:p w14:paraId="0E537163"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10"/>
        </w:rPr>
        <w:object w:dxaOrig="3519" w:dyaOrig="320" w14:anchorId="3F636C70">
          <v:shape id="_x0000_i2650" type="#_x0000_t75" style="width:176.05pt;height:15.75pt" o:ole="">
            <v:imagedata r:id="rId3286" o:title=""/>
          </v:shape>
          <o:OLEObject Type="Embed" ProgID="Equation.DSMT4" ShapeID="_x0000_i2650" DrawAspect="Content" ObjectID="_1791376594" r:id="rId3287"/>
        </w:object>
      </w:r>
    </w:p>
    <w:p w14:paraId="3231941E"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lang w:bidi="fa-IR"/>
        </w:rPr>
      </w:pPr>
      <w:r w:rsidRPr="00703635">
        <w:rPr>
          <w:position w:val="-10"/>
        </w:rPr>
        <w:object w:dxaOrig="3800" w:dyaOrig="340" w14:anchorId="6443CB0B">
          <v:shape id="_x0000_i2651" type="#_x0000_t75" style="width:190pt;height:16.95pt" o:ole="">
            <v:imagedata r:id="rId3288" o:title=""/>
          </v:shape>
          <o:OLEObject Type="Embed" ProgID="Equation.DSMT4" ShapeID="_x0000_i2651" DrawAspect="Content" ObjectID="_1791376595" r:id="rId3289"/>
        </w:object>
      </w:r>
    </w:p>
    <w:p w14:paraId="330C22BC"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6"/>
        </w:rPr>
        <w:object w:dxaOrig="4320" w:dyaOrig="620" w14:anchorId="17D15458">
          <v:shape id="_x0000_i2652" type="#_x0000_t75" style="width:3in;height:31.45pt" o:ole="">
            <v:imagedata r:id="rId3290" o:title=""/>
          </v:shape>
          <o:OLEObject Type="Embed" ProgID="Equation.DSMT4" ShapeID="_x0000_i2652" DrawAspect="Content" ObjectID="_1791376596" r:id="rId3291"/>
        </w:object>
      </w:r>
    </w:p>
    <w:p w14:paraId="739D45FC"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به</w:t>
      </w:r>
      <w:r w:rsidRPr="0026684F">
        <w:rPr>
          <w:rFonts w:eastAsiaTheme="minorEastAsia"/>
          <w:i/>
          <w:sz w:val="23"/>
          <w:szCs w:val="23"/>
          <w:rtl/>
        </w:rPr>
        <w:softHyphen/>
      </w:r>
      <w:r w:rsidRPr="0026684F">
        <w:rPr>
          <w:rFonts w:eastAsiaTheme="minorEastAsia" w:hint="cs"/>
          <w:i/>
          <w:sz w:val="23"/>
          <w:szCs w:val="23"/>
          <w:rtl/>
        </w:rPr>
        <w:t>گونه</w:t>
      </w:r>
      <w:r w:rsidRPr="0026684F">
        <w:rPr>
          <w:rFonts w:eastAsiaTheme="minorEastAsia"/>
          <w:i/>
          <w:sz w:val="23"/>
          <w:szCs w:val="23"/>
          <w:rtl/>
        </w:rPr>
        <w:softHyphen/>
      </w:r>
      <w:r w:rsidRPr="0026684F">
        <w:rPr>
          <w:rFonts w:eastAsiaTheme="minorEastAsia" w:hint="cs"/>
          <w:i/>
          <w:sz w:val="23"/>
          <w:szCs w:val="23"/>
          <w:rtl/>
        </w:rPr>
        <w:t>ای که</w:t>
      </w:r>
    </w:p>
    <w:p w14:paraId="7392BD85"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10"/>
        </w:rPr>
        <w:object w:dxaOrig="2840" w:dyaOrig="320" w14:anchorId="549D644C">
          <v:shape id="_x0000_i2653" type="#_x0000_t75" style="width:142.2pt;height:15.75pt" o:ole="">
            <v:imagedata r:id="rId3292" o:title=""/>
          </v:shape>
          <o:OLEObject Type="Embed" ProgID="Equation.DSMT4" ShapeID="_x0000_i2653" DrawAspect="Content" ObjectID="_1791376597" r:id="rId3293"/>
        </w:object>
      </w:r>
    </w:p>
    <w:p w14:paraId="5F7D8396"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10"/>
        </w:rPr>
        <w:object w:dxaOrig="4140" w:dyaOrig="320" w14:anchorId="351D9785">
          <v:shape id="_x0000_i2654" type="#_x0000_t75" style="width:206.9pt;height:15.75pt" o:ole="">
            <v:imagedata r:id="rId3294" o:title=""/>
          </v:shape>
          <o:OLEObject Type="Embed" ProgID="Equation.DSMT4" ShapeID="_x0000_i2654" DrawAspect="Content" ObjectID="_1791376598" r:id="rId3295"/>
        </w:object>
      </w:r>
    </w:p>
    <w:p w14:paraId="6D2DFD76" w14:textId="77777777" w:rsidR="00411620" w:rsidRPr="0026684F" w:rsidRDefault="00411620" w:rsidP="00411620">
      <w:pPr>
        <w:tabs>
          <w:tab w:val="left" w:pos="2840"/>
        </w:tabs>
        <w:bidi w:val="0"/>
        <w:spacing w:line="216" w:lineRule="auto"/>
        <w:rPr>
          <w:rFonts w:eastAsiaTheme="minorEastAsia"/>
          <w:i/>
          <w:sz w:val="23"/>
          <w:szCs w:val="23"/>
        </w:rPr>
      </w:pPr>
      <w:r w:rsidRPr="00703635">
        <w:rPr>
          <w:position w:val="-10"/>
        </w:rPr>
        <w:object w:dxaOrig="5360" w:dyaOrig="320" w14:anchorId="4B4A8FF9">
          <v:shape id="_x0000_i2655" type="#_x0000_t75" style="width:268.05pt;height:15.75pt" o:ole="">
            <v:imagedata r:id="rId3296" o:title=""/>
          </v:shape>
          <o:OLEObject Type="Embed" ProgID="Equation.DSMT4" ShapeID="_x0000_i2655" DrawAspect="Content" ObjectID="_1791376599" r:id="rId3297"/>
        </w:object>
      </w:r>
      <w:r w:rsidRPr="0026684F">
        <w:rPr>
          <w:rFonts w:eastAsiaTheme="minorEastAsia"/>
          <w:i/>
          <w:sz w:val="23"/>
          <w:szCs w:val="23"/>
        </w:rPr>
        <w:t xml:space="preserve"> </w:t>
      </w:r>
    </w:p>
    <w:p w14:paraId="18618E42" w14:textId="77777777" w:rsidR="00411620" w:rsidRPr="0026684F" w:rsidRDefault="00411620" w:rsidP="00411620">
      <w:pPr>
        <w:tabs>
          <w:tab w:val="left" w:pos="2840"/>
        </w:tabs>
        <w:bidi w:val="0"/>
        <w:spacing w:line="216" w:lineRule="auto"/>
        <w:rPr>
          <w:rFonts w:eastAsiaTheme="minorEastAsia"/>
          <w:i/>
          <w:sz w:val="23"/>
          <w:szCs w:val="23"/>
        </w:rPr>
      </w:pPr>
      <w:r w:rsidRPr="00703635">
        <w:rPr>
          <w:position w:val="-12"/>
        </w:rPr>
        <w:object w:dxaOrig="4440" w:dyaOrig="360" w14:anchorId="06822850">
          <v:shape id="_x0000_i2656" type="#_x0000_t75" style="width:222.05pt;height:18.15pt" o:ole="">
            <v:imagedata r:id="rId3298" o:title=""/>
          </v:shape>
          <o:OLEObject Type="Embed" ProgID="Equation.DSMT4" ShapeID="_x0000_i2656" DrawAspect="Content" ObjectID="_1791376600" r:id="rId3299"/>
        </w:object>
      </w:r>
      <w:r w:rsidRPr="0026684F">
        <w:rPr>
          <w:rFonts w:eastAsiaTheme="minorEastAsia"/>
          <w:i/>
          <w:sz w:val="23"/>
          <w:szCs w:val="23"/>
        </w:rPr>
        <w:t xml:space="preserve"> </w:t>
      </w:r>
    </w:p>
    <w:p w14:paraId="719B2D26" w14:textId="77777777" w:rsidR="00411620" w:rsidRPr="0026684F" w:rsidRDefault="00411620" w:rsidP="00411620">
      <w:pPr>
        <w:tabs>
          <w:tab w:val="left" w:pos="2840"/>
        </w:tabs>
        <w:bidi w:val="0"/>
        <w:spacing w:line="216" w:lineRule="auto"/>
        <w:rPr>
          <w:rFonts w:eastAsiaTheme="minorEastAsia"/>
          <w:i/>
          <w:sz w:val="23"/>
          <w:szCs w:val="23"/>
        </w:rPr>
      </w:pPr>
      <w:r w:rsidRPr="00703635">
        <w:rPr>
          <w:position w:val="-12"/>
        </w:rPr>
        <w:object w:dxaOrig="3100" w:dyaOrig="400" w14:anchorId="4A514B45">
          <v:shape id="_x0000_i2657" type="#_x0000_t75" style="width:154.9pt;height:19.95pt" o:ole="">
            <v:imagedata r:id="rId3300" o:title=""/>
          </v:shape>
          <o:OLEObject Type="Embed" ProgID="Equation.DSMT4" ShapeID="_x0000_i2657" DrawAspect="Content" ObjectID="_1791376601" r:id="rId3301"/>
        </w:object>
      </w:r>
      <w:r w:rsidRPr="0026684F">
        <w:rPr>
          <w:rFonts w:eastAsiaTheme="minorEastAsia"/>
          <w:i/>
          <w:sz w:val="23"/>
          <w:szCs w:val="23"/>
        </w:rPr>
        <w:t xml:space="preserve"> </w:t>
      </w:r>
    </w:p>
    <w:p w14:paraId="69200D54"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و چون</w:t>
      </w:r>
    </w:p>
    <w:p w14:paraId="0DAC398B"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26"/>
        </w:rPr>
        <w:object w:dxaOrig="3600" w:dyaOrig="620" w14:anchorId="2BC1777A">
          <v:shape id="_x0000_i2658" type="#_x0000_t75" style="width:180.3pt;height:31.45pt" o:ole="">
            <v:imagedata r:id="rId3302" o:title=""/>
          </v:shape>
          <o:OLEObject Type="Embed" ProgID="Equation.DSMT4" ShapeID="_x0000_i2658" DrawAspect="Content" ObjectID="_1791376602" r:id="rId3303"/>
        </w:object>
      </w:r>
    </w:p>
    <w:p w14:paraId="23283DCC" w14:textId="77777777" w:rsidR="00411620" w:rsidRPr="0026684F" w:rsidRDefault="00411620" w:rsidP="00411620">
      <w:pPr>
        <w:tabs>
          <w:tab w:val="left" w:pos="2840"/>
        </w:tabs>
        <w:bidi w:val="0"/>
        <w:spacing w:line="216" w:lineRule="auto"/>
        <w:rPr>
          <w:rFonts w:eastAsiaTheme="minorEastAsia"/>
          <w:i/>
          <w:sz w:val="23"/>
          <w:szCs w:val="23"/>
        </w:rPr>
      </w:pPr>
      <w:r w:rsidRPr="00703635">
        <w:rPr>
          <w:position w:val="-12"/>
        </w:rPr>
        <w:object w:dxaOrig="6180" w:dyaOrig="400" w14:anchorId="38113BE4">
          <v:shape id="_x0000_i2659" type="#_x0000_t75" style="width:309.2pt;height:19.95pt" o:ole="">
            <v:imagedata r:id="rId3304" o:title=""/>
          </v:shape>
          <o:OLEObject Type="Embed" ProgID="Equation.DSMT4" ShapeID="_x0000_i2659" DrawAspect="Content" ObjectID="_1791376603" r:id="rId3305"/>
        </w:object>
      </w:r>
      <w:r w:rsidRPr="0026684F">
        <w:rPr>
          <w:rFonts w:eastAsiaTheme="minorEastAsia"/>
          <w:i/>
          <w:sz w:val="23"/>
          <w:szCs w:val="23"/>
        </w:rPr>
        <w:t xml:space="preserve"> </w:t>
      </w:r>
    </w:p>
    <w:p w14:paraId="59D78CB4" w14:textId="77777777" w:rsidR="00411620" w:rsidRPr="0026684F" w:rsidRDefault="00411620" w:rsidP="00411620">
      <w:pPr>
        <w:tabs>
          <w:tab w:val="left" w:pos="2840"/>
        </w:tabs>
        <w:bidi w:val="0"/>
        <w:spacing w:line="216" w:lineRule="auto"/>
        <w:rPr>
          <w:rFonts w:eastAsiaTheme="minorEastAsia"/>
          <w:i/>
          <w:sz w:val="23"/>
          <w:szCs w:val="23"/>
          <w:rtl/>
        </w:rPr>
      </w:pPr>
      <w:r w:rsidRPr="00703635">
        <w:rPr>
          <w:position w:val="-12"/>
        </w:rPr>
        <w:object w:dxaOrig="2320" w:dyaOrig="400" w14:anchorId="083378FE">
          <v:shape id="_x0000_i2660" type="#_x0000_t75" style="width:116.15pt;height:19.95pt" o:ole="">
            <v:imagedata r:id="rId3306" o:title=""/>
          </v:shape>
          <o:OLEObject Type="Embed" ProgID="Equation.DSMT4" ShapeID="_x0000_i2660" DrawAspect="Content" ObjectID="_1791376604" r:id="rId3307"/>
        </w:object>
      </w:r>
      <w:r w:rsidRPr="0026684F">
        <w:rPr>
          <w:rFonts w:eastAsiaTheme="minorEastAsia"/>
          <w:i/>
          <w:sz w:val="23"/>
          <w:szCs w:val="23"/>
        </w:rPr>
        <w:t xml:space="preserve"> </w:t>
      </w:r>
    </w:p>
    <w:p w14:paraId="3D3DCE2D" w14:textId="77777777" w:rsidR="00411620" w:rsidRPr="0026684F" w:rsidRDefault="00411620" w:rsidP="00411620">
      <w:pPr>
        <w:tabs>
          <w:tab w:val="left" w:pos="2840"/>
        </w:tabs>
        <w:spacing w:line="216" w:lineRule="auto"/>
        <w:rPr>
          <w:rFonts w:eastAsiaTheme="minorEastAsia"/>
          <w:i/>
          <w:sz w:val="23"/>
          <w:szCs w:val="23"/>
        </w:rPr>
      </w:pPr>
      <w:r w:rsidRPr="0026684F">
        <w:rPr>
          <w:rFonts w:eastAsiaTheme="minorEastAsia" w:hint="cs"/>
          <w:i/>
          <w:sz w:val="23"/>
          <w:szCs w:val="23"/>
          <w:rtl/>
        </w:rPr>
        <w:lastRenderedPageBreak/>
        <w:t>و یا</w:t>
      </w:r>
    </w:p>
    <w:p w14:paraId="071B66B3"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34"/>
        </w:rPr>
        <w:object w:dxaOrig="2780" w:dyaOrig="700" w14:anchorId="39B54F9D">
          <v:shape id="_x0000_i2661" type="#_x0000_t75" style="width:139.15pt;height:35.1pt" o:ole="">
            <v:imagedata r:id="rId3308" o:title=""/>
          </v:shape>
          <o:OLEObject Type="Embed" ProgID="Equation.DSMT4" ShapeID="_x0000_i2661" DrawAspect="Content" ObjectID="_1791376605" r:id="rId3309"/>
        </w:object>
      </w:r>
    </w:p>
    <w:p w14:paraId="413F860B" w14:textId="77777777" w:rsidR="00411620" w:rsidRPr="0026684F" w:rsidRDefault="00411620" w:rsidP="00411620">
      <w:pPr>
        <w:tabs>
          <w:tab w:val="left" w:pos="2840"/>
        </w:tabs>
        <w:spacing w:line="216" w:lineRule="auto"/>
        <w:rPr>
          <w:rFonts w:eastAsiaTheme="minorEastAsia"/>
          <w:i/>
          <w:sz w:val="23"/>
          <w:szCs w:val="23"/>
        </w:rPr>
      </w:pPr>
      <w:r w:rsidRPr="0026684F">
        <w:rPr>
          <w:rFonts w:eastAsiaTheme="minorEastAsia" w:hint="cs"/>
          <w:i/>
          <w:sz w:val="23"/>
          <w:szCs w:val="23"/>
          <w:rtl/>
        </w:rPr>
        <w:t>بنابراین</w:t>
      </w:r>
    </w:p>
    <w:p w14:paraId="3D06237F"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34"/>
        </w:rPr>
        <w:object w:dxaOrig="2520" w:dyaOrig="700" w14:anchorId="7BBBFB5F">
          <v:shape id="_x0000_i2662" type="#_x0000_t75" style="width:125.85pt;height:35.1pt" o:ole="">
            <v:imagedata r:id="rId3310" o:title=""/>
          </v:shape>
          <o:OLEObject Type="Embed" ProgID="Equation.DSMT4" ShapeID="_x0000_i2662" DrawAspect="Content" ObjectID="_1791376606" r:id="rId3311"/>
        </w:object>
      </w:r>
    </w:p>
    <w:p w14:paraId="2F8C8E43"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i/>
          <w:sz w:val="23"/>
          <w:szCs w:val="23"/>
        </w:rPr>
        <w:t xml:space="preserve"> </w:t>
      </w:r>
      <w:r w:rsidRPr="0026684F">
        <w:rPr>
          <w:rFonts w:eastAsiaTheme="minorEastAsia" w:hint="cs"/>
          <w:i/>
          <w:sz w:val="23"/>
          <w:szCs w:val="23"/>
          <w:rtl/>
        </w:rPr>
        <w:t>از آنجا که بدهی تنزیل شده در این حالت نیز صفر نیست، لذا سیاست مالی در این شرایط نیز پایدار نیست.</w:t>
      </w:r>
      <w:r w:rsidRPr="0026684F">
        <w:rPr>
          <w:rFonts w:eastAsiaTheme="minorEastAsia"/>
          <w:i/>
          <w:sz w:val="23"/>
          <w:szCs w:val="23"/>
        </w:rPr>
        <w:t xml:space="preserve"> </w:t>
      </w:r>
      <w:r w:rsidRPr="0026684F">
        <w:rPr>
          <w:rFonts w:eastAsiaTheme="minorEastAsia" w:hint="cs"/>
          <w:i/>
          <w:sz w:val="23"/>
          <w:szCs w:val="23"/>
          <w:rtl/>
        </w:rPr>
        <w:t>اما اگر فرض کنیم تغییر در مخارج دولتی متغیری است تصادفی،</w:t>
      </w:r>
      <w:r w:rsidRPr="00703635">
        <w:rPr>
          <w:position w:val="-10"/>
        </w:rPr>
        <w:object w:dxaOrig="760" w:dyaOrig="320" w14:anchorId="75A75455">
          <v:shape id="_x0000_i2663" type="#_x0000_t75" style="width:38.1pt;height:15.75pt" o:ole="">
            <v:imagedata r:id="rId3312" o:title=""/>
          </v:shape>
          <o:OLEObject Type="Embed" ProgID="Equation.DSMT4" ShapeID="_x0000_i2663" DrawAspect="Content" ObjectID="_1791376607" r:id="rId3313"/>
        </w:object>
      </w:r>
      <w:r w:rsidRPr="0026684F">
        <w:rPr>
          <w:rFonts w:eastAsiaTheme="minorEastAsia" w:hint="cs"/>
          <w:i/>
          <w:sz w:val="23"/>
          <w:szCs w:val="23"/>
          <w:rtl/>
        </w:rPr>
        <w:t xml:space="preserve">، با میانگین صفر </w:t>
      </w:r>
      <w:r w:rsidRPr="00703635">
        <w:rPr>
          <w:position w:val="-12"/>
        </w:rPr>
        <w:object w:dxaOrig="920" w:dyaOrig="360" w14:anchorId="2F5B4594">
          <v:shape id="_x0000_i2664" type="#_x0000_t75" style="width:46pt;height:18.15pt" o:ole="">
            <v:imagedata r:id="rId3314" o:title=""/>
          </v:shape>
          <o:OLEObject Type="Embed" ProgID="Equation.DSMT4" ShapeID="_x0000_i2664" DrawAspect="Content" ObjectID="_1791376608" r:id="rId3315"/>
        </w:object>
      </w:r>
      <w:r w:rsidRPr="0026684F">
        <w:rPr>
          <w:rFonts w:eastAsiaTheme="minorEastAsia" w:hint="cs"/>
          <w:i/>
          <w:sz w:val="23"/>
          <w:szCs w:val="23"/>
          <w:rtl/>
        </w:rPr>
        <w:t xml:space="preserve"> و ناهمبسته </w:t>
      </w:r>
      <w:r w:rsidRPr="0026684F">
        <w:rPr>
          <w:rFonts w:eastAsiaTheme="minorEastAsia"/>
          <w:i/>
          <w:sz w:val="23"/>
          <w:szCs w:val="23"/>
        </w:rPr>
        <w:t>E</w:t>
      </w:r>
      <w:r w:rsidRPr="00703635">
        <w:rPr>
          <w:position w:val="-12"/>
        </w:rPr>
        <w:object w:dxaOrig="1020" w:dyaOrig="360" w14:anchorId="5B890C9D">
          <v:shape id="_x0000_i2665" type="#_x0000_t75" style="width:50.8pt;height:18.15pt" o:ole="">
            <v:imagedata r:id="rId3316" o:title=""/>
          </v:shape>
          <o:OLEObject Type="Embed" ProgID="Equation.DSMT4" ShapeID="_x0000_i2665" DrawAspect="Content" ObjectID="_1791376609" r:id="rId3317"/>
        </w:object>
      </w:r>
      <w:r w:rsidRPr="0026684F">
        <w:rPr>
          <w:rFonts w:eastAsiaTheme="minorEastAsia" w:hint="cs"/>
          <w:i/>
          <w:sz w:val="23"/>
          <w:szCs w:val="23"/>
          <w:rtl/>
        </w:rPr>
        <w:t>، آنگاه متوسط ارزش تنزیل شده</w:t>
      </w:r>
      <w:r w:rsidRPr="0026684F">
        <w:rPr>
          <w:rFonts w:eastAsiaTheme="minorEastAsia"/>
          <w:i/>
          <w:sz w:val="23"/>
          <w:szCs w:val="23"/>
          <w:rtl/>
        </w:rPr>
        <w:softHyphen/>
      </w:r>
      <w:r w:rsidRPr="0026684F">
        <w:rPr>
          <w:rFonts w:eastAsiaTheme="minorEastAsia" w:hint="cs"/>
          <w:i/>
          <w:sz w:val="23"/>
          <w:szCs w:val="23"/>
          <w:rtl/>
        </w:rPr>
        <w:t>ی بدهی برابر است با</w:t>
      </w:r>
    </w:p>
    <w:p w14:paraId="3E3A72FC"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34"/>
        </w:rPr>
        <w:object w:dxaOrig="3280" w:dyaOrig="800" w14:anchorId="33B5D8AC">
          <v:shape id="_x0000_i2666" type="#_x0000_t75" style="width:163.95pt;height:39.95pt" o:ole="">
            <v:imagedata r:id="rId3318" o:title=""/>
          </v:shape>
          <o:OLEObject Type="Embed" ProgID="Equation.DSMT4" ShapeID="_x0000_i2666" DrawAspect="Content" ObjectID="_1791376610" r:id="rId3319"/>
        </w:object>
      </w:r>
    </w:p>
    <w:p w14:paraId="635A14CC"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لذا سیاست مالی و تأمین مالی آن از طریق اوراق قرضه پایدار است. زیرا شوک‌های مثبت از طریق شوک‌های منفی جبران می</w:t>
      </w:r>
      <w:r w:rsidRPr="0026684F">
        <w:rPr>
          <w:rFonts w:eastAsiaTheme="minorEastAsia"/>
          <w:i/>
          <w:sz w:val="23"/>
          <w:szCs w:val="23"/>
          <w:rtl/>
        </w:rPr>
        <w:softHyphen/>
      </w:r>
      <w:r w:rsidRPr="0026684F">
        <w:rPr>
          <w:rFonts w:eastAsiaTheme="minorEastAsia" w:hint="cs"/>
          <w:i/>
          <w:sz w:val="23"/>
          <w:szCs w:val="23"/>
          <w:rtl/>
        </w:rPr>
        <w:t>شوند. نتیجه آنکه در شرایط رکود می‌توان مخارج دولت را افزایش و در شرایط رونق کاهش داد، و از روش تأمین مالی اوراق قرضه دولتی استفاده نمود. لذا در شرایط رکود</w:t>
      </w:r>
      <w:r w:rsidRPr="0026684F">
        <w:rPr>
          <w:rFonts w:eastAsiaTheme="minorEastAsia"/>
          <w:i/>
          <w:sz w:val="23"/>
          <w:szCs w:val="23"/>
        </w:rPr>
        <w:t xml:space="preserve"> </w:t>
      </w:r>
      <w:r w:rsidRPr="0026684F">
        <w:rPr>
          <w:rFonts w:eastAsiaTheme="minorEastAsia" w:hint="cs"/>
          <w:i/>
          <w:sz w:val="23"/>
          <w:szCs w:val="23"/>
          <w:rtl/>
        </w:rPr>
        <w:t>و با افزایش کسری بودجه</w:t>
      </w:r>
      <w:r w:rsidRPr="0026684F">
        <w:rPr>
          <w:rFonts w:eastAsiaTheme="minorEastAsia"/>
          <w:i/>
          <w:sz w:val="23"/>
          <w:szCs w:val="23"/>
          <w:rtl/>
        </w:rPr>
        <w:softHyphen/>
      </w:r>
      <w:r w:rsidRPr="0026684F">
        <w:rPr>
          <w:rFonts w:eastAsiaTheme="minorEastAsia" w:hint="cs"/>
          <w:i/>
          <w:sz w:val="23"/>
          <w:szCs w:val="23"/>
          <w:rtl/>
        </w:rPr>
        <w:t>ی دولت لازم نیست مالیات‌ها افزایش یابند. البته در شرایط رونق نیز باید اوراق قرضه بازخرید شوند و مالیات‌ها را کاهش نداد. درحالی</w:t>
      </w:r>
      <w:r w:rsidRPr="0026684F">
        <w:rPr>
          <w:rFonts w:eastAsiaTheme="minorEastAsia"/>
          <w:i/>
          <w:sz w:val="23"/>
          <w:szCs w:val="23"/>
          <w:rtl/>
        </w:rPr>
        <w:softHyphen/>
      </w:r>
      <w:r w:rsidRPr="0026684F">
        <w:rPr>
          <w:rFonts w:eastAsiaTheme="minorEastAsia" w:hint="cs"/>
          <w:i/>
          <w:sz w:val="23"/>
          <w:szCs w:val="23"/>
          <w:rtl/>
        </w:rPr>
        <w:t>که در زمان رونق در بسیاری از کشورها فشار زیادی به دولت</w:t>
      </w:r>
      <w:r w:rsidRPr="0026684F">
        <w:rPr>
          <w:rFonts w:eastAsiaTheme="minorEastAsia"/>
          <w:i/>
          <w:sz w:val="23"/>
          <w:szCs w:val="23"/>
          <w:rtl/>
        </w:rPr>
        <w:softHyphen/>
      </w:r>
      <w:r w:rsidRPr="0026684F">
        <w:rPr>
          <w:rFonts w:eastAsiaTheme="minorEastAsia" w:hint="cs"/>
          <w:i/>
          <w:sz w:val="23"/>
          <w:szCs w:val="23"/>
          <w:rtl/>
        </w:rPr>
        <w:t>ها جهت کاهش مالیات</w:t>
      </w:r>
      <w:r w:rsidRPr="0026684F">
        <w:rPr>
          <w:rFonts w:eastAsiaTheme="minorEastAsia"/>
          <w:i/>
          <w:sz w:val="23"/>
          <w:szCs w:val="23"/>
          <w:rtl/>
        </w:rPr>
        <w:softHyphen/>
      </w:r>
      <w:r w:rsidRPr="0026684F">
        <w:rPr>
          <w:rFonts w:eastAsiaTheme="minorEastAsia" w:hint="cs"/>
          <w:i/>
          <w:sz w:val="23"/>
          <w:szCs w:val="23"/>
          <w:rtl/>
        </w:rPr>
        <w:t>ها وجود دارد.</w:t>
      </w:r>
    </w:p>
    <w:p w14:paraId="11DCBB7E" w14:textId="77777777" w:rsidR="00411620" w:rsidRPr="0026684F" w:rsidRDefault="00411620" w:rsidP="00411620">
      <w:pPr>
        <w:tabs>
          <w:tab w:val="left" w:pos="2840"/>
        </w:tabs>
        <w:spacing w:line="216" w:lineRule="auto"/>
        <w:rPr>
          <w:rFonts w:eastAsiaTheme="minorEastAsia"/>
          <w:i/>
          <w:sz w:val="23"/>
          <w:szCs w:val="23"/>
          <w:rtl/>
        </w:rPr>
      </w:pPr>
    </w:p>
    <w:p w14:paraId="5C117B08" w14:textId="77777777" w:rsidR="00411620" w:rsidRPr="0026684F" w:rsidRDefault="00411620" w:rsidP="00411620">
      <w:pPr>
        <w:pStyle w:val="Heading1"/>
        <w:spacing w:before="0" w:after="0" w:line="216" w:lineRule="auto"/>
        <w:rPr>
          <w:rFonts w:ascii="Times New Roman" w:eastAsiaTheme="minorEastAsia" w:hAnsi="Times New Roman" w:cs="B Nazanin"/>
          <w:b w:val="0"/>
          <w:i/>
          <w:sz w:val="23"/>
          <w:szCs w:val="23"/>
          <w:rtl/>
        </w:rPr>
      </w:pPr>
      <w:r w:rsidRPr="0026684F">
        <w:rPr>
          <w:rFonts w:ascii="Times New Roman" w:eastAsiaTheme="minorEastAsia" w:hAnsi="Times New Roman" w:cs="B Nazanin" w:hint="cs"/>
          <w:b w:val="0"/>
          <w:i/>
          <w:sz w:val="23"/>
          <w:szCs w:val="23"/>
          <w:rtl/>
        </w:rPr>
        <w:t>ج: سیاست مالی بین</w:t>
      </w:r>
      <w:r w:rsidRPr="0026684F">
        <w:rPr>
          <w:rFonts w:ascii="Times New Roman" w:eastAsiaTheme="minorEastAsia" w:hAnsi="Times New Roman" w:cs="B Nazanin"/>
          <w:b w:val="0"/>
          <w:i/>
          <w:sz w:val="23"/>
          <w:szCs w:val="23"/>
          <w:rtl/>
        </w:rPr>
        <w:softHyphen/>
      </w:r>
      <w:r w:rsidRPr="0026684F">
        <w:rPr>
          <w:rFonts w:ascii="Times New Roman" w:eastAsiaTheme="minorEastAsia" w:hAnsi="Times New Roman" w:cs="B Nazanin" w:hint="cs"/>
          <w:b w:val="0"/>
          <w:i/>
          <w:sz w:val="23"/>
          <w:szCs w:val="23"/>
          <w:rtl/>
        </w:rPr>
        <w:t>دوره</w:t>
      </w:r>
      <w:r w:rsidRPr="0026684F">
        <w:rPr>
          <w:rFonts w:ascii="Times New Roman" w:eastAsiaTheme="minorEastAsia" w:hAnsi="Times New Roman" w:cs="B Nazanin"/>
          <w:b w:val="0"/>
          <w:i/>
          <w:sz w:val="23"/>
          <w:szCs w:val="23"/>
          <w:rtl/>
        </w:rPr>
        <w:softHyphen/>
      </w:r>
      <w:r w:rsidRPr="0026684F">
        <w:rPr>
          <w:rFonts w:ascii="Times New Roman" w:eastAsiaTheme="minorEastAsia" w:hAnsi="Times New Roman" w:cs="B Nazanin" w:hint="cs"/>
          <w:b w:val="0"/>
          <w:i/>
          <w:sz w:val="23"/>
          <w:szCs w:val="23"/>
          <w:rtl/>
        </w:rPr>
        <w:t xml:space="preserve">ای </w:t>
      </w:r>
    </w:p>
    <w:p w14:paraId="25A9CCD5"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 xml:space="preserve">فرض کنید دولت در زمان </w:t>
      </w:r>
      <w:r w:rsidRPr="0026684F">
        <w:rPr>
          <w:rFonts w:eastAsiaTheme="minorEastAsia"/>
          <w:i/>
          <w:sz w:val="23"/>
          <w:szCs w:val="23"/>
        </w:rPr>
        <w:t>t</w:t>
      </w:r>
      <w:r w:rsidRPr="0026684F">
        <w:rPr>
          <w:rFonts w:eastAsiaTheme="minorEastAsia" w:hint="cs"/>
          <w:i/>
          <w:sz w:val="23"/>
          <w:szCs w:val="23"/>
          <w:rtl/>
        </w:rPr>
        <w:t xml:space="preserve"> مالیات را کاهش و اوراق قرضه را افزایش دهد، و در زمان </w:t>
      </w:r>
      <w:r w:rsidRPr="0026684F">
        <w:rPr>
          <w:rFonts w:eastAsiaTheme="minorEastAsia"/>
          <w:i/>
          <w:sz w:val="23"/>
          <w:szCs w:val="23"/>
        </w:rPr>
        <w:t>t+1</w:t>
      </w:r>
      <w:r w:rsidRPr="0026684F">
        <w:rPr>
          <w:rFonts w:eastAsiaTheme="minorEastAsia" w:hint="cs"/>
          <w:i/>
          <w:sz w:val="23"/>
          <w:szCs w:val="23"/>
          <w:rtl/>
        </w:rPr>
        <w:t xml:space="preserve"> مالیات را افزایش و اوراق قرضه را کاهش دهد، بگونه</w:t>
      </w:r>
      <w:r w:rsidRPr="0026684F">
        <w:rPr>
          <w:rFonts w:eastAsiaTheme="minorEastAsia"/>
          <w:i/>
          <w:sz w:val="23"/>
          <w:szCs w:val="23"/>
          <w:rtl/>
        </w:rPr>
        <w:softHyphen/>
      </w:r>
      <w:r w:rsidRPr="0026684F">
        <w:rPr>
          <w:rFonts w:eastAsiaTheme="minorEastAsia" w:hint="cs"/>
          <w:i/>
          <w:sz w:val="23"/>
          <w:szCs w:val="23"/>
          <w:rtl/>
        </w:rPr>
        <w:t xml:space="preserve">ای که قید بودجه در زمان </w:t>
      </w:r>
      <w:r w:rsidRPr="0026684F">
        <w:rPr>
          <w:rFonts w:eastAsiaTheme="minorEastAsia"/>
          <w:i/>
          <w:sz w:val="23"/>
          <w:szCs w:val="23"/>
        </w:rPr>
        <w:t>t-1</w:t>
      </w:r>
      <w:r w:rsidRPr="0026684F">
        <w:rPr>
          <w:rFonts w:eastAsiaTheme="minorEastAsia" w:hint="cs"/>
          <w:i/>
          <w:sz w:val="23"/>
          <w:szCs w:val="23"/>
          <w:rtl/>
        </w:rPr>
        <w:t xml:space="preserve"> برابر </w:t>
      </w:r>
      <w:r w:rsidRPr="0026684F">
        <w:rPr>
          <w:rFonts w:eastAsiaTheme="minorEastAsia"/>
          <w:i/>
          <w:sz w:val="23"/>
          <w:szCs w:val="23"/>
        </w:rPr>
        <w:t>t+2</w:t>
      </w:r>
      <w:r w:rsidRPr="0026684F">
        <w:rPr>
          <w:rFonts w:eastAsiaTheme="minorEastAsia" w:hint="cs"/>
          <w:i/>
          <w:sz w:val="23"/>
          <w:szCs w:val="23"/>
          <w:rtl/>
        </w:rPr>
        <w:t xml:space="preserve"> شود. آنگاه:</w:t>
      </w:r>
    </w:p>
    <w:p w14:paraId="7E23C292"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10"/>
        </w:rPr>
        <w:object w:dxaOrig="2160" w:dyaOrig="320" w14:anchorId="62461F11">
          <v:shape id="_x0000_i2667" type="#_x0000_t75" style="width:108.3pt;height:15.75pt" o:ole="">
            <v:imagedata r:id="rId3320" o:title=""/>
          </v:shape>
          <o:OLEObject Type="Embed" ProgID="Equation.DSMT4" ShapeID="_x0000_i2667" DrawAspect="Content" ObjectID="_1791376611" r:id="rId3321"/>
        </w:object>
      </w:r>
    </w:p>
    <w:p w14:paraId="3CEC47E9"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10"/>
        </w:rPr>
        <w:object w:dxaOrig="3320" w:dyaOrig="320" w14:anchorId="3722AE30">
          <v:shape id="_x0000_i2668" type="#_x0000_t75" style="width:165.8pt;height:15.75pt" o:ole="">
            <v:imagedata r:id="rId3322" o:title=""/>
          </v:shape>
          <o:OLEObject Type="Embed" ProgID="Equation.DSMT4" ShapeID="_x0000_i2668" DrawAspect="Content" ObjectID="_1791376612" r:id="rId3323"/>
        </w:object>
      </w:r>
    </w:p>
    <w:p w14:paraId="4F8F8CA3"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10"/>
        </w:rPr>
        <w:object w:dxaOrig="4200" w:dyaOrig="320" w14:anchorId="48812734">
          <v:shape id="_x0000_i2669" type="#_x0000_t75" style="width:209.95pt;height:15.75pt" o:ole="">
            <v:imagedata r:id="rId3324" o:title=""/>
          </v:shape>
          <o:OLEObject Type="Embed" ProgID="Equation.DSMT4" ShapeID="_x0000_i2669" DrawAspect="Content" ObjectID="_1791376613" r:id="rId3325"/>
        </w:object>
      </w:r>
    </w:p>
    <w:p w14:paraId="51131EA2" w14:textId="77777777" w:rsidR="00411620" w:rsidRPr="0026684F" w:rsidRDefault="00411620" w:rsidP="00411620">
      <w:pPr>
        <w:tabs>
          <w:tab w:val="left" w:pos="2840"/>
        </w:tabs>
        <w:bidi w:val="0"/>
        <w:spacing w:line="216" w:lineRule="auto"/>
        <w:rPr>
          <w:rFonts w:eastAsiaTheme="minorEastAsia"/>
          <w:i/>
          <w:sz w:val="23"/>
          <w:szCs w:val="23"/>
        </w:rPr>
      </w:pPr>
      <w:r w:rsidRPr="00703635">
        <w:rPr>
          <w:position w:val="-10"/>
        </w:rPr>
        <w:object w:dxaOrig="2120" w:dyaOrig="320" w14:anchorId="1DC9BF79">
          <v:shape id="_x0000_i2670" type="#_x0000_t75" style="width:105.9pt;height:15.75pt" o:ole="">
            <v:imagedata r:id="rId3326" o:title=""/>
          </v:shape>
          <o:OLEObject Type="Embed" ProgID="Equation.DSMT4" ShapeID="_x0000_i2670" DrawAspect="Content" ObjectID="_1791376614" r:id="rId3327"/>
        </w:object>
      </w:r>
      <w:r w:rsidRPr="0026684F">
        <w:rPr>
          <w:rFonts w:eastAsiaTheme="minorEastAsia"/>
          <w:i/>
          <w:sz w:val="23"/>
          <w:szCs w:val="23"/>
        </w:rPr>
        <w:t xml:space="preserve"> </w:t>
      </w:r>
    </w:p>
    <w:p w14:paraId="658B0963"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باید توجه داشت که</w:t>
      </w:r>
    </w:p>
    <w:p w14:paraId="21F40152" w14:textId="77777777" w:rsidR="00411620" w:rsidRPr="0026684F" w:rsidRDefault="00411620" w:rsidP="00411620">
      <w:pPr>
        <w:tabs>
          <w:tab w:val="left" w:pos="2840"/>
        </w:tabs>
        <w:bidi w:val="0"/>
        <w:spacing w:line="216" w:lineRule="auto"/>
        <w:rPr>
          <w:rFonts w:eastAsiaTheme="minorEastAsia"/>
          <w:i/>
          <w:sz w:val="23"/>
          <w:szCs w:val="23"/>
          <w:rtl/>
        </w:rPr>
      </w:pPr>
      <w:r w:rsidRPr="0026684F">
        <w:rPr>
          <w:rFonts w:eastAsiaTheme="minorEastAsia" w:hint="cs"/>
          <w:i/>
          <w:sz w:val="23"/>
          <w:szCs w:val="23"/>
          <w:rtl/>
        </w:rPr>
        <w:t xml:space="preserve"> </w:t>
      </w:r>
      <w:r w:rsidRPr="00703635">
        <w:rPr>
          <w:position w:val="-10"/>
        </w:rPr>
        <w:object w:dxaOrig="1160" w:dyaOrig="320" w14:anchorId="5FC346AB">
          <v:shape id="_x0000_i2671" type="#_x0000_t75" style="width:58.1pt;height:15.75pt" o:ole="">
            <v:imagedata r:id="rId3328" o:title=""/>
          </v:shape>
          <o:OLEObject Type="Embed" ProgID="Equation.DSMT4" ShapeID="_x0000_i2671" DrawAspect="Content" ObjectID="_1791376615" r:id="rId3329"/>
        </w:object>
      </w:r>
    </w:p>
    <w:p w14:paraId="28E35EE9" w14:textId="77777777" w:rsidR="00411620" w:rsidRPr="0026684F" w:rsidRDefault="00411620" w:rsidP="00411620">
      <w:pPr>
        <w:tabs>
          <w:tab w:val="left" w:pos="2840"/>
        </w:tabs>
        <w:bidi w:val="0"/>
        <w:spacing w:line="216" w:lineRule="auto"/>
        <w:rPr>
          <w:rFonts w:eastAsiaTheme="minorEastAsia"/>
          <w:i/>
          <w:sz w:val="23"/>
          <w:szCs w:val="23"/>
          <w:rtl/>
        </w:rPr>
      </w:pPr>
      <w:r w:rsidRPr="0026684F">
        <w:rPr>
          <w:rFonts w:eastAsiaTheme="minorEastAsia" w:hint="cs"/>
          <w:i/>
          <w:sz w:val="23"/>
          <w:szCs w:val="23"/>
        </w:rPr>
        <w:t xml:space="preserve"> </w:t>
      </w:r>
      <w:r w:rsidRPr="00703635">
        <w:rPr>
          <w:position w:val="-10"/>
        </w:rPr>
        <w:object w:dxaOrig="1280" w:dyaOrig="320" w14:anchorId="617AF36C">
          <v:shape id="_x0000_i2672" type="#_x0000_t75" style="width:64.15pt;height:15.75pt" o:ole="">
            <v:imagedata r:id="rId3330" o:title=""/>
          </v:shape>
          <o:OLEObject Type="Embed" ProgID="Equation.DSMT4" ShapeID="_x0000_i2672" DrawAspect="Content" ObjectID="_1791376616" r:id="rId3331"/>
        </w:object>
      </w:r>
      <w:r w:rsidRPr="0026684F">
        <w:rPr>
          <w:rFonts w:eastAsiaTheme="minorEastAsia" w:hint="cs"/>
          <w:i/>
          <w:sz w:val="23"/>
          <w:szCs w:val="23"/>
          <w:rtl/>
        </w:rPr>
        <w:t xml:space="preserve"> </w:t>
      </w:r>
    </w:p>
    <w:p w14:paraId="35BCEC5C" w14:textId="77777777" w:rsidR="00411620" w:rsidRPr="0026684F" w:rsidRDefault="00411620" w:rsidP="00411620">
      <w:pPr>
        <w:tabs>
          <w:tab w:val="left" w:pos="2840"/>
        </w:tabs>
        <w:bidi w:val="0"/>
        <w:spacing w:line="216" w:lineRule="auto"/>
        <w:rPr>
          <w:rFonts w:eastAsiaTheme="minorEastAsia"/>
          <w:i/>
          <w:sz w:val="23"/>
          <w:szCs w:val="23"/>
          <w:rtl/>
        </w:rPr>
      </w:pPr>
      <w:r w:rsidRPr="0026684F">
        <w:rPr>
          <w:rFonts w:eastAsiaTheme="minorEastAsia" w:hint="cs"/>
          <w:i/>
          <w:sz w:val="23"/>
          <w:szCs w:val="23"/>
        </w:rPr>
        <w:t xml:space="preserve"> </w:t>
      </w:r>
      <w:r w:rsidRPr="00703635">
        <w:rPr>
          <w:position w:val="-12"/>
        </w:rPr>
        <w:object w:dxaOrig="4680" w:dyaOrig="360" w14:anchorId="44D96641">
          <v:shape id="_x0000_i2673" type="#_x0000_t75" style="width:234.15pt;height:18.15pt" o:ole="">
            <v:imagedata r:id="rId3332" o:title=""/>
          </v:shape>
          <o:OLEObject Type="Embed" ProgID="Equation.DSMT4" ShapeID="_x0000_i2673" DrawAspect="Content" ObjectID="_1791376617" r:id="rId3333"/>
        </w:object>
      </w:r>
      <w:r w:rsidRPr="0026684F">
        <w:rPr>
          <w:rFonts w:eastAsiaTheme="minorEastAsia" w:hint="cs"/>
          <w:i/>
          <w:sz w:val="23"/>
          <w:szCs w:val="23"/>
          <w:rtl/>
        </w:rPr>
        <w:t xml:space="preserve"> </w:t>
      </w:r>
    </w:p>
    <w:p w14:paraId="2BC4457D" w14:textId="77777777" w:rsidR="00411620" w:rsidRPr="0026684F" w:rsidRDefault="00411620" w:rsidP="00411620">
      <w:pPr>
        <w:tabs>
          <w:tab w:val="left" w:pos="2840"/>
        </w:tabs>
        <w:spacing w:line="216" w:lineRule="auto"/>
        <w:rPr>
          <w:rFonts w:eastAsiaTheme="minorEastAsia"/>
          <w:i/>
          <w:sz w:val="23"/>
          <w:szCs w:val="23"/>
        </w:rPr>
      </w:pPr>
      <w:r w:rsidRPr="0026684F">
        <w:rPr>
          <w:rFonts w:eastAsiaTheme="minorEastAsia" w:hint="cs"/>
          <w:i/>
          <w:sz w:val="23"/>
          <w:szCs w:val="23"/>
          <w:rtl/>
        </w:rPr>
        <w:t>بنابراین برای آنکه در زمان</w:t>
      </w:r>
      <w:r w:rsidRPr="00703635">
        <w:rPr>
          <w:position w:val="-6"/>
        </w:rPr>
        <w:object w:dxaOrig="460" w:dyaOrig="260" w14:anchorId="6334944B">
          <v:shape id="_x0000_i2674" type="#_x0000_t75" style="width:23pt;height:13.3pt" o:ole="">
            <v:imagedata r:id="rId3334" o:title=""/>
          </v:shape>
          <o:OLEObject Type="Embed" ProgID="Equation.DSMT4" ShapeID="_x0000_i2674" DrawAspect="Content" ObjectID="_1791376618" r:id="rId3335"/>
        </w:object>
      </w:r>
      <w:r w:rsidRPr="0026684F">
        <w:rPr>
          <w:rFonts w:eastAsiaTheme="minorEastAsia" w:hint="cs"/>
          <w:i/>
          <w:sz w:val="23"/>
          <w:szCs w:val="23"/>
          <w:rtl/>
        </w:rPr>
        <w:t>،</w:t>
      </w:r>
      <w:r w:rsidRPr="00703635">
        <w:rPr>
          <w:position w:val="-10"/>
        </w:rPr>
        <w:object w:dxaOrig="360" w:dyaOrig="320" w14:anchorId="7329E26D">
          <v:shape id="_x0000_i2675" type="#_x0000_t75" style="width:18.15pt;height:15.75pt" o:ole="">
            <v:imagedata r:id="rId3336" o:title=""/>
          </v:shape>
          <o:OLEObject Type="Embed" ProgID="Equation.DSMT4" ShapeID="_x0000_i2675" DrawAspect="Content" ObjectID="_1791376619" r:id="rId3337"/>
        </w:object>
      </w:r>
      <w:r w:rsidRPr="0026684F">
        <w:rPr>
          <w:rFonts w:eastAsiaTheme="minorEastAsia" w:hint="cs"/>
          <w:i/>
          <w:sz w:val="23"/>
          <w:szCs w:val="23"/>
          <w:rtl/>
        </w:rPr>
        <w:t xml:space="preserve"> بدهی</w:t>
      </w:r>
      <w:r w:rsidRPr="00703635">
        <w:rPr>
          <w:position w:val="-10"/>
        </w:rPr>
        <w:object w:dxaOrig="340" w:dyaOrig="320" w14:anchorId="28E05FFE">
          <v:shape id="_x0000_i2676" type="#_x0000_t75" style="width:16.95pt;height:15.75pt" o:ole="">
            <v:imagedata r:id="rId3338" o:title=""/>
          </v:shape>
          <o:OLEObject Type="Embed" ProgID="Equation.DSMT4" ShapeID="_x0000_i2676" DrawAspect="Content" ObjectID="_1791376620" r:id="rId3339"/>
        </w:object>
      </w:r>
      <w:r w:rsidRPr="0026684F">
        <w:rPr>
          <w:rFonts w:eastAsiaTheme="minorEastAsia" w:hint="cs"/>
          <w:i/>
          <w:sz w:val="23"/>
          <w:szCs w:val="23"/>
          <w:rtl/>
        </w:rPr>
        <w:t xml:space="preserve"> را جبران کند، مالیات باید به میزان </w:t>
      </w:r>
      <w:r w:rsidRPr="00703635">
        <w:rPr>
          <w:position w:val="-12"/>
        </w:rPr>
        <w:object w:dxaOrig="1180" w:dyaOrig="360" w14:anchorId="42CF586F">
          <v:shape id="_x0000_i2677" type="#_x0000_t75" style="width:58.7pt;height:18.15pt" o:ole="">
            <v:imagedata r:id="rId3340" o:title=""/>
          </v:shape>
          <o:OLEObject Type="Embed" ProgID="Equation.DSMT4" ShapeID="_x0000_i2677" DrawAspect="Content" ObjectID="_1791376621" r:id="rId3341"/>
        </w:object>
      </w:r>
      <w:r w:rsidRPr="0026684F">
        <w:rPr>
          <w:rFonts w:eastAsiaTheme="minorEastAsia" w:hint="cs"/>
          <w:i/>
          <w:sz w:val="23"/>
          <w:szCs w:val="23"/>
          <w:rtl/>
        </w:rPr>
        <w:t xml:space="preserve"> افزایش یابد.</w:t>
      </w:r>
      <w:r w:rsidRPr="0026684F">
        <w:rPr>
          <w:rFonts w:eastAsiaTheme="minorEastAsia"/>
          <w:i/>
          <w:sz w:val="23"/>
          <w:szCs w:val="23"/>
        </w:rPr>
        <w:t xml:space="preserve">  </w:t>
      </w:r>
      <w:r w:rsidRPr="0026684F">
        <w:rPr>
          <w:rFonts w:eastAsiaTheme="minorEastAsia" w:hint="cs"/>
          <w:i/>
          <w:sz w:val="23"/>
          <w:szCs w:val="23"/>
          <w:rtl/>
        </w:rPr>
        <w:t>براحتی می‌توان نشان داد که</w:t>
      </w:r>
      <w:r w:rsidRPr="00703635">
        <w:rPr>
          <w:position w:val="-10"/>
        </w:rPr>
        <w:object w:dxaOrig="880" w:dyaOrig="320" w14:anchorId="278066E7">
          <v:shape id="_x0000_i2678" type="#_x0000_t75" style="width:44.15pt;height:15.75pt" o:ole="">
            <v:imagedata r:id="rId3342" o:title=""/>
          </v:shape>
          <o:OLEObject Type="Embed" ProgID="Equation.DSMT4" ShapeID="_x0000_i2678" DrawAspect="Content" ObjectID="_1791376622" r:id="rId3343"/>
        </w:object>
      </w:r>
      <w:r w:rsidRPr="0026684F">
        <w:rPr>
          <w:rFonts w:eastAsiaTheme="minorEastAsia" w:hint="cs"/>
          <w:i/>
          <w:sz w:val="23"/>
          <w:szCs w:val="23"/>
          <w:rtl/>
        </w:rPr>
        <w:t xml:space="preserve"> و لذا مخارج مصرفی و </w:t>
      </w:r>
      <w:r w:rsidRPr="0026684F">
        <w:rPr>
          <w:rFonts w:eastAsiaTheme="minorEastAsia"/>
          <w:i/>
          <w:sz w:val="23"/>
          <w:szCs w:val="23"/>
        </w:rPr>
        <w:t>GDP</w:t>
      </w:r>
      <w:r w:rsidRPr="0026684F">
        <w:rPr>
          <w:rFonts w:eastAsiaTheme="minorEastAsia" w:hint="cs"/>
          <w:i/>
          <w:sz w:val="23"/>
          <w:szCs w:val="23"/>
          <w:rtl/>
        </w:rPr>
        <w:t xml:space="preserve"> نیز بدون تغییر باقی خواهند ماند.</w:t>
      </w:r>
    </w:p>
    <w:p w14:paraId="23AA8B80" w14:textId="77777777" w:rsidR="00411620" w:rsidRPr="0026684F" w:rsidRDefault="00411620" w:rsidP="00411620">
      <w:pPr>
        <w:pStyle w:val="Heading1"/>
        <w:spacing w:before="0" w:after="0" w:line="216" w:lineRule="auto"/>
        <w:rPr>
          <w:rFonts w:ascii="Times New Roman" w:eastAsiaTheme="minorEastAsia" w:hAnsi="Times New Roman" w:cs="B Nazanin"/>
          <w:b w:val="0"/>
          <w:i/>
          <w:sz w:val="23"/>
          <w:szCs w:val="23"/>
          <w:rtl/>
        </w:rPr>
      </w:pPr>
      <w:r w:rsidRPr="0026684F">
        <w:rPr>
          <w:rFonts w:ascii="Times New Roman" w:eastAsiaTheme="minorEastAsia" w:hAnsi="Times New Roman" w:cs="B Nazanin" w:hint="cs"/>
          <w:b w:val="0"/>
          <w:i/>
          <w:sz w:val="23"/>
          <w:szCs w:val="23"/>
          <w:rtl/>
        </w:rPr>
        <w:lastRenderedPageBreak/>
        <w:t>۵. ۴ پایداری وضع مالی</w:t>
      </w:r>
    </w:p>
    <w:p w14:paraId="60B68517"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دولت ممکن است مخارج خود را از طریق مالیات و یا استقراض تأمین مالی کند. بخش خصوصی اوراق قرضه</w:t>
      </w:r>
      <w:r w:rsidRPr="0026684F">
        <w:rPr>
          <w:rFonts w:eastAsiaTheme="minorEastAsia"/>
          <w:i/>
          <w:sz w:val="23"/>
          <w:szCs w:val="23"/>
          <w:rtl/>
        </w:rPr>
        <w:softHyphen/>
      </w:r>
      <w:r w:rsidRPr="0026684F">
        <w:rPr>
          <w:rFonts w:eastAsiaTheme="minorEastAsia" w:hint="cs"/>
          <w:i/>
          <w:sz w:val="23"/>
          <w:szCs w:val="23"/>
          <w:rtl/>
        </w:rPr>
        <w:t>ی دولتی را در کوتاه</w:t>
      </w:r>
      <w:r w:rsidRPr="0026684F">
        <w:rPr>
          <w:rFonts w:eastAsiaTheme="minorEastAsia"/>
          <w:i/>
          <w:sz w:val="23"/>
          <w:szCs w:val="23"/>
          <w:rtl/>
        </w:rPr>
        <w:softHyphen/>
      </w:r>
      <w:r w:rsidRPr="0026684F">
        <w:rPr>
          <w:rFonts w:eastAsiaTheme="minorEastAsia" w:hint="cs"/>
          <w:i/>
          <w:sz w:val="23"/>
          <w:szCs w:val="23"/>
          <w:rtl/>
        </w:rPr>
        <w:t xml:space="preserve">مدت و بخصوص بلندمدت هنگامی نگهداری می‌کند که در مورد بازخرید آن توسط دولت مطمئن باشد. به تعبیری دیگر، وضعیت مالی دولت باید پایدار باشد. اگر نسبت بدهی دولت به تولید ناخالص داخلی </w:t>
      </w:r>
      <w:r w:rsidRPr="00703635">
        <w:rPr>
          <w:position w:val="-22"/>
        </w:rPr>
        <w:object w:dxaOrig="580" w:dyaOrig="560" w14:anchorId="03F877D3">
          <v:shape id="_x0000_i2679" type="#_x0000_t75" style="width:29.05pt;height:27.85pt" o:ole="">
            <v:imagedata r:id="rId3344" o:title=""/>
          </v:shape>
          <o:OLEObject Type="Embed" ProgID="Equation.DSMT4" ShapeID="_x0000_i2679" DrawAspect="Content" ObjectID="_1791376623" r:id="rId3345"/>
        </w:object>
      </w:r>
      <w:r w:rsidRPr="0026684F">
        <w:rPr>
          <w:rFonts w:eastAsiaTheme="minorEastAsia" w:hint="cs"/>
          <w:i/>
          <w:sz w:val="23"/>
          <w:szCs w:val="23"/>
          <w:rtl/>
        </w:rPr>
        <w:t xml:space="preserve"> مرتباً افزایش یابد آنگاه ممکن است دولت نتواند تعهدات مالی خود را بازپرداخت کند، مگر از طریق انتشار پول که آنهم موجب تورم و یا تورم حاد می‌شود. لذا در این شرایط بخش خصوصی تمایل به نگهداری اوراق قرضه</w:t>
      </w:r>
      <w:r w:rsidRPr="0026684F">
        <w:rPr>
          <w:rFonts w:eastAsiaTheme="minorEastAsia"/>
          <w:i/>
          <w:sz w:val="23"/>
          <w:szCs w:val="23"/>
          <w:rtl/>
        </w:rPr>
        <w:softHyphen/>
      </w:r>
      <w:r w:rsidRPr="0026684F">
        <w:rPr>
          <w:rFonts w:eastAsiaTheme="minorEastAsia" w:hint="cs"/>
          <w:i/>
          <w:sz w:val="23"/>
          <w:szCs w:val="23"/>
          <w:rtl/>
        </w:rPr>
        <w:t>ی دولتی نخواهد داشت. این مسئله بواسطه</w:t>
      </w:r>
      <w:r w:rsidRPr="0026684F">
        <w:rPr>
          <w:rFonts w:eastAsiaTheme="minorEastAsia"/>
          <w:i/>
          <w:sz w:val="23"/>
          <w:szCs w:val="23"/>
          <w:rtl/>
        </w:rPr>
        <w:softHyphen/>
      </w:r>
      <w:r w:rsidRPr="0026684F">
        <w:rPr>
          <w:rFonts w:eastAsiaTheme="minorEastAsia" w:hint="cs"/>
          <w:i/>
          <w:sz w:val="23"/>
          <w:szCs w:val="23"/>
          <w:rtl/>
        </w:rPr>
        <w:t>ی هزینه</w:t>
      </w:r>
      <w:r w:rsidRPr="0026684F">
        <w:rPr>
          <w:rFonts w:eastAsiaTheme="minorEastAsia"/>
          <w:i/>
          <w:sz w:val="23"/>
          <w:szCs w:val="23"/>
          <w:rtl/>
        </w:rPr>
        <w:softHyphen/>
      </w:r>
      <w:r w:rsidRPr="0026684F">
        <w:rPr>
          <w:rFonts w:eastAsiaTheme="minorEastAsia" w:hint="cs"/>
          <w:i/>
          <w:sz w:val="23"/>
          <w:szCs w:val="23"/>
          <w:rtl/>
        </w:rPr>
        <w:t>های بالای دولت و یا پایه‌های ضعیف مالیاتی رخ خواهد داد. حالت فوق در بسیاری از کشورهای اتحاد جماهیر شوروی پس از استقلال آنها مشاهده شده است. پیمان رشد و ثبات اتحادیه</w:t>
      </w:r>
      <w:r w:rsidRPr="0026684F">
        <w:rPr>
          <w:rFonts w:eastAsiaTheme="minorEastAsia"/>
          <w:i/>
          <w:sz w:val="23"/>
          <w:szCs w:val="23"/>
          <w:rtl/>
        </w:rPr>
        <w:softHyphen/>
      </w:r>
      <w:r w:rsidRPr="0026684F">
        <w:rPr>
          <w:rFonts w:eastAsiaTheme="minorEastAsia" w:hint="cs"/>
          <w:i/>
          <w:sz w:val="23"/>
          <w:szCs w:val="23"/>
          <w:rtl/>
        </w:rPr>
        <w:t>ی اروپا و یا قاعده</w:t>
      </w:r>
      <w:r w:rsidRPr="0026684F">
        <w:rPr>
          <w:rFonts w:eastAsiaTheme="minorEastAsia"/>
          <w:i/>
          <w:sz w:val="23"/>
          <w:szCs w:val="23"/>
          <w:rtl/>
        </w:rPr>
        <w:softHyphen/>
      </w:r>
      <w:r w:rsidRPr="0026684F">
        <w:rPr>
          <w:rFonts w:eastAsiaTheme="minorEastAsia" w:hint="cs"/>
          <w:i/>
          <w:sz w:val="23"/>
          <w:szCs w:val="23"/>
          <w:rtl/>
        </w:rPr>
        <w:t>ی طلایی مخارج دولت انگلستان شرط لازم برای پایداری وضعیت مالی دولت است. بر اساس پیمان رشد و ثبات اتحادیه</w:t>
      </w:r>
      <w:r w:rsidRPr="0026684F">
        <w:rPr>
          <w:rFonts w:eastAsiaTheme="minorEastAsia"/>
          <w:i/>
          <w:sz w:val="23"/>
          <w:szCs w:val="23"/>
          <w:rtl/>
        </w:rPr>
        <w:softHyphen/>
      </w:r>
      <w:r w:rsidRPr="0026684F">
        <w:rPr>
          <w:rFonts w:eastAsiaTheme="minorEastAsia" w:hint="cs"/>
          <w:i/>
          <w:sz w:val="23"/>
          <w:szCs w:val="23"/>
          <w:rtl/>
        </w:rPr>
        <w:t>ی اروپا، هیچ کشور اروپایی عضو اتحادیه نباید نسبت کسری بودجه</w:t>
      </w:r>
      <w:r w:rsidRPr="0026684F">
        <w:rPr>
          <w:rFonts w:eastAsiaTheme="minorEastAsia"/>
          <w:i/>
          <w:sz w:val="23"/>
          <w:szCs w:val="23"/>
          <w:rtl/>
        </w:rPr>
        <w:softHyphen/>
      </w:r>
      <w:r w:rsidRPr="0026684F">
        <w:rPr>
          <w:rFonts w:eastAsiaTheme="minorEastAsia" w:hint="cs"/>
          <w:i/>
          <w:sz w:val="23"/>
          <w:szCs w:val="23"/>
          <w:rtl/>
        </w:rPr>
        <w:t xml:space="preserve"> دولت به </w:t>
      </w:r>
      <w:r w:rsidRPr="0026684F">
        <w:rPr>
          <w:rFonts w:eastAsiaTheme="minorEastAsia"/>
          <w:i/>
          <w:sz w:val="23"/>
          <w:szCs w:val="23"/>
        </w:rPr>
        <w:t>GDP</w:t>
      </w:r>
      <w:r w:rsidRPr="0026684F">
        <w:rPr>
          <w:rFonts w:eastAsiaTheme="minorEastAsia" w:hint="cs"/>
          <w:i/>
          <w:sz w:val="23"/>
          <w:szCs w:val="23"/>
          <w:rtl/>
        </w:rPr>
        <w:t xml:space="preserve"> بیش از ۳ درصد، و نسبت بدهی دولت به </w:t>
      </w:r>
      <w:r w:rsidRPr="0026684F">
        <w:rPr>
          <w:rFonts w:eastAsiaTheme="minorEastAsia"/>
          <w:i/>
          <w:sz w:val="23"/>
          <w:szCs w:val="23"/>
        </w:rPr>
        <w:t>GDP</w:t>
      </w:r>
      <w:r w:rsidRPr="0026684F">
        <w:rPr>
          <w:rFonts w:eastAsiaTheme="minorEastAsia" w:hint="cs"/>
          <w:i/>
          <w:sz w:val="23"/>
          <w:szCs w:val="23"/>
          <w:rtl/>
        </w:rPr>
        <w:t xml:space="preserve"> </w:t>
      </w:r>
      <w:r w:rsidRPr="0026684F">
        <w:rPr>
          <w:rFonts w:eastAsiaTheme="minorEastAsia"/>
          <w:i/>
          <w:sz w:val="23"/>
          <w:szCs w:val="23"/>
        </w:rPr>
        <w:t xml:space="preserve"> </w:t>
      </w:r>
      <w:r w:rsidRPr="0026684F">
        <w:rPr>
          <w:rFonts w:eastAsiaTheme="minorEastAsia" w:hint="cs"/>
          <w:i/>
          <w:sz w:val="23"/>
          <w:szCs w:val="23"/>
          <w:rtl/>
        </w:rPr>
        <w:t>بیش از</w:t>
      </w:r>
      <w:r w:rsidRPr="0026684F">
        <w:rPr>
          <w:rFonts w:eastAsiaTheme="minorEastAsia"/>
          <w:i/>
          <w:sz w:val="23"/>
          <w:szCs w:val="23"/>
          <w:rtl/>
        </w:rPr>
        <w:t xml:space="preserve"> </w:t>
      </w:r>
      <w:r w:rsidRPr="0026684F">
        <w:rPr>
          <w:rFonts w:eastAsiaTheme="minorEastAsia" w:hint="cs"/>
          <w:i/>
          <w:sz w:val="23"/>
          <w:szCs w:val="23"/>
          <w:rtl/>
        </w:rPr>
        <w:t>۶۰ درصد باشد. براساس قاعده</w:t>
      </w:r>
      <w:r w:rsidRPr="0026684F">
        <w:rPr>
          <w:rFonts w:eastAsiaTheme="minorEastAsia"/>
          <w:i/>
          <w:sz w:val="23"/>
          <w:szCs w:val="23"/>
          <w:rtl/>
        </w:rPr>
        <w:softHyphen/>
      </w:r>
      <w:r w:rsidRPr="0026684F">
        <w:rPr>
          <w:rFonts w:eastAsiaTheme="minorEastAsia" w:hint="cs"/>
          <w:i/>
          <w:sz w:val="23"/>
          <w:szCs w:val="23"/>
          <w:rtl/>
        </w:rPr>
        <w:t>ی طلایی انگلستان، در هر چرخه</w:t>
      </w:r>
      <w:r w:rsidRPr="0026684F">
        <w:rPr>
          <w:rFonts w:eastAsiaTheme="minorEastAsia"/>
          <w:i/>
          <w:sz w:val="23"/>
          <w:szCs w:val="23"/>
          <w:rtl/>
        </w:rPr>
        <w:softHyphen/>
      </w:r>
      <w:r w:rsidRPr="0026684F">
        <w:rPr>
          <w:rFonts w:eastAsiaTheme="minorEastAsia" w:hint="cs"/>
          <w:i/>
          <w:sz w:val="23"/>
          <w:szCs w:val="23"/>
          <w:rtl/>
        </w:rPr>
        <w:t>ی تجاری بودجه</w:t>
      </w:r>
      <w:r w:rsidRPr="0026684F">
        <w:rPr>
          <w:rFonts w:eastAsiaTheme="minorEastAsia"/>
          <w:i/>
          <w:sz w:val="23"/>
          <w:szCs w:val="23"/>
          <w:rtl/>
        </w:rPr>
        <w:softHyphen/>
      </w:r>
      <w:r w:rsidRPr="0026684F">
        <w:rPr>
          <w:rFonts w:eastAsiaTheme="minorEastAsia" w:hint="cs"/>
          <w:i/>
          <w:sz w:val="23"/>
          <w:szCs w:val="23"/>
          <w:rtl/>
        </w:rPr>
        <w:t xml:space="preserve">ی دولت باید متوازن باشد و یا نسبت </w:t>
      </w:r>
      <w:r w:rsidRPr="00703635">
        <w:rPr>
          <w:position w:val="-22"/>
        </w:rPr>
        <w:object w:dxaOrig="580" w:dyaOrig="560" w14:anchorId="6E198D33">
          <v:shape id="_x0000_i2680" type="#_x0000_t75" style="width:29.05pt;height:27.85pt" o:ole="">
            <v:imagedata r:id="rId3346" o:title=""/>
          </v:shape>
          <o:OLEObject Type="Embed" ProgID="Equation.DSMT4" ShapeID="_x0000_i2680" DrawAspect="Content" ObjectID="_1791376624" r:id="rId3347"/>
        </w:object>
      </w:r>
      <w:r w:rsidRPr="0026684F">
        <w:rPr>
          <w:rFonts w:eastAsiaTheme="minorEastAsia" w:hint="cs"/>
          <w:i/>
          <w:sz w:val="23"/>
          <w:szCs w:val="23"/>
          <w:rtl/>
        </w:rPr>
        <w:t xml:space="preserve"> در یک چرخه</w:t>
      </w:r>
      <w:r w:rsidRPr="0026684F">
        <w:rPr>
          <w:rFonts w:eastAsiaTheme="minorEastAsia"/>
          <w:i/>
          <w:sz w:val="23"/>
          <w:szCs w:val="23"/>
          <w:rtl/>
        </w:rPr>
        <w:softHyphen/>
      </w:r>
      <w:r w:rsidRPr="0026684F">
        <w:rPr>
          <w:rFonts w:eastAsiaTheme="minorEastAsia" w:hint="cs"/>
          <w:i/>
          <w:sz w:val="23"/>
          <w:szCs w:val="23"/>
          <w:rtl/>
        </w:rPr>
        <w:t>ی تجاری باید ثابت باشد. همچنین دولت مقید است که فقط جهت سرمایه</w:t>
      </w:r>
      <w:r w:rsidRPr="0026684F">
        <w:rPr>
          <w:rFonts w:eastAsiaTheme="minorEastAsia"/>
          <w:i/>
          <w:sz w:val="23"/>
          <w:szCs w:val="23"/>
          <w:rtl/>
        </w:rPr>
        <w:softHyphen/>
      </w:r>
      <w:r w:rsidRPr="0026684F">
        <w:rPr>
          <w:rFonts w:eastAsiaTheme="minorEastAsia" w:hint="cs"/>
          <w:i/>
          <w:sz w:val="23"/>
          <w:szCs w:val="23"/>
          <w:rtl/>
        </w:rPr>
        <w:t>گذاری قرض کند نه جهت مخارج مصرفی.</w:t>
      </w:r>
    </w:p>
    <w:p w14:paraId="551CAA28"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اکنون قید بودجه</w:t>
      </w:r>
      <w:r w:rsidRPr="0026684F">
        <w:rPr>
          <w:rFonts w:eastAsiaTheme="minorEastAsia"/>
          <w:i/>
          <w:sz w:val="23"/>
          <w:szCs w:val="23"/>
          <w:rtl/>
        </w:rPr>
        <w:softHyphen/>
      </w:r>
      <w:r w:rsidRPr="0026684F">
        <w:rPr>
          <w:rFonts w:eastAsiaTheme="minorEastAsia" w:hint="cs"/>
          <w:i/>
          <w:sz w:val="23"/>
          <w:szCs w:val="23"/>
          <w:rtl/>
        </w:rPr>
        <w:t>ی دولت یعنی رابطه</w:t>
      </w:r>
      <w:r w:rsidRPr="0026684F">
        <w:rPr>
          <w:rFonts w:eastAsiaTheme="minorEastAsia"/>
          <w:i/>
          <w:sz w:val="23"/>
          <w:szCs w:val="23"/>
          <w:rtl/>
        </w:rPr>
        <w:softHyphen/>
      </w:r>
      <w:r w:rsidRPr="0026684F">
        <w:rPr>
          <w:rFonts w:eastAsiaTheme="minorEastAsia" w:hint="cs"/>
          <w:i/>
          <w:sz w:val="23"/>
          <w:szCs w:val="23"/>
          <w:rtl/>
        </w:rPr>
        <w:t>ی</w:t>
      </w:r>
      <w:r w:rsidRPr="0026684F">
        <w:rPr>
          <w:rFonts w:eastAsiaTheme="minorEastAsia"/>
          <w:i/>
          <w:sz w:val="23"/>
          <w:szCs w:val="23"/>
          <w:rtl/>
        </w:rPr>
        <w:t xml:space="preserve"> </w:t>
      </w:r>
      <w:r w:rsidRPr="0026684F">
        <w:rPr>
          <w:rFonts w:eastAsiaTheme="minorEastAsia" w:hint="cs"/>
          <w:i/>
          <w:sz w:val="23"/>
          <w:szCs w:val="23"/>
          <w:rtl/>
        </w:rPr>
        <w:t>(۵. ۲)</w:t>
      </w:r>
      <w:r w:rsidRPr="0026684F">
        <w:rPr>
          <w:rFonts w:hint="cs"/>
          <w:i/>
          <w:sz w:val="23"/>
          <w:szCs w:val="23"/>
          <w:rtl/>
        </w:rPr>
        <w:t xml:space="preserve"> </w:t>
      </w:r>
      <w:r w:rsidRPr="0026684F">
        <w:rPr>
          <w:rFonts w:eastAsiaTheme="minorEastAsia" w:hint="cs"/>
          <w:i/>
          <w:sz w:val="23"/>
          <w:szCs w:val="23"/>
          <w:rtl/>
        </w:rPr>
        <w:t xml:space="preserve">را نسبت به </w:t>
      </w:r>
      <w:r w:rsidRPr="0026684F">
        <w:rPr>
          <w:rFonts w:eastAsiaTheme="minorEastAsia"/>
          <w:i/>
          <w:sz w:val="23"/>
          <w:szCs w:val="23"/>
        </w:rPr>
        <w:t>GDP</w:t>
      </w:r>
      <w:r w:rsidRPr="0026684F">
        <w:rPr>
          <w:rFonts w:eastAsiaTheme="minorEastAsia" w:hint="cs"/>
          <w:i/>
          <w:sz w:val="23"/>
          <w:szCs w:val="23"/>
          <w:rtl/>
        </w:rPr>
        <w:t xml:space="preserve"> بازنویسی می‌کنیم.</w:t>
      </w:r>
    </w:p>
    <w:p w14:paraId="47B8A276"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26684F">
        <w:rPr>
          <w:rFonts w:ascii="Times New Roman" w:hAnsi="Times New Roman" w:cs="B Nazanin" w:hint="cs"/>
          <w:i/>
          <w:sz w:val="23"/>
          <w:szCs w:val="23"/>
          <w:rtl/>
        </w:rPr>
        <w:t xml:space="preserve"> </w:t>
      </w:r>
      <w:r w:rsidRPr="00703635">
        <w:rPr>
          <w:position w:val="-28"/>
        </w:rPr>
        <w:object w:dxaOrig="4599" w:dyaOrig="680" w14:anchorId="654ADC87">
          <v:shape id="_x0000_i2681" type="#_x0000_t75" style="width:229.9pt;height:33.9pt" o:ole="">
            <v:imagedata r:id="rId3348" o:title=""/>
          </v:shape>
          <o:OLEObject Type="Embed" ProgID="Equation.DSMT4" ShapeID="_x0000_i2681" DrawAspect="Content" ObjectID="_1791376625" r:id="rId3349"/>
        </w:object>
      </w:r>
    </w:p>
    <w:p w14:paraId="113D7238"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 xml:space="preserve">اگر نرخ رشد </w:t>
      </w:r>
      <w:r w:rsidRPr="0026684F">
        <w:rPr>
          <w:rFonts w:eastAsiaTheme="minorEastAsia"/>
          <w:i/>
          <w:sz w:val="23"/>
          <w:szCs w:val="23"/>
        </w:rPr>
        <w:t>GDP</w:t>
      </w:r>
      <w:r w:rsidRPr="0026684F">
        <w:rPr>
          <w:rFonts w:eastAsiaTheme="minorEastAsia" w:hint="cs"/>
          <w:i/>
          <w:sz w:val="23"/>
          <w:szCs w:val="23"/>
          <w:rtl/>
        </w:rPr>
        <w:t xml:space="preserve"> حقیقی در زمان </w:t>
      </w:r>
      <w:r w:rsidRPr="0026684F">
        <w:rPr>
          <w:rFonts w:eastAsiaTheme="minorEastAsia"/>
          <w:i/>
          <w:sz w:val="23"/>
          <w:szCs w:val="23"/>
        </w:rPr>
        <w:t>t</w:t>
      </w:r>
      <w:r w:rsidRPr="0026684F">
        <w:rPr>
          <w:rFonts w:eastAsiaTheme="minorEastAsia" w:hint="cs"/>
          <w:i/>
          <w:sz w:val="23"/>
          <w:szCs w:val="23"/>
          <w:rtl/>
        </w:rPr>
        <w:t xml:space="preserve"> برابر با </w:t>
      </w:r>
      <w:r w:rsidRPr="00703635">
        <w:rPr>
          <w:position w:val="-10"/>
        </w:rPr>
        <w:object w:dxaOrig="220" w:dyaOrig="320" w14:anchorId="03FB22C1">
          <v:shape id="_x0000_i2682" type="#_x0000_t75" style="width:10.9pt;height:15.75pt" o:ole="">
            <v:imagedata r:id="rId3350" o:title=""/>
          </v:shape>
          <o:OLEObject Type="Embed" ProgID="Equation.DSMT4" ShapeID="_x0000_i2682" DrawAspect="Content" ObjectID="_1791376626" r:id="rId3351"/>
        </w:object>
      </w:r>
      <w:r w:rsidRPr="0026684F">
        <w:rPr>
          <w:rFonts w:eastAsiaTheme="minorEastAsia" w:hint="cs"/>
          <w:i/>
          <w:sz w:val="23"/>
          <w:szCs w:val="23"/>
          <w:rtl/>
        </w:rPr>
        <w:t xml:space="preserve"> باشد، از آنجا که </w:t>
      </w:r>
    </w:p>
    <w:p w14:paraId="7D5390A7"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28"/>
        </w:rPr>
        <w:object w:dxaOrig="4160" w:dyaOrig="639" w14:anchorId="5470F551">
          <v:shape id="_x0000_i2683" type="#_x0000_t75" style="width:208.15pt;height:32.05pt" o:ole="">
            <v:imagedata r:id="rId3352" o:title=""/>
          </v:shape>
          <o:OLEObject Type="Embed" ProgID="Equation.DSMT4" ShapeID="_x0000_i2683" DrawAspect="Content" ObjectID="_1791376627" r:id="rId3353"/>
        </w:object>
      </w:r>
    </w:p>
    <w:p w14:paraId="09E14D5C"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28"/>
        </w:rPr>
        <w:object w:dxaOrig="4300" w:dyaOrig="639" w14:anchorId="0C800EE7">
          <v:shape id="_x0000_i2684" type="#_x0000_t75" style="width:214.8pt;height:32.05pt" o:ole="">
            <v:imagedata r:id="rId3354" o:title=""/>
          </v:shape>
          <o:OLEObject Type="Embed" ProgID="Equation.DSMT4" ShapeID="_x0000_i2684" DrawAspect="Content" ObjectID="_1791376628" r:id="rId3355"/>
        </w:object>
      </w:r>
    </w:p>
    <w:p w14:paraId="23616B1C"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لذا</w:t>
      </w:r>
    </w:p>
    <w:p w14:paraId="6B56DCD9"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30"/>
        </w:rPr>
        <w:object w:dxaOrig="5580" w:dyaOrig="700" w14:anchorId="27C86BAB">
          <v:shape id="_x0000_i2685" type="#_x0000_t75" style="width:278.9pt;height:35.1pt" o:ole="">
            <v:imagedata r:id="rId3356" o:title=""/>
          </v:shape>
          <o:OLEObject Type="Embed" ProgID="Equation.DSMT4" ShapeID="_x0000_i2685" DrawAspect="Content" ObjectID="_1791376629" r:id="rId3357"/>
        </w:object>
      </w:r>
      <w:r>
        <w:rPr>
          <w:rtl/>
        </w:rPr>
        <w:tab/>
      </w:r>
      <w:r w:rsidRPr="0026684F">
        <w:rPr>
          <w:rFonts w:ascii="Times New Roman" w:hAnsi="Times New Roman" w:cs="B Nazanin" w:hint="cs"/>
          <w:i/>
          <w:sz w:val="23"/>
          <w:szCs w:val="23"/>
          <w:rtl/>
        </w:rPr>
        <w:t>(۵. ۶)</w:t>
      </w:r>
    </w:p>
    <w:p w14:paraId="7E635C33"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از طرفی کسری بودجه اسمی دولت برابر است با:</w:t>
      </w:r>
    </w:p>
    <w:p w14:paraId="44D51BF8" w14:textId="77777777" w:rsidR="00411620" w:rsidRPr="0026684F" w:rsidRDefault="00411620" w:rsidP="00411620">
      <w:pPr>
        <w:tabs>
          <w:tab w:val="left" w:pos="2840"/>
        </w:tabs>
        <w:bidi w:val="0"/>
        <w:spacing w:line="216" w:lineRule="auto"/>
        <w:rPr>
          <w:rFonts w:eastAsiaTheme="minorEastAsia"/>
          <w:i/>
          <w:sz w:val="23"/>
          <w:szCs w:val="23"/>
        </w:rPr>
      </w:pPr>
      <w:r w:rsidRPr="00703635">
        <w:rPr>
          <w:position w:val="-12"/>
        </w:rPr>
        <w:object w:dxaOrig="4080" w:dyaOrig="360" w14:anchorId="4ED737FE">
          <v:shape id="_x0000_i2686" type="#_x0000_t75" style="width:203.9pt;height:18.15pt" o:ole="">
            <v:imagedata r:id="rId3358" o:title=""/>
          </v:shape>
          <o:OLEObject Type="Embed" ProgID="Equation.DSMT4" ShapeID="_x0000_i2686" DrawAspect="Content" ObjectID="_1791376630" r:id="rId3359"/>
        </w:object>
      </w:r>
      <w:r w:rsidRPr="0026684F">
        <w:rPr>
          <w:rFonts w:eastAsiaTheme="minorEastAsia"/>
          <w:i/>
          <w:sz w:val="23"/>
          <w:szCs w:val="23"/>
        </w:rPr>
        <w:t xml:space="preserve"> </w:t>
      </w:r>
    </w:p>
    <w:p w14:paraId="3E9ED448"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و کسری بودجه حقیقی دولت برابر است با:</w:t>
      </w:r>
    </w:p>
    <w:p w14:paraId="6E42AA2A" w14:textId="77777777" w:rsidR="00411620" w:rsidRPr="0026684F" w:rsidRDefault="00411620" w:rsidP="00411620">
      <w:pPr>
        <w:tabs>
          <w:tab w:val="left" w:pos="2840"/>
        </w:tabs>
        <w:bidi w:val="0"/>
        <w:spacing w:line="216" w:lineRule="auto"/>
        <w:rPr>
          <w:rFonts w:eastAsiaTheme="minorEastAsia"/>
          <w:i/>
          <w:sz w:val="23"/>
          <w:szCs w:val="23"/>
          <w:rtl/>
        </w:rPr>
      </w:pPr>
      <w:r w:rsidRPr="00703635">
        <w:rPr>
          <w:position w:val="-30"/>
        </w:rPr>
        <w:object w:dxaOrig="3400" w:dyaOrig="700" w14:anchorId="318BDFF2">
          <v:shape id="_x0000_i2687" type="#_x0000_t75" style="width:170pt;height:35.1pt" o:ole="">
            <v:imagedata r:id="rId3360" o:title=""/>
          </v:shape>
          <o:OLEObject Type="Embed" ProgID="Equation.DSMT4" ShapeID="_x0000_i2687" DrawAspect="Content" ObjectID="_1791376631" r:id="rId3361"/>
        </w:object>
      </w:r>
      <w:r w:rsidRPr="0026684F">
        <w:rPr>
          <w:rFonts w:eastAsiaTheme="minorEastAsia"/>
          <w:i/>
          <w:sz w:val="23"/>
          <w:szCs w:val="23"/>
        </w:rPr>
        <w:t xml:space="preserve"> </w:t>
      </w:r>
      <w:r w:rsidRPr="0026684F">
        <w:rPr>
          <w:rFonts w:eastAsiaTheme="minorEastAsia"/>
          <w:i/>
          <w:sz w:val="23"/>
          <w:szCs w:val="23"/>
          <w:rtl/>
        </w:rPr>
        <w:tab/>
      </w:r>
      <w:r w:rsidRPr="0026684F">
        <w:rPr>
          <w:rFonts w:eastAsiaTheme="minorEastAsia"/>
          <w:i/>
          <w:sz w:val="23"/>
          <w:szCs w:val="23"/>
          <w:rtl/>
        </w:rPr>
        <w:tab/>
      </w:r>
      <w:r w:rsidRPr="0026684F">
        <w:rPr>
          <w:rFonts w:eastAsiaTheme="minorEastAsia"/>
          <w:i/>
          <w:sz w:val="23"/>
          <w:szCs w:val="23"/>
          <w:rtl/>
        </w:rPr>
        <w:tab/>
      </w:r>
      <w:r>
        <w:rPr>
          <w:rFonts w:eastAsiaTheme="minorEastAsia"/>
          <w:i/>
          <w:sz w:val="23"/>
          <w:szCs w:val="23"/>
          <w:rtl/>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tl/>
        </w:rPr>
        <w:tab/>
      </w:r>
      <w:r>
        <w:rPr>
          <w:rFonts w:eastAsiaTheme="minorEastAsia"/>
          <w:i/>
          <w:sz w:val="23"/>
          <w:szCs w:val="23"/>
          <w:rtl/>
        </w:rPr>
        <w:tab/>
      </w:r>
      <w:r w:rsidRPr="0026684F">
        <w:rPr>
          <w:rFonts w:eastAsiaTheme="minorEastAsia"/>
          <w:i/>
          <w:sz w:val="23"/>
          <w:szCs w:val="23"/>
          <w:rtl/>
        </w:rPr>
        <w:tab/>
      </w:r>
      <w:r w:rsidRPr="0026684F">
        <w:rPr>
          <w:rFonts w:hint="cs"/>
          <w:i/>
          <w:sz w:val="23"/>
          <w:szCs w:val="23"/>
          <w:rtl/>
        </w:rPr>
        <w:t>(۵. ۷)</w:t>
      </w:r>
    </w:p>
    <w:p w14:paraId="0E870F90" w14:textId="77777777" w:rsidR="00411620" w:rsidRPr="0026684F" w:rsidRDefault="00411620" w:rsidP="00411620">
      <w:pPr>
        <w:tabs>
          <w:tab w:val="left" w:pos="2840"/>
        </w:tabs>
        <w:spacing w:line="216" w:lineRule="auto"/>
        <w:rPr>
          <w:rFonts w:eastAsiaTheme="minorEastAsia"/>
          <w:i/>
          <w:sz w:val="23"/>
          <w:szCs w:val="23"/>
        </w:rPr>
      </w:pPr>
      <w:r w:rsidRPr="0026684F">
        <w:rPr>
          <w:rFonts w:eastAsiaTheme="minorEastAsia" w:hint="cs"/>
          <w:i/>
          <w:sz w:val="23"/>
          <w:szCs w:val="23"/>
          <w:rtl/>
        </w:rPr>
        <w:lastRenderedPageBreak/>
        <w:t>لذا نسبت</w:t>
      </w:r>
      <w:r w:rsidRPr="00703635">
        <w:rPr>
          <w:position w:val="-28"/>
        </w:rPr>
        <w:object w:dxaOrig="340" w:dyaOrig="639" w14:anchorId="5E1B0421">
          <v:shape id="_x0000_i2688" type="#_x0000_t75" style="width:16.95pt;height:32.05pt" o:ole="">
            <v:imagedata r:id="rId3362" o:title=""/>
          </v:shape>
          <o:OLEObject Type="Embed" ProgID="Equation.DSMT4" ShapeID="_x0000_i2688" DrawAspect="Content" ObjectID="_1791376632" r:id="rId3363"/>
        </w:object>
      </w:r>
      <w:r w:rsidRPr="0026684F">
        <w:rPr>
          <w:rFonts w:eastAsiaTheme="minorEastAsia" w:hint="cs"/>
          <w:i/>
          <w:sz w:val="23"/>
          <w:szCs w:val="23"/>
          <w:rtl/>
        </w:rPr>
        <w:t xml:space="preserve"> یا نسبت کسری بودجه دولت به </w:t>
      </w:r>
      <w:r w:rsidRPr="0026684F">
        <w:rPr>
          <w:rFonts w:eastAsiaTheme="minorEastAsia"/>
          <w:i/>
          <w:sz w:val="23"/>
          <w:szCs w:val="23"/>
        </w:rPr>
        <w:t>GDP</w:t>
      </w:r>
      <w:r w:rsidRPr="0026684F">
        <w:rPr>
          <w:rFonts w:eastAsiaTheme="minorEastAsia" w:hint="cs"/>
          <w:i/>
          <w:sz w:val="23"/>
          <w:szCs w:val="23"/>
          <w:rtl/>
        </w:rPr>
        <w:t xml:space="preserve"> حقیقی برابر خواهد بود با:</w:t>
      </w:r>
    </w:p>
    <w:p w14:paraId="6E6CB5FE"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28"/>
        </w:rPr>
        <w:object w:dxaOrig="4920" w:dyaOrig="639" w14:anchorId="4D7A4F30">
          <v:shape id="_x0000_i2689" type="#_x0000_t75" style="width:246.25pt;height:32.05pt" o:ole="">
            <v:imagedata r:id="rId3364" o:title=""/>
          </v:shape>
          <o:OLEObject Type="Embed" ProgID="Equation.DSMT4" ShapeID="_x0000_i2689" DrawAspect="Content" ObjectID="_1791376633" r:id="rId3365"/>
        </w:object>
      </w:r>
    </w:p>
    <w:p w14:paraId="5B8EB155"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با جایگزاری رابطه</w:t>
      </w:r>
      <w:r w:rsidRPr="0026684F">
        <w:rPr>
          <w:rFonts w:eastAsiaTheme="minorEastAsia"/>
          <w:i/>
          <w:sz w:val="23"/>
          <w:szCs w:val="23"/>
          <w:rtl/>
        </w:rPr>
        <w:softHyphen/>
      </w:r>
      <w:r w:rsidRPr="0026684F">
        <w:rPr>
          <w:rFonts w:eastAsiaTheme="minorEastAsia" w:hint="cs"/>
          <w:i/>
          <w:sz w:val="23"/>
          <w:szCs w:val="23"/>
          <w:rtl/>
        </w:rPr>
        <w:t>ی</w:t>
      </w:r>
      <w:r w:rsidRPr="0026684F">
        <w:rPr>
          <w:rFonts w:eastAsiaTheme="minorEastAsia"/>
          <w:i/>
          <w:sz w:val="23"/>
          <w:szCs w:val="23"/>
          <w:rtl/>
        </w:rPr>
        <w:t xml:space="preserve"> </w:t>
      </w:r>
      <w:r w:rsidRPr="0026684F">
        <w:rPr>
          <w:rFonts w:eastAsiaTheme="minorEastAsia" w:hint="cs"/>
          <w:i/>
          <w:sz w:val="23"/>
          <w:szCs w:val="23"/>
          <w:rtl/>
        </w:rPr>
        <w:t>فوق</w:t>
      </w:r>
      <w:r w:rsidRPr="0026684F">
        <w:rPr>
          <w:rFonts w:eastAsiaTheme="minorEastAsia"/>
          <w:i/>
          <w:sz w:val="23"/>
          <w:szCs w:val="23"/>
          <w:rtl/>
        </w:rPr>
        <w:t xml:space="preserve"> </w:t>
      </w:r>
      <w:r w:rsidRPr="0026684F">
        <w:rPr>
          <w:rFonts w:eastAsiaTheme="minorEastAsia" w:hint="cs"/>
          <w:i/>
          <w:sz w:val="23"/>
          <w:szCs w:val="23"/>
          <w:rtl/>
        </w:rPr>
        <w:t>در رابطه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۶)</w:t>
      </w:r>
      <w:r w:rsidRPr="0026684F">
        <w:rPr>
          <w:rFonts w:eastAsiaTheme="minorEastAsia" w:hint="cs"/>
          <w:i/>
          <w:sz w:val="23"/>
          <w:szCs w:val="23"/>
          <w:rtl/>
        </w:rPr>
        <w:t xml:space="preserve"> داریم:</w:t>
      </w:r>
    </w:p>
    <w:p w14:paraId="0C35DEA0"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8"/>
        </w:rPr>
        <w:object w:dxaOrig="2900" w:dyaOrig="639" w14:anchorId="683CBF2C">
          <v:shape id="_x0000_i2690" type="#_x0000_t75" style="width:145.2pt;height:32.05pt" o:ole="">
            <v:imagedata r:id="rId3366" o:title=""/>
          </v:shape>
          <o:OLEObject Type="Embed" ProgID="Equation.DSMT4" ShapeID="_x0000_i2690" DrawAspect="Content" ObjectID="_1791376634" r:id="rId3367"/>
        </w:object>
      </w:r>
    </w:p>
    <w:p w14:paraId="09AA6450" w14:textId="77777777" w:rsidR="00411620" w:rsidRPr="0026684F" w:rsidRDefault="00411620" w:rsidP="00411620">
      <w:pPr>
        <w:tabs>
          <w:tab w:val="left" w:pos="2840"/>
        </w:tabs>
        <w:bidi w:val="0"/>
        <w:spacing w:line="216" w:lineRule="auto"/>
        <w:jc w:val="right"/>
        <w:rPr>
          <w:rFonts w:eastAsiaTheme="minorEastAsia"/>
          <w:i/>
          <w:sz w:val="23"/>
          <w:szCs w:val="23"/>
        </w:rPr>
      </w:pPr>
      <w:r w:rsidRPr="0026684F">
        <w:rPr>
          <w:rFonts w:eastAsiaTheme="minorEastAsia" w:hint="cs"/>
          <w:i/>
          <w:sz w:val="23"/>
          <w:szCs w:val="23"/>
          <w:rtl/>
        </w:rPr>
        <w:t xml:space="preserve">و یا </w:t>
      </w:r>
    </w:p>
    <w:p w14:paraId="68D70FC6" w14:textId="77777777" w:rsidR="00411620" w:rsidRPr="0026684F" w:rsidRDefault="00411620" w:rsidP="00411620">
      <w:pPr>
        <w:pStyle w:val="MTDisplayEquation"/>
        <w:tabs>
          <w:tab w:val="clear" w:pos="6660"/>
          <w:tab w:val="right" w:pos="6237"/>
        </w:tabs>
        <w:spacing w:line="216" w:lineRule="auto"/>
        <w:rPr>
          <w:rFonts w:ascii="Times New Roman" w:eastAsiaTheme="minorEastAsia" w:hAnsi="Times New Roman" w:cs="B Nazanin"/>
          <w:i/>
          <w:sz w:val="23"/>
          <w:szCs w:val="23"/>
        </w:rPr>
      </w:pPr>
      <w:r w:rsidRPr="00703635">
        <w:rPr>
          <w:position w:val="-28"/>
        </w:rPr>
        <w:object w:dxaOrig="2880" w:dyaOrig="639" w14:anchorId="7D7EF9E9">
          <v:shape id="_x0000_i2691" type="#_x0000_t75" style="width:2in;height:32.05pt" o:ole="">
            <v:imagedata r:id="rId3368" o:title=""/>
          </v:shape>
          <o:OLEObject Type="Embed" ProgID="Equation.DSMT4" ShapeID="_x0000_i2691" DrawAspect="Content" ObjectID="_1791376635" r:id="rId3369"/>
        </w:object>
      </w:r>
      <w:r w:rsidRPr="0026684F">
        <w:rPr>
          <w:rFonts w:ascii="Times New Roman" w:hAnsi="Times New Roman" w:cs="B Nazanin"/>
          <w:i/>
          <w:sz w:val="23"/>
          <w:szCs w:val="23"/>
          <w:rtl/>
        </w:rPr>
        <w:tab/>
      </w:r>
      <w:r>
        <w:rPr>
          <w:rFonts w:ascii="Times New Roman" w:hAnsi="Times New Roman" w:cs="B Nazanin"/>
          <w:i/>
          <w:sz w:val="23"/>
          <w:szCs w:val="23"/>
          <w:rtl/>
        </w:rPr>
        <w:tab/>
      </w:r>
      <w:r w:rsidRPr="0026684F">
        <w:rPr>
          <w:rFonts w:ascii="Times New Roman" w:hAnsi="Times New Roman" w:cs="B Nazanin"/>
          <w:i/>
          <w:sz w:val="23"/>
          <w:szCs w:val="23"/>
          <w:rtl/>
        </w:rPr>
        <w:tab/>
      </w:r>
      <w:r w:rsidRPr="0026684F">
        <w:rPr>
          <w:rFonts w:ascii="Times New Roman" w:hAnsi="Times New Roman" w:cs="B Nazanin" w:hint="cs"/>
          <w:i/>
          <w:sz w:val="23"/>
          <w:szCs w:val="23"/>
          <w:rtl/>
        </w:rPr>
        <w:t>(۵. ۸)</w:t>
      </w:r>
    </w:p>
    <w:p w14:paraId="1D852068"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همچنین کسری بودجه</w:t>
      </w:r>
      <w:r w:rsidRPr="0026684F">
        <w:rPr>
          <w:rFonts w:eastAsiaTheme="minorEastAsia"/>
          <w:i/>
          <w:sz w:val="23"/>
          <w:szCs w:val="23"/>
          <w:rtl/>
        </w:rPr>
        <w:softHyphen/>
      </w:r>
      <w:r w:rsidRPr="0026684F">
        <w:rPr>
          <w:rFonts w:eastAsiaTheme="minorEastAsia" w:hint="cs"/>
          <w:i/>
          <w:sz w:val="23"/>
          <w:szCs w:val="23"/>
          <w:rtl/>
        </w:rPr>
        <w:t>ی اولیه</w:t>
      </w:r>
      <w:r w:rsidRPr="0026684F">
        <w:rPr>
          <w:rFonts w:eastAsiaTheme="minorEastAsia"/>
          <w:i/>
          <w:sz w:val="23"/>
          <w:szCs w:val="23"/>
          <w:rtl/>
        </w:rPr>
        <w:softHyphen/>
      </w:r>
      <w:r w:rsidRPr="0026684F">
        <w:rPr>
          <w:rFonts w:eastAsiaTheme="minorEastAsia" w:hint="cs"/>
          <w:i/>
          <w:sz w:val="23"/>
          <w:szCs w:val="23"/>
          <w:rtl/>
        </w:rPr>
        <w:t>ی اسمی یا کسری بودجه منهای بهره</w:t>
      </w:r>
      <w:r w:rsidRPr="0026684F">
        <w:rPr>
          <w:rFonts w:eastAsiaTheme="minorEastAsia"/>
          <w:i/>
          <w:sz w:val="23"/>
          <w:szCs w:val="23"/>
          <w:rtl/>
        </w:rPr>
        <w:softHyphen/>
      </w:r>
      <w:r w:rsidRPr="0026684F">
        <w:rPr>
          <w:rFonts w:eastAsiaTheme="minorEastAsia" w:hint="cs"/>
          <w:i/>
          <w:sz w:val="23"/>
          <w:szCs w:val="23"/>
          <w:rtl/>
        </w:rPr>
        <w:t>ی بدهی دولت برابر است با:</w:t>
      </w:r>
    </w:p>
    <w:p w14:paraId="17390AD4" w14:textId="77777777" w:rsidR="00411620" w:rsidRPr="0026684F" w:rsidRDefault="00411620" w:rsidP="00411620">
      <w:pPr>
        <w:tabs>
          <w:tab w:val="left" w:pos="2840"/>
        </w:tabs>
        <w:bidi w:val="0"/>
        <w:spacing w:line="216" w:lineRule="auto"/>
        <w:rPr>
          <w:i/>
          <w:sz w:val="23"/>
          <w:szCs w:val="23"/>
        </w:rPr>
      </w:pPr>
      <w:r w:rsidRPr="00703635">
        <w:rPr>
          <w:position w:val="-10"/>
        </w:rPr>
        <w:object w:dxaOrig="1700" w:dyaOrig="320" w14:anchorId="0B465450">
          <v:shape id="_x0000_i2692" type="#_x0000_t75" style="width:85.3pt;height:15.75pt" o:ole="">
            <v:imagedata r:id="rId3370" o:title=""/>
          </v:shape>
          <o:OLEObject Type="Embed" ProgID="Equation.DSMT4" ShapeID="_x0000_i2692" DrawAspect="Content" ObjectID="_1791376636" r:id="rId3371"/>
        </w:object>
      </w:r>
      <w:r w:rsidRPr="0026684F">
        <w:rPr>
          <w:i/>
          <w:sz w:val="23"/>
          <w:szCs w:val="23"/>
          <w:rtl/>
        </w:rPr>
        <w:tab/>
      </w:r>
      <w:r w:rsidRPr="0026684F">
        <w:rPr>
          <w:i/>
          <w:sz w:val="23"/>
          <w:szCs w:val="23"/>
          <w:rtl/>
        </w:rPr>
        <w:tab/>
      </w:r>
      <w:r w:rsidRPr="0026684F">
        <w:rPr>
          <w:i/>
          <w:sz w:val="23"/>
          <w:szCs w:val="23"/>
          <w:rtl/>
        </w:rPr>
        <w:tab/>
      </w:r>
      <w:r w:rsidRPr="0026684F">
        <w:rPr>
          <w:i/>
          <w:sz w:val="23"/>
          <w:szCs w:val="23"/>
          <w:rtl/>
        </w:rPr>
        <w:tab/>
      </w:r>
      <w:r w:rsidRPr="0026684F">
        <w:rPr>
          <w:i/>
          <w:sz w:val="23"/>
          <w:szCs w:val="23"/>
        </w:rPr>
        <w:tab/>
      </w:r>
      <w:r w:rsidRPr="0026684F">
        <w:rPr>
          <w:i/>
          <w:sz w:val="23"/>
          <w:szCs w:val="23"/>
        </w:rPr>
        <w:tab/>
      </w:r>
      <w:r w:rsidRPr="0026684F">
        <w:rPr>
          <w:i/>
          <w:sz w:val="23"/>
          <w:szCs w:val="23"/>
        </w:rPr>
        <w:tab/>
      </w:r>
      <w:r w:rsidRPr="0026684F">
        <w:rPr>
          <w:i/>
          <w:sz w:val="23"/>
          <w:szCs w:val="23"/>
        </w:rPr>
        <w:tab/>
      </w:r>
      <w:r>
        <w:rPr>
          <w:i/>
          <w:sz w:val="23"/>
          <w:szCs w:val="23"/>
          <w:rtl/>
        </w:rPr>
        <w:tab/>
      </w:r>
      <w:r>
        <w:rPr>
          <w:i/>
          <w:sz w:val="23"/>
          <w:szCs w:val="23"/>
          <w:rtl/>
        </w:rPr>
        <w:tab/>
      </w:r>
      <w:r w:rsidRPr="0026684F">
        <w:rPr>
          <w:i/>
          <w:sz w:val="23"/>
          <w:szCs w:val="23"/>
        </w:rPr>
        <w:tab/>
      </w:r>
      <w:r>
        <w:rPr>
          <w:i/>
          <w:sz w:val="23"/>
          <w:szCs w:val="23"/>
          <w:rtl/>
        </w:rPr>
        <w:tab/>
      </w:r>
      <w:r w:rsidRPr="0026684F">
        <w:rPr>
          <w:i/>
          <w:sz w:val="23"/>
          <w:szCs w:val="23"/>
          <w:rtl/>
        </w:rPr>
        <w:tab/>
      </w:r>
      <w:r w:rsidRPr="0026684F">
        <w:rPr>
          <w:rFonts w:eastAsiaTheme="minorEastAsia" w:hint="cs"/>
          <w:i/>
          <w:sz w:val="23"/>
          <w:szCs w:val="23"/>
        </w:rPr>
        <w:t xml:space="preserve"> </w:t>
      </w:r>
      <w:r w:rsidRPr="0026684F">
        <w:rPr>
          <w:rFonts w:hint="cs"/>
          <w:i/>
          <w:sz w:val="23"/>
          <w:szCs w:val="23"/>
          <w:rtl/>
        </w:rPr>
        <w:t>(۵. ۹)</w:t>
      </w:r>
    </w:p>
    <w:p w14:paraId="026120B7"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و کسری بودجه</w:t>
      </w:r>
      <w:r w:rsidRPr="0026684F">
        <w:rPr>
          <w:rFonts w:eastAsiaTheme="minorEastAsia"/>
          <w:i/>
          <w:sz w:val="23"/>
          <w:szCs w:val="23"/>
          <w:rtl/>
        </w:rPr>
        <w:softHyphen/>
      </w:r>
      <w:r w:rsidRPr="0026684F">
        <w:rPr>
          <w:rFonts w:eastAsiaTheme="minorEastAsia" w:hint="cs"/>
          <w:i/>
          <w:sz w:val="23"/>
          <w:szCs w:val="23"/>
          <w:rtl/>
        </w:rPr>
        <w:t>ی اولیه</w:t>
      </w:r>
      <w:r w:rsidRPr="0026684F">
        <w:rPr>
          <w:rFonts w:eastAsiaTheme="minorEastAsia"/>
          <w:i/>
          <w:sz w:val="23"/>
          <w:szCs w:val="23"/>
          <w:rtl/>
        </w:rPr>
        <w:softHyphen/>
      </w:r>
      <w:r w:rsidRPr="0026684F">
        <w:rPr>
          <w:rFonts w:eastAsiaTheme="minorEastAsia" w:hint="cs"/>
          <w:i/>
          <w:sz w:val="23"/>
          <w:szCs w:val="23"/>
          <w:rtl/>
        </w:rPr>
        <w:t>ی حقیقی برابر خواهد بود با:</w:t>
      </w:r>
    </w:p>
    <w:p w14:paraId="6330BAB6" w14:textId="77777777" w:rsidR="00411620" w:rsidRPr="0026684F" w:rsidRDefault="00411620" w:rsidP="00411620">
      <w:pPr>
        <w:tabs>
          <w:tab w:val="left" w:pos="2840"/>
        </w:tabs>
        <w:bidi w:val="0"/>
        <w:spacing w:line="216" w:lineRule="auto"/>
        <w:rPr>
          <w:rFonts w:eastAsiaTheme="minorEastAsia"/>
          <w:i/>
          <w:sz w:val="23"/>
          <w:szCs w:val="23"/>
          <w:rtl/>
        </w:rPr>
      </w:pPr>
      <w:r w:rsidRPr="00703635">
        <w:rPr>
          <w:position w:val="-10"/>
        </w:rPr>
        <w:object w:dxaOrig="1219" w:dyaOrig="320" w14:anchorId="241D2D7F">
          <v:shape id="_x0000_i2693" type="#_x0000_t75" style="width:61.1pt;height:15.75pt" o:ole="">
            <v:imagedata r:id="rId3372" o:title=""/>
          </v:shape>
          <o:OLEObject Type="Embed" ProgID="Equation.DSMT4" ShapeID="_x0000_i2693" DrawAspect="Content" ObjectID="_1791376637" r:id="rId3373"/>
        </w:object>
      </w:r>
      <w:r w:rsidRPr="0026684F">
        <w:rPr>
          <w:rFonts w:eastAsiaTheme="minorEastAsia"/>
          <w:i/>
          <w:sz w:val="23"/>
          <w:szCs w:val="23"/>
        </w:rPr>
        <w:t xml:space="preserve"> </w:t>
      </w:r>
    </w:p>
    <w:p w14:paraId="5F77B4BB" w14:textId="77777777" w:rsidR="00411620" w:rsidRPr="0026684F" w:rsidRDefault="00411620" w:rsidP="00411620">
      <w:pPr>
        <w:tabs>
          <w:tab w:val="left" w:pos="2840"/>
        </w:tabs>
        <w:spacing w:line="216" w:lineRule="auto"/>
        <w:rPr>
          <w:rFonts w:eastAsiaTheme="minorEastAsia"/>
          <w:i/>
          <w:sz w:val="23"/>
          <w:szCs w:val="23"/>
        </w:rPr>
      </w:pPr>
      <w:r w:rsidRPr="0026684F">
        <w:rPr>
          <w:rFonts w:eastAsiaTheme="minorEastAsia" w:hint="cs"/>
          <w:i/>
          <w:sz w:val="23"/>
          <w:szCs w:val="23"/>
          <w:rtl/>
        </w:rPr>
        <w:t>بنابراین</w:t>
      </w:r>
    </w:p>
    <w:p w14:paraId="0E5D47E6"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58"/>
        </w:rPr>
        <w:object w:dxaOrig="4520" w:dyaOrig="1260" w14:anchorId="0E672FF7">
          <v:shape id="_x0000_i2694" type="#_x0000_t75" style="width:226.3pt;height:62.9pt" o:ole="">
            <v:imagedata r:id="rId3374" o:title=""/>
          </v:shape>
          <o:OLEObject Type="Embed" ProgID="Equation.DSMT4" ShapeID="_x0000_i2694" DrawAspect="Content" ObjectID="_1791376638" r:id="rId3375"/>
        </w:object>
      </w:r>
    </w:p>
    <w:p w14:paraId="2B9BED7D"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و یا</w:t>
      </w:r>
    </w:p>
    <w:p w14:paraId="17F2B153" w14:textId="77777777" w:rsidR="00411620" w:rsidRPr="0026684F"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tl/>
        </w:rPr>
      </w:pPr>
      <w:r w:rsidRPr="00703635">
        <w:rPr>
          <w:position w:val="-30"/>
        </w:rPr>
        <w:object w:dxaOrig="3560" w:dyaOrig="700" w14:anchorId="27A7CD81">
          <v:shape id="_x0000_i2695" type="#_x0000_t75" style="width:178.5pt;height:35.1pt" o:ole="">
            <v:imagedata r:id="rId3376" o:title=""/>
          </v:shape>
          <o:OLEObject Type="Embed" ProgID="Equation.DSMT4" ShapeID="_x0000_i2695" DrawAspect="Content" ObjectID="_1791376639" r:id="rId3377"/>
        </w:object>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Pr>
          <w:rFonts w:ascii="Times New Roman" w:hAnsi="Times New Roman" w:cs="B Nazanin"/>
          <w:i/>
          <w:sz w:val="23"/>
          <w:szCs w:val="23"/>
          <w:rtl/>
        </w:rPr>
        <w:tab/>
      </w:r>
      <w:r>
        <w:rPr>
          <w:rFonts w:ascii="Times New Roman" w:hAnsi="Times New Roman" w:cs="B Nazanin"/>
          <w:i/>
          <w:sz w:val="23"/>
          <w:szCs w:val="23"/>
          <w:rtl/>
        </w:rPr>
        <w:tab/>
      </w:r>
      <w:r w:rsidRPr="0026684F">
        <w:rPr>
          <w:rFonts w:ascii="Times New Roman" w:hAnsi="Times New Roman" w:cs="B Nazanin"/>
          <w:i/>
          <w:sz w:val="23"/>
          <w:szCs w:val="23"/>
        </w:rPr>
        <w:tab/>
      </w:r>
      <w:r w:rsidRPr="0026684F">
        <w:rPr>
          <w:rFonts w:ascii="Times New Roman" w:hAnsi="Times New Roman" w:cs="B Nazanin" w:hint="cs"/>
          <w:i/>
          <w:sz w:val="23"/>
          <w:szCs w:val="23"/>
          <w:rtl/>
        </w:rPr>
        <w:t>(۵. ۱۰)</w:t>
      </w:r>
    </w:p>
    <w:p w14:paraId="5489799E" w14:textId="77777777" w:rsidR="00411620" w:rsidRPr="0026684F" w:rsidRDefault="00411620" w:rsidP="00411620">
      <w:pPr>
        <w:tabs>
          <w:tab w:val="right" w:pos="2844"/>
        </w:tabs>
        <w:spacing w:line="216" w:lineRule="auto"/>
        <w:rPr>
          <w:rFonts w:eastAsiaTheme="minorEastAsia"/>
          <w:i/>
          <w:sz w:val="23"/>
          <w:szCs w:val="23"/>
          <w:rtl/>
        </w:rPr>
      </w:pPr>
      <w:r w:rsidRPr="0026684F">
        <w:rPr>
          <w:rFonts w:eastAsiaTheme="minorEastAsia" w:hint="cs"/>
          <w:i/>
          <w:sz w:val="23"/>
          <w:szCs w:val="23"/>
          <w:rtl/>
        </w:rPr>
        <w:t>معادله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۸)</w:t>
      </w:r>
      <w:r w:rsidRPr="0026684F">
        <w:rPr>
          <w:rFonts w:eastAsiaTheme="minorEastAsia" w:hint="cs"/>
          <w:i/>
          <w:sz w:val="23"/>
          <w:szCs w:val="23"/>
          <w:rtl/>
        </w:rPr>
        <w:t xml:space="preserve"> یک معادله</w:t>
      </w:r>
      <w:r w:rsidRPr="0026684F">
        <w:rPr>
          <w:rFonts w:eastAsiaTheme="minorEastAsia"/>
          <w:i/>
          <w:sz w:val="23"/>
          <w:szCs w:val="23"/>
          <w:rtl/>
        </w:rPr>
        <w:softHyphen/>
      </w:r>
      <w:r w:rsidRPr="0026684F">
        <w:rPr>
          <w:rFonts w:eastAsiaTheme="minorEastAsia" w:hint="cs"/>
          <w:i/>
          <w:sz w:val="23"/>
          <w:szCs w:val="23"/>
          <w:rtl/>
        </w:rPr>
        <w:t>ی تفاضلی مرتبه اول خطی براساس کسری بودجه، و معادله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۱۰)</w:t>
      </w:r>
      <w:r w:rsidRPr="0026684F">
        <w:rPr>
          <w:rFonts w:eastAsiaTheme="minorEastAsia"/>
          <w:i/>
          <w:sz w:val="23"/>
          <w:szCs w:val="23"/>
        </w:rPr>
        <w:t xml:space="preserve"> </w:t>
      </w:r>
      <w:r w:rsidRPr="0026684F">
        <w:rPr>
          <w:rFonts w:eastAsiaTheme="minorEastAsia" w:hint="cs"/>
          <w:i/>
          <w:sz w:val="23"/>
          <w:szCs w:val="23"/>
          <w:rtl/>
        </w:rPr>
        <w:t>یک معادله</w:t>
      </w:r>
      <w:r w:rsidRPr="0026684F">
        <w:rPr>
          <w:rFonts w:eastAsiaTheme="minorEastAsia"/>
          <w:i/>
          <w:sz w:val="23"/>
          <w:szCs w:val="23"/>
          <w:rtl/>
        </w:rPr>
        <w:softHyphen/>
      </w:r>
      <w:r w:rsidRPr="0026684F">
        <w:rPr>
          <w:rFonts w:eastAsiaTheme="minorEastAsia" w:hint="cs"/>
          <w:i/>
          <w:sz w:val="23"/>
          <w:szCs w:val="23"/>
          <w:rtl/>
        </w:rPr>
        <w:t>ی تفاضلی بر حسب کسری بودجه</w:t>
      </w:r>
      <w:r w:rsidRPr="0026684F">
        <w:rPr>
          <w:rFonts w:eastAsiaTheme="minorEastAsia"/>
          <w:i/>
          <w:sz w:val="23"/>
          <w:szCs w:val="23"/>
          <w:rtl/>
        </w:rPr>
        <w:softHyphen/>
      </w:r>
      <w:r w:rsidRPr="0026684F">
        <w:rPr>
          <w:rFonts w:eastAsiaTheme="minorEastAsia" w:hint="cs"/>
          <w:i/>
          <w:sz w:val="23"/>
          <w:szCs w:val="23"/>
          <w:rtl/>
        </w:rPr>
        <w:t>ی اولیه است. از آنجاکه نرخ رشد تولید اسمی</w:t>
      </w:r>
      <w:r w:rsidRPr="0026684F">
        <w:rPr>
          <w:rStyle w:val="FootnoteReference"/>
          <w:rFonts w:eastAsiaTheme="minorEastAsia"/>
          <w:i/>
          <w:sz w:val="23"/>
          <w:szCs w:val="23"/>
          <w:rtl/>
        </w:rPr>
        <w:footnoteReference w:id="140"/>
      </w:r>
      <w:r w:rsidRPr="0026684F">
        <w:rPr>
          <w:rFonts w:eastAsiaTheme="minorEastAsia" w:hint="cs"/>
          <w:i/>
          <w:sz w:val="23"/>
          <w:szCs w:val="23"/>
          <w:rtl/>
        </w:rPr>
        <w:t xml:space="preserve"> </w:t>
      </w:r>
      <w:r w:rsidRPr="00703635">
        <w:rPr>
          <w:position w:val="-10"/>
        </w:rPr>
        <w:object w:dxaOrig="1040" w:dyaOrig="320" w14:anchorId="6B839F3C">
          <v:shape id="_x0000_i2696" type="#_x0000_t75" style="width:52.05pt;height:15.75pt" o:ole="">
            <v:imagedata r:id="rId3378" o:title=""/>
          </v:shape>
          <o:OLEObject Type="Embed" ProgID="Equation.DSMT4" ShapeID="_x0000_i2696" DrawAspect="Content" ObjectID="_1791376640" r:id="rId3379"/>
        </w:object>
      </w:r>
      <w:r w:rsidRPr="0026684F">
        <w:rPr>
          <w:rFonts w:eastAsiaTheme="minorEastAsia" w:hint="cs"/>
          <w:i/>
          <w:sz w:val="23"/>
          <w:szCs w:val="23"/>
          <w:rtl/>
        </w:rPr>
        <w:t xml:space="preserve"> معمولاً مثبت است، لذا معادله تفاضلی </w:t>
      </w:r>
      <w:r w:rsidRPr="0026684F">
        <w:rPr>
          <w:rFonts w:hint="cs"/>
          <w:i/>
          <w:sz w:val="23"/>
          <w:szCs w:val="23"/>
          <w:rtl/>
        </w:rPr>
        <w:t>(۵. ۸)</w:t>
      </w:r>
      <w:r w:rsidRPr="0026684F">
        <w:rPr>
          <w:rFonts w:eastAsiaTheme="minorEastAsia" w:hint="cs"/>
          <w:i/>
          <w:sz w:val="23"/>
          <w:szCs w:val="23"/>
          <w:rtl/>
        </w:rPr>
        <w:t xml:space="preserve"> باثبات است و می</w:t>
      </w:r>
      <w:r w:rsidRPr="0026684F">
        <w:rPr>
          <w:rFonts w:eastAsiaTheme="minorEastAsia"/>
          <w:i/>
          <w:sz w:val="23"/>
          <w:szCs w:val="23"/>
          <w:rtl/>
        </w:rPr>
        <w:softHyphen/>
      </w:r>
      <w:r w:rsidRPr="0026684F">
        <w:rPr>
          <w:rFonts w:eastAsiaTheme="minorEastAsia" w:hint="cs"/>
          <w:i/>
          <w:sz w:val="23"/>
          <w:szCs w:val="23"/>
          <w:rtl/>
        </w:rPr>
        <w:t>بایست بصورت پس</w:t>
      </w:r>
      <w:r w:rsidRPr="0026684F">
        <w:rPr>
          <w:rFonts w:eastAsiaTheme="minorEastAsia"/>
          <w:i/>
          <w:sz w:val="23"/>
          <w:szCs w:val="23"/>
          <w:rtl/>
        </w:rPr>
        <w:softHyphen/>
      </w:r>
      <w:r w:rsidRPr="0026684F">
        <w:rPr>
          <w:rFonts w:eastAsiaTheme="minorEastAsia" w:hint="cs"/>
          <w:i/>
          <w:sz w:val="23"/>
          <w:szCs w:val="23"/>
          <w:rtl/>
        </w:rPr>
        <w:t>رو</w:t>
      </w:r>
      <w:r w:rsidRPr="0026684F">
        <w:rPr>
          <w:rStyle w:val="FootnoteReference"/>
          <w:rFonts w:eastAsiaTheme="minorEastAsia"/>
          <w:i/>
          <w:sz w:val="23"/>
          <w:szCs w:val="23"/>
          <w:rtl/>
        </w:rPr>
        <w:footnoteReference w:id="141"/>
      </w:r>
      <w:r w:rsidRPr="0026684F">
        <w:rPr>
          <w:rFonts w:eastAsiaTheme="minorEastAsia" w:hint="cs"/>
          <w:i/>
          <w:sz w:val="23"/>
          <w:szCs w:val="23"/>
          <w:rtl/>
        </w:rPr>
        <w:t xml:space="preserve"> حل شود، درحالی</w:t>
      </w:r>
      <w:r w:rsidRPr="0026684F">
        <w:rPr>
          <w:rFonts w:eastAsiaTheme="minorEastAsia"/>
          <w:i/>
          <w:sz w:val="23"/>
          <w:szCs w:val="23"/>
          <w:rtl/>
        </w:rPr>
        <w:softHyphen/>
      </w:r>
      <w:r w:rsidRPr="0026684F">
        <w:rPr>
          <w:rFonts w:eastAsiaTheme="minorEastAsia" w:hint="cs"/>
          <w:i/>
          <w:sz w:val="23"/>
          <w:szCs w:val="23"/>
          <w:rtl/>
        </w:rPr>
        <w:t>که معادله</w:t>
      </w:r>
      <w:r w:rsidRPr="0026684F">
        <w:rPr>
          <w:rFonts w:eastAsiaTheme="minorEastAsia"/>
          <w:i/>
          <w:sz w:val="23"/>
          <w:szCs w:val="23"/>
          <w:rtl/>
        </w:rPr>
        <w:softHyphen/>
      </w:r>
      <w:r w:rsidRPr="0026684F">
        <w:rPr>
          <w:rFonts w:eastAsiaTheme="minorEastAsia" w:hint="cs"/>
          <w:i/>
          <w:sz w:val="23"/>
          <w:szCs w:val="23"/>
          <w:rtl/>
        </w:rPr>
        <w:t xml:space="preserve">ی تفاضلی </w:t>
      </w:r>
      <w:r w:rsidRPr="0026684F">
        <w:rPr>
          <w:rFonts w:hint="cs"/>
          <w:i/>
          <w:sz w:val="23"/>
          <w:szCs w:val="23"/>
          <w:rtl/>
        </w:rPr>
        <w:t>(۵. ۱۰)</w:t>
      </w:r>
      <w:r w:rsidRPr="0026684F">
        <w:rPr>
          <w:rFonts w:eastAsiaTheme="minorEastAsia" w:hint="cs"/>
          <w:i/>
          <w:sz w:val="23"/>
          <w:szCs w:val="23"/>
          <w:rtl/>
        </w:rPr>
        <w:t xml:space="preserve"> با توجه به پارامتر </w:t>
      </w:r>
      <w:r w:rsidRPr="00703635">
        <w:rPr>
          <w:position w:val="-28"/>
        </w:rPr>
        <w:object w:dxaOrig="1640" w:dyaOrig="680" w14:anchorId="3380A4AD">
          <v:shape id="_x0000_i2697" type="#_x0000_t75" style="width:82.3pt;height:33.9pt" o:ole="">
            <v:imagedata r:id="rId3380" o:title=""/>
          </v:shape>
          <o:OLEObject Type="Embed" ProgID="Equation.DSMT4" ShapeID="_x0000_i2697" DrawAspect="Content" ObjectID="_1791376641" r:id="rId3381"/>
        </w:object>
      </w:r>
      <w:r w:rsidRPr="0026684F">
        <w:rPr>
          <w:rFonts w:eastAsiaTheme="minorEastAsia" w:hint="cs"/>
          <w:i/>
          <w:sz w:val="23"/>
          <w:szCs w:val="23"/>
          <w:rtl/>
        </w:rPr>
        <w:t xml:space="preserve"> ممکن است باثبات یا بی</w:t>
      </w:r>
      <w:r w:rsidRPr="0026684F">
        <w:rPr>
          <w:rFonts w:eastAsiaTheme="minorEastAsia"/>
          <w:i/>
          <w:sz w:val="23"/>
          <w:szCs w:val="23"/>
          <w:rtl/>
        </w:rPr>
        <w:softHyphen/>
      </w:r>
      <w:r w:rsidRPr="0026684F">
        <w:rPr>
          <w:rFonts w:eastAsiaTheme="minorEastAsia" w:hint="cs"/>
          <w:i/>
          <w:sz w:val="23"/>
          <w:szCs w:val="23"/>
          <w:rtl/>
        </w:rPr>
        <w:t>ثبات باشد. اگر ضریب فوق بزرگتر از واحد باشد آنگاه معادله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۱۰)</w:t>
      </w:r>
      <w:r w:rsidRPr="0026684F">
        <w:rPr>
          <w:rFonts w:eastAsiaTheme="minorEastAsia" w:hint="cs"/>
          <w:i/>
          <w:sz w:val="23"/>
          <w:szCs w:val="23"/>
          <w:rtl/>
        </w:rPr>
        <w:t xml:space="preserve"> باثبات و </w:t>
      </w:r>
      <w:r w:rsidRPr="0026684F">
        <w:rPr>
          <w:rFonts w:eastAsiaTheme="minorEastAsia" w:hint="cs"/>
          <w:i/>
          <w:sz w:val="23"/>
          <w:szCs w:val="23"/>
          <w:rtl/>
        </w:rPr>
        <w:lastRenderedPageBreak/>
        <w:t>اگر کوچکتر از واحد باشد آن معادله بی</w:t>
      </w:r>
      <w:r w:rsidRPr="0026684F">
        <w:rPr>
          <w:rFonts w:eastAsiaTheme="minorEastAsia"/>
          <w:i/>
          <w:sz w:val="23"/>
          <w:szCs w:val="23"/>
          <w:rtl/>
        </w:rPr>
        <w:softHyphen/>
      </w:r>
      <w:r w:rsidRPr="0026684F">
        <w:rPr>
          <w:rFonts w:eastAsiaTheme="minorEastAsia" w:hint="cs"/>
          <w:i/>
          <w:sz w:val="23"/>
          <w:szCs w:val="23"/>
          <w:rtl/>
        </w:rPr>
        <w:t>ثبات است. اگر معادله</w:t>
      </w:r>
      <w:r w:rsidRPr="0026684F">
        <w:rPr>
          <w:rFonts w:eastAsiaTheme="minorEastAsia"/>
          <w:i/>
          <w:sz w:val="23"/>
          <w:szCs w:val="23"/>
          <w:rtl/>
        </w:rPr>
        <w:softHyphen/>
      </w:r>
      <w:r w:rsidRPr="0026684F">
        <w:rPr>
          <w:rFonts w:eastAsiaTheme="minorEastAsia" w:hint="cs"/>
          <w:i/>
          <w:sz w:val="23"/>
          <w:szCs w:val="23"/>
          <w:rtl/>
        </w:rPr>
        <w:t xml:space="preserve">ی تفاضلی </w:t>
      </w:r>
      <w:r w:rsidRPr="0026684F">
        <w:rPr>
          <w:rFonts w:hint="cs"/>
          <w:i/>
          <w:sz w:val="23"/>
          <w:szCs w:val="23"/>
          <w:rtl/>
        </w:rPr>
        <w:t>(۵. ۱۰)</w:t>
      </w:r>
      <w:r w:rsidRPr="0026684F">
        <w:rPr>
          <w:rFonts w:eastAsiaTheme="minorEastAsia" w:hint="cs"/>
          <w:i/>
          <w:sz w:val="23"/>
          <w:szCs w:val="23"/>
          <w:rtl/>
        </w:rPr>
        <w:t xml:space="preserve"> باثبات باشد آنگاه نسبت</w:t>
      </w:r>
      <w:r w:rsidRPr="00703635">
        <w:rPr>
          <w:position w:val="-28"/>
        </w:rPr>
        <w:object w:dxaOrig="300" w:dyaOrig="639" w14:anchorId="693A5FA1">
          <v:shape id="_x0000_i2698" type="#_x0000_t75" style="width:14.5pt;height:32.05pt" o:ole="">
            <v:imagedata r:id="rId3382" o:title=""/>
          </v:shape>
          <o:OLEObject Type="Embed" ProgID="Equation.DSMT4" ShapeID="_x0000_i2698" DrawAspect="Content" ObjectID="_1791376642" r:id="rId3383"/>
        </w:object>
      </w:r>
      <w:r w:rsidRPr="0026684F">
        <w:rPr>
          <w:rFonts w:eastAsiaTheme="minorEastAsia" w:hint="cs"/>
          <w:i/>
          <w:sz w:val="23"/>
          <w:szCs w:val="23"/>
          <w:rtl/>
        </w:rPr>
        <w:t xml:space="preserve"> محدود و یا نامحدود خواهد بود. نسبت </w:t>
      </w:r>
      <w:r w:rsidRPr="00703635">
        <w:rPr>
          <w:position w:val="-28"/>
        </w:rPr>
        <w:object w:dxaOrig="300" w:dyaOrig="639" w14:anchorId="7F739B12">
          <v:shape id="_x0000_i2699" type="#_x0000_t75" style="width:14.5pt;height:32.05pt" o:ole="">
            <v:imagedata r:id="rId3384" o:title=""/>
          </v:shape>
          <o:OLEObject Type="Embed" ProgID="Equation.DSMT4" ShapeID="_x0000_i2699" DrawAspect="Content" ObjectID="_1791376643" r:id="rId3385"/>
        </w:object>
      </w:r>
      <w:r w:rsidRPr="0026684F">
        <w:rPr>
          <w:rFonts w:eastAsiaTheme="minorEastAsia" w:hint="cs"/>
          <w:i/>
          <w:sz w:val="23"/>
          <w:szCs w:val="23"/>
          <w:rtl/>
        </w:rPr>
        <w:t xml:space="preserve"> محدود شرط لازم ولی غیرکافی برای بخش خصوصی است تا تمایل به نگهداری اوراق قرضه</w:t>
      </w:r>
      <w:r w:rsidRPr="0026684F">
        <w:rPr>
          <w:rFonts w:eastAsiaTheme="minorEastAsia"/>
          <w:i/>
          <w:sz w:val="23"/>
          <w:szCs w:val="23"/>
          <w:rtl/>
        </w:rPr>
        <w:softHyphen/>
      </w:r>
      <w:r w:rsidRPr="0026684F">
        <w:rPr>
          <w:rFonts w:eastAsiaTheme="minorEastAsia" w:hint="cs"/>
          <w:i/>
          <w:sz w:val="23"/>
          <w:szCs w:val="23"/>
          <w:rtl/>
        </w:rPr>
        <w:t>ی دولتی داشته باشد. اگر نسبت</w:t>
      </w:r>
      <w:r w:rsidRPr="00703635">
        <w:rPr>
          <w:position w:val="-28"/>
        </w:rPr>
        <w:object w:dxaOrig="300" w:dyaOrig="639" w14:anchorId="1110FDD9">
          <v:shape id="_x0000_i2700" type="#_x0000_t75" style="width:14.5pt;height:32.05pt" o:ole="">
            <v:imagedata r:id="rId3386" o:title=""/>
          </v:shape>
          <o:OLEObject Type="Embed" ProgID="Equation.DSMT4" ShapeID="_x0000_i2700" DrawAspect="Content" ObjectID="_1791376644" r:id="rId3387"/>
        </w:object>
      </w:r>
      <w:r w:rsidRPr="0026684F">
        <w:rPr>
          <w:rFonts w:eastAsiaTheme="minorEastAsia" w:hint="cs"/>
          <w:i/>
          <w:sz w:val="23"/>
          <w:szCs w:val="23"/>
          <w:rtl/>
        </w:rPr>
        <w:t xml:space="preserve"> افزایش یابد شرط کافی برای ناپایداری وضعیت</w:t>
      </w:r>
      <w:r w:rsidRPr="0026684F">
        <w:rPr>
          <w:rFonts w:eastAsiaTheme="minorEastAsia" w:hint="cs"/>
          <w:i/>
          <w:color w:val="FF0000"/>
          <w:sz w:val="23"/>
          <w:szCs w:val="23"/>
          <w:rtl/>
        </w:rPr>
        <w:t xml:space="preserve"> </w:t>
      </w:r>
      <w:r w:rsidRPr="0026684F">
        <w:rPr>
          <w:rFonts w:eastAsiaTheme="minorEastAsia" w:hint="cs"/>
          <w:i/>
          <w:sz w:val="23"/>
          <w:szCs w:val="23"/>
          <w:rtl/>
        </w:rPr>
        <w:t xml:space="preserve">مالی دولت است. </w:t>
      </w:r>
    </w:p>
    <w:p w14:paraId="390B92A4"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اکنون وضعیتی را بررسی می کنیم که در آن نسبت</w:t>
      </w:r>
      <w:r w:rsidRPr="00703635">
        <w:rPr>
          <w:position w:val="-28"/>
        </w:rPr>
        <w:object w:dxaOrig="300" w:dyaOrig="639" w14:anchorId="53E72E7F">
          <v:shape id="_x0000_i2701" type="#_x0000_t75" style="width:14.5pt;height:32.05pt" o:ole="">
            <v:imagedata r:id="rId3388" o:title=""/>
          </v:shape>
          <o:OLEObject Type="Embed" ProgID="Equation.DSMT4" ShapeID="_x0000_i2701" DrawAspect="Content" ObjectID="_1791376645" r:id="rId3389"/>
        </w:object>
      </w:r>
      <w:r w:rsidRPr="0026684F">
        <w:rPr>
          <w:rFonts w:eastAsiaTheme="minorEastAsia" w:hint="cs"/>
          <w:i/>
          <w:sz w:val="23"/>
          <w:szCs w:val="23"/>
          <w:rtl/>
        </w:rPr>
        <w:t xml:space="preserve"> محدود باشد. فرض کنید</w:t>
      </w:r>
      <w:r w:rsidRPr="00703635">
        <w:rPr>
          <w:position w:val="-10"/>
        </w:rPr>
        <w:object w:dxaOrig="279" w:dyaOrig="320" w14:anchorId="66EF8E9C">
          <v:shape id="_x0000_i2702" type="#_x0000_t75" style="width:13.9pt;height:15.75pt" o:ole="">
            <v:imagedata r:id="rId3390" o:title=""/>
          </v:shape>
          <o:OLEObject Type="Embed" ProgID="Equation.DSMT4" ShapeID="_x0000_i2702" DrawAspect="Content" ObjectID="_1791376646" r:id="rId3391"/>
        </w:object>
      </w:r>
      <w:r w:rsidRPr="0026684F">
        <w:rPr>
          <w:rFonts w:eastAsiaTheme="minorEastAsia" w:hint="cs"/>
          <w:i/>
          <w:sz w:val="23"/>
          <w:szCs w:val="23"/>
          <w:rtl/>
        </w:rPr>
        <w:t xml:space="preserve"> و</w:t>
      </w:r>
      <w:r w:rsidRPr="00703635">
        <w:rPr>
          <w:position w:val="-10"/>
        </w:rPr>
        <w:object w:dxaOrig="240" w:dyaOrig="320" w14:anchorId="0F3ED3A9">
          <v:shape id="_x0000_i2703" type="#_x0000_t75" style="width:11.5pt;height:15.75pt" o:ole="">
            <v:imagedata r:id="rId3392" o:title=""/>
          </v:shape>
          <o:OLEObject Type="Embed" ProgID="Equation.DSMT4" ShapeID="_x0000_i2703" DrawAspect="Content" ObjectID="_1791376647" r:id="rId3393"/>
        </w:object>
      </w:r>
      <w:r w:rsidRPr="0026684F">
        <w:rPr>
          <w:rFonts w:eastAsiaTheme="minorEastAsia" w:hint="cs"/>
          <w:i/>
          <w:sz w:val="23"/>
          <w:szCs w:val="23"/>
          <w:rtl/>
        </w:rPr>
        <w:t xml:space="preserve"> و</w:t>
      </w:r>
      <w:r w:rsidRPr="00703635">
        <w:rPr>
          <w:position w:val="-10"/>
        </w:rPr>
        <w:object w:dxaOrig="220" w:dyaOrig="320" w14:anchorId="784ABDD4">
          <v:shape id="_x0000_i2704" type="#_x0000_t75" style="width:10.9pt;height:15.75pt" o:ole="">
            <v:imagedata r:id="rId3394" o:title=""/>
          </v:shape>
          <o:OLEObject Type="Embed" ProgID="Equation.DSMT4" ShapeID="_x0000_i2704" DrawAspect="Content" ObjectID="_1791376648" r:id="rId3395"/>
        </w:object>
      </w:r>
      <w:r w:rsidRPr="0026684F">
        <w:rPr>
          <w:rFonts w:eastAsiaTheme="minorEastAsia" w:hint="cs"/>
          <w:i/>
          <w:sz w:val="23"/>
          <w:szCs w:val="23"/>
          <w:rtl/>
        </w:rPr>
        <w:t xml:space="preserve"> ثابت باشند آنگاه معادله </w:t>
      </w:r>
      <w:r w:rsidRPr="0026684F">
        <w:rPr>
          <w:rFonts w:hint="cs"/>
          <w:i/>
          <w:sz w:val="23"/>
          <w:szCs w:val="23"/>
          <w:rtl/>
        </w:rPr>
        <w:t>(۵. ۱۰)</w:t>
      </w:r>
      <w:r w:rsidRPr="0026684F">
        <w:rPr>
          <w:rFonts w:eastAsiaTheme="minorEastAsia" w:hint="cs"/>
          <w:i/>
          <w:sz w:val="23"/>
          <w:szCs w:val="23"/>
          <w:rtl/>
        </w:rPr>
        <w:t xml:space="preserve"> برابر است با:</w:t>
      </w:r>
    </w:p>
    <w:p w14:paraId="0C057B2B"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28"/>
        </w:rPr>
        <w:object w:dxaOrig="3100" w:dyaOrig="639" w14:anchorId="66615A23">
          <v:shape id="_x0000_i2705" type="#_x0000_t75" style="width:154.9pt;height:32.05pt" o:ole="">
            <v:imagedata r:id="rId3396" o:title=""/>
          </v:shape>
          <o:OLEObject Type="Embed" ProgID="Equation.DSMT4" ShapeID="_x0000_i2705" DrawAspect="Content" ObjectID="_1791376649" r:id="rId3397"/>
        </w:object>
      </w:r>
    </w:p>
    <w:p w14:paraId="4952CF14"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و یا</w:t>
      </w:r>
    </w:p>
    <w:p w14:paraId="08DEFD6C" w14:textId="77777777" w:rsidR="00411620" w:rsidRPr="0026684F"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Pr>
      </w:pPr>
      <w:r w:rsidRPr="00703635">
        <w:rPr>
          <w:position w:val="-28"/>
        </w:rPr>
        <w:object w:dxaOrig="3000" w:dyaOrig="680" w14:anchorId="3FCBCEC0">
          <v:shape id="_x0000_i2706" type="#_x0000_t75" style="width:150.05pt;height:33.9pt" o:ole="">
            <v:imagedata r:id="rId3398" o:title=""/>
          </v:shape>
          <o:OLEObject Type="Embed" ProgID="Equation.DSMT4" ShapeID="_x0000_i2706" DrawAspect="Content" ObjectID="_1791376650" r:id="rId3399"/>
        </w:object>
      </w:r>
      <w:r w:rsidRPr="0026684F">
        <w:rPr>
          <w:rFonts w:ascii="Times New Roman" w:hAnsi="Times New Roman" w:cs="B Nazanin"/>
          <w:i/>
          <w:sz w:val="23"/>
          <w:szCs w:val="23"/>
          <w:rtl/>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tl/>
        </w:rPr>
        <w:tab/>
      </w:r>
      <w:r>
        <w:rPr>
          <w:rFonts w:ascii="Times New Roman" w:hAnsi="Times New Roman" w:cs="B Nazanin"/>
          <w:i/>
          <w:sz w:val="23"/>
          <w:szCs w:val="23"/>
          <w:rtl/>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hint="cs"/>
          <w:i/>
          <w:sz w:val="23"/>
          <w:szCs w:val="23"/>
          <w:rtl/>
        </w:rPr>
        <w:t>(۵. ۱۱)</w:t>
      </w:r>
    </w:p>
    <w:p w14:paraId="6DACD2D3" w14:textId="77777777" w:rsidR="00411620" w:rsidRPr="0026684F" w:rsidRDefault="00411620" w:rsidP="00411620">
      <w:pPr>
        <w:tabs>
          <w:tab w:val="left" w:pos="2840"/>
        </w:tabs>
        <w:spacing w:line="216" w:lineRule="auto"/>
        <w:rPr>
          <w:rFonts w:eastAsiaTheme="minorEastAsia"/>
          <w:i/>
          <w:sz w:val="23"/>
          <w:szCs w:val="23"/>
          <w:rtl/>
        </w:rPr>
      </w:pPr>
    </w:p>
    <w:p w14:paraId="1A20EA81" w14:textId="77777777" w:rsidR="00411620" w:rsidRPr="0026684F" w:rsidRDefault="00411620" w:rsidP="00411620">
      <w:pPr>
        <w:tabs>
          <w:tab w:val="left" w:pos="2840"/>
        </w:tabs>
        <w:spacing w:line="216" w:lineRule="auto"/>
        <w:rPr>
          <w:rFonts w:eastAsiaTheme="minorEastAsia"/>
          <w:bCs/>
          <w:i/>
          <w:sz w:val="23"/>
          <w:szCs w:val="23"/>
          <w:rtl/>
        </w:rPr>
      </w:pPr>
      <w:r w:rsidRPr="0026684F">
        <w:rPr>
          <w:rFonts w:eastAsiaTheme="minorEastAsia" w:hint="cs"/>
          <w:bCs/>
          <w:i/>
          <w:sz w:val="23"/>
          <w:szCs w:val="23"/>
          <w:rtl/>
        </w:rPr>
        <w:t>حالت اول و یا حالت باثبات</w:t>
      </w:r>
      <w:r w:rsidRPr="0026684F">
        <w:rPr>
          <w:rFonts w:eastAsiaTheme="minorEastAsia"/>
          <w:bCs/>
          <w:i/>
          <w:sz w:val="23"/>
          <w:szCs w:val="23"/>
        </w:rPr>
        <w:t xml:space="preserve"> </w:t>
      </w:r>
      <w:r w:rsidRPr="0026684F">
        <w:rPr>
          <w:rFonts w:eastAsiaTheme="minorEastAsia" w:hint="cs"/>
          <w:bCs/>
          <w:i/>
          <w:sz w:val="23"/>
          <w:szCs w:val="23"/>
          <w:rtl/>
        </w:rPr>
        <w:t xml:space="preserve">: </w:t>
      </w:r>
      <w:r w:rsidRPr="00703635">
        <w:rPr>
          <w:position w:val="-22"/>
        </w:rPr>
        <w:object w:dxaOrig="1579" w:dyaOrig="620" w14:anchorId="08C77405">
          <v:shape id="_x0000_i2707" type="#_x0000_t75" style="width:79.25pt;height:31.45pt" o:ole="">
            <v:imagedata r:id="rId3400" o:title=""/>
          </v:shape>
          <o:OLEObject Type="Embed" ProgID="Equation.DSMT4" ShapeID="_x0000_i2707" DrawAspect="Content" ObjectID="_1791376651" r:id="rId3401"/>
        </w:object>
      </w:r>
      <w:r w:rsidRPr="0026684F">
        <w:rPr>
          <w:rFonts w:eastAsiaTheme="minorEastAsia"/>
          <w:bCs/>
          <w:i/>
          <w:sz w:val="23"/>
          <w:szCs w:val="23"/>
        </w:rPr>
        <w:t xml:space="preserve"> </w:t>
      </w:r>
    </w:p>
    <w:p w14:paraId="7BD12875"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 xml:space="preserve">در این حالت </w:t>
      </w:r>
      <w:r w:rsidRPr="00703635">
        <w:rPr>
          <w:position w:val="-10"/>
        </w:rPr>
        <w:object w:dxaOrig="920" w:dyaOrig="300" w14:anchorId="66BA963E">
          <v:shape id="_x0000_i2708" type="#_x0000_t75" style="width:46pt;height:14.5pt" o:ole="">
            <v:imagedata r:id="rId3402" o:title=""/>
          </v:shape>
          <o:OLEObject Type="Embed" ProgID="Equation.DSMT4" ShapeID="_x0000_i2708" DrawAspect="Content" ObjectID="_1791376652" r:id="rId3403"/>
        </w:object>
      </w:r>
      <w:r w:rsidRPr="0026684F">
        <w:rPr>
          <w:rFonts w:eastAsiaTheme="minorEastAsia" w:hint="cs"/>
          <w:i/>
          <w:sz w:val="23"/>
          <w:szCs w:val="23"/>
          <w:rtl/>
        </w:rPr>
        <w:t xml:space="preserve"> است، یعنی نرخ رشد </w:t>
      </w:r>
      <w:r w:rsidRPr="0026684F">
        <w:rPr>
          <w:rFonts w:eastAsiaTheme="minorEastAsia"/>
          <w:i/>
          <w:sz w:val="23"/>
          <w:szCs w:val="23"/>
        </w:rPr>
        <w:t>GDP</w:t>
      </w:r>
      <w:r w:rsidRPr="0026684F">
        <w:rPr>
          <w:rFonts w:eastAsiaTheme="minorEastAsia" w:hint="cs"/>
          <w:i/>
          <w:sz w:val="23"/>
          <w:szCs w:val="23"/>
          <w:rtl/>
        </w:rPr>
        <w:t xml:space="preserve"> اسمی بزرگتر از نرخ بهره</w:t>
      </w:r>
      <w:r w:rsidRPr="0026684F">
        <w:rPr>
          <w:rFonts w:eastAsiaTheme="minorEastAsia"/>
          <w:i/>
          <w:sz w:val="23"/>
          <w:szCs w:val="23"/>
          <w:rtl/>
        </w:rPr>
        <w:softHyphen/>
      </w:r>
      <w:r w:rsidRPr="0026684F">
        <w:rPr>
          <w:rFonts w:eastAsiaTheme="minorEastAsia" w:hint="cs"/>
          <w:i/>
          <w:sz w:val="23"/>
          <w:szCs w:val="23"/>
          <w:rtl/>
        </w:rPr>
        <w:t>ی اسمی است. اکنون معادله</w:t>
      </w:r>
      <w:r w:rsidRPr="0026684F">
        <w:rPr>
          <w:rFonts w:eastAsiaTheme="minorEastAsia"/>
          <w:i/>
          <w:sz w:val="23"/>
          <w:szCs w:val="23"/>
          <w:rtl/>
        </w:rPr>
        <w:softHyphen/>
      </w:r>
      <w:r w:rsidRPr="0026684F">
        <w:rPr>
          <w:rFonts w:eastAsiaTheme="minorEastAsia" w:hint="cs"/>
          <w:i/>
          <w:sz w:val="23"/>
          <w:szCs w:val="23"/>
          <w:rtl/>
        </w:rPr>
        <w:t>ی</w:t>
      </w:r>
      <w:r w:rsidRPr="0026684F">
        <w:rPr>
          <w:rFonts w:eastAsiaTheme="minorEastAsia"/>
          <w:i/>
          <w:sz w:val="23"/>
          <w:szCs w:val="23"/>
        </w:rPr>
        <w:t xml:space="preserve"> </w:t>
      </w:r>
      <w:r w:rsidRPr="0026684F">
        <w:rPr>
          <w:rFonts w:eastAsiaTheme="minorEastAsia" w:hint="cs"/>
          <w:i/>
          <w:sz w:val="23"/>
          <w:szCs w:val="23"/>
          <w:rtl/>
        </w:rPr>
        <w:t>(۵. ۱۱)</w:t>
      </w:r>
      <w:r w:rsidRPr="0026684F">
        <w:rPr>
          <w:rFonts w:hint="cs"/>
          <w:i/>
          <w:sz w:val="23"/>
          <w:szCs w:val="23"/>
          <w:rtl/>
        </w:rPr>
        <w:t xml:space="preserve"> </w:t>
      </w:r>
      <w:r w:rsidRPr="0026684F">
        <w:rPr>
          <w:rFonts w:eastAsiaTheme="minorEastAsia" w:hint="cs"/>
          <w:i/>
          <w:sz w:val="23"/>
          <w:szCs w:val="23"/>
          <w:rtl/>
        </w:rPr>
        <w:t>را بازنویسی می</w:t>
      </w:r>
      <w:r w:rsidRPr="0026684F">
        <w:rPr>
          <w:rFonts w:eastAsiaTheme="minorEastAsia"/>
          <w:i/>
          <w:sz w:val="23"/>
          <w:szCs w:val="23"/>
          <w:rtl/>
        </w:rPr>
        <w:softHyphen/>
      </w:r>
      <w:r w:rsidRPr="0026684F">
        <w:rPr>
          <w:rFonts w:eastAsiaTheme="minorEastAsia" w:hint="cs"/>
          <w:i/>
          <w:sz w:val="23"/>
          <w:szCs w:val="23"/>
          <w:rtl/>
        </w:rPr>
        <w:t>کنیم.</w:t>
      </w:r>
    </w:p>
    <w:p w14:paraId="220A094A"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30"/>
        </w:rPr>
        <w:object w:dxaOrig="3720" w:dyaOrig="660" w14:anchorId="1F22ABBB">
          <v:shape id="_x0000_i2709" type="#_x0000_t75" style="width:185.75pt;height:32.65pt" o:ole="">
            <v:imagedata r:id="rId3404" o:title=""/>
          </v:shape>
          <o:OLEObject Type="Embed" ProgID="Equation.DSMT4" ShapeID="_x0000_i2709" DrawAspect="Content" ObjectID="_1791376653" r:id="rId3405"/>
        </w:object>
      </w:r>
    </w:p>
    <w:p w14:paraId="76132E3A"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 xml:space="preserve"> از آن</w:t>
      </w:r>
      <w:r w:rsidRPr="0026684F">
        <w:rPr>
          <w:rFonts w:eastAsiaTheme="minorEastAsia"/>
          <w:i/>
          <w:sz w:val="23"/>
          <w:szCs w:val="23"/>
          <w:rtl/>
        </w:rPr>
        <w:softHyphen/>
      </w:r>
      <w:r w:rsidRPr="0026684F">
        <w:rPr>
          <w:rFonts w:eastAsiaTheme="minorEastAsia" w:hint="cs"/>
          <w:i/>
          <w:sz w:val="23"/>
          <w:szCs w:val="23"/>
          <w:rtl/>
        </w:rPr>
        <w:t xml:space="preserve">جا که ضریب </w:t>
      </w:r>
      <w:r w:rsidRPr="00703635">
        <w:rPr>
          <w:position w:val="-30"/>
        </w:rPr>
        <w:object w:dxaOrig="1280" w:dyaOrig="639" w14:anchorId="1022EB4B">
          <v:shape id="_x0000_i2710" type="#_x0000_t75" style="width:64.15pt;height:32.05pt" o:ole="">
            <v:imagedata r:id="rId3406" o:title=""/>
          </v:shape>
          <o:OLEObject Type="Embed" ProgID="Equation.DSMT4" ShapeID="_x0000_i2710" DrawAspect="Content" ObjectID="_1791376654" r:id="rId3407"/>
        </w:object>
      </w:r>
      <w:r w:rsidRPr="0026684F">
        <w:rPr>
          <w:rFonts w:eastAsiaTheme="minorEastAsia"/>
          <w:i/>
          <w:sz w:val="23"/>
          <w:szCs w:val="23"/>
        </w:rPr>
        <w:t xml:space="preserve"> </w:t>
      </w:r>
      <w:r w:rsidRPr="0026684F">
        <w:rPr>
          <w:rFonts w:eastAsiaTheme="minorEastAsia" w:hint="cs"/>
          <w:i/>
          <w:sz w:val="23"/>
          <w:szCs w:val="23"/>
          <w:rtl/>
        </w:rPr>
        <w:t>مثبت و کوچکتر از واحد است، بنابراین معادله</w:t>
      </w:r>
      <w:r w:rsidRPr="0026684F">
        <w:rPr>
          <w:rFonts w:eastAsiaTheme="minorEastAsia"/>
          <w:i/>
          <w:sz w:val="23"/>
          <w:szCs w:val="23"/>
          <w:rtl/>
        </w:rPr>
        <w:softHyphen/>
      </w:r>
      <w:r w:rsidRPr="0026684F">
        <w:rPr>
          <w:rFonts w:eastAsiaTheme="minorEastAsia" w:hint="cs"/>
          <w:i/>
          <w:sz w:val="23"/>
          <w:szCs w:val="23"/>
          <w:rtl/>
        </w:rPr>
        <w:t>ی تفاضلی فوق را می</w:t>
      </w:r>
      <w:r w:rsidRPr="0026684F">
        <w:rPr>
          <w:rFonts w:eastAsiaTheme="minorEastAsia"/>
          <w:i/>
          <w:sz w:val="23"/>
          <w:szCs w:val="23"/>
          <w:rtl/>
        </w:rPr>
        <w:softHyphen/>
      </w:r>
      <w:r w:rsidRPr="0026684F">
        <w:rPr>
          <w:rFonts w:eastAsiaTheme="minorEastAsia" w:hint="cs"/>
          <w:i/>
          <w:sz w:val="23"/>
          <w:szCs w:val="23"/>
          <w:rtl/>
        </w:rPr>
        <w:t>بایست به صورت پس</w:t>
      </w:r>
      <w:r w:rsidRPr="0026684F">
        <w:rPr>
          <w:rFonts w:eastAsiaTheme="minorEastAsia"/>
          <w:i/>
          <w:sz w:val="23"/>
          <w:szCs w:val="23"/>
          <w:rtl/>
        </w:rPr>
        <w:softHyphen/>
      </w:r>
      <w:r w:rsidRPr="0026684F">
        <w:rPr>
          <w:rFonts w:eastAsiaTheme="minorEastAsia" w:hint="cs"/>
          <w:i/>
          <w:sz w:val="23"/>
          <w:szCs w:val="23"/>
          <w:rtl/>
        </w:rPr>
        <w:t xml:space="preserve">رو حل کنیم. بنابراین برای </w:t>
      </w:r>
      <w:r w:rsidRPr="00703635">
        <w:rPr>
          <w:position w:val="-6"/>
        </w:rPr>
        <w:object w:dxaOrig="540" w:dyaOrig="260" w14:anchorId="26A9653A">
          <v:shape id="_x0000_i2711" type="#_x0000_t75" style="width:26.6pt;height:13.3pt" o:ole="">
            <v:imagedata r:id="rId3408" o:title=""/>
          </v:shape>
          <o:OLEObject Type="Embed" ProgID="Equation.DSMT4" ShapeID="_x0000_i2711" DrawAspect="Content" ObjectID="_1791376655" r:id="rId3409"/>
        </w:object>
      </w:r>
      <w:r w:rsidRPr="0026684F">
        <w:rPr>
          <w:rFonts w:eastAsiaTheme="minorEastAsia" w:hint="cs"/>
          <w:i/>
          <w:sz w:val="23"/>
          <w:szCs w:val="23"/>
          <w:rtl/>
        </w:rPr>
        <w:t xml:space="preserve"> داریم </w:t>
      </w:r>
    </w:p>
    <w:p w14:paraId="58E158CF"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30"/>
        </w:rPr>
        <w:object w:dxaOrig="2420" w:dyaOrig="760" w14:anchorId="4B9D38C3">
          <v:shape id="_x0000_i2712" type="#_x0000_t75" style="width:121pt;height:38.1pt" o:ole="">
            <v:imagedata r:id="rId3410" o:title=""/>
          </v:shape>
          <o:OLEObject Type="Embed" ProgID="Equation.DSMT4" ShapeID="_x0000_i2712" DrawAspect="Content" ObjectID="_1791376656" r:id="rId3411"/>
        </w:object>
      </w:r>
    </w:p>
    <w:p w14:paraId="5818F336" w14:textId="77777777" w:rsidR="00411620" w:rsidRPr="0026684F"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tl/>
        </w:rPr>
      </w:pPr>
      <w:r w:rsidRPr="00703635">
        <w:rPr>
          <w:position w:val="-30"/>
        </w:rPr>
        <w:object w:dxaOrig="4680" w:dyaOrig="760" w14:anchorId="699770BF">
          <v:shape id="_x0000_i2713" type="#_x0000_t75" style="width:234.15pt;height:38.1pt" o:ole="">
            <v:imagedata r:id="rId3412" o:title=""/>
          </v:shape>
          <o:OLEObject Type="Embed" ProgID="Equation.DSMT4" ShapeID="_x0000_i2713" DrawAspect="Content" ObjectID="_1791376657" r:id="rId3413"/>
        </w:object>
      </w:r>
      <w:r w:rsidRPr="0026684F">
        <w:rPr>
          <w:rFonts w:ascii="Times New Roman" w:hAnsi="Times New Roman" w:cs="B Nazanin"/>
          <w:i/>
          <w:sz w:val="23"/>
          <w:szCs w:val="23"/>
        </w:rPr>
        <w:tab/>
      </w:r>
      <w:r w:rsidRPr="0026684F">
        <w:rPr>
          <w:rFonts w:ascii="Times New Roman" w:hAnsi="Times New Roman" w:cs="B Nazanin"/>
          <w:i/>
          <w:sz w:val="23"/>
          <w:szCs w:val="23"/>
        </w:rPr>
        <w:tab/>
      </w:r>
      <w:r>
        <w:rPr>
          <w:rFonts w:ascii="Times New Roman" w:hAnsi="Times New Roman" w:cs="B Nazanin"/>
          <w:i/>
          <w:sz w:val="23"/>
          <w:szCs w:val="23"/>
          <w:rtl/>
        </w:rPr>
        <w:tab/>
      </w:r>
      <w:r>
        <w:rPr>
          <w:rFonts w:ascii="Times New Roman" w:hAnsi="Times New Roman" w:cs="B Nazanin"/>
          <w:i/>
          <w:sz w:val="23"/>
          <w:szCs w:val="23"/>
          <w:rtl/>
        </w:rPr>
        <w:tab/>
      </w:r>
      <w:r w:rsidRPr="0026684F">
        <w:rPr>
          <w:rFonts w:ascii="Times New Roman" w:hAnsi="Times New Roman" w:cs="B Nazanin"/>
          <w:i/>
          <w:sz w:val="23"/>
          <w:szCs w:val="23"/>
        </w:rPr>
        <w:tab/>
      </w:r>
      <w:r w:rsidRPr="0026684F">
        <w:rPr>
          <w:rFonts w:ascii="Times New Roman" w:hAnsi="Times New Roman" w:cs="B Nazanin" w:hint="cs"/>
          <w:i/>
          <w:sz w:val="23"/>
          <w:szCs w:val="23"/>
          <w:rtl/>
        </w:rPr>
        <w:t>(۵. ۱۲)</w:t>
      </w:r>
    </w:p>
    <w:p w14:paraId="50373BAD" w14:textId="77777777" w:rsidR="00411620" w:rsidRPr="0026684F" w:rsidRDefault="00411620" w:rsidP="00411620">
      <w:pPr>
        <w:tabs>
          <w:tab w:val="left" w:pos="2840"/>
        </w:tabs>
        <w:spacing w:line="216" w:lineRule="auto"/>
        <w:rPr>
          <w:rFonts w:eastAsiaTheme="minorEastAsia"/>
          <w:i/>
          <w:sz w:val="23"/>
          <w:szCs w:val="23"/>
        </w:rPr>
      </w:pPr>
      <w:r w:rsidRPr="0026684F">
        <w:rPr>
          <w:rFonts w:eastAsiaTheme="minorEastAsia" w:hint="cs"/>
          <w:i/>
          <w:sz w:val="23"/>
          <w:szCs w:val="23"/>
          <w:rtl/>
        </w:rPr>
        <w:t xml:space="preserve">اگر </w:t>
      </w:r>
      <w:r w:rsidRPr="00703635">
        <w:rPr>
          <w:position w:val="-6"/>
        </w:rPr>
        <w:object w:dxaOrig="660" w:dyaOrig="220" w14:anchorId="71CD3C68">
          <v:shape id="_x0000_i2714" type="#_x0000_t75" style="width:32.65pt;height:10.9pt" o:ole="">
            <v:imagedata r:id="rId3414" o:title=""/>
          </v:shape>
          <o:OLEObject Type="Embed" ProgID="Equation.DSMT4" ShapeID="_x0000_i2714" DrawAspect="Content" ObjectID="_1791376658" r:id="rId3415"/>
        </w:object>
      </w:r>
      <w:r w:rsidRPr="0026684F">
        <w:rPr>
          <w:rFonts w:eastAsiaTheme="minorEastAsia" w:hint="cs"/>
          <w:i/>
          <w:sz w:val="23"/>
          <w:szCs w:val="23"/>
          <w:rtl/>
        </w:rPr>
        <w:t xml:space="preserve"> میل کند آنگاه خواهیم داشت </w:t>
      </w:r>
      <w:r w:rsidRPr="00703635">
        <w:rPr>
          <w:position w:val="-30"/>
        </w:rPr>
        <w:object w:dxaOrig="2500" w:dyaOrig="760" w14:anchorId="699346A2">
          <v:shape id="_x0000_i2715" type="#_x0000_t75" style="width:125.25pt;height:38.1pt" o:ole="">
            <v:imagedata r:id="rId3416" o:title=""/>
          </v:shape>
          <o:OLEObject Type="Embed" ProgID="Equation.DSMT4" ShapeID="_x0000_i2715" DrawAspect="Content" ObjectID="_1791376659" r:id="rId3417"/>
        </w:object>
      </w:r>
      <w:r w:rsidRPr="0026684F">
        <w:rPr>
          <w:rFonts w:eastAsiaTheme="minorEastAsia" w:hint="cs"/>
          <w:i/>
          <w:sz w:val="23"/>
          <w:szCs w:val="23"/>
          <w:rtl/>
        </w:rPr>
        <w:t xml:space="preserve"> و لذا</w:t>
      </w:r>
    </w:p>
    <w:p w14:paraId="71F94C9D" w14:textId="77777777" w:rsidR="00411620" w:rsidRPr="0026684F"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703635">
        <w:rPr>
          <w:position w:val="-30"/>
        </w:rPr>
        <w:object w:dxaOrig="4620" w:dyaOrig="760" w14:anchorId="5209A192">
          <v:shape id="_x0000_i2716" type="#_x0000_t75" style="width:231.15pt;height:38.1pt" o:ole="">
            <v:imagedata r:id="rId3418" o:title=""/>
          </v:shape>
          <o:OLEObject Type="Embed" ProgID="Equation.DSMT4" ShapeID="_x0000_i2716" DrawAspect="Content" ObjectID="_1791376660" r:id="rId3419"/>
        </w:object>
      </w:r>
      <w:r w:rsidRPr="0026684F">
        <w:rPr>
          <w:rFonts w:ascii="Times New Roman" w:hAnsi="Times New Roman" w:cs="B Nazanin"/>
          <w:i/>
          <w:sz w:val="23"/>
          <w:szCs w:val="23"/>
          <w:rtl/>
        </w:rPr>
        <w:tab/>
      </w:r>
      <w:r>
        <w:rPr>
          <w:rFonts w:ascii="Times New Roman" w:hAnsi="Times New Roman" w:cs="B Nazanin"/>
          <w:i/>
          <w:sz w:val="23"/>
          <w:szCs w:val="23"/>
          <w:rtl/>
        </w:rPr>
        <w:tab/>
      </w:r>
      <w:r>
        <w:rPr>
          <w:rFonts w:ascii="Times New Roman" w:hAnsi="Times New Roman" w:cs="B Nazanin"/>
          <w:i/>
          <w:sz w:val="23"/>
          <w:szCs w:val="23"/>
          <w:rtl/>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hint="cs"/>
          <w:i/>
          <w:sz w:val="23"/>
          <w:szCs w:val="23"/>
          <w:rtl/>
        </w:rPr>
        <w:t>(۵. ۱۳)</w:t>
      </w:r>
    </w:p>
    <w:p w14:paraId="03FD0B0A"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lastRenderedPageBreak/>
        <w:t>در این</w:t>
      </w:r>
      <w:r w:rsidRPr="0026684F">
        <w:rPr>
          <w:rFonts w:eastAsiaTheme="minorEastAsia"/>
          <w:i/>
          <w:sz w:val="23"/>
          <w:szCs w:val="23"/>
          <w:rtl/>
        </w:rPr>
        <w:softHyphen/>
      </w:r>
      <w:r w:rsidRPr="0026684F">
        <w:rPr>
          <w:rFonts w:eastAsiaTheme="minorEastAsia" w:hint="cs"/>
          <w:i/>
          <w:sz w:val="23"/>
          <w:szCs w:val="23"/>
          <w:rtl/>
        </w:rPr>
        <w:t>جا به چند نکته باید توجه نمود.</w:t>
      </w:r>
    </w:p>
    <w:p w14:paraId="1D9D369B" w14:textId="77777777" w:rsidR="00411620" w:rsidRPr="0026684F" w:rsidRDefault="00411620" w:rsidP="00411620">
      <w:pPr>
        <w:tabs>
          <w:tab w:val="left" w:pos="2840"/>
        </w:tabs>
        <w:spacing w:line="216" w:lineRule="auto"/>
        <w:rPr>
          <w:i/>
          <w:sz w:val="23"/>
          <w:szCs w:val="23"/>
          <w:rtl/>
        </w:rPr>
      </w:pPr>
      <w:r w:rsidRPr="0026684F">
        <w:rPr>
          <w:rFonts w:eastAsiaTheme="minorEastAsia" w:hint="cs"/>
          <w:bCs/>
          <w:i/>
          <w:sz w:val="23"/>
          <w:szCs w:val="23"/>
          <w:rtl/>
        </w:rPr>
        <w:t>الف:</w:t>
      </w:r>
      <w:r w:rsidRPr="0026684F">
        <w:rPr>
          <w:rFonts w:eastAsiaTheme="minorEastAsia" w:hint="cs"/>
          <w:i/>
          <w:sz w:val="23"/>
          <w:szCs w:val="23"/>
          <w:rtl/>
        </w:rPr>
        <w:t xml:space="preserve"> اگر نسبت کسری بودجه</w:t>
      </w:r>
      <w:r w:rsidRPr="0026684F">
        <w:rPr>
          <w:rFonts w:eastAsiaTheme="minorEastAsia"/>
          <w:i/>
          <w:sz w:val="23"/>
          <w:szCs w:val="23"/>
          <w:rtl/>
        </w:rPr>
        <w:softHyphen/>
      </w:r>
      <w:r w:rsidRPr="0026684F">
        <w:rPr>
          <w:rFonts w:eastAsiaTheme="minorEastAsia" w:hint="cs"/>
          <w:i/>
          <w:sz w:val="23"/>
          <w:szCs w:val="23"/>
          <w:rtl/>
        </w:rPr>
        <w:t xml:space="preserve">ی اولیه به </w:t>
      </w:r>
      <w:r w:rsidRPr="0026684F">
        <w:rPr>
          <w:rFonts w:eastAsiaTheme="minorEastAsia"/>
          <w:i/>
          <w:sz w:val="23"/>
          <w:szCs w:val="23"/>
        </w:rPr>
        <w:t>GDP</w:t>
      </w:r>
      <w:r w:rsidRPr="0026684F">
        <w:rPr>
          <w:rFonts w:eastAsiaTheme="minorEastAsia" w:hint="cs"/>
          <w:i/>
          <w:sz w:val="23"/>
          <w:szCs w:val="23"/>
          <w:rtl/>
        </w:rPr>
        <w:t xml:space="preserve"> ثابت باشد، یعنی برای هر</w:t>
      </w:r>
      <w:r w:rsidRPr="00703635">
        <w:rPr>
          <w:position w:val="-6"/>
        </w:rPr>
        <w:object w:dxaOrig="499" w:dyaOrig="260" w14:anchorId="56884D62">
          <v:shape id="_x0000_i2717" type="#_x0000_t75" style="width:24.8pt;height:13.3pt" o:ole="">
            <v:imagedata r:id="rId3420" o:title=""/>
          </v:shape>
          <o:OLEObject Type="Embed" ProgID="Equation.DSMT4" ShapeID="_x0000_i2717" DrawAspect="Content" ObjectID="_1791376661" r:id="rId3421"/>
        </w:object>
      </w:r>
      <w:r w:rsidRPr="0026684F">
        <w:rPr>
          <w:rFonts w:eastAsiaTheme="minorEastAsia" w:hint="cs"/>
          <w:i/>
          <w:sz w:val="23"/>
          <w:szCs w:val="23"/>
          <w:rtl/>
        </w:rPr>
        <w:t xml:space="preserve"> داشته باشیم</w:t>
      </w:r>
      <w:r w:rsidRPr="00703635">
        <w:rPr>
          <w:position w:val="-28"/>
        </w:rPr>
        <w:object w:dxaOrig="900" w:dyaOrig="639" w14:anchorId="460D7F4B">
          <v:shape id="_x0000_i2718" type="#_x0000_t75" style="width:45.4pt;height:32.05pt" o:ole="">
            <v:imagedata r:id="rId3422" o:title=""/>
          </v:shape>
          <o:OLEObject Type="Embed" ProgID="Equation.DSMT4" ShapeID="_x0000_i2718" DrawAspect="Content" ObjectID="_1791376662" r:id="rId3423"/>
        </w:object>
      </w:r>
      <w:r w:rsidRPr="0026684F">
        <w:rPr>
          <w:rFonts w:hint="cs"/>
          <w:i/>
          <w:sz w:val="23"/>
          <w:szCs w:val="23"/>
          <w:rtl/>
        </w:rPr>
        <w:t>، و از آن</w:t>
      </w:r>
      <w:r w:rsidRPr="0026684F">
        <w:rPr>
          <w:i/>
          <w:sz w:val="23"/>
          <w:szCs w:val="23"/>
          <w:rtl/>
        </w:rPr>
        <w:softHyphen/>
      </w:r>
      <w:r w:rsidRPr="0026684F">
        <w:rPr>
          <w:rFonts w:hint="cs"/>
          <w:i/>
          <w:sz w:val="23"/>
          <w:szCs w:val="23"/>
          <w:rtl/>
        </w:rPr>
        <w:t>جا که</w:t>
      </w:r>
      <w:r w:rsidRPr="0026684F">
        <w:rPr>
          <w:rStyle w:val="FootnoteReference"/>
          <w:rFonts w:eastAsiaTheme="minorEastAsia"/>
          <w:i/>
          <w:sz w:val="23"/>
          <w:szCs w:val="23"/>
          <w:rtl/>
        </w:rPr>
        <w:footnoteReference w:id="142"/>
      </w:r>
      <w:r w:rsidRPr="0026684F">
        <w:rPr>
          <w:rFonts w:hint="cs"/>
          <w:i/>
          <w:sz w:val="23"/>
          <w:szCs w:val="23"/>
          <w:rtl/>
        </w:rPr>
        <w:t xml:space="preserve"> </w:t>
      </w:r>
    </w:p>
    <w:p w14:paraId="3344A616" w14:textId="77777777" w:rsidR="00411620" w:rsidRPr="0026684F" w:rsidRDefault="00411620" w:rsidP="00411620">
      <w:pPr>
        <w:tabs>
          <w:tab w:val="left" w:pos="2840"/>
        </w:tabs>
        <w:bidi w:val="0"/>
        <w:spacing w:line="216" w:lineRule="auto"/>
        <w:rPr>
          <w:i/>
          <w:sz w:val="23"/>
          <w:szCs w:val="23"/>
          <w:rtl/>
        </w:rPr>
      </w:pPr>
      <w:r w:rsidRPr="00703635">
        <w:rPr>
          <w:position w:val="-30"/>
        </w:rPr>
        <w:object w:dxaOrig="4260" w:dyaOrig="760" w14:anchorId="0ED94028">
          <v:shape id="_x0000_i2719" type="#_x0000_t75" style="width:212.95pt;height:38.1pt" o:ole="">
            <v:imagedata r:id="rId3424" o:title=""/>
          </v:shape>
          <o:OLEObject Type="Embed" ProgID="Equation.DSMT4" ShapeID="_x0000_i2719" DrawAspect="Content" ObjectID="_1791376663" r:id="rId3425"/>
        </w:object>
      </w:r>
    </w:p>
    <w:p w14:paraId="6BA4624C"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آنگاه معادله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۱۳)</w:t>
      </w:r>
      <w:r w:rsidRPr="0026684F">
        <w:rPr>
          <w:rFonts w:eastAsiaTheme="minorEastAsia" w:hint="cs"/>
          <w:i/>
          <w:sz w:val="23"/>
          <w:szCs w:val="23"/>
          <w:rtl/>
        </w:rPr>
        <w:t xml:space="preserve"> برابر خواهد بود با</w:t>
      </w:r>
      <w:r w:rsidRPr="0026684F">
        <w:rPr>
          <w:rFonts w:eastAsiaTheme="minorEastAsia"/>
          <w:i/>
          <w:sz w:val="23"/>
          <w:szCs w:val="23"/>
        </w:rPr>
        <w:t xml:space="preserve"> </w:t>
      </w:r>
    </w:p>
    <w:p w14:paraId="1C5BE251" w14:textId="77777777" w:rsidR="00411620" w:rsidRPr="0026684F"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703635">
        <w:rPr>
          <w:position w:val="-30"/>
        </w:rPr>
        <w:object w:dxaOrig="4900" w:dyaOrig="660" w14:anchorId="3F7F0530">
          <v:shape id="_x0000_i2720" type="#_x0000_t75" style="width:245.05pt;height:32.65pt" o:ole="">
            <v:imagedata r:id="rId3426" o:title=""/>
          </v:shape>
          <o:OLEObject Type="Embed" ProgID="Equation.DSMT4" ShapeID="_x0000_i2720" DrawAspect="Content" ObjectID="_1791376664" r:id="rId3427"/>
        </w:object>
      </w:r>
      <w:r w:rsidRPr="0026684F">
        <w:rPr>
          <w:rFonts w:ascii="Times New Roman" w:hAnsi="Times New Roman" w:cs="B Nazanin"/>
          <w:i/>
          <w:sz w:val="23"/>
          <w:szCs w:val="23"/>
          <w:rtl/>
        </w:rPr>
        <w:tab/>
      </w:r>
      <w:r>
        <w:rPr>
          <w:rFonts w:ascii="Times New Roman" w:hAnsi="Times New Roman" w:cs="B Nazanin"/>
          <w:i/>
          <w:sz w:val="23"/>
          <w:szCs w:val="23"/>
          <w:rtl/>
        </w:rPr>
        <w:tab/>
      </w:r>
      <w:r>
        <w:rPr>
          <w:rFonts w:ascii="Times New Roman" w:hAnsi="Times New Roman" w:cs="B Nazanin"/>
          <w:i/>
          <w:sz w:val="23"/>
          <w:szCs w:val="23"/>
          <w:rtl/>
        </w:rPr>
        <w:tab/>
      </w:r>
      <w:r w:rsidRPr="0026684F">
        <w:rPr>
          <w:rFonts w:ascii="Times New Roman" w:hAnsi="Times New Roman" w:cs="B Nazanin"/>
          <w:i/>
          <w:sz w:val="23"/>
          <w:szCs w:val="23"/>
          <w:rtl/>
        </w:rPr>
        <w:tab/>
      </w:r>
      <w:r w:rsidRPr="0026684F">
        <w:rPr>
          <w:rFonts w:ascii="Times New Roman" w:hAnsi="Times New Roman" w:cs="B Nazanin" w:hint="cs"/>
          <w:i/>
          <w:sz w:val="23"/>
          <w:szCs w:val="23"/>
          <w:rtl/>
        </w:rPr>
        <w:t>(۵. ۱۴)</w:t>
      </w:r>
    </w:p>
    <w:p w14:paraId="0C05F5B3" w14:textId="77777777" w:rsidR="00411620" w:rsidRPr="0026684F" w:rsidRDefault="00411620" w:rsidP="00411620">
      <w:pPr>
        <w:tabs>
          <w:tab w:val="left" w:pos="2840"/>
        </w:tabs>
        <w:spacing w:line="216" w:lineRule="auto"/>
        <w:rPr>
          <w:rFonts w:eastAsiaTheme="minorEastAsia"/>
          <w:i/>
          <w:sz w:val="23"/>
          <w:szCs w:val="23"/>
        </w:rPr>
      </w:pPr>
      <w:r w:rsidRPr="0026684F">
        <w:rPr>
          <w:rFonts w:eastAsiaTheme="minorEastAsia" w:hint="cs"/>
          <w:i/>
          <w:sz w:val="23"/>
          <w:szCs w:val="23"/>
          <w:rtl/>
        </w:rPr>
        <w:t>لذا به ازای هر مقدار از</w:t>
      </w:r>
      <w:r w:rsidRPr="00703635">
        <w:rPr>
          <w:position w:val="-10"/>
        </w:rPr>
        <w:object w:dxaOrig="560" w:dyaOrig="320" w14:anchorId="06F6E74B">
          <v:shape id="_x0000_i2721" type="#_x0000_t75" style="width:27.85pt;height:15.75pt" o:ole="">
            <v:imagedata r:id="rId3428" o:title=""/>
          </v:shape>
          <o:OLEObject Type="Embed" ProgID="Equation.DSMT4" ShapeID="_x0000_i2721" DrawAspect="Content" ObjectID="_1791376665" r:id="rId3429"/>
        </w:object>
      </w:r>
      <w:r w:rsidRPr="0026684F">
        <w:rPr>
          <w:rFonts w:eastAsiaTheme="minorEastAsia" w:hint="cs"/>
          <w:i/>
          <w:sz w:val="23"/>
          <w:szCs w:val="23"/>
          <w:rtl/>
        </w:rPr>
        <w:t xml:space="preserve"> ( حتی اگر این نسبت همواره مثبت باشد)، آنگاه نسبت بدهی به </w:t>
      </w:r>
      <w:r w:rsidRPr="0026684F">
        <w:rPr>
          <w:rFonts w:eastAsiaTheme="minorEastAsia"/>
          <w:i/>
          <w:sz w:val="23"/>
          <w:szCs w:val="23"/>
        </w:rPr>
        <w:t>GDP</w:t>
      </w:r>
      <w:r w:rsidRPr="0026684F">
        <w:rPr>
          <w:rFonts w:eastAsiaTheme="minorEastAsia" w:hint="cs"/>
          <w:i/>
          <w:sz w:val="23"/>
          <w:szCs w:val="23"/>
          <w:rtl/>
        </w:rPr>
        <w:t xml:space="preserve"> یا</w:t>
      </w:r>
      <w:r w:rsidRPr="00703635">
        <w:rPr>
          <w:position w:val="-10"/>
        </w:rPr>
        <w:object w:dxaOrig="540" w:dyaOrig="320" w14:anchorId="4913EE74">
          <v:shape id="_x0000_i2722" type="#_x0000_t75" style="width:26.6pt;height:15.75pt" o:ole="">
            <v:imagedata r:id="rId3430" o:title=""/>
          </v:shape>
          <o:OLEObject Type="Embed" ProgID="Equation.DSMT4" ShapeID="_x0000_i2722" DrawAspect="Content" ObjectID="_1791376666" r:id="rId3431"/>
        </w:object>
      </w:r>
      <w:r w:rsidRPr="0026684F">
        <w:rPr>
          <w:rFonts w:eastAsiaTheme="minorEastAsia"/>
          <w:i/>
          <w:sz w:val="23"/>
          <w:szCs w:val="23"/>
        </w:rPr>
        <w:t xml:space="preserve"> </w:t>
      </w:r>
      <w:r w:rsidRPr="0026684F">
        <w:rPr>
          <w:rFonts w:eastAsiaTheme="minorEastAsia" w:hint="cs"/>
          <w:i/>
          <w:sz w:val="23"/>
          <w:szCs w:val="23"/>
          <w:rtl/>
        </w:rPr>
        <w:t>محدود خواهد بود و در نتیجه سیاست مالی پایدار است.</w:t>
      </w:r>
    </w:p>
    <w:p w14:paraId="5BAF9750"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bCs/>
          <w:i/>
          <w:sz w:val="23"/>
          <w:szCs w:val="23"/>
          <w:rtl/>
        </w:rPr>
        <w:t>ب:</w:t>
      </w:r>
      <w:r w:rsidRPr="0026684F">
        <w:rPr>
          <w:rFonts w:eastAsiaTheme="minorEastAsia" w:hint="cs"/>
          <w:i/>
          <w:sz w:val="23"/>
          <w:szCs w:val="23"/>
          <w:rtl/>
        </w:rPr>
        <w:t xml:space="preserve"> پایداری وضعیت مالی دولت زمانی است که نسبت بدهی دولت به </w:t>
      </w:r>
      <w:r w:rsidRPr="0026684F">
        <w:rPr>
          <w:rFonts w:eastAsiaTheme="minorEastAsia"/>
          <w:i/>
          <w:sz w:val="23"/>
          <w:szCs w:val="23"/>
        </w:rPr>
        <w:t>GDP</w:t>
      </w:r>
      <w:r w:rsidRPr="0026684F">
        <w:rPr>
          <w:rFonts w:eastAsiaTheme="minorEastAsia" w:hint="cs"/>
          <w:i/>
          <w:sz w:val="23"/>
          <w:szCs w:val="23"/>
          <w:rtl/>
        </w:rPr>
        <w:t xml:space="preserve"> ثابت باشد و مردم تمایل به خرید اوراق قرضه</w:t>
      </w:r>
      <w:r w:rsidRPr="0026684F">
        <w:rPr>
          <w:rFonts w:eastAsiaTheme="minorEastAsia"/>
          <w:i/>
          <w:sz w:val="23"/>
          <w:szCs w:val="23"/>
          <w:rtl/>
        </w:rPr>
        <w:softHyphen/>
      </w:r>
      <w:r w:rsidRPr="0026684F">
        <w:rPr>
          <w:rFonts w:eastAsiaTheme="minorEastAsia" w:hint="cs"/>
          <w:i/>
          <w:sz w:val="23"/>
          <w:szCs w:val="23"/>
          <w:rtl/>
        </w:rPr>
        <w:t xml:space="preserve">ی دولتی داشته باشند. اگر نسبت بدهی به </w:t>
      </w:r>
      <w:r w:rsidRPr="0026684F">
        <w:rPr>
          <w:rFonts w:eastAsiaTheme="minorEastAsia"/>
          <w:i/>
          <w:sz w:val="23"/>
          <w:szCs w:val="23"/>
        </w:rPr>
        <w:t>GDP</w:t>
      </w:r>
      <w:r w:rsidRPr="0026684F">
        <w:rPr>
          <w:rFonts w:eastAsiaTheme="minorEastAsia" w:hint="cs"/>
          <w:i/>
          <w:sz w:val="23"/>
          <w:szCs w:val="23"/>
          <w:rtl/>
        </w:rPr>
        <w:t xml:space="preserve"> افرایش یابد آنگاه احتمال عدم بازپرداخت بدهی دولت نیز افزایش خواهد </w:t>
      </w:r>
      <w:r w:rsidRPr="0026684F">
        <w:rPr>
          <w:rFonts w:eastAsiaTheme="minorEastAsia"/>
          <w:i/>
          <w:sz w:val="23"/>
          <w:szCs w:val="23"/>
          <w:rtl/>
        </w:rPr>
        <w:softHyphen/>
      </w:r>
      <w:r w:rsidRPr="0026684F">
        <w:rPr>
          <w:rFonts w:eastAsiaTheme="minorEastAsia" w:hint="cs"/>
          <w:i/>
          <w:sz w:val="23"/>
          <w:szCs w:val="23"/>
          <w:rtl/>
        </w:rPr>
        <w:t xml:space="preserve">یافت. بنابراین نسبت بدهی دولت به </w:t>
      </w:r>
      <w:r w:rsidRPr="0026684F">
        <w:rPr>
          <w:rFonts w:eastAsiaTheme="minorEastAsia"/>
          <w:i/>
          <w:sz w:val="23"/>
          <w:szCs w:val="23"/>
        </w:rPr>
        <w:t>GDP</w:t>
      </w:r>
      <w:r w:rsidRPr="0026684F">
        <w:rPr>
          <w:rFonts w:eastAsiaTheme="minorEastAsia" w:hint="cs"/>
          <w:i/>
          <w:sz w:val="23"/>
          <w:szCs w:val="23"/>
          <w:rtl/>
        </w:rPr>
        <w:t xml:space="preserve"> همانند آنچه در پیمان رشد و ثبات اتحادیه</w:t>
      </w:r>
      <w:r w:rsidRPr="0026684F">
        <w:rPr>
          <w:rFonts w:eastAsiaTheme="minorEastAsia"/>
          <w:i/>
          <w:sz w:val="23"/>
          <w:szCs w:val="23"/>
          <w:rtl/>
        </w:rPr>
        <w:softHyphen/>
      </w:r>
      <w:r w:rsidRPr="0026684F">
        <w:rPr>
          <w:rFonts w:eastAsiaTheme="minorEastAsia" w:hint="cs"/>
          <w:i/>
          <w:sz w:val="23"/>
          <w:szCs w:val="23"/>
          <w:rtl/>
        </w:rPr>
        <w:t>ی اروپا توافق شده است باید محدود شود. اگرچه این نسبت اختیاری است، اما ممکن است نسبت بدهی به</w:t>
      </w:r>
      <w:r w:rsidRPr="0026684F">
        <w:rPr>
          <w:rFonts w:eastAsiaTheme="minorEastAsia"/>
          <w:i/>
          <w:sz w:val="23"/>
          <w:szCs w:val="23"/>
        </w:rPr>
        <w:t>GDP</w:t>
      </w:r>
      <w:r w:rsidRPr="0026684F">
        <w:rPr>
          <w:rFonts w:eastAsiaTheme="minorEastAsia" w:hint="cs"/>
          <w:i/>
          <w:sz w:val="23"/>
          <w:szCs w:val="23"/>
          <w:rtl/>
        </w:rPr>
        <w:t xml:space="preserve"> کشوری بیش از مقدار توافقی باشد و مردم هنوز تمایل به نگهداری اوراق قرضه</w:t>
      </w:r>
      <w:r w:rsidRPr="0026684F">
        <w:rPr>
          <w:rFonts w:eastAsiaTheme="minorEastAsia"/>
          <w:i/>
          <w:sz w:val="23"/>
          <w:szCs w:val="23"/>
          <w:rtl/>
        </w:rPr>
        <w:softHyphen/>
      </w:r>
      <w:r w:rsidRPr="0026684F">
        <w:rPr>
          <w:rFonts w:eastAsiaTheme="minorEastAsia" w:hint="cs"/>
          <w:i/>
          <w:sz w:val="23"/>
          <w:szCs w:val="23"/>
          <w:rtl/>
        </w:rPr>
        <w:t xml:space="preserve">ی دولتی داشته باشند. باید توجه داشت چنانچه سیاست مالی پایدار نباشد آنگاه نسبت بدهی دولت به </w:t>
      </w:r>
      <w:r w:rsidRPr="0026684F">
        <w:rPr>
          <w:rFonts w:eastAsiaTheme="minorEastAsia"/>
          <w:i/>
          <w:sz w:val="23"/>
          <w:szCs w:val="23"/>
        </w:rPr>
        <w:t>GDP</w:t>
      </w:r>
      <w:r w:rsidRPr="0026684F">
        <w:rPr>
          <w:rFonts w:eastAsiaTheme="minorEastAsia" w:hint="cs"/>
          <w:i/>
          <w:sz w:val="23"/>
          <w:szCs w:val="23"/>
          <w:rtl/>
        </w:rPr>
        <w:t xml:space="preserve"> از حد توافقی فراتر رفته و با تکرار این سیاست ممکن است اعتبار سیاست مالی کاهش یابد. </w:t>
      </w:r>
    </w:p>
    <w:p w14:paraId="7A4CB63E"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bCs/>
          <w:i/>
          <w:sz w:val="23"/>
          <w:szCs w:val="23"/>
          <w:rtl/>
        </w:rPr>
        <w:t>ج:</w:t>
      </w:r>
      <w:r w:rsidRPr="0026684F">
        <w:rPr>
          <w:rFonts w:eastAsiaTheme="minorEastAsia" w:hint="cs"/>
          <w:i/>
          <w:sz w:val="23"/>
          <w:szCs w:val="23"/>
          <w:rtl/>
        </w:rPr>
        <w:t xml:space="preserve"> چنانچه دولت بخواهد نسبت</w:t>
      </w:r>
      <w:r w:rsidRPr="00703635">
        <w:rPr>
          <w:position w:val="-28"/>
        </w:rPr>
        <w:object w:dxaOrig="300" w:dyaOrig="639" w14:anchorId="1CAFB98D">
          <v:shape id="_x0000_i2723" type="#_x0000_t75" style="width:14.5pt;height:32.05pt" o:ole="">
            <v:imagedata r:id="rId3432" o:title=""/>
          </v:shape>
          <o:OLEObject Type="Embed" ProgID="Equation.DSMT4" ShapeID="_x0000_i2723" DrawAspect="Content" ObjectID="_1791376667" r:id="rId3433"/>
        </w:object>
      </w:r>
      <w:r w:rsidRPr="0026684F">
        <w:rPr>
          <w:rFonts w:eastAsiaTheme="minorEastAsia" w:hint="cs"/>
          <w:i/>
          <w:sz w:val="23"/>
          <w:szCs w:val="23"/>
          <w:rtl/>
        </w:rPr>
        <w:t xml:space="preserve"> و</w:t>
      </w:r>
      <w:r w:rsidRPr="00703635">
        <w:rPr>
          <w:position w:val="-28"/>
        </w:rPr>
        <w:object w:dxaOrig="320" w:dyaOrig="639" w14:anchorId="1C6E0ECC">
          <v:shape id="_x0000_i2724" type="#_x0000_t75" style="width:15.75pt;height:32.05pt" o:ole="">
            <v:imagedata r:id="rId3434" o:title=""/>
          </v:shape>
          <o:OLEObject Type="Embed" ProgID="Equation.DSMT4" ShapeID="_x0000_i2724" DrawAspect="Content" ObjectID="_1791376668" r:id="rId3435"/>
        </w:object>
      </w:r>
      <w:r w:rsidRPr="0026684F">
        <w:rPr>
          <w:rFonts w:eastAsiaTheme="minorEastAsia" w:hint="cs"/>
          <w:i/>
          <w:sz w:val="23"/>
          <w:szCs w:val="23"/>
          <w:rtl/>
        </w:rPr>
        <w:t xml:space="preserve"> را برای همیشه ثابت نگهدارد و یا برای مثال در زمان </w:t>
      </w:r>
      <w:proofErr w:type="spellStart"/>
      <w:r w:rsidRPr="0026684F">
        <w:rPr>
          <w:rFonts w:eastAsiaTheme="minorEastAsia"/>
          <w:i/>
          <w:sz w:val="23"/>
          <w:szCs w:val="23"/>
        </w:rPr>
        <w:t>t+n</w:t>
      </w:r>
      <w:proofErr w:type="spellEnd"/>
      <w:r w:rsidRPr="0026684F">
        <w:rPr>
          <w:rFonts w:eastAsiaTheme="minorEastAsia" w:hint="cs"/>
          <w:i/>
          <w:sz w:val="23"/>
          <w:szCs w:val="23"/>
          <w:rtl/>
        </w:rPr>
        <w:t xml:space="preserve">، نسبت بدهی به </w:t>
      </w:r>
      <w:r w:rsidRPr="0026684F">
        <w:rPr>
          <w:rFonts w:eastAsiaTheme="minorEastAsia"/>
          <w:i/>
          <w:sz w:val="23"/>
          <w:szCs w:val="23"/>
        </w:rPr>
        <w:t>GDP</w:t>
      </w:r>
      <w:r w:rsidRPr="0026684F">
        <w:rPr>
          <w:rFonts w:eastAsiaTheme="minorEastAsia" w:hint="cs"/>
          <w:i/>
          <w:sz w:val="23"/>
          <w:szCs w:val="23"/>
          <w:rtl/>
        </w:rPr>
        <w:t xml:space="preserve"> برابر با</w:t>
      </w:r>
      <w:r w:rsidRPr="00703635">
        <w:rPr>
          <w:position w:val="-28"/>
        </w:rPr>
        <w:object w:dxaOrig="300" w:dyaOrig="639" w14:anchorId="453A60E8">
          <v:shape id="_x0000_i2725" type="#_x0000_t75" style="width:14.5pt;height:32.05pt" o:ole="">
            <v:imagedata r:id="rId3436" o:title=""/>
          </v:shape>
          <o:OLEObject Type="Embed" ProgID="Equation.DSMT4" ShapeID="_x0000_i2725" DrawAspect="Content" ObjectID="_1791376669" r:id="rId3437"/>
        </w:object>
      </w:r>
      <w:r w:rsidRPr="0026684F">
        <w:rPr>
          <w:rFonts w:eastAsiaTheme="minorEastAsia" w:hint="cs"/>
          <w:i/>
          <w:sz w:val="23"/>
          <w:szCs w:val="23"/>
          <w:rtl/>
        </w:rPr>
        <w:t xml:space="preserve"> باشد آنگاه شرط پایداری در رابطه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۱۴)</w:t>
      </w:r>
      <w:r w:rsidRPr="0026684F">
        <w:rPr>
          <w:rFonts w:eastAsiaTheme="minorEastAsia" w:hint="cs"/>
          <w:i/>
          <w:sz w:val="23"/>
          <w:szCs w:val="23"/>
          <w:rtl/>
        </w:rPr>
        <w:t xml:space="preserve"> ایجاب می</w:t>
      </w:r>
      <w:r w:rsidRPr="0026684F">
        <w:rPr>
          <w:rFonts w:eastAsiaTheme="minorEastAsia"/>
          <w:i/>
          <w:sz w:val="23"/>
          <w:szCs w:val="23"/>
          <w:rtl/>
        </w:rPr>
        <w:softHyphen/>
      </w:r>
      <w:r w:rsidRPr="0026684F">
        <w:rPr>
          <w:rFonts w:eastAsiaTheme="minorEastAsia" w:hint="cs"/>
          <w:i/>
          <w:sz w:val="23"/>
          <w:szCs w:val="23"/>
          <w:rtl/>
        </w:rPr>
        <w:t xml:space="preserve">کند که </w:t>
      </w:r>
    </w:p>
    <w:p w14:paraId="6BF87516" w14:textId="77777777" w:rsidR="00411620" w:rsidRPr="0026684F"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703635">
        <w:rPr>
          <w:position w:val="-30"/>
        </w:rPr>
        <w:object w:dxaOrig="1760" w:dyaOrig="660" w14:anchorId="6BA471FB">
          <v:shape id="_x0000_i2726" type="#_x0000_t75" style="width:87.75pt;height:32.65pt" o:ole="">
            <v:imagedata r:id="rId3438" o:title=""/>
          </v:shape>
          <o:OLEObject Type="Embed" ProgID="Equation.DSMT4" ShapeID="_x0000_i2726" DrawAspect="Content" ObjectID="_1791376670" r:id="rId3439"/>
        </w:object>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Pr>
          <w:rFonts w:ascii="Times New Roman" w:hAnsi="Times New Roman" w:cs="B Nazanin"/>
          <w:i/>
          <w:sz w:val="23"/>
          <w:szCs w:val="23"/>
          <w:rtl/>
        </w:rPr>
        <w:tab/>
      </w:r>
      <w:r w:rsidRPr="0026684F">
        <w:rPr>
          <w:rFonts w:ascii="Times New Roman" w:hAnsi="Times New Roman" w:cs="B Nazanin"/>
          <w:i/>
          <w:sz w:val="23"/>
          <w:szCs w:val="23"/>
        </w:rPr>
        <w:tab/>
      </w:r>
      <w:r w:rsidRPr="0026684F">
        <w:rPr>
          <w:rFonts w:ascii="Times New Roman" w:hAnsi="Times New Roman" w:cs="B Nazanin"/>
          <w:i/>
          <w:sz w:val="23"/>
          <w:szCs w:val="23"/>
          <w:rtl/>
        </w:rPr>
        <w:tab/>
      </w:r>
      <w:r w:rsidRPr="0026684F">
        <w:rPr>
          <w:rFonts w:ascii="Times New Roman" w:hAnsi="Times New Roman" w:cs="B Nazanin"/>
          <w:i/>
          <w:sz w:val="23"/>
          <w:szCs w:val="23"/>
          <w:rtl/>
        </w:rPr>
        <w:tab/>
      </w:r>
      <w:r w:rsidRPr="0026684F">
        <w:rPr>
          <w:rFonts w:ascii="Times New Roman" w:hAnsi="Times New Roman" w:cs="B Nazanin" w:hint="cs"/>
          <w:i/>
          <w:sz w:val="23"/>
          <w:szCs w:val="23"/>
          <w:rtl/>
        </w:rPr>
        <w:t>(۵. ۱۵)</w:t>
      </w:r>
    </w:p>
    <w:p w14:paraId="35B0C3E8"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lastRenderedPageBreak/>
        <w:t>لذا رابطه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۱۴)</w:t>
      </w:r>
      <w:r w:rsidRPr="0026684F">
        <w:rPr>
          <w:rFonts w:eastAsiaTheme="minorEastAsia" w:hint="cs"/>
          <w:i/>
          <w:sz w:val="23"/>
          <w:szCs w:val="23"/>
          <w:rtl/>
        </w:rPr>
        <w:t xml:space="preserve"> یا شرط پایداری به نابرابری فوق تبدیل می</w:t>
      </w:r>
      <w:r w:rsidRPr="0026684F">
        <w:rPr>
          <w:rFonts w:eastAsiaTheme="minorEastAsia"/>
          <w:i/>
          <w:sz w:val="23"/>
          <w:szCs w:val="23"/>
          <w:rtl/>
        </w:rPr>
        <w:softHyphen/>
      </w:r>
      <w:r w:rsidRPr="0026684F">
        <w:rPr>
          <w:rFonts w:eastAsiaTheme="minorEastAsia" w:hint="cs"/>
          <w:i/>
          <w:sz w:val="23"/>
          <w:szCs w:val="23"/>
          <w:rtl/>
        </w:rPr>
        <w:t>شود، و پایداری وضع مالی با توجه به مقادیر مختلف نسبت</w:t>
      </w:r>
      <w:r w:rsidRPr="0026684F">
        <w:rPr>
          <w:rFonts w:eastAsiaTheme="minorEastAsia"/>
          <w:i/>
          <w:sz w:val="23"/>
          <w:szCs w:val="23"/>
          <w:rtl/>
        </w:rPr>
        <w:softHyphen/>
      </w:r>
      <w:r w:rsidRPr="0026684F">
        <w:rPr>
          <w:rFonts w:eastAsiaTheme="minorEastAsia" w:hint="cs"/>
          <w:i/>
          <w:sz w:val="23"/>
          <w:szCs w:val="23"/>
          <w:rtl/>
        </w:rPr>
        <w:t>های</w:t>
      </w:r>
      <w:r w:rsidRPr="00703635">
        <w:rPr>
          <w:position w:val="-28"/>
        </w:rPr>
        <w:object w:dxaOrig="300" w:dyaOrig="639" w14:anchorId="1EB591E3">
          <v:shape id="_x0000_i2727" type="#_x0000_t75" style="width:14.5pt;height:32.05pt" o:ole="">
            <v:imagedata r:id="rId3440" o:title=""/>
          </v:shape>
          <o:OLEObject Type="Embed" ProgID="Equation.DSMT4" ShapeID="_x0000_i2727" DrawAspect="Content" ObjectID="_1791376671" r:id="rId3441"/>
        </w:object>
      </w:r>
      <w:r w:rsidRPr="0026684F">
        <w:rPr>
          <w:rFonts w:eastAsiaTheme="minorEastAsia" w:hint="cs"/>
          <w:i/>
          <w:sz w:val="23"/>
          <w:szCs w:val="23"/>
          <w:rtl/>
        </w:rPr>
        <w:t xml:space="preserve"> و</w:t>
      </w:r>
      <w:r w:rsidRPr="00703635">
        <w:rPr>
          <w:position w:val="-28"/>
        </w:rPr>
        <w:object w:dxaOrig="300" w:dyaOrig="639" w14:anchorId="36AA73ED">
          <v:shape id="_x0000_i2728" type="#_x0000_t75" style="width:14.5pt;height:32.05pt" o:ole="">
            <v:imagedata r:id="rId3442" o:title=""/>
          </v:shape>
          <o:OLEObject Type="Embed" ProgID="Equation.DSMT4" ShapeID="_x0000_i2728" DrawAspect="Content" ObjectID="_1791376672" r:id="rId3443"/>
        </w:object>
      </w:r>
      <w:r w:rsidRPr="0026684F">
        <w:rPr>
          <w:rFonts w:eastAsiaTheme="minorEastAsia" w:hint="cs"/>
          <w:i/>
          <w:sz w:val="23"/>
          <w:szCs w:val="23"/>
          <w:rtl/>
        </w:rPr>
        <w:t xml:space="preserve"> برقرار می</w:t>
      </w:r>
      <w:r w:rsidRPr="0026684F">
        <w:rPr>
          <w:rFonts w:eastAsiaTheme="minorEastAsia"/>
          <w:i/>
          <w:sz w:val="23"/>
          <w:szCs w:val="23"/>
          <w:rtl/>
        </w:rPr>
        <w:softHyphen/>
      </w:r>
      <w:r w:rsidRPr="0026684F">
        <w:rPr>
          <w:rFonts w:eastAsiaTheme="minorEastAsia" w:hint="cs"/>
          <w:i/>
          <w:sz w:val="23"/>
          <w:szCs w:val="23"/>
          <w:rtl/>
        </w:rPr>
        <w:t>شود مشروط بر آنکه رابطه</w:t>
      </w:r>
      <w:r w:rsidRPr="0026684F">
        <w:rPr>
          <w:rFonts w:eastAsiaTheme="minorEastAsia"/>
          <w:i/>
          <w:sz w:val="23"/>
          <w:szCs w:val="23"/>
          <w:rtl/>
        </w:rPr>
        <w:softHyphen/>
      </w:r>
      <w:r w:rsidRPr="0026684F">
        <w:rPr>
          <w:rFonts w:eastAsiaTheme="minorEastAsia" w:hint="cs"/>
          <w:i/>
          <w:sz w:val="23"/>
          <w:szCs w:val="23"/>
          <w:rtl/>
        </w:rPr>
        <w:t>ی فوق برقرار باشد.</w:t>
      </w:r>
    </w:p>
    <w:p w14:paraId="595858F2" w14:textId="77777777" w:rsidR="00411620" w:rsidRPr="0026684F" w:rsidRDefault="00411620" w:rsidP="00411620">
      <w:pPr>
        <w:tabs>
          <w:tab w:val="left" w:pos="2840"/>
        </w:tabs>
        <w:spacing w:line="216" w:lineRule="auto"/>
        <w:rPr>
          <w:rFonts w:eastAsiaTheme="minorEastAsia"/>
          <w:i/>
          <w:sz w:val="23"/>
          <w:szCs w:val="23"/>
        </w:rPr>
      </w:pPr>
      <w:r w:rsidRPr="0026684F">
        <w:rPr>
          <w:rFonts w:eastAsiaTheme="minorEastAsia" w:hint="cs"/>
          <w:bCs/>
          <w:i/>
          <w:sz w:val="23"/>
          <w:szCs w:val="23"/>
          <w:rtl/>
        </w:rPr>
        <w:t>د:</w:t>
      </w:r>
      <w:r w:rsidRPr="0026684F">
        <w:rPr>
          <w:rFonts w:eastAsiaTheme="minorEastAsia" w:hint="cs"/>
          <w:i/>
          <w:sz w:val="23"/>
          <w:szCs w:val="23"/>
          <w:rtl/>
        </w:rPr>
        <w:t xml:space="preserve"> اگر قید بودجه</w:t>
      </w:r>
      <w:r w:rsidRPr="0026684F">
        <w:rPr>
          <w:rFonts w:eastAsiaTheme="minorEastAsia"/>
          <w:i/>
          <w:sz w:val="23"/>
          <w:szCs w:val="23"/>
          <w:rtl/>
        </w:rPr>
        <w:softHyphen/>
      </w:r>
      <w:r w:rsidRPr="0026684F">
        <w:rPr>
          <w:rFonts w:eastAsiaTheme="minorEastAsia" w:hint="cs"/>
          <w:i/>
          <w:sz w:val="23"/>
          <w:szCs w:val="23"/>
          <w:rtl/>
        </w:rPr>
        <w:t>ی دولت یا رابطه</w:t>
      </w:r>
      <w:r w:rsidRPr="0026684F">
        <w:rPr>
          <w:rFonts w:eastAsiaTheme="minorEastAsia"/>
          <w:i/>
          <w:sz w:val="23"/>
          <w:szCs w:val="23"/>
          <w:rtl/>
        </w:rPr>
        <w:softHyphen/>
      </w:r>
      <w:r w:rsidRPr="0026684F">
        <w:rPr>
          <w:rFonts w:eastAsiaTheme="minorEastAsia" w:hint="cs"/>
          <w:i/>
          <w:sz w:val="23"/>
          <w:szCs w:val="23"/>
          <w:rtl/>
        </w:rPr>
        <w:t>ی</w:t>
      </w:r>
      <w:r w:rsidRPr="0026684F">
        <w:rPr>
          <w:rFonts w:hint="cs"/>
          <w:i/>
          <w:sz w:val="23"/>
          <w:szCs w:val="23"/>
          <w:rtl/>
        </w:rPr>
        <w:t xml:space="preserve"> (۵. ۱۱)</w:t>
      </w:r>
      <w:r w:rsidRPr="0026684F">
        <w:rPr>
          <w:rFonts w:eastAsiaTheme="minorEastAsia" w:hint="cs"/>
          <w:i/>
          <w:sz w:val="23"/>
          <w:szCs w:val="23"/>
          <w:rtl/>
        </w:rPr>
        <w:t xml:space="preserve"> را بازنویسی کنیم خواهیم داشت</w:t>
      </w:r>
    </w:p>
    <w:p w14:paraId="2D592890"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30"/>
        </w:rPr>
        <w:object w:dxaOrig="3720" w:dyaOrig="660" w14:anchorId="442E295C">
          <v:shape id="_x0000_i2729" type="#_x0000_t75" style="width:185.75pt;height:32.65pt" o:ole="">
            <v:imagedata r:id="rId3444" o:title=""/>
          </v:shape>
          <o:OLEObject Type="Embed" ProgID="Equation.DSMT4" ShapeID="_x0000_i2729" DrawAspect="Content" ObjectID="_1791376673" r:id="rId3445"/>
        </w:object>
      </w:r>
    </w:p>
    <w:p w14:paraId="5075DE53"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28"/>
        </w:rPr>
        <w:object w:dxaOrig="3820" w:dyaOrig="639" w14:anchorId="39F5753B">
          <v:shape id="_x0000_i2730" type="#_x0000_t75" style="width:191.2pt;height:32.05pt" o:ole="">
            <v:imagedata r:id="rId3446" o:title=""/>
          </v:shape>
          <o:OLEObject Type="Embed" ProgID="Equation.DSMT4" ShapeID="_x0000_i2730" DrawAspect="Content" ObjectID="_1791376674" r:id="rId3447"/>
        </w:object>
      </w:r>
    </w:p>
    <w:p w14:paraId="54DEF0F7"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Pr>
        <w:t xml:space="preserve"> </w:t>
      </w:r>
      <w:r w:rsidRPr="0026684F">
        <w:rPr>
          <w:rFonts w:eastAsiaTheme="minorEastAsia" w:hint="cs"/>
          <w:i/>
          <w:sz w:val="23"/>
          <w:szCs w:val="23"/>
          <w:rtl/>
        </w:rPr>
        <w:t>اگر از طرفین رابطه</w:t>
      </w:r>
      <w:r w:rsidRPr="0026684F">
        <w:rPr>
          <w:rFonts w:eastAsiaTheme="minorEastAsia"/>
          <w:i/>
          <w:sz w:val="23"/>
          <w:szCs w:val="23"/>
          <w:rtl/>
        </w:rPr>
        <w:softHyphen/>
      </w:r>
      <w:r w:rsidRPr="0026684F">
        <w:rPr>
          <w:rFonts w:eastAsiaTheme="minorEastAsia" w:hint="cs"/>
          <w:i/>
          <w:sz w:val="23"/>
          <w:szCs w:val="23"/>
          <w:rtl/>
        </w:rPr>
        <w:t xml:space="preserve">ی فوق، مقدار </w:t>
      </w:r>
      <w:r w:rsidRPr="00703635">
        <w:rPr>
          <w:position w:val="-28"/>
        </w:rPr>
        <w:object w:dxaOrig="1480" w:dyaOrig="639" w14:anchorId="189F24DD">
          <v:shape id="_x0000_i2731" type="#_x0000_t75" style="width:73.8pt;height:32.05pt" o:ole="">
            <v:imagedata r:id="rId3448" o:title=""/>
          </v:shape>
          <o:OLEObject Type="Embed" ProgID="Equation.DSMT4" ShapeID="_x0000_i2731" DrawAspect="Content" ObjectID="_1791376675" r:id="rId3449"/>
        </w:object>
      </w:r>
      <w:r w:rsidRPr="0026684F">
        <w:rPr>
          <w:rFonts w:eastAsiaTheme="minorEastAsia" w:hint="cs"/>
          <w:i/>
          <w:sz w:val="23"/>
          <w:szCs w:val="23"/>
        </w:rPr>
        <w:t xml:space="preserve"> </w:t>
      </w:r>
      <w:r w:rsidRPr="0026684F">
        <w:rPr>
          <w:rFonts w:eastAsiaTheme="minorEastAsia" w:hint="cs"/>
          <w:i/>
          <w:sz w:val="23"/>
          <w:szCs w:val="23"/>
          <w:rtl/>
        </w:rPr>
        <w:t>را کم کنیم خواهیم داشت</w:t>
      </w:r>
    </w:p>
    <w:p w14:paraId="07CF1345"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30"/>
        </w:rPr>
        <w:object w:dxaOrig="3820" w:dyaOrig="700" w14:anchorId="2C55F041">
          <v:shape id="_x0000_i2732" type="#_x0000_t75" style="width:191.2pt;height:35.1pt" o:ole="">
            <v:imagedata r:id="rId3450" o:title=""/>
          </v:shape>
          <o:OLEObject Type="Embed" ProgID="Equation.DSMT4" ShapeID="_x0000_i2732" DrawAspect="Content" ObjectID="_1791376676" r:id="rId3451"/>
        </w:object>
      </w:r>
    </w:p>
    <w:p w14:paraId="2E22E1E2"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 xml:space="preserve"> چنانچه نسبت بدهی دولت به </w:t>
      </w:r>
      <w:r w:rsidRPr="0026684F">
        <w:rPr>
          <w:rFonts w:eastAsiaTheme="minorEastAsia"/>
          <w:i/>
          <w:sz w:val="23"/>
          <w:szCs w:val="23"/>
        </w:rPr>
        <w:t>GDP</w:t>
      </w:r>
      <w:r w:rsidRPr="0026684F">
        <w:rPr>
          <w:rFonts w:eastAsiaTheme="minorEastAsia" w:hint="cs"/>
          <w:i/>
          <w:sz w:val="23"/>
          <w:szCs w:val="23"/>
          <w:rtl/>
        </w:rPr>
        <w:t xml:space="preserve"> ثابت باشد آنگاه </w:t>
      </w:r>
      <w:r w:rsidRPr="00703635">
        <w:rPr>
          <w:position w:val="-30"/>
        </w:rPr>
        <w:object w:dxaOrig="1120" w:dyaOrig="700" w14:anchorId="77EEA967">
          <v:shape id="_x0000_i2733" type="#_x0000_t75" style="width:56.25pt;height:35.1pt" o:ole="">
            <v:imagedata r:id="rId3452" o:title=""/>
          </v:shape>
          <o:OLEObject Type="Embed" ProgID="Equation.DSMT4" ShapeID="_x0000_i2733" DrawAspect="Content" ObjectID="_1791376677" r:id="rId3453"/>
        </w:object>
      </w:r>
      <w:r w:rsidRPr="0026684F">
        <w:rPr>
          <w:rFonts w:eastAsiaTheme="minorEastAsia" w:hint="cs"/>
          <w:i/>
          <w:sz w:val="23"/>
          <w:szCs w:val="23"/>
          <w:rtl/>
        </w:rPr>
        <w:t xml:space="preserve"> است، و لذا </w:t>
      </w:r>
    </w:p>
    <w:p w14:paraId="0B406E33"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30"/>
        </w:rPr>
        <w:object w:dxaOrig="4239" w:dyaOrig="660" w14:anchorId="19E5D2AD">
          <v:shape id="_x0000_i2734" type="#_x0000_t75" style="width:211.75pt;height:32.65pt" o:ole="">
            <v:imagedata r:id="rId3454" o:title=""/>
          </v:shape>
          <o:OLEObject Type="Embed" ProgID="Equation.DSMT4" ShapeID="_x0000_i2734" DrawAspect="Content" ObjectID="_1791376678" r:id="rId3455"/>
        </w:object>
      </w:r>
    </w:p>
    <w:p w14:paraId="41D05EDD"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p>
    <w:p w14:paraId="71D410EF"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در این</w:t>
      </w:r>
      <w:r w:rsidRPr="0026684F">
        <w:rPr>
          <w:rFonts w:eastAsiaTheme="minorEastAsia"/>
          <w:i/>
          <w:sz w:val="23"/>
          <w:szCs w:val="23"/>
          <w:rtl/>
        </w:rPr>
        <w:softHyphen/>
      </w:r>
      <w:r w:rsidRPr="0026684F">
        <w:rPr>
          <w:rFonts w:eastAsiaTheme="minorEastAsia" w:hint="cs"/>
          <w:i/>
          <w:sz w:val="23"/>
          <w:szCs w:val="23"/>
          <w:rtl/>
        </w:rPr>
        <w:t>صورت نیز وضعیت مالی دولت پایدار خواهد بود.</w:t>
      </w:r>
    </w:p>
    <w:p w14:paraId="6F9A9A0E"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bCs/>
          <w:i/>
          <w:sz w:val="23"/>
          <w:szCs w:val="23"/>
          <w:rtl/>
        </w:rPr>
        <w:t>ه:</w:t>
      </w:r>
      <w:r w:rsidRPr="0026684F">
        <w:rPr>
          <w:rFonts w:eastAsiaTheme="minorEastAsia" w:hint="cs"/>
          <w:i/>
          <w:sz w:val="23"/>
          <w:szCs w:val="23"/>
          <w:rtl/>
        </w:rPr>
        <w:t xml:space="preserve"> پایداری وضعیت مالی دولت ممکن است نه فقط بر اساس کسری بودجه</w:t>
      </w:r>
      <w:r w:rsidRPr="0026684F">
        <w:rPr>
          <w:rFonts w:eastAsiaTheme="minorEastAsia"/>
          <w:i/>
          <w:sz w:val="23"/>
          <w:szCs w:val="23"/>
          <w:rtl/>
        </w:rPr>
        <w:softHyphen/>
      </w:r>
      <w:r w:rsidRPr="0026684F">
        <w:rPr>
          <w:rFonts w:eastAsiaTheme="minorEastAsia" w:hint="cs"/>
          <w:i/>
          <w:sz w:val="23"/>
          <w:szCs w:val="23"/>
          <w:rtl/>
        </w:rPr>
        <w:t>ی اولیه دائمی بلکه بر حسب کسری بودجه</w:t>
      </w:r>
      <w:r w:rsidRPr="0026684F">
        <w:rPr>
          <w:rFonts w:eastAsiaTheme="minorEastAsia"/>
          <w:i/>
          <w:sz w:val="23"/>
          <w:szCs w:val="23"/>
          <w:rtl/>
        </w:rPr>
        <w:softHyphen/>
      </w:r>
      <w:r w:rsidRPr="0026684F">
        <w:rPr>
          <w:rFonts w:eastAsiaTheme="minorEastAsia" w:hint="cs"/>
          <w:i/>
          <w:sz w:val="23"/>
          <w:szCs w:val="23"/>
          <w:rtl/>
        </w:rPr>
        <w:t>ی کل دائمی نیز برقرار باشد. همان</w:t>
      </w:r>
      <w:r w:rsidRPr="0026684F">
        <w:rPr>
          <w:rFonts w:eastAsiaTheme="minorEastAsia"/>
          <w:i/>
          <w:sz w:val="23"/>
          <w:szCs w:val="23"/>
          <w:rtl/>
        </w:rPr>
        <w:softHyphen/>
      </w:r>
      <w:r w:rsidRPr="0026684F">
        <w:rPr>
          <w:rFonts w:eastAsiaTheme="minorEastAsia" w:hint="cs"/>
          <w:i/>
          <w:sz w:val="23"/>
          <w:szCs w:val="23"/>
          <w:rtl/>
        </w:rPr>
        <w:t>گونه که قبلاَ داشتیم</w:t>
      </w:r>
    </w:p>
    <w:p w14:paraId="19150765"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28"/>
        </w:rPr>
        <w:object w:dxaOrig="3400" w:dyaOrig="639" w14:anchorId="20CFECE0">
          <v:shape id="_x0000_i2735" type="#_x0000_t75" style="width:170pt;height:32.05pt" o:ole="">
            <v:imagedata r:id="rId3456" o:title=""/>
          </v:shape>
          <o:OLEObject Type="Embed" ProgID="Equation.DSMT4" ShapeID="_x0000_i2735" DrawAspect="Content" ObjectID="_1791376679" r:id="rId3457"/>
        </w:object>
      </w:r>
    </w:p>
    <w:p w14:paraId="56C96E5A"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 xml:space="preserve">و چون </w:t>
      </w:r>
    </w:p>
    <w:p w14:paraId="089B6989"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30"/>
        </w:rPr>
        <w:object w:dxaOrig="1760" w:dyaOrig="660" w14:anchorId="63BEFF6D">
          <v:shape id="_x0000_i2736" type="#_x0000_t75" style="width:87.75pt;height:32.65pt" o:ole="">
            <v:imagedata r:id="rId3458" o:title=""/>
          </v:shape>
          <o:OLEObject Type="Embed" ProgID="Equation.DSMT4" ShapeID="_x0000_i2736" DrawAspect="Content" ObjectID="_1791376680" r:id="rId3459"/>
        </w:object>
      </w:r>
    </w:p>
    <w:p w14:paraId="4D2C6364" w14:textId="77777777" w:rsidR="00411620" w:rsidRPr="0026684F" w:rsidRDefault="00411620" w:rsidP="00411620">
      <w:pPr>
        <w:tabs>
          <w:tab w:val="left" w:pos="2840"/>
        </w:tabs>
        <w:spacing w:line="216" w:lineRule="auto"/>
        <w:rPr>
          <w:rFonts w:eastAsiaTheme="minorEastAsia"/>
          <w:i/>
          <w:sz w:val="23"/>
          <w:szCs w:val="23"/>
        </w:rPr>
      </w:pPr>
      <w:r w:rsidRPr="0026684F">
        <w:rPr>
          <w:rFonts w:eastAsiaTheme="minorEastAsia" w:hint="cs"/>
          <w:i/>
          <w:sz w:val="23"/>
          <w:szCs w:val="23"/>
          <w:rtl/>
        </w:rPr>
        <w:t>بنابراین</w:t>
      </w:r>
    </w:p>
    <w:p w14:paraId="3AEDDD21"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30"/>
        </w:rPr>
        <w:object w:dxaOrig="2620" w:dyaOrig="700" w14:anchorId="3159DF53">
          <v:shape id="_x0000_i2737" type="#_x0000_t75" style="width:130.7pt;height:35.1pt" o:ole="">
            <v:imagedata r:id="rId3460" o:title=""/>
          </v:shape>
          <o:OLEObject Type="Embed" ProgID="Equation.DSMT4" ShapeID="_x0000_i2737" DrawAspect="Content" ObjectID="_1791376681" r:id="rId3461"/>
        </w:object>
      </w:r>
    </w:p>
    <w:p w14:paraId="524900BF"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28"/>
        </w:rPr>
        <w:object w:dxaOrig="2460" w:dyaOrig="639" w14:anchorId="5FD94E1D">
          <v:shape id="_x0000_i2738" type="#_x0000_t75" style="width:122.8pt;height:32.05pt" o:ole="">
            <v:imagedata r:id="rId3462" o:title=""/>
          </v:shape>
          <o:OLEObject Type="Embed" ProgID="Equation.DSMT4" ShapeID="_x0000_i2738" DrawAspect="Content" ObjectID="_1791376682" r:id="rId3463"/>
        </w:object>
      </w:r>
    </w:p>
    <w:p w14:paraId="55AE7D59" w14:textId="77777777" w:rsidR="00411620" w:rsidRPr="0026684F" w:rsidRDefault="00411620" w:rsidP="00411620">
      <w:pPr>
        <w:pStyle w:val="MTDisplayEquation"/>
        <w:tabs>
          <w:tab w:val="clear" w:pos="6660"/>
        </w:tabs>
        <w:spacing w:line="216" w:lineRule="auto"/>
        <w:rPr>
          <w:rFonts w:ascii="Times New Roman" w:eastAsiaTheme="minorEastAsia" w:hAnsi="Times New Roman" w:cs="B Nazanin"/>
          <w:i/>
          <w:sz w:val="23"/>
          <w:szCs w:val="23"/>
          <w:rtl/>
        </w:rPr>
      </w:pPr>
      <w:r w:rsidRPr="00703635">
        <w:rPr>
          <w:position w:val="-30"/>
        </w:rPr>
        <w:object w:dxaOrig="2100" w:dyaOrig="660" w14:anchorId="2E969C02">
          <v:shape id="_x0000_i2739" type="#_x0000_t75" style="width:105.3pt;height:32.65pt" o:ole="">
            <v:imagedata r:id="rId3464" o:title=""/>
          </v:shape>
          <o:OLEObject Type="Embed" ProgID="Equation.DSMT4" ShapeID="_x0000_i2739" DrawAspect="Content" ObjectID="_1791376683" r:id="rId3465"/>
        </w:object>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Pr>
          <w:rFonts w:ascii="Times New Roman" w:hAnsi="Times New Roman" w:cs="B Nazanin"/>
          <w:i/>
          <w:sz w:val="23"/>
          <w:szCs w:val="23"/>
          <w:rtl/>
        </w:rPr>
        <w:tab/>
      </w:r>
      <w:r w:rsidRPr="0026684F">
        <w:rPr>
          <w:rFonts w:ascii="Times New Roman" w:hAnsi="Times New Roman" w:cs="B Nazanin"/>
          <w:i/>
          <w:sz w:val="23"/>
          <w:szCs w:val="23"/>
        </w:rPr>
        <w:tab/>
      </w:r>
      <w:r w:rsidRPr="0026684F">
        <w:rPr>
          <w:rFonts w:ascii="Times New Roman" w:hAnsi="Times New Roman" w:cs="B Nazanin"/>
          <w:i/>
          <w:sz w:val="23"/>
          <w:szCs w:val="23"/>
          <w:rtl/>
        </w:rPr>
        <w:tab/>
      </w:r>
      <w:r w:rsidRPr="0026684F">
        <w:rPr>
          <w:rFonts w:ascii="Times New Roman" w:hAnsi="Times New Roman" w:cs="B Nazanin"/>
          <w:i/>
          <w:sz w:val="23"/>
          <w:szCs w:val="23"/>
          <w:rtl/>
        </w:rPr>
        <w:tab/>
      </w:r>
      <w:r w:rsidRPr="0026684F">
        <w:rPr>
          <w:rFonts w:ascii="Times New Roman" w:hAnsi="Times New Roman" w:cs="B Nazanin" w:hint="cs"/>
          <w:i/>
          <w:sz w:val="23"/>
          <w:szCs w:val="23"/>
          <w:rtl/>
        </w:rPr>
        <w:t>(۵. ۱۶)</w:t>
      </w:r>
    </w:p>
    <w:p w14:paraId="220B90A2"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lastRenderedPageBreak/>
        <w:t>بنابراین با مقادیر</w:t>
      </w:r>
      <w:r w:rsidRPr="00703635">
        <w:rPr>
          <w:position w:val="-10"/>
        </w:rPr>
        <w:object w:dxaOrig="639" w:dyaOrig="320" w14:anchorId="62EBBAA9">
          <v:shape id="_x0000_i2740" type="#_x0000_t75" style="width:32.05pt;height:15.75pt" o:ole="">
            <v:imagedata r:id="rId3466" o:title=""/>
          </v:shape>
          <o:OLEObject Type="Embed" ProgID="Equation.DSMT4" ShapeID="_x0000_i2740" DrawAspect="Content" ObjectID="_1791376684" r:id="rId3467"/>
        </w:object>
      </w:r>
      <w:r w:rsidRPr="0026684F">
        <w:rPr>
          <w:rFonts w:eastAsiaTheme="minorEastAsia"/>
          <w:i/>
          <w:sz w:val="23"/>
          <w:szCs w:val="23"/>
        </w:rPr>
        <w:t xml:space="preserve"> </w:t>
      </w:r>
      <w:r w:rsidRPr="0026684F">
        <w:rPr>
          <w:rFonts w:eastAsiaTheme="minorEastAsia" w:hint="cs"/>
          <w:i/>
          <w:sz w:val="23"/>
          <w:szCs w:val="23"/>
          <w:rtl/>
        </w:rPr>
        <w:t>نیز ممکن است وضعیت مالی دولت پایدار باشد مشروط برآنکه شرط فوق برقرار باشد.</w:t>
      </w:r>
    </w:p>
    <w:p w14:paraId="30B84D67" w14:textId="77777777" w:rsidR="00411620" w:rsidRPr="0026684F" w:rsidRDefault="00411620" w:rsidP="00411620">
      <w:pPr>
        <w:tabs>
          <w:tab w:val="left" w:pos="2840"/>
        </w:tabs>
        <w:spacing w:line="216" w:lineRule="auto"/>
        <w:rPr>
          <w:rFonts w:eastAsiaTheme="minorEastAsia"/>
          <w:i/>
          <w:sz w:val="23"/>
          <w:szCs w:val="23"/>
          <w:rtl/>
        </w:rPr>
      </w:pPr>
    </w:p>
    <w:p w14:paraId="297E24E3" w14:textId="77777777" w:rsidR="00411620" w:rsidRPr="0026684F" w:rsidRDefault="00411620" w:rsidP="00411620">
      <w:pPr>
        <w:tabs>
          <w:tab w:val="left" w:pos="2840"/>
        </w:tabs>
        <w:spacing w:line="216" w:lineRule="auto"/>
        <w:rPr>
          <w:rFonts w:eastAsiaTheme="minorEastAsia"/>
          <w:bCs/>
          <w:i/>
          <w:sz w:val="23"/>
          <w:szCs w:val="23"/>
          <w:rtl/>
        </w:rPr>
      </w:pPr>
      <w:r w:rsidRPr="0026684F">
        <w:rPr>
          <w:rFonts w:eastAsiaTheme="minorEastAsia" w:hint="cs"/>
          <w:bCs/>
          <w:i/>
          <w:sz w:val="23"/>
          <w:szCs w:val="23"/>
          <w:rtl/>
        </w:rPr>
        <w:t>حالت دوم و یا حالت بی</w:t>
      </w:r>
      <w:r w:rsidRPr="0026684F">
        <w:rPr>
          <w:rFonts w:eastAsiaTheme="minorEastAsia"/>
          <w:bCs/>
          <w:i/>
          <w:sz w:val="23"/>
          <w:szCs w:val="23"/>
          <w:rtl/>
        </w:rPr>
        <w:softHyphen/>
      </w:r>
      <w:r w:rsidRPr="0026684F">
        <w:rPr>
          <w:rFonts w:eastAsiaTheme="minorEastAsia" w:hint="cs"/>
          <w:bCs/>
          <w:i/>
          <w:sz w:val="23"/>
          <w:szCs w:val="23"/>
          <w:rtl/>
        </w:rPr>
        <w:t xml:space="preserve">ثبات: </w:t>
      </w:r>
      <m:oMath>
        <m:r>
          <m:rPr>
            <m:sty m:val="bi"/>
          </m:rPr>
          <w:rPr>
            <w:rFonts w:ascii="Cambria Math" w:eastAsiaTheme="minorEastAsia" w:hAnsi="Cambria Math"/>
            <w:sz w:val="23"/>
            <w:szCs w:val="23"/>
          </w:rPr>
          <m:t>0</m:t>
        </m:r>
        <m:r>
          <w:rPr>
            <w:rFonts w:ascii="Cambria Math" w:eastAsiaTheme="minorEastAsia" w:hAnsi="Cambria Math"/>
            <w:sz w:val="23"/>
            <w:szCs w:val="23"/>
          </w:rPr>
          <m:t>&lt;</m:t>
        </m:r>
        <m:f>
          <m:fPr>
            <m:ctrlPr>
              <w:rPr>
                <w:rFonts w:ascii="Cambria Math" w:eastAsiaTheme="minorEastAsia" w:hAnsi="Cambria Math"/>
                <w:bCs/>
                <w:i/>
                <w:sz w:val="23"/>
                <w:szCs w:val="23"/>
              </w:rPr>
            </m:ctrlPr>
          </m:fPr>
          <m:num>
            <m:d>
              <m:dPr>
                <m:ctrlPr>
                  <w:rPr>
                    <w:rFonts w:ascii="Cambria Math" w:eastAsiaTheme="minorEastAsia" w:hAnsi="Cambria Math"/>
                    <w:bCs/>
                    <w:i/>
                    <w:sz w:val="23"/>
                    <w:szCs w:val="23"/>
                  </w:rPr>
                </m:ctrlPr>
              </m:dPr>
              <m:e>
                <m:r>
                  <m:rPr>
                    <m:sty m:val="bi"/>
                  </m:rPr>
                  <w:rPr>
                    <w:rFonts w:ascii="Cambria Math" w:eastAsiaTheme="minorEastAsia" w:hAnsi="Cambria Math"/>
                    <w:sz w:val="23"/>
                    <w:szCs w:val="23"/>
                  </w:rPr>
                  <m:t>1</m:t>
                </m:r>
                <m:r>
                  <w:rPr>
                    <w:rFonts w:ascii="Cambria Math" w:eastAsiaTheme="minorEastAsia" w:hAnsi="Cambria Math"/>
                    <w:sz w:val="23"/>
                    <w:szCs w:val="23"/>
                  </w:rPr>
                  <m:t>+</m:t>
                </m:r>
                <m:r>
                  <m:rPr>
                    <m:sty m:val="bi"/>
                  </m:rPr>
                  <w:rPr>
                    <w:rFonts w:ascii="Cambria Math" w:eastAsiaTheme="minorEastAsia" w:hAnsi="Cambria Math"/>
                    <w:sz w:val="23"/>
                    <w:szCs w:val="23"/>
                  </w:rPr>
                  <m:t>π</m:t>
                </m:r>
              </m:e>
            </m:d>
            <m:r>
              <w:rPr>
                <w:rFonts w:ascii="Cambria Math" w:eastAsiaTheme="minorEastAsia" w:hAnsi="Cambria Math"/>
                <w:sz w:val="23"/>
                <w:szCs w:val="23"/>
              </w:rPr>
              <m:t>(</m:t>
            </m:r>
            <m:r>
              <m:rPr>
                <m:sty m:val="bi"/>
              </m:rPr>
              <w:rPr>
                <w:rFonts w:ascii="Cambria Math" w:eastAsiaTheme="minorEastAsia" w:hAnsi="Cambria Math"/>
                <w:sz w:val="23"/>
                <w:szCs w:val="23"/>
              </w:rPr>
              <m:t>1</m:t>
            </m:r>
            <m:r>
              <w:rPr>
                <w:rFonts w:ascii="Cambria Math" w:eastAsiaTheme="minorEastAsia" w:hAnsi="Cambria Math"/>
                <w:sz w:val="23"/>
                <w:szCs w:val="23"/>
              </w:rPr>
              <m:t>+</m:t>
            </m:r>
            <m:r>
              <m:rPr>
                <m:sty m:val="bi"/>
              </m:rPr>
              <w:rPr>
                <w:rFonts w:ascii="Cambria Math" w:eastAsiaTheme="minorEastAsia" w:hAnsi="Cambria Math"/>
                <w:sz w:val="23"/>
                <w:szCs w:val="23"/>
              </w:rPr>
              <m:t>δ</m:t>
            </m:r>
            <m:r>
              <w:rPr>
                <w:rFonts w:ascii="Cambria Math" w:eastAsiaTheme="minorEastAsia" w:hAnsi="Cambria Math"/>
                <w:sz w:val="23"/>
                <w:szCs w:val="23"/>
              </w:rPr>
              <m:t>)</m:t>
            </m:r>
          </m:num>
          <m:den>
            <m:r>
              <m:rPr>
                <m:sty m:val="bi"/>
              </m:rPr>
              <w:rPr>
                <w:rFonts w:ascii="Cambria Math" w:eastAsiaTheme="minorEastAsia" w:hAnsi="Cambria Math"/>
                <w:sz w:val="23"/>
                <w:szCs w:val="23"/>
              </w:rPr>
              <m:t>1</m:t>
            </m:r>
            <m:r>
              <w:rPr>
                <w:rFonts w:ascii="Cambria Math" w:eastAsiaTheme="minorEastAsia" w:hAnsi="Cambria Math"/>
                <w:sz w:val="23"/>
                <w:szCs w:val="23"/>
              </w:rPr>
              <m:t>+</m:t>
            </m:r>
            <m:r>
              <m:rPr>
                <m:sty m:val="bi"/>
              </m:rPr>
              <w:rPr>
                <w:rFonts w:ascii="Cambria Math" w:eastAsiaTheme="minorEastAsia" w:hAnsi="Cambria Math"/>
                <w:sz w:val="23"/>
                <w:szCs w:val="23"/>
              </w:rPr>
              <m:t>R</m:t>
            </m:r>
          </m:den>
        </m:f>
        <m:r>
          <w:rPr>
            <w:rFonts w:ascii="Cambria Math" w:eastAsiaTheme="minorEastAsia" w:hAnsi="Cambria Math"/>
            <w:sz w:val="23"/>
            <w:szCs w:val="23"/>
          </w:rPr>
          <m:t>&lt;</m:t>
        </m:r>
        <m:r>
          <m:rPr>
            <m:sty m:val="bi"/>
          </m:rPr>
          <w:rPr>
            <w:rFonts w:ascii="Cambria Math" w:eastAsiaTheme="minorEastAsia" w:hAnsi="Cambria Math"/>
            <w:sz w:val="23"/>
            <w:szCs w:val="23"/>
          </w:rPr>
          <m:t>1</m:t>
        </m:r>
      </m:oMath>
      <w:r w:rsidRPr="0026684F">
        <w:rPr>
          <w:rFonts w:eastAsiaTheme="minorEastAsia" w:hint="cs"/>
          <w:bCs/>
          <w:i/>
          <w:sz w:val="23"/>
          <w:szCs w:val="23"/>
          <w:rtl/>
        </w:rPr>
        <w:t xml:space="preserve"> </w:t>
      </w:r>
    </w:p>
    <w:p w14:paraId="6759E258"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 xml:space="preserve">در این حالت </w:t>
      </w:r>
      <m:oMath>
        <m:r>
          <w:rPr>
            <w:rFonts w:ascii="Cambria Math" w:eastAsiaTheme="minorEastAsia" w:hAnsi="Cambria Math"/>
            <w:sz w:val="23"/>
            <w:szCs w:val="23"/>
          </w:rPr>
          <m:t>R&gt;π+γ</m:t>
        </m:r>
      </m:oMath>
      <w:r w:rsidRPr="0026684F">
        <w:rPr>
          <w:rFonts w:eastAsiaTheme="minorEastAsia" w:hint="cs"/>
          <w:i/>
          <w:sz w:val="23"/>
          <w:szCs w:val="23"/>
          <w:rtl/>
        </w:rPr>
        <w:t xml:space="preserve"> می</w:t>
      </w:r>
      <w:r w:rsidRPr="0026684F">
        <w:rPr>
          <w:rFonts w:eastAsiaTheme="minorEastAsia"/>
          <w:i/>
          <w:sz w:val="23"/>
          <w:szCs w:val="23"/>
          <w:rtl/>
        </w:rPr>
        <w:softHyphen/>
      </w:r>
      <w:r w:rsidRPr="0026684F">
        <w:rPr>
          <w:rFonts w:eastAsiaTheme="minorEastAsia" w:hint="cs"/>
          <w:i/>
          <w:sz w:val="23"/>
          <w:szCs w:val="23"/>
          <w:rtl/>
        </w:rPr>
        <w:t>باشد یعنی نرخ بهره</w:t>
      </w:r>
      <w:r w:rsidRPr="0026684F">
        <w:rPr>
          <w:rFonts w:eastAsiaTheme="minorEastAsia"/>
          <w:i/>
          <w:sz w:val="23"/>
          <w:szCs w:val="23"/>
          <w:rtl/>
        </w:rPr>
        <w:softHyphen/>
      </w:r>
      <w:r w:rsidRPr="0026684F">
        <w:rPr>
          <w:rFonts w:eastAsiaTheme="minorEastAsia" w:hint="cs"/>
          <w:i/>
          <w:sz w:val="23"/>
          <w:szCs w:val="23"/>
          <w:rtl/>
        </w:rPr>
        <w:t xml:space="preserve">ی اسمی بزرگتر از نرخ رشد </w:t>
      </w:r>
      <w:r w:rsidRPr="0026684F">
        <w:rPr>
          <w:rFonts w:eastAsiaTheme="minorEastAsia"/>
          <w:i/>
          <w:sz w:val="23"/>
          <w:szCs w:val="23"/>
        </w:rPr>
        <w:t>GDP</w:t>
      </w:r>
      <w:r w:rsidRPr="0026684F">
        <w:rPr>
          <w:rFonts w:eastAsiaTheme="minorEastAsia" w:hint="cs"/>
          <w:i/>
          <w:sz w:val="23"/>
          <w:szCs w:val="23"/>
          <w:rtl/>
        </w:rPr>
        <w:t xml:space="preserve"> اسمی است و معادله</w:t>
      </w:r>
      <w:r w:rsidRPr="0026684F">
        <w:rPr>
          <w:rFonts w:eastAsiaTheme="minorEastAsia"/>
          <w:i/>
          <w:sz w:val="23"/>
          <w:szCs w:val="23"/>
          <w:rtl/>
        </w:rPr>
        <w:softHyphen/>
      </w:r>
      <w:r w:rsidRPr="0026684F">
        <w:rPr>
          <w:rFonts w:eastAsiaTheme="minorEastAsia" w:hint="cs"/>
          <w:i/>
          <w:sz w:val="23"/>
          <w:szCs w:val="23"/>
          <w:rtl/>
        </w:rPr>
        <w:t>ی تفاضلی قید بودجه</w:t>
      </w:r>
      <w:r w:rsidRPr="0026684F">
        <w:rPr>
          <w:rFonts w:eastAsiaTheme="minorEastAsia"/>
          <w:i/>
          <w:sz w:val="23"/>
          <w:szCs w:val="23"/>
          <w:rtl/>
        </w:rPr>
        <w:softHyphen/>
      </w:r>
      <w:r w:rsidRPr="0026684F">
        <w:rPr>
          <w:rFonts w:eastAsiaTheme="minorEastAsia" w:hint="cs"/>
          <w:i/>
          <w:sz w:val="23"/>
          <w:szCs w:val="23"/>
          <w:rtl/>
        </w:rPr>
        <w:t>ی دولت بی</w:t>
      </w:r>
      <w:r w:rsidRPr="0026684F">
        <w:rPr>
          <w:rFonts w:eastAsiaTheme="minorEastAsia"/>
          <w:i/>
          <w:sz w:val="23"/>
          <w:szCs w:val="23"/>
          <w:rtl/>
        </w:rPr>
        <w:softHyphen/>
      </w:r>
      <w:r w:rsidRPr="0026684F">
        <w:rPr>
          <w:rFonts w:eastAsiaTheme="minorEastAsia" w:hint="cs"/>
          <w:i/>
          <w:sz w:val="23"/>
          <w:szCs w:val="23"/>
          <w:rtl/>
        </w:rPr>
        <w:t>ثبات است و می</w:t>
      </w:r>
      <w:r w:rsidRPr="0026684F">
        <w:rPr>
          <w:rFonts w:eastAsiaTheme="minorEastAsia"/>
          <w:i/>
          <w:sz w:val="23"/>
          <w:szCs w:val="23"/>
          <w:rtl/>
        </w:rPr>
        <w:softHyphen/>
      </w:r>
      <w:r w:rsidRPr="0026684F">
        <w:rPr>
          <w:rFonts w:eastAsiaTheme="minorEastAsia" w:hint="cs"/>
          <w:i/>
          <w:sz w:val="23"/>
          <w:szCs w:val="23"/>
          <w:rtl/>
        </w:rPr>
        <w:t>بایست به روش پیش</w:t>
      </w:r>
      <w:r w:rsidRPr="0026684F">
        <w:rPr>
          <w:rFonts w:eastAsiaTheme="minorEastAsia"/>
          <w:i/>
          <w:sz w:val="23"/>
          <w:szCs w:val="23"/>
          <w:rtl/>
        </w:rPr>
        <w:softHyphen/>
      </w:r>
      <w:r w:rsidRPr="0026684F">
        <w:rPr>
          <w:rFonts w:eastAsiaTheme="minorEastAsia" w:hint="cs"/>
          <w:i/>
          <w:sz w:val="23"/>
          <w:szCs w:val="23"/>
          <w:rtl/>
        </w:rPr>
        <w:t>رو</w:t>
      </w:r>
      <w:r w:rsidRPr="0026684F">
        <w:rPr>
          <w:rStyle w:val="FootnoteReference"/>
          <w:rFonts w:eastAsiaTheme="minorEastAsia"/>
          <w:i/>
          <w:sz w:val="23"/>
          <w:szCs w:val="23"/>
          <w:rtl/>
        </w:rPr>
        <w:footnoteReference w:id="143"/>
      </w:r>
      <w:r w:rsidRPr="0026684F">
        <w:rPr>
          <w:rFonts w:eastAsiaTheme="minorEastAsia" w:hint="cs"/>
          <w:i/>
          <w:sz w:val="23"/>
          <w:szCs w:val="23"/>
          <w:rtl/>
        </w:rPr>
        <w:t xml:space="preserve"> حل شود نه روش پس</w:t>
      </w:r>
      <w:r w:rsidRPr="0026684F">
        <w:rPr>
          <w:rFonts w:eastAsiaTheme="minorEastAsia"/>
          <w:i/>
          <w:sz w:val="23"/>
          <w:szCs w:val="23"/>
          <w:rtl/>
        </w:rPr>
        <w:softHyphen/>
      </w:r>
      <w:r w:rsidRPr="0026684F">
        <w:rPr>
          <w:rFonts w:eastAsiaTheme="minorEastAsia" w:hint="cs"/>
          <w:i/>
          <w:sz w:val="23"/>
          <w:szCs w:val="23"/>
          <w:rtl/>
        </w:rPr>
        <w:t>رو. از رابطه</w:t>
      </w:r>
      <w:r w:rsidRPr="0026684F">
        <w:rPr>
          <w:rFonts w:eastAsiaTheme="minorEastAsia"/>
          <w:i/>
          <w:sz w:val="23"/>
          <w:szCs w:val="23"/>
          <w:rtl/>
        </w:rPr>
        <w:softHyphen/>
      </w:r>
      <w:r w:rsidRPr="0026684F">
        <w:rPr>
          <w:rFonts w:eastAsiaTheme="minorEastAsia" w:hint="cs"/>
          <w:i/>
          <w:sz w:val="23"/>
          <w:szCs w:val="23"/>
          <w:rtl/>
        </w:rPr>
        <w:t>ی (۵. ۱۱) داشتیم</w:t>
      </w:r>
    </w:p>
    <w:p w14:paraId="7E4D278D"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30"/>
        </w:rPr>
        <w:object w:dxaOrig="3159" w:dyaOrig="700" w14:anchorId="0864DF9B">
          <v:shape id="_x0000_i2741" type="#_x0000_t75" style="width:157.9pt;height:35.1pt" o:ole="">
            <v:imagedata r:id="rId3468" o:title=""/>
          </v:shape>
          <o:OLEObject Type="Embed" ProgID="Equation.DSMT4" ShapeID="_x0000_i2741" DrawAspect="Content" ObjectID="_1791376685" r:id="rId3469"/>
        </w:object>
      </w:r>
    </w:p>
    <w:p w14:paraId="70F34767" w14:textId="77777777" w:rsidR="00411620" w:rsidRPr="0026684F" w:rsidRDefault="00411620" w:rsidP="00411620">
      <w:pPr>
        <w:tabs>
          <w:tab w:val="left" w:pos="2840"/>
        </w:tabs>
        <w:bidi w:val="0"/>
        <w:spacing w:line="216" w:lineRule="auto"/>
        <w:rPr>
          <w:rFonts w:eastAsiaTheme="minorEastAsia"/>
          <w:i/>
          <w:sz w:val="23"/>
          <w:szCs w:val="23"/>
        </w:rPr>
      </w:pPr>
      <w:r w:rsidRPr="00703635">
        <w:rPr>
          <w:position w:val="-30"/>
        </w:rPr>
        <w:object w:dxaOrig="5440" w:dyaOrig="760" w14:anchorId="20E2FA9A">
          <v:shape id="_x0000_i2742" type="#_x0000_t75" style="width:272.25pt;height:38.1pt" o:ole="">
            <v:imagedata r:id="rId3470" o:title=""/>
          </v:shape>
          <o:OLEObject Type="Embed" ProgID="Equation.DSMT4" ShapeID="_x0000_i2742" DrawAspect="Content" ObjectID="_1791376686" r:id="rId3471"/>
        </w:object>
      </w:r>
    </w:p>
    <w:p w14:paraId="40072BEF"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 xml:space="preserve">اگر </w:t>
      </w:r>
      <w:r w:rsidRPr="00703635">
        <w:rPr>
          <w:position w:val="-6"/>
        </w:rPr>
        <w:object w:dxaOrig="660" w:dyaOrig="220" w14:anchorId="3EB4AFC0">
          <v:shape id="_x0000_i2743" type="#_x0000_t75" style="width:33.3pt;height:10.9pt" o:ole="">
            <v:imagedata r:id="rId3472" o:title=""/>
          </v:shape>
          <o:OLEObject Type="Embed" ProgID="Equation.DSMT4" ShapeID="_x0000_i2743" DrawAspect="Content" ObjectID="_1791376687" r:id="rId3473"/>
        </w:object>
      </w:r>
      <w:r w:rsidRPr="0026684F">
        <w:rPr>
          <w:rFonts w:eastAsiaTheme="minorEastAsia" w:hint="cs"/>
          <w:i/>
          <w:sz w:val="23"/>
          <w:szCs w:val="23"/>
          <w:rtl/>
        </w:rPr>
        <w:t xml:space="preserve"> میل کند و شرط</w:t>
      </w:r>
    </w:p>
    <w:p w14:paraId="6E2D50DB" w14:textId="77777777" w:rsidR="00411620" w:rsidRPr="0026684F" w:rsidRDefault="00411620" w:rsidP="00411620">
      <w:pPr>
        <w:pStyle w:val="MTDisplayEquation"/>
        <w:tabs>
          <w:tab w:val="clear" w:pos="6660"/>
        </w:tabs>
        <w:spacing w:line="216" w:lineRule="auto"/>
        <w:rPr>
          <w:rFonts w:ascii="Times New Roman" w:eastAsiaTheme="minorEastAsia" w:hAnsi="Times New Roman" w:cs="B Nazanin"/>
          <w:i/>
          <w:sz w:val="23"/>
          <w:szCs w:val="23"/>
          <w:rtl/>
        </w:rPr>
      </w:pPr>
      <w:r w:rsidRPr="00703635">
        <w:rPr>
          <w:position w:val="-30"/>
        </w:rPr>
        <w:object w:dxaOrig="2680" w:dyaOrig="760" w14:anchorId="34C72F5E">
          <v:shape id="_x0000_i2744" type="#_x0000_t75" style="width:133.7pt;height:38.1pt" o:ole="">
            <v:imagedata r:id="rId3474" o:title=""/>
          </v:shape>
          <o:OLEObject Type="Embed" ProgID="Equation.DSMT4" ShapeID="_x0000_i2744" DrawAspect="Content" ObjectID="_1791376688" r:id="rId3475"/>
        </w:object>
      </w:r>
      <w:r w:rsidRPr="0026684F">
        <w:rPr>
          <w:rFonts w:ascii="Times New Roman" w:hAnsi="Times New Roman" w:cs="B Nazanin"/>
          <w:i/>
          <w:sz w:val="23"/>
          <w:szCs w:val="23"/>
          <w:rtl/>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Pr>
          <w:rFonts w:ascii="Times New Roman" w:hAnsi="Times New Roman" w:cs="B Nazanin"/>
          <w:i/>
          <w:sz w:val="23"/>
          <w:szCs w:val="23"/>
          <w:rtl/>
        </w:rPr>
        <w:tab/>
      </w:r>
      <w:r>
        <w:rPr>
          <w:rFonts w:ascii="Times New Roman" w:hAnsi="Times New Roman" w:cs="B Nazanin"/>
          <w:i/>
          <w:sz w:val="23"/>
          <w:szCs w:val="23"/>
          <w:rtl/>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tl/>
        </w:rPr>
        <w:tab/>
      </w:r>
      <w:r w:rsidRPr="0026684F">
        <w:rPr>
          <w:rFonts w:ascii="Times New Roman" w:hAnsi="Times New Roman" w:cs="B Nazanin" w:hint="cs"/>
          <w:i/>
          <w:sz w:val="23"/>
          <w:szCs w:val="23"/>
          <w:rtl/>
        </w:rPr>
        <w:t>(۵. ۱۷)</w:t>
      </w:r>
    </w:p>
    <w:p w14:paraId="5B83C403"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برقرار باشد، آنگاه</w:t>
      </w:r>
    </w:p>
    <w:p w14:paraId="69039B00" w14:textId="77777777" w:rsidR="00411620" w:rsidRPr="0026684F" w:rsidRDefault="00411620" w:rsidP="00411620">
      <w:pPr>
        <w:tabs>
          <w:tab w:val="left" w:pos="2840"/>
        </w:tabs>
        <w:bidi w:val="0"/>
        <w:spacing w:line="216" w:lineRule="auto"/>
        <w:rPr>
          <w:rFonts w:eastAsiaTheme="minorEastAsia"/>
          <w:i/>
          <w:sz w:val="23"/>
          <w:szCs w:val="23"/>
          <w:rtl/>
        </w:rPr>
      </w:pPr>
      <w:r w:rsidRPr="00703635">
        <w:rPr>
          <w:position w:val="-30"/>
        </w:rPr>
        <w:object w:dxaOrig="3620" w:dyaOrig="760" w14:anchorId="58710216">
          <v:shape id="_x0000_i2745" type="#_x0000_t75" style="width:181.5pt;height:38.1pt" o:ole="">
            <v:imagedata r:id="rId3476" o:title=""/>
          </v:shape>
          <o:OLEObject Type="Embed" ProgID="Equation.DSMT4" ShapeID="_x0000_i2745" DrawAspect="Content" ObjectID="_1791376689" r:id="rId3477"/>
        </w:object>
      </w:r>
      <w:r w:rsidRPr="0026684F">
        <w:rPr>
          <w:rFonts w:eastAsiaTheme="minorEastAsia"/>
          <w:i/>
          <w:sz w:val="23"/>
          <w:szCs w:val="23"/>
        </w:rPr>
        <w:t xml:space="preserve"> </w:t>
      </w:r>
      <w:r w:rsidRPr="0026684F">
        <w:rPr>
          <w:i/>
          <w:sz w:val="23"/>
          <w:szCs w:val="23"/>
          <w:rtl/>
        </w:rPr>
        <w:tab/>
      </w:r>
      <w:r w:rsidRPr="0026684F">
        <w:rPr>
          <w:i/>
          <w:sz w:val="23"/>
          <w:szCs w:val="23"/>
          <w:rtl/>
        </w:rPr>
        <w:tab/>
      </w:r>
      <w:r w:rsidRPr="0026684F">
        <w:rPr>
          <w:i/>
          <w:sz w:val="23"/>
          <w:szCs w:val="23"/>
        </w:rPr>
        <w:tab/>
      </w:r>
      <w:r w:rsidRPr="0026684F">
        <w:rPr>
          <w:i/>
          <w:sz w:val="23"/>
          <w:szCs w:val="23"/>
        </w:rPr>
        <w:tab/>
      </w:r>
      <w:r>
        <w:rPr>
          <w:i/>
          <w:sz w:val="23"/>
          <w:szCs w:val="23"/>
          <w:rtl/>
        </w:rPr>
        <w:tab/>
      </w:r>
      <w:r>
        <w:rPr>
          <w:i/>
          <w:sz w:val="23"/>
          <w:szCs w:val="23"/>
          <w:rtl/>
        </w:rPr>
        <w:tab/>
      </w:r>
      <w:r w:rsidRPr="0026684F">
        <w:rPr>
          <w:i/>
          <w:sz w:val="23"/>
          <w:szCs w:val="23"/>
        </w:rPr>
        <w:tab/>
      </w:r>
      <w:r w:rsidRPr="0026684F">
        <w:rPr>
          <w:i/>
          <w:sz w:val="23"/>
          <w:szCs w:val="23"/>
        </w:rPr>
        <w:tab/>
      </w:r>
      <w:r w:rsidRPr="0026684F">
        <w:rPr>
          <w:i/>
          <w:sz w:val="23"/>
          <w:szCs w:val="23"/>
          <w:rtl/>
        </w:rPr>
        <w:tab/>
      </w:r>
      <w:r w:rsidRPr="0026684F">
        <w:rPr>
          <w:rFonts w:hint="cs"/>
          <w:i/>
          <w:sz w:val="23"/>
          <w:szCs w:val="23"/>
          <w:rtl/>
        </w:rPr>
        <w:t>(۵. ۱۸)</w:t>
      </w:r>
    </w:p>
    <w:p w14:paraId="4A5E4F21"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رابطه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۱۷)</w:t>
      </w:r>
      <w:r w:rsidRPr="0026684F">
        <w:rPr>
          <w:rFonts w:eastAsiaTheme="minorEastAsia" w:hint="cs"/>
          <w:i/>
          <w:sz w:val="23"/>
          <w:szCs w:val="23"/>
          <w:rtl/>
        </w:rPr>
        <w:t xml:space="preserve"> را شرط</w:t>
      </w:r>
      <w:r w:rsidRPr="0026684F">
        <w:rPr>
          <w:rFonts w:eastAsiaTheme="minorEastAsia"/>
          <w:i/>
          <w:sz w:val="23"/>
          <w:szCs w:val="23"/>
        </w:rPr>
        <w:t xml:space="preserve"> </w:t>
      </w:r>
      <w:r w:rsidRPr="0026684F">
        <w:rPr>
          <w:rFonts w:eastAsiaTheme="minorEastAsia" w:hint="cs"/>
          <w:i/>
          <w:sz w:val="23"/>
          <w:szCs w:val="23"/>
          <w:rtl/>
        </w:rPr>
        <w:t>غیر-پانزی</w:t>
      </w:r>
      <w:r w:rsidRPr="0026684F">
        <w:rPr>
          <w:rStyle w:val="FootnoteReference"/>
          <w:rFonts w:eastAsiaTheme="minorEastAsia"/>
          <w:i/>
          <w:sz w:val="23"/>
          <w:szCs w:val="23"/>
          <w:rtl/>
        </w:rPr>
        <w:footnoteReference w:id="144"/>
      </w:r>
      <w:r w:rsidRPr="0026684F">
        <w:rPr>
          <w:rFonts w:eastAsiaTheme="minorEastAsia" w:hint="cs"/>
          <w:i/>
          <w:sz w:val="23"/>
          <w:szCs w:val="23"/>
          <w:rtl/>
        </w:rPr>
        <w:t xml:space="preserve"> نامند که بواسطه</w:t>
      </w:r>
      <w:r w:rsidRPr="0026684F">
        <w:rPr>
          <w:rFonts w:eastAsiaTheme="minorEastAsia"/>
          <w:i/>
          <w:sz w:val="23"/>
          <w:szCs w:val="23"/>
          <w:rtl/>
        </w:rPr>
        <w:softHyphen/>
      </w:r>
      <w:r w:rsidRPr="0026684F">
        <w:rPr>
          <w:rFonts w:eastAsiaTheme="minorEastAsia" w:hint="cs"/>
          <w:i/>
          <w:sz w:val="23"/>
          <w:szCs w:val="23"/>
          <w:rtl/>
        </w:rPr>
        <w:t>ی آن امکان تأمین مالی بهره</w:t>
      </w:r>
      <w:r w:rsidRPr="0026684F">
        <w:rPr>
          <w:rFonts w:eastAsiaTheme="minorEastAsia"/>
          <w:i/>
          <w:sz w:val="23"/>
          <w:szCs w:val="23"/>
          <w:rtl/>
        </w:rPr>
        <w:softHyphen/>
      </w:r>
      <w:r w:rsidRPr="0026684F">
        <w:rPr>
          <w:rFonts w:eastAsiaTheme="minorEastAsia" w:hint="cs"/>
          <w:i/>
          <w:sz w:val="23"/>
          <w:szCs w:val="23"/>
          <w:rtl/>
        </w:rPr>
        <w:t>ی بدهی دولت از طریق بدهی بیشتر و برای همیشه، غیرممکن می</w:t>
      </w:r>
      <w:r w:rsidRPr="0026684F">
        <w:rPr>
          <w:rFonts w:eastAsiaTheme="minorEastAsia"/>
          <w:i/>
          <w:sz w:val="23"/>
          <w:szCs w:val="23"/>
          <w:rtl/>
        </w:rPr>
        <w:softHyphen/>
      </w:r>
      <w:r w:rsidRPr="0026684F">
        <w:rPr>
          <w:rFonts w:eastAsiaTheme="minorEastAsia" w:hint="cs"/>
          <w:i/>
          <w:sz w:val="23"/>
          <w:szCs w:val="23"/>
          <w:rtl/>
        </w:rPr>
        <w:t>شود.</w:t>
      </w:r>
    </w:p>
    <w:p w14:paraId="1F0E6FB2"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در رابطه</w:t>
      </w:r>
      <w:r w:rsidRPr="0026684F">
        <w:rPr>
          <w:rFonts w:eastAsiaTheme="minorEastAsia"/>
          <w:i/>
          <w:sz w:val="23"/>
          <w:szCs w:val="23"/>
          <w:rtl/>
        </w:rPr>
        <w:softHyphen/>
      </w:r>
      <w:r w:rsidRPr="0026684F">
        <w:rPr>
          <w:rFonts w:eastAsiaTheme="minorEastAsia" w:hint="cs"/>
          <w:i/>
          <w:sz w:val="23"/>
          <w:szCs w:val="23"/>
          <w:rtl/>
        </w:rPr>
        <w:t>ی</w:t>
      </w:r>
      <w:r w:rsidRPr="0026684F">
        <w:rPr>
          <w:rFonts w:eastAsiaTheme="minorEastAsia"/>
          <w:i/>
          <w:sz w:val="23"/>
          <w:szCs w:val="23"/>
        </w:rPr>
        <w:t xml:space="preserve"> </w:t>
      </w:r>
      <w:r w:rsidRPr="0026684F">
        <w:rPr>
          <w:rFonts w:hint="cs"/>
          <w:i/>
          <w:sz w:val="23"/>
          <w:szCs w:val="23"/>
          <w:rtl/>
        </w:rPr>
        <w:t>(۵. ۱۸)</w:t>
      </w:r>
      <w:r w:rsidRPr="0026684F">
        <w:rPr>
          <w:rFonts w:eastAsiaTheme="minorEastAsia" w:hint="cs"/>
          <w:i/>
          <w:sz w:val="23"/>
          <w:szCs w:val="23"/>
          <w:rtl/>
        </w:rPr>
        <w:t xml:space="preserve">، </w:t>
      </w:r>
      <w:r w:rsidRPr="00703635">
        <w:rPr>
          <w:position w:val="-10"/>
        </w:rPr>
        <w:object w:dxaOrig="720" w:dyaOrig="320" w14:anchorId="0269F723">
          <v:shape id="_x0000_i2746" type="#_x0000_t75" style="width:36.3pt;height:15.75pt" o:ole="">
            <v:imagedata r:id="rId3478" o:title=""/>
          </v:shape>
          <o:OLEObject Type="Embed" ProgID="Equation.DSMT4" ShapeID="_x0000_i2746" DrawAspect="Content" ObjectID="_1791376690" r:id="rId3479"/>
        </w:object>
      </w:r>
      <w:r w:rsidRPr="0026684F">
        <w:rPr>
          <w:rFonts w:eastAsiaTheme="minorEastAsia" w:hint="cs"/>
          <w:i/>
          <w:sz w:val="23"/>
          <w:szCs w:val="23"/>
          <w:rtl/>
        </w:rPr>
        <w:t xml:space="preserve"> یعنی مازاد بودجه</w:t>
      </w:r>
      <w:r w:rsidRPr="0026684F">
        <w:rPr>
          <w:rFonts w:eastAsiaTheme="minorEastAsia"/>
          <w:i/>
          <w:sz w:val="23"/>
          <w:szCs w:val="23"/>
          <w:rtl/>
        </w:rPr>
        <w:softHyphen/>
      </w:r>
      <w:r w:rsidRPr="0026684F">
        <w:rPr>
          <w:rFonts w:eastAsiaTheme="minorEastAsia" w:hint="cs"/>
          <w:i/>
          <w:sz w:val="23"/>
          <w:szCs w:val="23"/>
          <w:rtl/>
        </w:rPr>
        <w:t>ی اولیه</w:t>
      </w:r>
      <w:r w:rsidRPr="0026684F">
        <w:rPr>
          <w:rFonts w:eastAsiaTheme="minorEastAsia"/>
          <w:i/>
          <w:sz w:val="23"/>
          <w:szCs w:val="23"/>
          <w:rtl/>
        </w:rPr>
        <w:softHyphen/>
      </w:r>
      <w:r w:rsidRPr="0026684F">
        <w:rPr>
          <w:rFonts w:eastAsiaTheme="minorEastAsia" w:hint="cs"/>
          <w:i/>
          <w:sz w:val="23"/>
          <w:szCs w:val="23"/>
          <w:rtl/>
        </w:rPr>
        <w:t>ی دولت. بنابراین بر اساس رابطه</w:t>
      </w:r>
      <w:r w:rsidRPr="0026684F">
        <w:rPr>
          <w:rFonts w:eastAsiaTheme="minorEastAsia"/>
          <w:i/>
          <w:sz w:val="23"/>
          <w:szCs w:val="23"/>
          <w:rtl/>
        </w:rPr>
        <w:softHyphen/>
      </w:r>
      <w:r w:rsidRPr="0026684F">
        <w:rPr>
          <w:rFonts w:eastAsiaTheme="minorEastAsia" w:hint="cs"/>
          <w:i/>
          <w:sz w:val="23"/>
          <w:szCs w:val="23"/>
          <w:rtl/>
        </w:rPr>
        <w:t>ی فوق ارزش فعلی مازاد اولیه</w:t>
      </w:r>
      <w:r w:rsidRPr="0026684F">
        <w:rPr>
          <w:rFonts w:eastAsiaTheme="minorEastAsia"/>
          <w:i/>
          <w:sz w:val="23"/>
          <w:szCs w:val="23"/>
          <w:rtl/>
        </w:rPr>
        <w:softHyphen/>
      </w:r>
      <w:r w:rsidRPr="0026684F">
        <w:rPr>
          <w:rFonts w:eastAsiaTheme="minorEastAsia" w:hint="cs"/>
          <w:i/>
          <w:sz w:val="23"/>
          <w:szCs w:val="23"/>
          <w:rtl/>
        </w:rPr>
        <w:t>ی جاری و آتی دولت می</w:t>
      </w:r>
      <w:r w:rsidRPr="0026684F">
        <w:rPr>
          <w:rFonts w:eastAsiaTheme="minorEastAsia"/>
          <w:i/>
          <w:sz w:val="23"/>
          <w:szCs w:val="23"/>
          <w:rtl/>
        </w:rPr>
        <w:softHyphen/>
      </w:r>
      <w:r w:rsidRPr="0026684F">
        <w:rPr>
          <w:rFonts w:eastAsiaTheme="minorEastAsia" w:hint="cs"/>
          <w:i/>
          <w:sz w:val="23"/>
          <w:szCs w:val="23"/>
          <w:rtl/>
        </w:rPr>
        <w:t>بایست برابر نسبت بدهی به</w:t>
      </w:r>
      <w:r w:rsidRPr="0026684F">
        <w:rPr>
          <w:rFonts w:eastAsiaTheme="minorEastAsia"/>
          <w:i/>
          <w:sz w:val="23"/>
          <w:szCs w:val="23"/>
        </w:rPr>
        <w:t xml:space="preserve">GDP </w:t>
      </w:r>
      <w:r w:rsidRPr="0026684F">
        <w:rPr>
          <w:rFonts w:eastAsiaTheme="minorEastAsia" w:hint="cs"/>
          <w:i/>
          <w:sz w:val="23"/>
          <w:szCs w:val="23"/>
          <w:rtl/>
        </w:rPr>
        <w:t xml:space="preserve"> باشد. البته اگر ارزش فعلی مازاد اولیه</w:t>
      </w:r>
      <w:r w:rsidRPr="0026684F">
        <w:rPr>
          <w:rFonts w:eastAsiaTheme="minorEastAsia"/>
          <w:i/>
          <w:sz w:val="23"/>
          <w:szCs w:val="23"/>
          <w:rtl/>
        </w:rPr>
        <w:softHyphen/>
      </w:r>
      <w:r w:rsidRPr="0026684F">
        <w:rPr>
          <w:rFonts w:eastAsiaTheme="minorEastAsia" w:hint="cs"/>
          <w:i/>
          <w:sz w:val="23"/>
          <w:szCs w:val="23"/>
          <w:rtl/>
        </w:rPr>
        <w:t>ی جاری و آتی دولت بزرگتر از نسبت بدهی به</w:t>
      </w:r>
      <w:r w:rsidRPr="0026684F">
        <w:rPr>
          <w:rFonts w:eastAsiaTheme="minorEastAsia"/>
          <w:i/>
          <w:sz w:val="23"/>
          <w:szCs w:val="23"/>
        </w:rPr>
        <w:t xml:space="preserve">GDP </w:t>
      </w:r>
      <w:r w:rsidRPr="0026684F">
        <w:rPr>
          <w:rFonts w:eastAsiaTheme="minorEastAsia" w:hint="cs"/>
          <w:i/>
          <w:sz w:val="23"/>
          <w:szCs w:val="23"/>
          <w:rtl/>
        </w:rPr>
        <w:t xml:space="preserve"> باشد، هنوز پایداری وضعیت مالی دولت برقرار است. لذا رابطه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۱۸)</w:t>
      </w:r>
      <w:r w:rsidRPr="0026684F">
        <w:rPr>
          <w:rFonts w:eastAsiaTheme="minorEastAsia" w:hint="cs"/>
          <w:i/>
          <w:sz w:val="23"/>
          <w:szCs w:val="23"/>
          <w:rtl/>
        </w:rPr>
        <w:t xml:space="preserve"> را به صورت نابرابری نیز می</w:t>
      </w:r>
      <w:r w:rsidRPr="0026684F">
        <w:rPr>
          <w:rFonts w:eastAsiaTheme="minorEastAsia"/>
          <w:i/>
          <w:sz w:val="23"/>
          <w:szCs w:val="23"/>
          <w:rtl/>
        </w:rPr>
        <w:softHyphen/>
      </w:r>
      <w:r w:rsidRPr="0026684F">
        <w:rPr>
          <w:rFonts w:eastAsiaTheme="minorEastAsia" w:hint="cs"/>
          <w:i/>
          <w:sz w:val="23"/>
          <w:szCs w:val="23"/>
          <w:rtl/>
        </w:rPr>
        <w:t xml:space="preserve">توان نوشت.  </w:t>
      </w:r>
    </w:p>
    <w:p w14:paraId="07DFB6D1" w14:textId="77777777" w:rsidR="00411620" w:rsidRPr="0026684F" w:rsidRDefault="00411620" w:rsidP="00411620">
      <w:pPr>
        <w:pStyle w:val="MTDisplayEquation"/>
        <w:tabs>
          <w:tab w:val="clear" w:pos="6660"/>
        </w:tabs>
        <w:spacing w:line="216" w:lineRule="auto"/>
        <w:rPr>
          <w:rFonts w:ascii="Times New Roman" w:hAnsi="Times New Roman" w:cs="B Nazanin"/>
          <w:i/>
          <w:sz w:val="23"/>
          <w:szCs w:val="23"/>
          <w:rtl/>
        </w:rPr>
      </w:pPr>
      <w:r w:rsidRPr="00703635">
        <w:rPr>
          <w:position w:val="-30"/>
        </w:rPr>
        <w:object w:dxaOrig="3640" w:dyaOrig="760" w14:anchorId="363AB7D5">
          <v:shape id="_x0000_i2747" type="#_x0000_t75" style="width:181.5pt;height:38.1pt" o:ole="">
            <v:imagedata r:id="rId3480" o:title=""/>
          </v:shape>
          <o:OLEObject Type="Embed" ProgID="Equation.DSMT4" ShapeID="_x0000_i2747" DrawAspect="Content" ObjectID="_1791376691" r:id="rId3481"/>
        </w:object>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Pr>
          <w:rFonts w:ascii="Times New Roman" w:hAnsi="Times New Roman" w:cs="B Nazanin"/>
          <w:i/>
          <w:sz w:val="23"/>
          <w:szCs w:val="23"/>
          <w:rtl/>
        </w:rPr>
        <w:tab/>
      </w:r>
      <w:r>
        <w:rPr>
          <w:rFonts w:ascii="Times New Roman" w:hAnsi="Times New Roman" w:cs="B Nazanin"/>
          <w:i/>
          <w:sz w:val="23"/>
          <w:szCs w:val="23"/>
          <w:rtl/>
        </w:rPr>
        <w:tab/>
      </w:r>
      <w:r w:rsidRPr="0026684F">
        <w:rPr>
          <w:rFonts w:ascii="Times New Roman" w:hAnsi="Times New Roman" w:cs="B Nazanin"/>
          <w:i/>
          <w:sz w:val="23"/>
          <w:szCs w:val="23"/>
          <w:rtl/>
        </w:rPr>
        <w:tab/>
      </w:r>
      <w:r w:rsidRPr="0026684F">
        <w:rPr>
          <w:rFonts w:ascii="Times New Roman" w:hAnsi="Times New Roman" w:cs="B Nazanin" w:hint="cs"/>
          <w:i/>
          <w:sz w:val="23"/>
          <w:szCs w:val="23"/>
          <w:rtl/>
        </w:rPr>
        <w:t>(۵. ۱۹)</w:t>
      </w:r>
    </w:p>
    <w:p w14:paraId="2C75176A" w14:textId="77777777" w:rsidR="00411620" w:rsidRPr="0026684F" w:rsidRDefault="00411620" w:rsidP="00411620">
      <w:pPr>
        <w:rPr>
          <w:rFonts w:eastAsiaTheme="minorEastAsia"/>
          <w:i/>
          <w:sz w:val="23"/>
          <w:szCs w:val="23"/>
          <w:lang w:bidi="ar-SA"/>
        </w:rPr>
      </w:pPr>
      <w:r w:rsidRPr="0026684F">
        <w:rPr>
          <w:rFonts w:eastAsiaTheme="minorEastAsia" w:hint="cs"/>
          <w:i/>
          <w:sz w:val="23"/>
          <w:szCs w:val="23"/>
          <w:rtl/>
          <w:lang w:bidi="ar-SA"/>
        </w:rPr>
        <w:t>در این</w:t>
      </w:r>
      <w:r w:rsidRPr="0026684F">
        <w:rPr>
          <w:rFonts w:eastAsiaTheme="minorEastAsia"/>
          <w:i/>
          <w:sz w:val="23"/>
          <w:szCs w:val="23"/>
          <w:rtl/>
          <w:lang w:bidi="ar-SA"/>
        </w:rPr>
        <w:softHyphen/>
      </w:r>
      <w:r w:rsidRPr="0026684F">
        <w:rPr>
          <w:rFonts w:eastAsiaTheme="minorEastAsia" w:hint="cs"/>
          <w:i/>
          <w:sz w:val="23"/>
          <w:szCs w:val="23"/>
          <w:rtl/>
          <w:lang w:bidi="ar-SA"/>
        </w:rPr>
        <w:t>جا نیز می</w:t>
      </w:r>
      <w:r w:rsidRPr="0026684F">
        <w:rPr>
          <w:rFonts w:eastAsiaTheme="minorEastAsia"/>
          <w:i/>
          <w:sz w:val="23"/>
          <w:szCs w:val="23"/>
          <w:rtl/>
          <w:lang w:bidi="ar-SA"/>
        </w:rPr>
        <w:softHyphen/>
      </w:r>
      <w:r w:rsidRPr="0026684F">
        <w:rPr>
          <w:rFonts w:eastAsiaTheme="minorEastAsia" w:hint="cs"/>
          <w:i/>
          <w:sz w:val="23"/>
          <w:szCs w:val="23"/>
          <w:rtl/>
          <w:lang w:bidi="ar-SA"/>
        </w:rPr>
        <w:t>بایست به چند نکته توجه شود.</w:t>
      </w:r>
    </w:p>
    <w:p w14:paraId="23100CC9" w14:textId="77777777" w:rsidR="00411620" w:rsidRPr="0026684F" w:rsidRDefault="00411620" w:rsidP="00411620">
      <w:pPr>
        <w:tabs>
          <w:tab w:val="left" w:pos="2840"/>
        </w:tabs>
        <w:spacing w:line="216" w:lineRule="auto"/>
        <w:rPr>
          <w:rFonts w:eastAsiaTheme="minorEastAsia"/>
          <w:i/>
          <w:sz w:val="23"/>
          <w:szCs w:val="23"/>
          <w:rtl/>
        </w:rPr>
      </w:pPr>
      <w:r w:rsidRPr="0026684F">
        <w:rPr>
          <w:rFonts w:hint="cs"/>
          <w:bCs/>
          <w:i/>
          <w:sz w:val="23"/>
          <w:szCs w:val="23"/>
          <w:rtl/>
        </w:rPr>
        <w:t>الف:</w:t>
      </w:r>
      <w:r w:rsidRPr="0026684F">
        <w:rPr>
          <w:rFonts w:hint="cs"/>
          <w:i/>
          <w:sz w:val="23"/>
          <w:szCs w:val="23"/>
          <w:rtl/>
        </w:rPr>
        <w:t xml:space="preserve"> بر اساس رابطه</w:t>
      </w:r>
      <w:r w:rsidRPr="0026684F">
        <w:rPr>
          <w:i/>
          <w:sz w:val="23"/>
          <w:szCs w:val="23"/>
          <w:rtl/>
        </w:rPr>
        <w:softHyphen/>
      </w:r>
      <w:r w:rsidRPr="0026684F">
        <w:rPr>
          <w:rFonts w:hint="cs"/>
          <w:i/>
          <w:sz w:val="23"/>
          <w:szCs w:val="23"/>
          <w:rtl/>
        </w:rPr>
        <w:t>ی (۵. ۱۹)</w:t>
      </w:r>
      <w:r w:rsidRPr="0026684F">
        <w:rPr>
          <w:rFonts w:eastAsiaTheme="minorEastAsia" w:hint="cs"/>
          <w:i/>
          <w:sz w:val="23"/>
          <w:szCs w:val="23"/>
          <w:rtl/>
        </w:rPr>
        <w:t xml:space="preserve"> </w:t>
      </w:r>
      <w:r w:rsidRPr="0026684F">
        <w:rPr>
          <w:rFonts w:hint="cs"/>
          <w:i/>
          <w:sz w:val="23"/>
          <w:szCs w:val="23"/>
          <w:rtl/>
        </w:rPr>
        <w:t>ارزش فعلی مازاد اولیه</w:t>
      </w:r>
      <w:r w:rsidRPr="0026684F">
        <w:rPr>
          <w:i/>
          <w:sz w:val="23"/>
          <w:szCs w:val="23"/>
          <w:rtl/>
        </w:rPr>
        <w:softHyphen/>
      </w:r>
      <w:r w:rsidRPr="0026684F">
        <w:rPr>
          <w:rFonts w:hint="cs"/>
          <w:i/>
          <w:sz w:val="23"/>
          <w:szCs w:val="23"/>
          <w:rtl/>
        </w:rPr>
        <w:t>ی آتی و جاری نباید کمتر از تعهدات بدهی جاری دولت باشد. همان</w:t>
      </w:r>
      <w:r w:rsidRPr="0026684F">
        <w:rPr>
          <w:i/>
          <w:sz w:val="23"/>
          <w:szCs w:val="23"/>
        </w:rPr>
        <w:softHyphen/>
      </w:r>
      <w:r w:rsidRPr="0026684F">
        <w:rPr>
          <w:rFonts w:hint="cs"/>
          <w:i/>
          <w:sz w:val="23"/>
          <w:szCs w:val="23"/>
          <w:rtl/>
        </w:rPr>
        <w:t>گونه که می</w:t>
      </w:r>
      <w:r w:rsidRPr="0026684F">
        <w:rPr>
          <w:i/>
          <w:sz w:val="23"/>
          <w:szCs w:val="23"/>
          <w:rtl/>
        </w:rPr>
        <w:softHyphen/>
      </w:r>
      <w:r w:rsidRPr="0026684F">
        <w:rPr>
          <w:rFonts w:hint="cs"/>
          <w:i/>
          <w:sz w:val="23"/>
          <w:szCs w:val="23"/>
          <w:rtl/>
        </w:rPr>
        <w:t>دانیم نسبت</w:t>
      </w:r>
      <w:r w:rsidRPr="00703635">
        <w:rPr>
          <w:position w:val="-28"/>
        </w:rPr>
        <w:object w:dxaOrig="300" w:dyaOrig="639" w14:anchorId="05AB301D">
          <v:shape id="_x0000_i2748" type="#_x0000_t75" style="width:14.5pt;height:32.05pt" o:ole="">
            <v:imagedata r:id="rId3482" o:title=""/>
          </v:shape>
          <o:OLEObject Type="Embed" ProgID="Equation.DSMT4" ShapeID="_x0000_i2748" DrawAspect="Content" ObjectID="_1791376692" r:id="rId3483"/>
        </w:object>
      </w:r>
      <w:r w:rsidRPr="0026684F">
        <w:rPr>
          <w:rFonts w:eastAsiaTheme="minorEastAsia" w:hint="cs"/>
          <w:i/>
          <w:sz w:val="23"/>
          <w:szCs w:val="23"/>
          <w:rtl/>
        </w:rPr>
        <w:t xml:space="preserve"> در شرایط رکودی مثبت و در شرایط رونق </w:t>
      </w:r>
      <w:r w:rsidRPr="0026684F">
        <w:rPr>
          <w:rFonts w:eastAsiaTheme="minorEastAsia" w:hint="cs"/>
          <w:i/>
          <w:sz w:val="23"/>
          <w:szCs w:val="23"/>
          <w:rtl/>
        </w:rPr>
        <w:lastRenderedPageBreak/>
        <w:t>اقتصادی منفی است. لذا پایداری وضعیت مالی دولت زمانی تحقق می</w:t>
      </w:r>
      <w:r w:rsidRPr="0026684F">
        <w:rPr>
          <w:rFonts w:eastAsiaTheme="minorEastAsia"/>
          <w:i/>
          <w:sz w:val="23"/>
          <w:szCs w:val="23"/>
          <w:rtl/>
        </w:rPr>
        <w:softHyphen/>
      </w:r>
      <w:r w:rsidRPr="0026684F">
        <w:rPr>
          <w:rFonts w:eastAsiaTheme="minorEastAsia" w:hint="cs"/>
          <w:i/>
          <w:sz w:val="23"/>
          <w:szCs w:val="23"/>
          <w:rtl/>
        </w:rPr>
        <w:t>یابد که نسبت</w:t>
      </w:r>
      <w:r w:rsidRPr="00703635">
        <w:rPr>
          <w:position w:val="-28"/>
        </w:rPr>
        <w:object w:dxaOrig="300" w:dyaOrig="639" w14:anchorId="136188D4">
          <v:shape id="_x0000_i2749" type="#_x0000_t75" style="width:14.5pt;height:32.05pt" o:ole="">
            <v:imagedata r:id="rId3484" o:title=""/>
          </v:shape>
          <o:OLEObject Type="Embed" ProgID="Equation.DSMT4" ShapeID="_x0000_i2749" DrawAspect="Content" ObjectID="_1791376693" r:id="rId3485"/>
        </w:object>
      </w:r>
      <w:r w:rsidRPr="0026684F">
        <w:rPr>
          <w:rFonts w:eastAsiaTheme="minorEastAsia" w:hint="cs"/>
          <w:i/>
          <w:sz w:val="23"/>
          <w:szCs w:val="23"/>
          <w:rtl/>
        </w:rPr>
        <w:t xml:space="preserve"> در یک چرخه</w:t>
      </w:r>
      <w:r w:rsidRPr="0026684F">
        <w:rPr>
          <w:rFonts w:eastAsiaTheme="minorEastAsia"/>
          <w:i/>
          <w:sz w:val="23"/>
          <w:szCs w:val="23"/>
          <w:rtl/>
        </w:rPr>
        <w:softHyphen/>
      </w:r>
      <w:r w:rsidRPr="0026684F">
        <w:rPr>
          <w:rFonts w:eastAsiaTheme="minorEastAsia" w:hint="cs"/>
          <w:i/>
          <w:sz w:val="23"/>
          <w:szCs w:val="23"/>
          <w:rtl/>
        </w:rPr>
        <w:t>ی تجاری ثابت باشد که همان شرط قاعده</w:t>
      </w:r>
      <w:r w:rsidRPr="0026684F">
        <w:rPr>
          <w:rFonts w:eastAsiaTheme="minorEastAsia"/>
          <w:i/>
          <w:sz w:val="23"/>
          <w:szCs w:val="23"/>
          <w:rtl/>
        </w:rPr>
        <w:softHyphen/>
      </w:r>
      <w:r w:rsidRPr="0026684F">
        <w:rPr>
          <w:rFonts w:eastAsiaTheme="minorEastAsia" w:hint="cs"/>
          <w:i/>
          <w:sz w:val="23"/>
          <w:szCs w:val="23"/>
          <w:rtl/>
        </w:rPr>
        <w:t>ی طلایی دولت انگلستان جهت پایداری سیاست</w:t>
      </w:r>
      <w:r w:rsidRPr="0026684F">
        <w:rPr>
          <w:rFonts w:eastAsiaTheme="minorEastAsia"/>
          <w:i/>
          <w:sz w:val="23"/>
          <w:szCs w:val="23"/>
          <w:rtl/>
        </w:rPr>
        <w:softHyphen/>
      </w:r>
      <w:r w:rsidRPr="0026684F">
        <w:rPr>
          <w:rFonts w:eastAsiaTheme="minorEastAsia" w:hint="cs"/>
          <w:i/>
          <w:sz w:val="23"/>
          <w:szCs w:val="23"/>
          <w:rtl/>
        </w:rPr>
        <w:t>های مالی است.</w:t>
      </w:r>
    </w:p>
    <w:p w14:paraId="39C7353D"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bCs/>
          <w:i/>
          <w:sz w:val="23"/>
          <w:szCs w:val="23"/>
          <w:rtl/>
        </w:rPr>
        <w:t>ب:</w:t>
      </w:r>
      <w:r w:rsidRPr="0026684F">
        <w:rPr>
          <w:rFonts w:eastAsiaTheme="minorEastAsia" w:hint="cs"/>
          <w:i/>
          <w:sz w:val="23"/>
          <w:szCs w:val="23"/>
          <w:rtl/>
        </w:rPr>
        <w:t xml:space="preserve"> اگر نسبت کسری بودجه</w:t>
      </w:r>
      <w:r w:rsidRPr="0026684F">
        <w:rPr>
          <w:rFonts w:eastAsiaTheme="minorEastAsia"/>
          <w:i/>
          <w:sz w:val="23"/>
          <w:szCs w:val="23"/>
          <w:rtl/>
        </w:rPr>
        <w:softHyphen/>
      </w:r>
      <w:r w:rsidRPr="0026684F">
        <w:rPr>
          <w:rFonts w:eastAsiaTheme="minorEastAsia" w:hint="cs"/>
          <w:i/>
          <w:sz w:val="23"/>
          <w:szCs w:val="23"/>
          <w:rtl/>
        </w:rPr>
        <w:t xml:space="preserve">ی اولیه به </w:t>
      </w:r>
      <w:r w:rsidRPr="0026684F">
        <w:rPr>
          <w:rFonts w:eastAsiaTheme="minorEastAsia"/>
          <w:i/>
          <w:sz w:val="23"/>
          <w:szCs w:val="23"/>
        </w:rPr>
        <w:t>GDP</w:t>
      </w:r>
      <w:r w:rsidRPr="0026684F">
        <w:rPr>
          <w:rFonts w:eastAsiaTheme="minorEastAsia" w:hint="cs"/>
          <w:i/>
          <w:sz w:val="23"/>
          <w:szCs w:val="23"/>
          <w:rtl/>
        </w:rPr>
        <w:t xml:space="preserve"> همواره ثابت باشد، یعنی برای هر </w:t>
      </w:r>
      <w:r w:rsidRPr="00703635">
        <w:rPr>
          <w:position w:val="-6"/>
        </w:rPr>
        <w:object w:dxaOrig="520" w:dyaOrig="260" w14:anchorId="1FCADAA6">
          <v:shape id="_x0000_i2750" type="#_x0000_t75" style="width:26pt;height:13.3pt" o:ole="">
            <v:imagedata r:id="rId3486" o:title=""/>
          </v:shape>
          <o:OLEObject Type="Embed" ProgID="Equation.DSMT4" ShapeID="_x0000_i2750" DrawAspect="Content" ObjectID="_1791376694" r:id="rId3487"/>
        </w:object>
      </w:r>
      <w:r w:rsidRPr="0026684F">
        <w:rPr>
          <w:rFonts w:eastAsiaTheme="minorEastAsia" w:hint="cs"/>
          <w:i/>
          <w:sz w:val="23"/>
          <w:szCs w:val="23"/>
          <w:rtl/>
        </w:rPr>
        <w:t xml:space="preserve"> داشته باشیم</w:t>
      </w:r>
      <w:r w:rsidRPr="00703635">
        <w:rPr>
          <w:position w:val="-28"/>
        </w:rPr>
        <w:object w:dxaOrig="880" w:dyaOrig="639" w14:anchorId="4432DD88">
          <v:shape id="_x0000_i2751" type="#_x0000_t75" style="width:44.15pt;height:32.05pt" o:ole="">
            <v:imagedata r:id="rId3488" o:title=""/>
          </v:shape>
          <o:OLEObject Type="Embed" ProgID="Equation.DSMT4" ShapeID="_x0000_i2751" DrawAspect="Content" ObjectID="_1791376695" r:id="rId3489"/>
        </w:object>
      </w:r>
      <w:r w:rsidRPr="0026684F">
        <w:rPr>
          <w:rFonts w:hint="cs"/>
          <w:i/>
          <w:sz w:val="23"/>
          <w:szCs w:val="23"/>
          <w:rtl/>
        </w:rPr>
        <w:t xml:space="preserve">، </w:t>
      </w:r>
      <w:r w:rsidRPr="0026684F">
        <w:rPr>
          <w:rFonts w:eastAsiaTheme="minorEastAsia" w:hint="cs"/>
          <w:i/>
          <w:sz w:val="23"/>
          <w:szCs w:val="23"/>
          <w:rtl/>
        </w:rPr>
        <w:t>آنگاه معادله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۱۹)</w:t>
      </w:r>
      <w:r w:rsidRPr="0026684F">
        <w:rPr>
          <w:rFonts w:eastAsiaTheme="minorEastAsia" w:hint="cs"/>
          <w:i/>
          <w:sz w:val="23"/>
          <w:szCs w:val="23"/>
          <w:rtl/>
        </w:rPr>
        <w:t xml:space="preserve"> برابر خواهد بود با</w:t>
      </w:r>
      <w:r w:rsidRPr="0026684F">
        <w:rPr>
          <w:rFonts w:eastAsiaTheme="minorEastAsia"/>
          <w:i/>
          <w:sz w:val="23"/>
          <w:szCs w:val="23"/>
        </w:rPr>
        <w:t xml:space="preserve"> </w:t>
      </w:r>
    </w:p>
    <w:p w14:paraId="2A52442C" w14:textId="77777777" w:rsidR="00411620" w:rsidRPr="0026684F"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703635">
        <w:rPr>
          <w:position w:val="-30"/>
        </w:rPr>
        <w:object w:dxaOrig="5120" w:dyaOrig="760" w14:anchorId="6E699254">
          <v:shape id="_x0000_i2752" type="#_x0000_t75" style="width:255.95pt;height:38.1pt" o:ole="">
            <v:imagedata r:id="rId3490" o:title=""/>
          </v:shape>
          <o:OLEObject Type="Embed" ProgID="Equation.DSMT4" ShapeID="_x0000_i2752" DrawAspect="Content" ObjectID="_1791376696" r:id="rId3491"/>
        </w:object>
      </w:r>
      <w:r>
        <w:rPr>
          <w:rtl/>
        </w:rPr>
        <w:tab/>
      </w:r>
      <w:r>
        <w:rPr>
          <w:rtl/>
        </w:rPr>
        <w:tab/>
      </w:r>
      <w:r w:rsidRPr="0026684F">
        <w:rPr>
          <w:rFonts w:ascii="Times New Roman" w:hAnsi="Times New Roman" w:cs="B Nazanin"/>
          <w:i/>
          <w:sz w:val="23"/>
          <w:szCs w:val="23"/>
          <w:rtl/>
        </w:rPr>
        <w:tab/>
      </w:r>
      <w:r w:rsidRPr="0026684F">
        <w:rPr>
          <w:rFonts w:ascii="Times New Roman" w:hAnsi="Times New Roman" w:cs="B Nazanin" w:hint="cs"/>
          <w:i/>
          <w:sz w:val="23"/>
          <w:szCs w:val="23"/>
          <w:rtl/>
        </w:rPr>
        <w:t>(۵. ۲۰)</w:t>
      </w:r>
    </w:p>
    <w:p w14:paraId="310E0BC0"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نتایج بدست آمده همانند قبل است فقط علامت</w:t>
      </w:r>
      <w:r w:rsidRPr="00703635">
        <w:rPr>
          <w:position w:val="-10"/>
        </w:rPr>
        <w:object w:dxaOrig="880" w:dyaOrig="300" w14:anchorId="631F9E3E">
          <v:shape id="_x0000_i2753" type="#_x0000_t75" style="width:44.15pt;height:14.5pt" o:ole="">
            <v:imagedata r:id="rId3492" o:title=""/>
          </v:shape>
          <o:OLEObject Type="Embed" ProgID="Equation.DSMT4" ShapeID="_x0000_i2753" DrawAspect="Content" ObjectID="_1791376697" r:id="rId3493"/>
        </w:object>
      </w:r>
      <w:r w:rsidRPr="0026684F">
        <w:rPr>
          <w:rFonts w:eastAsiaTheme="minorEastAsia" w:hint="cs"/>
          <w:i/>
          <w:sz w:val="23"/>
          <w:szCs w:val="23"/>
          <w:rtl/>
        </w:rPr>
        <w:t xml:space="preserve"> و</w:t>
      </w:r>
      <w:r w:rsidRPr="00703635">
        <w:rPr>
          <w:position w:val="-10"/>
        </w:rPr>
        <w:object w:dxaOrig="240" w:dyaOrig="320" w14:anchorId="4F06A8EF">
          <v:shape id="_x0000_i2754" type="#_x0000_t75" style="width:11.5pt;height:15.75pt" o:ole="">
            <v:imagedata r:id="rId3494" o:title=""/>
          </v:shape>
          <o:OLEObject Type="Embed" ProgID="Equation.DSMT4" ShapeID="_x0000_i2754" DrawAspect="Content" ObjectID="_1791376698" r:id="rId3495"/>
        </w:object>
      </w:r>
      <w:r w:rsidRPr="0026684F">
        <w:rPr>
          <w:rFonts w:eastAsiaTheme="minorEastAsia" w:hint="cs"/>
          <w:i/>
          <w:sz w:val="23"/>
          <w:szCs w:val="23"/>
          <w:rtl/>
        </w:rPr>
        <w:t xml:space="preserve"> برعکس شده، یعنی برای تسویه</w:t>
      </w:r>
      <w:r w:rsidRPr="0026684F">
        <w:rPr>
          <w:rFonts w:eastAsiaTheme="minorEastAsia"/>
          <w:i/>
          <w:sz w:val="23"/>
          <w:szCs w:val="23"/>
          <w:rtl/>
        </w:rPr>
        <w:softHyphen/>
      </w:r>
      <w:r w:rsidRPr="0026684F">
        <w:rPr>
          <w:rFonts w:eastAsiaTheme="minorEastAsia" w:hint="cs"/>
          <w:i/>
          <w:sz w:val="23"/>
          <w:szCs w:val="23"/>
          <w:rtl/>
        </w:rPr>
        <w:t>ی بدهی اولیه باید مازاد اولیه بودجه وجود داشته باشد.</w:t>
      </w:r>
    </w:p>
    <w:p w14:paraId="02E58E55"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bCs/>
          <w:i/>
          <w:sz w:val="23"/>
          <w:szCs w:val="23"/>
          <w:rtl/>
        </w:rPr>
        <w:t>ج:</w:t>
      </w:r>
      <w:r w:rsidRPr="0026684F">
        <w:rPr>
          <w:rFonts w:eastAsiaTheme="minorEastAsia" w:hint="cs"/>
          <w:i/>
          <w:sz w:val="23"/>
          <w:szCs w:val="23"/>
          <w:rtl/>
        </w:rPr>
        <w:t xml:space="preserve"> از آن</w:t>
      </w:r>
      <w:r w:rsidRPr="0026684F">
        <w:rPr>
          <w:rFonts w:eastAsiaTheme="minorEastAsia"/>
          <w:i/>
          <w:sz w:val="23"/>
          <w:szCs w:val="23"/>
          <w:rtl/>
        </w:rPr>
        <w:softHyphen/>
      </w:r>
      <w:r w:rsidRPr="0026684F">
        <w:rPr>
          <w:rFonts w:eastAsiaTheme="minorEastAsia" w:hint="cs"/>
          <w:i/>
          <w:sz w:val="23"/>
          <w:szCs w:val="23"/>
          <w:rtl/>
        </w:rPr>
        <w:t>جا که</w:t>
      </w:r>
      <w:r w:rsidRPr="00703635">
        <w:rPr>
          <w:position w:val="-10"/>
        </w:rPr>
        <w:object w:dxaOrig="1219" w:dyaOrig="320" w14:anchorId="4D8BAEB1">
          <v:shape id="_x0000_i2755" type="#_x0000_t75" style="width:61.1pt;height:15.75pt" o:ole="">
            <v:imagedata r:id="rId3496" o:title=""/>
          </v:shape>
          <o:OLEObject Type="Embed" ProgID="Equation.DSMT4" ShapeID="_x0000_i2755" DrawAspect="Content" ObjectID="_1791376699" r:id="rId3497"/>
        </w:object>
      </w:r>
      <w:r w:rsidRPr="0026684F">
        <w:rPr>
          <w:rFonts w:hint="cs"/>
          <w:i/>
          <w:sz w:val="23"/>
          <w:szCs w:val="23"/>
          <w:rtl/>
        </w:rPr>
        <w:t xml:space="preserve"> است، لذا</w:t>
      </w:r>
      <w:r w:rsidRPr="00703635">
        <w:rPr>
          <w:position w:val="-28"/>
        </w:rPr>
        <w:object w:dxaOrig="1560" w:dyaOrig="639" w14:anchorId="02B99C4A">
          <v:shape id="_x0000_i2756" type="#_x0000_t75" style="width:78.05pt;height:32.05pt" o:ole="">
            <v:imagedata r:id="rId3498" o:title=""/>
          </v:shape>
          <o:OLEObject Type="Embed" ProgID="Equation.DSMT4" ShapeID="_x0000_i2756" DrawAspect="Content" ObjectID="_1791376700" r:id="rId3499"/>
        </w:object>
      </w:r>
      <w:r w:rsidRPr="0026684F">
        <w:rPr>
          <w:rFonts w:hint="cs"/>
          <w:i/>
          <w:sz w:val="23"/>
          <w:szCs w:val="23"/>
          <w:rtl/>
        </w:rPr>
        <w:t xml:space="preserve">خواهد بود. </w:t>
      </w:r>
      <w:r w:rsidRPr="0026684F">
        <w:rPr>
          <w:rFonts w:eastAsiaTheme="minorEastAsia" w:hint="cs"/>
          <w:i/>
          <w:sz w:val="23"/>
          <w:szCs w:val="23"/>
          <w:rtl/>
        </w:rPr>
        <w:t xml:space="preserve">از قسمت </w:t>
      </w:r>
      <w:r w:rsidRPr="0026684F">
        <w:rPr>
          <w:rFonts w:eastAsiaTheme="minorEastAsia" w:hint="cs"/>
          <w:bCs/>
          <w:i/>
          <w:sz w:val="23"/>
          <w:szCs w:val="23"/>
          <w:rtl/>
        </w:rPr>
        <w:t>ب</w:t>
      </w:r>
      <w:r w:rsidRPr="0026684F">
        <w:rPr>
          <w:rFonts w:eastAsiaTheme="minorEastAsia" w:hint="cs"/>
          <w:i/>
          <w:sz w:val="23"/>
          <w:szCs w:val="23"/>
          <w:rtl/>
        </w:rPr>
        <w:t xml:space="preserve"> داشتیم </w:t>
      </w:r>
    </w:p>
    <w:p w14:paraId="3B921497"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30"/>
        </w:rPr>
        <w:object w:dxaOrig="6380" w:dyaOrig="700" w14:anchorId="25AD6A26">
          <v:shape id="_x0000_i2757" type="#_x0000_t75" style="width:318.85pt;height:35.1pt" o:ole="">
            <v:imagedata r:id="rId3500" o:title=""/>
          </v:shape>
          <o:OLEObject Type="Embed" ProgID="Equation.DSMT4" ShapeID="_x0000_i2757" DrawAspect="Content" ObjectID="_1791376701" r:id="rId3501"/>
        </w:object>
      </w:r>
    </w:p>
    <w:p w14:paraId="6E2CCA29" w14:textId="77777777" w:rsidR="00411620" w:rsidRDefault="00411620" w:rsidP="00411620">
      <w:pPr>
        <w:tabs>
          <w:tab w:val="left" w:pos="2840"/>
        </w:tabs>
        <w:spacing w:line="216" w:lineRule="auto"/>
        <w:rPr>
          <w:rFonts w:eastAsiaTheme="minorEastAsia"/>
          <w:i/>
          <w:sz w:val="23"/>
          <w:szCs w:val="23"/>
        </w:rPr>
      </w:pPr>
      <w:r w:rsidRPr="0026684F">
        <w:rPr>
          <w:rFonts w:eastAsiaTheme="minorEastAsia" w:hint="cs"/>
          <w:i/>
          <w:sz w:val="23"/>
          <w:szCs w:val="23"/>
          <w:rtl/>
        </w:rPr>
        <w:t xml:space="preserve">که همانند نتایج قبل است. اگر نابرابری </w:t>
      </w:r>
      <w:r w:rsidRPr="00703635">
        <w:rPr>
          <w:position w:val="-30"/>
        </w:rPr>
        <w:object w:dxaOrig="1480" w:dyaOrig="700" w14:anchorId="08CDEE2E">
          <v:shape id="_x0000_i2758" type="#_x0000_t75" style="width:73.8pt;height:35.1pt" o:ole="">
            <v:imagedata r:id="rId3502" o:title=""/>
          </v:shape>
          <o:OLEObject Type="Embed" ProgID="Equation.DSMT4" ShapeID="_x0000_i2758" DrawAspect="Content" ObjectID="_1791376702" r:id="rId3503"/>
        </w:object>
      </w:r>
      <w:r w:rsidRPr="0026684F">
        <w:rPr>
          <w:rFonts w:eastAsiaTheme="minorEastAsia" w:hint="cs"/>
          <w:i/>
          <w:sz w:val="23"/>
          <w:szCs w:val="23"/>
          <w:rtl/>
        </w:rPr>
        <w:t xml:space="preserve"> برقرار باشد آنگاه نسبت بدهی به </w:t>
      </w:r>
      <w:r w:rsidRPr="0026684F">
        <w:rPr>
          <w:rFonts w:eastAsiaTheme="minorEastAsia"/>
          <w:i/>
          <w:sz w:val="23"/>
          <w:szCs w:val="23"/>
        </w:rPr>
        <w:t>GDP</w:t>
      </w:r>
      <w:r w:rsidRPr="0026684F">
        <w:rPr>
          <w:rFonts w:eastAsiaTheme="minorEastAsia" w:hint="cs"/>
          <w:i/>
          <w:sz w:val="23"/>
          <w:szCs w:val="23"/>
          <w:rtl/>
        </w:rPr>
        <w:t xml:space="preserve"> مرتباً کاهش می</w:t>
      </w:r>
      <w:r w:rsidRPr="0026684F">
        <w:rPr>
          <w:rFonts w:eastAsiaTheme="minorEastAsia"/>
          <w:i/>
          <w:sz w:val="23"/>
          <w:szCs w:val="23"/>
          <w:rtl/>
        </w:rPr>
        <w:softHyphen/>
      </w:r>
      <w:r w:rsidRPr="0026684F">
        <w:rPr>
          <w:rFonts w:eastAsiaTheme="minorEastAsia" w:hint="cs"/>
          <w:i/>
          <w:sz w:val="23"/>
          <w:szCs w:val="23"/>
          <w:rtl/>
        </w:rPr>
        <w:t xml:space="preserve">یابد، و چنانچه </w:t>
      </w:r>
      <w:r w:rsidRPr="00703635">
        <w:rPr>
          <w:position w:val="-30"/>
        </w:rPr>
        <w:object w:dxaOrig="1480" w:dyaOrig="700" w14:anchorId="5F3711EE">
          <v:shape id="_x0000_i2759" type="#_x0000_t75" style="width:73.8pt;height:35.1pt" o:ole="">
            <v:imagedata r:id="rId3504" o:title=""/>
          </v:shape>
          <o:OLEObject Type="Embed" ProgID="Equation.DSMT4" ShapeID="_x0000_i2759" DrawAspect="Content" ObjectID="_1791376703" r:id="rId3505"/>
        </w:object>
      </w:r>
      <w:r w:rsidRPr="0026684F">
        <w:rPr>
          <w:rFonts w:eastAsiaTheme="minorEastAsia" w:hint="cs"/>
          <w:i/>
          <w:sz w:val="23"/>
          <w:szCs w:val="23"/>
          <w:rtl/>
        </w:rPr>
        <w:t xml:space="preserve"> باشد آنگاه نسبت بدهی به </w:t>
      </w:r>
      <w:r w:rsidRPr="0026684F">
        <w:rPr>
          <w:rFonts w:eastAsiaTheme="minorEastAsia"/>
          <w:i/>
          <w:sz w:val="23"/>
          <w:szCs w:val="23"/>
        </w:rPr>
        <w:t>GDP</w:t>
      </w:r>
      <w:r w:rsidRPr="0026684F">
        <w:rPr>
          <w:rFonts w:eastAsiaTheme="minorEastAsia" w:hint="cs"/>
          <w:i/>
          <w:sz w:val="23"/>
          <w:szCs w:val="23"/>
          <w:rtl/>
        </w:rPr>
        <w:t xml:space="preserve"> ثابت می</w:t>
      </w:r>
      <w:r w:rsidRPr="0026684F">
        <w:rPr>
          <w:rFonts w:eastAsiaTheme="minorEastAsia"/>
          <w:i/>
          <w:sz w:val="23"/>
          <w:szCs w:val="23"/>
          <w:rtl/>
        </w:rPr>
        <w:softHyphen/>
      </w:r>
      <w:r w:rsidRPr="0026684F">
        <w:rPr>
          <w:rFonts w:eastAsiaTheme="minorEastAsia" w:hint="cs"/>
          <w:i/>
          <w:sz w:val="23"/>
          <w:szCs w:val="23"/>
          <w:rtl/>
        </w:rPr>
        <w:t xml:space="preserve">ماند و بالاخره اگر نابرابری </w:t>
      </w:r>
      <w:r w:rsidRPr="00703635">
        <w:rPr>
          <w:position w:val="-30"/>
        </w:rPr>
        <w:object w:dxaOrig="1500" w:dyaOrig="700" w14:anchorId="5EB7D2A4">
          <v:shape id="_x0000_i2760" type="#_x0000_t75" style="width:75.05pt;height:35.1pt" o:ole="">
            <v:imagedata r:id="rId3506" o:title=""/>
          </v:shape>
          <o:OLEObject Type="Embed" ProgID="Equation.DSMT4" ShapeID="_x0000_i2760" DrawAspect="Content" ObjectID="_1791376704" r:id="rId3507"/>
        </w:object>
      </w:r>
      <w:r w:rsidRPr="0026684F">
        <w:rPr>
          <w:rFonts w:eastAsiaTheme="minorEastAsia" w:hint="cs"/>
          <w:i/>
          <w:sz w:val="23"/>
          <w:szCs w:val="23"/>
          <w:rtl/>
        </w:rPr>
        <w:t xml:space="preserve"> برقرار باشد آنگاه نسبت بدهی به </w:t>
      </w:r>
      <w:r w:rsidRPr="0026684F">
        <w:rPr>
          <w:rFonts w:eastAsiaTheme="minorEastAsia"/>
          <w:i/>
          <w:sz w:val="23"/>
          <w:szCs w:val="23"/>
        </w:rPr>
        <w:t>GDP</w:t>
      </w:r>
      <w:r w:rsidRPr="0026684F">
        <w:rPr>
          <w:rFonts w:eastAsiaTheme="minorEastAsia" w:hint="cs"/>
          <w:i/>
          <w:sz w:val="23"/>
          <w:szCs w:val="23"/>
          <w:rtl/>
        </w:rPr>
        <w:t xml:space="preserve"> مرتباً افزایش می</w:t>
      </w:r>
      <w:r w:rsidRPr="0026684F">
        <w:rPr>
          <w:rFonts w:eastAsiaTheme="minorEastAsia"/>
          <w:i/>
          <w:sz w:val="23"/>
          <w:szCs w:val="23"/>
          <w:rtl/>
        </w:rPr>
        <w:softHyphen/>
      </w:r>
      <w:r w:rsidRPr="0026684F">
        <w:rPr>
          <w:rFonts w:eastAsiaTheme="minorEastAsia" w:hint="cs"/>
          <w:i/>
          <w:sz w:val="23"/>
          <w:szCs w:val="23"/>
          <w:rtl/>
        </w:rPr>
        <w:t xml:space="preserve">یابد، در این صورت وضعیت مالی دولت ناپایدار خواهد بود. </w:t>
      </w:r>
    </w:p>
    <w:p w14:paraId="4754678D" w14:textId="77777777" w:rsidR="00411620" w:rsidRPr="0026684F" w:rsidRDefault="00411620" w:rsidP="00411620">
      <w:pPr>
        <w:tabs>
          <w:tab w:val="left" w:pos="2840"/>
        </w:tabs>
        <w:spacing w:line="216" w:lineRule="auto"/>
        <w:rPr>
          <w:rFonts w:eastAsiaTheme="minorEastAsia"/>
          <w:i/>
          <w:sz w:val="23"/>
          <w:szCs w:val="23"/>
          <w:rtl/>
        </w:rPr>
      </w:pPr>
    </w:p>
    <w:p w14:paraId="0C15725A" w14:textId="77777777" w:rsidR="00411620" w:rsidRPr="0026684F" w:rsidRDefault="00411620" w:rsidP="00411620">
      <w:pPr>
        <w:pStyle w:val="Heading1"/>
        <w:spacing w:before="0" w:after="0" w:line="216" w:lineRule="auto"/>
        <w:rPr>
          <w:rFonts w:ascii="Times New Roman" w:eastAsiaTheme="minorEastAsia" w:hAnsi="Times New Roman" w:cs="B Nazanin"/>
          <w:b w:val="0"/>
          <w:i/>
          <w:sz w:val="23"/>
          <w:szCs w:val="23"/>
          <w:rtl/>
        </w:rPr>
      </w:pPr>
      <w:r w:rsidRPr="0026684F">
        <w:rPr>
          <w:rFonts w:ascii="Times New Roman" w:eastAsiaTheme="minorEastAsia" w:hAnsi="Times New Roman" w:cs="B Nazanin" w:hint="cs"/>
          <w:b w:val="0"/>
          <w:i/>
          <w:sz w:val="23"/>
          <w:szCs w:val="23"/>
          <w:rtl/>
        </w:rPr>
        <w:t>۵. ۵ پیمان رشد و ثبات اتحادیه</w:t>
      </w:r>
      <w:r w:rsidRPr="0026684F">
        <w:rPr>
          <w:rFonts w:ascii="Times New Roman" w:eastAsiaTheme="minorEastAsia" w:hAnsi="Times New Roman" w:cs="B Nazanin"/>
          <w:b w:val="0"/>
          <w:i/>
          <w:sz w:val="23"/>
          <w:szCs w:val="23"/>
          <w:rtl/>
        </w:rPr>
        <w:softHyphen/>
      </w:r>
      <w:r w:rsidRPr="0026684F">
        <w:rPr>
          <w:rFonts w:ascii="Times New Roman" w:eastAsiaTheme="minorEastAsia" w:hAnsi="Times New Roman" w:cs="B Nazanin" w:hint="cs"/>
          <w:b w:val="0"/>
          <w:i/>
          <w:sz w:val="23"/>
          <w:szCs w:val="23"/>
          <w:rtl/>
        </w:rPr>
        <w:t>ی اروپا</w:t>
      </w:r>
    </w:p>
    <w:p w14:paraId="2DD0B047"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در پیمان رشد و ثبات اتحادیه</w:t>
      </w:r>
      <w:r w:rsidRPr="0026684F">
        <w:rPr>
          <w:rFonts w:eastAsiaTheme="minorEastAsia"/>
          <w:i/>
          <w:sz w:val="23"/>
          <w:szCs w:val="23"/>
          <w:rtl/>
        </w:rPr>
        <w:softHyphen/>
      </w:r>
      <w:r w:rsidRPr="0026684F">
        <w:rPr>
          <w:rFonts w:eastAsiaTheme="minorEastAsia" w:hint="cs"/>
          <w:i/>
          <w:sz w:val="23"/>
          <w:szCs w:val="23"/>
          <w:rtl/>
        </w:rPr>
        <w:t xml:space="preserve">ی اروپا توافق شده است که حداکثر نسبت بدهی دولت به </w:t>
      </w:r>
      <w:r w:rsidRPr="0026684F">
        <w:rPr>
          <w:rFonts w:eastAsiaTheme="minorEastAsia"/>
          <w:i/>
          <w:sz w:val="23"/>
          <w:szCs w:val="23"/>
        </w:rPr>
        <w:t>GDP</w:t>
      </w:r>
      <w:r w:rsidRPr="0026684F">
        <w:rPr>
          <w:rFonts w:eastAsiaTheme="minorEastAsia" w:hint="cs"/>
          <w:i/>
          <w:sz w:val="23"/>
          <w:szCs w:val="23"/>
          <w:rtl/>
        </w:rPr>
        <w:t xml:space="preserve"> برابر ۶۰ درصد و حداکثر کسری بودجه</w:t>
      </w:r>
      <w:r w:rsidRPr="0026684F">
        <w:rPr>
          <w:rFonts w:eastAsiaTheme="minorEastAsia"/>
          <w:i/>
          <w:sz w:val="23"/>
          <w:szCs w:val="23"/>
          <w:rtl/>
        </w:rPr>
        <w:softHyphen/>
      </w:r>
      <w:r w:rsidRPr="0026684F">
        <w:rPr>
          <w:rFonts w:eastAsiaTheme="minorEastAsia" w:hint="cs"/>
          <w:i/>
          <w:sz w:val="23"/>
          <w:szCs w:val="23"/>
          <w:rtl/>
        </w:rPr>
        <w:t xml:space="preserve">ی کل دولت به </w:t>
      </w:r>
      <w:r w:rsidRPr="0026684F">
        <w:rPr>
          <w:rFonts w:eastAsiaTheme="minorEastAsia"/>
          <w:i/>
          <w:sz w:val="23"/>
          <w:szCs w:val="23"/>
        </w:rPr>
        <w:t>GDP</w:t>
      </w:r>
      <w:r w:rsidRPr="0026684F">
        <w:rPr>
          <w:rFonts w:eastAsiaTheme="minorEastAsia" w:hint="cs"/>
          <w:i/>
          <w:sz w:val="23"/>
          <w:szCs w:val="23"/>
          <w:rtl/>
        </w:rPr>
        <w:t xml:space="preserve"> برابر ۳ درصد باشد. ازآنجاکه در رابطه</w:t>
      </w:r>
      <w:r w:rsidRPr="0026684F">
        <w:rPr>
          <w:rFonts w:eastAsiaTheme="minorEastAsia"/>
          <w:i/>
          <w:sz w:val="23"/>
          <w:szCs w:val="23"/>
          <w:rtl/>
        </w:rPr>
        <w:softHyphen/>
      </w:r>
      <w:r w:rsidRPr="0026684F">
        <w:rPr>
          <w:rFonts w:eastAsiaTheme="minorEastAsia" w:hint="cs"/>
          <w:i/>
          <w:sz w:val="23"/>
          <w:szCs w:val="23"/>
          <w:rtl/>
        </w:rPr>
        <w:t>ی</w:t>
      </w:r>
      <w:r w:rsidRPr="0026684F">
        <w:rPr>
          <w:rFonts w:hint="cs"/>
          <w:i/>
          <w:sz w:val="23"/>
          <w:szCs w:val="23"/>
          <w:rtl/>
        </w:rPr>
        <w:t xml:space="preserve"> (۵. ۱۶)</w:t>
      </w:r>
      <w:r w:rsidRPr="0026684F">
        <w:rPr>
          <w:rFonts w:eastAsiaTheme="minorEastAsia"/>
          <w:i/>
          <w:sz w:val="23"/>
          <w:szCs w:val="23"/>
          <w:rtl/>
        </w:rPr>
        <w:t xml:space="preserve"> </w:t>
      </w:r>
      <w:r w:rsidRPr="0026684F">
        <w:rPr>
          <w:rFonts w:eastAsiaTheme="minorEastAsia" w:hint="cs"/>
          <w:i/>
          <w:sz w:val="23"/>
          <w:szCs w:val="23"/>
          <w:rtl/>
        </w:rPr>
        <w:t>داشتیم</w:t>
      </w:r>
    </w:p>
    <w:p w14:paraId="3A075581"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30"/>
        </w:rPr>
        <w:object w:dxaOrig="1520" w:dyaOrig="700" w14:anchorId="4D18CF18">
          <v:shape id="_x0000_i2761" type="#_x0000_t75" style="width:76.25pt;height:35.1pt" o:ole="">
            <v:imagedata r:id="rId3508" o:title=""/>
          </v:shape>
          <o:OLEObject Type="Embed" ProgID="Equation.DSMT4" ShapeID="_x0000_i2761" DrawAspect="Content" ObjectID="_1791376705" r:id="rId3509"/>
        </w:object>
      </w:r>
    </w:p>
    <w:p w14:paraId="46681B2B"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بنابراین</w:t>
      </w:r>
    </w:p>
    <w:p w14:paraId="22E70A47" w14:textId="77777777" w:rsidR="00411620" w:rsidRPr="0026684F" w:rsidRDefault="00411620" w:rsidP="00411620">
      <w:pPr>
        <w:tabs>
          <w:tab w:val="left" w:pos="2840"/>
        </w:tabs>
        <w:bidi w:val="0"/>
        <w:spacing w:line="216" w:lineRule="auto"/>
        <w:rPr>
          <w:i/>
          <w:sz w:val="23"/>
          <w:szCs w:val="23"/>
        </w:rPr>
      </w:pPr>
      <w:r w:rsidRPr="00703635">
        <w:rPr>
          <w:position w:val="-26"/>
        </w:rPr>
        <w:object w:dxaOrig="3320" w:dyaOrig="600" w14:anchorId="4BCDACAD">
          <v:shape id="_x0000_i2762" type="#_x0000_t75" style="width:165.8pt;height:29.65pt" o:ole="">
            <v:imagedata r:id="rId3510" o:title=""/>
          </v:shape>
          <o:OLEObject Type="Embed" ProgID="Equation.DSMT4" ShapeID="_x0000_i2762" DrawAspect="Content" ObjectID="_1791376706" r:id="rId3511"/>
        </w:object>
      </w:r>
    </w:p>
    <w:p w14:paraId="14820E7A" w14:textId="77777777" w:rsidR="00411620" w:rsidRPr="0026684F" w:rsidRDefault="00411620" w:rsidP="00411620">
      <w:pPr>
        <w:tabs>
          <w:tab w:val="left" w:pos="2840"/>
        </w:tabs>
        <w:spacing w:line="216" w:lineRule="auto"/>
        <w:rPr>
          <w:rFonts w:eastAsiaTheme="minorEastAsia"/>
          <w:i/>
          <w:sz w:val="23"/>
          <w:szCs w:val="23"/>
          <w:rtl/>
        </w:rPr>
      </w:pPr>
      <w:r w:rsidRPr="0026684F">
        <w:rPr>
          <w:rFonts w:hint="cs"/>
          <w:i/>
          <w:sz w:val="23"/>
          <w:szCs w:val="23"/>
          <w:rtl/>
        </w:rPr>
        <w:lastRenderedPageBreak/>
        <w:t>لذا علیرغم نسبت</w:t>
      </w:r>
      <w:r w:rsidRPr="0026684F">
        <w:rPr>
          <w:i/>
          <w:sz w:val="23"/>
          <w:szCs w:val="23"/>
          <w:rtl/>
        </w:rPr>
        <w:softHyphen/>
      </w:r>
      <w:r w:rsidRPr="0026684F">
        <w:rPr>
          <w:rFonts w:hint="cs"/>
          <w:i/>
          <w:sz w:val="23"/>
          <w:szCs w:val="23"/>
          <w:rtl/>
        </w:rPr>
        <w:t>های</w:t>
      </w:r>
      <w:r w:rsidRPr="00703635">
        <w:rPr>
          <w:position w:val="-28"/>
        </w:rPr>
        <w:object w:dxaOrig="300" w:dyaOrig="639" w14:anchorId="2C664456">
          <v:shape id="_x0000_i2763" type="#_x0000_t75" style="width:14.5pt;height:32.05pt" o:ole="">
            <v:imagedata r:id="rId3512" o:title=""/>
          </v:shape>
          <o:OLEObject Type="Embed" ProgID="Equation.DSMT4" ShapeID="_x0000_i2763" DrawAspect="Content" ObjectID="_1791376707" r:id="rId3513"/>
        </w:object>
      </w:r>
      <w:r w:rsidRPr="0026684F">
        <w:rPr>
          <w:rFonts w:eastAsiaTheme="minorEastAsia" w:hint="cs"/>
          <w:i/>
          <w:sz w:val="23"/>
          <w:szCs w:val="23"/>
          <w:rtl/>
        </w:rPr>
        <w:t xml:space="preserve"> و </w:t>
      </w:r>
      <w:r w:rsidRPr="00703635">
        <w:rPr>
          <w:position w:val="-28"/>
        </w:rPr>
        <w:object w:dxaOrig="340" w:dyaOrig="639" w14:anchorId="6A5868C3">
          <v:shape id="_x0000_i2764" type="#_x0000_t75" style="width:16.95pt;height:32.05pt" o:ole="">
            <v:imagedata r:id="rId3514" o:title=""/>
          </v:shape>
          <o:OLEObject Type="Embed" ProgID="Equation.DSMT4" ShapeID="_x0000_i2764" DrawAspect="Content" ObjectID="_1791376708" r:id="rId3515"/>
        </w:object>
      </w:r>
      <w:r w:rsidRPr="0026684F">
        <w:rPr>
          <w:rFonts w:eastAsiaTheme="minorEastAsia" w:hint="cs"/>
          <w:i/>
          <w:sz w:val="23"/>
          <w:szCs w:val="23"/>
          <w:rtl/>
        </w:rPr>
        <w:t>، رشد</w:t>
      </w:r>
      <w:r w:rsidRPr="0026684F">
        <w:rPr>
          <w:rFonts w:eastAsiaTheme="minorEastAsia"/>
          <w:i/>
          <w:sz w:val="23"/>
          <w:szCs w:val="23"/>
        </w:rPr>
        <w:t xml:space="preserve">GDP </w:t>
      </w:r>
      <w:r w:rsidRPr="0026684F">
        <w:rPr>
          <w:rFonts w:eastAsiaTheme="minorEastAsia" w:hint="cs"/>
          <w:i/>
          <w:sz w:val="23"/>
          <w:szCs w:val="23"/>
          <w:rtl/>
        </w:rPr>
        <w:t xml:space="preserve"> اسمی نباید کمتر از پنج درصد باشد. اگر رشد </w:t>
      </w:r>
      <w:r w:rsidRPr="0026684F">
        <w:rPr>
          <w:rFonts w:eastAsiaTheme="minorEastAsia"/>
          <w:i/>
          <w:sz w:val="23"/>
          <w:szCs w:val="23"/>
        </w:rPr>
        <w:t xml:space="preserve">GDP </w:t>
      </w:r>
      <w:r w:rsidRPr="0026684F">
        <w:rPr>
          <w:rFonts w:eastAsiaTheme="minorEastAsia" w:hint="cs"/>
          <w:i/>
          <w:sz w:val="23"/>
          <w:szCs w:val="23"/>
          <w:rtl/>
        </w:rPr>
        <w:t xml:space="preserve"> اسمی کمتر از پنج درصد باشد و</w:t>
      </w:r>
      <w:r w:rsidRPr="00703635">
        <w:rPr>
          <w:position w:val="-28"/>
        </w:rPr>
        <w:object w:dxaOrig="340" w:dyaOrig="639" w14:anchorId="5CB7F2A8">
          <v:shape id="_x0000_i2765" type="#_x0000_t75" style="width:16.95pt;height:32.05pt" o:ole="">
            <v:imagedata r:id="rId3516" o:title=""/>
          </v:shape>
          <o:OLEObject Type="Embed" ProgID="Equation.DSMT4" ShapeID="_x0000_i2765" DrawAspect="Content" ObjectID="_1791376709" r:id="rId3517"/>
        </w:object>
      </w:r>
      <w:r w:rsidRPr="0026684F">
        <w:rPr>
          <w:rFonts w:eastAsiaTheme="minorEastAsia" w:hint="cs"/>
          <w:i/>
          <w:sz w:val="23"/>
          <w:szCs w:val="23"/>
          <w:rtl/>
        </w:rPr>
        <w:t xml:space="preserve"> سه درصد باشد، آنگاه نسبت</w:t>
      </w:r>
      <w:r w:rsidRPr="00703635">
        <w:rPr>
          <w:position w:val="-28"/>
        </w:rPr>
        <w:object w:dxaOrig="300" w:dyaOrig="639" w14:anchorId="17E4ED80">
          <v:shape id="_x0000_i2766" type="#_x0000_t75" style="width:14.5pt;height:32.05pt" o:ole="">
            <v:imagedata r:id="rId3518" o:title=""/>
          </v:shape>
          <o:OLEObject Type="Embed" ProgID="Equation.DSMT4" ShapeID="_x0000_i2766" DrawAspect="Content" ObjectID="_1791376710" r:id="rId3519"/>
        </w:object>
      </w:r>
      <w:r w:rsidRPr="0026684F">
        <w:rPr>
          <w:rFonts w:eastAsiaTheme="minorEastAsia" w:hint="cs"/>
          <w:i/>
          <w:sz w:val="23"/>
          <w:szCs w:val="23"/>
          <w:rtl/>
        </w:rPr>
        <w:t xml:space="preserve"> مرتباً افزایش می</w:t>
      </w:r>
      <w:r w:rsidRPr="0026684F">
        <w:rPr>
          <w:rFonts w:eastAsiaTheme="minorEastAsia"/>
          <w:i/>
          <w:sz w:val="23"/>
          <w:szCs w:val="23"/>
          <w:rtl/>
        </w:rPr>
        <w:softHyphen/>
      </w:r>
      <w:r w:rsidRPr="0026684F">
        <w:rPr>
          <w:rFonts w:eastAsiaTheme="minorEastAsia" w:hint="cs"/>
          <w:i/>
          <w:sz w:val="23"/>
          <w:szCs w:val="23"/>
          <w:rtl/>
        </w:rPr>
        <w:t xml:space="preserve">یابد. </w:t>
      </w:r>
      <w:r w:rsidRPr="0026684F">
        <w:rPr>
          <w:rFonts w:hint="cs"/>
          <w:i/>
          <w:sz w:val="23"/>
          <w:szCs w:val="23"/>
          <w:rtl/>
        </w:rPr>
        <w:t xml:space="preserve">البته </w:t>
      </w:r>
      <w:r w:rsidRPr="0026684F">
        <w:rPr>
          <w:rFonts w:eastAsiaTheme="minorEastAsia" w:hint="cs"/>
          <w:i/>
          <w:sz w:val="23"/>
          <w:szCs w:val="23"/>
          <w:rtl/>
        </w:rPr>
        <w:t>پیمان رشد و ثبات اتحادیه</w:t>
      </w:r>
      <w:r w:rsidRPr="0026684F">
        <w:rPr>
          <w:rFonts w:eastAsiaTheme="minorEastAsia"/>
          <w:i/>
          <w:sz w:val="23"/>
          <w:szCs w:val="23"/>
          <w:rtl/>
        </w:rPr>
        <w:softHyphen/>
      </w:r>
      <w:r w:rsidRPr="0026684F">
        <w:rPr>
          <w:rFonts w:eastAsiaTheme="minorEastAsia" w:hint="cs"/>
          <w:i/>
          <w:sz w:val="23"/>
          <w:szCs w:val="23"/>
          <w:rtl/>
        </w:rPr>
        <w:t>ی اروپا برای پایداری وضعیت مالی دولت، شرط لازم و نه شرط کافی است. زیرا اگر نسبت</w:t>
      </w:r>
      <w:r w:rsidRPr="0026684F">
        <w:rPr>
          <w:rFonts w:eastAsiaTheme="minorEastAsia"/>
          <w:i/>
          <w:sz w:val="23"/>
          <w:szCs w:val="23"/>
          <w:rtl/>
        </w:rPr>
        <w:softHyphen/>
      </w:r>
      <w:r w:rsidRPr="0026684F">
        <w:rPr>
          <w:rFonts w:eastAsiaTheme="minorEastAsia" w:hint="cs"/>
          <w:i/>
          <w:sz w:val="23"/>
          <w:szCs w:val="23"/>
          <w:rtl/>
        </w:rPr>
        <w:t>های بدهی و کسری بودجه</w:t>
      </w:r>
      <w:r w:rsidRPr="0026684F">
        <w:rPr>
          <w:rFonts w:eastAsiaTheme="minorEastAsia"/>
          <w:i/>
          <w:sz w:val="23"/>
          <w:szCs w:val="23"/>
          <w:rtl/>
        </w:rPr>
        <w:softHyphen/>
      </w:r>
      <w:r w:rsidRPr="0026684F">
        <w:rPr>
          <w:rFonts w:eastAsiaTheme="minorEastAsia" w:hint="cs"/>
          <w:i/>
          <w:sz w:val="23"/>
          <w:szCs w:val="23"/>
          <w:rtl/>
        </w:rPr>
        <w:t xml:space="preserve">ی دولت به </w:t>
      </w:r>
      <w:r w:rsidRPr="0026684F">
        <w:rPr>
          <w:rFonts w:eastAsiaTheme="minorEastAsia"/>
          <w:i/>
          <w:sz w:val="23"/>
          <w:szCs w:val="23"/>
        </w:rPr>
        <w:t>GDP</w:t>
      </w:r>
      <w:r w:rsidRPr="0026684F">
        <w:rPr>
          <w:rFonts w:eastAsiaTheme="minorEastAsia" w:hint="cs"/>
          <w:i/>
          <w:sz w:val="23"/>
          <w:szCs w:val="23"/>
          <w:rtl/>
        </w:rPr>
        <w:t xml:space="preserve"> بیشتر از حدّ توافق شده باشد آنگاه هنوز با نرخ رشد </w:t>
      </w:r>
      <w:r w:rsidRPr="0026684F">
        <w:rPr>
          <w:rFonts w:eastAsiaTheme="minorEastAsia"/>
          <w:i/>
          <w:sz w:val="23"/>
          <w:szCs w:val="23"/>
        </w:rPr>
        <w:t>GDP</w:t>
      </w:r>
      <w:r w:rsidRPr="0026684F">
        <w:rPr>
          <w:rFonts w:eastAsiaTheme="minorEastAsia" w:hint="cs"/>
          <w:i/>
          <w:sz w:val="23"/>
          <w:szCs w:val="23"/>
          <w:rtl/>
        </w:rPr>
        <w:t xml:space="preserve"> اسمی خاصی پایداری وضعیت مالی دولت تضمین می</w:t>
      </w:r>
      <w:r w:rsidRPr="0026684F">
        <w:rPr>
          <w:rFonts w:eastAsiaTheme="minorEastAsia"/>
          <w:i/>
          <w:sz w:val="23"/>
          <w:szCs w:val="23"/>
          <w:rtl/>
        </w:rPr>
        <w:softHyphen/>
      </w:r>
      <w:r w:rsidRPr="0026684F">
        <w:rPr>
          <w:rFonts w:eastAsiaTheme="minorEastAsia" w:hint="cs"/>
          <w:i/>
          <w:sz w:val="23"/>
          <w:szCs w:val="23"/>
          <w:rtl/>
        </w:rPr>
        <w:t>شود. به</w:t>
      </w:r>
      <w:r w:rsidRPr="0026684F">
        <w:rPr>
          <w:rFonts w:eastAsiaTheme="minorEastAsia"/>
          <w:i/>
          <w:sz w:val="23"/>
          <w:szCs w:val="23"/>
          <w:rtl/>
        </w:rPr>
        <w:softHyphen/>
      </w:r>
      <w:r w:rsidRPr="0026684F">
        <w:rPr>
          <w:rFonts w:eastAsiaTheme="minorEastAsia" w:hint="cs"/>
          <w:i/>
          <w:sz w:val="23"/>
          <w:szCs w:val="23"/>
          <w:rtl/>
        </w:rPr>
        <w:t xml:space="preserve">عنوان مثال اگر </w:t>
      </w:r>
      <w:r w:rsidRPr="00703635">
        <w:rPr>
          <w:position w:val="-10"/>
        </w:rPr>
        <w:object w:dxaOrig="1140" w:dyaOrig="320" w14:anchorId="44781281">
          <v:shape id="_x0000_i2767" type="#_x0000_t75" style="width:57.5pt;height:15.75pt" o:ole="">
            <v:imagedata r:id="rId3520" o:title=""/>
          </v:shape>
          <o:OLEObject Type="Embed" ProgID="Equation.DSMT4" ShapeID="_x0000_i2767" DrawAspect="Content" ObjectID="_1791376711" r:id="rId3521"/>
        </w:object>
      </w:r>
      <w:r w:rsidRPr="0026684F">
        <w:rPr>
          <w:rFonts w:eastAsiaTheme="minorEastAsia" w:hint="cs"/>
          <w:i/>
          <w:sz w:val="23"/>
          <w:szCs w:val="23"/>
          <w:rtl/>
        </w:rPr>
        <w:t xml:space="preserve"> و </w:t>
      </w:r>
      <w:r w:rsidRPr="00703635">
        <w:rPr>
          <w:position w:val="-10"/>
        </w:rPr>
        <w:object w:dxaOrig="1200" w:dyaOrig="320" w14:anchorId="4D6AB1E2">
          <v:shape id="_x0000_i2768" type="#_x0000_t75" style="width:59.9pt;height:15.75pt" o:ole="">
            <v:imagedata r:id="rId3522" o:title=""/>
          </v:shape>
          <o:OLEObject Type="Embed" ProgID="Equation.DSMT4" ShapeID="_x0000_i2768" DrawAspect="Content" ObjectID="_1791376712" r:id="rId3523"/>
        </w:object>
      </w:r>
      <w:r w:rsidRPr="0026684F">
        <w:rPr>
          <w:rFonts w:eastAsiaTheme="minorEastAsia" w:hint="cs"/>
          <w:i/>
          <w:sz w:val="23"/>
          <w:szCs w:val="23"/>
          <w:rtl/>
        </w:rPr>
        <w:t xml:space="preserve"> باشد آنگاه نرخ رشد </w:t>
      </w:r>
      <w:r w:rsidRPr="0026684F">
        <w:rPr>
          <w:rFonts w:eastAsiaTheme="minorEastAsia"/>
          <w:i/>
          <w:sz w:val="23"/>
          <w:szCs w:val="23"/>
        </w:rPr>
        <w:t>GDP</w:t>
      </w:r>
      <w:r w:rsidRPr="0026684F">
        <w:rPr>
          <w:rFonts w:eastAsiaTheme="minorEastAsia" w:hint="cs"/>
          <w:i/>
          <w:sz w:val="23"/>
          <w:szCs w:val="23"/>
          <w:rtl/>
        </w:rPr>
        <w:t xml:space="preserve"> اسمی باید</w:t>
      </w:r>
      <w:r w:rsidRPr="00703635">
        <w:rPr>
          <w:position w:val="-10"/>
        </w:rPr>
        <w:object w:dxaOrig="1040" w:dyaOrig="300" w14:anchorId="11370ED6">
          <v:shape id="_x0000_i2769" type="#_x0000_t75" style="width:52.05pt;height:14.5pt" o:ole="">
            <v:imagedata r:id="rId3524" o:title=""/>
          </v:shape>
          <o:OLEObject Type="Embed" ProgID="Equation.DSMT4" ShapeID="_x0000_i2769" DrawAspect="Content" ObjectID="_1791376713" r:id="rId3525"/>
        </w:object>
      </w:r>
      <w:r w:rsidRPr="0026684F">
        <w:rPr>
          <w:rFonts w:eastAsiaTheme="minorEastAsia" w:hint="cs"/>
          <w:i/>
          <w:sz w:val="23"/>
          <w:szCs w:val="23"/>
          <w:rtl/>
        </w:rPr>
        <w:t xml:space="preserve"> باشد. و اگر </w:t>
      </w:r>
      <w:r w:rsidRPr="00703635">
        <w:rPr>
          <w:position w:val="-10"/>
        </w:rPr>
        <w:object w:dxaOrig="1200" w:dyaOrig="320" w14:anchorId="0840D228">
          <v:shape id="_x0000_i2770" type="#_x0000_t75" style="width:59.9pt;height:15.75pt" o:ole="">
            <v:imagedata r:id="rId3526" o:title=""/>
          </v:shape>
          <o:OLEObject Type="Embed" ProgID="Equation.DSMT4" ShapeID="_x0000_i2770" DrawAspect="Content" ObjectID="_1791376714" r:id="rId3527"/>
        </w:object>
      </w:r>
      <w:r w:rsidRPr="0026684F">
        <w:rPr>
          <w:rFonts w:eastAsiaTheme="minorEastAsia" w:hint="cs"/>
          <w:i/>
          <w:sz w:val="23"/>
          <w:szCs w:val="23"/>
          <w:rtl/>
        </w:rPr>
        <w:t xml:space="preserve"> و</w:t>
      </w:r>
      <w:r w:rsidRPr="00703635">
        <w:rPr>
          <w:position w:val="-10"/>
        </w:rPr>
        <w:object w:dxaOrig="1140" w:dyaOrig="320" w14:anchorId="39CAF4AA">
          <v:shape id="_x0000_i2771" type="#_x0000_t75" style="width:57.5pt;height:15.75pt" o:ole="">
            <v:imagedata r:id="rId3528" o:title=""/>
          </v:shape>
          <o:OLEObject Type="Embed" ProgID="Equation.DSMT4" ShapeID="_x0000_i2771" DrawAspect="Content" ObjectID="_1791376715" r:id="rId3529"/>
        </w:object>
      </w:r>
      <w:r w:rsidRPr="0026684F">
        <w:rPr>
          <w:rFonts w:eastAsiaTheme="minorEastAsia" w:hint="cs"/>
          <w:i/>
          <w:sz w:val="23"/>
          <w:szCs w:val="23"/>
          <w:rtl/>
        </w:rPr>
        <w:t xml:space="preserve"> باشد آنگاه نرخ رشد </w:t>
      </w:r>
      <w:r w:rsidRPr="0026684F">
        <w:rPr>
          <w:rFonts w:eastAsiaTheme="minorEastAsia"/>
          <w:i/>
          <w:sz w:val="23"/>
          <w:szCs w:val="23"/>
        </w:rPr>
        <w:t>GDP</w:t>
      </w:r>
      <w:r w:rsidRPr="0026684F">
        <w:rPr>
          <w:rFonts w:eastAsiaTheme="minorEastAsia" w:hint="cs"/>
          <w:i/>
          <w:sz w:val="23"/>
          <w:szCs w:val="23"/>
          <w:rtl/>
        </w:rPr>
        <w:t xml:space="preserve"> اسمی باید</w:t>
      </w:r>
      <w:r w:rsidRPr="00703635">
        <w:rPr>
          <w:position w:val="-10"/>
        </w:rPr>
        <w:object w:dxaOrig="1020" w:dyaOrig="300" w14:anchorId="3A18F713">
          <v:shape id="_x0000_i2772" type="#_x0000_t75" style="width:50.8pt;height:14.5pt" o:ole="">
            <v:imagedata r:id="rId3530" o:title=""/>
          </v:shape>
          <o:OLEObject Type="Embed" ProgID="Equation.DSMT4" ShapeID="_x0000_i2772" DrawAspect="Content" ObjectID="_1791376716" r:id="rId3531"/>
        </w:object>
      </w:r>
      <w:r w:rsidRPr="0026684F">
        <w:rPr>
          <w:rFonts w:eastAsiaTheme="minorEastAsia" w:hint="cs"/>
          <w:i/>
          <w:sz w:val="23"/>
          <w:szCs w:val="23"/>
          <w:rtl/>
        </w:rPr>
        <w:t xml:space="preserve"> باشد.</w:t>
      </w:r>
    </w:p>
    <w:p w14:paraId="5C721923" w14:textId="77777777" w:rsidR="00411620" w:rsidRPr="0026684F" w:rsidRDefault="00411620" w:rsidP="00411620">
      <w:pPr>
        <w:tabs>
          <w:tab w:val="left" w:pos="2840"/>
        </w:tabs>
        <w:spacing w:line="216" w:lineRule="auto"/>
        <w:rPr>
          <w:rFonts w:eastAsiaTheme="minorEastAsia"/>
          <w:i/>
          <w:sz w:val="23"/>
          <w:szCs w:val="23"/>
          <w:rtl/>
        </w:rPr>
      </w:pPr>
      <w:r w:rsidRPr="0026684F">
        <w:rPr>
          <w:rFonts w:hint="cs"/>
          <w:i/>
          <w:sz w:val="23"/>
          <w:szCs w:val="23"/>
          <w:rtl/>
        </w:rPr>
        <w:t>در سال۱۹۹۳ وضعیت مالی دولت بلژیک عبارت بود از،</w:t>
      </w:r>
      <w:r w:rsidRPr="00703635">
        <w:rPr>
          <w:position w:val="-28"/>
        </w:rPr>
        <w:object w:dxaOrig="1040" w:dyaOrig="639" w14:anchorId="6ACB5B28">
          <v:shape id="_x0000_i2773" type="#_x0000_t75" style="width:52.05pt;height:32.05pt" o:ole="">
            <v:imagedata r:id="rId3532" o:title=""/>
          </v:shape>
          <o:OLEObject Type="Embed" ProgID="Equation.DSMT4" ShapeID="_x0000_i2773" DrawAspect="Content" ObjectID="_1791376717" r:id="rId3533"/>
        </w:object>
      </w:r>
      <w:r w:rsidRPr="0026684F">
        <w:rPr>
          <w:rFonts w:eastAsiaTheme="minorEastAsia" w:hint="cs"/>
          <w:i/>
          <w:sz w:val="23"/>
          <w:szCs w:val="23"/>
          <w:rtl/>
        </w:rPr>
        <w:t>،</w:t>
      </w:r>
      <w:r w:rsidRPr="00703635">
        <w:rPr>
          <w:position w:val="-28"/>
        </w:rPr>
        <w:object w:dxaOrig="1020" w:dyaOrig="639" w14:anchorId="167503C5">
          <v:shape id="_x0000_i2774" type="#_x0000_t75" style="width:50.8pt;height:32.05pt" o:ole="">
            <v:imagedata r:id="rId3534" o:title=""/>
          </v:shape>
          <o:OLEObject Type="Embed" ProgID="Equation.DSMT4" ShapeID="_x0000_i2774" DrawAspect="Content" ObjectID="_1791376718" r:id="rId3535"/>
        </w:object>
      </w:r>
      <w:r w:rsidRPr="0026684F">
        <w:rPr>
          <w:rFonts w:eastAsiaTheme="minorEastAsia" w:hint="cs"/>
          <w:i/>
          <w:sz w:val="23"/>
          <w:szCs w:val="23"/>
          <w:rtl/>
        </w:rPr>
        <w:t>،</w:t>
      </w:r>
      <w:r w:rsidRPr="00703635">
        <w:rPr>
          <w:position w:val="-6"/>
        </w:rPr>
        <w:object w:dxaOrig="940" w:dyaOrig="260" w14:anchorId="221E6852">
          <v:shape id="_x0000_i2775" type="#_x0000_t75" style="width:47.2pt;height:13.3pt" o:ole="">
            <v:imagedata r:id="rId3536" o:title=""/>
          </v:shape>
          <o:OLEObject Type="Embed" ProgID="Equation.DSMT4" ShapeID="_x0000_i2775" DrawAspect="Content" ObjectID="_1791376719" r:id="rId3537"/>
        </w:object>
      </w:r>
      <w:r w:rsidRPr="0026684F">
        <w:rPr>
          <w:rFonts w:eastAsiaTheme="minorEastAsia" w:hint="cs"/>
          <w:i/>
          <w:sz w:val="23"/>
          <w:szCs w:val="23"/>
          <w:rtl/>
        </w:rPr>
        <w:t xml:space="preserve">، </w:t>
      </w:r>
      <w:r w:rsidRPr="00703635">
        <w:rPr>
          <w:position w:val="-10"/>
        </w:rPr>
        <w:object w:dxaOrig="1060" w:dyaOrig="300" w14:anchorId="0394DDC5">
          <v:shape id="_x0000_i2776" type="#_x0000_t75" style="width:53.25pt;height:14.5pt" o:ole="">
            <v:imagedata r:id="rId3538" o:title=""/>
          </v:shape>
          <o:OLEObject Type="Embed" ProgID="Equation.DSMT4" ShapeID="_x0000_i2776" DrawAspect="Content" ObjectID="_1791376720" r:id="rId3539"/>
        </w:object>
      </w:r>
      <w:r w:rsidRPr="0026684F">
        <w:rPr>
          <w:rFonts w:eastAsiaTheme="minorEastAsia"/>
          <w:i/>
          <w:sz w:val="23"/>
          <w:szCs w:val="23"/>
        </w:rPr>
        <w:t xml:space="preserve"> </w:t>
      </w:r>
      <w:r w:rsidRPr="0026684F">
        <w:rPr>
          <w:rFonts w:eastAsiaTheme="minorEastAsia" w:hint="cs"/>
          <w:i/>
          <w:sz w:val="23"/>
          <w:szCs w:val="23"/>
          <w:rtl/>
        </w:rPr>
        <w:t xml:space="preserve">و چون </w:t>
      </w:r>
      <w:r w:rsidRPr="00703635">
        <w:rPr>
          <w:position w:val="-28"/>
        </w:rPr>
        <w:object w:dxaOrig="3019" w:dyaOrig="639" w14:anchorId="010C8917">
          <v:shape id="_x0000_i2777" type="#_x0000_t75" style="width:151.25pt;height:32.05pt" o:ole="">
            <v:imagedata r:id="rId3540" o:title=""/>
          </v:shape>
          <o:OLEObject Type="Embed" ProgID="Equation.DSMT4" ShapeID="_x0000_i2777" DrawAspect="Content" ObjectID="_1791376721" r:id="rId3541"/>
        </w:object>
      </w:r>
      <w:r w:rsidRPr="0026684F">
        <w:rPr>
          <w:rFonts w:eastAsiaTheme="minorEastAsia" w:hint="cs"/>
          <w:i/>
          <w:sz w:val="23"/>
          <w:szCs w:val="23"/>
          <w:rtl/>
        </w:rPr>
        <w:t xml:space="preserve"> </w:t>
      </w:r>
      <w:r w:rsidRPr="0026684F">
        <w:rPr>
          <w:rFonts w:hint="cs"/>
          <w:i/>
          <w:sz w:val="23"/>
          <w:szCs w:val="23"/>
          <w:rtl/>
        </w:rPr>
        <w:t xml:space="preserve">، لذا وضعیت مالی دولت در آن سال ناپایدار بود. اگر نرخ رشد </w:t>
      </w:r>
      <w:r w:rsidRPr="0026684F">
        <w:rPr>
          <w:i/>
          <w:sz w:val="23"/>
          <w:szCs w:val="23"/>
        </w:rPr>
        <w:t>GDP</w:t>
      </w:r>
      <w:r w:rsidRPr="0026684F">
        <w:rPr>
          <w:rFonts w:hint="cs"/>
          <w:i/>
          <w:sz w:val="23"/>
          <w:szCs w:val="23"/>
          <w:rtl/>
        </w:rPr>
        <w:t xml:space="preserve"> اسمی </w:t>
      </w:r>
      <w:r w:rsidRPr="00703635">
        <w:rPr>
          <w:position w:val="-6"/>
        </w:rPr>
        <w:object w:dxaOrig="540" w:dyaOrig="260" w14:anchorId="58F3E583">
          <v:shape id="_x0000_i2778" type="#_x0000_t75" style="width:26.6pt;height:13.3pt" o:ole="">
            <v:imagedata r:id="rId3542" o:title=""/>
          </v:shape>
          <o:OLEObject Type="Embed" ProgID="Equation.DSMT4" ShapeID="_x0000_i2778" DrawAspect="Content" ObjectID="_1791376722" r:id="rId3543"/>
        </w:object>
      </w:r>
      <w:r w:rsidRPr="0026684F">
        <w:rPr>
          <w:i/>
          <w:sz w:val="23"/>
          <w:szCs w:val="23"/>
          <w:rtl/>
        </w:rPr>
        <w:t xml:space="preserve"> </w:t>
      </w:r>
      <w:r w:rsidRPr="0026684F">
        <w:rPr>
          <w:rFonts w:hint="cs"/>
          <w:i/>
          <w:sz w:val="23"/>
          <w:szCs w:val="23"/>
          <w:rtl/>
        </w:rPr>
        <w:t xml:space="preserve">و </w:t>
      </w:r>
      <w:r w:rsidRPr="0026684F">
        <w:rPr>
          <w:i/>
          <w:sz w:val="23"/>
          <w:szCs w:val="23"/>
          <w:rtl/>
        </w:rPr>
        <w:t xml:space="preserve">یا </w:t>
      </w:r>
      <w:r w:rsidRPr="00703635">
        <w:rPr>
          <w:position w:val="-10"/>
        </w:rPr>
        <w:object w:dxaOrig="1320" w:dyaOrig="320" w14:anchorId="1FB8A83D">
          <v:shape id="_x0000_i2779" type="#_x0000_t75" style="width:65.95pt;height:15.75pt" o:ole="">
            <v:imagedata r:id="rId3544" o:title=""/>
          </v:shape>
          <o:OLEObject Type="Embed" ProgID="Equation.DSMT4" ShapeID="_x0000_i2779" DrawAspect="Content" ObjectID="_1791376723" r:id="rId3545"/>
        </w:object>
      </w:r>
      <w:r w:rsidRPr="0026684F">
        <w:rPr>
          <w:rFonts w:eastAsiaTheme="minorEastAsia" w:hint="cs"/>
          <w:i/>
          <w:sz w:val="23"/>
          <w:szCs w:val="23"/>
          <w:rtl/>
        </w:rPr>
        <w:t xml:space="preserve"> می</w:t>
      </w:r>
      <w:r w:rsidRPr="0026684F">
        <w:rPr>
          <w:rFonts w:eastAsiaTheme="minorEastAsia"/>
          <w:i/>
          <w:sz w:val="23"/>
          <w:szCs w:val="23"/>
          <w:rtl/>
        </w:rPr>
        <w:softHyphen/>
      </w:r>
      <w:r w:rsidRPr="0026684F">
        <w:rPr>
          <w:rFonts w:eastAsiaTheme="minorEastAsia" w:hint="cs"/>
          <w:i/>
          <w:sz w:val="23"/>
          <w:szCs w:val="23"/>
          <w:rtl/>
        </w:rPr>
        <w:t xml:space="preserve">بود آنگاه </w:t>
      </w:r>
      <w:r w:rsidRPr="0026684F">
        <w:rPr>
          <w:rFonts w:hint="cs"/>
          <w:i/>
          <w:sz w:val="23"/>
          <w:szCs w:val="23"/>
          <w:rtl/>
        </w:rPr>
        <w:t>وضعیت مالی دولت</w:t>
      </w:r>
      <w:r w:rsidRPr="0026684F">
        <w:rPr>
          <w:rFonts w:eastAsiaTheme="minorEastAsia" w:hint="cs"/>
          <w:i/>
          <w:sz w:val="23"/>
          <w:szCs w:val="23"/>
          <w:rtl/>
        </w:rPr>
        <w:t xml:space="preserve"> پایدار می</w:t>
      </w:r>
      <w:r w:rsidRPr="0026684F">
        <w:rPr>
          <w:rFonts w:eastAsiaTheme="minorEastAsia"/>
          <w:i/>
          <w:sz w:val="23"/>
          <w:szCs w:val="23"/>
          <w:rtl/>
        </w:rPr>
        <w:softHyphen/>
      </w:r>
      <w:r w:rsidRPr="0026684F">
        <w:rPr>
          <w:rFonts w:eastAsiaTheme="minorEastAsia" w:hint="cs"/>
          <w:i/>
          <w:sz w:val="23"/>
          <w:szCs w:val="23"/>
          <w:rtl/>
        </w:rPr>
        <w:t>شد. ضمناً از آن</w:t>
      </w:r>
      <w:r w:rsidRPr="0026684F">
        <w:rPr>
          <w:rFonts w:eastAsiaTheme="minorEastAsia"/>
          <w:i/>
          <w:sz w:val="23"/>
          <w:szCs w:val="23"/>
          <w:rtl/>
        </w:rPr>
        <w:softHyphen/>
      </w:r>
      <w:r w:rsidRPr="0026684F">
        <w:rPr>
          <w:rFonts w:eastAsiaTheme="minorEastAsia" w:hint="cs"/>
          <w:i/>
          <w:sz w:val="23"/>
          <w:szCs w:val="23"/>
          <w:rtl/>
        </w:rPr>
        <w:t xml:space="preserve">جا که </w:t>
      </w:r>
      <w:r w:rsidRPr="00703635">
        <w:rPr>
          <w:position w:val="-10"/>
        </w:rPr>
        <w:object w:dxaOrig="2120" w:dyaOrig="300" w14:anchorId="0A1ADC58">
          <v:shape id="_x0000_i2780" type="#_x0000_t75" style="width:105.9pt;height:14.5pt" o:ole="">
            <v:imagedata r:id="rId3546" o:title=""/>
          </v:shape>
          <o:OLEObject Type="Embed" ProgID="Equation.DSMT4" ShapeID="_x0000_i2780" DrawAspect="Content" ObjectID="_1791376724" r:id="rId3547"/>
        </w:object>
      </w:r>
      <w:r w:rsidRPr="0026684F">
        <w:rPr>
          <w:rFonts w:eastAsiaTheme="minorEastAsia" w:hint="cs"/>
          <w:i/>
          <w:sz w:val="23"/>
          <w:szCs w:val="23"/>
          <w:rtl/>
        </w:rPr>
        <w:t xml:space="preserve"> می</w:t>
      </w:r>
      <w:r w:rsidRPr="0026684F">
        <w:rPr>
          <w:rFonts w:eastAsiaTheme="minorEastAsia"/>
          <w:i/>
          <w:sz w:val="23"/>
          <w:szCs w:val="23"/>
          <w:rtl/>
        </w:rPr>
        <w:softHyphen/>
      </w:r>
      <w:r w:rsidRPr="0026684F">
        <w:rPr>
          <w:rFonts w:eastAsiaTheme="minorEastAsia" w:hint="cs"/>
          <w:i/>
          <w:sz w:val="23"/>
          <w:szCs w:val="23"/>
          <w:rtl/>
        </w:rPr>
        <w:t>باشد می</w:t>
      </w:r>
      <w:r w:rsidRPr="0026684F">
        <w:rPr>
          <w:rFonts w:eastAsiaTheme="minorEastAsia"/>
          <w:i/>
          <w:sz w:val="23"/>
          <w:szCs w:val="23"/>
          <w:rtl/>
        </w:rPr>
        <w:softHyphen/>
      </w:r>
      <w:r w:rsidRPr="0026684F">
        <w:rPr>
          <w:rFonts w:eastAsiaTheme="minorEastAsia" w:hint="cs"/>
          <w:i/>
          <w:sz w:val="23"/>
          <w:szCs w:val="23"/>
          <w:rtl/>
        </w:rPr>
        <w:t>توان کسری بودجه</w:t>
      </w:r>
      <w:r w:rsidRPr="0026684F">
        <w:rPr>
          <w:rFonts w:eastAsiaTheme="minorEastAsia"/>
          <w:i/>
          <w:sz w:val="23"/>
          <w:szCs w:val="23"/>
          <w:rtl/>
        </w:rPr>
        <w:softHyphen/>
      </w:r>
      <w:r w:rsidRPr="0026684F">
        <w:rPr>
          <w:rFonts w:eastAsiaTheme="minorEastAsia" w:hint="cs"/>
          <w:i/>
          <w:sz w:val="23"/>
          <w:szCs w:val="23"/>
          <w:rtl/>
        </w:rPr>
        <w:t>ی اولیه را محاسبه کرد و شرط پایداری را بر حسب ارزش فعلی مازاد اولیه</w:t>
      </w:r>
      <w:r w:rsidRPr="0026684F">
        <w:rPr>
          <w:rFonts w:eastAsiaTheme="minorEastAsia"/>
          <w:i/>
          <w:sz w:val="23"/>
          <w:szCs w:val="23"/>
          <w:rtl/>
        </w:rPr>
        <w:softHyphen/>
      </w:r>
      <w:r w:rsidRPr="0026684F">
        <w:rPr>
          <w:rFonts w:eastAsiaTheme="minorEastAsia" w:hint="cs"/>
          <w:i/>
          <w:sz w:val="23"/>
          <w:szCs w:val="23"/>
          <w:rtl/>
        </w:rPr>
        <w:t>ی آتی و جاری ارزیابی کرد. کسری اولیه برابر است با،</w:t>
      </w:r>
    </w:p>
    <w:p w14:paraId="203B441C"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26"/>
        </w:rPr>
        <w:object w:dxaOrig="4060" w:dyaOrig="600" w14:anchorId="4383C794">
          <v:shape id="_x0000_i2781" type="#_x0000_t75" style="width:203.3pt;height:29.65pt" o:ole="">
            <v:imagedata r:id="rId3548" o:title=""/>
          </v:shape>
          <o:OLEObject Type="Embed" ProgID="Equation.DSMT4" ShapeID="_x0000_i2781" DrawAspect="Content" ObjectID="_1791376725" r:id="rId3549"/>
        </w:object>
      </w:r>
    </w:p>
    <w:p w14:paraId="1CB0AB55" w14:textId="77777777" w:rsidR="00411620" w:rsidRPr="0026684F" w:rsidRDefault="00411620" w:rsidP="00411620">
      <w:pPr>
        <w:tabs>
          <w:tab w:val="left" w:pos="2840"/>
        </w:tabs>
        <w:spacing w:line="216" w:lineRule="auto"/>
        <w:rPr>
          <w:rFonts w:eastAsiaTheme="minorEastAsia"/>
          <w:i/>
          <w:sz w:val="23"/>
          <w:szCs w:val="23"/>
          <w:rtl/>
        </w:rPr>
      </w:pPr>
      <w:r w:rsidRPr="0026684F">
        <w:rPr>
          <w:rFonts w:eastAsiaTheme="minorEastAsia" w:hint="cs"/>
          <w:i/>
          <w:sz w:val="23"/>
          <w:szCs w:val="23"/>
          <w:rtl/>
        </w:rPr>
        <w:t>اما از آن</w:t>
      </w:r>
      <w:r w:rsidRPr="0026684F">
        <w:rPr>
          <w:rFonts w:eastAsiaTheme="minorEastAsia"/>
          <w:i/>
          <w:sz w:val="23"/>
          <w:szCs w:val="23"/>
          <w:rtl/>
        </w:rPr>
        <w:softHyphen/>
      </w:r>
      <w:r w:rsidRPr="0026684F">
        <w:rPr>
          <w:rFonts w:eastAsiaTheme="minorEastAsia" w:hint="cs"/>
          <w:i/>
          <w:sz w:val="23"/>
          <w:szCs w:val="23"/>
          <w:rtl/>
        </w:rPr>
        <w:t>جا که در سال ۱۹۹۳ دولت بلژیک مازاد اولیه داشت، یعنی</w:t>
      </w:r>
    </w:p>
    <w:p w14:paraId="40A9A875" w14:textId="77777777" w:rsidR="00411620" w:rsidRPr="0026684F" w:rsidRDefault="00411620" w:rsidP="00411620">
      <w:pPr>
        <w:tabs>
          <w:tab w:val="left" w:pos="2840"/>
        </w:tabs>
        <w:bidi w:val="0"/>
        <w:spacing w:line="216" w:lineRule="auto"/>
        <w:rPr>
          <w:rFonts w:eastAsiaTheme="minorEastAsia"/>
          <w:i/>
          <w:sz w:val="23"/>
          <w:szCs w:val="23"/>
          <w:rtl/>
        </w:rPr>
      </w:pPr>
      <w:r w:rsidRPr="00703635">
        <w:rPr>
          <w:position w:val="-28"/>
        </w:rPr>
        <w:object w:dxaOrig="3600" w:dyaOrig="660" w14:anchorId="318C47AB">
          <v:shape id="_x0000_i2782" type="#_x0000_t75" style="width:180.3pt;height:32.65pt" o:ole="">
            <v:imagedata r:id="rId3550" o:title=""/>
          </v:shape>
          <o:OLEObject Type="Embed" ProgID="Equation.DSMT4" ShapeID="_x0000_i2782" DrawAspect="Content" ObjectID="_1791376726" r:id="rId3551"/>
        </w:object>
      </w:r>
    </w:p>
    <w:p w14:paraId="47B05C68" w14:textId="77777777" w:rsidR="00411620" w:rsidRPr="0026684F" w:rsidRDefault="00411620" w:rsidP="00411620">
      <w:pPr>
        <w:tabs>
          <w:tab w:val="left" w:pos="2840"/>
        </w:tabs>
        <w:spacing w:line="216" w:lineRule="auto"/>
        <w:rPr>
          <w:i/>
          <w:sz w:val="23"/>
          <w:szCs w:val="23"/>
          <w:rtl/>
        </w:rPr>
      </w:pPr>
      <w:r w:rsidRPr="0026684F">
        <w:rPr>
          <w:rFonts w:eastAsiaTheme="minorEastAsia" w:hint="cs"/>
          <w:i/>
          <w:sz w:val="23"/>
          <w:szCs w:val="23"/>
          <w:rtl/>
        </w:rPr>
        <w:t xml:space="preserve">و چون </w:t>
      </w:r>
      <w:r w:rsidRPr="00703635">
        <w:rPr>
          <w:position w:val="-28"/>
        </w:rPr>
        <w:object w:dxaOrig="3360" w:dyaOrig="660" w14:anchorId="6DA628DC">
          <v:shape id="_x0000_i2783" type="#_x0000_t75" style="width:168.2pt;height:32.65pt" o:ole="">
            <v:imagedata r:id="rId3552" o:title=""/>
          </v:shape>
          <o:OLEObject Type="Embed" ProgID="Equation.DSMT4" ShapeID="_x0000_i2783" DrawAspect="Content" ObjectID="_1791376727" r:id="rId3553"/>
        </w:object>
      </w:r>
      <w:r w:rsidRPr="0026684F">
        <w:rPr>
          <w:rFonts w:eastAsiaTheme="minorEastAsia"/>
          <w:i/>
          <w:sz w:val="23"/>
          <w:szCs w:val="23"/>
        </w:rPr>
        <w:t xml:space="preserve"> </w:t>
      </w:r>
      <w:r w:rsidRPr="0026684F">
        <w:rPr>
          <w:rFonts w:eastAsiaTheme="minorEastAsia" w:hint="cs"/>
          <w:i/>
          <w:sz w:val="23"/>
          <w:szCs w:val="23"/>
          <w:rtl/>
        </w:rPr>
        <w:t>است، لذا حالت ب تضمین نمی</w:t>
      </w:r>
      <w:r w:rsidRPr="0026684F">
        <w:rPr>
          <w:rFonts w:eastAsiaTheme="minorEastAsia"/>
          <w:i/>
          <w:sz w:val="23"/>
          <w:szCs w:val="23"/>
          <w:rtl/>
        </w:rPr>
        <w:softHyphen/>
      </w:r>
      <w:r w:rsidRPr="0026684F">
        <w:rPr>
          <w:rFonts w:eastAsiaTheme="minorEastAsia" w:hint="cs"/>
          <w:i/>
          <w:sz w:val="23"/>
          <w:szCs w:val="23"/>
          <w:rtl/>
        </w:rPr>
        <w:t>شود، یعنی مازاد اولیه برای تسویه</w:t>
      </w:r>
      <w:r w:rsidRPr="0026684F">
        <w:rPr>
          <w:rFonts w:eastAsiaTheme="minorEastAsia"/>
          <w:i/>
          <w:sz w:val="23"/>
          <w:szCs w:val="23"/>
          <w:rtl/>
        </w:rPr>
        <w:softHyphen/>
      </w:r>
      <w:r w:rsidRPr="0026684F">
        <w:rPr>
          <w:rFonts w:eastAsiaTheme="minorEastAsia" w:hint="cs"/>
          <w:i/>
          <w:sz w:val="23"/>
          <w:szCs w:val="23"/>
          <w:rtl/>
        </w:rPr>
        <w:t>ی بدهی جاری دولت کافی نبوده است. بنابراین شرط ارزش فعلی نیز نتایج شرط کسری بودجه</w:t>
      </w:r>
      <w:r w:rsidRPr="0026684F">
        <w:rPr>
          <w:rFonts w:eastAsiaTheme="minorEastAsia"/>
          <w:i/>
          <w:sz w:val="23"/>
          <w:szCs w:val="23"/>
          <w:rtl/>
        </w:rPr>
        <w:softHyphen/>
      </w:r>
      <w:r w:rsidRPr="0026684F">
        <w:rPr>
          <w:rFonts w:eastAsiaTheme="minorEastAsia" w:hint="cs"/>
          <w:i/>
          <w:sz w:val="23"/>
          <w:szCs w:val="23"/>
          <w:rtl/>
        </w:rPr>
        <w:t xml:space="preserve"> را تضمین نمی</w:t>
      </w:r>
      <w:r w:rsidRPr="0026684F">
        <w:rPr>
          <w:rFonts w:eastAsiaTheme="minorEastAsia"/>
          <w:i/>
          <w:sz w:val="23"/>
          <w:szCs w:val="23"/>
          <w:rtl/>
        </w:rPr>
        <w:softHyphen/>
      </w:r>
      <w:r w:rsidRPr="0026684F">
        <w:rPr>
          <w:rFonts w:eastAsiaTheme="minorEastAsia" w:hint="cs"/>
          <w:i/>
          <w:sz w:val="23"/>
          <w:szCs w:val="23"/>
          <w:rtl/>
        </w:rPr>
        <w:t>کند. بنابراین در سال ۱۹۹۳کشور بلژیک تعهدات پیمان رشد و ثبات اتحادیه</w:t>
      </w:r>
      <w:r w:rsidRPr="0026684F">
        <w:rPr>
          <w:rFonts w:eastAsiaTheme="minorEastAsia"/>
          <w:i/>
          <w:sz w:val="23"/>
          <w:szCs w:val="23"/>
          <w:rtl/>
        </w:rPr>
        <w:softHyphen/>
      </w:r>
      <w:r w:rsidRPr="0026684F">
        <w:rPr>
          <w:rFonts w:eastAsiaTheme="minorEastAsia" w:hint="cs"/>
          <w:i/>
          <w:sz w:val="23"/>
          <w:szCs w:val="23"/>
          <w:rtl/>
        </w:rPr>
        <w:t xml:space="preserve">ی اروپا را برآورده نکرده </w:t>
      </w:r>
      <w:r w:rsidRPr="0026684F">
        <w:rPr>
          <w:rFonts w:hint="cs"/>
          <w:i/>
          <w:sz w:val="23"/>
          <w:szCs w:val="23"/>
          <w:rtl/>
        </w:rPr>
        <w:t>و سیاست مالی پایدار نداشته است. دولت بلژیک می</w:t>
      </w:r>
      <w:r w:rsidRPr="0026684F">
        <w:rPr>
          <w:i/>
          <w:sz w:val="23"/>
          <w:szCs w:val="23"/>
          <w:rtl/>
        </w:rPr>
        <w:softHyphen/>
      </w:r>
      <w:r w:rsidRPr="0026684F">
        <w:rPr>
          <w:rFonts w:hint="cs"/>
          <w:i/>
          <w:sz w:val="23"/>
          <w:szCs w:val="23"/>
          <w:rtl/>
        </w:rPr>
        <w:t xml:space="preserve">توانست با افزایش نرخ رشد </w:t>
      </w:r>
      <w:r w:rsidRPr="0026684F">
        <w:rPr>
          <w:i/>
          <w:sz w:val="23"/>
          <w:szCs w:val="23"/>
        </w:rPr>
        <w:t>GDP</w:t>
      </w:r>
      <w:r w:rsidRPr="0026684F">
        <w:rPr>
          <w:rFonts w:hint="cs"/>
          <w:i/>
          <w:sz w:val="23"/>
          <w:szCs w:val="23"/>
          <w:rtl/>
        </w:rPr>
        <w:t xml:space="preserve"> اسمی</w:t>
      </w:r>
      <w:r w:rsidRPr="0026684F">
        <w:rPr>
          <w:rFonts w:eastAsia="LucidaNewMath-AltItalic" w:hint="cs"/>
          <w:i/>
          <w:sz w:val="23"/>
          <w:szCs w:val="23"/>
          <w:rtl/>
        </w:rPr>
        <w:t xml:space="preserve">، </w:t>
      </w:r>
      <w:r w:rsidRPr="0026684F">
        <w:rPr>
          <w:rFonts w:hint="cs"/>
          <w:i/>
          <w:sz w:val="23"/>
          <w:szCs w:val="23"/>
          <w:rtl/>
        </w:rPr>
        <w:t xml:space="preserve">کاهش نسبت کسری بودجه به </w:t>
      </w:r>
      <w:r w:rsidRPr="0026684F">
        <w:rPr>
          <w:i/>
          <w:sz w:val="23"/>
          <w:szCs w:val="23"/>
        </w:rPr>
        <w:t>GDP</w:t>
      </w:r>
      <w:r w:rsidRPr="0026684F">
        <w:rPr>
          <w:rFonts w:hint="cs"/>
          <w:i/>
          <w:sz w:val="23"/>
          <w:szCs w:val="23"/>
          <w:rtl/>
        </w:rPr>
        <w:t xml:space="preserve"> یعنی</w:t>
      </w:r>
      <w:r w:rsidRPr="00703635">
        <w:rPr>
          <w:position w:val="-8"/>
        </w:rPr>
        <w:object w:dxaOrig="520" w:dyaOrig="279" w14:anchorId="1A7A738A">
          <v:shape id="_x0000_i2784" type="#_x0000_t75" style="width:26pt;height:13.9pt" o:ole="">
            <v:imagedata r:id="rId3554" o:title=""/>
          </v:shape>
          <o:OLEObject Type="Embed" ProgID="Equation.DSMT4" ShapeID="_x0000_i2784" DrawAspect="Content" ObjectID="_1791376728" r:id="rId3555"/>
        </w:object>
      </w:r>
      <w:r w:rsidRPr="0026684F">
        <w:rPr>
          <w:rFonts w:hint="cs"/>
          <w:i/>
          <w:sz w:val="23"/>
          <w:szCs w:val="23"/>
          <w:rtl/>
        </w:rPr>
        <w:t xml:space="preserve"> و یا کاهش نرخ بهره</w:t>
      </w:r>
      <w:r w:rsidRPr="0026684F">
        <w:rPr>
          <w:i/>
          <w:sz w:val="23"/>
          <w:szCs w:val="23"/>
          <w:rtl/>
        </w:rPr>
        <w:softHyphen/>
      </w:r>
      <w:r w:rsidRPr="0026684F">
        <w:rPr>
          <w:rFonts w:hint="cs"/>
          <w:i/>
          <w:sz w:val="23"/>
          <w:szCs w:val="23"/>
          <w:rtl/>
        </w:rPr>
        <w:t xml:space="preserve">ی اسمی </w:t>
      </w:r>
      <w:r w:rsidRPr="0026684F">
        <w:rPr>
          <w:i/>
          <w:sz w:val="23"/>
          <w:szCs w:val="23"/>
        </w:rPr>
        <w:t>R</w:t>
      </w:r>
      <w:r w:rsidRPr="0026684F">
        <w:rPr>
          <w:rFonts w:hint="cs"/>
          <w:i/>
          <w:sz w:val="23"/>
          <w:szCs w:val="23"/>
          <w:rtl/>
        </w:rPr>
        <w:t xml:space="preserve"> سیاست مالی پایدار داشته باشد. با این</w:t>
      </w:r>
      <w:r w:rsidRPr="0026684F">
        <w:rPr>
          <w:i/>
          <w:sz w:val="23"/>
          <w:szCs w:val="23"/>
          <w:rtl/>
        </w:rPr>
        <w:softHyphen/>
      </w:r>
      <w:r w:rsidRPr="0026684F">
        <w:rPr>
          <w:rFonts w:hint="cs"/>
          <w:i/>
          <w:sz w:val="23"/>
          <w:szCs w:val="23"/>
          <w:rtl/>
        </w:rPr>
        <w:t>حال علیرغم عدم تغییر در متغیرهای فوق، دولت بلژیک توانست اوراق قرضه</w:t>
      </w:r>
      <w:r w:rsidRPr="0026684F">
        <w:rPr>
          <w:i/>
          <w:sz w:val="23"/>
          <w:szCs w:val="23"/>
          <w:rtl/>
        </w:rPr>
        <w:softHyphen/>
      </w:r>
      <w:r w:rsidRPr="0026684F">
        <w:rPr>
          <w:rFonts w:hint="cs"/>
          <w:i/>
          <w:sz w:val="23"/>
          <w:szCs w:val="23"/>
          <w:rtl/>
        </w:rPr>
        <w:t xml:space="preserve">ی خود را بفروشد. </w:t>
      </w:r>
    </w:p>
    <w:p w14:paraId="53D5DBB2" w14:textId="77777777" w:rsidR="00411620" w:rsidRPr="0026684F" w:rsidRDefault="00411620" w:rsidP="00411620">
      <w:pPr>
        <w:shd w:val="clear" w:color="auto" w:fill="FFFFFF" w:themeFill="background1"/>
        <w:tabs>
          <w:tab w:val="left" w:pos="2840"/>
        </w:tabs>
        <w:spacing w:line="216" w:lineRule="auto"/>
        <w:rPr>
          <w:i/>
          <w:sz w:val="23"/>
          <w:szCs w:val="23"/>
          <w:rtl/>
        </w:rPr>
      </w:pPr>
      <w:r w:rsidRPr="0026684F">
        <w:rPr>
          <w:rFonts w:hint="cs"/>
          <w:i/>
          <w:sz w:val="23"/>
          <w:szCs w:val="23"/>
          <w:rtl/>
        </w:rPr>
        <w:t>در سال ۲۰۰۲ فرانسه و آلمان نیز با این مشکل روبرو بودند. زیرا متغیرهای مربوط به وضعیت پایداری مالی کشورهای فرانسه و آلمان در سال ۲۰۰۲ عبارت بود از:</w:t>
      </w:r>
    </w:p>
    <w:p w14:paraId="4E5A144E" w14:textId="77777777" w:rsidR="00411620" w:rsidRPr="0026684F" w:rsidRDefault="00411620" w:rsidP="00411620">
      <w:pPr>
        <w:shd w:val="clear" w:color="auto" w:fill="FFFFFF" w:themeFill="background1"/>
        <w:tabs>
          <w:tab w:val="left" w:pos="2840"/>
        </w:tabs>
        <w:spacing w:line="216" w:lineRule="auto"/>
        <w:rPr>
          <w:i/>
          <w:sz w:val="23"/>
          <w:szCs w:val="23"/>
        </w:rPr>
      </w:pPr>
    </w:p>
    <w:tbl>
      <w:tblPr>
        <w:tblStyle w:val="LightShading-Accent4"/>
        <w:bidiVisual/>
        <w:tblW w:w="0" w:type="auto"/>
        <w:jc w:val="center"/>
        <w:tblLook w:val="04A0" w:firstRow="1" w:lastRow="0" w:firstColumn="1" w:lastColumn="0" w:noHBand="0" w:noVBand="1"/>
      </w:tblPr>
      <w:tblGrid>
        <w:gridCol w:w="2196"/>
        <w:gridCol w:w="1411"/>
        <w:gridCol w:w="3060"/>
      </w:tblGrid>
      <w:tr w:rsidR="00411620" w:rsidRPr="0026684F" w14:paraId="751C2DFA" w14:textId="77777777" w:rsidTr="00450A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6" w:type="dxa"/>
          </w:tcPr>
          <w:p w14:paraId="70C9C99A" w14:textId="77777777" w:rsidR="00411620" w:rsidRPr="0026684F" w:rsidRDefault="00411620" w:rsidP="00450AC0">
            <w:pPr>
              <w:shd w:val="clear" w:color="auto" w:fill="FFFFFF" w:themeFill="background1"/>
              <w:spacing w:line="216" w:lineRule="auto"/>
              <w:rPr>
                <w:bCs w:val="0"/>
                <w:i/>
                <w:color w:val="auto"/>
                <w:sz w:val="23"/>
                <w:szCs w:val="23"/>
                <w:rtl/>
              </w:rPr>
            </w:pPr>
            <w:r w:rsidRPr="0026684F">
              <w:rPr>
                <w:rFonts w:hint="cs"/>
                <w:bCs w:val="0"/>
                <w:i/>
                <w:color w:val="auto"/>
                <w:sz w:val="23"/>
                <w:szCs w:val="23"/>
                <w:rtl/>
              </w:rPr>
              <w:lastRenderedPageBreak/>
              <w:t>آلمان (درصد)</w:t>
            </w:r>
          </w:p>
        </w:tc>
        <w:tc>
          <w:tcPr>
            <w:tcW w:w="1411" w:type="dxa"/>
          </w:tcPr>
          <w:p w14:paraId="08480DE9" w14:textId="77777777" w:rsidR="00411620" w:rsidRPr="0026684F" w:rsidRDefault="00411620" w:rsidP="00450AC0">
            <w:pPr>
              <w:shd w:val="clear" w:color="auto" w:fill="FFFFFF" w:themeFill="background1"/>
              <w:spacing w:line="216" w:lineRule="auto"/>
              <w:cnfStyle w:val="100000000000" w:firstRow="1" w:lastRow="0" w:firstColumn="0" w:lastColumn="0" w:oddVBand="0" w:evenVBand="0" w:oddHBand="0" w:evenHBand="0" w:firstRowFirstColumn="0" w:firstRowLastColumn="0" w:lastRowFirstColumn="0" w:lastRowLastColumn="0"/>
              <w:rPr>
                <w:bCs w:val="0"/>
                <w:i/>
                <w:color w:val="auto"/>
                <w:sz w:val="23"/>
                <w:szCs w:val="23"/>
                <w:rtl/>
              </w:rPr>
            </w:pPr>
            <w:r w:rsidRPr="0026684F">
              <w:rPr>
                <w:rFonts w:hint="cs"/>
                <w:bCs w:val="0"/>
                <w:i/>
                <w:color w:val="auto"/>
                <w:sz w:val="23"/>
                <w:szCs w:val="23"/>
                <w:rtl/>
              </w:rPr>
              <w:t xml:space="preserve">فرانسه </w:t>
            </w:r>
            <w:r w:rsidRPr="0026684F">
              <w:rPr>
                <w:bCs w:val="0"/>
                <w:i/>
                <w:color w:val="auto"/>
                <w:sz w:val="23"/>
                <w:szCs w:val="23"/>
              </w:rPr>
              <w:t>)</w:t>
            </w:r>
            <w:r w:rsidRPr="0026684F">
              <w:rPr>
                <w:rFonts w:hint="cs"/>
                <w:bCs w:val="0"/>
                <w:i/>
                <w:color w:val="auto"/>
                <w:sz w:val="23"/>
                <w:szCs w:val="23"/>
                <w:rtl/>
              </w:rPr>
              <w:t>درصد)</w:t>
            </w:r>
          </w:p>
        </w:tc>
        <w:tc>
          <w:tcPr>
            <w:tcW w:w="3060" w:type="dxa"/>
          </w:tcPr>
          <w:p w14:paraId="4F4A6BF3" w14:textId="77777777" w:rsidR="00411620" w:rsidRPr="0026684F" w:rsidRDefault="00411620" w:rsidP="00450AC0">
            <w:pPr>
              <w:shd w:val="clear" w:color="auto" w:fill="FFFFFF" w:themeFill="background1"/>
              <w:spacing w:line="216" w:lineRule="auto"/>
              <w:cnfStyle w:val="100000000000" w:firstRow="1" w:lastRow="0" w:firstColumn="0" w:lastColumn="0" w:oddVBand="0" w:evenVBand="0" w:oddHBand="0" w:evenHBand="0" w:firstRowFirstColumn="0" w:firstRowLastColumn="0" w:lastRowFirstColumn="0" w:lastRowLastColumn="0"/>
              <w:rPr>
                <w:b w:val="0"/>
                <w:i/>
                <w:color w:val="auto"/>
                <w:sz w:val="23"/>
                <w:szCs w:val="23"/>
                <w:rtl/>
              </w:rPr>
            </w:pPr>
          </w:p>
        </w:tc>
      </w:tr>
      <w:tr w:rsidR="00411620" w:rsidRPr="0026684F" w14:paraId="008E7297" w14:textId="77777777" w:rsidTr="00450A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6" w:type="dxa"/>
            <w:shd w:val="clear" w:color="auto" w:fill="FFFFFF" w:themeFill="background1"/>
          </w:tcPr>
          <w:p w14:paraId="551CD4D1" w14:textId="77777777" w:rsidR="00411620" w:rsidRPr="0026684F" w:rsidRDefault="00411620" w:rsidP="00450AC0">
            <w:pPr>
              <w:shd w:val="clear" w:color="auto" w:fill="FFFFFF" w:themeFill="background1"/>
              <w:spacing w:line="216" w:lineRule="auto"/>
              <w:rPr>
                <w:rFonts w:ascii="NPIYagut" w:hAnsi="NPIYagut"/>
                <w:bCs w:val="0"/>
                <w:i/>
                <w:color w:val="auto"/>
                <w:sz w:val="23"/>
                <w:szCs w:val="23"/>
                <w:rtl/>
              </w:rPr>
            </w:pPr>
            <w:r w:rsidRPr="0026684F">
              <w:rPr>
                <w:rFonts w:ascii="NPIYagut" w:hAnsi="NPIYagut"/>
                <w:bCs w:val="0"/>
                <w:i/>
                <w:color w:val="auto"/>
                <w:sz w:val="23"/>
                <w:szCs w:val="23"/>
                <w:rtl/>
              </w:rPr>
              <w:t>3.6</w:t>
            </w:r>
          </w:p>
        </w:tc>
        <w:tc>
          <w:tcPr>
            <w:tcW w:w="1411" w:type="dxa"/>
            <w:shd w:val="clear" w:color="auto" w:fill="FFFFFF" w:themeFill="background1"/>
          </w:tcPr>
          <w:p w14:paraId="4E1D3FA6" w14:textId="77777777" w:rsidR="00411620" w:rsidRPr="0026684F" w:rsidRDefault="00411620" w:rsidP="00450AC0">
            <w:pPr>
              <w:shd w:val="clear" w:color="auto" w:fill="FFFFFF" w:themeFill="background1"/>
              <w:spacing w:line="216" w:lineRule="auto"/>
              <w:cnfStyle w:val="000000100000" w:firstRow="0" w:lastRow="0" w:firstColumn="0" w:lastColumn="0" w:oddVBand="0" w:evenVBand="0" w:oddHBand="1" w:evenHBand="0" w:firstRowFirstColumn="0" w:firstRowLastColumn="0" w:lastRowFirstColumn="0" w:lastRowLastColumn="0"/>
              <w:rPr>
                <w:rFonts w:ascii="NPIYagut" w:hAnsi="NPIYagut"/>
                <w:b/>
                <w:i/>
                <w:color w:val="auto"/>
                <w:sz w:val="23"/>
                <w:szCs w:val="23"/>
                <w:rtl/>
              </w:rPr>
            </w:pPr>
            <w:r w:rsidRPr="0026684F">
              <w:rPr>
                <w:rFonts w:ascii="NPIYagut" w:hAnsi="NPIYagut"/>
                <w:b/>
                <w:i/>
                <w:color w:val="auto"/>
                <w:sz w:val="23"/>
                <w:szCs w:val="23"/>
                <w:rtl/>
              </w:rPr>
              <w:t>3.1</w:t>
            </w:r>
          </w:p>
        </w:tc>
        <w:tc>
          <w:tcPr>
            <w:tcW w:w="3060" w:type="dxa"/>
            <w:shd w:val="clear" w:color="auto" w:fill="FFFFFF" w:themeFill="background1"/>
          </w:tcPr>
          <w:p w14:paraId="531FA875" w14:textId="77777777" w:rsidR="00411620" w:rsidRPr="0026684F" w:rsidRDefault="00411620" w:rsidP="00450AC0">
            <w:pPr>
              <w:shd w:val="clear" w:color="auto" w:fill="FFFFFF" w:themeFill="background1"/>
              <w:tabs>
                <w:tab w:val="right" w:pos="2844"/>
              </w:tabs>
              <w:autoSpaceDE w:val="0"/>
              <w:autoSpaceDN w:val="0"/>
              <w:bidi w:val="0"/>
              <w:adjustRightInd w:val="0"/>
              <w:spacing w:line="216" w:lineRule="auto"/>
              <w:cnfStyle w:val="000000100000" w:firstRow="0" w:lastRow="0" w:firstColumn="0" w:lastColumn="0" w:oddVBand="0" w:evenVBand="0" w:oddHBand="1" w:evenHBand="0" w:firstRowFirstColumn="0" w:firstRowLastColumn="0" w:lastRowFirstColumn="0" w:lastRowLastColumn="0"/>
              <w:rPr>
                <w:bCs/>
                <w:i/>
                <w:color w:val="auto"/>
                <w:sz w:val="23"/>
                <w:szCs w:val="23"/>
              </w:rPr>
            </w:pPr>
            <w:r w:rsidRPr="0026684F">
              <w:rPr>
                <w:bCs/>
                <w:i/>
                <w:color w:val="auto"/>
                <w:sz w:val="23"/>
                <w:szCs w:val="23"/>
              </w:rPr>
              <w:t>D/y</w:t>
            </w:r>
            <w:r w:rsidRPr="0026684F">
              <w:rPr>
                <w:bCs/>
                <w:i/>
                <w:color w:val="auto"/>
                <w:sz w:val="23"/>
                <w:szCs w:val="23"/>
              </w:rPr>
              <w:tab/>
            </w:r>
          </w:p>
        </w:tc>
      </w:tr>
      <w:tr w:rsidR="00411620" w:rsidRPr="0026684F" w14:paraId="733C9F15" w14:textId="77777777" w:rsidTr="00450AC0">
        <w:trPr>
          <w:jc w:val="center"/>
        </w:trPr>
        <w:tc>
          <w:tcPr>
            <w:cnfStyle w:val="001000000000" w:firstRow="0" w:lastRow="0" w:firstColumn="1" w:lastColumn="0" w:oddVBand="0" w:evenVBand="0" w:oddHBand="0" w:evenHBand="0" w:firstRowFirstColumn="0" w:firstRowLastColumn="0" w:lastRowFirstColumn="0" w:lastRowLastColumn="0"/>
            <w:tcW w:w="2196" w:type="dxa"/>
          </w:tcPr>
          <w:p w14:paraId="73CEB569" w14:textId="77777777" w:rsidR="00411620" w:rsidRPr="0026684F" w:rsidRDefault="00411620" w:rsidP="00450AC0">
            <w:pPr>
              <w:shd w:val="clear" w:color="auto" w:fill="FFFFFF" w:themeFill="background1"/>
              <w:spacing w:line="216" w:lineRule="auto"/>
              <w:rPr>
                <w:rFonts w:ascii="NPIYagut" w:hAnsi="NPIYagut"/>
                <w:bCs w:val="0"/>
                <w:i/>
                <w:color w:val="auto"/>
                <w:sz w:val="23"/>
                <w:szCs w:val="23"/>
                <w:rtl/>
              </w:rPr>
            </w:pPr>
            <w:r w:rsidRPr="0026684F">
              <w:rPr>
                <w:rFonts w:ascii="NPIYagut" w:hAnsi="NPIYagut"/>
                <w:bCs w:val="0"/>
                <w:i/>
                <w:color w:val="auto"/>
                <w:sz w:val="23"/>
                <w:szCs w:val="23"/>
                <w:rtl/>
              </w:rPr>
              <w:t>60.8</w:t>
            </w:r>
          </w:p>
        </w:tc>
        <w:tc>
          <w:tcPr>
            <w:tcW w:w="1411" w:type="dxa"/>
          </w:tcPr>
          <w:p w14:paraId="5C1283F1" w14:textId="77777777" w:rsidR="00411620" w:rsidRPr="0026684F" w:rsidRDefault="00411620" w:rsidP="00450AC0">
            <w:pPr>
              <w:shd w:val="clear" w:color="auto" w:fill="FFFFFF" w:themeFill="background1"/>
              <w:spacing w:line="216" w:lineRule="auto"/>
              <w:cnfStyle w:val="000000000000" w:firstRow="0" w:lastRow="0" w:firstColumn="0" w:lastColumn="0" w:oddVBand="0" w:evenVBand="0" w:oddHBand="0" w:evenHBand="0" w:firstRowFirstColumn="0" w:firstRowLastColumn="0" w:lastRowFirstColumn="0" w:lastRowLastColumn="0"/>
              <w:rPr>
                <w:rFonts w:ascii="NPIYagut" w:hAnsi="NPIYagut"/>
                <w:b/>
                <w:i/>
                <w:color w:val="auto"/>
                <w:sz w:val="23"/>
                <w:szCs w:val="23"/>
                <w:rtl/>
              </w:rPr>
            </w:pPr>
            <w:r w:rsidRPr="0026684F">
              <w:rPr>
                <w:rFonts w:ascii="NPIYagut" w:hAnsi="NPIYagut"/>
                <w:b/>
                <w:i/>
                <w:color w:val="auto"/>
                <w:sz w:val="23"/>
                <w:szCs w:val="23"/>
                <w:rtl/>
              </w:rPr>
              <w:t>59.1</w:t>
            </w:r>
          </w:p>
        </w:tc>
        <w:tc>
          <w:tcPr>
            <w:tcW w:w="3060" w:type="dxa"/>
          </w:tcPr>
          <w:p w14:paraId="4D5C913D" w14:textId="77777777" w:rsidR="00411620" w:rsidRPr="0026684F" w:rsidRDefault="00411620" w:rsidP="00450AC0">
            <w:pPr>
              <w:shd w:val="clear" w:color="auto" w:fill="FFFFFF" w:themeFill="background1"/>
              <w:autoSpaceDE w:val="0"/>
              <w:autoSpaceDN w:val="0"/>
              <w:adjustRightInd w:val="0"/>
              <w:spacing w:line="216" w:lineRule="auto"/>
              <w:jc w:val="right"/>
              <w:cnfStyle w:val="000000000000" w:firstRow="0" w:lastRow="0" w:firstColumn="0" w:lastColumn="0" w:oddVBand="0" w:evenVBand="0" w:oddHBand="0" w:evenHBand="0" w:firstRowFirstColumn="0" w:firstRowLastColumn="0" w:lastRowFirstColumn="0" w:lastRowLastColumn="0"/>
              <w:rPr>
                <w:bCs/>
                <w:i/>
                <w:color w:val="auto"/>
                <w:sz w:val="23"/>
                <w:szCs w:val="23"/>
                <w:rtl/>
              </w:rPr>
            </w:pPr>
            <w:r w:rsidRPr="0026684F">
              <w:rPr>
                <w:bCs/>
                <w:i/>
                <w:color w:val="auto"/>
                <w:sz w:val="23"/>
                <w:szCs w:val="23"/>
              </w:rPr>
              <w:t>b/y</w:t>
            </w:r>
          </w:p>
        </w:tc>
      </w:tr>
      <w:tr w:rsidR="00411620" w:rsidRPr="0026684F" w14:paraId="4E0C6FCA" w14:textId="77777777" w:rsidTr="00450A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6" w:type="dxa"/>
            <w:shd w:val="clear" w:color="auto" w:fill="FFFFFF" w:themeFill="background1"/>
          </w:tcPr>
          <w:p w14:paraId="77AFE53B" w14:textId="77777777" w:rsidR="00411620" w:rsidRPr="0026684F" w:rsidRDefault="00411620" w:rsidP="00450AC0">
            <w:pPr>
              <w:shd w:val="clear" w:color="auto" w:fill="FFFFFF" w:themeFill="background1"/>
              <w:spacing w:line="216" w:lineRule="auto"/>
              <w:rPr>
                <w:rFonts w:ascii="NPIYagut" w:hAnsi="NPIYagut"/>
                <w:bCs w:val="0"/>
                <w:i/>
                <w:color w:val="auto"/>
                <w:sz w:val="23"/>
                <w:szCs w:val="23"/>
                <w:rtl/>
              </w:rPr>
            </w:pPr>
            <w:r w:rsidRPr="0026684F">
              <w:rPr>
                <w:rFonts w:ascii="NPIYagut" w:hAnsi="NPIYagut"/>
                <w:bCs w:val="0"/>
                <w:i/>
                <w:color w:val="auto"/>
                <w:sz w:val="23"/>
                <w:szCs w:val="23"/>
                <w:rtl/>
              </w:rPr>
              <w:t>1.3</w:t>
            </w:r>
          </w:p>
        </w:tc>
        <w:tc>
          <w:tcPr>
            <w:tcW w:w="1411" w:type="dxa"/>
            <w:shd w:val="clear" w:color="auto" w:fill="FFFFFF" w:themeFill="background1"/>
          </w:tcPr>
          <w:p w14:paraId="31FA0B56" w14:textId="77777777" w:rsidR="00411620" w:rsidRPr="0026684F" w:rsidRDefault="00411620" w:rsidP="00450AC0">
            <w:pPr>
              <w:shd w:val="clear" w:color="auto" w:fill="FFFFFF" w:themeFill="background1"/>
              <w:spacing w:line="216" w:lineRule="auto"/>
              <w:cnfStyle w:val="000000100000" w:firstRow="0" w:lastRow="0" w:firstColumn="0" w:lastColumn="0" w:oddVBand="0" w:evenVBand="0" w:oddHBand="1" w:evenHBand="0" w:firstRowFirstColumn="0" w:firstRowLastColumn="0" w:lastRowFirstColumn="0" w:lastRowLastColumn="0"/>
              <w:rPr>
                <w:rFonts w:ascii="NPIYagut" w:hAnsi="NPIYagut"/>
                <w:b/>
                <w:i/>
                <w:color w:val="auto"/>
                <w:sz w:val="23"/>
                <w:szCs w:val="23"/>
                <w:rtl/>
              </w:rPr>
            </w:pPr>
            <w:r w:rsidRPr="0026684F">
              <w:rPr>
                <w:rFonts w:ascii="NPIYagut" w:hAnsi="NPIYagut"/>
                <w:b/>
                <w:i/>
                <w:color w:val="auto"/>
                <w:sz w:val="23"/>
                <w:szCs w:val="23"/>
                <w:rtl/>
              </w:rPr>
              <w:t>1.9</w:t>
            </w:r>
          </w:p>
        </w:tc>
        <w:tc>
          <w:tcPr>
            <w:tcW w:w="3060" w:type="dxa"/>
            <w:shd w:val="clear" w:color="auto" w:fill="FFFFFF" w:themeFill="background1"/>
          </w:tcPr>
          <w:p w14:paraId="6091A24E" w14:textId="77777777" w:rsidR="00411620" w:rsidRPr="0026684F" w:rsidRDefault="00411620" w:rsidP="00450AC0">
            <w:pPr>
              <w:shd w:val="clear" w:color="auto" w:fill="FFFFFF" w:themeFill="background1"/>
              <w:tabs>
                <w:tab w:val="right" w:pos="2844"/>
              </w:tabs>
              <w:autoSpaceDE w:val="0"/>
              <w:autoSpaceDN w:val="0"/>
              <w:adjustRightInd w:val="0"/>
              <w:spacing w:line="216" w:lineRule="auto"/>
              <w:cnfStyle w:val="000000100000" w:firstRow="0" w:lastRow="0" w:firstColumn="0" w:lastColumn="0" w:oddVBand="0" w:evenVBand="0" w:oddHBand="1" w:evenHBand="0" w:firstRowFirstColumn="0" w:firstRowLastColumn="0" w:lastRowFirstColumn="0" w:lastRowLastColumn="0"/>
              <w:rPr>
                <w:b/>
                <w:i/>
                <w:color w:val="auto"/>
                <w:sz w:val="23"/>
                <w:szCs w:val="23"/>
                <w:rtl/>
              </w:rPr>
            </w:pPr>
            <w:r w:rsidRPr="0026684F">
              <w:rPr>
                <w:bCs/>
                <w:i/>
                <w:color w:val="auto"/>
                <w:sz w:val="23"/>
                <w:szCs w:val="23"/>
                <w:rtl/>
              </w:rPr>
              <w:tab/>
            </w:r>
            <w:r w:rsidRPr="0026684F">
              <w:rPr>
                <w:rFonts w:ascii="Cambria" w:hAnsi="Cambria" w:cs="Cambria" w:hint="cs"/>
                <w:b/>
                <w:i/>
                <w:color w:val="auto"/>
                <w:sz w:val="23"/>
                <w:szCs w:val="23"/>
                <w:rtl/>
              </w:rPr>
              <w:t>π</w:t>
            </w:r>
          </w:p>
        </w:tc>
      </w:tr>
      <w:tr w:rsidR="00411620" w:rsidRPr="0026684F" w14:paraId="2C4298A2" w14:textId="77777777" w:rsidTr="00450AC0">
        <w:trPr>
          <w:jc w:val="center"/>
        </w:trPr>
        <w:tc>
          <w:tcPr>
            <w:cnfStyle w:val="001000000000" w:firstRow="0" w:lastRow="0" w:firstColumn="1" w:lastColumn="0" w:oddVBand="0" w:evenVBand="0" w:oddHBand="0" w:evenHBand="0" w:firstRowFirstColumn="0" w:firstRowLastColumn="0" w:lastRowFirstColumn="0" w:lastRowLastColumn="0"/>
            <w:tcW w:w="2196" w:type="dxa"/>
          </w:tcPr>
          <w:p w14:paraId="4E296FF9" w14:textId="77777777" w:rsidR="00411620" w:rsidRPr="0026684F" w:rsidRDefault="00411620" w:rsidP="00450AC0">
            <w:pPr>
              <w:shd w:val="clear" w:color="auto" w:fill="FFFFFF" w:themeFill="background1"/>
              <w:spacing w:line="216" w:lineRule="auto"/>
              <w:rPr>
                <w:rFonts w:ascii="NPIYagut" w:hAnsi="NPIYagut"/>
                <w:bCs w:val="0"/>
                <w:i/>
                <w:color w:val="auto"/>
                <w:sz w:val="23"/>
                <w:szCs w:val="23"/>
                <w:rtl/>
              </w:rPr>
            </w:pPr>
            <w:r w:rsidRPr="0026684F">
              <w:rPr>
                <w:rFonts w:ascii="NPIYagut" w:hAnsi="NPIYagut"/>
                <w:bCs w:val="0"/>
                <w:i/>
                <w:color w:val="auto"/>
                <w:sz w:val="23"/>
                <w:szCs w:val="23"/>
                <w:rtl/>
              </w:rPr>
              <w:t>0.2</w:t>
            </w:r>
          </w:p>
        </w:tc>
        <w:tc>
          <w:tcPr>
            <w:tcW w:w="1411" w:type="dxa"/>
          </w:tcPr>
          <w:p w14:paraId="26B98A43" w14:textId="77777777" w:rsidR="00411620" w:rsidRPr="0026684F" w:rsidRDefault="00411620" w:rsidP="00450AC0">
            <w:pPr>
              <w:shd w:val="clear" w:color="auto" w:fill="FFFFFF" w:themeFill="background1"/>
              <w:spacing w:line="216" w:lineRule="auto"/>
              <w:cnfStyle w:val="000000000000" w:firstRow="0" w:lastRow="0" w:firstColumn="0" w:lastColumn="0" w:oddVBand="0" w:evenVBand="0" w:oddHBand="0" w:evenHBand="0" w:firstRowFirstColumn="0" w:firstRowLastColumn="0" w:lastRowFirstColumn="0" w:lastRowLastColumn="0"/>
              <w:rPr>
                <w:rFonts w:ascii="NPIYagut" w:hAnsi="NPIYagut"/>
                <w:b/>
                <w:i/>
                <w:color w:val="auto"/>
                <w:sz w:val="23"/>
                <w:szCs w:val="23"/>
                <w:rtl/>
              </w:rPr>
            </w:pPr>
            <w:r w:rsidRPr="0026684F">
              <w:rPr>
                <w:rFonts w:ascii="NPIYagut" w:hAnsi="NPIYagut"/>
                <w:b/>
                <w:i/>
                <w:color w:val="auto"/>
                <w:sz w:val="23"/>
                <w:szCs w:val="23"/>
                <w:rtl/>
              </w:rPr>
              <w:t xml:space="preserve">1.2 </w:t>
            </w:r>
          </w:p>
        </w:tc>
        <w:tc>
          <w:tcPr>
            <w:tcW w:w="3060" w:type="dxa"/>
          </w:tcPr>
          <w:p w14:paraId="36F9E7E9" w14:textId="77777777" w:rsidR="00411620" w:rsidRPr="0026684F" w:rsidRDefault="00411620" w:rsidP="00450AC0">
            <w:pPr>
              <w:shd w:val="clear" w:color="auto" w:fill="FFFFFF" w:themeFill="background1"/>
              <w:autoSpaceDE w:val="0"/>
              <w:autoSpaceDN w:val="0"/>
              <w:adjustRightInd w:val="0"/>
              <w:spacing w:line="216" w:lineRule="auto"/>
              <w:jc w:val="right"/>
              <w:cnfStyle w:val="000000000000" w:firstRow="0" w:lastRow="0" w:firstColumn="0" w:lastColumn="0" w:oddVBand="0" w:evenVBand="0" w:oddHBand="0" w:evenHBand="0" w:firstRowFirstColumn="0" w:firstRowLastColumn="0" w:lastRowFirstColumn="0" w:lastRowLastColumn="0"/>
              <w:rPr>
                <w:b/>
                <w:i/>
                <w:color w:val="auto"/>
                <w:sz w:val="23"/>
                <w:szCs w:val="23"/>
                <w:rtl/>
              </w:rPr>
            </w:pPr>
            <w:r w:rsidRPr="0026684F">
              <w:rPr>
                <w:rFonts w:ascii="Cambria" w:hAnsi="Cambria" w:cs="Cambria" w:hint="cs"/>
                <w:b/>
                <w:i/>
                <w:color w:val="auto"/>
                <w:sz w:val="23"/>
                <w:szCs w:val="23"/>
                <w:rtl/>
              </w:rPr>
              <w:t>γ</w:t>
            </w:r>
          </w:p>
        </w:tc>
      </w:tr>
      <w:tr w:rsidR="00411620" w:rsidRPr="0026684F" w14:paraId="5069C456" w14:textId="77777777" w:rsidTr="00450A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6" w:type="dxa"/>
            <w:shd w:val="clear" w:color="auto" w:fill="FFFFFF" w:themeFill="background1"/>
          </w:tcPr>
          <w:p w14:paraId="11E6412B" w14:textId="77777777" w:rsidR="00411620" w:rsidRPr="0026684F" w:rsidRDefault="00411620" w:rsidP="00450AC0">
            <w:pPr>
              <w:shd w:val="clear" w:color="auto" w:fill="FFFFFF" w:themeFill="background1"/>
              <w:spacing w:before="240" w:line="216" w:lineRule="auto"/>
              <w:rPr>
                <w:rFonts w:ascii="NPIYagut" w:hAnsi="NPIYagut"/>
                <w:bCs w:val="0"/>
                <w:i/>
                <w:color w:val="auto"/>
                <w:sz w:val="23"/>
                <w:szCs w:val="23"/>
                <w:rtl/>
              </w:rPr>
            </w:pPr>
            <w:r w:rsidRPr="0026684F">
              <w:rPr>
                <w:rFonts w:ascii="NPIYagut" w:hAnsi="NPIYagut"/>
                <w:bCs w:val="0"/>
                <w:i/>
                <w:color w:val="auto"/>
                <w:sz w:val="23"/>
                <w:szCs w:val="23"/>
                <w:rtl/>
              </w:rPr>
              <w:t>240</w:t>
            </w:r>
          </w:p>
        </w:tc>
        <w:tc>
          <w:tcPr>
            <w:tcW w:w="1411" w:type="dxa"/>
            <w:shd w:val="clear" w:color="auto" w:fill="FFFFFF" w:themeFill="background1"/>
          </w:tcPr>
          <w:p w14:paraId="495EB895" w14:textId="77777777" w:rsidR="00411620" w:rsidRPr="0026684F" w:rsidRDefault="00411620" w:rsidP="00450AC0">
            <w:pPr>
              <w:shd w:val="clear" w:color="auto" w:fill="FFFFFF" w:themeFill="background1"/>
              <w:spacing w:before="240"/>
              <w:cnfStyle w:val="000000100000" w:firstRow="0" w:lastRow="0" w:firstColumn="0" w:lastColumn="0" w:oddVBand="0" w:evenVBand="0" w:oddHBand="1" w:evenHBand="0" w:firstRowFirstColumn="0" w:firstRowLastColumn="0" w:lastRowFirstColumn="0" w:lastRowLastColumn="0"/>
              <w:rPr>
                <w:rFonts w:ascii="NPIYagut" w:hAnsi="NPIYagut"/>
                <w:b/>
                <w:i/>
                <w:color w:val="auto"/>
                <w:sz w:val="23"/>
                <w:szCs w:val="23"/>
                <w:rtl/>
              </w:rPr>
            </w:pPr>
            <w:r w:rsidRPr="0026684F">
              <w:rPr>
                <w:rFonts w:ascii="NPIYagut" w:hAnsi="NPIYagut"/>
                <w:b/>
                <w:i/>
                <w:color w:val="auto"/>
                <w:sz w:val="23"/>
                <w:szCs w:val="23"/>
                <w:rtl/>
              </w:rPr>
              <w:t>100</w:t>
            </w:r>
          </w:p>
          <w:p w14:paraId="51DBFB2D" w14:textId="77777777" w:rsidR="00411620" w:rsidRPr="0026684F" w:rsidRDefault="00411620" w:rsidP="00450AC0">
            <w:pPr>
              <w:shd w:val="clear" w:color="auto" w:fill="FFFFFF" w:themeFill="background1"/>
              <w:spacing w:line="216" w:lineRule="auto"/>
              <w:cnfStyle w:val="000000100000" w:firstRow="0" w:lastRow="0" w:firstColumn="0" w:lastColumn="0" w:oddVBand="0" w:evenVBand="0" w:oddHBand="1" w:evenHBand="0" w:firstRowFirstColumn="0" w:firstRowLastColumn="0" w:lastRowFirstColumn="0" w:lastRowLastColumn="0"/>
              <w:rPr>
                <w:rFonts w:ascii="NPIYagut" w:hAnsi="NPIYagut"/>
                <w:b/>
                <w:sz w:val="23"/>
                <w:szCs w:val="23"/>
                <w:rtl/>
              </w:rPr>
            </w:pPr>
          </w:p>
        </w:tc>
        <w:tc>
          <w:tcPr>
            <w:tcW w:w="3060" w:type="dxa"/>
            <w:shd w:val="clear" w:color="auto" w:fill="FFFFFF" w:themeFill="background1"/>
          </w:tcPr>
          <w:p w14:paraId="7F3FDF63" w14:textId="77777777" w:rsidR="00411620" w:rsidRPr="0026684F" w:rsidRDefault="00411620" w:rsidP="00450AC0">
            <w:pPr>
              <w:shd w:val="clear" w:color="auto" w:fill="FFFFFF" w:themeFill="background1"/>
              <w:tabs>
                <w:tab w:val="center" w:pos="1420"/>
                <w:tab w:val="right" w:pos="2844"/>
              </w:tabs>
              <w:autoSpaceDE w:val="0"/>
              <w:autoSpaceDN w:val="0"/>
              <w:adjustRightInd w:val="0"/>
              <w:spacing w:line="216" w:lineRule="auto"/>
              <w:cnfStyle w:val="000000100000" w:firstRow="0" w:lastRow="0" w:firstColumn="0" w:lastColumn="0" w:oddVBand="0" w:evenVBand="0" w:oddHBand="1" w:evenHBand="0" w:firstRowFirstColumn="0" w:firstRowLastColumn="0" w:lastRowFirstColumn="0" w:lastRowLastColumn="0"/>
              <w:rPr>
                <w:bCs/>
                <w:i/>
                <w:color w:val="auto"/>
                <w:sz w:val="23"/>
                <w:szCs w:val="23"/>
                <w:rtl/>
              </w:rPr>
            </w:pPr>
            <w:r w:rsidRPr="0026684F">
              <w:rPr>
                <w:bCs/>
                <w:i/>
                <w:color w:val="auto"/>
                <w:sz w:val="23"/>
                <w:szCs w:val="23"/>
              </w:rPr>
              <w:tab/>
            </w:r>
            <w:r w:rsidRPr="0026684F">
              <w:rPr>
                <w:bCs/>
                <w:i/>
                <w:color w:val="auto"/>
                <w:sz w:val="23"/>
                <w:szCs w:val="23"/>
              </w:rPr>
              <w:tab/>
            </w:r>
            <w:r w:rsidRPr="00703635">
              <w:rPr>
                <w:color w:val="auto"/>
                <w:position w:val="-26"/>
              </w:rPr>
              <w:object w:dxaOrig="1160" w:dyaOrig="600" w14:anchorId="66AF3319">
                <v:shape id="_x0000_i2785" type="#_x0000_t75" style="width:58.1pt;height:29.65pt" o:ole="">
                  <v:imagedata r:id="rId3556" o:title=""/>
                </v:shape>
                <o:OLEObject Type="Embed" ProgID="Equation.DSMT4" ShapeID="_x0000_i2785" DrawAspect="Content" ObjectID="_1791376729" r:id="rId3557"/>
              </w:object>
            </w:r>
          </w:p>
        </w:tc>
      </w:tr>
    </w:tbl>
    <w:p w14:paraId="049DFC53" w14:textId="77777777" w:rsidR="00411620" w:rsidRPr="0026684F" w:rsidRDefault="00411620" w:rsidP="00411620">
      <w:pPr>
        <w:pStyle w:val="MTDisplayEquation"/>
        <w:shd w:val="clear" w:color="auto" w:fill="FFFFFF" w:themeFill="background1"/>
        <w:spacing w:line="216" w:lineRule="auto"/>
        <w:rPr>
          <w:rFonts w:ascii="Times New Roman" w:eastAsiaTheme="minorEastAsia" w:hAnsi="Times New Roman" w:cs="B Nazanin"/>
          <w:i/>
          <w:sz w:val="23"/>
          <w:szCs w:val="23"/>
        </w:rPr>
      </w:pPr>
    </w:p>
    <w:p w14:paraId="3BE5B0E7" w14:textId="77777777" w:rsidR="00411620" w:rsidRPr="0026684F" w:rsidRDefault="00411620" w:rsidP="00411620">
      <w:pPr>
        <w:spacing w:line="216" w:lineRule="auto"/>
        <w:rPr>
          <w:i/>
          <w:sz w:val="23"/>
          <w:szCs w:val="23"/>
        </w:rPr>
      </w:pPr>
      <w:r w:rsidRPr="0026684F">
        <w:rPr>
          <w:rFonts w:hint="cs"/>
          <w:i/>
          <w:sz w:val="23"/>
          <w:szCs w:val="23"/>
          <w:rtl/>
        </w:rPr>
        <w:t>لذا علیرغم اینکه در هر دو کشور مورد بررسی، نسبت</w:t>
      </w:r>
      <w:r w:rsidRPr="0026684F">
        <w:rPr>
          <w:i/>
          <w:sz w:val="23"/>
          <w:szCs w:val="23"/>
          <w:rtl/>
        </w:rPr>
        <w:softHyphen/>
      </w:r>
      <w:r w:rsidRPr="0026684F">
        <w:rPr>
          <w:rFonts w:hint="cs"/>
          <w:i/>
          <w:sz w:val="23"/>
          <w:szCs w:val="23"/>
          <w:rtl/>
        </w:rPr>
        <w:t xml:space="preserve">های </w:t>
      </w:r>
      <w:r w:rsidRPr="0026684F">
        <w:rPr>
          <w:i/>
          <w:sz w:val="23"/>
          <w:szCs w:val="23"/>
        </w:rPr>
        <w:t>D/y</w:t>
      </w:r>
      <w:r w:rsidRPr="0026684F">
        <w:rPr>
          <w:rFonts w:hint="cs"/>
          <w:i/>
          <w:sz w:val="23"/>
          <w:szCs w:val="23"/>
          <w:rtl/>
        </w:rPr>
        <w:t xml:space="preserve"> حدود ۳</w:t>
      </w:r>
      <w:r w:rsidRPr="0026684F">
        <w:rPr>
          <w:rFonts w:ascii="Sakkal Majalla" w:hAnsi="Sakkal Majalla" w:cs="Sakkal Majalla" w:hint="cs"/>
          <w:i/>
          <w:sz w:val="23"/>
          <w:szCs w:val="23"/>
          <w:rtl/>
        </w:rPr>
        <w:t>٪</w:t>
      </w:r>
      <w:r w:rsidRPr="0026684F">
        <w:rPr>
          <w:rFonts w:hint="cs"/>
          <w:i/>
          <w:sz w:val="23"/>
          <w:szCs w:val="23"/>
          <w:rtl/>
        </w:rPr>
        <w:t xml:space="preserve"> و </w:t>
      </w:r>
      <w:r w:rsidRPr="0026684F">
        <w:rPr>
          <w:i/>
          <w:sz w:val="23"/>
          <w:szCs w:val="23"/>
        </w:rPr>
        <w:t>b/y</w:t>
      </w:r>
      <w:r w:rsidRPr="0026684F">
        <w:rPr>
          <w:rFonts w:hint="cs"/>
          <w:i/>
          <w:sz w:val="23"/>
          <w:szCs w:val="23"/>
          <w:rtl/>
        </w:rPr>
        <w:t xml:space="preserve"> حدود</w:t>
      </w:r>
      <w:r w:rsidRPr="0026684F">
        <w:rPr>
          <w:i/>
          <w:sz w:val="23"/>
          <w:szCs w:val="23"/>
          <w:rtl/>
        </w:rPr>
        <w:t xml:space="preserve"> </w:t>
      </w:r>
      <w:r w:rsidRPr="0026684F">
        <w:rPr>
          <w:rFonts w:hint="cs"/>
          <w:i/>
          <w:sz w:val="23"/>
          <w:szCs w:val="23"/>
          <w:rtl/>
        </w:rPr>
        <w:t>۶۰</w:t>
      </w:r>
      <w:r w:rsidRPr="0026684F">
        <w:rPr>
          <w:rFonts w:ascii="Sakkal Majalla" w:hAnsi="Sakkal Majalla" w:cs="Sakkal Majalla" w:hint="cs"/>
          <w:i/>
          <w:sz w:val="23"/>
          <w:szCs w:val="23"/>
          <w:rtl/>
        </w:rPr>
        <w:t>٪</w:t>
      </w:r>
      <w:r w:rsidRPr="0026684F">
        <w:rPr>
          <w:rFonts w:hint="cs"/>
          <w:i/>
          <w:sz w:val="23"/>
          <w:szCs w:val="23"/>
          <w:rtl/>
        </w:rPr>
        <w:t xml:space="preserve"> است ولی نرخ رشد </w:t>
      </w:r>
      <w:r w:rsidRPr="0026684F">
        <w:rPr>
          <w:i/>
          <w:sz w:val="23"/>
          <w:szCs w:val="23"/>
        </w:rPr>
        <w:t>GDP</w:t>
      </w:r>
      <w:r w:rsidRPr="0026684F">
        <w:rPr>
          <w:rFonts w:hint="cs"/>
          <w:i/>
          <w:sz w:val="23"/>
          <w:szCs w:val="23"/>
          <w:rtl/>
        </w:rPr>
        <w:t xml:space="preserve"> اسمی کمتر از مقداری است که وضعیت مالی پایدار را تضمین کند. این نرخ برای فرانسه می‌بایست ۵.۲</w:t>
      </w:r>
      <w:r w:rsidRPr="0026684F">
        <w:rPr>
          <w:rFonts w:ascii="Sakkal Majalla" w:hAnsi="Sakkal Majalla" w:cs="Sakkal Majalla" w:hint="cs"/>
          <w:i/>
          <w:sz w:val="23"/>
          <w:szCs w:val="23"/>
          <w:rtl/>
        </w:rPr>
        <w:t>٪</w:t>
      </w:r>
      <w:r w:rsidRPr="0026684F">
        <w:rPr>
          <w:rFonts w:hint="cs"/>
          <w:i/>
          <w:sz w:val="23"/>
          <w:szCs w:val="23"/>
          <w:rtl/>
        </w:rPr>
        <w:t xml:space="preserve"> و برای آلمان ۵.۹</w:t>
      </w:r>
      <w:r w:rsidRPr="0026684F">
        <w:rPr>
          <w:rFonts w:ascii="Sakkal Majalla" w:hAnsi="Sakkal Majalla" w:cs="Sakkal Majalla" w:hint="cs"/>
          <w:i/>
          <w:sz w:val="23"/>
          <w:szCs w:val="23"/>
          <w:rtl/>
        </w:rPr>
        <w:t>٪</w:t>
      </w:r>
      <w:r w:rsidRPr="0026684F">
        <w:rPr>
          <w:rFonts w:hint="cs"/>
          <w:i/>
          <w:sz w:val="23"/>
          <w:szCs w:val="23"/>
          <w:rtl/>
        </w:rPr>
        <w:t xml:space="preserve"> می</w:t>
      </w:r>
      <w:r w:rsidRPr="0026684F">
        <w:rPr>
          <w:i/>
          <w:sz w:val="23"/>
          <w:szCs w:val="23"/>
        </w:rPr>
        <w:softHyphen/>
      </w:r>
      <w:r w:rsidRPr="0026684F">
        <w:rPr>
          <w:rFonts w:hint="cs"/>
          <w:i/>
          <w:sz w:val="23"/>
          <w:szCs w:val="23"/>
          <w:rtl/>
        </w:rPr>
        <w:t>بود.</w:t>
      </w:r>
    </w:p>
    <w:p w14:paraId="75C062F5" w14:textId="77777777" w:rsidR="00411620" w:rsidRPr="0026684F" w:rsidRDefault="00411620" w:rsidP="00411620">
      <w:pPr>
        <w:spacing w:line="216" w:lineRule="auto"/>
        <w:rPr>
          <w:i/>
          <w:sz w:val="23"/>
          <w:szCs w:val="23"/>
        </w:rPr>
      </w:pPr>
    </w:p>
    <w:p w14:paraId="70A1576C" w14:textId="77777777" w:rsidR="00411620" w:rsidRPr="0026684F" w:rsidRDefault="00411620" w:rsidP="00411620">
      <w:pPr>
        <w:pStyle w:val="Heading1"/>
        <w:spacing w:before="0" w:after="0" w:line="216" w:lineRule="auto"/>
        <w:rPr>
          <w:rFonts w:ascii="Times New Roman" w:hAnsi="Times New Roman" w:cs="B Nazanin"/>
          <w:b w:val="0"/>
          <w:i/>
          <w:sz w:val="23"/>
          <w:szCs w:val="23"/>
          <w:rtl/>
        </w:rPr>
      </w:pPr>
      <w:r w:rsidRPr="0026684F">
        <w:rPr>
          <w:rFonts w:ascii="Times New Roman" w:hAnsi="Times New Roman" w:cs="B Nazanin" w:hint="cs"/>
          <w:b w:val="0"/>
          <w:i/>
          <w:sz w:val="23"/>
          <w:szCs w:val="23"/>
          <w:rtl/>
        </w:rPr>
        <w:t>۵. ۶ تئوری مالی سطح قیمت</w:t>
      </w:r>
      <w:r w:rsidRPr="0026684F">
        <w:rPr>
          <w:rFonts w:ascii="Times New Roman" w:hAnsi="Times New Roman" w:cs="B Nazanin"/>
          <w:b w:val="0"/>
          <w:i/>
          <w:sz w:val="23"/>
          <w:szCs w:val="23"/>
          <w:rtl/>
        </w:rPr>
        <w:softHyphen/>
      </w:r>
      <w:r w:rsidRPr="0026684F">
        <w:rPr>
          <w:rFonts w:ascii="Times New Roman" w:hAnsi="Times New Roman" w:cs="B Nazanin" w:hint="cs"/>
          <w:b w:val="0"/>
          <w:i/>
          <w:sz w:val="23"/>
          <w:szCs w:val="23"/>
          <w:rtl/>
        </w:rPr>
        <w:t xml:space="preserve">ها </w:t>
      </w:r>
    </w:p>
    <w:p w14:paraId="78A3C557" w14:textId="77777777" w:rsidR="00411620" w:rsidRPr="0026684F" w:rsidRDefault="00411620" w:rsidP="00411620">
      <w:pPr>
        <w:spacing w:line="216" w:lineRule="auto"/>
        <w:rPr>
          <w:i/>
          <w:sz w:val="23"/>
          <w:szCs w:val="23"/>
          <w:rtl/>
        </w:rPr>
      </w:pPr>
      <w:r w:rsidRPr="0026684F">
        <w:rPr>
          <w:rFonts w:hint="cs"/>
          <w:i/>
          <w:sz w:val="23"/>
          <w:szCs w:val="23"/>
          <w:rtl/>
        </w:rPr>
        <w:t>در بخش قبل شرایط پایداری وضعیت مالی دولت که در آن نرخ بهره</w:t>
      </w:r>
      <w:r w:rsidRPr="0026684F">
        <w:rPr>
          <w:i/>
          <w:sz w:val="23"/>
          <w:szCs w:val="23"/>
          <w:rtl/>
        </w:rPr>
        <w:softHyphen/>
      </w:r>
      <w:r w:rsidRPr="0026684F">
        <w:rPr>
          <w:rFonts w:hint="cs"/>
          <w:i/>
          <w:sz w:val="23"/>
          <w:szCs w:val="23"/>
          <w:rtl/>
        </w:rPr>
        <w:t xml:space="preserve">ی اسمی بزرگتر از نرخ رشد </w:t>
      </w:r>
      <w:r w:rsidRPr="0026684F">
        <w:rPr>
          <w:i/>
          <w:sz w:val="23"/>
          <w:szCs w:val="23"/>
        </w:rPr>
        <w:t xml:space="preserve">GDP </w:t>
      </w:r>
      <w:r w:rsidRPr="0026684F">
        <w:rPr>
          <w:rFonts w:hint="cs"/>
          <w:i/>
          <w:sz w:val="23"/>
          <w:szCs w:val="23"/>
          <w:rtl/>
        </w:rPr>
        <w:t xml:space="preserve"> اسمی بود را بررسی کردیم، و به این نتیجه رسیدیم که بدهی جاری دولت یا وام معوقه دولت باید برابر با ارزش فعلی انتظاری درآمد خالص یا مازاد اولیه باشد. در آن شرایط ممکن بود دولت برای ایجاد مازاد اولیه مناسب، و یا کاهش کسری بودجه کل، وضع مالی خود را تغییر دهد. سیاستی که ناظر بر این نوع تصمیم دولت باشد را ریکاردین نامند. در مقابل، در سیاست غیرریکاردینی، علی</w:t>
      </w:r>
      <w:r w:rsidRPr="0026684F">
        <w:rPr>
          <w:i/>
          <w:sz w:val="23"/>
          <w:szCs w:val="23"/>
          <w:rtl/>
        </w:rPr>
        <w:softHyphen/>
      </w:r>
      <w:r w:rsidRPr="0026684F">
        <w:rPr>
          <w:rFonts w:hint="cs"/>
          <w:i/>
          <w:sz w:val="23"/>
          <w:szCs w:val="23"/>
          <w:rtl/>
        </w:rPr>
        <w:t>رغم وضعیت مالی جاری داده شده، و عدم تعادل در قید بودجه</w:t>
      </w:r>
      <w:r w:rsidRPr="0026684F">
        <w:rPr>
          <w:i/>
          <w:sz w:val="23"/>
          <w:szCs w:val="23"/>
          <w:rtl/>
        </w:rPr>
        <w:softHyphen/>
      </w:r>
      <w:r w:rsidRPr="0026684F">
        <w:rPr>
          <w:rFonts w:hint="cs"/>
          <w:i/>
          <w:sz w:val="23"/>
          <w:szCs w:val="23"/>
          <w:rtl/>
        </w:rPr>
        <w:t>ی بین</w:t>
      </w:r>
      <w:r w:rsidRPr="0026684F">
        <w:rPr>
          <w:i/>
          <w:sz w:val="23"/>
          <w:szCs w:val="23"/>
          <w:rtl/>
        </w:rPr>
        <w:softHyphen/>
      </w:r>
      <w:r w:rsidRPr="0026684F">
        <w:rPr>
          <w:rFonts w:hint="cs"/>
          <w:i/>
          <w:sz w:val="23"/>
          <w:szCs w:val="23"/>
          <w:rtl/>
        </w:rPr>
        <w:t>دوره</w:t>
      </w:r>
      <w:r w:rsidRPr="0026684F">
        <w:rPr>
          <w:i/>
          <w:sz w:val="23"/>
          <w:szCs w:val="23"/>
          <w:rtl/>
        </w:rPr>
        <w:softHyphen/>
      </w:r>
      <w:r w:rsidRPr="0026684F">
        <w:rPr>
          <w:rFonts w:hint="cs"/>
          <w:i/>
          <w:sz w:val="23"/>
          <w:szCs w:val="23"/>
          <w:rtl/>
        </w:rPr>
        <w:t>ای دولت، تعادل بودجه به صورت خودکار از طریق تعدیل قیمت</w:t>
      </w:r>
      <w:r w:rsidRPr="0026684F">
        <w:rPr>
          <w:i/>
          <w:sz w:val="23"/>
          <w:szCs w:val="23"/>
          <w:rtl/>
        </w:rPr>
        <w:softHyphen/>
      </w:r>
      <w:r w:rsidRPr="0026684F">
        <w:rPr>
          <w:rFonts w:hint="cs"/>
          <w:i/>
          <w:sz w:val="23"/>
          <w:szCs w:val="23"/>
          <w:rtl/>
        </w:rPr>
        <w:t>ها ایجاد می</w:t>
      </w:r>
      <w:r w:rsidRPr="0026684F">
        <w:rPr>
          <w:i/>
          <w:sz w:val="23"/>
          <w:szCs w:val="23"/>
          <w:rtl/>
        </w:rPr>
        <w:softHyphen/>
      </w:r>
      <w:r w:rsidRPr="0026684F">
        <w:rPr>
          <w:rFonts w:hint="cs"/>
          <w:i/>
          <w:sz w:val="23"/>
          <w:szCs w:val="23"/>
          <w:rtl/>
        </w:rPr>
        <w:t>شود، که بدان تئوری مالی سطح قیمت</w:t>
      </w:r>
      <w:r w:rsidRPr="0026684F">
        <w:rPr>
          <w:i/>
          <w:sz w:val="23"/>
          <w:szCs w:val="23"/>
          <w:rtl/>
        </w:rPr>
        <w:softHyphen/>
      </w:r>
      <w:r w:rsidRPr="0026684F">
        <w:rPr>
          <w:rFonts w:hint="cs"/>
          <w:i/>
          <w:sz w:val="23"/>
          <w:szCs w:val="23"/>
          <w:rtl/>
        </w:rPr>
        <w:t>ها گویند. بر اساس این تئوری، سطح قیمت‌ها جهت تضمین قید بودجه</w:t>
      </w:r>
      <w:r w:rsidRPr="0026684F">
        <w:rPr>
          <w:i/>
          <w:sz w:val="23"/>
          <w:szCs w:val="23"/>
          <w:rtl/>
        </w:rPr>
        <w:softHyphen/>
      </w:r>
      <w:r w:rsidRPr="0026684F">
        <w:rPr>
          <w:rFonts w:hint="cs"/>
          <w:i/>
          <w:sz w:val="23"/>
          <w:szCs w:val="23"/>
          <w:rtl/>
        </w:rPr>
        <w:t>ی بین دوره</w:t>
      </w:r>
      <w:r w:rsidRPr="0026684F">
        <w:rPr>
          <w:i/>
          <w:sz w:val="23"/>
          <w:szCs w:val="23"/>
          <w:rtl/>
        </w:rPr>
        <w:softHyphen/>
      </w:r>
      <w:r w:rsidRPr="0026684F">
        <w:rPr>
          <w:rFonts w:hint="cs"/>
          <w:i/>
          <w:sz w:val="23"/>
          <w:szCs w:val="23"/>
          <w:rtl/>
        </w:rPr>
        <w:t>ای دولت، سریعاً تعدیل شده و قیمت</w:t>
      </w:r>
      <w:r w:rsidRPr="0026684F">
        <w:rPr>
          <w:i/>
          <w:sz w:val="23"/>
          <w:szCs w:val="23"/>
          <w:rtl/>
        </w:rPr>
        <w:softHyphen/>
      </w:r>
      <w:r w:rsidRPr="0026684F">
        <w:rPr>
          <w:rFonts w:hint="cs"/>
          <w:i/>
          <w:sz w:val="23"/>
          <w:szCs w:val="23"/>
          <w:rtl/>
        </w:rPr>
        <w:t>ها نه بر حسب مقدار عرضه</w:t>
      </w:r>
      <w:r w:rsidRPr="0026684F">
        <w:rPr>
          <w:i/>
          <w:sz w:val="23"/>
          <w:szCs w:val="23"/>
          <w:rtl/>
        </w:rPr>
        <w:softHyphen/>
      </w:r>
      <w:r w:rsidRPr="0026684F">
        <w:rPr>
          <w:rFonts w:hint="cs"/>
          <w:i/>
          <w:sz w:val="23"/>
          <w:szCs w:val="23"/>
          <w:rtl/>
        </w:rPr>
        <w:t>ی پول، بلکه بر حسب وضعیت مالی دولت تغییر می</w:t>
      </w:r>
      <w:r w:rsidRPr="0026684F">
        <w:rPr>
          <w:i/>
          <w:sz w:val="23"/>
          <w:szCs w:val="23"/>
          <w:rtl/>
        </w:rPr>
        <w:softHyphen/>
      </w:r>
      <w:r w:rsidRPr="0026684F">
        <w:rPr>
          <w:rFonts w:hint="cs"/>
          <w:i/>
          <w:sz w:val="23"/>
          <w:szCs w:val="23"/>
          <w:rtl/>
        </w:rPr>
        <w:t xml:space="preserve">کند. </w:t>
      </w:r>
    </w:p>
    <w:p w14:paraId="3DD6853B" w14:textId="77777777" w:rsidR="00411620" w:rsidRPr="0026684F" w:rsidRDefault="00411620" w:rsidP="00411620">
      <w:pPr>
        <w:spacing w:line="216" w:lineRule="auto"/>
        <w:rPr>
          <w:i/>
          <w:sz w:val="23"/>
          <w:szCs w:val="23"/>
          <w:rtl/>
        </w:rPr>
      </w:pPr>
      <w:r w:rsidRPr="0026684F">
        <w:rPr>
          <w:rFonts w:hint="cs"/>
          <w:i/>
          <w:sz w:val="23"/>
          <w:szCs w:val="23"/>
          <w:rtl/>
        </w:rPr>
        <w:t>اگر معادله (۵. ۱۸) را در نظر بگیریم:</w:t>
      </w:r>
    </w:p>
    <w:p w14:paraId="69C1EE31"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30"/>
        </w:rPr>
        <w:object w:dxaOrig="3460" w:dyaOrig="760" w14:anchorId="6A48283C">
          <v:shape id="_x0000_i2786" type="#_x0000_t75" style="width:173.05pt;height:38.1pt" o:ole="">
            <v:imagedata r:id="rId3558" o:title=""/>
          </v:shape>
          <o:OLEObject Type="Embed" ProgID="Equation.DSMT4" ShapeID="_x0000_i2786" DrawAspect="Content" ObjectID="_1791376730" r:id="rId3559"/>
        </w:object>
      </w:r>
    </w:p>
    <w:p w14:paraId="4FDBABC3"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 xml:space="preserve">ویا </w:t>
      </w:r>
    </w:p>
    <w:p w14:paraId="39592923" w14:textId="77777777" w:rsidR="00411620" w:rsidRPr="0026684F" w:rsidRDefault="00411620" w:rsidP="00411620">
      <w:pPr>
        <w:bidi w:val="0"/>
        <w:spacing w:line="216" w:lineRule="auto"/>
        <w:rPr>
          <w:rFonts w:eastAsiaTheme="minorEastAsia"/>
          <w:i/>
          <w:sz w:val="23"/>
          <w:szCs w:val="23"/>
        </w:rPr>
      </w:pPr>
      <w:r w:rsidRPr="00703635">
        <w:rPr>
          <w:position w:val="-30"/>
        </w:rPr>
        <w:object w:dxaOrig="3500" w:dyaOrig="760" w14:anchorId="6D3C840C">
          <v:shape id="_x0000_i2787" type="#_x0000_t75" style="width:175.45pt;height:38.1pt" o:ole="">
            <v:imagedata r:id="rId3560" o:title=""/>
          </v:shape>
          <o:OLEObject Type="Embed" ProgID="Equation.DSMT4" ShapeID="_x0000_i2787" DrawAspect="Content" ObjectID="_1791376731" r:id="rId3561"/>
        </w:object>
      </w:r>
    </w:p>
    <w:p w14:paraId="2C8C00A1"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آنگاه خواهیم داشت</w:t>
      </w:r>
    </w:p>
    <w:p w14:paraId="1200DCF5" w14:textId="77777777" w:rsidR="00411620" w:rsidRPr="0026684F" w:rsidRDefault="00411620" w:rsidP="00411620">
      <w:pPr>
        <w:pStyle w:val="MTDisplayEquation"/>
        <w:tabs>
          <w:tab w:val="clear" w:pos="6660"/>
          <w:tab w:val="right" w:pos="0"/>
        </w:tabs>
        <w:spacing w:line="216" w:lineRule="auto"/>
        <w:rPr>
          <w:rFonts w:ascii="Times New Roman" w:hAnsi="Times New Roman" w:cs="B Nazanin"/>
          <w:i/>
          <w:sz w:val="23"/>
          <w:szCs w:val="23"/>
          <w:rtl/>
        </w:rPr>
      </w:pPr>
      <w:r w:rsidRPr="00703635">
        <w:rPr>
          <w:position w:val="-68"/>
        </w:rPr>
        <w:object w:dxaOrig="3580" w:dyaOrig="1040" w14:anchorId="45A2C309">
          <v:shape id="_x0000_i2788" type="#_x0000_t75" style="width:178.5pt;height:52.05pt" o:ole="">
            <v:imagedata r:id="rId3562" o:title=""/>
          </v:shape>
          <o:OLEObject Type="Embed" ProgID="Equation.DSMT4" ShapeID="_x0000_i2788" DrawAspect="Content" ObjectID="_1791376732" r:id="rId3563"/>
        </w:object>
      </w:r>
      <w:r w:rsidRPr="0026684F">
        <w:rPr>
          <w:rFonts w:ascii="Times New Roman" w:hAnsi="Times New Roman" w:cs="B Nazanin"/>
          <w:i/>
          <w:sz w:val="23"/>
          <w:szCs w:val="23"/>
          <w:rtl/>
        </w:rPr>
        <w:tab/>
      </w:r>
      <w:r w:rsidRPr="0026684F">
        <w:rPr>
          <w:rFonts w:ascii="Times New Roman" w:hAnsi="Times New Roman" w:cs="B Nazanin"/>
          <w:i/>
          <w:sz w:val="23"/>
          <w:szCs w:val="23"/>
          <w:rtl/>
        </w:rPr>
        <w:tab/>
      </w:r>
      <w:r w:rsidRPr="0026684F">
        <w:rPr>
          <w:rFonts w:ascii="Times New Roman" w:hAnsi="Times New Roman" w:cs="B Nazanin"/>
          <w:i/>
          <w:sz w:val="23"/>
          <w:szCs w:val="23"/>
          <w:rtl/>
        </w:rPr>
        <w:tab/>
      </w:r>
      <w:r w:rsidRPr="0026684F">
        <w:rPr>
          <w:rFonts w:ascii="Times New Roman" w:hAnsi="Times New Roman" w:cs="B Nazanin"/>
          <w:i/>
          <w:sz w:val="23"/>
          <w:szCs w:val="23"/>
          <w:rtl/>
        </w:rPr>
        <w:tab/>
      </w:r>
      <w:r>
        <w:rPr>
          <w:rFonts w:ascii="Times New Roman" w:hAnsi="Times New Roman" w:cs="B Nazanin"/>
          <w:i/>
          <w:sz w:val="23"/>
          <w:szCs w:val="23"/>
          <w:rtl/>
        </w:rPr>
        <w:tab/>
      </w:r>
      <w:r>
        <w:rPr>
          <w:rFonts w:ascii="Times New Roman" w:hAnsi="Times New Roman" w:cs="B Nazanin"/>
          <w:i/>
          <w:sz w:val="23"/>
          <w:szCs w:val="23"/>
          <w:rtl/>
        </w:rPr>
        <w:tab/>
      </w:r>
      <w:r w:rsidRPr="0026684F">
        <w:rPr>
          <w:rFonts w:ascii="Times New Roman" w:hAnsi="Times New Roman" w:cs="B Nazanin"/>
          <w:i/>
          <w:sz w:val="23"/>
          <w:szCs w:val="23"/>
          <w:rtl/>
        </w:rPr>
        <w:tab/>
      </w:r>
      <w:r w:rsidRPr="0026684F">
        <w:rPr>
          <w:rFonts w:ascii="Times New Roman" w:hAnsi="Times New Roman" w:cs="B Nazanin"/>
          <w:i/>
          <w:sz w:val="23"/>
          <w:szCs w:val="23"/>
          <w:rtl/>
        </w:rPr>
        <w:tab/>
      </w:r>
      <w:r w:rsidRPr="0026684F">
        <w:rPr>
          <w:rFonts w:ascii="Times New Roman" w:hAnsi="Times New Roman" w:cs="B Nazanin"/>
          <w:i/>
          <w:sz w:val="23"/>
          <w:szCs w:val="23"/>
          <w:rtl/>
        </w:rPr>
        <w:tab/>
      </w:r>
      <w:r w:rsidRPr="0026684F">
        <w:rPr>
          <w:rFonts w:ascii="Times New Roman" w:hAnsi="Times New Roman" w:cs="B Nazanin" w:hint="cs"/>
          <w:i/>
          <w:sz w:val="23"/>
          <w:szCs w:val="23"/>
          <w:rtl/>
        </w:rPr>
        <w:t>(۵. ۲۱)</w:t>
      </w:r>
    </w:p>
    <w:p w14:paraId="46296CE2" w14:textId="77777777" w:rsidR="00411620" w:rsidRPr="0026684F" w:rsidRDefault="00411620" w:rsidP="00411620">
      <w:pPr>
        <w:spacing w:line="216" w:lineRule="auto"/>
        <w:rPr>
          <w:i/>
          <w:sz w:val="23"/>
          <w:szCs w:val="23"/>
          <w:rtl/>
        </w:rPr>
      </w:pPr>
      <w:r w:rsidRPr="0026684F">
        <w:rPr>
          <w:rFonts w:hint="cs"/>
          <w:i/>
          <w:sz w:val="23"/>
          <w:szCs w:val="23"/>
          <w:rtl/>
        </w:rPr>
        <w:t>لذا بر اساس تئوری مالی سطح قیمت</w:t>
      </w:r>
      <w:r w:rsidRPr="0026684F">
        <w:rPr>
          <w:i/>
          <w:sz w:val="23"/>
          <w:szCs w:val="23"/>
          <w:rtl/>
        </w:rPr>
        <w:softHyphen/>
      </w:r>
      <w:r w:rsidRPr="0026684F">
        <w:rPr>
          <w:rFonts w:hint="cs"/>
          <w:i/>
          <w:sz w:val="23"/>
          <w:szCs w:val="23"/>
          <w:rtl/>
        </w:rPr>
        <w:t>ها، اگر در رابطه</w:t>
      </w:r>
      <w:r w:rsidRPr="0026684F">
        <w:rPr>
          <w:i/>
          <w:sz w:val="23"/>
          <w:szCs w:val="23"/>
          <w:rtl/>
        </w:rPr>
        <w:softHyphen/>
      </w:r>
      <w:r w:rsidRPr="0026684F">
        <w:rPr>
          <w:rFonts w:hint="cs"/>
          <w:i/>
          <w:sz w:val="23"/>
          <w:szCs w:val="23"/>
          <w:rtl/>
        </w:rPr>
        <w:t>ی فوق ارزش اسمی بدهی معوقه</w:t>
      </w:r>
      <w:r w:rsidRPr="0026684F">
        <w:rPr>
          <w:i/>
          <w:sz w:val="23"/>
          <w:szCs w:val="23"/>
          <w:rtl/>
        </w:rPr>
        <w:softHyphen/>
      </w:r>
      <w:r w:rsidRPr="0026684F">
        <w:rPr>
          <w:rFonts w:hint="cs"/>
          <w:i/>
          <w:sz w:val="23"/>
          <w:szCs w:val="23"/>
          <w:rtl/>
        </w:rPr>
        <w:t xml:space="preserve">ی دولت </w:t>
      </w:r>
      <w:proofErr w:type="spellStart"/>
      <w:r w:rsidRPr="0026684F">
        <w:rPr>
          <w:i/>
          <w:sz w:val="23"/>
          <w:szCs w:val="23"/>
        </w:rPr>
        <w:t>B</w:t>
      </w:r>
      <w:r w:rsidRPr="0026684F">
        <w:rPr>
          <w:i/>
          <w:sz w:val="23"/>
          <w:szCs w:val="23"/>
          <w:vertAlign w:val="subscript"/>
        </w:rPr>
        <w:t>t</w:t>
      </w:r>
      <w:proofErr w:type="spellEnd"/>
      <w:r w:rsidRPr="0026684F">
        <w:rPr>
          <w:rFonts w:hint="cs"/>
          <w:i/>
          <w:sz w:val="23"/>
          <w:szCs w:val="23"/>
          <w:rtl/>
        </w:rPr>
        <w:t xml:space="preserve"> بیشتر از مخرج کسر باشد، آنگاه سطح قیمت</w:t>
      </w:r>
      <w:r w:rsidRPr="0026684F">
        <w:rPr>
          <w:i/>
          <w:sz w:val="23"/>
          <w:szCs w:val="23"/>
          <w:rtl/>
        </w:rPr>
        <w:softHyphen/>
      </w:r>
      <w:r w:rsidRPr="0026684F">
        <w:rPr>
          <w:rFonts w:hint="cs"/>
          <w:i/>
          <w:sz w:val="23"/>
          <w:szCs w:val="23"/>
          <w:rtl/>
        </w:rPr>
        <w:t>ها سریعاً و بطور خود به خود افزایش می</w:t>
      </w:r>
      <w:r w:rsidRPr="0026684F">
        <w:rPr>
          <w:i/>
          <w:sz w:val="23"/>
          <w:szCs w:val="23"/>
          <w:rtl/>
        </w:rPr>
        <w:softHyphen/>
      </w:r>
      <w:r w:rsidRPr="0026684F">
        <w:rPr>
          <w:rFonts w:hint="cs"/>
          <w:i/>
          <w:sz w:val="23"/>
          <w:szCs w:val="23"/>
          <w:rtl/>
        </w:rPr>
        <w:t>یابد و به تبع آن قید بودجه</w:t>
      </w:r>
      <w:r w:rsidRPr="0026684F">
        <w:rPr>
          <w:i/>
          <w:sz w:val="23"/>
          <w:szCs w:val="23"/>
          <w:rtl/>
        </w:rPr>
        <w:softHyphen/>
      </w:r>
      <w:r w:rsidRPr="0026684F">
        <w:rPr>
          <w:rFonts w:hint="cs"/>
          <w:i/>
          <w:sz w:val="23"/>
          <w:szCs w:val="23"/>
          <w:rtl/>
        </w:rPr>
        <w:t>ی بین دوره</w:t>
      </w:r>
      <w:r w:rsidRPr="0026684F">
        <w:rPr>
          <w:i/>
          <w:sz w:val="23"/>
          <w:szCs w:val="23"/>
          <w:rtl/>
        </w:rPr>
        <w:softHyphen/>
      </w:r>
      <w:r w:rsidRPr="0026684F">
        <w:rPr>
          <w:rFonts w:hint="cs"/>
          <w:i/>
          <w:sz w:val="23"/>
          <w:szCs w:val="23"/>
          <w:rtl/>
        </w:rPr>
        <w:t>ای دولت همواره برقرار می</w:t>
      </w:r>
      <w:r w:rsidRPr="0026684F">
        <w:rPr>
          <w:i/>
          <w:sz w:val="23"/>
          <w:szCs w:val="23"/>
          <w:rtl/>
        </w:rPr>
        <w:softHyphen/>
      </w:r>
      <w:r w:rsidRPr="0026684F">
        <w:rPr>
          <w:rFonts w:hint="cs"/>
          <w:i/>
          <w:sz w:val="23"/>
          <w:szCs w:val="23"/>
          <w:rtl/>
        </w:rPr>
        <w:t>شود. لذا سطح قیمت</w:t>
      </w:r>
      <w:r w:rsidRPr="0026684F">
        <w:rPr>
          <w:i/>
          <w:sz w:val="23"/>
          <w:szCs w:val="23"/>
          <w:rtl/>
        </w:rPr>
        <w:softHyphen/>
      </w:r>
      <w:r w:rsidRPr="0026684F">
        <w:rPr>
          <w:rFonts w:hint="cs"/>
          <w:i/>
          <w:sz w:val="23"/>
          <w:szCs w:val="23"/>
          <w:rtl/>
        </w:rPr>
        <w:t>ها بوسیله</w:t>
      </w:r>
      <w:r w:rsidRPr="0026684F">
        <w:rPr>
          <w:i/>
          <w:sz w:val="23"/>
          <w:szCs w:val="23"/>
          <w:rtl/>
        </w:rPr>
        <w:softHyphen/>
      </w:r>
      <w:r w:rsidRPr="0026684F">
        <w:rPr>
          <w:rFonts w:hint="cs"/>
          <w:i/>
          <w:sz w:val="23"/>
          <w:szCs w:val="23"/>
          <w:rtl/>
        </w:rPr>
        <w:t>ی سیاست مالی و نه سیاست پولی تعیین می</w:t>
      </w:r>
      <w:r w:rsidRPr="0026684F">
        <w:rPr>
          <w:i/>
          <w:sz w:val="23"/>
          <w:szCs w:val="23"/>
          <w:rtl/>
        </w:rPr>
        <w:softHyphen/>
      </w:r>
      <w:r w:rsidRPr="0026684F">
        <w:rPr>
          <w:rFonts w:hint="cs"/>
          <w:i/>
          <w:sz w:val="23"/>
          <w:szCs w:val="23"/>
          <w:rtl/>
        </w:rPr>
        <w:t>شود. در این تئوری فرض می</w:t>
      </w:r>
      <w:r w:rsidRPr="0026684F">
        <w:rPr>
          <w:i/>
          <w:sz w:val="23"/>
          <w:szCs w:val="23"/>
          <w:rtl/>
        </w:rPr>
        <w:softHyphen/>
      </w:r>
      <w:r w:rsidRPr="0026684F">
        <w:rPr>
          <w:rFonts w:hint="cs"/>
          <w:i/>
          <w:sz w:val="23"/>
          <w:szCs w:val="23"/>
          <w:rtl/>
        </w:rPr>
        <w:t>شود سطح عمومی قیمت</w:t>
      </w:r>
      <w:r w:rsidRPr="0026684F">
        <w:rPr>
          <w:i/>
          <w:sz w:val="23"/>
          <w:szCs w:val="23"/>
          <w:rtl/>
        </w:rPr>
        <w:softHyphen/>
      </w:r>
      <w:r w:rsidRPr="0026684F">
        <w:rPr>
          <w:rFonts w:hint="cs"/>
          <w:i/>
          <w:sz w:val="23"/>
          <w:szCs w:val="23"/>
          <w:rtl/>
        </w:rPr>
        <w:t>ها کاملاً انعطاف</w:t>
      </w:r>
      <w:r w:rsidRPr="0026684F">
        <w:rPr>
          <w:i/>
          <w:sz w:val="23"/>
          <w:szCs w:val="23"/>
          <w:rtl/>
        </w:rPr>
        <w:softHyphen/>
      </w:r>
      <w:r w:rsidRPr="0026684F">
        <w:rPr>
          <w:rFonts w:hint="cs"/>
          <w:i/>
          <w:sz w:val="23"/>
          <w:szCs w:val="23"/>
          <w:rtl/>
        </w:rPr>
        <w:t>پذیر است و سریعاً تعدیل می</w:t>
      </w:r>
      <w:r w:rsidRPr="0026684F">
        <w:rPr>
          <w:i/>
          <w:sz w:val="23"/>
          <w:szCs w:val="23"/>
          <w:rtl/>
        </w:rPr>
        <w:softHyphen/>
      </w:r>
      <w:r w:rsidRPr="0026684F">
        <w:rPr>
          <w:rFonts w:hint="cs"/>
          <w:i/>
          <w:sz w:val="23"/>
          <w:szCs w:val="23"/>
          <w:rtl/>
        </w:rPr>
        <w:t>شود. در عمل تعدیل قیمت</w:t>
      </w:r>
      <w:r w:rsidRPr="0026684F">
        <w:rPr>
          <w:i/>
          <w:sz w:val="23"/>
          <w:szCs w:val="23"/>
          <w:rtl/>
        </w:rPr>
        <w:softHyphen/>
      </w:r>
      <w:r w:rsidRPr="0026684F">
        <w:rPr>
          <w:rFonts w:hint="cs"/>
          <w:i/>
          <w:sz w:val="23"/>
          <w:szCs w:val="23"/>
          <w:rtl/>
        </w:rPr>
        <w:t>ها سریع نبوده و زمان</w:t>
      </w:r>
      <w:r w:rsidRPr="0026684F">
        <w:rPr>
          <w:i/>
          <w:sz w:val="23"/>
          <w:szCs w:val="23"/>
          <w:rtl/>
        </w:rPr>
        <w:softHyphen/>
      </w:r>
      <w:r w:rsidRPr="0026684F">
        <w:rPr>
          <w:rFonts w:hint="cs"/>
          <w:i/>
          <w:sz w:val="23"/>
          <w:szCs w:val="23"/>
          <w:rtl/>
        </w:rPr>
        <w:t>بر است، و این دلیل مناسبی است برای این</w:t>
      </w:r>
      <w:r w:rsidRPr="0026684F">
        <w:rPr>
          <w:i/>
          <w:sz w:val="23"/>
          <w:szCs w:val="23"/>
          <w:rtl/>
        </w:rPr>
        <w:softHyphen/>
      </w:r>
      <w:r w:rsidRPr="0026684F">
        <w:rPr>
          <w:rFonts w:hint="cs"/>
          <w:i/>
          <w:sz w:val="23"/>
          <w:szCs w:val="23"/>
          <w:rtl/>
        </w:rPr>
        <w:t>که چرا سیاست پولی در کوتاه</w:t>
      </w:r>
      <w:r w:rsidRPr="0026684F">
        <w:rPr>
          <w:i/>
          <w:sz w:val="23"/>
          <w:szCs w:val="23"/>
          <w:rtl/>
        </w:rPr>
        <w:softHyphen/>
      </w:r>
      <w:r w:rsidRPr="0026684F">
        <w:rPr>
          <w:rFonts w:hint="cs"/>
          <w:i/>
          <w:sz w:val="23"/>
          <w:szCs w:val="23"/>
          <w:rtl/>
        </w:rPr>
        <w:t>مدت بر سطح عمومی قیمت</w:t>
      </w:r>
      <w:r w:rsidRPr="0026684F">
        <w:rPr>
          <w:i/>
          <w:sz w:val="23"/>
          <w:szCs w:val="23"/>
          <w:rtl/>
        </w:rPr>
        <w:softHyphen/>
      </w:r>
      <w:r w:rsidRPr="0026684F">
        <w:rPr>
          <w:rFonts w:hint="cs"/>
          <w:i/>
          <w:sz w:val="23"/>
          <w:szCs w:val="23"/>
          <w:rtl/>
        </w:rPr>
        <w:t>ها مؤثر است و تئوری مالی سطح قیمت</w:t>
      </w:r>
      <w:r w:rsidRPr="0026684F">
        <w:rPr>
          <w:i/>
          <w:sz w:val="23"/>
          <w:szCs w:val="23"/>
          <w:rtl/>
        </w:rPr>
        <w:softHyphen/>
      </w:r>
      <w:r w:rsidRPr="0026684F">
        <w:rPr>
          <w:rFonts w:hint="cs"/>
          <w:i/>
          <w:sz w:val="23"/>
          <w:szCs w:val="23"/>
          <w:rtl/>
        </w:rPr>
        <w:t>ها تئوری مناسبی جهت تعدیل قیمت</w:t>
      </w:r>
      <w:r w:rsidRPr="0026684F">
        <w:rPr>
          <w:i/>
          <w:sz w:val="23"/>
          <w:szCs w:val="23"/>
          <w:rtl/>
        </w:rPr>
        <w:softHyphen/>
      </w:r>
      <w:r w:rsidRPr="0026684F">
        <w:rPr>
          <w:rFonts w:hint="cs"/>
          <w:i/>
          <w:sz w:val="23"/>
          <w:szCs w:val="23"/>
          <w:rtl/>
        </w:rPr>
        <w:t>ها نیست.</w:t>
      </w:r>
    </w:p>
    <w:p w14:paraId="3E42F7B0" w14:textId="77777777" w:rsidR="00411620" w:rsidRPr="0026684F" w:rsidRDefault="00411620" w:rsidP="00411620">
      <w:pPr>
        <w:spacing w:line="216" w:lineRule="auto"/>
        <w:rPr>
          <w:i/>
          <w:sz w:val="23"/>
          <w:szCs w:val="23"/>
          <w:rtl/>
        </w:rPr>
      </w:pPr>
    </w:p>
    <w:p w14:paraId="2A24EFC2" w14:textId="77777777" w:rsidR="00411620" w:rsidRPr="0026684F" w:rsidRDefault="00411620" w:rsidP="00411620">
      <w:pPr>
        <w:pStyle w:val="Heading1"/>
        <w:spacing w:before="0" w:after="0" w:line="216" w:lineRule="auto"/>
        <w:rPr>
          <w:rFonts w:ascii="Times New Roman" w:hAnsi="Times New Roman" w:cs="B Nazanin"/>
          <w:b w:val="0"/>
          <w:i/>
          <w:sz w:val="23"/>
          <w:szCs w:val="23"/>
          <w:rtl/>
        </w:rPr>
      </w:pPr>
      <w:r w:rsidRPr="0026684F">
        <w:rPr>
          <w:rFonts w:ascii="Times New Roman" w:hAnsi="Times New Roman" w:cs="B Nazanin" w:hint="cs"/>
          <w:b w:val="0"/>
          <w:i/>
          <w:sz w:val="23"/>
          <w:szCs w:val="23"/>
          <w:rtl/>
        </w:rPr>
        <w:t>۵. ۷ بهینه</w:t>
      </w:r>
      <w:r w:rsidRPr="0026684F">
        <w:rPr>
          <w:rFonts w:ascii="Times New Roman" w:hAnsi="Times New Roman" w:cs="B Nazanin"/>
          <w:b w:val="0"/>
          <w:i/>
          <w:sz w:val="23"/>
          <w:szCs w:val="23"/>
          <w:rtl/>
        </w:rPr>
        <w:softHyphen/>
      </w:r>
      <w:r w:rsidRPr="0026684F">
        <w:rPr>
          <w:rFonts w:ascii="Times New Roman" w:hAnsi="Times New Roman" w:cs="B Nazanin" w:hint="cs"/>
          <w:b w:val="0"/>
          <w:i/>
          <w:sz w:val="23"/>
          <w:szCs w:val="23"/>
          <w:rtl/>
        </w:rPr>
        <w:t>یابی مالیه عمومی</w:t>
      </w:r>
    </w:p>
    <w:p w14:paraId="660EB0A1" w14:textId="77777777" w:rsidR="00411620" w:rsidRPr="0026684F" w:rsidRDefault="00411620" w:rsidP="00411620">
      <w:pPr>
        <w:spacing w:line="216" w:lineRule="auto"/>
        <w:rPr>
          <w:i/>
          <w:sz w:val="23"/>
          <w:szCs w:val="23"/>
          <w:rtl/>
        </w:rPr>
      </w:pPr>
      <w:r w:rsidRPr="0026684F">
        <w:rPr>
          <w:rFonts w:hint="cs"/>
          <w:i/>
          <w:sz w:val="23"/>
          <w:szCs w:val="23"/>
          <w:rtl/>
        </w:rPr>
        <w:t>تاکنون وضعیت مالی پایدار دولت که در آن قید بودجه</w:t>
      </w:r>
      <w:r w:rsidRPr="0026684F">
        <w:rPr>
          <w:i/>
          <w:sz w:val="23"/>
          <w:szCs w:val="23"/>
          <w:rtl/>
        </w:rPr>
        <w:softHyphen/>
      </w:r>
      <w:r w:rsidRPr="0026684F">
        <w:rPr>
          <w:rFonts w:hint="cs"/>
          <w:i/>
          <w:sz w:val="23"/>
          <w:szCs w:val="23"/>
          <w:rtl/>
        </w:rPr>
        <w:t>ی بین</w:t>
      </w:r>
      <w:r w:rsidRPr="0026684F">
        <w:rPr>
          <w:i/>
          <w:sz w:val="23"/>
          <w:szCs w:val="23"/>
          <w:rtl/>
        </w:rPr>
        <w:softHyphen/>
      </w:r>
      <w:r w:rsidRPr="0026684F">
        <w:rPr>
          <w:rFonts w:hint="cs"/>
          <w:i/>
          <w:sz w:val="23"/>
          <w:szCs w:val="23"/>
          <w:rtl/>
        </w:rPr>
        <w:t>دوره</w:t>
      </w:r>
      <w:r w:rsidRPr="0026684F">
        <w:rPr>
          <w:i/>
          <w:sz w:val="23"/>
          <w:szCs w:val="23"/>
          <w:rtl/>
        </w:rPr>
        <w:softHyphen/>
      </w:r>
      <w:r w:rsidRPr="0026684F">
        <w:rPr>
          <w:rFonts w:hint="cs"/>
          <w:i/>
          <w:sz w:val="23"/>
          <w:szCs w:val="23"/>
          <w:rtl/>
        </w:rPr>
        <w:t>ای برقرار است را بررسی کردیم. این وضعیت به ابزارهای مالی یعنی سطح مخارج دولت، درآمد مالیاتی، نرخ مالیات و بدهی دولت وابسته است. اکنون مقادیر بهینه</w:t>
      </w:r>
      <w:r w:rsidRPr="0026684F">
        <w:rPr>
          <w:i/>
          <w:sz w:val="23"/>
          <w:szCs w:val="23"/>
          <w:rtl/>
        </w:rPr>
        <w:softHyphen/>
      </w:r>
      <w:r w:rsidRPr="0026684F">
        <w:rPr>
          <w:rFonts w:hint="cs"/>
          <w:i/>
          <w:sz w:val="23"/>
          <w:szCs w:val="23"/>
          <w:rtl/>
        </w:rPr>
        <w:t>ی این متغیرها را توسط دولت که به دنبال حداکثر کردن رفاه خانوار با توجه به قید بودجه</w:t>
      </w:r>
      <w:r w:rsidRPr="0026684F">
        <w:rPr>
          <w:i/>
          <w:sz w:val="23"/>
          <w:szCs w:val="23"/>
          <w:rtl/>
        </w:rPr>
        <w:softHyphen/>
      </w:r>
      <w:r w:rsidRPr="0026684F">
        <w:rPr>
          <w:rFonts w:hint="cs"/>
          <w:i/>
          <w:sz w:val="23"/>
          <w:szCs w:val="23"/>
          <w:rtl/>
        </w:rPr>
        <w:t>ی خود است را تعیین می</w:t>
      </w:r>
      <w:r w:rsidRPr="0026684F">
        <w:rPr>
          <w:i/>
          <w:sz w:val="23"/>
          <w:szCs w:val="23"/>
          <w:rtl/>
        </w:rPr>
        <w:softHyphen/>
      </w:r>
      <w:r w:rsidRPr="0026684F">
        <w:rPr>
          <w:rFonts w:hint="cs"/>
          <w:i/>
          <w:sz w:val="23"/>
          <w:szCs w:val="23"/>
          <w:rtl/>
        </w:rPr>
        <w:t>کنیم. در این قسمت همچنین بودجه</w:t>
      </w:r>
      <w:r w:rsidRPr="0026684F">
        <w:rPr>
          <w:i/>
          <w:sz w:val="23"/>
          <w:szCs w:val="23"/>
          <w:rtl/>
        </w:rPr>
        <w:softHyphen/>
      </w:r>
      <w:r w:rsidRPr="0026684F">
        <w:rPr>
          <w:rFonts w:hint="cs"/>
          <w:i/>
          <w:sz w:val="23"/>
          <w:szCs w:val="23"/>
          <w:rtl/>
        </w:rPr>
        <w:t>ی دولت را با توجه به تصمیمات بخش خصوصی مقید کرده و اینکه آیا سیاست بهینه</w:t>
      </w:r>
      <w:r w:rsidRPr="0026684F">
        <w:rPr>
          <w:i/>
          <w:sz w:val="23"/>
          <w:szCs w:val="23"/>
          <w:rtl/>
        </w:rPr>
        <w:softHyphen/>
      </w:r>
      <w:r w:rsidRPr="0026684F">
        <w:rPr>
          <w:rFonts w:hint="cs"/>
          <w:i/>
          <w:sz w:val="23"/>
          <w:szCs w:val="23"/>
          <w:rtl/>
        </w:rPr>
        <w:t>ی دولت رفتار بخش خصوصی را تغییر می‌دهد یا خیر را در یک مدل غیرمتمرکز بررسی خواهیم کرد. در ابتدا سطح مخارج بهینه</w:t>
      </w:r>
      <w:r w:rsidRPr="0026684F">
        <w:rPr>
          <w:i/>
          <w:sz w:val="23"/>
          <w:szCs w:val="23"/>
          <w:rtl/>
        </w:rPr>
        <w:softHyphen/>
      </w:r>
      <w:r w:rsidRPr="0026684F">
        <w:rPr>
          <w:rFonts w:hint="cs"/>
          <w:i/>
          <w:sz w:val="23"/>
          <w:szCs w:val="23"/>
          <w:rtl/>
        </w:rPr>
        <w:t>ی دولت که توسط مالیات مقطوع و یا مالیات</w:t>
      </w:r>
      <w:r w:rsidRPr="0026684F">
        <w:rPr>
          <w:i/>
          <w:sz w:val="23"/>
          <w:szCs w:val="23"/>
          <w:rtl/>
        </w:rPr>
        <w:softHyphen/>
      </w:r>
      <w:r w:rsidRPr="0026684F">
        <w:rPr>
          <w:rFonts w:hint="cs"/>
          <w:i/>
          <w:sz w:val="23"/>
          <w:szCs w:val="23"/>
          <w:rtl/>
        </w:rPr>
        <w:t>های تناسبی تأمین می‌شود را در مدل متمرکز که برنامه</w:t>
      </w:r>
      <w:r w:rsidRPr="0026684F">
        <w:rPr>
          <w:i/>
          <w:sz w:val="23"/>
          <w:szCs w:val="23"/>
          <w:rtl/>
        </w:rPr>
        <w:softHyphen/>
      </w:r>
      <w:r w:rsidRPr="0026684F">
        <w:rPr>
          <w:rFonts w:hint="cs"/>
          <w:i/>
          <w:sz w:val="23"/>
          <w:szCs w:val="23"/>
          <w:rtl/>
        </w:rPr>
        <w:t>ریز اجتماعی تصمیمات افراد را بهینه می</w:t>
      </w:r>
      <w:r w:rsidRPr="0026684F">
        <w:rPr>
          <w:i/>
          <w:sz w:val="23"/>
          <w:szCs w:val="23"/>
          <w:rtl/>
        </w:rPr>
        <w:softHyphen/>
      </w:r>
      <w:r w:rsidRPr="0026684F">
        <w:rPr>
          <w:rFonts w:hint="cs"/>
          <w:i/>
          <w:sz w:val="23"/>
          <w:szCs w:val="23"/>
          <w:rtl/>
        </w:rPr>
        <w:t>کند بررسی کرده، و سپس بدلیل زنجیره</w:t>
      </w:r>
      <w:r w:rsidRPr="0026684F">
        <w:rPr>
          <w:i/>
          <w:sz w:val="23"/>
          <w:szCs w:val="23"/>
          <w:rtl/>
        </w:rPr>
        <w:softHyphen/>
      </w:r>
      <w:r w:rsidRPr="0026684F">
        <w:rPr>
          <w:rFonts w:hint="cs"/>
          <w:i/>
          <w:sz w:val="23"/>
          <w:szCs w:val="23"/>
          <w:rtl/>
        </w:rPr>
        <w:t>ی توالی رفتار دولت و بخش خصوصی، مدل غیر متمرکز را مورد استفاده قرار می</w:t>
      </w:r>
      <w:r w:rsidRPr="0026684F">
        <w:rPr>
          <w:i/>
          <w:sz w:val="23"/>
          <w:szCs w:val="23"/>
          <w:rtl/>
        </w:rPr>
        <w:softHyphen/>
      </w:r>
      <w:r w:rsidRPr="0026684F">
        <w:rPr>
          <w:rFonts w:hint="cs"/>
          <w:i/>
          <w:sz w:val="23"/>
          <w:szCs w:val="23"/>
          <w:rtl/>
        </w:rPr>
        <w:t>دهیم. بخش خصوصی تصمیمات بهینه را با توجه به مخارج دولت و نرخ مالیات گرفته، و دولت نرخ</w:t>
      </w:r>
      <w:r w:rsidRPr="0026684F">
        <w:rPr>
          <w:i/>
          <w:sz w:val="23"/>
          <w:szCs w:val="23"/>
          <w:rtl/>
        </w:rPr>
        <w:softHyphen/>
      </w:r>
      <w:r w:rsidRPr="0026684F">
        <w:rPr>
          <w:rFonts w:hint="cs"/>
          <w:i/>
          <w:sz w:val="23"/>
          <w:szCs w:val="23"/>
          <w:rtl/>
        </w:rPr>
        <w:t>های مالیات بر مصرف، مالیات بر درآمد و مالیات بر درآمدِ سرمایه را جهت حداکثر</w:t>
      </w:r>
      <w:r w:rsidRPr="0026684F">
        <w:rPr>
          <w:i/>
          <w:sz w:val="23"/>
          <w:szCs w:val="23"/>
          <w:rtl/>
        </w:rPr>
        <w:softHyphen/>
      </w:r>
      <w:r w:rsidRPr="0026684F">
        <w:rPr>
          <w:rFonts w:hint="cs"/>
          <w:i/>
          <w:sz w:val="23"/>
          <w:szCs w:val="23"/>
          <w:rtl/>
        </w:rPr>
        <w:t>سازی رفاه خانوار مشخص می</w:t>
      </w:r>
      <w:r w:rsidRPr="0026684F">
        <w:rPr>
          <w:i/>
          <w:sz w:val="23"/>
          <w:szCs w:val="23"/>
          <w:rtl/>
        </w:rPr>
        <w:softHyphen/>
      </w:r>
      <w:r w:rsidRPr="0026684F">
        <w:rPr>
          <w:rFonts w:hint="cs"/>
          <w:i/>
          <w:sz w:val="23"/>
          <w:szCs w:val="23"/>
          <w:rtl/>
        </w:rPr>
        <w:t>کند. بعد از این زنجیره</w:t>
      </w:r>
      <w:r w:rsidRPr="0026684F">
        <w:rPr>
          <w:i/>
          <w:sz w:val="23"/>
          <w:szCs w:val="23"/>
          <w:rtl/>
        </w:rPr>
        <w:softHyphen/>
      </w:r>
      <w:r w:rsidRPr="0026684F">
        <w:rPr>
          <w:rFonts w:hint="cs"/>
          <w:i/>
          <w:sz w:val="23"/>
          <w:szCs w:val="23"/>
          <w:rtl/>
        </w:rPr>
        <w:t>ی توالی، سطح بهینه</w:t>
      </w:r>
      <w:r w:rsidRPr="0026684F">
        <w:rPr>
          <w:i/>
          <w:sz w:val="23"/>
          <w:szCs w:val="23"/>
          <w:rtl/>
        </w:rPr>
        <w:softHyphen/>
      </w:r>
      <w:r w:rsidRPr="0026684F">
        <w:rPr>
          <w:rFonts w:hint="cs"/>
          <w:i/>
          <w:sz w:val="23"/>
          <w:szCs w:val="23"/>
          <w:rtl/>
        </w:rPr>
        <w:t>ی بدهی دولت مشخص خواهد شد.</w:t>
      </w:r>
    </w:p>
    <w:p w14:paraId="5C9AF172" w14:textId="77777777" w:rsidR="00411620" w:rsidRPr="0026684F" w:rsidRDefault="00411620" w:rsidP="00411620">
      <w:pPr>
        <w:spacing w:line="216" w:lineRule="auto"/>
        <w:rPr>
          <w:i/>
          <w:sz w:val="23"/>
          <w:szCs w:val="23"/>
          <w:rtl/>
        </w:rPr>
      </w:pPr>
    </w:p>
    <w:p w14:paraId="3F2D7DE7" w14:textId="77777777" w:rsidR="00411620" w:rsidRPr="0026684F" w:rsidRDefault="00411620" w:rsidP="00411620">
      <w:pPr>
        <w:pStyle w:val="Heading1"/>
        <w:spacing w:before="0" w:after="0" w:line="216" w:lineRule="auto"/>
        <w:rPr>
          <w:rFonts w:ascii="Times New Roman" w:hAnsi="Times New Roman" w:cs="B Nazanin"/>
          <w:b w:val="0"/>
          <w:i/>
          <w:sz w:val="23"/>
          <w:szCs w:val="23"/>
          <w:rtl/>
        </w:rPr>
      </w:pPr>
      <w:r w:rsidRPr="0026684F">
        <w:rPr>
          <w:rFonts w:ascii="Times New Roman" w:hAnsi="Times New Roman" w:cs="B Nazanin" w:hint="cs"/>
          <w:b w:val="0"/>
          <w:i/>
          <w:sz w:val="23"/>
          <w:szCs w:val="23"/>
          <w:rtl/>
        </w:rPr>
        <w:t xml:space="preserve">۵. ۷. </w:t>
      </w:r>
      <w:r w:rsidRPr="0026684F">
        <w:rPr>
          <w:rFonts w:ascii="NPIYagut" w:hAnsi="NPIYagut" w:cs="B Nazanin"/>
          <w:bCs w:val="0"/>
          <w:iCs/>
          <w:sz w:val="23"/>
          <w:szCs w:val="23"/>
        </w:rPr>
        <w:t>1</w:t>
      </w:r>
      <w:r w:rsidRPr="0026684F">
        <w:rPr>
          <w:rFonts w:ascii="Times New Roman" w:hAnsi="Times New Roman" w:cs="B Nazanin" w:hint="cs"/>
          <w:b w:val="0"/>
          <w:i/>
          <w:sz w:val="23"/>
          <w:szCs w:val="23"/>
          <w:rtl/>
        </w:rPr>
        <w:t xml:space="preserve"> نرخ مالیات بهینه</w:t>
      </w:r>
    </w:p>
    <w:p w14:paraId="4F43D870" w14:textId="77777777" w:rsidR="00411620" w:rsidRPr="0026684F" w:rsidRDefault="00411620" w:rsidP="00411620">
      <w:pPr>
        <w:spacing w:line="216" w:lineRule="auto"/>
        <w:rPr>
          <w:i/>
          <w:sz w:val="23"/>
          <w:szCs w:val="23"/>
          <w:rtl/>
        </w:rPr>
      </w:pPr>
      <w:r w:rsidRPr="0026684F">
        <w:rPr>
          <w:rFonts w:hint="cs"/>
          <w:i/>
          <w:sz w:val="23"/>
          <w:szCs w:val="23"/>
          <w:rtl/>
        </w:rPr>
        <w:t>دولت ممکن است مالیات را از درآمد نیروی کار (مالیات بر درآمد و بیمه</w:t>
      </w:r>
      <w:r w:rsidRPr="0026684F">
        <w:rPr>
          <w:i/>
          <w:sz w:val="23"/>
          <w:szCs w:val="23"/>
          <w:rtl/>
        </w:rPr>
        <w:softHyphen/>
      </w:r>
      <w:r w:rsidRPr="0026684F">
        <w:rPr>
          <w:rFonts w:hint="cs"/>
          <w:i/>
          <w:sz w:val="23"/>
          <w:szCs w:val="23"/>
          <w:rtl/>
        </w:rPr>
        <w:t>ی تامین اجتماعی)، از مصرف (مالیات بر فروش) و یا از درآمد سرمایه (مالیات بر سود و پس</w:t>
      </w:r>
      <w:r w:rsidRPr="0026684F">
        <w:rPr>
          <w:i/>
          <w:sz w:val="23"/>
          <w:szCs w:val="23"/>
          <w:rtl/>
        </w:rPr>
        <w:softHyphen/>
      </w:r>
      <w:r w:rsidRPr="0026684F">
        <w:rPr>
          <w:rFonts w:hint="cs"/>
          <w:i/>
          <w:sz w:val="23"/>
          <w:szCs w:val="23"/>
          <w:rtl/>
        </w:rPr>
        <w:t>انداز) اخذ کند. با توجه به مقادیر مالیات و مخارج دولت، بخش خصوصی در مورد مصرف، عرضه</w:t>
      </w:r>
      <w:r w:rsidRPr="0026684F">
        <w:rPr>
          <w:i/>
          <w:sz w:val="23"/>
          <w:szCs w:val="23"/>
          <w:rtl/>
        </w:rPr>
        <w:softHyphen/>
      </w:r>
      <w:r w:rsidRPr="0026684F">
        <w:rPr>
          <w:rFonts w:hint="cs"/>
          <w:i/>
          <w:sz w:val="23"/>
          <w:szCs w:val="23"/>
          <w:rtl/>
        </w:rPr>
        <w:t>ی نیروی کار، پس</w:t>
      </w:r>
      <w:r w:rsidRPr="0026684F">
        <w:rPr>
          <w:i/>
          <w:sz w:val="23"/>
          <w:szCs w:val="23"/>
          <w:rtl/>
        </w:rPr>
        <w:softHyphen/>
      </w:r>
      <w:r w:rsidRPr="0026684F">
        <w:rPr>
          <w:rFonts w:hint="cs"/>
          <w:i/>
          <w:sz w:val="23"/>
          <w:szCs w:val="23"/>
          <w:rtl/>
        </w:rPr>
        <w:t>انداز و سرمایه</w:t>
      </w:r>
      <w:r w:rsidRPr="0026684F">
        <w:rPr>
          <w:i/>
          <w:sz w:val="23"/>
          <w:szCs w:val="23"/>
          <w:rtl/>
        </w:rPr>
        <w:softHyphen/>
      </w:r>
      <w:r w:rsidRPr="0026684F">
        <w:rPr>
          <w:rFonts w:hint="cs"/>
          <w:i/>
          <w:sz w:val="23"/>
          <w:szCs w:val="23"/>
          <w:rtl/>
        </w:rPr>
        <w:t>گذاری خود تصمیم می‌گیرد. دولت نیز با توجه به قید بودجه و شرایط نهایی به دست آمده از بخش خصوصی، مخارج و مالیات خود را جهت حداکثر کردن رفاه اجتماعی تعیین می‌کند و در تعادل، بخش خصوصی تصمیمات دولت را بدرستی پیش</w:t>
      </w:r>
      <w:r w:rsidRPr="0026684F">
        <w:rPr>
          <w:i/>
          <w:sz w:val="23"/>
          <w:szCs w:val="23"/>
          <w:rtl/>
        </w:rPr>
        <w:softHyphen/>
      </w:r>
      <w:r w:rsidRPr="0026684F">
        <w:rPr>
          <w:rFonts w:hint="cs"/>
          <w:i/>
          <w:sz w:val="23"/>
          <w:szCs w:val="23"/>
          <w:rtl/>
        </w:rPr>
        <w:t>بینی می‌کند.</w:t>
      </w:r>
    </w:p>
    <w:p w14:paraId="78D33280" w14:textId="77777777" w:rsidR="00411620" w:rsidRPr="0026684F" w:rsidRDefault="00411620" w:rsidP="00411620">
      <w:pPr>
        <w:spacing w:line="216" w:lineRule="auto"/>
        <w:rPr>
          <w:bCs/>
          <w:i/>
          <w:sz w:val="23"/>
          <w:szCs w:val="23"/>
          <w:rtl/>
        </w:rPr>
      </w:pPr>
      <w:r w:rsidRPr="0026684F">
        <w:rPr>
          <w:rFonts w:hint="cs"/>
          <w:bCs/>
          <w:i/>
          <w:sz w:val="23"/>
          <w:szCs w:val="23"/>
          <w:rtl/>
        </w:rPr>
        <w:t>مسئله</w:t>
      </w:r>
      <w:r w:rsidRPr="0026684F">
        <w:rPr>
          <w:bCs/>
          <w:i/>
          <w:sz w:val="23"/>
          <w:szCs w:val="23"/>
          <w:rtl/>
        </w:rPr>
        <w:softHyphen/>
      </w:r>
      <w:r w:rsidRPr="0026684F">
        <w:rPr>
          <w:rFonts w:hint="cs"/>
          <w:bCs/>
          <w:i/>
          <w:sz w:val="23"/>
          <w:szCs w:val="23"/>
          <w:rtl/>
        </w:rPr>
        <w:t>ی خانوار</w:t>
      </w:r>
    </w:p>
    <w:p w14:paraId="59455554" w14:textId="77777777" w:rsidR="00411620" w:rsidRPr="0026684F" w:rsidRDefault="00411620" w:rsidP="00411620">
      <w:pPr>
        <w:spacing w:line="216" w:lineRule="auto"/>
        <w:rPr>
          <w:i/>
          <w:sz w:val="23"/>
          <w:szCs w:val="23"/>
          <w:rtl/>
        </w:rPr>
      </w:pPr>
      <w:r w:rsidRPr="0026684F">
        <w:rPr>
          <w:rFonts w:hint="cs"/>
          <w:i/>
          <w:sz w:val="23"/>
          <w:szCs w:val="23"/>
          <w:rtl/>
        </w:rPr>
        <w:lastRenderedPageBreak/>
        <w:t>اکنون مسئله</w:t>
      </w:r>
      <w:r w:rsidRPr="0026684F">
        <w:rPr>
          <w:i/>
          <w:sz w:val="23"/>
          <w:szCs w:val="23"/>
          <w:rtl/>
        </w:rPr>
        <w:softHyphen/>
      </w:r>
      <w:r w:rsidRPr="0026684F">
        <w:rPr>
          <w:rFonts w:hint="cs"/>
          <w:i/>
          <w:sz w:val="23"/>
          <w:szCs w:val="23"/>
          <w:rtl/>
        </w:rPr>
        <w:t>ی خانوار را بررسی نموده و فرض می‌کنیم نرخ</w:t>
      </w:r>
      <w:r w:rsidRPr="0026684F">
        <w:rPr>
          <w:i/>
          <w:sz w:val="23"/>
          <w:szCs w:val="23"/>
          <w:rtl/>
        </w:rPr>
        <w:softHyphen/>
      </w:r>
      <w:r w:rsidRPr="0026684F">
        <w:rPr>
          <w:rFonts w:hint="cs"/>
          <w:i/>
          <w:sz w:val="23"/>
          <w:szCs w:val="23"/>
          <w:rtl/>
        </w:rPr>
        <w:t>های مالیات داده شده است. با توجه به نرخ</w:t>
      </w:r>
      <w:r w:rsidRPr="0026684F">
        <w:rPr>
          <w:i/>
          <w:sz w:val="23"/>
          <w:szCs w:val="23"/>
          <w:rtl/>
        </w:rPr>
        <w:softHyphen/>
      </w:r>
      <w:r w:rsidRPr="0026684F">
        <w:rPr>
          <w:rFonts w:hint="cs"/>
          <w:i/>
          <w:sz w:val="23"/>
          <w:szCs w:val="23"/>
          <w:rtl/>
        </w:rPr>
        <w:t>های مالیات، قید بودجه</w:t>
      </w:r>
      <w:r w:rsidRPr="0026684F">
        <w:rPr>
          <w:i/>
          <w:sz w:val="23"/>
          <w:szCs w:val="23"/>
          <w:rtl/>
        </w:rPr>
        <w:softHyphen/>
      </w:r>
      <w:r w:rsidRPr="0026684F">
        <w:rPr>
          <w:rFonts w:hint="cs"/>
          <w:i/>
          <w:sz w:val="23"/>
          <w:szCs w:val="23"/>
          <w:rtl/>
        </w:rPr>
        <w:t>ی خانوار عبارت خواهد بود با:</w:t>
      </w:r>
    </w:p>
    <w:p w14:paraId="53E76908"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18"/>
        </w:rPr>
        <w:object w:dxaOrig="5400" w:dyaOrig="460" w14:anchorId="102101B8">
          <v:shape id="_x0000_i2789" type="#_x0000_t75" style="width:270.45pt;height:23pt" o:ole="">
            <v:imagedata r:id="rId3564" o:title=""/>
          </v:shape>
          <o:OLEObject Type="Embed" ProgID="Equation.DSMT4" ShapeID="_x0000_i2789" DrawAspect="Content" ObjectID="_1791376733" r:id="rId3565"/>
        </w:object>
      </w:r>
    </w:p>
    <w:p w14:paraId="6FB538DC"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و یا</w:t>
      </w:r>
    </w:p>
    <w:p w14:paraId="165351C7" w14:textId="77777777" w:rsidR="00411620" w:rsidRPr="0026684F" w:rsidRDefault="00411620" w:rsidP="00411620">
      <w:pPr>
        <w:pStyle w:val="MTDisplayEquation"/>
        <w:tabs>
          <w:tab w:val="clear" w:pos="6660"/>
          <w:tab w:val="right" w:pos="6804"/>
        </w:tabs>
        <w:spacing w:line="216" w:lineRule="auto"/>
        <w:rPr>
          <w:rFonts w:ascii="Times New Roman" w:hAnsi="Times New Roman" w:cs="B Nazanin"/>
          <w:i/>
          <w:sz w:val="23"/>
          <w:szCs w:val="23"/>
          <w:rtl/>
        </w:rPr>
      </w:pPr>
      <w:r w:rsidRPr="00703635">
        <w:rPr>
          <w:position w:val="-18"/>
        </w:rPr>
        <w:object w:dxaOrig="5860" w:dyaOrig="460" w14:anchorId="5D4BB454">
          <v:shape id="_x0000_i2790" type="#_x0000_t75" style="width:292.85pt;height:23pt" o:ole="">
            <v:imagedata r:id="rId3566" o:title=""/>
          </v:shape>
          <o:OLEObject Type="Embed" ProgID="Equation.DSMT4" ShapeID="_x0000_i2790" DrawAspect="Content" ObjectID="_1791376734" r:id="rId3567"/>
        </w:object>
      </w:r>
      <w:r>
        <w:rPr>
          <w:rtl/>
        </w:rPr>
        <w:tab/>
      </w:r>
      <w:r w:rsidRPr="0026684F">
        <w:rPr>
          <w:rFonts w:ascii="Times New Roman" w:hAnsi="Times New Roman" w:cs="B Nazanin" w:hint="cs"/>
          <w:i/>
          <w:sz w:val="23"/>
          <w:szCs w:val="23"/>
          <w:rtl/>
        </w:rPr>
        <w:t>(۵. ۲۲)</w:t>
      </w:r>
    </w:p>
    <w:p w14:paraId="1574EA88" w14:textId="77777777" w:rsidR="00411620" w:rsidRPr="0026684F" w:rsidRDefault="00411620" w:rsidP="00411620">
      <w:pPr>
        <w:spacing w:line="216" w:lineRule="auto"/>
        <w:rPr>
          <w:i/>
          <w:sz w:val="23"/>
          <w:szCs w:val="23"/>
          <w:rtl/>
        </w:rPr>
      </w:pPr>
      <w:r w:rsidRPr="0026684F">
        <w:rPr>
          <w:rFonts w:eastAsiaTheme="minorEastAsia" w:hint="cs"/>
          <w:i/>
          <w:sz w:val="23"/>
          <w:szCs w:val="23"/>
          <w:rtl/>
        </w:rPr>
        <w:t>در رابطه</w:t>
      </w:r>
      <w:r w:rsidRPr="0026684F">
        <w:rPr>
          <w:rFonts w:eastAsiaTheme="minorEastAsia"/>
          <w:i/>
          <w:sz w:val="23"/>
          <w:szCs w:val="23"/>
          <w:rtl/>
        </w:rPr>
        <w:softHyphen/>
      </w:r>
      <w:r w:rsidRPr="0026684F">
        <w:rPr>
          <w:rFonts w:eastAsiaTheme="minorEastAsia" w:hint="cs"/>
          <w:i/>
          <w:sz w:val="23"/>
          <w:szCs w:val="23"/>
          <w:rtl/>
        </w:rPr>
        <w:t>ی فوق</w:t>
      </w:r>
      <w:r w:rsidRPr="00703635">
        <w:rPr>
          <w:position w:val="-10"/>
        </w:rPr>
        <w:object w:dxaOrig="200" w:dyaOrig="320" w14:anchorId="3C51D51B">
          <v:shape id="_x0000_i2791" type="#_x0000_t75" style="width:10.3pt;height:15.75pt" o:ole="">
            <v:imagedata r:id="rId3568" o:title=""/>
          </v:shape>
          <o:OLEObject Type="Embed" ProgID="Equation.DSMT4" ShapeID="_x0000_i2791" DrawAspect="Content" ObjectID="_1791376735" r:id="rId3569"/>
        </w:object>
      </w:r>
      <w:r w:rsidRPr="0026684F">
        <w:rPr>
          <w:rFonts w:hint="cs"/>
          <w:i/>
          <w:sz w:val="23"/>
          <w:szCs w:val="23"/>
          <w:rtl/>
        </w:rPr>
        <w:t xml:space="preserve"> مخارج مصرف،</w:t>
      </w:r>
      <w:r w:rsidRPr="00703635">
        <w:rPr>
          <w:position w:val="-10"/>
        </w:rPr>
        <w:object w:dxaOrig="220" w:dyaOrig="320" w14:anchorId="2A693770">
          <v:shape id="_x0000_i2792" type="#_x0000_t75" style="width:10.9pt;height:15.75pt" o:ole="">
            <v:imagedata r:id="rId3570" o:title=""/>
          </v:shape>
          <o:OLEObject Type="Embed" ProgID="Equation.DSMT4" ShapeID="_x0000_i2792" DrawAspect="Content" ObjectID="_1791376736" r:id="rId3571"/>
        </w:object>
      </w:r>
      <w:r w:rsidRPr="0026684F">
        <w:rPr>
          <w:rFonts w:hint="cs"/>
          <w:i/>
          <w:sz w:val="23"/>
          <w:szCs w:val="23"/>
          <w:rtl/>
        </w:rPr>
        <w:t xml:space="preserve"> کل سرمایه</w:t>
      </w:r>
      <w:r w:rsidRPr="0026684F">
        <w:rPr>
          <w:i/>
          <w:sz w:val="23"/>
          <w:szCs w:val="23"/>
          <w:rtl/>
        </w:rPr>
        <w:softHyphen/>
      </w:r>
      <w:r w:rsidRPr="0026684F">
        <w:rPr>
          <w:rFonts w:hint="cs"/>
          <w:i/>
          <w:sz w:val="23"/>
          <w:szCs w:val="23"/>
          <w:rtl/>
        </w:rPr>
        <w:t>گذاری یا سهام سهام</w:t>
      </w:r>
      <w:r w:rsidRPr="0026684F">
        <w:rPr>
          <w:i/>
          <w:sz w:val="23"/>
          <w:szCs w:val="23"/>
          <w:rtl/>
        </w:rPr>
        <w:softHyphen/>
      </w:r>
      <w:r w:rsidRPr="0026684F">
        <w:rPr>
          <w:rFonts w:hint="cs"/>
          <w:i/>
          <w:sz w:val="23"/>
          <w:szCs w:val="23"/>
          <w:rtl/>
        </w:rPr>
        <w:t>داران،</w:t>
      </w:r>
      <w:r w:rsidRPr="00703635">
        <w:rPr>
          <w:position w:val="-10"/>
        </w:rPr>
        <w:object w:dxaOrig="220" w:dyaOrig="320" w14:anchorId="21809A3B">
          <v:shape id="_x0000_i2793" type="#_x0000_t75" style="width:10.9pt;height:15.75pt" o:ole="">
            <v:imagedata r:id="rId3572" o:title=""/>
          </v:shape>
          <o:OLEObject Type="Embed" ProgID="Equation.DSMT4" ShapeID="_x0000_i2793" DrawAspect="Content" ObjectID="_1791376737" r:id="rId3573"/>
        </w:object>
      </w:r>
      <w:r w:rsidRPr="0026684F">
        <w:rPr>
          <w:rFonts w:hint="cs"/>
          <w:i/>
          <w:sz w:val="23"/>
          <w:szCs w:val="23"/>
          <w:rtl/>
        </w:rPr>
        <w:t xml:space="preserve"> بدهی دولت، </w:t>
      </w:r>
      <w:r w:rsidRPr="00703635">
        <w:rPr>
          <w:position w:val="-10"/>
        </w:rPr>
        <w:object w:dxaOrig="320" w:dyaOrig="320" w14:anchorId="5DA99B67">
          <v:shape id="_x0000_i2794" type="#_x0000_t75" style="width:15.75pt;height:15.75pt" o:ole="">
            <v:imagedata r:id="rId3574" o:title=""/>
          </v:shape>
          <o:OLEObject Type="Embed" ProgID="Equation.DSMT4" ShapeID="_x0000_i2794" DrawAspect="Content" ObjectID="_1791376738" r:id="rId3575"/>
        </w:object>
      </w:r>
      <w:r w:rsidRPr="0026684F">
        <w:rPr>
          <w:rFonts w:hint="cs"/>
          <w:i/>
          <w:sz w:val="23"/>
          <w:szCs w:val="23"/>
          <w:rtl/>
        </w:rPr>
        <w:t xml:space="preserve"> متوسط نرخ دستمزد،</w:t>
      </w:r>
      <w:r w:rsidRPr="00703635">
        <w:rPr>
          <w:position w:val="-10"/>
        </w:rPr>
        <w:object w:dxaOrig="240" w:dyaOrig="320" w14:anchorId="4EBBB3AE">
          <v:shape id="_x0000_i2795" type="#_x0000_t75" style="width:11.5pt;height:15.75pt" o:ole="">
            <v:imagedata r:id="rId3576" o:title=""/>
          </v:shape>
          <o:OLEObject Type="Embed" ProgID="Equation.DSMT4" ShapeID="_x0000_i2795" DrawAspect="Content" ObjectID="_1791376739" r:id="rId3577"/>
        </w:object>
      </w:r>
      <w:r w:rsidRPr="0026684F">
        <w:rPr>
          <w:rFonts w:hint="cs"/>
          <w:i/>
          <w:sz w:val="23"/>
          <w:szCs w:val="23"/>
          <w:rtl/>
        </w:rPr>
        <w:t xml:space="preserve"> اشتغال و</w:t>
      </w:r>
      <w:r w:rsidRPr="00703635">
        <w:rPr>
          <w:position w:val="-10"/>
        </w:rPr>
        <w:object w:dxaOrig="180" w:dyaOrig="320" w14:anchorId="11E8FE51">
          <v:shape id="_x0000_i2796" type="#_x0000_t75" style="width:9.1pt;height:15.75pt" o:ole="">
            <v:imagedata r:id="rId3578" o:title=""/>
          </v:shape>
          <o:OLEObject Type="Embed" ProgID="Equation.DSMT4" ShapeID="_x0000_i2796" DrawAspect="Content" ObjectID="_1791376740" r:id="rId3579"/>
        </w:object>
      </w:r>
      <w:r w:rsidRPr="0026684F">
        <w:rPr>
          <w:rFonts w:hint="cs"/>
          <w:i/>
          <w:sz w:val="23"/>
          <w:szCs w:val="23"/>
          <w:rtl/>
        </w:rPr>
        <w:t xml:space="preserve"> فراغت یا (</w:t>
      </w:r>
      <w:r w:rsidRPr="00703635">
        <w:rPr>
          <w:position w:val="-10"/>
        </w:rPr>
        <w:object w:dxaOrig="859" w:dyaOrig="320" w14:anchorId="327136AE">
          <v:shape id="_x0000_i2797" type="#_x0000_t75" style="width:42.95pt;height:15.75pt" o:ole="">
            <v:imagedata r:id="rId3580" o:title=""/>
          </v:shape>
          <o:OLEObject Type="Embed" ProgID="Equation.DSMT4" ShapeID="_x0000_i2797" DrawAspect="Content" ObjectID="_1791376741" r:id="rId3581"/>
        </w:object>
      </w:r>
      <w:r w:rsidRPr="0026684F">
        <w:rPr>
          <w:rFonts w:hint="cs"/>
          <w:i/>
          <w:sz w:val="23"/>
          <w:szCs w:val="23"/>
          <w:rtl/>
        </w:rPr>
        <w:t>)،</w:t>
      </w:r>
      <w:r w:rsidRPr="00703635">
        <w:rPr>
          <w:position w:val="-12"/>
        </w:rPr>
        <w:object w:dxaOrig="1140" w:dyaOrig="360" w14:anchorId="3C4B6F1A">
          <v:shape id="_x0000_i2798" type="#_x0000_t75" style="width:57.5pt;height:18.15pt" o:ole="">
            <v:imagedata r:id="rId3582" o:title=""/>
          </v:shape>
          <o:OLEObject Type="Embed" ProgID="Equation.DSMT4" ShapeID="_x0000_i2798" DrawAspect="Content" ObjectID="_1791376742" r:id="rId3583"/>
        </w:object>
      </w:r>
      <w:r w:rsidRPr="0026684F">
        <w:rPr>
          <w:rFonts w:hint="cs"/>
          <w:i/>
          <w:sz w:val="23"/>
          <w:szCs w:val="23"/>
          <w:rtl/>
        </w:rPr>
        <w:t xml:space="preserve"> نرخ بازدهی سرمایه،</w:t>
      </w:r>
      <w:r w:rsidRPr="00703635">
        <w:rPr>
          <w:position w:val="-10"/>
        </w:rPr>
        <w:object w:dxaOrig="240" w:dyaOrig="340" w14:anchorId="34F213A2">
          <v:shape id="_x0000_i2799" type="#_x0000_t75" style="width:11.5pt;height:16.95pt" o:ole="">
            <v:imagedata r:id="rId3584" o:title=""/>
          </v:shape>
          <o:OLEObject Type="Embed" ProgID="Equation.DSMT4" ShapeID="_x0000_i2799" DrawAspect="Content" ObjectID="_1791376743" r:id="rId3585"/>
        </w:object>
      </w:r>
      <w:r w:rsidRPr="0026684F">
        <w:rPr>
          <w:rFonts w:hint="cs"/>
          <w:i/>
          <w:sz w:val="23"/>
          <w:szCs w:val="23"/>
          <w:rtl/>
        </w:rPr>
        <w:t xml:space="preserve"> نرخ بازدهی بدهی دولت و</w:t>
      </w:r>
      <w:r w:rsidRPr="00703635">
        <w:rPr>
          <w:position w:val="-6"/>
        </w:rPr>
        <w:object w:dxaOrig="240" w:dyaOrig="300" w14:anchorId="45E809DD">
          <v:shape id="_x0000_i2800" type="#_x0000_t75" style="width:11.5pt;height:14.5pt" o:ole="">
            <v:imagedata r:id="rId3586" o:title=""/>
          </v:shape>
          <o:OLEObject Type="Embed" ProgID="Equation.DSMT4" ShapeID="_x0000_i2800" DrawAspect="Content" ObjectID="_1791376744" r:id="rId3587"/>
        </w:object>
      </w:r>
      <w:r w:rsidRPr="0026684F">
        <w:rPr>
          <w:rFonts w:hint="cs"/>
          <w:i/>
          <w:sz w:val="23"/>
          <w:szCs w:val="23"/>
          <w:rtl/>
        </w:rPr>
        <w:t>،</w:t>
      </w:r>
      <w:r w:rsidRPr="00703635">
        <w:rPr>
          <w:position w:val="-6"/>
        </w:rPr>
        <w:object w:dxaOrig="300" w:dyaOrig="300" w14:anchorId="71CF3F38">
          <v:shape id="_x0000_i2801" type="#_x0000_t75" style="width:14.5pt;height:14.5pt" o:ole="">
            <v:imagedata r:id="rId3588" o:title=""/>
          </v:shape>
          <o:OLEObject Type="Embed" ProgID="Equation.DSMT4" ShapeID="_x0000_i2801" DrawAspect="Content" ObjectID="_1791376745" r:id="rId3589"/>
        </w:object>
      </w:r>
      <w:r w:rsidRPr="0026684F">
        <w:rPr>
          <w:rFonts w:eastAsiaTheme="minorEastAsia" w:hint="cs"/>
          <w:i/>
          <w:sz w:val="23"/>
          <w:szCs w:val="23"/>
          <w:rtl/>
        </w:rPr>
        <w:t xml:space="preserve"> </w:t>
      </w:r>
      <w:r w:rsidRPr="0026684F">
        <w:rPr>
          <w:rFonts w:hint="cs"/>
          <w:i/>
          <w:sz w:val="23"/>
          <w:szCs w:val="23"/>
          <w:rtl/>
        </w:rPr>
        <w:t>و</w:t>
      </w:r>
      <w:r w:rsidRPr="00703635">
        <w:rPr>
          <w:position w:val="-6"/>
        </w:rPr>
        <w:object w:dxaOrig="260" w:dyaOrig="300" w14:anchorId="36B942AD">
          <v:shape id="_x0000_i2802" type="#_x0000_t75" style="width:13.3pt;height:14.5pt" o:ole="">
            <v:imagedata r:id="rId3590" o:title=""/>
          </v:shape>
          <o:OLEObject Type="Embed" ProgID="Equation.DSMT4" ShapeID="_x0000_i2802" DrawAspect="Content" ObjectID="_1791376746" r:id="rId3591"/>
        </w:object>
      </w:r>
      <w:r w:rsidRPr="0026684F">
        <w:rPr>
          <w:rFonts w:hint="cs"/>
          <w:i/>
          <w:sz w:val="23"/>
          <w:szCs w:val="23"/>
          <w:rtl/>
        </w:rPr>
        <w:t xml:space="preserve"> به ترتیب نرخ</w:t>
      </w:r>
      <w:r w:rsidRPr="0026684F">
        <w:rPr>
          <w:i/>
          <w:sz w:val="23"/>
          <w:szCs w:val="23"/>
          <w:rtl/>
        </w:rPr>
        <w:softHyphen/>
      </w:r>
      <w:r w:rsidRPr="0026684F">
        <w:rPr>
          <w:rFonts w:hint="cs"/>
          <w:i/>
          <w:sz w:val="23"/>
          <w:szCs w:val="23"/>
          <w:rtl/>
        </w:rPr>
        <w:t>های مالیات بر مصرف، نرخ مالیات بر درآمد حاصل از دستمزد و نرخ مالیات بر درآمد حاصل از سرمایه است. ضمناً همه متغیرها به قیمت حقیقی هستند و نرخ بازدهی بدهی دولت</w:t>
      </w:r>
      <w:r w:rsidRPr="00703635">
        <w:rPr>
          <w:position w:val="-10"/>
        </w:rPr>
        <w:object w:dxaOrig="240" w:dyaOrig="340" w14:anchorId="7C3FC015">
          <v:shape id="_x0000_i2803" type="#_x0000_t75" style="width:11.5pt;height:16.95pt" o:ole="">
            <v:imagedata r:id="rId3592" o:title=""/>
          </v:shape>
          <o:OLEObject Type="Embed" ProgID="Equation.DSMT4" ShapeID="_x0000_i2803" DrawAspect="Content" ObjectID="_1791376747" r:id="rId3593"/>
        </w:object>
      </w:r>
      <w:r w:rsidRPr="0026684F">
        <w:rPr>
          <w:rFonts w:hint="cs"/>
          <w:i/>
          <w:sz w:val="23"/>
          <w:szCs w:val="23"/>
          <w:rtl/>
        </w:rPr>
        <w:t xml:space="preserve"> بعد از کسر مالیات در نظر گرفته شده است و ممکن است فرض شود از </w:t>
      </w:r>
      <w:r w:rsidRPr="00703635">
        <w:rPr>
          <w:position w:val="-10"/>
        </w:rPr>
        <w:object w:dxaOrig="380" w:dyaOrig="340" w14:anchorId="34B8F2A5">
          <v:shape id="_x0000_i2804" type="#_x0000_t75" style="width:18.75pt;height:16.95pt" o:ole="">
            <v:imagedata r:id="rId3594" o:title=""/>
          </v:shape>
          <o:OLEObject Type="Embed" ProgID="Equation.DSMT4" ShapeID="_x0000_i2804" DrawAspect="Content" ObjectID="_1791376748" r:id="rId3595"/>
        </w:object>
      </w:r>
      <w:r w:rsidRPr="0026684F">
        <w:rPr>
          <w:rFonts w:hint="cs"/>
          <w:i/>
          <w:sz w:val="23"/>
          <w:szCs w:val="23"/>
          <w:rtl/>
        </w:rPr>
        <w:t xml:space="preserve"> نیز مالیات اخذ می</w:t>
      </w:r>
      <w:r w:rsidRPr="0026684F">
        <w:rPr>
          <w:i/>
          <w:sz w:val="23"/>
          <w:szCs w:val="23"/>
          <w:rtl/>
        </w:rPr>
        <w:softHyphen/>
      </w:r>
      <w:r w:rsidRPr="0026684F">
        <w:rPr>
          <w:rFonts w:hint="cs"/>
          <w:i/>
          <w:sz w:val="23"/>
          <w:szCs w:val="23"/>
          <w:rtl/>
        </w:rPr>
        <w:t xml:space="preserve">شود. </w:t>
      </w:r>
    </w:p>
    <w:p w14:paraId="41560F77" w14:textId="77777777" w:rsidR="00411620" w:rsidRPr="0026684F" w:rsidRDefault="00411620" w:rsidP="00411620">
      <w:pPr>
        <w:spacing w:line="216" w:lineRule="auto"/>
        <w:rPr>
          <w:i/>
          <w:sz w:val="23"/>
          <w:szCs w:val="23"/>
          <w:rtl/>
        </w:rPr>
      </w:pPr>
      <w:r w:rsidRPr="0026684F">
        <w:rPr>
          <w:rFonts w:hint="cs"/>
          <w:i/>
          <w:sz w:val="23"/>
          <w:szCs w:val="23"/>
          <w:rtl/>
        </w:rPr>
        <w:t>با توجه به اینکه از درآمد نیروی کار مالیات اخذ می‌شود، لذا فراغتِ نیروی کار در تابع مطلوبیت، و عرضه</w:t>
      </w:r>
      <w:r w:rsidRPr="0026684F">
        <w:rPr>
          <w:i/>
          <w:sz w:val="23"/>
          <w:szCs w:val="23"/>
          <w:rtl/>
        </w:rPr>
        <w:softHyphen/>
      </w:r>
      <w:r w:rsidRPr="0026684F">
        <w:rPr>
          <w:rFonts w:hint="cs"/>
          <w:i/>
          <w:sz w:val="23"/>
          <w:szCs w:val="23"/>
          <w:rtl/>
        </w:rPr>
        <w:t>ی نیروی کار در تابع تولید وارد می‌شود و برای سهولت مخارج دولت در تابع مطلوبیت لحاظ نشده است. فرض می‌شود تابع تولید همگن از درجه یک است و عوامل تولید، معادل تولید نهایی خود را دریافت می‌کنند. لذا:</w:t>
      </w:r>
    </w:p>
    <w:p w14:paraId="1D9C1A94" w14:textId="77777777" w:rsidR="00411620" w:rsidRPr="0026684F" w:rsidRDefault="00411620" w:rsidP="00411620">
      <w:pPr>
        <w:pStyle w:val="MTDisplayEquation"/>
        <w:spacing w:line="216" w:lineRule="auto"/>
        <w:rPr>
          <w:rFonts w:ascii="Times New Roman" w:hAnsi="Times New Roman" w:cs="B Nazanin"/>
          <w:i/>
          <w:sz w:val="23"/>
          <w:szCs w:val="23"/>
          <w:rtl/>
        </w:rPr>
      </w:pPr>
      <w:r w:rsidRPr="00703635">
        <w:rPr>
          <w:position w:val="-16"/>
        </w:rPr>
        <w:object w:dxaOrig="3920" w:dyaOrig="420" w14:anchorId="36417816">
          <v:shape id="_x0000_i2805" type="#_x0000_t75" style="width:196.05pt;height:21.2pt" o:ole="">
            <v:imagedata r:id="rId3596" o:title=""/>
          </v:shape>
          <o:OLEObject Type="Embed" ProgID="Equation.DSMT4" ShapeID="_x0000_i2805" DrawAspect="Content" ObjectID="_1791376749" r:id="rId3597"/>
        </w:object>
      </w:r>
    </w:p>
    <w:p w14:paraId="08B46B26" w14:textId="77777777" w:rsidR="00411620" w:rsidRPr="0026684F" w:rsidRDefault="00411620" w:rsidP="00411620">
      <w:pPr>
        <w:spacing w:line="216" w:lineRule="auto"/>
        <w:rPr>
          <w:i/>
          <w:sz w:val="23"/>
          <w:szCs w:val="23"/>
          <w:rtl/>
        </w:rPr>
      </w:pPr>
      <w:r w:rsidRPr="0026684F">
        <w:rPr>
          <w:rFonts w:hint="cs"/>
          <w:i/>
          <w:sz w:val="23"/>
          <w:szCs w:val="23"/>
          <w:rtl/>
        </w:rPr>
        <w:t>و قید منبع اقتصاد یعنی قید بودجه</w:t>
      </w:r>
      <w:r w:rsidRPr="0026684F">
        <w:rPr>
          <w:i/>
          <w:sz w:val="23"/>
          <w:szCs w:val="23"/>
          <w:rtl/>
        </w:rPr>
        <w:softHyphen/>
      </w:r>
      <w:r w:rsidRPr="0026684F">
        <w:rPr>
          <w:rFonts w:hint="cs"/>
          <w:i/>
          <w:sz w:val="23"/>
          <w:szCs w:val="23"/>
          <w:rtl/>
        </w:rPr>
        <w:t>ی خانوار بانضمام قید بودجه</w:t>
      </w:r>
      <w:r w:rsidRPr="0026684F">
        <w:rPr>
          <w:i/>
          <w:sz w:val="23"/>
          <w:szCs w:val="23"/>
          <w:rtl/>
        </w:rPr>
        <w:softHyphen/>
      </w:r>
      <w:r w:rsidRPr="0026684F">
        <w:rPr>
          <w:rFonts w:hint="cs"/>
          <w:i/>
          <w:sz w:val="23"/>
          <w:szCs w:val="23"/>
          <w:rtl/>
        </w:rPr>
        <w:t>ی دولت عبارتست از:</w:t>
      </w:r>
    </w:p>
    <w:p w14:paraId="0C7F39F2"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12"/>
        </w:rPr>
        <w:object w:dxaOrig="1939" w:dyaOrig="360" w14:anchorId="08A8BD29">
          <v:shape id="_x0000_i2806" type="#_x0000_t75" style="width:97.4pt;height:18.15pt" o:ole="">
            <v:imagedata r:id="rId3598" o:title=""/>
          </v:shape>
          <o:OLEObject Type="Embed" ProgID="Equation.DSMT4" ShapeID="_x0000_i2806" DrawAspect="Content" ObjectID="_1791376750" r:id="rId3599"/>
        </w:object>
      </w:r>
    </w:p>
    <w:p w14:paraId="07DEA1AE"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و یا</w:t>
      </w:r>
    </w:p>
    <w:p w14:paraId="02ED3C7F"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10"/>
        </w:rPr>
        <w:object w:dxaOrig="3500" w:dyaOrig="340" w14:anchorId="4C6D8737">
          <v:shape id="_x0000_i2807" type="#_x0000_t75" style="width:175.45pt;height:16.95pt" o:ole="">
            <v:imagedata r:id="rId3600" o:title=""/>
          </v:shape>
          <o:OLEObject Type="Embed" ProgID="Equation.DSMT4" ShapeID="_x0000_i2807" DrawAspect="Content" ObjectID="_1791376751" r:id="rId3601"/>
        </w:object>
      </w:r>
    </w:p>
    <w:p w14:paraId="62369506" w14:textId="77777777" w:rsidR="00411620" w:rsidRPr="0026684F" w:rsidRDefault="00411620" w:rsidP="00411620">
      <w:pPr>
        <w:pStyle w:val="MTDisplayEquation"/>
        <w:tabs>
          <w:tab w:val="clear" w:pos="6660"/>
        </w:tabs>
        <w:spacing w:line="216" w:lineRule="auto"/>
        <w:rPr>
          <w:rFonts w:ascii="Times New Roman" w:eastAsiaTheme="minorEastAsia" w:hAnsi="Times New Roman" w:cs="B Nazanin"/>
          <w:i/>
          <w:sz w:val="23"/>
          <w:szCs w:val="23"/>
          <w:rtl/>
        </w:rPr>
      </w:pPr>
      <w:r w:rsidRPr="00703635">
        <w:rPr>
          <w:position w:val="-10"/>
        </w:rPr>
        <w:object w:dxaOrig="3440" w:dyaOrig="340" w14:anchorId="20E92119">
          <v:shape id="_x0000_i2808" type="#_x0000_t75" style="width:171.85pt;height:16.95pt" o:ole="">
            <v:imagedata r:id="rId3602" o:title=""/>
          </v:shape>
          <o:OLEObject Type="Embed" ProgID="Equation.DSMT4" ShapeID="_x0000_i2808" DrawAspect="Content" ObjectID="_1791376752" r:id="rId3603"/>
        </w:object>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Pr>
          <w:rFonts w:ascii="Times New Roman" w:hAnsi="Times New Roman" w:cs="B Nazanin"/>
          <w:i/>
          <w:sz w:val="23"/>
          <w:szCs w:val="23"/>
          <w:rtl/>
        </w:rPr>
        <w:tab/>
      </w:r>
      <w:r w:rsidRPr="0026684F">
        <w:rPr>
          <w:rFonts w:ascii="Times New Roman" w:hAnsi="Times New Roman" w:cs="B Nazanin"/>
          <w:i/>
          <w:sz w:val="23"/>
          <w:szCs w:val="23"/>
          <w:rtl/>
        </w:rPr>
        <w:tab/>
      </w:r>
      <w:r w:rsidRPr="0026684F">
        <w:rPr>
          <w:rFonts w:ascii="Times New Roman" w:hAnsi="Times New Roman" w:cs="B Nazanin" w:hint="cs"/>
          <w:i/>
          <w:sz w:val="23"/>
          <w:szCs w:val="23"/>
          <w:rtl/>
        </w:rPr>
        <w:t>(۵. ۲۳)</w:t>
      </w:r>
    </w:p>
    <w:p w14:paraId="62FFEC8F" w14:textId="77777777" w:rsidR="00411620" w:rsidRPr="0026684F" w:rsidRDefault="00411620" w:rsidP="00411620">
      <w:pPr>
        <w:spacing w:line="216" w:lineRule="auto"/>
        <w:rPr>
          <w:rFonts w:eastAsiaTheme="minorEastAsia"/>
          <w:i/>
          <w:sz w:val="23"/>
          <w:szCs w:val="23"/>
        </w:rPr>
      </w:pPr>
      <w:r w:rsidRPr="0026684F">
        <w:rPr>
          <w:rFonts w:eastAsiaTheme="minorEastAsia" w:hint="cs"/>
          <w:i/>
          <w:sz w:val="23"/>
          <w:szCs w:val="23"/>
          <w:rtl/>
        </w:rPr>
        <w:t>خانوار بدنبال حداکثر کردن مطلوبیت بین</w:t>
      </w:r>
      <w:r w:rsidRPr="0026684F">
        <w:rPr>
          <w:rFonts w:eastAsiaTheme="minorEastAsia"/>
          <w:i/>
          <w:sz w:val="23"/>
          <w:szCs w:val="23"/>
          <w:rtl/>
        </w:rPr>
        <w:softHyphen/>
      </w:r>
      <w:r w:rsidRPr="0026684F">
        <w:rPr>
          <w:rFonts w:eastAsiaTheme="minorEastAsia" w:hint="cs"/>
          <w:i/>
          <w:sz w:val="23"/>
          <w:szCs w:val="23"/>
          <w:rtl/>
        </w:rPr>
        <w:t>دوره</w:t>
      </w:r>
      <w:r w:rsidRPr="0026684F">
        <w:rPr>
          <w:rFonts w:eastAsiaTheme="minorEastAsia"/>
          <w:i/>
          <w:sz w:val="23"/>
          <w:szCs w:val="23"/>
          <w:rtl/>
        </w:rPr>
        <w:softHyphen/>
      </w:r>
      <w:r w:rsidRPr="0026684F">
        <w:rPr>
          <w:rFonts w:eastAsiaTheme="minorEastAsia" w:hint="cs"/>
          <w:i/>
          <w:sz w:val="23"/>
          <w:szCs w:val="23"/>
          <w:rtl/>
        </w:rPr>
        <w:t>ای نسبت به قید بودجه است. لذا لاگرانژین این مسئله عبارت است از :</w:t>
      </w:r>
    </w:p>
    <w:p w14:paraId="0F231194"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60"/>
        </w:rPr>
        <w:object w:dxaOrig="6080" w:dyaOrig="1300" w14:anchorId="2AA786F0">
          <v:shape id="_x0000_i2809" type="#_x0000_t75" style="width:303.75pt;height:64.75pt" o:ole="">
            <v:imagedata r:id="rId3604" o:title=""/>
          </v:shape>
          <o:OLEObject Type="Embed" ProgID="Equation.DSMT4" ShapeID="_x0000_i2809" DrawAspect="Content" ObjectID="_1791376753" r:id="rId3605"/>
        </w:object>
      </w:r>
    </w:p>
    <w:p w14:paraId="4F661642"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از آنجا که خانوار نسبت به مصرف، عرضه</w:t>
      </w:r>
      <w:r w:rsidRPr="0026684F">
        <w:rPr>
          <w:rFonts w:eastAsiaTheme="minorEastAsia"/>
          <w:i/>
          <w:sz w:val="23"/>
          <w:szCs w:val="23"/>
          <w:rtl/>
        </w:rPr>
        <w:softHyphen/>
      </w:r>
      <w:r w:rsidRPr="0026684F">
        <w:rPr>
          <w:rFonts w:eastAsiaTheme="minorEastAsia" w:hint="cs"/>
          <w:i/>
          <w:sz w:val="23"/>
          <w:szCs w:val="23"/>
          <w:rtl/>
        </w:rPr>
        <w:t>ی نیروی کار و سرمایه تصمیم می</w:t>
      </w:r>
      <w:r w:rsidRPr="0026684F">
        <w:rPr>
          <w:rFonts w:eastAsiaTheme="minorEastAsia"/>
          <w:i/>
          <w:sz w:val="23"/>
          <w:szCs w:val="23"/>
          <w:rtl/>
        </w:rPr>
        <w:softHyphen/>
      </w:r>
      <w:r w:rsidRPr="0026684F">
        <w:rPr>
          <w:rFonts w:eastAsiaTheme="minorEastAsia" w:hint="cs"/>
          <w:i/>
          <w:sz w:val="23"/>
          <w:szCs w:val="23"/>
          <w:rtl/>
        </w:rPr>
        <w:t>گیرد لذا شرایط مرتبه</w:t>
      </w:r>
      <w:r w:rsidRPr="0026684F">
        <w:rPr>
          <w:rFonts w:eastAsiaTheme="minorEastAsia"/>
          <w:i/>
          <w:sz w:val="23"/>
          <w:szCs w:val="23"/>
          <w:rtl/>
        </w:rPr>
        <w:softHyphen/>
      </w:r>
      <w:r w:rsidRPr="0026684F">
        <w:rPr>
          <w:rFonts w:eastAsiaTheme="minorEastAsia" w:hint="cs"/>
          <w:i/>
          <w:sz w:val="23"/>
          <w:szCs w:val="23"/>
          <w:rtl/>
        </w:rPr>
        <w:t>ی اول عبارت است از</w:t>
      </w:r>
    </w:p>
    <w:p w14:paraId="1A70C45C"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8"/>
        </w:rPr>
        <w:object w:dxaOrig="4220" w:dyaOrig="620" w14:anchorId="77F06A45">
          <v:shape id="_x0000_i2810" type="#_x0000_t75" style="width:211.15pt;height:31.45pt" o:ole="">
            <v:imagedata r:id="rId3606" o:title=""/>
          </v:shape>
          <o:OLEObject Type="Embed" ProgID="Equation.DSMT4" ShapeID="_x0000_i2810" DrawAspect="Content" ObjectID="_1791376754" r:id="rId3607"/>
        </w:object>
      </w:r>
    </w:p>
    <w:p w14:paraId="7329C3DA"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8"/>
        </w:rPr>
        <w:object w:dxaOrig="4320" w:dyaOrig="620" w14:anchorId="5D29C509">
          <v:shape id="_x0000_i2811" type="#_x0000_t75" style="width:3in;height:31.45pt" o:ole="">
            <v:imagedata r:id="rId3608" o:title=""/>
          </v:shape>
          <o:OLEObject Type="Embed" ProgID="Equation.DSMT4" ShapeID="_x0000_i2811" DrawAspect="Content" ObjectID="_1791376755" r:id="rId3609"/>
        </w:object>
      </w:r>
    </w:p>
    <w:p w14:paraId="244B7882"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8"/>
        </w:rPr>
        <w:object w:dxaOrig="4260" w:dyaOrig="620" w14:anchorId="2678E0BC">
          <v:shape id="_x0000_i2812" type="#_x0000_t75" style="width:212.95pt;height:31.45pt" o:ole="">
            <v:imagedata r:id="rId3610" o:title=""/>
          </v:shape>
          <o:OLEObject Type="Embed" ProgID="Equation.DSMT4" ShapeID="_x0000_i2812" DrawAspect="Content" ObjectID="_1791376756" r:id="rId3611"/>
        </w:object>
      </w:r>
    </w:p>
    <w:p w14:paraId="7E5AE5DE"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8"/>
        </w:rPr>
        <w:object w:dxaOrig="4180" w:dyaOrig="620" w14:anchorId="06524672">
          <v:shape id="_x0000_i2813" type="#_x0000_t75" style="width:208.75pt;height:31.45pt" o:ole="">
            <v:imagedata r:id="rId3612" o:title=""/>
          </v:shape>
          <o:OLEObject Type="Embed" ProgID="Equation.DSMT4" ShapeID="_x0000_i2813" DrawAspect="Content" ObjectID="_1791376757" r:id="rId3613"/>
        </w:object>
      </w:r>
    </w:p>
    <w:p w14:paraId="00318344"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بر اساس دو معادله</w:t>
      </w:r>
      <w:r w:rsidRPr="0026684F">
        <w:rPr>
          <w:rFonts w:eastAsiaTheme="minorEastAsia"/>
          <w:i/>
          <w:sz w:val="23"/>
          <w:szCs w:val="23"/>
        </w:rPr>
        <w:softHyphen/>
      </w:r>
      <w:r w:rsidRPr="0026684F">
        <w:rPr>
          <w:rFonts w:eastAsiaTheme="minorEastAsia" w:hint="cs"/>
          <w:i/>
          <w:sz w:val="23"/>
          <w:szCs w:val="23"/>
          <w:rtl/>
        </w:rPr>
        <w:t>ی اول خواهیم داشت:</w:t>
      </w:r>
    </w:p>
    <w:p w14:paraId="068586DF"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34"/>
        </w:rPr>
        <w:object w:dxaOrig="3580" w:dyaOrig="740" w14:anchorId="1D653518">
          <v:shape id="_x0000_i2814" type="#_x0000_t75" style="width:178.5pt;height:36.9pt" o:ole="">
            <v:imagedata r:id="rId3614" o:title=""/>
          </v:shape>
          <o:OLEObject Type="Embed" ProgID="Equation.DSMT4" ShapeID="_x0000_i2814" DrawAspect="Content" ObjectID="_1791376758" r:id="rId3615"/>
        </w:object>
      </w:r>
    </w:p>
    <w:p w14:paraId="4B93D136" w14:textId="77777777" w:rsidR="00411620" w:rsidRPr="0026684F" w:rsidRDefault="00411620" w:rsidP="00411620">
      <w:pPr>
        <w:pStyle w:val="MTDisplayEquation"/>
        <w:tabs>
          <w:tab w:val="clear" w:pos="6660"/>
        </w:tabs>
        <w:spacing w:line="216" w:lineRule="auto"/>
        <w:rPr>
          <w:rFonts w:ascii="Times New Roman" w:eastAsiaTheme="minorEastAsia" w:hAnsi="Times New Roman" w:cs="B Nazanin"/>
          <w:i/>
          <w:sz w:val="23"/>
          <w:szCs w:val="23"/>
          <w:rtl/>
        </w:rPr>
      </w:pPr>
      <w:r w:rsidRPr="00703635">
        <w:rPr>
          <w:position w:val="-34"/>
        </w:rPr>
        <w:object w:dxaOrig="3820" w:dyaOrig="780" w14:anchorId="4EB29D9A">
          <v:shape id="_x0000_i2815" type="#_x0000_t75" style="width:191.2pt;height:39.35pt" o:ole="">
            <v:imagedata r:id="rId3616" o:title=""/>
          </v:shape>
          <o:OLEObject Type="Embed" ProgID="Equation.DSMT4" ShapeID="_x0000_i2815" DrawAspect="Content" ObjectID="_1791376759" r:id="rId3617"/>
        </w:object>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Pr>
          <w:rFonts w:ascii="Times New Roman" w:hAnsi="Times New Roman" w:cs="B Nazanin"/>
          <w:i/>
          <w:sz w:val="23"/>
          <w:szCs w:val="23"/>
          <w:rtl/>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hint="cs"/>
          <w:i/>
          <w:sz w:val="23"/>
          <w:szCs w:val="23"/>
          <w:rtl/>
        </w:rPr>
        <w:t>(۵. ۲۴)</w:t>
      </w:r>
    </w:p>
    <w:p w14:paraId="00CDCF50"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از معادلات سوم و چهارم شرایط مرتبه</w:t>
      </w:r>
      <w:r w:rsidRPr="0026684F">
        <w:rPr>
          <w:rFonts w:eastAsiaTheme="minorEastAsia"/>
          <w:i/>
          <w:sz w:val="23"/>
          <w:szCs w:val="23"/>
          <w:rtl/>
        </w:rPr>
        <w:softHyphen/>
      </w:r>
      <w:r w:rsidRPr="0026684F">
        <w:rPr>
          <w:rFonts w:eastAsiaTheme="minorEastAsia" w:hint="cs"/>
          <w:i/>
          <w:sz w:val="23"/>
          <w:szCs w:val="23"/>
          <w:rtl/>
        </w:rPr>
        <w:t>ی اول داریم:</w:t>
      </w:r>
    </w:p>
    <w:p w14:paraId="7296D05B"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8"/>
        </w:rPr>
        <w:object w:dxaOrig="4200" w:dyaOrig="639" w14:anchorId="35550C84">
          <v:shape id="_x0000_i2816" type="#_x0000_t75" style="width:209.95pt;height:32.05pt" o:ole="">
            <v:imagedata r:id="rId3618" o:title=""/>
          </v:shape>
          <o:OLEObject Type="Embed" ProgID="Equation.DSMT4" ShapeID="_x0000_i2816" DrawAspect="Content" ObjectID="_1791376760" r:id="rId3619"/>
        </w:object>
      </w:r>
    </w:p>
    <w:p w14:paraId="1EC417EA" w14:textId="77777777" w:rsidR="00411620" w:rsidRPr="0026684F" w:rsidRDefault="00411620" w:rsidP="00411620">
      <w:pPr>
        <w:pStyle w:val="MTDisplayEquation"/>
        <w:tabs>
          <w:tab w:val="clear" w:pos="6660"/>
        </w:tabs>
        <w:spacing w:line="216" w:lineRule="auto"/>
        <w:rPr>
          <w:rFonts w:ascii="Times New Roman" w:eastAsiaTheme="minorEastAsia" w:hAnsi="Times New Roman" w:cs="B Nazanin"/>
          <w:i/>
          <w:sz w:val="23"/>
          <w:szCs w:val="23"/>
          <w:rtl/>
        </w:rPr>
      </w:pPr>
      <w:r w:rsidRPr="00703635">
        <w:rPr>
          <w:position w:val="-28"/>
        </w:rPr>
        <w:object w:dxaOrig="4940" w:dyaOrig="639" w14:anchorId="1ACDE931">
          <v:shape id="_x0000_i2817" type="#_x0000_t75" style="width:247.45pt;height:32.05pt" o:ole="">
            <v:imagedata r:id="rId3620" o:title=""/>
          </v:shape>
          <o:OLEObject Type="Embed" ProgID="Equation.DSMT4" ShapeID="_x0000_i2817" DrawAspect="Content" ObjectID="_1791376761" r:id="rId3621"/>
        </w:object>
      </w:r>
      <w:r w:rsidRPr="0026684F">
        <w:rPr>
          <w:rFonts w:ascii="Times New Roman" w:hAnsi="Times New Roman" w:cs="B Nazanin"/>
          <w:i/>
          <w:sz w:val="23"/>
          <w:szCs w:val="23"/>
        </w:rPr>
        <w:tab/>
      </w:r>
      <w:r>
        <w:rPr>
          <w:rFonts w:ascii="Times New Roman" w:hAnsi="Times New Roman" w:cs="B Nazanin"/>
          <w:i/>
          <w:sz w:val="23"/>
          <w:szCs w:val="23"/>
          <w:rtl/>
        </w:rPr>
        <w:tab/>
      </w:r>
      <w:r>
        <w:rPr>
          <w:rFonts w:ascii="Times New Roman" w:hAnsi="Times New Roman" w:cs="B Nazanin"/>
          <w:i/>
          <w:sz w:val="23"/>
          <w:szCs w:val="23"/>
          <w:rtl/>
        </w:rPr>
        <w:tab/>
      </w:r>
      <w:r w:rsidRPr="0026684F">
        <w:rPr>
          <w:rFonts w:ascii="Times New Roman" w:hAnsi="Times New Roman" w:cs="B Nazanin"/>
          <w:i/>
          <w:sz w:val="23"/>
          <w:szCs w:val="23"/>
        </w:rPr>
        <w:tab/>
      </w:r>
      <w:r w:rsidRPr="0026684F">
        <w:rPr>
          <w:rFonts w:ascii="Times New Roman" w:hAnsi="Times New Roman" w:cs="B Nazanin" w:hint="cs"/>
          <w:i/>
          <w:sz w:val="23"/>
          <w:szCs w:val="23"/>
          <w:rtl/>
        </w:rPr>
        <w:t>(۵. ۲۵)</w:t>
      </w:r>
    </w:p>
    <w:p w14:paraId="63D63DC1"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بنابراین:</w:t>
      </w:r>
    </w:p>
    <w:p w14:paraId="2D0BF579" w14:textId="77777777" w:rsidR="00411620" w:rsidRPr="0026684F"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703635">
        <w:rPr>
          <w:position w:val="-16"/>
        </w:rPr>
        <w:object w:dxaOrig="2600" w:dyaOrig="420" w14:anchorId="6877A9FB">
          <v:shape id="_x0000_i2818" type="#_x0000_t75" style="width:130.1pt;height:21.2pt" o:ole="">
            <v:imagedata r:id="rId3622" o:title=""/>
          </v:shape>
          <o:OLEObject Type="Embed" ProgID="Equation.DSMT4" ShapeID="_x0000_i2818" DrawAspect="Content" ObjectID="_1791376762" r:id="rId3623"/>
        </w:object>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Pr>
          <w:rFonts w:ascii="Times New Roman" w:hAnsi="Times New Roman" w:cs="B Nazanin"/>
          <w:i/>
          <w:sz w:val="23"/>
          <w:szCs w:val="23"/>
          <w:rtl/>
        </w:rPr>
        <w:tab/>
      </w:r>
      <w:r w:rsidRPr="0026684F">
        <w:rPr>
          <w:rFonts w:ascii="Times New Roman" w:hAnsi="Times New Roman" w:cs="B Nazanin"/>
          <w:i/>
          <w:sz w:val="23"/>
          <w:szCs w:val="23"/>
          <w:rtl/>
        </w:rPr>
        <w:tab/>
      </w:r>
      <w:r w:rsidRPr="0026684F">
        <w:rPr>
          <w:rFonts w:ascii="Times New Roman" w:hAnsi="Times New Roman" w:cs="B Nazanin"/>
          <w:i/>
          <w:sz w:val="23"/>
          <w:szCs w:val="23"/>
          <w:rtl/>
        </w:rPr>
        <w:tab/>
      </w:r>
      <w:r w:rsidRPr="0026684F">
        <w:rPr>
          <w:rFonts w:ascii="Times New Roman" w:hAnsi="Times New Roman" w:cs="B Nazanin" w:hint="cs"/>
          <w:i/>
          <w:sz w:val="23"/>
          <w:szCs w:val="23"/>
          <w:rtl/>
        </w:rPr>
        <w:t>(۵. ۲۶)</w:t>
      </w:r>
    </w:p>
    <w:p w14:paraId="3ED4ED10"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یعنی بین اوراق قرضه</w:t>
      </w:r>
      <w:r w:rsidRPr="0026684F">
        <w:rPr>
          <w:rFonts w:eastAsiaTheme="minorEastAsia"/>
          <w:i/>
          <w:sz w:val="23"/>
          <w:szCs w:val="23"/>
          <w:rtl/>
        </w:rPr>
        <w:softHyphen/>
      </w:r>
      <w:r w:rsidRPr="0026684F">
        <w:rPr>
          <w:rFonts w:eastAsiaTheme="minorEastAsia" w:hint="cs"/>
          <w:i/>
          <w:sz w:val="23"/>
          <w:szCs w:val="23"/>
          <w:rtl/>
        </w:rPr>
        <w:t xml:space="preserve">ی دولتی و سهام آربیتراژ وجود ندارد. </w:t>
      </w:r>
    </w:p>
    <w:p w14:paraId="09974AF1"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باید در نظر داشت که در این جا فرض شده است که بر نرخ بازده اوراق قرضه</w:t>
      </w:r>
      <w:r w:rsidRPr="0026684F">
        <w:rPr>
          <w:rFonts w:eastAsiaTheme="minorEastAsia"/>
          <w:i/>
          <w:sz w:val="23"/>
          <w:szCs w:val="23"/>
          <w:rtl/>
        </w:rPr>
        <w:softHyphen/>
      </w:r>
      <w:r w:rsidRPr="0026684F">
        <w:rPr>
          <w:rFonts w:eastAsiaTheme="minorEastAsia" w:hint="cs"/>
          <w:i/>
          <w:sz w:val="23"/>
          <w:szCs w:val="23"/>
          <w:rtl/>
        </w:rPr>
        <w:t>ی دولتی</w:t>
      </w:r>
      <w:r w:rsidRPr="00703635">
        <w:rPr>
          <w:position w:val="-10"/>
        </w:rPr>
        <w:object w:dxaOrig="240" w:dyaOrig="340" w14:anchorId="51C0F054">
          <v:shape id="_x0000_i2819" type="#_x0000_t75" style="width:11.5pt;height:16.95pt" o:ole="">
            <v:imagedata r:id="rId3624" o:title=""/>
          </v:shape>
          <o:OLEObject Type="Embed" ProgID="Equation.DSMT4" ShapeID="_x0000_i2819" DrawAspect="Content" ObjectID="_1791376763" r:id="rId3625"/>
        </w:object>
      </w:r>
      <w:r w:rsidRPr="0026684F">
        <w:rPr>
          <w:rFonts w:eastAsiaTheme="minorEastAsia" w:hint="cs"/>
          <w:i/>
          <w:sz w:val="23"/>
          <w:szCs w:val="23"/>
          <w:rtl/>
        </w:rPr>
        <w:t xml:space="preserve"> مالیات اخذ نمی‌شود، و یا این نرخ پس از مالیات است. بنابراین نرخ بازده اوراق قرضه</w:t>
      </w:r>
      <w:r w:rsidRPr="0026684F">
        <w:rPr>
          <w:rFonts w:eastAsiaTheme="minorEastAsia"/>
          <w:i/>
          <w:sz w:val="23"/>
          <w:szCs w:val="23"/>
          <w:rtl/>
        </w:rPr>
        <w:softHyphen/>
      </w:r>
      <w:r w:rsidRPr="0026684F">
        <w:rPr>
          <w:rFonts w:eastAsiaTheme="minorEastAsia" w:hint="cs"/>
          <w:i/>
          <w:sz w:val="23"/>
          <w:szCs w:val="23"/>
          <w:rtl/>
        </w:rPr>
        <w:t>ی دولتی برابر است با نرخ بازده سرمایه پس از مالیات. به تعبیری مادامی</w:t>
      </w:r>
      <w:r w:rsidRPr="0026684F">
        <w:rPr>
          <w:rFonts w:eastAsiaTheme="minorEastAsia"/>
          <w:i/>
          <w:sz w:val="23"/>
          <w:szCs w:val="23"/>
          <w:rtl/>
        </w:rPr>
        <w:softHyphen/>
      </w:r>
      <w:r w:rsidRPr="0026684F">
        <w:rPr>
          <w:rFonts w:eastAsiaTheme="minorEastAsia" w:hint="cs"/>
          <w:i/>
          <w:sz w:val="23"/>
          <w:szCs w:val="23"/>
          <w:rtl/>
        </w:rPr>
        <w:t>که نرخ بازده سرمایه پس از کسر مالیات بیشتر از نرخ بازده اوراق قرضه</w:t>
      </w:r>
      <w:r w:rsidRPr="0026684F">
        <w:rPr>
          <w:rFonts w:eastAsiaTheme="minorEastAsia"/>
          <w:i/>
          <w:sz w:val="23"/>
          <w:szCs w:val="23"/>
          <w:rtl/>
        </w:rPr>
        <w:softHyphen/>
      </w:r>
      <w:r w:rsidRPr="0026684F">
        <w:rPr>
          <w:rFonts w:eastAsiaTheme="minorEastAsia" w:hint="cs"/>
          <w:i/>
          <w:sz w:val="23"/>
          <w:szCs w:val="23"/>
          <w:rtl/>
        </w:rPr>
        <w:t>ی دولتی باشد، سرمایه</w:t>
      </w:r>
      <w:r w:rsidRPr="0026684F">
        <w:rPr>
          <w:rFonts w:eastAsiaTheme="minorEastAsia"/>
          <w:i/>
          <w:sz w:val="23"/>
          <w:szCs w:val="23"/>
          <w:rtl/>
        </w:rPr>
        <w:softHyphen/>
      </w:r>
      <w:r w:rsidRPr="0026684F">
        <w:rPr>
          <w:rFonts w:eastAsiaTheme="minorEastAsia" w:hint="cs"/>
          <w:i/>
          <w:sz w:val="23"/>
          <w:szCs w:val="23"/>
          <w:rtl/>
        </w:rPr>
        <w:t>گذاری افزایش می</w:t>
      </w:r>
      <w:r w:rsidRPr="0026684F">
        <w:rPr>
          <w:rFonts w:eastAsiaTheme="minorEastAsia"/>
          <w:i/>
          <w:sz w:val="23"/>
          <w:szCs w:val="23"/>
          <w:rtl/>
        </w:rPr>
        <w:softHyphen/>
      </w:r>
      <w:r w:rsidRPr="0026684F">
        <w:rPr>
          <w:rFonts w:eastAsiaTheme="minorEastAsia" w:hint="cs"/>
          <w:i/>
          <w:sz w:val="23"/>
          <w:szCs w:val="23"/>
          <w:rtl/>
        </w:rPr>
        <w:t>یابد.</w:t>
      </w:r>
    </w:p>
    <w:p w14:paraId="0C22C803" w14:textId="77777777" w:rsidR="00411620" w:rsidRPr="0026684F" w:rsidRDefault="00411620" w:rsidP="00411620">
      <w:pPr>
        <w:tabs>
          <w:tab w:val="left" w:pos="1215"/>
        </w:tabs>
        <w:spacing w:line="216" w:lineRule="auto"/>
        <w:rPr>
          <w:rFonts w:eastAsiaTheme="minorEastAsia"/>
          <w:i/>
          <w:sz w:val="23"/>
          <w:szCs w:val="23"/>
        </w:rPr>
      </w:pPr>
      <w:r w:rsidRPr="0026684F">
        <w:rPr>
          <w:rFonts w:eastAsiaTheme="minorEastAsia" w:hint="cs"/>
          <w:i/>
          <w:sz w:val="23"/>
          <w:szCs w:val="23"/>
          <w:rtl/>
        </w:rPr>
        <w:t>اگر معادله</w:t>
      </w:r>
      <w:r w:rsidRPr="0026684F">
        <w:rPr>
          <w:rFonts w:eastAsiaTheme="minorEastAsia"/>
          <w:i/>
          <w:sz w:val="23"/>
          <w:szCs w:val="23"/>
          <w:rtl/>
        </w:rPr>
        <w:softHyphen/>
      </w:r>
      <w:r w:rsidRPr="0026684F">
        <w:rPr>
          <w:rFonts w:eastAsiaTheme="minorEastAsia" w:hint="cs"/>
          <w:i/>
          <w:sz w:val="23"/>
          <w:szCs w:val="23"/>
          <w:rtl/>
        </w:rPr>
        <w:t>ی اول از شرایط مرتبه</w:t>
      </w:r>
      <w:r w:rsidRPr="0026684F">
        <w:rPr>
          <w:rFonts w:eastAsiaTheme="minorEastAsia"/>
          <w:i/>
          <w:sz w:val="23"/>
          <w:szCs w:val="23"/>
          <w:rtl/>
        </w:rPr>
        <w:softHyphen/>
      </w:r>
      <w:r w:rsidRPr="0026684F">
        <w:rPr>
          <w:rFonts w:eastAsiaTheme="minorEastAsia" w:hint="cs"/>
          <w:i/>
          <w:sz w:val="23"/>
          <w:szCs w:val="23"/>
          <w:rtl/>
        </w:rPr>
        <w:t xml:space="preserve">ی اول را برای </w:t>
      </w:r>
      <w:r w:rsidRPr="00703635">
        <w:rPr>
          <w:position w:val="-8"/>
        </w:rPr>
        <w:object w:dxaOrig="660" w:dyaOrig="279" w14:anchorId="71D0A0CD">
          <v:shape id="_x0000_i2820" type="#_x0000_t75" style="width:32.65pt;height:13.9pt" o:ole="">
            <v:imagedata r:id="rId3626" o:title=""/>
          </v:shape>
          <o:OLEObject Type="Embed" ProgID="Equation.DSMT4" ShapeID="_x0000_i2820" DrawAspect="Content" ObjectID="_1791376764" r:id="rId3627"/>
        </w:object>
      </w:r>
      <w:r w:rsidRPr="0026684F">
        <w:rPr>
          <w:rFonts w:eastAsiaTheme="minorEastAsia" w:hint="cs"/>
          <w:i/>
          <w:sz w:val="23"/>
          <w:szCs w:val="23"/>
          <w:rtl/>
        </w:rPr>
        <w:t xml:space="preserve"> در نظر گیریم، آنگاه داریم</w:t>
      </w:r>
    </w:p>
    <w:p w14:paraId="2D5FC101"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34"/>
        </w:rPr>
        <w:object w:dxaOrig="3080" w:dyaOrig="720" w14:anchorId="6BB5D3F4">
          <v:shape id="_x0000_i2821" type="#_x0000_t75" style="width:154.3pt;height:36.3pt" o:ole="">
            <v:imagedata r:id="rId3628" o:title=""/>
          </v:shape>
          <o:OLEObject Type="Embed" ProgID="Equation.DSMT4" ShapeID="_x0000_i2821" DrawAspect="Content" ObjectID="_1791376765" r:id="rId3629"/>
        </w:object>
      </w:r>
    </w:p>
    <w:p w14:paraId="4D7C19C1" w14:textId="77777777" w:rsidR="00411620" w:rsidRPr="0026684F" w:rsidRDefault="00411620" w:rsidP="00411620">
      <w:pPr>
        <w:pStyle w:val="MTDisplayEquation"/>
        <w:bidi/>
        <w:spacing w:line="216" w:lineRule="auto"/>
        <w:rPr>
          <w:rFonts w:ascii="Times New Roman" w:eastAsiaTheme="minorEastAsia" w:hAnsi="Times New Roman" w:cs="B Nazanin"/>
          <w:i/>
          <w:sz w:val="23"/>
          <w:szCs w:val="23"/>
          <w:rtl/>
        </w:rPr>
      </w:pPr>
      <w:r w:rsidRPr="0026684F">
        <w:rPr>
          <w:rFonts w:ascii="Times New Roman" w:eastAsiaTheme="minorEastAsia" w:hAnsi="Times New Roman" w:cs="B Nazanin" w:hint="cs"/>
          <w:i/>
          <w:sz w:val="23"/>
          <w:szCs w:val="23"/>
          <w:rtl/>
        </w:rPr>
        <w:t xml:space="preserve">و در معادله سوم برای </w:t>
      </w:r>
      <w:r w:rsidRPr="0026684F">
        <w:rPr>
          <w:rFonts w:ascii="Times New Roman" w:eastAsiaTheme="minorEastAsia" w:hAnsi="Times New Roman" w:cs="B Nazanin"/>
          <w:i/>
          <w:sz w:val="23"/>
          <w:szCs w:val="23"/>
        </w:rPr>
        <w:t>s=1</w:t>
      </w:r>
      <w:r w:rsidRPr="0026684F">
        <w:rPr>
          <w:rFonts w:ascii="Times New Roman" w:eastAsiaTheme="minorEastAsia" w:hAnsi="Times New Roman" w:cs="B Nazanin" w:hint="cs"/>
          <w:i/>
          <w:sz w:val="23"/>
          <w:szCs w:val="23"/>
          <w:rtl/>
        </w:rPr>
        <w:t xml:space="preserve"> قرار دهیم، خواهیم داشت: </w:t>
      </w:r>
    </w:p>
    <w:p w14:paraId="2CF4EB83"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18"/>
        </w:rPr>
        <w:object w:dxaOrig="2920" w:dyaOrig="460" w14:anchorId="39911EAB">
          <v:shape id="_x0000_i2822" type="#_x0000_t75" style="width:145.8pt;height:23pt" o:ole="">
            <v:imagedata r:id="rId3630" o:title=""/>
          </v:shape>
          <o:OLEObject Type="Embed" ProgID="Equation.DSMT4" ShapeID="_x0000_i2822" DrawAspect="Content" ObjectID="_1791376766" r:id="rId3631"/>
        </w:object>
      </w:r>
    </w:p>
    <w:p w14:paraId="4AFBD7BB"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لذا با جایگزینی</w:t>
      </w:r>
      <w:r w:rsidRPr="00703635">
        <w:rPr>
          <w:position w:val="-10"/>
        </w:rPr>
        <w:object w:dxaOrig="340" w:dyaOrig="320" w14:anchorId="0F5256AC">
          <v:shape id="_x0000_i2823" type="#_x0000_t75" style="width:16.95pt;height:15.75pt" o:ole="">
            <v:imagedata r:id="rId3632" o:title=""/>
          </v:shape>
          <o:OLEObject Type="Embed" ProgID="Equation.DSMT4" ShapeID="_x0000_i2823" DrawAspect="Content" ObjectID="_1791376767" r:id="rId3633"/>
        </w:object>
      </w:r>
      <w:r w:rsidRPr="0026684F">
        <w:rPr>
          <w:rFonts w:hint="cs"/>
          <w:sz w:val="23"/>
          <w:szCs w:val="23"/>
          <w:rtl/>
        </w:rPr>
        <w:t>و</w:t>
      </w:r>
      <w:r w:rsidRPr="00703635">
        <w:rPr>
          <w:position w:val="-10"/>
        </w:rPr>
        <w:object w:dxaOrig="420" w:dyaOrig="320" w14:anchorId="64D3C213">
          <v:shape id="_x0000_i2824" type="#_x0000_t75" style="width:21.2pt;height:15.75pt" o:ole="">
            <v:imagedata r:id="rId3634" o:title=""/>
          </v:shape>
          <o:OLEObject Type="Embed" ProgID="Equation.DSMT4" ShapeID="_x0000_i2824" DrawAspect="Content" ObjectID="_1791376768" r:id="rId3635"/>
        </w:object>
      </w:r>
      <w:r w:rsidRPr="0026684F">
        <w:rPr>
          <w:rFonts w:hint="cs"/>
          <w:sz w:val="23"/>
          <w:szCs w:val="23"/>
          <w:rtl/>
        </w:rPr>
        <w:t xml:space="preserve"> </w:t>
      </w:r>
      <w:r w:rsidRPr="0026684F">
        <w:rPr>
          <w:rFonts w:eastAsiaTheme="minorEastAsia" w:hint="cs"/>
          <w:i/>
          <w:sz w:val="23"/>
          <w:szCs w:val="23"/>
          <w:rtl/>
        </w:rPr>
        <w:t>داریم:</w:t>
      </w:r>
    </w:p>
    <w:p w14:paraId="3A90044A"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34"/>
        </w:rPr>
        <w:object w:dxaOrig="3320" w:dyaOrig="780" w14:anchorId="2AC93895">
          <v:shape id="_x0000_i2825" type="#_x0000_t75" style="width:165.8pt;height:39.35pt" o:ole="">
            <v:imagedata r:id="rId3636" o:title=""/>
          </v:shape>
          <o:OLEObject Type="Embed" ProgID="Equation.DSMT4" ShapeID="_x0000_i2825" DrawAspect="Content" ObjectID="_1791376769" r:id="rId3637"/>
        </w:object>
      </w:r>
    </w:p>
    <w:p w14:paraId="42015F2D"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lastRenderedPageBreak/>
        <w:t>که همان معادله اویلر است.</w:t>
      </w:r>
      <w:r w:rsidRPr="0026684F">
        <w:rPr>
          <w:rFonts w:eastAsiaTheme="minorEastAsia"/>
          <w:i/>
          <w:sz w:val="23"/>
          <w:szCs w:val="23"/>
        </w:rPr>
        <w:t xml:space="preserve"> </w:t>
      </w:r>
      <w:r w:rsidRPr="0026684F">
        <w:rPr>
          <w:rFonts w:eastAsiaTheme="minorEastAsia" w:hint="cs"/>
          <w:i/>
          <w:sz w:val="23"/>
          <w:szCs w:val="23"/>
          <w:rtl/>
        </w:rPr>
        <w:t>در بلندمدت</w:t>
      </w:r>
      <w:r w:rsidRPr="00703635">
        <w:rPr>
          <w:position w:val="-12"/>
        </w:rPr>
        <w:object w:dxaOrig="1040" w:dyaOrig="340" w14:anchorId="048C7244">
          <v:shape id="_x0000_i2826" type="#_x0000_t75" style="width:52.05pt;height:16.95pt" o:ole="">
            <v:imagedata r:id="rId3638" o:title=""/>
          </v:shape>
          <o:OLEObject Type="Embed" ProgID="Equation.DSMT4" ShapeID="_x0000_i2826" DrawAspect="Content" ObjectID="_1791376770" r:id="rId3639"/>
        </w:object>
      </w:r>
      <w:r w:rsidRPr="0026684F">
        <w:rPr>
          <w:rFonts w:eastAsiaTheme="minorEastAsia" w:hint="cs"/>
          <w:i/>
          <w:sz w:val="23"/>
          <w:szCs w:val="23"/>
          <w:rtl/>
        </w:rPr>
        <w:t>،</w:t>
      </w:r>
      <w:r w:rsidRPr="00703635">
        <w:rPr>
          <w:position w:val="-10"/>
        </w:rPr>
        <w:object w:dxaOrig="1160" w:dyaOrig="340" w14:anchorId="1B084EC8">
          <v:shape id="_x0000_i2827" type="#_x0000_t75" style="width:58.1pt;height:16.95pt" o:ole="">
            <v:imagedata r:id="rId3640" o:title=""/>
          </v:shape>
          <o:OLEObject Type="Embed" ProgID="Equation.DSMT4" ShapeID="_x0000_i2827" DrawAspect="Content" ObjectID="_1791376771" r:id="rId3641"/>
        </w:object>
      </w:r>
      <w:r w:rsidRPr="0026684F">
        <w:rPr>
          <w:rFonts w:eastAsiaTheme="minorEastAsia" w:hint="cs"/>
          <w:i/>
          <w:sz w:val="23"/>
          <w:szCs w:val="23"/>
          <w:rtl/>
        </w:rPr>
        <w:t>،</w:t>
      </w:r>
      <w:r w:rsidRPr="00703635">
        <w:rPr>
          <w:position w:val="-10"/>
        </w:rPr>
        <w:object w:dxaOrig="780" w:dyaOrig="340" w14:anchorId="28C30B5A">
          <v:shape id="_x0000_i2828" type="#_x0000_t75" style="width:39.35pt;height:16.95pt" o:ole="">
            <v:imagedata r:id="rId3642" o:title=""/>
          </v:shape>
          <o:OLEObject Type="Embed" ProgID="Equation.DSMT4" ShapeID="_x0000_i2828" DrawAspect="Content" ObjectID="_1791376772" r:id="rId3643"/>
        </w:object>
      </w:r>
      <w:r w:rsidRPr="0026684F">
        <w:rPr>
          <w:rFonts w:hint="cs"/>
          <w:i/>
          <w:sz w:val="23"/>
          <w:szCs w:val="23"/>
          <w:rtl/>
        </w:rPr>
        <w:t xml:space="preserve"> </w:t>
      </w:r>
      <w:r w:rsidRPr="0026684F">
        <w:rPr>
          <w:rFonts w:eastAsiaTheme="minorEastAsia" w:hint="cs"/>
          <w:i/>
          <w:sz w:val="23"/>
          <w:szCs w:val="23"/>
          <w:rtl/>
        </w:rPr>
        <w:t xml:space="preserve">و </w:t>
      </w:r>
      <w:r w:rsidRPr="00703635">
        <w:rPr>
          <w:position w:val="-10"/>
        </w:rPr>
        <w:object w:dxaOrig="740" w:dyaOrig="340" w14:anchorId="5D97341D">
          <v:shape id="_x0000_i2829" type="#_x0000_t75" style="width:36.9pt;height:16.95pt" o:ole="">
            <v:imagedata r:id="rId3644" o:title=""/>
          </v:shape>
          <o:OLEObject Type="Embed" ProgID="Equation.DSMT4" ShapeID="_x0000_i2829" DrawAspect="Content" ObjectID="_1791376773" r:id="rId3645"/>
        </w:object>
      </w:r>
      <w:r w:rsidRPr="0026684F">
        <w:rPr>
          <w:rFonts w:eastAsiaTheme="minorEastAsia" w:hint="cs"/>
          <w:i/>
          <w:sz w:val="23"/>
          <w:szCs w:val="23"/>
          <w:rtl/>
        </w:rPr>
        <w:t xml:space="preserve"> لذا </w:t>
      </w:r>
    </w:p>
    <w:p w14:paraId="49AD2873" w14:textId="77777777" w:rsidR="00411620" w:rsidRPr="0026684F" w:rsidRDefault="00411620" w:rsidP="00411620">
      <w:pPr>
        <w:tabs>
          <w:tab w:val="left" w:pos="1215"/>
        </w:tabs>
        <w:bidi w:val="0"/>
        <w:spacing w:line="216" w:lineRule="auto"/>
        <w:rPr>
          <w:rFonts w:eastAsiaTheme="minorEastAsia"/>
          <w:i/>
          <w:sz w:val="23"/>
          <w:szCs w:val="23"/>
          <w:rtl/>
        </w:rPr>
      </w:pPr>
      <w:r w:rsidRPr="00703635">
        <w:rPr>
          <w:position w:val="-18"/>
        </w:rPr>
        <w:object w:dxaOrig="1980" w:dyaOrig="460" w14:anchorId="0CB73420">
          <v:shape id="_x0000_i2830" type="#_x0000_t75" style="width:99.25pt;height:23pt" o:ole="">
            <v:imagedata r:id="rId3646" o:title=""/>
          </v:shape>
          <o:OLEObject Type="Embed" ProgID="Equation.DSMT4" ShapeID="_x0000_i2830" DrawAspect="Content" ObjectID="_1791376774" r:id="rId3647"/>
        </w:object>
      </w:r>
      <w:r w:rsidRPr="0026684F">
        <w:rPr>
          <w:rFonts w:eastAsiaTheme="minorEastAsia"/>
          <w:i/>
          <w:sz w:val="23"/>
          <w:szCs w:val="23"/>
        </w:rPr>
        <w:t xml:space="preserve"> </w:t>
      </w:r>
      <w:r w:rsidRPr="0026684F">
        <w:rPr>
          <w:rFonts w:eastAsiaTheme="minorEastAsia"/>
          <w:i/>
          <w:sz w:val="23"/>
          <w:szCs w:val="23"/>
          <w:rtl/>
        </w:rPr>
        <w:tab/>
      </w:r>
      <w:r w:rsidRPr="0026684F">
        <w:rPr>
          <w:rFonts w:eastAsiaTheme="minorEastAsia"/>
          <w:i/>
          <w:sz w:val="23"/>
          <w:szCs w:val="23"/>
        </w:rPr>
        <w:t xml:space="preserve"> </w:t>
      </w:r>
      <w:r w:rsidRPr="0026684F">
        <w:rPr>
          <w:rFonts w:eastAsiaTheme="minorEastAsia"/>
          <w:i/>
          <w:sz w:val="23"/>
          <w:szCs w:val="23"/>
          <w:rtl/>
        </w:rPr>
        <w:tab/>
      </w:r>
      <w:r w:rsidRPr="0026684F">
        <w:rPr>
          <w:rFonts w:eastAsiaTheme="minorEastAsia"/>
          <w:i/>
          <w:sz w:val="23"/>
          <w:szCs w:val="23"/>
          <w:rtl/>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tl/>
        </w:rPr>
        <w:tab/>
      </w:r>
      <w:r w:rsidRPr="0026684F">
        <w:rPr>
          <w:rFonts w:eastAsiaTheme="minorEastAsia"/>
          <w:i/>
          <w:sz w:val="23"/>
          <w:szCs w:val="23"/>
          <w:rtl/>
        </w:rPr>
        <w:tab/>
      </w:r>
      <w:r>
        <w:rPr>
          <w:rFonts w:eastAsiaTheme="minorEastAsia"/>
          <w:i/>
          <w:sz w:val="23"/>
          <w:szCs w:val="23"/>
          <w:rtl/>
        </w:rPr>
        <w:tab/>
      </w:r>
      <w:r w:rsidRPr="0026684F">
        <w:rPr>
          <w:i/>
          <w:sz w:val="23"/>
          <w:szCs w:val="23"/>
        </w:rPr>
        <w:tab/>
      </w:r>
      <w:r w:rsidRPr="0026684F">
        <w:rPr>
          <w:rFonts w:hint="cs"/>
          <w:i/>
          <w:sz w:val="23"/>
          <w:szCs w:val="23"/>
          <w:rtl/>
        </w:rPr>
        <w:t>(۵. ۲۷)</w:t>
      </w:r>
    </w:p>
    <w:p w14:paraId="12F59B39"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و چون از رابطه</w:t>
      </w:r>
      <w:r w:rsidRPr="0026684F">
        <w:rPr>
          <w:rFonts w:eastAsiaTheme="minorEastAsia"/>
          <w:i/>
          <w:sz w:val="23"/>
          <w:szCs w:val="23"/>
          <w:rtl/>
        </w:rPr>
        <w:softHyphen/>
      </w:r>
      <w:r w:rsidRPr="0026684F">
        <w:rPr>
          <w:rFonts w:eastAsiaTheme="minorEastAsia" w:hint="cs"/>
          <w:i/>
          <w:sz w:val="23"/>
          <w:szCs w:val="23"/>
          <w:rtl/>
        </w:rPr>
        <w:t>ی</w:t>
      </w:r>
      <w:r w:rsidRPr="0026684F">
        <w:rPr>
          <w:rFonts w:hint="cs"/>
          <w:i/>
          <w:sz w:val="23"/>
          <w:szCs w:val="23"/>
          <w:rtl/>
        </w:rPr>
        <w:t xml:space="preserve"> (۵. ۲۶)</w:t>
      </w:r>
      <w:r w:rsidRPr="0026684F">
        <w:rPr>
          <w:rFonts w:eastAsiaTheme="minorEastAsia" w:hint="cs"/>
          <w:i/>
          <w:sz w:val="23"/>
          <w:szCs w:val="23"/>
          <w:rtl/>
        </w:rPr>
        <w:t xml:space="preserve"> داشتیم</w:t>
      </w:r>
    </w:p>
    <w:p w14:paraId="73508C35" w14:textId="77777777" w:rsidR="00411620" w:rsidRPr="0026684F" w:rsidRDefault="00411620" w:rsidP="00411620">
      <w:pPr>
        <w:tabs>
          <w:tab w:val="left" w:pos="1215"/>
        </w:tabs>
        <w:bidi w:val="0"/>
        <w:spacing w:line="216" w:lineRule="auto"/>
        <w:rPr>
          <w:rFonts w:eastAsiaTheme="minorEastAsia"/>
          <w:i/>
          <w:sz w:val="23"/>
          <w:szCs w:val="23"/>
          <w:rtl/>
        </w:rPr>
      </w:pPr>
      <w:r w:rsidRPr="00703635">
        <w:rPr>
          <w:position w:val="-10"/>
        </w:rPr>
        <w:object w:dxaOrig="1560" w:dyaOrig="340" w14:anchorId="6B575F34">
          <v:shape id="_x0000_i2831" type="#_x0000_t75" style="width:78.05pt;height:16.95pt" o:ole="">
            <v:imagedata r:id="rId3648" o:title=""/>
          </v:shape>
          <o:OLEObject Type="Embed" ProgID="Equation.DSMT4" ShapeID="_x0000_i2831" DrawAspect="Content" ObjectID="_1791376775" r:id="rId3649"/>
        </w:object>
      </w:r>
      <w:r w:rsidRPr="0026684F">
        <w:rPr>
          <w:rFonts w:eastAsiaTheme="minorEastAsia"/>
          <w:i/>
          <w:sz w:val="23"/>
          <w:szCs w:val="23"/>
        </w:rPr>
        <w:t xml:space="preserve"> </w:t>
      </w:r>
    </w:p>
    <w:p w14:paraId="741FB76D"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و در بلندمدت</w:t>
      </w:r>
    </w:p>
    <w:p w14:paraId="7FCCB945" w14:textId="77777777" w:rsidR="00411620" w:rsidRPr="0026684F" w:rsidRDefault="00411620" w:rsidP="00411620">
      <w:pPr>
        <w:tabs>
          <w:tab w:val="left" w:pos="1215"/>
        </w:tabs>
        <w:bidi w:val="0"/>
        <w:spacing w:line="216" w:lineRule="auto"/>
        <w:rPr>
          <w:rFonts w:eastAsiaTheme="minorEastAsia"/>
          <w:i/>
          <w:sz w:val="23"/>
          <w:szCs w:val="23"/>
          <w:lang w:val="en-GB"/>
        </w:rPr>
      </w:pPr>
      <w:r w:rsidRPr="0026684F">
        <w:rPr>
          <w:rFonts w:eastAsiaTheme="minorEastAsia" w:hint="cs"/>
          <w:i/>
          <w:sz w:val="23"/>
          <w:szCs w:val="23"/>
          <w:rtl/>
        </w:rPr>
        <w:t xml:space="preserve"> </w:t>
      </w:r>
      <w:r w:rsidRPr="00703635">
        <w:rPr>
          <w:position w:val="-8"/>
        </w:rPr>
        <w:object w:dxaOrig="1300" w:dyaOrig="320" w14:anchorId="11EC34D8">
          <v:shape id="_x0000_i2832" type="#_x0000_t75" style="width:64.75pt;height:15.75pt" o:ole="">
            <v:imagedata r:id="rId3650" o:title=""/>
          </v:shape>
          <o:OLEObject Type="Embed" ProgID="Equation.DSMT4" ShapeID="_x0000_i2832" DrawAspect="Content" ObjectID="_1791376776" r:id="rId3651"/>
        </w:object>
      </w:r>
    </w:p>
    <w:p w14:paraId="6BEC82D3"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لذا</w:t>
      </w:r>
    </w:p>
    <w:p w14:paraId="6B63D51B"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16"/>
        </w:rPr>
        <w:object w:dxaOrig="2840" w:dyaOrig="420" w14:anchorId="2DB40C20">
          <v:shape id="_x0000_i2833" type="#_x0000_t75" style="width:142.2pt;height:21.2pt" o:ole="">
            <v:imagedata r:id="rId3652" o:title=""/>
          </v:shape>
          <o:OLEObject Type="Embed" ProgID="Equation.DSMT4" ShapeID="_x0000_i2833" DrawAspect="Content" ObjectID="_1791376777" r:id="rId3653"/>
        </w:object>
      </w:r>
    </w:p>
    <w:p w14:paraId="6FF361C5"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و یا</w:t>
      </w:r>
    </w:p>
    <w:p w14:paraId="66FAB13C" w14:textId="77777777" w:rsidR="00411620" w:rsidRPr="0026684F" w:rsidRDefault="00411620" w:rsidP="00411620">
      <w:pPr>
        <w:tabs>
          <w:tab w:val="left" w:pos="1215"/>
        </w:tabs>
        <w:bidi w:val="0"/>
        <w:spacing w:line="216" w:lineRule="auto"/>
        <w:rPr>
          <w:rFonts w:eastAsiaTheme="minorEastAsia"/>
          <w:i/>
          <w:sz w:val="23"/>
          <w:szCs w:val="23"/>
          <w:rtl/>
        </w:rPr>
      </w:pPr>
      <w:r w:rsidRPr="00703635">
        <w:rPr>
          <w:position w:val="-22"/>
        </w:rPr>
        <w:object w:dxaOrig="2240" w:dyaOrig="560" w14:anchorId="6F41F04E">
          <v:shape id="_x0000_i2834" type="#_x0000_t75" style="width:111.95pt;height:27.85pt" o:ole="">
            <v:imagedata r:id="rId3654" o:title=""/>
          </v:shape>
          <o:OLEObject Type="Embed" ProgID="Equation.DSMT4" ShapeID="_x0000_i2834" DrawAspect="Content" ObjectID="_1791376778" r:id="rId3655"/>
        </w:object>
      </w:r>
      <w:r w:rsidRPr="0026684F">
        <w:rPr>
          <w:rFonts w:eastAsiaTheme="minorEastAsia"/>
          <w:i/>
          <w:sz w:val="23"/>
          <w:szCs w:val="23"/>
        </w:rPr>
        <w:t xml:space="preserve"> = </w:t>
      </w:r>
      <w:r w:rsidRPr="00703635">
        <w:rPr>
          <w:position w:val="-6"/>
        </w:rPr>
        <w:object w:dxaOrig="200" w:dyaOrig="260" w14:anchorId="4FACC184">
          <v:shape id="_x0000_i2835" type="#_x0000_t75" style="width:10.3pt;height:13.3pt" o:ole="">
            <v:imagedata r:id="rId3656" o:title=""/>
          </v:shape>
          <o:OLEObject Type="Embed" ProgID="Equation.DSMT4" ShapeID="_x0000_i2835" DrawAspect="Content" ObjectID="_1791376779" r:id="rId3657"/>
        </w:object>
      </w:r>
    </w:p>
    <w:p w14:paraId="3A6E2F93" w14:textId="77777777" w:rsidR="00411620" w:rsidRPr="0026684F" w:rsidRDefault="00411620" w:rsidP="00411620">
      <w:pPr>
        <w:tabs>
          <w:tab w:val="left" w:pos="1215"/>
        </w:tabs>
        <w:spacing w:line="216" w:lineRule="auto"/>
        <w:rPr>
          <w:rFonts w:eastAsiaTheme="minorEastAsia"/>
          <w:i/>
          <w:sz w:val="23"/>
          <w:szCs w:val="23"/>
        </w:rPr>
      </w:pPr>
      <w:r w:rsidRPr="0026684F">
        <w:rPr>
          <w:rFonts w:eastAsiaTheme="minorEastAsia" w:hint="cs"/>
          <w:i/>
          <w:sz w:val="23"/>
          <w:szCs w:val="23"/>
          <w:rtl/>
        </w:rPr>
        <w:t>اگر رابطه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۲۴)</w:t>
      </w:r>
      <w:r w:rsidRPr="0026684F">
        <w:rPr>
          <w:rFonts w:eastAsiaTheme="minorEastAsia" w:hint="cs"/>
          <w:i/>
          <w:sz w:val="23"/>
          <w:szCs w:val="23"/>
          <w:rtl/>
        </w:rPr>
        <w:t xml:space="preserve"> را بازنویسی کنیم خواهیم داشت </w:t>
      </w:r>
    </w:p>
    <w:p w14:paraId="30240002"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30"/>
        </w:rPr>
        <w:object w:dxaOrig="1579" w:dyaOrig="680" w14:anchorId="3188D56C">
          <v:shape id="_x0000_i2836" type="#_x0000_t75" style="width:79.25pt;height:33.9pt" o:ole="">
            <v:imagedata r:id="rId3658" o:title=""/>
          </v:shape>
          <o:OLEObject Type="Embed" ProgID="Equation.DSMT4" ShapeID="_x0000_i2836" DrawAspect="Content" ObjectID="_1791376780" r:id="rId3659"/>
        </w:object>
      </w:r>
    </w:p>
    <w:p w14:paraId="70210BE3"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در این رابطه چنانچه نرخ مالیات بر مصرف</w:t>
      </w:r>
      <w:r w:rsidRPr="00703635">
        <w:rPr>
          <w:position w:val="-10"/>
        </w:rPr>
        <w:object w:dxaOrig="240" w:dyaOrig="340" w14:anchorId="69705C5C">
          <v:shape id="_x0000_i2837" type="#_x0000_t75" style="width:11.5pt;height:16.95pt" o:ole="">
            <v:imagedata r:id="rId3660" o:title=""/>
          </v:shape>
          <o:OLEObject Type="Embed" ProgID="Equation.DSMT4" ShapeID="_x0000_i2837" DrawAspect="Content" ObjectID="_1791376781" r:id="rId3661"/>
        </w:object>
      </w:r>
      <w:r w:rsidRPr="0026684F">
        <w:rPr>
          <w:rFonts w:eastAsiaTheme="minorEastAsia" w:hint="cs"/>
          <w:i/>
          <w:sz w:val="23"/>
          <w:szCs w:val="23"/>
          <w:rtl/>
        </w:rPr>
        <w:t xml:space="preserve"> افزایش یابد، آنگاه برای اینکه برابری فوق همواره برقرار باشد باید مطلوبیت نهایی حاصل از مصرف</w:t>
      </w:r>
      <w:r w:rsidRPr="00703635">
        <w:rPr>
          <w:position w:val="-12"/>
        </w:rPr>
        <w:object w:dxaOrig="360" w:dyaOrig="340" w14:anchorId="1694243E">
          <v:shape id="_x0000_i2838" type="#_x0000_t75" style="width:18.15pt;height:16.95pt" o:ole="">
            <v:imagedata r:id="rId3662" o:title=""/>
          </v:shape>
          <o:OLEObject Type="Embed" ProgID="Equation.DSMT4" ShapeID="_x0000_i2838" DrawAspect="Content" ObjectID="_1791376782" r:id="rId3663"/>
        </w:object>
      </w:r>
      <w:r w:rsidRPr="0026684F">
        <w:rPr>
          <w:rFonts w:eastAsiaTheme="minorEastAsia" w:hint="cs"/>
          <w:i/>
          <w:sz w:val="23"/>
          <w:szCs w:val="23"/>
          <w:rtl/>
        </w:rPr>
        <w:t xml:space="preserve"> نیز افزایش و یا به تعبیری مصرف کاهش یابد. چنانچه نرخ مالیات بر دستمزد</w:t>
      </w:r>
      <w:r w:rsidRPr="00703635">
        <w:rPr>
          <w:position w:val="-10"/>
        </w:rPr>
        <w:object w:dxaOrig="279" w:dyaOrig="340" w14:anchorId="4C3F2ACD">
          <v:shape id="_x0000_i2839" type="#_x0000_t75" style="width:13.9pt;height:16.95pt" o:ole="">
            <v:imagedata r:id="rId3664" o:title=""/>
          </v:shape>
          <o:OLEObject Type="Embed" ProgID="Equation.DSMT4" ShapeID="_x0000_i2839" DrawAspect="Content" ObjectID="_1791376783" r:id="rId3665"/>
        </w:object>
      </w:r>
      <w:r w:rsidRPr="0026684F">
        <w:rPr>
          <w:rFonts w:eastAsiaTheme="minorEastAsia" w:hint="cs"/>
          <w:i/>
          <w:sz w:val="23"/>
          <w:szCs w:val="23"/>
          <w:rtl/>
        </w:rPr>
        <w:t xml:space="preserve"> افزایش یابد، آنگاه برای اینکه برابری فوق همواره برقرار باشد یا باید دستمزد</w:t>
      </w:r>
      <w:r w:rsidRPr="00703635">
        <w:rPr>
          <w:position w:val="-10"/>
        </w:rPr>
        <w:object w:dxaOrig="260" w:dyaOrig="320" w14:anchorId="2E59D0DE">
          <v:shape id="_x0000_i2840" type="#_x0000_t75" style="width:13.3pt;height:15.75pt" o:ole="">
            <v:imagedata r:id="rId3666" o:title=""/>
          </v:shape>
          <o:OLEObject Type="Embed" ProgID="Equation.DSMT4" ShapeID="_x0000_i2840" DrawAspect="Content" ObjectID="_1791376784" r:id="rId3667"/>
        </w:object>
      </w:r>
      <w:r w:rsidRPr="0026684F">
        <w:rPr>
          <w:rFonts w:eastAsiaTheme="minorEastAsia" w:hint="cs"/>
          <w:i/>
          <w:sz w:val="23"/>
          <w:szCs w:val="23"/>
          <w:rtl/>
        </w:rPr>
        <w:t xml:space="preserve"> افزایش یابد و مطلوبیت نهایی حاصل از عرضه</w:t>
      </w:r>
      <w:r w:rsidRPr="0026684F">
        <w:rPr>
          <w:rFonts w:eastAsiaTheme="minorEastAsia"/>
          <w:i/>
          <w:sz w:val="23"/>
          <w:szCs w:val="23"/>
          <w:rtl/>
        </w:rPr>
        <w:softHyphen/>
      </w:r>
      <w:r w:rsidRPr="0026684F">
        <w:rPr>
          <w:rFonts w:eastAsiaTheme="minorEastAsia" w:hint="cs"/>
          <w:i/>
          <w:sz w:val="23"/>
          <w:szCs w:val="23"/>
          <w:rtl/>
        </w:rPr>
        <w:t>ی نیروی کار ثابت باشد و یا باید دستمزد ثابت باشد و مطلوبیت نهایی حاصل از فراغت نیروی کار</w:t>
      </w:r>
      <w:r w:rsidRPr="0026684F">
        <w:rPr>
          <w:rFonts w:eastAsiaTheme="minorEastAsia"/>
          <w:i/>
          <w:sz w:val="23"/>
          <w:szCs w:val="23"/>
        </w:rPr>
        <w:t xml:space="preserve"> </w:t>
      </w:r>
      <w:r w:rsidRPr="0026684F">
        <w:rPr>
          <w:rFonts w:eastAsiaTheme="minorEastAsia" w:hint="cs"/>
          <w:i/>
          <w:sz w:val="23"/>
          <w:szCs w:val="23"/>
          <w:rtl/>
        </w:rPr>
        <w:t>کاهش و یا به تعبیری فراغت افزایش و عرضه</w:t>
      </w:r>
      <w:r w:rsidRPr="0026684F">
        <w:rPr>
          <w:rFonts w:eastAsiaTheme="minorEastAsia"/>
          <w:i/>
          <w:sz w:val="23"/>
          <w:szCs w:val="23"/>
          <w:rtl/>
        </w:rPr>
        <w:softHyphen/>
      </w:r>
      <w:r w:rsidRPr="0026684F">
        <w:rPr>
          <w:rFonts w:eastAsiaTheme="minorEastAsia" w:hint="cs"/>
          <w:i/>
          <w:sz w:val="23"/>
          <w:szCs w:val="23"/>
          <w:rtl/>
        </w:rPr>
        <w:t>ی نیروی کار کاهش یابد. لذا اگر نرخ مالیات بر دستمزد افزایش یابد آنگاه ممکن است سطح دستمزد افزایش و یا عرضه</w:t>
      </w:r>
      <w:r w:rsidRPr="0026684F">
        <w:rPr>
          <w:rFonts w:eastAsiaTheme="minorEastAsia"/>
          <w:i/>
          <w:sz w:val="23"/>
          <w:szCs w:val="23"/>
          <w:rtl/>
        </w:rPr>
        <w:softHyphen/>
      </w:r>
      <w:r w:rsidRPr="0026684F">
        <w:rPr>
          <w:rFonts w:eastAsiaTheme="minorEastAsia" w:hint="cs"/>
          <w:i/>
          <w:sz w:val="23"/>
          <w:szCs w:val="23"/>
          <w:rtl/>
        </w:rPr>
        <w:t xml:space="preserve">ی نیروی کار کاهش </w:t>
      </w:r>
      <w:r w:rsidRPr="0026684F">
        <w:rPr>
          <w:rFonts w:eastAsiaTheme="minorEastAsia"/>
          <w:i/>
          <w:sz w:val="23"/>
          <w:szCs w:val="23"/>
          <w:rtl/>
        </w:rPr>
        <w:softHyphen/>
      </w:r>
      <w:r w:rsidRPr="0026684F">
        <w:rPr>
          <w:rFonts w:eastAsiaTheme="minorEastAsia" w:hint="cs"/>
          <w:i/>
          <w:sz w:val="23"/>
          <w:szCs w:val="23"/>
          <w:rtl/>
        </w:rPr>
        <w:t xml:space="preserve">یابد . </w:t>
      </w:r>
    </w:p>
    <w:p w14:paraId="3ED20863"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از رابطه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۲۷)</w:t>
      </w:r>
      <w:r w:rsidRPr="0026684F">
        <w:rPr>
          <w:rFonts w:eastAsiaTheme="minorEastAsia" w:hint="cs"/>
          <w:i/>
          <w:sz w:val="23"/>
          <w:szCs w:val="23"/>
          <w:rtl/>
        </w:rPr>
        <w:t xml:space="preserve"> اگر نرخ مالیات بر سرمایه</w:t>
      </w:r>
      <w:r w:rsidRPr="00703635">
        <w:rPr>
          <w:position w:val="-6"/>
        </w:rPr>
        <w:object w:dxaOrig="260" w:dyaOrig="300" w14:anchorId="46AE98AF">
          <v:shape id="_x0000_i2841" type="#_x0000_t75" style="width:13.3pt;height:14.5pt" o:ole="">
            <v:imagedata r:id="rId3668" o:title=""/>
          </v:shape>
          <o:OLEObject Type="Embed" ProgID="Equation.DSMT4" ShapeID="_x0000_i2841" DrawAspect="Content" ObjectID="_1791376785" r:id="rId3669"/>
        </w:object>
      </w:r>
      <w:r w:rsidRPr="0026684F">
        <w:rPr>
          <w:rFonts w:eastAsiaTheme="minorEastAsia" w:hint="cs"/>
          <w:i/>
          <w:sz w:val="23"/>
          <w:szCs w:val="23"/>
          <w:rtl/>
        </w:rPr>
        <w:t xml:space="preserve"> افزایش یابد، آنگاه برای آنکه رابطه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۲۷)</w:t>
      </w:r>
      <w:r w:rsidRPr="0026684F">
        <w:rPr>
          <w:rFonts w:eastAsiaTheme="minorEastAsia" w:hint="cs"/>
          <w:i/>
          <w:sz w:val="23"/>
          <w:szCs w:val="23"/>
          <w:rtl/>
        </w:rPr>
        <w:t xml:space="preserve"> همواره برقرار باشد باید نرخ بازده سرمایه</w:t>
      </w:r>
      <w:r w:rsidRPr="00025957">
        <w:rPr>
          <w:position w:val="-4"/>
        </w:rPr>
        <w:object w:dxaOrig="240" w:dyaOrig="279" w14:anchorId="332448B8">
          <v:shape id="_x0000_i2842" type="#_x0000_t75" style="width:11.5pt;height:13.9pt" o:ole="">
            <v:imagedata r:id="rId3670" o:title=""/>
          </v:shape>
          <o:OLEObject Type="Embed" ProgID="Equation.DSMT4" ShapeID="_x0000_i2842" DrawAspect="Content" ObjectID="_1791376786" r:id="rId3671"/>
        </w:object>
      </w:r>
      <w:r w:rsidRPr="0026684F">
        <w:rPr>
          <w:rFonts w:eastAsiaTheme="minorEastAsia" w:hint="cs"/>
          <w:i/>
          <w:sz w:val="23"/>
          <w:szCs w:val="23"/>
          <w:rtl/>
        </w:rPr>
        <w:t xml:space="preserve"> نیز افزایش یابد. از طرفی چون</w:t>
      </w:r>
      <w:r w:rsidRPr="00703635">
        <w:rPr>
          <w:position w:val="-10"/>
        </w:rPr>
        <w:object w:dxaOrig="1060" w:dyaOrig="340" w14:anchorId="120677D7">
          <v:shape id="_x0000_i2843" type="#_x0000_t75" style="width:53.25pt;height:16.95pt" o:ole="">
            <v:imagedata r:id="rId3672" o:title=""/>
          </v:shape>
          <o:OLEObject Type="Embed" ProgID="Equation.DSMT4" ShapeID="_x0000_i2843" DrawAspect="Content" ObjectID="_1791376787" r:id="rId3673"/>
        </w:object>
      </w:r>
      <w:r w:rsidRPr="0026684F">
        <w:rPr>
          <w:rFonts w:eastAsiaTheme="minorEastAsia" w:hint="cs"/>
          <w:i/>
          <w:sz w:val="23"/>
          <w:szCs w:val="23"/>
          <w:rtl/>
        </w:rPr>
        <w:t xml:space="preserve"> است لذا با فرض ثابت بودن نرخ استهلاک، تولید نهایی سرمایه </w:t>
      </w:r>
      <w:r w:rsidRPr="00703635">
        <w:rPr>
          <w:position w:val="-10"/>
        </w:rPr>
        <w:object w:dxaOrig="279" w:dyaOrig="320" w14:anchorId="1D30210A">
          <v:shape id="_x0000_i2844" type="#_x0000_t75" style="width:13.9pt;height:15.75pt" o:ole="">
            <v:imagedata r:id="rId3674" o:title=""/>
          </v:shape>
          <o:OLEObject Type="Embed" ProgID="Equation.DSMT4" ShapeID="_x0000_i2844" DrawAspect="Content" ObjectID="_1791376788" r:id="rId3675"/>
        </w:object>
      </w:r>
      <w:r w:rsidRPr="0026684F">
        <w:rPr>
          <w:rFonts w:eastAsiaTheme="minorEastAsia" w:hint="cs"/>
          <w:i/>
          <w:sz w:val="23"/>
          <w:szCs w:val="23"/>
          <w:rtl/>
        </w:rPr>
        <w:t xml:space="preserve"> نیز افزایش یافته و چون </w:t>
      </w:r>
      <w:r w:rsidRPr="00703635">
        <w:rPr>
          <w:position w:val="-10"/>
        </w:rPr>
        <w:object w:dxaOrig="720" w:dyaOrig="320" w14:anchorId="5A703D5F">
          <v:shape id="_x0000_i2845" type="#_x0000_t75" style="width:36.3pt;height:15.75pt" o:ole="">
            <v:imagedata r:id="rId3676" o:title=""/>
          </v:shape>
          <o:OLEObject Type="Embed" ProgID="Equation.DSMT4" ShapeID="_x0000_i2845" DrawAspect="Content" ObjectID="_1791376789" r:id="rId3677"/>
        </w:object>
      </w:r>
      <w:r w:rsidRPr="0026684F">
        <w:rPr>
          <w:rFonts w:eastAsiaTheme="minorEastAsia" w:hint="cs"/>
          <w:i/>
          <w:sz w:val="23"/>
          <w:szCs w:val="23"/>
          <w:rtl/>
        </w:rPr>
        <w:t xml:space="preserve"> است لذا موجودی سرمایه</w:t>
      </w:r>
      <w:r w:rsidRPr="0026684F">
        <w:rPr>
          <w:rFonts w:eastAsiaTheme="minorEastAsia"/>
          <w:i/>
          <w:sz w:val="23"/>
          <w:szCs w:val="23"/>
          <w:rtl/>
        </w:rPr>
        <w:softHyphen/>
      </w:r>
      <w:r w:rsidRPr="0026684F">
        <w:rPr>
          <w:rFonts w:eastAsiaTheme="minorEastAsia" w:hint="cs"/>
          <w:i/>
          <w:sz w:val="23"/>
          <w:szCs w:val="23"/>
          <w:rtl/>
        </w:rPr>
        <w:t>ی بهینه کاهش خواهد یافت. به تبع کاهش موجودی سرمایه</w:t>
      </w:r>
      <w:r w:rsidRPr="0026684F">
        <w:rPr>
          <w:rFonts w:eastAsiaTheme="minorEastAsia"/>
          <w:i/>
          <w:sz w:val="23"/>
          <w:szCs w:val="23"/>
          <w:rtl/>
        </w:rPr>
        <w:softHyphen/>
      </w:r>
      <w:r w:rsidRPr="0026684F">
        <w:rPr>
          <w:rFonts w:eastAsiaTheme="minorEastAsia" w:hint="cs"/>
          <w:i/>
          <w:sz w:val="23"/>
          <w:szCs w:val="23"/>
          <w:rtl/>
        </w:rPr>
        <w:t>ی بهینه، تولید بهینه و سپس مصرف بهینه نیز کاهش خواهند یافت. لذا بر خلاف مالیات یکجا و مالیات تناسبی بر تولید، این نوع مالیات</w:t>
      </w:r>
      <w:r w:rsidRPr="0026684F">
        <w:rPr>
          <w:rFonts w:eastAsiaTheme="minorEastAsia"/>
          <w:i/>
          <w:sz w:val="23"/>
          <w:szCs w:val="23"/>
          <w:rtl/>
        </w:rPr>
        <w:softHyphen/>
      </w:r>
      <w:r w:rsidRPr="0026684F">
        <w:rPr>
          <w:rFonts w:eastAsiaTheme="minorEastAsia" w:hint="cs"/>
          <w:i/>
          <w:sz w:val="23"/>
          <w:szCs w:val="23"/>
          <w:rtl/>
        </w:rPr>
        <w:t>ها بر روابط نهایی تصمیمات خانوار بر مصرف، عرضه</w:t>
      </w:r>
      <w:r w:rsidRPr="0026684F">
        <w:rPr>
          <w:rFonts w:eastAsiaTheme="minorEastAsia"/>
          <w:i/>
          <w:sz w:val="23"/>
          <w:szCs w:val="23"/>
          <w:rtl/>
        </w:rPr>
        <w:softHyphen/>
      </w:r>
      <w:r w:rsidRPr="0026684F">
        <w:rPr>
          <w:rFonts w:eastAsiaTheme="minorEastAsia" w:hint="cs"/>
          <w:i/>
          <w:sz w:val="23"/>
          <w:szCs w:val="23"/>
          <w:rtl/>
        </w:rPr>
        <w:t>ی نیروی کار و سرمایه تاثیر می</w:t>
      </w:r>
      <w:r w:rsidRPr="0026684F">
        <w:rPr>
          <w:rFonts w:eastAsiaTheme="minorEastAsia"/>
          <w:i/>
          <w:sz w:val="23"/>
          <w:szCs w:val="23"/>
          <w:rtl/>
        </w:rPr>
        <w:softHyphen/>
      </w:r>
      <w:r w:rsidRPr="0026684F">
        <w:rPr>
          <w:rFonts w:eastAsiaTheme="minorEastAsia" w:hint="cs"/>
          <w:i/>
          <w:sz w:val="23"/>
          <w:szCs w:val="23"/>
          <w:rtl/>
        </w:rPr>
        <w:t>گذارند و اختلال</w:t>
      </w:r>
      <w:r w:rsidRPr="0026684F">
        <w:rPr>
          <w:rFonts w:eastAsiaTheme="minorEastAsia"/>
          <w:i/>
          <w:sz w:val="23"/>
          <w:szCs w:val="23"/>
          <w:rtl/>
        </w:rPr>
        <w:softHyphen/>
      </w:r>
      <w:r w:rsidRPr="0026684F">
        <w:rPr>
          <w:rFonts w:eastAsiaTheme="minorEastAsia" w:hint="cs"/>
          <w:i/>
          <w:sz w:val="23"/>
          <w:szCs w:val="23"/>
          <w:rtl/>
        </w:rPr>
        <w:t>زا</w:t>
      </w:r>
      <w:r w:rsidRPr="0026684F">
        <w:rPr>
          <w:rStyle w:val="FootnoteReference"/>
          <w:rFonts w:eastAsiaTheme="minorEastAsia"/>
          <w:i/>
          <w:sz w:val="23"/>
          <w:szCs w:val="23"/>
          <w:rtl/>
        </w:rPr>
        <w:footnoteReference w:id="145"/>
      </w:r>
      <w:r w:rsidRPr="0026684F">
        <w:rPr>
          <w:rFonts w:eastAsiaTheme="minorEastAsia" w:hint="cs"/>
          <w:i/>
          <w:sz w:val="23"/>
          <w:szCs w:val="23"/>
          <w:rtl/>
        </w:rPr>
        <w:t xml:space="preserve"> خواهند بود. </w:t>
      </w:r>
    </w:p>
    <w:p w14:paraId="1A98A0CC"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لازم به توضیح است که روابط</w:t>
      </w:r>
      <w:r w:rsidRPr="0026684F">
        <w:rPr>
          <w:rFonts w:hint="cs"/>
          <w:i/>
          <w:sz w:val="23"/>
          <w:szCs w:val="23"/>
          <w:rtl/>
        </w:rPr>
        <w:t xml:space="preserve"> (۵. ۲۴)، (۵. ۲۶) </w:t>
      </w:r>
      <w:r w:rsidRPr="0026684F">
        <w:rPr>
          <w:rFonts w:eastAsiaTheme="minorEastAsia" w:hint="cs"/>
          <w:i/>
          <w:sz w:val="23"/>
          <w:szCs w:val="23"/>
          <w:rtl/>
        </w:rPr>
        <w:t xml:space="preserve">و </w:t>
      </w:r>
      <w:r w:rsidRPr="0026684F">
        <w:rPr>
          <w:rFonts w:hint="cs"/>
          <w:i/>
          <w:sz w:val="23"/>
          <w:szCs w:val="23"/>
          <w:rtl/>
        </w:rPr>
        <w:t>(۵. ۲۷)</w:t>
      </w:r>
      <w:r w:rsidRPr="0026684F">
        <w:rPr>
          <w:rFonts w:eastAsiaTheme="minorEastAsia" w:hint="cs"/>
          <w:i/>
          <w:sz w:val="23"/>
          <w:szCs w:val="23"/>
          <w:rtl/>
        </w:rPr>
        <w:t xml:space="preserve"> مقادیر بهینه</w:t>
      </w:r>
      <w:r w:rsidRPr="0026684F">
        <w:rPr>
          <w:rFonts w:eastAsiaTheme="minorEastAsia"/>
          <w:i/>
          <w:sz w:val="23"/>
          <w:szCs w:val="23"/>
          <w:rtl/>
        </w:rPr>
        <w:softHyphen/>
      </w:r>
      <w:r w:rsidRPr="0026684F">
        <w:rPr>
          <w:rFonts w:eastAsiaTheme="minorEastAsia" w:hint="cs"/>
          <w:i/>
          <w:sz w:val="23"/>
          <w:szCs w:val="23"/>
          <w:rtl/>
        </w:rPr>
        <w:t>ی مصرف، عرضه</w:t>
      </w:r>
      <w:r w:rsidRPr="0026684F">
        <w:rPr>
          <w:rFonts w:eastAsiaTheme="minorEastAsia"/>
          <w:i/>
          <w:sz w:val="23"/>
          <w:szCs w:val="23"/>
          <w:rtl/>
        </w:rPr>
        <w:softHyphen/>
      </w:r>
      <w:r w:rsidRPr="0026684F">
        <w:rPr>
          <w:rFonts w:eastAsiaTheme="minorEastAsia" w:hint="cs"/>
          <w:i/>
          <w:sz w:val="23"/>
          <w:szCs w:val="23"/>
          <w:rtl/>
        </w:rPr>
        <w:t>ی نیروی کار و سرمایه</w:t>
      </w:r>
      <w:r w:rsidRPr="0026684F">
        <w:rPr>
          <w:rFonts w:eastAsiaTheme="minorEastAsia"/>
          <w:i/>
          <w:sz w:val="23"/>
          <w:szCs w:val="23"/>
          <w:rtl/>
        </w:rPr>
        <w:softHyphen/>
      </w:r>
      <w:r w:rsidRPr="0026684F">
        <w:rPr>
          <w:rFonts w:eastAsiaTheme="minorEastAsia" w:hint="cs"/>
          <w:i/>
          <w:sz w:val="23"/>
          <w:szCs w:val="23"/>
          <w:rtl/>
        </w:rPr>
        <w:t>ها</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eastAsiaTheme="minorEastAsia"/>
          <w:i/>
          <w:sz w:val="23"/>
          <w:szCs w:val="23"/>
        </w:rPr>
        <w:t>k</w:t>
      </w:r>
      <w:r w:rsidRPr="0026684F">
        <w:rPr>
          <w:rFonts w:eastAsiaTheme="minorEastAsia" w:hint="cs"/>
          <w:i/>
          <w:sz w:val="23"/>
          <w:szCs w:val="23"/>
          <w:rtl/>
        </w:rPr>
        <w:t xml:space="preserve"> و </w:t>
      </w:r>
      <w:r w:rsidRPr="0026684F">
        <w:rPr>
          <w:rFonts w:eastAsiaTheme="minorEastAsia"/>
          <w:i/>
          <w:sz w:val="23"/>
          <w:szCs w:val="23"/>
        </w:rPr>
        <w:t>b</w:t>
      </w:r>
      <w:r w:rsidRPr="0026684F">
        <w:rPr>
          <w:rFonts w:eastAsiaTheme="minorEastAsia" w:hint="cs"/>
          <w:i/>
          <w:sz w:val="23"/>
          <w:szCs w:val="23"/>
          <w:rtl/>
        </w:rPr>
        <w:t xml:space="preserve"> را نشان می</w:t>
      </w:r>
      <w:r w:rsidRPr="0026684F">
        <w:rPr>
          <w:rFonts w:eastAsiaTheme="minorEastAsia"/>
          <w:i/>
          <w:sz w:val="23"/>
          <w:szCs w:val="23"/>
          <w:rtl/>
        </w:rPr>
        <w:softHyphen/>
      </w:r>
      <w:r w:rsidRPr="0026684F">
        <w:rPr>
          <w:rFonts w:eastAsiaTheme="minorEastAsia" w:hint="cs"/>
          <w:i/>
          <w:sz w:val="23"/>
          <w:szCs w:val="23"/>
          <w:rtl/>
        </w:rPr>
        <w:t>دهند.</w:t>
      </w:r>
    </w:p>
    <w:p w14:paraId="6C5D7BFC" w14:textId="77777777" w:rsidR="00411620" w:rsidRPr="0026684F" w:rsidRDefault="00411620" w:rsidP="00411620">
      <w:pPr>
        <w:tabs>
          <w:tab w:val="left" w:pos="1215"/>
        </w:tabs>
        <w:spacing w:line="216" w:lineRule="auto"/>
        <w:rPr>
          <w:rFonts w:eastAsiaTheme="minorEastAsia"/>
          <w:bCs/>
          <w:i/>
          <w:sz w:val="23"/>
          <w:szCs w:val="23"/>
        </w:rPr>
      </w:pPr>
      <w:r w:rsidRPr="0026684F">
        <w:rPr>
          <w:rFonts w:eastAsiaTheme="minorEastAsia" w:hint="cs"/>
          <w:bCs/>
          <w:i/>
          <w:sz w:val="23"/>
          <w:szCs w:val="23"/>
          <w:rtl/>
        </w:rPr>
        <w:lastRenderedPageBreak/>
        <w:t>مسئله</w:t>
      </w:r>
      <w:r w:rsidRPr="0026684F">
        <w:rPr>
          <w:rFonts w:eastAsiaTheme="minorEastAsia"/>
          <w:bCs/>
          <w:i/>
          <w:sz w:val="23"/>
          <w:szCs w:val="23"/>
          <w:rtl/>
        </w:rPr>
        <w:softHyphen/>
      </w:r>
      <w:r w:rsidRPr="0026684F">
        <w:rPr>
          <w:rFonts w:eastAsiaTheme="minorEastAsia" w:hint="cs"/>
          <w:bCs/>
          <w:i/>
          <w:sz w:val="23"/>
          <w:szCs w:val="23"/>
          <w:rtl/>
        </w:rPr>
        <w:t xml:space="preserve">ی دولت </w:t>
      </w:r>
    </w:p>
    <w:p w14:paraId="596A767F"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اکنون تعیین نرخ</w:t>
      </w:r>
      <w:r w:rsidRPr="0026684F">
        <w:rPr>
          <w:rFonts w:eastAsiaTheme="minorEastAsia"/>
          <w:i/>
          <w:sz w:val="23"/>
          <w:szCs w:val="23"/>
          <w:rtl/>
        </w:rPr>
        <w:softHyphen/>
      </w:r>
      <w:r w:rsidRPr="0026684F">
        <w:rPr>
          <w:rFonts w:eastAsiaTheme="minorEastAsia" w:hint="cs"/>
          <w:i/>
          <w:sz w:val="23"/>
          <w:szCs w:val="23"/>
          <w:rtl/>
        </w:rPr>
        <w:t>های بهینه</w:t>
      </w:r>
      <w:r w:rsidRPr="0026684F">
        <w:rPr>
          <w:rFonts w:eastAsiaTheme="minorEastAsia"/>
          <w:i/>
          <w:sz w:val="23"/>
          <w:szCs w:val="23"/>
          <w:rtl/>
        </w:rPr>
        <w:softHyphen/>
      </w:r>
      <w:r w:rsidRPr="0026684F">
        <w:rPr>
          <w:rFonts w:eastAsiaTheme="minorEastAsia" w:hint="cs"/>
          <w:i/>
          <w:sz w:val="23"/>
          <w:szCs w:val="23"/>
          <w:rtl/>
        </w:rPr>
        <w:t>ی مالیات توسط دولت را مورد بررسی قرار می</w:t>
      </w:r>
      <w:r w:rsidRPr="0026684F">
        <w:rPr>
          <w:rFonts w:eastAsiaTheme="minorEastAsia"/>
          <w:i/>
          <w:sz w:val="23"/>
          <w:szCs w:val="23"/>
          <w:rtl/>
        </w:rPr>
        <w:softHyphen/>
      </w:r>
      <w:r w:rsidRPr="0026684F">
        <w:rPr>
          <w:rFonts w:eastAsiaTheme="minorEastAsia" w:hint="cs"/>
          <w:i/>
          <w:sz w:val="23"/>
          <w:szCs w:val="23"/>
          <w:rtl/>
        </w:rPr>
        <w:t>دهیم. باید توجه داشته باشیم که رفتار بهینه</w:t>
      </w:r>
      <w:r w:rsidRPr="0026684F">
        <w:rPr>
          <w:rFonts w:eastAsiaTheme="minorEastAsia"/>
          <w:i/>
          <w:sz w:val="23"/>
          <w:szCs w:val="23"/>
          <w:rtl/>
        </w:rPr>
        <w:softHyphen/>
      </w:r>
      <w:r w:rsidRPr="0026684F">
        <w:rPr>
          <w:rFonts w:eastAsiaTheme="minorEastAsia" w:hint="cs"/>
          <w:i/>
          <w:sz w:val="23"/>
          <w:szCs w:val="23"/>
          <w:rtl/>
        </w:rPr>
        <w:t>ی دولت توسط شرایط بهینه</w:t>
      </w:r>
      <w:r w:rsidRPr="0026684F">
        <w:rPr>
          <w:rFonts w:eastAsiaTheme="minorEastAsia"/>
          <w:i/>
          <w:sz w:val="23"/>
          <w:szCs w:val="23"/>
          <w:rtl/>
        </w:rPr>
        <w:softHyphen/>
      </w:r>
      <w:r w:rsidRPr="0026684F">
        <w:rPr>
          <w:rFonts w:eastAsiaTheme="minorEastAsia" w:hint="cs"/>
          <w:i/>
          <w:sz w:val="23"/>
          <w:szCs w:val="23"/>
          <w:rtl/>
        </w:rPr>
        <w:t>یابی خانوار نیز مقید می</w:t>
      </w:r>
      <w:r w:rsidRPr="0026684F">
        <w:rPr>
          <w:rFonts w:eastAsiaTheme="minorEastAsia"/>
          <w:i/>
          <w:sz w:val="23"/>
          <w:szCs w:val="23"/>
          <w:rtl/>
        </w:rPr>
        <w:softHyphen/>
      </w:r>
      <w:r w:rsidRPr="0026684F">
        <w:rPr>
          <w:rFonts w:eastAsiaTheme="minorEastAsia" w:hint="cs"/>
          <w:i/>
          <w:sz w:val="23"/>
          <w:szCs w:val="23"/>
          <w:rtl/>
        </w:rPr>
        <w:t>شود. قیدی که بوسیله</w:t>
      </w:r>
      <w:r w:rsidRPr="0026684F">
        <w:rPr>
          <w:rFonts w:eastAsiaTheme="minorEastAsia"/>
          <w:i/>
          <w:sz w:val="23"/>
          <w:szCs w:val="23"/>
          <w:rtl/>
        </w:rPr>
        <w:softHyphen/>
      </w:r>
      <w:r w:rsidRPr="0026684F">
        <w:rPr>
          <w:rFonts w:eastAsiaTheme="minorEastAsia" w:hint="cs"/>
          <w:i/>
          <w:sz w:val="23"/>
          <w:szCs w:val="23"/>
          <w:rtl/>
        </w:rPr>
        <w:t>ی خانوار بر تصمیمات دولت تحمیل می</w:t>
      </w:r>
      <w:r w:rsidRPr="0026684F">
        <w:rPr>
          <w:rFonts w:eastAsiaTheme="minorEastAsia"/>
          <w:i/>
          <w:sz w:val="23"/>
          <w:szCs w:val="23"/>
          <w:rtl/>
        </w:rPr>
        <w:softHyphen/>
      </w:r>
      <w:r w:rsidRPr="0026684F">
        <w:rPr>
          <w:rFonts w:eastAsiaTheme="minorEastAsia" w:hint="cs"/>
          <w:i/>
          <w:sz w:val="23"/>
          <w:szCs w:val="23"/>
          <w:rtl/>
        </w:rPr>
        <w:t>شود را شرط اعمالی</w:t>
      </w:r>
      <w:r w:rsidRPr="0026684F">
        <w:rPr>
          <w:rStyle w:val="FootnoteReference"/>
          <w:rFonts w:eastAsiaTheme="minorEastAsia"/>
          <w:i/>
          <w:sz w:val="23"/>
          <w:szCs w:val="23"/>
          <w:rtl/>
        </w:rPr>
        <w:footnoteReference w:id="146"/>
      </w:r>
      <w:r w:rsidRPr="0026684F">
        <w:rPr>
          <w:rFonts w:eastAsiaTheme="minorEastAsia" w:hint="cs"/>
          <w:i/>
          <w:sz w:val="23"/>
          <w:szCs w:val="23"/>
          <w:rtl/>
        </w:rPr>
        <w:t xml:space="preserve"> نامند و به صورت زیر بدست می</w:t>
      </w:r>
      <w:r w:rsidRPr="0026684F">
        <w:rPr>
          <w:rFonts w:eastAsiaTheme="minorEastAsia"/>
          <w:i/>
          <w:sz w:val="23"/>
          <w:szCs w:val="23"/>
          <w:rtl/>
        </w:rPr>
        <w:softHyphen/>
      </w:r>
      <w:r w:rsidRPr="0026684F">
        <w:rPr>
          <w:rFonts w:eastAsiaTheme="minorEastAsia" w:hint="cs"/>
          <w:i/>
          <w:sz w:val="23"/>
          <w:szCs w:val="23"/>
          <w:rtl/>
        </w:rPr>
        <w:t>آید. اگر رابطه</w:t>
      </w:r>
      <w:r w:rsidRPr="0026684F">
        <w:rPr>
          <w:rFonts w:eastAsiaTheme="minorEastAsia"/>
          <w:i/>
          <w:sz w:val="23"/>
          <w:szCs w:val="23"/>
          <w:rtl/>
        </w:rPr>
        <w:softHyphen/>
      </w:r>
      <w:r w:rsidRPr="0026684F">
        <w:rPr>
          <w:rFonts w:eastAsiaTheme="minorEastAsia" w:hint="cs"/>
          <w:i/>
          <w:sz w:val="23"/>
          <w:szCs w:val="23"/>
          <w:rtl/>
        </w:rPr>
        <w:t>ی</w:t>
      </w:r>
      <w:r w:rsidRPr="0026684F">
        <w:rPr>
          <w:rFonts w:hint="cs"/>
          <w:i/>
          <w:sz w:val="23"/>
          <w:szCs w:val="23"/>
          <w:rtl/>
        </w:rPr>
        <w:t xml:space="preserve"> (۵. ۲۵)</w:t>
      </w:r>
      <w:r w:rsidRPr="0026684F">
        <w:rPr>
          <w:rFonts w:eastAsiaTheme="minorEastAsia" w:hint="cs"/>
          <w:i/>
          <w:sz w:val="23"/>
          <w:szCs w:val="23"/>
          <w:rtl/>
        </w:rPr>
        <w:t xml:space="preserve"> را در قید بودجه</w:t>
      </w:r>
      <w:r w:rsidRPr="0026684F">
        <w:rPr>
          <w:rFonts w:eastAsiaTheme="minorEastAsia"/>
          <w:i/>
          <w:sz w:val="23"/>
          <w:szCs w:val="23"/>
          <w:rtl/>
        </w:rPr>
        <w:softHyphen/>
      </w:r>
      <w:r w:rsidRPr="0026684F">
        <w:rPr>
          <w:rFonts w:eastAsiaTheme="minorEastAsia" w:hint="cs"/>
          <w:i/>
          <w:sz w:val="23"/>
          <w:szCs w:val="23"/>
          <w:rtl/>
        </w:rPr>
        <w:t>ی خانوار یا رابطه</w:t>
      </w:r>
      <w:r w:rsidRPr="0026684F">
        <w:rPr>
          <w:rFonts w:eastAsiaTheme="minorEastAsia"/>
          <w:i/>
          <w:sz w:val="23"/>
          <w:szCs w:val="23"/>
          <w:rtl/>
        </w:rPr>
        <w:softHyphen/>
      </w:r>
      <w:r w:rsidRPr="0026684F">
        <w:rPr>
          <w:rFonts w:eastAsiaTheme="minorEastAsia" w:hint="cs"/>
          <w:i/>
          <w:sz w:val="23"/>
          <w:szCs w:val="23"/>
          <w:rtl/>
        </w:rPr>
        <w:t>ی</w:t>
      </w:r>
      <w:r w:rsidRPr="0026684F">
        <w:rPr>
          <w:rFonts w:hint="cs"/>
          <w:i/>
          <w:sz w:val="23"/>
          <w:szCs w:val="23"/>
          <w:rtl/>
        </w:rPr>
        <w:t xml:space="preserve"> (۵. ۲۲)</w:t>
      </w:r>
      <w:r w:rsidRPr="0026684F">
        <w:rPr>
          <w:rFonts w:eastAsiaTheme="minorEastAsia" w:hint="cs"/>
          <w:i/>
          <w:sz w:val="23"/>
          <w:szCs w:val="23"/>
          <w:rtl/>
        </w:rPr>
        <w:t xml:space="preserve"> جایگزین کنیم خواهیم داشت:</w:t>
      </w:r>
    </w:p>
    <w:p w14:paraId="6450BB07"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lang w:val="en-GB"/>
        </w:rPr>
      </w:pPr>
      <w:r w:rsidRPr="00703635">
        <w:rPr>
          <w:position w:val="-28"/>
        </w:rPr>
        <w:object w:dxaOrig="5780" w:dyaOrig="639" w14:anchorId="1EEF3CF5">
          <v:shape id="_x0000_i2846" type="#_x0000_t75" style="width:289.2pt;height:32.05pt" o:ole="">
            <v:imagedata r:id="rId3678" o:title=""/>
          </v:shape>
          <o:OLEObject Type="Embed" ProgID="Equation.DSMT4" ShapeID="_x0000_i2846" DrawAspect="Content" ObjectID="_1791376790" r:id="rId3679"/>
        </w:object>
      </w:r>
    </w:p>
    <w:p w14:paraId="0823F408"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و یا</w:t>
      </w:r>
    </w:p>
    <w:p w14:paraId="66558D61"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p>
    <w:p w14:paraId="7B1D9E19"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 xml:space="preserve">با </w:t>
      </w:r>
      <w:r w:rsidRPr="00703635">
        <w:rPr>
          <w:position w:val="-18"/>
        </w:rPr>
        <w:object w:dxaOrig="6360" w:dyaOrig="460" w14:anchorId="5B023581">
          <v:shape id="_x0000_i2847" type="#_x0000_t75" style="width:318.25pt;height:23pt" o:ole="">
            <v:imagedata r:id="rId3680" o:title=""/>
          </v:shape>
          <o:OLEObject Type="Embed" ProgID="Equation.DSMT4" ShapeID="_x0000_i2847" DrawAspect="Content" ObjectID="_1791376791" r:id="rId3681"/>
        </w:object>
      </w:r>
      <w:r w:rsidRPr="0026684F">
        <w:rPr>
          <w:rFonts w:eastAsiaTheme="minorEastAsia" w:hint="cs"/>
          <w:i/>
          <w:sz w:val="23"/>
          <w:szCs w:val="23"/>
          <w:rtl/>
        </w:rPr>
        <w:t>حل رابطه</w:t>
      </w:r>
      <w:r w:rsidRPr="0026684F">
        <w:rPr>
          <w:rFonts w:eastAsiaTheme="minorEastAsia"/>
          <w:i/>
          <w:sz w:val="23"/>
          <w:szCs w:val="23"/>
          <w:rtl/>
        </w:rPr>
        <w:softHyphen/>
      </w:r>
      <w:r w:rsidRPr="0026684F">
        <w:rPr>
          <w:rFonts w:eastAsiaTheme="minorEastAsia" w:hint="cs"/>
          <w:i/>
          <w:sz w:val="23"/>
          <w:szCs w:val="23"/>
          <w:rtl/>
        </w:rPr>
        <w:t>ی فوق بصورت پیش</w:t>
      </w:r>
      <w:r w:rsidRPr="0026684F">
        <w:rPr>
          <w:rFonts w:eastAsiaTheme="minorEastAsia"/>
          <w:i/>
          <w:sz w:val="23"/>
          <w:szCs w:val="23"/>
          <w:rtl/>
        </w:rPr>
        <w:softHyphen/>
      </w:r>
      <w:r w:rsidRPr="0026684F">
        <w:rPr>
          <w:rFonts w:eastAsiaTheme="minorEastAsia" w:hint="cs"/>
          <w:i/>
          <w:sz w:val="23"/>
          <w:szCs w:val="23"/>
          <w:rtl/>
        </w:rPr>
        <w:t>رو و شروط تراگردی  و</w:t>
      </w:r>
      <w:r w:rsidRPr="0026684F">
        <w:rPr>
          <w:rFonts w:eastAsiaTheme="minorEastAsia"/>
          <w:i/>
          <w:sz w:val="23"/>
          <w:szCs w:val="23"/>
        </w:rPr>
        <w:t xml:space="preserve"> </w:t>
      </w:r>
      <w:r w:rsidRPr="00703635">
        <w:rPr>
          <w:position w:val="-18"/>
        </w:rPr>
        <w:object w:dxaOrig="1540" w:dyaOrig="400" w14:anchorId="7ECB8008">
          <v:shape id="_x0000_i2848" type="#_x0000_t75" style="width:76.85pt;height:19.95pt" o:ole="">
            <v:imagedata r:id="rId3682" o:title=""/>
          </v:shape>
          <o:OLEObject Type="Embed" ProgID="Equation.DSMT4" ShapeID="_x0000_i2848" DrawAspect="Content" ObjectID="_1791376792" r:id="rId3683"/>
        </w:object>
      </w:r>
      <w:r w:rsidRPr="0026684F">
        <w:rPr>
          <w:rFonts w:eastAsiaTheme="minorEastAsia" w:hint="cs"/>
          <w:i/>
          <w:sz w:val="23"/>
          <w:szCs w:val="23"/>
          <w:rtl/>
        </w:rPr>
        <w:t>، قید بودجه</w:t>
      </w:r>
      <w:r w:rsidRPr="0026684F">
        <w:rPr>
          <w:rFonts w:eastAsiaTheme="minorEastAsia"/>
          <w:i/>
          <w:sz w:val="23"/>
          <w:szCs w:val="23"/>
          <w:rtl/>
        </w:rPr>
        <w:softHyphen/>
      </w:r>
      <w:r w:rsidRPr="0026684F">
        <w:rPr>
          <w:rFonts w:eastAsiaTheme="minorEastAsia" w:hint="cs"/>
          <w:i/>
          <w:sz w:val="23"/>
          <w:szCs w:val="23"/>
          <w:rtl/>
        </w:rPr>
        <w:t>ی خانوارِ بین</w:t>
      </w:r>
      <w:r w:rsidRPr="0026684F">
        <w:rPr>
          <w:rFonts w:eastAsiaTheme="minorEastAsia"/>
          <w:i/>
          <w:sz w:val="23"/>
          <w:szCs w:val="23"/>
          <w:rtl/>
        </w:rPr>
        <w:softHyphen/>
      </w:r>
      <w:r w:rsidRPr="0026684F">
        <w:rPr>
          <w:rFonts w:eastAsiaTheme="minorEastAsia" w:hint="cs"/>
          <w:i/>
          <w:sz w:val="23"/>
          <w:szCs w:val="23"/>
          <w:rtl/>
        </w:rPr>
        <w:t>دوره</w:t>
      </w:r>
      <w:r w:rsidRPr="0026684F">
        <w:rPr>
          <w:rFonts w:eastAsiaTheme="minorEastAsia"/>
          <w:i/>
          <w:sz w:val="23"/>
          <w:szCs w:val="23"/>
          <w:rtl/>
        </w:rPr>
        <w:softHyphen/>
      </w:r>
      <w:r w:rsidRPr="0026684F">
        <w:rPr>
          <w:rFonts w:eastAsiaTheme="minorEastAsia" w:hint="cs"/>
          <w:i/>
          <w:sz w:val="23"/>
          <w:szCs w:val="23"/>
          <w:rtl/>
        </w:rPr>
        <w:t>ای بدست می</w:t>
      </w:r>
      <w:r w:rsidRPr="0026684F">
        <w:rPr>
          <w:rFonts w:eastAsiaTheme="minorEastAsia"/>
          <w:i/>
          <w:sz w:val="23"/>
          <w:szCs w:val="23"/>
          <w:rtl/>
        </w:rPr>
        <w:softHyphen/>
      </w:r>
      <w:r w:rsidRPr="0026684F">
        <w:rPr>
          <w:rFonts w:eastAsiaTheme="minorEastAsia" w:hint="cs"/>
          <w:i/>
          <w:sz w:val="23"/>
          <w:szCs w:val="23"/>
          <w:rtl/>
        </w:rPr>
        <w:t>آید و عبارت خواهد بود ا</w:t>
      </w:r>
      <w:r w:rsidRPr="00703635">
        <w:rPr>
          <w:position w:val="-18"/>
        </w:rPr>
        <w:object w:dxaOrig="1560" w:dyaOrig="400" w14:anchorId="5FFBC1DE">
          <v:shape id="_x0000_i2849" type="#_x0000_t75" style="width:78.05pt;height:19.95pt" o:ole="">
            <v:imagedata r:id="rId3684" o:title=""/>
          </v:shape>
          <o:OLEObject Type="Embed" ProgID="Equation.DSMT4" ShapeID="_x0000_i2849" DrawAspect="Content" ObjectID="_1791376793" r:id="rId3685"/>
        </w:object>
      </w:r>
      <w:r w:rsidRPr="0026684F">
        <w:rPr>
          <w:rFonts w:eastAsiaTheme="minorEastAsia" w:hint="cs"/>
          <w:i/>
          <w:sz w:val="23"/>
          <w:szCs w:val="23"/>
          <w:rtl/>
        </w:rPr>
        <w:t xml:space="preserve">ز: </w:t>
      </w:r>
    </w:p>
    <w:p w14:paraId="3A471972" w14:textId="77777777" w:rsidR="00411620" w:rsidRPr="0026684F"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703635">
        <w:rPr>
          <w:position w:val="-26"/>
        </w:rPr>
        <w:object w:dxaOrig="4599" w:dyaOrig="620" w14:anchorId="5849515E">
          <v:shape id="_x0000_i2850" type="#_x0000_t75" style="width:229.9pt;height:31.45pt" o:ole="">
            <v:imagedata r:id="rId3686" o:title=""/>
          </v:shape>
          <o:OLEObject Type="Embed" ProgID="Equation.DSMT4" ShapeID="_x0000_i2850" DrawAspect="Content" ObjectID="_1791376794" r:id="rId3687"/>
        </w:object>
      </w:r>
      <w:r w:rsidRPr="0026684F">
        <w:rPr>
          <w:rFonts w:ascii="Times New Roman" w:hAnsi="Times New Roman" w:cs="B Nazanin"/>
          <w:i/>
          <w:sz w:val="23"/>
          <w:szCs w:val="23"/>
        </w:rPr>
        <w:tab/>
      </w:r>
      <w:r w:rsidRPr="0026684F">
        <w:rPr>
          <w:rFonts w:ascii="Times New Roman" w:hAnsi="Times New Roman" w:cs="B Nazanin"/>
          <w:i/>
          <w:sz w:val="23"/>
          <w:szCs w:val="23"/>
        </w:rPr>
        <w:tab/>
      </w:r>
      <w:r>
        <w:rPr>
          <w:rFonts w:ascii="Times New Roman" w:hAnsi="Times New Roman" w:cs="B Nazanin"/>
          <w:i/>
          <w:sz w:val="23"/>
          <w:szCs w:val="23"/>
          <w:rtl/>
        </w:rPr>
        <w:tab/>
      </w:r>
      <w:r>
        <w:rPr>
          <w:rFonts w:ascii="Times New Roman" w:hAnsi="Times New Roman" w:cs="B Nazanin"/>
          <w:i/>
          <w:sz w:val="23"/>
          <w:szCs w:val="23"/>
          <w:rtl/>
        </w:rPr>
        <w:tab/>
      </w:r>
      <w:r w:rsidRPr="0026684F">
        <w:rPr>
          <w:rFonts w:ascii="Times New Roman" w:hAnsi="Times New Roman" w:cs="B Nazanin"/>
          <w:i/>
          <w:sz w:val="23"/>
          <w:szCs w:val="23"/>
        </w:rPr>
        <w:tab/>
      </w:r>
      <w:r w:rsidRPr="0026684F">
        <w:rPr>
          <w:rFonts w:ascii="Times New Roman" w:hAnsi="Times New Roman" w:cs="B Nazanin" w:hint="cs"/>
          <w:i/>
          <w:sz w:val="23"/>
          <w:szCs w:val="23"/>
          <w:rtl/>
        </w:rPr>
        <w:t>(۵. ۲۸)</w:t>
      </w:r>
      <w:r w:rsidRPr="0026684F">
        <w:rPr>
          <w:rFonts w:ascii="Times New Roman" w:hAnsi="Times New Roman" w:cs="B Nazanin" w:hint="cs"/>
          <w:i/>
          <w:sz w:val="23"/>
          <w:szCs w:val="23"/>
        </w:rPr>
        <w:t xml:space="preserve"> </w:t>
      </w:r>
    </w:p>
    <w:p w14:paraId="54A807B3"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با در نظر گرفتن شروط مرتبه</w:t>
      </w:r>
      <w:r w:rsidRPr="0026684F">
        <w:rPr>
          <w:rFonts w:eastAsiaTheme="minorEastAsia"/>
          <w:i/>
          <w:sz w:val="23"/>
          <w:szCs w:val="23"/>
          <w:rtl/>
        </w:rPr>
        <w:softHyphen/>
      </w:r>
      <w:r w:rsidRPr="0026684F">
        <w:rPr>
          <w:rFonts w:eastAsiaTheme="minorEastAsia" w:hint="cs"/>
          <w:i/>
          <w:sz w:val="23"/>
          <w:szCs w:val="23"/>
          <w:rtl/>
        </w:rPr>
        <w:t>ی اول مربوط به مصرف و عرضه</w:t>
      </w:r>
      <w:r w:rsidRPr="0026684F">
        <w:rPr>
          <w:rFonts w:eastAsiaTheme="minorEastAsia"/>
          <w:i/>
          <w:sz w:val="23"/>
          <w:szCs w:val="23"/>
          <w:rtl/>
        </w:rPr>
        <w:softHyphen/>
      </w:r>
      <w:r w:rsidRPr="0026684F">
        <w:rPr>
          <w:rFonts w:eastAsiaTheme="minorEastAsia" w:hint="cs"/>
          <w:i/>
          <w:sz w:val="23"/>
          <w:szCs w:val="23"/>
          <w:rtl/>
        </w:rPr>
        <w:t>ی نیروی کار در قسمت خانوار یعنی</w:t>
      </w:r>
    </w:p>
    <w:p w14:paraId="4D3C3D56"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8"/>
        </w:rPr>
        <w:object w:dxaOrig="5880" w:dyaOrig="620" w14:anchorId="0FC35652">
          <v:shape id="_x0000_i2851" type="#_x0000_t75" style="width:294.05pt;height:31.45pt" o:ole="">
            <v:imagedata r:id="rId3688" o:title=""/>
          </v:shape>
          <o:OLEObject Type="Embed" ProgID="Equation.DSMT4" ShapeID="_x0000_i2851" DrawAspect="Content" ObjectID="_1791376795" r:id="rId3689"/>
        </w:object>
      </w:r>
    </w:p>
    <w:p w14:paraId="1B09E7E2"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8"/>
        </w:rPr>
        <w:object w:dxaOrig="6520" w:dyaOrig="620" w14:anchorId="53D35317">
          <v:shape id="_x0000_i2852" type="#_x0000_t75" style="width:326.1pt;height:31.45pt" o:ole="">
            <v:imagedata r:id="rId3690" o:title=""/>
          </v:shape>
          <o:OLEObject Type="Embed" ProgID="Equation.DSMT4" ShapeID="_x0000_i2852" DrawAspect="Content" ObjectID="_1791376796" r:id="rId3691"/>
        </w:object>
      </w:r>
    </w:p>
    <w:p w14:paraId="66118232"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و جایگزین کردن نتایج فوق در رابطه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۲۸)</w:t>
      </w:r>
      <w:r w:rsidRPr="0026684F">
        <w:rPr>
          <w:rFonts w:eastAsiaTheme="minorEastAsia" w:hint="cs"/>
          <w:i/>
          <w:sz w:val="23"/>
          <w:szCs w:val="23"/>
          <w:rtl/>
        </w:rPr>
        <w:t xml:space="preserve"> خواهیم داشت:</w:t>
      </w:r>
    </w:p>
    <w:p w14:paraId="48BCA1BD" w14:textId="77777777" w:rsidR="00411620" w:rsidRPr="0026684F" w:rsidRDefault="00411620" w:rsidP="00411620">
      <w:pPr>
        <w:tabs>
          <w:tab w:val="left" w:pos="1215"/>
        </w:tabs>
        <w:bidi w:val="0"/>
        <w:spacing w:line="216" w:lineRule="auto"/>
        <w:rPr>
          <w:rFonts w:eastAsiaTheme="minorEastAsia"/>
          <w:i/>
          <w:sz w:val="23"/>
          <w:szCs w:val="23"/>
        </w:rPr>
      </w:pPr>
      <w:r w:rsidRPr="0026684F">
        <w:rPr>
          <w:rFonts w:eastAsiaTheme="minorEastAsia" w:hint="cs"/>
          <w:i/>
          <w:sz w:val="23"/>
          <w:szCs w:val="23"/>
        </w:rPr>
        <w:t xml:space="preserve"> </w:t>
      </w:r>
      <w:r w:rsidRPr="00703635">
        <w:rPr>
          <w:position w:val="-26"/>
        </w:rPr>
        <w:object w:dxaOrig="3620" w:dyaOrig="620" w14:anchorId="6D27883F">
          <v:shape id="_x0000_i2853" type="#_x0000_t75" style="width:181.5pt;height:31.45pt" o:ole="">
            <v:imagedata r:id="rId3692" o:title=""/>
          </v:shape>
          <o:OLEObject Type="Embed" ProgID="Equation.DSMT4" ShapeID="_x0000_i2853" DrawAspect="Content" ObjectID="_1791376797" r:id="rId3693"/>
        </w:object>
      </w:r>
      <w:r w:rsidRPr="0026684F">
        <w:rPr>
          <w:rFonts w:eastAsiaTheme="minorEastAsia"/>
          <w:i/>
          <w:sz w:val="23"/>
          <w:szCs w:val="23"/>
        </w:rPr>
        <w:t xml:space="preserve"> </w:t>
      </w:r>
      <w:r w:rsidRPr="0026684F">
        <w:rPr>
          <w:rFonts w:eastAsiaTheme="minorEastAsia"/>
          <w:i/>
          <w:sz w:val="23"/>
          <w:szCs w:val="23"/>
          <w:rtl/>
        </w:rPr>
        <w:tab/>
      </w:r>
      <w:r w:rsidRPr="0026684F">
        <w:rPr>
          <w:rFonts w:eastAsiaTheme="minorEastAsia"/>
          <w:i/>
          <w:sz w:val="23"/>
          <w:szCs w:val="23"/>
        </w:rPr>
        <w:t xml:space="preserve"> </w:t>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Pr>
        <w:tab/>
      </w:r>
      <w:r>
        <w:rPr>
          <w:rFonts w:eastAsiaTheme="minorEastAsia"/>
          <w:i/>
          <w:sz w:val="23"/>
          <w:szCs w:val="23"/>
          <w:rtl/>
        </w:rPr>
        <w:tab/>
      </w:r>
      <w:r>
        <w:rPr>
          <w:rFonts w:eastAsiaTheme="minorEastAsia"/>
          <w:i/>
          <w:sz w:val="23"/>
          <w:szCs w:val="23"/>
          <w:rtl/>
        </w:rPr>
        <w:tab/>
      </w:r>
      <w:r w:rsidRPr="0026684F">
        <w:rPr>
          <w:rFonts w:eastAsiaTheme="minorEastAsia"/>
          <w:i/>
          <w:sz w:val="23"/>
          <w:szCs w:val="23"/>
        </w:rPr>
        <w:tab/>
      </w:r>
      <w:r w:rsidRPr="0026684F">
        <w:rPr>
          <w:i/>
          <w:sz w:val="23"/>
          <w:szCs w:val="23"/>
          <w:rtl/>
        </w:rPr>
        <w:tab/>
      </w:r>
      <w:r w:rsidRPr="0026684F">
        <w:rPr>
          <w:rFonts w:hint="cs"/>
          <w:i/>
          <w:sz w:val="23"/>
          <w:szCs w:val="23"/>
          <w:rtl/>
        </w:rPr>
        <w:t>(۵. ۲۹)</w:t>
      </w:r>
    </w:p>
    <w:p w14:paraId="0795A6E1"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رابطه</w:t>
      </w:r>
      <w:r w:rsidRPr="0026684F">
        <w:rPr>
          <w:rFonts w:eastAsiaTheme="minorEastAsia"/>
          <w:i/>
          <w:sz w:val="23"/>
          <w:szCs w:val="23"/>
          <w:rtl/>
        </w:rPr>
        <w:softHyphen/>
      </w:r>
      <w:r w:rsidRPr="0026684F">
        <w:rPr>
          <w:rFonts w:eastAsiaTheme="minorEastAsia" w:hint="cs"/>
          <w:i/>
          <w:sz w:val="23"/>
          <w:szCs w:val="23"/>
          <w:rtl/>
        </w:rPr>
        <w:t xml:space="preserve">ی (۵. ۲۹) را شرط اعمالی نامند، و سمت چپ آن شرط از قبل معین است. </w:t>
      </w:r>
    </w:p>
    <w:p w14:paraId="132FC9B4"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قید بودجه</w:t>
      </w:r>
      <w:r w:rsidRPr="0026684F">
        <w:rPr>
          <w:rFonts w:eastAsiaTheme="minorEastAsia"/>
          <w:i/>
          <w:sz w:val="23"/>
          <w:szCs w:val="23"/>
          <w:rtl/>
        </w:rPr>
        <w:softHyphen/>
      </w:r>
      <w:r w:rsidRPr="0026684F">
        <w:rPr>
          <w:rFonts w:eastAsiaTheme="minorEastAsia" w:hint="cs"/>
          <w:i/>
          <w:sz w:val="23"/>
          <w:szCs w:val="23"/>
          <w:rtl/>
        </w:rPr>
        <w:t xml:space="preserve">ی دولت در زمان </w:t>
      </w:r>
      <w:r w:rsidRPr="0026684F">
        <w:rPr>
          <w:rFonts w:eastAsiaTheme="minorEastAsia"/>
          <w:i/>
          <w:sz w:val="23"/>
          <w:szCs w:val="23"/>
        </w:rPr>
        <w:t>t</w:t>
      </w:r>
      <w:r w:rsidRPr="0026684F">
        <w:rPr>
          <w:rFonts w:eastAsiaTheme="minorEastAsia" w:hint="cs"/>
          <w:i/>
          <w:sz w:val="23"/>
          <w:szCs w:val="23"/>
          <w:rtl/>
        </w:rPr>
        <w:t xml:space="preserve"> عبارت است از:</w:t>
      </w:r>
    </w:p>
    <w:p w14:paraId="2B59A834" w14:textId="77777777" w:rsidR="00411620" w:rsidRPr="0026684F" w:rsidRDefault="00411620" w:rsidP="00411620">
      <w:pPr>
        <w:tabs>
          <w:tab w:val="left" w:pos="1215"/>
        </w:tabs>
        <w:bidi w:val="0"/>
        <w:spacing w:line="216" w:lineRule="auto"/>
        <w:rPr>
          <w:rFonts w:eastAsiaTheme="minorEastAsia"/>
          <w:i/>
          <w:sz w:val="23"/>
          <w:szCs w:val="23"/>
        </w:rPr>
      </w:pPr>
      <w:r w:rsidRPr="00703635">
        <w:rPr>
          <w:position w:val="-16"/>
        </w:rPr>
        <w:object w:dxaOrig="3840" w:dyaOrig="420" w14:anchorId="20A2D27F">
          <v:shape id="_x0000_i2854" type="#_x0000_t75" style="width:191.8pt;height:21.2pt" o:ole="">
            <v:imagedata r:id="rId3694" o:title=""/>
          </v:shape>
          <o:OLEObject Type="Embed" ProgID="Equation.DSMT4" ShapeID="_x0000_i2854" DrawAspect="Content" ObjectID="_1791376798" r:id="rId3695"/>
        </w:object>
      </w:r>
      <w:r w:rsidRPr="0026684F">
        <w:rPr>
          <w:rFonts w:eastAsiaTheme="minorEastAsia"/>
          <w:i/>
          <w:sz w:val="23"/>
          <w:szCs w:val="23"/>
        </w:rPr>
        <w:t xml:space="preserve"> </w:t>
      </w:r>
      <w:r w:rsidRPr="0026684F">
        <w:rPr>
          <w:rFonts w:eastAsiaTheme="minorEastAsia"/>
          <w:i/>
          <w:sz w:val="23"/>
          <w:szCs w:val="23"/>
        </w:rPr>
        <w:tab/>
      </w:r>
      <w:r w:rsidRPr="0026684F">
        <w:rPr>
          <w:rFonts w:eastAsiaTheme="minorEastAsia"/>
          <w:i/>
          <w:sz w:val="23"/>
          <w:szCs w:val="23"/>
        </w:rPr>
        <w:tab/>
      </w:r>
      <w:r w:rsidRPr="0026684F">
        <w:rPr>
          <w:i/>
          <w:sz w:val="23"/>
          <w:szCs w:val="23"/>
          <w:rtl/>
        </w:rPr>
        <w:tab/>
      </w:r>
      <w:r w:rsidRPr="0026684F">
        <w:rPr>
          <w:i/>
          <w:sz w:val="23"/>
          <w:szCs w:val="23"/>
        </w:rPr>
        <w:tab/>
      </w:r>
      <w:r>
        <w:rPr>
          <w:i/>
          <w:sz w:val="23"/>
          <w:szCs w:val="23"/>
          <w:rtl/>
        </w:rPr>
        <w:tab/>
      </w:r>
      <w:r>
        <w:rPr>
          <w:i/>
          <w:sz w:val="23"/>
          <w:szCs w:val="23"/>
          <w:rtl/>
        </w:rPr>
        <w:tab/>
      </w:r>
      <w:r w:rsidRPr="0026684F">
        <w:rPr>
          <w:i/>
          <w:sz w:val="23"/>
          <w:szCs w:val="23"/>
          <w:rtl/>
        </w:rPr>
        <w:tab/>
      </w:r>
      <w:r w:rsidRPr="0026684F">
        <w:rPr>
          <w:i/>
          <w:sz w:val="23"/>
          <w:szCs w:val="23"/>
          <w:rtl/>
        </w:rPr>
        <w:tab/>
      </w:r>
      <w:r w:rsidRPr="0026684F">
        <w:rPr>
          <w:rFonts w:hint="cs"/>
          <w:i/>
          <w:sz w:val="23"/>
          <w:szCs w:val="23"/>
          <w:rtl/>
        </w:rPr>
        <w:t>(۵. ۳۰)</w:t>
      </w:r>
    </w:p>
    <w:p w14:paraId="29969401" w14:textId="77777777" w:rsidR="00411620" w:rsidRPr="0026684F" w:rsidRDefault="00411620" w:rsidP="00411620">
      <w:pPr>
        <w:tabs>
          <w:tab w:val="left" w:pos="1215"/>
        </w:tabs>
        <w:spacing w:line="216" w:lineRule="auto"/>
        <w:rPr>
          <w:rFonts w:eastAsiaTheme="minorEastAsia"/>
          <w:i/>
          <w:sz w:val="23"/>
          <w:szCs w:val="23"/>
          <w:rtl/>
          <w:lang w:val="en-GB"/>
        </w:rPr>
      </w:pPr>
      <w:r w:rsidRPr="0026684F">
        <w:rPr>
          <w:rFonts w:eastAsiaTheme="minorEastAsia" w:hint="cs"/>
          <w:i/>
          <w:sz w:val="23"/>
          <w:szCs w:val="23"/>
          <w:rtl/>
          <w:lang w:val="en-GB"/>
        </w:rPr>
        <w:t>قید منابع اقتصاد</w:t>
      </w:r>
      <w:r w:rsidRPr="0026684F">
        <w:rPr>
          <w:rFonts w:eastAsiaTheme="minorEastAsia" w:hint="cs"/>
          <w:i/>
          <w:sz w:val="23"/>
          <w:szCs w:val="23"/>
          <w:rtl/>
        </w:rPr>
        <w:t xml:space="preserve"> </w:t>
      </w:r>
      <w:r w:rsidRPr="0026684F">
        <w:rPr>
          <w:rFonts w:hint="cs"/>
          <w:i/>
          <w:sz w:val="23"/>
          <w:szCs w:val="23"/>
          <w:rtl/>
        </w:rPr>
        <w:t>(۵. ۲۳)</w:t>
      </w:r>
      <w:r w:rsidRPr="0026684F">
        <w:rPr>
          <w:rFonts w:eastAsiaTheme="minorEastAsia" w:hint="cs"/>
          <w:i/>
          <w:sz w:val="23"/>
          <w:szCs w:val="23"/>
          <w:rtl/>
          <w:lang w:val="en-GB"/>
        </w:rPr>
        <w:t xml:space="preserve"> را می</w:t>
      </w:r>
      <w:r w:rsidRPr="0026684F">
        <w:rPr>
          <w:rFonts w:eastAsiaTheme="minorEastAsia"/>
          <w:i/>
          <w:sz w:val="23"/>
          <w:szCs w:val="23"/>
          <w:rtl/>
          <w:lang w:val="en-GB"/>
        </w:rPr>
        <w:softHyphen/>
      </w:r>
      <w:r w:rsidRPr="0026684F">
        <w:rPr>
          <w:rFonts w:eastAsiaTheme="minorEastAsia" w:hint="cs"/>
          <w:i/>
          <w:sz w:val="23"/>
          <w:szCs w:val="23"/>
          <w:rtl/>
          <w:lang w:val="en-GB"/>
        </w:rPr>
        <w:t>توان از ترکیب قید بودجه</w:t>
      </w:r>
      <w:r w:rsidRPr="0026684F">
        <w:rPr>
          <w:rFonts w:eastAsiaTheme="minorEastAsia"/>
          <w:i/>
          <w:sz w:val="23"/>
          <w:szCs w:val="23"/>
          <w:rtl/>
          <w:lang w:val="en-GB"/>
        </w:rPr>
        <w:softHyphen/>
      </w:r>
      <w:r w:rsidRPr="0026684F">
        <w:rPr>
          <w:rFonts w:eastAsiaTheme="minorEastAsia" w:hint="cs"/>
          <w:i/>
          <w:sz w:val="23"/>
          <w:szCs w:val="23"/>
          <w:rtl/>
          <w:lang w:val="en-GB"/>
        </w:rPr>
        <w:t xml:space="preserve">ی خانوار </w:t>
      </w:r>
      <w:r w:rsidRPr="0026684F">
        <w:rPr>
          <w:rFonts w:hint="cs"/>
          <w:i/>
          <w:sz w:val="23"/>
          <w:szCs w:val="23"/>
          <w:rtl/>
        </w:rPr>
        <w:t>(۵. ۲۲)</w:t>
      </w:r>
      <w:r w:rsidRPr="0026684F">
        <w:rPr>
          <w:rFonts w:eastAsiaTheme="minorEastAsia" w:hint="cs"/>
          <w:i/>
          <w:sz w:val="23"/>
          <w:szCs w:val="23"/>
          <w:rtl/>
          <w:lang w:val="en-GB"/>
        </w:rPr>
        <w:t xml:space="preserve"> و قید بودجه</w:t>
      </w:r>
      <w:r w:rsidRPr="0026684F">
        <w:rPr>
          <w:rFonts w:eastAsiaTheme="minorEastAsia"/>
          <w:i/>
          <w:sz w:val="23"/>
          <w:szCs w:val="23"/>
          <w:rtl/>
          <w:lang w:val="en-GB"/>
        </w:rPr>
        <w:softHyphen/>
      </w:r>
      <w:r w:rsidRPr="0026684F">
        <w:rPr>
          <w:rFonts w:eastAsiaTheme="minorEastAsia" w:hint="cs"/>
          <w:i/>
          <w:sz w:val="23"/>
          <w:szCs w:val="23"/>
          <w:rtl/>
          <w:lang w:val="en-GB"/>
        </w:rPr>
        <w:t xml:space="preserve">ی دولت </w:t>
      </w:r>
      <w:r w:rsidRPr="0026684F">
        <w:rPr>
          <w:rFonts w:hint="cs"/>
          <w:i/>
          <w:sz w:val="23"/>
          <w:szCs w:val="23"/>
          <w:rtl/>
        </w:rPr>
        <w:t>(۵. ۳۰)</w:t>
      </w:r>
      <w:r w:rsidRPr="0026684F">
        <w:rPr>
          <w:rFonts w:eastAsiaTheme="minorEastAsia" w:hint="cs"/>
          <w:i/>
          <w:sz w:val="23"/>
          <w:szCs w:val="23"/>
          <w:rtl/>
          <w:lang w:val="en-GB"/>
        </w:rPr>
        <w:t xml:space="preserve"> نیز بدست آورد. بنابراین مسئله</w:t>
      </w:r>
      <w:r w:rsidRPr="0026684F">
        <w:rPr>
          <w:rFonts w:eastAsiaTheme="minorEastAsia"/>
          <w:i/>
          <w:sz w:val="23"/>
          <w:szCs w:val="23"/>
          <w:rtl/>
          <w:lang w:val="en-GB"/>
        </w:rPr>
        <w:softHyphen/>
      </w:r>
      <w:r w:rsidRPr="0026684F">
        <w:rPr>
          <w:rFonts w:eastAsiaTheme="minorEastAsia" w:hint="cs"/>
          <w:i/>
          <w:sz w:val="23"/>
          <w:szCs w:val="23"/>
          <w:rtl/>
          <w:lang w:val="en-GB"/>
        </w:rPr>
        <w:t>ی دولت بر اساس حداکثر کردن مطلوبیت بین دوره</w:t>
      </w:r>
      <w:r w:rsidRPr="0026684F">
        <w:rPr>
          <w:rFonts w:eastAsiaTheme="minorEastAsia"/>
          <w:i/>
          <w:sz w:val="23"/>
          <w:szCs w:val="23"/>
          <w:rtl/>
          <w:lang w:val="en-GB"/>
        </w:rPr>
        <w:softHyphen/>
      </w:r>
      <w:r w:rsidRPr="0026684F">
        <w:rPr>
          <w:rFonts w:eastAsiaTheme="minorEastAsia" w:hint="cs"/>
          <w:i/>
          <w:sz w:val="23"/>
          <w:szCs w:val="23"/>
          <w:rtl/>
          <w:lang w:val="en-GB"/>
        </w:rPr>
        <w:t xml:space="preserve">ای خانوار و با توجه به شرط اعمالی </w:t>
      </w:r>
      <w:r w:rsidRPr="0026684F">
        <w:rPr>
          <w:rFonts w:hint="cs"/>
          <w:i/>
          <w:sz w:val="23"/>
          <w:szCs w:val="23"/>
          <w:rtl/>
        </w:rPr>
        <w:t>(۵. ۲۹)</w:t>
      </w:r>
      <w:r w:rsidRPr="0026684F">
        <w:rPr>
          <w:rFonts w:eastAsiaTheme="minorEastAsia" w:hint="cs"/>
          <w:i/>
          <w:sz w:val="23"/>
          <w:szCs w:val="23"/>
          <w:rtl/>
        </w:rPr>
        <w:t xml:space="preserve"> </w:t>
      </w:r>
      <w:r w:rsidRPr="0026684F">
        <w:rPr>
          <w:rFonts w:eastAsiaTheme="minorEastAsia" w:hint="cs"/>
          <w:i/>
          <w:sz w:val="23"/>
          <w:szCs w:val="23"/>
          <w:rtl/>
          <w:lang w:val="en-GB"/>
        </w:rPr>
        <w:t>و قید منبع اقتصاد</w:t>
      </w:r>
      <w:r w:rsidRPr="0026684F">
        <w:rPr>
          <w:rFonts w:eastAsiaTheme="minorEastAsia" w:hint="cs"/>
          <w:i/>
          <w:sz w:val="23"/>
          <w:szCs w:val="23"/>
          <w:rtl/>
        </w:rPr>
        <w:t xml:space="preserve"> </w:t>
      </w:r>
      <w:r w:rsidRPr="0026684F">
        <w:rPr>
          <w:rFonts w:hint="cs"/>
          <w:i/>
          <w:sz w:val="23"/>
          <w:szCs w:val="23"/>
          <w:rtl/>
        </w:rPr>
        <w:t>(۵. ۲۳)</w:t>
      </w:r>
      <w:r w:rsidRPr="0026684F">
        <w:rPr>
          <w:rFonts w:eastAsiaTheme="minorEastAsia" w:hint="cs"/>
          <w:i/>
          <w:sz w:val="23"/>
          <w:szCs w:val="23"/>
          <w:rtl/>
        </w:rPr>
        <w:t xml:space="preserve"> </w:t>
      </w:r>
      <w:r w:rsidRPr="0026684F">
        <w:rPr>
          <w:rFonts w:eastAsiaTheme="minorEastAsia" w:hint="cs"/>
          <w:i/>
          <w:sz w:val="23"/>
          <w:szCs w:val="23"/>
          <w:rtl/>
          <w:lang w:val="en-GB"/>
        </w:rPr>
        <w:t>(و یا قید بودجه</w:t>
      </w:r>
      <w:r w:rsidRPr="0026684F">
        <w:rPr>
          <w:rFonts w:eastAsiaTheme="minorEastAsia"/>
          <w:i/>
          <w:sz w:val="23"/>
          <w:szCs w:val="23"/>
          <w:rtl/>
          <w:lang w:val="en-GB"/>
        </w:rPr>
        <w:softHyphen/>
      </w:r>
      <w:r w:rsidRPr="0026684F">
        <w:rPr>
          <w:rFonts w:eastAsiaTheme="minorEastAsia" w:hint="cs"/>
          <w:i/>
          <w:sz w:val="23"/>
          <w:szCs w:val="23"/>
          <w:rtl/>
          <w:lang w:val="en-GB"/>
        </w:rPr>
        <w:t xml:space="preserve">ی خانوار </w:t>
      </w:r>
      <w:r w:rsidRPr="0026684F">
        <w:rPr>
          <w:rFonts w:hint="cs"/>
          <w:i/>
          <w:sz w:val="23"/>
          <w:szCs w:val="23"/>
          <w:rtl/>
        </w:rPr>
        <w:t>(۵. ۲۲)</w:t>
      </w:r>
      <w:r w:rsidRPr="0026684F">
        <w:rPr>
          <w:rFonts w:eastAsiaTheme="minorEastAsia" w:hint="cs"/>
          <w:i/>
          <w:sz w:val="23"/>
          <w:szCs w:val="23"/>
          <w:rtl/>
        </w:rPr>
        <w:t xml:space="preserve"> </w:t>
      </w:r>
      <w:r w:rsidRPr="0026684F">
        <w:rPr>
          <w:rFonts w:eastAsiaTheme="minorEastAsia" w:hint="cs"/>
          <w:i/>
          <w:sz w:val="23"/>
          <w:szCs w:val="23"/>
          <w:rtl/>
          <w:lang w:val="en-GB"/>
        </w:rPr>
        <w:t>و قید بودجه</w:t>
      </w:r>
      <w:r w:rsidRPr="0026684F">
        <w:rPr>
          <w:rFonts w:eastAsiaTheme="minorEastAsia"/>
          <w:i/>
          <w:sz w:val="23"/>
          <w:szCs w:val="23"/>
          <w:rtl/>
          <w:lang w:val="en-GB"/>
        </w:rPr>
        <w:softHyphen/>
      </w:r>
      <w:r w:rsidRPr="0026684F">
        <w:rPr>
          <w:rFonts w:eastAsiaTheme="minorEastAsia" w:hint="cs"/>
          <w:i/>
          <w:sz w:val="23"/>
          <w:szCs w:val="23"/>
          <w:rtl/>
          <w:lang w:val="en-GB"/>
        </w:rPr>
        <w:t xml:space="preserve">ی دولت </w:t>
      </w:r>
      <w:r w:rsidRPr="0026684F">
        <w:rPr>
          <w:rFonts w:hint="cs"/>
          <w:i/>
          <w:sz w:val="23"/>
          <w:szCs w:val="23"/>
          <w:rtl/>
        </w:rPr>
        <w:t>(۵. ۳۰))</w:t>
      </w:r>
      <w:r w:rsidRPr="0026684F">
        <w:rPr>
          <w:rFonts w:eastAsiaTheme="minorEastAsia" w:hint="cs"/>
          <w:i/>
          <w:sz w:val="23"/>
          <w:szCs w:val="23"/>
          <w:rtl/>
        </w:rPr>
        <w:t xml:space="preserve"> </w:t>
      </w:r>
      <w:r w:rsidRPr="0026684F">
        <w:rPr>
          <w:rFonts w:eastAsiaTheme="minorEastAsia" w:hint="cs"/>
          <w:i/>
          <w:sz w:val="23"/>
          <w:szCs w:val="23"/>
          <w:rtl/>
          <w:lang w:val="en-GB"/>
        </w:rPr>
        <w:t>تبیین می</w:t>
      </w:r>
      <w:r w:rsidRPr="0026684F">
        <w:rPr>
          <w:rFonts w:eastAsiaTheme="minorEastAsia"/>
          <w:i/>
          <w:sz w:val="23"/>
          <w:szCs w:val="23"/>
          <w:rtl/>
          <w:lang w:val="en-GB"/>
        </w:rPr>
        <w:softHyphen/>
      </w:r>
      <w:r w:rsidRPr="0026684F">
        <w:rPr>
          <w:rFonts w:eastAsiaTheme="minorEastAsia" w:hint="cs"/>
          <w:i/>
          <w:sz w:val="23"/>
          <w:szCs w:val="23"/>
          <w:rtl/>
          <w:lang w:val="en-GB"/>
        </w:rPr>
        <w:t>شود. باید توجه نمود که در قید بودجه</w:t>
      </w:r>
      <w:r w:rsidRPr="0026684F">
        <w:rPr>
          <w:rFonts w:eastAsiaTheme="minorEastAsia"/>
          <w:i/>
          <w:sz w:val="23"/>
          <w:szCs w:val="23"/>
          <w:rtl/>
          <w:lang w:val="en-GB"/>
        </w:rPr>
        <w:softHyphen/>
      </w:r>
      <w:r w:rsidRPr="0026684F">
        <w:rPr>
          <w:rFonts w:eastAsiaTheme="minorEastAsia" w:hint="cs"/>
          <w:i/>
          <w:sz w:val="23"/>
          <w:szCs w:val="23"/>
          <w:rtl/>
          <w:lang w:val="en-GB"/>
        </w:rPr>
        <w:t>ی دولت سه نوع نرخ مالیاتی وجود دارد که در قید منبع اقتصاد و لاگرانژین ظاهر نمی</w:t>
      </w:r>
      <w:r w:rsidRPr="0026684F">
        <w:rPr>
          <w:rFonts w:eastAsiaTheme="minorEastAsia"/>
          <w:i/>
          <w:sz w:val="23"/>
          <w:szCs w:val="23"/>
          <w:rtl/>
          <w:lang w:val="en-GB"/>
        </w:rPr>
        <w:softHyphen/>
      </w:r>
      <w:r w:rsidRPr="0026684F">
        <w:rPr>
          <w:rFonts w:eastAsiaTheme="minorEastAsia" w:hint="cs"/>
          <w:i/>
          <w:sz w:val="23"/>
          <w:szCs w:val="23"/>
          <w:rtl/>
          <w:lang w:val="en-GB"/>
        </w:rPr>
        <w:t xml:space="preserve">شود. لاگرانژین این مسئله عبارت است از </w:t>
      </w:r>
    </w:p>
    <w:p w14:paraId="10B8BE49" w14:textId="77777777" w:rsidR="00411620" w:rsidRPr="0026684F" w:rsidRDefault="00411620" w:rsidP="00411620">
      <w:pPr>
        <w:tabs>
          <w:tab w:val="left" w:pos="1215"/>
        </w:tabs>
        <w:bidi w:val="0"/>
        <w:spacing w:line="216" w:lineRule="auto"/>
        <w:rPr>
          <w:rFonts w:eastAsiaTheme="minorEastAsia"/>
          <w:i/>
          <w:sz w:val="23"/>
          <w:szCs w:val="23"/>
        </w:rPr>
      </w:pPr>
      <w:r w:rsidRPr="00703635">
        <w:rPr>
          <w:position w:val="-84"/>
        </w:rPr>
        <w:object w:dxaOrig="5200" w:dyaOrig="1780" w14:anchorId="2172247C">
          <v:shape id="_x0000_i2855" type="#_x0000_t75" style="width:260.15pt;height:88.95pt" o:ole="">
            <v:imagedata r:id="rId3696" o:title=""/>
          </v:shape>
          <o:OLEObject Type="Embed" ProgID="Equation.DSMT4" ShapeID="_x0000_i2855" DrawAspect="Content" ObjectID="_1791376799" r:id="rId3697"/>
        </w:object>
      </w:r>
    </w:p>
    <w:p w14:paraId="1A68BAC8" w14:textId="77777777" w:rsidR="00411620" w:rsidRPr="0026684F" w:rsidRDefault="00411620" w:rsidP="00411620">
      <w:pPr>
        <w:pStyle w:val="MTDisplayEquation"/>
        <w:bidi/>
        <w:spacing w:line="216" w:lineRule="auto"/>
        <w:rPr>
          <w:rFonts w:ascii="Times New Roman" w:eastAsiaTheme="minorEastAsia" w:hAnsi="Times New Roman" w:cs="B Nazanin"/>
          <w:i/>
          <w:sz w:val="23"/>
          <w:szCs w:val="23"/>
          <w:lang w:val="en-GB"/>
        </w:rPr>
      </w:pPr>
      <w:r w:rsidRPr="0026684F">
        <w:rPr>
          <w:rFonts w:ascii="Times New Roman" w:eastAsiaTheme="minorEastAsia" w:hAnsi="Times New Roman" w:cs="B Nazanin" w:hint="cs"/>
          <w:i/>
          <w:sz w:val="23"/>
          <w:szCs w:val="23"/>
          <w:rtl/>
          <w:lang w:val="en-GB"/>
        </w:rPr>
        <w:t>اگر تابع مطلوبیت جدید زیر را تعریف کنیم</w:t>
      </w:r>
    </w:p>
    <w:p w14:paraId="3ED25057" w14:textId="77777777" w:rsidR="00411620" w:rsidRPr="0026684F" w:rsidRDefault="00411620" w:rsidP="00411620">
      <w:pPr>
        <w:tabs>
          <w:tab w:val="left" w:pos="0"/>
        </w:tabs>
        <w:bidi w:val="0"/>
        <w:spacing w:line="216" w:lineRule="auto"/>
        <w:rPr>
          <w:i/>
          <w:sz w:val="23"/>
          <w:szCs w:val="23"/>
        </w:rPr>
      </w:pPr>
      <w:r w:rsidRPr="00703635">
        <w:rPr>
          <w:position w:val="-12"/>
        </w:rPr>
        <w:object w:dxaOrig="4640" w:dyaOrig="360" w14:anchorId="32EE746D">
          <v:shape id="_x0000_i2856" type="#_x0000_t75" style="width:232.35pt;height:18.15pt" o:ole="">
            <v:imagedata r:id="rId3698" o:title=""/>
          </v:shape>
          <o:OLEObject Type="Embed" ProgID="Equation.DSMT4" ShapeID="_x0000_i2856" DrawAspect="Content" ObjectID="_1791376800" r:id="rId3699"/>
        </w:object>
      </w:r>
      <w:r w:rsidRPr="0026684F">
        <w:rPr>
          <w:i/>
          <w:sz w:val="23"/>
          <w:szCs w:val="23"/>
        </w:rPr>
        <w:tab/>
      </w:r>
      <w:r w:rsidRPr="0026684F">
        <w:rPr>
          <w:i/>
          <w:sz w:val="23"/>
          <w:szCs w:val="23"/>
        </w:rPr>
        <w:tab/>
      </w:r>
      <w:r w:rsidRPr="0026684F">
        <w:rPr>
          <w:i/>
          <w:sz w:val="23"/>
          <w:szCs w:val="23"/>
          <w:rtl/>
        </w:rPr>
        <w:tab/>
      </w:r>
      <w:r>
        <w:rPr>
          <w:i/>
          <w:sz w:val="23"/>
          <w:szCs w:val="23"/>
          <w:rtl/>
        </w:rPr>
        <w:tab/>
      </w:r>
      <w:r w:rsidRPr="0026684F">
        <w:rPr>
          <w:i/>
          <w:sz w:val="23"/>
          <w:szCs w:val="23"/>
        </w:rPr>
        <w:tab/>
      </w:r>
      <w:r w:rsidRPr="0026684F">
        <w:rPr>
          <w:rFonts w:hint="cs"/>
          <w:i/>
          <w:sz w:val="23"/>
          <w:szCs w:val="23"/>
          <w:rtl/>
        </w:rPr>
        <w:t>(۵. ۳۱)</w:t>
      </w:r>
    </w:p>
    <w:p w14:paraId="2560F099" w14:textId="77777777" w:rsidR="00411620" w:rsidRPr="0026684F" w:rsidRDefault="00411620" w:rsidP="00411620">
      <w:pPr>
        <w:tabs>
          <w:tab w:val="left" w:pos="1215"/>
        </w:tabs>
        <w:spacing w:line="216" w:lineRule="auto"/>
        <w:rPr>
          <w:rFonts w:eastAsiaTheme="minorEastAsia"/>
          <w:i/>
          <w:sz w:val="23"/>
          <w:szCs w:val="23"/>
        </w:rPr>
      </w:pPr>
      <w:r w:rsidRPr="0026684F">
        <w:rPr>
          <w:rFonts w:eastAsiaTheme="minorEastAsia" w:hint="cs"/>
          <w:i/>
          <w:sz w:val="23"/>
          <w:szCs w:val="23"/>
          <w:rtl/>
        </w:rPr>
        <w:t>و لاگرانژین را بازنویسی کنیم خواهیم داشت</w:t>
      </w:r>
    </w:p>
    <w:p w14:paraId="12FAF301" w14:textId="77777777" w:rsidR="00411620" w:rsidRPr="0026684F" w:rsidRDefault="00411620" w:rsidP="00411620">
      <w:pPr>
        <w:pStyle w:val="MTDisplayEquation"/>
        <w:tabs>
          <w:tab w:val="clear" w:pos="6660"/>
        </w:tabs>
        <w:spacing w:line="216" w:lineRule="auto"/>
        <w:rPr>
          <w:rFonts w:ascii="Times New Roman" w:hAnsi="Times New Roman" w:cs="B Nazanin"/>
          <w:i/>
          <w:sz w:val="23"/>
          <w:szCs w:val="23"/>
        </w:rPr>
      </w:pPr>
      <w:r w:rsidRPr="00703635">
        <w:rPr>
          <w:position w:val="-54"/>
        </w:rPr>
        <w:object w:dxaOrig="5220" w:dyaOrig="1180" w14:anchorId="00F5491A">
          <v:shape id="_x0000_i2857" type="#_x0000_t75" style="width:260.75pt;height:58.7pt" o:ole="">
            <v:imagedata r:id="rId3700" o:title=""/>
          </v:shape>
          <o:OLEObject Type="Embed" ProgID="Equation.DSMT4" ShapeID="_x0000_i2857" DrawAspect="Content" ObjectID="_1791376801" r:id="rId3701"/>
        </w:object>
      </w:r>
      <w:r>
        <w:rPr>
          <w:rtl/>
        </w:rPr>
        <w:tab/>
      </w:r>
      <w:r w:rsidRPr="0026684F">
        <w:rPr>
          <w:rFonts w:cs="B Nazanin"/>
          <w:sz w:val="23"/>
          <w:szCs w:val="23"/>
          <w:rtl/>
        </w:rPr>
        <w:tab/>
      </w:r>
      <w:r w:rsidRPr="0026684F">
        <w:rPr>
          <w:rFonts w:ascii="Times New Roman" w:hAnsi="Times New Roman" w:cs="B Nazanin"/>
          <w:i/>
          <w:sz w:val="23"/>
          <w:szCs w:val="23"/>
        </w:rPr>
        <w:tab/>
      </w:r>
      <w:r w:rsidRPr="0026684F">
        <w:rPr>
          <w:rFonts w:ascii="Times New Roman" w:hAnsi="Times New Roman" w:cs="B Nazanin" w:hint="cs"/>
          <w:i/>
          <w:sz w:val="23"/>
          <w:szCs w:val="23"/>
          <w:rtl/>
        </w:rPr>
        <w:t>(۵. ۳۲)</w:t>
      </w:r>
    </w:p>
    <w:p w14:paraId="40492389" w14:textId="77777777" w:rsidR="00411620" w:rsidRPr="0026684F" w:rsidRDefault="00411620" w:rsidP="00411620">
      <w:pPr>
        <w:pStyle w:val="MTDisplayEquation"/>
        <w:bidi/>
        <w:spacing w:line="216" w:lineRule="auto"/>
        <w:rPr>
          <w:rFonts w:ascii="Times New Roman" w:eastAsiaTheme="minorEastAsia" w:hAnsi="Times New Roman" w:cs="B Nazanin"/>
          <w:i/>
          <w:sz w:val="23"/>
          <w:szCs w:val="23"/>
        </w:rPr>
      </w:pPr>
      <w:r w:rsidRPr="0026684F">
        <w:rPr>
          <w:rFonts w:ascii="Times New Roman" w:eastAsiaTheme="minorEastAsia" w:hAnsi="Times New Roman" w:cs="B Nazanin" w:hint="cs"/>
          <w:i/>
          <w:sz w:val="23"/>
          <w:szCs w:val="23"/>
          <w:rtl/>
        </w:rPr>
        <w:t xml:space="preserve"> </w:t>
      </w:r>
      <w:r w:rsidRPr="0026684F">
        <w:rPr>
          <w:rFonts w:ascii="Times New Roman" w:eastAsiaTheme="minorEastAsia" w:hAnsi="Times New Roman" w:cs="B Nazanin" w:hint="cs"/>
          <w:i/>
          <w:sz w:val="23"/>
          <w:szCs w:val="23"/>
          <w:rtl/>
          <w:lang w:val="en-GB"/>
        </w:rPr>
        <w:t>که در آن شرایط مرتبه</w:t>
      </w:r>
      <w:r w:rsidRPr="0026684F">
        <w:rPr>
          <w:rFonts w:ascii="Times New Roman" w:eastAsiaTheme="minorEastAsia" w:hAnsi="Times New Roman" w:cs="B Nazanin"/>
          <w:i/>
          <w:sz w:val="23"/>
          <w:szCs w:val="23"/>
          <w:rtl/>
          <w:lang w:val="en-GB"/>
        </w:rPr>
        <w:softHyphen/>
      </w:r>
      <w:r w:rsidRPr="0026684F">
        <w:rPr>
          <w:rFonts w:ascii="Times New Roman" w:eastAsiaTheme="minorEastAsia" w:hAnsi="Times New Roman" w:cs="B Nazanin" w:hint="cs"/>
          <w:i/>
          <w:sz w:val="23"/>
          <w:szCs w:val="23"/>
          <w:rtl/>
          <w:lang w:val="en-GB"/>
        </w:rPr>
        <w:t>ی اول مربوط به مخارج مصرفی خانوار، عرضه</w:t>
      </w:r>
      <w:r w:rsidRPr="0026684F">
        <w:rPr>
          <w:rFonts w:ascii="Times New Roman" w:eastAsiaTheme="minorEastAsia" w:hAnsi="Times New Roman" w:cs="B Nazanin"/>
          <w:i/>
          <w:sz w:val="23"/>
          <w:szCs w:val="23"/>
          <w:rtl/>
          <w:lang w:val="en-GB"/>
        </w:rPr>
        <w:softHyphen/>
      </w:r>
      <w:r w:rsidRPr="0026684F">
        <w:rPr>
          <w:rFonts w:ascii="Times New Roman" w:eastAsiaTheme="minorEastAsia" w:hAnsi="Times New Roman" w:cs="B Nazanin" w:hint="cs"/>
          <w:i/>
          <w:sz w:val="23"/>
          <w:szCs w:val="23"/>
          <w:rtl/>
          <w:lang w:val="en-GB"/>
        </w:rPr>
        <w:t xml:space="preserve">ی نیروی کار و موجودی سرمایه عبارت خواهند بود از </w:t>
      </w:r>
    </w:p>
    <w:p w14:paraId="50E5251F"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28"/>
        </w:rPr>
        <w:object w:dxaOrig="3680" w:dyaOrig="620" w14:anchorId="5D021334">
          <v:shape id="_x0000_i2858" type="#_x0000_t75" style="width:183.95pt;height:31.45pt" o:ole="">
            <v:imagedata r:id="rId3702" o:title=""/>
          </v:shape>
          <o:OLEObject Type="Embed" ProgID="Equation.DSMT4" ShapeID="_x0000_i2858" DrawAspect="Content" ObjectID="_1791376802" r:id="rId3703"/>
        </w:object>
      </w:r>
    </w:p>
    <w:p w14:paraId="01CDF4C0"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lang w:val="el-GR"/>
        </w:rPr>
      </w:pPr>
      <w:r w:rsidRPr="00703635">
        <w:rPr>
          <w:position w:val="-28"/>
        </w:rPr>
        <w:object w:dxaOrig="3660" w:dyaOrig="620" w14:anchorId="33A7AAE7">
          <v:shape id="_x0000_i2859" type="#_x0000_t75" style="width:182.7pt;height:31.45pt" o:ole="">
            <v:imagedata r:id="rId3704" o:title=""/>
          </v:shape>
          <o:OLEObject Type="Embed" ProgID="Equation.DSMT4" ShapeID="_x0000_i2859" DrawAspect="Content" ObjectID="_1791376803" r:id="rId3705"/>
        </w:object>
      </w:r>
    </w:p>
    <w:p w14:paraId="55331F19"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28"/>
        </w:rPr>
        <w:object w:dxaOrig="3700" w:dyaOrig="620" w14:anchorId="42542C45">
          <v:shape id="_x0000_i2860" type="#_x0000_t75" style="width:184.55pt;height:31.45pt" o:ole="">
            <v:imagedata r:id="rId3706" o:title=""/>
          </v:shape>
          <o:OLEObject Type="Embed" ProgID="Equation.DSMT4" ShapeID="_x0000_i2860" DrawAspect="Content" ObjectID="_1791376804" r:id="rId3707"/>
        </w:object>
      </w:r>
    </w:p>
    <w:p w14:paraId="253CE883" w14:textId="77777777" w:rsidR="00411620" w:rsidRPr="0026684F" w:rsidRDefault="00411620" w:rsidP="00411620">
      <w:pPr>
        <w:tabs>
          <w:tab w:val="left" w:pos="1215"/>
        </w:tabs>
        <w:spacing w:line="216" w:lineRule="auto"/>
        <w:rPr>
          <w:rFonts w:eastAsiaTheme="minorEastAsia"/>
          <w:i/>
          <w:sz w:val="23"/>
          <w:szCs w:val="23"/>
          <w:rtl/>
          <w:lang w:val="en-GB"/>
        </w:rPr>
      </w:pPr>
      <w:r w:rsidRPr="0026684F">
        <w:rPr>
          <w:rFonts w:eastAsiaTheme="minorEastAsia" w:hint="cs"/>
          <w:i/>
          <w:sz w:val="23"/>
          <w:szCs w:val="23"/>
          <w:rtl/>
          <w:lang w:val="en-GB"/>
        </w:rPr>
        <w:t>اکنون به راحتی می</w:t>
      </w:r>
      <w:r w:rsidRPr="0026684F">
        <w:rPr>
          <w:rFonts w:eastAsiaTheme="minorEastAsia"/>
          <w:i/>
          <w:sz w:val="23"/>
          <w:szCs w:val="23"/>
          <w:rtl/>
          <w:lang w:val="en-GB"/>
        </w:rPr>
        <w:softHyphen/>
      </w:r>
      <w:r w:rsidRPr="0026684F">
        <w:rPr>
          <w:rFonts w:eastAsiaTheme="minorEastAsia" w:hint="cs"/>
          <w:i/>
          <w:sz w:val="23"/>
          <w:szCs w:val="23"/>
          <w:rtl/>
          <w:lang w:val="en-GB"/>
        </w:rPr>
        <w:t>توان مقادیر بهینه</w:t>
      </w:r>
      <w:r w:rsidRPr="0026684F">
        <w:rPr>
          <w:rFonts w:eastAsiaTheme="minorEastAsia"/>
          <w:i/>
          <w:sz w:val="23"/>
          <w:szCs w:val="23"/>
          <w:rtl/>
          <w:lang w:val="en-GB"/>
        </w:rPr>
        <w:softHyphen/>
      </w:r>
      <w:r w:rsidRPr="0026684F">
        <w:rPr>
          <w:rFonts w:eastAsiaTheme="minorEastAsia" w:hint="cs"/>
          <w:i/>
          <w:sz w:val="23"/>
          <w:szCs w:val="23"/>
          <w:rtl/>
          <w:lang w:val="en-GB"/>
        </w:rPr>
        <w:t>ی سه نوع نرخ مالیاتی را محاسبه نمود. از معادله</w:t>
      </w:r>
      <w:r w:rsidRPr="0026684F">
        <w:rPr>
          <w:rFonts w:eastAsiaTheme="minorEastAsia"/>
          <w:i/>
          <w:sz w:val="23"/>
          <w:szCs w:val="23"/>
          <w:rtl/>
          <w:lang w:val="en-GB"/>
        </w:rPr>
        <w:softHyphen/>
      </w:r>
      <w:r w:rsidRPr="0026684F">
        <w:rPr>
          <w:rFonts w:eastAsiaTheme="minorEastAsia" w:hint="cs"/>
          <w:i/>
          <w:sz w:val="23"/>
          <w:szCs w:val="23"/>
          <w:rtl/>
          <w:lang w:val="en-GB"/>
        </w:rPr>
        <w:t xml:space="preserve">ی اول و سوم شرایط مرتبه اول فوق و برای </w:t>
      </w:r>
      <w:r w:rsidRPr="00703635">
        <w:rPr>
          <w:position w:val="-8"/>
        </w:rPr>
        <w:object w:dxaOrig="580" w:dyaOrig="279" w14:anchorId="3233306E">
          <v:shape id="_x0000_i2861" type="#_x0000_t75" style="width:29.05pt;height:13.9pt" o:ole="">
            <v:imagedata r:id="rId3708" o:title=""/>
          </v:shape>
          <o:OLEObject Type="Embed" ProgID="Equation.DSMT4" ShapeID="_x0000_i2861" DrawAspect="Content" ObjectID="_1791376805" r:id="rId3709"/>
        </w:object>
      </w:r>
      <w:r w:rsidRPr="0026684F">
        <w:rPr>
          <w:rFonts w:eastAsiaTheme="minorEastAsia" w:hint="cs"/>
          <w:i/>
          <w:sz w:val="23"/>
          <w:szCs w:val="23"/>
          <w:rtl/>
          <w:lang w:val="en-GB"/>
        </w:rPr>
        <w:t xml:space="preserve"> </w:t>
      </w:r>
      <w:r w:rsidRPr="0026684F">
        <w:rPr>
          <w:rFonts w:eastAsiaTheme="minorEastAsia" w:hint="cs"/>
          <w:i/>
          <w:sz w:val="23"/>
          <w:szCs w:val="23"/>
          <w:rtl/>
        </w:rPr>
        <w:t>داریم</w:t>
      </w:r>
      <w:r w:rsidRPr="0026684F">
        <w:rPr>
          <w:rFonts w:eastAsiaTheme="minorEastAsia" w:hint="cs"/>
          <w:i/>
          <w:sz w:val="23"/>
          <w:szCs w:val="23"/>
          <w:rtl/>
          <w:lang w:val="en-GB"/>
        </w:rPr>
        <w:t xml:space="preserve"> </w:t>
      </w:r>
    </w:p>
    <w:p w14:paraId="2CB0BFAF"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lang w:val="en-GB"/>
        </w:rPr>
      </w:pPr>
      <w:r w:rsidRPr="00703635">
        <w:rPr>
          <w:position w:val="-28"/>
        </w:rPr>
        <w:object w:dxaOrig="5560" w:dyaOrig="620" w14:anchorId="70D5ABDF">
          <v:shape id="_x0000_i2862" type="#_x0000_t75" style="width:277.7pt;height:31.45pt" o:ole="">
            <v:imagedata r:id="rId3710" o:title=""/>
          </v:shape>
          <o:OLEObject Type="Embed" ProgID="Equation.DSMT4" ShapeID="_x0000_i2862" DrawAspect="Content" ObjectID="_1791376806" r:id="rId3711"/>
        </w:object>
      </w:r>
    </w:p>
    <w:p w14:paraId="13B66B1A"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8"/>
        </w:rPr>
        <w:object w:dxaOrig="5380" w:dyaOrig="620" w14:anchorId="502F87E4">
          <v:shape id="_x0000_i2863" type="#_x0000_t75" style="width:269.25pt;height:31.45pt" o:ole="">
            <v:imagedata r:id="rId3712" o:title=""/>
          </v:shape>
          <o:OLEObject Type="Embed" ProgID="Equation.DSMT4" ShapeID="_x0000_i2863" DrawAspect="Content" ObjectID="_1791376807" r:id="rId3713"/>
        </w:object>
      </w:r>
    </w:p>
    <w:p w14:paraId="583785B5" w14:textId="77777777" w:rsidR="00411620" w:rsidRPr="0026684F" w:rsidRDefault="00411620" w:rsidP="00411620">
      <w:pPr>
        <w:tabs>
          <w:tab w:val="left" w:pos="1215"/>
        </w:tabs>
        <w:spacing w:line="216" w:lineRule="auto"/>
        <w:rPr>
          <w:rFonts w:eastAsiaTheme="minorEastAsia"/>
          <w:i/>
          <w:sz w:val="23"/>
          <w:szCs w:val="23"/>
          <w:lang w:val="en-GB"/>
        </w:rPr>
      </w:pPr>
      <w:r w:rsidRPr="0026684F">
        <w:rPr>
          <w:rFonts w:eastAsiaTheme="minorEastAsia" w:hint="cs"/>
          <w:i/>
          <w:sz w:val="23"/>
          <w:szCs w:val="23"/>
          <w:rtl/>
          <w:lang w:val="en-GB"/>
        </w:rPr>
        <w:t>بنابراین معادله</w:t>
      </w:r>
      <w:r w:rsidRPr="0026684F">
        <w:rPr>
          <w:rFonts w:eastAsiaTheme="minorEastAsia"/>
          <w:i/>
          <w:sz w:val="23"/>
          <w:szCs w:val="23"/>
          <w:rtl/>
          <w:lang w:val="en-GB"/>
        </w:rPr>
        <w:softHyphen/>
      </w:r>
      <w:r w:rsidRPr="0026684F">
        <w:rPr>
          <w:rFonts w:eastAsiaTheme="minorEastAsia" w:hint="cs"/>
          <w:i/>
          <w:sz w:val="23"/>
          <w:szCs w:val="23"/>
          <w:rtl/>
          <w:lang w:val="en-GB"/>
        </w:rPr>
        <w:t>ی اویلر عبارت خواهد بود از</w:t>
      </w:r>
    </w:p>
    <w:p w14:paraId="6511529C" w14:textId="77777777" w:rsidR="00411620" w:rsidRPr="0026684F" w:rsidRDefault="00411620" w:rsidP="00411620">
      <w:pPr>
        <w:pStyle w:val="MTDisplayEquation"/>
        <w:spacing w:line="216" w:lineRule="auto"/>
        <w:jc w:val="left"/>
        <w:rPr>
          <w:rFonts w:ascii="Times New Roman" w:eastAsiaTheme="minorEastAsia" w:hAnsi="Times New Roman" w:cs="B Nazanin"/>
          <w:i/>
          <w:sz w:val="23"/>
          <w:szCs w:val="23"/>
          <w:rtl/>
        </w:rPr>
      </w:pPr>
      <w:r w:rsidRPr="00703635">
        <w:rPr>
          <w:position w:val="-30"/>
        </w:rPr>
        <w:object w:dxaOrig="1760" w:dyaOrig="680" w14:anchorId="4A7D15A9">
          <v:shape id="_x0000_i2864" type="#_x0000_t75" style="width:87.75pt;height:33.9pt" o:ole="">
            <v:imagedata r:id="rId3714" o:title=""/>
          </v:shape>
          <o:OLEObject Type="Embed" ProgID="Equation.DSMT4" ShapeID="_x0000_i2864" DrawAspect="Content" ObjectID="_1791376808" r:id="rId3715"/>
        </w:object>
      </w:r>
    </w:p>
    <w:p w14:paraId="649B0D0D"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و در بلندمدت داریم</w:t>
      </w:r>
    </w:p>
    <w:p w14:paraId="2B509885" w14:textId="77777777" w:rsidR="00411620" w:rsidRPr="0026684F" w:rsidRDefault="00411620" w:rsidP="00411620">
      <w:pPr>
        <w:pStyle w:val="MTDisplayEquation"/>
        <w:tabs>
          <w:tab w:val="clear" w:pos="6660"/>
        </w:tabs>
        <w:spacing w:line="216" w:lineRule="auto"/>
        <w:rPr>
          <w:rFonts w:ascii="Times New Roman" w:eastAsiaTheme="minorEastAsia" w:hAnsi="Times New Roman" w:cs="B Nazanin"/>
          <w:i/>
          <w:sz w:val="23"/>
          <w:szCs w:val="23"/>
          <w:rtl/>
        </w:rPr>
      </w:pPr>
      <w:r w:rsidRPr="00703635">
        <w:rPr>
          <w:position w:val="-16"/>
        </w:rPr>
        <w:object w:dxaOrig="1219" w:dyaOrig="420" w14:anchorId="3BB4DA73">
          <v:shape id="_x0000_i2865" type="#_x0000_t75" style="width:61.1pt;height:21.2pt" o:ole="">
            <v:imagedata r:id="rId3716" o:title=""/>
          </v:shape>
          <o:OLEObject Type="Embed" ProgID="Equation.DSMT4" ShapeID="_x0000_i2865" DrawAspect="Content" ObjectID="_1791376809" r:id="rId3717"/>
        </w:object>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Pr>
          <w:rFonts w:ascii="Times New Roman" w:hAnsi="Times New Roman" w:cs="B Nazanin"/>
          <w:i/>
          <w:sz w:val="23"/>
          <w:szCs w:val="23"/>
          <w:rtl/>
        </w:rPr>
        <w:tab/>
      </w:r>
      <w:r w:rsidRPr="0026684F">
        <w:rPr>
          <w:rFonts w:ascii="Times New Roman" w:hAnsi="Times New Roman" w:cs="B Nazanin"/>
          <w:i/>
          <w:sz w:val="23"/>
          <w:szCs w:val="23"/>
        </w:rPr>
        <w:tab/>
      </w:r>
      <w:r w:rsidRPr="0026684F">
        <w:rPr>
          <w:rFonts w:ascii="Times New Roman" w:hAnsi="Times New Roman" w:cs="B Nazanin" w:hint="cs"/>
          <w:i/>
          <w:sz w:val="23"/>
          <w:szCs w:val="23"/>
          <w:rtl/>
        </w:rPr>
        <w:t>(۵. ۳۳)</w:t>
      </w:r>
    </w:p>
    <w:p w14:paraId="4DF7F644"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و یا</w:t>
      </w:r>
    </w:p>
    <w:p w14:paraId="3CAF6146"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2"/>
        </w:rPr>
        <w:object w:dxaOrig="3860" w:dyaOrig="560" w14:anchorId="242D3064">
          <v:shape id="_x0000_i2866" type="#_x0000_t75" style="width:193pt;height:27.85pt" o:ole="">
            <v:imagedata r:id="rId3718" o:title=""/>
          </v:shape>
          <o:OLEObject Type="Embed" ProgID="Equation.DSMT4" ShapeID="_x0000_i2866" DrawAspect="Content" ObjectID="_1791376810" r:id="rId3719"/>
        </w:object>
      </w:r>
    </w:p>
    <w:p w14:paraId="2F339AB7"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 xml:space="preserve">چنانچه خانوار و دولت بطور همزمان تصمیمات اقتصادی خود را بهینه </w:t>
      </w:r>
      <w:r w:rsidRPr="0026684F">
        <w:rPr>
          <w:rFonts w:eastAsiaTheme="minorEastAsia"/>
          <w:i/>
          <w:sz w:val="23"/>
          <w:szCs w:val="23"/>
          <w:rtl/>
        </w:rPr>
        <w:softHyphen/>
      </w:r>
      <w:r w:rsidRPr="0026684F">
        <w:rPr>
          <w:rFonts w:eastAsiaTheme="minorEastAsia" w:hint="cs"/>
          <w:i/>
          <w:sz w:val="23"/>
          <w:szCs w:val="23"/>
          <w:rtl/>
        </w:rPr>
        <w:t>کنند، آنگاه هر دو رابطه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۳۳)</w:t>
      </w:r>
      <w:r w:rsidRPr="0026684F">
        <w:rPr>
          <w:rFonts w:eastAsiaTheme="minorEastAsia" w:hint="cs"/>
          <w:i/>
          <w:sz w:val="23"/>
          <w:szCs w:val="23"/>
          <w:rtl/>
        </w:rPr>
        <w:t xml:space="preserve"> و </w:t>
      </w:r>
      <w:r w:rsidRPr="0026684F">
        <w:rPr>
          <w:rFonts w:hint="cs"/>
          <w:i/>
          <w:sz w:val="23"/>
          <w:szCs w:val="23"/>
          <w:rtl/>
        </w:rPr>
        <w:t>(۵. ۲۷)</w:t>
      </w:r>
      <w:r w:rsidRPr="0026684F">
        <w:rPr>
          <w:rFonts w:eastAsiaTheme="minorEastAsia" w:hint="cs"/>
          <w:i/>
          <w:sz w:val="23"/>
          <w:szCs w:val="23"/>
          <w:rtl/>
        </w:rPr>
        <w:t xml:space="preserve"> باید برقرار باشد. یعنی </w:t>
      </w:r>
    </w:p>
    <w:p w14:paraId="69C3219D" w14:textId="77777777" w:rsidR="00411620" w:rsidRPr="0026684F" w:rsidRDefault="00411620" w:rsidP="00411620">
      <w:pPr>
        <w:tabs>
          <w:tab w:val="left" w:pos="1215"/>
        </w:tabs>
        <w:bidi w:val="0"/>
        <w:spacing w:line="216" w:lineRule="auto"/>
        <w:rPr>
          <w:rFonts w:eastAsiaTheme="minorEastAsia"/>
          <w:i/>
          <w:sz w:val="23"/>
          <w:szCs w:val="23"/>
          <w:rtl/>
        </w:rPr>
      </w:pPr>
      <w:r w:rsidRPr="00703635">
        <w:rPr>
          <w:position w:val="-18"/>
        </w:rPr>
        <w:object w:dxaOrig="4780" w:dyaOrig="460" w14:anchorId="74A63229">
          <v:shape id="_x0000_i2867" type="#_x0000_t75" style="width:239pt;height:23pt" o:ole="">
            <v:imagedata r:id="rId3720" o:title=""/>
          </v:shape>
          <o:OLEObject Type="Embed" ProgID="Equation.DSMT4" ShapeID="_x0000_i2867" DrawAspect="Content" ObjectID="_1791376811" r:id="rId3721"/>
        </w:object>
      </w:r>
      <w:r w:rsidRPr="0026684F">
        <w:rPr>
          <w:rFonts w:eastAsiaTheme="minorEastAsia"/>
          <w:i/>
          <w:sz w:val="23"/>
          <w:szCs w:val="23"/>
        </w:rPr>
        <w:t xml:space="preserve"> </w:t>
      </w:r>
    </w:p>
    <w:p w14:paraId="7DED7AA5" w14:textId="77777777" w:rsidR="00411620" w:rsidRPr="0026684F" w:rsidRDefault="00411620" w:rsidP="00411620">
      <w:pPr>
        <w:tabs>
          <w:tab w:val="left" w:pos="1215"/>
        </w:tabs>
        <w:bidi w:val="0"/>
        <w:spacing w:line="216" w:lineRule="auto"/>
        <w:rPr>
          <w:rFonts w:eastAsiaTheme="minorEastAsia"/>
          <w:i/>
          <w:sz w:val="23"/>
          <w:szCs w:val="23"/>
          <w:lang w:val="en-GB"/>
        </w:rPr>
      </w:pPr>
    </w:p>
    <w:p w14:paraId="1A86FA63" w14:textId="77777777" w:rsidR="00411620" w:rsidRPr="0026684F" w:rsidRDefault="00411620" w:rsidP="00411620">
      <w:pPr>
        <w:tabs>
          <w:tab w:val="left" w:pos="1215"/>
        </w:tabs>
        <w:spacing w:line="216" w:lineRule="auto"/>
        <w:rPr>
          <w:rFonts w:eastAsiaTheme="minorEastAsia"/>
          <w:i/>
          <w:sz w:val="23"/>
          <w:szCs w:val="23"/>
        </w:rPr>
      </w:pPr>
      <w:r w:rsidRPr="0026684F">
        <w:rPr>
          <w:rFonts w:eastAsiaTheme="minorEastAsia" w:hint="cs"/>
          <w:i/>
          <w:sz w:val="23"/>
          <w:szCs w:val="23"/>
          <w:rtl/>
        </w:rPr>
        <w:t>و یا نرخ بهینه</w:t>
      </w:r>
      <w:r w:rsidRPr="0026684F">
        <w:rPr>
          <w:rFonts w:eastAsiaTheme="minorEastAsia"/>
          <w:i/>
          <w:sz w:val="23"/>
          <w:szCs w:val="23"/>
          <w:rtl/>
        </w:rPr>
        <w:softHyphen/>
      </w:r>
      <w:r w:rsidRPr="0026684F">
        <w:rPr>
          <w:rFonts w:eastAsiaTheme="minorEastAsia" w:hint="cs"/>
          <w:i/>
          <w:sz w:val="23"/>
          <w:szCs w:val="23"/>
          <w:rtl/>
        </w:rPr>
        <w:t>ی مالیاتِ سرمایه باید برابر با صفر باشد.</w:t>
      </w:r>
    </w:p>
    <w:p w14:paraId="474077EA"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جهت محاسبه</w:t>
      </w:r>
      <w:r w:rsidRPr="0026684F">
        <w:rPr>
          <w:rFonts w:eastAsiaTheme="minorEastAsia"/>
          <w:i/>
          <w:sz w:val="23"/>
          <w:szCs w:val="23"/>
          <w:rtl/>
        </w:rPr>
        <w:softHyphen/>
      </w:r>
      <w:r w:rsidRPr="0026684F">
        <w:rPr>
          <w:rFonts w:eastAsiaTheme="minorEastAsia" w:hint="cs"/>
          <w:i/>
          <w:sz w:val="23"/>
          <w:szCs w:val="23"/>
          <w:rtl/>
        </w:rPr>
        <w:t>ی نرخ</w:t>
      </w:r>
      <w:r w:rsidRPr="0026684F">
        <w:rPr>
          <w:rFonts w:eastAsiaTheme="minorEastAsia"/>
          <w:i/>
          <w:sz w:val="23"/>
          <w:szCs w:val="23"/>
          <w:rtl/>
        </w:rPr>
        <w:softHyphen/>
      </w:r>
      <w:r w:rsidRPr="0026684F">
        <w:rPr>
          <w:rFonts w:eastAsiaTheme="minorEastAsia" w:hint="cs"/>
          <w:i/>
          <w:sz w:val="23"/>
          <w:szCs w:val="23"/>
          <w:rtl/>
        </w:rPr>
        <w:t>های بهینه</w:t>
      </w:r>
      <w:r w:rsidRPr="0026684F">
        <w:rPr>
          <w:rFonts w:eastAsiaTheme="minorEastAsia"/>
          <w:i/>
          <w:sz w:val="23"/>
          <w:szCs w:val="23"/>
          <w:rtl/>
        </w:rPr>
        <w:softHyphen/>
      </w:r>
      <w:r w:rsidRPr="0026684F">
        <w:rPr>
          <w:rFonts w:eastAsiaTheme="minorEastAsia" w:hint="cs"/>
          <w:i/>
          <w:sz w:val="23"/>
          <w:szCs w:val="23"/>
          <w:rtl/>
        </w:rPr>
        <w:t>ی مالیات بر دستمزد و مالیات بر مصرف، از دو معادله</w:t>
      </w:r>
      <w:r w:rsidRPr="0026684F">
        <w:rPr>
          <w:rFonts w:eastAsiaTheme="minorEastAsia"/>
          <w:i/>
          <w:sz w:val="23"/>
          <w:szCs w:val="23"/>
          <w:rtl/>
        </w:rPr>
        <w:softHyphen/>
      </w:r>
      <w:r w:rsidRPr="0026684F">
        <w:rPr>
          <w:rFonts w:eastAsiaTheme="minorEastAsia" w:hint="cs"/>
          <w:i/>
          <w:sz w:val="23"/>
          <w:szCs w:val="23"/>
          <w:rtl/>
        </w:rPr>
        <w:t>ی اول و دوم شرایط مرتبه</w:t>
      </w:r>
      <w:r w:rsidRPr="0026684F">
        <w:rPr>
          <w:rFonts w:eastAsiaTheme="minorEastAsia"/>
          <w:i/>
          <w:sz w:val="23"/>
          <w:szCs w:val="23"/>
          <w:rtl/>
        </w:rPr>
        <w:softHyphen/>
      </w:r>
      <w:r w:rsidRPr="0026684F">
        <w:rPr>
          <w:rFonts w:eastAsiaTheme="minorEastAsia" w:hint="cs"/>
          <w:i/>
          <w:sz w:val="23"/>
          <w:szCs w:val="23"/>
          <w:rtl/>
        </w:rPr>
        <w:t xml:space="preserve">ی اول و برای </w:t>
      </w:r>
      <w:r w:rsidRPr="00703635">
        <w:rPr>
          <w:position w:val="-6"/>
        </w:rPr>
        <w:object w:dxaOrig="499" w:dyaOrig="260" w14:anchorId="26DF33D3">
          <v:shape id="_x0000_i2868" type="#_x0000_t75" style="width:24.8pt;height:13.3pt" o:ole="">
            <v:imagedata r:id="rId3722" o:title=""/>
          </v:shape>
          <o:OLEObject Type="Embed" ProgID="Equation.DSMT4" ShapeID="_x0000_i2868" DrawAspect="Content" ObjectID="_1791376812" r:id="rId3723"/>
        </w:object>
      </w:r>
      <w:r w:rsidRPr="0026684F">
        <w:rPr>
          <w:rFonts w:hint="cs"/>
          <w:i/>
          <w:sz w:val="23"/>
          <w:szCs w:val="23"/>
          <w:rtl/>
        </w:rPr>
        <w:t xml:space="preserve"> </w:t>
      </w:r>
      <w:r w:rsidRPr="0026684F">
        <w:rPr>
          <w:rFonts w:eastAsiaTheme="minorEastAsia" w:hint="cs"/>
          <w:i/>
          <w:sz w:val="23"/>
          <w:szCs w:val="23"/>
          <w:rtl/>
        </w:rPr>
        <w:t>نتیجه می</w:t>
      </w:r>
      <w:r w:rsidRPr="0026684F">
        <w:rPr>
          <w:rFonts w:eastAsiaTheme="minorEastAsia"/>
          <w:i/>
          <w:sz w:val="23"/>
          <w:szCs w:val="23"/>
          <w:rtl/>
        </w:rPr>
        <w:softHyphen/>
      </w:r>
      <w:r w:rsidRPr="0026684F">
        <w:rPr>
          <w:rFonts w:eastAsiaTheme="minorEastAsia" w:hint="cs"/>
          <w:i/>
          <w:sz w:val="23"/>
          <w:szCs w:val="23"/>
          <w:rtl/>
        </w:rPr>
        <w:t>گیریم</w:t>
      </w:r>
    </w:p>
    <w:p w14:paraId="0F451E95"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lang w:val="el-GR"/>
        </w:rPr>
      </w:pPr>
      <w:r w:rsidRPr="00703635">
        <w:rPr>
          <w:position w:val="-28"/>
        </w:rPr>
        <w:object w:dxaOrig="3120" w:dyaOrig="620" w14:anchorId="5BD3F2E7">
          <v:shape id="_x0000_i2869" type="#_x0000_t75" style="width:156.1pt;height:31.45pt" o:ole="">
            <v:imagedata r:id="rId3724" o:title=""/>
          </v:shape>
          <o:OLEObject Type="Embed" ProgID="Equation.DSMT4" ShapeID="_x0000_i2869" DrawAspect="Content" ObjectID="_1791376813" r:id="rId3725"/>
        </w:object>
      </w:r>
    </w:p>
    <w:p w14:paraId="69B2F40C"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lang w:val="el-GR"/>
        </w:rPr>
      </w:pPr>
      <w:r w:rsidRPr="00703635">
        <w:rPr>
          <w:position w:val="-28"/>
        </w:rPr>
        <w:object w:dxaOrig="4020" w:dyaOrig="620" w14:anchorId="6D1A6C2B">
          <v:shape id="_x0000_i2870" type="#_x0000_t75" style="width:200.85pt;height:31.45pt" o:ole="">
            <v:imagedata r:id="rId3726" o:title=""/>
          </v:shape>
          <o:OLEObject Type="Embed" ProgID="Equation.DSMT4" ShapeID="_x0000_i2870" DrawAspect="Content" ObjectID="_1791376814" r:id="rId3727"/>
        </w:object>
      </w:r>
    </w:p>
    <w:p w14:paraId="114959DD" w14:textId="77777777" w:rsidR="00411620" w:rsidRPr="0026684F" w:rsidRDefault="00411620" w:rsidP="00411620">
      <w:pPr>
        <w:tabs>
          <w:tab w:val="left" w:pos="1215"/>
        </w:tabs>
        <w:spacing w:line="216" w:lineRule="auto"/>
        <w:rPr>
          <w:rFonts w:eastAsiaTheme="minorEastAsia"/>
          <w:i/>
          <w:sz w:val="23"/>
          <w:szCs w:val="23"/>
          <w:rtl/>
          <w:lang w:val="el-GR"/>
        </w:rPr>
      </w:pPr>
      <w:r w:rsidRPr="0026684F">
        <w:rPr>
          <w:rFonts w:eastAsiaTheme="minorEastAsia" w:hint="cs"/>
          <w:i/>
          <w:sz w:val="23"/>
          <w:szCs w:val="23"/>
          <w:rtl/>
          <w:lang w:val="el-GR"/>
        </w:rPr>
        <w:t>بنابراین</w:t>
      </w:r>
    </w:p>
    <w:p w14:paraId="46091D2C" w14:textId="77777777" w:rsidR="00411620" w:rsidRPr="0026684F" w:rsidRDefault="00411620" w:rsidP="00411620">
      <w:pPr>
        <w:tabs>
          <w:tab w:val="left" w:pos="1215"/>
        </w:tabs>
        <w:bidi w:val="0"/>
        <w:spacing w:line="216" w:lineRule="auto"/>
        <w:rPr>
          <w:rFonts w:eastAsiaTheme="minorEastAsia"/>
          <w:i/>
          <w:sz w:val="23"/>
          <w:szCs w:val="23"/>
        </w:rPr>
      </w:pPr>
      <w:r w:rsidRPr="00703635">
        <w:rPr>
          <w:position w:val="-30"/>
        </w:rPr>
        <w:object w:dxaOrig="820" w:dyaOrig="680" w14:anchorId="29B4AF2C">
          <v:shape id="_x0000_i2871" type="#_x0000_t75" style="width:40.55pt;height:33.9pt" o:ole="">
            <v:imagedata r:id="rId3728" o:title=""/>
          </v:shape>
          <o:OLEObject Type="Embed" ProgID="Equation.DSMT4" ShapeID="_x0000_i2871" DrawAspect="Content" ObjectID="_1791376815" r:id="rId3729"/>
        </w:object>
      </w:r>
      <w:r w:rsidRPr="0026684F">
        <w:rPr>
          <w:rFonts w:eastAsiaTheme="minorEastAsia"/>
          <w:i/>
          <w:sz w:val="23"/>
          <w:szCs w:val="23"/>
        </w:rPr>
        <w:t xml:space="preserve"> </w:t>
      </w:r>
      <w:r w:rsidRPr="0026684F">
        <w:rPr>
          <w:rFonts w:eastAsiaTheme="minorEastAsia" w:hint="cs"/>
          <w:i/>
          <w:sz w:val="23"/>
          <w:szCs w:val="23"/>
          <w:rtl/>
        </w:rPr>
        <w:tab/>
      </w:r>
      <w:r w:rsidRPr="0026684F">
        <w:rPr>
          <w:rFonts w:eastAsiaTheme="minorEastAsia" w:hint="cs"/>
          <w:i/>
          <w:sz w:val="23"/>
          <w:szCs w:val="23"/>
          <w:rtl/>
        </w:rPr>
        <w:tab/>
        <w:t xml:space="preserve"> </w:t>
      </w:r>
      <w:r w:rsidRPr="0026684F">
        <w:rPr>
          <w:rFonts w:eastAsiaTheme="minorEastAsia" w:hint="cs"/>
          <w:i/>
          <w:sz w:val="23"/>
          <w:szCs w:val="23"/>
          <w:rtl/>
        </w:rPr>
        <w:tab/>
        <w:t xml:space="preserve"> </w:t>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Pr>
        <w:tab/>
      </w:r>
      <w:r w:rsidRPr="0026684F">
        <w:rPr>
          <w:rFonts w:eastAsiaTheme="minorEastAsia"/>
          <w:i/>
          <w:sz w:val="23"/>
          <w:szCs w:val="23"/>
          <w:rtl/>
        </w:rPr>
        <w:tab/>
      </w:r>
      <w:r>
        <w:rPr>
          <w:rFonts w:eastAsiaTheme="minorEastAsia"/>
          <w:i/>
          <w:sz w:val="23"/>
          <w:szCs w:val="23"/>
          <w:rtl/>
        </w:rPr>
        <w:tab/>
      </w:r>
      <w:r w:rsidRPr="0026684F">
        <w:rPr>
          <w:rFonts w:eastAsiaTheme="minorEastAsia"/>
          <w:i/>
          <w:sz w:val="23"/>
          <w:szCs w:val="23"/>
        </w:rPr>
        <w:tab/>
      </w:r>
      <w:r w:rsidRPr="0026684F">
        <w:rPr>
          <w:rFonts w:eastAsiaTheme="minorEastAsia" w:hint="cs"/>
          <w:i/>
          <w:sz w:val="23"/>
          <w:szCs w:val="23"/>
          <w:rtl/>
        </w:rPr>
        <w:t>(۵. ۳۴)</w:t>
      </w:r>
      <w:r w:rsidRPr="0026684F">
        <w:rPr>
          <w:rFonts w:eastAsiaTheme="minorEastAsia"/>
          <w:i/>
          <w:sz w:val="23"/>
          <w:szCs w:val="23"/>
        </w:rPr>
        <w:t xml:space="preserve"> </w:t>
      </w:r>
    </w:p>
    <w:p w14:paraId="66B0E910"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اکنون باید نرخ</w:t>
      </w:r>
      <w:r w:rsidRPr="0026684F">
        <w:rPr>
          <w:rFonts w:eastAsiaTheme="minorEastAsia"/>
          <w:i/>
          <w:sz w:val="23"/>
          <w:szCs w:val="23"/>
          <w:rtl/>
        </w:rPr>
        <w:softHyphen/>
      </w:r>
      <w:r w:rsidRPr="0026684F">
        <w:rPr>
          <w:rFonts w:eastAsiaTheme="minorEastAsia" w:hint="cs"/>
          <w:i/>
          <w:sz w:val="23"/>
          <w:szCs w:val="23"/>
          <w:rtl/>
        </w:rPr>
        <w:t>های مالیات بر دستمزد</w:t>
      </w:r>
      <w:r w:rsidRPr="00703635">
        <w:rPr>
          <w:position w:val="-6"/>
        </w:rPr>
        <w:object w:dxaOrig="260" w:dyaOrig="300" w14:anchorId="13B10713">
          <v:shape id="_x0000_i2872" type="#_x0000_t75" style="width:13.3pt;height:14.5pt" o:ole="">
            <v:imagedata r:id="rId3730" o:title=""/>
          </v:shape>
          <o:OLEObject Type="Embed" ProgID="Equation.DSMT4" ShapeID="_x0000_i2872" DrawAspect="Content" ObjectID="_1791376816" r:id="rId3731"/>
        </w:object>
      </w:r>
      <w:r w:rsidRPr="0026684F">
        <w:rPr>
          <w:rFonts w:eastAsiaTheme="minorEastAsia" w:hint="cs"/>
          <w:i/>
          <w:sz w:val="23"/>
          <w:szCs w:val="23"/>
          <w:rtl/>
        </w:rPr>
        <w:t xml:space="preserve"> و مالیات بر مصرف</w:t>
      </w:r>
      <w:r w:rsidRPr="00703635">
        <w:rPr>
          <w:position w:val="-6"/>
        </w:rPr>
        <w:object w:dxaOrig="240" w:dyaOrig="300" w14:anchorId="09692073">
          <v:shape id="_x0000_i2873" type="#_x0000_t75" style="width:11.5pt;height:14.5pt" o:ole="">
            <v:imagedata r:id="rId3732" o:title=""/>
          </v:shape>
          <o:OLEObject Type="Embed" ProgID="Equation.DSMT4" ShapeID="_x0000_i2873" DrawAspect="Content" ObjectID="_1791376817" r:id="rId3733"/>
        </w:object>
      </w:r>
      <w:r w:rsidRPr="0026684F">
        <w:rPr>
          <w:rFonts w:eastAsiaTheme="minorEastAsia" w:hint="cs"/>
          <w:i/>
          <w:sz w:val="23"/>
          <w:szCs w:val="23"/>
          <w:rtl/>
        </w:rPr>
        <w:t xml:space="preserve"> را بگونه</w:t>
      </w:r>
      <w:r w:rsidRPr="0026684F">
        <w:rPr>
          <w:rFonts w:eastAsiaTheme="minorEastAsia"/>
          <w:i/>
          <w:sz w:val="23"/>
          <w:szCs w:val="23"/>
          <w:rtl/>
        </w:rPr>
        <w:softHyphen/>
      </w:r>
      <w:r w:rsidRPr="0026684F">
        <w:rPr>
          <w:rFonts w:eastAsiaTheme="minorEastAsia" w:hint="cs"/>
          <w:i/>
          <w:sz w:val="23"/>
          <w:szCs w:val="23"/>
          <w:rtl/>
        </w:rPr>
        <w:t>ای تعیین</w:t>
      </w:r>
      <w:r w:rsidRPr="0026684F">
        <w:rPr>
          <w:rFonts w:eastAsiaTheme="minorEastAsia"/>
          <w:i/>
          <w:sz w:val="23"/>
          <w:szCs w:val="23"/>
        </w:rPr>
        <w:t xml:space="preserve"> </w:t>
      </w:r>
      <w:r w:rsidRPr="0026684F">
        <w:rPr>
          <w:rFonts w:eastAsiaTheme="minorEastAsia" w:hint="cs"/>
          <w:i/>
          <w:sz w:val="23"/>
          <w:szCs w:val="23"/>
          <w:rtl/>
        </w:rPr>
        <w:t>کنیم که رابطه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۳۴)</w:t>
      </w:r>
      <w:r w:rsidRPr="0026684F">
        <w:rPr>
          <w:rFonts w:eastAsiaTheme="minorEastAsia" w:hint="cs"/>
          <w:i/>
          <w:sz w:val="23"/>
          <w:szCs w:val="23"/>
          <w:rtl/>
        </w:rPr>
        <w:t xml:space="preserve"> در مسئله</w:t>
      </w:r>
      <w:r w:rsidRPr="0026684F">
        <w:rPr>
          <w:rFonts w:eastAsiaTheme="minorEastAsia"/>
          <w:i/>
          <w:sz w:val="23"/>
          <w:szCs w:val="23"/>
          <w:rtl/>
        </w:rPr>
        <w:softHyphen/>
      </w:r>
      <w:r w:rsidRPr="0026684F">
        <w:rPr>
          <w:rFonts w:eastAsiaTheme="minorEastAsia" w:hint="cs"/>
          <w:i/>
          <w:sz w:val="23"/>
          <w:szCs w:val="23"/>
          <w:rtl/>
        </w:rPr>
        <w:t>ی دولت، و رابطه</w:t>
      </w:r>
      <w:r w:rsidRPr="0026684F">
        <w:rPr>
          <w:rFonts w:eastAsiaTheme="minorEastAsia"/>
          <w:i/>
          <w:sz w:val="23"/>
          <w:szCs w:val="23"/>
          <w:rtl/>
        </w:rPr>
        <w:softHyphen/>
      </w:r>
      <w:r w:rsidRPr="0026684F">
        <w:rPr>
          <w:rFonts w:eastAsiaTheme="minorEastAsia" w:hint="cs"/>
          <w:i/>
          <w:sz w:val="23"/>
          <w:szCs w:val="23"/>
          <w:rtl/>
        </w:rPr>
        <w:t>ی متناظر با آن در مسئله</w:t>
      </w:r>
      <w:r w:rsidRPr="0026684F">
        <w:rPr>
          <w:rFonts w:eastAsiaTheme="minorEastAsia"/>
          <w:i/>
          <w:sz w:val="23"/>
          <w:szCs w:val="23"/>
          <w:rtl/>
        </w:rPr>
        <w:softHyphen/>
      </w:r>
      <w:r w:rsidRPr="0026684F">
        <w:rPr>
          <w:rFonts w:eastAsiaTheme="minorEastAsia" w:hint="cs"/>
          <w:i/>
          <w:sz w:val="23"/>
          <w:szCs w:val="23"/>
          <w:rtl/>
        </w:rPr>
        <w:t xml:space="preserve">ی خانوار یعنی </w:t>
      </w:r>
      <w:r w:rsidRPr="0026684F">
        <w:rPr>
          <w:rFonts w:hint="cs"/>
          <w:i/>
          <w:sz w:val="23"/>
          <w:szCs w:val="23"/>
          <w:rtl/>
        </w:rPr>
        <w:t>(۵. ۲۴)</w:t>
      </w:r>
      <w:r w:rsidRPr="0026684F">
        <w:rPr>
          <w:rFonts w:eastAsiaTheme="minorEastAsia" w:hint="cs"/>
          <w:i/>
          <w:sz w:val="23"/>
          <w:szCs w:val="23"/>
          <w:rtl/>
        </w:rPr>
        <w:t xml:space="preserve"> به طورهمزمان برقرار باشد. از رابطه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۳۱)</w:t>
      </w:r>
      <w:r w:rsidRPr="0026684F">
        <w:rPr>
          <w:rFonts w:eastAsiaTheme="minorEastAsia" w:hint="cs"/>
          <w:i/>
          <w:sz w:val="23"/>
          <w:szCs w:val="23"/>
          <w:rtl/>
        </w:rPr>
        <w:t xml:space="preserve"> و برای </w:t>
      </w:r>
      <w:r w:rsidRPr="00703635">
        <w:rPr>
          <w:position w:val="-6"/>
        </w:rPr>
        <w:object w:dxaOrig="499" w:dyaOrig="260" w14:anchorId="210E8644">
          <v:shape id="_x0000_i2874" type="#_x0000_t75" style="width:24.8pt;height:13.3pt" o:ole="">
            <v:imagedata r:id="rId3734" o:title=""/>
          </v:shape>
          <o:OLEObject Type="Embed" ProgID="Equation.DSMT4" ShapeID="_x0000_i2874" DrawAspect="Content" ObjectID="_1791376818" r:id="rId3735"/>
        </w:object>
      </w:r>
      <w:r w:rsidRPr="0026684F">
        <w:rPr>
          <w:rFonts w:eastAsiaTheme="minorEastAsia" w:hint="cs"/>
          <w:i/>
          <w:sz w:val="23"/>
          <w:szCs w:val="23"/>
          <w:rtl/>
        </w:rPr>
        <w:t xml:space="preserve"> و همچنین</w:t>
      </w:r>
      <w:r w:rsidRPr="00703635">
        <w:rPr>
          <w:position w:val="-10"/>
        </w:rPr>
        <w:object w:dxaOrig="859" w:dyaOrig="320" w14:anchorId="454191CE">
          <v:shape id="_x0000_i2875" type="#_x0000_t75" style="width:42.95pt;height:15.75pt" o:ole="">
            <v:imagedata r:id="rId3736" o:title=""/>
          </v:shape>
          <o:OLEObject Type="Embed" ProgID="Equation.DSMT4" ShapeID="_x0000_i2875" DrawAspect="Content" ObjectID="_1791376819" r:id="rId3737"/>
        </w:object>
      </w:r>
      <w:r w:rsidRPr="0026684F">
        <w:rPr>
          <w:rFonts w:eastAsiaTheme="minorEastAsia" w:hint="cs"/>
          <w:i/>
          <w:sz w:val="23"/>
          <w:szCs w:val="23"/>
          <w:rtl/>
        </w:rPr>
        <w:t xml:space="preserve"> داریم</w:t>
      </w:r>
    </w:p>
    <w:p w14:paraId="2BEA00FA" w14:textId="77777777" w:rsidR="00411620" w:rsidRPr="0026684F" w:rsidRDefault="00411620" w:rsidP="00411620">
      <w:pPr>
        <w:tabs>
          <w:tab w:val="left" w:pos="1215"/>
        </w:tabs>
        <w:bidi w:val="0"/>
        <w:spacing w:line="216" w:lineRule="auto"/>
        <w:rPr>
          <w:rFonts w:eastAsiaTheme="minorEastAsia"/>
          <w:i/>
          <w:sz w:val="23"/>
          <w:szCs w:val="23"/>
          <w:rtl/>
        </w:rPr>
      </w:pPr>
      <w:r w:rsidRPr="0026684F">
        <w:rPr>
          <w:rFonts w:eastAsiaTheme="minorEastAsia" w:hint="cs"/>
          <w:i/>
          <w:sz w:val="23"/>
          <w:szCs w:val="23"/>
          <w:rtl/>
        </w:rPr>
        <w:t xml:space="preserve"> </w:t>
      </w:r>
      <w:r w:rsidRPr="00703635">
        <w:rPr>
          <w:position w:val="-14"/>
        </w:rPr>
        <w:object w:dxaOrig="3700" w:dyaOrig="380" w14:anchorId="7F836107">
          <v:shape id="_x0000_i2876" type="#_x0000_t75" style="width:184.55pt;height:18.75pt" o:ole="">
            <v:imagedata r:id="rId3738" o:title=""/>
          </v:shape>
          <o:OLEObject Type="Embed" ProgID="Equation.DSMT4" ShapeID="_x0000_i2876" DrawAspect="Content" ObjectID="_1791376820" r:id="rId3739"/>
        </w:object>
      </w:r>
    </w:p>
    <w:p w14:paraId="4B343B74"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14"/>
        </w:rPr>
        <w:object w:dxaOrig="3780" w:dyaOrig="380" w14:anchorId="6E2E3789">
          <v:shape id="_x0000_i2877" type="#_x0000_t75" style="width:189.4pt;height:18.75pt" o:ole="">
            <v:imagedata r:id="rId3740" o:title=""/>
          </v:shape>
          <o:OLEObject Type="Embed" ProgID="Equation.DSMT4" ShapeID="_x0000_i2877" DrawAspect="Content" ObjectID="_1791376821" r:id="rId3741"/>
        </w:object>
      </w:r>
    </w:p>
    <w:p w14:paraId="2DD9B9AB"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32"/>
        </w:rPr>
        <w:object w:dxaOrig="4480" w:dyaOrig="740" w14:anchorId="7E15757B">
          <v:shape id="_x0000_i2878" type="#_x0000_t75" style="width:223.85pt;height:36.9pt" o:ole="">
            <v:imagedata r:id="rId3742" o:title=""/>
          </v:shape>
          <o:OLEObject Type="Embed" ProgID="Equation.DSMT4" ShapeID="_x0000_i2878" DrawAspect="Content" ObjectID="_1791376822" r:id="rId3743"/>
        </w:object>
      </w:r>
    </w:p>
    <w:p w14:paraId="14B49783"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 xml:space="preserve">اگر روابط </w:t>
      </w:r>
      <w:r w:rsidRPr="0026684F">
        <w:rPr>
          <w:rFonts w:hint="cs"/>
          <w:i/>
          <w:sz w:val="23"/>
          <w:szCs w:val="23"/>
          <w:rtl/>
        </w:rPr>
        <w:t>(۵. ۳۴)</w:t>
      </w:r>
      <w:r w:rsidRPr="0026684F">
        <w:rPr>
          <w:rFonts w:eastAsiaTheme="minorEastAsia" w:hint="cs"/>
          <w:i/>
          <w:sz w:val="23"/>
          <w:szCs w:val="23"/>
          <w:rtl/>
        </w:rPr>
        <w:t xml:space="preserve"> و </w:t>
      </w:r>
      <w:r w:rsidRPr="0026684F">
        <w:rPr>
          <w:rFonts w:hint="cs"/>
          <w:i/>
          <w:sz w:val="23"/>
          <w:szCs w:val="23"/>
          <w:rtl/>
        </w:rPr>
        <w:t>(۵. ۲۴)</w:t>
      </w:r>
      <w:r w:rsidRPr="0026684F">
        <w:rPr>
          <w:rFonts w:eastAsiaTheme="minorEastAsia" w:hint="cs"/>
          <w:i/>
          <w:sz w:val="23"/>
          <w:szCs w:val="23"/>
          <w:rtl/>
        </w:rPr>
        <w:t xml:space="preserve"> را در نظر بگیریم خواهیم داشت</w:t>
      </w:r>
    </w:p>
    <w:p w14:paraId="6F252D84"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32"/>
        </w:rPr>
        <w:object w:dxaOrig="5500" w:dyaOrig="740" w14:anchorId="1848F37C">
          <v:shape id="_x0000_i2879" type="#_x0000_t75" style="width:275.3pt;height:36.9pt" o:ole="">
            <v:imagedata r:id="rId3744" o:title=""/>
          </v:shape>
          <o:OLEObject Type="Embed" ProgID="Equation.DSMT4" ShapeID="_x0000_i2879" DrawAspect="Content" ObjectID="_1791376823" r:id="rId3745"/>
        </w:object>
      </w:r>
    </w:p>
    <w:p w14:paraId="00501240"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و بنابراین</w:t>
      </w:r>
    </w:p>
    <w:p w14:paraId="1AD8C6F1" w14:textId="77777777" w:rsidR="00411620" w:rsidRPr="0026684F" w:rsidRDefault="00411620" w:rsidP="00411620">
      <w:pPr>
        <w:tabs>
          <w:tab w:val="left" w:pos="1215"/>
        </w:tabs>
        <w:bidi w:val="0"/>
        <w:spacing w:line="216" w:lineRule="auto"/>
        <w:rPr>
          <w:rFonts w:eastAsiaTheme="minorEastAsia"/>
          <w:i/>
          <w:sz w:val="23"/>
          <w:szCs w:val="23"/>
          <w:rtl/>
        </w:rPr>
      </w:pPr>
      <w:r w:rsidRPr="00703635">
        <w:rPr>
          <w:position w:val="-32"/>
        </w:rPr>
        <w:object w:dxaOrig="4800" w:dyaOrig="740" w14:anchorId="41B1A301">
          <v:shape id="_x0000_i2880" type="#_x0000_t75" style="width:240.2pt;height:36.9pt" o:ole="">
            <v:imagedata r:id="rId3746" o:title=""/>
          </v:shape>
          <o:OLEObject Type="Embed" ProgID="Equation.DSMT4" ShapeID="_x0000_i2880" DrawAspect="Content" ObjectID="_1791376824" r:id="rId3747"/>
        </w:object>
      </w:r>
      <w:r w:rsidRPr="0026684F">
        <w:rPr>
          <w:i/>
          <w:sz w:val="23"/>
          <w:szCs w:val="23"/>
        </w:rPr>
        <w:tab/>
      </w:r>
      <w:r>
        <w:rPr>
          <w:i/>
          <w:sz w:val="23"/>
          <w:szCs w:val="23"/>
          <w:rtl/>
        </w:rPr>
        <w:tab/>
      </w:r>
      <w:r>
        <w:rPr>
          <w:i/>
          <w:sz w:val="23"/>
          <w:szCs w:val="23"/>
          <w:rtl/>
        </w:rPr>
        <w:tab/>
      </w:r>
      <w:r>
        <w:rPr>
          <w:i/>
          <w:sz w:val="23"/>
          <w:szCs w:val="23"/>
          <w:rtl/>
        </w:rPr>
        <w:tab/>
      </w:r>
      <w:r w:rsidRPr="0026684F">
        <w:rPr>
          <w:i/>
          <w:sz w:val="23"/>
          <w:szCs w:val="23"/>
        </w:rPr>
        <w:tab/>
      </w:r>
      <w:r w:rsidRPr="0026684F">
        <w:rPr>
          <w:rFonts w:hint="cs"/>
          <w:i/>
          <w:sz w:val="23"/>
          <w:szCs w:val="23"/>
          <w:rtl/>
        </w:rPr>
        <w:t>(۵. ۳۵)</w:t>
      </w:r>
      <w:r w:rsidRPr="0026684F">
        <w:rPr>
          <w:rFonts w:hint="cs"/>
          <w:i/>
          <w:sz w:val="23"/>
          <w:szCs w:val="23"/>
        </w:rPr>
        <w:t xml:space="preserve"> </w:t>
      </w:r>
    </w:p>
    <w:p w14:paraId="0954CD0B" w14:textId="77777777" w:rsidR="00411620" w:rsidRPr="0026684F" w:rsidRDefault="00411620" w:rsidP="00411620">
      <w:pPr>
        <w:tabs>
          <w:tab w:val="left" w:pos="1215"/>
        </w:tabs>
        <w:spacing w:line="216" w:lineRule="auto"/>
        <w:rPr>
          <w:rFonts w:eastAsiaTheme="minorEastAsia"/>
          <w:i/>
          <w:sz w:val="23"/>
          <w:szCs w:val="23"/>
        </w:rPr>
      </w:pPr>
      <w:r w:rsidRPr="0026684F">
        <w:rPr>
          <w:rFonts w:eastAsiaTheme="minorEastAsia" w:hint="cs"/>
          <w:i/>
          <w:sz w:val="23"/>
          <w:szCs w:val="23"/>
          <w:rtl/>
        </w:rPr>
        <w:lastRenderedPageBreak/>
        <w:t>بنابراین نرخ</w:t>
      </w:r>
      <w:r w:rsidRPr="0026684F">
        <w:rPr>
          <w:rFonts w:eastAsiaTheme="minorEastAsia"/>
          <w:i/>
          <w:sz w:val="23"/>
          <w:szCs w:val="23"/>
          <w:rtl/>
        </w:rPr>
        <w:softHyphen/>
      </w:r>
      <w:r w:rsidRPr="0026684F">
        <w:rPr>
          <w:rFonts w:eastAsiaTheme="minorEastAsia" w:hint="cs"/>
          <w:i/>
          <w:sz w:val="23"/>
          <w:szCs w:val="23"/>
          <w:rtl/>
        </w:rPr>
        <w:t>های بهینه</w:t>
      </w:r>
      <w:r w:rsidRPr="0026684F">
        <w:rPr>
          <w:rFonts w:eastAsiaTheme="minorEastAsia"/>
          <w:i/>
          <w:sz w:val="23"/>
          <w:szCs w:val="23"/>
          <w:rtl/>
        </w:rPr>
        <w:softHyphen/>
      </w:r>
      <w:r w:rsidRPr="0026684F">
        <w:rPr>
          <w:rFonts w:eastAsiaTheme="minorEastAsia" w:hint="cs"/>
          <w:i/>
          <w:sz w:val="23"/>
          <w:szCs w:val="23"/>
          <w:rtl/>
        </w:rPr>
        <w:t>ی مالیات فقط به شکل تابع مطلوبیت وابسته است. چنانچه حالت خاصی از تابع مطلوبیت را در نظر بگیریم و فرض کنیم تابع مطلوبیت همنوا</w:t>
      </w:r>
      <w:r w:rsidRPr="0026684F">
        <w:rPr>
          <w:rStyle w:val="FootnoteReference"/>
          <w:rFonts w:eastAsiaTheme="minorEastAsia"/>
          <w:i/>
          <w:sz w:val="23"/>
          <w:szCs w:val="23"/>
          <w:rtl/>
        </w:rPr>
        <w:footnoteReference w:id="147"/>
      </w:r>
      <w:r w:rsidRPr="0026684F">
        <w:rPr>
          <w:rFonts w:eastAsiaTheme="minorEastAsia" w:hint="cs"/>
          <w:i/>
          <w:sz w:val="23"/>
          <w:szCs w:val="23"/>
          <w:rtl/>
        </w:rPr>
        <w:t xml:space="preserve"> باشد، یعنی اگر به ازای هر</w:t>
      </w:r>
      <w:r w:rsidRPr="00703635">
        <w:rPr>
          <w:position w:val="-6"/>
        </w:rPr>
        <w:object w:dxaOrig="200" w:dyaOrig="260" w14:anchorId="56C737BA">
          <v:shape id="_x0000_i2881" type="#_x0000_t75" style="width:10.3pt;height:13.3pt" o:ole="">
            <v:imagedata r:id="rId3748" o:title=""/>
          </v:shape>
          <o:OLEObject Type="Embed" ProgID="Equation.DSMT4" ShapeID="_x0000_i2881" DrawAspect="Content" ObjectID="_1791376825" r:id="rId3749"/>
        </w:object>
      </w:r>
      <w:r w:rsidRPr="0026684F">
        <w:rPr>
          <w:rFonts w:eastAsiaTheme="minorEastAsia" w:hint="cs"/>
          <w:i/>
          <w:sz w:val="23"/>
          <w:szCs w:val="23"/>
          <w:rtl/>
        </w:rPr>
        <w:t xml:space="preserve"> داشته باشیم</w:t>
      </w:r>
    </w:p>
    <w:p w14:paraId="154AD76C" w14:textId="77777777" w:rsidR="00411620" w:rsidRPr="0026684F" w:rsidRDefault="00411620" w:rsidP="00411620">
      <w:pPr>
        <w:pStyle w:val="MTDisplayEquation"/>
        <w:tabs>
          <w:tab w:val="clear" w:pos="6660"/>
        </w:tabs>
        <w:spacing w:line="216" w:lineRule="auto"/>
        <w:rPr>
          <w:rFonts w:ascii="Times New Roman" w:eastAsiaTheme="minorEastAsia" w:hAnsi="Times New Roman" w:cs="B Nazanin"/>
          <w:i/>
          <w:sz w:val="23"/>
          <w:szCs w:val="23"/>
          <w:rtl/>
        </w:rPr>
      </w:pPr>
      <w:r w:rsidRPr="00703635">
        <w:rPr>
          <w:position w:val="-30"/>
        </w:rPr>
        <w:object w:dxaOrig="1860" w:dyaOrig="700" w14:anchorId="33B1B6A9">
          <v:shape id="_x0000_i2882" type="#_x0000_t75" style="width:93.2pt;height:35.1pt" o:ole="">
            <v:imagedata r:id="rId3750" o:title=""/>
          </v:shape>
          <o:OLEObject Type="Embed" ProgID="Equation.DSMT4" ShapeID="_x0000_i2882" DrawAspect="Content" ObjectID="_1791376826" r:id="rId3751"/>
        </w:object>
      </w:r>
      <w:r w:rsidRPr="0026684F">
        <w:rPr>
          <w:rFonts w:ascii="Times New Roman" w:hAnsi="Times New Roman" w:cs="B Nazanin" w:hint="cs"/>
          <w:i/>
          <w:sz w:val="23"/>
          <w:szCs w:val="23"/>
        </w:rPr>
        <w:t xml:space="preserve"> </w:t>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Pr>
          <w:rFonts w:ascii="Times New Roman" w:hAnsi="Times New Roman" w:cs="B Nazanin"/>
          <w:i/>
          <w:sz w:val="23"/>
          <w:szCs w:val="23"/>
          <w:rtl/>
        </w:rPr>
        <w:tab/>
      </w:r>
      <w:r w:rsidRPr="0026684F">
        <w:rPr>
          <w:rFonts w:ascii="Times New Roman" w:hAnsi="Times New Roman" w:cs="B Nazanin"/>
          <w:i/>
          <w:sz w:val="23"/>
          <w:szCs w:val="23"/>
        </w:rPr>
        <w:tab/>
      </w:r>
      <w:r w:rsidRPr="0026684F">
        <w:rPr>
          <w:rFonts w:ascii="Times New Roman" w:hAnsi="Times New Roman" w:cs="B Nazanin" w:hint="cs"/>
          <w:i/>
          <w:sz w:val="23"/>
          <w:szCs w:val="23"/>
          <w:rtl/>
        </w:rPr>
        <w:tab/>
        <w:t>(۵. ۳۶)</w:t>
      </w:r>
    </w:p>
    <w:p w14:paraId="7336F517"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با دیفرانسیل</w:t>
      </w:r>
      <w:r w:rsidRPr="0026684F">
        <w:rPr>
          <w:rFonts w:eastAsiaTheme="minorEastAsia"/>
          <w:i/>
          <w:sz w:val="23"/>
          <w:szCs w:val="23"/>
          <w:rtl/>
        </w:rPr>
        <w:softHyphen/>
      </w:r>
      <w:r w:rsidRPr="0026684F">
        <w:rPr>
          <w:rFonts w:eastAsiaTheme="minorEastAsia" w:hint="cs"/>
          <w:i/>
          <w:sz w:val="23"/>
          <w:szCs w:val="23"/>
          <w:rtl/>
        </w:rPr>
        <w:t>گیری از رابطه</w:t>
      </w:r>
      <w:r w:rsidRPr="0026684F">
        <w:rPr>
          <w:rFonts w:eastAsiaTheme="minorEastAsia"/>
          <w:i/>
          <w:sz w:val="23"/>
          <w:szCs w:val="23"/>
          <w:rtl/>
        </w:rPr>
        <w:softHyphen/>
      </w:r>
      <w:r w:rsidRPr="0026684F">
        <w:rPr>
          <w:rFonts w:eastAsiaTheme="minorEastAsia" w:hint="cs"/>
          <w:i/>
          <w:sz w:val="23"/>
          <w:szCs w:val="23"/>
          <w:rtl/>
        </w:rPr>
        <w:t>ی فوق نسبت به</w:t>
      </w:r>
      <w:r w:rsidRPr="00703635">
        <w:rPr>
          <w:position w:val="-6"/>
        </w:rPr>
        <w:object w:dxaOrig="200" w:dyaOrig="260" w14:anchorId="43B92DF0">
          <v:shape id="_x0000_i2883" type="#_x0000_t75" style="width:10.3pt;height:13.3pt" o:ole="">
            <v:imagedata r:id="rId3752" o:title=""/>
          </v:shape>
          <o:OLEObject Type="Embed" ProgID="Equation.DSMT4" ShapeID="_x0000_i2883" DrawAspect="Content" ObjectID="_1791376827" r:id="rId3753"/>
        </w:object>
      </w:r>
      <w:r w:rsidRPr="0026684F">
        <w:rPr>
          <w:rFonts w:eastAsiaTheme="minorEastAsia" w:hint="cs"/>
          <w:i/>
          <w:sz w:val="23"/>
          <w:szCs w:val="23"/>
          <w:rtl/>
        </w:rPr>
        <w:t xml:space="preserve"> خواهیم داشت:</w:t>
      </w:r>
    </w:p>
    <w:p w14:paraId="1E656FAA"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lang w:val="en-GB"/>
        </w:rPr>
      </w:pPr>
      <w:r w:rsidRPr="00703635">
        <w:rPr>
          <w:position w:val="-30"/>
        </w:rPr>
        <w:object w:dxaOrig="3159" w:dyaOrig="680" w14:anchorId="32242109">
          <v:shape id="_x0000_i2884" type="#_x0000_t75" style="width:157.9pt;height:33.9pt" o:ole="">
            <v:imagedata r:id="rId3754" o:title=""/>
          </v:shape>
          <o:OLEObject Type="Embed" ProgID="Equation.DSMT4" ShapeID="_x0000_i2884" DrawAspect="Content" ObjectID="_1791376828" r:id="rId3755"/>
        </w:object>
      </w:r>
    </w:p>
    <w:p w14:paraId="34798D6C" w14:textId="77777777" w:rsidR="00411620" w:rsidRPr="0026684F" w:rsidRDefault="00411620" w:rsidP="00411620">
      <w:pPr>
        <w:tabs>
          <w:tab w:val="left" w:pos="1215"/>
        </w:tabs>
        <w:spacing w:line="216" w:lineRule="auto"/>
        <w:rPr>
          <w:rFonts w:eastAsiaTheme="minorEastAsia"/>
          <w:i/>
          <w:sz w:val="23"/>
          <w:szCs w:val="23"/>
        </w:rPr>
      </w:pPr>
      <w:r w:rsidRPr="0026684F">
        <w:rPr>
          <w:rFonts w:eastAsiaTheme="minorEastAsia" w:hint="cs"/>
          <w:i/>
          <w:sz w:val="23"/>
          <w:szCs w:val="23"/>
          <w:rtl/>
        </w:rPr>
        <w:t>و با جایگزاری آن در رابطه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۳۵)</w:t>
      </w:r>
      <w:r w:rsidRPr="0026684F">
        <w:rPr>
          <w:rFonts w:eastAsiaTheme="minorEastAsia" w:hint="cs"/>
          <w:i/>
          <w:sz w:val="23"/>
          <w:szCs w:val="23"/>
          <w:rtl/>
        </w:rPr>
        <w:t xml:space="preserve"> داریم:</w:t>
      </w:r>
    </w:p>
    <w:p w14:paraId="363338B5" w14:textId="77777777" w:rsidR="00411620" w:rsidRPr="0026684F"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Pr>
      </w:pPr>
      <w:r w:rsidRPr="00703635">
        <w:rPr>
          <w:position w:val="-32"/>
        </w:rPr>
        <w:object w:dxaOrig="3379" w:dyaOrig="740" w14:anchorId="2F142FBC">
          <v:shape id="_x0000_i2885" type="#_x0000_t75" style="width:168.8pt;height:36.9pt" o:ole="">
            <v:imagedata r:id="rId3756" o:title=""/>
          </v:shape>
          <o:OLEObject Type="Embed" ProgID="Equation.DSMT4" ShapeID="_x0000_i2885" DrawAspect="Content" ObjectID="_1791376829" r:id="rId3757"/>
        </w:object>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sidRPr="0026684F">
        <w:rPr>
          <w:rFonts w:ascii="Times New Roman" w:hAnsi="Times New Roman" w:cs="B Nazanin"/>
          <w:i/>
          <w:sz w:val="23"/>
          <w:szCs w:val="23"/>
        </w:rPr>
        <w:tab/>
      </w:r>
      <w:r>
        <w:rPr>
          <w:rFonts w:ascii="Times New Roman" w:hAnsi="Times New Roman" w:cs="B Nazanin"/>
          <w:i/>
          <w:sz w:val="23"/>
          <w:szCs w:val="23"/>
          <w:rtl/>
        </w:rPr>
        <w:tab/>
      </w:r>
      <w:r>
        <w:rPr>
          <w:rFonts w:ascii="Times New Roman" w:hAnsi="Times New Roman" w:cs="B Nazanin"/>
          <w:i/>
          <w:sz w:val="23"/>
          <w:szCs w:val="23"/>
          <w:rtl/>
        </w:rPr>
        <w:tab/>
      </w:r>
      <w:r w:rsidRPr="0026684F">
        <w:rPr>
          <w:rFonts w:ascii="Times New Roman" w:hAnsi="Times New Roman" w:cs="B Nazanin"/>
          <w:i/>
          <w:sz w:val="23"/>
          <w:szCs w:val="23"/>
          <w:rtl/>
        </w:rPr>
        <w:tab/>
      </w:r>
      <w:r w:rsidRPr="0026684F">
        <w:rPr>
          <w:rFonts w:ascii="Times New Roman" w:hAnsi="Times New Roman" w:cs="B Nazanin" w:hint="cs"/>
          <w:i/>
          <w:sz w:val="23"/>
          <w:szCs w:val="23"/>
          <w:rtl/>
        </w:rPr>
        <w:t>(۵. ۳۷)</w:t>
      </w:r>
    </w:p>
    <w:p w14:paraId="661354BD" w14:textId="77777777" w:rsidR="00411620" w:rsidRPr="0026684F" w:rsidRDefault="00411620" w:rsidP="00411620">
      <w:pPr>
        <w:pStyle w:val="MTDisplayEquation"/>
        <w:bidi/>
        <w:spacing w:line="216" w:lineRule="auto"/>
        <w:rPr>
          <w:rFonts w:ascii="Times New Roman" w:hAnsi="Times New Roman" w:cs="B Nazanin"/>
          <w:i/>
          <w:sz w:val="23"/>
          <w:szCs w:val="23"/>
          <w:rtl/>
        </w:rPr>
      </w:pPr>
      <w:r w:rsidRPr="0026684F">
        <w:rPr>
          <w:rFonts w:ascii="Times New Roman" w:hAnsi="Times New Roman" w:cs="B Nazanin" w:hint="cs"/>
          <w:i/>
          <w:sz w:val="23"/>
          <w:szCs w:val="23"/>
          <w:rtl/>
        </w:rPr>
        <w:t>اگر تابع مطلوبیت نسبت به مصرف و فراغت تفکیک</w:t>
      </w:r>
      <w:r w:rsidRPr="0026684F">
        <w:rPr>
          <w:rFonts w:ascii="Times New Roman" w:hAnsi="Times New Roman" w:cs="B Nazanin"/>
          <w:i/>
          <w:sz w:val="23"/>
          <w:szCs w:val="23"/>
          <w:rtl/>
        </w:rPr>
        <w:softHyphen/>
      </w:r>
      <w:r w:rsidRPr="0026684F">
        <w:rPr>
          <w:rFonts w:ascii="Times New Roman" w:hAnsi="Times New Roman" w:cs="B Nazanin" w:hint="cs"/>
          <w:i/>
          <w:sz w:val="23"/>
          <w:szCs w:val="23"/>
          <w:rtl/>
        </w:rPr>
        <w:t xml:space="preserve">پذیر باشد، آنگاه </w:t>
      </w:r>
      <w:r w:rsidRPr="00703635">
        <w:rPr>
          <w:position w:val="-12"/>
        </w:rPr>
        <w:object w:dxaOrig="760" w:dyaOrig="340" w14:anchorId="3478147E">
          <v:shape id="_x0000_i2886" type="#_x0000_t75" style="width:38.1pt;height:16.95pt" o:ole="">
            <v:imagedata r:id="rId3758" o:title=""/>
          </v:shape>
          <o:OLEObject Type="Embed" ProgID="Equation.DSMT4" ShapeID="_x0000_i2886" DrawAspect="Content" ObjectID="_1791376830" r:id="rId3759"/>
        </w:object>
      </w:r>
      <w:r w:rsidRPr="0026684F">
        <w:rPr>
          <w:rFonts w:ascii="Times New Roman" w:hAnsi="Times New Roman" w:cs="B Nazanin" w:hint="cs"/>
          <w:i/>
          <w:sz w:val="23"/>
          <w:szCs w:val="23"/>
          <w:rtl/>
        </w:rPr>
        <w:t xml:space="preserve">، و اگر مطلوبیت نهایی مصرف و فراغت کاهنده باشد خواهیم داشت </w:t>
      </w:r>
      <w:r w:rsidRPr="00703635">
        <w:rPr>
          <w:position w:val="-30"/>
        </w:rPr>
        <w:object w:dxaOrig="2120" w:dyaOrig="680" w14:anchorId="7DB6ED67">
          <v:shape id="_x0000_i2887" type="#_x0000_t75" style="width:105.9pt;height:33.9pt" o:ole="">
            <v:imagedata r:id="rId3760" o:title=""/>
          </v:shape>
          <o:OLEObject Type="Embed" ProgID="Equation.DSMT4" ShapeID="_x0000_i2887" DrawAspect="Content" ObjectID="_1791376831" r:id="rId3761"/>
        </w:object>
      </w:r>
      <w:r w:rsidRPr="0026684F">
        <w:rPr>
          <w:rFonts w:ascii="Times New Roman" w:hAnsi="Times New Roman" w:cs="B Nazanin"/>
          <w:i/>
          <w:sz w:val="23"/>
          <w:szCs w:val="23"/>
        </w:rPr>
        <w:t>.</w:t>
      </w:r>
      <w:r w:rsidRPr="0026684F">
        <w:rPr>
          <w:rFonts w:ascii="Times New Roman" w:hAnsi="Times New Roman" w:cs="B Nazanin" w:hint="cs"/>
          <w:i/>
          <w:sz w:val="23"/>
          <w:szCs w:val="23"/>
          <w:rtl/>
        </w:rPr>
        <w:t xml:space="preserve"> بنابراین </w:t>
      </w:r>
      <w:r w:rsidRPr="00703635">
        <w:rPr>
          <w:position w:val="-28"/>
        </w:rPr>
        <w:object w:dxaOrig="1080" w:dyaOrig="660" w14:anchorId="6DBE7B21">
          <v:shape id="_x0000_i2888" type="#_x0000_t75" style="width:54.45pt;height:32.65pt" o:ole="">
            <v:imagedata r:id="rId3762" o:title=""/>
          </v:shape>
          <o:OLEObject Type="Embed" ProgID="Equation.DSMT4" ShapeID="_x0000_i2888" DrawAspect="Content" ObjectID="_1791376832" r:id="rId3763"/>
        </w:object>
      </w:r>
      <w:r w:rsidRPr="0026684F">
        <w:rPr>
          <w:rFonts w:ascii="Times New Roman" w:hAnsi="Times New Roman" w:cs="B Nazanin" w:hint="cs"/>
          <w:i/>
          <w:sz w:val="23"/>
          <w:szCs w:val="23"/>
          <w:rtl/>
        </w:rPr>
        <w:t xml:space="preserve"> و لذا </w:t>
      </w:r>
      <w:r w:rsidRPr="00703635">
        <w:rPr>
          <w:position w:val="-10"/>
        </w:rPr>
        <w:object w:dxaOrig="1020" w:dyaOrig="340" w14:anchorId="3F86A4CA">
          <v:shape id="_x0000_i2889" type="#_x0000_t75" style="width:50.8pt;height:16.95pt" o:ole="">
            <v:imagedata r:id="rId3764" o:title=""/>
          </v:shape>
          <o:OLEObject Type="Embed" ProgID="Equation.DSMT4" ShapeID="_x0000_i2889" DrawAspect="Content" ObjectID="_1791376833" r:id="rId3765"/>
        </w:object>
      </w:r>
      <w:r w:rsidRPr="0026684F">
        <w:rPr>
          <w:rFonts w:ascii="Times New Roman" w:hAnsi="Times New Roman" w:cs="B Nazanin" w:hint="cs"/>
          <w:i/>
          <w:sz w:val="23"/>
          <w:szCs w:val="23"/>
          <w:rtl/>
        </w:rPr>
        <w:t xml:space="preserve"> است که نشان می</w:t>
      </w:r>
      <w:r w:rsidRPr="0026684F">
        <w:rPr>
          <w:rFonts w:ascii="Times New Roman" w:hAnsi="Times New Roman" w:cs="B Nazanin"/>
          <w:i/>
          <w:sz w:val="23"/>
          <w:szCs w:val="23"/>
          <w:rtl/>
        </w:rPr>
        <w:softHyphen/>
      </w:r>
      <w:r w:rsidRPr="0026684F">
        <w:rPr>
          <w:rFonts w:ascii="Times New Roman" w:hAnsi="Times New Roman" w:cs="B Nazanin" w:hint="cs"/>
          <w:i/>
          <w:sz w:val="23"/>
          <w:szCs w:val="23"/>
          <w:rtl/>
        </w:rPr>
        <w:t xml:space="preserve">دهد نرخ مالیات بهینه خواهد بود اگر بر مصرف، نیروی کار و یا هر دو اخذ شود. </w:t>
      </w:r>
    </w:p>
    <w:p w14:paraId="0EA6C076" w14:textId="77777777" w:rsidR="00411620" w:rsidRPr="0026684F" w:rsidRDefault="00411620" w:rsidP="00411620">
      <w:pPr>
        <w:pStyle w:val="MTDisplayEquation"/>
        <w:bidi/>
        <w:spacing w:line="216" w:lineRule="auto"/>
        <w:rPr>
          <w:rFonts w:ascii="Times New Roman" w:eastAsiaTheme="minorEastAsia" w:hAnsi="Times New Roman" w:cs="B Nazanin"/>
          <w:i/>
          <w:sz w:val="23"/>
          <w:szCs w:val="23"/>
          <w:rtl/>
          <w:lang w:val="el-GR"/>
        </w:rPr>
      </w:pPr>
      <w:r w:rsidRPr="0026684F">
        <w:rPr>
          <w:rFonts w:ascii="Times New Roman" w:hAnsi="Times New Roman" w:cs="B Nazanin" w:hint="cs"/>
          <w:i/>
          <w:sz w:val="23"/>
          <w:szCs w:val="23"/>
          <w:rtl/>
        </w:rPr>
        <w:t>از آنجا که بودجه</w:t>
      </w:r>
      <w:r w:rsidRPr="0026684F">
        <w:rPr>
          <w:rFonts w:ascii="Times New Roman" w:hAnsi="Times New Roman" w:cs="B Nazanin"/>
          <w:i/>
          <w:sz w:val="23"/>
          <w:szCs w:val="23"/>
          <w:rtl/>
        </w:rPr>
        <w:softHyphen/>
      </w:r>
      <w:r w:rsidRPr="0026684F">
        <w:rPr>
          <w:rFonts w:ascii="Times New Roman" w:hAnsi="Times New Roman" w:cs="B Nazanin" w:hint="cs"/>
          <w:i/>
          <w:sz w:val="23"/>
          <w:szCs w:val="23"/>
          <w:rtl/>
        </w:rPr>
        <w:t>ی دولت می</w:t>
      </w:r>
      <w:r w:rsidRPr="0026684F">
        <w:rPr>
          <w:rFonts w:ascii="Times New Roman" w:hAnsi="Times New Roman" w:cs="B Nazanin"/>
          <w:i/>
          <w:sz w:val="23"/>
          <w:szCs w:val="23"/>
          <w:rtl/>
        </w:rPr>
        <w:softHyphen/>
      </w:r>
      <w:r w:rsidRPr="0026684F">
        <w:rPr>
          <w:rFonts w:ascii="Times New Roman" w:hAnsi="Times New Roman" w:cs="B Nazanin" w:hint="cs"/>
          <w:i/>
          <w:sz w:val="23"/>
          <w:szCs w:val="23"/>
          <w:rtl/>
        </w:rPr>
        <w:t xml:space="preserve">بایست تأمین مالی شود، لذا دولت باید مالیات اخذ کند. </w:t>
      </w:r>
      <w:r w:rsidRPr="0026684F">
        <w:rPr>
          <w:rFonts w:ascii="Times New Roman" w:eastAsiaTheme="minorEastAsia" w:hAnsi="Times New Roman" w:cs="B Nazanin" w:hint="cs"/>
          <w:i/>
          <w:sz w:val="23"/>
          <w:szCs w:val="23"/>
          <w:rtl/>
          <w:lang w:val="el-GR"/>
        </w:rPr>
        <w:t>در این قسمت نشان دادیم که مالیات مقطوع و مالیات تناسبی بر تولید اخلال</w:t>
      </w:r>
      <w:r w:rsidRPr="0026684F">
        <w:rPr>
          <w:rFonts w:ascii="Times New Roman" w:eastAsiaTheme="minorEastAsia" w:hAnsi="Times New Roman" w:cs="B Nazanin"/>
          <w:i/>
          <w:sz w:val="23"/>
          <w:szCs w:val="23"/>
          <w:rtl/>
          <w:lang w:val="el-GR"/>
        </w:rPr>
        <w:softHyphen/>
      </w:r>
      <w:r w:rsidRPr="0026684F">
        <w:rPr>
          <w:rFonts w:ascii="Times New Roman" w:eastAsiaTheme="minorEastAsia" w:hAnsi="Times New Roman" w:cs="B Nazanin" w:hint="cs"/>
          <w:i/>
          <w:sz w:val="23"/>
          <w:szCs w:val="23"/>
          <w:rtl/>
          <w:lang w:val="el-GR"/>
        </w:rPr>
        <w:t>زا</w:t>
      </w:r>
      <w:r w:rsidRPr="0026684F">
        <w:rPr>
          <w:rFonts w:ascii="Times New Roman" w:eastAsiaTheme="minorEastAsia" w:hAnsi="Times New Roman" w:cs="B Nazanin" w:hint="cs"/>
          <w:i/>
          <w:sz w:val="23"/>
          <w:szCs w:val="23"/>
          <w:rtl/>
        </w:rPr>
        <w:t xml:space="preserve"> نیستند و مالیات</w:t>
      </w:r>
      <w:r w:rsidRPr="0026684F">
        <w:rPr>
          <w:rFonts w:ascii="Times New Roman" w:eastAsiaTheme="minorEastAsia" w:hAnsi="Times New Roman" w:cs="B Nazanin"/>
          <w:i/>
          <w:sz w:val="23"/>
          <w:szCs w:val="23"/>
          <w:rtl/>
        </w:rPr>
        <w:softHyphen/>
      </w:r>
      <w:r w:rsidRPr="0026684F">
        <w:rPr>
          <w:rFonts w:ascii="Times New Roman" w:eastAsiaTheme="minorEastAsia" w:hAnsi="Times New Roman" w:cs="B Nazanin" w:hint="cs"/>
          <w:i/>
          <w:sz w:val="23"/>
          <w:szCs w:val="23"/>
          <w:rtl/>
        </w:rPr>
        <w:t>های تناسبی بر مصرف، دستمزد و سرمایه اخلال</w:t>
      </w:r>
      <w:r w:rsidRPr="0026684F">
        <w:rPr>
          <w:rFonts w:ascii="Times New Roman" w:eastAsiaTheme="minorEastAsia" w:hAnsi="Times New Roman" w:cs="B Nazanin"/>
          <w:i/>
          <w:sz w:val="23"/>
          <w:szCs w:val="23"/>
          <w:rtl/>
        </w:rPr>
        <w:softHyphen/>
      </w:r>
      <w:r w:rsidRPr="0026684F">
        <w:rPr>
          <w:rFonts w:ascii="Times New Roman" w:eastAsiaTheme="minorEastAsia" w:hAnsi="Times New Roman" w:cs="B Nazanin" w:hint="cs"/>
          <w:i/>
          <w:sz w:val="23"/>
          <w:szCs w:val="23"/>
          <w:rtl/>
        </w:rPr>
        <w:t>زا می</w:t>
      </w:r>
      <w:r w:rsidRPr="0026684F">
        <w:rPr>
          <w:rFonts w:ascii="Times New Roman" w:eastAsiaTheme="minorEastAsia" w:hAnsi="Times New Roman" w:cs="B Nazanin"/>
          <w:i/>
          <w:sz w:val="23"/>
          <w:szCs w:val="23"/>
          <w:rtl/>
        </w:rPr>
        <w:softHyphen/>
      </w:r>
      <w:r w:rsidRPr="0026684F">
        <w:rPr>
          <w:rFonts w:ascii="Times New Roman" w:eastAsiaTheme="minorEastAsia" w:hAnsi="Times New Roman" w:cs="B Nazanin" w:hint="cs"/>
          <w:i/>
          <w:sz w:val="23"/>
          <w:szCs w:val="23"/>
          <w:rtl/>
        </w:rPr>
        <w:t>باشند، بنابراین مالیات مقطوع و مالیات تناسبی بر تولید بهینه می</w:t>
      </w:r>
      <w:r w:rsidRPr="0026684F">
        <w:rPr>
          <w:rFonts w:ascii="Times New Roman" w:eastAsiaTheme="minorEastAsia" w:hAnsi="Times New Roman" w:cs="B Nazanin"/>
          <w:i/>
          <w:sz w:val="23"/>
          <w:szCs w:val="23"/>
          <w:rtl/>
        </w:rPr>
        <w:softHyphen/>
      </w:r>
      <w:r w:rsidRPr="0026684F">
        <w:rPr>
          <w:rFonts w:ascii="Times New Roman" w:eastAsiaTheme="minorEastAsia" w:hAnsi="Times New Roman" w:cs="B Nazanin" w:hint="cs"/>
          <w:i/>
          <w:sz w:val="23"/>
          <w:szCs w:val="23"/>
          <w:rtl/>
        </w:rPr>
        <w:t>باشند. با این وجود بسیاری از دولت</w:t>
      </w:r>
      <w:r w:rsidRPr="0026684F">
        <w:rPr>
          <w:rFonts w:ascii="Times New Roman" w:eastAsiaTheme="minorEastAsia" w:hAnsi="Times New Roman" w:cs="B Nazanin"/>
          <w:i/>
          <w:sz w:val="23"/>
          <w:szCs w:val="23"/>
          <w:rtl/>
        </w:rPr>
        <w:softHyphen/>
      </w:r>
      <w:r w:rsidRPr="0026684F">
        <w:rPr>
          <w:rFonts w:ascii="Times New Roman" w:eastAsiaTheme="minorEastAsia" w:hAnsi="Times New Roman" w:cs="B Nazanin" w:hint="cs"/>
          <w:i/>
          <w:sz w:val="23"/>
          <w:szCs w:val="23"/>
          <w:rtl/>
        </w:rPr>
        <w:t>ها مالیات</w:t>
      </w:r>
      <w:r w:rsidRPr="0026684F">
        <w:rPr>
          <w:rFonts w:ascii="Times New Roman" w:eastAsiaTheme="minorEastAsia" w:hAnsi="Times New Roman" w:cs="B Nazanin"/>
          <w:i/>
          <w:sz w:val="23"/>
          <w:szCs w:val="23"/>
          <w:rtl/>
        </w:rPr>
        <w:softHyphen/>
      </w:r>
      <w:r w:rsidRPr="0026684F">
        <w:rPr>
          <w:rFonts w:ascii="Times New Roman" w:eastAsiaTheme="minorEastAsia" w:hAnsi="Times New Roman" w:cs="B Nazanin" w:hint="cs"/>
          <w:i/>
          <w:sz w:val="23"/>
          <w:szCs w:val="23"/>
          <w:rtl/>
        </w:rPr>
        <w:t>های تناسبی بر مصرف، دستمزد و سرمایه را نیز جهت تأمین اعتبار هزینه</w:t>
      </w:r>
      <w:r w:rsidRPr="0026684F">
        <w:rPr>
          <w:rFonts w:ascii="Times New Roman" w:eastAsiaTheme="minorEastAsia" w:hAnsi="Times New Roman" w:cs="B Nazanin"/>
          <w:i/>
          <w:sz w:val="23"/>
          <w:szCs w:val="23"/>
          <w:rtl/>
        </w:rPr>
        <w:softHyphen/>
      </w:r>
      <w:r w:rsidRPr="0026684F">
        <w:rPr>
          <w:rFonts w:ascii="Times New Roman" w:eastAsiaTheme="minorEastAsia" w:hAnsi="Times New Roman" w:cs="B Nazanin" w:hint="cs"/>
          <w:i/>
          <w:sz w:val="23"/>
          <w:szCs w:val="23"/>
          <w:rtl/>
        </w:rPr>
        <w:t>های خود اعمال می</w:t>
      </w:r>
      <w:r w:rsidRPr="0026684F">
        <w:rPr>
          <w:rFonts w:ascii="Times New Roman" w:eastAsiaTheme="minorEastAsia" w:hAnsi="Times New Roman" w:cs="B Nazanin"/>
          <w:i/>
          <w:sz w:val="23"/>
          <w:szCs w:val="23"/>
          <w:rtl/>
        </w:rPr>
        <w:softHyphen/>
      </w:r>
      <w:r w:rsidRPr="0026684F">
        <w:rPr>
          <w:rFonts w:ascii="Times New Roman" w:eastAsiaTheme="minorEastAsia" w:hAnsi="Times New Roman" w:cs="B Nazanin" w:hint="cs"/>
          <w:i/>
          <w:sz w:val="23"/>
          <w:szCs w:val="23"/>
          <w:rtl/>
        </w:rPr>
        <w:t>کنند. در بسیاری از نظام</w:t>
      </w:r>
      <w:r w:rsidRPr="0026684F">
        <w:rPr>
          <w:rFonts w:ascii="Times New Roman" w:eastAsiaTheme="minorEastAsia" w:hAnsi="Times New Roman" w:cs="B Nazanin"/>
          <w:i/>
          <w:sz w:val="23"/>
          <w:szCs w:val="23"/>
          <w:rtl/>
        </w:rPr>
        <w:softHyphen/>
      </w:r>
      <w:r w:rsidRPr="0026684F">
        <w:rPr>
          <w:rFonts w:ascii="Times New Roman" w:eastAsiaTheme="minorEastAsia" w:hAnsi="Times New Roman" w:cs="B Nazanin" w:hint="cs"/>
          <w:i/>
          <w:sz w:val="23"/>
          <w:szCs w:val="23"/>
          <w:rtl/>
        </w:rPr>
        <w:t>های مالیاتی حتی با افزایش درآمد حاصل از دستمزد، نرخ</w:t>
      </w:r>
      <w:r w:rsidRPr="0026684F">
        <w:rPr>
          <w:rFonts w:ascii="Times New Roman" w:eastAsiaTheme="minorEastAsia" w:hAnsi="Times New Roman" w:cs="B Nazanin"/>
          <w:i/>
          <w:sz w:val="23"/>
          <w:szCs w:val="23"/>
          <w:rtl/>
        </w:rPr>
        <w:softHyphen/>
      </w:r>
      <w:r w:rsidRPr="0026684F">
        <w:rPr>
          <w:rFonts w:ascii="Times New Roman" w:eastAsiaTheme="minorEastAsia" w:hAnsi="Times New Roman" w:cs="B Nazanin" w:hint="cs"/>
          <w:i/>
          <w:sz w:val="23"/>
          <w:szCs w:val="23"/>
          <w:rtl/>
        </w:rPr>
        <w:t xml:space="preserve"> مالیاتی نیز افزایش می</w:t>
      </w:r>
      <w:r w:rsidRPr="0026684F">
        <w:rPr>
          <w:rFonts w:ascii="Times New Roman" w:eastAsiaTheme="minorEastAsia" w:hAnsi="Times New Roman" w:cs="B Nazanin"/>
          <w:i/>
          <w:sz w:val="23"/>
          <w:szCs w:val="23"/>
          <w:rtl/>
        </w:rPr>
        <w:softHyphen/>
      </w:r>
      <w:r w:rsidRPr="0026684F">
        <w:rPr>
          <w:rFonts w:ascii="Times New Roman" w:eastAsiaTheme="minorEastAsia" w:hAnsi="Times New Roman" w:cs="B Nazanin" w:hint="cs"/>
          <w:i/>
          <w:sz w:val="23"/>
          <w:szCs w:val="23"/>
          <w:rtl/>
        </w:rPr>
        <w:t>یابد که بدان مالیات تصاعدی گویند. همچنین از آن</w:t>
      </w:r>
      <w:r w:rsidRPr="0026684F">
        <w:rPr>
          <w:rFonts w:ascii="Times New Roman" w:eastAsiaTheme="minorEastAsia" w:hAnsi="Times New Roman" w:cs="B Nazanin"/>
          <w:i/>
          <w:sz w:val="23"/>
          <w:szCs w:val="23"/>
          <w:rtl/>
        </w:rPr>
        <w:softHyphen/>
      </w:r>
      <w:r w:rsidRPr="0026684F">
        <w:rPr>
          <w:rFonts w:ascii="Times New Roman" w:eastAsiaTheme="minorEastAsia" w:hAnsi="Times New Roman" w:cs="B Nazanin" w:hint="cs"/>
          <w:i/>
          <w:sz w:val="23"/>
          <w:szCs w:val="23"/>
          <w:rtl/>
        </w:rPr>
        <w:t>جا که معمولاً سرمایه در اختیار خانوارِ با درآمدهای بالا می</w:t>
      </w:r>
      <w:r w:rsidRPr="0026684F">
        <w:rPr>
          <w:rFonts w:ascii="Times New Roman" w:eastAsiaTheme="minorEastAsia" w:hAnsi="Times New Roman" w:cs="B Nazanin"/>
          <w:i/>
          <w:sz w:val="23"/>
          <w:szCs w:val="23"/>
          <w:rtl/>
        </w:rPr>
        <w:softHyphen/>
      </w:r>
      <w:r w:rsidRPr="0026684F">
        <w:rPr>
          <w:rFonts w:ascii="Times New Roman" w:eastAsiaTheme="minorEastAsia" w:hAnsi="Times New Roman" w:cs="B Nazanin" w:hint="cs"/>
          <w:i/>
          <w:sz w:val="23"/>
          <w:szCs w:val="23"/>
          <w:rtl/>
        </w:rPr>
        <w:t>باشد لذا مالیات تصاعدی بر سرمایه نیز اعمال می</w:t>
      </w:r>
      <w:r w:rsidRPr="0026684F">
        <w:rPr>
          <w:rFonts w:ascii="Times New Roman" w:eastAsiaTheme="minorEastAsia" w:hAnsi="Times New Roman" w:cs="B Nazanin"/>
          <w:i/>
          <w:sz w:val="23"/>
          <w:szCs w:val="23"/>
          <w:rtl/>
        </w:rPr>
        <w:softHyphen/>
      </w:r>
      <w:r w:rsidRPr="0026684F">
        <w:rPr>
          <w:rFonts w:ascii="Times New Roman" w:eastAsiaTheme="minorEastAsia" w:hAnsi="Times New Roman" w:cs="B Nazanin" w:hint="cs"/>
          <w:i/>
          <w:sz w:val="23"/>
          <w:szCs w:val="23"/>
          <w:rtl/>
        </w:rPr>
        <w:t xml:space="preserve">شود. </w:t>
      </w:r>
      <w:r w:rsidRPr="0026684F">
        <w:rPr>
          <w:rFonts w:ascii="Times New Roman" w:eastAsiaTheme="minorEastAsia" w:hAnsi="Times New Roman" w:cs="B Nazanin" w:hint="cs"/>
          <w:i/>
          <w:sz w:val="23"/>
          <w:szCs w:val="23"/>
          <w:rtl/>
          <w:lang w:val="el-GR"/>
        </w:rPr>
        <w:t>در مباحث فوق به این نتیجه رسیدیم که سیستم</w:t>
      </w:r>
      <w:r w:rsidRPr="0026684F">
        <w:rPr>
          <w:rFonts w:ascii="Times New Roman" w:eastAsiaTheme="minorEastAsia" w:hAnsi="Times New Roman" w:cs="B Nazanin"/>
          <w:i/>
          <w:sz w:val="23"/>
          <w:szCs w:val="23"/>
          <w:rtl/>
          <w:lang w:val="el-GR"/>
        </w:rPr>
        <w:softHyphen/>
      </w:r>
      <w:r w:rsidRPr="0026684F">
        <w:rPr>
          <w:rFonts w:ascii="Times New Roman" w:eastAsiaTheme="minorEastAsia" w:hAnsi="Times New Roman" w:cs="B Nazanin" w:hint="cs"/>
          <w:i/>
          <w:sz w:val="23"/>
          <w:szCs w:val="23"/>
          <w:rtl/>
          <w:lang w:val="el-GR"/>
        </w:rPr>
        <w:t>های مالیاتی تناسبی بر مصرف، دستمزد و سرمایه بهینه نیستند زیرا تابع مطلوبیت خانوار مستقل از یکدیگرند. اگر فرض کنیم توابع مطلوبیت خانوار همبسته باشند، با فرض اینکه خانوار با درآمد بالا احساس رضایت بیشتری از اینکه مصرف خانوار با درآمد کم افزایش یابد داشته باشد، آنگاه سیستم مالیاتی تصاعدی در اقتصاد توجیه خواهد شد. بنابراین پرداخت</w:t>
      </w:r>
      <w:r w:rsidRPr="0026684F">
        <w:rPr>
          <w:rFonts w:ascii="Times New Roman" w:eastAsiaTheme="minorEastAsia" w:hAnsi="Times New Roman" w:cs="B Nazanin"/>
          <w:i/>
          <w:sz w:val="23"/>
          <w:szCs w:val="23"/>
          <w:rtl/>
          <w:lang w:val="el-GR"/>
        </w:rPr>
        <w:softHyphen/>
      </w:r>
      <w:r w:rsidRPr="0026684F">
        <w:rPr>
          <w:rFonts w:ascii="Times New Roman" w:eastAsiaTheme="minorEastAsia" w:hAnsi="Times New Roman" w:cs="B Nazanin" w:hint="cs"/>
          <w:i/>
          <w:sz w:val="23"/>
          <w:szCs w:val="23"/>
          <w:rtl/>
          <w:lang w:val="el-GR"/>
        </w:rPr>
        <w:t xml:space="preserve">های انتقالی توسط دولت که </w:t>
      </w:r>
      <w:r w:rsidRPr="0026684F">
        <w:rPr>
          <w:rFonts w:ascii="Times New Roman" w:eastAsiaTheme="minorEastAsia" w:hAnsi="Times New Roman" w:cs="B Nazanin"/>
          <w:i/>
          <w:sz w:val="23"/>
          <w:szCs w:val="23"/>
          <w:rtl/>
          <w:lang w:val="el-GR"/>
        </w:rPr>
        <w:softHyphen/>
      </w:r>
      <w:r w:rsidRPr="0026684F">
        <w:rPr>
          <w:rFonts w:ascii="Times New Roman" w:eastAsiaTheme="minorEastAsia" w:hAnsi="Times New Roman" w:cs="B Nazanin" w:hint="cs"/>
          <w:i/>
          <w:sz w:val="23"/>
          <w:szCs w:val="23"/>
          <w:rtl/>
          <w:lang w:val="el-GR"/>
        </w:rPr>
        <w:t>بخاطر نوع</w:t>
      </w:r>
      <w:r w:rsidRPr="0026684F">
        <w:rPr>
          <w:rFonts w:ascii="Times New Roman" w:eastAsiaTheme="minorEastAsia" w:hAnsi="Times New Roman" w:cs="B Nazanin"/>
          <w:i/>
          <w:sz w:val="23"/>
          <w:szCs w:val="23"/>
          <w:rtl/>
          <w:lang w:val="el-GR"/>
        </w:rPr>
        <w:softHyphen/>
      </w:r>
      <w:r w:rsidRPr="0026684F">
        <w:rPr>
          <w:rFonts w:ascii="Times New Roman" w:eastAsiaTheme="minorEastAsia" w:hAnsi="Times New Roman" w:cs="B Nazanin" w:hint="cs"/>
          <w:i/>
          <w:sz w:val="23"/>
          <w:szCs w:val="23"/>
          <w:rtl/>
          <w:lang w:val="el-GR"/>
        </w:rPr>
        <w:t>دوستی است، به</w:t>
      </w:r>
      <w:r w:rsidRPr="0026684F">
        <w:rPr>
          <w:rFonts w:ascii="Times New Roman" w:eastAsiaTheme="minorEastAsia" w:hAnsi="Times New Roman" w:cs="B Nazanin"/>
          <w:i/>
          <w:sz w:val="23"/>
          <w:szCs w:val="23"/>
          <w:rtl/>
          <w:lang w:val="el-GR"/>
        </w:rPr>
        <w:softHyphen/>
      </w:r>
      <w:r w:rsidRPr="0026684F">
        <w:rPr>
          <w:rFonts w:ascii="Times New Roman" w:eastAsiaTheme="minorEastAsia" w:hAnsi="Times New Roman" w:cs="B Nazanin" w:hint="cs"/>
          <w:i/>
          <w:sz w:val="23"/>
          <w:szCs w:val="23"/>
          <w:rtl/>
          <w:lang w:val="el-GR"/>
        </w:rPr>
        <w:t>منظور افزایش رفاه خانوار با درآمد پایین صورت می</w:t>
      </w:r>
      <w:r w:rsidRPr="0026684F">
        <w:rPr>
          <w:rFonts w:ascii="Times New Roman" w:eastAsiaTheme="minorEastAsia" w:hAnsi="Times New Roman" w:cs="B Nazanin"/>
          <w:i/>
          <w:sz w:val="23"/>
          <w:szCs w:val="23"/>
          <w:rtl/>
          <w:lang w:val="el-GR"/>
        </w:rPr>
        <w:softHyphen/>
      </w:r>
      <w:r w:rsidRPr="0026684F">
        <w:rPr>
          <w:rFonts w:ascii="Times New Roman" w:eastAsiaTheme="minorEastAsia" w:hAnsi="Times New Roman" w:cs="B Nazanin" w:hint="cs"/>
          <w:i/>
          <w:sz w:val="23"/>
          <w:szCs w:val="23"/>
          <w:rtl/>
          <w:lang w:val="el-GR"/>
        </w:rPr>
        <w:t xml:space="preserve">گیرد. </w:t>
      </w:r>
    </w:p>
    <w:p w14:paraId="2E3234A0" w14:textId="77777777" w:rsidR="00411620" w:rsidRPr="0026684F" w:rsidRDefault="00411620" w:rsidP="00411620">
      <w:pPr>
        <w:spacing w:line="216" w:lineRule="auto"/>
        <w:rPr>
          <w:i/>
          <w:sz w:val="23"/>
          <w:szCs w:val="23"/>
        </w:rPr>
      </w:pPr>
    </w:p>
    <w:p w14:paraId="5719BC16" w14:textId="77777777" w:rsidR="00411620" w:rsidRPr="0026684F" w:rsidRDefault="00411620" w:rsidP="00411620">
      <w:pPr>
        <w:pStyle w:val="Heading1"/>
        <w:spacing w:before="0" w:after="0" w:line="216" w:lineRule="auto"/>
        <w:rPr>
          <w:rFonts w:ascii="Times New Roman" w:hAnsi="Times New Roman" w:cs="B Nazanin"/>
          <w:b w:val="0"/>
          <w:i/>
          <w:sz w:val="23"/>
          <w:szCs w:val="23"/>
          <w:rtl/>
        </w:rPr>
      </w:pPr>
      <w:r w:rsidRPr="0026684F">
        <w:rPr>
          <w:rFonts w:ascii="NPIZar" w:hAnsi="NPIZar" w:cs="B Nazanin"/>
          <w:b w:val="0"/>
          <w:i/>
          <w:sz w:val="23"/>
          <w:szCs w:val="23"/>
          <w:rtl/>
        </w:rPr>
        <w:lastRenderedPageBreak/>
        <w:t>۵. 7. 2</w:t>
      </w:r>
      <w:r w:rsidRPr="0026684F">
        <w:rPr>
          <w:rFonts w:ascii="Times New Roman" w:hAnsi="Times New Roman" w:cs="B Nazanin" w:hint="cs"/>
          <w:b w:val="0"/>
          <w:i/>
          <w:sz w:val="23"/>
          <w:szCs w:val="23"/>
          <w:rtl/>
        </w:rPr>
        <w:t xml:space="preserve"> مخارج بهینه دولت </w:t>
      </w:r>
    </w:p>
    <w:p w14:paraId="1151694B" w14:textId="77777777" w:rsidR="00411620" w:rsidRPr="0026684F" w:rsidRDefault="00411620" w:rsidP="00411620">
      <w:pPr>
        <w:spacing w:line="216" w:lineRule="auto"/>
        <w:rPr>
          <w:bCs/>
          <w:i/>
          <w:sz w:val="23"/>
          <w:szCs w:val="23"/>
          <w:rtl/>
        </w:rPr>
      </w:pPr>
      <w:r w:rsidRPr="0026684F">
        <w:rPr>
          <w:rFonts w:hint="cs"/>
          <w:bCs/>
          <w:i/>
          <w:sz w:val="23"/>
          <w:szCs w:val="23"/>
          <w:rtl/>
        </w:rPr>
        <w:t>مالیات مقطوع</w:t>
      </w:r>
      <w:r w:rsidRPr="0026684F">
        <w:rPr>
          <w:rStyle w:val="FootnoteReference"/>
          <w:rFonts w:eastAsiaTheme="majorEastAsia"/>
          <w:bCs/>
          <w:i/>
          <w:sz w:val="23"/>
          <w:szCs w:val="23"/>
          <w:rtl/>
        </w:rPr>
        <w:footnoteReference w:id="148"/>
      </w:r>
      <w:r w:rsidRPr="0026684F">
        <w:rPr>
          <w:rFonts w:hint="cs"/>
          <w:bCs/>
          <w:i/>
          <w:sz w:val="23"/>
          <w:szCs w:val="23"/>
          <w:rtl/>
        </w:rPr>
        <w:t xml:space="preserve"> </w:t>
      </w:r>
    </w:p>
    <w:p w14:paraId="7B4118CA" w14:textId="77777777" w:rsidR="00411620" w:rsidRPr="0026684F" w:rsidRDefault="00411620" w:rsidP="00411620">
      <w:pPr>
        <w:spacing w:line="216" w:lineRule="auto"/>
        <w:rPr>
          <w:i/>
          <w:sz w:val="23"/>
          <w:szCs w:val="23"/>
          <w:rtl/>
        </w:rPr>
      </w:pPr>
      <w:r w:rsidRPr="0026684F">
        <w:rPr>
          <w:rFonts w:hint="cs"/>
          <w:i/>
          <w:sz w:val="23"/>
          <w:szCs w:val="23"/>
          <w:rtl/>
        </w:rPr>
        <w:t>فرض</w:t>
      </w:r>
      <w:r w:rsidRPr="0026684F">
        <w:rPr>
          <w:i/>
          <w:sz w:val="23"/>
          <w:szCs w:val="23"/>
        </w:rPr>
        <w:t xml:space="preserve"> </w:t>
      </w:r>
      <w:r w:rsidRPr="0026684F">
        <w:rPr>
          <w:rFonts w:hint="cs"/>
          <w:i/>
          <w:sz w:val="23"/>
          <w:szCs w:val="23"/>
          <w:rtl/>
        </w:rPr>
        <w:t>کنید دولت سطح مخارج خود را به گونه</w:t>
      </w:r>
      <w:r w:rsidRPr="0026684F">
        <w:rPr>
          <w:i/>
          <w:sz w:val="23"/>
          <w:szCs w:val="23"/>
          <w:rtl/>
        </w:rPr>
        <w:softHyphen/>
      </w:r>
      <w:r w:rsidRPr="0026684F">
        <w:rPr>
          <w:rFonts w:hint="cs"/>
          <w:i/>
          <w:sz w:val="23"/>
          <w:szCs w:val="23"/>
          <w:rtl/>
        </w:rPr>
        <w:t>ای مشخص کند که مطلوبیت خانوار حداکثر شده، و در قید بودجه مخارج دولت از طریق مالیات مقطوع تامین شود. بدهی دولت ممکن است برابر با صفر درنظر گرفته شود تا قید بودجه به صورت</w:t>
      </w:r>
      <w:proofErr w:type="spellStart"/>
      <w:r w:rsidRPr="0026684F">
        <w:rPr>
          <w:i/>
          <w:sz w:val="23"/>
          <w:szCs w:val="23"/>
        </w:rPr>
        <w:t>g</w:t>
      </w:r>
      <w:r w:rsidRPr="0026684F">
        <w:rPr>
          <w:i/>
          <w:sz w:val="23"/>
          <w:szCs w:val="23"/>
          <w:vertAlign w:val="subscript"/>
        </w:rPr>
        <w:t>t</w:t>
      </w:r>
      <w:proofErr w:type="spellEnd"/>
      <w:r w:rsidRPr="0026684F">
        <w:rPr>
          <w:i/>
          <w:sz w:val="23"/>
          <w:szCs w:val="23"/>
        </w:rPr>
        <w:t>=T</w:t>
      </w:r>
      <w:r w:rsidRPr="0026684F">
        <w:rPr>
          <w:i/>
          <w:sz w:val="23"/>
          <w:szCs w:val="23"/>
          <w:vertAlign w:val="subscript"/>
        </w:rPr>
        <w:t xml:space="preserve">t </w:t>
      </w:r>
      <w:r w:rsidRPr="0026684F">
        <w:rPr>
          <w:rFonts w:hint="cs"/>
          <w:i/>
          <w:sz w:val="23"/>
          <w:szCs w:val="23"/>
          <w:vertAlign w:val="subscript"/>
          <w:rtl/>
        </w:rPr>
        <w:t xml:space="preserve"> </w:t>
      </w:r>
      <w:r w:rsidRPr="0026684F">
        <w:rPr>
          <w:rFonts w:hint="cs"/>
          <w:i/>
          <w:sz w:val="23"/>
          <w:szCs w:val="23"/>
          <w:rtl/>
        </w:rPr>
        <w:t>ساده شود. برای سادگی بحث ابتدا مدل متمرکز را در نظر می</w:t>
      </w:r>
      <w:r w:rsidRPr="0026684F">
        <w:rPr>
          <w:i/>
          <w:sz w:val="23"/>
          <w:szCs w:val="23"/>
          <w:rtl/>
        </w:rPr>
        <w:softHyphen/>
      </w:r>
      <w:r w:rsidRPr="0026684F">
        <w:rPr>
          <w:rFonts w:hint="cs"/>
          <w:i/>
          <w:sz w:val="23"/>
          <w:szCs w:val="23"/>
          <w:rtl/>
        </w:rPr>
        <w:t>گیریم، هر چند می</w:t>
      </w:r>
      <w:r w:rsidRPr="0026684F">
        <w:rPr>
          <w:i/>
          <w:sz w:val="23"/>
          <w:szCs w:val="23"/>
          <w:rtl/>
        </w:rPr>
        <w:softHyphen/>
      </w:r>
      <w:r w:rsidRPr="0026684F">
        <w:rPr>
          <w:rFonts w:hint="cs"/>
          <w:i/>
          <w:sz w:val="23"/>
          <w:szCs w:val="23"/>
          <w:rtl/>
        </w:rPr>
        <w:t>توان نشان داد که نتایج بدست آمده با مدل غیرمتمرکز یکسان است. فرض می</w:t>
      </w:r>
      <w:r w:rsidRPr="0026684F">
        <w:rPr>
          <w:i/>
          <w:sz w:val="23"/>
          <w:szCs w:val="23"/>
          <w:rtl/>
        </w:rPr>
        <w:softHyphen/>
      </w:r>
      <w:r w:rsidRPr="0026684F">
        <w:rPr>
          <w:rFonts w:hint="cs"/>
          <w:i/>
          <w:sz w:val="23"/>
          <w:szCs w:val="23"/>
          <w:rtl/>
        </w:rPr>
        <w:t>شود خانوار مطلوبیت خود را از طریق مصرف و مخارج دولت به دست می</w:t>
      </w:r>
      <w:r w:rsidRPr="0026684F">
        <w:rPr>
          <w:i/>
          <w:sz w:val="23"/>
          <w:szCs w:val="23"/>
          <w:rtl/>
        </w:rPr>
        <w:softHyphen/>
      </w:r>
      <w:r w:rsidRPr="0026684F">
        <w:rPr>
          <w:rFonts w:hint="cs"/>
          <w:i/>
          <w:sz w:val="23"/>
          <w:szCs w:val="23"/>
          <w:rtl/>
        </w:rPr>
        <w:t>آورد. لذا خواهیم داشت:</w:t>
      </w:r>
    </w:p>
    <w:p w14:paraId="0B610694"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12"/>
        </w:rPr>
        <w:object w:dxaOrig="1120" w:dyaOrig="360" w14:anchorId="2B6CA057">
          <v:shape id="_x0000_i2890" type="#_x0000_t75" style="width:56.25pt;height:18.15pt" o:ole="">
            <v:imagedata r:id="rId3766" o:title=""/>
          </v:shape>
          <o:OLEObject Type="Embed" ProgID="Equation.DSMT4" ShapeID="_x0000_i2890" DrawAspect="Content" ObjectID="_1791376834" r:id="rId3767"/>
        </w:object>
      </w:r>
    </w:p>
    <w:p w14:paraId="244625B9" w14:textId="77777777" w:rsidR="00411620" w:rsidRPr="0026684F" w:rsidRDefault="00411620" w:rsidP="00411620">
      <w:pPr>
        <w:spacing w:line="216" w:lineRule="auto"/>
        <w:rPr>
          <w:rFonts w:eastAsiaTheme="minorEastAsia"/>
          <w:i/>
          <w:sz w:val="23"/>
          <w:szCs w:val="23"/>
        </w:rPr>
      </w:pPr>
      <w:r w:rsidRPr="0026684F">
        <w:rPr>
          <w:rFonts w:eastAsiaTheme="minorEastAsia" w:hint="cs"/>
          <w:i/>
          <w:sz w:val="23"/>
          <w:szCs w:val="23"/>
          <w:rtl/>
        </w:rPr>
        <w:t>و فرض می</w:t>
      </w:r>
      <w:r w:rsidRPr="0026684F">
        <w:rPr>
          <w:rFonts w:eastAsiaTheme="minorEastAsia"/>
          <w:i/>
          <w:sz w:val="23"/>
          <w:szCs w:val="23"/>
          <w:rtl/>
        </w:rPr>
        <w:softHyphen/>
      </w:r>
      <w:r w:rsidRPr="0026684F">
        <w:rPr>
          <w:rFonts w:eastAsiaTheme="minorEastAsia" w:hint="cs"/>
          <w:i/>
          <w:sz w:val="23"/>
          <w:szCs w:val="23"/>
          <w:rtl/>
        </w:rPr>
        <w:t>کنیم</w:t>
      </w:r>
    </w:p>
    <w:p w14:paraId="3221E866"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14"/>
        </w:rPr>
        <w:object w:dxaOrig="3560" w:dyaOrig="360" w14:anchorId="015003F9">
          <v:shape id="_x0000_i2891" type="#_x0000_t75" style="width:178.5pt;height:18.15pt" o:ole="">
            <v:imagedata r:id="rId3768" o:title=""/>
          </v:shape>
          <o:OLEObject Type="Embed" ProgID="Equation.DSMT4" ShapeID="_x0000_i2891" DrawAspect="Content" ObjectID="_1791376835" r:id="rId3769"/>
        </w:object>
      </w:r>
    </w:p>
    <w:p w14:paraId="59DD61C0" w14:textId="77777777" w:rsidR="00411620" w:rsidRPr="0026684F" w:rsidRDefault="00411620" w:rsidP="00411620">
      <w:pPr>
        <w:spacing w:line="216" w:lineRule="auto"/>
        <w:rPr>
          <w:i/>
          <w:sz w:val="23"/>
          <w:szCs w:val="23"/>
          <w:rtl/>
        </w:rPr>
      </w:pPr>
      <w:r w:rsidRPr="0026684F">
        <w:rPr>
          <w:rFonts w:hint="cs"/>
          <w:i/>
          <w:sz w:val="23"/>
          <w:szCs w:val="23"/>
          <w:rtl/>
        </w:rPr>
        <w:t>یعنی مخارج مصرفی خانوار و مخارج دولت جانشین یکدیگرند. در مدل متمرکز مسئله</w:t>
      </w:r>
      <w:r w:rsidRPr="0026684F">
        <w:rPr>
          <w:i/>
          <w:sz w:val="23"/>
          <w:szCs w:val="23"/>
          <w:rtl/>
        </w:rPr>
        <w:softHyphen/>
      </w:r>
      <w:r w:rsidRPr="0026684F">
        <w:rPr>
          <w:rFonts w:hint="cs"/>
          <w:i/>
          <w:sz w:val="23"/>
          <w:szCs w:val="23"/>
          <w:rtl/>
        </w:rPr>
        <w:t xml:space="preserve">ی دولت عبارت از انتخاب </w:t>
      </w:r>
      <w:proofErr w:type="spellStart"/>
      <w:r w:rsidRPr="0026684F">
        <w:rPr>
          <w:i/>
          <w:sz w:val="23"/>
          <w:szCs w:val="23"/>
        </w:rPr>
        <w:t>c</w:t>
      </w:r>
      <w:r w:rsidRPr="0026684F">
        <w:rPr>
          <w:i/>
          <w:sz w:val="23"/>
          <w:szCs w:val="23"/>
          <w:vertAlign w:val="subscript"/>
        </w:rPr>
        <w:t>t</w:t>
      </w:r>
      <w:proofErr w:type="spellEnd"/>
      <w:r w:rsidRPr="0026684F">
        <w:rPr>
          <w:rFonts w:hint="cs"/>
          <w:i/>
          <w:sz w:val="23"/>
          <w:szCs w:val="23"/>
          <w:rtl/>
        </w:rPr>
        <w:t xml:space="preserve"> و </w:t>
      </w:r>
      <w:r w:rsidRPr="0026684F">
        <w:rPr>
          <w:i/>
          <w:sz w:val="23"/>
          <w:szCs w:val="23"/>
        </w:rPr>
        <w:t>k</w:t>
      </w:r>
      <w:r w:rsidRPr="0026684F">
        <w:rPr>
          <w:i/>
          <w:sz w:val="23"/>
          <w:szCs w:val="23"/>
          <w:vertAlign w:val="subscript"/>
        </w:rPr>
        <w:t>t</w:t>
      </w:r>
      <w:r w:rsidRPr="0026684F">
        <w:rPr>
          <w:rFonts w:hint="cs"/>
          <w:i/>
          <w:sz w:val="23"/>
          <w:szCs w:val="23"/>
          <w:rtl/>
        </w:rPr>
        <w:t xml:space="preserve"> و </w:t>
      </w:r>
      <w:r w:rsidRPr="0026684F">
        <w:rPr>
          <w:i/>
          <w:sz w:val="23"/>
          <w:szCs w:val="23"/>
        </w:rPr>
        <w:t>T</w:t>
      </w:r>
      <w:r w:rsidRPr="0026684F">
        <w:rPr>
          <w:i/>
          <w:sz w:val="23"/>
          <w:szCs w:val="23"/>
          <w:vertAlign w:val="subscript"/>
        </w:rPr>
        <w:t>t</w:t>
      </w:r>
      <w:r w:rsidRPr="0026684F">
        <w:rPr>
          <w:rFonts w:hint="cs"/>
          <w:i/>
          <w:sz w:val="23"/>
          <w:szCs w:val="23"/>
          <w:rtl/>
        </w:rPr>
        <w:t xml:space="preserve"> است تا مطلوبیت خانوار حداکثر شود. یعنی</w:t>
      </w:r>
      <w:r w:rsidRPr="0026684F">
        <w:rPr>
          <w:i/>
          <w:sz w:val="23"/>
          <w:szCs w:val="23"/>
        </w:rPr>
        <w:t xml:space="preserve"> </w:t>
      </w:r>
    </w:p>
    <w:p w14:paraId="1CFBF4A5"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6"/>
        </w:rPr>
        <w:object w:dxaOrig="2860" w:dyaOrig="620" w14:anchorId="75B51D2D">
          <v:shape id="_x0000_i2892" type="#_x0000_t75" style="width:142.8pt;height:31.45pt" o:ole="">
            <v:imagedata r:id="rId3770" o:title=""/>
          </v:shape>
          <o:OLEObject Type="Embed" ProgID="Equation.DSMT4" ShapeID="_x0000_i2892" DrawAspect="Content" ObjectID="_1791376836" r:id="rId3771"/>
        </w:object>
      </w:r>
    </w:p>
    <w:p w14:paraId="08E51504" w14:textId="77777777" w:rsidR="00411620" w:rsidRPr="0026684F" w:rsidRDefault="00411620" w:rsidP="00411620">
      <w:pPr>
        <w:spacing w:line="216" w:lineRule="auto"/>
        <w:rPr>
          <w:i/>
          <w:sz w:val="23"/>
          <w:szCs w:val="23"/>
        </w:rPr>
      </w:pPr>
      <w:r w:rsidRPr="0026684F">
        <w:rPr>
          <w:rFonts w:hint="cs"/>
          <w:i/>
          <w:sz w:val="23"/>
          <w:szCs w:val="23"/>
          <w:rtl/>
        </w:rPr>
        <w:t>نسبت به قید منبع اقتصاد و همچنین قید بودجه</w:t>
      </w:r>
      <w:r w:rsidRPr="0026684F">
        <w:rPr>
          <w:i/>
          <w:sz w:val="23"/>
          <w:szCs w:val="23"/>
          <w:rtl/>
        </w:rPr>
        <w:softHyphen/>
      </w:r>
      <w:r w:rsidRPr="0026684F">
        <w:rPr>
          <w:rFonts w:hint="cs"/>
          <w:i/>
          <w:sz w:val="23"/>
          <w:szCs w:val="23"/>
          <w:rtl/>
        </w:rPr>
        <w:t xml:space="preserve">ی دولت یعنی؛ </w:t>
      </w:r>
    </w:p>
    <w:p w14:paraId="57640156"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12"/>
        </w:rPr>
        <w:object w:dxaOrig="6220" w:dyaOrig="360" w14:anchorId="402D509E">
          <v:shape id="_x0000_i2893" type="#_x0000_t75" style="width:311pt;height:18.15pt" o:ole="">
            <v:imagedata r:id="rId3772" o:title=""/>
          </v:shape>
          <o:OLEObject Type="Embed" ProgID="Equation.DSMT4" ShapeID="_x0000_i2893" DrawAspect="Content" ObjectID="_1791376837" r:id="rId3773"/>
        </w:object>
      </w:r>
    </w:p>
    <w:p w14:paraId="329413A3" w14:textId="77777777" w:rsidR="00411620" w:rsidRPr="0026684F" w:rsidRDefault="00411620" w:rsidP="00411620">
      <w:pPr>
        <w:pStyle w:val="MTDisplayEquation"/>
        <w:spacing w:line="216" w:lineRule="auto"/>
        <w:rPr>
          <w:rFonts w:ascii="Times New Roman" w:hAnsi="Times New Roman" w:cs="B Nazanin"/>
          <w:i/>
          <w:sz w:val="23"/>
          <w:szCs w:val="23"/>
          <w:rtl/>
        </w:rPr>
      </w:pPr>
      <w:r w:rsidRPr="00703635">
        <w:rPr>
          <w:position w:val="-10"/>
        </w:rPr>
        <w:object w:dxaOrig="2280" w:dyaOrig="320" w14:anchorId="257A99C9">
          <v:shape id="_x0000_i2894" type="#_x0000_t75" style="width:113.75pt;height:15.75pt" o:ole="">
            <v:imagedata r:id="rId3774" o:title=""/>
          </v:shape>
          <o:OLEObject Type="Embed" ProgID="Equation.DSMT4" ShapeID="_x0000_i2894" DrawAspect="Content" ObjectID="_1791376838" r:id="rId3775"/>
        </w:object>
      </w:r>
    </w:p>
    <w:p w14:paraId="75C2346B" w14:textId="77777777" w:rsidR="00411620" w:rsidRPr="0026684F" w:rsidRDefault="00411620" w:rsidP="00411620">
      <w:pPr>
        <w:spacing w:line="216" w:lineRule="auto"/>
        <w:rPr>
          <w:i/>
          <w:sz w:val="23"/>
          <w:szCs w:val="23"/>
          <w:rtl/>
        </w:rPr>
      </w:pPr>
      <w:r w:rsidRPr="0026684F">
        <w:rPr>
          <w:rFonts w:hint="cs"/>
          <w:i/>
          <w:sz w:val="23"/>
          <w:szCs w:val="23"/>
          <w:rtl/>
        </w:rPr>
        <w:t>از آن</w:t>
      </w:r>
      <w:r w:rsidRPr="0026684F">
        <w:rPr>
          <w:i/>
          <w:sz w:val="23"/>
          <w:szCs w:val="23"/>
          <w:rtl/>
        </w:rPr>
        <w:softHyphen/>
      </w:r>
      <w:r w:rsidRPr="0026684F">
        <w:rPr>
          <w:rFonts w:hint="cs"/>
          <w:i/>
          <w:sz w:val="23"/>
          <w:szCs w:val="23"/>
          <w:rtl/>
        </w:rPr>
        <w:t>جا که قید بودجه</w:t>
      </w:r>
      <w:r w:rsidRPr="0026684F">
        <w:rPr>
          <w:i/>
          <w:sz w:val="23"/>
          <w:szCs w:val="23"/>
          <w:rtl/>
        </w:rPr>
        <w:softHyphen/>
      </w:r>
      <w:r w:rsidRPr="0026684F">
        <w:rPr>
          <w:rFonts w:hint="cs"/>
          <w:i/>
          <w:sz w:val="23"/>
          <w:szCs w:val="23"/>
          <w:rtl/>
        </w:rPr>
        <w:t>ی خانوار در قید منبع اقتصاد ملحوظ شده، لذا آنرا در نظر نگرفته و لاگرانژین را با توجه به دو قید فوق می</w:t>
      </w:r>
      <w:r w:rsidRPr="0026684F">
        <w:rPr>
          <w:i/>
          <w:sz w:val="23"/>
          <w:szCs w:val="23"/>
          <w:rtl/>
        </w:rPr>
        <w:softHyphen/>
      </w:r>
      <w:r w:rsidRPr="0026684F">
        <w:rPr>
          <w:rFonts w:hint="cs"/>
          <w:i/>
          <w:sz w:val="23"/>
          <w:szCs w:val="23"/>
          <w:rtl/>
        </w:rPr>
        <w:t>نویسیم:</w:t>
      </w:r>
    </w:p>
    <w:p w14:paraId="3661F5C4" w14:textId="77777777" w:rsidR="00411620" w:rsidRPr="0026684F" w:rsidRDefault="00411620" w:rsidP="00411620">
      <w:pPr>
        <w:bidi w:val="0"/>
        <w:spacing w:line="216" w:lineRule="auto"/>
        <w:rPr>
          <w:rFonts w:eastAsiaTheme="minorEastAsia"/>
          <w:i/>
          <w:sz w:val="23"/>
          <w:szCs w:val="23"/>
        </w:rPr>
      </w:pPr>
      <w:r w:rsidRPr="00703635">
        <w:rPr>
          <w:position w:val="-34"/>
        </w:rPr>
        <w:object w:dxaOrig="6520" w:dyaOrig="780" w14:anchorId="6B6A8C6F">
          <v:shape id="_x0000_i2895" type="#_x0000_t75" style="width:326.1pt;height:39.35pt" o:ole="">
            <v:imagedata r:id="rId3776" o:title=""/>
          </v:shape>
          <o:OLEObject Type="Embed" ProgID="Equation.DSMT4" ShapeID="_x0000_i2895" DrawAspect="Content" ObjectID="_1791376839" r:id="rId3777"/>
        </w:object>
      </w:r>
      <w:r w:rsidRPr="0026684F">
        <w:rPr>
          <w:i/>
          <w:sz w:val="23"/>
          <w:szCs w:val="23"/>
        </w:rPr>
        <w:t xml:space="preserve"> </w:t>
      </w:r>
    </w:p>
    <w:p w14:paraId="671E34A5" w14:textId="77777777" w:rsidR="00411620" w:rsidRPr="0026684F" w:rsidRDefault="00411620" w:rsidP="00411620">
      <w:pPr>
        <w:spacing w:line="216" w:lineRule="auto"/>
        <w:rPr>
          <w:rFonts w:eastAsiaTheme="minorEastAsia"/>
          <w:i/>
          <w:sz w:val="23"/>
          <w:szCs w:val="23"/>
          <w:rtl/>
        </w:rPr>
      </w:pPr>
      <w:r w:rsidRPr="0026684F">
        <w:rPr>
          <w:rFonts w:hint="cs"/>
          <w:i/>
          <w:sz w:val="23"/>
          <w:szCs w:val="23"/>
          <w:rtl/>
        </w:rPr>
        <w:t>شرایط مرتبه</w:t>
      </w:r>
      <w:r w:rsidRPr="0026684F">
        <w:rPr>
          <w:i/>
          <w:sz w:val="23"/>
          <w:szCs w:val="23"/>
          <w:rtl/>
        </w:rPr>
        <w:softHyphen/>
      </w:r>
      <w:r w:rsidRPr="0026684F">
        <w:rPr>
          <w:rFonts w:hint="cs"/>
          <w:i/>
          <w:sz w:val="23"/>
          <w:szCs w:val="23"/>
          <w:rtl/>
        </w:rPr>
        <w:t>ی اول برای حداکثر کردن تابع مطلوبیت فوق برابر است با</w:t>
      </w:r>
      <w:r w:rsidRPr="0026684F">
        <w:rPr>
          <w:rFonts w:eastAsiaTheme="minorEastAsia" w:hint="cs"/>
          <w:i/>
          <w:sz w:val="23"/>
          <w:szCs w:val="23"/>
          <w:rtl/>
        </w:rPr>
        <w:t xml:space="preserve"> :</w:t>
      </w:r>
    </w:p>
    <w:p w14:paraId="0CD692FC"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28"/>
        </w:rPr>
        <w:object w:dxaOrig="4840" w:dyaOrig="620" w14:anchorId="719A650C">
          <v:shape id="_x0000_i2896" type="#_x0000_t75" style="width:242pt;height:31.45pt" o:ole="">
            <v:imagedata r:id="rId3778" o:title=""/>
          </v:shape>
          <o:OLEObject Type="Embed" ProgID="Equation.DSMT4" ShapeID="_x0000_i2896" DrawAspect="Content" ObjectID="_1791376840" r:id="rId3779"/>
        </w:object>
      </w:r>
    </w:p>
    <w:p w14:paraId="1ED17663"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28"/>
        </w:rPr>
        <w:object w:dxaOrig="4760" w:dyaOrig="620" w14:anchorId="4B237EC3">
          <v:shape id="_x0000_i2897" type="#_x0000_t75" style="width:237.8pt;height:31.45pt" o:ole="">
            <v:imagedata r:id="rId3780" o:title=""/>
          </v:shape>
          <o:OLEObject Type="Embed" ProgID="Equation.DSMT4" ShapeID="_x0000_i2897" DrawAspect="Content" ObjectID="_1791376841" r:id="rId3781"/>
        </w:object>
      </w:r>
    </w:p>
    <w:p w14:paraId="64B76737"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28"/>
        </w:rPr>
        <w:object w:dxaOrig="4680" w:dyaOrig="620" w14:anchorId="2BC2CCFE">
          <v:shape id="_x0000_i2898" type="#_x0000_t75" style="width:234.15pt;height:31.45pt" o:ole="">
            <v:imagedata r:id="rId3782" o:title=""/>
          </v:shape>
          <o:OLEObject Type="Embed" ProgID="Equation.DSMT4" ShapeID="_x0000_i2898" DrawAspect="Content" ObjectID="_1791376842" r:id="rId3783"/>
        </w:object>
      </w:r>
    </w:p>
    <w:p w14:paraId="6AFF8C1C"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28"/>
        </w:rPr>
        <w:object w:dxaOrig="4720" w:dyaOrig="620" w14:anchorId="6B3EF10E">
          <v:shape id="_x0000_i2899" type="#_x0000_t75" style="width:235.95pt;height:31.45pt" o:ole="">
            <v:imagedata r:id="rId3784" o:title=""/>
          </v:shape>
          <o:OLEObject Type="Embed" ProgID="Equation.DSMT4" ShapeID="_x0000_i2899" DrawAspect="Content" ObjectID="_1791376843" r:id="rId3785"/>
        </w:object>
      </w:r>
    </w:p>
    <w:p w14:paraId="68AEF3EC" w14:textId="77777777" w:rsidR="00411620" w:rsidRPr="0026684F" w:rsidRDefault="00411620" w:rsidP="00411620">
      <w:pPr>
        <w:spacing w:line="216" w:lineRule="auto"/>
        <w:rPr>
          <w:rFonts w:eastAsiaTheme="minorEastAsia"/>
          <w:i/>
          <w:sz w:val="23"/>
          <w:szCs w:val="23"/>
        </w:rPr>
      </w:pPr>
      <w:r w:rsidRPr="0026684F">
        <w:rPr>
          <w:rFonts w:hint="cs"/>
          <w:i/>
          <w:sz w:val="23"/>
          <w:szCs w:val="23"/>
          <w:rtl/>
        </w:rPr>
        <w:lastRenderedPageBreak/>
        <w:t>در آخرین رابطه از شرایط مرتبه</w:t>
      </w:r>
      <w:r w:rsidRPr="0026684F">
        <w:rPr>
          <w:i/>
          <w:sz w:val="23"/>
          <w:szCs w:val="23"/>
          <w:rtl/>
        </w:rPr>
        <w:softHyphen/>
      </w:r>
      <w:r w:rsidRPr="0026684F">
        <w:rPr>
          <w:rFonts w:hint="cs"/>
          <w:i/>
          <w:sz w:val="23"/>
          <w:szCs w:val="23"/>
          <w:rtl/>
        </w:rPr>
        <w:t xml:space="preserve">ی اول برای هر </w:t>
      </w:r>
      <w:r w:rsidRPr="00703635">
        <w:rPr>
          <w:position w:val="-6"/>
        </w:rPr>
        <w:object w:dxaOrig="499" w:dyaOrig="260" w14:anchorId="68B29C8C">
          <v:shape id="_x0000_i2900" type="#_x0000_t75" style="width:24.8pt;height:13.3pt" o:ole="">
            <v:imagedata r:id="rId3786" o:title=""/>
          </v:shape>
          <o:OLEObject Type="Embed" ProgID="Equation.DSMT4" ShapeID="_x0000_i2900" DrawAspect="Content" ObjectID="_1791376844" r:id="rId3787"/>
        </w:object>
      </w:r>
      <w:r w:rsidRPr="0026684F">
        <w:rPr>
          <w:rFonts w:eastAsiaTheme="minorEastAsia" w:hint="cs"/>
          <w:i/>
          <w:sz w:val="23"/>
          <w:szCs w:val="23"/>
          <w:rtl/>
        </w:rPr>
        <w:t xml:space="preserve"> داریم </w:t>
      </w:r>
      <w:r w:rsidRPr="00703635">
        <w:rPr>
          <w:position w:val="-10"/>
        </w:rPr>
        <w:object w:dxaOrig="740" w:dyaOrig="320" w14:anchorId="272C8772">
          <v:shape id="_x0000_i2901" type="#_x0000_t75" style="width:36.9pt;height:15.75pt" o:ole="">
            <v:imagedata r:id="rId3788" o:title=""/>
          </v:shape>
          <o:OLEObject Type="Embed" ProgID="Equation.DSMT4" ShapeID="_x0000_i2901" DrawAspect="Content" ObjectID="_1791376845" r:id="rId3789"/>
        </w:object>
      </w:r>
      <w:r w:rsidRPr="0026684F">
        <w:rPr>
          <w:rFonts w:eastAsiaTheme="minorEastAsia" w:hint="cs"/>
          <w:i/>
          <w:sz w:val="23"/>
          <w:szCs w:val="23"/>
          <w:rtl/>
        </w:rPr>
        <w:t>،</w:t>
      </w:r>
      <w:r w:rsidRPr="0026684F">
        <w:rPr>
          <w:rFonts w:hint="cs"/>
          <w:i/>
          <w:sz w:val="23"/>
          <w:szCs w:val="23"/>
          <w:rtl/>
        </w:rPr>
        <w:t xml:space="preserve"> ی</w:t>
      </w:r>
      <w:r w:rsidRPr="0026684F">
        <w:rPr>
          <w:rFonts w:eastAsiaTheme="minorEastAsia" w:hint="cs"/>
          <w:i/>
          <w:sz w:val="23"/>
          <w:szCs w:val="23"/>
          <w:rtl/>
        </w:rPr>
        <w:t>عنی استفاده از مالیات مقطوع، سایر شرایط نهایی را تحت تأثیر قرار نداده و رفتار خانوار را تغییر نمی</w:t>
      </w:r>
      <w:r w:rsidRPr="0026684F">
        <w:rPr>
          <w:rFonts w:eastAsiaTheme="minorEastAsia"/>
          <w:i/>
          <w:sz w:val="23"/>
          <w:szCs w:val="23"/>
          <w:rtl/>
        </w:rPr>
        <w:softHyphen/>
      </w:r>
      <w:r w:rsidRPr="0026684F">
        <w:rPr>
          <w:rFonts w:eastAsiaTheme="minorEastAsia" w:hint="cs"/>
          <w:i/>
          <w:sz w:val="23"/>
          <w:szCs w:val="23"/>
          <w:rtl/>
        </w:rPr>
        <w:t>دهد. همچنین شرایط مرتبه</w:t>
      </w:r>
      <w:r w:rsidRPr="0026684F">
        <w:rPr>
          <w:rFonts w:eastAsiaTheme="minorEastAsia"/>
          <w:i/>
          <w:sz w:val="23"/>
          <w:szCs w:val="23"/>
          <w:rtl/>
        </w:rPr>
        <w:softHyphen/>
      </w:r>
      <w:r w:rsidRPr="0026684F">
        <w:rPr>
          <w:rFonts w:eastAsiaTheme="minorEastAsia" w:hint="cs"/>
          <w:i/>
          <w:sz w:val="23"/>
          <w:szCs w:val="23"/>
          <w:rtl/>
        </w:rPr>
        <w:t>ی اول مربوط به معادله</w:t>
      </w:r>
      <w:r w:rsidRPr="0026684F">
        <w:rPr>
          <w:rFonts w:eastAsiaTheme="minorEastAsia"/>
          <w:i/>
          <w:sz w:val="23"/>
          <w:szCs w:val="23"/>
          <w:rtl/>
        </w:rPr>
        <w:softHyphen/>
      </w:r>
      <w:r w:rsidRPr="0026684F">
        <w:rPr>
          <w:rFonts w:eastAsiaTheme="minorEastAsia" w:hint="cs"/>
          <w:i/>
          <w:sz w:val="23"/>
          <w:szCs w:val="23"/>
          <w:rtl/>
        </w:rPr>
        <w:t>ی مصرف و موجودی سرمایه همانند فصل دوم است. بنابراین معادله</w:t>
      </w:r>
      <w:r w:rsidRPr="0026684F">
        <w:rPr>
          <w:rFonts w:eastAsiaTheme="minorEastAsia"/>
          <w:i/>
          <w:sz w:val="23"/>
          <w:szCs w:val="23"/>
          <w:rtl/>
        </w:rPr>
        <w:softHyphen/>
      </w:r>
      <w:r w:rsidRPr="0026684F">
        <w:rPr>
          <w:rFonts w:eastAsiaTheme="minorEastAsia" w:hint="cs"/>
          <w:i/>
          <w:sz w:val="23"/>
          <w:szCs w:val="23"/>
          <w:rtl/>
        </w:rPr>
        <w:t>ی اویلر عبارتست از :</w:t>
      </w:r>
    </w:p>
    <w:p w14:paraId="1AD0985A" w14:textId="77777777" w:rsidR="00411620" w:rsidRPr="0026684F" w:rsidRDefault="00411620" w:rsidP="00411620">
      <w:pPr>
        <w:bidi w:val="0"/>
        <w:spacing w:line="216" w:lineRule="auto"/>
        <w:rPr>
          <w:rFonts w:eastAsiaTheme="minorEastAsia"/>
          <w:i/>
          <w:sz w:val="23"/>
          <w:szCs w:val="23"/>
        </w:rPr>
      </w:pPr>
      <w:r w:rsidRPr="00703635">
        <w:rPr>
          <w:position w:val="-30"/>
        </w:rPr>
        <w:object w:dxaOrig="2640" w:dyaOrig="680" w14:anchorId="7254D90F">
          <v:shape id="_x0000_i2902" type="#_x0000_t75" style="width:132.5pt;height:33.9pt" o:ole="">
            <v:imagedata r:id="rId3790" o:title=""/>
          </v:shape>
          <o:OLEObject Type="Embed" ProgID="Equation.DSMT4" ShapeID="_x0000_i2902" DrawAspect="Content" ObjectID="_1791376846" r:id="rId3791"/>
        </w:object>
      </w:r>
      <w:r w:rsidRPr="0026684F">
        <w:rPr>
          <w:rFonts w:eastAsiaTheme="minorEastAsia"/>
          <w:i/>
          <w:sz w:val="23"/>
          <w:szCs w:val="23"/>
        </w:rPr>
        <w:t xml:space="preserve"> </w:t>
      </w:r>
    </w:p>
    <w:p w14:paraId="4F717296"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در بلند</w:t>
      </w:r>
      <w:r w:rsidRPr="0026684F">
        <w:rPr>
          <w:rFonts w:eastAsiaTheme="minorEastAsia"/>
          <w:i/>
          <w:sz w:val="23"/>
          <w:szCs w:val="23"/>
          <w:rtl/>
        </w:rPr>
        <w:softHyphen/>
      </w:r>
      <w:r w:rsidRPr="0026684F">
        <w:rPr>
          <w:rFonts w:eastAsiaTheme="minorEastAsia" w:hint="cs"/>
          <w:i/>
          <w:sz w:val="23"/>
          <w:szCs w:val="23"/>
          <w:rtl/>
        </w:rPr>
        <w:t xml:space="preserve">مدت داریم </w:t>
      </w:r>
      <w:r w:rsidRPr="00703635">
        <w:rPr>
          <w:position w:val="-6"/>
        </w:rPr>
        <w:object w:dxaOrig="520" w:dyaOrig="260" w14:anchorId="3C17FA94">
          <v:shape id="_x0000_i2903" type="#_x0000_t75" style="width:26pt;height:13.3pt" o:ole="">
            <v:imagedata r:id="rId3792" o:title=""/>
          </v:shape>
          <o:OLEObject Type="Embed" ProgID="Equation.DSMT4" ShapeID="_x0000_i2903" DrawAspect="Content" ObjectID="_1791376847" r:id="rId3793"/>
        </w:object>
      </w:r>
      <w:r w:rsidRPr="0026684F">
        <w:rPr>
          <w:rFonts w:eastAsiaTheme="minorEastAsia" w:hint="cs"/>
          <w:i/>
          <w:sz w:val="23"/>
          <w:szCs w:val="23"/>
          <w:rtl/>
        </w:rPr>
        <w:t xml:space="preserve">، </w:t>
      </w:r>
      <w:r w:rsidRPr="00703635">
        <w:rPr>
          <w:position w:val="-12"/>
        </w:rPr>
        <w:object w:dxaOrig="1060" w:dyaOrig="340" w14:anchorId="7EF4C96B">
          <v:shape id="_x0000_i2904" type="#_x0000_t75" style="width:53.25pt;height:16.95pt" o:ole="">
            <v:imagedata r:id="rId3794" o:title=""/>
          </v:shape>
          <o:OLEObject Type="Embed" ProgID="Equation.DSMT4" ShapeID="_x0000_i2904" DrawAspect="Content" ObjectID="_1791376848" r:id="rId3795"/>
        </w:object>
      </w:r>
      <w:r w:rsidRPr="0026684F">
        <w:rPr>
          <w:rFonts w:eastAsiaTheme="minorEastAsia" w:hint="cs"/>
          <w:i/>
          <w:sz w:val="23"/>
          <w:szCs w:val="23"/>
          <w:rtl/>
        </w:rPr>
        <w:t>، و چون</w:t>
      </w:r>
      <w:r w:rsidRPr="00703635">
        <w:rPr>
          <w:position w:val="-10"/>
        </w:rPr>
        <w:object w:dxaOrig="859" w:dyaOrig="320" w14:anchorId="0FDFFCEB">
          <v:shape id="_x0000_i2905" type="#_x0000_t75" style="width:42.95pt;height:15.75pt" o:ole="">
            <v:imagedata r:id="rId3796" o:title=""/>
          </v:shape>
          <o:OLEObject Type="Embed" ProgID="Equation.DSMT4" ShapeID="_x0000_i2905" DrawAspect="Content" ObjectID="_1791376849" r:id="rId3797"/>
        </w:object>
      </w:r>
      <w:r w:rsidRPr="0026684F">
        <w:rPr>
          <w:rFonts w:eastAsiaTheme="minorEastAsia" w:hint="cs"/>
          <w:i/>
          <w:sz w:val="23"/>
          <w:szCs w:val="23"/>
          <w:rtl/>
        </w:rPr>
        <w:t xml:space="preserve"> است لذا </w:t>
      </w:r>
    </w:p>
    <w:p w14:paraId="4E45BFAE"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12"/>
        </w:rPr>
        <w:object w:dxaOrig="6200" w:dyaOrig="360" w14:anchorId="1EF67E58">
          <v:shape id="_x0000_i2906" type="#_x0000_t75" style="width:309.8pt;height:18.15pt" o:ole="">
            <v:imagedata r:id="rId3798" o:title=""/>
          </v:shape>
          <o:OLEObject Type="Embed" ProgID="Equation.DSMT4" ShapeID="_x0000_i2906" DrawAspect="Content" ObjectID="_1791376850" r:id="rId3799"/>
        </w:object>
      </w:r>
    </w:p>
    <w:p w14:paraId="64D75239" w14:textId="77777777" w:rsidR="00411620" w:rsidRPr="0026684F" w:rsidRDefault="00411620" w:rsidP="00411620">
      <w:pPr>
        <w:bidi w:val="0"/>
        <w:spacing w:line="216" w:lineRule="auto"/>
        <w:rPr>
          <w:rFonts w:eastAsiaTheme="minorEastAsia"/>
          <w:i/>
          <w:sz w:val="23"/>
          <w:szCs w:val="23"/>
          <w:rtl/>
        </w:rPr>
      </w:pPr>
      <w:r w:rsidRPr="0026684F">
        <w:rPr>
          <w:rFonts w:eastAsiaTheme="minorEastAsia"/>
          <w:i/>
          <w:sz w:val="23"/>
          <w:szCs w:val="23"/>
        </w:rPr>
        <w:t xml:space="preserve"> </w:t>
      </w:r>
      <w:r w:rsidRPr="0026684F">
        <w:rPr>
          <w:rFonts w:eastAsiaTheme="minorEastAsia" w:hint="cs"/>
          <w:i/>
          <w:sz w:val="23"/>
          <w:szCs w:val="23"/>
          <w:rtl/>
        </w:rPr>
        <w:t>از آنجاکه دولت به دنبال مقادیر بهینه مخارج یعنی</w:t>
      </w:r>
      <w:r w:rsidRPr="00703635">
        <w:rPr>
          <w:position w:val="-10"/>
        </w:rPr>
        <w:object w:dxaOrig="260" w:dyaOrig="320" w14:anchorId="7159A792">
          <v:shape id="_x0000_i2907" type="#_x0000_t75" style="width:13.3pt;height:15.75pt" o:ole="">
            <v:imagedata r:id="rId3800" o:title=""/>
          </v:shape>
          <o:OLEObject Type="Embed" ProgID="Equation.DSMT4" ShapeID="_x0000_i2907" DrawAspect="Content" ObjectID="_1791376851" r:id="rId3801"/>
        </w:object>
      </w:r>
      <w:r w:rsidRPr="0026684F">
        <w:rPr>
          <w:rFonts w:eastAsiaTheme="minorEastAsia" w:hint="cs"/>
          <w:i/>
          <w:sz w:val="23"/>
          <w:szCs w:val="23"/>
          <w:rtl/>
        </w:rPr>
        <w:t xml:space="preserve"> است، لذا از </w:t>
      </w:r>
      <w:r w:rsidRPr="0026684F">
        <w:rPr>
          <w:rFonts w:hint="cs"/>
          <w:i/>
          <w:sz w:val="23"/>
          <w:szCs w:val="23"/>
          <w:rtl/>
        </w:rPr>
        <w:t>شرایط مرتبه</w:t>
      </w:r>
      <w:r w:rsidRPr="0026684F">
        <w:rPr>
          <w:i/>
          <w:sz w:val="23"/>
          <w:szCs w:val="23"/>
          <w:rtl/>
        </w:rPr>
        <w:softHyphen/>
      </w:r>
      <w:r w:rsidRPr="0026684F">
        <w:rPr>
          <w:rFonts w:hint="cs"/>
          <w:i/>
          <w:sz w:val="23"/>
          <w:szCs w:val="23"/>
          <w:rtl/>
        </w:rPr>
        <w:t xml:space="preserve">ی اول </w:t>
      </w:r>
      <w:r w:rsidRPr="0026684F">
        <w:rPr>
          <w:rFonts w:eastAsiaTheme="minorEastAsia" w:hint="cs"/>
          <w:i/>
          <w:sz w:val="23"/>
          <w:szCs w:val="23"/>
          <w:rtl/>
        </w:rPr>
        <w:t xml:space="preserve">مربوط به مخارج مصرفی و مخارج دولتی داریم </w:t>
      </w:r>
    </w:p>
    <w:p w14:paraId="337A30A5" w14:textId="77777777" w:rsidR="00411620" w:rsidRPr="0026684F" w:rsidRDefault="00411620" w:rsidP="00411620">
      <w:pPr>
        <w:pStyle w:val="MTDisplayEquation"/>
        <w:tabs>
          <w:tab w:val="clear" w:pos="6660"/>
        </w:tabs>
        <w:spacing w:line="216" w:lineRule="auto"/>
        <w:rPr>
          <w:rFonts w:eastAsiaTheme="minorEastAsia" w:cs="B Nazanin"/>
          <w:i/>
          <w:sz w:val="23"/>
          <w:szCs w:val="23"/>
          <w:rtl/>
        </w:rPr>
      </w:pPr>
      <w:r w:rsidRPr="00703635">
        <w:rPr>
          <w:position w:val="-14"/>
        </w:rPr>
        <w:object w:dxaOrig="4760" w:dyaOrig="380" w14:anchorId="177E6F52">
          <v:shape id="_x0000_i2908" type="#_x0000_t75" style="width:237.8pt;height:18.75pt" o:ole="">
            <v:imagedata r:id="rId3802" o:title=""/>
          </v:shape>
          <o:OLEObject Type="Embed" ProgID="Equation.DSMT4" ShapeID="_x0000_i2908" DrawAspect="Content" ObjectID="_1791376852" r:id="rId3803"/>
        </w:object>
      </w:r>
      <w:r w:rsidRPr="0026684F">
        <w:rPr>
          <w:rFonts w:cs="B Nazanin"/>
          <w:sz w:val="23"/>
          <w:szCs w:val="23"/>
        </w:rPr>
        <w:tab/>
      </w:r>
      <w:r>
        <w:rPr>
          <w:rFonts w:cs="B Nazanin"/>
          <w:sz w:val="23"/>
          <w:szCs w:val="23"/>
          <w:rtl/>
        </w:rPr>
        <w:tab/>
      </w:r>
      <w:r>
        <w:rPr>
          <w:rFonts w:cs="B Nazanin"/>
          <w:sz w:val="23"/>
          <w:szCs w:val="23"/>
          <w:rtl/>
        </w:rPr>
        <w:tab/>
      </w:r>
      <w:r w:rsidRPr="0026684F">
        <w:rPr>
          <w:rFonts w:cs="B Nazanin"/>
          <w:sz w:val="23"/>
          <w:szCs w:val="23"/>
        </w:rPr>
        <w:tab/>
      </w:r>
      <w:r w:rsidRPr="0026684F">
        <w:rPr>
          <w:rFonts w:cs="B Nazanin"/>
          <w:sz w:val="23"/>
          <w:szCs w:val="23"/>
        </w:rPr>
        <w:tab/>
      </w:r>
      <w:r w:rsidRPr="0026684F">
        <w:rPr>
          <w:rFonts w:cs="B Nazanin" w:hint="cs"/>
          <w:i/>
          <w:sz w:val="23"/>
          <w:szCs w:val="23"/>
          <w:rtl/>
        </w:rPr>
        <w:t xml:space="preserve"> (۵. ۳۹)</w:t>
      </w:r>
    </w:p>
    <w:p w14:paraId="71A8FEE8"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بنابراین سطح بهینه</w:t>
      </w:r>
      <w:r w:rsidRPr="0026684F">
        <w:rPr>
          <w:rFonts w:eastAsiaTheme="minorEastAsia"/>
          <w:i/>
          <w:sz w:val="23"/>
          <w:szCs w:val="23"/>
          <w:rtl/>
        </w:rPr>
        <w:softHyphen/>
      </w:r>
      <w:r w:rsidRPr="0026684F">
        <w:rPr>
          <w:rFonts w:eastAsiaTheme="minorEastAsia" w:hint="cs"/>
          <w:i/>
          <w:sz w:val="23"/>
          <w:szCs w:val="23"/>
          <w:rtl/>
        </w:rPr>
        <w:t>ی مخارج دولتی فقط تابعی است از مخارج مصرفی خانوار. اکنون دو حالت را بررسی می‌کنیم:</w:t>
      </w:r>
    </w:p>
    <w:p w14:paraId="7B4809BB" w14:textId="77777777" w:rsidR="00411620" w:rsidRPr="0026684F" w:rsidRDefault="00411620" w:rsidP="00411620">
      <w:pPr>
        <w:spacing w:line="216" w:lineRule="auto"/>
        <w:rPr>
          <w:rFonts w:eastAsiaTheme="minorEastAsia"/>
          <w:i/>
          <w:sz w:val="23"/>
          <w:szCs w:val="23"/>
          <w:rtl/>
        </w:rPr>
      </w:pPr>
      <w:r w:rsidRPr="0026684F">
        <w:rPr>
          <w:rFonts w:eastAsiaTheme="minorEastAsia" w:hint="cs"/>
          <w:bCs/>
          <w:i/>
          <w:sz w:val="23"/>
          <w:szCs w:val="23"/>
          <w:rtl/>
        </w:rPr>
        <w:t>الف-</w:t>
      </w:r>
      <w:r w:rsidRPr="0026684F">
        <w:rPr>
          <w:rFonts w:eastAsiaTheme="minorEastAsia" w:hint="cs"/>
          <w:i/>
          <w:sz w:val="23"/>
          <w:szCs w:val="23"/>
          <w:rtl/>
        </w:rPr>
        <w:t xml:space="preserve"> مخارج دولتی و مخارج مصرفی خانوار جانشین کامل</w:t>
      </w:r>
      <w:r w:rsidRPr="0026684F">
        <w:rPr>
          <w:rFonts w:eastAsiaTheme="minorEastAsia"/>
          <w:i/>
          <w:sz w:val="23"/>
          <w:szCs w:val="23"/>
          <w:rtl/>
        </w:rPr>
        <w:softHyphen/>
      </w:r>
      <w:r w:rsidRPr="0026684F">
        <w:rPr>
          <w:rFonts w:eastAsiaTheme="minorEastAsia" w:hint="cs"/>
          <w:i/>
          <w:sz w:val="23"/>
          <w:szCs w:val="23"/>
          <w:rtl/>
        </w:rPr>
        <w:t xml:space="preserve">اند: در این حالت تابع مطلوبیت عبارتست از </w:t>
      </w:r>
      <w:r w:rsidRPr="00703635">
        <w:rPr>
          <w:position w:val="-10"/>
        </w:rPr>
        <w:object w:dxaOrig="820" w:dyaOrig="320" w14:anchorId="68816A30">
          <v:shape id="_x0000_i2909" type="#_x0000_t75" style="width:40.55pt;height:15.75pt" o:ole="">
            <v:imagedata r:id="rId3804" o:title=""/>
          </v:shape>
          <o:OLEObject Type="Embed" ProgID="Equation.DSMT4" ShapeID="_x0000_i2909" DrawAspect="Content" ObjectID="_1791376853" r:id="rId3805"/>
        </w:object>
      </w:r>
      <w:r w:rsidRPr="0026684F">
        <w:rPr>
          <w:rFonts w:eastAsiaTheme="minorEastAsia" w:hint="cs"/>
          <w:i/>
          <w:sz w:val="23"/>
          <w:szCs w:val="23"/>
          <w:rtl/>
        </w:rPr>
        <w:t xml:space="preserve"> و خانوار نسبت به تفکیک </w:t>
      </w:r>
      <w:r w:rsidRPr="00703635">
        <w:rPr>
          <w:position w:val="-10"/>
        </w:rPr>
        <w:object w:dxaOrig="260" w:dyaOrig="320" w14:anchorId="47D3A5A1">
          <v:shape id="_x0000_i2910" type="#_x0000_t75" style="width:13.3pt;height:15.75pt" o:ole="">
            <v:imagedata r:id="rId3806" o:title=""/>
          </v:shape>
          <o:OLEObject Type="Embed" ProgID="Equation.DSMT4" ShapeID="_x0000_i2910" DrawAspect="Content" ObjectID="_1791376854" r:id="rId3807"/>
        </w:object>
      </w:r>
      <w:r w:rsidRPr="0026684F">
        <w:rPr>
          <w:rFonts w:eastAsiaTheme="minorEastAsia" w:hint="cs"/>
          <w:i/>
          <w:sz w:val="23"/>
          <w:szCs w:val="23"/>
          <w:rtl/>
        </w:rPr>
        <w:t xml:space="preserve"> و </w:t>
      </w:r>
      <w:r w:rsidRPr="00703635">
        <w:rPr>
          <w:position w:val="-10"/>
        </w:rPr>
        <w:object w:dxaOrig="200" w:dyaOrig="320" w14:anchorId="1D85E470">
          <v:shape id="_x0000_i2911" type="#_x0000_t75" style="width:10.3pt;height:15.75pt" o:ole="">
            <v:imagedata r:id="rId3808" o:title=""/>
          </v:shape>
          <o:OLEObject Type="Embed" ProgID="Equation.DSMT4" ShapeID="_x0000_i2911" DrawAspect="Content" ObjectID="_1791376855" r:id="rId3809"/>
        </w:object>
      </w:r>
      <w:r w:rsidRPr="0026684F">
        <w:rPr>
          <w:rFonts w:eastAsiaTheme="minorEastAsia" w:hint="cs"/>
          <w:i/>
          <w:sz w:val="23"/>
          <w:szCs w:val="23"/>
          <w:vertAlign w:val="subscript"/>
          <w:rtl/>
        </w:rPr>
        <w:t xml:space="preserve"> </w:t>
      </w:r>
      <w:r w:rsidRPr="0026684F">
        <w:rPr>
          <w:rFonts w:eastAsiaTheme="minorEastAsia" w:hint="cs"/>
          <w:i/>
          <w:sz w:val="23"/>
          <w:szCs w:val="23"/>
          <w:rtl/>
        </w:rPr>
        <w:t>بی</w:t>
      </w:r>
      <w:r w:rsidRPr="0026684F">
        <w:rPr>
          <w:rFonts w:eastAsiaTheme="minorEastAsia"/>
          <w:i/>
          <w:sz w:val="23"/>
          <w:szCs w:val="23"/>
          <w:rtl/>
        </w:rPr>
        <w:softHyphen/>
      </w:r>
      <w:r w:rsidRPr="0026684F">
        <w:rPr>
          <w:rFonts w:eastAsiaTheme="minorEastAsia" w:hint="cs"/>
          <w:i/>
          <w:sz w:val="23"/>
          <w:szCs w:val="23"/>
          <w:rtl/>
        </w:rPr>
        <w:t>تفاوت است. از آنجا که کالاهای مورد نیاز خانوار توسط خود خانوار تهیه می</w:t>
      </w:r>
      <w:r w:rsidRPr="0026684F">
        <w:rPr>
          <w:rFonts w:eastAsiaTheme="minorEastAsia"/>
          <w:i/>
          <w:sz w:val="23"/>
          <w:szCs w:val="23"/>
          <w:rtl/>
        </w:rPr>
        <w:softHyphen/>
      </w:r>
      <w:r w:rsidRPr="0026684F">
        <w:rPr>
          <w:rFonts w:eastAsiaTheme="minorEastAsia" w:hint="cs"/>
          <w:i/>
          <w:sz w:val="23"/>
          <w:szCs w:val="23"/>
          <w:rtl/>
        </w:rPr>
        <w:t>شود (بخصوص اگر هزینه</w:t>
      </w:r>
      <w:r w:rsidRPr="0026684F">
        <w:rPr>
          <w:rFonts w:eastAsiaTheme="minorEastAsia"/>
          <w:i/>
          <w:sz w:val="23"/>
          <w:szCs w:val="23"/>
          <w:rtl/>
        </w:rPr>
        <w:softHyphen/>
      </w:r>
      <w:r w:rsidRPr="0026684F">
        <w:rPr>
          <w:rFonts w:eastAsiaTheme="minorEastAsia" w:hint="cs"/>
          <w:i/>
          <w:sz w:val="23"/>
          <w:szCs w:val="23"/>
          <w:rtl/>
        </w:rPr>
        <w:t>ی تامین کالا برای خانوار توسط دولت بیشتر باشد) لذا دلیلی وجود ندارد که دولت اقدام به تهیه</w:t>
      </w:r>
      <w:r w:rsidRPr="0026684F">
        <w:rPr>
          <w:rFonts w:eastAsiaTheme="minorEastAsia"/>
          <w:i/>
          <w:sz w:val="23"/>
          <w:szCs w:val="23"/>
          <w:rtl/>
        </w:rPr>
        <w:softHyphen/>
      </w:r>
      <w:r w:rsidRPr="0026684F">
        <w:rPr>
          <w:rFonts w:eastAsiaTheme="minorEastAsia" w:hint="cs"/>
          <w:i/>
          <w:sz w:val="23"/>
          <w:szCs w:val="23"/>
          <w:rtl/>
        </w:rPr>
        <w:t>ی کالاهای مورد نیاز خانوار نماید. بنابراین تهیه کالاها برای خانوار توسط دولت بهینه نخواهد بود.</w:t>
      </w:r>
    </w:p>
    <w:p w14:paraId="15AA4A17" w14:textId="77777777" w:rsidR="00411620" w:rsidRPr="0026684F" w:rsidRDefault="00411620" w:rsidP="00411620">
      <w:pPr>
        <w:spacing w:line="216" w:lineRule="auto"/>
        <w:rPr>
          <w:rFonts w:eastAsiaTheme="minorEastAsia"/>
          <w:i/>
          <w:sz w:val="23"/>
          <w:szCs w:val="23"/>
          <w:rtl/>
        </w:rPr>
      </w:pPr>
      <w:r w:rsidRPr="0026684F">
        <w:rPr>
          <w:rFonts w:eastAsiaTheme="minorEastAsia" w:hint="cs"/>
          <w:bCs/>
          <w:i/>
          <w:sz w:val="23"/>
          <w:szCs w:val="23"/>
          <w:rtl/>
        </w:rPr>
        <w:t>ب-</w:t>
      </w:r>
      <w:r w:rsidRPr="0026684F">
        <w:rPr>
          <w:rFonts w:eastAsiaTheme="minorEastAsia" w:hint="cs"/>
          <w:i/>
          <w:sz w:val="23"/>
          <w:szCs w:val="23"/>
          <w:rtl/>
        </w:rPr>
        <w:t xml:space="preserve"> مخارج دولتی کالای عمومی ‌باشد. کالاهای عمومی نظیر امور دفاعی، پلیس، آتش نشانی، هوای پاک و ... کالاهای غیررقابتی</w:t>
      </w:r>
      <w:r w:rsidRPr="0026684F">
        <w:rPr>
          <w:rStyle w:val="FootnoteReference"/>
          <w:rFonts w:eastAsiaTheme="minorEastAsia"/>
          <w:i/>
          <w:sz w:val="23"/>
          <w:szCs w:val="23"/>
          <w:rtl/>
        </w:rPr>
        <w:footnoteReference w:id="149"/>
      </w:r>
      <w:r w:rsidRPr="0026684F">
        <w:rPr>
          <w:rFonts w:eastAsiaTheme="minorEastAsia" w:hint="cs"/>
          <w:i/>
          <w:sz w:val="23"/>
          <w:szCs w:val="23"/>
          <w:rtl/>
        </w:rPr>
        <w:t xml:space="preserve"> هستند. مصرف کالاهای غیررقابتی بواسطه</w:t>
      </w:r>
      <w:r w:rsidRPr="0026684F">
        <w:rPr>
          <w:rFonts w:eastAsiaTheme="minorEastAsia"/>
          <w:i/>
          <w:sz w:val="23"/>
          <w:szCs w:val="23"/>
          <w:rtl/>
        </w:rPr>
        <w:softHyphen/>
      </w:r>
      <w:r w:rsidRPr="0026684F">
        <w:rPr>
          <w:rFonts w:eastAsiaTheme="minorEastAsia" w:hint="cs"/>
          <w:i/>
          <w:sz w:val="23"/>
          <w:szCs w:val="23"/>
          <w:rtl/>
        </w:rPr>
        <w:t>ی یک فرد، مصرف دیگران از آن کالا را کاهش نمی‌دهد. کالاهای عمومی غیراستثنا</w:t>
      </w:r>
      <w:r w:rsidRPr="0026684F">
        <w:rPr>
          <w:rStyle w:val="FootnoteReference"/>
          <w:rFonts w:eastAsiaTheme="minorEastAsia"/>
          <w:i/>
          <w:sz w:val="23"/>
          <w:szCs w:val="23"/>
          <w:rtl/>
        </w:rPr>
        <w:footnoteReference w:id="150"/>
      </w:r>
      <w:r w:rsidRPr="0026684F">
        <w:rPr>
          <w:rFonts w:eastAsiaTheme="minorEastAsia" w:hint="cs"/>
          <w:i/>
          <w:sz w:val="23"/>
          <w:szCs w:val="23"/>
          <w:rtl/>
        </w:rPr>
        <w:t xml:space="preserve"> نیز هستند یعنی هیچ کس از استفاده</w:t>
      </w:r>
      <w:r w:rsidRPr="0026684F">
        <w:rPr>
          <w:rFonts w:eastAsiaTheme="minorEastAsia"/>
          <w:i/>
          <w:sz w:val="23"/>
          <w:szCs w:val="23"/>
          <w:rtl/>
        </w:rPr>
        <w:softHyphen/>
      </w:r>
      <w:r w:rsidRPr="0026684F">
        <w:rPr>
          <w:rFonts w:eastAsiaTheme="minorEastAsia" w:hint="cs"/>
          <w:i/>
          <w:sz w:val="23"/>
          <w:szCs w:val="23"/>
          <w:rtl/>
        </w:rPr>
        <w:t>ی آن کالا مستثنی نیست. اگر</w:t>
      </w:r>
      <w:r w:rsidRPr="00703635">
        <w:rPr>
          <w:position w:val="-10"/>
        </w:rPr>
        <w:object w:dxaOrig="260" w:dyaOrig="320" w14:anchorId="34995316">
          <v:shape id="_x0000_i2912" type="#_x0000_t75" style="width:13.3pt;height:15.75pt" o:ole="">
            <v:imagedata r:id="rId3810" o:title=""/>
          </v:shape>
          <o:OLEObject Type="Embed" ProgID="Equation.DSMT4" ShapeID="_x0000_i2912" DrawAspect="Content" ObjectID="_1791376856" r:id="rId3811"/>
        </w:object>
      </w:r>
      <w:r w:rsidRPr="0026684F">
        <w:rPr>
          <w:rFonts w:eastAsiaTheme="minorEastAsia" w:hint="cs"/>
          <w:i/>
          <w:sz w:val="23"/>
          <w:szCs w:val="23"/>
          <w:rtl/>
        </w:rPr>
        <w:t xml:space="preserve"> کالای عمومی محض باشد، آنگاه سطح مخارج حقیقی دولت برای یک خانوار، برابر است با همان مخارج برای کل خانوار. لذا کافی است مخارج</w:t>
      </w:r>
      <w:r w:rsidRPr="00703635">
        <w:rPr>
          <w:position w:val="-10"/>
        </w:rPr>
        <w:object w:dxaOrig="260" w:dyaOrig="320" w14:anchorId="791547E2">
          <v:shape id="_x0000_i2913" type="#_x0000_t75" style="width:13.3pt;height:15.75pt" o:ole="">
            <v:imagedata r:id="rId3812" o:title=""/>
          </v:shape>
          <o:OLEObject Type="Embed" ProgID="Equation.DSMT4" ShapeID="_x0000_i2913" DrawAspect="Content" ObjectID="_1791376857" r:id="rId3813"/>
        </w:object>
      </w:r>
      <w:r w:rsidRPr="0026684F">
        <w:rPr>
          <w:rFonts w:eastAsiaTheme="minorEastAsia" w:hint="cs"/>
          <w:i/>
          <w:sz w:val="23"/>
          <w:szCs w:val="23"/>
          <w:rtl/>
        </w:rPr>
        <w:t xml:space="preserve"> فقط یکبار انجام شود و برای هر خانوار تکرار نشود. بنابراین هزینه</w:t>
      </w:r>
      <w:r w:rsidRPr="0026684F">
        <w:rPr>
          <w:rFonts w:eastAsiaTheme="minorEastAsia"/>
          <w:i/>
          <w:sz w:val="23"/>
          <w:szCs w:val="23"/>
          <w:rtl/>
        </w:rPr>
        <w:softHyphen/>
      </w:r>
      <w:r w:rsidRPr="0026684F">
        <w:rPr>
          <w:rFonts w:eastAsiaTheme="minorEastAsia" w:hint="cs"/>
          <w:i/>
          <w:sz w:val="23"/>
          <w:szCs w:val="23"/>
          <w:rtl/>
        </w:rPr>
        <w:t>ی مخارج کالای عمومی محض به ازای هر فرد کاهش می</w:t>
      </w:r>
      <w:r w:rsidRPr="0026684F">
        <w:rPr>
          <w:rFonts w:eastAsiaTheme="minorEastAsia"/>
          <w:i/>
          <w:sz w:val="23"/>
          <w:szCs w:val="23"/>
          <w:rtl/>
        </w:rPr>
        <w:softHyphen/>
      </w:r>
      <w:r w:rsidRPr="0026684F">
        <w:rPr>
          <w:rFonts w:eastAsiaTheme="minorEastAsia" w:hint="cs"/>
          <w:i/>
          <w:sz w:val="23"/>
          <w:szCs w:val="23"/>
          <w:rtl/>
        </w:rPr>
        <w:t>یابد، و مالیاتی که مخارج کالاهای عمومی محض را تأمین می‌کند کسری از هزینه</w:t>
      </w:r>
      <w:r w:rsidRPr="0026684F">
        <w:rPr>
          <w:rFonts w:eastAsiaTheme="minorEastAsia"/>
          <w:i/>
          <w:sz w:val="23"/>
          <w:szCs w:val="23"/>
          <w:rtl/>
        </w:rPr>
        <w:softHyphen/>
      </w:r>
      <w:r w:rsidRPr="0026684F">
        <w:rPr>
          <w:rFonts w:eastAsiaTheme="minorEastAsia" w:hint="cs"/>
          <w:i/>
          <w:sz w:val="23"/>
          <w:szCs w:val="23"/>
          <w:rtl/>
        </w:rPr>
        <w:t xml:space="preserve">ی خانوار خواهد بود که خانوار خود به تنهایی آن کالاها را تامین می‌کرد. </w:t>
      </w:r>
    </w:p>
    <w:p w14:paraId="40E91146"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در واقع مخارج دولت ترکیبی از کالاهای خصوصی ( سلامتی، بهداشت، تحصیلات و ...) و کالاهای عمومی ‌است. اگر مخارج کالاهای عمومی بیشتر باشد، آنگاه سهم دولت جهت تهیه آن</w:t>
      </w:r>
      <w:r w:rsidRPr="0026684F">
        <w:rPr>
          <w:rFonts w:eastAsiaTheme="minorEastAsia"/>
          <w:i/>
          <w:sz w:val="23"/>
          <w:szCs w:val="23"/>
          <w:rtl/>
        </w:rPr>
        <w:softHyphen/>
      </w:r>
      <w:r w:rsidRPr="0026684F">
        <w:rPr>
          <w:rFonts w:eastAsiaTheme="minorEastAsia" w:hint="cs"/>
          <w:i/>
          <w:sz w:val="23"/>
          <w:szCs w:val="23"/>
          <w:rtl/>
        </w:rPr>
        <w:t>ها نیز بیشتر خواهد بود.</w:t>
      </w:r>
    </w:p>
    <w:p w14:paraId="484877C1" w14:textId="77777777" w:rsidR="00411620" w:rsidRPr="0026684F" w:rsidRDefault="00411620" w:rsidP="00411620">
      <w:pPr>
        <w:spacing w:line="216" w:lineRule="auto"/>
        <w:rPr>
          <w:rFonts w:eastAsiaTheme="minorEastAsia"/>
          <w:i/>
          <w:sz w:val="23"/>
          <w:szCs w:val="23"/>
        </w:rPr>
      </w:pPr>
    </w:p>
    <w:p w14:paraId="1F271257" w14:textId="77777777" w:rsidR="00411620" w:rsidRPr="0026684F" w:rsidRDefault="00411620" w:rsidP="00411620">
      <w:pPr>
        <w:spacing w:line="216" w:lineRule="auto"/>
        <w:rPr>
          <w:bCs/>
          <w:i/>
          <w:sz w:val="23"/>
          <w:szCs w:val="23"/>
          <w:rtl/>
        </w:rPr>
      </w:pPr>
      <w:r w:rsidRPr="0026684F">
        <w:rPr>
          <w:rFonts w:eastAsiaTheme="minorEastAsia" w:hint="cs"/>
          <w:bCs/>
          <w:i/>
          <w:sz w:val="23"/>
          <w:szCs w:val="23"/>
          <w:rtl/>
        </w:rPr>
        <w:lastRenderedPageBreak/>
        <w:t>مالیات تناسبی</w:t>
      </w:r>
      <w:r w:rsidRPr="0026684F">
        <w:rPr>
          <w:rStyle w:val="FootnoteReference"/>
          <w:rFonts w:eastAsiaTheme="minorEastAsia"/>
          <w:bCs/>
          <w:i/>
          <w:sz w:val="23"/>
          <w:szCs w:val="23"/>
          <w:rtl/>
        </w:rPr>
        <w:footnoteReference w:id="151"/>
      </w:r>
      <w:r w:rsidRPr="0026684F">
        <w:rPr>
          <w:rFonts w:eastAsiaTheme="minorEastAsia" w:hint="cs"/>
          <w:bCs/>
          <w:i/>
          <w:sz w:val="23"/>
          <w:szCs w:val="23"/>
          <w:rtl/>
        </w:rPr>
        <w:t xml:space="preserve"> </w:t>
      </w:r>
    </w:p>
    <w:p w14:paraId="38F7444F"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در سیستم مالیات مقطوع، همانند مالیات بر مصرف، مالیات از همه</w:t>
      </w:r>
      <w:r w:rsidRPr="0026684F">
        <w:rPr>
          <w:rFonts w:eastAsiaTheme="minorEastAsia"/>
          <w:i/>
          <w:sz w:val="23"/>
          <w:szCs w:val="23"/>
          <w:rtl/>
        </w:rPr>
        <w:softHyphen/>
      </w:r>
      <w:r w:rsidRPr="0026684F">
        <w:rPr>
          <w:rFonts w:eastAsiaTheme="minorEastAsia" w:hint="cs"/>
          <w:i/>
          <w:sz w:val="23"/>
          <w:szCs w:val="23"/>
          <w:rtl/>
        </w:rPr>
        <w:t>ی افراد بطور مساوی دریافت می</w:t>
      </w:r>
      <w:r w:rsidRPr="0026684F">
        <w:rPr>
          <w:rFonts w:eastAsiaTheme="minorEastAsia"/>
          <w:i/>
          <w:sz w:val="23"/>
          <w:szCs w:val="23"/>
          <w:rtl/>
        </w:rPr>
        <w:softHyphen/>
      </w:r>
      <w:r w:rsidRPr="0026684F">
        <w:rPr>
          <w:rFonts w:eastAsiaTheme="minorEastAsia" w:hint="cs"/>
          <w:i/>
          <w:sz w:val="23"/>
          <w:szCs w:val="23"/>
          <w:rtl/>
        </w:rPr>
        <w:t>شود و در آن به درآمد و ثروت افراد توجه</w:t>
      </w:r>
      <w:r w:rsidRPr="0026684F">
        <w:rPr>
          <w:rFonts w:eastAsiaTheme="minorEastAsia"/>
          <w:i/>
          <w:sz w:val="23"/>
          <w:szCs w:val="23"/>
          <w:rtl/>
        </w:rPr>
        <w:softHyphen/>
      </w:r>
      <w:r w:rsidRPr="0026684F">
        <w:rPr>
          <w:rFonts w:eastAsiaTheme="minorEastAsia" w:hint="cs"/>
          <w:i/>
          <w:sz w:val="23"/>
          <w:szCs w:val="23"/>
          <w:rtl/>
        </w:rPr>
        <w:t xml:space="preserve"> نمی</w:t>
      </w:r>
      <w:r w:rsidRPr="0026684F">
        <w:rPr>
          <w:rFonts w:eastAsiaTheme="minorEastAsia"/>
          <w:i/>
          <w:sz w:val="23"/>
          <w:szCs w:val="23"/>
          <w:rtl/>
        </w:rPr>
        <w:softHyphen/>
      </w:r>
      <w:r w:rsidRPr="0026684F">
        <w:rPr>
          <w:rFonts w:eastAsiaTheme="minorEastAsia" w:hint="cs"/>
          <w:i/>
          <w:sz w:val="23"/>
          <w:szCs w:val="23"/>
          <w:rtl/>
        </w:rPr>
        <w:t>شود. چون در این سیستم مالیاتی، سهم بیشتری از درآمد خانوار کم درآمد، نسبت به خانوار با درآمد بالاتر مالیات دریافت می‌شود، این نوع از مالیات را مالیات کاهنده</w:t>
      </w:r>
      <w:r w:rsidRPr="0026684F">
        <w:rPr>
          <w:rStyle w:val="FootnoteReference"/>
          <w:rFonts w:eastAsiaTheme="minorEastAsia"/>
          <w:i/>
          <w:sz w:val="23"/>
          <w:szCs w:val="23"/>
          <w:rtl/>
        </w:rPr>
        <w:footnoteReference w:id="152"/>
      </w:r>
      <w:r w:rsidRPr="0026684F">
        <w:rPr>
          <w:rFonts w:eastAsiaTheme="minorEastAsia" w:hint="cs"/>
          <w:i/>
          <w:sz w:val="23"/>
          <w:szCs w:val="23"/>
          <w:rtl/>
        </w:rPr>
        <w:t xml:space="preserve"> نامند. درحالی</w:t>
      </w:r>
      <w:r w:rsidRPr="0026684F">
        <w:rPr>
          <w:rFonts w:eastAsiaTheme="minorEastAsia"/>
          <w:i/>
          <w:sz w:val="23"/>
          <w:szCs w:val="23"/>
          <w:rtl/>
        </w:rPr>
        <w:softHyphen/>
      </w:r>
      <w:r w:rsidRPr="0026684F">
        <w:rPr>
          <w:rFonts w:eastAsiaTheme="minorEastAsia" w:hint="cs"/>
          <w:i/>
          <w:sz w:val="23"/>
          <w:szCs w:val="23"/>
          <w:rtl/>
        </w:rPr>
        <w:t>که در سیستم مالیاتی متناسب همانند مالیات بر تولید قید بودجه</w:t>
      </w:r>
      <w:r w:rsidRPr="0026684F">
        <w:rPr>
          <w:rFonts w:eastAsiaTheme="minorEastAsia"/>
          <w:i/>
          <w:sz w:val="23"/>
          <w:szCs w:val="23"/>
          <w:rtl/>
        </w:rPr>
        <w:softHyphen/>
      </w:r>
      <w:r w:rsidRPr="0026684F">
        <w:rPr>
          <w:rFonts w:eastAsiaTheme="minorEastAsia" w:hint="cs"/>
          <w:i/>
          <w:sz w:val="23"/>
          <w:szCs w:val="23"/>
          <w:rtl/>
        </w:rPr>
        <w:t>ی دولت عبارتست از:</w:t>
      </w:r>
    </w:p>
    <w:p w14:paraId="01046717" w14:textId="77777777" w:rsidR="00411620" w:rsidRPr="0026684F" w:rsidRDefault="00411620" w:rsidP="00411620">
      <w:pPr>
        <w:bidi w:val="0"/>
        <w:spacing w:line="216" w:lineRule="auto"/>
        <w:rPr>
          <w:rFonts w:eastAsiaTheme="minorEastAsia"/>
          <w:i/>
          <w:sz w:val="23"/>
          <w:szCs w:val="23"/>
          <w:rtl/>
        </w:rPr>
      </w:pPr>
      <w:r w:rsidRPr="0026684F">
        <w:rPr>
          <w:rFonts w:eastAsiaTheme="minorEastAsia" w:hint="cs"/>
          <w:i/>
          <w:sz w:val="23"/>
          <w:szCs w:val="23"/>
        </w:rPr>
        <w:t xml:space="preserve"> </w:t>
      </w:r>
      <w:r w:rsidRPr="00703635">
        <w:rPr>
          <w:position w:val="-12"/>
        </w:rPr>
        <w:object w:dxaOrig="1180" w:dyaOrig="360" w14:anchorId="4073A196">
          <v:shape id="_x0000_i2914" type="#_x0000_t75" style="width:58.7pt;height:18.15pt" o:ole="">
            <v:imagedata r:id="rId3814" o:title=""/>
          </v:shape>
          <o:OLEObject Type="Embed" ProgID="Equation.DSMT4" ShapeID="_x0000_i2914" DrawAspect="Content" ObjectID="_1791376858" r:id="rId3815"/>
        </w:object>
      </w:r>
      <w:r w:rsidRPr="0026684F">
        <w:rPr>
          <w:rFonts w:eastAsiaTheme="minorEastAsia" w:hint="cs"/>
          <w:i/>
          <w:sz w:val="23"/>
          <w:szCs w:val="23"/>
        </w:rPr>
        <w:t xml:space="preserve"> </w:t>
      </w:r>
      <w:r w:rsidRPr="0026684F">
        <w:rPr>
          <w:i/>
          <w:sz w:val="23"/>
          <w:szCs w:val="23"/>
        </w:rPr>
        <w:tab/>
      </w:r>
      <w:r w:rsidRPr="0026684F">
        <w:rPr>
          <w:i/>
          <w:sz w:val="23"/>
          <w:szCs w:val="23"/>
          <w:rtl/>
        </w:rPr>
        <w:tab/>
      </w:r>
      <w:r w:rsidRPr="0026684F">
        <w:rPr>
          <w:i/>
          <w:sz w:val="23"/>
          <w:szCs w:val="23"/>
          <w:rtl/>
        </w:rPr>
        <w:tab/>
      </w:r>
      <w:r w:rsidRPr="0026684F">
        <w:rPr>
          <w:i/>
          <w:sz w:val="23"/>
          <w:szCs w:val="23"/>
          <w:rtl/>
        </w:rPr>
        <w:tab/>
      </w:r>
      <w:r w:rsidRPr="0026684F">
        <w:rPr>
          <w:i/>
          <w:sz w:val="23"/>
          <w:szCs w:val="23"/>
        </w:rPr>
        <w:tab/>
      </w:r>
      <w:r w:rsidRPr="0026684F">
        <w:rPr>
          <w:i/>
          <w:sz w:val="23"/>
          <w:szCs w:val="23"/>
        </w:rPr>
        <w:tab/>
      </w:r>
      <w:r w:rsidRPr="0026684F">
        <w:rPr>
          <w:i/>
          <w:sz w:val="23"/>
          <w:szCs w:val="23"/>
        </w:rPr>
        <w:tab/>
      </w:r>
      <w:r w:rsidRPr="0026684F">
        <w:rPr>
          <w:i/>
          <w:sz w:val="23"/>
          <w:szCs w:val="23"/>
        </w:rPr>
        <w:tab/>
      </w:r>
      <w:r w:rsidRPr="0026684F">
        <w:rPr>
          <w:i/>
          <w:sz w:val="23"/>
          <w:szCs w:val="23"/>
        </w:rPr>
        <w:tab/>
      </w:r>
      <w:r w:rsidRPr="0026684F">
        <w:rPr>
          <w:i/>
          <w:sz w:val="23"/>
          <w:szCs w:val="23"/>
        </w:rPr>
        <w:tab/>
      </w:r>
      <w:r w:rsidRPr="0026684F">
        <w:rPr>
          <w:i/>
          <w:sz w:val="23"/>
          <w:szCs w:val="23"/>
        </w:rPr>
        <w:tab/>
      </w:r>
      <w:r w:rsidRPr="0026684F">
        <w:rPr>
          <w:i/>
          <w:sz w:val="23"/>
          <w:szCs w:val="23"/>
        </w:rPr>
        <w:tab/>
      </w:r>
      <w:r w:rsidRPr="0026684F">
        <w:rPr>
          <w:i/>
          <w:sz w:val="23"/>
          <w:szCs w:val="23"/>
        </w:rPr>
        <w:tab/>
      </w:r>
      <w:r w:rsidRPr="0026684F">
        <w:rPr>
          <w:i/>
          <w:sz w:val="23"/>
          <w:szCs w:val="23"/>
          <w:rtl/>
        </w:rPr>
        <w:tab/>
      </w:r>
      <w:r>
        <w:rPr>
          <w:i/>
          <w:sz w:val="23"/>
          <w:szCs w:val="23"/>
          <w:rtl/>
        </w:rPr>
        <w:tab/>
      </w:r>
      <w:r w:rsidRPr="0026684F">
        <w:rPr>
          <w:i/>
          <w:sz w:val="23"/>
          <w:szCs w:val="23"/>
          <w:rtl/>
        </w:rPr>
        <w:tab/>
      </w:r>
      <w:r w:rsidRPr="0026684F">
        <w:rPr>
          <w:i/>
          <w:sz w:val="23"/>
          <w:szCs w:val="23"/>
        </w:rPr>
        <w:tab/>
      </w:r>
      <w:r w:rsidRPr="0026684F">
        <w:rPr>
          <w:rFonts w:hint="cs"/>
          <w:i/>
          <w:sz w:val="23"/>
          <w:szCs w:val="23"/>
          <w:rtl/>
        </w:rPr>
        <w:t>(۵. ۲۱)</w:t>
      </w:r>
    </w:p>
    <w:p w14:paraId="20F38F69"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می‌توان نشان داد که شرایط مرتبه</w:t>
      </w:r>
      <w:r w:rsidRPr="0026684F">
        <w:rPr>
          <w:rFonts w:eastAsiaTheme="minorEastAsia"/>
          <w:i/>
          <w:sz w:val="23"/>
          <w:szCs w:val="23"/>
          <w:rtl/>
        </w:rPr>
        <w:softHyphen/>
      </w:r>
      <w:r w:rsidRPr="0026684F">
        <w:rPr>
          <w:rFonts w:eastAsiaTheme="minorEastAsia" w:hint="cs"/>
          <w:i/>
          <w:sz w:val="23"/>
          <w:szCs w:val="23"/>
          <w:rtl/>
        </w:rPr>
        <w:t>ی اول نسبت به</w:t>
      </w:r>
      <w:r w:rsidRPr="00703635">
        <w:rPr>
          <w:position w:val="-10"/>
        </w:rPr>
        <w:object w:dxaOrig="220" w:dyaOrig="320" w14:anchorId="2F0AD454">
          <v:shape id="_x0000_i2915" type="#_x0000_t75" style="width:10.9pt;height:15.75pt" o:ole="">
            <v:imagedata r:id="rId3816" o:title=""/>
          </v:shape>
          <o:OLEObject Type="Embed" ProgID="Equation.DSMT4" ShapeID="_x0000_i2915" DrawAspect="Content" ObjectID="_1791376859" r:id="rId3817"/>
        </w:object>
      </w:r>
      <w:r w:rsidRPr="0026684F">
        <w:rPr>
          <w:rFonts w:eastAsiaTheme="minorEastAsia" w:hint="cs"/>
          <w:i/>
          <w:sz w:val="23"/>
          <w:szCs w:val="23"/>
          <w:rtl/>
        </w:rPr>
        <w:t xml:space="preserve"> بجای </w:t>
      </w:r>
      <w:r w:rsidRPr="0026684F">
        <w:rPr>
          <w:rFonts w:eastAsiaTheme="minorEastAsia"/>
          <w:i/>
          <w:sz w:val="23"/>
          <w:szCs w:val="23"/>
        </w:rPr>
        <w:t>T</w:t>
      </w:r>
      <w:r w:rsidRPr="0026684F">
        <w:rPr>
          <w:rFonts w:eastAsiaTheme="minorEastAsia"/>
          <w:i/>
          <w:sz w:val="23"/>
          <w:szCs w:val="23"/>
          <w:vertAlign w:val="subscript"/>
        </w:rPr>
        <w:t>t</w:t>
      </w:r>
      <w:r w:rsidRPr="0026684F">
        <w:rPr>
          <w:rFonts w:eastAsiaTheme="minorEastAsia" w:hint="cs"/>
          <w:i/>
          <w:sz w:val="23"/>
          <w:szCs w:val="23"/>
          <w:rtl/>
        </w:rPr>
        <w:t xml:space="preserve"> عبارتست از :</w:t>
      </w:r>
    </w:p>
    <w:p w14:paraId="3AD16F82" w14:textId="77777777" w:rsidR="00411620" w:rsidRPr="0026684F" w:rsidRDefault="00411620" w:rsidP="00411620">
      <w:pPr>
        <w:pStyle w:val="MTDisplayEquation"/>
        <w:spacing w:line="216" w:lineRule="auto"/>
        <w:rPr>
          <w:rFonts w:ascii="Cambria Math" w:eastAsiaTheme="minorEastAsia" w:hAnsi="Cambria Math" w:cs="B Nazanin"/>
          <w:sz w:val="23"/>
          <w:szCs w:val="23"/>
          <w:rtl/>
          <w:oMath/>
        </w:rPr>
      </w:pPr>
      <w:r w:rsidRPr="00703635">
        <w:rPr>
          <w:position w:val="-28"/>
        </w:rPr>
        <w:object w:dxaOrig="3280" w:dyaOrig="620" w14:anchorId="4D807661">
          <v:shape id="_x0000_i2916" type="#_x0000_t75" style="width:163.95pt;height:31.45pt" o:ole="">
            <v:imagedata r:id="rId3818" o:title=""/>
          </v:shape>
          <o:OLEObject Type="Embed" ProgID="Equation.DSMT4" ShapeID="_x0000_i2916" DrawAspect="Content" ObjectID="_1791376860" r:id="rId3819"/>
        </w:object>
      </w:r>
    </w:p>
    <w:p w14:paraId="0FAFB4B2" w14:textId="77777777" w:rsidR="00411620" w:rsidRPr="0026684F" w:rsidRDefault="00411620" w:rsidP="00411620">
      <w:pPr>
        <w:spacing w:line="216" w:lineRule="auto"/>
        <w:rPr>
          <w:rFonts w:eastAsiaTheme="minorEastAsia"/>
          <w:i/>
          <w:sz w:val="23"/>
          <w:szCs w:val="23"/>
          <w:rtl/>
        </w:rPr>
      </w:pPr>
      <w:r w:rsidRPr="0026684F">
        <w:rPr>
          <w:rFonts w:eastAsiaTheme="minorEastAsia" w:hint="cs"/>
          <w:i/>
          <w:sz w:val="23"/>
          <w:szCs w:val="23"/>
          <w:rtl/>
        </w:rPr>
        <w:t xml:space="preserve">و چون </w:t>
      </w:r>
      <w:r w:rsidRPr="00703635">
        <w:rPr>
          <w:position w:val="-10"/>
        </w:rPr>
        <w:object w:dxaOrig="720" w:dyaOrig="320" w14:anchorId="544A353D">
          <v:shape id="_x0000_i2917" type="#_x0000_t75" style="width:36.3pt;height:15.75pt" o:ole="">
            <v:imagedata r:id="rId3820" o:title=""/>
          </v:shape>
          <o:OLEObject Type="Embed" ProgID="Equation.DSMT4" ShapeID="_x0000_i2917" DrawAspect="Content" ObjectID="_1791376861" r:id="rId3821"/>
        </w:object>
      </w:r>
      <w:r w:rsidRPr="0026684F">
        <w:rPr>
          <w:rFonts w:eastAsiaTheme="minorEastAsia" w:hint="cs"/>
          <w:i/>
          <w:sz w:val="23"/>
          <w:szCs w:val="23"/>
          <w:rtl/>
        </w:rPr>
        <w:t xml:space="preserve"> است، لذا برای هر</w:t>
      </w:r>
      <w:r w:rsidRPr="00703635">
        <w:rPr>
          <w:position w:val="-6"/>
        </w:rPr>
        <w:object w:dxaOrig="499" w:dyaOrig="260" w14:anchorId="3DE9425F">
          <v:shape id="_x0000_i2918" type="#_x0000_t75" style="width:24.8pt;height:13.3pt" o:ole="">
            <v:imagedata r:id="rId3822" o:title=""/>
          </v:shape>
          <o:OLEObject Type="Embed" ProgID="Equation.DSMT4" ShapeID="_x0000_i2918" DrawAspect="Content" ObjectID="_1791376862" r:id="rId3823"/>
        </w:object>
      </w:r>
      <w:r w:rsidRPr="0026684F">
        <w:rPr>
          <w:rFonts w:eastAsiaTheme="minorEastAsia"/>
          <w:i/>
          <w:sz w:val="23"/>
          <w:szCs w:val="23"/>
        </w:rPr>
        <w:t xml:space="preserve"> </w:t>
      </w:r>
      <w:r w:rsidRPr="0026684F">
        <w:rPr>
          <w:rFonts w:eastAsiaTheme="minorEastAsia" w:hint="cs"/>
          <w:i/>
          <w:sz w:val="23"/>
          <w:szCs w:val="23"/>
          <w:rtl/>
        </w:rPr>
        <w:t>باید</w:t>
      </w:r>
      <w:r w:rsidRPr="00703635">
        <w:rPr>
          <w:position w:val="-10"/>
        </w:rPr>
        <w:object w:dxaOrig="740" w:dyaOrig="320" w14:anchorId="38A40EDA">
          <v:shape id="_x0000_i2919" type="#_x0000_t75" style="width:36.9pt;height:15.75pt" o:ole="">
            <v:imagedata r:id="rId3824" o:title=""/>
          </v:shape>
          <o:OLEObject Type="Embed" ProgID="Equation.DSMT4" ShapeID="_x0000_i2919" DrawAspect="Content" ObjectID="_1791376863" r:id="rId3825"/>
        </w:object>
      </w:r>
      <w:r w:rsidRPr="0026684F">
        <w:rPr>
          <w:rFonts w:eastAsiaTheme="minorEastAsia" w:hint="cs"/>
          <w:i/>
          <w:sz w:val="23"/>
          <w:szCs w:val="23"/>
          <w:rtl/>
        </w:rPr>
        <w:t xml:space="preserve"> باشد. در این حالت نیز نتایج بدست آمده از مالیات مقطوع شرایط نهایی را تغییر نداده و رفتار خانوار بدون تغییر باقی می</w:t>
      </w:r>
      <w:r w:rsidRPr="0026684F">
        <w:rPr>
          <w:rFonts w:eastAsiaTheme="minorEastAsia"/>
          <w:i/>
          <w:sz w:val="23"/>
          <w:szCs w:val="23"/>
          <w:rtl/>
        </w:rPr>
        <w:softHyphen/>
      </w:r>
      <w:r w:rsidRPr="0026684F">
        <w:rPr>
          <w:rFonts w:eastAsiaTheme="minorEastAsia" w:hint="cs"/>
          <w:i/>
          <w:sz w:val="23"/>
          <w:szCs w:val="23"/>
          <w:rtl/>
        </w:rPr>
        <w:t>ماند. مقدار بهینه</w:t>
      </w:r>
      <w:r w:rsidRPr="0026684F">
        <w:rPr>
          <w:rFonts w:eastAsiaTheme="minorEastAsia"/>
          <w:i/>
          <w:sz w:val="23"/>
          <w:szCs w:val="23"/>
          <w:rtl/>
        </w:rPr>
        <w:softHyphen/>
      </w:r>
      <w:r w:rsidRPr="0026684F">
        <w:rPr>
          <w:rFonts w:eastAsiaTheme="minorEastAsia" w:hint="cs"/>
          <w:i/>
          <w:sz w:val="23"/>
          <w:szCs w:val="23"/>
          <w:rtl/>
        </w:rPr>
        <w:t>ی نرخ مالیات عبارتست از</w:t>
      </w:r>
      <w:r w:rsidRPr="00703635">
        <w:rPr>
          <w:position w:val="-30"/>
        </w:rPr>
        <w:object w:dxaOrig="1020" w:dyaOrig="660" w14:anchorId="08DAA0F5">
          <v:shape id="_x0000_i2920" type="#_x0000_t75" style="width:50.8pt;height:32.65pt" o:ole="">
            <v:imagedata r:id="rId3826" o:title=""/>
          </v:shape>
          <o:OLEObject Type="Embed" ProgID="Equation.DSMT4" ShapeID="_x0000_i2920" DrawAspect="Content" ObjectID="_1791376864" r:id="rId3827"/>
        </w:object>
      </w:r>
      <w:r w:rsidRPr="0026684F">
        <w:rPr>
          <w:rFonts w:eastAsiaTheme="minorEastAsia" w:hint="cs"/>
          <w:i/>
          <w:sz w:val="23"/>
          <w:szCs w:val="23"/>
          <w:rtl/>
        </w:rPr>
        <w:t xml:space="preserve"> و در طول زمان با توجه به مقادیر</w:t>
      </w:r>
      <w:r w:rsidRPr="00703635">
        <w:rPr>
          <w:position w:val="-10"/>
        </w:rPr>
        <w:object w:dxaOrig="260" w:dyaOrig="320" w14:anchorId="465D8FB9">
          <v:shape id="_x0000_i2921" type="#_x0000_t75" style="width:13.3pt;height:15.75pt" o:ole="">
            <v:imagedata r:id="rId3828" o:title=""/>
          </v:shape>
          <o:OLEObject Type="Embed" ProgID="Equation.DSMT4" ShapeID="_x0000_i2921" DrawAspect="Content" ObjectID="_1791376865" r:id="rId3829"/>
        </w:object>
      </w:r>
      <w:r w:rsidRPr="0026684F">
        <w:rPr>
          <w:rFonts w:eastAsiaTheme="minorEastAsia" w:hint="cs"/>
          <w:i/>
          <w:sz w:val="23"/>
          <w:szCs w:val="23"/>
          <w:rtl/>
        </w:rPr>
        <w:t xml:space="preserve"> و </w:t>
      </w:r>
      <w:r w:rsidRPr="00703635">
        <w:rPr>
          <w:position w:val="-10"/>
        </w:rPr>
        <w:object w:dxaOrig="580" w:dyaOrig="320" w14:anchorId="0E5F994E">
          <v:shape id="_x0000_i2922" type="#_x0000_t75" style="width:29.05pt;height:15.75pt" o:ole="">
            <v:imagedata r:id="rId3830" o:title=""/>
          </v:shape>
          <o:OLEObject Type="Embed" ProgID="Equation.DSMT4" ShapeID="_x0000_i2922" DrawAspect="Content" ObjectID="_1791376866" r:id="rId3831"/>
        </w:object>
      </w:r>
      <w:r w:rsidRPr="0026684F">
        <w:rPr>
          <w:rFonts w:eastAsiaTheme="minorEastAsia" w:hint="cs"/>
          <w:i/>
          <w:sz w:val="23"/>
          <w:szCs w:val="23"/>
          <w:rtl/>
        </w:rPr>
        <w:t xml:space="preserve"> تغییر می</w:t>
      </w:r>
      <w:r w:rsidRPr="0026684F">
        <w:rPr>
          <w:rFonts w:eastAsiaTheme="minorEastAsia"/>
          <w:i/>
          <w:sz w:val="23"/>
          <w:szCs w:val="23"/>
          <w:rtl/>
        </w:rPr>
        <w:softHyphen/>
      </w:r>
      <w:r w:rsidRPr="0026684F">
        <w:rPr>
          <w:rFonts w:eastAsiaTheme="minorEastAsia" w:hint="cs"/>
          <w:i/>
          <w:sz w:val="23"/>
          <w:szCs w:val="23"/>
          <w:rtl/>
        </w:rPr>
        <w:t xml:space="preserve">کند. </w:t>
      </w:r>
    </w:p>
    <w:p w14:paraId="62B3C004" w14:textId="77777777" w:rsidR="00411620" w:rsidRPr="0026684F" w:rsidRDefault="00411620" w:rsidP="00411620">
      <w:pPr>
        <w:tabs>
          <w:tab w:val="left" w:pos="1215"/>
        </w:tabs>
        <w:spacing w:line="216" w:lineRule="auto"/>
        <w:rPr>
          <w:rFonts w:eastAsiaTheme="minorEastAsia"/>
          <w:i/>
          <w:sz w:val="23"/>
          <w:szCs w:val="23"/>
          <w:rtl/>
          <w:lang w:val="el-GR"/>
        </w:rPr>
      </w:pPr>
    </w:p>
    <w:p w14:paraId="24DA51DD" w14:textId="77777777" w:rsidR="00411620" w:rsidRPr="0026684F" w:rsidRDefault="00411620" w:rsidP="00411620">
      <w:pPr>
        <w:pStyle w:val="Heading1"/>
        <w:spacing w:before="0" w:after="0" w:line="216" w:lineRule="auto"/>
        <w:rPr>
          <w:rFonts w:ascii="Times New Roman" w:eastAsiaTheme="minorEastAsia" w:hAnsi="Times New Roman" w:cs="B Nazanin"/>
          <w:b w:val="0"/>
          <w:i/>
          <w:sz w:val="23"/>
          <w:szCs w:val="23"/>
          <w:rtl/>
        </w:rPr>
      </w:pPr>
      <w:r w:rsidRPr="0026684F">
        <w:rPr>
          <w:rFonts w:ascii="Times New Roman" w:eastAsiaTheme="minorEastAsia" w:hAnsi="Times New Roman" w:cs="B Nazanin" w:hint="cs"/>
          <w:b w:val="0"/>
          <w:i/>
          <w:sz w:val="23"/>
          <w:szCs w:val="23"/>
          <w:rtl/>
        </w:rPr>
        <w:t xml:space="preserve">۵. ۸ </w:t>
      </w:r>
      <w:r w:rsidRPr="0026684F">
        <w:rPr>
          <w:rFonts w:ascii="Times New Roman" w:eastAsiaTheme="minorEastAsia" w:hAnsi="Times New Roman" w:cs="B Nazanin" w:hint="cs"/>
          <w:b w:val="0"/>
          <w:i/>
          <w:sz w:val="23"/>
          <w:szCs w:val="23"/>
          <w:rtl/>
          <w:lang w:val="el-GR"/>
        </w:rPr>
        <w:t xml:space="preserve">هموارسازی مالیات </w:t>
      </w:r>
    </w:p>
    <w:p w14:paraId="66836127" w14:textId="77777777" w:rsidR="00411620" w:rsidRPr="0026684F" w:rsidRDefault="00411620" w:rsidP="00411620">
      <w:pPr>
        <w:tabs>
          <w:tab w:val="left" w:pos="1215"/>
        </w:tabs>
        <w:spacing w:line="216" w:lineRule="auto"/>
        <w:rPr>
          <w:rFonts w:eastAsiaTheme="minorEastAsia"/>
          <w:i/>
          <w:sz w:val="23"/>
          <w:szCs w:val="23"/>
        </w:rPr>
      </w:pPr>
      <w:r w:rsidRPr="0026684F">
        <w:rPr>
          <w:rFonts w:eastAsiaTheme="minorEastAsia" w:hint="cs"/>
          <w:i/>
          <w:sz w:val="23"/>
          <w:szCs w:val="23"/>
          <w:rtl/>
        </w:rPr>
        <w:t>تغییر مکرر مالیات</w:t>
      </w:r>
      <w:r w:rsidRPr="0026684F">
        <w:rPr>
          <w:rFonts w:eastAsiaTheme="minorEastAsia"/>
          <w:i/>
          <w:sz w:val="23"/>
          <w:szCs w:val="23"/>
          <w:rtl/>
        </w:rPr>
        <w:softHyphen/>
      </w:r>
      <w:r w:rsidRPr="0026684F">
        <w:rPr>
          <w:rFonts w:eastAsiaTheme="minorEastAsia" w:hint="cs"/>
          <w:i/>
          <w:sz w:val="23"/>
          <w:szCs w:val="23"/>
          <w:rtl/>
        </w:rPr>
        <w:t>ها و نرخ</w:t>
      </w:r>
      <w:r w:rsidRPr="0026684F">
        <w:rPr>
          <w:rFonts w:eastAsiaTheme="minorEastAsia"/>
          <w:i/>
          <w:sz w:val="23"/>
          <w:szCs w:val="23"/>
          <w:rtl/>
        </w:rPr>
        <w:softHyphen/>
      </w:r>
      <w:r w:rsidRPr="0026684F">
        <w:rPr>
          <w:rFonts w:eastAsiaTheme="minorEastAsia" w:hint="cs"/>
          <w:i/>
          <w:sz w:val="23"/>
          <w:szCs w:val="23"/>
          <w:rtl/>
        </w:rPr>
        <w:t>های مالیاتی برای دولت هزینه</w:t>
      </w:r>
      <w:r w:rsidRPr="0026684F">
        <w:rPr>
          <w:rFonts w:eastAsiaTheme="minorEastAsia"/>
          <w:i/>
          <w:sz w:val="23"/>
          <w:szCs w:val="23"/>
          <w:rtl/>
        </w:rPr>
        <w:softHyphen/>
      </w:r>
      <w:r w:rsidRPr="0026684F">
        <w:rPr>
          <w:rFonts w:eastAsiaTheme="minorEastAsia" w:hint="cs"/>
          <w:i/>
          <w:sz w:val="23"/>
          <w:szCs w:val="23"/>
          <w:rtl/>
        </w:rPr>
        <w:t>های اجرایی دارد که در این</w:t>
      </w:r>
      <w:r w:rsidRPr="0026684F">
        <w:rPr>
          <w:rFonts w:eastAsiaTheme="minorEastAsia"/>
          <w:i/>
          <w:sz w:val="23"/>
          <w:szCs w:val="23"/>
          <w:rtl/>
        </w:rPr>
        <w:softHyphen/>
      </w:r>
      <w:r w:rsidRPr="0026684F">
        <w:rPr>
          <w:rFonts w:eastAsiaTheme="minorEastAsia" w:hint="cs"/>
          <w:i/>
          <w:sz w:val="23"/>
          <w:szCs w:val="23"/>
          <w:rtl/>
        </w:rPr>
        <w:t>صورت دولت</w:t>
      </w:r>
      <w:r w:rsidRPr="0026684F">
        <w:rPr>
          <w:rFonts w:eastAsiaTheme="minorEastAsia"/>
          <w:i/>
          <w:sz w:val="23"/>
          <w:szCs w:val="23"/>
          <w:rtl/>
        </w:rPr>
        <w:softHyphen/>
      </w:r>
      <w:r w:rsidRPr="0026684F">
        <w:rPr>
          <w:rFonts w:eastAsiaTheme="minorEastAsia" w:hint="cs"/>
          <w:i/>
          <w:sz w:val="23"/>
          <w:szCs w:val="23"/>
          <w:rtl/>
        </w:rPr>
        <w:t>ها باید بدنبال حداقل کردن این هزینه</w:t>
      </w:r>
      <w:r w:rsidRPr="0026684F">
        <w:rPr>
          <w:rFonts w:eastAsiaTheme="minorEastAsia"/>
          <w:i/>
          <w:sz w:val="23"/>
          <w:szCs w:val="23"/>
          <w:rtl/>
        </w:rPr>
        <w:softHyphen/>
      </w:r>
      <w:r w:rsidRPr="0026684F">
        <w:rPr>
          <w:rFonts w:eastAsiaTheme="minorEastAsia" w:hint="cs"/>
          <w:i/>
          <w:sz w:val="23"/>
          <w:szCs w:val="23"/>
          <w:rtl/>
        </w:rPr>
        <w:t xml:space="preserve">ها </w:t>
      </w:r>
      <w:r w:rsidRPr="0026684F">
        <w:rPr>
          <w:rFonts w:eastAsiaTheme="minorEastAsia"/>
          <w:i/>
          <w:sz w:val="23"/>
          <w:szCs w:val="23"/>
          <w:rtl/>
        </w:rPr>
        <w:softHyphen/>
      </w:r>
      <w:r w:rsidRPr="0026684F">
        <w:rPr>
          <w:rFonts w:eastAsiaTheme="minorEastAsia" w:hint="cs"/>
          <w:i/>
          <w:sz w:val="23"/>
          <w:szCs w:val="23"/>
          <w:rtl/>
        </w:rPr>
        <w:t>باشند. اگر فرض کنیم هزینه</w:t>
      </w:r>
      <w:r w:rsidRPr="0026684F">
        <w:rPr>
          <w:rFonts w:eastAsiaTheme="minorEastAsia"/>
          <w:i/>
          <w:sz w:val="23"/>
          <w:szCs w:val="23"/>
          <w:rtl/>
        </w:rPr>
        <w:softHyphen/>
      </w:r>
      <w:r w:rsidRPr="0026684F">
        <w:rPr>
          <w:rFonts w:eastAsiaTheme="minorEastAsia" w:hint="cs"/>
          <w:i/>
          <w:sz w:val="23"/>
          <w:szCs w:val="23"/>
          <w:rtl/>
        </w:rPr>
        <w:t>های اجرایی تغییر مکرر مالیات</w:t>
      </w:r>
      <w:r w:rsidRPr="0026684F">
        <w:rPr>
          <w:rFonts w:eastAsiaTheme="minorEastAsia"/>
          <w:i/>
          <w:sz w:val="23"/>
          <w:szCs w:val="23"/>
          <w:rtl/>
        </w:rPr>
        <w:softHyphen/>
      </w:r>
      <w:r w:rsidRPr="0026684F">
        <w:rPr>
          <w:rFonts w:eastAsiaTheme="minorEastAsia" w:hint="cs"/>
          <w:i/>
          <w:sz w:val="23"/>
          <w:szCs w:val="23"/>
          <w:rtl/>
        </w:rPr>
        <w:t>ها تابعی صعودی و غیرخطی از کل درآمدهای مالیاتی باشد آنگاه تابع هزینه</w:t>
      </w:r>
      <w:r w:rsidRPr="0026684F">
        <w:rPr>
          <w:rFonts w:eastAsiaTheme="minorEastAsia"/>
          <w:i/>
          <w:sz w:val="23"/>
          <w:szCs w:val="23"/>
          <w:rtl/>
        </w:rPr>
        <w:softHyphen/>
      </w:r>
      <w:r w:rsidRPr="0026684F">
        <w:rPr>
          <w:rFonts w:eastAsiaTheme="minorEastAsia" w:hint="cs"/>
          <w:i/>
          <w:sz w:val="23"/>
          <w:szCs w:val="23"/>
          <w:rtl/>
        </w:rPr>
        <w:t xml:space="preserve">های اجرایی عبارت خواهد بود از </w:t>
      </w:r>
    </w:p>
    <w:p w14:paraId="5932F526"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22"/>
        </w:rPr>
        <w:object w:dxaOrig="3140" w:dyaOrig="560" w14:anchorId="04890ACC">
          <v:shape id="_x0000_i2923" type="#_x0000_t75" style="width:157.3pt;height:27.85pt" o:ole="">
            <v:imagedata r:id="rId3832" o:title=""/>
          </v:shape>
          <o:OLEObject Type="Embed" ProgID="Equation.DSMT4" ShapeID="_x0000_i2923" DrawAspect="Content" ObjectID="_1791376867" r:id="rId3833"/>
        </w:object>
      </w:r>
    </w:p>
    <w:p w14:paraId="12F3A6CC" w14:textId="77777777" w:rsidR="00411620" w:rsidRPr="0026684F" w:rsidRDefault="00411620" w:rsidP="00411620">
      <w:pPr>
        <w:tabs>
          <w:tab w:val="left" w:pos="1215"/>
        </w:tabs>
        <w:spacing w:line="216" w:lineRule="auto"/>
        <w:rPr>
          <w:rFonts w:eastAsiaTheme="minorEastAsia"/>
          <w:i/>
          <w:sz w:val="23"/>
          <w:szCs w:val="23"/>
          <w:rtl/>
          <w:lang w:val="en-GB"/>
        </w:rPr>
      </w:pPr>
      <w:r w:rsidRPr="0026684F">
        <w:rPr>
          <w:rFonts w:eastAsiaTheme="minorEastAsia" w:hint="cs"/>
          <w:i/>
          <w:sz w:val="23"/>
          <w:szCs w:val="23"/>
          <w:rtl/>
          <w:lang w:val="en-GB"/>
        </w:rPr>
        <w:t xml:space="preserve">همچنین فرض </w:t>
      </w:r>
      <w:r w:rsidRPr="0026684F">
        <w:rPr>
          <w:rFonts w:eastAsiaTheme="minorEastAsia"/>
          <w:i/>
          <w:sz w:val="23"/>
          <w:szCs w:val="23"/>
          <w:rtl/>
          <w:lang w:val="en-GB"/>
        </w:rPr>
        <w:softHyphen/>
      </w:r>
      <w:r w:rsidRPr="0026684F">
        <w:rPr>
          <w:rFonts w:eastAsiaTheme="minorEastAsia" w:hint="cs"/>
          <w:i/>
          <w:sz w:val="23"/>
          <w:szCs w:val="23"/>
          <w:rtl/>
          <w:lang w:val="en-GB"/>
        </w:rPr>
        <w:t>کنید دولت به دنبال حداقل کردن ارزش فعلی هرینه</w:t>
      </w:r>
      <w:r w:rsidRPr="0026684F">
        <w:rPr>
          <w:rFonts w:eastAsiaTheme="minorEastAsia"/>
          <w:i/>
          <w:sz w:val="23"/>
          <w:szCs w:val="23"/>
          <w:rtl/>
          <w:lang w:val="en-GB"/>
        </w:rPr>
        <w:softHyphen/>
      </w:r>
      <w:r w:rsidRPr="0026684F">
        <w:rPr>
          <w:rFonts w:eastAsiaTheme="minorEastAsia" w:hint="cs"/>
          <w:i/>
          <w:sz w:val="23"/>
          <w:szCs w:val="23"/>
          <w:rtl/>
          <w:lang w:val="en-GB"/>
        </w:rPr>
        <w:t>های اجرایی تغییر مالیات</w:t>
      </w:r>
      <w:r w:rsidRPr="0026684F">
        <w:rPr>
          <w:rFonts w:eastAsiaTheme="minorEastAsia"/>
          <w:i/>
          <w:sz w:val="23"/>
          <w:szCs w:val="23"/>
          <w:rtl/>
          <w:lang w:val="en-GB"/>
        </w:rPr>
        <w:softHyphen/>
      </w:r>
      <w:r w:rsidRPr="0026684F">
        <w:rPr>
          <w:rFonts w:eastAsiaTheme="minorEastAsia" w:hint="cs"/>
          <w:i/>
          <w:sz w:val="23"/>
          <w:szCs w:val="23"/>
          <w:rtl/>
          <w:lang w:val="en-GB"/>
        </w:rPr>
        <w:t xml:space="preserve">ها </w:t>
      </w:r>
      <w:r w:rsidRPr="0026684F">
        <w:rPr>
          <w:rFonts w:eastAsiaTheme="minorEastAsia" w:hint="cs"/>
          <w:i/>
          <w:sz w:val="23"/>
          <w:szCs w:val="23"/>
          <w:rtl/>
        </w:rPr>
        <w:t>نسبت به قید بودجه</w:t>
      </w:r>
      <w:r w:rsidRPr="0026684F">
        <w:rPr>
          <w:rFonts w:eastAsiaTheme="minorEastAsia"/>
          <w:i/>
          <w:sz w:val="23"/>
          <w:szCs w:val="23"/>
          <w:rtl/>
        </w:rPr>
        <w:softHyphen/>
      </w:r>
      <w:r w:rsidRPr="0026684F">
        <w:rPr>
          <w:rFonts w:eastAsiaTheme="minorEastAsia" w:hint="cs"/>
          <w:i/>
          <w:sz w:val="23"/>
          <w:szCs w:val="23"/>
          <w:rtl/>
        </w:rPr>
        <w:t xml:space="preserve">ی خود و </w:t>
      </w:r>
      <w:r w:rsidRPr="0026684F">
        <w:rPr>
          <w:rFonts w:eastAsiaTheme="minorEastAsia" w:hint="cs"/>
          <w:i/>
          <w:sz w:val="23"/>
          <w:szCs w:val="23"/>
          <w:rtl/>
          <w:lang w:val="en-GB"/>
        </w:rPr>
        <w:t>بر حسب دو متغیر</w:t>
      </w:r>
      <w:r w:rsidRPr="00703635">
        <w:rPr>
          <w:position w:val="-10"/>
        </w:rPr>
        <w:object w:dxaOrig="240" w:dyaOrig="320" w14:anchorId="186FF633">
          <v:shape id="_x0000_i2924" type="#_x0000_t75" style="width:11.5pt;height:15.75pt" o:ole="">
            <v:imagedata r:id="rId3834" o:title=""/>
          </v:shape>
          <o:OLEObject Type="Embed" ProgID="Equation.DSMT4" ShapeID="_x0000_i2924" DrawAspect="Content" ObjectID="_1791376868" r:id="rId3835"/>
        </w:object>
      </w:r>
      <w:r w:rsidRPr="0026684F">
        <w:rPr>
          <w:rFonts w:eastAsiaTheme="minorEastAsia" w:hint="cs"/>
          <w:i/>
          <w:sz w:val="23"/>
          <w:szCs w:val="23"/>
          <w:rtl/>
        </w:rPr>
        <w:t xml:space="preserve"> و</w:t>
      </w:r>
      <w:r w:rsidRPr="00703635">
        <w:rPr>
          <w:position w:val="-10"/>
        </w:rPr>
        <w:object w:dxaOrig="220" w:dyaOrig="320" w14:anchorId="1A44BDF3">
          <v:shape id="_x0000_i2925" type="#_x0000_t75" style="width:10.9pt;height:15.75pt" o:ole="">
            <v:imagedata r:id="rId3836" o:title=""/>
          </v:shape>
          <o:OLEObject Type="Embed" ProgID="Equation.DSMT4" ShapeID="_x0000_i2925" DrawAspect="Content" ObjectID="_1791376869" r:id="rId3837"/>
        </w:object>
      </w:r>
      <w:r w:rsidRPr="0026684F">
        <w:rPr>
          <w:rFonts w:eastAsiaTheme="minorEastAsia" w:hint="cs"/>
          <w:i/>
          <w:sz w:val="23"/>
          <w:szCs w:val="23"/>
          <w:rtl/>
        </w:rPr>
        <w:t xml:space="preserve"> است. لذا</w:t>
      </w:r>
    </w:p>
    <w:p w14:paraId="28529A7B"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26"/>
        </w:rPr>
        <w:object w:dxaOrig="1420" w:dyaOrig="620" w14:anchorId="5A37C853">
          <v:shape id="_x0000_i2926" type="#_x0000_t75" style="width:70.8pt;height:31.45pt" o:ole="">
            <v:imagedata r:id="rId3838" o:title=""/>
          </v:shape>
          <o:OLEObject Type="Embed" ProgID="Equation.DSMT4" ShapeID="_x0000_i2926" DrawAspect="Content" ObjectID="_1791376870" r:id="rId3839"/>
        </w:object>
      </w:r>
    </w:p>
    <w:p w14:paraId="03FD2745" w14:textId="77777777" w:rsidR="00411620" w:rsidRPr="0026684F" w:rsidRDefault="00411620" w:rsidP="00411620">
      <w:pPr>
        <w:tabs>
          <w:tab w:val="left" w:pos="1215"/>
        </w:tabs>
        <w:bidi w:val="0"/>
        <w:spacing w:line="216" w:lineRule="auto"/>
        <w:rPr>
          <w:rFonts w:eastAsiaTheme="minorEastAsia"/>
          <w:i/>
          <w:sz w:val="23"/>
          <w:szCs w:val="23"/>
          <w:lang w:val="en-GB"/>
        </w:rPr>
      </w:pPr>
      <w:r w:rsidRPr="00703635">
        <w:rPr>
          <w:position w:val="-10"/>
        </w:rPr>
        <w:object w:dxaOrig="2320" w:dyaOrig="340" w14:anchorId="290D0912">
          <v:shape id="_x0000_i2927" type="#_x0000_t75" style="width:116.15pt;height:16.95pt" o:ole="">
            <v:imagedata r:id="rId3840" o:title=""/>
          </v:shape>
          <o:OLEObject Type="Embed" ProgID="Equation.DSMT4" ShapeID="_x0000_i2927" DrawAspect="Content" ObjectID="_1791376871" r:id="rId3841"/>
        </w:object>
      </w:r>
      <w:r w:rsidRPr="0026684F">
        <w:rPr>
          <w:rFonts w:eastAsiaTheme="minorEastAsia"/>
          <w:i/>
          <w:sz w:val="23"/>
          <w:szCs w:val="23"/>
        </w:rPr>
        <w:t xml:space="preserve"> </w:t>
      </w:r>
      <w:r w:rsidRPr="0026684F">
        <w:rPr>
          <w:rFonts w:eastAsiaTheme="minorEastAsia"/>
          <w:i/>
          <w:sz w:val="23"/>
          <w:szCs w:val="23"/>
        </w:rPr>
        <w:tab/>
      </w:r>
      <w:r w:rsidRPr="0026684F">
        <w:rPr>
          <w:i/>
          <w:sz w:val="23"/>
          <w:szCs w:val="23"/>
          <w:rtl/>
        </w:rPr>
        <w:tab/>
      </w:r>
      <w:r w:rsidRPr="0026684F">
        <w:rPr>
          <w:i/>
          <w:sz w:val="23"/>
          <w:szCs w:val="23"/>
        </w:rPr>
        <w:tab/>
      </w:r>
      <w:r w:rsidRPr="0026684F">
        <w:rPr>
          <w:i/>
          <w:sz w:val="23"/>
          <w:szCs w:val="23"/>
        </w:rPr>
        <w:tab/>
      </w:r>
      <w:r w:rsidRPr="0026684F">
        <w:rPr>
          <w:i/>
          <w:sz w:val="23"/>
          <w:szCs w:val="23"/>
        </w:rPr>
        <w:tab/>
      </w:r>
      <w:r w:rsidRPr="0026684F">
        <w:rPr>
          <w:i/>
          <w:sz w:val="23"/>
          <w:szCs w:val="23"/>
        </w:rPr>
        <w:tab/>
      </w:r>
      <w:r w:rsidRPr="0026684F">
        <w:rPr>
          <w:i/>
          <w:sz w:val="23"/>
          <w:szCs w:val="23"/>
        </w:rPr>
        <w:tab/>
      </w:r>
      <w:r w:rsidRPr="0026684F">
        <w:rPr>
          <w:i/>
          <w:sz w:val="23"/>
          <w:szCs w:val="23"/>
        </w:rPr>
        <w:tab/>
      </w:r>
      <w:r w:rsidRPr="0026684F">
        <w:rPr>
          <w:i/>
          <w:sz w:val="23"/>
          <w:szCs w:val="23"/>
        </w:rPr>
        <w:tab/>
      </w:r>
      <w:r w:rsidRPr="0026684F">
        <w:rPr>
          <w:i/>
          <w:sz w:val="23"/>
          <w:szCs w:val="23"/>
          <w:rtl/>
        </w:rPr>
        <w:tab/>
      </w:r>
      <w:r w:rsidRPr="0026684F">
        <w:rPr>
          <w:i/>
          <w:sz w:val="23"/>
          <w:szCs w:val="23"/>
          <w:rtl/>
        </w:rPr>
        <w:tab/>
      </w:r>
      <w:r>
        <w:rPr>
          <w:i/>
          <w:sz w:val="23"/>
          <w:szCs w:val="23"/>
          <w:rtl/>
        </w:rPr>
        <w:tab/>
      </w:r>
      <w:r w:rsidRPr="0026684F">
        <w:rPr>
          <w:i/>
          <w:sz w:val="23"/>
          <w:szCs w:val="23"/>
          <w:rtl/>
        </w:rPr>
        <w:tab/>
      </w:r>
      <w:r w:rsidRPr="0026684F">
        <w:rPr>
          <w:rFonts w:hint="cs"/>
          <w:i/>
          <w:sz w:val="23"/>
          <w:szCs w:val="23"/>
          <w:rtl/>
        </w:rPr>
        <w:t>(۵. ۳۸)</w:t>
      </w:r>
    </w:p>
    <w:p w14:paraId="21D83997"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lang w:val="en-GB"/>
        </w:rPr>
        <w:t>که در آن متغیرهای</w:t>
      </w:r>
      <w:r w:rsidRPr="00703635">
        <w:rPr>
          <w:position w:val="-10"/>
        </w:rPr>
        <w:object w:dxaOrig="260" w:dyaOrig="320" w14:anchorId="7421C71C">
          <v:shape id="_x0000_i2928" type="#_x0000_t75" style="width:13.3pt;height:15.75pt" o:ole="">
            <v:imagedata r:id="rId3842" o:title=""/>
          </v:shape>
          <o:OLEObject Type="Embed" ProgID="Equation.DSMT4" ShapeID="_x0000_i2928" DrawAspect="Content" ObjectID="_1791376872" r:id="rId3843"/>
        </w:object>
      </w:r>
      <w:r w:rsidRPr="0026684F">
        <w:rPr>
          <w:rFonts w:eastAsiaTheme="minorEastAsia" w:hint="cs"/>
          <w:i/>
          <w:sz w:val="23"/>
          <w:szCs w:val="23"/>
          <w:rtl/>
        </w:rPr>
        <w:t xml:space="preserve"> و</w:t>
      </w:r>
      <w:r w:rsidRPr="00703635">
        <w:rPr>
          <w:position w:val="-10"/>
        </w:rPr>
        <w:object w:dxaOrig="240" w:dyaOrig="340" w14:anchorId="4EE079A1">
          <v:shape id="_x0000_i2929" type="#_x0000_t75" style="width:11.5pt;height:16.95pt" o:ole="">
            <v:imagedata r:id="rId3844" o:title=""/>
          </v:shape>
          <o:OLEObject Type="Embed" ProgID="Equation.DSMT4" ShapeID="_x0000_i2929" DrawAspect="Content" ObjectID="_1791376873" r:id="rId3845"/>
        </w:object>
      </w:r>
      <w:r w:rsidRPr="0026684F">
        <w:rPr>
          <w:rFonts w:eastAsiaTheme="minorEastAsia" w:hint="cs"/>
          <w:i/>
          <w:sz w:val="23"/>
          <w:szCs w:val="23"/>
          <w:rtl/>
        </w:rPr>
        <w:t xml:space="preserve"> از قبل داده شده</w:t>
      </w:r>
      <w:r w:rsidRPr="0026684F">
        <w:rPr>
          <w:rFonts w:eastAsiaTheme="minorEastAsia"/>
          <w:i/>
          <w:sz w:val="23"/>
          <w:szCs w:val="23"/>
          <w:rtl/>
        </w:rPr>
        <w:softHyphen/>
      </w:r>
      <w:r w:rsidRPr="0026684F">
        <w:rPr>
          <w:rFonts w:eastAsiaTheme="minorEastAsia" w:hint="cs"/>
          <w:i/>
          <w:sz w:val="23"/>
          <w:szCs w:val="23"/>
          <w:rtl/>
        </w:rPr>
        <w:t>اند. لاگرانژین مسئله</w:t>
      </w:r>
      <w:r w:rsidRPr="0026684F">
        <w:rPr>
          <w:rFonts w:eastAsiaTheme="minorEastAsia"/>
          <w:i/>
          <w:sz w:val="23"/>
          <w:szCs w:val="23"/>
          <w:rtl/>
        </w:rPr>
        <w:softHyphen/>
      </w:r>
      <w:r w:rsidRPr="0026684F">
        <w:rPr>
          <w:rFonts w:eastAsiaTheme="minorEastAsia" w:hint="cs"/>
          <w:i/>
          <w:sz w:val="23"/>
          <w:szCs w:val="23"/>
          <w:rtl/>
        </w:rPr>
        <w:t>ی فوق عبارت است از:</w:t>
      </w:r>
    </w:p>
    <w:p w14:paraId="7F26202E"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8"/>
        </w:rPr>
        <w:object w:dxaOrig="6100" w:dyaOrig="660" w14:anchorId="14A6E417">
          <v:shape id="_x0000_i2930" type="#_x0000_t75" style="width:304.95pt;height:32.65pt" o:ole="">
            <v:imagedata r:id="rId3846" o:title=""/>
          </v:shape>
          <o:OLEObject Type="Embed" ProgID="Equation.DSMT4" ShapeID="_x0000_i2930" DrawAspect="Content" ObjectID="_1791376874" r:id="rId3847"/>
        </w:object>
      </w:r>
    </w:p>
    <w:p w14:paraId="74AD8C1A" w14:textId="77777777" w:rsidR="00411620" w:rsidRPr="0026684F" w:rsidRDefault="00411620" w:rsidP="00411620">
      <w:pPr>
        <w:pStyle w:val="MTDisplayEquation"/>
        <w:bidi/>
        <w:spacing w:line="216" w:lineRule="auto"/>
        <w:rPr>
          <w:rFonts w:ascii="Times New Roman" w:eastAsiaTheme="minorEastAsia" w:hAnsi="Times New Roman" w:cs="B Nazanin"/>
          <w:i/>
          <w:sz w:val="23"/>
          <w:szCs w:val="23"/>
          <w:lang w:val="en-GB"/>
        </w:rPr>
      </w:pPr>
      <w:r w:rsidRPr="0026684F">
        <w:rPr>
          <w:rFonts w:ascii="Times New Roman" w:eastAsiaTheme="minorEastAsia" w:hAnsi="Times New Roman" w:cs="B Nazanin" w:hint="cs"/>
          <w:i/>
          <w:sz w:val="23"/>
          <w:szCs w:val="23"/>
          <w:rtl/>
          <w:lang w:val="en-GB"/>
        </w:rPr>
        <w:t>و شرایط مرتبه</w:t>
      </w:r>
      <w:r w:rsidRPr="0026684F">
        <w:rPr>
          <w:rFonts w:ascii="Times New Roman" w:eastAsiaTheme="minorEastAsia" w:hAnsi="Times New Roman" w:cs="B Nazanin"/>
          <w:i/>
          <w:sz w:val="23"/>
          <w:szCs w:val="23"/>
          <w:rtl/>
          <w:lang w:val="en-GB"/>
        </w:rPr>
        <w:softHyphen/>
      </w:r>
      <w:r w:rsidRPr="0026684F">
        <w:rPr>
          <w:rFonts w:ascii="Times New Roman" w:eastAsiaTheme="minorEastAsia" w:hAnsi="Times New Roman" w:cs="B Nazanin" w:hint="cs"/>
          <w:i/>
          <w:sz w:val="23"/>
          <w:szCs w:val="23"/>
          <w:rtl/>
          <w:lang w:val="en-GB"/>
        </w:rPr>
        <w:t>ی اول برابر است با</w:t>
      </w:r>
    </w:p>
    <w:p w14:paraId="40E4CA57"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8"/>
        </w:rPr>
        <w:object w:dxaOrig="3840" w:dyaOrig="620" w14:anchorId="61890E96">
          <v:shape id="_x0000_i2931" type="#_x0000_t75" style="width:191.8pt;height:31.45pt" o:ole="">
            <v:imagedata r:id="rId3848" o:title=""/>
          </v:shape>
          <o:OLEObject Type="Embed" ProgID="Equation.DSMT4" ShapeID="_x0000_i2931" DrawAspect="Content" ObjectID="_1791376875" r:id="rId3849"/>
        </w:object>
      </w:r>
    </w:p>
    <w:p w14:paraId="2433400D"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8"/>
        </w:rPr>
        <w:object w:dxaOrig="3680" w:dyaOrig="620" w14:anchorId="62016E3A">
          <v:shape id="_x0000_i2932" type="#_x0000_t75" style="width:183.95pt;height:31.45pt" o:ole="">
            <v:imagedata r:id="rId3850" o:title=""/>
          </v:shape>
          <o:OLEObject Type="Embed" ProgID="Equation.DSMT4" ShapeID="_x0000_i2932" DrawAspect="Content" ObjectID="_1791376876" r:id="rId3851"/>
        </w:object>
      </w:r>
    </w:p>
    <w:p w14:paraId="5D2D0165"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 xml:space="preserve">برای </w:t>
      </w:r>
      <w:r w:rsidRPr="00703635">
        <w:rPr>
          <w:position w:val="-8"/>
        </w:rPr>
        <w:object w:dxaOrig="680" w:dyaOrig="279" w14:anchorId="6BEE89D3">
          <v:shape id="_x0000_i2933" type="#_x0000_t75" style="width:33.9pt;height:13.9pt" o:ole="">
            <v:imagedata r:id="rId3852" o:title=""/>
          </v:shape>
          <o:OLEObject Type="Embed" ProgID="Equation.DSMT4" ShapeID="_x0000_i2933" DrawAspect="Content" ObjectID="_1791376877" r:id="rId3853"/>
        </w:object>
      </w:r>
      <w:r w:rsidRPr="0026684F">
        <w:rPr>
          <w:rFonts w:eastAsiaTheme="minorEastAsia" w:hint="cs"/>
          <w:i/>
          <w:sz w:val="23"/>
          <w:szCs w:val="23"/>
          <w:rtl/>
        </w:rPr>
        <w:t xml:space="preserve"> از دو رابطه</w:t>
      </w:r>
      <w:r w:rsidRPr="0026684F">
        <w:rPr>
          <w:rFonts w:eastAsiaTheme="minorEastAsia"/>
          <w:i/>
          <w:sz w:val="23"/>
          <w:szCs w:val="23"/>
          <w:rtl/>
        </w:rPr>
        <w:softHyphen/>
      </w:r>
      <w:r w:rsidRPr="0026684F">
        <w:rPr>
          <w:rFonts w:eastAsiaTheme="minorEastAsia" w:hint="cs"/>
          <w:i/>
          <w:sz w:val="23"/>
          <w:szCs w:val="23"/>
          <w:rtl/>
        </w:rPr>
        <w:t>ی فوق داریم</w:t>
      </w:r>
    </w:p>
    <w:p w14:paraId="229B7542"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34"/>
        </w:rPr>
        <w:object w:dxaOrig="3580" w:dyaOrig="820" w14:anchorId="392A4CED">
          <v:shape id="_x0000_i2934" type="#_x0000_t75" style="width:178.5pt;height:40.55pt" o:ole="">
            <v:imagedata r:id="rId3854" o:title=""/>
          </v:shape>
          <o:OLEObject Type="Embed" ProgID="Equation.DSMT4" ShapeID="_x0000_i2934" DrawAspect="Content" ObjectID="_1791376878" r:id="rId3855"/>
        </w:object>
      </w:r>
    </w:p>
    <w:p w14:paraId="40EE183A"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اگر فرض کنیم نرخ تنزیل هزینه</w:t>
      </w:r>
      <w:r w:rsidRPr="0026684F">
        <w:rPr>
          <w:rFonts w:eastAsiaTheme="minorEastAsia"/>
          <w:i/>
          <w:sz w:val="23"/>
          <w:szCs w:val="23"/>
          <w:rtl/>
        </w:rPr>
        <w:softHyphen/>
      </w:r>
      <w:r w:rsidRPr="0026684F">
        <w:rPr>
          <w:rFonts w:eastAsiaTheme="minorEastAsia" w:hint="cs"/>
          <w:i/>
          <w:sz w:val="23"/>
          <w:szCs w:val="23"/>
          <w:rtl/>
        </w:rPr>
        <w:t>های اجرایی تغییر در مالیات</w:t>
      </w:r>
      <w:r w:rsidRPr="0026684F">
        <w:rPr>
          <w:rFonts w:eastAsiaTheme="minorEastAsia"/>
          <w:i/>
          <w:sz w:val="23"/>
          <w:szCs w:val="23"/>
          <w:rtl/>
        </w:rPr>
        <w:softHyphen/>
      </w:r>
      <w:r w:rsidRPr="0026684F">
        <w:rPr>
          <w:rFonts w:eastAsiaTheme="minorEastAsia" w:hint="cs"/>
          <w:i/>
          <w:sz w:val="23"/>
          <w:szCs w:val="23"/>
          <w:rtl/>
        </w:rPr>
        <w:t xml:space="preserve">های دولت یعنی </w:t>
      </w:r>
      <w:r w:rsidRPr="00703635">
        <w:rPr>
          <w:position w:val="-10"/>
        </w:rPr>
        <w:object w:dxaOrig="220" w:dyaOrig="300" w14:anchorId="26D601E2">
          <v:shape id="_x0000_i2935" type="#_x0000_t75" style="width:10.9pt;height:14.5pt" o:ole="">
            <v:imagedata r:id="rId3856" o:title=""/>
          </v:shape>
          <o:OLEObject Type="Embed" ProgID="Equation.DSMT4" ShapeID="_x0000_i2935" DrawAspect="Content" ObjectID="_1791376879" r:id="rId3857"/>
        </w:object>
      </w:r>
      <w:r w:rsidRPr="0026684F">
        <w:rPr>
          <w:rFonts w:eastAsiaTheme="minorEastAsia" w:hint="cs"/>
          <w:i/>
          <w:sz w:val="23"/>
          <w:szCs w:val="23"/>
          <w:rtl/>
        </w:rPr>
        <w:t xml:space="preserve"> برابر با نرخ ترجیحات زمانی خانوار </w:t>
      </w:r>
      <w:r w:rsidRPr="00703635">
        <w:rPr>
          <w:position w:val="-22"/>
        </w:rPr>
        <w:object w:dxaOrig="560" w:dyaOrig="560" w14:anchorId="7B12F026">
          <v:shape id="_x0000_i2936" type="#_x0000_t75" style="width:27.85pt;height:27.85pt" o:ole="">
            <v:imagedata r:id="rId3858" o:title=""/>
          </v:shape>
          <o:OLEObject Type="Embed" ProgID="Equation.DSMT4" ShapeID="_x0000_i2936" DrawAspect="Content" ObjectID="_1791376880" r:id="rId3859"/>
        </w:object>
      </w:r>
      <w:r w:rsidRPr="0026684F">
        <w:rPr>
          <w:rFonts w:eastAsiaTheme="minorEastAsia" w:hint="cs"/>
          <w:i/>
          <w:sz w:val="23"/>
          <w:szCs w:val="23"/>
          <w:rtl/>
        </w:rPr>
        <w:t xml:space="preserve"> و همچنین </w:t>
      </w:r>
      <w:r w:rsidRPr="00703635">
        <w:rPr>
          <w:position w:val="-10"/>
        </w:rPr>
        <w:object w:dxaOrig="600" w:dyaOrig="340" w14:anchorId="2093D2B9">
          <v:shape id="_x0000_i2937" type="#_x0000_t75" style="width:29.65pt;height:16.95pt" o:ole="">
            <v:imagedata r:id="rId3860" o:title=""/>
          </v:shape>
          <o:OLEObject Type="Embed" ProgID="Equation.DSMT4" ShapeID="_x0000_i2937" DrawAspect="Content" ObjectID="_1791376881" r:id="rId3861"/>
        </w:object>
      </w:r>
      <w:r w:rsidRPr="0026684F">
        <w:rPr>
          <w:rFonts w:eastAsiaTheme="minorEastAsia" w:hint="cs"/>
          <w:i/>
          <w:sz w:val="23"/>
          <w:szCs w:val="23"/>
          <w:rtl/>
        </w:rPr>
        <w:t xml:space="preserve"> باشد، آنگاه خواهیم داشت:</w:t>
      </w:r>
    </w:p>
    <w:p w14:paraId="09244C34"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16"/>
        </w:rPr>
        <w:object w:dxaOrig="1200" w:dyaOrig="420" w14:anchorId="6207D2DB">
          <v:shape id="_x0000_i2938" type="#_x0000_t75" style="width:59.9pt;height:21.2pt" o:ole="">
            <v:imagedata r:id="rId3862" o:title=""/>
          </v:shape>
          <o:OLEObject Type="Embed" ProgID="Equation.DSMT4" ShapeID="_x0000_i2938" DrawAspect="Content" ObjectID="_1791376882" r:id="rId3863"/>
        </w:object>
      </w:r>
    </w:p>
    <w:p w14:paraId="508C2647"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 xml:space="preserve">و لذا </w:t>
      </w:r>
    </w:p>
    <w:p w14:paraId="2BA56542"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Pr>
      </w:pPr>
      <w:r w:rsidRPr="00703635">
        <w:rPr>
          <w:position w:val="-10"/>
        </w:rPr>
        <w:object w:dxaOrig="2580" w:dyaOrig="320" w14:anchorId="6130F89E">
          <v:shape id="_x0000_i2939" type="#_x0000_t75" style="width:129.5pt;height:15.75pt" o:ole="">
            <v:imagedata r:id="rId3864" o:title=""/>
          </v:shape>
          <o:OLEObject Type="Embed" ProgID="Equation.DSMT4" ShapeID="_x0000_i2939" DrawAspect="Content" ObjectID="_1791376883" r:id="rId3865"/>
        </w:object>
      </w:r>
    </w:p>
    <w:p w14:paraId="032A6B4C"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لذا در یک مدل معین و غیرتصادفی، هزینه</w:t>
      </w:r>
      <w:r w:rsidRPr="0026684F">
        <w:rPr>
          <w:rFonts w:eastAsiaTheme="minorEastAsia"/>
          <w:i/>
          <w:sz w:val="23"/>
          <w:szCs w:val="23"/>
          <w:rtl/>
        </w:rPr>
        <w:softHyphen/>
      </w:r>
      <w:r w:rsidRPr="0026684F">
        <w:rPr>
          <w:rFonts w:eastAsiaTheme="minorEastAsia" w:hint="cs"/>
          <w:i/>
          <w:sz w:val="23"/>
          <w:szCs w:val="23"/>
          <w:rtl/>
        </w:rPr>
        <w:t>های اجرایی تغییر در مالیات</w:t>
      </w:r>
      <w:r w:rsidRPr="0026684F">
        <w:rPr>
          <w:rFonts w:eastAsiaTheme="minorEastAsia"/>
          <w:i/>
          <w:sz w:val="23"/>
          <w:szCs w:val="23"/>
          <w:rtl/>
        </w:rPr>
        <w:softHyphen/>
      </w:r>
      <w:r w:rsidRPr="0026684F">
        <w:rPr>
          <w:rFonts w:eastAsiaTheme="minorEastAsia" w:hint="cs"/>
          <w:i/>
          <w:sz w:val="23"/>
          <w:szCs w:val="23"/>
          <w:rtl/>
        </w:rPr>
        <w:t>ها زمانی حداقل است که مالیات</w:t>
      </w:r>
      <w:r w:rsidRPr="0026684F">
        <w:rPr>
          <w:rFonts w:eastAsiaTheme="minorEastAsia"/>
          <w:i/>
          <w:sz w:val="23"/>
          <w:szCs w:val="23"/>
          <w:rtl/>
        </w:rPr>
        <w:softHyphen/>
      </w:r>
      <w:r w:rsidRPr="0026684F">
        <w:rPr>
          <w:rFonts w:eastAsiaTheme="minorEastAsia" w:hint="cs"/>
          <w:i/>
          <w:sz w:val="23"/>
          <w:szCs w:val="23"/>
          <w:rtl/>
        </w:rPr>
        <w:t xml:space="preserve"> کل ثابت باشد و هرگونه تغییر در بودجه</w:t>
      </w:r>
      <w:r w:rsidRPr="0026684F">
        <w:rPr>
          <w:rFonts w:eastAsiaTheme="minorEastAsia"/>
          <w:i/>
          <w:sz w:val="23"/>
          <w:szCs w:val="23"/>
          <w:rtl/>
        </w:rPr>
        <w:softHyphen/>
      </w:r>
      <w:r w:rsidRPr="0026684F">
        <w:rPr>
          <w:rFonts w:eastAsiaTheme="minorEastAsia" w:hint="cs"/>
          <w:i/>
          <w:sz w:val="23"/>
          <w:szCs w:val="23"/>
          <w:rtl/>
        </w:rPr>
        <w:t>ی دولت ( کسری یا مازاد ) از طریق اوراق قرضه</w:t>
      </w:r>
      <w:r w:rsidRPr="0026684F">
        <w:rPr>
          <w:rFonts w:eastAsiaTheme="minorEastAsia"/>
          <w:i/>
          <w:sz w:val="23"/>
          <w:szCs w:val="23"/>
          <w:rtl/>
        </w:rPr>
        <w:softHyphen/>
      </w:r>
      <w:r w:rsidRPr="0026684F">
        <w:rPr>
          <w:rFonts w:eastAsiaTheme="minorEastAsia" w:hint="cs"/>
          <w:i/>
          <w:sz w:val="23"/>
          <w:szCs w:val="23"/>
          <w:rtl/>
        </w:rPr>
        <w:t>ی دولتی تأمین شود.</w:t>
      </w:r>
    </w:p>
    <w:p w14:paraId="0D62FFAE" w14:textId="77777777" w:rsidR="00411620" w:rsidRPr="0026684F" w:rsidRDefault="00411620" w:rsidP="00411620">
      <w:pPr>
        <w:tabs>
          <w:tab w:val="left" w:pos="1215"/>
        </w:tabs>
        <w:spacing w:line="216" w:lineRule="auto"/>
        <w:rPr>
          <w:rFonts w:eastAsiaTheme="minorEastAsia"/>
          <w:i/>
          <w:sz w:val="23"/>
          <w:szCs w:val="23"/>
          <w:lang w:val="en-GB"/>
        </w:rPr>
      </w:pPr>
      <w:r w:rsidRPr="0026684F">
        <w:rPr>
          <w:rFonts w:eastAsiaTheme="minorEastAsia" w:hint="cs"/>
          <w:i/>
          <w:sz w:val="23"/>
          <w:szCs w:val="23"/>
          <w:rtl/>
        </w:rPr>
        <w:t xml:space="preserve"> اگر مخارج دولت متغیر تصادفی باشد و دولت به دنبال حداقل کردن تابع هزینه</w:t>
      </w:r>
      <w:r w:rsidRPr="0026684F">
        <w:rPr>
          <w:rFonts w:eastAsiaTheme="minorEastAsia"/>
          <w:i/>
          <w:sz w:val="23"/>
          <w:szCs w:val="23"/>
          <w:rtl/>
        </w:rPr>
        <w:softHyphen/>
      </w:r>
      <w:r w:rsidRPr="0026684F">
        <w:rPr>
          <w:rFonts w:eastAsiaTheme="minorEastAsia" w:hint="cs"/>
          <w:i/>
          <w:sz w:val="23"/>
          <w:szCs w:val="23"/>
          <w:rtl/>
        </w:rPr>
        <w:t>های اجرایی زیر باشد</w:t>
      </w:r>
    </w:p>
    <w:p w14:paraId="29F76B1D"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8"/>
        </w:rPr>
        <w:object w:dxaOrig="2040" w:dyaOrig="660" w14:anchorId="2EBEB62B">
          <v:shape id="_x0000_i2940" type="#_x0000_t75" style="width:102.25pt;height:32.65pt" o:ole="">
            <v:imagedata r:id="rId3866" o:title=""/>
          </v:shape>
          <o:OLEObject Type="Embed" ProgID="Equation.DSMT4" ShapeID="_x0000_i2940" DrawAspect="Content" ObjectID="_1791376884" r:id="rId3867"/>
        </w:object>
      </w:r>
    </w:p>
    <w:p w14:paraId="13D50B28"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می</w:t>
      </w:r>
      <w:r w:rsidRPr="0026684F">
        <w:rPr>
          <w:rFonts w:eastAsiaTheme="minorEastAsia"/>
          <w:i/>
          <w:sz w:val="23"/>
          <w:szCs w:val="23"/>
          <w:rtl/>
        </w:rPr>
        <w:softHyphen/>
      </w:r>
      <w:r w:rsidRPr="0026684F">
        <w:rPr>
          <w:rFonts w:eastAsiaTheme="minorEastAsia" w:hint="cs"/>
          <w:i/>
          <w:sz w:val="23"/>
          <w:szCs w:val="23"/>
          <w:rtl/>
        </w:rPr>
        <w:t>توان براحتی نشان داد که هزینه</w:t>
      </w:r>
      <w:r w:rsidRPr="0026684F">
        <w:rPr>
          <w:rFonts w:eastAsiaTheme="minorEastAsia"/>
          <w:i/>
          <w:sz w:val="23"/>
          <w:szCs w:val="23"/>
          <w:rtl/>
        </w:rPr>
        <w:softHyphen/>
      </w:r>
      <w:r w:rsidRPr="0026684F">
        <w:rPr>
          <w:rFonts w:eastAsiaTheme="minorEastAsia" w:hint="cs"/>
          <w:i/>
          <w:sz w:val="23"/>
          <w:szCs w:val="23"/>
          <w:rtl/>
        </w:rPr>
        <w:t>های اجرایی تغییر در مالیات</w:t>
      </w:r>
      <w:r w:rsidRPr="0026684F">
        <w:rPr>
          <w:rFonts w:eastAsiaTheme="minorEastAsia"/>
          <w:i/>
          <w:sz w:val="23"/>
          <w:szCs w:val="23"/>
          <w:rtl/>
        </w:rPr>
        <w:softHyphen/>
      </w:r>
      <w:r w:rsidRPr="0026684F">
        <w:rPr>
          <w:rFonts w:eastAsiaTheme="minorEastAsia" w:hint="cs"/>
          <w:i/>
          <w:sz w:val="23"/>
          <w:szCs w:val="23"/>
          <w:rtl/>
        </w:rPr>
        <w:t>ها زمانی حداقل است که</w:t>
      </w:r>
    </w:p>
    <w:p w14:paraId="6F19CC47"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10"/>
        </w:rPr>
        <w:object w:dxaOrig="1020" w:dyaOrig="320" w14:anchorId="655F5142">
          <v:shape id="_x0000_i2941" type="#_x0000_t75" style="width:50.8pt;height:15.75pt" o:ole="">
            <v:imagedata r:id="rId3868" o:title=""/>
          </v:shape>
          <o:OLEObject Type="Embed" ProgID="Equation.DSMT4" ShapeID="_x0000_i2941" DrawAspect="Content" ObjectID="_1791376885" r:id="rId3869"/>
        </w:object>
      </w:r>
    </w:p>
    <w:p w14:paraId="4BBEBC53"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یعنی مالیات کل در زمان</w:t>
      </w:r>
      <w:r w:rsidRPr="00703635">
        <w:rPr>
          <w:position w:val="-6"/>
        </w:rPr>
        <w:object w:dxaOrig="440" w:dyaOrig="260" w14:anchorId="14BD2F50">
          <v:shape id="_x0000_i2942" type="#_x0000_t75" style="width:21.8pt;height:13.3pt" o:ole="">
            <v:imagedata r:id="rId3870" o:title=""/>
          </v:shape>
          <o:OLEObject Type="Embed" ProgID="Equation.DSMT4" ShapeID="_x0000_i2942" DrawAspect="Content" ObjectID="_1791376886" r:id="rId3871"/>
        </w:object>
      </w:r>
      <w:r w:rsidRPr="0026684F">
        <w:rPr>
          <w:rFonts w:eastAsiaTheme="minorEastAsia" w:hint="cs"/>
          <w:i/>
          <w:sz w:val="23"/>
          <w:szCs w:val="23"/>
          <w:rtl/>
        </w:rPr>
        <w:t xml:space="preserve"> با توجه به انتظارات در زمان</w:t>
      </w:r>
      <w:r w:rsidRPr="00703635">
        <w:rPr>
          <w:position w:val="-6"/>
        </w:rPr>
        <w:object w:dxaOrig="139" w:dyaOrig="240" w14:anchorId="38CCDDD7">
          <v:shape id="_x0000_i2943" type="#_x0000_t75" style="width:7.25pt;height:11.5pt" o:ole="">
            <v:imagedata r:id="rId3872" o:title=""/>
          </v:shape>
          <o:OLEObject Type="Embed" ProgID="Equation.DSMT4" ShapeID="_x0000_i2943" DrawAspect="Content" ObjectID="_1791376887" r:id="rId3873"/>
        </w:object>
      </w:r>
      <w:r w:rsidRPr="0026684F">
        <w:rPr>
          <w:rFonts w:eastAsiaTheme="minorEastAsia" w:hint="cs"/>
          <w:i/>
          <w:sz w:val="23"/>
          <w:szCs w:val="23"/>
          <w:rtl/>
        </w:rPr>
        <w:t>، برابر با مالیات کل در زمان</w:t>
      </w:r>
      <w:r w:rsidRPr="00703635">
        <w:rPr>
          <w:position w:val="-6"/>
        </w:rPr>
        <w:object w:dxaOrig="139" w:dyaOrig="240" w14:anchorId="2667496A">
          <v:shape id="_x0000_i2944" type="#_x0000_t75" style="width:7.25pt;height:11.5pt" o:ole="">
            <v:imagedata r:id="rId3874" o:title=""/>
          </v:shape>
          <o:OLEObject Type="Embed" ProgID="Equation.DSMT4" ShapeID="_x0000_i2944" DrawAspect="Content" ObjectID="_1791376888" r:id="rId3875"/>
        </w:object>
      </w:r>
      <w:r w:rsidRPr="0026684F">
        <w:rPr>
          <w:rFonts w:eastAsiaTheme="minorEastAsia" w:hint="cs"/>
          <w:i/>
          <w:sz w:val="23"/>
          <w:szCs w:val="23"/>
          <w:rtl/>
        </w:rPr>
        <w:t xml:space="preserve"> باشد. اگر فرض کنیم که انتظارات عقلایی است، آنگاه</w:t>
      </w:r>
    </w:p>
    <w:p w14:paraId="6F4B91CB" w14:textId="77777777" w:rsidR="00411620" w:rsidRPr="0026684F" w:rsidRDefault="00411620" w:rsidP="00411620">
      <w:pPr>
        <w:tabs>
          <w:tab w:val="left" w:pos="1215"/>
        </w:tabs>
        <w:bidi w:val="0"/>
        <w:spacing w:line="216" w:lineRule="auto"/>
        <w:rPr>
          <w:rFonts w:eastAsiaTheme="minorEastAsia"/>
          <w:i/>
          <w:sz w:val="23"/>
          <w:szCs w:val="23"/>
        </w:rPr>
      </w:pPr>
      <w:r w:rsidRPr="00703635">
        <w:rPr>
          <w:position w:val="-10"/>
        </w:rPr>
        <w:object w:dxaOrig="2940" w:dyaOrig="320" w14:anchorId="637825D9">
          <v:shape id="_x0000_i2945" type="#_x0000_t75" style="width:147.05pt;height:15.75pt" o:ole="">
            <v:imagedata r:id="rId3876" o:title=""/>
          </v:shape>
          <o:OLEObject Type="Embed" ProgID="Equation.DSMT4" ShapeID="_x0000_i2945" DrawAspect="Content" ObjectID="_1791376889" r:id="rId3877"/>
        </w:object>
      </w:r>
      <w:r w:rsidRPr="0026684F">
        <w:rPr>
          <w:rFonts w:eastAsiaTheme="minorEastAsia"/>
          <w:i/>
          <w:sz w:val="23"/>
          <w:szCs w:val="23"/>
        </w:rPr>
        <w:t xml:space="preserve"> </w:t>
      </w:r>
    </w:p>
    <w:p w14:paraId="41250A30"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 xml:space="preserve">و چون داشتیم </w:t>
      </w:r>
      <w:r w:rsidRPr="00703635">
        <w:rPr>
          <w:position w:val="-10"/>
        </w:rPr>
        <w:object w:dxaOrig="1020" w:dyaOrig="320" w14:anchorId="1350D478">
          <v:shape id="_x0000_i2946" type="#_x0000_t75" style="width:50.8pt;height:15.75pt" o:ole="">
            <v:imagedata r:id="rId3878" o:title=""/>
          </v:shape>
          <o:OLEObject Type="Embed" ProgID="Equation.DSMT4" ShapeID="_x0000_i2946" DrawAspect="Content" ObjectID="_1791376890" r:id="rId3879"/>
        </w:object>
      </w:r>
      <w:r w:rsidRPr="0026684F">
        <w:rPr>
          <w:rFonts w:eastAsiaTheme="minorEastAsia" w:hint="cs"/>
          <w:i/>
          <w:sz w:val="23"/>
          <w:szCs w:val="23"/>
          <w:rtl/>
        </w:rPr>
        <w:t>، بنابراین</w:t>
      </w:r>
      <w:r w:rsidRPr="00703635">
        <w:rPr>
          <w:position w:val="-10"/>
        </w:rPr>
        <w:object w:dxaOrig="1300" w:dyaOrig="320" w14:anchorId="1EF3C2E2">
          <v:shape id="_x0000_i2947" type="#_x0000_t75" style="width:64.75pt;height:15.75pt" o:ole="">
            <v:imagedata r:id="rId3880" o:title=""/>
          </v:shape>
          <o:OLEObject Type="Embed" ProgID="Equation.DSMT4" ShapeID="_x0000_i2947" DrawAspect="Content" ObjectID="_1791376891" r:id="rId3881"/>
        </w:object>
      </w:r>
      <w:r w:rsidRPr="0026684F">
        <w:rPr>
          <w:rFonts w:eastAsiaTheme="minorEastAsia" w:hint="cs"/>
          <w:i/>
          <w:sz w:val="23"/>
          <w:szCs w:val="23"/>
          <w:rtl/>
        </w:rPr>
        <w:t xml:space="preserve"> است. لذا مالیات کل بهینه بر مبنای گام</w:t>
      </w:r>
      <w:r w:rsidRPr="0026684F">
        <w:rPr>
          <w:rFonts w:eastAsiaTheme="minorEastAsia"/>
          <w:i/>
          <w:sz w:val="23"/>
          <w:szCs w:val="23"/>
          <w:rtl/>
        </w:rPr>
        <w:softHyphen/>
      </w:r>
      <w:r w:rsidRPr="0026684F">
        <w:rPr>
          <w:rFonts w:eastAsiaTheme="minorEastAsia"/>
          <w:i/>
          <w:sz w:val="23"/>
          <w:szCs w:val="23"/>
          <w:rtl/>
        </w:rPr>
        <w:softHyphen/>
      </w:r>
      <w:r w:rsidRPr="0026684F">
        <w:rPr>
          <w:rFonts w:eastAsiaTheme="minorEastAsia" w:hint="cs"/>
          <w:i/>
          <w:sz w:val="23"/>
          <w:szCs w:val="23"/>
          <w:rtl/>
        </w:rPr>
        <w:t>های تصادفی</w:t>
      </w:r>
      <w:r w:rsidRPr="0026684F">
        <w:rPr>
          <w:rStyle w:val="FootnoteReference"/>
          <w:rFonts w:eastAsiaTheme="minorEastAsia"/>
          <w:i/>
          <w:sz w:val="23"/>
          <w:szCs w:val="23"/>
          <w:rtl/>
        </w:rPr>
        <w:footnoteReference w:id="153"/>
      </w:r>
      <w:r w:rsidRPr="0026684F">
        <w:rPr>
          <w:rFonts w:eastAsiaTheme="minorEastAsia" w:hint="cs"/>
          <w:i/>
          <w:sz w:val="23"/>
          <w:szCs w:val="23"/>
          <w:rtl/>
        </w:rPr>
        <w:t xml:space="preserve"> تغییر می</w:t>
      </w:r>
      <w:r w:rsidRPr="0026684F">
        <w:rPr>
          <w:rFonts w:eastAsiaTheme="minorEastAsia"/>
          <w:i/>
          <w:sz w:val="23"/>
          <w:szCs w:val="23"/>
          <w:rtl/>
        </w:rPr>
        <w:softHyphen/>
      </w:r>
      <w:r w:rsidRPr="0026684F">
        <w:rPr>
          <w:rFonts w:eastAsiaTheme="minorEastAsia" w:hint="cs"/>
          <w:i/>
          <w:sz w:val="23"/>
          <w:szCs w:val="23"/>
          <w:rtl/>
        </w:rPr>
        <w:t xml:space="preserve">کند. </w:t>
      </w:r>
    </w:p>
    <w:p w14:paraId="4504AD94" w14:textId="77777777" w:rsidR="00411620" w:rsidRPr="0026684F" w:rsidRDefault="00411620" w:rsidP="00411620">
      <w:pPr>
        <w:tabs>
          <w:tab w:val="left" w:pos="1215"/>
        </w:tabs>
        <w:spacing w:line="216" w:lineRule="auto"/>
        <w:rPr>
          <w:rFonts w:eastAsiaTheme="minorEastAsia"/>
          <w:i/>
          <w:sz w:val="23"/>
          <w:szCs w:val="23"/>
        </w:rPr>
      </w:pPr>
      <w:r w:rsidRPr="0026684F">
        <w:rPr>
          <w:rFonts w:eastAsiaTheme="minorEastAsia" w:hint="cs"/>
          <w:i/>
          <w:sz w:val="23"/>
          <w:szCs w:val="23"/>
          <w:rtl/>
        </w:rPr>
        <w:t>جهت بدست آوردن مقادیر بهینه</w:t>
      </w:r>
      <w:r w:rsidRPr="0026684F">
        <w:rPr>
          <w:rFonts w:eastAsiaTheme="minorEastAsia"/>
          <w:i/>
          <w:sz w:val="23"/>
          <w:szCs w:val="23"/>
          <w:rtl/>
        </w:rPr>
        <w:softHyphen/>
      </w:r>
      <w:r w:rsidRPr="0026684F">
        <w:rPr>
          <w:rFonts w:eastAsiaTheme="minorEastAsia" w:hint="cs"/>
          <w:i/>
          <w:sz w:val="23"/>
          <w:szCs w:val="23"/>
          <w:rtl/>
        </w:rPr>
        <w:t>ی بدهی دولت از قید بودجه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hint="cs"/>
          <w:i/>
          <w:sz w:val="23"/>
          <w:szCs w:val="23"/>
          <w:rtl/>
        </w:rPr>
        <w:t>(۵. ۳۸)</w:t>
      </w:r>
      <w:r w:rsidRPr="0026684F">
        <w:rPr>
          <w:rFonts w:eastAsiaTheme="minorEastAsia" w:hint="cs"/>
          <w:i/>
          <w:sz w:val="23"/>
          <w:szCs w:val="23"/>
          <w:rtl/>
        </w:rPr>
        <w:t xml:space="preserve"> داشتیم؛</w:t>
      </w:r>
    </w:p>
    <w:p w14:paraId="5F83CDF2"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8"/>
        </w:rPr>
        <w:object w:dxaOrig="4620" w:dyaOrig="639" w14:anchorId="08880FED">
          <v:shape id="_x0000_i2948" type="#_x0000_t75" style="width:231.15pt;height:32.05pt" o:ole="">
            <v:imagedata r:id="rId3882" o:title=""/>
          </v:shape>
          <o:OLEObject Type="Embed" ProgID="Equation.DSMT4" ShapeID="_x0000_i2948" DrawAspect="Content" ObjectID="_1791376892" r:id="rId3883"/>
        </w:object>
      </w:r>
    </w:p>
    <w:p w14:paraId="5E80AC2E" w14:textId="77777777" w:rsidR="00411620" w:rsidRPr="0026684F" w:rsidRDefault="00411620" w:rsidP="00411620">
      <w:pPr>
        <w:tabs>
          <w:tab w:val="left" w:pos="1215"/>
        </w:tabs>
        <w:spacing w:line="216" w:lineRule="auto"/>
        <w:rPr>
          <w:rFonts w:eastAsiaTheme="minorEastAsia"/>
          <w:i/>
          <w:sz w:val="23"/>
          <w:szCs w:val="23"/>
          <w:lang w:val="en-GB"/>
        </w:rPr>
      </w:pPr>
      <w:r w:rsidRPr="0026684F">
        <w:rPr>
          <w:rFonts w:eastAsiaTheme="minorEastAsia" w:hint="cs"/>
          <w:i/>
          <w:sz w:val="23"/>
          <w:szCs w:val="23"/>
          <w:rtl/>
        </w:rPr>
        <w:t xml:space="preserve">اگر فرض کنیم </w:t>
      </w:r>
      <w:r w:rsidRPr="00703635">
        <w:rPr>
          <w:position w:val="-10"/>
        </w:rPr>
        <w:object w:dxaOrig="600" w:dyaOrig="340" w14:anchorId="66D7B6EF">
          <v:shape id="_x0000_i2949" type="#_x0000_t75" style="width:29.65pt;height:16.95pt" o:ole="">
            <v:imagedata r:id="rId3884" o:title=""/>
          </v:shape>
          <o:OLEObject Type="Embed" ProgID="Equation.DSMT4" ShapeID="_x0000_i2949" DrawAspect="Content" ObjectID="_1791376893" r:id="rId3885"/>
        </w:object>
      </w:r>
      <w:r w:rsidRPr="0026684F">
        <w:rPr>
          <w:rFonts w:eastAsiaTheme="minorEastAsia" w:hint="cs"/>
          <w:i/>
          <w:sz w:val="23"/>
          <w:szCs w:val="23"/>
          <w:rtl/>
        </w:rPr>
        <w:t xml:space="preserve"> و </w:t>
      </w:r>
      <w:r w:rsidRPr="00703635">
        <w:rPr>
          <w:position w:val="-10"/>
        </w:rPr>
        <w:object w:dxaOrig="220" w:dyaOrig="320" w14:anchorId="7C91E5BB">
          <v:shape id="_x0000_i2950" type="#_x0000_t75" style="width:10.9pt;height:15.75pt" o:ole="">
            <v:imagedata r:id="rId3886" o:title=""/>
          </v:shape>
          <o:OLEObject Type="Embed" ProgID="Equation.DSMT4" ShapeID="_x0000_i2950" DrawAspect="Content" ObjectID="_1791376894" r:id="rId3887"/>
        </w:object>
      </w:r>
      <w:r w:rsidRPr="0026684F">
        <w:rPr>
          <w:rFonts w:eastAsiaTheme="minorEastAsia" w:hint="cs"/>
          <w:i/>
          <w:sz w:val="23"/>
          <w:szCs w:val="23"/>
          <w:rtl/>
        </w:rPr>
        <w:t xml:space="preserve"> متغیر تصادفی است، آنگاه</w:t>
      </w:r>
    </w:p>
    <w:p w14:paraId="095A56CD"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2"/>
        </w:rPr>
        <w:object w:dxaOrig="2220" w:dyaOrig="580" w14:anchorId="04274141">
          <v:shape id="_x0000_i2951" type="#_x0000_t75" style="width:110.7pt;height:29.05pt" o:ole="">
            <v:imagedata r:id="rId3888" o:title=""/>
          </v:shape>
          <o:OLEObject Type="Embed" ProgID="Equation.DSMT4" ShapeID="_x0000_i2951" DrawAspect="Content" ObjectID="_1791376895" r:id="rId3889"/>
        </w:object>
      </w:r>
    </w:p>
    <w:p w14:paraId="69C0B423"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با حل معادله</w:t>
      </w:r>
      <w:r w:rsidRPr="0026684F">
        <w:rPr>
          <w:rFonts w:eastAsiaTheme="minorEastAsia"/>
          <w:i/>
          <w:sz w:val="23"/>
          <w:szCs w:val="23"/>
          <w:rtl/>
        </w:rPr>
        <w:softHyphen/>
      </w:r>
      <w:r w:rsidRPr="0026684F">
        <w:rPr>
          <w:rFonts w:eastAsiaTheme="minorEastAsia" w:hint="cs"/>
          <w:i/>
          <w:sz w:val="23"/>
          <w:szCs w:val="23"/>
          <w:rtl/>
        </w:rPr>
        <w:t>ی تفاضلی مرتبه</w:t>
      </w:r>
      <w:r w:rsidRPr="0026684F">
        <w:rPr>
          <w:rFonts w:eastAsiaTheme="minorEastAsia"/>
          <w:i/>
          <w:sz w:val="23"/>
          <w:szCs w:val="23"/>
          <w:rtl/>
        </w:rPr>
        <w:softHyphen/>
      </w:r>
      <w:r w:rsidRPr="0026684F">
        <w:rPr>
          <w:rFonts w:eastAsiaTheme="minorEastAsia" w:hint="cs"/>
          <w:i/>
          <w:sz w:val="23"/>
          <w:szCs w:val="23"/>
          <w:rtl/>
        </w:rPr>
        <w:t>ی اول خطی فوق به صورت پیش</w:t>
      </w:r>
      <w:r w:rsidRPr="0026684F">
        <w:rPr>
          <w:rFonts w:eastAsiaTheme="minorEastAsia"/>
          <w:i/>
          <w:sz w:val="23"/>
          <w:szCs w:val="23"/>
          <w:rtl/>
        </w:rPr>
        <w:softHyphen/>
      </w:r>
      <w:r w:rsidRPr="0026684F">
        <w:rPr>
          <w:rFonts w:eastAsiaTheme="minorEastAsia" w:hint="cs"/>
          <w:i/>
          <w:sz w:val="23"/>
          <w:szCs w:val="23"/>
          <w:rtl/>
        </w:rPr>
        <w:t xml:space="preserve">رو خواهیم داشت؛ </w:t>
      </w:r>
    </w:p>
    <w:p w14:paraId="20CB8F5D"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34"/>
        </w:rPr>
        <w:object w:dxaOrig="1960" w:dyaOrig="700" w14:anchorId="70FF1A13">
          <v:shape id="_x0000_i2952" type="#_x0000_t75" style="width:98pt;height:35.1pt" o:ole="">
            <v:imagedata r:id="rId3890" o:title=""/>
          </v:shape>
          <o:OLEObject Type="Embed" ProgID="Equation.DSMT4" ShapeID="_x0000_i2952" DrawAspect="Content" ObjectID="_1791376896" r:id="rId3891"/>
        </w:object>
      </w:r>
    </w:p>
    <w:p w14:paraId="3C47A4CC"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 xml:space="preserve">اگر </w:t>
      </w:r>
      <w:r w:rsidRPr="00703635">
        <w:rPr>
          <w:position w:val="-10"/>
        </w:rPr>
        <w:object w:dxaOrig="999" w:dyaOrig="320" w14:anchorId="05984557">
          <v:shape id="_x0000_i2953" type="#_x0000_t75" style="width:50.2pt;height:15.75pt" o:ole="">
            <v:imagedata r:id="rId3892" o:title=""/>
          </v:shape>
          <o:OLEObject Type="Embed" ProgID="Equation.DSMT4" ShapeID="_x0000_i2953" DrawAspect="Content" ObjectID="_1791376897" r:id="rId3893"/>
        </w:object>
      </w:r>
      <w:r w:rsidRPr="0026684F">
        <w:rPr>
          <w:rFonts w:eastAsiaTheme="minorEastAsia"/>
          <w:i/>
          <w:sz w:val="23"/>
          <w:szCs w:val="23"/>
        </w:rPr>
        <w:t xml:space="preserve"> </w:t>
      </w:r>
      <w:r w:rsidRPr="0026684F">
        <w:rPr>
          <w:rFonts w:eastAsiaTheme="minorEastAsia" w:hint="cs"/>
          <w:i/>
          <w:sz w:val="23"/>
          <w:szCs w:val="23"/>
          <w:rtl/>
        </w:rPr>
        <w:t>باشد، آنگاه</w:t>
      </w:r>
      <w:r w:rsidRPr="00703635">
        <w:rPr>
          <w:position w:val="-10"/>
        </w:rPr>
        <w:object w:dxaOrig="999" w:dyaOrig="320" w14:anchorId="3DA8C697">
          <v:shape id="_x0000_i2954" type="#_x0000_t75" style="width:50.2pt;height:15.75pt" o:ole="">
            <v:imagedata r:id="rId3894" o:title=""/>
          </v:shape>
          <o:OLEObject Type="Embed" ProgID="Equation.DSMT4" ShapeID="_x0000_i2954" DrawAspect="Content" ObjectID="_1791376898" r:id="rId3895"/>
        </w:object>
      </w:r>
      <w:r w:rsidRPr="0026684F">
        <w:rPr>
          <w:rFonts w:eastAsiaTheme="minorEastAsia"/>
          <w:i/>
          <w:sz w:val="23"/>
          <w:szCs w:val="23"/>
        </w:rPr>
        <w:t xml:space="preserve"> </w:t>
      </w:r>
      <w:r w:rsidRPr="0026684F">
        <w:rPr>
          <w:rFonts w:eastAsiaTheme="minorEastAsia" w:hint="cs"/>
          <w:i/>
          <w:sz w:val="23"/>
          <w:szCs w:val="23"/>
          <w:rtl/>
        </w:rPr>
        <w:t xml:space="preserve">خواهد بود. بنابراین </w:t>
      </w:r>
    </w:p>
    <w:p w14:paraId="238A00ED"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34"/>
        </w:rPr>
        <w:object w:dxaOrig="2280" w:dyaOrig="700" w14:anchorId="0ED75A3D">
          <v:shape id="_x0000_i2955" type="#_x0000_t75" style="width:113.75pt;height:35.1pt" o:ole="">
            <v:imagedata r:id="rId3896" o:title=""/>
          </v:shape>
          <o:OLEObject Type="Embed" ProgID="Equation.DSMT4" ShapeID="_x0000_i2955" DrawAspect="Content" ObjectID="_1791376899" r:id="rId3897"/>
        </w:object>
      </w:r>
    </w:p>
    <w:p w14:paraId="00523D46"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 xml:space="preserve">چنانچه مخارج دولت در زمان </w:t>
      </w:r>
      <w:r w:rsidRPr="0026684F">
        <w:rPr>
          <w:rFonts w:eastAsiaTheme="minorEastAsia"/>
          <w:i/>
          <w:sz w:val="23"/>
          <w:szCs w:val="23"/>
        </w:rPr>
        <w:t>t</w:t>
      </w:r>
      <w:r w:rsidRPr="0026684F">
        <w:rPr>
          <w:rFonts w:eastAsiaTheme="minorEastAsia" w:hint="cs"/>
          <w:i/>
          <w:sz w:val="23"/>
          <w:szCs w:val="23"/>
          <w:rtl/>
        </w:rPr>
        <w:t xml:space="preserve"> به طور موقتی و غیرقابل پیش</w:t>
      </w:r>
      <w:r w:rsidRPr="0026684F">
        <w:rPr>
          <w:rFonts w:eastAsiaTheme="minorEastAsia"/>
          <w:i/>
          <w:sz w:val="23"/>
          <w:szCs w:val="23"/>
          <w:rtl/>
        </w:rPr>
        <w:softHyphen/>
      </w:r>
      <w:r w:rsidRPr="0026684F">
        <w:rPr>
          <w:rFonts w:eastAsiaTheme="minorEastAsia" w:hint="cs"/>
          <w:i/>
          <w:sz w:val="23"/>
          <w:szCs w:val="23"/>
          <w:rtl/>
        </w:rPr>
        <w:t>بینی تغییر کند خواهیم داشت</w:t>
      </w:r>
    </w:p>
    <w:p w14:paraId="6E054A3E"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10"/>
        </w:rPr>
        <w:object w:dxaOrig="2240" w:dyaOrig="320" w14:anchorId="76AD7F4B">
          <v:shape id="_x0000_i2956" type="#_x0000_t75" style="width:111.95pt;height:15.75pt" o:ole="">
            <v:imagedata r:id="rId3898" o:title=""/>
          </v:shape>
          <o:OLEObject Type="Embed" ProgID="Equation.DSMT4" ShapeID="_x0000_i2956" DrawAspect="Content" ObjectID="_1791376900" r:id="rId3899"/>
        </w:object>
      </w:r>
    </w:p>
    <w:p w14:paraId="5BFE25FB" w14:textId="77777777" w:rsidR="00411620" w:rsidRPr="0026684F" w:rsidRDefault="00411620" w:rsidP="00411620">
      <w:pPr>
        <w:tabs>
          <w:tab w:val="left" w:pos="1215"/>
        </w:tabs>
        <w:spacing w:line="216" w:lineRule="auto"/>
        <w:rPr>
          <w:rFonts w:eastAsiaTheme="minorEastAsia"/>
          <w:i/>
          <w:sz w:val="23"/>
          <w:szCs w:val="23"/>
          <w:rtl/>
          <w:lang w:val="el-GR"/>
        </w:rPr>
      </w:pPr>
      <w:r w:rsidRPr="0026684F">
        <w:rPr>
          <w:rFonts w:eastAsiaTheme="minorEastAsia" w:hint="cs"/>
          <w:i/>
          <w:sz w:val="23"/>
          <w:szCs w:val="23"/>
          <w:rtl/>
          <w:lang w:val="el-GR"/>
        </w:rPr>
        <w:t xml:space="preserve">آنگاه </w:t>
      </w:r>
    </w:p>
    <w:p w14:paraId="40040758"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34"/>
        </w:rPr>
        <w:object w:dxaOrig="6100" w:dyaOrig="700" w14:anchorId="78F955BB">
          <v:shape id="_x0000_i2957" type="#_x0000_t75" style="width:304.95pt;height:35.1pt" o:ole="">
            <v:imagedata r:id="rId3900" o:title=""/>
          </v:shape>
          <o:OLEObject Type="Embed" ProgID="Equation.DSMT4" ShapeID="_x0000_i2957" DrawAspect="Content" ObjectID="_1791376901" r:id="rId3901"/>
        </w:object>
      </w:r>
    </w:p>
    <w:p w14:paraId="759A89CA"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و یا</w:t>
      </w:r>
    </w:p>
    <w:p w14:paraId="44A50DE2"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lang w:val="el-GR"/>
        </w:rPr>
      </w:pPr>
      <w:r w:rsidRPr="00703635">
        <w:rPr>
          <w:position w:val="-22"/>
        </w:rPr>
        <w:object w:dxaOrig="1900" w:dyaOrig="560" w14:anchorId="105ADFF2">
          <v:shape id="_x0000_i2958" type="#_x0000_t75" style="width:95pt;height:27.85pt" o:ole="">
            <v:imagedata r:id="rId3902" o:title=""/>
          </v:shape>
          <o:OLEObject Type="Embed" ProgID="Equation.DSMT4" ShapeID="_x0000_i2958" DrawAspect="Content" ObjectID="_1791376902" r:id="rId3903"/>
        </w:object>
      </w:r>
    </w:p>
    <w:p w14:paraId="0B12688D"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lang w:val="en-GB"/>
        </w:rPr>
        <w:t>از آنجا که فرض شده است مخارج دولت بوسیله</w:t>
      </w:r>
      <w:r w:rsidRPr="0026684F">
        <w:rPr>
          <w:rFonts w:eastAsiaTheme="minorEastAsia"/>
          <w:i/>
          <w:sz w:val="23"/>
          <w:szCs w:val="23"/>
          <w:rtl/>
          <w:lang w:val="en-GB"/>
        </w:rPr>
        <w:softHyphen/>
      </w:r>
      <w:r w:rsidRPr="0026684F">
        <w:rPr>
          <w:rFonts w:eastAsiaTheme="minorEastAsia" w:hint="cs"/>
          <w:i/>
          <w:sz w:val="23"/>
          <w:szCs w:val="23"/>
          <w:rtl/>
          <w:lang w:val="en-GB"/>
        </w:rPr>
        <w:t>ی مالیات تأمین اعتبار می</w:t>
      </w:r>
      <w:r w:rsidRPr="0026684F">
        <w:rPr>
          <w:rFonts w:eastAsiaTheme="minorEastAsia"/>
          <w:i/>
          <w:sz w:val="23"/>
          <w:szCs w:val="23"/>
          <w:rtl/>
          <w:lang w:val="en-GB"/>
        </w:rPr>
        <w:softHyphen/>
      </w:r>
      <w:r w:rsidRPr="0026684F">
        <w:rPr>
          <w:rFonts w:eastAsiaTheme="minorEastAsia" w:hint="cs"/>
          <w:i/>
          <w:sz w:val="23"/>
          <w:szCs w:val="23"/>
          <w:rtl/>
          <w:lang w:val="en-GB"/>
        </w:rPr>
        <w:t xml:space="preserve">شود، لذا در زمان </w:t>
      </w:r>
      <w:r w:rsidRPr="0026684F">
        <w:rPr>
          <w:rFonts w:eastAsiaTheme="minorEastAsia"/>
          <w:i/>
          <w:sz w:val="23"/>
          <w:szCs w:val="23"/>
        </w:rPr>
        <w:t>t</w:t>
      </w:r>
      <w:r w:rsidRPr="0026684F">
        <w:rPr>
          <w:rFonts w:eastAsiaTheme="minorEastAsia" w:hint="cs"/>
          <w:i/>
          <w:sz w:val="23"/>
          <w:szCs w:val="23"/>
          <w:rtl/>
        </w:rPr>
        <w:t xml:space="preserve"> بدهی</w:t>
      </w:r>
      <w:r w:rsidRPr="00703635">
        <w:rPr>
          <w:position w:val="-10"/>
        </w:rPr>
        <w:object w:dxaOrig="220" w:dyaOrig="320" w14:anchorId="094E07E1">
          <v:shape id="_x0000_i2959" type="#_x0000_t75" style="width:10.9pt;height:15.75pt" o:ole="">
            <v:imagedata r:id="rId3904" o:title=""/>
          </v:shape>
          <o:OLEObject Type="Embed" ProgID="Equation.DSMT4" ShapeID="_x0000_i2959" DrawAspect="Content" ObjectID="_1791376903" r:id="rId3905"/>
        </w:object>
      </w:r>
      <w:r w:rsidRPr="0026684F">
        <w:rPr>
          <w:rFonts w:eastAsiaTheme="minorEastAsia" w:hint="cs"/>
          <w:i/>
          <w:sz w:val="23"/>
          <w:szCs w:val="23"/>
          <w:rtl/>
        </w:rPr>
        <w:t xml:space="preserve"> ثابت است و برای آنکه قید بودجه</w:t>
      </w:r>
      <w:r w:rsidRPr="0026684F">
        <w:rPr>
          <w:rFonts w:eastAsiaTheme="minorEastAsia"/>
          <w:i/>
          <w:sz w:val="23"/>
          <w:szCs w:val="23"/>
          <w:rtl/>
        </w:rPr>
        <w:softHyphen/>
      </w:r>
      <w:r w:rsidRPr="0026684F">
        <w:rPr>
          <w:rFonts w:eastAsiaTheme="minorEastAsia" w:hint="cs"/>
          <w:i/>
          <w:sz w:val="23"/>
          <w:szCs w:val="23"/>
          <w:rtl/>
        </w:rPr>
        <w:t>ی دولت با افزایش مخارج تأمین شود باید مالیات کل به میزان</w:t>
      </w:r>
      <w:r w:rsidRPr="00703635">
        <w:rPr>
          <w:position w:val="-22"/>
        </w:rPr>
        <w:object w:dxaOrig="680" w:dyaOrig="560" w14:anchorId="119108B9">
          <v:shape id="_x0000_i2960" type="#_x0000_t75" style="width:33.9pt;height:27.85pt" o:ole="">
            <v:imagedata r:id="rId3906" o:title=""/>
          </v:shape>
          <o:OLEObject Type="Embed" ProgID="Equation.DSMT4" ShapeID="_x0000_i2960" DrawAspect="Content" ObjectID="_1791376904" r:id="rId3907"/>
        </w:object>
      </w:r>
      <w:r w:rsidRPr="0026684F">
        <w:rPr>
          <w:rFonts w:eastAsiaTheme="minorEastAsia" w:hint="cs"/>
          <w:i/>
          <w:sz w:val="23"/>
          <w:szCs w:val="23"/>
          <w:rtl/>
          <w:lang w:val="el-GR"/>
        </w:rPr>
        <w:t xml:space="preserve"> افزایش یابد. در زمان </w:t>
      </w:r>
      <w:r w:rsidRPr="00703635">
        <w:rPr>
          <w:position w:val="-6"/>
        </w:rPr>
        <w:object w:dxaOrig="440" w:dyaOrig="260" w14:anchorId="04086DB6">
          <v:shape id="_x0000_i2961" type="#_x0000_t75" style="width:21.8pt;height:13.3pt" o:ole="">
            <v:imagedata r:id="rId3908" o:title=""/>
          </v:shape>
          <o:OLEObject Type="Embed" ProgID="Equation.DSMT4" ShapeID="_x0000_i2961" DrawAspect="Content" ObjectID="_1791376905" r:id="rId3909"/>
        </w:object>
      </w:r>
      <w:r w:rsidRPr="0026684F">
        <w:rPr>
          <w:rFonts w:eastAsiaTheme="minorEastAsia" w:hint="cs"/>
          <w:i/>
          <w:sz w:val="23"/>
          <w:szCs w:val="23"/>
          <w:rtl/>
        </w:rPr>
        <w:t xml:space="preserve"> از آنجاکه</w:t>
      </w:r>
      <w:r w:rsidRPr="00703635">
        <w:rPr>
          <w:position w:val="-10"/>
        </w:rPr>
        <w:object w:dxaOrig="999" w:dyaOrig="320" w14:anchorId="5265A40D">
          <v:shape id="_x0000_i2962" type="#_x0000_t75" style="width:50.2pt;height:15.75pt" o:ole="">
            <v:imagedata r:id="rId3910" o:title=""/>
          </v:shape>
          <o:OLEObject Type="Embed" ProgID="Equation.DSMT4" ShapeID="_x0000_i2962" DrawAspect="Content" ObjectID="_1791376906" r:id="rId3911"/>
        </w:object>
      </w:r>
      <w:r w:rsidRPr="0026684F">
        <w:rPr>
          <w:rFonts w:eastAsiaTheme="minorEastAsia" w:hint="cs"/>
          <w:i/>
          <w:sz w:val="23"/>
          <w:szCs w:val="23"/>
          <w:rtl/>
        </w:rPr>
        <w:t xml:space="preserve"> و</w:t>
      </w:r>
      <w:r w:rsidRPr="00703635">
        <w:rPr>
          <w:position w:val="-10"/>
        </w:rPr>
        <w:object w:dxaOrig="1020" w:dyaOrig="320" w14:anchorId="205364C3">
          <v:shape id="_x0000_i2963" type="#_x0000_t75" style="width:50.8pt;height:15.75pt" o:ole="">
            <v:imagedata r:id="rId3912" o:title=""/>
          </v:shape>
          <o:OLEObject Type="Embed" ProgID="Equation.DSMT4" ShapeID="_x0000_i2963" DrawAspect="Content" ObjectID="_1791376907" r:id="rId3913"/>
        </w:object>
      </w:r>
      <w:r w:rsidRPr="0026684F">
        <w:rPr>
          <w:rFonts w:eastAsiaTheme="minorEastAsia" w:hint="cs"/>
          <w:i/>
          <w:sz w:val="23"/>
          <w:szCs w:val="23"/>
          <w:rtl/>
        </w:rPr>
        <w:t xml:space="preserve"> می</w:t>
      </w:r>
      <w:r w:rsidRPr="0026684F">
        <w:rPr>
          <w:rFonts w:eastAsiaTheme="minorEastAsia"/>
          <w:i/>
          <w:sz w:val="23"/>
          <w:szCs w:val="23"/>
          <w:rtl/>
        </w:rPr>
        <w:softHyphen/>
      </w:r>
      <w:r w:rsidRPr="0026684F">
        <w:rPr>
          <w:rFonts w:eastAsiaTheme="minorEastAsia" w:hint="cs"/>
          <w:i/>
          <w:sz w:val="23"/>
          <w:szCs w:val="23"/>
          <w:rtl/>
        </w:rPr>
        <w:t>باشد، داریم</w:t>
      </w:r>
    </w:p>
    <w:p w14:paraId="5C41ADB5"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2"/>
        </w:rPr>
        <w:object w:dxaOrig="2140" w:dyaOrig="580" w14:anchorId="3A4D3EBE">
          <v:shape id="_x0000_i2964" type="#_x0000_t75" style="width:107.1pt;height:29.05pt" o:ole="">
            <v:imagedata r:id="rId3914" o:title=""/>
          </v:shape>
          <o:OLEObject Type="Embed" ProgID="Equation.DSMT4" ShapeID="_x0000_i2964" DrawAspect="Content" ObjectID="_1791376908" r:id="rId3915"/>
        </w:object>
      </w:r>
    </w:p>
    <w:p w14:paraId="5EB1D357"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و</w:t>
      </w:r>
    </w:p>
    <w:p w14:paraId="6705A198"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2"/>
        </w:rPr>
        <w:object w:dxaOrig="3240" w:dyaOrig="580" w14:anchorId="406CD7D0">
          <v:shape id="_x0000_i2965" type="#_x0000_t75" style="width:162.15pt;height:29.05pt" o:ole="">
            <v:imagedata r:id="rId3916" o:title=""/>
          </v:shape>
          <o:OLEObject Type="Embed" ProgID="Equation.DSMT4" ShapeID="_x0000_i2965" DrawAspect="Content" ObjectID="_1791376909" r:id="rId3917"/>
        </w:object>
      </w:r>
    </w:p>
    <w:p w14:paraId="5E15411F" w14:textId="77777777" w:rsidR="00411620" w:rsidRPr="0026684F" w:rsidRDefault="00411620" w:rsidP="00411620">
      <w:pPr>
        <w:tabs>
          <w:tab w:val="left" w:pos="1215"/>
        </w:tabs>
        <w:spacing w:line="216" w:lineRule="auto"/>
        <w:rPr>
          <w:rFonts w:eastAsiaTheme="minorEastAsia"/>
          <w:i/>
          <w:sz w:val="23"/>
          <w:szCs w:val="23"/>
          <w:rtl/>
          <w:lang w:val="en-GB"/>
        </w:rPr>
      </w:pPr>
      <w:r w:rsidRPr="0026684F">
        <w:rPr>
          <w:rFonts w:eastAsiaTheme="minorEastAsia" w:hint="cs"/>
          <w:i/>
          <w:sz w:val="23"/>
          <w:szCs w:val="23"/>
          <w:rtl/>
          <w:lang w:val="en-GB"/>
        </w:rPr>
        <w:t xml:space="preserve">و چون داشتیم </w:t>
      </w:r>
    </w:p>
    <w:p w14:paraId="70703A98"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2"/>
        </w:rPr>
        <w:object w:dxaOrig="1680" w:dyaOrig="580" w14:anchorId="2AA029C5">
          <v:shape id="_x0000_i2966" type="#_x0000_t75" style="width:84.1pt;height:29.05pt" o:ole="">
            <v:imagedata r:id="rId3918" o:title=""/>
          </v:shape>
          <o:OLEObject Type="Embed" ProgID="Equation.DSMT4" ShapeID="_x0000_i2966" DrawAspect="Content" ObjectID="_1791376910" r:id="rId3919"/>
        </w:object>
      </w:r>
    </w:p>
    <w:p w14:paraId="1C84CE7C"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بنابراین</w:t>
      </w:r>
    </w:p>
    <w:p w14:paraId="2DF228DD"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lang w:val="en-GB"/>
        </w:rPr>
      </w:pPr>
      <w:r w:rsidRPr="00703635">
        <w:rPr>
          <w:position w:val="-22"/>
        </w:rPr>
        <w:object w:dxaOrig="1579" w:dyaOrig="580" w14:anchorId="5D6F30EC">
          <v:shape id="_x0000_i2967" type="#_x0000_t75" style="width:79.25pt;height:29.05pt" o:ole="">
            <v:imagedata r:id="rId3920" o:title=""/>
          </v:shape>
          <o:OLEObject Type="Embed" ProgID="Equation.DSMT4" ShapeID="_x0000_i2967" DrawAspect="Content" ObjectID="_1791376911" r:id="rId3921"/>
        </w:object>
      </w:r>
    </w:p>
    <w:p w14:paraId="3E167A81" w14:textId="77777777" w:rsidR="00411620" w:rsidRPr="0026684F" w:rsidRDefault="00411620" w:rsidP="00411620">
      <w:pPr>
        <w:tabs>
          <w:tab w:val="left" w:pos="1215"/>
        </w:tabs>
        <w:spacing w:line="216" w:lineRule="auto"/>
        <w:rPr>
          <w:rFonts w:eastAsiaTheme="minorEastAsia"/>
          <w:i/>
          <w:sz w:val="23"/>
          <w:szCs w:val="23"/>
          <w:rtl/>
          <w:lang w:val="en-GB"/>
        </w:rPr>
      </w:pPr>
      <w:r w:rsidRPr="0026684F">
        <w:rPr>
          <w:rFonts w:eastAsiaTheme="minorEastAsia" w:hint="cs"/>
          <w:i/>
          <w:sz w:val="23"/>
          <w:szCs w:val="23"/>
          <w:rtl/>
          <w:lang w:val="en-GB"/>
        </w:rPr>
        <w:t>که نشان می</w:t>
      </w:r>
      <w:r w:rsidRPr="0026684F">
        <w:rPr>
          <w:rFonts w:eastAsiaTheme="minorEastAsia"/>
          <w:i/>
          <w:sz w:val="23"/>
          <w:szCs w:val="23"/>
          <w:rtl/>
          <w:lang w:val="en-GB"/>
        </w:rPr>
        <w:softHyphen/>
      </w:r>
      <w:r w:rsidRPr="0026684F">
        <w:rPr>
          <w:rFonts w:eastAsiaTheme="minorEastAsia" w:hint="cs"/>
          <w:i/>
          <w:sz w:val="23"/>
          <w:szCs w:val="23"/>
          <w:rtl/>
          <w:lang w:val="en-GB"/>
        </w:rPr>
        <w:t>دهد انتظارات بدهی دولت در زمان</w:t>
      </w:r>
      <w:r w:rsidRPr="00703635">
        <w:rPr>
          <w:position w:val="-6"/>
        </w:rPr>
        <w:object w:dxaOrig="440" w:dyaOrig="260" w14:anchorId="0DB4BD15">
          <v:shape id="_x0000_i2968" type="#_x0000_t75" style="width:21.8pt;height:13.3pt" o:ole="">
            <v:imagedata r:id="rId3922" o:title=""/>
          </v:shape>
          <o:OLEObject Type="Embed" ProgID="Equation.DSMT4" ShapeID="_x0000_i2968" DrawAspect="Content" ObjectID="_1791376912" r:id="rId3923"/>
        </w:object>
      </w:r>
      <w:r w:rsidRPr="0026684F">
        <w:rPr>
          <w:rFonts w:hint="cs"/>
          <w:i/>
          <w:sz w:val="23"/>
          <w:szCs w:val="23"/>
          <w:rtl/>
        </w:rPr>
        <w:t xml:space="preserve"> </w:t>
      </w:r>
      <w:r w:rsidRPr="0026684F">
        <w:rPr>
          <w:rFonts w:eastAsiaTheme="minorEastAsia" w:hint="cs"/>
          <w:i/>
          <w:sz w:val="23"/>
          <w:szCs w:val="23"/>
          <w:rtl/>
        </w:rPr>
        <w:t>با توجه به اطلاعات در زمان</w:t>
      </w:r>
      <w:r w:rsidRPr="00703635">
        <w:rPr>
          <w:position w:val="-6"/>
        </w:rPr>
        <w:object w:dxaOrig="139" w:dyaOrig="240" w14:anchorId="69C67EF5">
          <v:shape id="_x0000_i2969" type="#_x0000_t75" style="width:7.25pt;height:11.5pt" o:ole="">
            <v:imagedata r:id="rId3924" o:title=""/>
          </v:shape>
          <o:OLEObject Type="Embed" ProgID="Equation.DSMT4" ShapeID="_x0000_i2969" DrawAspect="Content" ObjectID="_1791376913" r:id="rId3925"/>
        </w:object>
      </w:r>
      <w:r w:rsidRPr="0026684F">
        <w:rPr>
          <w:rFonts w:eastAsiaTheme="minorEastAsia"/>
          <w:i/>
          <w:sz w:val="23"/>
          <w:szCs w:val="23"/>
        </w:rPr>
        <w:t xml:space="preserve"> </w:t>
      </w:r>
      <w:r w:rsidRPr="0026684F">
        <w:rPr>
          <w:rFonts w:eastAsiaTheme="minorEastAsia" w:hint="cs"/>
          <w:i/>
          <w:sz w:val="23"/>
          <w:szCs w:val="23"/>
          <w:rtl/>
          <w:lang w:val="en-GB"/>
        </w:rPr>
        <w:t xml:space="preserve">به میزان </w:t>
      </w:r>
      <w:r w:rsidRPr="00703635">
        <w:rPr>
          <w:position w:val="-22"/>
        </w:rPr>
        <w:object w:dxaOrig="520" w:dyaOrig="580" w14:anchorId="7F015CE9">
          <v:shape id="_x0000_i2970" type="#_x0000_t75" style="width:26pt;height:29.05pt" o:ole="">
            <v:imagedata r:id="rId3926" o:title=""/>
          </v:shape>
          <o:OLEObject Type="Embed" ProgID="Equation.DSMT4" ShapeID="_x0000_i2970" DrawAspect="Content" ObjectID="_1791376914" r:id="rId3927"/>
        </w:object>
      </w:r>
      <w:r w:rsidRPr="0026684F">
        <w:rPr>
          <w:rFonts w:eastAsiaTheme="minorEastAsia" w:hint="cs"/>
          <w:i/>
          <w:sz w:val="23"/>
          <w:szCs w:val="23"/>
          <w:rtl/>
        </w:rPr>
        <w:t xml:space="preserve"> </w:t>
      </w:r>
      <w:r w:rsidRPr="0026684F">
        <w:rPr>
          <w:rFonts w:eastAsiaTheme="minorEastAsia" w:hint="cs"/>
          <w:i/>
          <w:sz w:val="23"/>
          <w:szCs w:val="23"/>
          <w:rtl/>
          <w:lang w:val="en-GB"/>
        </w:rPr>
        <w:t>افزایش خواهد یافت. ضمناً چون</w:t>
      </w:r>
      <w:r w:rsidRPr="0026684F">
        <w:rPr>
          <w:rFonts w:eastAsiaTheme="minorEastAsia"/>
          <w:i/>
          <w:sz w:val="23"/>
          <w:szCs w:val="23"/>
          <w:lang w:val="en-GB"/>
        </w:rPr>
        <w:t xml:space="preserve"> </w:t>
      </w:r>
      <w:r w:rsidRPr="0026684F">
        <w:rPr>
          <w:rFonts w:eastAsiaTheme="minorEastAsia" w:hint="cs"/>
          <w:i/>
          <w:sz w:val="23"/>
          <w:szCs w:val="23"/>
          <w:rtl/>
          <w:lang w:val="en-GB"/>
        </w:rPr>
        <w:t>برای هر</w:t>
      </w:r>
      <w:r w:rsidRPr="00703635">
        <w:rPr>
          <w:position w:val="-6"/>
        </w:rPr>
        <w:object w:dxaOrig="540" w:dyaOrig="260" w14:anchorId="725643AA">
          <v:shape id="_x0000_i2971" type="#_x0000_t75" style="width:26.6pt;height:13.3pt" o:ole="">
            <v:imagedata r:id="rId3928" o:title=""/>
          </v:shape>
          <o:OLEObject Type="Embed" ProgID="Equation.DSMT4" ShapeID="_x0000_i2971" DrawAspect="Content" ObjectID="_1791376915" r:id="rId3929"/>
        </w:object>
      </w:r>
      <w:r w:rsidRPr="0026684F">
        <w:rPr>
          <w:rFonts w:eastAsiaTheme="minorEastAsia" w:hint="cs"/>
          <w:i/>
          <w:sz w:val="23"/>
          <w:szCs w:val="23"/>
          <w:rtl/>
          <w:lang w:val="en-GB"/>
        </w:rPr>
        <w:t>داریم</w:t>
      </w:r>
    </w:p>
    <w:p w14:paraId="7F6686FE" w14:textId="77777777" w:rsidR="00411620" w:rsidRPr="0026684F" w:rsidRDefault="00411620" w:rsidP="00411620">
      <w:pPr>
        <w:tabs>
          <w:tab w:val="left" w:pos="1215"/>
        </w:tabs>
        <w:bidi w:val="0"/>
        <w:spacing w:line="216" w:lineRule="auto"/>
        <w:rPr>
          <w:rFonts w:eastAsiaTheme="minorEastAsia"/>
          <w:i/>
          <w:sz w:val="23"/>
          <w:szCs w:val="23"/>
          <w:rtl/>
        </w:rPr>
      </w:pPr>
      <w:r w:rsidRPr="0026684F">
        <w:rPr>
          <w:rFonts w:eastAsiaTheme="minorEastAsia" w:hint="cs"/>
          <w:i/>
          <w:sz w:val="23"/>
          <w:szCs w:val="23"/>
          <w:rtl/>
          <w:lang w:val="en-GB"/>
        </w:rPr>
        <w:lastRenderedPageBreak/>
        <w:t xml:space="preserve"> </w:t>
      </w:r>
      <w:r w:rsidRPr="00703635">
        <w:rPr>
          <w:position w:val="-22"/>
        </w:rPr>
        <w:object w:dxaOrig="1600" w:dyaOrig="580" w14:anchorId="726EB5AF">
          <v:shape id="_x0000_i2972" type="#_x0000_t75" style="width:79.85pt;height:29.05pt" o:ole="">
            <v:imagedata r:id="rId3930" o:title=""/>
          </v:shape>
          <o:OLEObject Type="Embed" ProgID="Equation.DSMT4" ShapeID="_x0000_i2972" DrawAspect="Content" ObjectID="_1791376916" r:id="rId3931"/>
        </w:object>
      </w:r>
    </w:p>
    <w:p w14:paraId="1B55C034"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 xml:space="preserve">لذا همواره </w:t>
      </w:r>
      <w:r w:rsidRPr="0026684F">
        <w:rPr>
          <w:rFonts w:eastAsiaTheme="minorEastAsia" w:hint="cs"/>
          <w:i/>
          <w:sz w:val="23"/>
          <w:szCs w:val="23"/>
          <w:rtl/>
          <w:lang w:val="en-GB"/>
        </w:rPr>
        <w:t>انتظارات بدهی دولت در زمان</w:t>
      </w:r>
      <w:r w:rsidRPr="00703635">
        <w:rPr>
          <w:position w:val="-6"/>
        </w:rPr>
        <w:object w:dxaOrig="480" w:dyaOrig="240" w14:anchorId="1C3CEE31">
          <v:shape id="_x0000_i2973" type="#_x0000_t75" style="width:24.2pt;height:11.5pt" o:ole="">
            <v:imagedata r:id="rId3932" o:title=""/>
          </v:shape>
          <o:OLEObject Type="Embed" ProgID="Equation.DSMT4" ShapeID="_x0000_i2973" DrawAspect="Content" ObjectID="_1791376917" r:id="rId3933"/>
        </w:object>
      </w:r>
      <w:r w:rsidRPr="0026684F">
        <w:rPr>
          <w:rFonts w:eastAsiaTheme="minorEastAsia" w:hint="cs"/>
          <w:i/>
          <w:sz w:val="23"/>
          <w:szCs w:val="23"/>
          <w:rtl/>
        </w:rPr>
        <w:t xml:space="preserve"> با توجه به اطلاعات در زمان</w:t>
      </w:r>
      <w:r w:rsidRPr="00703635">
        <w:rPr>
          <w:position w:val="-6"/>
        </w:rPr>
        <w:object w:dxaOrig="139" w:dyaOrig="240" w14:anchorId="688A8BC4">
          <v:shape id="_x0000_i2974" type="#_x0000_t75" style="width:7.25pt;height:11.5pt" o:ole="">
            <v:imagedata r:id="rId3934" o:title=""/>
          </v:shape>
          <o:OLEObject Type="Embed" ProgID="Equation.DSMT4" ShapeID="_x0000_i2974" DrawAspect="Content" ObjectID="_1791376918" r:id="rId3935"/>
        </w:object>
      </w:r>
      <w:r w:rsidRPr="0026684F">
        <w:rPr>
          <w:rFonts w:hint="cs"/>
          <w:i/>
          <w:sz w:val="23"/>
          <w:szCs w:val="23"/>
          <w:rtl/>
        </w:rPr>
        <w:t xml:space="preserve"> </w:t>
      </w:r>
      <w:r w:rsidRPr="0026684F">
        <w:rPr>
          <w:rFonts w:eastAsiaTheme="minorEastAsia" w:hint="cs"/>
          <w:i/>
          <w:sz w:val="23"/>
          <w:szCs w:val="23"/>
          <w:rtl/>
          <w:lang w:val="en-GB"/>
        </w:rPr>
        <w:t>برای</w:t>
      </w:r>
      <w:r w:rsidRPr="00703635">
        <w:rPr>
          <w:position w:val="-6"/>
        </w:rPr>
        <w:object w:dxaOrig="540" w:dyaOrig="260" w14:anchorId="2620C05C">
          <v:shape id="_x0000_i2975" type="#_x0000_t75" style="width:26.6pt;height:13.3pt" o:ole="">
            <v:imagedata r:id="rId3936" o:title=""/>
          </v:shape>
          <o:OLEObject Type="Embed" ProgID="Equation.DSMT4" ShapeID="_x0000_i2975" DrawAspect="Content" ObjectID="_1791376919" r:id="rId3937"/>
        </w:object>
      </w:r>
      <w:r w:rsidRPr="0026684F">
        <w:rPr>
          <w:rFonts w:eastAsiaTheme="minorEastAsia"/>
          <w:i/>
          <w:sz w:val="23"/>
          <w:szCs w:val="23"/>
          <w:lang w:val="en-GB"/>
        </w:rPr>
        <w:t xml:space="preserve"> </w:t>
      </w:r>
      <w:r w:rsidRPr="0026684F">
        <w:rPr>
          <w:rFonts w:eastAsiaTheme="minorEastAsia" w:hint="cs"/>
          <w:i/>
          <w:sz w:val="23"/>
          <w:szCs w:val="23"/>
          <w:rtl/>
          <w:lang w:val="en-GB"/>
        </w:rPr>
        <w:t xml:space="preserve">به میزان </w:t>
      </w:r>
      <w:r w:rsidRPr="00703635">
        <w:rPr>
          <w:position w:val="-22"/>
        </w:rPr>
        <w:object w:dxaOrig="520" w:dyaOrig="580" w14:anchorId="51806150">
          <v:shape id="_x0000_i2976" type="#_x0000_t75" style="width:26pt;height:29.05pt" o:ole="">
            <v:imagedata r:id="rId3938" o:title=""/>
          </v:shape>
          <o:OLEObject Type="Embed" ProgID="Equation.DSMT4" ShapeID="_x0000_i2976" DrawAspect="Content" ObjectID="_1791376920" r:id="rId3939"/>
        </w:object>
      </w:r>
      <w:r w:rsidRPr="0026684F">
        <w:rPr>
          <w:rFonts w:eastAsiaTheme="minorEastAsia" w:hint="cs"/>
          <w:i/>
          <w:sz w:val="23"/>
          <w:szCs w:val="23"/>
          <w:rtl/>
        </w:rPr>
        <w:t xml:space="preserve"> افزایش می</w:t>
      </w:r>
      <w:r w:rsidRPr="0026684F">
        <w:rPr>
          <w:rFonts w:eastAsiaTheme="minorEastAsia"/>
          <w:i/>
          <w:sz w:val="23"/>
          <w:szCs w:val="23"/>
          <w:rtl/>
        </w:rPr>
        <w:softHyphen/>
      </w:r>
      <w:r w:rsidRPr="0026684F">
        <w:rPr>
          <w:rFonts w:eastAsiaTheme="minorEastAsia" w:hint="cs"/>
          <w:i/>
          <w:sz w:val="23"/>
          <w:szCs w:val="23"/>
          <w:rtl/>
        </w:rPr>
        <w:t>یابد.</w:t>
      </w:r>
    </w:p>
    <w:p w14:paraId="43BB3D2B"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lang w:val="en-GB"/>
        </w:rPr>
        <w:t>باید توجه داشت که مخارج موقتی دولت در زمان</w:t>
      </w:r>
      <w:r w:rsidRPr="0026684F">
        <w:rPr>
          <w:rFonts w:eastAsiaTheme="minorEastAsia"/>
          <w:i/>
          <w:sz w:val="23"/>
          <w:szCs w:val="23"/>
          <w:rtl/>
          <w:lang w:val="en-GB"/>
        </w:rPr>
        <w:softHyphen/>
      </w:r>
      <w:r w:rsidRPr="0026684F">
        <w:rPr>
          <w:rFonts w:eastAsiaTheme="minorEastAsia" w:hint="cs"/>
          <w:i/>
          <w:sz w:val="23"/>
          <w:szCs w:val="23"/>
          <w:rtl/>
          <w:lang w:val="en-GB"/>
        </w:rPr>
        <w:t xml:space="preserve">های </w:t>
      </w:r>
      <w:r w:rsidRPr="00703635">
        <w:rPr>
          <w:position w:val="-6"/>
        </w:rPr>
        <w:object w:dxaOrig="440" w:dyaOrig="260" w14:anchorId="45221660">
          <v:shape id="_x0000_i2977" type="#_x0000_t75" style="width:21.8pt;height:13.3pt" o:ole="">
            <v:imagedata r:id="rId3940" o:title=""/>
          </v:shape>
          <o:OLEObject Type="Embed" ProgID="Equation.DSMT4" ShapeID="_x0000_i2977" DrawAspect="Content" ObjectID="_1791376921" r:id="rId3941"/>
        </w:object>
      </w:r>
      <w:r w:rsidRPr="0026684F">
        <w:rPr>
          <w:rFonts w:eastAsiaTheme="minorEastAsia" w:hint="cs"/>
          <w:i/>
          <w:sz w:val="23"/>
          <w:szCs w:val="23"/>
          <w:rtl/>
        </w:rPr>
        <w:t xml:space="preserve">، </w:t>
      </w:r>
      <w:r w:rsidRPr="00703635">
        <w:rPr>
          <w:position w:val="-6"/>
        </w:rPr>
        <w:object w:dxaOrig="460" w:dyaOrig="260" w14:anchorId="47C13252">
          <v:shape id="_x0000_i2978" type="#_x0000_t75" style="width:23pt;height:13.3pt" o:ole="">
            <v:imagedata r:id="rId3942" o:title=""/>
          </v:shape>
          <o:OLEObject Type="Embed" ProgID="Equation.DSMT4" ShapeID="_x0000_i2978" DrawAspect="Content" ObjectID="_1791376922" r:id="rId3943"/>
        </w:object>
      </w:r>
      <w:r w:rsidRPr="0026684F">
        <w:rPr>
          <w:rFonts w:eastAsiaTheme="minorEastAsia" w:hint="cs"/>
          <w:i/>
          <w:sz w:val="23"/>
          <w:szCs w:val="23"/>
          <w:rtl/>
        </w:rPr>
        <w:t xml:space="preserve"> و ... نیز بدهی انتظاری را تحت تأثیر قرار می</w:t>
      </w:r>
      <w:r w:rsidRPr="0026684F">
        <w:rPr>
          <w:rFonts w:eastAsiaTheme="minorEastAsia"/>
          <w:i/>
          <w:sz w:val="23"/>
          <w:szCs w:val="23"/>
          <w:rtl/>
        </w:rPr>
        <w:softHyphen/>
      </w:r>
      <w:r w:rsidRPr="0026684F">
        <w:rPr>
          <w:rFonts w:eastAsiaTheme="minorEastAsia" w:hint="cs"/>
          <w:i/>
          <w:sz w:val="23"/>
          <w:szCs w:val="23"/>
          <w:rtl/>
        </w:rPr>
        <w:t>دهد. اگر فرض کنیم میانگین تغییر مخارج دولت از طریق شوک</w:t>
      </w:r>
      <w:r w:rsidRPr="0026684F">
        <w:rPr>
          <w:rFonts w:eastAsiaTheme="minorEastAsia"/>
          <w:i/>
          <w:sz w:val="23"/>
          <w:szCs w:val="23"/>
          <w:rtl/>
        </w:rPr>
        <w:softHyphen/>
      </w:r>
      <w:r w:rsidRPr="0026684F">
        <w:rPr>
          <w:rFonts w:eastAsiaTheme="minorEastAsia" w:hint="cs"/>
          <w:i/>
          <w:sz w:val="23"/>
          <w:szCs w:val="23"/>
          <w:rtl/>
        </w:rPr>
        <w:t>های مثبت و منفی برابر با صفر باشد، آنگاه شوک</w:t>
      </w:r>
      <w:r w:rsidRPr="0026684F">
        <w:rPr>
          <w:rFonts w:eastAsiaTheme="minorEastAsia"/>
          <w:i/>
          <w:sz w:val="23"/>
          <w:szCs w:val="23"/>
          <w:rtl/>
        </w:rPr>
        <w:softHyphen/>
      </w:r>
      <w:r w:rsidRPr="0026684F">
        <w:rPr>
          <w:rFonts w:eastAsiaTheme="minorEastAsia" w:hint="cs"/>
          <w:i/>
          <w:sz w:val="23"/>
          <w:szCs w:val="23"/>
          <w:rtl/>
        </w:rPr>
        <w:t>های مثبت و منفی همدیگر را خنثی می</w:t>
      </w:r>
      <w:r w:rsidRPr="0026684F">
        <w:rPr>
          <w:rFonts w:eastAsiaTheme="minorEastAsia"/>
          <w:i/>
          <w:sz w:val="23"/>
          <w:szCs w:val="23"/>
          <w:rtl/>
        </w:rPr>
        <w:softHyphen/>
      </w:r>
      <w:r w:rsidRPr="0026684F">
        <w:rPr>
          <w:rFonts w:eastAsiaTheme="minorEastAsia" w:hint="cs"/>
          <w:i/>
          <w:sz w:val="23"/>
          <w:szCs w:val="23"/>
          <w:rtl/>
        </w:rPr>
        <w:t>کنند و لذا میانگین بدهی دولت ثابت و برابر با مقدار اولیه</w:t>
      </w:r>
      <w:r w:rsidRPr="0026684F">
        <w:rPr>
          <w:rFonts w:eastAsiaTheme="minorEastAsia"/>
          <w:i/>
          <w:sz w:val="23"/>
          <w:szCs w:val="23"/>
          <w:rtl/>
        </w:rPr>
        <w:softHyphen/>
      </w:r>
      <w:r w:rsidRPr="0026684F">
        <w:rPr>
          <w:rFonts w:eastAsiaTheme="minorEastAsia" w:hint="cs"/>
          <w:i/>
          <w:sz w:val="23"/>
          <w:szCs w:val="23"/>
          <w:rtl/>
        </w:rPr>
        <w:t xml:space="preserve"> در زمان</w:t>
      </w:r>
      <w:r w:rsidRPr="00703635">
        <w:rPr>
          <w:position w:val="-6"/>
        </w:rPr>
        <w:object w:dxaOrig="139" w:dyaOrig="240" w14:anchorId="59B45EA3">
          <v:shape id="_x0000_i2979" type="#_x0000_t75" style="width:7.25pt;height:11.5pt" o:ole="">
            <v:imagedata r:id="rId3944" o:title=""/>
          </v:shape>
          <o:OLEObject Type="Embed" ProgID="Equation.DSMT4" ShapeID="_x0000_i2979" DrawAspect="Content" ObjectID="_1791376923" r:id="rId3945"/>
        </w:object>
      </w:r>
      <w:r w:rsidRPr="0026684F">
        <w:rPr>
          <w:rFonts w:eastAsiaTheme="minorEastAsia" w:hint="cs"/>
          <w:i/>
          <w:sz w:val="23"/>
          <w:szCs w:val="23"/>
          <w:rtl/>
        </w:rPr>
        <w:t xml:space="preserve"> یعنی</w:t>
      </w:r>
      <w:r w:rsidRPr="00703635">
        <w:rPr>
          <w:position w:val="-10"/>
        </w:rPr>
        <w:object w:dxaOrig="220" w:dyaOrig="320" w14:anchorId="779F6DCD">
          <v:shape id="_x0000_i2980" type="#_x0000_t75" style="width:10.9pt;height:15.75pt" o:ole="">
            <v:imagedata r:id="rId3946" o:title=""/>
          </v:shape>
          <o:OLEObject Type="Embed" ProgID="Equation.DSMT4" ShapeID="_x0000_i2980" DrawAspect="Content" ObjectID="_1791376924" r:id="rId3947"/>
        </w:object>
      </w:r>
      <w:r w:rsidRPr="0026684F">
        <w:rPr>
          <w:rFonts w:eastAsiaTheme="minorEastAsia" w:hint="cs"/>
          <w:i/>
          <w:sz w:val="23"/>
          <w:szCs w:val="23"/>
          <w:rtl/>
        </w:rPr>
        <w:t xml:space="preserve"> خواهد بود.</w:t>
      </w:r>
    </w:p>
    <w:p w14:paraId="01266FE5"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نکته</w:t>
      </w:r>
      <w:r w:rsidRPr="0026684F">
        <w:rPr>
          <w:rFonts w:eastAsiaTheme="minorEastAsia"/>
          <w:i/>
          <w:sz w:val="23"/>
          <w:szCs w:val="23"/>
          <w:rtl/>
        </w:rPr>
        <w:softHyphen/>
      </w:r>
      <w:r w:rsidRPr="0026684F">
        <w:rPr>
          <w:rFonts w:eastAsiaTheme="minorEastAsia" w:hint="cs"/>
          <w:i/>
          <w:sz w:val="23"/>
          <w:szCs w:val="23"/>
          <w:rtl/>
        </w:rPr>
        <w:t>ی دیگر آنکه اگر چه مالیات کلِ بهینه، مالیاتی است که ثابت باشد (</w:t>
      </w:r>
      <w:r w:rsidRPr="00703635">
        <w:rPr>
          <w:position w:val="-10"/>
        </w:rPr>
        <w:object w:dxaOrig="1020" w:dyaOrig="320" w14:anchorId="3A444277">
          <v:shape id="_x0000_i2981" type="#_x0000_t75" style="width:50.8pt;height:15.75pt" o:ole="">
            <v:imagedata r:id="rId3948" o:title=""/>
          </v:shape>
          <o:OLEObject Type="Embed" ProgID="Equation.DSMT4" ShapeID="_x0000_i2981" DrawAspect="Content" ObjectID="_1791376925" r:id="rId3949"/>
        </w:object>
      </w:r>
      <w:r w:rsidRPr="0026684F">
        <w:rPr>
          <w:rFonts w:eastAsiaTheme="minorEastAsia" w:hint="cs"/>
          <w:i/>
          <w:sz w:val="23"/>
          <w:szCs w:val="23"/>
          <w:rtl/>
        </w:rPr>
        <w:t>) ولی این نتیجه بدان معنی نیست که با توجه به شوک</w:t>
      </w:r>
      <w:r w:rsidRPr="0026684F">
        <w:rPr>
          <w:rFonts w:eastAsiaTheme="minorEastAsia"/>
          <w:i/>
          <w:sz w:val="23"/>
          <w:szCs w:val="23"/>
          <w:rtl/>
        </w:rPr>
        <w:softHyphen/>
      </w:r>
      <w:r w:rsidRPr="0026684F">
        <w:rPr>
          <w:rFonts w:eastAsiaTheme="minorEastAsia" w:hint="cs"/>
          <w:i/>
          <w:sz w:val="23"/>
          <w:szCs w:val="23"/>
          <w:rtl/>
        </w:rPr>
        <w:t>های تصادفی</w:t>
      </w:r>
      <w:r w:rsidRPr="00703635">
        <w:rPr>
          <w:position w:val="-6"/>
        </w:rPr>
        <w:object w:dxaOrig="180" w:dyaOrig="200" w14:anchorId="67B6A5C5">
          <v:shape id="_x0000_i2982" type="#_x0000_t75" style="width:9.1pt;height:10.3pt" o:ole="">
            <v:imagedata r:id="rId3950" o:title=""/>
          </v:shape>
          <o:OLEObject Type="Embed" ProgID="Equation.DSMT4" ShapeID="_x0000_i2982" DrawAspect="Content" ObjectID="_1791376926" r:id="rId3951"/>
        </w:object>
      </w:r>
      <w:r w:rsidRPr="0026684F">
        <w:rPr>
          <w:rFonts w:eastAsiaTheme="minorEastAsia" w:hint="cs"/>
          <w:i/>
          <w:sz w:val="23"/>
          <w:szCs w:val="23"/>
          <w:rtl/>
        </w:rPr>
        <w:t xml:space="preserve"> مالیات کل</w:t>
      </w:r>
      <w:r w:rsidRPr="00025957">
        <w:rPr>
          <w:position w:val="-4"/>
        </w:rPr>
        <w:object w:dxaOrig="240" w:dyaOrig="240" w14:anchorId="65026EE6">
          <v:shape id="_x0000_i2983" type="#_x0000_t75" style="width:11.5pt;height:11.5pt" o:ole="">
            <v:imagedata r:id="rId3952" o:title=""/>
          </v:shape>
          <o:OLEObject Type="Embed" ProgID="Equation.DSMT4" ShapeID="_x0000_i2983" DrawAspect="Content" ObjectID="_1791376927" r:id="rId3953"/>
        </w:object>
      </w:r>
      <w:r w:rsidRPr="0026684F">
        <w:rPr>
          <w:rFonts w:eastAsiaTheme="minorEastAsia" w:hint="cs"/>
          <w:i/>
          <w:sz w:val="23"/>
          <w:szCs w:val="23"/>
          <w:rtl/>
          <w:lang w:val="en-GB"/>
        </w:rPr>
        <w:t xml:space="preserve"> تغییر نکند. زیرا بواسطه</w:t>
      </w:r>
      <w:r w:rsidRPr="0026684F">
        <w:rPr>
          <w:rFonts w:eastAsiaTheme="minorEastAsia"/>
          <w:i/>
          <w:sz w:val="23"/>
          <w:szCs w:val="23"/>
          <w:rtl/>
          <w:lang w:val="en-GB"/>
        </w:rPr>
        <w:softHyphen/>
      </w:r>
      <w:r w:rsidRPr="0026684F">
        <w:rPr>
          <w:rFonts w:eastAsiaTheme="minorEastAsia" w:hint="cs"/>
          <w:i/>
          <w:sz w:val="23"/>
          <w:szCs w:val="23"/>
          <w:rtl/>
          <w:lang w:val="en-GB"/>
        </w:rPr>
        <w:t>ی رابطه</w:t>
      </w:r>
      <w:r w:rsidRPr="0026684F">
        <w:rPr>
          <w:rFonts w:eastAsiaTheme="minorEastAsia"/>
          <w:i/>
          <w:sz w:val="23"/>
          <w:szCs w:val="23"/>
          <w:rtl/>
          <w:lang w:val="en-GB"/>
        </w:rPr>
        <w:softHyphen/>
      </w:r>
      <w:r w:rsidRPr="0026684F">
        <w:rPr>
          <w:rFonts w:eastAsiaTheme="minorEastAsia" w:hint="cs"/>
          <w:i/>
          <w:sz w:val="23"/>
          <w:szCs w:val="23"/>
          <w:rtl/>
          <w:lang w:val="en-GB"/>
        </w:rPr>
        <w:t>ی</w:t>
      </w:r>
      <w:r w:rsidRPr="00703635">
        <w:rPr>
          <w:position w:val="-22"/>
        </w:rPr>
        <w:object w:dxaOrig="1980" w:dyaOrig="560" w14:anchorId="296562D2">
          <v:shape id="_x0000_i2984" type="#_x0000_t75" style="width:99.25pt;height:27.85pt" o:ole="">
            <v:imagedata r:id="rId3954" o:title=""/>
          </v:shape>
          <o:OLEObject Type="Embed" ProgID="Equation.DSMT4" ShapeID="_x0000_i2984" DrawAspect="Content" ObjectID="_1791376928" r:id="rId3955"/>
        </w:object>
      </w:r>
      <w:r w:rsidRPr="0026684F">
        <w:rPr>
          <w:rFonts w:eastAsiaTheme="minorEastAsia" w:hint="cs"/>
          <w:i/>
          <w:sz w:val="23"/>
          <w:szCs w:val="23"/>
          <w:rtl/>
          <w:lang w:val="el-GR"/>
        </w:rPr>
        <w:t xml:space="preserve"> بخشی از شوک توسط مالیات</w:t>
      </w:r>
      <w:r w:rsidRPr="0026684F">
        <w:rPr>
          <w:rFonts w:eastAsiaTheme="minorEastAsia"/>
          <w:i/>
          <w:sz w:val="23"/>
          <w:szCs w:val="23"/>
        </w:rPr>
        <w:t xml:space="preserve"> </w:t>
      </w:r>
      <w:r w:rsidRPr="0026684F">
        <w:rPr>
          <w:rFonts w:eastAsiaTheme="minorEastAsia" w:hint="cs"/>
          <w:i/>
          <w:sz w:val="23"/>
          <w:szCs w:val="23"/>
          <w:rtl/>
          <w:lang w:val="el-GR"/>
        </w:rPr>
        <w:t>(</w:t>
      </w:r>
      <w:r w:rsidRPr="00703635">
        <w:rPr>
          <w:position w:val="-22"/>
        </w:rPr>
        <w:object w:dxaOrig="520" w:dyaOrig="560" w14:anchorId="318CD008">
          <v:shape id="_x0000_i2985" type="#_x0000_t75" style="width:26pt;height:27.85pt" o:ole="">
            <v:imagedata r:id="rId3956" o:title=""/>
          </v:shape>
          <o:OLEObject Type="Embed" ProgID="Equation.DSMT4" ShapeID="_x0000_i2985" DrawAspect="Content" ObjectID="_1791376929" r:id="rId3957"/>
        </w:object>
      </w:r>
      <w:r w:rsidRPr="0026684F">
        <w:rPr>
          <w:rFonts w:eastAsiaTheme="minorEastAsia" w:hint="cs"/>
          <w:i/>
          <w:sz w:val="23"/>
          <w:szCs w:val="23"/>
          <w:rtl/>
          <w:lang w:val="el-GR"/>
        </w:rPr>
        <w:t>) و بخشی دیگر توسط رابطه</w:t>
      </w:r>
      <w:r w:rsidRPr="0026684F">
        <w:rPr>
          <w:rFonts w:eastAsiaTheme="minorEastAsia"/>
          <w:i/>
          <w:sz w:val="23"/>
          <w:szCs w:val="23"/>
          <w:rtl/>
          <w:lang w:val="el-GR"/>
        </w:rPr>
        <w:softHyphen/>
      </w:r>
      <w:r w:rsidRPr="0026684F">
        <w:rPr>
          <w:rFonts w:eastAsiaTheme="minorEastAsia" w:hint="cs"/>
          <w:i/>
          <w:sz w:val="23"/>
          <w:szCs w:val="23"/>
          <w:rtl/>
          <w:lang w:val="el-GR"/>
        </w:rPr>
        <w:t>ی</w:t>
      </w:r>
      <w:r w:rsidRPr="00703635">
        <w:rPr>
          <w:position w:val="-22"/>
        </w:rPr>
        <w:object w:dxaOrig="2020" w:dyaOrig="580" w14:anchorId="02159029">
          <v:shape id="_x0000_i2986" type="#_x0000_t75" style="width:101.05pt;height:29.05pt" o:ole="">
            <v:imagedata r:id="rId3958" o:title=""/>
          </v:shape>
          <o:OLEObject Type="Embed" ProgID="Equation.DSMT4" ShapeID="_x0000_i2986" DrawAspect="Content" ObjectID="_1791376930" r:id="rId3959"/>
        </w:object>
      </w:r>
      <w:r w:rsidRPr="00025957">
        <w:rPr>
          <w:position w:val="-4"/>
        </w:rPr>
        <w:object w:dxaOrig="180" w:dyaOrig="260" w14:anchorId="104832CA">
          <v:shape id="_x0000_i2987" type="#_x0000_t75" style="width:9.1pt;height:13.3pt" o:ole="">
            <v:imagedata r:id="rId1079" o:title=""/>
          </v:shape>
          <o:OLEObject Type="Embed" ProgID="Equation.DSMT4" ShapeID="_x0000_i2987" DrawAspect="Content" ObjectID="_1791376931" r:id="rId3960"/>
        </w:object>
      </w:r>
      <w:r w:rsidRPr="0026684F">
        <w:rPr>
          <w:rFonts w:eastAsiaTheme="minorEastAsia" w:hint="cs"/>
          <w:i/>
          <w:sz w:val="23"/>
          <w:szCs w:val="23"/>
          <w:rtl/>
        </w:rPr>
        <w:t xml:space="preserve"> یعنی (</w:t>
      </w:r>
      <w:r w:rsidRPr="00703635">
        <w:rPr>
          <w:position w:val="-22"/>
        </w:rPr>
        <w:object w:dxaOrig="520" w:dyaOrig="560" w14:anchorId="3CD12436">
          <v:shape id="_x0000_i2988" type="#_x0000_t75" style="width:26pt;height:27.85pt" o:ole="">
            <v:imagedata r:id="rId3961" o:title=""/>
          </v:shape>
          <o:OLEObject Type="Embed" ProgID="Equation.DSMT4" ShapeID="_x0000_i2988" DrawAspect="Content" ObjectID="_1791376932" r:id="rId3962"/>
        </w:object>
      </w:r>
      <w:r w:rsidRPr="0026684F">
        <w:rPr>
          <w:rFonts w:eastAsiaTheme="minorEastAsia" w:hint="cs"/>
          <w:i/>
          <w:sz w:val="23"/>
          <w:szCs w:val="23"/>
          <w:rtl/>
        </w:rPr>
        <w:t>) توسط بدهی دوره</w:t>
      </w:r>
      <w:r w:rsidRPr="0026684F">
        <w:rPr>
          <w:rFonts w:eastAsiaTheme="minorEastAsia"/>
          <w:i/>
          <w:sz w:val="23"/>
          <w:szCs w:val="23"/>
          <w:rtl/>
        </w:rPr>
        <w:softHyphen/>
      </w:r>
      <w:r w:rsidRPr="0026684F">
        <w:rPr>
          <w:rFonts w:eastAsiaTheme="minorEastAsia" w:hint="cs"/>
          <w:i/>
          <w:sz w:val="23"/>
          <w:szCs w:val="23"/>
          <w:rtl/>
        </w:rPr>
        <w:t>ی بعد تأمین می</w:t>
      </w:r>
      <w:r w:rsidRPr="0026684F">
        <w:rPr>
          <w:rFonts w:eastAsiaTheme="minorEastAsia"/>
          <w:i/>
          <w:sz w:val="23"/>
          <w:szCs w:val="23"/>
          <w:rtl/>
        </w:rPr>
        <w:softHyphen/>
      </w:r>
      <w:r w:rsidRPr="0026684F">
        <w:rPr>
          <w:rFonts w:eastAsiaTheme="minorEastAsia" w:hint="cs"/>
          <w:i/>
          <w:sz w:val="23"/>
          <w:szCs w:val="23"/>
          <w:rtl/>
        </w:rPr>
        <w:t>شود. اگر پارامتر</w:t>
      </w:r>
      <w:r w:rsidRPr="00703635">
        <w:rPr>
          <w:position w:val="-6"/>
        </w:rPr>
        <w:object w:dxaOrig="200" w:dyaOrig="260" w14:anchorId="3E66F845">
          <v:shape id="_x0000_i2989" type="#_x0000_t75" style="width:10.3pt;height:13.3pt" o:ole="">
            <v:imagedata r:id="rId3963" o:title=""/>
          </v:shape>
          <o:OLEObject Type="Embed" ProgID="Equation.DSMT4" ShapeID="_x0000_i2989" DrawAspect="Content" ObjectID="_1791376933" r:id="rId3964"/>
        </w:object>
      </w:r>
      <w:r w:rsidRPr="0026684F">
        <w:rPr>
          <w:rFonts w:eastAsiaTheme="minorEastAsia" w:hint="cs"/>
          <w:i/>
          <w:sz w:val="23"/>
          <w:szCs w:val="23"/>
          <w:rtl/>
        </w:rPr>
        <w:t xml:space="preserve"> کوچک باشد، آنگاه قسمت بیشتری از شوک مخارج دولت از طریق بدهی تأمین شده و چنانچه پارامتر</w:t>
      </w:r>
      <w:r w:rsidRPr="00703635">
        <w:rPr>
          <w:position w:val="-6"/>
        </w:rPr>
        <w:object w:dxaOrig="200" w:dyaOrig="260" w14:anchorId="0F4F41F1">
          <v:shape id="_x0000_i2990" type="#_x0000_t75" style="width:10.3pt;height:13.3pt" o:ole="">
            <v:imagedata r:id="rId3965" o:title=""/>
          </v:shape>
          <o:OLEObject Type="Embed" ProgID="Equation.DSMT4" ShapeID="_x0000_i2990" DrawAspect="Content" ObjectID="_1791376934" r:id="rId3966"/>
        </w:object>
      </w:r>
      <w:r w:rsidRPr="0026684F">
        <w:rPr>
          <w:rFonts w:eastAsiaTheme="minorEastAsia" w:hint="cs"/>
          <w:i/>
          <w:sz w:val="23"/>
          <w:szCs w:val="23"/>
          <w:rtl/>
        </w:rPr>
        <w:t xml:space="preserve"> بزرگ باشد، آنگاه قسمت بیشتری از شوک مخارج دولت از طریق مالیات تأمین اعتبار خواهد شد.</w:t>
      </w:r>
    </w:p>
    <w:p w14:paraId="3A9F4C6E"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 xml:space="preserve">اگر مخارج دولت به طور دائم از زمان </w:t>
      </w:r>
      <w:r w:rsidRPr="0026684F">
        <w:rPr>
          <w:rFonts w:eastAsiaTheme="minorEastAsia"/>
          <w:i/>
          <w:sz w:val="23"/>
          <w:szCs w:val="23"/>
        </w:rPr>
        <w:t>t</w:t>
      </w:r>
      <w:r w:rsidRPr="0026684F">
        <w:rPr>
          <w:rFonts w:eastAsiaTheme="minorEastAsia" w:hint="cs"/>
          <w:i/>
          <w:sz w:val="23"/>
          <w:szCs w:val="23"/>
          <w:rtl/>
        </w:rPr>
        <w:t xml:space="preserve"> افزایش یابد و این تغییر قابل پیش</w:t>
      </w:r>
      <w:r w:rsidRPr="0026684F">
        <w:rPr>
          <w:rFonts w:eastAsiaTheme="minorEastAsia"/>
          <w:i/>
          <w:sz w:val="23"/>
          <w:szCs w:val="23"/>
          <w:rtl/>
        </w:rPr>
        <w:softHyphen/>
      </w:r>
      <w:r w:rsidRPr="0026684F">
        <w:rPr>
          <w:rFonts w:eastAsiaTheme="minorEastAsia" w:hint="cs"/>
          <w:i/>
          <w:sz w:val="23"/>
          <w:szCs w:val="23"/>
          <w:rtl/>
        </w:rPr>
        <w:t xml:space="preserve">بینی باشد، آنگاه چون داشتیم </w:t>
      </w:r>
    </w:p>
    <w:p w14:paraId="0C43E032" w14:textId="77777777" w:rsidR="00411620" w:rsidRPr="0026684F" w:rsidRDefault="00411620" w:rsidP="00411620">
      <w:pPr>
        <w:pStyle w:val="MTDisplayEquation"/>
        <w:spacing w:line="216" w:lineRule="auto"/>
        <w:jc w:val="left"/>
        <w:rPr>
          <w:rFonts w:ascii="Times New Roman" w:eastAsiaTheme="minorEastAsia" w:hAnsi="Times New Roman" w:cs="B Nazanin"/>
          <w:i/>
          <w:sz w:val="23"/>
          <w:szCs w:val="23"/>
          <w:rtl/>
        </w:rPr>
      </w:pPr>
      <w:r w:rsidRPr="00703635">
        <w:rPr>
          <w:position w:val="-22"/>
        </w:rPr>
        <w:object w:dxaOrig="1680" w:dyaOrig="580" w14:anchorId="6EA169FA">
          <v:shape id="_x0000_i2991" type="#_x0000_t75" style="width:84.1pt;height:29.05pt" o:ole="">
            <v:imagedata r:id="rId3967" o:title=""/>
          </v:shape>
          <o:OLEObject Type="Embed" ProgID="Equation.DSMT4" ShapeID="_x0000_i2991" DrawAspect="Content" ObjectID="_1791376935" r:id="rId3968"/>
        </w:object>
      </w:r>
    </w:p>
    <w:p w14:paraId="22FCA101"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 xml:space="preserve">از آنجا که شوک مخارج دولت از زمان </w:t>
      </w:r>
      <w:r w:rsidRPr="0026684F">
        <w:rPr>
          <w:rFonts w:eastAsiaTheme="minorEastAsia"/>
          <w:i/>
          <w:sz w:val="23"/>
          <w:szCs w:val="23"/>
        </w:rPr>
        <w:t>t</w:t>
      </w:r>
      <w:r w:rsidRPr="0026684F">
        <w:rPr>
          <w:rFonts w:eastAsiaTheme="minorEastAsia" w:hint="cs"/>
          <w:i/>
          <w:sz w:val="23"/>
          <w:szCs w:val="23"/>
          <w:rtl/>
        </w:rPr>
        <w:t xml:space="preserve"> اعمال شده است، لذا برای زمان </w:t>
      </w:r>
      <w:r w:rsidRPr="0026684F">
        <w:rPr>
          <w:rFonts w:eastAsiaTheme="minorEastAsia"/>
          <w:i/>
          <w:sz w:val="23"/>
          <w:szCs w:val="23"/>
        </w:rPr>
        <w:t>t-1</w:t>
      </w:r>
      <w:r w:rsidRPr="0026684F">
        <w:rPr>
          <w:rFonts w:eastAsiaTheme="minorEastAsia" w:hint="cs"/>
          <w:i/>
          <w:sz w:val="23"/>
          <w:szCs w:val="23"/>
          <w:rtl/>
        </w:rPr>
        <w:t xml:space="preserve"> داریم</w:t>
      </w:r>
    </w:p>
    <w:p w14:paraId="50B957BD"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2"/>
        </w:rPr>
        <w:object w:dxaOrig="1320" w:dyaOrig="580" w14:anchorId="416B9B33">
          <v:shape id="_x0000_i2992" type="#_x0000_t75" style="width:65.95pt;height:29.05pt" o:ole="">
            <v:imagedata r:id="rId3969" o:title=""/>
          </v:shape>
          <o:OLEObject Type="Embed" ProgID="Equation.DSMT4" ShapeID="_x0000_i2992" DrawAspect="Content" ObjectID="_1791376936" r:id="rId3970"/>
        </w:object>
      </w:r>
    </w:p>
    <w:p w14:paraId="7167C639"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 xml:space="preserve">و چون در زمان </w:t>
      </w:r>
      <w:r w:rsidRPr="0026684F">
        <w:rPr>
          <w:rFonts w:eastAsiaTheme="minorEastAsia"/>
          <w:i/>
          <w:sz w:val="23"/>
          <w:szCs w:val="23"/>
        </w:rPr>
        <w:t>t</w:t>
      </w:r>
      <w:r w:rsidRPr="0026684F">
        <w:rPr>
          <w:rFonts w:eastAsiaTheme="minorEastAsia" w:hint="cs"/>
          <w:i/>
          <w:sz w:val="23"/>
          <w:szCs w:val="23"/>
          <w:rtl/>
        </w:rPr>
        <w:t xml:space="preserve"> مخارج دولت به میزان</w:t>
      </w:r>
      <w:r w:rsidRPr="00703635">
        <w:rPr>
          <w:position w:val="-8"/>
        </w:rPr>
        <w:object w:dxaOrig="340" w:dyaOrig="279" w14:anchorId="582DC546">
          <v:shape id="_x0000_i2993" type="#_x0000_t75" style="width:16.95pt;height:13.9pt" o:ole="">
            <v:imagedata r:id="rId3971" o:title=""/>
          </v:shape>
          <o:OLEObject Type="Embed" ProgID="Equation.DSMT4" ShapeID="_x0000_i2993" DrawAspect="Content" ObjectID="_1791376937" r:id="rId3972"/>
        </w:object>
      </w:r>
      <w:r w:rsidRPr="0026684F">
        <w:rPr>
          <w:rFonts w:eastAsiaTheme="minorEastAsia" w:hint="cs"/>
          <w:i/>
          <w:sz w:val="23"/>
          <w:szCs w:val="23"/>
          <w:rtl/>
        </w:rPr>
        <w:t xml:space="preserve"> افزایش می</w:t>
      </w:r>
      <w:r w:rsidRPr="0026684F">
        <w:rPr>
          <w:rFonts w:eastAsiaTheme="minorEastAsia"/>
          <w:i/>
          <w:sz w:val="23"/>
          <w:szCs w:val="23"/>
          <w:rtl/>
        </w:rPr>
        <w:softHyphen/>
      </w:r>
      <w:r w:rsidRPr="0026684F">
        <w:rPr>
          <w:rFonts w:eastAsiaTheme="minorEastAsia" w:hint="cs"/>
          <w:i/>
          <w:sz w:val="23"/>
          <w:szCs w:val="23"/>
          <w:rtl/>
        </w:rPr>
        <w:t>یابد، لذا داریم</w:t>
      </w:r>
    </w:p>
    <w:p w14:paraId="352C6D5F" w14:textId="77777777" w:rsidR="00411620" w:rsidRPr="0026684F" w:rsidRDefault="00411620" w:rsidP="00411620">
      <w:pPr>
        <w:tabs>
          <w:tab w:val="left" w:pos="1215"/>
        </w:tabs>
        <w:bidi w:val="0"/>
        <w:spacing w:line="216" w:lineRule="auto"/>
        <w:rPr>
          <w:rFonts w:eastAsiaTheme="minorEastAsia"/>
          <w:i/>
          <w:sz w:val="23"/>
          <w:szCs w:val="23"/>
          <w:rtl/>
        </w:rPr>
      </w:pPr>
      <w:r w:rsidRPr="0026684F">
        <w:rPr>
          <w:rFonts w:eastAsiaTheme="minorEastAsia" w:hint="cs"/>
          <w:i/>
          <w:sz w:val="23"/>
          <w:szCs w:val="23"/>
          <w:rtl/>
        </w:rPr>
        <w:t xml:space="preserve"> </w:t>
      </w:r>
      <w:r w:rsidRPr="00703635">
        <w:rPr>
          <w:position w:val="-22"/>
        </w:rPr>
        <w:object w:dxaOrig="2140" w:dyaOrig="580" w14:anchorId="6EF5EEC9">
          <v:shape id="_x0000_i2994" type="#_x0000_t75" style="width:107.1pt;height:29.05pt" o:ole="">
            <v:imagedata r:id="rId3973" o:title=""/>
          </v:shape>
          <o:OLEObject Type="Embed" ProgID="Equation.DSMT4" ShapeID="_x0000_i2994" DrawAspect="Content" ObjectID="_1791376938" r:id="rId3974"/>
        </w:object>
      </w:r>
    </w:p>
    <w:p w14:paraId="046CA850" w14:textId="77777777" w:rsidR="00411620" w:rsidRPr="0026684F" w:rsidRDefault="00411620" w:rsidP="00411620">
      <w:pPr>
        <w:tabs>
          <w:tab w:val="left" w:pos="1215"/>
        </w:tabs>
        <w:spacing w:line="216" w:lineRule="auto"/>
        <w:rPr>
          <w:rFonts w:eastAsiaTheme="minorEastAsia"/>
          <w:i/>
          <w:sz w:val="23"/>
          <w:szCs w:val="23"/>
          <w:rtl/>
          <w:lang w:val="el-GR"/>
        </w:rPr>
      </w:pPr>
      <w:r w:rsidRPr="0026684F">
        <w:rPr>
          <w:rFonts w:eastAsiaTheme="minorEastAsia" w:hint="cs"/>
          <w:i/>
          <w:sz w:val="23"/>
          <w:szCs w:val="23"/>
          <w:rtl/>
        </w:rPr>
        <w:t xml:space="preserve">و چون </w:t>
      </w:r>
      <w:r w:rsidRPr="00703635">
        <w:rPr>
          <w:position w:val="-10"/>
        </w:rPr>
        <w:object w:dxaOrig="999" w:dyaOrig="320" w14:anchorId="6BD6857C">
          <v:shape id="_x0000_i2995" type="#_x0000_t75" style="width:50.2pt;height:15.75pt" o:ole="">
            <v:imagedata r:id="rId3975" o:title=""/>
          </v:shape>
          <o:OLEObject Type="Embed" ProgID="Equation.DSMT4" ShapeID="_x0000_i2995" DrawAspect="Content" ObjectID="_1791376939" r:id="rId3976"/>
        </w:object>
      </w:r>
      <w:r w:rsidRPr="0026684F">
        <w:rPr>
          <w:rFonts w:eastAsiaTheme="minorEastAsia"/>
          <w:i/>
          <w:sz w:val="23"/>
          <w:szCs w:val="23"/>
        </w:rPr>
        <w:t xml:space="preserve"> </w:t>
      </w:r>
      <w:r w:rsidRPr="0026684F">
        <w:rPr>
          <w:rFonts w:eastAsiaTheme="minorEastAsia" w:hint="cs"/>
          <w:i/>
          <w:sz w:val="23"/>
          <w:szCs w:val="23"/>
          <w:rtl/>
        </w:rPr>
        <w:t xml:space="preserve">و </w:t>
      </w:r>
      <w:r w:rsidRPr="00703635">
        <w:rPr>
          <w:position w:val="-10"/>
        </w:rPr>
        <w:object w:dxaOrig="920" w:dyaOrig="320" w14:anchorId="1FCBD89D">
          <v:shape id="_x0000_i2996" type="#_x0000_t75" style="width:46pt;height:15.75pt" o:ole="">
            <v:imagedata r:id="rId3977" o:title=""/>
          </v:shape>
          <o:OLEObject Type="Embed" ProgID="Equation.DSMT4" ShapeID="_x0000_i2996" DrawAspect="Content" ObjectID="_1791376940" r:id="rId3978"/>
        </w:object>
      </w:r>
      <w:r w:rsidRPr="0026684F">
        <w:rPr>
          <w:rFonts w:eastAsiaTheme="minorEastAsia" w:hint="cs"/>
          <w:i/>
          <w:sz w:val="23"/>
          <w:szCs w:val="23"/>
          <w:rtl/>
          <w:lang w:val="el-GR"/>
        </w:rPr>
        <w:t xml:space="preserve"> است لذا</w:t>
      </w:r>
    </w:p>
    <w:p w14:paraId="5781AD86"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2"/>
        </w:rPr>
        <w:object w:dxaOrig="4200" w:dyaOrig="580" w14:anchorId="6A41CE88">
          <v:shape id="_x0000_i2997" type="#_x0000_t75" style="width:209.95pt;height:29.05pt" o:ole="">
            <v:imagedata r:id="rId3979" o:title=""/>
          </v:shape>
          <o:OLEObject Type="Embed" ProgID="Equation.DSMT4" ShapeID="_x0000_i2997" DrawAspect="Content" ObjectID="_1791376941" r:id="rId3980"/>
        </w:object>
      </w:r>
    </w:p>
    <w:p w14:paraId="24EACAD1" w14:textId="77777777" w:rsidR="00411620" w:rsidRPr="0026684F" w:rsidRDefault="00411620" w:rsidP="00411620">
      <w:pPr>
        <w:tabs>
          <w:tab w:val="left" w:pos="1215"/>
        </w:tabs>
        <w:spacing w:line="216" w:lineRule="auto"/>
        <w:rPr>
          <w:rFonts w:eastAsiaTheme="minorEastAsia"/>
          <w:i/>
          <w:sz w:val="23"/>
          <w:szCs w:val="23"/>
          <w:lang w:val="en-GB"/>
        </w:rPr>
      </w:pPr>
      <w:r w:rsidRPr="0026684F">
        <w:rPr>
          <w:rFonts w:eastAsiaTheme="minorEastAsia" w:hint="cs"/>
          <w:i/>
          <w:sz w:val="23"/>
          <w:szCs w:val="23"/>
          <w:rtl/>
        </w:rPr>
        <w:t>از طرفی داشتیم</w:t>
      </w:r>
    </w:p>
    <w:p w14:paraId="5E73854C"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34"/>
        </w:rPr>
        <w:object w:dxaOrig="2200" w:dyaOrig="700" w14:anchorId="799D2CE4">
          <v:shape id="_x0000_i2998" type="#_x0000_t75" style="width:110.1pt;height:35.1pt" o:ole="">
            <v:imagedata r:id="rId3981" o:title=""/>
          </v:shape>
          <o:OLEObject Type="Embed" ProgID="Equation.DSMT4" ShapeID="_x0000_i2998" DrawAspect="Content" ObjectID="_1791376942" r:id="rId3982"/>
        </w:object>
      </w:r>
    </w:p>
    <w:p w14:paraId="10CD987E"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26684F">
        <w:rPr>
          <w:rFonts w:ascii="Times New Roman" w:hAnsi="Times New Roman" w:cs="B Nazanin"/>
          <w:i/>
          <w:sz w:val="23"/>
          <w:szCs w:val="23"/>
        </w:rPr>
        <w:lastRenderedPageBreak/>
        <w:tab/>
      </w:r>
      <w:r w:rsidRPr="00703635">
        <w:rPr>
          <w:position w:val="-34"/>
        </w:rPr>
        <w:object w:dxaOrig="5280" w:dyaOrig="700" w14:anchorId="1DD01FD7">
          <v:shape id="_x0000_i2999" type="#_x0000_t75" style="width:263.8pt;height:35.1pt" o:ole="">
            <v:imagedata r:id="rId3983" o:title=""/>
          </v:shape>
          <o:OLEObject Type="Embed" ProgID="Equation.DSMT4" ShapeID="_x0000_i2999" DrawAspect="Content" ObjectID="_1791376943" r:id="rId3984"/>
        </w:object>
      </w:r>
    </w:p>
    <w:p w14:paraId="3A5FD21F" w14:textId="77777777" w:rsidR="00411620" w:rsidRPr="0026684F" w:rsidRDefault="00411620" w:rsidP="00411620">
      <w:pPr>
        <w:tabs>
          <w:tab w:val="left" w:pos="1215"/>
        </w:tabs>
        <w:spacing w:line="216" w:lineRule="auto"/>
        <w:rPr>
          <w:rFonts w:eastAsiaTheme="minorEastAsia"/>
          <w:i/>
          <w:sz w:val="23"/>
          <w:szCs w:val="23"/>
          <w:lang w:val="en-GB"/>
        </w:rPr>
      </w:pPr>
      <w:r w:rsidRPr="0026684F">
        <w:rPr>
          <w:rFonts w:eastAsiaTheme="minorEastAsia" w:hint="cs"/>
          <w:i/>
          <w:sz w:val="23"/>
          <w:szCs w:val="23"/>
          <w:rtl/>
        </w:rPr>
        <w:t>بنابراین</w:t>
      </w:r>
    </w:p>
    <w:p w14:paraId="090CB985"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2"/>
        </w:rPr>
        <w:object w:dxaOrig="2299" w:dyaOrig="580" w14:anchorId="54623C11">
          <v:shape id="_x0000_i3000" type="#_x0000_t75" style="width:114.95pt;height:29.05pt" o:ole="">
            <v:imagedata r:id="rId3985" o:title=""/>
          </v:shape>
          <o:OLEObject Type="Embed" ProgID="Equation.DSMT4" ShapeID="_x0000_i3000" DrawAspect="Content" ObjectID="_1791376944" r:id="rId3986"/>
        </w:object>
      </w:r>
    </w:p>
    <w:p w14:paraId="4835D704"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یعنی انتظارات بدهی دولت برای دوره</w:t>
      </w:r>
      <w:r w:rsidRPr="0026684F">
        <w:rPr>
          <w:rFonts w:eastAsiaTheme="minorEastAsia"/>
          <w:i/>
          <w:sz w:val="23"/>
          <w:szCs w:val="23"/>
          <w:rtl/>
        </w:rPr>
        <w:softHyphen/>
      </w:r>
      <w:r w:rsidRPr="0026684F">
        <w:rPr>
          <w:rFonts w:eastAsiaTheme="minorEastAsia" w:hint="cs"/>
          <w:i/>
          <w:sz w:val="23"/>
          <w:szCs w:val="23"/>
          <w:rtl/>
        </w:rPr>
        <w:t xml:space="preserve">ی </w:t>
      </w:r>
      <w:r w:rsidRPr="0026684F">
        <w:rPr>
          <w:rFonts w:eastAsiaTheme="minorEastAsia"/>
          <w:i/>
          <w:sz w:val="23"/>
          <w:szCs w:val="23"/>
        </w:rPr>
        <w:t>t+1</w:t>
      </w:r>
      <w:r w:rsidRPr="0026684F">
        <w:rPr>
          <w:rFonts w:eastAsiaTheme="minorEastAsia" w:hint="cs"/>
          <w:i/>
          <w:sz w:val="23"/>
          <w:szCs w:val="23"/>
          <w:rtl/>
        </w:rPr>
        <w:t xml:space="preserve"> با توجه به اطلاعات در زمان</w:t>
      </w:r>
      <w:r w:rsidRPr="0026684F">
        <w:rPr>
          <w:rFonts w:eastAsiaTheme="minorEastAsia"/>
          <w:i/>
          <w:sz w:val="23"/>
          <w:szCs w:val="23"/>
        </w:rPr>
        <w:t xml:space="preserve">t </w:t>
      </w:r>
      <w:r w:rsidRPr="0026684F">
        <w:rPr>
          <w:rFonts w:eastAsiaTheme="minorEastAsia" w:hint="cs"/>
          <w:i/>
          <w:sz w:val="23"/>
          <w:szCs w:val="23"/>
          <w:rtl/>
        </w:rPr>
        <w:t xml:space="preserve"> یا </w:t>
      </w:r>
      <w:r w:rsidRPr="00703635">
        <w:rPr>
          <w:position w:val="-10"/>
        </w:rPr>
        <w:object w:dxaOrig="580" w:dyaOrig="320" w14:anchorId="57A74485">
          <v:shape id="_x0000_i3001" type="#_x0000_t75" style="width:29.05pt;height:15.75pt" o:ole="">
            <v:imagedata r:id="rId3987" o:title=""/>
          </v:shape>
          <o:OLEObject Type="Embed" ProgID="Equation.DSMT4" ShapeID="_x0000_i3001" DrawAspect="Content" ObjectID="_1791376945" r:id="rId3988"/>
        </w:object>
      </w:r>
      <w:r w:rsidRPr="0026684F">
        <w:rPr>
          <w:rFonts w:eastAsiaTheme="minorEastAsia" w:hint="cs"/>
          <w:i/>
          <w:sz w:val="23"/>
          <w:szCs w:val="23"/>
          <w:rtl/>
        </w:rPr>
        <w:t xml:space="preserve"> برابر است با بدهی دولت در زمان</w:t>
      </w:r>
      <w:r w:rsidRPr="00703635">
        <w:rPr>
          <w:position w:val="-6"/>
        </w:rPr>
        <w:object w:dxaOrig="139" w:dyaOrig="240" w14:anchorId="46FC952E">
          <v:shape id="_x0000_i3002" type="#_x0000_t75" style="width:7.25pt;height:11.5pt" o:ole="">
            <v:imagedata r:id="rId3989" o:title=""/>
          </v:shape>
          <o:OLEObject Type="Embed" ProgID="Equation.DSMT4" ShapeID="_x0000_i3002" DrawAspect="Content" ObjectID="_1791376946" r:id="rId3990"/>
        </w:object>
      </w:r>
      <w:r w:rsidRPr="0026684F">
        <w:rPr>
          <w:rFonts w:eastAsiaTheme="minorEastAsia"/>
          <w:i/>
          <w:sz w:val="23"/>
          <w:szCs w:val="23"/>
        </w:rPr>
        <w:t xml:space="preserve"> </w:t>
      </w:r>
      <w:r w:rsidRPr="0026684F">
        <w:rPr>
          <w:rFonts w:eastAsiaTheme="minorEastAsia" w:hint="cs"/>
          <w:i/>
          <w:sz w:val="23"/>
          <w:szCs w:val="23"/>
          <w:rtl/>
        </w:rPr>
        <w:t xml:space="preserve">یا </w:t>
      </w:r>
      <w:r w:rsidRPr="00703635">
        <w:rPr>
          <w:position w:val="-10"/>
        </w:rPr>
        <w:object w:dxaOrig="220" w:dyaOrig="320" w14:anchorId="62F3F102">
          <v:shape id="_x0000_i3003" type="#_x0000_t75" style="width:10.9pt;height:15.75pt" o:ole="">
            <v:imagedata r:id="rId3991" o:title=""/>
          </v:shape>
          <o:OLEObject Type="Embed" ProgID="Equation.DSMT4" ShapeID="_x0000_i3003" DrawAspect="Content" ObjectID="_1791376947" r:id="rId3992"/>
        </w:object>
      </w:r>
      <w:r w:rsidRPr="0026684F">
        <w:rPr>
          <w:rFonts w:eastAsiaTheme="minorEastAsia" w:hint="cs"/>
          <w:i/>
          <w:sz w:val="23"/>
          <w:szCs w:val="23"/>
          <w:rtl/>
        </w:rPr>
        <w:t>، و لذا انتظار می</w:t>
      </w:r>
      <w:r w:rsidRPr="0026684F">
        <w:rPr>
          <w:rFonts w:eastAsiaTheme="minorEastAsia"/>
          <w:i/>
          <w:sz w:val="23"/>
          <w:szCs w:val="23"/>
          <w:rtl/>
        </w:rPr>
        <w:softHyphen/>
      </w:r>
      <w:r w:rsidRPr="0026684F">
        <w:rPr>
          <w:rFonts w:eastAsiaTheme="minorEastAsia" w:hint="cs"/>
          <w:i/>
          <w:sz w:val="23"/>
          <w:szCs w:val="23"/>
          <w:rtl/>
        </w:rPr>
        <w:t>رود بدهی دولت بدون تغییر باقی بماند.</w:t>
      </w:r>
    </w:p>
    <w:p w14:paraId="54869B07"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از طرفی قید بودجه</w:t>
      </w:r>
      <w:r w:rsidRPr="0026684F">
        <w:rPr>
          <w:rFonts w:eastAsiaTheme="minorEastAsia"/>
          <w:i/>
          <w:sz w:val="23"/>
          <w:szCs w:val="23"/>
          <w:rtl/>
        </w:rPr>
        <w:softHyphen/>
      </w:r>
      <w:r w:rsidRPr="0026684F">
        <w:rPr>
          <w:rFonts w:eastAsiaTheme="minorEastAsia" w:hint="cs"/>
          <w:i/>
          <w:sz w:val="23"/>
          <w:szCs w:val="23"/>
          <w:rtl/>
        </w:rPr>
        <w:t>ی دولت در زمان</w:t>
      </w:r>
      <w:r w:rsidRPr="0026684F">
        <w:rPr>
          <w:rFonts w:eastAsiaTheme="minorEastAsia"/>
          <w:i/>
          <w:sz w:val="23"/>
          <w:szCs w:val="23"/>
        </w:rPr>
        <w:t>t-1</w:t>
      </w:r>
      <w:r w:rsidRPr="0026684F">
        <w:rPr>
          <w:rFonts w:eastAsiaTheme="minorEastAsia" w:hint="cs"/>
          <w:i/>
          <w:sz w:val="23"/>
          <w:szCs w:val="23"/>
          <w:rtl/>
        </w:rPr>
        <w:t xml:space="preserve"> و </w:t>
      </w:r>
      <w:r w:rsidRPr="0026684F">
        <w:rPr>
          <w:rFonts w:eastAsiaTheme="minorEastAsia"/>
          <w:i/>
          <w:sz w:val="23"/>
          <w:szCs w:val="23"/>
        </w:rPr>
        <w:t>t</w:t>
      </w:r>
      <w:r w:rsidRPr="0026684F">
        <w:rPr>
          <w:rFonts w:eastAsiaTheme="minorEastAsia" w:hint="cs"/>
          <w:i/>
          <w:sz w:val="23"/>
          <w:szCs w:val="23"/>
          <w:rtl/>
        </w:rPr>
        <w:t xml:space="preserve"> برابر است با </w:t>
      </w:r>
    </w:p>
    <w:p w14:paraId="4AF64EEF"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lang w:val="el-GR"/>
        </w:rPr>
      </w:pPr>
      <w:r w:rsidRPr="00703635">
        <w:rPr>
          <w:position w:val="-22"/>
        </w:rPr>
        <w:object w:dxaOrig="3700" w:dyaOrig="580" w14:anchorId="4371B7C3">
          <v:shape id="_x0000_i3004" type="#_x0000_t75" style="width:184.55pt;height:29.05pt" o:ole="">
            <v:imagedata r:id="rId3993" o:title=""/>
          </v:shape>
          <o:OLEObject Type="Embed" ProgID="Equation.DSMT4" ShapeID="_x0000_i3004" DrawAspect="Content" ObjectID="_1791376948" r:id="rId3994"/>
        </w:object>
      </w:r>
    </w:p>
    <w:p w14:paraId="663EF62C" w14:textId="77777777" w:rsidR="00411620" w:rsidRPr="0026684F" w:rsidRDefault="00411620" w:rsidP="00411620">
      <w:pPr>
        <w:pStyle w:val="MTDisplayEquation"/>
        <w:spacing w:line="216" w:lineRule="auto"/>
        <w:rPr>
          <w:rFonts w:ascii="Times New Roman" w:eastAsiaTheme="minorEastAsia" w:hAnsi="Times New Roman" w:cs="B Nazanin"/>
          <w:i/>
          <w:sz w:val="23"/>
          <w:szCs w:val="23"/>
          <w:rtl/>
        </w:rPr>
      </w:pPr>
      <w:r w:rsidRPr="00703635">
        <w:rPr>
          <w:position w:val="-22"/>
        </w:rPr>
        <w:object w:dxaOrig="4040" w:dyaOrig="620" w14:anchorId="7CA38C1A">
          <v:shape id="_x0000_i3005" type="#_x0000_t75" style="width:202.1pt;height:31.45pt" o:ole="">
            <v:imagedata r:id="rId3995" o:title=""/>
          </v:shape>
          <o:OLEObject Type="Embed" ProgID="Equation.DSMT4" ShapeID="_x0000_i3005" DrawAspect="Content" ObjectID="_1791376949" r:id="rId3996"/>
        </w:object>
      </w:r>
    </w:p>
    <w:p w14:paraId="1876DD8A" w14:textId="77777777" w:rsidR="00411620" w:rsidRPr="0026684F" w:rsidRDefault="00411620" w:rsidP="00411620">
      <w:pPr>
        <w:tabs>
          <w:tab w:val="left" w:pos="1215"/>
        </w:tabs>
        <w:spacing w:line="216" w:lineRule="auto"/>
        <w:rPr>
          <w:rFonts w:eastAsiaTheme="minorEastAsia"/>
          <w:i/>
          <w:sz w:val="23"/>
          <w:szCs w:val="23"/>
          <w:rtl/>
        </w:rPr>
      </w:pPr>
      <w:r w:rsidRPr="0026684F">
        <w:rPr>
          <w:rFonts w:eastAsiaTheme="minorEastAsia" w:hint="cs"/>
          <w:i/>
          <w:sz w:val="23"/>
          <w:szCs w:val="23"/>
          <w:rtl/>
        </w:rPr>
        <w:t>و چون بدهی دولت بدون تغییر باقی می</w:t>
      </w:r>
      <w:r w:rsidRPr="0026684F">
        <w:rPr>
          <w:rFonts w:eastAsiaTheme="minorEastAsia"/>
          <w:i/>
          <w:sz w:val="23"/>
          <w:szCs w:val="23"/>
          <w:rtl/>
        </w:rPr>
        <w:softHyphen/>
      </w:r>
      <w:r w:rsidRPr="0026684F">
        <w:rPr>
          <w:rFonts w:eastAsiaTheme="minorEastAsia" w:hint="cs"/>
          <w:i/>
          <w:sz w:val="23"/>
          <w:szCs w:val="23"/>
          <w:rtl/>
        </w:rPr>
        <w:t>ماند لذا</w:t>
      </w:r>
      <w:r w:rsidRPr="00703635">
        <w:rPr>
          <w:position w:val="-10"/>
        </w:rPr>
        <w:object w:dxaOrig="720" w:dyaOrig="320" w14:anchorId="2942C09A">
          <v:shape id="_x0000_i3006" type="#_x0000_t75" style="width:36.3pt;height:15.75pt" o:ole="">
            <v:imagedata r:id="rId3997" o:title=""/>
          </v:shape>
          <o:OLEObject Type="Embed" ProgID="Equation.DSMT4" ShapeID="_x0000_i3006" DrawAspect="Content" ObjectID="_1791376950" r:id="rId3998"/>
        </w:object>
      </w:r>
      <w:r w:rsidRPr="0026684F">
        <w:rPr>
          <w:rFonts w:eastAsiaTheme="minorEastAsia"/>
          <w:i/>
          <w:sz w:val="23"/>
          <w:szCs w:val="23"/>
        </w:rPr>
        <w:t xml:space="preserve"> </w:t>
      </w:r>
      <w:r w:rsidRPr="0026684F">
        <w:rPr>
          <w:rFonts w:eastAsiaTheme="minorEastAsia" w:hint="cs"/>
          <w:i/>
          <w:sz w:val="23"/>
          <w:szCs w:val="23"/>
          <w:rtl/>
        </w:rPr>
        <w:t>است و در نتیجه</w:t>
      </w:r>
    </w:p>
    <w:p w14:paraId="231DABA9" w14:textId="77777777" w:rsidR="00411620" w:rsidRPr="0026684F" w:rsidRDefault="00411620" w:rsidP="00411620">
      <w:pPr>
        <w:tabs>
          <w:tab w:val="left" w:pos="1215"/>
        </w:tabs>
        <w:bidi w:val="0"/>
        <w:spacing w:line="216" w:lineRule="auto"/>
        <w:rPr>
          <w:i/>
          <w:sz w:val="23"/>
          <w:szCs w:val="23"/>
        </w:rPr>
      </w:pPr>
      <w:r w:rsidRPr="00703635">
        <w:rPr>
          <w:position w:val="-10"/>
        </w:rPr>
        <w:object w:dxaOrig="3920" w:dyaOrig="320" w14:anchorId="00E390DE">
          <v:shape id="_x0000_i3007" type="#_x0000_t75" style="width:196.05pt;height:15.75pt" o:ole="">
            <v:imagedata r:id="rId3999" o:title=""/>
          </v:shape>
          <o:OLEObject Type="Embed" ProgID="Equation.DSMT4" ShapeID="_x0000_i3007" DrawAspect="Content" ObjectID="_1791376951" r:id="rId4000"/>
        </w:object>
      </w:r>
    </w:p>
    <w:p w14:paraId="444F3289" w14:textId="77777777" w:rsidR="00411620" w:rsidRPr="0026684F" w:rsidRDefault="00411620" w:rsidP="00411620">
      <w:pPr>
        <w:tabs>
          <w:tab w:val="left" w:pos="1215"/>
        </w:tabs>
        <w:bidi w:val="0"/>
        <w:spacing w:line="216" w:lineRule="auto"/>
        <w:rPr>
          <w:rFonts w:eastAsiaTheme="minorEastAsia"/>
          <w:i/>
          <w:sz w:val="23"/>
          <w:szCs w:val="23"/>
          <w:lang w:val="en-GB"/>
        </w:rPr>
      </w:pPr>
      <w:r w:rsidRPr="00703635">
        <w:rPr>
          <w:position w:val="-10"/>
        </w:rPr>
        <w:object w:dxaOrig="1820" w:dyaOrig="320" w14:anchorId="35393B9D">
          <v:shape id="_x0000_i3008" type="#_x0000_t75" style="width:90.75pt;height:15.75pt" o:ole="">
            <v:imagedata r:id="rId4001" o:title=""/>
          </v:shape>
          <o:OLEObject Type="Embed" ProgID="Equation.DSMT4" ShapeID="_x0000_i3008" DrawAspect="Content" ObjectID="_1791376952" r:id="rId4002"/>
        </w:object>
      </w:r>
    </w:p>
    <w:p w14:paraId="2D5277D4" w14:textId="77777777" w:rsidR="00411620" w:rsidRDefault="00411620" w:rsidP="00411620">
      <w:pPr>
        <w:tabs>
          <w:tab w:val="left" w:pos="1215"/>
        </w:tabs>
        <w:spacing w:line="216" w:lineRule="auto"/>
        <w:rPr>
          <w:rFonts w:eastAsiaTheme="minorEastAsia"/>
          <w:i/>
          <w:sz w:val="23"/>
          <w:szCs w:val="23"/>
          <w:rtl/>
          <w:lang w:val="el-GR"/>
        </w:rPr>
      </w:pPr>
      <w:r w:rsidRPr="0026684F">
        <w:rPr>
          <w:rFonts w:eastAsiaTheme="minorEastAsia"/>
          <w:i/>
          <w:sz w:val="23"/>
          <w:szCs w:val="23"/>
        </w:rPr>
        <w:t xml:space="preserve"> </w:t>
      </w:r>
      <w:r w:rsidRPr="0026684F">
        <w:rPr>
          <w:rFonts w:eastAsiaTheme="minorEastAsia" w:hint="cs"/>
          <w:i/>
          <w:sz w:val="23"/>
          <w:szCs w:val="23"/>
          <w:rtl/>
        </w:rPr>
        <w:t>بنابراین افزایش دائمی مخارج دولت به میزان</w:t>
      </w:r>
      <w:r w:rsidRPr="00703635">
        <w:rPr>
          <w:position w:val="-8"/>
        </w:rPr>
        <w:object w:dxaOrig="340" w:dyaOrig="279" w14:anchorId="6FB0BAE5">
          <v:shape id="_x0000_i3009" type="#_x0000_t75" style="width:16.95pt;height:13.9pt" o:ole="">
            <v:imagedata r:id="rId4003" o:title=""/>
          </v:shape>
          <o:OLEObject Type="Embed" ProgID="Equation.DSMT4" ShapeID="_x0000_i3009" DrawAspect="Content" ObjectID="_1791376953" r:id="rId4004"/>
        </w:object>
      </w:r>
      <w:r w:rsidRPr="0026684F">
        <w:rPr>
          <w:rFonts w:eastAsiaTheme="minorEastAsia" w:hint="cs"/>
          <w:i/>
          <w:sz w:val="23"/>
          <w:szCs w:val="23"/>
          <w:rtl/>
        </w:rPr>
        <w:t xml:space="preserve"> باعث افزایش مالیات</w:t>
      </w:r>
      <w:r w:rsidRPr="0026684F">
        <w:rPr>
          <w:rFonts w:eastAsiaTheme="minorEastAsia"/>
          <w:i/>
          <w:sz w:val="23"/>
          <w:szCs w:val="23"/>
          <w:rtl/>
        </w:rPr>
        <w:softHyphen/>
      </w:r>
      <w:r w:rsidRPr="0026684F">
        <w:rPr>
          <w:rFonts w:eastAsiaTheme="minorEastAsia" w:hint="cs"/>
          <w:i/>
          <w:sz w:val="23"/>
          <w:szCs w:val="23"/>
          <w:rtl/>
        </w:rPr>
        <w:t xml:space="preserve">های کل </w:t>
      </w:r>
      <w:r w:rsidRPr="00703635">
        <w:rPr>
          <w:position w:val="-10"/>
        </w:rPr>
        <w:object w:dxaOrig="240" w:dyaOrig="320" w14:anchorId="69FEC5C2">
          <v:shape id="_x0000_i3010" type="#_x0000_t75" style="width:11.5pt;height:15.75pt" o:ole="">
            <v:imagedata r:id="rId4005" o:title=""/>
          </v:shape>
          <o:OLEObject Type="Embed" ProgID="Equation.DSMT4" ShapeID="_x0000_i3010" DrawAspect="Content" ObjectID="_1791376954" r:id="rId4006"/>
        </w:object>
      </w:r>
      <w:r w:rsidRPr="0026684F">
        <w:rPr>
          <w:rFonts w:eastAsiaTheme="minorEastAsia" w:hint="cs"/>
          <w:i/>
          <w:sz w:val="23"/>
          <w:szCs w:val="23"/>
          <w:rtl/>
          <w:lang w:val="el-GR"/>
        </w:rPr>
        <w:t xml:space="preserve"> خواهد شد و بدهی دولت</w:t>
      </w:r>
      <w:r w:rsidRPr="00703635">
        <w:rPr>
          <w:position w:val="-10"/>
        </w:rPr>
        <w:object w:dxaOrig="220" w:dyaOrig="320" w14:anchorId="6DF58E8C">
          <v:shape id="_x0000_i3011" type="#_x0000_t75" style="width:10.9pt;height:15.75pt" o:ole="">
            <v:imagedata r:id="rId4007" o:title=""/>
          </v:shape>
          <o:OLEObject Type="Embed" ProgID="Equation.DSMT4" ShapeID="_x0000_i3011" DrawAspect="Content" ObjectID="_1791376955" r:id="rId4008"/>
        </w:object>
      </w:r>
      <w:r w:rsidRPr="0026684F">
        <w:rPr>
          <w:rFonts w:eastAsiaTheme="minorEastAsia" w:hint="cs"/>
          <w:i/>
          <w:sz w:val="23"/>
          <w:szCs w:val="23"/>
          <w:rtl/>
          <w:lang w:val="el-GR"/>
        </w:rPr>
        <w:t xml:space="preserve"> بدون تغییر باقی خواهد ماند. بنابراین شوک</w:t>
      </w:r>
      <w:r w:rsidRPr="0026684F">
        <w:rPr>
          <w:rFonts w:eastAsiaTheme="minorEastAsia"/>
          <w:i/>
          <w:sz w:val="23"/>
          <w:szCs w:val="23"/>
          <w:rtl/>
          <w:lang w:val="el-GR"/>
        </w:rPr>
        <w:softHyphen/>
      </w:r>
      <w:r w:rsidRPr="0026684F">
        <w:rPr>
          <w:rFonts w:eastAsiaTheme="minorEastAsia" w:hint="cs"/>
          <w:i/>
          <w:sz w:val="23"/>
          <w:szCs w:val="23"/>
          <w:rtl/>
          <w:lang w:val="el-GR"/>
        </w:rPr>
        <w:t>های دائمیِ افزایش مخارج دولت همانند افزایش مخارج بهداشت و درمان، آموزش و پرورش و ... می</w:t>
      </w:r>
      <w:r w:rsidRPr="0026684F">
        <w:rPr>
          <w:rFonts w:eastAsiaTheme="minorEastAsia"/>
          <w:i/>
          <w:sz w:val="23"/>
          <w:szCs w:val="23"/>
          <w:rtl/>
          <w:lang w:val="el-GR"/>
        </w:rPr>
        <w:softHyphen/>
      </w:r>
      <w:r w:rsidRPr="0026684F">
        <w:rPr>
          <w:rFonts w:eastAsiaTheme="minorEastAsia" w:hint="cs"/>
          <w:i/>
          <w:sz w:val="23"/>
          <w:szCs w:val="23"/>
          <w:rtl/>
          <w:lang w:val="el-GR"/>
        </w:rPr>
        <w:t>بایست از طریق مالیات، و شوک</w:t>
      </w:r>
      <w:r w:rsidRPr="0026684F">
        <w:rPr>
          <w:rFonts w:eastAsiaTheme="minorEastAsia"/>
          <w:i/>
          <w:sz w:val="23"/>
          <w:szCs w:val="23"/>
          <w:rtl/>
          <w:lang w:val="el-GR"/>
        </w:rPr>
        <w:softHyphen/>
      </w:r>
      <w:r w:rsidRPr="0026684F">
        <w:rPr>
          <w:rFonts w:eastAsiaTheme="minorEastAsia" w:hint="cs"/>
          <w:i/>
          <w:sz w:val="23"/>
          <w:szCs w:val="23"/>
          <w:rtl/>
          <w:lang w:val="el-GR"/>
        </w:rPr>
        <w:t>های موقتی افزایش مخارج دولت می</w:t>
      </w:r>
      <w:r w:rsidRPr="0026684F">
        <w:rPr>
          <w:rFonts w:eastAsiaTheme="minorEastAsia"/>
          <w:i/>
          <w:sz w:val="23"/>
          <w:szCs w:val="23"/>
          <w:rtl/>
          <w:lang w:val="el-GR"/>
        </w:rPr>
        <w:softHyphen/>
      </w:r>
      <w:r w:rsidRPr="0026684F">
        <w:rPr>
          <w:rFonts w:eastAsiaTheme="minorEastAsia" w:hint="cs"/>
          <w:i/>
          <w:sz w:val="23"/>
          <w:szCs w:val="23"/>
          <w:rtl/>
          <w:lang w:val="el-GR"/>
        </w:rPr>
        <w:t>بایست از طریق اوراق قرضه</w:t>
      </w:r>
      <w:r w:rsidRPr="0026684F">
        <w:rPr>
          <w:rFonts w:eastAsiaTheme="minorEastAsia"/>
          <w:i/>
          <w:sz w:val="23"/>
          <w:szCs w:val="23"/>
          <w:rtl/>
          <w:lang w:val="el-GR"/>
        </w:rPr>
        <w:softHyphen/>
      </w:r>
      <w:r>
        <w:rPr>
          <w:rFonts w:eastAsiaTheme="minorEastAsia" w:hint="cs"/>
          <w:i/>
          <w:sz w:val="23"/>
          <w:szCs w:val="23"/>
          <w:rtl/>
          <w:lang w:val="el-GR"/>
        </w:rPr>
        <w:t>ی دولتی تأمین اعتبار شوند.</w:t>
      </w:r>
      <w:r>
        <w:rPr>
          <w:rFonts w:eastAsiaTheme="minorEastAsia"/>
          <w:i/>
          <w:sz w:val="23"/>
          <w:szCs w:val="23"/>
          <w:rtl/>
          <w:lang w:val="el-GR"/>
        </w:rPr>
        <w:br w:type="page"/>
      </w:r>
    </w:p>
    <w:p w14:paraId="4FCBD37C" w14:textId="77777777" w:rsidR="00411620" w:rsidRDefault="00411620" w:rsidP="00411620">
      <w:pPr>
        <w:tabs>
          <w:tab w:val="left" w:pos="1215"/>
        </w:tabs>
        <w:spacing w:line="216" w:lineRule="auto"/>
        <w:rPr>
          <w:rFonts w:eastAsiaTheme="minorEastAsia"/>
          <w:i/>
          <w:sz w:val="23"/>
          <w:szCs w:val="23"/>
          <w:lang w:val="el-GR"/>
        </w:rPr>
      </w:pPr>
    </w:p>
    <w:p w14:paraId="2E6239D6" w14:textId="77777777" w:rsidR="00411620" w:rsidRPr="003B28FD" w:rsidRDefault="00411620" w:rsidP="00411620">
      <w:pPr>
        <w:pStyle w:val="a3"/>
        <w:spacing w:before="1080" w:after="720" w:line="216" w:lineRule="auto"/>
        <w:ind w:left="57"/>
        <w:rPr>
          <w:rFonts w:cs="B Nazanin"/>
          <w:b w:val="0"/>
          <w:i/>
          <w:color w:val="auto"/>
          <w:sz w:val="40"/>
          <w:szCs w:val="40"/>
        </w:rPr>
      </w:pPr>
      <w:r w:rsidRPr="003B28FD">
        <w:rPr>
          <w:rFonts w:cs="B Nazanin" w:hint="cs"/>
          <w:b w:val="0"/>
          <w:i/>
          <w:color w:val="auto"/>
          <w:sz w:val="40"/>
          <w:szCs w:val="40"/>
          <w:rtl/>
        </w:rPr>
        <w:t>فصل ششم</w:t>
      </w:r>
    </w:p>
    <w:p w14:paraId="09518B9B" w14:textId="77777777" w:rsidR="00411620" w:rsidRPr="003B28FD" w:rsidRDefault="00411620" w:rsidP="00411620">
      <w:pPr>
        <w:pStyle w:val="a4"/>
        <w:pBdr>
          <w:top w:val="none" w:sz="0" w:space="0" w:color="auto"/>
          <w:bottom w:val="none" w:sz="0" w:space="0" w:color="auto"/>
        </w:pBdr>
        <w:shd w:val="clear" w:color="auto" w:fill="auto"/>
        <w:spacing w:after="0" w:line="216" w:lineRule="auto"/>
        <w:rPr>
          <w:rFonts w:ascii="Times New Roman" w:eastAsia="Yu Gothic UI" w:hAnsi="Times New Roman" w:cs="B Nazanin"/>
          <w:b w:val="0"/>
          <w:i/>
          <w:sz w:val="40"/>
          <w:szCs w:val="40"/>
          <w:rtl/>
          <w14:glow w14:rad="0">
            <w14:srgbClr w14:val="000000">
              <w14:alpha w14:val="91000"/>
            </w14:srgbClr>
          </w14:glow>
          <w14:shadow w14:blurRad="63500" w14:dist="0" w14:dir="0" w14:sx="1000" w14:sy="1000" w14:kx="0" w14:ky="0" w14:algn="ctr">
            <w14:srgbClr w14:val="000000">
              <w14:alpha w14:val="16000"/>
            </w14:srgbClr>
          </w14:shadow>
          <w14:ligatures w14:val="all"/>
        </w:rPr>
      </w:pPr>
      <w:r w:rsidRPr="003B28FD">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14:ligatures w14:val="all"/>
        </w:rPr>
        <w:t>سیاست</w:t>
      </w:r>
      <w:r w:rsidRPr="003B28FD">
        <w:rPr>
          <w:rFonts w:ascii="Times New Roman" w:eastAsia="Yu Gothic UI" w:hAnsi="Times New Roman" w:cs="B Nazanin"/>
          <w:b w:val="0"/>
          <w:i/>
          <w:sz w:val="40"/>
          <w:szCs w:val="40"/>
          <w:rtl/>
          <w14:glow w14:rad="0">
            <w14:srgbClr w14:val="000000">
              <w14:alpha w14:val="91000"/>
            </w14:srgbClr>
          </w14:glow>
          <w14:shadow w14:blurRad="63500" w14:dist="0" w14:dir="0" w14:sx="1000" w14:sy="1000" w14:kx="0" w14:ky="0" w14:algn="ctr">
            <w14:srgbClr w14:val="000000">
              <w14:alpha w14:val="16000"/>
            </w14:srgbClr>
          </w14:shadow>
          <w14:ligatures w14:val="all"/>
        </w:rPr>
        <w:softHyphen/>
      </w:r>
      <w:r w:rsidRPr="003B28FD">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14:ligatures w14:val="all"/>
        </w:rPr>
        <w:t>های مالی:</w:t>
      </w:r>
    </w:p>
    <w:p w14:paraId="18656A04" w14:textId="77777777" w:rsidR="00411620" w:rsidRPr="003B28FD" w:rsidRDefault="00411620" w:rsidP="00411620">
      <w:pPr>
        <w:pStyle w:val="a4"/>
        <w:pBdr>
          <w:top w:val="none" w:sz="0" w:space="0" w:color="auto"/>
          <w:bottom w:val="none" w:sz="0" w:space="0" w:color="auto"/>
        </w:pBdr>
        <w:shd w:val="clear" w:color="auto" w:fill="auto"/>
        <w:spacing w:after="720" w:line="216" w:lineRule="auto"/>
        <w:rPr>
          <w:rFonts w:ascii="Times New Roman" w:eastAsia="Yu Gothic UI" w:hAnsi="Times New Roman" w:cs="B Nazanin"/>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pPr>
      <w:r w:rsidRPr="003B28FD">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t>ناسازگاری زمانی و سیاست حقوق بازنشستگی</w:t>
      </w:r>
    </w:p>
    <w:p w14:paraId="05A0D17B" w14:textId="77777777" w:rsidR="00411620" w:rsidRPr="003B28FD" w:rsidRDefault="00411620" w:rsidP="00411620">
      <w:pPr>
        <w:pStyle w:val="Heading1"/>
        <w:spacing w:before="0" w:after="0" w:line="216" w:lineRule="auto"/>
        <w:rPr>
          <w:rFonts w:ascii="Times New Roman" w:hAnsi="Times New Roman" w:cs="B Nazanin"/>
          <w:b w:val="0"/>
          <w:i/>
          <w:sz w:val="23"/>
          <w:szCs w:val="23"/>
          <w:rtl/>
        </w:rPr>
      </w:pPr>
      <w:r w:rsidRPr="003B28FD">
        <w:rPr>
          <w:rFonts w:ascii="Times New Roman" w:hAnsi="Times New Roman" w:cs="B Nazanin" w:hint="cs"/>
          <w:b w:val="0"/>
          <w:i/>
          <w:sz w:val="23"/>
          <w:szCs w:val="23"/>
          <w:rtl/>
        </w:rPr>
        <w:t>۶. ۱ مقدمه</w:t>
      </w:r>
    </w:p>
    <w:p w14:paraId="05910DBD" w14:textId="77777777" w:rsidR="00411620" w:rsidRPr="003B28FD" w:rsidRDefault="00411620" w:rsidP="00411620">
      <w:pPr>
        <w:spacing w:line="216" w:lineRule="auto"/>
        <w:rPr>
          <w:i/>
          <w:sz w:val="23"/>
          <w:szCs w:val="23"/>
          <w:rtl/>
        </w:rPr>
      </w:pPr>
      <w:r w:rsidRPr="003B28FD">
        <w:rPr>
          <w:i/>
          <w:sz w:val="23"/>
          <w:szCs w:val="23"/>
          <w:rtl/>
        </w:rPr>
        <w:t>در اين فصل دو موضوع</w:t>
      </w:r>
      <w:r w:rsidRPr="003B28FD">
        <w:rPr>
          <w:i/>
          <w:sz w:val="23"/>
          <w:szCs w:val="23"/>
        </w:rPr>
        <w:t xml:space="preserve"> </w:t>
      </w:r>
      <w:r w:rsidRPr="003B28FD">
        <w:rPr>
          <w:rFonts w:hint="cs"/>
          <w:i/>
          <w:sz w:val="23"/>
          <w:szCs w:val="23"/>
          <w:rtl/>
        </w:rPr>
        <w:t>دیگر در خصوص سیاست</w:t>
      </w:r>
      <w:r w:rsidRPr="003B28FD">
        <w:rPr>
          <w:i/>
          <w:sz w:val="23"/>
          <w:szCs w:val="23"/>
          <w:rtl/>
        </w:rPr>
        <w:softHyphen/>
      </w:r>
      <w:r w:rsidRPr="003B28FD">
        <w:rPr>
          <w:rFonts w:hint="cs"/>
          <w:i/>
          <w:sz w:val="23"/>
          <w:szCs w:val="23"/>
          <w:rtl/>
        </w:rPr>
        <w:t>های مالی یعنی</w:t>
      </w:r>
      <w:r w:rsidRPr="003B28FD">
        <w:rPr>
          <w:i/>
          <w:sz w:val="23"/>
          <w:szCs w:val="23"/>
          <w:rtl/>
        </w:rPr>
        <w:t xml:space="preserve"> </w:t>
      </w:r>
      <w:r w:rsidRPr="003B28FD">
        <w:rPr>
          <w:rFonts w:hint="cs"/>
          <w:i/>
          <w:sz w:val="23"/>
          <w:szCs w:val="23"/>
          <w:rtl/>
        </w:rPr>
        <w:t>نا</w:t>
      </w:r>
      <w:r w:rsidRPr="003B28FD">
        <w:rPr>
          <w:i/>
          <w:sz w:val="23"/>
          <w:szCs w:val="23"/>
          <w:rtl/>
        </w:rPr>
        <w:t>سازگاري ز</w:t>
      </w:r>
      <w:r w:rsidRPr="003B28FD">
        <w:rPr>
          <w:rFonts w:hint="cs"/>
          <w:i/>
          <w:sz w:val="23"/>
          <w:szCs w:val="23"/>
          <w:rtl/>
        </w:rPr>
        <w:t>م</w:t>
      </w:r>
      <w:r w:rsidRPr="003B28FD">
        <w:rPr>
          <w:i/>
          <w:sz w:val="23"/>
          <w:szCs w:val="23"/>
          <w:rtl/>
        </w:rPr>
        <w:t>اني</w:t>
      </w:r>
      <w:r w:rsidRPr="003B28FD">
        <w:rPr>
          <w:rStyle w:val="FootnoteReference"/>
          <w:rFonts w:eastAsiaTheme="majorEastAsia"/>
          <w:i/>
          <w:sz w:val="23"/>
          <w:szCs w:val="23"/>
          <w:rtl/>
        </w:rPr>
        <w:footnoteReference w:id="154"/>
      </w:r>
      <w:r w:rsidRPr="003B28FD">
        <w:rPr>
          <w:i/>
          <w:sz w:val="23"/>
          <w:szCs w:val="23"/>
          <w:rtl/>
        </w:rPr>
        <w:t xml:space="preserve"> </w:t>
      </w:r>
      <w:r w:rsidRPr="003B28FD">
        <w:rPr>
          <w:rFonts w:hint="cs"/>
          <w:i/>
          <w:sz w:val="23"/>
          <w:szCs w:val="23"/>
          <w:rtl/>
        </w:rPr>
        <w:t>و سیاست</w:t>
      </w:r>
      <w:r w:rsidRPr="003B28FD">
        <w:rPr>
          <w:i/>
          <w:sz w:val="23"/>
          <w:szCs w:val="23"/>
          <w:rtl/>
        </w:rPr>
        <w:t xml:space="preserve"> </w:t>
      </w:r>
      <w:r w:rsidRPr="003B28FD">
        <w:rPr>
          <w:rFonts w:hint="cs"/>
          <w:i/>
          <w:sz w:val="23"/>
          <w:szCs w:val="23"/>
          <w:rtl/>
        </w:rPr>
        <w:t>مربوط به حق</w:t>
      </w:r>
      <w:r w:rsidRPr="003B28FD">
        <w:rPr>
          <w:i/>
          <w:sz w:val="23"/>
          <w:szCs w:val="23"/>
          <w:rtl/>
        </w:rPr>
        <w:t>وق بازنشستگي</w:t>
      </w:r>
      <w:r w:rsidRPr="003B28FD">
        <w:rPr>
          <w:rStyle w:val="FootnoteReference"/>
          <w:rFonts w:eastAsiaTheme="majorEastAsia"/>
          <w:i/>
          <w:sz w:val="23"/>
          <w:szCs w:val="23"/>
          <w:rtl/>
        </w:rPr>
        <w:footnoteReference w:id="155"/>
      </w:r>
      <w:r w:rsidRPr="003B28FD">
        <w:rPr>
          <w:i/>
          <w:sz w:val="23"/>
          <w:szCs w:val="23"/>
          <w:rtl/>
        </w:rPr>
        <w:t xml:space="preserve"> </w:t>
      </w:r>
      <w:r w:rsidRPr="003B28FD">
        <w:rPr>
          <w:rFonts w:hint="cs"/>
          <w:i/>
          <w:sz w:val="23"/>
          <w:szCs w:val="23"/>
          <w:rtl/>
        </w:rPr>
        <w:t>را مورد بررسی قرار می</w:t>
      </w:r>
      <w:r w:rsidRPr="003B28FD">
        <w:rPr>
          <w:i/>
          <w:sz w:val="23"/>
          <w:szCs w:val="23"/>
          <w:rtl/>
        </w:rPr>
        <w:softHyphen/>
      </w:r>
      <w:r w:rsidRPr="003B28FD">
        <w:rPr>
          <w:rFonts w:hint="cs"/>
          <w:i/>
          <w:sz w:val="23"/>
          <w:szCs w:val="23"/>
          <w:rtl/>
        </w:rPr>
        <w:t xml:space="preserve">دهیم. </w:t>
      </w:r>
      <w:r w:rsidRPr="003B28FD">
        <w:rPr>
          <w:i/>
          <w:sz w:val="23"/>
          <w:szCs w:val="23"/>
          <w:rtl/>
        </w:rPr>
        <w:t>گاهي اوقات</w:t>
      </w:r>
      <w:r w:rsidRPr="003B28FD">
        <w:rPr>
          <w:rFonts w:hint="cs"/>
          <w:i/>
          <w:sz w:val="23"/>
          <w:szCs w:val="23"/>
          <w:rtl/>
        </w:rPr>
        <w:t xml:space="preserve"> دولت مصمم به اتخاذ اجرای سیاست اقتصادی خاصی در </w:t>
      </w:r>
      <w:r w:rsidRPr="003B28FD">
        <w:rPr>
          <w:i/>
          <w:sz w:val="23"/>
          <w:szCs w:val="23"/>
          <w:rtl/>
        </w:rPr>
        <w:t>آينده</w:t>
      </w:r>
      <w:r w:rsidRPr="003B28FD">
        <w:rPr>
          <w:rFonts w:hint="cs"/>
          <w:i/>
          <w:sz w:val="23"/>
          <w:szCs w:val="23"/>
          <w:rtl/>
        </w:rPr>
        <w:t xml:space="preserve"> است و آن را از قبل </w:t>
      </w:r>
      <w:r w:rsidRPr="003B28FD">
        <w:rPr>
          <w:i/>
          <w:sz w:val="23"/>
          <w:szCs w:val="23"/>
          <w:rtl/>
        </w:rPr>
        <w:t xml:space="preserve">اعلام </w:t>
      </w:r>
      <w:r w:rsidRPr="003B28FD">
        <w:rPr>
          <w:rFonts w:hint="cs"/>
          <w:i/>
          <w:sz w:val="23"/>
          <w:szCs w:val="23"/>
          <w:rtl/>
        </w:rPr>
        <w:t>می</w:t>
      </w:r>
      <w:r w:rsidRPr="003B28FD">
        <w:rPr>
          <w:i/>
          <w:sz w:val="23"/>
          <w:szCs w:val="23"/>
          <w:rtl/>
        </w:rPr>
        <w:softHyphen/>
      </w:r>
      <w:r w:rsidRPr="003B28FD">
        <w:rPr>
          <w:rFonts w:hint="cs"/>
          <w:i/>
          <w:sz w:val="23"/>
          <w:szCs w:val="23"/>
          <w:rtl/>
        </w:rPr>
        <w:t xml:space="preserve">کند، </w:t>
      </w:r>
      <w:r w:rsidRPr="003B28FD">
        <w:rPr>
          <w:i/>
          <w:sz w:val="23"/>
          <w:szCs w:val="23"/>
          <w:rtl/>
        </w:rPr>
        <w:t xml:space="preserve">اما </w:t>
      </w:r>
      <w:r w:rsidRPr="003B28FD">
        <w:rPr>
          <w:rFonts w:hint="cs"/>
          <w:i/>
          <w:sz w:val="23"/>
          <w:szCs w:val="23"/>
          <w:rtl/>
        </w:rPr>
        <w:t>هنگامی که زمان اجرای آن سیاست مورد نظر فرا می</w:t>
      </w:r>
      <w:r w:rsidRPr="003B28FD">
        <w:rPr>
          <w:i/>
          <w:sz w:val="23"/>
          <w:szCs w:val="23"/>
          <w:rtl/>
        </w:rPr>
        <w:softHyphen/>
      </w:r>
      <w:r w:rsidRPr="003B28FD">
        <w:rPr>
          <w:rFonts w:hint="cs"/>
          <w:i/>
          <w:sz w:val="23"/>
          <w:szCs w:val="23"/>
          <w:rtl/>
        </w:rPr>
        <w:t xml:space="preserve">رسد </w:t>
      </w:r>
      <w:r w:rsidRPr="003B28FD">
        <w:rPr>
          <w:i/>
          <w:sz w:val="23"/>
          <w:szCs w:val="23"/>
          <w:rtl/>
        </w:rPr>
        <w:t xml:space="preserve">شرايط </w:t>
      </w:r>
      <w:r w:rsidRPr="003B28FD">
        <w:rPr>
          <w:rFonts w:hint="cs"/>
          <w:i/>
          <w:sz w:val="23"/>
          <w:szCs w:val="23"/>
          <w:rtl/>
        </w:rPr>
        <w:t>اقتصادی ن</w:t>
      </w:r>
      <w:r w:rsidRPr="003B28FD">
        <w:rPr>
          <w:i/>
          <w:sz w:val="23"/>
          <w:szCs w:val="23"/>
          <w:rtl/>
        </w:rPr>
        <w:t>س</w:t>
      </w:r>
      <w:r w:rsidRPr="003B28FD">
        <w:rPr>
          <w:rFonts w:hint="cs"/>
          <w:i/>
          <w:sz w:val="23"/>
          <w:szCs w:val="23"/>
          <w:rtl/>
        </w:rPr>
        <w:t>ب</w:t>
      </w:r>
      <w:r w:rsidRPr="003B28FD">
        <w:rPr>
          <w:i/>
          <w:sz w:val="23"/>
          <w:szCs w:val="23"/>
          <w:rtl/>
        </w:rPr>
        <w:t>ت به آنچه انتظار مي</w:t>
      </w:r>
      <w:r w:rsidRPr="003B28FD">
        <w:rPr>
          <w:i/>
          <w:sz w:val="23"/>
          <w:szCs w:val="23"/>
          <w:rtl/>
        </w:rPr>
        <w:softHyphen/>
        <w:t>رفت</w:t>
      </w:r>
      <w:r w:rsidRPr="003B28FD">
        <w:rPr>
          <w:rFonts w:hint="cs"/>
          <w:i/>
          <w:sz w:val="23"/>
          <w:szCs w:val="23"/>
          <w:rtl/>
        </w:rPr>
        <w:t xml:space="preserve"> تغییر کرده، و دولت </w:t>
      </w:r>
      <w:r w:rsidRPr="003B28FD">
        <w:rPr>
          <w:i/>
          <w:sz w:val="23"/>
          <w:szCs w:val="23"/>
          <w:rtl/>
        </w:rPr>
        <w:t xml:space="preserve">متوجه </w:t>
      </w:r>
      <w:r w:rsidRPr="003B28FD">
        <w:rPr>
          <w:rFonts w:hint="cs"/>
          <w:i/>
          <w:sz w:val="23"/>
          <w:szCs w:val="23"/>
          <w:rtl/>
        </w:rPr>
        <w:t>می</w:t>
      </w:r>
      <w:r w:rsidRPr="003B28FD">
        <w:rPr>
          <w:i/>
          <w:sz w:val="23"/>
          <w:szCs w:val="23"/>
          <w:rtl/>
        </w:rPr>
        <w:softHyphen/>
        <w:t xml:space="preserve">شود كه </w:t>
      </w:r>
      <w:r w:rsidRPr="003B28FD">
        <w:rPr>
          <w:rFonts w:hint="cs"/>
          <w:i/>
          <w:sz w:val="23"/>
          <w:szCs w:val="23"/>
          <w:rtl/>
        </w:rPr>
        <w:t>بهتر</w:t>
      </w:r>
      <w:r w:rsidRPr="003B28FD">
        <w:rPr>
          <w:i/>
          <w:sz w:val="23"/>
          <w:szCs w:val="23"/>
          <w:rtl/>
        </w:rPr>
        <w:t xml:space="preserve"> است سياست </w:t>
      </w:r>
      <w:r w:rsidRPr="003B28FD">
        <w:rPr>
          <w:rFonts w:hint="cs"/>
          <w:i/>
          <w:sz w:val="23"/>
          <w:szCs w:val="23"/>
          <w:rtl/>
        </w:rPr>
        <w:t xml:space="preserve">اقتصادی </w:t>
      </w:r>
      <w:r w:rsidRPr="003B28FD">
        <w:rPr>
          <w:i/>
          <w:sz w:val="23"/>
          <w:szCs w:val="23"/>
          <w:rtl/>
        </w:rPr>
        <w:t xml:space="preserve">ديگري را </w:t>
      </w:r>
      <w:r w:rsidRPr="003B28FD">
        <w:rPr>
          <w:rFonts w:hint="cs"/>
          <w:i/>
          <w:sz w:val="23"/>
          <w:szCs w:val="23"/>
          <w:rtl/>
        </w:rPr>
        <w:t xml:space="preserve">اجرا و </w:t>
      </w:r>
      <w:r w:rsidRPr="003B28FD">
        <w:rPr>
          <w:i/>
          <w:sz w:val="23"/>
          <w:szCs w:val="23"/>
          <w:rtl/>
        </w:rPr>
        <w:t>اعمال كند</w:t>
      </w:r>
      <w:r w:rsidRPr="003B28FD">
        <w:rPr>
          <w:rFonts w:hint="cs"/>
          <w:i/>
          <w:sz w:val="23"/>
          <w:szCs w:val="23"/>
          <w:rtl/>
        </w:rPr>
        <w:t>.</w:t>
      </w:r>
      <w:r w:rsidRPr="003B28FD">
        <w:rPr>
          <w:i/>
          <w:sz w:val="23"/>
          <w:szCs w:val="23"/>
          <w:rtl/>
        </w:rPr>
        <w:t xml:space="preserve"> اين</w:t>
      </w:r>
      <w:r w:rsidRPr="003B28FD">
        <w:rPr>
          <w:i/>
          <w:sz w:val="23"/>
          <w:szCs w:val="23"/>
          <w:rtl/>
        </w:rPr>
        <w:softHyphen/>
      </w:r>
      <w:r w:rsidRPr="003B28FD">
        <w:rPr>
          <w:rFonts w:hint="cs"/>
          <w:i/>
          <w:sz w:val="23"/>
          <w:szCs w:val="23"/>
          <w:rtl/>
        </w:rPr>
        <w:t xml:space="preserve">گونه </w:t>
      </w:r>
      <w:r w:rsidRPr="003B28FD">
        <w:rPr>
          <w:i/>
          <w:sz w:val="23"/>
          <w:szCs w:val="23"/>
          <w:rtl/>
        </w:rPr>
        <w:t>تغيير</w:t>
      </w:r>
      <w:r w:rsidRPr="003B28FD">
        <w:rPr>
          <w:rFonts w:hint="cs"/>
          <w:i/>
          <w:sz w:val="23"/>
          <w:szCs w:val="23"/>
          <w:rtl/>
        </w:rPr>
        <w:t>ات</w:t>
      </w:r>
      <w:r w:rsidRPr="003B28FD">
        <w:rPr>
          <w:i/>
          <w:sz w:val="23"/>
          <w:szCs w:val="23"/>
          <w:rtl/>
        </w:rPr>
        <w:t xml:space="preserve"> سياست</w:t>
      </w:r>
      <w:r w:rsidRPr="003B28FD">
        <w:rPr>
          <w:i/>
          <w:sz w:val="23"/>
          <w:szCs w:val="23"/>
          <w:rtl/>
        </w:rPr>
        <w:softHyphen/>
      </w:r>
      <w:r w:rsidRPr="003B28FD">
        <w:rPr>
          <w:rFonts w:hint="cs"/>
          <w:i/>
          <w:sz w:val="23"/>
          <w:szCs w:val="23"/>
          <w:rtl/>
        </w:rPr>
        <w:t xml:space="preserve">های اقتصادی </w:t>
      </w:r>
      <w:r w:rsidRPr="003B28FD">
        <w:rPr>
          <w:i/>
          <w:sz w:val="23"/>
          <w:szCs w:val="23"/>
          <w:rtl/>
        </w:rPr>
        <w:t>را زمان</w:t>
      </w:r>
      <w:r w:rsidRPr="003B28FD">
        <w:rPr>
          <w:rFonts w:hint="cs"/>
          <w:i/>
          <w:sz w:val="23"/>
          <w:szCs w:val="23"/>
          <w:rtl/>
        </w:rPr>
        <w:t>-ناسازگار</w:t>
      </w:r>
      <w:r w:rsidRPr="003B28FD">
        <w:rPr>
          <w:i/>
          <w:sz w:val="23"/>
          <w:szCs w:val="23"/>
          <w:rtl/>
        </w:rPr>
        <w:t xml:space="preserve"> نامند</w:t>
      </w:r>
      <w:r w:rsidRPr="003B28FD">
        <w:rPr>
          <w:rFonts w:hint="cs"/>
          <w:i/>
          <w:sz w:val="23"/>
          <w:szCs w:val="23"/>
          <w:rtl/>
        </w:rPr>
        <w:t xml:space="preserve">. بالعکس چنانچه سیاست اقتصادیِ از قبل </w:t>
      </w:r>
      <w:r w:rsidRPr="003B28FD">
        <w:rPr>
          <w:i/>
          <w:sz w:val="23"/>
          <w:szCs w:val="23"/>
          <w:rtl/>
        </w:rPr>
        <w:t xml:space="preserve">اعلام </w:t>
      </w:r>
      <w:r w:rsidRPr="003B28FD">
        <w:rPr>
          <w:i/>
          <w:sz w:val="23"/>
          <w:szCs w:val="23"/>
          <w:rtl/>
        </w:rPr>
        <w:softHyphen/>
      </w:r>
      <w:r w:rsidRPr="003B28FD">
        <w:rPr>
          <w:rFonts w:hint="cs"/>
          <w:i/>
          <w:sz w:val="23"/>
          <w:szCs w:val="23"/>
          <w:rtl/>
        </w:rPr>
        <w:t>شده، در آینده بدون تغییر باقی بماند آن</w:t>
      </w:r>
      <w:r w:rsidRPr="003B28FD">
        <w:rPr>
          <w:i/>
          <w:sz w:val="23"/>
          <w:szCs w:val="23"/>
          <w:rtl/>
        </w:rPr>
        <w:softHyphen/>
      </w:r>
      <w:r w:rsidRPr="003B28FD">
        <w:rPr>
          <w:rFonts w:hint="cs"/>
          <w:i/>
          <w:sz w:val="23"/>
          <w:szCs w:val="23"/>
          <w:rtl/>
        </w:rPr>
        <w:t>را سیاست اقتصادی زمان-سازگار نامند.</w:t>
      </w:r>
    </w:p>
    <w:p w14:paraId="28C8CC06" w14:textId="77777777" w:rsidR="00411620" w:rsidRPr="003B28FD" w:rsidRDefault="00411620" w:rsidP="00411620">
      <w:pPr>
        <w:spacing w:line="216" w:lineRule="auto"/>
        <w:rPr>
          <w:i/>
          <w:sz w:val="23"/>
          <w:szCs w:val="23"/>
          <w:rtl/>
        </w:rPr>
      </w:pPr>
      <w:r w:rsidRPr="003B28FD">
        <w:rPr>
          <w:rFonts w:hint="cs"/>
          <w:i/>
          <w:sz w:val="23"/>
          <w:szCs w:val="23"/>
          <w:rtl/>
        </w:rPr>
        <w:t>تجزیه و تحلیل پویایی اقتصاد کلان برای بسیاری از مسائل اقتصادی بین نسلی در قبال زمان تقویمی همانند ماه و فصل و یا سال مناسب نیست. تصمیم اقتصادی که توسط یک نسل گرفته می</w:t>
      </w:r>
      <w:r w:rsidRPr="003B28FD">
        <w:rPr>
          <w:i/>
          <w:sz w:val="23"/>
          <w:szCs w:val="23"/>
          <w:rtl/>
        </w:rPr>
        <w:softHyphen/>
      </w:r>
      <w:r w:rsidRPr="003B28FD">
        <w:rPr>
          <w:rFonts w:hint="cs"/>
          <w:i/>
          <w:sz w:val="23"/>
          <w:szCs w:val="23"/>
          <w:rtl/>
        </w:rPr>
        <w:t>شود ممکن است تصمیمات اقتصادی نسل</w:t>
      </w:r>
      <w:r w:rsidRPr="003B28FD">
        <w:rPr>
          <w:i/>
          <w:sz w:val="23"/>
          <w:szCs w:val="23"/>
          <w:rtl/>
        </w:rPr>
        <w:softHyphen/>
      </w:r>
      <w:r w:rsidRPr="003B28FD">
        <w:rPr>
          <w:rFonts w:hint="cs"/>
          <w:i/>
          <w:sz w:val="23"/>
          <w:szCs w:val="23"/>
          <w:rtl/>
        </w:rPr>
        <w:t>های بعدی را که هیچ نقشی در آن نداشته</w:t>
      </w:r>
      <w:r w:rsidRPr="003B28FD">
        <w:rPr>
          <w:i/>
          <w:sz w:val="23"/>
          <w:szCs w:val="23"/>
          <w:rtl/>
        </w:rPr>
        <w:softHyphen/>
      </w:r>
      <w:r w:rsidRPr="003B28FD">
        <w:rPr>
          <w:rFonts w:hint="cs"/>
          <w:i/>
          <w:sz w:val="23"/>
          <w:szCs w:val="23"/>
          <w:rtl/>
        </w:rPr>
        <w:t>اند تحت تأثیر قرار دهد. بسیاری از تصمیمات مالی همانند سیاست</w:t>
      </w:r>
      <w:r w:rsidRPr="003B28FD">
        <w:rPr>
          <w:i/>
          <w:sz w:val="23"/>
          <w:szCs w:val="23"/>
          <w:rtl/>
        </w:rPr>
        <w:softHyphen/>
      </w:r>
      <w:r w:rsidRPr="003B28FD">
        <w:rPr>
          <w:rFonts w:hint="cs"/>
          <w:i/>
          <w:sz w:val="23"/>
          <w:szCs w:val="23"/>
          <w:rtl/>
        </w:rPr>
        <w:t>های بازنشستگی و سرمایه</w:t>
      </w:r>
      <w:r w:rsidRPr="003B28FD">
        <w:rPr>
          <w:i/>
          <w:sz w:val="23"/>
          <w:szCs w:val="23"/>
          <w:rtl/>
        </w:rPr>
        <w:softHyphen/>
      </w:r>
      <w:r w:rsidRPr="003B28FD">
        <w:rPr>
          <w:rFonts w:hint="cs"/>
          <w:i/>
          <w:sz w:val="23"/>
          <w:szCs w:val="23"/>
          <w:rtl/>
        </w:rPr>
        <w:t>گذاری</w:t>
      </w:r>
      <w:r w:rsidRPr="003B28FD">
        <w:rPr>
          <w:i/>
          <w:sz w:val="23"/>
          <w:szCs w:val="23"/>
          <w:rtl/>
        </w:rPr>
        <w:softHyphen/>
      </w:r>
      <w:r w:rsidRPr="003B28FD">
        <w:rPr>
          <w:rFonts w:hint="cs"/>
          <w:i/>
          <w:sz w:val="23"/>
          <w:szCs w:val="23"/>
          <w:rtl/>
        </w:rPr>
        <w:t>های عمومی از این قبیل هستند. برای تجزیه و تحلیل این موضوعات می</w:t>
      </w:r>
      <w:r w:rsidRPr="003B28FD">
        <w:rPr>
          <w:i/>
          <w:sz w:val="23"/>
          <w:szCs w:val="23"/>
          <w:rtl/>
        </w:rPr>
        <w:softHyphen/>
      </w:r>
      <w:r w:rsidRPr="003B28FD">
        <w:rPr>
          <w:rFonts w:hint="cs"/>
          <w:i/>
          <w:sz w:val="23"/>
          <w:szCs w:val="23"/>
          <w:rtl/>
        </w:rPr>
        <w:t>بایست از مدل</w:t>
      </w:r>
      <w:r w:rsidRPr="003B28FD">
        <w:rPr>
          <w:i/>
          <w:sz w:val="23"/>
          <w:szCs w:val="23"/>
          <w:rtl/>
        </w:rPr>
        <w:softHyphen/>
      </w:r>
      <w:r w:rsidRPr="003B28FD">
        <w:rPr>
          <w:rFonts w:hint="cs"/>
          <w:i/>
          <w:sz w:val="23"/>
          <w:szCs w:val="23"/>
          <w:rtl/>
        </w:rPr>
        <w:t>های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پوش</w:t>
      </w:r>
      <w:r w:rsidRPr="003B28FD">
        <w:rPr>
          <w:rStyle w:val="FootnoteReference"/>
          <w:rFonts w:eastAsiaTheme="majorEastAsia"/>
          <w:i/>
          <w:sz w:val="23"/>
          <w:szCs w:val="23"/>
          <w:rtl/>
        </w:rPr>
        <w:footnoteReference w:id="156"/>
      </w:r>
      <w:r w:rsidRPr="003B28FD">
        <w:rPr>
          <w:i/>
          <w:sz w:val="23"/>
          <w:szCs w:val="23"/>
        </w:rPr>
        <w:t xml:space="preserve">(OLG) </w:t>
      </w:r>
      <w:r w:rsidRPr="003B28FD">
        <w:rPr>
          <w:rFonts w:hint="cs"/>
          <w:i/>
          <w:sz w:val="23"/>
          <w:szCs w:val="23"/>
          <w:rtl/>
        </w:rPr>
        <w:t>استفاده نمود. در این فصل مدل</w:t>
      </w:r>
      <w:r w:rsidRPr="003B28FD">
        <w:rPr>
          <w:i/>
          <w:sz w:val="23"/>
          <w:szCs w:val="23"/>
          <w:rtl/>
        </w:rPr>
        <w:softHyphen/>
      </w:r>
      <w:r w:rsidRPr="003B28FD">
        <w:rPr>
          <w:rFonts w:hint="cs"/>
          <w:i/>
          <w:sz w:val="23"/>
          <w:szCs w:val="23"/>
          <w:rtl/>
        </w:rPr>
        <w:t xml:space="preserve">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 xml:space="preserve">پوش مورد بررسی قرار گرفته و سپس کاربرد آن در </w:t>
      </w:r>
      <w:r w:rsidRPr="003B28FD">
        <w:rPr>
          <w:rFonts w:hint="cs"/>
          <w:i/>
          <w:sz w:val="23"/>
          <w:szCs w:val="23"/>
          <w:rtl/>
        </w:rPr>
        <w:lastRenderedPageBreak/>
        <w:t>خصوص بازنشستگی و همچنین شایستگی نسبی طرح</w:t>
      </w:r>
      <w:r w:rsidRPr="003B28FD">
        <w:rPr>
          <w:i/>
          <w:sz w:val="23"/>
          <w:szCs w:val="23"/>
          <w:rtl/>
        </w:rPr>
        <w:softHyphen/>
      </w:r>
      <w:r w:rsidRPr="003B28FD">
        <w:rPr>
          <w:rFonts w:hint="cs"/>
          <w:i/>
          <w:sz w:val="23"/>
          <w:szCs w:val="23"/>
          <w:rtl/>
        </w:rPr>
        <w:t>های حقوق بازنشستگیِ با</w:t>
      </w:r>
      <w:r w:rsidRPr="003B28FD">
        <w:rPr>
          <w:i/>
          <w:sz w:val="23"/>
          <w:szCs w:val="23"/>
        </w:rPr>
        <w:t xml:space="preserve"> </w:t>
      </w:r>
      <w:r w:rsidRPr="003B28FD">
        <w:rPr>
          <w:rFonts w:hint="cs"/>
          <w:i/>
          <w:sz w:val="23"/>
          <w:szCs w:val="23"/>
          <w:rtl/>
        </w:rPr>
        <w:t>پشتوانه و بدون پشتوانه</w:t>
      </w:r>
      <w:r w:rsidRPr="003B28FD">
        <w:rPr>
          <w:rStyle w:val="FootnoteReference"/>
          <w:rFonts w:eastAsiaTheme="majorEastAsia"/>
          <w:i/>
          <w:sz w:val="23"/>
          <w:szCs w:val="23"/>
          <w:rtl/>
        </w:rPr>
        <w:footnoteReference w:id="157"/>
      </w:r>
      <w:r w:rsidRPr="003B28FD">
        <w:rPr>
          <w:rFonts w:hint="cs"/>
          <w:i/>
          <w:sz w:val="23"/>
          <w:szCs w:val="23"/>
          <w:rtl/>
        </w:rPr>
        <w:t xml:space="preserve"> مورد بررسی قرار خواهد گرفت.</w:t>
      </w:r>
    </w:p>
    <w:p w14:paraId="3A47DD25" w14:textId="77777777" w:rsidR="00411620" w:rsidRPr="003B28FD" w:rsidRDefault="00411620" w:rsidP="00411620">
      <w:pPr>
        <w:pStyle w:val="Heading1"/>
        <w:spacing w:before="0" w:after="0" w:line="216" w:lineRule="auto"/>
        <w:rPr>
          <w:rFonts w:ascii="Times New Roman" w:hAnsi="Times New Roman" w:cs="B Nazanin"/>
          <w:b w:val="0"/>
          <w:i/>
          <w:sz w:val="23"/>
          <w:szCs w:val="23"/>
          <w:rtl/>
        </w:rPr>
      </w:pPr>
      <w:r w:rsidRPr="003B28FD">
        <w:rPr>
          <w:rFonts w:ascii="Times New Roman" w:hAnsi="Times New Roman" w:cs="B Nazanin" w:hint="cs"/>
          <w:b w:val="0"/>
          <w:i/>
          <w:sz w:val="23"/>
          <w:szCs w:val="23"/>
          <w:rtl/>
        </w:rPr>
        <w:t>۶. ۲ سیاست مالی زمان-سازگار و زمان-ناسازگار</w:t>
      </w:r>
    </w:p>
    <w:p w14:paraId="71FB9B8C" w14:textId="77777777" w:rsidR="00411620" w:rsidRPr="003B28FD" w:rsidRDefault="00411620" w:rsidP="00411620">
      <w:pPr>
        <w:spacing w:line="216" w:lineRule="auto"/>
        <w:rPr>
          <w:i/>
          <w:sz w:val="23"/>
          <w:szCs w:val="23"/>
          <w:rtl/>
        </w:rPr>
      </w:pPr>
      <w:r w:rsidRPr="003B28FD">
        <w:rPr>
          <w:rFonts w:hint="cs"/>
          <w:i/>
          <w:sz w:val="23"/>
          <w:szCs w:val="23"/>
          <w:rtl/>
        </w:rPr>
        <w:t>به زعم</w:t>
      </w:r>
      <w:r w:rsidRPr="003B28FD">
        <w:rPr>
          <w:i/>
          <w:sz w:val="23"/>
          <w:szCs w:val="23"/>
          <w:rtl/>
        </w:rPr>
        <w:t xml:space="preserve"> </w:t>
      </w:r>
      <w:r w:rsidRPr="003B28FD">
        <w:rPr>
          <w:rFonts w:hint="cs"/>
          <w:i/>
          <w:sz w:val="23"/>
          <w:szCs w:val="23"/>
          <w:rtl/>
        </w:rPr>
        <w:t>چاری و کهو</w:t>
      </w:r>
      <w:r w:rsidRPr="003B28FD">
        <w:rPr>
          <w:rStyle w:val="FootnoteReference"/>
          <w:rFonts w:eastAsiaTheme="majorEastAsia"/>
          <w:i/>
          <w:sz w:val="23"/>
          <w:szCs w:val="23"/>
          <w:rtl/>
        </w:rPr>
        <w:footnoteReference w:id="158"/>
      </w:r>
      <w:r w:rsidRPr="003B28FD">
        <w:rPr>
          <w:rFonts w:hint="cs"/>
          <w:i/>
          <w:sz w:val="23"/>
          <w:szCs w:val="23"/>
          <w:rtl/>
        </w:rPr>
        <w:t xml:space="preserve"> و در چارچوب مدل</w:t>
      </w:r>
      <w:r w:rsidRPr="003B28FD">
        <w:rPr>
          <w:i/>
          <w:sz w:val="23"/>
          <w:szCs w:val="23"/>
          <w:rtl/>
        </w:rPr>
        <w:softHyphen/>
      </w:r>
      <w:r w:rsidRPr="003B28FD">
        <w:rPr>
          <w:rFonts w:hint="cs"/>
          <w:i/>
          <w:sz w:val="23"/>
          <w:szCs w:val="23"/>
          <w:rtl/>
        </w:rPr>
        <w:t>های بین</w:t>
      </w:r>
      <w:r w:rsidRPr="003B28FD">
        <w:rPr>
          <w:i/>
          <w:sz w:val="23"/>
          <w:szCs w:val="23"/>
          <w:rtl/>
        </w:rPr>
        <w:softHyphen/>
      </w:r>
      <w:r w:rsidRPr="003B28FD">
        <w:rPr>
          <w:rFonts w:hint="cs"/>
          <w:i/>
          <w:sz w:val="23"/>
          <w:szCs w:val="23"/>
          <w:rtl/>
        </w:rPr>
        <w:t>دوره</w:t>
      </w:r>
      <w:r w:rsidRPr="003B28FD">
        <w:rPr>
          <w:i/>
          <w:sz w:val="23"/>
          <w:szCs w:val="23"/>
          <w:rtl/>
        </w:rPr>
        <w:softHyphen/>
      </w:r>
      <w:r w:rsidRPr="003B28FD">
        <w:rPr>
          <w:rFonts w:hint="cs"/>
          <w:i/>
          <w:sz w:val="23"/>
          <w:szCs w:val="23"/>
          <w:rtl/>
        </w:rPr>
        <w:t xml:space="preserve">ای، </w:t>
      </w:r>
      <w:r w:rsidRPr="003B28FD">
        <w:rPr>
          <w:i/>
          <w:sz w:val="23"/>
          <w:szCs w:val="23"/>
          <w:rtl/>
        </w:rPr>
        <w:t>سياست</w:t>
      </w:r>
      <w:r w:rsidRPr="003B28FD">
        <w:rPr>
          <w:i/>
          <w:sz w:val="23"/>
          <w:szCs w:val="23"/>
          <w:rtl/>
        </w:rPr>
        <w:softHyphen/>
      </w:r>
      <w:r w:rsidRPr="003B28FD">
        <w:rPr>
          <w:rFonts w:hint="cs"/>
          <w:i/>
          <w:sz w:val="23"/>
          <w:szCs w:val="23"/>
          <w:rtl/>
        </w:rPr>
        <w:t>های</w:t>
      </w:r>
      <w:r w:rsidRPr="003B28FD">
        <w:rPr>
          <w:i/>
          <w:sz w:val="23"/>
          <w:szCs w:val="23"/>
          <w:rtl/>
        </w:rPr>
        <w:t xml:space="preserve"> بهينه</w:t>
      </w:r>
      <w:r w:rsidRPr="003B28FD">
        <w:rPr>
          <w:i/>
          <w:sz w:val="23"/>
          <w:szCs w:val="23"/>
          <w:rtl/>
        </w:rPr>
        <w:softHyphen/>
      </w:r>
      <w:r w:rsidRPr="003B28FD">
        <w:rPr>
          <w:rFonts w:hint="cs"/>
          <w:i/>
          <w:sz w:val="23"/>
          <w:szCs w:val="23"/>
          <w:rtl/>
        </w:rPr>
        <w:t>ی اقتصادی</w:t>
      </w:r>
      <w:r w:rsidRPr="003B28FD">
        <w:rPr>
          <w:i/>
          <w:sz w:val="23"/>
          <w:szCs w:val="23"/>
          <w:rtl/>
        </w:rPr>
        <w:t xml:space="preserve"> سه جزء دار</w:t>
      </w:r>
      <w:r w:rsidRPr="003B28FD">
        <w:rPr>
          <w:rFonts w:hint="cs"/>
          <w:i/>
          <w:sz w:val="23"/>
          <w:szCs w:val="23"/>
          <w:rtl/>
        </w:rPr>
        <w:t>ن</w:t>
      </w:r>
      <w:r w:rsidRPr="003B28FD">
        <w:rPr>
          <w:i/>
          <w:sz w:val="23"/>
          <w:szCs w:val="23"/>
          <w:rtl/>
        </w:rPr>
        <w:t>د</w:t>
      </w:r>
      <w:r w:rsidRPr="003B28FD">
        <w:rPr>
          <w:rFonts w:hint="cs"/>
          <w:i/>
          <w:sz w:val="23"/>
          <w:szCs w:val="23"/>
          <w:rtl/>
        </w:rPr>
        <w:t>:</w:t>
      </w:r>
      <w:r w:rsidRPr="003B28FD">
        <w:rPr>
          <w:i/>
          <w:sz w:val="23"/>
          <w:szCs w:val="23"/>
        </w:rPr>
        <w:t xml:space="preserve"> </w:t>
      </w:r>
      <w:r w:rsidRPr="003B28FD">
        <w:rPr>
          <w:rFonts w:hint="cs"/>
          <w:i/>
          <w:sz w:val="23"/>
          <w:szCs w:val="23"/>
          <w:rtl/>
        </w:rPr>
        <w:t>م</w:t>
      </w:r>
      <w:r w:rsidRPr="003B28FD">
        <w:rPr>
          <w:i/>
          <w:sz w:val="23"/>
          <w:szCs w:val="23"/>
          <w:rtl/>
        </w:rPr>
        <w:t xml:space="preserve">دلي </w:t>
      </w:r>
      <w:r w:rsidRPr="003B28FD">
        <w:rPr>
          <w:rFonts w:hint="cs"/>
          <w:i/>
          <w:sz w:val="23"/>
          <w:szCs w:val="23"/>
          <w:rtl/>
        </w:rPr>
        <w:t>که</w:t>
      </w:r>
      <w:r w:rsidRPr="003B28FD">
        <w:rPr>
          <w:i/>
          <w:sz w:val="23"/>
          <w:szCs w:val="23"/>
          <w:rtl/>
        </w:rPr>
        <w:t xml:space="preserve"> رفتار مردم را تحت </w:t>
      </w:r>
      <w:r w:rsidRPr="003B28FD">
        <w:rPr>
          <w:rFonts w:hint="cs"/>
          <w:i/>
          <w:sz w:val="23"/>
          <w:szCs w:val="23"/>
          <w:rtl/>
        </w:rPr>
        <w:t xml:space="preserve">شرایط </w:t>
      </w:r>
      <w:r w:rsidRPr="003B28FD">
        <w:rPr>
          <w:i/>
          <w:sz w:val="23"/>
          <w:szCs w:val="23"/>
          <w:rtl/>
        </w:rPr>
        <w:t>سياست</w:t>
      </w:r>
      <w:r w:rsidRPr="003B28FD">
        <w:rPr>
          <w:i/>
          <w:sz w:val="23"/>
          <w:szCs w:val="23"/>
          <w:rtl/>
        </w:rPr>
        <w:softHyphen/>
        <w:t xml:space="preserve">هاي </w:t>
      </w:r>
      <w:r w:rsidRPr="003B28FD">
        <w:rPr>
          <w:rFonts w:hint="cs"/>
          <w:i/>
          <w:sz w:val="23"/>
          <w:szCs w:val="23"/>
          <w:rtl/>
        </w:rPr>
        <w:t xml:space="preserve">اقتصادیِ </w:t>
      </w:r>
      <w:r w:rsidRPr="003B28FD">
        <w:rPr>
          <w:i/>
          <w:sz w:val="23"/>
          <w:szCs w:val="23"/>
          <w:rtl/>
        </w:rPr>
        <w:t xml:space="preserve">جايگزين </w:t>
      </w:r>
      <w:r w:rsidRPr="003B28FD">
        <w:rPr>
          <w:rFonts w:hint="cs"/>
          <w:i/>
          <w:sz w:val="23"/>
          <w:szCs w:val="23"/>
          <w:rtl/>
        </w:rPr>
        <w:t>پیش</w:t>
      </w:r>
      <w:r w:rsidRPr="003B28FD">
        <w:rPr>
          <w:i/>
          <w:sz w:val="23"/>
          <w:szCs w:val="23"/>
          <w:rtl/>
        </w:rPr>
        <w:softHyphen/>
      </w:r>
      <w:r w:rsidRPr="003B28FD">
        <w:rPr>
          <w:rFonts w:hint="cs"/>
          <w:i/>
          <w:sz w:val="23"/>
          <w:szCs w:val="23"/>
          <w:rtl/>
        </w:rPr>
        <w:t>بینی</w:t>
      </w:r>
      <w:r w:rsidRPr="003B28FD">
        <w:rPr>
          <w:i/>
          <w:sz w:val="23"/>
          <w:szCs w:val="23"/>
          <w:rtl/>
        </w:rPr>
        <w:t xml:space="preserve"> كند</w:t>
      </w:r>
      <w:r w:rsidRPr="003B28FD">
        <w:rPr>
          <w:rFonts w:hint="cs"/>
          <w:i/>
          <w:sz w:val="23"/>
          <w:szCs w:val="23"/>
          <w:rtl/>
        </w:rPr>
        <w:t>، ضابطه</w:t>
      </w:r>
      <w:r w:rsidRPr="003B28FD">
        <w:rPr>
          <w:i/>
          <w:sz w:val="23"/>
          <w:szCs w:val="23"/>
          <w:rtl/>
        </w:rPr>
        <w:softHyphen/>
      </w:r>
      <w:r w:rsidRPr="003B28FD">
        <w:rPr>
          <w:rFonts w:hint="cs"/>
          <w:i/>
          <w:sz w:val="23"/>
          <w:szCs w:val="23"/>
          <w:rtl/>
        </w:rPr>
        <w:t>ی</w:t>
      </w:r>
      <w:r w:rsidRPr="003B28FD">
        <w:rPr>
          <w:i/>
          <w:sz w:val="23"/>
          <w:szCs w:val="23"/>
          <w:rtl/>
        </w:rPr>
        <w:t xml:space="preserve"> </w:t>
      </w:r>
      <w:r w:rsidRPr="003B28FD">
        <w:rPr>
          <w:rFonts w:hint="cs"/>
          <w:i/>
          <w:sz w:val="23"/>
          <w:szCs w:val="23"/>
          <w:rtl/>
        </w:rPr>
        <w:t xml:space="preserve">رفاهی که </w:t>
      </w:r>
      <w:r w:rsidRPr="003B28FD">
        <w:rPr>
          <w:i/>
          <w:sz w:val="23"/>
          <w:szCs w:val="23"/>
          <w:rtl/>
        </w:rPr>
        <w:t>نتايج سياست</w:t>
      </w:r>
      <w:r w:rsidRPr="003B28FD">
        <w:rPr>
          <w:i/>
          <w:sz w:val="23"/>
          <w:szCs w:val="23"/>
          <w:rtl/>
        </w:rPr>
        <w:softHyphen/>
        <w:t xml:space="preserve">هاي جايگزين را </w:t>
      </w:r>
      <w:r w:rsidRPr="003B28FD">
        <w:rPr>
          <w:rFonts w:hint="cs"/>
          <w:i/>
          <w:sz w:val="23"/>
          <w:szCs w:val="23"/>
          <w:rtl/>
        </w:rPr>
        <w:t>رتبه</w:t>
      </w:r>
      <w:r w:rsidRPr="003B28FD">
        <w:rPr>
          <w:i/>
          <w:sz w:val="23"/>
          <w:szCs w:val="23"/>
          <w:rtl/>
        </w:rPr>
        <w:softHyphen/>
      </w:r>
      <w:r w:rsidRPr="003B28FD">
        <w:rPr>
          <w:rFonts w:hint="cs"/>
          <w:i/>
          <w:sz w:val="23"/>
          <w:szCs w:val="23"/>
          <w:rtl/>
        </w:rPr>
        <w:t>بندی</w:t>
      </w:r>
      <w:r w:rsidRPr="003B28FD">
        <w:rPr>
          <w:i/>
          <w:sz w:val="23"/>
          <w:szCs w:val="23"/>
          <w:rtl/>
        </w:rPr>
        <w:t xml:space="preserve"> كن</w:t>
      </w:r>
      <w:r w:rsidRPr="003B28FD">
        <w:rPr>
          <w:rFonts w:hint="cs"/>
          <w:i/>
          <w:sz w:val="23"/>
          <w:szCs w:val="23"/>
          <w:rtl/>
        </w:rPr>
        <w:t>د، و</w:t>
      </w:r>
      <w:r w:rsidRPr="003B28FD">
        <w:rPr>
          <w:i/>
          <w:sz w:val="23"/>
          <w:szCs w:val="23"/>
          <w:rtl/>
        </w:rPr>
        <w:t xml:space="preserve"> </w:t>
      </w:r>
      <w:r w:rsidRPr="003B28FD">
        <w:rPr>
          <w:rFonts w:hint="cs"/>
          <w:i/>
          <w:sz w:val="23"/>
          <w:szCs w:val="23"/>
          <w:rtl/>
        </w:rPr>
        <w:t>بالاخره توضيح آن</w:t>
      </w:r>
      <w:r w:rsidRPr="003B28FD">
        <w:rPr>
          <w:i/>
          <w:sz w:val="23"/>
          <w:szCs w:val="23"/>
          <w:rtl/>
        </w:rPr>
        <w:softHyphen/>
      </w:r>
      <w:r w:rsidRPr="003B28FD">
        <w:rPr>
          <w:rFonts w:hint="cs"/>
          <w:i/>
          <w:sz w:val="23"/>
          <w:szCs w:val="23"/>
          <w:rtl/>
        </w:rPr>
        <w:t>که اين</w:t>
      </w:r>
      <w:r w:rsidRPr="003B28FD">
        <w:rPr>
          <w:i/>
          <w:sz w:val="23"/>
          <w:szCs w:val="23"/>
          <w:rtl/>
        </w:rPr>
        <w:t xml:space="preserve"> </w:t>
      </w:r>
      <w:r w:rsidRPr="003B28FD">
        <w:rPr>
          <w:rFonts w:hint="cs"/>
          <w:i/>
          <w:sz w:val="23"/>
          <w:szCs w:val="23"/>
          <w:rtl/>
        </w:rPr>
        <w:t>سياست</w:t>
      </w:r>
      <w:r w:rsidRPr="003B28FD">
        <w:rPr>
          <w:i/>
          <w:sz w:val="23"/>
          <w:szCs w:val="23"/>
          <w:rtl/>
        </w:rPr>
        <w:softHyphen/>
      </w:r>
      <w:r w:rsidRPr="003B28FD">
        <w:rPr>
          <w:rFonts w:hint="cs"/>
          <w:i/>
          <w:sz w:val="23"/>
          <w:szCs w:val="23"/>
          <w:rtl/>
        </w:rPr>
        <w:t>های</w:t>
      </w:r>
      <w:r w:rsidRPr="003B28FD">
        <w:rPr>
          <w:i/>
          <w:sz w:val="23"/>
          <w:szCs w:val="23"/>
          <w:rtl/>
        </w:rPr>
        <w:t xml:space="preserve"> جايگزين</w:t>
      </w:r>
      <w:r w:rsidRPr="003B28FD">
        <w:rPr>
          <w:rFonts w:hint="cs"/>
          <w:i/>
          <w:sz w:val="23"/>
          <w:szCs w:val="23"/>
          <w:rtl/>
        </w:rPr>
        <w:t xml:space="preserve"> در</w:t>
      </w:r>
      <w:r w:rsidRPr="003B28FD">
        <w:rPr>
          <w:i/>
          <w:sz w:val="23"/>
          <w:szCs w:val="23"/>
          <w:rtl/>
        </w:rPr>
        <w:t xml:space="preserve"> </w:t>
      </w:r>
      <w:r w:rsidRPr="003B28FD">
        <w:rPr>
          <w:rFonts w:hint="cs"/>
          <w:i/>
          <w:sz w:val="23"/>
          <w:szCs w:val="23"/>
          <w:rtl/>
        </w:rPr>
        <w:t>آينده چگونه</w:t>
      </w:r>
      <w:r w:rsidRPr="003B28FD">
        <w:rPr>
          <w:i/>
          <w:sz w:val="23"/>
          <w:szCs w:val="23"/>
          <w:rtl/>
        </w:rPr>
        <w:t xml:space="preserve"> </w:t>
      </w:r>
      <w:r w:rsidRPr="003B28FD">
        <w:rPr>
          <w:rFonts w:hint="cs"/>
          <w:i/>
          <w:sz w:val="23"/>
          <w:szCs w:val="23"/>
          <w:rtl/>
        </w:rPr>
        <w:t>اعمال</w:t>
      </w:r>
      <w:r w:rsidRPr="003B28FD">
        <w:rPr>
          <w:i/>
          <w:sz w:val="23"/>
          <w:szCs w:val="23"/>
          <w:rtl/>
        </w:rPr>
        <w:t xml:space="preserve"> </w:t>
      </w:r>
      <w:r w:rsidRPr="003B28FD">
        <w:rPr>
          <w:rFonts w:hint="cs"/>
          <w:i/>
          <w:sz w:val="23"/>
          <w:szCs w:val="23"/>
          <w:rtl/>
        </w:rPr>
        <w:t>شوند</w:t>
      </w:r>
      <w:r w:rsidRPr="003B28FD">
        <w:rPr>
          <w:i/>
          <w:sz w:val="23"/>
          <w:szCs w:val="23"/>
          <w:rtl/>
        </w:rPr>
        <w:t>.</w:t>
      </w:r>
      <w:r w:rsidRPr="003B28FD">
        <w:rPr>
          <w:rFonts w:hint="cs"/>
          <w:i/>
          <w:sz w:val="23"/>
          <w:szCs w:val="23"/>
          <w:rtl/>
        </w:rPr>
        <w:t xml:space="preserve"> این</w:t>
      </w:r>
      <w:r w:rsidRPr="003B28FD">
        <w:rPr>
          <w:i/>
          <w:sz w:val="23"/>
          <w:szCs w:val="23"/>
          <w:rtl/>
        </w:rPr>
        <w:softHyphen/>
      </w:r>
      <w:r w:rsidRPr="003B28FD">
        <w:rPr>
          <w:rFonts w:hint="cs"/>
          <w:i/>
          <w:sz w:val="23"/>
          <w:szCs w:val="23"/>
          <w:rtl/>
        </w:rPr>
        <w:t>گونه</w:t>
      </w:r>
      <w:r w:rsidRPr="003B28FD">
        <w:rPr>
          <w:i/>
          <w:sz w:val="23"/>
          <w:szCs w:val="23"/>
          <w:rtl/>
        </w:rPr>
        <w:t xml:space="preserve"> سياست</w:t>
      </w:r>
      <w:r w:rsidRPr="003B28FD">
        <w:rPr>
          <w:i/>
          <w:sz w:val="23"/>
          <w:szCs w:val="23"/>
          <w:rtl/>
        </w:rPr>
        <w:softHyphen/>
        <w:t xml:space="preserve">ها معمولاً </w:t>
      </w:r>
      <w:r w:rsidRPr="003B28FD">
        <w:rPr>
          <w:rFonts w:hint="cs"/>
          <w:i/>
          <w:sz w:val="23"/>
          <w:szCs w:val="23"/>
          <w:rtl/>
        </w:rPr>
        <w:t>م</w:t>
      </w:r>
      <w:r w:rsidRPr="003B28FD">
        <w:rPr>
          <w:i/>
          <w:sz w:val="23"/>
          <w:szCs w:val="23"/>
          <w:rtl/>
        </w:rPr>
        <w:t>شروط برآن هست</w:t>
      </w:r>
      <w:r w:rsidRPr="003B28FD">
        <w:rPr>
          <w:rFonts w:hint="cs"/>
          <w:i/>
          <w:sz w:val="23"/>
          <w:szCs w:val="23"/>
          <w:rtl/>
        </w:rPr>
        <w:t>ند</w:t>
      </w:r>
      <w:r w:rsidRPr="003B28FD">
        <w:rPr>
          <w:i/>
          <w:sz w:val="23"/>
          <w:szCs w:val="23"/>
          <w:rtl/>
        </w:rPr>
        <w:t xml:space="preserve"> كه</w:t>
      </w:r>
      <w:r w:rsidRPr="003B28FD">
        <w:rPr>
          <w:rFonts w:hint="cs"/>
          <w:i/>
          <w:sz w:val="23"/>
          <w:szCs w:val="23"/>
          <w:rtl/>
        </w:rPr>
        <w:t xml:space="preserve"> وضعیت پیش</w:t>
      </w:r>
      <w:r w:rsidRPr="003B28FD">
        <w:rPr>
          <w:i/>
          <w:sz w:val="23"/>
          <w:szCs w:val="23"/>
          <w:rtl/>
        </w:rPr>
        <w:softHyphen/>
      </w:r>
      <w:r w:rsidRPr="003B28FD">
        <w:rPr>
          <w:rFonts w:hint="cs"/>
          <w:i/>
          <w:sz w:val="23"/>
          <w:szCs w:val="23"/>
          <w:rtl/>
        </w:rPr>
        <w:t>بینی شده</w:t>
      </w:r>
      <w:r w:rsidRPr="003B28FD">
        <w:rPr>
          <w:i/>
          <w:sz w:val="23"/>
          <w:szCs w:val="23"/>
          <w:rtl/>
        </w:rPr>
        <w:t xml:space="preserve"> </w:t>
      </w:r>
      <w:r w:rsidRPr="003B28FD">
        <w:rPr>
          <w:rFonts w:hint="cs"/>
          <w:i/>
          <w:sz w:val="23"/>
          <w:szCs w:val="23"/>
          <w:rtl/>
        </w:rPr>
        <w:t xml:space="preserve">بدرستی </w:t>
      </w:r>
      <w:r w:rsidRPr="003B28FD">
        <w:rPr>
          <w:i/>
          <w:sz w:val="23"/>
          <w:szCs w:val="23"/>
          <w:rtl/>
        </w:rPr>
        <w:t>اتفاق افت</w:t>
      </w:r>
      <w:r w:rsidRPr="003B28FD">
        <w:rPr>
          <w:rFonts w:hint="cs"/>
          <w:i/>
          <w:sz w:val="23"/>
          <w:szCs w:val="23"/>
          <w:rtl/>
        </w:rPr>
        <w:t>د.</w:t>
      </w:r>
      <w:r w:rsidRPr="003B28FD">
        <w:rPr>
          <w:i/>
          <w:sz w:val="23"/>
          <w:szCs w:val="23"/>
          <w:rtl/>
        </w:rPr>
        <w:t xml:space="preserve"> اگر </w:t>
      </w:r>
      <w:r w:rsidRPr="003B28FD">
        <w:rPr>
          <w:rFonts w:hint="cs"/>
          <w:i/>
          <w:sz w:val="23"/>
          <w:szCs w:val="23"/>
          <w:rtl/>
        </w:rPr>
        <w:t>وضعیت</w:t>
      </w:r>
      <w:r w:rsidRPr="003B28FD">
        <w:rPr>
          <w:i/>
          <w:sz w:val="23"/>
          <w:szCs w:val="23"/>
          <w:rtl/>
        </w:rPr>
        <w:t xml:space="preserve"> </w:t>
      </w:r>
      <w:r w:rsidRPr="003B28FD">
        <w:rPr>
          <w:rFonts w:hint="cs"/>
          <w:i/>
          <w:sz w:val="23"/>
          <w:szCs w:val="23"/>
          <w:rtl/>
        </w:rPr>
        <w:t>اقتصادی در آینده منطبق بر انتظارات پیش</w:t>
      </w:r>
      <w:r w:rsidRPr="003B28FD">
        <w:rPr>
          <w:i/>
          <w:sz w:val="23"/>
          <w:szCs w:val="23"/>
          <w:rtl/>
        </w:rPr>
        <w:softHyphen/>
      </w:r>
      <w:r w:rsidRPr="003B28FD">
        <w:rPr>
          <w:rFonts w:hint="cs"/>
          <w:i/>
          <w:sz w:val="23"/>
          <w:szCs w:val="23"/>
          <w:rtl/>
        </w:rPr>
        <w:t xml:space="preserve">بینی شده نباشد، </w:t>
      </w:r>
      <w:r w:rsidRPr="003B28FD">
        <w:rPr>
          <w:i/>
          <w:sz w:val="23"/>
          <w:szCs w:val="23"/>
          <w:rtl/>
        </w:rPr>
        <w:t>آنگاه ممكن است</w:t>
      </w:r>
      <w:r w:rsidRPr="003B28FD">
        <w:rPr>
          <w:rFonts w:hint="cs"/>
          <w:i/>
          <w:sz w:val="23"/>
          <w:szCs w:val="23"/>
          <w:rtl/>
        </w:rPr>
        <w:t xml:space="preserve"> </w:t>
      </w:r>
      <w:r w:rsidRPr="003B28FD">
        <w:rPr>
          <w:i/>
          <w:sz w:val="23"/>
          <w:szCs w:val="23"/>
          <w:rtl/>
        </w:rPr>
        <w:t>سياست</w:t>
      </w:r>
      <w:r w:rsidRPr="003B28FD">
        <w:rPr>
          <w:i/>
          <w:sz w:val="23"/>
          <w:szCs w:val="23"/>
          <w:rtl/>
        </w:rPr>
        <w:softHyphen/>
      </w:r>
      <w:r w:rsidRPr="003B28FD">
        <w:rPr>
          <w:rFonts w:hint="cs"/>
          <w:i/>
          <w:sz w:val="23"/>
          <w:szCs w:val="23"/>
          <w:rtl/>
        </w:rPr>
        <w:t xml:space="preserve"> اقتصادی بهینه</w:t>
      </w:r>
      <w:r w:rsidRPr="003B28FD">
        <w:rPr>
          <w:i/>
          <w:sz w:val="23"/>
          <w:szCs w:val="23"/>
          <w:rtl/>
        </w:rPr>
        <w:softHyphen/>
      </w:r>
      <w:r w:rsidRPr="003B28FD">
        <w:rPr>
          <w:rFonts w:hint="cs"/>
          <w:i/>
          <w:sz w:val="23"/>
          <w:szCs w:val="23"/>
          <w:rtl/>
        </w:rPr>
        <w:t xml:space="preserve">ی درنظر گرفته شده تغییر کند، در این صورت </w:t>
      </w:r>
      <w:r w:rsidRPr="003B28FD">
        <w:rPr>
          <w:i/>
          <w:sz w:val="23"/>
          <w:szCs w:val="23"/>
          <w:rtl/>
        </w:rPr>
        <w:t xml:space="preserve">سياست </w:t>
      </w:r>
      <w:r w:rsidRPr="003B28FD">
        <w:rPr>
          <w:rFonts w:hint="cs"/>
          <w:i/>
          <w:sz w:val="23"/>
          <w:szCs w:val="23"/>
          <w:rtl/>
        </w:rPr>
        <w:t xml:space="preserve">اقتصادی </w:t>
      </w:r>
      <w:r w:rsidRPr="003B28FD">
        <w:rPr>
          <w:i/>
          <w:sz w:val="23"/>
          <w:szCs w:val="23"/>
          <w:rtl/>
        </w:rPr>
        <w:t>زمان</w:t>
      </w:r>
      <w:r w:rsidRPr="003B28FD">
        <w:rPr>
          <w:rFonts w:hint="cs"/>
          <w:i/>
          <w:sz w:val="23"/>
          <w:szCs w:val="23"/>
          <w:rtl/>
        </w:rPr>
        <w:t xml:space="preserve"> </w:t>
      </w:r>
      <w:r w:rsidRPr="003B28FD">
        <w:rPr>
          <w:i/>
          <w:sz w:val="23"/>
          <w:szCs w:val="23"/>
          <w:rtl/>
        </w:rPr>
        <w:t xml:space="preserve">ناسازگار </w:t>
      </w:r>
      <w:r w:rsidRPr="003B28FD">
        <w:rPr>
          <w:rFonts w:hint="cs"/>
          <w:i/>
          <w:sz w:val="23"/>
          <w:szCs w:val="23"/>
          <w:rtl/>
        </w:rPr>
        <w:t xml:space="preserve">خواهد بود. رمزی </w:t>
      </w:r>
      <w:r w:rsidRPr="003B28FD">
        <w:rPr>
          <w:i/>
          <w:sz w:val="23"/>
          <w:szCs w:val="23"/>
          <w:rtl/>
        </w:rPr>
        <w:t xml:space="preserve">در </w:t>
      </w:r>
      <w:r w:rsidRPr="003B28FD">
        <w:rPr>
          <w:rFonts w:hint="cs"/>
          <w:i/>
          <w:sz w:val="23"/>
          <w:szCs w:val="23"/>
          <w:rtl/>
        </w:rPr>
        <w:t>سا</w:t>
      </w:r>
      <w:r w:rsidRPr="003B28FD">
        <w:rPr>
          <w:i/>
          <w:sz w:val="23"/>
          <w:szCs w:val="23"/>
          <w:rtl/>
        </w:rPr>
        <w:t xml:space="preserve">ل </w:t>
      </w:r>
      <w:r w:rsidRPr="003B28FD">
        <w:rPr>
          <w:rFonts w:hint="cs"/>
          <w:i/>
          <w:sz w:val="23"/>
          <w:szCs w:val="23"/>
          <w:rtl/>
        </w:rPr>
        <w:t xml:space="preserve">۱۹۲۷ میلادی و برای اولین بار </w:t>
      </w:r>
      <w:r w:rsidRPr="003B28FD">
        <w:rPr>
          <w:i/>
          <w:sz w:val="23"/>
          <w:szCs w:val="23"/>
          <w:rtl/>
        </w:rPr>
        <w:t>اين</w:t>
      </w:r>
      <w:r w:rsidRPr="003B28FD">
        <w:rPr>
          <w:i/>
          <w:sz w:val="23"/>
          <w:szCs w:val="23"/>
          <w:rtl/>
        </w:rPr>
        <w:softHyphen/>
      </w:r>
      <w:r w:rsidRPr="003B28FD">
        <w:rPr>
          <w:rFonts w:hint="cs"/>
          <w:i/>
          <w:sz w:val="23"/>
          <w:szCs w:val="23"/>
          <w:rtl/>
        </w:rPr>
        <w:t>گونه</w:t>
      </w:r>
      <w:r w:rsidRPr="003B28FD">
        <w:rPr>
          <w:i/>
          <w:sz w:val="23"/>
          <w:szCs w:val="23"/>
          <w:rtl/>
        </w:rPr>
        <w:t xml:space="preserve"> </w:t>
      </w:r>
      <w:r w:rsidRPr="003B28FD">
        <w:rPr>
          <w:rFonts w:hint="cs"/>
          <w:i/>
          <w:sz w:val="23"/>
          <w:szCs w:val="23"/>
          <w:rtl/>
        </w:rPr>
        <w:t xml:space="preserve">مسائل اقتصادی را در </w:t>
      </w:r>
      <w:r w:rsidRPr="003B28FD">
        <w:rPr>
          <w:i/>
          <w:sz w:val="23"/>
          <w:szCs w:val="23"/>
          <w:rtl/>
        </w:rPr>
        <w:t xml:space="preserve">ادبيات </w:t>
      </w:r>
      <w:r w:rsidRPr="003B28FD">
        <w:rPr>
          <w:rFonts w:hint="cs"/>
          <w:i/>
          <w:sz w:val="23"/>
          <w:szCs w:val="23"/>
          <w:rtl/>
        </w:rPr>
        <w:t>مالیه</w:t>
      </w:r>
      <w:r w:rsidRPr="003B28FD">
        <w:rPr>
          <w:i/>
          <w:sz w:val="23"/>
          <w:szCs w:val="23"/>
          <w:rtl/>
        </w:rPr>
        <w:softHyphen/>
      </w:r>
      <w:r w:rsidRPr="003B28FD">
        <w:rPr>
          <w:rFonts w:hint="cs"/>
          <w:i/>
          <w:sz w:val="23"/>
          <w:szCs w:val="23"/>
          <w:rtl/>
        </w:rPr>
        <w:t>ی</w:t>
      </w:r>
      <w:r w:rsidRPr="003B28FD">
        <w:rPr>
          <w:i/>
          <w:sz w:val="23"/>
          <w:szCs w:val="23"/>
          <w:rtl/>
        </w:rPr>
        <w:t xml:space="preserve"> </w:t>
      </w:r>
      <w:r w:rsidRPr="003B28FD">
        <w:rPr>
          <w:rFonts w:hint="cs"/>
          <w:i/>
          <w:sz w:val="23"/>
          <w:szCs w:val="23"/>
          <w:rtl/>
        </w:rPr>
        <w:t>عمومی</w:t>
      </w:r>
      <w:r w:rsidRPr="003B28FD">
        <w:rPr>
          <w:i/>
          <w:sz w:val="23"/>
          <w:szCs w:val="23"/>
          <w:rtl/>
        </w:rPr>
        <w:t xml:space="preserve"> </w:t>
      </w:r>
      <w:r w:rsidRPr="003B28FD">
        <w:rPr>
          <w:rFonts w:hint="cs"/>
          <w:i/>
          <w:sz w:val="23"/>
          <w:szCs w:val="23"/>
          <w:rtl/>
        </w:rPr>
        <w:t>مورد بررسی</w:t>
      </w:r>
      <w:r w:rsidRPr="003B28FD">
        <w:rPr>
          <w:i/>
          <w:sz w:val="23"/>
          <w:szCs w:val="23"/>
          <w:rtl/>
        </w:rPr>
        <w:t xml:space="preserve"> قرار </w:t>
      </w:r>
      <w:r w:rsidRPr="003B28FD">
        <w:rPr>
          <w:rFonts w:hint="cs"/>
          <w:i/>
          <w:sz w:val="23"/>
          <w:szCs w:val="23"/>
          <w:rtl/>
        </w:rPr>
        <w:t>داد، لذا دنباله و توالی سیاست</w:t>
      </w:r>
      <w:r w:rsidRPr="003B28FD">
        <w:rPr>
          <w:i/>
          <w:sz w:val="23"/>
          <w:szCs w:val="23"/>
          <w:rtl/>
        </w:rPr>
        <w:softHyphen/>
      </w:r>
      <w:r w:rsidRPr="003B28FD">
        <w:rPr>
          <w:rFonts w:hint="cs"/>
          <w:i/>
          <w:sz w:val="23"/>
          <w:szCs w:val="23"/>
          <w:rtl/>
        </w:rPr>
        <w:t>های بهینه</w:t>
      </w:r>
      <w:r w:rsidRPr="003B28FD">
        <w:rPr>
          <w:i/>
          <w:sz w:val="23"/>
          <w:szCs w:val="23"/>
          <w:rtl/>
        </w:rPr>
        <w:softHyphen/>
      </w:r>
      <w:r w:rsidRPr="003B28FD">
        <w:rPr>
          <w:rFonts w:hint="cs"/>
          <w:i/>
          <w:sz w:val="23"/>
          <w:szCs w:val="23"/>
          <w:rtl/>
        </w:rPr>
        <w:t>ی اقتصادی در طی زمان را سیاست</w:t>
      </w:r>
      <w:r w:rsidRPr="003B28FD">
        <w:rPr>
          <w:i/>
          <w:sz w:val="23"/>
          <w:szCs w:val="23"/>
          <w:rtl/>
        </w:rPr>
        <w:softHyphen/>
      </w:r>
      <w:r w:rsidRPr="003B28FD">
        <w:rPr>
          <w:rFonts w:hint="cs"/>
          <w:i/>
          <w:sz w:val="23"/>
          <w:szCs w:val="23"/>
          <w:rtl/>
        </w:rPr>
        <w:t xml:space="preserve">های اقتصادی رمزی، و نتایج وابسته بدان را نتایج رمزی نیز نامند. </w:t>
      </w:r>
    </w:p>
    <w:p w14:paraId="5C8B3228" w14:textId="77777777" w:rsidR="00411620" w:rsidRPr="003B28FD" w:rsidRDefault="00411620" w:rsidP="00411620">
      <w:pPr>
        <w:spacing w:line="216" w:lineRule="auto"/>
        <w:rPr>
          <w:i/>
          <w:sz w:val="23"/>
          <w:szCs w:val="23"/>
          <w:rtl/>
        </w:rPr>
      </w:pPr>
      <w:r w:rsidRPr="003B28FD">
        <w:rPr>
          <w:rFonts w:hint="cs"/>
          <w:i/>
          <w:sz w:val="23"/>
          <w:szCs w:val="23"/>
          <w:rtl/>
        </w:rPr>
        <w:t>فیشر</w:t>
      </w:r>
      <w:r w:rsidRPr="003B28FD">
        <w:rPr>
          <w:rStyle w:val="FootnoteReference"/>
          <w:rFonts w:eastAsiaTheme="majorEastAsia"/>
          <w:i/>
          <w:sz w:val="23"/>
          <w:szCs w:val="23"/>
          <w:rtl/>
        </w:rPr>
        <w:footnoteReference w:id="159"/>
      </w:r>
      <w:r w:rsidRPr="003B28FD">
        <w:rPr>
          <w:rFonts w:hint="cs"/>
          <w:i/>
          <w:sz w:val="23"/>
          <w:szCs w:val="23"/>
          <w:rtl/>
        </w:rPr>
        <w:t xml:space="preserve"> در سال ۱۹۸۰ </w:t>
      </w:r>
      <w:r w:rsidRPr="003B28FD">
        <w:rPr>
          <w:i/>
          <w:sz w:val="23"/>
          <w:szCs w:val="23"/>
          <w:rtl/>
        </w:rPr>
        <w:t xml:space="preserve">مباحث </w:t>
      </w:r>
      <w:r w:rsidRPr="003B28FD">
        <w:rPr>
          <w:rFonts w:hint="cs"/>
          <w:i/>
          <w:sz w:val="23"/>
          <w:szCs w:val="23"/>
          <w:rtl/>
        </w:rPr>
        <w:t>سیاست</w:t>
      </w:r>
      <w:r w:rsidRPr="003B28FD">
        <w:rPr>
          <w:i/>
          <w:sz w:val="23"/>
          <w:szCs w:val="23"/>
          <w:rtl/>
        </w:rPr>
        <w:softHyphen/>
      </w:r>
      <w:r w:rsidRPr="003B28FD">
        <w:rPr>
          <w:rFonts w:hint="cs"/>
          <w:i/>
          <w:sz w:val="23"/>
          <w:szCs w:val="23"/>
          <w:rtl/>
        </w:rPr>
        <w:t xml:space="preserve">های مالی </w:t>
      </w:r>
      <w:r w:rsidRPr="003B28FD">
        <w:rPr>
          <w:i/>
          <w:sz w:val="23"/>
          <w:szCs w:val="23"/>
          <w:rtl/>
        </w:rPr>
        <w:t>زمان</w:t>
      </w:r>
      <w:r w:rsidRPr="003B28FD">
        <w:rPr>
          <w:rFonts w:hint="cs"/>
          <w:i/>
          <w:sz w:val="23"/>
          <w:szCs w:val="23"/>
          <w:rtl/>
        </w:rPr>
        <w:t xml:space="preserve"> </w:t>
      </w:r>
      <w:r w:rsidRPr="003B28FD">
        <w:rPr>
          <w:i/>
          <w:sz w:val="23"/>
          <w:szCs w:val="23"/>
          <w:rtl/>
        </w:rPr>
        <w:t>سازگار و زمان</w:t>
      </w:r>
      <w:r w:rsidRPr="003B28FD">
        <w:rPr>
          <w:rFonts w:hint="cs"/>
          <w:i/>
          <w:sz w:val="23"/>
          <w:szCs w:val="23"/>
          <w:rtl/>
        </w:rPr>
        <w:t xml:space="preserve"> </w:t>
      </w:r>
      <w:r w:rsidRPr="003B28FD">
        <w:rPr>
          <w:i/>
          <w:sz w:val="23"/>
          <w:szCs w:val="23"/>
          <w:rtl/>
        </w:rPr>
        <w:t xml:space="preserve">ناسازگار را </w:t>
      </w:r>
      <w:r w:rsidRPr="003B28FD">
        <w:rPr>
          <w:rFonts w:hint="cs"/>
          <w:i/>
          <w:sz w:val="23"/>
          <w:szCs w:val="23"/>
          <w:rtl/>
        </w:rPr>
        <w:t xml:space="preserve">مورد </w:t>
      </w:r>
      <w:r w:rsidRPr="003B28FD">
        <w:rPr>
          <w:i/>
          <w:sz w:val="23"/>
          <w:szCs w:val="23"/>
          <w:rtl/>
        </w:rPr>
        <w:t>بررسي</w:t>
      </w:r>
      <w:r w:rsidRPr="003B28FD">
        <w:rPr>
          <w:rFonts w:hint="cs"/>
          <w:i/>
          <w:sz w:val="23"/>
          <w:szCs w:val="23"/>
          <w:rtl/>
        </w:rPr>
        <w:t xml:space="preserve"> قرار داده است. ما نیز در فصل پنجم، هنگام تعیین نرخ بهینه</w:t>
      </w:r>
      <w:r w:rsidRPr="003B28FD">
        <w:rPr>
          <w:i/>
          <w:sz w:val="23"/>
          <w:szCs w:val="23"/>
          <w:rtl/>
        </w:rPr>
        <w:softHyphen/>
      </w:r>
      <w:r w:rsidRPr="003B28FD">
        <w:rPr>
          <w:rFonts w:hint="cs"/>
          <w:i/>
          <w:sz w:val="23"/>
          <w:szCs w:val="23"/>
          <w:rtl/>
        </w:rPr>
        <w:t>ی مالیاتِ سرمایه با مسئله</w:t>
      </w:r>
      <w:r w:rsidRPr="003B28FD">
        <w:rPr>
          <w:i/>
          <w:sz w:val="23"/>
          <w:szCs w:val="23"/>
          <w:rtl/>
        </w:rPr>
        <w:softHyphen/>
      </w:r>
      <w:r w:rsidRPr="003B28FD">
        <w:rPr>
          <w:rFonts w:hint="cs"/>
          <w:i/>
          <w:sz w:val="23"/>
          <w:szCs w:val="23"/>
          <w:rtl/>
        </w:rPr>
        <w:t>ی زمان ناسازگاری سیاست مالی مواجه شدیم. در این فصل، نسخه</w:t>
      </w:r>
      <w:r w:rsidRPr="003B28FD">
        <w:rPr>
          <w:i/>
          <w:sz w:val="23"/>
          <w:szCs w:val="23"/>
          <w:rtl/>
        </w:rPr>
        <w:softHyphen/>
      </w:r>
      <w:r w:rsidRPr="003B28FD">
        <w:rPr>
          <w:rFonts w:hint="cs"/>
          <w:i/>
          <w:sz w:val="23"/>
          <w:szCs w:val="23"/>
          <w:rtl/>
        </w:rPr>
        <w:t>ی تاحدودی تعدیل شده</w:t>
      </w:r>
      <w:r w:rsidRPr="003B28FD">
        <w:rPr>
          <w:i/>
          <w:sz w:val="23"/>
          <w:szCs w:val="23"/>
          <w:rtl/>
        </w:rPr>
        <w:softHyphen/>
      </w:r>
      <w:r w:rsidRPr="003B28FD">
        <w:rPr>
          <w:rFonts w:hint="cs"/>
          <w:i/>
          <w:sz w:val="23"/>
          <w:szCs w:val="23"/>
          <w:rtl/>
        </w:rPr>
        <w:t>ی فیشر را برای بررسی سیاست مالی و همچنین تفاوت بین سازگاری زمانی و ناسازگاری زمانی سیاست مالی مورد استفاده قرار می</w:t>
      </w:r>
      <w:r w:rsidRPr="003B28FD">
        <w:rPr>
          <w:i/>
          <w:sz w:val="23"/>
          <w:szCs w:val="23"/>
          <w:rtl/>
        </w:rPr>
        <w:softHyphen/>
      </w:r>
      <w:r w:rsidRPr="003B28FD">
        <w:rPr>
          <w:rFonts w:hint="cs"/>
          <w:i/>
          <w:sz w:val="23"/>
          <w:szCs w:val="23"/>
          <w:rtl/>
        </w:rPr>
        <w:t>دهیم. ضمناً تفاوت بین مالیات اختلال</w:t>
      </w:r>
      <w:r w:rsidRPr="003B28FD">
        <w:rPr>
          <w:i/>
          <w:sz w:val="23"/>
          <w:szCs w:val="23"/>
          <w:rtl/>
        </w:rPr>
        <w:softHyphen/>
      </w:r>
      <w:r w:rsidRPr="003B28FD">
        <w:rPr>
          <w:rFonts w:hint="cs"/>
          <w:i/>
          <w:sz w:val="23"/>
          <w:szCs w:val="23"/>
          <w:rtl/>
        </w:rPr>
        <w:t>زا</w:t>
      </w:r>
      <w:r w:rsidRPr="003B28FD">
        <w:rPr>
          <w:rStyle w:val="FootnoteReference"/>
          <w:rFonts w:eastAsiaTheme="majorEastAsia"/>
          <w:i/>
          <w:sz w:val="23"/>
          <w:szCs w:val="23"/>
          <w:rtl/>
        </w:rPr>
        <w:footnoteReference w:id="160"/>
      </w:r>
      <w:r w:rsidRPr="003B28FD">
        <w:rPr>
          <w:i/>
          <w:sz w:val="23"/>
          <w:szCs w:val="23"/>
        </w:rPr>
        <w:t xml:space="preserve"> </w:t>
      </w:r>
      <w:r w:rsidRPr="003B28FD">
        <w:rPr>
          <w:rFonts w:hint="cs"/>
          <w:i/>
          <w:sz w:val="23"/>
          <w:szCs w:val="23"/>
          <w:rtl/>
        </w:rPr>
        <w:t>و مالیات غیراختلال</w:t>
      </w:r>
      <w:r w:rsidRPr="003B28FD">
        <w:rPr>
          <w:i/>
          <w:sz w:val="23"/>
          <w:szCs w:val="23"/>
          <w:rtl/>
        </w:rPr>
        <w:softHyphen/>
      </w:r>
      <w:r w:rsidRPr="003B28FD">
        <w:rPr>
          <w:rFonts w:hint="cs"/>
          <w:i/>
          <w:sz w:val="23"/>
          <w:szCs w:val="23"/>
          <w:rtl/>
        </w:rPr>
        <w:t>زا، مالیات بر سرمایه و نیروی کار، و این</w:t>
      </w:r>
      <w:r w:rsidRPr="003B28FD">
        <w:rPr>
          <w:i/>
          <w:sz w:val="23"/>
          <w:szCs w:val="23"/>
          <w:rtl/>
        </w:rPr>
        <w:softHyphen/>
      </w:r>
      <w:r w:rsidRPr="003B28FD">
        <w:rPr>
          <w:rFonts w:hint="cs"/>
          <w:i/>
          <w:sz w:val="23"/>
          <w:szCs w:val="23"/>
          <w:rtl/>
        </w:rPr>
        <w:t xml:space="preserve">که چرا سیاست زمان ناسازگارِ درگیر با مالیات بر سرمایه و نه نیروی کار در برخی از مواقع بهتر از سیاست از پیش الزامی خواهد بود، نشان داده خواهد شد. </w:t>
      </w:r>
    </w:p>
    <w:p w14:paraId="631022BD" w14:textId="77777777" w:rsidR="00411620" w:rsidRPr="003B28FD" w:rsidRDefault="00411620" w:rsidP="00411620">
      <w:pPr>
        <w:spacing w:line="216" w:lineRule="auto"/>
        <w:rPr>
          <w:i/>
          <w:sz w:val="23"/>
          <w:szCs w:val="23"/>
          <w:rtl/>
        </w:rPr>
      </w:pPr>
      <w:r w:rsidRPr="003B28FD">
        <w:rPr>
          <w:rFonts w:hint="cs"/>
          <w:i/>
          <w:sz w:val="23"/>
          <w:szCs w:val="23"/>
          <w:rtl/>
        </w:rPr>
        <w:t>در مدل بسیار ساده</w:t>
      </w:r>
      <w:r w:rsidRPr="003B28FD">
        <w:rPr>
          <w:i/>
          <w:sz w:val="23"/>
          <w:szCs w:val="23"/>
          <w:rtl/>
        </w:rPr>
        <w:softHyphen/>
      </w:r>
      <w:r w:rsidRPr="003B28FD">
        <w:rPr>
          <w:rFonts w:hint="cs"/>
          <w:i/>
          <w:sz w:val="23"/>
          <w:szCs w:val="23"/>
          <w:rtl/>
        </w:rPr>
        <w:t>ی فیشر فرض می</w:t>
      </w:r>
      <w:r w:rsidRPr="003B28FD">
        <w:rPr>
          <w:i/>
          <w:sz w:val="23"/>
          <w:szCs w:val="23"/>
          <w:rtl/>
        </w:rPr>
        <w:softHyphen/>
      </w:r>
      <w:r w:rsidRPr="003B28FD">
        <w:rPr>
          <w:rFonts w:hint="cs"/>
          <w:i/>
          <w:sz w:val="23"/>
          <w:szCs w:val="23"/>
          <w:rtl/>
        </w:rPr>
        <w:t>شود</w:t>
      </w:r>
      <w:r w:rsidRPr="003B28FD">
        <w:rPr>
          <w:i/>
          <w:sz w:val="23"/>
          <w:szCs w:val="23"/>
          <w:rtl/>
        </w:rPr>
        <w:t xml:space="preserve"> </w:t>
      </w:r>
      <w:r w:rsidRPr="003B28FD">
        <w:rPr>
          <w:rFonts w:hint="cs"/>
          <w:i/>
          <w:sz w:val="23"/>
          <w:szCs w:val="23"/>
          <w:rtl/>
        </w:rPr>
        <w:t xml:space="preserve">تابع مطلوبیت خانوار عبارت است از </w:t>
      </w:r>
    </w:p>
    <w:p w14:paraId="7D119050" w14:textId="77777777" w:rsidR="00411620" w:rsidRPr="003B28FD" w:rsidRDefault="00411620" w:rsidP="00411620">
      <w:pPr>
        <w:bidi w:val="0"/>
        <w:spacing w:line="216" w:lineRule="auto"/>
        <w:rPr>
          <w:i/>
          <w:sz w:val="23"/>
          <w:szCs w:val="23"/>
          <w:rtl/>
        </w:rPr>
      </w:pPr>
      <w:r w:rsidRPr="003B28FD">
        <w:rPr>
          <w:position w:val="-12"/>
        </w:rPr>
        <w:object w:dxaOrig="2940" w:dyaOrig="360" w14:anchorId="032C2A03">
          <v:shape id="_x0000_i3012" type="#_x0000_t75" style="width:147.05pt;height:18.15pt" o:ole="">
            <v:imagedata r:id="rId4009" o:title=""/>
          </v:shape>
          <o:OLEObject Type="Embed" ProgID="Equation.DSMT4" ShapeID="_x0000_i3012" DrawAspect="Content" ObjectID="_1791376956" r:id="rId4010"/>
        </w:object>
      </w:r>
    </w:p>
    <w:p w14:paraId="25DA3D3B" w14:textId="77777777" w:rsidR="00411620" w:rsidRPr="003B28FD" w:rsidRDefault="00411620" w:rsidP="00411620">
      <w:pPr>
        <w:spacing w:line="216" w:lineRule="auto"/>
        <w:rPr>
          <w:i/>
          <w:sz w:val="23"/>
          <w:szCs w:val="23"/>
        </w:rPr>
      </w:pPr>
      <w:r w:rsidRPr="003B28FD">
        <w:rPr>
          <w:rFonts w:hint="cs"/>
          <w:i/>
          <w:sz w:val="23"/>
          <w:szCs w:val="23"/>
          <w:rtl/>
        </w:rPr>
        <w:t xml:space="preserve">و </w:t>
      </w:r>
      <w:r w:rsidRPr="003B28FD">
        <w:rPr>
          <w:i/>
          <w:sz w:val="23"/>
          <w:szCs w:val="23"/>
          <w:rtl/>
        </w:rPr>
        <w:t>تنها دو دوره</w:t>
      </w:r>
      <w:r w:rsidRPr="003B28FD">
        <w:rPr>
          <w:i/>
          <w:sz w:val="23"/>
          <w:szCs w:val="23"/>
          <w:rtl/>
        </w:rPr>
        <w:softHyphen/>
      </w:r>
      <w:r w:rsidRPr="003B28FD">
        <w:rPr>
          <w:rFonts w:hint="cs"/>
          <w:i/>
          <w:sz w:val="23"/>
          <w:szCs w:val="23"/>
          <w:rtl/>
        </w:rPr>
        <w:t>ی</w:t>
      </w:r>
      <w:r w:rsidRPr="003B28FD">
        <w:rPr>
          <w:i/>
          <w:sz w:val="23"/>
          <w:szCs w:val="23"/>
          <w:rtl/>
        </w:rPr>
        <w:t xml:space="preserve"> </w:t>
      </w:r>
      <w:r w:rsidRPr="003B28FD">
        <w:rPr>
          <w:position w:val="-8"/>
        </w:rPr>
        <w:object w:dxaOrig="660" w:dyaOrig="279" w14:anchorId="50545B01">
          <v:shape id="_x0000_i3013" type="#_x0000_t75" style="width:33.3pt;height:13.9pt" o:ole="">
            <v:imagedata r:id="rId4011" o:title=""/>
          </v:shape>
          <o:OLEObject Type="Embed" ProgID="Equation.DSMT4" ShapeID="_x0000_i3013" DrawAspect="Content" ObjectID="_1791376957" r:id="rId4012"/>
        </w:object>
      </w:r>
      <w:r w:rsidRPr="003B28FD">
        <w:rPr>
          <w:i/>
          <w:sz w:val="23"/>
          <w:szCs w:val="23"/>
          <w:rtl/>
        </w:rPr>
        <w:t xml:space="preserve"> وجود دارد</w:t>
      </w:r>
      <w:r w:rsidRPr="003B28FD">
        <w:rPr>
          <w:rFonts w:hint="cs"/>
          <w:i/>
          <w:sz w:val="23"/>
          <w:szCs w:val="23"/>
          <w:rtl/>
        </w:rPr>
        <w:t>،</w:t>
      </w:r>
      <w:r w:rsidRPr="003B28FD">
        <w:rPr>
          <w:i/>
          <w:sz w:val="23"/>
          <w:szCs w:val="23"/>
          <w:rtl/>
        </w:rPr>
        <w:t xml:space="preserve"> </w:t>
      </w:r>
      <w:r w:rsidRPr="003B28FD">
        <w:rPr>
          <w:rFonts w:hint="cs"/>
          <w:i/>
          <w:sz w:val="23"/>
          <w:szCs w:val="23"/>
          <w:rtl/>
        </w:rPr>
        <w:t>لذا مطلوبیت کل تنزیل شده</w:t>
      </w:r>
      <w:r w:rsidRPr="003B28FD">
        <w:rPr>
          <w:i/>
          <w:sz w:val="23"/>
          <w:szCs w:val="23"/>
          <w:rtl/>
        </w:rPr>
        <w:softHyphen/>
      </w:r>
      <w:r w:rsidRPr="003B28FD">
        <w:rPr>
          <w:rFonts w:hint="cs"/>
          <w:i/>
          <w:sz w:val="23"/>
          <w:szCs w:val="23"/>
          <w:rtl/>
        </w:rPr>
        <w:t>ی خانوار</w:t>
      </w:r>
      <w:r w:rsidRPr="003B28FD">
        <w:rPr>
          <w:i/>
          <w:sz w:val="23"/>
          <w:szCs w:val="23"/>
          <w:rtl/>
        </w:rPr>
        <w:t xml:space="preserve"> </w:t>
      </w:r>
      <w:r w:rsidRPr="003B28FD">
        <w:rPr>
          <w:rFonts w:hint="cs"/>
          <w:i/>
          <w:sz w:val="23"/>
          <w:szCs w:val="23"/>
          <w:rtl/>
        </w:rPr>
        <w:t xml:space="preserve">در این دو </w:t>
      </w:r>
      <w:r w:rsidRPr="003B28FD">
        <w:rPr>
          <w:i/>
          <w:sz w:val="23"/>
          <w:szCs w:val="23"/>
          <w:rtl/>
        </w:rPr>
        <w:t>دوره</w:t>
      </w:r>
      <w:r w:rsidRPr="003B28FD">
        <w:rPr>
          <w:i/>
          <w:sz w:val="23"/>
          <w:szCs w:val="23"/>
          <w:rtl/>
        </w:rPr>
        <w:softHyphen/>
        <w:t xml:space="preserve"> برا</w:t>
      </w:r>
      <w:r w:rsidRPr="003B28FD">
        <w:rPr>
          <w:rFonts w:hint="cs"/>
          <w:i/>
          <w:sz w:val="23"/>
          <w:szCs w:val="23"/>
          <w:rtl/>
        </w:rPr>
        <w:t>بر خواهد بود</w:t>
      </w:r>
      <w:r w:rsidRPr="003B28FD">
        <w:rPr>
          <w:i/>
          <w:sz w:val="23"/>
          <w:szCs w:val="23"/>
          <w:rtl/>
        </w:rPr>
        <w:t xml:space="preserve"> با</w:t>
      </w:r>
    </w:p>
    <w:p w14:paraId="406BD720" w14:textId="77777777" w:rsidR="00411620" w:rsidRPr="003B28FD" w:rsidRDefault="00411620" w:rsidP="00411620">
      <w:pPr>
        <w:pStyle w:val="MTDisplayEquation"/>
        <w:spacing w:line="216" w:lineRule="auto"/>
        <w:jc w:val="left"/>
        <w:rPr>
          <w:rFonts w:ascii="Times New Roman" w:eastAsiaTheme="minorEastAsia" w:hAnsi="Times New Roman" w:cs="B Nazanin"/>
          <w:i/>
          <w:sz w:val="23"/>
          <w:szCs w:val="23"/>
        </w:rPr>
      </w:pPr>
      <w:r w:rsidRPr="003B28FD">
        <w:rPr>
          <w:position w:val="-12"/>
        </w:rPr>
        <w:object w:dxaOrig="3280" w:dyaOrig="360" w14:anchorId="4F340BC2">
          <v:shape id="_x0000_i3014" type="#_x0000_t75" style="width:163.95pt;height:18.15pt" o:ole="">
            <v:imagedata r:id="rId4013" o:title=""/>
          </v:shape>
          <o:OLEObject Type="Embed" ProgID="Equation.DSMT4" ShapeID="_x0000_i3014" DrawAspect="Content" ObjectID="_1791376958" r:id="rId4014"/>
        </w:object>
      </w:r>
    </w:p>
    <w:p w14:paraId="0428C68A" w14:textId="77777777" w:rsidR="00411620" w:rsidRPr="003B28FD" w:rsidRDefault="00411620" w:rsidP="00411620">
      <w:pPr>
        <w:spacing w:line="216" w:lineRule="auto"/>
        <w:rPr>
          <w:i/>
          <w:sz w:val="23"/>
          <w:szCs w:val="23"/>
          <w:rtl/>
        </w:rPr>
      </w:pPr>
      <w:r w:rsidRPr="003B28FD">
        <w:rPr>
          <w:rFonts w:eastAsiaTheme="minorEastAsia" w:hint="cs"/>
          <w:i/>
          <w:sz w:val="23"/>
          <w:szCs w:val="23"/>
          <w:rtl/>
        </w:rPr>
        <w:t>که در آن</w:t>
      </w:r>
      <w:r w:rsidRPr="003B28FD">
        <w:rPr>
          <w:rFonts w:eastAsiaTheme="minorEastAsia"/>
          <w:i/>
          <w:sz w:val="23"/>
          <w:szCs w:val="23"/>
          <w:rtl/>
        </w:rPr>
        <w:t>.</w:t>
      </w:r>
      <w:r w:rsidRPr="003B28FD">
        <w:rPr>
          <w:position w:val="-10"/>
        </w:rPr>
        <w:object w:dxaOrig="200" w:dyaOrig="320" w14:anchorId="1AB3EC84">
          <v:shape id="_x0000_i3015" type="#_x0000_t75" style="width:10.3pt;height:15.75pt" o:ole="">
            <v:imagedata r:id="rId4015" o:title=""/>
          </v:shape>
          <o:OLEObject Type="Embed" ProgID="Equation.DSMT4" ShapeID="_x0000_i3015" DrawAspect="Content" ObjectID="_1791376959" r:id="rId4016"/>
        </w:object>
      </w:r>
      <w:r w:rsidRPr="003B28FD">
        <w:rPr>
          <w:i/>
          <w:sz w:val="23"/>
          <w:szCs w:val="23"/>
        </w:rPr>
        <w:t>.</w:t>
      </w:r>
      <w:r w:rsidRPr="003B28FD">
        <w:rPr>
          <w:rFonts w:eastAsiaTheme="minorEastAsia" w:hint="cs"/>
          <w:i/>
          <w:sz w:val="23"/>
          <w:szCs w:val="23"/>
          <w:rtl/>
        </w:rPr>
        <w:t xml:space="preserve"> مخارج مصرفی خانوار،</w:t>
      </w:r>
      <w:r w:rsidRPr="003B28FD">
        <w:rPr>
          <w:position w:val="-10"/>
        </w:rPr>
        <w:object w:dxaOrig="859" w:dyaOrig="320" w14:anchorId="03855208">
          <v:shape id="_x0000_i3016" type="#_x0000_t75" style="width:42.95pt;height:15.75pt" o:ole="">
            <v:imagedata r:id="rId4017" o:title=""/>
          </v:shape>
          <o:OLEObject Type="Embed" ProgID="Equation.DSMT4" ShapeID="_x0000_i3016" DrawAspect="Content" ObjectID="_1791376960" r:id="rId4018"/>
        </w:object>
      </w:r>
      <w:r w:rsidRPr="003B28FD">
        <w:rPr>
          <w:rFonts w:eastAsiaTheme="minorEastAsia" w:hint="cs"/>
          <w:i/>
          <w:sz w:val="23"/>
          <w:szCs w:val="23"/>
          <w:rtl/>
        </w:rPr>
        <w:t xml:space="preserve"> فراغت و</w:t>
      </w:r>
      <w:r w:rsidRPr="003B28FD">
        <w:rPr>
          <w:position w:val="-10"/>
        </w:rPr>
        <w:object w:dxaOrig="260" w:dyaOrig="320" w14:anchorId="2CA8BAB9">
          <v:shape id="_x0000_i3017" type="#_x0000_t75" style="width:12.7pt;height:15.75pt" o:ole="">
            <v:imagedata r:id="rId4019" o:title=""/>
          </v:shape>
          <o:OLEObject Type="Embed" ProgID="Equation.DSMT4" ShapeID="_x0000_i3017" DrawAspect="Content" ObjectID="_1791376961" r:id="rId4020"/>
        </w:object>
      </w:r>
      <w:r w:rsidRPr="003B28FD">
        <w:rPr>
          <w:i/>
          <w:sz w:val="23"/>
          <w:szCs w:val="23"/>
          <w:rtl/>
        </w:rPr>
        <w:t xml:space="preserve"> </w:t>
      </w:r>
      <w:r w:rsidRPr="003B28FD">
        <w:rPr>
          <w:rFonts w:hint="cs"/>
          <w:i/>
          <w:sz w:val="23"/>
          <w:szCs w:val="23"/>
          <w:rtl/>
        </w:rPr>
        <w:t xml:space="preserve">مخارج </w:t>
      </w:r>
      <w:r w:rsidRPr="003B28FD">
        <w:rPr>
          <w:i/>
          <w:sz w:val="23"/>
          <w:szCs w:val="23"/>
          <w:rtl/>
        </w:rPr>
        <w:t>دو</w:t>
      </w:r>
      <w:r w:rsidRPr="003B28FD">
        <w:rPr>
          <w:rFonts w:hint="cs"/>
          <w:i/>
          <w:sz w:val="23"/>
          <w:szCs w:val="23"/>
          <w:rtl/>
        </w:rPr>
        <w:t>ل</w:t>
      </w:r>
      <w:r w:rsidRPr="003B28FD">
        <w:rPr>
          <w:i/>
          <w:sz w:val="23"/>
          <w:szCs w:val="23"/>
          <w:rtl/>
        </w:rPr>
        <w:t>ت است</w:t>
      </w:r>
      <w:r w:rsidRPr="003B28FD">
        <w:rPr>
          <w:rFonts w:hint="cs"/>
          <w:i/>
          <w:sz w:val="23"/>
          <w:szCs w:val="23"/>
          <w:rtl/>
        </w:rPr>
        <w:t>.</w:t>
      </w:r>
      <w:r w:rsidRPr="003B28FD">
        <w:rPr>
          <w:i/>
          <w:sz w:val="23"/>
          <w:szCs w:val="23"/>
          <w:rtl/>
        </w:rPr>
        <w:t xml:space="preserve"> </w:t>
      </w:r>
      <w:r w:rsidRPr="003B28FD">
        <w:rPr>
          <w:rFonts w:hint="cs"/>
          <w:i/>
          <w:sz w:val="23"/>
          <w:szCs w:val="23"/>
          <w:rtl/>
        </w:rPr>
        <w:t xml:space="preserve">برای سهولت </w:t>
      </w:r>
      <w:r w:rsidRPr="003B28FD">
        <w:rPr>
          <w:i/>
          <w:sz w:val="23"/>
          <w:szCs w:val="23"/>
          <w:rtl/>
        </w:rPr>
        <w:t>فر</w:t>
      </w:r>
      <w:r w:rsidRPr="003B28FD">
        <w:rPr>
          <w:rFonts w:hint="cs"/>
          <w:i/>
          <w:sz w:val="23"/>
          <w:szCs w:val="23"/>
          <w:rtl/>
        </w:rPr>
        <w:t>ض</w:t>
      </w:r>
      <w:r w:rsidRPr="003B28FD">
        <w:rPr>
          <w:i/>
          <w:sz w:val="23"/>
          <w:szCs w:val="23"/>
          <w:rtl/>
        </w:rPr>
        <w:t xml:space="preserve"> مي</w:t>
      </w:r>
      <w:r w:rsidRPr="003B28FD">
        <w:rPr>
          <w:i/>
          <w:sz w:val="23"/>
          <w:szCs w:val="23"/>
          <w:rtl/>
        </w:rPr>
        <w:softHyphen/>
        <w:t>شود</w:t>
      </w:r>
      <w:r w:rsidRPr="003B28FD">
        <w:rPr>
          <w:rFonts w:hint="cs"/>
          <w:i/>
          <w:sz w:val="23"/>
          <w:szCs w:val="23"/>
          <w:rtl/>
        </w:rPr>
        <w:t>،</w:t>
      </w:r>
      <w:r w:rsidRPr="003B28FD">
        <w:rPr>
          <w:i/>
          <w:sz w:val="23"/>
          <w:szCs w:val="23"/>
          <w:rtl/>
        </w:rPr>
        <w:t xml:space="preserve"> در دور</w:t>
      </w:r>
      <w:r w:rsidRPr="003B28FD">
        <w:rPr>
          <w:i/>
          <w:sz w:val="23"/>
          <w:szCs w:val="23"/>
          <w:rtl/>
        </w:rPr>
        <w:softHyphen/>
      </w:r>
      <w:r w:rsidRPr="003B28FD">
        <w:rPr>
          <w:rFonts w:hint="cs"/>
          <w:i/>
          <w:sz w:val="23"/>
          <w:szCs w:val="23"/>
          <w:rtl/>
        </w:rPr>
        <w:t>ی</w:t>
      </w:r>
      <w:r w:rsidRPr="003B28FD">
        <w:rPr>
          <w:i/>
          <w:sz w:val="23"/>
          <w:szCs w:val="23"/>
          <w:rtl/>
        </w:rPr>
        <w:t xml:space="preserve"> اول </w:t>
      </w:r>
      <w:r w:rsidRPr="003B28FD">
        <w:rPr>
          <w:rFonts w:hint="cs"/>
          <w:i/>
          <w:sz w:val="23"/>
          <w:szCs w:val="23"/>
          <w:rtl/>
        </w:rPr>
        <w:t>یعنی</w:t>
      </w:r>
      <w:r w:rsidRPr="003B28FD">
        <w:rPr>
          <w:position w:val="-6"/>
        </w:rPr>
        <w:object w:dxaOrig="499" w:dyaOrig="260" w14:anchorId="60101F6D">
          <v:shape id="_x0000_i3018" type="#_x0000_t75" style="width:24.8pt;height:12.7pt" o:ole="">
            <v:imagedata r:id="rId4021" o:title=""/>
          </v:shape>
          <o:OLEObject Type="Embed" ProgID="Equation.DSMT4" ShapeID="_x0000_i3018" DrawAspect="Content" ObjectID="_1791376962" r:id="rId4022"/>
        </w:object>
      </w:r>
      <w:r w:rsidRPr="003B28FD">
        <w:rPr>
          <w:rFonts w:hint="cs"/>
          <w:i/>
          <w:sz w:val="23"/>
          <w:szCs w:val="23"/>
          <w:rtl/>
        </w:rPr>
        <w:t xml:space="preserve"> خانوار کار نمی</w:t>
      </w:r>
      <w:r w:rsidRPr="003B28FD">
        <w:rPr>
          <w:i/>
          <w:sz w:val="23"/>
          <w:szCs w:val="23"/>
          <w:rtl/>
        </w:rPr>
        <w:softHyphen/>
      </w:r>
      <w:r w:rsidRPr="003B28FD">
        <w:rPr>
          <w:rFonts w:hint="cs"/>
          <w:i/>
          <w:sz w:val="23"/>
          <w:szCs w:val="23"/>
          <w:rtl/>
        </w:rPr>
        <w:t xml:space="preserve">کند و </w:t>
      </w:r>
      <w:r w:rsidRPr="003B28FD">
        <w:rPr>
          <w:position w:val="-10"/>
        </w:rPr>
        <w:object w:dxaOrig="600" w:dyaOrig="320" w14:anchorId="659278BB">
          <v:shape id="_x0000_i3019" type="#_x0000_t75" style="width:30.25pt;height:15.75pt" o:ole="">
            <v:imagedata r:id="rId4023" o:title=""/>
          </v:shape>
          <o:OLEObject Type="Embed" ProgID="Equation.DSMT4" ShapeID="_x0000_i3019" DrawAspect="Content" ObjectID="_1791376963" r:id="rId4024"/>
        </w:object>
      </w:r>
      <w:r w:rsidRPr="003B28FD">
        <w:rPr>
          <w:rFonts w:hint="cs"/>
          <w:i/>
          <w:sz w:val="23"/>
          <w:szCs w:val="23"/>
          <w:rtl/>
        </w:rPr>
        <w:t xml:space="preserve"> است و به تبع آن هیچ </w:t>
      </w:r>
      <w:r w:rsidRPr="003B28FD">
        <w:rPr>
          <w:i/>
          <w:sz w:val="23"/>
          <w:szCs w:val="23"/>
          <w:rtl/>
        </w:rPr>
        <w:t>توليد</w:t>
      </w:r>
      <w:r w:rsidRPr="003B28FD">
        <w:rPr>
          <w:rFonts w:hint="cs"/>
          <w:i/>
          <w:sz w:val="23"/>
          <w:szCs w:val="23"/>
          <w:rtl/>
        </w:rPr>
        <w:t>ی</w:t>
      </w:r>
      <w:r w:rsidRPr="003B28FD">
        <w:rPr>
          <w:i/>
          <w:sz w:val="23"/>
          <w:szCs w:val="23"/>
          <w:rtl/>
        </w:rPr>
        <w:t xml:space="preserve"> </w:t>
      </w:r>
      <w:r w:rsidRPr="003B28FD">
        <w:rPr>
          <w:rFonts w:hint="cs"/>
          <w:i/>
          <w:sz w:val="23"/>
          <w:szCs w:val="23"/>
          <w:rtl/>
        </w:rPr>
        <w:t xml:space="preserve">در آن دوره </w:t>
      </w:r>
      <w:r w:rsidRPr="003B28FD">
        <w:rPr>
          <w:i/>
          <w:sz w:val="23"/>
          <w:szCs w:val="23"/>
          <w:rtl/>
        </w:rPr>
        <w:t>وجود ندارد</w:t>
      </w:r>
      <w:r w:rsidRPr="003B28FD">
        <w:rPr>
          <w:rFonts w:hint="cs"/>
          <w:i/>
          <w:sz w:val="23"/>
          <w:szCs w:val="23"/>
          <w:rtl/>
        </w:rPr>
        <w:t xml:space="preserve">. </w:t>
      </w:r>
      <w:r w:rsidRPr="003B28FD">
        <w:rPr>
          <w:i/>
          <w:sz w:val="23"/>
          <w:szCs w:val="23"/>
          <w:rtl/>
        </w:rPr>
        <w:t xml:space="preserve">لذا درآمد </w:t>
      </w:r>
      <w:r w:rsidRPr="003B28FD">
        <w:rPr>
          <w:rFonts w:hint="cs"/>
          <w:i/>
          <w:sz w:val="23"/>
          <w:szCs w:val="23"/>
          <w:rtl/>
        </w:rPr>
        <w:t xml:space="preserve">بخش </w:t>
      </w:r>
      <w:r w:rsidRPr="003B28FD">
        <w:rPr>
          <w:i/>
          <w:sz w:val="23"/>
          <w:szCs w:val="23"/>
          <w:rtl/>
        </w:rPr>
        <w:t xml:space="preserve">خصوصي </w:t>
      </w:r>
      <w:r w:rsidRPr="003B28FD">
        <w:rPr>
          <w:rFonts w:hint="cs"/>
          <w:i/>
          <w:sz w:val="23"/>
          <w:szCs w:val="23"/>
          <w:rtl/>
        </w:rPr>
        <w:t xml:space="preserve">فقط </w:t>
      </w:r>
      <w:r w:rsidRPr="003B28FD">
        <w:rPr>
          <w:i/>
          <w:sz w:val="23"/>
          <w:szCs w:val="23"/>
          <w:rtl/>
        </w:rPr>
        <w:t>از</w:t>
      </w:r>
      <w:r w:rsidRPr="003B28FD">
        <w:rPr>
          <w:rFonts w:hint="cs"/>
          <w:i/>
          <w:sz w:val="23"/>
          <w:szCs w:val="23"/>
          <w:rtl/>
        </w:rPr>
        <w:t xml:space="preserve"> موجودی سرمایه</w:t>
      </w:r>
      <w:r w:rsidRPr="003B28FD">
        <w:rPr>
          <w:i/>
          <w:sz w:val="23"/>
          <w:szCs w:val="23"/>
          <w:rtl/>
        </w:rPr>
        <w:softHyphen/>
      </w:r>
      <w:r w:rsidRPr="003B28FD">
        <w:rPr>
          <w:rFonts w:hint="cs"/>
          <w:i/>
          <w:sz w:val="23"/>
          <w:szCs w:val="23"/>
          <w:rtl/>
        </w:rPr>
        <w:t>ی اولیه که از قبل داده شده است، یعنی</w:t>
      </w:r>
      <w:r w:rsidRPr="003B28FD">
        <w:rPr>
          <w:position w:val="-10"/>
        </w:rPr>
        <w:object w:dxaOrig="220" w:dyaOrig="320" w14:anchorId="3F2E797F">
          <v:shape id="_x0000_i3020" type="#_x0000_t75" style="width:10.9pt;height:15.75pt" o:ole="">
            <v:imagedata r:id="rId4025" o:title=""/>
          </v:shape>
          <o:OLEObject Type="Embed" ProgID="Equation.DSMT4" ShapeID="_x0000_i3020" DrawAspect="Content" ObjectID="_1791376964" r:id="rId4026"/>
        </w:object>
      </w:r>
      <w:r w:rsidRPr="003B28FD">
        <w:rPr>
          <w:i/>
          <w:sz w:val="23"/>
          <w:szCs w:val="23"/>
          <w:rtl/>
        </w:rPr>
        <w:t xml:space="preserve"> </w:t>
      </w:r>
      <w:r w:rsidRPr="003B28FD">
        <w:rPr>
          <w:rFonts w:hint="cs"/>
          <w:i/>
          <w:sz w:val="23"/>
          <w:szCs w:val="23"/>
          <w:rtl/>
        </w:rPr>
        <w:t>بدست می</w:t>
      </w:r>
      <w:r w:rsidRPr="003B28FD">
        <w:rPr>
          <w:i/>
          <w:sz w:val="23"/>
          <w:szCs w:val="23"/>
          <w:rtl/>
        </w:rPr>
        <w:softHyphen/>
      </w:r>
      <w:r w:rsidRPr="003B28FD">
        <w:rPr>
          <w:rFonts w:hint="cs"/>
          <w:i/>
          <w:sz w:val="23"/>
          <w:szCs w:val="23"/>
          <w:rtl/>
        </w:rPr>
        <w:t xml:space="preserve">آید و این درآمد </w:t>
      </w:r>
      <w:r w:rsidRPr="003B28FD">
        <w:rPr>
          <w:i/>
          <w:sz w:val="23"/>
          <w:szCs w:val="23"/>
          <w:rtl/>
        </w:rPr>
        <w:t>ممكن است مصرف و يا پس</w:t>
      </w:r>
      <w:r w:rsidRPr="003B28FD">
        <w:rPr>
          <w:i/>
          <w:sz w:val="23"/>
          <w:szCs w:val="23"/>
          <w:rtl/>
        </w:rPr>
        <w:softHyphen/>
        <w:t>انداز (سرمايه</w:t>
      </w:r>
      <w:r w:rsidRPr="003B28FD">
        <w:rPr>
          <w:i/>
          <w:sz w:val="23"/>
          <w:szCs w:val="23"/>
          <w:rtl/>
        </w:rPr>
        <w:softHyphen/>
        <w:t xml:space="preserve">گذاري) شود. </w:t>
      </w:r>
      <w:r w:rsidRPr="003B28FD">
        <w:rPr>
          <w:rFonts w:hint="cs"/>
          <w:i/>
          <w:sz w:val="23"/>
          <w:szCs w:val="23"/>
          <w:rtl/>
        </w:rPr>
        <w:lastRenderedPageBreak/>
        <w:t>همچنین در دوره</w:t>
      </w:r>
      <w:r w:rsidRPr="003B28FD">
        <w:rPr>
          <w:i/>
          <w:sz w:val="23"/>
          <w:szCs w:val="23"/>
          <w:rtl/>
        </w:rPr>
        <w:softHyphen/>
      </w:r>
      <w:r w:rsidRPr="003B28FD">
        <w:rPr>
          <w:rFonts w:hint="cs"/>
          <w:i/>
          <w:sz w:val="23"/>
          <w:szCs w:val="23"/>
          <w:rtl/>
        </w:rPr>
        <w:t xml:space="preserve">ی اول مخارج </w:t>
      </w:r>
      <w:r w:rsidRPr="003B28FD">
        <w:rPr>
          <w:i/>
          <w:sz w:val="23"/>
          <w:szCs w:val="23"/>
          <w:rtl/>
        </w:rPr>
        <w:t>دولت</w:t>
      </w:r>
      <w:r w:rsidRPr="003B28FD">
        <w:rPr>
          <w:position w:val="-10"/>
        </w:rPr>
        <w:object w:dxaOrig="260" w:dyaOrig="320" w14:anchorId="74F7D5A0">
          <v:shape id="_x0000_i3021" type="#_x0000_t75" style="width:12.7pt;height:15.75pt" o:ole="">
            <v:imagedata r:id="rId4027" o:title=""/>
          </v:shape>
          <o:OLEObject Type="Embed" ProgID="Equation.DSMT4" ShapeID="_x0000_i3021" DrawAspect="Content" ObjectID="_1791376965" r:id="rId4028"/>
        </w:object>
      </w:r>
      <w:r w:rsidRPr="003B28FD">
        <w:rPr>
          <w:rFonts w:hint="cs"/>
          <w:i/>
          <w:sz w:val="23"/>
          <w:szCs w:val="23"/>
          <w:rtl/>
        </w:rPr>
        <w:t xml:space="preserve"> و </w:t>
      </w:r>
      <w:r w:rsidRPr="003B28FD">
        <w:rPr>
          <w:i/>
          <w:sz w:val="23"/>
          <w:szCs w:val="23"/>
          <w:rtl/>
        </w:rPr>
        <w:t xml:space="preserve">نرخ </w:t>
      </w:r>
      <w:r w:rsidRPr="003B28FD">
        <w:rPr>
          <w:rFonts w:hint="cs"/>
          <w:i/>
          <w:sz w:val="23"/>
          <w:szCs w:val="23"/>
          <w:rtl/>
        </w:rPr>
        <w:t>اس</w:t>
      </w:r>
      <w:r w:rsidRPr="003B28FD">
        <w:rPr>
          <w:i/>
          <w:sz w:val="23"/>
          <w:szCs w:val="23"/>
          <w:rtl/>
        </w:rPr>
        <w:t>ته</w:t>
      </w:r>
      <w:r w:rsidRPr="003B28FD">
        <w:rPr>
          <w:rFonts w:hint="cs"/>
          <w:i/>
          <w:sz w:val="23"/>
          <w:szCs w:val="23"/>
          <w:rtl/>
        </w:rPr>
        <w:t>لا</w:t>
      </w:r>
      <w:r w:rsidRPr="003B28FD">
        <w:rPr>
          <w:i/>
          <w:sz w:val="23"/>
          <w:szCs w:val="23"/>
          <w:rtl/>
        </w:rPr>
        <w:t>ك</w:t>
      </w:r>
      <w:r w:rsidRPr="003B28FD">
        <w:rPr>
          <w:position w:val="-6"/>
        </w:rPr>
        <w:object w:dxaOrig="200" w:dyaOrig="260" w14:anchorId="62CB48D1">
          <v:shape id="_x0000_i3022" type="#_x0000_t75" style="width:10.3pt;height:12.7pt" o:ole="">
            <v:imagedata r:id="rId4029" o:title=""/>
          </v:shape>
          <o:OLEObject Type="Embed" ProgID="Equation.DSMT4" ShapeID="_x0000_i3022" DrawAspect="Content" ObjectID="_1791376966" r:id="rId4030"/>
        </w:object>
      </w:r>
      <w:r w:rsidRPr="003B28FD">
        <w:rPr>
          <w:rFonts w:hint="cs"/>
          <w:i/>
          <w:sz w:val="23"/>
          <w:szCs w:val="23"/>
          <w:rtl/>
        </w:rPr>
        <w:t xml:space="preserve"> </w:t>
      </w:r>
      <w:r w:rsidRPr="003B28FD">
        <w:rPr>
          <w:i/>
          <w:sz w:val="23"/>
          <w:szCs w:val="23"/>
          <w:rtl/>
        </w:rPr>
        <w:t xml:space="preserve">نيز برابر با صفر </w:t>
      </w:r>
      <w:r w:rsidRPr="003B28FD">
        <w:rPr>
          <w:rFonts w:hint="cs"/>
          <w:i/>
          <w:sz w:val="23"/>
          <w:szCs w:val="23"/>
          <w:rtl/>
        </w:rPr>
        <w:t>می</w:t>
      </w:r>
      <w:r w:rsidRPr="003B28FD">
        <w:rPr>
          <w:i/>
          <w:sz w:val="23"/>
          <w:szCs w:val="23"/>
          <w:rtl/>
        </w:rPr>
        <w:softHyphen/>
      </w:r>
      <w:r w:rsidRPr="003B28FD">
        <w:rPr>
          <w:rFonts w:hint="cs"/>
          <w:i/>
          <w:sz w:val="23"/>
          <w:szCs w:val="23"/>
          <w:rtl/>
        </w:rPr>
        <w:t>باشند</w:t>
      </w:r>
      <w:r w:rsidRPr="003B28FD">
        <w:rPr>
          <w:i/>
          <w:sz w:val="23"/>
          <w:szCs w:val="23"/>
          <w:rtl/>
        </w:rPr>
        <w:t>.</w:t>
      </w:r>
      <w:r w:rsidRPr="003B28FD">
        <w:rPr>
          <w:rFonts w:hint="cs"/>
          <w:i/>
          <w:sz w:val="23"/>
          <w:szCs w:val="23"/>
          <w:rtl/>
        </w:rPr>
        <w:t xml:space="preserve"> بنابراین </w:t>
      </w:r>
      <w:r w:rsidRPr="003B28FD">
        <w:rPr>
          <w:i/>
          <w:sz w:val="23"/>
          <w:szCs w:val="23"/>
          <w:rtl/>
        </w:rPr>
        <w:t>در دور</w:t>
      </w:r>
      <w:r w:rsidRPr="003B28FD">
        <w:rPr>
          <w:rFonts w:hint="cs"/>
          <w:i/>
          <w:sz w:val="23"/>
          <w:szCs w:val="23"/>
          <w:rtl/>
        </w:rPr>
        <w:t>ه</w:t>
      </w:r>
      <w:r w:rsidRPr="003B28FD">
        <w:rPr>
          <w:i/>
          <w:sz w:val="23"/>
          <w:szCs w:val="23"/>
          <w:rtl/>
        </w:rPr>
        <w:softHyphen/>
      </w:r>
      <w:r w:rsidRPr="003B28FD">
        <w:rPr>
          <w:rFonts w:hint="cs"/>
          <w:i/>
          <w:sz w:val="23"/>
          <w:szCs w:val="23"/>
          <w:rtl/>
        </w:rPr>
        <w:t>ی</w:t>
      </w:r>
      <w:r w:rsidRPr="003B28FD">
        <w:rPr>
          <w:i/>
          <w:sz w:val="23"/>
          <w:szCs w:val="23"/>
          <w:rtl/>
        </w:rPr>
        <w:t xml:space="preserve"> اول ق</w:t>
      </w:r>
      <w:r w:rsidRPr="003B28FD">
        <w:rPr>
          <w:rFonts w:hint="cs"/>
          <w:i/>
          <w:sz w:val="23"/>
          <w:szCs w:val="23"/>
          <w:rtl/>
        </w:rPr>
        <w:t>ی</w:t>
      </w:r>
      <w:r w:rsidRPr="003B28FD">
        <w:rPr>
          <w:i/>
          <w:sz w:val="23"/>
          <w:szCs w:val="23"/>
          <w:rtl/>
        </w:rPr>
        <w:t>د بودجه</w:t>
      </w:r>
      <w:r w:rsidRPr="003B28FD">
        <w:rPr>
          <w:i/>
          <w:sz w:val="23"/>
          <w:szCs w:val="23"/>
          <w:rtl/>
        </w:rPr>
        <w:softHyphen/>
      </w:r>
      <w:r w:rsidRPr="003B28FD">
        <w:rPr>
          <w:rFonts w:hint="cs"/>
          <w:i/>
          <w:sz w:val="23"/>
          <w:szCs w:val="23"/>
          <w:rtl/>
        </w:rPr>
        <w:t>ی</w:t>
      </w:r>
      <w:r w:rsidRPr="003B28FD">
        <w:rPr>
          <w:i/>
          <w:sz w:val="23"/>
          <w:szCs w:val="23"/>
          <w:rtl/>
        </w:rPr>
        <w:t xml:space="preserve"> خانوار عبارت است از</w:t>
      </w:r>
    </w:p>
    <w:p w14:paraId="2B553C6E" w14:textId="77777777" w:rsidR="00411620" w:rsidRPr="003B28FD" w:rsidRDefault="00411620" w:rsidP="00411620">
      <w:pPr>
        <w:bidi w:val="0"/>
        <w:spacing w:line="216" w:lineRule="auto"/>
        <w:rPr>
          <w:rFonts w:eastAsiaTheme="minorEastAsia"/>
          <w:i/>
          <w:sz w:val="23"/>
          <w:szCs w:val="23"/>
          <w:rtl/>
        </w:rPr>
      </w:pPr>
      <w:r w:rsidRPr="003B28FD">
        <w:rPr>
          <w:i/>
          <w:sz w:val="23"/>
          <w:szCs w:val="23"/>
          <w:rtl/>
        </w:rPr>
        <w:t xml:space="preserve"> </w:t>
      </w:r>
      <w:r w:rsidRPr="003B28FD">
        <w:rPr>
          <w:position w:val="-10"/>
        </w:rPr>
        <w:object w:dxaOrig="1020" w:dyaOrig="320" w14:anchorId="2BB57722">
          <v:shape id="_x0000_i3023" type="#_x0000_t75" style="width:50.8pt;height:15.75pt" o:ole="">
            <v:imagedata r:id="rId4031" o:title=""/>
          </v:shape>
          <o:OLEObject Type="Embed" ProgID="Equation.DSMT4" ShapeID="_x0000_i3023" DrawAspect="Content" ObjectID="_1791376967" r:id="rId4032"/>
        </w:object>
      </w:r>
      <w:r w:rsidRPr="003B28FD">
        <w:rPr>
          <w:rFonts w:eastAsiaTheme="minorEastAsia" w:hint="cs"/>
          <w:i/>
          <w:sz w:val="23"/>
          <w:szCs w:val="23"/>
          <w:rtl/>
        </w:rPr>
        <w:t xml:space="preserve"> </w:t>
      </w:r>
      <w:r w:rsidRPr="003B28FD">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tl/>
        </w:rPr>
        <w:tab/>
      </w:r>
    </w:p>
    <w:p w14:paraId="7FFC0673" w14:textId="77777777" w:rsidR="00411620" w:rsidRPr="003B28FD" w:rsidRDefault="00411620" w:rsidP="00411620">
      <w:pPr>
        <w:spacing w:line="216" w:lineRule="auto"/>
        <w:rPr>
          <w:rFonts w:eastAsiaTheme="minorEastAsia"/>
          <w:i/>
          <w:sz w:val="23"/>
          <w:szCs w:val="23"/>
          <w:rtl/>
        </w:rPr>
      </w:pPr>
      <w:r w:rsidRPr="003B28FD">
        <w:rPr>
          <w:rFonts w:hint="cs"/>
          <w:i/>
          <w:sz w:val="23"/>
          <w:szCs w:val="23"/>
          <w:rtl/>
        </w:rPr>
        <w:t>که در آن</w:t>
      </w:r>
      <w:r w:rsidRPr="00025957">
        <w:rPr>
          <w:position w:val="-4"/>
        </w:rPr>
        <w:object w:dxaOrig="180" w:dyaOrig="180" w14:anchorId="6BA81AD5">
          <v:shape id="_x0000_i3024" type="#_x0000_t75" style="width:9.1pt;height:9.1pt" o:ole="">
            <v:imagedata r:id="rId4033" o:title=""/>
          </v:shape>
          <o:OLEObject Type="Embed" ProgID="Equation.DSMT4" ShapeID="_x0000_i3024" DrawAspect="Content" ObjectID="_1791376968" r:id="rId4034"/>
        </w:object>
      </w:r>
      <w:r w:rsidRPr="003B28FD">
        <w:rPr>
          <w:i/>
          <w:sz w:val="23"/>
          <w:szCs w:val="23"/>
        </w:rPr>
        <w:t xml:space="preserve"> </w:t>
      </w:r>
      <w:r w:rsidRPr="003B28FD">
        <w:rPr>
          <w:rFonts w:hint="cs"/>
          <w:i/>
          <w:sz w:val="23"/>
          <w:szCs w:val="23"/>
          <w:rtl/>
        </w:rPr>
        <w:t>نرخ</w:t>
      </w:r>
      <w:r w:rsidRPr="003B28FD">
        <w:rPr>
          <w:i/>
          <w:sz w:val="23"/>
          <w:szCs w:val="23"/>
          <w:rtl/>
        </w:rPr>
        <w:t xml:space="preserve"> بازدهي سرمايه است</w:t>
      </w:r>
      <w:r w:rsidRPr="003B28FD">
        <w:rPr>
          <w:rFonts w:hint="cs"/>
          <w:i/>
          <w:sz w:val="23"/>
          <w:szCs w:val="23"/>
          <w:rtl/>
        </w:rPr>
        <w:t>.</w:t>
      </w:r>
      <w:r w:rsidRPr="003B28FD">
        <w:rPr>
          <w:i/>
          <w:sz w:val="23"/>
          <w:szCs w:val="23"/>
          <w:rtl/>
        </w:rPr>
        <w:t xml:space="preserve"> </w:t>
      </w:r>
      <w:r w:rsidRPr="003B28FD">
        <w:rPr>
          <w:rFonts w:eastAsiaTheme="minorEastAsia" w:hint="cs"/>
          <w:i/>
          <w:sz w:val="23"/>
          <w:szCs w:val="23"/>
          <w:rtl/>
        </w:rPr>
        <w:t>از معادله</w:t>
      </w:r>
      <w:r w:rsidRPr="003B28FD">
        <w:rPr>
          <w:rFonts w:eastAsiaTheme="minorEastAsia"/>
          <w:i/>
          <w:sz w:val="23"/>
          <w:szCs w:val="23"/>
          <w:rtl/>
        </w:rPr>
        <w:softHyphen/>
      </w:r>
      <w:r w:rsidRPr="003B28FD">
        <w:rPr>
          <w:rFonts w:eastAsiaTheme="minorEastAsia" w:hint="cs"/>
          <w:i/>
          <w:sz w:val="23"/>
          <w:szCs w:val="23"/>
          <w:rtl/>
        </w:rPr>
        <w:t xml:space="preserve">ی انباشت سرمایه داریم </w:t>
      </w:r>
    </w:p>
    <w:p w14:paraId="0290565A" w14:textId="77777777" w:rsidR="00411620" w:rsidRPr="003B28FD" w:rsidRDefault="00411620" w:rsidP="00411620">
      <w:pPr>
        <w:spacing w:line="216" w:lineRule="auto"/>
        <w:jc w:val="right"/>
        <w:rPr>
          <w:rFonts w:eastAsiaTheme="minorEastAsia"/>
          <w:i/>
          <w:sz w:val="23"/>
          <w:szCs w:val="23"/>
          <w:rtl/>
        </w:rPr>
      </w:pPr>
      <w:r w:rsidRPr="003B28FD">
        <w:rPr>
          <w:position w:val="-12"/>
        </w:rPr>
        <w:object w:dxaOrig="2340" w:dyaOrig="360" w14:anchorId="2B1A4229">
          <v:shape id="_x0000_i3025" type="#_x0000_t75" style="width:116.75pt;height:18.15pt" o:ole="">
            <v:imagedata r:id="rId4035" o:title=""/>
          </v:shape>
          <o:OLEObject Type="Embed" ProgID="Equation.DSMT4" ShapeID="_x0000_i3025" DrawAspect="Content" ObjectID="_1791376969" r:id="rId4036"/>
        </w:object>
      </w:r>
    </w:p>
    <w:p w14:paraId="764D75D0"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و چون مخارج دولت در دوره</w:t>
      </w:r>
      <w:r w:rsidRPr="003B28FD">
        <w:rPr>
          <w:rFonts w:eastAsiaTheme="minorEastAsia"/>
          <w:i/>
          <w:sz w:val="23"/>
          <w:szCs w:val="23"/>
          <w:rtl/>
        </w:rPr>
        <w:softHyphen/>
      </w:r>
      <w:r w:rsidRPr="003B28FD">
        <w:rPr>
          <w:rFonts w:eastAsiaTheme="minorEastAsia" w:hint="cs"/>
          <w:i/>
          <w:sz w:val="23"/>
          <w:szCs w:val="23"/>
          <w:rtl/>
        </w:rPr>
        <w:t>ی اول برابر با صفر است، بنابراین قید منبع اقتصاد عبارت خواهد بود با</w:t>
      </w:r>
    </w:p>
    <w:p w14:paraId="14AD9278" w14:textId="77777777" w:rsidR="00411620" w:rsidRPr="003B28FD" w:rsidRDefault="00411620" w:rsidP="00411620">
      <w:pPr>
        <w:bidi w:val="0"/>
        <w:spacing w:line="216" w:lineRule="auto"/>
        <w:rPr>
          <w:rFonts w:eastAsiaTheme="minorEastAsia"/>
          <w:i/>
          <w:sz w:val="23"/>
          <w:szCs w:val="23"/>
        </w:rPr>
      </w:pPr>
      <w:r w:rsidRPr="003B28FD">
        <w:rPr>
          <w:position w:val="-10"/>
        </w:rPr>
        <w:object w:dxaOrig="1340" w:dyaOrig="320" w14:anchorId="2968DE36">
          <v:shape id="_x0000_i3026" type="#_x0000_t75" style="width:67.15pt;height:15.75pt" o:ole="">
            <v:imagedata r:id="rId4037" o:title=""/>
          </v:shape>
          <o:OLEObject Type="Embed" ProgID="Equation.DSMT4" ShapeID="_x0000_i3026" DrawAspect="Content" ObjectID="_1791376970" r:id="rId4038"/>
        </w:object>
      </w:r>
      <w:r w:rsidRPr="003B28FD">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Pr>
          <w:rFonts w:eastAsiaTheme="minorEastAsia"/>
          <w:i/>
          <w:sz w:val="23"/>
          <w:szCs w:val="23"/>
          <w:rtl/>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tl/>
        </w:rPr>
        <w:tab/>
      </w:r>
      <w:r>
        <w:rPr>
          <w:rFonts w:eastAsiaTheme="minorEastAsia"/>
          <w:i/>
          <w:sz w:val="23"/>
          <w:szCs w:val="23"/>
        </w:rPr>
        <w:tab/>
      </w:r>
      <w:r w:rsidRPr="003B28FD">
        <w:rPr>
          <w:rFonts w:eastAsiaTheme="minorEastAsia"/>
          <w:i/>
          <w:sz w:val="23"/>
          <w:szCs w:val="23"/>
          <w:rtl/>
        </w:rPr>
        <w:tab/>
      </w:r>
      <w:r>
        <w:rPr>
          <w:rFonts w:eastAsiaTheme="minorEastAsia"/>
          <w:i/>
          <w:sz w:val="23"/>
          <w:szCs w:val="23"/>
          <w:rtl/>
        </w:rPr>
        <w:tab/>
      </w:r>
      <w:r w:rsidRPr="003B28FD">
        <w:rPr>
          <w:rFonts w:eastAsiaTheme="minorEastAsia"/>
          <w:i/>
          <w:sz w:val="23"/>
          <w:szCs w:val="23"/>
          <w:rtl/>
        </w:rPr>
        <w:tab/>
      </w:r>
      <w:r w:rsidRPr="003B28FD">
        <w:rPr>
          <w:rFonts w:eastAsiaTheme="minorEastAsia" w:hint="cs"/>
          <w:i/>
          <w:sz w:val="23"/>
          <w:szCs w:val="23"/>
          <w:rtl/>
        </w:rPr>
        <w:t>(۶. ۱)</w:t>
      </w:r>
    </w:p>
    <w:p w14:paraId="61D8D158" w14:textId="77777777" w:rsidR="00411620" w:rsidRPr="003B28FD" w:rsidRDefault="00411620" w:rsidP="00411620">
      <w:pPr>
        <w:spacing w:line="216" w:lineRule="auto"/>
        <w:rPr>
          <w:i/>
          <w:sz w:val="23"/>
          <w:szCs w:val="23"/>
          <w:rtl/>
        </w:rPr>
      </w:pPr>
      <w:r w:rsidRPr="003B28FD">
        <w:rPr>
          <w:rFonts w:eastAsiaTheme="minorEastAsia"/>
          <w:i/>
          <w:sz w:val="23"/>
          <w:szCs w:val="23"/>
        </w:rPr>
        <w:t xml:space="preserve"> </w:t>
      </w:r>
      <w:r w:rsidRPr="003B28FD">
        <w:rPr>
          <w:rFonts w:eastAsiaTheme="minorEastAsia" w:hint="cs"/>
          <w:i/>
          <w:sz w:val="23"/>
          <w:szCs w:val="23"/>
          <w:rtl/>
        </w:rPr>
        <w:t>د</w:t>
      </w:r>
      <w:r w:rsidRPr="003B28FD">
        <w:rPr>
          <w:i/>
          <w:sz w:val="23"/>
          <w:szCs w:val="23"/>
          <w:rtl/>
        </w:rPr>
        <w:t>ر دوره</w:t>
      </w:r>
      <w:r w:rsidRPr="003B28FD">
        <w:rPr>
          <w:i/>
          <w:sz w:val="23"/>
          <w:szCs w:val="23"/>
          <w:rtl/>
        </w:rPr>
        <w:softHyphen/>
      </w:r>
      <w:r w:rsidRPr="003B28FD">
        <w:rPr>
          <w:rFonts w:hint="cs"/>
          <w:i/>
          <w:sz w:val="23"/>
          <w:szCs w:val="23"/>
          <w:rtl/>
        </w:rPr>
        <w:t>ی</w:t>
      </w:r>
      <w:r w:rsidRPr="003B28FD">
        <w:rPr>
          <w:i/>
          <w:sz w:val="23"/>
          <w:szCs w:val="23"/>
          <w:rtl/>
        </w:rPr>
        <w:t xml:space="preserve"> دوم </w:t>
      </w:r>
      <w:r w:rsidRPr="003B28FD">
        <w:rPr>
          <w:rFonts w:hint="cs"/>
          <w:i/>
          <w:sz w:val="23"/>
          <w:szCs w:val="23"/>
          <w:rtl/>
        </w:rPr>
        <w:t>بدلیل آن</w:t>
      </w:r>
      <w:r w:rsidRPr="003B28FD">
        <w:rPr>
          <w:i/>
          <w:sz w:val="23"/>
          <w:szCs w:val="23"/>
          <w:rtl/>
        </w:rPr>
        <w:softHyphen/>
      </w:r>
      <w:r w:rsidRPr="003B28FD">
        <w:rPr>
          <w:rFonts w:hint="cs"/>
          <w:i/>
          <w:sz w:val="23"/>
          <w:szCs w:val="23"/>
          <w:rtl/>
        </w:rPr>
        <w:t>که خانوار</w:t>
      </w:r>
      <w:r w:rsidRPr="003B28FD">
        <w:rPr>
          <w:i/>
          <w:sz w:val="23"/>
          <w:szCs w:val="23"/>
          <w:rtl/>
        </w:rPr>
        <w:t xml:space="preserve"> </w:t>
      </w:r>
      <w:r w:rsidRPr="003B28FD">
        <w:rPr>
          <w:rFonts w:hint="cs"/>
          <w:i/>
          <w:sz w:val="23"/>
          <w:szCs w:val="23"/>
          <w:rtl/>
        </w:rPr>
        <w:t xml:space="preserve">نیروی </w:t>
      </w:r>
      <w:r w:rsidRPr="003B28FD">
        <w:rPr>
          <w:i/>
          <w:sz w:val="23"/>
          <w:szCs w:val="23"/>
          <w:rtl/>
        </w:rPr>
        <w:t xml:space="preserve">كار </w:t>
      </w:r>
      <w:r w:rsidRPr="003B28FD">
        <w:rPr>
          <w:rFonts w:hint="cs"/>
          <w:i/>
          <w:sz w:val="23"/>
          <w:szCs w:val="23"/>
          <w:rtl/>
        </w:rPr>
        <w:t xml:space="preserve">خود را عرضه </w:t>
      </w:r>
      <w:r w:rsidRPr="003B28FD">
        <w:rPr>
          <w:i/>
          <w:sz w:val="23"/>
          <w:szCs w:val="23"/>
          <w:rtl/>
        </w:rPr>
        <w:t>مي</w:t>
      </w:r>
      <w:r w:rsidRPr="003B28FD">
        <w:rPr>
          <w:i/>
          <w:sz w:val="23"/>
          <w:szCs w:val="23"/>
          <w:rtl/>
        </w:rPr>
        <w:softHyphen/>
        <w:t xml:space="preserve">كند </w:t>
      </w:r>
      <w:r w:rsidRPr="003B28FD">
        <w:rPr>
          <w:rFonts w:hint="cs"/>
          <w:i/>
          <w:sz w:val="23"/>
          <w:szCs w:val="23"/>
          <w:rtl/>
        </w:rPr>
        <w:t>درآمد خانوار برابر است با</w:t>
      </w:r>
    </w:p>
    <w:p w14:paraId="55E40F4F" w14:textId="77777777" w:rsidR="00411620" w:rsidRPr="003B28FD" w:rsidRDefault="00411620" w:rsidP="00411620">
      <w:pPr>
        <w:bidi w:val="0"/>
        <w:spacing w:line="216" w:lineRule="auto"/>
        <w:rPr>
          <w:rFonts w:eastAsiaTheme="minorEastAsia"/>
          <w:i/>
          <w:sz w:val="23"/>
          <w:szCs w:val="23"/>
          <w:rtl/>
        </w:rPr>
      </w:pPr>
      <w:r w:rsidRPr="003B28FD">
        <w:rPr>
          <w:i/>
          <w:sz w:val="23"/>
          <w:szCs w:val="23"/>
          <w:rtl/>
        </w:rPr>
        <w:t xml:space="preserve"> </w:t>
      </w:r>
      <w:r w:rsidRPr="003B28FD">
        <w:rPr>
          <w:position w:val="-10"/>
        </w:rPr>
        <w:object w:dxaOrig="1660" w:dyaOrig="320" w14:anchorId="372183C0">
          <v:shape id="_x0000_i3027" type="#_x0000_t75" style="width:82.9pt;height:15.75pt" o:ole="">
            <v:imagedata r:id="rId4039" o:title=""/>
          </v:shape>
          <o:OLEObject Type="Embed" ProgID="Equation.DSMT4" ShapeID="_x0000_i3027" DrawAspect="Content" ObjectID="_1791376971" r:id="rId4040"/>
        </w:object>
      </w:r>
    </w:p>
    <w:p w14:paraId="292C2A95" w14:textId="77777777" w:rsidR="00411620" w:rsidRPr="003B28FD" w:rsidRDefault="00411620" w:rsidP="00411620">
      <w:pPr>
        <w:spacing w:line="216" w:lineRule="auto"/>
        <w:rPr>
          <w:i/>
          <w:sz w:val="23"/>
          <w:szCs w:val="23"/>
          <w:rtl/>
        </w:rPr>
      </w:pPr>
      <w:r w:rsidRPr="003B28FD">
        <w:rPr>
          <w:i/>
          <w:sz w:val="23"/>
          <w:szCs w:val="23"/>
          <w:rtl/>
        </w:rPr>
        <w:t>كه در آن</w:t>
      </w:r>
      <w:r w:rsidRPr="003B28FD">
        <w:rPr>
          <w:rFonts w:hint="cs"/>
          <w:i/>
          <w:sz w:val="23"/>
          <w:szCs w:val="23"/>
          <w:rtl/>
        </w:rPr>
        <w:t xml:space="preserve"> نرخ دستمزد</w:t>
      </w:r>
      <w:r w:rsidRPr="003B28FD">
        <w:rPr>
          <w:i/>
          <w:sz w:val="23"/>
          <w:szCs w:val="23"/>
        </w:rPr>
        <w:t xml:space="preserve"> </w:t>
      </w:r>
      <w:r w:rsidRPr="003B28FD">
        <w:rPr>
          <w:position w:val="-6"/>
        </w:rPr>
        <w:object w:dxaOrig="240" w:dyaOrig="200" w14:anchorId="1BC83731">
          <v:shape id="_x0000_i3028" type="#_x0000_t75" style="width:12.1pt;height:10.3pt" o:ole="">
            <v:imagedata r:id="rId4041" o:title=""/>
          </v:shape>
          <o:OLEObject Type="Embed" ProgID="Equation.DSMT4" ShapeID="_x0000_i3028" DrawAspect="Content" ObjectID="_1791376972" r:id="rId4042"/>
        </w:object>
      </w:r>
      <w:r w:rsidRPr="003B28FD">
        <w:rPr>
          <w:i/>
          <w:sz w:val="23"/>
          <w:szCs w:val="23"/>
          <w:rtl/>
        </w:rPr>
        <w:t xml:space="preserve">و </w:t>
      </w:r>
      <w:r w:rsidRPr="003B28FD">
        <w:rPr>
          <w:rFonts w:hint="cs"/>
          <w:i/>
          <w:sz w:val="23"/>
          <w:szCs w:val="23"/>
          <w:rtl/>
        </w:rPr>
        <w:t>نرخ</w:t>
      </w:r>
      <w:r w:rsidRPr="003B28FD">
        <w:rPr>
          <w:i/>
          <w:sz w:val="23"/>
          <w:szCs w:val="23"/>
          <w:rtl/>
        </w:rPr>
        <w:t xml:space="preserve"> بازدهي سرمايه</w:t>
      </w:r>
      <w:r w:rsidRPr="00025957">
        <w:rPr>
          <w:position w:val="-4"/>
        </w:rPr>
        <w:object w:dxaOrig="180" w:dyaOrig="180" w14:anchorId="6AFA0F7E">
          <v:shape id="_x0000_i3029" type="#_x0000_t75" style="width:9.1pt;height:9.1pt" o:ole="">
            <v:imagedata r:id="rId4043" o:title=""/>
          </v:shape>
          <o:OLEObject Type="Embed" ProgID="Equation.DSMT4" ShapeID="_x0000_i3029" DrawAspect="Content" ObjectID="_1791376973" r:id="rId4044"/>
        </w:object>
      </w:r>
      <w:r w:rsidRPr="003B28FD">
        <w:rPr>
          <w:i/>
          <w:sz w:val="23"/>
          <w:szCs w:val="23"/>
          <w:rtl/>
        </w:rPr>
        <w:t xml:space="preserve"> </w:t>
      </w:r>
      <w:r w:rsidRPr="003B28FD">
        <w:rPr>
          <w:rFonts w:hint="cs"/>
          <w:i/>
          <w:sz w:val="23"/>
          <w:szCs w:val="23"/>
          <w:rtl/>
        </w:rPr>
        <w:t xml:space="preserve">به ترتیب برابر با </w:t>
      </w:r>
      <w:r w:rsidRPr="003B28FD">
        <w:rPr>
          <w:i/>
          <w:sz w:val="23"/>
          <w:szCs w:val="23"/>
          <w:rtl/>
        </w:rPr>
        <w:t xml:space="preserve">توليد نهايي </w:t>
      </w:r>
      <w:r w:rsidRPr="003B28FD">
        <w:rPr>
          <w:rFonts w:hint="cs"/>
          <w:i/>
          <w:sz w:val="23"/>
          <w:szCs w:val="23"/>
          <w:rtl/>
        </w:rPr>
        <w:t>نی</w:t>
      </w:r>
      <w:r w:rsidRPr="003B28FD">
        <w:rPr>
          <w:i/>
          <w:sz w:val="23"/>
          <w:szCs w:val="23"/>
          <w:rtl/>
        </w:rPr>
        <w:t>روي كار و</w:t>
      </w:r>
      <w:r w:rsidRPr="003B28FD">
        <w:rPr>
          <w:i/>
          <w:sz w:val="23"/>
          <w:szCs w:val="23"/>
        </w:rPr>
        <w:t xml:space="preserve"> </w:t>
      </w:r>
      <w:r w:rsidRPr="003B28FD">
        <w:rPr>
          <w:rFonts w:hint="cs"/>
          <w:i/>
          <w:sz w:val="23"/>
          <w:szCs w:val="23"/>
          <w:rtl/>
        </w:rPr>
        <w:t xml:space="preserve">تولید نهایی </w:t>
      </w:r>
      <w:r w:rsidRPr="003B28FD">
        <w:rPr>
          <w:i/>
          <w:sz w:val="23"/>
          <w:szCs w:val="23"/>
          <w:rtl/>
        </w:rPr>
        <w:t xml:space="preserve">سرمايه </w:t>
      </w:r>
      <w:r w:rsidRPr="003B28FD">
        <w:rPr>
          <w:rFonts w:hint="cs"/>
          <w:i/>
          <w:sz w:val="23"/>
          <w:szCs w:val="23"/>
          <w:rtl/>
        </w:rPr>
        <w:t>بوده و ثابت هست</w:t>
      </w:r>
      <w:r w:rsidRPr="003B28FD">
        <w:rPr>
          <w:i/>
          <w:sz w:val="23"/>
          <w:szCs w:val="23"/>
          <w:rtl/>
        </w:rPr>
        <w:t>ند</w:t>
      </w:r>
      <w:r w:rsidRPr="003B28FD">
        <w:rPr>
          <w:rFonts w:hint="cs"/>
          <w:i/>
          <w:sz w:val="23"/>
          <w:szCs w:val="23"/>
          <w:rtl/>
        </w:rPr>
        <w:t>.</w:t>
      </w:r>
      <w:r w:rsidRPr="003B28FD">
        <w:rPr>
          <w:i/>
          <w:sz w:val="23"/>
          <w:szCs w:val="23"/>
          <w:rtl/>
        </w:rPr>
        <w:t xml:space="preserve"> </w:t>
      </w:r>
      <w:r w:rsidRPr="003B28FD">
        <w:rPr>
          <w:rFonts w:hint="cs"/>
          <w:i/>
          <w:sz w:val="23"/>
          <w:szCs w:val="23"/>
          <w:rtl/>
        </w:rPr>
        <w:t>همچنین مخا</w:t>
      </w:r>
      <w:r w:rsidRPr="003B28FD">
        <w:rPr>
          <w:i/>
          <w:sz w:val="23"/>
          <w:szCs w:val="23"/>
          <w:rtl/>
        </w:rPr>
        <w:t>رج دولتي د</w:t>
      </w:r>
      <w:r w:rsidRPr="003B28FD">
        <w:rPr>
          <w:rFonts w:hint="cs"/>
          <w:i/>
          <w:sz w:val="23"/>
          <w:szCs w:val="23"/>
          <w:rtl/>
        </w:rPr>
        <w:t>ر</w:t>
      </w:r>
      <w:r w:rsidRPr="003B28FD">
        <w:rPr>
          <w:i/>
          <w:sz w:val="23"/>
          <w:szCs w:val="23"/>
          <w:rtl/>
        </w:rPr>
        <w:t xml:space="preserve"> زمان </w:t>
      </w:r>
      <w:r w:rsidRPr="003B28FD">
        <w:rPr>
          <w:position w:val="-6"/>
        </w:rPr>
        <w:object w:dxaOrig="440" w:dyaOrig="260" w14:anchorId="16313390">
          <v:shape id="_x0000_i3030" type="#_x0000_t75" style="width:21.8pt;height:12.7pt" o:ole="">
            <v:imagedata r:id="rId4045" o:title=""/>
          </v:shape>
          <o:OLEObject Type="Embed" ProgID="Equation.DSMT4" ShapeID="_x0000_i3030" DrawAspect="Content" ObjectID="_1791376974" r:id="rId4046"/>
        </w:object>
      </w:r>
      <w:r w:rsidRPr="003B28FD">
        <w:rPr>
          <w:rFonts w:hint="cs"/>
          <w:i/>
          <w:sz w:val="23"/>
          <w:szCs w:val="23"/>
          <w:rtl/>
        </w:rPr>
        <w:t xml:space="preserve"> ب</w:t>
      </w:r>
      <w:r w:rsidRPr="003B28FD">
        <w:rPr>
          <w:i/>
          <w:sz w:val="23"/>
          <w:szCs w:val="23"/>
          <w:rtl/>
        </w:rPr>
        <w:t xml:space="preserve">رابر است با </w:t>
      </w:r>
      <w:r w:rsidRPr="003B28FD">
        <w:rPr>
          <w:position w:val="-10"/>
        </w:rPr>
        <w:object w:dxaOrig="380" w:dyaOrig="320" w14:anchorId="7893C63E">
          <v:shape id="_x0000_i3031" type="#_x0000_t75" style="width:18.75pt;height:15.75pt" o:ole="">
            <v:imagedata r:id="rId4047" o:title=""/>
          </v:shape>
          <o:OLEObject Type="Embed" ProgID="Equation.DSMT4" ShapeID="_x0000_i3031" DrawAspect="Content" ObjectID="_1791376975" r:id="rId4048"/>
        </w:object>
      </w:r>
      <w:r w:rsidRPr="003B28FD">
        <w:rPr>
          <w:rFonts w:eastAsiaTheme="minorEastAsia" w:hint="cs"/>
          <w:i/>
          <w:sz w:val="23"/>
          <w:szCs w:val="23"/>
          <w:rtl/>
        </w:rPr>
        <w:t>.</w:t>
      </w:r>
      <w:r w:rsidRPr="003B28FD">
        <w:rPr>
          <w:i/>
          <w:sz w:val="23"/>
          <w:szCs w:val="23"/>
          <w:rtl/>
        </w:rPr>
        <w:t xml:space="preserve"> لذا قيد م</w:t>
      </w:r>
      <w:r w:rsidRPr="003B28FD">
        <w:rPr>
          <w:rFonts w:hint="cs"/>
          <w:i/>
          <w:sz w:val="23"/>
          <w:szCs w:val="23"/>
          <w:rtl/>
        </w:rPr>
        <w:t>نبع</w:t>
      </w:r>
      <w:r w:rsidRPr="003B28FD">
        <w:rPr>
          <w:i/>
          <w:sz w:val="23"/>
          <w:szCs w:val="23"/>
          <w:rtl/>
        </w:rPr>
        <w:t xml:space="preserve"> اقتصاد در دور</w:t>
      </w:r>
      <w:r w:rsidRPr="003B28FD">
        <w:rPr>
          <w:rFonts w:hint="cs"/>
          <w:i/>
          <w:sz w:val="23"/>
          <w:szCs w:val="23"/>
          <w:rtl/>
        </w:rPr>
        <w:t>ۀ</w:t>
      </w:r>
      <w:r w:rsidRPr="003B28FD">
        <w:rPr>
          <w:i/>
          <w:sz w:val="23"/>
          <w:szCs w:val="23"/>
          <w:rtl/>
        </w:rPr>
        <w:t xml:space="preserve"> دوم عبارت است از</w:t>
      </w:r>
    </w:p>
    <w:p w14:paraId="1E6A6AA7" w14:textId="77777777" w:rsidR="00411620" w:rsidRPr="003B28FD" w:rsidRDefault="00411620" w:rsidP="00411620">
      <w:pPr>
        <w:bidi w:val="0"/>
        <w:spacing w:line="216" w:lineRule="auto"/>
        <w:rPr>
          <w:rFonts w:eastAsiaTheme="minorEastAsia"/>
          <w:i/>
          <w:sz w:val="23"/>
          <w:szCs w:val="23"/>
          <w:rtl/>
        </w:rPr>
      </w:pPr>
      <w:r w:rsidRPr="003B28FD">
        <w:rPr>
          <w:i/>
          <w:sz w:val="23"/>
          <w:szCs w:val="23"/>
          <w:rtl/>
        </w:rPr>
        <w:t xml:space="preserve"> </w:t>
      </w:r>
      <w:r w:rsidRPr="003B28FD">
        <w:rPr>
          <w:position w:val="-10"/>
        </w:rPr>
        <w:object w:dxaOrig="2620" w:dyaOrig="320" w14:anchorId="58293BCC">
          <v:shape id="_x0000_i3032" type="#_x0000_t75" style="width:131.3pt;height:15.75pt" o:ole="">
            <v:imagedata r:id="rId4049" o:title=""/>
          </v:shape>
          <o:OLEObject Type="Embed" ProgID="Equation.DSMT4" ShapeID="_x0000_i3032" DrawAspect="Content" ObjectID="_1791376976" r:id="rId4050"/>
        </w:object>
      </w:r>
    </w:p>
    <w:p w14:paraId="738A37F2"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و از طرفی داریم</w:t>
      </w:r>
    </w:p>
    <w:p w14:paraId="1891305C" w14:textId="77777777" w:rsidR="00411620" w:rsidRPr="003B28FD" w:rsidRDefault="00411620" w:rsidP="00411620">
      <w:pPr>
        <w:bidi w:val="0"/>
        <w:spacing w:line="216" w:lineRule="auto"/>
        <w:rPr>
          <w:rFonts w:eastAsiaTheme="minorEastAsia"/>
          <w:i/>
          <w:sz w:val="23"/>
          <w:szCs w:val="23"/>
          <w:rtl/>
        </w:rPr>
      </w:pPr>
      <w:r w:rsidRPr="003B28FD">
        <w:rPr>
          <w:rFonts w:eastAsiaTheme="minorEastAsia" w:hint="cs"/>
          <w:i/>
          <w:sz w:val="23"/>
          <w:szCs w:val="23"/>
          <w:rtl/>
        </w:rPr>
        <w:t xml:space="preserve"> </w:t>
      </w:r>
      <w:r w:rsidRPr="003B28FD">
        <w:rPr>
          <w:position w:val="-12"/>
        </w:rPr>
        <w:object w:dxaOrig="1920" w:dyaOrig="360" w14:anchorId="40E7E3F1">
          <v:shape id="_x0000_i3033" type="#_x0000_t75" style="width:96.2pt;height:18.15pt" o:ole="">
            <v:imagedata r:id="rId4051" o:title=""/>
          </v:shape>
          <o:OLEObject Type="Embed" ProgID="Equation.DSMT4" ShapeID="_x0000_i3033" DrawAspect="Content" ObjectID="_1791376977" r:id="rId4052"/>
        </w:object>
      </w:r>
      <w:r w:rsidRPr="003B28FD">
        <w:rPr>
          <w:rFonts w:eastAsiaTheme="minorEastAsia" w:hint="cs"/>
          <w:i/>
          <w:sz w:val="23"/>
          <w:szCs w:val="23"/>
          <w:rtl/>
        </w:rPr>
        <w:t xml:space="preserve"> </w:t>
      </w:r>
    </w:p>
    <w:p w14:paraId="14F8ED33" w14:textId="77777777" w:rsidR="00411620" w:rsidRPr="003B28FD" w:rsidRDefault="00411620" w:rsidP="00411620">
      <w:pPr>
        <w:spacing w:line="216" w:lineRule="auto"/>
        <w:rPr>
          <w:i/>
          <w:sz w:val="23"/>
          <w:szCs w:val="23"/>
          <w:rtl/>
        </w:rPr>
      </w:pPr>
      <w:r w:rsidRPr="003B28FD">
        <w:rPr>
          <w:rFonts w:eastAsiaTheme="minorEastAsia" w:hint="cs"/>
          <w:i/>
          <w:sz w:val="23"/>
          <w:szCs w:val="23"/>
          <w:rtl/>
        </w:rPr>
        <w:t xml:space="preserve">و چون فرض کردیم </w:t>
      </w:r>
      <w:r w:rsidRPr="003B28FD">
        <w:rPr>
          <w:rFonts w:hint="cs"/>
          <w:i/>
          <w:sz w:val="23"/>
          <w:szCs w:val="23"/>
          <w:rtl/>
        </w:rPr>
        <w:t>نرخ استهلاک در اقتصاد برابر با صفر و</w:t>
      </w:r>
      <w:r w:rsidRPr="003B28FD">
        <w:rPr>
          <w:rFonts w:eastAsiaTheme="minorEastAsia" w:hint="cs"/>
          <w:i/>
          <w:sz w:val="23"/>
          <w:szCs w:val="23"/>
          <w:rtl/>
        </w:rPr>
        <w:t xml:space="preserve"> </w:t>
      </w:r>
      <w:r w:rsidRPr="003B28FD">
        <w:rPr>
          <w:i/>
          <w:sz w:val="23"/>
          <w:szCs w:val="23"/>
          <w:rtl/>
        </w:rPr>
        <w:t>فقط دو دوره وجود دارد</w:t>
      </w:r>
      <w:r w:rsidRPr="003B28FD">
        <w:rPr>
          <w:rFonts w:hint="cs"/>
          <w:i/>
          <w:sz w:val="23"/>
          <w:szCs w:val="23"/>
          <w:rtl/>
        </w:rPr>
        <w:t xml:space="preserve"> و </w:t>
      </w:r>
      <w:r w:rsidRPr="003B28FD">
        <w:rPr>
          <w:position w:val="-10"/>
        </w:rPr>
        <w:object w:dxaOrig="740" w:dyaOrig="320" w14:anchorId="1B205E6F">
          <v:shape id="_x0000_i3034" type="#_x0000_t75" style="width:36.9pt;height:15.75pt" o:ole="">
            <v:imagedata r:id="rId4053" o:title=""/>
          </v:shape>
          <o:OLEObject Type="Embed" ProgID="Equation.DSMT4" ShapeID="_x0000_i3034" DrawAspect="Content" ObjectID="_1791376978" r:id="rId4054"/>
        </w:object>
      </w:r>
      <w:r w:rsidRPr="003B28FD">
        <w:rPr>
          <w:i/>
          <w:sz w:val="23"/>
          <w:szCs w:val="23"/>
          <w:rtl/>
        </w:rPr>
        <w:t xml:space="preserve"> </w:t>
      </w:r>
      <w:r w:rsidRPr="003B28FD">
        <w:rPr>
          <w:rFonts w:hint="cs"/>
          <w:i/>
          <w:sz w:val="23"/>
          <w:szCs w:val="23"/>
          <w:rtl/>
        </w:rPr>
        <w:t>می</w:t>
      </w:r>
      <w:r w:rsidRPr="003B28FD">
        <w:rPr>
          <w:i/>
          <w:sz w:val="23"/>
          <w:szCs w:val="23"/>
          <w:rtl/>
        </w:rPr>
        <w:softHyphen/>
      </w:r>
      <w:r w:rsidRPr="003B28FD">
        <w:rPr>
          <w:rFonts w:hint="cs"/>
          <w:i/>
          <w:sz w:val="23"/>
          <w:szCs w:val="23"/>
          <w:rtl/>
        </w:rPr>
        <w:t xml:space="preserve">باشد، بنابراین </w:t>
      </w:r>
    </w:p>
    <w:p w14:paraId="2CB084B6" w14:textId="77777777" w:rsidR="00411620" w:rsidRPr="003B28FD" w:rsidRDefault="00411620" w:rsidP="00411620">
      <w:pPr>
        <w:bidi w:val="0"/>
        <w:spacing w:line="216" w:lineRule="auto"/>
        <w:rPr>
          <w:i/>
          <w:sz w:val="23"/>
          <w:szCs w:val="23"/>
          <w:rtl/>
        </w:rPr>
      </w:pPr>
      <w:r w:rsidRPr="003B28FD">
        <w:rPr>
          <w:position w:val="-10"/>
        </w:rPr>
        <w:object w:dxaOrig="1620" w:dyaOrig="320" w14:anchorId="43D37F8C">
          <v:shape id="_x0000_i3035" type="#_x0000_t75" style="width:81.1pt;height:15.75pt" o:ole="">
            <v:imagedata r:id="rId4055" o:title=""/>
          </v:shape>
          <o:OLEObject Type="Embed" ProgID="Equation.DSMT4" ShapeID="_x0000_i3035" DrawAspect="Content" ObjectID="_1791376979" r:id="rId4056"/>
        </w:object>
      </w:r>
      <w:r w:rsidRPr="003B28FD">
        <w:rPr>
          <w:i/>
          <w:sz w:val="23"/>
          <w:szCs w:val="23"/>
          <w:rtl/>
        </w:rPr>
        <w:t xml:space="preserve"> </w:t>
      </w:r>
    </w:p>
    <w:p w14:paraId="0AE00307" w14:textId="77777777" w:rsidR="00411620" w:rsidRPr="003B28FD" w:rsidRDefault="00411620" w:rsidP="00411620">
      <w:pPr>
        <w:spacing w:line="216" w:lineRule="auto"/>
        <w:rPr>
          <w:i/>
          <w:sz w:val="23"/>
          <w:szCs w:val="23"/>
          <w:rtl/>
        </w:rPr>
      </w:pPr>
      <w:r w:rsidRPr="003B28FD">
        <w:rPr>
          <w:rFonts w:hint="cs"/>
          <w:i/>
          <w:sz w:val="23"/>
          <w:szCs w:val="23"/>
          <w:rtl/>
        </w:rPr>
        <w:t>در این صورت</w:t>
      </w:r>
      <w:r w:rsidRPr="003B28FD">
        <w:rPr>
          <w:i/>
          <w:sz w:val="23"/>
          <w:szCs w:val="23"/>
          <w:rtl/>
        </w:rPr>
        <w:t xml:space="preserve"> </w:t>
      </w:r>
      <w:r w:rsidRPr="003B28FD">
        <w:rPr>
          <w:rFonts w:hint="cs"/>
          <w:i/>
          <w:sz w:val="23"/>
          <w:szCs w:val="23"/>
          <w:rtl/>
        </w:rPr>
        <w:t>قید</w:t>
      </w:r>
      <w:r w:rsidRPr="003B28FD">
        <w:rPr>
          <w:i/>
          <w:sz w:val="23"/>
          <w:szCs w:val="23"/>
          <w:rtl/>
        </w:rPr>
        <w:t xml:space="preserve"> </w:t>
      </w:r>
      <w:r w:rsidRPr="003B28FD">
        <w:rPr>
          <w:rFonts w:hint="cs"/>
          <w:i/>
          <w:sz w:val="23"/>
          <w:szCs w:val="23"/>
          <w:rtl/>
        </w:rPr>
        <w:t xml:space="preserve">منبع </w:t>
      </w:r>
      <w:r w:rsidRPr="003B28FD">
        <w:rPr>
          <w:i/>
          <w:sz w:val="23"/>
          <w:szCs w:val="23"/>
          <w:rtl/>
        </w:rPr>
        <w:t>اقتصاد در دور</w:t>
      </w:r>
      <w:r w:rsidRPr="003B28FD">
        <w:rPr>
          <w:rFonts w:hint="cs"/>
          <w:i/>
          <w:sz w:val="23"/>
          <w:szCs w:val="23"/>
          <w:rtl/>
        </w:rPr>
        <w:t>ه</w:t>
      </w:r>
      <w:r w:rsidRPr="003B28FD">
        <w:rPr>
          <w:i/>
          <w:sz w:val="23"/>
          <w:szCs w:val="23"/>
          <w:rtl/>
        </w:rPr>
        <w:softHyphen/>
      </w:r>
      <w:r w:rsidRPr="003B28FD">
        <w:rPr>
          <w:rFonts w:hint="cs"/>
          <w:i/>
          <w:sz w:val="23"/>
          <w:szCs w:val="23"/>
          <w:rtl/>
        </w:rPr>
        <w:t>ی</w:t>
      </w:r>
      <w:r w:rsidRPr="003B28FD">
        <w:rPr>
          <w:i/>
          <w:sz w:val="23"/>
          <w:szCs w:val="23"/>
          <w:rtl/>
        </w:rPr>
        <w:t xml:space="preserve"> دوم برابر </w:t>
      </w:r>
      <w:r w:rsidRPr="003B28FD">
        <w:rPr>
          <w:rFonts w:hint="cs"/>
          <w:i/>
          <w:sz w:val="23"/>
          <w:szCs w:val="23"/>
          <w:rtl/>
        </w:rPr>
        <w:t>خواهد بود با</w:t>
      </w:r>
    </w:p>
    <w:p w14:paraId="4EE0CCE7" w14:textId="77777777" w:rsidR="00411620" w:rsidRPr="003B28FD" w:rsidRDefault="00411620" w:rsidP="00411620">
      <w:pPr>
        <w:bidi w:val="0"/>
        <w:spacing w:line="216" w:lineRule="auto"/>
        <w:rPr>
          <w:i/>
          <w:sz w:val="23"/>
          <w:szCs w:val="23"/>
        </w:rPr>
      </w:pPr>
      <w:r w:rsidRPr="003B28FD">
        <w:rPr>
          <w:position w:val="-10"/>
        </w:rPr>
        <w:object w:dxaOrig="2680" w:dyaOrig="320" w14:anchorId="23D0F2AE">
          <v:shape id="_x0000_i3036" type="#_x0000_t75" style="width:133.7pt;height:15.75pt" o:ole="">
            <v:imagedata r:id="rId4057" o:title=""/>
          </v:shape>
          <o:OLEObject Type="Embed" ProgID="Equation.DSMT4" ShapeID="_x0000_i3036" DrawAspect="Content" ObjectID="_1791376980" r:id="rId4058"/>
        </w:object>
      </w:r>
      <w:r w:rsidRPr="003B28FD">
        <w:rPr>
          <w:i/>
          <w:sz w:val="23"/>
          <w:szCs w:val="23"/>
          <w:rtl/>
        </w:rPr>
        <w:tab/>
      </w:r>
      <w:r w:rsidRPr="003B28FD">
        <w:rPr>
          <w:i/>
          <w:sz w:val="23"/>
          <w:szCs w:val="23"/>
          <w:rtl/>
        </w:rPr>
        <w:tab/>
      </w:r>
      <w:r w:rsidRPr="003B28FD">
        <w:rPr>
          <w:i/>
          <w:sz w:val="23"/>
          <w:szCs w:val="23"/>
        </w:rPr>
        <w:tab/>
      </w:r>
      <w:r w:rsidRPr="003B28FD">
        <w:rPr>
          <w:i/>
          <w:sz w:val="23"/>
          <w:szCs w:val="23"/>
        </w:rPr>
        <w:tab/>
      </w:r>
      <w:r w:rsidRPr="003B28FD">
        <w:rPr>
          <w:i/>
          <w:sz w:val="23"/>
          <w:szCs w:val="23"/>
        </w:rPr>
        <w:tab/>
      </w:r>
      <w:r>
        <w:rPr>
          <w:i/>
          <w:sz w:val="23"/>
          <w:szCs w:val="23"/>
          <w:rtl/>
        </w:rPr>
        <w:tab/>
      </w:r>
      <w:r w:rsidRPr="003B28FD">
        <w:rPr>
          <w:i/>
          <w:sz w:val="23"/>
          <w:szCs w:val="23"/>
        </w:rPr>
        <w:tab/>
      </w:r>
      <w:r w:rsidRPr="003B28FD">
        <w:rPr>
          <w:i/>
          <w:sz w:val="23"/>
          <w:szCs w:val="23"/>
          <w:rtl/>
        </w:rPr>
        <w:tab/>
      </w:r>
      <w:r w:rsidRPr="003B28FD">
        <w:rPr>
          <w:i/>
          <w:sz w:val="23"/>
          <w:szCs w:val="23"/>
          <w:rtl/>
        </w:rPr>
        <w:tab/>
      </w:r>
      <w:r>
        <w:rPr>
          <w:i/>
          <w:sz w:val="23"/>
          <w:szCs w:val="23"/>
          <w:rtl/>
        </w:rPr>
        <w:tab/>
      </w:r>
      <w:r w:rsidRPr="003B28FD">
        <w:rPr>
          <w:i/>
          <w:sz w:val="23"/>
          <w:szCs w:val="23"/>
        </w:rPr>
        <w:tab/>
      </w:r>
      <w:r w:rsidRPr="003B28FD">
        <w:rPr>
          <w:i/>
          <w:sz w:val="23"/>
          <w:szCs w:val="23"/>
          <w:rtl/>
        </w:rPr>
        <w:tab/>
      </w:r>
      <w:r w:rsidRPr="003B28FD">
        <w:rPr>
          <w:rFonts w:hint="cs"/>
          <w:i/>
          <w:sz w:val="23"/>
          <w:szCs w:val="23"/>
          <w:rtl/>
        </w:rPr>
        <w:t>(۶. ۲)</w:t>
      </w:r>
      <w:r w:rsidRPr="003B28FD">
        <w:rPr>
          <w:rFonts w:eastAsiaTheme="minorEastAsia" w:hint="cs"/>
          <w:i/>
          <w:sz w:val="23"/>
          <w:szCs w:val="23"/>
        </w:rPr>
        <w:t xml:space="preserve"> </w:t>
      </w:r>
    </w:p>
    <w:p w14:paraId="21219DF3" w14:textId="77777777" w:rsidR="00411620" w:rsidRPr="003B28FD" w:rsidRDefault="00411620" w:rsidP="00411620">
      <w:pPr>
        <w:spacing w:line="216" w:lineRule="auto"/>
        <w:rPr>
          <w:i/>
          <w:sz w:val="23"/>
          <w:szCs w:val="23"/>
          <w:rtl/>
        </w:rPr>
      </w:pPr>
      <w:r w:rsidRPr="003B28FD">
        <w:rPr>
          <w:rFonts w:hint="cs"/>
          <w:i/>
          <w:sz w:val="23"/>
          <w:szCs w:val="23"/>
          <w:rtl/>
        </w:rPr>
        <w:t xml:space="preserve">اگر مخارج </w:t>
      </w:r>
      <w:r w:rsidRPr="003B28FD">
        <w:rPr>
          <w:i/>
          <w:sz w:val="23"/>
          <w:szCs w:val="23"/>
          <w:rtl/>
        </w:rPr>
        <w:t>دولت از طريق ماليات</w:t>
      </w:r>
      <w:r w:rsidRPr="003B28FD">
        <w:rPr>
          <w:i/>
          <w:sz w:val="23"/>
          <w:szCs w:val="23"/>
          <w:rtl/>
        </w:rPr>
        <w:softHyphen/>
        <w:t xml:space="preserve">هاي </w:t>
      </w:r>
      <w:r w:rsidRPr="003B28FD">
        <w:rPr>
          <w:rFonts w:hint="cs"/>
          <w:i/>
          <w:sz w:val="23"/>
          <w:szCs w:val="23"/>
          <w:rtl/>
        </w:rPr>
        <w:t>مقطوع</w:t>
      </w:r>
      <w:r w:rsidRPr="003B28FD">
        <w:rPr>
          <w:i/>
          <w:sz w:val="23"/>
          <w:szCs w:val="23"/>
          <w:rtl/>
        </w:rPr>
        <w:t xml:space="preserve"> تأمين</w:t>
      </w:r>
      <w:r w:rsidRPr="003B28FD">
        <w:rPr>
          <w:rFonts w:hint="cs"/>
          <w:i/>
          <w:sz w:val="23"/>
          <w:szCs w:val="23"/>
          <w:rtl/>
        </w:rPr>
        <w:t xml:space="preserve"> مالی</w:t>
      </w:r>
      <w:r w:rsidRPr="003B28FD">
        <w:rPr>
          <w:i/>
          <w:sz w:val="23"/>
          <w:szCs w:val="23"/>
          <w:rtl/>
        </w:rPr>
        <w:t xml:space="preserve"> </w:t>
      </w:r>
      <w:r w:rsidRPr="003B28FD">
        <w:rPr>
          <w:rFonts w:hint="cs"/>
          <w:i/>
          <w:sz w:val="23"/>
          <w:szCs w:val="23"/>
          <w:rtl/>
        </w:rPr>
        <w:t>شود،</w:t>
      </w:r>
      <w:r w:rsidRPr="003B28FD">
        <w:rPr>
          <w:i/>
          <w:sz w:val="23"/>
          <w:szCs w:val="23"/>
          <w:rtl/>
        </w:rPr>
        <w:t xml:space="preserve"> </w:t>
      </w:r>
      <w:r w:rsidRPr="003B28FD">
        <w:rPr>
          <w:rFonts w:hint="cs"/>
          <w:i/>
          <w:sz w:val="23"/>
          <w:szCs w:val="23"/>
          <w:rtl/>
        </w:rPr>
        <w:t>آنگاه در قید بودجه</w:t>
      </w:r>
      <w:r w:rsidRPr="003B28FD">
        <w:rPr>
          <w:i/>
          <w:sz w:val="23"/>
          <w:szCs w:val="23"/>
          <w:rtl/>
        </w:rPr>
        <w:softHyphen/>
      </w:r>
      <w:r w:rsidRPr="003B28FD">
        <w:rPr>
          <w:rFonts w:hint="cs"/>
          <w:i/>
          <w:sz w:val="23"/>
          <w:szCs w:val="23"/>
          <w:rtl/>
        </w:rPr>
        <w:t xml:space="preserve">ی دولت داریم </w:t>
      </w:r>
      <w:r w:rsidRPr="003B28FD">
        <w:rPr>
          <w:position w:val="-10"/>
        </w:rPr>
        <w:object w:dxaOrig="940" w:dyaOrig="320" w14:anchorId="21FAC85E">
          <v:shape id="_x0000_i3037" type="#_x0000_t75" style="width:47.2pt;height:15.75pt" o:ole="">
            <v:imagedata r:id="rId4059" o:title=""/>
          </v:shape>
          <o:OLEObject Type="Embed" ProgID="Equation.DSMT4" ShapeID="_x0000_i3037" DrawAspect="Content" ObjectID="_1791376981" r:id="rId4060"/>
        </w:object>
      </w:r>
      <w:r w:rsidRPr="003B28FD">
        <w:rPr>
          <w:rFonts w:hint="cs"/>
          <w:i/>
          <w:sz w:val="23"/>
          <w:szCs w:val="23"/>
          <w:rtl/>
        </w:rPr>
        <w:t>، و از رابطه</w:t>
      </w:r>
      <w:r w:rsidRPr="003B28FD">
        <w:rPr>
          <w:i/>
          <w:sz w:val="23"/>
          <w:szCs w:val="23"/>
          <w:rtl/>
        </w:rPr>
        <w:softHyphen/>
      </w:r>
      <w:r w:rsidRPr="003B28FD">
        <w:rPr>
          <w:rFonts w:hint="cs"/>
          <w:i/>
          <w:sz w:val="23"/>
          <w:szCs w:val="23"/>
          <w:rtl/>
        </w:rPr>
        <w:t xml:space="preserve">ی(۶. ۲) </w:t>
      </w:r>
      <w:r w:rsidRPr="003B28FD">
        <w:rPr>
          <w:i/>
          <w:sz w:val="23"/>
          <w:szCs w:val="23"/>
          <w:rtl/>
        </w:rPr>
        <w:t xml:space="preserve">قيد </w:t>
      </w:r>
      <w:r w:rsidRPr="003B28FD">
        <w:rPr>
          <w:rFonts w:hint="cs"/>
          <w:i/>
          <w:sz w:val="23"/>
          <w:szCs w:val="23"/>
          <w:rtl/>
        </w:rPr>
        <w:t xml:space="preserve">منبع اقتصاد </w:t>
      </w:r>
      <w:r w:rsidRPr="003B28FD">
        <w:rPr>
          <w:i/>
          <w:sz w:val="23"/>
          <w:szCs w:val="23"/>
          <w:rtl/>
        </w:rPr>
        <w:t>در دور</w:t>
      </w:r>
      <w:r w:rsidRPr="003B28FD">
        <w:rPr>
          <w:rFonts w:hint="cs"/>
          <w:i/>
          <w:sz w:val="23"/>
          <w:szCs w:val="23"/>
          <w:rtl/>
        </w:rPr>
        <w:t>ه</w:t>
      </w:r>
      <w:r w:rsidRPr="003B28FD">
        <w:rPr>
          <w:i/>
          <w:sz w:val="23"/>
          <w:szCs w:val="23"/>
          <w:rtl/>
        </w:rPr>
        <w:softHyphen/>
      </w:r>
      <w:r w:rsidRPr="003B28FD">
        <w:rPr>
          <w:rFonts w:hint="cs"/>
          <w:i/>
          <w:sz w:val="23"/>
          <w:szCs w:val="23"/>
          <w:rtl/>
        </w:rPr>
        <w:t>ی</w:t>
      </w:r>
      <w:r w:rsidRPr="003B28FD">
        <w:rPr>
          <w:i/>
          <w:sz w:val="23"/>
          <w:szCs w:val="23"/>
          <w:rtl/>
        </w:rPr>
        <w:t xml:space="preserve"> دوم </w:t>
      </w:r>
      <w:r w:rsidRPr="003B28FD">
        <w:rPr>
          <w:rFonts w:hint="cs"/>
          <w:i/>
          <w:sz w:val="23"/>
          <w:szCs w:val="23"/>
          <w:rtl/>
        </w:rPr>
        <w:t>ب</w:t>
      </w:r>
      <w:r w:rsidRPr="003B28FD">
        <w:rPr>
          <w:i/>
          <w:sz w:val="23"/>
          <w:szCs w:val="23"/>
          <w:rtl/>
        </w:rPr>
        <w:t xml:space="preserve">رابر </w:t>
      </w:r>
      <w:r w:rsidRPr="003B28FD">
        <w:rPr>
          <w:rFonts w:hint="cs"/>
          <w:i/>
          <w:sz w:val="23"/>
          <w:szCs w:val="23"/>
          <w:rtl/>
        </w:rPr>
        <w:t>خواهد بود</w:t>
      </w:r>
      <w:r w:rsidRPr="003B28FD">
        <w:rPr>
          <w:i/>
          <w:sz w:val="23"/>
          <w:szCs w:val="23"/>
          <w:rtl/>
        </w:rPr>
        <w:t xml:space="preserve"> با</w:t>
      </w:r>
    </w:p>
    <w:p w14:paraId="21B53990" w14:textId="77777777" w:rsidR="00411620" w:rsidRPr="003B28FD" w:rsidRDefault="00411620" w:rsidP="00411620">
      <w:pPr>
        <w:bidi w:val="0"/>
        <w:spacing w:line="216" w:lineRule="auto"/>
        <w:rPr>
          <w:i/>
          <w:sz w:val="23"/>
          <w:szCs w:val="23"/>
          <w:rtl/>
        </w:rPr>
      </w:pPr>
      <w:r w:rsidRPr="003B28FD">
        <w:rPr>
          <w:position w:val="-10"/>
        </w:rPr>
        <w:object w:dxaOrig="2659" w:dyaOrig="320" w14:anchorId="2CE578BE">
          <v:shape id="_x0000_i3038" type="#_x0000_t75" style="width:133.1pt;height:15.75pt" o:ole="">
            <v:imagedata r:id="rId4061" o:title=""/>
          </v:shape>
          <o:OLEObject Type="Embed" ProgID="Equation.DSMT4" ShapeID="_x0000_i3038" DrawAspect="Content" ObjectID="_1791376982" r:id="rId4062"/>
        </w:object>
      </w:r>
      <w:r w:rsidRPr="003B28FD">
        <w:rPr>
          <w:rFonts w:hint="cs"/>
          <w:i/>
          <w:sz w:val="23"/>
          <w:szCs w:val="23"/>
          <w:rtl/>
        </w:rPr>
        <w:t xml:space="preserve"> </w:t>
      </w:r>
      <w:r w:rsidRPr="003B28FD">
        <w:rPr>
          <w:i/>
          <w:sz w:val="23"/>
          <w:szCs w:val="23"/>
          <w:rtl/>
        </w:rPr>
        <w:tab/>
      </w:r>
      <w:r w:rsidRPr="003B28FD">
        <w:rPr>
          <w:i/>
          <w:sz w:val="23"/>
          <w:szCs w:val="23"/>
          <w:rtl/>
        </w:rPr>
        <w:tab/>
      </w:r>
      <w:r w:rsidRPr="003B28FD">
        <w:rPr>
          <w:i/>
          <w:sz w:val="23"/>
          <w:szCs w:val="23"/>
          <w:rtl/>
        </w:rPr>
        <w:tab/>
      </w:r>
      <w:r w:rsidRPr="003B28FD">
        <w:rPr>
          <w:i/>
          <w:sz w:val="23"/>
          <w:szCs w:val="23"/>
          <w:rtl/>
        </w:rPr>
        <w:tab/>
      </w:r>
      <w:r w:rsidRPr="003B28FD">
        <w:rPr>
          <w:i/>
          <w:sz w:val="23"/>
          <w:szCs w:val="23"/>
        </w:rPr>
        <w:tab/>
      </w:r>
      <w:r w:rsidRPr="003B28FD">
        <w:rPr>
          <w:i/>
          <w:sz w:val="23"/>
          <w:szCs w:val="23"/>
        </w:rPr>
        <w:tab/>
      </w:r>
      <w:r>
        <w:rPr>
          <w:i/>
          <w:sz w:val="23"/>
          <w:szCs w:val="23"/>
          <w:rtl/>
        </w:rPr>
        <w:tab/>
      </w:r>
      <w:r w:rsidRPr="003B28FD">
        <w:rPr>
          <w:i/>
          <w:sz w:val="23"/>
          <w:szCs w:val="23"/>
        </w:rPr>
        <w:tab/>
      </w:r>
      <w:r>
        <w:rPr>
          <w:i/>
          <w:sz w:val="23"/>
          <w:szCs w:val="23"/>
          <w:rtl/>
        </w:rPr>
        <w:tab/>
      </w:r>
      <w:r w:rsidRPr="003B28FD">
        <w:rPr>
          <w:i/>
          <w:sz w:val="23"/>
          <w:szCs w:val="23"/>
        </w:rPr>
        <w:tab/>
      </w:r>
      <w:r w:rsidRPr="003B28FD">
        <w:rPr>
          <w:i/>
          <w:sz w:val="23"/>
          <w:szCs w:val="23"/>
        </w:rPr>
        <w:tab/>
      </w:r>
      <w:r w:rsidRPr="003B28FD">
        <w:rPr>
          <w:i/>
          <w:sz w:val="23"/>
          <w:szCs w:val="23"/>
          <w:rtl/>
        </w:rPr>
        <w:tab/>
      </w:r>
      <w:r w:rsidRPr="003B28FD">
        <w:rPr>
          <w:rFonts w:hint="cs"/>
          <w:i/>
          <w:sz w:val="23"/>
          <w:szCs w:val="23"/>
          <w:rtl/>
        </w:rPr>
        <w:t>(۶. ۳)</w:t>
      </w:r>
    </w:p>
    <w:p w14:paraId="406E0B53" w14:textId="77777777" w:rsidR="00411620" w:rsidRPr="003B28FD" w:rsidRDefault="00411620" w:rsidP="00411620">
      <w:pPr>
        <w:spacing w:line="216" w:lineRule="auto"/>
        <w:rPr>
          <w:i/>
          <w:sz w:val="23"/>
          <w:szCs w:val="23"/>
          <w:rtl/>
        </w:rPr>
      </w:pPr>
      <w:r w:rsidRPr="003B28FD">
        <w:rPr>
          <w:rFonts w:hint="cs"/>
          <w:i/>
          <w:sz w:val="23"/>
          <w:szCs w:val="23"/>
          <w:rtl/>
        </w:rPr>
        <w:t xml:space="preserve">و چنانچه مخارج </w:t>
      </w:r>
      <w:r w:rsidRPr="003B28FD">
        <w:rPr>
          <w:i/>
          <w:sz w:val="23"/>
          <w:szCs w:val="23"/>
          <w:rtl/>
        </w:rPr>
        <w:t>دولت از طريق ماليات</w:t>
      </w:r>
      <w:r w:rsidRPr="003B28FD">
        <w:rPr>
          <w:i/>
          <w:sz w:val="23"/>
          <w:szCs w:val="23"/>
          <w:rtl/>
        </w:rPr>
        <w:softHyphen/>
      </w:r>
      <w:r w:rsidRPr="003B28FD">
        <w:rPr>
          <w:rFonts w:hint="cs"/>
          <w:i/>
          <w:sz w:val="23"/>
          <w:szCs w:val="23"/>
          <w:rtl/>
        </w:rPr>
        <w:t xml:space="preserve"> بر</w:t>
      </w:r>
      <w:r w:rsidRPr="003B28FD">
        <w:rPr>
          <w:i/>
          <w:sz w:val="23"/>
          <w:szCs w:val="23"/>
          <w:rtl/>
        </w:rPr>
        <w:t xml:space="preserve"> درآمد</w:t>
      </w:r>
      <w:r w:rsidRPr="003B28FD">
        <w:rPr>
          <w:rFonts w:hint="cs"/>
          <w:i/>
          <w:sz w:val="23"/>
          <w:szCs w:val="23"/>
          <w:rtl/>
        </w:rPr>
        <w:t>ِ</w:t>
      </w:r>
      <w:r w:rsidRPr="003B28FD">
        <w:rPr>
          <w:i/>
          <w:sz w:val="23"/>
          <w:szCs w:val="23"/>
          <w:rtl/>
        </w:rPr>
        <w:t xml:space="preserve"> نيروي كار و </w:t>
      </w:r>
      <w:r w:rsidRPr="003B28FD">
        <w:rPr>
          <w:rFonts w:hint="cs"/>
          <w:i/>
          <w:sz w:val="23"/>
          <w:szCs w:val="23"/>
          <w:rtl/>
        </w:rPr>
        <w:t xml:space="preserve">مالیات بر </w:t>
      </w:r>
      <w:r w:rsidRPr="003B28FD">
        <w:rPr>
          <w:i/>
          <w:sz w:val="23"/>
          <w:szCs w:val="23"/>
          <w:rtl/>
        </w:rPr>
        <w:t xml:space="preserve">سرمايه تأمين </w:t>
      </w:r>
      <w:r w:rsidRPr="003B28FD">
        <w:rPr>
          <w:rFonts w:hint="cs"/>
          <w:i/>
          <w:sz w:val="23"/>
          <w:szCs w:val="23"/>
          <w:rtl/>
        </w:rPr>
        <w:t>مالی شود،</w:t>
      </w:r>
      <w:r w:rsidRPr="003B28FD">
        <w:rPr>
          <w:i/>
          <w:sz w:val="23"/>
          <w:szCs w:val="23"/>
          <w:rtl/>
        </w:rPr>
        <w:t xml:space="preserve"> </w:t>
      </w:r>
      <w:r w:rsidRPr="003B28FD">
        <w:rPr>
          <w:rFonts w:hint="cs"/>
          <w:i/>
          <w:sz w:val="23"/>
          <w:szCs w:val="23"/>
          <w:rtl/>
        </w:rPr>
        <w:t>آنگاه در قید بودجه</w:t>
      </w:r>
      <w:r w:rsidRPr="003B28FD">
        <w:rPr>
          <w:i/>
          <w:sz w:val="23"/>
          <w:szCs w:val="23"/>
          <w:rtl/>
        </w:rPr>
        <w:softHyphen/>
      </w:r>
      <w:r w:rsidRPr="003B28FD">
        <w:rPr>
          <w:rFonts w:hint="cs"/>
          <w:i/>
          <w:sz w:val="23"/>
          <w:szCs w:val="23"/>
          <w:rtl/>
        </w:rPr>
        <w:t xml:space="preserve">ی دولت خواهیم داشت، </w:t>
      </w:r>
    </w:p>
    <w:p w14:paraId="58B549F7" w14:textId="77777777" w:rsidR="00411620" w:rsidRPr="003B28FD" w:rsidRDefault="00411620" w:rsidP="00411620">
      <w:pPr>
        <w:pStyle w:val="MTDisplayEquation"/>
        <w:spacing w:line="216" w:lineRule="auto"/>
        <w:rPr>
          <w:rFonts w:ascii="Times New Roman" w:hAnsi="Times New Roman" w:cs="B Nazanin"/>
          <w:i/>
          <w:sz w:val="23"/>
          <w:szCs w:val="23"/>
          <w:rtl/>
        </w:rPr>
      </w:pPr>
      <w:r w:rsidRPr="003B28FD">
        <w:rPr>
          <w:position w:val="-16"/>
        </w:rPr>
        <w:object w:dxaOrig="2600" w:dyaOrig="420" w14:anchorId="7A55EC82">
          <v:shape id="_x0000_i3039" type="#_x0000_t75" style="width:130.1pt;height:21.2pt" o:ole="">
            <v:imagedata r:id="rId4063" o:title=""/>
          </v:shape>
          <o:OLEObject Type="Embed" ProgID="Equation.DSMT4" ShapeID="_x0000_i3039" DrawAspect="Content" ObjectID="_1791376983" r:id="rId4064"/>
        </w:object>
      </w:r>
    </w:p>
    <w:p w14:paraId="3DE36844" w14:textId="77777777" w:rsidR="00411620" w:rsidRPr="003B28FD" w:rsidRDefault="00411620" w:rsidP="00411620">
      <w:pPr>
        <w:pStyle w:val="MTDisplayEquation"/>
        <w:bidi/>
        <w:spacing w:line="216" w:lineRule="auto"/>
        <w:rPr>
          <w:rFonts w:ascii="Times New Roman" w:eastAsiaTheme="minorEastAsia" w:hAnsi="Times New Roman" w:cs="B Nazanin"/>
          <w:i/>
          <w:sz w:val="23"/>
          <w:szCs w:val="23"/>
          <w:rtl/>
        </w:rPr>
      </w:pPr>
      <w:r w:rsidRPr="003B28FD">
        <w:rPr>
          <w:rFonts w:ascii="Times New Roman" w:hAnsi="Times New Roman" w:cs="B Nazanin" w:hint="cs"/>
          <w:i/>
          <w:sz w:val="23"/>
          <w:szCs w:val="23"/>
          <w:rtl/>
        </w:rPr>
        <w:t>که در آن</w:t>
      </w:r>
      <w:r w:rsidRPr="003B28FD">
        <w:rPr>
          <w:position w:val="-6"/>
        </w:rPr>
        <w:object w:dxaOrig="840" w:dyaOrig="260" w14:anchorId="4D5F2F1D">
          <v:shape id="_x0000_i3040" type="#_x0000_t75" style="width:41.75pt;height:12.7pt" o:ole="">
            <v:imagedata r:id="rId4065" o:title=""/>
          </v:shape>
          <o:OLEObject Type="Embed" ProgID="Equation.DSMT4" ShapeID="_x0000_i3040" DrawAspect="Content" ObjectID="_1791376984" r:id="rId4066"/>
        </w:object>
      </w:r>
      <w:r w:rsidRPr="003B28FD">
        <w:rPr>
          <w:rFonts w:ascii="Times New Roman" w:hAnsi="Times New Roman" w:cs="B Nazanin" w:hint="cs"/>
          <w:i/>
          <w:sz w:val="23"/>
          <w:szCs w:val="23"/>
          <w:rtl/>
        </w:rPr>
        <w:t xml:space="preserve"> </w:t>
      </w:r>
      <w:r w:rsidRPr="003B28FD">
        <w:rPr>
          <w:rFonts w:ascii="Times New Roman" w:hAnsi="Times New Roman" w:cs="B Nazanin"/>
          <w:i/>
          <w:sz w:val="23"/>
          <w:szCs w:val="23"/>
          <w:rtl/>
        </w:rPr>
        <w:t>بازدهي ناخالص سرمايه</w:t>
      </w:r>
      <w:r w:rsidRPr="003B28FD">
        <w:rPr>
          <w:rFonts w:ascii="Times New Roman" w:hAnsi="Times New Roman" w:cs="B Nazanin" w:hint="cs"/>
          <w:i/>
          <w:sz w:val="23"/>
          <w:szCs w:val="23"/>
          <w:rtl/>
        </w:rPr>
        <w:t>، و</w:t>
      </w:r>
      <w:r w:rsidRPr="003B28FD">
        <w:rPr>
          <w:rFonts w:ascii="Times New Roman" w:hAnsi="Times New Roman" w:cs="B Nazanin"/>
          <w:i/>
          <w:sz w:val="23"/>
          <w:szCs w:val="23"/>
        </w:rPr>
        <w:t xml:space="preserve"> </w:t>
      </w:r>
      <w:r w:rsidRPr="003B28FD">
        <w:rPr>
          <w:position w:val="-6"/>
        </w:rPr>
        <w:object w:dxaOrig="300" w:dyaOrig="300" w14:anchorId="579F36FD">
          <v:shape id="_x0000_i3041" type="#_x0000_t75" style="width:15.15pt;height:15.15pt" o:ole="">
            <v:imagedata r:id="rId4067" o:title=""/>
          </v:shape>
          <o:OLEObject Type="Embed" ProgID="Equation.DSMT4" ShapeID="_x0000_i3041" DrawAspect="Content" ObjectID="_1791376985" r:id="rId4068"/>
        </w:object>
      </w:r>
      <w:r w:rsidRPr="003B28FD">
        <w:rPr>
          <w:rFonts w:ascii="Times New Roman" w:hAnsi="Times New Roman" w:cs="B Nazanin"/>
          <w:i/>
          <w:sz w:val="23"/>
          <w:szCs w:val="23"/>
          <w:rtl/>
        </w:rPr>
        <w:t xml:space="preserve">بازدهي ناخالص سرمايه </w:t>
      </w:r>
      <w:r w:rsidRPr="003B28FD">
        <w:rPr>
          <w:rFonts w:ascii="Times New Roman" w:hAnsi="Times New Roman" w:cs="B Nazanin" w:hint="cs"/>
          <w:i/>
          <w:sz w:val="23"/>
          <w:szCs w:val="23"/>
          <w:rtl/>
        </w:rPr>
        <w:t>پس</w:t>
      </w:r>
      <w:r w:rsidRPr="003B28FD">
        <w:rPr>
          <w:rFonts w:ascii="Times New Roman" w:hAnsi="Times New Roman" w:cs="B Nazanin"/>
          <w:i/>
          <w:sz w:val="23"/>
          <w:szCs w:val="23"/>
          <w:rtl/>
        </w:rPr>
        <w:t xml:space="preserve"> از ماليات </w:t>
      </w:r>
      <w:r w:rsidRPr="003B28FD">
        <w:rPr>
          <w:rFonts w:ascii="Times New Roman" w:hAnsi="Times New Roman" w:cs="B Nazanin" w:hint="cs"/>
          <w:i/>
          <w:sz w:val="23"/>
          <w:szCs w:val="23"/>
          <w:rtl/>
        </w:rPr>
        <w:t>است. بنابراین از رابطه</w:t>
      </w:r>
      <w:r w:rsidRPr="003B28FD">
        <w:rPr>
          <w:rFonts w:ascii="Times New Roman" w:hAnsi="Times New Roman" w:cs="B Nazanin"/>
          <w:i/>
          <w:sz w:val="23"/>
          <w:szCs w:val="23"/>
          <w:rtl/>
        </w:rPr>
        <w:softHyphen/>
      </w:r>
      <w:r w:rsidRPr="003B28FD">
        <w:rPr>
          <w:rFonts w:ascii="Times New Roman" w:hAnsi="Times New Roman" w:cs="B Nazanin" w:hint="cs"/>
          <w:i/>
          <w:sz w:val="23"/>
          <w:szCs w:val="23"/>
          <w:rtl/>
        </w:rPr>
        <w:t xml:space="preserve">ی </w:t>
      </w:r>
      <w:r w:rsidRPr="003B28FD">
        <w:rPr>
          <w:rFonts w:ascii="Times New Roman" w:eastAsiaTheme="minorEastAsia" w:hAnsi="Times New Roman" w:cs="B Nazanin" w:hint="cs"/>
          <w:i/>
          <w:sz w:val="23"/>
          <w:szCs w:val="23"/>
          <w:rtl/>
        </w:rPr>
        <w:t>(۶. ۱) خواهیم داشت</w:t>
      </w:r>
    </w:p>
    <w:p w14:paraId="5823C2E2" w14:textId="77777777" w:rsidR="00411620" w:rsidRPr="003B28FD" w:rsidRDefault="00411620" w:rsidP="00411620">
      <w:pPr>
        <w:pStyle w:val="MTDisplayEquation"/>
        <w:spacing w:line="216" w:lineRule="auto"/>
        <w:rPr>
          <w:rFonts w:ascii="Times New Roman" w:hAnsi="Times New Roman" w:cs="B Nazanin"/>
          <w:i/>
          <w:sz w:val="23"/>
          <w:szCs w:val="23"/>
          <w:rtl/>
        </w:rPr>
      </w:pPr>
      <w:r w:rsidRPr="003B28FD">
        <w:rPr>
          <w:position w:val="-10"/>
        </w:rPr>
        <w:object w:dxaOrig="1260" w:dyaOrig="320" w14:anchorId="120D5E61">
          <v:shape id="_x0000_i3042" type="#_x0000_t75" style="width:62.9pt;height:15.75pt" o:ole="">
            <v:imagedata r:id="rId4069" o:title=""/>
          </v:shape>
          <o:OLEObject Type="Embed" ProgID="Equation.DSMT4" ShapeID="_x0000_i3042" DrawAspect="Content" ObjectID="_1791376986" r:id="rId4070"/>
        </w:object>
      </w:r>
    </w:p>
    <w:p w14:paraId="6EF82B32" w14:textId="77777777" w:rsidR="00411620" w:rsidRPr="003B28FD" w:rsidRDefault="00411620" w:rsidP="00411620">
      <w:pPr>
        <w:spacing w:line="216" w:lineRule="auto"/>
        <w:rPr>
          <w:i/>
          <w:sz w:val="23"/>
          <w:szCs w:val="23"/>
          <w:rtl/>
        </w:rPr>
      </w:pPr>
      <w:r w:rsidRPr="003B28FD">
        <w:rPr>
          <w:rFonts w:hint="cs"/>
          <w:i/>
          <w:sz w:val="23"/>
          <w:szCs w:val="23"/>
          <w:rtl/>
        </w:rPr>
        <w:t xml:space="preserve">و به تبع آن </w:t>
      </w:r>
    </w:p>
    <w:p w14:paraId="419E07DD" w14:textId="77777777" w:rsidR="00411620" w:rsidRPr="003B28FD" w:rsidRDefault="00411620" w:rsidP="00411620">
      <w:pPr>
        <w:bidi w:val="0"/>
        <w:spacing w:line="216" w:lineRule="auto"/>
        <w:rPr>
          <w:i/>
          <w:sz w:val="23"/>
          <w:szCs w:val="23"/>
          <w:rtl/>
        </w:rPr>
      </w:pPr>
      <w:r w:rsidRPr="003B28FD">
        <w:rPr>
          <w:position w:val="-16"/>
        </w:rPr>
        <w:object w:dxaOrig="3140" w:dyaOrig="420" w14:anchorId="25EA7A3E">
          <v:shape id="_x0000_i3043" type="#_x0000_t75" style="width:156.7pt;height:21.2pt" o:ole="">
            <v:imagedata r:id="rId4071" o:title=""/>
          </v:shape>
          <o:OLEObject Type="Embed" ProgID="Equation.DSMT4" ShapeID="_x0000_i3043" DrawAspect="Content" ObjectID="_1791376987" r:id="rId4072"/>
        </w:object>
      </w:r>
      <w:r w:rsidRPr="003B28FD">
        <w:rPr>
          <w:i/>
          <w:sz w:val="23"/>
          <w:szCs w:val="23"/>
          <w:rtl/>
        </w:rPr>
        <w:tab/>
      </w:r>
      <w:r w:rsidRPr="003B28FD">
        <w:rPr>
          <w:i/>
          <w:sz w:val="23"/>
          <w:szCs w:val="23"/>
          <w:rtl/>
        </w:rPr>
        <w:tab/>
      </w:r>
      <w:r w:rsidRPr="003B28FD">
        <w:rPr>
          <w:i/>
          <w:sz w:val="23"/>
          <w:szCs w:val="23"/>
        </w:rPr>
        <w:tab/>
      </w:r>
      <w:r w:rsidRPr="003B28FD">
        <w:rPr>
          <w:i/>
          <w:sz w:val="23"/>
          <w:szCs w:val="23"/>
        </w:rPr>
        <w:tab/>
      </w:r>
      <w:r w:rsidRPr="003B28FD">
        <w:rPr>
          <w:i/>
          <w:sz w:val="23"/>
          <w:szCs w:val="23"/>
        </w:rPr>
        <w:tab/>
      </w:r>
      <w:r>
        <w:rPr>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tl/>
        </w:rPr>
        <w:tab/>
      </w:r>
      <w:r w:rsidRPr="003B28FD">
        <w:rPr>
          <w:rFonts w:hint="cs"/>
          <w:i/>
          <w:sz w:val="23"/>
          <w:szCs w:val="23"/>
          <w:rtl/>
        </w:rPr>
        <w:t>(۶. ۴)</w:t>
      </w:r>
    </w:p>
    <w:p w14:paraId="66A075EF" w14:textId="77777777" w:rsidR="00411620" w:rsidRPr="003B28FD" w:rsidRDefault="00411620" w:rsidP="00411620">
      <w:pPr>
        <w:spacing w:line="216" w:lineRule="auto"/>
        <w:rPr>
          <w:i/>
          <w:sz w:val="23"/>
          <w:szCs w:val="23"/>
          <w:rtl/>
        </w:rPr>
      </w:pPr>
      <w:r w:rsidRPr="003B28FD">
        <w:rPr>
          <w:rFonts w:hint="cs"/>
          <w:i/>
          <w:sz w:val="23"/>
          <w:szCs w:val="23"/>
          <w:rtl/>
        </w:rPr>
        <w:lastRenderedPageBreak/>
        <w:t>در رابطه</w:t>
      </w:r>
      <w:r w:rsidRPr="003B28FD">
        <w:rPr>
          <w:i/>
          <w:sz w:val="23"/>
          <w:szCs w:val="23"/>
          <w:rtl/>
        </w:rPr>
        <w:softHyphen/>
      </w:r>
      <w:r w:rsidRPr="003B28FD">
        <w:rPr>
          <w:rFonts w:hint="cs"/>
          <w:i/>
          <w:sz w:val="23"/>
          <w:szCs w:val="23"/>
          <w:rtl/>
        </w:rPr>
        <w:t>ی فوق</w:t>
      </w:r>
      <w:r w:rsidRPr="003B28FD">
        <w:rPr>
          <w:position w:val="-6"/>
        </w:rPr>
        <w:object w:dxaOrig="279" w:dyaOrig="300" w14:anchorId="2F606F8C">
          <v:shape id="_x0000_i3044" type="#_x0000_t75" style="width:13.9pt;height:15.15pt" o:ole="">
            <v:imagedata r:id="rId4073" o:title=""/>
          </v:shape>
          <o:OLEObject Type="Embed" ProgID="Equation.DSMT4" ShapeID="_x0000_i3044" DrawAspect="Content" ObjectID="_1791376988" r:id="rId4074"/>
        </w:object>
      </w:r>
      <w:r w:rsidRPr="003B28FD">
        <w:rPr>
          <w:rFonts w:hint="cs"/>
          <w:i/>
          <w:sz w:val="23"/>
          <w:szCs w:val="23"/>
          <w:rtl/>
        </w:rPr>
        <w:t xml:space="preserve"> </w:t>
      </w:r>
      <w:r w:rsidRPr="003B28FD">
        <w:rPr>
          <w:i/>
          <w:sz w:val="23"/>
          <w:szCs w:val="23"/>
          <w:rtl/>
        </w:rPr>
        <w:t>نرخ ماليات بر</w:t>
      </w:r>
      <w:r w:rsidRPr="003B28FD">
        <w:rPr>
          <w:rFonts w:hint="cs"/>
          <w:i/>
          <w:sz w:val="23"/>
          <w:szCs w:val="23"/>
          <w:rtl/>
        </w:rPr>
        <w:t xml:space="preserve"> </w:t>
      </w:r>
      <w:r w:rsidRPr="003B28FD">
        <w:rPr>
          <w:i/>
          <w:sz w:val="23"/>
          <w:szCs w:val="23"/>
          <w:rtl/>
        </w:rPr>
        <w:t>دستمزد است</w:t>
      </w:r>
      <w:r w:rsidRPr="003B28FD">
        <w:rPr>
          <w:rFonts w:hint="cs"/>
          <w:i/>
          <w:sz w:val="23"/>
          <w:szCs w:val="23"/>
          <w:rtl/>
        </w:rPr>
        <w:t xml:space="preserve"> و بنابراین</w:t>
      </w:r>
      <w:r w:rsidRPr="003B28FD">
        <w:rPr>
          <w:i/>
          <w:sz w:val="23"/>
          <w:szCs w:val="23"/>
          <w:rtl/>
        </w:rPr>
        <w:t xml:space="preserve"> </w:t>
      </w:r>
      <w:r w:rsidRPr="003B28FD">
        <w:rPr>
          <w:rFonts w:hint="cs"/>
          <w:i/>
          <w:sz w:val="23"/>
          <w:szCs w:val="23"/>
          <w:rtl/>
        </w:rPr>
        <w:t xml:space="preserve">نرخ </w:t>
      </w:r>
      <w:r w:rsidRPr="003B28FD">
        <w:rPr>
          <w:i/>
          <w:sz w:val="23"/>
          <w:szCs w:val="23"/>
          <w:rtl/>
        </w:rPr>
        <w:t>دستمزد</w:t>
      </w:r>
      <w:r w:rsidRPr="003B28FD">
        <w:rPr>
          <w:rFonts w:hint="cs"/>
          <w:i/>
          <w:sz w:val="23"/>
          <w:szCs w:val="23"/>
          <w:rtl/>
        </w:rPr>
        <w:t>ِ</w:t>
      </w:r>
      <w:r w:rsidRPr="003B28FD">
        <w:rPr>
          <w:i/>
          <w:sz w:val="23"/>
          <w:szCs w:val="23"/>
          <w:rtl/>
        </w:rPr>
        <w:t xml:space="preserve"> </w:t>
      </w:r>
      <w:r w:rsidRPr="003B28FD">
        <w:rPr>
          <w:rFonts w:hint="cs"/>
          <w:i/>
          <w:sz w:val="23"/>
          <w:szCs w:val="23"/>
          <w:rtl/>
        </w:rPr>
        <w:t>پس</w:t>
      </w:r>
      <w:r w:rsidRPr="003B28FD">
        <w:rPr>
          <w:i/>
          <w:sz w:val="23"/>
          <w:szCs w:val="23"/>
          <w:rtl/>
        </w:rPr>
        <w:t xml:space="preserve"> از ماليات </w:t>
      </w:r>
      <w:r w:rsidRPr="003B28FD">
        <w:rPr>
          <w:rFonts w:hint="cs"/>
          <w:i/>
          <w:sz w:val="23"/>
          <w:szCs w:val="23"/>
          <w:rtl/>
        </w:rPr>
        <w:t xml:space="preserve">عبارت خواهد بود از </w:t>
      </w:r>
    </w:p>
    <w:p w14:paraId="34D94B0F" w14:textId="77777777" w:rsidR="00411620" w:rsidRPr="003B28FD" w:rsidRDefault="00411620" w:rsidP="00411620">
      <w:pPr>
        <w:bidi w:val="0"/>
        <w:spacing w:line="216" w:lineRule="auto"/>
        <w:rPr>
          <w:i/>
          <w:sz w:val="23"/>
          <w:szCs w:val="23"/>
          <w:rtl/>
        </w:rPr>
      </w:pPr>
      <w:r w:rsidRPr="003B28FD">
        <w:rPr>
          <w:i/>
          <w:sz w:val="23"/>
          <w:szCs w:val="23"/>
          <w:rtl/>
        </w:rPr>
        <w:t xml:space="preserve"> </w:t>
      </w:r>
      <w:r w:rsidRPr="003B28FD">
        <w:rPr>
          <w:position w:val="-16"/>
        </w:rPr>
        <w:object w:dxaOrig="2320" w:dyaOrig="420" w14:anchorId="21A40B3A">
          <v:shape id="_x0000_i3045" type="#_x0000_t75" style="width:116.15pt;height:21.2pt" o:ole="">
            <v:imagedata r:id="rId4075" o:title=""/>
          </v:shape>
          <o:OLEObject Type="Embed" ProgID="Equation.DSMT4" ShapeID="_x0000_i3045" DrawAspect="Content" ObjectID="_1791376989" r:id="rId4076"/>
        </w:object>
      </w:r>
      <w:r w:rsidRPr="003B28FD">
        <w:rPr>
          <w:i/>
          <w:sz w:val="23"/>
          <w:szCs w:val="23"/>
          <w:rtl/>
        </w:rPr>
        <w:t xml:space="preserve"> </w:t>
      </w:r>
    </w:p>
    <w:p w14:paraId="0F21543F" w14:textId="77777777" w:rsidR="00411620" w:rsidRPr="003B28FD" w:rsidRDefault="00411620" w:rsidP="00411620">
      <w:pPr>
        <w:spacing w:line="216" w:lineRule="auto"/>
        <w:rPr>
          <w:i/>
          <w:sz w:val="23"/>
          <w:szCs w:val="23"/>
          <w:rtl/>
        </w:rPr>
      </w:pPr>
      <w:r w:rsidRPr="003B28FD">
        <w:rPr>
          <w:rFonts w:hint="cs"/>
          <w:i/>
          <w:sz w:val="23"/>
          <w:szCs w:val="23"/>
          <w:rtl/>
        </w:rPr>
        <w:t>و همچنین مالیات بر نرخ دستمزد برابر است با</w:t>
      </w:r>
    </w:p>
    <w:p w14:paraId="0CA9A78B" w14:textId="77777777" w:rsidR="00411620" w:rsidRPr="003B28FD" w:rsidRDefault="00411620" w:rsidP="00411620">
      <w:pPr>
        <w:bidi w:val="0"/>
        <w:spacing w:line="216" w:lineRule="auto"/>
        <w:rPr>
          <w:i/>
          <w:sz w:val="23"/>
          <w:szCs w:val="23"/>
          <w:highlight w:val="yellow"/>
          <w:rtl/>
        </w:rPr>
      </w:pPr>
      <w:r w:rsidRPr="003B28FD">
        <w:rPr>
          <w:position w:val="-16"/>
        </w:rPr>
        <w:object w:dxaOrig="2720" w:dyaOrig="420" w14:anchorId="2D4F80D8">
          <v:shape id="_x0000_i3046" type="#_x0000_t75" style="width:136.15pt;height:21.2pt" o:ole="">
            <v:imagedata r:id="rId4077" o:title=""/>
          </v:shape>
          <o:OLEObject Type="Embed" ProgID="Equation.DSMT4" ShapeID="_x0000_i3046" DrawAspect="Content" ObjectID="_1791376990" r:id="rId4078"/>
        </w:object>
      </w:r>
    </w:p>
    <w:p w14:paraId="638D2AE1" w14:textId="77777777" w:rsidR="00411620" w:rsidRPr="003B28FD" w:rsidRDefault="00411620" w:rsidP="00411620">
      <w:pPr>
        <w:spacing w:line="216" w:lineRule="auto"/>
        <w:rPr>
          <w:i/>
          <w:sz w:val="23"/>
          <w:szCs w:val="23"/>
          <w:rtl/>
        </w:rPr>
      </w:pPr>
      <w:r w:rsidRPr="003B28FD">
        <w:rPr>
          <w:rFonts w:hint="cs"/>
          <w:i/>
          <w:sz w:val="23"/>
          <w:szCs w:val="23"/>
          <w:rtl/>
        </w:rPr>
        <w:t>و به همین صورت از آن</w:t>
      </w:r>
      <w:r w:rsidRPr="003B28FD">
        <w:rPr>
          <w:i/>
          <w:sz w:val="23"/>
          <w:szCs w:val="23"/>
          <w:rtl/>
        </w:rPr>
        <w:softHyphen/>
      </w:r>
      <w:r w:rsidRPr="003B28FD">
        <w:rPr>
          <w:rFonts w:hint="cs"/>
          <w:i/>
          <w:sz w:val="23"/>
          <w:szCs w:val="23"/>
          <w:rtl/>
        </w:rPr>
        <w:t>جا که</w:t>
      </w:r>
      <w:r w:rsidRPr="003B28FD">
        <w:rPr>
          <w:position w:val="-6"/>
        </w:rPr>
        <w:object w:dxaOrig="840" w:dyaOrig="260" w14:anchorId="5E0EB0F7">
          <v:shape id="_x0000_i3047" type="#_x0000_t75" style="width:41.75pt;height:12.7pt" o:ole="">
            <v:imagedata r:id="rId4079" o:title=""/>
          </v:shape>
          <o:OLEObject Type="Embed" ProgID="Equation.DSMT4" ShapeID="_x0000_i3047" DrawAspect="Content" ObjectID="_1791376991" r:id="rId4080"/>
        </w:object>
      </w:r>
      <w:r w:rsidRPr="003B28FD">
        <w:rPr>
          <w:rFonts w:hint="cs"/>
          <w:i/>
          <w:sz w:val="23"/>
          <w:szCs w:val="23"/>
          <w:rtl/>
        </w:rPr>
        <w:t xml:space="preserve"> </w:t>
      </w:r>
      <w:r w:rsidRPr="003B28FD">
        <w:rPr>
          <w:i/>
          <w:sz w:val="23"/>
          <w:szCs w:val="23"/>
          <w:rtl/>
        </w:rPr>
        <w:t>بازدهي ناخالص سرمايه</w:t>
      </w:r>
      <w:r w:rsidRPr="003B28FD">
        <w:rPr>
          <w:rFonts w:hint="cs"/>
          <w:i/>
          <w:sz w:val="23"/>
          <w:szCs w:val="23"/>
          <w:rtl/>
        </w:rPr>
        <w:t>، و</w:t>
      </w:r>
      <w:r w:rsidRPr="003B28FD">
        <w:rPr>
          <w:i/>
          <w:sz w:val="23"/>
          <w:szCs w:val="23"/>
        </w:rPr>
        <w:t xml:space="preserve"> </w:t>
      </w:r>
      <w:r w:rsidRPr="003B28FD">
        <w:rPr>
          <w:position w:val="-6"/>
        </w:rPr>
        <w:object w:dxaOrig="300" w:dyaOrig="300" w14:anchorId="74A7CD0B">
          <v:shape id="_x0000_i3048" type="#_x0000_t75" style="width:15.15pt;height:15.15pt" o:ole="">
            <v:imagedata r:id="rId4081" o:title=""/>
          </v:shape>
          <o:OLEObject Type="Embed" ProgID="Equation.DSMT4" ShapeID="_x0000_i3048" DrawAspect="Content" ObjectID="_1791376992" r:id="rId4082"/>
        </w:object>
      </w:r>
      <w:r w:rsidRPr="003B28FD">
        <w:rPr>
          <w:i/>
          <w:sz w:val="23"/>
          <w:szCs w:val="23"/>
          <w:rtl/>
        </w:rPr>
        <w:t xml:space="preserve">بازدهي ناخالص سرمايه </w:t>
      </w:r>
      <w:r w:rsidRPr="003B28FD">
        <w:rPr>
          <w:rFonts w:hint="cs"/>
          <w:i/>
          <w:sz w:val="23"/>
          <w:szCs w:val="23"/>
          <w:rtl/>
        </w:rPr>
        <w:t>پس</w:t>
      </w:r>
      <w:r w:rsidRPr="003B28FD">
        <w:rPr>
          <w:i/>
          <w:sz w:val="23"/>
          <w:szCs w:val="23"/>
          <w:rtl/>
        </w:rPr>
        <w:t xml:space="preserve"> از ماليات </w:t>
      </w:r>
      <w:r w:rsidRPr="003B28FD">
        <w:rPr>
          <w:rFonts w:hint="cs"/>
          <w:i/>
          <w:sz w:val="23"/>
          <w:szCs w:val="23"/>
          <w:rtl/>
        </w:rPr>
        <w:t>می</w:t>
      </w:r>
      <w:r w:rsidRPr="003B28FD">
        <w:rPr>
          <w:i/>
          <w:sz w:val="23"/>
          <w:szCs w:val="23"/>
          <w:rtl/>
        </w:rPr>
        <w:softHyphen/>
      </w:r>
      <w:r w:rsidRPr="003B28FD">
        <w:rPr>
          <w:rFonts w:hint="cs"/>
          <w:i/>
          <w:sz w:val="23"/>
          <w:szCs w:val="23"/>
          <w:rtl/>
        </w:rPr>
        <w:t>باشد، آنگاه</w:t>
      </w:r>
      <w:r w:rsidRPr="003B28FD">
        <w:rPr>
          <w:position w:val="-6"/>
        </w:rPr>
        <w:object w:dxaOrig="660" w:dyaOrig="300" w14:anchorId="64720C9D">
          <v:shape id="_x0000_i3049" type="#_x0000_t75" style="width:33.3pt;height:15.15pt" o:ole="">
            <v:imagedata r:id="rId4083" o:title=""/>
          </v:shape>
          <o:OLEObject Type="Embed" ProgID="Equation.DSMT4" ShapeID="_x0000_i3049" DrawAspect="Content" ObjectID="_1791376993" r:id="rId4084"/>
        </w:object>
      </w:r>
      <w:r w:rsidRPr="003B28FD">
        <w:rPr>
          <w:i/>
          <w:sz w:val="23"/>
          <w:szCs w:val="23"/>
          <w:rtl/>
        </w:rPr>
        <w:t xml:space="preserve"> ماليات </w:t>
      </w:r>
      <w:r w:rsidRPr="003B28FD">
        <w:rPr>
          <w:rFonts w:hint="cs"/>
          <w:i/>
          <w:sz w:val="23"/>
          <w:szCs w:val="23"/>
          <w:rtl/>
        </w:rPr>
        <w:t xml:space="preserve">بر </w:t>
      </w:r>
      <w:r w:rsidRPr="003B28FD">
        <w:rPr>
          <w:i/>
          <w:sz w:val="23"/>
          <w:szCs w:val="23"/>
          <w:rtl/>
        </w:rPr>
        <w:t>بازدهي ناخالص سرمايه</w:t>
      </w:r>
      <w:r w:rsidRPr="003B28FD">
        <w:rPr>
          <w:rFonts w:hint="cs"/>
          <w:i/>
          <w:sz w:val="23"/>
          <w:szCs w:val="23"/>
          <w:rtl/>
        </w:rPr>
        <w:t xml:space="preserve"> خواهد بود</w:t>
      </w:r>
      <w:r w:rsidRPr="003B28FD">
        <w:rPr>
          <w:i/>
          <w:sz w:val="23"/>
          <w:szCs w:val="23"/>
          <w:rtl/>
        </w:rPr>
        <w:t>.</w:t>
      </w:r>
      <w:r w:rsidRPr="003B28FD">
        <w:rPr>
          <w:rFonts w:hint="cs"/>
          <w:i/>
          <w:sz w:val="23"/>
          <w:szCs w:val="23"/>
          <w:rtl/>
        </w:rPr>
        <w:t xml:space="preserve"> زیرا </w:t>
      </w:r>
    </w:p>
    <w:p w14:paraId="39B2DA19" w14:textId="77777777" w:rsidR="00411620" w:rsidRPr="003B28FD" w:rsidRDefault="00411620" w:rsidP="00411620">
      <w:pPr>
        <w:bidi w:val="0"/>
        <w:spacing w:line="216" w:lineRule="auto"/>
        <w:rPr>
          <w:i/>
          <w:sz w:val="23"/>
          <w:szCs w:val="23"/>
          <w:rtl/>
        </w:rPr>
      </w:pPr>
      <w:r w:rsidRPr="003B28FD">
        <w:rPr>
          <w:position w:val="-8"/>
        </w:rPr>
        <w:object w:dxaOrig="3739" w:dyaOrig="320" w14:anchorId="065AD95A">
          <v:shape id="_x0000_i3050" type="#_x0000_t75" style="width:186.95pt;height:15.75pt" o:ole="">
            <v:imagedata r:id="rId4085" o:title=""/>
          </v:shape>
          <o:OLEObject Type="Embed" ProgID="Equation.DSMT4" ShapeID="_x0000_i3050" DrawAspect="Content" ObjectID="_1791376994" r:id="rId4086"/>
        </w:object>
      </w:r>
    </w:p>
    <w:p w14:paraId="1D65BB30" w14:textId="77777777" w:rsidR="00411620" w:rsidRPr="003B28FD" w:rsidRDefault="00411620" w:rsidP="00411620">
      <w:pPr>
        <w:spacing w:line="216" w:lineRule="auto"/>
        <w:rPr>
          <w:i/>
          <w:sz w:val="23"/>
          <w:szCs w:val="23"/>
          <w:rtl/>
        </w:rPr>
      </w:pPr>
      <w:r w:rsidRPr="003B28FD">
        <w:rPr>
          <w:rFonts w:hint="cs"/>
          <w:i/>
          <w:sz w:val="23"/>
          <w:szCs w:val="23"/>
          <w:rtl/>
        </w:rPr>
        <w:t>در این صورت با جایگزاری</w:t>
      </w:r>
      <w:r w:rsidRPr="003B28FD">
        <w:rPr>
          <w:position w:val="-16"/>
        </w:rPr>
        <w:object w:dxaOrig="2600" w:dyaOrig="420" w14:anchorId="6650FDE7">
          <v:shape id="_x0000_i3051" type="#_x0000_t75" style="width:130.1pt;height:21.2pt" o:ole="">
            <v:imagedata r:id="rId4087" o:title=""/>
          </v:shape>
          <o:OLEObject Type="Embed" ProgID="Equation.DSMT4" ShapeID="_x0000_i3051" DrawAspect="Content" ObjectID="_1791376995" r:id="rId4088"/>
        </w:object>
      </w:r>
      <w:r w:rsidRPr="003B28FD">
        <w:rPr>
          <w:i/>
          <w:sz w:val="23"/>
          <w:szCs w:val="23"/>
          <w:rtl/>
        </w:rPr>
        <w:t xml:space="preserve"> </w:t>
      </w:r>
      <w:r w:rsidRPr="003B28FD">
        <w:rPr>
          <w:rFonts w:hint="cs"/>
          <w:i/>
          <w:sz w:val="23"/>
          <w:szCs w:val="23"/>
          <w:rtl/>
        </w:rPr>
        <w:t xml:space="preserve">در </w:t>
      </w:r>
      <w:r w:rsidRPr="003B28FD">
        <w:rPr>
          <w:i/>
          <w:sz w:val="23"/>
          <w:szCs w:val="23"/>
          <w:rtl/>
        </w:rPr>
        <w:t xml:space="preserve">قيد </w:t>
      </w:r>
      <w:r w:rsidRPr="003B28FD">
        <w:rPr>
          <w:rFonts w:hint="cs"/>
          <w:i/>
          <w:sz w:val="23"/>
          <w:szCs w:val="23"/>
          <w:rtl/>
        </w:rPr>
        <w:t>منبع اقتصاد</w:t>
      </w:r>
      <w:r w:rsidRPr="003B28FD">
        <w:rPr>
          <w:i/>
          <w:sz w:val="23"/>
          <w:szCs w:val="23"/>
          <w:rtl/>
        </w:rPr>
        <w:t xml:space="preserve"> دور</w:t>
      </w:r>
      <w:r w:rsidRPr="003B28FD">
        <w:rPr>
          <w:rFonts w:hint="cs"/>
          <w:i/>
          <w:sz w:val="23"/>
          <w:szCs w:val="23"/>
          <w:rtl/>
        </w:rPr>
        <w:t>ه</w:t>
      </w:r>
      <w:r w:rsidRPr="003B28FD">
        <w:rPr>
          <w:i/>
          <w:sz w:val="23"/>
          <w:szCs w:val="23"/>
          <w:rtl/>
        </w:rPr>
        <w:softHyphen/>
      </w:r>
      <w:r w:rsidRPr="003B28FD">
        <w:rPr>
          <w:rFonts w:hint="cs"/>
          <w:i/>
          <w:sz w:val="23"/>
          <w:szCs w:val="23"/>
          <w:rtl/>
        </w:rPr>
        <w:t>ی</w:t>
      </w:r>
      <w:r w:rsidRPr="003B28FD">
        <w:rPr>
          <w:i/>
          <w:sz w:val="23"/>
          <w:szCs w:val="23"/>
          <w:rtl/>
        </w:rPr>
        <w:t xml:space="preserve"> دوم</w:t>
      </w:r>
      <w:r w:rsidRPr="003B28FD">
        <w:rPr>
          <w:rFonts w:hint="cs"/>
          <w:i/>
          <w:sz w:val="23"/>
          <w:szCs w:val="23"/>
          <w:rtl/>
        </w:rPr>
        <w:t xml:space="preserve"> یعنی رابطه</w:t>
      </w:r>
      <w:r w:rsidRPr="003B28FD">
        <w:rPr>
          <w:i/>
          <w:sz w:val="23"/>
          <w:szCs w:val="23"/>
          <w:rtl/>
        </w:rPr>
        <w:softHyphen/>
      </w:r>
      <w:r w:rsidRPr="003B28FD">
        <w:rPr>
          <w:rFonts w:hint="cs"/>
          <w:i/>
          <w:sz w:val="23"/>
          <w:szCs w:val="23"/>
          <w:rtl/>
        </w:rPr>
        <w:t>ی(۶. ۲) خواهیم داشت</w:t>
      </w:r>
    </w:p>
    <w:p w14:paraId="62CAEC90" w14:textId="77777777" w:rsidR="00411620" w:rsidRPr="003B28FD" w:rsidRDefault="00411620" w:rsidP="00411620">
      <w:pPr>
        <w:pStyle w:val="MTDisplayEquation"/>
        <w:spacing w:line="216" w:lineRule="auto"/>
        <w:jc w:val="left"/>
        <w:rPr>
          <w:rFonts w:ascii="Times New Roman" w:hAnsi="Times New Roman" w:cs="B Nazanin"/>
          <w:i/>
          <w:sz w:val="23"/>
          <w:szCs w:val="23"/>
          <w:rtl/>
        </w:rPr>
      </w:pPr>
      <w:r w:rsidRPr="003B28FD">
        <w:rPr>
          <w:position w:val="-18"/>
        </w:rPr>
        <w:object w:dxaOrig="4500" w:dyaOrig="460" w14:anchorId="4C296733">
          <v:shape id="_x0000_i3052" type="#_x0000_t75" style="width:225.1pt;height:23pt" o:ole="">
            <v:imagedata r:id="rId4089" o:title=""/>
          </v:shape>
          <o:OLEObject Type="Embed" ProgID="Equation.DSMT4" ShapeID="_x0000_i3052" DrawAspect="Content" ObjectID="_1791376996" r:id="rId4090"/>
        </w:object>
      </w:r>
    </w:p>
    <w:p w14:paraId="1DE23F22" w14:textId="77777777" w:rsidR="00411620" w:rsidRPr="003B28FD" w:rsidRDefault="00411620" w:rsidP="00411620">
      <w:pPr>
        <w:spacing w:line="216" w:lineRule="auto"/>
        <w:rPr>
          <w:i/>
          <w:sz w:val="23"/>
          <w:szCs w:val="23"/>
          <w:rtl/>
        </w:rPr>
      </w:pPr>
      <w:r w:rsidRPr="003B28FD">
        <w:rPr>
          <w:rFonts w:hint="cs"/>
          <w:i/>
          <w:sz w:val="23"/>
          <w:szCs w:val="23"/>
          <w:rtl/>
        </w:rPr>
        <w:t>و یا</w:t>
      </w:r>
    </w:p>
    <w:p w14:paraId="0B9CC7A2" w14:textId="77777777" w:rsidR="00411620" w:rsidRPr="003B28FD" w:rsidRDefault="00411620" w:rsidP="00411620">
      <w:pPr>
        <w:pStyle w:val="MTDisplayEquation"/>
        <w:spacing w:line="216" w:lineRule="auto"/>
        <w:jc w:val="left"/>
        <w:rPr>
          <w:rFonts w:ascii="Times New Roman" w:eastAsiaTheme="minorEastAsia" w:hAnsi="Times New Roman" w:cs="B Nazanin"/>
          <w:i/>
          <w:sz w:val="23"/>
          <w:szCs w:val="23"/>
        </w:rPr>
      </w:pPr>
      <w:r w:rsidRPr="003B28FD">
        <w:rPr>
          <w:position w:val="-16"/>
        </w:rPr>
        <w:object w:dxaOrig="4599" w:dyaOrig="420" w14:anchorId="6B68F906">
          <v:shape id="_x0000_i3053" type="#_x0000_t75" style="width:230.5pt;height:21.2pt" o:ole="">
            <v:imagedata r:id="rId4091" o:title=""/>
          </v:shape>
          <o:OLEObject Type="Embed" ProgID="Equation.DSMT4" ShapeID="_x0000_i3053" DrawAspect="Content" ObjectID="_1791376997" r:id="rId4092"/>
        </w:object>
      </w:r>
    </w:p>
    <w:p w14:paraId="18A341E2" w14:textId="77777777" w:rsidR="00411620" w:rsidRPr="003B28FD" w:rsidRDefault="00411620" w:rsidP="00411620">
      <w:pPr>
        <w:pStyle w:val="MTDisplayEquation"/>
        <w:spacing w:line="216" w:lineRule="auto"/>
        <w:jc w:val="left"/>
        <w:rPr>
          <w:rFonts w:ascii="Times New Roman" w:eastAsiaTheme="minorEastAsia" w:hAnsi="Times New Roman" w:cs="B Nazanin"/>
          <w:i/>
          <w:sz w:val="23"/>
          <w:szCs w:val="23"/>
        </w:rPr>
      </w:pPr>
      <w:r w:rsidRPr="003B28FD">
        <w:rPr>
          <w:position w:val="-10"/>
        </w:rPr>
        <w:object w:dxaOrig="2900" w:dyaOrig="340" w14:anchorId="352651CB">
          <v:shape id="_x0000_i3054" type="#_x0000_t75" style="width:145.2pt;height:16.95pt" o:ole="">
            <v:imagedata r:id="rId4093" o:title=""/>
          </v:shape>
          <o:OLEObject Type="Embed" ProgID="Equation.DSMT4" ShapeID="_x0000_i3054" DrawAspect="Content" ObjectID="_1791376998" r:id="rId4094"/>
        </w:object>
      </w:r>
    </w:p>
    <w:p w14:paraId="4A233F23" w14:textId="77777777" w:rsidR="00411620" w:rsidRPr="003B28FD" w:rsidRDefault="00411620" w:rsidP="00411620">
      <w:pPr>
        <w:bidi w:val="0"/>
        <w:spacing w:line="216" w:lineRule="auto"/>
        <w:rPr>
          <w:i/>
          <w:sz w:val="23"/>
          <w:szCs w:val="23"/>
          <w:rtl/>
        </w:rPr>
      </w:pPr>
      <w:r w:rsidRPr="003B28FD">
        <w:rPr>
          <w:position w:val="-10"/>
        </w:rPr>
        <w:object w:dxaOrig="2540" w:dyaOrig="340" w14:anchorId="1A1CA0E8">
          <v:shape id="_x0000_i3055" type="#_x0000_t75" style="width:127.05pt;height:16.95pt" o:ole="">
            <v:imagedata r:id="rId4095" o:title=""/>
          </v:shape>
          <o:OLEObject Type="Embed" ProgID="Equation.DSMT4" ShapeID="_x0000_i3055" DrawAspect="Content" ObjectID="_1791376999" r:id="rId4096"/>
        </w:object>
      </w:r>
      <w:r w:rsidRPr="003B28FD">
        <w:rPr>
          <w:rFonts w:eastAsiaTheme="minorEastAsia" w:hint="cs"/>
          <w:i/>
          <w:sz w:val="23"/>
          <w:szCs w:val="23"/>
        </w:rPr>
        <w:t xml:space="preserve"> </w:t>
      </w:r>
      <w:r w:rsidRPr="003B28FD">
        <w:rPr>
          <w:rFonts w:eastAsiaTheme="minorEastAsia"/>
          <w:i/>
          <w:sz w:val="23"/>
          <w:szCs w:val="23"/>
        </w:rPr>
        <w:tab/>
      </w:r>
      <w:r w:rsidRPr="003B28FD">
        <w:rPr>
          <w:rFonts w:eastAsiaTheme="minorEastAsia"/>
          <w:i/>
          <w:sz w:val="23"/>
          <w:szCs w:val="23"/>
        </w:rPr>
        <w:tab/>
      </w:r>
      <w:r>
        <w:rPr>
          <w:rFonts w:eastAsiaTheme="minorEastAsia"/>
          <w:i/>
          <w:sz w:val="23"/>
          <w:szCs w:val="23"/>
          <w:rtl/>
        </w:rPr>
        <w:tab/>
      </w:r>
      <w:r>
        <w:rPr>
          <w:rFonts w:eastAsiaTheme="minorEastAsia"/>
          <w:i/>
          <w:sz w:val="23"/>
          <w:szCs w:val="23"/>
          <w:rtl/>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tl/>
        </w:rPr>
        <w:tab/>
      </w:r>
      <w:r w:rsidRPr="003B28FD">
        <w:rPr>
          <w:rFonts w:eastAsiaTheme="minorEastAsia" w:hint="cs"/>
          <w:i/>
          <w:sz w:val="23"/>
          <w:szCs w:val="23"/>
          <w:rtl/>
        </w:rPr>
        <w:t>(۶. ۵)</w:t>
      </w:r>
    </w:p>
    <w:p w14:paraId="4539F8DB" w14:textId="77777777" w:rsidR="00411620" w:rsidRPr="003B28FD" w:rsidRDefault="00411620" w:rsidP="00411620">
      <w:pPr>
        <w:spacing w:line="216" w:lineRule="auto"/>
        <w:rPr>
          <w:i/>
          <w:sz w:val="23"/>
          <w:szCs w:val="23"/>
          <w:rtl/>
        </w:rPr>
      </w:pPr>
      <w:r w:rsidRPr="003B28FD">
        <w:rPr>
          <w:rFonts w:hint="cs"/>
          <w:i/>
          <w:sz w:val="23"/>
          <w:szCs w:val="23"/>
          <w:rtl/>
        </w:rPr>
        <w:t xml:space="preserve">اکنون </w:t>
      </w:r>
      <w:r w:rsidRPr="003B28FD">
        <w:rPr>
          <w:i/>
          <w:sz w:val="23"/>
          <w:szCs w:val="23"/>
          <w:rtl/>
        </w:rPr>
        <w:t>هر يك از روش</w:t>
      </w:r>
      <w:r w:rsidRPr="003B28FD">
        <w:rPr>
          <w:i/>
          <w:sz w:val="23"/>
          <w:szCs w:val="23"/>
          <w:rtl/>
        </w:rPr>
        <w:softHyphen/>
        <w:t xml:space="preserve">هاي تأمين مالي </w:t>
      </w:r>
      <w:r w:rsidRPr="003B28FD">
        <w:rPr>
          <w:rFonts w:hint="cs"/>
          <w:i/>
          <w:sz w:val="23"/>
          <w:szCs w:val="23"/>
          <w:rtl/>
        </w:rPr>
        <w:t>مخارج</w:t>
      </w:r>
      <w:r w:rsidRPr="003B28FD">
        <w:rPr>
          <w:i/>
          <w:sz w:val="23"/>
          <w:szCs w:val="23"/>
          <w:rtl/>
        </w:rPr>
        <w:t xml:space="preserve"> دولت </w:t>
      </w:r>
      <w:r w:rsidRPr="003B28FD">
        <w:rPr>
          <w:rFonts w:hint="cs"/>
          <w:i/>
          <w:sz w:val="23"/>
          <w:szCs w:val="23"/>
          <w:rtl/>
        </w:rPr>
        <w:t xml:space="preserve">از طریق مالیات مقطوع و مالیات تناسبی را در مدل </w:t>
      </w:r>
      <w:r w:rsidRPr="003B28FD">
        <w:rPr>
          <w:i/>
          <w:sz w:val="23"/>
          <w:szCs w:val="23"/>
          <w:rtl/>
        </w:rPr>
        <w:t>برنامه</w:t>
      </w:r>
      <w:r w:rsidRPr="003B28FD">
        <w:rPr>
          <w:i/>
          <w:sz w:val="23"/>
          <w:szCs w:val="23"/>
          <w:rtl/>
        </w:rPr>
        <w:softHyphen/>
        <w:t>ريز</w:t>
      </w:r>
      <w:r w:rsidRPr="003B28FD">
        <w:rPr>
          <w:rFonts w:hint="cs"/>
          <w:i/>
          <w:sz w:val="23"/>
          <w:szCs w:val="23"/>
          <w:rtl/>
        </w:rPr>
        <w:t xml:space="preserve"> </w:t>
      </w:r>
      <w:r w:rsidRPr="003B28FD">
        <w:rPr>
          <w:i/>
          <w:sz w:val="23"/>
          <w:szCs w:val="23"/>
          <w:rtl/>
        </w:rPr>
        <w:t xml:space="preserve">متمركز كه </w:t>
      </w:r>
      <w:r w:rsidRPr="003B28FD">
        <w:rPr>
          <w:rFonts w:hint="cs"/>
          <w:i/>
          <w:sz w:val="23"/>
          <w:szCs w:val="23"/>
          <w:rtl/>
        </w:rPr>
        <w:t xml:space="preserve">در آن </w:t>
      </w:r>
      <w:r w:rsidRPr="003B28FD">
        <w:rPr>
          <w:i/>
          <w:sz w:val="23"/>
          <w:szCs w:val="23"/>
          <w:rtl/>
        </w:rPr>
        <w:t>د</w:t>
      </w:r>
      <w:r w:rsidRPr="003B28FD">
        <w:rPr>
          <w:rFonts w:hint="cs"/>
          <w:i/>
          <w:sz w:val="23"/>
          <w:szCs w:val="23"/>
          <w:rtl/>
        </w:rPr>
        <w:t>ول</w:t>
      </w:r>
      <w:r w:rsidRPr="003B28FD">
        <w:rPr>
          <w:i/>
          <w:sz w:val="23"/>
          <w:szCs w:val="23"/>
          <w:rtl/>
        </w:rPr>
        <w:t>ت راه حل</w:t>
      </w:r>
      <w:r w:rsidRPr="003B28FD">
        <w:rPr>
          <w:i/>
          <w:sz w:val="23"/>
          <w:szCs w:val="23"/>
          <w:rtl/>
        </w:rPr>
        <w:softHyphen/>
        <w:t>هاي بهينه را انتخاب مي</w:t>
      </w:r>
      <w:r w:rsidRPr="003B28FD">
        <w:rPr>
          <w:i/>
          <w:sz w:val="23"/>
          <w:szCs w:val="23"/>
          <w:rtl/>
        </w:rPr>
        <w:softHyphen/>
        <w:t>كند مورد بررسي قرار مي</w:t>
      </w:r>
      <w:r w:rsidRPr="003B28FD">
        <w:rPr>
          <w:i/>
          <w:sz w:val="23"/>
          <w:szCs w:val="23"/>
          <w:rtl/>
        </w:rPr>
        <w:softHyphen/>
        <w:t xml:space="preserve">دهيم. سپس </w:t>
      </w:r>
      <w:r w:rsidRPr="003B28FD">
        <w:rPr>
          <w:rFonts w:hint="cs"/>
          <w:i/>
          <w:sz w:val="23"/>
          <w:szCs w:val="23"/>
          <w:rtl/>
        </w:rPr>
        <w:t>مدل</w:t>
      </w:r>
      <w:r w:rsidRPr="003B28FD">
        <w:rPr>
          <w:i/>
          <w:sz w:val="23"/>
          <w:szCs w:val="23"/>
          <w:rtl/>
        </w:rPr>
        <w:t xml:space="preserve"> غير</w:t>
      </w:r>
      <w:r w:rsidRPr="003B28FD">
        <w:rPr>
          <w:rFonts w:hint="cs"/>
          <w:i/>
          <w:sz w:val="23"/>
          <w:szCs w:val="23"/>
          <w:rtl/>
        </w:rPr>
        <w:t>متمرکز</w:t>
      </w:r>
      <w:r w:rsidRPr="003B28FD">
        <w:rPr>
          <w:i/>
          <w:sz w:val="23"/>
          <w:szCs w:val="23"/>
          <w:rtl/>
        </w:rPr>
        <w:t xml:space="preserve"> كه در آن ابتدا </w:t>
      </w:r>
      <w:r w:rsidRPr="003B28FD">
        <w:rPr>
          <w:rFonts w:hint="cs"/>
          <w:i/>
          <w:sz w:val="23"/>
          <w:szCs w:val="23"/>
          <w:rtl/>
        </w:rPr>
        <w:t>بخش</w:t>
      </w:r>
      <w:r w:rsidRPr="003B28FD">
        <w:rPr>
          <w:i/>
          <w:sz w:val="23"/>
          <w:szCs w:val="23"/>
          <w:rtl/>
        </w:rPr>
        <w:t xml:space="preserve"> خصوصي تصميم</w:t>
      </w:r>
      <w:r w:rsidRPr="003B28FD">
        <w:rPr>
          <w:rFonts w:hint="cs"/>
          <w:i/>
          <w:sz w:val="23"/>
          <w:szCs w:val="23"/>
          <w:rtl/>
        </w:rPr>
        <w:t>ات</w:t>
      </w:r>
      <w:r w:rsidRPr="003B28FD">
        <w:rPr>
          <w:i/>
          <w:sz w:val="23"/>
          <w:szCs w:val="23"/>
          <w:rtl/>
        </w:rPr>
        <w:t xml:space="preserve"> </w:t>
      </w:r>
      <w:r w:rsidRPr="003B28FD">
        <w:rPr>
          <w:rFonts w:hint="cs"/>
          <w:i/>
          <w:sz w:val="23"/>
          <w:szCs w:val="23"/>
          <w:rtl/>
        </w:rPr>
        <w:t>خود را با توجه</w:t>
      </w:r>
      <w:r w:rsidRPr="003B28FD">
        <w:rPr>
          <w:i/>
          <w:sz w:val="23"/>
          <w:szCs w:val="23"/>
          <w:rtl/>
        </w:rPr>
        <w:t xml:space="preserve"> </w:t>
      </w:r>
      <w:r w:rsidRPr="003B28FD">
        <w:rPr>
          <w:rFonts w:hint="cs"/>
          <w:i/>
          <w:sz w:val="23"/>
          <w:szCs w:val="23"/>
          <w:rtl/>
        </w:rPr>
        <w:t>به راه حلِ</w:t>
      </w:r>
      <w:r w:rsidRPr="003B28FD">
        <w:rPr>
          <w:i/>
          <w:sz w:val="23"/>
          <w:szCs w:val="23"/>
          <w:rtl/>
        </w:rPr>
        <w:t xml:space="preserve"> </w:t>
      </w:r>
      <w:r w:rsidRPr="003B28FD">
        <w:rPr>
          <w:rFonts w:hint="cs"/>
          <w:i/>
          <w:sz w:val="23"/>
          <w:szCs w:val="23"/>
          <w:rtl/>
        </w:rPr>
        <w:t>بهینه</w:t>
      </w:r>
      <w:r w:rsidRPr="003B28FD">
        <w:rPr>
          <w:i/>
          <w:sz w:val="23"/>
          <w:szCs w:val="23"/>
          <w:rtl/>
        </w:rPr>
        <w:softHyphen/>
      </w:r>
      <w:r w:rsidRPr="003B28FD">
        <w:rPr>
          <w:rFonts w:hint="cs"/>
          <w:i/>
          <w:sz w:val="23"/>
          <w:szCs w:val="23"/>
          <w:rtl/>
        </w:rPr>
        <w:t xml:space="preserve">ی </w:t>
      </w:r>
      <w:r w:rsidRPr="003B28FD">
        <w:rPr>
          <w:i/>
          <w:sz w:val="23"/>
          <w:szCs w:val="23"/>
          <w:rtl/>
        </w:rPr>
        <w:t>دولت در دور</w:t>
      </w:r>
      <w:r w:rsidRPr="003B28FD">
        <w:rPr>
          <w:rFonts w:hint="cs"/>
          <w:i/>
          <w:sz w:val="23"/>
          <w:szCs w:val="23"/>
          <w:rtl/>
        </w:rPr>
        <w:t>ه</w:t>
      </w:r>
      <w:r w:rsidRPr="003B28FD">
        <w:rPr>
          <w:i/>
          <w:sz w:val="23"/>
          <w:szCs w:val="23"/>
          <w:rtl/>
        </w:rPr>
        <w:softHyphen/>
      </w:r>
      <w:r w:rsidRPr="003B28FD">
        <w:rPr>
          <w:rFonts w:hint="cs"/>
          <w:i/>
          <w:sz w:val="23"/>
          <w:szCs w:val="23"/>
          <w:rtl/>
        </w:rPr>
        <w:t>ی</w:t>
      </w:r>
      <w:r w:rsidRPr="003B28FD">
        <w:rPr>
          <w:position w:val="-6"/>
        </w:rPr>
        <w:object w:dxaOrig="440" w:dyaOrig="260" w14:anchorId="575594AF">
          <v:shape id="_x0000_i3056" type="#_x0000_t75" style="width:21.8pt;height:12.7pt" o:ole="">
            <v:imagedata r:id="rId4097" o:title=""/>
          </v:shape>
          <o:OLEObject Type="Embed" ProgID="Equation.DSMT4" ShapeID="_x0000_i3056" DrawAspect="Content" ObjectID="_1791377000" r:id="rId4098"/>
        </w:object>
      </w:r>
      <w:r w:rsidRPr="003B28FD">
        <w:rPr>
          <w:rFonts w:hint="cs"/>
          <w:i/>
          <w:sz w:val="23"/>
          <w:szCs w:val="23"/>
          <w:rtl/>
        </w:rPr>
        <w:t xml:space="preserve"> خواهد گرفت،</w:t>
      </w:r>
      <w:r w:rsidRPr="003B28FD">
        <w:rPr>
          <w:i/>
          <w:sz w:val="23"/>
          <w:szCs w:val="23"/>
          <w:rtl/>
        </w:rPr>
        <w:t xml:space="preserve"> و </w:t>
      </w:r>
      <w:r w:rsidRPr="003B28FD">
        <w:rPr>
          <w:rFonts w:hint="cs"/>
          <w:i/>
          <w:sz w:val="23"/>
          <w:szCs w:val="23"/>
          <w:rtl/>
        </w:rPr>
        <w:t>سپس</w:t>
      </w:r>
      <w:r w:rsidRPr="003B28FD">
        <w:rPr>
          <w:i/>
          <w:sz w:val="23"/>
          <w:szCs w:val="23"/>
          <w:rtl/>
        </w:rPr>
        <w:t xml:space="preserve"> دولت جهت بهينه</w:t>
      </w:r>
      <w:r w:rsidRPr="003B28FD">
        <w:rPr>
          <w:i/>
          <w:sz w:val="23"/>
          <w:szCs w:val="23"/>
          <w:rtl/>
        </w:rPr>
        <w:softHyphen/>
        <w:t xml:space="preserve">يابي </w:t>
      </w:r>
      <w:r w:rsidRPr="003B28FD">
        <w:rPr>
          <w:rFonts w:hint="cs"/>
          <w:i/>
          <w:sz w:val="23"/>
          <w:szCs w:val="23"/>
          <w:rtl/>
        </w:rPr>
        <w:t>مجدد</w:t>
      </w:r>
      <w:r w:rsidRPr="003B28FD">
        <w:rPr>
          <w:i/>
          <w:sz w:val="23"/>
          <w:szCs w:val="23"/>
          <w:rtl/>
        </w:rPr>
        <w:t xml:space="preserve"> در دور</w:t>
      </w:r>
      <w:r w:rsidRPr="003B28FD">
        <w:rPr>
          <w:rFonts w:hint="cs"/>
          <w:i/>
          <w:sz w:val="23"/>
          <w:szCs w:val="23"/>
          <w:rtl/>
        </w:rPr>
        <w:t>ه</w:t>
      </w:r>
      <w:r w:rsidRPr="003B28FD">
        <w:rPr>
          <w:i/>
          <w:sz w:val="23"/>
          <w:szCs w:val="23"/>
          <w:rtl/>
        </w:rPr>
        <w:softHyphen/>
      </w:r>
      <w:r w:rsidRPr="003B28FD">
        <w:rPr>
          <w:rFonts w:hint="cs"/>
          <w:i/>
          <w:sz w:val="23"/>
          <w:szCs w:val="23"/>
          <w:rtl/>
        </w:rPr>
        <w:t>ی</w:t>
      </w:r>
      <w:r w:rsidRPr="003B28FD">
        <w:rPr>
          <w:i/>
          <w:sz w:val="23"/>
          <w:szCs w:val="23"/>
          <w:rtl/>
        </w:rPr>
        <w:t xml:space="preserve"> </w:t>
      </w:r>
      <w:r w:rsidRPr="003B28FD">
        <w:rPr>
          <w:rFonts w:hint="cs"/>
          <w:i/>
          <w:sz w:val="23"/>
          <w:szCs w:val="23"/>
          <w:rtl/>
        </w:rPr>
        <w:t>بعد،</w:t>
      </w:r>
      <w:r w:rsidRPr="003B28FD">
        <w:rPr>
          <w:i/>
          <w:sz w:val="23"/>
          <w:szCs w:val="23"/>
          <w:rtl/>
        </w:rPr>
        <w:t xml:space="preserve"> ت</w:t>
      </w:r>
      <w:r w:rsidRPr="003B28FD">
        <w:rPr>
          <w:rFonts w:hint="cs"/>
          <w:i/>
          <w:sz w:val="23"/>
          <w:szCs w:val="23"/>
          <w:rtl/>
        </w:rPr>
        <w:t>صمیمات</w:t>
      </w:r>
      <w:r w:rsidRPr="003B28FD">
        <w:rPr>
          <w:i/>
          <w:sz w:val="23"/>
          <w:szCs w:val="23"/>
          <w:rtl/>
        </w:rPr>
        <w:t xml:space="preserve"> </w:t>
      </w:r>
      <w:r w:rsidRPr="003B28FD">
        <w:rPr>
          <w:rFonts w:hint="cs"/>
          <w:i/>
          <w:sz w:val="23"/>
          <w:szCs w:val="23"/>
          <w:rtl/>
        </w:rPr>
        <w:t>بخش</w:t>
      </w:r>
      <w:r w:rsidRPr="003B28FD">
        <w:rPr>
          <w:i/>
          <w:sz w:val="23"/>
          <w:szCs w:val="23"/>
          <w:rtl/>
        </w:rPr>
        <w:t xml:space="preserve"> خصوصي در دور</w:t>
      </w:r>
      <w:r w:rsidRPr="003B28FD">
        <w:rPr>
          <w:rFonts w:hint="cs"/>
          <w:i/>
          <w:sz w:val="23"/>
          <w:szCs w:val="23"/>
          <w:rtl/>
        </w:rPr>
        <w:t>ه</w:t>
      </w:r>
      <w:r w:rsidRPr="003B28FD">
        <w:rPr>
          <w:i/>
          <w:sz w:val="23"/>
          <w:szCs w:val="23"/>
          <w:rtl/>
        </w:rPr>
        <w:softHyphen/>
      </w:r>
      <w:r w:rsidRPr="003B28FD">
        <w:rPr>
          <w:rFonts w:hint="cs"/>
          <w:i/>
          <w:sz w:val="23"/>
          <w:szCs w:val="23"/>
          <w:rtl/>
        </w:rPr>
        <w:t>ی</w:t>
      </w:r>
      <w:r w:rsidRPr="003B28FD">
        <w:rPr>
          <w:i/>
          <w:sz w:val="23"/>
          <w:szCs w:val="23"/>
          <w:rtl/>
        </w:rPr>
        <w:t xml:space="preserve"> </w:t>
      </w:r>
      <w:r w:rsidRPr="003B28FD">
        <w:rPr>
          <w:rFonts w:hint="cs"/>
          <w:i/>
          <w:sz w:val="23"/>
          <w:szCs w:val="23"/>
          <w:rtl/>
        </w:rPr>
        <w:t>قبل</w:t>
      </w:r>
      <w:r w:rsidRPr="003B28FD">
        <w:rPr>
          <w:i/>
          <w:sz w:val="23"/>
          <w:szCs w:val="23"/>
          <w:rtl/>
        </w:rPr>
        <w:t xml:space="preserve"> </w:t>
      </w:r>
      <w:r w:rsidRPr="003B28FD">
        <w:rPr>
          <w:rFonts w:hint="cs"/>
          <w:i/>
          <w:sz w:val="23"/>
          <w:szCs w:val="23"/>
          <w:rtl/>
        </w:rPr>
        <w:t>را مطمح نظر قرار می</w:t>
      </w:r>
      <w:r w:rsidRPr="003B28FD">
        <w:rPr>
          <w:i/>
          <w:sz w:val="23"/>
          <w:szCs w:val="23"/>
          <w:rtl/>
        </w:rPr>
        <w:softHyphen/>
      </w:r>
      <w:r w:rsidRPr="003B28FD">
        <w:rPr>
          <w:rFonts w:hint="cs"/>
          <w:i/>
          <w:sz w:val="23"/>
          <w:szCs w:val="23"/>
          <w:rtl/>
        </w:rPr>
        <w:t xml:space="preserve">دهد </w:t>
      </w:r>
      <w:r w:rsidRPr="003B28FD">
        <w:rPr>
          <w:i/>
          <w:sz w:val="23"/>
          <w:szCs w:val="23"/>
          <w:rtl/>
        </w:rPr>
        <w:t>و فر</w:t>
      </w:r>
      <w:r w:rsidRPr="003B28FD">
        <w:rPr>
          <w:rFonts w:hint="cs"/>
          <w:i/>
          <w:sz w:val="23"/>
          <w:szCs w:val="23"/>
          <w:rtl/>
        </w:rPr>
        <w:t>ض</w:t>
      </w:r>
      <w:r w:rsidRPr="003B28FD">
        <w:rPr>
          <w:i/>
          <w:sz w:val="23"/>
          <w:szCs w:val="23"/>
          <w:rtl/>
        </w:rPr>
        <w:t xml:space="preserve"> مي</w:t>
      </w:r>
      <w:r w:rsidRPr="003B28FD">
        <w:rPr>
          <w:i/>
          <w:sz w:val="23"/>
          <w:szCs w:val="23"/>
          <w:rtl/>
        </w:rPr>
        <w:softHyphen/>
      </w:r>
      <w:r w:rsidRPr="003B28FD">
        <w:rPr>
          <w:rFonts w:hint="cs"/>
          <w:i/>
          <w:sz w:val="23"/>
          <w:szCs w:val="23"/>
          <w:rtl/>
        </w:rPr>
        <w:t>کن</w:t>
      </w:r>
      <w:r w:rsidRPr="003B28FD">
        <w:rPr>
          <w:i/>
          <w:sz w:val="23"/>
          <w:szCs w:val="23"/>
          <w:rtl/>
        </w:rPr>
        <w:t xml:space="preserve">د كه بخش </w:t>
      </w:r>
      <w:r w:rsidRPr="003B28FD">
        <w:rPr>
          <w:rFonts w:hint="cs"/>
          <w:i/>
          <w:sz w:val="23"/>
          <w:szCs w:val="23"/>
          <w:rtl/>
        </w:rPr>
        <w:t xml:space="preserve">خصوصی سطح </w:t>
      </w:r>
      <w:r w:rsidRPr="003B28FD">
        <w:rPr>
          <w:i/>
          <w:sz w:val="23"/>
          <w:szCs w:val="23"/>
          <w:rtl/>
        </w:rPr>
        <w:t>ماليات</w:t>
      </w:r>
      <w:r w:rsidRPr="003B28FD">
        <w:rPr>
          <w:i/>
          <w:sz w:val="23"/>
          <w:szCs w:val="23"/>
          <w:rtl/>
        </w:rPr>
        <w:softHyphen/>
        <w:t xml:space="preserve">ها و </w:t>
      </w:r>
      <w:r w:rsidRPr="003B28FD">
        <w:rPr>
          <w:rFonts w:hint="cs"/>
          <w:i/>
          <w:sz w:val="23"/>
          <w:szCs w:val="23"/>
          <w:rtl/>
        </w:rPr>
        <w:t>مخارج</w:t>
      </w:r>
      <w:r w:rsidRPr="003B28FD">
        <w:rPr>
          <w:i/>
          <w:sz w:val="23"/>
          <w:szCs w:val="23"/>
          <w:rtl/>
        </w:rPr>
        <w:t xml:space="preserve"> </w:t>
      </w:r>
      <w:r w:rsidRPr="003B28FD">
        <w:rPr>
          <w:rFonts w:hint="cs"/>
          <w:i/>
          <w:sz w:val="23"/>
          <w:szCs w:val="23"/>
          <w:rtl/>
        </w:rPr>
        <w:t xml:space="preserve">دولت </w:t>
      </w:r>
      <w:r w:rsidRPr="003B28FD">
        <w:rPr>
          <w:i/>
          <w:sz w:val="23"/>
          <w:szCs w:val="23"/>
          <w:rtl/>
        </w:rPr>
        <w:t xml:space="preserve">در </w:t>
      </w:r>
      <w:r w:rsidRPr="003B28FD">
        <w:rPr>
          <w:rFonts w:hint="cs"/>
          <w:i/>
          <w:sz w:val="23"/>
          <w:szCs w:val="23"/>
          <w:rtl/>
        </w:rPr>
        <w:t>زمان</w:t>
      </w:r>
      <w:r w:rsidRPr="003B28FD">
        <w:rPr>
          <w:i/>
          <w:sz w:val="23"/>
          <w:szCs w:val="23"/>
          <w:rtl/>
        </w:rPr>
        <w:t xml:space="preserve"> </w:t>
      </w:r>
      <w:r w:rsidRPr="003B28FD">
        <w:rPr>
          <w:position w:val="-6"/>
        </w:rPr>
        <w:object w:dxaOrig="440" w:dyaOrig="260" w14:anchorId="0935E474">
          <v:shape id="_x0000_i3057" type="#_x0000_t75" style="width:21.8pt;height:12.7pt" o:ole="">
            <v:imagedata r:id="rId4099" o:title=""/>
          </v:shape>
          <o:OLEObject Type="Embed" ProgID="Equation.DSMT4" ShapeID="_x0000_i3057" DrawAspect="Content" ObjectID="_1791377001" r:id="rId4100"/>
        </w:object>
      </w:r>
      <w:r w:rsidRPr="003B28FD">
        <w:rPr>
          <w:rFonts w:hint="cs"/>
          <w:i/>
          <w:sz w:val="23"/>
          <w:szCs w:val="23"/>
          <w:rtl/>
        </w:rPr>
        <w:t xml:space="preserve"> را بدرستی</w:t>
      </w:r>
      <w:r w:rsidRPr="003B28FD">
        <w:rPr>
          <w:i/>
          <w:sz w:val="23"/>
          <w:szCs w:val="23"/>
          <w:rtl/>
        </w:rPr>
        <w:t xml:space="preserve"> پيش</w:t>
      </w:r>
      <w:r w:rsidRPr="003B28FD">
        <w:rPr>
          <w:i/>
          <w:sz w:val="23"/>
          <w:szCs w:val="23"/>
          <w:rtl/>
        </w:rPr>
        <w:softHyphen/>
        <w:t>بيني كرده است</w:t>
      </w:r>
      <w:r w:rsidRPr="003B28FD">
        <w:rPr>
          <w:rFonts w:hint="cs"/>
          <w:i/>
          <w:sz w:val="23"/>
          <w:szCs w:val="23"/>
          <w:rtl/>
        </w:rPr>
        <w:t xml:space="preserve"> </w:t>
      </w:r>
      <w:r w:rsidRPr="003B28FD">
        <w:rPr>
          <w:i/>
          <w:sz w:val="23"/>
          <w:szCs w:val="23"/>
          <w:rtl/>
        </w:rPr>
        <w:t>را بررسي مي</w:t>
      </w:r>
      <w:r w:rsidRPr="003B28FD">
        <w:rPr>
          <w:i/>
          <w:sz w:val="23"/>
          <w:szCs w:val="23"/>
          <w:rtl/>
        </w:rPr>
        <w:softHyphen/>
        <w:t>كنيم</w:t>
      </w:r>
      <w:r w:rsidRPr="003B28FD">
        <w:rPr>
          <w:rFonts w:hint="cs"/>
          <w:i/>
          <w:sz w:val="23"/>
          <w:szCs w:val="23"/>
          <w:rtl/>
        </w:rPr>
        <w:t>.</w:t>
      </w:r>
      <w:r w:rsidRPr="003B28FD">
        <w:rPr>
          <w:i/>
          <w:sz w:val="23"/>
          <w:szCs w:val="23"/>
          <w:rtl/>
        </w:rPr>
        <w:t xml:space="preserve"> بالاخره اجازه مي</w:t>
      </w:r>
      <w:r w:rsidRPr="003B28FD">
        <w:rPr>
          <w:i/>
          <w:sz w:val="23"/>
          <w:szCs w:val="23"/>
          <w:rtl/>
        </w:rPr>
        <w:softHyphen/>
        <w:t>دهيم</w:t>
      </w:r>
      <w:r w:rsidRPr="003B28FD">
        <w:rPr>
          <w:rFonts w:hint="cs"/>
          <w:i/>
          <w:sz w:val="23"/>
          <w:szCs w:val="23"/>
          <w:rtl/>
        </w:rPr>
        <w:t xml:space="preserve"> </w:t>
      </w:r>
      <w:r w:rsidRPr="003B28FD">
        <w:rPr>
          <w:i/>
          <w:sz w:val="23"/>
          <w:szCs w:val="23"/>
          <w:rtl/>
        </w:rPr>
        <w:t xml:space="preserve">بخش </w:t>
      </w:r>
      <w:r w:rsidRPr="003B28FD">
        <w:rPr>
          <w:rFonts w:hint="cs"/>
          <w:i/>
          <w:sz w:val="23"/>
          <w:szCs w:val="23"/>
          <w:rtl/>
        </w:rPr>
        <w:t xml:space="preserve">خصوصی </w:t>
      </w:r>
      <w:r w:rsidRPr="003B28FD">
        <w:rPr>
          <w:i/>
          <w:sz w:val="23"/>
          <w:szCs w:val="23"/>
          <w:rtl/>
        </w:rPr>
        <w:t xml:space="preserve">و دولت در </w:t>
      </w:r>
      <w:r w:rsidRPr="003B28FD">
        <w:rPr>
          <w:rFonts w:hint="cs"/>
          <w:i/>
          <w:sz w:val="23"/>
          <w:szCs w:val="23"/>
          <w:rtl/>
        </w:rPr>
        <w:t>زمان</w:t>
      </w:r>
      <w:r w:rsidRPr="003B28FD">
        <w:rPr>
          <w:position w:val="-6"/>
        </w:rPr>
        <w:object w:dxaOrig="440" w:dyaOrig="260" w14:anchorId="7389F8AD">
          <v:shape id="_x0000_i3058" type="#_x0000_t75" style="width:21.8pt;height:12.7pt" o:ole="">
            <v:imagedata r:id="rId4101" o:title=""/>
          </v:shape>
          <o:OLEObject Type="Embed" ProgID="Equation.DSMT4" ShapeID="_x0000_i3058" DrawAspect="Content" ObjectID="_1791377002" r:id="rId4102"/>
        </w:object>
      </w:r>
      <w:r w:rsidRPr="003B28FD">
        <w:rPr>
          <w:i/>
          <w:sz w:val="23"/>
          <w:szCs w:val="23"/>
          <w:rtl/>
        </w:rPr>
        <w:t xml:space="preserve"> بهينه</w:t>
      </w:r>
      <w:r w:rsidRPr="003B28FD">
        <w:rPr>
          <w:i/>
          <w:sz w:val="23"/>
          <w:szCs w:val="23"/>
          <w:rtl/>
        </w:rPr>
        <w:softHyphen/>
        <w:t xml:space="preserve">يابي </w:t>
      </w:r>
      <w:r w:rsidRPr="003B28FD">
        <w:rPr>
          <w:rFonts w:hint="cs"/>
          <w:i/>
          <w:sz w:val="23"/>
          <w:szCs w:val="23"/>
          <w:rtl/>
        </w:rPr>
        <w:t>مجدد</w:t>
      </w:r>
      <w:r w:rsidRPr="003B28FD">
        <w:rPr>
          <w:i/>
          <w:sz w:val="23"/>
          <w:szCs w:val="23"/>
          <w:rtl/>
        </w:rPr>
        <w:t xml:space="preserve"> را با توجه به نتايج دو</w:t>
      </w:r>
      <w:r w:rsidRPr="003B28FD">
        <w:rPr>
          <w:rFonts w:hint="cs"/>
          <w:i/>
          <w:sz w:val="23"/>
          <w:szCs w:val="23"/>
          <w:rtl/>
        </w:rPr>
        <w:t>ره</w:t>
      </w:r>
      <w:r w:rsidRPr="003B28FD">
        <w:rPr>
          <w:i/>
          <w:sz w:val="23"/>
          <w:szCs w:val="23"/>
          <w:rtl/>
        </w:rPr>
        <w:softHyphen/>
      </w:r>
      <w:r w:rsidRPr="003B28FD">
        <w:rPr>
          <w:rFonts w:hint="cs"/>
          <w:i/>
          <w:sz w:val="23"/>
          <w:szCs w:val="23"/>
          <w:rtl/>
        </w:rPr>
        <w:t>ی قبل</w:t>
      </w:r>
      <w:r w:rsidRPr="003B28FD">
        <w:rPr>
          <w:i/>
          <w:sz w:val="23"/>
          <w:szCs w:val="23"/>
          <w:rtl/>
        </w:rPr>
        <w:t xml:space="preserve"> </w:t>
      </w:r>
      <w:r w:rsidRPr="003B28FD">
        <w:rPr>
          <w:rFonts w:hint="cs"/>
          <w:i/>
          <w:sz w:val="23"/>
          <w:szCs w:val="23"/>
          <w:rtl/>
        </w:rPr>
        <w:t>انجام دهند تا امکان بررسی</w:t>
      </w:r>
      <w:r w:rsidRPr="003B28FD">
        <w:rPr>
          <w:i/>
          <w:sz w:val="23"/>
          <w:szCs w:val="23"/>
          <w:rtl/>
        </w:rPr>
        <w:t xml:space="preserve"> موضوع </w:t>
      </w:r>
      <w:r w:rsidRPr="003B28FD">
        <w:rPr>
          <w:rFonts w:hint="cs"/>
          <w:i/>
          <w:sz w:val="23"/>
          <w:szCs w:val="23"/>
          <w:rtl/>
        </w:rPr>
        <w:t>زمان-</w:t>
      </w:r>
      <w:r w:rsidRPr="003B28FD">
        <w:rPr>
          <w:i/>
          <w:sz w:val="23"/>
          <w:szCs w:val="23"/>
          <w:rtl/>
        </w:rPr>
        <w:t xml:space="preserve">سازگاري </w:t>
      </w:r>
      <w:r w:rsidRPr="003B28FD">
        <w:rPr>
          <w:rFonts w:hint="cs"/>
          <w:i/>
          <w:sz w:val="23"/>
          <w:szCs w:val="23"/>
          <w:rtl/>
        </w:rPr>
        <w:t>فراهم گردد.</w:t>
      </w:r>
    </w:p>
    <w:p w14:paraId="5C0CCCEA" w14:textId="77777777" w:rsidR="00411620" w:rsidRPr="003B28FD" w:rsidRDefault="00411620" w:rsidP="00411620">
      <w:pPr>
        <w:spacing w:line="216" w:lineRule="auto"/>
        <w:rPr>
          <w:i/>
          <w:sz w:val="23"/>
          <w:szCs w:val="23"/>
          <w:rtl/>
        </w:rPr>
      </w:pPr>
    </w:p>
    <w:p w14:paraId="721E014D" w14:textId="77777777" w:rsidR="00411620" w:rsidRPr="003B28FD" w:rsidRDefault="00411620" w:rsidP="00411620">
      <w:pPr>
        <w:pStyle w:val="Heading1"/>
        <w:spacing w:before="0" w:after="0" w:line="216" w:lineRule="auto"/>
        <w:rPr>
          <w:rFonts w:ascii="Times New Roman" w:hAnsi="Times New Roman" w:cs="B Nazanin"/>
          <w:b w:val="0"/>
          <w:i/>
          <w:sz w:val="23"/>
          <w:szCs w:val="23"/>
        </w:rPr>
      </w:pPr>
      <w:r w:rsidRPr="003B28FD">
        <w:rPr>
          <w:rFonts w:ascii="Times New Roman" w:hAnsi="Times New Roman" w:cs="B Nazanin" w:hint="cs"/>
          <w:b w:val="0"/>
          <w:i/>
          <w:sz w:val="23"/>
          <w:szCs w:val="23"/>
          <w:rtl/>
        </w:rPr>
        <w:t xml:space="preserve">۶. ۲. ۱ </w:t>
      </w:r>
      <w:r w:rsidRPr="003B28FD">
        <w:rPr>
          <w:rFonts w:ascii="Times New Roman" w:hAnsi="Times New Roman" w:cs="B Nazanin"/>
          <w:b w:val="0"/>
          <w:i/>
          <w:sz w:val="23"/>
          <w:szCs w:val="23"/>
          <w:rtl/>
        </w:rPr>
        <w:t xml:space="preserve">ماليات </w:t>
      </w:r>
      <w:r w:rsidRPr="003B28FD">
        <w:rPr>
          <w:rFonts w:ascii="Times New Roman" w:hAnsi="Times New Roman" w:cs="B Nazanin" w:hint="cs"/>
          <w:b w:val="0"/>
          <w:i/>
          <w:sz w:val="23"/>
          <w:szCs w:val="23"/>
          <w:rtl/>
        </w:rPr>
        <w:t xml:space="preserve">مقطوع </w:t>
      </w:r>
    </w:p>
    <w:p w14:paraId="0424CE14" w14:textId="77777777" w:rsidR="00411620" w:rsidRPr="003B28FD" w:rsidRDefault="00411620" w:rsidP="00411620">
      <w:pPr>
        <w:spacing w:line="216" w:lineRule="auto"/>
        <w:rPr>
          <w:bCs/>
          <w:i/>
          <w:sz w:val="23"/>
          <w:szCs w:val="23"/>
          <w:rtl/>
        </w:rPr>
      </w:pPr>
      <w:r w:rsidRPr="003B28FD">
        <w:rPr>
          <w:rFonts w:hint="cs"/>
          <w:bCs/>
          <w:i/>
          <w:sz w:val="23"/>
          <w:szCs w:val="23"/>
          <w:rtl/>
        </w:rPr>
        <w:t>الف: راه حل مدل متمرکز</w:t>
      </w:r>
    </w:p>
    <w:p w14:paraId="13028659" w14:textId="77777777" w:rsidR="00411620" w:rsidRPr="003B28FD" w:rsidRDefault="00411620" w:rsidP="00411620">
      <w:pPr>
        <w:spacing w:line="216" w:lineRule="auto"/>
        <w:rPr>
          <w:i/>
          <w:sz w:val="23"/>
          <w:szCs w:val="23"/>
          <w:rtl/>
        </w:rPr>
      </w:pPr>
      <w:r w:rsidRPr="003B28FD">
        <w:rPr>
          <w:rFonts w:hint="cs"/>
          <w:i/>
          <w:sz w:val="23"/>
          <w:szCs w:val="23"/>
          <w:rtl/>
        </w:rPr>
        <w:t>در این قسمت چون رفتار خانوار توسط برنامه</w:t>
      </w:r>
      <w:r w:rsidRPr="003B28FD">
        <w:rPr>
          <w:i/>
          <w:sz w:val="23"/>
          <w:szCs w:val="23"/>
          <w:rtl/>
        </w:rPr>
        <w:softHyphen/>
      </w:r>
      <w:r w:rsidRPr="003B28FD">
        <w:rPr>
          <w:rFonts w:hint="cs"/>
          <w:i/>
          <w:sz w:val="23"/>
          <w:szCs w:val="23"/>
          <w:rtl/>
        </w:rPr>
        <w:t>ریز متمرکز یا دولت تعیین می</w:t>
      </w:r>
      <w:r w:rsidRPr="003B28FD">
        <w:rPr>
          <w:i/>
          <w:sz w:val="23"/>
          <w:szCs w:val="23"/>
          <w:rtl/>
        </w:rPr>
        <w:softHyphen/>
      </w:r>
      <w:r w:rsidRPr="003B28FD">
        <w:rPr>
          <w:rFonts w:hint="cs"/>
          <w:i/>
          <w:sz w:val="23"/>
          <w:szCs w:val="23"/>
          <w:rtl/>
        </w:rPr>
        <w:t xml:space="preserve">شود، لذا فقط </w:t>
      </w:r>
      <w:r w:rsidRPr="003B28FD">
        <w:rPr>
          <w:i/>
          <w:sz w:val="23"/>
          <w:szCs w:val="23"/>
          <w:rtl/>
        </w:rPr>
        <w:t>مسئله</w:t>
      </w:r>
      <w:r w:rsidRPr="003B28FD">
        <w:rPr>
          <w:i/>
          <w:sz w:val="23"/>
          <w:szCs w:val="23"/>
          <w:rtl/>
        </w:rPr>
        <w:softHyphen/>
      </w:r>
      <w:r w:rsidRPr="003B28FD">
        <w:rPr>
          <w:rFonts w:hint="cs"/>
          <w:i/>
          <w:sz w:val="23"/>
          <w:szCs w:val="23"/>
          <w:rtl/>
        </w:rPr>
        <w:t>ی</w:t>
      </w:r>
      <w:r w:rsidRPr="003B28FD">
        <w:rPr>
          <w:i/>
          <w:sz w:val="23"/>
          <w:szCs w:val="23"/>
          <w:rtl/>
        </w:rPr>
        <w:t xml:space="preserve"> دولت</w:t>
      </w:r>
      <w:r w:rsidRPr="003B28FD">
        <w:rPr>
          <w:rFonts w:hint="cs"/>
          <w:i/>
          <w:sz w:val="23"/>
          <w:szCs w:val="23"/>
          <w:rtl/>
        </w:rPr>
        <w:t xml:space="preserve"> که عبارت است از </w:t>
      </w:r>
      <w:r w:rsidRPr="003B28FD">
        <w:rPr>
          <w:i/>
          <w:sz w:val="23"/>
          <w:szCs w:val="23"/>
          <w:rtl/>
        </w:rPr>
        <w:t xml:space="preserve">حداكثر كردن </w:t>
      </w:r>
      <w:r w:rsidRPr="003B28FD">
        <w:rPr>
          <w:rFonts w:hint="cs"/>
          <w:i/>
          <w:sz w:val="23"/>
          <w:szCs w:val="23"/>
          <w:rtl/>
        </w:rPr>
        <w:t>مطلوبیت</w:t>
      </w:r>
      <w:r w:rsidRPr="003B28FD">
        <w:rPr>
          <w:i/>
          <w:sz w:val="23"/>
          <w:szCs w:val="23"/>
          <w:rtl/>
        </w:rPr>
        <w:t xml:space="preserve"> </w:t>
      </w:r>
      <w:r w:rsidRPr="003B28FD">
        <w:rPr>
          <w:rFonts w:hint="cs"/>
          <w:i/>
          <w:sz w:val="23"/>
          <w:szCs w:val="23"/>
          <w:rtl/>
        </w:rPr>
        <w:t>خانوار</w:t>
      </w:r>
      <w:r w:rsidRPr="003B28FD">
        <w:rPr>
          <w:i/>
          <w:sz w:val="23"/>
          <w:szCs w:val="23"/>
          <w:rtl/>
        </w:rPr>
        <w:t xml:space="preserve"> نسبت به قي</w:t>
      </w:r>
      <w:r w:rsidRPr="003B28FD">
        <w:rPr>
          <w:rFonts w:hint="cs"/>
          <w:i/>
          <w:sz w:val="23"/>
          <w:szCs w:val="23"/>
          <w:rtl/>
        </w:rPr>
        <w:t>و</w:t>
      </w:r>
      <w:r w:rsidRPr="003B28FD">
        <w:rPr>
          <w:i/>
          <w:sz w:val="23"/>
          <w:szCs w:val="23"/>
          <w:rtl/>
        </w:rPr>
        <w:t>د بين دوره</w:t>
      </w:r>
      <w:r w:rsidRPr="003B28FD">
        <w:rPr>
          <w:i/>
          <w:sz w:val="23"/>
          <w:szCs w:val="23"/>
          <w:rtl/>
        </w:rPr>
        <w:softHyphen/>
        <w:t xml:space="preserve">اي اقتصاد </w:t>
      </w:r>
      <w:r w:rsidRPr="003B28FD">
        <w:rPr>
          <w:rFonts w:hint="cs"/>
          <w:i/>
          <w:sz w:val="23"/>
          <w:szCs w:val="23"/>
          <w:rtl/>
        </w:rPr>
        <w:t>را بررسی می</w:t>
      </w:r>
      <w:r w:rsidRPr="003B28FD">
        <w:rPr>
          <w:i/>
          <w:sz w:val="23"/>
          <w:szCs w:val="23"/>
          <w:rtl/>
        </w:rPr>
        <w:softHyphen/>
      </w:r>
      <w:r w:rsidRPr="003B28FD">
        <w:rPr>
          <w:rFonts w:hint="cs"/>
          <w:i/>
          <w:sz w:val="23"/>
          <w:szCs w:val="23"/>
          <w:rtl/>
        </w:rPr>
        <w:t xml:space="preserve">کنیم. </w:t>
      </w:r>
      <w:r w:rsidRPr="003B28FD">
        <w:rPr>
          <w:i/>
          <w:sz w:val="23"/>
          <w:szCs w:val="23"/>
          <w:rtl/>
        </w:rPr>
        <w:t>از ر</w:t>
      </w:r>
      <w:r w:rsidRPr="003B28FD">
        <w:rPr>
          <w:rFonts w:hint="cs"/>
          <w:i/>
          <w:sz w:val="23"/>
          <w:szCs w:val="23"/>
          <w:rtl/>
        </w:rPr>
        <w:t>و</w:t>
      </w:r>
      <w:r w:rsidRPr="003B28FD">
        <w:rPr>
          <w:i/>
          <w:sz w:val="23"/>
          <w:szCs w:val="23"/>
          <w:rtl/>
        </w:rPr>
        <w:t xml:space="preserve">ابط </w:t>
      </w:r>
      <w:r w:rsidRPr="003B28FD">
        <w:rPr>
          <w:rFonts w:hint="cs"/>
          <w:i/>
          <w:sz w:val="23"/>
          <w:szCs w:val="23"/>
          <w:rtl/>
        </w:rPr>
        <w:t>(۶. ۱)</w:t>
      </w:r>
      <w:r w:rsidRPr="003B28FD">
        <w:rPr>
          <w:rFonts w:eastAsiaTheme="minorEastAsia"/>
          <w:i/>
          <w:sz w:val="23"/>
          <w:szCs w:val="23"/>
        </w:rPr>
        <w:t xml:space="preserve"> </w:t>
      </w:r>
      <w:r w:rsidRPr="003B28FD">
        <w:rPr>
          <w:rFonts w:eastAsiaTheme="minorEastAsia" w:hint="cs"/>
          <w:i/>
          <w:sz w:val="23"/>
          <w:szCs w:val="23"/>
          <w:rtl/>
        </w:rPr>
        <w:t>یا قید منبع اقتصاد در زمان</w:t>
      </w:r>
      <w:r w:rsidRPr="003B28FD">
        <w:rPr>
          <w:position w:val="-6"/>
        </w:rPr>
        <w:object w:dxaOrig="139" w:dyaOrig="240" w14:anchorId="0F15EA14">
          <v:shape id="_x0000_i3059" type="#_x0000_t75" style="width:7.25pt;height:12.1pt" o:ole="">
            <v:imagedata r:id="rId4103" o:title=""/>
          </v:shape>
          <o:OLEObject Type="Embed" ProgID="Equation.DSMT4" ShapeID="_x0000_i3059" DrawAspect="Content" ObjectID="_1791377003" r:id="rId4104"/>
        </w:object>
      </w:r>
      <w:r w:rsidRPr="003B28FD">
        <w:rPr>
          <w:rFonts w:eastAsiaTheme="minorEastAsia" w:hint="cs"/>
          <w:i/>
          <w:sz w:val="23"/>
          <w:szCs w:val="23"/>
          <w:rtl/>
        </w:rPr>
        <w:t xml:space="preserve"> (چون مخارج دولت برابر صفر است لذا قید منبع اقتصاد همان قید بودجه</w:t>
      </w:r>
      <w:r w:rsidRPr="003B28FD">
        <w:rPr>
          <w:rFonts w:eastAsiaTheme="minorEastAsia"/>
          <w:i/>
          <w:sz w:val="23"/>
          <w:szCs w:val="23"/>
          <w:rtl/>
        </w:rPr>
        <w:softHyphen/>
      </w:r>
      <w:r w:rsidRPr="003B28FD">
        <w:rPr>
          <w:rFonts w:eastAsiaTheme="minorEastAsia" w:hint="cs"/>
          <w:i/>
          <w:sz w:val="23"/>
          <w:szCs w:val="23"/>
          <w:rtl/>
        </w:rPr>
        <w:t xml:space="preserve">ی خانوار خواهد بود) و همچنین </w:t>
      </w:r>
      <w:r w:rsidRPr="003B28FD">
        <w:rPr>
          <w:rFonts w:hint="cs"/>
          <w:i/>
          <w:sz w:val="23"/>
          <w:szCs w:val="23"/>
          <w:rtl/>
        </w:rPr>
        <w:t>(۶. ۲)</w:t>
      </w:r>
      <w:r w:rsidRPr="003B28FD">
        <w:rPr>
          <w:rFonts w:eastAsiaTheme="minorEastAsia" w:hint="cs"/>
          <w:i/>
          <w:sz w:val="23"/>
          <w:szCs w:val="23"/>
          <w:rtl/>
        </w:rPr>
        <w:t xml:space="preserve"> یعنی قید منبع اقتصاد در زمان </w:t>
      </w:r>
      <w:r w:rsidRPr="003B28FD">
        <w:rPr>
          <w:position w:val="-6"/>
        </w:rPr>
        <w:object w:dxaOrig="440" w:dyaOrig="260" w14:anchorId="56C1C407">
          <v:shape id="_x0000_i3060" type="#_x0000_t75" style="width:21.8pt;height:13.3pt" o:ole="">
            <v:imagedata r:id="rId4105" o:title=""/>
          </v:shape>
          <o:OLEObject Type="Embed" ProgID="Equation.DSMT4" ShapeID="_x0000_i3060" DrawAspect="Content" ObjectID="_1791377004" r:id="rId4106"/>
        </w:object>
      </w:r>
      <w:r w:rsidRPr="003B28FD">
        <w:rPr>
          <w:rFonts w:eastAsiaTheme="minorEastAsia" w:hint="cs"/>
          <w:i/>
          <w:sz w:val="23"/>
          <w:szCs w:val="23"/>
          <w:rtl/>
        </w:rPr>
        <w:t xml:space="preserve"> </w:t>
      </w:r>
      <w:r w:rsidRPr="003B28FD">
        <w:rPr>
          <w:rFonts w:hint="cs"/>
          <w:i/>
          <w:sz w:val="23"/>
          <w:szCs w:val="23"/>
          <w:rtl/>
        </w:rPr>
        <w:t>داشتیم،</w:t>
      </w:r>
      <w:r w:rsidRPr="003B28FD">
        <w:rPr>
          <w:i/>
          <w:sz w:val="23"/>
          <w:szCs w:val="23"/>
          <w:rtl/>
        </w:rPr>
        <w:t xml:space="preserve"> </w:t>
      </w:r>
    </w:p>
    <w:p w14:paraId="62E8B6D5" w14:textId="77777777" w:rsidR="00411620" w:rsidRPr="003B28FD" w:rsidRDefault="00411620" w:rsidP="00411620">
      <w:pPr>
        <w:pStyle w:val="MTDisplayEquation"/>
        <w:spacing w:line="216" w:lineRule="auto"/>
        <w:jc w:val="left"/>
        <w:rPr>
          <w:rFonts w:ascii="Times New Roman" w:eastAsiaTheme="minorEastAsia" w:hAnsi="Times New Roman" w:cs="B Nazanin"/>
          <w:i/>
          <w:sz w:val="23"/>
          <w:szCs w:val="23"/>
        </w:rPr>
      </w:pPr>
      <w:r w:rsidRPr="003B28FD">
        <w:rPr>
          <w:position w:val="-12"/>
        </w:rPr>
        <w:object w:dxaOrig="4300" w:dyaOrig="360" w14:anchorId="628A1450">
          <v:shape id="_x0000_i3061" type="#_x0000_t75" style="width:214.8pt;height:18.15pt" o:ole="">
            <v:imagedata r:id="rId4107" o:title=""/>
          </v:shape>
          <o:OLEObject Type="Embed" ProgID="Equation.DSMT4" ShapeID="_x0000_i3061" DrawAspect="Content" ObjectID="_1791377005" r:id="rId4108"/>
        </w:object>
      </w:r>
    </w:p>
    <w:p w14:paraId="14BAF38E"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3B28FD">
        <w:rPr>
          <w:position w:val="-28"/>
        </w:rPr>
        <w:object w:dxaOrig="3519" w:dyaOrig="660" w14:anchorId="663A1DBF">
          <v:shape id="_x0000_i3062" type="#_x0000_t75" style="width:176.05pt;height:32.65pt" o:ole="">
            <v:imagedata r:id="rId4109" o:title=""/>
          </v:shape>
          <o:OLEObject Type="Embed" ProgID="Equation.DSMT4" ShapeID="_x0000_i3062" DrawAspect="Content" ObjectID="_1791377006" r:id="rId4110"/>
        </w:object>
      </w:r>
    </w:p>
    <w:p w14:paraId="631E50D2" w14:textId="77777777" w:rsidR="00411620" w:rsidRPr="003B28FD" w:rsidRDefault="00411620" w:rsidP="00411620">
      <w:pPr>
        <w:spacing w:line="216" w:lineRule="auto"/>
        <w:rPr>
          <w:i/>
          <w:sz w:val="23"/>
          <w:szCs w:val="23"/>
        </w:rPr>
      </w:pPr>
      <w:r w:rsidRPr="003B28FD">
        <w:rPr>
          <w:rFonts w:hint="cs"/>
          <w:i/>
          <w:sz w:val="23"/>
          <w:szCs w:val="23"/>
          <w:rtl/>
        </w:rPr>
        <w:t>بنابراین قید منبع اقتصاد برای هر دو دوره عبارت است از</w:t>
      </w:r>
      <w:r w:rsidRPr="003B28FD">
        <w:rPr>
          <w:i/>
          <w:sz w:val="23"/>
          <w:szCs w:val="23"/>
          <w:rtl/>
        </w:rPr>
        <w:t xml:space="preserve"> </w:t>
      </w:r>
    </w:p>
    <w:p w14:paraId="1D0F7802" w14:textId="77777777" w:rsidR="00411620" w:rsidRPr="003B28FD" w:rsidRDefault="00411620" w:rsidP="00411620">
      <w:pPr>
        <w:bidi w:val="0"/>
        <w:spacing w:line="216" w:lineRule="auto"/>
        <w:rPr>
          <w:i/>
          <w:sz w:val="23"/>
          <w:szCs w:val="23"/>
          <w:rtl/>
        </w:rPr>
      </w:pPr>
      <w:r w:rsidRPr="003B28FD">
        <w:rPr>
          <w:position w:val="-34"/>
        </w:rPr>
        <w:object w:dxaOrig="4200" w:dyaOrig="800" w14:anchorId="5E941CAD">
          <v:shape id="_x0000_i3063" type="#_x0000_t75" style="width:209.95pt;height:39.95pt" o:ole="">
            <v:imagedata r:id="rId4111" o:title=""/>
          </v:shape>
          <o:OLEObject Type="Embed" ProgID="Equation.DSMT4" ShapeID="_x0000_i3063" DrawAspect="Content" ObjectID="_1791377007" r:id="rId4112"/>
        </w:object>
      </w:r>
      <w:r>
        <w:rPr>
          <w:rtl/>
        </w:rPr>
        <w:tab/>
      </w:r>
      <w:r>
        <w:rPr>
          <w:rtl/>
        </w:rPr>
        <w:tab/>
      </w:r>
      <w:r w:rsidRPr="003B28FD">
        <w:rPr>
          <w:rFonts w:eastAsiaTheme="minorEastAsia"/>
          <w:i/>
          <w:sz w:val="23"/>
          <w:szCs w:val="23"/>
          <w:rtl/>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tl/>
        </w:rPr>
        <w:tab/>
      </w:r>
      <w:r w:rsidRPr="003B28FD">
        <w:rPr>
          <w:rFonts w:eastAsiaTheme="minorEastAsia"/>
          <w:i/>
          <w:sz w:val="23"/>
          <w:szCs w:val="23"/>
          <w:rtl/>
        </w:rPr>
        <w:tab/>
      </w:r>
      <w:r w:rsidRPr="003B28FD">
        <w:rPr>
          <w:rFonts w:eastAsiaTheme="minorEastAsia" w:hint="cs"/>
          <w:i/>
          <w:sz w:val="23"/>
          <w:szCs w:val="23"/>
          <w:rtl/>
        </w:rPr>
        <w:t>(۶. ۶)</w:t>
      </w:r>
    </w:p>
    <w:p w14:paraId="757BB7E5" w14:textId="77777777" w:rsidR="00411620" w:rsidRPr="003B28FD" w:rsidRDefault="00411620" w:rsidP="00411620">
      <w:pPr>
        <w:spacing w:line="216" w:lineRule="auto"/>
        <w:rPr>
          <w:i/>
          <w:sz w:val="23"/>
          <w:szCs w:val="23"/>
          <w:rtl/>
        </w:rPr>
      </w:pPr>
      <w:r w:rsidRPr="003B28FD">
        <w:rPr>
          <w:rFonts w:hint="cs"/>
          <w:i/>
          <w:sz w:val="23"/>
          <w:szCs w:val="23"/>
          <w:rtl/>
        </w:rPr>
        <w:t>اگر مطلوبیت تنزیل شده</w:t>
      </w:r>
      <w:r w:rsidRPr="003B28FD">
        <w:rPr>
          <w:i/>
          <w:sz w:val="23"/>
          <w:szCs w:val="23"/>
          <w:rtl/>
        </w:rPr>
        <w:softHyphen/>
      </w:r>
      <w:r w:rsidRPr="003B28FD">
        <w:rPr>
          <w:rFonts w:hint="cs"/>
          <w:i/>
          <w:sz w:val="23"/>
          <w:szCs w:val="23"/>
          <w:rtl/>
        </w:rPr>
        <w:t xml:space="preserve">ی خانوار را برای دو دوره به صورت زیر تعریف کنیم </w:t>
      </w:r>
    </w:p>
    <w:p w14:paraId="264ABDDC" w14:textId="77777777" w:rsidR="00411620" w:rsidRPr="003B28FD" w:rsidRDefault="00411620" w:rsidP="00411620">
      <w:pPr>
        <w:bidi w:val="0"/>
        <w:spacing w:line="216" w:lineRule="auto"/>
        <w:rPr>
          <w:i/>
          <w:sz w:val="23"/>
          <w:szCs w:val="23"/>
          <w:rtl/>
        </w:rPr>
      </w:pPr>
      <w:r w:rsidRPr="003B28FD">
        <w:rPr>
          <w:rFonts w:hint="cs"/>
          <w:i/>
          <w:sz w:val="23"/>
          <w:szCs w:val="23"/>
          <w:rtl/>
        </w:rPr>
        <w:t xml:space="preserve"> </w:t>
      </w:r>
      <w:r w:rsidRPr="003B28FD">
        <w:rPr>
          <w:position w:val="-12"/>
        </w:rPr>
        <w:object w:dxaOrig="3960" w:dyaOrig="360" w14:anchorId="731CEF16">
          <v:shape id="_x0000_i3064" type="#_x0000_t75" style="width:198.45pt;height:18.15pt" o:ole="">
            <v:imagedata r:id="rId4113" o:title=""/>
          </v:shape>
          <o:OLEObject Type="Embed" ProgID="Equation.DSMT4" ShapeID="_x0000_i3064" DrawAspect="Content" ObjectID="_1791377008" r:id="rId4114"/>
        </w:object>
      </w:r>
    </w:p>
    <w:p w14:paraId="1C626988" w14:textId="77777777" w:rsidR="00411620" w:rsidRPr="003B28FD" w:rsidRDefault="00411620" w:rsidP="00411620">
      <w:pPr>
        <w:spacing w:line="216" w:lineRule="auto"/>
        <w:rPr>
          <w:i/>
          <w:sz w:val="23"/>
          <w:szCs w:val="23"/>
          <w:rtl/>
        </w:rPr>
      </w:pPr>
      <w:r w:rsidRPr="003B28FD">
        <w:rPr>
          <w:rFonts w:hint="cs"/>
          <w:i/>
          <w:sz w:val="23"/>
          <w:szCs w:val="23"/>
          <w:rtl/>
        </w:rPr>
        <w:t xml:space="preserve">آنگاه لاگرانژین این مسئله </w:t>
      </w:r>
      <w:r w:rsidRPr="003B28FD">
        <w:rPr>
          <w:i/>
          <w:sz w:val="23"/>
          <w:szCs w:val="23"/>
          <w:rtl/>
        </w:rPr>
        <w:t xml:space="preserve">عبارت </w:t>
      </w:r>
      <w:r w:rsidRPr="003B28FD">
        <w:rPr>
          <w:rFonts w:hint="cs"/>
          <w:i/>
          <w:sz w:val="23"/>
          <w:szCs w:val="23"/>
          <w:rtl/>
        </w:rPr>
        <w:t xml:space="preserve">خواهد بود </w:t>
      </w:r>
      <w:r w:rsidRPr="003B28FD">
        <w:rPr>
          <w:i/>
          <w:sz w:val="23"/>
          <w:szCs w:val="23"/>
          <w:rtl/>
        </w:rPr>
        <w:t xml:space="preserve">از </w:t>
      </w:r>
    </w:p>
    <w:p w14:paraId="06773A43"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Pr>
      </w:pPr>
      <w:r w:rsidRPr="003B28FD">
        <w:rPr>
          <w:position w:val="-36"/>
        </w:rPr>
        <w:object w:dxaOrig="4440" w:dyaOrig="840" w14:anchorId="380D21D1">
          <v:shape id="_x0000_i3065" type="#_x0000_t75" style="width:222.05pt;height:41.75pt" o:ole="">
            <v:imagedata r:id="rId4115" o:title=""/>
          </v:shape>
          <o:OLEObject Type="Embed" ProgID="Equation.DSMT4" ShapeID="_x0000_i3065" DrawAspect="Content" ObjectID="_1791377009" r:id="rId4116"/>
        </w:object>
      </w:r>
      <w:r w:rsidRPr="003B28FD">
        <w:rPr>
          <w:rFonts w:ascii="Times New Roman" w:eastAsiaTheme="minorEastAsia" w:hAnsi="Times New Roman" w:cs="B Nazanin"/>
          <w:i/>
          <w:sz w:val="23"/>
          <w:szCs w:val="23"/>
        </w:rPr>
        <w:t xml:space="preserve"> </w:t>
      </w:r>
    </w:p>
    <w:p w14:paraId="2702C421" w14:textId="77777777" w:rsidR="00411620" w:rsidRPr="003B28FD" w:rsidRDefault="00411620" w:rsidP="00411620">
      <w:pPr>
        <w:spacing w:line="216" w:lineRule="auto"/>
        <w:rPr>
          <w:i/>
          <w:sz w:val="23"/>
          <w:szCs w:val="23"/>
          <w:rtl/>
        </w:rPr>
      </w:pPr>
      <w:r w:rsidRPr="003B28FD">
        <w:rPr>
          <w:i/>
          <w:sz w:val="23"/>
          <w:szCs w:val="23"/>
          <w:rtl/>
        </w:rPr>
        <w:t>چون در دور</w:t>
      </w:r>
      <w:r w:rsidRPr="003B28FD">
        <w:rPr>
          <w:rFonts w:hint="cs"/>
          <w:i/>
          <w:sz w:val="23"/>
          <w:szCs w:val="23"/>
          <w:rtl/>
        </w:rPr>
        <w:t>ۀ</w:t>
      </w:r>
      <w:r w:rsidRPr="003B28FD">
        <w:rPr>
          <w:i/>
          <w:sz w:val="23"/>
          <w:szCs w:val="23"/>
          <w:rtl/>
        </w:rPr>
        <w:t xml:space="preserve"> او</w:t>
      </w:r>
      <w:r w:rsidRPr="003B28FD">
        <w:rPr>
          <w:rFonts w:hint="cs"/>
          <w:i/>
          <w:sz w:val="23"/>
          <w:szCs w:val="23"/>
          <w:rtl/>
        </w:rPr>
        <w:t>ل داشتیم</w:t>
      </w:r>
      <w:r w:rsidRPr="003B28FD">
        <w:rPr>
          <w:position w:val="-10"/>
        </w:rPr>
        <w:object w:dxaOrig="1020" w:dyaOrig="320" w14:anchorId="6AD72E75">
          <v:shape id="_x0000_i3066" type="#_x0000_t75" style="width:51.45pt;height:16.35pt" o:ole="">
            <v:imagedata r:id="rId4117" o:title=""/>
          </v:shape>
          <o:OLEObject Type="Embed" ProgID="Equation.DSMT4" ShapeID="_x0000_i3066" DrawAspect="Content" ObjectID="_1791377010" r:id="rId4118"/>
        </w:object>
      </w:r>
      <w:r w:rsidRPr="003B28FD">
        <w:rPr>
          <w:i/>
          <w:sz w:val="23"/>
          <w:szCs w:val="23"/>
          <w:rtl/>
        </w:rPr>
        <w:t xml:space="preserve"> لذا </w:t>
      </w:r>
      <w:r w:rsidRPr="003B28FD">
        <w:rPr>
          <w:rFonts w:hint="cs"/>
          <w:i/>
          <w:sz w:val="23"/>
          <w:szCs w:val="23"/>
          <w:rtl/>
        </w:rPr>
        <w:t>شرایط مرتبه</w:t>
      </w:r>
      <w:r w:rsidRPr="003B28FD">
        <w:rPr>
          <w:i/>
          <w:sz w:val="23"/>
          <w:szCs w:val="23"/>
          <w:rtl/>
        </w:rPr>
        <w:softHyphen/>
      </w:r>
      <w:r w:rsidRPr="003B28FD">
        <w:rPr>
          <w:rFonts w:hint="cs"/>
          <w:i/>
          <w:sz w:val="23"/>
          <w:szCs w:val="23"/>
          <w:rtl/>
        </w:rPr>
        <w:t>ی اول را</w:t>
      </w:r>
      <w:r w:rsidRPr="003B28FD">
        <w:rPr>
          <w:i/>
          <w:sz w:val="23"/>
          <w:szCs w:val="23"/>
          <w:rtl/>
        </w:rPr>
        <w:t xml:space="preserve"> نسبت به</w:t>
      </w:r>
      <w:r w:rsidRPr="003B28FD">
        <w:rPr>
          <w:position w:val="-10"/>
        </w:rPr>
        <w:object w:dxaOrig="660" w:dyaOrig="320" w14:anchorId="5C1E2F0B">
          <v:shape id="_x0000_i3067" type="#_x0000_t75" style="width:32.65pt;height:16.35pt" o:ole="">
            <v:imagedata r:id="rId4119" o:title=""/>
          </v:shape>
          <o:OLEObject Type="Embed" ProgID="Equation.DSMT4" ShapeID="_x0000_i3067" DrawAspect="Content" ObjectID="_1791377011" r:id="rId4120"/>
        </w:object>
      </w:r>
      <w:r w:rsidRPr="003B28FD">
        <w:rPr>
          <w:i/>
          <w:sz w:val="23"/>
          <w:szCs w:val="23"/>
          <w:rtl/>
        </w:rPr>
        <w:t xml:space="preserve"> </w:t>
      </w:r>
      <w:r w:rsidRPr="003B28FD">
        <w:rPr>
          <w:rFonts w:hint="cs"/>
          <w:i/>
          <w:sz w:val="23"/>
          <w:szCs w:val="23"/>
          <w:rtl/>
        </w:rPr>
        <w:t>بررسی نخواهیم کرد.</w:t>
      </w:r>
      <w:r w:rsidRPr="003B28FD">
        <w:rPr>
          <w:i/>
          <w:sz w:val="23"/>
          <w:szCs w:val="23"/>
          <w:rtl/>
        </w:rPr>
        <w:t xml:space="preserve"> </w:t>
      </w:r>
      <w:r w:rsidRPr="003B28FD">
        <w:rPr>
          <w:rFonts w:hint="cs"/>
          <w:i/>
          <w:sz w:val="23"/>
          <w:szCs w:val="23"/>
          <w:rtl/>
        </w:rPr>
        <w:t xml:space="preserve">ضمناً </w:t>
      </w:r>
      <w:r w:rsidRPr="003B28FD">
        <w:rPr>
          <w:position w:val="-10"/>
        </w:rPr>
        <w:object w:dxaOrig="859" w:dyaOrig="320" w14:anchorId="0CFFB29C">
          <v:shape id="_x0000_i3068" type="#_x0000_t75" style="width:42.95pt;height:16.35pt" o:ole="">
            <v:imagedata r:id="rId4121" o:title=""/>
          </v:shape>
          <o:OLEObject Type="Embed" ProgID="Equation.DSMT4" ShapeID="_x0000_i3068" DrawAspect="Content" ObjectID="_1791377012" r:id="rId4122"/>
        </w:object>
      </w:r>
      <w:r w:rsidRPr="003B28FD">
        <w:rPr>
          <w:rFonts w:hint="cs"/>
          <w:i/>
          <w:sz w:val="23"/>
          <w:szCs w:val="23"/>
          <w:rtl/>
        </w:rPr>
        <w:t xml:space="preserve"> است. از شروط مرتبه اول داریم</w:t>
      </w:r>
      <w:r w:rsidRPr="003B28FD">
        <w:rPr>
          <w:i/>
          <w:sz w:val="23"/>
          <w:szCs w:val="23"/>
          <w:rtl/>
        </w:rPr>
        <w:t xml:space="preserve"> </w:t>
      </w:r>
    </w:p>
    <w:p w14:paraId="302AEAC6"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3B28FD">
        <w:rPr>
          <w:position w:val="-28"/>
        </w:rPr>
        <w:object w:dxaOrig="2220" w:dyaOrig="620" w14:anchorId="4873B694">
          <v:shape id="_x0000_i3069" type="#_x0000_t75" style="width:110.7pt;height:30.85pt" o:ole="">
            <v:imagedata r:id="rId4123" o:title=""/>
          </v:shape>
          <o:OLEObject Type="Embed" ProgID="Equation.DSMT4" ShapeID="_x0000_i3069" DrawAspect="Content" ObjectID="_1791377013" r:id="rId4124"/>
        </w:object>
      </w:r>
    </w:p>
    <w:p w14:paraId="797D7E06"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3B28FD">
        <w:rPr>
          <w:position w:val="-28"/>
        </w:rPr>
        <w:object w:dxaOrig="2079" w:dyaOrig="620" w14:anchorId="1A30368B">
          <v:shape id="_x0000_i3070" type="#_x0000_t75" style="width:104.05pt;height:30.85pt" o:ole="">
            <v:imagedata r:id="rId4125" o:title=""/>
          </v:shape>
          <o:OLEObject Type="Embed" ProgID="Equation.DSMT4" ShapeID="_x0000_i3070" DrawAspect="Content" ObjectID="_1791377014" r:id="rId4126"/>
        </w:object>
      </w:r>
    </w:p>
    <w:p w14:paraId="5E58B30D" w14:textId="77777777" w:rsidR="00411620" w:rsidRPr="003B28FD" w:rsidRDefault="00411620" w:rsidP="00411620">
      <w:pPr>
        <w:pStyle w:val="MTDisplayEquation"/>
        <w:spacing w:line="216" w:lineRule="auto"/>
        <w:rPr>
          <w:rFonts w:ascii="Times New Roman" w:hAnsi="Times New Roman" w:cs="B Nazanin"/>
          <w:i/>
          <w:sz w:val="23"/>
          <w:szCs w:val="23"/>
          <w:rtl/>
        </w:rPr>
      </w:pPr>
      <w:r w:rsidRPr="003B28FD">
        <w:rPr>
          <w:position w:val="-28"/>
        </w:rPr>
        <w:object w:dxaOrig="2799" w:dyaOrig="620" w14:anchorId="46A91FC1">
          <v:shape id="_x0000_i3071" type="#_x0000_t75" style="width:139.75pt;height:30.85pt" o:ole="">
            <v:imagedata r:id="rId4127" o:title=""/>
          </v:shape>
          <o:OLEObject Type="Embed" ProgID="Equation.DSMT4" ShapeID="_x0000_i3071" DrawAspect="Content" ObjectID="_1791377015" r:id="rId4128"/>
        </w:object>
      </w:r>
    </w:p>
    <w:p w14:paraId="0BD9D1C4"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3B28FD">
        <w:rPr>
          <w:position w:val="-28"/>
        </w:rPr>
        <w:object w:dxaOrig="2280" w:dyaOrig="620" w14:anchorId="6133FDDC">
          <v:shape id="_x0000_i3072" type="#_x0000_t75" style="width:113.75pt;height:30.85pt" o:ole="">
            <v:imagedata r:id="rId4129" o:title=""/>
          </v:shape>
          <o:OLEObject Type="Embed" ProgID="Equation.DSMT4" ShapeID="_x0000_i3072" DrawAspect="Content" ObjectID="_1791377016" r:id="rId4130"/>
        </w:object>
      </w:r>
    </w:p>
    <w:p w14:paraId="3E511017" w14:textId="77777777" w:rsidR="00411620" w:rsidRPr="003B28FD" w:rsidRDefault="00411620" w:rsidP="00411620">
      <w:pPr>
        <w:spacing w:line="216" w:lineRule="auto"/>
        <w:rPr>
          <w:i/>
          <w:sz w:val="23"/>
          <w:szCs w:val="23"/>
          <w:rtl/>
        </w:rPr>
      </w:pPr>
      <w:r w:rsidRPr="003B28FD">
        <w:rPr>
          <w:rFonts w:hint="cs"/>
          <w:i/>
          <w:sz w:val="23"/>
          <w:szCs w:val="23"/>
          <w:rtl/>
        </w:rPr>
        <w:t>بنابراین</w:t>
      </w:r>
    </w:p>
    <w:p w14:paraId="46E30B8F" w14:textId="77777777" w:rsidR="00411620" w:rsidRPr="003B28FD" w:rsidRDefault="00411620" w:rsidP="00411620">
      <w:pPr>
        <w:bidi w:val="0"/>
        <w:spacing w:line="216" w:lineRule="auto"/>
        <w:jc w:val="left"/>
        <w:rPr>
          <w:i/>
          <w:sz w:val="23"/>
          <w:szCs w:val="23"/>
        </w:rPr>
      </w:pPr>
      <w:r w:rsidRPr="003B28FD">
        <w:rPr>
          <w:position w:val="-12"/>
        </w:rPr>
        <w:object w:dxaOrig="2380" w:dyaOrig="360" w14:anchorId="229EDD74">
          <v:shape id="_x0000_i3073" type="#_x0000_t75" style="width:119.2pt;height:18.15pt" o:ole="">
            <v:imagedata r:id="rId4131" o:title=""/>
          </v:shape>
          <o:OLEObject Type="Embed" ProgID="Equation.DSMT4" ShapeID="_x0000_i3073" DrawAspect="Content" ObjectID="_1791377017" r:id="rId4132"/>
        </w:object>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Pr>
          <w:i/>
          <w:sz w:val="23"/>
          <w:szCs w:val="23"/>
          <w:rtl/>
        </w:rPr>
        <w:tab/>
      </w:r>
      <w:r>
        <w:rPr>
          <w:i/>
          <w:sz w:val="23"/>
          <w:szCs w:val="23"/>
          <w:rtl/>
        </w:rPr>
        <w:tab/>
      </w:r>
      <w:r w:rsidRPr="003B28FD">
        <w:rPr>
          <w:i/>
          <w:sz w:val="23"/>
          <w:szCs w:val="23"/>
        </w:rPr>
        <w:tab/>
      </w:r>
      <w:r w:rsidRPr="003B28FD">
        <w:rPr>
          <w:i/>
          <w:sz w:val="23"/>
          <w:szCs w:val="23"/>
        </w:rPr>
        <w:tab/>
      </w:r>
      <w:r w:rsidRPr="003B28FD">
        <w:rPr>
          <w:i/>
          <w:sz w:val="23"/>
          <w:szCs w:val="23"/>
        </w:rPr>
        <w:tab/>
      </w:r>
      <w:r w:rsidRPr="003B28FD">
        <w:rPr>
          <w:rFonts w:hint="cs"/>
          <w:i/>
          <w:sz w:val="23"/>
          <w:szCs w:val="23"/>
          <w:rtl/>
        </w:rPr>
        <w:t>(۶. ۷)</w:t>
      </w:r>
      <w:r w:rsidRPr="003B28FD">
        <w:rPr>
          <w:rFonts w:eastAsiaTheme="minorEastAsia" w:hint="cs"/>
          <w:i/>
          <w:sz w:val="23"/>
          <w:szCs w:val="23"/>
          <w:rtl/>
        </w:rPr>
        <w:t xml:space="preserve"> </w:t>
      </w:r>
      <w:r w:rsidRPr="003B28FD">
        <w:rPr>
          <w:position w:val="-22"/>
        </w:rPr>
        <w:object w:dxaOrig="2340" w:dyaOrig="560" w14:anchorId="43A280A2">
          <v:shape id="_x0000_i3074" type="#_x0000_t75" style="width:117.4pt;height:27.85pt" o:ole="">
            <v:imagedata r:id="rId4133" o:title=""/>
          </v:shape>
          <o:OLEObject Type="Embed" ProgID="Equation.DSMT4" ShapeID="_x0000_i3074" DrawAspect="Content" ObjectID="_1791377018" r:id="rId4134"/>
        </w:object>
      </w:r>
      <w:r w:rsidRPr="003B28FD">
        <w:rPr>
          <w:i/>
          <w:sz w:val="23"/>
          <w:szCs w:val="23"/>
          <w:rtl/>
        </w:rPr>
        <w:tab/>
      </w:r>
      <w:r w:rsidRPr="003B28FD">
        <w:rPr>
          <w:i/>
          <w:sz w:val="23"/>
          <w:szCs w:val="23"/>
        </w:rPr>
        <w:tab/>
      </w:r>
      <w:r w:rsidRPr="003B28FD">
        <w:rPr>
          <w:i/>
          <w:sz w:val="23"/>
          <w:szCs w:val="23"/>
        </w:rPr>
        <w:tab/>
      </w:r>
      <w:r w:rsidRPr="003B28FD">
        <w:rPr>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Pr>
          <w:i/>
          <w:sz w:val="23"/>
          <w:szCs w:val="23"/>
          <w:rtl/>
        </w:rPr>
        <w:tab/>
      </w:r>
      <w:r>
        <w:rPr>
          <w:i/>
          <w:sz w:val="23"/>
          <w:szCs w:val="23"/>
          <w:rtl/>
        </w:rPr>
        <w:tab/>
      </w:r>
      <w:r w:rsidRPr="003B28FD">
        <w:rPr>
          <w:i/>
          <w:sz w:val="23"/>
          <w:szCs w:val="23"/>
          <w:rtl/>
        </w:rPr>
        <w:tab/>
      </w:r>
      <w:r w:rsidRPr="003B28FD">
        <w:rPr>
          <w:rFonts w:hint="cs"/>
          <w:i/>
          <w:sz w:val="23"/>
          <w:szCs w:val="23"/>
          <w:rtl/>
        </w:rPr>
        <w:t>(۶. ۸)</w:t>
      </w:r>
    </w:p>
    <w:p w14:paraId="0F3F588D" w14:textId="77777777" w:rsidR="00411620" w:rsidRPr="003B28FD" w:rsidRDefault="00411620" w:rsidP="00411620">
      <w:pPr>
        <w:bidi w:val="0"/>
        <w:spacing w:line="216" w:lineRule="auto"/>
        <w:rPr>
          <w:rFonts w:eastAsiaTheme="minorEastAsia"/>
          <w:i/>
          <w:sz w:val="23"/>
          <w:szCs w:val="23"/>
          <w:rtl/>
        </w:rPr>
      </w:pPr>
      <w:r w:rsidRPr="003B28FD">
        <w:rPr>
          <w:position w:val="-10"/>
        </w:rPr>
        <w:object w:dxaOrig="2500" w:dyaOrig="320" w14:anchorId="4C2DAA5B">
          <v:shape id="_x0000_i3075" type="#_x0000_t75" style="width:125.25pt;height:16.35pt" o:ole="">
            <v:imagedata r:id="rId4135" o:title=""/>
          </v:shape>
          <o:OLEObject Type="Embed" ProgID="Equation.DSMT4" ShapeID="_x0000_i3075" DrawAspect="Content" ObjectID="_1791377019" r:id="rId4136"/>
        </w:object>
      </w:r>
      <w:r w:rsidRPr="003B28FD">
        <w:rPr>
          <w:rFonts w:eastAsiaTheme="minorEastAsia" w:hint="cs"/>
          <w:i/>
          <w:sz w:val="23"/>
          <w:szCs w:val="23"/>
          <w:rtl/>
        </w:rPr>
        <w:t xml:space="preserve"> </w:t>
      </w:r>
      <w:r w:rsidRPr="003B28FD">
        <w:rPr>
          <w:rFonts w:eastAsiaTheme="minorEastAsia"/>
          <w:i/>
          <w:sz w:val="23"/>
          <w:szCs w:val="23"/>
          <w:rtl/>
        </w:rPr>
        <w:tab/>
      </w:r>
      <w:r w:rsidRPr="003B28FD">
        <w:rPr>
          <w:rFonts w:eastAsiaTheme="minorEastAsia"/>
          <w:i/>
          <w:sz w:val="23"/>
          <w:szCs w:val="23"/>
        </w:rPr>
        <w:tab/>
      </w:r>
      <w:r>
        <w:rPr>
          <w:rFonts w:eastAsiaTheme="minorEastAsia"/>
          <w:i/>
          <w:sz w:val="23"/>
          <w:szCs w:val="23"/>
          <w:rtl/>
        </w:rPr>
        <w:tab/>
      </w:r>
      <w:r>
        <w:rPr>
          <w:rFonts w:eastAsiaTheme="minorEastAsia"/>
          <w:i/>
          <w:sz w:val="23"/>
          <w:szCs w:val="23"/>
          <w:rtl/>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tl/>
        </w:rPr>
        <w:tab/>
      </w:r>
      <w:r w:rsidRPr="003B28FD">
        <w:rPr>
          <w:rFonts w:eastAsiaTheme="minorEastAsia"/>
          <w:i/>
          <w:sz w:val="23"/>
          <w:szCs w:val="23"/>
        </w:rPr>
        <w:tab/>
      </w:r>
      <w:r w:rsidRPr="003B28FD">
        <w:rPr>
          <w:rFonts w:eastAsiaTheme="minorEastAsia"/>
          <w:i/>
          <w:sz w:val="23"/>
          <w:szCs w:val="23"/>
          <w:rtl/>
        </w:rPr>
        <w:tab/>
      </w:r>
      <w:r w:rsidRPr="003B28FD">
        <w:rPr>
          <w:rFonts w:eastAsiaTheme="minorEastAsia"/>
          <w:i/>
          <w:sz w:val="23"/>
          <w:szCs w:val="23"/>
          <w:rtl/>
        </w:rPr>
        <w:tab/>
      </w:r>
      <w:r w:rsidRPr="003B28FD">
        <w:rPr>
          <w:rFonts w:eastAsiaTheme="minorEastAsia" w:hint="cs"/>
          <w:i/>
          <w:sz w:val="23"/>
          <w:szCs w:val="23"/>
          <w:rtl/>
        </w:rPr>
        <w:t>(۶. ۹)</w:t>
      </w:r>
    </w:p>
    <w:p w14:paraId="0C34C668" w14:textId="77777777" w:rsidR="00411620" w:rsidRPr="003B28FD" w:rsidRDefault="00411620" w:rsidP="00411620">
      <w:pPr>
        <w:bidi w:val="0"/>
        <w:spacing w:line="216" w:lineRule="auto"/>
        <w:rPr>
          <w:rFonts w:eastAsiaTheme="minorEastAsia"/>
          <w:i/>
          <w:sz w:val="23"/>
          <w:szCs w:val="23"/>
          <w:rtl/>
        </w:rPr>
      </w:pPr>
      <w:r w:rsidRPr="003B28FD">
        <w:rPr>
          <w:position w:val="-12"/>
        </w:rPr>
        <w:object w:dxaOrig="1680" w:dyaOrig="360" w14:anchorId="0EED474B">
          <v:shape id="_x0000_i3076" type="#_x0000_t75" style="width:84.1pt;height:18.15pt" o:ole="">
            <v:imagedata r:id="rId4137" o:title=""/>
          </v:shape>
          <o:OLEObject Type="Embed" ProgID="Equation.DSMT4" ShapeID="_x0000_i3076" DrawAspect="Content" ObjectID="_1791377020" r:id="rId4138"/>
        </w:object>
      </w:r>
      <w:r w:rsidRPr="003B28FD">
        <w:rPr>
          <w:rFonts w:hint="cs"/>
          <w:i/>
          <w:sz w:val="23"/>
          <w:szCs w:val="23"/>
          <w:rtl/>
        </w:rPr>
        <w:t xml:space="preserve">از (۶. ۱) </w:t>
      </w:r>
      <w:r w:rsidRPr="003B28FD">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Pr>
          <w:rFonts w:eastAsiaTheme="minorEastAsia"/>
          <w:i/>
          <w:sz w:val="23"/>
          <w:szCs w:val="23"/>
          <w:rtl/>
        </w:rPr>
        <w:tab/>
      </w:r>
      <w:r>
        <w:rPr>
          <w:rFonts w:eastAsiaTheme="minorEastAsia"/>
          <w:i/>
          <w:sz w:val="23"/>
          <w:szCs w:val="23"/>
          <w:rtl/>
        </w:rPr>
        <w:tab/>
      </w:r>
      <w:r w:rsidRPr="003B28FD">
        <w:rPr>
          <w:rFonts w:eastAsiaTheme="minorEastAsia"/>
          <w:i/>
          <w:sz w:val="23"/>
          <w:szCs w:val="23"/>
        </w:rPr>
        <w:tab/>
      </w:r>
      <w:r w:rsidRPr="003B28FD">
        <w:rPr>
          <w:rFonts w:eastAsiaTheme="minorEastAsia"/>
          <w:i/>
          <w:sz w:val="23"/>
          <w:szCs w:val="23"/>
        </w:rPr>
        <w:tab/>
      </w:r>
      <w:r>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Pr>
        <w:t xml:space="preserve">     </w:t>
      </w:r>
      <w:r w:rsidRPr="003B28FD">
        <w:rPr>
          <w:rFonts w:eastAsiaTheme="minorEastAsia"/>
          <w:i/>
          <w:sz w:val="23"/>
          <w:szCs w:val="23"/>
          <w:rtl/>
        </w:rPr>
        <w:tab/>
      </w:r>
      <w:r w:rsidRPr="003B28FD">
        <w:rPr>
          <w:rFonts w:eastAsiaTheme="minorEastAsia" w:hint="cs"/>
          <w:i/>
          <w:sz w:val="23"/>
          <w:szCs w:val="23"/>
          <w:rtl/>
        </w:rPr>
        <w:t>(۶. ۱۰)</w:t>
      </w:r>
    </w:p>
    <w:p w14:paraId="5FAC4B90" w14:textId="77777777" w:rsidR="00411620" w:rsidRPr="003B28FD" w:rsidRDefault="00411620" w:rsidP="00411620">
      <w:pPr>
        <w:spacing w:line="216" w:lineRule="auto"/>
        <w:rPr>
          <w:i/>
          <w:sz w:val="23"/>
          <w:szCs w:val="23"/>
        </w:rPr>
      </w:pPr>
      <w:r w:rsidRPr="003B28FD">
        <w:rPr>
          <w:i/>
          <w:sz w:val="23"/>
          <w:szCs w:val="23"/>
          <w:rtl/>
        </w:rPr>
        <w:t xml:space="preserve">اگر </w:t>
      </w:r>
      <w:r w:rsidRPr="003B28FD">
        <w:rPr>
          <w:rFonts w:hint="cs"/>
          <w:i/>
          <w:sz w:val="23"/>
          <w:szCs w:val="23"/>
          <w:rtl/>
        </w:rPr>
        <w:t xml:space="preserve">نتایج </w:t>
      </w:r>
      <w:r w:rsidRPr="003B28FD">
        <w:rPr>
          <w:i/>
          <w:sz w:val="23"/>
          <w:szCs w:val="23"/>
          <w:rtl/>
        </w:rPr>
        <w:t>فوق را در ق</w:t>
      </w:r>
      <w:r w:rsidRPr="003B28FD">
        <w:rPr>
          <w:rFonts w:hint="cs"/>
          <w:i/>
          <w:sz w:val="23"/>
          <w:szCs w:val="23"/>
          <w:rtl/>
        </w:rPr>
        <w:t>ی</w:t>
      </w:r>
      <w:r w:rsidRPr="003B28FD">
        <w:rPr>
          <w:i/>
          <w:sz w:val="23"/>
          <w:szCs w:val="23"/>
          <w:rtl/>
        </w:rPr>
        <w:t xml:space="preserve">د </w:t>
      </w:r>
      <w:r w:rsidRPr="003B28FD">
        <w:rPr>
          <w:rFonts w:hint="cs"/>
          <w:i/>
          <w:sz w:val="23"/>
          <w:szCs w:val="23"/>
          <w:rtl/>
        </w:rPr>
        <w:t>منبع</w:t>
      </w:r>
      <w:r w:rsidRPr="003B28FD">
        <w:rPr>
          <w:i/>
          <w:sz w:val="23"/>
          <w:szCs w:val="23"/>
          <w:rtl/>
        </w:rPr>
        <w:t xml:space="preserve"> </w:t>
      </w:r>
      <w:r w:rsidRPr="003B28FD">
        <w:rPr>
          <w:rFonts w:hint="cs"/>
          <w:i/>
          <w:sz w:val="23"/>
          <w:szCs w:val="23"/>
          <w:rtl/>
        </w:rPr>
        <w:t>دو</w:t>
      </w:r>
      <w:r w:rsidRPr="003B28FD">
        <w:rPr>
          <w:i/>
          <w:sz w:val="23"/>
          <w:szCs w:val="23"/>
          <w:rtl/>
        </w:rPr>
        <w:t xml:space="preserve"> دوره</w:t>
      </w:r>
      <w:r w:rsidRPr="003B28FD">
        <w:rPr>
          <w:i/>
          <w:sz w:val="23"/>
          <w:szCs w:val="23"/>
          <w:rtl/>
        </w:rPr>
        <w:softHyphen/>
        <w:t xml:space="preserve">اي اقتصاد </w:t>
      </w:r>
      <w:r w:rsidRPr="003B28FD">
        <w:rPr>
          <w:rFonts w:hint="cs"/>
          <w:i/>
          <w:sz w:val="23"/>
          <w:szCs w:val="23"/>
          <w:rtl/>
        </w:rPr>
        <w:t>یا رابطه</w:t>
      </w:r>
      <w:r w:rsidRPr="003B28FD">
        <w:rPr>
          <w:i/>
          <w:sz w:val="23"/>
          <w:szCs w:val="23"/>
          <w:rtl/>
        </w:rPr>
        <w:softHyphen/>
      </w:r>
      <w:r w:rsidRPr="003B28FD">
        <w:rPr>
          <w:rFonts w:hint="cs"/>
          <w:i/>
          <w:sz w:val="23"/>
          <w:szCs w:val="23"/>
          <w:rtl/>
        </w:rPr>
        <w:t xml:space="preserve">ی (۶. ۶) </w:t>
      </w:r>
      <w:r w:rsidRPr="003B28FD">
        <w:rPr>
          <w:i/>
          <w:sz w:val="23"/>
          <w:szCs w:val="23"/>
          <w:rtl/>
        </w:rPr>
        <w:t>جايگزين كنيم</w:t>
      </w:r>
      <w:r w:rsidRPr="003B28FD">
        <w:rPr>
          <w:rFonts w:hint="cs"/>
          <w:i/>
          <w:sz w:val="23"/>
          <w:szCs w:val="23"/>
          <w:rtl/>
        </w:rPr>
        <w:t>،</w:t>
      </w:r>
      <w:r w:rsidRPr="003B28FD">
        <w:rPr>
          <w:i/>
          <w:sz w:val="23"/>
          <w:szCs w:val="23"/>
          <w:rtl/>
        </w:rPr>
        <w:t xml:space="preserve"> </w:t>
      </w:r>
      <w:r w:rsidRPr="003B28FD">
        <w:rPr>
          <w:rFonts w:hint="cs"/>
          <w:i/>
          <w:sz w:val="23"/>
          <w:szCs w:val="23"/>
          <w:rtl/>
        </w:rPr>
        <w:t>مقادیر بهینه</w:t>
      </w:r>
      <w:r w:rsidRPr="003B28FD">
        <w:rPr>
          <w:i/>
          <w:sz w:val="23"/>
          <w:szCs w:val="23"/>
          <w:rtl/>
        </w:rPr>
        <w:softHyphen/>
      </w:r>
      <w:r w:rsidRPr="003B28FD">
        <w:rPr>
          <w:rFonts w:hint="cs"/>
          <w:i/>
          <w:sz w:val="23"/>
          <w:szCs w:val="23"/>
          <w:rtl/>
        </w:rPr>
        <w:t xml:space="preserve">ی مصرف در زمان </w:t>
      </w:r>
      <w:r w:rsidRPr="003B28FD">
        <w:rPr>
          <w:i/>
          <w:sz w:val="23"/>
          <w:szCs w:val="23"/>
        </w:rPr>
        <w:t>t</w:t>
      </w:r>
      <w:r w:rsidRPr="003B28FD">
        <w:rPr>
          <w:rFonts w:hint="cs"/>
          <w:i/>
          <w:sz w:val="23"/>
          <w:szCs w:val="23"/>
          <w:rtl/>
        </w:rPr>
        <w:t xml:space="preserve"> را نیز می</w:t>
      </w:r>
      <w:r w:rsidRPr="003B28FD">
        <w:rPr>
          <w:i/>
          <w:sz w:val="23"/>
          <w:szCs w:val="23"/>
          <w:rtl/>
        </w:rPr>
        <w:softHyphen/>
      </w:r>
      <w:r w:rsidRPr="003B28FD">
        <w:rPr>
          <w:rFonts w:hint="cs"/>
          <w:i/>
          <w:sz w:val="23"/>
          <w:szCs w:val="23"/>
          <w:rtl/>
        </w:rPr>
        <w:t>توان بدست آورد. یعنی</w:t>
      </w:r>
    </w:p>
    <w:p w14:paraId="6FDBAD99" w14:textId="77777777" w:rsidR="00411620" w:rsidRPr="003B28FD" w:rsidRDefault="00411620" w:rsidP="00411620">
      <w:pPr>
        <w:bidi w:val="0"/>
        <w:spacing w:line="216" w:lineRule="auto"/>
        <w:rPr>
          <w:i/>
          <w:sz w:val="23"/>
          <w:szCs w:val="23"/>
          <w:rtl/>
        </w:rPr>
      </w:pPr>
      <w:r w:rsidRPr="003B28FD">
        <w:rPr>
          <w:position w:val="-26"/>
        </w:rPr>
        <w:object w:dxaOrig="2340" w:dyaOrig="660" w14:anchorId="3FD4C0BE">
          <v:shape id="_x0000_i3077" type="#_x0000_t75" style="width:117.4pt;height:32.65pt" o:ole="">
            <v:imagedata r:id="rId4139" o:title=""/>
          </v:shape>
          <o:OLEObject Type="Embed" ProgID="Equation.DSMT4" ShapeID="_x0000_i3077" DrawAspect="Content" ObjectID="_1791377021" r:id="rId4140"/>
        </w:object>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Pr>
          <w:i/>
          <w:sz w:val="23"/>
          <w:szCs w:val="23"/>
          <w:rtl/>
        </w:rPr>
        <w:tab/>
      </w:r>
      <w:r>
        <w:rPr>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rFonts w:hint="cs"/>
          <w:i/>
          <w:sz w:val="23"/>
          <w:szCs w:val="23"/>
          <w:rtl/>
        </w:rPr>
        <w:t>(۶. ۱۱)</w:t>
      </w:r>
    </w:p>
    <w:p w14:paraId="599FC210" w14:textId="77777777" w:rsidR="00411620" w:rsidRPr="003B28FD" w:rsidRDefault="00411620" w:rsidP="00411620">
      <w:pPr>
        <w:spacing w:line="216" w:lineRule="auto"/>
        <w:rPr>
          <w:bCs/>
          <w:i/>
          <w:sz w:val="23"/>
          <w:szCs w:val="23"/>
          <w:rtl/>
        </w:rPr>
      </w:pPr>
      <w:r w:rsidRPr="003B28FD">
        <w:rPr>
          <w:rFonts w:hint="cs"/>
          <w:bCs/>
          <w:i/>
          <w:sz w:val="23"/>
          <w:szCs w:val="23"/>
          <w:rtl/>
        </w:rPr>
        <w:t xml:space="preserve">ب: راه </w:t>
      </w:r>
      <w:r w:rsidRPr="003B28FD">
        <w:rPr>
          <w:bCs/>
          <w:i/>
          <w:sz w:val="23"/>
          <w:szCs w:val="23"/>
          <w:rtl/>
        </w:rPr>
        <w:t xml:space="preserve">حل </w:t>
      </w:r>
      <w:r w:rsidRPr="003B28FD">
        <w:rPr>
          <w:rFonts w:hint="cs"/>
          <w:bCs/>
          <w:i/>
          <w:sz w:val="23"/>
          <w:szCs w:val="23"/>
          <w:rtl/>
        </w:rPr>
        <w:t xml:space="preserve">مدل </w:t>
      </w:r>
      <w:r w:rsidRPr="003B28FD">
        <w:rPr>
          <w:bCs/>
          <w:i/>
          <w:sz w:val="23"/>
          <w:szCs w:val="23"/>
          <w:rtl/>
        </w:rPr>
        <w:t>غير متمركز</w:t>
      </w:r>
      <w:r w:rsidRPr="003B28FD">
        <w:rPr>
          <w:rFonts w:hint="cs"/>
          <w:bCs/>
          <w:i/>
          <w:sz w:val="23"/>
          <w:szCs w:val="23"/>
          <w:rtl/>
        </w:rPr>
        <w:t>: راه حل بین</w:t>
      </w:r>
      <w:r w:rsidRPr="003B28FD">
        <w:rPr>
          <w:bCs/>
          <w:i/>
          <w:sz w:val="23"/>
          <w:szCs w:val="23"/>
          <w:rtl/>
        </w:rPr>
        <w:softHyphen/>
      </w:r>
      <w:r w:rsidRPr="003B28FD">
        <w:rPr>
          <w:rFonts w:hint="cs"/>
          <w:bCs/>
          <w:i/>
          <w:sz w:val="23"/>
          <w:szCs w:val="23"/>
          <w:rtl/>
        </w:rPr>
        <w:t>دوره</w:t>
      </w:r>
      <w:r w:rsidRPr="003B28FD">
        <w:rPr>
          <w:bCs/>
          <w:i/>
          <w:sz w:val="23"/>
          <w:szCs w:val="23"/>
          <w:rtl/>
        </w:rPr>
        <w:softHyphen/>
      </w:r>
      <w:r w:rsidRPr="003B28FD">
        <w:rPr>
          <w:rFonts w:hint="cs"/>
          <w:bCs/>
          <w:i/>
          <w:sz w:val="23"/>
          <w:szCs w:val="23"/>
          <w:rtl/>
        </w:rPr>
        <w:t>ای</w:t>
      </w:r>
    </w:p>
    <w:p w14:paraId="60E4C6D6" w14:textId="77777777" w:rsidR="00411620" w:rsidRPr="003B28FD" w:rsidRDefault="00411620" w:rsidP="00C67946">
      <w:pPr>
        <w:pStyle w:val="ListParagraph"/>
        <w:numPr>
          <w:ilvl w:val="0"/>
          <w:numId w:val="4"/>
        </w:numPr>
        <w:spacing w:line="216" w:lineRule="auto"/>
        <w:ind w:left="0" w:firstLine="0"/>
        <w:rPr>
          <w:bCs/>
          <w:i/>
          <w:sz w:val="23"/>
          <w:szCs w:val="23"/>
          <w:rtl/>
        </w:rPr>
      </w:pPr>
      <w:r w:rsidRPr="003B28FD">
        <w:rPr>
          <w:bCs/>
          <w:i/>
          <w:sz w:val="23"/>
          <w:szCs w:val="23"/>
          <w:rtl/>
        </w:rPr>
        <w:lastRenderedPageBreak/>
        <w:t>مسئله</w:t>
      </w:r>
      <w:r w:rsidRPr="003B28FD">
        <w:rPr>
          <w:bCs/>
          <w:i/>
          <w:sz w:val="23"/>
          <w:szCs w:val="23"/>
          <w:rtl/>
        </w:rPr>
        <w:softHyphen/>
      </w:r>
      <w:r w:rsidRPr="003B28FD">
        <w:rPr>
          <w:rFonts w:hint="cs"/>
          <w:bCs/>
          <w:i/>
          <w:sz w:val="23"/>
          <w:szCs w:val="23"/>
          <w:rtl/>
        </w:rPr>
        <w:t>ی</w:t>
      </w:r>
      <w:r w:rsidRPr="003B28FD">
        <w:rPr>
          <w:bCs/>
          <w:i/>
          <w:sz w:val="23"/>
          <w:szCs w:val="23"/>
          <w:rtl/>
        </w:rPr>
        <w:t xml:space="preserve"> </w:t>
      </w:r>
      <w:r w:rsidRPr="003B28FD">
        <w:rPr>
          <w:rFonts w:hint="cs"/>
          <w:bCs/>
          <w:i/>
          <w:sz w:val="23"/>
          <w:szCs w:val="23"/>
          <w:rtl/>
        </w:rPr>
        <w:t>خانوار</w:t>
      </w:r>
    </w:p>
    <w:p w14:paraId="43ACF694" w14:textId="77777777" w:rsidR="00411620" w:rsidRPr="003B28FD" w:rsidRDefault="00411620" w:rsidP="00411620">
      <w:pPr>
        <w:spacing w:line="216" w:lineRule="auto"/>
        <w:rPr>
          <w:i/>
          <w:sz w:val="23"/>
          <w:szCs w:val="23"/>
          <w:rtl/>
        </w:rPr>
      </w:pPr>
      <w:r w:rsidRPr="003B28FD">
        <w:rPr>
          <w:i/>
          <w:sz w:val="23"/>
          <w:szCs w:val="23"/>
          <w:rtl/>
        </w:rPr>
        <w:t>در دور</w:t>
      </w:r>
      <w:r w:rsidRPr="003B28FD">
        <w:rPr>
          <w:rFonts w:hint="cs"/>
          <w:i/>
          <w:sz w:val="23"/>
          <w:szCs w:val="23"/>
          <w:rtl/>
        </w:rPr>
        <w:t>ه</w:t>
      </w:r>
      <w:r w:rsidRPr="003B28FD">
        <w:rPr>
          <w:i/>
          <w:sz w:val="23"/>
          <w:szCs w:val="23"/>
          <w:rtl/>
        </w:rPr>
        <w:softHyphen/>
      </w:r>
      <w:r w:rsidRPr="003B28FD">
        <w:rPr>
          <w:rFonts w:hint="cs"/>
          <w:i/>
          <w:sz w:val="23"/>
          <w:szCs w:val="23"/>
          <w:rtl/>
        </w:rPr>
        <w:t>ی</w:t>
      </w:r>
      <w:r w:rsidRPr="003B28FD">
        <w:rPr>
          <w:i/>
          <w:sz w:val="23"/>
          <w:szCs w:val="23"/>
          <w:rtl/>
        </w:rPr>
        <w:t xml:space="preserve"> اول </w:t>
      </w:r>
      <w:r w:rsidRPr="003B28FD">
        <w:rPr>
          <w:rFonts w:hint="cs"/>
          <w:i/>
          <w:sz w:val="23"/>
          <w:szCs w:val="23"/>
          <w:rtl/>
        </w:rPr>
        <w:t>خانوار مطلوبیت خود یعنی</w:t>
      </w:r>
      <w:r w:rsidRPr="003B28FD">
        <w:rPr>
          <w:position w:val="-10"/>
        </w:rPr>
        <w:object w:dxaOrig="279" w:dyaOrig="320" w14:anchorId="5FF31136">
          <v:shape id="_x0000_i3078" type="#_x0000_t75" style="width:13.9pt;height:16.35pt" o:ole="">
            <v:imagedata r:id="rId4141" o:title=""/>
          </v:shape>
          <o:OLEObject Type="Embed" ProgID="Equation.DSMT4" ShapeID="_x0000_i3078" DrawAspect="Content" ObjectID="_1791377022" r:id="rId4142"/>
        </w:object>
      </w:r>
      <w:r w:rsidRPr="003B28FD">
        <w:rPr>
          <w:i/>
          <w:sz w:val="23"/>
          <w:szCs w:val="23"/>
          <w:rtl/>
        </w:rPr>
        <w:t xml:space="preserve"> را نسبت به قيد بودج</w:t>
      </w:r>
      <w:r w:rsidRPr="003B28FD">
        <w:rPr>
          <w:rFonts w:hint="cs"/>
          <w:i/>
          <w:sz w:val="23"/>
          <w:szCs w:val="23"/>
          <w:rtl/>
        </w:rPr>
        <w:t>ه</w:t>
      </w:r>
      <w:r w:rsidRPr="003B28FD">
        <w:rPr>
          <w:i/>
          <w:sz w:val="23"/>
          <w:szCs w:val="23"/>
          <w:rtl/>
        </w:rPr>
        <w:softHyphen/>
      </w:r>
      <w:r w:rsidRPr="003B28FD">
        <w:rPr>
          <w:rFonts w:hint="cs"/>
          <w:i/>
          <w:sz w:val="23"/>
          <w:szCs w:val="23"/>
          <w:rtl/>
        </w:rPr>
        <w:t>ی</w:t>
      </w:r>
      <w:r w:rsidRPr="003B28FD">
        <w:rPr>
          <w:i/>
          <w:sz w:val="23"/>
          <w:szCs w:val="23"/>
          <w:rtl/>
        </w:rPr>
        <w:t xml:space="preserve"> بين دوره</w:t>
      </w:r>
      <w:r w:rsidRPr="003B28FD">
        <w:rPr>
          <w:i/>
          <w:sz w:val="23"/>
          <w:szCs w:val="23"/>
          <w:rtl/>
        </w:rPr>
        <w:softHyphen/>
        <w:t>اي</w:t>
      </w:r>
      <w:r w:rsidRPr="003B28FD">
        <w:rPr>
          <w:rFonts w:hint="cs"/>
          <w:i/>
          <w:sz w:val="23"/>
          <w:szCs w:val="23"/>
          <w:rtl/>
        </w:rPr>
        <w:t xml:space="preserve"> (۶. ۶)</w:t>
      </w:r>
      <w:r w:rsidRPr="003B28FD">
        <w:rPr>
          <w:i/>
          <w:sz w:val="23"/>
          <w:szCs w:val="23"/>
          <w:rtl/>
        </w:rPr>
        <w:t xml:space="preserve"> حداكثر مي</w:t>
      </w:r>
      <w:r w:rsidRPr="003B28FD">
        <w:rPr>
          <w:i/>
          <w:sz w:val="23"/>
          <w:szCs w:val="23"/>
          <w:rtl/>
        </w:rPr>
        <w:softHyphen/>
        <w:t xml:space="preserve">كند و مخارج دولت و ماليات </w:t>
      </w:r>
      <w:r w:rsidRPr="003B28FD">
        <w:rPr>
          <w:rFonts w:hint="cs"/>
          <w:i/>
          <w:sz w:val="23"/>
          <w:szCs w:val="23"/>
          <w:rtl/>
        </w:rPr>
        <w:t>مقطوع</w:t>
      </w:r>
      <w:r w:rsidRPr="003B28FD">
        <w:rPr>
          <w:i/>
          <w:sz w:val="23"/>
          <w:szCs w:val="23"/>
          <w:rtl/>
        </w:rPr>
        <w:t xml:space="preserve"> </w:t>
      </w:r>
      <w:r w:rsidRPr="003B28FD">
        <w:rPr>
          <w:rFonts w:hint="cs"/>
          <w:i/>
          <w:sz w:val="23"/>
          <w:szCs w:val="23"/>
          <w:rtl/>
        </w:rPr>
        <w:t>را</w:t>
      </w:r>
      <w:r w:rsidRPr="003B28FD">
        <w:rPr>
          <w:i/>
          <w:sz w:val="23"/>
          <w:szCs w:val="23"/>
          <w:rtl/>
        </w:rPr>
        <w:t xml:space="preserve"> داده شده در نظر مي</w:t>
      </w:r>
      <w:r w:rsidRPr="003B28FD">
        <w:rPr>
          <w:i/>
          <w:sz w:val="23"/>
          <w:szCs w:val="23"/>
          <w:rtl/>
        </w:rPr>
        <w:softHyphen/>
        <w:t xml:space="preserve">گيرد. </w:t>
      </w:r>
      <w:r w:rsidRPr="003B28FD">
        <w:rPr>
          <w:rFonts w:hint="cs"/>
          <w:i/>
          <w:sz w:val="23"/>
          <w:szCs w:val="23"/>
          <w:rtl/>
        </w:rPr>
        <w:t xml:space="preserve">بنابراین لاگرانژین این مسئله همانند قبل </w:t>
      </w:r>
      <w:r w:rsidRPr="003B28FD">
        <w:rPr>
          <w:i/>
          <w:sz w:val="23"/>
          <w:szCs w:val="23"/>
          <w:rtl/>
        </w:rPr>
        <w:t>عبارت است از</w:t>
      </w:r>
    </w:p>
    <w:p w14:paraId="5D7C68C0"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Pr>
      </w:pPr>
      <w:r w:rsidRPr="003B28FD">
        <w:rPr>
          <w:position w:val="-12"/>
        </w:rPr>
        <w:object w:dxaOrig="4080" w:dyaOrig="360" w14:anchorId="0AE83CCE">
          <v:shape id="_x0000_i3079" type="#_x0000_t75" style="width:203.9pt;height:18.15pt" o:ole="">
            <v:imagedata r:id="rId4143" o:title=""/>
          </v:shape>
          <o:OLEObject Type="Embed" ProgID="Equation.DSMT4" ShapeID="_x0000_i3079" DrawAspect="Content" ObjectID="_1791377023" r:id="rId4144"/>
        </w:object>
      </w:r>
    </w:p>
    <w:p w14:paraId="08CB778D" w14:textId="77777777" w:rsidR="00411620" w:rsidRPr="003B28FD" w:rsidRDefault="00411620" w:rsidP="00411620">
      <w:pPr>
        <w:bidi w:val="0"/>
        <w:spacing w:line="216" w:lineRule="auto"/>
        <w:rPr>
          <w:i/>
          <w:sz w:val="23"/>
          <w:szCs w:val="23"/>
          <w:rtl/>
        </w:rPr>
      </w:pPr>
      <w:r w:rsidRPr="003B28FD">
        <w:rPr>
          <w:position w:val="-18"/>
        </w:rPr>
        <w:object w:dxaOrig="4380" w:dyaOrig="480" w14:anchorId="0A716BCD">
          <v:shape id="_x0000_i3080" type="#_x0000_t75" style="width:219.05pt;height:24.2pt" o:ole="">
            <v:imagedata r:id="rId4145" o:title=""/>
          </v:shape>
          <o:OLEObject Type="Embed" ProgID="Equation.DSMT4" ShapeID="_x0000_i3080" DrawAspect="Content" ObjectID="_1791377024" r:id="rId4146"/>
        </w:object>
      </w:r>
      <w:r w:rsidRPr="003B28FD">
        <w:rPr>
          <w:rFonts w:eastAsiaTheme="minorEastAsia"/>
          <w:i/>
          <w:sz w:val="23"/>
          <w:szCs w:val="23"/>
        </w:rPr>
        <w:t xml:space="preserve"> </w:t>
      </w:r>
    </w:p>
    <w:p w14:paraId="00B621FC" w14:textId="77777777" w:rsidR="00411620" w:rsidRPr="003B28FD" w:rsidRDefault="00411620" w:rsidP="00411620">
      <w:pPr>
        <w:spacing w:line="216" w:lineRule="auto"/>
        <w:rPr>
          <w:i/>
          <w:sz w:val="23"/>
          <w:szCs w:val="23"/>
          <w:rtl/>
        </w:rPr>
      </w:pPr>
      <w:r w:rsidRPr="003B28FD">
        <w:rPr>
          <w:rFonts w:hint="cs"/>
          <w:i/>
          <w:sz w:val="23"/>
          <w:szCs w:val="23"/>
          <w:rtl/>
        </w:rPr>
        <w:t xml:space="preserve">و </w:t>
      </w:r>
      <w:r w:rsidRPr="003B28FD">
        <w:rPr>
          <w:i/>
          <w:sz w:val="23"/>
          <w:szCs w:val="23"/>
          <w:rtl/>
        </w:rPr>
        <w:t xml:space="preserve">شرايط </w:t>
      </w:r>
      <w:r w:rsidRPr="003B28FD">
        <w:rPr>
          <w:rFonts w:hint="cs"/>
          <w:i/>
          <w:sz w:val="23"/>
          <w:szCs w:val="23"/>
          <w:rtl/>
        </w:rPr>
        <w:t>مرتبه</w:t>
      </w:r>
      <w:r w:rsidRPr="003B28FD">
        <w:rPr>
          <w:i/>
          <w:sz w:val="23"/>
          <w:szCs w:val="23"/>
          <w:rtl/>
        </w:rPr>
        <w:softHyphen/>
      </w:r>
      <w:r w:rsidRPr="003B28FD">
        <w:rPr>
          <w:rFonts w:hint="cs"/>
          <w:i/>
          <w:sz w:val="23"/>
          <w:szCs w:val="23"/>
          <w:rtl/>
        </w:rPr>
        <w:t>ی</w:t>
      </w:r>
      <w:r w:rsidRPr="003B28FD">
        <w:rPr>
          <w:i/>
          <w:sz w:val="23"/>
          <w:szCs w:val="23"/>
          <w:rtl/>
        </w:rPr>
        <w:t xml:space="preserve"> اول برابر است با </w:t>
      </w:r>
    </w:p>
    <w:p w14:paraId="66427824" w14:textId="77777777" w:rsidR="00411620" w:rsidRPr="003B28FD" w:rsidRDefault="00411620" w:rsidP="00411620">
      <w:pPr>
        <w:pStyle w:val="MTDisplayEquation"/>
        <w:spacing w:line="216" w:lineRule="auto"/>
        <w:rPr>
          <w:rFonts w:ascii="Times New Roman" w:hAnsi="Times New Roman" w:cs="B Nazanin"/>
          <w:i/>
          <w:sz w:val="23"/>
          <w:szCs w:val="23"/>
          <w:rtl/>
        </w:rPr>
      </w:pPr>
      <w:r w:rsidRPr="003B28FD">
        <w:rPr>
          <w:position w:val="-28"/>
        </w:rPr>
        <w:object w:dxaOrig="2600" w:dyaOrig="620" w14:anchorId="3C415D75">
          <v:shape id="_x0000_i3081" type="#_x0000_t75" style="width:130.1pt;height:30.85pt" o:ole="">
            <v:imagedata r:id="rId4147" o:title=""/>
          </v:shape>
          <o:OLEObject Type="Embed" ProgID="Equation.DSMT4" ShapeID="_x0000_i3081" DrawAspect="Content" ObjectID="_1791377025" r:id="rId4148"/>
        </w:object>
      </w:r>
    </w:p>
    <w:p w14:paraId="1F07F4BE" w14:textId="77777777" w:rsidR="00411620" w:rsidRPr="003B28FD" w:rsidRDefault="00411620" w:rsidP="00411620">
      <w:pPr>
        <w:pStyle w:val="MTDisplayEquation"/>
        <w:spacing w:line="216" w:lineRule="auto"/>
        <w:rPr>
          <w:rFonts w:ascii="Times New Roman" w:hAnsi="Times New Roman" w:cs="B Nazanin"/>
          <w:i/>
          <w:sz w:val="23"/>
          <w:szCs w:val="23"/>
          <w:rtl/>
        </w:rPr>
      </w:pPr>
      <w:r w:rsidRPr="003B28FD">
        <w:rPr>
          <w:position w:val="-28"/>
        </w:rPr>
        <w:object w:dxaOrig="2120" w:dyaOrig="620" w14:anchorId="32AB1E02">
          <v:shape id="_x0000_i3082" type="#_x0000_t75" style="width:105.9pt;height:30.85pt" o:ole="">
            <v:imagedata r:id="rId4149" o:title=""/>
          </v:shape>
          <o:OLEObject Type="Embed" ProgID="Equation.DSMT4" ShapeID="_x0000_i3082" DrawAspect="Content" ObjectID="_1791377026" r:id="rId4150"/>
        </w:object>
      </w:r>
    </w:p>
    <w:p w14:paraId="0F44DF0A" w14:textId="77777777" w:rsidR="00411620" w:rsidRPr="003B28FD" w:rsidRDefault="00411620" w:rsidP="00411620">
      <w:pPr>
        <w:pStyle w:val="MTDisplayEquation"/>
        <w:spacing w:line="216" w:lineRule="auto"/>
        <w:rPr>
          <w:rFonts w:ascii="Times New Roman" w:hAnsi="Times New Roman" w:cs="B Nazanin"/>
          <w:i/>
          <w:sz w:val="23"/>
          <w:szCs w:val="23"/>
          <w:rtl/>
        </w:rPr>
      </w:pPr>
      <w:r w:rsidRPr="003B28FD">
        <w:rPr>
          <w:position w:val="-28"/>
        </w:rPr>
        <w:object w:dxaOrig="2860" w:dyaOrig="620" w14:anchorId="69AAF7A9">
          <v:shape id="_x0000_i3083" type="#_x0000_t75" style="width:142.8pt;height:30.85pt" o:ole="">
            <v:imagedata r:id="rId4151" o:title=""/>
          </v:shape>
          <o:OLEObject Type="Embed" ProgID="Equation.DSMT4" ShapeID="_x0000_i3083" DrawAspect="Content" ObjectID="_1791377027" r:id="rId4152"/>
        </w:object>
      </w:r>
    </w:p>
    <w:p w14:paraId="602D3715" w14:textId="77777777" w:rsidR="00411620" w:rsidRPr="003B28FD" w:rsidRDefault="00411620" w:rsidP="00411620">
      <w:pPr>
        <w:spacing w:line="216" w:lineRule="auto"/>
        <w:rPr>
          <w:i/>
          <w:sz w:val="23"/>
          <w:szCs w:val="23"/>
          <w:rtl/>
        </w:rPr>
      </w:pPr>
      <w:r w:rsidRPr="003B28FD">
        <w:rPr>
          <w:rFonts w:hint="cs"/>
          <w:i/>
          <w:sz w:val="23"/>
          <w:szCs w:val="23"/>
          <w:rtl/>
        </w:rPr>
        <w:t>از آن</w:t>
      </w:r>
      <w:r w:rsidRPr="003B28FD">
        <w:rPr>
          <w:i/>
          <w:sz w:val="23"/>
          <w:szCs w:val="23"/>
          <w:rtl/>
        </w:rPr>
        <w:softHyphen/>
      </w:r>
      <w:r w:rsidRPr="003B28FD">
        <w:rPr>
          <w:rFonts w:hint="cs"/>
          <w:i/>
          <w:sz w:val="23"/>
          <w:szCs w:val="23"/>
          <w:rtl/>
        </w:rPr>
        <w:t xml:space="preserve">جا که </w:t>
      </w:r>
      <w:r w:rsidRPr="003B28FD">
        <w:rPr>
          <w:position w:val="-10"/>
        </w:rPr>
        <w:object w:dxaOrig="600" w:dyaOrig="320" w14:anchorId="5EEBEC6E">
          <v:shape id="_x0000_i3084" type="#_x0000_t75" style="width:29.65pt;height:16.35pt" o:ole="">
            <v:imagedata r:id="rId4153" o:title=""/>
          </v:shape>
          <o:OLEObject Type="Embed" ProgID="Equation.DSMT4" ShapeID="_x0000_i3084" DrawAspect="Content" ObjectID="_1791377028" r:id="rId4154"/>
        </w:object>
      </w:r>
      <w:r w:rsidRPr="003B28FD">
        <w:rPr>
          <w:rFonts w:hint="cs"/>
          <w:i/>
          <w:sz w:val="23"/>
          <w:szCs w:val="23"/>
          <w:rtl/>
        </w:rPr>
        <w:t xml:space="preserve"> و </w:t>
      </w:r>
      <w:r w:rsidRPr="003B28FD">
        <w:rPr>
          <w:position w:val="-10"/>
        </w:rPr>
        <w:object w:dxaOrig="380" w:dyaOrig="320" w14:anchorId="1BDA103B">
          <v:shape id="_x0000_i3085" type="#_x0000_t75" style="width:18.75pt;height:16.35pt" o:ole="">
            <v:imagedata r:id="rId4155" o:title=""/>
          </v:shape>
          <o:OLEObject Type="Embed" ProgID="Equation.DSMT4" ShapeID="_x0000_i3085" DrawAspect="Content" ObjectID="_1791377029" r:id="rId4156"/>
        </w:object>
      </w:r>
      <w:r w:rsidRPr="003B28FD">
        <w:rPr>
          <w:rFonts w:eastAsiaTheme="minorEastAsia" w:hint="cs"/>
          <w:i/>
          <w:sz w:val="23"/>
          <w:szCs w:val="23"/>
          <w:rtl/>
        </w:rPr>
        <w:t xml:space="preserve"> </w:t>
      </w:r>
      <w:r w:rsidRPr="003B28FD">
        <w:rPr>
          <w:i/>
          <w:sz w:val="23"/>
          <w:szCs w:val="23"/>
          <w:rtl/>
        </w:rPr>
        <w:t>داده شده است</w:t>
      </w:r>
      <w:r w:rsidRPr="003B28FD">
        <w:rPr>
          <w:rFonts w:hint="cs"/>
          <w:i/>
          <w:sz w:val="23"/>
          <w:szCs w:val="23"/>
          <w:rtl/>
        </w:rPr>
        <w:t>،</w:t>
      </w:r>
      <w:r w:rsidRPr="003B28FD">
        <w:rPr>
          <w:i/>
          <w:sz w:val="23"/>
          <w:szCs w:val="23"/>
          <w:rtl/>
        </w:rPr>
        <w:t xml:space="preserve"> لذا </w:t>
      </w:r>
      <w:r w:rsidRPr="003B28FD">
        <w:rPr>
          <w:position w:val="-28"/>
        </w:rPr>
        <w:object w:dxaOrig="1660" w:dyaOrig="620" w14:anchorId="17AD59DD">
          <v:shape id="_x0000_i3086" type="#_x0000_t75" style="width:82.9pt;height:30.85pt" o:ole="">
            <v:imagedata r:id="rId4157" o:title=""/>
          </v:shape>
          <o:OLEObject Type="Embed" ProgID="Equation.DSMT4" ShapeID="_x0000_i3086" DrawAspect="Content" ObjectID="_1791377030" r:id="rId4158"/>
        </w:object>
      </w:r>
      <w:r w:rsidRPr="003B28FD">
        <w:rPr>
          <w:i/>
          <w:sz w:val="23"/>
          <w:szCs w:val="23"/>
          <w:rtl/>
        </w:rPr>
        <w:t xml:space="preserve"> را در نظر نمي</w:t>
      </w:r>
      <w:r w:rsidRPr="003B28FD">
        <w:rPr>
          <w:i/>
          <w:sz w:val="23"/>
          <w:szCs w:val="23"/>
          <w:rtl/>
        </w:rPr>
        <w:softHyphen/>
        <w:t>گيريم</w:t>
      </w:r>
      <w:r w:rsidRPr="003B28FD">
        <w:rPr>
          <w:rFonts w:hint="cs"/>
          <w:i/>
          <w:sz w:val="23"/>
          <w:szCs w:val="23"/>
          <w:rtl/>
        </w:rPr>
        <w:t>.</w:t>
      </w:r>
      <w:r w:rsidRPr="003B28FD">
        <w:rPr>
          <w:i/>
          <w:sz w:val="23"/>
          <w:szCs w:val="23"/>
          <w:rtl/>
        </w:rPr>
        <w:t xml:space="preserve"> از شرايط </w:t>
      </w:r>
      <w:r w:rsidRPr="003B28FD">
        <w:rPr>
          <w:rFonts w:hint="cs"/>
          <w:i/>
          <w:sz w:val="23"/>
          <w:szCs w:val="23"/>
          <w:rtl/>
        </w:rPr>
        <w:t>مرتبه</w:t>
      </w:r>
      <w:r w:rsidRPr="003B28FD">
        <w:rPr>
          <w:i/>
          <w:sz w:val="23"/>
          <w:szCs w:val="23"/>
          <w:rtl/>
        </w:rPr>
        <w:softHyphen/>
      </w:r>
      <w:r w:rsidRPr="003B28FD">
        <w:rPr>
          <w:rFonts w:hint="cs"/>
          <w:i/>
          <w:sz w:val="23"/>
          <w:szCs w:val="23"/>
          <w:rtl/>
        </w:rPr>
        <w:t>ی</w:t>
      </w:r>
      <w:r w:rsidRPr="003B28FD">
        <w:rPr>
          <w:i/>
          <w:sz w:val="23"/>
          <w:szCs w:val="23"/>
          <w:rtl/>
        </w:rPr>
        <w:t xml:space="preserve"> اول </w:t>
      </w:r>
      <w:r w:rsidRPr="003B28FD">
        <w:rPr>
          <w:rFonts w:hint="cs"/>
          <w:i/>
          <w:sz w:val="23"/>
          <w:szCs w:val="23"/>
          <w:rtl/>
        </w:rPr>
        <w:t>فوق د</w:t>
      </w:r>
      <w:r w:rsidRPr="003B28FD">
        <w:rPr>
          <w:i/>
          <w:sz w:val="23"/>
          <w:szCs w:val="23"/>
          <w:rtl/>
        </w:rPr>
        <w:t xml:space="preserve">اريم </w:t>
      </w:r>
    </w:p>
    <w:p w14:paraId="41A7002A" w14:textId="77777777" w:rsidR="00411620" w:rsidRPr="003B28FD" w:rsidRDefault="00411620" w:rsidP="00411620">
      <w:pPr>
        <w:bidi w:val="0"/>
        <w:spacing w:line="216" w:lineRule="auto"/>
        <w:rPr>
          <w:i/>
          <w:sz w:val="23"/>
          <w:szCs w:val="23"/>
          <w:rtl/>
        </w:rPr>
      </w:pPr>
      <w:r w:rsidRPr="003B28FD">
        <w:rPr>
          <w:position w:val="-12"/>
        </w:rPr>
        <w:object w:dxaOrig="2380" w:dyaOrig="360" w14:anchorId="705D3020">
          <v:shape id="_x0000_i3087" type="#_x0000_t75" style="width:119.2pt;height:18.15pt" o:ole="">
            <v:imagedata r:id="rId4159" o:title=""/>
          </v:shape>
          <o:OLEObject Type="Embed" ProgID="Equation.DSMT4" ShapeID="_x0000_i3087" DrawAspect="Content" ObjectID="_1791377031" r:id="rId4160"/>
        </w:object>
      </w:r>
      <w:r w:rsidRPr="003B28FD">
        <w:rPr>
          <w:i/>
          <w:sz w:val="23"/>
          <w:szCs w:val="23"/>
        </w:rPr>
        <w:tab/>
      </w:r>
      <w:r w:rsidRPr="003B28FD">
        <w:rPr>
          <w:i/>
          <w:sz w:val="23"/>
          <w:szCs w:val="23"/>
        </w:rPr>
        <w:tab/>
      </w:r>
      <w:r w:rsidRPr="003B28FD">
        <w:rPr>
          <w:i/>
          <w:sz w:val="23"/>
          <w:szCs w:val="23"/>
          <w:rtl/>
        </w:rPr>
        <w:tab/>
      </w:r>
      <w:r w:rsidRPr="003B28FD">
        <w:rPr>
          <w:i/>
          <w:sz w:val="23"/>
          <w:szCs w:val="23"/>
        </w:rPr>
        <w:tab/>
      </w:r>
      <w:r w:rsidRPr="003B28FD">
        <w:rPr>
          <w:i/>
          <w:sz w:val="23"/>
          <w:szCs w:val="23"/>
        </w:rPr>
        <w:tab/>
      </w:r>
      <w:r w:rsidRPr="003B28FD">
        <w:rPr>
          <w:i/>
          <w:sz w:val="23"/>
          <w:szCs w:val="23"/>
        </w:rPr>
        <w:tab/>
      </w:r>
      <w:r>
        <w:rPr>
          <w:i/>
          <w:sz w:val="23"/>
          <w:szCs w:val="23"/>
          <w:rtl/>
        </w:rPr>
        <w:tab/>
      </w:r>
      <w:r>
        <w:rPr>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rFonts w:hint="cs"/>
          <w:i/>
          <w:sz w:val="23"/>
          <w:szCs w:val="23"/>
          <w:rtl/>
        </w:rPr>
        <w:t>(۶. ۱۲)</w:t>
      </w:r>
    </w:p>
    <w:p w14:paraId="3EBE1570" w14:textId="77777777" w:rsidR="00411620" w:rsidRPr="003B28FD" w:rsidRDefault="00411620" w:rsidP="00411620">
      <w:pPr>
        <w:bidi w:val="0"/>
        <w:spacing w:line="216" w:lineRule="auto"/>
        <w:rPr>
          <w:i/>
          <w:sz w:val="23"/>
          <w:szCs w:val="23"/>
          <w:rtl/>
        </w:rPr>
      </w:pPr>
      <w:r w:rsidRPr="003B28FD">
        <w:rPr>
          <w:position w:val="-22"/>
        </w:rPr>
        <w:object w:dxaOrig="2220" w:dyaOrig="560" w14:anchorId="420C2859">
          <v:shape id="_x0000_i3088" type="#_x0000_t75" style="width:110.7pt;height:27.85pt" o:ole="">
            <v:imagedata r:id="rId4161" o:title=""/>
          </v:shape>
          <o:OLEObject Type="Embed" ProgID="Equation.DSMT4" ShapeID="_x0000_i3088" DrawAspect="Content" ObjectID="_1791377032" r:id="rId4162"/>
        </w:object>
      </w:r>
      <w:r w:rsidRPr="003B28FD">
        <w:rPr>
          <w:rFonts w:hint="cs"/>
          <w:i/>
          <w:sz w:val="23"/>
          <w:szCs w:val="23"/>
          <w:rtl/>
        </w:rPr>
        <w:t xml:space="preserve"> </w:t>
      </w:r>
      <w:r w:rsidRPr="003B28FD">
        <w:rPr>
          <w:i/>
          <w:sz w:val="23"/>
          <w:szCs w:val="23"/>
        </w:rPr>
        <w:tab/>
      </w:r>
      <w:r w:rsidRPr="003B28FD">
        <w:rPr>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Pr>
          <w:i/>
          <w:sz w:val="23"/>
          <w:szCs w:val="23"/>
          <w:rtl/>
        </w:rPr>
        <w:tab/>
      </w:r>
      <w:r>
        <w:rPr>
          <w:i/>
          <w:sz w:val="23"/>
          <w:szCs w:val="23"/>
          <w:rtl/>
        </w:rPr>
        <w:tab/>
      </w:r>
      <w:r w:rsidRPr="003B28FD">
        <w:rPr>
          <w:i/>
          <w:sz w:val="23"/>
          <w:szCs w:val="23"/>
        </w:rPr>
        <w:tab/>
      </w:r>
      <w:r w:rsidRPr="003B28FD">
        <w:rPr>
          <w:i/>
          <w:sz w:val="23"/>
          <w:szCs w:val="23"/>
        </w:rPr>
        <w:tab/>
      </w:r>
      <w:r w:rsidRPr="003B28FD">
        <w:rPr>
          <w:i/>
          <w:sz w:val="23"/>
          <w:szCs w:val="23"/>
          <w:rtl/>
        </w:rPr>
        <w:tab/>
      </w:r>
      <w:r w:rsidRPr="003B28FD">
        <w:rPr>
          <w:rFonts w:hint="cs"/>
          <w:i/>
          <w:sz w:val="23"/>
          <w:szCs w:val="23"/>
          <w:rtl/>
        </w:rPr>
        <w:t>(۶. ۱۳)</w:t>
      </w:r>
    </w:p>
    <w:p w14:paraId="1D493CC9" w14:textId="77777777" w:rsidR="00411620" w:rsidRPr="003B28FD" w:rsidRDefault="00411620" w:rsidP="00411620">
      <w:pPr>
        <w:bidi w:val="0"/>
        <w:spacing w:line="216" w:lineRule="auto"/>
        <w:rPr>
          <w:i/>
          <w:sz w:val="23"/>
          <w:szCs w:val="23"/>
          <w:rtl/>
        </w:rPr>
      </w:pPr>
      <w:r w:rsidRPr="003B28FD">
        <w:rPr>
          <w:position w:val="-12"/>
        </w:rPr>
        <w:object w:dxaOrig="1680" w:dyaOrig="360" w14:anchorId="6774A763">
          <v:shape id="_x0000_i3089" type="#_x0000_t75" style="width:84.1pt;height:18.15pt" o:ole="">
            <v:imagedata r:id="rId4163" o:title=""/>
          </v:shape>
          <o:OLEObject Type="Embed" ProgID="Equation.DSMT4" ShapeID="_x0000_i3089" DrawAspect="Content" ObjectID="_1791377033" r:id="rId4164"/>
        </w:object>
      </w:r>
      <w:r w:rsidRPr="003B28FD">
        <w:rPr>
          <w:i/>
          <w:sz w:val="23"/>
          <w:szCs w:val="23"/>
        </w:rPr>
        <w:tab/>
      </w:r>
      <w:r w:rsidRPr="003B28FD">
        <w:rPr>
          <w:i/>
          <w:sz w:val="23"/>
          <w:szCs w:val="23"/>
          <w:rtl/>
        </w:rPr>
        <w:tab/>
      </w:r>
      <w:r w:rsidRPr="003B28FD">
        <w:rPr>
          <w:i/>
          <w:sz w:val="23"/>
          <w:szCs w:val="23"/>
          <w:rtl/>
        </w:rPr>
        <w:tab/>
      </w:r>
      <w:r w:rsidRPr="003B28FD">
        <w:rPr>
          <w:i/>
          <w:sz w:val="23"/>
          <w:szCs w:val="23"/>
          <w:rtl/>
        </w:rPr>
        <w:tab/>
      </w:r>
      <w:r w:rsidRPr="003B28FD">
        <w:rPr>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Pr>
        <w:tab/>
      </w:r>
      <w:r>
        <w:rPr>
          <w:i/>
          <w:sz w:val="23"/>
          <w:szCs w:val="23"/>
          <w:rtl/>
        </w:rPr>
        <w:tab/>
      </w:r>
      <w:r w:rsidRPr="003B28FD">
        <w:rPr>
          <w:i/>
          <w:sz w:val="23"/>
          <w:szCs w:val="23"/>
        </w:rPr>
        <w:tab/>
      </w:r>
      <w:r w:rsidRPr="003B28FD">
        <w:rPr>
          <w:i/>
          <w:sz w:val="23"/>
          <w:szCs w:val="23"/>
        </w:rPr>
        <w:tab/>
      </w:r>
      <w:r>
        <w:rPr>
          <w:i/>
          <w:sz w:val="23"/>
          <w:szCs w:val="23"/>
        </w:rPr>
        <w:tab/>
      </w:r>
      <w:r w:rsidRPr="003B28FD">
        <w:rPr>
          <w:i/>
          <w:sz w:val="23"/>
          <w:szCs w:val="23"/>
        </w:rPr>
        <w:tab/>
      </w:r>
      <w:r w:rsidRPr="003B28FD">
        <w:rPr>
          <w:i/>
          <w:sz w:val="23"/>
          <w:szCs w:val="23"/>
        </w:rPr>
        <w:tab/>
      </w:r>
      <w:r w:rsidRPr="003B28FD">
        <w:rPr>
          <w:i/>
          <w:sz w:val="23"/>
          <w:szCs w:val="23"/>
          <w:rtl/>
        </w:rPr>
        <w:tab/>
      </w:r>
      <w:r w:rsidRPr="003B28FD">
        <w:rPr>
          <w:rFonts w:hint="cs"/>
          <w:i/>
          <w:sz w:val="23"/>
          <w:szCs w:val="23"/>
          <w:rtl/>
        </w:rPr>
        <w:t>(۶. ۱۴)</w:t>
      </w:r>
    </w:p>
    <w:p w14:paraId="1DADAF5B" w14:textId="77777777" w:rsidR="00411620" w:rsidRPr="003B28FD" w:rsidRDefault="00411620" w:rsidP="00411620">
      <w:pPr>
        <w:pStyle w:val="MTDisplayEquation"/>
        <w:tabs>
          <w:tab w:val="clear" w:pos="3320"/>
          <w:tab w:val="clear" w:pos="6660"/>
          <w:tab w:val="center" w:pos="0"/>
        </w:tabs>
        <w:spacing w:line="216" w:lineRule="auto"/>
        <w:rPr>
          <w:rFonts w:ascii="Times New Roman" w:hAnsi="Times New Roman" w:cs="B Nazanin"/>
          <w:i/>
          <w:sz w:val="23"/>
          <w:szCs w:val="23"/>
          <w:rtl/>
        </w:rPr>
      </w:pPr>
      <w:r w:rsidRPr="003B28FD">
        <w:rPr>
          <w:position w:val="-26"/>
        </w:rPr>
        <w:object w:dxaOrig="2340" w:dyaOrig="660" w14:anchorId="01465EA1">
          <v:shape id="_x0000_i3090" type="#_x0000_t75" style="width:117.4pt;height:32.65pt" o:ole="">
            <v:imagedata r:id="rId4165" o:title=""/>
          </v:shape>
          <o:OLEObject Type="Embed" ProgID="Equation.DSMT4" ShapeID="_x0000_i3090" DrawAspect="Content" ObjectID="_1791377034" r:id="rId4166"/>
        </w:object>
      </w:r>
      <w:r w:rsidRPr="003B28FD">
        <w:rPr>
          <w:rFonts w:ascii="Times New Roman" w:hAnsi="Times New Roman"/>
          <w:i/>
          <w:sz w:val="23"/>
          <w:szCs w:val="23"/>
        </w:rPr>
        <w:t xml:space="preserve">                    </w:t>
      </w:r>
      <w:r w:rsidRPr="003B28FD">
        <w:rPr>
          <w:rFonts w:ascii="Times New Roman" w:hAnsi="Times New Roman"/>
          <w:i/>
          <w:sz w:val="23"/>
          <w:szCs w:val="23"/>
        </w:rPr>
        <w:tab/>
      </w:r>
      <w:r w:rsidRPr="003B28FD">
        <w:rPr>
          <w:rFonts w:ascii="Times New Roman" w:hAnsi="Times New Roman" w:hint="cs"/>
          <w:i/>
          <w:sz w:val="23"/>
          <w:szCs w:val="23"/>
          <w:rtl/>
        </w:rPr>
        <w:t xml:space="preserve">  </w:t>
      </w:r>
      <w:r w:rsidRPr="003B28FD">
        <w:rPr>
          <w:rFonts w:ascii="Times New Roman" w:hAnsi="Times New Roman"/>
          <w:i/>
          <w:sz w:val="23"/>
          <w:szCs w:val="23"/>
        </w:rPr>
        <w:tab/>
      </w:r>
      <w:r w:rsidRPr="003B28FD">
        <w:rPr>
          <w:rFonts w:ascii="Times New Roman" w:hAnsi="Times New Roman"/>
          <w:i/>
          <w:sz w:val="23"/>
          <w:szCs w:val="23"/>
        </w:rPr>
        <w:tab/>
      </w:r>
      <w:r>
        <w:rPr>
          <w:rFonts w:ascii="Times New Roman" w:hAnsi="Times New Roman"/>
          <w:i/>
          <w:sz w:val="23"/>
          <w:szCs w:val="23"/>
          <w:rtl/>
        </w:rPr>
        <w:tab/>
      </w:r>
      <w:r>
        <w:rPr>
          <w:rFonts w:ascii="Times New Roman" w:hAnsi="Times New Roman"/>
          <w:i/>
          <w:sz w:val="23"/>
          <w:szCs w:val="23"/>
          <w:rtl/>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cs="B Nazanin" w:hint="cs"/>
          <w:i/>
          <w:sz w:val="23"/>
          <w:szCs w:val="23"/>
          <w:rtl/>
        </w:rPr>
        <w:t xml:space="preserve">(۶. ۱۵)   </w:t>
      </w:r>
      <w:r w:rsidRPr="003B28FD">
        <w:rPr>
          <w:position w:val="-6"/>
        </w:rPr>
        <w:object w:dxaOrig="100" w:dyaOrig="100" w14:anchorId="03A8FBEB">
          <v:shape id="_x0000_i3091" type="#_x0000_t75" style="width:4.85pt;height:4.85pt" o:ole="">
            <v:imagedata r:id="rId4167" o:title=""/>
          </v:shape>
          <o:OLEObject Type="Embed" ProgID="Equation.DSMT4" ShapeID="_x0000_i3091" DrawAspect="Content" ObjectID="_1791377035" r:id="rId4168"/>
        </w:object>
      </w:r>
    </w:p>
    <w:p w14:paraId="2B2D02B6" w14:textId="77777777" w:rsidR="00411620" w:rsidRPr="003B28FD" w:rsidRDefault="00411620" w:rsidP="00411620">
      <w:pPr>
        <w:pStyle w:val="MTDisplayEquation"/>
        <w:bidi/>
        <w:spacing w:line="216" w:lineRule="auto"/>
        <w:rPr>
          <w:rFonts w:ascii="Times New Roman" w:hAnsi="Times New Roman" w:cs="B Nazanin"/>
          <w:i/>
          <w:sz w:val="23"/>
          <w:szCs w:val="23"/>
          <w:rtl/>
        </w:rPr>
      </w:pPr>
      <w:r w:rsidRPr="003B28FD">
        <w:rPr>
          <w:rFonts w:ascii="Times New Roman" w:hAnsi="Times New Roman" w:cs="B Nazanin" w:hint="cs"/>
          <w:i/>
          <w:sz w:val="23"/>
          <w:szCs w:val="23"/>
          <w:rtl/>
        </w:rPr>
        <w:t>همان</w:t>
      </w:r>
      <w:r w:rsidRPr="003B28FD">
        <w:rPr>
          <w:rFonts w:ascii="Times New Roman" w:hAnsi="Times New Roman" w:cs="B Nazanin"/>
          <w:i/>
          <w:sz w:val="23"/>
          <w:szCs w:val="23"/>
          <w:rtl/>
        </w:rPr>
        <w:softHyphen/>
      </w:r>
      <w:r w:rsidRPr="003B28FD">
        <w:rPr>
          <w:rFonts w:ascii="Times New Roman" w:hAnsi="Times New Roman" w:cs="B Nazanin" w:hint="cs"/>
          <w:i/>
          <w:sz w:val="23"/>
          <w:szCs w:val="23"/>
          <w:rtl/>
        </w:rPr>
        <w:t>گونه که ملاحظه می</w:t>
      </w:r>
      <w:r w:rsidRPr="003B28FD">
        <w:rPr>
          <w:rFonts w:ascii="Times New Roman" w:hAnsi="Times New Roman" w:cs="B Nazanin"/>
          <w:i/>
          <w:sz w:val="23"/>
          <w:szCs w:val="23"/>
          <w:rtl/>
        </w:rPr>
        <w:softHyphen/>
      </w:r>
      <w:r w:rsidRPr="003B28FD">
        <w:rPr>
          <w:rFonts w:ascii="Times New Roman" w:hAnsi="Times New Roman" w:cs="B Nazanin" w:hint="cs"/>
          <w:i/>
          <w:sz w:val="23"/>
          <w:szCs w:val="23"/>
          <w:rtl/>
        </w:rPr>
        <w:t>شود نتایج راه حل فوق برای خانوار</w:t>
      </w:r>
      <w:r w:rsidRPr="003B28FD">
        <w:rPr>
          <w:rFonts w:ascii="Times New Roman" w:hAnsi="Times New Roman" w:cs="B Nazanin"/>
          <w:i/>
          <w:sz w:val="23"/>
          <w:szCs w:val="23"/>
          <w:rtl/>
        </w:rPr>
        <w:t xml:space="preserve"> دقيقاً شبيه </w:t>
      </w:r>
      <w:r w:rsidRPr="003B28FD">
        <w:rPr>
          <w:rFonts w:ascii="Times New Roman" w:hAnsi="Times New Roman" w:cs="B Nazanin" w:hint="cs"/>
          <w:i/>
          <w:sz w:val="23"/>
          <w:szCs w:val="23"/>
          <w:rtl/>
        </w:rPr>
        <w:t xml:space="preserve">راه </w:t>
      </w:r>
      <w:r w:rsidRPr="003B28FD">
        <w:rPr>
          <w:rFonts w:ascii="Times New Roman" w:hAnsi="Times New Roman" w:cs="B Nazanin"/>
          <w:i/>
          <w:sz w:val="23"/>
          <w:szCs w:val="23"/>
          <w:rtl/>
        </w:rPr>
        <w:t xml:space="preserve">حل </w:t>
      </w:r>
      <w:r w:rsidRPr="003B28FD">
        <w:rPr>
          <w:rFonts w:ascii="Times New Roman" w:hAnsi="Times New Roman" w:cs="B Nazanin" w:hint="cs"/>
          <w:i/>
          <w:sz w:val="23"/>
          <w:szCs w:val="23"/>
          <w:rtl/>
        </w:rPr>
        <w:t>مدل بر</w:t>
      </w:r>
      <w:r w:rsidRPr="003B28FD">
        <w:rPr>
          <w:rFonts w:ascii="Times New Roman" w:hAnsi="Times New Roman" w:cs="B Nazanin"/>
          <w:i/>
          <w:sz w:val="23"/>
          <w:szCs w:val="23"/>
          <w:rtl/>
        </w:rPr>
        <w:t>نامه</w:t>
      </w:r>
      <w:r w:rsidRPr="003B28FD">
        <w:rPr>
          <w:rFonts w:ascii="Times New Roman" w:hAnsi="Times New Roman" w:cs="B Nazanin"/>
          <w:i/>
          <w:sz w:val="23"/>
          <w:szCs w:val="23"/>
          <w:rtl/>
        </w:rPr>
        <w:softHyphen/>
        <w:t>ريز متمركز است</w:t>
      </w:r>
      <w:r w:rsidRPr="003B28FD">
        <w:rPr>
          <w:rFonts w:ascii="Times New Roman" w:hAnsi="Times New Roman" w:cs="B Nazanin" w:hint="cs"/>
          <w:i/>
          <w:sz w:val="23"/>
          <w:szCs w:val="23"/>
          <w:rtl/>
        </w:rPr>
        <w:t xml:space="preserve"> و</w:t>
      </w:r>
      <w:r w:rsidRPr="003B28FD">
        <w:rPr>
          <w:rFonts w:ascii="Times New Roman" w:eastAsiaTheme="minorEastAsia" w:hAnsi="Times New Roman" w:cs="B Nazanin" w:hint="cs"/>
          <w:i/>
          <w:sz w:val="23"/>
          <w:szCs w:val="23"/>
          <w:rtl/>
        </w:rPr>
        <w:t xml:space="preserve"> </w:t>
      </w:r>
      <w:r w:rsidRPr="003B28FD">
        <w:rPr>
          <w:position w:val="-10"/>
        </w:rPr>
        <w:object w:dxaOrig="380" w:dyaOrig="320" w14:anchorId="04D5070C">
          <v:shape id="_x0000_i3092" type="#_x0000_t75" style="width:18.75pt;height:16.35pt" o:ole="">
            <v:imagedata r:id="rId4169" o:title=""/>
          </v:shape>
          <o:OLEObject Type="Embed" ProgID="Equation.DSMT4" ShapeID="_x0000_i3092" DrawAspect="Content" ObjectID="_1791377036" r:id="rId4170"/>
        </w:object>
      </w:r>
      <w:r w:rsidRPr="003B28FD">
        <w:rPr>
          <w:rFonts w:ascii="Times New Roman" w:eastAsiaTheme="minorEastAsia" w:hAnsi="Times New Roman" w:cs="B Nazanin" w:hint="cs"/>
          <w:i/>
          <w:sz w:val="23"/>
          <w:szCs w:val="23"/>
          <w:rtl/>
        </w:rPr>
        <w:t xml:space="preserve"> برای خانوار داده شده است. لذا مقدار بهینه</w:t>
      </w:r>
      <w:r w:rsidRPr="003B28FD">
        <w:rPr>
          <w:rFonts w:ascii="Times New Roman" w:eastAsiaTheme="minorEastAsia" w:hAnsi="Times New Roman" w:cs="B Nazanin"/>
          <w:i/>
          <w:sz w:val="23"/>
          <w:szCs w:val="23"/>
          <w:rtl/>
        </w:rPr>
        <w:softHyphen/>
      </w:r>
      <w:r w:rsidRPr="003B28FD">
        <w:rPr>
          <w:rFonts w:ascii="Times New Roman" w:eastAsiaTheme="minorEastAsia" w:hAnsi="Times New Roman" w:cs="B Nazanin" w:hint="cs"/>
          <w:i/>
          <w:sz w:val="23"/>
          <w:szCs w:val="23"/>
          <w:rtl/>
        </w:rPr>
        <w:t xml:space="preserve">ی مخارج دولت </w:t>
      </w:r>
      <w:r w:rsidRPr="003B28FD">
        <w:rPr>
          <w:rFonts w:ascii="Times New Roman" w:hAnsi="Times New Roman" w:cs="B Nazanin"/>
          <w:i/>
          <w:sz w:val="23"/>
          <w:szCs w:val="23"/>
          <w:rtl/>
        </w:rPr>
        <w:t xml:space="preserve">در </w:t>
      </w:r>
      <w:r w:rsidRPr="003B28FD">
        <w:rPr>
          <w:rFonts w:ascii="Times New Roman" w:hAnsi="Times New Roman" w:cs="B Nazanin" w:hint="cs"/>
          <w:i/>
          <w:sz w:val="23"/>
          <w:szCs w:val="23"/>
          <w:rtl/>
        </w:rPr>
        <w:t>قسمت</w:t>
      </w:r>
      <w:r w:rsidRPr="003B28FD">
        <w:rPr>
          <w:rFonts w:ascii="Times New Roman" w:hAnsi="Times New Roman" w:cs="B Nazanin"/>
          <w:i/>
          <w:sz w:val="23"/>
          <w:szCs w:val="23"/>
          <w:rtl/>
        </w:rPr>
        <w:t xml:space="preserve"> زير بدست مي</w:t>
      </w:r>
      <w:r w:rsidRPr="003B28FD">
        <w:rPr>
          <w:rFonts w:ascii="Times New Roman" w:hAnsi="Times New Roman" w:cs="B Nazanin"/>
          <w:i/>
          <w:sz w:val="23"/>
          <w:szCs w:val="23"/>
          <w:rtl/>
        </w:rPr>
        <w:softHyphen/>
        <w:t>آيد</w:t>
      </w:r>
      <w:r w:rsidRPr="003B28FD">
        <w:rPr>
          <w:rFonts w:ascii="Times New Roman" w:hAnsi="Times New Roman" w:cs="B Nazanin" w:hint="cs"/>
          <w:i/>
          <w:sz w:val="23"/>
          <w:szCs w:val="23"/>
          <w:rtl/>
        </w:rPr>
        <w:t>.</w:t>
      </w:r>
      <w:r w:rsidRPr="003B28FD">
        <w:rPr>
          <w:rFonts w:ascii="Times New Roman" w:hAnsi="Times New Roman" w:cs="B Nazanin"/>
          <w:i/>
          <w:sz w:val="23"/>
          <w:szCs w:val="23"/>
          <w:rtl/>
        </w:rPr>
        <w:t xml:space="preserve"> </w:t>
      </w:r>
    </w:p>
    <w:p w14:paraId="78CDD2FC" w14:textId="77777777" w:rsidR="00411620" w:rsidRPr="003B28FD" w:rsidRDefault="00411620" w:rsidP="00411620">
      <w:pPr>
        <w:spacing w:line="216" w:lineRule="auto"/>
        <w:rPr>
          <w:i/>
          <w:sz w:val="23"/>
          <w:szCs w:val="23"/>
          <w:rtl/>
        </w:rPr>
      </w:pPr>
    </w:p>
    <w:p w14:paraId="0B2409B5" w14:textId="77777777" w:rsidR="00411620" w:rsidRPr="003B28FD" w:rsidRDefault="00411620" w:rsidP="00C67946">
      <w:pPr>
        <w:pStyle w:val="ListParagraph"/>
        <w:numPr>
          <w:ilvl w:val="0"/>
          <w:numId w:val="4"/>
        </w:numPr>
        <w:spacing w:line="216" w:lineRule="auto"/>
        <w:ind w:left="0" w:firstLine="0"/>
        <w:rPr>
          <w:bCs/>
          <w:i/>
          <w:sz w:val="23"/>
          <w:szCs w:val="23"/>
          <w:rtl/>
        </w:rPr>
      </w:pPr>
      <w:r w:rsidRPr="003B28FD">
        <w:rPr>
          <w:bCs/>
          <w:i/>
          <w:sz w:val="23"/>
          <w:szCs w:val="23"/>
          <w:rtl/>
        </w:rPr>
        <w:t>مسئل</w:t>
      </w:r>
      <w:r w:rsidRPr="003B28FD">
        <w:rPr>
          <w:rFonts w:hint="cs"/>
          <w:bCs/>
          <w:i/>
          <w:sz w:val="23"/>
          <w:szCs w:val="23"/>
          <w:rtl/>
        </w:rPr>
        <w:t>ه</w:t>
      </w:r>
      <w:r w:rsidRPr="003B28FD">
        <w:rPr>
          <w:bCs/>
          <w:i/>
          <w:sz w:val="23"/>
          <w:szCs w:val="23"/>
          <w:rtl/>
        </w:rPr>
        <w:softHyphen/>
      </w:r>
      <w:r w:rsidRPr="003B28FD">
        <w:rPr>
          <w:rFonts w:hint="cs"/>
          <w:bCs/>
          <w:i/>
          <w:sz w:val="23"/>
          <w:szCs w:val="23"/>
          <w:rtl/>
        </w:rPr>
        <w:t>ی</w:t>
      </w:r>
      <w:r w:rsidRPr="003B28FD">
        <w:rPr>
          <w:bCs/>
          <w:i/>
          <w:sz w:val="23"/>
          <w:szCs w:val="23"/>
          <w:rtl/>
        </w:rPr>
        <w:t xml:space="preserve"> دولت</w:t>
      </w:r>
    </w:p>
    <w:p w14:paraId="0095177C" w14:textId="77777777" w:rsidR="00411620" w:rsidRPr="003B28FD" w:rsidRDefault="00411620" w:rsidP="00411620">
      <w:pPr>
        <w:spacing w:line="216" w:lineRule="auto"/>
        <w:rPr>
          <w:i/>
          <w:sz w:val="23"/>
          <w:szCs w:val="23"/>
          <w:rtl/>
        </w:rPr>
      </w:pPr>
      <w:r w:rsidRPr="003B28FD">
        <w:rPr>
          <w:rFonts w:hint="cs"/>
          <w:i/>
          <w:sz w:val="23"/>
          <w:szCs w:val="23"/>
          <w:rtl/>
        </w:rPr>
        <w:t>از آن</w:t>
      </w:r>
      <w:r w:rsidRPr="003B28FD">
        <w:rPr>
          <w:i/>
          <w:sz w:val="23"/>
          <w:szCs w:val="23"/>
          <w:rtl/>
        </w:rPr>
        <w:softHyphen/>
      </w:r>
      <w:r w:rsidRPr="003B28FD">
        <w:rPr>
          <w:rFonts w:hint="cs"/>
          <w:i/>
          <w:sz w:val="23"/>
          <w:szCs w:val="23"/>
          <w:rtl/>
        </w:rPr>
        <w:t>جا که</w:t>
      </w:r>
      <w:r w:rsidRPr="003B28FD">
        <w:rPr>
          <w:i/>
          <w:sz w:val="23"/>
          <w:szCs w:val="23"/>
          <w:rtl/>
        </w:rPr>
        <w:t xml:space="preserve"> نتايج دور</w:t>
      </w:r>
      <w:r w:rsidRPr="003B28FD">
        <w:rPr>
          <w:rFonts w:hint="cs"/>
          <w:i/>
          <w:sz w:val="23"/>
          <w:szCs w:val="23"/>
          <w:rtl/>
        </w:rPr>
        <w:t>ه</w:t>
      </w:r>
      <w:r w:rsidRPr="003B28FD">
        <w:rPr>
          <w:i/>
          <w:sz w:val="23"/>
          <w:szCs w:val="23"/>
          <w:rtl/>
        </w:rPr>
        <w:softHyphen/>
      </w:r>
      <w:r w:rsidRPr="003B28FD">
        <w:rPr>
          <w:rFonts w:hint="cs"/>
          <w:i/>
          <w:sz w:val="23"/>
          <w:szCs w:val="23"/>
          <w:rtl/>
        </w:rPr>
        <w:t xml:space="preserve">ی </w:t>
      </w:r>
      <w:r w:rsidRPr="003B28FD">
        <w:rPr>
          <w:i/>
          <w:sz w:val="23"/>
          <w:szCs w:val="23"/>
          <w:rtl/>
        </w:rPr>
        <w:t>اول</w:t>
      </w:r>
      <w:r w:rsidRPr="003B28FD">
        <w:rPr>
          <w:rFonts w:hint="cs"/>
          <w:i/>
          <w:sz w:val="23"/>
          <w:szCs w:val="23"/>
          <w:rtl/>
        </w:rPr>
        <w:t>،</w:t>
      </w:r>
      <w:r w:rsidRPr="003B28FD">
        <w:rPr>
          <w:i/>
          <w:sz w:val="23"/>
          <w:szCs w:val="23"/>
          <w:rtl/>
        </w:rPr>
        <w:t xml:space="preserve"> يعني</w:t>
      </w:r>
      <w:r w:rsidRPr="003B28FD">
        <w:rPr>
          <w:position w:val="-10"/>
        </w:rPr>
        <w:object w:dxaOrig="200" w:dyaOrig="320" w14:anchorId="7B7BF775">
          <v:shape id="_x0000_i3093" type="#_x0000_t75" style="width:10.3pt;height:16.35pt" o:ole="">
            <v:imagedata r:id="rId4171" o:title=""/>
          </v:shape>
          <o:OLEObject Type="Embed" ProgID="Equation.DSMT4" ShapeID="_x0000_i3093" DrawAspect="Content" ObjectID="_1791377037" r:id="rId4172"/>
        </w:object>
      </w:r>
      <w:r w:rsidRPr="003B28FD">
        <w:rPr>
          <w:i/>
          <w:sz w:val="23"/>
          <w:szCs w:val="23"/>
          <w:rtl/>
        </w:rPr>
        <w:t xml:space="preserve"> </w:t>
      </w:r>
      <w:r w:rsidRPr="003B28FD">
        <w:rPr>
          <w:rFonts w:hint="cs"/>
          <w:i/>
          <w:sz w:val="23"/>
          <w:szCs w:val="23"/>
          <w:rtl/>
        </w:rPr>
        <w:t>از رابطه</w:t>
      </w:r>
      <w:r w:rsidRPr="003B28FD">
        <w:rPr>
          <w:i/>
          <w:sz w:val="23"/>
          <w:szCs w:val="23"/>
          <w:rtl/>
        </w:rPr>
        <w:softHyphen/>
      </w:r>
      <w:r w:rsidRPr="003B28FD">
        <w:rPr>
          <w:rFonts w:hint="cs"/>
          <w:i/>
          <w:sz w:val="23"/>
          <w:szCs w:val="23"/>
          <w:rtl/>
        </w:rPr>
        <w:t>ی (۶. ۱۵)</w:t>
      </w:r>
      <w:r w:rsidRPr="003B28FD">
        <w:rPr>
          <w:rFonts w:eastAsiaTheme="minorEastAsia" w:hint="cs"/>
          <w:i/>
          <w:sz w:val="23"/>
          <w:szCs w:val="23"/>
          <w:rtl/>
        </w:rPr>
        <w:t xml:space="preserve"> </w:t>
      </w:r>
      <w:r w:rsidRPr="003B28FD">
        <w:rPr>
          <w:i/>
          <w:sz w:val="23"/>
          <w:szCs w:val="23"/>
          <w:rtl/>
        </w:rPr>
        <w:t>و</w:t>
      </w:r>
      <w:r w:rsidRPr="003B28FD">
        <w:rPr>
          <w:rFonts w:hint="cs"/>
          <w:i/>
          <w:sz w:val="23"/>
          <w:szCs w:val="23"/>
          <w:rtl/>
        </w:rPr>
        <w:t xml:space="preserve"> </w:t>
      </w:r>
      <w:r w:rsidRPr="003B28FD">
        <w:rPr>
          <w:position w:val="-10"/>
        </w:rPr>
        <w:object w:dxaOrig="360" w:dyaOrig="320" w14:anchorId="5DD148DA">
          <v:shape id="_x0000_i3094" type="#_x0000_t75" style="width:18.15pt;height:16.35pt" o:ole="">
            <v:imagedata r:id="rId4173" o:title=""/>
          </v:shape>
          <o:OLEObject Type="Embed" ProgID="Equation.DSMT4" ShapeID="_x0000_i3094" DrawAspect="Content" ObjectID="_1791377038" r:id="rId4174"/>
        </w:object>
      </w:r>
      <w:r w:rsidRPr="003B28FD">
        <w:rPr>
          <w:rFonts w:hint="cs"/>
          <w:i/>
          <w:sz w:val="23"/>
          <w:szCs w:val="23"/>
          <w:rtl/>
        </w:rPr>
        <w:t xml:space="preserve"> از رابطه</w:t>
      </w:r>
      <w:r w:rsidRPr="003B28FD">
        <w:rPr>
          <w:i/>
          <w:sz w:val="23"/>
          <w:szCs w:val="23"/>
          <w:rtl/>
        </w:rPr>
        <w:softHyphen/>
      </w:r>
      <w:r w:rsidRPr="003B28FD">
        <w:rPr>
          <w:rFonts w:hint="cs"/>
          <w:i/>
          <w:sz w:val="23"/>
          <w:szCs w:val="23"/>
          <w:rtl/>
        </w:rPr>
        <w:t>ی (۶. ۱۴)</w:t>
      </w:r>
      <w:r w:rsidRPr="003B28FD">
        <w:rPr>
          <w:rFonts w:eastAsiaTheme="minorEastAsia" w:hint="cs"/>
          <w:i/>
          <w:sz w:val="23"/>
          <w:szCs w:val="23"/>
          <w:rtl/>
        </w:rPr>
        <w:t xml:space="preserve"> </w:t>
      </w:r>
      <w:r w:rsidRPr="003B28FD">
        <w:rPr>
          <w:rFonts w:hint="cs"/>
          <w:i/>
          <w:sz w:val="23"/>
          <w:szCs w:val="23"/>
          <w:rtl/>
        </w:rPr>
        <w:t xml:space="preserve">برای دولت </w:t>
      </w:r>
      <w:r w:rsidRPr="003B28FD">
        <w:rPr>
          <w:i/>
          <w:sz w:val="23"/>
          <w:szCs w:val="23"/>
          <w:rtl/>
        </w:rPr>
        <w:t>داده شده در نظر گ</w:t>
      </w:r>
      <w:r w:rsidRPr="003B28FD">
        <w:rPr>
          <w:rFonts w:hint="cs"/>
          <w:i/>
          <w:sz w:val="23"/>
          <w:szCs w:val="23"/>
          <w:rtl/>
        </w:rPr>
        <w:t>رفته می</w:t>
      </w:r>
      <w:r w:rsidRPr="003B28FD">
        <w:rPr>
          <w:i/>
          <w:sz w:val="23"/>
          <w:szCs w:val="23"/>
          <w:rtl/>
        </w:rPr>
        <w:softHyphen/>
      </w:r>
      <w:r w:rsidRPr="003B28FD">
        <w:rPr>
          <w:rFonts w:hint="cs"/>
          <w:i/>
          <w:sz w:val="23"/>
          <w:szCs w:val="23"/>
          <w:rtl/>
        </w:rPr>
        <w:t>شود،</w:t>
      </w:r>
      <w:r w:rsidRPr="003B28FD">
        <w:rPr>
          <w:i/>
          <w:sz w:val="23"/>
          <w:szCs w:val="23"/>
          <w:rtl/>
        </w:rPr>
        <w:t xml:space="preserve"> لذا مسئله</w:t>
      </w:r>
      <w:r w:rsidRPr="003B28FD">
        <w:rPr>
          <w:i/>
          <w:sz w:val="23"/>
          <w:szCs w:val="23"/>
          <w:rtl/>
        </w:rPr>
        <w:softHyphen/>
      </w:r>
      <w:r w:rsidRPr="003B28FD">
        <w:rPr>
          <w:rFonts w:hint="cs"/>
          <w:i/>
          <w:sz w:val="23"/>
          <w:szCs w:val="23"/>
          <w:rtl/>
        </w:rPr>
        <w:t>ی</w:t>
      </w:r>
      <w:r w:rsidRPr="003B28FD">
        <w:rPr>
          <w:i/>
          <w:sz w:val="23"/>
          <w:szCs w:val="23"/>
          <w:rtl/>
        </w:rPr>
        <w:t xml:space="preserve"> دولت انتخاب</w:t>
      </w:r>
      <w:r w:rsidRPr="003B28FD">
        <w:rPr>
          <w:rFonts w:hint="cs"/>
          <w:i/>
          <w:sz w:val="23"/>
          <w:szCs w:val="23"/>
          <w:rtl/>
        </w:rPr>
        <w:t xml:space="preserve"> مخارج خود در زمان </w:t>
      </w:r>
      <w:r w:rsidRPr="003B28FD">
        <w:rPr>
          <w:position w:val="-6"/>
        </w:rPr>
        <w:object w:dxaOrig="440" w:dyaOrig="260" w14:anchorId="40E4B99F">
          <v:shape id="_x0000_i3095" type="#_x0000_t75" style="width:21.8pt;height:13.3pt" o:ole="">
            <v:imagedata r:id="rId4175" o:title=""/>
          </v:shape>
          <o:OLEObject Type="Embed" ProgID="Equation.DSMT4" ShapeID="_x0000_i3095" DrawAspect="Content" ObjectID="_1791377039" r:id="rId4176"/>
        </w:object>
      </w:r>
      <w:r w:rsidRPr="003B28FD">
        <w:rPr>
          <w:i/>
          <w:sz w:val="23"/>
          <w:szCs w:val="23"/>
        </w:rPr>
        <w:t xml:space="preserve"> </w:t>
      </w:r>
      <w:r w:rsidRPr="003B28FD">
        <w:rPr>
          <w:rFonts w:hint="cs"/>
          <w:i/>
          <w:sz w:val="23"/>
          <w:szCs w:val="23"/>
          <w:rtl/>
        </w:rPr>
        <w:t>یا</w:t>
      </w:r>
      <w:r w:rsidRPr="003B28FD">
        <w:rPr>
          <w:i/>
          <w:sz w:val="23"/>
          <w:szCs w:val="23"/>
          <w:rtl/>
        </w:rPr>
        <w:t xml:space="preserve"> </w:t>
      </w:r>
      <w:r w:rsidRPr="003B28FD">
        <w:rPr>
          <w:position w:val="-10"/>
        </w:rPr>
        <w:object w:dxaOrig="380" w:dyaOrig="320" w14:anchorId="21B1EE38">
          <v:shape id="_x0000_i3096" type="#_x0000_t75" style="width:18.75pt;height:16.35pt" o:ole="">
            <v:imagedata r:id="rId4177" o:title=""/>
          </v:shape>
          <o:OLEObject Type="Embed" ProgID="Equation.DSMT4" ShapeID="_x0000_i3096" DrawAspect="Content" ObjectID="_1791377040" r:id="rId4178"/>
        </w:object>
      </w:r>
      <w:r w:rsidRPr="003B28FD">
        <w:rPr>
          <w:i/>
          <w:sz w:val="23"/>
          <w:szCs w:val="23"/>
          <w:rtl/>
        </w:rPr>
        <w:t xml:space="preserve"> با توجه به نتايج دور</w:t>
      </w:r>
      <w:r w:rsidRPr="003B28FD">
        <w:rPr>
          <w:rFonts w:hint="cs"/>
          <w:i/>
          <w:sz w:val="23"/>
          <w:szCs w:val="23"/>
          <w:rtl/>
        </w:rPr>
        <w:t>ه</w:t>
      </w:r>
      <w:r w:rsidRPr="003B28FD">
        <w:rPr>
          <w:i/>
          <w:sz w:val="23"/>
          <w:szCs w:val="23"/>
          <w:rtl/>
        </w:rPr>
        <w:softHyphen/>
      </w:r>
      <w:r w:rsidRPr="003B28FD">
        <w:rPr>
          <w:rFonts w:hint="cs"/>
          <w:i/>
          <w:sz w:val="23"/>
          <w:szCs w:val="23"/>
          <w:rtl/>
        </w:rPr>
        <w:t>ی</w:t>
      </w:r>
      <w:r w:rsidRPr="003B28FD">
        <w:rPr>
          <w:position w:val="-6"/>
        </w:rPr>
        <w:object w:dxaOrig="139" w:dyaOrig="240" w14:anchorId="420C8B92">
          <v:shape id="_x0000_i3097" type="#_x0000_t75" style="width:7.25pt;height:12.1pt" o:ole="">
            <v:imagedata r:id="rId4179" o:title=""/>
          </v:shape>
          <o:OLEObject Type="Embed" ProgID="Equation.DSMT4" ShapeID="_x0000_i3097" DrawAspect="Content" ObjectID="_1791377041" r:id="rId4180"/>
        </w:object>
      </w:r>
      <w:r w:rsidRPr="003B28FD">
        <w:rPr>
          <w:i/>
          <w:sz w:val="23"/>
          <w:szCs w:val="23"/>
          <w:rtl/>
        </w:rPr>
        <w:t xml:space="preserve"> </w:t>
      </w:r>
      <w:r w:rsidRPr="003B28FD">
        <w:rPr>
          <w:rFonts w:hint="cs"/>
          <w:i/>
          <w:sz w:val="23"/>
          <w:szCs w:val="23"/>
          <w:rtl/>
        </w:rPr>
        <w:t>یعنی (۶. ۱۳)</w:t>
      </w:r>
      <w:r w:rsidRPr="003B28FD">
        <w:rPr>
          <w:rFonts w:eastAsiaTheme="minorEastAsia" w:hint="cs"/>
          <w:i/>
          <w:sz w:val="23"/>
          <w:szCs w:val="23"/>
          <w:rtl/>
        </w:rPr>
        <w:t xml:space="preserve"> و </w:t>
      </w:r>
      <w:r w:rsidRPr="003B28FD">
        <w:rPr>
          <w:i/>
          <w:sz w:val="23"/>
          <w:szCs w:val="23"/>
          <w:rtl/>
        </w:rPr>
        <w:t xml:space="preserve">قيد </w:t>
      </w:r>
      <w:r w:rsidRPr="003B28FD">
        <w:rPr>
          <w:rFonts w:hint="cs"/>
          <w:i/>
          <w:sz w:val="23"/>
          <w:szCs w:val="23"/>
          <w:rtl/>
        </w:rPr>
        <w:t>منبع</w:t>
      </w:r>
      <w:r w:rsidRPr="003B28FD">
        <w:rPr>
          <w:i/>
          <w:sz w:val="23"/>
          <w:szCs w:val="23"/>
          <w:rtl/>
        </w:rPr>
        <w:t xml:space="preserve"> اقتصاد</w:t>
      </w:r>
      <w:r w:rsidRPr="003B28FD">
        <w:rPr>
          <w:rFonts w:eastAsiaTheme="minorEastAsia"/>
          <w:i/>
          <w:sz w:val="23"/>
          <w:szCs w:val="23"/>
        </w:rPr>
        <w:t xml:space="preserve"> </w:t>
      </w:r>
      <w:r w:rsidRPr="003B28FD">
        <w:rPr>
          <w:i/>
          <w:sz w:val="23"/>
          <w:szCs w:val="23"/>
          <w:rtl/>
        </w:rPr>
        <w:t>در دور</w:t>
      </w:r>
      <w:r w:rsidRPr="003B28FD">
        <w:rPr>
          <w:rFonts w:hint="cs"/>
          <w:i/>
          <w:sz w:val="23"/>
          <w:szCs w:val="23"/>
          <w:rtl/>
        </w:rPr>
        <w:t>ه</w:t>
      </w:r>
      <w:r w:rsidRPr="003B28FD">
        <w:rPr>
          <w:i/>
          <w:sz w:val="23"/>
          <w:szCs w:val="23"/>
          <w:rtl/>
        </w:rPr>
        <w:softHyphen/>
      </w:r>
      <w:r w:rsidRPr="003B28FD">
        <w:rPr>
          <w:rFonts w:hint="cs"/>
          <w:i/>
          <w:sz w:val="23"/>
          <w:szCs w:val="23"/>
          <w:rtl/>
        </w:rPr>
        <w:t>ی</w:t>
      </w:r>
      <w:r w:rsidRPr="003B28FD">
        <w:rPr>
          <w:i/>
          <w:sz w:val="23"/>
          <w:szCs w:val="23"/>
          <w:rtl/>
        </w:rPr>
        <w:t xml:space="preserve"> </w:t>
      </w:r>
      <w:r w:rsidRPr="003B28FD">
        <w:rPr>
          <w:position w:val="-6"/>
        </w:rPr>
        <w:object w:dxaOrig="440" w:dyaOrig="260" w14:anchorId="765346D6">
          <v:shape id="_x0000_i3098" type="#_x0000_t75" style="width:21.8pt;height:13.3pt" o:ole="">
            <v:imagedata r:id="rId4181" o:title=""/>
          </v:shape>
          <o:OLEObject Type="Embed" ProgID="Equation.DSMT4" ShapeID="_x0000_i3098" DrawAspect="Content" ObjectID="_1791377042" r:id="rId4182"/>
        </w:object>
      </w:r>
      <w:r w:rsidRPr="003B28FD">
        <w:rPr>
          <w:i/>
          <w:sz w:val="23"/>
          <w:szCs w:val="23"/>
          <w:rtl/>
        </w:rPr>
        <w:t xml:space="preserve"> </w:t>
      </w:r>
      <w:r w:rsidRPr="003B28FD">
        <w:rPr>
          <w:rFonts w:hint="cs"/>
          <w:i/>
          <w:sz w:val="23"/>
          <w:szCs w:val="23"/>
          <w:rtl/>
        </w:rPr>
        <w:t>یعنی  (۶. ۲)</w:t>
      </w:r>
      <w:r w:rsidRPr="003B28FD">
        <w:rPr>
          <w:rFonts w:eastAsiaTheme="minorEastAsia" w:hint="cs"/>
          <w:i/>
          <w:sz w:val="23"/>
          <w:szCs w:val="23"/>
          <w:rtl/>
        </w:rPr>
        <w:t xml:space="preserve"> </w:t>
      </w:r>
      <w:r w:rsidRPr="003B28FD">
        <w:rPr>
          <w:i/>
          <w:sz w:val="23"/>
          <w:szCs w:val="23"/>
          <w:rtl/>
        </w:rPr>
        <w:t>است</w:t>
      </w:r>
      <w:r w:rsidRPr="003B28FD">
        <w:rPr>
          <w:rFonts w:hint="cs"/>
          <w:i/>
          <w:sz w:val="23"/>
          <w:szCs w:val="23"/>
          <w:rtl/>
        </w:rPr>
        <w:t xml:space="preserve">، </w:t>
      </w:r>
      <w:r w:rsidRPr="003B28FD">
        <w:rPr>
          <w:i/>
          <w:sz w:val="23"/>
          <w:szCs w:val="23"/>
          <w:rtl/>
        </w:rPr>
        <w:t xml:space="preserve">تا مطلوبيت </w:t>
      </w:r>
      <w:r w:rsidRPr="003B28FD">
        <w:rPr>
          <w:rFonts w:hint="cs"/>
          <w:i/>
          <w:sz w:val="23"/>
          <w:szCs w:val="23"/>
          <w:rtl/>
        </w:rPr>
        <w:t>خانوار</w:t>
      </w:r>
      <w:r w:rsidRPr="003B28FD">
        <w:rPr>
          <w:i/>
          <w:sz w:val="23"/>
          <w:szCs w:val="23"/>
          <w:rtl/>
        </w:rPr>
        <w:t xml:space="preserve"> در دوره</w:t>
      </w:r>
      <w:r w:rsidRPr="003B28FD">
        <w:rPr>
          <w:i/>
          <w:sz w:val="23"/>
          <w:szCs w:val="23"/>
          <w:rtl/>
        </w:rPr>
        <w:softHyphen/>
      </w:r>
      <w:r w:rsidRPr="003B28FD">
        <w:rPr>
          <w:rFonts w:hint="cs"/>
          <w:i/>
          <w:sz w:val="23"/>
          <w:szCs w:val="23"/>
          <w:rtl/>
        </w:rPr>
        <w:t>ی</w:t>
      </w:r>
      <w:r w:rsidRPr="003B28FD">
        <w:rPr>
          <w:i/>
          <w:sz w:val="23"/>
          <w:szCs w:val="23"/>
          <w:rtl/>
        </w:rPr>
        <w:t xml:space="preserve"> </w:t>
      </w:r>
      <w:r w:rsidRPr="003B28FD">
        <w:rPr>
          <w:position w:val="-6"/>
        </w:rPr>
        <w:object w:dxaOrig="440" w:dyaOrig="260" w14:anchorId="73D18809">
          <v:shape id="_x0000_i3099" type="#_x0000_t75" style="width:21.8pt;height:13.3pt" o:ole="">
            <v:imagedata r:id="rId4183" o:title=""/>
          </v:shape>
          <o:OLEObject Type="Embed" ProgID="Equation.DSMT4" ShapeID="_x0000_i3099" DrawAspect="Content" ObjectID="_1791377043" r:id="rId4184"/>
        </w:object>
      </w:r>
      <w:r w:rsidRPr="003B28FD">
        <w:rPr>
          <w:i/>
          <w:sz w:val="23"/>
          <w:szCs w:val="23"/>
          <w:rtl/>
        </w:rPr>
        <w:t xml:space="preserve"> حداكثر </w:t>
      </w:r>
      <w:r w:rsidRPr="003B28FD">
        <w:rPr>
          <w:rFonts w:hint="cs"/>
          <w:i/>
          <w:sz w:val="23"/>
          <w:szCs w:val="23"/>
          <w:rtl/>
        </w:rPr>
        <w:t>شود</w:t>
      </w:r>
      <w:r w:rsidRPr="003B28FD">
        <w:rPr>
          <w:i/>
          <w:sz w:val="23"/>
          <w:szCs w:val="23"/>
          <w:rtl/>
        </w:rPr>
        <w:t xml:space="preserve">. </w:t>
      </w:r>
      <w:r w:rsidRPr="003B28FD">
        <w:rPr>
          <w:rFonts w:hint="cs"/>
          <w:i/>
          <w:sz w:val="23"/>
          <w:szCs w:val="23"/>
          <w:rtl/>
        </w:rPr>
        <w:t xml:space="preserve">بنابراین لاگرانژین این مسئله  </w:t>
      </w:r>
      <w:r w:rsidRPr="003B28FD">
        <w:rPr>
          <w:i/>
          <w:sz w:val="23"/>
          <w:szCs w:val="23"/>
          <w:rtl/>
        </w:rPr>
        <w:t>عبارت است از</w:t>
      </w:r>
    </w:p>
    <w:p w14:paraId="72B2A265"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Pr>
      </w:pPr>
      <w:r w:rsidRPr="003B28FD">
        <w:rPr>
          <w:position w:val="-10"/>
        </w:rPr>
        <w:object w:dxaOrig="2520" w:dyaOrig="320" w14:anchorId="485CAAB2">
          <v:shape id="_x0000_i3100" type="#_x0000_t75" style="width:125.85pt;height:16.35pt" o:ole="">
            <v:imagedata r:id="rId4185" o:title=""/>
          </v:shape>
          <o:OLEObject Type="Embed" ProgID="Equation.DSMT4" ShapeID="_x0000_i3100" DrawAspect="Content" ObjectID="_1791377044" r:id="rId4186"/>
        </w:object>
      </w:r>
    </w:p>
    <w:p w14:paraId="4A0CFF4B" w14:textId="77777777" w:rsidR="00411620" w:rsidRPr="003B28FD" w:rsidRDefault="00411620" w:rsidP="00411620">
      <w:pPr>
        <w:bidi w:val="0"/>
        <w:spacing w:line="216" w:lineRule="auto"/>
        <w:rPr>
          <w:i/>
          <w:sz w:val="23"/>
          <w:szCs w:val="23"/>
        </w:rPr>
      </w:pPr>
      <w:r w:rsidRPr="003B28FD">
        <w:rPr>
          <w:position w:val="-26"/>
        </w:rPr>
        <w:object w:dxaOrig="5020" w:dyaOrig="620" w14:anchorId="260D3805">
          <v:shape id="_x0000_i3101" type="#_x0000_t75" style="width:251.1pt;height:30.85pt" o:ole="">
            <v:imagedata r:id="rId4187" o:title=""/>
          </v:shape>
          <o:OLEObject Type="Embed" ProgID="Equation.DSMT4" ShapeID="_x0000_i3101" DrawAspect="Content" ObjectID="_1791377045" r:id="rId4188"/>
        </w:object>
      </w:r>
      <w:r w:rsidRPr="003B28FD">
        <w:rPr>
          <w:rFonts w:eastAsiaTheme="minorEastAsia"/>
          <w:i/>
          <w:sz w:val="23"/>
          <w:szCs w:val="23"/>
        </w:rPr>
        <w:t xml:space="preserve"> </w:t>
      </w:r>
    </w:p>
    <w:p w14:paraId="6FAAB656" w14:textId="77777777" w:rsidR="00411620" w:rsidRPr="003B28FD" w:rsidRDefault="00411620" w:rsidP="00411620">
      <w:pPr>
        <w:spacing w:line="216" w:lineRule="auto"/>
        <w:rPr>
          <w:i/>
          <w:sz w:val="23"/>
          <w:szCs w:val="23"/>
          <w:rtl/>
        </w:rPr>
      </w:pPr>
      <w:r w:rsidRPr="003B28FD">
        <w:rPr>
          <w:i/>
          <w:sz w:val="23"/>
          <w:szCs w:val="23"/>
          <w:rtl/>
        </w:rPr>
        <w:t>شرايط مرتبه</w:t>
      </w:r>
      <w:r w:rsidRPr="003B28FD">
        <w:rPr>
          <w:i/>
          <w:sz w:val="23"/>
          <w:szCs w:val="23"/>
          <w:rtl/>
        </w:rPr>
        <w:softHyphen/>
      </w:r>
      <w:r w:rsidRPr="003B28FD">
        <w:rPr>
          <w:rFonts w:hint="cs"/>
          <w:i/>
          <w:sz w:val="23"/>
          <w:szCs w:val="23"/>
          <w:rtl/>
        </w:rPr>
        <w:t>ی</w:t>
      </w:r>
      <w:r w:rsidRPr="003B28FD">
        <w:rPr>
          <w:i/>
          <w:sz w:val="23"/>
          <w:szCs w:val="23"/>
          <w:rtl/>
        </w:rPr>
        <w:t xml:space="preserve"> اول عبارت</w:t>
      </w:r>
      <w:r w:rsidRPr="003B28FD">
        <w:rPr>
          <w:rFonts w:hint="cs"/>
          <w:i/>
          <w:sz w:val="23"/>
          <w:szCs w:val="23"/>
          <w:rtl/>
        </w:rPr>
        <w:t>ند</w:t>
      </w:r>
      <w:r w:rsidRPr="003B28FD">
        <w:rPr>
          <w:i/>
          <w:sz w:val="23"/>
          <w:szCs w:val="23"/>
          <w:rtl/>
        </w:rPr>
        <w:t xml:space="preserve"> از:</w:t>
      </w:r>
    </w:p>
    <w:p w14:paraId="0321F622"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3B28FD">
        <w:rPr>
          <w:position w:val="-28"/>
        </w:rPr>
        <w:object w:dxaOrig="2520" w:dyaOrig="620" w14:anchorId="642AEAFC">
          <v:shape id="_x0000_i3102" type="#_x0000_t75" style="width:125.85pt;height:30.85pt" o:ole="">
            <v:imagedata r:id="rId4189" o:title=""/>
          </v:shape>
          <o:OLEObject Type="Embed" ProgID="Equation.DSMT4" ShapeID="_x0000_i3102" DrawAspect="Content" ObjectID="_1791377046" r:id="rId4190"/>
        </w:object>
      </w:r>
    </w:p>
    <w:p w14:paraId="48EC379D"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3B28FD">
        <w:rPr>
          <w:position w:val="-28"/>
        </w:rPr>
        <w:object w:dxaOrig="3080" w:dyaOrig="620" w14:anchorId="5D85B736">
          <v:shape id="_x0000_i3103" type="#_x0000_t75" style="width:154.3pt;height:30.85pt" o:ole="">
            <v:imagedata r:id="rId4191" o:title=""/>
          </v:shape>
          <o:OLEObject Type="Embed" ProgID="Equation.DSMT4" ShapeID="_x0000_i3103" DrawAspect="Content" ObjectID="_1791377047" r:id="rId4192"/>
        </w:object>
      </w:r>
    </w:p>
    <w:p w14:paraId="291E63E5" w14:textId="77777777" w:rsidR="00411620" w:rsidRPr="003B28FD" w:rsidRDefault="00411620" w:rsidP="00411620">
      <w:pPr>
        <w:pStyle w:val="MTDisplayEquation"/>
        <w:spacing w:line="216" w:lineRule="auto"/>
        <w:rPr>
          <w:rFonts w:ascii="Times New Roman" w:hAnsi="Times New Roman" w:cs="B Nazanin"/>
          <w:i/>
          <w:sz w:val="23"/>
          <w:szCs w:val="23"/>
          <w:rtl/>
        </w:rPr>
      </w:pPr>
      <w:r w:rsidRPr="003B28FD">
        <w:rPr>
          <w:position w:val="-28"/>
        </w:rPr>
        <w:object w:dxaOrig="3600" w:dyaOrig="620" w14:anchorId="6DD28182">
          <v:shape id="_x0000_i3104" type="#_x0000_t75" style="width:180.3pt;height:30.85pt" o:ole="">
            <v:imagedata r:id="rId4193" o:title=""/>
          </v:shape>
          <o:OLEObject Type="Embed" ProgID="Equation.DSMT4" ShapeID="_x0000_i3104" DrawAspect="Content" ObjectID="_1791377048" r:id="rId4194"/>
        </w:object>
      </w:r>
    </w:p>
    <w:p w14:paraId="0DEB1B37" w14:textId="77777777" w:rsidR="00411620" w:rsidRPr="003B28FD" w:rsidRDefault="00411620" w:rsidP="00411620">
      <w:pPr>
        <w:spacing w:line="216" w:lineRule="auto"/>
        <w:rPr>
          <w:i/>
          <w:sz w:val="23"/>
          <w:szCs w:val="23"/>
        </w:rPr>
      </w:pPr>
      <w:r w:rsidRPr="003B28FD">
        <w:rPr>
          <w:i/>
          <w:sz w:val="23"/>
          <w:szCs w:val="23"/>
          <w:rtl/>
        </w:rPr>
        <w:t>با توجه به اينكه از رابطه</w:t>
      </w:r>
      <w:r w:rsidRPr="003B28FD">
        <w:rPr>
          <w:i/>
          <w:sz w:val="23"/>
          <w:szCs w:val="23"/>
          <w:rtl/>
        </w:rPr>
        <w:softHyphen/>
      </w:r>
      <w:r w:rsidRPr="003B28FD">
        <w:rPr>
          <w:rFonts w:hint="cs"/>
          <w:i/>
          <w:sz w:val="23"/>
          <w:szCs w:val="23"/>
          <w:rtl/>
        </w:rPr>
        <w:t>ی (۶. ۱۳)</w:t>
      </w:r>
      <w:r w:rsidRPr="003B28FD">
        <w:rPr>
          <w:rFonts w:eastAsiaTheme="minorEastAsia" w:hint="cs"/>
          <w:i/>
          <w:sz w:val="23"/>
          <w:szCs w:val="23"/>
          <w:rtl/>
        </w:rPr>
        <w:t xml:space="preserve"> </w:t>
      </w:r>
      <w:r w:rsidRPr="003B28FD">
        <w:rPr>
          <w:i/>
          <w:sz w:val="23"/>
          <w:szCs w:val="23"/>
          <w:rtl/>
        </w:rPr>
        <w:t>دا</w:t>
      </w:r>
      <w:r w:rsidRPr="003B28FD">
        <w:rPr>
          <w:rFonts w:hint="cs"/>
          <w:i/>
          <w:sz w:val="23"/>
          <w:szCs w:val="23"/>
          <w:rtl/>
        </w:rPr>
        <w:t>شتی</w:t>
      </w:r>
      <w:r w:rsidRPr="003B28FD">
        <w:rPr>
          <w:i/>
          <w:sz w:val="23"/>
          <w:szCs w:val="23"/>
          <w:rtl/>
        </w:rPr>
        <w:t>م</w:t>
      </w:r>
    </w:p>
    <w:p w14:paraId="0F7FCA5A"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Pr>
      </w:pPr>
      <w:r w:rsidRPr="003B28FD">
        <w:rPr>
          <w:position w:val="-22"/>
        </w:rPr>
        <w:object w:dxaOrig="2020" w:dyaOrig="560" w14:anchorId="3FBF51D6">
          <v:shape id="_x0000_i3105" type="#_x0000_t75" style="width:101.05pt;height:27.85pt" o:ole="">
            <v:imagedata r:id="rId4195" o:title=""/>
          </v:shape>
          <o:OLEObject Type="Embed" ProgID="Equation.DSMT4" ShapeID="_x0000_i3105" DrawAspect="Content" ObjectID="_1791377049" r:id="rId4196"/>
        </w:object>
      </w:r>
    </w:p>
    <w:p w14:paraId="3482891B" w14:textId="77777777" w:rsidR="00411620" w:rsidRPr="003B28FD" w:rsidRDefault="00411620" w:rsidP="00411620">
      <w:pPr>
        <w:spacing w:line="216" w:lineRule="auto"/>
        <w:rPr>
          <w:i/>
          <w:sz w:val="23"/>
          <w:szCs w:val="23"/>
          <w:rtl/>
        </w:rPr>
      </w:pPr>
      <w:r w:rsidRPr="003B28FD">
        <w:rPr>
          <w:rFonts w:hint="cs"/>
          <w:i/>
          <w:sz w:val="23"/>
          <w:szCs w:val="23"/>
          <w:rtl/>
        </w:rPr>
        <w:t xml:space="preserve">و با استفاده شرط مرتبه اول </w:t>
      </w:r>
      <w:r w:rsidRPr="003B28FD">
        <w:rPr>
          <w:position w:val="-6"/>
        </w:rPr>
        <w:object w:dxaOrig="180" w:dyaOrig="260" w14:anchorId="29B35117">
          <v:shape id="_x0000_i3106" type="#_x0000_t75" style="width:9.1pt;height:13.3pt" o:ole="">
            <v:imagedata r:id="rId4197" o:title=""/>
          </v:shape>
          <o:OLEObject Type="Embed" ProgID="Equation.DSMT4" ShapeID="_x0000_i3106" DrawAspect="Content" ObjectID="_1791377050" r:id="rId4198"/>
        </w:object>
      </w:r>
      <w:r w:rsidRPr="003B28FD">
        <w:rPr>
          <w:rFonts w:hint="cs"/>
          <w:i/>
          <w:sz w:val="23"/>
          <w:szCs w:val="23"/>
          <w:rtl/>
        </w:rPr>
        <w:t xml:space="preserve"> خواهیم داشت</w:t>
      </w:r>
    </w:p>
    <w:p w14:paraId="0ED2A34F"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3B28FD">
        <w:rPr>
          <w:position w:val="-28"/>
        </w:rPr>
        <w:object w:dxaOrig="4360" w:dyaOrig="620" w14:anchorId="5F3AAABB">
          <v:shape id="_x0000_i3107" type="#_x0000_t75" style="width:217.8pt;height:30.85pt" o:ole="">
            <v:imagedata r:id="rId4199" o:title=""/>
          </v:shape>
          <o:OLEObject Type="Embed" ProgID="Equation.DSMT4" ShapeID="_x0000_i3107" DrawAspect="Content" ObjectID="_1791377051" r:id="rId4200"/>
        </w:object>
      </w:r>
    </w:p>
    <w:p w14:paraId="41CFC0A7" w14:textId="77777777" w:rsidR="00411620" w:rsidRPr="003B28FD" w:rsidRDefault="00411620" w:rsidP="00411620">
      <w:pPr>
        <w:spacing w:line="216" w:lineRule="auto"/>
        <w:rPr>
          <w:i/>
          <w:sz w:val="23"/>
          <w:szCs w:val="23"/>
        </w:rPr>
      </w:pPr>
      <w:r w:rsidRPr="003B28FD">
        <w:rPr>
          <w:rFonts w:hint="cs"/>
          <w:i/>
          <w:sz w:val="23"/>
          <w:szCs w:val="23"/>
          <w:rtl/>
        </w:rPr>
        <w:t xml:space="preserve">و همچنین با استفاده شرط مرتبه اول </w:t>
      </w:r>
      <w:r w:rsidRPr="003B28FD">
        <w:rPr>
          <w:position w:val="-6"/>
        </w:rPr>
        <w:object w:dxaOrig="200" w:dyaOrig="200" w14:anchorId="68B4BDCB">
          <v:shape id="_x0000_i3108" type="#_x0000_t75" style="width:10.3pt;height:10.3pt" o:ole="">
            <v:imagedata r:id="rId4201" o:title=""/>
          </v:shape>
          <o:OLEObject Type="Embed" ProgID="Equation.DSMT4" ShapeID="_x0000_i3108" DrawAspect="Content" ObjectID="_1791377052" r:id="rId4202"/>
        </w:object>
      </w:r>
      <w:r w:rsidRPr="003B28FD">
        <w:rPr>
          <w:rFonts w:hint="cs"/>
          <w:i/>
          <w:sz w:val="23"/>
          <w:szCs w:val="23"/>
          <w:rtl/>
        </w:rPr>
        <w:t xml:space="preserve"> و </w:t>
      </w:r>
      <w:r w:rsidRPr="003B28FD">
        <w:rPr>
          <w:position w:val="-6"/>
        </w:rPr>
        <w:object w:dxaOrig="160" w:dyaOrig="200" w14:anchorId="78E20A3B">
          <v:shape id="_x0000_i3109" type="#_x0000_t75" style="width:7.85pt;height:10.3pt" o:ole="">
            <v:imagedata r:id="rId4203" o:title=""/>
          </v:shape>
          <o:OLEObject Type="Embed" ProgID="Equation.DSMT4" ShapeID="_x0000_i3109" DrawAspect="Content" ObjectID="_1791377053" r:id="rId4204"/>
        </w:object>
      </w:r>
      <w:r w:rsidRPr="003B28FD">
        <w:rPr>
          <w:rFonts w:hint="cs"/>
          <w:i/>
          <w:sz w:val="23"/>
          <w:szCs w:val="23"/>
          <w:rtl/>
        </w:rPr>
        <w:t xml:space="preserve"> خواهیم داشت</w:t>
      </w:r>
    </w:p>
    <w:p w14:paraId="5A1E8DEC"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Pr>
      </w:pPr>
      <w:r w:rsidRPr="003B28FD">
        <w:rPr>
          <w:position w:val="-30"/>
        </w:rPr>
        <w:object w:dxaOrig="2560" w:dyaOrig="700" w14:anchorId="12AF7272">
          <v:shape id="_x0000_i3110" type="#_x0000_t75" style="width:127.65pt;height:35.1pt" o:ole="">
            <v:imagedata r:id="rId4205" o:title=""/>
          </v:shape>
          <o:OLEObject Type="Embed" ProgID="Equation.DSMT4" ShapeID="_x0000_i3110" DrawAspect="Content" ObjectID="_1791377054" r:id="rId4206"/>
        </w:object>
      </w:r>
    </w:p>
    <w:p w14:paraId="61378CF8"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Pr>
      </w:pPr>
      <w:r w:rsidRPr="003B28FD">
        <w:rPr>
          <w:position w:val="-28"/>
        </w:rPr>
        <w:object w:dxaOrig="2060" w:dyaOrig="620" w14:anchorId="6FC64060">
          <v:shape id="_x0000_i3111" type="#_x0000_t75" style="width:102.85pt;height:30.85pt" o:ole="">
            <v:imagedata r:id="rId4207" o:title=""/>
          </v:shape>
          <o:OLEObject Type="Embed" ProgID="Equation.DSMT4" ShapeID="_x0000_i3111" DrawAspect="Content" ObjectID="_1791377055" r:id="rId4208"/>
        </w:object>
      </w:r>
    </w:p>
    <w:p w14:paraId="2B27F810"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3B28FD">
        <w:rPr>
          <w:position w:val="-28"/>
        </w:rPr>
        <w:object w:dxaOrig="3360" w:dyaOrig="680" w14:anchorId="23A08F39">
          <v:shape id="_x0000_i3112" type="#_x0000_t75" style="width:168.2pt;height:33.9pt" o:ole="">
            <v:imagedata r:id="rId4209" o:title=""/>
          </v:shape>
          <o:OLEObject Type="Embed" ProgID="Equation.DSMT4" ShapeID="_x0000_i3112" DrawAspect="Content" ObjectID="_1791377056" r:id="rId4210"/>
        </w:object>
      </w:r>
      <w:r w:rsidRPr="003B28FD">
        <w:rPr>
          <w:rFonts w:ascii="Times New Roman" w:hAnsi="Times New Roman" w:cs="B Nazanin"/>
          <w:i/>
          <w:sz w:val="23"/>
          <w:szCs w:val="23"/>
        </w:rPr>
        <w:t xml:space="preserve"> </w:t>
      </w:r>
    </w:p>
    <w:p w14:paraId="37643BDB" w14:textId="77777777" w:rsidR="00411620" w:rsidRPr="003B28FD" w:rsidRDefault="00411620" w:rsidP="00411620">
      <w:pPr>
        <w:spacing w:line="216" w:lineRule="auto"/>
        <w:rPr>
          <w:i/>
          <w:sz w:val="23"/>
          <w:szCs w:val="23"/>
          <w:rtl/>
        </w:rPr>
      </w:pPr>
      <w:r w:rsidRPr="003B28FD">
        <w:rPr>
          <w:rFonts w:hint="cs"/>
          <w:i/>
          <w:sz w:val="23"/>
          <w:szCs w:val="23"/>
          <w:rtl/>
        </w:rPr>
        <w:t>و چون در رابطه</w:t>
      </w:r>
      <w:r w:rsidRPr="003B28FD">
        <w:rPr>
          <w:i/>
          <w:sz w:val="23"/>
          <w:szCs w:val="23"/>
          <w:rtl/>
        </w:rPr>
        <w:softHyphen/>
      </w:r>
      <w:r w:rsidRPr="003B28FD">
        <w:rPr>
          <w:rFonts w:hint="cs"/>
          <w:i/>
          <w:sz w:val="23"/>
          <w:szCs w:val="23"/>
          <w:rtl/>
        </w:rPr>
        <w:t>ی (۶. ۹)</w:t>
      </w:r>
      <w:r w:rsidRPr="003B28FD">
        <w:rPr>
          <w:rFonts w:eastAsiaTheme="minorEastAsia" w:hint="cs"/>
          <w:i/>
          <w:sz w:val="23"/>
          <w:szCs w:val="23"/>
          <w:rtl/>
        </w:rPr>
        <w:t xml:space="preserve"> داشتیم </w:t>
      </w:r>
      <w:r w:rsidRPr="003B28FD">
        <w:rPr>
          <w:position w:val="-10"/>
        </w:rPr>
        <w:object w:dxaOrig="1020" w:dyaOrig="320" w14:anchorId="61A34A5B">
          <v:shape id="_x0000_i3113" type="#_x0000_t75" style="width:51.45pt;height:16.35pt" o:ole="">
            <v:imagedata r:id="rId4211" o:title=""/>
          </v:shape>
          <o:OLEObject Type="Embed" ProgID="Equation.DSMT4" ShapeID="_x0000_i3113" DrawAspect="Content" ObjectID="_1791377057" r:id="rId4212"/>
        </w:object>
      </w:r>
      <w:r w:rsidRPr="003B28FD">
        <w:rPr>
          <w:rFonts w:eastAsiaTheme="minorEastAsia" w:hint="cs"/>
          <w:i/>
          <w:sz w:val="23"/>
          <w:szCs w:val="23"/>
          <w:rtl/>
        </w:rPr>
        <w:t>، لذا</w:t>
      </w:r>
      <w:r w:rsidRPr="003B28FD">
        <w:rPr>
          <w:i/>
          <w:sz w:val="23"/>
          <w:szCs w:val="23"/>
          <w:rtl/>
        </w:rPr>
        <w:t xml:space="preserve"> نتايج بدست آمده شبيه اقتصاد برنامه</w:t>
      </w:r>
      <w:r w:rsidRPr="003B28FD">
        <w:rPr>
          <w:i/>
          <w:sz w:val="23"/>
          <w:szCs w:val="23"/>
          <w:rtl/>
        </w:rPr>
        <w:softHyphen/>
        <w:t xml:space="preserve">ريز متمركز </w:t>
      </w:r>
      <w:r w:rsidRPr="003B28FD">
        <w:rPr>
          <w:rFonts w:hint="cs"/>
          <w:i/>
          <w:sz w:val="23"/>
          <w:szCs w:val="23"/>
          <w:rtl/>
        </w:rPr>
        <w:t>می</w:t>
      </w:r>
      <w:r w:rsidRPr="003B28FD">
        <w:rPr>
          <w:i/>
          <w:sz w:val="23"/>
          <w:szCs w:val="23"/>
          <w:rtl/>
        </w:rPr>
        <w:softHyphen/>
      </w:r>
      <w:r w:rsidRPr="003B28FD">
        <w:rPr>
          <w:rFonts w:hint="cs"/>
          <w:i/>
          <w:sz w:val="23"/>
          <w:szCs w:val="23"/>
          <w:rtl/>
        </w:rPr>
        <w:t>باشد.</w:t>
      </w:r>
      <w:r w:rsidRPr="003B28FD">
        <w:rPr>
          <w:i/>
          <w:sz w:val="23"/>
          <w:szCs w:val="23"/>
          <w:rtl/>
        </w:rPr>
        <w:t xml:space="preserve"> </w:t>
      </w:r>
    </w:p>
    <w:p w14:paraId="1B590353" w14:textId="77777777" w:rsidR="00411620" w:rsidRPr="003B28FD" w:rsidRDefault="00411620" w:rsidP="00411620">
      <w:pPr>
        <w:spacing w:line="216" w:lineRule="auto"/>
        <w:rPr>
          <w:i/>
          <w:sz w:val="23"/>
          <w:szCs w:val="23"/>
          <w:rtl/>
        </w:rPr>
      </w:pPr>
      <w:r w:rsidRPr="003B28FD">
        <w:rPr>
          <w:i/>
          <w:sz w:val="23"/>
          <w:szCs w:val="23"/>
          <w:rtl/>
        </w:rPr>
        <w:t>اكنون اين موضوع را بررسي مي</w:t>
      </w:r>
      <w:r w:rsidRPr="003B28FD">
        <w:rPr>
          <w:i/>
          <w:sz w:val="23"/>
          <w:szCs w:val="23"/>
          <w:rtl/>
        </w:rPr>
        <w:softHyphen/>
        <w:t>كنيم كه آيا سود و منفعتي از تجديد بهينه</w:t>
      </w:r>
      <w:r w:rsidRPr="003B28FD">
        <w:rPr>
          <w:i/>
          <w:sz w:val="23"/>
          <w:szCs w:val="23"/>
          <w:rtl/>
        </w:rPr>
        <w:softHyphen/>
        <w:t>يابي توسط دولت در دور</w:t>
      </w:r>
      <w:r w:rsidRPr="003B28FD">
        <w:rPr>
          <w:rFonts w:hint="cs"/>
          <w:i/>
          <w:sz w:val="23"/>
          <w:szCs w:val="23"/>
          <w:rtl/>
        </w:rPr>
        <w:t>ه</w:t>
      </w:r>
      <w:r w:rsidRPr="003B28FD">
        <w:rPr>
          <w:i/>
          <w:sz w:val="23"/>
          <w:szCs w:val="23"/>
          <w:rtl/>
        </w:rPr>
        <w:softHyphen/>
      </w:r>
      <w:r w:rsidRPr="003B28FD">
        <w:rPr>
          <w:rFonts w:hint="cs"/>
          <w:i/>
          <w:sz w:val="23"/>
          <w:szCs w:val="23"/>
          <w:rtl/>
        </w:rPr>
        <w:t>ی</w:t>
      </w:r>
      <w:r w:rsidRPr="003B28FD">
        <w:rPr>
          <w:i/>
          <w:sz w:val="23"/>
          <w:szCs w:val="23"/>
          <w:rtl/>
        </w:rPr>
        <w:t xml:space="preserve"> </w:t>
      </w:r>
      <w:r w:rsidRPr="003B28FD">
        <w:rPr>
          <w:position w:val="-6"/>
        </w:rPr>
        <w:object w:dxaOrig="440" w:dyaOrig="260" w14:anchorId="50687E4B">
          <v:shape id="_x0000_i3114" type="#_x0000_t75" style="width:21.8pt;height:13.3pt" o:ole="">
            <v:imagedata r:id="rId4213" o:title=""/>
          </v:shape>
          <o:OLEObject Type="Embed" ProgID="Equation.DSMT4" ShapeID="_x0000_i3114" DrawAspect="Content" ObjectID="_1791377058" r:id="rId4214"/>
        </w:object>
      </w:r>
      <w:r w:rsidRPr="003B28FD">
        <w:rPr>
          <w:i/>
          <w:sz w:val="23"/>
          <w:szCs w:val="23"/>
          <w:rtl/>
        </w:rPr>
        <w:t xml:space="preserve"> </w:t>
      </w:r>
      <w:r w:rsidRPr="003B28FD">
        <w:rPr>
          <w:rFonts w:hint="cs"/>
          <w:i/>
          <w:sz w:val="23"/>
          <w:szCs w:val="23"/>
          <w:rtl/>
        </w:rPr>
        <w:t>حاصل می</w:t>
      </w:r>
      <w:r w:rsidRPr="003B28FD">
        <w:rPr>
          <w:i/>
          <w:sz w:val="23"/>
          <w:szCs w:val="23"/>
          <w:rtl/>
        </w:rPr>
        <w:softHyphen/>
      </w:r>
      <w:r w:rsidRPr="003B28FD">
        <w:rPr>
          <w:rFonts w:hint="cs"/>
          <w:i/>
          <w:sz w:val="23"/>
          <w:szCs w:val="23"/>
          <w:rtl/>
        </w:rPr>
        <w:t>شود یا خیر؟</w:t>
      </w:r>
    </w:p>
    <w:p w14:paraId="40E1348F" w14:textId="77777777" w:rsidR="00411620" w:rsidRPr="003B28FD" w:rsidRDefault="00411620" w:rsidP="00411620">
      <w:pPr>
        <w:spacing w:line="216" w:lineRule="auto"/>
        <w:rPr>
          <w:i/>
          <w:sz w:val="23"/>
          <w:szCs w:val="23"/>
          <w:rtl/>
        </w:rPr>
      </w:pPr>
    </w:p>
    <w:p w14:paraId="1AAA2EA3" w14:textId="77777777" w:rsidR="00411620" w:rsidRPr="003B28FD" w:rsidRDefault="00411620" w:rsidP="00411620">
      <w:pPr>
        <w:spacing w:line="216" w:lineRule="auto"/>
        <w:rPr>
          <w:bCs/>
          <w:i/>
          <w:sz w:val="23"/>
          <w:szCs w:val="23"/>
        </w:rPr>
      </w:pPr>
      <w:r w:rsidRPr="003B28FD">
        <w:rPr>
          <w:bCs/>
          <w:i/>
          <w:sz w:val="23"/>
          <w:szCs w:val="23"/>
          <w:rtl/>
        </w:rPr>
        <w:t>تجديد بهينه</w:t>
      </w:r>
      <w:r w:rsidRPr="003B28FD">
        <w:rPr>
          <w:bCs/>
          <w:i/>
          <w:sz w:val="23"/>
          <w:szCs w:val="23"/>
          <w:rtl/>
        </w:rPr>
        <w:softHyphen/>
        <w:t xml:space="preserve">يابي در دوره </w:t>
      </w:r>
      <w:r w:rsidRPr="003B28FD">
        <w:rPr>
          <w:bCs/>
          <w:i/>
          <w:sz w:val="23"/>
          <w:szCs w:val="23"/>
        </w:rPr>
        <w:t>t+1</w:t>
      </w:r>
    </w:p>
    <w:p w14:paraId="0DCBF125" w14:textId="77777777" w:rsidR="00411620" w:rsidRPr="003B28FD" w:rsidRDefault="00411620" w:rsidP="00C67946">
      <w:pPr>
        <w:pStyle w:val="ListParagraph"/>
        <w:numPr>
          <w:ilvl w:val="0"/>
          <w:numId w:val="4"/>
        </w:numPr>
        <w:spacing w:line="216" w:lineRule="auto"/>
        <w:ind w:left="0" w:firstLine="0"/>
        <w:rPr>
          <w:bCs/>
          <w:i/>
          <w:sz w:val="23"/>
          <w:szCs w:val="23"/>
          <w:rtl/>
        </w:rPr>
      </w:pPr>
      <w:r w:rsidRPr="003B28FD">
        <w:rPr>
          <w:bCs/>
          <w:i/>
          <w:sz w:val="23"/>
          <w:szCs w:val="23"/>
          <w:rtl/>
        </w:rPr>
        <w:t xml:space="preserve">مسئله </w:t>
      </w:r>
      <w:r w:rsidRPr="003B28FD">
        <w:rPr>
          <w:rFonts w:hint="cs"/>
          <w:bCs/>
          <w:i/>
          <w:sz w:val="23"/>
          <w:szCs w:val="23"/>
          <w:rtl/>
        </w:rPr>
        <w:t>خانوار</w:t>
      </w:r>
    </w:p>
    <w:p w14:paraId="63EEC852" w14:textId="77777777" w:rsidR="00411620" w:rsidRPr="003B28FD" w:rsidRDefault="00411620" w:rsidP="00411620">
      <w:pPr>
        <w:spacing w:line="216" w:lineRule="auto"/>
        <w:rPr>
          <w:i/>
          <w:sz w:val="23"/>
          <w:szCs w:val="23"/>
          <w:rtl/>
        </w:rPr>
      </w:pPr>
      <w:r w:rsidRPr="003B28FD">
        <w:rPr>
          <w:i/>
          <w:sz w:val="23"/>
          <w:szCs w:val="23"/>
          <w:rtl/>
        </w:rPr>
        <w:t xml:space="preserve">اگر </w:t>
      </w:r>
      <w:r w:rsidRPr="003B28FD">
        <w:rPr>
          <w:rFonts w:hint="cs"/>
          <w:i/>
          <w:sz w:val="23"/>
          <w:szCs w:val="23"/>
          <w:rtl/>
        </w:rPr>
        <w:t>بخش</w:t>
      </w:r>
      <w:r w:rsidRPr="003B28FD">
        <w:rPr>
          <w:i/>
          <w:sz w:val="23"/>
          <w:szCs w:val="23"/>
          <w:rtl/>
        </w:rPr>
        <w:t xml:space="preserve"> خصوصي </w:t>
      </w:r>
      <w:r w:rsidRPr="003B28FD">
        <w:rPr>
          <w:rFonts w:hint="cs"/>
          <w:i/>
          <w:sz w:val="23"/>
          <w:szCs w:val="23"/>
          <w:rtl/>
        </w:rPr>
        <w:t>ب</w:t>
      </w:r>
      <w:r w:rsidRPr="003B28FD">
        <w:rPr>
          <w:i/>
          <w:sz w:val="23"/>
          <w:szCs w:val="23"/>
          <w:rtl/>
        </w:rPr>
        <w:t xml:space="preserve">ا در نظر گرفتن </w:t>
      </w:r>
      <w:r w:rsidRPr="003B28FD">
        <w:rPr>
          <w:position w:val="-10"/>
        </w:rPr>
        <w:object w:dxaOrig="360" w:dyaOrig="320" w14:anchorId="53C1D90A">
          <v:shape id="_x0000_i3115" type="#_x0000_t75" style="width:18.15pt;height:16.35pt" o:ole="">
            <v:imagedata r:id="rId4215" o:title=""/>
          </v:shape>
          <o:OLEObject Type="Embed" ProgID="Equation.DSMT4" ShapeID="_x0000_i3115" DrawAspect="Content" ObjectID="_1791377059" r:id="rId4216"/>
        </w:object>
      </w:r>
      <w:r w:rsidRPr="003B28FD">
        <w:rPr>
          <w:i/>
          <w:sz w:val="23"/>
          <w:szCs w:val="23"/>
          <w:rtl/>
        </w:rPr>
        <w:t xml:space="preserve"> و نتايج دور</w:t>
      </w:r>
      <w:r w:rsidRPr="003B28FD">
        <w:rPr>
          <w:rFonts w:hint="cs"/>
          <w:i/>
          <w:sz w:val="23"/>
          <w:szCs w:val="23"/>
          <w:rtl/>
        </w:rPr>
        <w:t>ه</w:t>
      </w:r>
      <w:r w:rsidRPr="003B28FD">
        <w:rPr>
          <w:i/>
          <w:sz w:val="23"/>
          <w:szCs w:val="23"/>
          <w:rtl/>
        </w:rPr>
        <w:softHyphen/>
      </w:r>
      <w:r w:rsidRPr="003B28FD">
        <w:rPr>
          <w:rFonts w:hint="cs"/>
          <w:i/>
          <w:sz w:val="23"/>
          <w:szCs w:val="23"/>
          <w:rtl/>
        </w:rPr>
        <w:t>ی</w:t>
      </w:r>
      <w:r w:rsidRPr="003B28FD">
        <w:rPr>
          <w:position w:val="-6"/>
        </w:rPr>
        <w:object w:dxaOrig="139" w:dyaOrig="240" w14:anchorId="4EB02DA6">
          <v:shape id="_x0000_i3116" type="#_x0000_t75" style="width:7.25pt;height:12.1pt" o:ole="">
            <v:imagedata r:id="rId4217" o:title=""/>
          </v:shape>
          <o:OLEObject Type="Embed" ProgID="Equation.DSMT4" ShapeID="_x0000_i3116" DrawAspect="Content" ObjectID="_1791377060" r:id="rId4218"/>
        </w:object>
      </w:r>
      <w:r w:rsidRPr="003B28FD">
        <w:rPr>
          <w:rFonts w:hint="cs"/>
          <w:i/>
          <w:sz w:val="23"/>
          <w:szCs w:val="23"/>
          <w:rtl/>
        </w:rPr>
        <w:t xml:space="preserve">، </w:t>
      </w:r>
      <w:r w:rsidRPr="003B28FD">
        <w:rPr>
          <w:i/>
          <w:sz w:val="23"/>
          <w:szCs w:val="23"/>
          <w:rtl/>
        </w:rPr>
        <w:t>در</w:t>
      </w:r>
      <w:r w:rsidRPr="003B28FD">
        <w:rPr>
          <w:rFonts w:hint="cs"/>
          <w:i/>
          <w:sz w:val="23"/>
          <w:szCs w:val="23"/>
          <w:rtl/>
        </w:rPr>
        <w:t xml:space="preserve"> زمان</w:t>
      </w:r>
      <w:r w:rsidRPr="003B28FD">
        <w:rPr>
          <w:position w:val="-6"/>
        </w:rPr>
        <w:object w:dxaOrig="440" w:dyaOrig="260" w14:anchorId="57D40B0D">
          <v:shape id="_x0000_i3117" type="#_x0000_t75" style="width:21.8pt;height:13.3pt" o:ole="">
            <v:imagedata r:id="rId4219" o:title=""/>
          </v:shape>
          <o:OLEObject Type="Embed" ProgID="Equation.DSMT4" ShapeID="_x0000_i3117" DrawAspect="Content" ObjectID="_1791377061" r:id="rId4220"/>
        </w:object>
      </w:r>
      <w:r w:rsidRPr="003B28FD">
        <w:rPr>
          <w:i/>
          <w:sz w:val="23"/>
          <w:szCs w:val="23"/>
          <w:rtl/>
        </w:rPr>
        <w:t xml:space="preserve"> بهينه</w:t>
      </w:r>
      <w:r w:rsidRPr="003B28FD">
        <w:rPr>
          <w:i/>
          <w:sz w:val="23"/>
          <w:szCs w:val="23"/>
          <w:rtl/>
        </w:rPr>
        <w:softHyphen/>
        <w:t xml:space="preserve">يابي </w:t>
      </w:r>
      <w:r w:rsidRPr="003B28FD">
        <w:rPr>
          <w:rFonts w:hint="cs"/>
          <w:i/>
          <w:sz w:val="23"/>
          <w:szCs w:val="23"/>
          <w:rtl/>
        </w:rPr>
        <w:t>خود را ت</w:t>
      </w:r>
      <w:r w:rsidRPr="003B28FD">
        <w:rPr>
          <w:i/>
          <w:sz w:val="23"/>
          <w:szCs w:val="23"/>
          <w:rtl/>
        </w:rPr>
        <w:t>جد</w:t>
      </w:r>
      <w:r w:rsidRPr="003B28FD">
        <w:rPr>
          <w:rFonts w:hint="cs"/>
          <w:i/>
          <w:sz w:val="23"/>
          <w:szCs w:val="23"/>
          <w:rtl/>
        </w:rPr>
        <w:t>ی</w:t>
      </w:r>
      <w:r w:rsidRPr="003B28FD">
        <w:rPr>
          <w:i/>
          <w:sz w:val="23"/>
          <w:szCs w:val="23"/>
          <w:rtl/>
        </w:rPr>
        <w:t>د كن</w:t>
      </w:r>
      <w:r w:rsidRPr="003B28FD">
        <w:rPr>
          <w:rFonts w:hint="cs"/>
          <w:i/>
          <w:sz w:val="23"/>
          <w:szCs w:val="23"/>
          <w:rtl/>
        </w:rPr>
        <w:t>د</w:t>
      </w:r>
      <w:r w:rsidRPr="003B28FD">
        <w:rPr>
          <w:i/>
          <w:sz w:val="23"/>
          <w:szCs w:val="23"/>
          <w:rtl/>
        </w:rPr>
        <w:t xml:space="preserve"> آنگاه </w:t>
      </w:r>
      <w:r w:rsidRPr="003B28FD">
        <w:rPr>
          <w:rFonts w:hint="cs"/>
          <w:i/>
          <w:sz w:val="23"/>
          <w:szCs w:val="23"/>
          <w:rtl/>
        </w:rPr>
        <w:t xml:space="preserve">مطلوبیت خود در زمان </w:t>
      </w:r>
      <w:r w:rsidRPr="003B28FD">
        <w:rPr>
          <w:position w:val="-6"/>
        </w:rPr>
        <w:object w:dxaOrig="440" w:dyaOrig="260" w14:anchorId="7CB8D214">
          <v:shape id="_x0000_i3118" type="#_x0000_t75" style="width:21.8pt;height:13.3pt" o:ole="">
            <v:imagedata r:id="rId4221" o:title=""/>
          </v:shape>
          <o:OLEObject Type="Embed" ProgID="Equation.DSMT4" ShapeID="_x0000_i3118" DrawAspect="Content" ObjectID="_1791377062" r:id="rId4222"/>
        </w:object>
      </w:r>
      <w:r w:rsidRPr="003B28FD">
        <w:rPr>
          <w:rFonts w:hint="cs"/>
          <w:i/>
          <w:sz w:val="23"/>
          <w:szCs w:val="23"/>
          <w:rtl/>
        </w:rPr>
        <w:t xml:space="preserve"> یعنی</w:t>
      </w:r>
      <w:r w:rsidRPr="003B28FD">
        <w:rPr>
          <w:position w:val="-12"/>
        </w:rPr>
        <w:object w:dxaOrig="1440" w:dyaOrig="360" w14:anchorId="596039BB">
          <v:shape id="_x0000_i3119" type="#_x0000_t75" style="width:1in;height:18.15pt" o:ole="">
            <v:imagedata r:id="rId4223" o:title=""/>
          </v:shape>
          <o:OLEObject Type="Embed" ProgID="Equation.DSMT4" ShapeID="_x0000_i3119" DrawAspect="Content" ObjectID="_1791377063" r:id="rId4224"/>
        </w:object>
      </w:r>
      <w:r w:rsidRPr="003B28FD">
        <w:rPr>
          <w:i/>
          <w:sz w:val="23"/>
          <w:szCs w:val="23"/>
          <w:rtl/>
        </w:rPr>
        <w:t xml:space="preserve"> را نسبت به </w:t>
      </w:r>
      <w:r w:rsidRPr="003B28FD">
        <w:rPr>
          <w:rFonts w:hint="cs"/>
          <w:i/>
          <w:sz w:val="23"/>
          <w:szCs w:val="23"/>
          <w:rtl/>
        </w:rPr>
        <w:t>قید بودجه</w:t>
      </w:r>
      <w:r w:rsidRPr="003B28FD">
        <w:rPr>
          <w:i/>
          <w:sz w:val="23"/>
          <w:szCs w:val="23"/>
          <w:rtl/>
        </w:rPr>
        <w:softHyphen/>
      </w:r>
      <w:r w:rsidRPr="003B28FD">
        <w:rPr>
          <w:rFonts w:hint="cs"/>
          <w:i/>
          <w:sz w:val="23"/>
          <w:szCs w:val="23"/>
          <w:rtl/>
        </w:rPr>
        <w:t xml:space="preserve">ی خود </w:t>
      </w:r>
      <w:r w:rsidRPr="003B28FD">
        <w:rPr>
          <w:i/>
          <w:sz w:val="23"/>
          <w:szCs w:val="23"/>
          <w:rtl/>
        </w:rPr>
        <w:t xml:space="preserve">در زمان </w:t>
      </w:r>
      <w:r w:rsidRPr="003B28FD">
        <w:rPr>
          <w:position w:val="-6"/>
        </w:rPr>
        <w:object w:dxaOrig="440" w:dyaOrig="260" w14:anchorId="5B93AD7F">
          <v:shape id="_x0000_i3120" type="#_x0000_t75" style="width:21.8pt;height:13.3pt" o:ole="">
            <v:imagedata r:id="rId4225" o:title=""/>
          </v:shape>
          <o:OLEObject Type="Embed" ProgID="Equation.DSMT4" ShapeID="_x0000_i3120" DrawAspect="Content" ObjectID="_1791377064" r:id="rId4226"/>
        </w:object>
      </w:r>
      <w:r w:rsidRPr="003B28FD">
        <w:rPr>
          <w:i/>
          <w:sz w:val="23"/>
          <w:szCs w:val="23"/>
          <w:rtl/>
        </w:rPr>
        <w:t xml:space="preserve"> </w:t>
      </w:r>
      <w:r w:rsidRPr="003B28FD">
        <w:rPr>
          <w:rFonts w:hint="cs"/>
          <w:i/>
          <w:sz w:val="23"/>
          <w:szCs w:val="23"/>
          <w:rtl/>
        </w:rPr>
        <w:t>ی</w:t>
      </w:r>
      <w:r w:rsidRPr="003B28FD">
        <w:rPr>
          <w:i/>
          <w:sz w:val="23"/>
          <w:szCs w:val="23"/>
          <w:rtl/>
        </w:rPr>
        <w:t>ع</w:t>
      </w:r>
      <w:r w:rsidRPr="003B28FD">
        <w:rPr>
          <w:rFonts w:hint="cs"/>
          <w:i/>
          <w:sz w:val="23"/>
          <w:szCs w:val="23"/>
          <w:rtl/>
        </w:rPr>
        <w:t>ن</w:t>
      </w:r>
      <w:r w:rsidRPr="003B28FD">
        <w:rPr>
          <w:i/>
          <w:sz w:val="23"/>
          <w:szCs w:val="23"/>
          <w:rtl/>
        </w:rPr>
        <w:t xml:space="preserve">ي </w:t>
      </w:r>
      <w:r w:rsidRPr="003B28FD">
        <w:rPr>
          <w:rFonts w:hint="cs"/>
          <w:i/>
          <w:sz w:val="23"/>
          <w:szCs w:val="23"/>
          <w:rtl/>
        </w:rPr>
        <w:t>(۶. ۳)</w:t>
      </w:r>
      <w:r w:rsidRPr="003B28FD">
        <w:rPr>
          <w:rFonts w:eastAsiaTheme="minorEastAsia" w:hint="cs"/>
          <w:i/>
          <w:sz w:val="23"/>
          <w:szCs w:val="23"/>
          <w:rtl/>
        </w:rPr>
        <w:t xml:space="preserve"> </w:t>
      </w:r>
      <w:r w:rsidRPr="003B28FD">
        <w:rPr>
          <w:i/>
          <w:sz w:val="23"/>
          <w:szCs w:val="23"/>
          <w:rtl/>
        </w:rPr>
        <w:t xml:space="preserve">حداكثر </w:t>
      </w:r>
      <w:r w:rsidRPr="003B28FD">
        <w:rPr>
          <w:rFonts w:hint="cs"/>
          <w:i/>
          <w:sz w:val="23"/>
          <w:szCs w:val="23"/>
          <w:rtl/>
        </w:rPr>
        <w:t>خواهد کرد. در این</w:t>
      </w:r>
      <w:r w:rsidRPr="003B28FD">
        <w:rPr>
          <w:i/>
          <w:sz w:val="23"/>
          <w:szCs w:val="23"/>
          <w:rtl/>
        </w:rPr>
        <w:softHyphen/>
      </w:r>
      <w:r w:rsidRPr="003B28FD">
        <w:rPr>
          <w:rFonts w:hint="cs"/>
          <w:i/>
          <w:sz w:val="23"/>
          <w:szCs w:val="23"/>
          <w:rtl/>
        </w:rPr>
        <w:t>صورت لاگرانژین</w:t>
      </w:r>
      <w:r w:rsidRPr="003B28FD">
        <w:rPr>
          <w:i/>
          <w:sz w:val="23"/>
          <w:szCs w:val="23"/>
          <w:rtl/>
        </w:rPr>
        <w:t xml:space="preserve"> </w:t>
      </w:r>
      <w:r w:rsidRPr="003B28FD">
        <w:rPr>
          <w:rFonts w:hint="cs"/>
          <w:i/>
          <w:sz w:val="23"/>
          <w:szCs w:val="23"/>
          <w:rtl/>
        </w:rPr>
        <w:t xml:space="preserve">این مسئله </w:t>
      </w:r>
      <w:r w:rsidRPr="003B28FD">
        <w:rPr>
          <w:i/>
          <w:sz w:val="23"/>
          <w:szCs w:val="23"/>
          <w:rtl/>
        </w:rPr>
        <w:t xml:space="preserve">عبارت است از </w:t>
      </w:r>
    </w:p>
    <w:p w14:paraId="5A87CE40"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Pr>
      </w:pPr>
      <w:r w:rsidRPr="003B28FD">
        <w:rPr>
          <w:position w:val="-10"/>
        </w:rPr>
        <w:object w:dxaOrig="2520" w:dyaOrig="320" w14:anchorId="4B73D6EC">
          <v:shape id="_x0000_i3121" type="#_x0000_t75" style="width:125.85pt;height:16.35pt" o:ole="">
            <v:imagedata r:id="rId4227" o:title=""/>
          </v:shape>
          <o:OLEObject Type="Embed" ProgID="Equation.DSMT4" ShapeID="_x0000_i3121" DrawAspect="Content" ObjectID="_1791377065" r:id="rId4228"/>
        </w:object>
      </w:r>
    </w:p>
    <w:p w14:paraId="27004CA3" w14:textId="77777777" w:rsidR="00411620" w:rsidRPr="003B28FD" w:rsidRDefault="00411620" w:rsidP="00411620">
      <w:pPr>
        <w:bidi w:val="0"/>
        <w:spacing w:line="216" w:lineRule="auto"/>
        <w:rPr>
          <w:i/>
          <w:sz w:val="23"/>
          <w:szCs w:val="23"/>
          <w:rtl/>
        </w:rPr>
      </w:pPr>
      <w:r w:rsidRPr="003B28FD">
        <w:rPr>
          <w:position w:val="-14"/>
        </w:rPr>
        <w:object w:dxaOrig="3480" w:dyaOrig="380" w14:anchorId="36090A41">
          <v:shape id="_x0000_i3122" type="#_x0000_t75" style="width:174.25pt;height:18.75pt" o:ole="">
            <v:imagedata r:id="rId4229" o:title=""/>
          </v:shape>
          <o:OLEObject Type="Embed" ProgID="Equation.DSMT4" ShapeID="_x0000_i3122" DrawAspect="Content" ObjectID="_1791377066" r:id="rId4230"/>
        </w:object>
      </w:r>
      <w:r w:rsidRPr="003B28FD">
        <w:rPr>
          <w:rFonts w:eastAsiaTheme="minorEastAsia" w:hint="cs"/>
          <w:i/>
          <w:sz w:val="23"/>
          <w:szCs w:val="23"/>
        </w:rPr>
        <w:t xml:space="preserve"> </w:t>
      </w:r>
    </w:p>
    <w:p w14:paraId="5188C575" w14:textId="77777777" w:rsidR="00411620" w:rsidRPr="003B28FD" w:rsidRDefault="00411620" w:rsidP="00411620">
      <w:pPr>
        <w:spacing w:line="216" w:lineRule="auto"/>
        <w:rPr>
          <w:i/>
          <w:sz w:val="23"/>
          <w:szCs w:val="23"/>
          <w:rtl/>
        </w:rPr>
      </w:pPr>
      <w:r w:rsidRPr="003B28FD">
        <w:rPr>
          <w:i/>
          <w:sz w:val="23"/>
          <w:szCs w:val="23"/>
          <w:rtl/>
        </w:rPr>
        <w:t xml:space="preserve">شرايط </w:t>
      </w:r>
      <w:r w:rsidRPr="003B28FD">
        <w:rPr>
          <w:rFonts w:hint="cs"/>
          <w:i/>
          <w:sz w:val="23"/>
          <w:szCs w:val="23"/>
          <w:rtl/>
        </w:rPr>
        <w:t>م</w:t>
      </w:r>
      <w:r w:rsidRPr="003B28FD">
        <w:rPr>
          <w:i/>
          <w:sz w:val="23"/>
          <w:szCs w:val="23"/>
          <w:rtl/>
        </w:rPr>
        <w:t>رتبه</w:t>
      </w:r>
      <w:r w:rsidRPr="003B28FD">
        <w:rPr>
          <w:i/>
          <w:sz w:val="23"/>
          <w:szCs w:val="23"/>
          <w:rtl/>
        </w:rPr>
        <w:softHyphen/>
      </w:r>
      <w:r w:rsidRPr="003B28FD">
        <w:rPr>
          <w:rFonts w:hint="cs"/>
          <w:i/>
          <w:sz w:val="23"/>
          <w:szCs w:val="23"/>
          <w:rtl/>
        </w:rPr>
        <w:t>ی</w:t>
      </w:r>
      <w:r w:rsidRPr="003B28FD">
        <w:rPr>
          <w:i/>
          <w:sz w:val="23"/>
          <w:szCs w:val="23"/>
          <w:rtl/>
        </w:rPr>
        <w:t xml:space="preserve"> اول عبارت</w:t>
      </w:r>
      <w:r w:rsidRPr="003B28FD">
        <w:rPr>
          <w:rFonts w:hint="cs"/>
          <w:i/>
          <w:sz w:val="23"/>
          <w:szCs w:val="23"/>
          <w:rtl/>
        </w:rPr>
        <w:t>ند</w:t>
      </w:r>
      <w:r w:rsidRPr="003B28FD">
        <w:rPr>
          <w:i/>
          <w:sz w:val="23"/>
          <w:szCs w:val="23"/>
          <w:rtl/>
        </w:rPr>
        <w:t xml:space="preserve"> از:</w:t>
      </w:r>
    </w:p>
    <w:p w14:paraId="070BF4D8" w14:textId="77777777" w:rsidR="00411620" w:rsidRPr="003B28FD" w:rsidRDefault="00411620" w:rsidP="00411620">
      <w:pPr>
        <w:pStyle w:val="MTDisplayEquation"/>
        <w:spacing w:line="216" w:lineRule="auto"/>
        <w:rPr>
          <w:rFonts w:ascii="Times New Roman" w:hAnsi="Times New Roman" w:cs="B Nazanin"/>
          <w:i/>
          <w:sz w:val="23"/>
          <w:szCs w:val="23"/>
          <w:rtl/>
        </w:rPr>
      </w:pPr>
      <w:r w:rsidRPr="003B28FD">
        <w:rPr>
          <w:position w:val="-28"/>
        </w:rPr>
        <w:object w:dxaOrig="1980" w:dyaOrig="620" w14:anchorId="13DB3662">
          <v:shape id="_x0000_i3123" type="#_x0000_t75" style="width:98.6pt;height:30.85pt" o:ole="">
            <v:imagedata r:id="rId4231" o:title=""/>
          </v:shape>
          <o:OLEObject Type="Embed" ProgID="Equation.DSMT4" ShapeID="_x0000_i3123" DrawAspect="Content" ObjectID="_1791377067" r:id="rId4232"/>
        </w:object>
      </w:r>
    </w:p>
    <w:p w14:paraId="70BCC60D"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3B28FD">
        <w:rPr>
          <w:position w:val="-28"/>
        </w:rPr>
        <w:object w:dxaOrig="2460" w:dyaOrig="620" w14:anchorId="5BC20E1D">
          <v:shape id="_x0000_i3124" type="#_x0000_t75" style="width:122.8pt;height:30.85pt" o:ole="">
            <v:imagedata r:id="rId4233" o:title=""/>
          </v:shape>
          <o:OLEObject Type="Embed" ProgID="Equation.DSMT4" ShapeID="_x0000_i3124" DrawAspect="Content" ObjectID="_1791377068" r:id="rId4234"/>
        </w:object>
      </w:r>
    </w:p>
    <w:p w14:paraId="1506DAC9"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3B28FD">
        <w:rPr>
          <w:position w:val="-28"/>
        </w:rPr>
        <w:object w:dxaOrig="2020" w:dyaOrig="620" w14:anchorId="3EA4576F">
          <v:shape id="_x0000_i3125" type="#_x0000_t75" style="width:101.05pt;height:30.85pt" o:ole="">
            <v:imagedata r:id="rId4235" o:title=""/>
          </v:shape>
          <o:OLEObject Type="Embed" ProgID="Equation.DSMT4" ShapeID="_x0000_i3125" DrawAspect="Content" ObjectID="_1791377069" r:id="rId4236"/>
        </w:object>
      </w:r>
    </w:p>
    <w:p w14:paraId="43040073" w14:textId="77777777" w:rsidR="00411620" w:rsidRPr="003B28FD" w:rsidRDefault="00411620" w:rsidP="00411620">
      <w:pPr>
        <w:spacing w:line="216" w:lineRule="auto"/>
        <w:rPr>
          <w:i/>
          <w:sz w:val="23"/>
          <w:szCs w:val="23"/>
          <w:rtl/>
        </w:rPr>
      </w:pPr>
      <w:r w:rsidRPr="003B28FD">
        <w:rPr>
          <w:rFonts w:hint="cs"/>
          <w:i/>
          <w:sz w:val="23"/>
          <w:szCs w:val="23"/>
          <w:rtl/>
        </w:rPr>
        <w:t xml:space="preserve">در اینجا نتایج </w:t>
      </w:r>
      <w:r w:rsidRPr="003B28FD">
        <w:rPr>
          <w:i/>
          <w:sz w:val="23"/>
          <w:szCs w:val="23"/>
          <w:rtl/>
        </w:rPr>
        <w:t xml:space="preserve">شرايط </w:t>
      </w:r>
      <w:r w:rsidRPr="003B28FD">
        <w:rPr>
          <w:rFonts w:hint="cs"/>
          <w:i/>
          <w:sz w:val="23"/>
          <w:szCs w:val="23"/>
          <w:rtl/>
        </w:rPr>
        <w:t>م</w:t>
      </w:r>
      <w:r w:rsidRPr="003B28FD">
        <w:rPr>
          <w:i/>
          <w:sz w:val="23"/>
          <w:szCs w:val="23"/>
          <w:rtl/>
        </w:rPr>
        <w:t>رتبه</w:t>
      </w:r>
      <w:r w:rsidRPr="003B28FD">
        <w:rPr>
          <w:i/>
          <w:sz w:val="23"/>
          <w:szCs w:val="23"/>
          <w:rtl/>
        </w:rPr>
        <w:softHyphen/>
      </w:r>
      <w:r w:rsidRPr="003B28FD">
        <w:rPr>
          <w:rFonts w:hint="cs"/>
          <w:i/>
          <w:sz w:val="23"/>
          <w:szCs w:val="23"/>
          <w:rtl/>
        </w:rPr>
        <w:t>ی</w:t>
      </w:r>
      <w:r w:rsidRPr="003B28FD">
        <w:rPr>
          <w:i/>
          <w:sz w:val="23"/>
          <w:szCs w:val="23"/>
          <w:rtl/>
        </w:rPr>
        <w:t xml:space="preserve"> اول </w:t>
      </w:r>
      <w:r w:rsidRPr="003B28FD">
        <w:rPr>
          <w:rFonts w:hint="cs"/>
          <w:i/>
          <w:sz w:val="23"/>
          <w:szCs w:val="23"/>
          <w:rtl/>
        </w:rPr>
        <w:t>همانند</w:t>
      </w:r>
      <w:r w:rsidRPr="003B28FD">
        <w:rPr>
          <w:i/>
          <w:sz w:val="23"/>
          <w:szCs w:val="23"/>
          <w:rtl/>
        </w:rPr>
        <w:t xml:space="preserve"> قبل است لذا </w:t>
      </w:r>
      <w:r w:rsidRPr="003B28FD">
        <w:rPr>
          <w:position w:val="-10"/>
        </w:rPr>
        <w:object w:dxaOrig="1020" w:dyaOrig="320" w14:anchorId="41BB228D">
          <v:shape id="_x0000_i3126" type="#_x0000_t75" style="width:51.45pt;height:16.35pt" o:ole="">
            <v:imagedata r:id="rId4237" o:title=""/>
          </v:shape>
          <o:OLEObject Type="Embed" ProgID="Equation.DSMT4" ShapeID="_x0000_i3126" DrawAspect="Content" ObjectID="_1791377070" r:id="rId4238"/>
        </w:object>
      </w:r>
      <w:r w:rsidRPr="003B28FD">
        <w:rPr>
          <w:rFonts w:eastAsiaTheme="minorEastAsia" w:hint="cs"/>
          <w:i/>
          <w:sz w:val="23"/>
          <w:szCs w:val="23"/>
          <w:rtl/>
        </w:rPr>
        <w:t xml:space="preserve"> </w:t>
      </w:r>
    </w:p>
    <w:p w14:paraId="0B9214CC" w14:textId="77777777" w:rsidR="00411620" w:rsidRPr="003B28FD" w:rsidRDefault="00411620" w:rsidP="00411620">
      <w:pPr>
        <w:spacing w:line="216" w:lineRule="auto"/>
        <w:rPr>
          <w:i/>
          <w:sz w:val="23"/>
          <w:szCs w:val="23"/>
          <w:rtl/>
        </w:rPr>
      </w:pPr>
    </w:p>
    <w:p w14:paraId="7E34817D" w14:textId="77777777" w:rsidR="00411620" w:rsidRPr="003B28FD" w:rsidRDefault="00411620" w:rsidP="00C67946">
      <w:pPr>
        <w:pStyle w:val="ListParagraph"/>
        <w:numPr>
          <w:ilvl w:val="0"/>
          <w:numId w:val="4"/>
        </w:numPr>
        <w:spacing w:line="216" w:lineRule="auto"/>
        <w:ind w:left="0" w:firstLine="0"/>
        <w:rPr>
          <w:bCs/>
          <w:i/>
          <w:sz w:val="23"/>
          <w:szCs w:val="23"/>
          <w:rtl/>
        </w:rPr>
      </w:pPr>
      <w:r w:rsidRPr="003B28FD">
        <w:rPr>
          <w:bCs/>
          <w:i/>
          <w:sz w:val="23"/>
          <w:szCs w:val="23"/>
          <w:rtl/>
        </w:rPr>
        <w:t>مسئل</w:t>
      </w:r>
      <w:r w:rsidRPr="003B28FD">
        <w:rPr>
          <w:rFonts w:hint="cs"/>
          <w:bCs/>
          <w:i/>
          <w:sz w:val="23"/>
          <w:szCs w:val="23"/>
          <w:rtl/>
        </w:rPr>
        <w:t>ۀ</w:t>
      </w:r>
      <w:r w:rsidRPr="003B28FD">
        <w:rPr>
          <w:bCs/>
          <w:i/>
          <w:sz w:val="23"/>
          <w:szCs w:val="23"/>
          <w:rtl/>
        </w:rPr>
        <w:t xml:space="preserve"> دولت:</w:t>
      </w:r>
    </w:p>
    <w:p w14:paraId="3F589F22" w14:textId="77777777" w:rsidR="00411620" w:rsidRPr="003B28FD" w:rsidRDefault="00411620" w:rsidP="00411620">
      <w:pPr>
        <w:spacing w:line="216" w:lineRule="auto"/>
        <w:rPr>
          <w:i/>
          <w:sz w:val="23"/>
          <w:szCs w:val="23"/>
          <w:rtl/>
        </w:rPr>
      </w:pPr>
      <w:r w:rsidRPr="003B28FD">
        <w:rPr>
          <w:rFonts w:hint="cs"/>
          <w:i/>
          <w:sz w:val="23"/>
          <w:szCs w:val="23"/>
          <w:rtl/>
        </w:rPr>
        <w:t xml:space="preserve">نتایج </w:t>
      </w:r>
      <w:r w:rsidRPr="003B28FD">
        <w:rPr>
          <w:i/>
          <w:sz w:val="23"/>
          <w:szCs w:val="23"/>
          <w:rtl/>
        </w:rPr>
        <w:t>مسئله</w:t>
      </w:r>
      <w:r w:rsidRPr="003B28FD">
        <w:rPr>
          <w:i/>
          <w:sz w:val="23"/>
          <w:szCs w:val="23"/>
          <w:rtl/>
        </w:rPr>
        <w:softHyphen/>
      </w:r>
      <w:r w:rsidRPr="003B28FD">
        <w:rPr>
          <w:rFonts w:hint="cs"/>
          <w:i/>
          <w:sz w:val="23"/>
          <w:szCs w:val="23"/>
          <w:rtl/>
        </w:rPr>
        <w:t>ی</w:t>
      </w:r>
      <w:r w:rsidRPr="003B28FD">
        <w:rPr>
          <w:i/>
          <w:sz w:val="23"/>
          <w:szCs w:val="23"/>
          <w:rtl/>
        </w:rPr>
        <w:t xml:space="preserve"> دولت در دور</w:t>
      </w:r>
      <w:r w:rsidRPr="003B28FD">
        <w:rPr>
          <w:rFonts w:hint="cs"/>
          <w:i/>
          <w:sz w:val="23"/>
          <w:szCs w:val="23"/>
          <w:rtl/>
        </w:rPr>
        <w:t>ه</w:t>
      </w:r>
      <w:r w:rsidRPr="003B28FD">
        <w:rPr>
          <w:i/>
          <w:sz w:val="23"/>
          <w:szCs w:val="23"/>
          <w:rtl/>
        </w:rPr>
        <w:softHyphen/>
      </w:r>
      <w:r w:rsidRPr="003B28FD">
        <w:rPr>
          <w:rFonts w:hint="cs"/>
          <w:i/>
          <w:sz w:val="23"/>
          <w:szCs w:val="23"/>
          <w:rtl/>
        </w:rPr>
        <w:t>ی</w:t>
      </w:r>
      <w:r w:rsidRPr="003B28FD">
        <w:rPr>
          <w:i/>
          <w:sz w:val="23"/>
          <w:szCs w:val="23"/>
          <w:rtl/>
        </w:rPr>
        <w:t xml:space="preserve"> دوم نيز همانند قبل است</w:t>
      </w:r>
      <w:r w:rsidRPr="003B28FD">
        <w:rPr>
          <w:rFonts w:hint="cs"/>
          <w:i/>
          <w:sz w:val="23"/>
          <w:szCs w:val="23"/>
          <w:rtl/>
        </w:rPr>
        <w:t>.</w:t>
      </w:r>
      <w:r w:rsidRPr="003B28FD">
        <w:rPr>
          <w:i/>
          <w:sz w:val="23"/>
          <w:szCs w:val="23"/>
          <w:rtl/>
        </w:rPr>
        <w:t xml:space="preserve"> بنابراين اگر ماليات </w:t>
      </w:r>
      <w:r w:rsidRPr="003B28FD">
        <w:rPr>
          <w:rFonts w:hint="cs"/>
          <w:i/>
          <w:sz w:val="23"/>
          <w:szCs w:val="23"/>
          <w:rtl/>
        </w:rPr>
        <w:t>مقطوع</w:t>
      </w:r>
      <w:r w:rsidRPr="003B28FD">
        <w:rPr>
          <w:i/>
          <w:sz w:val="23"/>
          <w:szCs w:val="23"/>
          <w:rtl/>
        </w:rPr>
        <w:t xml:space="preserve"> </w:t>
      </w:r>
      <w:r w:rsidRPr="003B28FD">
        <w:rPr>
          <w:rFonts w:hint="cs"/>
          <w:i/>
          <w:sz w:val="23"/>
          <w:szCs w:val="23"/>
          <w:rtl/>
        </w:rPr>
        <w:t>اخذ</w:t>
      </w:r>
      <w:r w:rsidRPr="003B28FD">
        <w:rPr>
          <w:i/>
          <w:sz w:val="23"/>
          <w:szCs w:val="23"/>
          <w:rtl/>
        </w:rPr>
        <w:t xml:space="preserve"> شود</w:t>
      </w:r>
      <w:r w:rsidRPr="003B28FD">
        <w:rPr>
          <w:rFonts w:hint="cs"/>
          <w:i/>
          <w:sz w:val="23"/>
          <w:szCs w:val="23"/>
          <w:rtl/>
        </w:rPr>
        <w:t>، سیاست اقتصادی زمان-نا</w:t>
      </w:r>
      <w:r w:rsidRPr="003B28FD">
        <w:rPr>
          <w:i/>
          <w:sz w:val="23"/>
          <w:szCs w:val="23"/>
          <w:rtl/>
        </w:rPr>
        <w:t>سازگار</w:t>
      </w:r>
      <w:r w:rsidRPr="003B28FD">
        <w:rPr>
          <w:rFonts w:hint="cs"/>
          <w:i/>
          <w:sz w:val="23"/>
          <w:szCs w:val="23"/>
          <w:rtl/>
        </w:rPr>
        <w:t xml:space="preserve"> نیست</w:t>
      </w:r>
      <w:r w:rsidRPr="003B28FD">
        <w:rPr>
          <w:i/>
          <w:sz w:val="23"/>
          <w:szCs w:val="23"/>
          <w:rtl/>
        </w:rPr>
        <w:t>.</w:t>
      </w:r>
      <w:r w:rsidRPr="003B28FD">
        <w:rPr>
          <w:rFonts w:hint="cs"/>
          <w:i/>
          <w:sz w:val="23"/>
          <w:szCs w:val="23"/>
          <w:rtl/>
        </w:rPr>
        <w:t xml:space="preserve"> با در نظر گرفتن تصمیمات خانوار نتیجه می</w:t>
      </w:r>
      <w:r w:rsidRPr="003B28FD">
        <w:rPr>
          <w:i/>
          <w:sz w:val="23"/>
          <w:szCs w:val="23"/>
          <w:rtl/>
        </w:rPr>
        <w:softHyphen/>
      </w:r>
      <w:r w:rsidRPr="003B28FD">
        <w:rPr>
          <w:rFonts w:hint="cs"/>
          <w:i/>
          <w:sz w:val="23"/>
          <w:szCs w:val="23"/>
          <w:rtl/>
        </w:rPr>
        <w:t>گیریم نتایج بدست آمده</w:t>
      </w:r>
      <w:r w:rsidRPr="003B28FD">
        <w:rPr>
          <w:i/>
          <w:sz w:val="23"/>
          <w:szCs w:val="23"/>
          <w:rtl/>
        </w:rPr>
        <w:softHyphen/>
      </w:r>
      <w:r w:rsidRPr="003B28FD">
        <w:rPr>
          <w:rFonts w:hint="cs"/>
          <w:i/>
          <w:sz w:val="23"/>
          <w:szCs w:val="23"/>
          <w:rtl/>
        </w:rPr>
        <w:t>ی با تجدید بهینه</w:t>
      </w:r>
      <w:r w:rsidRPr="003B28FD">
        <w:rPr>
          <w:i/>
          <w:sz w:val="23"/>
          <w:szCs w:val="23"/>
          <w:rtl/>
        </w:rPr>
        <w:softHyphen/>
      </w:r>
      <w:r w:rsidRPr="003B28FD">
        <w:rPr>
          <w:rFonts w:hint="cs"/>
          <w:i/>
          <w:sz w:val="23"/>
          <w:szCs w:val="23"/>
          <w:rtl/>
        </w:rPr>
        <w:t xml:space="preserve">یابی در زمان </w:t>
      </w:r>
      <w:r w:rsidRPr="003B28FD">
        <w:rPr>
          <w:position w:val="-6"/>
        </w:rPr>
        <w:object w:dxaOrig="440" w:dyaOrig="260" w14:anchorId="43296446">
          <v:shape id="_x0000_i3127" type="#_x0000_t75" style="width:21.8pt;height:13.3pt" o:ole="">
            <v:imagedata r:id="rId4239" o:title=""/>
          </v:shape>
          <o:OLEObject Type="Embed" ProgID="Equation.DSMT4" ShapeID="_x0000_i3127" DrawAspect="Content" ObjectID="_1791377071" r:id="rId4240"/>
        </w:object>
      </w:r>
      <w:r w:rsidRPr="003B28FD">
        <w:rPr>
          <w:i/>
          <w:sz w:val="23"/>
          <w:szCs w:val="23"/>
          <w:rtl/>
        </w:rPr>
        <w:t xml:space="preserve"> </w:t>
      </w:r>
      <w:r w:rsidRPr="003B28FD">
        <w:rPr>
          <w:rFonts w:hint="cs"/>
          <w:i/>
          <w:sz w:val="23"/>
          <w:szCs w:val="23"/>
          <w:rtl/>
        </w:rPr>
        <w:t>توسط دولت در اقتصاد غیرمتمرکز همان راه حل مدل</w:t>
      </w:r>
      <w:r w:rsidRPr="003B28FD">
        <w:rPr>
          <w:i/>
          <w:sz w:val="23"/>
          <w:szCs w:val="23"/>
          <w:rtl/>
        </w:rPr>
        <w:t xml:space="preserve"> برنامه</w:t>
      </w:r>
      <w:r w:rsidRPr="003B28FD">
        <w:rPr>
          <w:i/>
          <w:sz w:val="23"/>
          <w:szCs w:val="23"/>
          <w:rtl/>
        </w:rPr>
        <w:softHyphen/>
        <w:t>ريز متمركز</w:t>
      </w:r>
      <w:r w:rsidRPr="003B28FD">
        <w:rPr>
          <w:rFonts w:hint="cs"/>
          <w:i/>
          <w:sz w:val="23"/>
          <w:szCs w:val="23"/>
          <w:rtl/>
        </w:rPr>
        <w:t xml:space="preserve"> است و سیاست بهینه است</w:t>
      </w:r>
      <w:r w:rsidRPr="003B28FD">
        <w:rPr>
          <w:i/>
          <w:sz w:val="23"/>
          <w:szCs w:val="23"/>
          <w:rtl/>
        </w:rPr>
        <w:t xml:space="preserve">. </w:t>
      </w:r>
      <w:r w:rsidRPr="003B28FD">
        <w:rPr>
          <w:rFonts w:hint="cs"/>
          <w:i/>
          <w:sz w:val="23"/>
          <w:szCs w:val="23"/>
          <w:rtl/>
        </w:rPr>
        <w:t>بنابراین</w:t>
      </w:r>
      <w:r w:rsidRPr="003B28FD">
        <w:rPr>
          <w:i/>
          <w:sz w:val="23"/>
          <w:szCs w:val="23"/>
          <w:rtl/>
        </w:rPr>
        <w:t xml:space="preserve"> تحت شرايط </w:t>
      </w:r>
      <w:r w:rsidRPr="003B28FD">
        <w:rPr>
          <w:rFonts w:hint="cs"/>
          <w:i/>
          <w:sz w:val="23"/>
          <w:szCs w:val="23"/>
          <w:rtl/>
        </w:rPr>
        <w:t>مالیات</w:t>
      </w:r>
      <w:r w:rsidRPr="003B28FD">
        <w:rPr>
          <w:i/>
          <w:sz w:val="23"/>
          <w:szCs w:val="23"/>
          <w:rtl/>
        </w:rPr>
        <w:softHyphen/>
      </w:r>
      <w:r w:rsidRPr="003B28FD">
        <w:rPr>
          <w:rFonts w:hint="cs"/>
          <w:i/>
          <w:sz w:val="23"/>
          <w:szCs w:val="23"/>
          <w:rtl/>
        </w:rPr>
        <w:t>های مقطوع</w:t>
      </w:r>
      <w:r w:rsidRPr="003B28FD">
        <w:rPr>
          <w:i/>
          <w:sz w:val="23"/>
          <w:szCs w:val="23"/>
          <w:rtl/>
        </w:rPr>
        <w:t xml:space="preserve"> سياست</w:t>
      </w:r>
      <w:r w:rsidRPr="003B28FD">
        <w:rPr>
          <w:i/>
          <w:sz w:val="23"/>
          <w:szCs w:val="23"/>
          <w:rtl/>
        </w:rPr>
        <w:softHyphen/>
      </w:r>
      <w:r w:rsidRPr="003B28FD">
        <w:rPr>
          <w:rFonts w:hint="cs"/>
          <w:i/>
          <w:sz w:val="23"/>
          <w:szCs w:val="23"/>
          <w:rtl/>
        </w:rPr>
        <w:t>های اقتصادی زمان-سازگار است.</w:t>
      </w:r>
    </w:p>
    <w:p w14:paraId="45DDA59B" w14:textId="77777777" w:rsidR="00411620" w:rsidRPr="003B28FD" w:rsidRDefault="00411620" w:rsidP="00411620">
      <w:pPr>
        <w:spacing w:line="216" w:lineRule="auto"/>
        <w:rPr>
          <w:i/>
          <w:sz w:val="23"/>
          <w:szCs w:val="23"/>
          <w:rtl/>
        </w:rPr>
      </w:pPr>
    </w:p>
    <w:p w14:paraId="6327055F" w14:textId="77777777" w:rsidR="00411620" w:rsidRPr="003B28FD" w:rsidRDefault="00411620" w:rsidP="00411620">
      <w:pPr>
        <w:pStyle w:val="Heading1"/>
        <w:spacing w:before="0" w:after="0" w:line="216" w:lineRule="auto"/>
        <w:rPr>
          <w:rFonts w:ascii="Times New Roman" w:hAnsi="Times New Roman" w:cs="B Nazanin"/>
          <w:b w:val="0"/>
          <w:i/>
          <w:sz w:val="23"/>
          <w:szCs w:val="23"/>
          <w:rtl/>
        </w:rPr>
      </w:pPr>
      <w:r w:rsidRPr="003B28FD">
        <w:rPr>
          <w:rFonts w:ascii="Times New Roman" w:hAnsi="Times New Roman" w:cs="B Nazanin" w:hint="cs"/>
          <w:b w:val="0"/>
          <w:i/>
          <w:sz w:val="23"/>
          <w:szCs w:val="23"/>
          <w:rtl/>
        </w:rPr>
        <w:t xml:space="preserve">۶. ۲. ۲ مالیات بر سرمایه و دستمزد نیروی کار </w:t>
      </w:r>
    </w:p>
    <w:p w14:paraId="6B05F416" w14:textId="77777777" w:rsidR="00411620" w:rsidRPr="003B28FD" w:rsidRDefault="00411620" w:rsidP="00411620">
      <w:pPr>
        <w:spacing w:line="216" w:lineRule="auto"/>
        <w:rPr>
          <w:bCs/>
          <w:i/>
          <w:sz w:val="23"/>
          <w:szCs w:val="23"/>
          <w:rtl/>
        </w:rPr>
      </w:pPr>
      <w:r w:rsidRPr="003B28FD">
        <w:rPr>
          <w:rFonts w:hint="cs"/>
          <w:bCs/>
          <w:i/>
          <w:sz w:val="23"/>
          <w:szCs w:val="23"/>
          <w:rtl/>
        </w:rPr>
        <w:t>الف: راه حل برنامه</w:t>
      </w:r>
      <w:r w:rsidRPr="003B28FD">
        <w:rPr>
          <w:bCs/>
          <w:i/>
          <w:sz w:val="23"/>
          <w:szCs w:val="23"/>
          <w:rtl/>
        </w:rPr>
        <w:softHyphen/>
      </w:r>
      <w:r w:rsidRPr="003B28FD">
        <w:rPr>
          <w:rFonts w:hint="cs"/>
          <w:bCs/>
          <w:i/>
          <w:sz w:val="23"/>
          <w:szCs w:val="23"/>
          <w:rtl/>
        </w:rPr>
        <w:t>ریز متمرکز</w:t>
      </w:r>
    </w:p>
    <w:p w14:paraId="5E71E361" w14:textId="77777777" w:rsidR="00411620" w:rsidRPr="003B28FD" w:rsidRDefault="00411620" w:rsidP="00411620">
      <w:pPr>
        <w:spacing w:line="216" w:lineRule="auto"/>
        <w:rPr>
          <w:rFonts w:eastAsiaTheme="minorEastAsia"/>
          <w:i/>
          <w:sz w:val="23"/>
          <w:szCs w:val="23"/>
          <w:rtl/>
        </w:rPr>
      </w:pPr>
      <w:r w:rsidRPr="003B28FD">
        <w:rPr>
          <w:rFonts w:hint="cs"/>
          <w:i/>
          <w:sz w:val="23"/>
          <w:szCs w:val="23"/>
          <w:rtl/>
        </w:rPr>
        <w:t>در این صورت دولت مطلوبیت بین‌دوره</w:t>
      </w:r>
      <w:r w:rsidRPr="003B28FD">
        <w:rPr>
          <w:i/>
          <w:sz w:val="23"/>
          <w:szCs w:val="23"/>
          <w:rtl/>
        </w:rPr>
        <w:softHyphen/>
      </w:r>
      <w:r w:rsidRPr="003B28FD">
        <w:rPr>
          <w:rFonts w:hint="cs"/>
          <w:i/>
          <w:sz w:val="23"/>
          <w:szCs w:val="23"/>
          <w:rtl/>
        </w:rPr>
        <w:t>ای</w:t>
      </w:r>
      <w:r w:rsidRPr="003B28FD">
        <w:rPr>
          <w:position w:val="-10"/>
        </w:rPr>
        <w:object w:dxaOrig="279" w:dyaOrig="320" w14:anchorId="25F89E3C">
          <v:shape id="_x0000_i3128" type="#_x0000_t75" style="width:13.9pt;height:16.35pt" o:ole="">
            <v:imagedata r:id="rId4241" o:title=""/>
          </v:shape>
          <o:OLEObject Type="Embed" ProgID="Equation.DSMT4" ShapeID="_x0000_i3128" DrawAspect="Content" ObjectID="_1791377072" r:id="rId4242"/>
        </w:object>
      </w:r>
      <w:r w:rsidRPr="003B28FD">
        <w:rPr>
          <w:rFonts w:eastAsiaTheme="minorEastAsia" w:hint="cs"/>
          <w:i/>
          <w:sz w:val="23"/>
          <w:szCs w:val="23"/>
          <w:rtl/>
        </w:rPr>
        <w:t xml:space="preserve"> را </w:t>
      </w:r>
      <w:r w:rsidRPr="003B28FD">
        <w:rPr>
          <w:rFonts w:hint="cs"/>
          <w:i/>
          <w:sz w:val="23"/>
          <w:szCs w:val="23"/>
          <w:rtl/>
        </w:rPr>
        <w:t>نسبت به قید منبع اقتصاد بین‌دوره</w:t>
      </w:r>
      <w:r w:rsidRPr="003B28FD">
        <w:rPr>
          <w:i/>
          <w:sz w:val="23"/>
          <w:szCs w:val="23"/>
          <w:rtl/>
        </w:rPr>
        <w:softHyphen/>
      </w:r>
      <w:r w:rsidRPr="003B28FD">
        <w:rPr>
          <w:rFonts w:hint="cs"/>
          <w:i/>
          <w:sz w:val="23"/>
          <w:szCs w:val="23"/>
          <w:rtl/>
        </w:rPr>
        <w:t xml:space="preserve">ای </w:t>
      </w:r>
      <w:r w:rsidRPr="003B28FD">
        <w:rPr>
          <w:rFonts w:eastAsiaTheme="minorEastAsia" w:hint="cs"/>
          <w:i/>
          <w:sz w:val="23"/>
          <w:szCs w:val="23"/>
          <w:rtl/>
        </w:rPr>
        <w:t>(۶. ۶)</w:t>
      </w:r>
      <w:r w:rsidRPr="003B28FD">
        <w:rPr>
          <w:i/>
          <w:sz w:val="23"/>
          <w:szCs w:val="23"/>
          <w:rtl/>
        </w:rPr>
        <w:t xml:space="preserve"> </w:t>
      </w:r>
      <w:r w:rsidRPr="003B28FD">
        <w:rPr>
          <w:rFonts w:hint="cs"/>
          <w:i/>
          <w:sz w:val="23"/>
          <w:szCs w:val="23"/>
          <w:rtl/>
        </w:rPr>
        <w:t>و قید بودجه</w:t>
      </w:r>
      <w:r w:rsidRPr="003B28FD">
        <w:rPr>
          <w:i/>
          <w:sz w:val="23"/>
          <w:szCs w:val="23"/>
          <w:rtl/>
        </w:rPr>
        <w:softHyphen/>
      </w:r>
      <w:r w:rsidRPr="003B28FD">
        <w:rPr>
          <w:rFonts w:hint="cs"/>
          <w:i/>
          <w:sz w:val="23"/>
          <w:szCs w:val="23"/>
          <w:rtl/>
        </w:rPr>
        <w:t xml:space="preserve">ی خود در زمان </w:t>
      </w:r>
      <w:r w:rsidRPr="003B28FD">
        <w:rPr>
          <w:position w:val="-6"/>
        </w:rPr>
        <w:object w:dxaOrig="440" w:dyaOrig="260" w14:anchorId="4DDB1E3E">
          <v:shape id="_x0000_i3129" type="#_x0000_t75" style="width:21.8pt;height:13.3pt" o:ole="">
            <v:imagedata r:id="rId4243" o:title=""/>
          </v:shape>
          <o:OLEObject Type="Embed" ProgID="Equation.DSMT4" ShapeID="_x0000_i3129" DrawAspect="Content" ObjectID="_1791377073" r:id="rId4244"/>
        </w:object>
      </w:r>
      <w:r w:rsidRPr="003B28FD">
        <w:rPr>
          <w:rFonts w:eastAsiaTheme="minorEastAsia" w:hint="cs"/>
          <w:i/>
          <w:sz w:val="23"/>
          <w:szCs w:val="23"/>
          <w:rtl/>
        </w:rPr>
        <w:t xml:space="preserve"> </w:t>
      </w:r>
      <w:r w:rsidRPr="003B28FD">
        <w:rPr>
          <w:rFonts w:hint="cs"/>
          <w:i/>
          <w:sz w:val="23"/>
          <w:szCs w:val="23"/>
          <w:rtl/>
        </w:rPr>
        <w:t>یعنی (۶. ۴)</w:t>
      </w:r>
      <w:r w:rsidRPr="003B28FD">
        <w:rPr>
          <w:rFonts w:eastAsiaTheme="minorEastAsia" w:hint="cs"/>
          <w:i/>
          <w:sz w:val="23"/>
          <w:szCs w:val="23"/>
          <w:rtl/>
        </w:rPr>
        <w:t xml:space="preserve"> </w:t>
      </w:r>
      <w:r w:rsidRPr="003B28FD">
        <w:rPr>
          <w:rFonts w:hint="cs"/>
          <w:i/>
          <w:sz w:val="23"/>
          <w:szCs w:val="23"/>
          <w:rtl/>
        </w:rPr>
        <w:t>حداکثر می</w:t>
      </w:r>
      <w:r w:rsidRPr="003B28FD">
        <w:rPr>
          <w:i/>
          <w:sz w:val="23"/>
          <w:szCs w:val="23"/>
          <w:rtl/>
        </w:rPr>
        <w:softHyphen/>
      </w:r>
      <w:r w:rsidRPr="003B28FD">
        <w:rPr>
          <w:rFonts w:hint="cs"/>
          <w:i/>
          <w:sz w:val="23"/>
          <w:szCs w:val="23"/>
          <w:rtl/>
        </w:rPr>
        <w:t>کند. از آن</w:t>
      </w:r>
      <w:r w:rsidRPr="003B28FD">
        <w:rPr>
          <w:i/>
          <w:sz w:val="23"/>
          <w:szCs w:val="23"/>
          <w:rtl/>
        </w:rPr>
        <w:softHyphen/>
      </w:r>
      <w:r w:rsidRPr="003B28FD">
        <w:rPr>
          <w:rFonts w:hint="cs"/>
          <w:i/>
          <w:sz w:val="23"/>
          <w:szCs w:val="23"/>
          <w:rtl/>
        </w:rPr>
        <w:t xml:space="preserve">جا که </w:t>
      </w:r>
      <w:r w:rsidRPr="003B28FD">
        <w:rPr>
          <w:position w:val="-10"/>
        </w:rPr>
        <w:object w:dxaOrig="620" w:dyaOrig="320" w14:anchorId="6A23FE12">
          <v:shape id="_x0000_i3130" type="#_x0000_t75" style="width:30.85pt;height:16.35pt" o:ole="">
            <v:imagedata r:id="rId4245" o:title=""/>
          </v:shape>
          <o:OLEObject Type="Embed" ProgID="Equation.DSMT4" ShapeID="_x0000_i3130" DrawAspect="Content" ObjectID="_1791377074" r:id="rId4246"/>
        </w:object>
      </w:r>
      <w:r w:rsidRPr="003B28FD">
        <w:rPr>
          <w:rFonts w:eastAsiaTheme="minorEastAsia" w:hint="cs"/>
          <w:i/>
          <w:sz w:val="23"/>
          <w:szCs w:val="23"/>
          <w:rtl/>
        </w:rPr>
        <w:t xml:space="preserve"> می</w:t>
      </w:r>
      <w:r w:rsidRPr="003B28FD">
        <w:rPr>
          <w:rFonts w:eastAsiaTheme="minorEastAsia"/>
          <w:i/>
          <w:sz w:val="23"/>
          <w:szCs w:val="23"/>
          <w:rtl/>
        </w:rPr>
        <w:softHyphen/>
      </w:r>
      <w:r w:rsidRPr="003B28FD">
        <w:rPr>
          <w:rFonts w:eastAsiaTheme="minorEastAsia" w:hint="cs"/>
          <w:i/>
          <w:sz w:val="23"/>
          <w:szCs w:val="23"/>
          <w:rtl/>
        </w:rPr>
        <w:t>باشد، لذا لاگرانژین این مسئله عبارت است از</w:t>
      </w:r>
    </w:p>
    <w:p w14:paraId="522CF5F3" w14:textId="77777777" w:rsidR="00411620" w:rsidRPr="003B28FD" w:rsidRDefault="00411620" w:rsidP="00411620">
      <w:pPr>
        <w:bidi w:val="0"/>
        <w:spacing w:line="216" w:lineRule="auto"/>
        <w:rPr>
          <w:rFonts w:eastAsiaTheme="minorEastAsia"/>
          <w:i/>
          <w:sz w:val="23"/>
          <w:szCs w:val="23"/>
          <w:rtl/>
        </w:rPr>
      </w:pPr>
      <w:r w:rsidRPr="003B28FD">
        <w:rPr>
          <w:rFonts w:eastAsiaTheme="minorEastAsia" w:hint="cs"/>
          <w:i/>
          <w:sz w:val="23"/>
          <w:szCs w:val="23"/>
          <w:rtl/>
        </w:rPr>
        <w:t xml:space="preserve"> </w:t>
      </w:r>
      <w:r w:rsidRPr="003B28FD">
        <w:rPr>
          <w:position w:val="-64"/>
        </w:rPr>
        <w:object w:dxaOrig="4459" w:dyaOrig="1300" w14:anchorId="01D6F8AC">
          <v:shape id="_x0000_i3131" type="#_x0000_t75" style="width:222.65pt;height:64.75pt" o:ole="">
            <v:imagedata r:id="rId4247" o:title=""/>
          </v:shape>
          <o:OLEObject Type="Embed" ProgID="Equation.DSMT4" ShapeID="_x0000_i3131" DrawAspect="Content" ObjectID="_1791377075" r:id="rId4248"/>
        </w:object>
      </w:r>
    </w:p>
    <w:p w14:paraId="21E452D5"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Pr>
        <w:t xml:space="preserve"> </w:t>
      </w:r>
      <w:r w:rsidRPr="003B28FD">
        <w:rPr>
          <w:rFonts w:eastAsiaTheme="minorEastAsia" w:hint="cs"/>
          <w:i/>
          <w:sz w:val="23"/>
          <w:szCs w:val="23"/>
          <w:rtl/>
        </w:rPr>
        <w:t>شرایط مرتبه</w:t>
      </w:r>
      <w:r w:rsidRPr="003B28FD">
        <w:rPr>
          <w:rFonts w:eastAsiaTheme="minorEastAsia"/>
          <w:i/>
          <w:sz w:val="23"/>
          <w:szCs w:val="23"/>
          <w:rtl/>
        </w:rPr>
        <w:softHyphen/>
      </w:r>
      <w:r w:rsidRPr="003B28FD">
        <w:rPr>
          <w:rFonts w:eastAsiaTheme="minorEastAsia" w:hint="cs"/>
          <w:i/>
          <w:sz w:val="23"/>
          <w:szCs w:val="23"/>
          <w:rtl/>
        </w:rPr>
        <w:t>ی اول عبارت خواهند بود از</w:t>
      </w:r>
    </w:p>
    <w:p w14:paraId="4F4A69E7" w14:textId="77777777" w:rsidR="00411620" w:rsidRPr="003B28FD" w:rsidRDefault="00411620" w:rsidP="00411620">
      <w:pPr>
        <w:pStyle w:val="MTDisplayEquation"/>
        <w:spacing w:line="216" w:lineRule="auto"/>
        <w:jc w:val="left"/>
        <w:rPr>
          <w:rFonts w:ascii="Times New Roman" w:eastAsiaTheme="minorEastAsia" w:hAnsi="Times New Roman" w:cs="B Nazanin"/>
          <w:i/>
          <w:sz w:val="23"/>
          <w:szCs w:val="23"/>
          <w:rtl/>
        </w:rPr>
      </w:pPr>
      <w:r w:rsidRPr="003B28FD">
        <w:rPr>
          <w:position w:val="-28"/>
        </w:rPr>
        <w:object w:dxaOrig="3420" w:dyaOrig="620" w14:anchorId="2F0E82D3">
          <v:shape id="_x0000_i3132" type="#_x0000_t75" style="width:170.6pt;height:30.85pt" o:ole="">
            <v:imagedata r:id="rId4249" o:title=""/>
          </v:shape>
          <o:OLEObject Type="Embed" ProgID="Equation.DSMT4" ShapeID="_x0000_i3132" DrawAspect="Content" ObjectID="_1791377076" r:id="rId4250"/>
        </w:object>
      </w:r>
    </w:p>
    <w:p w14:paraId="74CDA96B"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Pr>
      </w:pPr>
      <w:r w:rsidRPr="003B28FD">
        <w:rPr>
          <w:position w:val="-28"/>
        </w:rPr>
        <w:object w:dxaOrig="3220" w:dyaOrig="620" w14:anchorId="5ABDB62A">
          <v:shape id="_x0000_i3133" type="#_x0000_t75" style="width:160.95pt;height:30.85pt" o:ole="">
            <v:imagedata r:id="rId4251" o:title=""/>
          </v:shape>
          <o:OLEObject Type="Embed" ProgID="Equation.DSMT4" ShapeID="_x0000_i3133" DrawAspect="Content" ObjectID="_1791377077" r:id="rId4252"/>
        </w:object>
      </w:r>
    </w:p>
    <w:p w14:paraId="10E95A4C"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Pr>
      </w:pPr>
      <w:r w:rsidRPr="003B28FD">
        <w:rPr>
          <w:position w:val="-28"/>
        </w:rPr>
        <w:object w:dxaOrig="3560" w:dyaOrig="620" w14:anchorId="3B024E1D">
          <v:shape id="_x0000_i3134" type="#_x0000_t75" style="width:178.5pt;height:30.85pt" o:ole="">
            <v:imagedata r:id="rId4253" o:title=""/>
          </v:shape>
          <o:OLEObject Type="Embed" ProgID="Equation.DSMT4" ShapeID="_x0000_i3134" DrawAspect="Content" ObjectID="_1791377078" r:id="rId4254"/>
        </w:object>
      </w:r>
    </w:p>
    <w:p w14:paraId="6339C2CA"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3B28FD">
        <w:rPr>
          <w:position w:val="-28"/>
        </w:rPr>
        <w:object w:dxaOrig="2659" w:dyaOrig="620" w14:anchorId="627B74BE">
          <v:shape id="_x0000_i3135" type="#_x0000_t75" style="width:133.1pt;height:30.85pt" o:ole="">
            <v:imagedata r:id="rId4255" o:title=""/>
          </v:shape>
          <o:OLEObject Type="Embed" ProgID="Equation.DSMT4" ShapeID="_x0000_i3135" DrawAspect="Content" ObjectID="_1791377079" r:id="rId4256"/>
        </w:object>
      </w:r>
    </w:p>
    <w:p w14:paraId="39F2AD87"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3B28FD">
        <w:rPr>
          <w:position w:val="-22"/>
        </w:rPr>
        <w:object w:dxaOrig="3300" w:dyaOrig="560" w14:anchorId="353A7E6E">
          <v:shape id="_x0000_i3136" type="#_x0000_t75" style="width:164.55pt;height:27.85pt" o:ole="">
            <v:imagedata r:id="rId4257" o:title=""/>
          </v:shape>
          <o:OLEObject Type="Embed" ProgID="Equation.DSMT4" ShapeID="_x0000_i3136" DrawAspect="Content" ObjectID="_1791377080" r:id="rId4258"/>
        </w:object>
      </w:r>
    </w:p>
    <w:p w14:paraId="2DF7EE55" w14:textId="77777777" w:rsidR="00411620" w:rsidRPr="003B28FD" w:rsidRDefault="00411620" w:rsidP="00411620">
      <w:pPr>
        <w:pStyle w:val="MTDisplayEquation"/>
        <w:spacing w:line="216" w:lineRule="auto"/>
        <w:rPr>
          <w:rFonts w:ascii="Times New Roman" w:hAnsi="Times New Roman" w:cs="B Nazanin"/>
          <w:i/>
          <w:sz w:val="23"/>
          <w:szCs w:val="23"/>
          <w:rtl/>
        </w:rPr>
      </w:pPr>
      <w:r w:rsidRPr="003B28FD">
        <w:rPr>
          <w:position w:val="-22"/>
        </w:rPr>
        <w:object w:dxaOrig="4380" w:dyaOrig="560" w14:anchorId="201120E6">
          <v:shape id="_x0000_i3137" type="#_x0000_t75" style="width:219.05pt;height:27.85pt" o:ole="">
            <v:imagedata r:id="rId4259" o:title=""/>
          </v:shape>
          <o:OLEObject Type="Embed" ProgID="Equation.DSMT4" ShapeID="_x0000_i3137" DrawAspect="Content" ObjectID="_1791377081" r:id="rId4260"/>
        </w:object>
      </w:r>
    </w:p>
    <w:p w14:paraId="1B7F0800" w14:textId="77777777" w:rsidR="00411620" w:rsidRPr="003B28FD" w:rsidRDefault="00411620" w:rsidP="00411620">
      <w:pPr>
        <w:spacing w:line="216" w:lineRule="auto"/>
        <w:rPr>
          <w:rFonts w:eastAsiaTheme="minorEastAsia"/>
          <w:i/>
          <w:sz w:val="23"/>
          <w:szCs w:val="23"/>
          <w:rtl/>
        </w:rPr>
      </w:pPr>
      <w:r w:rsidRPr="003B28FD">
        <w:rPr>
          <w:rFonts w:hint="cs"/>
          <w:i/>
          <w:sz w:val="23"/>
          <w:szCs w:val="23"/>
          <w:rtl/>
        </w:rPr>
        <w:t>از آن</w:t>
      </w:r>
      <w:r w:rsidRPr="003B28FD">
        <w:rPr>
          <w:i/>
          <w:sz w:val="23"/>
          <w:szCs w:val="23"/>
          <w:rtl/>
        </w:rPr>
        <w:softHyphen/>
      </w:r>
      <w:r w:rsidRPr="003B28FD">
        <w:rPr>
          <w:rFonts w:hint="cs"/>
          <w:i/>
          <w:sz w:val="23"/>
          <w:szCs w:val="23"/>
          <w:rtl/>
        </w:rPr>
        <w:t xml:space="preserve">جا که </w:t>
      </w:r>
      <w:r w:rsidRPr="003B28FD">
        <w:rPr>
          <w:position w:val="-10"/>
        </w:rPr>
        <w:object w:dxaOrig="540" w:dyaOrig="300" w14:anchorId="4C27D05A">
          <v:shape id="_x0000_i3138" type="#_x0000_t75" style="width:26.6pt;height:15.15pt" o:ole="">
            <v:imagedata r:id="rId4261" o:title=""/>
          </v:shape>
          <o:OLEObject Type="Embed" ProgID="Equation.DSMT4" ShapeID="_x0000_i3138" DrawAspect="Content" ObjectID="_1791377082" r:id="rId4262"/>
        </w:object>
      </w:r>
      <w:r w:rsidRPr="003B28FD">
        <w:rPr>
          <w:rFonts w:eastAsiaTheme="minorEastAsia" w:hint="cs"/>
          <w:i/>
          <w:sz w:val="23"/>
          <w:szCs w:val="23"/>
          <w:rtl/>
        </w:rPr>
        <w:t xml:space="preserve"> است لذا داریم</w:t>
      </w:r>
    </w:p>
    <w:p w14:paraId="7362A8A9" w14:textId="77777777" w:rsidR="00411620" w:rsidRPr="003B28FD" w:rsidRDefault="00411620" w:rsidP="00411620">
      <w:pPr>
        <w:bidi w:val="0"/>
        <w:spacing w:line="216" w:lineRule="auto"/>
        <w:rPr>
          <w:rFonts w:eastAsiaTheme="minorEastAsia"/>
          <w:i/>
          <w:sz w:val="23"/>
          <w:szCs w:val="23"/>
          <w:rtl/>
        </w:rPr>
      </w:pPr>
      <w:r w:rsidRPr="003B28FD">
        <w:rPr>
          <w:position w:val="-12"/>
        </w:rPr>
        <w:object w:dxaOrig="1460" w:dyaOrig="360" w14:anchorId="2E70DA66">
          <v:shape id="_x0000_i3139" type="#_x0000_t75" style="width:73.2pt;height:18.15pt" o:ole="">
            <v:imagedata r:id="rId4263" o:title=""/>
          </v:shape>
          <o:OLEObject Type="Embed" ProgID="Equation.DSMT4" ShapeID="_x0000_i3139" DrawAspect="Content" ObjectID="_1791377083" r:id="rId4264"/>
        </w:object>
      </w:r>
      <w:r w:rsidRPr="003B28FD">
        <w:rPr>
          <w:rFonts w:eastAsiaTheme="minorEastAsia" w:hint="cs"/>
          <w:i/>
          <w:sz w:val="23"/>
          <w:szCs w:val="23"/>
          <w:rtl/>
        </w:rPr>
        <w:t xml:space="preserve"> </w:t>
      </w:r>
      <w:r w:rsidRPr="003B28FD">
        <w:rPr>
          <w:rFonts w:eastAsiaTheme="minorEastAsia"/>
          <w:i/>
          <w:sz w:val="23"/>
          <w:szCs w:val="23"/>
        </w:rPr>
        <w:tab/>
      </w:r>
      <w:r w:rsidRPr="003B28FD">
        <w:rPr>
          <w:rFonts w:eastAsiaTheme="minorEastAsia"/>
          <w:i/>
          <w:sz w:val="23"/>
          <w:szCs w:val="23"/>
          <w:rtl/>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Pr>
          <w:rFonts w:eastAsiaTheme="minorEastAsia"/>
          <w:i/>
          <w:sz w:val="23"/>
          <w:szCs w:val="23"/>
          <w:rtl/>
        </w:rPr>
        <w:tab/>
      </w:r>
      <w:r>
        <w:rPr>
          <w:rFonts w:eastAsiaTheme="minorEastAsia"/>
          <w:i/>
          <w:sz w:val="23"/>
          <w:szCs w:val="23"/>
          <w:rtl/>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hint="cs"/>
          <w:i/>
          <w:sz w:val="23"/>
          <w:szCs w:val="23"/>
          <w:rtl/>
        </w:rPr>
        <w:t>(۶. ۱۶)</w:t>
      </w:r>
    </w:p>
    <w:p w14:paraId="2AED523C" w14:textId="77777777" w:rsidR="00411620" w:rsidRPr="003B28FD" w:rsidRDefault="00411620" w:rsidP="00411620">
      <w:pPr>
        <w:bidi w:val="0"/>
        <w:spacing w:line="216" w:lineRule="auto"/>
        <w:rPr>
          <w:rFonts w:eastAsiaTheme="minorEastAsia"/>
          <w:i/>
          <w:sz w:val="23"/>
          <w:szCs w:val="23"/>
          <w:rtl/>
        </w:rPr>
      </w:pPr>
      <w:r w:rsidRPr="003B28FD">
        <w:rPr>
          <w:position w:val="-22"/>
        </w:rPr>
        <w:object w:dxaOrig="1040" w:dyaOrig="560" w14:anchorId="3A773C65">
          <v:shape id="_x0000_i3140" type="#_x0000_t75" style="width:52.05pt;height:27.85pt" o:ole="">
            <v:imagedata r:id="rId4265" o:title=""/>
          </v:shape>
          <o:OLEObject Type="Embed" ProgID="Equation.DSMT4" ShapeID="_x0000_i3140" DrawAspect="Content" ObjectID="_1791377084" r:id="rId4266"/>
        </w:object>
      </w:r>
      <w:r w:rsidRPr="003B28FD">
        <w:rPr>
          <w:rFonts w:eastAsiaTheme="minorEastAsia" w:hint="cs"/>
          <w:i/>
          <w:sz w:val="23"/>
          <w:szCs w:val="23"/>
        </w:rPr>
        <w:t xml:space="preserve"> </w:t>
      </w:r>
      <w:r w:rsidRPr="003B28FD">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tl/>
        </w:rPr>
        <w:tab/>
      </w:r>
      <w:r>
        <w:rPr>
          <w:rFonts w:eastAsiaTheme="minorEastAsia"/>
          <w:i/>
          <w:sz w:val="23"/>
          <w:szCs w:val="23"/>
          <w:rtl/>
        </w:rPr>
        <w:tab/>
      </w:r>
      <w:r>
        <w:rPr>
          <w:rFonts w:eastAsiaTheme="minorEastAsia"/>
          <w:i/>
          <w:sz w:val="23"/>
          <w:szCs w:val="23"/>
          <w:rtl/>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t xml:space="preserve"> </w:t>
      </w:r>
      <w:r w:rsidRPr="003B28FD">
        <w:rPr>
          <w:rFonts w:eastAsiaTheme="minorEastAsia"/>
          <w:i/>
          <w:sz w:val="23"/>
          <w:szCs w:val="23"/>
        </w:rPr>
        <w:tab/>
      </w:r>
      <w:r w:rsidRPr="003B28FD">
        <w:rPr>
          <w:rFonts w:eastAsiaTheme="minorEastAsia" w:hint="cs"/>
          <w:i/>
          <w:sz w:val="23"/>
          <w:szCs w:val="23"/>
          <w:rtl/>
        </w:rPr>
        <w:t>(۶. ۱۷)</w:t>
      </w:r>
    </w:p>
    <w:p w14:paraId="6D787E91" w14:textId="77777777" w:rsidR="00411620" w:rsidRPr="003B28FD" w:rsidRDefault="00411620" w:rsidP="00411620">
      <w:pPr>
        <w:bidi w:val="0"/>
        <w:spacing w:line="216" w:lineRule="auto"/>
        <w:rPr>
          <w:rFonts w:eastAsiaTheme="minorEastAsia"/>
          <w:i/>
          <w:sz w:val="23"/>
          <w:szCs w:val="23"/>
          <w:rtl/>
        </w:rPr>
      </w:pPr>
      <w:r w:rsidRPr="003B28FD">
        <w:rPr>
          <w:position w:val="-10"/>
        </w:rPr>
        <w:object w:dxaOrig="1020" w:dyaOrig="320" w14:anchorId="0B54B128">
          <v:shape id="_x0000_i3141" type="#_x0000_t75" style="width:51.45pt;height:16.35pt" o:ole="">
            <v:imagedata r:id="rId4267" o:title=""/>
          </v:shape>
          <o:OLEObject Type="Embed" ProgID="Equation.DSMT4" ShapeID="_x0000_i3141" DrawAspect="Content" ObjectID="_1791377085" r:id="rId4268"/>
        </w:object>
      </w:r>
      <w:r w:rsidRPr="003B28FD">
        <w:rPr>
          <w:rFonts w:eastAsiaTheme="minorEastAsia" w:hint="cs"/>
          <w:i/>
          <w:sz w:val="23"/>
          <w:szCs w:val="23"/>
        </w:rPr>
        <w:t xml:space="preserve"> </w:t>
      </w:r>
      <w:r w:rsidRPr="003B28FD">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Pr>
        <w:t xml:space="preserve"> </w:t>
      </w:r>
      <w:r w:rsidRPr="003B28FD">
        <w:rPr>
          <w:rFonts w:eastAsiaTheme="minorEastAsia"/>
          <w:i/>
          <w:sz w:val="23"/>
          <w:szCs w:val="23"/>
        </w:rPr>
        <w:tab/>
      </w:r>
      <w:r w:rsidRPr="003B28FD">
        <w:rPr>
          <w:rFonts w:eastAsiaTheme="minorEastAsia"/>
          <w:i/>
          <w:sz w:val="23"/>
          <w:szCs w:val="23"/>
        </w:rPr>
        <w:tab/>
      </w:r>
      <w:r>
        <w:rPr>
          <w:rFonts w:eastAsiaTheme="minorEastAsia"/>
          <w:i/>
          <w:sz w:val="23"/>
          <w:szCs w:val="23"/>
          <w:rtl/>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tl/>
        </w:rPr>
        <w:tab/>
      </w:r>
      <w:r w:rsidRPr="003B28FD">
        <w:rPr>
          <w:rFonts w:eastAsiaTheme="minorEastAsia" w:hint="cs"/>
          <w:i/>
          <w:sz w:val="23"/>
          <w:szCs w:val="23"/>
          <w:rtl/>
        </w:rPr>
        <w:t>(۶. ۱۸)</w:t>
      </w:r>
    </w:p>
    <w:p w14:paraId="429C7869"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 xml:space="preserve">هر چند قید بودجه تغییر کرده، ولی نتایج فوق همانند مالیات مقطوع یعنی معادلات </w:t>
      </w:r>
      <w:r w:rsidRPr="003B28FD">
        <w:rPr>
          <w:rFonts w:hint="cs"/>
          <w:i/>
          <w:sz w:val="23"/>
          <w:szCs w:val="23"/>
          <w:rtl/>
        </w:rPr>
        <w:t>(۶. ۸)</w:t>
      </w:r>
      <w:r w:rsidRPr="003B28FD">
        <w:rPr>
          <w:rFonts w:eastAsiaTheme="minorEastAsia" w:hint="cs"/>
          <w:i/>
          <w:sz w:val="23"/>
          <w:szCs w:val="23"/>
          <w:rtl/>
        </w:rPr>
        <w:t xml:space="preserve"> ، </w:t>
      </w:r>
      <w:r w:rsidRPr="003B28FD">
        <w:rPr>
          <w:rFonts w:hint="cs"/>
          <w:i/>
          <w:sz w:val="23"/>
          <w:szCs w:val="23"/>
          <w:rtl/>
        </w:rPr>
        <w:t>(۶. ۹)</w:t>
      </w:r>
      <w:r w:rsidRPr="003B28FD">
        <w:rPr>
          <w:rFonts w:eastAsiaTheme="minorEastAsia" w:hint="cs"/>
          <w:i/>
          <w:sz w:val="23"/>
          <w:szCs w:val="23"/>
          <w:rtl/>
        </w:rPr>
        <w:t xml:space="preserve"> و </w:t>
      </w:r>
      <w:r w:rsidRPr="003B28FD">
        <w:rPr>
          <w:rFonts w:hint="cs"/>
          <w:i/>
          <w:sz w:val="23"/>
          <w:szCs w:val="23"/>
          <w:rtl/>
        </w:rPr>
        <w:t>(۶. ۱۰)</w:t>
      </w:r>
      <w:r w:rsidRPr="003B28FD">
        <w:rPr>
          <w:rFonts w:eastAsiaTheme="minorEastAsia" w:hint="cs"/>
          <w:i/>
          <w:sz w:val="23"/>
          <w:szCs w:val="23"/>
          <w:rtl/>
        </w:rPr>
        <w:t xml:space="preserve"> است، و مخارج مصرفی</w:t>
      </w:r>
      <w:r w:rsidRPr="003B28FD">
        <w:rPr>
          <w:position w:val="-10"/>
        </w:rPr>
        <w:object w:dxaOrig="200" w:dyaOrig="320" w14:anchorId="4B1D036D">
          <v:shape id="_x0000_i3142" type="#_x0000_t75" style="width:10.3pt;height:16.35pt" o:ole="">
            <v:imagedata r:id="rId4269" o:title=""/>
          </v:shape>
          <o:OLEObject Type="Embed" ProgID="Equation.DSMT4" ShapeID="_x0000_i3142" DrawAspect="Content" ObjectID="_1791377086" r:id="rId4270"/>
        </w:object>
      </w:r>
      <w:r w:rsidRPr="003B28FD">
        <w:rPr>
          <w:rFonts w:eastAsiaTheme="minorEastAsia" w:hint="cs"/>
          <w:i/>
          <w:sz w:val="23"/>
          <w:szCs w:val="23"/>
          <w:rtl/>
        </w:rPr>
        <w:t xml:space="preserve"> نیز همانند قبل برابر خواهد با؛</w:t>
      </w:r>
    </w:p>
    <w:p w14:paraId="07C4382D" w14:textId="77777777" w:rsidR="00411620" w:rsidRPr="003B28FD"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Pr>
      </w:pPr>
      <w:r w:rsidRPr="003B28FD">
        <w:rPr>
          <w:position w:val="-30"/>
        </w:rPr>
        <w:object w:dxaOrig="1840" w:dyaOrig="880" w14:anchorId="331959C5">
          <v:shape id="_x0000_i3143" type="#_x0000_t75" style="width:91.95pt;height:44.15pt" o:ole="">
            <v:imagedata r:id="rId4271" o:title=""/>
          </v:shape>
          <o:OLEObject Type="Embed" ProgID="Equation.DSMT4" ShapeID="_x0000_i3143" DrawAspect="Content" ObjectID="_1791377087" r:id="rId4272"/>
        </w:object>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Pr>
          <w:rFonts w:ascii="Times New Roman" w:hAnsi="Times New Roman"/>
          <w:i/>
          <w:sz w:val="23"/>
          <w:szCs w:val="23"/>
          <w:rtl/>
        </w:rPr>
        <w:tab/>
      </w:r>
      <w:r>
        <w:rPr>
          <w:rFonts w:ascii="Times New Roman" w:hAnsi="Times New Roman"/>
          <w:i/>
          <w:sz w:val="23"/>
          <w:szCs w:val="23"/>
          <w:rtl/>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cs="B Nazanin"/>
          <w:i/>
          <w:sz w:val="23"/>
          <w:szCs w:val="23"/>
          <w:rtl/>
        </w:rPr>
        <w:tab/>
      </w:r>
      <w:r w:rsidRPr="003B28FD">
        <w:rPr>
          <w:rFonts w:ascii="Times New Roman" w:hAnsi="Times New Roman" w:cs="B Nazanin" w:hint="cs"/>
          <w:i/>
          <w:sz w:val="23"/>
          <w:szCs w:val="23"/>
          <w:rtl/>
        </w:rPr>
        <w:t>(۶. ۱۹)</w:t>
      </w:r>
    </w:p>
    <w:p w14:paraId="0DABDCA2" w14:textId="77777777" w:rsidR="00411620" w:rsidRPr="003B28FD" w:rsidRDefault="00411620" w:rsidP="00411620">
      <w:pPr>
        <w:spacing w:line="216" w:lineRule="auto"/>
        <w:rPr>
          <w:rFonts w:eastAsiaTheme="minorEastAsia"/>
          <w:i/>
          <w:sz w:val="23"/>
          <w:szCs w:val="23"/>
          <w:rtl/>
        </w:rPr>
      </w:pPr>
    </w:p>
    <w:p w14:paraId="153BF4DE" w14:textId="77777777" w:rsidR="00411620" w:rsidRPr="003B28FD" w:rsidRDefault="00411620" w:rsidP="00411620">
      <w:pPr>
        <w:spacing w:line="216" w:lineRule="auto"/>
        <w:rPr>
          <w:rFonts w:eastAsiaTheme="minorEastAsia"/>
          <w:bCs/>
          <w:i/>
          <w:sz w:val="23"/>
          <w:szCs w:val="23"/>
          <w:rtl/>
        </w:rPr>
      </w:pPr>
      <w:r w:rsidRPr="003B28FD">
        <w:rPr>
          <w:rFonts w:eastAsiaTheme="minorEastAsia" w:hint="cs"/>
          <w:bCs/>
          <w:i/>
          <w:sz w:val="23"/>
          <w:szCs w:val="23"/>
          <w:rtl/>
        </w:rPr>
        <w:t>ب: راه حل غیرمتمرکز بین‌دوره</w:t>
      </w:r>
      <w:r w:rsidRPr="003B28FD">
        <w:rPr>
          <w:rFonts w:eastAsiaTheme="minorEastAsia"/>
          <w:bCs/>
          <w:i/>
          <w:sz w:val="23"/>
          <w:szCs w:val="23"/>
          <w:rtl/>
        </w:rPr>
        <w:softHyphen/>
      </w:r>
      <w:r w:rsidRPr="003B28FD">
        <w:rPr>
          <w:rFonts w:eastAsiaTheme="minorEastAsia" w:hint="cs"/>
          <w:bCs/>
          <w:i/>
          <w:sz w:val="23"/>
          <w:szCs w:val="23"/>
          <w:rtl/>
        </w:rPr>
        <w:t>ای</w:t>
      </w:r>
    </w:p>
    <w:p w14:paraId="382D9D19" w14:textId="77777777" w:rsidR="00411620" w:rsidRPr="003B28FD" w:rsidRDefault="00411620" w:rsidP="00C67946">
      <w:pPr>
        <w:pStyle w:val="ListParagraph"/>
        <w:numPr>
          <w:ilvl w:val="0"/>
          <w:numId w:val="4"/>
        </w:numPr>
        <w:spacing w:line="216" w:lineRule="auto"/>
        <w:ind w:left="0" w:firstLine="0"/>
        <w:rPr>
          <w:rFonts w:eastAsiaTheme="minorEastAsia"/>
          <w:bCs/>
          <w:i/>
          <w:sz w:val="23"/>
          <w:szCs w:val="23"/>
          <w:rtl/>
        </w:rPr>
      </w:pPr>
      <w:r w:rsidRPr="003B28FD">
        <w:rPr>
          <w:rFonts w:eastAsiaTheme="minorEastAsia" w:hint="cs"/>
          <w:bCs/>
          <w:i/>
          <w:sz w:val="23"/>
          <w:szCs w:val="23"/>
          <w:rtl/>
        </w:rPr>
        <w:t>مسئله</w:t>
      </w:r>
      <w:r w:rsidRPr="003B28FD">
        <w:rPr>
          <w:rFonts w:eastAsiaTheme="minorEastAsia"/>
          <w:bCs/>
          <w:i/>
          <w:sz w:val="23"/>
          <w:szCs w:val="23"/>
          <w:rtl/>
        </w:rPr>
        <w:softHyphen/>
      </w:r>
      <w:r w:rsidRPr="003B28FD">
        <w:rPr>
          <w:rFonts w:eastAsiaTheme="minorEastAsia" w:hint="cs"/>
          <w:bCs/>
          <w:i/>
          <w:sz w:val="23"/>
          <w:szCs w:val="23"/>
          <w:rtl/>
        </w:rPr>
        <w:t xml:space="preserve">ی خانوار </w:t>
      </w:r>
    </w:p>
    <w:p w14:paraId="48F0A79E"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خانوار مطلوبیت</w:t>
      </w:r>
      <w:r w:rsidRPr="003B28FD">
        <w:rPr>
          <w:position w:val="-10"/>
        </w:rPr>
        <w:object w:dxaOrig="279" w:dyaOrig="320" w14:anchorId="6E95A6FE">
          <v:shape id="_x0000_i3144" type="#_x0000_t75" style="width:13.9pt;height:16.35pt" o:ole="">
            <v:imagedata r:id="rId4273" o:title=""/>
          </v:shape>
          <o:OLEObject Type="Embed" ProgID="Equation.DSMT4" ShapeID="_x0000_i3144" DrawAspect="Content" ObjectID="_1791377088" r:id="rId4274"/>
        </w:object>
      </w:r>
      <w:r w:rsidRPr="003B28FD">
        <w:rPr>
          <w:rFonts w:eastAsiaTheme="minorEastAsia" w:hint="cs"/>
          <w:i/>
          <w:sz w:val="23"/>
          <w:szCs w:val="23"/>
          <w:rtl/>
        </w:rPr>
        <w:t xml:space="preserve"> را در دوره</w:t>
      </w:r>
      <w:r w:rsidRPr="003B28FD">
        <w:rPr>
          <w:rFonts w:eastAsiaTheme="minorEastAsia"/>
          <w:i/>
          <w:sz w:val="23"/>
          <w:szCs w:val="23"/>
          <w:rtl/>
        </w:rPr>
        <w:softHyphen/>
      </w:r>
      <w:r w:rsidRPr="003B28FD">
        <w:rPr>
          <w:rFonts w:eastAsiaTheme="minorEastAsia" w:hint="cs"/>
          <w:i/>
          <w:sz w:val="23"/>
          <w:szCs w:val="23"/>
          <w:rtl/>
        </w:rPr>
        <w:t>ی اول با توجه به قید بودجه</w:t>
      </w:r>
      <w:r w:rsidRPr="003B28FD">
        <w:rPr>
          <w:rFonts w:eastAsiaTheme="minorEastAsia"/>
          <w:i/>
          <w:sz w:val="23"/>
          <w:szCs w:val="23"/>
          <w:rtl/>
        </w:rPr>
        <w:softHyphen/>
      </w:r>
      <w:r w:rsidRPr="003B28FD">
        <w:rPr>
          <w:rFonts w:eastAsiaTheme="minorEastAsia" w:hint="cs"/>
          <w:i/>
          <w:sz w:val="23"/>
          <w:szCs w:val="23"/>
          <w:rtl/>
        </w:rPr>
        <w:t>ی بین‌دوره</w:t>
      </w:r>
      <w:r w:rsidRPr="003B28FD">
        <w:rPr>
          <w:rFonts w:eastAsiaTheme="minorEastAsia"/>
          <w:i/>
          <w:sz w:val="23"/>
          <w:szCs w:val="23"/>
          <w:rtl/>
        </w:rPr>
        <w:softHyphen/>
      </w:r>
      <w:r w:rsidRPr="003B28FD">
        <w:rPr>
          <w:rFonts w:eastAsiaTheme="minorEastAsia" w:hint="cs"/>
          <w:i/>
          <w:sz w:val="23"/>
          <w:szCs w:val="23"/>
          <w:rtl/>
        </w:rPr>
        <w:t>ای خود، مخارج دولت و مالیات بر نیروی کار و موجودی سرمایه</w:t>
      </w:r>
      <w:r w:rsidRPr="003B28FD">
        <w:rPr>
          <w:rFonts w:eastAsiaTheme="minorEastAsia"/>
          <w:i/>
          <w:sz w:val="23"/>
          <w:szCs w:val="23"/>
          <w:rtl/>
        </w:rPr>
        <w:softHyphen/>
      </w:r>
      <w:r w:rsidRPr="003B28FD">
        <w:rPr>
          <w:rFonts w:eastAsiaTheme="minorEastAsia" w:hint="cs"/>
          <w:i/>
          <w:sz w:val="23"/>
          <w:szCs w:val="23"/>
          <w:rtl/>
        </w:rPr>
        <w:t>ی داده شده حداکثر می</w:t>
      </w:r>
      <w:r w:rsidRPr="003B28FD">
        <w:rPr>
          <w:rFonts w:eastAsiaTheme="minorEastAsia"/>
          <w:i/>
          <w:sz w:val="23"/>
          <w:szCs w:val="23"/>
          <w:rtl/>
        </w:rPr>
        <w:softHyphen/>
      </w:r>
      <w:r w:rsidRPr="003B28FD">
        <w:rPr>
          <w:rFonts w:eastAsiaTheme="minorEastAsia" w:hint="cs"/>
          <w:i/>
          <w:sz w:val="23"/>
          <w:szCs w:val="23"/>
          <w:rtl/>
        </w:rPr>
        <w:t>کند. قید بودجه</w:t>
      </w:r>
      <w:r w:rsidRPr="003B28FD">
        <w:rPr>
          <w:rFonts w:eastAsiaTheme="minorEastAsia"/>
          <w:i/>
          <w:sz w:val="23"/>
          <w:szCs w:val="23"/>
          <w:rtl/>
        </w:rPr>
        <w:softHyphen/>
      </w:r>
      <w:r w:rsidRPr="003B28FD">
        <w:rPr>
          <w:rFonts w:eastAsiaTheme="minorEastAsia" w:hint="cs"/>
          <w:i/>
          <w:sz w:val="23"/>
          <w:szCs w:val="23"/>
          <w:rtl/>
        </w:rPr>
        <w:t>ی بین‌دوره</w:t>
      </w:r>
      <w:r w:rsidRPr="003B28FD">
        <w:rPr>
          <w:rFonts w:eastAsiaTheme="minorEastAsia"/>
          <w:i/>
          <w:sz w:val="23"/>
          <w:szCs w:val="23"/>
          <w:rtl/>
        </w:rPr>
        <w:softHyphen/>
      </w:r>
      <w:r w:rsidRPr="003B28FD">
        <w:rPr>
          <w:rFonts w:eastAsiaTheme="minorEastAsia" w:hint="cs"/>
          <w:i/>
          <w:sz w:val="23"/>
          <w:szCs w:val="23"/>
          <w:rtl/>
        </w:rPr>
        <w:t>ای بخش خصوصی در دوره</w:t>
      </w:r>
      <w:r w:rsidRPr="003B28FD">
        <w:rPr>
          <w:rFonts w:eastAsiaTheme="minorEastAsia"/>
          <w:i/>
          <w:sz w:val="23"/>
          <w:szCs w:val="23"/>
          <w:rtl/>
        </w:rPr>
        <w:softHyphen/>
      </w:r>
      <w:r w:rsidRPr="003B28FD">
        <w:rPr>
          <w:rFonts w:eastAsiaTheme="minorEastAsia" w:hint="cs"/>
          <w:i/>
          <w:sz w:val="23"/>
          <w:szCs w:val="23"/>
          <w:rtl/>
        </w:rPr>
        <w:t xml:space="preserve">ی </w:t>
      </w:r>
      <w:r w:rsidRPr="003B28FD">
        <w:rPr>
          <w:position w:val="-8"/>
        </w:rPr>
        <w:object w:dxaOrig="660" w:dyaOrig="279" w14:anchorId="7E344299">
          <v:shape id="_x0000_i3145" type="#_x0000_t75" style="width:32.65pt;height:13.9pt" o:ole="">
            <v:imagedata r:id="rId4275" o:title=""/>
          </v:shape>
          <o:OLEObject Type="Embed" ProgID="Equation.DSMT4" ShapeID="_x0000_i3145" DrawAspect="Content" ObjectID="_1791377089" r:id="rId4276"/>
        </w:object>
      </w:r>
      <w:r w:rsidRPr="003B28FD">
        <w:rPr>
          <w:rFonts w:eastAsiaTheme="minorEastAsia" w:hint="cs"/>
          <w:i/>
          <w:sz w:val="23"/>
          <w:szCs w:val="23"/>
          <w:rtl/>
        </w:rPr>
        <w:t xml:space="preserve"> برابر است با</w:t>
      </w:r>
    </w:p>
    <w:p w14:paraId="535B2294" w14:textId="77777777" w:rsidR="00411620" w:rsidRPr="003B28FD" w:rsidRDefault="00411620" w:rsidP="00411620">
      <w:pPr>
        <w:pStyle w:val="MTDisplayEquation"/>
        <w:spacing w:line="216" w:lineRule="auto"/>
        <w:jc w:val="left"/>
        <w:rPr>
          <w:rFonts w:ascii="Times New Roman" w:eastAsiaTheme="minorEastAsia" w:hAnsi="Times New Roman" w:cs="B Nazanin"/>
          <w:i/>
          <w:sz w:val="23"/>
          <w:szCs w:val="23"/>
        </w:rPr>
      </w:pPr>
      <w:r w:rsidRPr="003B28FD">
        <w:rPr>
          <w:position w:val="-12"/>
        </w:rPr>
        <w:object w:dxaOrig="5580" w:dyaOrig="360" w14:anchorId="35EBF02D">
          <v:shape id="_x0000_i3146" type="#_x0000_t75" style="width:278.9pt;height:18.15pt" o:ole="">
            <v:imagedata r:id="rId4277" o:title=""/>
          </v:shape>
          <o:OLEObject Type="Embed" ProgID="Equation.DSMT4" ShapeID="_x0000_i3146" DrawAspect="Content" ObjectID="_1791377090" r:id="rId4278"/>
        </w:object>
      </w:r>
      <w:r w:rsidRPr="003B28FD">
        <w:rPr>
          <w:rFonts w:ascii="Times New Roman" w:hAnsi="Times New Roman" w:cs="B Nazanin" w:hint="cs"/>
          <w:i/>
          <w:sz w:val="23"/>
          <w:szCs w:val="23"/>
          <w:rtl/>
        </w:rPr>
        <w:t xml:space="preserve"> </w:t>
      </w:r>
    </w:p>
    <w:p w14:paraId="6A4A5ADC" w14:textId="77777777" w:rsidR="00411620" w:rsidRPr="003B28FD" w:rsidRDefault="00411620" w:rsidP="00411620">
      <w:pPr>
        <w:pStyle w:val="MTDisplayEquation"/>
        <w:spacing w:line="216" w:lineRule="auto"/>
        <w:rPr>
          <w:rFonts w:ascii="Times New Roman" w:hAnsi="Times New Roman" w:cs="B Nazanin"/>
          <w:i/>
          <w:sz w:val="23"/>
          <w:szCs w:val="23"/>
          <w:rtl/>
        </w:rPr>
      </w:pPr>
      <w:r w:rsidRPr="003B28FD">
        <w:rPr>
          <w:position w:val="-10"/>
        </w:rPr>
        <w:object w:dxaOrig="3379" w:dyaOrig="320" w14:anchorId="3769CD48">
          <v:shape id="_x0000_i3147" type="#_x0000_t75" style="width:168.8pt;height:16.35pt" o:ole="">
            <v:imagedata r:id="rId4279" o:title=""/>
          </v:shape>
          <o:OLEObject Type="Embed" ProgID="Equation.DSMT4" ShapeID="_x0000_i3147" DrawAspect="Content" ObjectID="_1791377091" r:id="rId4280"/>
        </w:object>
      </w:r>
    </w:p>
    <w:p w14:paraId="418C949F"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بنابراین قید بودجه</w:t>
      </w:r>
      <w:r w:rsidRPr="003B28FD">
        <w:rPr>
          <w:rFonts w:eastAsiaTheme="minorEastAsia"/>
          <w:i/>
          <w:sz w:val="23"/>
          <w:szCs w:val="23"/>
          <w:rtl/>
        </w:rPr>
        <w:softHyphen/>
      </w:r>
      <w:r w:rsidRPr="003B28FD">
        <w:rPr>
          <w:rFonts w:eastAsiaTheme="minorEastAsia" w:hint="cs"/>
          <w:i/>
          <w:sz w:val="23"/>
          <w:szCs w:val="23"/>
          <w:rtl/>
        </w:rPr>
        <w:t>ی بین‌دوره</w:t>
      </w:r>
      <w:r w:rsidRPr="003B28FD">
        <w:rPr>
          <w:rFonts w:eastAsiaTheme="minorEastAsia"/>
          <w:i/>
          <w:sz w:val="23"/>
          <w:szCs w:val="23"/>
          <w:rtl/>
        </w:rPr>
        <w:softHyphen/>
      </w:r>
      <w:r w:rsidRPr="003B28FD">
        <w:rPr>
          <w:rFonts w:eastAsiaTheme="minorEastAsia" w:hint="cs"/>
          <w:i/>
          <w:sz w:val="23"/>
          <w:szCs w:val="23"/>
          <w:rtl/>
        </w:rPr>
        <w:t>ای خانوار عبارت است از،</w:t>
      </w:r>
    </w:p>
    <w:p w14:paraId="492E646A" w14:textId="77777777" w:rsidR="00411620" w:rsidRPr="003B28FD" w:rsidRDefault="00411620" w:rsidP="00411620">
      <w:pPr>
        <w:bidi w:val="0"/>
        <w:spacing w:line="216" w:lineRule="auto"/>
        <w:rPr>
          <w:rFonts w:eastAsiaTheme="minorEastAsia"/>
          <w:i/>
          <w:sz w:val="23"/>
          <w:szCs w:val="23"/>
          <w:rtl/>
        </w:rPr>
      </w:pPr>
      <w:r w:rsidRPr="003B28FD">
        <w:rPr>
          <w:position w:val="-12"/>
        </w:rPr>
        <w:object w:dxaOrig="4940" w:dyaOrig="360" w14:anchorId="70F52250">
          <v:shape id="_x0000_i3148" type="#_x0000_t75" style="width:247.45pt;height:18.15pt" o:ole="">
            <v:imagedata r:id="rId4281" o:title=""/>
          </v:shape>
          <o:OLEObject Type="Embed" ProgID="Equation.DSMT4" ShapeID="_x0000_i3148" DrawAspect="Content" ObjectID="_1791377092" r:id="rId4282"/>
        </w:object>
      </w:r>
      <w:r w:rsidRPr="003B28FD">
        <w:rPr>
          <w:rFonts w:eastAsiaTheme="minorEastAsia" w:hint="cs"/>
          <w:i/>
          <w:sz w:val="23"/>
          <w:szCs w:val="23"/>
          <w:rtl/>
        </w:rPr>
        <w:t xml:space="preserve"> </w:t>
      </w:r>
    </w:p>
    <w:p w14:paraId="13CF0962"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با جایگزاری</w:t>
      </w:r>
      <w:r w:rsidRPr="003B28FD">
        <w:rPr>
          <w:position w:val="-10"/>
        </w:rPr>
        <w:object w:dxaOrig="380" w:dyaOrig="320" w14:anchorId="07324B21">
          <v:shape id="_x0000_i3149" type="#_x0000_t75" style="width:18.75pt;height:16.35pt" o:ole="">
            <v:imagedata r:id="rId4283" o:title=""/>
          </v:shape>
          <o:OLEObject Type="Embed" ProgID="Equation.DSMT4" ShapeID="_x0000_i3149" DrawAspect="Content" ObjectID="_1791377093" r:id="rId4284"/>
        </w:object>
      </w:r>
      <w:r w:rsidRPr="003B28FD">
        <w:rPr>
          <w:rFonts w:eastAsiaTheme="minorEastAsia" w:hint="cs"/>
          <w:i/>
          <w:sz w:val="23"/>
          <w:szCs w:val="23"/>
          <w:rtl/>
        </w:rPr>
        <w:t xml:space="preserve"> از رابطه</w:t>
      </w:r>
      <w:r w:rsidRPr="003B28FD">
        <w:rPr>
          <w:rFonts w:eastAsiaTheme="minorEastAsia"/>
          <w:i/>
          <w:sz w:val="23"/>
          <w:szCs w:val="23"/>
          <w:rtl/>
        </w:rPr>
        <w:softHyphen/>
      </w:r>
      <w:r w:rsidRPr="003B28FD">
        <w:rPr>
          <w:rFonts w:eastAsiaTheme="minorEastAsia" w:hint="cs"/>
          <w:i/>
          <w:sz w:val="23"/>
          <w:szCs w:val="23"/>
          <w:rtl/>
        </w:rPr>
        <w:t xml:space="preserve">ی </w:t>
      </w:r>
      <w:r w:rsidRPr="003B28FD">
        <w:rPr>
          <w:i/>
          <w:sz w:val="23"/>
          <w:szCs w:val="23"/>
        </w:rPr>
        <w:softHyphen/>
      </w:r>
      <w:r w:rsidRPr="003B28FD">
        <w:rPr>
          <w:i/>
          <w:sz w:val="23"/>
          <w:szCs w:val="23"/>
        </w:rPr>
        <w:softHyphen/>
      </w:r>
      <w:r w:rsidRPr="003B28FD">
        <w:rPr>
          <w:rFonts w:hint="cs"/>
          <w:i/>
          <w:sz w:val="23"/>
          <w:szCs w:val="23"/>
          <w:rtl/>
        </w:rPr>
        <w:t>(۶. ۳)</w:t>
      </w:r>
      <w:r w:rsidRPr="003B28FD">
        <w:rPr>
          <w:rFonts w:eastAsiaTheme="minorEastAsia" w:hint="cs"/>
          <w:i/>
          <w:sz w:val="23"/>
          <w:szCs w:val="23"/>
          <w:rtl/>
        </w:rPr>
        <w:t xml:space="preserve"> خواهیم داشت،</w:t>
      </w:r>
    </w:p>
    <w:p w14:paraId="08A7A409" w14:textId="77777777" w:rsidR="00411620" w:rsidRPr="003B28FD" w:rsidRDefault="00411620" w:rsidP="00411620">
      <w:pPr>
        <w:bidi w:val="0"/>
        <w:spacing w:line="216" w:lineRule="auto"/>
        <w:rPr>
          <w:rFonts w:eastAsiaTheme="minorEastAsia"/>
          <w:i/>
          <w:sz w:val="23"/>
          <w:szCs w:val="23"/>
        </w:rPr>
      </w:pPr>
      <w:r w:rsidRPr="003B28FD">
        <w:rPr>
          <w:position w:val="-18"/>
        </w:rPr>
        <w:object w:dxaOrig="4560" w:dyaOrig="460" w14:anchorId="2F78F267">
          <v:shape id="_x0000_i3150" type="#_x0000_t75" style="width:228.1pt;height:23pt" o:ole="">
            <v:imagedata r:id="rId4285" o:title=""/>
          </v:shape>
          <o:OLEObject Type="Embed" ProgID="Equation.DSMT4" ShapeID="_x0000_i3150" DrawAspect="Content" ObjectID="_1791377094" r:id="rId4286"/>
        </w:object>
      </w:r>
      <w:r w:rsidRPr="003B28FD">
        <w:rPr>
          <w:rFonts w:eastAsiaTheme="minorEastAsia" w:hint="cs"/>
          <w:i/>
          <w:sz w:val="23"/>
          <w:szCs w:val="23"/>
        </w:rPr>
        <w:t xml:space="preserve"> </w:t>
      </w:r>
    </w:p>
    <w:p w14:paraId="224C9FEC" w14:textId="77777777" w:rsidR="00411620" w:rsidRPr="003B28FD" w:rsidRDefault="00411620" w:rsidP="00411620">
      <w:pPr>
        <w:spacing w:line="216" w:lineRule="auto"/>
        <w:rPr>
          <w:rFonts w:eastAsiaTheme="minorEastAsia"/>
          <w:i/>
          <w:sz w:val="23"/>
          <w:szCs w:val="23"/>
          <w:rtl/>
        </w:rPr>
      </w:pPr>
      <w:r w:rsidRPr="003B28FD">
        <w:rPr>
          <w:rFonts w:hint="cs"/>
          <w:i/>
          <w:sz w:val="23"/>
          <w:szCs w:val="23"/>
          <w:rtl/>
        </w:rPr>
        <w:t>و با جایگزاری</w:t>
      </w:r>
      <w:r w:rsidRPr="003B28FD">
        <w:rPr>
          <w:position w:val="-12"/>
        </w:rPr>
        <w:object w:dxaOrig="1420" w:dyaOrig="360" w14:anchorId="4DF822D9">
          <v:shape id="_x0000_i3151" type="#_x0000_t75" style="width:70.8pt;height:18.15pt" o:ole="">
            <v:imagedata r:id="rId4287" o:title=""/>
          </v:shape>
          <o:OLEObject Type="Embed" ProgID="Equation.DSMT4" ShapeID="_x0000_i3151" DrawAspect="Content" ObjectID="_1791377095" r:id="rId4288"/>
        </w:object>
      </w:r>
      <w:r w:rsidRPr="003B28FD">
        <w:rPr>
          <w:rFonts w:hint="cs"/>
          <w:i/>
          <w:sz w:val="23"/>
          <w:szCs w:val="23"/>
          <w:rtl/>
        </w:rPr>
        <w:t xml:space="preserve"> و</w:t>
      </w:r>
      <w:r w:rsidRPr="003B28FD">
        <w:rPr>
          <w:position w:val="-16"/>
        </w:rPr>
        <w:object w:dxaOrig="2320" w:dyaOrig="420" w14:anchorId="435DB8F9">
          <v:shape id="_x0000_i3152" type="#_x0000_t75" style="width:116.15pt;height:20.55pt" o:ole="">
            <v:imagedata r:id="rId4289" o:title=""/>
          </v:shape>
          <o:OLEObject Type="Embed" ProgID="Equation.DSMT4" ShapeID="_x0000_i3152" DrawAspect="Content" ObjectID="_1791377096" r:id="rId4290"/>
        </w:object>
      </w:r>
      <w:r w:rsidRPr="003B28FD">
        <w:rPr>
          <w:rFonts w:hint="cs"/>
          <w:i/>
          <w:sz w:val="23"/>
          <w:szCs w:val="23"/>
          <w:rtl/>
        </w:rPr>
        <w:t xml:space="preserve"> در رابطه</w:t>
      </w:r>
      <w:r w:rsidRPr="003B28FD">
        <w:rPr>
          <w:i/>
          <w:sz w:val="23"/>
          <w:szCs w:val="23"/>
          <w:rtl/>
        </w:rPr>
        <w:softHyphen/>
      </w:r>
      <w:r w:rsidRPr="003B28FD">
        <w:rPr>
          <w:rFonts w:hint="cs"/>
          <w:i/>
          <w:sz w:val="23"/>
          <w:szCs w:val="23"/>
          <w:rtl/>
        </w:rPr>
        <w:t>ی فوق خواهیم داشت</w:t>
      </w:r>
    </w:p>
    <w:p w14:paraId="709FF27A" w14:textId="77777777" w:rsidR="00411620" w:rsidRPr="003B28FD" w:rsidRDefault="00411620" w:rsidP="00411620">
      <w:pPr>
        <w:bidi w:val="0"/>
        <w:spacing w:line="216" w:lineRule="auto"/>
        <w:rPr>
          <w:rFonts w:eastAsiaTheme="minorEastAsia"/>
          <w:i/>
          <w:sz w:val="23"/>
          <w:szCs w:val="23"/>
        </w:rPr>
      </w:pPr>
      <w:r w:rsidRPr="003B28FD">
        <w:rPr>
          <w:position w:val="-10"/>
        </w:rPr>
        <w:object w:dxaOrig="2480" w:dyaOrig="340" w14:anchorId="7D8DEFA3">
          <v:shape id="_x0000_i3153" type="#_x0000_t75" style="width:124.05pt;height:16.95pt" o:ole="">
            <v:imagedata r:id="rId4291" o:title=""/>
          </v:shape>
          <o:OLEObject Type="Embed" ProgID="Equation.DSMT4" ShapeID="_x0000_i3153" DrawAspect="Content" ObjectID="_1791377097" r:id="rId4292"/>
        </w:object>
      </w:r>
      <w:r w:rsidRPr="003B28FD">
        <w:rPr>
          <w:rFonts w:eastAsiaTheme="minorEastAsia"/>
          <w:i/>
          <w:sz w:val="23"/>
          <w:szCs w:val="23"/>
        </w:rPr>
        <w:t xml:space="preserve"> </w:t>
      </w:r>
    </w:p>
    <w:p w14:paraId="4326390B"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لذا لاگرانژین این مسئله برابر خواهد بود با،</w:t>
      </w:r>
    </w:p>
    <w:p w14:paraId="2C672540" w14:textId="77777777" w:rsidR="00411620" w:rsidRPr="003B28FD" w:rsidRDefault="00411620" w:rsidP="00411620">
      <w:pPr>
        <w:spacing w:line="216" w:lineRule="auto"/>
        <w:rPr>
          <w:i/>
          <w:sz w:val="23"/>
          <w:szCs w:val="23"/>
          <w:rtl/>
        </w:rPr>
      </w:pPr>
      <w:r w:rsidRPr="003B28FD">
        <w:rPr>
          <w:position w:val="-16"/>
        </w:rPr>
        <w:object w:dxaOrig="6940" w:dyaOrig="420" w14:anchorId="492F2F7C">
          <v:shape id="_x0000_i3154" type="#_x0000_t75" style="width:347.3pt;height:20.55pt" o:ole="">
            <v:imagedata r:id="rId4293" o:title=""/>
          </v:shape>
          <o:OLEObject Type="Embed" ProgID="Equation.DSMT4" ShapeID="_x0000_i3154" DrawAspect="Content" ObjectID="_1791377098" r:id="rId4294"/>
        </w:object>
      </w:r>
      <w:r w:rsidRPr="003B28FD">
        <w:rPr>
          <w:rFonts w:eastAsiaTheme="minorEastAsia"/>
          <w:i/>
          <w:sz w:val="23"/>
          <w:szCs w:val="23"/>
        </w:rPr>
        <w:t xml:space="preserve"> </w:t>
      </w:r>
      <w:r w:rsidRPr="003B28FD">
        <w:rPr>
          <w:rFonts w:hint="cs"/>
          <w:i/>
          <w:sz w:val="23"/>
          <w:szCs w:val="23"/>
          <w:rtl/>
        </w:rPr>
        <w:t>شرایط مرتبه</w:t>
      </w:r>
      <w:r w:rsidRPr="003B28FD">
        <w:rPr>
          <w:i/>
          <w:sz w:val="23"/>
          <w:szCs w:val="23"/>
          <w:rtl/>
        </w:rPr>
        <w:softHyphen/>
      </w:r>
      <w:r w:rsidRPr="003B28FD">
        <w:rPr>
          <w:rFonts w:hint="cs"/>
          <w:i/>
          <w:sz w:val="23"/>
          <w:szCs w:val="23"/>
          <w:rtl/>
        </w:rPr>
        <w:t xml:space="preserve">ی اول عبارتند از </w:t>
      </w:r>
    </w:p>
    <w:p w14:paraId="0C0CE251" w14:textId="77777777" w:rsidR="00411620" w:rsidRPr="003B28FD" w:rsidRDefault="00411620" w:rsidP="00411620">
      <w:pPr>
        <w:pStyle w:val="MTDisplayEquation"/>
        <w:spacing w:line="216" w:lineRule="auto"/>
        <w:jc w:val="left"/>
        <w:rPr>
          <w:rFonts w:ascii="Times New Roman" w:hAnsi="Times New Roman" w:cs="B Nazanin"/>
          <w:i/>
          <w:sz w:val="23"/>
          <w:szCs w:val="23"/>
          <w:rtl/>
        </w:rPr>
      </w:pPr>
      <w:r w:rsidRPr="003B28FD">
        <w:rPr>
          <w:position w:val="-28"/>
        </w:rPr>
        <w:object w:dxaOrig="1960" w:dyaOrig="620" w14:anchorId="323D77D9">
          <v:shape id="_x0000_i3155" type="#_x0000_t75" style="width:98pt;height:30.85pt" o:ole="">
            <v:imagedata r:id="rId4295" o:title=""/>
          </v:shape>
          <o:OLEObject Type="Embed" ProgID="Equation.DSMT4" ShapeID="_x0000_i3155" DrawAspect="Content" ObjectID="_1791377099" r:id="rId4296"/>
        </w:object>
      </w:r>
    </w:p>
    <w:p w14:paraId="6552FDA3" w14:textId="77777777" w:rsidR="00411620" w:rsidRPr="003B28FD" w:rsidRDefault="00411620" w:rsidP="00411620">
      <w:pPr>
        <w:pStyle w:val="MTDisplayEquation"/>
        <w:spacing w:line="216" w:lineRule="auto"/>
        <w:rPr>
          <w:rFonts w:ascii="Times New Roman" w:hAnsi="Times New Roman" w:cs="B Nazanin"/>
          <w:i/>
          <w:sz w:val="23"/>
          <w:szCs w:val="23"/>
          <w:rtl/>
        </w:rPr>
      </w:pPr>
      <w:r w:rsidRPr="003B28FD">
        <w:rPr>
          <w:position w:val="-28"/>
        </w:rPr>
        <w:object w:dxaOrig="2120" w:dyaOrig="620" w14:anchorId="7B2B8477">
          <v:shape id="_x0000_i3156" type="#_x0000_t75" style="width:105.9pt;height:30.85pt" o:ole="">
            <v:imagedata r:id="rId4297" o:title=""/>
          </v:shape>
          <o:OLEObject Type="Embed" ProgID="Equation.DSMT4" ShapeID="_x0000_i3156" DrawAspect="Content" ObjectID="_1791377100" r:id="rId4298"/>
        </w:object>
      </w:r>
    </w:p>
    <w:p w14:paraId="3BD9499B" w14:textId="77777777" w:rsidR="00411620" w:rsidRPr="003B28FD" w:rsidRDefault="00411620" w:rsidP="00411620">
      <w:pPr>
        <w:pStyle w:val="MTDisplayEquation"/>
        <w:spacing w:line="216" w:lineRule="auto"/>
        <w:rPr>
          <w:rFonts w:ascii="Times New Roman" w:hAnsi="Times New Roman" w:cs="B Nazanin"/>
          <w:i/>
          <w:sz w:val="23"/>
          <w:szCs w:val="23"/>
          <w:rtl/>
        </w:rPr>
      </w:pPr>
      <w:r w:rsidRPr="003B28FD">
        <w:rPr>
          <w:position w:val="-28"/>
        </w:rPr>
        <w:object w:dxaOrig="2940" w:dyaOrig="620" w14:anchorId="4F85B1C1">
          <v:shape id="_x0000_i3157" type="#_x0000_t75" style="width:147.05pt;height:30.85pt" o:ole="">
            <v:imagedata r:id="rId4299" o:title=""/>
          </v:shape>
          <o:OLEObject Type="Embed" ProgID="Equation.DSMT4" ShapeID="_x0000_i3157" DrawAspect="Content" ObjectID="_1791377101" r:id="rId4300"/>
        </w:object>
      </w:r>
    </w:p>
    <w:p w14:paraId="19E98EA9" w14:textId="77777777" w:rsidR="00411620" w:rsidRPr="003B28FD" w:rsidRDefault="00411620" w:rsidP="00411620">
      <w:pPr>
        <w:spacing w:line="216" w:lineRule="auto"/>
        <w:rPr>
          <w:i/>
          <w:sz w:val="23"/>
          <w:szCs w:val="23"/>
          <w:rtl/>
        </w:rPr>
      </w:pPr>
      <w:r w:rsidRPr="003B28FD">
        <w:rPr>
          <w:rFonts w:hint="cs"/>
          <w:i/>
          <w:sz w:val="23"/>
          <w:szCs w:val="23"/>
          <w:rtl/>
        </w:rPr>
        <w:t>بنابراین</w:t>
      </w:r>
    </w:p>
    <w:p w14:paraId="3012AA95" w14:textId="77777777" w:rsidR="00411620" w:rsidRPr="003B28FD" w:rsidRDefault="00411620" w:rsidP="00411620">
      <w:pPr>
        <w:bidi w:val="0"/>
        <w:spacing w:line="216" w:lineRule="auto"/>
        <w:rPr>
          <w:rFonts w:eastAsiaTheme="minorEastAsia"/>
          <w:i/>
          <w:sz w:val="23"/>
          <w:szCs w:val="23"/>
          <w:rtl/>
        </w:rPr>
      </w:pPr>
      <w:r w:rsidRPr="003B28FD">
        <w:rPr>
          <w:rFonts w:hint="cs"/>
          <w:i/>
          <w:sz w:val="23"/>
          <w:szCs w:val="23"/>
          <w:rtl/>
        </w:rPr>
        <w:t xml:space="preserve"> </w:t>
      </w:r>
      <w:r w:rsidRPr="003B28FD">
        <w:rPr>
          <w:position w:val="-10"/>
        </w:rPr>
        <w:object w:dxaOrig="1860" w:dyaOrig="340" w14:anchorId="570121F0">
          <v:shape id="_x0000_i3158" type="#_x0000_t75" style="width:92.55pt;height:16.95pt" o:ole="">
            <v:imagedata r:id="rId4301" o:title=""/>
          </v:shape>
          <o:OLEObject Type="Embed" ProgID="Equation.DSMT4" ShapeID="_x0000_i3158" DrawAspect="Content" ObjectID="_1791377102" r:id="rId4302"/>
        </w:object>
      </w:r>
      <w:r w:rsidRPr="003B28FD">
        <w:rPr>
          <w:i/>
          <w:sz w:val="23"/>
          <w:szCs w:val="23"/>
          <w:rtl/>
        </w:rPr>
        <w:tab/>
      </w:r>
      <w:r w:rsidRPr="003B28FD">
        <w:rPr>
          <w:i/>
          <w:sz w:val="23"/>
          <w:szCs w:val="23"/>
          <w:rtl/>
        </w:rPr>
        <w:tab/>
      </w:r>
      <w:r w:rsidRPr="003B28FD">
        <w:rPr>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Pr>
          <w:i/>
          <w:sz w:val="23"/>
          <w:szCs w:val="23"/>
          <w:rtl/>
        </w:rPr>
        <w:tab/>
      </w:r>
      <w:r w:rsidRPr="003B28FD">
        <w:rPr>
          <w:i/>
          <w:sz w:val="23"/>
          <w:szCs w:val="23"/>
        </w:rPr>
        <w:tab/>
      </w:r>
      <w:r w:rsidRPr="003B28FD">
        <w:rPr>
          <w:i/>
          <w:sz w:val="23"/>
          <w:szCs w:val="23"/>
        </w:rPr>
        <w:tab/>
      </w:r>
      <w:r w:rsidRPr="003B28FD">
        <w:rPr>
          <w:i/>
          <w:sz w:val="23"/>
          <w:szCs w:val="23"/>
          <w:rtl/>
        </w:rPr>
        <w:tab/>
      </w:r>
      <w:r w:rsidRPr="003B28FD">
        <w:rPr>
          <w:i/>
          <w:sz w:val="23"/>
          <w:szCs w:val="23"/>
        </w:rPr>
        <w:tab/>
      </w:r>
      <w:r w:rsidRPr="003B28FD">
        <w:rPr>
          <w:i/>
          <w:sz w:val="23"/>
          <w:szCs w:val="23"/>
        </w:rPr>
        <w:tab/>
      </w:r>
      <w:r w:rsidRPr="003B28FD">
        <w:rPr>
          <w:i/>
          <w:sz w:val="23"/>
          <w:szCs w:val="23"/>
          <w:rtl/>
        </w:rPr>
        <w:tab/>
      </w:r>
      <w:r w:rsidRPr="003B28FD">
        <w:rPr>
          <w:rFonts w:hint="cs"/>
          <w:i/>
          <w:sz w:val="23"/>
          <w:szCs w:val="23"/>
          <w:rtl/>
        </w:rPr>
        <w:t>(۶. ۲۰)</w:t>
      </w:r>
    </w:p>
    <w:p w14:paraId="5726F104" w14:textId="77777777" w:rsidR="00411620" w:rsidRPr="003B28FD" w:rsidRDefault="00411620" w:rsidP="00411620">
      <w:pPr>
        <w:bidi w:val="0"/>
        <w:spacing w:line="216" w:lineRule="auto"/>
        <w:rPr>
          <w:i/>
          <w:sz w:val="23"/>
          <w:szCs w:val="23"/>
          <w:rtl/>
        </w:rPr>
      </w:pPr>
      <w:r w:rsidRPr="003B28FD">
        <w:rPr>
          <w:rFonts w:hint="cs"/>
          <w:i/>
          <w:sz w:val="23"/>
          <w:szCs w:val="23"/>
        </w:rPr>
        <w:t xml:space="preserve"> </w:t>
      </w:r>
      <w:r w:rsidRPr="003B28FD">
        <w:rPr>
          <w:position w:val="-22"/>
        </w:rPr>
        <w:object w:dxaOrig="1840" w:dyaOrig="560" w14:anchorId="617FD272">
          <v:shape id="_x0000_i3159" type="#_x0000_t75" style="width:91.95pt;height:27.85pt" o:ole="">
            <v:imagedata r:id="rId4303" o:title=""/>
          </v:shape>
          <o:OLEObject Type="Embed" ProgID="Equation.DSMT4" ShapeID="_x0000_i3159" DrawAspect="Content" ObjectID="_1791377103" r:id="rId4304"/>
        </w:object>
      </w:r>
      <w:r w:rsidRPr="003B28FD">
        <w:rPr>
          <w:i/>
          <w:sz w:val="23"/>
          <w:szCs w:val="23"/>
        </w:rPr>
        <w:tab/>
      </w:r>
      <w:r w:rsidRPr="003B28FD">
        <w:rPr>
          <w:i/>
          <w:sz w:val="23"/>
          <w:szCs w:val="23"/>
        </w:rPr>
        <w:tab/>
      </w:r>
      <w:r w:rsidRPr="003B28FD">
        <w:rPr>
          <w:rFonts w:hint="cs"/>
          <w:i/>
          <w:sz w:val="23"/>
          <w:szCs w:val="23"/>
          <w:rtl/>
        </w:rPr>
        <w:t xml:space="preserve"> </w:t>
      </w:r>
      <w:r w:rsidRPr="003B28FD">
        <w:rPr>
          <w:i/>
          <w:sz w:val="23"/>
          <w:szCs w:val="23"/>
          <w:rtl/>
        </w:rPr>
        <w:tab/>
      </w:r>
      <w:r w:rsidRPr="003B28FD">
        <w:rPr>
          <w:i/>
          <w:sz w:val="23"/>
          <w:szCs w:val="23"/>
          <w:rtl/>
        </w:rPr>
        <w:tab/>
      </w:r>
      <w:r w:rsidRPr="003B28FD">
        <w:rPr>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Pr>
        <w:tab/>
      </w:r>
      <w:r>
        <w:rPr>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tl/>
        </w:rPr>
        <w:tab/>
      </w:r>
      <w:r w:rsidRPr="003B28FD">
        <w:rPr>
          <w:i/>
          <w:sz w:val="23"/>
          <w:szCs w:val="23"/>
          <w:rtl/>
        </w:rPr>
        <w:tab/>
      </w:r>
      <w:r w:rsidRPr="003B28FD">
        <w:rPr>
          <w:rFonts w:hint="cs"/>
          <w:i/>
          <w:sz w:val="23"/>
          <w:szCs w:val="23"/>
          <w:rtl/>
        </w:rPr>
        <w:t>(۶. ۲۱)</w:t>
      </w:r>
    </w:p>
    <w:p w14:paraId="0BF90CF5" w14:textId="77777777" w:rsidR="00411620" w:rsidRPr="003B28FD" w:rsidRDefault="00411620" w:rsidP="00411620">
      <w:pPr>
        <w:bidi w:val="0"/>
        <w:spacing w:line="216" w:lineRule="auto"/>
        <w:rPr>
          <w:rFonts w:eastAsiaTheme="minorEastAsia"/>
          <w:i/>
          <w:sz w:val="23"/>
          <w:szCs w:val="23"/>
          <w:rtl/>
        </w:rPr>
      </w:pPr>
      <w:r w:rsidRPr="003B28FD">
        <w:rPr>
          <w:position w:val="-12"/>
        </w:rPr>
        <w:object w:dxaOrig="1719" w:dyaOrig="360" w14:anchorId="7FB94C95">
          <v:shape id="_x0000_i3160" type="#_x0000_t75" style="width:85.9pt;height:18.15pt" o:ole="">
            <v:imagedata r:id="rId4305" o:title=""/>
          </v:shape>
          <o:OLEObject Type="Embed" ProgID="Equation.DSMT4" ShapeID="_x0000_i3160" DrawAspect="Content" ObjectID="_1791377104" r:id="rId4306"/>
        </w:object>
      </w:r>
      <w:r w:rsidRPr="003B28FD">
        <w:rPr>
          <w:rFonts w:eastAsiaTheme="minorEastAsia" w:hint="cs"/>
          <w:i/>
          <w:sz w:val="23"/>
          <w:szCs w:val="23"/>
        </w:rPr>
        <w:t xml:space="preserve"> </w:t>
      </w:r>
      <w:r w:rsidRPr="003B28FD">
        <w:rPr>
          <w:rFonts w:eastAsiaTheme="minorEastAsia"/>
          <w:i/>
          <w:sz w:val="23"/>
          <w:szCs w:val="23"/>
        </w:rPr>
        <w:tab/>
      </w:r>
      <w:r w:rsidRPr="003B28FD">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tl/>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Pr>
        <w:tab/>
      </w:r>
      <w:r>
        <w:rPr>
          <w:rFonts w:eastAsiaTheme="minorEastAsia"/>
          <w:i/>
          <w:sz w:val="23"/>
          <w:szCs w:val="23"/>
          <w:rtl/>
        </w:rPr>
        <w:tab/>
      </w:r>
      <w:r w:rsidRPr="003B28FD">
        <w:rPr>
          <w:rFonts w:eastAsiaTheme="minorEastAsia"/>
          <w:i/>
          <w:sz w:val="23"/>
          <w:szCs w:val="23"/>
        </w:rPr>
        <w:tab/>
      </w:r>
      <w:r w:rsidRPr="003B28FD">
        <w:rPr>
          <w:rFonts w:eastAsiaTheme="minorEastAsia"/>
          <w:i/>
          <w:sz w:val="23"/>
          <w:szCs w:val="23"/>
        </w:rPr>
        <w:tab/>
      </w:r>
      <w:r w:rsidRPr="003B28FD">
        <w:rPr>
          <w:rFonts w:eastAsiaTheme="minorEastAsia"/>
          <w:i/>
          <w:sz w:val="23"/>
          <w:szCs w:val="23"/>
          <w:rtl/>
        </w:rPr>
        <w:tab/>
      </w:r>
      <w:r w:rsidRPr="003B28FD">
        <w:rPr>
          <w:rFonts w:eastAsiaTheme="minorEastAsia"/>
          <w:i/>
          <w:sz w:val="23"/>
          <w:szCs w:val="23"/>
          <w:rtl/>
        </w:rPr>
        <w:tab/>
      </w:r>
      <w:r w:rsidRPr="003B28FD">
        <w:rPr>
          <w:rFonts w:eastAsiaTheme="minorEastAsia" w:hint="cs"/>
          <w:i/>
          <w:sz w:val="23"/>
          <w:szCs w:val="23"/>
          <w:rtl/>
        </w:rPr>
        <w:t>(۶. ۲۲)</w:t>
      </w:r>
    </w:p>
    <w:p w14:paraId="6C72D90F"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از قید بودجه</w:t>
      </w:r>
      <w:r w:rsidRPr="003B28FD">
        <w:rPr>
          <w:rFonts w:eastAsiaTheme="minorEastAsia"/>
          <w:i/>
          <w:sz w:val="23"/>
          <w:szCs w:val="23"/>
          <w:rtl/>
        </w:rPr>
        <w:softHyphen/>
      </w:r>
      <w:r w:rsidRPr="003B28FD">
        <w:rPr>
          <w:rFonts w:eastAsiaTheme="minorEastAsia" w:hint="cs"/>
          <w:i/>
          <w:sz w:val="23"/>
          <w:szCs w:val="23"/>
          <w:rtl/>
        </w:rPr>
        <w:t>ی دو دوره</w:t>
      </w:r>
      <w:r w:rsidRPr="003B28FD">
        <w:rPr>
          <w:rFonts w:eastAsiaTheme="minorEastAsia"/>
          <w:i/>
          <w:sz w:val="23"/>
          <w:szCs w:val="23"/>
          <w:rtl/>
        </w:rPr>
        <w:softHyphen/>
      </w:r>
      <w:r w:rsidRPr="003B28FD">
        <w:rPr>
          <w:rFonts w:eastAsiaTheme="minorEastAsia" w:hint="cs"/>
          <w:i/>
          <w:sz w:val="23"/>
          <w:szCs w:val="23"/>
          <w:rtl/>
        </w:rPr>
        <w:t>ای خانوار نیز می</w:t>
      </w:r>
      <w:r w:rsidRPr="003B28FD">
        <w:rPr>
          <w:rFonts w:eastAsiaTheme="minorEastAsia"/>
          <w:i/>
          <w:sz w:val="23"/>
          <w:szCs w:val="23"/>
          <w:rtl/>
        </w:rPr>
        <w:softHyphen/>
      </w:r>
      <w:r w:rsidRPr="003B28FD">
        <w:rPr>
          <w:rFonts w:eastAsiaTheme="minorEastAsia" w:hint="cs"/>
          <w:i/>
          <w:sz w:val="23"/>
          <w:szCs w:val="23"/>
          <w:rtl/>
        </w:rPr>
        <w:t>توان مقدار بهینه</w:t>
      </w:r>
      <w:r w:rsidRPr="003B28FD">
        <w:rPr>
          <w:rFonts w:eastAsiaTheme="minorEastAsia"/>
          <w:i/>
          <w:sz w:val="23"/>
          <w:szCs w:val="23"/>
          <w:rtl/>
        </w:rPr>
        <w:softHyphen/>
      </w:r>
      <w:r w:rsidRPr="003B28FD">
        <w:rPr>
          <w:rFonts w:eastAsiaTheme="minorEastAsia" w:hint="cs"/>
          <w:i/>
          <w:sz w:val="23"/>
          <w:szCs w:val="23"/>
          <w:rtl/>
        </w:rPr>
        <w:t>ی</w:t>
      </w:r>
      <w:r w:rsidRPr="003B28FD">
        <w:rPr>
          <w:position w:val="-10"/>
        </w:rPr>
        <w:object w:dxaOrig="200" w:dyaOrig="320" w14:anchorId="02BBE2EC">
          <v:shape id="_x0000_i3161" type="#_x0000_t75" style="width:10.3pt;height:16.35pt" o:ole="">
            <v:imagedata r:id="rId4307" o:title=""/>
          </v:shape>
          <o:OLEObject Type="Embed" ProgID="Equation.DSMT4" ShapeID="_x0000_i3161" DrawAspect="Content" ObjectID="_1791377105" r:id="rId4308"/>
        </w:object>
      </w:r>
      <w:r w:rsidRPr="003B28FD">
        <w:rPr>
          <w:rFonts w:eastAsiaTheme="minorEastAsia" w:hint="cs"/>
          <w:i/>
          <w:sz w:val="23"/>
          <w:szCs w:val="23"/>
          <w:rtl/>
        </w:rPr>
        <w:t xml:space="preserve"> را بدست آورد. </w:t>
      </w:r>
    </w:p>
    <w:p w14:paraId="0CFE0E49"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3B28FD">
        <w:rPr>
          <w:position w:val="-26"/>
        </w:rPr>
        <w:object w:dxaOrig="5200" w:dyaOrig="639" w14:anchorId="7CFD35B2">
          <v:shape id="_x0000_i3162" type="#_x0000_t75" style="width:260.15pt;height:32.05pt" o:ole="">
            <v:imagedata r:id="rId4309" o:title=""/>
          </v:shape>
          <o:OLEObject Type="Embed" ProgID="Equation.DSMT4" ShapeID="_x0000_i3162" DrawAspect="Content" ObjectID="_1791377106" r:id="rId4310"/>
        </w:object>
      </w:r>
    </w:p>
    <w:p w14:paraId="0976C77C"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Pr>
      </w:pPr>
      <w:r w:rsidRPr="003B28FD">
        <w:rPr>
          <w:position w:val="-22"/>
        </w:rPr>
        <w:object w:dxaOrig="4880" w:dyaOrig="600" w14:anchorId="1901F630">
          <v:shape id="_x0000_i3163" type="#_x0000_t75" style="width:243.85pt;height:29.65pt" o:ole="">
            <v:imagedata r:id="rId4311" o:title=""/>
          </v:shape>
          <o:OLEObject Type="Embed" ProgID="Equation.DSMT4" ShapeID="_x0000_i3163" DrawAspect="Content" ObjectID="_1791377107" r:id="rId4312"/>
        </w:object>
      </w:r>
    </w:p>
    <w:p w14:paraId="2CCFA608" w14:textId="77777777" w:rsidR="00411620" w:rsidRPr="003B28FD" w:rsidRDefault="00411620" w:rsidP="00411620">
      <w:pPr>
        <w:pStyle w:val="MTDisplayEquation"/>
        <w:tabs>
          <w:tab w:val="clear" w:pos="6660"/>
        </w:tabs>
        <w:spacing w:line="216" w:lineRule="auto"/>
        <w:rPr>
          <w:rFonts w:ascii="Times New Roman" w:eastAsiaTheme="minorEastAsia" w:hAnsi="Times New Roman" w:cs="B Nazanin"/>
          <w:i/>
          <w:sz w:val="23"/>
          <w:szCs w:val="23"/>
          <w:rtl/>
        </w:rPr>
      </w:pPr>
      <w:r w:rsidRPr="003B28FD">
        <w:rPr>
          <w:position w:val="-30"/>
        </w:rPr>
        <w:object w:dxaOrig="2520" w:dyaOrig="740" w14:anchorId="7B4E580A">
          <v:shape id="_x0000_i3164" type="#_x0000_t75" style="width:125.85pt;height:36.9pt" o:ole="">
            <v:imagedata r:id="rId4313" o:title=""/>
          </v:shape>
          <o:OLEObject Type="Embed" ProgID="Equation.DSMT4" ShapeID="_x0000_i3164" DrawAspect="Content" ObjectID="_1791377108" r:id="rId4314"/>
        </w:object>
      </w:r>
      <w:r w:rsidRPr="003B28FD">
        <w:rPr>
          <w:rFonts w:ascii="Times New Roman" w:hAnsi="Times New Roman" w:cs="B Nazanin"/>
          <w:i/>
          <w:sz w:val="23"/>
          <w:szCs w:val="23"/>
          <w:rtl/>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Pr>
          <w:rFonts w:ascii="Times New Roman" w:hAnsi="Times New Roman" w:cs="B Nazanin"/>
          <w:i/>
          <w:sz w:val="23"/>
          <w:szCs w:val="23"/>
          <w:rtl/>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tl/>
        </w:rPr>
        <w:tab/>
      </w:r>
      <w:r w:rsidRPr="003B28FD">
        <w:rPr>
          <w:rFonts w:ascii="Times New Roman" w:hAnsi="Times New Roman" w:cs="B Nazanin" w:hint="cs"/>
          <w:i/>
          <w:sz w:val="23"/>
          <w:szCs w:val="23"/>
          <w:rtl/>
        </w:rPr>
        <w:t>(۶. ۲۳)</w:t>
      </w:r>
    </w:p>
    <w:p w14:paraId="35214D69"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با مقایسۀ نتایج بدست آمده</w:t>
      </w:r>
      <w:r w:rsidRPr="003B28FD">
        <w:rPr>
          <w:rFonts w:eastAsiaTheme="minorEastAsia"/>
          <w:i/>
          <w:sz w:val="23"/>
          <w:szCs w:val="23"/>
          <w:rtl/>
        </w:rPr>
        <w:softHyphen/>
      </w:r>
      <w:r w:rsidRPr="003B28FD">
        <w:rPr>
          <w:rFonts w:eastAsiaTheme="minorEastAsia"/>
          <w:i/>
          <w:sz w:val="23"/>
          <w:szCs w:val="23"/>
          <w:rtl/>
        </w:rPr>
        <w:softHyphen/>
      </w:r>
      <w:r w:rsidRPr="003B28FD">
        <w:rPr>
          <w:rFonts w:eastAsiaTheme="minorEastAsia" w:hint="cs"/>
          <w:i/>
          <w:sz w:val="23"/>
          <w:szCs w:val="23"/>
          <w:rtl/>
        </w:rPr>
        <w:t xml:space="preserve"> از مالیات</w:t>
      </w:r>
      <w:r w:rsidRPr="003B28FD">
        <w:rPr>
          <w:rFonts w:eastAsiaTheme="minorEastAsia"/>
          <w:i/>
          <w:sz w:val="23"/>
          <w:szCs w:val="23"/>
        </w:rPr>
        <w:softHyphen/>
      </w:r>
      <w:r w:rsidRPr="003B28FD">
        <w:rPr>
          <w:rFonts w:eastAsiaTheme="minorEastAsia" w:hint="cs"/>
          <w:i/>
          <w:sz w:val="23"/>
          <w:szCs w:val="23"/>
          <w:rtl/>
        </w:rPr>
        <w:t>های مقطوع و این راه حل متوجه می</w:t>
      </w:r>
      <w:r w:rsidRPr="003B28FD">
        <w:rPr>
          <w:rFonts w:eastAsiaTheme="minorEastAsia"/>
          <w:i/>
          <w:sz w:val="23"/>
          <w:szCs w:val="23"/>
          <w:rtl/>
        </w:rPr>
        <w:softHyphen/>
      </w:r>
      <w:r w:rsidRPr="003B28FD">
        <w:rPr>
          <w:rFonts w:eastAsiaTheme="minorEastAsia" w:hint="cs"/>
          <w:i/>
          <w:sz w:val="23"/>
          <w:szCs w:val="23"/>
          <w:rtl/>
        </w:rPr>
        <w:t>شویم که نرخ دستمزد</w:t>
      </w:r>
      <w:r w:rsidRPr="003B28FD">
        <w:rPr>
          <w:position w:val="-6"/>
        </w:rPr>
        <w:object w:dxaOrig="240" w:dyaOrig="200" w14:anchorId="07947837">
          <v:shape id="_x0000_i3165" type="#_x0000_t75" style="width:12.1pt;height:10.3pt" o:ole="">
            <v:imagedata r:id="rId4315" o:title=""/>
          </v:shape>
          <o:OLEObject Type="Embed" ProgID="Equation.DSMT4" ShapeID="_x0000_i3165" DrawAspect="Content" ObjectID="_1791377109" r:id="rId4316"/>
        </w:object>
      </w:r>
      <w:r w:rsidRPr="003B28FD">
        <w:rPr>
          <w:rFonts w:eastAsiaTheme="minorEastAsia" w:hint="cs"/>
          <w:i/>
          <w:sz w:val="23"/>
          <w:szCs w:val="23"/>
          <w:rtl/>
        </w:rPr>
        <w:t xml:space="preserve"> با نرخ دستمزد پس از مالیات</w:t>
      </w:r>
      <w:r w:rsidRPr="003B28FD">
        <w:rPr>
          <w:position w:val="-6"/>
        </w:rPr>
        <w:object w:dxaOrig="300" w:dyaOrig="300" w14:anchorId="65D47DC4">
          <v:shape id="_x0000_i3166" type="#_x0000_t75" style="width:15.15pt;height:15.15pt" o:ole="">
            <v:imagedata r:id="rId4317" o:title=""/>
          </v:shape>
          <o:OLEObject Type="Embed" ProgID="Equation.DSMT4" ShapeID="_x0000_i3166" DrawAspect="Content" ObjectID="_1791377110" r:id="rId4318"/>
        </w:object>
      </w:r>
      <w:r w:rsidRPr="003B28FD">
        <w:rPr>
          <w:rFonts w:eastAsiaTheme="minorEastAsia" w:hint="cs"/>
          <w:i/>
          <w:sz w:val="23"/>
          <w:szCs w:val="23"/>
          <w:rtl/>
        </w:rPr>
        <w:t>، و نرخ بازدهی سرمایه</w:t>
      </w:r>
      <w:r w:rsidRPr="003B28FD">
        <w:rPr>
          <w:position w:val="-6"/>
        </w:rPr>
        <w:object w:dxaOrig="240" w:dyaOrig="260" w14:anchorId="23E9B35A">
          <v:shape id="_x0000_i3167" type="#_x0000_t75" style="width:12.1pt;height:13.3pt" o:ole="">
            <v:imagedata r:id="rId4319" o:title=""/>
          </v:shape>
          <o:OLEObject Type="Embed" ProgID="Equation.DSMT4" ShapeID="_x0000_i3167" DrawAspect="Content" ObjectID="_1791377111" r:id="rId4320"/>
        </w:object>
      </w:r>
      <w:r w:rsidRPr="003B28FD">
        <w:rPr>
          <w:rFonts w:eastAsiaTheme="minorEastAsia" w:hint="cs"/>
          <w:i/>
          <w:sz w:val="23"/>
          <w:szCs w:val="23"/>
          <w:rtl/>
        </w:rPr>
        <w:t xml:space="preserve"> با نرخ بازدهی سرمایه بعد از مالیات یعنی</w:t>
      </w:r>
      <w:r w:rsidRPr="003B28FD">
        <w:rPr>
          <w:position w:val="-6"/>
        </w:rPr>
        <w:object w:dxaOrig="300" w:dyaOrig="300" w14:anchorId="579253CB">
          <v:shape id="_x0000_i3168" type="#_x0000_t75" style="width:15.15pt;height:15.15pt" o:ole="">
            <v:imagedata r:id="rId4321" o:title=""/>
          </v:shape>
          <o:OLEObject Type="Embed" ProgID="Equation.DSMT4" ShapeID="_x0000_i3168" DrawAspect="Content" ObjectID="_1791377112" r:id="rId4322"/>
        </w:object>
      </w:r>
      <w:r w:rsidRPr="003B28FD">
        <w:rPr>
          <w:rFonts w:eastAsiaTheme="minorEastAsia" w:hint="cs"/>
          <w:i/>
          <w:sz w:val="23"/>
          <w:szCs w:val="23"/>
          <w:rtl/>
        </w:rPr>
        <w:t xml:space="preserve"> جایگزین شده است. بنابراین مالیات بر دستمزد نیروی کار و سرمایه اختلال</w:t>
      </w:r>
      <w:r w:rsidRPr="003B28FD">
        <w:rPr>
          <w:rFonts w:eastAsiaTheme="minorEastAsia"/>
          <w:i/>
          <w:sz w:val="23"/>
          <w:szCs w:val="23"/>
          <w:rtl/>
        </w:rPr>
        <w:softHyphen/>
      </w:r>
      <w:r w:rsidRPr="003B28FD">
        <w:rPr>
          <w:rFonts w:eastAsiaTheme="minorEastAsia" w:hint="cs"/>
          <w:i/>
          <w:sz w:val="23"/>
          <w:szCs w:val="23"/>
          <w:rtl/>
        </w:rPr>
        <w:t>زا می</w:t>
      </w:r>
      <w:r w:rsidRPr="003B28FD">
        <w:rPr>
          <w:rFonts w:eastAsiaTheme="minorEastAsia"/>
          <w:i/>
          <w:sz w:val="23"/>
          <w:szCs w:val="23"/>
          <w:rtl/>
        </w:rPr>
        <w:softHyphen/>
      </w:r>
      <w:r w:rsidRPr="003B28FD">
        <w:rPr>
          <w:rFonts w:eastAsiaTheme="minorEastAsia" w:hint="cs"/>
          <w:i/>
          <w:sz w:val="23"/>
          <w:szCs w:val="23"/>
          <w:rtl/>
        </w:rPr>
        <w:t>باشند.</w:t>
      </w:r>
    </w:p>
    <w:p w14:paraId="59A37A14" w14:textId="77777777" w:rsidR="00411620" w:rsidRPr="003B28FD" w:rsidRDefault="00411620" w:rsidP="00411620">
      <w:pPr>
        <w:spacing w:line="216" w:lineRule="auto"/>
        <w:rPr>
          <w:rFonts w:eastAsiaTheme="minorEastAsia"/>
          <w:i/>
          <w:sz w:val="23"/>
          <w:szCs w:val="23"/>
          <w:rtl/>
        </w:rPr>
      </w:pPr>
    </w:p>
    <w:p w14:paraId="6F8F2F4C" w14:textId="77777777" w:rsidR="00411620" w:rsidRPr="003B28FD" w:rsidRDefault="00411620" w:rsidP="00C67946">
      <w:pPr>
        <w:pStyle w:val="ListParagraph"/>
        <w:numPr>
          <w:ilvl w:val="0"/>
          <w:numId w:val="4"/>
        </w:numPr>
        <w:spacing w:line="216" w:lineRule="auto"/>
        <w:ind w:left="0" w:firstLine="0"/>
        <w:rPr>
          <w:rFonts w:eastAsiaTheme="minorEastAsia"/>
          <w:bCs/>
          <w:i/>
          <w:sz w:val="23"/>
          <w:szCs w:val="23"/>
          <w:rtl/>
        </w:rPr>
      </w:pPr>
      <w:r w:rsidRPr="003B28FD">
        <w:rPr>
          <w:rFonts w:eastAsiaTheme="minorEastAsia" w:hint="cs"/>
          <w:bCs/>
          <w:i/>
          <w:sz w:val="23"/>
          <w:szCs w:val="23"/>
          <w:rtl/>
        </w:rPr>
        <w:t>مسئله دولت</w:t>
      </w:r>
    </w:p>
    <w:p w14:paraId="6316753D"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مسئله</w:t>
      </w:r>
      <w:r w:rsidRPr="003B28FD">
        <w:rPr>
          <w:rFonts w:eastAsiaTheme="minorEastAsia"/>
          <w:i/>
          <w:sz w:val="23"/>
          <w:szCs w:val="23"/>
          <w:rtl/>
        </w:rPr>
        <w:softHyphen/>
      </w:r>
      <w:r w:rsidRPr="003B28FD">
        <w:rPr>
          <w:rFonts w:eastAsiaTheme="minorEastAsia" w:hint="cs"/>
          <w:i/>
          <w:sz w:val="23"/>
          <w:szCs w:val="23"/>
          <w:rtl/>
        </w:rPr>
        <w:t xml:space="preserve">ی دولت حداکثر کردن مطلوبیت خانوار در زمان </w:t>
      </w:r>
      <w:r w:rsidRPr="003B28FD">
        <w:rPr>
          <w:position w:val="-6"/>
        </w:rPr>
        <w:object w:dxaOrig="440" w:dyaOrig="260" w14:anchorId="23A57341">
          <v:shape id="_x0000_i3169" type="#_x0000_t75" style="width:21.8pt;height:13.3pt" o:ole="">
            <v:imagedata r:id="rId4323" o:title=""/>
          </v:shape>
          <o:OLEObject Type="Embed" ProgID="Equation.DSMT4" ShapeID="_x0000_i3169" DrawAspect="Content" ObjectID="_1791377113" r:id="rId4324"/>
        </w:object>
      </w:r>
      <w:r w:rsidRPr="003B28FD">
        <w:rPr>
          <w:rFonts w:eastAsiaTheme="minorEastAsia" w:hint="cs"/>
          <w:i/>
          <w:sz w:val="23"/>
          <w:szCs w:val="23"/>
          <w:rtl/>
        </w:rPr>
        <w:t>، با توجه به انتخاب مخارج</w:t>
      </w:r>
      <w:r w:rsidRPr="003B28FD">
        <w:rPr>
          <w:position w:val="-10"/>
        </w:rPr>
        <w:object w:dxaOrig="380" w:dyaOrig="320" w14:anchorId="1D435CA8">
          <v:shape id="_x0000_i3170" type="#_x0000_t75" style="width:18.75pt;height:16.35pt" o:ole="">
            <v:imagedata r:id="rId4325" o:title=""/>
          </v:shape>
          <o:OLEObject Type="Embed" ProgID="Equation.DSMT4" ShapeID="_x0000_i3170" DrawAspect="Content" ObjectID="_1791377114" r:id="rId4326"/>
        </w:object>
      </w:r>
      <w:r w:rsidRPr="003B28FD">
        <w:rPr>
          <w:rFonts w:hint="cs"/>
          <w:i/>
          <w:sz w:val="23"/>
          <w:szCs w:val="23"/>
          <w:rtl/>
        </w:rPr>
        <w:t xml:space="preserve"> </w:t>
      </w:r>
      <w:r w:rsidRPr="003B28FD">
        <w:rPr>
          <w:rFonts w:eastAsiaTheme="minorEastAsia" w:hint="cs"/>
          <w:i/>
          <w:sz w:val="23"/>
          <w:szCs w:val="23"/>
          <w:rtl/>
        </w:rPr>
        <w:t>و مالیات</w:t>
      </w:r>
      <w:r w:rsidRPr="003B28FD">
        <w:rPr>
          <w:rFonts w:eastAsiaTheme="minorEastAsia"/>
          <w:i/>
          <w:sz w:val="23"/>
          <w:szCs w:val="23"/>
          <w:rtl/>
        </w:rPr>
        <w:softHyphen/>
      </w:r>
      <w:r w:rsidRPr="003B28FD">
        <w:rPr>
          <w:rFonts w:eastAsiaTheme="minorEastAsia" w:hint="cs"/>
          <w:i/>
          <w:sz w:val="23"/>
          <w:szCs w:val="23"/>
          <w:rtl/>
        </w:rPr>
        <w:t xml:space="preserve"> بر دستمزد نیروی کار و سرمایه نسبت به قید بودجه</w:t>
      </w:r>
      <w:r w:rsidRPr="003B28FD">
        <w:rPr>
          <w:rFonts w:eastAsiaTheme="minorEastAsia"/>
          <w:i/>
          <w:sz w:val="23"/>
          <w:szCs w:val="23"/>
          <w:rtl/>
        </w:rPr>
        <w:softHyphen/>
      </w:r>
      <w:r w:rsidRPr="003B28FD">
        <w:rPr>
          <w:rFonts w:eastAsiaTheme="minorEastAsia" w:hint="cs"/>
          <w:i/>
          <w:sz w:val="23"/>
          <w:szCs w:val="23"/>
          <w:rtl/>
        </w:rPr>
        <w:t>ی خود در زمان</w:t>
      </w:r>
      <w:r w:rsidRPr="003B28FD">
        <w:rPr>
          <w:position w:val="-6"/>
        </w:rPr>
        <w:object w:dxaOrig="440" w:dyaOrig="260" w14:anchorId="3C465CEB">
          <v:shape id="_x0000_i3171" type="#_x0000_t75" style="width:21.8pt;height:13.3pt" o:ole="">
            <v:imagedata r:id="rId4327" o:title=""/>
          </v:shape>
          <o:OLEObject Type="Embed" ProgID="Equation.DSMT4" ShapeID="_x0000_i3171" DrawAspect="Content" ObjectID="_1791377115" r:id="rId4328"/>
        </w:object>
      </w:r>
      <w:r w:rsidRPr="003B28FD">
        <w:rPr>
          <w:rFonts w:eastAsiaTheme="minorEastAsia" w:hint="cs"/>
          <w:i/>
          <w:sz w:val="23"/>
          <w:szCs w:val="23"/>
          <w:rtl/>
        </w:rPr>
        <w:t xml:space="preserve"> و همچنین نتایج بدست آمده از دوره</w:t>
      </w:r>
      <w:r w:rsidRPr="003B28FD">
        <w:rPr>
          <w:rFonts w:eastAsiaTheme="minorEastAsia"/>
          <w:i/>
          <w:sz w:val="23"/>
          <w:szCs w:val="23"/>
          <w:rtl/>
        </w:rPr>
        <w:softHyphen/>
      </w:r>
      <w:r w:rsidRPr="003B28FD">
        <w:rPr>
          <w:rFonts w:eastAsiaTheme="minorEastAsia" w:hint="cs"/>
          <w:i/>
          <w:sz w:val="23"/>
          <w:szCs w:val="23"/>
          <w:rtl/>
        </w:rPr>
        <w:t xml:space="preserve">ی قبل است. این قیود بدان معنی است که معادلات </w:t>
      </w:r>
      <w:r w:rsidRPr="003B28FD">
        <w:rPr>
          <w:rFonts w:hint="cs"/>
          <w:i/>
          <w:sz w:val="23"/>
          <w:szCs w:val="23"/>
          <w:rtl/>
        </w:rPr>
        <w:t xml:space="preserve">(۶. ۲۰) </w:t>
      </w:r>
      <w:r w:rsidRPr="003B28FD">
        <w:rPr>
          <w:rFonts w:eastAsiaTheme="minorEastAsia" w:hint="cs"/>
          <w:i/>
          <w:sz w:val="23"/>
          <w:szCs w:val="23"/>
          <w:rtl/>
        </w:rPr>
        <w:t xml:space="preserve">و </w:t>
      </w:r>
      <w:r w:rsidRPr="003B28FD">
        <w:rPr>
          <w:rFonts w:hint="cs"/>
          <w:i/>
          <w:sz w:val="23"/>
          <w:szCs w:val="23"/>
          <w:rtl/>
        </w:rPr>
        <w:t>(۶. ۲۱)</w:t>
      </w:r>
      <w:r w:rsidRPr="003B28FD">
        <w:rPr>
          <w:rFonts w:eastAsiaTheme="minorEastAsia" w:hint="cs"/>
          <w:i/>
          <w:sz w:val="23"/>
          <w:szCs w:val="23"/>
          <w:rtl/>
        </w:rPr>
        <w:t xml:space="preserve"> را لحاظ کرده و</w:t>
      </w:r>
      <w:r w:rsidRPr="003B28FD">
        <w:rPr>
          <w:position w:val="-10"/>
        </w:rPr>
        <w:object w:dxaOrig="200" w:dyaOrig="320" w14:anchorId="72676C93">
          <v:shape id="_x0000_i3172" type="#_x0000_t75" style="width:10.3pt;height:16.35pt" o:ole="">
            <v:imagedata r:id="rId4329" o:title=""/>
          </v:shape>
          <o:OLEObject Type="Embed" ProgID="Equation.DSMT4" ShapeID="_x0000_i3172" DrawAspect="Content" ObjectID="_1791377116" r:id="rId4330"/>
        </w:object>
      </w:r>
      <w:r w:rsidRPr="003B28FD">
        <w:rPr>
          <w:rFonts w:eastAsiaTheme="minorEastAsia" w:hint="cs"/>
          <w:i/>
          <w:sz w:val="23"/>
          <w:szCs w:val="23"/>
          <w:rtl/>
        </w:rPr>
        <w:t xml:space="preserve"> و</w:t>
      </w:r>
      <w:r w:rsidRPr="003B28FD">
        <w:rPr>
          <w:position w:val="-10"/>
        </w:rPr>
        <w:object w:dxaOrig="360" w:dyaOrig="320" w14:anchorId="04BD2F01">
          <v:shape id="_x0000_i3173" type="#_x0000_t75" style="width:18.15pt;height:16.35pt" o:ole="">
            <v:imagedata r:id="rId4331" o:title=""/>
          </v:shape>
          <o:OLEObject Type="Embed" ProgID="Equation.DSMT4" ShapeID="_x0000_i3173" DrawAspect="Content" ObjectID="_1791377117" r:id="rId4332"/>
        </w:object>
      </w:r>
      <w:r w:rsidRPr="003B28FD">
        <w:rPr>
          <w:rFonts w:eastAsiaTheme="minorEastAsia" w:hint="cs"/>
          <w:i/>
          <w:sz w:val="23"/>
          <w:szCs w:val="23"/>
          <w:rtl/>
        </w:rPr>
        <w:t xml:space="preserve"> را داده شده در نظر بگیریم. لذا لاگرانژین این مسئله نسبت به نتایج </w:t>
      </w:r>
      <w:r w:rsidRPr="003B28FD">
        <w:rPr>
          <w:rFonts w:hint="cs"/>
          <w:i/>
          <w:sz w:val="23"/>
          <w:szCs w:val="23"/>
          <w:rtl/>
        </w:rPr>
        <w:t xml:space="preserve">(۶. ۲۰) </w:t>
      </w:r>
      <w:r w:rsidRPr="003B28FD">
        <w:rPr>
          <w:rFonts w:eastAsiaTheme="minorEastAsia" w:hint="cs"/>
          <w:i/>
          <w:sz w:val="23"/>
          <w:szCs w:val="23"/>
          <w:rtl/>
        </w:rPr>
        <w:t xml:space="preserve">و </w:t>
      </w:r>
      <w:r w:rsidRPr="003B28FD">
        <w:rPr>
          <w:rFonts w:hint="cs"/>
          <w:i/>
          <w:sz w:val="23"/>
          <w:szCs w:val="23"/>
          <w:rtl/>
        </w:rPr>
        <w:t>(۶. ۲۱)</w:t>
      </w:r>
      <w:r w:rsidRPr="003B28FD">
        <w:rPr>
          <w:rFonts w:eastAsiaTheme="minorEastAsia" w:hint="cs"/>
          <w:i/>
          <w:sz w:val="23"/>
          <w:szCs w:val="23"/>
          <w:rtl/>
        </w:rPr>
        <w:t xml:space="preserve"> نیز مقید می</w:t>
      </w:r>
      <w:r w:rsidRPr="003B28FD">
        <w:rPr>
          <w:rFonts w:eastAsiaTheme="minorEastAsia"/>
          <w:i/>
          <w:sz w:val="23"/>
          <w:szCs w:val="23"/>
          <w:rtl/>
        </w:rPr>
        <w:softHyphen/>
      </w:r>
      <w:r w:rsidRPr="003B28FD">
        <w:rPr>
          <w:rFonts w:eastAsiaTheme="minorEastAsia" w:hint="cs"/>
          <w:i/>
          <w:sz w:val="23"/>
          <w:szCs w:val="23"/>
          <w:rtl/>
        </w:rPr>
        <w:t>شود.</w:t>
      </w:r>
    </w:p>
    <w:p w14:paraId="6F9C7E19"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Pr>
      </w:pPr>
      <w:r w:rsidRPr="003B28FD">
        <w:rPr>
          <w:position w:val="-26"/>
        </w:rPr>
        <w:object w:dxaOrig="5700" w:dyaOrig="620" w14:anchorId="68C0E68B">
          <v:shape id="_x0000_i3174" type="#_x0000_t75" style="width:284.95pt;height:30.85pt" o:ole="">
            <v:imagedata r:id="rId4333" o:title=""/>
          </v:shape>
          <o:OLEObject Type="Embed" ProgID="Equation.DSMT4" ShapeID="_x0000_i3174" DrawAspect="Content" ObjectID="_1791377118" r:id="rId4334"/>
        </w:object>
      </w:r>
    </w:p>
    <w:p w14:paraId="619E7639"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025957">
        <w:rPr>
          <w:position w:val="-4"/>
        </w:rPr>
        <w:object w:dxaOrig="180" w:dyaOrig="260" w14:anchorId="4B5950A4">
          <v:shape id="_x0000_i3175" type="#_x0000_t75" style="width:9.1pt;height:13.3pt" o:ole="">
            <v:imagedata r:id="rId1548" o:title=""/>
          </v:shape>
          <o:OLEObject Type="Embed" ProgID="Equation.DSMT4" ShapeID="_x0000_i3175" DrawAspect="Content" ObjectID="_1791377119" r:id="rId4335"/>
        </w:object>
      </w:r>
      <w:r w:rsidRPr="003B28FD">
        <w:rPr>
          <w:position w:val="-18"/>
        </w:rPr>
        <w:object w:dxaOrig="3300" w:dyaOrig="460" w14:anchorId="3C777DDE">
          <v:shape id="_x0000_i3176" type="#_x0000_t75" style="width:164.55pt;height:23pt" o:ole="">
            <v:imagedata r:id="rId4336" o:title=""/>
          </v:shape>
          <o:OLEObject Type="Embed" ProgID="Equation.DSMT4" ShapeID="_x0000_i3176" DrawAspect="Content" ObjectID="_1791377120" r:id="rId4337"/>
        </w:object>
      </w:r>
      <w:r w:rsidRPr="003B28FD">
        <w:rPr>
          <w:rFonts w:ascii="Times New Roman" w:eastAsiaTheme="minorEastAsia" w:hAnsi="Times New Roman" w:cs="B Nazanin" w:hint="cs"/>
          <w:i/>
          <w:sz w:val="23"/>
          <w:szCs w:val="23"/>
        </w:rPr>
        <w:t xml:space="preserve"> </w:t>
      </w:r>
    </w:p>
    <w:p w14:paraId="172A4D57"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lastRenderedPageBreak/>
        <w:t>شرایط مرتبه</w:t>
      </w:r>
      <w:r w:rsidRPr="003B28FD">
        <w:rPr>
          <w:rFonts w:eastAsiaTheme="minorEastAsia"/>
          <w:i/>
          <w:sz w:val="23"/>
          <w:szCs w:val="23"/>
          <w:rtl/>
        </w:rPr>
        <w:softHyphen/>
      </w:r>
      <w:r w:rsidRPr="003B28FD">
        <w:rPr>
          <w:rFonts w:eastAsiaTheme="minorEastAsia" w:hint="cs"/>
          <w:i/>
          <w:sz w:val="23"/>
          <w:szCs w:val="23"/>
          <w:rtl/>
        </w:rPr>
        <w:t>ی اول عبارتند از</w:t>
      </w:r>
    </w:p>
    <w:p w14:paraId="4CE5B3E8"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3B28FD">
        <w:rPr>
          <w:position w:val="-28"/>
        </w:rPr>
        <w:object w:dxaOrig="2220" w:dyaOrig="620" w14:anchorId="4F2482C4">
          <v:shape id="_x0000_i3177" type="#_x0000_t75" style="width:110.7pt;height:30.85pt" o:ole="">
            <v:imagedata r:id="rId4338" o:title=""/>
          </v:shape>
          <o:OLEObject Type="Embed" ProgID="Equation.DSMT4" ShapeID="_x0000_i3177" DrawAspect="Content" ObjectID="_1791377121" r:id="rId4339"/>
        </w:object>
      </w:r>
    </w:p>
    <w:p w14:paraId="2333B90E"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3B28FD">
        <w:rPr>
          <w:position w:val="-28"/>
        </w:rPr>
        <w:object w:dxaOrig="3019" w:dyaOrig="620" w14:anchorId="46B9803B">
          <v:shape id="_x0000_i3178" type="#_x0000_t75" style="width:151.25pt;height:30.85pt" o:ole="">
            <v:imagedata r:id="rId4340" o:title=""/>
          </v:shape>
          <o:OLEObject Type="Embed" ProgID="Equation.DSMT4" ShapeID="_x0000_i3178" DrawAspect="Content" ObjectID="_1791377122" r:id="rId4341"/>
        </w:object>
      </w:r>
    </w:p>
    <w:p w14:paraId="124F0589"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3B28FD">
        <w:rPr>
          <w:position w:val="-28"/>
        </w:rPr>
        <w:object w:dxaOrig="1760" w:dyaOrig="620" w14:anchorId="557927E8">
          <v:shape id="_x0000_i3179" type="#_x0000_t75" style="width:88.35pt;height:30.85pt" o:ole="">
            <v:imagedata r:id="rId4342" o:title=""/>
          </v:shape>
          <o:OLEObject Type="Embed" ProgID="Equation.DSMT4" ShapeID="_x0000_i3179" DrawAspect="Content" ObjectID="_1791377123" r:id="rId4343"/>
        </w:object>
      </w:r>
    </w:p>
    <w:p w14:paraId="7C941C20"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3B28FD">
        <w:rPr>
          <w:position w:val="-38"/>
        </w:rPr>
        <w:object w:dxaOrig="2700" w:dyaOrig="740" w14:anchorId="23FCCC45">
          <v:shape id="_x0000_i3180" type="#_x0000_t75" style="width:134.9pt;height:36.9pt" o:ole="">
            <v:imagedata r:id="rId4344" o:title=""/>
          </v:shape>
          <o:OLEObject Type="Embed" ProgID="Equation.DSMT4" ShapeID="_x0000_i3180" DrawAspect="Content" ObjectID="_1791377124" r:id="rId4345"/>
        </w:object>
      </w:r>
    </w:p>
    <w:p w14:paraId="59080324"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3B28FD">
        <w:rPr>
          <w:position w:val="-22"/>
        </w:rPr>
        <w:object w:dxaOrig="2060" w:dyaOrig="560" w14:anchorId="34353681">
          <v:shape id="_x0000_i3181" type="#_x0000_t75" style="width:102.85pt;height:27.85pt" o:ole="">
            <v:imagedata r:id="rId4346" o:title=""/>
          </v:shape>
          <o:OLEObject Type="Embed" ProgID="Equation.DSMT4" ShapeID="_x0000_i3181" DrawAspect="Content" ObjectID="_1791377125" r:id="rId4347"/>
        </w:object>
      </w:r>
    </w:p>
    <w:p w14:paraId="236D5E50" w14:textId="77777777" w:rsidR="00411620" w:rsidRPr="003B28FD" w:rsidRDefault="00411620" w:rsidP="00411620">
      <w:pPr>
        <w:spacing w:line="216" w:lineRule="auto"/>
        <w:rPr>
          <w:i/>
          <w:sz w:val="23"/>
          <w:szCs w:val="23"/>
          <w:rtl/>
        </w:rPr>
      </w:pPr>
      <w:r w:rsidRPr="003B28FD">
        <w:rPr>
          <w:rFonts w:hint="cs"/>
          <w:i/>
          <w:sz w:val="23"/>
          <w:szCs w:val="23"/>
          <w:rtl/>
        </w:rPr>
        <w:t>جهت بدست آوردن نرخ</w:t>
      </w:r>
      <w:r w:rsidRPr="003B28FD">
        <w:rPr>
          <w:i/>
          <w:sz w:val="23"/>
          <w:szCs w:val="23"/>
          <w:rtl/>
        </w:rPr>
        <w:softHyphen/>
      </w:r>
      <w:r w:rsidRPr="003B28FD">
        <w:rPr>
          <w:rFonts w:hint="cs"/>
          <w:i/>
          <w:sz w:val="23"/>
          <w:szCs w:val="23"/>
          <w:rtl/>
        </w:rPr>
        <w:t>های مالیاتی بهینه می</w:t>
      </w:r>
      <w:r w:rsidRPr="003B28FD">
        <w:rPr>
          <w:i/>
          <w:sz w:val="23"/>
          <w:szCs w:val="23"/>
          <w:rtl/>
        </w:rPr>
        <w:softHyphen/>
      </w:r>
      <w:r w:rsidRPr="003B28FD">
        <w:rPr>
          <w:rFonts w:hint="cs"/>
          <w:i/>
          <w:sz w:val="23"/>
          <w:szCs w:val="23"/>
          <w:rtl/>
        </w:rPr>
        <w:t>بایست پنج معادله</w:t>
      </w:r>
      <w:r w:rsidRPr="003B28FD">
        <w:rPr>
          <w:i/>
          <w:sz w:val="23"/>
          <w:szCs w:val="23"/>
          <w:rtl/>
        </w:rPr>
        <w:softHyphen/>
      </w:r>
      <w:r w:rsidRPr="003B28FD">
        <w:rPr>
          <w:rFonts w:hint="cs"/>
          <w:i/>
          <w:sz w:val="23"/>
          <w:szCs w:val="23"/>
          <w:rtl/>
        </w:rPr>
        <w:t>ی غیرخطی فوق را به</w:t>
      </w:r>
      <w:r w:rsidRPr="003B28FD">
        <w:rPr>
          <w:i/>
          <w:sz w:val="23"/>
          <w:szCs w:val="23"/>
          <w:rtl/>
        </w:rPr>
        <w:softHyphen/>
      </w:r>
      <w:r w:rsidRPr="003B28FD">
        <w:rPr>
          <w:rFonts w:hint="cs"/>
          <w:i/>
          <w:sz w:val="23"/>
          <w:szCs w:val="23"/>
          <w:rtl/>
        </w:rPr>
        <w:t>طور همزمان حل نمود که بدلیل غیرخطی بودن معادلات تا حدودی پیچیده است. بنابراین حل اقتصاد غیرمتمرکز نسبت به اقتصاد برنامه</w:t>
      </w:r>
      <w:r w:rsidRPr="003B28FD">
        <w:rPr>
          <w:i/>
          <w:sz w:val="23"/>
          <w:szCs w:val="23"/>
          <w:rtl/>
        </w:rPr>
        <w:softHyphen/>
      </w:r>
      <w:r w:rsidRPr="003B28FD">
        <w:rPr>
          <w:rFonts w:hint="cs"/>
          <w:i/>
          <w:sz w:val="23"/>
          <w:szCs w:val="23"/>
          <w:rtl/>
        </w:rPr>
        <w:t>ریز متمرکز با توجه به وجود نرخ</w:t>
      </w:r>
      <w:r w:rsidRPr="003B28FD">
        <w:rPr>
          <w:i/>
          <w:sz w:val="23"/>
          <w:szCs w:val="23"/>
          <w:rtl/>
        </w:rPr>
        <w:softHyphen/>
      </w:r>
      <w:r w:rsidRPr="003B28FD">
        <w:rPr>
          <w:rFonts w:hint="cs"/>
          <w:i/>
          <w:sz w:val="23"/>
          <w:szCs w:val="23"/>
          <w:rtl/>
        </w:rPr>
        <w:t>های مالیاتی دستمزد نیروی کار و سرمایه متفاوت خواهد بود.</w:t>
      </w:r>
    </w:p>
    <w:p w14:paraId="35C7DB8F" w14:textId="77777777" w:rsidR="00411620" w:rsidRPr="003B28FD" w:rsidRDefault="00411620" w:rsidP="00411620">
      <w:pPr>
        <w:spacing w:line="216" w:lineRule="auto"/>
        <w:rPr>
          <w:rFonts w:eastAsiaTheme="minorEastAsia"/>
          <w:i/>
          <w:sz w:val="23"/>
          <w:szCs w:val="23"/>
          <w:rtl/>
        </w:rPr>
      </w:pPr>
    </w:p>
    <w:p w14:paraId="4F3ED524" w14:textId="77777777" w:rsidR="00411620" w:rsidRPr="003B28FD" w:rsidRDefault="00411620" w:rsidP="00411620">
      <w:pPr>
        <w:spacing w:line="216" w:lineRule="auto"/>
        <w:rPr>
          <w:bCs/>
          <w:i/>
          <w:sz w:val="23"/>
          <w:szCs w:val="23"/>
          <w:rtl/>
        </w:rPr>
      </w:pPr>
      <w:r w:rsidRPr="003B28FD">
        <w:rPr>
          <w:rFonts w:hint="cs"/>
          <w:bCs/>
          <w:i/>
          <w:sz w:val="23"/>
          <w:szCs w:val="23"/>
          <w:rtl/>
        </w:rPr>
        <w:t>بهینه</w:t>
      </w:r>
      <w:r w:rsidRPr="003B28FD">
        <w:rPr>
          <w:bCs/>
          <w:i/>
          <w:sz w:val="23"/>
          <w:szCs w:val="23"/>
          <w:rtl/>
        </w:rPr>
        <w:softHyphen/>
      </w:r>
      <w:r w:rsidRPr="003B28FD">
        <w:rPr>
          <w:rFonts w:hint="cs"/>
          <w:bCs/>
          <w:i/>
          <w:sz w:val="23"/>
          <w:szCs w:val="23"/>
          <w:rtl/>
        </w:rPr>
        <w:t xml:space="preserve">یابی مجدد در زمان </w:t>
      </w:r>
      <w:r w:rsidRPr="003B28FD">
        <w:rPr>
          <w:bCs/>
          <w:i/>
          <w:sz w:val="23"/>
          <w:szCs w:val="23"/>
        </w:rPr>
        <w:t>t+1</w:t>
      </w:r>
      <w:r w:rsidRPr="003B28FD">
        <w:rPr>
          <w:bCs/>
          <w:i/>
          <w:sz w:val="23"/>
          <w:szCs w:val="23"/>
          <w:rtl/>
        </w:rPr>
        <w:t>:</w:t>
      </w:r>
    </w:p>
    <w:p w14:paraId="388397E7" w14:textId="77777777" w:rsidR="00411620" w:rsidRPr="003B28FD" w:rsidRDefault="00411620" w:rsidP="00C67946">
      <w:pPr>
        <w:pStyle w:val="ListParagraph"/>
        <w:numPr>
          <w:ilvl w:val="0"/>
          <w:numId w:val="4"/>
        </w:numPr>
        <w:spacing w:line="216" w:lineRule="auto"/>
        <w:ind w:left="0" w:firstLine="0"/>
        <w:rPr>
          <w:bCs/>
          <w:i/>
          <w:sz w:val="23"/>
          <w:szCs w:val="23"/>
          <w:rtl/>
        </w:rPr>
      </w:pPr>
      <w:r w:rsidRPr="003B28FD">
        <w:rPr>
          <w:rFonts w:hint="cs"/>
          <w:bCs/>
          <w:i/>
          <w:sz w:val="23"/>
          <w:szCs w:val="23"/>
          <w:rtl/>
        </w:rPr>
        <w:t>مسئله</w:t>
      </w:r>
      <w:r w:rsidRPr="003B28FD">
        <w:rPr>
          <w:bCs/>
          <w:i/>
          <w:sz w:val="23"/>
          <w:szCs w:val="23"/>
          <w:rtl/>
        </w:rPr>
        <w:softHyphen/>
      </w:r>
      <w:r w:rsidRPr="003B28FD">
        <w:rPr>
          <w:rFonts w:hint="cs"/>
          <w:bCs/>
          <w:i/>
          <w:sz w:val="23"/>
          <w:szCs w:val="23"/>
          <w:rtl/>
        </w:rPr>
        <w:t>ی خانوار</w:t>
      </w:r>
    </w:p>
    <w:p w14:paraId="2B6739E2" w14:textId="77777777" w:rsidR="00411620" w:rsidRPr="003B28FD" w:rsidRDefault="00411620" w:rsidP="00411620">
      <w:pPr>
        <w:spacing w:line="216" w:lineRule="auto"/>
        <w:rPr>
          <w:rFonts w:eastAsiaTheme="minorEastAsia"/>
          <w:i/>
          <w:sz w:val="23"/>
          <w:szCs w:val="23"/>
          <w:rtl/>
        </w:rPr>
      </w:pPr>
      <w:r w:rsidRPr="003B28FD">
        <w:rPr>
          <w:rFonts w:hint="cs"/>
          <w:i/>
          <w:sz w:val="23"/>
          <w:szCs w:val="23"/>
          <w:rtl/>
        </w:rPr>
        <w:t>بهینه</w:t>
      </w:r>
      <w:r w:rsidRPr="003B28FD">
        <w:rPr>
          <w:i/>
          <w:sz w:val="23"/>
          <w:szCs w:val="23"/>
          <w:rtl/>
        </w:rPr>
        <w:softHyphen/>
      </w:r>
      <w:r w:rsidRPr="003B28FD">
        <w:rPr>
          <w:rFonts w:hint="cs"/>
          <w:i/>
          <w:sz w:val="23"/>
          <w:szCs w:val="23"/>
          <w:rtl/>
        </w:rPr>
        <w:t xml:space="preserve">یابی خانوار در زمان </w:t>
      </w:r>
      <w:r w:rsidRPr="003B28FD">
        <w:rPr>
          <w:position w:val="-6"/>
        </w:rPr>
        <w:object w:dxaOrig="440" w:dyaOrig="260" w14:anchorId="7878B89E">
          <v:shape id="_x0000_i3182" type="#_x0000_t75" style="width:21.8pt;height:13.3pt" o:ole="">
            <v:imagedata r:id="rId4348" o:title=""/>
          </v:shape>
          <o:OLEObject Type="Embed" ProgID="Equation.DSMT4" ShapeID="_x0000_i3182" DrawAspect="Content" ObjectID="_1791377126" r:id="rId4349"/>
        </w:object>
      </w:r>
      <w:r w:rsidRPr="003B28FD">
        <w:rPr>
          <w:rFonts w:hint="cs"/>
          <w:i/>
          <w:sz w:val="23"/>
          <w:szCs w:val="23"/>
          <w:rtl/>
        </w:rPr>
        <w:t xml:space="preserve"> با توجه به</w:t>
      </w:r>
      <w:r w:rsidRPr="003B28FD">
        <w:rPr>
          <w:position w:val="-10"/>
        </w:rPr>
        <w:object w:dxaOrig="360" w:dyaOrig="320" w14:anchorId="4A4F89B9">
          <v:shape id="_x0000_i3183" type="#_x0000_t75" style="width:18.15pt;height:16.35pt" o:ole="">
            <v:imagedata r:id="rId4350" o:title=""/>
          </v:shape>
          <o:OLEObject Type="Embed" ProgID="Equation.DSMT4" ShapeID="_x0000_i3183" DrawAspect="Content" ObjectID="_1791377127" r:id="rId4351"/>
        </w:object>
      </w:r>
      <w:r w:rsidRPr="003B28FD">
        <w:rPr>
          <w:rFonts w:eastAsiaTheme="minorEastAsia" w:hint="cs"/>
          <w:i/>
          <w:sz w:val="23"/>
          <w:szCs w:val="23"/>
          <w:rtl/>
        </w:rPr>
        <w:t>،</w:t>
      </w:r>
      <w:r w:rsidRPr="003B28FD">
        <w:rPr>
          <w:position w:val="-10"/>
        </w:rPr>
        <w:object w:dxaOrig="380" w:dyaOrig="320" w14:anchorId="68634FA7">
          <v:shape id="_x0000_i3184" type="#_x0000_t75" style="width:18.75pt;height:16.35pt" o:ole="">
            <v:imagedata r:id="rId4352" o:title=""/>
          </v:shape>
          <o:OLEObject Type="Embed" ProgID="Equation.DSMT4" ShapeID="_x0000_i3184" DrawAspect="Content" ObjectID="_1791377128" r:id="rId4353"/>
        </w:object>
      </w:r>
      <w:r w:rsidRPr="003B28FD">
        <w:rPr>
          <w:rFonts w:eastAsiaTheme="minorEastAsia" w:hint="cs"/>
          <w:i/>
          <w:sz w:val="23"/>
          <w:szCs w:val="23"/>
          <w:rtl/>
        </w:rPr>
        <w:t xml:space="preserve"> و همچنین نرخ</w:t>
      </w:r>
      <w:r w:rsidRPr="003B28FD">
        <w:rPr>
          <w:rFonts w:eastAsiaTheme="minorEastAsia"/>
          <w:i/>
          <w:sz w:val="23"/>
          <w:szCs w:val="23"/>
          <w:rtl/>
        </w:rPr>
        <w:softHyphen/>
      </w:r>
      <w:r w:rsidRPr="003B28FD">
        <w:rPr>
          <w:rFonts w:eastAsiaTheme="minorEastAsia" w:hint="cs"/>
          <w:i/>
          <w:sz w:val="23"/>
          <w:szCs w:val="23"/>
          <w:rtl/>
        </w:rPr>
        <w:t>های مالیاتی داده شده</w:t>
      </w:r>
      <w:r w:rsidRPr="003B28FD">
        <w:rPr>
          <w:rFonts w:hint="cs"/>
          <w:i/>
          <w:sz w:val="23"/>
          <w:szCs w:val="23"/>
          <w:rtl/>
        </w:rPr>
        <w:t xml:space="preserve"> تجدید می</w:t>
      </w:r>
      <w:r w:rsidRPr="003B28FD">
        <w:rPr>
          <w:i/>
          <w:sz w:val="23"/>
          <w:szCs w:val="23"/>
          <w:rtl/>
        </w:rPr>
        <w:softHyphen/>
      </w:r>
      <w:r w:rsidRPr="003B28FD">
        <w:rPr>
          <w:rFonts w:hint="cs"/>
          <w:i/>
          <w:sz w:val="23"/>
          <w:szCs w:val="23"/>
          <w:rtl/>
        </w:rPr>
        <w:t>شود</w:t>
      </w:r>
      <w:r w:rsidRPr="003B28FD">
        <w:rPr>
          <w:rFonts w:eastAsiaTheme="minorEastAsia" w:hint="cs"/>
          <w:i/>
          <w:sz w:val="23"/>
          <w:szCs w:val="23"/>
          <w:rtl/>
        </w:rPr>
        <w:t>. در این</w:t>
      </w:r>
      <w:r w:rsidRPr="003B28FD">
        <w:rPr>
          <w:rFonts w:eastAsiaTheme="minorEastAsia"/>
          <w:i/>
          <w:sz w:val="23"/>
          <w:szCs w:val="23"/>
          <w:rtl/>
        </w:rPr>
        <w:softHyphen/>
      </w:r>
      <w:r w:rsidRPr="003B28FD">
        <w:rPr>
          <w:rFonts w:eastAsiaTheme="minorEastAsia" w:hint="cs"/>
          <w:i/>
          <w:sz w:val="23"/>
          <w:szCs w:val="23"/>
          <w:rtl/>
        </w:rPr>
        <w:t xml:space="preserve">صورت مطلوبیت خانوار </w:t>
      </w:r>
      <w:r w:rsidRPr="003B28FD">
        <w:rPr>
          <w:position w:val="-12"/>
        </w:rPr>
        <w:object w:dxaOrig="1440" w:dyaOrig="360" w14:anchorId="44F3A484">
          <v:shape id="_x0000_i3185" type="#_x0000_t75" style="width:1in;height:18.15pt" o:ole="">
            <v:imagedata r:id="rId4354" o:title=""/>
          </v:shape>
          <o:OLEObject Type="Embed" ProgID="Equation.DSMT4" ShapeID="_x0000_i3185" DrawAspect="Content" ObjectID="_1791377129" r:id="rId4355"/>
        </w:object>
      </w:r>
      <w:r w:rsidRPr="003B28FD">
        <w:rPr>
          <w:rFonts w:eastAsiaTheme="minorEastAsia" w:hint="cs"/>
          <w:i/>
          <w:sz w:val="23"/>
          <w:szCs w:val="23"/>
          <w:rtl/>
        </w:rPr>
        <w:t xml:space="preserve"> نسبت به قید بودجه</w:t>
      </w:r>
      <w:r w:rsidRPr="003B28FD">
        <w:rPr>
          <w:rFonts w:eastAsiaTheme="minorEastAsia"/>
          <w:i/>
          <w:sz w:val="23"/>
          <w:szCs w:val="23"/>
          <w:rtl/>
        </w:rPr>
        <w:softHyphen/>
      </w:r>
      <w:r w:rsidRPr="003B28FD">
        <w:rPr>
          <w:rFonts w:eastAsiaTheme="minorEastAsia" w:hint="cs"/>
          <w:i/>
          <w:sz w:val="23"/>
          <w:szCs w:val="23"/>
          <w:rtl/>
        </w:rPr>
        <w:t xml:space="preserve">ی     </w:t>
      </w:r>
      <w:r w:rsidRPr="003B28FD">
        <w:rPr>
          <w:rFonts w:hint="cs"/>
          <w:i/>
          <w:sz w:val="23"/>
          <w:szCs w:val="23"/>
          <w:rtl/>
        </w:rPr>
        <w:t>(۶. ۵)</w:t>
      </w:r>
      <w:r w:rsidRPr="003B28FD">
        <w:rPr>
          <w:rFonts w:eastAsiaTheme="minorEastAsia" w:hint="cs"/>
          <w:i/>
          <w:sz w:val="23"/>
          <w:szCs w:val="23"/>
          <w:rtl/>
        </w:rPr>
        <w:t xml:space="preserve"> حداکثر می</w:t>
      </w:r>
      <w:r w:rsidRPr="003B28FD">
        <w:rPr>
          <w:rFonts w:eastAsiaTheme="minorEastAsia"/>
          <w:i/>
          <w:sz w:val="23"/>
          <w:szCs w:val="23"/>
          <w:rtl/>
        </w:rPr>
        <w:softHyphen/>
      </w:r>
      <w:r w:rsidRPr="003B28FD">
        <w:rPr>
          <w:rFonts w:eastAsiaTheme="minorEastAsia" w:hint="cs"/>
          <w:i/>
          <w:sz w:val="23"/>
          <w:szCs w:val="23"/>
          <w:rtl/>
        </w:rPr>
        <w:t>شود و لاگرانژین این مسئله عبارت است از</w:t>
      </w:r>
    </w:p>
    <w:p w14:paraId="32245916" w14:textId="77777777" w:rsidR="00411620" w:rsidRPr="003B28FD" w:rsidRDefault="00411620" w:rsidP="00411620">
      <w:pPr>
        <w:bidi w:val="0"/>
        <w:spacing w:line="216" w:lineRule="auto"/>
        <w:rPr>
          <w:rFonts w:eastAsiaTheme="minorEastAsia"/>
          <w:i/>
          <w:sz w:val="23"/>
          <w:szCs w:val="23"/>
          <w:rtl/>
        </w:rPr>
      </w:pPr>
      <w:r w:rsidRPr="003B28FD">
        <w:rPr>
          <w:position w:val="-16"/>
        </w:rPr>
        <w:object w:dxaOrig="4840" w:dyaOrig="420" w14:anchorId="51FB368A">
          <v:shape id="_x0000_i3186" type="#_x0000_t75" style="width:242pt;height:20.55pt" o:ole="">
            <v:imagedata r:id="rId4356" o:title=""/>
          </v:shape>
          <o:OLEObject Type="Embed" ProgID="Equation.DSMT4" ShapeID="_x0000_i3186" DrawAspect="Content" ObjectID="_1791377130" r:id="rId4357"/>
        </w:object>
      </w:r>
      <w:r w:rsidRPr="003B28FD">
        <w:rPr>
          <w:rFonts w:eastAsiaTheme="minorEastAsia" w:hint="cs"/>
          <w:i/>
          <w:sz w:val="23"/>
          <w:szCs w:val="23"/>
          <w:rtl/>
        </w:rPr>
        <w:t xml:space="preserve"> </w:t>
      </w:r>
    </w:p>
    <w:p w14:paraId="377A6D7F"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شرایط مرتبه</w:t>
      </w:r>
      <w:r w:rsidRPr="003B28FD">
        <w:rPr>
          <w:rFonts w:eastAsiaTheme="minorEastAsia"/>
          <w:i/>
          <w:sz w:val="23"/>
          <w:szCs w:val="23"/>
          <w:rtl/>
        </w:rPr>
        <w:softHyphen/>
      </w:r>
      <w:r w:rsidRPr="003B28FD">
        <w:rPr>
          <w:rFonts w:eastAsiaTheme="minorEastAsia" w:hint="cs"/>
          <w:i/>
          <w:sz w:val="23"/>
          <w:szCs w:val="23"/>
          <w:rtl/>
        </w:rPr>
        <w:t>ی اول عبارتند از</w:t>
      </w:r>
    </w:p>
    <w:p w14:paraId="6EC76611"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Pr>
      </w:pPr>
      <w:r w:rsidRPr="003B28FD">
        <w:rPr>
          <w:position w:val="-28"/>
        </w:rPr>
        <w:object w:dxaOrig="1980" w:dyaOrig="620" w14:anchorId="2D683D20">
          <v:shape id="_x0000_i3187" type="#_x0000_t75" style="width:98.6pt;height:30.85pt" o:ole="">
            <v:imagedata r:id="rId4358" o:title=""/>
          </v:shape>
          <o:OLEObject Type="Embed" ProgID="Equation.DSMT4" ShapeID="_x0000_i3187" DrawAspect="Content" ObjectID="_1791377131" r:id="rId4359"/>
        </w:object>
      </w:r>
    </w:p>
    <w:p w14:paraId="72A39E92"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tl/>
        </w:rPr>
      </w:pPr>
      <w:r w:rsidRPr="003B28FD">
        <w:rPr>
          <w:position w:val="-28"/>
        </w:rPr>
        <w:object w:dxaOrig="2820" w:dyaOrig="620" w14:anchorId="12FDCB2C">
          <v:shape id="_x0000_i3188" type="#_x0000_t75" style="width:140.95pt;height:30.85pt" o:ole="">
            <v:imagedata r:id="rId4360" o:title=""/>
          </v:shape>
          <o:OLEObject Type="Embed" ProgID="Equation.DSMT4" ShapeID="_x0000_i3188" DrawAspect="Content" ObjectID="_1791377132" r:id="rId4361"/>
        </w:object>
      </w:r>
    </w:p>
    <w:p w14:paraId="0A0745BF" w14:textId="77777777" w:rsidR="00411620" w:rsidRPr="003B28FD" w:rsidRDefault="00411620" w:rsidP="00411620">
      <w:pPr>
        <w:spacing w:line="216" w:lineRule="auto"/>
        <w:rPr>
          <w:i/>
          <w:sz w:val="23"/>
          <w:szCs w:val="23"/>
          <w:rtl/>
        </w:rPr>
      </w:pPr>
      <w:r w:rsidRPr="003B28FD">
        <w:rPr>
          <w:rFonts w:hint="cs"/>
          <w:i/>
          <w:sz w:val="23"/>
          <w:szCs w:val="23"/>
          <w:rtl/>
        </w:rPr>
        <w:t>آنگاه</w:t>
      </w:r>
    </w:p>
    <w:p w14:paraId="540B69DB" w14:textId="77777777" w:rsidR="00411620" w:rsidRPr="003B28FD" w:rsidRDefault="00411620" w:rsidP="00411620">
      <w:pPr>
        <w:pStyle w:val="MTDisplayEquation"/>
        <w:tabs>
          <w:tab w:val="clear" w:pos="6660"/>
        </w:tabs>
        <w:spacing w:line="216" w:lineRule="auto"/>
        <w:rPr>
          <w:rFonts w:ascii="Times New Roman" w:eastAsiaTheme="minorEastAsia" w:hAnsi="Times New Roman" w:cs="B Nazanin"/>
          <w:i/>
          <w:sz w:val="23"/>
          <w:szCs w:val="23"/>
          <w:rtl/>
        </w:rPr>
      </w:pPr>
      <w:r w:rsidRPr="003B28FD">
        <w:rPr>
          <w:position w:val="-22"/>
        </w:rPr>
        <w:object w:dxaOrig="2700" w:dyaOrig="560" w14:anchorId="2D680298">
          <v:shape id="_x0000_i3189" type="#_x0000_t75" style="width:134.9pt;height:27.85pt" o:ole="">
            <v:imagedata r:id="rId4362" o:title=""/>
          </v:shape>
          <o:OLEObject Type="Embed" ProgID="Equation.DSMT4" ShapeID="_x0000_i3189" DrawAspect="Content" ObjectID="_1791377133" r:id="rId4363"/>
        </w:object>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Pr>
          <w:rFonts w:ascii="Times New Roman" w:hAnsi="Times New Roman" w:cs="B Nazanin"/>
          <w:i/>
          <w:sz w:val="23"/>
          <w:szCs w:val="23"/>
          <w:rtl/>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hint="cs"/>
          <w:i/>
          <w:sz w:val="23"/>
          <w:szCs w:val="23"/>
          <w:rtl/>
        </w:rPr>
        <w:t>(۶. ۲۴)</w:t>
      </w:r>
    </w:p>
    <w:p w14:paraId="54E8DC9C" w14:textId="77777777" w:rsidR="00411620" w:rsidRPr="003B28FD" w:rsidRDefault="00411620" w:rsidP="00411620">
      <w:pPr>
        <w:spacing w:line="216" w:lineRule="auto"/>
        <w:rPr>
          <w:i/>
          <w:sz w:val="23"/>
          <w:szCs w:val="23"/>
          <w:rtl/>
        </w:rPr>
      </w:pPr>
      <w:r w:rsidRPr="003B28FD">
        <w:rPr>
          <w:rFonts w:hint="cs"/>
          <w:i/>
          <w:sz w:val="23"/>
          <w:szCs w:val="23"/>
          <w:rtl/>
        </w:rPr>
        <w:t>چنانچه</w:t>
      </w:r>
      <w:r w:rsidRPr="003B28FD">
        <w:rPr>
          <w:position w:val="-10"/>
        </w:rPr>
        <w:object w:dxaOrig="380" w:dyaOrig="320" w14:anchorId="0A38501F">
          <v:shape id="_x0000_i3190" type="#_x0000_t75" style="width:18.75pt;height:16.35pt" o:ole="">
            <v:imagedata r:id="rId4364" o:title=""/>
          </v:shape>
          <o:OLEObject Type="Embed" ProgID="Equation.DSMT4" ShapeID="_x0000_i3190" DrawAspect="Content" ObjectID="_1791377134" r:id="rId4365"/>
        </w:object>
      </w:r>
      <w:r w:rsidRPr="003B28FD">
        <w:rPr>
          <w:rFonts w:eastAsiaTheme="minorEastAsia" w:hint="cs"/>
          <w:i/>
          <w:sz w:val="23"/>
          <w:szCs w:val="23"/>
          <w:rtl/>
        </w:rPr>
        <w:t xml:space="preserve"> را از رابطه</w:t>
      </w:r>
      <w:r w:rsidRPr="003B28FD">
        <w:rPr>
          <w:rFonts w:eastAsiaTheme="minorEastAsia"/>
          <w:i/>
          <w:sz w:val="23"/>
          <w:szCs w:val="23"/>
          <w:rtl/>
        </w:rPr>
        <w:softHyphen/>
      </w:r>
      <w:r w:rsidRPr="003B28FD">
        <w:rPr>
          <w:rFonts w:eastAsiaTheme="minorEastAsia" w:hint="cs"/>
          <w:i/>
          <w:sz w:val="23"/>
          <w:szCs w:val="23"/>
          <w:rtl/>
        </w:rPr>
        <w:t xml:space="preserve">ی </w:t>
      </w:r>
      <w:r w:rsidRPr="003B28FD">
        <w:rPr>
          <w:rFonts w:hint="cs"/>
          <w:i/>
          <w:sz w:val="23"/>
          <w:szCs w:val="23"/>
          <w:rtl/>
        </w:rPr>
        <w:t>(۶. ۲۴)</w:t>
      </w:r>
      <w:r w:rsidRPr="003B28FD">
        <w:rPr>
          <w:rFonts w:eastAsiaTheme="minorEastAsia" w:hint="cs"/>
          <w:i/>
          <w:sz w:val="23"/>
          <w:szCs w:val="23"/>
          <w:rtl/>
        </w:rPr>
        <w:t xml:space="preserve"> محاسبه نموده و در </w:t>
      </w:r>
      <w:r w:rsidRPr="003B28FD">
        <w:rPr>
          <w:rFonts w:hint="cs"/>
          <w:i/>
          <w:sz w:val="23"/>
          <w:szCs w:val="23"/>
          <w:rtl/>
        </w:rPr>
        <w:t>قید بودجه</w:t>
      </w:r>
      <w:r w:rsidRPr="003B28FD">
        <w:rPr>
          <w:i/>
          <w:sz w:val="23"/>
          <w:szCs w:val="23"/>
          <w:rtl/>
        </w:rPr>
        <w:softHyphen/>
      </w:r>
      <w:r w:rsidRPr="003B28FD">
        <w:rPr>
          <w:rFonts w:hint="cs"/>
          <w:i/>
          <w:sz w:val="23"/>
          <w:szCs w:val="23"/>
          <w:rtl/>
        </w:rPr>
        <w:t>ی (۶. ۵)</w:t>
      </w:r>
      <w:r w:rsidRPr="003B28FD">
        <w:rPr>
          <w:rFonts w:eastAsiaTheme="minorEastAsia" w:hint="cs"/>
          <w:i/>
          <w:sz w:val="23"/>
          <w:szCs w:val="23"/>
          <w:rtl/>
        </w:rPr>
        <w:t xml:space="preserve"> </w:t>
      </w:r>
      <w:r w:rsidRPr="003B28FD">
        <w:rPr>
          <w:rFonts w:hint="cs"/>
          <w:i/>
          <w:sz w:val="23"/>
          <w:szCs w:val="23"/>
          <w:rtl/>
        </w:rPr>
        <w:t>جایگزین کنیم خواهیم داشت،</w:t>
      </w:r>
    </w:p>
    <w:p w14:paraId="046435A6" w14:textId="77777777" w:rsidR="00411620" w:rsidRPr="003B28FD" w:rsidRDefault="00411620" w:rsidP="00411620">
      <w:pPr>
        <w:bidi w:val="0"/>
        <w:spacing w:line="216" w:lineRule="auto"/>
        <w:rPr>
          <w:rFonts w:eastAsiaTheme="minorEastAsia"/>
          <w:i/>
          <w:sz w:val="23"/>
          <w:szCs w:val="23"/>
          <w:rtl/>
        </w:rPr>
      </w:pPr>
      <w:r w:rsidRPr="003B28FD">
        <w:rPr>
          <w:rFonts w:hint="cs"/>
          <w:i/>
          <w:sz w:val="23"/>
          <w:szCs w:val="23"/>
          <w:rtl/>
        </w:rPr>
        <w:lastRenderedPageBreak/>
        <w:t xml:space="preserve"> </w:t>
      </w:r>
      <w:r w:rsidRPr="003B28FD">
        <w:rPr>
          <w:position w:val="-22"/>
        </w:rPr>
        <w:object w:dxaOrig="1620" w:dyaOrig="600" w14:anchorId="2D667301">
          <v:shape id="_x0000_i3191" type="#_x0000_t75" style="width:81.1pt;height:29.65pt" o:ole="">
            <v:imagedata r:id="rId4366" o:title=""/>
          </v:shape>
          <o:OLEObject Type="Embed" ProgID="Equation.DSMT4" ShapeID="_x0000_i3191" DrawAspect="Content" ObjectID="_1791377135" r:id="rId4367"/>
        </w:object>
      </w:r>
      <w:r w:rsidRPr="003B28FD">
        <w:rPr>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tl/>
        </w:rPr>
        <w:tab/>
      </w:r>
      <w:r w:rsidRPr="003B28FD">
        <w:rPr>
          <w:i/>
          <w:sz w:val="23"/>
          <w:szCs w:val="23"/>
          <w:rtl/>
        </w:rPr>
        <w:tab/>
      </w:r>
      <w:r>
        <w:rPr>
          <w:i/>
          <w:sz w:val="23"/>
          <w:szCs w:val="23"/>
          <w:rtl/>
        </w:rPr>
        <w:tab/>
      </w:r>
      <w:r>
        <w:rPr>
          <w:i/>
          <w:sz w:val="23"/>
          <w:szCs w:val="23"/>
          <w:rtl/>
        </w:rPr>
        <w:tab/>
      </w:r>
      <w:r w:rsidRPr="003B28FD">
        <w:rPr>
          <w:i/>
          <w:sz w:val="23"/>
          <w:szCs w:val="23"/>
          <w:rtl/>
        </w:rPr>
        <w:tab/>
      </w:r>
      <w:r w:rsidRPr="003B28FD">
        <w:rPr>
          <w:i/>
          <w:sz w:val="23"/>
          <w:szCs w:val="23"/>
          <w:rtl/>
        </w:rPr>
        <w:tab/>
      </w:r>
      <w:r w:rsidRPr="003B28FD">
        <w:rPr>
          <w:i/>
          <w:sz w:val="23"/>
          <w:szCs w:val="23"/>
          <w:rtl/>
        </w:rPr>
        <w:tab/>
      </w:r>
      <w:r w:rsidRPr="003B28FD">
        <w:rPr>
          <w:rFonts w:hint="cs"/>
          <w:i/>
          <w:sz w:val="23"/>
          <w:szCs w:val="23"/>
          <w:rtl/>
        </w:rPr>
        <w:t>(۶. ۲۵)</w:t>
      </w:r>
    </w:p>
    <w:p w14:paraId="136AE724" w14:textId="77777777" w:rsidR="00411620" w:rsidRDefault="00411620" w:rsidP="00411620">
      <w:pPr>
        <w:spacing w:line="216" w:lineRule="auto"/>
        <w:rPr>
          <w:rFonts w:eastAsiaTheme="minorEastAsia"/>
          <w:i/>
          <w:sz w:val="23"/>
          <w:szCs w:val="23"/>
          <w:rtl/>
        </w:rPr>
      </w:pPr>
    </w:p>
    <w:p w14:paraId="07320EA6" w14:textId="77777777" w:rsidR="00411620" w:rsidRPr="003B28FD" w:rsidRDefault="00411620" w:rsidP="00411620">
      <w:pPr>
        <w:spacing w:line="216" w:lineRule="auto"/>
        <w:rPr>
          <w:rFonts w:eastAsiaTheme="minorEastAsia"/>
          <w:i/>
          <w:sz w:val="23"/>
          <w:szCs w:val="23"/>
          <w:rtl/>
        </w:rPr>
      </w:pPr>
    </w:p>
    <w:p w14:paraId="26689D1F" w14:textId="77777777" w:rsidR="00411620" w:rsidRPr="003B28FD" w:rsidRDefault="00411620" w:rsidP="00C67946">
      <w:pPr>
        <w:pStyle w:val="ListParagraph"/>
        <w:numPr>
          <w:ilvl w:val="0"/>
          <w:numId w:val="4"/>
        </w:numPr>
        <w:spacing w:line="216" w:lineRule="auto"/>
        <w:ind w:left="0" w:firstLine="0"/>
        <w:rPr>
          <w:rFonts w:eastAsiaTheme="minorEastAsia"/>
          <w:bCs/>
          <w:i/>
          <w:sz w:val="23"/>
          <w:szCs w:val="23"/>
          <w:rtl/>
        </w:rPr>
      </w:pPr>
      <w:r w:rsidRPr="003B28FD">
        <w:rPr>
          <w:rFonts w:eastAsiaTheme="minorEastAsia" w:hint="cs"/>
          <w:bCs/>
          <w:i/>
          <w:sz w:val="23"/>
          <w:szCs w:val="23"/>
          <w:rtl/>
        </w:rPr>
        <w:t>مسئله</w:t>
      </w:r>
      <w:r w:rsidRPr="003B28FD">
        <w:rPr>
          <w:rFonts w:eastAsiaTheme="minorEastAsia"/>
          <w:bCs/>
          <w:i/>
          <w:sz w:val="23"/>
          <w:szCs w:val="23"/>
          <w:rtl/>
        </w:rPr>
        <w:softHyphen/>
      </w:r>
      <w:r w:rsidRPr="003B28FD">
        <w:rPr>
          <w:rFonts w:eastAsiaTheme="minorEastAsia" w:hint="cs"/>
          <w:bCs/>
          <w:i/>
          <w:sz w:val="23"/>
          <w:szCs w:val="23"/>
          <w:rtl/>
        </w:rPr>
        <w:t xml:space="preserve">ی دولت </w:t>
      </w:r>
    </w:p>
    <w:p w14:paraId="16606530" w14:textId="77777777" w:rsidR="00411620" w:rsidRPr="003B28FD" w:rsidRDefault="00411620" w:rsidP="00411620">
      <w:pPr>
        <w:spacing w:line="216" w:lineRule="auto"/>
        <w:rPr>
          <w:i/>
          <w:sz w:val="23"/>
          <w:szCs w:val="23"/>
          <w:rtl/>
        </w:rPr>
      </w:pPr>
      <w:r w:rsidRPr="003B28FD">
        <w:rPr>
          <w:rFonts w:eastAsiaTheme="minorEastAsia" w:hint="cs"/>
          <w:i/>
          <w:sz w:val="23"/>
          <w:szCs w:val="23"/>
          <w:rtl/>
        </w:rPr>
        <w:t>دولت نیز مطلوبیت خانوار</w:t>
      </w:r>
      <w:r w:rsidRPr="003B28FD">
        <w:rPr>
          <w:position w:val="-12"/>
        </w:rPr>
        <w:object w:dxaOrig="1440" w:dyaOrig="360" w14:anchorId="4E56BA9D">
          <v:shape id="_x0000_i3192" type="#_x0000_t75" style="width:1in;height:18.15pt" o:ole="">
            <v:imagedata r:id="rId4368" o:title=""/>
          </v:shape>
          <o:OLEObject Type="Embed" ProgID="Equation.DSMT4" ShapeID="_x0000_i3192" DrawAspect="Content" ObjectID="_1791377136" r:id="rId4369"/>
        </w:object>
      </w:r>
      <w:r w:rsidRPr="003B28FD">
        <w:rPr>
          <w:rFonts w:eastAsiaTheme="minorEastAsia" w:hint="cs"/>
          <w:i/>
          <w:sz w:val="23"/>
          <w:szCs w:val="23"/>
          <w:rtl/>
        </w:rPr>
        <w:t xml:space="preserve"> را </w:t>
      </w:r>
      <w:r w:rsidRPr="003B28FD">
        <w:rPr>
          <w:rFonts w:hint="cs"/>
          <w:i/>
          <w:sz w:val="23"/>
          <w:szCs w:val="23"/>
          <w:rtl/>
        </w:rPr>
        <w:t>نسبت به قید بودجه</w:t>
      </w:r>
      <w:r w:rsidRPr="003B28FD">
        <w:rPr>
          <w:i/>
          <w:sz w:val="23"/>
          <w:szCs w:val="23"/>
          <w:rtl/>
        </w:rPr>
        <w:softHyphen/>
      </w:r>
      <w:r w:rsidRPr="003B28FD">
        <w:rPr>
          <w:rFonts w:hint="cs"/>
          <w:i/>
          <w:sz w:val="23"/>
          <w:szCs w:val="23"/>
          <w:rtl/>
        </w:rPr>
        <w:t>ی خود در زمان</w:t>
      </w:r>
      <w:r w:rsidRPr="003B28FD">
        <w:rPr>
          <w:i/>
          <w:sz w:val="23"/>
          <w:szCs w:val="23"/>
          <w:rtl/>
        </w:rPr>
        <w:t xml:space="preserve"> </w:t>
      </w:r>
      <w:r w:rsidRPr="003B28FD">
        <w:rPr>
          <w:position w:val="-6"/>
        </w:rPr>
        <w:object w:dxaOrig="440" w:dyaOrig="260" w14:anchorId="7041FD49">
          <v:shape id="_x0000_i3193" type="#_x0000_t75" style="width:21.8pt;height:13.3pt" o:ole="">
            <v:imagedata r:id="rId4370" o:title=""/>
          </v:shape>
          <o:OLEObject Type="Embed" ProgID="Equation.DSMT4" ShapeID="_x0000_i3193" DrawAspect="Content" ObjectID="_1791377137" r:id="rId4371"/>
        </w:object>
      </w:r>
      <w:r w:rsidRPr="003B28FD">
        <w:rPr>
          <w:rFonts w:hint="cs"/>
          <w:i/>
          <w:sz w:val="23"/>
          <w:szCs w:val="23"/>
          <w:rtl/>
        </w:rPr>
        <w:t>(معادله</w:t>
      </w:r>
      <w:r w:rsidRPr="003B28FD">
        <w:rPr>
          <w:i/>
          <w:sz w:val="23"/>
          <w:szCs w:val="23"/>
          <w:rtl/>
        </w:rPr>
        <w:softHyphen/>
      </w:r>
      <w:r w:rsidRPr="003B28FD">
        <w:rPr>
          <w:rFonts w:hint="cs"/>
          <w:i/>
          <w:sz w:val="23"/>
          <w:szCs w:val="23"/>
          <w:rtl/>
        </w:rPr>
        <w:t>ی (۶. ۵)) و معادلات (۶. ۲۴) و</w:t>
      </w:r>
      <w:r w:rsidRPr="003B28FD">
        <w:rPr>
          <w:i/>
          <w:sz w:val="23"/>
          <w:szCs w:val="23"/>
        </w:rPr>
        <w:t xml:space="preserve"> </w:t>
      </w:r>
      <w:r w:rsidRPr="003B28FD">
        <w:rPr>
          <w:rFonts w:hint="cs"/>
          <w:i/>
          <w:sz w:val="23"/>
          <w:szCs w:val="23"/>
          <w:rtl/>
        </w:rPr>
        <w:t>(۶. ۲۵</w:t>
      </w:r>
      <w:r w:rsidRPr="003B28FD">
        <w:rPr>
          <w:i/>
          <w:sz w:val="23"/>
          <w:szCs w:val="23"/>
        </w:rPr>
        <w:t>(</w:t>
      </w:r>
      <w:r w:rsidRPr="003B28FD">
        <w:rPr>
          <w:rFonts w:hint="cs"/>
          <w:i/>
          <w:sz w:val="23"/>
          <w:szCs w:val="23"/>
          <w:rtl/>
        </w:rPr>
        <w:t xml:space="preserve"> حداکثر می</w:t>
      </w:r>
      <w:r w:rsidRPr="003B28FD">
        <w:rPr>
          <w:i/>
          <w:sz w:val="23"/>
          <w:szCs w:val="23"/>
          <w:rtl/>
        </w:rPr>
        <w:softHyphen/>
      </w:r>
      <w:r w:rsidRPr="003B28FD">
        <w:rPr>
          <w:rFonts w:hint="cs"/>
          <w:i/>
          <w:sz w:val="23"/>
          <w:szCs w:val="23"/>
          <w:rtl/>
        </w:rPr>
        <w:t xml:space="preserve">کند. بنابراین لاگرانژین این مسئله عبارت است از </w:t>
      </w:r>
    </w:p>
    <w:p w14:paraId="0B169B63"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Pr>
      </w:pPr>
      <w:r w:rsidRPr="003B28FD">
        <w:rPr>
          <w:position w:val="-26"/>
        </w:rPr>
        <w:object w:dxaOrig="4140" w:dyaOrig="620" w14:anchorId="2E9EDB12">
          <v:shape id="_x0000_i3194" type="#_x0000_t75" style="width:206.9pt;height:30.85pt" o:ole="">
            <v:imagedata r:id="rId4372" o:title=""/>
          </v:shape>
          <o:OLEObject Type="Embed" ProgID="Equation.DSMT4" ShapeID="_x0000_i3194" DrawAspect="Content" ObjectID="_1791377138" r:id="rId4373"/>
        </w:object>
      </w:r>
    </w:p>
    <w:p w14:paraId="7D53DA3C" w14:textId="77777777" w:rsidR="00411620" w:rsidRPr="003B28FD" w:rsidRDefault="00411620" w:rsidP="00411620">
      <w:pPr>
        <w:bidi w:val="0"/>
        <w:spacing w:line="216" w:lineRule="auto"/>
        <w:rPr>
          <w:rFonts w:eastAsiaTheme="minorEastAsia"/>
          <w:i/>
          <w:sz w:val="23"/>
          <w:szCs w:val="23"/>
        </w:rPr>
      </w:pPr>
      <w:r w:rsidRPr="003B28FD">
        <w:rPr>
          <w:position w:val="-30"/>
        </w:rPr>
        <w:object w:dxaOrig="5539" w:dyaOrig="700" w14:anchorId="1F471DA1">
          <v:shape id="_x0000_i3195" type="#_x0000_t75" style="width:277.1pt;height:35.1pt" o:ole="">
            <v:imagedata r:id="rId4374" o:title=""/>
          </v:shape>
          <o:OLEObject Type="Embed" ProgID="Equation.DSMT4" ShapeID="_x0000_i3195" DrawAspect="Content" ObjectID="_1791377139" r:id="rId4375"/>
        </w:object>
      </w:r>
      <w:r w:rsidRPr="003B28FD">
        <w:rPr>
          <w:rFonts w:eastAsiaTheme="minorEastAsia"/>
          <w:i/>
          <w:sz w:val="23"/>
          <w:szCs w:val="23"/>
        </w:rPr>
        <w:t xml:space="preserve"> </w:t>
      </w:r>
    </w:p>
    <w:p w14:paraId="14E8359F"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شرایط مرتبه</w:t>
      </w:r>
      <w:r w:rsidRPr="003B28FD">
        <w:rPr>
          <w:rFonts w:eastAsiaTheme="minorEastAsia"/>
          <w:i/>
          <w:sz w:val="23"/>
          <w:szCs w:val="23"/>
          <w:rtl/>
        </w:rPr>
        <w:softHyphen/>
      </w:r>
      <w:r w:rsidRPr="003B28FD">
        <w:rPr>
          <w:rFonts w:eastAsiaTheme="minorEastAsia" w:hint="cs"/>
          <w:i/>
          <w:sz w:val="23"/>
          <w:szCs w:val="23"/>
          <w:rtl/>
        </w:rPr>
        <w:t>ی اول عبارتند از،</w:t>
      </w:r>
    </w:p>
    <w:p w14:paraId="2B5DD820" w14:textId="77777777" w:rsidR="00411620" w:rsidRPr="003B28FD" w:rsidRDefault="00411620" w:rsidP="00411620">
      <w:pPr>
        <w:pStyle w:val="MTDisplayEquation"/>
        <w:spacing w:line="216" w:lineRule="auto"/>
        <w:rPr>
          <w:rFonts w:ascii="Times New Roman" w:hAnsi="Times New Roman" w:cs="B Nazanin"/>
          <w:i/>
          <w:sz w:val="23"/>
          <w:szCs w:val="23"/>
        </w:rPr>
      </w:pPr>
      <w:r w:rsidRPr="003B28FD">
        <w:rPr>
          <w:position w:val="-28"/>
        </w:rPr>
        <w:object w:dxaOrig="2620" w:dyaOrig="620" w14:anchorId="06486609">
          <v:shape id="_x0000_i3196" type="#_x0000_t75" style="width:130.7pt;height:30.85pt" o:ole="">
            <v:imagedata r:id="rId4376" o:title=""/>
          </v:shape>
          <o:OLEObject Type="Embed" ProgID="Equation.DSMT4" ShapeID="_x0000_i3196" DrawAspect="Content" ObjectID="_1791377140" r:id="rId4377"/>
        </w:object>
      </w:r>
    </w:p>
    <w:p w14:paraId="4A39026A" w14:textId="77777777" w:rsidR="00411620" w:rsidRPr="003B28FD" w:rsidRDefault="00411620" w:rsidP="00411620">
      <w:pPr>
        <w:pStyle w:val="MTDisplayEquation"/>
        <w:spacing w:line="216" w:lineRule="auto"/>
        <w:rPr>
          <w:rFonts w:ascii="Times New Roman" w:hAnsi="Times New Roman" w:cs="B Nazanin"/>
          <w:i/>
          <w:sz w:val="23"/>
          <w:szCs w:val="23"/>
        </w:rPr>
      </w:pPr>
      <w:r w:rsidRPr="003B28FD">
        <w:rPr>
          <w:position w:val="-28"/>
        </w:rPr>
        <w:object w:dxaOrig="3260" w:dyaOrig="620" w14:anchorId="227F11C2">
          <v:shape id="_x0000_i3197" type="#_x0000_t75" style="width:162.75pt;height:30.85pt" o:ole="">
            <v:imagedata r:id="rId4378" o:title=""/>
          </v:shape>
          <o:OLEObject Type="Embed" ProgID="Equation.DSMT4" ShapeID="_x0000_i3197" DrawAspect="Content" ObjectID="_1791377141" r:id="rId4379"/>
        </w:object>
      </w:r>
    </w:p>
    <w:p w14:paraId="081E7E98" w14:textId="77777777" w:rsidR="00411620" w:rsidRPr="003B28FD" w:rsidRDefault="00411620" w:rsidP="00411620">
      <w:pPr>
        <w:pStyle w:val="MTDisplayEquation"/>
        <w:spacing w:line="216" w:lineRule="auto"/>
        <w:rPr>
          <w:rFonts w:ascii="Times New Roman" w:hAnsi="Times New Roman" w:cs="B Nazanin"/>
          <w:i/>
          <w:sz w:val="23"/>
          <w:szCs w:val="23"/>
          <w:rtl/>
        </w:rPr>
      </w:pPr>
      <w:r w:rsidRPr="003B28FD">
        <w:rPr>
          <w:position w:val="-28"/>
        </w:rPr>
        <w:object w:dxaOrig="2140" w:dyaOrig="620" w14:anchorId="7FD8F293">
          <v:shape id="_x0000_i3198" type="#_x0000_t75" style="width:107.1pt;height:30.85pt" o:ole="">
            <v:imagedata r:id="rId4380" o:title=""/>
          </v:shape>
          <o:OLEObject Type="Embed" ProgID="Equation.DSMT4" ShapeID="_x0000_i3198" DrawAspect="Content" ObjectID="_1791377142" r:id="rId4381"/>
        </w:object>
      </w:r>
    </w:p>
    <w:p w14:paraId="14EB37C8" w14:textId="77777777" w:rsidR="00411620" w:rsidRPr="003B28FD" w:rsidRDefault="00411620" w:rsidP="00411620">
      <w:pPr>
        <w:pStyle w:val="MTDisplayEquation"/>
        <w:spacing w:line="216" w:lineRule="auto"/>
        <w:rPr>
          <w:rFonts w:ascii="Times New Roman" w:hAnsi="Times New Roman" w:cs="B Nazanin"/>
          <w:i/>
          <w:sz w:val="23"/>
          <w:szCs w:val="23"/>
        </w:rPr>
      </w:pPr>
      <w:r w:rsidRPr="003B28FD">
        <w:rPr>
          <w:position w:val="-38"/>
        </w:rPr>
        <w:object w:dxaOrig="4060" w:dyaOrig="720" w14:anchorId="40DEECF6">
          <v:shape id="_x0000_i3199" type="#_x0000_t75" style="width:203.3pt;height:36.3pt" o:ole="">
            <v:imagedata r:id="rId4382" o:title=""/>
          </v:shape>
          <o:OLEObject Type="Embed" ProgID="Equation.DSMT4" ShapeID="_x0000_i3199" DrawAspect="Content" ObjectID="_1791377143" r:id="rId4383"/>
        </w:object>
      </w:r>
    </w:p>
    <w:p w14:paraId="1EC7ADBA" w14:textId="77777777" w:rsidR="00411620" w:rsidRPr="003B28FD" w:rsidRDefault="00411620" w:rsidP="00411620">
      <w:pPr>
        <w:pStyle w:val="MTDisplayEquation"/>
        <w:spacing w:line="216" w:lineRule="auto"/>
        <w:rPr>
          <w:rFonts w:ascii="Times New Roman" w:hAnsi="Times New Roman" w:cs="B Nazanin"/>
          <w:i/>
          <w:sz w:val="23"/>
          <w:szCs w:val="23"/>
          <w:rtl/>
        </w:rPr>
      </w:pPr>
      <w:r w:rsidRPr="003B28FD">
        <w:rPr>
          <w:position w:val="-22"/>
        </w:rPr>
        <w:object w:dxaOrig="2620" w:dyaOrig="580" w14:anchorId="43356113">
          <v:shape id="_x0000_i3200" type="#_x0000_t75" style="width:130.7pt;height:29.05pt" o:ole="">
            <v:imagedata r:id="rId4384" o:title=""/>
          </v:shape>
          <o:OLEObject Type="Embed" ProgID="Equation.DSMT4" ShapeID="_x0000_i3200" DrawAspect="Content" ObjectID="_1791377144" r:id="rId4385"/>
        </w:object>
      </w:r>
    </w:p>
    <w:p w14:paraId="6D6089A4" w14:textId="77777777" w:rsidR="00411620" w:rsidRPr="003B28FD" w:rsidRDefault="00411620" w:rsidP="00411620">
      <w:pPr>
        <w:spacing w:line="216" w:lineRule="auto"/>
        <w:rPr>
          <w:i/>
          <w:sz w:val="23"/>
          <w:szCs w:val="23"/>
        </w:rPr>
      </w:pPr>
      <w:r w:rsidRPr="003B28FD">
        <w:rPr>
          <w:rFonts w:hint="cs"/>
          <w:i/>
          <w:sz w:val="23"/>
          <w:szCs w:val="23"/>
          <w:rtl/>
        </w:rPr>
        <w:t>از روابط فوق می</w:t>
      </w:r>
      <w:r w:rsidRPr="003B28FD">
        <w:rPr>
          <w:i/>
          <w:sz w:val="23"/>
          <w:szCs w:val="23"/>
          <w:rtl/>
        </w:rPr>
        <w:softHyphen/>
      </w:r>
      <w:r w:rsidRPr="003B28FD">
        <w:rPr>
          <w:rFonts w:hint="cs"/>
          <w:i/>
          <w:sz w:val="23"/>
          <w:szCs w:val="23"/>
          <w:rtl/>
        </w:rPr>
        <w:t>توان نشان دادند</w:t>
      </w:r>
      <w:r w:rsidRPr="003B28FD">
        <w:rPr>
          <w:position w:val="-22"/>
        </w:rPr>
        <w:object w:dxaOrig="1040" w:dyaOrig="560" w14:anchorId="71D9E938">
          <v:shape id="_x0000_i3201" type="#_x0000_t75" style="width:52.05pt;height:27.85pt" o:ole="">
            <v:imagedata r:id="rId4386" o:title=""/>
          </v:shape>
          <o:OLEObject Type="Embed" ProgID="Equation.DSMT4" ShapeID="_x0000_i3201" DrawAspect="Content" ObjectID="_1791377145" r:id="rId4387"/>
        </w:object>
      </w:r>
      <w:r w:rsidRPr="003B28FD">
        <w:rPr>
          <w:rFonts w:eastAsiaTheme="minorEastAsia" w:hint="cs"/>
          <w:i/>
          <w:sz w:val="23"/>
          <w:szCs w:val="23"/>
          <w:rtl/>
        </w:rPr>
        <w:t xml:space="preserve"> که نسبت به</w:t>
      </w:r>
      <w:r w:rsidRPr="003B28FD">
        <w:rPr>
          <w:position w:val="-22"/>
        </w:rPr>
        <w:object w:dxaOrig="1120" w:dyaOrig="560" w14:anchorId="4FD508F2">
          <v:shape id="_x0000_i3202" type="#_x0000_t75" style="width:55.65pt;height:27.85pt" o:ole="">
            <v:imagedata r:id="rId4388" o:title=""/>
          </v:shape>
          <o:OLEObject Type="Embed" ProgID="Equation.DSMT4" ShapeID="_x0000_i3202" DrawAspect="Content" ObjectID="_1791377146" r:id="rId4389"/>
        </w:object>
      </w:r>
      <w:r w:rsidRPr="003B28FD">
        <w:rPr>
          <w:rFonts w:hint="cs"/>
          <w:i/>
          <w:sz w:val="23"/>
          <w:szCs w:val="23"/>
          <w:rtl/>
        </w:rPr>
        <w:t xml:space="preserve"> در رابطه</w:t>
      </w:r>
      <w:r w:rsidRPr="003B28FD">
        <w:rPr>
          <w:i/>
          <w:sz w:val="23"/>
          <w:szCs w:val="23"/>
          <w:rtl/>
        </w:rPr>
        <w:softHyphen/>
      </w:r>
      <w:r w:rsidRPr="003B28FD">
        <w:rPr>
          <w:rFonts w:hint="cs"/>
          <w:i/>
          <w:sz w:val="23"/>
          <w:szCs w:val="23"/>
          <w:rtl/>
        </w:rPr>
        <w:t>ی</w:t>
      </w:r>
      <w:r w:rsidRPr="003B28FD">
        <w:rPr>
          <w:i/>
          <w:sz w:val="23"/>
          <w:szCs w:val="23"/>
        </w:rPr>
        <w:t xml:space="preserve"> </w:t>
      </w:r>
      <w:r w:rsidRPr="003B28FD">
        <w:rPr>
          <w:rFonts w:hint="cs"/>
          <w:i/>
          <w:sz w:val="23"/>
          <w:szCs w:val="23"/>
          <w:rtl/>
        </w:rPr>
        <w:t>(۶. ۲۴) متفاوت است، مگر آن</w:t>
      </w:r>
      <w:r w:rsidRPr="003B28FD">
        <w:rPr>
          <w:i/>
          <w:sz w:val="23"/>
          <w:szCs w:val="23"/>
          <w:rtl/>
        </w:rPr>
        <w:softHyphen/>
      </w:r>
      <w:r w:rsidRPr="003B28FD">
        <w:rPr>
          <w:rFonts w:hint="cs"/>
          <w:i/>
          <w:sz w:val="23"/>
          <w:szCs w:val="23"/>
          <w:rtl/>
        </w:rPr>
        <w:t xml:space="preserve">که </w:t>
      </w:r>
      <w:r w:rsidRPr="003B28FD">
        <w:rPr>
          <w:position w:val="-6"/>
        </w:rPr>
        <w:object w:dxaOrig="600" w:dyaOrig="300" w14:anchorId="3AC512A4">
          <v:shape id="_x0000_i3203" type="#_x0000_t75" style="width:29.65pt;height:15.15pt" o:ole="">
            <v:imagedata r:id="rId4390" o:title=""/>
          </v:shape>
          <o:OLEObject Type="Embed" ProgID="Equation.DSMT4" ShapeID="_x0000_i3203" DrawAspect="Content" ObjectID="_1791377147" r:id="rId4391"/>
        </w:object>
      </w:r>
      <w:r w:rsidRPr="003B28FD">
        <w:rPr>
          <w:rFonts w:eastAsiaTheme="minorEastAsia" w:hint="cs"/>
          <w:i/>
          <w:sz w:val="23"/>
          <w:szCs w:val="23"/>
          <w:rtl/>
        </w:rPr>
        <w:t xml:space="preserve"> باشد. بنابراین نرخ مالیات بر دستمزدِ نیروی کارِ بهینه</w:t>
      </w:r>
      <w:r w:rsidRPr="003B28FD">
        <w:rPr>
          <w:rFonts w:eastAsiaTheme="minorEastAsia"/>
          <w:i/>
          <w:sz w:val="23"/>
          <w:szCs w:val="23"/>
          <w:rtl/>
        </w:rPr>
        <w:softHyphen/>
      </w:r>
      <w:r w:rsidRPr="003B28FD">
        <w:rPr>
          <w:rFonts w:eastAsiaTheme="minorEastAsia" w:hint="cs"/>
          <w:i/>
          <w:sz w:val="23"/>
          <w:szCs w:val="23"/>
          <w:rtl/>
        </w:rPr>
        <w:t xml:space="preserve"> برابر با صفر خواهد بود. یعنی علیرغم این</w:t>
      </w:r>
      <w:r w:rsidRPr="003B28FD">
        <w:rPr>
          <w:rFonts w:eastAsiaTheme="minorEastAsia"/>
          <w:i/>
          <w:sz w:val="23"/>
          <w:szCs w:val="23"/>
          <w:rtl/>
        </w:rPr>
        <w:softHyphen/>
      </w:r>
      <w:r w:rsidRPr="003B28FD">
        <w:rPr>
          <w:rFonts w:eastAsiaTheme="minorEastAsia" w:hint="cs"/>
          <w:i/>
          <w:sz w:val="23"/>
          <w:szCs w:val="23"/>
          <w:rtl/>
        </w:rPr>
        <w:t>که خانوار انتظار دارد در دوره</w:t>
      </w:r>
      <w:r w:rsidRPr="003B28FD">
        <w:rPr>
          <w:rFonts w:eastAsiaTheme="minorEastAsia"/>
          <w:i/>
          <w:sz w:val="23"/>
          <w:szCs w:val="23"/>
          <w:rtl/>
        </w:rPr>
        <w:softHyphen/>
      </w:r>
      <w:r w:rsidRPr="003B28FD">
        <w:rPr>
          <w:rFonts w:eastAsiaTheme="minorEastAsia" w:hint="cs"/>
          <w:i/>
          <w:sz w:val="23"/>
          <w:szCs w:val="23"/>
          <w:rtl/>
        </w:rPr>
        <w:t xml:space="preserve">ی بعد یعنی </w:t>
      </w:r>
      <w:r w:rsidRPr="003B28FD">
        <w:rPr>
          <w:position w:val="-6"/>
        </w:rPr>
        <w:object w:dxaOrig="440" w:dyaOrig="260" w14:anchorId="3568F88B">
          <v:shape id="_x0000_i3204" type="#_x0000_t75" style="width:21.8pt;height:13.3pt" o:ole="">
            <v:imagedata r:id="rId4392" o:title=""/>
          </v:shape>
          <o:OLEObject Type="Embed" ProgID="Equation.DSMT4" ShapeID="_x0000_i3204" DrawAspect="Content" ObjectID="_1791377148" r:id="rId4393"/>
        </w:object>
      </w:r>
      <w:r w:rsidRPr="003B28FD">
        <w:rPr>
          <w:rFonts w:eastAsiaTheme="minorEastAsia"/>
          <w:i/>
          <w:sz w:val="23"/>
          <w:szCs w:val="23"/>
          <w:rtl/>
        </w:rPr>
        <w:t xml:space="preserve"> </w:t>
      </w:r>
      <w:r w:rsidRPr="003B28FD">
        <w:rPr>
          <w:rFonts w:hint="cs"/>
          <w:i/>
          <w:sz w:val="23"/>
          <w:szCs w:val="23"/>
          <w:rtl/>
        </w:rPr>
        <w:t>بر دستمزدش مالیات وضع شود، اما بهتر است که این کار صورت نگرفته و اشتغال و تولید تشویق شود.</w:t>
      </w:r>
    </w:p>
    <w:p w14:paraId="2B8D46F3" w14:textId="77777777" w:rsidR="00411620" w:rsidRPr="003B28FD" w:rsidRDefault="00411620" w:rsidP="00411620">
      <w:pPr>
        <w:spacing w:line="216" w:lineRule="auto"/>
        <w:rPr>
          <w:i/>
          <w:sz w:val="23"/>
          <w:szCs w:val="23"/>
          <w:rtl/>
        </w:rPr>
      </w:pPr>
      <w:r w:rsidRPr="003B28FD">
        <w:rPr>
          <w:rFonts w:hint="cs"/>
          <w:i/>
          <w:sz w:val="23"/>
          <w:szCs w:val="23"/>
          <w:rtl/>
        </w:rPr>
        <w:t>نرخ بهینه</w:t>
      </w:r>
      <w:r w:rsidRPr="003B28FD">
        <w:rPr>
          <w:i/>
          <w:sz w:val="23"/>
          <w:szCs w:val="23"/>
          <w:rtl/>
        </w:rPr>
        <w:softHyphen/>
      </w:r>
      <w:r w:rsidRPr="003B28FD">
        <w:rPr>
          <w:rFonts w:hint="cs"/>
          <w:i/>
          <w:sz w:val="23"/>
          <w:szCs w:val="23"/>
          <w:rtl/>
        </w:rPr>
        <w:t>ی مالیات بر سرمایه باید قید بودجه</w:t>
      </w:r>
      <w:r w:rsidRPr="003B28FD">
        <w:rPr>
          <w:i/>
          <w:sz w:val="23"/>
          <w:szCs w:val="23"/>
          <w:rtl/>
        </w:rPr>
        <w:softHyphen/>
      </w:r>
      <w:r w:rsidRPr="003B28FD">
        <w:rPr>
          <w:rFonts w:hint="cs"/>
          <w:i/>
          <w:sz w:val="23"/>
          <w:szCs w:val="23"/>
          <w:rtl/>
        </w:rPr>
        <w:t>ی دولت را تضمین کند. از آن</w:t>
      </w:r>
      <w:r w:rsidRPr="003B28FD">
        <w:rPr>
          <w:i/>
          <w:sz w:val="23"/>
          <w:szCs w:val="23"/>
          <w:rtl/>
        </w:rPr>
        <w:softHyphen/>
      </w:r>
      <w:r w:rsidRPr="003B28FD">
        <w:rPr>
          <w:rFonts w:hint="cs"/>
          <w:i/>
          <w:sz w:val="23"/>
          <w:szCs w:val="23"/>
          <w:rtl/>
        </w:rPr>
        <w:t>جا که سطح بهینه</w:t>
      </w:r>
      <w:r w:rsidRPr="003B28FD">
        <w:rPr>
          <w:i/>
          <w:sz w:val="23"/>
          <w:szCs w:val="23"/>
          <w:rtl/>
        </w:rPr>
        <w:softHyphen/>
      </w:r>
      <w:r w:rsidRPr="003B28FD">
        <w:rPr>
          <w:rFonts w:hint="cs"/>
          <w:i/>
          <w:sz w:val="23"/>
          <w:szCs w:val="23"/>
          <w:rtl/>
        </w:rPr>
        <w:t>ی مخارج دولت همانند مالیات مقطوع است و برابر است با</w:t>
      </w:r>
    </w:p>
    <w:p w14:paraId="65E7A12E"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Pr>
      </w:pPr>
      <w:r w:rsidRPr="003B28FD">
        <w:rPr>
          <w:position w:val="-10"/>
        </w:rPr>
        <w:object w:dxaOrig="1020" w:dyaOrig="320" w14:anchorId="1713B39B">
          <v:shape id="_x0000_i3205" type="#_x0000_t75" style="width:51.45pt;height:16.35pt" o:ole="">
            <v:imagedata r:id="rId4394" o:title=""/>
          </v:shape>
          <o:OLEObject Type="Embed" ProgID="Equation.DSMT4" ShapeID="_x0000_i3205" DrawAspect="Content" ObjectID="_1791377149" r:id="rId4395"/>
        </w:object>
      </w:r>
    </w:p>
    <w:p w14:paraId="021F57CD" w14:textId="77777777" w:rsidR="00411620" w:rsidRPr="003B28FD" w:rsidRDefault="00411620" w:rsidP="00411620">
      <w:pPr>
        <w:spacing w:line="216" w:lineRule="auto"/>
        <w:rPr>
          <w:i/>
          <w:sz w:val="23"/>
          <w:szCs w:val="23"/>
          <w:rtl/>
        </w:rPr>
      </w:pPr>
      <w:r w:rsidRPr="003B28FD">
        <w:rPr>
          <w:rFonts w:hint="cs"/>
          <w:i/>
          <w:sz w:val="23"/>
          <w:szCs w:val="23"/>
          <w:rtl/>
        </w:rPr>
        <w:t>نرخ بازدهی سرمایه بعد از مالیات ناخالص برابر است با</w:t>
      </w:r>
    </w:p>
    <w:p w14:paraId="07781124" w14:textId="77777777" w:rsidR="00411620" w:rsidRPr="003B28FD" w:rsidRDefault="00411620" w:rsidP="00411620">
      <w:pPr>
        <w:pStyle w:val="MTDisplayEquation"/>
        <w:tabs>
          <w:tab w:val="clear" w:pos="6660"/>
        </w:tabs>
        <w:spacing w:line="216" w:lineRule="auto"/>
        <w:rPr>
          <w:rFonts w:ascii="Times New Roman" w:eastAsiaTheme="minorEastAsia" w:hAnsi="Times New Roman" w:cs="B Nazanin"/>
          <w:i/>
          <w:sz w:val="23"/>
          <w:szCs w:val="23"/>
          <w:rtl/>
        </w:rPr>
      </w:pPr>
      <w:r w:rsidRPr="003B28FD">
        <w:rPr>
          <w:position w:val="-26"/>
        </w:rPr>
        <w:object w:dxaOrig="2100" w:dyaOrig="980" w14:anchorId="69DE033E">
          <v:shape id="_x0000_i3206" type="#_x0000_t75" style="width:105.3pt;height:49pt" o:ole="">
            <v:imagedata r:id="rId4396" o:title=""/>
          </v:shape>
          <o:OLEObject Type="Embed" ProgID="Equation.DSMT4" ShapeID="_x0000_i3206" DrawAspect="Content" ObjectID="_1791377150" r:id="rId4397"/>
        </w:object>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Pr>
          <w:rFonts w:ascii="Times New Roman" w:hAnsi="Times New Roman"/>
          <w:i/>
          <w:sz w:val="23"/>
          <w:szCs w:val="23"/>
          <w:rtl/>
        </w:rPr>
        <w:tab/>
      </w:r>
      <w:r w:rsidRPr="003B28FD">
        <w:rPr>
          <w:rFonts w:ascii="Times New Roman" w:hAnsi="Times New Roman"/>
          <w:i/>
          <w:sz w:val="23"/>
          <w:szCs w:val="23"/>
        </w:rPr>
        <w:tab/>
      </w:r>
      <w:r w:rsidRPr="003B28FD">
        <w:rPr>
          <w:rFonts w:ascii="Times New Roman" w:hAnsi="Times New Roman" w:cs="B Nazanin"/>
          <w:i/>
          <w:sz w:val="23"/>
          <w:szCs w:val="23"/>
        </w:rPr>
        <w:tab/>
      </w:r>
      <w:r w:rsidRPr="003B28FD">
        <w:rPr>
          <w:rFonts w:ascii="Times New Roman" w:hAnsi="Times New Roman" w:cs="B Nazanin" w:hint="cs"/>
          <w:i/>
          <w:sz w:val="23"/>
          <w:szCs w:val="23"/>
          <w:rtl/>
        </w:rPr>
        <w:t>(۶. ۲۶)</w:t>
      </w:r>
    </w:p>
    <w:p w14:paraId="2436585D"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که نشان می</w:t>
      </w:r>
      <w:r w:rsidRPr="003B28FD">
        <w:rPr>
          <w:rFonts w:eastAsiaTheme="minorEastAsia"/>
          <w:i/>
          <w:sz w:val="23"/>
          <w:szCs w:val="23"/>
          <w:rtl/>
        </w:rPr>
        <w:softHyphen/>
      </w:r>
      <w:r w:rsidRPr="003B28FD">
        <w:rPr>
          <w:rFonts w:eastAsiaTheme="minorEastAsia" w:hint="cs"/>
          <w:i/>
          <w:sz w:val="23"/>
          <w:szCs w:val="23"/>
          <w:rtl/>
        </w:rPr>
        <w:t>دهد نرخ مالیات بر سرمایه برابر خواهد بود با</w:t>
      </w:r>
    </w:p>
    <w:p w14:paraId="53E8C0CA"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Pr>
      </w:pPr>
      <w:r w:rsidRPr="003B28FD">
        <w:rPr>
          <w:position w:val="-26"/>
        </w:rPr>
        <w:object w:dxaOrig="2180" w:dyaOrig="999" w14:anchorId="052F5BBC">
          <v:shape id="_x0000_i3207" type="#_x0000_t75" style="width:108.9pt;height:50.2pt" o:ole="">
            <v:imagedata r:id="rId4398" o:title=""/>
          </v:shape>
          <o:OLEObject Type="Embed" ProgID="Equation.DSMT4" ShapeID="_x0000_i3207" DrawAspect="Content" ObjectID="_1791377151" r:id="rId4399"/>
        </w:object>
      </w:r>
    </w:p>
    <w:p w14:paraId="2338EE3F"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با توجه به این</w:t>
      </w:r>
      <w:r w:rsidRPr="003B28FD">
        <w:rPr>
          <w:rFonts w:eastAsiaTheme="minorEastAsia"/>
          <w:i/>
          <w:sz w:val="23"/>
          <w:szCs w:val="23"/>
          <w:rtl/>
        </w:rPr>
        <w:softHyphen/>
      </w:r>
      <w:r w:rsidRPr="003B28FD">
        <w:rPr>
          <w:rFonts w:eastAsiaTheme="minorEastAsia" w:hint="cs"/>
          <w:i/>
          <w:sz w:val="23"/>
          <w:szCs w:val="23"/>
          <w:rtl/>
        </w:rPr>
        <w:t xml:space="preserve">که </w:t>
      </w:r>
      <w:r w:rsidRPr="003B28FD">
        <w:rPr>
          <w:position w:val="-6"/>
        </w:rPr>
        <w:object w:dxaOrig="1579" w:dyaOrig="300" w14:anchorId="04DEF898">
          <v:shape id="_x0000_i3208" type="#_x0000_t75" style="width:79.25pt;height:15.15pt" o:ole="">
            <v:imagedata r:id="rId4400" o:title=""/>
          </v:shape>
          <o:OLEObject Type="Embed" ProgID="Equation.DSMT4" ShapeID="_x0000_i3208" DrawAspect="Content" ObjectID="_1791377152" r:id="rId4401"/>
        </w:object>
      </w:r>
      <w:r w:rsidRPr="003B28FD">
        <w:rPr>
          <w:rFonts w:eastAsiaTheme="minorEastAsia" w:hint="cs"/>
          <w:i/>
          <w:sz w:val="23"/>
          <w:szCs w:val="23"/>
          <w:rtl/>
        </w:rPr>
        <w:t xml:space="preserve"> که ممکن است از طریق مالیات بر موجودی سرمایه و یا مالیات بر نرخ بازدهی سرمایه، یا در صورت لزوم جهت تضمین قید بودجه</w:t>
      </w:r>
      <w:r w:rsidRPr="003B28FD">
        <w:rPr>
          <w:rFonts w:eastAsiaTheme="minorEastAsia"/>
          <w:i/>
          <w:sz w:val="23"/>
          <w:szCs w:val="23"/>
          <w:rtl/>
        </w:rPr>
        <w:softHyphen/>
      </w:r>
      <w:r w:rsidRPr="003B28FD">
        <w:rPr>
          <w:rFonts w:eastAsiaTheme="minorEastAsia" w:hint="cs"/>
          <w:i/>
          <w:sz w:val="23"/>
          <w:szCs w:val="23"/>
          <w:rtl/>
        </w:rPr>
        <w:t>ی دولت در هر دو افزایش یابد. با این مالیات</w:t>
      </w:r>
      <w:r w:rsidRPr="003B28FD">
        <w:rPr>
          <w:rFonts w:eastAsiaTheme="minorEastAsia"/>
          <w:i/>
          <w:sz w:val="23"/>
          <w:szCs w:val="23"/>
          <w:rtl/>
        </w:rPr>
        <w:softHyphen/>
      </w:r>
      <w:r w:rsidRPr="003B28FD">
        <w:rPr>
          <w:rFonts w:eastAsiaTheme="minorEastAsia" w:hint="cs"/>
          <w:i/>
          <w:sz w:val="23"/>
          <w:szCs w:val="23"/>
          <w:rtl/>
        </w:rPr>
        <w:t xml:space="preserve">ها حل </w:t>
      </w:r>
      <w:r w:rsidRPr="003B28FD">
        <w:rPr>
          <w:position w:val="-10"/>
        </w:rPr>
        <w:object w:dxaOrig="340" w:dyaOrig="320" w14:anchorId="78F382A8">
          <v:shape id="_x0000_i3209" type="#_x0000_t75" style="width:16.95pt;height:16.35pt" o:ole="">
            <v:imagedata r:id="rId4402" o:title=""/>
          </v:shape>
          <o:OLEObject Type="Embed" ProgID="Equation.DSMT4" ShapeID="_x0000_i3209" DrawAspect="Content" ObjectID="_1791377153" r:id="rId4403"/>
        </w:object>
      </w:r>
      <w:r w:rsidRPr="003B28FD">
        <w:rPr>
          <w:rFonts w:eastAsiaTheme="minorEastAsia" w:hint="cs"/>
          <w:i/>
          <w:sz w:val="23"/>
          <w:szCs w:val="23"/>
          <w:rtl/>
        </w:rPr>
        <w:t xml:space="preserve"> برابر خواهد بود با</w:t>
      </w:r>
    </w:p>
    <w:p w14:paraId="5A18B569"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Pr>
      </w:pPr>
      <w:r w:rsidRPr="003B28FD">
        <w:rPr>
          <w:position w:val="-26"/>
        </w:rPr>
        <w:object w:dxaOrig="1440" w:dyaOrig="620" w14:anchorId="30E86403">
          <v:shape id="_x0000_i3210" type="#_x0000_t75" style="width:1in;height:30.85pt" o:ole="">
            <v:imagedata r:id="rId4404" o:title=""/>
          </v:shape>
          <o:OLEObject Type="Embed" ProgID="Equation.DSMT4" ShapeID="_x0000_i3210" DrawAspect="Content" ObjectID="_1791377154" r:id="rId4405"/>
        </w:object>
      </w:r>
    </w:p>
    <w:p w14:paraId="00F464C6"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براحتی می</w:t>
      </w:r>
      <w:r w:rsidRPr="003B28FD">
        <w:rPr>
          <w:rFonts w:eastAsiaTheme="minorEastAsia"/>
          <w:i/>
          <w:sz w:val="23"/>
          <w:szCs w:val="23"/>
          <w:rtl/>
        </w:rPr>
        <w:softHyphen/>
      </w:r>
      <w:r w:rsidRPr="003B28FD">
        <w:rPr>
          <w:rFonts w:eastAsiaTheme="minorEastAsia" w:hint="cs"/>
          <w:i/>
          <w:sz w:val="23"/>
          <w:szCs w:val="23"/>
          <w:rtl/>
        </w:rPr>
        <w:t>توان نشان داد که حل</w:t>
      </w:r>
      <w:r w:rsidRPr="003B28FD">
        <w:rPr>
          <w:position w:val="-10"/>
        </w:rPr>
        <w:object w:dxaOrig="200" w:dyaOrig="320" w14:anchorId="5E51A007">
          <v:shape id="_x0000_i3211" type="#_x0000_t75" style="width:10.3pt;height:16.35pt" o:ole="">
            <v:imagedata r:id="rId4406" o:title=""/>
          </v:shape>
          <o:OLEObject Type="Embed" ProgID="Equation.DSMT4" ShapeID="_x0000_i3211" DrawAspect="Content" ObjectID="_1791377155" r:id="rId4407"/>
        </w:object>
      </w:r>
      <w:r w:rsidRPr="003B28FD">
        <w:rPr>
          <w:rFonts w:eastAsiaTheme="minorEastAsia" w:hint="cs"/>
          <w:i/>
          <w:sz w:val="23"/>
          <w:szCs w:val="23"/>
          <w:rtl/>
        </w:rPr>
        <w:t xml:space="preserve"> همانند برنامه</w:t>
      </w:r>
      <w:r w:rsidRPr="003B28FD">
        <w:rPr>
          <w:rFonts w:eastAsiaTheme="minorEastAsia"/>
          <w:i/>
          <w:sz w:val="23"/>
          <w:szCs w:val="23"/>
          <w:rtl/>
        </w:rPr>
        <w:softHyphen/>
      </w:r>
      <w:r w:rsidRPr="003B28FD">
        <w:rPr>
          <w:rFonts w:eastAsiaTheme="minorEastAsia" w:hint="cs"/>
          <w:i/>
          <w:sz w:val="23"/>
          <w:szCs w:val="23"/>
          <w:rtl/>
        </w:rPr>
        <w:t>ریز متمرکز یعنی معادله</w:t>
      </w:r>
      <w:r w:rsidRPr="003B28FD">
        <w:rPr>
          <w:rFonts w:eastAsiaTheme="minorEastAsia"/>
          <w:i/>
          <w:sz w:val="23"/>
          <w:szCs w:val="23"/>
          <w:rtl/>
        </w:rPr>
        <w:softHyphen/>
      </w:r>
      <w:r w:rsidRPr="003B28FD">
        <w:rPr>
          <w:rFonts w:eastAsiaTheme="minorEastAsia" w:hint="cs"/>
          <w:i/>
          <w:sz w:val="23"/>
          <w:szCs w:val="23"/>
          <w:rtl/>
        </w:rPr>
        <w:t xml:space="preserve">ی </w:t>
      </w:r>
      <w:r w:rsidRPr="003B28FD">
        <w:rPr>
          <w:rFonts w:hint="cs"/>
          <w:i/>
          <w:sz w:val="23"/>
          <w:szCs w:val="23"/>
          <w:rtl/>
        </w:rPr>
        <w:t>(۶. ۱۹)</w:t>
      </w:r>
      <w:r w:rsidRPr="003B28FD">
        <w:rPr>
          <w:rFonts w:eastAsiaTheme="minorEastAsia" w:hint="cs"/>
          <w:i/>
          <w:sz w:val="23"/>
          <w:szCs w:val="23"/>
          <w:rtl/>
        </w:rPr>
        <w:t xml:space="preserve"> خواهد بود.</w:t>
      </w:r>
    </w:p>
    <w:p w14:paraId="3ACABB6C" w14:textId="77777777" w:rsidR="00411620" w:rsidRPr="003B28FD" w:rsidRDefault="00411620" w:rsidP="00411620">
      <w:pPr>
        <w:spacing w:line="216" w:lineRule="auto"/>
        <w:rPr>
          <w:i/>
          <w:sz w:val="23"/>
          <w:szCs w:val="23"/>
        </w:rPr>
      </w:pPr>
      <w:r w:rsidRPr="003B28FD">
        <w:rPr>
          <w:rFonts w:hint="cs"/>
          <w:i/>
          <w:sz w:val="23"/>
          <w:szCs w:val="23"/>
          <w:rtl/>
        </w:rPr>
        <w:t>نتیجه آن</w:t>
      </w:r>
      <w:r w:rsidRPr="003B28FD">
        <w:rPr>
          <w:i/>
          <w:sz w:val="23"/>
          <w:szCs w:val="23"/>
          <w:rtl/>
        </w:rPr>
        <w:softHyphen/>
      </w:r>
      <w:r w:rsidRPr="003B28FD">
        <w:rPr>
          <w:rFonts w:hint="cs"/>
          <w:i/>
          <w:sz w:val="23"/>
          <w:szCs w:val="23"/>
          <w:rtl/>
        </w:rPr>
        <w:t>که در اقتصاد غیرمتمرکز با مالیات بر سرمایه و نیروی کار، تجدید بهینه</w:t>
      </w:r>
      <w:r w:rsidRPr="003B28FD">
        <w:rPr>
          <w:i/>
          <w:sz w:val="23"/>
          <w:szCs w:val="23"/>
          <w:rtl/>
        </w:rPr>
        <w:softHyphen/>
      </w:r>
      <w:r w:rsidRPr="003B28FD">
        <w:rPr>
          <w:rFonts w:hint="cs"/>
          <w:i/>
          <w:sz w:val="23"/>
          <w:szCs w:val="23"/>
          <w:rtl/>
        </w:rPr>
        <w:t xml:space="preserve">یابی دولت در زمان </w:t>
      </w:r>
      <w:r w:rsidRPr="003B28FD">
        <w:rPr>
          <w:position w:val="-6"/>
        </w:rPr>
        <w:object w:dxaOrig="440" w:dyaOrig="260" w14:anchorId="7C751DAE">
          <v:shape id="_x0000_i3212" type="#_x0000_t75" style="width:21.8pt;height:13.3pt" o:ole="">
            <v:imagedata r:id="rId4408" o:title=""/>
          </v:shape>
          <o:OLEObject Type="Embed" ProgID="Equation.DSMT4" ShapeID="_x0000_i3212" DrawAspect="Content" ObjectID="_1791377156" r:id="rId4409"/>
        </w:object>
      </w:r>
      <w:r w:rsidRPr="003B28FD">
        <w:rPr>
          <w:rFonts w:hint="cs"/>
          <w:i/>
          <w:sz w:val="23"/>
          <w:szCs w:val="23"/>
          <w:rtl/>
        </w:rPr>
        <w:t xml:space="preserve"> منجر به حل زمان-ناسازگار خواهد شد و نتایج متفاوتی از تجدید بهینه</w:t>
      </w:r>
      <w:r w:rsidRPr="003B28FD">
        <w:rPr>
          <w:i/>
          <w:sz w:val="23"/>
          <w:szCs w:val="23"/>
          <w:rtl/>
        </w:rPr>
        <w:softHyphen/>
      </w:r>
      <w:r w:rsidRPr="003B28FD">
        <w:rPr>
          <w:rFonts w:hint="cs"/>
          <w:i/>
          <w:sz w:val="23"/>
          <w:szCs w:val="23"/>
          <w:rtl/>
        </w:rPr>
        <w:t>یابی خواهد داد. هر چند حل تجدید بهینه</w:t>
      </w:r>
      <w:r w:rsidRPr="003B28FD">
        <w:rPr>
          <w:i/>
          <w:sz w:val="23"/>
          <w:szCs w:val="23"/>
          <w:rtl/>
        </w:rPr>
        <w:softHyphen/>
      </w:r>
      <w:r w:rsidRPr="003B28FD">
        <w:rPr>
          <w:rFonts w:hint="cs"/>
          <w:i/>
          <w:sz w:val="23"/>
          <w:szCs w:val="23"/>
          <w:rtl/>
        </w:rPr>
        <w:t>یابی زمان-ناسازگار همانند حل برنامه</w:t>
      </w:r>
      <w:r w:rsidRPr="003B28FD">
        <w:rPr>
          <w:i/>
          <w:sz w:val="23"/>
          <w:szCs w:val="23"/>
          <w:rtl/>
        </w:rPr>
        <w:softHyphen/>
      </w:r>
      <w:r w:rsidRPr="003B28FD">
        <w:rPr>
          <w:rFonts w:hint="cs"/>
          <w:i/>
          <w:sz w:val="23"/>
          <w:szCs w:val="23"/>
          <w:rtl/>
        </w:rPr>
        <w:t>ریز متمرکز خواهد بود. زیرا تفاوت مالیات بر سرمایه در زمان</w:t>
      </w:r>
      <w:r w:rsidRPr="003B28FD">
        <w:rPr>
          <w:position w:val="-6"/>
        </w:rPr>
        <w:object w:dxaOrig="440" w:dyaOrig="260" w14:anchorId="3400A70E">
          <v:shape id="_x0000_i3213" type="#_x0000_t75" style="width:21.8pt;height:13.3pt" o:ole="">
            <v:imagedata r:id="rId4410" o:title=""/>
          </v:shape>
          <o:OLEObject Type="Embed" ProgID="Equation.DSMT4" ShapeID="_x0000_i3213" DrawAspect="Content" ObjectID="_1791377157" r:id="rId4411"/>
        </w:object>
      </w:r>
      <w:r w:rsidRPr="003B28FD">
        <w:rPr>
          <w:rFonts w:hint="cs"/>
          <w:i/>
          <w:sz w:val="23"/>
          <w:szCs w:val="23"/>
          <w:rtl/>
        </w:rPr>
        <w:t xml:space="preserve"> از آنچه توسط بخش خصوصی در زمان</w:t>
      </w:r>
      <w:r w:rsidRPr="003B28FD">
        <w:rPr>
          <w:position w:val="-6"/>
        </w:rPr>
        <w:object w:dxaOrig="139" w:dyaOrig="240" w14:anchorId="18158DE5">
          <v:shape id="_x0000_i3214" type="#_x0000_t75" style="width:7.25pt;height:12.1pt" o:ole="">
            <v:imagedata r:id="rId4412" o:title=""/>
          </v:shape>
          <o:OLEObject Type="Embed" ProgID="Equation.DSMT4" ShapeID="_x0000_i3214" DrawAspect="Content" ObjectID="_1791377158" r:id="rId4413"/>
        </w:object>
      </w:r>
      <w:r w:rsidRPr="003B28FD">
        <w:rPr>
          <w:rFonts w:hint="cs"/>
          <w:i/>
          <w:sz w:val="23"/>
          <w:szCs w:val="23"/>
          <w:rtl/>
        </w:rPr>
        <w:t xml:space="preserve"> پیش</w:t>
      </w:r>
      <w:r w:rsidRPr="003B28FD">
        <w:rPr>
          <w:i/>
          <w:sz w:val="23"/>
          <w:szCs w:val="23"/>
          <w:rtl/>
        </w:rPr>
        <w:softHyphen/>
      </w:r>
      <w:r w:rsidRPr="003B28FD">
        <w:rPr>
          <w:rFonts w:hint="cs"/>
          <w:i/>
          <w:sz w:val="23"/>
          <w:szCs w:val="23"/>
          <w:rtl/>
        </w:rPr>
        <w:t>بینی شده بود معادل است با استفاده از مالیات مقطوع در زمان</w:t>
      </w:r>
      <w:r w:rsidRPr="003B28FD">
        <w:rPr>
          <w:position w:val="-6"/>
        </w:rPr>
        <w:object w:dxaOrig="139" w:dyaOrig="240" w14:anchorId="0DF13A73">
          <v:shape id="_x0000_i3215" type="#_x0000_t75" style="width:7.25pt;height:12.1pt" o:ole="">
            <v:imagedata r:id="rId4414" o:title=""/>
          </v:shape>
          <o:OLEObject Type="Embed" ProgID="Equation.DSMT4" ShapeID="_x0000_i3215" DrawAspect="Content" ObjectID="_1791377159" r:id="rId4415"/>
        </w:object>
      </w:r>
      <w:r w:rsidRPr="003B28FD">
        <w:rPr>
          <w:i/>
          <w:sz w:val="23"/>
          <w:szCs w:val="23"/>
        </w:rPr>
        <w:t>.</w:t>
      </w:r>
      <w:r w:rsidRPr="003B28FD">
        <w:rPr>
          <w:rFonts w:hint="cs"/>
          <w:i/>
          <w:sz w:val="23"/>
          <w:szCs w:val="23"/>
          <w:rtl/>
        </w:rPr>
        <w:t xml:space="preserve"> </w:t>
      </w:r>
    </w:p>
    <w:p w14:paraId="0E85009F" w14:textId="77777777" w:rsidR="00411620" w:rsidRPr="003B28FD" w:rsidRDefault="00411620" w:rsidP="00411620">
      <w:pPr>
        <w:spacing w:line="216" w:lineRule="auto"/>
        <w:rPr>
          <w:i/>
          <w:sz w:val="23"/>
          <w:szCs w:val="23"/>
        </w:rPr>
      </w:pPr>
    </w:p>
    <w:p w14:paraId="1F757F4C" w14:textId="77777777" w:rsidR="00411620" w:rsidRPr="003B28FD" w:rsidRDefault="00411620" w:rsidP="00411620">
      <w:pPr>
        <w:spacing w:line="216" w:lineRule="auto"/>
        <w:rPr>
          <w:bCs/>
          <w:i/>
          <w:sz w:val="23"/>
          <w:szCs w:val="23"/>
          <w:rtl/>
        </w:rPr>
      </w:pPr>
      <w:r w:rsidRPr="003B28FD">
        <w:rPr>
          <w:rFonts w:hint="cs"/>
          <w:bCs/>
          <w:i/>
          <w:sz w:val="23"/>
          <w:szCs w:val="23"/>
          <w:rtl/>
        </w:rPr>
        <w:t>ج: راه حل زمان سازگار</w:t>
      </w:r>
    </w:p>
    <w:p w14:paraId="79A14E8A" w14:textId="77777777" w:rsidR="00411620" w:rsidRPr="003B28FD" w:rsidRDefault="00411620" w:rsidP="00411620">
      <w:pPr>
        <w:spacing w:line="216" w:lineRule="auto"/>
        <w:rPr>
          <w:i/>
          <w:sz w:val="23"/>
          <w:szCs w:val="23"/>
          <w:rtl/>
        </w:rPr>
      </w:pPr>
      <w:r w:rsidRPr="003B28FD">
        <w:rPr>
          <w:rFonts w:hint="cs"/>
          <w:i/>
          <w:sz w:val="23"/>
          <w:szCs w:val="23"/>
          <w:rtl/>
        </w:rPr>
        <w:t>ممکن است یک راه حل بهینه برای اقتصاد غیرمتمرکز را با وجود مالیات اختلال</w:t>
      </w:r>
      <w:r w:rsidRPr="003B28FD">
        <w:rPr>
          <w:i/>
          <w:sz w:val="23"/>
          <w:szCs w:val="23"/>
          <w:rtl/>
        </w:rPr>
        <w:softHyphen/>
      </w:r>
      <w:r w:rsidRPr="003B28FD">
        <w:rPr>
          <w:rFonts w:hint="cs"/>
          <w:i/>
          <w:sz w:val="23"/>
          <w:szCs w:val="23"/>
          <w:rtl/>
        </w:rPr>
        <w:t>زا بدست آورد که در آن دولت نخواهد در دوره</w:t>
      </w:r>
      <w:r w:rsidRPr="003B28FD">
        <w:rPr>
          <w:i/>
          <w:sz w:val="23"/>
          <w:szCs w:val="23"/>
          <w:rtl/>
        </w:rPr>
        <w:softHyphen/>
      </w:r>
      <w:r w:rsidRPr="003B28FD">
        <w:rPr>
          <w:rFonts w:hint="cs"/>
          <w:i/>
          <w:sz w:val="23"/>
          <w:szCs w:val="23"/>
          <w:rtl/>
        </w:rPr>
        <w:t>ی</w:t>
      </w:r>
      <w:r w:rsidRPr="003B28FD">
        <w:rPr>
          <w:position w:val="-6"/>
        </w:rPr>
        <w:object w:dxaOrig="440" w:dyaOrig="260" w14:anchorId="7A5C005A">
          <v:shape id="_x0000_i3216" type="#_x0000_t75" style="width:21.8pt;height:13.3pt" o:ole="">
            <v:imagedata r:id="rId4416" o:title=""/>
          </v:shape>
          <o:OLEObject Type="Embed" ProgID="Equation.DSMT4" ShapeID="_x0000_i3216" DrawAspect="Content" ObjectID="_1791377160" r:id="rId4417"/>
        </w:object>
      </w:r>
      <w:r w:rsidRPr="003B28FD">
        <w:rPr>
          <w:i/>
          <w:sz w:val="23"/>
          <w:szCs w:val="23"/>
        </w:rPr>
        <w:t xml:space="preserve"> </w:t>
      </w:r>
      <w:r w:rsidRPr="003B28FD">
        <w:rPr>
          <w:rFonts w:hint="cs"/>
          <w:i/>
          <w:sz w:val="23"/>
          <w:szCs w:val="23"/>
          <w:rtl/>
        </w:rPr>
        <w:t>سیاست خود را تعدیل کند. در این صورت سیاست اقتصادی را زمان-سازگار نامند. این نتایج از اصل بهینه</w:t>
      </w:r>
      <w:r w:rsidRPr="003B28FD">
        <w:rPr>
          <w:i/>
          <w:sz w:val="23"/>
          <w:szCs w:val="23"/>
          <w:rtl/>
        </w:rPr>
        <w:softHyphen/>
      </w:r>
      <w:r w:rsidRPr="003B28FD">
        <w:rPr>
          <w:rFonts w:hint="cs"/>
          <w:i/>
          <w:sz w:val="23"/>
          <w:szCs w:val="23"/>
          <w:rtl/>
        </w:rPr>
        <w:t>یابی برنامه</w:t>
      </w:r>
      <w:r w:rsidRPr="003B28FD">
        <w:rPr>
          <w:i/>
          <w:sz w:val="23"/>
          <w:szCs w:val="23"/>
          <w:rtl/>
        </w:rPr>
        <w:softHyphen/>
      </w:r>
      <w:r w:rsidRPr="003B28FD">
        <w:rPr>
          <w:rFonts w:hint="cs"/>
          <w:i/>
          <w:sz w:val="23"/>
          <w:szCs w:val="23"/>
          <w:rtl/>
        </w:rPr>
        <w:t>ریزی پویا بدست می</w:t>
      </w:r>
      <w:r w:rsidRPr="003B28FD">
        <w:rPr>
          <w:i/>
          <w:sz w:val="23"/>
          <w:szCs w:val="23"/>
          <w:rtl/>
        </w:rPr>
        <w:softHyphen/>
      </w:r>
      <w:r w:rsidRPr="003B28FD">
        <w:rPr>
          <w:rFonts w:hint="cs"/>
          <w:i/>
          <w:sz w:val="23"/>
          <w:szCs w:val="23"/>
          <w:rtl/>
        </w:rPr>
        <w:t>آید. در برنامه</w:t>
      </w:r>
      <w:r w:rsidRPr="003B28FD">
        <w:rPr>
          <w:i/>
          <w:sz w:val="23"/>
          <w:szCs w:val="23"/>
          <w:rtl/>
        </w:rPr>
        <w:softHyphen/>
      </w:r>
      <w:r w:rsidRPr="003B28FD">
        <w:rPr>
          <w:rFonts w:hint="cs"/>
          <w:i/>
          <w:sz w:val="23"/>
          <w:szCs w:val="23"/>
          <w:rtl/>
        </w:rPr>
        <w:t>ریزی پویا ضابطه</w:t>
      </w:r>
      <w:r w:rsidRPr="003B28FD">
        <w:rPr>
          <w:i/>
          <w:sz w:val="23"/>
          <w:szCs w:val="23"/>
          <w:rtl/>
        </w:rPr>
        <w:softHyphen/>
      </w:r>
      <w:r w:rsidRPr="003B28FD">
        <w:rPr>
          <w:rFonts w:hint="cs"/>
          <w:i/>
          <w:sz w:val="23"/>
          <w:szCs w:val="23"/>
          <w:rtl/>
        </w:rPr>
        <w:t>ی حل کامل دو دوره</w:t>
      </w:r>
      <w:r w:rsidRPr="003B28FD">
        <w:rPr>
          <w:i/>
          <w:sz w:val="23"/>
          <w:szCs w:val="23"/>
          <w:rtl/>
        </w:rPr>
        <w:softHyphen/>
      </w:r>
      <w:r w:rsidRPr="003B28FD">
        <w:rPr>
          <w:rFonts w:hint="cs"/>
          <w:i/>
          <w:sz w:val="23"/>
          <w:szCs w:val="23"/>
          <w:rtl/>
        </w:rPr>
        <w:t>ای نقض خواهد شد. ابتدا در دوره</w:t>
      </w:r>
      <w:r w:rsidRPr="003B28FD">
        <w:rPr>
          <w:i/>
          <w:sz w:val="23"/>
          <w:szCs w:val="23"/>
          <w:rtl/>
        </w:rPr>
        <w:softHyphen/>
      </w:r>
      <w:r w:rsidRPr="003B28FD">
        <w:rPr>
          <w:rFonts w:hint="cs"/>
          <w:i/>
          <w:sz w:val="23"/>
          <w:szCs w:val="23"/>
          <w:rtl/>
        </w:rPr>
        <w:t xml:space="preserve">ی </w:t>
      </w:r>
      <w:r w:rsidRPr="003B28FD">
        <w:rPr>
          <w:position w:val="-6"/>
        </w:rPr>
        <w:object w:dxaOrig="440" w:dyaOrig="260" w14:anchorId="36866DD7">
          <v:shape id="_x0000_i3217" type="#_x0000_t75" style="width:21.8pt;height:13.3pt" o:ole="">
            <v:imagedata r:id="rId4418" o:title=""/>
          </v:shape>
          <o:OLEObject Type="Embed" ProgID="Equation.DSMT4" ShapeID="_x0000_i3217" DrawAspect="Content" ObjectID="_1791377161" r:id="rId4419"/>
        </w:object>
      </w:r>
      <w:r w:rsidRPr="003B28FD">
        <w:rPr>
          <w:rFonts w:hint="cs"/>
          <w:i/>
          <w:sz w:val="23"/>
          <w:szCs w:val="23"/>
          <w:rtl/>
        </w:rPr>
        <w:t xml:space="preserve"> با </w:t>
      </w:r>
      <w:r w:rsidRPr="003B28FD">
        <w:rPr>
          <w:position w:val="-10"/>
        </w:rPr>
        <w:object w:dxaOrig="360" w:dyaOrig="320" w14:anchorId="5E308F5F">
          <v:shape id="_x0000_i3218" type="#_x0000_t75" style="width:18.15pt;height:16.35pt" o:ole="">
            <v:imagedata r:id="rId4420" o:title=""/>
          </v:shape>
          <o:OLEObject Type="Embed" ProgID="Equation.DSMT4" ShapeID="_x0000_i3218" DrawAspect="Content" ObjectID="_1791377162" r:id="rId4421"/>
        </w:object>
      </w:r>
      <w:r w:rsidRPr="003B28FD">
        <w:rPr>
          <w:rFonts w:eastAsiaTheme="minorEastAsia" w:hint="cs"/>
          <w:i/>
          <w:sz w:val="23"/>
          <w:szCs w:val="23"/>
          <w:rtl/>
        </w:rPr>
        <w:t xml:space="preserve"> داده شده تصمیمات بخش خصوصی و دولت بهینه خواهند شد. این نتیجه همانند راه حلی است که در بالا بدست آمد و مبتنی بر تجدید بهینه</w:t>
      </w:r>
      <w:r w:rsidRPr="003B28FD">
        <w:rPr>
          <w:rFonts w:eastAsiaTheme="minorEastAsia"/>
          <w:i/>
          <w:sz w:val="23"/>
          <w:szCs w:val="23"/>
          <w:rtl/>
        </w:rPr>
        <w:softHyphen/>
      </w:r>
      <w:r w:rsidRPr="003B28FD">
        <w:rPr>
          <w:rFonts w:eastAsiaTheme="minorEastAsia" w:hint="cs"/>
          <w:i/>
          <w:sz w:val="23"/>
          <w:szCs w:val="23"/>
          <w:rtl/>
        </w:rPr>
        <w:t>یابی در دوره</w:t>
      </w:r>
      <w:r w:rsidRPr="003B28FD">
        <w:rPr>
          <w:rFonts w:eastAsiaTheme="minorEastAsia"/>
          <w:i/>
          <w:sz w:val="23"/>
          <w:szCs w:val="23"/>
          <w:rtl/>
        </w:rPr>
        <w:softHyphen/>
      </w:r>
      <w:r w:rsidRPr="003B28FD">
        <w:rPr>
          <w:rFonts w:eastAsiaTheme="minorEastAsia" w:hint="cs"/>
          <w:i/>
          <w:sz w:val="23"/>
          <w:szCs w:val="23"/>
          <w:rtl/>
        </w:rPr>
        <w:t xml:space="preserve">ی </w:t>
      </w:r>
      <w:r w:rsidRPr="003B28FD">
        <w:rPr>
          <w:position w:val="-6"/>
        </w:rPr>
        <w:object w:dxaOrig="440" w:dyaOrig="260" w14:anchorId="07F9072E">
          <v:shape id="_x0000_i3219" type="#_x0000_t75" style="width:21.8pt;height:13.3pt" o:ole="">
            <v:imagedata r:id="rId4422" o:title=""/>
          </v:shape>
          <o:OLEObject Type="Embed" ProgID="Equation.DSMT4" ShapeID="_x0000_i3219" DrawAspect="Content" ObjectID="_1791377163" r:id="rId4423"/>
        </w:object>
      </w:r>
      <w:r w:rsidRPr="003B28FD">
        <w:rPr>
          <w:rFonts w:hint="cs"/>
          <w:i/>
          <w:sz w:val="23"/>
          <w:szCs w:val="23"/>
          <w:rtl/>
        </w:rPr>
        <w:t xml:space="preserve"> </w:t>
      </w:r>
      <w:r w:rsidRPr="003B28FD">
        <w:rPr>
          <w:rFonts w:eastAsiaTheme="minorEastAsia" w:hint="cs"/>
          <w:i/>
          <w:sz w:val="23"/>
          <w:szCs w:val="23"/>
          <w:rtl/>
        </w:rPr>
        <w:t>است. با فرض این</w:t>
      </w:r>
      <w:r w:rsidRPr="003B28FD">
        <w:rPr>
          <w:rFonts w:eastAsiaTheme="minorEastAsia"/>
          <w:i/>
          <w:sz w:val="23"/>
          <w:szCs w:val="23"/>
          <w:rtl/>
        </w:rPr>
        <w:softHyphen/>
      </w:r>
      <w:r w:rsidRPr="003B28FD">
        <w:rPr>
          <w:rFonts w:eastAsiaTheme="minorEastAsia" w:hint="cs"/>
          <w:i/>
          <w:sz w:val="23"/>
          <w:szCs w:val="23"/>
          <w:rtl/>
        </w:rPr>
        <w:t>که در راه حل فوق مقادیر</w:t>
      </w:r>
      <w:r w:rsidRPr="003B28FD">
        <w:rPr>
          <w:position w:val="-6"/>
        </w:rPr>
        <w:object w:dxaOrig="279" w:dyaOrig="300" w14:anchorId="7795371D">
          <v:shape id="_x0000_i3220" type="#_x0000_t75" style="width:13.9pt;height:15.15pt" o:ole="">
            <v:imagedata r:id="rId4424" o:title=""/>
          </v:shape>
          <o:OLEObject Type="Embed" ProgID="Equation.DSMT4" ShapeID="_x0000_i3220" DrawAspect="Content" ObjectID="_1791377164" r:id="rId4425"/>
        </w:object>
      </w:r>
      <w:r w:rsidRPr="003B28FD">
        <w:rPr>
          <w:rFonts w:eastAsiaTheme="minorEastAsia" w:hint="cs"/>
          <w:i/>
          <w:sz w:val="23"/>
          <w:szCs w:val="23"/>
          <w:rtl/>
        </w:rPr>
        <w:t>،</w:t>
      </w:r>
      <w:r w:rsidRPr="003B28FD">
        <w:rPr>
          <w:position w:val="-6"/>
        </w:rPr>
        <w:object w:dxaOrig="300" w:dyaOrig="300" w14:anchorId="327057B6">
          <v:shape id="_x0000_i3221" type="#_x0000_t75" style="width:15.15pt;height:15.15pt" o:ole="">
            <v:imagedata r:id="rId4426" o:title=""/>
          </v:shape>
          <o:OLEObject Type="Embed" ProgID="Equation.DSMT4" ShapeID="_x0000_i3221" DrawAspect="Content" ObjectID="_1791377165" r:id="rId4427"/>
        </w:object>
      </w:r>
      <w:r w:rsidRPr="003B28FD">
        <w:rPr>
          <w:rFonts w:eastAsiaTheme="minorEastAsia" w:hint="cs"/>
          <w:i/>
          <w:sz w:val="23"/>
          <w:szCs w:val="23"/>
          <w:rtl/>
        </w:rPr>
        <w:t xml:space="preserve"> و</w:t>
      </w:r>
      <w:r w:rsidRPr="003B28FD">
        <w:rPr>
          <w:position w:val="-10"/>
        </w:rPr>
        <w:object w:dxaOrig="380" w:dyaOrig="320" w14:anchorId="1AE1A47B">
          <v:shape id="_x0000_i3222" type="#_x0000_t75" style="width:18.75pt;height:16.35pt" o:ole="">
            <v:imagedata r:id="rId4428" o:title=""/>
          </v:shape>
          <o:OLEObject Type="Embed" ProgID="Equation.DSMT4" ShapeID="_x0000_i3222" DrawAspect="Content" ObjectID="_1791377166" r:id="rId4429"/>
        </w:object>
      </w:r>
      <w:r w:rsidRPr="003B28FD">
        <w:rPr>
          <w:rFonts w:eastAsiaTheme="minorEastAsia" w:hint="cs"/>
          <w:i/>
          <w:sz w:val="23"/>
          <w:szCs w:val="23"/>
          <w:rtl/>
        </w:rPr>
        <w:t xml:space="preserve"> داده شده است، بخش خصوصی مطلوبیت بین‌دوره</w:t>
      </w:r>
      <w:r w:rsidRPr="003B28FD">
        <w:rPr>
          <w:rFonts w:eastAsiaTheme="minorEastAsia"/>
          <w:i/>
          <w:sz w:val="23"/>
          <w:szCs w:val="23"/>
          <w:rtl/>
        </w:rPr>
        <w:softHyphen/>
      </w:r>
      <w:r w:rsidRPr="003B28FD">
        <w:rPr>
          <w:rFonts w:eastAsiaTheme="minorEastAsia" w:hint="cs"/>
          <w:i/>
          <w:sz w:val="23"/>
          <w:szCs w:val="23"/>
          <w:rtl/>
        </w:rPr>
        <w:t>ای خود را بوسیله</w:t>
      </w:r>
      <w:r w:rsidRPr="003B28FD">
        <w:rPr>
          <w:rFonts w:eastAsiaTheme="minorEastAsia"/>
          <w:i/>
          <w:sz w:val="23"/>
          <w:szCs w:val="23"/>
          <w:rtl/>
        </w:rPr>
        <w:softHyphen/>
      </w:r>
      <w:r w:rsidRPr="003B28FD">
        <w:rPr>
          <w:rFonts w:eastAsiaTheme="minorEastAsia" w:hint="cs"/>
          <w:i/>
          <w:sz w:val="23"/>
          <w:szCs w:val="23"/>
          <w:rtl/>
        </w:rPr>
        <w:t>ی انتخاب</w:t>
      </w:r>
      <w:r w:rsidRPr="003B28FD">
        <w:rPr>
          <w:position w:val="-10"/>
        </w:rPr>
        <w:object w:dxaOrig="360" w:dyaOrig="320" w14:anchorId="5D6FC179">
          <v:shape id="_x0000_i3223" type="#_x0000_t75" style="width:18.15pt;height:16.35pt" o:ole="">
            <v:imagedata r:id="rId4430" o:title=""/>
          </v:shape>
          <o:OLEObject Type="Embed" ProgID="Equation.DSMT4" ShapeID="_x0000_i3223" DrawAspect="Content" ObjectID="_1791377167" r:id="rId4431"/>
        </w:object>
      </w:r>
      <w:r w:rsidRPr="003B28FD">
        <w:rPr>
          <w:rFonts w:eastAsiaTheme="minorEastAsia" w:hint="cs"/>
          <w:i/>
          <w:sz w:val="23"/>
          <w:szCs w:val="23"/>
          <w:rtl/>
        </w:rPr>
        <w:t xml:space="preserve"> و برای دو دوره بهینه خواهد کرد. در این</w:t>
      </w:r>
      <w:r w:rsidRPr="003B28FD">
        <w:rPr>
          <w:rFonts w:eastAsiaTheme="minorEastAsia"/>
          <w:i/>
          <w:sz w:val="23"/>
          <w:szCs w:val="23"/>
          <w:rtl/>
        </w:rPr>
        <w:softHyphen/>
      </w:r>
      <w:r w:rsidRPr="003B28FD">
        <w:rPr>
          <w:rFonts w:eastAsiaTheme="minorEastAsia" w:hint="cs"/>
          <w:i/>
          <w:sz w:val="23"/>
          <w:szCs w:val="23"/>
          <w:rtl/>
        </w:rPr>
        <w:t>صورت راه حل کامل را خواهیم داشت.</w:t>
      </w:r>
    </w:p>
    <w:p w14:paraId="3C4EEC5C"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تابع مطلوبیت بین‌دوره</w:t>
      </w:r>
      <w:r w:rsidRPr="003B28FD">
        <w:rPr>
          <w:rFonts w:eastAsiaTheme="minorEastAsia"/>
          <w:i/>
          <w:sz w:val="23"/>
          <w:szCs w:val="23"/>
          <w:rtl/>
        </w:rPr>
        <w:softHyphen/>
      </w:r>
      <w:r w:rsidRPr="003B28FD">
        <w:rPr>
          <w:rFonts w:eastAsiaTheme="minorEastAsia" w:hint="cs"/>
          <w:i/>
          <w:sz w:val="23"/>
          <w:szCs w:val="23"/>
          <w:rtl/>
        </w:rPr>
        <w:t>ای که برای دوره</w:t>
      </w:r>
      <w:r w:rsidRPr="003B28FD">
        <w:rPr>
          <w:rFonts w:eastAsiaTheme="minorEastAsia"/>
          <w:i/>
          <w:sz w:val="23"/>
          <w:szCs w:val="23"/>
          <w:rtl/>
        </w:rPr>
        <w:softHyphen/>
      </w:r>
      <w:r w:rsidRPr="003B28FD">
        <w:rPr>
          <w:rFonts w:eastAsiaTheme="minorEastAsia" w:hint="cs"/>
          <w:i/>
          <w:sz w:val="23"/>
          <w:szCs w:val="23"/>
          <w:rtl/>
        </w:rPr>
        <w:t>ی</w:t>
      </w:r>
      <w:r w:rsidRPr="003B28FD">
        <w:rPr>
          <w:position w:val="-6"/>
        </w:rPr>
        <w:object w:dxaOrig="139" w:dyaOrig="240" w14:anchorId="235E210A">
          <v:shape id="_x0000_i3224" type="#_x0000_t75" style="width:7.25pt;height:12.1pt" o:ole="">
            <v:imagedata r:id="rId4432" o:title=""/>
          </v:shape>
          <o:OLEObject Type="Embed" ProgID="Equation.DSMT4" ShapeID="_x0000_i3224" DrawAspect="Content" ObjectID="_1791377168" r:id="rId4433"/>
        </w:object>
      </w:r>
      <w:r w:rsidRPr="003B28FD">
        <w:rPr>
          <w:rFonts w:eastAsiaTheme="minorEastAsia" w:hint="cs"/>
          <w:i/>
          <w:sz w:val="23"/>
          <w:szCs w:val="23"/>
          <w:rtl/>
        </w:rPr>
        <w:t xml:space="preserve"> حداکثر می</w:t>
      </w:r>
      <w:r w:rsidRPr="003B28FD">
        <w:rPr>
          <w:rFonts w:eastAsiaTheme="minorEastAsia"/>
          <w:i/>
          <w:sz w:val="23"/>
          <w:szCs w:val="23"/>
          <w:rtl/>
        </w:rPr>
        <w:softHyphen/>
      </w:r>
      <w:r w:rsidRPr="003B28FD">
        <w:rPr>
          <w:rFonts w:eastAsiaTheme="minorEastAsia" w:hint="cs"/>
          <w:i/>
          <w:sz w:val="23"/>
          <w:szCs w:val="23"/>
          <w:rtl/>
        </w:rPr>
        <w:t>شود برابر است با</w:t>
      </w:r>
    </w:p>
    <w:p w14:paraId="3ACE5260" w14:textId="77777777" w:rsidR="00411620" w:rsidRPr="003B28FD" w:rsidRDefault="00411620" w:rsidP="00411620">
      <w:pPr>
        <w:spacing w:line="216" w:lineRule="auto"/>
        <w:jc w:val="right"/>
        <w:rPr>
          <w:i/>
          <w:sz w:val="23"/>
          <w:szCs w:val="23"/>
          <w:rtl/>
        </w:rPr>
      </w:pPr>
      <w:r w:rsidRPr="003B28FD">
        <w:rPr>
          <w:position w:val="-12"/>
        </w:rPr>
        <w:object w:dxaOrig="4180" w:dyaOrig="360" w14:anchorId="6D264D8E">
          <v:shape id="_x0000_i3225" type="#_x0000_t75" style="width:208.75pt;height:18.15pt" o:ole="">
            <v:imagedata r:id="rId4434" o:title=""/>
          </v:shape>
          <o:OLEObject Type="Embed" ProgID="Equation.DSMT4" ShapeID="_x0000_i3225" DrawAspect="Content" ObjectID="_1791377169" r:id="rId4435"/>
        </w:object>
      </w:r>
      <w:r w:rsidRPr="003B28FD">
        <w:rPr>
          <w:rFonts w:eastAsiaTheme="minorEastAsia" w:hint="cs"/>
          <w:i/>
          <w:sz w:val="23"/>
          <w:szCs w:val="23"/>
          <w:rtl/>
        </w:rPr>
        <w:t xml:space="preserve"> </w:t>
      </w:r>
    </w:p>
    <w:p w14:paraId="183AF542" w14:textId="77777777" w:rsidR="00411620" w:rsidRPr="003B28FD" w:rsidRDefault="00411620" w:rsidP="00411620">
      <w:pPr>
        <w:spacing w:line="216" w:lineRule="auto"/>
        <w:rPr>
          <w:rFonts w:eastAsiaTheme="minorEastAsia"/>
          <w:i/>
          <w:sz w:val="23"/>
          <w:szCs w:val="23"/>
          <w:rtl/>
        </w:rPr>
      </w:pPr>
      <w:r w:rsidRPr="003B28FD">
        <w:rPr>
          <w:rFonts w:hint="cs"/>
          <w:i/>
          <w:sz w:val="23"/>
          <w:szCs w:val="23"/>
          <w:rtl/>
        </w:rPr>
        <w:t xml:space="preserve">که در آن </w:t>
      </w:r>
      <w:r w:rsidRPr="003B28FD">
        <w:rPr>
          <w:position w:val="-10"/>
        </w:rPr>
        <w:object w:dxaOrig="340" w:dyaOrig="320" w14:anchorId="717A2104">
          <v:shape id="_x0000_i3226" type="#_x0000_t75" style="width:16.95pt;height:16.35pt" o:ole="">
            <v:imagedata r:id="rId4436" o:title=""/>
          </v:shape>
          <o:OLEObject Type="Embed" ProgID="Equation.DSMT4" ShapeID="_x0000_i3226" DrawAspect="Content" ObjectID="_1791377170" r:id="rId4437"/>
        </w:object>
      </w:r>
      <w:r w:rsidRPr="003B28FD">
        <w:rPr>
          <w:rFonts w:hint="cs"/>
          <w:i/>
          <w:sz w:val="23"/>
          <w:szCs w:val="23"/>
          <w:rtl/>
        </w:rPr>
        <w:t xml:space="preserve">، </w:t>
      </w:r>
      <w:r w:rsidRPr="003B28FD">
        <w:rPr>
          <w:position w:val="-10"/>
        </w:rPr>
        <w:object w:dxaOrig="300" w:dyaOrig="320" w14:anchorId="75518DF6">
          <v:shape id="_x0000_i3227" type="#_x0000_t75" style="width:15.15pt;height:16.35pt" o:ole="">
            <v:imagedata r:id="rId4438" o:title=""/>
          </v:shape>
          <o:OLEObject Type="Embed" ProgID="Equation.DSMT4" ShapeID="_x0000_i3227" DrawAspect="Content" ObjectID="_1791377171" r:id="rId4439"/>
        </w:object>
      </w:r>
      <w:r w:rsidRPr="003B28FD">
        <w:rPr>
          <w:rFonts w:hint="cs"/>
          <w:i/>
          <w:sz w:val="23"/>
          <w:szCs w:val="23"/>
          <w:rtl/>
        </w:rPr>
        <w:t xml:space="preserve"> و </w:t>
      </w:r>
      <w:r w:rsidRPr="003B28FD">
        <w:rPr>
          <w:position w:val="-10"/>
        </w:rPr>
        <w:object w:dxaOrig="380" w:dyaOrig="320" w14:anchorId="54C00BC7">
          <v:shape id="_x0000_i3228" type="#_x0000_t75" style="width:18.75pt;height:16.35pt" o:ole="">
            <v:imagedata r:id="rId4440" o:title=""/>
          </v:shape>
          <o:OLEObject Type="Embed" ProgID="Equation.DSMT4" ShapeID="_x0000_i3228" DrawAspect="Content" ObjectID="_1791377172" r:id="rId4441"/>
        </w:object>
      </w:r>
      <w:r w:rsidRPr="003B28FD">
        <w:rPr>
          <w:rFonts w:hint="cs"/>
          <w:i/>
          <w:sz w:val="23"/>
          <w:szCs w:val="23"/>
          <w:rtl/>
        </w:rPr>
        <w:t xml:space="preserve"> حل بهینه</w:t>
      </w:r>
      <w:r w:rsidRPr="003B28FD">
        <w:rPr>
          <w:i/>
          <w:sz w:val="23"/>
          <w:szCs w:val="23"/>
          <w:rtl/>
        </w:rPr>
        <w:softHyphen/>
      </w:r>
      <w:r w:rsidRPr="003B28FD">
        <w:rPr>
          <w:rFonts w:hint="cs"/>
          <w:i/>
          <w:sz w:val="23"/>
          <w:szCs w:val="23"/>
          <w:rtl/>
        </w:rPr>
        <w:t>ی بدست آمده در دوره</w:t>
      </w:r>
      <w:r w:rsidRPr="003B28FD">
        <w:rPr>
          <w:i/>
          <w:sz w:val="23"/>
          <w:szCs w:val="23"/>
          <w:rtl/>
        </w:rPr>
        <w:softHyphen/>
      </w:r>
      <w:r w:rsidRPr="003B28FD">
        <w:rPr>
          <w:rFonts w:hint="cs"/>
          <w:i/>
          <w:sz w:val="23"/>
          <w:szCs w:val="23"/>
          <w:rtl/>
        </w:rPr>
        <w:t>ی</w:t>
      </w:r>
      <w:r w:rsidRPr="003B28FD">
        <w:rPr>
          <w:position w:val="-6"/>
        </w:rPr>
        <w:object w:dxaOrig="440" w:dyaOrig="260" w14:anchorId="6690C368">
          <v:shape id="_x0000_i3229" type="#_x0000_t75" style="width:21.8pt;height:13.3pt" o:ole="">
            <v:imagedata r:id="rId4442" o:title=""/>
          </v:shape>
          <o:OLEObject Type="Embed" ProgID="Equation.DSMT4" ShapeID="_x0000_i3229" DrawAspect="Content" ObjectID="_1791377173" r:id="rId4443"/>
        </w:object>
      </w:r>
      <w:r w:rsidRPr="003B28FD">
        <w:rPr>
          <w:rFonts w:hint="cs"/>
          <w:i/>
          <w:sz w:val="23"/>
          <w:szCs w:val="23"/>
          <w:rtl/>
        </w:rPr>
        <w:t xml:space="preserve"> است. بدلیل آن</w:t>
      </w:r>
      <w:r w:rsidRPr="003B28FD">
        <w:rPr>
          <w:i/>
          <w:sz w:val="23"/>
          <w:szCs w:val="23"/>
          <w:rtl/>
        </w:rPr>
        <w:softHyphen/>
      </w:r>
      <w:r w:rsidRPr="003B28FD">
        <w:rPr>
          <w:rFonts w:hint="cs"/>
          <w:i/>
          <w:sz w:val="23"/>
          <w:szCs w:val="23"/>
          <w:rtl/>
        </w:rPr>
        <w:t>که در دوره</w:t>
      </w:r>
      <w:r w:rsidRPr="003B28FD">
        <w:rPr>
          <w:i/>
          <w:sz w:val="23"/>
          <w:szCs w:val="23"/>
          <w:rtl/>
        </w:rPr>
        <w:softHyphen/>
      </w:r>
      <w:r w:rsidRPr="003B28FD">
        <w:rPr>
          <w:rFonts w:hint="cs"/>
          <w:i/>
          <w:sz w:val="23"/>
          <w:szCs w:val="23"/>
          <w:rtl/>
        </w:rPr>
        <w:t>ی</w:t>
      </w:r>
      <w:r w:rsidRPr="003B28FD">
        <w:rPr>
          <w:position w:val="-6"/>
        </w:rPr>
        <w:object w:dxaOrig="139" w:dyaOrig="240" w14:anchorId="5AA55F1F">
          <v:shape id="_x0000_i3230" type="#_x0000_t75" style="width:7.25pt;height:12.1pt" o:ole="">
            <v:imagedata r:id="rId4444" o:title=""/>
          </v:shape>
          <o:OLEObject Type="Embed" ProgID="Equation.DSMT4" ShapeID="_x0000_i3230" DrawAspect="Content" ObjectID="_1791377174" r:id="rId4445"/>
        </w:object>
      </w:r>
      <w:r w:rsidRPr="003B28FD">
        <w:rPr>
          <w:rFonts w:hint="cs"/>
          <w:i/>
          <w:sz w:val="23"/>
          <w:szCs w:val="23"/>
          <w:rtl/>
        </w:rPr>
        <w:t xml:space="preserve"> تولید صورت نمی</w:t>
      </w:r>
      <w:r w:rsidRPr="003B28FD">
        <w:rPr>
          <w:i/>
          <w:sz w:val="23"/>
          <w:szCs w:val="23"/>
          <w:rtl/>
        </w:rPr>
        <w:softHyphen/>
      </w:r>
      <w:r w:rsidRPr="003B28FD">
        <w:rPr>
          <w:rFonts w:hint="cs"/>
          <w:i/>
          <w:sz w:val="23"/>
          <w:szCs w:val="23"/>
          <w:rtl/>
        </w:rPr>
        <w:t>گیرد، می</w:t>
      </w:r>
      <w:r w:rsidRPr="003B28FD">
        <w:rPr>
          <w:i/>
          <w:sz w:val="23"/>
          <w:szCs w:val="23"/>
          <w:rtl/>
        </w:rPr>
        <w:softHyphen/>
      </w:r>
      <w:r w:rsidRPr="003B28FD">
        <w:rPr>
          <w:rFonts w:hint="cs"/>
          <w:i/>
          <w:sz w:val="23"/>
          <w:szCs w:val="23"/>
          <w:rtl/>
        </w:rPr>
        <w:t>توان</w:t>
      </w:r>
      <w:r w:rsidRPr="003B28FD">
        <w:rPr>
          <w:position w:val="-10"/>
        </w:rPr>
        <w:object w:dxaOrig="180" w:dyaOrig="320" w14:anchorId="153F0926">
          <v:shape id="_x0000_i3231" type="#_x0000_t75" style="width:9.1pt;height:16.35pt" o:ole="">
            <v:imagedata r:id="rId4446" o:title=""/>
          </v:shape>
          <o:OLEObject Type="Embed" ProgID="Equation.DSMT4" ShapeID="_x0000_i3231" DrawAspect="Content" ObjectID="_1791377175" r:id="rId4447"/>
        </w:object>
      </w:r>
      <w:r w:rsidRPr="003B28FD">
        <w:rPr>
          <w:rFonts w:eastAsiaTheme="minorEastAsia"/>
          <w:i/>
          <w:sz w:val="23"/>
          <w:szCs w:val="23"/>
        </w:rPr>
        <w:t xml:space="preserve"> </w:t>
      </w:r>
      <w:r w:rsidRPr="003B28FD">
        <w:rPr>
          <w:rFonts w:eastAsiaTheme="minorEastAsia" w:hint="cs"/>
          <w:i/>
          <w:sz w:val="23"/>
          <w:szCs w:val="23"/>
          <w:rtl/>
        </w:rPr>
        <w:t>را حذف نمود. بخش خصوصی</w:t>
      </w:r>
      <w:r w:rsidRPr="003B28FD">
        <w:rPr>
          <w:position w:val="-6"/>
        </w:rPr>
        <w:object w:dxaOrig="300" w:dyaOrig="300" w14:anchorId="2E4EA4F6">
          <v:shape id="_x0000_i3232" type="#_x0000_t75" style="width:15.15pt;height:15.15pt" o:ole="">
            <v:imagedata r:id="rId4448" o:title=""/>
          </v:shape>
          <o:OLEObject Type="Embed" ProgID="Equation.DSMT4" ShapeID="_x0000_i3232" DrawAspect="Content" ObjectID="_1791377176" r:id="rId4449"/>
        </w:object>
      </w:r>
      <w:r w:rsidRPr="003B28FD">
        <w:rPr>
          <w:rFonts w:eastAsiaTheme="minorEastAsia" w:hint="cs"/>
          <w:i/>
          <w:sz w:val="23"/>
          <w:szCs w:val="23"/>
          <w:rtl/>
        </w:rPr>
        <w:t xml:space="preserve"> را نسبت به معادلات </w:t>
      </w:r>
      <w:r w:rsidRPr="003B28FD">
        <w:rPr>
          <w:rFonts w:hint="cs"/>
          <w:i/>
          <w:sz w:val="23"/>
          <w:szCs w:val="23"/>
          <w:rtl/>
        </w:rPr>
        <w:t xml:space="preserve">(۶. </w:t>
      </w:r>
      <w:r w:rsidRPr="003B28FD">
        <w:rPr>
          <w:rFonts w:hint="cs"/>
          <w:i/>
          <w:sz w:val="23"/>
          <w:szCs w:val="23"/>
          <w:rtl/>
        </w:rPr>
        <w:lastRenderedPageBreak/>
        <w:t xml:space="preserve">۲۴) </w:t>
      </w:r>
      <w:r w:rsidRPr="003B28FD">
        <w:rPr>
          <w:rFonts w:eastAsiaTheme="minorEastAsia" w:hint="cs"/>
          <w:i/>
          <w:sz w:val="23"/>
          <w:szCs w:val="23"/>
          <w:rtl/>
        </w:rPr>
        <w:t xml:space="preserve">و </w:t>
      </w:r>
      <w:r w:rsidRPr="003B28FD">
        <w:rPr>
          <w:rFonts w:hint="cs"/>
          <w:i/>
          <w:sz w:val="23"/>
          <w:szCs w:val="23"/>
          <w:rtl/>
        </w:rPr>
        <w:t>(۶. ۲۵)</w:t>
      </w:r>
      <w:r w:rsidRPr="003B28FD">
        <w:rPr>
          <w:rFonts w:eastAsiaTheme="minorEastAsia" w:hint="cs"/>
          <w:i/>
          <w:sz w:val="23"/>
          <w:szCs w:val="23"/>
          <w:rtl/>
        </w:rPr>
        <w:t xml:space="preserve"> و قید بودجه</w:t>
      </w:r>
      <w:r w:rsidRPr="003B28FD">
        <w:rPr>
          <w:rFonts w:eastAsiaTheme="minorEastAsia"/>
          <w:i/>
          <w:sz w:val="23"/>
          <w:szCs w:val="23"/>
          <w:rtl/>
        </w:rPr>
        <w:softHyphen/>
      </w:r>
      <w:r w:rsidRPr="003B28FD">
        <w:rPr>
          <w:rFonts w:eastAsiaTheme="minorEastAsia" w:hint="cs"/>
          <w:i/>
          <w:sz w:val="23"/>
          <w:szCs w:val="23"/>
          <w:rtl/>
        </w:rPr>
        <w:t>ی اولین دوره یعنی معادله</w:t>
      </w:r>
      <w:r w:rsidRPr="003B28FD">
        <w:rPr>
          <w:rFonts w:eastAsiaTheme="minorEastAsia"/>
          <w:i/>
          <w:sz w:val="23"/>
          <w:szCs w:val="23"/>
          <w:rtl/>
        </w:rPr>
        <w:softHyphen/>
      </w:r>
      <w:r w:rsidRPr="003B28FD">
        <w:rPr>
          <w:rFonts w:eastAsiaTheme="minorEastAsia" w:hint="cs"/>
          <w:i/>
          <w:sz w:val="23"/>
          <w:szCs w:val="23"/>
          <w:rtl/>
        </w:rPr>
        <w:t xml:space="preserve">ی </w:t>
      </w:r>
      <w:r w:rsidRPr="003B28FD">
        <w:rPr>
          <w:rFonts w:hint="cs"/>
          <w:i/>
          <w:sz w:val="23"/>
          <w:szCs w:val="23"/>
          <w:rtl/>
        </w:rPr>
        <w:t>(۶. ۱)</w:t>
      </w:r>
      <w:r w:rsidRPr="003B28FD">
        <w:rPr>
          <w:rFonts w:eastAsiaTheme="minorEastAsia" w:hint="cs"/>
          <w:i/>
          <w:sz w:val="23"/>
          <w:szCs w:val="23"/>
          <w:rtl/>
        </w:rPr>
        <w:t xml:space="preserve"> با</w:t>
      </w:r>
      <w:r w:rsidRPr="003B28FD">
        <w:rPr>
          <w:position w:val="-6"/>
        </w:rPr>
        <w:object w:dxaOrig="279" w:dyaOrig="300" w14:anchorId="1A1B4703">
          <v:shape id="_x0000_i3233" type="#_x0000_t75" style="width:13.9pt;height:15.15pt" o:ole="">
            <v:imagedata r:id="rId4450" o:title=""/>
          </v:shape>
          <o:OLEObject Type="Embed" ProgID="Equation.DSMT4" ShapeID="_x0000_i3233" DrawAspect="Content" ObjectID="_1791377177" r:id="rId4451"/>
        </w:object>
      </w:r>
      <w:r w:rsidRPr="003B28FD">
        <w:rPr>
          <w:rFonts w:eastAsiaTheme="minorEastAsia" w:hint="cs"/>
          <w:i/>
          <w:sz w:val="23"/>
          <w:szCs w:val="23"/>
          <w:rtl/>
        </w:rPr>
        <w:t>،</w:t>
      </w:r>
      <w:r w:rsidRPr="003B28FD">
        <w:rPr>
          <w:position w:val="-6"/>
        </w:rPr>
        <w:object w:dxaOrig="300" w:dyaOrig="300" w14:anchorId="2380092C">
          <v:shape id="_x0000_i3234" type="#_x0000_t75" style="width:15.15pt;height:15.15pt" o:ole="">
            <v:imagedata r:id="rId4452" o:title=""/>
          </v:shape>
          <o:OLEObject Type="Embed" ProgID="Equation.DSMT4" ShapeID="_x0000_i3234" DrawAspect="Content" ObjectID="_1791377178" r:id="rId4453"/>
        </w:object>
      </w:r>
      <w:r w:rsidRPr="003B28FD">
        <w:rPr>
          <w:rFonts w:eastAsiaTheme="minorEastAsia" w:hint="cs"/>
          <w:i/>
          <w:sz w:val="23"/>
          <w:szCs w:val="23"/>
          <w:rtl/>
        </w:rPr>
        <w:t xml:space="preserve"> و </w:t>
      </w:r>
      <w:r w:rsidRPr="003B28FD">
        <w:rPr>
          <w:position w:val="-10"/>
        </w:rPr>
        <w:object w:dxaOrig="380" w:dyaOrig="320" w14:anchorId="01EC909D">
          <v:shape id="_x0000_i3235" type="#_x0000_t75" style="width:18.75pt;height:16.35pt" o:ole="">
            <v:imagedata r:id="rId4454" o:title=""/>
          </v:shape>
          <o:OLEObject Type="Embed" ProgID="Equation.DSMT4" ShapeID="_x0000_i3235" DrawAspect="Content" ObjectID="_1791377179" r:id="rId4455"/>
        </w:object>
      </w:r>
      <w:r w:rsidRPr="003B28FD">
        <w:rPr>
          <w:rFonts w:eastAsiaTheme="minorEastAsia" w:hint="cs"/>
          <w:i/>
          <w:sz w:val="23"/>
          <w:szCs w:val="23"/>
          <w:rtl/>
        </w:rPr>
        <w:t xml:space="preserve"> داده شده است حداکثر می</w:t>
      </w:r>
      <w:r w:rsidRPr="003B28FD">
        <w:rPr>
          <w:rFonts w:eastAsiaTheme="minorEastAsia"/>
          <w:i/>
          <w:sz w:val="23"/>
          <w:szCs w:val="23"/>
          <w:rtl/>
        </w:rPr>
        <w:softHyphen/>
      </w:r>
      <w:r w:rsidRPr="003B28FD">
        <w:rPr>
          <w:rFonts w:eastAsiaTheme="minorEastAsia" w:hint="cs"/>
          <w:i/>
          <w:sz w:val="23"/>
          <w:szCs w:val="23"/>
          <w:rtl/>
        </w:rPr>
        <w:t>کند. بجای استفاده از ضریب لاگرانژ هر سه قید فوق را در</w:t>
      </w:r>
      <w:r w:rsidRPr="003B28FD">
        <w:rPr>
          <w:position w:val="-6"/>
        </w:rPr>
        <w:object w:dxaOrig="300" w:dyaOrig="300" w14:anchorId="6B749047">
          <v:shape id="_x0000_i3236" type="#_x0000_t75" style="width:15.15pt;height:15.15pt" o:ole="">
            <v:imagedata r:id="rId4456" o:title=""/>
          </v:shape>
          <o:OLEObject Type="Embed" ProgID="Equation.DSMT4" ShapeID="_x0000_i3236" DrawAspect="Content" ObjectID="_1791377180" r:id="rId4457"/>
        </w:object>
      </w:r>
      <w:r w:rsidRPr="003B28FD">
        <w:rPr>
          <w:rFonts w:eastAsiaTheme="minorEastAsia" w:hint="cs"/>
          <w:i/>
          <w:sz w:val="23"/>
          <w:szCs w:val="23"/>
          <w:rtl/>
        </w:rPr>
        <w:t xml:space="preserve"> جایگزین می</w:t>
      </w:r>
      <w:r w:rsidRPr="003B28FD">
        <w:rPr>
          <w:rFonts w:eastAsiaTheme="minorEastAsia"/>
          <w:i/>
          <w:sz w:val="23"/>
          <w:szCs w:val="23"/>
          <w:rtl/>
        </w:rPr>
        <w:softHyphen/>
      </w:r>
      <w:r w:rsidRPr="003B28FD">
        <w:rPr>
          <w:rFonts w:eastAsiaTheme="minorEastAsia" w:hint="cs"/>
          <w:i/>
          <w:sz w:val="23"/>
          <w:szCs w:val="23"/>
          <w:rtl/>
        </w:rPr>
        <w:t>کنیم. بنابراین</w:t>
      </w:r>
    </w:p>
    <w:p w14:paraId="28DFAA49" w14:textId="77777777" w:rsidR="00411620" w:rsidRPr="003B28FD" w:rsidRDefault="00411620" w:rsidP="00411620">
      <w:pPr>
        <w:pStyle w:val="MTDisplayEquation"/>
        <w:bidi/>
        <w:spacing w:line="216" w:lineRule="auto"/>
        <w:rPr>
          <w:rFonts w:eastAsiaTheme="minorEastAsia" w:cs="B Nazanin"/>
          <w:i/>
          <w:sz w:val="23"/>
          <w:szCs w:val="23"/>
          <w:rtl/>
        </w:rPr>
      </w:pPr>
      <w:r w:rsidRPr="003B28FD">
        <w:rPr>
          <w:position w:val="-22"/>
        </w:rPr>
        <w:object w:dxaOrig="7500" w:dyaOrig="560" w14:anchorId="71CFEB4E">
          <v:shape id="_x0000_i3237" type="#_x0000_t75" style="width:375.15pt;height:27.85pt" o:ole="">
            <v:imagedata r:id="rId4458" o:title=""/>
          </v:shape>
          <o:OLEObject Type="Embed" ProgID="Equation.DSMT4" ShapeID="_x0000_i3237" DrawAspect="Content" ObjectID="_1791377181" r:id="rId4459"/>
        </w:object>
      </w:r>
      <w:r w:rsidRPr="003B28FD">
        <w:rPr>
          <w:rFonts w:cs="B Nazanin" w:hint="cs"/>
          <w:i/>
          <w:sz w:val="23"/>
          <w:szCs w:val="23"/>
          <w:rtl/>
        </w:rPr>
        <w:t>تنها تصمیم باقیمانده، انتخاب</w:t>
      </w:r>
      <w:r w:rsidRPr="003B28FD">
        <w:rPr>
          <w:position w:val="-10"/>
        </w:rPr>
        <w:object w:dxaOrig="360" w:dyaOrig="320" w14:anchorId="5082F550">
          <v:shape id="_x0000_i3238" type="#_x0000_t75" style="width:18.15pt;height:16.35pt" o:ole="">
            <v:imagedata r:id="rId4460" o:title=""/>
          </v:shape>
          <o:OLEObject Type="Embed" ProgID="Equation.DSMT4" ShapeID="_x0000_i3238" DrawAspect="Content" ObjectID="_1791377182" r:id="rId4461"/>
        </w:object>
      </w:r>
      <w:r w:rsidRPr="003B28FD">
        <w:rPr>
          <w:rFonts w:eastAsiaTheme="minorEastAsia" w:cs="B Nazanin" w:hint="cs"/>
          <w:i/>
          <w:sz w:val="23"/>
          <w:szCs w:val="23"/>
          <w:rtl/>
        </w:rPr>
        <w:t xml:space="preserve"> است. شرط مرتبه</w:t>
      </w:r>
      <w:r w:rsidRPr="003B28FD">
        <w:rPr>
          <w:rFonts w:eastAsiaTheme="minorEastAsia" w:cs="B Nazanin"/>
          <w:i/>
          <w:sz w:val="23"/>
          <w:szCs w:val="23"/>
          <w:rtl/>
        </w:rPr>
        <w:softHyphen/>
      </w:r>
      <w:r w:rsidRPr="003B28FD">
        <w:rPr>
          <w:rFonts w:eastAsiaTheme="minorEastAsia" w:cs="B Nazanin" w:hint="cs"/>
          <w:i/>
          <w:sz w:val="23"/>
          <w:szCs w:val="23"/>
          <w:rtl/>
        </w:rPr>
        <w:t>ی اول برابر است با</w:t>
      </w:r>
    </w:p>
    <w:p w14:paraId="27948D09"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Pr>
      </w:pPr>
      <w:r w:rsidRPr="003B28FD">
        <w:rPr>
          <w:position w:val="-28"/>
        </w:rPr>
        <w:object w:dxaOrig="3360" w:dyaOrig="680" w14:anchorId="4B09E025">
          <v:shape id="_x0000_i3239" type="#_x0000_t75" style="width:168.2pt;height:33.9pt" o:ole="">
            <v:imagedata r:id="rId4462" o:title=""/>
          </v:shape>
          <o:OLEObject Type="Embed" ProgID="Equation.DSMT4" ShapeID="_x0000_i3239" DrawAspect="Content" ObjectID="_1791377183" r:id="rId4463"/>
        </w:object>
      </w:r>
    </w:p>
    <w:p w14:paraId="08F355EF"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در نتیجه</w:t>
      </w:r>
    </w:p>
    <w:p w14:paraId="7A34661F" w14:textId="77777777" w:rsidR="00411620" w:rsidRPr="003B28FD"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Pr>
      </w:pPr>
      <w:r w:rsidRPr="003B28FD">
        <w:rPr>
          <w:position w:val="-30"/>
        </w:rPr>
        <w:object w:dxaOrig="2760" w:dyaOrig="740" w14:anchorId="54E8BC5D">
          <v:shape id="_x0000_i3240" type="#_x0000_t75" style="width:137.95pt;height:36.9pt" o:ole="">
            <v:imagedata r:id="rId4464" o:title=""/>
          </v:shape>
          <o:OLEObject Type="Embed" ProgID="Equation.DSMT4" ShapeID="_x0000_i3240" DrawAspect="Content" ObjectID="_1791377184" r:id="rId4465"/>
        </w:object>
      </w:r>
      <w:r w:rsidRPr="003B28FD">
        <w:rPr>
          <w:rFonts w:ascii="Times New Roman" w:hAnsi="Times New Roman" w:cs="B Nazanin"/>
          <w:i/>
          <w:sz w:val="23"/>
          <w:szCs w:val="23"/>
          <w:rtl/>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Pr>
          <w:rFonts w:ascii="Times New Roman" w:hAnsi="Times New Roman" w:cs="B Nazanin"/>
          <w:i/>
          <w:sz w:val="23"/>
          <w:szCs w:val="23"/>
          <w:rtl/>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tl/>
        </w:rPr>
        <w:tab/>
      </w:r>
      <w:r w:rsidRPr="003B28FD">
        <w:rPr>
          <w:rFonts w:ascii="Times New Roman" w:hAnsi="Times New Roman" w:cs="B Nazanin" w:hint="cs"/>
          <w:i/>
          <w:sz w:val="23"/>
          <w:szCs w:val="23"/>
          <w:rtl/>
        </w:rPr>
        <w:t>(۶. ۲۷)</w:t>
      </w:r>
    </w:p>
    <w:p w14:paraId="473EAB39"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و بنابراین</w:t>
      </w:r>
    </w:p>
    <w:p w14:paraId="4A3B7C34" w14:textId="77777777" w:rsidR="00411620" w:rsidRPr="003B28FD"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Pr>
      </w:pPr>
      <w:r w:rsidRPr="003B28FD">
        <w:rPr>
          <w:position w:val="-30"/>
        </w:rPr>
        <w:object w:dxaOrig="1800" w:dyaOrig="740" w14:anchorId="7F8F1C37">
          <v:shape id="_x0000_i3241" type="#_x0000_t75" style="width:90.75pt;height:36.9pt" o:ole="">
            <v:imagedata r:id="rId4466" o:title=""/>
          </v:shape>
          <o:OLEObject Type="Embed" ProgID="Equation.DSMT4" ShapeID="_x0000_i3241" DrawAspect="Content" ObjectID="_1791377185" r:id="rId4467"/>
        </w:object>
      </w:r>
      <w:r w:rsidRPr="003B28FD">
        <w:rPr>
          <w:rFonts w:ascii="Times New Roman" w:hAnsi="Times New Roman" w:cs="B Nazanin"/>
          <w:i/>
          <w:sz w:val="23"/>
          <w:szCs w:val="23"/>
          <w:rtl/>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Pr>
          <w:rFonts w:ascii="Times New Roman" w:hAnsi="Times New Roman" w:cs="B Nazanin"/>
          <w:i/>
          <w:sz w:val="23"/>
          <w:szCs w:val="23"/>
          <w:rtl/>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tl/>
        </w:rPr>
        <w:tab/>
      </w:r>
      <w:r w:rsidRPr="003B28FD">
        <w:rPr>
          <w:rFonts w:ascii="Times New Roman" w:hAnsi="Times New Roman" w:cs="B Nazanin" w:hint="cs"/>
          <w:i/>
          <w:sz w:val="23"/>
          <w:szCs w:val="23"/>
          <w:rtl/>
        </w:rPr>
        <w:t>(۶. ۲۸)</w:t>
      </w:r>
    </w:p>
    <w:p w14:paraId="6718B034" w14:textId="77777777" w:rsidR="00411620" w:rsidRPr="003B28FD" w:rsidRDefault="00411620" w:rsidP="00411620">
      <w:pPr>
        <w:spacing w:line="216" w:lineRule="auto"/>
        <w:rPr>
          <w:rFonts w:eastAsiaTheme="minorEastAsia"/>
          <w:i/>
          <w:sz w:val="23"/>
          <w:szCs w:val="23"/>
        </w:rPr>
      </w:pPr>
      <w:r w:rsidRPr="003B28FD">
        <w:rPr>
          <w:rFonts w:hint="cs"/>
          <w:i/>
          <w:sz w:val="23"/>
          <w:szCs w:val="23"/>
          <w:rtl/>
        </w:rPr>
        <w:t>برای این</w:t>
      </w:r>
      <w:r w:rsidRPr="003B28FD">
        <w:rPr>
          <w:i/>
          <w:sz w:val="23"/>
          <w:szCs w:val="23"/>
          <w:rtl/>
        </w:rPr>
        <w:softHyphen/>
      </w:r>
      <w:r w:rsidRPr="003B28FD">
        <w:rPr>
          <w:rFonts w:hint="cs"/>
          <w:i/>
          <w:sz w:val="23"/>
          <w:szCs w:val="23"/>
          <w:rtl/>
        </w:rPr>
        <w:t>که مالیات بهینه</w:t>
      </w:r>
      <w:r w:rsidRPr="003B28FD">
        <w:rPr>
          <w:i/>
          <w:sz w:val="23"/>
          <w:szCs w:val="23"/>
          <w:rtl/>
        </w:rPr>
        <w:softHyphen/>
      </w:r>
      <w:r w:rsidRPr="003B28FD">
        <w:rPr>
          <w:rFonts w:hint="cs"/>
          <w:i/>
          <w:sz w:val="23"/>
          <w:szCs w:val="23"/>
          <w:rtl/>
        </w:rPr>
        <w:t>ی سرمایه</w:t>
      </w:r>
      <w:r w:rsidRPr="003B28FD">
        <w:rPr>
          <w:i/>
          <w:sz w:val="23"/>
          <w:szCs w:val="23"/>
          <w:rtl/>
        </w:rPr>
        <w:softHyphen/>
      </w:r>
      <w:r w:rsidRPr="003B28FD">
        <w:rPr>
          <w:rFonts w:hint="cs"/>
          <w:i/>
          <w:sz w:val="23"/>
          <w:szCs w:val="23"/>
          <w:rtl/>
        </w:rPr>
        <w:t>ی زمان-سازگار یعنی</w:t>
      </w:r>
      <w:r w:rsidRPr="003B28FD">
        <w:rPr>
          <w:position w:val="-6"/>
        </w:rPr>
        <w:object w:dxaOrig="300" w:dyaOrig="300" w14:anchorId="303A616B">
          <v:shape id="_x0000_i3242" type="#_x0000_t75" style="width:15.15pt;height:15.15pt" o:ole="">
            <v:imagedata r:id="rId4468" o:title=""/>
          </v:shape>
          <o:OLEObject Type="Embed" ProgID="Equation.DSMT4" ShapeID="_x0000_i3242" DrawAspect="Content" ObjectID="_1791377186" r:id="rId4469"/>
        </w:object>
      </w:r>
      <w:r w:rsidRPr="003B28FD">
        <w:rPr>
          <w:rFonts w:hint="cs"/>
          <w:i/>
          <w:sz w:val="23"/>
          <w:szCs w:val="23"/>
          <w:rtl/>
        </w:rPr>
        <w:t xml:space="preserve"> را بدست آوریم باید معادلات (۶. ۲۶)</w:t>
      </w:r>
      <w:r w:rsidRPr="003B28FD">
        <w:rPr>
          <w:rFonts w:eastAsiaTheme="minorEastAsia" w:hint="cs"/>
          <w:i/>
          <w:sz w:val="23"/>
          <w:szCs w:val="23"/>
          <w:rtl/>
        </w:rPr>
        <w:t xml:space="preserve"> و </w:t>
      </w:r>
      <w:r w:rsidRPr="003B28FD">
        <w:rPr>
          <w:rFonts w:hint="cs"/>
          <w:i/>
          <w:sz w:val="23"/>
          <w:szCs w:val="23"/>
          <w:rtl/>
        </w:rPr>
        <w:t>(۶. ۲۷)</w:t>
      </w:r>
      <w:r w:rsidRPr="003B28FD">
        <w:rPr>
          <w:rFonts w:eastAsiaTheme="minorEastAsia" w:hint="cs"/>
          <w:i/>
          <w:sz w:val="23"/>
          <w:szCs w:val="23"/>
          <w:rtl/>
        </w:rPr>
        <w:t xml:space="preserve"> را جهت حذف</w:t>
      </w:r>
      <w:r w:rsidRPr="003B28FD">
        <w:rPr>
          <w:position w:val="-10"/>
        </w:rPr>
        <w:object w:dxaOrig="360" w:dyaOrig="320" w14:anchorId="4AB80E07">
          <v:shape id="_x0000_i3243" type="#_x0000_t75" style="width:18.15pt;height:16.35pt" o:ole="">
            <v:imagedata r:id="rId4470" o:title=""/>
          </v:shape>
          <o:OLEObject Type="Embed" ProgID="Equation.DSMT4" ShapeID="_x0000_i3243" DrawAspect="Content" ObjectID="_1791377187" r:id="rId4471"/>
        </w:object>
      </w:r>
      <w:r w:rsidRPr="003B28FD">
        <w:rPr>
          <w:rFonts w:eastAsiaTheme="minorEastAsia" w:hint="cs"/>
          <w:i/>
          <w:sz w:val="23"/>
          <w:szCs w:val="23"/>
          <w:rtl/>
        </w:rPr>
        <w:t xml:space="preserve"> ترکیب کنیم. نتیجه بدست آمده معادله</w:t>
      </w:r>
      <w:r w:rsidRPr="003B28FD">
        <w:rPr>
          <w:rFonts w:eastAsiaTheme="minorEastAsia"/>
          <w:i/>
          <w:sz w:val="23"/>
          <w:szCs w:val="23"/>
          <w:rtl/>
        </w:rPr>
        <w:softHyphen/>
      </w:r>
      <w:r w:rsidRPr="003B28FD">
        <w:rPr>
          <w:rFonts w:eastAsiaTheme="minorEastAsia" w:hint="cs"/>
          <w:i/>
          <w:sz w:val="23"/>
          <w:szCs w:val="23"/>
          <w:rtl/>
        </w:rPr>
        <w:t>ی درجه</w:t>
      </w:r>
      <w:r w:rsidRPr="003B28FD">
        <w:rPr>
          <w:rFonts w:eastAsiaTheme="minorEastAsia"/>
          <w:i/>
          <w:sz w:val="23"/>
          <w:szCs w:val="23"/>
          <w:rtl/>
        </w:rPr>
        <w:softHyphen/>
      </w:r>
      <w:r w:rsidRPr="003B28FD">
        <w:rPr>
          <w:rFonts w:eastAsiaTheme="minorEastAsia" w:hint="cs"/>
          <w:i/>
          <w:sz w:val="23"/>
          <w:szCs w:val="23"/>
          <w:rtl/>
        </w:rPr>
        <w:t>ی دوم نسبت به</w:t>
      </w:r>
      <w:r w:rsidRPr="003B28FD">
        <w:rPr>
          <w:position w:val="-6"/>
        </w:rPr>
        <w:object w:dxaOrig="300" w:dyaOrig="300" w14:anchorId="11FEF950">
          <v:shape id="_x0000_i3244" type="#_x0000_t75" style="width:15.15pt;height:15.15pt" o:ole="">
            <v:imagedata r:id="rId4472" o:title=""/>
          </v:shape>
          <o:OLEObject Type="Embed" ProgID="Equation.DSMT4" ShapeID="_x0000_i3244" DrawAspect="Content" ObjectID="_1791377188" r:id="rId4473"/>
        </w:object>
      </w:r>
      <w:r w:rsidRPr="003B28FD">
        <w:rPr>
          <w:rFonts w:eastAsiaTheme="minorEastAsia" w:hint="cs"/>
          <w:i/>
          <w:sz w:val="23"/>
          <w:szCs w:val="23"/>
          <w:rtl/>
        </w:rPr>
        <w:t xml:space="preserve"> خواهد بود. یعنی</w:t>
      </w:r>
    </w:p>
    <w:p w14:paraId="392CA883" w14:textId="77777777" w:rsidR="00411620" w:rsidRPr="003B28FD" w:rsidRDefault="00411620" w:rsidP="00411620">
      <w:pPr>
        <w:pStyle w:val="MTDisplayEquation"/>
        <w:spacing w:line="216" w:lineRule="auto"/>
        <w:rPr>
          <w:rFonts w:ascii="Times New Roman" w:eastAsiaTheme="minorEastAsia" w:hAnsi="Times New Roman" w:cs="B Nazanin"/>
          <w:i/>
          <w:sz w:val="23"/>
          <w:szCs w:val="23"/>
        </w:rPr>
      </w:pPr>
      <w:r w:rsidRPr="003B28FD">
        <w:rPr>
          <w:position w:val="-16"/>
        </w:rPr>
        <w:object w:dxaOrig="5800" w:dyaOrig="460" w14:anchorId="7DAF3293">
          <v:shape id="_x0000_i3245" type="#_x0000_t75" style="width:289.8pt;height:23pt" o:ole="">
            <v:imagedata r:id="rId4474" o:title=""/>
          </v:shape>
          <o:OLEObject Type="Embed" ProgID="Equation.DSMT4" ShapeID="_x0000_i3245" DrawAspect="Content" ObjectID="_1791377189" r:id="rId4475"/>
        </w:object>
      </w:r>
    </w:p>
    <w:p w14:paraId="01497978"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فرض راه حل زمان-سازگاری هنگام بهینه</w:t>
      </w:r>
      <w:r w:rsidRPr="003B28FD">
        <w:rPr>
          <w:rFonts w:eastAsiaTheme="minorEastAsia"/>
          <w:i/>
          <w:sz w:val="23"/>
          <w:szCs w:val="23"/>
          <w:rtl/>
        </w:rPr>
        <w:softHyphen/>
      </w:r>
      <w:r w:rsidRPr="003B28FD">
        <w:rPr>
          <w:rFonts w:eastAsiaTheme="minorEastAsia" w:hint="cs"/>
          <w:i/>
          <w:sz w:val="23"/>
          <w:szCs w:val="23"/>
          <w:rtl/>
        </w:rPr>
        <w:t>یابی در زمان</w:t>
      </w:r>
      <w:r w:rsidRPr="003B28FD">
        <w:rPr>
          <w:position w:val="-6"/>
        </w:rPr>
        <w:object w:dxaOrig="139" w:dyaOrig="240" w14:anchorId="45341A4D">
          <v:shape id="_x0000_i3246" type="#_x0000_t75" style="width:7.25pt;height:12.1pt" o:ole="">
            <v:imagedata r:id="rId4476" o:title=""/>
          </v:shape>
          <o:OLEObject Type="Embed" ProgID="Equation.DSMT4" ShapeID="_x0000_i3246" DrawAspect="Content" ObjectID="_1791377190" r:id="rId4477"/>
        </w:object>
      </w:r>
      <w:r w:rsidRPr="003B28FD">
        <w:rPr>
          <w:rFonts w:eastAsiaTheme="minorEastAsia" w:hint="cs"/>
          <w:i/>
          <w:sz w:val="23"/>
          <w:szCs w:val="23"/>
          <w:rtl/>
        </w:rPr>
        <w:t xml:space="preserve"> بخاطر این است که برای بخش خصوصی تصمیمات دولت در زمان </w:t>
      </w:r>
      <w:r w:rsidRPr="003B28FD">
        <w:rPr>
          <w:position w:val="-6"/>
        </w:rPr>
        <w:object w:dxaOrig="440" w:dyaOrig="260" w14:anchorId="7AE1E133">
          <v:shape id="_x0000_i3247" type="#_x0000_t75" style="width:21.8pt;height:13.3pt" o:ole="">
            <v:imagedata r:id="rId4478" o:title=""/>
          </v:shape>
          <o:OLEObject Type="Embed" ProgID="Equation.DSMT4" ShapeID="_x0000_i3247" DrawAspect="Content" ObjectID="_1791377191" r:id="rId4479"/>
        </w:object>
      </w:r>
      <w:r w:rsidRPr="003B28FD">
        <w:rPr>
          <w:rFonts w:eastAsiaTheme="minorEastAsia" w:hint="cs"/>
          <w:i/>
          <w:sz w:val="23"/>
          <w:szCs w:val="23"/>
          <w:rtl/>
        </w:rPr>
        <w:t xml:space="preserve"> در خصوص</w:t>
      </w:r>
      <w:r w:rsidRPr="003B28FD">
        <w:rPr>
          <w:position w:val="-6"/>
        </w:rPr>
        <w:object w:dxaOrig="279" w:dyaOrig="300" w14:anchorId="46894A94">
          <v:shape id="_x0000_i3248" type="#_x0000_t75" style="width:13.9pt;height:15.15pt" o:ole="">
            <v:imagedata r:id="rId4480" o:title=""/>
          </v:shape>
          <o:OLEObject Type="Embed" ProgID="Equation.DSMT4" ShapeID="_x0000_i3248" DrawAspect="Content" ObjectID="_1791377192" r:id="rId4481"/>
        </w:object>
      </w:r>
      <w:r w:rsidRPr="003B28FD">
        <w:rPr>
          <w:rFonts w:eastAsiaTheme="minorEastAsia" w:hint="cs"/>
          <w:i/>
          <w:sz w:val="23"/>
          <w:szCs w:val="23"/>
          <w:rtl/>
        </w:rPr>
        <w:t>،</w:t>
      </w:r>
      <w:r w:rsidRPr="003B28FD">
        <w:rPr>
          <w:position w:val="-6"/>
        </w:rPr>
        <w:object w:dxaOrig="300" w:dyaOrig="300" w14:anchorId="1BFEDCB8">
          <v:shape id="_x0000_i3249" type="#_x0000_t75" style="width:15.15pt;height:15.15pt" o:ole="">
            <v:imagedata r:id="rId4482" o:title=""/>
          </v:shape>
          <o:OLEObject Type="Embed" ProgID="Equation.DSMT4" ShapeID="_x0000_i3249" DrawAspect="Content" ObjectID="_1791377193" r:id="rId4483"/>
        </w:object>
      </w:r>
      <w:r w:rsidRPr="003B28FD">
        <w:rPr>
          <w:rFonts w:eastAsiaTheme="minorEastAsia" w:hint="cs"/>
          <w:i/>
          <w:sz w:val="23"/>
          <w:szCs w:val="23"/>
          <w:rtl/>
        </w:rPr>
        <w:t xml:space="preserve"> و </w:t>
      </w:r>
      <w:r w:rsidRPr="003B28FD">
        <w:rPr>
          <w:position w:val="-10"/>
        </w:rPr>
        <w:object w:dxaOrig="380" w:dyaOrig="320" w14:anchorId="1B66473A">
          <v:shape id="_x0000_i3250" type="#_x0000_t75" style="width:18.75pt;height:16.35pt" o:ole="">
            <v:imagedata r:id="rId4484" o:title=""/>
          </v:shape>
          <o:OLEObject Type="Embed" ProgID="Equation.DSMT4" ShapeID="_x0000_i3250" DrawAspect="Content" ObjectID="_1791377194" r:id="rId4485"/>
        </w:object>
      </w:r>
      <w:r w:rsidRPr="003B28FD">
        <w:rPr>
          <w:rFonts w:eastAsiaTheme="minorEastAsia" w:hint="cs"/>
          <w:i/>
          <w:sz w:val="23"/>
          <w:szCs w:val="23"/>
          <w:rtl/>
        </w:rPr>
        <w:t xml:space="preserve"> داده شده است، و برای دولت هنگام بهینه</w:t>
      </w:r>
      <w:r w:rsidRPr="003B28FD">
        <w:rPr>
          <w:rFonts w:eastAsiaTheme="minorEastAsia"/>
          <w:i/>
          <w:sz w:val="23"/>
          <w:szCs w:val="23"/>
          <w:rtl/>
        </w:rPr>
        <w:softHyphen/>
      </w:r>
      <w:r w:rsidRPr="003B28FD">
        <w:rPr>
          <w:rFonts w:eastAsiaTheme="minorEastAsia" w:hint="cs"/>
          <w:i/>
          <w:sz w:val="23"/>
          <w:szCs w:val="23"/>
          <w:rtl/>
        </w:rPr>
        <w:t>یابی در زمان</w:t>
      </w:r>
      <w:r w:rsidRPr="003B28FD">
        <w:rPr>
          <w:position w:val="-6"/>
        </w:rPr>
        <w:object w:dxaOrig="440" w:dyaOrig="260" w14:anchorId="3DC74161">
          <v:shape id="_x0000_i3251" type="#_x0000_t75" style="width:21.8pt;height:13.3pt" o:ole="">
            <v:imagedata r:id="rId4486" o:title=""/>
          </v:shape>
          <o:OLEObject Type="Embed" ProgID="Equation.DSMT4" ShapeID="_x0000_i3251" DrawAspect="Content" ObjectID="_1791377195" r:id="rId4487"/>
        </w:object>
      </w:r>
      <w:r w:rsidRPr="003B28FD">
        <w:rPr>
          <w:i/>
          <w:sz w:val="23"/>
          <w:szCs w:val="23"/>
        </w:rPr>
        <w:t xml:space="preserve"> </w:t>
      </w:r>
      <w:r w:rsidRPr="003B28FD">
        <w:rPr>
          <w:rFonts w:eastAsiaTheme="minorEastAsia" w:hint="cs"/>
          <w:i/>
          <w:sz w:val="23"/>
          <w:szCs w:val="23"/>
          <w:rtl/>
        </w:rPr>
        <w:t xml:space="preserve">تصمیمات بخش خصوصی در زمان </w:t>
      </w:r>
      <w:r w:rsidRPr="003B28FD">
        <w:rPr>
          <w:position w:val="-6"/>
        </w:rPr>
        <w:object w:dxaOrig="440" w:dyaOrig="260" w14:anchorId="202400C1">
          <v:shape id="_x0000_i3252" type="#_x0000_t75" style="width:21.8pt;height:13.3pt" o:ole="">
            <v:imagedata r:id="rId4488" o:title=""/>
          </v:shape>
          <o:OLEObject Type="Embed" ProgID="Equation.DSMT4" ShapeID="_x0000_i3252" DrawAspect="Content" ObjectID="_1791377196" r:id="rId4489"/>
        </w:object>
      </w:r>
      <w:r w:rsidRPr="003B28FD">
        <w:rPr>
          <w:rFonts w:eastAsiaTheme="minorEastAsia" w:hint="cs"/>
          <w:i/>
          <w:sz w:val="23"/>
          <w:szCs w:val="23"/>
          <w:rtl/>
        </w:rPr>
        <w:t xml:space="preserve"> داده شده است.</w:t>
      </w:r>
      <w:r w:rsidRPr="003B28FD">
        <w:rPr>
          <w:rFonts w:eastAsiaTheme="minorEastAsia"/>
          <w:i/>
          <w:sz w:val="23"/>
          <w:szCs w:val="23"/>
        </w:rPr>
        <w:t xml:space="preserve"> </w:t>
      </w:r>
      <w:r w:rsidRPr="003B28FD">
        <w:rPr>
          <w:rFonts w:eastAsiaTheme="minorEastAsia" w:hint="cs"/>
          <w:i/>
          <w:sz w:val="23"/>
          <w:szCs w:val="23"/>
          <w:rtl/>
        </w:rPr>
        <w:t>نتایج زیان رفاه، با راه حل مشارکتی، در صورتی که این مشارکت وجود داشته باشد، مقایسه می</w:t>
      </w:r>
      <w:r w:rsidRPr="003B28FD">
        <w:rPr>
          <w:rFonts w:eastAsiaTheme="minorEastAsia"/>
          <w:i/>
          <w:sz w:val="23"/>
          <w:szCs w:val="23"/>
          <w:rtl/>
        </w:rPr>
        <w:softHyphen/>
      </w:r>
      <w:r w:rsidRPr="003B28FD">
        <w:rPr>
          <w:rFonts w:eastAsiaTheme="minorEastAsia" w:hint="cs"/>
          <w:i/>
          <w:sz w:val="23"/>
          <w:szCs w:val="23"/>
          <w:rtl/>
        </w:rPr>
        <w:t>شود. سطح بهینه</w:t>
      </w:r>
      <w:r w:rsidRPr="003B28FD">
        <w:rPr>
          <w:rFonts w:eastAsiaTheme="minorEastAsia"/>
          <w:i/>
          <w:sz w:val="23"/>
          <w:szCs w:val="23"/>
          <w:rtl/>
        </w:rPr>
        <w:softHyphen/>
      </w:r>
      <w:r w:rsidRPr="003B28FD">
        <w:rPr>
          <w:rFonts w:eastAsiaTheme="minorEastAsia" w:hint="cs"/>
          <w:i/>
          <w:sz w:val="23"/>
          <w:szCs w:val="23"/>
          <w:rtl/>
        </w:rPr>
        <w:t>ی مالیات سرمایه</w:t>
      </w:r>
      <w:r w:rsidRPr="003B28FD">
        <w:rPr>
          <w:position w:val="-6"/>
        </w:rPr>
        <w:object w:dxaOrig="300" w:dyaOrig="300" w14:anchorId="203DAFC7">
          <v:shape id="_x0000_i3253" type="#_x0000_t75" style="width:15.15pt;height:15.15pt" o:ole="">
            <v:imagedata r:id="rId4490" o:title=""/>
          </v:shape>
          <o:OLEObject Type="Embed" ProgID="Equation.DSMT4" ShapeID="_x0000_i3253" DrawAspect="Content" ObjectID="_1791377197" r:id="rId4491"/>
        </w:object>
      </w:r>
      <w:r w:rsidRPr="003B28FD">
        <w:rPr>
          <w:rFonts w:eastAsiaTheme="minorEastAsia" w:hint="cs"/>
          <w:i/>
          <w:sz w:val="23"/>
          <w:szCs w:val="23"/>
          <w:rtl/>
        </w:rPr>
        <w:t xml:space="preserve"> به رفتار بخش خصوصی در دوره</w:t>
      </w:r>
      <w:r w:rsidRPr="003B28FD">
        <w:rPr>
          <w:rFonts w:eastAsiaTheme="minorEastAsia"/>
          <w:i/>
          <w:sz w:val="23"/>
          <w:szCs w:val="23"/>
          <w:rtl/>
        </w:rPr>
        <w:softHyphen/>
      </w:r>
      <w:r w:rsidRPr="003B28FD">
        <w:rPr>
          <w:rFonts w:eastAsiaTheme="minorEastAsia" w:hint="cs"/>
          <w:i/>
          <w:sz w:val="23"/>
          <w:szCs w:val="23"/>
          <w:rtl/>
        </w:rPr>
        <w:t>ی اول وابسته است. اگر بخش خصوصی تشریک مساعی کند، آنگاه مالیات سرمایه کم خواهد بود که باعث تشویق در انباشت سرمایه می</w:t>
      </w:r>
      <w:r w:rsidRPr="003B28FD">
        <w:rPr>
          <w:rFonts w:eastAsiaTheme="minorEastAsia"/>
          <w:i/>
          <w:sz w:val="23"/>
          <w:szCs w:val="23"/>
          <w:rtl/>
        </w:rPr>
        <w:softHyphen/>
      </w:r>
      <w:r w:rsidRPr="003B28FD">
        <w:rPr>
          <w:rFonts w:eastAsiaTheme="minorEastAsia" w:hint="cs"/>
          <w:i/>
          <w:sz w:val="23"/>
          <w:szCs w:val="23"/>
          <w:rtl/>
        </w:rPr>
        <w:t>شود. اما اگر بخش خصوصی تشریک مساعی و مشارکت نکند آنگاه مالیات سرمایه افزایش خواهد یافت.</w:t>
      </w:r>
    </w:p>
    <w:p w14:paraId="7AC595D4"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سناریوهای سیاستی مختلفی را می</w:t>
      </w:r>
      <w:r w:rsidRPr="003B28FD">
        <w:rPr>
          <w:rFonts w:eastAsiaTheme="minorEastAsia"/>
          <w:i/>
          <w:sz w:val="23"/>
          <w:szCs w:val="23"/>
          <w:rtl/>
        </w:rPr>
        <w:softHyphen/>
      </w:r>
      <w:r w:rsidRPr="003B28FD">
        <w:rPr>
          <w:rFonts w:eastAsiaTheme="minorEastAsia" w:hint="cs"/>
          <w:i/>
          <w:sz w:val="23"/>
          <w:szCs w:val="23"/>
          <w:rtl/>
        </w:rPr>
        <w:t>توان با توجه به مالیات بر نیروی کار و سرمایه رتبه</w:t>
      </w:r>
      <w:r w:rsidRPr="003B28FD">
        <w:rPr>
          <w:rFonts w:eastAsiaTheme="minorEastAsia"/>
          <w:i/>
          <w:sz w:val="23"/>
          <w:szCs w:val="23"/>
          <w:rtl/>
        </w:rPr>
        <w:softHyphen/>
      </w:r>
      <w:r w:rsidRPr="003B28FD">
        <w:rPr>
          <w:rFonts w:eastAsiaTheme="minorEastAsia" w:hint="cs"/>
          <w:i/>
          <w:sz w:val="23"/>
          <w:szCs w:val="23"/>
          <w:rtl/>
        </w:rPr>
        <w:t>بندی کرد. بهترین نتیجه</w:t>
      </w:r>
      <w:r w:rsidRPr="003B28FD">
        <w:rPr>
          <w:rFonts w:eastAsiaTheme="minorEastAsia"/>
          <w:i/>
          <w:sz w:val="23"/>
          <w:szCs w:val="23"/>
          <w:rtl/>
        </w:rPr>
        <w:softHyphen/>
      </w:r>
      <w:r w:rsidRPr="003B28FD">
        <w:rPr>
          <w:rFonts w:eastAsiaTheme="minorEastAsia" w:hint="cs"/>
          <w:i/>
          <w:sz w:val="23"/>
          <w:szCs w:val="23"/>
          <w:rtl/>
        </w:rPr>
        <w:t>ی رفاهی مربوط به راه حل برنامه</w:t>
      </w:r>
      <w:r w:rsidRPr="003B28FD">
        <w:rPr>
          <w:rFonts w:eastAsiaTheme="minorEastAsia"/>
          <w:i/>
          <w:sz w:val="23"/>
          <w:szCs w:val="23"/>
          <w:rtl/>
        </w:rPr>
        <w:softHyphen/>
      </w:r>
      <w:r w:rsidRPr="003B28FD">
        <w:rPr>
          <w:rFonts w:eastAsiaTheme="minorEastAsia" w:hint="cs"/>
          <w:i/>
          <w:sz w:val="23"/>
          <w:szCs w:val="23"/>
          <w:rtl/>
        </w:rPr>
        <w:t>ریز متمرکز است، و در رتبه</w:t>
      </w:r>
      <w:r w:rsidRPr="003B28FD">
        <w:rPr>
          <w:rFonts w:eastAsiaTheme="minorEastAsia"/>
          <w:i/>
          <w:sz w:val="23"/>
          <w:szCs w:val="23"/>
          <w:rtl/>
        </w:rPr>
        <w:softHyphen/>
      </w:r>
      <w:r w:rsidRPr="003B28FD">
        <w:rPr>
          <w:rFonts w:eastAsiaTheme="minorEastAsia" w:hint="cs"/>
          <w:i/>
          <w:sz w:val="23"/>
          <w:szCs w:val="23"/>
          <w:rtl/>
        </w:rPr>
        <w:t>ی دوم حل زمان-ناسازگار قرار دارد؛ حل بین‌دوره</w:t>
      </w:r>
      <w:r w:rsidRPr="003B28FD">
        <w:rPr>
          <w:rFonts w:eastAsiaTheme="minorEastAsia"/>
          <w:i/>
          <w:sz w:val="23"/>
          <w:szCs w:val="23"/>
          <w:rtl/>
        </w:rPr>
        <w:softHyphen/>
      </w:r>
      <w:r w:rsidRPr="003B28FD">
        <w:rPr>
          <w:rFonts w:eastAsiaTheme="minorEastAsia" w:hint="cs"/>
          <w:i/>
          <w:sz w:val="23"/>
          <w:szCs w:val="23"/>
          <w:rtl/>
        </w:rPr>
        <w:t>ای که در آن دولت تصمیمات خودش را به تبع بهینه</w:t>
      </w:r>
      <w:r w:rsidRPr="003B28FD">
        <w:rPr>
          <w:rFonts w:eastAsiaTheme="minorEastAsia"/>
          <w:i/>
          <w:sz w:val="23"/>
          <w:szCs w:val="23"/>
          <w:rtl/>
        </w:rPr>
        <w:softHyphen/>
      </w:r>
      <w:r w:rsidRPr="003B28FD">
        <w:rPr>
          <w:rFonts w:eastAsiaTheme="minorEastAsia" w:hint="cs"/>
          <w:i/>
          <w:sz w:val="23"/>
          <w:szCs w:val="23"/>
          <w:rtl/>
        </w:rPr>
        <w:t>یابی بخش خصوصی مقید می</w:t>
      </w:r>
      <w:r w:rsidRPr="003B28FD">
        <w:rPr>
          <w:rFonts w:eastAsiaTheme="minorEastAsia"/>
          <w:i/>
          <w:sz w:val="23"/>
          <w:szCs w:val="23"/>
          <w:rtl/>
        </w:rPr>
        <w:softHyphen/>
      </w:r>
      <w:r w:rsidRPr="003B28FD">
        <w:rPr>
          <w:rFonts w:eastAsiaTheme="minorEastAsia" w:hint="cs"/>
          <w:i/>
          <w:sz w:val="23"/>
          <w:szCs w:val="23"/>
          <w:rtl/>
        </w:rPr>
        <w:t>کند در رتبه سوم و بالاخره حل زمان-سازگار در رتبه</w:t>
      </w:r>
      <w:r w:rsidRPr="003B28FD">
        <w:rPr>
          <w:rFonts w:eastAsiaTheme="minorEastAsia"/>
          <w:i/>
          <w:sz w:val="23"/>
          <w:szCs w:val="23"/>
          <w:rtl/>
        </w:rPr>
        <w:softHyphen/>
      </w:r>
      <w:r w:rsidRPr="003B28FD">
        <w:rPr>
          <w:rFonts w:eastAsiaTheme="minorEastAsia" w:hint="cs"/>
          <w:i/>
          <w:sz w:val="23"/>
          <w:szCs w:val="23"/>
          <w:rtl/>
        </w:rPr>
        <w:t xml:space="preserve">ی آخر قرار دارد. </w:t>
      </w:r>
    </w:p>
    <w:p w14:paraId="0911F0CA" w14:textId="77777777" w:rsidR="00411620" w:rsidRPr="003B28FD" w:rsidRDefault="00411620" w:rsidP="00411620">
      <w:pPr>
        <w:spacing w:line="216" w:lineRule="auto"/>
        <w:rPr>
          <w:rFonts w:eastAsiaTheme="minorEastAsia"/>
          <w:i/>
          <w:sz w:val="23"/>
          <w:szCs w:val="23"/>
          <w:rtl/>
        </w:rPr>
      </w:pPr>
      <w:r w:rsidRPr="003B28FD">
        <w:rPr>
          <w:rFonts w:eastAsiaTheme="minorEastAsia" w:hint="cs"/>
          <w:i/>
          <w:sz w:val="23"/>
          <w:szCs w:val="23"/>
          <w:rtl/>
        </w:rPr>
        <w:t>در اینجا نشان دادیم که چگونه در سیاست</w:t>
      </w:r>
      <w:r w:rsidRPr="003B28FD">
        <w:rPr>
          <w:rFonts w:eastAsiaTheme="minorEastAsia"/>
          <w:i/>
          <w:sz w:val="23"/>
          <w:szCs w:val="23"/>
          <w:rtl/>
        </w:rPr>
        <w:softHyphen/>
      </w:r>
      <w:r w:rsidRPr="003B28FD">
        <w:rPr>
          <w:rFonts w:eastAsiaTheme="minorEastAsia" w:hint="cs"/>
          <w:i/>
          <w:sz w:val="23"/>
          <w:szCs w:val="23"/>
          <w:rtl/>
        </w:rPr>
        <w:t>گذاری بیش از یک دوره، ممکن است تمایل دولت در خصوص برنامه</w:t>
      </w:r>
      <w:r w:rsidRPr="003B28FD">
        <w:rPr>
          <w:rFonts w:eastAsiaTheme="minorEastAsia"/>
          <w:i/>
          <w:sz w:val="23"/>
          <w:szCs w:val="23"/>
          <w:rtl/>
        </w:rPr>
        <w:softHyphen/>
      </w:r>
      <w:r w:rsidRPr="003B28FD">
        <w:rPr>
          <w:rFonts w:eastAsiaTheme="minorEastAsia" w:hint="cs"/>
          <w:i/>
          <w:sz w:val="23"/>
          <w:szCs w:val="23"/>
          <w:rtl/>
        </w:rPr>
        <w:t>ی اولیه و ابتدایی تغییر کند. تجزیه و تحلیل موضوع تا حدودی پیچیده و مثال</w:t>
      </w:r>
      <w:r w:rsidRPr="003B28FD">
        <w:rPr>
          <w:rFonts w:eastAsiaTheme="minorEastAsia"/>
          <w:i/>
          <w:sz w:val="23"/>
          <w:szCs w:val="23"/>
          <w:rtl/>
        </w:rPr>
        <w:softHyphen/>
      </w:r>
      <w:r w:rsidRPr="003B28FD">
        <w:rPr>
          <w:rFonts w:eastAsiaTheme="minorEastAsia" w:hint="cs"/>
          <w:i/>
          <w:sz w:val="23"/>
          <w:szCs w:val="23"/>
          <w:rtl/>
        </w:rPr>
        <w:t>های کمی در این خصوص در ادبیات اقتصادی وجود دارد. مقاله</w:t>
      </w:r>
      <w:r w:rsidRPr="003B28FD">
        <w:rPr>
          <w:rFonts w:eastAsiaTheme="minorEastAsia"/>
          <w:i/>
          <w:sz w:val="23"/>
          <w:szCs w:val="23"/>
          <w:rtl/>
        </w:rPr>
        <w:softHyphen/>
      </w:r>
      <w:r w:rsidRPr="003B28FD">
        <w:rPr>
          <w:rFonts w:eastAsiaTheme="minorEastAsia" w:hint="cs"/>
          <w:i/>
          <w:sz w:val="23"/>
          <w:szCs w:val="23"/>
          <w:rtl/>
        </w:rPr>
        <w:t xml:space="preserve">ی فیشر منبع اصلی مباحث این فصل است ولی نتایج بدست آمده به عواقب انواع مختلف سناریوهای سیاستی حساس است. همچنین </w:t>
      </w:r>
      <w:r w:rsidRPr="003B28FD">
        <w:rPr>
          <w:rFonts w:eastAsiaTheme="minorEastAsia" w:hint="cs"/>
          <w:i/>
          <w:sz w:val="23"/>
          <w:szCs w:val="23"/>
          <w:rtl/>
        </w:rPr>
        <w:lastRenderedPageBreak/>
        <w:t>نکته</w:t>
      </w:r>
      <w:r w:rsidRPr="003B28FD">
        <w:rPr>
          <w:rFonts w:eastAsiaTheme="minorEastAsia"/>
          <w:i/>
          <w:sz w:val="23"/>
          <w:szCs w:val="23"/>
          <w:rtl/>
        </w:rPr>
        <w:softHyphen/>
      </w:r>
      <w:r w:rsidRPr="003B28FD">
        <w:rPr>
          <w:rFonts w:eastAsiaTheme="minorEastAsia" w:hint="cs"/>
          <w:i/>
          <w:sz w:val="23"/>
          <w:szCs w:val="23"/>
          <w:rtl/>
        </w:rPr>
        <w:t>ی کلیدی در این بررسی این است که مدل اقتصادی بکار رفته برای دو دوره در نظر گرفته شده بود. اما در عمل سیاست</w:t>
      </w:r>
      <w:r w:rsidRPr="003B28FD">
        <w:rPr>
          <w:rFonts w:eastAsiaTheme="minorEastAsia"/>
          <w:i/>
          <w:sz w:val="23"/>
          <w:szCs w:val="23"/>
          <w:rtl/>
        </w:rPr>
        <w:softHyphen/>
      </w:r>
      <w:r w:rsidRPr="003B28FD">
        <w:rPr>
          <w:rFonts w:eastAsiaTheme="minorEastAsia" w:hint="cs"/>
          <w:i/>
          <w:sz w:val="23"/>
          <w:szCs w:val="23"/>
          <w:rtl/>
        </w:rPr>
        <w:t>گذار با مشکلات تکراریِ با بیش از دو دوره مواجه است. اگر برای دولت تجدید بهینه</w:t>
      </w:r>
      <w:r w:rsidRPr="003B28FD">
        <w:rPr>
          <w:rFonts w:eastAsiaTheme="minorEastAsia"/>
          <w:i/>
          <w:sz w:val="23"/>
          <w:szCs w:val="23"/>
          <w:rtl/>
        </w:rPr>
        <w:softHyphen/>
      </w:r>
      <w:r w:rsidRPr="003B28FD">
        <w:rPr>
          <w:rFonts w:eastAsiaTheme="minorEastAsia" w:hint="cs"/>
          <w:i/>
          <w:sz w:val="23"/>
          <w:szCs w:val="23"/>
          <w:rtl/>
        </w:rPr>
        <w:t>یابی در هر دوره بهتر و بهینه باشد، آنگاه فقط برنامه</w:t>
      </w:r>
      <w:r w:rsidRPr="003B28FD">
        <w:rPr>
          <w:rFonts w:eastAsiaTheme="minorEastAsia"/>
          <w:i/>
          <w:sz w:val="23"/>
          <w:szCs w:val="23"/>
          <w:rtl/>
        </w:rPr>
        <w:softHyphen/>
      </w:r>
      <w:r w:rsidRPr="003B28FD">
        <w:rPr>
          <w:rFonts w:eastAsiaTheme="minorEastAsia" w:hint="cs"/>
          <w:i/>
          <w:sz w:val="23"/>
          <w:szCs w:val="23"/>
          <w:rtl/>
        </w:rPr>
        <w:t>ی اولین دوره اجرایی می</w:t>
      </w:r>
      <w:r w:rsidRPr="003B28FD">
        <w:rPr>
          <w:rFonts w:eastAsiaTheme="minorEastAsia"/>
          <w:i/>
          <w:sz w:val="23"/>
          <w:szCs w:val="23"/>
          <w:rtl/>
        </w:rPr>
        <w:softHyphen/>
      </w:r>
      <w:r w:rsidRPr="003B28FD">
        <w:rPr>
          <w:rFonts w:eastAsiaTheme="minorEastAsia" w:hint="cs"/>
          <w:i/>
          <w:sz w:val="23"/>
          <w:szCs w:val="23"/>
          <w:rtl/>
        </w:rPr>
        <w:t>شود و برنامه</w:t>
      </w:r>
      <w:r w:rsidRPr="003B28FD">
        <w:rPr>
          <w:rFonts w:eastAsiaTheme="minorEastAsia"/>
          <w:i/>
          <w:sz w:val="23"/>
          <w:szCs w:val="23"/>
          <w:rtl/>
        </w:rPr>
        <w:softHyphen/>
      </w:r>
      <w:r w:rsidRPr="003B28FD">
        <w:rPr>
          <w:rFonts w:eastAsiaTheme="minorEastAsia" w:hint="cs"/>
          <w:i/>
          <w:sz w:val="23"/>
          <w:szCs w:val="23"/>
          <w:rtl/>
        </w:rPr>
        <w:t>های بعدی تجدید نظر می</w:t>
      </w:r>
      <w:r w:rsidRPr="003B28FD">
        <w:rPr>
          <w:rFonts w:eastAsiaTheme="minorEastAsia"/>
          <w:i/>
          <w:sz w:val="23"/>
          <w:szCs w:val="23"/>
          <w:rtl/>
        </w:rPr>
        <w:softHyphen/>
      </w:r>
      <w:r w:rsidRPr="003B28FD">
        <w:rPr>
          <w:rFonts w:eastAsiaTheme="minorEastAsia" w:hint="cs"/>
          <w:i/>
          <w:sz w:val="23"/>
          <w:szCs w:val="23"/>
          <w:rtl/>
        </w:rPr>
        <w:t>شوند. بخش خصوصی تجدید سیاست</w:t>
      </w:r>
      <w:r w:rsidRPr="003B28FD">
        <w:rPr>
          <w:rFonts w:eastAsiaTheme="minorEastAsia"/>
          <w:i/>
          <w:sz w:val="23"/>
          <w:szCs w:val="23"/>
          <w:rtl/>
        </w:rPr>
        <w:softHyphen/>
      </w:r>
      <w:r w:rsidRPr="003B28FD">
        <w:rPr>
          <w:rFonts w:eastAsiaTheme="minorEastAsia" w:hint="cs"/>
          <w:i/>
          <w:sz w:val="23"/>
          <w:szCs w:val="23"/>
          <w:rtl/>
        </w:rPr>
        <w:t>های اقتصادی را تشخیص داده و در تصمیمات خود از تمامی اظهارات و بیانیه</w:t>
      </w:r>
      <w:r w:rsidRPr="003B28FD">
        <w:rPr>
          <w:rFonts w:eastAsiaTheme="minorEastAsia"/>
          <w:i/>
          <w:sz w:val="23"/>
          <w:szCs w:val="23"/>
          <w:rtl/>
        </w:rPr>
        <w:softHyphen/>
      </w:r>
      <w:r w:rsidRPr="003B28FD">
        <w:rPr>
          <w:rFonts w:eastAsiaTheme="minorEastAsia" w:hint="cs"/>
          <w:i/>
          <w:sz w:val="23"/>
          <w:szCs w:val="23"/>
          <w:rtl/>
        </w:rPr>
        <w:t>های دولت در خصوص سیاست</w:t>
      </w:r>
      <w:r w:rsidRPr="003B28FD">
        <w:rPr>
          <w:rFonts w:eastAsiaTheme="minorEastAsia"/>
          <w:i/>
          <w:sz w:val="23"/>
          <w:szCs w:val="23"/>
          <w:rtl/>
        </w:rPr>
        <w:softHyphen/>
      </w:r>
      <w:r w:rsidRPr="003B28FD">
        <w:rPr>
          <w:rFonts w:eastAsiaTheme="minorEastAsia" w:hint="cs"/>
          <w:i/>
          <w:sz w:val="23"/>
          <w:szCs w:val="23"/>
          <w:rtl/>
        </w:rPr>
        <w:t>های آتی چشم پوشی می</w:t>
      </w:r>
      <w:r w:rsidRPr="003B28FD">
        <w:rPr>
          <w:rFonts w:eastAsiaTheme="minorEastAsia"/>
          <w:i/>
          <w:sz w:val="23"/>
          <w:szCs w:val="23"/>
          <w:rtl/>
        </w:rPr>
        <w:softHyphen/>
      </w:r>
      <w:r w:rsidRPr="003B28FD">
        <w:rPr>
          <w:rFonts w:eastAsiaTheme="minorEastAsia" w:hint="cs"/>
          <w:i/>
          <w:sz w:val="23"/>
          <w:szCs w:val="23"/>
          <w:rtl/>
        </w:rPr>
        <w:t>کند. نتیجه آن</w:t>
      </w:r>
      <w:r w:rsidRPr="003B28FD">
        <w:rPr>
          <w:rFonts w:eastAsiaTheme="minorEastAsia"/>
          <w:i/>
          <w:sz w:val="23"/>
          <w:szCs w:val="23"/>
          <w:rtl/>
        </w:rPr>
        <w:softHyphen/>
      </w:r>
      <w:r w:rsidRPr="003B28FD">
        <w:rPr>
          <w:rFonts w:eastAsiaTheme="minorEastAsia" w:hint="cs"/>
          <w:i/>
          <w:sz w:val="23"/>
          <w:szCs w:val="23"/>
          <w:rtl/>
        </w:rPr>
        <w:t>که مسئله</w:t>
      </w:r>
      <w:r w:rsidRPr="003B28FD">
        <w:rPr>
          <w:rFonts w:eastAsiaTheme="minorEastAsia"/>
          <w:i/>
          <w:sz w:val="23"/>
          <w:szCs w:val="23"/>
          <w:rtl/>
        </w:rPr>
        <w:softHyphen/>
      </w:r>
      <w:r w:rsidRPr="003B28FD">
        <w:rPr>
          <w:rFonts w:eastAsiaTheme="minorEastAsia" w:hint="cs"/>
          <w:i/>
          <w:sz w:val="23"/>
          <w:szCs w:val="23"/>
          <w:rtl/>
        </w:rPr>
        <w:t>ی چند دوره</w:t>
      </w:r>
      <w:r w:rsidRPr="003B28FD">
        <w:rPr>
          <w:rFonts w:eastAsiaTheme="minorEastAsia"/>
          <w:i/>
          <w:sz w:val="23"/>
          <w:szCs w:val="23"/>
          <w:rtl/>
        </w:rPr>
        <w:softHyphen/>
      </w:r>
      <w:r w:rsidRPr="003B28FD">
        <w:rPr>
          <w:rFonts w:eastAsiaTheme="minorEastAsia" w:hint="cs"/>
          <w:i/>
          <w:sz w:val="23"/>
          <w:szCs w:val="23"/>
          <w:rtl/>
        </w:rPr>
        <w:t>ای به مسئله</w:t>
      </w:r>
      <w:r w:rsidRPr="003B28FD">
        <w:rPr>
          <w:rFonts w:eastAsiaTheme="minorEastAsia"/>
          <w:i/>
          <w:sz w:val="23"/>
          <w:szCs w:val="23"/>
          <w:rtl/>
        </w:rPr>
        <w:softHyphen/>
      </w:r>
      <w:r w:rsidRPr="003B28FD">
        <w:rPr>
          <w:rFonts w:eastAsiaTheme="minorEastAsia" w:hint="cs"/>
          <w:i/>
          <w:sz w:val="23"/>
          <w:szCs w:val="23"/>
          <w:rtl/>
        </w:rPr>
        <w:t>ی دنباله</w:t>
      </w:r>
      <w:r w:rsidRPr="003B28FD">
        <w:rPr>
          <w:rFonts w:eastAsiaTheme="minorEastAsia"/>
          <w:i/>
          <w:sz w:val="23"/>
          <w:szCs w:val="23"/>
          <w:rtl/>
        </w:rPr>
        <w:softHyphen/>
      </w:r>
      <w:r w:rsidRPr="003B28FD">
        <w:rPr>
          <w:rFonts w:eastAsiaTheme="minorEastAsia" w:hint="cs"/>
          <w:i/>
          <w:sz w:val="23"/>
          <w:szCs w:val="23"/>
          <w:rtl/>
        </w:rPr>
        <w:t>ای از مسائل یک دوره</w:t>
      </w:r>
      <w:r w:rsidRPr="003B28FD">
        <w:rPr>
          <w:rFonts w:eastAsiaTheme="minorEastAsia"/>
          <w:i/>
          <w:sz w:val="23"/>
          <w:szCs w:val="23"/>
          <w:rtl/>
        </w:rPr>
        <w:softHyphen/>
      </w:r>
      <w:r w:rsidRPr="003B28FD">
        <w:rPr>
          <w:rFonts w:eastAsiaTheme="minorEastAsia" w:hint="cs"/>
          <w:i/>
          <w:sz w:val="23"/>
          <w:szCs w:val="23"/>
          <w:rtl/>
        </w:rPr>
        <w:t>ای تبدیل می</w:t>
      </w:r>
      <w:r w:rsidRPr="003B28FD">
        <w:rPr>
          <w:rFonts w:eastAsiaTheme="minorEastAsia"/>
          <w:i/>
          <w:sz w:val="23"/>
          <w:szCs w:val="23"/>
          <w:rtl/>
        </w:rPr>
        <w:softHyphen/>
      </w:r>
      <w:r w:rsidRPr="003B28FD">
        <w:rPr>
          <w:rFonts w:eastAsiaTheme="minorEastAsia" w:hint="cs"/>
          <w:i/>
          <w:sz w:val="23"/>
          <w:szCs w:val="23"/>
          <w:rtl/>
        </w:rPr>
        <w:t xml:space="preserve">شود. </w:t>
      </w:r>
    </w:p>
    <w:p w14:paraId="104F1D53" w14:textId="77777777" w:rsidR="00411620" w:rsidRPr="003B28FD" w:rsidRDefault="00411620" w:rsidP="00411620">
      <w:pPr>
        <w:spacing w:line="216" w:lineRule="auto"/>
        <w:rPr>
          <w:i/>
          <w:sz w:val="23"/>
          <w:szCs w:val="23"/>
        </w:rPr>
      </w:pPr>
    </w:p>
    <w:p w14:paraId="4624A583" w14:textId="77777777" w:rsidR="00411620" w:rsidRPr="003B28FD" w:rsidRDefault="00411620" w:rsidP="00411620">
      <w:pPr>
        <w:pStyle w:val="Heading1"/>
        <w:spacing w:before="0" w:after="0" w:line="216" w:lineRule="auto"/>
        <w:rPr>
          <w:rFonts w:ascii="Times New Roman" w:hAnsi="Times New Roman" w:cs="B Nazanin"/>
          <w:b w:val="0"/>
          <w:i/>
          <w:sz w:val="23"/>
          <w:szCs w:val="23"/>
        </w:rPr>
      </w:pPr>
      <w:r w:rsidRPr="003B28FD">
        <w:rPr>
          <w:rFonts w:ascii="Times New Roman" w:hAnsi="Times New Roman" w:cs="B Nazanin" w:hint="cs"/>
          <w:b w:val="0"/>
          <w:i/>
          <w:sz w:val="23"/>
          <w:szCs w:val="23"/>
          <w:rtl/>
        </w:rPr>
        <w:t>۶. ۳ مدل</w:t>
      </w:r>
      <w:r w:rsidRPr="003B28FD">
        <w:rPr>
          <w:rFonts w:ascii="Times New Roman" w:hAnsi="Times New Roman" w:cs="B Nazanin"/>
          <w:b w:val="0"/>
          <w:i/>
          <w:sz w:val="23"/>
          <w:szCs w:val="23"/>
          <w:rtl/>
        </w:rPr>
        <w:softHyphen/>
      </w:r>
      <w:r w:rsidRPr="003B28FD">
        <w:rPr>
          <w:rFonts w:ascii="Times New Roman" w:hAnsi="Times New Roman" w:cs="B Nazanin" w:hint="cs"/>
          <w:b w:val="0"/>
          <w:i/>
          <w:sz w:val="23"/>
          <w:szCs w:val="23"/>
          <w:rtl/>
        </w:rPr>
        <w:t xml:space="preserve"> نسل</w:t>
      </w:r>
      <w:r w:rsidRPr="003B28FD">
        <w:rPr>
          <w:rFonts w:ascii="Times New Roman" w:hAnsi="Times New Roman" w:cs="B Nazanin"/>
          <w:b w:val="0"/>
          <w:i/>
          <w:sz w:val="23"/>
          <w:szCs w:val="23"/>
          <w:rtl/>
        </w:rPr>
        <w:softHyphen/>
      </w:r>
      <w:r w:rsidRPr="003B28FD">
        <w:rPr>
          <w:rFonts w:ascii="Times New Roman" w:hAnsi="Times New Roman" w:cs="B Nazanin" w:hint="cs"/>
          <w:b w:val="0"/>
          <w:i/>
          <w:sz w:val="23"/>
          <w:szCs w:val="23"/>
          <w:rtl/>
        </w:rPr>
        <w:t>های هم</w:t>
      </w:r>
      <w:r w:rsidRPr="003B28FD">
        <w:rPr>
          <w:rFonts w:ascii="Times New Roman" w:hAnsi="Times New Roman" w:cs="B Nazanin"/>
          <w:b w:val="0"/>
          <w:i/>
          <w:sz w:val="23"/>
          <w:szCs w:val="23"/>
          <w:rtl/>
        </w:rPr>
        <w:softHyphen/>
      </w:r>
      <w:r w:rsidRPr="003B28FD">
        <w:rPr>
          <w:rFonts w:ascii="Times New Roman" w:hAnsi="Times New Roman" w:cs="B Nazanin" w:hint="cs"/>
          <w:b w:val="0"/>
          <w:i/>
          <w:sz w:val="23"/>
          <w:szCs w:val="23"/>
          <w:rtl/>
        </w:rPr>
        <w:t>پوش</w:t>
      </w:r>
      <w:r w:rsidRPr="003B28FD">
        <w:rPr>
          <w:rStyle w:val="FootnoteReference"/>
          <w:rFonts w:ascii="Times New Roman" w:eastAsiaTheme="majorEastAsia" w:hAnsi="Times New Roman" w:cs="B Nazanin"/>
          <w:b w:val="0"/>
          <w:i/>
          <w:sz w:val="23"/>
          <w:szCs w:val="23"/>
          <w:rtl/>
        </w:rPr>
        <w:footnoteReference w:id="161"/>
      </w:r>
    </w:p>
    <w:p w14:paraId="06EE5A73" w14:textId="77777777" w:rsidR="00411620" w:rsidRPr="003B28FD" w:rsidRDefault="00411620" w:rsidP="00411620">
      <w:pPr>
        <w:spacing w:line="216" w:lineRule="auto"/>
        <w:rPr>
          <w:i/>
          <w:sz w:val="23"/>
          <w:szCs w:val="23"/>
          <w:rtl/>
        </w:rPr>
      </w:pPr>
      <w:r w:rsidRPr="003B28FD">
        <w:rPr>
          <w:rFonts w:hint="cs"/>
          <w:i/>
          <w:sz w:val="23"/>
          <w:szCs w:val="23"/>
          <w:rtl/>
        </w:rPr>
        <w:t xml:space="preserve"> در مدل</w:t>
      </w:r>
      <w:r w:rsidRPr="003B28FD">
        <w:rPr>
          <w:i/>
          <w:sz w:val="23"/>
          <w:szCs w:val="23"/>
          <w:rtl/>
        </w:rPr>
        <w:softHyphen/>
      </w:r>
      <w:r w:rsidRPr="003B28FD">
        <w:rPr>
          <w:rFonts w:hint="cs"/>
          <w:i/>
          <w:sz w:val="23"/>
          <w:szCs w:val="23"/>
          <w:rtl/>
        </w:rPr>
        <w:t>های کارگزار نمونه</w:t>
      </w:r>
      <w:r w:rsidRPr="003B28FD">
        <w:rPr>
          <w:i/>
          <w:sz w:val="23"/>
          <w:szCs w:val="23"/>
        </w:rPr>
        <w:t xml:space="preserve"> </w:t>
      </w:r>
      <w:r w:rsidRPr="003B28FD">
        <w:rPr>
          <w:rFonts w:hint="cs"/>
          <w:i/>
          <w:sz w:val="23"/>
          <w:szCs w:val="23"/>
          <w:rtl/>
        </w:rPr>
        <w:t>فرض می</w:t>
      </w:r>
      <w:r w:rsidRPr="003B28FD">
        <w:rPr>
          <w:i/>
          <w:sz w:val="23"/>
          <w:szCs w:val="23"/>
          <w:rtl/>
        </w:rPr>
        <w:softHyphen/>
      </w:r>
      <w:r w:rsidRPr="003B28FD">
        <w:rPr>
          <w:rFonts w:hint="cs"/>
          <w:i/>
          <w:sz w:val="23"/>
          <w:szCs w:val="23"/>
          <w:rtl/>
        </w:rPr>
        <w:t>شود کلیه خانوارها و بنگاه</w:t>
      </w:r>
      <w:r w:rsidRPr="003B28FD">
        <w:rPr>
          <w:i/>
          <w:sz w:val="23"/>
          <w:szCs w:val="23"/>
          <w:rtl/>
        </w:rPr>
        <w:softHyphen/>
      </w:r>
      <w:r w:rsidRPr="003B28FD">
        <w:rPr>
          <w:rFonts w:hint="cs"/>
          <w:i/>
          <w:sz w:val="23"/>
          <w:szCs w:val="23"/>
          <w:rtl/>
        </w:rPr>
        <w:t>ها یکسانند و برای همیشه زندگی می</w:t>
      </w:r>
      <w:r w:rsidRPr="003B28FD">
        <w:rPr>
          <w:i/>
          <w:sz w:val="23"/>
          <w:szCs w:val="23"/>
          <w:rtl/>
        </w:rPr>
        <w:softHyphen/>
      </w:r>
      <w:r w:rsidRPr="003B28FD">
        <w:rPr>
          <w:rFonts w:hint="cs"/>
          <w:i/>
          <w:sz w:val="23"/>
          <w:szCs w:val="23"/>
          <w:rtl/>
        </w:rPr>
        <w:t>کنند. هر چند بلانچارد و یآری مدل اقتصادی خود را بگونه</w:t>
      </w:r>
      <w:r w:rsidRPr="003B28FD">
        <w:rPr>
          <w:i/>
          <w:sz w:val="23"/>
          <w:szCs w:val="23"/>
          <w:rtl/>
        </w:rPr>
        <w:softHyphen/>
      </w:r>
      <w:r w:rsidRPr="003B28FD">
        <w:rPr>
          <w:rFonts w:hint="cs"/>
          <w:i/>
          <w:sz w:val="23"/>
          <w:szCs w:val="23"/>
          <w:rtl/>
        </w:rPr>
        <w:t>ای تعدیل می</w:t>
      </w:r>
      <w:r w:rsidRPr="003B28FD">
        <w:rPr>
          <w:i/>
          <w:sz w:val="23"/>
          <w:szCs w:val="23"/>
          <w:rtl/>
        </w:rPr>
        <w:softHyphen/>
      </w:r>
      <w:r w:rsidRPr="003B28FD">
        <w:rPr>
          <w:rFonts w:hint="cs"/>
          <w:i/>
          <w:sz w:val="23"/>
          <w:szCs w:val="23"/>
          <w:rtl/>
        </w:rPr>
        <w:t>کنند که در هر دوره احتمال وقوع مرگ هر کارگزار نمونه با ضریب محدود و ثابتی وجود دارد، اما باید توجه داشت که جهت بررسی بسیاری از مسائل اقتصادی، فروض مدل</w:t>
      </w:r>
      <w:r w:rsidRPr="003B28FD">
        <w:rPr>
          <w:i/>
          <w:sz w:val="23"/>
          <w:szCs w:val="23"/>
          <w:rtl/>
        </w:rPr>
        <w:softHyphen/>
      </w:r>
      <w:r w:rsidRPr="003B28FD">
        <w:rPr>
          <w:rFonts w:hint="cs"/>
          <w:i/>
          <w:sz w:val="23"/>
          <w:szCs w:val="23"/>
          <w:rtl/>
        </w:rPr>
        <w:t>های مبتنی بر کارگزار نمونه ساده</w:t>
      </w:r>
      <w:r w:rsidRPr="003B28FD">
        <w:rPr>
          <w:i/>
          <w:sz w:val="23"/>
          <w:szCs w:val="23"/>
          <w:rtl/>
        </w:rPr>
        <w:softHyphen/>
      </w:r>
      <w:r w:rsidRPr="003B28FD">
        <w:rPr>
          <w:rFonts w:hint="cs"/>
          <w:i/>
          <w:sz w:val="23"/>
          <w:szCs w:val="23"/>
          <w:rtl/>
        </w:rPr>
        <w:t>انگارانه است. در این</w:t>
      </w:r>
      <w:r w:rsidRPr="003B28FD">
        <w:rPr>
          <w:i/>
          <w:sz w:val="23"/>
          <w:szCs w:val="23"/>
          <w:rtl/>
        </w:rPr>
        <w:softHyphen/>
      </w:r>
      <w:r w:rsidRPr="003B28FD">
        <w:rPr>
          <w:rFonts w:hint="cs"/>
          <w:i/>
          <w:sz w:val="23"/>
          <w:szCs w:val="23"/>
          <w:rtl/>
        </w:rPr>
        <w:t>گونه مدل</w:t>
      </w:r>
      <w:r w:rsidRPr="003B28FD">
        <w:rPr>
          <w:i/>
          <w:sz w:val="23"/>
          <w:szCs w:val="23"/>
          <w:rtl/>
        </w:rPr>
        <w:softHyphen/>
      </w:r>
      <w:r w:rsidRPr="003B28FD">
        <w:rPr>
          <w:i/>
          <w:sz w:val="23"/>
          <w:szCs w:val="23"/>
          <w:rtl/>
        </w:rPr>
        <w:softHyphen/>
      </w:r>
      <w:r w:rsidRPr="003B28FD">
        <w:rPr>
          <w:rFonts w:hint="cs"/>
          <w:i/>
          <w:sz w:val="23"/>
          <w:szCs w:val="23"/>
          <w:rtl/>
        </w:rPr>
        <w:t>ها اثر بسیاری از مسائل سنی که نتایج اولیه سیاست</w:t>
      </w:r>
      <w:r w:rsidRPr="003B28FD">
        <w:rPr>
          <w:i/>
          <w:sz w:val="23"/>
          <w:szCs w:val="23"/>
          <w:rtl/>
        </w:rPr>
        <w:softHyphen/>
      </w:r>
      <w:r w:rsidRPr="003B28FD">
        <w:rPr>
          <w:rFonts w:hint="cs"/>
          <w:i/>
          <w:sz w:val="23"/>
          <w:szCs w:val="23"/>
          <w:rtl/>
        </w:rPr>
        <w:t>های مالی را تحت تأثیر قرار می</w:t>
      </w:r>
      <w:r w:rsidRPr="003B28FD">
        <w:rPr>
          <w:i/>
          <w:sz w:val="23"/>
          <w:szCs w:val="23"/>
          <w:rtl/>
        </w:rPr>
        <w:softHyphen/>
      </w:r>
      <w:r w:rsidRPr="003B28FD">
        <w:rPr>
          <w:rFonts w:hint="cs"/>
          <w:i/>
          <w:sz w:val="23"/>
          <w:szCs w:val="23"/>
          <w:rtl/>
        </w:rPr>
        <w:t>دهد، همانند احتمال انتقالات بین</w:t>
      </w:r>
      <w:r w:rsidRPr="003B28FD">
        <w:rPr>
          <w:i/>
          <w:sz w:val="23"/>
          <w:szCs w:val="23"/>
          <w:rtl/>
        </w:rPr>
        <w:softHyphen/>
      </w:r>
      <w:r w:rsidRPr="003B28FD">
        <w:rPr>
          <w:rFonts w:hint="cs"/>
          <w:i/>
          <w:sz w:val="23"/>
          <w:szCs w:val="23"/>
          <w:rtl/>
        </w:rPr>
        <w:t>دوره</w:t>
      </w:r>
      <w:r w:rsidRPr="003B28FD">
        <w:rPr>
          <w:i/>
          <w:sz w:val="23"/>
          <w:szCs w:val="23"/>
          <w:rtl/>
        </w:rPr>
        <w:softHyphen/>
      </w:r>
      <w:r w:rsidRPr="003B28FD">
        <w:rPr>
          <w:rFonts w:hint="cs"/>
          <w:i/>
          <w:sz w:val="23"/>
          <w:szCs w:val="23"/>
          <w:rtl/>
        </w:rPr>
        <w:t>ای که مهم</w:t>
      </w:r>
      <w:r w:rsidRPr="003B28FD">
        <w:rPr>
          <w:i/>
          <w:sz w:val="23"/>
          <w:szCs w:val="23"/>
          <w:rtl/>
        </w:rPr>
        <w:softHyphen/>
      </w:r>
      <w:r w:rsidRPr="003B28FD">
        <w:rPr>
          <w:rFonts w:hint="cs"/>
          <w:i/>
          <w:sz w:val="23"/>
          <w:szCs w:val="23"/>
          <w:rtl/>
        </w:rPr>
        <w:t>ترین دلیل جهت پس</w:t>
      </w:r>
      <w:r w:rsidRPr="003B28FD">
        <w:rPr>
          <w:i/>
          <w:sz w:val="23"/>
          <w:szCs w:val="23"/>
          <w:rtl/>
        </w:rPr>
        <w:softHyphen/>
      </w:r>
      <w:r w:rsidRPr="003B28FD">
        <w:rPr>
          <w:rFonts w:hint="cs"/>
          <w:i/>
          <w:sz w:val="23"/>
          <w:szCs w:val="23"/>
          <w:rtl/>
        </w:rPr>
        <w:t>انداز خانوار و سپس انگیزه</w:t>
      </w:r>
      <w:r w:rsidRPr="003B28FD">
        <w:rPr>
          <w:i/>
          <w:sz w:val="23"/>
          <w:szCs w:val="23"/>
          <w:rtl/>
        </w:rPr>
        <w:softHyphen/>
      </w:r>
      <w:r w:rsidRPr="003B28FD">
        <w:rPr>
          <w:rFonts w:hint="cs"/>
          <w:i/>
          <w:sz w:val="23"/>
          <w:szCs w:val="23"/>
          <w:rtl/>
        </w:rPr>
        <w:t>ی دریافت حقوق در دوره</w:t>
      </w:r>
      <w:r w:rsidRPr="003B28FD">
        <w:rPr>
          <w:i/>
          <w:sz w:val="23"/>
          <w:szCs w:val="23"/>
          <w:rtl/>
        </w:rPr>
        <w:softHyphen/>
      </w:r>
      <w:r w:rsidRPr="003B28FD">
        <w:rPr>
          <w:rFonts w:hint="cs"/>
          <w:i/>
          <w:sz w:val="23"/>
          <w:szCs w:val="23"/>
          <w:rtl/>
        </w:rPr>
        <w:t>ی بازنشستگی است وجود ندارد.</w:t>
      </w:r>
    </w:p>
    <w:p w14:paraId="0110A8AD" w14:textId="77777777" w:rsidR="00411620" w:rsidRPr="003B28FD" w:rsidRDefault="00411620" w:rsidP="00411620">
      <w:pPr>
        <w:spacing w:line="216" w:lineRule="auto"/>
        <w:rPr>
          <w:i/>
          <w:sz w:val="23"/>
          <w:szCs w:val="23"/>
          <w:rtl/>
        </w:rPr>
      </w:pPr>
      <w:r w:rsidRPr="003B28FD">
        <w:rPr>
          <w:rFonts w:hint="cs"/>
          <w:i/>
          <w:sz w:val="23"/>
          <w:szCs w:val="23"/>
          <w:rtl/>
        </w:rPr>
        <w:t>در</w:t>
      </w:r>
      <w:r w:rsidRPr="003B28FD">
        <w:rPr>
          <w:i/>
          <w:sz w:val="23"/>
          <w:szCs w:val="23"/>
          <w:rtl/>
        </w:rPr>
        <w:softHyphen/>
      </w:r>
      <w:r w:rsidRPr="003B28FD">
        <w:rPr>
          <w:rFonts w:hint="cs"/>
          <w:i/>
          <w:sz w:val="23"/>
          <w:szCs w:val="23"/>
          <w:rtl/>
        </w:rPr>
        <w:t>حالی</w:t>
      </w:r>
      <w:r w:rsidRPr="003B28FD">
        <w:rPr>
          <w:i/>
          <w:sz w:val="23"/>
          <w:szCs w:val="23"/>
          <w:rtl/>
        </w:rPr>
        <w:softHyphen/>
      </w:r>
      <w:r w:rsidRPr="003B28FD">
        <w:rPr>
          <w:rFonts w:hint="cs"/>
          <w:i/>
          <w:sz w:val="23"/>
          <w:szCs w:val="23"/>
          <w:rtl/>
        </w:rPr>
        <w:t>که زمانِ زندگیِ خانوار محدود، و تعهدات دولت نامعین و غیرقطعی است، با حذف پیش</w:t>
      </w:r>
      <w:r w:rsidRPr="003B28FD">
        <w:rPr>
          <w:i/>
          <w:sz w:val="23"/>
          <w:szCs w:val="23"/>
          <w:rtl/>
        </w:rPr>
        <w:softHyphen/>
      </w:r>
      <w:r w:rsidRPr="003B28FD">
        <w:rPr>
          <w:rFonts w:hint="cs"/>
          <w:i/>
          <w:sz w:val="23"/>
          <w:szCs w:val="23"/>
          <w:rtl/>
        </w:rPr>
        <w:t>فرض</w:t>
      </w:r>
      <w:r w:rsidRPr="003B28FD">
        <w:rPr>
          <w:i/>
          <w:sz w:val="23"/>
          <w:szCs w:val="23"/>
          <w:rtl/>
        </w:rPr>
        <w:softHyphen/>
      </w:r>
      <w:r w:rsidRPr="003B28FD">
        <w:rPr>
          <w:rFonts w:hint="cs"/>
          <w:i/>
          <w:sz w:val="23"/>
          <w:szCs w:val="23"/>
          <w:rtl/>
        </w:rPr>
        <w:t>های مدل کارگزار نمونه، مدل</w:t>
      </w:r>
      <w:r w:rsidRPr="003B28FD">
        <w:rPr>
          <w:i/>
          <w:sz w:val="23"/>
          <w:szCs w:val="23"/>
          <w:rtl/>
        </w:rPr>
        <w:softHyphen/>
      </w:r>
      <w:r w:rsidRPr="003B28FD">
        <w:rPr>
          <w:rFonts w:hint="cs"/>
          <w:i/>
          <w:sz w:val="23"/>
          <w:szCs w:val="23"/>
          <w:rtl/>
        </w:rPr>
        <w:t xml:space="preserve">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پوش را که توسط دایاموند</w:t>
      </w:r>
      <w:r w:rsidRPr="003B28FD">
        <w:rPr>
          <w:rStyle w:val="FootnoteReference"/>
          <w:rFonts w:eastAsiaTheme="majorEastAsia"/>
          <w:i/>
          <w:sz w:val="23"/>
          <w:szCs w:val="23"/>
          <w:rtl/>
        </w:rPr>
        <w:footnoteReference w:id="162"/>
      </w:r>
      <w:r w:rsidRPr="003B28FD">
        <w:rPr>
          <w:rFonts w:hint="cs"/>
          <w:i/>
          <w:sz w:val="23"/>
          <w:szCs w:val="23"/>
          <w:rtl/>
        </w:rPr>
        <w:t>، بلانچارد و فیشر</w:t>
      </w:r>
      <w:r w:rsidRPr="003B28FD">
        <w:rPr>
          <w:rStyle w:val="FootnoteReference"/>
          <w:rFonts w:eastAsiaTheme="majorEastAsia"/>
          <w:i/>
          <w:sz w:val="23"/>
          <w:szCs w:val="23"/>
          <w:rtl/>
        </w:rPr>
        <w:footnoteReference w:id="163"/>
      </w:r>
      <w:r w:rsidRPr="003B28FD">
        <w:rPr>
          <w:rFonts w:hint="cs"/>
          <w:i/>
          <w:sz w:val="23"/>
          <w:szCs w:val="23"/>
          <w:rtl/>
        </w:rPr>
        <w:t>، بارو و سالای مارتین</w:t>
      </w:r>
      <w:r w:rsidRPr="003B28FD">
        <w:rPr>
          <w:rStyle w:val="FootnoteReference"/>
          <w:rFonts w:eastAsiaTheme="majorEastAsia"/>
          <w:i/>
          <w:sz w:val="23"/>
          <w:szCs w:val="23"/>
          <w:rtl/>
        </w:rPr>
        <w:footnoteReference w:id="164"/>
      </w:r>
      <w:r w:rsidRPr="003B28FD">
        <w:rPr>
          <w:rFonts w:hint="cs"/>
          <w:i/>
          <w:sz w:val="23"/>
          <w:szCs w:val="23"/>
          <w:rtl/>
        </w:rPr>
        <w:t xml:space="preserve"> و میشل و دلاکرویک</w:t>
      </w:r>
      <w:r w:rsidRPr="003B28FD">
        <w:rPr>
          <w:rStyle w:val="FootnoteReference"/>
          <w:rFonts w:eastAsiaTheme="majorEastAsia"/>
          <w:i/>
          <w:sz w:val="23"/>
          <w:szCs w:val="23"/>
          <w:rtl/>
        </w:rPr>
        <w:footnoteReference w:id="165"/>
      </w:r>
      <w:r w:rsidRPr="003B28FD">
        <w:rPr>
          <w:i/>
          <w:sz w:val="23"/>
          <w:szCs w:val="23"/>
        </w:rPr>
        <w:t xml:space="preserve"> </w:t>
      </w:r>
      <w:r w:rsidRPr="003B28FD">
        <w:rPr>
          <w:rFonts w:hint="cs"/>
          <w:i/>
          <w:sz w:val="23"/>
          <w:szCs w:val="23"/>
          <w:rtl/>
        </w:rPr>
        <w:t>بسط داده شده است را مورد بررسی قرار می</w:t>
      </w:r>
      <w:r w:rsidRPr="003B28FD">
        <w:rPr>
          <w:i/>
          <w:sz w:val="23"/>
          <w:szCs w:val="23"/>
          <w:rtl/>
        </w:rPr>
        <w:softHyphen/>
      </w:r>
      <w:r w:rsidRPr="003B28FD">
        <w:rPr>
          <w:rFonts w:hint="cs"/>
          <w:i/>
          <w:sz w:val="23"/>
          <w:szCs w:val="23"/>
          <w:rtl/>
        </w:rPr>
        <w:t>دهیم. در اینجا روش</w:t>
      </w:r>
      <w:r w:rsidRPr="003B28FD">
        <w:rPr>
          <w:i/>
          <w:sz w:val="23"/>
          <w:szCs w:val="23"/>
          <w:rtl/>
        </w:rPr>
        <w:softHyphen/>
      </w:r>
      <w:r w:rsidRPr="003B28FD">
        <w:rPr>
          <w:rFonts w:hint="cs"/>
          <w:i/>
          <w:sz w:val="23"/>
          <w:szCs w:val="23"/>
          <w:rtl/>
        </w:rPr>
        <w:t>های تأمین مالی حقوق بازنشستگی بررسی می</w:t>
      </w:r>
      <w:r w:rsidRPr="003B28FD">
        <w:rPr>
          <w:i/>
          <w:sz w:val="23"/>
          <w:szCs w:val="23"/>
          <w:rtl/>
        </w:rPr>
        <w:softHyphen/>
      </w:r>
      <w:r w:rsidRPr="003B28FD">
        <w:rPr>
          <w:rFonts w:hint="cs"/>
          <w:i/>
          <w:sz w:val="23"/>
          <w:szCs w:val="23"/>
          <w:rtl/>
        </w:rPr>
        <w:t>شود و سپس اشاره می</w:t>
      </w:r>
      <w:r w:rsidRPr="003B28FD">
        <w:rPr>
          <w:i/>
          <w:sz w:val="23"/>
          <w:szCs w:val="23"/>
          <w:rtl/>
        </w:rPr>
        <w:softHyphen/>
      </w:r>
      <w:r w:rsidRPr="003B28FD">
        <w:rPr>
          <w:rFonts w:hint="cs"/>
          <w:i/>
          <w:sz w:val="23"/>
          <w:szCs w:val="23"/>
          <w:rtl/>
        </w:rPr>
        <w:t>شود که چگونه مدل</w:t>
      </w:r>
      <w:r w:rsidRPr="003B28FD">
        <w:rPr>
          <w:i/>
          <w:sz w:val="23"/>
          <w:szCs w:val="23"/>
          <w:rtl/>
        </w:rPr>
        <w:softHyphen/>
      </w:r>
      <w:r w:rsidRPr="003B28FD">
        <w:rPr>
          <w:rFonts w:hint="cs"/>
          <w:i/>
          <w:sz w:val="23"/>
          <w:szCs w:val="23"/>
          <w:rtl/>
        </w:rPr>
        <w:t xml:space="preserve">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پوش نتایج سیاست</w:t>
      </w:r>
      <w:r w:rsidRPr="003B28FD">
        <w:rPr>
          <w:i/>
          <w:sz w:val="23"/>
          <w:szCs w:val="23"/>
          <w:rtl/>
        </w:rPr>
        <w:softHyphen/>
      </w:r>
      <w:r w:rsidRPr="003B28FD">
        <w:rPr>
          <w:rFonts w:hint="cs"/>
          <w:i/>
          <w:sz w:val="23"/>
          <w:szCs w:val="23"/>
          <w:rtl/>
        </w:rPr>
        <w:t>های مالی را تحت تأثیر تغییر می</w:t>
      </w:r>
      <w:r w:rsidRPr="003B28FD">
        <w:rPr>
          <w:i/>
          <w:sz w:val="23"/>
          <w:szCs w:val="23"/>
          <w:rtl/>
        </w:rPr>
        <w:softHyphen/>
      </w:r>
      <w:r w:rsidRPr="003B28FD">
        <w:rPr>
          <w:rFonts w:hint="cs"/>
          <w:i/>
          <w:sz w:val="23"/>
          <w:szCs w:val="23"/>
          <w:rtl/>
        </w:rPr>
        <w:t>دهد.</w:t>
      </w:r>
    </w:p>
    <w:p w14:paraId="77239F7B" w14:textId="77777777" w:rsidR="00411620" w:rsidRPr="003B28FD" w:rsidRDefault="00411620" w:rsidP="00411620">
      <w:pPr>
        <w:spacing w:line="216" w:lineRule="auto"/>
        <w:rPr>
          <w:i/>
          <w:sz w:val="23"/>
          <w:szCs w:val="23"/>
          <w:rtl/>
        </w:rPr>
      </w:pPr>
    </w:p>
    <w:p w14:paraId="2CAA1916" w14:textId="77777777" w:rsidR="00411620" w:rsidRPr="003B28FD" w:rsidRDefault="00411620" w:rsidP="00411620">
      <w:pPr>
        <w:pStyle w:val="Heading1"/>
        <w:spacing w:before="0" w:after="0" w:line="216" w:lineRule="auto"/>
        <w:rPr>
          <w:rFonts w:ascii="Times New Roman" w:hAnsi="Times New Roman" w:cs="B Nazanin"/>
          <w:b w:val="0"/>
          <w:i/>
          <w:sz w:val="23"/>
          <w:szCs w:val="23"/>
          <w:rtl/>
        </w:rPr>
      </w:pPr>
      <w:r w:rsidRPr="003B28FD">
        <w:rPr>
          <w:rFonts w:ascii="Times New Roman" w:hAnsi="Times New Roman" w:cs="B Nazanin" w:hint="cs"/>
          <w:b w:val="0"/>
          <w:i/>
          <w:sz w:val="23"/>
          <w:szCs w:val="23"/>
          <w:rtl/>
        </w:rPr>
        <w:t>۶. ۳. ۱ مدل اولیه</w:t>
      </w:r>
      <w:r w:rsidRPr="003B28FD">
        <w:rPr>
          <w:rFonts w:ascii="Times New Roman" w:hAnsi="Times New Roman" w:cs="B Nazanin"/>
          <w:b w:val="0"/>
          <w:i/>
          <w:sz w:val="23"/>
          <w:szCs w:val="23"/>
          <w:rtl/>
        </w:rPr>
        <w:softHyphen/>
      </w:r>
      <w:r w:rsidRPr="003B28FD">
        <w:rPr>
          <w:rFonts w:ascii="Times New Roman" w:hAnsi="Times New Roman" w:cs="B Nazanin" w:hint="cs"/>
          <w:b w:val="0"/>
          <w:i/>
          <w:sz w:val="23"/>
          <w:szCs w:val="23"/>
          <w:rtl/>
        </w:rPr>
        <w:t>ی</w:t>
      </w:r>
      <w:r w:rsidRPr="003B28FD">
        <w:rPr>
          <w:rFonts w:ascii="Times New Roman" w:hAnsi="Times New Roman" w:cs="B Nazanin"/>
          <w:b w:val="0"/>
          <w:i/>
          <w:sz w:val="23"/>
          <w:szCs w:val="23"/>
          <w:rtl/>
        </w:rPr>
        <w:softHyphen/>
      </w:r>
      <w:r w:rsidRPr="003B28FD">
        <w:rPr>
          <w:rFonts w:ascii="Times New Roman" w:hAnsi="Times New Roman" w:cs="B Nazanin" w:hint="cs"/>
          <w:b w:val="0"/>
          <w:i/>
          <w:sz w:val="23"/>
          <w:szCs w:val="23"/>
          <w:rtl/>
        </w:rPr>
        <w:t xml:space="preserve"> نسل</w:t>
      </w:r>
      <w:r w:rsidRPr="003B28FD">
        <w:rPr>
          <w:rFonts w:ascii="Times New Roman" w:hAnsi="Times New Roman" w:cs="B Nazanin"/>
          <w:b w:val="0"/>
          <w:i/>
          <w:sz w:val="23"/>
          <w:szCs w:val="23"/>
          <w:rtl/>
        </w:rPr>
        <w:softHyphen/>
      </w:r>
      <w:r w:rsidRPr="003B28FD">
        <w:rPr>
          <w:rFonts w:ascii="Times New Roman" w:hAnsi="Times New Roman" w:cs="B Nazanin" w:hint="cs"/>
          <w:b w:val="0"/>
          <w:i/>
          <w:sz w:val="23"/>
          <w:szCs w:val="23"/>
          <w:rtl/>
        </w:rPr>
        <w:t>های هم</w:t>
      </w:r>
      <w:r w:rsidRPr="003B28FD">
        <w:rPr>
          <w:rFonts w:ascii="Times New Roman" w:hAnsi="Times New Roman" w:cs="B Nazanin"/>
          <w:b w:val="0"/>
          <w:i/>
          <w:sz w:val="23"/>
          <w:szCs w:val="23"/>
          <w:rtl/>
        </w:rPr>
        <w:softHyphen/>
      </w:r>
      <w:r w:rsidRPr="003B28FD">
        <w:rPr>
          <w:rFonts w:ascii="Times New Roman" w:hAnsi="Times New Roman" w:cs="B Nazanin" w:hint="cs"/>
          <w:b w:val="0"/>
          <w:i/>
          <w:sz w:val="23"/>
          <w:szCs w:val="23"/>
          <w:rtl/>
        </w:rPr>
        <w:t>پوش</w:t>
      </w:r>
    </w:p>
    <w:p w14:paraId="1491397C" w14:textId="77777777" w:rsidR="00411620" w:rsidRPr="003B28FD" w:rsidRDefault="00411620" w:rsidP="00411620">
      <w:pPr>
        <w:spacing w:line="216" w:lineRule="auto"/>
        <w:rPr>
          <w:i/>
          <w:sz w:val="23"/>
          <w:szCs w:val="23"/>
          <w:rtl/>
        </w:rPr>
      </w:pPr>
      <w:r w:rsidRPr="003B28FD">
        <w:rPr>
          <w:rFonts w:hint="cs"/>
          <w:i/>
          <w:sz w:val="23"/>
          <w:szCs w:val="23"/>
          <w:rtl/>
        </w:rPr>
        <w:t>در مدل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پوش طول زندگی هر فرد به دو دوره</w:t>
      </w:r>
      <w:r w:rsidRPr="003B28FD">
        <w:rPr>
          <w:i/>
          <w:sz w:val="23"/>
          <w:szCs w:val="23"/>
          <w:rtl/>
        </w:rPr>
        <w:softHyphen/>
      </w:r>
      <w:r w:rsidRPr="003B28FD">
        <w:rPr>
          <w:rFonts w:hint="cs"/>
          <w:i/>
          <w:sz w:val="23"/>
          <w:szCs w:val="23"/>
          <w:rtl/>
        </w:rPr>
        <w:t>ی جوانی و پیری تفکیک می</w:t>
      </w:r>
      <w:r w:rsidRPr="003B28FD">
        <w:rPr>
          <w:i/>
          <w:sz w:val="23"/>
          <w:szCs w:val="23"/>
          <w:rtl/>
        </w:rPr>
        <w:softHyphen/>
      </w:r>
      <w:r w:rsidRPr="003B28FD">
        <w:rPr>
          <w:rFonts w:hint="cs"/>
          <w:i/>
          <w:sz w:val="23"/>
          <w:szCs w:val="23"/>
          <w:rtl/>
        </w:rPr>
        <w:t>شود. بنابراین در هر لحظه از زمان دو گروه از افراد جوان و افراد مسن وجود دارند و هر دو گروه تصمیمات اقتصادی بین‌دوره</w:t>
      </w:r>
      <w:r w:rsidRPr="003B28FD">
        <w:rPr>
          <w:i/>
          <w:sz w:val="23"/>
          <w:szCs w:val="23"/>
          <w:rtl/>
        </w:rPr>
        <w:softHyphen/>
      </w:r>
      <w:r w:rsidRPr="003B28FD">
        <w:rPr>
          <w:rFonts w:hint="cs"/>
          <w:i/>
          <w:sz w:val="23"/>
          <w:szCs w:val="23"/>
          <w:rtl/>
        </w:rPr>
        <w:t>ای خود را خواهند داشت. تصمیمات اقتصادی افراد جوان برای دو دوره و تصمیمات اقتصادی افراد مسن نیز برای یک دوره گرفته خواهد شد. بنابراین در مدل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پوش، زمان عبارت است از سن، و نه روز و ماه و سال، و فرض می</w:t>
      </w:r>
      <w:r w:rsidRPr="003B28FD">
        <w:rPr>
          <w:i/>
          <w:sz w:val="23"/>
          <w:szCs w:val="23"/>
          <w:rtl/>
        </w:rPr>
        <w:softHyphen/>
      </w:r>
      <w:r w:rsidRPr="003B28FD">
        <w:rPr>
          <w:rFonts w:hint="cs"/>
          <w:i/>
          <w:sz w:val="23"/>
          <w:szCs w:val="23"/>
          <w:rtl/>
        </w:rPr>
        <w:t>شود که فقط نسل جوان کار می</w:t>
      </w:r>
      <w:r w:rsidRPr="003B28FD">
        <w:rPr>
          <w:i/>
          <w:sz w:val="23"/>
          <w:szCs w:val="23"/>
          <w:rtl/>
        </w:rPr>
        <w:softHyphen/>
      </w:r>
      <w:r w:rsidRPr="003B28FD">
        <w:rPr>
          <w:rFonts w:hint="cs"/>
          <w:i/>
          <w:sz w:val="23"/>
          <w:szCs w:val="23"/>
          <w:rtl/>
        </w:rPr>
        <w:t>کند و نسل سالخورده و مسن بازنشسته شده</w:t>
      </w:r>
      <w:r w:rsidRPr="003B28FD">
        <w:rPr>
          <w:i/>
          <w:sz w:val="23"/>
          <w:szCs w:val="23"/>
          <w:rtl/>
        </w:rPr>
        <w:softHyphen/>
      </w:r>
      <w:r w:rsidRPr="003B28FD">
        <w:rPr>
          <w:rFonts w:hint="cs"/>
          <w:i/>
          <w:sz w:val="23"/>
          <w:szCs w:val="23"/>
          <w:rtl/>
        </w:rPr>
        <w:t xml:space="preserve"> و هزینه</w:t>
      </w:r>
      <w:r w:rsidRPr="003B28FD">
        <w:rPr>
          <w:i/>
          <w:sz w:val="23"/>
          <w:szCs w:val="23"/>
          <w:rtl/>
        </w:rPr>
        <w:softHyphen/>
      </w:r>
      <w:r w:rsidRPr="003B28FD">
        <w:rPr>
          <w:rFonts w:hint="cs"/>
          <w:i/>
          <w:sz w:val="23"/>
          <w:szCs w:val="23"/>
          <w:rtl/>
        </w:rPr>
        <w:t>های زندگی خود را از پس</w:t>
      </w:r>
      <w:r w:rsidRPr="003B28FD">
        <w:rPr>
          <w:i/>
          <w:sz w:val="23"/>
          <w:szCs w:val="23"/>
          <w:rtl/>
        </w:rPr>
        <w:softHyphen/>
      </w:r>
      <w:r w:rsidRPr="003B28FD">
        <w:rPr>
          <w:rFonts w:hint="cs"/>
          <w:i/>
          <w:sz w:val="23"/>
          <w:szCs w:val="23"/>
          <w:rtl/>
        </w:rPr>
        <w:t>انداز دوره</w:t>
      </w:r>
      <w:r w:rsidRPr="003B28FD">
        <w:rPr>
          <w:i/>
          <w:sz w:val="23"/>
          <w:szCs w:val="23"/>
          <w:rtl/>
        </w:rPr>
        <w:softHyphen/>
      </w:r>
      <w:r w:rsidRPr="003B28FD">
        <w:rPr>
          <w:rFonts w:hint="cs"/>
          <w:i/>
          <w:sz w:val="23"/>
          <w:szCs w:val="23"/>
          <w:rtl/>
        </w:rPr>
        <w:t>ی قبل تأمین اعتبار می</w:t>
      </w:r>
      <w:r w:rsidRPr="003B28FD">
        <w:rPr>
          <w:i/>
          <w:sz w:val="23"/>
          <w:szCs w:val="23"/>
          <w:rtl/>
        </w:rPr>
        <w:softHyphen/>
      </w:r>
      <w:r w:rsidRPr="003B28FD">
        <w:rPr>
          <w:rFonts w:hint="cs"/>
          <w:i/>
          <w:sz w:val="23"/>
          <w:szCs w:val="23"/>
          <w:rtl/>
        </w:rPr>
        <w:t xml:space="preserve">کند. اگر </w:t>
      </w:r>
      <w:r w:rsidRPr="003B28FD">
        <w:rPr>
          <w:rFonts w:hint="cs"/>
          <w:i/>
          <w:sz w:val="23"/>
          <w:szCs w:val="23"/>
          <w:rtl/>
        </w:rPr>
        <w:lastRenderedPageBreak/>
        <w:t>فرض کنیم کل جمعیت در زمان</w:t>
      </w:r>
      <w:r w:rsidRPr="003B28FD">
        <w:rPr>
          <w:position w:val="-6"/>
        </w:rPr>
        <w:object w:dxaOrig="139" w:dyaOrig="240" w14:anchorId="798D1997">
          <v:shape id="_x0000_i3254" type="#_x0000_t75" style="width:7.25pt;height:12.1pt" o:ole="">
            <v:imagedata r:id="rId4492" o:title=""/>
          </v:shape>
          <o:OLEObject Type="Embed" ProgID="Equation.DSMT4" ShapeID="_x0000_i3254" DrawAspect="Content" ObjectID="_1791377198" r:id="rId4493"/>
        </w:object>
      </w:r>
      <w:r w:rsidRPr="003B28FD">
        <w:rPr>
          <w:i/>
          <w:sz w:val="23"/>
          <w:szCs w:val="23"/>
        </w:rPr>
        <w:t xml:space="preserve"> </w:t>
      </w:r>
      <w:r w:rsidRPr="003B28FD">
        <w:rPr>
          <w:rFonts w:hint="cs"/>
          <w:i/>
          <w:sz w:val="23"/>
          <w:szCs w:val="23"/>
          <w:rtl/>
        </w:rPr>
        <w:t>برابر باشد با</w:t>
      </w:r>
      <w:r w:rsidRPr="003B28FD">
        <w:rPr>
          <w:position w:val="-10"/>
        </w:rPr>
        <w:object w:dxaOrig="320" w:dyaOrig="320" w14:anchorId="351BADD1">
          <v:shape id="_x0000_i3255" type="#_x0000_t75" style="width:16.35pt;height:16.35pt" o:ole="">
            <v:imagedata r:id="rId4494" o:title=""/>
          </v:shape>
          <o:OLEObject Type="Embed" ProgID="Equation.DSMT4" ShapeID="_x0000_i3255" DrawAspect="Content" ObjectID="_1791377199" r:id="rId4495"/>
        </w:object>
      </w:r>
      <w:r w:rsidRPr="003B28FD">
        <w:rPr>
          <w:rFonts w:hint="cs"/>
          <w:i/>
          <w:sz w:val="23"/>
          <w:szCs w:val="23"/>
          <w:rtl/>
        </w:rPr>
        <w:t>، آنگاه کل جمعیت را می</w:t>
      </w:r>
      <w:r w:rsidRPr="003B28FD">
        <w:rPr>
          <w:i/>
          <w:sz w:val="23"/>
          <w:szCs w:val="23"/>
          <w:rtl/>
        </w:rPr>
        <w:softHyphen/>
      </w:r>
      <w:r w:rsidRPr="003B28FD">
        <w:rPr>
          <w:rFonts w:hint="cs"/>
          <w:i/>
          <w:sz w:val="23"/>
          <w:szCs w:val="23"/>
          <w:rtl/>
        </w:rPr>
        <w:t>توان به افراد جوان</w:t>
      </w:r>
      <w:r w:rsidRPr="003B28FD">
        <w:rPr>
          <w:position w:val="-10"/>
        </w:rPr>
        <w:object w:dxaOrig="380" w:dyaOrig="320" w14:anchorId="01E7FD6D">
          <v:shape id="_x0000_i3256" type="#_x0000_t75" style="width:18.75pt;height:16.35pt" o:ole="">
            <v:imagedata r:id="rId4496" o:title=""/>
          </v:shape>
          <o:OLEObject Type="Embed" ProgID="Equation.DSMT4" ShapeID="_x0000_i3256" DrawAspect="Content" ObjectID="_1791377200" r:id="rId4497"/>
        </w:object>
      </w:r>
      <w:r w:rsidRPr="003B28FD">
        <w:rPr>
          <w:rFonts w:hint="cs"/>
          <w:i/>
          <w:sz w:val="23"/>
          <w:szCs w:val="23"/>
          <w:rtl/>
        </w:rPr>
        <w:t xml:space="preserve"> و افراد مسن و سال</w:t>
      </w:r>
      <w:r w:rsidRPr="003B28FD">
        <w:rPr>
          <w:i/>
          <w:sz w:val="23"/>
          <w:szCs w:val="23"/>
          <w:rtl/>
        </w:rPr>
        <w:softHyphen/>
      </w:r>
      <w:r w:rsidRPr="003B28FD">
        <w:rPr>
          <w:rFonts w:hint="cs"/>
          <w:i/>
          <w:sz w:val="23"/>
          <w:szCs w:val="23"/>
          <w:rtl/>
        </w:rPr>
        <w:t>خورده</w:t>
      </w:r>
      <w:r w:rsidRPr="003B28FD">
        <w:rPr>
          <w:position w:val="-10"/>
        </w:rPr>
        <w:object w:dxaOrig="380" w:dyaOrig="320" w14:anchorId="3BF1F18D">
          <v:shape id="_x0000_i3257" type="#_x0000_t75" style="width:18.75pt;height:16.35pt" o:ole="">
            <v:imagedata r:id="rId4498" o:title=""/>
          </v:shape>
          <o:OLEObject Type="Embed" ProgID="Equation.DSMT4" ShapeID="_x0000_i3257" DrawAspect="Content" ObjectID="_1791377201" r:id="rId4499"/>
        </w:object>
      </w:r>
      <w:r w:rsidRPr="003B28FD">
        <w:rPr>
          <w:rFonts w:hint="cs"/>
          <w:i/>
          <w:sz w:val="23"/>
          <w:szCs w:val="23"/>
          <w:rtl/>
        </w:rPr>
        <w:t xml:space="preserve"> تفکیک نمود. لذا </w:t>
      </w:r>
    </w:p>
    <w:p w14:paraId="22571161" w14:textId="77777777" w:rsidR="00411620" w:rsidRPr="003B28FD" w:rsidRDefault="00411620" w:rsidP="00411620">
      <w:pPr>
        <w:pStyle w:val="MTDisplayEquation"/>
        <w:spacing w:line="216" w:lineRule="auto"/>
        <w:rPr>
          <w:rFonts w:ascii="Times New Roman" w:eastAsia="Times New Roman" w:hAnsi="Times New Roman" w:cs="B Nazanin"/>
          <w:i/>
          <w:sz w:val="23"/>
          <w:szCs w:val="23"/>
        </w:rPr>
      </w:pPr>
      <w:r w:rsidRPr="003B28FD">
        <w:rPr>
          <w:position w:val="-10"/>
        </w:rPr>
        <w:object w:dxaOrig="1380" w:dyaOrig="320" w14:anchorId="4BCC757B">
          <v:shape id="_x0000_i3258" type="#_x0000_t75" style="width:68.95pt;height:16.35pt" o:ole="">
            <v:imagedata r:id="rId4500" o:title=""/>
          </v:shape>
          <o:OLEObject Type="Embed" ProgID="Equation.DSMT4" ShapeID="_x0000_i3258" DrawAspect="Content" ObjectID="_1791377202" r:id="rId4501"/>
        </w:object>
      </w:r>
    </w:p>
    <w:p w14:paraId="01428D16" w14:textId="77777777" w:rsidR="00411620" w:rsidRPr="003B28FD" w:rsidRDefault="00411620" w:rsidP="00411620">
      <w:pPr>
        <w:spacing w:line="216" w:lineRule="auto"/>
        <w:rPr>
          <w:i/>
          <w:sz w:val="23"/>
          <w:szCs w:val="23"/>
          <w:rtl/>
        </w:rPr>
      </w:pPr>
      <w:r w:rsidRPr="003B28FD">
        <w:rPr>
          <w:rFonts w:hint="cs"/>
          <w:i/>
          <w:sz w:val="23"/>
          <w:szCs w:val="23"/>
          <w:rtl/>
        </w:rPr>
        <w:t xml:space="preserve"> و چون افراد مسن در دوره</w:t>
      </w:r>
      <w:r w:rsidRPr="003B28FD">
        <w:rPr>
          <w:i/>
          <w:sz w:val="23"/>
          <w:szCs w:val="23"/>
          <w:rtl/>
        </w:rPr>
        <w:softHyphen/>
      </w:r>
      <w:r w:rsidRPr="003B28FD">
        <w:rPr>
          <w:rFonts w:hint="cs"/>
          <w:i/>
          <w:sz w:val="23"/>
          <w:szCs w:val="23"/>
          <w:rtl/>
        </w:rPr>
        <w:t>ی قبل در گروه جوانان بوده</w:t>
      </w:r>
      <w:r w:rsidRPr="003B28FD">
        <w:rPr>
          <w:i/>
          <w:sz w:val="23"/>
          <w:szCs w:val="23"/>
          <w:rtl/>
        </w:rPr>
        <w:softHyphen/>
      </w:r>
      <w:r w:rsidRPr="003B28FD">
        <w:rPr>
          <w:rFonts w:hint="cs"/>
          <w:i/>
          <w:sz w:val="23"/>
          <w:szCs w:val="23"/>
          <w:rtl/>
        </w:rPr>
        <w:t>اند، لذا</w:t>
      </w:r>
    </w:p>
    <w:p w14:paraId="712B261C" w14:textId="77777777" w:rsidR="00411620" w:rsidRPr="003B28FD" w:rsidRDefault="00411620" w:rsidP="00411620">
      <w:pPr>
        <w:pStyle w:val="MTDisplayEquation"/>
        <w:spacing w:line="216" w:lineRule="auto"/>
        <w:jc w:val="left"/>
        <w:rPr>
          <w:rFonts w:ascii="Times New Roman" w:eastAsia="Times New Roman" w:hAnsi="Times New Roman" w:cs="B Nazanin"/>
          <w:i/>
          <w:sz w:val="23"/>
          <w:szCs w:val="23"/>
        </w:rPr>
      </w:pPr>
      <w:r w:rsidRPr="003B28FD">
        <w:rPr>
          <w:position w:val="-12"/>
        </w:rPr>
        <w:object w:dxaOrig="1120" w:dyaOrig="340" w14:anchorId="7DC3D68F">
          <v:shape id="_x0000_i3259" type="#_x0000_t75" style="width:55.65pt;height:16.95pt" o:ole="">
            <v:imagedata r:id="rId4502" o:title=""/>
          </v:shape>
          <o:OLEObject Type="Embed" ProgID="Equation.DSMT4" ShapeID="_x0000_i3259" DrawAspect="Content" ObjectID="_1791377203" r:id="rId4503"/>
        </w:object>
      </w:r>
    </w:p>
    <w:p w14:paraId="1F61E4F4" w14:textId="77777777" w:rsidR="00411620" w:rsidRPr="003B28FD" w:rsidRDefault="00411620" w:rsidP="00411620">
      <w:pPr>
        <w:spacing w:line="216" w:lineRule="auto"/>
        <w:rPr>
          <w:i/>
          <w:sz w:val="23"/>
          <w:szCs w:val="23"/>
        </w:rPr>
      </w:pPr>
      <w:r w:rsidRPr="003B28FD">
        <w:rPr>
          <w:rFonts w:hint="cs"/>
          <w:i/>
          <w:sz w:val="23"/>
          <w:szCs w:val="23"/>
          <w:rtl/>
        </w:rPr>
        <w:t>بنابراین</w:t>
      </w:r>
    </w:p>
    <w:p w14:paraId="09992F7F" w14:textId="77777777" w:rsidR="00411620" w:rsidRPr="003B28FD" w:rsidRDefault="00411620" w:rsidP="00411620">
      <w:pPr>
        <w:bidi w:val="0"/>
        <w:spacing w:line="216" w:lineRule="auto"/>
        <w:rPr>
          <w:i/>
          <w:sz w:val="23"/>
          <w:szCs w:val="23"/>
        </w:rPr>
      </w:pPr>
      <w:r w:rsidRPr="003B28FD">
        <w:rPr>
          <w:position w:val="-12"/>
        </w:rPr>
        <w:object w:dxaOrig="1520" w:dyaOrig="340" w14:anchorId="5D0B14D9">
          <v:shape id="_x0000_i3260" type="#_x0000_t75" style="width:76.25pt;height:16.95pt" o:ole="">
            <v:imagedata r:id="rId4504" o:title=""/>
          </v:shape>
          <o:OLEObject Type="Embed" ProgID="Equation.DSMT4" ShapeID="_x0000_i3260" DrawAspect="Content" ObjectID="_1791377204" r:id="rId4505"/>
        </w:object>
      </w:r>
      <w:r w:rsidRPr="003B28FD">
        <w:rPr>
          <w:rFonts w:hint="cs"/>
          <w:i/>
          <w:sz w:val="23"/>
          <w:szCs w:val="23"/>
          <w:rtl/>
        </w:rPr>
        <w:t xml:space="preserve"> </w:t>
      </w:r>
    </w:p>
    <w:p w14:paraId="54BFE038" w14:textId="77777777" w:rsidR="00411620" w:rsidRPr="003B28FD" w:rsidRDefault="00411620" w:rsidP="00411620">
      <w:pPr>
        <w:spacing w:line="216" w:lineRule="auto"/>
        <w:rPr>
          <w:i/>
          <w:sz w:val="23"/>
          <w:szCs w:val="23"/>
        </w:rPr>
      </w:pPr>
      <w:r w:rsidRPr="003B28FD">
        <w:rPr>
          <w:rFonts w:hint="cs"/>
          <w:i/>
          <w:sz w:val="23"/>
          <w:szCs w:val="23"/>
          <w:rtl/>
        </w:rPr>
        <w:t>اگر نرخ رشد جمعیت را ثابت و</w:t>
      </w:r>
      <w:r w:rsidRPr="003B28FD">
        <w:rPr>
          <w:i/>
          <w:sz w:val="23"/>
          <w:szCs w:val="23"/>
        </w:rPr>
        <w:t xml:space="preserve"> </w:t>
      </w:r>
      <w:r w:rsidRPr="003B28FD">
        <w:rPr>
          <w:rFonts w:hint="cs"/>
          <w:i/>
          <w:sz w:val="23"/>
          <w:szCs w:val="23"/>
          <w:rtl/>
        </w:rPr>
        <w:t>برابر با</w:t>
      </w:r>
      <w:r w:rsidRPr="003B28FD">
        <w:rPr>
          <w:position w:val="-6"/>
        </w:rPr>
        <w:object w:dxaOrig="200" w:dyaOrig="200" w14:anchorId="0D2BAE10">
          <v:shape id="_x0000_i3261" type="#_x0000_t75" style="width:10.3pt;height:10.3pt" o:ole="">
            <v:imagedata r:id="rId4506" o:title=""/>
          </v:shape>
          <o:OLEObject Type="Embed" ProgID="Equation.DSMT4" ShapeID="_x0000_i3261" DrawAspect="Content" ObjectID="_1791377205" r:id="rId4507"/>
        </w:object>
      </w:r>
      <w:r w:rsidRPr="003B28FD">
        <w:rPr>
          <w:i/>
          <w:sz w:val="23"/>
          <w:szCs w:val="23"/>
        </w:rPr>
        <w:t xml:space="preserve"> </w:t>
      </w:r>
      <w:r w:rsidRPr="003B28FD">
        <w:rPr>
          <w:rFonts w:hint="cs"/>
          <w:i/>
          <w:sz w:val="23"/>
          <w:szCs w:val="23"/>
          <w:rtl/>
        </w:rPr>
        <w:t>در نظر بگیریم آنگاه</w:t>
      </w:r>
    </w:p>
    <w:p w14:paraId="6009B050" w14:textId="77777777" w:rsidR="00411620" w:rsidRPr="003B28FD" w:rsidRDefault="00411620" w:rsidP="00411620">
      <w:pPr>
        <w:pStyle w:val="MTDisplayEquation"/>
        <w:tabs>
          <w:tab w:val="clear" w:pos="6660"/>
        </w:tabs>
        <w:spacing w:line="216" w:lineRule="auto"/>
        <w:jc w:val="left"/>
        <w:rPr>
          <w:rFonts w:ascii="Times New Roman" w:hAnsi="Times New Roman" w:cs="B Nazanin"/>
          <w:i/>
          <w:sz w:val="23"/>
          <w:szCs w:val="23"/>
          <w:rtl/>
        </w:rPr>
      </w:pPr>
      <w:r w:rsidRPr="003B28FD">
        <w:rPr>
          <w:position w:val="-22"/>
        </w:rPr>
        <w:object w:dxaOrig="4200" w:dyaOrig="580" w14:anchorId="5FC15E7F">
          <v:shape id="_x0000_i3262" type="#_x0000_t75" style="width:209.95pt;height:29.05pt" o:ole="">
            <v:imagedata r:id="rId4508" o:title=""/>
          </v:shape>
          <o:OLEObject Type="Embed" ProgID="Equation.DSMT4" ShapeID="_x0000_i3262" DrawAspect="Content" ObjectID="_1791377206" r:id="rId4509"/>
        </w:object>
      </w:r>
      <w:r w:rsidRPr="003B28FD">
        <w:rPr>
          <w:rFonts w:ascii="Times New Roman" w:hAnsi="Times New Roman"/>
          <w:i/>
          <w:sz w:val="23"/>
          <w:szCs w:val="23"/>
          <w:rtl/>
        </w:rPr>
        <w:tab/>
      </w:r>
      <w:r w:rsidRPr="003B28FD">
        <w:rPr>
          <w:rFonts w:ascii="Times New Roman" w:hAnsi="Times New Roman"/>
          <w:i/>
          <w:sz w:val="23"/>
          <w:szCs w:val="23"/>
          <w:rtl/>
        </w:rPr>
        <w:tab/>
      </w:r>
      <w:r>
        <w:rPr>
          <w:rFonts w:ascii="Times New Roman" w:hAnsi="Times New Roman"/>
          <w:i/>
          <w:sz w:val="23"/>
          <w:szCs w:val="23"/>
          <w:rtl/>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cs="B Nazanin"/>
          <w:i/>
          <w:sz w:val="23"/>
          <w:szCs w:val="23"/>
        </w:rPr>
        <w:tab/>
      </w:r>
      <w:r w:rsidRPr="003B28FD">
        <w:rPr>
          <w:rFonts w:ascii="Times New Roman" w:hAnsi="Times New Roman" w:cs="B Nazanin" w:hint="cs"/>
          <w:i/>
          <w:sz w:val="23"/>
          <w:szCs w:val="23"/>
          <w:rtl/>
        </w:rPr>
        <w:t>(۶. ۲۹)</w:t>
      </w:r>
    </w:p>
    <w:p w14:paraId="6EBDE372" w14:textId="77777777" w:rsidR="00411620" w:rsidRPr="003B28FD" w:rsidRDefault="00411620" w:rsidP="00411620">
      <w:pPr>
        <w:spacing w:line="216" w:lineRule="auto"/>
        <w:rPr>
          <w:i/>
          <w:sz w:val="23"/>
          <w:szCs w:val="23"/>
          <w:rtl/>
        </w:rPr>
      </w:pPr>
      <w:r w:rsidRPr="003B28FD">
        <w:rPr>
          <w:rFonts w:hint="cs"/>
          <w:i/>
          <w:sz w:val="23"/>
          <w:szCs w:val="23"/>
          <w:rtl/>
        </w:rPr>
        <w:t>و</w:t>
      </w:r>
    </w:p>
    <w:p w14:paraId="05CB8C52" w14:textId="77777777" w:rsidR="00411620" w:rsidRPr="003B28FD" w:rsidRDefault="00411620" w:rsidP="00411620">
      <w:pPr>
        <w:pStyle w:val="MTDisplayEquation"/>
        <w:spacing w:line="216" w:lineRule="auto"/>
        <w:rPr>
          <w:rFonts w:ascii="Times New Roman" w:hAnsi="Times New Roman" w:cs="B Nazanin"/>
          <w:i/>
          <w:sz w:val="23"/>
          <w:szCs w:val="23"/>
          <w:rtl/>
        </w:rPr>
      </w:pPr>
      <w:r w:rsidRPr="003B28FD">
        <w:rPr>
          <w:position w:val="-30"/>
        </w:rPr>
        <w:object w:dxaOrig="6020" w:dyaOrig="660" w14:anchorId="1853214E">
          <v:shape id="_x0000_i3263" type="#_x0000_t75" style="width:300.7pt;height:32.65pt" o:ole="">
            <v:imagedata r:id="rId4510" o:title=""/>
          </v:shape>
          <o:OLEObject Type="Embed" ProgID="Equation.DSMT4" ShapeID="_x0000_i3263" DrawAspect="Content" ObjectID="_1791377207" r:id="rId4511"/>
        </w:object>
      </w:r>
    </w:p>
    <w:p w14:paraId="6CD2DBA9" w14:textId="77777777" w:rsidR="00411620" w:rsidRPr="003B28FD" w:rsidRDefault="00411620" w:rsidP="00411620">
      <w:pPr>
        <w:spacing w:line="216" w:lineRule="auto"/>
        <w:rPr>
          <w:i/>
          <w:sz w:val="23"/>
          <w:szCs w:val="23"/>
          <w:rtl/>
        </w:rPr>
      </w:pPr>
      <w:r w:rsidRPr="003B28FD">
        <w:rPr>
          <w:rFonts w:hint="cs"/>
          <w:i/>
          <w:sz w:val="23"/>
          <w:szCs w:val="23"/>
          <w:rtl/>
        </w:rPr>
        <w:t>به همین ترتیب مخارج مصرفی به ازای هر فرد جوان</w:t>
      </w:r>
      <w:r w:rsidRPr="003B28FD">
        <w:rPr>
          <w:position w:val="-10"/>
        </w:rPr>
        <w:object w:dxaOrig="260" w:dyaOrig="320" w14:anchorId="483167C8">
          <v:shape id="_x0000_i3264" type="#_x0000_t75" style="width:12.7pt;height:16.35pt" o:ole="">
            <v:imagedata r:id="rId4512" o:title=""/>
          </v:shape>
          <o:OLEObject Type="Embed" ProgID="Equation.DSMT4" ShapeID="_x0000_i3264" DrawAspect="Content" ObjectID="_1791377208" r:id="rId4513"/>
        </w:object>
      </w:r>
      <w:r w:rsidRPr="003B28FD">
        <w:rPr>
          <w:rFonts w:hint="cs"/>
          <w:i/>
          <w:sz w:val="23"/>
          <w:szCs w:val="23"/>
          <w:rtl/>
        </w:rPr>
        <w:t xml:space="preserve"> و به ازای هر فرد مسن</w:t>
      </w:r>
      <w:r w:rsidRPr="003B28FD">
        <w:rPr>
          <w:position w:val="-10"/>
        </w:rPr>
        <w:object w:dxaOrig="279" w:dyaOrig="320" w14:anchorId="2A673135">
          <v:shape id="_x0000_i3265" type="#_x0000_t75" style="width:13.9pt;height:16.35pt" o:ole="">
            <v:imagedata r:id="rId4514" o:title=""/>
          </v:shape>
          <o:OLEObject Type="Embed" ProgID="Equation.DSMT4" ShapeID="_x0000_i3265" DrawAspect="Content" ObjectID="_1791377209" r:id="rId4515"/>
        </w:object>
      </w:r>
      <w:r w:rsidRPr="003B28FD">
        <w:rPr>
          <w:rFonts w:hint="cs"/>
          <w:i/>
          <w:sz w:val="23"/>
          <w:szCs w:val="23"/>
          <w:rtl/>
        </w:rPr>
        <w:t xml:space="preserve"> است. لذا کل مخارج مصرفی افراد جوان و کل مخارج مصرفی افراد مسن در زمان</w:t>
      </w:r>
      <w:r w:rsidRPr="003B28FD">
        <w:rPr>
          <w:position w:val="-6"/>
        </w:rPr>
        <w:object w:dxaOrig="139" w:dyaOrig="240" w14:anchorId="53D79804">
          <v:shape id="_x0000_i3266" type="#_x0000_t75" style="width:7.25pt;height:12.1pt" o:ole="">
            <v:imagedata r:id="rId4516" o:title=""/>
          </v:shape>
          <o:OLEObject Type="Embed" ProgID="Equation.DSMT4" ShapeID="_x0000_i3266" DrawAspect="Content" ObjectID="_1791377210" r:id="rId4517"/>
        </w:object>
      </w:r>
      <w:r w:rsidRPr="003B28FD">
        <w:rPr>
          <w:i/>
          <w:sz w:val="23"/>
          <w:szCs w:val="23"/>
        </w:rPr>
        <w:t xml:space="preserve"> </w:t>
      </w:r>
      <w:r w:rsidRPr="003B28FD">
        <w:rPr>
          <w:rFonts w:hint="cs"/>
          <w:i/>
          <w:sz w:val="23"/>
          <w:szCs w:val="23"/>
          <w:rtl/>
        </w:rPr>
        <w:t>برابر خواهد بود با،</w:t>
      </w:r>
    </w:p>
    <w:p w14:paraId="7041D33C" w14:textId="77777777" w:rsidR="00411620" w:rsidRPr="003B28FD" w:rsidRDefault="00411620" w:rsidP="00411620">
      <w:pPr>
        <w:pStyle w:val="MTDisplayEquation"/>
        <w:spacing w:line="216" w:lineRule="auto"/>
        <w:rPr>
          <w:rFonts w:ascii="Times New Roman" w:eastAsia="Times New Roman" w:hAnsi="Times New Roman" w:cs="B Nazanin"/>
          <w:i/>
          <w:sz w:val="23"/>
          <w:szCs w:val="23"/>
        </w:rPr>
      </w:pPr>
      <w:r w:rsidRPr="003B28FD">
        <w:rPr>
          <w:position w:val="-10"/>
        </w:rPr>
        <w:object w:dxaOrig="2260" w:dyaOrig="320" w14:anchorId="10EFC286">
          <v:shape id="_x0000_i3267" type="#_x0000_t75" style="width:113.15pt;height:16.35pt" o:ole="">
            <v:imagedata r:id="rId4518" o:title=""/>
          </v:shape>
          <o:OLEObject Type="Embed" ProgID="Equation.DSMT4" ShapeID="_x0000_i3267" DrawAspect="Content" ObjectID="_1791377211" r:id="rId4519"/>
        </w:object>
      </w:r>
    </w:p>
    <w:p w14:paraId="285193EB" w14:textId="77777777" w:rsidR="00411620" w:rsidRPr="003B28FD" w:rsidRDefault="00411620" w:rsidP="00411620">
      <w:pPr>
        <w:spacing w:line="216" w:lineRule="auto"/>
        <w:rPr>
          <w:i/>
          <w:sz w:val="23"/>
          <w:szCs w:val="23"/>
        </w:rPr>
      </w:pPr>
      <w:r w:rsidRPr="003B28FD">
        <w:rPr>
          <w:rFonts w:eastAsiaTheme="minorEastAsia" w:hint="cs"/>
          <w:i/>
          <w:sz w:val="23"/>
          <w:szCs w:val="23"/>
          <w:rtl/>
        </w:rPr>
        <w:t>و یا</w:t>
      </w:r>
    </w:p>
    <w:p w14:paraId="5CA4603B" w14:textId="77777777" w:rsidR="00411620" w:rsidRPr="003B28FD" w:rsidRDefault="00411620" w:rsidP="00411620">
      <w:pPr>
        <w:bidi w:val="0"/>
        <w:spacing w:line="216" w:lineRule="auto"/>
        <w:rPr>
          <w:rFonts w:eastAsiaTheme="minorEastAsia"/>
          <w:i/>
          <w:sz w:val="23"/>
          <w:szCs w:val="23"/>
        </w:rPr>
      </w:pPr>
      <w:r w:rsidRPr="003B28FD">
        <w:rPr>
          <w:position w:val="-10"/>
        </w:rPr>
        <w:object w:dxaOrig="2060" w:dyaOrig="320" w14:anchorId="590645D3">
          <v:shape id="_x0000_i3268" type="#_x0000_t75" style="width:102.85pt;height:16.35pt" o:ole="">
            <v:imagedata r:id="rId4520" o:title=""/>
          </v:shape>
          <o:OLEObject Type="Embed" ProgID="Equation.DSMT4" ShapeID="_x0000_i3268" DrawAspect="Content" ObjectID="_1791377212" r:id="rId4521"/>
        </w:object>
      </w:r>
      <w:r w:rsidRPr="003B28FD">
        <w:rPr>
          <w:rFonts w:eastAsiaTheme="minorEastAsia"/>
          <w:i/>
          <w:sz w:val="23"/>
          <w:szCs w:val="23"/>
        </w:rPr>
        <w:t xml:space="preserve"> </w:t>
      </w:r>
    </w:p>
    <w:p w14:paraId="290CAAAD" w14:textId="77777777" w:rsidR="00411620" w:rsidRPr="003B28FD" w:rsidRDefault="00411620" w:rsidP="00411620">
      <w:pPr>
        <w:spacing w:line="216" w:lineRule="auto"/>
        <w:rPr>
          <w:i/>
          <w:sz w:val="23"/>
          <w:szCs w:val="23"/>
          <w:rtl/>
        </w:rPr>
      </w:pPr>
      <w:r w:rsidRPr="003B28FD">
        <w:rPr>
          <w:rFonts w:hint="cs"/>
          <w:i/>
          <w:sz w:val="23"/>
          <w:szCs w:val="23"/>
          <w:rtl/>
        </w:rPr>
        <w:t>لازم به توضیح است که نسل جوان در دوره</w:t>
      </w:r>
      <w:r w:rsidRPr="003B28FD">
        <w:rPr>
          <w:i/>
          <w:sz w:val="23"/>
          <w:szCs w:val="23"/>
          <w:rtl/>
        </w:rPr>
        <w:softHyphen/>
      </w:r>
      <w:r w:rsidRPr="003B28FD">
        <w:rPr>
          <w:rFonts w:hint="cs"/>
          <w:i/>
          <w:sz w:val="23"/>
          <w:szCs w:val="23"/>
          <w:rtl/>
        </w:rPr>
        <w:t xml:space="preserve">ی بعد یا زمان </w:t>
      </w:r>
      <w:r w:rsidRPr="003B28FD">
        <w:rPr>
          <w:position w:val="-6"/>
        </w:rPr>
        <w:object w:dxaOrig="440" w:dyaOrig="260" w14:anchorId="60B1A3DD">
          <v:shape id="_x0000_i3269" type="#_x0000_t75" style="width:21.8pt;height:12.7pt" o:ole="">
            <v:imagedata r:id="rId4522" o:title=""/>
          </v:shape>
          <o:OLEObject Type="Embed" ProgID="Equation.DSMT4" ShapeID="_x0000_i3269" DrawAspect="Content" ObjectID="_1791377213" r:id="rId4523"/>
        </w:object>
      </w:r>
      <w:r w:rsidRPr="003B28FD">
        <w:rPr>
          <w:rFonts w:hint="cs"/>
          <w:i/>
          <w:sz w:val="23"/>
          <w:szCs w:val="23"/>
          <w:rtl/>
        </w:rPr>
        <w:t xml:space="preserve"> که سال</w:t>
      </w:r>
      <w:r w:rsidRPr="003B28FD">
        <w:rPr>
          <w:i/>
          <w:sz w:val="23"/>
          <w:szCs w:val="23"/>
          <w:rtl/>
        </w:rPr>
        <w:softHyphen/>
      </w:r>
      <w:r w:rsidRPr="003B28FD">
        <w:rPr>
          <w:rFonts w:hint="cs"/>
          <w:i/>
          <w:sz w:val="23"/>
          <w:szCs w:val="23"/>
          <w:rtl/>
        </w:rPr>
        <w:t>خورده می</w:t>
      </w:r>
      <w:r w:rsidRPr="003B28FD">
        <w:rPr>
          <w:i/>
          <w:sz w:val="23"/>
          <w:szCs w:val="23"/>
          <w:rtl/>
        </w:rPr>
        <w:softHyphen/>
      </w:r>
      <w:r w:rsidRPr="003B28FD">
        <w:rPr>
          <w:rFonts w:hint="cs"/>
          <w:i/>
          <w:sz w:val="23"/>
          <w:szCs w:val="23"/>
          <w:rtl/>
        </w:rPr>
        <w:t>شود، مصرف سرانه</w:t>
      </w:r>
      <w:r w:rsidRPr="003B28FD">
        <w:rPr>
          <w:i/>
          <w:sz w:val="23"/>
          <w:szCs w:val="23"/>
          <w:rtl/>
        </w:rPr>
        <w:softHyphen/>
      </w:r>
      <w:r w:rsidRPr="003B28FD">
        <w:rPr>
          <w:rFonts w:hint="cs"/>
          <w:i/>
          <w:sz w:val="23"/>
          <w:szCs w:val="23"/>
          <w:rtl/>
        </w:rPr>
        <w:t>ی</w:t>
      </w:r>
      <w:r w:rsidRPr="003B28FD">
        <w:rPr>
          <w:position w:val="-12"/>
        </w:rPr>
        <w:object w:dxaOrig="460" w:dyaOrig="340" w14:anchorId="19E84AED">
          <v:shape id="_x0000_i3270" type="#_x0000_t75" style="width:23pt;height:16.95pt" o:ole="">
            <v:imagedata r:id="rId4524" o:title=""/>
          </v:shape>
          <o:OLEObject Type="Embed" ProgID="Equation.DSMT4" ShapeID="_x0000_i3270" DrawAspect="Content" ObjectID="_1791377214" r:id="rId4525"/>
        </w:object>
      </w:r>
      <w:r w:rsidRPr="003B28FD">
        <w:rPr>
          <w:rFonts w:hint="cs"/>
          <w:i/>
          <w:sz w:val="23"/>
          <w:szCs w:val="23"/>
          <w:rtl/>
        </w:rPr>
        <w:t xml:space="preserve"> را</w:t>
      </w:r>
      <w:r w:rsidRPr="003B28FD">
        <w:rPr>
          <w:i/>
          <w:sz w:val="23"/>
          <w:szCs w:val="23"/>
        </w:rPr>
        <w:t xml:space="preserve"> </w:t>
      </w:r>
      <w:r w:rsidRPr="003B28FD">
        <w:rPr>
          <w:rFonts w:hint="cs"/>
          <w:i/>
          <w:sz w:val="23"/>
          <w:szCs w:val="23"/>
          <w:rtl/>
        </w:rPr>
        <w:t>خواهد داشت. بنابراین مصرف کل در زمان</w:t>
      </w:r>
      <w:r w:rsidRPr="003B28FD">
        <w:rPr>
          <w:position w:val="-6"/>
        </w:rPr>
        <w:object w:dxaOrig="139" w:dyaOrig="240" w14:anchorId="7F8F2050">
          <v:shape id="_x0000_i3271" type="#_x0000_t75" style="width:7.25pt;height:12.1pt" o:ole="">
            <v:imagedata r:id="rId4526" o:title=""/>
          </v:shape>
          <o:OLEObject Type="Embed" ProgID="Equation.DSMT4" ShapeID="_x0000_i3271" DrawAspect="Content" ObjectID="_1791377215" r:id="rId4527"/>
        </w:object>
      </w:r>
      <w:r w:rsidRPr="003B28FD">
        <w:rPr>
          <w:rFonts w:hint="cs"/>
          <w:i/>
          <w:sz w:val="23"/>
          <w:szCs w:val="23"/>
          <w:rtl/>
        </w:rPr>
        <w:t xml:space="preserve"> برابر است با،</w:t>
      </w:r>
    </w:p>
    <w:p w14:paraId="65FC7042" w14:textId="77777777" w:rsidR="00411620" w:rsidRPr="003B28FD" w:rsidRDefault="00411620" w:rsidP="00411620">
      <w:pPr>
        <w:pStyle w:val="MTDisplayEquation"/>
        <w:spacing w:line="216" w:lineRule="auto"/>
        <w:rPr>
          <w:rFonts w:ascii="Times New Roman" w:eastAsia="Times New Roman" w:hAnsi="Times New Roman" w:cs="B Nazanin"/>
          <w:i/>
          <w:sz w:val="23"/>
          <w:szCs w:val="23"/>
        </w:rPr>
      </w:pPr>
      <w:r w:rsidRPr="003B28FD">
        <w:rPr>
          <w:position w:val="-26"/>
        </w:rPr>
        <w:object w:dxaOrig="6520" w:dyaOrig="620" w14:anchorId="30D7A270">
          <v:shape id="_x0000_i3272" type="#_x0000_t75" style="width:326.1pt;height:30.85pt" o:ole="">
            <v:imagedata r:id="rId4528" o:title=""/>
          </v:shape>
          <o:OLEObject Type="Embed" ProgID="Equation.DSMT4" ShapeID="_x0000_i3272" DrawAspect="Content" ObjectID="_1791377216" r:id="rId4529"/>
        </w:object>
      </w:r>
    </w:p>
    <w:p w14:paraId="206B83C6" w14:textId="77777777" w:rsidR="00411620" w:rsidRPr="003B28FD" w:rsidRDefault="00411620" w:rsidP="00411620">
      <w:pPr>
        <w:spacing w:line="216" w:lineRule="auto"/>
        <w:rPr>
          <w:i/>
          <w:sz w:val="23"/>
          <w:szCs w:val="23"/>
          <w:rtl/>
        </w:rPr>
      </w:pPr>
      <w:r w:rsidRPr="003B28FD">
        <w:rPr>
          <w:rFonts w:hint="cs"/>
          <w:i/>
          <w:sz w:val="23"/>
          <w:szCs w:val="23"/>
          <w:rtl/>
        </w:rPr>
        <w:t xml:space="preserve">اتحاد درآمد ملی یا قید منابع اقتصاد عبارت است از </w:t>
      </w:r>
    </w:p>
    <w:p w14:paraId="57AAF6B4" w14:textId="77777777" w:rsidR="00411620" w:rsidRPr="003B28FD" w:rsidRDefault="00411620" w:rsidP="00411620">
      <w:pPr>
        <w:pStyle w:val="MTDisplayEquation"/>
        <w:spacing w:line="216" w:lineRule="auto"/>
        <w:rPr>
          <w:rFonts w:ascii="Times New Roman" w:eastAsia="Times New Roman" w:hAnsi="Times New Roman" w:cs="B Nazanin"/>
          <w:i/>
          <w:sz w:val="23"/>
          <w:szCs w:val="23"/>
          <w:rtl/>
        </w:rPr>
      </w:pPr>
      <w:r w:rsidRPr="003B28FD">
        <w:rPr>
          <w:position w:val="-10"/>
        </w:rPr>
        <w:object w:dxaOrig="1040" w:dyaOrig="320" w14:anchorId="5B7F6273">
          <v:shape id="_x0000_i3273" type="#_x0000_t75" style="width:52.05pt;height:16.35pt" o:ole="">
            <v:imagedata r:id="rId4530" o:title=""/>
          </v:shape>
          <o:OLEObject Type="Embed" ProgID="Equation.DSMT4" ShapeID="_x0000_i3273" DrawAspect="Content" ObjectID="_1791377217" r:id="rId4531"/>
        </w:object>
      </w:r>
    </w:p>
    <w:p w14:paraId="54C744EF" w14:textId="77777777" w:rsidR="00411620" w:rsidRPr="003B28FD" w:rsidRDefault="00411620" w:rsidP="00411620">
      <w:pPr>
        <w:spacing w:line="216" w:lineRule="auto"/>
        <w:rPr>
          <w:i/>
          <w:sz w:val="23"/>
          <w:szCs w:val="23"/>
          <w:rtl/>
        </w:rPr>
      </w:pPr>
      <w:r w:rsidRPr="003B28FD">
        <w:rPr>
          <w:rFonts w:hint="cs"/>
          <w:i/>
          <w:sz w:val="23"/>
          <w:szCs w:val="23"/>
          <w:rtl/>
        </w:rPr>
        <w:t>که در آن متغیر</w:t>
      </w:r>
      <w:r w:rsidRPr="003B28FD">
        <w:rPr>
          <w:position w:val="-10"/>
        </w:rPr>
        <w:object w:dxaOrig="220" w:dyaOrig="320" w14:anchorId="40F0C5B8">
          <v:shape id="_x0000_i3274" type="#_x0000_t75" style="width:10.9pt;height:16.35pt" o:ole="">
            <v:imagedata r:id="rId4532" o:title=""/>
          </v:shape>
          <o:OLEObject Type="Embed" ProgID="Equation.DSMT4" ShapeID="_x0000_i3274" DrawAspect="Content" ObjectID="_1791377218" r:id="rId4533"/>
        </w:object>
      </w:r>
      <w:r w:rsidRPr="003B28FD">
        <w:rPr>
          <w:rFonts w:hint="cs"/>
          <w:i/>
          <w:sz w:val="23"/>
          <w:szCs w:val="23"/>
          <w:rtl/>
        </w:rPr>
        <w:t xml:space="preserve"> سرمایه</w:t>
      </w:r>
      <w:r w:rsidRPr="003B28FD">
        <w:rPr>
          <w:i/>
          <w:sz w:val="23"/>
          <w:szCs w:val="23"/>
          <w:rtl/>
        </w:rPr>
        <w:softHyphen/>
      </w:r>
      <w:r w:rsidRPr="003B28FD">
        <w:rPr>
          <w:rFonts w:hint="cs"/>
          <w:i/>
          <w:sz w:val="23"/>
          <w:szCs w:val="23"/>
          <w:rtl/>
        </w:rPr>
        <w:t>گذاری است و شرط انباشت سرمایه نیز عبارت است از</w:t>
      </w:r>
    </w:p>
    <w:p w14:paraId="7BAC7417" w14:textId="77777777" w:rsidR="00411620" w:rsidRPr="003B28FD" w:rsidRDefault="00411620" w:rsidP="00411620">
      <w:pPr>
        <w:pStyle w:val="MTDisplayEquation"/>
        <w:spacing w:line="216" w:lineRule="auto"/>
        <w:rPr>
          <w:rFonts w:ascii="Times New Roman" w:eastAsia="Times New Roman" w:hAnsi="Times New Roman" w:cs="B Nazanin"/>
          <w:i/>
          <w:sz w:val="23"/>
          <w:szCs w:val="23"/>
          <w:rtl/>
        </w:rPr>
      </w:pPr>
      <w:r w:rsidRPr="003B28FD">
        <w:rPr>
          <w:position w:val="-10"/>
        </w:rPr>
        <w:object w:dxaOrig="1520" w:dyaOrig="320" w14:anchorId="6FDE0BEB">
          <v:shape id="_x0000_i3275" type="#_x0000_t75" style="width:76.25pt;height:16.35pt" o:ole="">
            <v:imagedata r:id="rId4534" o:title=""/>
          </v:shape>
          <o:OLEObject Type="Embed" ProgID="Equation.DSMT4" ShapeID="_x0000_i3275" DrawAspect="Content" ObjectID="_1791377219" r:id="rId4535"/>
        </w:object>
      </w:r>
    </w:p>
    <w:p w14:paraId="21EE8C72" w14:textId="77777777" w:rsidR="00411620" w:rsidRPr="003B28FD" w:rsidRDefault="00411620" w:rsidP="00411620">
      <w:pPr>
        <w:spacing w:line="216" w:lineRule="auto"/>
        <w:rPr>
          <w:i/>
          <w:sz w:val="23"/>
          <w:szCs w:val="23"/>
          <w:rtl/>
        </w:rPr>
      </w:pPr>
      <w:r w:rsidRPr="003B28FD">
        <w:rPr>
          <w:rFonts w:hint="cs"/>
          <w:i/>
          <w:sz w:val="23"/>
          <w:szCs w:val="23"/>
          <w:rtl/>
        </w:rPr>
        <w:t>بنابراین از اتحاد درآمد ملی داریم</w:t>
      </w:r>
    </w:p>
    <w:p w14:paraId="578EAF14" w14:textId="77777777" w:rsidR="00411620" w:rsidRPr="003B28FD" w:rsidRDefault="00411620" w:rsidP="00411620">
      <w:pPr>
        <w:pStyle w:val="MTDisplayEquation"/>
        <w:spacing w:line="216" w:lineRule="auto"/>
        <w:rPr>
          <w:rFonts w:ascii="Times New Roman" w:eastAsia="Times New Roman" w:hAnsi="Times New Roman" w:cs="B Nazanin"/>
          <w:i/>
          <w:sz w:val="23"/>
          <w:szCs w:val="23"/>
          <w:rtl/>
        </w:rPr>
      </w:pPr>
      <w:r w:rsidRPr="003B28FD">
        <w:rPr>
          <w:position w:val="-26"/>
        </w:rPr>
        <w:object w:dxaOrig="4520" w:dyaOrig="620" w14:anchorId="347C1BAD">
          <v:shape id="_x0000_i3276" type="#_x0000_t75" style="width:226.3pt;height:30.85pt" o:ole="">
            <v:imagedata r:id="rId4536" o:title=""/>
          </v:shape>
          <o:OLEObject Type="Embed" ProgID="Equation.DSMT4" ShapeID="_x0000_i3276" DrawAspect="Content" ObjectID="_1791377220" r:id="rId4537"/>
        </w:object>
      </w:r>
    </w:p>
    <w:p w14:paraId="17DF7EEA" w14:textId="77777777" w:rsidR="00411620" w:rsidRPr="003B28FD" w:rsidRDefault="00411620" w:rsidP="00411620">
      <w:pPr>
        <w:spacing w:line="216" w:lineRule="auto"/>
        <w:rPr>
          <w:i/>
          <w:sz w:val="23"/>
          <w:szCs w:val="23"/>
          <w:rtl/>
        </w:rPr>
      </w:pPr>
      <w:r w:rsidRPr="003B28FD">
        <w:rPr>
          <w:rFonts w:hint="cs"/>
          <w:i/>
          <w:sz w:val="23"/>
          <w:szCs w:val="23"/>
          <w:rtl/>
        </w:rPr>
        <w:t xml:space="preserve">و قید منابع اقتصاد به ازای هر فرد عبارت خواهد بود از </w:t>
      </w:r>
    </w:p>
    <w:p w14:paraId="74149904" w14:textId="77777777" w:rsidR="00411620" w:rsidRPr="003B28FD" w:rsidRDefault="00411620" w:rsidP="00411620">
      <w:pPr>
        <w:pStyle w:val="MTDisplayEquation"/>
        <w:spacing w:line="216" w:lineRule="auto"/>
        <w:rPr>
          <w:rFonts w:ascii="Times New Roman" w:eastAsia="Times New Roman" w:hAnsi="Times New Roman" w:cs="B Nazanin"/>
          <w:i/>
          <w:sz w:val="23"/>
          <w:szCs w:val="23"/>
        </w:rPr>
      </w:pPr>
      <w:r w:rsidRPr="003B28FD">
        <w:rPr>
          <w:position w:val="-30"/>
        </w:rPr>
        <w:object w:dxaOrig="5880" w:dyaOrig="660" w14:anchorId="183E8581">
          <v:shape id="_x0000_i3277" type="#_x0000_t75" style="width:294.05pt;height:32.65pt" o:ole="">
            <v:imagedata r:id="rId4538" o:title=""/>
          </v:shape>
          <o:OLEObject Type="Embed" ProgID="Equation.DSMT4" ShapeID="_x0000_i3277" DrawAspect="Content" ObjectID="_1791377221" r:id="rId4539"/>
        </w:object>
      </w:r>
    </w:p>
    <w:p w14:paraId="553F2FA1" w14:textId="77777777" w:rsidR="00411620" w:rsidRPr="003B28FD" w:rsidRDefault="00411620" w:rsidP="00411620">
      <w:pPr>
        <w:spacing w:line="216" w:lineRule="auto"/>
        <w:rPr>
          <w:i/>
          <w:sz w:val="23"/>
          <w:szCs w:val="23"/>
          <w:rtl/>
        </w:rPr>
      </w:pPr>
      <w:r w:rsidRPr="003B28FD">
        <w:rPr>
          <w:rFonts w:hint="cs"/>
          <w:i/>
          <w:sz w:val="23"/>
          <w:szCs w:val="23"/>
          <w:rtl/>
        </w:rPr>
        <w:t xml:space="preserve">و چون داشتیم </w:t>
      </w:r>
    </w:p>
    <w:p w14:paraId="74131305" w14:textId="77777777" w:rsidR="00411620" w:rsidRPr="003B28FD" w:rsidRDefault="00411620" w:rsidP="00411620">
      <w:pPr>
        <w:pStyle w:val="MTDisplayEquation"/>
        <w:spacing w:line="216" w:lineRule="auto"/>
        <w:jc w:val="left"/>
        <w:rPr>
          <w:rFonts w:ascii="Times New Roman" w:eastAsia="Times New Roman" w:hAnsi="Times New Roman" w:cs="B Nazanin"/>
          <w:i/>
          <w:sz w:val="23"/>
          <w:szCs w:val="23"/>
        </w:rPr>
      </w:pPr>
      <w:r w:rsidRPr="003B28FD">
        <w:rPr>
          <w:position w:val="-30"/>
        </w:rPr>
        <w:object w:dxaOrig="1880" w:dyaOrig="660" w14:anchorId="31946E8C">
          <v:shape id="_x0000_i3278" type="#_x0000_t75" style="width:93.8pt;height:32.65pt" o:ole="">
            <v:imagedata r:id="rId4540" o:title=""/>
          </v:shape>
          <o:OLEObject Type="Embed" ProgID="Equation.DSMT4" ShapeID="_x0000_i3278" DrawAspect="Content" ObjectID="_1791377222" r:id="rId4541"/>
        </w:object>
      </w:r>
    </w:p>
    <w:p w14:paraId="1ACD975C" w14:textId="77777777" w:rsidR="00411620" w:rsidRPr="003B28FD" w:rsidRDefault="00411620" w:rsidP="00411620">
      <w:pPr>
        <w:spacing w:line="216" w:lineRule="auto"/>
        <w:rPr>
          <w:i/>
          <w:sz w:val="23"/>
          <w:szCs w:val="23"/>
        </w:rPr>
      </w:pPr>
      <w:r w:rsidRPr="003B28FD">
        <w:rPr>
          <w:rFonts w:hint="cs"/>
          <w:i/>
          <w:sz w:val="23"/>
          <w:szCs w:val="23"/>
          <w:rtl/>
        </w:rPr>
        <w:t>و</w:t>
      </w:r>
    </w:p>
    <w:p w14:paraId="5C3477AA" w14:textId="77777777" w:rsidR="00411620" w:rsidRPr="003B28FD" w:rsidRDefault="00411620" w:rsidP="00411620">
      <w:pPr>
        <w:bidi w:val="0"/>
        <w:spacing w:line="216" w:lineRule="auto"/>
        <w:rPr>
          <w:i/>
          <w:sz w:val="23"/>
          <w:szCs w:val="23"/>
          <w:rtl/>
        </w:rPr>
      </w:pPr>
      <w:r w:rsidRPr="003B28FD">
        <w:rPr>
          <w:position w:val="-28"/>
        </w:rPr>
        <w:object w:dxaOrig="3240" w:dyaOrig="639" w14:anchorId="2661ABAE">
          <v:shape id="_x0000_i3279" type="#_x0000_t75" style="width:162.15pt;height:32.05pt" o:ole="">
            <v:imagedata r:id="rId4542" o:title=""/>
          </v:shape>
          <o:OLEObject Type="Embed" ProgID="Equation.DSMT4" ShapeID="_x0000_i3279" DrawAspect="Content" ObjectID="_1791377223" r:id="rId4543"/>
        </w:object>
      </w:r>
    </w:p>
    <w:p w14:paraId="63DFAD64" w14:textId="77777777" w:rsidR="00411620" w:rsidRPr="003B28FD" w:rsidRDefault="00411620" w:rsidP="00411620">
      <w:pPr>
        <w:spacing w:line="216" w:lineRule="auto"/>
        <w:rPr>
          <w:i/>
          <w:sz w:val="23"/>
          <w:szCs w:val="23"/>
          <w:rtl/>
        </w:rPr>
      </w:pPr>
      <w:r w:rsidRPr="003B28FD">
        <w:rPr>
          <w:rFonts w:hint="cs"/>
          <w:i/>
          <w:sz w:val="23"/>
          <w:szCs w:val="23"/>
          <w:rtl/>
        </w:rPr>
        <w:t>و چون افراد فعال و نیروی کار فقط نسل جوانان می</w:t>
      </w:r>
      <w:r w:rsidRPr="003B28FD">
        <w:rPr>
          <w:i/>
          <w:sz w:val="23"/>
          <w:szCs w:val="23"/>
          <w:rtl/>
        </w:rPr>
        <w:softHyphen/>
      </w:r>
      <w:r w:rsidRPr="003B28FD">
        <w:rPr>
          <w:rFonts w:hint="cs"/>
          <w:i/>
          <w:sz w:val="23"/>
          <w:szCs w:val="23"/>
          <w:rtl/>
        </w:rPr>
        <w:t>باشند، لذا متغیر موجودی سرمایه</w:t>
      </w:r>
      <w:r w:rsidRPr="003B28FD">
        <w:rPr>
          <w:i/>
          <w:sz w:val="23"/>
          <w:szCs w:val="23"/>
          <w:rtl/>
        </w:rPr>
        <w:softHyphen/>
      </w:r>
      <w:r w:rsidRPr="003B28FD">
        <w:rPr>
          <w:rFonts w:hint="cs"/>
          <w:i/>
          <w:sz w:val="23"/>
          <w:szCs w:val="23"/>
          <w:rtl/>
        </w:rPr>
        <w:t>ی سرانه بر حسب نسل جوان محاسبه می</w:t>
      </w:r>
      <w:r w:rsidRPr="003B28FD">
        <w:rPr>
          <w:i/>
          <w:sz w:val="23"/>
          <w:szCs w:val="23"/>
          <w:rtl/>
        </w:rPr>
        <w:softHyphen/>
      </w:r>
      <w:r w:rsidRPr="003B28FD">
        <w:rPr>
          <w:rFonts w:hint="cs"/>
          <w:i/>
          <w:sz w:val="23"/>
          <w:szCs w:val="23"/>
          <w:rtl/>
        </w:rPr>
        <w:t>شود یعنی</w:t>
      </w:r>
    </w:p>
    <w:p w14:paraId="170BC01B" w14:textId="77777777" w:rsidR="00411620" w:rsidRPr="003B28FD" w:rsidRDefault="00411620" w:rsidP="00411620">
      <w:pPr>
        <w:pStyle w:val="MTDisplayEquation"/>
        <w:spacing w:line="216" w:lineRule="auto"/>
        <w:rPr>
          <w:rFonts w:ascii="Times New Roman" w:eastAsia="Times New Roman" w:hAnsi="Times New Roman" w:cs="B Nazanin"/>
          <w:i/>
          <w:sz w:val="23"/>
          <w:szCs w:val="23"/>
          <w:rtl/>
        </w:rPr>
      </w:pPr>
      <w:r w:rsidRPr="003B28FD">
        <w:rPr>
          <w:position w:val="-28"/>
        </w:rPr>
        <w:object w:dxaOrig="820" w:dyaOrig="639" w14:anchorId="0C03FC3E">
          <v:shape id="_x0000_i3280" type="#_x0000_t75" style="width:41.15pt;height:32.05pt" o:ole="">
            <v:imagedata r:id="rId4544" o:title=""/>
          </v:shape>
          <o:OLEObject Type="Embed" ProgID="Equation.DSMT4" ShapeID="_x0000_i3280" DrawAspect="Content" ObjectID="_1791377224" r:id="rId4545"/>
        </w:object>
      </w:r>
    </w:p>
    <w:p w14:paraId="38D57911" w14:textId="77777777" w:rsidR="00411620" w:rsidRPr="003B28FD" w:rsidRDefault="00411620" w:rsidP="00411620">
      <w:pPr>
        <w:spacing w:line="216" w:lineRule="auto"/>
        <w:rPr>
          <w:i/>
          <w:sz w:val="23"/>
          <w:szCs w:val="23"/>
          <w:rtl/>
        </w:rPr>
      </w:pPr>
      <w:r w:rsidRPr="003B28FD">
        <w:rPr>
          <w:rFonts w:hint="cs"/>
          <w:i/>
          <w:sz w:val="23"/>
          <w:szCs w:val="23"/>
          <w:rtl/>
        </w:rPr>
        <w:t>و با فاکتورگیری</w:t>
      </w:r>
      <w:r w:rsidRPr="003B28FD">
        <w:rPr>
          <w:position w:val="-28"/>
        </w:rPr>
        <w:object w:dxaOrig="420" w:dyaOrig="639" w14:anchorId="0FF09BAF">
          <v:shape id="_x0000_i3281" type="#_x0000_t75" style="width:20.55pt;height:32.05pt" o:ole="">
            <v:imagedata r:id="rId4546" o:title=""/>
          </v:shape>
          <o:OLEObject Type="Embed" ProgID="Equation.DSMT4" ShapeID="_x0000_i3281" DrawAspect="Content" ObjectID="_1791377225" r:id="rId4547"/>
        </w:object>
      </w:r>
      <w:r w:rsidRPr="003B28FD">
        <w:rPr>
          <w:rFonts w:hint="cs"/>
          <w:i/>
          <w:sz w:val="23"/>
          <w:szCs w:val="23"/>
          <w:rtl/>
        </w:rPr>
        <w:t xml:space="preserve"> از قید منبع اقتصاد به ازاء هر فرد خواهیم داشت،</w:t>
      </w:r>
    </w:p>
    <w:p w14:paraId="70924FEC" w14:textId="77777777" w:rsidR="00411620" w:rsidRPr="003B28FD" w:rsidRDefault="00411620" w:rsidP="00411620">
      <w:pPr>
        <w:pStyle w:val="MTDisplayEquation"/>
        <w:spacing w:line="216" w:lineRule="auto"/>
        <w:rPr>
          <w:rFonts w:ascii="Times New Roman" w:eastAsia="Times New Roman" w:hAnsi="Times New Roman" w:cs="B Nazanin"/>
          <w:i/>
          <w:sz w:val="23"/>
          <w:szCs w:val="23"/>
        </w:rPr>
      </w:pPr>
      <w:r w:rsidRPr="003B28FD">
        <w:rPr>
          <w:position w:val="-30"/>
        </w:rPr>
        <w:object w:dxaOrig="5640" w:dyaOrig="660" w14:anchorId="1C915527">
          <v:shape id="_x0000_i3282" type="#_x0000_t75" style="width:281.95pt;height:32.65pt" o:ole="">
            <v:imagedata r:id="rId4548" o:title=""/>
          </v:shape>
          <o:OLEObject Type="Embed" ProgID="Equation.DSMT4" ShapeID="_x0000_i3282" DrawAspect="Content" ObjectID="_1791377226" r:id="rId4549"/>
        </w:object>
      </w:r>
    </w:p>
    <w:p w14:paraId="38110D44" w14:textId="77777777" w:rsidR="00411620" w:rsidRPr="003B28FD" w:rsidRDefault="00411620" w:rsidP="00411620">
      <w:pPr>
        <w:spacing w:line="216" w:lineRule="auto"/>
        <w:rPr>
          <w:i/>
          <w:sz w:val="23"/>
          <w:szCs w:val="23"/>
          <w:rtl/>
        </w:rPr>
      </w:pPr>
      <w:r w:rsidRPr="003B28FD">
        <w:rPr>
          <w:rFonts w:hint="cs"/>
          <w:i/>
          <w:sz w:val="23"/>
          <w:szCs w:val="23"/>
          <w:rtl/>
        </w:rPr>
        <w:t>اگر فرض کنیم تابع تولید برابر است با</w:t>
      </w:r>
    </w:p>
    <w:p w14:paraId="0136BF5A" w14:textId="77777777" w:rsidR="00411620" w:rsidRPr="003B28FD" w:rsidRDefault="00411620" w:rsidP="00411620">
      <w:pPr>
        <w:bidi w:val="0"/>
        <w:spacing w:line="216" w:lineRule="auto"/>
        <w:rPr>
          <w:i/>
          <w:sz w:val="23"/>
          <w:szCs w:val="23"/>
        </w:rPr>
      </w:pPr>
      <w:r w:rsidRPr="003B28FD">
        <w:rPr>
          <w:rFonts w:hint="cs"/>
          <w:i/>
          <w:sz w:val="23"/>
          <w:szCs w:val="23"/>
          <w:rtl/>
        </w:rPr>
        <w:t xml:space="preserve"> </w:t>
      </w:r>
      <w:r w:rsidRPr="003B28FD">
        <w:rPr>
          <w:position w:val="-12"/>
        </w:rPr>
        <w:object w:dxaOrig="1480" w:dyaOrig="360" w14:anchorId="0E7C8513">
          <v:shape id="_x0000_i3283" type="#_x0000_t75" style="width:73.8pt;height:18.15pt" o:ole="">
            <v:imagedata r:id="rId4550" o:title=""/>
          </v:shape>
          <o:OLEObject Type="Embed" ProgID="Equation.DSMT4" ShapeID="_x0000_i3283" DrawAspect="Content" ObjectID="_1791377227" r:id="rId4551"/>
        </w:object>
      </w:r>
    </w:p>
    <w:p w14:paraId="2C578469" w14:textId="77777777" w:rsidR="00411620" w:rsidRPr="003B28FD" w:rsidRDefault="00411620" w:rsidP="00411620">
      <w:pPr>
        <w:spacing w:line="216" w:lineRule="auto"/>
        <w:rPr>
          <w:i/>
          <w:sz w:val="23"/>
          <w:szCs w:val="23"/>
          <w:rtl/>
        </w:rPr>
      </w:pPr>
      <w:r w:rsidRPr="003B28FD">
        <w:rPr>
          <w:rFonts w:hint="cs"/>
          <w:i/>
          <w:sz w:val="23"/>
          <w:szCs w:val="23"/>
          <w:rtl/>
        </w:rPr>
        <w:t xml:space="preserve">و در اقتصاد بازدهی ثابت به مقیاس وجود داشته باشد، لذا تولید سرانه، یا تولید به ازای هر فرد برابر است با </w:t>
      </w:r>
    </w:p>
    <w:p w14:paraId="347F8A23" w14:textId="77777777" w:rsidR="00411620" w:rsidRPr="003B28FD" w:rsidRDefault="00411620" w:rsidP="00411620">
      <w:pPr>
        <w:pStyle w:val="MTDisplayEquation"/>
        <w:spacing w:line="216" w:lineRule="auto"/>
        <w:rPr>
          <w:rFonts w:ascii="Times New Roman" w:eastAsia="Times New Roman" w:hAnsi="Times New Roman" w:cs="B Nazanin"/>
          <w:i/>
          <w:sz w:val="23"/>
          <w:szCs w:val="23"/>
        </w:rPr>
      </w:pPr>
      <w:r w:rsidRPr="003B28FD">
        <w:rPr>
          <w:position w:val="-30"/>
        </w:rPr>
        <w:object w:dxaOrig="6100" w:dyaOrig="700" w14:anchorId="5A09DD74">
          <v:shape id="_x0000_i3284" type="#_x0000_t75" style="width:304.95pt;height:35.1pt" o:ole="">
            <v:imagedata r:id="rId4552" o:title=""/>
          </v:shape>
          <o:OLEObject Type="Embed" ProgID="Equation.DSMT4" ShapeID="_x0000_i3284" DrawAspect="Content" ObjectID="_1791377228" r:id="rId4553"/>
        </w:object>
      </w:r>
    </w:p>
    <w:p w14:paraId="1BE32577" w14:textId="77777777" w:rsidR="00411620" w:rsidRPr="003B28FD" w:rsidRDefault="00411620" w:rsidP="00411620">
      <w:pPr>
        <w:spacing w:line="216" w:lineRule="auto"/>
        <w:rPr>
          <w:i/>
          <w:sz w:val="23"/>
          <w:szCs w:val="23"/>
          <w:rtl/>
        </w:rPr>
      </w:pPr>
      <w:r w:rsidRPr="003B28FD">
        <w:rPr>
          <w:rFonts w:hint="cs"/>
          <w:i/>
          <w:sz w:val="23"/>
          <w:szCs w:val="23"/>
          <w:rtl/>
        </w:rPr>
        <w:t xml:space="preserve">بنابراین قید منبع اقتصاد سرانه برابر است با  </w:t>
      </w:r>
    </w:p>
    <w:p w14:paraId="7420FFA9" w14:textId="77777777" w:rsidR="00411620" w:rsidRPr="003B28FD" w:rsidRDefault="00411620" w:rsidP="00411620">
      <w:pPr>
        <w:bidi w:val="0"/>
        <w:spacing w:line="216" w:lineRule="auto"/>
        <w:rPr>
          <w:i/>
          <w:sz w:val="23"/>
          <w:szCs w:val="23"/>
          <w:rtl/>
        </w:rPr>
      </w:pPr>
      <w:r w:rsidRPr="003B28FD">
        <w:rPr>
          <w:position w:val="-22"/>
        </w:rPr>
        <w:object w:dxaOrig="3940" w:dyaOrig="560" w14:anchorId="478183C8">
          <v:shape id="_x0000_i3285" type="#_x0000_t75" style="width:196.65pt;height:28.45pt" o:ole="">
            <v:imagedata r:id="rId4554" o:title=""/>
          </v:shape>
          <o:OLEObject Type="Embed" ProgID="Equation.DSMT4" ShapeID="_x0000_i3285" DrawAspect="Content" ObjectID="_1791377229" r:id="rId4555"/>
        </w:object>
      </w:r>
      <w:r w:rsidRPr="003B28FD">
        <w:rPr>
          <w:rFonts w:hint="cs"/>
          <w:i/>
          <w:sz w:val="23"/>
          <w:szCs w:val="23"/>
          <w:rtl/>
        </w:rPr>
        <w:t xml:space="preserve"> </w:t>
      </w:r>
      <w:r w:rsidRPr="003B28FD">
        <w:rPr>
          <w:i/>
          <w:sz w:val="23"/>
          <w:szCs w:val="23"/>
        </w:rPr>
        <w:tab/>
      </w:r>
      <w:r w:rsidRPr="003B28FD">
        <w:rPr>
          <w:i/>
          <w:sz w:val="23"/>
          <w:szCs w:val="23"/>
          <w:rtl/>
        </w:rPr>
        <w:tab/>
      </w:r>
      <w:r>
        <w:rPr>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rFonts w:hint="cs"/>
          <w:i/>
          <w:sz w:val="23"/>
          <w:szCs w:val="23"/>
          <w:rtl/>
        </w:rPr>
        <w:t>(۶. ۳۱)</w:t>
      </w:r>
    </w:p>
    <w:p w14:paraId="30FCEC25" w14:textId="77777777" w:rsidR="00411620" w:rsidRPr="003B28FD" w:rsidRDefault="00411620" w:rsidP="00411620">
      <w:pPr>
        <w:spacing w:line="216" w:lineRule="auto"/>
        <w:rPr>
          <w:i/>
          <w:sz w:val="23"/>
          <w:szCs w:val="23"/>
        </w:rPr>
      </w:pPr>
      <w:r w:rsidRPr="003B28FD">
        <w:rPr>
          <w:rFonts w:hint="cs"/>
          <w:i/>
          <w:sz w:val="23"/>
          <w:szCs w:val="23"/>
          <w:rtl/>
        </w:rPr>
        <w:t>در تابع تولید بنگاهی که بدنبال حداکثر</w:t>
      </w:r>
      <w:r w:rsidRPr="003B28FD">
        <w:rPr>
          <w:i/>
          <w:sz w:val="23"/>
          <w:szCs w:val="23"/>
          <w:rtl/>
        </w:rPr>
        <w:softHyphen/>
      </w:r>
      <w:r w:rsidRPr="003B28FD">
        <w:rPr>
          <w:rFonts w:hint="cs"/>
          <w:i/>
          <w:sz w:val="23"/>
          <w:szCs w:val="23"/>
          <w:rtl/>
        </w:rPr>
        <w:t>سازی سود است نشان داده شد که خالص تولید نهایی سرمایه برابر است با نرخ بازدهی سرمایه</w:t>
      </w:r>
      <w:r w:rsidRPr="003B28FD">
        <w:rPr>
          <w:position w:val="-10"/>
        </w:rPr>
        <w:object w:dxaOrig="180" w:dyaOrig="320" w14:anchorId="4EA964ED">
          <v:shape id="_x0000_i3286" type="#_x0000_t75" style="width:9.1pt;height:16.35pt" o:ole="">
            <v:imagedata r:id="rId4556" o:title=""/>
          </v:shape>
          <o:OLEObject Type="Embed" ProgID="Equation.DSMT4" ShapeID="_x0000_i3286" DrawAspect="Content" ObjectID="_1791377230" r:id="rId4557"/>
        </w:object>
      </w:r>
      <w:r w:rsidRPr="003B28FD">
        <w:rPr>
          <w:rFonts w:hint="cs"/>
          <w:i/>
          <w:sz w:val="23"/>
          <w:szCs w:val="23"/>
          <w:rtl/>
        </w:rPr>
        <w:t>. یعنی</w:t>
      </w:r>
    </w:p>
    <w:p w14:paraId="71FC1F54" w14:textId="77777777" w:rsidR="00411620" w:rsidRPr="003B28FD" w:rsidRDefault="00411620" w:rsidP="00411620">
      <w:pPr>
        <w:bidi w:val="0"/>
        <w:spacing w:line="216" w:lineRule="auto"/>
        <w:rPr>
          <w:i/>
          <w:sz w:val="23"/>
          <w:szCs w:val="23"/>
          <w:rtl/>
        </w:rPr>
      </w:pPr>
      <w:r w:rsidRPr="003B28FD">
        <w:rPr>
          <w:position w:val="-12"/>
        </w:rPr>
        <w:object w:dxaOrig="1240" w:dyaOrig="360" w14:anchorId="5391A6B2">
          <v:shape id="_x0000_i3287" type="#_x0000_t75" style="width:61.7pt;height:18.15pt" o:ole="">
            <v:imagedata r:id="rId4558" o:title=""/>
          </v:shape>
          <o:OLEObject Type="Embed" ProgID="Equation.DSMT4" ShapeID="_x0000_i3287" DrawAspect="Content" ObjectID="_1791377231" r:id="rId4559"/>
        </w:object>
      </w:r>
      <w:r w:rsidRPr="003B28FD">
        <w:rPr>
          <w:i/>
          <w:sz w:val="23"/>
          <w:szCs w:val="23"/>
        </w:rPr>
        <w:t xml:space="preserve"> </w:t>
      </w:r>
      <w:r w:rsidRPr="003B28FD">
        <w:rPr>
          <w:i/>
          <w:sz w:val="23"/>
          <w:szCs w:val="23"/>
          <w:rtl/>
        </w:rPr>
        <w:tab/>
      </w:r>
      <w:r w:rsidRPr="003B28FD">
        <w:rPr>
          <w:i/>
          <w:sz w:val="23"/>
          <w:szCs w:val="23"/>
          <w:rtl/>
        </w:rPr>
        <w:tab/>
      </w:r>
      <w:r w:rsidRPr="003B28FD">
        <w:rPr>
          <w:i/>
          <w:sz w:val="23"/>
          <w:szCs w:val="23"/>
          <w:rtl/>
        </w:rPr>
        <w:tab/>
      </w:r>
      <w:r w:rsidRPr="003B28FD">
        <w:rPr>
          <w:i/>
          <w:sz w:val="23"/>
          <w:szCs w:val="23"/>
          <w:rtl/>
        </w:rPr>
        <w:tab/>
      </w:r>
      <w:r w:rsidRPr="003B28FD">
        <w:rPr>
          <w:i/>
          <w:sz w:val="23"/>
          <w:szCs w:val="23"/>
          <w:rtl/>
        </w:rPr>
        <w:tab/>
      </w:r>
      <w:r w:rsidRPr="003B28FD">
        <w:rPr>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Pr>
          <w:i/>
          <w:sz w:val="23"/>
          <w:szCs w:val="23"/>
          <w:rtl/>
        </w:rPr>
        <w:tab/>
      </w:r>
      <w:r w:rsidRPr="003B28FD">
        <w:rPr>
          <w:i/>
          <w:sz w:val="23"/>
          <w:szCs w:val="23"/>
        </w:rPr>
        <w:tab/>
      </w:r>
      <w:r w:rsidRPr="003B28FD">
        <w:rPr>
          <w:i/>
          <w:sz w:val="23"/>
          <w:szCs w:val="23"/>
          <w:rtl/>
        </w:rPr>
        <w:tab/>
      </w:r>
      <w:r w:rsidRPr="003B28FD">
        <w:rPr>
          <w:i/>
          <w:sz w:val="23"/>
          <w:szCs w:val="23"/>
          <w:rtl/>
        </w:rPr>
        <w:tab/>
      </w:r>
      <w:r w:rsidRPr="003B28FD">
        <w:rPr>
          <w:rFonts w:hint="cs"/>
          <w:i/>
          <w:sz w:val="23"/>
          <w:szCs w:val="23"/>
          <w:rtl/>
        </w:rPr>
        <w:t>(۶. ۳۲)</w:t>
      </w:r>
      <w:r w:rsidRPr="003B28FD">
        <w:rPr>
          <w:i/>
          <w:sz w:val="23"/>
          <w:szCs w:val="23"/>
        </w:rPr>
        <w:t xml:space="preserve"> </w:t>
      </w:r>
    </w:p>
    <w:p w14:paraId="704ADC30" w14:textId="77777777" w:rsidR="00411620" w:rsidRPr="003B28FD" w:rsidRDefault="00411620" w:rsidP="00411620">
      <w:pPr>
        <w:spacing w:line="216" w:lineRule="auto"/>
        <w:rPr>
          <w:i/>
          <w:sz w:val="23"/>
          <w:szCs w:val="23"/>
          <w:rtl/>
        </w:rPr>
      </w:pPr>
      <w:r w:rsidRPr="003B28FD">
        <w:rPr>
          <w:i/>
          <w:sz w:val="23"/>
          <w:szCs w:val="23"/>
        </w:rPr>
        <w:t xml:space="preserve"> </w:t>
      </w:r>
      <w:r w:rsidRPr="003B28FD">
        <w:rPr>
          <w:rFonts w:hint="cs"/>
          <w:i/>
          <w:sz w:val="23"/>
          <w:szCs w:val="23"/>
          <w:rtl/>
        </w:rPr>
        <w:t>به نسل جوان فقط به اندازه</w:t>
      </w:r>
      <w:r w:rsidRPr="003B28FD">
        <w:rPr>
          <w:i/>
          <w:sz w:val="23"/>
          <w:szCs w:val="23"/>
          <w:rtl/>
        </w:rPr>
        <w:softHyphen/>
      </w:r>
      <w:r w:rsidRPr="003B28FD">
        <w:rPr>
          <w:rFonts w:hint="cs"/>
          <w:i/>
          <w:sz w:val="23"/>
          <w:szCs w:val="23"/>
          <w:rtl/>
        </w:rPr>
        <w:t>ی تولید نهایی</w:t>
      </w:r>
      <w:r w:rsidRPr="003B28FD">
        <w:rPr>
          <w:i/>
          <w:sz w:val="23"/>
          <w:szCs w:val="23"/>
          <w:rtl/>
        </w:rPr>
        <w:softHyphen/>
      </w:r>
      <w:r w:rsidRPr="003B28FD">
        <w:rPr>
          <w:rFonts w:hint="cs"/>
          <w:i/>
          <w:sz w:val="23"/>
          <w:szCs w:val="23"/>
          <w:rtl/>
        </w:rPr>
        <w:t xml:space="preserve"> آن</w:t>
      </w:r>
      <w:r w:rsidRPr="003B28FD">
        <w:rPr>
          <w:i/>
          <w:sz w:val="23"/>
          <w:szCs w:val="23"/>
          <w:rtl/>
        </w:rPr>
        <w:softHyphen/>
      </w:r>
      <w:r w:rsidRPr="003B28FD">
        <w:rPr>
          <w:rFonts w:hint="cs"/>
          <w:i/>
          <w:sz w:val="23"/>
          <w:szCs w:val="23"/>
          <w:rtl/>
        </w:rPr>
        <w:t xml:space="preserve">ها پرداخت خواهد شد. با فرض ثابت بودن نرخ بازدهی سرمایه، آنگاه نرخ دستمزد نسل جوان و همچنین درآمد به ازای افراد جوان برابر است با </w:t>
      </w:r>
    </w:p>
    <w:p w14:paraId="02EE1540" w14:textId="77777777" w:rsidR="00411620" w:rsidRPr="003B28FD" w:rsidRDefault="00411620" w:rsidP="00411620">
      <w:pPr>
        <w:bidi w:val="0"/>
        <w:spacing w:line="216" w:lineRule="auto"/>
        <w:rPr>
          <w:i/>
          <w:sz w:val="23"/>
          <w:szCs w:val="23"/>
          <w:rtl/>
        </w:rPr>
      </w:pPr>
      <w:r w:rsidRPr="003B28FD">
        <w:rPr>
          <w:rFonts w:hint="cs"/>
          <w:i/>
          <w:sz w:val="23"/>
          <w:szCs w:val="23"/>
        </w:rPr>
        <w:t xml:space="preserve"> </w:t>
      </w:r>
      <w:r w:rsidRPr="003B28FD">
        <w:rPr>
          <w:position w:val="-12"/>
        </w:rPr>
        <w:object w:dxaOrig="1820" w:dyaOrig="360" w14:anchorId="15B4E943">
          <v:shape id="_x0000_i3288" type="#_x0000_t75" style="width:91.35pt;height:18.15pt" o:ole="">
            <v:imagedata r:id="rId4560" o:title=""/>
          </v:shape>
          <o:OLEObject Type="Embed" ProgID="Equation.DSMT4" ShapeID="_x0000_i3288" DrawAspect="Content" ObjectID="_1791377232" r:id="rId4561"/>
        </w:object>
      </w:r>
      <w:r w:rsidRPr="003B28FD">
        <w:rPr>
          <w:rFonts w:hint="cs"/>
          <w:i/>
          <w:sz w:val="23"/>
          <w:szCs w:val="23"/>
        </w:rPr>
        <w:t xml:space="preserve"> </w:t>
      </w:r>
      <w:r w:rsidRPr="003B28FD">
        <w:rPr>
          <w:i/>
          <w:sz w:val="23"/>
          <w:szCs w:val="23"/>
          <w:rtl/>
        </w:rPr>
        <w:tab/>
      </w:r>
      <w:r w:rsidRPr="003B28FD">
        <w:rPr>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tl/>
        </w:rPr>
        <w:tab/>
      </w:r>
      <w:r w:rsidRPr="003B28FD">
        <w:rPr>
          <w:i/>
          <w:sz w:val="23"/>
          <w:szCs w:val="23"/>
          <w:rtl/>
        </w:rPr>
        <w:tab/>
      </w:r>
      <w:r w:rsidRPr="003B28FD">
        <w:rPr>
          <w:i/>
          <w:sz w:val="23"/>
          <w:szCs w:val="23"/>
          <w:rtl/>
        </w:rPr>
        <w:tab/>
      </w:r>
      <w:r w:rsidRPr="003B28FD">
        <w:rPr>
          <w:i/>
          <w:sz w:val="23"/>
          <w:szCs w:val="23"/>
          <w:rtl/>
        </w:rPr>
        <w:tab/>
      </w:r>
      <w:r>
        <w:rPr>
          <w:i/>
          <w:sz w:val="23"/>
          <w:szCs w:val="23"/>
          <w:rtl/>
        </w:rPr>
        <w:tab/>
      </w:r>
      <w:r>
        <w:rPr>
          <w:i/>
          <w:sz w:val="23"/>
          <w:szCs w:val="23"/>
        </w:rPr>
        <w:tab/>
      </w:r>
      <w:r w:rsidRPr="003B28FD">
        <w:rPr>
          <w:i/>
          <w:sz w:val="23"/>
          <w:szCs w:val="23"/>
          <w:rtl/>
        </w:rPr>
        <w:tab/>
      </w:r>
      <w:r w:rsidRPr="003B28FD">
        <w:rPr>
          <w:rFonts w:hint="cs"/>
          <w:i/>
          <w:sz w:val="23"/>
          <w:szCs w:val="23"/>
          <w:rtl/>
        </w:rPr>
        <w:t>(۶. ۳۳)</w:t>
      </w:r>
    </w:p>
    <w:p w14:paraId="02B1FCD0" w14:textId="77777777" w:rsidR="00411620" w:rsidRPr="003B28FD" w:rsidRDefault="00411620" w:rsidP="00411620">
      <w:pPr>
        <w:spacing w:line="216" w:lineRule="auto"/>
        <w:rPr>
          <w:i/>
          <w:sz w:val="23"/>
          <w:szCs w:val="23"/>
        </w:rPr>
      </w:pPr>
      <w:r w:rsidRPr="003B28FD">
        <w:rPr>
          <w:rFonts w:hint="cs"/>
          <w:i/>
          <w:sz w:val="23"/>
          <w:szCs w:val="23"/>
          <w:rtl/>
        </w:rPr>
        <w:t>همچنین مخارج مصرفی افراد جوان</w:t>
      </w:r>
      <w:r w:rsidRPr="003B28FD">
        <w:rPr>
          <w:position w:val="-10"/>
        </w:rPr>
        <w:object w:dxaOrig="260" w:dyaOrig="320" w14:anchorId="586566B6">
          <v:shape id="_x0000_i3289" type="#_x0000_t75" style="width:12.7pt;height:16.35pt" o:ole="">
            <v:imagedata r:id="rId4562" o:title=""/>
          </v:shape>
          <o:OLEObject Type="Embed" ProgID="Equation.DSMT4" ShapeID="_x0000_i3289" DrawAspect="Content" ObjectID="_1791377233" r:id="rId4563"/>
        </w:object>
      </w:r>
      <w:r w:rsidRPr="003B28FD">
        <w:rPr>
          <w:rFonts w:hint="cs"/>
          <w:i/>
          <w:sz w:val="23"/>
          <w:szCs w:val="23"/>
          <w:rtl/>
        </w:rPr>
        <w:t xml:space="preserve"> و پس</w:t>
      </w:r>
      <w:r w:rsidRPr="003B28FD">
        <w:rPr>
          <w:i/>
          <w:sz w:val="23"/>
          <w:szCs w:val="23"/>
          <w:rtl/>
        </w:rPr>
        <w:softHyphen/>
      </w:r>
      <w:r w:rsidRPr="003B28FD">
        <w:rPr>
          <w:rFonts w:hint="cs"/>
          <w:i/>
          <w:sz w:val="23"/>
          <w:szCs w:val="23"/>
          <w:rtl/>
        </w:rPr>
        <w:t>انداز آن</w:t>
      </w:r>
      <w:r w:rsidRPr="003B28FD">
        <w:rPr>
          <w:i/>
          <w:sz w:val="23"/>
          <w:szCs w:val="23"/>
          <w:rtl/>
        </w:rPr>
        <w:softHyphen/>
      </w:r>
      <w:r w:rsidRPr="003B28FD">
        <w:rPr>
          <w:rFonts w:hint="cs"/>
          <w:i/>
          <w:sz w:val="23"/>
          <w:szCs w:val="23"/>
          <w:rtl/>
        </w:rPr>
        <w:t>ها</w:t>
      </w:r>
      <w:r w:rsidRPr="003B28FD">
        <w:rPr>
          <w:position w:val="-10"/>
        </w:rPr>
        <w:object w:dxaOrig="260" w:dyaOrig="320" w14:anchorId="452236DF">
          <v:shape id="_x0000_i3290" type="#_x0000_t75" style="width:12.7pt;height:16.35pt" o:ole="">
            <v:imagedata r:id="rId4564" o:title=""/>
          </v:shape>
          <o:OLEObject Type="Embed" ProgID="Equation.DSMT4" ShapeID="_x0000_i3290" DrawAspect="Content" ObjectID="_1791377234" r:id="rId4565"/>
        </w:object>
      </w:r>
      <w:r w:rsidRPr="003B28FD">
        <w:rPr>
          <w:rFonts w:hint="cs"/>
          <w:i/>
          <w:sz w:val="23"/>
          <w:szCs w:val="23"/>
          <w:rtl/>
        </w:rPr>
        <w:t xml:space="preserve"> است، یعنی</w:t>
      </w:r>
    </w:p>
    <w:p w14:paraId="013C72C3" w14:textId="77777777" w:rsidR="00411620" w:rsidRPr="003B28FD" w:rsidRDefault="00411620" w:rsidP="00411620">
      <w:pPr>
        <w:bidi w:val="0"/>
        <w:spacing w:line="216" w:lineRule="auto"/>
        <w:rPr>
          <w:i/>
          <w:sz w:val="23"/>
          <w:szCs w:val="23"/>
          <w:rtl/>
        </w:rPr>
      </w:pPr>
      <w:r w:rsidRPr="003B28FD">
        <w:rPr>
          <w:rFonts w:hint="cs"/>
          <w:i/>
          <w:sz w:val="23"/>
          <w:szCs w:val="23"/>
          <w:rtl/>
        </w:rPr>
        <w:t xml:space="preserve"> </w:t>
      </w:r>
      <w:r w:rsidRPr="003B28FD">
        <w:rPr>
          <w:position w:val="-10"/>
        </w:rPr>
        <w:object w:dxaOrig="1140" w:dyaOrig="320" w14:anchorId="4C9FF249">
          <v:shape id="_x0000_i3291" type="#_x0000_t75" style="width:57.5pt;height:16.35pt" o:ole="">
            <v:imagedata r:id="rId4566" o:title=""/>
          </v:shape>
          <o:OLEObject Type="Embed" ProgID="Equation.DSMT4" ShapeID="_x0000_i3291" DrawAspect="Content" ObjectID="_1791377235" r:id="rId4567"/>
        </w:object>
      </w:r>
      <w:r w:rsidRPr="003B28FD">
        <w:rPr>
          <w:i/>
          <w:sz w:val="23"/>
          <w:szCs w:val="23"/>
          <w:rtl/>
        </w:rPr>
        <w:tab/>
      </w:r>
      <w:r w:rsidRPr="003B28FD">
        <w:rPr>
          <w:i/>
          <w:sz w:val="23"/>
          <w:szCs w:val="23"/>
          <w:rtl/>
        </w:rPr>
        <w:tab/>
      </w:r>
      <w:r w:rsidRPr="003B28FD">
        <w:rPr>
          <w:i/>
          <w:sz w:val="23"/>
          <w:szCs w:val="23"/>
          <w:rtl/>
        </w:rPr>
        <w:tab/>
      </w:r>
      <w:r w:rsidRPr="003B28FD">
        <w:rPr>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Pr>
          <w:i/>
          <w:sz w:val="23"/>
          <w:szCs w:val="23"/>
        </w:rPr>
        <w:tab/>
      </w:r>
      <w:r w:rsidRPr="003B28FD">
        <w:rPr>
          <w:i/>
          <w:sz w:val="23"/>
          <w:szCs w:val="23"/>
          <w:rtl/>
        </w:rPr>
        <w:tab/>
      </w:r>
      <w:r w:rsidRPr="003B28FD">
        <w:rPr>
          <w:i/>
          <w:sz w:val="23"/>
          <w:szCs w:val="23"/>
          <w:rtl/>
        </w:rPr>
        <w:tab/>
      </w:r>
      <w:r w:rsidRPr="003B28FD">
        <w:rPr>
          <w:i/>
          <w:sz w:val="23"/>
          <w:szCs w:val="23"/>
          <w:rtl/>
        </w:rPr>
        <w:tab/>
      </w:r>
      <w:r>
        <w:rPr>
          <w:i/>
          <w:sz w:val="23"/>
          <w:szCs w:val="23"/>
          <w:rtl/>
        </w:rPr>
        <w:tab/>
      </w:r>
      <w:r w:rsidRPr="003B28FD">
        <w:rPr>
          <w:i/>
          <w:sz w:val="23"/>
          <w:szCs w:val="23"/>
          <w:rtl/>
        </w:rPr>
        <w:tab/>
      </w:r>
      <w:r w:rsidRPr="003B28FD">
        <w:rPr>
          <w:rFonts w:hint="cs"/>
          <w:i/>
          <w:sz w:val="23"/>
          <w:szCs w:val="23"/>
          <w:rtl/>
        </w:rPr>
        <w:t>(۶. ۳۴)</w:t>
      </w:r>
    </w:p>
    <w:p w14:paraId="070B59FC" w14:textId="77777777" w:rsidR="00411620" w:rsidRDefault="00411620" w:rsidP="00411620">
      <w:pPr>
        <w:spacing w:line="216" w:lineRule="auto"/>
        <w:rPr>
          <w:i/>
          <w:sz w:val="23"/>
          <w:szCs w:val="23"/>
        </w:rPr>
      </w:pPr>
      <w:r w:rsidRPr="003B28FD">
        <w:rPr>
          <w:rFonts w:hint="cs"/>
          <w:i/>
          <w:sz w:val="23"/>
          <w:szCs w:val="23"/>
          <w:rtl/>
        </w:rPr>
        <w:t>چنانچه پس</w:t>
      </w:r>
      <w:r w:rsidRPr="003B28FD">
        <w:rPr>
          <w:i/>
          <w:sz w:val="23"/>
          <w:szCs w:val="23"/>
          <w:rtl/>
        </w:rPr>
        <w:softHyphen/>
      </w:r>
      <w:r w:rsidRPr="003B28FD">
        <w:rPr>
          <w:rFonts w:hint="cs"/>
          <w:i/>
          <w:sz w:val="23"/>
          <w:szCs w:val="23"/>
          <w:rtl/>
        </w:rPr>
        <w:t>انداز نسل جوان سرمایه</w:t>
      </w:r>
      <w:r w:rsidRPr="003B28FD">
        <w:rPr>
          <w:i/>
          <w:sz w:val="23"/>
          <w:szCs w:val="23"/>
          <w:rtl/>
        </w:rPr>
        <w:softHyphen/>
      </w:r>
      <w:r w:rsidRPr="003B28FD">
        <w:rPr>
          <w:rFonts w:hint="cs"/>
          <w:i/>
          <w:sz w:val="23"/>
          <w:szCs w:val="23"/>
          <w:rtl/>
        </w:rPr>
        <w:t>گذاری شود، آنگاه آن نسل در سن سالخورده</w:t>
      </w:r>
      <w:r w:rsidRPr="003B28FD">
        <w:rPr>
          <w:i/>
          <w:sz w:val="23"/>
          <w:szCs w:val="23"/>
          <w:rtl/>
        </w:rPr>
        <w:softHyphen/>
      </w:r>
      <w:r w:rsidRPr="003B28FD">
        <w:rPr>
          <w:rFonts w:hint="cs"/>
          <w:i/>
          <w:sz w:val="23"/>
          <w:szCs w:val="23"/>
          <w:rtl/>
        </w:rPr>
        <w:t xml:space="preserve">گی درآمد </w:t>
      </w:r>
      <w:r w:rsidRPr="003B28FD">
        <w:rPr>
          <w:position w:val="-12"/>
        </w:rPr>
        <w:object w:dxaOrig="999" w:dyaOrig="360" w14:anchorId="2F1EBC3A">
          <v:shape id="_x0000_i3292" type="#_x0000_t75" style="width:50.2pt;height:18.15pt" o:ole="">
            <v:imagedata r:id="rId4568" o:title=""/>
          </v:shape>
          <o:OLEObject Type="Embed" ProgID="Equation.DSMT4" ShapeID="_x0000_i3292" DrawAspect="Content" ObjectID="_1791377236" r:id="rId4569"/>
        </w:object>
      </w:r>
      <w:r w:rsidRPr="003B28FD">
        <w:rPr>
          <w:rFonts w:hint="cs"/>
          <w:i/>
          <w:sz w:val="23"/>
          <w:szCs w:val="23"/>
          <w:rtl/>
        </w:rPr>
        <w:t xml:space="preserve"> را کسب خواهد کرد. و از آن</w:t>
      </w:r>
      <w:r w:rsidRPr="003B28FD">
        <w:rPr>
          <w:i/>
          <w:sz w:val="23"/>
          <w:szCs w:val="23"/>
          <w:rtl/>
        </w:rPr>
        <w:softHyphen/>
      </w:r>
      <w:r w:rsidRPr="003B28FD">
        <w:rPr>
          <w:rFonts w:hint="cs"/>
          <w:i/>
          <w:sz w:val="23"/>
          <w:szCs w:val="23"/>
          <w:rtl/>
        </w:rPr>
        <w:t>جا که کل درآمد افراد مسن مخارج مصرفی است و</w:t>
      </w:r>
    </w:p>
    <w:p w14:paraId="5987DEC5" w14:textId="77777777" w:rsidR="00411620" w:rsidRPr="003B28FD" w:rsidRDefault="00411620" w:rsidP="00411620">
      <w:pPr>
        <w:spacing w:line="216" w:lineRule="auto"/>
        <w:rPr>
          <w:i/>
          <w:sz w:val="23"/>
          <w:szCs w:val="23"/>
          <w:rtl/>
        </w:rPr>
      </w:pPr>
      <w:r w:rsidRPr="003B28FD">
        <w:rPr>
          <w:rFonts w:hint="cs"/>
          <w:i/>
          <w:sz w:val="23"/>
          <w:szCs w:val="23"/>
          <w:rtl/>
        </w:rPr>
        <w:t>پس</w:t>
      </w:r>
      <w:r w:rsidRPr="003B28FD">
        <w:rPr>
          <w:i/>
          <w:sz w:val="23"/>
          <w:szCs w:val="23"/>
          <w:rtl/>
        </w:rPr>
        <w:softHyphen/>
      </w:r>
      <w:r w:rsidRPr="003B28FD">
        <w:rPr>
          <w:rFonts w:hint="cs"/>
          <w:i/>
          <w:sz w:val="23"/>
          <w:szCs w:val="23"/>
          <w:rtl/>
        </w:rPr>
        <w:t>انداز نخواهند داشت، آنگاه قید بودجه</w:t>
      </w:r>
      <w:r w:rsidRPr="003B28FD">
        <w:rPr>
          <w:i/>
          <w:sz w:val="23"/>
          <w:szCs w:val="23"/>
          <w:rtl/>
        </w:rPr>
        <w:softHyphen/>
      </w:r>
      <w:r w:rsidRPr="003B28FD">
        <w:rPr>
          <w:rFonts w:hint="cs"/>
          <w:i/>
          <w:sz w:val="23"/>
          <w:szCs w:val="23"/>
          <w:rtl/>
        </w:rPr>
        <w:t>ی دوره</w:t>
      </w:r>
      <w:r w:rsidRPr="003B28FD">
        <w:rPr>
          <w:i/>
          <w:sz w:val="23"/>
          <w:szCs w:val="23"/>
          <w:rtl/>
        </w:rPr>
        <w:softHyphen/>
      </w:r>
      <w:r w:rsidRPr="003B28FD">
        <w:rPr>
          <w:rFonts w:hint="cs"/>
          <w:i/>
          <w:sz w:val="23"/>
          <w:szCs w:val="23"/>
          <w:rtl/>
        </w:rPr>
        <w:t xml:space="preserve">ی </w:t>
      </w:r>
      <w:r w:rsidRPr="003B28FD">
        <w:rPr>
          <w:i/>
          <w:sz w:val="23"/>
          <w:szCs w:val="23"/>
        </w:rPr>
        <w:t>t+1</w:t>
      </w:r>
      <w:r w:rsidRPr="003B28FD">
        <w:rPr>
          <w:rFonts w:hint="cs"/>
          <w:i/>
          <w:sz w:val="23"/>
          <w:szCs w:val="23"/>
          <w:rtl/>
        </w:rPr>
        <w:t xml:space="preserve"> عبارت است از</w:t>
      </w:r>
    </w:p>
    <w:p w14:paraId="4C7A08FE" w14:textId="77777777" w:rsidR="00411620" w:rsidRPr="003B28FD" w:rsidRDefault="00411620" w:rsidP="00411620">
      <w:pPr>
        <w:bidi w:val="0"/>
        <w:spacing w:line="216" w:lineRule="auto"/>
        <w:rPr>
          <w:i/>
          <w:sz w:val="23"/>
          <w:szCs w:val="23"/>
          <w:rtl/>
        </w:rPr>
      </w:pPr>
      <w:r w:rsidRPr="003B28FD">
        <w:rPr>
          <w:rFonts w:hint="cs"/>
          <w:i/>
          <w:sz w:val="23"/>
          <w:szCs w:val="23"/>
        </w:rPr>
        <w:lastRenderedPageBreak/>
        <w:t xml:space="preserve"> </w:t>
      </w:r>
      <w:r w:rsidRPr="003B28FD">
        <w:rPr>
          <w:position w:val="-12"/>
        </w:rPr>
        <w:object w:dxaOrig="3400" w:dyaOrig="360" w14:anchorId="4927D184">
          <v:shape id="_x0000_i3293" type="#_x0000_t75" style="width:170pt;height:18.15pt" o:ole="">
            <v:imagedata r:id="rId4570" o:title=""/>
          </v:shape>
          <o:OLEObject Type="Embed" ProgID="Equation.DSMT4" ShapeID="_x0000_i3293" DrawAspect="Content" ObjectID="_1791377237" r:id="rId4571"/>
        </w:object>
      </w:r>
      <w:r w:rsidRPr="003B28FD">
        <w:rPr>
          <w:i/>
          <w:sz w:val="23"/>
          <w:szCs w:val="23"/>
          <w:rtl/>
        </w:rPr>
        <w:tab/>
      </w:r>
      <w:r w:rsidRPr="003B28FD">
        <w:rPr>
          <w:i/>
          <w:sz w:val="23"/>
          <w:szCs w:val="23"/>
          <w:rtl/>
        </w:rPr>
        <w:tab/>
      </w:r>
      <w:r>
        <w:rPr>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tl/>
        </w:rPr>
        <w:tab/>
      </w:r>
      <w:r w:rsidRPr="003B28FD">
        <w:rPr>
          <w:i/>
          <w:sz w:val="23"/>
          <w:szCs w:val="23"/>
          <w:rtl/>
        </w:rPr>
        <w:tab/>
      </w:r>
      <w:r w:rsidRPr="003B28FD">
        <w:rPr>
          <w:i/>
          <w:sz w:val="23"/>
          <w:szCs w:val="23"/>
          <w:rtl/>
        </w:rPr>
        <w:tab/>
      </w:r>
      <w:r w:rsidRPr="003B28FD">
        <w:rPr>
          <w:rFonts w:hint="cs"/>
          <w:i/>
          <w:sz w:val="23"/>
          <w:szCs w:val="23"/>
          <w:rtl/>
        </w:rPr>
        <w:t>(۶. ۳۵)</w:t>
      </w:r>
    </w:p>
    <w:p w14:paraId="00B7D63D" w14:textId="77777777" w:rsidR="00411620" w:rsidRPr="003B28FD" w:rsidRDefault="00411620" w:rsidP="00411620">
      <w:pPr>
        <w:spacing w:line="216" w:lineRule="auto"/>
        <w:rPr>
          <w:i/>
          <w:sz w:val="23"/>
          <w:szCs w:val="23"/>
        </w:rPr>
      </w:pPr>
      <w:r w:rsidRPr="003B28FD">
        <w:rPr>
          <w:rFonts w:hint="cs"/>
          <w:i/>
          <w:sz w:val="23"/>
          <w:szCs w:val="23"/>
          <w:rtl/>
        </w:rPr>
        <w:t>و یا در شکل شناخته شده</w:t>
      </w:r>
      <w:r w:rsidRPr="003B28FD">
        <w:rPr>
          <w:i/>
          <w:sz w:val="23"/>
          <w:szCs w:val="23"/>
          <w:rtl/>
        </w:rPr>
        <w:softHyphen/>
      </w:r>
      <w:r w:rsidRPr="003B28FD">
        <w:rPr>
          <w:rFonts w:hint="cs"/>
          <w:i/>
          <w:sz w:val="23"/>
          <w:szCs w:val="23"/>
          <w:rtl/>
        </w:rPr>
        <w:t>ی قید بودجه</w:t>
      </w:r>
      <w:r w:rsidRPr="003B28FD">
        <w:rPr>
          <w:i/>
          <w:sz w:val="23"/>
          <w:szCs w:val="23"/>
          <w:rtl/>
        </w:rPr>
        <w:softHyphen/>
      </w:r>
      <w:r w:rsidRPr="003B28FD">
        <w:rPr>
          <w:rFonts w:hint="cs"/>
          <w:i/>
          <w:sz w:val="23"/>
          <w:szCs w:val="23"/>
          <w:rtl/>
        </w:rPr>
        <w:t>ی بین‌دوره</w:t>
      </w:r>
      <w:r w:rsidRPr="003B28FD">
        <w:rPr>
          <w:i/>
          <w:sz w:val="23"/>
          <w:szCs w:val="23"/>
          <w:rtl/>
        </w:rPr>
        <w:softHyphen/>
      </w:r>
      <w:r w:rsidRPr="003B28FD">
        <w:rPr>
          <w:rFonts w:hint="cs"/>
          <w:i/>
          <w:sz w:val="23"/>
          <w:szCs w:val="23"/>
          <w:rtl/>
        </w:rPr>
        <w:t>ای دو دوره</w:t>
      </w:r>
      <w:r w:rsidRPr="003B28FD">
        <w:rPr>
          <w:i/>
          <w:sz w:val="23"/>
          <w:szCs w:val="23"/>
          <w:rtl/>
        </w:rPr>
        <w:softHyphen/>
      </w:r>
      <w:r w:rsidRPr="003B28FD">
        <w:rPr>
          <w:rFonts w:hint="cs"/>
          <w:i/>
          <w:sz w:val="23"/>
          <w:szCs w:val="23"/>
          <w:rtl/>
        </w:rPr>
        <w:t xml:space="preserve">ای داریم </w:t>
      </w:r>
    </w:p>
    <w:p w14:paraId="27A28D19" w14:textId="77777777" w:rsidR="00411620" w:rsidRPr="003B28FD" w:rsidRDefault="00411620" w:rsidP="00411620">
      <w:pPr>
        <w:bidi w:val="0"/>
        <w:spacing w:line="216" w:lineRule="auto"/>
        <w:rPr>
          <w:i/>
          <w:sz w:val="23"/>
          <w:szCs w:val="23"/>
          <w:rtl/>
        </w:rPr>
      </w:pPr>
      <w:r w:rsidRPr="003B28FD">
        <w:rPr>
          <w:rFonts w:hint="cs"/>
          <w:i/>
          <w:sz w:val="23"/>
          <w:szCs w:val="23"/>
          <w:rtl/>
        </w:rPr>
        <w:t xml:space="preserve"> </w:t>
      </w:r>
      <w:r w:rsidRPr="003B28FD">
        <w:rPr>
          <w:position w:val="-28"/>
        </w:rPr>
        <w:object w:dxaOrig="3560" w:dyaOrig="660" w14:anchorId="179D83A1">
          <v:shape id="_x0000_i3294" type="#_x0000_t75" style="width:178.5pt;height:32.65pt" o:ole="">
            <v:imagedata r:id="rId4572" o:title=""/>
          </v:shape>
          <o:OLEObject Type="Embed" ProgID="Equation.DSMT4" ShapeID="_x0000_i3294" DrawAspect="Content" ObjectID="_1791377238" r:id="rId4573"/>
        </w:object>
      </w:r>
    </w:p>
    <w:p w14:paraId="220BAEA2" w14:textId="77777777" w:rsidR="00411620" w:rsidRPr="003B28FD" w:rsidRDefault="00411620" w:rsidP="00411620">
      <w:pPr>
        <w:spacing w:line="216" w:lineRule="auto"/>
        <w:rPr>
          <w:i/>
          <w:sz w:val="23"/>
          <w:szCs w:val="23"/>
          <w:rtl/>
        </w:rPr>
      </w:pPr>
      <w:r w:rsidRPr="003B28FD">
        <w:rPr>
          <w:rFonts w:hint="cs"/>
          <w:i/>
          <w:sz w:val="23"/>
          <w:szCs w:val="23"/>
          <w:rtl/>
        </w:rPr>
        <w:t>جهت محاسبه</w:t>
      </w:r>
      <w:r w:rsidRPr="003B28FD">
        <w:rPr>
          <w:i/>
          <w:sz w:val="23"/>
          <w:szCs w:val="23"/>
          <w:rtl/>
        </w:rPr>
        <w:softHyphen/>
      </w:r>
      <w:r w:rsidRPr="003B28FD">
        <w:rPr>
          <w:rFonts w:hint="cs"/>
          <w:i/>
          <w:sz w:val="23"/>
          <w:szCs w:val="23"/>
          <w:rtl/>
        </w:rPr>
        <w:t>ی سرمایه</w:t>
      </w:r>
      <w:r w:rsidRPr="003B28FD">
        <w:rPr>
          <w:i/>
          <w:sz w:val="23"/>
          <w:szCs w:val="23"/>
          <w:rtl/>
        </w:rPr>
        <w:softHyphen/>
      </w:r>
      <w:r w:rsidRPr="003B28FD">
        <w:rPr>
          <w:rFonts w:hint="cs"/>
          <w:i/>
          <w:sz w:val="23"/>
          <w:szCs w:val="23"/>
          <w:rtl/>
        </w:rPr>
        <w:t xml:space="preserve">گذاری خالص از قید منابع اقتصاد در زمان </w:t>
      </w:r>
      <w:r w:rsidRPr="003B28FD">
        <w:rPr>
          <w:i/>
          <w:sz w:val="23"/>
          <w:szCs w:val="23"/>
        </w:rPr>
        <w:t>t</w:t>
      </w:r>
      <w:r w:rsidRPr="003B28FD">
        <w:rPr>
          <w:rFonts w:hint="cs"/>
          <w:i/>
          <w:sz w:val="23"/>
          <w:szCs w:val="23"/>
          <w:rtl/>
        </w:rPr>
        <w:t xml:space="preserve"> داریم، </w:t>
      </w:r>
    </w:p>
    <w:p w14:paraId="353744D2" w14:textId="77777777" w:rsidR="00411620" w:rsidRPr="003B28FD" w:rsidRDefault="00411620" w:rsidP="00411620">
      <w:pPr>
        <w:bidi w:val="0"/>
        <w:spacing w:line="216" w:lineRule="auto"/>
        <w:rPr>
          <w:i/>
          <w:sz w:val="23"/>
          <w:szCs w:val="23"/>
          <w:rtl/>
        </w:rPr>
      </w:pPr>
      <w:r w:rsidRPr="003B28FD">
        <w:rPr>
          <w:rFonts w:hint="cs"/>
          <w:i/>
          <w:sz w:val="23"/>
          <w:szCs w:val="23"/>
        </w:rPr>
        <w:t xml:space="preserve"> </w:t>
      </w:r>
      <w:r w:rsidRPr="003B28FD">
        <w:rPr>
          <w:position w:val="-10"/>
        </w:rPr>
        <w:object w:dxaOrig="1560" w:dyaOrig="320" w14:anchorId="10CF86B1">
          <v:shape id="_x0000_i3295" type="#_x0000_t75" style="width:78.05pt;height:16.35pt" o:ole="">
            <v:imagedata r:id="rId4574" o:title=""/>
          </v:shape>
          <o:OLEObject Type="Embed" ProgID="Equation.DSMT4" ShapeID="_x0000_i3295" DrawAspect="Content" ObjectID="_1791377239" r:id="rId4575"/>
        </w:object>
      </w:r>
    </w:p>
    <w:p w14:paraId="245804D2" w14:textId="77777777" w:rsidR="00411620" w:rsidRPr="003B28FD" w:rsidRDefault="00411620" w:rsidP="00411620">
      <w:pPr>
        <w:pStyle w:val="MTDisplayEquation"/>
        <w:spacing w:line="216" w:lineRule="auto"/>
        <w:rPr>
          <w:rFonts w:ascii="Times New Roman" w:eastAsia="Times New Roman" w:hAnsi="Times New Roman" w:cs="B Nazanin"/>
          <w:i/>
          <w:sz w:val="23"/>
          <w:szCs w:val="23"/>
          <w:rtl/>
        </w:rPr>
      </w:pPr>
      <w:r w:rsidRPr="003B28FD">
        <w:rPr>
          <w:position w:val="-10"/>
        </w:rPr>
        <w:object w:dxaOrig="1060" w:dyaOrig="320" w14:anchorId="046EE78E">
          <v:shape id="_x0000_i3296" type="#_x0000_t75" style="width:52.65pt;height:16.35pt" o:ole="">
            <v:imagedata r:id="rId4576" o:title=""/>
          </v:shape>
          <o:OLEObject Type="Embed" ProgID="Equation.DSMT4" ShapeID="_x0000_i3296" DrawAspect="Content" ObjectID="_1791377240" r:id="rId4577"/>
        </w:object>
      </w:r>
    </w:p>
    <w:p w14:paraId="5FBDA3EC" w14:textId="77777777" w:rsidR="00411620" w:rsidRPr="003B28FD" w:rsidRDefault="00411620" w:rsidP="00411620">
      <w:pPr>
        <w:pStyle w:val="MTDisplayEquation"/>
        <w:spacing w:line="216" w:lineRule="auto"/>
        <w:rPr>
          <w:rFonts w:ascii="Times New Roman" w:eastAsia="Times New Roman" w:hAnsi="Times New Roman" w:cs="B Nazanin"/>
          <w:i/>
          <w:sz w:val="23"/>
          <w:szCs w:val="23"/>
        </w:rPr>
      </w:pPr>
      <w:r w:rsidRPr="003B28FD">
        <w:rPr>
          <w:position w:val="-10"/>
        </w:rPr>
        <w:object w:dxaOrig="1780" w:dyaOrig="320" w14:anchorId="2DB5EF5B">
          <v:shape id="_x0000_i3297" type="#_x0000_t75" style="width:88.95pt;height:16.35pt" o:ole="">
            <v:imagedata r:id="rId4578" o:title=""/>
          </v:shape>
          <o:OLEObject Type="Embed" ProgID="Equation.DSMT4" ShapeID="_x0000_i3297" DrawAspect="Content" ObjectID="_1791377241" r:id="rId4579"/>
        </w:object>
      </w:r>
    </w:p>
    <w:p w14:paraId="09467CB3" w14:textId="77777777" w:rsidR="00411620" w:rsidRPr="003B28FD" w:rsidRDefault="00411620" w:rsidP="00411620">
      <w:pPr>
        <w:bidi w:val="0"/>
        <w:spacing w:line="216" w:lineRule="auto"/>
        <w:rPr>
          <w:i/>
          <w:sz w:val="23"/>
          <w:szCs w:val="23"/>
          <w:rtl/>
        </w:rPr>
      </w:pPr>
      <w:r w:rsidRPr="003B28FD">
        <w:rPr>
          <w:position w:val="-10"/>
        </w:rPr>
        <w:object w:dxaOrig="3640" w:dyaOrig="320" w14:anchorId="37AC3573">
          <v:shape id="_x0000_i3298" type="#_x0000_t75" style="width:181.5pt;height:16.35pt" o:ole="">
            <v:imagedata r:id="rId4580" o:title=""/>
          </v:shape>
          <o:OLEObject Type="Embed" ProgID="Equation.DSMT4" ShapeID="_x0000_i3298" DrawAspect="Content" ObjectID="_1791377242" r:id="rId4581"/>
        </w:object>
      </w:r>
    </w:p>
    <w:p w14:paraId="702AA6A8" w14:textId="77777777" w:rsidR="00411620" w:rsidRPr="003B28FD" w:rsidRDefault="00411620" w:rsidP="00411620">
      <w:pPr>
        <w:spacing w:line="216" w:lineRule="auto"/>
        <w:rPr>
          <w:i/>
          <w:sz w:val="23"/>
          <w:szCs w:val="23"/>
          <w:rtl/>
        </w:rPr>
      </w:pPr>
      <w:r w:rsidRPr="003B28FD">
        <w:rPr>
          <w:rFonts w:hint="cs"/>
          <w:i/>
          <w:sz w:val="23"/>
          <w:szCs w:val="23"/>
          <w:rtl/>
        </w:rPr>
        <w:t>از طرفی</w:t>
      </w:r>
      <w:r w:rsidRPr="003B28FD">
        <w:rPr>
          <w:i/>
          <w:sz w:val="23"/>
          <w:szCs w:val="23"/>
        </w:rPr>
        <w:t xml:space="preserve"> </w:t>
      </w:r>
      <w:r w:rsidRPr="003B28FD">
        <w:rPr>
          <w:rFonts w:hint="cs"/>
          <w:i/>
          <w:sz w:val="23"/>
          <w:szCs w:val="23"/>
          <w:rtl/>
        </w:rPr>
        <w:t>چون</w:t>
      </w:r>
    </w:p>
    <w:p w14:paraId="2F486DBF" w14:textId="77777777" w:rsidR="00411620" w:rsidRPr="003B28FD" w:rsidRDefault="00411620" w:rsidP="00411620">
      <w:pPr>
        <w:pStyle w:val="MTDisplayEquation"/>
        <w:spacing w:line="216" w:lineRule="auto"/>
        <w:rPr>
          <w:rFonts w:ascii="Times New Roman" w:eastAsia="Times New Roman" w:hAnsi="Times New Roman" w:cs="B Nazanin"/>
          <w:i/>
          <w:sz w:val="23"/>
          <w:szCs w:val="23"/>
        </w:rPr>
      </w:pPr>
      <w:r w:rsidRPr="003B28FD">
        <w:rPr>
          <w:position w:val="-28"/>
        </w:rPr>
        <w:object w:dxaOrig="3500" w:dyaOrig="639" w14:anchorId="648B49E0">
          <v:shape id="_x0000_i3299" type="#_x0000_t75" style="width:175.45pt;height:32.05pt" o:ole="">
            <v:imagedata r:id="rId4582" o:title=""/>
          </v:shape>
          <o:OLEObject Type="Embed" ProgID="Equation.DSMT4" ShapeID="_x0000_i3299" DrawAspect="Content" ObjectID="_1791377243" r:id="rId4583"/>
        </w:object>
      </w:r>
    </w:p>
    <w:p w14:paraId="08A715D3" w14:textId="77777777" w:rsidR="00411620" w:rsidRPr="003B28FD" w:rsidRDefault="00411620" w:rsidP="00411620">
      <w:pPr>
        <w:bidi w:val="0"/>
        <w:spacing w:line="216" w:lineRule="auto"/>
        <w:ind w:left="1420"/>
        <w:rPr>
          <w:i/>
          <w:sz w:val="23"/>
          <w:szCs w:val="23"/>
        </w:rPr>
      </w:pPr>
      <w:r w:rsidRPr="003B28FD">
        <w:rPr>
          <w:sz w:val="23"/>
          <w:szCs w:val="23"/>
        </w:rPr>
        <w:t xml:space="preserve"> </w:t>
      </w:r>
      <w:r w:rsidRPr="003B28FD">
        <w:rPr>
          <w:position w:val="-14"/>
        </w:rPr>
        <w:object w:dxaOrig="4780" w:dyaOrig="380" w14:anchorId="4E9E130E">
          <v:shape id="_x0000_i3300" type="#_x0000_t75" style="width:239pt;height:19.35pt" o:ole="">
            <v:imagedata r:id="rId4584" o:title=""/>
          </v:shape>
          <o:OLEObject Type="Embed" ProgID="Equation.DSMT4" ShapeID="_x0000_i3300" DrawAspect="Content" ObjectID="_1791377244" r:id="rId4585"/>
        </w:object>
      </w:r>
      <w:r w:rsidRPr="003B28FD">
        <w:rPr>
          <w:sz w:val="23"/>
          <w:szCs w:val="23"/>
        </w:rPr>
        <w:t xml:space="preserve">                </w:t>
      </w:r>
      <w:r w:rsidRPr="003B28FD">
        <w:rPr>
          <w:position w:val="-10"/>
        </w:rPr>
        <w:object w:dxaOrig="3320" w:dyaOrig="320" w14:anchorId="214DE385">
          <v:shape id="_x0000_i3301" type="#_x0000_t75" style="width:165.8pt;height:16.35pt" o:ole="">
            <v:imagedata r:id="rId4586" o:title=""/>
          </v:shape>
          <o:OLEObject Type="Embed" ProgID="Equation.DSMT4" ShapeID="_x0000_i3301" DrawAspect="Content" ObjectID="_1791377245" r:id="rId4587"/>
        </w:object>
      </w:r>
    </w:p>
    <w:p w14:paraId="0CFD068A" w14:textId="77777777" w:rsidR="00411620" w:rsidRPr="003B28FD" w:rsidRDefault="00411620" w:rsidP="00411620">
      <w:pPr>
        <w:spacing w:line="216" w:lineRule="auto"/>
        <w:rPr>
          <w:i/>
          <w:sz w:val="23"/>
          <w:szCs w:val="23"/>
          <w:rtl/>
        </w:rPr>
      </w:pPr>
      <w:r w:rsidRPr="003B28FD">
        <w:rPr>
          <w:rFonts w:hint="cs"/>
          <w:i/>
          <w:sz w:val="23"/>
          <w:szCs w:val="23"/>
          <w:rtl/>
        </w:rPr>
        <w:t>لذا</w:t>
      </w:r>
    </w:p>
    <w:p w14:paraId="61F0892A" w14:textId="77777777" w:rsidR="00411620" w:rsidRPr="003B28FD" w:rsidRDefault="00411620" w:rsidP="00411620">
      <w:pPr>
        <w:bidi w:val="0"/>
        <w:spacing w:line="216" w:lineRule="auto"/>
        <w:rPr>
          <w:i/>
          <w:sz w:val="23"/>
          <w:szCs w:val="23"/>
          <w:rtl/>
        </w:rPr>
      </w:pPr>
      <w:r w:rsidRPr="003B28FD">
        <w:rPr>
          <w:position w:val="-10"/>
        </w:rPr>
        <w:object w:dxaOrig="4880" w:dyaOrig="320" w14:anchorId="441E1A37">
          <v:shape id="_x0000_i3302" type="#_x0000_t75" style="width:244.45pt;height:16.35pt" o:ole="">
            <v:imagedata r:id="rId4588" o:title=""/>
          </v:shape>
          <o:OLEObject Type="Embed" ProgID="Equation.DSMT4" ShapeID="_x0000_i3302" DrawAspect="Content" ObjectID="_1791377246" r:id="rId4589"/>
        </w:object>
      </w:r>
    </w:p>
    <w:p w14:paraId="63CAF077" w14:textId="77777777" w:rsidR="00411620" w:rsidRPr="003B28FD" w:rsidRDefault="00411620" w:rsidP="00411620">
      <w:pPr>
        <w:pStyle w:val="MTDisplayEquation"/>
        <w:spacing w:line="216" w:lineRule="auto"/>
        <w:jc w:val="left"/>
        <w:rPr>
          <w:rFonts w:ascii="Times New Roman" w:eastAsia="Times New Roman" w:hAnsi="Times New Roman" w:cs="B Nazanin"/>
          <w:i/>
          <w:sz w:val="23"/>
          <w:szCs w:val="23"/>
          <w:rtl/>
        </w:rPr>
      </w:pPr>
      <w:r w:rsidRPr="003B28FD">
        <w:rPr>
          <w:position w:val="-10"/>
        </w:rPr>
        <w:object w:dxaOrig="4580" w:dyaOrig="320" w14:anchorId="51E092F6">
          <v:shape id="_x0000_i3303" type="#_x0000_t75" style="width:228.7pt;height:16.35pt" o:ole="">
            <v:imagedata r:id="rId4590" o:title=""/>
          </v:shape>
          <o:OLEObject Type="Embed" ProgID="Equation.DSMT4" ShapeID="_x0000_i3303" DrawAspect="Content" ObjectID="_1791377247" r:id="rId4591"/>
        </w:object>
      </w:r>
    </w:p>
    <w:p w14:paraId="7B77E7C2" w14:textId="77777777" w:rsidR="00411620" w:rsidRPr="003B28FD" w:rsidRDefault="00411620" w:rsidP="00411620">
      <w:pPr>
        <w:pStyle w:val="MTDisplayEquation"/>
        <w:spacing w:line="216" w:lineRule="auto"/>
        <w:rPr>
          <w:rFonts w:ascii="Times New Roman" w:eastAsia="Times New Roman" w:hAnsi="Times New Roman" w:cs="B Nazanin"/>
          <w:i/>
          <w:sz w:val="23"/>
          <w:szCs w:val="23"/>
        </w:rPr>
      </w:pPr>
      <w:r w:rsidRPr="003B28FD">
        <w:rPr>
          <w:position w:val="-10"/>
        </w:rPr>
        <w:object w:dxaOrig="3500" w:dyaOrig="320" w14:anchorId="2F72BF2F">
          <v:shape id="_x0000_i3304" type="#_x0000_t75" style="width:175.45pt;height:16.35pt" o:ole="">
            <v:imagedata r:id="rId4592" o:title=""/>
          </v:shape>
          <o:OLEObject Type="Embed" ProgID="Equation.DSMT4" ShapeID="_x0000_i3304" DrawAspect="Content" ObjectID="_1791377248" r:id="rId4593"/>
        </w:object>
      </w:r>
    </w:p>
    <w:p w14:paraId="4202F836" w14:textId="77777777" w:rsidR="00411620" w:rsidRPr="003B28FD" w:rsidRDefault="00411620" w:rsidP="00411620">
      <w:pPr>
        <w:spacing w:line="216" w:lineRule="auto"/>
        <w:rPr>
          <w:i/>
          <w:sz w:val="23"/>
          <w:szCs w:val="23"/>
        </w:rPr>
      </w:pPr>
      <w:r w:rsidRPr="003B28FD">
        <w:rPr>
          <w:rFonts w:hint="cs"/>
          <w:i/>
          <w:sz w:val="23"/>
          <w:szCs w:val="23"/>
          <w:rtl/>
        </w:rPr>
        <w:t>با توجه به این</w:t>
      </w:r>
      <w:r w:rsidRPr="003B28FD">
        <w:rPr>
          <w:i/>
          <w:sz w:val="23"/>
          <w:szCs w:val="23"/>
          <w:rtl/>
        </w:rPr>
        <w:softHyphen/>
      </w:r>
      <w:r w:rsidRPr="003B28FD">
        <w:rPr>
          <w:rFonts w:hint="cs"/>
          <w:i/>
          <w:sz w:val="23"/>
          <w:szCs w:val="23"/>
          <w:rtl/>
        </w:rPr>
        <w:t>که</w:t>
      </w:r>
    </w:p>
    <w:p w14:paraId="06F8F77A" w14:textId="77777777" w:rsidR="00411620" w:rsidRPr="003B28FD" w:rsidRDefault="00411620" w:rsidP="00411620">
      <w:pPr>
        <w:bidi w:val="0"/>
        <w:spacing w:line="216" w:lineRule="auto"/>
        <w:rPr>
          <w:i/>
          <w:sz w:val="23"/>
          <w:szCs w:val="23"/>
        </w:rPr>
      </w:pPr>
      <w:r w:rsidRPr="003B28FD">
        <w:rPr>
          <w:position w:val="-12"/>
        </w:rPr>
        <w:object w:dxaOrig="2920" w:dyaOrig="360" w14:anchorId="601D436A">
          <v:shape id="_x0000_i3305" type="#_x0000_t75" style="width:145.8pt;height:18.15pt" o:ole="">
            <v:imagedata r:id="rId4594" o:title=""/>
          </v:shape>
          <o:OLEObject Type="Embed" ProgID="Equation.DSMT4" ShapeID="_x0000_i3305" DrawAspect="Content" ObjectID="_1791377249" r:id="rId4595"/>
        </w:object>
      </w:r>
      <w:r w:rsidRPr="003B28FD">
        <w:rPr>
          <w:rFonts w:hint="cs"/>
          <w:i/>
          <w:sz w:val="23"/>
          <w:szCs w:val="23"/>
          <w:rtl/>
        </w:rPr>
        <w:t xml:space="preserve"> </w:t>
      </w:r>
    </w:p>
    <w:p w14:paraId="183ABE37" w14:textId="77777777" w:rsidR="00411620" w:rsidRPr="003B28FD" w:rsidRDefault="00411620" w:rsidP="00411620">
      <w:pPr>
        <w:spacing w:line="216" w:lineRule="auto"/>
        <w:rPr>
          <w:i/>
          <w:sz w:val="23"/>
          <w:szCs w:val="23"/>
          <w:rtl/>
        </w:rPr>
      </w:pPr>
      <w:r w:rsidRPr="003B28FD">
        <w:rPr>
          <w:rFonts w:hint="cs"/>
          <w:i/>
          <w:sz w:val="23"/>
          <w:szCs w:val="23"/>
          <w:rtl/>
        </w:rPr>
        <w:t>آنگاه</w:t>
      </w:r>
    </w:p>
    <w:p w14:paraId="20A014FB" w14:textId="77777777" w:rsidR="00411620" w:rsidRPr="003B28FD" w:rsidRDefault="00411620" w:rsidP="00411620">
      <w:pPr>
        <w:bidi w:val="0"/>
        <w:spacing w:line="216" w:lineRule="auto"/>
        <w:rPr>
          <w:i/>
          <w:sz w:val="23"/>
          <w:szCs w:val="23"/>
        </w:rPr>
      </w:pPr>
      <w:r w:rsidRPr="003B28FD">
        <w:rPr>
          <w:position w:val="-12"/>
        </w:rPr>
        <w:object w:dxaOrig="5660" w:dyaOrig="360" w14:anchorId="5DB03570">
          <v:shape id="_x0000_i3306" type="#_x0000_t75" style="width:283.15pt;height:18.15pt" o:ole="">
            <v:imagedata r:id="rId4596" o:title=""/>
          </v:shape>
          <o:OLEObject Type="Embed" ProgID="Equation.DSMT4" ShapeID="_x0000_i3306" DrawAspect="Content" ObjectID="_1791377250" r:id="rId4597"/>
        </w:object>
      </w:r>
    </w:p>
    <w:p w14:paraId="3851A239" w14:textId="77777777" w:rsidR="00411620" w:rsidRPr="003B28FD" w:rsidRDefault="00411620" w:rsidP="00411620">
      <w:pPr>
        <w:pStyle w:val="MTDisplayEquation"/>
        <w:spacing w:line="216" w:lineRule="auto"/>
        <w:rPr>
          <w:rFonts w:ascii="Times New Roman" w:eastAsia="Times New Roman" w:hAnsi="Times New Roman" w:cs="B Nazanin"/>
          <w:i/>
          <w:sz w:val="23"/>
          <w:szCs w:val="23"/>
        </w:rPr>
      </w:pPr>
      <w:r w:rsidRPr="003B28FD">
        <w:rPr>
          <w:position w:val="-14"/>
        </w:rPr>
        <w:object w:dxaOrig="4000" w:dyaOrig="380" w14:anchorId="4BFEF429">
          <v:shape id="_x0000_i3307" type="#_x0000_t75" style="width:199.65pt;height:18.75pt" o:ole="">
            <v:imagedata r:id="rId4598" o:title=""/>
          </v:shape>
          <o:OLEObject Type="Embed" ProgID="Equation.DSMT4" ShapeID="_x0000_i3307" DrawAspect="Content" ObjectID="_1791377251" r:id="rId4599"/>
        </w:object>
      </w:r>
    </w:p>
    <w:p w14:paraId="2EC931A9" w14:textId="77777777" w:rsidR="00411620" w:rsidRPr="003B28FD" w:rsidRDefault="00411620" w:rsidP="00411620">
      <w:pPr>
        <w:spacing w:line="216" w:lineRule="auto"/>
        <w:rPr>
          <w:i/>
          <w:sz w:val="23"/>
          <w:szCs w:val="23"/>
          <w:rtl/>
        </w:rPr>
      </w:pPr>
      <w:r w:rsidRPr="003B28FD">
        <w:rPr>
          <w:rFonts w:hint="cs"/>
          <w:i/>
          <w:sz w:val="23"/>
          <w:szCs w:val="23"/>
          <w:rtl/>
        </w:rPr>
        <w:t>از آن</w:t>
      </w:r>
      <w:r w:rsidRPr="003B28FD">
        <w:rPr>
          <w:i/>
          <w:sz w:val="23"/>
          <w:szCs w:val="23"/>
          <w:rtl/>
        </w:rPr>
        <w:softHyphen/>
      </w:r>
      <w:r w:rsidRPr="003B28FD">
        <w:rPr>
          <w:rFonts w:hint="cs"/>
          <w:i/>
          <w:sz w:val="23"/>
          <w:szCs w:val="23"/>
          <w:rtl/>
        </w:rPr>
        <w:t>جا که نرخ بازدهی سرمایه مثبت و کوچکتر از یک است، بنابراین معادله</w:t>
      </w:r>
      <w:r w:rsidRPr="003B28FD">
        <w:rPr>
          <w:i/>
          <w:sz w:val="23"/>
          <w:szCs w:val="23"/>
          <w:rtl/>
        </w:rPr>
        <w:softHyphen/>
      </w:r>
      <w:r w:rsidRPr="003B28FD">
        <w:rPr>
          <w:rFonts w:hint="cs"/>
          <w:i/>
          <w:sz w:val="23"/>
          <w:szCs w:val="23"/>
          <w:rtl/>
        </w:rPr>
        <w:t>ی تفاضلی مرتبه</w:t>
      </w:r>
      <w:r w:rsidRPr="003B28FD">
        <w:rPr>
          <w:i/>
          <w:sz w:val="23"/>
          <w:szCs w:val="23"/>
          <w:rtl/>
        </w:rPr>
        <w:softHyphen/>
      </w:r>
      <w:r w:rsidRPr="003B28FD">
        <w:rPr>
          <w:rFonts w:hint="cs"/>
          <w:i/>
          <w:sz w:val="23"/>
          <w:szCs w:val="23"/>
          <w:rtl/>
        </w:rPr>
        <w:t>ی اول خطی فوق بی</w:t>
      </w:r>
      <w:r w:rsidRPr="003B28FD">
        <w:rPr>
          <w:i/>
          <w:sz w:val="23"/>
          <w:szCs w:val="23"/>
          <w:rtl/>
        </w:rPr>
        <w:softHyphen/>
      </w:r>
      <w:r w:rsidRPr="003B28FD">
        <w:rPr>
          <w:rFonts w:hint="cs"/>
          <w:i/>
          <w:sz w:val="23"/>
          <w:szCs w:val="23"/>
          <w:rtl/>
        </w:rPr>
        <w:t>ثبات است و فقط در صورتی برای همه زمان</w:t>
      </w:r>
      <w:r w:rsidRPr="003B28FD">
        <w:rPr>
          <w:i/>
          <w:sz w:val="23"/>
          <w:szCs w:val="23"/>
          <w:rtl/>
        </w:rPr>
        <w:softHyphen/>
      </w:r>
      <w:r w:rsidRPr="003B28FD">
        <w:rPr>
          <w:rFonts w:hint="cs"/>
          <w:i/>
          <w:sz w:val="23"/>
          <w:szCs w:val="23"/>
          <w:rtl/>
        </w:rPr>
        <w:t xml:space="preserve">های </w:t>
      </w:r>
      <w:r w:rsidRPr="003B28FD">
        <w:rPr>
          <w:i/>
          <w:sz w:val="23"/>
          <w:szCs w:val="23"/>
        </w:rPr>
        <w:t>t</w:t>
      </w:r>
      <w:r w:rsidRPr="003B28FD">
        <w:rPr>
          <w:rFonts w:hint="cs"/>
          <w:i/>
          <w:sz w:val="23"/>
          <w:szCs w:val="23"/>
          <w:rtl/>
        </w:rPr>
        <w:t xml:space="preserve"> مقبول است که</w:t>
      </w:r>
    </w:p>
    <w:p w14:paraId="7782E8C6" w14:textId="77777777" w:rsidR="00411620" w:rsidRPr="003B28FD" w:rsidRDefault="00411620" w:rsidP="00411620">
      <w:pPr>
        <w:bidi w:val="0"/>
        <w:spacing w:line="216" w:lineRule="auto"/>
        <w:rPr>
          <w:i/>
          <w:sz w:val="23"/>
          <w:szCs w:val="23"/>
          <w:rtl/>
        </w:rPr>
      </w:pPr>
      <w:r w:rsidRPr="003B28FD">
        <w:rPr>
          <w:i/>
          <w:sz w:val="23"/>
          <w:szCs w:val="23"/>
        </w:rPr>
        <w:t xml:space="preserve"> </w:t>
      </w:r>
      <w:r w:rsidRPr="003B28FD">
        <w:rPr>
          <w:position w:val="-10"/>
        </w:rPr>
        <w:object w:dxaOrig="1120" w:dyaOrig="320" w14:anchorId="0EE9A702">
          <v:shape id="_x0000_i3308" type="#_x0000_t75" style="width:55.65pt;height:16.35pt" o:ole="">
            <v:imagedata r:id="rId4600" o:title=""/>
          </v:shape>
          <o:OLEObject Type="Embed" ProgID="Equation.DSMT4" ShapeID="_x0000_i3308" DrawAspect="Content" ObjectID="_1791377252" r:id="rId4601"/>
        </w:object>
      </w:r>
      <w:r w:rsidRPr="003B28FD">
        <w:rPr>
          <w:i/>
          <w:sz w:val="23"/>
          <w:szCs w:val="23"/>
          <w:rtl/>
        </w:rPr>
        <w:tab/>
      </w:r>
      <w:r w:rsidRPr="003B28FD">
        <w:rPr>
          <w:i/>
          <w:sz w:val="23"/>
          <w:szCs w:val="23"/>
          <w:rtl/>
        </w:rPr>
        <w:tab/>
      </w:r>
      <w:r w:rsidRPr="003B28FD">
        <w:rPr>
          <w:i/>
          <w:sz w:val="23"/>
          <w:szCs w:val="23"/>
          <w:rtl/>
        </w:rPr>
        <w:tab/>
      </w:r>
      <w:r w:rsidRPr="003B28FD">
        <w:rPr>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Pr>
          <w:i/>
          <w:sz w:val="23"/>
          <w:szCs w:val="23"/>
          <w:rtl/>
        </w:rPr>
        <w:tab/>
      </w:r>
      <w:r w:rsidRPr="003B28FD">
        <w:rPr>
          <w:i/>
          <w:sz w:val="23"/>
          <w:szCs w:val="23"/>
        </w:rPr>
        <w:tab/>
      </w:r>
      <w:r w:rsidRPr="003B28FD">
        <w:rPr>
          <w:i/>
          <w:sz w:val="23"/>
          <w:szCs w:val="23"/>
        </w:rPr>
        <w:tab/>
      </w:r>
      <w:r w:rsidRPr="003B28FD">
        <w:rPr>
          <w:i/>
          <w:sz w:val="23"/>
          <w:szCs w:val="23"/>
          <w:rtl/>
        </w:rPr>
        <w:tab/>
      </w:r>
      <w:r w:rsidRPr="003B28FD">
        <w:rPr>
          <w:i/>
          <w:sz w:val="23"/>
          <w:szCs w:val="23"/>
          <w:rtl/>
        </w:rPr>
        <w:tab/>
      </w:r>
      <w:r w:rsidRPr="003B28FD">
        <w:rPr>
          <w:i/>
          <w:sz w:val="23"/>
          <w:szCs w:val="23"/>
          <w:rtl/>
        </w:rPr>
        <w:tab/>
      </w:r>
      <w:r w:rsidRPr="003B28FD">
        <w:rPr>
          <w:rFonts w:hint="cs"/>
          <w:i/>
          <w:sz w:val="23"/>
          <w:szCs w:val="23"/>
          <w:rtl/>
        </w:rPr>
        <w:t>(۶. ۳۶)</w:t>
      </w:r>
    </w:p>
    <w:p w14:paraId="7428DF99" w14:textId="77777777" w:rsidR="00411620" w:rsidRPr="003B28FD" w:rsidRDefault="00411620" w:rsidP="00411620">
      <w:pPr>
        <w:spacing w:line="216" w:lineRule="auto"/>
        <w:rPr>
          <w:i/>
          <w:sz w:val="23"/>
          <w:szCs w:val="23"/>
          <w:rtl/>
        </w:rPr>
      </w:pPr>
      <w:r w:rsidRPr="003B28FD">
        <w:rPr>
          <w:rFonts w:hint="cs"/>
          <w:i/>
          <w:sz w:val="23"/>
          <w:szCs w:val="23"/>
          <w:rtl/>
        </w:rPr>
        <w:t>یعنی تقاضای کل سرمایه</w:t>
      </w:r>
      <w:r w:rsidRPr="003B28FD">
        <w:rPr>
          <w:position w:val="-10"/>
        </w:rPr>
        <w:object w:dxaOrig="440" w:dyaOrig="320" w14:anchorId="34B8B099">
          <v:shape id="_x0000_i3309" type="#_x0000_t75" style="width:21.8pt;height:16.35pt" o:ole="">
            <v:imagedata r:id="rId4602" o:title=""/>
          </v:shape>
          <o:OLEObject Type="Embed" ProgID="Equation.DSMT4" ShapeID="_x0000_i3309" DrawAspect="Content" ObjectID="_1791377253" r:id="rId4603"/>
        </w:object>
      </w:r>
      <w:r w:rsidRPr="003B28FD">
        <w:rPr>
          <w:rFonts w:hint="cs"/>
          <w:i/>
          <w:sz w:val="23"/>
          <w:szCs w:val="23"/>
          <w:rtl/>
        </w:rPr>
        <w:t xml:space="preserve"> برابر با عرضه کل پس</w:t>
      </w:r>
      <w:r w:rsidRPr="003B28FD">
        <w:rPr>
          <w:i/>
          <w:sz w:val="23"/>
          <w:szCs w:val="23"/>
          <w:rtl/>
        </w:rPr>
        <w:softHyphen/>
      </w:r>
      <w:r w:rsidRPr="003B28FD">
        <w:rPr>
          <w:rFonts w:hint="cs"/>
          <w:i/>
          <w:sz w:val="23"/>
          <w:szCs w:val="23"/>
          <w:rtl/>
        </w:rPr>
        <w:t>انداز</w:t>
      </w:r>
      <w:r w:rsidRPr="003B28FD">
        <w:rPr>
          <w:position w:val="-10"/>
        </w:rPr>
        <w:object w:dxaOrig="520" w:dyaOrig="320" w14:anchorId="2C5BB241">
          <v:shape id="_x0000_i3310" type="#_x0000_t75" style="width:26pt;height:16.35pt" o:ole="">
            <v:imagedata r:id="rId4604" o:title=""/>
          </v:shape>
          <o:OLEObject Type="Embed" ProgID="Equation.DSMT4" ShapeID="_x0000_i3310" DrawAspect="Content" ObjectID="_1791377254" r:id="rId4605"/>
        </w:object>
      </w:r>
      <w:r w:rsidRPr="003B28FD">
        <w:rPr>
          <w:rFonts w:hint="cs"/>
          <w:i/>
          <w:sz w:val="23"/>
          <w:szCs w:val="23"/>
          <w:rtl/>
        </w:rPr>
        <w:t xml:space="preserve"> باشد. باید توجه داشت که پس</w:t>
      </w:r>
      <w:r w:rsidRPr="003B28FD">
        <w:rPr>
          <w:i/>
          <w:sz w:val="23"/>
          <w:szCs w:val="23"/>
          <w:rtl/>
        </w:rPr>
        <w:softHyphen/>
      </w:r>
      <w:r w:rsidRPr="003B28FD">
        <w:rPr>
          <w:rFonts w:hint="cs"/>
          <w:i/>
          <w:sz w:val="23"/>
          <w:szCs w:val="23"/>
          <w:rtl/>
        </w:rPr>
        <w:t>انداز فقط توسط افراد جوان که نیروی کار خود را جهت تولید کالاها و خدمات عرضه می</w:t>
      </w:r>
      <w:r w:rsidRPr="003B28FD">
        <w:rPr>
          <w:i/>
          <w:sz w:val="23"/>
          <w:szCs w:val="23"/>
          <w:rtl/>
        </w:rPr>
        <w:softHyphen/>
      </w:r>
      <w:r w:rsidRPr="003B28FD">
        <w:rPr>
          <w:rFonts w:hint="cs"/>
          <w:i/>
          <w:sz w:val="23"/>
          <w:szCs w:val="23"/>
          <w:rtl/>
        </w:rPr>
        <w:t>کنند صورت می</w:t>
      </w:r>
      <w:r w:rsidRPr="003B28FD">
        <w:rPr>
          <w:i/>
          <w:sz w:val="23"/>
          <w:szCs w:val="23"/>
          <w:rtl/>
        </w:rPr>
        <w:softHyphen/>
      </w:r>
      <w:r w:rsidRPr="003B28FD">
        <w:rPr>
          <w:rFonts w:hint="cs"/>
          <w:i/>
          <w:sz w:val="23"/>
          <w:szCs w:val="23"/>
          <w:rtl/>
        </w:rPr>
        <w:t>گیرد، و این افراد صاحبان سرمایه</w:t>
      </w:r>
      <w:r w:rsidRPr="003B28FD">
        <w:rPr>
          <w:i/>
          <w:sz w:val="23"/>
          <w:szCs w:val="23"/>
          <w:rtl/>
        </w:rPr>
        <w:softHyphen/>
      </w:r>
      <w:r w:rsidRPr="003B28FD">
        <w:rPr>
          <w:rFonts w:hint="cs"/>
          <w:i/>
          <w:sz w:val="23"/>
          <w:szCs w:val="23"/>
          <w:rtl/>
        </w:rPr>
        <w:t>ی دوره</w:t>
      </w:r>
      <w:r w:rsidRPr="003B28FD">
        <w:rPr>
          <w:i/>
          <w:sz w:val="23"/>
          <w:szCs w:val="23"/>
          <w:rtl/>
        </w:rPr>
        <w:softHyphen/>
      </w:r>
      <w:r w:rsidRPr="003B28FD">
        <w:rPr>
          <w:rFonts w:hint="cs"/>
          <w:i/>
          <w:sz w:val="23"/>
          <w:szCs w:val="23"/>
          <w:rtl/>
        </w:rPr>
        <w:t>ی بعد می</w:t>
      </w:r>
      <w:r w:rsidRPr="003B28FD">
        <w:rPr>
          <w:i/>
          <w:sz w:val="23"/>
          <w:szCs w:val="23"/>
          <w:rtl/>
        </w:rPr>
        <w:softHyphen/>
      </w:r>
      <w:r w:rsidRPr="003B28FD">
        <w:rPr>
          <w:rFonts w:hint="cs"/>
          <w:i/>
          <w:sz w:val="23"/>
          <w:szCs w:val="23"/>
          <w:rtl/>
        </w:rPr>
        <w:t xml:space="preserve">باشند. </w:t>
      </w:r>
    </w:p>
    <w:p w14:paraId="5F16F188" w14:textId="77777777" w:rsidR="00411620" w:rsidRPr="003B28FD" w:rsidRDefault="00411620" w:rsidP="00411620">
      <w:pPr>
        <w:spacing w:line="216" w:lineRule="auto"/>
        <w:rPr>
          <w:i/>
          <w:sz w:val="23"/>
          <w:szCs w:val="23"/>
          <w:rtl/>
        </w:rPr>
      </w:pPr>
      <w:r w:rsidRPr="003B28FD">
        <w:rPr>
          <w:rFonts w:hint="cs"/>
          <w:i/>
          <w:sz w:val="23"/>
          <w:szCs w:val="23"/>
          <w:rtl/>
        </w:rPr>
        <w:t>معادله</w:t>
      </w:r>
      <w:r w:rsidRPr="003B28FD">
        <w:rPr>
          <w:i/>
          <w:sz w:val="23"/>
          <w:szCs w:val="23"/>
          <w:rtl/>
        </w:rPr>
        <w:softHyphen/>
      </w:r>
      <w:r w:rsidRPr="003B28FD">
        <w:rPr>
          <w:rFonts w:hint="cs"/>
          <w:i/>
          <w:sz w:val="23"/>
          <w:szCs w:val="23"/>
          <w:rtl/>
        </w:rPr>
        <w:t>ی (۶. ۳۶) را می</w:t>
      </w:r>
      <w:r w:rsidRPr="003B28FD">
        <w:rPr>
          <w:i/>
          <w:sz w:val="23"/>
          <w:szCs w:val="23"/>
          <w:rtl/>
        </w:rPr>
        <w:softHyphen/>
      </w:r>
      <w:r w:rsidRPr="003B28FD">
        <w:rPr>
          <w:rFonts w:hint="cs"/>
          <w:i/>
          <w:sz w:val="23"/>
          <w:szCs w:val="23"/>
          <w:rtl/>
        </w:rPr>
        <w:t>توان به صورت سرانه نیز بازنویسی کرد. بنابراین</w:t>
      </w:r>
    </w:p>
    <w:p w14:paraId="0E3CDF7A" w14:textId="77777777" w:rsidR="00411620" w:rsidRPr="003B28FD" w:rsidRDefault="00411620" w:rsidP="00411620">
      <w:pPr>
        <w:pStyle w:val="MTDisplayEquation"/>
        <w:tabs>
          <w:tab w:val="clear" w:pos="6660"/>
        </w:tabs>
        <w:spacing w:line="216" w:lineRule="auto"/>
        <w:jc w:val="left"/>
        <w:rPr>
          <w:rFonts w:ascii="Times New Roman" w:eastAsia="Times New Roman" w:hAnsi="Times New Roman" w:cs="B Nazanin"/>
          <w:i/>
          <w:sz w:val="23"/>
          <w:szCs w:val="23"/>
        </w:rPr>
      </w:pPr>
      <w:r w:rsidRPr="003B28FD">
        <w:rPr>
          <w:position w:val="-30"/>
        </w:rPr>
        <w:object w:dxaOrig="3300" w:dyaOrig="680" w14:anchorId="54D224D4">
          <v:shape id="_x0000_i3311" type="#_x0000_t75" style="width:165.2pt;height:33.9pt" o:ole="">
            <v:imagedata r:id="rId4606" o:title=""/>
          </v:shape>
          <o:OLEObject Type="Embed" ProgID="Equation.DSMT4" ShapeID="_x0000_i3311" DrawAspect="Content" ObjectID="_1791377255" r:id="rId4607"/>
        </w:object>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Pr>
          <w:rFonts w:ascii="Times New Roman" w:hAnsi="Times New Roman"/>
          <w:i/>
          <w:sz w:val="23"/>
          <w:szCs w:val="23"/>
          <w:rtl/>
        </w:rPr>
        <w:tab/>
      </w:r>
      <w:r>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cs="B Nazanin"/>
          <w:i/>
          <w:sz w:val="23"/>
          <w:szCs w:val="23"/>
          <w:rtl/>
        </w:rPr>
        <w:tab/>
      </w:r>
      <w:r w:rsidRPr="003B28FD">
        <w:rPr>
          <w:rFonts w:ascii="Times New Roman" w:hAnsi="Times New Roman" w:cs="B Nazanin" w:hint="cs"/>
          <w:i/>
          <w:sz w:val="23"/>
          <w:szCs w:val="23"/>
          <w:rtl/>
        </w:rPr>
        <w:t>(۶. ۳۷)</w:t>
      </w:r>
    </w:p>
    <w:p w14:paraId="50560278" w14:textId="77777777" w:rsidR="00411620" w:rsidRPr="003B28FD" w:rsidRDefault="00411620" w:rsidP="00411620">
      <w:pPr>
        <w:spacing w:line="216" w:lineRule="auto"/>
        <w:rPr>
          <w:i/>
          <w:sz w:val="23"/>
          <w:szCs w:val="23"/>
          <w:rtl/>
        </w:rPr>
      </w:pPr>
      <w:r w:rsidRPr="003B28FD">
        <w:rPr>
          <w:rFonts w:hint="cs"/>
          <w:i/>
          <w:sz w:val="23"/>
          <w:szCs w:val="23"/>
          <w:rtl/>
        </w:rPr>
        <w:lastRenderedPageBreak/>
        <w:t>و به کمک رابطه</w:t>
      </w:r>
      <w:r w:rsidRPr="003B28FD">
        <w:rPr>
          <w:i/>
          <w:sz w:val="23"/>
          <w:szCs w:val="23"/>
          <w:rtl/>
        </w:rPr>
        <w:softHyphen/>
      </w:r>
      <w:r w:rsidRPr="003B28FD">
        <w:rPr>
          <w:rFonts w:hint="cs"/>
          <w:i/>
          <w:sz w:val="23"/>
          <w:szCs w:val="23"/>
          <w:rtl/>
        </w:rPr>
        <w:t>ی (۶. ۳۵) خواهیم داشت</w:t>
      </w:r>
    </w:p>
    <w:p w14:paraId="0EA98373" w14:textId="77777777" w:rsidR="00411620" w:rsidRPr="003B28FD" w:rsidRDefault="00411620" w:rsidP="00411620">
      <w:pPr>
        <w:pStyle w:val="MTDisplayEquation"/>
        <w:tabs>
          <w:tab w:val="clear" w:pos="3320"/>
          <w:tab w:val="clear" w:pos="6660"/>
          <w:tab w:val="right" w:pos="0"/>
        </w:tabs>
        <w:spacing w:line="216" w:lineRule="auto"/>
        <w:rPr>
          <w:rFonts w:ascii="Times New Roman" w:eastAsia="Times New Roman" w:hAnsi="Times New Roman" w:cs="B Nazanin"/>
          <w:i/>
          <w:sz w:val="23"/>
          <w:szCs w:val="23"/>
          <w:rtl/>
        </w:rPr>
      </w:pPr>
      <w:r w:rsidRPr="003B28FD">
        <w:rPr>
          <w:position w:val="-12"/>
        </w:rPr>
        <w:object w:dxaOrig="3420" w:dyaOrig="360" w14:anchorId="1CDBC238">
          <v:shape id="_x0000_i3312" type="#_x0000_t75" style="width:171.25pt;height:18.15pt" o:ole="">
            <v:imagedata r:id="rId4608" o:title=""/>
          </v:shape>
          <o:OLEObject Type="Embed" ProgID="Equation.DSMT4" ShapeID="_x0000_i3312" DrawAspect="Content" ObjectID="_1791377256" r:id="rId4609"/>
        </w:object>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Pr>
          <w:rFonts w:ascii="Times New Roman" w:hAnsi="Times New Roman"/>
          <w:i/>
          <w:sz w:val="23"/>
          <w:szCs w:val="23"/>
          <w:rtl/>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cs="B Nazanin" w:hint="cs"/>
          <w:i/>
          <w:sz w:val="23"/>
          <w:szCs w:val="23"/>
          <w:rtl/>
        </w:rPr>
        <w:t>(۶. ۳۸)</w:t>
      </w:r>
    </w:p>
    <w:p w14:paraId="18247BB1" w14:textId="77777777" w:rsidR="00411620" w:rsidRPr="003B28FD" w:rsidRDefault="00411620" w:rsidP="00411620">
      <w:pPr>
        <w:spacing w:line="216" w:lineRule="auto"/>
        <w:rPr>
          <w:i/>
          <w:sz w:val="23"/>
          <w:szCs w:val="23"/>
          <w:rtl/>
        </w:rPr>
      </w:pPr>
      <w:r w:rsidRPr="003B28FD">
        <w:rPr>
          <w:rFonts w:hint="cs"/>
          <w:i/>
          <w:sz w:val="23"/>
          <w:szCs w:val="23"/>
          <w:rtl/>
        </w:rPr>
        <w:t>اگر فرض کنیم که هر دو نسل دارای ترجیحات یکسانی باشند و وجه تفاوت آن</w:t>
      </w:r>
      <w:r w:rsidRPr="003B28FD">
        <w:rPr>
          <w:i/>
          <w:sz w:val="23"/>
          <w:szCs w:val="23"/>
          <w:rtl/>
        </w:rPr>
        <w:softHyphen/>
      </w:r>
      <w:r w:rsidRPr="003B28FD">
        <w:rPr>
          <w:rFonts w:hint="cs"/>
          <w:i/>
          <w:sz w:val="23"/>
          <w:szCs w:val="23"/>
          <w:rtl/>
        </w:rPr>
        <w:t>ها فقط در مدت زمان زندگی باشد، آنگاه نسل جوان برای دو دوره زندگی می</w:t>
      </w:r>
      <w:r w:rsidRPr="003B28FD">
        <w:rPr>
          <w:i/>
          <w:sz w:val="23"/>
          <w:szCs w:val="23"/>
          <w:rtl/>
        </w:rPr>
        <w:softHyphen/>
      </w:r>
      <w:r w:rsidRPr="003B28FD">
        <w:rPr>
          <w:rFonts w:hint="cs"/>
          <w:i/>
          <w:sz w:val="23"/>
          <w:szCs w:val="23"/>
          <w:rtl/>
        </w:rPr>
        <w:t>کند و مطلوبیت آن</w:t>
      </w:r>
      <w:r w:rsidRPr="003B28FD">
        <w:rPr>
          <w:i/>
          <w:sz w:val="23"/>
          <w:szCs w:val="23"/>
          <w:rtl/>
        </w:rPr>
        <w:softHyphen/>
      </w:r>
      <w:r w:rsidRPr="003B28FD">
        <w:rPr>
          <w:rFonts w:hint="cs"/>
          <w:i/>
          <w:sz w:val="23"/>
          <w:szCs w:val="23"/>
          <w:rtl/>
        </w:rPr>
        <w:t xml:space="preserve">ها در زمان </w:t>
      </w:r>
      <w:r w:rsidRPr="003B28FD">
        <w:rPr>
          <w:i/>
          <w:sz w:val="23"/>
          <w:szCs w:val="23"/>
        </w:rPr>
        <w:t>t</w:t>
      </w:r>
      <w:r w:rsidRPr="003B28FD">
        <w:rPr>
          <w:rFonts w:hint="cs"/>
          <w:i/>
          <w:sz w:val="23"/>
          <w:szCs w:val="23"/>
          <w:rtl/>
        </w:rPr>
        <w:t xml:space="preserve"> عبارت است از </w:t>
      </w:r>
    </w:p>
    <w:p w14:paraId="4AA9EF85" w14:textId="77777777" w:rsidR="00411620" w:rsidRPr="003B28FD" w:rsidRDefault="00411620" w:rsidP="00411620">
      <w:pPr>
        <w:pStyle w:val="MTDisplayEquation"/>
        <w:spacing w:line="216" w:lineRule="auto"/>
        <w:rPr>
          <w:rFonts w:ascii="Times New Roman" w:eastAsia="Times New Roman" w:hAnsi="Times New Roman" w:cs="B Nazanin"/>
          <w:i/>
          <w:sz w:val="23"/>
          <w:szCs w:val="23"/>
          <w:rtl/>
        </w:rPr>
      </w:pPr>
      <w:r w:rsidRPr="003B28FD">
        <w:rPr>
          <w:position w:val="-12"/>
        </w:rPr>
        <w:object w:dxaOrig="2079" w:dyaOrig="360" w14:anchorId="35B692B8">
          <v:shape id="_x0000_i3313" type="#_x0000_t75" style="width:104.05pt;height:18.15pt" o:ole="">
            <v:imagedata r:id="rId4610" o:title=""/>
          </v:shape>
          <o:OLEObject Type="Embed" ProgID="Equation.DSMT4" ShapeID="_x0000_i3313" DrawAspect="Content" ObjectID="_1791377257" r:id="rId4611"/>
        </w:object>
      </w:r>
    </w:p>
    <w:p w14:paraId="7456A053" w14:textId="77777777" w:rsidR="00411620" w:rsidRPr="003B28FD" w:rsidRDefault="00411620" w:rsidP="00411620">
      <w:pPr>
        <w:spacing w:line="216" w:lineRule="auto"/>
        <w:rPr>
          <w:i/>
          <w:sz w:val="23"/>
          <w:szCs w:val="23"/>
          <w:rtl/>
        </w:rPr>
      </w:pPr>
      <w:r w:rsidRPr="003B28FD">
        <w:rPr>
          <w:rFonts w:hint="cs"/>
          <w:i/>
          <w:sz w:val="23"/>
          <w:szCs w:val="23"/>
          <w:rtl/>
        </w:rPr>
        <w:t>اگر</w:t>
      </w:r>
      <w:r w:rsidRPr="003B28FD">
        <w:rPr>
          <w:position w:val="-10"/>
        </w:rPr>
        <w:object w:dxaOrig="260" w:dyaOrig="320" w14:anchorId="38277569">
          <v:shape id="_x0000_i3314" type="#_x0000_t75" style="width:12.7pt;height:16.35pt" o:ole="">
            <v:imagedata r:id="rId4612" o:title=""/>
          </v:shape>
          <o:OLEObject Type="Embed" ProgID="Equation.DSMT4" ShapeID="_x0000_i3314" DrawAspect="Content" ObjectID="_1791377258" r:id="rId4613"/>
        </w:object>
      </w:r>
      <w:r w:rsidRPr="003B28FD">
        <w:rPr>
          <w:rFonts w:hint="cs"/>
          <w:i/>
          <w:sz w:val="23"/>
          <w:szCs w:val="23"/>
          <w:rtl/>
        </w:rPr>
        <w:t xml:space="preserve"> و</w:t>
      </w:r>
      <w:r w:rsidRPr="003B28FD">
        <w:rPr>
          <w:position w:val="-10"/>
        </w:rPr>
        <w:object w:dxaOrig="320" w:dyaOrig="320" w14:anchorId="5CD00B71">
          <v:shape id="_x0000_i3315" type="#_x0000_t75" style="width:16.35pt;height:16.35pt" o:ole="">
            <v:imagedata r:id="rId4614" o:title=""/>
          </v:shape>
          <o:OLEObject Type="Embed" ProgID="Equation.DSMT4" ShapeID="_x0000_i3315" DrawAspect="Content" ObjectID="_1791377259" r:id="rId4615"/>
        </w:object>
      </w:r>
      <w:r w:rsidRPr="003B28FD">
        <w:rPr>
          <w:rFonts w:hint="cs"/>
          <w:i/>
          <w:sz w:val="23"/>
          <w:szCs w:val="23"/>
          <w:rtl/>
        </w:rPr>
        <w:t xml:space="preserve"> را داده شده در نظر بگیریم، آنگاه نسل جوان مطلوبیت خود را نسبت به قید بودجه</w:t>
      </w:r>
      <w:r w:rsidRPr="003B28FD">
        <w:rPr>
          <w:i/>
          <w:sz w:val="23"/>
          <w:szCs w:val="23"/>
          <w:rtl/>
        </w:rPr>
        <w:softHyphen/>
      </w:r>
      <w:r w:rsidRPr="003B28FD">
        <w:rPr>
          <w:rFonts w:hint="cs"/>
          <w:i/>
          <w:sz w:val="23"/>
          <w:szCs w:val="23"/>
          <w:rtl/>
        </w:rPr>
        <w:t>ی دو دوره</w:t>
      </w:r>
      <w:r w:rsidRPr="003B28FD">
        <w:rPr>
          <w:i/>
          <w:sz w:val="23"/>
          <w:szCs w:val="23"/>
          <w:rtl/>
        </w:rPr>
        <w:softHyphen/>
      </w:r>
      <w:r w:rsidRPr="003B28FD">
        <w:rPr>
          <w:rFonts w:hint="cs"/>
          <w:i/>
          <w:sz w:val="23"/>
          <w:szCs w:val="23"/>
          <w:rtl/>
        </w:rPr>
        <w:t>ای حداکثر می</w:t>
      </w:r>
      <w:r w:rsidRPr="003B28FD">
        <w:rPr>
          <w:i/>
          <w:sz w:val="23"/>
          <w:szCs w:val="23"/>
          <w:rtl/>
        </w:rPr>
        <w:softHyphen/>
      </w:r>
      <w:r w:rsidRPr="003B28FD">
        <w:rPr>
          <w:rFonts w:hint="cs"/>
          <w:i/>
          <w:sz w:val="23"/>
          <w:szCs w:val="23"/>
          <w:rtl/>
        </w:rPr>
        <w:t>کند. لاگرانژین این مسئله عبارت است از</w:t>
      </w:r>
    </w:p>
    <w:p w14:paraId="3A517648" w14:textId="77777777" w:rsidR="00411620" w:rsidRPr="003B28FD" w:rsidRDefault="00411620" w:rsidP="00411620">
      <w:pPr>
        <w:bidi w:val="0"/>
        <w:spacing w:line="216" w:lineRule="auto"/>
        <w:rPr>
          <w:i/>
          <w:sz w:val="23"/>
          <w:szCs w:val="23"/>
          <w:rtl/>
        </w:rPr>
      </w:pPr>
      <w:r w:rsidRPr="003B28FD">
        <w:rPr>
          <w:rFonts w:hint="cs"/>
          <w:i/>
          <w:sz w:val="23"/>
          <w:szCs w:val="23"/>
        </w:rPr>
        <w:t xml:space="preserve"> </w:t>
      </w:r>
      <w:r w:rsidRPr="003B28FD">
        <w:rPr>
          <w:position w:val="-14"/>
        </w:rPr>
        <w:object w:dxaOrig="4780" w:dyaOrig="380" w14:anchorId="3453E723">
          <v:shape id="_x0000_i3316" type="#_x0000_t75" style="width:239pt;height:18.75pt" o:ole="">
            <v:imagedata r:id="rId4616" o:title=""/>
          </v:shape>
          <o:OLEObject Type="Embed" ProgID="Equation.DSMT4" ShapeID="_x0000_i3316" DrawAspect="Content" ObjectID="_1791377260" r:id="rId4617"/>
        </w:object>
      </w:r>
    </w:p>
    <w:p w14:paraId="623371CF" w14:textId="77777777" w:rsidR="00411620" w:rsidRPr="003B28FD" w:rsidRDefault="00411620" w:rsidP="00411620">
      <w:pPr>
        <w:spacing w:line="216" w:lineRule="auto"/>
        <w:rPr>
          <w:i/>
          <w:sz w:val="23"/>
          <w:szCs w:val="23"/>
          <w:rtl/>
        </w:rPr>
      </w:pPr>
      <w:r w:rsidRPr="003B28FD">
        <w:rPr>
          <w:rFonts w:hint="cs"/>
          <w:i/>
          <w:sz w:val="23"/>
          <w:szCs w:val="23"/>
          <w:rtl/>
        </w:rPr>
        <w:t>و شرایط مرتبه</w:t>
      </w:r>
      <w:r w:rsidRPr="003B28FD">
        <w:rPr>
          <w:i/>
          <w:sz w:val="23"/>
          <w:szCs w:val="23"/>
        </w:rPr>
        <w:softHyphen/>
      </w:r>
      <w:r w:rsidRPr="003B28FD">
        <w:rPr>
          <w:rFonts w:hint="cs"/>
          <w:i/>
          <w:sz w:val="23"/>
          <w:szCs w:val="23"/>
          <w:rtl/>
        </w:rPr>
        <w:t>ی اول عبارتند از:</w:t>
      </w:r>
    </w:p>
    <w:p w14:paraId="6AA2013E" w14:textId="77777777" w:rsidR="00411620" w:rsidRPr="003B28FD" w:rsidRDefault="00411620" w:rsidP="00411620">
      <w:pPr>
        <w:pStyle w:val="MTDisplayEquation"/>
        <w:tabs>
          <w:tab w:val="clear" w:pos="6660"/>
        </w:tabs>
        <w:spacing w:line="216" w:lineRule="auto"/>
        <w:jc w:val="left"/>
        <w:rPr>
          <w:rFonts w:ascii="Times New Roman" w:eastAsia="Times New Roman" w:hAnsi="Times New Roman" w:cs="B Nazanin"/>
          <w:i/>
          <w:sz w:val="23"/>
          <w:szCs w:val="23"/>
          <w:rtl/>
        </w:rPr>
      </w:pPr>
      <w:r w:rsidRPr="003B28FD">
        <w:rPr>
          <w:position w:val="-28"/>
        </w:rPr>
        <w:object w:dxaOrig="2439" w:dyaOrig="620" w14:anchorId="11D6F193">
          <v:shape id="_x0000_i3317" type="#_x0000_t75" style="width:122.2pt;height:31.45pt" o:ole="">
            <v:imagedata r:id="rId4618" o:title=""/>
          </v:shape>
          <o:OLEObject Type="Embed" ProgID="Equation.DSMT4" ShapeID="_x0000_i3317" DrawAspect="Content" ObjectID="_1791377261" r:id="rId4619"/>
        </w:object>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Pr>
          <w:rFonts w:ascii="Times New Roman" w:hAnsi="Times New Roman"/>
          <w:i/>
          <w:sz w:val="23"/>
          <w:szCs w:val="23"/>
          <w:rtl/>
        </w:rPr>
        <w:tab/>
      </w:r>
      <w:r w:rsidRPr="003B28FD">
        <w:rPr>
          <w:rFonts w:ascii="Times New Roman" w:hAnsi="Times New Roman"/>
          <w:i/>
          <w:sz w:val="23"/>
          <w:szCs w:val="23"/>
        </w:rPr>
        <w:tab/>
      </w:r>
      <w:r w:rsidRPr="003B28FD">
        <w:rPr>
          <w:rFonts w:ascii="Times New Roman" w:hAnsi="Times New Roman" w:cs="B Nazanin"/>
          <w:i/>
          <w:sz w:val="23"/>
          <w:szCs w:val="23"/>
          <w:rtl/>
        </w:rPr>
        <w:tab/>
      </w:r>
      <w:r w:rsidRPr="003B28FD">
        <w:rPr>
          <w:rFonts w:ascii="Times New Roman" w:hAnsi="Times New Roman" w:cs="B Nazanin"/>
          <w:i/>
          <w:sz w:val="23"/>
          <w:szCs w:val="23"/>
          <w:rtl/>
        </w:rPr>
        <w:tab/>
      </w:r>
      <w:r w:rsidRPr="003B28FD">
        <w:rPr>
          <w:rFonts w:ascii="Times New Roman" w:hAnsi="Times New Roman" w:cs="B Nazanin" w:hint="cs"/>
          <w:i/>
          <w:sz w:val="23"/>
          <w:szCs w:val="23"/>
          <w:rtl/>
        </w:rPr>
        <w:t>(۶. ۳۹)</w:t>
      </w:r>
    </w:p>
    <w:p w14:paraId="641688B4" w14:textId="77777777" w:rsidR="00411620" w:rsidRPr="003B28FD" w:rsidRDefault="00411620" w:rsidP="00411620">
      <w:pPr>
        <w:pStyle w:val="MTDisplayEquation"/>
        <w:tabs>
          <w:tab w:val="clear" w:pos="6660"/>
        </w:tabs>
        <w:spacing w:line="216" w:lineRule="auto"/>
        <w:rPr>
          <w:rFonts w:ascii="Times New Roman" w:eastAsia="Times New Roman" w:hAnsi="Times New Roman" w:cs="B Nazanin"/>
          <w:i/>
          <w:sz w:val="23"/>
          <w:szCs w:val="23"/>
          <w:rtl/>
        </w:rPr>
      </w:pPr>
      <w:r w:rsidRPr="003B28FD">
        <w:rPr>
          <w:position w:val="-28"/>
        </w:rPr>
        <w:object w:dxaOrig="2140" w:dyaOrig="620" w14:anchorId="7DFE4F4B">
          <v:shape id="_x0000_i3318" type="#_x0000_t75" style="width:106.5pt;height:31.45pt" o:ole="">
            <v:imagedata r:id="rId4620" o:title=""/>
          </v:shape>
          <o:OLEObject Type="Embed" ProgID="Equation.DSMT4" ShapeID="_x0000_i3318" DrawAspect="Content" ObjectID="_1791377262" r:id="rId4621"/>
        </w:object>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sidRPr="003B28FD">
        <w:rPr>
          <w:rFonts w:ascii="Times New Roman" w:hAnsi="Times New Roman"/>
          <w:i/>
          <w:sz w:val="23"/>
          <w:szCs w:val="23"/>
        </w:rPr>
        <w:tab/>
      </w:r>
      <w:r>
        <w:rPr>
          <w:rFonts w:ascii="Times New Roman" w:hAnsi="Times New Roman"/>
          <w:i/>
          <w:sz w:val="23"/>
          <w:szCs w:val="23"/>
          <w:rtl/>
        </w:rPr>
        <w:tab/>
      </w:r>
      <w:r w:rsidRPr="003B28FD">
        <w:rPr>
          <w:rFonts w:ascii="Times New Roman" w:hAnsi="Times New Roman" w:cs="B Nazanin"/>
          <w:i/>
          <w:sz w:val="23"/>
          <w:szCs w:val="23"/>
          <w:rtl/>
        </w:rPr>
        <w:tab/>
      </w:r>
      <w:r w:rsidRPr="003B28FD">
        <w:rPr>
          <w:rFonts w:ascii="Times New Roman" w:hAnsi="Times New Roman" w:cs="B Nazanin"/>
          <w:i/>
          <w:sz w:val="23"/>
          <w:szCs w:val="23"/>
          <w:rtl/>
        </w:rPr>
        <w:tab/>
      </w:r>
      <w:r w:rsidRPr="003B28FD">
        <w:rPr>
          <w:rFonts w:ascii="Times New Roman" w:hAnsi="Times New Roman" w:cs="B Nazanin" w:hint="cs"/>
          <w:i/>
          <w:sz w:val="23"/>
          <w:szCs w:val="23"/>
          <w:rtl/>
        </w:rPr>
        <w:t>(۶. ۴۰)</w:t>
      </w:r>
    </w:p>
    <w:p w14:paraId="4F8751C8" w14:textId="77777777" w:rsidR="00411620" w:rsidRPr="003B28FD" w:rsidRDefault="00411620" w:rsidP="00411620">
      <w:pPr>
        <w:spacing w:line="216" w:lineRule="auto"/>
        <w:rPr>
          <w:i/>
          <w:sz w:val="23"/>
          <w:szCs w:val="23"/>
          <w:rtl/>
        </w:rPr>
      </w:pPr>
      <w:r w:rsidRPr="003B28FD">
        <w:rPr>
          <w:rFonts w:hint="cs"/>
          <w:i/>
          <w:sz w:val="23"/>
          <w:szCs w:val="23"/>
          <w:rtl/>
        </w:rPr>
        <w:t>بنابر این</w:t>
      </w:r>
    </w:p>
    <w:p w14:paraId="1559512E" w14:textId="77777777" w:rsidR="00411620" w:rsidRPr="003B28FD" w:rsidRDefault="00411620" w:rsidP="00411620">
      <w:pPr>
        <w:pStyle w:val="MTDisplayEquation"/>
        <w:tabs>
          <w:tab w:val="clear" w:pos="6660"/>
        </w:tabs>
        <w:spacing w:line="216" w:lineRule="auto"/>
        <w:rPr>
          <w:rFonts w:ascii="Times New Roman" w:eastAsia="Times New Roman" w:hAnsi="Times New Roman" w:cs="B Nazanin"/>
          <w:i/>
          <w:sz w:val="23"/>
          <w:szCs w:val="23"/>
          <w:rtl/>
        </w:rPr>
      </w:pPr>
      <w:r w:rsidRPr="003B28FD">
        <w:rPr>
          <w:position w:val="-30"/>
        </w:rPr>
        <w:object w:dxaOrig="4760" w:dyaOrig="700" w14:anchorId="2034E79C">
          <v:shape id="_x0000_i3319" type="#_x0000_t75" style="width:237.8pt;height:34.5pt" o:ole="">
            <v:imagedata r:id="rId4622" o:title=""/>
          </v:shape>
          <o:OLEObject Type="Embed" ProgID="Equation.DSMT4" ShapeID="_x0000_i3319" DrawAspect="Content" ObjectID="_1791377263" r:id="rId4623"/>
        </w:object>
      </w:r>
      <w:r w:rsidRPr="003B28FD">
        <w:rPr>
          <w:sz w:val="23"/>
          <w:szCs w:val="23"/>
        </w:rPr>
        <w:tab/>
      </w:r>
      <w:r>
        <w:rPr>
          <w:sz w:val="23"/>
          <w:szCs w:val="23"/>
        </w:rPr>
        <w:tab/>
      </w:r>
      <w:r w:rsidRPr="003B28FD">
        <w:rPr>
          <w:sz w:val="23"/>
          <w:szCs w:val="23"/>
        </w:rPr>
        <w:tab/>
      </w:r>
      <w:r>
        <w:rPr>
          <w:sz w:val="23"/>
          <w:szCs w:val="23"/>
          <w:rtl/>
        </w:rPr>
        <w:tab/>
      </w:r>
      <w:r w:rsidRPr="003B28FD">
        <w:rPr>
          <w:sz w:val="23"/>
          <w:szCs w:val="23"/>
        </w:rPr>
        <w:tab/>
      </w:r>
      <w:r w:rsidRPr="003B28FD">
        <w:rPr>
          <w:rFonts w:ascii="Times New Roman" w:hAnsi="Times New Roman" w:cs="B Nazanin" w:hint="cs"/>
          <w:i/>
          <w:sz w:val="23"/>
          <w:szCs w:val="23"/>
          <w:rtl/>
        </w:rPr>
        <w:t>(۶. ۴۱)</w:t>
      </w:r>
    </w:p>
    <w:p w14:paraId="1E8C1E4A" w14:textId="77777777" w:rsidR="00411620" w:rsidRPr="003B28FD" w:rsidRDefault="00411620" w:rsidP="00411620">
      <w:pPr>
        <w:spacing w:line="216" w:lineRule="auto"/>
        <w:rPr>
          <w:i/>
          <w:sz w:val="23"/>
          <w:szCs w:val="23"/>
          <w:rtl/>
        </w:rPr>
      </w:pPr>
      <w:r w:rsidRPr="003B28FD">
        <w:rPr>
          <w:rFonts w:hint="cs"/>
          <w:i/>
          <w:sz w:val="23"/>
          <w:szCs w:val="23"/>
          <w:rtl/>
        </w:rPr>
        <w:t>رابطه</w:t>
      </w:r>
      <w:r w:rsidRPr="003B28FD">
        <w:rPr>
          <w:i/>
          <w:sz w:val="23"/>
          <w:szCs w:val="23"/>
          <w:rtl/>
        </w:rPr>
        <w:softHyphen/>
      </w:r>
      <w:r w:rsidRPr="003B28FD">
        <w:rPr>
          <w:rFonts w:hint="cs"/>
          <w:i/>
          <w:sz w:val="23"/>
          <w:szCs w:val="23"/>
          <w:rtl/>
        </w:rPr>
        <w:t>ی (۶. ۴۱) که از مدل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پوش اقتباس شده متناظر است با معادله</w:t>
      </w:r>
      <w:r w:rsidRPr="003B28FD">
        <w:rPr>
          <w:i/>
          <w:sz w:val="23"/>
          <w:szCs w:val="23"/>
          <w:rtl/>
        </w:rPr>
        <w:softHyphen/>
      </w:r>
      <w:r w:rsidRPr="003B28FD">
        <w:rPr>
          <w:rFonts w:hint="cs"/>
          <w:i/>
          <w:sz w:val="23"/>
          <w:szCs w:val="23"/>
          <w:rtl/>
        </w:rPr>
        <w:t>ی اویلر که از مدل کارگزار نمونه بدست می</w:t>
      </w:r>
      <w:r w:rsidRPr="003B28FD">
        <w:rPr>
          <w:i/>
          <w:sz w:val="23"/>
          <w:szCs w:val="23"/>
          <w:rtl/>
        </w:rPr>
        <w:softHyphen/>
      </w:r>
      <w:r w:rsidRPr="003B28FD">
        <w:rPr>
          <w:rFonts w:hint="cs"/>
          <w:i/>
          <w:sz w:val="23"/>
          <w:szCs w:val="23"/>
          <w:rtl/>
        </w:rPr>
        <w:t>آید و این رابطه همانند قبل مصرف بهینه</w:t>
      </w:r>
      <w:r w:rsidRPr="003B28FD">
        <w:rPr>
          <w:i/>
          <w:sz w:val="23"/>
          <w:szCs w:val="23"/>
          <w:rtl/>
        </w:rPr>
        <w:softHyphen/>
      </w:r>
      <w:r w:rsidRPr="003B28FD">
        <w:rPr>
          <w:rFonts w:hint="cs"/>
          <w:i/>
          <w:sz w:val="23"/>
          <w:szCs w:val="23"/>
          <w:rtl/>
        </w:rPr>
        <w:t>ی این دوره را به مصرف بهینه</w:t>
      </w:r>
      <w:r w:rsidRPr="003B28FD">
        <w:rPr>
          <w:i/>
          <w:sz w:val="23"/>
          <w:szCs w:val="23"/>
          <w:rtl/>
        </w:rPr>
        <w:softHyphen/>
      </w:r>
      <w:r w:rsidRPr="003B28FD">
        <w:rPr>
          <w:rFonts w:hint="cs"/>
          <w:i/>
          <w:sz w:val="23"/>
          <w:szCs w:val="23"/>
          <w:rtl/>
        </w:rPr>
        <w:t>ی دوره</w:t>
      </w:r>
      <w:r w:rsidRPr="003B28FD">
        <w:rPr>
          <w:i/>
          <w:sz w:val="23"/>
          <w:szCs w:val="23"/>
          <w:rtl/>
        </w:rPr>
        <w:softHyphen/>
      </w:r>
      <w:r w:rsidRPr="003B28FD">
        <w:rPr>
          <w:rFonts w:hint="cs"/>
          <w:i/>
          <w:sz w:val="23"/>
          <w:szCs w:val="23"/>
          <w:rtl/>
        </w:rPr>
        <w:t>ی بعد مرتبط می</w:t>
      </w:r>
      <w:r w:rsidRPr="003B28FD">
        <w:rPr>
          <w:i/>
          <w:sz w:val="23"/>
          <w:szCs w:val="23"/>
          <w:rtl/>
        </w:rPr>
        <w:softHyphen/>
      </w:r>
      <w:r w:rsidRPr="003B28FD">
        <w:rPr>
          <w:rFonts w:hint="cs"/>
          <w:i/>
          <w:sz w:val="23"/>
          <w:szCs w:val="23"/>
          <w:rtl/>
        </w:rPr>
        <w:t>کند. از آن</w:t>
      </w:r>
      <w:r w:rsidRPr="003B28FD">
        <w:rPr>
          <w:i/>
          <w:sz w:val="23"/>
          <w:szCs w:val="23"/>
          <w:rtl/>
        </w:rPr>
        <w:softHyphen/>
      </w:r>
      <w:r w:rsidRPr="003B28FD">
        <w:rPr>
          <w:rFonts w:hint="cs"/>
          <w:i/>
          <w:sz w:val="23"/>
          <w:szCs w:val="23"/>
          <w:rtl/>
        </w:rPr>
        <w:t xml:space="preserve">جا که نرخ تنزیل برابر است با </w:t>
      </w:r>
      <w:r w:rsidRPr="003B28FD">
        <w:rPr>
          <w:position w:val="-6"/>
        </w:rPr>
        <w:object w:dxaOrig="200" w:dyaOrig="260" w14:anchorId="28A60CC9">
          <v:shape id="_x0000_i3320" type="#_x0000_t75" style="width:10.3pt;height:12.7pt" o:ole="">
            <v:imagedata r:id="rId4624" o:title=""/>
          </v:shape>
          <o:OLEObject Type="Embed" ProgID="Equation.DSMT4" ShapeID="_x0000_i3320" DrawAspect="Content" ObjectID="_1791377264" r:id="rId4625"/>
        </w:object>
      </w:r>
      <w:r w:rsidRPr="003B28FD">
        <w:rPr>
          <w:rFonts w:hint="cs"/>
          <w:i/>
          <w:sz w:val="23"/>
          <w:szCs w:val="23"/>
          <w:rtl/>
        </w:rPr>
        <w:t xml:space="preserve"> و </w:t>
      </w:r>
      <w:r w:rsidRPr="003B28FD">
        <w:rPr>
          <w:position w:val="-22"/>
        </w:rPr>
        <w:object w:dxaOrig="880" w:dyaOrig="560" w14:anchorId="05454EF1">
          <v:shape id="_x0000_i3321" type="#_x0000_t75" style="width:44.15pt;height:27.85pt" o:ole="">
            <v:imagedata r:id="rId4626" o:title=""/>
          </v:shape>
          <o:OLEObject Type="Embed" ProgID="Equation.DSMT4" ShapeID="_x0000_i3321" DrawAspect="Content" ObjectID="_1791377265" r:id="rId4627"/>
        </w:object>
      </w:r>
      <w:r w:rsidRPr="003B28FD">
        <w:rPr>
          <w:rFonts w:hint="cs"/>
          <w:i/>
          <w:sz w:val="23"/>
          <w:szCs w:val="23"/>
          <w:rtl/>
        </w:rPr>
        <w:t xml:space="preserve"> لذا خواهیم داشت </w:t>
      </w:r>
    </w:p>
    <w:p w14:paraId="0072C8CA" w14:textId="77777777" w:rsidR="00411620" w:rsidRPr="003B28FD" w:rsidRDefault="00411620" w:rsidP="00411620">
      <w:pPr>
        <w:pStyle w:val="MTDisplayEquation"/>
        <w:spacing w:line="216" w:lineRule="auto"/>
        <w:rPr>
          <w:rFonts w:ascii="Times New Roman" w:eastAsia="Times New Roman" w:hAnsi="Times New Roman" w:cs="B Nazanin"/>
          <w:i/>
          <w:sz w:val="23"/>
          <w:szCs w:val="23"/>
          <w:rtl/>
        </w:rPr>
      </w:pPr>
      <w:r w:rsidRPr="003B28FD">
        <w:rPr>
          <w:position w:val="-30"/>
        </w:rPr>
        <w:object w:dxaOrig="1440" w:dyaOrig="680" w14:anchorId="4EF237CF">
          <v:shape id="_x0000_i3322" type="#_x0000_t75" style="width:1in;height:33.9pt" o:ole="">
            <v:imagedata r:id="rId4628" o:title=""/>
          </v:shape>
          <o:OLEObject Type="Embed" ProgID="Equation.DSMT4" ShapeID="_x0000_i3322" DrawAspect="Content" ObjectID="_1791377266" r:id="rId4629"/>
        </w:object>
      </w:r>
    </w:p>
    <w:p w14:paraId="4E8DA0EF" w14:textId="77777777" w:rsidR="00411620" w:rsidRPr="003B28FD" w:rsidRDefault="00411620" w:rsidP="00411620">
      <w:pPr>
        <w:spacing w:line="216" w:lineRule="auto"/>
        <w:rPr>
          <w:i/>
          <w:sz w:val="23"/>
          <w:szCs w:val="23"/>
        </w:rPr>
      </w:pPr>
      <w:r w:rsidRPr="003B28FD">
        <w:rPr>
          <w:rFonts w:hint="cs"/>
          <w:i/>
          <w:sz w:val="23"/>
          <w:szCs w:val="23"/>
          <w:rtl/>
        </w:rPr>
        <w:t>اگر تابع مطلوبیت همانند قبل بصورت تابع توانی باشد یعنی</w:t>
      </w:r>
    </w:p>
    <w:p w14:paraId="2A63C978" w14:textId="77777777" w:rsidR="00411620" w:rsidRPr="003B28FD" w:rsidRDefault="00411620" w:rsidP="00411620">
      <w:pPr>
        <w:pStyle w:val="MTDisplayEquation"/>
        <w:spacing w:line="216" w:lineRule="auto"/>
        <w:rPr>
          <w:rFonts w:ascii="Times New Roman" w:eastAsia="Times New Roman" w:hAnsi="Times New Roman" w:cs="B Nazanin"/>
          <w:i/>
          <w:sz w:val="23"/>
          <w:szCs w:val="23"/>
          <w:rtl/>
        </w:rPr>
      </w:pPr>
      <w:r w:rsidRPr="003B28FD">
        <w:rPr>
          <w:position w:val="-22"/>
        </w:rPr>
        <w:object w:dxaOrig="2980" w:dyaOrig="600" w14:anchorId="3D53EC3F">
          <v:shape id="_x0000_i3323" type="#_x0000_t75" style="width:148.85pt;height:29.65pt" o:ole="">
            <v:imagedata r:id="rId4630" o:title=""/>
          </v:shape>
          <o:OLEObject Type="Embed" ProgID="Equation.DSMT4" ShapeID="_x0000_i3323" DrawAspect="Content" ObjectID="_1791377267" r:id="rId4631"/>
        </w:object>
      </w:r>
    </w:p>
    <w:p w14:paraId="5134BAF6" w14:textId="77777777" w:rsidR="00411620" w:rsidRPr="003B28FD" w:rsidRDefault="00411620" w:rsidP="00411620">
      <w:pPr>
        <w:spacing w:line="216" w:lineRule="auto"/>
        <w:rPr>
          <w:i/>
          <w:sz w:val="23"/>
          <w:szCs w:val="23"/>
          <w:rtl/>
        </w:rPr>
      </w:pPr>
      <w:r w:rsidRPr="003B28FD">
        <w:rPr>
          <w:rFonts w:hint="cs"/>
          <w:i/>
          <w:sz w:val="23"/>
          <w:szCs w:val="23"/>
          <w:rtl/>
        </w:rPr>
        <w:t xml:space="preserve">آنگاه </w:t>
      </w:r>
    </w:p>
    <w:p w14:paraId="6EF55C4F" w14:textId="77777777" w:rsidR="00411620" w:rsidRPr="003B28FD" w:rsidRDefault="00411620" w:rsidP="00411620">
      <w:pPr>
        <w:pStyle w:val="MTDisplayEquation"/>
        <w:spacing w:line="216" w:lineRule="auto"/>
        <w:rPr>
          <w:rFonts w:ascii="Times New Roman" w:eastAsia="Times New Roman" w:hAnsi="Times New Roman" w:cs="B Nazanin"/>
          <w:i/>
          <w:sz w:val="23"/>
          <w:szCs w:val="23"/>
        </w:rPr>
      </w:pPr>
      <w:r w:rsidRPr="003B28FD">
        <w:rPr>
          <w:position w:val="-14"/>
        </w:rPr>
        <w:object w:dxaOrig="2220" w:dyaOrig="380" w14:anchorId="579B03E1">
          <v:shape id="_x0000_i3324" type="#_x0000_t75" style="width:110.7pt;height:18.75pt" o:ole="">
            <v:imagedata r:id="rId4632" o:title=""/>
          </v:shape>
          <o:OLEObject Type="Embed" ProgID="Equation.DSMT4" ShapeID="_x0000_i3324" DrawAspect="Content" ObjectID="_1791377268" r:id="rId4633"/>
        </w:object>
      </w:r>
    </w:p>
    <w:p w14:paraId="55E346F2" w14:textId="77777777" w:rsidR="00411620" w:rsidRPr="003B28FD" w:rsidRDefault="00411620" w:rsidP="00411620">
      <w:pPr>
        <w:spacing w:line="216" w:lineRule="auto"/>
        <w:rPr>
          <w:i/>
          <w:sz w:val="23"/>
          <w:szCs w:val="23"/>
          <w:rtl/>
        </w:rPr>
      </w:pPr>
      <w:r w:rsidRPr="003B28FD">
        <w:rPr>
          <w:rFonts w:hint="cs"/>
          <w:i/>
          <w:sz w:val="23"/>
          <w:szCs w:val="23"/>
          <w:rtl/>
        </w:rPr>
        <w:t>و یا</w:t>
      </w:r>
      <w:r w:rsidRPr="003B28FD">
        <w:rPr>
          <w:rFonts w:hint="cs"/>
          <w:i/>
          <w:sz w:val="23"/>
          <w:szCs w:val="23"/>
        </w:rPr>
        <w:t xml:space="preserve"> </w:t>
      </w:r>
    </w:p>
    <w:p w14:paraId="0B25A2AF" w14:textId="77777777" w:rsidR="00411620" w:rsidRPr="003B28FD" w:rsidRDefault="00411620" w:rsidP="00411620">
      <w:pPr>
        <w:bidi w:val="0"/>
        <w:spacing w:line="216" w:lineRule="auto"/>
        <w:rPr>
          <w:i/>
          <w:sz w:val="23"/>
          <w:szCs w:val="23"/>
          <w:rtl/>
        </w:rPr>
      </w:pPr>
      <w:r w:rsidRPr="003B28FD">
        <w:rPr>
          <w:position w:val="-14"/>
        </w:rPr>
        <w:object w:dxaOrig="880" w:dyaOrig="380" w14:anchorId="70F0A427">
          <v:shape id="_x0000_i3325" type="#_x0000_t75" style="width:44.15pt;height:18.75pt" o:ole="">
            <v:imagedata r:id="rId4634" o:title=""/>
          </v:shape>
          <o:OLEObject Type="Embed" ProgID="Equation.DSMT4" ShapeID="_x0000_i3325" DrawAspect="Content" ObjectID="_1791377269" r:id="rId4635"/>
        </w:object>
      </w:r>
    </w:p>
    <w:p w14:paraId="3DDED536" w14:textId="77777777" w:rsidR="00411620" w:rsidRPr="003B28FD" w:rsidRDefault="00411620" w:rsidP="00411620">
      <w:pPr>
        <w:spacing w:line="216" w:lineRule="auto"/>
        <w:rPr>
          <w:i/>
          <w:sz w:val="23"/>
          <w:szCs w:val="23"/>
          <w:rtl/>
        </w:rPr>
      </w:pPr>
      <w:r w:rsidRPr="003B28FD">
        <w:rPr>
          <w:i/>
          <w:sz w:val="23"/>
          <w:szCs w:val="23"/>
        </w:rPr>
        <w:t xml:space="preserve"> </w:t>
      </w:r>
      <w:r w:rsidRPr="003B28FD">
        <w:rPr>
          <w:rFonts w:hint="cs"/>
          <w:i/>
          <w:sz w:val="23"/>
          <w:szCs w:val="23"/>
          <w:rtl/>
        </w:rPr>
        <w:t xml:space="preserve">و چون </w:t>
      </w:r>
    </w:p>
    <w:p w14:paraId="28A656F4" w14:textId="77777777" w:rsidR="00411620" w:rsidRPr="003B28FD" w:rsidRDefault="00411620" w:rsidP="00411620">
      <w:pPr>
        <w:bidi w:val="0"/>
        <w:spacing w:line="216" w:lineRule="auto"/>
        <w:rPr>
          <w:i/>
          <w:sz w:val="23"/>
          <w:szCs w:val="23"/>
          <w:rtl/>
        </w:rPr>
      </w:pPr>
      <w:r w:rsidRPr="003B28FD">
        <w:rPr>
          <w:rFonts w:hint="cs"/>
          <w:i/>
          <w:sz w:val="23"/>
          <w:szCs w:val="23"/>
        </w:rPr>
        <w:t xml:space="preserve"> </w:t>
      </w:r>
      <w:r w:rsidRPr="003B28FD">
        <w:rPr>
          <w:position w:val="-16"/>
        </w:rPr>
        <w:object w:dxaOrig="1120" w:dyaOrig="400" w14:anchorId="5AD66F11">
          <v:shape id="_x0000_i3326" type="#_x0000_t75" style="width:55.65pt;height:19.95pt" o:ole="">
            <v:imagedata r:id="rId4636" o:title=""/>
          </v:shape>
          <o:OLEObject Type="Embed" ProgID="Equation.DSMT4" ShapeID="_x0000_i3326" DrawAspect="Content" ObjectID="_1791377270" r:id="rId4637"/>
        </w:object>
      </w:r>
    </w:p>
    <w:p w14:paraId="10629C6B" w14:textId="77777777" w:rsidR="00411620" w:rsidRPr="003B28FD" w:rsidRDefault="00411620" w:rsidP="00411620">
      <w:pPr>
        <w:spacing w:line="216" w:lineRule="auto"/>
        <w:rPr>
          <w:i/>
          <w:sz w:val="23"/>
          <w:szCs w:val="23"/>
          <w:rtl/>
        </w:rPr>
      </w:pPr>
      <w:r w:rsidRPr="003B28FD">
        <w:rPr>
          <w:rFonts w:hint="cs"/>
          <w:i/>
          <w:sz w:val="23"/>
          <w:szCs w:val="23"/>
          <w:rtl/>
        </w:rPr>
        <w:t>لذا</w:t>
      </w:r>
    </w:p>
    <w:p w14:paraId="32177D2E" w14:textId="77777777" w:rsidR="00411620" w:rsidRPr="003B28FD" w:rsidRDefault="00411620" w:rsidP="00411620">
      <w:pPr>
        <w:bidi w:val="0"/>
        <w:spacing w:line="216" w:lineRule="auto"/>
        <w:rPr>
          <w:i/>
          <w:sz w:val="23"/>
          <w:szCs w:val="23"/>
        </w:rPr>
      </w:pPr>
      <w:r w:rsidRPr="003B28FD">
        <w:rPr>
          <w:rFonts w:hint="cs"/>
          <w:i/>
          <w:sz w:val="23"/>
          <w:szCs w:val="23"/>
        </w:rPr>
        <w:lastRenderedPageBreak/>
        <w:t xml:space="preserve"> </w:t>
      </w:r>
      <w:r w:rsidRPr="003B28FD">
        <w:rPr>
          <w:position w:val="-30"/>
        </w:rPr>
        <w:object w:dxaOrig="2340" w:dyaOrig="700" w14:anchorId="6F6FC59A">
          <v:shape id="_x0000_i3327" type="#_x0000_t75" style="width:116.75pt;height:34.5pt" o:ole="">
            <v:imagedata r:id="rId4638" o:title=""/>
          </v:shape>
          <o:OLEObject Type="Embed" ProgID="Equation.DSMT4" ShapeID="_x0000_i3327" DrawAspect="Content" ObjectID="_1791377271" r:id="rId4639"/>
        </w:object>
      </w:r>
    </w:p>
    <w:p w14:paraId="4A2A0C0D" w14:textId="77777777" w:rsidR="00411620" w:rsidRPr="003B28FD" w:rsidRDefault="00411620" w:rsidP="00411620">
      <w:pPr>
        <w:pStyle w:val="MTDisplayEquation"/>
        <w:tabs>
          <w:tab w:val="clear" w:pos="6660"/>
        </w:tabs>
        <w:spacing w:line="216" w:lineRule="auto"/>
        <w:rPr>
          <w:rFonts w:ascii="Times New Roman" w:eastAsia="Times New Roman" w:hAnsi="Times New Roman" w:cs="B Nazanin"/>
          <w:i/>
          <w:sz w:val="23"/>
          <w:szCs w:val="23"/>
        </w:rPr>
      </w:pPr>
      <w:r w:rsidRPr="003B28FD">
        <w:rPr>
          <w:position w:val="-30"/>
        </w:rPr>
        <w:object w:dxaOrig="6460" w:dyaOrig="840" w14:anchorId="2DFC8A66">
          <v:shape id="_x0000_i3328" type="#_x0000_t75" style="width:307.35pt;height:41.75pt" o:ole="">
            <v:imagedata r:id="rId4640" o:title=""/>
          </v:shape>
          <o:OLEObject Type="Embed" ProgID="Equation.DSMT4" ShapeID="_x0000_i3328" DrawAspect="Content" ObjectID="_1791377272" r:id="rId4641"/>
        </w:object>
      </w:r>
      <w:r w:rsidRPr="003B28FD">
        <w:rPr>
          <w:sz w:val="23"/>
          <w:szCs w:val="23"/>
        </w:rPr>
        <w:tab/>
      </w:r>
      <w:r w:rsidRPr="003B28FD">
        <w:rPr>
          <w:rFonts w:ascii="Times New Roman" w:hAnsi="Times New Roman" w:cs="B Nazanin" w:hint="cs"/>
          <w:i/>
          <w:sz w:val="23"/>
          <w:szCs w:val="23"/>
          <w:rtl/>
        </w:rPr>
        <w:t>(۶. ۴۲)</w:t>
      </w:r>
    </w:p>
    <w:p w14:paraId="4A1D2D5B" w14:textId="77777777" w:rsidR="00411620" w:rsidRPr="003B28FD" w:rsidRDefault="00411620" w:rsidP="00411620">
      <w:pPr>
        <w:spacing w:line="216" w:lineRule="auto"/>
        <w:rPr>
          <w:i/>
          <w:sz w:val="23"/>
          <w:szCs w:val="23"/>
          <w:rtl/>
        </w:rPr>
      </w:pPr>
      <w:r w:rsidRPr="003B28FD">
        <w:rPr>
          <w:rFonts w:hint="cs"/>
          <w:i/>
          <w:sz w:val="23"/>
          <w:szCs w:val="23"/>
          <w:rtl/>
        </w:rPr>
        <w:t>با فرض این</w:t>
      </w:r>
      <w:r w:rsidRPr="003B28FD">
        <w:rPr>
          <w:i/>
          <w:sz w:val="23"/>
          <w:szCs w:val="23"/>
        </w:rPr>
        <w:softHyphen/>
      </w:r>
      <w:r w:rsidRPr="003B28FD">
        <w:rPr>
          <w:rFonts w:hint="cs"/>
          <w:i/>
          <w:sz w:val="23"/>
          <w:szCs w:val="23"/>
          <w:rtl/>
        </w:rPr>
        <w:t>که</w:t>
      </w:r>
      <w:r w:rsidRPr="003B28FD">
        <w:rPr>
          <w:position w:val="-6"/>
        </w:rPr>
        <w:object w:dxaOrig="660" w:dyaOrig="260" w14:anchorId="4C5642CC">
          <v:shape id="_x0000_i3329" type="#_x0000_t75" style="width:32.65pt;height:12.7pt" o:ole="">
            <v:imagedata r:id="rId4642" o:title=""/>
          </v:shape>
          <o:OLEObject Type="Embed" ProgID="Equation.DSMT4" ShapeID="_x0000_i3329" DrawAspect="Content" ObjectID="_1791377273" r:id="rId4643"/>
        </w:object>
      </w:r>
      <w:r w:rsidRPr="003B28FD">
        <w:rPr>
          <w:i/>
          <w:sz w:val="23"/>
          <w:szCs w:val="23"/>
        </w:rPr>
        <w:t xml:space="preserve"> </w:t>
      </w:r>
      <w:r w:rsidRPr="003B28FD">
        <w:rPr>
          <w:rFonts w:hint="cs"/>
          <w:i/>
          <w:sz w:val="23"/>
          <w:szCs w:val="23"/>
          <w:rtl/>
        </w:rPr>
        <w:t>باشد، آنگاه</w:t>
      </w:r>
      <w:r w:rsidRPr="003B28FD">
        <w:rPr>
          <w:i/>
          <w:sz w:val="23"/>
          <w:szCs w:val="23"/>
        </w:rPr>
        <w:t xml:space="preserve"> </w:t>
      </w:r>
      <w:r w:rsidRPr="003B28FD">
        <w:rPr>
          <w:rFonts w:hint="cs"/>
          <w:i/>
          <w:sz w:val="23"/>
          <w:szCs w:val="23"/>
          <w:rtl/>
        </w:rPr>
        <w:t>ممکن است</w:t>
      </w:r>
      <w:r w:rsidRPr="003B28FD">
        <w:rPr>
          <w:position w:val="-14"/>
        </w:rPr>
        <w:object w:dxaOrig="940" w:dyaOrig="380" w14:anchorId="244D5A7D">
          <v:shape id="_x0000_i3330" type="#_x0000_t75" style="width:47.2pt;height:18.75pt" o:ole="">
            <v:imagedata r:id="rId4644" o:title=""/>
          </v:shape>
          <o:OLEObject Type="Embed" ProgID="Equation.DSMT4" ShapeID="_x0000_i3330" DrawAspect="Content" ObjectID="_1791377274" r:id="rId4645"/>
        </w:object>
      </w:r>
      <w:r w:rsidRPr="003B28FD">
        <w:rPr>
          <w:rFonts w:hint="cs"/>
          <w:i/>
          <w:sz w:val="23"/>
          <w:szCs w:val="23"/>
          <w:rtl/>
        </w:rPr>
        <w:t xml:space="preserve"> اگر</w:t>
      </w:r>
      <w:r w:rsidRPr="003B28FD">
        <w:rPr>
          <w:position w:val="-14"/>
        </w:rPr>
        <w:object w:dxaOrig="700" w:dyaOrig="380" w14:anchorId="469520BC">
          <v:shape id="_x0000_i3331" type="#_x0000_t75" style="width:34.5pt;height:18.75pt" o:ole="">
            <v:imagedata r:id="rId4646" o:title=""/>
          </v:shape>
          <o:OLEObject Type="Embed" ProgID="Equation.DSMT4" ShapeID="_x0000_i3331" DrawAspect="Content" ObjectID="_1791377275" r:id="rId4647"/>
        </w:object>
      </w:r>
      <w:r w:rsidRPr="003B28FD">
        <w:rPr>
          <w:rFonts w:hint="cs"/>
          <w:i/>
          <w:sz w:val="23"/>
          <w:szCs w:val="23"/>
          <w:rtl/>
        </w:rPr>
        <w:t xml:space="preserve"> باشد.</w:t>
      </w:r>
      <w:r w:rsidRPr="003B28FD">
        <w:rPr>
          <w:i/>
          <w:sz w:val="23"/>
          <w:szCs w:val="23"/>
        </w:rPr>
        <w:t xml:space="preserve"> </w:t>
      </w:r>
      <w:r w:rsidRPr="003B28FD">
        <w:rPr>
          <w:rFonts w:hint="cs"/>
          <w:i/>
          <w:sz w:val="23"/>
          <w:szCs w:val="23"/>
          <w:rtl/>
        </w:rPr>
        <w:t>چنانچه بازدهی واقعی پس</w:t>
      </w:r>
      <w:r w:rsidRPr="003B28FD">
        <w:rPr>
          <w:i/>
          <w:sz w:val="23"/>
          <w:szCs w:val="23"/>
          <w:rtl/>
        </w:rPr>
        <w:softHyphen/>
      </w:r>
      <w:r w:rsidRPr="003B28FD">
        <w:rPr>
          <w:rFonts w:hint="cs"/>
          <w:i/>
          <w:sz w:val="23"/>
          <w:szCs w:val="23"/>
          <w:rtl/>
        </w:rPr>
        <w:t xml:space="preserve">انداز </w:t>
      </w:r>
      <w:r w:rsidRPr="003B28FD">
        <w:rPr>
          <w:position w:val="-12"/>
        </w:rPr>
        <w:object w:dxaOrig="499" w:dyaOrig="360" w14:anchorId="6215B665">
          <v:shape id="_x0000_i3332" type="#_x0000_t75" style="width:24.8pt;height:18.15pt" o:ole="">
            <v:imagedata r:id="rId4648" o:title=""/>
          </v:shape>
          <o:OLEObject Type="Embed" ProgID="Equation.DSMT4" ShapeID="_x0000_i3332" DrawAspect="Content" ObjectID="_1791377276" r:id="rId4649"/>
        </w:object>
      </w:r>
      <w:r w:rsidRPr="003B28FD">
        <w:rPr>
          <w:rFonts w:hint="cs"/>
          <w:i/>
          <w:sz w:val="23"/>
          <w:szCs w:val="23"/>
          <w:rtl/>
        </w:rPr>
        <w:t xml:space="preserve"> کمتر از نرخ تنزیل زمانی باشد </w:t>
      </w:r>
      <w:r w:rsidRPr="003B28FD">
        <w:rPr>
          <w:position w:val="-10"/>
        </w:rPr>
        <w:object w:dxaOrig="820" w:dyaOrig="320" w14:anchorId="76032252">
          <v:shape id="_x0000_i3333" type="#_x0000_t75" style="width:40.55pt;height:16.35pt" o:ole="">
            <v:imagedata r:id="rId4650" o:title=""/>
          </v:shape>
          <o:OLEObject Type="Embed" ProgID="Equation.DSMT4" ShapeID="_x0000_i3333" DrawAspect="Content" ObjectID="_1791377277" r:id="rId4651"/>
        </w:object>
      </w:r>
      <w:r w:rsidRPr="003B28FD">
        <w:rPr>
          <w:rFonts w:hint="cs"/>
          <w:i/>
          <w:sz w:val="23"/>
          <w:szCs w:val="23"/>
          <w:rtl/>
        </w:rPr>
        <w:t xml:space="preserve"> آنگاه مخارج مصرفی دوره</w:t>
      </w:r>
      <w:r w:rsidRPr="003B28FD">
        <w:rPr>
          <w:i/>
          <w:sz w:val="23"/>
          <w:szCs w:val="23"/>
          <w:rtl/>
        </w:rPr>
        <w:softHyphen/>
      </w:r>
      <w:r w:rsidRPr="003B28FD">
        <w:rPr>
          <w:rFonts w:hint="cs"/>
          <w:i/>
          <w:sz w:val="23"/>
          <w:szCs w:val="23"/>
          <w:rtl/>
        </w:rPr>
        <w:t>ی جوانی بیشتر از مخارج مصرفی دوره</w:t>
      </w:r>
      <w:r w:rsidRPr="003B28FD">
        <w:rPr>
          <w:i/>
          <w:sz w:val="23"/>
          <w:szCs w:val="23"/>
          <w:rtl/>
        </w:rPr>
        <w:softHyphen/>
      </w:r>
      <w:r w:rsidRPr="003B28FD">
        <w:rPr>
          <w:rFonts w:hint="cs"/>
          <w:i/>
          <w:sz w:val="23"/>
          <w:szCs w:val="23"/>
          <w:rtl/>
        </w:rPr>
        <w:t>ی سال</w:t>
      </w:r>
      <w:r w:rsidRPr="003B28FD">
        <w:rPr>
          <w:i/>
          <w:sz w:val="23"/>
          <w:szCs w:val="23"/>
          <w:rtl/>
        </w:rPr>
        <w:softHyphen/>
      </w:r>
      <w:r w:rsidRPr="003B28FD">
        <w:rPr>
          <w:rFonts w:hint="cs"/>
          <w:i/>
          <w:sz w:val="23"/>
          <w:szCs w:val="23"/>
          <w:rtl/>
        </w:rPr>
        <w:t>خوردگی است، یعنی انگیزه پس</w:t>
      </w:r>
      <w:r w:rsidRPr="003B28FD">
        <w:rPr>
          <w:i/>
          <w:sz w:val="23"/>
          <w:szCs w:val="23"/>
          <w:rtl/>
        </w:rPr>
        <w:softHyphen/>
      </w:r>
      <w:r w:rsidRPr="003B28FD">
        <w:rPr>
          <w:rFonts w:hint="cs"/>
          <w:i/>
          <w:sz w:val="23"/>
          <w:szCs w:val="23"/>
          <w:rtl/>
        </w:rPr>
        <w:t>انداز برای آینده جهت جبران تنزیل مطلوبیت آنی کافی نمی</w:t>
      </w:r>
      <w:r w:rsidRPr="003B28FD">
        <w:rPr>
          <w:i/>
          <w:sz w:val="23"/>
          <w:szCs w:val="23"/>
          <w:rtl/>
        </w:rPr>
        <w:softHyphen/>
      </w:r>
      <w:r w:rsidRPr="003B28FD">
        <w:rPr>
          <w:rFonts w:hint="cs"/>
          <w:i/>
          <w:sz w:val="23"/>
          <w:szCs w:val="23"/>
          <w:rtl/>
        </w:rPr>
        <w:t>باشد.</w:t>
      </w:r>
    </w:p>
    <w:p w14:paraId="5C61E5B5" w14:textId="77777777" w:rsidR="00411620" w:rsidRPr="003B28FD" w:rsidRDefault="00411620" w:rsidP="00411620">
      <w:pPr>
        <w:spacing w:line="216" w:lineRule="auto"/>
        <w:rPr>
          <w:i/>
          <w:sz w:val="23"/>
          <w:szCs w:val="23"/>
          <w:rtl/>
        </w:rPr>
      </w:pPr>
    </w:p>
    <w:p w14:paraId="32B62EF1" w14:textId="77777777" w:rsidR="00411620" w:rsidRPr="003B28FD" w:rsidRDefault="00411620" w:rsidP="00411620">
      <w:pPr>
        <w:pStyle w:val="Heading1"/>
        <w:spacing w:before="0" w:after="0" w:line="216" w:lineRule="auto"/>
        <w:rPr>
          <w:rFonts w:ascii="Times New Roman" w:hAnsi="Times New Roman" w:cs="B Nazanin"/>
          <w:b w:val="0"/>
          <w:i/>
          <w:sz w:val="23"/>
          <w:szCs w:val="23"/>
          <w:rtl/>
        </w:rPr>
      </w:pPr>
      <w:r w:rsidRPr="003B28FD">
        <w:rPr>
          <w:rFonts w:ascii="Times New Roman" w:hAnsi="Times New Roman" w:cs="B Nazanin" w:hint="cs"/>
          <w:b w:val="0"/>
          <w:i/>
          <w:sz w:val="23"/>
          <w:szCs w:val="23"/>
          <w:rtl/>
        </w:rPr>
        <w:t>۶. ۳. ۲ پویایی</w:t>
      </w:r>
      <w:r w:rsidRPr="003B28FD">
        <w:rPr>
          <w:rFonts w:ascii="Times New Roman" w:hAnsi="Times New Roman" w:cs="B Nazanin"/>
          <w:b w:val="0"/>
          <w:i/>
          <w:sz w:val="23"/>
          <w:szCs w:val="23"/>
          <w:rtl/>
        </w:rPr>
        <w:softHyphen/>
      </w:r>
      <w:r w:rsidRPr="003B28FD">
        <w:rPr>
          <w:rFonts w:ascii="Times New Roman" w:hAnsi="Times New Roman" w:cs="B Nazanin" w:hint="cs"/>
          <w:b w:val="0"/>
          <w:i/>
          <w:sz w:val="23"/>
          <w:szCs w:val="23"/>
          <w:rtl/>
        </w:rPr>
        <w:t>های کوتاه</w:t>
      </w:r>
      <w:r w:rsidRPr="003B28FD">
        <w:rPr>
          <w:rFonts w:ascii="Times New Roman" w:hAnsi="Times New Roman" w:cs="B Nazanin"/>
          <w:b w:val="0"/>
          <w:i/>
          <w:sz w:val="23"/>
          <w:szCs w:val="23"/>
          <w:rtl/>
        </w:rPr>
        <w:softHyphen/>
      </w:r>
      <w:r w:rsidRPr="003B28FD">
        <w:rPr>
          <w:rFonts w:ascii="Times New Roman" w:hAnsi="Times New Roman" w:cs="B Nazanin" w:hint="cs"/>
          <w:b w:val="0"/>
          <w:i/>
          <w:sz w:val="23"/>
          <w:szCs w:val="23"/>
          <w:rtl/>
        </w:rPr>
        <w:t xml:space="preserve">مدت و تعادل بلندمدت </w:t>
      </w:r>
    </w:p>
    <w:p w14:paraId="12339365" w14:textId="77777777" w:rsidR="00411620" w:rsidRPr="003B28FD" w:rsidRDefault="00411620" w:rsidP="00411620">
      <w:pPr>
        <w:spacing w:line="216" w:lineRule="auto"/>
        <w:rPr>
          <w:i/>
          <w:color w:val="000000"/>
          <w:sz w:val="23"/>
          <w:szCs w:val="23"/>
          <w:rtl/>
        </w:rPr>
      </w:pPr>
      <w:r w:rsidRPr="003B28FD">
        <w:rPr>
          <w:rFonts w:hint="cs"/>
          <w:i/>
          <w:color w:val="000000"/>
          <w:sz w:val="23"/>
          <w:szCs w:val="23"/>
          <w:rtl/>
        </w:rPr>
        <w:t xml:space="preserve">رفتار پویای اقتصاد و بدست آوردن مقادیر تعادلی بلندمدت آن ممکن است از معادلات        </w:t>
      </w:r>
      <w:r w:rsidRPr="003B28FD">
        <w:rPr>
          <w:rFonts w:hint="cs"/>
          <w:i/>
          <w:sz w:val="23"/>
          <w:szCs w:val="23"/>
          <w:rtl/>
        </w:rPr>
        <w:t>(۶. ۳۳)</w:t>
      </w:r>
      <w:r w:rsidRPr="003B28FD">
        <w:rPr>
          <w:rFonts w:hint="cs"/>
          <w:i/>
          <w:color w:val="000000"/>
          <w:sz w:val="23"/>
          <w:szCs w:val="23"/>
          <w:rtl/>
        </w:rPr>
        <w:t xml:space="preserve">، </w:t>
      </w:r>
      <w:r w:rsidRPr="003B28FD">
        <w:rPr>
          <w:rFonts w:hint="cs"/>
          <w:i/>
          <w:sz w:val="23"/>
          <w:szCs w:val="23"/>
          <w:rtl/>
        </w:rPr>
        <w:t xml:space="preserve">(۶. ۳۴)، (۶. ۳۸) و (۶. ۴۲) </w:t>
      </w:r>
      <w:r w:rsidRPr="003B28FD">
        <w:rPr>
          <w:rFonts w:hint="cs"/>
          <w:i/>
          <w:color w:val="000000"/>
          <w:sz w:val="23"/>
          <w:szCs w:val="23"/>
          <w:rtl/>
        </w:rPr>
        <w:t>بدست آید. با حذف</w:t>
      </w:r>
      <w:r w:rsidRPr="003B28FD">
        <w:rPr>
          <w:position w:val="-10"/>
        </w:rPr>
        <w:object w:dxaOrig="260" w:dyaOrig="320" w14:anchorId="714897A0">
          <v:shape id="_x0000_i3334" type="#_x0000_t75" style="width:12.7pt;height:16.35pt" o:ole="">
            <v:imagedata r:id="rId4652" o:title=""/>
          </v:shape>
          <o:OLEObject Type="Embed" ProgID="Equation.DSMT4" ShapeID="_x0000_i3334" DrawAspect="Content" ObjectID="_1791377278" r:id="rId4653"/>
        </w:object>
      </w:r>
      <w:r w:rsidRPr="003B28FD">
        <w:rPr>
          <w:i/>
          <w:color w:val="000000"/>
          <w:sz w:val="23"/>
          <w:szCs w:val="23"/>
        </w:rPr>
        <w:t xml:space="preserve"> </w:t>
      </w:r>
      <w:r w:rsidRPr="003B28FD">
        <w:rPr>
          <w:rFonts w:hint="cs"/>
          <w:i/>
          <w:color w:val="000000"/>
          <w:sz w:val="23"/>
          <w:szCs w:val="23"/>
          <w:rtl/>
        </w:rPr>
        <w:t>از معادله</w:t>
      </w:r>
      <w:r w:rsidRPr="003B28FD">
        <w:rPr>
          <w:i/>
          <w:color w:val="000000"/>
          <w:sz w:val="23"/>
          <w:szCs w:val="23"/>
        </w:rPr>
        <w:softHyphen/>
      </w:r>
      <w:r w:rsidRPr="003B28FD">
        <w:rPr>
          <w:rFonts w:hint="cs"/>
          <w:i/>
          <w:color w:val="000000"/>
          <w:sz w:val="23"/>
          <w:szCs w:val="23"/>
          <w:rtl/>
        </w:rPr>
        <w:t xml:space="preserve">ی </w:t>
      </w:r>
      <w:r w:rsidRPr="003B28FD">
        <w:rPr>
          <w:rFonts w:hint="cs"/>
          <w:i/>
          <w:sz w:val="23"/>
          <w:szCs w:val="23"/>
          <w:rtl/>
        </w:rPr>
        <w:t>(۶. ۳۴)</w:t>
      </w:r>
      <w:r w:rsidRPr="003B28FD">
        <w:rPr>
          <w:rFonts w:hint="cs"/>
          <w:i/>
          <w:color w:val="000000"/>
          <w:sz w:val="23"/>
          <w:szCs w:val="23"/>
          <w:rtl/>
        </w:rPr>
        <w:t xml:space="preserve"> و استفاده از معادله </w:t>
      </w:r>
      <w:r w:rsidRPr="003B28FD">
        <w:rPr>
          <w:rFonts w:hint="cs"/>
          <w:i/>
          <w:sz w:val="23"/>
          <w:szCs w:val="23"/>
          <w:rtl/>
        </w:rPr>
        <w:t>(۶. ۴۲)</w:t>
      </w:r>
      <w:r w:rsidRPr="003B28FD">
        <w:rPr>
          <w:rFonts w:hint="cs"/>
          <w:i/>
          <w:color w:val="000000"/>
          <w:sz w:val="23"/>
          <w:szCs w:val="23"/>
          <w:rtl/>
        </w:rPr>
        <w:t xml:space="preserve"> خواهیم داشت </w:t>
      </w:r>
    </w:p>
    <w:p w14:paraId="5FAA33E0" w14:textId="77777777" w:rsidR="00411620" w:rsidRPr="003B28FD" w:rsidRDefault="00411620" w:rsidP="00411620">
      <w:pPr>
        <w:pStyle w:val="MTDisplayEquation"/>
        <w:spacing w:line="216" w:lineRule="auto"/>
        <w:rPr>
          <w:rFonts w:ascii="Times New Roman" w:eastAsia="Times New Roman" w:hAnsi="Times New Roman" w:cs="B Nazanin"/>
          <w:i/>
          <w:color w:val="000000"/>
          <w:sz w:val="23"/>
          <w:szCs w:val="23"/>
          <w:rtl/>
        </w:rPr>
      </w:pPr>
      <w:r w:rsidRPr="003B28FD">
        <w:rPr>
          <w:position w:val="-28"/>
        </w:rPr>
        <w:object w:dxaOrig="2260" w:dyaOrig="780" w14:anchorId="08EDCE70">
          <v:shape id="_x0000_i3335" type="#_x0000_t75" style="width:113.15pt;height:39.35pt" o:ole="">
            <v:imagedata r:id="rId4654" o:title=""/>
          </v:shape>
          <o:OLEObject Type="Embed" ProgID="Equation.DSMT4" ShapeID="_x0000_i3335" DrawAspect="Content" ObjectID="_1791377279" r:id="rId4655"/>
        </w:object>
      </w:r>
    </w:p>
    <w:p w14:paraId="1F94FC55" w14:textId="77777777" w:rsidR="00411620" w:rsidRPr="003B28FD" w:rsidRDefault="00411620" w:rsidP="00411620">
      <w:pPr>
        <w:spacing w:line="216" w:lineRule="auto"/>
        <w:rPr>
          <w:i/>
          <w:sz w:val="23"/>
          <w:szCs w:val="23"/>
          <w:rtl/>
        </w:rPr>
      </w:pPr>
      <w:r w:rsidRPr="003B28FD">
        <w:rPr>
          <w:rFonts w:hint="cs"/>
          <w:i/>
          <w:sz w:val="23"/>
          <w:szCs w:val="23"/>
          <w:rtl/>
        </w:rPr>
        <w:t>و از معادله</w:t>
      </w:r>
      <w:r w:rsidRPr="003B28FD">
        <w:rPr>
          <w:i/>
          <w:sz w:val="23"/>
          <w:szCs w:val="23"/>
          <w:rtl/>
        </w:rPr>
        <w:softHyphen/>
      </w:r>
      <w:r w:rsidRPr="003B28FD">
        <w:rPr>
          <w:rFonts w:hint="cs"/>
          <w:i/>
          <w:sz w:val="23"/>
          <w:szCs w:val="23"/>
          <w:rtl/>
        </w:rPr>
        <w:t>ی (۶. ۳۵) داریم</w:t>
      </w:r>
    </w:p>
    <w:p w14:paraId="31A10832" w14:textId="77777777" w:rsidR="00411620" w:rsidRPr="003B28FD" w:rsidRDefault="00411620" w:rsidP="00411620">
      <w:pPr>
        <w:bidi w:val="0"/>
        <w:spacing w:line="216" w:lineRule="auto"/>
        <w:rPr>
          <w:i/>
          <w:sz w:val="23"/>
          <w:szCs w:val="23"/>
        </w:rPr>
      </w:pPr>
      <w:r w:rsidRPr="003B28FD">
        <w:rPr>
          <w:rFonts w:hint="cs"/>
          <w:i/>
          <w:sz w:val="23"/>
          <w:szCs w:val="23"/>
          <w:rtl/>
        </w:rPr>
        <w:t xml:space="preserve"> </w:t>
      </w:r>
      <w:r w:rsidRPr="003B28FD">
        <w:rPr>
          <w:position w:val="-40"/>
        </w:rPr>
        <w:object w:dxaOrig="5179" w:dyaOrig="920" w14:anchorId="2615552A">
          <v:shape id="_x0000_i3336" type="#_x0000_t75" style="width:258.95pt;height:46pt" o:ole="">
            <v:imagedata r:id="rId4656" o:title=""/>
          </v:shape>
          <o:OLEObject Type="Embed" ProgID="Equation.DSMT4" ShapeID="_x0000_i3336" DrawAspect="Content" ObjectID="_1791377280" r:id="rId4657"/>
        </w:object>
      </w:r>
    </w:p>
    <w:p w14:paraId="09C42C4D" w14:textId="77777777" w:rsidR="00411620" w:rsidRPr="003B28FD" w:rsidRDefault="00411620" w:rsidP="00411620">
      <w:pPr>
        <w:pStyle w:val="MTDisplayEquation"/>
        <w:spacing w:line="216" w:lineRule="auto"/>
        <w:rPr>
          <w:rFonts w:ascii="Times New Roman" w:eastAsia="Times New Roman" w:hAnsi="Times New Roman" w:cs="B Nazanin"/>
          <w:i/>
          <w:sz w:val="23"/>
          <w:szCs w:val="23"/>
        </w:rPr>
      </w:pPr>
      <w:r w:rsidRPr="003B28FD">
        <w:rPr>
          <w:position w:val="-40"/>
        </w:rPr>
        <w:object w:dxaOrig="4480" w:dyaOrig="920" w14:anchorId="1B70E1C2">
          <v:shape id="_x0000_i3337" type="#_x0000_t75" style="width:223.85pt;height:46pt" o:ole="">
            <v:imagedata r:id="rId4658" o:title=""/>
          </v:shape>
          <o:OLEObject Type="Embed" ProgID="Equation.DSMT4" ShapeID="_x0000_i3337" DrawAspect="Content" ObjectID="_1791377281" r:id="rId4659"/>
        </w:object>
      </w:r>
    </w:p>
    <w:p w14:paraId="45E43A0C" w14:textId="77777777" w:rsidR="00411620" w:rsidRPr="003B28FD" w:rsidRDefault="00411620" w:rsidP="00411620">
      <w:pPr>
        <w:spacing w:line="216" w:lineRule="auto"/>
        <w:rPr>
          <w:i/>
          <w:sz w:val="23"/>
          <w:szCs w:val="23"/>
          <w:rtl/>
        </w:rPr>
      </w:pPr>
      <w:r w:rsidRPr="003B28FD">
        <w:rPr>
          <w:rFonts w:hint="cs"/>
          <w:i/>
          <w:sz w:val="23"/>
          <w:szCs w:val="23"/>
          <w:rtl/>
        </w:rPr>
        <w:t xml:space="preserve">و یا </w:t>
      </w:r>
    </w:p>
    <w:p w14:paraId="5F93C16A" w14:textId="77777777" w:rsidR="00411620" w:rsidRPr="003B28FD" w:rsidRDefault="00411620" w:rsidP="00411620">
      <w:pPr>
        <w:pStyle w:val="MTDisplayEquation"/>
        <w:spacing w:line="216" w:lineRule="auto"/>
        <w:rPr>
          <w:rFonts w:ascii="Times New Roman" w:eastAsia="Times New Roman" w:hAnsi="Times New Roman" w:cs="B Nazanin"/>
          <w:i/>
          <w:sz w:val="23"/>
          <w:szCs w:val="23"/>
          <w:rtl/>
        </w:rPr>
      </w:pPr>
      <w:r w:rsidRPr="003B28FD">
        <w:rPr>
          <w:position w:val="-42"/>
        </w:rPr>
        <w:object w:dxaOrig="3180" w:dyaOrig="940" w14:anchorId="54919D7A">
          <v:shape id="_x0000_i3338" type="#_x0000_t75" style="width:159.15pt;height:47.2pt" o:ole="">
            <v:imagedata r:id="rId4660" o:title=""/>
          </v:shape>
          <o:OLEObject Type="Embed" ProgID="Equation.DSMT4" ShapeID="_x0000_i3338" DrawAspect="Content" ObjectID="_1791377282" r:id="rId4661"/>
        </w:object>
      </w:r>
    </w:p>
    <w:p w14:paraId="426FDE4B" w14:textId="77777777" w:rsidR="00411620" w:rsidRPr="003B28FD" w:rsidRDefault="00411620" w:rsidP="00411620">
      <w:pPr>
        <w:spacing w:line="216" w:lineRule="auto"/>
        <w:rPr>
          <w:i/>
          <w:sz w:val="23"/>
          <w:szCs w:val="23"/>
          <w:rtl/>
        </w:rPr>
      </w:pPr>
      <w:r w:rsidRPr="003B28FD">
        <w:rPr>
          <w:rFonts w:hint="cs"/>
          <w:i/>
          <w:sz w:val="23"/>
          <w:szCs w:val="23"/>
          <w:rtl/>
        </w:rPr>
        <w:t>اگر به جای</w:t>
      </w:r>
      <w:r w:rsidRPr="003B28FD">
        <w:rPr>
          <w:position w:val="-12"/>
        </w:rPr>
        <w:object w:dxaOrig="440" w:dyaOrig="340" w14:anchorId="71532E87">
          <v:shape id="_x0000_i3339" type="#_x0000_t75" style="width:21.8pt;height:16.95pt" o:ole="">
            <v:imagedata r:id="rId4662" o:title=""/>
          </v:shape>
          <o:OLEObject Type="Embed" ProgID="Equation.DSMT4" ShapeID="_x0000_i3339" DrawAspect="Content" ObjectID="_1791377283" r:id="rId4663"/>
        </w:object>
      </w:r>
      <w:r w:rsidRPr="003B28FD">
        <w:rPr>
          <w:rFonts w:hint="cs"/>
          <w:i/>
          <w:color w:val="000000"/>
          <w:sz w:val="23"/>
          <w:szCs w:val="23"/>
          <w:rtl/>
        </w:rPr>
        <w:t xml:space="preserve"> از معادله</w:t>
      </w:r>
      <w:r w:rsidRPr="003B28FD">
        <w:rPr>
          <w:i/>
          <w:color w:val="000000"/>
          <w:sz w:val="23"/>
          <w:szCs w:val="23"/>
          <w:rtl/>
        </w:rPr>
        <w:softHyphen/>
      </w:r>
      <w:r w:rsidRPr="003B28FD">
        <w:rPr>
          <w:rFonts w:hint="cs"/>
          <w:i/>
          <w:color w:val="000000"/>
          <w:sz w:val="23"/>
          <w:szCs w:val="23"/>
          <w:rtl/>
        </w:rPr>
        <w:t xml:space="preserve">ی </w:t>
      </w:r>
      <w:r w:rsidRPr="003B28FD">
        <w:rPr>
          <w:rFonts w:hint="cs"/>
          <w:i/>
          <w:sz w:val="23"/>
          <w:szCs w:val="23"/>
          <w:rtl/>
        </w:rPr>
        <w:t>(۶. ۳۸) و بجای</w:t>
      </w:r>
      <w:r w:rsidRPr="003B28FD">
        <w:rPr>
          <w:position w:val="-10"/>
        </w:rPr>
        <w:object w:dxaOrig="260" w:dyaOrig="320" w14:anchorId="1F2CEFC0">
          <v:shape id="_x0000_i3340" type="#_x0000_t75" style="width:12.7pt;height:16.35pt" o:ole="">
            <v:imagedata r:id="rId4664" o:title=""/>
          </v:shape>
          <o:OLEObject Type="Embed" ProgID="Equation.DSMT4" ShapeID="_x0000_i3340" DrawAspect="Content" ObjectID="_1791377284" r:id="rId4665"/>
        </w:object>
      </w:r>
      <w:r w:rsidRPr="003B28FD">
        <w:rPr>
          <w:rFonts w:hint="cs"/>
          <w:i/>
          <w:sz w:val="23"/>
          <w:szCs w:val="23"/>
          <w:rtl/>
        </w:rPr>
        <w:t xml:space="preserve"> از معادله</w:t>
      </w:r>
      <w:r w:rsidRPr="003B28FD">
        <w:rPr>
          <w:i/>
          <w:sz w:val="23"/>
          <w:szCs w:val="23"/>
          <w:rtl/>
        </w:rPr>
        <w:softHyphen/>
      </w:r>
      <w:r w:rsidRPr="003B28FD">
        <w:rPr>
          <w:rFonts w:hint="cs"/>
          <w:i/>
          <w:sz w:val="23"/>
          <w:szCs w:val="23"/>
          <w:rtl/>
        </w:rPr>
        <w:t>ی (۶. ۳۳) جایگزین کنیم، خواهیم داشت،</w:t>
      </w:r>
    </w:p>
    <w:p w14:paraId="58AFB478" w14:textId="77777777" w:rsidR="00411620" w:rsidRPr="003B28FD" w:rsidRDefault="00411620" w:rsidP="00411620">
      <w:pPr>
        <w:pStyle w:val="MTDisplayEquation"/>
        <w:spacing w:line="216" w:lineRule="auto"/>
        <w:rPr>
          <w:rFonts w:ascii="Times New Roman" w:eastAsia="Times New Roman" w:hAnsi="Times New Roman" w:cs="B Nazanin"/>
          <w:i/>
          <w:sz w:val="23"/>
          <w:szCs w:val="23"/>
        </w:rPr>
      </w:pPr>
      <w:r w:rsidRPr="003B28FD">
        <w:rPr>
          <w:position w:val="-42"/>
        </w:rPr>
        <w:object w:dxaOrig="5800" w:dyaOrig="940" w14:anchorId="19F65239">
          <v:shape id="_x0000_i3341" type="#_x0000_t75" style="width:289.8pt;height:47.2pt" o:ole="">
            <v:imagedata r:id="rId4666" o:title=""/>
          </v:shape>
          <o:OLEObject Type="Embed" ProgID="Equation.DSMT4" ShapeID="_x0000_i3341" DrawAspect="Content" ObjectID="_1791377285" r:id="rId4667"/>
        </w:object>
      </w:r>
      <w:r w:rsidRPr="003B28FD">
        <w:rPr>
          <w:rFonts w:ascii="Times New Roman" w:hAnsi="Times New Roman" w:cs="B Nazanin"/>
          <w:i/>
          <w:sz w:val="23"/>
          <w:szCs w:val="23"/>
        </w:rPr>
        <w:tab/>
      </w:r>
    </w:p>
    <w:p w14:paraId="67AB3589" w14:textId="77777777" w:rsidR="00411620" w:rsidRPr="003B28FD" w:rsidRDefault="00411620" w:rsidP="00411620">
      <w:pPr>
        <w:spacing w:line="216" w:lineRule="auto"/>
        <w:rPr>
          <w:i/>
          <w:sz w:val="23"/>
          <w:szCs w:val="23"/>
          <w:rtl/>
        </w:rPr>
      </w:pPr>
      <w:r w:rsidRPr="003B28FD">
        <w:rPr>
          <w:rFonts w:hint="cs"/>
          <w:i/>
          <w:sz w:val="23"/>
          <w:szCs w:val="23"/>
          <w:rtl/>
        </w:rPr>
        <w:t xml:space="preserve">و یا </w:t>
      </w:r>
    </w:p>
    <w:p w14:paraId="2E31AFB9" w14:textId="77777777" w:rsidR="00411620" w:rsidRPr="003B28FD" w:rsidRDefault="00411620" w:rsidP="00411620">
      <w:pPr>
        <w:pStyle w:val="MTDisplayEquation"/>
        <w:tabs>
          <w:tab w:val="clear" w:pos="6660"/>
          <w:tab w:val="right" w:pos="0"/>
        </w:tabs>
        <w:spacing w:line="216" w:lineRule="auto"/>
        <w:rPr>
          <w:rFonts w:ascii="Times New Roman" w:eastAsia="Times New Roman" w:hAnsi="Times New Roman" w:cs="B Nazanin"/>
          <w:i/>
          <w:sz w:val="23"/>
          <w:szCs w:val="23"/>
        </w:rPr>
      </w:pPr>
      <w:r w:rsidRPr="003B28FD">
        <w:rPr>
          <w:position w:val="-88"/>
        </w:rPr>
        <w:object w:dxaOrig="2799" w:dyaOrig="1280" w14:anchorId="19BD1466">
          <v:shape id="_x0000_i3342" type="#_x0000_t75" style="width:139.75pt;height:64.15pt" o:ole="">
            <v:imagedata r:id="rId4668" o:title=""/>
          </v:shape>
          <o:OLEObject Type="Embed" ProgID="Equation.DSMT4" ShapeID="_x0000_i3342" DrawAspect="Content" ObjectID="_1791377286" r:id="rId4669"/>
        </w:object>
      </w:r>
      <w:r w:rsidRPr="003B28FD">
        <w:rPr>
          <w:rFonts w:ascii="Times New Roman" w:hAnsi="Times New Roman" w:cs="B Nazanin"/>
          <w:i/>
          <w:sz w:val="23"/>
          <w:szCs w:val="23"/>
          <w:rtl/>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Pr>
          <w:rFonts w:ascii="Times New Roman" w:hAnsi="Times New Roman" w:cs="B Nazanin"/>
          <w:i/>
          <w:sz w:val="23"/>
          <w:szCs w:val="23"/>
          <w:rtl/>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Pr>
        <w:tab/>
      </w:r>
      <w:r w:rsidRPr="003B28FD">
        <w:rPr>
          <w:rFonts w:ascii="Times New Roman" w:hAnsi="Times New Roman" w:cs="B Nazanin"/>
          <w:i/>
          <w:sz w:val="23"/>
          <w:szCs w:val="23"/>
          <w:rtl/>
        </w:rPr>
        <w:tab/>
      </w:r>
      <w:r w:rsidRPr="003B28FD">
        <w:rPr>
          <w:rFonts w:ascii="Times New Roman" w:hAnsi="Times New Roman" w:cs="B Nazanin" w:hint="cs"/>
          <w:i/>
          <w:sz w:val="23"/>
          <w:szCs w:val="23"/>
          <w:rtl/>
        </w:rPr>
        <w:t>(۶. ۴۳)</w:t>
      </w:r>
    </w:p>
    <w:p w14:paraId="432F15B6" w14:textId="77777777" w:rsidR="00411620" w:rsidRPr="003B28FD" w:rsidRDefault="00411620" w:rsidP="00411620">
      <w:pPr>
        <w:spacing w:line="216" w:lineRule="auto"/>
        <w:rPr>
          <w:i/>
          <w:sz w:val="23"/>
          <w:szCs w:val="23"/>
          <w:rtl/>
        </w:rPr>
      </w:pPr>
      <w:r w:rsidRPr="003B28FD">
        <w:rPr>
          <w:rFonts w:hint="cs"/>
          <w:i/>
          <w:sz w:val="23"/>
          <w:szCs w:val="23"/>
          <w:rtl/>
        </w:rPr>
        <w:t>از آن</w:t>
      </w:r>
      <w:r w:rsidRPr="003B28FD">
        <w:rPr>
          <w:i/>
          <w:sz w:val="23"/>
          <w:szCs w:val="23"/>
          <w:rtl/>
        </w:rPr>
        <w:softHyphen/>
      </w:r>
      <w:r w:rsidRPr="003B28FD">
        <w:rPr>
          <w:rFonts w:hint="cs"/>
          <w:i/>
          <w:sz w:val="23"/>
          <w:szCs w:val="23"/>
          <w:rtl/>
        </w:rPr>
        <w:t xml:space="preserve">جا که نرخ بازدهی سرمایه </w:t>
      </w:r>
      <w:r w:rsidRPr="003B28FD">
        <w:rPr>
          <w:position w:val="-12"/>
        </w:rPr>
        <w:object w:dxaOrig="1380" w:dyaOrig="360" w14:anchorId="05C44FAB">
          <v:shape id="_x0000_i3343" type="#_x0000_t75" style="width:68.95pt;height:18.15pt" o:ole="">
            <v:imagedata r:id="rId4670" o:title=""/>
          </v:shape>
          <o:OLEObject Type="Embed" ProgID="Equation.DSMT4" ShapeID="_x0000_i3343" DrawAspect="Content" ObjectID="_1791377287" r:id="rId4671"/>
        </w:object>
      </w:r>
      <w:r w:rsidRPr="003B28FD">
        <w:rPr>
          <w:i/>
          <w:sz w:val="23"/>
          <w:szCs w:val="23"/>
        </w:rPr>
        <w:t xml:space="preserve"> </w:t>
      </w:r>
      <w:r w:rsidRPr="003B28FD">
        <w:rPr>
          <w:rFonts w:hint="cs"/>
          <w:i/>
          <w:sz w:val="23"/>
          <w:szCs w:val="23"/>
          <w:rtl/>
        </w:rPr>
        <w:t>تابعی از</w:t>
      </w:r>
      <w:r w:rsidRPr="003B28FD">
        <w:rPr>
          <w:position w:val="-10"/>
        </w:rPr>
        <w:object w:dxaOrig="220" w:dyaOrig="320" w14:anchorId="573118F4">
          <v:shape id="_x0000_i3344" type="#_x0000_t75" style="width:10.9pt;height:16.35pt" o:ole="">
            <v:imagedata r:id="rId4672" o:title=""/>
          </v:shape>
          <o:OLEObject Type="Embed" ProgID="Equation.DSMT4" ShapeID="_x0000_i3344" DrawAspect="Content" ObjectID="_1791377288" r:id="rId4673"/>
        </w:object>
      </w:r>
      <w:r w:rsidRPr="003B28FD">
        <w:rPr>
          <w:rFonts w:hint="cs"/>
          <w:i/>
          <w:sz w:val="23"/>
          <w:szCs w:val="23"/>
          <w:rtl/>
        </w:rPr>
        <w:t xml:space="preserve"> است، لذا رابطه</w:t>
      </w:r>
      <w:r w:rsidRPr="003B28FD">
        <w:rPr>
          <w:i/>
          <w:sz w:val="23"/>
          <w:szCs w:val="23"/>
          <w:rtl/>
        </w:rPr>
        <w:softHyphen/>
      </w:r>
      <w:r w:rsidRPr="003B28FD">
        <w:rPr>
          <w:rFonts w:hint="cs"/>
          <w:i/>
          <w:sz w:val="23"/>
          <w:szCs w:val="23"/>
          <w:rtl/>
        </w:rPr>
        <w:t>ی (۶. ۴۳) یک معادله تفاضلی مرتبه</w:t>
      </w:r>
      <w:r w:rsidRPr="003B28FD">
        <w:rPr>
          <w:i/>
          <w:sz w:val="23"/>
          <w:szCs w:val="23"/>
          <w:rtl/>
        </w:rPr>
        <w:softHyphen/>
      </w:r>
      <w:r w:rsidRPr="003B28FD">
        <w:rPr>
          <w:rFonts w:hint="cs"/>
          <w:i/>
          <w:sz w:val="23"/>
          <w:szCs w:val="23"/>
          <w:rtl/>
        </w:rPr>
        <w:t>ی اول غیرخطی برحسب</w:t>
      </w:r>
      <w:r w:rsidRPr="003B28FD">
        <w:rPr>
          <w:position w:val="-10"/>
        </w:rPr>
        <w:object w:dxaOrig="220" w:dyaOrig="320" w14:anchorId="11972D92">
          <v:shape id="_x0000_i3345" type="#_x0000_t75" style="width:10.9pt;height:16.35pt" o:ole="">
            <v:imagedata r:id="rId4674" o:title=""/>
          </v:shape>
          <o:OLEObject Type="Embed" ProgID="Equation.DSMT4" ShapeID="_x0000_i3345" DrawAspect="Content" ObjectID="_1791377289" r:id="rId4675"/>
        </w:object>
      </w:r>
      <w:r w:rsidRPr="003B28FD">
        <w:rPr>
          <w:rFonts w:hint="cs"/>
          <w:i/>
          <w:sz w:val="23"/>
          <w:szCs w:val="23"/>
          <w:rtl/>
        </w:rPr>
        <w:t xml:space="preserve"> می</w:t>
      </w:r>
      <w:r w:rsidRPr="003B28FD">
        <w:rPr>
          <w:i/>
          <w:sz w:val="23"/>
          <w:szCs w:val="23"/>
          <w:rtl/>
        </w:rPr>
        <w:softHyphen/>
      </w:r>
      <w:r w:rsidRPr="003B28FD">
        <w:rPr>
          <w:rFonts w:hint="cs"/>
          <w:i/>
          <w:sz w:val="23"/>
          <w:szCs w:val="23"/>
          <w:rtl/>
        </w:rPr>
        <w:t>باشد</w:t>
      </w:r>
      <w:r w:rsidRPr="003B28FD">
        <w:rPr>
          <w:i/>
          <w:sz w:val="23"/>
          <w:szCs w:val="23"/>
        </w:rPr>
        <w:t xml:space="preserve"> </w:t>
      </w:r>
      <w:r w:rsidRPr="003B28FD">
        <w:rPr>
          <w:rFonts w:hint="cs"/>
          <w:i/>
          <w:sz w:val="23"/>
          <w:szCs w:val="23"/>
          <w:rtl/>
        </w:rPr>
        <w:t>و راه حل بسته</w:t>
      </w:r>
      <w:r w:rsidRPr="003B28FD">
        <w:rPr>
          <w:i/>
          <w:sz w:val="23"/>
          <w:szCs w:val="23"/>
          <w:rtl/>
        </w:rPr>
        <w:softHyphen/>
      </w:r>
      <w:r w:rsidRPr="003B28FD">
        <w:rPr>
          <w:rFonts w:hint="cs"/>
          <w:i/>
          <w:sz w:val="23"/>
          <w:szCs w:val="23"/>
          <w:rtl/>
        </w:rPr>
        <w:t>ی عمومی آن نسبت به</w:t>
      </w:r>
      <w:r w:rsidRPr="003B28FD">
        <w:rPr>
          <w:position w:val="-10"/>
        </w:rPr>
        <w:object w:dxaOrig="220" w:dyaOrig="320" w14:anchorId="6FBC0736">
          <v:shape id="_x0000_i3346" type="#_x0000_t75" style="width:10.9pt;height:16.35pt" o:ole="">
            <v:imagedata r:id="rId4676" o:title=""/>
          </v:shape>
          <o:OLEObject Type="Embed" ProgID="Equation.DSMT4" ShapeID="_x0000_i3346" DrawAspect="Content" ObjectID="_1791377290" r:id="rId4677"/>
        </w:object>
      </w:r>
      <w:r w:rsidRPr="003B28FD">
        <w:rPr>
          <w:rFonts w:hint="cs"/>
          <w:i/>
          <w:sz w:val="23"/>
          <w:szCs w:val="23"/>
          <w:rtl/>
        </w:rPr>
        <w:t xml:space="preserve"> وجود نداشته و لذا حل خاص آن</w:t>
      </w:r>
      <w:r w:rsidRPr="003B28FD">
        <w:rPr>
          <w:i/>
          <w:sz w:val="23"/>
          <w:szCs w:val="23"/>
          <w:rtl/>
        </w:rPr>
        <w:softHyphen/>
      </w:r>
      <w:r w:rsidRPr="003B28FD">
        <w:rPr>
          <w:rFonts w:hint="cs"/>
          <w:i/>
          <w:sz w:val="23"/>
          <w:szCs w:val="23"/>
          <w:rtl/>
        </w:rPr>
        <w:t>را در نظر می</w:t>
      </w:r>
      <w:r w:rsidRPr="003B28FD">
        <w:rPr>
          <w:i/>
          <w:sz w:val="23"/>
          <w:szCs w:val="23"/>
          <w:rtl/>
        </w:rPr>
        <w:softHyphen/>
      </w:r>
      <w:r w:rsidRPr="003B28FD">
        <w:rPr>
          <w:rFonts w:hint="cs"/>
          <w:i/>
          <w:sz w:val="23"/>
          <w:szCs w:val="23"/>
          <w:rtl/>
        </w:rPr>
        <w:t>گیریم. اگر جهت ساده</w:t>
      </w:r>
      <w:r w:rsidRPr="003B28FD">
        <w:rPr>
          <w:i/>
          <w:sz w:val="23"/>
          <w:szCs w:val="23"/>
          <w:rtl/>
        </w:rPr>
        <w:softHyphen/>
      </w:r>
      <w:r w:rsidRPr="003B28FD">
        <w:rPr>
          <w:rFonts w:hint="cs"/>
          <w:i/>
          <w:sz w:val="23"/>
          <w:szCs w:val="23"/>
          <w:rtl/>
        </w:rPr>
        <w:t xml:space="preserve">سازی فرض </w:t>
      </w:r>
      <w:r w:rsidRPr="003B28FD">
        <w:rPr>
          <w:i/>
          <w:sz w:val="23"/>
          <w:szCs w:val="23"/>
          <w:rtl/>
        </w:rPr>
        <w:softHyphen/>
      </w:r>
      <w:r w:rsidRPr="003B28FD">
        <w:rPr>
          <w:rFonts w:hint="cs"/>
          <w:i/>
          <w:sz w:val="23"/>
          <w:szCs w:val="23"/>
          <w:rtl/>
        </w:rPr>
        <w:t xml:space="preserve">کنیم که تابع مطلوبیت لگاریتمی است یعنی </w:t>
      </w:r>
      <w:r w:rsidRPr="003B28FD">
        <w:rPr>
          <w:position w:val="-6"/>
        </w:rPr>
        <w:object w:dxaOrig="560" w:dyaOrig="260" w14:anchorId="1B6DA645">
          <v:shape id="_x0000_i3347" type="#_x0000_t75" style="width:27.85pt;height:12.7pt" o:ole="">
            <v:imagedata r:id="rId4678" o:title=""/>
          </v:shape>
          <o:OLEObject Type="Embed" ProgID="Equation.DSMT4" ShapeID="_x0000_i3347" DrawAspect="Content" ObjectID="_1791377291" r:id="rId4679"/>
        </w:object>
      </w:r>
      <w:r w:rsidRPr="003B28FD">
        <w:rPr>
          <w:rFonts w:hint="cs"/>
          <w:i/>
          <w:sz w:val="23"/>
          <w:szCs w:val="23"/>
          <w:rtl/>
        </w:rPr>
        <w:t xml:space="preserve">، آنگاه </w:t>
      </w:r>
      <w:r w:rsidRPr="003B28FD">
        <w:rPr>
          <w:position w:val="-10"/>
        </w:rPr>
        <w:object w:dxaOrig="320" w:dyaOrig="320" w14:anchorId="58905E16">
          <v:shape id="_x0000_i3348" type="#_x0000_t75" style="width:16.35pt;height:16.35pt" o:ole="">
            <v:imagedata r:id="rId4680" o:title=""/>
          </v:shape>
          <o:OLEObject Type="Embed" ProgID="Equation.DSMT4" ShapeID="_x0000_i3348" DrawAspect="Content" ObjectID="_1791377292" r:id="rId4681"/>
        </w:object>
      </w:r>
      <w:r w:rsidRPr="003B28FD">
        <w:rPr>
          <w:rFonts w:hint="cs"/>
          <w:i/>
          <w:sz w:val="23"/>
          <w:szCs w:val="23"/>
          <w:rtl/>
        </w:rPr>
        <w:t xml:space="preserve"> از معادله</w:t>
      </w:r>
      <w:r w:rsidRPr="003B28FD">
        <w:rPr>
          <w:i/>
          <w:sz w:val="23"/>
          <w:szCs w:val="23"/>
          <w:rtl/>
        </w:rPr>
        <w:softHyphen/>
      </w:r>
      <w:r w:rsidRPr="003B28FD">
        <w:rPr>
          <w:rFonts w:hint="cs"/>
          <w:i/>
          <w:sz w:val="23"/>
          <w:szCs w:val="23"/>
          <w:rtl/>
        </w:rPr>
        <w:t>ی (۶. ۴۳) حذف می</w:t>
      </w:r>
      <w:r w:rsidRPr="003B28FD">
        <w:rPr>
          <w:i/>
          <w:sz w:val="23"/>
          <w:szCs w:val="23"/>
          <w:rtl/>
        </w:rPr>
        <w:softHyphen/>
      </w:r>
      <w:r w:rsidRPr="003B28FD">
        <w:rPr>
          <w:rFonts w:hint="cs"/>
          <w:i/>
          <w:sz w:val="23"/>
          <w:szCs w:val="23"/>
          <w:rtl/>
        </w:rPr>
        <w:t>شود. همچنین فرض می</w:t>
      </w:r>
      <w:r w:rsidRPr="003B28FD">
        <w:rPr>
          <w:i/>
          <w:sz w:val="23"/>
          <w:szCs w:val="23"/>
          <w:rtl/>
        </w:rPr>
        <w:softHyphen/>
      </w:r>
      <w:r w:rsidRPr="003B28FD">
        <w:rPr>
          <w:rFonts w:hint="cs"/>
          <w:i/>
          <w:sz w:val="23"/>
          <w:szCs w:val="23"/>
          <w:rtl/>
        </w:rPr>
        <w:t>کنیم که تابع تولید از نوع توابع کاب داگلاس است، یعنی</w:t>
      </w:r>
      <w:r w:rsidRPr="003B28FD">
        <w:rPr>
          <w:position w:val="-12"/>
        </w:rPr>
        <w:object w:dxaOrig="999" w:dyaOrig="360" w14:anchorId="35765499">
          <v:shape id="_x0000_i3349" type="#_x0000_t75" style="width:50.2pt;height:18.15pt" o:ole="">
            <v:imagedata r:id="rId4682" o:title=""/>
          </v:shape>
          <o:OLEObject Type="Embed" ProgID="Equation.DSMT4" ShapeID="_x0000_i3349" DrawAspect="Content" ObjectID="_1791377293" r:id="rId4683"/>
        </w:object>
      </w:r>
      <w:r w:rsidRPr="003B28FD">
        <w:rPr>
          <w:rFonts w:hint="cs"/>
          <w:i/>
          <w:sz w:val="23"/>
          <w:szCs w:val="23"/>
          <w:rtl/>
        </w:rPr>
        <w:t>و</w:t>
      </w:r>
      <w:r w:rsidRPr="003B28FD">
        <w:rPr>
          <w:position w:val="-12"/>
        </w:rPr>
        <w:object w:dxaOrig="1340" w:dyaOrig="360" w14:anchorId="17984CEC">
          <v:shape id="_x0000_i3350" type="#_x0000_t75" style="width:67.15pt;height:18.15pt" o:ole="">
            <v:imagedata r:id="rId4684" o:title=""/>
          </v:shape>
          <o:OLEObject Type="Embed" ProgID="Equation.DSMT4" ShapeID="_x0000_i3350" DrawAspect="Content" ObjectID="_1791377294" r:id="rId4685"/>
        </w:object>
      </w:r>
      <w:r w:rsidRPr="003B28FD">
        <w:rPr>
          <w:rFonts w:hint="cs"/>
          <w:i/>
          <w:sz w:val="23"/>
          <w:szCs w:val="23"/>
          <w:rtl/>
        </w:rPr>
        <w:t>. بنابراین معادله</w:t>
      </w:r>
      <w:r w:rsidRPr="003B28FD">
        <w:rPr>
          <w:i/>
          <w:sz w:val="23"/>
          <w:szCs w:val="23"/>
          <w:rtl/>
        </w:rPr>
        <w:softHyphen/>
      </w:r>
      <w:r w:rsidRPr="003B28FD">
        <w:rPr>
          <w:rFonts w:hint="cs"/>
          <w:i/>
          <w:sz w:val="23"/>
          <w:szCs w:val="23"/>
          <w:rtl/>
        </w:rPr>
        <w:t>ی (۶. ۴۳) را می</w:t>
      </w:r>
      <w:r w:rsidRPr="003B28FD">
        <w:rPr>
          <w:i/>
          <w:sz w:val="23"/>
          <w:szCs w:val="23"/>
          <w:rtl/>
        </w:rPr>
        <w:softHyphen/>
      </w:r>
      <w:r w:rsidRPr="003B28FD">
        <w:rPr>
          <w:rFonts w:hint="cs"/>
          <w:i/>
          <w:sz w:val="23"/>
          <w:szCs w:val="23"/>
          <w:rtl/>
        </w:rPr>
        <w:t>توان بصورت زیر بازنویسی نمود</w:t>
      </w:r>
    </w:p>
    <w:p w14:paraId="0060C83A" w14:textId="77777777" w:rsidR="00411620" w:rsidRPr="003B28FD" w:rsidRDefault="00411620" w:rsidP="00411620">
      <w:pPr>
        <w:tabs>
          <w:tab w:val="left" w:pos="5812"/>
        </w:tabs>
        <w:bidi w:val="0"/>
        <w:spacing w:line="216" w:lineRule="auto"/>
        <w:rPr>
          <w:i/>
          <w:sz w:val="23"/>
          <w:szCs w:val="23"/>
          <w:rtl/>
        </w:rPr>
      </w:pPr>
      <w:r w:rsidRPr="003B28FD">
        <w:rPr>
          <w:position w:val="-72"/>
        </w:rPr>
        <w:object w:dxaOrig="4459" w:dyaOrig="1120" w14:anchorId="48CBBD52">
          <v:shape id="_x0000_i3351" type="#_x0000_t75" style="width:222.65pt;height:55.65pt" o:ole="">
            <v:imagedata r:id="rId4686" o:title=""/>
          </v:shape>
          <o:OLEObject Type="Embed" ProgID="Equation.DSMT4" ShapeID="_x0000_i3351" DrawAspect="Content" ObjectID="_1791377295" r:id="rId4687"/>
        </w:object>
      </w:r>
      <w:r w:rsidRPr="003B28FD">
        <w:rPr>
          <w:i/>
          <w:sz w:val="23"/>
          <w:szCs w:val="23"/>
        </w:rPr>
        <w:tab/>
      </w:r>
      <w:r w:rsidRPr="003B28FD">
        <w:rPr>
          <w:i/>
          <w:sz w:val="23"/>
          <w:szCs w:val="23"/>
          <w:rtl/>
        </w:rPr>
        <w:tab/>
      </w:r>
      <w:r w:rsidRPr="003B28FD">
        <w:rPr>
          <w:rFonts w:hint="cs"/>
          <w:i/>
          <w:sz w:val="23"/>
          <w:szCs w:val="23"/>
          <w:rtl/>
        </w:rPr>
        <w:t>(۶. ۴۴)</w:t>
      </w:r>
    </w:p>
    <w:p w14:paraId="1BEE1C22" w14:textId="77777777" w:rsidR="00411620" w:rsidRPr="003B28FD" w:rsidRDefault="00411620" w:rsidP="00411620">
      <w:pPr>
        <w:bidi w:val="0"/>
        <w:spacing w:line="216" w:lineRule="auto"/>
        <w:rPr>
          <w:i/>
          <w:sz w:val="23"/>
          <w:szCs w:val="23"/>
          <w:rtl/>
        </w:rPr>
      </w:pPr>
      <w:r w:rsidRPr="003B28FD">
        <w:rPr>
          <w:position w:val="-30"/>
        </w:rPr>
        <w:object w:dxaOrig="1640" w:dyaOrig="639" w14:anchorId="4B2AC67C">
          <v:shape id="_x0000_i3352" type="#_x0000_t75" style="width:82.3pt;height:32.05pt" o:ole="">
            <v:imagedata r:id="rId4688" o:title=""/>
          </v:shape>
          <o:OLEObject Type="Embed" ProgID="Equation.DSMT4" ShapeID="_x0000_i3352" DrawAspect="Content" ObjectID="_1791377296" r:id="rId4689"/>
        </w:object>
      </w:r>
    </w:p>
    <w:p w14:paraId="18BA0DA3" w14:textId="77777777" w:rsidR="00411620" w:rsidRPr="003B28FD" w:rsidRDefault="00411620" w:rsidP="00411620">
      <w:pPr>
        <w:spacing w:line="216" w:lineRule="auto"/>
        <w:rPr>
          <w:i/>
          <w:sz w:val="23"/>
          <w:szCs w:val="23"/>
          <w:rtl/>
        </w:rPr>
      </w:pPr>
      <w:r w:rsidRPr="003B28FD">
        <w:rPr>
          <w:rFonts w:hint="cs"/>
          <w:i/>
          <w:sz w:val="23"/>
          <w:szCs w:val="23"/>
          <w:rtl/>
        </w:rPr>
        <w:t xml:space="preserve">چنانچه </w:t>
      </w:r>
      <w:r w:rsidRPr="003B28FD">
        <w:rPr>
          <w:position w:val="-30"/>
        </w:rPr>
        <w:object w:dxaOrig="3120" w:dyaOrig="700" w14:anchorId="430D58C4">
          <v:shape id="_x0000_i3353" type="#_x0000_t75" style="width:156.1pt;height:34.5pt" o:ole="">
            <v:imagedata r:id="rId4690" o:title=""/>
          </v:shape>
          <o:OLEObject Type="Embed" ProgID="Equation.DSMT4" ShapeID="_x0000_i3353" DrawAspect="Content" ObjectID="_1791377297" r:id="rId4691"/>
        </w:object>
      </w:r>
      <w:r w:rsidRPr="003B28FD">
        <w:rPr>
          <w:rFonts w:hint="cs"/>
          <w:i/>
          <w:sz w:val="23"/>
          <w:szCs w:val="23"/>
          <w:rtl/>
        </w:rPr>
        <w:t xml:space="preserve"> باشد آنگاه مقادیر تعادلی بلندمدت وجود دارد و معادله</w:t>
      </w:r>
      <w:r w:rsidRPr="003B28FD">
        <w:rPr>
          <w:i/>
          <w:sz w:val="23"/>
          <w:szCs w:val="23"/>
          <w:rtl/>
        </w:rPr>
        <w:softHyphen/>
      </w:r>
      <w:r w:rsidRPr="003B28FD">
        <w:rPr>
          <w:rFonts w:hint="cs"/>
          <w:i/>
          <w:sz w:val="23"/>
          <w:szCs w:val="23"/>
          <w:rtl/>
        </w:rPr>
        <w:t>ی (۶. ۴۴) باثبات است.</w:t>
      </w:r>
    </w:p>
    <w:p w14:paraId="34A9DA71" w14:textId="77777777" w:rsidR="00411620" w:rsidRPr="003B28FD" w:rsidRDefault="00411620" w:rsidP="00411620">
      <w:pPr>
        <w:spacing w:line="216" w:lineRule="auto"/>
        <w:rPr>
          <w:i/>
          <w:sz w:val="23"/>
          <w:szCs w:val="23"/>
          <w:rtl/>
        </w:rPr>
      </w:pPr>
      <w:r w:rsidRPr="003B28FD">
        <w:rPr>
          <w:rFonts w:hint="cs"/>
          <w:i/>
          <w:sz w:val="23"/>
          <w:szCs w:val="23"/>
          <w:rtl/>
        </w:rPr>
        <w:t>رفتار پویای موجودی سرمایه ممکن است بصورت نموداری و جبری نیز تجزیه و تحلیل شود. ابتدا ثبات محلی را بررسی می</w:t>
      </w:r>
      <w:r w:rsidRPr="003B28FD">
        <w:rPr>
          <w:i/>
          <w:sz w:val="23"/>
          <w:szCs w:val="23"/>
          <w:rtl/>
        </w:rPr>
        <w:softHyphen/>
      </w:r>
      <w:r w:rsidRPr="003B28FD">
        <w:rPr>
          <w:rFonts w:hint="cs"/>
          <w:i/>
          <w:sz w:val="23"/>
          <w:szCs w:val="23"/>
          <w:rtl/>
        </w:rPr>
        <w:t>کنیم. با فرض این</w:t>
      </w:r>
      <w:r w:rsidRPr="003B28FD">
        <w:rPr>
          <w:i/>
          <w:sz w:val="23"/>
          <w:szCs w:val="23"/>
          <w:rtl/>
        </w:rPr>
        <w:softHyphen/>
      </w:r>
      <w:r w:rsidRPr="003B28FD">
        <w:rPr>
          <w:rFonts w:hint="cs"/>
          <w:i/>
          <w:sz w:val="23"/>
          <w:szCs w:val="23"/>
          <w:rtl/>
        </w:rPr>
        <w:t xml:space="preserve">که مقادیر تعادلی بلندمدت موجودی سرمایه وجود دارد، از رابطه (۶. ۴۴) داریم </w:t>
      </w:r>
    </w:p>
    <w:p w14:paraId="732DEBAD" w14:textId="77777777" w:rsidR="00411620" w:rsidRPr="003B28FD" w:rsidRDefault="00411620" w:rsidP="00411620">
      <w:pPr>
        <w:pStyle w:val="MTDisplayEquation"/>
        <w:spacing w:line="216" w:lineRule="auto"/>
        <w:rPr>
          <w:rFonts w:ascii="Times New Roman" w:eastAsia="Times New Roman" w:hAnsi="Times New Roman" w:cs="B Nazanin"/>
          <w:i/>
          <w:sz w:val="23"/>
          <w:szCs w:val="23"/>
        </w:rPr>
      </w:pPr>
      <w:r w:rsidRPr="003B28FD">
        <w:rPr>
          <w:position w:val="-30"/>
        </w:rPr>
        <w:object w:dxaOrig="5560" w:dyaOrig="840" w14:anchorId="7213293F">
          <v:shape id="_x0000_i3354" type="#_x0000_t75" style="width:277.7pt;height:41.75pt" o:ole="">
            <v:imagedata r:id="rId4692" o:title=""/>
          </v:shape>
          <o:OLEObject Type="Embed" ProgID="Equation.DSMT4" ShapeID="_x0000_i3354" DrawAspect="Content" ObjectID="_1791377298" r:id="rId4693"/>
        </w:object>
      </w:r>
    </w:p>
    <w:p w14:paraId="43B748C1" w14:textId="77777777" w:rsidR="00411620" w:rsidRPr="003B28FD" w:rsidRDefault="00411620" w:rsidP="00411620">
      <w:pPr>
        <w:spacing w:line="216" w:lineRule="auto"/>
        <w:rPr>
          <w:i/>
          <w:sz w:val="23"/>
          <w:szCs w:val="23"/>
          <w:rtl/>
        </w:rPr>
      </w:pPr>
      <w:r w:rsidRPr="003B28FD">
        <w:rPr>
          <w:rFonts w:hint="cs"/>
          <w:i/>
          <w:sz w:val="23"/>
          <w:szCs w:val="23"/>
          <w:rtl/>
        </w:rPr>
        <w:t>از رابطه (۶. ۴۴) استفاده می</w:t>
      </w:r>
      <w:r w:rsidRPr="003B28FD">
        <w:rPr>
          <w:i/>
          <w:sz w:val="23"/>
          <w:szCs w:val="23"/>
          <w:rtl/>
        </w:rPr>
        <w:softHyphen/>
      </w:r>
      <w:r w:rsidRPr="003B28FD">
        <w:rPr>
          <w:rFonts w:hint="cs"/>
          <w:i/>
          <w:sz w:val="23"/>
          <w:szCs w:val="23"/>
          <w:rtl/>
        </w:rPr>
        <w:t>کنیم و آن رابطه را بر اساس بسط تیلور بصورت زیر می</w:t>
      </w:r>
      <w:r w:rsidRPr="003B28FD">
        <w:rPr>
          <w:i/>
          <w:sz w:val="23"/>
          <w:szCs w:val="23"/>
        </w:rPr>
        <w:softHyphen/>
      </w:r>
      <w:r w:rsidRPr="003B28FD">
        <w:rPr>
          <w:rFonts w:hint="cs"/>
          <w:i/>
          <w:sz w:val="23"/>
          <w:szCs w:val="23"/>
          <w:rtl/>
        </w:rPr>
        <w:t xml:space="preserve">نویسیم </w:t>
      </w:r>
    </w:p>
    <w:p w14:paraId="696EE628" w14:textId="77777777" w:rsidR="00411620" w:rsidRPr="003B28FD" w:rsidRDefault="00411620" w:rsidP="00411620">
      <w:pPr>
        <w:pStyle w:val="MTDisplayEquation"/>
        <w:spacing w:line="216" w:lineRule="auto"/>
        <w:rPr>
          <w:rFonts w:ascii="Times New Roman" w:eastAsia="Times New Roman" w:hAnsi="Times New Roman" w:cs="B Nazanin"/>
          <w:i/>
          <w:sz w:val="23"/>
          <w:szCs w:val="23"/>
        </w:rPr>
      </w:pPr>
      <w:r w:rsidRPr="003B28FD">
        <w:rPr>
          <w:position w:val="-10"/>
        </w:rPr>
        <w:object w:dxaOrig="1080" w:dyaOrig="340" w14:anchorId="6422521E">
          <v:shape id="_x0000_i3355" type="#_x0000_t75" style="width:54.45pt;height:16.95pt" o:ole="">
            <v:imagedata r:id="rId4694" o:title=""/>
          </v:shape>
          <o:OLEObject Type="Embed" ProgID="Equation.DSMT4" ShapeID="_x0000_i3355" DrawAspect="Content" ObjectID="_1791377299" r:id="rId4695"/>
        </w:object>
      </w:r>
    </w:p>
    <w:p w14:paraId="5E8088C3" w14:textId="77777777" w:rsidR="00411620" w:rsidRPr="003B28FD" w:rsidRDefault="00411620" w:rsidP="00411620">
      <w:pPr>
        <w:pStyle w:val="MTDisplayEquation"/>
        <w:spacing w:line="216" w:lineRule="auto"/>
        <w:rPr>
          <w:rFonts w:ascii="Times New Roman" w:eastAsia="Times New Roman" w:hAnsi="Times New Roman" w:cs="B Nazanin"/>
          <w:i/>
          <w:sz w:val="23"/>
          <w:szCs w:val="23"/>
          <w:rtl/>
        </w:rPr>
      </w:pPr>
      <w:r w:rsidRPr="003B28FD">
        <w:rPr>
          <w:position w:val="-10"/>
        </w:rPr>
        <w:object w:dxaOrig="2340" w:dyaOrig="340" w14:anchorId="13B52909">
          <v:shape id="_x0000_i3356" type="#_x0000_t75" style="width:116.75pt;height:16.95pt" o:ole="">
            <v:imagedata r:id="rId4696" o:title=""/>
          </v:shape>
          <o:OLEObject Type="Embed" ProgID="Equation.DSMT4" ShapeID="_x0000_i3356" DrawAspect="Content" ObjectID="_1791377300" r:id="rId4697"/>
        </w:object>
      </w:r>
    </w:p>
    <w:p w14:paraId="040B80D4" w14:textId="77777777" w:rsidR="00411620" w:rsidRPr="003B28FD" w:rsidRDefault="00411620" w:rsidP="00411620">
      <w:pPr>
        <w:spacing w:line="216" w:lineRule="auto"/>
        <w:rPr>
          <w:i/>
          <w:sz w:val="23"/>
          <w:szCs w:val="23"/>
          <w:rtl/>
        </w:rPr>
      </w:pPr>
      <w:r w:rsidRPr="003B28FD">
        <w:rPr>
          <w:rFonts w:hint="cs"/>
          <w:i/>
          <w:sz w:val="23"/>
          <w:szCs w:val="23"/>
          <w:rtl/>
        </w:rPr>
        <w:t>بنابراین تغیرات</w:t>
      </w:r>
      <w:r w:rsidRPr="003B28FD">
        <w:rPr>
          <w:position w:val="-10"/>
        </w:rPr>
        <w:object w:dxaOrig="220" w:dyaOrig="320" w14:anchorId="27F3F378">
          <v:shape id="_x0000_i3357" type="#_x0000_t75" style="width:10.9pt;height:16.35pt" o:ole="">
            <v:imagedata r:id="rId4698" o:title=""/>
          </v:shape>
          <o:OLEObject Type="Embed" ProgID="Equation.DSMT4" ShapeID="_x0000_i3357" DrawAspect="Content" ObjectID="_1791377301" r:id="rId4699"/>
        </w:object>
      </w:r>
      <w:r w:rsidRPr="003B28FD">
        <w:rPr>
          <w:rFonts w:hint="cs"/>
          <w:i/>
          <w:sz w:val="23"/>
          <w:szCs w:val="23"/>
          <w:rtl/>
        </w:rPr>
        <w:t xml:space="preserve"> تابعی است از</w:t>
      </w:r>
      <w:r w:rsidRPr="003B28FD">
        <w:rPr>
          <w:position w:val="-10"/>
        </w:rPr>
        <w:object w:dxaOrig="220" w:dyaOrig="320" w14:anchorId="54D01B15">
          <v:shape id="_x0000_i3358" type="#_x0000_t75" style="width:10.9pt;height:16.35pt" o:ole="">
            <v:imagedata r:id="rId4700" o:title=""/>
          </v:shape>
          <o:OLEObject Type="Embed" ProgID="Equation.DSMT4" ShapeID="_x0000_i3358" DrawAspect="Content" ObjectID="_1791377302" r:id="rId4701"/>
        </w:object>
      </w:r>
      <w:r w:rsidRPr="003B28FD">
        <w:rPr>
          <w:rFonts w:hint="cs"/>
          <w:i/>
          <w:sz w:val="23"/>
          <w:szCs w:val="23"/>
          <w:rtl/>
        </w:rPr>
        <w:t xml:space="preserve">. زیرا </w:t>
      </w:r>
    </w:p>
    <w:p w14:paraId="4859EC47" w14:textId="77777777" w:rsidR="00411620" w:rsidRPr="003B28FD" w:rsidRDefault="00411620" w:rsidP="00411620">
      <w:pPr>
        <w:pStyle w:val="MTDisplayEquation"/>
        <w:spacing w:line="216" w:lineRule="auto"/>
        <w:rPr>
          <w:rFonts w:ascii="Times New Roman" w:eastAsia="Times New Roman" w:hAnsi="Times New Roman" w:cs="B Nazanin"/>
          <w:i/>
          <w:sz w:val="23"/>
          <w:szCs w:val="23"/>
          <w:rtl/>
        </w:rPr>
      </w:pPr>
      <w:r w:rsidRPr="003B28FD">
        <w:rPr>
          <w:position w:val="-10"/>
        </w:rPr>
        <w:object w:dxaOrig="3019" w:dyaOrig="340" w14:anchorId="4EABE253">
          <v:shape id="_x0000_i3359" type="#_x0000_t75" style="width:151.25pt;height:16.95pt" o:ole="">
            <v:imagedata r:id="rId4702" o:title=""/>
          </v:shape>
          <o:OLEObject Type="Embed" ProgID="Equation.DSMT4" ShapeID="_x0000_i3359" DrawAspect="Content" ObjectID="_1791377303" r:id="rId4703"/>
        </w:object>
      </w:r>
    </w:p>
    <w:p w14:paraId="3CCA4087" w14:textId="77777777" w:rsidR="00411620" w:rsidRPr="003B28FD" w:rsidRDefault="00411620" w:rsidP="00411620">
      <w:pPr>
        <w:spacing w:line="216" w:lineRule="auto"/>
        <w:rPr>
          <w:i/>
          <w:sz w:val="23"/>
          <w:szCs w:val="23"/>
        </w:rPr>
      </w:pPr>
      <w:r w:rsidRPr="003B28FD">
        <w:rPr>
          <w:rFonts w:hint="cs"/>
          <w:i/>
          <w:sz w:val="23"/>
          <w:szCs w:val="23"/>
          <w:rtl/>
        </w:rPr>
        <w:t>در تعادل بلندمدت</w:t>
      </w:r>
      <w:r w:rsidRPr="003B28FD">
        <w:rPr>
          <w:position w:val="-10"/>
        </w:rPr>
        <w:object w:dxaOrig="660" w:dyaOrig="340" w14:anchorId="331660FF">
          <v:shape id="_x0000_i3360" type="#_x0000_t75" style="width:32.65pt;height:16.95pt" o:ole="">
            <v:imagedata r:id="rId4704" o:title=""/>
          </v:shape>
          <o:OLEObject Type="Embed" ProgID="Equation.DSMT4" ShapeID="_x0000_i3360" DrawAspect="Content" ObjectID="_1791377304" r:id="rId4705"/>
        </w:object>
      </w:r>
      <w:r w:rsidRPr="003B28FD">
        <w:rPr>
          <w:i/>
          <w:sz w:val="23"/>
          <w:szCs w:val="23"/>
        </w:rPr>
        <w:t xml:space="preserve"> </w:t>
      </w:r>
      <w:r w:rsidRPr="003B28FD">
        <w:rPr>
          <w:rFonts w:hint="cs"/>
          <w:i/>
          <w:sz w:val="23"/>
          <w:szCs w:val="23"/>
          <w:rtl/>
        </w:rPr>
        <w:t xml:space="preserve">و </w:t>
      </w:r>
      <w:r w:rsidRPr="003B28FD">
        <w:rPr>
          <w:position w:val="-10"/>
        </w:rPr>
        <w:object w:dxaOrig="859" w:dyaOrig="320" w14:anchorId="7C93DE1D">
          <v:shape id="_x0000_i3361" type="#_x0000_t75" style="width:42.95pt;height:16.35pt" o:ole="">
            <v:imagedata r:id="rId4706" o:title=""/>
          </v:shape>
          <o:OLEObject Type="Embed" ProgID="Equation.DSMT4" ShapeID="_x0000_i3361" DrawAspect="Content" ObjectID="_1791377305" r:id="rId4707"/>
        </w:object>
      </w:r>
      <w:r w:rsidRPr="003B28FD">
        <w:rPr>
          <w:rFonts w:hint="cs"/>
          <w:i/>
          <w:sz w:val="23"/>
          <w:szCs w:val="23"/>
          <w:rtl/>
        </w:rPr>
        <w:t xml:space="preserve"> است. بنابراین</w:t>
      </w:r>
    </w:p>
    <w:p w14:paraId="361A41A0" w14:textId="77777777" w:rsidR="00411620" w:rsidRPr="003B28FD" w:rsidRDefault="00411620" w:rsidP="00411620">
      <w:pPr>
        <w:pStyle w:val="MTDisplayEquation"/>
        <w:spacing w:line="216" w:lineRule="auto"/>
        <w:rPr>
          <w:rFonts w:ascii="Times New Roman" w:eastAsia="Times New Roman" w:hAnsi="Times New Roman" w:cs="B Nazanin"/>
          <w:i/>
          <w:sz w:val="23"/>
          <w:szCs w:val="23"/>
          <w:rtl/>
        </w:rPr>
      </w:pPr>
      <w:r w:rsidRPr="003B28FD">
        <w:rPr>
          <w:position w:val="-16"/>
        </w:rPr>
        <w:object w:dxaOrig="2680" w:dyaOrig="420" w14:anchorId="4FBD09AD">
          <v:shape id="_x0000_i3362" type="#_x0000_t75" style="width:133.7pt;height:21.2pt" o:ole="">
            <v:imagedata r:id="rId4708" o:title=""/>
          </v:shape>
          <o:OLEObject Type="Embed" ProgID="Equation.DSMT4" ShapeID="_x0000_i3362" DrawAspect="Content" ObjectID="_1791377306" r:id="rId4709"/>
        </w:object>
      </w:r>
    </w:p>
    <w:p w14:paraId="28547503" w14:textId="77777777" w:rsidR="00411620" w:rsidRPr="003B28FD" w:rsidRDefault="00411620" w:rsidP="00411620">
      <w:pPr>
        <w:spacing w:line="216" w:lineRule="auto"/>
        <w:rPr>
          <w:i/>
          <w:sz w:val="23"/>
          <w:szCs w:val="23"/>
          <w:rtl/>
        </w:rPr>
      </w:pPr>
      <w:r w:rsidRPr="003B28FD">
        <w:rPr>
          <w:rFonts w:hint="cs"/>
          <w:i/>
          <w:sz w:val="23"/>
          <w:szCs w:val="23"/>
          <w:rtl/>
        </w:rPr>
        <w:t>در این رابطه دو مقدار تعادلی برای</w:t>
      </w:r>
      <w:r w:rsidRPr="003B28FD">
        <w:rPr>
          <w:position w:val="-6"/>
        </w:rPr>
        <w:object w:dxaOrig="260" w:dyaOrig="300" w14:anchorId="22291787">
          <v:shape id="_x0000_i3363" type="#_x0000_t75" style="width:12.7pt;height:14.5pt" o:ole="">
            <v:imagedata r:id="rId4710" o:title=""/>
          </v:shape>
          <o:OLEObject Type="Embed" ProgID="Equation.DSMT4" ShapeID="_x0000_i3363" DrawAspect="Content" ObjectID="_1791377307" r:id="rId4711"/>
        </w:object>
      </w:r>
      <w:r w:rsidRPr="003B28FD">
        <w:rPr>
          <w:rFonts w:hint="cs"/>
          <w:i/>
          <w:sz w:val="23"/>
          <w:szCs w:val="23"/>
          <w:rtl/>
        </w:rPr>
        <w:t xml:space="preserve"> وجود دارد، یا</w:t>
      </w:r>
    </w:p>
    <w:p w14:paraId="4B19BE6B" w14:textId="77777777" w:rsidR="00411620" w:rsidRPr="003B28FD" w:rsidRDefault="00411620" w:rsidP="00411620">
      <w:pPr>
        <w:bidi w:val="0"/>
        <w:spacing w:line="216" w:lineRule="auto"/>
        <w:rPr>
          <w:i/>
          <w:sz w:val="23"/>
          <w:szCs w:val="23"/>
          <w:rtl/>
        </w:rPr>
      </w:pPr>
      <w:r w:rsidRPr="003B28FD">
        <w:rPr>
          <w:rFonts w:hint="cs"/>
          <w:i/>
          <w:sz w:val="23"/>
          <w:szCs w:val="23"/>
          <w:rtl/>
        </w:rPr>
        <w:lastRenderedPageBreak/>
        <w:t xml:space="preserve"> </w:t>
      </w:r>
      <w:r w:rsidRPr="003B28FD">
        <w:rPr>
          <w:position w:val="-6"/>
        </w:rPr>
        <w:object w:dxaOrig="620" w:dyaOrig="300" w14:anchorId="1D785C2E">
          <v:shape id="_x0000_i3364" type="#_x0000_t75" style="width:31.45pt;height:14.5pt" o:ole="">
            <v:imagedata r:id="rId4712" o:title=""/>
          </v:shape>
          <o:OLEObject Type="Embed" ProgID="Equation.DSMT4" ShapeID="_x0000_i3364" DrawAspect="Content" ObjectID="_1791377308" r:id="rId4713"/>
        </w:object>
      </w:r>
      <w:r w:rsidRPr="003B28FD">
        <w:rPr>
          <w:rFonts w:hint="cs"/>
          <w:i/>
          <w:sz w:val="23"/>
          <w:szCs w:val="23"/>
          <w:rtl/>
        </w:rPr>
        <w:t xml:space="preserve"> </w:t>
      </w:r>
    </w:p>
    <w:p w14:paraId="35AAEFE7" w14:textId="77777777" w:rsidR="00411620" w:rsidRPr="003B28FD" w:rsidRDefault="00411620" w:rsidP="00411620">
      <w:pPr>
        <w:spacing w:line="216" w:lineRule="auto"/>
        <w:rPr>
          <w:i/>
          <w:sz w:val="23"/>
          <w:szCs w:val="23"/>
        </w:rPr>
      </w:pPr>
      <w:r w:rsidRPr="003B28FD">
        <w:rPr>
          <w:rFonts w:hint="cs"/>
          <w:i/>
          <w:sz w:val="23"/>
          <w:szCs w:val="23"/>
          <w:rtl/>
        </w:rPr>
        <w:t xml:space="preserve">و یا </w:t>
      </w:r>
    </w:p>
    <w:p w14:paraId="79C2535F" w14:textId="77777777" w:rsidR="00411620" w:rsidRPr="003B28FD" w:rsidRDefault="00411620" w:rsidP="00411620">
      <w:pPr>
        <w:bidi w:val="0"/>
        <w:spacing w:line="216" w:lineRule="auto"/>
        <w:rPr>
          <w:i/>
          <w:sz w:val="23"/>
          <w:szCs w:val="23"/>
        </w:rPr>
      </w:pPr>
      <w:r w:rsidRPr="003B28FD">
        <w:rPr>
          <w:position w:val="-28"/>
        </w:rPr>
        <w:object w:dxaOrig="4620" w:dyaOrig="780" w14:anchorId="2D7504CA">
          <v:shape id="_x0000_i3365" type="#_x0000_t75" style="width:231.15pt;height:39.35pt" o:ole="">
            <v:imagedata r:id="rId4714" o:title=""/>
          </v:shape>
          <o:OLEObject Type="Embed" ProgID="Equation.DSMT4" ShapeID="_x0000_i3365" DrawAspect="Content" ObjectID="_1791377309" r:id="rId4715"/>
        </w:object>
      </w:r>
      <w:r w:rsidRPr="003B28FD">
        <w:rPr>
          <w:rFonts w:hint="cs"/>
          <w:i/>
          <w:sz w:val="23"/>
          <w:szCs w:val="23"/>
          <w:rtl/>
        </w:rPr>
        <w:t xml:space="preserve"> </w:t>
      </w:r>
    </w:p>
    <w:p w14:paraId="2F055747" w14:textId="77777777" w:rsidR="00411620" w:rsidRPr="003B28FD" w:rsidRDefault="00411620" w:rsidP="00411620">
      <w:pPr>
        <w:spacing w:line="216" w:lineRule="auto"/>
        <w:rPr>
          <w:i/>
          <w:sz w:val="23"/>
          <w:szCs w:val="23"/>
          <w:rtl/>
        </w:rPr>
      </w:pPr>
      <w:r w:rsidRPr="003B28FD">
        <w:rPr>
          <w:rFonts w:hint="cs"/>
          <w:i/>
          <w:sz w:val="23"/>
          <w:szCs w:val="23"/>
          <w:rtl/>
        </w:rPr>
        <w:t>بنابراین به</w:t>
      </w:r>
      <w:r w:rsidRPr="003B28FD">
        <w:rPr>
          <w:i/>
          <w:sz w:val="23"/>
          <w:szCs w:val="23"/>
          <w:rtl/>
        </w:rPr>
        <w:softHyphen/>
      </w:r>
      <w:r w:rsidRPr="003B28FD">
        <w:rPr>
          <w:rFonts w:hint="cs"/>
          <w:i/>
          <w:sz w:val="23"/>
          <w:szCs w:val="23"/>
          <w:rtl/>
        </w:rPr>
        <w:t>ازای دو مقدار تعادلی فوق، تغییرات موجودی سرمایه برابر است با صفر. زیرا</w:t>
      </w:r>
    </w:p>
    <w:p w14:paraId="7AF20AB1" w14:textId="77777777" w:rsidR="00411620" w:rsidRPr="003B28FD" w:rsidRDefault="00411620" w:rsidP="00411620">
      <w:pPr>
        <w:pStyle w:val="MTDisplayEquation"/>
        <w:spacing w:line="216" w:lineRule="auto"/>
        <w:rPr>
          <w:rFonts w:ascii="Times New Roman" w:eastAsia="Times New Roman" w:hAnsi="Times New Roman" w:cs="B Nazanin"/>
          <w:i/>
          <w:sz w:val="23"/>
          <w:szCs w:val="23"/>
        </w:rPr>
      </w:pPr>
      <w:r w:rsidRPr="003B28FD">
        <w:rPr>
          <w:position w:val="-10"/>
        </w:rPr>
        <w:object w:dxaOrig="5820" w:dyaOrig="340" w14:anchorId="7D457612">
          <v:shape id="_x0000_i3366" type="#_x0000_t75" style="width:291.05pt;height:16.95pt" o:ole="">
            <v:imagedata r:id="rId4716" o:title=""/>
          </v:shape>
          <o:OLEObject Type="Embed" ProgID="Equation.DSMT4" ShapeID="_x0000_i3366" DrawAspect="Content" ObjectID="_1791377310" r:id="rId4717"/>
        </w:object>
      </w:r>
    </w:p>
    <w:p w14:paraId="32912894" w14:textId="77777777" w:rsidR="00411620" w:rsidRPr="003B28FD" w:rsidRDefault="00411620" w:rsidP="00411620">
      <w:pPr>
        <w:pStyle w:val="MTDisplayEquation"/>
        <w:bidi/>
        <w:spacing w:line="216" w:lineRule="auto"/>
        <w:jc w:val="left"/>
        <w:rPr>
          <w:rFonts w:ascii="Times New Roman" w:hAnsi="Times New Roman" w:cs="B Nazanin"/>
          <w:i/>
          <w:sz w:val="23"/>
          <w:szCs w:val="23"/>
          <w:rtl/>
        </w:rPr>
      </w:pPr>
      <w:r w:rsidRPr="003B28FD">
        <w:rPr>
          <w:rFonts w:ascii="Times New Roman" w:eastAsia="Times New Roman" w:hAnsi="Times New Roman" w:cs="B Nazanin" w:hint="cs"/>
          <w:i/>
          <w:sz w:val="23"/>
          <w:szCs w:val="23"/>
          <w:rtl/>
        </w:rPr>
        <w:t>و یا</w:t>
      </w:r>
      <w:r w:rsidRPr="003B28FD">
        <w:rPr>
          <w:rFonts w:ascii="Times New Roman" w:hAnsi="Times New Roman" w:cs="B Nazanin"/>
          <w:i/>
          <w:sz w:val="23"/>
          <w:szCs w:val="23"/>
        </w:rPr>
        <w:tab/>
      </w:r>
    </w:p>
    <w:p w14:paraId="05CE8E69" w14:textId="77777777" w:rsidR="00411620" w:rsidRPr="003B28FD" w:rsidRDefault="00411620" w:rsidP="00411620">
      <w:pPr>
        <w:pStyle w:val="MTDisplayEquation"/>
        <w:spacing w:line="216" w:lineRule="auto"/>
        <w:jc w:val="left"/>
        <w:rPr>
          <w:rFonts w:ascii="Times New Roman" w:eastAsia="Times New Roman" w:hAnsi="Times New Roman" w:cs="B Nazanin"/>
          <w:i/>
          <w:sz w:val="23"/>
          <w:szCs w:val="23"/>
          <w:rtl/>
        </w:rPr>
      </w:pPr>
      <w:r w:rsidRPr="003B28FD">
        <w:rPr>
          <w:position w:val="-10"/>
        </w:rPr>
        <w:object w:dxaOrig="2640" w:dyaOrig="520" w14:anchorId="6CCF95AF">
          <v:shape id="_x0000_i3367" type="#_x0000_t75" style="width:132.5pt;height:26pt" o:ole="">
            <v:imagedata r:id="rId4718" o:title=""/>
          </v:shape>
          <o:OLEObject Type="Embed" ProgID="Equation.DSMT4" ShapeID="_x0000_i3367" DrawAspect="Content" ObjectID="_1791377311" r:id="rId4719"/>
        </w:object>
      </w:r>
    </w:p>
    <w:p w14:paraId="603A010C" w14:textId="77777777" w:rsidR="00411620" w:rsidRPr="003B28FD" w:rsidRDefault="00411620" w:rsidP="00411620">
      <w:pPr>
        <w:spacing w:line="216" w:lineRule="auto"/>
        <w:rPr>
          <w:i/>
          <w:sz w:val="23"/>
          <w:szCs w:val="23"/>
          <w:rtl/>
        </w:rPr>
      </w:pPr>
      <w:r w:rsidRPr="003B28FD">
        <w:rPr>
          <w:rFonts w:hint="cs"/>
          <w:i/>
          <w:sz w:val="23"/>
          <w:szCs w:val="23"/>
          <w:rtl/>
        </w:rPr>
        <w:t xml:space="preserve">همچنین در مقدار تعادلی </w:t>
      </w:r>
      <w:r w:rsidRPr="003B28FD">
        <w:rPr>
          <w:position w:val="-6"/>
        </w:rPr>
        <w:object w:dxaOrig="620" w:dyaOrig="300" w14:anchorId="72AE523B">
          <v:shape id="_x0000_i3368" type="#_x0000_t75" style="width:31.45pt;height:14.5pt" o:ole="">
            <v:imagedata r:id="rId4720" o:title=""/>
          </v:shape>
          <o:OLEObject Type="Embed" ProgID="Equation.DSMT4" ShapeID="_x0000_i3368" DrawAspect="Content" ObjectID="_1791377312" r:id="rId4721"/>
        </w:object>
      </w:r>
      <w:r w:rsidRPr="003B28FD">
        <w:rPr>
          <w:i/>
          <w:sz w:val="23"/>
          <w:szCs w:val="23"/>
          <w:rtl/>
        </w:rPr>
        <w:t xml:space="preserve"> </w:t>
      </w:r>
      <w:r w:rsidRPr="003B28FD">
        <w:rPr>
          <w:rFonts w:hint="cs"/>
          <w:i/>
          <w:sz w:val="23"/>
          <w:szCs w:val="23"/>
          <w:rtl/>
        </w:rPr>
        <w:t>داریم</w:t>
      </w:r>
    </w:p>
    <w:p w14:paraId="2C471E53" w14:textId="77777777" w:rsidR="00411620" w:rsidRPr="003B28FD" w:rsidRDefault="00411620" w:rsidP="00411620">
      <w:pPr>
        <w:bidi w:val="0"/>
        <w:spacing w:line="216" w:lineRule="auto"/>
        <w:rPr>
          <w:i/>
          <w:sz w:val="23"/>
          <w:szCs w:val="23"/>
          <w:rtl/>
        </w:rPr>
      </w:pPr>
      <w:r w:rsidRPr="003B28FD">
        <w:rPr>
          <w:position w:val="-16"/>
        </w:rPr>
        <w:object w:dxaOrig="2200" w:dyaOrig="420" w14:anchorId="2495A4C9">
          <v:shape id="_x0000_i3369" type="#_x0000_t75" style="width:110.1pt;height:21.2pt" o:ole="">
            <v:imagedata r:id="rId4722" o:title=""/>
          </v:shape>
          <o:OLEObject Type="Embed" ProgID="Equation.DSMT4" ShapeID="_x0000_i3369" DrawAspect="Content" ObjectID="_1791377313" r:id="rId4723"/>
        </w:object>
      </w:r>
      <w:r w:rsidRPr="003B28FD">
        <w:rPr>
          <w:rFonts w:hint="cs"/>
          <w:i/>
          <w:sz w:val="23"/>
          <w:szCs w:val="23"/>
          <w:rtl/>
        </w:rPr>
        <w:t xml:space="preserve"> </w:t>
      </w:r>
    </w:p>
    <w:p w14:paraId="3F631E62" w14:textId="77777777" w:rsidR="00411620" w:rsidRPr="003B28FD" w:rsidRDefault="00411620" w:rsidP="00411620">
      <w:pPr>
        <w:spacing w:line="216" w:lineRule="auto"/>
        <w:rPr>
          <w:i/>
          <w:sz w:val="23"/>
          <w:szCs w:val="23"/>
          <w:rtl/>
        </w:rPr>
      </w:pPr>
      <w:r w:rsidRPr="003B28FD">
        <w:rPr>
          <w:rFonts w:hint="cs"/>
          <w:i/>
          <w:sz w:val="23"/>
          <w:szCs w:val="23"/>
          <w:rtl/>
        </w:rPr>
        <w:t xml:space="preserve">و در </w:t>
      </w:r>
      <w:r w:rsidRPr="003B28FD">
        <w:rPr>
          <w:position w:val="-10"/>
        </w:rPr>
        <w:object w:dxaOrig="1140" w:dyaOrig="380" w14:anchorId="1BDF7688">
          <v:shape id="_x0000_i3370" type="#_x0000_t75" style="width:57.5pt;height:18.75pt" o:ole="">
            <v:imagedata r:id="rId4724" o:title=""/>
          </v:shape>
          <o:OLEObject Type="Embed" ProgID="Equation.DSMT4" ShapeID="_x0000_i3370" DrawAspect="Content" ObjectID="_1791377314" r:id="rId4725"/>
        </w:object>
      </w:r>
      <w:r w:rsidRPr="003B28FD">
        <w:rPr>
          <w:rFonts w:hint="cs"/>
          <w:i/>
          <w:sz w:val="23"/>
          <w:szCs w:val="23"/>
          <w:rtl/>
        </w:rPr>
        <w:t xml:space="preserve"> داریم</w:t>
      </w:r>
    </w:p>
    <w:p w14:paraId="58917356" w14:textId="77777777" w:rsidR="00411620" w:rsidRPr="003B28FD" w:rsidRDefault="00411620" w:rsidP="00411620">
      <w:pPr>
        <w:pStyle w:val="MTDisplayEquation"/>
        <w:spacing w:line="216" w:lineRule="auto"/>
        <w:rPr>
          <w:rFonts w:ascii="Times New Roman" w:eastAsia="Times New Roman" w:hAnsi="Times New Roman" w:cs="B Nazanin"/>
          <w:i/>
          <w:sz w:val="23"/>
          <w:szCs w:val="23"/>
          <w:rtl/>
        </w:rPr>
      </w:pPr>
      <w:r w:rsidRPr="003B28FD">
        <w:rPr>
          <w:position w:val="-20"/>
        </w:rPr>
        <w:object w:dxaOrig="4720" w:dyaOrig="499" w14:anchorId="66D30C21">
          <v:shape id="_x0000_i3371" type="#_x0000_t75" style="width:235.95pt;height:24.8pt" o:ole="">
            <v:imagedata r:id="rId4726" o:title=""/>
          </v:shape>
          <o:OLEObject Type="Embed" ProgID="Equation.DSMT4" ShapeID="_x0000_i3371" DrawAspect="Content" ObjectID="_1791377315" r:id="rId4727"/>
        </w:object>
      </w:r>
    </w:p>
    <w:p w14:paraId="5F028CFF" w14:textId="77777777" w:rsidR="00411620" w:rsidRPr="003B28FD" w:rsidRDefault="00411620" w:rsidP="00411620">
      <w:pPr>
        <w:spacing w:line="216" w:lineRule="auto"/>
        <w:rPr>
          <w:i/>
          <w:sz w:val="23"/>
          <w:szCs w:val="23"/>
        </w:rPr>
      </w:pPr>
      <w:r w:rsidRPr="003B28FD">
        <w:rPr>
          <w:rFonts w:hint="cs"/>
          <w:i/>
          <w:sz w:val="23"/>
          <w:szCs w:val="23"/>
          <w:rtl/>
        </w:rPr>
        <w:t>بنابراین تابع تغییرات موجودی سرمایه بصورت غیرخطی است</w:t>
      </w:r>
      <w:r w:rsidRPr="003B28FD">
        <w:rPr>
          <w:i/>
          <w:sz w:val="23"/>
          <w:szCs w:val="23"/>
        </w:rPr>
        <w:t>.</w:t>
      </w:r>
      <w:r w:rsidRPr="003B28FD">
        <w:rPr>
          <w:rFonts w:hint="cs"/>
          <w:i/>
          <w:sz w:val="23"/>
          <w:szCs w:val="23"/>
          <w:rtl/>
        </w:rPr>
        <w:t xml:space="preserve"> از آن</w:t>
      </w:r>
      <w:r w:rsidRPr="003B28FD">
        <w:rPr>
          <w:i/>
          <w:sz w:val="23"/>
          <w:szCs w:val="23"/>
          <w:rtl/>
        </w:rPr>
        <w:softHyphen/>
      </w:r>
      <w:r w:rsidRPr="003B28FD">
        <w:rPr>
          <w:rFonts w:hint="cs"/>
          <w:i/>
          <w:sz w:val="23"/>
          <w:szCs w:val="23"/>
          <w:rtl/>
        </w:rPr>
        <w:t>جا که موجودی سرمایه</w:t>
      </w:r>
      <w:r w:rsidRPr="003B28FD">
        <w:rPr>
          <w:i/>
          <w:sz w:val="23"/>
          <w:szCs w:val="23"/>
          <w:rtl/>
        </w:rPr>
        <w:softHyphen/>
      </w:r>
      <w:r w:rsidRPr="003B28FD">
        <w:rPr>
          <w:rFonts w:hint="cs"/>
          <w:i/>
          <w:sz w:val="23"/>
          <w:szCs w:val="23"/>
          <w:rtl/>
        </w:rPr>
        <w:t xml:space="preserve">ی تعادلی </w:t>
      </w:r>
      <w:r w:rsidRPr="003B28FD">
        <w:rPr>
          <w:position w:val="-6"/>
        </w:rPr>
        <w:object w:dxaOrig="620" w:dyaOrig="300" w14:anchorId="49854E31">
          <v:shape id="_x0000_i3372" type="#_x0000_t75" style="width:31.45pt;height:14.5pt" o:ole="">
            <v:imagedata r:id="rId4728" o:title=""/>
          </v:shape>
          <o:OLEObject Type="Embed" ProgID="Equation.DSMT4" ShapeID="_x0000_i3372" DrawAspect="Content" ObjectID="_1791377316" r:id="rId4729"/>
        </w:object>
      </w:r>
      <w:r w:rsidRPr="003B28FD">
        <w:rPr>
          <w:rFonts w:hint="cs"/>
          <w:i/>
          <w:sz w:val="23"/>
          <w:szCs w:val="23"/>
          <w:rtl/>
        </w:rPr>
        <w:t xml:space="preserve"> قابل قبول نیست لذا از بسط تیلور در اطراف موجودی سرمایه</w:t>
      </w:r>
      <w:r w:rsidRPr="003B28FD">
        <w:rPr>
          <w:i/>
          <w:sz w:val="23"/>
          <w:szCs w:val="23"/>
          <w:rtl/>
        </w:rPr>
        <w:softHyphen/>
      </w:r>
      <w:r w:rsidRPr="003B28FD">
        <w:rPr>
          <w:rFonts w:hint="cs"/>
          <w:i/>
          <w:sz w:val="23"/>
          <w:szCs w:val="23"/>
          <w:rtl/>
        </w:rPr>
        <w:t xml:space="preserve">ی تعادلی </w:t>
      </w:r>
      <w:r w:rsidRPr="003B28FD">
        <w:rPr>
          <w:position w:val="-10"/>
        </w:rPr>
        <w:object w:dxaOrig="1500" w:dyaOrig="380" w14:anchorId="1A157F7A">
          <v:shape id="_x0000_i3373" type="#_x0000_t75" style="width:75.05pt;height:18.75pt" o:ole="">
            <v:imagedata r:id="rId4730" o:title=""/>
          </v:shape>
          <o:OLEObject Type="Embed" ProgID="Equation.DSMT4" ShapeID="_x0000_i3373" DrawAspect="Content" ObjectID="_1791377317" r:id="rId4731"/>
        </w:object>
      </w:r>
      <w:r w:rsidRPr="003B28FD">
        <w:rPr>
          <w:rFonts w:hint="cs"/>
          <w:i/>
          <w:sz w:val="23"/>
          <w:szCs w:val="23"/>
          <w:rtl/>
        </w:rPr>
        <w:t xml:space="preserve"> داریم،</w:t>
      </w:r>
    </w:p>
    <w:p w14:paraId="7FE7FBE8" w14:textId="77777777" w:rsidR="00411620" w:rsidRPr="003B28FD" w:rsidRDefault="00411620" w:rsidP="00411620">
      <w:pPr>
        <w:bidi w:val="0"/>
        <w:spacing w:line="216" w:lineRule="auto"/>
        <w:rPr>
          <w:i/>
          <w:sz w:val="23"/>
          <w:szCs w:val="23"/>
          <w:rtl/>
        </w:rPr>
      </w:pPr>
      <w:r w:rsidRPr="003B28FD">
        <w:rPr>
          <w:rFonts w:hint="cs"/>
          <w:i/>
          <w:sz w:val="23"/>
          <w:szCs w:val="23"/>
          <w:rtl/>
        </w:rPr>
        <w:t xml:space="preserve"> </w:t>
      </w:r>
      <w:r w:rsidRPr="003B28FD">
        <w:rPr>
          <w:position w:val="-16"/>
        </w:rPr>
        <w:object w:dxaOrig="4400" w:dyaOrig="420" w14:anchorId="45C81E59">
          <v:shape id="_x0000_i3374" type="#_x0000_t75" style="width:220.25pt;height:21.2pt" o:ole="">
            <v:imagedata r:id="rId4732" o:title=""/>
          </v:shape>
          <o:OLEObject Type="Embed" ProgID="Equation.DSMT4" ShapeID="_x0000_i3374" DrawAspect="Content" ObjectID="_1791377318" r:id="rId4733"/>
        </w:object>
      </w:r>
    </w:p>
    <w:p w14:paraId="01B7FB5B" w14:textId="77777777" w:rsidR="00411620" w:rsidRPr="003B28FD" w:rsidRDefault="00411620" w:rsidP="00411620">
      <w:pPr>
        <w:spacing w:line="216" w:lineRule="auto"/>
        <w:rPr>
          <w:i/>
          <w:sz w:val="23"/>
          <w:szCs w:val="23"/>
          <w:rtl/>
        </w:rPr>
      </w:pPr>
      <w:r w:rsidRPr="003B28FD">
        <w:rPr>
          <w:rFonts w:hint="cs"/>
          <w:i/>
          <w:sz w:val="23"/>
          <w:szCs w:val="23"/>
          <w:rtl/>
        </w:rPr>
        <w:t>رابطه فوق یک مدل تعدیل جزئی است. از آن</w:t>
      </w:r>
      <w:r w:rsidRPr="003B28FD">
        <w:rPr>
          <w:i/>
          <w:sz w:val="23"/>
          <w:szCs w:val="23"/>
          <w:rtl/>
        </w:rPr>
        <w:softHyphen/>
      </w:r>
      <w:r w:rsidRPr="003B28FD">
        <w:rPr>
          <w:rFonts w:hint="cs"/>
          <w:i/>
          <w:sz w:val="23"/>
          <w:szCs w:val="23"/>
          <w:rtl/>
        </w:rPr>
        <w:t>جا که داشتیم</w:t>
      </w:r>
    </w:p>
    <w:p w14:paraId="0A328025" w14:textId="77777777" w:rsidR="00411620" w:rsidRPr="003B28FD" w:rsidRDefault="00411620" w:rsidP="00411620">
      <w:pPr>
        <w:spacing w:line="216" w:lineRule="auto"/>
        <w:jc w:val="right"/>
        <w:rPr>
          <w:i/>
          <w:sz w:val="23"/>
          <w:szCs w:val="23"/>
          <w:rtl/>
        </w:rPr>
      </w:pPr>
      <w:r w:rsidRPr="003B28FD">
        <w:rPr>
          <w:rFonts w:hint="cs"/>
          <w:i/>
          <w:sz w:val="23"/>
          <w:szCs w:val="23"/>
          <w:rtl/>
        </w:rPr>
        <w:t xml:space="preserve"> </w:t>
      </w:r>
      <w:r w:rsidRPr="003B28FD">
        <w:rPr>
          <w:position w:val="-28"/>
        </w:rPr>
        <w:object w:dxaOrig="1359" w:dyaOrig="639" w14:anchorId="29410A8F">
          <v:shape id="_x0000_i3375" type="#_x0000_t75" style="width:67.75pt;height:32.05pt" o:ole="">
            <v:imagedata r:id="rId4734" o:title=""/>
          </v:shape>
          <o:OLEObject Type="Embed" ProgID="Equation.DSMT4" ShapeID="_x0000_i3375" DrawAspect="Content" ObjectID="_1791377319" r:id="rId4735"/>
        </w:object>
      </w:r>
      <w:r w:rsidRPr="003B28FD">
        <w:rPr>
          <w:rFonts w:hint="cs"/>
          <w:i/>
          <w:sz w:val="23"/>
          <w:szCs w:val="23"/>
          <w:rtl/>
        </w:rPr>
        <w:t xml:space="preserve"> </w:t>
      </w:r>
    </w:p>
    <w:p w14:paraId="4E6AB3C1" w14:textId="77777777" w:rsidR="00411620" w:rsidRPr="003B28FD" w:rsidRDefault="00411620" w:rsidP="00411620">
      <w:pPr>
        <w:spacing w:line="216" w:lineRule="auto"/>
        <w:rPr>
          <w:i/>
          <w:sz w:val="23"/>
          <w:szCs w:val="23"/>
        </w:rPr>
      </w:pPr>
      <w:r w:rsidRPr="003B28FD">
        <w:rPr>
          <w:rFonts w:hint="cs"/>
          <w:i/>
          <w:sz w:val="23"/>
          <w:szCs w:val="23"/>
          <w:rtl/>
        </w:rPr>
        <w:t>بنابراین در نزدیکی</w:t>
      </w:r>
      <w:r w:rsidRPr="003B28FD">
        <w:rPr>
          <w:i/>
          <w:sz w:val="23"/>
          <w:szCs w:val="23"/>
        </w:rPr>
        <w:t xml:space="preserve"> </w:t>
      </w:r>
      <w:r w:rsidRPr="003B28FD">
        <w:rPr>
          <w:position w:val="-10"/>
        </w:rPr>
        <w:object w:dxaOrig="999" w:dyaOrig="520" w14:anchorId="3F3EDBB4">
          <v:shape id="_x0000_i3376" type="#_x0000_t75" style="width:50.2pt;height:26pt" o:ole="">
            <v:imagedata r:id="rId4736" o:title=""/>
          </v:shape>
          <o:OLEObject Type="Embed" ProgID="Equation.DSMT4" ShapeID="_x0000_i3376" DrawAspect="Content" ObjectID="_1791377320" r:id="rId4737"/>
        </w:object>
      </w:r>
      <w:r w:rsidRPr="003B28FD">
        <w:rPr>
          <w:rFonts w:hint="cs"/>
          <w:i/>
          <w:sz w:val="23"/>
          <w:szCs w:val="23"/>
          <w:rtl/>
        </w:rPr>
        <w:t>خواهیم داشت</w:t>
      </w:r>
    </w:p>
    <w:p w14:paraId="6E7ED94E" w14:textId="77777777" w:rsidR="00411620" w:rsidRPr="003B28FD" w:rsidRDefault="00411620" w:rsidP="00411620">
      <w:pPr>
        <w:spacing w:line="216" w:lineRule="auto"/>
        <w:jc w:val="right"/>
        <w:rPr>
          <w:i/>
          <w:sz w:val="23"/>
          <w:szCs w:val="23"/>
        </w:rPr>
      </w:pPr>
      <w:r w:rsidRPr="003B28FD">
        <w:rPr>
          <w:i/>
          <w:sz w:val="23"/>
          <w:szCs w:val="23"/>
        </w:rPr>
        <w:t xml:space="preserve"> </w:t>
      </w:r>
      <w:r w:rsidRPr="003B28FD">
        <w:rPr>
          <w:position w:val="-28"/>
        </w:rPr>
        <w:object w:dxaOrig="2480" w:dyaOrig="639" w14:anchorId="697F545E">
          <v:shape id="_x0000_i3377" type="#_x0000_t75" style="width:124.05pt;height:32.05pt" o:ole="">
            <v:imagedata r:id="rId4738" o:title=""/>
          </v:shape>
          <o:OLEObject Type="Embed" ProgID="Equation.DSMT4" ShapeID="_x0000_i3377" DrawAspect="Content" ObjectID="_1791377321" r:id="rId4739"/>
        </w:object>
      </w:r>
    </w:p>
    <w:p w14:paraId="13636CF7" w14:textId="77777777" w:rsidR="00411620" w:rsidRPr="003B28FD" w:rsidRDefault="00411620" w:rsidP="00411620">
      <w:pPr>
        <w:spacing w:line="216" w:lineRule="auto"/>
        <w:rPr>
          <w:i/>
          <w:sz w:val="23"/>
          <w:szCs w:val="23"/>
          <w:rtl/>
        </w:rPr>
      </w:pPr>
      <w:r w:rsidRPr="003B28FD">
        <w:rPr>
          <w:rFonts w:hint="cs"/>
          <w:i/>
          <w:sz w:val="23"/>
          <w:szCs w:val="23"/>
          <w:rtl/>
        </w:rPr>
        <w:t xml:space="preserve">و چون </w:t>
      </w:r>
      <w:r w:rsidRPr="003B28FD">
        <w:rPr>
          <w:position w:val="-6"/>
        </w:rPr>
        <w:object w:dxaOrig="859" w:dyaOrig="260" w14:anchorId="54D47B08">
          <v:shape id="_x0000_i3378" type="#_x0000_t75" style="width:42.95pt;height:12.7pt" o:ole="">
            <v:imagedata r:id="rId4740" o:title=""/>
          </v:shape>
          <o:OLEObject Type="Embed" ProgID="Equation.DSMT4" ShapeID="_x0000_i3378" DrawAspect="Content" ObjectID="_1791377322" r:id="rId4741"/>
        </w:object>
      </w:r>
      <w:r w:rsidRPr="003B28FD">
        <w:rPr>
          <w:rFonts w:hint="cs"/>
          <w:i/>
          <w:sz w:val="23"/>
          <w:szCs w:val="23"/>
          <w:rtl/>
        </w:rPr>
        <w:t xml:space="preserve"> است لذا معادله</w:t>
      </w:r>
      <w:r w:rsidRPr="003B28FD">
        <w:rPr>
          <w:i/>
          <w:sz w:val="23"/>
          <w:szCs w:val="23"/>
        </w:rPr>
        <w:softHyphen/>
      </w:r>
      <w:r w:rsidRPr="003B28FD">
        <w:rPr>
          <w:rFonts w:hint="cs"/>
          <w:i/>
          <w:sz w:val="23"/>
          <w:szCs w:val="23"/>
          <w:rtl/>
        </w:rPr>
        <w:t>ی (۶. ۴۳) بصورت محلی</w:t>
      </w:r>
      <w:r w:rsidRPr="003B28FD">
        <w:rPr>
          <w:rStyle w:val="FootnoteReference"/>
          <w:rFonts w:eastAsiaTheme="majorEastAsia"/>
          <w:i/>
          <w:sz w:val="23"/>
          <w:szCs w:val="23"/>
          <w:rtl/>
        </w:rPr>
        <w:footnoteReference w:id="166"/>
      </w:r>
      <w:r w:rsidRPr="003B28FD">
        <w:rPr>
          <w:rFonts w:hint="cs"/>
          <w:i/>
          <w:sz w:val="23"/>
          <w:szCs w:val="23"/>
          <w:rtl/>
        </w:rPr>
        <w:t xml:space="preserve"> باثبات است.</w:t>
      </w:r>
    </w:p>
    <w:p w14:paraId="6857FB4C" w14:textId="77777777" w:rsidR="00411620" w:rsidRPr="003B28FD" w:rsidRDefault="00411620" w:rsidP="00411620">
      <w:pPr>
        <w:spacing w:line="216" w:lineRule="auto"/>
        <w:rPr>
          <w:i/>
          <w:sz w:val="23"/>
          <w:szCs w:val="23"/>
          <w:rtl/>
        </w:rPr>
      </w:pPr>
      <w:r w:rsidRPr="003B28FD">
        <w:rPr>
          <w:rFonts w:hint="cs"/>
          <w:i/>
          <w:sz w:val="23"/>
          <w:szCs w:val="23"/>
          <w:rtl/>
        </w:rPr>
        <w:t>نتایج فوق را می</w:t>
      </w:r>
      <w:r w:rsidRPr="003B28FD">
        <w:rPr>
          <w:i/>
          <w:sz w:val="23"/>
          <w:szCs w:val="23"/>
          <w:rtl/>
        </w:rPr>
        <w:softHyphen/>
      </w:r>
      <w:r w:rsidRPr="003B28FD">
        <w:rPr>
          <w:rFonts w:hint="cs"/>
          <w:i/>
          <w:sz w:val="23"/>
          <w:szCs w:val="23"/>
          <w:rtl/>
        </w:rPr>
        <w:t>توان به صورت نمودار نیز نشان داد. در نمودار ۶. ۱ خط</w:t>
      </w:r>
      <w:r w:rsidRPr="003B28FD">
        <w:rPr>
          <w:position w:val="-6"/>
        </w:rPr>
        <w:object w:dxaOrig="360" w:dyaOrig="300" w14:anchorId="7680B66C">
          <v:shape id="_x0000_i3379" type="#_x0000_t75" style="width:18.15pt;height:14.5pt" o:ole="">
            <v:imagedata r:id="rId4742" o:title=""/>
          </v:shape>
          <o:OLEObject Type="Embed" ProgID="Equation.DSMT4" ShapeID="_x0000_i3379" DrawAspect="Content" ObjectID="_1791377323" r:id="rId4743"/>
        </w:object>
      </w:r>
      <w:r w:rsidRPr="003B28FD">
        <w:rPr>
          <w:rFonts w:hint="cs"/>
          <w:i/>
          <w:sz w:val="23"/>
          <w:szCs w:val="23"/>
          <w:rtl/>
        </w:rPr>
        <w:t xml:space="preserve"> مبین برابری </w:t>
      </w:r>
      <w:r w:rsidRPr="003B28FD">
        <w:rPr>
          <w:position w:val="-10"/>
        </w:rPr>
        <w:object w:dxaOrig="360" w:dyaOrig="320" w14:anchorId="42E3493E">
          <v:shape id="_x0000_i3380" type="#_x0000_t75" style="width:18.15pt;height:16.35pt" o:ole="">
            <v:imagedata r:id="rId4744" o:title=""/>
          </v:shape>
          <o:OLEObject Type="Embed" ProgID="Equation.DSMT4" ShapeID="_x0000_i3380" DrawAspect="Content" ObjectID="_1791377324" r:id="rId4745"/>
        </w:object>
      </w:r>
      <w:r w:rsidRPr="003B28FD">
        <w:rPr>
          <w:rFonts w:hint="cs"/>
          <w:i/>
          <w:sz w:val="23"/>
          <w:szCs w:val="23"/>
          <w:rtl/>
        </w:rPr>
        <w:t xml:space="preserve"> با </w:t>
      </w:r>
      <w:r w:rsidRPr="003B28FD">
        <w:rPr>
          <w:position w:val="-10"/>
        </w:rPr>
        <w:object w:dxaOrig="220" w:dyaOrig="320" w14:anchorId="247D9AAE">
          <v:shape id="_x0000_i3381" type="#_x0000_t75" style="width:10.9pt;height:16.35pt" o:ole="">
            <v:imagedata r:id="rId4746" o:title=""/>
          </v:shape>
          <o:OLEObject Type="Embed" ProgID="Equation.DSMT4" ShapeID="_x0000_i3381" DrawAspect="Content" ObjectID="_1791377325" r:id="rId4747"/>
        </w:object>
      </w:r>
      <w:r w:rsidRPr="003B28FD">
        <w:rPr>
          <w:rFonts w:hint="cs"/>
          <w:i/>
          <w:sz w:val="23"/>
          <w:szCs w:val="23"/>
          <w:rtl/>
        </w:rPr>
        <w:t xml:space="preserve"> است، یعنی </w:t>
      </w:r>
      <w:r w:rsidRPr="003B28FD">
        <w:rPr>
          <w:position w:val="-10"/>
        </w:rPr>
        <w:object w:dxaOrig="859" w:dyaOrig="320" w14:anchorId="01A3BFCF">
          <v:shape id="_x0000_i3382" type="#_x0000_t75" style="width:42.95pt;height:16.35pt" o:ole="">
            <v:imagedata r:id="rId4748" o:title=""/>
          </v:shape>
          <o:OLEObject Type="Embed" ProgID="Equation.DSMT4" ShapeID="_x0000_i3382" DrawAspect="Content" ObjectID="_1791377326" r:id="rId4749"/>
        </w:object>
      </w:r>
      <w:r w:rsidRPr="003B28FD">
        <w:rPr>
          <w:rFonts w:hint="cs"/>
          <w:i/>
          <w:sz w:val="23"/>
          <w:szCs w:val="23"/>
          <w:rtl/>
        </w:rPr>
        <w:t xml:space="preserve"> می</w:t>
      </w:r>
      <w:r w:rsidRPr="003B28FD">
        <w:rPr>
          <w:i/>
          <w:sz w:val="23"/>
          <w:szCs w:val="23"/>
          <w:rtl/>
        </w:rPr>
        <w:softHyphen/>
      </w:r>
      <w:r w:rsidRPr="003B28FD">
        <w:rPr>
          <w:rFonts w:hint="cs"/>
          <w:i/>
          <w:sz w:val="23"/>
          <w:szCs w:val="23"/>
          <w:rtl/>
        </w:rPr>
        <w:t>باشد. از رابطه</w:t>
      </w:r>
      <w:r w:rsidRPr="003B28FD">
        <w:rPr>
          <w:i/>
          <w:sz w:val="23"/>
          <w:szCs w:val="23"/>
          <w:rtl/>
        </w:rPr>
        <w:softHyphen/>
      </w:r>
      <w:r w:rsidRPr="003B28FD">
        <w:rPr>
          <w:rFonts w:hint="cs"/>
          <w:i/>
          <w:sz w:val="23"/>
          <w:szCs w:val="23"/>
          <w:rtl/>
        </w:rPr>
        <w:t>ی (۶ .۴۴ ) داریم</w:t>
      </w:r>
      <w:r w:rsidRPr="003B28FD">
        <w:rPr>
          <w:position w:val="-10"/>
        </w:rPr>
        <w:object w:dxaOrig="940" w:dyaOrig="340" w14:anchorId="02021D54">
          <v:shape id="_x0000_i3383" type="#_x0000_t75" style="width:47.2pt;height:16.95pt" o:ole="">
            <v:imagedata r:id="rId4750" o:title=""/>
          </v:shape>
          <o:OLEObject Type="Embed" ProgID="Equation.DSMT4" ShapeID="_x0000_i3383" DrawAspect="Content" ObjectID="_1791377327" r:id="rId4751"/>
        </w:object>
      </w:r>
      <w:r w:rsidRPr="003B28FD">
        <w:rPr>
          <w:rFonts w:hint="cs"/>
          <w:i/>
          <w:sz w:val="23"/>
          <w:szCs w:val="23"/>
          <w:rtl/>
        </w:rPr>
        <w:t xml:space="preserve"> و از محل</w:t>
      </w:r>
      <w:r w:rsidRPr="003B28FD">
        <w:rPr>
          <w:i/>
          <w:sz w:val="23"/>
          <w:szCs w:val="23"/>
        </w:rPr>
        <w:t xml:space="preserve"> </w:t>
      </w:r>
      <w:r w:rsidRPr="003B28FD">
        <w:rPr>
          <w:rFonts w:hint="cs"/>
          <w:i/>
          <w:sz w:val="23"/>
          <w:szCs w:val="23"/>
          <w:rtl/>
        </w:rPr>
        <w:t xml:space="preserve">برخورد خط </w:t>
      </w:r>
      <w:r w:rsidRPr="003B28FD">
        <w:rPr>
          <w:position w:val="-6"/>
        </w:rPr>
        <w:object w:dxaOrig="360" w:dyaOrig="300" w14:anchorId="262BCAAD">
          <v:shape id="_x0000_i3384" type="#_x0000_t75" style="width:18.15pt;height:14.5pt" o:ole="">
            <v:imagedata r:id="rId4752" o:title=""/>
          </v:shape>
          <o:OLEObject Type="Embed" ProgID="Equation.DSMT4" ShapeID="_x0000_i3384" DrawAspect="Content" ObjectID="_1791377328" r:id="rId4753"/>
        </w:object>
      </w:r>
      <w:r w:rsidRPr="003B28FD">
        <w:rPr>
          <w:rFonts w:hint="cs"/>
          <w:i/>
          <w:sz w:val="23"/>
          <w:szCs w:val="23"/>
          <w:vertAlign w:val="superscript"/>
          <w:rtl/>
        </w:rPr>
        <w:t xml:space="preserve"> </w:t>
      </w:r>
      <w:r w:rsidRPr="003B28FD">
        <w:rPr>
          <w:rFonts w:hint="cs"/>
          <w:i/>
          <w:sz w:val="23"/>
          <w:szCs w:val="23"/>
          <w:rtl/>
        </w:rPr>
        <w:t>با تابع (۶. ۴۴) می</w:t>
      </w:r>
      <w:r w:rsidRPr="003B28FD">
        <w:rPr>
          <w:i/>
          <w:sz w:val="23"/>
          <w:szCs w:val="23"/>
          <w:rtl/>
        </w:rPr>
        <w:softHyphen/>
      </w:r>
      <w:r w:rsidRPr="003B28FD">
        <w:rPr>
          <w:rFonts w:hint="cs"/>
          <w:i/>
          <w:sz w:val="23"/>
          <w:szCs w:val="23"/>
          <w:rtl/>
        </w:rPr>
        <w:t>توان</w:t>
      </w:r>
      <w:r w:rsidRPr="003B28FD">
        <w:rPr>
          <w:position w:val="-6"/>
        </w:rPr>
        <w:object w:dxaOrig="260" w:dyaOrig="300" w14:anchorId="790B25CC">
          <v:shape id="_x0000_i3385" type="#_x0000_t75" style="width:12.7pt;height:14.5pt" o:ole="">
            <v:imagedata r:id="rId4754" o:title=""/>
          </v:shape>
          <o:OLEObject Type="Embed" ProgID="Equation.DSMT4" ShapeID="_x0000_i3385" DrawAspect="Content" ObjectID="_1791377329" r:id="rId4755"/>
        </w:object>
      </w:r>
      <w:r w:rsidRPr="003B28FD">
        <w:rPr>
          <w:rFonts w:hint="cs"/>
          <w:i/>
          <w:sz w:val="23"/>
          <w:szCs w:val="23"/>
          <w:rtl/>
        </w:rPr>
        <w:t xml:space="preserve"> را در نقطه </w:t>
      </w:r>
      <w:r w:rsidRPr="003B28FD">
        <w:rPr>
          <w:i/>
          <w:sz w:val="23"/>
          <w:szCs w:val="23"/>
        </w:rPr>
        <w:t>B</w:t>
      </w:r>
      <w:r w:rsidRPr="003B28FD">
        <w:rPr>
          <w:rFonts w:hint="cs"/>
          <w:i/>
          <w:sz w:val="23"/>
          <w:szCs w:val="23"/>
          <w:rtl/>
        </w:rPr>
        <w:t xml:space="preserve"> بدست آورد. در نقطه </w:t>
      </w:r>
      <w:r w:rsidRPr="003B28FD">
        <w:rPr>
          <w:i/>
          <w:sz w:val="23"/>
          <w:szCs w:val="23"/>
        </w:rPr>
        <w:t>B</w:t>
      </w:r>
      <w:r w:rsidRPr="003B28FD">
        <w:rPr>
          <w:rFonts w:hint="cs"/>
          <w:i/>
          <w:sz w:val="23"/>
          <w:szCs w:val="23"/>
          <w:rtl/>
        </w:rPr>
        <w:t xml:space="preserve"> شیب منحنی کمتر از خط </w:t>
      </w:r>
      <w:r w:rsidRPr="003B28FD">
        <w:rPr>
          <w:position w:val="-6"/>
        </w:rPr>
        <w:object w:dxaOrig="360" w:dyaOrig="300" w14:anchorId="3BB5F796">
          <v:shape id="_x0000_i3386" type="#_x0000_t75" style="width:18.15pt;height:14.5pt" o:ole="">
            <v:imagedata r:id="rId4756" o:title=""/>
          </v:shape>
          <o:OLEObject Type="Embed" ProgID="Equation.DSMT4" ShapeID="_x0000_i3386" DrawAspect="Content" ObjectID="_1791377330" r:id="rId4757"/>
        </w:object>
      </w:r>
      <w:r w:rsidRPr="003B28FD">
        <w:rPr>
          <w:rFonts w:hint="cs"/>
          <w:i/>
          <w:sz w:val="23"/>
          <w:szCs w:val="23"/>
          <w:rtl/>
        </w:rPr>
        <w:t xml:space="preserve"> است و بنابراین</w:t>
      </w:r>
      <w:r w:rsidRPr="003B28FD">
        <w:rPr>
          <w:position w:val="-28"/>
        </w:rPr>
        <w:object w:dxaOrig="1180" w:dyaOrig="639" w14:anchorId="4EE80A16">
          <v:shape id="_x0000_i3387" type="#_x0000_t75" style="width:59.3pt;height:32.05pt" o:ole="">
            <v:imagedata r:id="rId4758" o:title=""/>
          </v:shape>
          <o:OLEObject Type="Embed" ProgID="Equation.DSMT4" ShapeID="_x0000_i3387" DrawAspect="Content" ObjectID="_1791377331" r:id="rId4759"/>
        </w:object>
      </w:r>
      <w:r w:rsidRPr="003B28FD">
        <w:rPr>
          <w:rFonts w:hint="cs"/>
          <w:i/>
          <w:sz w:val="23"/>
          <w:szCs w:val="23"/>
          <w:rtl/>
        </w:rPr>
        <w:t xml:space="preserve"> است و راه حل بلندمدت موجودی سرمایه بطور جهانی</w:t>
      </w:r>
      <w:r w:rsidRPr="003B28FD">
        <w:rPr>
          <w:rStyle w:val="FootnoteReference"/>
          <w:rFonts w:eastAsiaTheme="majorEastAsia"/>
          <w:i/>
          <w:sz w:val="23"/>
          <w:szCs w:val="23"/>
          <w:rtl/>
        </w:rPr>
        <w:footnoteReference w:id="167"/>
      </w:r>
      <w:r w:rsidRPr="003B28FD">
        <w:rPr>
          <w:rFonts w:hint="cs"/>
          <w:i/>
          <w:sz w:val="23"/>
          <w:szCs w:val="23"/>
          <w:rtl/>
        </w:rPr>
        <w:t xml:space="preserve"> باثبات است. نمودار ۶. ۱ تعدیلات جزئی از </w:t>
      </w:r>
      <w:r w:rsidRPr="003B28FD">
        <w:rPr>
          <w:i/>
          <w:sz w:val="23"/>
          <w:szCs w:val="23"/>
        </w:rPr>
        <w:t>A</w:t>
      </w:r>
      <w:r w:rsidRPr="003B28FD">
        <w:rPr>
          <w:rFonts w:hint="cs"/>
          <w:i/>
          <w:sz w:val="23"/>
          <w:szCs w:val="23"/>
          <w:rtl/>
        </w:rPr>
        <w:t xml:space="preserve"> به </w:t>
      </w:r>
      <w:r w:rsidRPr="003B28FD">
        <w:rPr>
          <w:i/>
          <w:sz w:val="23"/>
          <w:szCs w:val="23"/>
        </w:rPr>
        <w:t>B</w:t>
      </w:r>
      <w:r w:rsidRPr="003B28FD">
        <w:rPr>
          <w:rFonts w:hint="cs"/>
          <w:i/>
          <w:sz w:val="23"/>
          <w:szCs w:val="23"/>
          <w:rtl/>
        </w:rPr>
        <w:t xml:space="preserve"> را نشان می</w:t>
      </w:r>
      <w:r w:rsidRPr="003B28FD">
        <w:rPr>
          <w:rFonts w:hint="cs"/>
          <w:i/>
          <w:sz w:val="23"/>
          <w:szCs w:val="23"/>
          <w:rtl/>
        </w:rPr>
        <w:softHyphen/>
        <w:t>دهد که در آن افزایش دائمی</w:t>
      </w:r>
      <w:r w:rsidRPr="003B28FD">
        <w:rPr>
          <w:position w:val="-6"/>
        </w:rPr>
        <w:object w:dxaOrig="200" w:dyaOrig="260" w14:anchorId="36D7CA9B">
          <v:shape id="_x0000_i3388" type="#_x0000_t75" style="width:10.3pt;height:12.7pt" o:ole="">
            <v:imagedata r:id="rId4760" o:title=""/>
          </v:shape>
          <o:OLEObject Type="Embed" ProgID="Equation.DSMT4" ShapeID="_x0000_i3388" DrawAspect="Content" ObjectID="_1791377332" r:id="rId4761"/>
        </w:object>
      </w:r>
      <w:r w:rsidRPr="003B28FD">
        <w:rPr>
          <w:rFonts w:hint="cs"/>
          <w:i/>
          <w:sz w:val="23"/>
          <w:szCs w:val="23"/>
          <w:rtl/>
        </w:rPr>
        <w:t xml:space="preserve"> به سمت</w:t>
      </w:r>
      <w:r w:rsidRPr="003B28FD">
        <w:rPr>
          <w:position w:val="-6"/>
        </w:rPr>
        <w:object w:dxaOrig="260" w:dyaOrig="300" w14:anchorId="0F846345">
          <v:shape id="_x0000_i3389" type="#_x0000_t75" style="width:12.7pt;height:14.5pt" o:ole="">
            <v:imagedata r:id="rId4762" o:title=""/>
          </v:shape>
          <o:OLEObject Type="Embed" ProgID="Equation.DSMT4" ShapeID="_x0000_i3389" DrawAspect="Content" ObjectID="_1791377333" r:id="rId4763"/>
        </w:object>
      </w:r>
      <w:r w:rsidRPr="003B28FD">
        <w:rPr>
          <w:rFonts w:hint="cs"/>
          <w:i/>
          <w:sz w:val="23"/>
          <w:szCs w:val="23"/>
          <w:rtl/>
        </w:rPr>
        <w:t xml:space="preserve"> قطعی است. </w:t>
      </w:r>
    </w:p>
    <w:p w14:paraId="12507BF6" w14:textId="77777777" w:rsidR="00411620" w:rsidRPr="003B28FD" w:rsidRDefault="00411620" w:rsidP="00411620">
      <w:pPr>
        <w:spacing w:line="216" w:lineRule="auto"/>
        <w:rPr>
          <w:i/>
          <w:sz w:val="23"/>
          <w:szCs w:val="23"/>
          <w:rtl/>
        </w:rPr>
      </w:pPr>
      <w:r w:rsidRPr="003B28FD">
        <w:rPr>
          <w:rFonts w:hint="cs"/>
          <w:i/>
          <w:sz w:val="23"/>
          <w:szCs w:val="23"/>
          <w:rtl/>
        </w:rPr>
        <w:t>از رابطه (۶. ۴۲) داریم</w:t>
      </w:r>
      <w:r w:rsidRPr="003B28FD">
        <w:rPr>
          <w:position w:val="-28"/>
        </w:rPr>
        <w:object w:dxaOrig="1860" w:dyaOrig="780" w14:anchorId="64E10211">
          <v:shape id="_x0000_i3390" type="#_x0000_t75" style="width:93.2pt;height:39.35pt" o:ole="">
            <v:imagedata r:id="rId4764" o:title=""/>
          </v:shape>
          <o:OLEObject Type="Embed" ProgID="Equation.DSMT4" ShapeID="_x0000_i3390" DrawAspect="Content" ObjectID="_1791377334" r:id="rId4765"/>
        </w:object>
      </w:r>
      <w:r w:rsidRPr="003B28FD">
        <w:rPr>
          <w:rFonts w:hint="cs"/>
          <w:i/>
          <w:sz w:val="23"/>
          <w:szCs w:val="23"/>
          <w:rtl/>
        </w:rPr>
        <w:t xml:space="preserve">، لذا در بلندمدت خواهیم داشت </w:t>
      </w:r>
    </w:p>
    <w:p w14:paraId="34B04EAE" w14:textId="77777777" w:rsidR="00411620" w:rsidRPr="003B28FD" w:rsidRDefault="00411620" w:rsidP="00411620">
      <w:pPr>
        <w:bidi w:val="0"/>
        <w:spacing w:line="216" w:lineRule="auto"/>
        <w:rPr>
          <w:i/>
          <w:sz w:val="23"/>
          <w:szCs w:val="23"/>
          <w:rtl/>
        </w:rPr>
      </w:pPr>
      <w:r w:rsidRPr="003B28FD">
        <w:rPr>
          <w:position w:val="-22"/>
        </w:rPr>
        <w:object w:dxaOrig="1160" w:dyaOrig="600" w14:anchorId="27192244">
          <v:shape id="_x0000_i3391" type="#_x0000_t75" style="width:58.1pt;height:29.65pt" o:ole="">
            <v:imagedata r:id="rId4766" o:title=""/>
          </v:shape>
          <o:OLEObject Type="Embed" ProgID="Equation.DSMT4" ShapeID="_x0000_i3391" DrawAspect="Content" ObjectID="_1791377335" r:id="rId4767"/>
        </w:object>
      </w:r>
    </w:p>
    <w:p w14:paraId="6AC73988" w14:textId="77777777" w:rsidR="00411620" w:rsidRPr="003B28FD" w:rsidRDefault="00411620" w:rsidP="00411620">
      <w:pPr>
        <w:spacing w:line="216" w:lineRule="auto"/>
        <w:rPr>
          <w:i/>
          <w:sz w:val="23"/>
          <w:szCs w:val="23"/>
        </w:rPr>
      </w:pPr>
      <w:r w:rsidRPr="003B28FD">
        <w:rPr>
          <w:rFonts w:hint="cs"/>
          <w:i/>
          <w:sz w:val="23"/>
          <w:szCs w:val="23"/>
          <w:rtl/>
        </w:rPr>
        <w:t>و از رابطه</w:t>
      </w:r>
      <w:r w:rsidRPr="003B28FD">
        <w:rPr>
          <w:i/>
          <w:sz w:val="23"/>
          <w:szCs w:val="23"/>
          <w:rtl/>
        </w:rPr>
        <w:softHyphen/>
      </w:r>
      <w:r w:rsidRPr="003B28FD">
        <w:rPr>
          <w:rFonts w:hint="cs"/>
          <w:i/>
          <w:sz w:val="23"/>
          <w:szCs w:val="23"/>
          <w:rtl/>
        </w:rPr>
        <w:t xml:space="preserve">ی (۶. ۳۵) داریم </w:t>
      </w:r>
      <w:r w:rsidRPr="003B28FD">
        <w:rPr>
          <w:position w:val="-16"/>
        </w:rPr>
        <w:object w:dxaOrig="1920" w:dyaOrig="420" w14:anchorId="0A444740">
          <v:shape id="_x0000_i3392" type="#_x0000_t75" style="width:96.2pt;height:21.2pt" o:ole="">
            <v:imagedata r:id="rId4768" o:title=""/>
          </v:shape>
          <o:OLEObject Type="Embed" ProgID="Equation.DSMT4" ShapeID="_x0000_i3392" DrawAspect="Content" ObjectID="_1791377336" r:id="rId4769"/>
        </w:object>
      </w:r>
      <w:r w:rsidRPr="003B28FD">
        <w:rPr>
          <w:rFonts w:hint="cs"/>
          <w:i/>
          <w:sz w:val="23"/>
          <w:szCs w:val="23"/>
          <w:rtl/>
        </w:rPr>
        <w:t>، لذا</w:t>
      </w:r>
    </w:p>
    <w:p w14:paraId="77F70BD1" w14:textId="77777777" w:rsidR="00411620" w:rsidRPr="003B28FD" w:rsidRDefault="00411620" w:rsidP="00411620">
      <w:pPr>
        <w:pStyle w:val="MTDisplayEquation"/>
        <w:spacing w:line="216" w:lineRule="auto"/>
        <w:rPr>
          <w:rFonts w:ascii="Times New Roman" w:eastAsia="Times New Roman" w:hAnsi="Times New Roman" w:cs="B Nazanin"/>
          <w:i/>
          <w:sz w:val="23"/>
          <w:szCs w:val="23"/>
        </w:rPr>
      </w:pPr>
      <w:r w:rsidRPr="003B28FD">
        <w:rPr>
          <w:position w:val="-22"/>
        </w:rPr>
        <w:object w:dxaOrig="3360" w:dyaOrig="560" w14:anchorId="786E0CBB">
          <v:shape id="_x0000_i3393" type="#_x0000_t75" style="width:167.6pt;height:27.85pt" o:ole="">
            <v:imagedata r:id="rId4770" o:title=""/>
          </v:shape>
          <o:OLEObject Type="Embed" ProgID="Equation.DSMT4" ShapeID="_x0000_i3393" DrawAspect="Content" ObjectID="_1791377337" r:id="rId4771"/>
        </w:object>
      </w:r>
    </w:p>
    <w:p w14:paraId="5B8D430A" w14:textId="77777777" w:rsidR="00411620" w:rsidRPr="003B28FD" w:rsidRDefault="00411620" w:rsidP="00411620">
      <w:pPr>
        <w:spacing w:line="216" w:lineRule="auto"/>
        <w:rPr>
          <w:i/>
          <w:sz w:val="23"/>
          <w:szCs w:val="23"/>
        </w:rPr>
      </w:pPr>
      <w:r w:rsidRPr="003B28FD">
        <w:rPr>
          <w:rFonts w:hint="cs"/>
          <w:i/>
          <w:sz w:val="23"/>
          <w:szCs w:val="23"/>
          <w:rtl/>
        </w:rPr>
        <w:t>همچنین از رابطه</w:t>
      </w:r>
      <w:r w:rsidRPr="003B28FD">
        <w:rPr>
          <w:i/>
          <w:sz w:val="23"/>
          <w:szCs w:val="23"/>
          <w:rtl/>
        </w:rPr>
        <w:softHyphen/>
      </w:r>
      <w:r w:rsidRPr="003B28FD">
        <w:rPr>
          <w:rFonts w:hint="cs"/>
          <w:i/>
          <w:sz w:val="23"/>
          <w:szCs w:val="23"/>
          <w:rtl/>
        </w:rPr>
        <w:t>ی</w:t>
      </w:r>
      <w:r w:rsidRPr="003B28FD">
        <w:rPr>
          <w:i/>
          <w:sz w:val="23"/>
          <w:szCs w:val="23"/>
        </w:rPr>
        <w:t xml:space="preserve"> </w:t>
      </w:r>
      <w:r w:rsidRPr="003B28FD">
        <w:rPr>
          <w:rFonts w:hint="cs"/>
          <w:i/>
          <w:sz w:val="23"/>
          <w:szCs w:val="23"/>
          <w:rtl/>
        </w:rPr>
        <w:t>(۶. ۳۴) داشتیم</w:t>
      </w:r>
    </w:p>
    <w:p w14:paraId="5551C90C" w14:textId="77777777" w:rsidR="00411620" w:rsidRPr="003B28FD" w:rsidRDefault="00411620" w:rsidP="00411620">
      <w:pPr>
        <w:pStyle w:val="MTDisplayEquation"/>
        <w:spacing w:line="216" w:lineRule="auto"/>
        <w:rPr>
          <w:rFonts w:ascii="Times New Roman" w:eastAsia="Times New Roman" w:hAnsi="Times New Roman" w:cs="B Nazanin"/>
          <w:i/>
          <w:sz w:val="23"/>
          <w:szCs w:val="23"/>
        </w:rPr>
      </w:pPr>
      <w:r w:rsidRPr="003B28FD">
        <w:rPr>
          <w:position w:val="-22"/>
        </w:rPr>
        <w:object w:dxaOrig="3420" w:dyaOrig="560" w14:anchorId="30EB61C3">
          <v:shape id="_x0000_i3394" type="#_x0000_t75" style="width:171.25pt;height:27.85pt" o:ole="">
            <v:imagedata r:id="rId4772" o:title=""/>
          </v:shape>
          <o:OLEObject Type="Embed" ProgID="Equation.DSMT4" ShapeID="_x0000_i3394" DrawAspect="Content" ObjectID="_1791377338" r:id="rId4773"/>
        </w:object>
      </w:r>
    </w:p>
    <w:p w14:paraId="3D9AB936" w14:textId="77777777" w:rsidR="00411620" w:rsidRPr="003B28FD" w:rsidRDefault="00411620" w:rsidP="00411620">
      <w:pPr>
        <w:spacing w:line="216" w:lineRule="auto"/>
        <w:rPr>
          <w:i/>
          <w:sz w:val="23"/>
          <w:szCs w:val="23"/>
        </w:rPr>
      </w:pPr>
      <w:r w:rsidRPr="003B28FD">
        <w:rPr>
          <w:rFonts w:hint="cs"/>
          <w:i/>
          <w:sz w:val="23"/>
          <w:szCs w:val="23"/>
          <w:rtl/>
        </w:rPr>
        <w:t xml:space="preserve">و برای </w:t>
      </w:r>
      <w:r w:rsidRPr="003B28FD">
        <w:rPr>
          <w:position w:val="-10"/>
        </w:rPr>
        <w:object w:dxaOrig="240" w:dyaOrig="340" w14:anchorId="51124B2F">
          <v:shape id="_x0000_i3395" type="#_x0000_t75" style="width:11.5pt;height:16.95pt" o:ole="">
            <v:imagedata r:id="rId4774" o:title=""/>
          </v:shape>
          <o:OLEObject Type="Embed" ProgID="Equation.DSMT4" ShapeID="_x0000_i3395" DrawAspect="Content" ObjectID="_1791377339" r:id="rId4775"/>
        </w:object>
      </w:r>
      <w:r w:rsidRPr="003B28FD">
        <w:rPr>
          <w:rFonts w:hint="cs"/>
          <w:i/>
          <w:sz w:val="23"/>
          <w:szCs w:val="23"/>
          <w:rtl/>
        </w:rPr>
        <w:t xml:space="preserve"> داریم</w:t>
      </w:r>
    </w:p>
    <w:p w14:paraId="73C01D03" w14:textId="77777777" w:rsidR="00411620" w:rsidRPr="003B28FD" w:rsidRDefault="00411620" w:rsidP="00411620">
      <w:pPr>
        <w:bidi w:val="0"/>
        <w:spacing w:line="216" w:lineRule="auto"/>
        <w:rPr>
          <w:i/>
          <w:sz w:val="23"/>
          <w:szCs w:val="23"/>
        </w:rPr>
      </w:pPr>
      <w:r w:rsidRPr="003B28FD">
        <w:rPr>
          <w:rFonts w:hint="cs"/>
          <w:i/>
          <w:sz w:val="23"/>
          <w:szCs w:val="23"/>
          <w:rtl/>
        </w:rPr>
        <w:t xml:space="preserve"> </w:t>
      </w:r>
      <w:r w:rsidRPr="003B28FD">
        <w:rPr>
          <w:position w:val="-22"/>
        </w:rPr>
        <w:object w:dxaOrig="3700" w:dyaOrig="600" w14:anchorId="45DB1FA4">
          <v:shape id="_x0000_i3396" type="#_x0000_t75" style="width:184.55pt;height:29.65pt" o:ole="">
            <v:imagedata r:id="rId4776" o:title=""/>
          </v:shape>
          <o:OLEObject Type="Embed" ProgID="Equation.DSMT4" ShapeID="_x0000_i3396" DrawAspect="Content" ObjectID="_1791377340" r:id="rId4777"/>
        </w:object>
      </w:r>
    </w:p>
    <w:p w14:paraId="2C25F879" w14:textId="77777777" w:rsidR="00411620" w:rsidRPr="003B28FD" w:rsidRDefault="00411620" w:rsidP="00411620">
      <w:pPr>
        <w:spacing w:line="216" w:lineRule="auto"/>
        <w:rPr>
          <w:i/>
          <w:sz w:val="23"/>
          <w:szCs w:val="23"/>
          <w:rtl/>
        </w:rPr>
      </w:pPr>
      <w:r w:rsidRPr="003B28FD">
        <w:rPr>
          <w:rFonts w:hint="cs"/>
          <w:i/>
          <w:sz w:val="23"/>
          <w:szCs w:val="23"/>
          <w:rtl/>
        </w:rPr>
        <w:t>که در آن اندیس * یعنی مقادیر تعادلی متغیر در بلندمدت. بنابراین</w:t>
      </w:r>
    </w:p>
    <w:p w14:paraId="47BA0183" w14:textId="77777777" w:rsidR="00411620" w:rsidRPr="003B28FD" w:rsidRDefault="00411620" w:rsidP="00411620">
      <w:pPr>
        <w:bidi w:val="0"/>
        <w:spacing w:line="216" w:lineRule="auto"/>
        <w:rPr>
          <w:i/>
          <w:sz w:val="23"/>
          <w:szCs w:val="23"/>
          <w:rtl/>
        </w:rPr>
      </w:pPr>
      <w:r w:rsidRPr="003B28FD">
        <w:rPr>
          <w:rFonts w:hint="cs"/>
          <w:i/>
          <w:sz w:val="23"/>
          <w:szCs w:val="23"/>
          <w:rtl/>
        </w:rPr>
        <w:t xml:space="preserve"> </w:t>
      </w:r>
      <w:r w:rsidRPr="003B28FD">
        <w:rPr>
          <w:position w:val="-22"/>
        </w:rPr>
        <w:object w:dxaOrig="3540" w:dyaOrig="600" w14:anchorId="0259C10E">
          <v:shape id="_x0000_i3397" type="#_x0000_t75" style="width:177.3pt;height:29.65pt" o:ole="">
            <v:imagedata r:id="rId4778" o:title=""/>
          </v:shape>
          <o:OLEObject Type="Embed" ProgID="Equation.DSMT4" ShapeID="_x0000_i3397" DrawAspect="Content" ObjectID="_1791377341" r:id="rId4779"/>
        </w:object>
      </w:r>
    </w:p>
    <w:p w14:paraId="45D8EA56" w14:textId="77777777" w:rsidR="00411620" w:rsidRPr="003B28FD" w:rsidRDefault="00411620" w:rsidP="00411620">
      <w:pPr>
        <w:spacing w:line="216" w:lineRule="auto"/>
        <w:rPr>
          <w:i/>
          <w:sz w:val="23"/>
          <w:szCs w:val="23"/>
          <w:rtl/>
        </w:rPr>
      </w:pPr>
      <w:r w:rsidRPr="003B28FD">
        <w:rPr>
          <w:rFonts w:hint="cs"/>
          <w:i/>
          <w:sz w:val="23"/>
          <w:szCs w:val="23"/>
          <w:rtl/>
        </w:rPr>
        <w:t xml:space="preserve">اگر </w:t>
      </w:r>
      <w:r w:rsidRPr="003B28FD">
        <w:rPr>
          <w:position w:val="-6"/>
        </w:rPr>
        <w:object w:dxaOrig="600" w:dyaOrig="300" w14:anchorId="484FEDD5">
          <v:shape id="_x0000_i3398" type="#_x0000_t75" style="width:29.65pt;height:14.5pt" o:ole="">
            <v:imagedata r:id="rId4780" o:title=""/>
          </v:shape>
          <o:OLEObject Type="Embed" ProgID="Equation.DSMT4" ShapeID="_x0000_i3398" DrawAspect="Content" ObjectID="_1791377342" r:id="rId4781"/>
        </w:object>
      </w:r>
      <w:r w:rsidRPr="003B28FD">
        <w:rPr>
          <w:rFonts w:hint="cs"/>
          <w:i/>
          <w:sz w:val="23"/>
          <w:szCs w:val="23"/>
          <w:rtl/>
        </w:rPr>
        <w:t xml:space="preserve"> باشد،</w:t>
      </w:r>
      <w:r w:rsidRPr="003B28FD">
        <w:rPr>
          <w:i/>
          <w:sz w:val="23"/>
          <w:szCs w:val="23"/>
        </w:rPr>
        <w:t xml:space="preserve"> </w:t>
      </w:r>
      <w:r w:rsidRPr="003B28FD">
        <w:rPr>
          <w:rFonts w:hint="cs"/>
          <w:i/>
          <w:sz w:val="23"/>
          <w:szCs w:val="23"/>
          <w:rtl/>
        </w:rPr>
        <w:t xml:space="preserve">آنگاه </w:t>
      </w:r>
      <w:r w:rsidRPr="003B28FD">
        <w:rPr>
          <w:position w:val="-10"/>
        </w:rPr>
        <w:object w:dxaOrig="639" w:dyaOrig="340" w14:anchorId="3D63E39E">
          <v:shape id="_x0000_i3399" type="#_x0000_t75" style="width:32.05pt;height:16.95pt" o:ole="">
            <v:imagedata r:id="rId4782" o:title=""/>
          </v:shape>
          <o:OLEObject Type="Embed" ProgID="Equation.DSMT4" ShapeID="_x0000_i3399" DrawAspect="Content" ObjectID="_1791377343" r:id="rId4783"/>
        </w:object>
      </w:r>
      <w:r w:rsidRPr="003B28FD">
        <w:rPr>
          <w:rFonts w:hint="cs"/>
          <w:i/>
          <w:sz w:val="23"/>
          <w:szCs w:val="23"/>
          <w:rtl/>
        </w:rPr>
        <w:t xml:space="preserve"> خواهد بود.</w:t>
      </w:r>
    </w:p>
    <w:p w14:paraId="2DA2C6BA" w14:textId="77777777" w:rsidR="00411620" w:rsidRPr="003B28FD" w:rsidRDefault="00411620" w:rsidP="00411620">
      <w:pPr>
        <w:spacing w:line="216" w:lineRule="auto"/>
        <w:rPr>
          <w:i/>
          <w:sz w:val="23"/>
          <w:szCs w:val="23"/>
          <w:rtl/>
        </w:rPr>
      </w:pPr>
      <w:r w:rsidRPr="003B28FD">
        <w:rPr>
          <w:rFonts w:hint="cs"/>
          <w:i/>
          <w:sz w:val="23"/>
          <w:szCs w:val="23"/>
          <w:rtl/>
        </w:rPr>
        <w:t>در یک راه حل عمومی</w:t>
      </w:r>
      <w:r w:rsidRPr="003B28FD">
        <w:rPr>
          <w:i/>
          <w:sz w:val="23"/>
          <w:szCs w:val="23"/>
          <w:rtl/>
        </w:rPr>
        <w:softHyphen/>
      </w:r>
      <w:r w:rsidRPr="003B28FD">
        <w:rPr>
          <w:rFonts w:hint="cs"/>
          <w:i/>
          <w:sz w:val="23"/>
          <w:szCs w:val="23"/>
          <w:rtl/>
        </w:rPr>
        <w:t>تر که فرض می</w:t>
      </w:r>
      <w:r w:rsidRPr="003B28FD">
        <w:rPr>
          <w:i/>
          <w:sz w:val="23"/>
          <w:szCs w:val="23"/>
          <w:rtl/>
        </w:rPr>
        <w:softHyphen/>
      </w:r>
      <w:r w:rsidRPr="003B28FD">
        <w:rPr>
          <w:rFonts w:hint="cs"/>
          <w:i/>
          <w:sz w:val="23"/>
          <w:szCs w:val="23"/>
          <w:rtl/>
        </w:rPr>
        <w:t>کند مطلوبیت لگاریتمی نیست، با انحراف بیشتر</w:t>
      </w:r>
      <w:r w:rsidRPr="003B28FD">
        <w:rPr>
          <w:position w:val="-6"/>
        </w:rPr>
        <w:object w:dxaOrig="220" w:dyaOrig="200" w14:anchorId="3C1FE9B5">
          <v:shape id="_x0000_i3400" type="#_x0000_t75" style="width:10.9pt;height:10.3pt" o:ole="">
            <v:imagedata r:id="rId4784" o:title=""/>
          </v:shape>
          <o:OLEObject Type="Embed" ProgID="Equation.DSMT4" ShapeID="_x0000_i3400" DrawAspect="Content" ObjectID="_1791377344" r:id="rId4785"/>
        </w:object>
      </w:r>
      <w:r w:rsidRPr="003B28FD">
        <w:rPr>
          <w:rFonts w:hint="cs"/>
          <w:i/>
          <w:sz w:val="23"/>
          <w:szCs w:val="23"/>
          <w:rtl/>
        </w:rPr>
        <w:t xml:space="preserve"> از یک، برای</w:t>
      </w:r>
      <w:r w:rsidRPr="003B28FD">
        <w:rPr>
          <w:position w:val="-10"/>
        </w:rPr>
        <w:object w:dxaOrig="680" w:dyaOrig="320" w14:anchorId="2F559F45">
          <v:shape id="_x0000_i3401" type="#_x0000_t75" style="width:33.9pt;height:16.35pt" o:ole="">
            <v:imagedata r:id="rId4786" o:title=""/>
          </v:shape>
          <o:OLEObject Type="Embed" ProgID="Equation.DSMT4" ShapeID="_x0000_i3401" DrawAspect="Content" ObjectID="_1791377345" r:id="rId4787"/>
        </w:object>
      </w:r>
      <w:r w:rsidRPr="003B28FD">
        <w:rPr>
          <w:rFonts w:hint="cs"/>
          <w:i/>
          <w:sz w:val="23"/>
          <w:szCs w:val="23"/>
          <w:rtl/>
        </w:rPr>
        <w:t xml:space="preserve"> مقدار تعادلی بلندمدت موجودی سرمایه یعنی</w:t>
      </w:r>
      <w:r w:rsidRPr="003B28FD">
        <w:rPr>
          <w:position w:val="-6"/>
        </w:rPr>
        <w:object w:dxaOrig="260" w:dyaOrig="300" w14:anchorId="02CBDDBB">
          <v:shape id="_x0000_i3402" type="#_x0000_t75" style="width:12.7pt;height:14.5pt" o:ole="">
            <v:imagedata r:id="rId4788" o:title=""/>
          </v:shape>
          <o:OLEObject Type="Embed" ProgID="Equation.DSMT4" ShapeID="_x0000_i3402" DrawAspect="Content" ObjectID="_1791377346" r:id="rId4789"/>
        </w:object>
      </w:r>
      <w:r w:rsidRPr="003B28FD">
        <w:rPr>
          <w:rFonts w:hint="cs"/>
          <w:i/>
          <w:sz w:val="23"/>
          <w:szCs w:val="23"/>
          <w:rtl/>
        </w:rPr>
        <w:t xml:space="preserve"> کمتر خواهد شد. همچنین با افزایش</w:t>
      </w:r>
      <w:r w:rsidRPr="003B28FD">
        <w:rPr>
          <w:position w:val="-6"/>
        </w:rPr>
        <w:object w:dxaOrig="200" w:dyaOrig="200" w14:anchorId="6206033B">
          <v:shape id="_x0000_i3403" type="#_x0000_t75" style="width:10.3pt;height:10.3pt" o:ole="">
            <v:imagedata r:id="rId4790" o:title=""/>
          </v:shape>
          <o:OLEObject Type="Embed" ProgID="Equation.DSMT4" ShapeID="_x0000_i3403" DrawAspect="Content" ObjectID="_1791377347" r:id="rId4791"/>
        </w:object>
      </w:r>
      <w:r w:rsidRPr="003B28FD">
        <w:rPr>
          <w:rFonts w:hint="cs"/>
          <w:i/>
          <w:sz w:val="23"/>
          <w:szCs w:val="23"/>
          <w:rtl/>
        </w:rPr>
        <w:t xml:space="preserve"> نیز</w:t>
      </w:r>
      <w:r w:rsidRPr="003B28FD">
        <w:rPr>
          <w:i/>
          <w:sz w:val="23"/>
          <w:szCs w:val="23"/>
        </w:rPr>
        <w:t xml:space="preserve"> </w:t>
      </w:r>
      <w:r w:rsidRPr="003B28FD">
        <w:rPr>
          <w:position w:val="-6"/>
        </w:rPr>
        <w:object w:dxaOrig="260" w:dyaOrig="300" w14:anchorId="1BB6E666">
          <v:shape id="_x0000_i3404" type="#_x0000_t75" style="width:12.7pt;height:14.5pt" o:ole="">
            <v:imagedata r:id="rId4792" o:title=""/>
          </v:shape>
          <o:OLEObject Type="Embed" ProgID="Equation.DSMT4" ShapeID="_x0000_i3404" DrawAspect="Content" ObjectID="_1791377348" r:id="rId4793"/>
        </w:object>
      </w:r>
      <w:r w:rsidRPr="003B28FD">
        <w:rPr>
          <w:rFonts w:hint="cs"/>
          <w:i/>
          <w:sz w:val="23"/>
          <w:szCs w:val="23"/>
          <w:rtl/>
        </w:rPr>
        <w:t xml:space="preserve">کمتر خواهد شد. اگرچه </w:t>
      </w:r>
      <w:r w:rsidRPr="003B28FD">
        <w:rPr>
          <w:position w:val="-6"/>
        </w:rPr>
        <w:object w:dxaOrig="200" w:dyaOrig="200" w14:anchorId="52B19A1D">
          <v:shape id="_x0000_i3405" type="#_x0000_t75" style="width:10.3pt;height:10.3pt" o:ole="">
            <v:imagedata r:id="rId4794" o:title=""/>
          </v:shape>
          <o:OLEObject Type="Embed" ProgID="Equation.DSMT4" ShapeID="_x0000_i3405" DrawAspect="Content" ObjectID="_1791377349" r:id="rId4795"/>
        </w:object>
      </w:r>
      <w:r w:rsidRPr="003B28FD">
        <w:rPr>
          <w:rFonts w:hint="cs"/>
          <w:i/>
          <w:sz w:val="23"/>
          <w:szCs w:val="23"/>
          <w:rtl/>
        </w:rPr>
        <w:t xml:space="preserve"> برابر است با نرخ رشد جمعیت جوان، می</w:t>
      </w:r>
      <w:r w:rsidRPr="003B28FD">
        <w:rPr>
          <w:i/>
          <w:sz w:val="23"/>
          <w:szCs w:val="23"/>
          <w:rtl/>
        </w:rPr>
        <w:softHyphen/>
      </w:r>
      <w:r w:rsidRPr="003B28FD">
        <w:rPr>
          <w:rFonts w:hint="cs"/>
          <w:i/>
          <w:sz w:val="23"/>
          <w:szCs w:val="23"/>
          <w:rtl/>
        </w:rPr>
        <w:t>توان آن را نرخ رشد بهره</w:t>
      </w:r>
      <w:r w:rsidRPr="003B28FD">
        <w:rPr>
          <w:i/>
          <w:sz w:val="23"/>
          <w:szCs w:val="23"/>
          <w:rtl/>
        </w:rPr>
        <w:softHyphen/>
      </w:r>
      <w:r w:rsidRPr="003B28FD">
        <w:rPr>
          <w:rFonts w:hint="cs"/>
          <w:i/>
          <w:sz w:val="23"/>
          <w:szCs w:val="23"/>
          <w:rtl/>
        </w:rPr>
        <w:t>وری نیروی کار مثلا بواسطه</w:t>
      </w:r>
      <w:r w:rsidRPr="003B28FD">
        <w:rPr>
          <w:i/>
          <w:sz w:val="23"/>
          <w:szCs w:val="23"/>
          <w:rtl/>
        </w:rPr>
        <w:softHyphen/>
      </w:r>
      <w:r w:rsidRPr="003B28FD">
        <w:rPr>
          <w:rFonts w:hint="cs"/>
          <w:i/>
          <w:sz w:val="23"/>
          <w:szCs w:val="23"/>
          <w:rtl/>
        </w:rPr>
        <w:t>ی پیشرفت دانش تلقی نمود. در این صورت</w:t>
      </w:r>
      <w:r w:rsidRPr="003B28FD">
        <w:rPr>
          <w:position w:val="-10"/>
        </w:rPr>
        <w:object w:dxaOrig="320" w:dyaOrig="320" w14:anchorId="02723A2F">
          <v:shape id="_x0000_i3406" type="#_x0000_t75" style="width:16.35pt;height:16.35pt" o:ole="">
            <v:imagedata r:id="rId4796" o:title=""/>
          </v:shape>
          <o:OLEObject Type="Embed" ProgID="Equation.DSMT4" ShapeID="_x0000_i3406" DrawAspect="Content" ObjectID="_1791377350" r:id="rId4797"/>
        </w:object>
      </w:r>
      <w:r w:rsidRPr="003B28FD">
        <w:rPr>
          <w:rFonts w:hint="cs"/>
          <w:i/>
          <w:sz w:val="23"/>
          <w:szCs w:val="23"/>
          <w:rtl/>
        </w:rPr>
        <w:t xml:space="preserve"> نیروی کار مؤثر، و مصرف و موجودی سرمایه به ازای هر واحد نیروی کار مؤثر اندازه</w:t>
      </w:r>
      <w:r w:rsidRPr="003B28FD">
        <w:rPr>
          <w:i/>
          <w:sz w:val="23"/>
          <w:szCs w:val="23"/>
          <w:rtl/>
        </w:rPr>
        <w:softHyphen/>
      </w:r>
      <w:r w:rsidRPr="003B28FD">
        <w:rPr>
          <w:rFonts w:hint="cs"/>
          <w:i/>
          <w:sz w:val="23"/>
          <w:szCs w:val="23"/>
          <w:rtl/>
        </w:rPr>
        <w:t xml:space="preserve">گیری خواهد شد. </w:t>
      </w:r>
    </w:p>
    <w:p w14:paraId="58AE8D1C" w14:textId="77777777" w:rsidR="00411620" w:rsidRPr="003B28FD" w:rsidRDefault="00411620" w:rsidP="00411620">
      <w:pPr>
        <w:spacing w:line="216" w:lineRule="auto"/>
        <w:rPr>
          <w:i/>
          <w:sz w:val="23"/>
          <w:szCs w:val="23"/>
          <w:rtl/>
        </w:rPr>
      </w:pPr>
    </w:p>
    <w:p w14:paraId="3B684636" w14:textId="77777777" w:rsidR="00411620" w:rsidRPr="003B28FD" w:rsidRDefault="00411620" w:rsidP="00411620">
      <w:pPr>
        <w:pStyle w:val="Heading1"/>
        <w:spacing w:before="0" w:after="0" w:line="216" w:lineRule="auto"/>
        <w:rPr>
          <w:rFonts w:ascii="Times New Roman" w:hAnsi="Times New Roman" w:cs="B Nazanin"/>
          <w:b w:val="0"/>
          <w:i/>
          <w:sz w:val="23"/>
          <w:szCs w:val="23"/>
          <w:rtl/>
        </w:rPr>
      </w:pPr>
      <w:r w:rsidRPr="003B28FD">
        <w:rPr>
          <w:rFonts w:ascii="Times New Roman" w:hAnsi="Times New Roman" w:cs="B Nazanin" w:hint="cs"/>
          <w:b w:val="0"/>
          <w:i/>
          <w:sz w:val="23"/>
          <w:szCs w:val="23"/>
          <w:rtl/>
        </w:rPr>
        <w:t>۶. ۳. ۳ مقایسه</w:t>
      </w:r>
      <w:r w:rsidRPr="003B28FD">
        <w:rPr>
          <w:rFonts w:ascii="Times New Roman" w:hAnsi="Times New Roman" w:cs="B Nazanin"/>
          <w:b w:val="0"/>
          <w:i/>
          <w:sz w:val="23"/>
          <w:szCs w:val="23"/>
          <w:rtl/>
        </w:rPr>
        <w:softHyphen/>
      </w:r>
      <w:r w:rsidRPr="003B28FD">
        <w:rPr>
          <w:rFonts w:ascii="Times New Roman" w:hAnsi="Times New Roman" w:cs="B Nazanin" w:hint="cs"/>
          <w:b w:val="0"/>
          <w:i/>
          <w:sz w:val="23"/>
          <w:szCs w:val="23"/>
          <w:rtl/>
        </w:rPr>
        <w:t>ی نتایج مدل کارگزار نمونه با مدل نسل</w:t>
      </w:r>
      <w:r w:rsidRPr="003B28FD">
        <w:rPr>
          <w:rFonts w:ascii="Times New Roman" w:hAnsi="Times New Roman" w:cs="B Nazanin"/>
          <w:b w:val="0"/>
          <w:i/>
          <w:sz w:val="23"/>
          <w:szCs w:val="23"/>
          <w:rtl/>
        </w:rPr>
        <w:softHyphen/>
      </w:r>
      <w:r w:rsidRPr="003B28FD">
        <w:rPr>
          <w:rFonts w:ascii="Times New Roman" w:hAnsi="Times New Roman" w:cs="B Nazanin" w:hint="cs"/>
          <w:b w:val="0"/>
          <w:i/>
          <w:sz w:val="23"/>
          <w:szCs w:val="23"/>
          <w:rtl/>
        </w:rPr>
        <w:t>های هم</w:t>
      </w:r>
      <w:r w:rsidRPr="003B28FD">
        <w:rPr>
          <w:rFonts w:ascii="Times New Roman" w:hAnsi="Times New Roman" w:cs="B Nazanin"/>
          <w:b w:val="0"/>
          <w:i/>
          <w:sz w:val="23"/>
          <w:szCs w:val="23"/>
          <w:rtl/>
        </w:rPr>
        <w:softHyphen/>
      </w:r>
      <w:r w:rsidRPr="003B28FD">
        <w:rPr>
          <w:rFonts w:ascii="Times New Roman" w:hAnsi="Times New Roman" w:cs="B Nazanin" w:hint="cs"/>
          <w:b w:val="0"/>
          <w:i/>
          <w:sz w:val="23"/>
          <w:szCs w:val="23"/>
          <w:rtl/>
        </w:rPr>
        <w:t>پوش</w:t>
      </w:r>
    </w:p>
    <w:p w14:paraId="2A5A53B2" w14:textId="77777777" w:rsidR="00411620" w:rsidRDefault="00411620" w:rsidP="00411620">
      <w:pPr>
        <w:spacing w:line="216" w:lineRule="auto"/>
        <w:rPr>
          <w:i/>
          <w:sz w:val="23"/>
          <w:szCs w:val="23"/>
          <w:rtl/>
        </w:rPr>
      </w:pPr>
      <w:r w:rsidRPr="003B28FD">
        <w:rPr>
          <w:rFonts w:hint="cs"/>
          <w:i/>
          <w:sz w:val="23"/>
          <w:szCs w:val="23"/>
          <w:rtl/>
        </w:rPr>
        <w:t>در مدل کارگزار نمونه مخارج مصرفی خانوار در بلندمدت و یا تعادل ایستا برای کلیه</w:t>
      </w:r>
      <w:r w:rsidRPr="003B28FD">
        <w:rPr>
          <w:i/>
          <w:sz w:val="23"/>
          <w:szCs w:val="23"/>
          <w:rtl/>
        </w:rPr>
        <w:softHyphen/>
      </w:r>
      <w:r w:rsidRPr="003B28FD">
        <w:rPr>
          <w:rFonts w:hint="cs"/>
          <w:i/>
          <w:sz w:val="23"/>
          <w:szCs w:val="23"/>
          <w:rtl/>
        </w:rPr>
        <w:t>ی خانوارها یکسان است. اکنون سوال مهم و اساسی این است که سطح مخارج مصرفی خانوار دو نسل جوان و سالخورده در مدل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پوش چگونه است؟ همان</w:t>
      </w:r>
      <w:r w:rsidRPr="003B28FD">
        <w:rPr>
          <w:i/>
          <w:sz w:val="23"/>
          <w:szCs w:val="23"/>
          <w:rtl/>
        </w:rPr>
        <w:softHyphen/>
      </w:r>
      <w:r w:rsidRPr="003B28FD">
        <w:rPr>
          <w:rFonts w:hint="cs"/>
          <w:i/>
          <w:sz w:val="23"/>
          <w:szCs w:val="23"/>
          <w:rtl/>
        </w:rPr>
        <w:t>گونه که اشاره شد در مدل نسل</w:t>
      </w:r>
      <w:r w:rsidRPr="003B28FD">
        <w:rPr>
          <w:i/>
          <w:sz w:val="23"/>
          <w:szCs w:val="23"/>
          <w:rtl/>
        </w:rPr>
        <w:softHyphen/>
      </w:r>
      <w:r w:rsidRPr="003B28FD">
        <w:rPr>
          <w:rFonts w:hint="cs"/>
          <w:i/>
          <w:sz w:val="23"/>
          <w:szCs w:val="23"/>
          <w:rtl/>
        </w:rPr>
        <w:t>های هم</w:t>
      </w:r>
      <w:r w:rsidRPr="003B28FD">
        <w:rPr>
          <w:i/>
          <w:sz w:val="23"/>
          <w:szCs w:val="23"/>
          <w:rtl/>
        </w:rPr>
        <w:softHyphen/>
      </w:r>
      <w:r>
        <w:rPr>
          <w:rFonts w:hint="cs"/>
          <w:i/>
          <w:sz w:val="23"/>
          <w:szCs w:val="23"/>
          <w:rtl/>
        </w:rPr>
        <w:t xml:space="preserve"> </w:t>
      </w:r>
      <w:r w:rsidRPr="003B28FD">
        <w:rPr>
          <w:rFonts w:hint="cs"/>
          <w:i/>
          <w:sz w:val="23"/>
          <w:szCs w:val="23"/>
          <w:rtl/>
        </w:rPr>
        <w:t>پوش، درآمد افراد سالخورده و مسن از طریق پس</w:t>
      </w:r>
      <w:r w:rsidRPr="003B28FD">
        <w:rPr>
          <w:i/>
          <w:sz w:val="23"/>
          <w:szCs w:val="23"/>
          <w:rtl/>
        </w:rPr>
        <w:softHyphen/>
      </w:r>
      <w:r w:rsidRPr="003B28FD">
        <w:rPr>
          <w:rFonts w:hint="cs"/>
          <w:i/>
          <w:sz w:val="23"/>
          <w:szCs w:val="23"/>
          <w:rtl/>
        </w:rPr>
        <w:t>انداز در دوره</w:t>
      </w:r>
      <w:r w:rsidRPr="003B28FD">
        <w:rPr>
          <w:i/>
          <w:sz w:val="23"/>
          <w:szCs w:val="23"/>
          <w:rtl/>
        </w:rPr>
        <w:softHyphen/>
      </w:r>
      <w:r w:rsidRPr="003B28FD">
        <w:rPr>
          <w:rFonts w:hint="cs"/>
          <w:i/>
          <w:sz w:val="23"/>
          <w:szCs w:val="23"/>
          <w:rtl/>
        </w:rPr>
        <w:t>ی جوانی بدست می</w:t>
      </w:r>
      <w:r w:rsidRPr="003B28FD">
        <w:rPr>
          <w:i/>
          <w:sz w:val="23"/>
          <w:szCs w:val="23"/>
          <w:rtl/>
        </w:rPr>
        <w:softHyphen/>
      </w:r>
      <w:r w:rsidRPr="003B28FD">
        <w:rPr>
          <w:rFonts w:hint="cs"/>
          <w:i/>
          <w:sz w:val="23"/>
          <w:szCs w:val="23"/>
          <w:rtl/>
        </w:rPr>
        <w:t>آید، درحالی</w:t>
      </w:r>
      <w:r w:rsidRPr="003B28FD">
        <w:rPr>
          <w:i/>
          <w:sz w:val="23"/>
          <w:szCs w:val="23"/>
          <w:rtl/>
        </w:rPr>
        <w:softHyphen/>
      </w:r>
      <w:r w:rsidRPr="003B28FD">
        <w:rPr>
          <w:rFonts w:hint="cs"/>
          <w:i/>
          <w:sz w:val="23"/>
          <w:szCs w:val="23"/>
          <w:rtl/>
        </w:rPr>
        <w:t xml:space="preserve">که در </w:t>
      </w:r>
      <w:r w:rsidRPr="003B28FD">
        <w:rPr>
          <w:rFonts w:hint="cs"/>
          <w:i/>
          <w:sz w:val="23"/>
          <w:szCs w:val="23"/>
          <w:rtl/>
        </w:rPr>
        <w:lastRenderedPageBreak/>
        <w:t>مدل کارگزار نمونه درآمدِ حاصل از دستمزد در کل دوره</w:t>
      </w:r>
      <w:r w:rsidRPr="003B28FD">
        <w:rPr>
          <w:i/>
          <w:sz w:val="23"/>
          <w:szCs w:val="23"/>
          <w:rtl/>
        </w:rPr>
        <w:softHyphen/>
      </w:r>
      <w:r w:rsidRPr="003B28FD">
        <w:rPr>
          <w:rFonts w:hint="cs"/>
          <w:i/>
          <w:sz w:val="23"/>
          <w:szCs w:val="23"/>
          <w:rtl/>
        </w:rPr>
        <w:t>ی زندگی خانوار بدست می</w:t>
      </w:r>
      <w:r w:rsidRPr="003B28FD">
        <w:rPr>
          <w:i/>
          <w:sz w:val="23"/>
          <w:szCs w:val="23"/>
          <w:rtl/>
        </w:rPr>
        <w:softHyphen/>
      </w:r>
      <w:r w:rsidRPr="003B28FD">
        <w:rPr>
          <w:rFonts w:hint="cs"/>
          <w:i/>
          <w:sz w:val="23"/>
          <w:szCs w:val="23"/>
          <w:rtl/>
        </w:rPr>
        <w:t>آمد و فرض بین‌دوره</w:t>
      </w:r>
      <w:r w:rsidRPr="003B28FD">
        <w:rPr>
          <w:i/>
          <w:sz w:val="23"/>
          <w:szCs w:val="23"/>
          <w:rtl/>
        </w:rPr>
        <w:softHyphen/>
      </w:r>
      <w:r w:rsidRPr="003B28FD">
        <w:rPr>
          <w:rFonts w:hint="cs"/>
          <w:i/>
          <w:sz w:val="23"/>
          <w:szCs w:val="23"/>
          <w:rtl/>
        </w:rPr>
        <w:t>ای، مصرف را از طریق پس</w:t>
      </w:r>
      <w:r w:rsidRPr="003B28FD">
        <w:rPr>
          <w:i/>
          <w:sz w:val="23"/>
          <w:szCs w:val="23"/>
          <w:rtl/>
        </w:rPr>
        <w:softHyphen/>
      </w:r>
      <w:r w:rsidRPr="003B28FD">
        <w:rPr>
          <w:rFonts w:hint="cs"/>
          <w:i/>
          <w:sz w:val="23"/>
          <w:szCs w:val="23"/>
          <w:rtl/>
        </w:rPr>
        <w:t>انداز امروز جهت جبران کاهش درآمد فردا هموار می</w:t>
      </w:r>
      <w:r w:rsidRPr="003B28FD">
        <w:rPr>
          <w:i/>
          <w:sz w:val="23"/>
          <w:szCs w:val="23"/>
          <w:rtl/>
        </w:rPr>
        <w:softHyphen/>
      </w:r>
      <w:r w:rsidRPr="003B28FD">
        <w:rPr>
          <w:rFonts w:hint="cs"/>
          <w:i/>
          <w:sz w:val="23"/>
          <w:szCs w:val="23"/>
          <w:rtl/>
        </w:rPr>
        <w:t>کند.</w:t>
      </w:r>
      <w:r>
        <w:rPr>
          <w:rFonts w:hint="cs"/>
          <w:i/>
          <w:sz w:val="23"/>
          <w:szCs w:val="23"/>
          <w:rtl/>
        </w:rPr>
        <w:t xml:space="preserve"> </w:t>
      </w:r>
      <w:r w:rsidRPr="003B28FD">
        <w:rPr>
          <w:rFonts w:hint="cs"/>
          <w:i/>
          <w:sz w:val="23"/>
          <w:szCs w:val="23"/>
          <w:rtl/>
        </w:rPr>
        <w:t>همین مطلب باعث می</w:t>
      </w:r>
      <w:r w:rsidRPr="003B28FD">
        <w:rPr>
          <w:i/>
          <w:sz w:val="23"/>
          <w:szCs w:val="23"/>
          <w:rtl/>
        </w:rPr>
        <w:softHyphen/>
      </w:r>
      <w:r w:rsidRPr="003B28FD">
        <w:rPr>
          <w:rFonts w:hint="cs"/>
          <w:i/>
          <w:sz w:val="23"/>
          <w:szCs w:val="23"/>
          <w:rtl/>
        </w:rPr>
        <w:t>شود که خانوار در مدل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پوش بیشتر از مدل کارگزار نمونه پس</w:t>
      </w:r>
      <w:r w:rsidRPr="003B28FD">
        <w:rPr>
          <w:i/>
          <w:sz w:val="23"/>
          <w:szCs w:val="23"/>
          <w:rtl/>
        </w:rPr>
        <w:softHyphen/>
      </w:r>
      <w:r w:rsidRPr="003B28FD">
        <w:rPr>
          <w:rFonts w:hint="cs"/>
          <w:i/>
          <w:sz w:val="23"/>
          <w:szCs w:val="23"/>
          <w:rtl/>
        </w:rPr>
        <w:t xml:space="preserve">انداز کند </w:t>
      </w:r>
    </w:p>
    <w:p w14:paraId="6649917A" w14:textId="77777777" w:rsidR="00411620" w:rsidRDefault="00411620" w:rsidP="00411620">
      <w:pPr>
        <w:bidi w:val="0"/>
        <w:spacing w:line="216" w:lineRule="auto"/>
        <w:jc w:val="center"/>
        <w:rPr>
          <w:i/>
          <w:sz w:val="23"/>
          <w:szCs w:val="23"/>
          <w:rtl/>
        </w:rPr>
      </w:pPr>
      <w:r w:rsidRPr="003B28FD">
        <w:rPr>
          <w:rFonts w:hint="cs"/>
          <w:i/>
          <w:sz w:val="23"/>
          <w:szCs w:val="23"/>
          <w:rtl/>
        </w:rPr>
        <w:t>نمودار۶. ۱</w:t>
      </w:r>
    </w:p>
    <w:p w14:paraId="2F5EEFE8" w14:textId="77777777" w:rsidR="00411620" w:rsidRPr="003B28FD" w:rsidRDefault="00411620" w:rsidP="00411620">
      <w:pPr>
        <w:spacing w:line="216" w:lineRule="auto"/>
        <w:jc w:val="center"/>
        <w:rPr>
          <w:i/>
          <w:sz w:val="23"/>
          <w:szCs w:val="23"/>
        </w:rPr>
      </w:pPr>
      <w:r w:rsidRPr="003B28FD">
        <w:rPr>
          <w:i/>
          <w:noProof/>
          <w:sz w:val="23"/>
          <w:szCs w:val="23"/>
          <w:u w:val="single"/>
          <w:lang w:bidi="ar-SA"/>
        </w:rPr>
        <w:drawing>
          <wp:inline distT="0" distB="0" distL="0" distR="0" wp14:anchorId="0C0D57AD" wp14:editId="76E93C12">
            <wp:extent cx="3652417" cy="1974521"/>
            <wp:effectExtent l="38100" t="38100" r="43815" b="450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8">
                      <a:extLst>
                        <a:ext uri="{BEBA8EAE-BF5A-486C-A8C5-ECC9F3942E4B}">
                          <a14:imgProps xmlns:a14="http://schemas.microsoft.com/office/drawing/2010/main">
                            <a14:imgLayer r:embed="rId4799">
                              <a14:imgEffect>
                                <a14:brightnessContrast contrast="20000"/>
                              </a14:imgEffect>
                            </a14:imgLayer>
                          </a14:imgProps>
                        </a:ext>
                      </a:extLst>
                    </a:blip>
                    <a:stretch>
                      <a:fillRect/>
                    </a:stretch>
                  </pic:blipFill>
                  <pic:spPr>
                    <a:xfrm>
                      <a:off x="0" y="0"/>
                      <a:ext cx="3678923" cy="1988850"/>
                    </a:xfrm>
                    <a:prstGeom prst="rect">
                      <a:avLst/>
                    </a:prstGeom>
                    <a:ln w="28575">
                      <a:solidFill>
                        <a:schemeClr val="tx1"/>
                      </a:solidFill>
                    </a:ln>
                  </pic:spPr>
                </pic:pic>
              </a:graphicData>
            </a:graphic>
          </wp:inline>
        </w:drawing>
      </w:r>
    </w:p>
    <w:p w14:paraId="6826510D" w14:textId="77777777" w:rsidR="00411620" w:rsidRPr="003B28FD" w:rsidRDefault="00411620" w:rsidP="00411620">
      <w:pPr>
        <w:spacing w:line="216" w:lineRule="auto"/>
        <w:rPr>
          <w:i/>
          <w:sz w:val="23"/>
          <w:szCs w:val="23"/>
        </w:rPr>
      </w:pPr>
    </w:p>
    <w:p w14:paraId="21003B4A" w14:textId="77777777" w:rsidR="00411620" w:rsidRPr="003B28FD" w:rsidRDefault="00411620" w:rsidP="00411620">
      <w:pPr>
        <w:spacing w:line="216" w:lineRule="auto"/>
        <w:rPr>
          <w:i/>
          <w:sz w:val="23"/>
          <w:szCs w:val="23"/>
          <w:rtl/>
        </w:rPr>
      </w:pPr>
      <w:r w:rsidRPr="003B28FD">
        <w:rPr>
          <w:rFonts w:hint="cs"/>
          <w:i/>
          <w:sz w:val="23"/>
          <w:szCs w:val="23"/>
          <w:rtl/>
        </w:rPr>
        <w:t>و در نتیجه موجودی سرمایه در مدل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پوش بیشتر از مدل کارگزار نمونه باشد.</w:t>
      </w:r>
      <w:r>
        <w:rPr>
          <w:rFonts w:hint="cs"/>
          <w:i/>
          <w:sz w:val="23"/>
          <w:szCs w:val="23"/>
          <w:rtl/>
        </w:rPr>
        <w:t xml:space="preserve"> </w:t>
      </w:r>
      <w:r w:rsidRPr="003B28FD">
        <w:rPr>
          <w:rFonts w:hint="cs"/>
          <w:i/>
          <w:sz w:val="23"/>
          <w:szCs w:val="23"/>
          <w:rtl/>
        </w:rPr>
        <w:t>با موجودی سرمایه</w:t>
      </w:r>
      <w:r w:rsidRPr="003B28FD">
        <w:rPr>
          <w:i/>
          <w:sz w:val="23"/>
          <w:szCs w:val="23"/>
          <w:rtl/>
        </w:rPr>
        <w:softHyphen/>
      </w:r>
      <w:r w:rsidRPr="003B28FD">
        <w:rPr>
          <w:rFonts w:hint="cs"/>
          <w:i/>
          <w:sz w:val="23"/>
          <w:szCs w:val="23"/>
          <w:rtl/>
        </w:rPr>
        <w:t>ی یکسان، و فرصت کم</w:t>
      </w:r>
      <w:r w:rsidRPr="003B28FD">
        <w:rPr>
          <w:i/>
          <w:sz w:val="23"/>
          <w:szCs w:val="23"/>
          <w:rtl/>
        </w:rPr>
        <w:softHyphen/>
      </w:r>
      <w:r w:rsidRPr="003B28FD">
        <w:rPr>
          <w:rFonts w:hint="cs"/>
          <w:i/>
          <w:sz w:val="23"/>
          <w:szCs w:val="23"/>
          <w:rtl/>
        </w:rPr>
        <w:t>تر پس</w:t>
      </w:r>
      <w:r w:rsidRPr="003B28FD">
        <w:rPr>
          <w:i/>
          <w:sz w:val="23"/>
          <w:szCs w:val="23"/>
          <w:rtl/>
        </w:rPr>
        <w:softHyphen/>
      </w:r>
      <w:r w:rsidRPr="003B28FD">
        <w:rPr>
          <w:rFonts w:hint="cs"/>
          <w:i/>
          <w:sz w:val="23"/>
          <w:szCs w:val="23"/>
          <w:rtl/>
        </w:rPr>
        <w:t>انداز که نسبتی از درآمد است، انتظار می</w:t>
      </w:r>
      <w:r w:rsidRPr="003B28FD">
        <w:rPr>
          <w:i/>
          <w:sz w:val="23"/>
          <w:szCs w:val="23"/>
          <w:rtl/>
        </w:rPr>
        <w:softHyphen/>
      </w:r>
      <w:r w:rsidRPr="003B28FD">
        <w:rPr>
          <w:rFonts w:hint="cs"/>
          <w:i/>
          <w:sz w:val="23"/>
          <w:szCs w:val="23"/>
          <w:rtl/>
        </w:rPr>
        <w:t>رود که مخارج مصرفی در مدل کارگزار نمونه بیش</w:t>
      </w:r>
      <w:r w:rsidRPr="003B28FD">
        <w:rPr>
          <w:i/>
          <w:sz w:val="23"/>
          <w:szCs w:val="23"/>
          <w:rtl/>
        </w:rPr>
        <w:softHyphen/>
      </w:r>
      <w:r w:rsidRPr="003B28FD">
        <w:rPr>
          <w:rFonts w:hint="cs"/>
          <w:i/>
          <w:sz w:val="23"/>
          <w:szCs w:val="23"/>
          <w:rtl/>
        </w:rPr>
        <w:t>تر از نسل جوان در مدل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پوش باشد. موجودی سرمایه</w:t>
      </w:r>
      <w:r w:rsidRPr="003B28FD">
        <w:rPr>
          <w:i/>
          <w:sz w:val="23"/>
          <w:szCs w:val="23"/>
          <w:rtl/>
        </w:rPr>
        <w:softHyphen/>
      </w:r>
      <w:r w:rsidRPr="003B28FD">
        <w:rPr>
          <w:rFonts w:hint="cs"/>
          <w:i/>
          <w:sz w:val="23"/>
          <w:szCs w:val="23"/>
          <w:rtl/>
        </w:rPr>
        <w:t>ی بیشتر در مدل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 xml:space="preserve">پوش نتایج را معکوس خواهد کرد. </w:t>
      </w:r>
    </w:p>
    <w:p w14:paraId="20EF3803" w14:textId="77777777" w:rsidR="00411620" w:rsidRPr="003B28FD" w:rsidRDefault="00411620" w:rsidP="00411620">
      <w:pPr>
        <w:spacing w:line="216" w:lineRule="auto"/>
        <w:rPr>
          <w:i/>
          <w:sz w:val="23"/>
          <w:szCs w:val="23"/>
          <w:rtl/>
        </w:rPr>
      </w:pPr>
      <w:r w:rsidRPr="003B28FD">
        <w:rPr>
          <w:rFonts w:hint="cs"/>
          <w:i/>
          <w:sz w:val="23"/>
          <w:szCs w:val="23"/>
          <w:rtl/>
        </w:rPr>
        <w:t>جهت مقایسه</w:t>
      </w:r>
      <w:r w:rsidRPr="003B28FD">
        <w:rPr>
          <w:i/>
          <w:sz w:val="23"/>
          <w:szCs w:val="23"/>
          <w:rtl/>
        </w:rPr>
        <w:softHyphen/>
      </w:r>
      <w:r w:rsidRPr="003B28FD">
        <w:rPr>
          <w:rFonts w:hint="cs"/>
          <w:i/>
          <w:sz w:val="23"/>
          <w:szCs w:val="23"/>
          <w:rtl/>
        </w:rPr>
        <w:t>ی دقیقتر نتایج این دو مدل می</w:t>
      </w:r>
      <w:r w:rsidRPr="003B28FD">
        <w:rPr>
          <w:i/>
          <w:sz w:val="23"/>
          <w:szCs w:val="23"/>
          <w:rtl/>
        </w:rPr>
        <w:softHyphen/>
      </w:r>
      <w:r w:rsidRPr="003B28FD">
        <w:rPr>
          <w:rFonts w:hint="cs"/>
          <w:i/>
          <w:sz w:val="23"/>
          <w:szCs w:val="23"/>
          <w:rtl/>
        </w:rPr>
        <w:t>توان فرض کرد که در مدل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 xml:space="preserve">پوش </w:t>
      </w:r>
      <w:r w:rsidRPr="003B28FD">
        <w:rPr>
          <w:position w:val="-6"/>
        </w:rPr>
        <w:object w:dxaOrig="540" w:dyaOrig="260" w14:anchorId="732EC2E9">
          <v:shape id="_x0000_i3407" type="#_x0000_t75" style="width:27.25pt;height:12.7pt" o:ole="">
            <v:imagedata r:id="rId4800" o:title=""/>
          </v:shape>
          <o:OLEObject Type="Embed" ProgID="Equation.DSMT4" ShapeID="_x0000_i3407" DrawAspect="Content" ObjectID="_1791377351" r:id="rId4801"/>
        </w:object>
      </w:r>
      <w:r w:rsidRPr="003B28FD">
        <w:rPr>
          <w:rFonts w:hint="cs"/>
          <w:i/>
          <w:sz w:val="23"/>
          <w:szCs w:val="23"/>
          <w:rtl/>
        </w:rPr>
        <w:t>، و در مدل کارگزار نمونه تابع تولید عبارت از</w:t>
      </w:r>
      <w:r w:rsidRPr="003B28FD">
        <w:rPr>
          <w:position w:val="-12"/>
        </w:rPr>
        <w:object w:dxaOrig="920" w:dyaOrig="360" w14:anchorId="63F85A6F">
          <v:shape id="_x0000_i3408" type="#_x0000_t75" style="width:46pt;height:18.15pt" o:ole="">
            <v:imagedata r:id="rId4802" o:title=""/>
          </v:shape>
          <o:OLEObject Type="Embed" ProgID="Equation.DSMT4" ShapeID="_x0000_i3408" DrawAspect="Content" ObjectID="_1791377352" r:id="rId4803"/>
        </w:object>
      </w:r>
      <w:r w:rsidRPr="003B28FD">
        <w:rPr>
          <w:rFonts w:hint="cs"/>
          <w:i/>
          <w:sz w:val="23"/>
          <w:szCs w:val="23"/>
          <w:rtl/>
        </w:rPr>
        <w:t xml:space="preserve"> باشد. همچنین فرض می</w:t>
      </w:r>
      <w:r w:rsidRPr="003B28FD">
        <w:rPr>
          <w:i/>
          <w:sz w:val="23"/>
          <w:szCs w:val="23"/>
          <w:rtl/>
        </w:rPr>
        <w:softHyphen/>
      </w:r>
      <w:r w:rsidRPr="003B28FD">
        <w:rPr>
          <w:rFonts w:hint="cs"/>
          <w:i/>
          <w:sz w:val="23"/>
          <w:szCs w:val="23"/>
          <w:rtl/>
        </w:rPr>
        <w:t>کنیم که در هر دو مدل تابع مطلوبیت لگاریتمی است. در مدل کارگزار نمونه حل بهینه</w:t>
      </w:r>
      <w:r w:rsidRPr="003B28FD">
        <w:rPr>
          <w:i/>
          <w:sz w:val="23"/>
          <w:szCs w:val="23"/>
          <w:rtl/>
        </w:rPr>
        <w:softHyphen/>
      </w:r>
      <w:r w:rsidRPr="003B28FD">
        <w:rPr>
          <w:rFonts w:hint="cs"/>
          <w:i/>
          <w:sz w:val="23"/>
          <w:szCs w:val="23"/>
          <w:rtl/>
        </w:rPr>
        <w:t>ی بلندمدت دو متغیر</w:t>
      </w:r>
      <w:r w:rsidRPr="003B28FD">
        <w:rPr>
          <w:position w:val="-10"/>
        </w:rPr>
        <w:object w:dxaOrig="460" w:dyaOrig="340" w14:anchorId="49B2338F">
          <v:shape id="_x0000_i3409" type="#_x0000_t75" style="width:23pt;height:16.95pt" o:ole="">
            <v:imagedata r:id="rId4804" o:title=""/>
          </v:shape>
          <o:OLEObject Type="Embed" ProgID="Equation.DSMT4" ShapeID="_x0000_i3409" DrawAspect="Content" ObjectID="_1791377353" r:id="rId4805"/>
        </w:object>
      </w:r>
      <w:r w:rsidRPr="003B28FD">
        <w:rPr>
          <w:i/>
          <w:sz w:val="23"/>
          <w:szCs w:val="23"/>
        </w:rPr>
        <w:t xml:space="preserve"> </w:t>
      </w:r>
      <w:r w:rsidRPr="003B28FD">
        <w:rPr>
          <w:rFonts w:hint="cs"/>
          <w:i/>
          <w:sz w:val="23"/>
          <w:szCs w:val="23"/>
          <w:rtl/>
        </w:rPr>
        <w:t>و</w:t>
      </w:r>
      <w:r w:rsidRPr="003B28FD">
        <w:rPr>
          <w:position w:val="-10"/>
        </w:rPr>
        <w:object w:dxaOrig="499" w:dyaOrig="340" w14:anchorId="5470C99E">
          <v:shape id="_x0000_i3410" type="#_x0000_t75" style="width:24.8pt;height:16.95pt" o:ole="">
            <v:imagedata r:id="rId4806" o:title=""/>
          </v:shape>
          <o:OLEObject Type="Embed" ProgID="Equation.DSMT4" ShapeID="_x0000_i3410" DrawAspect="Content" ObjectID="_1791377354" r:id="rId4807"/>
        </w:object>
      </w:r>
      <w:r w:rsidRPr="003B28FD">
        <w:rPr>
          <w:rFonts w:hint="cs"/>
          <w:i/>
          <w:sz w:val="23"/>
          <w:szCs w:val="23"/>
          <w:rtl/>
        </w:rPr>
        <w:t xml:space="preserve"> برابر است با</w:t>
      </w:r>
    </w:p>
    <w:p w14:paraId="1444926D" w14:textId="77777777" w:rsidR="00411620" w:rsidRPr="003B28FD" w:rsidRDefault="00411620" w:rsidP="00411620">
      <w:pPr>
        <w:pStyle w:val="MTDisplayEquation"/>
        <w:spacing w:line="216" w:lineRule="auto"/>
        <w:jc w:val="left"/>
        <w:rPr>
          <w:rFonts w:ascii="Times New Roman" w:eastAsia="Times New Roman" w:hAnsi="Times New Roman" w:cs="B Nazanin"/>
          <w:i/>
          <w:sz w:val="23"/>
          <w:szCs w:val="23"/>
        </w:rPr>
      </w:pPr>
      <w:r w:rsidRPr="003B28FD">
        <w:rPr>
          <w:position w:val="-46"/>
        </w:rPr>
        <w:object w:dxaOrig="3760" w:dyaOrig="1020" w14:anchorId="05F395FB">
          <v:shape id="_x0000_i3411" type="#_x0000_t75" style="width:188.15pt;height:50.8pt" o:ole="">
            <v:imagedata r:id="rId4808" o:title=""/>
          </v:shape>
          <o:OLEObject Type="Embed" ProgID="Equation.DSMT4" ShapeID="_x0000_i3411" DrawAspect="Content" ObjectID="_1791377355" r:id="rId4809"/>
        </w:object>
      </w:r>
    </w:p>
    <w:p w14:paraId="25B21014" w14:textId="77777777" w:rsidR="00411620" w:rsidRPr="003B28FD" w:rsidRDefault="00411620" w:rsidP="00411620">
      <w:pPr>
        <w:spacing w:line="216" w:lineRule="auto"/>
        <w:rPr>
          <w:i/>
          <w:sz w:val="23"/>
          <w:szCs w:val="23"/>
          <w:rtl/>
        </w:rPr>
      </w:pPr>
      <w:r w:rsidRPr="003B28FD">
        <w:rPr>
          <w:rFonts w:hint="cs"/>
          <w:i/>
          <w:sz w:val="23"/>
          <w:szCs w:val="23"/>
          <w:rtl/>
        </w:rPr>
        <w:t>و</w:t>
      </w:r>
    </w:p>
    <w:p w14:paraId="3B1F96BF" w14:textId="77777777" w:rsidR="00411620" w:rsidRPr="003B28FD" w:rsidRDefault="00411620" w:rsidP="00411620">
      <w:pPr>
        <w:pStyle w:val="MTDisplayEquation"/>
        <w:spacing w:line="216" w:lineRule="auto"/>
        <w:rPr>
          <w:rFonts w:ascii="Times New Roman" w:eastAsia="Times New Roman" w:hAnsi="Times New Roman" w:cs="B Nazanin"/>
          <w:i/>
          <w:sz w:val="23"/>
          <w:szCs w:val="23"/>
        </w:rPr>
      </w:pPr>
      <w:r w:rsidRPr="003B28FD">
        <w:rPr>
          <w:position w:val="-16"/>
        </w:rPr>
        <w:object w:dxaOrig="4620" w:dyaOrig="420" w14:anchorId="6CCD8104">
          <v:shape id="_x0000_i3412" type="#_x0000_t75" style="width:231.15pt;height:21.2pt" o:ole="">
            <v:imagedata r:id="rId4810" o:title=""/>
          </v:shape>
          <o:OLEObject Type="Embed" ProgID="Equation.DSMT4" ShapeID="_x0000_i3412" DrawAspect="Content" ObjectID="_1791377356" r:id="rId4811"/>
        </w:object>
      </w:r>
    </w:p>
    <w:p w14:paraId="45E7022A" w14:textId="77777777" w:rsidR="00411620" w:rsidRPr="003B28FD" w:rsidRDefault="00411620" w:rsidP="00411620">
      <w:pPr>
        <w:pStyle w:val="MTDisplayEquation"/>
        <w:spacing w:line="216" w:lineRule="auto"/>
        <w:rPr>
          <w:rFonts w:ascii="Times New Roman" w:eastAsia="Times New Roman" w:hAnsi="Times New Roman" w:cs="B Nazanin"/>
          <w:i/>
          <w:sz w:val="23"/>
          <w:szCs w:val="23"/>
          <w:rtl/>
        </w:rPr>
      </w:pPr>
      <w:r w:rsidRPr="003B28FD">
        <w:rPr>
          <w:position w:val="-12"/>
        </w:rPr>
        <w:object w:dxaOrig="2420" w:dyaOrig="380" w14:anchorId="22DB778F">
          <v:shape id="_x0000_i3413" type="#_x0000_t75" style="width:121pt;height:18.75pt" o:ole="">
            <v:imagedata r:id="rId4812" o:title=""/>
          </v:shape>
          <o:OLEObject Type="Embed" ProgID="Equation.DSMT4" ShapeID="_x0000_i3413" DrawAspect="Content" ObjectID="_1791377357" r:id="rId4813"/>
        </w:object>
      </w:r>
    </w:p>
    <w:p w14:paraId="4A4AEADC" w14:textId="77777777" w:rsidR="00411620" w:rsidRPr="003B28FD" w:rsidRDefault="00411620" w:rsidP="00411620">
      <w:pPr>
        <w:spacing w:line="216" w:lineRule="auto"/>
        <w:rPr>
          <w:i/>
          <w:sz w:val="23"/>
          <w:szCs w:val="23"/>
        </w:rPr>
      </w:pPr>
      <w:r w:rsidRPr="003B28FD">
        <w:rPr>
          <w:rFonts w:hint="cs"/>
          <w:i/>
          <w:sz w:val="23"/>
          <w:szCs w:val="23"/>
          <w:rtl/>
        </w:rPr>
        <w:t>درحالی</w:t>
      </w:r>
      <w:r w:rsidRPr="003B28FD">
        <w:rPr>
          <w:i/>
          <w:sz w:val="23"/>
          <w:szCs w:val="23"/>
          <w:rtl/>
        </w:rPr>
        <w:softHyphen/>
      </w:r>
      <w:r w:rsidRPr="003B28FD">
        <w:rPr>
          <w:rFonts w:hint="cs"/>
          <w:i/>
          <w:sz w:val="23"/>
          <w:szCs w:val="23"/>
          <w:rtl/>
        </w:rPr>
        <w:t>که در مدل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 xml:space="preserve">پوش داریم </w:t>
      </w:r>
    </w:p>
    <w:p w14:paraId="3720DF73" w14:textId="77777777" w:rsidR="00411620" w:rsidRPr="003B28FD" w:rsidRDefault="00411620" w:rsidP="00411620">
      <w:pPr>
        <w:pStyle w:val="MTDisplayEquation"/>
        <w:spacing w:line="216" w:lineRule="auto"/>
        <w:rPr>
          <w:rFonts w:ascii="Times New Roman" w:eastAsia="Times New Roman" w:hAnsi="Times New Roman" w:cs="B Nazanin"/>
          <w:i/>
          <w:sz w:val="23"/>
          <w:szCs w:val="23"/>
          <w:rtl/>
        </w:rPr>
      </w:pPr>
      <w:r w:rsidRPr="003B28FD">
        <w:rPr>
          <w:position w:val="-30"/>
        </w:rPr>
        <w:object w:dxaOrig="3519" w:dyaOrig="840" w14:anchorId="58865B3A">
          <v:shape id="_x0000_i3414" type="#_x0000_t75" style="width:176.05pt;height:41.75pt" o:ole="">
            <v:imagedata r:id="rId4814" o:title=""/>
          </v:shape>
          <o:OLEObject Type="Embed" ProgID="Equation.DSMT4" ShapeID="_x0000_i3414" DrawAspect="Content" ObjectID="_1791377358" r:id="rId4815"/>
        </w:object>
      </w:r>
    </w:p>
    <w:p w14:paraId="03291D57" w14:textId="77777777" w:rsidR="00411620" w:rsidRPr="003B28FD" w:rsidRDefault="00411620" w:rsidP="00411620">
      <w:pPr>
        <w:spacing w:line="216" w:lineRule="auto"/>
        <w:rPr>
          <w:i/>
          <w:sz w:val="23"/>
          <w:szCs w:val="23"/>
          <w:rtl/>
        </w:rPr>
      </w:pPr>
      <w:r w:rsidRPr="003B28FD">
        <w:rPr>
          <w:rFonts w:hint="cs"/>
          <w:i/>
          <w:sz w:val="23"/>
          <w:szCs w:val="23"/>
          <w:rtl/>
        </w:rPr>
        <w:t xml:space="preserve">و همچنین </w:t>
      </w:r>
    </w:p>
    <w:p w14:paraId="5B574EEC" w14:textId="77777777" w:rsidR="00411620" w:rsidRPr="003B28FD" w:rsidRDefault="00411620" w:rsidP="00411620">
      <w:pPr>
        <w:pStyle w:val="MTDisplayEquation"/>
        <w:spacing w:line="216" w:lineRule="auto"/>
        <w:rPr>
          <w:rFonts w:ascii="Times New Roman" w:eastAsia="Times New Roman" w:hAnsi="Times New Roman" w:cs="B Nazanin"/>
          <w:i/>
          <w:sz w:val="23"/>
          <w:szCs w:val="23"/>
          <w:rtl/>
        </w:rPr>
      </w:pPr>
      <w:r w:rsidRPr="003B28FD">
        <w:rPr>
          <w:position w:val="-16"/>
        </w:rPr>
        <w:object w:dxaOrig="3980" w:dyaOrig="420" w14:anchorId="35669557">
          <v:shape id="_x0000_i3415" type="#_x0000_t75" style="width:199.05pt;height:21.2pt" o:ole="">
            <v:imagedata r:id="rId4816" o:title=""/>
          </v:shape>
          <o:OLEObject Type="Embed" ProgID="Equation.DSMT4" ShapeID="_x0000_i3415" DrawAspect="Content" ObjectID="_1791377359" r:id="rId4817"/>
        </w:object>
      </w:r>
    </w:p>
    <w:p w14:paraId="3F7B960B" w14:textId="77777777" w:rsidR="00411620" w:rsidRPr="003B28FD" w:rsidRDefault="00411620" w:rsidP="00411620">
      <w:pPr>
        <w:spacing w:line="216" w:lineRule="auto"/>
        <w:rPr>
          <w:i/>
          <w:sz w:val="23"/>
          <w:szCs w:val="23"/>
          <w:rtl/>
        </w:rPr>
      </w:pPr>
      <w:r w:rsidRPr="003B28FD">
        <w:rPr>
          <w:rFonts w:hint="cs"/>
          <w:i/>
          <w:sz w:val="23"/>
          <w:szCs w:val="23"/>
          <w:rtl/>
        </w:rPr>
        <w:t>براحتی می</w:t>
      </w:r>
      <w:r w:rsidRPr="003B28FD">
        <w:rPr>
          <w:i/>
          <w:sz w:val="23"/>
          <w:szCs w:val="23"/>
          <w:rtl/>
        </w:rPr>
        <w:softHyphen/>
      </w:r>
      <w:r w:rsidRPr="003B28FD">
        <w:rPr>
          <w:rFonts w:hint="cs"/>
          <w:i/>
          <w:sz w:val="23"/>
          <w:szCs w:val="23"/>
          <w:rtl/>
        </w:rPr>
        <w:t xml:space="preserve">توان نشان داد که اگر </w:t>
      </w:r>
      <w:r w:rsidRPr="003B28FD">
        <w:rPr>
          <w:position w:val="-22"/>
        </w:rPr>
        <w:object w:dxaOrig="1540" w:dyaOrig="620" w14:anchorId="3B7BF935">
          <v:shape id="_x0000_i3416" type="#_x0000_t75" style="width:76.85pt;height:31.45pt" o:ole="">
            <v:imagedata r:id="rId4818" o:title=""/>
          </v:shape>
          <o:OLEObject Type="Embed" ProgID="Equation.DSMT4" ShapeID="_x0000_i3416" DrawAspect="Content" ObjectID="_1791377360" r:id="rId4819"/>
        </w:object>
      </w:r>
      <w:r w:rsidRPr="003B28FD">
        <w:rPr>
          <w:rFonts w:hint="cs"/>
          <w:i/>
          <w:sz w:val="23"/>
          <w:szCs w:val="23"/>
          <w:rtl/>
        </w:rPr>
        <w:t xml:space="preserve"> باشد آنگاه </w:t>
      </w:r>
      <w:r w:rsidRPr="003B28FD">
        <w:rPr>
          <w:position w:val="-14"/>
        </w:rPr>
        <w:object w:dxaOrig="1120" w:dyaOrig="380" w14:anchorId="1E142E7D">
          <v:shape id="_x0000_i3417" type="#_x0000_t75" style="width:55.65pt;height:18.75pt" o:ole="">
            <v:imagedata r:id="rId4820" o:title=""/>
          </v:shape>
          <o:OLEObject Type="Embed" ProgID="Equation.DSMT4" ShapeID="_x0000_i3417" DrawAspect="Content" ObjectID="_1791377361" r:id="rId4821"/>
        </w:object>
      </w:r>
      <w:r w:rsidRPr="003B28FD">
        <w:rPr>
          <w:rFonts w:hint="cs"/>
          <w:i/>
          <w:sz w:val="23"/>
          <w:szCs w:val="23"/>
          <w:rtl/>
        </w:rPr>
        <w:t xml:space="preserve"> و </w:t>
      </w:r>
      <w:r w:rsidRPr="003B28FD">
        <w:rPr>
          <w:position w:val="-14"/>
        </w:rPr>
        <w:object w:dxaOrig="1280" w:dyaOrig="380" w14:anchorId="074828C9">
          <v:shape id="_x0000_i3418" type="#_x0000_t75" style="width:64.15pt;height:18.75pt" o:ole="">
            <v:imagedata r:id="rId4822" o:title=""/>
          </v:shape>
          <o:OLEObject Type="Embed" ProgID="Equation.DSMT4" ShapeID="_x0000_i3418" DrawAspect="Content" ObjectID="_1791377362" r:id="rId4823"/>
        </w:object>
      </w:r>
      <w:r w:rsidRPr="003B28FD">
        <w:rPr>
          <w:rFonts w:hint="cs"/>
          <w:i/>
          <w:sz w:val="23"/>
          <w:szCs w:val="23"/>
          <w:rtl/>
        </w:rPr>
        <w:t xml:space="preserve"> خواهد بود. در حالت کلی جهت نابرابری بدست آمده نامشخص است و ممکن است </w:t>
      </w:r>
      <w:r w:rsidRPr="003B28FD">
        <w:rPr>
          <w:position w:val="-10"/>
        </w:rPr>
        <w:object w:dxaOrig="1080" w:dyaOrig="340" w14:anchorId="76516369">
          <v:shape id="_x0000_i3419" type="#_x0000_t75" style="width:54.45pt;height:16.95pt" o:ole="">
            <v:imagedata r:id="rId4824" o:title=""/>
          </v:shape>
          <o:OLEObject Type="Embed" ProgID="Equation.DSMT4" ShapeID="_x0000_i3419" DrawAspect="Content" ObjectID="_1791377363" r:id="rId4825"/>
        </w:object>
      </w:r>
      <w:r w:rsidRPr="003B28FD">
        <w:rPr>
          <w:rFonts w:hint="cs"/>
          <w:i/>
          <w:sz w:val="23"/>
          <w:szCs w:val="23"/>
          <w:rtl/>
        </w:rPr>
        <w:t xml:space="preserve"> و</w:t>
      </w:r>
      <w:r w:rsidRPr="003B28FD">
        <w:rPr>
          <w:position w:val="-10"/>
        </w:rPr>
        <w:object w:dxaOrig="1180" w:dyaOrig="340" w14:anchorId="2B5F9C6C">
          <v:shape id="_x0000_i3420" type="#_x0000_t75" style="width:59.3pt;height:16.95pt" o:ole="">
            <v:imagedata r:id="rId4826" o:title=""/>
          </v:shape>
          <o:OLEObject Type="Embed" ProgID="Equation.DSMT4" ShapeID="_x0000_i3420" DrawAspect="Content" ObjectID="_1791377364" r:id="rId4827"/>
        </w:object>
      </w:r>
      <w:r w:rsidRPr="003B28FD">
        <w:rPr>
          <w:rFonts w:hint="cs"/>
          <w:i/>
          <w:sz w:val="23"/>
          <w:szCs w:val="23"/>
          <w:rtl/>
        </w:rPr>
        <w:t xml:space="preserve"> باشد. اگر در طی دوره</w:t>
      </w:r>
      <w:r w:rsidRPr="003B28FD">
        <w:rPr>
          <w:i/>
          <w:sz w:val="23"/>
          <w:szCs w:val="23"/>
          <w:rtl/>
        </w:rPr>
        <w:softHyphen/>
      </w:r>
      <w:r w:rsidRPr="003B28FD">
        <w:rPr>
          <w:rFonts w:hint="cs"/>
          <w:i/>
          <w:sz w:val="23"/>
          <w:szCs w:val="23"/>
          <w:rtl/>
        </w:rPr>
        <w:t>ی زندگیِ دو نسل، سرمایه کاملاً مستهلک شود یعنی</w:t>
      </w:r>
      <w:r w:rsidRPr="003B28FD">
        <w:rPr>
          <w:position w:val="-6"/>
        </w:rPr>
        <w:object w:dxaOrig="480" w:dyaOrig="260" w14:anchorId="0E0096A8">
          <v:shape id="_x0000_i3421" type="#_x0000_t75" style="width:24.2pt;height:12.7pt" o:ole="">
            <v:imagedata r:id="rId4828" o:title=""/>
          </v:shape>
          <o:OLEObject Type="Embed" ProgID="Equation.DSMT4" ShapeID="_x0000_i3421" DrawAspect="Content" ObjectID="_1791377365" r:id="rId4829"/>
        </w:object>
      </w:r>
      <w:r w:rsidRPr="003B28FD">
        <w:rPr>
          <w:rFonts w:hint="cs"/>
          <w:i/>
          <w:sz w:val="23"/>
          <w:szCs w:val="23"/>
          <w:rtl/>
        </w:rPr>
        <w:t xml:space="preserve"> باشد، آنگاه </w:t>
      </w:r>
      <w:r w:rsidRPr="003B28FD">
        <w:rPr>
          <w:position w:val="-10"/>
        </w:rPr>
        <w:object w:dxaOrig="1100" w:dyaOrig="340" w14:anchorId="47A06015">
          <v:shape id="_x0000_i3422" type="#_x0000_t75" style="width:55.05pt;height:16.95pt" o:ole="">
            <v:imagedata r:id="rId4830" o:title=""/>
          </v:shape>
          <o:OLEObject Type="Embed" ProgID="Equation.DSMT4" ShapeID="_x0000_i3422" DrawAspect="Content" ObjectID="_1791377366" r:id="rId4831"/>
        </w:object>
      </w:r>
      <w:r w:rsidRPr="003B28FD">
        <w:rPr>
          <w:i/>
          <w:sz w:val="23"/>
          <w:szCs w:val="23"/>
          <w:rtl/>
        </w:rPr>
        <w:t xml:space="preserve"> </w:t>
      </w:r>
      <w:r w:rsidRPr="003B28FD">
        <w:rPr>
          <w:rFonts w:hint="cs"/>
          <w:i/>
          <w:sz w:val="23"/>
          <w:szCs w:val="23"/>
          <w:rtl/>
        </w:rPr>
        <w:t>خواهد بود که قبلاً مورد بررسی قرار گرفت.</w:t>
      </w:r>
      <w:r w:rsidRPr="003B28FD">
        <w:rPr>
          <w:i/>
          <w:sz w:val="23"/>
          <w:szCs w:val="23"/>
        </w:rPr>
        <w:t xml:space="preserve"> </w:t>
      </w:r>
      <w:r w:rsidRPr="003B28FD">
        <w:rPr>
          <w:rFonts w:hint="cs"/>
          <w:i/>
          <w:sz w:val="23"/>
          <w:szCs w:val="23"/>
          <w:rtl/>
        </w:rPr>
        <w:t>هرچند با توجه به نتایج فوق، هنوز امکان تعیین مقادیر نسبی</w:t>
      </w:r>
      <w:r w:rsidRPr="003B28FD">
        <w:rPr>
          <w:position w:val="-10"/>
        </w:rPr>
        <w:object w:dxaOrig="440" w:dyaOrig="340" w14:anchorId="6E92D02E">
          <v:shape id="_x0000_i3423" type="#_x0000_t75" style="width:21.8pt;height:16.95pt" o:ole="">
            <v:imagedata r:id="rId4832" o:title=""/>
          </v:shape>
          <o:OLEObject Type="Embed" ProgID="Equation.DSMT4" ShapeID="_x0000_i3423" DrawAspect="Content" ObjectID="_1791377367" r:id="rId4833"/>
        </w:object>
      </w:r>
      <w:r w:rsidRPr="003B28FD">
        <w:rPr>
          <w:rFonts w:hint="cs"/>
          <w:i/>
          <w:sz w:val="23"/>
          <w:szCs w:val="23"/>
          <w:rtl/>
        </w:rPr>
        <w:t xml:space="preserve"> و </w:t>
      </w:r>
      <w:r w:rsidRPr="003B28FD">
        <w:rPr>
          <w:position w:val="-10"/>
        </w:rPr>
        <w:object w:dxaOrig="440" w:dyaOrig="340" w14:anchorId="11496AA7">
          <v:shape id="_x0000_i3424" type="#_x0000_t75" style="width:21.8pt;height:16.95pt" o:ole="">
            <v:imagedata r:id="rId4834" o:title=""/>
          </v:shape>
          <o:OLEObject Type="Embed" ProgID="Equation.DSMT4" ShapeID="_x0000_i3424" DrawAspect="Content" ObjectID="_1791377368" r:id="rId4835"/>
        </w:object>
      </w:r>
      <w:r w:rsidRPr="003B28FD">
        <w:rPr>
          <w:rFonts w:hint="cs"/>
          <w:i/>
          <w:sz w:val="23"/>
          <w:szCs w:val="23"/>
          <w:rtl/>
        </w:rPr>
        <w:t xml:space="preserve"> وجود ندارد.</w:t>
      </w:r>
    </w:p>
    <w:p w14:paraId="0337FA78" w14:textId="77777777" w:rsidR="00411620" w:rsidRPr="003B28FD" w:rsidRDefault="00411620" w:rsidP="00411620">
      <w:pPr>
        <w:spacing w:line="216" w:lineRule="auto"/>
        <w:rPr>
          <w:i/>
          <w:sz w:val="23"/>
          <w:szCs w:val="23"/>
        </w:rPr>
      </w:pPr>
    </w:p>
    <w:p w14:paraId="1590723D" w14:textId="77777777" w:rsidR="00411620" w:rsidRPr="003B28FD" w:rsidRDefault="00411620" w:rsidP="00411620">
      <w:pPr>
        <w:pStyle w:val="Heading1"/>
        <w:spacing w:before="0" w:after="0" w:line="216" w:lineRule="auto"/>
        <w:rPr>
          <w:rFonts w:ascii="Times New Roman" w:hAnsi="Times New Roman" w:cs="B Nazanin"/>
          <w:b w:val="0"/>
          <w:i/>
          <w:sz w:val="23"/>
          <w:szCs w:val="23"/>
          <w:rtl/>
        </w:rPr>
      </w:pPr>
      <w:r w:rsidRPr="003B28FD">
        <w:rPr>
          <w:rFonts w:ascii="Times New Roman" w:hAnsi="Times New Roman" w:cs="B Nazanin" w:hint="cs"/>
          <w:b w:val="0"/>
          <w:i/>
          <w:sz w:val="23"/>
          <w:szCs w:val="23"/>
          <w:rtl/>
        </w:rPr>
        <w:t>۶. ۳. ۴ سیاست</w:t>
      </w:r>
      <w:r w:rsidRPr="003B28FD">
        <w:rPr>
          <w:rFonts w:ascii="Times New Roman" w:hAnsi="Times New Roman" w:cs="B Nazanin"/>
          <w:b w:val="0"/>
          <w:i/>
          <w:sz w:val="23"/>
          <w:szCs w:val="23"/>
          <w:rtl/>
        </w:rPr>
        <w:softHyphen/>
      </w:r>
      <w:r w:rsidRPr="003B28FD">
        <w:rPr>
          <w:rFonts w:ascii="Times New Roman" w:hAnsi="Times New Roman" w:cs="B Nazanin" w:hint="cs"/>
          <w:b w:val="0"/>
          <w:i/>
          <w:sz w:val="23"/>
          <w:szCs w:val="23"/>
          <w:rtl/>
        </w:rPr>
        <w:t xml:space="preserve"> مالی در مدل نسل</w:t>
      </w:r>
      <w:r w:rsidRPr="003B28FD">
        <w:rPr>
          <w:rFonts w:ascii="Times New Roman" w:hAnsi="Times New Roman" w:cs="B Nazanin"/>
          <w:b w:val="0"/>
          <w:i/>
          <w:sz w:val="23"/>
          <w:szCs w:val="23"/>
          <w:rtl/>
        </w:rPr>
        <w:softHyphen/>
      </w:r>
      <w:r w:rsidRPr="003B28FD">
        <w:rPr>
          <w:rFonts w:ascii="Times New Roman" w:hAnsi="Times New Roman" w:cs="B Nazanin" w:hint="cs"/>
          <w:b w:val="0"/>
          <w:i/>
          <w:sz w:val="23"/>
          <w:szCs w:val="23"/>
          <w:rtl/>
        </w:rPr>
        <w:t>های هم</w:t>
      </w:r>
      <w:r w:rsidRPr="003B28FD">
        <w:rPr>
          <w:rFonts w:ascii="Times New Roman" w:hAnsi="Times New Roman" w:cs="B Nazanin"/>
          <w:b w:val="0"/>
          <w:i/>
          <w:sz w:val="23"/>
          <w:szCs w:val="23"/>
          <w:rtl/>
        </w:rPr>
        <w:softHyphen/>
      </w:r>
      <w:r w:rsidRPr="003B28FD">
        <w:rPr>
          <w:rFonts w:ascii="Times New Roman" w:hAnsi="Times New Roman" w:cs="B Nazanin" w:hint="cs"/>
          <w:b w:val="0"/>
          <w:i/>
          <w:sz w:val="23"/>
          <w:szCs w:val="23"/>
          <w:rtl/>
        </w:rPr>
        <w:t>پوش : حقوق</w:t>
      </w:r>
      <w:r w:rsidRPr="003B28FD">
        <w:rPr>
          <w:rFonts w:ascii="Times New Roman" w:hAnsi="Times New Roman" w:cs="B Nazanin"/>
          <w:b w:val="0"/>
          <w:i/>
          <w:sz w:val="23"/>
          <w:szCs w:val="23"/>
          <w:rtl/>
        </w:rPr>
        <w:softHyphen/>
      </w:r>
      <w:r w:rsidRPr="003B28FD">
        <w:rPr>
          <w:rFonts w:ascii="Times New Roman" w:hAnsi="Times New Roman" w:cs="B Nazanin" w:hint="cs"/>
          <w:b w:val="0"/>
          <w:i/>
          <w:sz w:val="23"/>
          <w:szCs w:val="23"/>
          <w:rtl/>
        </w:rPr>
        <w:t>های بازنشستگی</w:t>
      </w:r>
    </w:p>
    <w:p w14:paraId="617B3AD1" w14:textId="77777777" w:rsidR="00411620" w:rsidRPr="003B28FD" w:rsidRDefault="00411620" w:rsidP="00411620">
      <w:pPr>
        <w:spacing w:line="216" w:lineRule="auto"/>
        <w:rPr>
          <w:i/>
          <w:sz w:val="23"/>
          <w:szCs w:val="23"/>
          <w:rtl/>
        </w:rPr>
      </w:pPr>
      <w:r w:rsidRPr="003B28FD">
        <w:rPr>
          <w:rFonts w:hint="cs"/>
          <w:i/>
          <w:sz w:val="23"/>
          <w:szCs w:val="23"/>
          <w:rtl/>
        </w:rPr>
        <w:t>چنانچه رفتار افراد جوان و سالخورده متفاوت باشد، آنگاه مدل</w:t>
      </w:r>
      <w:r w:rsidRPr="003B28FD">
        <w:rPr>
          <w:i/>
          <w:sz w:val="23"/>
          <w:szCs w:val="23"/>
          <w:rtl/>
        </w:rPr>
        <w:softHyphen/>
      </w:r>
      <w:r w:rsidRPr="003B28FD">
        <w:rPr>
          <w:rFonts w:hint="cs"/>
          <w:i/>
          <w:sz w:val="23"/>
          <w:szCs w:val="23"/>
          <w:rtl/>
        </w:rPr>
        <w:t>های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پوش جهت تجزیه و تحلیل سیاست</w:t>
      </w:r>
      <w:r w:rsidRPr="003B28FD">
        <w:rPr>
          <w:i/>
          <w:sz w:val="23"/>
          <w:szCs w:val="23"/>
          <w:rtl/>
        </w:rPr>
        <w:softHyphen/>
      </w:r>
      <w:r w:rsidRPr="003B28FD">
        <w:rPr>
          <w:rFonts w:hint="cs"/>
          <w:i/>
          <w:sz w:val="23"/>
          <w:szCs w:val="23"/>
          <w:rtl/>
        </w:rPr>
        <w:t>های مالی مناسب است. برخی دلایل</w:t>
      </w:r>
      <w:r w:rsidRPr="003B28FD">
        <w:rPr>
          <w:i/>
          <w:sz w:val="23"/>
          <w:szCs w:val="23"/>
        </w:rPr>
        <w:t xml:space="preserve"> </w:t>
      </w:r>
      <w:r w:rsidRPr="003B28FD">
        <w:rPr>
          <w:rFonts w:hint="cs"/>
          <w:i/>
          <w:sz w:val="23"/>
          <w:szCs w:val="23"/>
          <w:rtl/>
        </w:rPr>
        <w:t>عبارت است از، تدارک و تهیه</w:t>
      </w:r>
      <w:r w:rsidRPr="003B28FD">
        <w:rPr>
          <w:i/>
          <w:sz w:val="23"/>
          <w:szCs w:val="23"/>
          <w:rtl/>
        </w:rPr>
        <w:softHyphen/>
      </w:r>
      <w:r w:rsidRPr="003B28FD">
        <w:rPr>
          <w:rFonts w:hint="cs"/>
          <w:i/>
          <w:sz w:val="23"/>
          <w:szCs w:val="23"/>
          <w:rtl/>
        </w:rPr>
        <w:t>ی صندوق</w:t>
      </w:r>
      <w:r w:rsidRPr="003B28FD">
        <w:rPr>
          <w:i/>
          <w:sz w:val="23"/>
          <w:szCs w:val="23"/>
          <w:rtl/>
        </w:rPr>
        <w:softHyphen/>
      </w:r>
      <w:r w:rsidRPr="003B28FD">
        <w:rPr>
          <w:rFonts w:hint="cs"/>
          <w:i/>
          <w:sz w:val="23"/>
          <w:szCs w:val="23"/>
          <w:rtl/>
        </w:rPr>
        <w:t>های بازنشستگی و بازنشستگی بدون پشتوانه، اعانه و کمک</w:t>
      </w:r>
      <w:r w:rsidRPr="003B28FD">
        <w:rPr>
          <w:i/>
          <w:sz w:val="23"/>
          <w:szCs w:val="23"/>
          <w:rtl/>
        </w:rPr>
        <w:softHyphen/>
      </w:r>
      <w:r w:rsidRPr="003B28FD">
        <w:rPr>
          <w:rFonts w:hint="cs"/>
          <w:i/>
          <w:sz w:val="23"/>
          <w:szCs w:val="23"/>
          <w:rtl/>
        </w:rPr>
        <w:t>های رفاهی به جوانان همانند مزایای بیکاری و یا تحصیلات، و یا پروژه</w:t>
      </w:r>
      <w:r w:rsidRPr="003B28FD">
        <w:rPr>
          <w:i/>
          <w:sz w:val="23"/>
          <w:szCs w:val="23"/>
          <w:rtl/>
        </w:rPr>
        <w:softHyphen/>
      </w:r>
      <w:r w:rsidRPr="003B28FD">
        <w:rPr>
          <w:rFonts w:hint="cs"/>
          <w:i/>
          <w:sz w:val="23"/>
          <w:szCs w:val="23"/>
          <w:rtl/>
        </w:rPr>
        <w:t>های سرمایه</w:t>
      </w:r>
      <w:r w:rsidRPr="003B28FD">
        <w:rPr>
          <w:i/>
          <w:sz w:val="23"/>
          <w:szCs w:val="23"/>
          <w:rtl/>
        </w:rPr>
        <w:softHyphen/>
      </w:r>
      <w:r w:rsidRPr="003B28FD">
        <w:rPr>
          <w:rFonts w:hint="cs"/>
          <w:i/>
          <w:sz w:val="23"/>
          <w:szCs w:val="23"/>
          <w:rtl/>
        </w:rPr>
        <w:t>گذاری دولت برای نسل</w:t>
      </w:r>
      <w:r w:rsidRPr="003B28FD">
        <w:rPr>
          <w:i/>
          <w:sz w:val="23"/>
          <w:szCs w:val="23"/>
          <w:rtl/>
        </w:rPr>
        <w:softHyphen/>
      </w:r>
      <w:r w:rsidRPr="003B28FD">
        <w:rPr>
          <w:rFonts w:hint="cs"/>
          <w:i/>
          <w:sz w:val="23"/>
          <w:szCs w:val="23"/>
          <w:rtl/>
        </w:rPr>
        <w:t>های بعدی. اکنون این مسئله</w:t>
      </w:r>
      <w:r w:rsidRPr="003B28FD">
        <w:rPr>
          <w:i/>
          <w:sz w:val="23"/>
          <w:szCs w:val="23"/>
          <w:rtl/>
        </w:rPr>
        <w:softHyphen/>
      </w:r>
      <w:r w:rsidRPr="003B28FD">
        <w:rPr>
          <w:rFonts w:hint="cs"/>
          <w:i/>
          <w:sz w:val="23"/>
          <w:szCs w:val="23"/>
          <w:rtl/>
        </w:rPr>
        <w:t xml:space="preserve"> که چرا دریافت مالیات مقطوع از افراد جوان و افراد مسن متفاوت است را در نظر می</w:t>
      </w:r>
      <w:r w:rsidRPr="003B28FD">
        <w:rPr>
          <w:i/>
          <w:sz w:val="23"/>
          <w:szCs w:val="23"/>
          <w:rtl/>
        </w:rPr>
        <w:softHyphen/>
      </w:r>
      <w:r w:rsidRPr="003B28FD">
        <w:rPr>
          <w:rFonts w:hint="cs"/>
          <w:i/>
          <w:sz w:val="23"/>
          <w:szCs w:val="23"/>
          <w:rtl/>
        </w:rPr>
        <w:t>گیریم. همچنین مالیات منفی به مفهوم کمک</w:t>
      </w:r>
      <w:r w:rsidRPr="003B28FD">
        <w:rPr>
          <w:i/>
          <w:sz w:val="23"/>
          <w:szCs w:val="23"/>
          <w:rtl/>
        </w:rPr>
        <w:softHyphen/>
      </w:r>
      <w:r w:rsidRPr="003B28FD">
        <w:rPr>
          <w:rFonts w:hint="cs"/>
          <w:i/>
          <w:sz w:val="23"/>
          <w:szCs w:val="23"/>
          <w:rtl/>
        </w:rPr>
        <w:t xml:space="preserve"> و مزایای دولتی است و ممکن است از طریق اوراق قرضه</w:t>
      </w:r>
      <w:r w:rsidRPr="003B28FD">
        <w:rPr>
          <w:i/>
          <w:sz w:val="23"/>
          <w:szCs w:val="23"/>
          <w:rtl/>
        </w:rPr>
        <w:softHyphen/>
      </w:r>
      <w:r w:rsidRPr="003B28FD">
        <w:rPr>
          <w:rFonts w:hint="cs"/>
          <w:i/>
          <w:sz w:val="23"/>
          <w:szCs w:val="23"/>
          <w:rtl/>
        </w:rPr>
        <w:t>ی دولتی یک دوره</w:t>
      </w:r>
      <w:r w:rsidRPr="003B28FD">
        <w:rPr>
          <w:i/>
          <w:sz w:val="23"/>
          <w:szCs w:val="23"/>
          <w:rtl/>
        </w:rPr>
        <w:softHyphen/>
      </w:r>
      <w:r w:rsidRPr="003B28FD">
        <w:rPr>
          <w:rFonts w:hint="cs"/>
          <w:i/>
          <w:sz w:val="23"/>
          <w:szCs w:val="23"/>
          <w:rtl/>
        </w:rPr>
        <w:t xml:space="preserve">ای تأمین مالی شده و فقط توسط افراد جوان خریداری شود. </w:t>
      </w:r>
    </w:p>
    <w:p w14:paraId="4F8C5EA8" w14:textId="77777777" w:rsidR="00411620" w:rsidRPr="003B28FD" w:rsidRDefault="00411620" w:rsidP="00411620">
      <w:pPr>
        <w:spacing w:line="216" w:lineRule="auto"/>
        <w:rPr>
          <w:i/>
          <w:sz w:val="23"/>
          <w:szCs w:val="23"/>
          <w:rtl/>
        </w:rPr>
      </w:pPr>
      <w:r w:rsidRPr="003B28FD">
        <w:rPr>
          <w:rFonts w:hint="cs"/>
          <w:i/>
          <w:sz w:val="23"/>
          <w:szCs w:val="23"/>
          <w:rtl/>
        </w:rPr>
        <w:t>تنها دلیل اصلی پس</w:t>
      </w:r>
      <w:r w:rsidRPr="003B28FD">
        <w:rPr>
          <w:i/>
          <w:sz w:val="23"/>
          <w:szCs w:val="23"/>
          <w:rtl/>
        </w:rPr>
        <w:softHyphen/>
      </w:r>
      <w:r w:rsidRPr="003B28FD">
        <w:rPr>
          <w:rFonts w:hint="cs"/>
          <w:i/>
          <w:sz w:val="23"/>
          <w:szCs w:val="23"/>
          <w:rtl/>
        </w:rPr>
        <w:t>انداز، امکان دریافت حقوق در دوره</w:t>
      </w:r>
      <w:r w:rsidRPr="003B28FD">
        <w:rPr>
          <w:i/>
          <w:sz w:val="23"/>
          <w:szCs w:val="23"/>
          <w:rtl/>
        </w:rPr>
        <w:softHyphen/>
      </w:r>
      <w:r w:rsidRPr="003B28FD">
        <w:rPr>
          <w:rFonts w:hint="cs"/>
          <w:i/>
          <w:sz w:val="23"/>
          <w:szCs w:val="23"/>
          <w:rtl/>
        </w:rPr>
        <w:t>ی بازنشستگی است. در سیستم حقوق بازنشستگی با پشتوانه</w:t>
      </w:r>
      <w:r w:rsidRPr="003B28FD">
        <w:rPr>
          <w:i/>
          <w:sz w:val="23"/>
          <w:szCs w:val="23"/>
          <w:rtl/>
        </w:rPr>
        <w:softHyphen/>
      </w:r>
      <w:r w:rsidRPr="003B28FD">
        <w:rPr>
          <w:rFonts w:hint="cs"/>
          <w:i/>
          <w:sz w:val="23"/>
          <w:szCs w:val="23"/>
          <w:rtl/>
        </w:rPr>
        <w:t>ی کامل،</w:t>
      </w:r>
      <w:r w:rsidRPr="003B28FD">
        <w:rPr>
          <w:rStyle w:val="FootnoteReference"/>
          <w:rFonts w:eastAsiaTheme="majorEastAsia"/>
          <w:i/>
          <w:sz w:val="23"/>
          <w:szCs w:val="23"/>
          <w:rtl/>
        </w:rPr>
        <w:footnoteReference w:id="168"/>
      </w:r>
      <w:r w:rsidRPr="003B28FD">
        <w:rPr>
          <w:rFonts w:hint="cs"/>
          <w:i/>
          <w:sz w:val="23"/>
          <w:szCs w:val="23"/>
          <w:rtl/>
        </w:rPr>
        <w:t xml:space="preserve"> تمامی حقوق دریافتی افراد در دوره</w:t>
      </w:r>
      <w:r w:rsidRPr="003B28FD">
        <w:rPr>
          <w:i/>
          <w:sz w:val="23"/>
          <w:szCs w:val="23"/>
          <w:rtl/>
        </w:rPr>
        <w:softHyphen/>
      </w:r>
      <w:r w:rsidRPr="003B28FD">
        <w:rPr>
          <w:rFonts w:hint="cs"/>
          <w:i/>
          <w:sz w:val="23"/>
          <w:szCs w:val="23"/>
          <w:rtl/>
        </w:rPr>
        <w:t>ی بازنشستگی از طریق پس</w:t>
      </w:r>
      <w:r w:rsidRPr="003B28FD">
        <w:rPr>
          <w:i/>
          <w:sz w:val="23"/>
          <w:szCs w:val="23"/>
          <w:rtl/>
        </w:rPr>
        <w:softHyphen/>
      </w:r>
      <w:r w:rsidRPr="003B28FD">
        <w:rPr>
          <w:rFonts w:hint="cs"/>
          <w:i/>
          <w:sz w:val="23"/>
          <w:szCs w:val="23"/>
          <w:rtl/>
        </w:rPr>
        <w:t xml:space="preserve">اندازهای دورهای قبل تأمین </w:t>
      </w:r>
      <w:r w:rsidRPr="003B28FD">
        <w:rPr>
          <w:i/>
          <w:sz w:val="23"/>
          <w:szCs w:val="23"/>
          <w:rtl/>
        </w:rPr>
        <w:softHyphen/>
      </w:r>
      <w:r w:rsidRPr="003B28FD">
        <w:rPr>
          <w:rFonts w:hint="cs"/>
          <w:i/>
          <w:sz w:val="23"/>
          <w:szCs w:val="23"/>
          <w:rtl/>
        </w:rPr>
        <w:t>مالی می</w:t>
      </w:r>
      <w:r w:rsidRPr="003B28FD">
        <w:rPr>
          <w:i/>
          <w:sz w:val="23"/>
          <w:szCs w:val="23"/>
          <w:rtl/>
        </w:rPr>
        <w:softHyphen/>
      </w:r>
      <w:r w:rsidRPr="003B28FD">
        <w:rPr>
          <w:rFonts w:hint="cs"/>
          <w:i/>
          <w:sz w:val="23"/>
          <w:szCs w:val="23"/>
          <w:rtl/>
        </w:rPr>
        <w:t>شود. در بسیاری از کشورها حقوق بازنشستگی بواسطه</w:t>
      </w:r>
      <w:r w:rsidRPr="003B28FD">
        <w:rPr>
          <w:i/>
          <w:sz w:val="23"/>
          <w:szCs w:val="23"/>
          <w:rtl/>
        </w:rPr>
        <w:softHyphen/>
      </w:r>
      <w:r w:rsidRPr="003B28FD">
        <w:rPr>
          <w:rFonts w:hint="cs"/>
          <w:i/>
          <w:sz w:val="23"/>
          <w:szCs w:val="23"/>
          <w:rtl/>
        </w:rPr>
        <w:t>ی مالیات جاری پرداخت می</w:t>
      </w:r>
      <w:r w:rsidRPr="003B28FD">
        <w:rPr>
          <w:i/>
          <w:sz w:val="23"/>
          <w:szCs w:val="23"/>
          <w:rtl/>
        </w:rPr>
        <w:softHyphen/>
      </w:r>
      <w:r w:rsidRPr="003B28FD">
        <w:rPr>
          <w:rFonts w:hint="cs"/>
          <w:i/>
          <w:sz w:val="23"/>
          <w:szCs w:val="23"/>
          <w:rtl/>
        </w:rPr>
        <w:t>شود و نه پس</w:t>
      </w:r>
      <w:r w:rsidRPr="003B28FD">
        <w:rPr>
          <w:i/>
          <w:sz w:val="23"/>
          <w:szCs w:val="23"/>
          <w:rtl/>
        </w:rPr>
        <w:softHyphen/>
      </w:r>
      <w:r w:rsidRPr="003B28FD">
        <w:rPr>
          <w:rFonts w:hint="cs"/>
          <w:i/>
          <w:sz w:val="23"/>
          <w:szCs w:val="23"/>
          <w:rtl/>
        </w:rPr>
        <w:t>انداز، که بدان سیستم پرداخت حقوق بازنشستگی بدون پشتوانه</w:t>
      </w:r>
      <w:r w:rsidRPr="003B28FD">
        <w:rPr>
          <w:rStyle w:val="FootnoteReference"/>
          <w:rFonts w:eastAsiaTheme="majorEastAsia"/>
          <w:i/>
          <w:sz w:val="23"/>
          <w:szCs w:val="23"/>
          <w:rtl/>
        </w:rPr>
        <w:footnoteReference w:id="169"/>
      </w:r>
      <w:r w:rsidRPr="003B28FD">
        <w:rPr>
          <w:rFonts w:hint="cs"/>
          <w:i/>
          <w:sz w:val="23"/>
          <w:szCs w:val="23"/>
          <w:rtl/>
        </w:rPr>
        <w:t xml:space="preserve"> و یا سیستم پرداخت پس از محل حق بیمه</w:t>
      </w:r>
      <w:r w:rsidRPr="003B28FD">
        <w:rPr>
          <w:i/>
          <w:sz w:val="23"/>
          <w:szCs w:val="23"/>
          <w:rtl/>
        </w:rPr>
        <w:softHyphen/>
      </w:r>
      <w:r w:rsidRPr="003B28FD">
        <w:rPr>
          <w:rFonts w:hint="cs"/>
          <w:i/>
          <w:sz w:val="23"/>
          <w:szCs w:val="23"/>
          <w:rtl/>
        </w:rPr>
        <w:t>های فعلی (</w:t>
      </w:r>
      <w:r w:rsidRPr="003B28FD">
        <w:rPr>
          <w:i/>
          <w:sz w:val="23"/>
          <w:szCs w:val="23"/>
        </w:rPr>
        <w:t>PAYG</w:t>
      </w:r>
      <w:r w:rsidRPr="003B28FD">
        <w:rPr>
          <w:rStyle w:val="FootnoteReference"/>
          <w:rFonts w:eastAsiaTheme="majorEastAsia"/>
          <w:i/>
          <w:sz w:val="23"/>
          <w:szCs w:val="23"/>
        </w:rPr>
        <w:footnoteReference w:id="170"/>
      </w:r>
      <w:r w:rsidRPr="003B28FD">
        <w:rPr>
          <w:rFonts w:hint="cs"/>
          <w:i/>
          <w:sz w:val="23"/>
          <w:szCs w:val="23"/>
          <w:rtl/>
        </w:rPr>
        <w:t xml:space="preserve"> ) نیز گویند. طول عمر بیشتر و همچنین پایین بودن نرخ رشد جمعیت از مهم</w:t>
      </w:r>
      <w:r w:rsidRPr="003B28FD">
        <w:rPr>
          <w:i/>
          <w:sz w:val="23"/>
          <w:szCs w:val="23"/>
          <w:rtl/>
        </w:rPr>
        <w:softHyphen/>
      </w:r>
      <w:r w:rsidRPr="003B28FD">
        <w:rPr>
          <w:rFonts w:hint="cs"/>
          <w:i/>
          <w:sz w:val="23"/>
          <w:szCs w:val="23"/>
          <w:rtl/>
        </w:rPr>
        <w:t xml:space="preserve">ترین عوامل نگرانی قابل توجه در پرداخت حقوق بازنشستگی بدون پشتوانه است که در آن بار مسئولیت مالیات افزایش خواهد یافت. </w:t>
      </w:r>
    </w:p>
    <w:p w14:paraId="5718411A" w14:textId="77777777" w:rsidR="00411620" w:rsidRDefault="00411620" w:rsidP="00411620">
      <w:pPr>
        <w:spacing w:line="216" w:lineRule="auto"/>
        <w:rPr>
          <w:i/>
          <w:sz w:val="23"/>
          <w:szCs w:val="23"/>
        </w:rPr>
      </w:pPr>
    </w:p>
    <w:p w14:paraId="588655C4" w14:textId="77777777" w:rsidR="00411620" w:rsidRPr="003B28FD" w:rsidRDefault="00411620" w:rsidP="00411620">
      <w:pPr>
        <w:spacing w:line="216" w:lineRule="auto"/>
        <w:rPr>
          <w:i/>
          <w:sz w:val="23"/>
          <w:szCs w:val="23"/>
        </w:rPr>
      </w:pPr>
    </w:p>
    <w:p w14:paraId="34951972" w14:textId="77777777" w:rsidR="00411620" w:rsidRPr="003B28FD" w:rsidRDefault="00411620" w:rsidP="00411620">
      <w:pPr>
        <w:spacing w:line="216" w:lineRule="auto"/>
        <w:rPr>
          <w:bCs/>
          <w:i/>
          <w:sz w:val="23"/>
          <w:szCs w:val="23"/>
          <w:rtl/>
        </w:rPr>
      </w:pPr>
      <w:r w:rsidRPr="003B28FD">
        <w:rPr>
          <w:rFonts w:hint="cs"/>
          <w:bCs/>
          <w:i/>
          <w:sz w:val="23"/>
          <w:szCs w:val="23"/>
          <w:rtl/>
        </w:rPr>
        <w:lastRenderedPageBreak/>
        <w:t>الف: حقوق بازنشستگی با پشتوانه</w:t>
      </w:r>
      <w:r w:rsidRPr="003B28FD">
        <w:rPr>
          <w:bCs/>
          <w:i/>
          <w:sz w:val="23"/>
          <w:szCs w:val="23"/>
          <w:rtl/>
        </w:rPr>
        <w:softHyphen/>
      </w:r>
      <w:r w:rsidRPr="003B28FD">
        <w:rPr>
          <w:rFonts w:hint="cs"/>
          <w:bCs/>
          <w:i/>
          <w:sz w:val="23"/>
          <w:szCs w:val="23"/>
          <w:rtl/>
        </w:rPr>
        <w:t>ی کامل</w:t>
      </w:r>
    </w:p>
    <w:p w14:paraId="56FDEAB4" w14:textId="77777777" w:rsidR="00411620" w:rsidRPr="003B28FD" w:rsidRDefault="00411620" w:rsidP="00411620">
      <w:pPr>
        <w:spacing w:line="216" w:lineRule="auto"/>
        <w:rPr>
          <w:i/>
          <w:sz w:val="23"/>
          <w:szCs w:val="23"/>
        </w:rPr>
      </w:pPr>
      <w:r w:rsidRPr="003B28FD">
        <w:rPr>
          <w:rFonts w:hint="cs"/>
          <w:i/>
          <w:sz w:val="23"/>
          <w:szCs w:val="23"/>
          <w:rtl/>
        </w:rPr>
        <w:t>اگر حقوق بازنشستگی با پشتوانه</w:t>
      </w:r>
      <w:r w:rsidRPr="003B28FD">
        <w:rPr>
          <w:i/>
          <w:sz w:val="23"/>
          <w:szCs w:val="23"/>
          <w:rtl/>
        </w:rPr>
        <w:softHyphen/>
      </w:r>
      <w:r w:rsidRPr="003B28FD">
        <w:rPr>
          <w:rFonts w:hint="cs"/>
          <w:i/>
          <w:sz w:val="23"/>
          <w:szCs w:val="23"/>
          <w:rtl/>
        </w:rPr>
        <w:t>ی کامل از طریق پس</w:t>
      </w:r>
      <w:r w:rsidRPr="003B28FD">
        <w:rPr>
          <w:i/>
          <w:sz w:val="23"/>
          <w:szCs w:val="23"/>
          <w:rtl/>
        </w:rPr>
        <w:softHyphen/>
      </w:r>
      <w:r w:rsidRPr="003B28FD">
        <w:rPr>
          <w:rFonts w:hint="cs"/>
          <w:i/>
          <w:sz w:val="23"/>
          <w:szCs w:val="23"/>
          <w:rtl/>
        </w:rPr>
        <w:t>انداز افراد محقق شود، آنگاه نیازی به ورود دولت برای تجزیه و تحلیل نیست. درآمد و حقوق نسل سالخورده و مسن در تجزیه و تحلیل قبلی مدل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پوش، درواقع حقوق بازنشستگی</w:t>
      </w:r>
      <w:r w:rsidRPr="003B28FD">
        <w:rPr>
          <w:i/>
          <w:sz w:val="23"/>
          <w:szCs w:val="23"/>
          <w:rtl/>
        </w:rPr>
        <w:softHyphen/>
      </w:r>
      <w:r w:rsidRPr="003B28FD">
        <w:rPr>
          <w:rFonts w:hint="cs"/>
          <w:i/>
          <w:sz w:val="23"/>
          <w:szCs w:val="23"/>
          <w:rtl/>
        </w:rPr>
        <w:t xml:space="preserve"> است که از محل پس</w:t>
      </w:r>
      <w:r w:rsidRPr="003B28FD">
        <w:rPr>
          <w:i/>
          <w:sz w:val="23"/>
          <w:szCs w:val="23"/>
          <w:rtl/>
        </w:rPr>
        <w:softHyphen/>
      </w:r>
      <w:r w:rsidRPr="003B28FD">
        <w:rPr>
          <w:rFonts w:hint="cs"/>
          <w:i/>
          <w:sz w:val="23"/>
          <w:szCs w:val="23"/>
          <w:rtl/>
        </w:rPr>
        <w:t>انداز</w:t>
      </w:r>
      <w:r w:rsidRPr="003B28FD">
        <w:rPr>
          <w:i/>
          <w:sz w:val="23"/>
          <w:szCs w:val="23"/>
          <w:rtl/>
        </w:rPr>
        <w:softHyphen/>
      </w:r>
      <w:r w:rsidRPr="003B28FD">
        <w:rPr>
          <w:rFonts w:hint="cs"/>
          <w:i/>
          <w:sz w:val="23"/>
          <w:szCs w:val="23"/>
          <w:rtl/>
        </w:rPr>
        <w:t>های گذشته</w:t>
      </w:r>
      <w:r w:rsidRPr="003B28FD">
        <w:rPr>
          <w:i/>
          <w:sz w:val="23"/>
          <w:szCs w:val="23"/>
          <w:rtl/>
        </w:rPr>
        <w:softHyphen/>
      </w:r>
      <w:r w:rsidRPr="003B28FD">
        <w:rPr>
          <w:rFonts w:hint="cs"/>
          <w:i/>
          <w:sz w:val="23"/>
          <w:szCs w:val="23"/>
          <w:rtl/>
        </w:rPr>
        <w:t>ی آن</w:t>
      </w:r>
      <w:r w:rsidRPr="003B28FD">
        <w:rPr>
          <w:i/>
          <w:sz w:val="23"/>
          <w:szCs w:val="23"/>
          <w:rtl/>
        </w:rPr>
        <w:softHyphen/>
      </w:r>
      <w:r w:rsidRPr="003B28FD">
        <w:rPr>
          <w:rFonts w:hint="cs"/>
          <w:i/>
          <w:sz w:val="23"/>
          <w:szCs w:val="23"/>
          <w:rtl/>
        </w:rPr>
        <w:t>ها ایجاد شده است. این شرایط با وجود حقوق بازنشستگی دولتی تغییر خواهد کرد. اگر حقوق بازنشستگی دولتی با پشتوانه</w:t>
      </w:r>
      <w:r w:rsidRPr="003B28FD">
        <w:rPr>
          <w:i/>
          <w:sz w:val="23"/>
          <w:szCs w:val="23"/>
          <w:rtl/>
        </w:rPr>
        <w:softHyphen/>
      </w:r>
      <w:r w:rsidRPr="003B28FD">
        <w:rPr>
          <w:rFonts w:hint="cs"/>
          <w:i/>
          <w:sz w:val="23"/>
          <w:szCs w:val="23"/>
          <w:rtl/>
        </w:rPr>
        <w:t>ی کامل باشد، آنگاه دولت از نسل جوان مالیات اخذ نموده، آن را سرمایه</w:t>
      </w:r>
      <w:r w:rsidRPr="003B28FD">
        <w:rPr>
          <w:i/>
          <w:sz w:val="23"/>
          <w:szCs w:val="23"/>
          <w:rtl/>
        </w:rPr>
        <w:softHyphen/>
      </w:r>
      <w:r w:rsidRPr="003B28FD">
        <w:rPr>
          <w:rFonts w:hint="cs"/>
          <w:i/>
          <w:sz w:val="23"/>
          <w:szCs w:val="23"/>
          <w:rtl/>
        </w:rPr>
        <w:t>گذاری کرده و وجوه حاصله را به نسل جوانی که سالخورده می</w:t>
      </w:r>
      <w:r w:rsidRPr="003B28FD">
        <w:rPr>
          <w:i/>
          <w:sz w:val="23"/>
          <w:szCs w:val="23"/>
          <w:rtl/>
        </w:rPr>
        <w:softHyphen/>
      </w:r>
      <w:r w:rsidRPr="003B28FD">
        <w:rPr>
          <w:rFonts w:hint="cs"/>
          <w:i/>
          <w:sz w:val="23"/>
          <w:szCs w:val="23"/>
          <w:rtl/>
        </w:rPr>
        <w:t>شوند بازپرداخت می</w:t>
      </w:r>
      <w:r w:rsidRPr="003B28FD">
        <w:rPr>
          <w:i/>
          <w:sz w:val="23"/>
          <w:szCs w:val="23"/>
          <w:rtl/>
        </w:rPr>
        <w:softHyphen/>
      </w:r>
      <w:r w:rsidRPr="003B28FD">
        <w:rPr>
          <w:rFonts w:hint="cs"/>
          <w:i/>
          <w:sz w:val="23"/>
          <w:szCs w:val="23"/>
          <w:rtl/>
        </w:rPr>
        <w:t>کند. بنابراین بنظر می</w:t>
      </w:r>
      <w:r w:rsidRPr="003B28FD">
        <w:rPr>
          <w:i/>
          <w:sz w:val="23"/>
          <w:szCs w:val="23"/>
          <w:rtl/>
        </w:rPr>
        <w:softHyphen/>
      </w:r>
      <w:r w:rsidRPr="003B28FD">
        <w:rPr>
          <w:rFonts w:hint="cs"/>
          <w:i/>
          <w:sz w:val="23"/>
          <w:szCs w:val="23"/>
          <w:rtl/>
        </w:rPr>
        <w:t>رسد که دولت، نسل جوان را بیش از آن</w:t>
      </w:r>
      <w:r w:rsidRPr="003B28FD">
        <w:rPr>
          <w:i/>
          <w:sz w:val="23"/>
          <w:szCs w:val="23"/>
          <w:rtl/>
        </w:rPr>
        <w:softHyphen/>
      </w:r>
      <w:r w:rsidRPr="003B28FD">
        <w:rPr>
          <w:rFonts w:hint="cs"/>
          <w:i/>
          <w:sz w:val="23"/>
          <w:szCs w:val="23"/>
          <w:rtl/>
        </w:rPr>
        <w:t>که خود می</w:t>
      </w:r>
      <w:r w:rsidRPr="003B28FD">
        <w:rPr>
          <w:i/>
          <w:sz w:val="23"/>
          <w:szCs w:val="23"/>
          <w:rtl/>
        </w:rPr>
        <w:softHyphen/>
      </w:r>
      <w:r w:rsidRPr="003B28FD">
        <w:rPr>
          <w:rFonts w:hint="cs"/>
          <w:i/>
          <w:sz w:val="23"/>
          <w:szCs w:val="23"/>
          <w:rtl/>
        </w:rPr>
        <w:t>خواستند به پس انداز ملزم می</w:t>
      </w:r>
      <w:r w:rsidRPr="003B28FD">
        <w:rPr>
          <w:i/>
          <w:sz w:val="23"/>
          <w:szCs w:val="23"/>
          <w:rtl/>
        </w:rPr>
        <w:softHyphen/>
      </w:r>
      <w:r w:rsidRPr="003B28FD">
        <w:rPr>
          <w:rFonts w:hint="cs"/>
          <w:i/>
          <w:sz w:val="23"/>
          <w:szCs w:val="23"/>
          <w:rtl/>
        </w:rPr>
        <w:t>کند. این مباحث با جزییات بیشتر مورد بررسی قرار می</w:t>
      </w:r>
      <w:r w:rsidRPr="003B28FD">
        <w:rPr>
          <w:i/>
          <w:sz w:val="23"/>
          <w:szCs w:val="23"/>
          <w:rtl/>
        </w:rPr>
        <w:softHyphen/>
      </w:r>
      <w:r w:rsidRPr="003B28FD">
        <w:rPr>
          <w:rFonts w:hint="cs"/>
          <w:i/>
          <w:sz w:val="23"/>
          <w:szCs w:val="23"/>
          <w:rtl/>
        </w:rPr>
        <w:t xml:space="preserve">گیرند. </w:t>
      </w:r>
    </w:p>
    <w:p w14:paraId="6621CF62" w14:textId="77777777" w:rsidR="00411620" w:rsidRPr="003B28FD" w:rsidRDefault="00411620" w:rsidP="00411620">
      <w:pPr>
        <w:spacing w:line="216" w:lineRule="auto"/>
        <w:rPr>
          <w:i/>
          <w:sz w:val="23"/>
          <w:szCs w:val="23"/>
          <w:rtl/>
        </w:rPr>
      </w:pPr>
      <w:r w:rsidRPr="003B28FD">
        <w:rPr>
          <w:rFonts w:hint="cs"/>
          <w:i/>
          <w:sz w:val="23"/>
          <w:szCs w:val="23"/>
          <w:rtl/>
        </w:rPr>
        <w:t>فرض کنید دولت مالیات</w:t>
      </w:r>
      <w:r w:rsidRPr="003B28FD">
        <w:rPr>
          <w:position w:val="-10"/>
        </w:rPr>
        <w:object w:dxaOrig="220" w:dyaOrig="320" w14:anchorId="488D388C">
          <v:shape id="_x0000_i3425" type="#_x0000_t75" style="width:10.9pt;height:16.35pt" o:ole="">
            <v:imagedata r:id="rId4836" o:title=""/>
          </v:shape>
          <o:OLEObject Type="Embed" ProgID="Equation.DSMT4" ShapeID="_x0000_i3425" DrawAspect="Content" ObjectID="_1791377369" r:id="rId4837"/>
        </w:object>
      </w:r>
      <w:r w:rsidRPr="003B28FD">
        <w:rPr>
          <w:rFonts w:hint="cs"/>
          <w:i/>
          <w:sz w:val="23"/>
          <w:szCs w:val="23"/>
          <w:rtl/>
        </w:rPr>
        <w:t xml:space="preserve"> عضو نسل جوان اخذ و آن</w:t>
      </w:r>
      <w:r w:rsidRPr="003B28FD">
        <w:rPr>
          <w:i/>
          <w:sz w:val="23"/>
          <w:szCs w:val="23"/>
          <w:rtl/>
        </w:rPr>
        <w:softHyphen/>
      </w:r>
      <w:r w:rsidRPr="003B28FD">
        <w:rPr>
          <w:rFonts w:hint="cs"/>
          <w:i/>
          <w:sz w:val="23"/>
          <w:szCs w:val="23"/>
          <w:rtl/>
        </w:rPr>
        <w:t>را سرمایه</w:t>
      </w:r>
      <w:r w:rsidRPr="003B28FD">
        <w:rPr>
          <w:i/>
          <w:sz w:val="23"/>
          <w:szCs w:val="23"/>
          <w:rtl/>
        </w:rPr>
        <w:softHyphen/>
      </w:r>
      <w:r w:rsidRPr="003B28FD">
        <w:rPr>
          <w:rFonts w:hint="cs"/>
          <w:i/>
          <w:sz w:val="23"/>
          <w:szCs w:val="23"/>
          <w:rtl/>
        </w:rPr>
        <w:t>گذاری کند، و در دوره</w:t>
      </w:r>
      <w:r w:rsidRPr="003B28FD">
        <w:rPr>
          <w:i/>
          <w:sz w:val="23"/>
          <w:szCs w:val="23"/>
          <w:rtl/>
        </w:rPr>
        <w:softHyphen/>
      </w:r>
      <w:r w:rsidRPr="003B28FD">
        <w:rPr>
          <w:rFonts w:hint="cs"/>
          <w:i/>
          <w:sz w:val="23"/>
          <w:szCs w:val="23"/>
          <w:rtl/>
        </w:rPr>
        <w:t>ی بعد که نسل جوان قادر به انجام کار نیست، عایدی سرمایه</w:t>
      </w:r>
      <w:r w:rsidRPr="003B28FD">
        <w:rPr>
          <w:i/>
          <w:sz w:val="23"/>
          <w:szCs w:val="23"/>
          <w:rtl/>
        </w:rPr>
        <w:softHyphen/>
      </w:r>
      <w:r w:rsidRPr="003B28FD">
        <w:rPr>
          <w:rFonts w:hint="cs"/>
          <w:i/>
          <w:sz w:val="23"/>
          <w:szCs w:val="23"/>
          <w:rtl/>
        </w:rPr>
        <w:t>گذاری</w:t>
      </w:r>
      <w:r w:rsidRPr="003B28FD">
        <w:rPr>
          <w:position w:val="-10"/>
        </w:rPr>
        <w:object w:dxaOrig="380" w:dyaOrig="320" w14:anchorId="6CBF2F52">
          <v:shape id="_x0000_i3426" type="#_x0000_t75" style="width:18.75pt;height:16.35pt" o:ole="">
            <v:imagedata r:id="rId4838" o:title=""/>
          </v:shape>
          <o:OLEObject Type="Embed" ProgID="Equation.DSMT4" ShapeID="_x0000_i3426" DrawAspect="Content" ObjectID="_1791377370" r:id="rId4839"/>
        </w:object>
      </w:r>
      <w:r w:rsidRPr="003B28FD">
        <w:rPr>
          <w:rFonts w:hint="cs"/>
          <w:i/>
          <w:sz w:val="23"/>
          <w:szCs w:val="23"/>
          <w:rtl/>
        </w:rPr>
        <w:t xml:space="preserve"> به</w:t>
      </w:r>
      <w:r w:rsidRPr="003B28FD">
        <w:rPr>
          <w:i/>
          <w:sz w:val="23"/>
          <w:szCs w:val="23"/>
          <w:rtl/>
        </w:rPr>
        <w:softHyphen/>
      </w:r>
      <w:r w:rsidRPr="003B28FD">
        <w:rPr>
          <w:rFonts w:hint="cs"/>
          <w:i/>
          <w:sz w:val="23"/>
          <w:szCs w:val="23"/>
          <w:rtl/>
        </w:rPr>
        <w:t>عنوان حقوق بازنشستگی را به آن</w:t>
      </w:r>
      <w:r w:rsidRPr="003B28FD">
        <w:rPr>
          <w:i/>
          <w:sz w:val="23"/>
          <w:szCs w:val="23"/>
          <w:rtl/>
        </w:rPr>
        <w:softHyphen/>
      </w:r>
      <w:r w:rsidRPr="003B28FD">
        <w:rPr>
          <w:rFonts w:hint="cs"/>
          <w:i/>
          <w:sz w:val="23"/>
          <w:szCs w:val="23"/>
          <w:rtl/>
        </w:rPr>
        <w:t>ها باز می</w:t>
      </w:r>
      <w:r w:rsidRPr="003B28FD">
        <w:rPr>
          <w:i/>
          <w:sz w:val="23"/>
          <w:szCs w:val="23"/>
          <w:rtl/>
        </w:rPr>
        <w:softHyphen/>
      </w:r>
      <w:r w:rsidRPr="003B28FD">
        <w:rPr>
          <w:rFonts w:hint="cs"/>
          <w:i/>
          <w:sz w:val="23"/>
          <w:szCs w:val="23"/>
          <w:rtl/>
        </w:rPr>
        <w:t>گرداند. در این طرح و برنامه</w:t>
      </w:r>
      <w:r w:rsidRPr="003B28FD">
        <w:rPr>
          <w:i/>
          <w:sz w:val="23"/>
          <w:szCs w:val="23"/>
          <w:rtl/>
        </w:rPr>
        <w:softHyphen/>
      </w:r>
      <w:r w:rsidRPr="003B28FD">
        <w:rPr>
          <w:rFonts w:hint="cs"/>
          <w:i/>
          <w:sz w:val="23"/>
          <w:szCs w:val="23"/>
          <w:rtl/>
        </w:rPr>
        <w:t xml:space="preserve"> حقوق بازنشستگی کاملاً با پشتوانه داریم</w:t>
      </w:r>
    </w:p>
    <w:p w14:paraId="3A1DD432" w14:textId="77777777" w:rsidR="00411620" w:rsidRPr="003B28FD" w:rsidRDefault="00411620" w:rsidP="00411620">
      <w:pPr>
        <w:bidi w:val="0"/>
        <w:spacing w:line="216" w:lineRule="auto"/>
        <w:rPr>
          <w:i/>
          <w:sz w:val="23"/>
          <w:szCs w:val="23"/>
          <w:rtl/>
        </w:rPr>
      </w:pPr>
      <w:r w:rsidRPr="003B28FD">
        <w:rPr>
          <w:position w:val="-12"/>
        </w:rPr>
        <w:object w:dxaOrig="1500" w:dyaOrig="360" w14:anchorId="7D873C2B">
          <v:shape id="_x0000_i3427" type="#_x0000_t75" style="width:75.05pt;height:18.15pt" o:ole="">
            <v:imagedata r:id="rId4840" o:title=""/>
          </v:shape>
          <o:OLEObject Type="Embed" ProgID="Equation.DSMT4" ShapeID="_x0000_i3427" DrawAspect="Content" ObjectID="_1791377371" r:id="rId4841"/>
        </w:object>
      </w:r>
      <w:r w:rsidRPr="003B28FD">
        <w:rPr>
          <w:rFonts w:hint="cs"/>
          <w:i/>
          <w:sz w:val="23"/>
          <w:szCs w:val="23"/>
        </w:rPr>
        <w:t xml:space="preserve"> </w:t>
      </w:r>
    </w:p>
    <w:p w14:paraId="256243BA" w14:textId="77777777" w:rsidR="00411620" w:rsidRPr="003B28FD" w:rsidRDefault="00411620" w:rsidP="00411620">
      <w:pPr>
        <w:spacing w:line="216" w:lineRule="auto"/>
        <w:rPr>
          <w:i/>
          <w:sz w:val="23"/>
          <w:szCs w:val="23"/>
          <w:rtl/>
        </w:rPr>
      </w:pPr>
      <w:r w:rsidRPr="003B28FD">
        <w:rPr>
          <w:rFonts w:hint="cs"/>
          <w:i/>
          <w:sz w:val="23"/>
          <w:szCs w:val="23"/>
          <w:rtl/>
        </w:rPr>
        <w:t xml:space="preserve">باید توجه نمود که در یک حالت تصادفی مقدار </w:t>
      </w:r>
      <w:r w:rsidRPr="003B28FD">
        <w:rPr>
          <w:position w:val="-10"/>
        </w:rPr>
        <w:object w:dxaOrig="380" w:dyaOrig="320" w14:anchorId="481C46AA">
          <v:shape id="_x0000_i3428" type="#_x0000_t75" style="width:18.75pt;height:16.35pt" o:ole="">
            <v:imagedata r:id="rId4842" o:title=""/>
          </v:shape>
          <o:OLEObject Type="Embed" ProgID="Equation.DSMT4" ShapeID="_x0000_i3428" DrawAspect="Content" ObjectID="_1791377372" r:id="rId4843"/>
        </w:object>
      </w:r>
      <w:r w:rsidRPr="003B28FD">
        <w:rPr>
          <w:rFonts w:hint="cs"/>
          <w:i/>
          <w:sz w:val="23"/>
          <w:szCs w:val="23"/>
          <w:rtl/>
        </w:rPr>
        <w:t xml:space="preserve"> با قطعیت معین نیست. قید بودجه</w:t>
      </w:r>
      <w:r w:rsidRPr="003B28FD">
        <w:rPr>
          <w:i/>
          <w:sz w:val="23"/>
          <w:szCs w:val="23"/>
          <w:rtl/>
        </w:rPr>
        <w:softHyphen/>
      </w:r>
      <w:r w:rsidRPr="003B28FD">
        <w:rPr>
          <w:rFonts w:hint="cs"/>
          <w:i/>
          <w:sz w:val="23"/>
          <w:szCs w:val="23"/>
          <w:rtl/>
        </w:rPr>
        <w:t>ی نسل جوان عبارت است از</w:t>
      </w:r>
    </w:p>
    <w:p w14:paraId="45CD0DF0" w14:textId="77777777" w:rsidR="00411620" w:rsidRPr="003B28FD" w:rsidRDefault="00411620" w:rsidP="00411620">
      <w:pPr>
        <w:bidi w:val="0"/>
        <w:spacing w:line="216" w:lineRule="auto"/>
        <w:rPr>
          <w:i/>
          <w:sz w:val="23"/>
          <w:szCs w:val="23"/>
        </w:rPr>
      </w:pPr>
      <w:r w:rsidRPr="003B28FD">
        <w:rPr>
          <w:position w:val="-10"/>
        </w:rPr>
        <w:object w:dxaOrig="1460" w:dyaOrig="320" w14:anchorId="7FCFCA23">
          <v:shape id="_x0000_i3429" type="#_x0000_t75" style="width:73.2pt;height:16.35pt" o:ole="">
            <v:imagedata r:id="rId4844" o:title=""/>
          </v:shape>
          <o:OLEObject Type="Embed" ProgID="Equation.DSMT4" ShapeID="_x0000_i3429" DrawAspect="Content" ObjectID="_1791377373" r:id="rId4845"/>
        </w:object>
      </w:r>
    </w:p>
    <w:p w14:paraId="669C8215" w14:textId="77777777" w:rsidR="00411620" w:rsidRPr="003B28FD" w:rsidRDefault="00411620" w:rsidP="00411620">
      <w:pPr>
        <w:spacing w:line="216" w:lineRule="auto"/>
        <w:rPr>
          <w:i/>
          <w:sz w:val="23"/>
          <w:szCs w:val="23"/>
          <w:rtl/>
        </w:rPr>
      </w:pPr>
      <w:r w:rsidRPr="003B28FD">
        <w:rPr>
          <w:rFonts w:hint="cs"/>
          <w:i/>
          <w:sz w:val="23"/>
          <w:szCs w:val="23"/>
          <w:rtl/>
        </w:rPr>
        <w:t>و مصرف آن</w:t>
      </w:r>
      <w:r w:rsidRPr="003B28FD">
        <w:rPr>
          <w:i/>
          <w:sz w:val="23"/>
          <w:szCs w:val="23"/>
          <w:rtl/>
        </w:rPr>
        <w:softHyphen/>
      </w:r>
      <w:r w:rsidRPr="003B28FD">
        <w:rPr>
          <w:rFonts w:hint="cs"/>
          <w:i/>
          <w:sz w:val="23"/>
          <w:szCs w:val="23"/>
          <w:rtl/>
        </w:rPr>
        <w:t>ها در سن سالخوردگی برابر است با</w:t>
      </w:r>
    </w:p>
    <w:p w14:paraId="1D374DED" w14:textId="77777777" w:rsidR="00411620" w:rsidRPr="003B28FD" w:rsidRDefault="00411620" w:rsidP="00411620">
      <w:pPr>
        <w:bidi w:val="0"/>
        <w:spacing w:line="216" w:lineRule="auto"/>
        <w:rPr>
          <w:i/>
          <w:sz w:val="23"/>
          <w:szCs w:val="23"/>
        </w:rPr>
      </w:pPr>
      <w:r w:rsidRPr="003B28FD">
        <w:rPr>
          <w:position w:val="-12"/>
        </w:rPr>
        <w:object w:dxaOrig="3760" w:dyaOrig="360" w14:anchorId="618A8D82">
          <v:shape id="_x0000_i3430" type="#_x0000_t75" style="width:188.15pt;height:18.15pt" o:ole="">
            <v:imagedata r:id="rId4846" o:title=""/>
          </v:shape>
          <o:OLEObject Type="Embed" ProgID="Equation.DSMT4" ShapeID="_x0000_i3430" DrawAspect="Content" ObjectID="_1791377374" r:id="rId4847"/>
        </w:object>
      </w:r>
    </w:p>
    <w:p w14:paraId="6DB53EF5" w14:textId="77777777" w:rsidR="00411620" w:rsidRPr="003B28FD" w:rsidRDefault="00411620" w:rsidP="00411620">
      <w:pPr>
        <w:spacing w:line="216" w:lineRule="auto"/>
        <w:rPr>
          <w:i/>
          <w:sz w:val="23"/>
          <w:szCs w:val="23"/>
          <w:rtl/>
        </w:rPr>
      </w:pPr>
      <w:r w:rsidRPr="003B28FD">
        <w:rPr>
          <w:rFonts w:hint="cs"/>
          <w:i/>
          <w:sz w:val="23"/>
          <w:szCs w:val="23"/>
          <w:rtl/>
        </w:rPr>
        <w:t>بنابراین قید بودجه</w:t>
      </w:r>
      <w:r w:rsidRPr="003B28FD">
        <w:rPr>
          <w:i/>
          <w:sz w:val="23"/>
          <w:szCs w:val="23"/>
          <w:rtl/>
        </w:rPr>
        <w:softHyphen/>
      </w:r>
      <w:r w:rsidRPr="003B28FD">
        <w:rPr>
          <w:rFonts w:hint="cs"/>
          <w:i/>
          <w:sz w:val="23"/>
          <w:szCs w:val="23"/>
          <w:rtl/>
        </w:rPr>
        <w:t>ی بین‌دوره</w:t>
      </w:r>
      <w:r w:rsidRPr="003B28FD">
        <w:rPr>
          <w:i/>
          <w:sz w:val="23"/>
          <w:szCs w:val="23"/>
          <w:rtl/>
        </w:rPr>
        <w:softHyphen/>
      </w:r>
      <w:r w:rsidRPr="003B28FD">
        <w:rPr>
          <w:rFonts w:hint="cs"/>
          <w:i/>
          <w:sz w:val="23"/>
          <w:szCs w:val="23"/>
          <w:rtl/>
        </w:rPr>
        <w:t>ی عبارت خواهد بود از</w:t>
      </w:r>
    </w:p>
    <w:p w14:paraId="5D3D303E" w14:textId="77777777" w:rsidR="00411620" w:rsidRPr="003B28FD" w:rsidRDefault="00411620" w:rsidP="00411620">
      <w:pPr>
        <w:bidi w:val="0"/>
        <w:spacing w:line="216" w:lineRule="auto"/>
        <w:rPr>
          <w:i/>
          <w:sz w:val="23"/>
          <w:szCs w:val="23"/>
        </w:rPr>
      </w:pPr>
      <w:r w:rsidRPr="003B28FD">
        <w:rPr>
          <w:position w:val="-12"/>
        </w:rPr>
        <w:object w:dxaOrig="2240" w:dyaOrig="360" w14:anchorId="1B63AA8A">
          <v:shape id="_x0000_i3431" type="#_x0000_t75" style="width:111.95pt;height:18.15pt" o:ole="">
            <v:imagedata r:id="rId4848" o:title=""/>
          </v:shape>
          <o:OLEObject Type="Embed" ProgID="Equation.DSMT4" ShapeID="_x0000_i3431" DrawAspect="Content" ObjectID="_1791377375" r:id="rId4849"/>
        </w:object>
      </w:r>
      <w:r w:rsidRPr="003B28FD">
        <w:rPr>
          <w:i/>
          <w:sz w:val="23"/>
          <w:szCs w:val="23"/>
          <w:rtl/>
        </w:rPr>
        <w:tab/>
      </w:r>
      <w:r w:rsidRPr="003B28FD">
        <w:rPr>
          <w:i/>
          <w:sz w:val="23"/>
          <w:szCs w:val="23"/>
          <w:rtl/>
        </w:rPr>
        <w:tab/>
      </w:r>
      <w:r w:rsidRPr="003B28FD">
        <w:rPr>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Pr>
        <w:tab/>
      </w:r>
      <w:r>
        <w:rPr>
          <w:i/>
          <w:sz w:val="23"/>
          <w:szCs w:val="23"/>
        </w:rPr>
        <w:tab/>
      </w:r>
      <w:r w:rsidRPr="003B28FD">
        <w:rPr>
          <w:i/>
          <w:sz w:val="23"/>
          <w:szCs w:val="23"/>
        </w:rPr>
        <w:tab/>
      </w:r>
      <w:r w:rsidRPr="003B28FD">
        <w:rPr>
          <w:i/>
          <w:sz w:val="23"/>
          <w:szCs w:val="23"/>
          <w:rtl/>
        </w:rPr>
        <w:tab/>
      </w:r>
      <w:r>
        <w:rPr>
          <w:i/>
          <w:sz w:val="23"/>
          <w:szCs w:val="23"/>
          <w:rtl/>
        </w:rPr>
        <w:tab/>
      </w:r>
      <w:r w:rsidRPr="003B28FD">
        <w:rPr>
          <w:i/>
          <w:sz w:val="23"/>
          <w:szCs w:val="23"/>
        </w:rPr>
        <w:tab/>
      </w:r>
      <w:r w:rsidRPr="003B28FD">
        <w:rPr>
          <w:i/>
          <w:sz w:val="23"/>
          <w:szCs w:val="23"/>
          <w:rtl/>
        </w:rPr>
        <w:tab/>
      </w:r>
      <w:r w:rsidRPr="003B28FD">
        <w:rPr>
          <w:i/>
          <w:sz w:val="23"/>
          <w:szCs w:val="23"/>
          <w:rtl/>
        </w:rPr>
        <w:tab/>
      </w:r>
      <w:r w:rsidRPr="003B28FD">
        <w:rPr>
          <w:rFonts w:hint="cs"/>
          <w:i/>
          <w:sz w:val="23"/>
          <w:szCs w:val="23"/>
          <w:rtl/>
        </w:rPr>
        <w:t>(۶. ۴۵)</w:t>
      </w:r>
    </w:p>
    <w:p w14:paraId="0F70A274" w14:textId="77777777" w:rsidR="00411620" w:rsidRPr="003B28FD" w:rsidRDefault="00411620" w:rsidP="00411620">
      <w:pPr>
        <w:spacing w:line="216" w:lineRule="auto"/>
        <w:rPr>
          <w:i/>
          <w:sz w:val="23"/>
          <w:szCs w:val="23"/>
          <w:rtl/>
        </w:rPr>
      </w:pPr>
      <w:r w:rsidRPr="003B28FD">
        <w:rPr>
          <w:rFonts w:hint="cs"/>
          <w:i/>
          <w:sz w:val="23"/>
          <w:szCs w:val="23"/>
          <w:rtl/>
        </w:rPr>
        <w:t>معادله</w:t>
      </w:r>
      <w:r w:rsidRPr="003B28FD">
        <w:rPr>
          <w:i/>
          <w:sz w:val="23"/>
          <w:szCs w:val="23"/>
          <w:rtl/>
        </w:rPr>
        <w:softHyphen/>
      </w:r>
      <w:r w:rsidRPr="003B28FD">
        <w:rPr>
          <w:rFonts w:hint="cs"/>
          <w:i/>
          <w:sz w:val="23"/>
          <w:szCs w:val="23"/>
          <w:rtl/>
        </w:rPr>
        <w:t xml:space="preserve">ی اویلر (۲. ۱۲) نیز همانند قبل است. </w:t>
      </w:r>
    </w:p>
    <w:p w14:paraId="6F14ED24" w14:textId="77777777" w:rsidR="00411620" w:rsidRPr="003B28FD" w:rsidRDefault="00411620" w:rsidP="00411620">
      <w:pPr>
        <w:spacing w:line="216" w:lineRule="auto"/>
        <w:rPr>
          <w:i/>
          <w:sz w:val="23"/>
          <w:szCs w:val="23"/>
          <w:rtl/>
        </w:rPr>
      </w:pPr>
      <w:r w:rsidRPr="003B28FD">
        <w:rPr>
          <w:rFonts w:hint="cs"/>
          <w:i/>
          <w:sz w:val="23"/>
          <w:szCs w:val="23"/>
          <w:rtl/>
        </w:rPr>
        <w:t>قید منبع کل اقتصاد در زمان</w:t>
      </w:r>
      <w:r w:rsidRPr="003B28FD">
        <w:rPr>
          <w:position w:val="-6"/>
        </w:rPr>
        <w:object w:dxaOrig="139" w:dyaOrig="240" w14:anchorId="599242B4">
          <v:shape id="_x0000_i3432" type="#_x0000_t75" style="width:7.25pt;height:11.5pt" o:ole="">
            <v:imagedata r:id="rId4850" o:title=""/>
          </v:shape>
          <o:OLEObject Type="Embed" ProgID="Equation.DSMT4" ShapeID="_x0000_i3432" DrawAspect="Content" ObjectID="_1791377376" r:id="rId4851"/>
        </w:object>
      </w:r>
      <w:r w:rsidRPr="003B28FD">
        <w:rPr>
          <w:i/>
          <w:sz w:val="23"/>
          <w:szCs w:val="23"/>
        </w:rPr>
        <w:t xml:space="preserve"> </w:t>
      </w:r>
      <w:r w:rsidRPr="003B28FD">
        <w:rPr>
          <w:rFonts w:hint="cs"/>
          <w:i/>
          <w:sz w:val="23"/>
          <w:szCs w:val="23"/>
          <w:rtl/>
        </w:rPr>
        <w:t>برابر است با</w:t>
      </w:r>
    </w:p>
    <w:p w14:paraId="10DA7657" w14:textId="77777777" w:rsidR="00411620" w:rsidRPr="003B28FD" w:rsidRDefault="00411620" w:rsidP="00411620">
      <w:pPr>
        <w:bidi w:val="0"/>
        <w:spacing w:line="216" w:lineRule="auto"/>
        <w:rPr>
          <w:i/>
          <w:sz w:val="23"/>
          <w:szCs w:val="23"/>
        </w:rPr>
      </w:pPr>
      <w:r w:rsidRPr="003B28FD">
        <w:rPr>
          <w:position w:val="-30"/>
        </w:rPr>
        <w:object w:dxaOrig="5820" w:dyaOrig="700" w14:anchorId="5B15D3AC">
          <v:shape id="_x0000_i3433" type="#_x0000_t75" style="width:291.05pt;height:34.5pt" o:ole="">
            <v:imagedata r:id="rId4852" o:title=""/>
          </v:shape>
          <o:OLEObject Type="Embed" ProgID="Equation.DSMT4" ShapeID="_x0000_i3433" DrawAspect="Content" ObjectID="_1791377377" r:id="rId4853"/>
        </w:object>
      </w:r>
    </w:p>
    <w:p w14:paraId="27FAAF9D" w14:textId="77777777" w:rsidR="00411620" w:rsidRPr="003B28FD" w:rsidRDefault="00411620" w:rsidP="00411620">
      <w:pPr>
        <w:spacing w:line="216" w:lineRule="auto"/>
        <w:rPr>
          <w:i/>
          <w:sz w:val="23"/>
          <w:szCs w:val="23"/>
          <w:rtl/>
        </w:rPr>
      </w:pPr>
      <w:r w:rsidRPr="003B28FD">
        <w:rPr>
          <w:rFonts w:hint="cs"/>
          <w:i/>
          <w:sz w:val="23"/>
          <w:szCs w:val="23"/>
          <w:rtl/>
        </w:rPr>
        <w:t>بنابراین</w:t>
      </w:r>
    </w:p>
    <w:p w14:paraId="572FE2DD" w14:textId="77777777" w:rsidR="00411620" w:rsidRPr="003B28FD" w:rsidRDefault="00411620" w:rsidP="00411620">
      <w:pPr>
        <w:bidi w:val="0"/>
        <w:spacing w:line="216" w:lineRule="auto"/>
        <w:rPr>
          <w:i/>
          <w:sz w:val="23"/>
          <w:szCs w:val="23"/>
        </w:rPr>
      </w:pPr>
      <w:r w:rsidRPr="003B28FD">
        <w:rPr>
          <w:position w:val="-14"/>
        </w:rPr>
        <w:object w:dxaOrig="4580" w:dyaOrig="380" w14:anchorId="6F6656FB">
          <v:shape id="_x0000_i3434" type="#_x0000_t75" style="width:228.7pt;height:18.75pt" o:ole="">
            <v:imagedata r:id="rId4854" o:title=""/>
          </v:shape>
          <o:OLEObject Type="Embed" ProgID="Equation.DSMT4" ShapeID="_x0000_i3434" DrawAspect="Content" ObjectID="_1791377378" r:id="rId4855"/>
        </w:object>
      </w:r>
    </w:p>
    <w:p w14:paraId="631F2767" w14:textId="77777777" w:rsidR="00411620" w:rsidRPr="003B28FD" w:rsidRDefault="00411620" w:rsidP="00411620">
      <w:pPr>
        <w:spacing w:line="216" w:lineRule="auto"/>
        <w:rPr>
          <w:i/>
          <w:sz w:val="23"/>
          <w:szCs w:val="23"/>
          <w:rtl/>
        </w:rPr>
      </w:pPr>
      <w:r w:rsidRPr="003B28FD">
        <w:rPr>
          <w:i/>
          <w:sz w:val="23"/>
          <w:szCs w:val="23"/>
        </w:rPr>
        <w:softHyphen/>
      </w:r>
      <w:r w:rsidRPr="003B28FD">
        <w:rPr>
          <w:rFonts w:hint="cs"/>
          <w:i/>
          <w:sz w:val="23"/>
          <w:szCs w:val="23"/>
          <w:rtl/>
        </w:rPr>
        <w:t>که بر حسب سرانه برابر خواهد بود با</w:t>
      </w:r>
    </w:p>
    <w:p w14:paraId="3D378292" w14:textId="77777777" w:rsidR="00411620" w:rsidRPr="003B28FD" w:rsidRDefault="00411620" w:rsidP="00411620">
      <w:pPr>
        <w:bidi w:val="0"/>
        <w:spacing w:line="216" w:lineRule="auto"/>
        <w:rPr>
          <w:i/>
          <w:sz w:val="23"/>
          <w:szCs w:val="23"/>
          <w:rtl/>
        </w:rPr>
      </w:pPr>
      <w:r w:rsidRPr="003B28FD">
        <w:rPr>
          <w:position w:val="-12"/>
        </w:rPr>
        <w:object w:dxaOrig="1680" w:dyaOrig="360" w14:anchorId="4423D1CC">
          <v:shape id="_x0000_i3435" type="#_x0000_t75" style="width:84.1pt;height:18.15pt" o:ole="">
            <v:imagedata r:id="rId4856" o:title=""/>
          </v:shape>
          <o:OLEObject Type="Embed" ProgID="Equation.DSMT4" ShapeID="_x0000_i3435" DrawAspect="Content" ObjectID="_1791377379" r:id="rId4857"/>
        </w:object>
      </w:r>
      <w:r w:rsidRPr="003B28FD">
        <w:rPr>
          <w:rFonts w:hint="cs"/>
          <w:i/>
          <w:sz w:val="23"/>
          <w:szCs w:val="23"/>
          <w:rtl/>
        </w:rPr>
        <w:t xml:space="preserve"> </w:t>
      </w:r>
      <w:r w:rsidRPr="003B28FD">
        <w:rPr>
          <w:rFonts w:hint="cs"/>
          <w:i/>
          <w:sz w:val="23"/>
          <w:szCs w:val="23"/>
          <w:rtl/>
        </w:rPr>
        <w:tab/>
      </w:r>
      <w:r w:rsidRPr="003B28FD">
        <w:rPr>
          <w:rFonts w:hint="cs"/>
          <w:i/>
          <w:sz w:val="23"/>
          <w:szCs w:val="23"/>
          <w:rtl/>
        </w:rPr>
        <w:tab/>
      </w:r>
      <w:r w:rsidRPr="003B28FD">
        <w:rPr>
          <w:rFonts w:hint="cs"/>
          <w:i/>
          <w:sz w:val="23"/>
          <w:szCs w:val="23"/>
          <w:rtl/>
        </w:rPr>
        <w:tab/>
      </w:r>
      <w:r w:rsidRPr="003B28FD">
        <w:rPr>
          <w:rFonts w:hint="cs"/>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tl/>
        </w:rPr>
        <w:tab/>
      </w:r>
      <w:r>
        <w:rPr>
          <w:i/>
          <w:sz w:val="23"/>
          <w:szCs w:val="23"/>
          <w:rtl/>
        </w:rPr>
        <w:tab/>
      </w:r>
      <w:r w:rsidRPr="003B28FD">
        <w:rPr>
          <w:rFonts w:hint="cs"/>
          <w:i/>
          <w:sz w:val="23"/>
          <w:szCs w:val="23"/>
          <w:rtl/>
        </w:rPr>
        <w:tab/>
      </w:r>
      <w:r w:rsidRPr="003B28FD">
        <w:rPr>
          <w:i/>
          <w:sz w:val="23"/>
          <w:szCs w:val="23"/>
          <w:rtl/>
        </w:rPr>
        <w:tab/>
      </w:r>
      <w:r w:rsidRPr="003B28FD">
        <w:rPr>
          <w:rFonts w:hint="cs"/>
          <w:i/>
          <w:sz w:val="23"/>
          <w:szCs w:val="23"/>
          <w:rtl/>
        </w:rPr>
        <w:t>(۶. ۴۶)</w:t>
      </w:r>
    </w:p>
    <w:p w14:paraId="1598E0F3" w14:textId="77777777" w:rsidR="00411620" w:rsidRPr="003B28FD" w:rsidRDefault="00411620" w:rsidP="00411620">
      <w:pPr>
        <w:spacing w:line="216" w:lineRule="auto"/>
        <w:rPr>
          <w:i/>
          <w:sz w:val="23"/>
          <w:szCs w:val="23"/>
          <w:rtl/>
        </w:rPr>
      </w:pPr>
      <w:r w:rsidRPr="003B28FD">
        <w:rPr>
          <w:rFonts w:hint="cs"/>
          <w:i/>
          <w:sz w:val="23"/>
          <w:szCs w:val="23"/>
          <w:rtl/>
        </w:rPr>
        <w:t>درواقع</w:t>
      </w:r>
      <w:r w:rsidRPr="003B28FD">
        <w:rPr>
          <w:position w:val="-10"/>
        </w:rPr>
        <w:object w:dxaOrig="560" w:dyaOrig="320" w14:anchorId="2D344744">
          <v:shape id="_x0000_i3436" type="#_x0000_t75" style="width:27.85pt;height:16.35pt" o:ole="">
            <v:imagedata r:id="rId4858" o:title=""/>
          </v:shape>
          <o:OLEObject Type="Embed" ProgID="Equation.DSMT4" ShapeID="_x0000_i3436" DrawAspect="Content" ObjectID="_1791377380" r:id="rId4859"/>
        </w:object>
      </w:r>
      <w:r w:rsidRPr="003B28FD">
        <w:rPr>
          <w:rFonts w:hint="cs"/>
          <w:i/>
          <w:sz w:val="23"/>
          <w:szCs w:val="23"/>
          <w:rtl/>
        </w:rPr>
        <w:t xml:space="preserve"> جایگزین</w:t>
      </w:r>
      <w:r w:rsidRPr="003B28FD">
        <w:rPr>
          <w:position w:val="-10"/>
        </w:rPr>
        <w:object w:dxaOrig="200" w:dyaOrig="320" w14:anchorId="499ED278">
          <v:shape id="_x0000_i3437" type="#_x0000_t75" style="width:10.3pt;height:16.35pt" o:ole="">
            <v:imagedata r:id="rId4860" o:title=""/>
          </v:shape>
          <o:OLEObject Type="Embed" ProgID="Equation.DSMT4" ShapeID="_x0000_i3437" DrawAspect="Content" ObjectID="_1791377381" r:id="rId4861"/>
        </w:object>
      </w:r>
      <w:r w:rsidRPr="003B28FD">
        <w:rPr>
          <w:rFonts w:hint="cs"/>
          <w:i/>
          <w:sz w:val="23"/>
          <w:szCs w:val="23"/>
          <w:rtl/>
        </w:rPr>
        <w:t xml:space="preserve"> شده است.</w:t>
      </w:r>
    </w:p>
    <w:p w14:paraId="24FA8FD0" w14:textId="77777777" w:rsidR="00411620" w:rsidRPr="003B28FD" w:rsidRDefault="00411620" w:rsidP="00411620">
      <w:pPr>
        <w:spacing w:line="216" w:lineRule="auto"/>
        <w:rPr>
          <w:i/>
          <w:sz w:val="23"/>
          <w:szCs w:val="23"/>
        </w:rPr>
      </w:pPr>
      <w:r w:rsidRPr="003B28FD">
        <w:rPr>
          <w:rFonts w:hint="cs"/>
          <w:i/>
          <w:sz w:val="23"/>
          <w:szCs w:val="23"/>
          <w:rtl/>
        </w:rPr>
        <w:t>مالیات</w:t>
      </w:r>
      <w:r w:rsidRPr="003B28FD">
        <w:rPr>
          <w:position w:val="-10"/>
        </w:rPr>
        <w:object w:dxaOrig="220" w:dyaOrig="320" w14:anchorId="6CFD2C78">
          <v:shape id="_x0000_i3438" type="#_x0000_t75" style="width:10.9pt;height:16.35pt" o:ole="">
            <v:imagedata r:id="rId4862" o:title=""/>
          </v:shape>
          <o:OLEObject Type="Embed" ProgID="Equation.DSMT4" ShapeID="_x0000_i3438" DrawAspect="Content" ObjectID="_1791377382" r:id="rId4863"/>
        </w:object>
      </w:r>
      <w:r w:rsidRPr="003B28FD">
        <w:rPr>
          <w:rFonts w:hint="cs"/>
          <w:i/>
          <w:sz w:val="23"/>
          <w:szCs w:val="23"/>
          <w:rtl/>
        </w:rPr>
        <w:t>که متغیری برون</w:t>
      </w:r>
      <w:r w:rsidRPr="003B28FD">
        <w:rPr>
          <w:i/>
          <w:sz w:val="23"/>
          <w:szCs w:val="23"/>
          <w:rtl/>
        </w:rPr>
        <w:softHyphen/>
      </w:r>
      <w:r w:rsidRPr="003B28FD">
        <w:rPr>
          <w:rFonts w:hint="cs"/>
          <w:i/>
          <w:sz w:val="23"/>
          <w:szCs w:val="23"/>
          <w:rtl/>
        </w:rPr>
        <w:t>زاست و توسط دولت تعیین می</w:t>
      </w:r>
      <w:r w:rsidRPr="003B28FD">
        <w:rPr>
          <w:i/>
          <w:sz w:val="23"/>
          <w:szCs w:val="23"/>
          <w:rtl/>
        </w:rPr>
        <w:softHyphen/>
      </w:r>
      <w:r w:rsidRPr="003B28FD">
        <w:rPr>
          <w:rFonts w:hint="cs"/>
          <w:i/>
          <w:sz w:val="23"/>
          <w:szCs w:val="23"/>
          <w:rtl/>
        </w:rPr>
        <w:t>شود، در صورتی</w:t>
      </w:r>
      <w:r w:rsidRPr="003B28FD">
        <w:rPr>
          <w:i/>
          <w:sz w:val="23"/>
          <w:szCs w:val="23"/>
          <w:rtl/>
        </w:rPr>
        <w:softHyphen/>
      </w:r>
      <w:r w:rsidRPr="003B28FD">
        <w:rPr>
          <w:rFonts w:hint="cs"/>
          <w:i/>
          <w:sz w:val="23"/>
          <w:szCs w:val="23"/>
          <w:rtl/>
        </w:rPr>
        <w:t>که</w:t>
      </w:r>
      <w:r w:rsidRPr="003B28FD">
        <w:rPr>
          <w:position w:val="-12"/>
        </w:rPr>
        <w:object w:dxaOrig="1340" w:dyaOrig="360" w14:anchorId="479FE07E">
          <v:shape id="_x0000_i3439" type="#_x0000_t75" style="width:67.15pt;height:18.15pt" o:ole="">
            <v:imagedata r:id="rId4864" o:title=""/>
          </v:shape>
          <o:OLEObject Type="Embed" ProgID="Equation.DSMT4" ShapeID="_x0000_i3439" DrawAspect="Content" ObjectID="_1791377383" r:id="rId4865"/>
        </w:object>
      </w:r>
      <w:r w:rsidRPr="003B28FD">
        <w:rPr>
          <w:rFonts w:hint="cs"/>
          <w:i/>
          <w:sz w:val="23"/>
          <w:szCs w:val="23"/>
          <w:rtl/>
        </w:rPr>
        <w:t xml:space="preserve"> باشد، یعنی وقتی مداخله</w:t>
      </w:r>
      <w:r w:rsidRPr="003B28FD">
        <w:rPr>
          <w:i/>
          <w:sz w:val="23"/>
          <w:szCs w:val="23"/>
          <w:rtl/>
        </w:rPr>
        <w:softHyphen/>
      </w:r>
      <w:r w:rsidRPr="003B28FD">
        <w:rPr>
          <w:rFonts w:hint="cs"/>
          <w:i/>
          <w:sz w:val="23"/>
          <w:szCs w:val="23"/>
          <w:rtl/>
        </w:rPr>
        <w:t>ی دولت وجود ندارد، نباید بیشتر از کل پس</w:t>
      </w:r>
      <w:r w:rsidRPr="003B28FD">
        <w:rPr>
          <w:i/>
          <w:sz w:val="23"/>
          <w:szCs w:val="23"/>
          <w:rtl/>
        </w:rPr>
        <w:softHyphen/>
      </w:r>
      <w:r w:rsidRPr="003B28FD">
        <w:rPr>
          <w:rFonts w:hint="cs"/>
          <w:i/>
          <w:sz w:val="23"/>
          <w:szCs w:val="23"/>
          <w:rtl/>
        </w:rPr>
        <w:t>انداز باشد. موجودی سرمایه</w:t>
      </w:r>
      <w:r w:rsidRPr="003B28FD">
        <w:rPr>
          <w:i/>
          <w:sz w:val="23"/>
          <w:szCs w:val="23"/>
          <w:rtl/>
        </w:rPr>
        <w:softHyphen/>
      </w:r>
      <w:r w:rsidRPr="003B28FD">
        <w:rPr>
          <w:rFonts w:hint="cs"/>
          <w:i/>
          <w:sz w:val="23"/>
          <w:szCs w:val="23"/>
          <w:rtl/>
        </w:rPr>
        <w:t>ی مطلوب، و بنابراین پس</w:t>
      </w:r>
      <w:r w:rsidRPr="003B28FD">
        <w:rPr>
          <w:i/>
          <w:sz w:val="23"/>
          <w:szCs w:val="23"/>
          <w:rtl/>
        </w:rPr>
        <w:softHyphen/>
      </w:r>
      <w:r w:rsidRPr="003B28FD">
        <w:rPr>
          <w:rFonts w:hint="cs"/>
          <w:i/>
          <w:sz w:val="23"/>
          <w:szCs w:val="23"/>
          <w:rtl/>
        </w:rPr>
        <w:t xml:space="preserve">انداز کل، همانند وقتی است که حقوق بازنشستگی دولتی کاملاً با پشتوانه </w:t>
      </w:r>
      <w:r w:rsidRPr="003B28FD">
        <w:rPr>
          <w:rFonts w:hint="cs"/>
          <w:i/>
          <w:sz w:val="23"/>
          <w:szCs w:val="23"/>
          <w:rtl/>
        </w:rPr>
        <w:lastRenderedPageBreak/>
        <w:t>وجود ندارد. در این حالت مقدار ناچیزی برای حقوق بازنشستگی دولتی وجود دارد. افراد بسادگی پس</w:t>
      </w:r>
      <w:r w:rsidRPr="003B28FD">
        <w:rPr>
          <w:i/>
          <w:sz w:val="23"/>
          <w:szCs w:val="23"/>
          <w:rtl/>
        </w:rPr>
        <w:softHyphen/>
      </w:r>
      <w:r w:rsidRPr="003B28FD">
        <w:rPr>
          <w:rFonts w:hint="cs"/>
          <w:i/>
          <w:sz w:val="23"/>
          <w:szCs w:val="23"/>
          <w:rtl/>
        </w:rPr>
        <w:t>انداز داوطلبانه</w:t>
      </w:r>
      <w:r w:rsidRPr="003B28FD">
        <w:rPr>
          <w:i/>
          <w:sz w:val="23"/>
          <w:szCs w:val="23"/>
          <w:rtl/>
        </w:rPr>
        <w:softHyphen/>
      </w:r>
      <w:r w:rsidRPr="003B28FD">
        <w:rPr>
          <w:rFonts w:hint="cs"/>
          <w:i/>
          <w:sz w:val="23"/>
          <w:szCs w:val="23"/>
          <w:rtl/>
        </w:rPr>
        <w:t>ی خود را مرحله</w:t>
      </w:r>
      <w:r w:rsidRPr="003B28FD">
        <w:rPr>
          <w:i/>
          <w:sz w:val="23"/>
          <w:szCs w:val="23"/>
          <w:rtl/>
        </w:rPr>
        <w:softHyphen/>
      </w:r>
      <w:r w:rsidRPr="003B28FD">
        <w:rPr>
          <w:rFonts w:hint="cs"/>
          <w:i/>
          <w:sz w:val="23"/>
          <w:szCs w:val="23"/>
          <w:rtl/>
        </w:rPr>
        <w:t>ای و یکی پس از دیگری و به طور مساوی کم کرده تا حقوق بازنشستگی دولتی را جبران کنند و بنابراین هنگامی که سالخورده می شوند همانند درآمد قبل به پایان می</w:t>
      </w:r>
      <w:r w:rsidRPr="003B28FD">
        <w:rPr>
          <w:i/>
          <w:sz w:val="23"/>
          <w:szCs w:val="23"/>
          <w:rtl/>
        </w:rPr>
        <w:softHyphen/>
      </w:r>
      <w:r w:rsidRPr="003B28FD">
        <w:rPr>
          <w:rFonts w:hint="cs"/>
          <w:i/>
          <w:sz w:val="23"/>
          <w:szCs w:val="23"/>
          <w:rtl/>
        </w:rPr>
        <w:t>رسند.</w:t>
      </w:r>
    </w:p>
    <w:p w14:paraId="3B6BE79E" w14:textId="77777777" w:rsidR="00411620" w:rsidRPr="003B28FD" w:rsidRDefault="00411620" w:rsidP="00411620">
      <w:pPr>
        <w:spacing w:line="216" w:lineRule="auto"/>
        <w:rPr>
          <w:i/>
          <w:sz w:val="23"/>
          <w:szCs w:val="23"/>
          <w:rtl/>
        </w:rPr>
      </w:pPr>
    </w:p>
    <w:p w14:paraId="35A1760F" w14:textId="77777777" w:rsidR="00411620" w:rsidRPr="003B28FD" w:rsidRDefault="00411620" w:rsidP="00411620">
      <w:pPr>
        <w:spacing w:line="216" w:lineRule="auto"/>
        <w:rPr>
          <w:bCs/>
          <w:i/>
          <w:sz w:val="23"/>
          <w:szCs w:val="23"/>
          <w:rtl/>
        </w:rPr>
      </w:pPr>
      <w:r w:rsidRPr="003B28FD">
        <w:rPr>
          <w:rFonts w:hint="cs"/>
          <w:bCs/>
          <w:i/>
          <w:sz w:val="23"/>
          <w:szCs w:val="23"/>
          <w:rtl/>
        </w:rPr>
        <w:t>ب: حقوق بازنشستگی بدون پشتوانه</w:t>
      </w:r>
    </w:p>
    <w:p w14:paraId="0E3AF93D" w14:textId="77777777" w:rsidR="00411620" w:rsidRPr="003B28FD" w:rsidRDefault="00411620" w:rsidP="00411620">
      <w:pPr>
        <w:spacing w:line="216" w:lineRule="auto"/>
        <w:rPr>
          <w:i/>
          <w:sz w:val="23"/>
          <w:szCs w:val="23"/>
          <w:rtl/>
        </w:rPr>
      </w:pPr>
      <w:r w:rsidRPr="003B28FD">
        <w:rPr>
          <w:rFonts w:hint="cs"/>
          <w:i/>
          <w:sz w:val="23"/>
          <w:szCs w:val="23"/>
          <w:rtl/>
        </w:rPr>
        <w:t xml:space="preserve">در سیستم </w:t>
      </w:r>
      <w:r w:rsidRPr="003B28FD">
        <w:rPr>
          <w:i/>
          <w:sz w:val="23"/>
          <w:szCs w:val="23"/>
        </w:rPr>
        <w:t>PAYG</w:t>
      </w:r>
      <w:r w:rsidRPr="003B28FD">
        <w:rPr>
          <w:rFonts w:hint="cs"/>
          <w:i/>
          <w:sz w:val="23"/>
          <w:szCs w:val="23"/>
          <w:rtl/>
        </w:rPr>
        <w:t xml:space="preserve"> پرداخت حقوق بازنشستگی به نسل سالخورده و مسن، از طریق دریافت مالیات جاری انجام خواهد شد. با فرض مالیات ثابت سرانه</w:t>
      </w:r>
      <w:r w:rsidRPr="003B28FD">
        <w:rPr>
          <w:i/>
          <w:sz w:val="23"/>
          <w:szCs w:val="23"/>
          <w:rtl/>
        </w:rPr>
        <w:softHyphen/>
      </w:r>
      <w:r w:rsidRPr="003B28FD">
        <w:rPr>
          <w:rFonts w:hint="cs"/>
          <w:i/>
          <w:sz w:val="23"/>
          <w:szCs w:val="23"/>
          <w:rtl/>
        </w:rPr>
        <w:t>ی هر دو نسل، قید بودجه</w:t>
      </w:r>
      <w:r w:rsidRPr="003B28FD">
        <w:rPr>
          <w:i/>
          <w:sz w:val="23"/>
          <w:szCs w:val="23"/>
          <w:rtl/>
        </w:rPr>
        <w:softHyphen/>
      </w:r>
      <w:r w:rsidRPr="003B28FD">
        <w:rPr>
          <w:rFonts w:hint="cs"/>
          <w:i/>
          <w:sz w:val="23"/>
          <w:szCs w:val="23"/>
          <w:rtl/>
        </w:rPr>
        <w:t>ی دولت برای زمان</w:t>
      </w:r>
      <w:r w:rsidRPr="003B28FD">
        <w:rPr>
          <w:position w:val="-6"/>
        </w:rPr>
        <w:object w:dxaOrig="139" w:dyaOrig="240" w14:anchorId="5B742700">
          <v:shape id="_x0000_i3440" type="#_x0000_t75" style="width:7.25pt;height:11.5pt" o:ole="">
            <v:imagedata r:id="rId4866" o:title=""/>
          </v:shape>
          <o:OLEObject Type="Embed" ProgID="Equation.DSMT4" ShapeID="_x0000_i3440" DrawAspect="Content" ObjectID="_1791377384" r:id="rId4867"/>
        </w:object>
      </w:r>
      <w:r w:rsidRPr="003B28FD">
        <w:rPr>
          <w:rFonts w:hint="cs"/>
          <w:i/>
          <w:sz w:val="23"/>
          <w:szCs w:val="23"/>
          <w:rtl/>
        </w:rPr>
        <w:t xml:space="preserve"> عبارت است از</w:t>
      </w:r>
    </w:p>
    <w:p w14:paraId="07786032" w14:textId="77777777" w:rsidR="00411620" w:rsidRPr="003B28FD" w:rsidRDefault="00411620" w:rsidP="00411620">
      <w:pPr>
        <w:bidi w:val="0"/>
        <w:spacing w:line="216" w:lineRule="auto"/>
        <w:rPr>
          <w:i/>
          <w:sz w:val="23"/>
          <w:szCs w:val="23"/>
        </w:rPr>
      </w:pPr>
      <w:r w:rsidRPr="003B28FD">
        <w:rPr>
          <w:position w:val="-12"/>
        </w:rPr>
        <w:object w:dxaOrig="1960" w:dyaOrig="360" w14:anchorId="1209140D">
          <v:shape id="_x0000_i3441" type="#_x0000_t75" style="width:98pt;height:18.15pt" o:ole="">
            <v:imagedata r:id="rId4868" o:title=""/>
          </v:shape>
          <o:OLEObject Type="Embed" ProgID="Equation.DSMT4" ShapeID="_x0000_i3441" DrawAspect="Content" ObjectID="_1791377385" r:id="rId4869"/>
        </w:object>
      </w:r>
    </w:p>
    <w:p w14:paraId="300F1922" w14:textId="77777777" w:rsidR="00411620" w:rsidRPr="003B28FD" w:rsidRDefault="00411620" w:rsidP="00411620">
      <w:pPr>
        <w:spacing w:line="216" w:lineRule="auto"/>
        <w:rPr>
          <w:i/>
          <w:sz w:val="23"/>
          <w:szCs w:val="23"/>
          <w:rtl/>
        </w:rPr>
      </w:pPr>
      <w:r w:rsidRPr="003B28FD">
        <w:rPr>
          <w:rFonts w:hint="cs"/>
          <w:i/>
          <w:sz w:val="23"/>
          <w:szCs w:val="23"/>
          <w:rtl/>
        </w:rPr>
        <w:t>با توجه به این</w:t>
      </w:r>
      <w:r w:rsidRPr="003B28FD">
        <w:rPr>
          <w:i/>
          <w:sz w:val="23"/>
          <w:szCs w:val="23"/>
          <w:rtl/>
        </w:rPr>
        <w:softHyphen/>
      </w:r>
      <w:r w:rsidRPr="003B28FD">
        <w:rPr>
          <w:rFonts w:hint="cs"/>
          <w:i/>
          <w:sz w:val="23"/>
          <w:szCs w:val="23"/>
          <w:rtl/>
        </w:rPr>
        <w:t xml:space="preserve">که </w:t>
      </w:r>
      <w:r w:rsidRPr="003B28FD">
        <w:rPr>
          <w:position w:val="-12"/>
        </w:rPr>
        <w:object w:dxaOrig="2380" w:dyaOrig="340" w14:anchorId="01530387">
          <v:shape id="_x0000_i3442" type="#_x0000_t75" style="width:119.2pt;height:16.95pt" o:ole="">
            <v:imagedata r:id="rId4870" o:title=""/>
          </v:shape>
          <o:OLEObject Type="Embed" ProgID="Equation.DSMT4" ShapeID="_x0000_i3442" DrawAspect="Content" ObjectID="_1791377386" r:id="rId4871"/>
        </w:object>
      </w:r>
      <w:r w:rsidRPr="003B28FD">
        <w:rPr>
          <w:rFonts w:hint="cs"/>
          <w:i/>
          <w:sz w:val="23"/>
          <w:szCs w:val="23"/>
          <w:rtl/>
        </w:rPr>
        <w:t>است، بنابراین حقوق بازنشستگی بعد از مالیات برابر است با</w:t>
      </w:r>
    </w:p>
    <w:p w14:paraId="4E440551" w14:textId="77777777" w:rsidR="00411620" w:rsidRPr="003B28FD" w:rsidRDefault="00411620" w:rsidP="00411620">
      <w:pPr>
        <w:bidi w:val="0"/>
        <w:spacing w:line="216" w:lineRule="auto"/>
        <w:rPr>
          <w:i/>
          <w:sz w:val="23"/>
          <w:szCs w:val="23"/>
        </w:rPr>
      </w:pPr>
      <w:r w:rsidRPr="003B28FD">
        <w:rPr>
          <w:position w:val="-10"/>
        </w:rPr>
        <w:object w:dxaOrig="1540" w:dyaOrig="320" w14:anchorId="68BB0C7C">
          <v:shape id="_x0000_i3443" type="#_x0000_t75" style="width:76.85pt;height:16.35pt" o:ole="">
            <v:imagedata r:id="rId4872" o:title=""/>
          </v:shape>
          <o:OLEObject Type="Embed" ProgID="Equation.DSMT4" ShapeID="_x0000_i3443" DrawAspect="Content" ObjectID="_1791377387" r:id="rId4873"/>
        </w:object>
      </w:r>
    </w:p>
    <w:p w14:paraId="228CD7B5" w14:textId="77777777" w:rsidR="00411620" w:rsidRPr="003B28FD" w:rsidRDefault="00411620" w:rsidP="00411620">
      <w:pPr>
        <w:spacing w:line="216" w:lineRule="auto"/>
        <w:rPr>
          <w:i/>
          <w:sz w:val="23"/>
          <w:szCs w:val="23"/>
          <w:rtl/>
        </w:rPr>
      </w:pPr>
      <w:r w:rsidRPr="003B28FD">
        <w:rPr>
          <w:rFonts w:hint="cs"/>
          <w:i/>
          <w:sz w:val="23"/>
          <w:szCs w:val="23"/>
          <w:rtl/>
        </w:rPr>
        <w:t>مصرف در سن سالخوردگی برابر است با</w:t>
      </w:r>
    </w:p>
    <w:p w14:paraId="103C0815" w14:textId="77777777" w:rsidR="00411620" w:rsidRPr="003B28FD" w:rsidRDefault="00411620" w:rsidP="00411620">
      <w:pPr>
        <w:bidi w:val="0"/>
        <w:spacing w:line="216" w:lineRule="auto"/>
        <w:rPr>
          <w:i/>
          <w:sz w:val="23"/>
          <w:szCs w:val="23"/>
          <w:rtl/>
        </w:rPr>
      </w:pPr>
      <w:r w:rsidRPr="003B28FD">
        <w:rPr>
          <w:position w:val="-12"/>
        </w:rPr>
        <w:object w:dxaOrig="4840" w:dyaOrig="340" w14:anchorId="6ADAE4F6">
          <v:shape id="_x0000_i3444" type="#_x0000_t75" style="width:242pt;height:16.95pt" o:ole="">
            <v:imagedata r:id="rId4874" o:title=""/>
          </v:shape>
          <o:OLEObject Type="Embed" ProgID="Equation.DSMT4" ShapeID="_x0000_i3444" DrawAspect="Content" ObjectID="_1791377388" r:id="rId4875"/>
        </w:object>
      </w:r>
      <w:r w:rsidRPr="003B28FD">
        <w:rPr>
          <w:i/>
          <w:sz w:val="23"/>
          <w:szCs w:val="23"/>
          <w:rtl/>
        </w:rPr>
        <w:tab/>
      </w:r>
      <w:r>
        <w:rPr>
          <w:i/>
          <w:sz w:val="23"/>
          <w:szCs w:val="23"/>
          <w:rtl/>
        </w:rPr>
        <w:tab/>
      </w:r>
      <w:r w:rsidRPr="003B28FD">
        <w:rPr>
          <w:i/>
          <w:sz w:val="23"/>
          <w:szCs w:val="23"/>
        </w:rPr>
        <w:tab/>
      </w:r>
      <w:r w:rsidRPr="003B28FD">
        <w:rPr>
          <w:i/>
          <w:sz w:val="23"/>
          <w:szCs w:val="23"/>
          <w:rtl/>
        </w:rPr>
        <w:tab/>
      </w:r>
      <w:r w:rsidRPr="003B28FD">
        <w:rPr>
          <w:rFonts w:hint="cs"/>
          <w:i/>
          <w:sz w:val="23"/>
          <w:szCs w:val="23"/>
          <w:rtl/>
        </w:rPr>
        <w:t>(۶. ۴۷)</w:t>
      </w:r>
      <w:r w:rsidRPr="003B28FD">
        <w:rPr>
          <w:rFonts w:hint="cs"/>
          <w:i/>
          <w:sz w:val="23"/>
          <w:szCs w:val="23"/>
          <w:rtl/>
        </w:rPr>
        <w:tab/>
      </w:r>
    </w:p>
    <w:p w14:paraId="6A0ED27C" w14:textId="77777777" w:rsidR="00411620" w:rsidRPr="003B28FD" w:rsidRDefault="00411620" w:rsidP="00411620">
      <w:pPr>
        <w:spacing w:line="216" w:lineRule="auto"/>
        <w:rPr>
          <w:i/>
          <w:sz w:val="23"/>
          <w:szCs w:val="23"/>
          <w:rtl/>
        </w:rPr>
      </w:pPr>
      <w:r w:rsidRPr="003B28FD">
        <w:rPr>
          <w:rFonts w:hint="cs"/>
          <w:i/>
          <w:sz w:val="23"/>
          <w:szCs w:val="23"/>
          <w:rtl/>
        </w:rPr>
        <w:t>بنابراین نرخ بازدهی پس</w:t>
      </w:r>
      <w:r w:rsidRPr="003B28FD">
        <w:rPr>
          <w:i/>
          <w:sz w:val="23"/>
          <w:szCs w:val="23"/>
          <w:rtl/>
        </w:rPr>
        <w:softHyphen/>
      </w:r>
      <w:r w:rsidRPr="003B28FD">
        <w:rPr>
          <w:rFonts w:hint="cs"/>
          <w:i/>
          <w:sz w:val="23"/>
          <w:szCs w:val="23"/>
          <w:rtl/>
        </w:rPr>
        <w:t xml:space="preserve">انداز بخش خصوصی برابر است با </w:t>
      </w:r>
      <w:r w:rsidRPr="003B28FD">
        <w:rPr>
          <w:position w:val="-10"/>
        </w:rPr>
        <w:object w:dxaOrig="320" w:dyaOrig="320" w14:anchorId="6A8E9698">
          <v:shape id="_x0000_i3445" type="#_x0000_t75" style="width:16.35pt;height:16.35pt" o:ole="">
            <v:imagedata r:id="rId4876" o:title=""/>
          </v:shape>
          <o:OLEObject Type="Embed" ProgID="Equation.DSMT4" ShapeID="_x0000_i3445" DrawAspect="Content" ObjectID="_1791377389" r:id="rId4877"/>
        </w:object>
      </w:r>
      <w:r w:rsidRPr="003B28FD">
        <w:rPr>
          <w:rFonts w:hint="cs"/>
          <w:i/>
          <w:sz w:val="23"/>
          <w:szCs w:val="23"/>
          <w:rtl/>
        </w:rPr>
        <w:t>، اما نرخ بازدهی مؤثر بر سهم حقوق بازنشستگی اجرا شده برابر است با</w:t>
      </w:r>
      <w:r w:rsidRPr="003B28FD">
        <w:rPr>
          <w:position w:val="-6"/>
        </w:rPr>
        <w:object w:dxaOrig="200" w:dyaOrig="200" w14:anchorId="7B342E57">
          <v:shape id="_x0000_i3446" type="#_x0000_t75" style="width:10.3pt;height:10.3pt" o:ole="">
            <v:imagedata r:id="rId4878" o:title=""/>
          </v:shape>
          <o:OLEObject Type="Embed" ProgID="Equation.DSMT4" ShapeID="_x0000_i3446" DrawAspect="Content" ObjectID="_1791377390" r:id="rId4879"/>
        </w:object>
      </w:r>
      <w:r w:rsidRPr="003B28FD">
        <w:rPr>
          <w:i/>
          <w:sz w:val="23"/>
          <w:szCs w:val="23"/>
        </w:rPr>
        <w:t>.</w:t>
      </w:r>
      <w:r w:rsidRPr="003B28FD">
        <w:rPr>
          <w:rFonts w:hint="cs"/>
          <w:i/>
          <w:sz w:val="23"/>
          <w:szCs w:val="23"/>
          <w:rtl/>
        </w:rPr>
        <w:t xml:space="preserve"> قید بودجه</w:t>
      </w:r>
      <w:r w:rsidRPr="003B28FD">
        <w:rPr>
          <w:i/>
          <w:sz w:val="23"/>
          <w:szCs w:val="23"/>
          <w:rtl/>
        </w:rPr>
        <w:softHyphen/>
      </w:r>
      <w:r w:rsidRPr="003B28FD">
        <w:rPr>
          <w:rFonts w:hint="cs"/>
          <w:i/>
          <w:sz w:val="23"/>
          <w:szCs w:val="23"/>
          <w:rtl/>
        </w:rPr>
        <w:t>ی بین</w:t>
      </w:r>
      <w:r w:rsidRPr="003B28FD">
        <w:rPr>
          <w:i/>
          <w:sz w:val="23"/>
          <w:szCs w:val="23"/>
          <w:rtl/>
        </w:rPr>
        <w:softHyphen/>
      </w:r>
      <w:r w:rsidRPr="003B28FD">
        <w:rPr>
          <w:rFonts w:hint="cs"/>
          <w:i/>
          <w:sz w:val="23"/>
          <w:szCs w:val="23"/>
          <w:rtl/>
        </w:rPr>
        <w:t>دوره</w:t>
      </w:r>
      <w:r w:rsidRPr="003B28FD">
        <w:rPr>
          <w:i/>
          <w:sz w:val="23"/>
          <w:szCs w:val="23"/>
          <w:rtl/>
        </w:rPr>
        <w:softHyphen/>
      </w:r>
      <w:r w:rsidRPr="003B28FD">
        <w:rPr>
          <w:rFonts w:hint="cs"/>
          <w:i/>
          <w:sz w:val="23"/>
          <w:szCs w:val="23"/>
          <w:rtl/>
        </w:rPr>
        <w:t>ای برابر خواهد بود با</w:t>
      </w:r>
    </w:p>
    <w:p w14:paraId="55ADDC7A" w14:textId="77777777" w:rsidR="00411620" w:rsidRPr="003B28FD" w:rsidRDefault="00411620" w:rsidP="00411620">
      <w:pPr>
        <w:bidi w:val="0"/>
        <w:spacing w:line="216" w:lineRule="auto"/>
        <w:rPr>
          <w:i/>
          <w:sz w:val="23"/>
          <w:szCs w:val="23"/>
          <w:rtl/>
        </w:rPr>
      </w:pPr>
      <w:r w:rsidRPr="003B28FD">
        <w:rPr>
          <w:position w:val="-12"/>
        </w:rPr>
        <w:object w:dxaOrig="3620" w:dyaOrig="360" w14:anchorId="1BE2B9BE">
          <v:shape id="_x0000_i3447" type="#_x0000_t75" style="width:181.5pt;height:18.15pt" o:ole="">
            <v:imagedata r:id="rId4880" o:title=""/>
          </v:shape>
          <o:OLEObject Type="Embed" ProgID="Equation.DSMT4" ShapeID="_x0000_i3447" DrawAspect="Content" ObjectID="_1791377391" r:id="rId4881"/>
        </w:object>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sidRPr="003B28FD">
        <w:rPr>
          <w:i/>
          <w:sz w:val="23"/>
          <w:szCs w:val="23"/>
        </w:rPr>
        <w:tab/>
      </w:r>
      <w:r>
        <w:rPr>
          <w:i/>
          <w:sz w:val="23"/>
          <w:szCs w:val="23"/>
        </w:rPr>
        <w:tab/>
      </w:r>
      <w:r>
        <w:rPr>
          <w:i/>
          <w:sz w:val="23"/>
          <w:szCs w:val="23"/>
          <w:rtl/>
        </w:rPr>
        <w:tab/>
      </w:r>
      <w:r w:rsidRPr="003B28FD">
        <w:rPr>
          <w:i/>
          <w:sz w:val="23"/>
          <w:szCs w:val="23"/>
        </w:rPr>
        <w:tab/>
      </w:r>
      <w:r w:rsidRPr="003B28FD">
        <w:rPr>
          <w:rFonts w:hint="cs"/>
          <w:i/>
          <w:sz w:val="23"/>
          <w:szCs w:val="23"/>
          <w:rtl/>
        </w:rPr>
        <w:t>(۶. ۴۸)</w:t>
      </w:r>
    </w:p>
    <w:p w14:paraId="09F010B6" w14:textId="77777777" w:rsidR="00411620" w:rsidRPr="003B28FD" w:rsidRDefault="00411620" w:rsidP="00411620">
      <w:pPr>
        <w:spacing w:line="216" w:lineRule="auto"/>
        <w:rPr>
          <w:i/>
          <w:sz w:val="23"/>
          <w:szCs w:val="23"/>
          <w:rtl/>
        </w:rPr>
      </w:pPr>
      <w:r w:rsidRPr="003B28FD">
        <w:rPr>
          <w:rFonts w:hint="cs"/>
          <w:i/>
          <w:sz w:val="23"/>
          <w:szCs w:val="23"/>
          <w:rtl/>
        </w:rPr>
        <w:t>که با (۶. ۴۵) تفاوت دارد. اکنون قید منبع کل اقتصاد در زمان</w:t>
      </w:r>
      <w:r w:rsidRPr="003B28FD">
        <w:rPr>
          <w:position w:val="-6"/>
        </w:rPr>
        <w:object w:dxaOrig="139" w:dyaOrig="240" w14:anchorId="63FC647F">
          <v:shape id="_x0000_i3448" type="#_x0000_t75" style="width:7.25pt;height:11.5pt" o:ole="">
            <v:imagedata r:id="rId4882" o:title=""/>
          </v:shape>
          <o:OLEObject Type="Embed" ProgID="Equation.DSMT4" ShapeID="_x0000_i3448" DrawAspect="Content" ObjectID="_1791377392" r:id="rId4883"/>
        </w:object>
      </w:r>
      <w:r w:rsidRPr="003B28FD">
        <w:rPr>
          <w:i/>
          <w:sz w:val="23"/>
          <w:szCs w:val="23"/>
        </w:rPr>
        <w:t xml:space="preserve"> </w:t>
      </w:r>
      <w:r w:rsidRPr="003B28FD">
        <w:rPr>
          <w:rFonts w:hint="cs"/>
          <w:i/>
          <w:sz w:val="23"/>
          <w:szCs w:val="23"/>
          <w:rtl/>
        </w:rPr>
        <w:t>برابر خواهد بود با</w:t>
      </w:r>
    </w:p>
    <w:p w14:paraId="59BDC82B" w14:textId="77777777" w:rsidR="00411620" w:rsidRPr="003B28FD" w:rsidRDefault="00411620" w:rsidP="00411620">
      <w:pPr>
        <w:bidi w:val="0"/>
        <w:spacing w:line="216" w:lineRule="auto"/>
        <w:rPr>
          <w:i/>
          <w:sz w:val="23"/>
          <w:szCs w:val="23"/>
        </w:rPr>
      </w:pPr>
      <w:r w:rsidRPr="003B28FD">
        <w:rPr>
          <w:position w:val="-32"/>
        </w:rPr>
        <w:object w:dxaOrig="6160" w:dyaOrig="740" w14:anchorId="64A837FF">
          <v:shape id="_x0000_i3449" type="#_x0000_t75" style="width:307.95pt;height:37.5pt" o:ole="">
            <v:imagedata r:id="rId4884" o:title=""/>
          </v:shape>
          <o:OLEObject Type="Embed" ProgID="Equation.DSMT4" ShapeID="_x0000_i3449" DrawAspect="Content" ObjectID="_1791377393" r:id="rId4885"/>
        </w:object>
      </w:r>
    </w:p>
    <w:p w14:paraId="60B50059" w14:textId="77777777" w:rsidR="00411620" w:rsidRPr="003B28FD" w:rsidRDefault="00411620" w:rsidP="00411620">
      <w:pPr>
        <w:spacing w:line="216" w:lineRule="auto"/>
        <w:rPr>
          <w:i/>
          <w:sz w:val="23"/>
          <w:szCs w:val="23"/>
          <w:rtl/>
        </w:rPr>
      </w:pPr>
      <w:r w:rsidRPr="003B28FD">
        <w:rPr>
          <w:i/>
          <w:sz w:val="23"/>
          <w:szCs w:val="23"/>
        </w:rPr>
        <w:t xml:space="preserve"> </w:t>
      </w:r>
      <w:r w:rsidRPr="003B28FD">
        <w:rPr>
          <w:rFonts w:hint="cs"/>
          <w:i/>
          <w:sz w:val="23"/>
          <w:szCs w:val="23"/>
          <w:rtl/>
        </w:rPr>
        <w:t>بنابراین</w:t>
      </w:r>
    </w:p>
    <w:p w14:paraId="1ADB314C" w14:textId="77777777" w:rsidR="00411620" w:rsidRPr="003B28FD" w:rsidRDefault="00411620" w:rsidP="00411620">
      <w:pPr>
        <w:bidi w:val="0"/>
        <w:spacing w:line="216" w:lineRule="auto"/>
        <w:rPr>
          <w:i/>
          <w:sz w:val="23"/>
          <w:szCs w:val="23"/>
          <w:rtl/>
        </w:rPr>
      </w:pPr>
      <w:r w:rsidRPr="003B28FD">
        <w:rPr>
          <w:position w:val="-14"/>
        </w:rPr>
        <w:object w:dxaOrig="6039" w:dyaOrig="380" w14:anchorId="24792601">
          <v:shape id="_x0000_i3450" type="#_x0000_t75" style="width:301.9pt;height:18.75pt" o:ole="">
            <v:imagedata r:id="rId4886" o:title=""/>
          </v:shape>
          <o:OLEObject Type="Embed" ProgID="Equation.DSMT4" ShapeID="_x0000_i3450" DrawAspect="Content" ObjectID="_1791377394" r:id="rId4887"/>
        </w:object>
      </w:r>
    </w:p>
    <w:p w14:paraId="65FEF7B7" w14:textId="77777777" w:rsidR="00411620" w:rsidRPr="003B28FD" w:rsidRDefault="00411620" w:rsidP="00411620">
      <w:pPr>
        <w:spacing w:line="216" w:lineRule="auto"/>
        <w:rPr>
          <w:i/>
          <w:sz w:val="23"/>
          <w:szCs w:val="23"/>
          <w:rtl/>
        </w:rPr>
      </w:pPr>
      <w:r w:rsidRPr="003B28FD">
        <w:rPr>
          <w:rFonts w:hint="cs"/>
          <w:i/>
          <w:sz w:val="23"/>
          <w:szCs w:val="23"/>
          <w:rtl/>
        </w:rPr>
        <w:t>یا</w:t>
      </w:r>
    </w:p>
    <w:p w14:paraId="01720FC9" w14:textId="77777777" w:rsidR="00411620" w:rsidRPr="003B28FD" w:rsidRDefault="00411620" w:rsidP="00411620">
      <w:pPr>
        <w:bidi w:val="0"/>
        <w:spacing w:line="216" w:lineRule="auto"/>
        <w:rPr>
          <w:i/>
          <w:sz w:val="23"/>
          <w:szCs w:val="23"/>
          <w:rtl/>
        </w:rPr>
      </w:pPr>
      <w:r w:rsidRPr="003B28FD">
        <w:rPr>
          <w:position w:val="-28"/>
        </w:rPr>
        <w:object w:dxaOrig="5820" w:dyaOrig="660" w14:anchorId="56B3AB36">
          <v:shape id="_x0000_i3451" type="#_x0000_t75" style="width:291.05pt;height:32.65pt" o:ole="">
            <v:imagedata r:id="rId4888" o:title=""/>
          </v:shape>
          <o:OLEObject Type="Embed" ProgID="Equation.DSMT4" ShapeID="_x0000_i3451" DrawAspect="Content" ObjectID="_1791377395" r:id="rId4889"/>
        </w:object>
      </w:r>
    </w:p>
    <w:p w14:paraId="0FD43F81" w14:textId="77777777" w:rsidR="00411620" w:rsidRPr="003B28FD" w:rsidRDefault="00411620" w:rsidP="00411620">
      <w:pPr>
        <w:spacing w:line="216" w:lineRule="auto"/>
        <w:rPr>
          <w:i/>
          <w:sz w:val="23"/>
          <w:szCs w:val="23"/>
          <w:rtl/>
        </w:rPr>
      </w:pPr>
      <w:r w:rsidRPr="003B28FD">
        <w:rPr>
          <w:rFonts w:hint="cs"/>
          <w:i/>
          <w:sz w:val="23"/>
          <w:szCs w:val="23"/>
          <w:rtl/>
        </w:rPr>
        <w:t>حل این معادله</w:t>
      </w:r>
      <w:r w:rsidRPr="003B28FD">
        <w:rPr>
          <w:i/>
          <w:sz w:val="23"/>
          <w:szCs w:val="23"/>
          <w:rtl/>
        </w:rPr>
        <w:softHyphen/>
      </w:r>
      <w:r w:rsidRPr="003B28FD">
        <w:rPr>
          <w:rFonts w:hint="cs"/>
          <w:i/>
          <w:sz w:val="23"/>
          <w:szCs w:val="23"/>
          <w:rtl/>
        </w:rPr>
        <w:t>ی تفاضلی بستگی به این نکته دارد که مقدار</w:t>
      </w:r>
      <w:r w:rsidRPr="003B28FD">
        <w:rPr>
          <w:position w:val="-10"/>
        </w:rPr>
        <w:object w:dxaOrig="180" w:dyaOrig="320" w14:anchorId="45BC0EF5">
          <v:shape id="_x0000_i3452" type="#_x0000_t75" style="width:9.1pt;height:16.35pt" o:ole="">
            <v:imagedata r:id="rId4890" o:title=""/>
          </v:shape>
          <o:OLEObject Type="Embed" ProgID="Equation.DSMT4" ShapeID="_x0000_i3452" DrawAspect="Content" ObjectID="_1791377396" r:id="rId4891"/>
        </w:object>
      </w:r>
      <w:r w:rsidRPr="003B28FD">
        <w:rPr>
          <w:rFonts w:hint="cs"/>
          <w:i/>
          <w:sz w:val="23"/>
          <w:szCs w:val="23"/>
          <w:rtl/>
        </w:rPr>
        <w:t xml:space="preserve"> بزرگتر و یا کوچک</w:t>
      </w:r>
      <w:r w:rsidRPr="003B28FD">
        <w:rPr>
          <w:i/>
          <w:sz w:val="23"/>
          <w:szCs w:val="23"/>
          <w:rtl/>
        </w:rPr>
        <w:softHyphen/>
      </w:r>
      <w:r w:rsidRPr="003B28FD">
        <w:rPr>
          <w:rFonts w:hint="cs"/>
          <w:i/>
          <w:sz w:val="23"/>
          <w:szCs w:val="23"/>
          <w:rtl/>
        </w:rPr>
        <w:t>تر از</w:t>
      </w:r>
      <w:r w:rsidRPr="003B28FD">
        <w:rPr>
          <w:position w:val="-6"/>
        </w:rPr>
        <w:object w:dxaOrig="200" w:dyaOrig="200" w14:anchorId="5A96ACC3">
          <v:shape id="_x0000_i3453" type="#_x0000_t75" style="width:10.3pt;height:10.3pt" o:ole="">
            <v:imagedata r:id="rId4892" o:title=""/>
          </v:shape>
          <o:OLEObject Type="Embed" ProgID="Equation.DSMT4" ShapeID="_x0000_i3453" DrawAspect="Content" ObjectID="_1791377397" r:id="rId4893"/>
        </w:object>
      </w:r>
      <w:r w:rsidRPr="003B28FD">
        <w:rPr>
          <w:rFonts w:hint="cs"/>
          <w:i/>
          <w:sz w:val="23"/>
          <w:szCs w:val="23"/>
          <w:rtl/>
        </w:rPr>
        <w:t xml:space="preserve"> باشد. حل در وضعیت یکنواخت با مقادیر ثابت</w:t>
      </w:r>
      <w:r w:rsidRPr="003B28FD">
        <w:rPr>
          <w:position w:val="-10"/>
        </w:rPr>
        <w:object w:dxaOrig="220" w:dyaOrig="320" w14:anchorId="616E93EC">
          <v:shape id="_x0000_i3454" type="#_x0000_t75" style="width:10.9pt;height:16.35pt" o:ole="">
            <v:imagedata r:id="rId4894" o:title=""/>
          </v:shape>
          <o:OLEObject Type="Embed" ProgID="Equation.DSMT4" ShapeID="_x0000_i3454" DrawAspect="Content" ObjectID="_1791377398" r:id="rId4895"/>
        </w:object>
      </w:r>
      <w:r w:rsidRPr="003B28FD">
        <w:rPr>
          <w:i/>
          <w:sz w:val="23"/>
          <w:szCs w:val="23"/>
        </w:rPr>
        <w:t xml:space="preserve"> </w:t>
      </w:r>
      <w:r w:rsidRPr="003B28FD">
        <w:rPr>
          <w:rFonts w:hint="cs"/>
          <w:i/>
          <w:sz w:val="23"/>
          <w:szCs w:val="23"/>
          <w:rtl/>
        </w:rPr>
        <w:t>و</w:t>
      </w:r>
      <w:r w:rsidRPr="003B28FD">
        <w:rPr>
          <w:position w:val="-10"/>
        </w:rPr>
        <w:object w:dxaOrig="180" w:dyaOrig="320" w14:anchorId="6A2DB1D4">
          <v:shape id="_x0000_i3455" type="#_x0000_t75" style="width:9.1pt;height:16.35pt" o:ole="">
            <v:imagedata r:id="rId4896" o:title=""/>
          </v:shape>
          <o:OLEObject Type="Embed" ProgID="Equation.DSMT4" ShapeID="_x0000_i3455" DrawAspect="Content" ObjectID="_1791377399" r:id="rId4897"/>
        </w:object>
      </w:r>
      <w:r w:rsidRPr="003B28FD">
        <w:rPr>
          <w:i/>
          <w:sz w:val="23"/>
          <w:szCs w:val="23"/>
        </w:rPr>
        <w:t xml:space="preserve"> </w:t>
      </w:r>
      <w:r w:rsidRPr="003B28FD">
        <w:rPr>
          <w:rFonts w:hint="cs"/>
          <w:i/>
          <w:sz w:val="23"/>
          <w:szCs w:val="23"/>
          <w:rtl/>
        </w:rPr>
        <w:t>داده شده</w:t>
      </w:r>
      <w:r w:rsidRPr="003B28FD">
        <w:rPr>
          <w:i/>
          <w:sz w:val="23"/>
          <w:szCs w:val="23"/>
          <w:rtl/>
        </w:rPr>
        <w:softHyphen/>
      </w:r>
      <w:r w:rsidRPr="003B28FD">
        <w:rPr>
          <w:rFonts w:hint="cs"/>
          <w:i/>
          <w:sz w:val="23"/>
          <w:szCs w:val="23"/>
          <w:rtl/>
        </w:rPr>
        <w:t xml:space="preserve"> برابر است با</w:t>
      </w:r>
    </w:p>
    <w:p w14:paraId="5C94F528" w14:textId="77777777" w:rsidR="00411620" w:rsidRPr="003B28FD" w:rsidRDefault="00411620" w:rsidP="00411620">
      <w:pPr>
        <w:bidi w:val="0"/>
        <w:spacing w:line="216" w:lineRule="auto"/>
        <w:rPr>
          <w:i/>
          <w:sz w:val="23"/>
          <w:szCs w:val="23"/>
          <w:rtl/>
        </w:rPr>
      </w:pPr>
      <w:r w:rsidRPr="003B28FD">
        <w:rPr>
          <w:position w:val="-10"/>
        </w:rPr>
        <w:object w:dxaOrig="1300" w:dyaOrig="320" w14:anchorId="760BFDD6">
          <v:shape id="_x0000_i3456" type="#_x0000_t75" style="width:64.75pt;height:16.35pt" o:ole="">
            <v:imagedata r:id="rId4898" o:title=""/>
          </v:shape>
          <o:OLEObject Type="Embed" ProgID="Equation.DSMT4" ShapeID="_x0000_i3456" DrawAspect="Content" ObjectID="_1791377400" r:id="rId4899"/>
        </w:object>
      </w:r>
    </w:p>
    <w:p w14:paraId="598DD4D6" w14:textId="77777777" w:rsidR="00411620" w:rsidRPr="003B28FD" w:rsidRDefault="00411620" w:rsidP="00411620">
      <w:pPr>
        <w:spacing w:line="216" w:lineRule="auto"/>
        <w:rPr>
          <w:i/>
          <w:sz w:val="23"/>
          <w:szCs w:val="23"/>
          <w:rtl/>
        </w:rPr>
      </w:pPr>
      <w:r w:rsidRPr="003B28FD">
        <w:rPr>
          <w:rFonts w:hint="cs"/>
          <w:i/>
          <w:sz w:val="23"/>
          <w:szCs w:val="23"/>
          <w:rtl/>
        </w:rPr>
        <w:t>که این رابطه دقیقاً برابر است با اقتصاد بدون حقوق بازنشستگی دولتی. هرچند این نتایج مبین آن نیست که پس</w:t>
      </w:r>
      <w:r w:rsidRPr="003B28FD">
        <w:rPr>
          <w:i/>
          <w:sz w:val="23"/>
          <w:szCs w:val="23"/>
          <w:rtl/>
        </w:rPr>
        <w:softHyphen/>
      </w:r>
      <w:r w:rsidRPr="003B28FD">
        <w:rPr>
          <w:rFonts w:hint="cs"/>
          <w:i/>
          <w:sz w:val="23"/>
          <w:szCs w:val="23"/>
          <w:rtl/>
        </w:rPr>
        <w:t xml:space="preserve">انداز و یا موجودی سرمایه در همان سطح قبلی است. </w:t>
      </w:r>
    </w:p>
    <w:p w14:paraId="312AFB0C" w14:textId="77777777" w:rsidR="00411620" w:rsidRPr="003B28FD" w:rsidRDefault="00411620" w:rsidP="00411620">
      <w:pPr>
        <w:spacing w:line="216" w:lineRule="auto"/>
        <w:rPr>
          <w:i/>
          <w:sz w:val="23"/>
          <w:szCs w:val="23"/>
        </w:rPr>
      </w:pPr>
      <w:r w:rsidRPr="003B28FD">
        <w:rPr>
          <w:rFonts w:hint="cs"/>
          <w:i/>
          <w:sz w:val="23"/>
          <w:szCs w:val="23"/>
          <w:rtl/>
        </w:rPr>
        <w:lastRenderedPageBreak/>
        <w:t>مسئله</w:t>
      </w:r>
      <w:r w:rsidRPr="003B28FD">
        <w:rPr>
          <w:i/>
          <w:sz w:val="23"/>
          <w:szCs w:val="23"/>
          <w:rtl/>
        </w:rPr>
        <w:softHyphen/>
      </w:r>
      <w:r w:rsidRPr="003B28FD">
        <w:rPr>
          <w:rFonts w:hint="cs"/>
          <w:i/>
          <w:sz w:val="23"/>
          <w:szCs w:val="23"/>
          <w:rtl/>
        </w:rPr>
        <w:t>ی نسل جوان حداکثر کردن</w:t>
      </w:r>
      <w:r w:rsidRPr="003B28FD">
        <w:rPr>
          <w:position w:val="-6"/>
        </w:rPr>
        <w:object w:dxaOrig="240" w:dyaOrig="260" w14:anchorId="4515E331">
          <v:shape id="_x0000_i3457" type="#_x0000_t75" style="width:11.5pt;height:12.7pt" o:ole="">
            <v:imagedata r:id="rId4900" o:title=""/>
          </v:shape>
          <o:OLEObject Type="Embed" ProgID="Equation.DSMT4" ShapeID="_x0000_i3457" DrawAspect="Content" ObjectID="_1791377401" r:id="rId4901"/>
        </w:object>
      </w:r>
      <w:r w:rsidRPr="003B28FD">
        <w:rPr>
          <w:i/>
          <w:sz w:val="23"/>
          <w:szCs w:val="23"/>
        </w:rPr>
        <w:t xml:space="preserve"> </w:t>
      </w:r>
      <w:r w:rsidRPr="003B28FD">
        <w:rPr>
          <w:rFonts w:hint="cs"/>
          <w:i/>
          <w:sz w:val="23"/>
          <w:szCs w:val="23"/>
          <w:rtl/>
        </w:rPr>
        <w:t>نسبت به قید بودجه</w:t>
      </w:r>
      <w:r w:rsidRPr="003B28FD">
        <w:rPr>
          <w:i/>
          <w:sz w:val="23"/>
          <w:szCs w:val="23"/>
          <w:rtl/>
        </w:rPr>
        <w:softHyphen/>
      </w:r>
      <w:r w:rsidRPr="003B28FD">
        <w:rPr>
          <w:rFonts w:hint="cs"/>
          <w:i/>
          <w:sz w:val="23"/>
          <w:szCs w:val="23"/>
          <w:rtl/>
        </w:rPr>
        <w:t>ی بین</w:t>
      </w:r>
      <w:r w:rsidRPr="003B28FD">
        <w:rPr>
          <w:i/>
          <w:sz w:val="23"/>
          <w:szCs w:val="23"/>
          <w:rtl/>
        </w:rPr>
        <w:softHyphen/>
      </w:r>
      <w:r w:rsidRPr="003B28FD">
        <w:rPr>
          <w:rFonts w:hint="cs"/>
          <w:i/>
          <w:sz w:val="23"/>
          <w:szCs w:val="23"/>
          <w:rtl/>
        </w:rPr>
        <w:t>دوره</w:t>
      </w:r>
      <w:r w:rsidRPr="003B28FD">
        <w:rPr>
          <w:i/>
          <w:sz w:val="23"/>
          <w:szCs w:val="23"/>
          <w:rtl/>
        </w:rPr>
        <w:softHyphen/>
      </w:r>
      <w:r w:rsidRPr="003B28FD">
        <w:rPr>
          <w:rFonts w:hint="cs"/>
          <w:i/>
          <w:sz w:val="23"/>
          <w:szCs w:val="23"/>
          <w:rtl/>
        </w:rPr>
        <w:t>ای و دستمزدها، نرخ</w:t>
      </w:r>
      <w:r w:rsidRPr="003B28FD">
        <w:rPr>
          <w:i/>
          <w:sz w:val="23"/>
          <w:szCs w:val="23"/>
          <w:rtl/>
        </w:rPr>
        <w:softHyphen/>
      </w:r>
      <w:r w:rsidRPr="003B28FD">
        <w:rPr>
          <w:rFonts w:hint="cs"/>
          <w:i/>
          <w:sz w:val="23"/>
          <w:szCs w:val="23"/>
          <w:rtl/>
        </w:rPr>
        <w:t>های بهره و مالیات</w:t>
      </w:r>
      <w:r w:rsidRPr="003B28FD">
        <w:rPr>
          <w:i/>
          <w:sz w:val="23"/>
          <w:szCs w:val="23"/>
          <w:rtl/>
        </w:rPr>
        <w:softHyphen/>
      </w:r>
      <w:r w:rsidRPr="003B28FD">
        <w:rPr>
          <w:rFonts w:hint="cs"/>
          <w:i/>
          <w:sz w:val="23"/>
          <w:szCs w:val="23"/>
          <w:rtl/>
        </w:rPr>
        <w:t>های داده شده است. لاگرانژین این مسئله عبارت است از</w:t>
      </w:r>
    </w:p>
    <w:p w14:paraId="58EDC503" w14:textId="77777777" w:rsidR="00411620" w:rsidRPr="003B28FD" w:rsidRDefault="00411620" w:rsidP="00411620">
      <w:pPr>
        <w:bidi w:val="0"/>
        <w:spacing w:line="216" w:lineRule="auto"/>
        <w:rPr>
          <w:i/>
          <w:sz w:val="23"/>
          <w:szCs w:val="23"/>
          <w:rtl/>
        </w:rPr>
      </w:pPr>
      <w:r w:rsidRPr="003B28FD">
        <w:rPr>
          <w:position w:val="-14"/>
        </w:rPr>
        <w:object w:dxaOrig="6160" w:dyaOrig="380" w14:anchorId="73B9B0BB">
          <v:shape id="_x0000_i3458" type="#_x0000_t75" style="width:307.95pt;height:18.75pt" o:ole="">
            <v:imagedata r:id="rId4902" o:title=""/>
          </v:shape>
          <o:OLEObject Type="Embed" ProgID="Equation.DSMT4" ShapeID="_x0000_i3458" DrawAspect="Content" ObjectID="_1791377402" r:id="rId4903"/>
        </w:object>
      </w:r>
    </w:p>
    <w:p w14:paraId="34ABF322" w14:textId="77777777" w:rsidR="00411620" w:rsidRPr="003B28FD" w:rsidRDefault="00411620" w:rsidP="00411620">
      <w:pPr>
        <w:spacing w:line="216" w:lineRule="auto"/>
        <w:rPr>
          <w:i/>
          <w:sz w:val="23"/>
          <w:szCs w:val="23"/>
          <w:rtl/>
        </w:rPr>
      </w:pPr>
      <w:r w:rsidRPr="003B28FD">
        <w:rPr>
          <w:rFonts w:hint="cs"/>
          <w:i/>
          <w:sz w:val="23"/>
          <w:szCs w:val="23"/>
          <w:rtl/>
        </w:rPr>
        <w:t xml:space="preserve"> شرایط مرتبه</w:t>
      </w:r>
      <w:r w:rsidRPr="003B28FD">
        <w:rPr>
          <w:i/>
          <w:sz w:val="23"/>
          <w:szCs w:val="23"/>
          <w:rtl/>
        </w:rPr>
        <w:softHyphen/>
      </w:r>
      <w:r w:rsidRPr="003B28FD">
        <w:rPr>
          <w:rFonts w:hint="cs"/>
          <w:i/>
          <w:sz w:val="23"/>
          <w:szCs w:val="23"/>
          <w:rtl/>
        </w:rPr>
        <w:t>ی اول برای مصرف، و در نتیجه</w:t>
      </w:r>
      <w:r w:rsidRPr="003B28FD">
        <w:rPr>
          <w:i/>
          <w:sz w:val="23"/>
          <w:szCs w:val="23"/>
          <w:rtl/>
        </w:rPr>
        <w:softHyphen/>
      </w:r>
      <w:r w:rsidRPr="003B28FD">
        <w:rPr>
          <w:rFonts w:hint="cs"/>
          <w:i/>
          <w:sz w:val="23"/>
          <w:szCs w:val="23"/>
          <w:rtl/>
        </w:rPr>
        <w:t xml:space="preserve"> معادله</w:t>
      </w:r>
      <w:r w:rsidRPr="003B28FD">
        <w:rPr>
          <w:i/>
          <w:sz w:val="23"/>
          <w:szCs w:val="23"/>
          <w:rtl/>
        </w:rPr>
        <w:softHyphen/>
      </w:r>
      <w:r w:rsidRPr="003B28FD">
        <w:rPr>
          <w:rFonts w:hint="cs"/>
          <w:i/>
          <w:sz w:val="23"/>
          <w:szCs w:val="23"/>
          <w:rtl/>
        </w:rPr>
        <w:t>ی اویلر همانند وضعیتی است که حقوق بازنشستگی وجود ندارد، یعنی معادلات (۶. ۳۹)، (۶. ۴۰) و (۲. ۱۲). با فرض مطلوبیت توانی خواهیم داشت</w:t>
      </w:r>
    </w:p>
    <w:p w14:paraId="439B4089" w14:textId="77777777" w:rsidR="00411620" w:rsidRPr="003B28FD" w:rsidRDefault="00411620" w:rsidP="00411620">
      <w:pPr>
        <w:bidi w:val="0"/>
        <w:spacing w:line="216" w:lineRule="auto"/>
        <w:rPr>
          <w:i/>
          <w:sz w:val="23"/>
          <w:szCs w:val="23"/>
        </w:rPr>
      </w:pPr>
      <w:r w:rsidRPr="003B28FD">
        <w:rPr>
          <w:rFonts w:hint="cs"/>
          <w:i/>
          <w:sz w:val="23"/>
          <w:szCs w:val="23"/>
          <w:rtl/>
        </w:rPr>
        <w:t xml:space="preserve"> </w:t>
      </w:r>
      <w:r w:rsidRPr="003B28FD">
        <w:rPr>
          <w:position w:val="-52"/>
        </w:rPr>
        <w:object w:dxaOrig="5280" w:dyaOrig="1160" w14:anchorId="35BDDF49">
          <v:shape id="_x0000_i3459" type="#_x0000_t75" style="width:263.8pt;height:58.1pt" o:ole="">
            <v:imagedata r:id="rId4904" o:title=""/>
          </v:shape>
          <o:OLEObject Type="Embed" ProgID="Equation.DSMT4" ShapeID="_x0000_i3459" DrawAspect="Content" ObjectID="_1791377403" r:id="rId4905"/>
        </w:object>
      </w:r>
    </w:p>
    <w:p w14:paraId="360791CD" w14:textId="77777777" w:rsidR="00411620" w:rsidRPr="003B28FD" w:rsidRDefault="00411620" w:rsidP="00411620">
      <w:pPr>
        <w:spacing w:line="216" w:lineRule="auto"/>
        <w:rPr>
          <w:i/>
          <w:sz w:val="23"/>
          <w:szCs w:val="23"/>
          <w:rtl/>
        </w:rPr>
      </w:pPr>
      <w:r w:rsidRPr="003B28FD">
        <w:rPr>
          <w:rFonts w:hint="cs"/>
          <w:i/>
          <w:sz w:val="23"/>
          <w:szCs w:val="23"/>
          <w:rtl/>
        </w:rPr>
        <w:t xml:space="preserve">برای </w:t>
      </w:r>
      <w:r w:rsidRPr="003B28FD">
        <w:rPr>
          <w:position w:val="-6"/>
        </w:rPr>
        <w:object w:dxaOrig="540" w:dyaOrig="260" w14:anchorId="502BB5FB">
          <v:shape id="_x0000_i3460" type="#_x0000_t75" style="width:27.25pt;height:12.7pt" o:ole="">
            <v:imagedata r:id="rId4906" o:title=""/>
          </v:shape>
          <o:OLEObject Type="Embed" ProgID="Equation.DSMT4" ShapeID="_x0000_i3460" DrawAspect="Content" ObjectID="_1791377404" r:id="rId4907"/>
        </w:object>
      </w:r>
      <w:r w:rsidRPr="003B28FD">
        <w:rPr>
          <w:i/>
          <w:sz w:val="23"/>
          <w:szCs w:val="23"/>
        </w:rPr>
        <w:t xml:space="preserve"> </w:t>
      </w:r>
      <w:r w:rsidRPr="003B28FD">
        <w:rPr>
          <w:rFonts w:hint="cs"/>
          <w:i/>
          <w:sz w:val="23"/>
          <w:szCs w:val="23"/>
          <w:rtl/>
        </w:rPr>
        <w:t>و مالیات</w:t>
      </w:r>
      <w:r w:rsidRPr="003B28FD">
        <w:rPr>
          <w:i/>
          <w:sz w:val="23"/>
          <w:szCs w:val="23"/>
          <w:rtl/>
        </w:rPr>
        <w:softHyphen/>
      </w:r>
      <w:r w:rsidRPr="003B28FD">
        <w:rPr>
          <w:rFonts w:hint="cs"/>
          <w:i/>
          <w:sz w:val="23"/>
          <w:szCs w:val="23"/>
          <w:rtl/>
        </w:rPr>
        <w:t xml:space="preserve">های ثابت </w:t>
      </w:r>
    </w:p>
    <w:p w14:paraId="5B712AA1" w14:textId="77777777" w:rsidR="00411620" w:rsidRPr="003B28FD" w:rsidRDefault="00411620" w:rsidP="00411620">
      <w:pPr>
        <w:bidi w:val="0"/>
        <w:spacing w:line="216" w:lineRule="auto"/>
        <w:rPr>
          <w:i/>
          <w:sz w:val="23"/>
          <w:szCs w:val="23"/>
          <w:rtl/>
        </w:rPr>
      </w:pPr>
      <w:r w:rsidRPr="003B28FD">
        <w:rPr>
          <w:rFonts w:hint="cs"/>
          <w:i/>
          <w:sz w:val="23"/>
          <w:szCs w:val="23"/>
          <w:rtl/>
        </w:rPr>
        <w:t xml:space="preserve"> </w:t>
      </w:r>
      <w:r w:rsidRPr="003B28FD">
        <w:rPr>
          <w:position w:val="-22"/>
        </w:rPr>
        <w:object w:dxaOrig="2840" w:dyaOrig="620" w14:anchorId="37F13C72">
          <v:shape id="_x0000_i3461" type="#_x0000_t75" style="width:142.2pt;height:31.45pt" o:ole="">
            <v:imagedata r:id="rId4908" o:title=""/>
          </v:shape>
          <o:OLEObject Type="Embed" ProgID="Equation.DSMT4" ShapeID="_x0000_i3461" DrawAspect="Content" ObjectID="_1791377405" r:id="rId4909"/>
        </w:object>
      </w:r>
      <w:r w:rsidRPr="003B28FD">
        <w:rPr>
          <w:i/>
          <w:sz w:val="23"/>
          <w:szCs w:val="23"/>
        </w:rPr>
        <w:tab/>
      </w:r>
      <w:r w:rsidRPr="003B28FD">
        <w:rPr>
          <w:i/>
          <w:sz w:val="23"/>
          <w:szCs w:val="23"/>
        </w:rPr>
        <w:tab/>
      </w:r>
      <w:r w:rsidRPr="003B28FD">
        <w:rPr>
          <w:i/>
          <w:sz w:val="23"/>
          <w:szCs w:val="23"/>
        </w:rPr>
        <w:tab/>
      </w:r>
      <w:r w:rsidRPr="003B28FD">
        <w:rPr>
          <w:i/>
          <w:sz w:val="23"/>
          <w:szCs w:val="23"/>
          <w:rtl/>
        </w:rPr>
        <w:tab/>
      </w:r>
      <w:r w:rsidRPr="003B28FD">
        <w:rPr>
          <w:i/>
          <w:sz w:val="23"/>
          <w:szCs w:val="23"/>
        </w:rPr>
        <w:tab/>
      </w:r>
      <w:r>
        <w:rPr>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tl/>
        </w:rPr>
        <w:tab/>
      </w:r>
      <w:r w:rsidRPr="003B28FD">
        <w:rPr>
          <w:i/>
          <w:sz w:val="23"/>
          <w:szCs w:val="23"/>
        </w:rPr>
        <w:tab/>
      </w:r>
      <w:r w:rsidRPr="003B28FD">
        <w:rPr>
          <w:rFonts w:hint="cs"/>
          <w:i/>
          <w:sz w:val="23"/>
          <w:szCs w:val="23"/>
          <w:rtl/>
        </w:rPr>
        <w:t>(۶. ۴۹)</w:t>
      </w:r>
    </w:p>
    <w:p w14:paraId="1F7D556E" w14:textId="77777777" w:rsidR="00411620" w:rsidRPr="003B28FD" w:rsidRDefault="00411620" w:rsidP="00411620">
      <w:pPr>
        <w:spacing w:line="216" w:lineRule="auto"/>
        <w:rPr>
          <w:i/>
          <w:sz w:val="23"/>
          <w:szCs w:val="23"/>
        </w:rPr>
      </w:pPr>
      <w:r w:rsidRPr="003B28FD">
        <w:rPr>
          <w:rFonts w:hint="cs"/>
          <w:i/>
          <w:sz w:val="23"/>
          <w:szCs w:val="23"/>
          <w:rtl/>
        </w:rPr>
        <w:t>از رابطه</w:t>
      </w:r>
      <w:r w:rsidRPr="003B28FD">
        <w:rPr>
          <w:i/>
          <w:sz w:val="23"/>
          <w:szCs w:val="23"/>
          <w:rtl/>
        </w:rPr>
        <w:softHyphen/>
      </w:r>
      <w:r w:rsidRPr="003B28FD">
        <w:rPr>
          <w:rFonts w:hint="cs"/>
          <w:i/>
          <w:sz w:val="23"/>
          <w:szCs w:val="23"/>
          <w:rtl/>
        </w:rPr>
        <w:t xml:space="preserve">ی (۶. ۴۷)، </w:t>
      </w:r>
      <w:r w:rsidRPr="003B28FD">
        <w:rPr>
          <w:position w:val="-10"/>
        </w:rPr>
        <w:object w:dxaOrig="1300" w:dyaOrig="320" w14:anchorId="3CA8A839">
          <v:shape id="_x0000_i3462" type="#_x0000_t75" style="width:64.75pt;height:16.35pt" o:ole="">
            <v:imagedata r:id="rId4910" o:title=""/>
          </v:shape>
          <o:OLEObject Type="Embed" ProgID="Equation.DSMT4" ShapeID="_x0000_i3462" DrawAspect="Content" ObjectID="_1791377406" r:id="rId4911"/>
        </w:object>
      </w:r>
      <w:r w:rsidRPr="003B28FD">
        <w:rPr>
          <w:rFonts w:hint="cs"/>
          <w:i/>
          <w:sz w:val="23"/>
          <w:szCs w:val="23"/>
          <w:rtl/>
        </w:rPr>
        <w:t xml:space="preserve">، و فرض </w:t>
      </w:r>
      <w:r w:rsidRPr="003B28FD">
        <w:rPr>
          <w:position w:val="-10"/>
        </w:rPr>
        <w:object w:dxaOrig="940" w:dyaOrig="340" w14:anchorId="2D4A5F23">
          <v:shape id="_x0000_i3463" type="#_x0000_t75" style="width:47.2pt;height:16.95pt" o:ole="">
            <v:imagedata r:id="rId4912" o:title=""/>
          </v:shape>
          <o:OLEObject Type="Embed" ProgID="Equation.DSMT4" ShapeID="_x0000_i3463" DrawAspect="Content" ObjectID="_1791377407" r:id="rId4913"/>
        </w:object>
      </w:r>
      <w:r w:rsidRPr="003B28FD">
        <w:rPr>
          <w:rFonts w:hint="cs"/>
          <w:i/>
          <w:sz w:val="23"/>
          <w:szCs w:val="23"/>
          <w:rtl/>
        </w:rPr>
        <w:t xml:space="preserve"> خواهیم داشت </w:t>
      </w:r>
      <w:r w:rsidRPr="003B28FD">
        <w:rPr>
          <w:position w:val="-10"/>
        </w:rPr>
        <w:object w:dxaOrig="1300" w:dyaOrig="340" w14:anchorId="19307FAF">
          <v:shape id="_x0000_i3464" type="#_x0000_t75" style="width:64.75pt;height:16.95pt" o:ole="">
            <v:imagedata r:id="rId4914" o:title=""/>
          </v:shape>
          <o:OLEObject Type="Embed" ProgID="Equation.DSMT4" ShapeID="_x0000_i3464" DrawAspect="Content" ObjectID="_1791377408" r:id="rId4915"/>
        </w:object>
      </w:r>
      <w:r w:rsidRPr="003B28FD">
        <w:rPr>
          <w:i/>
          <w:sz w:val="23"/>
          <w:szCs w:val="23"/>
        </w:rPr>
        <w:t xml:space="preserve"> </w:t>
      </w:r>
      <w:r w:rsidRPr="003B28FD">
        <w:rPr>
          <w:rFonts w:hint="cs"/>
          <w:i/>
          <w:sz w:val="23"/>
          <w:szCs w:val="23"/>
          <w:rtl/>
        </w:rPr>
        <w:t>و</w:t>
      </w:r>
      <w:r w:rsidRPr="003B28FD">
        <w:rPr>
          <w:position w:val="-10"/>
        </w:rPr>
        <w:object w:dxaOrig="1560" w:dyaOrig="340" w14:anchorId="749F185D">
          <v:shape id="_x0000_i3465" type="#_x0000_t75" style="width:78.05pt;height:16.95pt" o:ole="">
            <v:imagedata r:id="rId4916" o:title=""/>
          </v:shape>
          <o:OLEObject Type="Embed" ProgID="Equation.DSMT4" ShapeID="_x0000_i3465" DrawAspect="Content" ObjectID="_1791377409" r:id="rId4917"/>
        </w:object>
      </w:r>
      <w:r w:rsidRPr="003B28FD">
        <w:rPr>
          <w:i/>
          <w:sz w:val="23"/>
          <w:szCs w:val="23"/>
        </w:rPr>
        <w:t>.</w:t>
      </w:r>
      <w:r w:rsidRPr="003B28FD">
        <w:rPr>
          <w:rFonts w:hint="cs"/>
          <w:i/>
          <w:sz w:val="23"/>
          <w:szCs w:val="23"/>
          <w:rtl/>
        </w:rPr>
        <w:t xml:space="preserve"> بنابراین سمت چپ و سمت راست رابطه</w:t>
      </w:r>
      <w:r w:rsidRPr="003B28FD">
        <w:rPr>
          <w:i/>
          <w:sz w:val="23"/>
          <w:szCs w:val="23"/>
          <w:rtl/>
        </w:rPr>
        <w:softHyphen/>
      </w:r>
      <w:r w:rsidRPr="003B28FD">
        <w:rPr>
          <w:rFonts w:hint="cs"/>
          <w:i/>
          <w:sz w:val="23"/>
          <w:szCs w:val="23"/>
          <w:rtl/>
        </w:rPr>
        <w:t>ی (۶. ۴۹) برابر خواهد بود با</w:t>
      </w:r>
    </w:p>
    <w:p w14:paraId="264328DD" w14:textId="77777777" w:rsidR="00411620" w:rsidRPr="003B28FD" w:rsidRDefault="00411620" w:rsidP="00411620">
      <w:pPr>
        <w:bidi w:val="0"/>
        <w:spacing w:line="216" w:lineRule="auto"/>
        <w:rPr>
          <w:i/>
          <w:sz w:val="23"/>
          <w:szCs w:val="23"/>
        </w:rPr>
      </w:pPr>
      <w:r w:rsidRPr="003B28FD">
        <w:rPr>
          <w:position w:val="-22"/>
        </w:rPr>
        <w:object w:dxaOrig="6039" w:dyaOrig="660" w14:anchorId="1676A60B">
          <v:shape id="_x0000_i3466" type="#_x0000_t75" style="width:301.9pt;height:32.65pt" o:ole="">
            <v:imagedata r:id="rId4918" o:title=""/>
          </v:shape>
          <o:OLEObject Type="Embed" ProgID="Equation.DSMT4" ShapeID="_x0000_i3466" DrawAspect="Content" ObjectID="_1791377410" r:id="rId4919"/>
        </w:object>
      </w:r>
    </w:p>
    <w:p w14:paraId="79838032" w14:textId="77777777" w:rsidR="00411620" w:rsidRPr="003B28FD" w:rsidRDefault="00411620" w:rsidP="00411620">
      <w:pPr>
        <w:spacing w:line="216" w:lineRule="auto"/>
        <w:rPr>
          <w:i/>
          <w:sz w:val="23"/>
          <w:szCs w:val="23"/>
          <w:rtl/>
        </w:rPr>
      </w:pPr>
      <w:r w:rsidRPr="003B28FD">
        <w:rPr>
          <w:rFonts w:hint="cs"/>
          <w:i/>
          <w:sz w:val="23"/>
          <w:szCs w:val="23"/>
          <w:rtl/>
        </w:rPr>
        <w:t>و لذا</w:t>
      </w:r>
    </w:p>
    <w:p w14:paraId="44D9FD2B" w14:textId="77777777" w:rsidR="00411620" w:rsidRPr="003B28FD" w:rsidRDefault="00411620" w:rsidP="00411620">
      <w:pPr>
        <w:bidi w:val="0"/>
        <w:spacing w:line="216" w:lineRule="auto"/>
        <w:rPr>
          <w:i/>
          <w:sz w:val="23"/>
          <w:szCs w:val="23"/>
        </w:rPr>
      </w:pPr>
      <w:r w:rsidRPr="003B28FD">
        <w:rPr>
          <w:position w:val="-30"/>
        </w:rPr>
        <w:object w:dxaOrig="5460" w:dyaOrig="700" w14:anchorId="60CCAA05">
          <v:shape id="_x0000_i3467" type="#_x0000_t75" style="width:272.85pt;height:34.5pt" o:ole="">
            <v:imagedata r:id="rId4920" o:title=""/>
          </v:shape>
          <o:OLEObject Type="Embed" ProgID="Equation.DSMT4" ShapeID="_x0000_i3467" DrawAspect="Content" ObjectID="_1791377411" r:id="rId4921"/>
        </w:object>
      </w:r>
    </w:p>
    <w:p w14:paraId="79D22FF6" w14:textId="77777777" w:rsidR="00411620" w:rsidRPr="003B28FD" w:rsidRDefault="00411620" w:rsidP="00411620">
      <w:pPr>
        <w:spacing w:line="216" w:lineRule="auto"/>
        <w:rPr>
          <w:i/>
          <w:sz w:val="23"/>
          <w:szCs w:val="23"/>
          <w:rtl/>
        </w:rPr>
      </w:pPr>
      <w:r w:rsidRPr="003B28FD">
        <w:rPr>
          <w:rFonts w:hint="cs"/>
          <w:i/>
          <w:sz w:val="23"/>
          <w:szCs w:val="23"/>
          <w:rtl/>
        </w:rPr>
        <w:t xml:space="preserve">این معادله در نمودار ۶. ۲ نشان داده شده است. </w:t>
      </w:r>
    </w:p>
    <w:p w14:paraId="0F86EC4D" w14:textId="77777777" w:rsidR="00411620" w:rsidRPr="003B28FD" w:rsidRDefault="00411620" w:rsidP="00411620">
      <w:pPr>
        <w:spacing w:line="216" w:lineRule="auto"/>
        <w:rPr>
          <w:i/>
          <w:sz w:val="23"/>
          <w:szCs w:val="23"/>
          <w:rtl/>
        </w:rPr>
      </w:pPr>
      <w:r w:rsidRPr="003B28FD">
        <w:rPr>
          <w:rFonts w:hint="cs"/>
          <w:i/>
          <w:sz w:val="23"/>
          <w:szCs w:val="23"/>
          <w:rtl/>
        </w:rPr>
        <w:t xml:space="preserve">اگر </w:t>
      </w:r>
      <w:r w:rsidRPr="003B28FD">
        <w:rPr>
          <w:position w:val="-10"/>
        </w:rPr>
        <w:object w:dxaOrig="660" w:dyaOrig="320" w14:anchorId="26A35A3C">
          <v:shape id="_x0000_i3468" type="#_x0000_t75" style="width:32.65pt;height:16.35pt" o:ole="">
            <v:imagedata r:id="rId4922" o:title=""/>
          </v:shape>
          <o:OLEObject Type="Embed" ProgID="Equation.DSMT4" ShapeID="_x0000_i3468" DrawAspect="Content" ObjectID="_1791377412" r:id="rId4923"/>
        </w:object>
      </w:r>
      <w:r w:rsidRPr="003B28FD">
        <w:rPr>
          <w:rFonts w:hint="cs"/>
          <w:i/>
          <w:sz w:val="23"/>
          <w:szCs w:val="23"/>
          <w:rtl/>
        </w:rPr>
        <w:t xml:space="preserve"> باشد، آنگاه </w:t>
      </w:r>
      <w:r w:rsidRPr="003B28FD">
        <w:rPr>
          <w:position w:val="-6"/>
        </w:rPr>
        <w:object w:dxaOrig="540" w:dyaOrig="260" w14:anchorId="63C97029">
          <v:shape id="_x0000_i3469" type="#_x0000_t75" style="width:27.25pt;height:12.7pt" o:ole="">
            <v:imagedata r:id="rId4924" o:title=""/>
          </v:shape>
          <o:OLEObject Type="Embed" ProgID="Equation.DSMT4" ShapeID="_x0000_i3469" DrawAspect="Content" ObjectID="_1791377413" r:id="rId4925"/>
        </w:object>
      </w:r>
      <w:r w:rsidRPr="003B28FD">
        <w:rPr>
          <w:rFonts w:hint="cs"/>
          <w:i/>
          <w:sz w:val="23"/>
          <w:szCs w:val="23"/>
          <w:rtl/>
        </w:rPr>
        <w:t>خواهد بود، و یک افزایش در حقوق بازنشستگی دولتی بدون پشتوانه</w:t>
      </w:r>
      <w:r w:rsidRPr="003B28FD">
        <w:rPr>
          <w:rStyle w:val="FootnoteReference"/>
          <w:rFonts w:eastAsiaTheme="majorEastAsia"/>
          <w:i/>
          <w:sz w:val="23"/>
          <w:szCs w:val="23"/>
          <w:rtl/>
        </w:rPr>
        <w:footnoteReference w:id="171"/>
      </w:r>
      <w:r w:rsidRPr="003B28FD">
        <w:rPr>
          <w:rFonts w:hint="cs"/>
          <w:i/>
          <w:sz w:val="23"/>
          <w:szCs w:val="23"/>
          <w:rtl/>
        </w:rPr>
        <w:t xml:space="preserve"> باعث افزایش مالیات</w:t>
      </w:r>
      <w:r w:rsidRPr="003B28FD">
        <w:rPr>
          <w:i/>
          <w:sz w:val="23"/>
          <w:szCs w:val="23"/>
          <w:rtl/>
        </w:rPr>
        <w:softHyphen/>
      </w:r>
      <w:r w:rsidRPr="003B28FD">
        <w:rPr>
          <w:rFonts w:hint="cs"/>
          <w:i/>
          <w:sz w:val="23"/>
          <w:szCs w:val="23"/>
          <w:rtl/>
        </w:rPr>
        <w:t>ها و انتقال منحنی به بالا و افزایش مقادیر تعادلی موجودی سرمایه و پس</w:t>
      </w:r>
      <w:r w:rsidRPr="003B28FD">
        <w:rPr>
          <w:i/>
          <w:sz w:val="23"/>
          <w:szCs w:val="23"/>
          <w:rtl/>
        </w:rPr>
        <w:softHyphen/>
      </w:r>
      <w:r w:rsidRPr="003B28FD">
        <w:rPr>
          <w:rFonts w:hint="cs"/>
          <w:i/>
          <w:sz w:val="23"/>
          <w:szCs w:val="23"/>
          <w:rtl/>
        </w:rPr>
        <w:t xml:space="preserve">انداز خواهد شد. به وضوح با </w:t>
      </w:r>
      <w:r w:rsidRPr="003B28FD">
        <w:rPr>
          <w:position w:val="-30"/>
        </w:rPr>
        <w:object w:dxaOrig="1680" w:dyaOrig="700" w14:anchorId="41E0AFDC">
          <v:shape id="_x0000_i3470" type="#_x0000_t75" style="width:84.1pt;height:34.5pt" o:ole="">
            <v:imagedata r:id="rId4926" o:title=""/>
          </v:shape>
          <o:OLEObject Type="Embed" ProgID="Equation.DSMT4" ShapeID="_x0000_i3470" DrawAspect="Content" ObjectID="_1791377414" r:id="rId4927"/>
        </w:object>
      </w:r>
      <w:r w:rsidRPr="003B28FD">
        <w:rPr>
          <w:rFonts w:hint="cs"/>
          <w:i/>
          <w:sz w:val="23"/>
          <w:szCs w:val="23"/>
          <w:rtl/>
        </w:rPr>
        <w:t>، در تعادل عمومی که در آن نرخ بهره نیز تغییر می</w:t>
      </w:r>
      <w:r w:rsidRPr="003B28FD">
        <w:rPr>
          <w:i/>
          <w:sz w:val="23"/>
          <w:szCs w:val="23"/>
          <w:rtl/>
        </w:rPr>
        <w:softHyphen/>
      </w:r>
      <w:r w:rsidRPr="003B28FD">
        <w:rPr>
          <w:rFonts w:hint="cs"/>
          <w:i/>
          <w:sz w:val="23"/>
          <w:szCs w:val="23"/>
          <w:rtl/>
        </w:rPr>
        <w:t xml:space="preserve">کند، افزایش موجودی سرمایه باعث کاهش </w:t>
      </w:r>
      <w:r w:rsidRPr="003B28FD">
        <w:rPr>
          <w:position w:val="-10"/>
        </w:rPr>
        <w:object w:dxaOrig="320" w:dyaOrig="320" w14:anchorId="63C75207">
          <v:shape id="_x0000_i3471" type="#_x0000_t75" style="width:16.35pt;height:16.35pt" o:ole="">
            <v:imagedata r:id="rId4928" o:title=""/>
          </v:shape>
          <o:OLEObject Type="Embed" ProgID="Equation.DSMT4" ShapeID="_x0000_i3471" DrawAspect="Content" ObjectID="_1791377415" r:id="rId4929"/>
        </w:object>
      </w:r>
      <w:r w:rsidRPr="003B28FD">
        <w:rPr>
          <w:rFonts w:hint="cs"/>
          <w:i/>
          <w:sz w:val="23"/>
          <w:szCs w:val="23"/>
          <w:rtl/>
        </w:rPr>
        <w:t xml:space="preserve"> و در نتیجه موجب سودمندی نسل جوان نیز خواهد شد. اما اگر </w:t>
      </w:r>
      <w:r w:rsidRPr="003B28FD">
        <w:rPr>
          <w:position w:val="-10"/>
        </w:rPr>
        <w:object w:dxaOrig="660" w:dyaOrig="320" w14:anchorId="70A2BED7">
          <v:shape id="_x0000_i3472" type="#_x0000_t75" style="width:32.65pt;height:16.35pt" o:ole="">
            <v:imagedata r:id="rId4930" o:title=""/>
          </v:shape>
          <o:OLEObject Type="Embed" ProgID="Equation.DSMT4" ShapeID="_x0000_i3472" DrawAspect="Content" ObjectID="_1791377416" r:id="rId4931"/>
        </w:object>
      </w:r>
      <w:r w:rsidRPr="003B28FD">
        <w:rPr>
          <w:rFonts w:hint="cs"/>
          <w:i/>
          <w:sz w:val="23"/>
          <w:szCs w:val="23"/>
          <w:rtl/>
        </w:rPr>
        <w:t xml:space="preserve"> باشد آنگاه</w:t>
      </w:r>
      <w:r w:rsidRPr="003B28FD">
        <w:rPr>
          <w:position w:val="-6"/>
        </w:rPr>
        <w:object w:dxaOrig="540" w:dyaOrig="260" w14:anchorId="2E803851">
          <v:shape id="_x0000_i3473" type="#_x0000_t75" style="width:27.25pt;height:12.7pt" o:ole="">
            <v:imagedata r:id="rId4932" o:title=""/>
          </v:shape>
          <o:OLEObject Type="Embed" ProgID="Equation.DSMT4" ShapeID="_x0000_i3473" DrawAspect="Content" ObjectID="_1791377417" r:id="rId4933"/>
        </w:object>
      </w:r>
      <w:r w:rsidRPr="003B28FD">
        <w:rPr>
          <w:rFonts w:hint="cs"/>
          <w:i/>
          <w:sz w:val="23"/>
          <w:szCs w:val="23"/>
          <w:rtl/>
        </w:rPr>
        <w:t>خواهد بود، و یک افزایش در حقوق بازنشستگی دولتی بدون پشتوانه باعث کاهش مالیات</w:t>
      </w:r>
      <w:r w:rsidRPr="003B28FD">
        <w:rPr>
          <w:i/>
          <w:sz w:val="23"/>
          <w:szCs w:val="23"/>
          <w:rtl/>
        </w:rPr>
        <w:softHyphen/>
      </w:r>
      <w:r w:rsidRPr="003B28FD">
        <w:rPr>
          <w:rFonts w:hint="cs"/>
          <w:i/>
          <w:sz w:val="23"/>
          <w:szCs w:val="23"/>
          <w:rtl/>
        </w:rPr>
        <w:t>ها و انتقال منحنی به پایین و کاهش مقادیر تعادلی موجودی سرمایه و پس</w:t>
      </w:r>
      <w:r w:rsidRPr="003B28FD">
        <w:rPr>
          <w:i/>
          <w:sz w:val="23"/>
          <w:szCs w:val="23"/>
          <w:rtl/>
        </w:rPr>
        <w:softHyphen/>
      </w:r>
      <w:r w:rsidRPr="003B28FD">
        <w:rPr>
          <w:rFonts w:hint="cs"/>
          <w:i/>
          <w:sz w:val="23"/>
          <w:szCs w:val="23"/>
          <w:rtl/>
        </w:rPr>
        <w:t xml:space="preserve">انداز خواهد شد. در این حالت فقط نسل جوان کنونی منفعت نخواهد برد. </w:t>
      </w:r>
    </w:p>
    <w:p w14:paraId="46240A3B" w14:textId="77777777" w:rsidR="00411620" w:rsidRPr="003B28FD" w:rsidRDefault="00411620" w:rsidP="00411620">
      <w:pPr>
        <w:spacing w:line="216" w:lineRule="auto"/>
        <w:rPr>
          <w:i/>
          <w:sz w:val="23"/>
          <w:szCs w:val="23"/>
          <w:rtl/>
        </w:rPr>
      </w:pPr>
      <w:r w:rsidRPr="003B28FD">
        <w:rPr>
          <w:rFonts w:hint="cs"/>
          <w:i/>
          <w:sz w:val="23"/>
          <w:szCs w:val="23"/>
          <w:rtl/>
        </w:rPr>
        <w:t>بنابراین نتیجه می</w:t>
      </w:r>
      <w:r w:rsidRPr="003B28FD">
        <w:rPr>
          <w:i/>
          <w:sz w:val="23"/>
          <w:szCs w:val="23"/>
          <w:rtl/>
        </w:rPr>
        <w:softHyphen/>
      </w:r>
      <w:r w:rsidRPr="003B28FD">
        <w:rPr>
          <w:rFonts w:hint="cs"/>
          <w:i/>
          <w:sz w:val="23"/>
          <w:szCs w:val="23"/>
          <w:rtl/>
        </w:rPr>
        <w:t>گیریم که در رویه</w:t>
      </w:r>
      <w:r w:rsidRPr="003B28FD">
        <w:rPr>
          <w:i/>
          <w:sz w:val="23"/>
          <w:szCs w:val="23"/>
          <w:rtl/>
        </w:rPr>
        <w:softHyphen/>
      </w:r>
      <w:r w:rsidRPr="003B28FD">
        <w:rPr>
          <w:rFonts w:hint="cs"/>
          <w:i/>
          <w:sz w:val="23"/>
          <w:szCs w:val="23"/>
          <w:rtl/>
        </w:rPr>
        <w:t xml:space="preserve">ی حقوق بازنشستگی بدون پشتوانه، چنانچه رشد جمعیت کم و یا ثابت باشد، آنگاه رفاه اقتصادی در بلندمدت نیز احتمالاً کاهش خواهد یافت. بنابراین برای کشوری </w:t>
      </w:r>
      <w:r w:rsidRPr="003B28FD">
        <w:rPr>
          <w:rFonts w:hint="cs"/>
          <w:i/>
          <w:sz w:val="23"/>
          <w:szCs w:val="23"/>
          <w:rtl/>
        </w:rPr>
        <w:lastRenderedPageBreak/>
        <w:t>با رشد جمعیت کم، برنامه</w:t>
      </w:r>
      <w:r w:rsidRPr="003B28FD">
        <w:rPr>
          <w:i/>
          <w:sz w:val="23"/>
          <w:szCs w:val="23"/>
          <w:rtl/>
        </w:rPr>
        <w:softHyphen/>
      </w:r>
      <w:r w:rsidRPr="003B28FD">
        <w:rPr>
          <w:rFonts w:hint="cs"/>
          <w:i/>
          <w:sz w:val="23"/>
          <w:szCs w:val="23"/>
          <w:rtl/>
        </w:rPr>
        <w:t>ی صندوق با پشتوانه</w:t>
      </w:r>
      <w:r w:rsidRPr="003B28FD">
        <w:rPr>
          <w:i/>
          <w:sz w:val="23"/>
          <w:szCs w:val="23"/>
          <w:rtl/>
        </w:rPr>
        <w:softHyphen/>
      </w:r>
      <w:r w:rsidRPr="003B28FD">
        <w:rPr>
          <w:rFonts w:hint="cs"/>
          <w:i/>
          <w:sz w:val="23"/>
          <w:szCs w:val="23"/>
          <w:rtl/>
        </w:rPr>
        <w:t>ی کامل مناسب</w:t>
      </w:r>
      <w:r w:rsidRPr="003B28FD">
        <w:rPr>
          <w:i/>
          <w:sz w:val="23"/>
          <w:szCs w:val="23"/>
          <w:rtl/>
        </w:rPr>
        <w:softHyphen/>
      </w:r>
      <w:r w:rsidRPr="003B28FD">
        <w:rPr>
          <w:rFonts w:hint="cs"/>
          <w:i/>
          <w:sz w:val="23"/>
          <w:szCs w:val="23"/>
          <w:rtl/>
        </w:rPr>
        <w:t>تر است. برنامه</w:t>
      </w:r>
      <w:r w:rsidRPr="003B28FD">
        <w:rPr>
          <w:i/>
          <w:sz w:val="23"/>
          <w:szCs w:val="23"/>
          <w:rtl/>
        </w:rPr>
        <w:softHyphen/>
      </w:r>
      <w:r w:rsidRPr="003B28FD">
        <w:rPr>
          <w:rFonts w:hint="cs"/>
          <w:i/>
          <w:sz w:val="23"/>
          <w:szCs w:val="23"/>
          <w:rtl/>
        </w:rPr>
        <w:t>ی صندوق بدون پشتوانه فقط برای کشورهای با رشد جمعیت بالا توصیه می</w:t>
      </w:r>
      <w:r w:rsidRPr="003B28FD">
        <w:rPr>
          <w:i/>
          <w:sz w:val="23"/>
          <w:szCs w:val="23"/>
          <w:rtl/>
        </w:rPr>
        <w:softHyphen/>
      </w:r>
      <w:r w:rsidRPr="003B28FD">
        <w:rPr>
          <w:rFonts w:hint="cs"/>
          <w:i/>
          <w:sz w:val="23"/>
          <w:szCs w:val="23"/>
          <w:rtl/>
        </w:rPr>
        <w:t>شود به شرطی که بیکاری نیز وجود نداشته باشد.</w:t>
      </w:r>
    </w:p>
    <w:p w14:paraId="6FA9657A" w14:textId="77777777" w:rsidR="00411620" w:rsidRDefault="00411620" w:rsidP="00411620">
      <w:pPr>
        <w:spacing w:line="216" w:lineRule="auto"/>
        <w:rPr>
          <w:i/>
          <w:sz w:val="23"/>
          <w:szCs w:val="23"/>
          <w:rtl/>
        </w:rPr>
      </w:pPr>
    </w:p>
    <w:p w14:paraId="50A6F6AD" w14:textId="77777777" w:rsidR="00411620" w:rsidRDefault="00411620" w:rsidP="00411620">
      <w:pPr>
        <w:spacing w:line="216" w:lineRule="auto"/>
        <w:rPr>
          <w:i/>
          <w:sz w:val="23"/>
          <w:szCs w:val="23"/>
          <w:rtl/>
        </w:rPr>
      </w:pPr>
    </w:p>
    <w:p w14:paraId="30522058" w14:textId="77777777" w:rsidR="00411620" w:rsidRDefault="00411620" w:rsidP="00411620">
      <w:pPr>
        <w:spacing w:line="216" w:lineRule="auto"/>
        <w:rPr>
          <w:i/>
          <w:sz w:val="23"/>
          <w:szCs w:val="23"/>
          <w:rtl/>
        </w:rPr>
      </w:pPr>
    </w:p>
    <w:p w14:paraId="59AF8D1C" w14:textId="77777777" w:rsidR="00411620" w:rsidRPr="003B28FD" w:rsidRDefault="00411620" w:rsidP="00411620">
      <w:pPr>
        <w:spacing w:line="216" w:lineRule="auto"/>
        <w:rPr>
          <w:i/>
          <w:sz w:val="23"/>
          <w:szCs w:val="23"/>
          <w:rtl/>
        </w:rPr>
      </w:pPr>
    </w:p>
    <w:p w14:paraId="3EC54D67" w14:textId="77777777" w:rsidR="00411620" w:rsidRPr="003B28FD" w:rsidRDefault="00411620" w:rsidP="00411620">
      <w:pPr>
        <w:spacing w:line="216" w:lineRule="auto"/>
        <w:jc w:val="center"/>
        <w:rPr>
          <w:i/>
          <w:sz w:val="23"/>
          <w:szCs w:val="23"/>
          <w:rtl/>
        </w:rPr>
      </w:pPr>
      <w:r w:rsidRPr="003B28FD">
        <w:rPr>
          <w:rFonts w:hint="cs"/>
          <w:i/>
          <w:sz w:val="23"/>
          <w:szCs w:val="23"/>
          <w:rtl/>
        </w:rPr>
        <w:t>نمودار ۶. ۲</w:t>
      </w:r>
    </w:p>
    <w:p w14:paraId="32374747" w14:textId="77777777" w:rsidR="00411620" w:rsidRPr="003B28FD" w:rsidRDefault="00411620" w:rsidP="00411620">
      <w:pPr>
        <w:spacing w:line="216" w:lineRule="auto"/>
        <w:jc w:val="center"/>
        <w:rPr>
          <w:i/>
          <w:sz w:val="23"/>
          <w:szCs w:val="23"/>
        </w:rPr>
      </w:pPr>
      <w:r w:rsidRPr="003B28FD">
        <w:rPr>
          <w:i/>
          <w:noProof/>
          <w:sz w:val="23"/>
          <w:szCs w:val="23"/>
          <w:lang w:bidi="ar-SA"/>
        </w:rPr>
        <w:drawing>
          <wp:inline distT="0" distB="0" distL="0" distR="0" wp14:anchorId="6CB26F87" wp14:editId="146D8AF4">
            <wp:extent cx="3653155" cy="2017222"/>
            <wp:effectExtent l="38100" t="38100" r="42545" b="406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4">
                      <a:extLst>
                        <a:ext uri="{BEBA8EAE-BF5A-486C-A8C5-ECC9F3942E4B}">
                          <a14:imgProps xmlns:a14="http://schemas.microsoft.com/office/drawing/2010/main">
                            <a14:imgLayer r:embed="rId4935">
                              <a14:imgEffect>
                                <a14:brightnessContrast contrast="20000"/>
                              </a14:imgEffect>
                            </a14:imgLayer>
                          </a14:imgProps>
                        </a:ext>
                      </a:extLst>
                    </a:blip>
                    <a:stretch>
                      <a:fillRect/>
                    </a:stretch>
                  </pic:blipFill>
                  <pic:spPr>
                    <a:xfrm>
                      <a:off x="0" y="0"/>
                      <a:ext cx="3668492" cy="2025691"/>
                    </a:xfrm>
                    <a:prstGeom prst="rect">
                      <a:avLst/>
                    </a:prstGeom>
                    <a:ln w="28575">
                      <a:solidFill>
                        <a:schemeClr val="tx1"/>
                      </a:solidFill>
                    </a:ln>
                  </pic:spPr>
                </pic:pic>
              </a:graphicData>
            </a:graphic>
          </wp:inline>
        </w:drawing>
      </w:r>
    </w:p>
    <w:p w14:paraId="0DB646FD" w14:textId="77777777" w:rsidR="00411620" w:rsidRPr="003B28FD" w:rsidRDefault="00411620" w:rsidP="00411620">
      <w:pPr>
        <w:spacing w:line="216" w:lineRule="auto"/>
        <w:rPr>
          <w:i/>
          <w:sz w:val="23"/>
          <w:szCs w:val="23"/>
          <w:rtl/>
        </w:rPr>
      </w:pPr>
    </w:p>
    <w:p w14:paraId="24CE035F" w14:textId="77777777" w:rsidR="00411620" w:rsidRPr="003B28FD" w:rsidRDefault="00411620" w:rsidP="00411620">
      <w:pPr>
        <w:spacing w:line="216" w:lineRule="auto"/>
        <w:rPr>
          <w:i/>
          <w:sz w:val="23"/>
          <w:szCs w:val="23"/>
          <w:rtl/>
        </w:rPr>
      </w:pPr>
    </w:p>
    <w:p w14:paraId="0E64147A" w14:textId="77777777" w:rsidR="00411620" w:rsidRPr="003B28FD" w:rsidRDefault="00411620" w:rsidP="00411620">
      <w:pPr>
        <w:spacing w:line="216" w:lineRule="auto"/>
        <w:rPr>
          <w:bCs/>
          <w:i/>
          <w:sz w:val="23"/>
          <w:szCs w:val="23"/>
        </w:rPr>
      </w:pPr>
      <w:r w:rsidRPr="003B28FD">
        <w:rPr>
          <w:rFonts w:hint="cs"/>
          <w:bCs/>
          <w:i/>
          <w:sz w:val="23"/>
          <w:szCs w:val="23"/>
          <w:rtl/>
        </w:rPr>
        <w:t>سیاست مالی با بدهی</w:t>
      </w:r>
    </w:p>
    <w:p w14:paraId="3072524E" w14:textId="77777777" w:rsidR="00411620" w:rsidRPr="003B28FD" w:rsidRDefault="00411620" w:rsidP="00411620">
      <w:pPr>
        <w:spacing w:line="216" w:lineRule="auto"/>
        <w:rPr>
          <w:i/>
          <w:sz w:val="23"/>
          <w:szCs w:val="23"/>
        </w:rPr>
      </w:pPr>
      <w:r w:rsidRPr="003B28FD">
        <w:rPr>
          <w:rFonts w:hint="cs"/>
          <w:i/>
          <w:sz w:val="23"/>
          <w:szCs w:val="23"/>
          <w:rtl/>
        </w:rPr>
        <w:t>سیاست</w:t>
      </w:r>
      <w:r w:rsidRPr="003B28FD">
        <w:rPr>
          <w:i/>
          <w:sz w:val="23"/>
          <w:szCs w:val="23"/>
          <w:rtl/>
        </w:rPr>
        <w:softHyphen/>
      </w:r>
      <w:r w:rsidRPr="003B28FD">
        <w:rPr>
          <w:rFonts w:hint="cs"/>
          <w:i/>
          <w:sz w:val="23"/>
          <w:szCs w:val="23"/>
          <w:rtl/>
        </w:rPr>
        <w:t>های حقوق بازنشستگی دولت که تاکنون مورد بررسی قرار گرفت مستلزم بودجه</w:t>
      </w:r>
      <w:r w:rsidRPr="003B28FD">
        <w:rPr>
          <w:i/>
          <w:sz w:val="23"/>
          <w:szCs w:val="23"/>
          <w:rtl/>
        </w:rPr>
        <w:softHyphen/>
      </w:r>
      <w:r w:rsidRPr="003B28FD">
        <w:rPr>
          <w:rFonts w:hint="cs"/>
          <w:i/>
          <w:sz w:val="23"/>
          <w:szCs w:val="23"/>
          <w:rtl/>
        </w:rPr>
        <w:t>ی متوازن است که در آن حقوق بازنشستگی نسل سالخورده و مسن در هر دوره، بوسیله</w:t>
      </w:r>
      <w:r w:rsidRPr="003B28FD">
        <w:rPr>
          <w:i/>
          <w:sz w:val="23"/>
          <w:szCs w:val="23"/>
          <w:rtl/>
        </w:rPr>
        <w:softHyphen/>
      </w:r>
      <w:r w:rsidRPr="003B28FD">
        <w:rPr>
          <w:rFonts w:hint="cs"/>
          <w:i/>
          <w:sz w:val="23"/>
          <w:szCs w:val="23"/>
          <w:rtl/>
        </w:rPr>
        <w:t>ی مشارکت نسل جوان در بازار</w:t>
      </w:r>
      <w:r>
        <w:rPr>
          <w:i/>
          <w:sz w:val="23"/>
          <w:szCs w:val="23"/>
        </w:rPr>
        <w:t xml:space="preserve"> </w:t>
      </w:r>
      <w:r w:rsidRPr="003B28FD">
        <w:rPr>
          <w:rFonts w:hint="cs"/>
          <w:i/>
          <w:sz w:val="23"/>
          <w:szCs w:val="23"/>
          <w:rtl/>
        </w:rPr>
        <w:t xml:space="preserve">کار تأمین </w:t>
      </w:r>
      <w:r w:rsidRPr="003B28FD">
        <w:rPr>
          <w:i/>
          <w:sz w:val="23"/>
          <w:szCs w:val="23"/>
          <w:rtl/>
        </w:rPr>
        <w:softHyphen/>
      </w:r>
      <w:r w:rsidRPr="003B28FD">
        <w:rPr>
          <w:rFonts w:hint="cs"/>
          <w:i/>
          <w:sz w:val="23"/>
          <w:szCs w:val="23"/>
          <w:rtl/>
        </w:rPr>
        <w:t>شود. اکنون فرض می</w:t>
      </w:r>
      <w:r w:rsidRPr="003B28FD">
        <w:rPr>
          <w:i/>
          <w:sz w:val="23"/>
          <w:szCs w:val="23"/>
          <w:rtl/>
        </w:rPr>
        <w:softHyphen/>
      </w:r>
      <w:r w:rsidRPr="003B28FD">
        <w:rPr>
          <w:rFonts w:hint="cs"/>
          <w:i/>
          <w:sz w:val="23"/>
          <w:szCs w:val="23"/>
          <w:rtl/>
        </w:rPr>
        <w:t>کنیم که دولت سیاست تأمین مالی از طریق بدهی را نیز بکار گیرد. بطورکلی قید بودجه</w:t>
      </w:r>
      <w:r w:rsidRPr="003B28FD">
        <w:rPr>
          <w:i/>
          <w:sz w:val="23"/>
          <w:szCs w:val="23"/>
          <w:rtl/>
        </w:rPr>
        <w:softHyphen/>
      </w:r>
      <w:r w:rsidRPr="003B28FD">
        <w:rPr>
          <w:rFonts w:hint="cs"/>
          <w:i/>
          <w:sz w:val="23"/>
          <w:szCs w:val="23"/>
          <w:rtl/>
        </w:rPr>
        <w:t>ی دولت را می</w:t>
      </w:r>
      <w:r w:rsidRPr="003B28FD">
        <w:rPr>
          <w:i/>
          <w:sz w:val="23"/>
          <w:szCs w:val="23"/>
          <w:rtl/>
        </w:rPr>
        <w:softHyphen/>
      </w:r>
      <w:r w:rsidRPr="003B28FD">
        <w:rPr>
          <w:rFonts w:hint="cs"/>
          <w:i/>
          <w:sz w:val="23"/>
          <w:szCs w:val="23"/>
          <w:rtl/>
        </w:rPr>
        <w:t>توان به صورت زیر نوشت</w:t>
      </w:r>
    </w:p>
    <w:p w14:paraId="2CCC46D7" w14:textId="77777777" w:rsidR="00411620" w:rsidRPr="003B28FD" w:rsidRDefault="00411620" w:rsidP="00411620">
      <w:pPr>
        <w:bidi w:val="0"/>
        <w:spacing w:line="216" w:lineRule="auto"/>
        <w:rPr>
          <w:i/>
          <w:sz w:val="23"/>
          <w:szCs w:val="23"/>
          <w:rtl/>
        </w:rPr>
      </w:pPr>
      <w:r w:rsidRPr="003B28FD">
        <w:rPr>
          <w:position w:val="-10"/>
        </w:rPr>
        <w:object w:dxaOrig="2540" w:dyaOrig="320" w14:anchorId="07FD38CC">
          <v:shape id="_x0000_i3474" type="#_x0000_t75" style="width:127.05pt;height:16.35pt" o:ole="">
            <v:imagedata r:id="rId4936" o:title=""/>
          </v:shape>
          <o:OLEObject Type="Embed" ProgID="Equation.DSMT4" ShapeID="_x0000_i3474" DrawAspect="Content" ObjectID="_1791377418" r:id="rId4937"/>
        </w:object>
      </w:r>
    </w:p>
    <w:p w14:paraId="33C66B0A" w14:textId="77777777" w:rsidR="00411620" w:rsidRPr="003B28FD" w:rsidRDefault="00411620" w:rsidP="00411620">
      <w:pPr>
        <w:spacing w:line="216" w:lineRule="auto"/>
        <w:rPr>
          <w:i/>
          <w:sz w:val="23"/>
          <w:szCs w:val="23"/>
          <w:rtl/>
        </w:rPr>
      </w:pPr>
      <w:r w:rsidRPr="003B28FD">
        <w:rPr>
          <w:rFonts w:hint="cs"/>
          <w:i/>
          <w:sz w:val="23"/>
          <w:szCs w:val="23"/>
          <w:rtl/>
        </w:rPr>
        <w:t>که در آن</w:t>
      </w:r>
      <w:r w:rsidRPr="003B28FD">
        <w:rPr>
          <w:position w:val="-10"/>
        </w:rPr>
        <w:object w:dxaOrig="260" w:dyaOrig="320" w14:anchorId="18789486">
          <v:shape id="_x0000_i3475" type="#_x0000_t75" style="width:12.7pt;height:16.35pt" o:ole="">
            <v:imagedata r:id="rId4938" o:title=""/>
          </v:shape>
          <o:OLEObject Type="Embed" ProgID="Equation.DSMT4" ShapeID="_x0000_i3475" DrawAspect="Content" ObjectID="_1791377419" r:id="rId4939"/>
        </w:object>
      </w:r>
      <w:r w:rsidRPr="003B28FD">
        <w:rPr>
          <w:i/>
          <w:sz w:val="23"/>
          <w:szCs w:val="23"/>
        </w:rPr>
        <w:t xml:space="preserve"> </w:t>
      </w:r>
      <w:r w:rsidRPr="003B28FD">
        <w:rPr>
          <w:rFonts w:hint="cs"/>
          <w:i/>
          <w:sz w:val="23"/>
          <w:szCs w:val="23"/>
          <w:rtl/>
        </w:rPr>
        <w:t>و</w:t>
      </w:r>
      <w:r w:rsidRPr="003B28FD">
        <w:rPr>
          <w:position w:val="-10"/>
        </w:rPr>
        <w:object w:dxaOrig="279" w:dyaOrig="320" w14:anchorId="64E684CF">
          <v:shape id="_x0000_i3476" type="#_x0000_t75" style="width:13.9pt;height:16.35pt" o:ole="">
            <v:imagedata r:id="rId4940" o:title=""/>
          </v:shape>
          <o:OLEObject Type="Embed" ProgID="Equation.DSMT4" ShapeID="_x0000_i3476" DrawAspect="Content" ObjectID="_1791377420" r:id="rId4941"/>
        </w:object>
      </w:r>
      <w:r w:rsidRPr="003B28FD">
        <w:rPr>
          <w:rFonts w:hint="cs"/>
          <w:i/>
          <w:sz w:val="23"/>
          <w:szCs w:val="23"/>
          <w:rtl/>
        </w:rPr>
        <w:t>مالیات</w:t>
      </w:r>
      <w:r w:rsidRPr="003B28FD">
        <w:rPr>
          <w:i/>
          <w:sz w:val="23"/>
          <w:szCs w:val="23"/>
          <w:rtl/>
        </w:rPr>
        <w:softHyphen/>
      </w:r>
      <w:r w:rsidRPr="003B28FD">
        <w:rPr>
          <w:rFonts w:hint="cs"/>
          <w:i/>
          <w:sz w:val="23"/>
          <w:szCs w:val="23"/>
          <w:rtl/>
        </w:rPr>
        <w:t>های نسل جوان و سالخورده ( و در صورت منفی بودن سوبسیدها) می</w:t>
      </w:r>
      <w:r w:rsidRPr="003B28FD">
        <w:rPr>
          <w:i/>
          <w:sz w:val="23"/>
          <w:szCs w:val="23"/>
          <w:rtl/>
        </w:rPr>
        <w:softHyphen/>
      </w:r>
      <w:r w:rsidRPr="003B28FD">
        <w:rPr>
          <w:rFonts w:hint="cs"/>
          <w:i/>
          <w:sz w:val="23"/>
          <w:szCs w:val="23"/>
          <w:rtl/>
        </w:rPr>
        <w:t>باشند.</w:t>
      </w:r>
      <w:r w:rsidRPr="003B28FD">
        <w:rPr>
          <w:position w:val="-10"/>
        </w:rPr>
        <w:object w:dxaOrig="400" w:dyaOrig="320" w14:anchorId="7A81F8E0">
          <v:shape id="_x0000_i3477" type="#_x0000_t75" style="width:19.95pt;height:16.35pt" o:ole="">
            <v:imagedata r:id="rId4942" o:title=""/>
          </v:shape>
          <o:OLEObject Type="Embed" ProgID="Equation.DSMT4" ShapeID="_x0000_i3477" DrawAspect="Content" ObjectID="_1791377421" r:id="rId4943"/>
        </w:object>
      </w:r>
      <w:r w:rsidRPr="003B28FD">
        <w:rPr>
          <w:rFonts w:hint="cs"/>
          <w:i/>
          <w:sz w:val="23"/>
          <w:szCs w:val="23"/>
          <w:rtl/>
        </w:rPr>
        <w:t xml:space="preserve"> بدهی یک دوره</w:t>
      </w:r>
      <w:r w:rsidRPr="003B28FD">
        <w:rPr>
          <w:i/>
          <w:sz w:val="23"/>
          <w:szCs w:val="23"/>
          <w:rtl/>
        </w:rPr>
        <w:softHyphen/>
      </w:r>
      <w:r w:rsidRPr="003B28FD">
        <w:rPr>
          <w:rFonts w:hint="cs"/>
          <w:i/>
          <w:sz w:val="23"/>
          <w:szCs w:val="23"/>
          <w:rtl/>
        </w:rPr>
        <w:t>ای دولت است که بوسیله</w:t>
      </w:r>
      <w:r w:rsidRPr="003B28FD">
        <w:rPr>
          <w:i/>
          <w:sz w:val="23"/>
          <w:szCs w:val="23"/>
          <w:rtl/>
        </w:rPr>
        <w:softHyphen/>
      </w:r>
      <w:r w:rsidRPr="003B28FD">
        <w:rPr>
          <w:rFonts w:hint="cs"/>
          <w:i/>
          <w:sz w:val="23"/>
          <w:szCs w:val="23"/>
          <w:rtl/>
        </w:rPr>
        <w:t>ی نسل جوان در زمان</w:t>
      </w:r>
      <w:r w:rsidRPr="003B28FD">
        <w:rPr>
          <w:position w:val="-6"/>
        </w:rPr>
        <w:object w:dxaOrig="139" w:dyaOrig="240" w14:anchorId="673596FE">
          <v:shape id="_x0000_i3478" type="#_x0000_t75" style="width:7.25pt;height:11.5pt" o:ole="">
            <v:imagedata r:id="rId4944" o:title=""/>
          </v:shape>
          <o:OLEObject Type="Embed" ProgID="Equation.DSMT4" ShapeID="_x0000_i3478" DrawAspect="Content" ObjectID="_1791377422" r:id="rId4945"/>
        </w:object>
      </w:r>
      <w:r w:rsidRPr="003B28FD">
        <w:rPr>
          <w:rFonts w:hint="cs"/>
          <w:i/>
          <w:sz w:val="23"/>
          <w:szCs w:val="23"/>
          <w:rtl/>
        </w:rPr>
        <w:t xml:space="preserve"> نگهداری می</w:t>
      </w:r>
      <w:r w:rsidRPr="003B28FD">
        <w:rPr>
          <w:i/>
          <w:sz w:val="23"/>
          <w:szCs w:val="23"/>
          <w:rtl/>
        </w:rPr>
        <w:softHyphen/>
      </w:r>
      <w:r w:rsidRPr="003B28FD">
        <w:rPr>
          <w:rFonts w:hint="cs"/>
          <w:i/>
          <w:sz w:val="23"/>
          <w:szCs w:val="23"/>
          <w:rtl/>
        </w:rPr>
        <w:t>شود و جهت تأمین قید بودجه</w:t>
      </w:r>
      <w:r w:rsidRPr="003B28FD">
        <w:rPr>
          <w:i/>
          <w:sz w:val="23"/>
          <w:szCs w:val="23"/>
          <w:rtl/>
        </w:rPr>
        <w:softHyphen/>
      </w:r>
      <w:r w:rsidRPr="003B28FD">
        <w:rPr>
          <w:rFonts w:hint="cs"/>
          <w:i/>
          <w:sz w:val="23"/>
          <w:szCs w:val="23"/>
          <w:rtl/>
        </w:rPr>
        <w:t>ی دولت و پرداخت نرخ بهره تعیین می</w:t>
      </w:r>
      <w:r w:rsidRPr="003B28FD">
        <w:rPr>
          <w:i/>
          <w:sz w:val="23"/>
          <w:szCs w:val="23"/>
          <w:rtl/>
        </w:rPr>
        <w:softHyphen/>
      </w:r>
      <w:r w:rsidRPr="003B28FD">
        <w:rPr>
          <w:rFonts w:hint="cs"/>
          <w:i/>
          <w:sz w:val="23"/>
          <w:szCs w:val="23"/>
          <w:rtl/>
        </w:rPr>
        <w:t>شود. قید بودجه</w:t>
      </w:r>
      <w:r w:rsidRPr="003B28FD">
        <w:rPr>
          <w:i/>
          <w:sz w:val="23"/>
          <w:szCs w:val="23"/>
          <w:rtl/>
        </w:rPr>
        <w:softHyphen/>
      </w:r>
      <w:r w:rsidRPr="003B28FD">
        <w:rPr>
          <w:rFonts w:hint="cs"/>
          <w:i/>
          <w:sz w:val="23"/>
          <w:szCs w:val="23"/>
          <w:rtl/>
        </w:rPr>
        <w:t xml:space="preserve"> سرانه</w:t>
      </w:r>
      <w:r w:rsidRPr="003B28FD">
        <w:rPr>
          <w:i/>
          <w:sz w:val="23"/>
          <w:szCs w:val="23"/>
          <w:rtl/>
        </w:rPr>
        <w:softHyphen/>
      </w:r>
      <w:r w:rsidRPr="003B28FD">
        <w:rPr>
          <w:rFonts w:hint="cs"/>
          <w:i/>
          <w:sz w:val="23"/>
          <w:szCs w:val="23"/>
          <w:rtl/>
        </w:rPr>
        <w:t>ی دولت برابر است با</w:t>
      </w:r>
    </w:p>
    <w:p w14:paraId="5E053CAB" w14:textId="77777777" w:rsidR="00411620" w:rsidRPr="003B28FD" w:rsidRDefault="00411620" w:rsidP="00411620">
      <w:pPr>
        <w:bidi w:val="0"/>
        <w:spacing w:line="216" w:lineRule="auto"/>
        <w:rPr>
          <w:i/>
          <w:sz w:val="23"/>
          <w:szCs w:val="23"/>
          <w:rtl/>
        </w:rPr>
      </w:pPr>
      <w:r w:rsidRPr="003B28FD">
        <w:rPr>
          <w:rFonts w:hint="cs"/>
          <w:i/>
          <w:sz w:val="23"/>
          <w:szCs w:val="23"/>
          <w:rtl/>
        </w:rPr>
        <w:t xml:space="preserve"> </w:t>
      </w:r>
      <w:r w:rsidRPr="003B28FD">
        <w:rPr>
          <w:position w:val="-22"/>
        </w:rPr>
        <w:object w:dxaOrig="2900" w:dyaOrig="580" w14:anchorId="0DEE8497">
          <v:shape id="_x0000_i3479" type="#_x0000_t75" style="width:145.2pt;height:29.05pt" o:ole="">
            <v:imagedata r:id="rId4946" o:title=""/>
          </v:shape>
          <o:OLEObject Type="Embed" ProgID="Equation.DSMT4" ShapeID="_x0000_i3479" DrawAspect="Content" ObjectID="_1791377423" r:id="rId4947"/>
        </w:object>
      </w:r>
      <w:r w:rsidRPr="003B28FD">
        <w:rPr>
          <w:i/>
          <w:sz w:val="23"/>
          <w:szCs w:val="23"/>
          <w:rtl/>
        </w:rPr>
        <w:tab/>
      </w:r>
      <w:r w:rsidRPr="003B28FD">
        <w:rPr>
          <w:i/>
          <w:sz w:val="23"/>
          <w:szCs w:val="23"/>
          <w:rtl/>
        </w:rPr>
        <w:tab/>
      </w:r>
      <w:r w:rsidRPr="003B28FD">
        <w:rPr>
          <w:i/>
          <w:sz w:val="23"/>
          <w:szCs w:val="23"/>
        </w:rPr>
        <w:tab/>
      </w:r>
      <w:r w:rsidRPr="003B28FD">
        <w:rPr>
          <w:i/>
          <w:sz w:val="23"/>
          <w:szCs w:val="23"/>
        </w:rPr>
        <w:tab/>
      </w:r>
      <w:r>
        <w:rPr>
          <w:i/>
          <w:sz w:val="23"/>
          <w:szCs w:val="23"/>
          <w:rtl/>
        </w:rPr>
        <w:tab/>
      </w:r>
      <w:r w:rsidRPr="003B28FD">
        <w:rPr>
          <w:i/>
          <w:sz w:val="23"/>
          <w:szCs w:val="23"/>
        </w:rPr>
        <w:tab/>
      </w:r>
      <w:r w:rsidRPr="003B28FD">
        <w:rPr>
          <w:i/>
          <w:sz w:val="23"/>
          <w:szCs w:val="23"/>
        </w:rPr>
        <w:tab/>
      </w:r>
      <w:r w:rsidRPr="003B28FD">
        <w:rPr>
          <w:i/>
          <w:sz w:val="23"/>
          <w:szCs w:val="23"/>
        </w:rPr>
        <w:tab/>
      </w:r>
      <w:r w:rsidRPr="003B28FD">
        <w:rPr>
          <w:i/>
          <w:sz w:val="23"/>
          <w:szCs w:val="23"/>
          <w:rtl/>
        </w:rPr>
        <w:tab/>
      </w:r>
      <w:r w:rsidRPr="003B28FD">
        <w:rPr>
          <w:i/>
          <w:sz w:val="23"/>
          <w:szCs w:val="23"/>
          <w:rtl/>
        </w:rPr>
        <w:tab/>
      </w:r>
      <w:r w:rsidRPr="003B28FD">
        <w:rPr>
          <w:i/>
          <w:sz w:val="23"/>
          <w:szCs w:val="23"/>
          <w:rtl/>
        </w:rPr>
        <w:tab/>
      </w:r>
      <w:r w:rsidRPr="003B28FD">
        <w:rPr>
          <w:rFonts w:hint="cs"/>
          <w:i/>
          <w:sz w:val="23"/>
          <w:szCs w:val="23"/>
          <w:rtl/>
        </w:rPr>
        <w:t>(۶. ۵۰)</w:t>
      </w:r>
    </w:p>
    <w:p w14:paraId="09F54464" w14:textId="77777777" w:rsidR="00411620" w:rsidRPr="003B28FD" w:rsidRDefault="00411620" w:rsidP="00411620">
      <w:pPr>
        <w:spacing w:line="216" w:lineRule="auto"/>
        <w:rPr>
          <w:i/>
          <w:sz w:val="23"/>
          <w:szCs w:val="23"/>
          <w:rtl/>
        </w:rPr>
      </w:pPr>
      <w:r w:rsidRPr="003B28FD">
        <w:rPr>
          <w:rFonts w:hint="cs"/>
          <w:i/>
          <w:sz w:val="23"/>
          <w:szCs w:val="23"/>
          <w:rtl/>
        </w:rPr>
        <w:t>که در آن</w:t>
      </w:r>
      <w:r w:rsidRPr="003B28FD">
        <w:rPr>
          <w:position w:val="-10"/>
        </w:rPr>
        <w:object w:dxaOrig="1120" w:dyaOrig="320" w14:anchorId="12614111">
          <v:shape id="_x0000_i3480" type="#_x0000_t75" style="width:55.65pt;height:16.35pt" o:ole="">
            <v:imagedata r:id="rId4948" o:title=""/>
          </v:shape>
          <o:OLEObject Type="Embed" ProgID="Equation.DSMT4" ShapeID="_x0000_i3480" DrawAspect="Content" ObjectID="_1791377424" r:id="rId4949"/>
        </w:object>
      </w:r>
      <w:r w:rsidRPr="003B28FD">
        <w:rPr>
          <w:rFonts w:hint="cs"/>
          <w:i/>
          <w:sz w:val="23"/>
          <w:szCs w:val="23"/>
          <w:rtl/>
        </w:rPr>
        <w:t xml:space="preserve"> است. قید بودجه</w:t>
      </w:r>
      <w:r w:rsidRPr="003B28FD">
        <w:rPr>
          <w:i/>
          <w:sz w:val="23"/>
          <w:szCs w:val="23"/>
          <w:rtl/>
        </w:rPr>
        <w:softHyphen/>
      </w:r>
      <w:r w:rsidRPr="003B28FD">
        <w:rPr>
          <w:rFonts w:hint="cs"/>
          <w:i/>
          <w:sz w:val="23"/>
          <w:szCs w:val="23"/>
          <w:rtl/>
        </w:rPr>
        <w:t>ی نسل جوان عبارت است از</w:t>
      </w:r>
    </w:p>
    <w:p w14:paraId="214D62C2" w14:textId="77777777" w:rsidR="00411620" w:rsidRPr="003B28FD" w:rsidRDefault="00411620" w:rsidP="00411620">
      <w:pPr>
        <w:bidi w:val="0"/>
        <w:spacing w:line="216" w:lineRule="auto"/>
        <w:rPr>
          <w:i/>
          <w:sz w:val="23"/>
          <w:szCs w:val="23"/>
        </w:rPr>
      </w:pPr>
      <w:r w:rsidRPr="003B28FD">
        <w:rPr>
          <w:position w:val="-10"/>
        </w:rPr>
        <w:object w:dxaOrig="2560" w:dyaOrig="320" w14:anchorId="3809E319">
          <v:shape id="_x0000_i3481" type="#_x0000_t75" style="width:127.65pt;height:16.35pt" o:ole="">
            <v:imagedata r:id="rId4950" o:title=""/>
          </v:shape>
          <o:OLEObject Type="Embed" ProgID="Equation.DSMT4" ShapeID="_x0000_i3481" DrawAspect="Content" ObjectID="_1791377425" r:id="rId4951"/>
        </w:object>
      </w:r>
    </w:p>
    <w:p w14:paraId="30D26952" w14:textId="77777777" w:rsidR="00411620" w:rsidRPr="003B28FD" w:rsidRDefault="00411620" w:rsidP="00411620">
      <w:pPr>
        <w:spacing w:line="216" w:lineRule="auto"/>
        <w:rPr>
          <w:i/>
          <w:sz w:val="23"/>
          <w:szCs w:val="23"/>
          <w:rtl/>
        </w:rPr>
      </w:pPr>
      <w:r w:rsidRPr="003B28FD">
        <w:rPr>
          <w:rFonts w:hint="cs"/>
          <w:i/>
          <w:sz w:val="23"/>
          <w:szCs w:val="23"/>
          <w:rtl/>
        </w:rPr>
        <w:t>و مصرف آن</w:t>
      </w:r>
      <w:r w:rsidRPr="003B28FD">
        <w:rPr>
          <w:i/>
          <w:sz w:val="23"/>
          <w:szCs w:val="23"/>
          <w:rtl/>
        </w:rPr>
        <w:softHyphen/>
      </w:r>
      <w:r w:rsidRPr="003B28FD">
        <w:rPr>
          <w:rFonts w:hint="cs"/>
          <w:i/>
          <w:sz w:val="23"/>
          <w:szCs w:val="23"/>
          <w:rtl/>
        </w:rPr>
        <w:t>ها در سن سالخوردگی برابر است با</w:t>
      </w:r>
    </w:p>
    <w:p w14:paraId="131F3526" w14:textId="77777777" w:rsidR="00411620" w:rsidRPr="003B28FD" w:rsidRDefault="00411620" w:rsidP="00411620">
      <w:pPr>
        <w:bidi w:val="0"/>
        <w:spacing w:line="216" w:lineRule="auto"/>
        <w:rPr>
          <w:i/>
          <w:sz w:val="23"/>
          <w:szCs w:val="23"/>
        </w:rPr>
      </w:pPr>
      <w:r w:rsidRPr="003B28FD">
        <w:rPr>
          <w:position w:val="-12"/>
        </w:rPr>
        <w:object w:dxaOrig="3379" w:dyaOrig="360" w14:anchorId="6E59F937">
          <v:shape id="_x0000_i3482" type="#_x0000_t75" style="width:169.4pt;height:18.15pt" o:ole="">
            <v:imagedata r:id="rId4952" o:title=""/>
          </v:shape>
          <o:OLEObject Type="Embed" ProgID="Equation.DSMT4" ShapeID="_x0000_i3482" DrawAspect="Content" ObjectID="_1791377426" r:id="rId4953"/>
        </w:object>
      </w:r>
    </w:p>
    <w:p w14:paraId="2F46BBC9" w14:textId="77777777" w:rsidR="00411620" w:rsidRPr="003B28FD" w:rsidRDefault="00411620" w:rsidP="00411620">
      <w:pPr>
        <w:spacing w:line="216" w:lineRule="auto"/>
        <w:rPr>
          <w:i/>
          <w:sz w:val="23"/>
          <w:szCs w:val="23"/>
          <w:rtl/>
        </w:rPr>
      </w:pPr>
      <w:r w:rsidRPr="003B28FD">
        <w:rPr>
          <w:rFonts w:hint="cs"/>
          <w:i/>
          <w:sz w:val="23"/>
          <w:szCs w:val="23"/>
          <w:rtl/>
        </w:rPr>
        <w:t>بنابراین قید بودجه</w:t>
      </w:r>
      <w:r w:rsidRPr="003B28FD">
        <w:rPr>
          <w:i/>
          <w:sz w:val="23"/>
          <w:szCs w:val="23"/>
          <w:rtl/>
        </w:rPr>
        <w:softHyphen/>
      </w:r>
      <w:r w:rsidRPr="003B28FD">
        <w:rPr>
          <w:rFonts w:hint="cs"/>
          <w:i/>
          <w:sz w:val="23"/>
          <w:szCs w:val="23"/>
          <w:rtl/>
        </w:rPr>
        <w:t>ی بین‌دوره</w:t>
      </w:r>
      <w:r w:rsidRPr="003B28FD">
        <w:rPr>
          <w:i/>
          <w:sz w:val="23"/>
          <w:szCs w:val="23"/>
          <w:rtl/>
        </w:rPr>
        <w:softHyphen/>
      </w:r>
      <w:r w:rsidRPr="003B28FD">
        <w:rPr>
          <w:rFonts w:hint="cs"/>
          <w:i/>
          <w:sz w:val="23"/>
          <w:szCs w:val="23"/>
          <w:rtl/>
        </w:rPr>
        <w:t>ای برابر خواهد بود با</w:t>
      </w:r>
    </w:p>
    <w:p w14:paraId="479EE4B6" w14:textId="77777777" w:rsidR="00411620" w:rsidRPr="003B28FD" w:rsidRDefault="00411620" w:rsidP="00411620">
      <w:pPr>
        <w:bidi w:val="0"/>
        <w:spacing w:line="216" w:lineRule="auto"/>
        <w:rPr>
          <w:i/>
          <w:sz w:val="23"/>
          <w:szCs w:val="23"/>
        </w:rPr>
      </w:pPr>
      <w:r w:rsidRPr="003B28FD">
        <w:rPr>
          <w:position w:val="-12"/>
        </w:rPr>
        <w:object w:dxaOrig="3200" w:dyaOrig="360" w14:anchorId="0CBAA998">
          <v:shape id="_x0000_i3483" type="#_x0000_t75" style="width:160.35pt;height:18.15pt" o:ole="">
            <v:imagedata r:id="rId4954" o:title=""/>
          </v:shape>
          <o:OLEObject Type="Embed" ProgID="Equation.DSMT4" ShapeID="_x0000_i3483" DrawAspect="Content" ObjectID="_1791377427" r:id="rId4955"/>
        </w:object>
      </w:r>
    </w:p>
    <w:p w14:paraId="35B8FA07" w14:textId="77777777" w:rsidR="00411620" w:rsidRPr="003B28FD" w:rsidRDefault="00411620" w:rsidP="00411620">
      <w:pPr>
        <w:spacing w:line="216" w:lineRule="auto"/>
        <w:rPr>
          <w:i/>
          <w:sz w:val="23"/>
          <w:szCs w:val="23"/>
          <w:rtl/>
        </w:rPr>
      </w:pPr>
      <w:r w:rsidRPr="003B28FD">
        <w:rPr>
          <w:rFonts w:hint="cs"/>
          <w:i/>
          <w:sz w:val="23"/>
          <w:szCs w:val="23"/>
          <w:rtl/>
        </w:rPr>
        <w:t xml:space="preserve">در نتیجه شکل تصمیمات بهینه همانند قبل خواهد بود. </w:t>
      </w:r>
    </w:p>
    <w:p w14:paraId="145CA534" w14:textId="77777777" w:rsidR="00411620" w:rsidRPr="003B28FD" w:rsidRDefault="00411620" w:rsidP="00411620">
      <w:pPr>
        <w:spacing w:line="216" w:lineRule="auto"/>
        <w:rPr>
          <w:i/>
          <w:sz w:val="23"/>
          <w:szCs w:val="23"/>
          <w:rtl/>
        </w:rPr>
      </w:pPr>
      <w:r w:rsidRPr="003B28FD">
        <w:rPr>
          <w:rFonts w:hint="cs"/>
          <w:i/>
          <w:sz w:val="23"/>
          <w:szCs w:val="23"/>
          <w:rtl/>
        </w:rPr>
        <w:t>قید منابع کل اقتصاد در زمان</w:t>
      </w:r>
      <w:r w:rsidRPr="003B28FD">
        <w:rPr>
          <w:position w:val="-6"/>
        </w:rPr>
        <w:object w:dxaOrig="139" w:dyaOrig="240" w14:anchorId="7008F45F">
          <v:shape id="_x0000_i3484" type="#_x0000_t75" style="width:7.25pt;height:11.5pt" o:ole="">
            <v:imagedata r:id="rId4956" o:title=""/>
          </v:shape>
          <o:OLEObject Type="Embed" ProgID="Equation.DSMT4" ShapeID="_x0000_i3484" DrawAspect="Content" ObjectID="_1791377428" r:id="rId4957"/>
        </w:object>
      </w:r>
      <w:r w:rsidRPr="003B28FD">
        <w:rPr>
          <w:rFonts w:hint="cs"/>
          <w:i/>
          <w:sz w:val="23"/>
          <w:szCs w:val="23"/>
          <w:rtl/>
        </w:rPr>
        <w:t xml:space="preserve"> برابر است با</w:t>
      </w:r>
    </w:p>
    <w:p w14:paraId="413A7A62" w14:textId="77777777" w:rsidR="00411620" w:rsidRPr="003B28FD" w:rsidRDefault="00411620" w:rsidP="00411620">
      <w:pPr>
        <w:bidi w:val="0"/>
        <w:spacing w:line="216" w:lineRule="auto"/>
        <w:rPr>
          <w:i/>
          <w:sz w:val="23"/>
          <w:szCs w:val="23"/>
        </w:rPr>
      </w:pPr>
      <w:r w:rsidRPr="003B28FD">
        <w:rPr>
          <w:position w:val="-52"/>
        </w:rPr>
        <w:object w:dxaOrig="4480" w:dyaOrig="1100" w14:anchorId="2293DDA5">
          <v:shape id="_x0000_i3485" type="#_x0000_t75" style="width:223.85pt;height:55.05pt" o:ole="">
            <v:imagedata r:id="rId4958" o:title=""/>
          </v:shape>
          <o:OLEObject Type="Embed" ProgID="Equation.DSMT4" ShapeID="_x0000_i3485" DrawAspect="Content" ObjectID="_1791377429" r:id="rId4959"/>
        </w:object>
      </w:r>
    </w:p>
    <w:p w14:paraId="7B75C7CE" w14:textId="77777777" w:rsidR="00411620" w:rsidRPr="003B28FD" w:rsidRDefault="00411620" w:rsidP="00411620">
      <w:pPr>
        <w:spacing w:line="216" w:lineRule="auto"/>
        <w:rPr>
          <w:i/>
          <w:sz w:val="23"/>
          <w:szCs w:val="23"/>
          <w:rtl/>
        </w:rPr>
      </w:pPr>
      <w:r w:rsidRPr="003B28FD">
        <w:rPr>
          <w:rFonts w:hint="cs"/>
          <w:i/>
          <w:sz w:val="23"/>
          <w:szCs w:val="23"/>
          <w:rtl/>
        </w:rPr>
        <w:t>بنابراین</w:t>
      </w:r>
    </w:p>
    <w:p w14:paraId="707F319A" w14:textId="77777777" w:rsidR="00411620" w:rsidRPr="003B28FD" w:rsidRDefault="00411620" w:rsidP="00411620">
      <w:pPr>
        <w:bidi w:val="0"/>
        <w:spacing w:line="216" w:lineRule="auto"/>
        <w:rPr>
          <w:i/>
          <w:sz w:val="23"/>
          <w:szCs w:val="23"/>
        </w:rPr>
      </w:pPr>
      <w:r w:rsidRPr="003B28FD">
        <w:rPr>
          <w:position w:val="-32"/>
        </w:rPr>
        <w:object w:dxaOrig="5679" w:dyaOrig="740" w14:anchorId="1DAAC39B">
          <v:shape id="_x0000_i3486" type="#_x0000_t75" style="width:283.75pt;height:37.5pt" o:ole="">
            <v:imagedata r:id="rId4960" o:title=""/>
          </v:shape>
          <o:OLEObject Type="Embed" ProgID="Equation.DSMT4" ShapeID="_x0000_i3486" DrawAspect="Content" ObjectID="_1791377430" r:id="rId4961"/>
        </w:object>
      </w:r>
    </w:p>
    <w:p w14:paraId="5A9EE63E" w14:textId="77777777" w:rsidR="00411620" w:rsidRPr="003B28FD" w:rsidRDefault="00411620" w:rsidP="00411620">
      <w:pPr>
        <w:spacing w:line="216" w:lineRule="auto"/>
        <w:rPr>
          <w:i/>
          <w:sz w:val="23"/>
          <w:szCs w:val="23"/>
          <w:rtl/>
        </w:rPr>
      </w:pPr>
      <w:r w:rsidRPr="003B28FD">
        <w:rPr>
          <w:rFonts w:hint="cs"/>
          <w:i/>
          <w:sz w:val="23"/>
          <w:szCs w:val="23"/>
          <w:rtl/>
        </w:rPr>
        <w:t>یا</w:t>
      </w:r>
    </w:p>
    <w:p w14:paraId="1CF3B7C2" w14:textId="77777777" w:rsidR="00411620" w:rsidRPr="003B28FD" w:rsidRDefault="00411620" w:rsidP="00411620">
      <w:pPr>
        <w:bidi w:val="0"/>
        <w:spacing w:line="216" w:lineRule="auto"/>
        <w:rPr>
          <w:i/>
          <w:sz w:val="23"/>
          <w:szCs w:val="23"/>
        </w:rPr>
      </w:pPr>
      <w:r w:rsidRPr="003B28FD">
        <w:rPr>
          <w:position w:val="-22"/>
        </w:rPr>
        <w:object w:dxaOrig="5539" w:dyaOrig="580" w14:anchorId="3B1EE1C8">
          <v:shape id="_x0000_i3487" type="#_x0000_t75" style="width:277.1pt;height:29.05pt" o:ole="">
            <v:imagedata r:id="rId4962" o:title=""/>
          </v:shape>
          <o:OLEObject Type="Embed" ProgID="Equation.DSMT4" ShapeID="_x0000_i3487" DrawAspect="Content" ObjectID="_1791377431" r:id="rId4963"/>
        </w:object>
      </w:r>
    </w:p>
    <w:p w14:paraId="4CDD6225" w14:textId="77777777" w:rsidR="00411620" w:rsidRPr="003B28FD" w:rsidRDefault="00411620" w:rsidP="00411620">
      <w:pPr>
        <w:spacing w:line="216" w:lineRule="auto"/>
        <w:rPr>
          <w:i/>
          <w:sz w:val="23"/>
          <w:szCs w:val="23"/>
          <w:rtl/>
        </w:rPr>
      </w:pPr>
      <w:r w:rsidRPr="003B28FD">
        <w:rPr>
          <w:rFonts w:hint="cs"/>
          <w:i/>
          <w:sz w:val="23"/>
          <w:szCs w:val="23"/>
          <w:rtl/>
        </w:rPr>
        <w:t>با استفاده</w:t>
      </w:r>
      <w:r w:rsidRPr="003B28FD">
        <w:rPr>
          <w:i/>
          <w:sz w:val="23"/>
          <w:szCs w:val="23"/>
          <w:rtl/>
        </w:rPr>
        <w:softHyphen/>
      </w:r>
      <w:r w:rsidRPr="003B28FD">
        <w:rPr>
          <w:rFonts w:hint="cs"/>
          <w:i/>
          <w:sz w:val="23"/>
          <w:szCs w:val="23"/>
          <w:rtl/>
        </w:rPr>
        <w:t xml:space="preserve"> از قید بودجه</w:t>
      </w:r>
      <w:r w:rsidRPr="003B28FD">
        <w:rPr>
          <w:i/>
          <w:sz w:val="23"/>
          <w:szCs w:val="23"/>
          <w:rtl/>
        </w:rPr>
        <w:softHyphen/>
      </w:r>
      <w:r w:rsidRPr="003B28FD">
        <w:rPr>
          <w:rFonts w:hint="cs"/>
          <w:i/>
          <w:sz w:val="23"/>
          <w:szCs w:val="23"/>
          <w:rtl/>
        </w:rPr>
        <w:t>ی دولت (۶. ۵۰) خواهیم داشت</w:t>
      </w:r>
    </w:p>
    <w:p w14:paraId="640B0905" w14:textId="77777777" w:rsidR="00411620" w:rsidRPr="003B28FD" w:rsidRDefault="00411620" w:rsidP="00411620">
      <w:pPr>
        <w:bidi w:val="0"/>
        <w:spacing w:line="216" w:lineRule="auto"/>
        <w:rPr>
          <w:i/>
          <w:sz w:val="23"/>
          <w:szCs w:val="23"/>
        </w:rPr>
      </w:pPr>
      <w:r w:rsidRPr="003B28FD">
        <w:rPr>
          <w:position w:val="-22"/>
        </w:rPr>
        <w:object w:dxaOrig="3340" w:dyaOrig="580" w14:anchorId="2AC892A5">
          <v:shape id="_x0000_i3488" type="#_x0000_t75" style="width:167pt;height:29.05pt" o:ole="">
            <v:imagedata r:id="rId4964" o:title=""/>
          </v:shape>
          <o:OLEObject Type="Embed" ProgID="Equation.DSMT4" ShapeID="_x0000_i3488" DrawAspect="Content" ObjectID="_1791377432" r:id="rId4965"/>
        </w:object>
      </w:r>
    </w:p>
    <w:p w14:paraId="1665EE05" w14:textId="77777777" w:rsidR="00411620" w:rsidRPr="003B28FD" w:rsidRDefault="00411620" w:rsidP="00411620">
      <w:pPr>
        <w:bidi w:val="0"/>
        <w:spacing w:line="216" w:lineRule="auto"/>
        <w:rPr>
          <w:i/>
          <w:sz w:val="23"/>
          <w:szCs w:val="23"/>
          <w:rtl/>
        </w:rPr>
      </w:pPr>
      <w:r w:rsidRPr="003B28FD">
        <w:rPr>
          <w:rFonts w:hint="cs"/>
          <w:i/>
          <w:sz w:val="23"/>
          <w:szCs w:val="23"/>
          <w:rtl/>
        </w:rPr>
        <w:t xml:space="preserve">بنابراین همانند قبل که در اقتصاد دولت وجود نداشت، حل در وضعیت یکنواخت برابر است با </w:t>
      </w:r>
      <w:r w:rsidRPr="003B28FD">
        <w:rPr>
          <w:position w:val="-10"/>
        </w:rPr>
        <w:object w:dxaOrig="1300" w:dyaOrig="320" w14:anchorId="6BAE8760">
          <v:shape id="_x0000_i3489" type="#_x0000_t75" style="width:64.75pt;height:16.35pt" o:ole="">
            <v:imagedata r:id="rId4966" o:title=""/>
          </v:shape>
          <o:OLEObject Type="Embed" ProgID="Equation.DSMT4" ShapeID="_x0000_i3489" DrawAspect="Content" ObjectID="_1791377433" r:id="rId4967"/>
        </w:object>
      </w:r>
      <w:r w:rsidRPr="003B28FD">
        <w:rPr>
          <w:rFonts w:hint="cs"/>
          <w:i/>
          <w:sz w:val="23"/>
          <w:szCs w:val="23"/>
          <w:rtl/>
        </w:rPr>
        <w:t>.</w:t>
      </w:r>
    </w:p>
    <w:p w14:paraId="5F68EA31" w14:textId="77777777" w:rsidR="00411620" w:rsidRPr="003B28FD" w:rsidRDefault="00411620" w:rsidP="00411620">
      <w:pPr>
        <w:spacing w:line="216" w:lineRule="auto"/>
        <w:rPr>
          <w:i/>
          <w:sz w:val="23"/>
          <w:szCs w:val="23"/>
          <w:rtl/>
        </w:rPr>
      </w:pPr>
      <w:r w:rsidRPr="003B28FD">
        <w:rPr>
          <w:rFonts w:hint="cs"/>
          <w:i/>
          <w:sz w:val="23"/>
          <w:szCs w:val="23"/>
          <w:rtl/>
        </w:rPr>
        <w:t>اگر بدهی دولت هیچ نقشی در قید بودجه</w:t>
      </w:r>
      <w:r w:rsidRPr="003B28FD">
        <w:rPr>
          <w:i/>
          <w:sz w:val="23"/>
          <w:szCs w:val="23"/>
          <w:rtl/>
        </w:rPr>
        <w:softHyphen/>
      </w:r>
      <w:r w:rsidRPr="003B28FD">
        <w:rPr>
          <w:rFonts w:hint="cs"/>
          <w:i/>
          <w:sz w:val="23"/>
          <w:szCs w:val="23"/>
          <w:rtl/>
        </w:rPr>
        <w:t>ی بین‌دوره</w:t>
      </w:r>
      <w:r w:rsidRPr="003B28FD">
        <w:rPr>
          <w:i/>
          <w:sz w:val="23"/>
          <w:szCs w:val="23"/>
          <w:rtl/>
        </w:rPr>
        <w:softHyphen/>
      </w:r>
      <w:r w:rsidRPr="003B28FD">
        <w:rPr>
          <w:rFonts w:hint="cs"/>
          <w:i/>
          <w:sz w:val="23"/>
          <w:szCs w:val="23"/>
          <w:rtl/>
        </w:rPr>
        <w:t>ای و یا تعیین پس</w:t>
      </w:r>
      <w:r w:rsidRPr="003B28FD">
        <w:rPr>
          <w:i/>
          <w:sz w:val="23"/>
          <w:szCs w:val="23"/>
          <w:rtl/>
        </w:rPr>
        <w:softHyphen/>
      </w:r>
      <w:r w:rsidRPr="003B28FD">
        <w:rPr>
          <w:rFonts w:hint="cs"/>
          <w:i/>
          <w:sz w:val="23"/>
          <w:szCs w:val="23"/>
          <w:rtl/>
        </w:rPr>
        <w:t>انداز نداشته باشد، آنگاه بر حل بهینه نیز تأثیری نخواهد گذاشت. نتیجه می</w:t>
      </w:r>
      <w:r w:rsidRPr="003B28FD">
        <w:rPr>
          <w:i/>
          <w:sz w:val="23"/>
          <w:szCs w:val="23"/>
          <w:rtl/>
        </w:rPr>
        <w:softHyphen/>
      </w:r>
      <w:r w:rsidRPr="003B28FD">
        <w:rPr>
          <w:rFonts w:hint="cs"/>
          <w:i/>
          <w:sz w:val="23"/>
          <w:szCs w:val="23"/>
          <w:rtl/>
        </w:rPr>
        <w:t>گیریم که هیچ مزیتی در موازنه</w:t>
      </w:r>
      <w:r w:rsidRPr="003B28FD">
        <w:rPr>
          <w:i/>
          <w:sz w:val="23"/>
          <w:szCs w:val="23"/>
          <w:rtl/>
        </w:rPr>
        <w:softHyphen/>
      </w:r>
      <w:r w:rsidRPr="003B28FD">
        <w:rPr>
          <w:rFonts w:hint="cs"/>
          <w:i/>
          <w:sz w:val="23"/>
          <w:szCs w:val="23"/>
          <w:rtl/>
        </w:rPr>
        <w:t>ی بودجه وجود ندارد. اکنون تجزیه و تحلیل قبلی حقوق بازنشستگی را مجدداً بررسی می</w:t>
      </w:r>
      <w:r w:rsidRPr="003B28FD">
        <w:rPr>
          <w:i/>
          <w:sz w:val="23"/>
          <w:szCs w:val="23"/>
          <w:rtl/>
        </w:rPr>
        <w:softHyphen/>
      </w:r>
      <w:r w:rsidRPr="003B28FD">
        <w:rPr>
          <w:rFonts w:hint="cs"/>
          <w:i/>
          <w:sz w:val="23"/>
          <w:szCs w:val="23"/>
          <w:rtl/>
        </w:rPr>
        <w:t>کنیم. در حالت حقوق بازنشستگی بدون پشتوانه در قید بودجه</w:t>
      </w:r>
      <w:r w:rsidRPr="003B28FD">
        <w:rPr>
          <w:i/>
          <w:sz w:val="23"/>
          <w:szCs w:val="23"/>
          <w:rtl/>
        </w:rPr>
        <w:softHyphen/>
      </w:r>
      <w:r w:rsidRPr="003B28FD">
        <w:rPr>
          <w:rFonts w:hint="cs"/>
          <w:i/>
          <w:sz w:val="23"/>
          <w:szCs w:val="23"/>
          <w:rtl/>
        </w:rPr>
        <w:t>ی دولت</w:t>
      </w:r>
      <w:r w:rsidRPr="003B28FD">
        <w:rPr>
          <w:position w:val="-10"/>
        </w:rPr>
        <w:object w:dxaOrig="2040" w:dyaOrig="320" w14:anchorId="218C5A00">
          <v:shape id="_x0000_i3490" type="#_x0000_t75" style="width:102.25pt;height:16.35pt" o:ole="">
            <v:imagedata r:id="rId4968" o:title=""/>
          </v:shape>
          <o:OLEObject Type="Embed" ProgID="Equation.DSMT4" ShapeID="_x0000_i3490" DrawAspect="Content" ObjectID="_1791377434" r:id="rId4969"/>
        </w:object>
      </w:r>
      <w:r w:rsidRPr="003B28FD">
        <w:rPr>
          <w:rFonts w:hint="cs"/>
          <w:i/>
          <w:sz w:val="23"/>
          <w:szCs w:val="23"/>
          <w:rtl/>
        </w:rPr>
        <w:t xml:space="preserve"> و بدهی وجود ندارد. در حالت حقوق بازنشستگی با پشتوانه </w:t>
      </w:r>
      <w:r w:rsidRPr="003B28FD">
        <w:rPr>
          <w:position w:val="-10"/>
        </w:rPr>
        <w:object w:dxaOrig="3000" w:dyaOrig="320" w14:anchorId="206569AD">
          <v:shape id="_x0000_i3491" type="#_x0000_t75" style="width:149.45pt;height:16.35pt" o:ole="">
            <v:imagedata r:id="rId4970" o:title=""/>
          </v:shape>
          <o:OLEObject Type="Embed" ProgID="Equation.DSMT4" ShapeID="_x0000_i3491" DrawAspect="Content" ObjectID="_1791377435" r:id="rId4971"/>
        </w:object>
      </w:r>
      <w:r w:rsidRPr="003B28FD">
        <w:rPr>
          <w:rFonts w:hint="cs"/>
          <w:i/>
          <w:sz w:val="23"/>
          <w:szCs w:val="23"/>
          <w:rtl/>
        </w:rPr>
        <w:t xml:space="preserve"> است.</w:t>
      </w:r>
      <w:r w:rsidRPr="003B28FD">
        <w:rPr>
          <w:i/>
          <w:sz w:val="23"/>
          <w:szCs w:val="23"/>
        </w:rPr>
        <w:t xml:space="preserve"> </w:t>
      </w:r>
      <w:r w:rsidRPr="003B28FD">
        <w:rPr>
          <w:rFonts w:hint="cs"/>
          <w:i/>
          <w:sz w:val="23"/>
          <w:szCs w:val="23"/>
          <w:rtl/>
        </w:rPr>
        <w:t>بنابراین قید بودجه</w:t>
      </w:r>
      <w:r w:rsidRPr="003B28FD">
        <w:rPr>
          <w:i/>
          <w:sz w:val="23"/>
          <w:szCs w:val="23"/>
          <w:rtl/>
        </w:rPr>
        <w:softHyphen/>
      </w:r>
      <w:r w:rsidRPr="003B28FD">
        <w:rPr>
          <w:rFonts w:hint="cs"/>
          <w:i/>
          <w:sz w:val="23"/>
          <w:szCs w:val="23"/>
          <w:rtl/>
        </w:rPr>
        <w:t>ی دولت عبارت خواهد بود از</w:t>
      </w:r>
    </w:p>
    <w:p w14:paraId="56ED325D" w14:textId="77777777" w:rsidR="00411620" w:rsidRPr="003B28FD" w:rsidRDefault="00411620" w:rsidP="00411620">
      <w:pPr>
        <w:bidi w:val="0"/>
        <w:spacing w:line="216" w:lineRule="auto"/>
        <w:rPr>
          <w:i/>
          <w:sz w:val="23"/>
          <w:szCs w:val="23"/>
        </w:rPr>
      </w:pPr>
      <w:r w:rsidRPr="003B28FD">
        <w:rPr>
          <w:position w:val="-22"/>
        </w:rPr>
        <w:object w:dxaOrig="3280" w:dyaOrig="580" w14:anchorId="6D93C3BF">
          <v:shape id="_x0000_i3492" type="#_x0000_t75" style="width:163.95pt;height:29.05pt" o:ole="">
            <v:imagedata r:id="rId4972" o:title=""/>
          </v:shape>
          <o:OLEObject Type="Embed" ProgID="Equation.DSMT4" ShapeID="_x0000_i3492" DrawAspect="Content" ObjectID="_1791377436" r:id="rId4973"/>
        </w:object>
      </w:r>
    </w:p>
    <w:p w14:paraId="64B20E72" w14:textId="77777777" w:rsidR="00411620" w:rsidRPr="003B28FD" w:rsidRDefault="00411620" w:rsidP="00411620">
      <w:pPr>
        <w:spacing w:line="216" w:lineRule="auto"/>
        <w:rPr>
          <w:i/>
          <w:sz w:val="23"/>
          <w:szCs w:val="23"/>
          <w:rtl/>
        </w:rPr>
      </w:pPr>
      <w:r w:rsidRPr="003B28FD">
        <w:rPr>
          <w:rFonts w:hint="cs"/>
          <w:i/>
          <w:sz w:val="23"/>
          <w:szCs w:val="23"/>
          <w:rtl/>
        </w:rPr>
        <w:t>یا</w:t>
      </w:r>
    </w:p>
    <w:p w14:paraId="1DE12480" w14:textId="77777777" w:rsidR="00411620" w:rsidRPr="003B28FD" w:rsidRDefault="00411620" w:rsidP="00411620">
      <w:pPr>
        <w:bidi w:val="0"/>
        <w:spacing w:line="216" w:lineRule="auto"/>
        <w:rPr>
          <w:i/>
          <w:sz w:val="23"/>
          <w:szCs w:val="23"/>
        </w:rPr>
      </w:pPr>
      <w:r w:rsidRPr="003B28FD">
        <w:rPr>
          <w:position w:val="-22"/>
        </w:rPr>
        <w:object w:dxaOrig="3739" w:dyaOrig="580" w14:anchorId="58C9758A">
          <v:shape id="_x0000_i3493" type="#_x0000_t75" style="width:186.95pt;height:29.05pt" o:ole="">
            <v:imagedata r:id="rId4974" o:title=""/>
          </v:shape>
          <o:OLEObject Type="Embed" ProgID="Equation.DSMT4" ShapeID="_x0000_i3493" DrawAspect="Content" ObjectID="_1791377437" r:id="rId4975"/>
        </w:object>
      </w:r>
    </w:p>
    <w:p w14:paraId="61420A5B" w14:textId="77777777" w:rsidR="00411620" w:rsidRPr="003B28FD" w:rsidRDefault="00411620" w:rsidP="00411620">
      <w:pPr>
        <w:spacing w:line="216" w:lineRule="auto"/>
        <w:rPr>
          <w:i/>
          <w:sz w:val="23"/>
          <w:szCs w:val="23"/>
          <w:rtl/>
        </w:rPr>
      </w:pPr>
      <w:r w:rsidRPr="003B28FD">
        <w:rPr>
          <w:rFonts w:hint="cs"/>
          <w:i/>
          <w:sz w:val="23"/>
          <w:szCs w:val="23"/>
          <w:rtl/>
        </w:rPr>
        <w:t xml:space="preserve">بنابراین </w:t>
      </w:r>
      <w:r w:rsidRPr="003B28FD">
        <w:rPr>
          <w:position w:val="-10"/>
        </w:rPr>
        <w:object w:dxaOrig="1280" w:dyaOrig="320" w14:anchorId="43AF126A">
          <v:shape id="_x0000_i3494" type="#_x0000_t75" style="width:64.15pt;height:16.35pt" o:ole="">
            <v:imagedata r:id="rId4976" o:title=""/>
          </v:shape>
          <o:OLEObject Type="Embed" ProgID="Equation.DSMT4" ShapeID="_x0000_i3494" DrawAspect="Content" ObjectID="_1791377438" r:id="rId4977"/>
        </w:object>
      </w:r>
      <w:r w:rsidRPr="003B28FD">
        <w:rPr>
          <w:rFonts w:hint="cs"/>
          <w:i/>
          <w:sz w:val="23"/>
          <w:szCs w:val="23"/>
          <w:rtl/>
        </w:rPr>
        <w:t>. در نتیجه کمک و اعانه</w:t>
      </w:r>
      <w:r w:rsidRPr="003B28FD">
        <w:rPr>
          <w:i/>
          <w:sz w:val="23"/>
          <w:szCs w:val="23"/>
          <w:rtl/>
        </w:rPr>
        <w:softHyphen/>
      </w:r>
      <w:r w:rsidRPr="003B28FD">
        <w:rPr>
          <w:rFonts w:hint="cs"/>
          <w:i/>
          <w:sz w:val="23"/>
          <w:szCs w:val="23"/>
          <w:rtl/>
        </w:rPr>
        <w:t>ی حقوق بازنشستگی متناظر است با خرید بدهی دولت، و پرداخت حقوق بازنشستگی متناظر است با بازخرید ارزش این بدهی.</w:t>
      </w:r>
    </w:p>
    <w:p w14:paraId="3D942651" w14:textId="77777777" w:rsidR="00411620" w:rsidRPr="003B28FD" w:rsidRDefault="00411620" w:rsidP="00411620">
      <w:pPr>
        <w:spacing w:line="216" w:lineRule="auto"/>
        <w:rPr>
          <w:i/>
          <w:sz w:val="23"/>
          <w:szCs w:val="23"/>
          <w:rtl/>
        </w:rPr>
      </w:pPr>
    </w:p>
    <w:p w14:paraId="778EC26C" w14:textId="77777777" w:rsidR="00411620" w:rsidRPr="003B28FD" w:rsidRDefault="00411620" w:rsidP="00411620">
      <w:pPr>
        <w:spacing w:line="216" w:lineRule="auto"/>
        <w:rPr>
          <w:bCs/>
          <w:i/>
          <w:sz w:val="23"/>
          <w:szCs w:val="23"/>
          <w:rtl/>
        </w:rPr>
      </w:pPr>
      <w:r w:rsidRPr="003B28FD">
        <w:rPr>
          <w:rFonts w:hint="cs"/>
          <w:bCs/>
          <w:i/>
          <w:sz w:val="23"/>
          <w:szCs w:val="23"/>
          <w:rtl/>
        </w:rPr>
        <w:lastRenderedPageBreak/>
        <w:t>نتایج</w:t>
      </w:r>
    </w:p>
    <w:p w14:paraId="3AC590A3" w14:textId="77777777" w:rsidR="00411620" w:rsidRPr="003B28FD" w:rsidRDefault="00411620" w:rsidP="00411620">
      <w:pPr>
        <w:spacing w:line="216" w:lineRule="auto"/>
        <w:rPr>
          <w:i/>
          <w:sz w:val="23"/>
          <w:szCs w:val="23"/>
          <w:rtl/>
        </w:rPr>
      </w:pPr>
      <w:r w:rsidRPr="003B28FD">
        <w:rPr>
          <w:rFonts w:hint="cs"/>
          <w:i/>
          <w:sz w:val="23"/>
          <w:szCs w:val="23"/>
          <w:rtl/>
        </w:rPr>
        <w:t>مدل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پوش برای تجزیه و تحلیل مسائل اقتصادی با دوره</w:t>
      </w:r>
      <w:r w:rsidRPr="003B28FD">
        <w:rPr>
          <w:i/>
          <w:sz w:val="23"/>
          <w:szCs w:val="23"/>
          <w:rtl/>
        </w:rPr>
        <w:softHyphen/>
      </w:r>
      <w:r w:rsidRPr="003B28FD">
        <w:rPr>
          <w:rFonts w:hint="cs"/>
          <w:i/>
          <w:sz w:val="23"/>
          <w:szCs w:val="23"/>
          <w:rtl/>
        </w:rPr>
        <w:t>های زمانی بسیار بلندمدت که در آن فرض می</w:t>
      </w:r>
      <w:r w:rsidRPr="003B28FD">
        <w:rPr>
          <w:i/>
          <w:sz w:val="23"/>
          <w:szCs w:val="23"/>
          <w:rtl/>
        </w:rPr>
        <w:softHyphen/>
      </w:r>
      <w:r w:rsidRPr="003B28FD">
        <w:rPr>
          <w:rFonts w:hint="cs"/>
          <w:i/>
          <w:sz w:val="23"/>
          <w:szCs w:val="23"/>
          <w:rtl/>
        </w:rPr>
        <w:t>شود مردم فقط در دو دوره زندگی می</w:t>
      </w:r>
      <w:r w:rsidRPr="003B28FD">
        <w:rPr>
          <w:i/>
          <w:sz w:val="23"/>
          <w:szCs w:val="23"/>
          <w:rtl/>
        </w:rPr>
        <w:softHyphen/>
      </w:r>
      <w:r w:rsidRPr="003B28FD">
        <w:rPr>
          <w:rFonts w:hint="cs"/>
          <w:i/>
          <w:sz w:val="23"/>
          <w:szCs w:val="23"/>
          <w:rtl/>
        </w:rPr>
        <w:t>کنند مناسب است. نکته</w:t>
      </w:r>
      <w:r w:rsidRPr="003B28FD">
        <w:rPr>
          <w:i/>
          <w:sz w:val="23"/>
          <w:szCs w:val="23"/>
          <w:rtl/>
        </w:rPr>
        <w:softHyphen/>
      </w:r>
      <w:r w:rsidRPr="003B28FD">
        <w:rPr>
          <w:rFonts w:hint="cs"/>
          <w:i/>
          <w:sz w:val="23"/>
          <w:szCs w:val="23"/>
          <w:rtl/>
        </w:rPr>
        <w:t>ی کلیدی مدل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پوش آن است که افرادی که در دوره</w:t>
      </w:r>
      <w:r w:rsidRPr="003B28FD">
        <w:rPr>
          <w:i/>
          <w:sz w:val="23"/>
          <w:szCs w:val="23"/>
          <w:rtl/>
        </w:rPr>
        <w:softHyphen/>
      </w:r>
      <w:r w:rsidRPr="003B28FD">
        <w:rPr>
          <w:rFonts w:hint="cs"/>
          <w:i/>
          <w:sz w:val="23"/>
          <w:szCs w:val="23"/>
          <w:rtl/>
        </w:rPr>
        <w:t>ی بعدی بدنیا آمده</w:t>
      </w:r>
      <w:r w:rsidRPr="003B28FD">
        <w:rPr>
          <w:i/>
          <w:sz w:val="23"/>
          <w:szCs w:val="23"/>
          <w:rtl/>
        </w:rPr>
        <w:softHyphen/>
      </w:r>
      <w:r w:rsidRPr="003B28FD">
        <w:rPr>
          <w:rFonts w:hint="cs"/>
          <w:i/>
          <w:sz w:val="23"/>
          <w:szCs w:val="23"/>
          <w:rtl/>
        </w:rPr>
        <w:t>اند هیچ کنترلی در تصمیمات گرفته شده</w:t>
      </w:r>
      <w:r w:rsidRPr="003B28FD">
        <w:rPr>
          <w:i/>
          <w:sz w:val="23"/>
          <w:szCs w:val="23"/>
          <w:rtl/>
        </w:rPr>
        <w:softHyphen/>
      </w:r>
      <w:r w:rsidRPr="003B28FD">
        <w:rPr>
          <w:rFonts w:hint="cs"/>
          <w:i/>
          <w:sz w:val="23"/>
          <w:szCs w:val="23"/>
          <w:rtl/>
        </w:rPr>
        <w:t>ی دوره</w:t>
      </w:r>
      <w:r w:rsidRPr="003B28FD">
        <w:rPr>
          <w:i/>
          <w:sz w:val="23"/>
          <w:szCs w:val="23"/>
          <w:rtl/>
        </w:rPr>
        <w:softHyphen/>
      </w:r>
      <w:r w:rsidRPr="003B28FD">
        <w:rPr>
          <w:rFonts w:hint="cs"/>
          <w:i/>
          <w:sz w:val="23"/>
          <w:szCs w:val="23"/>
          <w:rtl/>
        </w:rPr>
        <w:t>ی قبل ندارند. متاسفانه مسائل مدل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پوش پیچیده اما مدل بکار گرفته شده معمولاً بسیار ساده و برای دو نسل است. با افزایش تعداد نسل</w:t>
      </w:r>
      <w:r w:rsidRPr="003B28FD">
        <w:rPr>
          <w:i/>
          <w:sz w:val="23"/>
          <w:szCs w:val="23"/>
          <w:rtl/>
        </w:rPr>
        <w:softHyphen/>
      </w:r>
      <w:r w:rsidRPr="003B28FD">
        <w:rPr>
          <w:rFonts w:hint="cs"/>
          <w:i/>
          <w:sz w:val="23"/>
          <w:szCs w:val="23"/>
          <w:rtl/>
        </w:rPr>
        <w:t>ها تجزیه و تحلیل مدل اقتصادی نیز بسیار پیچیده</w:t>
      </w:r>
      <w:r w:rsidRPr="003B28FD">
        <w:rPr>
          <w:i/>
          <w:sz w:val="23"/>
          <w:szCs w:val="23"/>
          <w:rtl/>
        </w:rPr>
        <w:softHyphen/>
      </w:r>
      <w:r w:rsidRPr="003B28FD">
        <w:rPr>
          <w:rFonts w:hint="cs"/>
          <w:i/>
          <w:sz w:val="23"/>
          <w:szCs w:val="23"/>
          <w:rtl/>
        </w:rPr>
        <w:t xml:space="preserve">تر خواهد شد. </w:t>
      </w:r>
    </w:p>
    <w:p w14:paraId="484A8A2B" w14:textId="77777777" w:rsidR="00411620" w:rsidRDefault="00411620" w:rsidP="00411620">
      <w:pPr>
        <w:spacing w:line="216" w:lineRule="auto"/>
        <w:rPr>
          <w:i/>
          <w:sz w:val="23"/>
          <w:szCs w:val="23"/>
          <w:rtl/>
        </w:rPr>
      </w:pPr>
      <w:r w:rsidRPr="003B28FD">
        <w:rPr>
          <w:rFonts w:hint="cs"/>
          <w:i/>
          <w:sz w:val="23"/>
          <w:szCs w:val="23"/>
          <w:rtl/>
        </w:rPr>
        <w:t>مدل نسل</w:t>
      </w:r>
      <w:r w:rsidRPr="003B28FD">
        <w:rPr>
          <w:i/>
          <w:sz w:val="23"/>
          <w:szCs w:val="23"/>
          <w:rtl/>
        </w:rPr>
        <w:softHyphen/>
      </w:r>
      <w:r w:rsidRPr="003B28FD">
        <w:rPr>
          <w:rFonts w:hint="cs"/>
          <w:i/>
          <w:sz w:val="23"/>
          <w:szCs w:val="23"/>
          <w:rtl/>
        </w:rPr>
        <w:t>های هم</w:t>
      </w:r>
      <w:r w:rsidRPr="003B28FD">
        <w:rPr>
          <w:i/>
          <w:sz w:val="23"/>
          <w:szCs w:val="23"/>
          <w:rtl/>
        </w:rPr>
        <w:softHyphen/>
      </w:r>
      <w:r w:rsidRPr="003B28FD">
        <w:rPr>
          <w:rFonts w:hint="cs"/>
          <w:i/>
          <w:sz w:val="23"/>
          <w:szCs w:val="23"/>
          <w:rtl/>
        </w:rPr>
        <w:t>پوش را برای مقایسه</w:t>
      </w:r>
      <w:r w:rsidRPr="003B28FD">
        <w:rPr>
          <w:i/>
          <w:sz w:val="23"/>
          <w:szCs w:val="23"/>
          <w:rtl/>
        </w:rPr>
        <w:softHyphen/>
      </w:r>
      <w:r w:rsidRPr="003B28FD">
        <w:rPr>
          <w:rFonts w:hint="cs"/>
          <w:i/>
          <w:sz w:val="23"/>
          <w:szCs w:val="23"/>
          <w:rtl/>
        </w:rPr>
        <w:t>ی صندوق بازنشستگی با پشتوانه و بدون پشتوانه بکار بردیم و نتیجه گرفتیم که با کاهش نرخ رشد جمعیت، کارکرد حقوق بازنشستگی با پشتوانه</w:t>
      </w:r>
      <w:r w:rsidRPr="003B28FD">
        <w:rPr>
          <w:i/>
          <w:sz w:val="23"/>
          <w:szCs w:val="23"/>
          <w:rtl/>
        </w:rPr>
        <w:softHyphen/>
      </w:r>
      <w:r w:rsidRPr="003B28FD">
        <w:rPr>
          <w:rFonts w:hint="cs"/>
          <w:i/>
          <w:sz w:val="23"/>
          <w:szCs w:val="23"/>
          <w:rtl/>
        </w:rPr>
        <w:t>ی کامل قوی</w:t>
      </w:r>
      <w:r w:rsidRPr="003B28FD">
        <w:rPr>
          <w:i/>
          <w:sz w:val="23"/>
          <w:szCs w:val="23"/>
          <w:rtl/>
        </w:rPr>
        <w:softHyphen/>
      </w:r>
      <w:r w:rsidRPr="003B28FD">
        <w:rPr>
          <w:rFonts w:hint="cs"/>
          <w:i/>
          <w:sz w:val="23"/>
          <w:szCs w:val="23"/>
          <w:rtl/>
        </w:rPr>
        <w:t xml:space="preserve">تر است. </w:t>
      </w:r>
      <w:r>
        <w:rPr>
          <w:i/>
          <w:sz w:val="23"/>
          <w:szCs w:val="23"/>
          <w:rtl/>
        </w:rPr>
        <w:br w:type="page"/>
      </w:r>
    </w:p>
    <w:p w14:paraId="6EA35C00" w14:textId="77777777" w:rsidR="00411620" w:rsidRDefault="00411620" w:rsidP="00411620">
      <w:pPr>
        <w:spacing w:line="216" w:lineRule="auto"/>
        <w:rPr>
          <w:i/>
          <w:sz w:val="23"/>
          <w:szCs w:val="23"/>
        </w:rPr>
      </w:pPr>
    </w:p>
    <w:p w14:paraId="6CBB9CA7" w14:textId="77777777" w:rsidR="00411620" w:rsidRPr="00FF5106" w:rsidRDefault="00411620" w:rsidP="00411620">
      <w:pPr>
        <w:pStyle w:val="MTDisplayEquation"/>
        <w:tabs>
          <w:tab w:val="clear" w:pos="3320"/>
          <w:tab w:val="clear" w:pos="6660"/>
          <w:tab w:val="center" w:pos="7110"/>
        </w:tabs>
        <w:bidi/>
        <w:spacing w:line="216" w:lineRule="auto"/>
      </w:pPr>
    </w:p>
    <w:p w14:paraId="0CF6D161" w14:textId="77777777" w:rsidR="00411620" w:rsidRPr="00327F9E" w:rsidRDefault="00411620" w:rsidP="00411620">
      <w:pPr>
        <w:spacing w:line="216" w:lineRule="auto"/>
        <w:ind w:left="-1"/>
        <w:rPr>
          <w:sz w:val="23"/>
          <w:szCs w:val="23"/>
          <w:rtl/>
        </w:rPr>
      </w:pPr>
    </w:p>
    <w:p w14:paraId="0831EEE7" w14:textId="77777777" w:rsidR="00411620" w:rsidRDefault="00411620" w:rsidP="009015D3">
      <w:pPr>
        <w:tabs>
          <w:tab w:val="left" w:pos="90"/>
        </w:tabs>
        <w:spacing w:line="216" w:lineRule="auto"/>
        <w:rPr>
          <w:i/>
          <w:sz w:val="23"/>
          <w:szCs w:val="23"/>
          <w:rtl/>
        </w:rPr>
      </w:pPr>
    </w:p>
    <w:p w14:paraId="4F31CB97" w14:textId="445C2DEE" w:rsidR="00411620" w:rsidRDefault="00411620" w:rsidP="009015D3">
      <w:pPr>
        <w:tabs>
          <w:tab w:val="left" w:pos="90"/>
        </w:tabs>
        <w:spacing w:line="216" w:lineRule="auto"/>
        <w:rPr>
          <w:i/>
          <w:sz w:val="23"/>
          <w:szCs w:val="23"/>
          <w:rtl/>
        </w:rPr>
      </w:pPr>
    </w:p>
    <w:p w14:paraId="1F5AE7A4" w14:textId="7D7552CB" w:rsidR="00411620" w:rsidRDefault="00411620" w:rsidP="009015D3">
      <w:pPr>
        <w:tabs>
          <w:tab w:val="left" w:pos="90"/>
        </w:tabs>
        <w:spacing w:line="216" w:lineRule="auto"/>
        <w:rPr>
          <w:i/>
          <w:sz w:val="23"/>
          <w:szCs w:val="23"/>
          <w:rtl/>
        </w:rPr>
      </w:pPr>
    </w:p>
    <w:p w14:paraId="18F63C3F" w14:textId="3971F229" w:rsidR="00411620" w:rsidRDefault="00411620" w:rsidP="009015D3">
      <w:pPr>
        <w:tabs>
          <w:tab w:val="left" w:pos="90"/>
        </w:tabs>
        <w:spacing w:line="216" w:lineRule="auto"/>
        <w:rPr>
          <w:i/>
          <w:sz w:val="23"/>
          <w:szCs w:val="23"/>
          <w:rtl/>
        </w:rPr>
      </w:pPr>
    </w:p>
    <w:p w14:paraId="6363EE5A" w14:textId="0BBBDC46" w:rsidR="00411620" w:rsidRDefault="00411620" w:rsidP="009015D3">
      <w:pPr>
        <w:tabs>
          <w:tab w:val="left" w:pos="90"/>
        </w:tabs>
        <w:spacing w:line="216" w:lineRule="auto"/>
        <w:rPr>
          <w:i/>
          <w:sz w:val="23"/>
          <w:szCs w:val="23"/>
          <w:rtl/>
        </w:rPr>
      </w:pPr>
    </w:p>
    <w:p w14:paraId="40FE1A49" w14:textId="6F43267A" w:rsidR="00411620" w:rsidRDefault="00411620" w:rsidP="009015D3">
      <w:pPr>
        <w:tabs>
          <w:tab w:val="left" w:pos="90"/>
        </w:tabs>
        <w:spacing w:line="216" w:lineRule="auto"/>
        <w:rPr>
          <w:i/>
          <w:sz w:val="23"/>
          <w:szCs w:val="23"/>
          <w:rtl/>
        </w:rPr>
      </w:pPr>
    </w:p>
    <w:p w14:paraId="7E280CDA" w14:textId="6182152F" w:rsidR="00411620" w:rsidRDefault="00411620" w:rsidP="009015D3">
      <w:pPr>
        <w:tabs>
          <w:tab w:val="left" w:pos="90"/>
        </w:tabs>
        <w:spacing w:line="216" w:lineRule="auto"/>
        <w:rPr>
          <w:i/>
          <w:sz w:val="23"/>
          <w:szCs w:val="23"/>
          <w:rtl/>
        </w:rPr>
      </w:pPr>
    </w:p>
    <w:p w14:paraId="56738E01" w14:textId="2A1BA5B7" w:rsidR="00411620" w:rsidRDefault="00411620" w:rsidP="009015D3">
      <w:pPr>
        <w:tabs>
          <w:tab w:val="left" w:pos="90"/>
        </w:tabs>
        <w:spacing w:line="216" w:lineRule="auto"/>
        <w:rPr>
          <w:i/>
          <w:sz w:val="23"/>
          <w:szCs w:val="23"/>
          <w:rtl/>
        </w:rPr>
      </w:pPr>
    </w:p>
    <w:p w14:paraId="01B11FCC" w14:textId="031D7F13" w:rsidR="00411620" w:rsidRDefault="00411620" w:rsidP="009015D3">
      <w:pPr>
        <w:tabs>
          <w:tab w:val="left" w:pos="90"/>
        </w:tabs>
        <w:spacing w:line="216" w:lineRule="auto"/>
        <w:rPr>
          <w:i/>
          <w:sz w:val="23"/>
          <w:szCs w:val="23"/>
          <w:rtl/>
        </w:rPr>
      </w:pPr>
    </w:p>
    <w:p w14:paraId="1DA0A498" w14:textId="36D71788" w:rsidR="00411620" w:rsidRDefault="00411620" w:rsidP="009015D3">
      <w:pPr>
        <w:tabs>
          <w:tab w:val="left" w:pos="90"/>
        </w:tabs>
        <w:spacing w:line="216" w:lineRule="auto"/>
        <w:rPr>
          <w:i/>
          <w:sz w:val="23"/>
          <w:szCs w:val="23"/>
          <w:rtl/>
        </w:rPr>
      </w:pPr>
    </w:p>
    <w:p w14:paraId="328775EF" w14:textId="77777777" w:rsidR="00411620" w:rsidRPr="00A40DDC" w:rsidRDefault="00411620" w:rsidP="00411620">
      <w:pPr>
        <w:pStyle w:val="a3"/>
        <w:spacing w:before="1080" w:after="720" w:line="216" w:lineRule="auto"/>
        <w:ind w:left="0"/>
        <w:rPr>
          <w:b w:val="0"/>
          <w:i/>
          <w:color w:val="auto"/>
          <w:sz w:val="40"/>
          <w:szCs w:val="40"/>
        </w:rPr>
      </w:pPr>
      <w:r w:rsidRPr="00A40DDC">
        <w:rPr>
          <w:rFonts w:hint="cs"/>
          <w:b w:val="0"/>
          <w:i/>
          <w:color w:val="auto"/>
          <w:sz w:val="40"/>
          <w:szCs w:val="40"/>
          <w:rtl/>
        </w:rPr>
        <w:t>فصل هفتم</w:t>
      </w:r>
    </w:p>
    <w:p w14:paraId="11C42BE4" w14:textId="77777777" w:rsidR="00411620" w:rsidRPr="00A40DDC" w:rsidRDefault="00411620" w:rsidP="00411620">
      <w:pPr>
        <w:pStyle w:val="a4"/>
        <w:pBdr>
          <w:top w:val="none" w:sz="0" w:space="0" w:color="auto"/>
          <w:bottom w:val="none" w:sz="0" w:space="0" w:color="auto"/>
        </w:pBdr>
        <w:shd w:val="clear" w:color="auto" w:fill="auto"/>
        <w:spacing w:after="720" w:line="216" w:lineRule="auto"/>
        <w:rPr>
          <w:rFonts w:ascii="Times New Roman" w:hAnsi="Times New Roman" w:cs="B Nazanin"/>
          <w:b w:val="0"/>
          <w:i/>
          <w:sz w:val="40"/>
          <w:szCs w:val="40"/>
          <w:rtl/>
        </w:rPr>
      </w:pPr>
      <w:r w:rsidRPr="00A40DDC">
        <w:rPr>
          <w:rFonts w:ascii="Times New Roman" w:hAnsi="Times New Roman" w:cs="B Nazanin" w:hint="cs"/>
          <w:b w:val="0"/>
          <w:i/>
          <w:sz w:val="40"/>
          <w:szCs w:val="40"/>
          <w:rtl/>
        </w:rPr>
        <w:t>اقتصاد باز</w:t>
      </w:r>
    </w:p>
    <w:p w14:paraId="2DD48A0B" w14:textId="77777777" w:rsidR="00411620" w:rsidRPr="00A40DDC" w:rsidRDefault="00411620" w:rsidP="00411620">
      <w:pPr>
        <w:pStyle w:val="Heading1"/>
        <w:spacing w:before="0" w:after="0" w:line="216" w:lineRule="auto"/>
        <w:rPr>
          <w:rFonts w:ascii="Times New Roman" w:hAnsi="Times New Roman" w:cs="B Nazanin"/>
          <w:b w:val="0"/>
          <w:i/>
          <w:sz w:val="23"/>
          <w:szCs w:val="23"/>
        </w:rPr>
      </w:pPr>
      <w:r w:rsidRPr="00A40DDC">
        <w:rPr>
          <w:rFonts w:ascii="Times New Roman" w:hAnsi="Times New Roman" w:cs="B Nazanin" w:hint="cs"/>
          <w:b w:val="0"/>
          <w:i/>
          <w:sz w:val="23"/>
          <w:szCs w:val="23"/>
          <w:rtl/>
        </w:rPr>
        <w:t>۷. ۱ مقدمه</w:t>
      </w:r>
    </w:p>
    <w:p w14:paraId="4DC09506" w14:textId="77777777" w:rsidR="00411620" w:rsidRPr="00A40DDC" w:rsidRDefault="00411620" w:rsidP="00411620">
      <w:pPr>
        <w:spacing w:line="216" w:lineRule="auto"/>
        <w:rPr>
          <w:i/>
          <w:sz w:val="23"/>
          <w:szCs w:val="23"/>
          <w:rtl/>
        </w:rPr>
      </w:pPr>
      <w:r w:rsidRPr="00A40DDC">
        <w:rPr>
          <w:rFonts w:hint="cs"/>
          <w:i/>
          <w:sz w:val="23"/>
          <w:szCs w:val="23"/>
          <w:rtl/>
        </w:rPr>
        <w:t xml:space="preserve"> اقتصاد باز و اقتصاد بسته را می</w:t>
      </w:r>
      <w:r w:rsidRPr="00A40DDC">
        <w:rPr>
          <w:i/>
          <w:sz w:val="23"/>
          <w:szCs w:val="23"/>
          <w:rtl/>
        </w:rPr>
        <w:softHyphen/>
      </w:r>
      <w:r w:rsidRPr="00A40DDC">
        <w:rPr>
          <w:rFonts w:hint="cs"/>
          <w:i/>
          <w:sz w:val="23"/>
          <w:szCs w:val="23"/>
          <w:rtl/>
        </w:rPr>
        <w:t xml:space="preserve">توان با اعمال قیودی متفاوت از یکدیگر متمایز کرد. </w:t>
      </w:r>
      <w:r w:rsidRPr="00A40DDC">
        <w:rPr>
          <w:i/>
          <w:sz w:val="23"/>
          <w:szCs w:val="23"/>
          <w:rtl/>
        </w:rPr>
        <w:t>در اقتصاد باز تجارت کالاها و خدمات و جریان بین</w:t>
      </w:r>
      <w:r w:rsidRPr="00A40DDC">
        <w:rPr>
          <w:i/>
          <w:sz w:val="23"/>
          <w:szCs w:val="23"/>
          <w:rtl/>
        </w:rPr>
        <w:softHyphen/>
        <w:t>المللی سرمایه وجود دار</w:t>
      </w:r>
      <w:r w:rsidRPr="00A40DDC">
        <w:rPr>
          <w:rFonts w:hint="cs"/>
          <w:i/>
          <w:sz w:val="23"/>
          <w:szCs w:val="23"/>
          <w:rtl/>
        </w:rPr>
        <w:t>د،</w:t>
      </w:r>
      <w:r w:rsidRPr="00A40DDC">
        <w:rPr>
          <w:i/>
          <w:sz w:val="23"/>
          <w:szCs w:val="23"/>
        </w:rPr>
        <w:t xml:space="preserve"> </w:t>
      </w:r>
      <w:r w:rsidRPr="00A40DDC">
        <w:rPr>
          <w:rFonts w:hint="cs"/>
          <w:i/>
          <w:sz w:val="23"/>
          <w:szCs w:val="23"/>
          <w:rtl/>
        </w:rPr>
        <w:t>در</w:t>
      </w:r>
      <w:r w:rsidRPr="00A40DDC">
        <w:rPr>
          <w:i/>
          <w:sz w:val="23"/>
          <w:szCs w:val="23"/>
          <w:rtl/>
        </w:rPr>
        <w:softHyphen/>
      </w:r>
      <w:r w:rsidRPr="00A40DDC">
        <w:rPr>
          <w:rFonts w:hint="cs"/>
          <w:i/>
          <w:sz w:val="23"/>
          <w:szCs w:val="23"/>
          <w:rtl/>
        </w:rPr>
        <w:t>حالی</w:t>
      </w:r>
      <w:r w:rsidRPr="00A40DDC">
        <w:rPr>
          <w:i/>
          <w:sz w:val="23"/>
          <w:szCs w:val="23"/>
          <w:rtl/>
        </w:rPr>
        <w:softHyphen/>
      </w:r>
      <w:r w:rsidRPr="00A40DDC">
        <w:rPr>
          <w:rFonts w:hint="cs"/>
          <w:i/>
          <w:sz w:val="23"/>
          <w:szCs w:val="23"/>
          <w:rtl/>
        </w:rPr>
        <w:t>که در اقتصاد بسته این</w:t>
      </w:r>
      <w:r w:rsidRPr="00A40DDC">
        <w:rPr>
          <w:i/>
          <w:sz w:val="23"/>
          <w:szCs w:val="23"/>
          <w:rtl/>
        </w:rPr>
        <w:softHyphen/>
      </w:r>
      <w:r w:rsidRPr="00A40DDC">
        <w:rPr>
          <w:rFonts w:hint="cs"/>
          <w:i/>
          <w:sz w:val="23"/>
          <w:szCs w:val="23"/>
          <w:rtl/>
        </w:rPr>
        <w:t>گونه نیست.</w:t>
      </w:r>
      <w:r w:rsidRPr="00A40DDC">
        <w:rPr>
          <w:i/>
          <w:sz w:val="23"/>
          <w:szCs w:val="23"/>
          <w:rtl/>
        </w:rPr>
        <w:t xml:space="preserve"> </w:t>
      </w:r>
      <w:r w:rsidRPr="00A40DDC">
        <w:rPr>
          <w:rFonts w:hint="cs"/>
          <w:i/>
          <w:sz w:val="23"/>
          <w:szCs w:val="23"/>
          <w:rtl/>
        </w:rPr>
        <w:t>واردات و صادرات کالاها و خدمات، باعث می</w:t>
      </w:r>
      <w:r w:rsidRPr="00A40DDC">
        <w:rPr>
          <w:i/>
          <w:sz w:val="23"/>
          <w:szCs w:val="23"/>
          <w:rtl/>
        </w:rPr>
        <w:softHyphen/>
      </w:r>
      <w:r w:rsidRPr="00A40DDC">
        <w:rPr>
          <w:rFonts w:hint="cs"/>
          <w:i/>
          <w:sz w:val="23"/>
          <w:szCs w:val="23"/>
          <w:rtl/>
        </w:rPr>
        <w:t xml:space="preserve">شود قیدی که در اقتصاد بسته مصرف و سرمایه‌گذاری، محدود به تولیدات داخلی و همچنین فروش بنگاه‌ها، محدود به تقاضای داخلی باشد را حذف کند. </w:t>
      </w:r>
      <w:r w:rsidRPr="00A40DDC">
        <w:rPr>
          <w:i/>
          <w:sz w:val="23"/>
          <w:szCs w:val="23"/>
          <w:rtl/>
        </w:rPr>
        <w:t xml:space="preserve">جریان </w:t>
      </w:r>
      <w:r w:rsidRPr="00A40DDC">
        <w:rPr>
          <w:rFonts w:hint="cs"/>
          <w:i/>
          <w:sz w:val="23"/>
          <w:szCs w:val="23"/>
          <w:rtl/>
        </w:rPr>
        <w:t>بین</w:t>
      </w:r>
      <w:r w:rsidRPr="00A40DDC">
        <w:rPr>
          <w:i/>
          <w:sz w:val="23"/>
          <w:szCs w:val="23"/>
          <w:rtl/>
        </w:rPr>
        <w:softHyphen/>
      </w:r>
      <w:r w:rsidRPr="00A40DDC">
        <w:rPr>
          <w:rFonts w:hint="cs"/>
          <w:i/>
          <w:sz w:val="23"/>
          <w:szCs w:val="23"/>
          <w:rtl/>
        </w:rPr>
        <w:t xml:space="preserve">المللی </w:t>
      </w:r>
      <w:r w:rsidRPr="00A40DDC">
        <w:rPr>
          <w:i/>
          <w:sz w:val="23"/>
          <w:szCs w:val="23"/>
          <w:rtl/>
        </w:rPr>
        <w:t xml:space="preserve">سرمایه این امکان را </w:t>
      </w:r>
      <w:r w:rsidRPr="00A40DDC">
        <w:rPr>
          <w:rFonts w:hint="cs"/>
          <w:i/>
          <w:sz w:val="23"/>
          <w:szCs w:val="23"/>
          <w:rtl/>
        </w:rPr>
        <w:t>فراهم</w:t>
      </w:r>
      <w:r w:rsidRPr="00A40DDC">
        <w:rPr>
          <w:i/>
          <w:sz w:val="23"/>
          <w:szCs w:val="23"/>
          <w:rtl/>
        </w:rPr>
        <w:t xml:space="preserve"> می</w:t>
      </w:r>
      <w:r w:rsidRPr="00A40DDC">
        <w:rPr>
          <w:i/>
          <w:sz w:val="23"/>
          <w:szCs w:val="23"/>
          <w:rtl/>
        </w:rPr>
        <w:softHyphen/>
      </w:r>
      <w:r w:rsidRPr="00A40DDC">
        <w:rPr>
          <w:rFonts w:hint="cs"/>
          <w:i/>
          <w:sz w:val="23"/>
          <w:szCs w:val="23"/>
          <w:rtl/>
        </w:rPr>
        <w:t>سازد</w:t>
      </w:r>
      <w:r w:rsidRPr="00A40DDC">
        <w:rPr>
          <w:i/>
          <w:sz w:val="23"/>
          <w:szCs w:val="23"/>
          <w:rtl/>
        </w:rPr>
        <w:t xml:space="preserve"> که</w:t>
      </w:r>
      <w:r w:rsidRPr="00A40DDC">
        <w:rPr>
          <w:rFonts w:hint="cs"/>
          <w:i/>
          <w:sz w:val="23"/>
          <w:szCs w:val="23"/>
          <w:rtl/>
        </w:rPr>
        <w:t xml:space="preserve"> خانوار و دولت </w:t>
      </w:r>
      <w:r w:rsidRPr="00A40DDC">
        <w:rPr>
          <w:i/>
          <w:sz w:val="23"/>
          <w:szCs w:val="23"/>
          <w:rtl/>
        </w:rPr>
        <w:t>بتوا</w:t>
      </w:r>
      <w:r w:rsidRPr="00A40DDC">
        <w:rPr>
          <w:rFonts w:hint="cs"/>
          <w:i/>
          <w:sz w:val="23"/>
          <w:szCs w:val="23"/>
          <w:rtl/>
        </w:rPr>
        <w:t>ن</w:t>
      </w:r>
      <w:r w:rsidRPr="00A40DDC">
        <w:rPr>
          <w:i/>
          <w:sz w:val="23"/>
          <w:szCs w:val="23"/>
          <w:rtl/>
        </w:rPr>
        <w:t xml:space="preserve">ند از خارج </w:t>
      </w:r>
      <w:r w:rsidRPr="00A40DDC">
        <w:rPr>
          <w:rFonts w:hint="cs"/>
          <w:i/>
          <w:sz w:val="23"/>
          <w:szCs w:val="23"/>
          <w:rtl/>
        </w:rPr>
        <w:t>ق</w:t>
      </w:r>
      <w:r w:rsidRPr="00A40DDC">
        <w:rPr>
          <w:i/>
          <w:sz w:val="23"/>
          <w:szCs w:val="23"/>
          <w:rtl/>
        </w:rPr>
        <w:t>رض کن</w:t>
      </w:r>
      <w:r w:rsidRPr="00A40DDC">
        <w:rPr>
          <w:rFonts w:hint="cs"/>
          <w:i/>
          <w:sz w:val="23"/>
          <w:szCs w:val="23"/>
          <w:rtl/>
        </w:rPr>
        <w:t>ن</w:t>
      </w:r>
      <w:r w:rsidRPr="00A40DDC">
        <w:rPr>
          <w:i/>
          <w:sz w:val="23"/>
          <w:szCs w:val="23"/>
          <w:rtl/>
        </w:rPr>
        <w:t>د و یا دارایی</w:t>
      </w:r>
      <w:r w:rsidRPr="00A40DDC">
        <w:rPr>
          <w:i/>
          <w:sz w:val="23"/>
          <w:szCs w:val="23"/>
          <w:rtl/>
        </w:rPr>
        <w:softHyphen/>
        <w:t>های خارجی را نگهداری کن</w:t>
      </w:r>
      <w:r w:rsidRPr="00A40DDC">
        <w:rPr>
          <w:rFonts w:hint="cs"/>
          <w:i/>
          <w:sz w:val="23"/>
          <w:szCs w:val="23"/>
          <w:rtl/>
        </w:rPr>
        <w:t>ن</w:t>
      </w:r>
      <w:r w:rsidRPr="00A40DDC">
        <w:rPr>
          <w:i/>
          <w:sz w:val="23"/>
          <w:szCs w:val="23"/>
          <w:rtl/>
        </w:rPr>
        <w:t>د.</w:t>
      </w:r>
      <w:r w:rsidRPr="00A40DDC">
        <w:rPr>
          <w:rFonts w:hint="cs"/>
          <w:i/>
          <w:sz w:val="23"/>
          <w:szCs w:val="23"/>
          <w:rtl/>
        </w:rPr>
        <w:t xml:space="preserve"> در واقع، با قیود و محدودیت</w:t>
      </w:r>
      <w:r w:rsidRPr="00A40DDC">
        <w:rPr>
          <w:i/>
          <w:sz w:val="23"/>
          <w:szCs w:val="23"/>
          <w:rtl/>
        </w:rPr>
        <w:softHyphen/>
      </w:r>
      <w:r w:rsidRPr="00A40DDC">
        <w:rPr>
          <w:rFonts w:hint="cs"/>
          <w:i/>
          <w:sz w:val="23"/>
          <w:szCs w:val="23"/>
          <w:rtl/>
        </w:rPr>
        <w:t>های کمتر در اقتصاد باز، سطح رفاه خانوار بیش از اقتصاد بسته است.</w:t>
      </w:r>
    </w:p>
    <w:p w14:paraId="7021D687" w14:textId="77777777" w:rsidR="00411620" w:rsidRPr="00A40DDC" w:rsidRDefault="00411620" w:rsidP="00411620">
      <w:pPr>
        <w:spacing w:line="216" w:lineRule="auto"/>
        <w:rPr>
          <w:i/>
          <w:sz w:val="23"/>
          <w:szCs w:val="23"/>
          <w:rtl/>
        </w:rPr>
      </w:pPr>
      <w:r w:rsidRPr="00A40DDC">
        <w:rPr>
          <w:rFonts w:hint="cs"/>
          <w:i/>
          <w:sz w:val="23"/>
          <w:szCs w:val="23"/>
          <w:rtl/>
        </w:rPr>
        <w:lastRenderedPageBreak/>
        <w:t xml:space="preserve"> در</w:t>
      </w:r>
      <w:r w:rsidRPr="00A40DDC">
        <w:rPr>
          <w:i/>
          <w:sz w:val="23"/>
          <w:szCs w:val="23"/>
          <w:rtl/>
        </w:rPr>
        <w:t xml:space="preserve"> اقتصاد باز معمولا</w:t>
      </w:r>
      <w:r w:rsidRPr="00A40DDC">
        <w:rPr>
          <w:rFonts w:hint="cs"/>
          <w:i/>
          <w:sz w:val="23"/>
          <w:szCs w:val="23"/>
          <w:rtl/>
        </w:rPr>
        <w:t>ً</w:t>
      </w:r>
      <w:r w:rsidRPr="00A40DDC">
        <w:rPr>
          <w:i/>
          <w:sz w:val="23"/>
          <w:szCs w:val="23"/>
          <w:rtl/>
        </w:rPr>
        <w:t xml:space="preserve"> تاکید بر کالاها و خدمات داخلی و خارجی و امکان جانشینی بین آن</w:t>
      </w:r>
      <w:r w:rsidRPr="00A40DDC">
        <w:rPr>
          <w:rFonts w:hint="cs"/>
          <w:i/>
          <w:sz w:val="23"/>
          <w:szCs w:val="23"/>
          <w:rtl/>
        </w:rPr>
        <w:t>‌</w:t>
      </w:r>
      <w:r w:rsidRPr="00A40DDC">
        <w:rPr>
          <w:i/>
          <w:sz w:val="23"/>
          <w:szCs w:val="23"/>
          <w:rtl/>
        </w:rPr>
        <w:t>ها</w:t>
      </w:r>
      <w:r w:rsidRPr="00A40DDC">
        <w:rPr>
          <w:rFonts w:hint="cs"/>
          <w:i/>
          <w:sz w:val="23"/>
          <w:szCs w:val="23"/>
          <w:rtl/>
        </w:rPr>
        <w:t xml:space="preserve"> است</w:t>
      </w:r>
      <w:r w:rsidRPr="00A40DDC">
        <w:rPr>
          <w:i/>
          <w:sz w:val="23"/>
          <w:szCs w:val="23"/>
          <w:rtl/>
        </w:rPr>
        <w:t xml:space="preserve">. </w:t>
      </w:r>
      <w:r w:rsidRPr="00A40DDC">
        <w:rPr>
          <w:rFonts w:hint="cs"/>
          <w:i/>
          <w:sz w:val="23"/>
          <w:szCs w:val="23"/>
          <w:rtl/>
        </w:rPr>
        <w:t xml:space="preserve">در </w:t>
      </w:r>
      <w:r w:rsidRPr="00A40DDC">
        <w:rPr>
          <w:i/>
          <w:sz w:val="23"/>
          <w:szCs w:val="23"/>
          <w:rtl/>
        </w:rPr>
        <w:t xml:space="preserve">این </w:t>
      </w:r>
      <w:r w:rsidRPr="00A40DDC">
        <w:rPr>
          <w:rFonts w:hint="cs"/>
          <w:i/>
          <w:sz w:val="23"/>
          <w:szCs w:val="23"/>
          <w:rtl/>
        </w:rPr>
        <w:t xml:space="preserve">صورت </w:t>
      </w:r>
      <w:r w:rsidRPr="00A40DDC">
        <w:rPr>
          <w:i/>
          <w:sz w:val="23"/>
          <w:szCs w:val="23"/>
          <w:rtl/>
        </w:rPr>
        <w:t xml:space="preserve">مصرف و </w:t>
      </w:r>
      <w:r w:rsidRPr="00A40DDC">
        <w:rPr>
          <w:rFonts w:hint="cs"/>
          <w:i/>
          <w:sz w:val="23"/>
          <w:szCs w:val="23"/>
          <w:rtl/>
        </w:rPr>
        <w:t>رابطه</w:t>
      </w:r>
      <w:r w:rsidRPr="00A40DDC">
        <w:rPr>
          <w:i/>
          <w:sz w:val="23"/>
          <w:szCs w:val="23"/>
          <w:rtl/>
        </w:rPr>
        <w:softHyphen/>
      </w:r>
      <w:r w:rsidRPr="00A40DDC">
        <w:rPr>
          <w:rFonts w:hint="cs"/>
          <w:i/>
          <w:sz w:val="23"/>
          <w:szCs w:val="23"/>
          <w:rtl/>
        </w:rPr>
        <w:t>ی مبادله</w:t>
      </w:r>
      <w:r w:rsidRPr="00A40DDC">
        <w:rPr>
          <w:i/>
          <w:sz w:val="23"/>
          <w:szCs w:val="23"/>
          <w:rtl/>
        </w:rPr>
        <w:softHyphen/>
      </w:r>
      <w:r w:rsidRPr="00A40DDC">
        <w:rPr>
          <w:rFonts w:hint="cs"/>
          <w:i/>
          <w:sz w:val="23"/>
          <w:szCs w:val="23"/>
          <w:rtl/>
        </w:rPr>
        <w:t xml:space="preserve">ی حقیقی یا </w:t>
      </w:r>
      <w:r w:rsidRPr="00A40DDC">
        <w:rPr>
          <w:rStyle w:val="FootnoteReference"/>
          <w:rFonts w:eastAsiaTheme="majorEastAsia"/>
          <w:i/>
          <w:sz w:val="23"/>
          <w:szCs w:val="23"/>
        </w:rPr>
        <w:footnoteReference w:id="172"/>
      </w:r>
      <w:r w:rsidRPr="00A40DDC">
        <w:rPr>
          <w:i/>
          <w:sz w:val="23"/>
          <w:szCs w:val="23"/>
        </w:rPr>
        <w:t>TOT</w:t>
      </w:r>
      <w:r w:rsidRPr="00A40DDC">
        <w:rPr>
          <w:rFonts w:hint="cs"/>
          <w:i/>
          <w:sz w:val="23"/>
          <w:szCs w:val="23"/>
          <w:rtl/>
        </w:rPr>
        <w:t xml:space="preserve"> که ه</w:t>
      </w:r>
      <w:r w:rsidRPr="00A40DDC">
        <w:rPr>
          <w:i/>
          <w:sz w:val="23"/>
          <w:szCs w:val="23"/>
          <w:rtl/>
        </w:rPr>
        <w:t xml:space="preserve">مان </w:t>
      </w:r>
      <w:r w:rsidRPr="00A40DDC">
        <w:rPr>
          <w:rFonts w:hint="cs"/>
          <w:i/>
          <w:sz w:val="23"/>
          <w:szCs w:val="23"/>
          <w:rtl/>
        </w:rPr>
        <w:t xml:space="preserve">نسبت </w:t>
      </w:r>
      <w:r w:rsidRPr="00A40DDC">
        <w:rPr>
          <w:i/>
          <w:sz w:val="23"/>
          <w:szCs w:val="23"/>
          <w:rtl/>
        </w:rPr>
        <w:t xml:space="preserve">قیمت </w:t>
      </w:r>
      <w:r w:rsidRPr="00A40DDC">
        <w:rPr>
          <w:rFonts w:hint="cs"/>
          <w:i/>
          <w:sz w:val="23"/>
          <w:szCs w:val="23"/>
          <w:rtl/>
        </w:rPr>
        <w:t xml:space="preserve">کالاها و خدمات </w:t>
      </w:r>
      <w:r w:rsidRPr="00A40DDC">
        <w:rPr>
          <w:i/>
          <w:sz w:val="23"/>
          <w:szCs w:val="23"/>
          <w:rtl/>
        </w:rPr>
        <w:t>واردات</w:t>
      </w:r>
      <w:r w:rsidRPr="00A40DDC">
        <w:rPr>
          <w:rFonts w:hint="cs"/>
          <w:i/>
          <w:sz w:val="23"/>
          <w:szCs w:val="23"/>
          <w:rtl/>
        </w:rPr>
        <w:t>ی</w:t>
      </w:r>
      <w:r w:rsidRPr="00A40DDC">
        <w:rPr>
          <w:i/>
          <w:sz w:val="23"/>
          <w:szCs w:val="23"/>
          <w:rtl/>
        </w:rPr>
        <w:t xml:space="preserve"> به </w:t>
      </w:r>
      <w:r w:rsidRPr="00A40DDC">
        <w:rPr>
          <w:rFonts w:hint="cs"/>
          <w:i/>
          <w:sz w:val="23"/>
          <w:szCs w:val="23"/>
          <w:rtl/>
        </w:rPr>
        <w:t xml:space="preserve">قیمت کالاها و خدمات </w:t>
      </w:r>
      <w:r w:rsidRPr="00A40DDC">
        <w:rPr>
          <w:i/>
          <w:sz w:val="23"/>
          <w:szCs w:val="23"/>
          <w:rtl/>
        </w:rPr>
        <w:t>صادرات</w:t>
      </w:r>
      <w:r w:rsidRPr="00A40DDC">
        <w:rPr>
          <w:rFonts w:hint="cs"/>
          <w:i/>
          <w:sz w:val="23"/>
          <w:szCs w:val="23"/>
          <w:rtl/>
        </w:rPr>
        <w:t>ی</w:t>
      </w:r>
      <w:r w:rsidRPr="00A40DDC">
        <w:rPr>
          <w:i/>
          <w:sz w:val="23"/>
          <w:szCs w:val="23"/>
          <w:rtl/>
        </w:rPr>
        <w:t xml:space="preserve"> بر حسب پول داخلی </w:t>
      </w:r>
      <w:r w:rsidRPr="00A40DDC">
        <w:rPr>
          <w:rFonts w:hint="cs"/>
          <w:i/>
          <w:sz w:val="23"/>
          <w:szCs w:val="23"/>
          <w:rtl/>
        </w:rPr>
        <w:t>است</w:t>
      </w:r>
      <w:r w:rsidRPr="00A40DDC">
        <w:rPr>
          <w:i/>
          <w:sz w:val="23"/>
          <w:szCs w:val="23"/>
          <w:rtl/>
        </w:rPr>
        <w:t xml:space="preserve"> تحت ت</w:t>
      </w:r>
      <w:r w:rsidRPr="00A40DDC">
        <w:rPr>
          <w:rFonts w:hint="cs"/>
          <w:i/>
          <w:sz w:val="23"/>
          <w:szCs w:val="23"/>
          <w:rtl/>
        </w:rPr>
        <w:t>أ</w:t>
      </w:r>
      <w:r w:rsidRPr="00A40DDC">
        <w:rPr>
          <w:i/>
          <w:sz w:val="23"/>
          <w:szCs w:val="23"/>
          <w:rtl/>
        </w:rPr>
        <w:t>ثیر قرار می</w:t>
      </w:r>
      <w:r w:rsidRPr="00A40DDC">
        <w:rPr>
          <w:i/>
          <w:sz w:val="23"/>
          <w:szCs w:val="23"/>
          <w:rtl/>
        </w:rPr>
        <w:softHyphen/>
      </w:r>
      <w:r w:rsidRPr="00A40DDC">
        <w:rPr>
          <w:rFonts w:hint="cs"/>
          <w:i/>
          <w:sz w:val="23"/>
          <w:szCs w:val="23"/>
          <w:rtl/>
        </w:rPr>
        <w:t>گیرد</w:t>
      </w:r>
      <w:r w:rsidRPr="00A40DDC">
        <w:rPr>
          <w:i/>
          <w:sz w:val="23"/>
          <w:szCs w:val="23"/>
          <w:rtl/>
        </w:rPr>
        <w:t>. اگر برای مثال تمام کالاها</w:t>
      </w:r>
      <w:r w:rsidRPr="00A40DDC">
        <w:rPr>
          <w:rFonts w:hint="cs"/>
          <w:i/>
          <w:sz w:val="23"/>
          <w:szCs w:val="23"/>
          <w:rtl/>
        </w:rPr>
        <w:t xml:space="preserve"> و خدمات تولیدی</w:t>
      </w:r>
      <w:r w:rsidRPr="00A40DDC">
        <w:rPr>
          <w:i/>
          <w:sz w:val="23"/>
          <w:szCs w:val="23"/>
          <w:rtl/>
        </w:rPr>
        <w:t xml:space="preserve"> قابل تجارت باشند</w:t>
      </w:r>
      <w:r w:rsidRPr="00A40DDC">
        <w:rPr>
          <w:rFonts w:hint="cs"/>
          <w:i/>
          <w:sz w:val="23"/>
          <w:szCs w:val="23"/>
          <w:rtl/>
        </w:rPr>
        <w:t>،</w:t>
      </w:r>
      <w:r w:rsidRPr="00A40DDC">
        <w:rPr>
          <w:i/>
          <w:sz w:val="23"/>
          <w:szCs w:val="23"/>
          <w:rtl/>
        </w:rPr>
        <w:t xml:space="preserve"> و کالاها و خدمات داخلی و خارجی جانشین کامل باشند</w:t>
      </w:r>
      <w:r w:rsidRPr="00A40DDC">
        <w:rPr>
          <w:rFonts w:hint="cs"/>
          <w:i/>
          <w:sz w:val="23"/>
          <w:szCs w:val="23"/>
          <w:rtl/>
        </w:rPr>
        <w:t>،</w:t>
      </w:r>
      <w:r w:rsidRPr="00A40DDC">
        <w:rPr>
          <w:i/>
          <w:sz w:val="23"/>
          <w:szCs w:val="23"/>
          <w:rtl/>
        </w:rPr>
        <w:t xml:space="preserve"> آنگاه</w:t>
      </w:r>
      <w:r w:rsidRPr="00A40DDC">
        <w:rPr>
          <w:i/>
          <w:sz w:val="23"/>
          <w:szCs w:val="23"/>
        </w:rPr>
        <w:t>TOT</w:t>
      </w:r>
      <w:r w:rsidRPr="00A40DDC">
        <w:rPr>
          <w:rFonts w:hint="cs"/>
          <w:i/>
          <w:sz w:val="23"/>
          <w:szCs w:val="23"/>
          <w:rtl/>
        </w:rPr>
        <w:t xml:space="preserve"> </w:t>
      </w:r>
      <w:r w:rsidRPr="00A40DDC">
        <w:rPr>
          <w:i/>
          <w:sz w:val="23"/>
          <w:szCs w:val="23"/>
        </w:rPr>
        <w:t xml:space="preserve"> </w:t>
      </w:r>
      <w:r w:rsidRPr="00A40DDC">
        <w:rPr>
          <w:i/>
          <w:sz w:val="23"/>
          <w:szCs w:val="23"/>
          <w:rtl/>
        </w:rPr>
        <w:t>ثابت است</w:t>
      </w:r>
      <w:r w:rsidRPr="00A40DDC">
        <w:rPr>
          <w:rFonts w:hint="cs"/>
          <w:i/>
          <w:sz w:val="23"/>
          <w:szCs w:val="23"/>
          <w:rtl/>
        </w:rPr>
        <w:t>. در این صورت</w:t>
      </w:r>
      <w:r w:rsidRPr="00A40DDC">
        <w:rPr>
          <w:i/>
          <w:sz w:val="23"/>
          <w:szCs w:val="23"/>
          <w:rtl/>
        </w:rPr>
        <w:t xml:space="preserve"> برای کالاها و خدمات </w:t>
      </w:r>
      <w:r w:rsidRPr="00A40DDC">
        <w:rPr>
          <w:rFonts w:hint="cs"/>
          <w:i/>
          <w:sz w:val="23"/>
          <w:szCs w:val="23"/>
          <w:rtl/>
        </w:rPr>
        <w:t xml:space="preserve">داخلی و خارجی </w:t>
      </w:r>
      <w:r w:rsidRPr="00A40DDC">
        <w:rPr>
          <w:i/>
          <w:sz w:val="23"/>
          <w:szCs w:val="23"/>
          <w:rtl/>
        </w:rPr>
        <w:t xml:space="preserve">یک قیمت وجود دارد و ضرورتی بر تمایز بین کالاها و خدمات داخلی و خارجی </w:t>
      </w:r>
      <w:r w:rsidRPr="00A40DDC">
        <w:rPr>
          <w:rFonts w:hint="cs"/>
          <w:i/>
          <w:sz w:val="23"/>
          <w:szCs w:val="23"/>
          <w:rtl/>
        </w:rPr>
        <w:t>نیست</w:t>
      </w:r>
      <w:r w:rsidRPr="00A40DDC">
        <w:rPr>
          <w:i/>
          <w:sz w:val="23"/>
          <w:szCs w:val="23"/>
          <w:rtl/>
        </w:rPr>
        <w:t>.</w:t>
      </w:r>
    </w:p>
    <w:p w14:paraId="5D2FE098" w14:textId="77777777" w:rsidR="00411620" w:rsidRPr="00A40DDC" w:rsidRDefault="00411620" w:rsidP="00411620">
      <w:pPr>
        <w:spacing w:line="216" w:lineRule="auto"/>
        <w:rPr>
          <w:i/>
          <w:sz w:val="23"/>
          <w:szCs w:val="23"/>
        </w:rPr>
      </w:pPr>
      <w:r w:rsidRPr="00A40DDC">
        <w:rPr>
          <w:i/>
          <w:sz w:val="23"/>
          <w:szCs w:val="23"/>
          <w:rtl/>
        </w:rPr>
        <w:t>از آن</w:t>
      </w:r>
      <w:r w:rsidRPr="00A40DDC">
        <w:rPr>
          <w:i/>
          <w:sz w:val="23"/>
          <w:szCs w:val="23"/>
          <w:rtl/>
        </w:rPr>
        <w:softHyphen/>
        <w:t xml:space="preserve">جا که تمامی کالاها و خدمات </w:t>
      </w:r>
      <w:r w:rsidRPr="00A40DDC">
        <w:rPr>
          <w:rFonts w:hint="cs"/>
          <w:i/>
          <w:sz w:val="23"/>
          <w:szCs w:val="23"/>
          <w:rtl/>
        </w:rPr>
        <w:t xml:space="preserve">تولیدی </w:t>
      </w:r>
      <w:r w:rsidRPr="00A40DDC">
        <w:rPr>
          <w:i/>
          <w:sz w:val="23"/>
          <w:szCs w:val="23"/>
          <w:rtl/>
        </w:rPr>
        <w:t>قابل تجارت نمی</w:t>
      </w:r>
      <w:r w:rsidRPr="00A40DDC">
        <w:rPr>
          <w:rFonts w:hint="cs"/>
          <w:i/>
          <w:sz w:val="23"/>
          <w:szCs w:val="23"/>
          <w:rtl/>
        </w:rPr>
        <w:t>‌</w:t>
      </w:r>
      <w:r w:rsidRPr="00A40DDC">
        <w:rPr>
          <w:i/>
          <w:sz w:val="23"/>
          <w:szCs w:val="23"/>
          <w:rtl/>
        </w:rPr>
        <w:t>باشند</w:t>
      </w:r>
      <w:r w:rsidRPr="00A40DDC">
        <w:rPr>
          <w:rFonts w:hint="cs"/>
          <w:i/>
          <w:sz w:val="23"/>
          <w:szCs w:val="23"/>
          <w:rtl/>
        </w:rPr>
        <w:t>،</w:t>
      </w:r>
      <w:r w:rsidRPr="00A40DDC">
        <w:rPr>
          <w:i/>
          <w:sz w:val="23"/>
          <w:szCs w:val="23"/>
          <w:rtl/>
        </w:rPr>
        <w:t xml:space="preserve"> لذا </w:t>
      </w:r>
      <w:r w:rsidRPr="00A40DDC">
        <w:rPr>
          <w:rFonts w:hint="cs"/>
          <w:i/>
          <w:sz w:val="23"/>
          <w:szCs w:val="23"/>
          <w:rtl/>
        </w:rPr>
        <w:t>در این</w:t>
      </w:r>
      <w:r w:rsidRPr="00A40DDC">
        <w:rPr>
          <w:i/>
          <w:sz w:val="23"/>
          <w:szCs w:val="23"/>
          <w:rtl/>
        </w:rPr>
        <w:softHyphen/>
      </w:r>
      <w:r w:rsidRPr="00A40DDC">
        <w:rPr>
          <w:rFonts w:hint="cs"/>
          <w:i/>
          <w:sz w:val="23"/>
          <w:szCs w:val="23"/>
          <w:rtl/>
        </w:rPr>
        <w:t>جا ب</w:t>
      </w:r>
      <w:r w:rsidRPr="00A40DDC">
        <w:rPr>
          <w:i/>
          <w:sz w:val="23"/>
          <w:szCs w:val="23"/>
          <w:rtl/>
        </w:rPr>
        <w:t>ین کالاها و خدمات قابل تجارت و غیرقابل</w:t>
      </w:r>
      <w:r w:rsidRPr="00A40DDC">
        <w:rPr>
          <w:rFonts w:hint="cs"/>
          <w:i/>
          <w:sz w:val="23"/>
          <w:szCs w:val="23"/>
          <w:rtl/>
        </w:rPr>
        <w:t xml:space="preserve"> </w:t>
      </w:r>
      <w:r w:rsidRPr="00A40DDC">
        <w:rPr>
          <w:i/>
          <w:sz w:val="23"/>
          <w:szCs w:val="23"/>
          <w:rtl/>
        </w:rPr>
        <w:t>تجارت</w:t>
      </w:r>
      <w:r w:rsidRPr="00A40DDC">
        <w:rPr>
          <w:rFonts w:hint="cs"/>
          <w:i/>
          <w:sz w:val="23"/>
          <w:szCs w:val="23"/>
          <w:rtl/>
        </w:rPr>
        <w:t>،</w:t>
      </w:r>
      <w:r w:rsidRPr="00A40DDC">
        <w:rPr>
          <w:i/>
          <w:sz w:val="23"/>
          <w:szCs w:val="23"/>
          <w:rtl/>
        </w:rPr>
        <w:t xml:space="preserve"> </w:t>
      </w:r>
      <w:r w:rsidRPr="00A40DDC">
        <w:rPr>
          <w:rFonts w:hint="cs"/>
          <w:i/>
          <w:sz w:val="23"/>
          <w:szCs w:val="23"/>
          <w:rtl/>
        </w:rPr>
        <w:t xml:space="preserve">و </w:t>
      </w:r>
      <w:r w:rsidRPr="00A40DDC">
        <w:rPr>
          <w:i/>
          <w:sz w:val="23"/>
          <w:szCs w:val="23"/>
          <w:rtl/>
        </w:rPr>
        <w:t xml:space="preserve">بین </w:t>
      </w:r>
      <w:r w:rsidRPr="00A40DDC">
        <w:rPr>
          <w:rFonts w:hint="cs"/>
          <w:i/>
          <w:sz w:val="23"/>
          <w:szCs w:val="23"/>
          <w:rtl/>
        </w:rPr>
        <w:t xml:space="preserve">رابطه‌ی مبادله که به کالاها و خدمات قابل تجارت منتسب است، </w:t>
      </w:r>
      <w:r w:rsidRPr="00A40DDC">
        <w:rPr>
          <w:i/>
          <w:sz w:val="23"/>
          <w:szCs w:val="23"/>
          <w:rtl/>
        </w:rPr>
        <w:t xml:space="preserve">و نرخ ارز </w:t>
      </w:r>
      <w:r w:rsidRPr="00A40DDC">
        <w:rPr>
          <w:rFonts w:hint="cs"/>
          <w:i/>
          <w:sz w:val="23"/>
          <w:szCs w:val="23"/>
          <w:rtl/>
        </w:rPr>
        <w:t>حقیقی</w:t>
      </w:r>
      <w:r w:rsidRPr="00A40DDC">
        <w:rPr>
          <w:rStyle w:val="FootnoteReference"/>
          <w:rFonts w:eastAsiaTheme="majorEastAsia"/>
          <w:i/>
          <w:sz w:val="23"/>
          <w:szCs w:val="23"/>
          <w:rtl/>
        </w:rPr>
        <w:footnoteReference w:id="173"/>
      </w:r>
      <w:r w:rsidRPr="00A40DDC">
        <w:rPr>
          <w:i/>
          <w:sz w:val="23"/>
          <w:szCs w:val="23"/>
          <w:rtl/>
        </w:rPr>
        <w:t xml:space="preserve"> </w:t>
      </w:r>
      <w:r w:rsidRPr="00A40DDC">
        <w:rPr>
          <w:rFonts w:hint="cs"/>
          <w:i/>
          <w:sz w:val="23"/>
          <w:szCs w:val="23"/>
          <w:rtl/>
        </w:rPr>
        <w:t>که مبین متوسط سطح قیمت کالاها و خدمات مهم</w:t>
      </w:r>
      <w:r w:rsidRPr="00A40DDC">
        <w:rPr>
          <w:i/>
          <w:sz w:val="23"/>
          <w:szCs w:val="23"/>
          <w:rtl/>
        </w:rPr>
        <w:softHyphen/>
      </w:r>
      <w:r w:rsidRPr="00A40DDC">
        <w:rPr>
          <w:rFonts w:hint="cs"/>
          <w:i/>
          <w:sz w:val="23"/>
          <w:szCs w:val="23"/>
          <w:rtl/>
        </w:rPr>
        <w:t xml:space="preserve">ترین شرکای تجاری به سطح عمومی قیمت کالاها و خدمات در اقتصاد داخلی است </w:t>
      </w:r>
      <w:r w:rsidRPr="00A40DDC">
        <w:rPr>
          <w:i/>
          <w:sz w:val="23"/>
          <w:szCs w:val="23"/>
          <w:rtl/>
        </w:rPr>
        <w:t>تمایز قائل می</w:t>
      </w:r>
      <w:r w:rsidRPr="00A40DDC">
        <w:rPr>
          <w:rFonts w:hint="cs"/>
          <w:i/>
          <w:sz w:val="23"/>
          <w:szCs w:val="23"/>
          <w:rtl/>
        </w:rPr>
        <w:t>‌</w:t>
      </w:r>
      <w:r w:rsidRPr="00A40DDC">
        <w:rPr>
          <w:i/>
          <w:sz w:val="23"/>
          <w:szCs w:val="23"/>
          <w:rtl/>
        </w:rPr>
        <w:t xml:space="preserve">شویم. </w:t>
      </w:r>
    </w:p>
    <w:p w14:paraId="10C80243" w14:textId="77777777" w:rsidR="00411620" w:rsidRPr="00A40DDC" w:rsidRDefault="00411620" w:rsidP="00411620">
      <w:pPr>
        <w:spacing w:line="216" w:lineRule="auto"/>
        <w:rPr>
          <w:i/>
          <w:sz w:val="23"/>
          <w:szCs w:val="23"/>
          <w:rtl/>
        </w:rPr>
      </w:pPr>
      <w:r w:rsidRPr="00A40DDC">
        <w:rPr>
          <w:i/>
          <w:sz w:val="23"/>
          <w:szCs w:val="23"/>
          <w:rtl/>
        </w:rPr>
        <w:t xml:space="preserve"> </w:t>
      </w:r>
      <w:r w:rsidRPr="00A40DDC">
        <w:rPr>
          <w:rFonts w:hint="cs"/>
          <w:i/>
          <w:sz w:val="23"/>
          <w:szCs w:val="23"/>
          <w:rtl/>
        </w:rPr>
        <w:t xml:space="preserve">نرخ ارز حقیقی، قیمت کالاها و خدمات داخلی در مقایسه با قیمت کالاها و خدمات خارجی بر حسب پول داخلی است. در محاسبه‌ی نرخ ارز حقیقی، متوسط سطح قیمت خارجی در نرخ ارز اسمی به پول داخلی ضرب می‌شود. سطح عمومی قیمت‌ها ممکن است شاخص قیمت مصرف کننده </w:t>
      </w:r>
      <w:r w:rsidRPr="00A40DDC">
        <w:rPr>
          <w:i/>
          <w:sz w:val="23"/>
          <w:szCs w:val="23"/>
        </w:rPr>
        <w:t>CPI</w:t>
      </w:r>
      <w:r w:rsidRPr="00A40DDC">
        <w:rPr>
          <w:rFonts w:hint="cs"/>
          <w:i/>
          <w:sz w:val="23"/>
          <w:szCs w:val="23"/>
          <w:rtl/>
        </w:rPr>
        <w:t xml:space="preserve">، و یا شاخص تعدیل کننده‌ی تولید یا </w:t>
      </w:r>
      <w:r w:rsidRPr="00A40DDC">
        <w:rPr>
          <w:i/>
          <w:sz w:val="23"/>
          <w:szCs w:val="23"/>
        </w:rPr>
        <w:t>GDP</w:t>
      </w:r>
      <w:r w:rsidRPr="00A40DDC">
        <w:rPr>
          <w:rFonts w:hint="cs"/>
          <w:i/>
          <w:sz w:val="23"/>
          <w:szCs w:val="23"/>
          <w:rtl/>
        </w:rPr>
        <w:t xml:space="preserve"> باشد. استفاده‌ی تعدیل کننده‌ی </w:t>
      </w:r>
      <w:r w:rsidRPr="00A40DDC">
        <w:rPr>
          <w:i/>
          <w:sz w:val="23"/>
          <w:szCs w:val="23"/>
        </w:rPr>
        <w:t>GDP</w:t>
      </w:r>
      <w:r w:rsidRPr="00A40DDC">
        <w:rPr>
          <w:rFonts w:hint="cs"/>
          <w:i/>
          <w:sz w:val="23"/>
          <w:szCs w:val="23"/>
          <w:rtl/>
        </w:rPr>
        <w:t xml:space="preserve"> در نرخ ارز حقیقی بخاطر اندازه</w:t>
      </w:r>
      <w:r w:rsidRPr="00A40DDC">
        <w:rPr>
          <w:i/>
          <w:sz w:val="23"/>
          <w:szCs w:val="23"/>
          <w:rtl/>
        </w:rPr>
        <w:softHyphen/>
      </w:r>
      <w:r w:rsidRPr="00A40DDC">
        <w:rPr>
          <w:rFonts w:hint="cs"/>
          <w:i/>
          <w:sz w:val="23"/>
          <w:szCs w:val="23"/>
          <w:rtl/>
        </w:rPr>
        <w:t xml:space="preserve">گیری معیاری برای هزینه‌ی نسبی تولید و </w:t>
      </w:r>
      <w:r w:rsidRPr="00A40DDC">
        <w:rPr>
          <w:i/>
          <w:sz w:val="23"/>
          <w:szCs w:val="23"/>
        </w:rPr>
        <w:t>CPI</w:t>
      </w:r>
      <w:r w:rsidRPr="00A40DDC">
        <w:rPr>
          <w:rFonts w:hint="cs"/>
          <w:i/>
          <w:sz w:val="23"/>
          <w:szCs w:val="23"/>
          <w:rtl/>
        </w:rPr>
        <w:t xml:space="preserve"> برای اندازه‌گیری هزینه‌ی نسبی زندگی است. لذا این دو روش اندازه‌گیری نرخ ارز حقیقی، اطلاعات متفاوتی را نشان می</w:t>
      </w:r>
      <w:r w:rsidRPr="00A40DDC">
        <w:rPr>
          <w:i/>
          <w:sz w:val="23"/>
          <w:szCs w:val="23"/>
          <w:rtl/>
        </w:rPr>
        <w:softHyphen/>
      </w:r>
      <w:r w:rsidRPr="00A40DDC">
        <w:rPr>
          <w:rFonts w:hint="cs"/>
          <w:i/>
          <w:sz w:val="23"/>
          <w:szCs w:val="23"/>
          <w:rtl/>
        </w:rPr>
        <w:t xml:space="preserve">دهند. در مقابل، نرخ ارز اسمی قیمت نسبی پول‌های در گردش، یعنی قیمت پول خارجی در مقابل پول داخلی است. نرخ ارز اسمی نرخ دوجانبه است، یعنی قیمت یک ارز در مقابل ارز دیگر است، و نرخ ارز اسمی مؤثر برابر است با متوسط نرخ‌های ارز دو جانبه‌ی شرکای تجاری. </w:t>
      </w:r>
    </w:p>
    <w:p w14:paraId="640B6C0D" w14:textId="77777777" w:rsidR="00411620" w:rsidRPr="00A40DDC" w:rsidRDefault="00411620" w:rsidP="00411620">
      <w:pPr>
        <w:spacing w:line="216" w:lineRule="auto"/>
        <w:rPr>
          <w:i/>
          <w:sz w:val="23"/>
          <w:szCs w:val="23"/>
          <w:rtl/>
        </w:rPr>
      </w:pPr>
      <w:r w:rsidRPr="00A40DDC">
        <w:rPr>
          <w:i/>
          <w:sz w:val="23"/>
          <w:szCs w:val="23"/>
          <w:rtl/>
        </w:rPr>
        <w:t>در اقتصاد باز همچنین تمایز بین دارایی</w:t>
      </w:r>
      <w:r w:rsidRPr="00A40DDC">
        <w:rPr>
          <w:rFonts w:hint="cs"/>
          <w:i/>
          <w:sz w:val="23"/>
          <w:szCs w:val="23"/>
          <w:rtl/>
        </w:rPr>
        <w:t>‌</w:t>
      </w:r>
      <w:r w:rsidRPr="00A40DDC">
        <w:rPr>
          <w:i/>
          <w:sz w:val="23"/>
          <w:szCs w:val="23"/>
          <w:rtl/>
        </w:rPr>
        <w:t>های داخلی و خارجی وجود دارد</w:t>
      </w:r>
      <w:r w:rsidRPr="00A40DDC">
        <w:rPr>
          <w:rFonts w:hint="cs"/>
          <w:i/>
          <w:sz w:val="23"/>
          <w:szCs w:val="23"/>
          <w:rtl/>
        </w:rPr>
        <w:t xml:space="preserve">، و </w:t>
      </w:r>
      <w:r w:rsidRPr="00A40DDC">
        <w:rPr>
          <w:i/>
          <w:sz w:val="23"/>
          <w:szCs w:val="23"/>
          <w:rtl/>
        </w:rPr>
        <w:t>نگهداری دارایی داخلی و خارجی به نرخ بازدهی آن</w:t>
      </w:r>
      <w:r w:rsidRPr="00A40DDC">
        <w:rPr>
          <w:rFonts w:hint="cs"/>
          <w:i/>
          <w:sz w:val="23"/>
          <w:szCs w:val="23"/>
          <w:rtl/>
        </w:rPr>
        <w:t>‌</w:t>
      </w:r>
      <w:r w:rsidRPr="00A40DDC">
        <w:rPr>
          <w:i/>
          <w:sz w:val="23"/>
          <w:szCs w:val="23"/>
          <w:rtl/>
        </w:rPr>
        <w:t>ها</w:t>
      </w:r>
      <w:r w:rsidRPr="00A40DDC">
        <w:rPr>
          <w:rFonts w:hint="cs"/>
          <w:i/>
          <w:sz w:val="23"/>
          <w:szCs w:val="23"/>
          <w:rtl/>
        </w:rPr>
        <w:t xml:space="preserve"> </w:t>
      </w:r>
      <w:r w:rsidRPr="00A40DDC">
        <w:rPr>
          <w:i/>
          <w:sz w:val="23"/>
          <w:szCs w:val="23"/>
          <w:rtl/>
        </w:rPr>
        <w:t xml:space="preserve">وابسته است. </w:t>
      </w:r>
      <w:r w:rsidRPr="00A40DDC">
        <w:rPr>
          <w:rFonts w:hint="cs"/>
          <w:i/>
          <w:sz w:val="23"/>
          <w:szCs w:val="23"/>
          <w:rtl/>
        </w:rPr>
        <w:t xml:space="preserve">در صورت عدم کنترل‌ سرمایه، سود بالقوه که از تفاوت در نرخ بازدهی داخلی و خارجی بر حسب پول واحد بوجود می‌آید، منجر به </w:t>
      </w:r>
      <w:r w:rsidRPr="00A40DDC">
        <w:rPr>
          <w:i/>
          <w:sz w:val="23"/>
          <w:szCs w:val="23"/>
          <w:rtl/>
        </w:rPr>
        <w:t>جری</w:t>
      </w:r>
      <w:r w:rsidRPr="00A40DDC">
        <w:rPr>
          <w:rFonts w:hint="cs"/>
          <w:i/>
          <w:sz w:val="23"/>
          <w:szCs w:val="23"/>
          <w:rtl/>
        </w:rPr>
        <w:t>ان</w:t>
      </w:r>
      <w:r w:rsidRPr="00A40DDC">
        <w:rPr>
          <w:i/>
          <w:sz w:val="23"/>
          <w:szCs w:val="23"/>
          <w:rtl/>
        </w:rPr>
        <w:t xml:space="preserve"> سرمایه </w:t>
      </w:r>
      <w:r w:rsidRPr="00A40DDC">
        <w:rPr>
          <w:rFonts w:hint="cs"/>
          <w:i/>
          <w:sz w:val="23"/>
          <w:szCs w:val="23"/>
          <w:rtl/>
        </w:rPr>
        <w:t>بین کشور‌ها خواهد شد. در کشور با نرخ بهره</w:t>
      </w:r>
      <w:r w:rsidRPr="00A40DDC">
        <w:rPr>
          <w:i/>
          <w:sz w:val="23"/>
          <w:szCs w:val="23"/>
          <w:rtl/>
        </w:rPr>
        <w:softHyphen/>
      </w:r>
      <w:r w:rsidRPr="00A40DDC">
        <w:rPr>
          <w:rFonts w:hint="cs"/>
          <w:i/>
          <w:sz w:val="23"/>
          <w:szCs w:val="23"/>
          <w:rtl/>
        </w:rPr>
        <w:t>ی بالاتر، ارزش پول داخلی افزایش یافته و لذا تفاضل بین سودها از بین خواهد رفت. در نتیجه در تعیین نرخ ارز انعطاف</w:t>
      </w:r>
      <w:r w:rsidRPr="00A40DDC">
        <w:rPr>
          <w:i/>
          <w:sz w:val="23"/>
          <w:szCs w:val="23"/>
          <w:rtl/>
        </w:rPr>
        <w:softHyphen/>
      </w:r>
      <w:r w:rsidRPr="00A40DDC">
        <w:rPr>
          <w:rFonts w:hint="cs"/>
          <w:i/>
          <w:sz w:val="23"/>
          <w:szCs w:val="23"/>
          <w:rtl/>
        </w:rPr>
        <w:t>پذیر، حساب سرمایه بر حساب جاری توفق می‌یابد. کنترل سرمایه عامل مهمی در ثبات نرخ ارز در سیستم برتن وودز بود. در رژیم نرخ ارز انعطاف</w:t>
      </w:r>
      <w:r w:rsidRPr="00A40DDC">
        <w:rPr>
          <w:i/>
          <w:sz w:val="23"/>
          <w:szCs w:val="23"/>
          <w:rtl/>
        </w:rPr>
        <w:softHyphen/>
      </w:r>
      <w:r w:rsidRPr="00A40DDC">
        <w:rPr>
          <w:rFonts w:hint="cs"/>
          <w:i/>
          <w:sz w:val="23"/>
          <w:szCs w:val="23"/>
          <w:rtl/>
        </w:rPr>
        <w:t>پذیر که جایگزین برتن وودز شد، کنترل سرمایه غیر ضروری است. در این فصل نرخ ارز اسمی را داده شده در نظرمی‌گیریم، و مباحث تعیین نرخ‌های ارز انعطاف</w:t>
      </w:r>
      <w:r w:rsidRPr="00A40DDC">
        <w:rPr>
          <w:i/>
          <w:sz w:val="23"/>
          <w:szCs w:val="23"/>
          <w:rtl/>
        </w:rPr>
        <w:softHyphen/>
      </w:r>
      <w:r w:rsidRPr="00A40DDC">
        <w:rPr>
          <w:rFonts w:hint="cs"/>
          <w:i/>
          <w:sz w:val="23"/>
          <w:szCs w:val="23"/>
          <w:rtl/>
        </w:rPr>
        <w:t xml:space="preserve">پذیر را در فصل سیزدهم مورد بررسی قرار خواهیم داد. در این فصل مباحث مربوط به انتخاب بین کالاهای تجاری داخلی و خارجی، کالاها و خدمات قابل تجارت و غیرقابل تجارت، تعیین رابطه‌ی مبادله و نرخ ارز حقیقی، مفاهیم خالص دارایی نگه داشته شده در حساب جاری و کسری حساب جاری پایدار را مورد بررسی قرار می‌دهیم. </w:t>
      </w:r>
    </w:p>
    <w:p w14:paraId="253D12E7" w14:textId="77777777" w:rsidR="00411620" w:rsidRPr="00A40DDC" w:rsidRDefault="00411620" w:rsidP="00411620">
      <w:pPr>
        <w:spacing w:line="216" w:lineRule="auto"/>
        <w:rPr>
          <w:i/>
          <w:sz w:val="23"/>
          <w:szCs w:val="23"/>
          <w:rtl/>
        </w:rPr>
      </w:pPr>
    </w:p>
    <w:p w14:paraId="330AFC23" w14:textId="77777777" w:rsidR="00411620" w:rsidRPr="00A40DDC" w:rsidRDefault="00411620" w:rsidP="00411620">
      <w:pPr>
        <w:pStyle w:val="Heading1"/>
        <w:spacing w:before="0" w:after="0" w:line="216" w:lineRule="auto"/>
        <w:rPr>
          <w:rFonts w:ascii="Times New Roman" w:hAnsi="Times New Roman" w:cs="B Nazanin"/>
          <w:b w:val="0"/>
          <w:i/>
          <w:sz w:val="23"/>
          <w:szCs w:val="23"/>
          <w:rtl/>
        </w:rPr>
      </w:pPr>
      <w:r w:rsidRPr="00A40DDC">
        <w:rPr>
          <w:rFonts w:ascii="Times New Roman" w:hAnsi="Times New Roman" w:cs="B Nazanin" w:hint="cs"/>
          <w:b w:val="0"/>
          <w:i/>
          <w:sz w:val="23"/>
          <w:szCs w:val="23"/>
          <w:rtl/>
        </w:rPr>
        <w:t xml:space="preserve">۷. ۲ </w:t>
      </w:r>
      <w:r w:rsidRPr="00A40DDC">
        <w:rPr>
          <w:rFonts w:ascii="Times New Roman" w:hAnsi="Times New Roman" w:cs="B Nazanin"/>
          <w:b w:val="0"/>
          <w:i/>
          <w:sz w:val="23"/>
          <w:szCs w:val="23"/>
          <w:rtl/>
        </w:rPr>
        <w:t>حل بهینه برای اقتصاد باز</w:t>
      </w:r>
    </w:p>
    <w:p w14:paraId="4777AAD9" w14:textId="77777777" w:rsidR="00411620" w:rsidRPr="00A40DDC" w:rsidRDefault="00411620" w:rsidP="00411620">
      <w:pPr>
        <w:spacing w:line="216" w:lineRule="auto"/>
        <w:rPr>
          <w:bCs/>
          <w:i/>
          <w:sz w:val="23"/>
          <w:szCs w:val="23"/>
          <w:rtl/>
        </w:rPr>
      </w:pPr>
      <w:r w:rsidRPr="00A40DDC">
        <w:rPr>
          <w:bCs/>
          <w:i/>
          <w:sz w:val="23"/>
          <w:szCs w:val="23"/>
          <w:rtl/>
        </w:rPr>
        <w:t>قید منبع اقتصاد باز</w:t>
      </w:r>
    </w:p>
    <w:p w14:paraId="54E22265" w14:textId="77777777" w:rsidR="00411620" w:rsidRPr="00A40DDC" w:rsidRDefault="00411620" w:rsidP="00411620">
      <w:pPr>
        <w:spacing w:line="216" w:lineRule="auto"/>
        <w:rPr>
          <w:i/>
          <w:sz w:val="23"/>
          <w:szCs w:val="23"/>
          <w:rtl/>
        </w:rPr>
      </w:pPr>
      <w:r w:rsidRPr="00A40DDC">
        <w:rPr>
          <w:rFonts w:hint="cs"/>
          <w:i/>
          <w:sz w:val="23"/>
          <w:szCs w:val="23"/>
          <w:rtl/>
        </w:rPr>
        <w:t>با امکان تجارت بین</w:t>
      </w:r>
      <w:r w:rsidRPr="00A40DDC">
        <w:rPr>
          <w:i/>
          <w:sz w:val="23"/>
          <w:szCs w:val="23"/>
          <w:rtl/>
        </w:rPr>
        <w:softHyphen/>
      </w:r>
      <w:r w:rsidRPr="00A40DDC">
        <w:rPr>
          <w:rFonts w:hint="cs"/>
          <w:i/>
          <w:sz w:val="23"/>
          <w:szCs w:val="23"/>
          <w:rtl/>
        </w:rPr>
        <w:t>الملل و جریان سرمایه در کشورها، قید منبع اقتصاد باز با اقتصاد بسته متفاوت خواهد بود. در این صورت قید منبع اقتصاد</w:t>
      </w:r>
      <w:r w:rsidRPr="00A40DDC">
        <w:rPr>
          <w:i/>
          <w:sz w:val="23"/>
          <w:szCs w:val="23"/>
          <w:rtl/>
        </w:rPr>
        <w:t xml:space="preserve"> از حساب</w:t>
      </w:r>
      <w:r w:rsidRPr="00A40DDC">
        <w:rPr>
          <w:i/>
          <w:sz w:val="23"/>
          <w:szCs w:val="23"/>
          <w:rtl/>
        </w:rPr>
        <w:softHyphen/>
        <w:t>های ملی اقتصاد باز و اتحاد ترازپرداخت</w:t>
      </w:r>
      <w:r w:rsidRPr="00A40DDC">
        <w:rPr>
          <w:rFonts w:hint="cs"/>
          <w:i/>
          <w:sz w:val="23"/>
          <w:szCs w:val="23"/>
          <w:rtl/>
        </w:rPr>
        <w:t>‌</w:t>
      </w:r>
      <w:r w:rsidRPr="00A40DDC">
        <w:rPr>
          <w:i/>
          <w:sz w:val="23"/>
          <w:szCs w:val="23"/>
          <w:rtl/>
        </w:rPr>
        <w:t>ها استخراج می</w:t>
      </w:r>
      <w:r w:rsidRPr="00A40DDC">
        <w:rPr>
          <w:i/>
          <w:sz w:val="23"/>
          <w:szCs w:val="23"/>
          <w:rtl/>
        </w:rPr>
        <w:softHyphen/>
        <w:t>شود. حساب</w:t>
      </w:r>
      <w:r w:rsidRPr="00A40DDC">
        <w:rPr>
          <w:i/>
          <w:sz w:val="23"/>
          <w:szCs w:val="23"/>
          <w:rtl/>
        </w:rPr>
        <w:softHyphen/>
        <w:t>های ملی اقتصاد باز عبارت</w:t>
      </w:r>
      <w:r w:rsidRPr="00A40DDC">
        <w:rPr>
          <w:i/>
          <w:sz w:val="23"/>
          <w:szCs w:val="23"/>
        </w:rPr>
        <w:t xml:space="preserve"> </w:t>
      </w:r>
      <w:r w:rsidRPr="00A40DDC">
        <w:rPr>
          <w:i/>
          <w:sz w:val="23"/>
          <w:szCs w:val="23"/>
          <w:rtl/>
        </w:rPr>
        <w:t>است از:</w:t>
      </w:r>
    </w:p>
    <w:p w14:paraId="024E5530" w14:textId="77777777" w:rsidR="00411620" w:rsidRPr="00A40DDC" w:rsidRDefault="00411620" w:rsidP="00411620">
      <w:pPr>
        <w:pStyle w:val="MTDisplayEquation"/>
        <w:tabs>
          <w:tab w:val="clear" w:pos="6660"/>
          <w:tab w:val="right" w:pos="0"/>
        </w:tabs>
        <w:spacing w:line="216" w:lineRule="auto"/>
        <w:jc w:val="left"/>
        <w:rPr>
          <w:rFonts w:ascii="Times New Roman" w:hAnsi="Times New Roman" w:cs="B Nazanin"/>
          <w:i/>
          <w:sz w:val="23"/>
          <w:szCs w:val="23"/>
          <w:rtl/>
          <w:lang w:bidi="fa-IR"/>
        </w:rPr>
      </w:pPr>
      <w:r w:rsidRPr="00A40DDC">
        <w:rPr>
          <w:position w:val="-10"/>
        </w:rPr>
        <w:object w:dxaOrig="1960" w:dyaOrig="340" w14:anchorId="72A171EC">
          <v:shape id="_x0000_i3495" type="#_x0000_t75" style="width:98pt;height:16.95pt" o:ole="">
            <v:imagedata r:id="rId4978" o:title=""/>
          </v:shape>
          <o:OLEObject Type="Embed" ProgID="Equation.DSMT4" ShapeID="_x0000_i3495" DrawAspect="Content" ObjectID="_1791377439" r:id="rId4979"/>
        </w:object>
      </w:r>
      <w:r w:rsidRPr="00A40DDC">
        <w:rPr>
          <w:rFonts w:ascii="Times New Roman" w:hAnsi="Times New Roman" w:cs="B Nazanin"/>
          <w:i/>
          <w:sz w:val="23"/>
          <w:szCs w:val="23"/>
          <w:rtl/>
          <w:lang w:bidi="fa-IR"/>
        </w:rPr>
        <w:tab/>
      </w:r>
      <w:r w:rsidRPr="00A40DDC">
        <w:rPr>
          <w:rFonts w:ascii="Times New Roman" w:hAnsi="Times New Roman" w:cs="B Nazanin"/>
          <w:i/>
          <w:sz w:val="23"/>
          <w:szCs w:val="23"/>
          <w:rtl/>
          <w:lang w:bidi="fa-IR"/>
        </w:rPr>
        <w:tab/>
      </w:r>
      <w:r w:rsidRPr="00A40DDC">
        <w:rPr>
          <w:rFonts w:ascii="Times New Roman" w:hAnsi="Times New Roman" w:cs="B Nazanin"/>
          <w:i/>
          <w:sz w:val="23"/>
          <w:szCs w:val="23"/>
          <w:rtl/>
          <w:lang w:bidi="fa-IR"/>
        </w:rPr>
        <w:tab/>
      </w:r>
      <w:r w:rsidRPr="00A40DDC">
        <w:rPr>
          <w:rFonts w:ascii="Times New Roman" w:hAnsi="Times New Roman" w:cs="B Nazanin"/>
          <w:i/>
          <w:sz w:val="23"/>
          <w:szCs w:val="23"/>
          <w:rtl/>
          <w:lang w:bidi="fa-IR"/>
        </w:rPr>
        <w:tab/>
      </w:r>
      <w:r w:rsidRPr="00A40DDC">
        <w:rPr>
          <w:rFonts w:ascii="Times New Roman" w:hAnsi="Times New Roman" w:cs="B Nazanin"/>
          <w:i/>
          <w:sz w:val="23"/>
          <w:szCs w:val="23"/>
          <w:rtl/>
          <w:lang w:bidi="fa-IR"/>
        </w:rPr>
        <w:tab/>
      </w:r>
      <w:r w:rsidRPr="00A40DDC">
        <w:rPr>
          <w:rFonts w:ascii="Times New Roman" w:hAnsi="Times New Roman" w:cs="B Nazanin"/>
          <w:i/>
          <w:sz w:val="23"/>
          <w:szCs w:val="23"/>
          <w:rtl/>
          <w:lang w:bidi="fa-IR"/>
        </w:rPr>
        <w:tab/>
      </w:r>
      <w:r>
        <w:rPr>
          <w:rFonts w:ascii="Times New Roman" w:hAnsi="Times New Roman" w:cs="B Nazanin"/>
          <w:i/>
          <w:sz w:val="23"/>
          <w:szCs w:val="23"/>
          <w:rtl/>
          <w:lang w:bidi="fa-IR"/>
        </w:rPr>
        <w:tab/>
      </w:r>
      <w:r w:rsidRPr="00A40DDC">
        <w:rPr>
          <w:rFonts w:ascii="Times New Roman" w:hAnsi="Times New Roman" w:cs="B Nazanin"/>
          <w:i/>
          <w:sz w:val="23"/>
          <w:szCs w:val="23"/>
          <w:rtl/>
          <w:lang w:bidi="fa-IR"/>
        </w:rPr>
        <w:tab/>
      </w:r>
      <w:r w:rsidRPr="00A40DDC">
        <w:rPr>
          <w:rFonts w:ascii="Times New Roman" w:hAnsi="Times New Roman" w:cs="B Nazanin"/>
          <w:i/>
          <w:sz w:val="23"/>
          <w:szCs w:val="23"/>
          <w:rtl/>
          <w:lang w:bidi="fa-IR"/>
        </w:rPr>
        <w:tab/>
      </w:r>
      <w:r w:rsidRPr="00A40DDC">
        <w:rPr>
          <w:rFonts w:ascii="Times New Roman" w:hAnsi="Times New Roman" w:cs="B Nazanin"/>
          <w:i/>
          <w:sz w:val="23"/>
          <w:szCs w:val="23"/>
          <w:rtl/>
          <w:lang w:bidi="fa-IR"/>
        </w:rPr>
        <w:tab/>
      </w:r>
      <w:r w:rsidRPr="00A40DDC">
        <w:rPr>
          <w:rFonts w:ascii="Times New Roman" w:hAnsi="Times New Roman" w:cs="B Nazanin"/>
          <w:i/>
          <w:sz w:val="23"/>
          <w:szCs w:val="23"/>
          <w:rtl/>
          <w:lang w:bidi="fa-IR"/>
        </w:rPr>
        <w:tab/>
      </w:r>
      <w:r w:rsidRPr="00A40DDC">
        <w:rPr>
          <w:rFonts w:ascii="Times New Roman" w:hAnsi="Times New Roman" w:cs="B Nazanin"/>
          <w:i/>
          <w:sz w:val="23"/>
          <w:szCs w:val="23"/>
          <w:rtl/>
          <w:lang w:bidi="fa-IR"/>
        </w:rPr>
        <w:tab/>
      </w:r>
      <w:r w:rsidRPr="00A40DDC">
        <w:rPr>
          <w:rFonts w:ascii="Times New Roman" w:hAnsi="Times New Roman" w:cs="B Nazanin" w:hint="cs"/>
          <w:i/>
          <w:sz w:val="23"/>
          <w:szCs w:val="23"/>
          <w:rtl/>
          <w:lang w:bidi="fa-IR"/>
        </w:rPr>
        <w:t>(۷. ۱)</w:t>
      </w:r>
    </w:p>
    <w:p w14:paraId="1226B369" w14:textId="77777777" w:rsidR="00411620" w:rsidRPr="00A40DDC" w:rsidRDefault="00411620" w:rsidP="00411620">
      <w:pPr>
        <w:pStyle w:val="MTDisplayEquation"/>
        <w:tabs>
          <w:tab w:val="clear" w:pos="6660"/>
          <w:tab w:val="right" w:pos="7110"/>
        </w:tabs>
        <w:bidi/>
        <w:spacing w:line="216" w:lineRule="auto"/>
        <w:rPr>
          <w:rFonts w:ascii="Times New Roman" w:hAnsi="Times New Roman" w:cs="B Nazanin"/>
          <w:i/>
          <w:sz w:val="23"/>
          <w:szCs w:val="23"/>
          <w:lang w:bidi="fa-IR"/>
        </w:rPr>
      </w:pPr>
      <w:r w:rsidRPr="00A40DDC">
        <w:rPr>
          <w:rFonts w:ascii="Times New Roman" w:eastAsiaTheme="minorEastAsia" w:hAnsi="Times New Roman" w:cs="B Nazanin" w:hint="cs"/>
          <w:i/>
          <w:sz w:val="23"/>
          <w:szCs w:val="23"/>
          <w:rtl/>
        </w:rPr>
        <w:t xml:space="preserve">که </w:t>
      </w:r>
      <w:r w:rsidRPr="00A40DDC">
        <w:rPr>
          <w:rFonts w:ascii="Times New Roman" w:eastAsiaTheme="minorEastAsia" w:hAnsi="Times New Roman" w:cs="B Nazanin" w:hint="cs"/>
          <w:i/>
          <w:sz w:val="23"/>
          <w:szCs w:val="23"/>
          <w:rtl/>
          <w:lang w:bidi="fa-IR"/>
        </w:rPr>
        <w:t>د</w:t>
      </w:r>
      <w:r w:rsidRPr="00A40DDC">
        <w:rPr>
          <w:rFonts w:ascii="Times New Roman" w:eastAsiaTheme="minorEastAsia" w:hAnsi="Times New Roman" w:cs="B Nazanin" w:hint="cs"/>
          <w:i/>
          <w:sz w:val="23"/>
          <w:szCs w:val="23"/>
          <w:rtl/>
        </w:rPr>
        <w:t>ر آن</w:t>
      </w:r>
      <w:r w:rsidRPr="00A40DDC">
        <w:rPr>
          <w:position w:val="-10"/>
        </w:rPr>
        <w:object w:dxaOrig="240" w:dyaOrig="320" w14:anchorId="369C6DC9">
          <v:shape id="_x0000_i3496" type="#_x0000_t75" style="width:11.5pt;height:15.75pt" o:ole="">
            <v:imagedata r:id="rId4980" o:title=""/>
          </v:shape>
          <o:OLEObject Type="Embed" ProgID="Equation.DSMT4" ShapeID="_x0000_i3496" DrawAspect="Content" ObjectID="_1791377440" r:id="rId4981"/>
        </w:object>
      </w:r>
      <w:r w:rsidRPr="00A40DDC">
        <w:rPr>
          <w:rFonts w:ascii="Times New Roman" w:hAnsi="Times New Roman" w:cs="B Nazanin"/>
          <w:i/>
          <w:sz w:val="23"/>
          <w:szCs w:val="23"/>
          <w:rtl/>
          <w:lang w:bidi="fa-IR"/>
        </w:rPr>
        <w:t xml:space="preserve"> صادرات </w:t>
      </w:r>
      <w:r w:rsidRPr="00A40DDC">
        <w:rPr>
          <w:rFonts w:ascii="Times New Roman" w:hAnsi="Times New Roman" w:cs="B Nazanin" w:hint="cs"/>
          <w:i/>
          <w:sz w:val="23"/>
          <w:szCs w:val="23"/>
          <w:rtl/>
          <w:lang w:bidi="fa-IR"/>
        </w:rPr>
        <w:t>کالاها و خدمات به قیمت حقیقی،</w:t>
      </w:r>
      <w:r w:rsidRPr="00A40DDC">
        <w:rPr>
          <w:position w:val="-10"/>
        </w:rPr>
        <w:object w:dxaOrig="300" w:dyaOrig="340" w14:anchorId="2A2C8606">
          <v:shape id="_x0000_i3497" type="#_x0000_t75" style="width:14.5pt;height:16.95pt" o:ole="">
            <v:imagedata r:id="rId4982" o:title=""/>
          </v:shape>
          <o:OLEObject Type="Embed" ProgID="Equation.DSMT4" ShapeID="_x0000_i3497" DrawAspect="Content" ObjectID="_1791377441" r:id="rId4983"/>
        </w:object>
      </w:r>
      <w:r w:rsidRPr="00A40DDC">
        <w:rPr>
          <w:rFonts w:ascii="Times New Roman" w:hAnsi="Times New Roman" w:cs="B Nazanin"/>
          <w:i/>
          <w:sz w:val="23"/>
          <w:szCs w:val="23"/>
          <w:vertAlign w:val="superscript"/>
          <w:rtl/>
          <w:lang w:bidi="fa-IR"/>
        </w:rPr>
        <w:t xml:space="preserve"> </w:t>
      </w:r>
      <w:r w:rsidRPr="00A40DDC">
        <w:rPr>
          <w:rFonts w:ascii="Times New Roman" w:hAnsi="Times New Roman" w:cs="B Nazanin"/>
          <w:i/>
          <w:sz w:val="23"/>
          <w:szCs w:val="23"/>
          <w:rtl/>
          <w:lang w:bidi="fa-IR"/>
        </w:rPr>
        <w:t xml:space="preserve">واردات </w:t>
      </w:r>
      <w:r w:rsidRPr="00A40DDC">
        <w:rPr>
          <w:rFonts w:ascii="Times New Roman" w:hAnsi="Times New Roman" w:cs="B Nazanin" w:hint="cs"/>
          <w:i/>
          <w:sz w:val="23"/>
          <w:szCs w:val="23"/>
          <w:rtl/>
          <w:lang w:bidi="fa-IR"/>
        </w:rPr>
        <w:t xml:space="preserve">کالاها و خدمات </w:t>
      </w:r>
      <w:r w:rsidRPr="00A40DDC">
        <w:rPr>
          <w:rFonts w:ascii="Times New Roman" w:hAnsi="Times New Roman" w:cs="B Nazanin"/>
          <w:i/>
          <w:sz w:val="23"/>
          <w:szCs w:val="23"/>
          <w:rtl/>
          <w:lang w:bidi="fa-IR"/>
        </w:rPr>
        <w:t xml:space="preserve">به قیمت حقیقی </w:t>
      </w:r>
    </w:p>
    <w:p w14:paraId="71BD739F" w14:textId="77777777" w:rsidR="00411620" w:rsidRPr="00A40DDC" w:rsidRDefault="00411620" w:rsidP="00411620">
      <w:pPr>
        <w:pStyle w:val="MTDisplayEquation"/>
        <w:tabs>
          <w:tab w:val="clear" w:pos="6660"/>
          <w:tab w:val="right" w:pos="7110"/>
        </w:tabs>
        <w:bidi/>
        <w:spacing w:line="216" w:lineRule="auto"/>
        <w:rPr>
          <w:rFonts w:ascii="Times New Roman" w:hAnsi="Times New Roman" w:cs="B Nazanin"/>
          <w:i/>
          <w:sz w:val="23"/>
          <w:szCs w:val="23"/>
          <w:rtl/>
          <w:lang w:bidi="fa-IR"/>
        </w:rPr>
      </w:pPr>
      <w:r w:rsidRPr="00A40DDC">
        <w:rPr>
          <w:rFonts w:ascii="Times New Roman" w:hAnsi="Times New Roman" w:cs="B Nazanin"/>
          <w:i/>
          <w:sz w:val="23"/>
          <w:szCs w:val="23"/>
          <w:rtl/>
          <w:lang w:bidi="fa-IR"/>
        </w:rPr>
        <w:t>خارجی</w:t>
      </w:r>
      <w:r w:rsidRPr="00A40DDC">
        <w:rPr>
          <w:rFonts w:ascii="Times New Roman" w:hAnsi="Times New Roman" w:cs="B Nazanin" w:hint="cs"/>
          <w:i/>
          <w:sz w:val="23"/>
          <w:szCs w:val="23"/>
          <w:rtl/>
          <w:lang w:bidi="fa-IR"/>
        </w:rPr>
        <w:t>،</w:t>
      </w:r>
      <w:r w:rsidRPr="00A40DDC">
        <w:rPr>
          <w:position w:val="-28"/>
        </w:rPr>
        <w:object w:dxaOrig="980" w:dyaOrig="660" w14:anchorId="091E4B08">
          <v:shape id="_x0000_i3498" type="#_x0000_t75" style="width:49pt;height:32.65pt" o:ole="">
            <v:imagedata r:id="rId4984" o:title=""/>
          </v:shape>
          <o:OLEObject Type="Embed" ProgID="Equation.DSMT4" ShapeID="_x0000_i3498" DrawAspect="Content" ObjectID="_1791377442" r:id="rId4985"/>
        </w:object>
      </w:r>
      <w:r w:rsidRPr="00A40DDC">
        <w:rPr>
          <w:rFonts w:ascii="Times New Roman" w:hAnsi="Times New Roman" w:cs="B Nazanin"/>
          <w:i/>
          <w:sz w:val="23"/>
          <w:szCs w:val="23"/>
          <w:vertAlign w:val="subscript"/>
          <w:rtl/>
          <w:lang w:bidi="fa-IR"/>
        </w:rPr>
        <w:t xml:space="preserve"> </w:t>
      </w:r>
      <w:r w:rsidRPr="00A40DDC">
        <w:rPr>
          <w:rFonts w:ascii="Times New Roman" w:hAnsi="Times New Roman" w:cs="B Nazanin"/>
          <w:i/>
          <w:sz w:val="23"/>
          <w:szCs w:val="23"/>
          <w:rtl/>
          <w:lang w:bidi="fa-IR"/>
        </w:rPr>
        <w:t>یا</w:t>
      </w:r>
      <w:r w:rsidRPr="00A40DDC">
        <w:rPr>
          <w:rFonts w:ascii="Times New Roman" w:hAnsi="Times New Roman" w:cs="B Nazanin" w:hint="cs"/>
          <w:i/>
          <w:sz w:val="23"/>
          <w:szCs w:val="23"/>
          <w:rtl/>
          <w:lang w:bidi="fa-IR"/>
        </w:rPr>
        <w:t xml:space="preserve"> </w:t>
      </w:r>
      <w:r w:rsidRPr="00A40DDC">
        <w:rPr>
          <w:rFonts w:ascii="Times New Roman" w:hAnsi="Times New Roman" w:cs="B Nazanin"/>
          <w:i/>
          <w:sz w:val="23"/>
          <w:szCs w:val="23"/>
          <w:lang w:bidi="fa-IR"/>
        </w:rPr>
        <w:t xml:space="preserve">TOT </w:t>
      </w:r>
      <w:r w:rsidRPr="00A40DDC">
        <w:rPr>
          <w:rFonts w:ascii="Times New Roman" w:hAnsi="Times New Roman" w:cs="B Nazanin" w:hint="cs"/>
          <w:i/>
          <w:sz w:val="23"/>
          <w:szCs w:val="23"/>
          <w:rtl/>
          <w:lang w:bidi="fa-IR"/>
        </w:rPr>
        <w:t xml:space="preserve"> نسبت </w:t>
      </w:r>
      <w:r w:rsidRPr="00A40DDC">
        <w:rPr>
          <w:rFonts w:ascii="Times New Roman" w:hAnsi="Times New Roman" w:cs="B Nazanin"/>
          <w:i/>
          <w:sz w:val="23"/>
          <w:szCs w:val="23"/>
          <w:rtl/>
          <w:lang w:bidi="fa-IR"/>
        </w:rPr>
        <w:t xml:space="preserve">قیمت </w:t>
      </w:r>
      <w:r w:rsidRPr="00A40DDC">
        <w:rPr>
          <w:rFonts w:ascii="Times New Roman" w:hAnsi="Times New Roman" w:cs="B Nazanin" w:hint="cs"/>
          <w:i/>
          <w:sz w:val="23"/>
          <w:szCs w:val="23"/>
          <w:rtl/>
          <w:lang w:bidi="fa-IR"/>
        </w:rPr>
        <w:t xml:space="preserve">کالاها و خدمات </w:t>
      </w:r>
      <w:r w:rsidRPr="00A40DDC">
        <w:rPr>
          <w:rFonts w:ascii="Times New Roman" w:hAnsi="Times New Roman" w:cs="B Nazanin"/>
          <w:i/>
          <w:sz w:val="23"/>
          <w:szCs w:val="23"/>
          <w:rtl/>
          <w:lang w:bidi="fa-IR"/>
        </w:rPr>
        <w:t>واردات</w:t>
      </w:r>
      <w:r w:rsidRPr="00A40DDC">
        <w:rPr>
          <w:rFonts w:ascii="Times New Roman" w:hAnsi="Times New Roman" w:cs="B Nazanin" w:hint="cs"/>
          <w:i/>
          <w:sz w:val="23"/>
          <w:szCs w:val="23"/>
          <w:rtl/>
          <w:lang w:bidi="fa-IR"/>
        </w:rPr>
        <w:t>ی</w:t>
      </w:r>
      <w:r w:rsidRPr="00A40DDC">
        <w:rPr>
          <w:rFonts w:ascii="Times New Roman" w:hAnsi="Times New Roman" w:cs="B Nazanin"/>
          <w:i/>
          <w:sz w:val="23"/>
          <w:szCs w:val="23"/>
          <w:rtl/>
          <w:lang w:bidi="fa-IR"/>
        </w:rPr>
        <w:t xml:space="preserve"> به صادرات</w:t>
      </w:r>
      <w:r w:rsidRPr="00A40DDC">
        <w:rPr>
          <w:rFonts w:ascii="Times New Roman" w:hAnsi="Times New Roman" w:cs="B Nazanin" w:hint="cs"/>
          <w:i/>
          <w:sz w:val="23"/>
          <w:szCs w:val="23"/>
          <w:rtl/>
          <w:lang w:bidi="fa-IR"/>
        </w:rPr>
        <w:t>ی</w:t>
      </w:r>
      <w:r w:rsidRPr="00A40DDC">
        <w:rPr>
          <w:rFonts w:ascii="Times New Roman" w:hAnsi="Times New Roman" w:cs="B Nazanin"/>
          <w:i/>
          <w:sz w:val="23"/>
          <w:szCs w:val="23"/>
          <w:rtl/>
          <w:lang w:bidi="fa-IR"/>
        </w:rPr>
        <w:t xml:space="preserve"> بر حسب پول داخلی </w:t>
      </w:r>
      <w:r w:rsidRPr="00A40DDC">
        <w:rPr>
          <w:rFonts w:ascii="Times New Roman" w:hAnsi="Times New Roman" w:cs="B Nazanin" w:hint="cs"/>
          <w:i/>
          <w:sz w:val="23"/>
          <w:szCs w:val="23"/>
          <w:rtl/>
          <w:lang w:bidi="fa-IR"/>
        </w:rPr>
        <w:t>است</w:t>
      </w:r>
      <w:r w:rsidRPr="00A40DDC">
        <w:rPr>
          <w:rFonts w:ascii="Times New Roman" w:hAnsi="Times New Roman" w:cs="B Nazanin" w:hint="cs"/>
          <w:i/>
          <w:sz w:val="23"/>
          <w:szCs w:val="23"/>
          <w:rtl/>
        </w:rPr>
        <w:t xml:space="preserve"> </w:t>
      </w:r>
      <w:r w:rsidRPr="00A40DDC">
        <w:rPr>
          <w:rFonts w:ascii="Times New Roman" w:hAnsi="Times New Roman" w:cs="B Nazanin" w:hint="cs"/>
          <w:i/>
          <w:sz w:val="23"/>
          <w:szCs w:val="23"/>
          <w:rtl/>
          <w:lang w:bidi="fa-IR"/>
        </w:rPr>
        <w:t>که</w:t>
      </w:r>
      <w:r w:rsidRPr="00A40DDC">
        <w:rPr>
          <w:rFonts w:ascii="Times New Roman" w:hAnsi="Times New Roman" w:cs="B Nazanin"/>
          <w:i/>
          <w:sz w:val="23"/>
          <w:szCs w:val="23"/>
          <w:rtl/>
          <w:lang w:bidi="fa-IR"/>
        </w:rPr>
        <w:t xml:space="preserve"> </w:t>
      </w:r>
      <w:r w:rsidRPr="00A40DDC">
        <w:rPr>
          <w:rFonts w:ascii="Times New Roman" w:hAnsi="Times New Roman" w:cs="B Nazanin" w:hint="cs"/>
          <w:i/>
          <w:sz w:val="23"/>
          <w:szCs w:val="23"/>
          <w:rtl/>
          <w:lang w:bidi="fa-IR"/>
        </w:rPr>
        <w:t>آن</w:t>
      </w:r>
      <w:r w:rsidRPr="00A40DDC">
        <w:rPr>
          <w:rFonts w:ascii="Times New Roman" w:hAnsi="Times New Roman" w:cs="B Nazanin"/>
          <w:i/>
          <w:sz w:val="23"/>
          <w:szCs w:val="23"/>
          <w:rtl/>
          <w:lang w:bidi="fa-IR"/>
        </w:rPr>
        <w:softHyphen/>
      </w:r>
      <w:r w:rsidRPr="00A40DDC">
        <w:rPr>
          <w:rFonts w:ascii="Times New Roman" w:hAnsi="Times New Roman" w:cs="B Nazanin" w:hint="cs"/>
          <w:i/>
          <w:sz w:val="23"/>
          <w:szCs w:val="23"/>
          <w:rtl/>
          <w:lang w:bidi="fa-IR"/>
        </w:rPr>
        <w:t xml:space="preserve">را </w:t>
      </w:r>
      <w:r w:rsidRPr="00A40DDC">
        <w:rPr>
          <w:rFonts w:ascii="Times New Roman" w:hAnsi="Times New Roman" w:cs="B Nazanin"/>
          <w:i/>
          <w:sz w:val="23"/>
          <w:szCs w:val="23"/>
          <w:rtl/>
          <w:lang w:bidi="fa-IR"/>
        </w:rPr>
        <w:t>نرخ ارز حقیقی</w:t>
      </w:r>
      <w:r w:rsidRPr="00A40DDC">
        <w:rPr>
          <w:rFonts w:ascii="Times New Roman" w:hAnsi="Times New Roman" w:cs="B Nazanin" w:hint="cs"/>
          <w:i/>
          <w:sz w:val="23"/>
          <w:szCs w:val="23"/>
          <w:rtl/>
          <w:lang w:bidi="fa-IR"/>
        </w:rPr>
        <w:t xml:space="preserve"> نامند</w:t>
      </w:r>
      <w:r w:rsidRPr="00A40DDC">
        <w:rPr>
          <w:rFonts w:ascii="Times New Roman" w:eastAsiaTheme="minorEastAsia" w:hAnsi="Times New Roman" w:cs="B Nazanin" w:hint="cs"/>
          <w:i/>
          <w:sz w:val="23"/>
          <w:szCs w:val="23"/>
          <w:rtl/>
          <w:lang w:bidi="fa-IR"/>
        </w:rPr>
        <w:t xml:space="preserve">. در این رابطه </w:t>
      </w:r>
      <w:r w:rsidRPr="00A40DDC">
        <w:rPr>
          <w:position w:val="-10"/>
        </w:rPr>
        <w:object w:dxaOrig="260" w:dyaOrig="320" w14:anchorId="6A3123E2">
          <v:shape id="_x0000_i3499" type="#_x0000_t75" style="width:13.3pt;height:15.75pt" o:ole="">
            <v:imagedata r:id="rId4986" o:title=""/>
          </v:shape>
          <o:OLEObject Type="Embed" ProgID="Equation.DSMT4" ShapeID="_x0000_i3499" DrawAspect="Content" ObjectID="_1791377443" r:id="rId4987"/>
        </w:object>
      </w:r>
      <w:r w:rsidRPr="00A40DDC">
        <w:rPr>
          <w:rFonts w:ascii="Times New Roman" w:eastAsiaTheme="minorEastAsia" w:hAnsi="Times New Roman" w:cs="B Nazanin"/>
          <w:i/>
          <w:sz w:val="23"/>
          <w:szCs w:val="23"/>
          <w:rtl/>
          <w:lang w:bidi="fa-IR"/>
        </w:rPr>
        <w:t xml:space="preserve"> نرخ ارز</w:t>
      </w:r>
      <w:r w:rsidRPr="00A40DDC">
        <w:rPr>
          <w:rFonts w:ascii="Times New Roman" w:eastAsiaTheme="minorEastAsia" w:hAnsi="Times New Roman" w:cs="B Nazanin"/>
          <w:i/>
          <w:sz w:val="23"/>
          <w:szCs w:val="23"/>
          <w:vertAlign w:val="subscript"/>
          <w:rtl/>
          <w:lang w:bidi="fa-IR"/>
        </w:rPr>
        <w:t xml:space="preserve"> </w:t>
      </w:r>
      <w:r w:rsidRPr="00A40DDC">
        <w:rPr>
          <w:rFonts w:ascii="Times New Roman" w:eastAsiaTheme="minorEastAsia" w:hAnsi="Times New Roman" w:cs="B Nazanin"/>
          <w:i/>
          <w:sz w:val="23"/>
          <w:szCs w:val="23"/>
          <w:rtl/>
          <w:lang w:bidi="fa-IR"/>
        </w:rPr>
        <w:t xml:space="preserve">اسمی </w:t>
      </w:r>
      <w:r w:rsidRPr="00A40DDC">
        <w:rPr>
          <w:rFonts w:ascii="Times New Roman" w:eastAsiaTheme="minorEastAsia" w:hAnsi="Times New Roman" w:cs="B Nazanin" w:hint="cs"/>
          <w:i/>
          <w:sz w:val="23"/>
          <w:szCs w:val="23"/>
          <w:rtl/>
          <w:lang w:bidi="fa-IR"/>
        </w:rPr>
        <w:t xml:space="preserve">برحسب پول داخلی مثلاً </w:t>
      </w:r>
      <w:r w:rsidRPr="00A40DDC">
        <w:rPr>
          <w:rFonts w:ascii="Times New Roman" w:eastAsiaTheme="minorEastAsia" w:hAnsi="Times New Roman" w:cs="B Nazanin"/>
          <w:i/>
          <w:sz w:val="23"/>
          <w:szCs w:val="23"/>
          <w:rtl/>
          <w:lang w:bidi="fa-IR"/>
        </w:rPr>
        <w:t>یک دلار</w:t>
      </w:r>
      <w:r w:rsidRPr="00A40DDC">
        <w:rPr>
          <w:rFonts w:ascii="Times New Roman" w:eastAsiaTheme="minorEastAsia" w:hAnsi="Times New Roman" w:cs="B Nazanin" w:hint="cs"/>
          <w:i/>
          <w:sz w:val="23"/>
          <w:szCs w:val="23"/>
          <w:rtl/>
          <w:lang w:bidi="fa-IR"/>
        </w:rPr>
        <w:t xml:space="preserve"> ۱۲۰۰۰ </w:t>
      </w:r>
      <w:r w:rsidRPr="00A40DDC">
        <w:rPr>
          <w:rFonts w:ascii="Times New Roman" w:eastAsiaTheme="minorEastAsia" w:hAnsi="Times New Roman" w:cs="B Nazanin"/>
          <w:i/>
          <w:sz w:val="23"/>
          <w:szCs w:val="23"/>
          <w:rtl/>
          <w:lang w:bidi="fa-IR"/>
        </w:rPr>
        <w:t>تومان</w:t>
      </w:r>
      <w:r w:rsidRPr="00A40DDC">
        <w:rPr>
          <w:rFonts w:ascii="Times New Roman" w:eastAsiaTheme="minorEastAsia" w:hAnsi="Times New Roman" w:cs="B Nazanin" w:hint="cs"/>
          <w:i/>
          <w:sz w:val="23"/>
          <w:szCs w:val="23"/>
          <w:rtl/>
          <w:lang w:bidi="fa-IR"/>
        </w:rPr>
        <w:t>،</w:t>
      </w:r>
      <w:r w:rsidRPr="00A40DDC">
        <w:rPr>
          <w:position w:val="-10"/>
        </w:rPr>
        <w:object w:dxaOrig="300" w:dyaOrig="340" w14:anchorId="7A3A74DB">
          <v:shape id="_x0000_i3500" type="#_x0000_t75" style="width:14.5pt;height:16.95pt" o:ole="">
            <v:imagedata r:id="rId4988" o:title=""/>
          </v:shape>
          <o:OLEObject Type="Embed" ProgID="Equation.DSMT4" ShapeID="_x0000_i3500" DrawAspect="Content" ObjectID="_1791377444" r:id="rId4989"/>
        </w:object>
      </w:r>
      <w:r w:rsidRPr="00A40DDC">
        <w:rPr>
          <w:rFonts w:ascii="Times New Roman" w:eastAsiaTheme="minorEastAsia" w:hAnsi="Times New Roman" w:cs="B Nazanin" w:hint="cs"/>
          <w:i/>
          <w:sz w:val="23"/>
          <w:szCs w:val="23"/>
          <w:rtl/>
          <w:lang w:bidi="fa-IR"/>
        </w:rPr>
        <w:t xml:space="preserve"> شاخص قیمت تولیدکننده</w:t>
      </w:r>
      <w:r w:rsidRPr="00A40DDC">
        <w:rPr>
          <w:rFonts w:ascii="Times New Roman" w:eastAsiaTheme="minorEastAsia" w:hAnsi="Times New Roman" w:cs="B Nazanin"/>
          <w:i/>
          <w:sz w:val="23"/>
          <w:szCs w:val="23"/>
          <w:rtl/>
          <w:lang w:bidi="fa-IR"/>
        </w:rPr>
        <w:softHyphen/>
      </w:r>
      <w:r w:rsidRPr="00A40DDC">
        <w:rPr>
          <w:rFonts w:ascii="Times New Roman" w:eastAsiaTheme="minorEastAsia" w:hAnsi="Times New Roman" w:cs="B Nazanin" w:hint="cs"/>
          <w:i/>
          <w:sz w:val="23"/>
          <w:szCs w:val="23"/>
          <w:rtl/>
          <w:lang w:bidi="fa-IR"/>
        </w:rPr>
        <w:t>ی</w:t>
      </w:r>
      <w:r w:rsidRPr="00A40DDC">
        <w:rPr>
          <w:rFonts w:ascii="Times New Roman" w:eastAsiaTheme="minorEastAsia" w:hAnsi="Times New Roman" w:cs="B Nazanin"/>
          <w:i/>
          <w:sz w:val="23"/>
          <w:szCs w:val="23"/>
          <w:lang w:bidi="fa-IR"/>
        </w:rPr>
        <w:t xml:space="preserve"> </w:t>
      </w:r>
      <w:r w:rsidRPr="00A40DDC">
        <w:rPr>
          <w:rFonts w:ascii="Times New Roman" w:eastAsiaTheme="minorEastAsia" w:hAnsi="Times New Roman" w:cs="B Nazanin"/>
          <w:i/>
          <w:sz w:val="23"/>
          <w:szCs w:val="23"/>
          <w:rtl/>
          <w:lang w:bidi="fa-IR"/>
        </w:rPr>
        <w:t>خارجی</w:t>
      </w:r>
      <w:r w:rsidRPr="00A40DDC">
        <w:rPr>
          <w:rFonts w:ascii="Times New Roman" w:eastAsiaTheme="minorEastAsia" w:hAnsi="Times New Roman" w:cs="B Nazanin" w:hint="cs"/>
          <w:i/>
          <w:sz w:val="23"/>
          <w:szCs w:val="23"/>
          <w:rtl/>
          <w:lang w:bidi="fa-IR"/>
        </w:rPr>
        <w:t xml:space="preserve"> و</w:t>
      </w:r>
      <w:r w:rsidRPr="00A40DDC">
        <w:rPr>
          <w:position w:val="-10"/>
        </w:rPr>
        <w:object w:dxaOrig="240" w:dyaOrig="320" w14:anchorId="2FA1FB02">
          <v:shape id="_x0000_i3501" type="#_x0000_t75" style="width:11.5pt;height:15.75pt" o:ole="">
            <v:imagedata r:id="rId4990" o:title=""/>
          </v:shape>
          <o:OLEObject Type="Embed" ProgID="Equation.DSMT4" ShapeID="_x0000_i3501" DrawAspect="Content" ObjectID="_1791377445" r:id="rId4991"/>
        </w:object>
      </w:r>
      <w:r w:rsidRPr="00A40DDC">
        <w:rPr>
          <w:rFonts w:ascii="Times New Roman" w:eastAsiaTheme="minorEastAsia" w:hAnsi="Times New Roman" w:cs="B Nazanin"/>
          <w:i/>
          <w:sz w:val="23"/>
          <w:szCs w:val="23"/>
          <w:rtl/>
          <w:lang w:bidi="fa-IR"/>
        </w:rPr>
        <w:t xml:space="preserve"> </w:t>
      </w:r>
      <w:r w:rsidRPr="00A40DDC">
        <w:rPr>
          <w:rFonts w:ascii="Times New Roman" w:eastAsiaTheme="minorEastAsia" w:hAnsi="Times New Roman" w:cs="B Nazanin" w:hint="cs"/>
          <w:i/>
          <w:sz w:val="23"/>
          <w:szCs w:val="23"/>
          <w:rtl/>
          <w:lang w:bidi="fa-IR"/>
        </w:rPr>
        <w:t>شاخص قیمت تولیدکننده</w:t>
      </w:r>
      <w:r w:rsidRPr="00A40DDC">
        <w:rPr>
          <w:rFonts w:ascii="Times New Roman" w:eastAsiaTheme="minorEastAsia" w:hAnsi="Times New Roman" w:cs="B Nazanin"/>
          <w:i/>
          <w:sz w:val="23"/>
          <w:szCs w:val="23"/>
          <w:rtl/>
          <w:lang w:bidi="fa-IR"/>
        </w:rPr>
        <w:softHyphen/>
      </w:r>
      <w:r w:rsidRPr="00A40DDC">
        <w:rPr>
          <w:rFonts w:ascii="Times New Roman" w:eastAsiaTheme="minorEastAsia" w:hAnsi="Times New Roman" w:cs="B Nazanin" w:hint="cs"/>
          <w:i/>
          <w:sz w:val="23"/>
          <w:szCs w:val="23"/>
          <w:rtl/>
          <w:lang w:bidi="fa-IR"/>
        </w:rPr>
        <w:t>ی</w:t>
      </w:r>
      <w:r w:rsidRPr="00A40DDC">
        <w:rPr>
          <w:rFonts w:ascii="Times New Roman" w:eastAsiaTheme="minorEastAsia" w:hAnsi="Times New Roman" w:cs="B Nazanin"/>
          <w:i/>
          <w:sz w:val="23"/>
          <w:szCs w:val="23"/>
          <w:lang w:bidi="fa-IR"/>
        </w:rPr>
        <w:t xml:space="preserve"> </w:t>
      </w:r>
      <w:r w:rsidRPr="00A40DDC">
        <w:rPr>
          <w:rFonts w:ascii="Times New Roman" w:eastAsiaTheme="minorEastAsia" w:hAnsi="Times New Roman" w:cs="B Nazanin"/>
          <w:i/>
          <w:sz w:val="23"/>
          <w:szCs w:val="23"/>
          <w:rtl/>
          <w:lang w:bidi="fa-IR"/>
        </w:rPr>
        <w:t xml:space="preserve">داخلی </w:t>
      </w:r>
      <w:r w:rsidRPr="00A40DDC">
        <w:rPr>
          <w:rFonts w:ascii="Times New Roman" w:eastAsiaTheme="minorEastAsia" w:hAnsi="Times New Roman" w:cs="B Nazanin" w:hint="cs"/>
          <w:i/>
          <w:sz w:val="23"/>
          <w:szCs w:val="23"/>
          <w:rtl/>
          <w:lang w:bidi="fa-IR"/>
        </w:rPr>
        <w:t>است. همچنین</w:t>
      </w:r>
      <w:r w:rsidRPr="00A40DDC">
        <w:rPr>
          <w:position w:val="-10"/>
        </w:rPr>
        <w:object w:dxaOrig="520" w:dyaOrig="340" w14:anchorId="74274288">
          <v:shape id="_x0000_i3502" type="#_x0000_t75" style="width:26pt;height:16.95pt" o:ole="">
            <v:imagedata r:id="rId4992" o:title=""/>
          </v:shape>
          <o:OLEObject Type="Embed" ProgID="Equation.DSMT4" ShapeID="_x0000_i3502" DrawAspect="Content" ObjectID="_1791377446" r:id="rId4993"/>
        </w:object>
      </w:r>
      <w:r w:rsidRPr="00A40DDC">
        <w:rPr>
          <w:rFonts w:ascii="Times New Roman" w:eastAsiaTheme="minorEastAsia" w:hAnsi="Times New Roman" w:cs="B Nazanin"/>
          <w:i/>
          <w:sz w:val="23"/>
          <w:szCs w:val="23"/>
          <w:vertAlign w:val="superscript"/>
          <w:rtl/>
          <w:lang w:bidi="fa-IR"/>
        </w:rPr>
        <w:t xml:space="preserve"> </w:t>
      </w:r>
      <w:r w:rsidRPr="00A40DDC">
        <w:rPr>
          <w:rFonts w:ascii="Times New Roman" w:eastAsiaTheme="minorEastAsia" w:hAnsi="Times New Roman" w:cs="B Nazanin"/>
          <w:i/>
          <w:sz w:val="23"/>
          <w:szCs w:val="23"/>
          <w:rtl/>
          <w:lang w:bidi="fa-IR"/>
        </w:rPr>
        <w:t>واردات بر حسب قیمت</w:t>
      </w:r>
      <w:r w:rsidRPr="00A40DDC">
        <w:rPr>
          <w:rFonts w:ascii="Times New Roman" w:eastAsiaTheme="minorEastAsia" w:hAnsi="Times New Roman" w:cs="B Nazanin"/>
          <w:i/>
          <w:sz w:val="23"/>
          <w:szCs w:val="23"/>
          <w:rtl/>
          <w:lang w:bidi="fa-IR"/>
        </w:rPr>
        <w:softHyphen/>
        <w:t>های داخلی</w:t>
      </w:r>
      <w:r w:rsidRPr="00A40DDC">
        <w:rPr>
          <w:rFonts w:ascii="Times New Roman" w:eastAsiaTheme="minorEastAsia" w:hAnsi="Times New Roman" w:cs="B Nazanin" w:hint="cs"/>
          <w:i/>
          <w:sz w:val="23"/>
          <w:szCs w:val="23"/>
          <w:rtl/>
          <w:lang w:bidi="fa-IR"/>
        </w:rPr>
        <w:t xml:space="preserve"> و </w:t>
      </w:r>
      <w:r w:rsidRPr="00A40DDC">
        <w:rPr>
          <w:position w:val="-10"/>
        </w:rPr>
        <w:object w:dxaOrig="880" w:dyaOrig="340" w14:anchorId="21304E33">
          <v:shape id="_x0000_i3503" type="#_x0000_t75" style="width:44.15pt;height:16.95pt" o:ole="">
            <v:imagedata r:id="rId4994" o:title=""/>
          </v:shape>
          <o:OLEObject Type="Embed" ProgID="Equation.DSMT4" ShapeID="_x0000_i3503" DrawAspect="Content" ObjectID="_1791377447" r:id="rId4995"/>
        </w:object>
      </w:r>
      <w:r w:rsidRPr="00A40DDC">
        <w:rPr>
          <w:rFonts w:ascii="Times New Roman" w:eastAsiaTheme="minorEastAsia" w:hAnsi="Times New Roman" w:cs="B Nazanin"/>
          <w:i/>
          <w:sz w:val="23"/>
          <w:szCs w:val="23"/>
          <w:rtl/>
          <w:lang w:bidi="fa-IR"/>
        </w:rPr>
        <w:t xml:space="preserve"> خالص صادرات به قیمت حقیقی است.</w:t>
      </w:r>
      <w:r w:rsidRPr="00A40DDC">
        <w:rPr>
          <w:rFonts w:ascii="Times New Roman" w:eastAsiaTheme="minorEastAsia" w:hAnsi="Times New Roman" w:cs="B Nazanin" w:hint="cs"/>
          <w:i/>
          <w:sz w:val="23"/>
          <w:szCs w:val="23"/>
          <w:rtl/>
          <w:lang w:bidi="fa-IR"/>
        </w:rPr>
        <w:t xml:space="preserve"> ف</w:t>
      </w:r>
      <w:r w:rsidRPr="00A40DDC">
        <w:rPr>
          <w:rFonts w:ascii="Times New Roman" w:eastAsiaTheme="minorEastAsia" w:hAnsi="Times New Roman" w:cs="B Nazanin"/>
          <w:i/>
          <w:sz w:val="23"/>
          <w:szCs w:val="23"/>
          <w:rtl/>
          <w:lang w:bidi="fa-IR"/>
        </w:rPr>
        <w:t>رض می</w:t>
      </w:r>
      <w:r w:rsidRPr="00A40DDC">
        <w:rPr>
          <w:rFonts w:ascii="Times New Roman" w:eastAsiaTheme="minorEastAsia" w:hAnsi="Times New Roman" w:cs="B Nazanin"/>
          <w:i/>
          <w:sz w:val="23"/>
          <w:szCs w:val="23"/>
          <w:rtl/>
          <w:lang w:bidi="fa-IR"/>
        </w:rPr>
        <w:softHyphen/>
      </w:r>
      <w:r w:rsidRPr="00A40DDC">
        <w:rPr>
          <w:rFonts w:ascii="Times New Roman" w:eastAsiaTheme="minorEastAsia" w:hAnsi="Times New Roman" w:cs="B Nazanin" w:hint="cs"/>
          <w:i/>
          <w:sz w:val="23"/>
          <w:szCs w:val="23"/>
          <w:rtl/>
          <w:lang w:bidi="fa-IR"/>
        </w:rPr>
        <w:t xml:space="preserve">شود </w:t>
      </w:r>
      <w:r w:rsidRPr="00A40DDC">
        <w:rPr>
          <w:rFonts w:ascii="Times New Roman" w:hAnsi="Times New Roman" w:cs="B Nazanin"/>
          <w:i/>
          <w:sz w:val="23"/>
          <w:szCs w:val="23"/>
          <w:rtl/>
          <w:lang w:bidi="fa-IR"/>
        </w:rPr>
        <w:t>نرخ ارز حقیقی</w:t>
      </w:r>
      <w:r w:rsidRPr="00A40DDC">
        <w:rPr>
          <w:position w:val="-10"/>
        </w:rPr>
        <w:object w:dxaOrig="260" w:dyaOrig="320" w14:anchorId="5534B87E">
          <v:shape id="_x0000_i3504" type="#_x0000_t75" style="width:13.3pt;height:15.75pt" o:ole="">
            <v:imagedata r:id="rId4996" o:title=""/>
          </v:shape>
          <o:OLEObject Type="Embed" ProgID="Equation.DSMT4" ShapeID="_x0000_i3504" DrawAspect="Content" ObjectID="_1791377448" r:id="rId4997"/>
        </w:object>
      </w:r>
      <w:r w:rsidRPr="00A40DDC">
        <w:rPr>
          <w:rFonts w:ascii="Times New Roman" w:eastAsiaTheme="minorEastAsia" w:hAnsi="Times New Roman" w:cs="B Nazanin"/>
          <w:i/>
          <w:sz w:val="23"/>
          <w:szCs w:val="23"/>
          <w:vertAlign w:val="subscript"/>
          <w:rtl/>
          <w:lang w:bidi="fa-IR"/>
        </w:rPr>
        <w:t xml:space="preserve"> </w:t>
      </w:r>
      <w:r w:rsidRPr="00A40DDC">
        <w:rPr>
          <w:rFonts w:ascii="Times New Roman" w:eastAsiaTheme="minorEastAsia" w:hAnsi="Times New Roman" w:cs="B Nazanin"/>
          <w:i/>
          <w:sz w:val="23"/>
          <w:szCs w:val="23"/>
          <w:rtl/>
          <w:lang w:bidi="fa-IR"/>
        </w:rPr>
        <w:t>برون</w:t>
      </w:r>
      <w:r w:rsidRPr="00A40DDC">
        <w:rPr>
          <w:rFonts w:ascii="Times New Roman" w:eastAsiaTheme="minorEastAsia" w:hAnsi="Times New Roman" w:cs="B Nazanin"/>
          <w:i/>
          <w:sz w:val="23"/>
          <w:szCs w:val="23"/>
          <w:rtl/>
          <w:lang w:bidi="fa-IR"/>
        </w:rPr>
        <w:softHyphen/>
        <w:t>زاست.</w:t>
      </w:r>
      <w:r w:rsidRPr="00A40DDC">
        <w:rPr>
          <w:rFonts w:ascii="Times New Roman" w:eastAsiaTheme="minorEastAsia" w:hAnsi="Times New Roman" w:cs="B Nazanin" w:hint="cs"/>
          <w:i/>
          <w:sz w:val="23"/>
          <w:szCs w:val="23"/>
          <w:rtl/>
          <w:lang w:bidi="fa-IR"/>
        </w:rPr>
        <w:t xml:space="preserve"> از آن</w:t>
      </w:r>
      <w:r w:rsidRPr="00A40DDC">
        <w:rPr>
          <w:rFonts w:ascii="Times New Roman" w:eastAsiaTheme="minorEastAsia" w:hAnsi="Times New Roman" w:cs="B Nazanin"/>
          <w:i/>
          <w:sz w:val="23"/>
          <w:szCs w:val="23"/>
          <w:rtl/>
          <w:lang w:bidi="fa-IR"/>
        </w:rPr>
        <w:softHyphen/>
      </w:r>
      <w:r w:rsidRPr="00A40DDC">
        <w:rPr>
          <w:rFonts w:ascii="Times New Roman" w:eastAsiaTheme="minorEastAsia" w:hAnsi="Times New Roman" w:cs="B Nazanin" w:hint="cs"/>
          <w:i/>
          <w:sz w:val="23"/>
          <w:szCs w:val="23"/>
          <w:rtl/>
          <w:lang w:bidi="fa-IR"/>
        </w:rPr>
        <w:t>جا که</w:t>
      </w:r>
      <w:r w:rsidRPr="00A40DDC">
        <w:rPr>
          <w:position w:val="-10"/>
        </w:rPr>
        <w:object w:dxaOrig="200" w:dyaOrig="320" w14:anchorId="62969BED">
          <v:shape id="_x0000_i3505" type="#_x0000_t75" style="width:10.3pt;height:15.75pt" o:ole="">
            <v:imagedata r:id="rId4998" o:title=""/>
          </v:shape>
          <o:OLEObject Type="Embed" ProgID="Equation.DSMT4" ShapeID="_x0000_i3505" DrawAspect="Content" ObjectID="_1791377449" r:id="rId4999"/>
        </w:object>
      </w:r>
      <w:r w:rsidRPr="00A40DDC">
        <w:rPr>
          <w:rFonts w:ascii="Times New Roman" w:eastAsiaTheme="minorEastAsia" w:hAnsi="Times New Roman" w:cs="B Nazanin"/>
          <w:i/>
          <w:sz w:val="23"/>
          <w:szCs w:val="23"/>
          <w:vertAlign w:val="subscript"/>
          <w:lang w:bidi="fa-IR"/>
        </w:rPr>
        <w:t xml:space="preserve"> </w:t>
      </w:r>
      <w:r w:rsidRPr="00A40DDC">
        <w:rPr>
          <w:rFonts w:ascii="Times New Roman" w:eastAsiaTheme="minorEastAsia" w:hAnsi="Times New Roman" w:cs="B Nazanin"/>
          <w:i/>
          <w:sz w:val="23"/>
          <w:szCs w:val="23"/>
          <w:rtl/>
          <w:lang w:bidi="fa-IR"/>
        </w:rPr>
        <w:t>و</w:t>
      </w:r>
      <w:r w:rsidRPr="00A40DDC">
        <w:rPr>
          <w:position w:val="-10"/>
        </w:rPr>
        <w:object w:dxaOrig="180" w:dyaOrig="320" w14:anchorId="46E8D15A">
          <v:shape id="_x0000_i3506" type="#_x0000_t75" style="width:9.1pt;height:15.75pt" o:ole="">
            <v:imagedata r:id="rId5000" o:title=""/>
          </v:shape>
          <o:OLEObject Type="Embed" ProgID="Equation.DSMT4" ShapeID="_x0000_i3506" DrawAspect="Content" ObjectID="_1791377450" r:id="rId5001"/>
        </w:object>
      </w:r>
      <w:r w:rsidRPr="00A40DDC">
        <w:rPr>
          <w:rFonts w:ascii="Times New Roman" w:eastAsiaTheme="minorEastAsia" w:hAnsi="Times New Roman" w:cs="B Nazanin"/>
          <w:i/>
          <w:sz w:val="23"/>
          <w:szCs w:val="23"/>
          <w:rtl/>
          <w:lang w:bidi="fa-IR"/>
        </w:rPr>
        <w:t xml:space="preserve"> مخارج حقیقی </w:t>
      </w:r>
      <w:r w:rsidRPr="00A40DDC">
        <w:rPr>
          <w:rFonts w:ascii="Times New Roman" w:eastAsiaTheme="minorEastAsia" w:hAnsi="Times New Roman" w:cs="B Nazanin" w:hint="cs"/>
          <w:i/>
          <w:sz w:val="23"/>
          <w:szCs w:val="23"/>
          <w:rtl/>
          <w:lang w:bidi="fa-IR"/>
        </w:rPr>
        <w:t>می</w:t>
      </w:r>
      <w:r w:rsidRPr="00A40DDC">
        <w:rPr>
          <w:rFonts w:ascii="Times New Roman" w:eastAsiaTheme="minorEastAsia" w:hAnsi="Times New Roman" w:cs="B Nazanin"/>
          <w:i/>
          <w:sz w:val="23"/>
          <w:szCs w:val="23"/>
          <w:rtl/>
          <w:lang w:bidi="fa-IR"/>
        </w:rPr>
        <w:softHyphen/>
      </w:r>
      <w:r w:rsidRPr="00A40DDC">
        <w:rPr>
          <w:rFonts w:ascii="Times New Roman" w:eastAsiaTheme="minorEastAsia" w:hAnsi="Times New Roman" w:cs="B Nazanin" w:hint="cs"/>
          <w:i/>
          <w:sz w:val="23"/>
          <w:szCs w:val="23"/>
          <w:rtl/>
          <w:lang w:bidi="fa-IR"/>
        </w:rPr>
        <w:t>باشند،</w:t>
      </w:r>
      <w:r w:rsidRPr="00A40DDC">
        <w:rPr>
          <w:rFonts w:ascii="Times New Roman" w:eastAsiaTheme="minorEastAsia" w:hAnsi="Times New Roman" w:cs="B Nazanin"/>
          <w:i/>
          <w:sz w:val="23"/>
          <w:szCs w:val="23"/>
          <w:rtl/>
          <w:lang w:bidi="fa-IR"/>
        </w:rPr>
        <w:t xml:space="preserve"> </w:t>
      </w:r>
      <w:r w:rsidRPr="00A40DDC">
        <w:rPr>
          <w:rFonts w:ascii="Times New Roman" w:eastAsiaTheme="minorEastAsia" w:hAnsi="Times New Roman" w:cs="B Nazanin" w:hint="cs"/>
          <w:i/>
          <w:sz w:val="23"/>
          <w:szCs w:val="23"/>
          <w:rtl/>
          <w:lang w:bidi="fa-IR"/>
        </w:rPr>
        <w:t xml:space="preserve">و </w:t>
      </w:r>
      <w:r w:rsidRPr="00A40DDC">
        <w:rPr>
          <w:rFonts w:ascii="Times New Roman" w:eastAsiaTheme="minorEastAsia" w:hAnsi="Times New Roman" w:cs="B Nazanin"/>
          <w:i/>
          <w:sz w:val="23"/>
          <w:szCs w:val="23"/>
          <w:rtl/>
          <w:lang w:bidi="fa-IR"/>
        </w:rPr>
        <w:t xml:space="preserve">هر دو </w:t>
      </w:r>
      <w:r w:rsidRPr="00A40DDC">
        <w:rPr>
          <w:rFonts w:ascii="Times New Roman" w:eastAsiaTheme="minorEastAsia" w:hAnsi="Times New Roman" w:cs="B Nazanin" w:hint="cs"/>
          <w:i/>
          <w:sz w:val="23"/>
          <w:szCs w:val="23"/>
          <w:rtl/>
          <w:lang w:bidi="fa-IR"/>
        </w:rPr>
        <w:t>مشمول</w:t>
      </w:r>
      <w:r w:rsidRPr="00A40DDC">
        <w:rPr>
          <w:rFonts w:ascii="Times New Roman" w:eastAsiaTheme="minorEastAsia" w:hAnsi="Times New Roman" w:cs="B Nazanin"/>
          <w:i/>
          <w:sz w:val="23"/>
          <w:szCs w:val="23"/>
          <w:rtl/>
          <w:lang w:bidi="fa-IR"/>
        </w:rPr>
        <w:t xml:space="preserve"> </w:t>
      </w:r>
      <w:r w:rsidRPr="00A40DDC">
        <w:rPr>
          <w:rFonts w:ascii="Times New Roman" w:eastAsiaTheme="minorEastAsia" w:hAnsi="Times New Roman" w:cs="B Nazanin" w:hint="cs"/>
          <w:i/>
          <w:sz w:val="23"/>
          <w:szCs w:val="23"/>
          <w:rtl/>
          <w:lang w:bidi="fa-IR"/>
        </w:rPr>
        <w:t>کالاها و خدمات</w:t>
      </w:r>
      <w:r w:rsidRPr="00A40DDC">
        <w:rPr>
          <w:rFonts w:ascii="Times New Roman" w:eastAsiaTheme="minorEastAsia" w:hAnsi="Times New Roman" w:cs="B Nazanin"/>
          <w:i/>
          <w:sz w:val="23"/>
          <w:szCs w:val="23"/>
          <w:rtl/>
          <w:lang w:bidi="fa-IR"/>
        </w:rPr>
        <w:t xml:space="preserve"> واردات</w:t>
      </w:r>
      <w:r w:rsidRPr="00A40DDC">
        <w:rPr>
          <w:rFonts w:ascii="Times New Roman" w:eastAsiaTheme="minorEastAsia" w:hAnsi="Times New Roman" w:cs="B Nazanin" w:hint="cs"/>
          <w:i/>
          <w:sz w:val="23"/>
          <w:szCs w:val="23"/>
          <w:rtl/>
          <w:lang w:bidi="fa-IR"/>
        </w:rPr>
        <w:t>ی</w:t>
      </w:r>
      <w:r w:rsidRPr="00A40DDC">
        <w:rPr>
          <w:rFonts w:ascii="Times New Roman" w:eastAsiaTheme="minorEastAsia" w:hAnsi="Times New Roman" w:cs="B Nazanin"/>
          <w:i/>
          <w:sz w:val="23"/>
          <w:szCs w:val="23"/>
          <w:rtl/>
          <w:lang w:bidi="fa-IR"/>
        </w:rPr>
        <w:t xml:space="preserve"> </w:t>
      </w:r>
      <w:r w:rsidRPr="00A40DDC">
        <w:rPr>
          <w:rFonts w:ascii="Times New Roman" w:eastAsiaTheme="minorEastAsia" w:hAnsi="Times New Roman" w:cs="B Nazanin" w:hint="cs"/>
          <w:i/>
          <w:sz w:val="23"/>
          <w:szCs w:val="23"/>
          <w:rtl/>
          <w:lang w:bidi="fa-IR"/>
        </w:rPr>
        <w:t xml:space="preserve">نیز </w:t>
      </w:r>
      <w:r w:rsidRPr="00A40DDC">
        <w:rPr>
          <w:rFonts w:ascii="Times New Roman" w:eastAsiaTheme="minorEastAsia" w:hAnsi="Times New Roman" w:cs="B Nazanin"/>
          <w:i/>
          <w:sz w:val="23"/>
          <w:szCs w:val="23"/>
          <w:rtl/>
          <w:lang w:bidi="fa-IR"/>
        </w:rPr>
        <w:t>می</w:t>
      </w:r>
      <w:r w:rsidRPr="00A40DDC">
        <w:rPr>
          <w:rFonts w:ascii="Times New Roman" w:eastAsiaTheme="minorEastAsia" w:hAnsi="Times New Roman" w:cs="B Nazanin"/>
          <w:i/>
          <w:sz w:val="23"/>
          <w:szCs w:val="23"/>
          <w:rtl/>
          <w:lang w:bidi="fa-IR"/>
        </w:rPr>
        <w:softHyphen/>
      </w:r>
      <w:r w:rsidRPr="00A40DDC">
        <w:rPr>
          <w:rFonts w:ascii="Times New Roman" w:eastAsiaTheme="minorEastAsia" w:hAnsi="Times New Roman" w:cs="B Nazanin" w:hint="cs"/>
          <w:i/>
          <w:sz w:val="23"/>
          <w:szCs w:val="23"/>
          <w:rtl/>
          <w:lang w:bidi="fa-IR"/>
        </w:rPr>
        <w:t>شوند،</w:t>
      </w:r>
      <w:r w:rsidRPr="00A40DDC">
        <w:rPr>
          <w:rFonts w:ascii="Times New Roman" w:eastAsiaTheme="minorEastAsia" w:hAnsi="Times New Roman" w:cs="B Nazanin"/>
          <w:i/>
          <w:sz w:val="23"/>
          <w:szCs w:val="23"/>
          <w:rtl/>
          <w:lang w:bidi="fa-IR"/>
        </w:rPr>
        <w:t xml:space="preserve"> لذا</w:t>
      </w:r>
      <w:r w:rsidRPr="00A40DDC">
        <w:rPr>
          <w:position w:val="-10"/>
        </w:rPr>
        <w:object w:dxaOrig="520" w:dyaOrig="340" w14:anchorId="6CB44601">
          <v:shape id="_x0000_i3507" type="#_x0000_t75" style="width:26pt;height:16.95pt" o:ole="">
            <v:imagedata r:id="rId5002" o:title=""/>
          </v:shape>
          <o:OLEObject Type="Embed" ProgID="Equation.DSMT4" ShapeID="_x0000_i3507" DrawAspect="Content" ObjectID="_1791377451" r:id="rId5003"/>
        </w:object>
      </w:r>
      <w:r w:rsidRPr="00A40DDC">
        <w:rPr>
          <w:rFonts w:ascii="Times New Roman" w:eastAsiaTheme="minorEastAsia" w:hAnsi="Times New Roman" w:cs="B Nazanin"/>
          <w:i/>
          <w:sz w:val="23"/>
          <w:szCs w:val="23"/>
          <w:vertAlign w:val="superscript"/>
          <w:rtl/>
          <w:lang w:bidi="fa-IR"/>
        </w:rPr>
        <w:t xml:space="preserve"> </w:t>
      </w:r>
      <w:r w:rsidRPr="00A40DDC">
        <w:rPr>
          <w:rFonts w:ascii="Times New Roman" w:eastAsiaTheme="minorEastAsia" w:hAnsi="Times New Roman" w:cs="B Nazanin"/>
          <w:i/>
          <w:sz w:val="23"/>
          <w:szCs w:val="23"/>
          <w:rtl/>
          <w:lang w:bidi="fa-IR"/>
        </w:rPr>
        <w:t>باید از مخارج حقیقی کل کسر گردد تا تولید داخلی بدست آید.</w:t>
      </w:r>
    </w:p>
    <w:p w14:paraId="0C099F9D" w14:textId="77777777" w:rsidR="00411620" w:rsidRPr="00A40DDC" w:rsidRDefault="00411620" w:rsidP="00411620">
      <w:pPr>
        <w:spacing w:line="216" w:lineRule="auto"/>
        <w:rPr>
          <w:rFonts w:eastAsiaTheme="minorEastAsia"/>
          <w:i/>
          <w:sz w:val="23"/>
          <w:szCs w:val="23"/>
          <w:rtl/>
        </w:rPr>
      </w:pPr>
      <w:r w:rsidRPr="00A40DDC">
        <w:rPr>
          <w:rFonts w:eastAsiaTheme="minorEastAsia"/>
          <w:i/>
          <w:sz w:val="23"/>
          <w:szCs w:val="23"/>
          <w:rtl/>
        </w:rPr>
        <w:t>تراز پرداخت</w:t>
      </w:r>
      <w:r w:rsidRPr="00A40DDC">
        <w:rPr>
          <w:rFonts w:eastAsiaTheme="minorEastAsia" w:hint="cs"/>
          <w:i/>
          <w:sz w:val="23"/>
          <w:szCs w:val="23"/>
          <w:rtl/>
        </w:rPr>
        <w:t>‌</w:t>
      </w:r>
      <w:r w:rsidRPr="00A40DDC">
        <w:rPr>
          <w:rFonts w:eastAsiaTheme="minorEastAsia"/>
          <w:i/>
          <w:sz w:val="23"/>
          <w:szCs w:val="23"/>
          <w:rtl/>
        </w:rPr>
        <w:t>ها</w:t>
      </w:r>
      <w:r w:rsidRPr="00A40DDC">
        <w:rPr>
          <w:rStyle w:val="FootnoteReference"/>
          <w:rFonts w:eastAsiaTheme="minorEastAsia"/>
          <w:i/>
          <w:sz w:val="23"/>
          <w:szCs w:val="23"/>
          <w:rtl/>
        </w:rPr>
        <w:footnoteReference w:id="174"/>
      </w:r>
      <w:r w:rsidRPr="00A40DDC">
        <w:rPr>
          <w:rFonts w:eastAsiaTheme="minorEastAsia" w:hint="cs"/>
          <w:i/>
          <w:sz w:val="23"/>
          <w:szCs w:val="23"/>
          <w:rtl/>
        </w:rPr>
        <w:t xml:space="preserve"> یا</w:t>
      </w:r>
      <w:r w:rsidRPr="00A40DDC">
        <w:rPr>
          <w:rFonts w:eastAsiaTheme="minorEastAsia"/>
          <w:i/>
          <w:sz w:val="23"/>
          <w:szCs w:val="23"/>
          <w:rtl/>
        </w:rPr>
        <w:t xml:space="preserve"> </w:t>
      </w:r>
      <w:r w:rsidRPr="00A40DDC">
        <w:rPr>
          <w:rFonts w:eastAsiaTheme="minorEastAsia"/>
          <w:i/>
          <w:sz w:val="23"/>
          <w:szCs w:val="23"/>
        </w:rPr>
        <w:t xml:space="preserve">BOP </w:t>
      </w:r>
      <w:r w:rsidRPr="00A40DDC">
        <w:rPr>
          <w:rFonts w:eastAsiaTheme="minorEastAsia" w:hint="cs"/>
          <w:i/>
          <w:sz w:val="23"/>
          <w:szCs w:val="23"/>
          <w:rtl/>
        </w:rPr>
        <w:t xml:space="preserve"> </w:t>
      </w:r>
      <w:r w:rsidRPr="00A40DDC">
        <w:rPr>
          <w:rFonts w:eastAsiaTheme="minorEastAsia"/>
          <w:i/>
          <w:sz w:val="23"/>
          <w:szCs w:val="23"/>
          <w:rtl/>
        </w:rPr>
        <w:t>ممکن است به صورت زیر نوشته شود:</w:t>
      </w:r>
    </w:p>
    <w:p w14:paraId="683CFF75" w14:textId="77777777" w:rsidR="00411620" w:rsidRPr="00A40DDC" w:rsidRDefault="00411620" w:rsidP="00411620">
      <w:pPr>
        <w:pStyle w:val="MTDisplayEquation"/>
        <w:tabs>
          <w:tab w:val="clear" w:pos="6660"/>
        </w:tabs>
        <w:spacing w:line="216" w:lineRule="auto"/>
        <w:jc w:val="left"/>
        <w:rPr>
          <w:rFonts w:ascii="Times New Roman" w:eastAsiaTheme="minorEastAsia" w:hAnsi="Times New Roman" w:cs="B Nazanin"/>
          <w:i/>
          <w:sz w:val="23"/>
          <w:szCs w:val="23"/>
          <w:vertAlign w:val="subscript"/>
          <w:rtl/>
          <w:lang w:bidi="fa-IR"/>
        </w:rPr>
      </w:pPr>
      <w:r w:rsidRPr="00A40DDC">
        <w:rPr>
          <w:position w:val="-10"/>
        </w:rPr>
        <w:object w:dxaOrig="5120" w:dyaOrig="340" w14:anchorId="5AEE8C2C">
          <v:shape id="_x0000_i3508" type="#_x0000_t75" style="width:255.95pt;height:16.95pt" o:ole="">
            <v:imagedata r:id="rId5004" o:title=""/>
          </v:shape>
          <o:OLEObject Type="Embed" ProgID="Equation.DSMT4" ShapeID="_x0000_i3508" DrawAspect="Content" ObjectID="_1791377452" r:id="rId5005"/>
        </w:object>
      </w:r>
      <w:r>
        <w:rPr>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۲)</w:t>
      </w:r>
    </w:p>
    <w:p w14:paraId="072118E7"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که در آن</w:t>
      </w:r>
      <w:r w:rsidRPr="00A40DDC">
        <w:rPr>
          <w:position w:val="-10"/>
        </w:rPr>
        <w:object w:dxaOrig="400" w:dyaOrig="320" w14:anchorId="0C845EE9">
          <v:shape id="_x0000_i3509" type="#_x0000_t75" style="width:19.95pt;height:15.75pt" o:ole="">
            <v:imagedata r:id="rId5006" o:title=""/>
          </v:shape>
          <o:OLEObject Type="Embed" ProgID="Equation.DSMT4" ShapeID="_x0000_i3509" DrawAspect="Content" ObjectID="_1791377453" r:id="rId5007"/>
        </w:object>
      </w:r>
      <w:r w:rsidRPr="00A40DDC">
        <w:rPr>
          <w:rFonts w:eastAsiaTheme="minorEastAsia"/>
          <w:i/>
          <w:sz w:val="23"/>
          <w:szCs w:val="23"/>
          <w:rtl/>
        </w:rPr>
        <w:t xml:space="preserve"> تراز حساب جاری </w:t>
      </w:r>
      <w:r w:rsidRPr="00A40DDC">
        <w:rPr>
          <w:rFonts w:eastAsiaTheme="minorEastAsia" w:hint="cs"/>
          <w:i/>
          <w:sz w:val="23"/>
          <w:szCs w:val="23"/>
          <w:rtl/>
        </w:rPr>
        <w:t xml:space="preserve">اسمی </w:t>
      </w:r>
      <w:r w:rsidRPr="00A40DDC">
        <w:rPr>
          <w:rFonts w:eastAsiaTheme="minorEastAsia"/>
          <w:i/>
          <w:sz w:val="23"/>
          <w:szCs w:val="23"/>
          <w:rtl/>
        </w:rPr>
        <w:t>بر حسب پول داخل</w:t>
      </w:r>
      <w:r w:rsidRPr="00A40DDC">
        <w:rPr>
          <w:rFonts w:eastAsiaTheme="minorEastAsia" w:hint="cs"/>
          <w:i/>
          <w:sz w:val="23"/>
          <w:szCs w:val="23"/>
          <w:rtl/>
        </w:rPr>
        <w:t>ی،</w:t>
      </w:r>
      <w:r w:rsidRPr="00A40DDC">
        <w:rPr>
          <w:position w:val="-10"/>
        </w:rPr>
        <w:object w:dxaOrig="279" w:dyaOrig="320" w14:anchorId="4D39CBD6">
          <v:shape id="_x0000_i3510" type="#_x0000_t75" style="width:13.9pt;height:15.75pt" o:ole="">
            <v:imagedata r:id="rId5008" o:title=""/>
          </v:shape>
          <o:OLEObject Type="Embed" ProgID="Equation.DSMT4" ShapeID="_x0000_i3510" DrawAspect="Content" ObjectID="_1791377454" r:id="rId5009"/>
        </w:object>
      </w:r>
      <w:r w:rsidRPr="00A40DDC">
        <w:rPr>
          <w:rFonts w:eastAsiaTheme="minorEastAsia"/>
          <w:i/>
          <w:sz w:val="23"/>
          <w:szCs w:val="23"/>
          <w:vertAlign w:val="subscript"/>
          <w:rtl/>
        </w:rPr>
        <w:t xml:space="preserve"> </w:t>
      </w:r>
      <w:r w:rsidRPr="00A40DDC">
        <w:rPr>
          <w:rFonts w:eastAsiaTheme="minorEastAsia"/>
          <w:i/>
          <w:sz w:val="23"/>
          <w:szCs w:val="23"/>
          <w:rtl/>
        </w:rPr>
        <w:t>نرخ بهره</w:t>
      </w:r>
      <w:r w:rsidRPr="00A40DDC">
        <w:rPr>
          <w:rFonts w:eastAsiaTheme="minorEastAsia"/>
          <w:i/>
          <w:sz w:val="23"/>
          <w:szCs w:val="23"/>
          <w:rtl/>
        </w:rPr>
        <w:softHyphen/>
      </w:r>
      <w:r w:rsidRPr="00A40DDC">
        <w:rPr>
          <w:rFonts w:eastAsiaTheme="minorEastAsia" w:hint="cs"/>
          <w:i/>
          <w:sz w:val="23"/>
          <w:szCs w:val="23"/>
          <w:rtl/>
        </w:rPr>
        <w:t>ی</w:t>
      </w:r>
      <w:r w:rsidRPr="00A40DDC">
        <w:rPr>
          <w:rFonts w:eastAsiaTheme="minorEastAsia"/>
          <w:i/>
          <w:sz w:val="23"/>
          <w:szCs w:val="23"/>
          <w:rtl/>
        </w:rPr>
        <w:t xml:space="preserve"> اسمی داخلی</w:t>
      </w:r>
      <w:r w:rsidRPr="00A40DDC">
        <w:rPr>
          <w:rFonts w:eastAsiaTheme="minorEastAsia" w:hint="cs"/>
          <w:i/>
          <w:sz w:val="23"/>
          <w:szCs w:val="23"/>
          <w:rtl/>
        </w:rPr>
        <w:t>،</w:t>
      </w:r>
      <w:r w:rsidRPr="00A40DDC">
        <w:rPr>
          <w:rFonts w:eastAsiaTheme="minorEastAsia"/>
          <w:i/>
          <w:sz w:val="23"/>
          <w:szCs w:val="23"/>
          <w:rtl/>
        </w:rPr>
        <w:t xml:space="preserve"> </w:t>
      </w:r>
      <w:r w:rsidRPr="00A40DDC">
        <w:rPr>
          <w:position w:val="-10"/>
        </w:rPr>
        <w:object w:dxaOrig="300" w:dyaOrig="340" w14:anchorId="3D4DBD9D">
          <v:shape id="_x0000_i3511" type="#_x0000_t75" style="width:14.5pt;height:16.95pt" o:ole="">
            <v:imagedata r:id="rId5010" o:title=""/>
          </v:shape>
          <o:OLEObject Type="Embed" ProgID="Equation.DSMT4" ShapeID="_x0000_i3511" DrawAspect="Content" ObjectID="_1791377455" r:id="rId5011"/>
        </w:object>
      </w:r>
      <w:r w:rsidRPr="00A40DDC">
        <w:rPr>
          <w:rFonts w:eastAsiaTheme="minorEastAsia"/>
          <w:i/>
          <w:sz w:val="23"/>
          <w:szCs w:val="23"/>
          <w:vertAlign w:val="superscript"/>
          <w:rtl/>
        </w:rPr>
        <w:t xml:space="preserve"> </w:t>
      </w:r>
      <w:r w:rsidRPr="00A40DDC">
        <w:rPr>
          <w:rFonts w:eastAsiaTheme="minorEastAsia"/>
          <w:i/>
          <w:sz w:val="23"/>
          <w:szCs w:val="23"/>
          <w:rtl/>
        </w:rPr>
        <w:t>نرخ بهره</w:t>
      </w:r>
      <w:r w:rsidRPr="00A40DDC">
        <w:rPr>
          <w:rFonts w:eastAsiaTheme="minorEastAsia"/>
          <w:i/>
          <w:sz w:val="23"/>
          <w:szCs w:val="23"/>
          <w:rtl/>
        </w:rPr>
        <w:softHyphen/>
      </w:r>
      <w:r w:rsidRPr="00A40DDC">
        <w:rPr>
          <w:rFonts w:eastAsiaTheme="minorEastAsia" w:hint="cs"/>
          <w:i/>
          <w:sz w:val="23"/>
          <w:szCs w:val="23"/>
          <w:rtl/>
        </w:rPr>
        <w:t>ی</w:t>
      </w:r>
      <w:r w:rsidRPr="00A40DDC">
        <w:rPr>
          <w:rFonts w:eastAsiaTheme="minorEastAsia"/>
          <w:i/>
          <w:sz w:val="23"/>
          <w:szCs w:val="23"/>
          <w:rtl/>
        </w:rPr>
        <w:t xml:space="preserve"> اسمی خارجی،</w:t>
      </w:r>
      <w:r w:rsidRPr="00A40DDC">
        <w:rPr>
          <w:position w:val="-10"/>
        </w:rPr>
        <w:object w:dxaOrig="300" w:dyaOrig="340" w14:anchorId="6A7006F3">
          <v:shape id="_x0000_i3512" type="#_x0000_t75" style="width:14.5pt;height:16.95pt" o:ole="">
            <v:imagedata r:id="rId5012" o:title=""/>
          </v:shape>
          <o:OLEObject Type="Embed" ProgID="Equation.DSMT4" ShapeID="_x0000_i3512" DrawAspect="Content" ObjectID="_1791377456" r:id="rId5013"/>
        </w:object>
      </w:r>
      <w:r w:rsidRPr="00A40DDC">
        <w:rPr>
          <w:rFonts w:eastAsiaTheme="minorEastAsia"/>
          <w:i/>
          <w:sz w:val="23"/>
          <w:szCs w:val="23"/>
          <w:vertAlign w:val="superscript"/>
          <w:rtl/>
        </w:rPr>
        <w:t xml:space="preserve"> </w:t>
      </w:r>
      <w:r w:rsidRPr="00A40DDC">
        <w:rPr>
          <w:rFonts w:eastAsiaTheme="minorEastAsia"/>
          <w:i/>
          <w:sz w:val="23"/>
          <w:szCs w:val="23"/>
          <w:rtl/>
        </w:rPr>
        <w:t>دارایی خارجی اسمی بر حسب پول خارجی</w:t>
      </w:r>
      <w:r w:rsidRPr="00A40DDC">
        <w:rPr>
          <w:rFonts w:eastAsiaTheme="minorEastAsia" w:hint="cs"/>
          <w:i/>
          <w:sz w:val="23"/>
          <w:szCs w:val="23"/>
          <w:rtl/>
        </w:rPr>
        <w:t xml:space="preserve"> در داخل</w:t>
      </w:r>
      <w:r w:rsidRPr="00A40DDC">
        <w:rPr>
          <w:rFonts w:eastAsiaTheme="minorEastAsia"/>
          <w:i/>
          <w:sz w:val="23"/>
          <w:szCs w:val="23"/>
          <w:rtl/>
        </w:rPr>
        <w:t>،</w:t>
      </w:r>
      <w:r w:rsidRPr="00A40DDC">
        <w:rPr>
          <w:position w:val="-10"/>
        </w:rPr>
        <w:object w:dxaOrig="360" w:dyaOrig="340" w14:anchorId="66C78D17">
          <v:shape id="_x0000_i3513" type="#_x0000_t75" style="width:18.15pt;height:16.95pt" o:ole="">
            <v:imagedata r:id="rId5014" o:title=""/>
          </v:shape>
          <o:OLEObject Type="Embed" ProgID="Equation.DSMT4" ShapeID="_x0000_i3513" DrawAspect="Content" ObjectID="_1791377457" r:id="rId5015"/>
        </w:object>
      </w:r>
      <w:r w:rsidRPr="00A40DDC">
        <w:rPr>
          <w:rFonts w:eastAsiaTheme="minorEastAsia" w:hint="cs"/>
          <w:i/>
          <w:sz w:val="23"/>
          <w:szCs w:val="23"/>
          <w:vertAlign w:val="subscript"/>
          <w:rtl/>
        </w:rPr>
        <w:t xml:space="preserve"> </w:t>
      </w:r>
      <w:r w:rsidRPr="00A40DDC">
        <w:rPr>
          <w:rFonts w:eastAsiaTheme="minorEastAsia"/>
          <w:i/>
          <w:sz w:val="23"/>
          <w:szCs w:val="23"/>
          <w:rtl/>
        </w:rPr>
        <w:t xml:space="preserve">دارایی داخلی </w:t>
      </w:r>
      <w:r w:rsidRPr="00A40DDC">
        <w:rPr>
          <w:rFonts w:eastAsiaTheme="minorEastAsia" w:hint="cs"/>
          <w:i/>
          <w:sz w:val="23"/>
          <w:szCs w:val="23"/>
          <w:rtl/>
        </w:rPr>
        <w:t xml:space="preserve">اسمی </w:t>
      </w:r>
      <w:r w:rsidRPr="00A40DDC">
        <w:rPr>
          <w:rFonts w:eastAsiaTheme="minorEastAsia"/>
          <w:i/>
          <w:sz w:val="23"/>
          <w:szCs w:val="23"/>
          <w:rtl/>
        </w:rPr>
        <w:t>برحسب پول داخلی نزد خارجی</w:t>
      </w:r>
      <w:r w:rsidRPr="00A40DDC">
        <w:rPr>
          <w:rFonts w:eastAsiaTheme="minorEastAsia"/>
          <w:i/>
          <w:sz w:val="23"/>
          <w:szCs w:val="23"/>
          <w:rtl/>
        </w:rPr>
        <w:softHyphen/>
        <w:t>ها،</w:t>
      </w:r>
      <w:r w:rsidRPr="00A40DDC">
        <w:rPr>
          <w:position w:val="-10"/>
        </w:rPr>
        <w:object w:dxaOrig="260" w:dyaOrig="320" w14:anchorId="107C8C04">
          <v:shape id="_x0000_i3514" type="#_x0000_t75" style="width:13.3pt;height:15.75pt" o:ole="">
            <v:imagedata r:id="rId5016" o:title=""/>
          </v:shape>
          <o:OLEObject Type="Embed" ProgID="Equation.DSMT4" ShapeID="_x0000_i3514" DrawAspect="Content" ObjectID="_1791377458" r:id="rId5017"/>
        </w:object>
      </w:r>
      <w:r w:rsidRPr="00A40DDC">
        <w:rPr>
          <w:rFonts w:eastAsiaTheme="minorEastAsia"/>
          <w:i/>
          <w:sz w:val="23"/>
          <w:szCs w:val="23"/>
          <w:vertAlign w:val="subscript"/>
          <w:rtl/>
        </w:rPr>
        <w:t xml:space="preserve"> </w:t>
      </w:r>
      <w:r w:rsidRPr="00A40DDC">
        <w:rPr>
          <w:rFonts w:eastAsiaTheme="minorEastAsia"/>
          <w:i/>
          <w:sz w:val="23"/>
          <w:szCs w:val="23"/>
          <w:rtl/>
        </w:rPr>
        <w:t xml:space="preserve">نرخ ارز اسمی </w:t>
      </w:r>
      <w:r w:rsidRPr="00A40DDC">
        <w:rPr>
          <w:rFonts w:eastAsiaTheme="minorEastAsia" w:hint="cs"/>
          <w:i/>
          <w:sz w:val="23"/>
          <w:szCs w:val="23"/>
          <w:rtl/>
        </w:rPr>
        <w:t>ی</w:t>
      </w:r>
      <w:r w:rsidRPr="00A40DDC">
        <w:rPr>
          <w:rFonts w:eastAsiaTheme="minorEastAsia"/>
          <w:i/>
          <w:sz w:val="23"/>
          <w:szCs w:val="23"/>
          <w:rtl/>
        </w:rPr>
        <w:t xml:space="preserve">ا قیمت داخلی یک واحد ارز خارجی ( یک دلار </w:t>
      </w:r>
      <w:r w:rsidRPr="00A40DDC">
        <w:rPr>
          <w:rFonts w:eastAsiaTheme="minorEastAsia" w:hint="cs"/>
          <w:i/>
          <w:sz w:val="23"/>
          <w:szCs w:val="23"/>
          <w:rtl/>
        </w:rPr>
        <w:t xml:space="preserve">۱۲۰۰۰ </w:t>
      </w:r>
      <w:r w:rsidRPr="00A40DDC">
        <w:rPr>
          <w:rFonts w:eastAsiaTheme="minorEastAsia"/>
          <w:i/>
          <w:sz w:val="23"/>
          <w:szCs w:val="23"/>
          <w:rtl/>
        </w:rPr>
        <w:t>تومان) است. لذا</w:t>
      </w:r>
      <w:r w:rsidRPr="00A40DDC">
        <w:rPr>
          <w:position w:val="-10"/>
        </w:rPr>
        <w:object w:dxaOrig="1420" w:dyaOrig="340" w14:anchorId="15143512">
          <v:shape id="_x0000_i3515" type="#_x0000_t75" style="width:70.8pt;height:16.95pt" o:ole="">
            <v:imagedata r:id="rId5018" o:title=""/>
          </v:shape>
          <o:OLEObject Type="Embed" ProgID="Equation.DSMT4" ShapeID="_x0000_i3515" DrawAspect="Content" ObjectID="_1791377459" r:id="rId5019"/>
        </w:object>
      </w:r>
      <w:r w:rsidRPr="00A40DDC">
        <w:rPr>
          <w:rFonts w:eastAsiaTheme="minorEastAsia" w:hint="cs"/>
          <w:i/>
          <w:sz w:val="23"/>
          <w:szCs w:val="23"/>
          <w:vertAlign w:val="subscript"/>
          <w:rtl/>
        </w:rPr>
        <w:t xml:space="preserve"> </w:t>
      </w:r>
      <w:r w:rsidRPr="00A40DDC">
        <w:rPr>
          <w:rFonts w:eastAsiaTheme="minorEastAsia"/>
          <w:i/>
          <w:sz w:val="23"/>
          <w:szCs w:val="23"/>
          <w:rtl/>
        </w:rPr>
        <w:t>خالص دارایی بر حسب پول داخلی است و</w:t>
      </w:r>
      <w:r w:rsidRPr="00A40DDC">
        <w:rPr>
          <w:position w:val="-10"/>
        </w:rPr>
        <w:object w:dxaOrig="1440" w:dyaOrig="340" w14:anchorId="4344AF2F">
          <v:shape id="_x0000_i3516" type="#_x0000_t75" style="width:1in;height:16.95pt" o:ole="">
            <v:imagedata r:id="rId5020" o:title=""/>
          </v:shape>
          <o:OLEObject Type="Embed" ProgID="Equation.DSMT4" ShapeID="_x0000_i3516" DrawAspect="Content" ObjectID="_1791377460" r:id="rId5021"/>
        </w:object>
      </w:r>
      <w:r w:rsidRPr="00A40DDC">
        <w:rPr>
          <w:rFonts w:eastAsiaTheme="minorEastAsia"/>
          <w:i/>
          <w:sz w:val="23"/>
          <w:szCs w:val="23"/>
          <w:rtl/>
        </w:rPr>
        <w:t xml:space="preserve"> خالص درآمد دارایی خارجی بر حسب پول داخلی است.</w:t>
      </w:r>
      <w:r w:rsidRPr="00A40DDC">
        <w:rPr>
          <w:rFonts w:eastAsiaTheme="minorEastAsia" w:hint="cs"/>
          <w:i/>
          <w:sz w:val="23"/>
          <w:szCs w:val="23"/>
          <w:rtl/>
        </w:rPr>
        <w:t xml:space="preserve"> همچنین </w:t>
      </w:r>
      <w:r w:rsidRPr="00A40DDC">
        <w:rPr>
          <w:rFonts w:eastAsiaTheme="minorEastAsia"/>
          <w:i/>
          <w:sz w:val="23"/>
          <w:szCs w:val="23"/>
          <w:rtl/>
        </w:rPr>
        <w:t>افزایش</w:t>
      </w:r>
      <w:r w:rsidRPr="00A40DDC">
        <w:rPr>
          <w:position w:val="-10"/>
        </w:rPr>
        <w:object w:dxaOrig="260" w:dyaOrig="320" w14:anchorId="3D016807">
          <v:shape id="_x0000_i3517" type="#_x0000_t75" style="width:13.3pt;height:15.75pt" o:ole="">
            <v:imagedata r:id="rId5022" o:title=""/>
          </v:shape>
          <o:OLEObject Type="Embed" ProgID="Equation.DSMT4" ShapeID="_x0000_i3517" DrawAspect="Content" ObjectID="_1791377461" r:id="rId5023"/>
        </w:object>
      </w:r>
      <w:r w:rsidRPr="00A40DDC">
        <w:rPr>
          <w:rFonts w:eastAsiaTheme="minorEastAsia"/>
          <w:i/>
          <w:sz w:val="23"/>
          <w:szCs w:val="23"/>
          <w:rtl/>
        </w:rPr>
        <w:t xml:space="preserve"> یعنی کاهش ارزش پول داخلی (</w:t>
      </w:r>
      <w:r w:rsidRPr="00A40DDC">
        <w:rPr>
          <w:rFonts w:eastAsiaTheme="minorEastAsia" w:hint="cs"/>
          <w:i/>
          <w:sz w:val="23"/>
          <w:szCs w:val="23"/>
          <w:rtl/>
        </w:rPr>
        <w:t>یک</w:t>
      </w:r>
      <w:r w:rsidRPr="00A40DDC">
        <w:rPr>
          <w:rFonts w:eastAsiaTheme="minorEastAsia"/>
          <w:i/>
          <w:sz w:val="23"/>
          <w:szCs w:val="23"/>
          <w:rtl/>
        </w:rPr>
        <w:t xml:space="preserve"> دلار </w:t>
      </w:r>
      <w:r w:rsidRPr="00A40DDC">
        <w:rPr>
          <w:rFonts w:eastAsiaTheme="minorEastAsia" w:hint="cs"/>
          <w:i/>
          <w:sz w:val="23"/>
          <w:szCs w:val="23"/>
          <w:rtl/>
        </w:rPr>
        <w:t>۱۲۰۰۰</w:t>
      </w:r>
      <w:r w:rsidRPr="00A40DDC">
        <w:rPr>
          <w:rFonts w:eastAsiaTheme="minorEastAsia"/>
          <w:i/>
          <w:sz w:val="23"/>
          <w:szCs w:val="23"/>
          <w:rtl/>
        </w:rPr>
        <w:t xml:space="preserve">تومان به </w:t>
      </w:r>
      <w:r w:rsidRPr="00A40DDC">
        <w:rPr>
          <w:rFonts w:eastAsiaTheme="minorEastAsia" w:hint="cs"/>
          <w:i/>
          <w:sz w:val="23"/>
          <w:szCs w:val="23"/>
          <w:rtl/>
        </w:rPr>
        <w:t xml:space="preserve">یک </w:t>
      </w:r>
      <w:r w:rsidRPr="00A40DDC">
        <w:rPr>
          <w:rFonts w:eastAsiaTheme="minorEastAsia"/>
          <w:i/>
          <w:sz w:val="23"/>
          <w:szCs w:val="23"/>
          <w:rtl/>
        </w:rPr>
        <w:t xml:space="preserve">دلار </w:t>
      </w:r>
      <w:r w:rsidRPr="00A40DDC">
        <w:rPr>
          <w:rFonts w:eastAsiaTheme="minorEastAsia" w:hint="cs"/>
          <w:i/>
          <w:sz w:val="23"/>
          <w:szCs w:val="23"/>
          <w:rtl/>
        </w:rPr>
        <w:t>۱۵۰۰۰</w:t>
      </w:r>
      <w:r w:rsidRPr="00A40DDC">
        <w:rPr>
          <w:rFonts w:eastAsiaTheme="minorEastAsia"/>
          <w:i/>
          <w:sz w:val="23"/>
          <w:szCs w:val="23"/>
          <w:rtl/>
        </w:rPr>
        <w:t xml:space="preserve"> تومان).</w:t>
      </w:r>
      <w:r w:rsidRPr="00A40DDC">
        <w:rPr>
          <w:rFonts w:eastAsiaTheme="minorEastAsia"/>
          <w:i/>
          <w:sz w:val="23"/>
          <w:szCs w:val="23"/>
        </w:rPr>
        <w:t xml:space="preserve"> </w:t>
      </w:r>
      <w:r w:rsidRPr="00A40DDC">
        <w:rPr>
          <w:position w:val="-10"/>
        </w:rPr>
        <w:object w:dxaOrig="1400" w:dyaOrig="340" w14:anchorId="7A00B918">
          <v:shape id="_x0000_i3518" type="#_x0000_t75" style="width:70.2pt;height:16.95pt" o:ole="">
            <v:imagedata r:id="rId5024" o:title=""/>
          </v:shape>
          <o:OLEObject Type="Embed" ProgID="Equation.DSMT4" ShapeID="_x0000_i3518" DrawAspect="Content" ObjectID="_1791377462" r:id="rId5025"/>
        </w:object>
      </w:r>
      <w:r w:rsidRPr="00A40DDC">
        <w:rPr>
          <w:rFonts w:eastAsiaTheme="minorEastAsia" w:hint="cs"/>
          <w:i/>
          <w:sz w:val="23"/>
          <w:szCs w:val="23"/>
          <w:rtl/>
        </w:rPr>
        <w:t xml:space="preserve"> </w:t>
      </w:r>
      <w:r w:rsidRPr="00A40DDC">
        <w:rPr>
          <w:rFonts w:eastAsiaTheme="minorEastAsia"/>
          <w:i/>
          <w:sz w:val="23"/>
          <w:szCs w:val="23"/>
          <w:rtl/>
        </w:rPr>
        <w:t xml:space="preserve">حساب </w:t>
      </w:r>
      <w:r w:rsidRPr="00A40DDC">
        <w:rPr>
          <w:rFonts w:eastAsiaTheme="minorEastAsia" w:hint="cs"/>
          <w:i/>
          <w:sz w:val="23"/>
          <w:szCs w:val="23"/>
          <w:rtl/>
        </w:rPr>
        <w:t>تجاری</w:t>
      </w:r>
      <w:r w:rsidRPr="00A40DDC">
        <w:rPr>
          <w:rStyle w:val="FootnoteReference"/>
          <w:rFonts w:eastAsiaTheme="minorEastAsia"/>
          <w:i/>
          <w:sz w:val="23"/>
          <w:szCs w:val="23"/>
          <w:rtl/>
        </w:rPr>
        <w:footnoteReference w:id="175"/>
      </w:r>
      <w:r w:rsidRPr="00A40DDC">
        <w:rPr>
          <w:rFonts w:eastAsiaTheme="minorEastAsia"/>
          <w:i/>
          <w:sz w:val="23"/>
          <w:szCs w:val="23"/>
          <w:rtl/>
        </w:rPr>
        <w:t xml:space="preserve"> بر حسب پول داخلی است</w:t>
      </w:r>
      <w:r w:rsidRPr="00A40DDC">
        <w:rPr>
          <w:rFonts w:eastAsiaTheme="minorEastAsia"/>
          <w:i/>
          <w:sz w:val="23"/>
          <w:szCs w:val="23"/>
        </w:rPr>
        <w:t xml:space="preserve"> </w:t>
      </w:r>
      <w:r w:rsidRPr="00A40DDC">
        <w:rPr>
          <w:rFonts w:eastAsiaTheme="minorEastAsia" w:hint="cs"/>
          <w:i/>
          <w:sz w:val="23"/>
          <w:szCs w:val="23"/>
          <w:rtl/>
        </w:rPr>
        <w:t>و</w:t>
      </w:r>
      <w:r w:rsidRPr="00A40DDC">
        <w:rPr>
          <w:position w:val="-10"/>
        </w:rPr>
        <w:object w:dxaOrig="999" w:dyaOrig="340" w14:anchorId="08C9C4C9">
          <v:shape id="_x0000_i3519" type="#_x0000_t75" style="width:50.2pt;height:16.95pt" o:ole="">
            <v:imagedata r:id="rId5026" o:title=""/>
          </v:shape>
          <o:OLEObject Type="Embed" ProgID="Equation.DSMT4" ShapeID="_x0000_i3519" DrawAspect="Content" ObjectID="_1791377463" r:id="rId5027"/>
        </w:object>
      </w:r>
      <w:r w:rsidRPr="00A40DDC">
        <w:rPr>
          <w:rFonts w:eastAsiaTheme="minorEastAsia"/>
          <w:i/>
          <w:sz w:val="23"/>
          <w:szCs w:val="23"/>
          <w:rtl/>
        </w:rPr>
        <w:t xml:space="preserve"> خالص صادرات یا حساب بازرگانی به قیمت حقیقی است.</w:t>
      </w:r>
    </w:p>
    <w:p w14:paraId="1BC510E4" w14:textId="77777777" w:rsidR="00411620" w:rsidRPr="00A40DDC" w:rsidRDefault="00411620" w:rsidP="00411620">
      <w:pPr>
        <w:spacing w:line="216" w:lineRule="auto"/>
        <w:rPr>
          <w:rFonts w:eastAsiaTheme="minorEastAsia"/>
          <w:i/>
          <w:sz w:val="23"/>
          <w:szCs w:val="23"/>
          <w:rtl/>
        </w:rPr>
      </w:pPr>
      <w:r w:rsidRPr="00A40DDC">
        <w:rPr>
          <w:rFonts w:eastAsiaTheme="minorEastAsia"/>
          <w:i/>
          <w:sz w:val="23"/>
          <w:szCs w:val="23"/>
          <w:rtl/>
        </w:rPr>
        <w:t>برای بدست آوردن</w:t>
      </w:r>
      <w:r w:rsidRPr="00A40DDC">
        <w:rPr>
          <w:rFonts w:eastAsiaTheme="minorEastAsia" w:hint="cs"/>
          <w:i/>
          <w:sz w:val="23"/>
          <w:szCs w:val="23"/>
          <w:rtl/>
        </w:rPr>
        <w:t xml:space="preserve"> ترازپرداخت‌ها</w:t>
      </w:r>
      <w:r w:rsidRPr="00A40DDC">
        <w:rPr>
          <w:rFonts w:eastAsiaTheme="minorEastAsia"/>
          <w:i/>
          <w:sz w:val="23"/>
          <w:szCs w:val="23"/>
          <w:rtl/>
        </w:rPr>
        <w:t xml:space="preserve"> ب</w:t>
      </w:r>
      <w:r w:rsidRPr="00A40DDC">
        <w:rPr>
          <w:rFonts w:eastAsiaTheme="minorEastAsia" w:hint="cs"/>
          <w:i/>
          <w:sz w:val="23"/>
          <w:szCs w:val="23"/>
          <w:rtl/>
        </w:rPr>
        <w:t>ه</w:t>
      </w:r>
      <w:r w:rsidRPr="00A40DDC">
        <w:rPr>
          <w:rFonts w:eastAsiaTheme="minorEastAsia"/>
          <w:i/>
          <w:sz w:val="23"/>
          <w:szCs w:val="23"/>
          <w:rtl/>
        </w:rPr>
        <w:t xml:space="preserve"> قیمت</w:t>
      </w:r>
      <w:r w:rsidRPr="00A40DDC">
        <w:rPr>
          <w:rFonts w:eastAsiaTheme="minorEastAsia"/>
          <w:i/>
          <w:sz w:val="23"/>
          <w:szCs w:val="23"/>
          <w:rtl/>
        </w:rPr>
        <w:softHyphen/>
        <w:t xml:space="preserve"> حقیقی</w:t>
      </w:r>
      <w:r w:rsidRPr="00A40DDC">
        <w:rPr>
          <w:rFonts w:eastAsiaTheme="minorEastAsia" w:hint="cs"/>
          <w:i/>
          <w:sz w:val="23"/>
          <w:szCs w:val="23"/>
          <w:rtl/>
        </w:rPr>
        <w:t xml:space="preserve"> رابطه</w:t>
      </w:r>
      <w:r w:rsidRPr="00A40DDC">
        <w:rPr>
          <w:rFonts w:eastAsiaTheme="minorEastAsia"/>
          <w:i/>
          <w:sz w:val="23"/>
          <w:szCs w:val="23"/>
          <w:rtl/>
        </w:rPr>
        <w:softHyphen/>
      </w:r>
      <w:r w:rsidRPr="00A40DDC">
        <w:rPr>
          <w:rFonts w:eastAsiaTheme="minorEastAsia" w:hint="cs"/>
          <w:i/>
          <w:sz w:val="23"/>
          <w:szCs w:val="23"/>
          <w:rtl/>
        </w:rPr>
        <w:t>ی</w:t>
      </w:r>
      <w:r w:rsidRPr="00A40DDC">
        <w:rPr>
          <w:rFonts w:eastAsiaTheme="minorEastAsia"/>
          <w:i/>
          <w:sz w:val="23"/>
          <w:szCs w:val="23"/>
          <w:rtl/>
        </w:rPr>
        <w:t xml:space="preserve"> </w:t>
      </w:r>
      <w:r w:rsidRPr="00A40DDC">
        <w:rPr>
          <w:rFonts w:hint="cs"/>
          <w:i/>
          <w:sz w:val="23"/>
          <w:szCs w:val="23"/>
          <w:rtl/>
        </w:rPr>
        <w:t>(۷. ۲</w:t>
      </w:r>
      <w:r w:rsidRPr="00A40DDC">
        <w:rPr>
          <w:rFonts w:eastAsiaTheme="minorEastAsia" w:hint="cs"/>
          <w:i/>
          <w:sz w:val="23"/>
          <w:szCs w:val="23"/>
          <w:rtl/>
        </w:rPr>
        <w:t xml:space="preserve">)را </w:t>
      </w:r>
      <w:r w:rsidRPr="00A40DDC">
        <w:rPr>
          <w:rFonts w:eastAsiaTheme="minorEastAsia"/>
          <w:i/>
          <w:sz w:val="23"/>
          <w:szCs w:val="23"/>
          <w:rtl/>
        </w:rPr>
        <w:t>بر سطح</w:t>
      </w:r>
      <w:r w:rsidRPr="00A40DDC">
        <w:rPr>
          <w:rFonts w:eastAsiaTheme="minorEastAsia" w:hint="cs"/>
          <w:i/>
          <w:sz w:val="23"/>
          <w:szCs w:val="23"/>
          <w:rtl/>
        </w:rPr>
        <w:t xml:space="preserve"> عمومی </w:t>
      </w:r>
      <w:r w:rsidRPr="00A40DDC">
        <w:rPr>
          <w:rFonts w:eastAsiaTheme="minorEastAsia"/>
          <w:i/>
          <w:sz w:val="23"/>
          <w:szCs w:val="23"/>
          <w:rtl/>
        </w:rPr>
        <w:t>قیمت</w:t>
      </w:r>
      <w:r w:rsidRPr="00A40DDC">
        <w:rPr>
          <w:rFonts w:eastAsiaTheme="minorEastAsia"/>
          <w:i/>
          <w:sz w:val="23"/>
          <w:szCs w:val="23"/>
          <w:rtl/>
        </w:rPr>
        <w:softHyphen/>
      </w:r>
      <w:r w:rsidRPr="00A40DDC">
        <w:rPr>
          <w:rFonts w:eastAsiaTheme="minorEastAsia"/>
          <w:i/>
          <w:sz w:val="23"/>
          <w:szCs w:val="23"/>
          <w:rtl/>
        </w:rPr>
        <w:softHyphen/>
      </w:r>
      <w:r w:rsidRPr="00A40DDC">
        <w:rPr>
          <w:rFonts w:eastAsiaTheme="minorEastAsia" w:hint="cs"/>
          <w:i/>
          <w:sz w:val="23"/>
          <w:szCs w:val="23"/>
          <w:rtl/>
        </w:rPr>
        <w:t>ها</w:t>
      </w:r>
      <w:r w:rsidRPr="00A40DDC">
        <w:rPr>
          <w:rFonts w:eastAsiaTheme="minorEastAsia"/>
          <w:i/>
          <w:sz w:val="23"/>
          <w:szCs w:val="23"/>
          <w:rtl/>
        </w:rPr>
        <w:t xml:space="preserve"> ت</w:t>
      </w:r>
      <w:r w:rsidRPr="00A40DDC">
        <w:rPr>
          <w:rFonts w:eastAsiaTheme="minorEastAsia" w:hint="cs"/>
          <w:i/>
          <w:sz w:val="23"/>
          <w:szCs w:val="23"/>
          <w:rtl/>
        </w:rPr>
        <w:t>قس</w:t>
      </w:r>
      <w:r w:rsidRPr="00A40DDC">
        <w:rPr>
          <w:rFonts w:eastAsiaTheme="minorEastAsia"/>
          <w:i/>
          <w:sz w:val="23"/>
          <w:szCs w:val="23"/>
          <w:rtl/>
        </w:rPr>
        <w:t>یم می</w:t>
      </w:r>
      <w:r w:rsidRPr="00A40DDC">
        <w:rPr>
          <w:rFonts w:eastAsiaTheme="minorEastAsia"/>
          <w:i/>
          <w:sz w:val="23"/>
          <w:szCs w:val="23"/>
          <w:rtl/>
        </w:rPr>
        <w:softHyphen/>
        <w:t>کنیم</w:t>
      </w:r>
      <w:r w:rsidRPr="00A40DDC">
        <w:rPr>
          <w:rFonts w:eastAsiaTheme="minorEastAsia" w:hint="cs"/>
          <w:i/>
          <w:sz w:val="23"/>
          <w:szCs w:val="23"/>
          <w:rtl/>
        </w:rPr>
        <w:t>. بنابراین</w:t>
      </w:r>
    </w:p>
    <w:p w14:paraId="7225AC6E" w14:textId="77777777" w:rsidR="00411620" w:rsidRPr="00A40DDC" w:rsidRDefault="00411620" w:rsidP="00411620">
      <w:pPr>
        <w:pStyle w:val="MTDisplayEquation"/>
        <w:spacing w:line="216" w:lineRule="auto"/>
        <w:jc w:val="left"/>
        <w:rPr>
          <w:rFonts w:ascii="Times New Roman" w:eastAsiaTheme="minorEastAsia" w:hAnsi="Times New Roman" w:cs="B Nazanin"/>
          <w:i/>
          <w:sz w:val="23"/>
          <w:szCs w:val="23"/>
          <w:lang w:bidi="fa-IR"/>
        </w:rPr>
      </w:pPr>
      <w:r w:rsidRPr="00A40DDC">
        <w:rPr>
          <w:position w:val="-28"/>
        </w:rPr>
        <w:object w:dxaOrig="5260" w:dyaOrig="660" w14:anchorId="3F8EF842">
          <v:shape id="_x0000_i3520" type="#_x0000_t75" style="width:263.2pt;height:32.65pt" o:ole="">
            <v:imagedata r:id="rId5028" o:title=""/>
          </v:shape>
          <o:OLEObject Type="Embed" ProgID="Equation.DSMT4" ShapeID="_x0000_i3520" DrawAspect="Content" ObjectID="_1791377464" r:id="rId5029"/>
        </w:object>
      </w:r>
    </w:p>
    <w:p w14:paraId="2A54DB3E"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lastRenderedPageBreak/>
        <w:t>و یا</w:t>
      </w:r>
    </w:p>
    <w:p w14:paraId="146BA6ED" w14:textId="77777777" w:rsidR="00411620" w:rsidRPr="00A40DDC" w:rsidRDefault="00411620" w:rsidP="00411620">
      <w:pPr>
        <w:pStyle w:val="MTDisplayEquation"/>
        <w:spacing w:line="216" w:lineRule="auto"/>
        <w:jc w:val="left"/>
        <w:rPr>
          <w:rFonts w:ascii="Times New Roman" w:eastAsiaTheme="minorEastAsia" w:hAnsi="Times New Roman" w:cs="B Nazanin"/>
          <w:i/>
          <w:sz w:val="23"/>
          <w:szCs w:val="23"/>
          <w:lang w:bidi="fa-IR"/>
        </w:rPr>
      </w:pPr>
      <w:r w:rsidRPr="00A40DDC">
        <w:rPr>
          <w:position w:val="-28"/>
        </w:rPr>
        <w:object w:dxaOrig="4280" w:dyaOrig="660" w14:anchorId="6AD6E061">
          <v:shape id="_x0000_i3521" type="#_x0000_t75" style="width:214.2pt;height:32.65pt" o:ole="">
            <v:imagedata r:id="rId5030" o:title=""/>
          </v:shape>
          <o:OLEObject Type="Embed" ProgID="Equation.DSMT4" ShapeID="_x0000_i3521" DrawAspect="Content" ObjectID="_1791377465" r:id="rId5031"/>
        </w:object>
      </w:r>
    </w:p>
    <w:p w14:paraId="00EF9DEE" w14:textId="77777777" w:rsidR="00411620" w:rsidRPr="00A40DDC" w:rsidRDefault="00411620" w:rsidP="00411620">
      <w:pPr>
        <w:pStyle w:val="MTDisplayEquation"/>
        <w:spacing w:line="216" w:lineRule="auto"/>
        <w:jc w:val="left"/>
        <w:rPr>
          <w:rFonts w:ascii="Times New Roman" w:eastAsiaTheme="minorEastAsia" w:hAnsi="Times New Roman" w:cs="B Nazanin"/>
          <w:i/>
          <w:sz w:val="23"/>
          <w:szCs w:val="23"/>
          <w:lang w:bidi="fa-IR"/>
        </w:rPr>
      </w:pPr>
      <w:r w:rsidRPr="00A40DDC">
        <w:rPr>
          <w:position w:val="-28"/>
        </w:rPr>
        <w:object w:dxaOrig="2900" w:dyaOrig="660" w14:anchorId="506AD25D">
          <v:shape id="_x0000_i3522" type="#_x0000_t75" style="width:145.2pt;height:32.65pt" o:ole="">
            <v:imagedata r:id="rId5032" o:title=""/>
          </v:shape>
          <o:OLEObject Type="Embed" ProgID="Equation.DSMT4" ShapeID="_x0000_i3522" DrawAspect="Content" ObjectID="_1791377466" r:id="rId5033"/>
        </w:object>
      </w:r>
    </w:p>
    <w:p w14:paraId="038A600C" w14:textId="77777777" w:rsidR="00411620" w:rsidRPr="00A40DDC" w:rsidRDefault="00411620" w:rsidP="00411620">
      <w:pPr>
        <w:spacing w:line="216" w:lineRule="auto"/>
        <w:rPr>
          <w:rFonts w:eastAsiaTheme="minorEastAsia"/>
          <w:i/>
          <w:sz w:val="23"/>
          <w:szCs w:val="23"/>
          <w:rtl/>
        </w:rPr>
      </w:pPr>
      <w:r w:rsidRPr="00A40DDC">
        <w:rPr>
          <w:rFonts w:eastAsiaTheme="minorEastAsia"/>
          <w:i/>
          <w:sz w:val="23"/>
          <w:szCs w:val="23"/>
          <w:rtl/>
        </w:rPr>
        <w:t>از طرفی چون</w:t>
      </w:r>
    </w:p>
    <w:p w14:paraId="6E9362C2"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lang w:bidi="fa-IR"/>
        </w:rPr>
      </w:pPr>
      <w:r w:rsidRPr="00A40DDC">
        <w:rPr>
          <w:position w:val="-28"/>
        </w:rPr>
        <w:object w:dxaOrig="4239" w:dyaOrig="639" w14:anchorId="2D150DA2">
          <v:shape id="_x0000_i3523" type="#_x0000_t75" style="width:211.75pt;height:32.05pt" o:ole="">
            <v:imagedata r:id="rId5034" o:title=""/>
          </v:shape>
          <o:OLEObject Type="Embed" ProgID="Equation.DSMT4" ShapeID="_x0000_i3523" DrawAspect="Content" ObjectID="_1791377467" r:id="rId5035"/>
        </w:object>
      </w:r>
      <w:r w:rsidRPr="00A40DDC">
        <w:rPr>
          <w:rFonts w:ascii="Times New Roman" w:hAnsi="Times New Roman" w:cs="B Nazanin" w:hint="cs"/>
          <w:i/>
          <w:sz w:val="23"/>
          <w:szCs w:val="23"/>
          <w:rtl/>
        </w:rPr>
        <w:t xml:space="preserve"> </w:t>
      </w:r>
    </w:p>
    <w:p w14:paraId="27408CDE" w14:textId="77777777" w:rsidR="00411620" w:rsidRPr="00A40DDC" w:rsidRDefault="00411620" w:rsidP="00411620">
      <w:pPr>
        <w:spacing w:line="216" w:lineRule="auto"/>
        <w:rPr>
          <w:rFonts w:eastAsiaTheme="minorEastAsia"/>
          <w:i/>
          <w:sz w:val="23"/>
          <w:szCs w:val="23"/>
          <w:rtl/>
        </w:rPr>
      </w:pPr>
      <w:r w:rsidRPr="00A40DDC">
        <w:rPr>
          <w:rFonts w:eastAsiaTheme="minorEastAsia"/>
          <w:i/>
          <w:sz w:val="23"/>
          <w:szCs w:val="23"/>
          <w:rtl/>
        </w:rPr>
        <w:t>و</w:t>
      </w:r>
      <w:r w:rsidRPr="00A40DDC">
        <w:rPr>
          <w:rFonts w:eastAsiaTheme="minorEastAsia" w:hint="cs"/>
          <w:i/>
          <w:sz w:val="23"/>
          <w:szCs w:val="23"/>
          <w:rtl/>
        </w:rPr>
        <w:t xml:space="preserve"> بنابر تعریف</w:t>
      </w:r>
      <w:r w:rsidRPr="00A40DDC">
        <w:rPr>
          <w:rFonts w:eastAsiaTheme="minorEastAsia"/>
          <w:i/>
          <w:sz w:val="23"/>
          <w:szCs w:val="23"/>
          <w:rtl/>
        </w:rPr>
        <w:t xml:space="preserve"> </w:t>
      </w:r>
      <w:r w:rsidRPr="00A40DDC">
        <w:rPr>
          <w:position w:val="-10"/>
        </w:rPr>
        <w:object w:dxaOrig="859" w:dyaOrig="320" w14:anchorId="1BB8BD25">
          <v:shape id="_x0000_i3524" type="#_x0000_t75" style="width:42.95pt;height:15.75pt" o:ole="">
            <v:imagedata r:id="rId5036" o:title=""/>
          </v:shape>
          <o:OLEObject Type="Embed" ProgID="Equation.DSMT4" ShapeID="_x0000_i3524" DrawAspect="Content" ObjectID="_1791377468" r:id="rId5037"/>
        </w:object>
      </w:r>
      <w:r w:rsidRPr="00A40DDC">
        <w:rPr>
          <w:rFonts w:eastAsiaTheme="minorEastAsia"/>
          <w:i/>
          <w:sz w:val="23"/>
          <w:szCs w:val="23"/>
          <w:rtl/>
        </w:rPr>
        <w:t xml:space="preserve"> </w:t>
      </w:r>
      <w:r w:rsidRPr="00A40DDC">
        <w:rPr>
          <w:rFonts w:eastAsiaTheme="minorEastAsia" w:hint="cs"/>
          <w:i/>
          <w:sz w:val="23"/>
          <w:szCs w:val="23"/>
          <w:rtl/>
        </w:rPr>
        <w:t>لذا</w:t>
      </w:r>
      <w:r w:rsidRPr="00A40DDC">
        <w:rPr>
          <w:rFonts w:eastAsiaTheme="minorEastAsia"/>
          <w:i/>
          <w:sz w:val="23"/>
          <w:szCs w:val="23"/>
          <w:rtl/>
        </w:rPr>
        <w:t xml:space="preserve"> </w:t>
      </w:r>
    </w:p>
    <w:p w14:paraId="7268F9E3"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28"/>
        </w:rPr>
        <w:object w:dxaOrig="5539" w:dyaOrig="639" w14:anchorId="193CFE40">
          <v:shape id="_x0000_i3525" type="#_x0000_t75" style="width:277.1pt;height:32.05pt" o:ole="">
            <v:imagedata r:id="rId5038" o:title=""/>
          </v:shape>
          <o:OLEObject Type="Embed" ProgID="Equation.DSMT4" ShapeID="_x0000_i3525" DrawAspect="Content" ObjectID="_1791377469" r:id="rId5039"/>
        </w:object>
      </w:r>
    </w:p>
    <w:p w14:paraId="4047601E" w14:textId="77777777" w:rsidR="00411620" w:rsidRPr="00A40DDC" w:rsidRDefault="00411620" w:rsidP="00411620">
      <w:pPr>
        <w:spacing w:line="216" w:lineRule="auto"/>
        <w:rPr>
          <w:rFonts w:eastAsiaTheme="minorEastAsia"/>
          <w:i/>
          <w:sz w:val="23"/>
          <w:szCs w:val="23"/>
        </w:rPr>
      </w:pPr>
      <w:r w:rsidRPr="00A40DDC">
        <w:rPr>
          <w:rFonts w:eastAsiaTheme="minorEastAsia" w:hint="cs"/>
          <w:i/>
          <w:sz w:val="23"/>
          <w:szCs w:val="23"/>
          <w:rtl/>
        </w:rPr>
        <w:t xml:space="preserve">که در آن </w:t>
      </w:r>
      <w:r w:rsidRPr="00A40DDC">
        <w:rPr>
          <w:position w:val="-10"/>
        </w:rPr>
        <w:object w:dxaOrig="1420" w:dyaOrig="320" w14:anchorId="53F28D81">
          <v:shape id="_x0000_i3526" type="#_x0000_t75" style="width:70.8pt;height:15.75pt" o:ole="">
            <v:imagedata r:id="rId5040" o:title=""/>
          </v:shape>
          <o:OLEObject Type="Embed" ProgID="Equation.DSMT4" ShapeID="_x0000_i3526" DrawAspect="Content" ObjectID="_1791377470" r:id="rId5041"/>
        </w:object>
      </w:r>
      <w:r w:rsidRPr="00A40DDC">
        <w:rPr>
          <w:rFonts w:eastAsiaTheme="minorEastAsia" w:hint="cs"/>
          <w:i/>
          <w:sz w:val="23"/>
          <w:szCs w:val="23"/>
          <w:rtl/>
        </w:rPr>
        <w:t xml:space="preserve"> برابراست با رشد نرخ ارز اسمی. </w:t>
      </w:r>
      <w:r w:rsidRPr="00A40DDC">
        <w:rPr>
          <w:rFonts w:eastAsiaTheme="minorEastAsia"/>
          <w:i/>
          <w:sz w:val="23"/>
          <w:szCs w:val="23"/>
          <w:rtl/>
        </w:rPr>
        <w:t>بنابراین</w:t>
      </w:r>
    </w:p>
    <w:p w14:paraId="0D3F330C" w14:textId="77777777" w:rsidR="00411620" w:rsidRPr="00A40DDC" w:rsidRDefault="00411620" w:rsidP="00411620">
      <w:pPr>
        <w:pStyle w:val="MTDisplayEquation"/>
        <w:tabs>
          <w:tab w:val="clear" w:pos="6660"/>
          <w:tab w:val="right" w:pos="6804"/>
        </w:tabs>
        <w:spacing w:line="216" w:lineRule="auto"/>
        <w:rPr>
          <w:rFonts w:ascii="Times New Roman" w:eastAsiaTheme="minorEastAsia" w:hAnsi="Times New Roman" w:cs="B Nazanin"/>
          <w:i/>
          <w:sz w:val="23"/>
          <w:szCs w:val="23"/>
          <w:lang w:bidi="fa-IR"/>
        </w:rPr>
      </w:pPr>
      <w:r w:rsidRPr="00A40DDC">
        <w:rPr>
          <w:position w:val="-30"/>
        </w:rPr>
        <w:object w:dxaOrig="5780" w:dyaOrig="700" w14:anchorId="1B2B66CE">
          <v:shape id="_x0000_i3527" type="#_x0000_t75" style="width:289.2pt;height:35.1pt" o:ole="">
            <v:imagedata r:id="rId5042" o:title=""/>
          </v:shape>
          <o:OLEObject Type="Embed" ProgID="Equation.DSMT4" ShapeID="_x0000_i3527" DrawAspect="Content" ObjectID="_1791377471" r:id="rId5043"/>
        </w:object>
      </w:r>
      <w:r>
        <w:rPr>
          <w:rtl/>
        </w:rPr>
        <w:tab/>
      </w:r>
      <w:r w:rsidRPr="00A40DDC">
        <w:rPr>
          <w:rFonts w:ascii="Times New Roman" w:hAnsi="Times New Roman" w:cs="B Nazanin" w:hint="cs"/>
          <w:i/>
          <w:sz w:val="23"/>
          <w:szCs w:val="23"/>
          <w:rtl/>
        </w:rPr>
        <w:t>(۷. ۳)</w:t>
      </w:r>
    </w:p>
    <w:p w14:paraId="4C960629" w14:textId="77777777" w:rsidR="00411620" w:rsidRPr="00A40DDC" w:rsidRDefault="00411620" w:rsidP="00411620">
      <w:pPr>
        <w:spacing w:line="216" w:lineRule="auto"/>
        <w:rPr>
          <w:rFonts w:eastAsiaTheme="minorEastAsia"/>
          <w:i/>
          <w:sz w:val="23"/>
          <w:szCs w:val="23"/>
        </w:rPr>
      </w:pPr>
      <w:r w:rsidRPr="00A40DDC">
        <w:rPr>
          <w:rFonts w:eastAsiaTheme="minorEastAsia" w:hint="cs"/>
          <w:i/>
          <w:sz w:val="23"/>
          <w:szCs w:val="23"/>
          <w:rtl/>
        </w:rPr>
        <w:t>و چون داریم:</w:t>
      </w:r>
    </w:p>
    <w:p w14:paraId="32773294" w14:textId="77777777" w:rsidR="00411620" w:rsidRPr="00A40DDC" w:rsidRDefault="00411620" w:rsidP="00411620">
      <w:pPr>
        <w:pStyle w:val="MTDisplayEquation"/>
        <w:spacing w:line="216" w:lineRule="auto"/>
        <w:rPr>
          <w:rFonts w:ascii="Times New Roman" w:hAnsi="Times New Roman"/>
          <w:i/>
          <w:sz w:val="23"/>
          <w:szCs w:val="23"/>
          <w:rtl/>
        </w:rPr>
      </w:pPr>
      <w:r w:rsidRPr="00A40DDC">
        <w:rPr>
          <w:position w:val="-10"/>
        </w:rPr>
        <w:object w:dxaOrig="1420" w:dyaOrig="340" w14:anchorId="6B13B79D">
          <v:shape id="_x0000_i3528" type="#_x0000_t75" style="width:70.8pt;height:16.95pt" o:ole="">
            <v:imagedata r:id="rId5044" o:title=""/>
          </v:shape>
          <o:OLEObject Type="Embed" ProgID="Equation.DSMT4" ShapeID="_x0000_i3528" DrawAspect="Content" ObjectID="_1791377472" r:id="rId5045"/>
        </w:object>
      </w:r>
    </w:p>
    <w:p w14:paraId="21DC2FE2" w14:textId="77777777" w:rsidR="00411620" w:rsidRPr="00A40DDC" w:rsidRDefault="00411620" w:rsidP="00411620">
      <w:pPr>
        <w:spacing w:line="216" w:lineRule="auto"/>
        <w:rPr>
          <w:rFonts w:eastAsiaTheme="minorEastAsia"/>
          <w:i/>
          <w:sz w:val="23"/>
          <w:szCs w:val="23"/>
          <w:lang w:bidi="ar-SA"/>
        </w:rPr>
      </w:pPr>
      <w:r w:rsidRPr="00A40DDC">
        <w:rPr>
          <w:rFonts w:eastAsiaTheme="minorEastAsia" w:hint="cs"/>
          <w:i/>
          <w:sz w:val="23"/>
          <w:szCs w:val="23"/>
          <w:rtl/>
          <w:lang w:bidi="ar-SA"/>
        </w:rPr>
        <w:t>لذا خالص دارایی خارجی بر حسب پول داخلی و به قیمت حقیقی برابر است با</w:t>
      </w:r>
    </w:p>
    <w:p w14:paraId="1725BBF5"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28"/>
        </w:rPr>
        <w:object w:dxaOrig="4420" w:dyaOrig="660" w14:anchorId="6E77E683">
          <v:shape id="_x0000_i3529" type="#_x0000_t75" style="width:220.85pt;height:32.65pt" o:ole="">
            <v:imagedata r:id="rId5046" o:title=""/>
          </v:shape>
          <o:OLEObject Type="Embed" ProgID="Equation.DSMT4" ShapeID="_x0000_i3529" DrawAspect="Content" ObjectID="_1791377473" r:id="rId5047"/>
        </w:object>
      </w:r>
    </w:p>
    <w:p w14:paraId="1DA86B17"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و با جایگذاری آن در رابطه</w:t>
      </w:r>
      <w:r w:rsidRPr="00A40DDC">
        <w:rPr>
          <w:rFonts w:eastAsiaTheme="minorEastAsia"/>
          <w:i/>
          <w:sz w:val="23"/>
          <w:szCs w:val="23"/>
          <w:rtl/>
        </w:rPr>
        <w:softHyphen/>
      </w:r>
      <w:r w:rsidRPr="00A40DDC">
        <w:rPr>
          <w:rFonts w:eastAsiaTheme="minorEastAsia" w:hint="cs"/>
          <w:i/>
          <w:sz w:val="23"/>
          <w:szCs w:val="23"/>
          <w:rtl/>
        </w:rPr>
        <w:t>ی (۷. ۳) داریم</w:t>
      </w:r>
    </w:p>
    <w:p w14:paraId="612116F6" w14:textId="77777777" w:rsidR="00411620" w:rsidRPr="00A40DDC" w:rsidRDefault="00411620" w:rsidP="00411620">
      <w:pPr>
        <w:pStyle w:val="MTDisplayEquation"/>
        <w:tabs>
          <w:tab w:val="clear" w:pos="6660"/>
        </w:tabs>
        <w:spacing w:line="216" w:lineRule="auto"/>
        <w:rPr>
          <w:rFonts w:ascii="Times New Roman" w:eastAsiaTheme="minorEastAsia" w:hAnsi="Times New Roman" w:cs="B Nazanin"/>
          <w:i/>
          <w:sz w:val="23"/>
          <w:szCs w:val="23"/>
          <w:lang w:bidi="fa-IR"/>
        </w:rPr>
      </w:pPr>
      <w:r w:rsidRPr="00A40DDC">
        <w:rPr>
          <w:position w:val="-52"/>
        </w:rPr>
        <w:object w:dxaOrig="5400" w:dyaOrig="1140" w14:anchorId="08D31FC3">
          <v:shape id="_x0000_i3530" type="#_x0000_t75" style="width:270.45pt;height:57.5pt" o:ole="">
            <v:imagedata r:id="rId5048" o:title=""/>
          </v:shape>
          <o:OLEObject Type="Embed" ProgID="Equation.DSMT4" ShapeID="_x0000_i3530" DrawAspect="Content" ObjectID="_1791377474" r:id="rId5049"/>
        </w:object>
      </w:r>
      <w:r w:rsidRPr="00A40DDC">
        <w:rPr>
          <w:rFonts w:ascii="Times New Roman" w:hAnsi="Times New Roman" w:cs="B Nazanin"/>
          <w:i/>
          <w:sz w:val="23"/>
          <w:szCs w:val="23"/>
          <w:rtl/>
        </w:rPr>
        <w:tab/>
      </w:r>
      <w:r>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۴)</w:t>
      </w:r>
    </w:p>
    <w:p w14:paraId="4D7AD1C1"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در رابطه</w:t>
      </w:r>
      <w:r w:rsidRPr="00A40DDC">
        <w:rPr>
          <w:rFonts w:eastAsiaTheme="minorEastAsia"/>
          <w:i/>
          <w:sz w:val="23"/>
          <w:szCs w:val="23"/>
          <w:rtl/>
        </w:rPr>
        <w:softHyphen/>
      </w:r>
      <w:r w:rsidRPr="00A40DDC">
        <w:rPr>
          <w:rFonts w:eastAsiaTheme="minorEastAsia" w:hint="cs"/>
          <w:i/>
          <w:sz w:val="23"/>
          <w:szCs w:val="23"/>
          <w:rtl/>
        </w:rPr>
        <w:t>ی فوق</w:t>
      </w:r>
      <w:r w:rsidRPr="00A40DDC">
        <w:rPr>
          <w:position w:val="-10"/>
        </w:rPr>
        <w:object w:dxaOrig="200" w:dyaOrig="320" w14:anchorId="26762C2C">
          <v:shape id="_x0000_i3531" type="#_x0000_t75" style="width:10.3pt;height:15.75pt" o:ole="">
            <v:imagedata r:id="rId5050" o:title=""/>
          </v:shape>
          <o:OLEObject Type="Embed" ProgID="Equation.DSMT4" ShapeID="_x0000_i3531" DrawAspect="Content" ObjectID="_1791377475" r:id="rId5051"/>
        </w:object>
      </w:r>
      <w:r w:rsidRPr="00A40DDC">
        <w:rPr>
          <w:rFonts w:eastAsiaTheme="minorEastAsia" w:hint="cs"/>
          <w:i/>
          <w:sz w:val="23"/>
          <w:szCs w:val="23"/>
          <w:rtl/>
        </w:rPr>
        <w:t xml:space="preserve"> خالص دارایی‌های خارجی در داخل بر حسب قیمت‌های داخلی و در شروع دوره </w:t>
      </w:r>
      <w:r w:rsidRPr="00A40DDC">
        <w:rPr>
          <w:rFonts w:eastAsiaTheme="minorEastAsia"/>
          <w:i/>
          <w:sz w:val="23"/>
          <w:szCs w:val="23"/>
        </w:rPr>
        <w:t>t</w:t>
      </w:r>
      <w:r w:rsidRPr="00A40DDC">
        <w:rPr>
          <w:rFonts w:eastAsiaTheme="minorEastAsia" w:hint="cs"/>
          <w:i/>
          <w:sz w:val="23"/>
          <w:szCs w:val="23"/>
          <w:rtl/>
        </w:rPr>
        <w:t xml:space="preserve"> است که ممکن است مثبت و یا منفی باشد. برای سهولت فرض می‌کنیم تورم صفر است و نرخ ارز اسمی ثابت است،</w:t>
      </w:r>
      <w:r w:rsidRPr="00A40DDC">
        <w:rPr>
          <w:position w:val="-12"/>
        </w:rPr>
        <w:object w:dxaOrig="1939" w:dyaOrig="360" w14:anchorId="1E894D88">
          <v:shape id="_x0000_i3532" type="#_x0000_t75" style="width:97.4pt;height:18.15pt" o:ole="">
            <v:imagedata r:id="rId5052" o:title=""/>
          </v:shape>
          <o:OLEObject Type="Embed" ProgID="Equation.DSMT4" ShapeID="_x0000_i3532" DrawAspect="Content" ObjectID="_1791377476" r:id="rId5053"/>
        </w:object>
      </w:r>
      <w:r w:rsidRPr="00A40DDC">
        <w:rPr>
          <w:rFonts w:eastAsiaTheme="minorEastAsia" w:hint="cs"/>
          <w:i/>
          <w:sz w:val="23"/>
          <w:szCs w:val="23"/>
          <w:rtl/>
        </w:rPr>
        <w:t>، و همچنین نرخ بهره</w:t>
      </w:r>
      <w:r w:rsidRPr="00A40DDC">
        <w:rPr>
          <w:rFonts w:eastAsiaTheme="minorEastAsia"/>
          <w:i/>
          <w:sz w:val="23"/>
          <w:szCs w:val="23"/>
          <w:rtl/>
        </w:rPr>
        <w:softHyphen/>
      </w:r>
      <w:r w:rsidRPr="00A40DDC">
        <w:rPr>
          <w:rFonts w:eastAsiaTheme="minorEastAsia" w:hint="cs"/>
          <w:i/>
          <w:sz w:val="23"/>
          <w:szCs w:val="23"/>
          <w:rtl/>
        </w:rPr>
        <w:t>ی اسمی</w:t>
      </w:r>
      <w:r w:rsidRPr="00A40DDC">
        <w:rPr>
          <w:position w:val="-6"/>
        </w:rPr>
        <w:object w:dxaOrig="240" w:dyaOrig="260" w14:anchorId="14702111">
          <v:shape id="_x0000_i3533" type="#_x0000_t75" style="width:11.5pt;height:13.3pt" o:ole="">
            <v:imagedata r:id="rId5054" o:title=""/>
          </v:shape>
          <o:OLEObject Type="Embed" ProgID="Equation.DSMT4" ShapeID="_x0000_i3533" DrawAspect="Content" ObjectID="_1791377477" r:id="rId5055"/>
        </w:object>
      </w:r>
      <w:r w:rsidRPr="00A40DDC">
        <w:rPr>
          <w:rFonts w:eastAsiaTheme="minorEastAsia"/>
          <w:i/>
          <w:sz w:val="23"/>
          <w:szCs w:val="23"/>
        </w:rPr>
        <w:t xml:space="preserve"> </w:t>
      </w:r>
      <w:r w:rsidRPr="00A40DDC">
        <w:rPr>
          <w:rFonts w:eastAsiaTheme="minorEastAsia" w:hint="cs"/>
          <w:i/>
          <w:sz w:val="23"/>
          <w:szCs w:val="23"/>
          <w:rtl/>
        </w:rPr>
        <w:t>و</w:t>
      </w:r>
      <w:r w:rsidRPr="00A40DDC">
        <w:rPr>
          <w:rFonts w:eastAsiaTheme="minorEastAsia"/>
          <w:i/>
          <w:sz w:val="23"/>
          <w:szCs w:val="23"/>
        </w:rPr>
        <w:t xml:space="preserve"> </w:t>
      </w:r>
      <w:r w:rsidRPr="00A40DDC">
        <w:rPr>
          <w:position w:val="-6"/>
        </w:rPr>
        <w:object w:dxaOrig="300" w:dyaOrig="300" w14:anchorId="2CB147AB">
          <v:shape id="_x0000_i3534" type="#_x0000_t75" style="width:14.5pt;height:14.5pt" o:ole="">
            <v:imagedata r:id="rId5056" o:title=""/>
          </v:shape>
          <o:OLEObject Type="Embed" ProgID="Equation.DSMT4" ShapeID="_x0000_i3534" DrawAspect="Content" ObjectID="_1791377478" r:id="rId5057"/>
        </w:object>
      </w:r>
      <w:r w:rsidRPr="00A40DDC">
        <w:rPr>
          <w:rFonts w:eastAsiaTheme="minorEastAsia" w:hint="cs"/>
          <w:i/>
          <w:sz w:val="23"/>
          <w:szCs w:val="23"/>
          <w:vertAlign w:val="superscript"/>
          <w:rtl/>
        </w:rPr>
        <w:t xml:space="preserve"> </w:t>
      </w:r>
      <w:r w:rsidRPr="00A40DDC">
        <w:rPr>
          <w:rFonts w:eastAsiaTheme="minorEastAsia" w:hint="cs"/>
          <w:i/>
          <w:sz w:val="23"/>
          <w:szCs w:val="23"/>
          <w:rtl/>
        </w:rPr>
        <w:t>برابر نرخ</w:t>
      </w:r>
      <w:r w:rsidRPr="00A40DDC">
        <w:rPr>
          <w:rFonts w:eastAsiaTheme="minorEastAsia"/>
          <w:i/>
          <w:sz w:val="23"/>
          <w:szCs w:val="23"/>
          <w:rtl/>
        </w:rPr>
        <w:softHyphen/>
      </w:r>
      <w:r w:rsidRPr="00A40DDC">
        <w:rPr>
          <w:rFonts w:eastAsiaTheme="minorEastAsia" w:hint="cs"/>
          <w:i/>
          <w:sz w:val="23"/>
          <w:szCs w:val="23"/>
          <w:rtl/>
        </w:rPr>
        <w:t>های بهره حقیقی</w:t>
      </w:r>
      <w:r w:rsidRPr="00A40DDC">
        <w:rPr>
          <w:rFonts w:eastAsiaTheme="minorEastAsia"/>
          <w:i/>
          <w:sz w:val="23"/>
          <w:szCs w:val="23"/>
        </w:rPr>
        <w:t xml:space="preserve"> </w:t>
      </w:r>
      <w:r w:rsidRPr="00025957">
        <w:rPr>
          <w:position w:val="-4"/>
        </w:rPr>
        <w:object w:dxaOrig="180" w:dyaOrig="180" w14:anchorId="28173155">
          <v:shape id="_x0000_i3535" type="#_x0000_t75" style="width:9.1pt;height:9.1pt" o:ole="">
            <v:imagedata r:id="rId5058" o:title=""/>
          </v:shape>
          <o:OLEObject Type="Embed" ProgID="Equation.DSMT4" ShapeID="_x0000_i3535" DrawAspect="Content" ObjectID="_1791377479" r:id="rId5059"/>
        </w:object>
      </w:r>
      <w:r w:rsidRPr="00A40DDC">
        <w:rPr>
          <w:rFonts w:eastAsiaTheme="minorEastAsia" w:hint="cs"/>
          <w:i/>
          <w:sz w:val="23"/>
          <w:szCs w:val="23"/>
          <w:rtl/>
        </w:rPr>
        <w:t>و</w:t>
      </w:r>
      <w:r w:rsidRPr="00025957">
        <w:rPr>
          <w:position w:val="-4"/>
        </w:rPr>
        <w:object w:dxaOrig="240" w:dyaOrig="279" w14:anchorId="1CCC44ED">
          <v:shape id="_x0000_i3536" type="#_x0000_t75" style="width:11.5pt;height:13.9pt" o:ole="">
            <v:imagedata r:id="rId5060" o:title=""/>
          </v:shape>
          <o:OLEObject Type="Embed" ProgID="Equation.DSMT4" ShapeID="_x0000_i3536" DrawAspect="Content" ObjectID="_1791377480" r:id="rId5061"/>
        </w:object>
      </w:r>
      <w:r w:rsidRPr="00A40DDC">
        <w:rPr>
          <w:rFonts w:eastAsiaTheme="minorEastAsia" w:hint="cs"/>
          <w:i/>
          <w:sz w:val="23"/>
          <w:szCs w:val="23"/>
          <w:rtl/>
        </w:rPr>
        <w:t xml:space="preserve"> است. همچنین فرض می‌کنیم</w:t>
      </w:r>
      <w:r w:rsidRPr="00025957">
        <w:rPr>
          <w:position w:val="-4"/>
        </w:rPr>
        <w:object w:dxaOrig="560" w:dyaOrig="279" w14:anchorId="637CF0AB">
          <v:shape id="_x0000_i3537" type="#_x0000_t75" style="width:27.85pt;height:13.9pt" o:ole="">
            <v:imagedata r:id="rId5062" o:title=""/>
          </v:shape>
          <o:OLEObject Type="Embed" ProgID="Equation.DSMT4" ShapeID="_x0000_i3537" DrawAspect="Content" ObjectID="_1791377481" r:id="rId5063"/>
        </w:object>
      </w:r>
      <w:r w:rsidRPr="00A40DDC">
        <w:rPr>
          <w:rFonts w:eastAsiaTheme="minorEastAsia" w:hint="cs"/>
          <w:i/>
          <w:sz w:val="23"/>
          <w:szCs w:val="23"/>
          <w:rtl/>
        </w:rPr>
        <w:t>. در این صورت رابطه</w:t>
      </w:r>
      <w:r w:rsidRPr="00A40DDC">
        <w:rPr>
          <w:rFonts w:eastAsiaTheme="minorEastAsia"/>
          <w:i/>
          <w:sz w:val="23"/>
          <w:szCs w:val="23"/>
          <w:rtl/>
        </w:rPr>
        <w:softHyphen/>
      </w:r>
      <w:r w:rsidRPr="00A40DDC">
        <w:rPr>
          <w:rFonts w:eastAsiaTheme="minorEastAsia" w:hint="cs"/>
          <w:i/>
          <w:sz w:val="23"/>
          <w:szCs w:val="23"/>
          <w:rtl/>
        </w:rPr>
        <w:t xml:space="preserve">ی </w:t>
      </w:r>
      <w:r w:rsidRPr="00A40DDC">
        <w:rPr>
          <w:rFonts w:hint="cs"/>
          <w:i/>
          <w:sz w:val="23"/>
          <w:szCs w:val="23"/>
          <w:rtl/>
        </w:rPr>
        <w:t>(۷. ۴</w:t>
      </w:r>
      <w:r w:rsidRPr="00A40DDC">
        <w:rPr>
          <w:i/>
          <w:sz w:val="23"/>
          <w:szCs w:val="23"/>
        </w:rPr>
        <w:t>(</w:t>
      </w:r>
      <w:r w:rsidRPr="00A40DDC">
        <w:rPr>
          <w:rFonts w:eastAsiaTheme="minorEastAsia" w:hint="cs"/>
          <w:i/>
          <w:sz w:val="23"/>
          <w:szCs w:val="23"/>
          <w:rtl/>
        </w:rPr>
        <w:t xml:space="preserve"> را می‌توان به صورت زیر بازنویسی کرد. </w:t>
      </w:r>
    </w:p>
    <w:p w14:paraId="7BCDB2A6" w14:textId="77777777" w:rsidR="00411620" w:rsidRPr="00A40DDC" w:rsidRDefault="00411620" w:rsidP="00411620">
      <w:pPr>
        <w:bidi w:val="0"/>
        <w:spacing w:line="216" w:lineRule="auto"/>
        <w:rPr>
          <w:rFonts w:eastAsiaTheme="minorEastAsia"/>
          <w:i/>
          <w:sz w:val="23"/>
          <w:szCs w:val="23"/>
        </w:rPr>
      </w:pPr>
      <w:r w:rsidRPr="00A40DDC">
        <w:rPr>
          <w:position w:val="-10"/>
        </w:rPr>
        <w:object w:dxaOrig="3379" w:dyaOrig="340" w14:anchorId="4B29AF48">
          <v:shape id="_x0000_i3538" type="#_x0000_t75" style="width:168.8pt;height:16.95pt" o:ole="">
            <v:imagedata r:id="rId5064" o:title=""/>
          </v:shape>
          <o:OLEObject Type="Embed" ProgID="Equation.DSMT4" ShapeID="_x0000_i3538" DrawAspect="Content" ObjectID="_1791377482" r:id="rId5065"/>
        </w:object>
      </w:r>
      <w:r w:rsidRPr="00A40DDC">
        <w:rPr>
          <w:rFonts w:eastAsiaTheme="minorEastAsia" w:hint="cs"/>
          <w:i/>
          <w:sz w:val="23"/>
          <w:szCs w:val="23"/>
          <w:rtl/>
        </w:rPr>
        <w:t xml:space="preserve"> </w:t>
      </w:r>
      <w:r w:rsidRPr="00A40DDC">
        <w:rPr>
          <w:rFonts w:eastAsiaTheme="minorEastAsia"/>
          <w:i/>
          <w:sz w:val="23"/>
          <w:szCs w:val="23"/>
        </w:rPr>
        <w:tab/>
      </w:r>
      <w:r w:rsidRPr="00A40DDC">
        <w:rPr>
          <w:rFonts w:eastAsiaTheme="minorEastAsia"/>
          <w:i/>
          <w:sz w:val="23"/>
          <w:szCs w:val="23"/>
        </w:rPr>
        <w:tab/>
      </w:r>
      <w:r w:rsidRPr="00A40DDC">
        <w:rPr>
          <w:rFonts w:eastAsiaTheme="minorEastAsia"/>
          <w:i/>
          <w:sz w:val="23"/>
          <w:szCs w:val="23"/>
          <w:rtl/>
        </w:rPr>
        <w:tab/>
      </w:r>
      <w:r w:rsidRPr="00A40DDC">
        <w:rPr>
          <w:rFonts w:eastAsiaTheme="minorEastAsia"/>
          <w:i/>
          <w:sz w:val="23"/>
          <w:szCs w:val="23"/>
          <w:rtl/>
        </w:rPr>
        <w:tab/>
      </w:r>
      <w:r w:rsidRPr="00A40DDC">
        <w:rPr>
          <w:rFonts w:eastAsiaTheme="minorEastAsia"/>
          <w:i/>
          <w:sz w:val="23"/>
          <w:szCs w:val="23"/>
          <w:rtl/>
        </w:rPr>
        <w:tab/>
      </w:r>
      <w:r w:rsidRPr="00A40DDC">
        <w:rPr>
          <w:rFonts w:eastAsiaTheme="minorEastAsia"/>
          <w:i/>
          <w:sz w:val="23"/>
          <w:szCs w:val="23"/>
          <w:rtl/>
        </w:rPr>
        <w:tab/>
      </w:r>
      <w:r w:rsidRPr="00A40DDC">
        <w:rPr>
          <w:rFonts w:eastAsiaTheme="minorEastAsia"/>
          <w:i/>
          <w:sz w:val="23"/>
          <w:szCs w:val="23"/>
        </w:rPr>
        <w:tab/>
      </w:r>
      <w:r w:rsidRPr="00A40DDC">
        <w:rPr>
          <w:rFonts w:eastAsiaTheme="minorEastAsia"/>
          <w:i/>
          <w:sz w:val="23"/>
          <w:szCs w:val="23"/>
          <w:rtl/>
        </w:rPr>
        <w:tab/>
      </w:r>
      <w:r>
        <w:rPr>
          <w:rFonts w:eastAsiaTheme="minorEastAsia"/>
          <w:i/>
          <w:sz w:val="23"/>
          <w:szCs w:val="23"/>
          <w:rtl/>
        </w:rPr>
        <w:tab/>
      </w:r>
      <w:r w:rsidRPr="00A40DDC">
        <w:rPr>
          <w:rFonts w:eastAsiaTheme="minorEastAsia"/>
          <w:i/>
          <w:sz w:val="23"/>
          <w:szCs w:val="23"/>
        </w:rPr>
        <w:tab/>
      </w:r>
      <w:r w:rsidRPr="00A40DDC">
        <w:rPr>
          <w:rFonts w:eastAsiaTheme="minorEastAsia" w:hint="cs"/>
          <w:i/>
          <w:sz w:val="23"/>
          <w:szCs w:val="23"/>
          <w:rtl/>
        </w:rPr>
        <w:t xml:space="preserve">(۷. ۵) </w:t>
      </w:r>
    </w:p>
    <w:p w14:paraId="1D4B8CD5"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lastRenderedPageBreak/>
        <w:t xml:space="preserve">که در آن </w:t>
      </w:r>
      <w:r w:rsidRPr="00A40DDC">
        <w:rPr>
          <w:position w:val="-28"/>
        </w:rPr>
        <w:object w:dxaOrig="960" w:dyaOrig="639" w14:anchorId="19362ADC">
          <v:shape id="_x0000_i3539" type="#_x0000_t75" style="width:47.8pt;height:32.05pt" o:ole="">
            <v:imagedata r:id="rId5066" o:title=""/>
          </v:shape>
          <o:OLEObject Type="Embed" ProgID="Equation.DSMT4" ShapeID="_x0000_i3539" DrawAspect="Content" ObjectID="_1791377483" r:id="rId5067"/>
        </w:object>
      </w:r>
      <w:r w:rsidRPr="00A40DDC">
        <w:rPr>
          <w:rStyle w:val="FootnoteReference"/>
          <w:rFonts w:eastAsiaTheme="majorEastAsia"/>
          <w:i/>
          <w:sz w:val="23"/>
          <w:szCs w:val="23"/>
        </w:rPr>
        <w:footnoteReference w:id="176"/>
      </w:r>
      <w:r w:rsidRPr="00A40DDC">
        <w:rPr>
          <w:rFonts w:eastAsiaTheme="minorEastAsia" w:hint="cs"/>
          <w:i/>
          <w:sz w:val="23"/>
          <w:szCs w:val="23"/>
          <w:rtl/>
        </w:rPr>
        <w:t xml:space="preserve"> حساب جاری حقیقی است.</w:t>
      </w:r>
    </w:p>
    <w:p w14:paraId="76668B09"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اکنون فرض می‌کنیم در اقتصاد داخلی کنترل سرمایه وجود ندارد، و اقتصاد به اندازه</w:t>
      </w:r>
      <w:r w:rsidRPr="00A40DDC">
        <w:rPr>
          <w:rFonts w:eastAsiaTheme="minorEastAsia"/>
          <w:i/>
          <w:sz w:val="23"/>
          <w:szCs w:val="23"/>
          <w:rtl/>
        </w:rPr>
        <w:softHyphen/>
      </w:r>
      <w:r w:rsidRPr="00A40DDC">
        <w:rPr>
          <w:rFonts w:eastAsiaTheme="minorEastAsia" w:hint="cs"/>
          <w:i/>
          <w:sz w:val="23"/>
          <w:szCs w:val="23"/>
          <w:rtl/>
        </w:rPr>
        <w:t>ای کوچک است که در بازار سرمایه‌ی دنیا، با استقراض (یا وام دادن)، نتواند نرخ بهره</w:t>
      </w:r>
      <w:r w:rsidRPr="00A40DDC">
        <w:rPr>
          <w:rFonts w:eastAsiaTheme="minorEastAsia"/>
          <w:i/>
          <w:sz w:val="23"/>
          <w:szCs w:val="23"/>
          <w:rtl/>
        </w:rPr>
        <w:softHyphen/>
      </w:r>
      <w:r w:rsidRPr="00A40DDC">
        <w:rPr>
          <w:rFonts w:eastAsiaTheme="minorEastAsia" w:hint="cs"/>
          <w:i/>
          <w:sz w:val="23"/>
          <w:szCs w:val="23"/>
          <w:rtl/>
        </w:rPr>
        <w:t>ی حقیقی خارجی</w:t>
      </w:r>
      <w:r w:rsidRPr="00A40DDC">
        <w:rPr>
          <w:position w:val="-10"/>
        </w:rPr>
        <w:object w:dxaOrig="240" w:dyaOrig="340" w14:anchorId="4E16FB42">
          <v:shape id="_x0000_i3540" type="#_x0000_t75" style="width:11.5pt;height:16.95pt" o:ole="">
            <v:imagedata r:id="rId5068" o:title=""/>
          </v:shape>
          <o:OLEObject Type="Embed" ProgID="Equation.DSMT4" ShapeID="_x0000_i3540" DrawAspect="Content" ObjectID="_1791377484" r:id="rId5069"/>
        </w:object>
      </w:r>
      <w:r w:rsidRPr="00A40DDC">
        <w:rPr>
          <w:rFonts w:eastAsiaTheme="minorEastAsia" w:hint="cs"/>
          <w:i/>
          <w:sz w:val="23"/>
          <w:szCs w:val="23"/>
          <w:vertAlign w:val="superscript"/>
          <w:rtl/>
        </w:rPr>
        <w:t xml:space="preserve"> </w:t>
      </w:r>
      <w:r w:rsidRPr="00A40DDC">
        <w:rPr>
          <w:rFonts w:eastAsiaTheme="minorEastAsia" w:hint="cs"/>
          <w:i/>
          <w:sz w:val="23"/>
          <w:szCs w:val="23"/>
          <w:rtl/>
        </w:rPr>
        <w:t xml:space="preserve">را تغییر دهد. </w:t>
      </w:r>
      <w:r w:rsidRPr="00A40DDC">
        <w:rPr>
          <w:position w:val="-10"/>
        </w:rPr>
        <w:object w:dxaOrig="360" w:dyaOrig="340" w14:anchorId="62B1FBCD">
          <v:shape id="_x0000_i3541" type="#_x0000_t75" style="width:18.15pt;height:16.95pt" o:ole="">
            <v:imagedata r:id="rId5070" o:title=""/>
          </v:shape>
          <o:OLEObject Type="Embed" ProgID="Equation.DSMT4" ShapeID="_x0000_i3541" DrawAspect="Content" ObjectID="_1791377485" r:id="rId5071"/>
        </w:object>
      </w:r>
      <w:r w:rsidRPr="00A40DDC">
        <w:rPr>
          <w:rFonts w:eastAsiaTheme="minorEastAsia" w:hint="cs"/>
          <w:i/>
          <w:sz w:val="23"/>
          <w:szCs w:val="23"/>
          <w:rtl/>
        </w:rPr>
        <w:t xml:space="preserve"> درآمد (یا پرداخت) بهره</w:t>
      </w:r>
      <w:r w:rsidRPr="00A40DDC">
        <w:rPr>
          <w:rFonts w:eastAsiaTheme="minorEastAsia"/>
          <w:i/>
          <w:sz w:val="23"/>
          <w:szCs w:val="23"/>
          <w:rtl/>
        </w:rPr>
        <w:softHyphen/>
      </w:r>
      <w:r w:rsidRPr="00A40DDC">
        <w:rPr>
          <w:rFonts w:eastAsiaTheme="minorEastAsia" w:hint="cs"/>
          <w:i/>
          <w:sz w:val="23"/>
          <w:szCs w:val="23"/>
          <w:rtl/>
        </w:rPr>
        <w:t>ی حاصل از نگهداری (یا بدهی) سرمایه</w:t>
      </w:r>
      <w:r w:rsidRPr="00A40DDC">
        <w:rPr>
          <w:rFonts w:eastAsiaTheme="minorEastAsia"/>
          <w:i/>
          <w:sz w:val="23"/>
          <w:szCs w:val="23"/>
          <w:rtl/>
        </w:rPr>
        <w:softHyphen/>
      </w:r>
      <w:r w:rsidRPr="00A40DDC">
        <w:rPr>
          <w:rFonts w:eastAsiaTheme="minorEastAsia" w:hint="cs"/>
          <w:i/>
          <w:sz w:val="23"/>
          <w:szCs w:val="23"/>
          <w:rtl/>
        </w:rPr>
        <w:t>ی خارجی است که بر حسب قیمت‌های داخلی است. سمت چپ رابطه</w:t>
      </w:r>
      <w:r w:rsidRPr="00A40DDC">
        <w:rPr>
          <w:rFonts w:eastAsiaTheme="minorEastAsia"/>
          <w:i/>
          <w:sz w:val="23"/>
          <w:szCs w:val="23"/>
          <w:rtl/>
        </w:rPr>
        <w:softHyphen/>
      </w:r>
      <w:r w:rsidRPr="00A40DDC">
        <w:rPr>
          <w:rFonts w:eastAsiaTheme="minorEastAsia" w:hint="cs"/>
          <w:i/>
          <w:sz w:val="23"/>
          <w:szCs w:val="23"/>
          <w:rtl/>
        </w:rPr>
        <w:t>ی (۷. ۵) حساب جاری است که برابر است با سمت راست یعنی حساب سرمایه یا تغییرات در خالص دارایی خارجی</w:t>
      </w:r>
      <w:r w:rsidRPr="00A40DDC">
        <w:rPr>
          <w:position w:val="-10"/>
        </w:rPr>
        <w:object w:dxaOrig="460" w:dyaOrig="320" w14:anchorId="6115C5BB">
          <v:shape id="_x0000_i3542" type="#_x0000_t75" style="width:23pt;height:15.75pt" o:ole="">
            <v:imagedata r:id="rId5072" o:title=""/>
          </v:shape>
          <o:OLEObject Type="Embed" ProgID="Equation.DSMT4" ShapeID="_x0000_i3542" DrawAspect="Content" ObjectID="_1791377486" r:id="rId5073"/>
        </w:object>
      </w:r>
      <w:r w:rsidRPr="00A40DDC">
        <w:rPr>
          <w:rFonts w:eastAsiaTheme="minorEastAsia" w:hint="cs"/>
          <w:i/>
          <w:sz w:val="23"/>
          <w:szCs w:val="23"/>
          <w:rtl/>
        </w:rPr>
        <w:t>. بنابراین برای آن که خالص پس</w:t>
      </w:r>
      <w:r w:rsidRPr="00A40DDC">
        <w:rPr>
          <w:rFonts w:eastAsiaTheme="minorEastAsia"/>
          <w:i/>
          <w:sz w:val="23"/>
          <w:szCs w:val="23"/>
          <w:rtl/>
        </w:rPr>
        <w:softHyphen/>
      </w:r>
      <w:r w:rsidRPr="00A40DDC">
        <w:rPr>
          <w:rFonts w:eastAsiaTheme="minorEastAsia" w:hint="cs"/>
          <w:i/>
          <w:sz w:val="23"/>
          <w:szCs w:val="23"/>
          <w:rtl/>
        </w:rPr>
        <w:t>انداز در اقتصاد افزایش یابد، باید مازاد حساب جاری وجود داشته باشد. اگر کشوری بخواهد کسری حساب جاری داشته باشد، و مصرف امروزی آن بیشتر از زمانی که اقتصاد بسته است باشد، باید از خارج قرض کند. اگر دیگر کشورهای دنیا تمایل به نگهداری دارایی</w:t>
      </w:r>
      <w:r w:rsidRPr="00A40DDC">
        <w:rPr>
          <w:rFonts w:eastAsiaTheme="minorEastAsia"/>
          <w:i/>
          <w:sz w:val="23"/>
          <w:szCs w:val="23"/>
        </w:rPr>
        <w:softHyphen/>
      </w:r>
      <w:r w:rsidRPr="00A40DDC">
        <w:rPr>
          <w:rFonts w:eastAsiaTheme="minorEastAsia"/>
          <w:i/>
          <w:sz w:val="23"/>
          <w:szCs w:val="23"/>
        </w:rPr>
        <w:softHyphen/>
      </w:r>
      <w:r w:rsidRPr="00A40DDC">
        <w:rPr>
          <w:rFonts w:eastAsiaTheme="minorEastAsia" w:hint="cs"/>
          <w:i/>
          <w:sz w:val="23"/>
          <w:szCs w:val="23"/>
          <w:rtl/>
        </w:rPr>
        <w:t>های آن کشور داشته باشند، آنگاه باید بپذیرند که آن کشور یا کسری حساب جاری زیاد (و یا مازاد حساب جاری کمتر) داشته باشد، و یا با تجدید قیمت</w:t>
      </w:r>
      <w:r w:rsidRPr="00A40DDC">
        <w:rPr>
          <w:rFonts w:eastAsiaTheme="minorEastAsia"/>
          <w:i/>
          <w:sz w:val="23"/>
          <w:szCs w:val="23"/>
          <w:rtl/>
        </w:rPr>
        <w:softHyphen/>
      </w:r>
      <w:r w:rsidRPr="00A40DDC">
        <w:rPr>
          <w:rFonts w:eastAsiaTheme="minorEastAsia" w:hint="cs"/>
          <w:i/>
          <w:sz w:val="23"/>
          <w:szCs w:val="23"/>
          <w:rtl/>
        </w:rPr>
        <w:t>گذاری  دارایی</w:t>
      </w:r>
      <w:r w:rsidRPr="00A40DDC">
        <w:rPr>
          <w:rFonts w:eastAsiaTheme="minorEastAsia"/>
          <w:i/>
          <w:sz w:val="23"/>
          <w:szCs w:val="23"/>
          <w:rtl/>
        </w:rPr>
        <w:softHyphen/>
      </w:r>
      <w:r w:rsidRPr="00A40DDC">
        <w:rPr>
          <w:rFonts w:eastAsiaTheme="minorEastAsia" w:hint="cs"/>
          <w:i/>
          <w:sz w:val="23"/>
          <w:szCs w:val="23"/>
          <w:rtl/>
        </w:rPr>
        <w:t xml:space="preserve">های منابع دیگر کشورها را جذب کند. این وضعیت از سال ۱۹۹۰ به بعد در اقتصاد آمریکا اتفاق افتاده و کشورهای دنیا تمایل به نگهداری دارایی آمریکا داشته و آمریکا با کسری حساب جاری روبرو است. </w:t>
      </w:r>
    </w:p>
    <w:p w14:paraId="56F0D94C"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قید بودجه در اقتصاد باز از ترکیب اتحاد حساب</w:t>
      </w:r>
      <w:r w:rsidRPr="00A40DDC">
        <w:rPr>
          <w:rFonts w:eastAsiaTheme="minorEastAsia"/>
          <w:i/>
          <w:sz w:val="23"/>
          <w:szCs w:val="23"/>
          <w:rtl/>
        </w:rPr>
        <w:softHyphen/>
      </w:r>
      <w:r w:rsidRPr="00A40DDC">
        <w:rPr>
          <w:rFonts w:eastAsiaTheme="minorEastAsia" w:hint="cs"/>
          <w:i/>
          <w:sz w:val="23"/>
          <w:szCs w:val="23"/>
          <w:rtl/>
        </w:rPr>
        <w:t>های</w:t>
      </w:r>
      <w:r w:rsidRPr="00A40DDC">
        <w:rPr>
          <w:rFonts w:eastAsiaTheme="minorEastAsia"/>
          <w:i/>
          <w:sz w:val="23"/>
          <w:szCs w:val="23"/>
          <w:rtl/>
        </w:rPr>
        <w:softHyphen/>
      </w:r>
      <w:r w:rsidRPr="00A40DDC">
        <w:rPr>
          <w:rFonts w:eastAsiaTheme="minorEastAsia" w:hint="cs"/>
          <w:i/>
          <w:sz w:val="23"/>
          <w:szCs w:val="23"/>
          <w:rtl/>
        </w:rPr>
        <w:t xml:space="preserve"> ملی (۷. ۱) و اتحاد ترازپرداخت‌های     (۷. ۵) و با حذف خالص صادرات</w:t>
      </w:r>
      <w:r w:rsidRPr="00A40DDC">
        <w:rPr>
          <w:position w:val="-10"/>
        </w:rPr>
        <w:object w:dxaOrig="880" w:dyaOrig="340" w14:anchorId="1B4F841B">
          <v:shape id="_x0000_i3543" type="#_x0000_t75" style="width:44.15pt;height:16.95pt" o:ole="">
            <v:imagedata r:id="rId5074" o:title=""/>
          </v:shape>
          <o:OLEObject Type="Embed" ProgID="Equation.DSMT4" ShapeID="_x0000_i3543" DrawAspect="Content" ObjectID="_1791377487" r:id="rId5075"/>
        </w:object>
      </w:r>
      <w:r w:rsidRPr="00A40DDC">
        <w:rPr>
          <w:rFonts w:eastAsiaTheme="minorEastAsia" w:hint="cs"/>
          <w:i/>
          <w:sz w:val="23"/>
          <w:szCs w:val="23"/>
          <w:rtl/>
        </w:rPr>
        <w:t xml:space="preserve"> بدست می</w:t>
      </w:r>
      <w:r w:rsidRPr="00A40DDC">
        <w:rPr>
          <w:rFonts w:eastAsiaTheme="minorEastAsia"/>
          <w:i/>
          <w:sz w:val="23"/>
          <w:szCs w:val="23"/>
          <w:rtl/>
        </w:rPr>
        <w:softHyphen/>
      </w:r>
      <w:r w:rsidRPr="00A40DDC">
        <w:rPr>
          <w:rFonts w:eastAsiaTheme="minorEastAsia" w:hint="cs"/>
          <w:i/>
          <w:sz w:val="23"/>
          <w:szCs w:val="23"/>
          <w:rtl/>
        </w:rPr>
        <w:t>آید. بنابراین</w:t>
      </w:r>
    </w:p>
    <w:p w14:paraId="70CD0A5A"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lang w:bidi="fa-IR"/>
        </w:rPr>
      </w:pPr>
      <w:r w:rsidRPr="00A40DDC">
        <w:rPr>
          <w:position w:val="-10"/>
        </w:rPr>
        <w:object w:dxaOrig="1960" w:dyaOrig="340" w14:anchorId="548BCC3C">
          <v:shape id="_x0000_i3544" type="#_x0000_t75" style="width:98pt;height:16.95pt" o:ole="">
            <v:imagedata r:id="rId5076" o:title=""/>
          </v:shape>
          <o:OLEObject Type="Embed" ProgID="Equation.DSMT4" ShapeID="_x0000_i3544" DrawAspect="Content" ObjectID="_1791377488" r:id="rId5077"/>
        </w:object>
      </w:r>
    </w:p>
    <w:p w14:paraId="0513256C" w14:textId="77777777" w:rsidR="00411620" w:rsidRPr="00A40DDC" w:rsidRDefault="00411620" w:rsidP="00411620">
      <w:pPr>
        <w:pStyle w:val="MTDisplayEquation"/>
        <w:tabs>
          <w:tab w:val="clear" w:pos="6660"/>
        </w:tabs>
        <w:spacing w:line="216" w:lineRule="auto"/>
        <w:rPr>
          <w:rFonts w:ascii="Times New Roman" w:hAnsi="Times New Roman"/>
          <w:i/>
          <w:sz w:val="23"/>
          <w:szCs w:val="23"/>
          <w:rtl/>
        </w:rPr>
      </w:pPr>
      <w:r w:rsidRPr="00A40DDC">
        <w:rPr>
          <w:position w:val="-10"/>
        </w:rPr>
        <w:object w:dxaOrig="2520" w:dyaOrig="340" w14:anchorId="1226FE21">
          <v:shape id="_x0000_i3545" type="#_x0000_t75" style="width:125.85pt;height:16.95pt" o:ole="">
            <v:imagedata r:id="rId5078" o:title=""/>
          </v:shape>
          <o:OLEObject Type="Embed" ProgID="Equation.DSMT4" ShapeID="_x0000_i3545" DrawAspect="Content" ObjectID="_1791377489" r:id="rId5079"/>
        </w:object>
      </w:r>
    </w:p>
    <w:p w14:paraId="4A8F4420" w14:textId="77777777" w:rsidR="00411620" w:rsidRPr="00A40DDC" w:rsidRDefault="00411620" w:rsidP="00411620">
      <w:pPr>
        <w:pStyle w:val="MTDisplayEquation"/>
        <w:tabs>
          <w:tab w:val="clear" w:pos="6660"/>
        </w:tabs>
        <w:spacing w:line="216" w:lineRule="auto"/>
        <w:rPr>
          <w:rFonts w:ascii="Times New Roman" w:eastAsiaTheme="minorEastAsia" w:hAnsi="Times New Roman" w:cs="B Nazanin"/>
          <w:i/>
          <w:sz w:val="23"/>
          <w:szCs w:val="23"/>
          <w:rtl/>
          <w:lang w:bidi="fa-IR"/>
        </w:rPr>
      </w:pPr>
      <w:r w:rsidRPr="00A40DDC">
        <w:rPr>
          <w:position w:val="-16"/>
        </w:rPr>
        <w:object w:dxaOrig="3360" w:dyaOrig="420" w14:anchorId="7CEFF3C7">
          <v:shape id="_x0000_i3546" type="#_x0000_t75" style="width:168.2pt;height:21.2pt" o:ole="">
            <v:imagedata r:id="rId5080" o:title=""/>
          </v:shape>
          <o:OLEObject Type="Embed" ProgID="Equation.DSMT4" ShapeID="_x0000_i3546" DrawAspect="Content" ObjectID="_1791377490" r:id="rId5081"/>
        </w:object>
      </w:r>
      <w:r w:rsidRPr="00A40DDC">
        <w:rPr>
          <w:rFonts w:ascii="Times New Roman" w:hAnsi="Times New Roman"/>
          <w:i/>
          <w:sz w:val="23"/>
          <w:szCs w:val="23"/>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cs="B Nazanin" w:hint="cs"/>
          <w:i/>
          <w:sz w:val="23"/>
          <w:szCs w:val="23"/>
        </w:rPr>
        <w:t xml:space="preserve"> </w:t>
      </w:r>
      <w:r w:rsidRPr="00A40DDC">
        <w:rPr>
          <w:rFonts w:ascii="Times New Roman" w:eastAsiaTheme="minorEastAsia" w:hAnsi="Times New Roman" w:cs="B Nazanin" w:hint="cs"/>
          <w:i/>
          <w:sz w:val="23"/>
          <w:szCs w:val="23"/>
          <w:rtl/>
          <w:lang w:bidi="fa-IR"/>
        </w:rPr>
        <w:t xml:space="preserve"> (۷. ۶)</w:t>
      </w:r>
    </w:p>
    <w:p w14:paraId="753559B0" w14:textId="77777777" w:rsidR="00411620" w:rsidRPr="00A40DDC" w:rsidRDefault="00411620" w:rsidP="00411620">
      <w:pPr>
        <w:pStyle w:val="MTDisplayEquation"/>
        <w:bidi/>
        <w:spacing w:line="216" w:lineRule="auto"/>
        <w:rPr>
          <w:rFonts w:ascii="Times New Roman" w:eastAsiaTheme="minorEastAsia" w:hAnsi="Times New Roman" w:cs="B Nazanin"/>
          <w:i/>
          <w:sz w:val="23"/>
          <w:szCs w:val="23"/>
          <w:rtl/>
          <w:lang w:bidi="fa-IR"/>
        </w:rPr>
      </w:pPr>
      <w:r w:rsidRPr="00A40DDC">
        <w:rPr>
          <w:rFonts w:ascii="Times New Roman" w:eastAsiaTheme="minorEastAsia" w:hAnsi="Times New Roman" w:cs="B Nazanin" w:hint="cs"/>
          <w:i/>
          <w:sz w:val="23"/>
          <w:szCs w:val="23"/>
          <w:rtl/>
          <w:lang w:bidi="fa-IR"/>
        </w:rPr>
        <w:t>که در آن</w:t>
      </w:r>
      <w:r w:rsidRPr="00A40DDC">
        <w:rPr>
          <w:position w:val="-10"/>
        </w:rPr>
        <w:object w:dxaOrig="1100" w:dyaOrig="340" w14:anchorId="1C68178D">
          <v:shape id="_x0000_i3547" type="#_x0000_t75" style="width:55.05pt;height:16.95pt" o:ole="">
            <v:imagedata r:id="rId5082" o:title=""/>
          </v:shape>
          <o:OLEObject Type="Embed" ProgID="Equation.DSMT4" ShapeID="_x0000_i3547" DrawAspect="Content" ObjectID="_1791377491" r:id="rId5083"/>
        </w:object>
      </w:r>
      <w:r w:rsidRPr="00A40DDC">
        <w:rPr>
          <w:rFonts w:ascii="Times New Roman" w:eastAsiaTheme="minorEastAsia" w:hAnsi="Times New Roman" w:cs="B Nazanin" w:hint="cs"/>
          <w:i/>
          <w:sz w:val="23"/>
          <w:szCs w:val="23"/>
          <w:rtl/>
          <w:lang w:bidi="fa-IR"/>
        </w:rPr>
        <w:t xml:space="preserve"> پس</w:t>
      </w:r>
      <w:r w:rsidRPr="00A40DDC">
        <w:rPr>
          <w:rFonts w:ascii="Times New Roman" w:eastAsiaTheme="minorEastAsia" w:hAnsi="Times New Roman" w:cs="B Nazanin"/>
          <w:i/>
          <w:sz w:val="23"/>
          <w:szCs w:val="23"/>
          <w:rtl/>
          <w:lang w:bidi="fa-IR"/>
        </w:rPr>
        <w:softHyphen/>
      </w:r>
      <w:r w:rsidRPr="00A40DDC">
        <w:rPr>
          <w:rFonts w:ascii="Times New Roman" w:eastAsiaTheme="minorEastAsia" w:hAnsi="Times New Roman" w:cs="B Nazanin" w:hint="cs"/>
          <w:i/>
          <w:sz w:val="23"/>
          <w:szCs w:val="23"/>
          <w:rtl/>
          <w:lang w:bidi="fa-IR"/>
        </w:rPr>
        <w:t>انداز ملی یعنی درآمد کل منهای مصرف است. لذا بر اساس قید بودجه، حساب جاری یعنی پس</w:t>
      </w:r>
      <w:r w:rsidRPr="00A40DDC">
        <w:rPr>
          <w:rFonts w:ascii="Times New Roman" w:eastAsiaTheme="minorEastAsia" w:hAnsi="Times New Roman" w:cs="B Nazanin"/>
          <w:i/>
          <w:sz w:val="23"/>
          <w:szCs w:val="23"/>
          <w:rtl/>
          <w:lang w:bidi="fa-IR"/>
        </w:rPr>
        <w:softHyphen/>
      </w:r>
      <w:r w:rsidRPr="00A40DDC">
        <w:rPr>
          <w:rFonts w:ascii="Times New Roman" w:eastAsiaTheme="minorEastAsia" w:hAnsi="Times New Roman" w:cs="B Nazanin" w:hint="cs"/>
          <w:i/>
          <w:sz w:val="23"/>
          <w:szCs w:val="23"/>
          <w:rtl/>
          <w:lang w:bidi="fa-IR"/>
        </w:rPr>
        <w:t>انداز ملی منهای سرمایه</w:t>
      </w:r>
      <w:r w:rsidRPr="00A40DDC">
        <w:rPr>
          <w:rFonts w:ascii="Times New Roman" w:eastAsiaTheme="minorEastAsia" w:hAnsi="Times New Roman" w:cs="B Nazanin"/>
          <w:i/>
          <w:sz w:val="23"/>
          <w:szCs w:val="23"/>
          <w:rtl/>
          <w:lang w:bidi="fa-IR"/>
        </w:rPr>
        <w:softHyphen/>
      </w:r>
      <w:r w:rsidRPr="00A40DDC">
        <w:rPr>
          <w:rFonts w:ascii="Times New Roman" w:eastAsiaTheme="minorEastAsia" w:hAnsi="Times New Roman" w:cs="B Nazanin" w:hint="cs"/>
          <w:i/>
          <w:sz w:val="23"/>
          <w:szCs w:val="23"/>
          <w:rtl/>
          <w:lang w:bidi="fa-IR"/>
        </w:rPr>
        <w:t>گذاری (یا خالص پس</w:t>
      </w:r>
      <w:r w:rsidRPr="00A40DDC">
        <w:rPr>
          <w:rFonts w:ascii="Times New Roman" w:eastAsiaTheme="minorEastAsia" w:hAnsi="Times New Roman" w:cs="B Nazanin"/>
          <w:i/>
          <w:sz w:val="23"/>
          <w:szCs w:val="23"/>
          <w:rtl/>
          <w:lang w:bidi="fa-IR"/>
        </w:rPr>
        <w:softHyphen/>
      </w:r>
      <w:r w:rsidRPr="00A40DDC">
        <w:rPr>
          <w:rFonts w:ascii="Times New Roman" w:eastAsiaTheme="minorEastAsia" w:hAnsi="Times New Roman" w:cs="B Nazanin" w:hint="cs"/>
          <w:i/>
          <w:sz w:val="23"/>
          <w:szCs w:val="23"/>
          <w:rtl/>
          <w:lang w:bidi="fa-IR"/>
        </w:rPr>
        <w:t xml:space="preserve">انداز ملی)، که برابر است با خالص افزایش در دارایی خارجی نگهداشته شده در اقتصاد باز، یا حساب سرمایه‌ی ترازپرداخت‌ها. </w:t>
      </w:r>
    </w:p>
    <w:p w14:paraId="1ABE9B84" w14:textId="77777777" w:rsidR="00411620" w:rsidRPr="00A40DDC" w:rsidRDefault="00411620" w:rsidP="00411620">
      <w:pPr>
        <w:spacing w:line="216" w:lineRule="auto"/>
        <w:rPr>
          <w:rFonts w:eastAsiaTheme="minorEastAsia"/>
          <w:i/>
          <w:sz w:val="23"/>
          <w:szCs w:val="23"/>
          <w:rtl/>
        </w:rPr>
      </w:pPr>
    </w:p>
    <w:p w14:paraId="1D60E40F" w14:textId="77777777" w:rsidR="00411620" w:rsidRPr="00A40DDC" w:rsidRDefault="00411620" w:rsidP="00411620">
      <w:pPr>
        <w:spacing w:line="216" w:lineRule="auto"/>
        <w:rPr>
          <w:rFonts w:eastAsiaTheme="minorEastAsia"/>
          <w:bCs/>
          <w:i/>
          <w:sz w:val="23"/>
          <w:szCs w:val="23"/>
          <w:rtl/>
        </w:rPr>
      </w:pPr>
      <w:r w:rsidRPr="00A40DDC">
        <w:rPr>
          <w:rFonts w:eastAsiaTheme="minorEastAsia" w:hint="cs"/>
          <w:bCs/>
          <w:i/>
          <w:sz w:val="23"/>
          <w:szCs w:val="23"/>
          <w:rtl/>
        </w:rPr>
        <w:t xml:space="preserve">حل بهینه </w:t>
      </w:r>
    </w:p>
    <w:p w14:paraId="2919C368" w14:textId="77777777" w:rsidR="00411620" w:rsidRPr="00A40DDC" w:rsidRDefault="00411620" w:rsidP="00411620">
      <w:pPr>
        <w:spacing w:line="216" w:lineRule="auto"/>
        <w:rPr>
          <w:rFonts w:eastAsiaTheme="minorEastAsia"/>
          <w:i/>
          <w:sz w:val="23"/>
          <w:szCs w:val="23"/>
        </w:rPr>
      </w:pPr>
      <w:r w:rsidRPr="00A40DDC">
        <w:rPr>
          <w:rFonts w:eastAsiaTheme="minorEastAsia" w:hint="cs"/>
          <w:i/>
          <w:sz w:val="23"/>
          <w:szCs w:val="23"/>
          <w:rtl/>
        </w:rPr>
        <w:t>حل بهینه اقتصاد بازِ متمرکز از طریق حداکثر کردن ارزش فعلی مطلوبیت جاری و آتی نسبت به قیود آن و بر حسب</w:t>
      </w:r>
      <w:r w:rsidRPr="00A40DDC">
        <w:rPr>
          <w:position w:val="-10"/>
        </w:rPr>
        <w:object w:dxaOrig="340" w:dyaOrig="320" w14:anchorId="605C323F">
          <v:shape id="_x0000_i3548" type="#_x0000_t75" style="width:16.95pt;height:15.75pt" o:ole="">
            <v:imagedata r:id="rId5084" o:title=""/>
          </v:shape>
          <o:OLEObject Type="Embed" ProgID="Equation.DSMT4" ShapeID="_x0000_i3548" DrawAspect="Content" ObjectID="_1791377492" r:id="rId5085"/>
        </w:object>
      </w:r>
      <w:r w:rsidRPr="00A40DDC">
        <w:rPr>
          <w:rFonts w:eastAsiaTheme="minorEastAsia" w:hint="cs"/>
          <w:i/>
          <w:sz w:val="23"/>
          <w:szCs w:val="23"/>
          <w:vertAlign w:val="subscript"/>
          <w:rtl/>
        </w:rPr>
        <w:t>،</w:t>
      </w:r>
      <w:r w:rsidRPr="00A40DDC">
        <w:rPr>
          <w:position w:val="-10"/>
        </w:rPr>
        <w:object w:dxaOrig="360" w:dyaOrig="320" w14:anchorId="4C00734D">
          <v:shape id="_x0000_i3549" type="#_x0000_t75" style="width:18.15pt;height:15.75pt" o:ole="">
            <v:imagedata r:id="rId5086" o:title=""/>
          </v:shape>
          <o:OLEObject Type="Embed" ProgID="Equation.DSMT4" ShapeID="_x0000_i3549" DrawAspect="Content" ObjectID="_1791377493" r:id="rId5087"/>
        </w:object>
      </w:r>
      <w:r w:rsidRPr="00A40DDC">
        <w:rPr>
          <w:rFonts w:eastAsiaTheme="minorEastAsia" w:hint="cs"/>
          <w:i/>
          <w:sz w:val="23"/>
          <w:szCs w:val="23"/>
          <w:vertAlign w:val="subscript"/>
          <w:rtl/>
        </w:rPr>
        <w:t>،</w:t>
      </w:r>
      <w:r w:rsidRPr="00A40DDC">
        <w:rPr>
          <w:position w:val="-10"/>
        </w:rPr>
        <w:object w:dxaOrig="340" w:dyaOrig="320" w14:anchorId="485437B3">
          <v:shape id="_x0000_i3550" type="#_x0000_t75" style="width:16.95pt;height:15.75pt" o:ole="">
            <v:imagedata r:id="rId5088" o:title=""/>
          </v:shape>
          <o:OLEObject Type="Embed" ProgID="Equation.DSMT4" ShapeID="_x0000_i3550" DrawAspect="Content" ObjectID="_1791377494" r:id="rId5089"/>
        </w:object>
      </w:r>
      <w:r w:rsidRPr="00A40DDC">
        <w:rPr>
          <w:rFonts w:eastAsiaTheme="minorEastAsia" w:hint="cs"/>
          <w:i/>
          <w:sz w:val="23"/>
          <w:szCs w:val="23"/>
          <w:vertAlign w:val="subscript"/>
          <w:rtl/>
        </w:rPr>
        <w:t xml:space="preserve"> </w:t>
      </w:r>
      <w:r w:rsidRPr="00A40DDC">
        <w:rPr>
          <w:rFonts w:eastAsiaTheme="minorEastAsia" w:hint="cs"/>
          <w:i/>
          <w:sz w:val="23"/>
          <w:szCs w:val="23"/>
          <w:rtl/>
        </w:rPr>
        <w:t>بدست می‌آید. بنابراین</w:t>
      </w:r>
    </w:p>
    <w:p w14:paraId="5C6A29D9"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26"/>
        </w:rPr>
        <w:object w:dxaOrig="2280" w:dyaOrig="620" w14:anchorId="61E9A8FD">
          <v:shape id="_x0000_i3551" type="#_x0000_t75" style="width:113.75pt;height:31.45pt" o:ole="">
            <v:imagedata r:id="rId5090" o:title=""/>
          </v:shape>
          <o:OLEObject Type="Embed" ProgID="Equation.DSMT4" ShapeID="_x0000_i3551" DrawAspect="Content" ObjectID="_1791377495" r:id="rId5091"/>
        </w:object>
      </w:r>
    </w:p>
    <w:p w14:paraId="6FD44518" w14:textId="77777777" w:rsidR="00411620" w:rsidRPr="00A40DDC" w:rsidRDefault="00411620" w:rsidP="00411620">
      <w:pPr>
        <w:bidi w:val="0"/>
        <w:spacing w:line="216" w:lineRule="auto"/>
        <w:rPr>
          <w:rFonts w:eastAsiaTheme="minorEastAsia"/>
          <w:i/>
          <w:sz w:val="23"/>
          <w:szCs w:val="23"/>
        </w:rPr>
      </w:pPr>
      <w:r w:rsidRPr="00A40DDC">
        <w:rPr>
          <w:rFonts w:eastAsiaTheme="minorEastAsia"/>
          <w:i/>
          <w:sz w:val="23"/>
          <w:szCs w:val="23"/>
        </w:rPr>
        <w:t xml:space="preserve"> </w:t>
      </w:r>
      <w:r w:rsidRPr="00A40DDC">
        <w:rPr>
          <w:position w:val="-16"/>
        </w:rPr>
        <w:object w:dxaOrig="3140" w:dyaOrig="420" w14:anchorId="5C04DF61">
          <v:shape id="_x0000_i3552" type="#_x0000_t75" style="width:157.3pt;height:21.2pt" o:ole="">
            <v:imagedata r:id="rId5092" o:title=""/>
          </v:shape>
          <o:OLEObject Type="Embed" ProgID="Equation.DSMT4" ShapeID="_x0000_i3552" DrawAspect="Content" ObjectID="_1791377496" r:id="rId5093"/>
        </w:object>
      </w:r>
    </w:p>
    <w:p w14:paraId="3D6B8CB3" w14:textId="77777777" w:rsidR="00411620" w:rsidRPr="00A40DDC" w:rsidRDefault="00411620" w:rsidP="00411620">
      <w:pPr>
        <w:bidi w:val="0"/>
        <w:spacing w:line="216" w:lineRule="auto"/>
        <w:rPr>
          <w:i/>
          <w:sz w:val="23"/>
          <w:szCs w:val="23"/>
          <w:rtl/>
        </w:rPr>
      </w:pPr>
      <w:r w:rsidRPr="00A40DDC">
        <w:rPr>
          <w:position w:val="-10"/>
        </w:rPr>
        <w:object w:dxaOrig="2040" w:dyaOrig="320" w14:anchorId="41FA748A">
          <v:shape id="_x0000_i3553" type="#_x0000_t75" style="width:102.25pt;height:15.75pt" o:ole="">
            <v:imagedata r:id="rId5094" o:title=""/>
          </v:shape>
          <o:OLEObject Type="Embed" ProgID="Equation.DSMT4" ShapeID="_x0000_i3553" DrawAspect="Content" ObjectID="_1791377497" r:id="rId5095"/>
        </w:object>
      </w:r>
      <w:r w:rsidRPr="00A40DDC">
        <w:rPr>
          <w:i/>
          <w:sz w:val="23"/>
          <w:szCs w:val="23"/>
        </w:rPr>
        <w:tab/>
      </w:r>
      <w:r w:rsidRPr="00A40DDC">
        <w:rPr>
          <w:i/>
          <w:sz w:val="23"/>
          <w:szCs w:val="23"/>
        </w:rPr>
        <w:tab/>
      </w:r>
      <w:r w:rsidRPr="00A40DDC">
        <w:rPr>
          <w:i/>
          <w:sz w:val="23"/>
          <w:szCs w:val="23"/>
        </w:rPr>
        <w:tab/>
      </w:r>
      <w:r w:rsidRPr="00A40DDC">
        <w:rPr>
          <w:i/>
          <w:sz w:val="23"/>
          <w:szCs w:val="23"/>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rFonts w:hint="cs"/>
          <w:i/>
          <w:sz w:val="23"/>
          <w:szCs w:val="23"/>
        </w:rPr>
        <w:t xml:space="preserve"> </w:t>
      </w:r>
      <w:r w:rsidRPr="00A40DDC">
        <w:rPr>
          <w:i/>
          <w:sz w:val="23"/>
          <w:szCs w:val="23"/>
          <w:rtl/>
        </w:rPr>
        <w:tab/>
      </w:r>
      <w:r>
        <w:rPr>
          <w:i/>
          <w:sz w:val="23"/>
          <w:szCs w:val="23"/>
          <w:rtl/>
        </w:rPr>
        <w:tab/>
      </w:r>
      <w:r>
        <w:rPr>
          <w:i/>
          <w:sz w:val="23"/>
          <w:szCs w:val="23"/>
          <w:rtl/>
        </w:rPr>
        <w:tab/>
      </w:r>
      <w:r w:rsidRPr="00A40DDC">
        <w:rPr>
          <w:i/>
          <w:sz w:val="23"/>
          <w:szCs w:val="23"/>
          <w:rtl/>
        </w:rPr>
        <w:tab/>
      </w:r>
      <w:r w:rsidRPr="00A40DDC">
        <w:rPr>
          <w:i/>
          <w:sz w:val="23"/>
          <w:szCs w:val="23"/>
          <w:rtl/>
        </w:rPr>
        <w:tab/>
      </w:r>
      <w:r w:rsidRPr="00A40DDC">
        <w:rPr>
          <w:rFonts w:hint="cs"/>
          <w:i/>
          <w:sz w:val="23"/>
          <w:szCs w:val="23"/>
          <w:rtl/>
        </w:rPr>
        <w:t xml:space="preserve"> </w:t>
      </w:r>
      <w:r w:rsidRPr="00A40DDC">
        <w:rPr>
          <w:i/>
          <w:sz w:val="23"/>
          <w:szCs w:val="23"/>
          <w:rtl/>
        </w:rPr>
        <w:tab/>
      </w:r>
      <w:r w:rsidRPr="00A40DDC">
        <w:rPr>
          <w:rFonts w:hint="cs"/>
          <w:i/>
          <w:sz w:val="23"/>
          <w:szCs w:val="23"/>
          <w:rtl/>
        </w:rPr>
        <w:t>(۷. ۷)</w:t>
      </w:r>
      <w:r w:rsidRPr="00A40DDC">
        <w:rPr>
          <w:rFonts w:hint="cs"/>
          <w:i/>
          <w:sz w:val="23"/>
          <w:szCs w:val="23"/>
        </w:rPr>
        <w:t xml:space="preserve"> </w:t>
      </w:r>
    </w:p>
    <w:p w14:paraId="620186EB" w14:textId="77777777" w:rsidR="00411620" w:rsidRPr="00A40DDC" w:rsidRDefault="00411620" w:rsidP="00411620">
      <w:pPr>
        <w:bidi w:val="0"/>
        <w:spacing w:line="216" w:lineRule="auto"/>
        <w:rPr>
          <w:rFonts w:eastAsiaTheme="minorEastAsia"/>
          <w:i/>
          <w:sz w:val="23"/>
          <w:szCs w:val="23"/>
        </w:rPr>
      </w:pPr>
      <w:r w:rsidRPr="00A40DDC">
        <w:rPr>
          <w:position w:val="-12"/>
        </w:rPr>
        <w:object w:dxaOrig="1740" w:dyaOrig="360" w14:anchorId="4055A5FA">
          <v:shape id="_x0000_i3554" type="#_x0000_t75" style="width:87.15pt;height:18.15pt" o:ole="">
            <v:imagedata r:id="rId5096" o:title=""/>
          </v:shape>
          <o:OLEObject Type="Embed" ProgID="Equation.DSMT4" ShapeID="_x0000_i3554" DrawAspect="Content" ObjectID="_1791377498" r:id="rId5097"/>
        </w:object>
      </w:r>
      <w:r w:rsidRPr="00A40DDC">
        <w:rPr>
          <w:rFonts w:hint="cs"/>
          <w:i/>
          <w:sz w:val="23"/>
          <w:szCs w:val="23"/>
        </w:rPr>
        <w:t xml:space="preserve"> </w:t>
      </w:r>
      <w:r w:rsidRPr="00A40DDC">
        <w:rPr>
          <w:i/>
          <w:sz w:val="23"/>
          <w:szCs w:val="23"/>
          <w:rtl/>
        </w:rPr>
        <w:tab/>
      </w:r>
      <w:r w:rsidRPr="00A40DDC">
        <w:rPr>
          <w:rFonts w:hint="cs"/>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Pr>
          <w:i/>
          <w:sz w:val="23"/>
          <w:szCs w:val="23"/>
          <w:rtl/>
        </w:rPr>
        <w:tab/>
      </w:r>
      <w:r>
        <w:rPr>
          <w:i/>
          <w:sz w:val="23"/>
          <w:szCs w:val="23"/>
          <w:rtl/>
        </w:rPr>
        <w:tab/>
      </w:r>
      <w:r w:rsidRPr="00A40DDC">
        <w:rPr>
          <w:i/>
          <w:sz w:val="23"/>
          <w:szCs w:val="23"/>
          <w:rtl/>
        </w:rPr>
        <w:tab/>
      </w:r>
      <w:r w:rsidRPr="00A40DDC">
        <w:rPr>
          <w:rFonts w:hint="cs"/>
          <w:i/>
          <w:sz w:val="23"/>
          <w:szCs w:val="23"/>
          <w:rtl/>
        </w:rPr>
        <w:t xml:space="preserve"> (۷. ۸)</w:t>
      </w:r>
    </w:p>
    <w:p w14:paraId="6FA1C1AE"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lastRenderedPageBreak/>
        <w:t xml:space="preserve">با ترکیب روابط </w:t>
      </w:r>
      <w:r w:rsidRPr="00A40DDC">
        <w:rPr>
          <w:rFonts w:hint="cs"/>
          <w:i/>
          <w:sz w:val="23"/>
          <w:szCs w:val="23"/>
          <w:rtl/>
        </w:rPr>
        <w:t>(۷. ۶)</w:t>
      </w:r>
      <w:r w:rsidRPr="00A40DDC">
        <w:rPr>
          <w:rFonts w:eastAsiaTheme="minorEastAsia" w:hint="cs"/>
          <w:i/>
          <w:sz w:val="23"/>
          <w:szCs w:val="23"/>
          <w:rtl/>
        </w:rPr>
        <w:t xml:space="preserve">، </w:t>
      </w:r>
      <w:r w:rsidRPr="00A40DDC">
        <w:rPr>
          <w:rFonts w:hint="cs"/>
          <w:i/>
          <w:sz w:val="23"/>
          <w:szCs w:val="23"/>
          <w:rtl/>
        </w:rPr>
        <w:t>(۷. ۷)</w:t>
      </w:r>
      <w:r w:rsidRPr="00A40DDC">
        <w:rPr>
          <w:rFonts w:eastAsiaTheme="minorEastAsia" w:hint="cs"/>
          <w:i/>
          <w:sz w:val="23"/>
          <w:szCs w:val="23"/>
          <w:rtl/>
        </w:rPr>
        <w:t xml:space="preserve"> و </w:t>
      </w:r>
      <w:r w:rsidRPr="00A40DDC">
        <w:rPr>
          <w:rFonts w:hint="cs"/>
          <w:i/>
          <w:sz w:val="23"/>
          <w:szCs w:val="23"/>
          <w:rtl/>
        </w:rPr>
        <w:t>(۷. ۸)</w:t>
      </w:r>
      <w:r w:rsidRPr="00A40DDC">
        <w:rPr>
          <w:rFonts w:eastAsiaTheme="minorEastAsia" w:hint="cs"/>
          <w:i/>
          <w:sz w:val="23"/>
          <w:szCs w:val="23"/>
          <w:rtl/>
        </w:rPr>
        <w:t xml:space="preserve"> قید بودجه</w:t>
      </w:r>
      <w:r w:rsidRPr="00A40DDC">
        <w:rPr>
          <w:rFonts w:eastAsiaTheme="minorEastAsia"/>
          <w:i/>
          <w:sz w:val="23"/>
          <w:szCs w:val="23"/>
          <w:rtl/>
        </w:rPr>
        <w:softHyphen/>
      </w:r>
      <w:r w:rsidRPr="00A40DDC">
        <w:rPr>
          <w:rFonts w:eastAsiaTheme="minorEastAsia" w:hint="cs"/>
          <w:i/>
          <w:sz w:val="23"/>
          <w:szCs w:val="23"/>
          <w:rtl/>
        </w:rPr>
        <w:t xml:space="preserve">ی اقتصاد باز عبارت خواهد بود از: </w:t>
      </w:r>
    </w:p>
    <w:p w14:paraId="2B902806" w14:textId="77777777" w:rsidR="00411620" w:rsidRPr="00A40DDC" w:rsidRDefault="00411620" w:rsidP="00411620">
      <w:pPr>
        <w:pStyle w:val="MTDisplayEquation"/>
        <w:tabs>
          <w:tab w:val="clear" w:pos="6660"/>
        </w:tabs>
        <w:spacing w:line="216" w:lineRule="auto"/>
        <w:rPr>
          <w:rFonts w:ascii="Times New Roman" w:eastAsiaTheme="minorEastAsia" w:hAnsi="Times New Roman" w:cs="B Nazanin"/>
          <w:i/>
          <w:sz w:val="23"/>
          <w:szCs w:val="23"/>
          <w:rtl/>
          <w:lang w:bidi="fa-IR"/>
        </w:rPr>
      </w:pPr>
      <w:r w:rsidRPr="00A40DDC">
        <w:rPr>
          <w:position w:val="-16"/>
        </w:rPr>
        <w:object w:dxaOrig="4300" w:dyaOrig="420" w14:anchorId="30CD4B7A">
          <v:shape id="_x0000_i3555" type="#_x0000_t75" style="width:214.8pt;height:21.2pt" o:ole="">
            <v:imagedata r:id="rId5098" o:title=""/>
          </v:shape>
          <o:OLEObject Type="Embed" ProgID="Equation.DSMT4" ShapeID="_x0000_i3555" DrawAspect="Content" ObjectID="_1791377499" r:id="rId5099"/>
        </w:object>
      </w:r>
      <w:r w:rsidRPr="00A40DDC">
        <w:rPr>
          <w:rFonts w:ascii="Times New Roman" w:hAnsi="Times New Roman"/>
          <w:i/>
          <w:sz w:val="23"/>
          <w:szCs w:val="23"/>
          <w:rtl/>
        </w:rPr>
        <w:tab/>
      </w:r>
      <w:r w:rsidRPr="00A40DDC">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cs="B Nazanin" w:hint="cs"/>
          <w:i/>
          <w:sz w:val="23"/>
          <w:szCs w:val="23"/>
          <w:rtl/>
        </w:rPr>
        <w:t>(۷. ۹)</w:t>
      </w:r>
    </w:p>
    <w:p w14:paraId="545C32BD"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لاگرانژین این مسئله عبارت است از</w:t>
      </w:r>
    </w:p>
    <w:p w14:paraId="70135E37" w14:textId="77777777" w:rsidR="00411620" w:rsidRPr="00A40DDC" w:rsidRDefault="00411620" w:rsidP="00411620">
      <w:pPr>
        <w:bidi w:val="0"/>
        <w:spacing w:line="216" w:lineRule="auto"/>
        <w:rPr>
          <w:rFonts w:eastAsiaTheme="minorEastAsia"/>
          <w:i/>
          <w:sz w:val="23"/>
          <w:szCs w:val="23"/>
        </w:rPr>
      </w:pPr>
      <w:r w:rsidRPr="00A40DDC">
        <w:rPr>
          <w:position w:val="-36"/>
        </w:rPr>
        <w:object w:dxaOrig="6160" w:dyaOrig="820" w14:anchorId="4ED55120">
          <v:shape id="_x0000_i3556" type="#_x0000_t75" style="width:307.95pt;height:40.55pt" o:ole="">
            <v:imagedata r:id="rId5100" o:title=""/>
          </v:shape>
          <o:OLEObject Type="Embed" ProgID="Equation.DSMT4" ShapeID="_x0000_i3556" DrawAspect="Content" ObjectID="_1791377500" r:id="rId5101"/>
        </w:object>
      </w:r>
    </w:p>
    <w:p w14:paraId="321250DA"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شرایط مرتبه</w:t>
      </w:r>
      <w:r w:rsidRPr="00A40DDC">
        <w:rPr>
          <w:rFonts w:eastAsiaTheme="minorEastAsia"/>
          <w:i/>
          <w:sz w:val="23"/>
          <w:szCs w:val="23"/>
          <w:rtl/>
        </w:rPr>
        <w:softHyphen/>
      </w:r>
      <w:r w:rsidRPr="00A40DDC">
        <w:rPr>
          <w:rFonts w:eastAsiaTheme="minorEastAsia" w:hint="cs"/>
          <w:i/>
          <w:sz w:val="23"/>
          <w:szCs w:val="23"/>
          <w:rtl/>
        </w:rPr>
        <w:t>ی اول نسبت به سه متغیر</w:t>
      </w:r>
      <w:r w:rsidRPr="00A40DDC">
        <w:rPr>
          <w:position w:val="-10"/>
        </w:rPr>
        <w:object w:dxaOrig="340" w:dyaOrig="320" w14:anchorId="68960F3D">
          <v:shape id="_x0000_i3557" type="#_x0000_t75" style="width:16.95pt;height:15.75pt" o:ole="">
            <v:imagedata r:id="rId5102" o:title=""/>
          </v:shape>
          <o:OLEObject Type="Embed" ProgID="Equation.DSMT4" ShapeID="_x0000_i3557" DrawAspect="Content" ObjectID="_1791377501" r:id="rId5103"/>
        </w:object>
      </w:r>
      <w:r w:rsidRPr="00A40DDC">
        <w:rPr>
          <w:rFonts w:eastAsiaTheme="minorEastAsia" w:hint="cs"/>
          <w:i/>
          <w:sz w:val="23"/>
          <w:szCs w:val="23"/>
          <w:rtl/>
        </w:rPr>
        <w:t xml:space="preserve">، </w:t>
      </w:r>
      <w:r w:rsidRPr="00A40DDC">
        <w:rPr>
          <w:position w:val="-10"/>
        </w:rPr>
        <w:object w:dxaOrig="360" w:dyaOrig="320" w14:anchorId="5FD39676">
          <v:shape id="_x0000_i3558" type="#_x0000_t75" style="width:18.15pt;height:15.75pt" o:ole="">
            <v:imagedata r:id="rId5104" o:title=""/>
          </v:shape>
          <o:OLEObject Type="Embed" ProgID="Equation.DSMT4" ShapeID="_x0000_i3558" DrawAspect="Content" ObjectID="_1791377502" r:id="rId5105"/>
        </w:object>
      </w:r>
      <w:r w:rsidRPr="00A40DDC">
        <w:rPr>
          <w:rFonts w:eastAsiaTheme="minorEastAsia" w:hint="cs"/>
          <w:i/>
          <w:sz w:val="23"/>
          <w:szCs w:val="23"/>
          <w:rtl/>
        </w:rPr>
        <w:t xml:space="preserve"> و </w:t>
      </w:r>
      <w:r w:rsidRPr="00A40DDC">
        <w:rPr>
          <w:position w:val="-10"/>
        </w:rPr>
        <w:object w:dxaOrig="340" w:dyaOrig="320" w14:anchorId="53401E02">
          <v:shape id="_x0000_i3559" type="#_x0000_t75" style="width:16.95pt;height:15.75pt" o:ole="">
            <v:imagedata r:id="rId5106" o:title=""/>
          </v:shape>
          <o:OLEObject Type="Embed" ProgID="Equation.DSMT4" ShapeID="_x0000_i3559" DrawAspect="Content" ObjectID="_1791377503" r:id="rId5107"/>
        </w:object>
      </w:r>
      <w:r w:rsidRPr="00A40DDC">
        <w:rPr>
          <w:rFonts w:eastAsiaTheme="minorEastAsia" w:hint="cs"/>
          <w:i/>
          <w:sz w:val="23"/>
          <w:szCs w:val="23"/>
          <w:rtl/>
        </w:rPr>
        <w:t xml:space="preserve"> برابر است با: </w:t>
      </w:r>
    </w:p>
    <w:p w14:paraId="03B49231"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28"/>
        </w:rPr>
        <w:object w:dxaOrig="4740" w:dyaOrig="620" w14:anchorId="5DCC1734">
          <v:shape id="_x0000_i3560" type="#_x0000_t75" style="width:236.55pt;height:31.45pt" o:ole="">
            <v:imagedata r:id="rId5108" o:title=""/>
          </v:shape>
          <o:OLEObject Type="Embed" ProgID="Equation.DSMT4" ShapeID="_x0000_i3560" DrawAspect="Content" ObjectID="_1791377504" r:id="rId5109"/>
        </w:object>
      </w:r>
    </w:p>
    <w:p w14:paraId="415910DB"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28"/>
        </w:rPr>
        <w:object w:dxaOrig="4760" w:dyaOrig="620" w14:anchorId="79A315FB">
          <v:shape id="_x0000_i3561" type="#_x0000_t75" style="width:237.8pt;height:31.45pt" o:ole="">
            <v:imagedata r:id="rId5110" o:title=""/>
          </v:shape>
          <o:OLEObject Type="Embed" ProgID="Equation.DSMT4" ShapeID="_x0000_i3561" DrawAspect="Content" ObjectID="_1791377505" r:id="rId5111"/>
        </w:object>
      </w:r>
    </w:p>
    <w:p w14:paraId="10E87E19"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28"/>
        </w:rPr>
        <w:object w:dxaOrig="4720" w:dyaOrig="620" w14:anchorId="008F3433">
          <v:shape id="_x0000_i3562" type="#_x0000_t75" style="width:235.95pt;height:31.45pt" o:ole="">
            <v:imagedata r:id="rId5112" o:title=""/>
          </v:shape>
          <o:OLEObject Type="Embed" ProgID="Equation.DSMT4" ShapeID="_x0000_i3562" DrawAspect="Content" ObjectID="_1791377506" r:id="rId5113"/>
        </w:object>
      </w:r>
    </w:p>
    <w:p w14:paraId="423A4512"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 xml:space="preserve"> به انضمام قید بودجه </w:t>
      </w:r>
      <w:r w:rsidRPr="00A40DDC">
        <w:rPr>
          <w:rFonts w:hint="cs"/>
          <w:i/>
          <w:sz w:val="23"/>
          <w:szCs w:val="23"/>
          <w:rtl/>
        </w:rPr>
        <w:t>(۷. ۹)</w:t>
      </w:r>
      <w:r w:rsidRPr="00A40DDC">
        <w:rPr>
          <w:rFonts w:eastAsiaTheme="minorEastAsia" w:hint="cs"/>
          <w:i/>
          <w:sz w:val="23"/>
          <w:szCs w:val="23"/>
          <w:rtl/>
        </w:rPr>
        <w:t xml:space="preserve"> یعنی </w:t>
      </w:r>
      <w:r w:rsidRPr="00A40DDC">
        <w:rPr>
          <w:position w:val="-28"/>
        </w:rPr>
        <w:object w:dxaOrig="520" w:dyaOrig="620" w14:anchorId="10D23F4E">
          <v:shape id="_x0000_i3563" type="#_x0000_t75" style="width:26pt;height:31.45pt" o:ole="">
            <v:imagedata r:id="rId5114" o:title=""/>
          </v:shape>
          <o:OLEObject Type="Embed" ProgID="Equation.DSMT4" ShapeID="_x0000_i3563" DrawAspect="Content" ObjectID="_1791377507" r:id="rId5115"/>
        </w:object>
      </w:r>
      <w:r w:rsidRPr="00A40DDC">
        <w:rPr>
          <w:rFonts w:eastAsiaTheme="minorEastAsia" w:hint="cs"/>
          <w:i/>
          <w:sz w:val="23"/>
          <w:szCs w:val="23"/>
          <w:rtl/>
        </w:rPr>
        <w:t>.</w:t>
      </w:r>
    </w:p>
    <w:p w14:paraId="5078A206" w14:textId="77777777" w:rsidR="00411620" w:rsidRPr="00A40DDC" w:rsidRDefault="00411620" w:rsidP="00411620">
      <w:pPr>
        <w:spacing w:line="216" w:lineRule="auto"/>
        <w:rPr>
          <w:rFonts w:eastAsiaTheme="minorEastAsia"/>
          <w:i/>
          <w:sz w:val="23"/>
          <w:szCs w:val="23"/>
        </w:rPr>
      </w:pPr>
      <w:r w:rsidRPr="00A40DDC">
        <w:rPr>
          <w:rFonts w:eastAsiaTheme="minorEastAsia" w:hint="cs"/>
          <w:i/>
          <w:sz w:val="23"/>
          <w:szCs w:val="23"/>
          <w:rtl/>
        </w:rPr>
        <w:t>با ترکیب معادلات اول و سوم از شرایط مرتبه</w:t>
      </w:r>
      <w:r w:rsidRPr="00A40DDC">
        <w:rPr>
          <w:rFonts w:eastAsiaTheme="minorEastAsia"/>
          <w:i/>
          <w:sz w:val="23"/>
          <w:szCs w:val="23"/>
          <w:rtl/>
        </w:rPr>
        <w:softHyphen/>
      </w:r>
      <w:r w:rsidRPr="00A40DDC">
        <w:rPr>
          <w:rFonts w:eastAsiaTheme="minorEastAsia" w:hint="cs"/>
          <w:i/>
          <w:sz w:val="23"/>
          <w:szCs w:val="23"/>
          <w:rtl/>
        </w:rPr>
        <w:t>ی اول و برای دوره</w:t>
      </w:r>
      <w:r w:rsidRPr="00A40DDC">
        <w:rPr>
          <w:rFonts w:eastAsiaTheme="minorEastAsia"/>
          <w:i/>
          <w:sz w:val="23"/>
          <w:szCs w:val="23"/>
          <w:rtl/>
        </w:rPr>
        <w:softHyphen/>
      </w:r>
      <w:r w:rsidRPr="00A40DDC">
        <w:rPr>
          <w:rFonts w:eastAsiaTheme="minorEastAsia"/>
          <w:i/>
          <w:sz w:val="23"/>
          <w:szCs w:val="23"/>
          <w:rtl/>
        </w:rPr>
        <w:softHyphen/>
      </w:r>
      <w:r w:rsidRPr="00A40DDC">
        <w:rPr>
          <w:rFonts w:eastAsiaTheme="minorEastAsia" w:hint="cs"/>
          <w:i/>
          <w:sz w:val="23"/>
          <w:szCs w:val="23"/>
          <w:rtl/>
        </w:rPr>
        <w:t>ی</w:t>
      </w:r>
      <w:r w:rsidRPr="00A40DDC">
        <w:rPr>
          <w:position w:val="-8"/>
        </w:rPr>
        <w:object w:dxaOrig="780" w:dyaOrig="279" w14:anchorId="6CD33E58">
          <v:shape id="_x0000_i3564" type="#_x0000_t75" style="width:39.35pt;height:13.9pt" o:ole="">
            <v:imagedata r:id="rId5116" o:title=""/>
          </v:shape>
          <o:OLEObject Type="Embed" ProgID="Equation.DSMT4" ShapeID="_x0000_i3564" DrawAspect="Content" ObjectID="_1791377508" r:id="rId5117"/>
        </w:object>
      </w:r>
      <w:r w:rsidRPr="00A40DDC">
        <w:rPr>
          <w:rFonts w:eastAsiaTheme="minorEastAsia" w:hint="cs"/>
          <w:i/>
          <w:sz w:val="23"/>
          <w:szCs w:val="23"/>
          <w:rtl/>
        </w:rPr>
        <w:t>و حذف ضرایب لاگرانژ، معادله</w:t>
      </w:r>
      <w:r w:rsidRPr="00A40DDC">
        <w:rPr>
          <w:rFonts w:eastAsiaTheme="minorEastAsia"/>
          <w:i/>
          <w:sz w:val="23"/>
          <w:szCs w:val="23"/>
          <w:rtl/>
        </w:rPr>
        <w:softHyphen/>
      </w:r>
      <w:r w:rsidRPr="00A40DDC">
        <w:rPr>
          <w:rFonts w:eastAsiaTheme="minorEastAsia" w:hint="cs"/>
          <w:i/>
          <w:sz w:val="23"/>
          <w:szCs w:val="23"/>
          <w:rtl/>
        </w:rPr>
        <w:t>ی اویلر اقتصاد باز بدست می‌آید:</w:t>
      </w:r>
    </w:p>
    <w:p w14:paraId="3EEC9BE4" w14:textId="77777777" w:rsidR="00411620" w:rsidRPr="00A40DDC" w:rsidRDefault="00411620" w:rsidP="00411620">
      <w:pPr>
        <w:pStyle w:val="MTDisplayEquation"/>
        <w:tabs>
          <w:tab w:val="clear" w:pos="6660"/>
        </w:tabs>
        <w:spacing w:line="216" w:lineRule="auto"/>
        <w:rPr>
          <w:rFonts w:ascii="Times New Roman" w:eastAsiaTheme="minorEastAsia" w:hAnsi="Times New Roman" w:cs="B Nazanin"/>
          <w:i/>
          <w:sz w:val="23"/>
          <w:szCs w:val="23"/>
          <w:lang w:bidi="fa-IR"/>
        </w:rPr>
      </w:pPr>
      <w:r w:rsidRPr="00A40DDC">
        <w:rPr>
          <w:position w:val="-30"/>
        </w:rPr>
        <w:object w:dxaOrig="1980" w:dyaOrig="700" w14:anchorId="7F0BA559">
          <v:shape id="_x0000_i3565" type="#_x0000_t75" style="width:99.25pt;height:35.1pt" o:ole="">
            <v:imagedata r:id="rId5118" o:title=""/>
          </v:shape>
          <o:OLEObject Type="Embed" ProgID="Equation.DSMT4" ShapeID="_x0000_i3565" DrawAspect="Content" ObjectID="_1791377509" r:id="rId5119"/>
        </w:object>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۱۰)</w:t>
      </w:r>
    </w:p>
    <w:p w14:paraId="16256042"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وجه تمایز معادله</w:t>
      </w:r>
      <w:r w:rsidRPr="00A40DDC">
        <w:rPr>
          <w:rFonts w:eastAsiaTheme="minorEastAsia"/>
          <w:i/>
          <w:sz w:val="23"/>
          <w:szCs w:val="23"/>
          <w:rtl/>
        </w:rPr>
        <w:softHyphen/>
      </w:r>
      <w:r w:rsidRPr="00A40DDC">
        <w:rPr>
          <w:rFonts w:eastAsiaTheme="minorEastAsia" w:hint="cs"/>
          <w:i/>
          <w:sz w:val="23"/>
          <w:szCs w:val="23"/>
          <w:rtl/>
        </w:rPr>
        <w:t>ی اویلر در اقتصاد باز نسبت به اقتصاد بسته این است که</w:t>
      </w:r>
      <w:r w:rsidRPr="00A40DDC">
        <w:rPr>
          <w:position w:val="-6"/>
        </w:rPr>
        <w:object w:dxaOrig="260" w:dyaOrig="300" w14:anchorId="7CD334CD">
          <v:shape id="_x0000_i3566" type="#_x0000_t75" style="width:13.3pt;height:14.5pt" o:ole="">
            <v:imagedata r:id="rId5120" o:title=""/>
          </v:shape>
          <o:OLEObject Type="Embed" ProgID="Equation.DSMT4" ShapeID="_x0000_i3566" DrawAspect="Content" ObjectID="_1791377510" r:id="rId5121"/>
        </w:object>
      </w:r>
      <w:r w:rsidRPr="00A40DDC">
        <w:rPr>
          <w:rFonts w:eastAsiaTheme="minorEastAsia" w:hint="cs"/>
          <w:i/>
          <w:sz w:val="23"/>
          <w:szCs w:val="23"/>
          <w:vertAlign w:val="superscript"/>
          <w:rtl/>
        </w:rPr>
        <w:t xml:space="preserve"> </w:t>
      </w:r>
      <w:r w:rsidRPr="00A40DDC">
        <w:rPr>
          <w:rFonts w:eastAsiaTheme="minorEastAsia" w:hint="cs"/>
          <w:i/>
          <w:sz w:val="23"/>
          <w:szCs w:val="23"/>
          <w:rtl/>
        </w:rPr>
        <w:t xml:space="preserve">یا نرخ بازدهی خارجی جایگزین نرخ بازدهی داخلی شده است. </w:t>
      </w:r>
    </w:p>
    <w:p w14:paraId="32EA8311"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با ترکیب معادلات دوم و سوم شرایط مرتبه</w:t>
      </w:r>
      <w:r w:rsidRPr="00A40DDC">
        <w:rPr>
          <w:rFonts w:eastAsiaTheme="minorEastAsia"/>
          <w:i/>
          <w:sz w:val="23"/>
          <w:szCs w:val="23"/>
          <w:rtl/>
        </w:rPr>
        <w:softHyphen/>
      </w:r>
      <w:r w:rsidRPr="00A40DDC">
        <w:rPr>
          <w:rFonts w:eastAsiaTheme="minorEastAsia" w:hint="cs"/>
          <w:i/>
          <w:sz w:val="23"/>
          <w:szCs w:val="23"/>
          <w:rtl/>
        </w:rPr>
        <w:t xml:space="preserve"> اول و برای </w:t>
      </w:r>
      <w:r w:rsidRPr="00A40DDC">
        <w:rPr>
          <w:position w:val="-6"/>
        </w:rPr>
        <w:object w:dxaOrig="600" w:dyaOrig="260" w14:anchorId="4D9D84D9">
          <v:shape id="_x0000_i3567" type="#_x0000_t75" style="width:29.65pt;height:13.3pt" o:ole="">
            <v:imagedata r:id="rId5122" o:title=""/>
          </v:shape>
          <o:OLEObject Type="Embed" ProgID="Equation.DSMT4" ShapeID="_x0000_i3567" DrawAspect="Content" ObjectID="_1791377511" r:id="rId5123"/>
        </w:object>
      </w:r>
      <w:r w:rsidRPr="00A40DDC">
        <w:rPr>
          <w:rFonts w:eastAsiaTheme="minorEastAsia" w:hint="cs"/>
          <w:i/>
          <w:sz w:val="23"/>
          <w:szCs w:val="23"/>
          <w:rtl/>
        </w:rPr>
        <w:t xml:space="preserve">داریم </w:t>
      </w:r>
    </w:p>
    <w:p w14:paraId="69B2FAC4" w14:textId="77777777" w:rsidR="00411620" w:rsidRPr="00A40DDC" w:rsidRDefault="00411620" w:rsidP="00411620">
      <w:pPr>
        <w:pStyle w:val="MTDisplayEquation"/>
        <w:tabs>
          <w:tab w:val="clear" w:pos="6660"/>
        </w:tabs>
        <w:spacing w:line="216" w:lineRule="auto"/>
        <w:rPr>
          <w:rFonts w:ascii="Times New Roman" w:eastAsiaTheme="minorEastAsia" w:hAnsi="Times New Roman" w:cs="B Nazanin"/>
          <w:i/>
          <w:sz w:val="23"/>
          <w:szCs w:val="23"/>
          <w:rtl/>
          <w:lang w:bidi="fa-IR"/>
        </w:rPr>
      </w:pPr>
      <w:r w:rsidRPr="00A40DDC">
        <w:rPr>
          <w:position w:val="-12"/>
        </w:rPr>
        <w:object w:dxaOrig="4700" w:dyaOrig="360" w14:anchorId="2EFE53B9">
          <v:shape id="_x0000_i3568" type="#_x0000_t75" style="width:234.75pt;height:18.15pt" o:ole="">
            <v:imagedata r:id="rId5124" o:title=""/>
          </v:shape>
          <o:OLEObject Type="Embed" ProgID="Equation.DSMT4" ShapeID="_x0000_i3568" DrawAspect="Content" ObjectID="_1791377512" r:id="rId5125"/>
        </w:object>
      </w:r>
      <w:r w:rsidRPr="00A40DDC">
        <w:rPr>
          <w:rFonts w:ascii="Times New Roman" w:hAnsi="Times New Roman" w:cs="B Nazanin" w:hint="cs"/>
          <w:i/>
          <w:sz w:val="23"/>
          <w:szCs w:val="23"/>
        </w:rPr>
        <w:t xml:space="preserve">  </w:t>
      </w:r>
      <w:r w:rsidRPr="00A40DDC">
        <w:rPr>
          <w:rFonts w:ascii="Times New Roman" w:hAnsi="Times New Roman" w:cs="B Nazanin"/>
          <w:i/>
          <w:sz w:val="23"/>
          <w:szCs w:val="23"/>
          <w:rtl/>
        </w:rPr>
        <w:tab/>
      </w:r>
      <w:r>
        <w:rPr>
          <w:rFonts w:ascii="Times New Roman" w:hAnsi="Times New Roman" w:cs="B Nazanin"/>
          <w:i/>
          <w:sz w:val="23"/>
          <w:szCs w:val="23"/>
          <w:rtl/>
        </w:rPr>
        <w:tab/>
      </w:r>
      <w:r>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eastAsiaTheme="minorEastAsia" w:hAnsi="Times New Roman" w:cs="B Nazanin"/>
          <w:i/>
          <w:sz w:val="23"/>
          <w:szCs w:val="23"/>
          <w:lang w:bidi="fa-IR"/>
        </w:rPr>
        <w:tab/>
      </w:r>
      <w:r w:rsidRPr="00A40DDC">
        <w:rPr>
          <w:rFonts w:ascii="Times New Roman" w:eastAsiaTheme="minorEastAsia" w:hAnsi="Times New Roman" w:cs="B Nazanin" w:hint="cs"/>
          <w:i/>
          <w:sz w:val="23"/>
          <w:szCs w:val="23"/>
          <w:rtl/>
          <w:lang w:bidi="fa-IR"/>
        </w:rPr>
        <w:t xml:space="preserve">(۷. ۱۱) </w:t>
      </w:r>
    </w:p>
    <w:p w14:paraId="124B1802"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رابطه</w:t>
      </w:r>
      <w:r w:rsidRPr="00A40DDC">
        <w:rPr>
          <w:rFonts w:eastAsiaTheme="minorEastAsia"/>
          <w:i/>
          <w:sz w:val="23"/>
          <w:szCs w:val="23"/>
          <w:rtl/>
        </w:rPr>
        <w:softHyphen/>
      </w:r>
      <w:r w:rsidRPr="00A40DDC">
        <w:rPr>
          <w:rFonts w:eastAsiaTheme="minorEastAsia" w:hint="cs"/>
          <w:i/>
          <w:sz w:val="23"/>
          <w:szCs w:val="23"/>
          <w:rtl/>
        </w:rPr>
        <w:t>ی (۷. ۱۱)</w:t>
      </w:r>
      <w:r w:rsidRPr="00A40DDC">
        <w:rPr>
          <w:rFonts w:eastAsiaTheme="minorEastAsia"/>
          <w:i/>
          <w:sz w:val="23"/>
          <w:szCs w:val="23"/>
        </w:rPr>
        <w:t xml:space="preserve"> </w:t>
      </w:r>
      <w:r w:rsidRPr="00A40DDC">
        <w:rPr>
          <w:rFonts w:eastAsiaTheme="minorEastAsia" w:hint="cs"/>
          <w:i/>
          <w:sz w:val="23"/>
          <w:szCs w:val="23"/>
          <w:rtl/>
        </w:rPr>
        <w:t>سطح بهینه</w:t>
      </w:r>
      <w:r w:rsidRPr="00A40DDC">
        <w:rPr>
          <w:rFonts w:eastAsiaTheme="minorEastAsia"/>
          <w:i/>
          <w:sz w:val="23"/>
          <w:szCs w:val="23"/>
          <w:rtl/>
        </w:rPr>
        <w:softHyphen/>
      </w:r>
      <w:r w:rsidRPr="00A40DDC">
        <w:rPr>
          <w:rFonts w:eastAsiaTheme="minorEastAsia" w:hint="cs"/>
          <w:i/>
          <w:sz w:val="23"/>
          <w:szCs w:val="23"/>
          <w:rtl/>
        </w:rPr>
        <w:t>ی موجودی سرمایه</w:t>
      </w:r>
      <w:r w:rsidRPr="00A40DDC">
        <w:rPr>
          <w:rFonts w:eastAsiaTheme="minorEastAsia"/>
          <w:i/>
          <w:sz w:val="23"/>
          <w:szCs w:val="23"/>
          <w:rtl/>
        </w:rPr>
        <w:softHyphen/>
      </w:r>
      <w:r w:rsidRPr="00A40DDC">
        <w:rPr>
          <w:rFonts w:eastAsiaTheme="minorEastAsia" w:hint="cs"/>
          <w:i/>
          <w:sz w:val="23"/>
          <w:szCs w:val="23"/>
          <w:rtl/>
        </w:rPr>
        <w:t>ی</w:t>
      </w:r>
      <w:r w:rsidRPr="00A40DDC">
        <w:rPr>
          <w:position w:val="-6"/>
        </w:rPr>
        <w:object w:dxaOrig="200" w:dyaOrig="260" w14:anchorId="6DDEA058">
          <v:shape id="_x0000_i3569" type="#_x0000_t75" style="width:10.3pt;height:13.3pt" o:ole="">
            <v:imagedata r:id="rId5126" o:title=""/>
          </v:shape>
          <o:OLEObject Type="Embed" ProgID="Equation.DSMT4" ShapeID="_x0000_i3569" DrawAspect="Content" ObjectID="_1791377513" r:id="rId5127"/>
        </w:object>
      </w:r>
      <w:r w:rsidRPr="00A40DDC">
        <w:rPr>
          <w:rFonts w:eastAsiaTheme="minorEastAsia" w:hint="cs"/>
          <w:i/>
          <w:sz w:val="23"/>
          <w:szCs w:val="23"/>
          <w:rtl/>
        </w:rPr>
        <w:t xml:space="preserve"> را مشخص می‌کند.</w:t>
      </w:r>
    </w:p>
    <w:p w14:paraId="65E4C04B"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با توجه به اینکه خالص تولید نهایی سرمایه</w:t>
      </w:r>
      <w:r w:rsidRPr="00A40DDC">
        <w:rPr>
          <w:position w:val="-12"/>
        </w:rPr>
        <w:object w:dxaOrig="980" w:dyaOrig="360" w14:anchorId="10BA3C65">
          <v:shape id="_x0000_i3570" type="#_x0000_t75" style="width:49pt;height:18.15pt" o:ole="">
            <v:imagedata r:id="rId5128" o:title=""/>
          </v:shape>
          <o:OLEObject Type="Embed" ProgID="Equation.DSMT4" ShapeID="_x0000_i3570" DrawAspect="Content" ObjectID="_1791377514" r:id="rId5129"/>
        </w:object>
      </w:r>
      <w:r w:rsidRPr="00A40DDC">
        <w:rPr>
          <w:rFonts w:eastAsiaTheme="minorEastAsia"/>
          <w:i/>
          <w:sz w:val="23"/>
          <w:szCs w:val="23"/>
        </w:rPr>
        <w:t xml:space="preserve"> </w:t>
      </w:r>
      <w:r w:rsidRPr="00A40DDC">
        <w:rPr>
          <w:rFonts w:eastAsiaTheme="minorEastAsia" w:hint="cs"/>
          <w:i/>
          <w:sz w:val="23"/>
          <w:szCs w:val="23"/>
          <w:rtl/>
        </w:rPr>
        <w:t>برابر است با نرخ بهره</w:t>
      </w:r>
      <w:r w:rsidRPr="00A40DDC">
        <w:rPr>
          <w:rFonts w:eastAsiaTheme="minorEastAsia"/>
          <w:i/>
          <w:sz w:val="23"/>
          <w:szCs w:val="23"/>
        </w:rPr>
        <w:softHyphen/>
      </w:r>
      <w:r w:rsidRPr="00A40DDC">
        <w:rPr>
          <w:rFonts w:eastAsiaTheme="minorEastAsia" w:hint="cs"/>
          <w:i/>
          <w:sz w:val="23"/>
          <w:szCs w:val="23"/>
          <w:rtl/>
        </w:rPr>
        <w:t xml:space="preserve">ی دنیا </w:t>
      </w:r>
      <w:r w:rsidRPr="00A40DDC">
        <w:rPr>
          <w:position w:val="-10"/>
        </w:rPr>
        <w:object w:dxaOrig="240" w:dyaOrig="340" w14:anchorId="53AB9BDF">
          <v:shape id="_x0000_i3571" type="#_x0000_t75" style="width:11.5pt;height:16.95pt" o:ole="">
            <v:imagedata r:id="rId5130" o:title=""/>
          </v:shape>
          <o:OLEObject Type="Embed" ProgID="Equation.DSMT4" ShapeID="_x0000_i3571" DrawAspect="Content" ObjectID="_1791377515" r:id="rId5131"/>
        </w:object>
      </w:r>
      <w:r w:rsidRPr="00A40DDC">
        <w:rPr>
          <w:rFonts w:eastAsiaTheme="minorEastAsia" w:hint="cs"/>
          <w:i/>
          <w:sz w:val="23"/>
          <w:szCs w:val="23"/>
          <w:rtl/>
        </w:rPr>
        <w:t>، لذا با جایگذاری در معادله</w:t>
      </w:r>
      <w:r w:rsidRPr="00A40DDC">
        <w:rPr>
          <w:rFonts w:eastAsiaTheme="minorEastAsia"/>
          <w:i/>
          <w:sz w:val="23"/>
          <w:szCs w:val="23"/>
          <w:rtl/>
        </w:rPr>
        <w:softHyphen/>
      </w:r>
      <w:r w:rsidRPr="00A40DDC">
        <w:rPr>
          <w:rFonts w:eastAsiaTheme="minorEastAsia" w:hint="cs"/>
          <w:i/>
          <w:sz w:val="23"/>
          <w:szCs w:val="23"/>
          <w:rtl/>
        </w:rPr>
        <w:t>ی اویلر (۷. ۱۰) به معادله</w:t>
      </w:r>
      <w:r w:rsidRPr="00A40DDC">
        <w:rPr>
          <w:rFonts w:eastAsiaTheme="minorEastAsia"/>
          <w:i/>
          <w:sz w:val="23"/>
          <w:szCs w:val="23"/>
          <w:rtl/>
        </w:rPr>
        <w:softHyphen/>
      </w:r>
      <w:r w:rsidRPr="00A40DDC">
        <w:rPr>
          <w:rFonts w:eastAsiaTheme="minorEastAsia" w:hint="cs"/>
          <w:i/>
          <w:sz w:val="23"/>
          <w:szCs w:val="23"/>
          <w:rtl/>
        </w:rPr>
        <w:t>ی اویلر اقتصاد غیرمتمرکز خواهیم رسید فقط با این تمایز که</w:t>
      </w:r>
      <w:r w:rsidRPr="00025957">
        <w:rPr>
          <w:position w:val="-4"/>
        </w:rPr>
        <w:object w:dxaOrig="240" w:dyaOrig="279" w14:anchorId="7987A827">
          <v:shape id="_x0000_i3572" type="#_x0000_t75" style="width:11.5pt;height:13.9pt" o:ole="">
            <v:imagedata r:id="rId5132" o:title=""/>
          </v:shape>
          <o:OLEObject Type="Embed" ProgID="Equation.DSMT4" ShapeID="_x0000_i3572" DrawAspect="Content" ObjectID="_1791377516" r:id="rId5133"/>
        </w:object>
      </w:r>
      <w:r w:rsidRPr="00A40DDC">
        <w:rPr>
          <w:rFonts w:eastAsiaTheme="minorEastAsia" w:hint="cs"/>
          <w:i/>
          <w:sz w:val="23"/>
          <w:szCs w:val="23"/>
          <w:rtl/>
        </w:rPr>
        <w:t xml:space="preserve"> جایگزین</w:t>
      </w:r>
      <w:r w:rsidRPr="00025957">
        <w:rPr>
          <w:position w:val="-4"/>
        </w:rPr>
        <w:object w:dxaOrig="180" w:dyaOrig="180" w14:anchorId="644AE0D1">
          <v:shape id="_x0000_i3573" type="#_x0000_t75" style="width:9.1pt;height:9.1pt" o:ole="">
            <v:imagedata r:id="rId5134" o:title=""/>
          </v:shape>
          <o:OLEObject Type="Embed" ProgID="Equation.DSMT4" ShapeID="_x0000_i3573" DrawAspect="Content" ObjectID="_1791377517" r:id="rId5135"/>
        </w:object>
      </w:r>
      <w:r w:rsidRPr="00A40DDC">
        <w:rPr>
          <w:rFonts w:eastAsiaTheme="minorEastAsia" w:hint="cs"/>
          <w:i/>
          <w:sz w:val="23"/>
          <w:szCs w:val="23"/>
          <w:rtl/>
        </w:rPr>
        <w:t xml:space="preserve"> شده است.</w:t>
      </w:r>
    </w:p>
    <w:p w14:paraId="13B1E699"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اگر مدل اقتصادی دو دوره</w:t>
      </w:r>
      <w:r w:rsidRPr="00A40DDC">
        <w:rPr>
          <w:rFonts w:eastAsiaTheme="minorEastAsia"/>
          <w:i/>
          <w:sz w:val="23"/>
          <w:szCs w:val="23"/>
          <w:rtl/>
        </w:rPr>
        <w:softHyphen/>
      </w:r>
      <w:r w:rsidRPr="00A40DDC">
        <w:rPr>
          <w:rFonts w:eastAsiaTheme="minorEastAsia" w:hint="cs"/>
          <w:i/>
          <w:sz w:val="23"/>
          <w:szCs w:val="23"/>
          <w:rtl/>
        </w:rPr>
        <w:t xml:space="preserve">ای باشد یعنی </w:t>
      </w:r>
      <w:r w:rsidRPr="00A40DDC">
        <w:rPr>
          <w:position w:val="-8"/>
        </w:rPr>
        <w:object w:dxaOrig="660" w:dyaOrig="279" w14:anchorId="279FAD7C">
          <v:shape id="_x0000_i3574" type="#_x0000_t75" style="width:32.65pt;height:13.9pt" o:ole="">
            <v:imagedata r:id="rId5136" o:title=""/>
          </v:shape>
          <o:OLEObject Type="Embed" ProgID="Equation.DSMT4" ShapeID="_x0000_i3574" DrawAspect="Content" ObjectID="_1791377518" r:id="rId5137"/>
        </w:object>
      </w:r>
      <w:r w:rsidRPr="00A40DDC">
        <w:rPr>
          <w:rFonts w:hint="cs"/>
          <w:i/>
          <w:sz w:val="23"/>
          <w:szCs w:val="23"/>
          <w:rtl/>
        </w:rPr>
        <w:t>،</w:t>
      </w:r>
      <w:r w:rsidRPr="00A40DDC">
        <w:rPr>
          <w:rFonts w:eastAsiaTheme="minorEastAsia" w:hint="cs"/>
          <w:i/>
          <w:sz w:val="23"/>
          <w:szCs w:val="23"/>
          <w:rtl/>
        </w:rPr>
        <w:t xml:space="preserve"> آنگاه</w:t>
      </w:r>
    </w:p>
    <w:p w14:paraId="2AE83DE5" w14:textId="77777777" w:rsidR="00411620" w:rsidRPr="00A40DDC" w:rsidRDefault="00411620" w:rsidP="00411620">
      <w:pPr>
        <w:spacing w:line="216" w:lineRule="auto"/>
        <w:jc w:val="right"/>
        <w:rPr>
          <w:rFonts w:eastAsiaTheme="minorEastAsia"/>
          <w:i/>
          <w:sz w:val="23"/>
          <w:szCs w:val="23"/>
          <w:rtl/>
        </w:rPr>
      </w:pPr>
      <w:r w:rsidRPr="00A40DDC">
        <w:rPr>
          <w:rFonts w:eastAsiaTheme="minorEastAsia" w:hint="cs"/>
          <w:i/>
          <w:sz w:val="23"/>
          <w:szCs w:val="23"/>
          <w:rtl/>
        </w:rPr>
        <w:t xml:space="preserve"> </w:t>
      </w:r>
      <w:r w:rsidRPr="00A40DDC">
        <w:rPr>
          <w:position w:val="-12"/>
        </w:rPr>
        <w:object w:dxaOrig="1980" w:dyaOrig="360" w14:anchorId="33CF35AE">
          <v:shape id="_x0000_i3575" type="#_x0000_t75" style="width:99.25pt;height:18.15pt" o:ole="">
            <v:imagedata r:id="rId5138" o:title=""/>
          </v:shape>
          <o:OLEObject Type="Embed" ProgID="Equation.DSMT4" ShapeID="_x0000_i3575" DrawAspect="Content" ObjectID="_1791377519" r:id="rId5139"/>
        </w:object>
      </w:r>
      <w:r w:rsidRPr="00A40DDC">
        <w:rPr>
          <w:rFonts w:eastAsiaTheme="minorEastAsia" w:hint="cs"/>
          <w:i/>
          <w:sz w:val="23"/>
          <w:szCs w:val="23"/>
          <w:rtl/>
        </w:rPr>
        <w:t xml:space="preserve"> </w:t>
      </w:r>
    </w:p>
    <w:p w14:paraId="2A9B4A84" w14:textId="77777777" w:rsidR="00411620" w:rsidRPr="00A40DDC" w:rsidRDefault="00411620" w:rsidP="00411620">
      <w:pPr>
        <w:spacing w:line="216" w:lineRule="auto"/>
        <w:rPr>
          <w:rFonts w:eastAsiaTheme="minorEastAsia"/>
          <w:i/>
          <w:sz w:val="23"/>
          <w:szCs w:val="23"/>
        </w:rPr>
      </w:pPr>
      <w:r w:rsidRPr="00A40DDC">
        <w:rPr>
          <w:rFonts w:eastAsiaTheme="minorEastAsia" w:hint="cs"/>
          <w:i/>
          <w:sz w:val="23"/>
          <w:szCs w:val="23"/>
          <w:rtl/>
        </w:rPr>
        <w:t xml:space="preserve">با دیفرانسیل کلی از </w:t>
      </w:r>
      <w:r w:rsidRPr="00A40DDC">
        <w:rPr>
          <w:rFonts w:eastAsiaTheme="minorEastAsia"/>
          <w:i/>
          <w:sz w:val="23"/>
          <w:szCs w:val="23"/>
        </w:rPr>
        <w:t>V</w:t>
      </w:r>
      <w:r w:rsidRPr="00A40DDC">
        <w:rPr>
          <w:rFonts w:eastAsiaTheme="minorEastAsia"/>
          <w:i/>
          <w:sz w:val="23"/>
          <w:szCs w:val="23"/>
          <w:vertAlign w:val="subscript"/>
        </w:rPr>
        <w:t>t</w:t>
      </w:r>
      <w:r w:rsidRPr="00A40DDC">
        <w:rPr>
          <w:rFonts w:eastAsiaTheme="minorEastAsia" w:hint="cs"/>
          <w:i/>
          <w:sz w:val="23"/>
          <w:szCs w:val="23"/>
          <w:vertAlign w:val="subscript"/>
          <w:rtl/>
        </w:rPr>
        <w:t xml:space="preserve"> </w:t>
      </w:r>
      <w:r w:rsidRPr="00A40DDC">
        <w:rPr>
          <w:rFonts w:eastAsiaTheme="minorEastAsia" w:hint="cs"/>
          <w:i/>
          <w:sz w:val="23"/>
          <w:szCs w:val="23"/>
          <w:rtl/>
        </w:rPr>
        <w:t>و حداکثر کردن آن داریم</w:t>
      </w:r>
    </w:p>
    <w:p w14:paraId="22867901"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30"/>
        </w:rPr>
        <w:object w:dxaOrig="5820" w:dyaOrig="700" w14:anchorId="2F4B2090">
          <v:shape id="_x0000_i3576" type="#_x0000_t75" style="width:291.05pt;height:35.1pt" o:ole="">
            <v:imagedata r:id="rId5140" o:title=""/>
          </v:shape>
          <o:OLEObject Type="Embed" ProgID="Equation.DSMT4" ShapeID="_x0000_i3576" DrawAspect="Content" ObjectID="_1791377520" r:id="rId5141"/>
        </w:object>
      </w:r>
    </w:p>
    <w:p w14:paraId="1BDCE70B"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همچنین قید بودجه</w:t>
      </w:r>
      <w:r w:rsidRPr="00A40DDC">
        <w:rPr>
          <w:rFonts w:eastAsiaTheme="minorEastAsia"/>
          <w:i/>
          <w:sz w:val="23"/>
          <w:szCs w:val="23"/>
          <w:rtl/>
        </w:rPr>
        <w:softHyphen/>
      </w:r>
      <w:r w:rsidRPr="00A40DDC">
        <w:rPr>
          <w:rFonts w:eastAsiaTheme="minorEastAsia" w:hint="cs"/>
          <w:i/>
          <w:sz w:val="23"/>
          <w:szCs w:val="23"/>
          <w:rtl/>
        </w:rPr>
        <w:t>ی اقتصاد باز (۷. ۶)</w:t>
      </w:r>
      <w:r w:rsidRPr="00A40DDC">
        <w:rPr>
          <w:rFonts w:eastAsiaTheme="minorEastAsia"/>
          <w:i/>
          <w:sz w:val="23"/>
          <w:szCs w:val="23"/>
        </w:rPr>
        <w:t xml:space="preserve"> </w:t>
      </w:r>
      <w:r w:rsidRPr="00A40DDC">
        <w:rPr>
          <w:rFonts w:eastAsiaTheme="minorEastAsia" w:hint="cs"/>
          <w:i/>
          <w:sz w:val="23"/>
          <w:szCs w:val="23"/>
          <w:rtl/>
        </w:rPr>
        <w:t>برای</w:t>
      </w:r>
      <w:r w:rsidRPr="00A40DDC">
        <w:rPr>
          <w:rFonts w:eastAsiaTheme="minorEastAsia"/>
          <w:i/>
          <w:sz w:val="23"/>
          <w:szCs w:val="23"/>
        </w:rPr>
        <w:t xml:space="preserve"> </w:t>
      </w:r>
      <w:r w:rsidRPr="00A40DDC">
        <w:rPr>
          <w:rFonts w:eastAsiaTheme="minorEastAsia" w:hint="cs"/>
          <w:i/>
          <w:sz w:val="23"/>
          <w:szCs w:val="23"/>
          <w:rtl/>
        </w:rPr>
        <w:t>دوره</w:t>
      </w:r>
      <w:r w:rsidRPr="00A40DDC">
        <w:rPr>
          <w:rFonts w:eastAsiaTheme="minorEastAsia"/>
          <w:i/>
          <w:sz w:val="23"/>
          <w:szCs w:val="23"/>
          <w:rtl/>
        </w:rPr>
        <w:softHyphen/>
      </w:r>
      <w:r w:rsidRPr="00A40DDC">
        <w:rPr>
          <w:rFonts w:eastAsiaTheme="minorEastAsia" w:hint="cs"/>
          <w:i/>
          <w:sz w:val="23"/>
          <w:szCs w:val="23"/>
          <w:rtl/>
        </w:rPr>
        <w:t xml:space="preserve">ی </w:t>
      </w:r>
      <w:r w:rsidRPr="00A40DDC">
        <w:rPr>
          <w:position w:val="-8"/>
        </w:rPr>
        <w:object w:dxaOrig="660" w:dyaOrig="279" w14:anchorId="702D11AC">
          <v:shape id="_x0000_i3577" type="#_x0000_t75" style="width:32.65pt;height:13.9pt" o:ole="">
            <v:imagedata r:id="rId5142" o:title=""/>
          </v:shape>
          <o:OLEObject Type="Embed" ProgID="Equation.DSMT4" ShapeID="_x0000_i3577" DrawAspect="Content" ObjectID="_1791377521" r:id="rId5143"/>
        </w:object>
      </w:r>
      <w:r w:rsidRPr="00A40DDC">
        <w:rPr>
          <w:rFonts w:eastAsiaTheme="minorEastAsia" w:hint="cs"/>
          <w:i/>
          <w:sz w:val="23"/>
          <w:szCs w:val="23"/>
          <w:rtl/>
        </w:rPr>
        <w:t xml:space="preserve"> عبارت است از </w:t>
      </w:r>
    </w:p>
    <w:p w14:paraId="04985602"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10"/>
        </w:rPr>
        <w:object w:dxaOrig="3260" w:dyaOrig="340" w14:anchorId="0C0BD9C4">
          <v:shape id="_x0000_i3578" type="#_x0000_t75" style="width:162.75pt;height:16.95pt" o:ole="">
            <v:imagedata r:id="rId5144" o:title=""/>
          </v:shape>
          <o:OLEObject Type="Embed" ProgID="Equation.DSMT4" ShapeID="_x0000_i3578" DrawAspect="Content" ObjectID="_1791377522" r:id="rId5145"/>
        </w:object>
      </w:r>
    </w:p>
    <w:p w14:paraId="6328495D" w14:textId="77777777" w:rsidR="00411620" w:rsidRPr="00A40DDC" w:rsidRDefault="00411620" w:rsidP="00411620">
      <w:pPr>
        <w:bidi w:val="0"/>
        <w:spacing w:line="216" w:lineRule="auto"/>
        <w:rPr>
          <w:rFonts w:eastAsiaTheme="minorEastAsia"/>
          <w:i/>
          <w:sz w:val="23"/>
          <w:szCs w:val="23"/>
          <w:rtl/>
        </w:rPr>
      </w:pPr>
      <w:r w:rsidRPr="00A40DDC">
        <w:rPr>
          <w:position w:val="-10"/>
        </w:rPr>
        <w:object w:dxaOrig="3940" w:dyaOrig="340" w14:anchorId="3DADE56E">
          <v:shape id="_x0000_i3579" type="#_x0000_t75" style="width:197.25pt;height:16.95pt" o:ole="">
            <v:imagedata r:id="rId5146" o:title=""/>
          </v:shape>
          <o:OLEObject Type="Embed" ProgID="Equation.DSMT4" ShapeID="_x0000_i3579" DrawAspect="Content" ObjectID="_1791377523" r:id="rId5147"/>
        </w:object>
      </w:r>
      <w:r w:rsidRPr="00A40DDC">
        <w:rPr>
          <w:rFonts w:eastAsiaTheme="minorEastAsia" w:hint="cs"/>
          <w:i/>
          <w:sz w:val="23"/>
          <w:szCs w:val="23"/>
        </w:rPr>
        <w:t xml:space="preserve"> </w:t>
      </w:r>
    </w:p>
    <w:p w14:paraId="1B936F4C"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با فرض این</w:t>
      </w:r>
      <w:r w:rsidRPr="00A40DDC">
        <w:rPr>
          <w:rFonts w:eastAsiaTheme="minorEastAsia"/>
          <w:i/>
          <w:sz w:val="23"/>
          <w:szCs w:val="23"/>
          <w:rtl/>
        </w:rPr>
        <w:softHyphen/>
      </w:r>
      <w:r w:rsidRPr="00A40DDC">
        <w:rPr>
          <w:rFonts w:eastAsiaTheme="minorEastAsia" w:hint="cs"/>
          <w:i/>
          <w:sz w:val="23"/>
          <w:szCs w:val="23"/>
          <w:rtl/>
        </w:rPr>
        <w:t xml:space="preserve">که </w:t>
      </w:r>
      <w:r w:rsidRPr="00A40DDC">
        <w:rPr>
          <w:position w:val="-10"/>
        </w:rPr>
        <w:object w:dxaOrig="1060" w:dyaOrig="320" w14:anchorId="534793C3">
          <v:shape id="_x0000_i3580" type="#_x0000_t75" style="width:53.25pt;height:15.75pt" o:ole="">
            <v:imagedata r:id="rId5148" o:title=""/>
          </v:shape>
          <o:OLEObject Type="Embed" ProgID="Equation.DSMT4" ShapeID="_x0000_i3580" DrawAspect="Content" ObjectID="_1791377524" r:id="rId5149"/>
        </w:object>
      </w:r>
      <w:r w:rsidRPr="00A40DDC">
        <w:rPr>
          <w:rFonts w:eastAsiaTheme="minorEastAsia" w:hint="cs"/>
          <w:i/>
          <w:sz w:val="23"/>
          <w:szCs w:val="23"/>
          <w:rtl/>
        </w:rPr>
        <w:t xml:space="preserve"> داریم:</w:t>
      </w:r>
    </w:p>
    <w:p w14:paraId="0221696A"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10"/>
        </w:rPr>
        <w:object w:dxaOrig="2420" w:dyaOrig="320" w14:anchorId="7BFC81C5">
          <v:shape id="_x0000_i3581" type="#_x0000_t75" style="width:121pt;height:15.75pt" o:ole="">
            <v:imagedata r:id="rId5150" o:title=""/>
          </v:shape>
          <o:OLEObject Type="Embed" ProgID="Equation.DSMT4" ShapeID="_x0000_i3581" DrawAspect="Content" ObjectID="_1791377525" r:id="rId5151"/>
        </w:object>
      </w:r>
    </w:p>
    <w:p w14:paraId="56D5C0D4" w14:textId="77777777" w:rsidR="00411620" w:rsidRPr="00A40DDC" w:rsidRDefault="00411620" w:rsidP="00411620">
      <w:pPr>
        <w:bidi w:val="0"/>
        <w:spacing w:line="216" w:lineRule="auto"/>
        <w:jc w:val="left"/>
        <w:rPr>
          <w:rFonts w:eastAsiaTheme="minorEastAsia"/>
          <w:i/>
          <w:sz w:val="23"/>
          <w:szCs w:val="23"/>
          <w:rtl/>
        </w:rPr>
      </w:pPr>
      <w:r w:rsidRPr="00A40DDC">
        <w:rPr>
          <w:position w:val="-10"/>
        </w:rPr>
        <w:object w:dxaOrig="3379" w:dyaOrig="340" w14:anchorId="210B4BEB">
          <v:shape id="_x0000_i3582" type="#_x0000_t75" style="width:168.8pt;height:16.95pt" o:ole="">
            <v:imagedata r:id="rId5152" o:title=""/>
          </v:shape>
          <o:OLEObject Type="Embed" ProgID="Equation.DSMT4" ShapeID="_x0000_i3582" DrawAspect="Content" ObjectID="_1791377526" r:id="rId5153"/>
        </w:object>
      </w:r>
    </w:p>
    <w:p w14:paraId="61535D22" w14:textId="77777777" w:rsidR="00411620" w:rsidRPr="00A40DDC" w:rsidRDefault="00411620" w:rsidP="00411620">
      <w:pPr>
        <w:spacing w:line="216" w:lineRule="auto"/>
        <w:rPr>
          <w:rFonts w:eastAsiaTheme="minorEastAsia"/>
          <w:i/>
          <w:sz w:val="23"/>
          <w:szCs w:val="23"/>
        </w:rPr>
      </w:pPr>
      <w:r w:rsidRPr="00A40DDC">
        <w:rPr>
          <w:rFonts w:eastAsiaTheme="minorEastAsia" w:hint="cs"/>
          <w:i/>
          <w:sz w:val="23"/>
          <w:szCs w:val="23"/>
          <w:rtl/>
        </w:rPr>
        <w:t>و یا</w:t>
      </w:r>
    </w:p>
    <w:p w14:paraId="5628C335" w14:textId="77777777" w:rsidR="00411620" w:rsidRPr="00A40DDC" w:rsidRDefault="00411620" w:rsidP="00411620">
      <w:pPr>
        <w:bidi w:val="0"/>
        <w:spacing w:line="216" w:lineRule="auto"/>
        <w:rPr>
          <w:rFonts w:eastAsiaTheme="minorEastAsia"/>
          <w:i/>
          <w:sz w:val="23"/>
          <w:szCs w:val="23"/>
          <w:rtl/>
        </w:rPr>
      </w:pPr>
      <w:r w:rsidRPr="00A40DDC">
        <w:rPr>
          <w:position w:val="-28"/>
        </w:rPr>
        <w:object w:dxaOrig="6320" w:dyaOrig="639" w14:anchorId="496C38D5">
          <v:shape id="_x0000_i3583" type="#_x0000_t75" style="width:315.85pt;height:32.05pt" o:ole="">
            <v:imagedata r:id="rId5154" o:title=""/>
          </v:shape>
          <o:OLEObject Type="Embed" ProgID="Equation.DSMT4" ShapeID="_x0000_i3583" DrawAspect="Content" ObjectID="_1791377527" r:id="rId5155"/>
        </w:object>
      </w:r>
    </w:p>
    <w:p w14:paraId="74D5AAA2" w14:textId="77777777" w:rsidR="00411620" w:rsidRPr="00A40DDC" w:rsidRDefault="00411620" w:rsidP="00411620">
      <w:pPr>
        <w:spacing w:line="216" w:lineRule="auto"/>
        <w:rPr>
          <w:rFonts w:eastAsiaTheme="minorEastAsia"/>
          <w:i/>
          <w:sz w:val="23"/>
          <w:szCs w:val="23"/>
        </w:rPr>
      </w:pPr>
      <w:r w:rsidRPr="00A40DDC">
        <w:rPr>
          <w:rFonts w:eastAsiaTheme="minorEastAsia" w:hint="cs"/>
          <w:i/>
          <w:sz w:val="23"/>
          <w:szCs w:val="23"/>
          <w:rtl/>
        </w:rPr>
        <w:t>لذا</w:t>
      </w:r>
    </w:p>
    <w:p w14:paraId="43FFF5A6"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28"/>
        </w:rPr>
        <w:object w:dxaOrig="4099" w:dyaOrig="639" w14:anchorId="57CD21A3">
          <v:shape id="_x0000_i3584" type="#_x0000_t75" style="width:205.1pt;height:32.05pt" o:ole="">
            <v:imagedata r:id="rId5156" o:title=""/>
          </v:shape>
          <o:OLEObject Type="Embed" ProgID="Equation.DSMT4" ShapeID="_x0000_i3584" DrawAspect="Content" ObjectID="_1791377528" r:id="rId5157"/>
        </w:object>
      </w:r>
    </w:p>
    <w:p w14:paraId="4D7FB141" w14:textId="77777777" w:rsidR="00411620" w:rsidRPr="00A40DDC" w:rsidRDefault="00411620" w:rsidP="00411620">
      <w:pPr>
        <w:spacing w:line="216" w:lineRule="auto"/>
        <w:rPr>
          <w:rFonts w:eastAsiaTheme="minorEastAsia"/>
          <w:i/>
          <w:sz w:val="23"/>
          <w:szCs w:val="23"/>
        </w:rPr>
      </w:pPr>
      <w:r w:rsidRPr="00A40DDC">
        <w:rPr>
          <w:rFonts w:eastAsiaTheme="minorEastAsia" w:hint="cs"/>
          <w:i/>
          <w:sz w:val="23"/>
          <w:szCs w:val="23"/>
          <w:rtl/>
        </w:rPr>
        <w:t xml:space="preserve"> بنابراین قید بودجه</w:t>
      </w:r>
      <w:r w:rsidRPr="00A40DDC">
        <w:rPr>
          <w:rFonts w:eastAsiaTheme="minorEastAsia"/>
          <w:i/>
          <w:sz w:val="23"/>
          <w:szCs w:val="23"/>
          <w:rtl/>
        </w:rPr>
        <w:softHyphen/>
      </w:r>
      <w:r w:rsidRPr="00A40DDC">
        <w:rPr>
          <w:rFonts w:eastAsiaTheme="minorEastAsia" w:hint="cs"/>
          <w:i/>
          <w:sz w:val="23"/>
          <w:szCs w:val="23"/>
          <w:rtl/>
        </w:rPr>
        <w:t>ی دو دوره</w:t>
      </w:r>
      <w:r w:rsidRPr="00A40DDC">
        <w:rPr>
          <w:rFonts w:eastAsiaTheme="minorEastAsia"/>
          <w:i/>
          <w:sz w:val="23"/>
          <w:szCs w:val="23"/>
          <w:rtl/>
        </w:rPr>
        <w:softHyphen/>
      </w:r>
      <w:r w:rsidRPr="00A40DDC">
        <w:rPr>
          <w:rFonts w:eastAsiaTheme="minorEastAsia" w:hint="cs"/>
          <w:i/>
          <w:sz w:val="23"/>
          <w:szCs w:val="23"/>
          <w:rtl/>
        </w:rPr>
        <w:t>ای عبارت است از:</w:t>
      </w:r>
    </w:p>
    <w:p w14:paraId="36BFDD2F"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28"/>
        </w:rPr>
        <w:object w:dxaOrig="2900" w:dyaOrig="639" w14:anchorId="73905762">
          <v:shape id="_x0000_i3585" type="#_x0000_t75" style="width:145.2pt;height:32.05pt" o:ole="">
            <v:imagedata r:id="rId5158" o:title=""/>
          </v:shape>
          <o:OLEObject Type="Embed" ProgID="Equation.DSMT4" ShapeID="_x0000_i3585" DrawAspect="Content" ObjectID="_1791377529" r:id="rId5159"/>
        </w:object>
      </w:r>
    </w:p>
    <w:p w14:paraId="7995345B" w14:textId="77777777" w:rsidR="00411620" w:rsidRPr="00A40DDC" w:rsidRDefault="00411620" w:rsidP="00411620">
      <w:pPr>
        <w:spacing w:line="216" w:lineRule="auto"/>
        <w:rPr>
          <w:rFonts w:eastAsiaTheme="minorEastAsia"/>
          <w:i/>
          <w:sz w:val="23"/>
          <w:szCs w:val="23"/>
        </w:rPr>
      </w:pPr>
      <w:r w:rsidRPr="00A40DDC">
        <w:rPr>
          <w:rFonts w:eastAsiaTheme="minorEastAsia" w:hint="cs"/>
          <w:i/>
          <w:sz w:val="23"/>
          <w:szCs w:val="23"/>
          <w:rtl/>
        </w:rPr>
        <w:t xml:space="preserve"> و شیب این قید بودجه برابر است با: </w:t>
      </w:r>
    </w:p>
    <w:p w14:paraId="6C06708E"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lang w:bidi="fa-IR"/>
        </w:rPr>
      </w:pPr>
      <w:r w:rsidRPr="00A40DDC">
        <w:rPr>
          <w:position w:val="-28"/>
        </w:rPr>
        <w:object w:dxaOrig="1420" w:dyaOrig="639" w14:anchorId="03753D65">
          <v:shape id="_x0000_i3586" type="#_x0000_t75" style="width:70.8pt;height:32.05pt" o:ole="">
            <v:imagedata r:id="rId5160" o:title=""/>
          </v:shape>
          <o:OLEObject Type="Embed" ProgID="Equation.DSMT4" ShapeID="_x0000_i3586" DrawAspect="Content" ObjectID="_1791377530" r:id="rId5161"/>
        </w:object>
      </w:r>
    </w:p>
    <w:p w14:paraId="4E18EE32"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لذا شیب خط بودجه و شیب منحنی بی</w:t>
      </w:r>
      <w:r w:rsidRPr="00A40DDC">
        <w:rPr>
          <w:rFonts w:eastAsiaTheme="minorEastAsia"/>
          <w:i/>
          <w:sz w:val="23"/>
          <w:szCs w:val="23"/>
        </w:rPr>
        <w:softHyphen/>
      </w:r>
      <w:r w:rsidRPr="00A40DDC">
        <w:rPr>
          <w:rFonts w:eastAsiaTheme="minorEastAsia" w:hint="cs"/>
          <w:i/>
          <w:sz w:val="23"/>
          <w:szCs w:val="23"/>
          <w:rtl/>
        </w:rPr>
        <w:t xml:space="preserve">تفاوتی برابر خواهد بود با </w:t>
      </w:r>
      <w:r w:rsidRPr="00A40DDC">
        <w:rPr>
          <w:position w:val="-10"/>
        </w:rPr>
        <w:object w:dxaOrig="600" w:dyaOrig="340" w14:anchorId="43C109A8">
          <v:shape id="_x0000_i3587" type="#_x0000_t75" style="width:29.65pt;height:16.95pt" o:ole="">
            <v:imagedata r:id="rId5162" o:title=""/>
          </v:shape>
          <o:OLEObject Type="Embed" ProgID="Equation.DSMT4" ShapeID="_x0000_i3587" DrawAspect="Content" ObjectID="_1791377531" r:id="rId5163"/>
        </w:object>
      </w:r>
      <w:r w:rsidRPr="00A40DDC">
        <w:rPr>
          <w:rFonts w:eastAsiaTheme="minorEastAsia" w:hint="cs"/>
          <w:i/>
          <w:sz w:val="23"/>
          <w:szCs w:val="23"/>
          <w:rtl/>
        </w:rPr>
        <w:t xml:space="preserve">. </w:t>
      </w:r>
    </w:p>
    <w:p w14:paraId="2D76E2AF" w14:textId="77777777" w:rsidR="00411620" w:rsidRPr="00A40DDC" w:rsidRDefault="00411620" w:rsidP="00411620">
      <w:pPr>
        <w:spacing w:line="216" w:lineRule="auto"/>
        <w:rPr>
          <w:rFonts w:eastAsiaTheme="minorEastAsia"/>
          <w:i/>
          <w:sz w:val="23"/>
          <w:szCs w:val="23"/>
        </w:rPr>
      </w:pPr>
      <w:r w:rsidRPr="00A40DDC">
        <w:rPr>
          <w:rFonts w:eastAsiaTheme="minorEastAsia" w:hint="cs"/>
          <w:i/>
          <w:sz w:val="23"/>
          <w:szCs w:val="23"/>
          <w:rtl/>
        </w:rPr>
        <w:t>در نمودار ۷. ۱ فرض شده است در زمان</w:t>
      </w:r>
      <w:r w:rsidRPr="00A40DDC">
        <w:rPr>
          <w:position w:val="-6"/>
        </w:rPr>
        <w:object w:dxaOrig="139" w:dyaOrig="240" w14:anchorId="5F9C5430">
          <v:shape id="_x0000_i3588" type="#_x0000_t75" style="width:7.25pt;height:11.5pt" o:ole="">
            <v:imagedata r:id="rId5164" o:title=""/>
          </v:shape>
          <o:OLEObject Type="Embed" ProgID="Equation.DSMT4" ShapeID="_x0000_i3588" DrawAspect="Content" ObjectID="_1791377532" r:id="rId5165"/>
        </w:object>
      </w:r>
      <w:r w:rsidRPr="00A40DDC">
        <w:rPr>
          <w:rFonts w:eastAsiaTheme="minorEastAsia" w:hint="cs"/>
          <w:i/>
          <w:sz w:val="23"/>
          <w:szCs w:val="23"/>
          <w:rtl/>
        </w:rPr>
        <w:t xml:space="preserve"> کسری تجاری وجود دارد یعنی </w:t>
      </w:r>
      <w:r w:rsidRPr="00A40DDC">
        <w:rPr>
          <w:position w:val="-12"/>
        </w:rPr>
        <w:object w:dxaOrig="2480" w:dyaOrig="360" w14:anchorId="0B568D55">
          <v:shape id="_x0000_i3589" type="#_x0000_t75" style="width:124.05pt;height:18.15pt" o:ole="">
            <v:imagedata r:id="rId5166" o:title=""/>
          </v:shape>
          <o:OLEObject Type="Embed" ProgID="Equation.DSMT4" ShapeID="_x0000_i3589" DrawAspect="Content" ObjectID="_1791377533" r:id="rId5167"/>
        </w:object>
      </w:r>
      <w:r w:rsidRPr="00A40DDC">
        <w:rPr>
          <w:sz w:val="23"/>
          <w:szCs w:val="23"/>
        </w:rPr>
        <w:t>.</w:t>
      </w:r>
      <w:r w:rsidRPr="00A40DDC">
        <w:rPr>
          <w:rFonts w:eastAsiaTheme="minorEastAsia" w:hint="cs"/>
          <w:i/>
          <w:sz w:val="23"/>
          <w:szCs w:val="23"/>
          <w:rtl/>
        </w:rPr>
        <w:t xml:space="preserve"> مصرف بهینه</w:t>
      </w:r>
      <w:r w:rsidRPr="00A40DDC">
        <w:rPr>
          <w:rFonts w:eastAsiaTheme="minorEastAsia"/>
          <w:i/>
          <w:sz w:val="23"/>
          <w:szCs w:val="23"/>
          <w:rtl/>
        </w:rPr>
        <w:softHyphen/>
      </w:r>
      <w:r w:rsidRPr="00A40DDC">
        <w:rPr>
          <w:rFonts w:eastAsiaTheme="minorEastAsia" w:hint="cs"/>
          <w:i/>
          <w:sz w:val="23"/>
          <w:szCs w:val="23"/>
          <w:rtl/>
        </w:rPr>
        <w:t>ی</w:t>
      </w:r>
      <w:r w:rsidRPr="00A40DDC">
        <w:rPr>
          <w:rFonts w:eastAsiaTheme="minorEastAsia"/>
          <w:i/>
          <w:sz w:val="23"/>
          <w:szCs w:val="23"/>
        </w:rPr>
        <w:t xml:space="preserve"> </w:t>
      </w:r>
      <w:r w:rsidRPr="00A40DDC">
        <w:rPr>
          <w:position w:val="-10"/>
        </w:rPr>
        <w:object w:dxaOrig="240" w:dyaOrig="320" w14:anchorId="1278ABD5">
          <v:shape id="_x0000_i3590" type="#_x0000_t75" style="width:11.5pt;height:15.75pt" o:ole="">
            <v:imagedata r:id="rId5168" o:title=""/>
          </v:shape>
          <o:OLEObject Type="Embed" ProgID="Equation.DSMT4" ShapeID="_x0000_i3590" DrawAspect="Content" ObjectID="_1791377534" r:id="rId5169"/>
        </w:object>
      </w:r>
      <w:r w:rsidRPr="00A40DDC">
        <w:rPr>
          <w:rFonts w:eastAsiaTheme="minorEastAsia" w:hint="cs"/>
          <w:i/>
          <w:sz w:val="23"/>
          <w:szCs w:val="23"/>
          <w:rtl/>
        </w:rPr>
        <w:t xml:space="preserve">و </w:t>
      </w:r>
      <w:r w:rsidRPr="00A40DDC">
        <w:rPr>
          <w:position w:val="-10"/>
        </w:rPr>
        <w:object w:dxaOrig="340" w:dyaOrig="320" w14:anchorId="3A64B577">
          <v:shape id="_x0000_i3591" type="#_x0000_t75" style="width:16.95pt;height:15.75pt" o:ole="">
            <v:imagedata r:id="rId5170" o:title=""/>
          </v:shape>
          <o:OLEObject Type="Embed" ProgID="Equation.DSMT4" ShapeID="_x0000_i3591" DrawAspect="Content" ObjectID="_1791377535" r:id="rId5171"/>
        </w:object>
      </w:r>
      <w:r w:rsidRPr="00A40DDC">
        <w:rPr>
          <w:rFonts w:eastAsiaTheme="minorEastAsia" w:hint="cs"/>
          <w:i/>
          <w:sz w:val="23"/>
          <w:szCs w:val="23"/>
          <w:rtl/>
        </w:rPr>
        <w:t xml:space="preserve"> زمانی حاصل می</w:t>
      </w:r>
      <w:r w:rsidRPr="00A40DDC">
        <w:rPr>
          <w:rFonts w:eastAsiaTheme="minorEastAsia"/>
          <w:i/>
          <w:sz w:val="23"/>
          <w:szCs w:val="23"/>
          <w:rtl/>
        </w:rPr>
        <w:softHyphen/>
      </w:r>
      <w:r w:rsidRPr="00A40DDC">
        <w:rPr>
          <w:rFonts w:eastAsiaTheme="minorEastAsia" w:hint="cs"/>
          <w:i/>
          <w:sz w:val="23"/>
          <w:szCs w:val="23"/>
          <w:rtl/>
        </w:rPr>
        <w:t>شود که قید بودجه با منحنی بی</w:t>
      </w:r>
      <w:r w:rsidRPr="00A40DDC">
        <w:rPr>
          <w:rFonts w:eastAsiaTheme="minorEastAsia"/>
          <w:i/>
          <w:sz w:val="23"/>
          <w:szCs w:val="23"/>
          <w:rtl/>
        </w:rPr>
        <w:softHyphen/>
      </w:r>
      <w:r w:rsidRPr="00A40DDC">
        <w:rPr>
          <w:rFonts w:eastAsiaTheme="minorEastAsia" w:hint="cs"/>
          <w:i/>
          <w:sz w:val="23"/>
          <w:szCs w:val="23"/>
          <w:rtl/>
        </w:rPr>
        <w:t>تفاوتی مماس شود. همچنین منحنی</w:t>
      </w:r>
      <w:r w:rsidRPr="00025957">
        <w:rPr>
          <w:position w:val="-4"/>
        </w:rPr>
        <w:object w:dxaOrig="620" w:dyaOrig="240" w14:anchorId="44925AB7">
          <v:shape id="_x0000_i3592" type="#_x0000_t75" style="width:31.45pt;height:11.5pt" o:ole="">
            <v:imagedata r:id="rId5172" o:title=""/>
          </v:shape>
          <o:OLEObject Type="Embed" ProgID="Equation.DSMT4" ShapeID="_x0000_i3592" DrawAspect="Content" ObjectID="_1791377536" r:id="rId5173"/>
        </w:object>
      </w:r>
      <w:r w:rsidRPr="00A40DDC">
        <w:rPr>
          <w:rFonts w:eastAsiaTheme="minorEastAsia" w:hint="cs"/>
          <w:i/>
          <w:sz w:val="23"/>
          <w:szCs w:val="23"/>
          <w:rtl/>
        </w:rPr>
        <w:t xml:space="preserve"> مصرف در زمان‌های </w:t>
      </w:r>
      <w:r w:rsidRPr="00A40DDC">
        <w:rPr>
          <w:rFonts w:eastAsiaTheme="minorEastAsia"/>
          <w:i/>
          <w:sz w:val="23"/>
          <w:szCs w:val="23"/>
        </w:rPr>
        <w:t>t</w:t>
      </w:r>
      <w:r w:rsidRPr="00A40DDC">
        <w:rPr>
          <w:rFonts w:eastAsiaTheme="minorEastAsia" w:hint="cs"/>
          <w:i/>
          <w:sz w:val="23"/>
          <w:szCs w:val="23"/>
          <w:rtl/>
        </w:rPr>
        <w:t xml:space="preserve"> و </w:t>
      </w:r>
      <w:r w:rsidRPr="00A40DDC">
        <w:rPr>
          <w:rFonts w:eastAsiaTheme="minorEastAsia"/>
          <w:i/>
          <w:sz w:val="23"/>
          <w:szCs w:val="23"/>
        </w:rPr>
        <w:t>t+1</w:t>
      </w:r>
      <w:r w:rsidRPr="00A40DDC">
        <w:rPr>
          <w:rFonts w:eastAsiaTheme="minorEastAsia" w:hint="cs"/>
          <w:i/>
          <w:sz w:val="23"/>
          <w:szCs w:val="23"/>
          <w:rtl/>
        </w:rPr>
        <w:t xml:space="preserve"> را بر اساس تولید داخلی بدون تجارت خارجی نشان می‌دهد. قید بودجه با منحنی</w:t>
      </w:r>
      <w:r w:rsidRPr="00025957">
        <w:rPr>
          <w:position w:val="-4"/>
        </w:rPr>
        <w:object w:dxaOrig="620" w:dyaOrig="240" w14:anchorId="3DAEF912">
          <v:shape id="_x0000_i3593" type="#_x0000_t75" style="width:31.45pt;height:11.5pt" o:ole="">
            <v:imagedata r:id="rId5174" o:title=""/>
          </v:shape>
          <o:OLEObject Type="Embed" ProgID="Equation.DSMT4" ShapeID="_x0000_i3593" DrawAspect="Content" ObjectID="_1791377537" r:id="rId5175"/>
        </w:object>
      </w:r>
      <w:r w:rsidRPr="00A40DDC">
        <w:rPr>
          <w:rFonts w:eastAsiaTheme="minorEastAsia" w:hint="cs"/>
          <w:i/>
          <w:sz w:val="23"/>
          <w:szCs w:val="23"/>
          <w:rtl/>
        </w:rPr>
        <w:t xml:space="preserve"> نیز در نقطه</w:t>
      </w:r>
      <w:r w:rsidRPr="00A40DDC">
        <w:rPr>
          <w:rFonts w:eastAsiaTheme="minorEastAsia"/>
          <w:i/>
          <w:sz w:val="23"/>
          <w:szCs w:val="23"/>
          <w:rtl/>
        </w:rPr>
        <w:softHyphen/>
      </w:r>
      <w:r w:rsidRPr="00A40DDC">
        <w:rPr>
          <w:rFonts w:eastAsiaTheme="minorEastAsia" w:hint="cs"/>
          <w:i/>
          <w:sz w:val="23"/>
          <w:szCs w:val="23"/>
          <w:rtl/>
        </w:rPr>
        <w:t>ی</w:t>
      </w:r>
      <w:r w:rsidRPr="00A40DDC">
        <w:rPr>
          <w:position w:val="-10"/>
        </w:rPr>
        <w:object w:dxaOrig="560" w:dyaOrig="320" w14:anchorId="7C95F22A">
          <v:shape id="_x0000_i3594" type="#_x0000_t75" style="width:27.85pt;height:15.75pt" o:ole="">
            <v:imagedata r:id="rId5176" o:title=""/>
          </v:shape>
          <o:OLEObject Type="Embed" ProgID="Equation.DSMT4" ShapeID="_x0000_i3594" DrawAspect="Content" ObjectID="_1791377538" r:id="rId5177"/>
        </w:object>
      </w:r>
      <w:r w:rsidRPr="00A40DDC">
        <w:rPr>
          <w:rFonts w:eastAsiaTheme="minorEastAsia" w:hint="cs"/>
          <w:i/>
          <w:sz w:val="23"/>
          <w:szCs w:val="23"/>
          <w:rtl/>
        </w:rPr>
        <w:t xml:space="preserve"> و</w:t>
      </w:r>
      <w:r w:rsidRPr="00A40DDC">
        <w:rPr>
          <w:position w:val="-10"/>
        </w:rPr>
        <w:object w:dxaOrig="820" w:dyaOrig="320" w14:anchorId="1F78322A">
          <v:shape id="_x0000_i3595" type="#_x0000_t75" style="width:40.55pt;height:15.75pt" o:ole="">
            <v:imagedata r:id="rId5178" o:title=""/>
          </v:shape>
          <o:OLEObject Type="Embed" ProgID="Equation.DSMT4" ShapeID="_x0000_i3595" DrawAspect="Content" ObjectID="_1791377539" r:id="rId5179"/>
        </w:object>
      </w:r>
      <w:r w:rsidRPr="00A40DDC">
        <w:rPr>
          <w:rFonts w:eastAsiaTheme="minorEastAsia"/>
          <w:i/>
          <w:sz w:val="23"/>
          <w:szCs w:val="23"/>
        </w:rPr>
        <w:t xml:space="preserve"> </w:t>
      </w:r>
      <w:r w:rsidRPr="00A40DDC">
        <w:rPr>
          <w:rFonts w:eastAsiaTheme="minorEastAsia" w:hint="cs"/>
          <w:i/>
          <w:sz w:val="23"/>
          <w:szCs w:val="23"/>
          <w:rtl/>
        </w:rPr>
        <w:t>مماس می</w:t>
      </w:r>
      <w:r w:rsidRPr="00A40DDC">
        <w:rPr>
          <w:rFonts w:eastAsiaTheme="minorEastAsia"/>
          <w:i/>
          <w:sz w:val="23"/>
          <w:szCs w:val="23"/>
          <w:rtl/>
        </w:rPr>
        <w:softHyphen/>
      </w:r>
      <w:r w:rsidRPr="00A40DDC">
        <w:rPr>
          <w:rFonts w:eastAsiaTheme="minorEastAsia" w:hint="cs"/>
          <w:i/>
          <w:sz w:val="23"/>
          <w:szCs w:val="23"/>
          <w:rtl/>
        </w:rPr>
        <w:t xml:space="preserve">شود، ولی نقطه تماس با اقتصاد بسته متفاوت است. </w:t>
      </w:r>
    </w:p>
    <w:p w14:paraId="44E32A57"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از اتحاد حساب ملی اقتصاد باز یعنی معادله</w:t>
      </w:r>
      <w:r w:rsidRPr="00A40DDC">
        <w:rPr>
          <w:rFonts w:eastAsiaTheme="minorEastAsia"/>
          <w:i/>
          <w:sz w:val="23"/>
          <w:szCs w:val="23"/>
          <w:rtl/>
        </w:rPr>
        <w:softHyphen/>
      </w:r>
      <w:r w:rsidRPr="00A40DDC">
        <w:rPr>
          <w:rFonts w:eastAsiaTheme="minorEastAsia" w:hint="cs"/>
          <w:i/>
          <w:sz w:val="23"/>
          <w:szCs w:val="23"/>
          <w:rtl/>
        </w:rPr>
        <w:t xml:space="preserve">ی </w:t>
      </w:r>
      <w:r w:rsidRPr="00A40DDC">
        <w:rPr>
          <w:rFonts w:hint="cs"/>
          <w:i/>
          <w:sz w:val="23"/>
          <w:szCs w:val="23"/>
          <w:rtl/>
        </w:rPr>
        <w:t>(۷. ۱)</w:t>
      </w:r>
      <w:r w:rsidRPr="00A40DDC">
        <w:rPr>
          <w:rFonts w:eastAsiaTheme="minorEastAsia" w:hint="cs"/>
          <w:i/>
          <w:sz w:val="23"/>
          <w:szCs w:val="23"/>
          <w:rtl/>
        </w:rPr>
        <w:t xml:space="preserve"> داریم</w:t>
      </w:r>
      <w:r w:rsidRPr="00A40DDC">
        <w:rPr>
          <w:position w:val="-10"/>
        </w:rPr>
        <w:object w:dxaOrig="2100" w:dyaOrig="340" w14:anchorId="6129474D">
          <v:shape id="_x0000_i3596" type="#_x0000_t75" style="width:105.3pt;height:16.95pt" o:ole="">
            <v:imagedata r:id="rId5180" o:title=""/>
          </v:shape>
          <o:OLEObject Type="Embed" ProgID="Equation.DSMT4" ShapeID="_x0000_i3596" DrawAspect="Content" ObjectID="_1791377540" r:id="rId5181"/>
        </w:object>
      </w:r>
      <w:r w:rsidRPr="00A40DDC">
        <w:rPr>
          <w:rFonts w:hint="cs"/>
          <w:i/>
          <w:sz w:val="23"/>
          <w:szCs w:val="23"/>
          <w:rtl/>
        </w:rPr>
        <w:t>. این رابطه نشان می</w:t>
      </w:r>
      <w:r w:rsidRPr="00A40DDC">
        <w:rPr>
          <w:i/>
          <w:sz w:val="23"/>
          <w:szCs w:val="23"/>
          <w:rtl/>
        </w:rPr>
        <w:softHyphen/>
      </w:r>
      <w:r w:rsidRPr="00A40DDC">
        <w:rPr>
          <w:rFonts w:hint="cs"/>
          <w:i/>
          <w:sz w:val="23"/>
          <w:szCs w:val="23"/>
          <w:rtl/>
        </w:rPr>
        <w:t xml:space="preserve">دهد که </w:t>
      </w:r>
      <w:r w:rsidRPr="00A40DDC">
        <w:rPr>
          <w:rFonts w:eastAsiaTheme="minorEastAsia" w:hint="cs"/>
          <w:i/>
          <w:sz w:val="23"/>
          <w:szCs w:val="23"/>
          <w:rtl/>
        </w:rPr>
        <w:t>تفاوت</w:t>
      </w:r>
      <w:r w:rsidRPr="00A40DDC">
        <w:rPr>
          <w:position w:val="-10"/>
        </w:rPr>
        <w:object w:dxaOrig="560" w:dyaOrig="320" w14:anchorId="07A15135">
          <v:shape id="_x0000_i3597" type="#_x0000_t75" style="width:27.85pt;height:15.75pt" o:ole="">
            <v:imagedata r:id="rId5182" o:title=""/>
          </v:shape>
          <o:OLEObject Type="Embed" ProgID="Equation.DSMT4" ShapeID="_x0000_i3597" DrawAspect="Content" ObjectID="_1791377541" r:id="rId5183"/>
        </w:object>
      </w:r>
      <w:r w:rsidRPr="00A40DDC">
        <w:rPr>
          <w:rFonts w:eastAsiaTheme="minorEastAsia"/>
          <w:i/>
          <w:sz w:val="23"/>
          <w:szCs w:val="23"/>
        </w:rPr>
        <w:t xml:space="preserve"> </w:t>
      </w:r>
      <w:r w:rsidRPr="00A40DDC">
        <w:rPr>
          <w:rFonts w:eastAsiaTheme="minorEastAsia" w:hint="cs"/>
          <w:i/>
          <w:sz w:val="23"/>
          <w:szCs w:val="23"/>
          <w:rtl/>
        </w:rPr>
        <w:t>از</w:t>
      </w:r>
      <w:r w:rsidRPr="00A40DDC">
        <w:rPr>
          <w:position w:val="-10"/>
        </w:rPr>
        <w:object w:dxaOrig="200" w:dyaOrig="320" w14:anchorId="52B517DF">
          <v:shape id="_x0000_i3598" type="#_x0000_t75" style="width:10.3pt;height:15.75pt" o:ole="">
            <v:imagedata r:id="rId5184" o:title=""/>
          </v:shape>
          <o:OLEObject Type="Embed" ProgID="Equation.DSMT4" ShapeID="_x0000_i3598" DrawAspect="Content" ObjectID="_1791377542" r:id="rId5185"/>
        </w:object>
      </w:r>
      <w:r w:rsidRPr="00A40DDC">
        <w:rPr>
          <w:rFonts w:eastAsiaTheme="minorEastAsia"/>
          <w:i/>
          <w:sz w:val="23"/>
          <w:szCs w:val="23"/>
        </w:rPr>
        <w:t xml:space="preserve"> </w:t>
      </w:r>
      <w:r w:rsidRPr="00A40DDC">
        <w:rPr>
          <w:rFonts w:eastAsiaTheme="minorEastAsia" w:hint="cs"/>
          <w:i/>
          <w:sz w:val="23"/>
          <w:szCs w:val="23"/>
          <w:rtl/>
        </w:rPr>
        <w:t xml:space="preserve">همان کسری تجاری یا </w:t>
      </w:r>
      <w:r w:rsidRPr="00A40DDC">
        <w:rPr>
          <w:position w:val="-10"/>
        </w:rPr>
        <w:object w:dxaOrig="1240" w:dyaOrig="340" w14:anchorId="0861BA01">
          <v:shape id="_x0000_i3599" type="#_x0000_t75" style="width:61.7pt;height:16.95pt" o:ole="">
            <v:imagedata r:id="rId5186" o:title=""/>
          </v:shape>
          <o:OLEObject Type="Embed" ProgID="Equation.DSMT4" ShapeID="_x0000_i3599" DrawAspect="Content" ObjectID="_1791377543" r:id="rId5187"/>
        </w:object>
      </w:r>
      <w:r w:rsidRPr="00A40DDC">
        <w:rPr>
          <w:rFonts w:eastAsiaTheme="minorEastAsia" w:hint="cs"/>
          <w:i/>
          <w:sz w:val="23"/>
          <w:szCs w:val="23"/>
          <w:rtl/>
        </w:rPr>
        <w:t xml:space="preserve"> است.</w:t>
      </w:r>
      <w:r w:rsidRPr="00A40DDC">
        <w:rPr>
          <w:rFonts w:eastAsiaTheme="minorEastAsia"/>
          <w:i/>
          <w:sz w:val="23"/>
          <w:szCs w:val="23"/>
        </w:rPr>
        <w:t xml:space="preserve"> </w:t>
      </w:r>
      <w:r w:rsidRPr="00A40DDC">
        <w:rPr>
          <w:rFonts w:eastAsiaTheme="minorEastAsia" w:hint="cs"/>
          <w:i/>
          <w:sz w:val="23"/>
          <w:szCs w:val="23"/>
          <w:rtl/>
        </w:rPr>
        <w:t>در شکل فوق در زمان</w:t>
      </w:r>
      <w:r w:rsidRPr="00A40DDC">
        <w:rPr>
          <w:rFonts w:eastAsiaTheme="minorEastAsia"/>
          <w:i/>
          <w:sz w:val="23"/>
          <w:szCs w:val="23"/>
        </w:rPr>
        <w:t xml:space="preserve">t </w:t>
      </w:r>
      <w:r w:rsidRPr="00A40DDC">
        <w:rPr>
          <w:rFonts w:eastAsiaTheme="minorEastAsia" w:hint="cs"/>
          <w:i/>
          <w:sz w:val="23"/>
          <w:szCs w:val="23"/>
          <w:rtl/>
        </w:rPr>
        <w:t xml:space="preserve"> کسری تجاری و در زمان </w:t>
      </w:r>
      <w:r w:rsidRPr="00A40DDC">
        <w:rPr>
          <w:position w:val="-6"/>
        </w:rPr>
        <w:object w:dxaOrig="440" w:dyaOrig="260" w14:anchorId="282972BC">
          <v:shape id="_x0000_i3600" type="#_x0000_t75" style="width:21.8pt;height:13.3pt" o:ole="">
            <v:imagedata r:id="rId5188" o:title=""/>
          </v:shape>
          <o:OLEObject Type="Embed" ProgID="Equation.DSMT4" ShapeID="_x0000_i3600" DrawAspect="Content" ObjectID="_1791377544" r:id="rId5189"/>
        </w:object>
      </w:r>
      <w:r w:rsidRPr="00A40DDC">
        <w:rPr>
          <w:rFonts w:hint="cs"/>
          <w:i/>
          <w:sz w:val="23"/>
          <w:szCs w:val="23"/>
          <w:rtl/>
        </w:rPr>
        <w:t xml:space="preserve"> </w:t>
      </w:r>
      <w:r w:rsidRPr="00A40DDC">
        <w:rPr>
          <w:rFonts w:eastAsiaTheme="minorEastAsia" w:hint="cs"/>
          <w:i/>
          <w:sz w:val="23"/>
          <w:szCs w:val="23"/>
          <w:rtl/>
        </w:rPr>
        <w:t xml:space="preserve">مازاد تجاری وجود دارد. یعنی در زمان </w:t>
      </w:r>
      <w:r w:rsidRPr="00A40DDC">
        <w:rPr>
          <w:rFonts w:eastAsiaTheme="minorEastAsia"/>
          <w:i/>
          <w:sz w:val="23"/>
          <w:szCs w:val="23"/>
        </w:rPr>
        <w:t>t</w:t>
      </w:r>
      <w:r w:rsidRPr="00A40DDC">
        <w:rPr>
          <w:rFonts w:eastAsiaTheme="minorEastAsia" w:hint="cs"/>
          <w:i/>
          <w:sz w:val="23"/>
          <w:szCs w:val="23"/>
          <w:rtl/>
        </w:rPr>
        <w:t xml:space="preserve"> مصرف بیشتر از زمانی است که اقتصاد بسته است، ولی در زمان </w:t>
      </w:r>
      <w:r w:rsidRPr="00A40DDC">
        <w:rPr>
          <w:position w:val="-6"/>
        </w:rPr>
        <w:object w:dxaOrig="440" w:dyaOrig="260" w14:anchorId="59235CE1">
          <v:shape id="_x0000_i3601" type="#_x0000_t75" style="width:21.8pt;height:13.3pt" o:ole="">
            <v:imagedata r:id="rId5190" o:title=""/>
          </v:shape>
          <o:OLEObject Type="Embed" ProgID="Equation.DSMT4" ShapeID="_x0000_i3601" DrawAspect="Content" ObjectID="_1791377545" r:id="rId5191"/>
        </w:object>
      </w:r>
      <w:r w:rsidRPr="00A40DDC">
        <w:rPr>
          <w:rFonts w:eastAsiaTheme="minorEastAsia" w:hint="cs"/>
          <w:i/>
          <w:sz w:val="23"/>
          <w:szCs w:val="23"/>
          <w:rtl/>
        </w:rPr>
        <w:t xml:space="preserve"> مصرف باید نسبت به اقتصاد بسته کاهش یابد. برای تأمین مالی کسری تجاری در زمان </w:t>
      </w:r>
      <w:r w:rsidRPr="00A40DDC">
        <w:rPr>
          <w:rFonts w:eastAsiaTheme="minorEastAsia"/>
          <w:i/>
          <w:sz w:val="23"/>
          <w:szCs w:val="23"/>
        </w:rPr>
        <w:t>t</w:t>
      </w:r>
      <w:r w:rsidRPr="00A40DDC">
        <w:rPr>
          <w:rFonts w:eastAsiaTheme="minorEastAsia" w:hint="cs"/>
          <w:i/>
          <w:sz w:val="23"/>
          <w:szCs w:val="23"/>
          <w:rtl/>
        </w:rPr>
        <w:t xml:space="preserve"> باید یا قرض کرد و یا خالص دارایی‌های خارجی را کاهش داد، و در شروع دوره </w:t>
      </w:r>
      <w:r w:rsidRPr="00A40DDC">
        <w:rPr>
          <w:position w:val="-6"/>
        </w:rPr>
        <w:object w:dxaOrig="440" w:dyaOrig="260" w14:anchorId="3CAF01A0">
          <v:shape id="_x0000_i3602" type="#_x0000_t75" style="width:21.8pt;height:13.3pt" o:ole="">
            <v:imagedata r:id="rId5192" o:title=""/>
          </v:shape>
          <o:OLEObject Type="Embed" ProgID="Equation.DSMT4" ShapeID="_x0000_i3602" DrawAspect="Content" ObjectID="_1791377546" r:id="rId5193"/>
        </w:object>
      </w:r>
      <w:r w:rsidRPr="00A40DDC">
        <w:rPr>
          <w:rFonts w:hint="cs"/>
          <w:i/>
          <w:sz w:val="23"/>
          <w:szCs w:val="23"/>
          <w:rtl/>
        </w:rPr>
        <w:t xml:space="preserve"> </w:t>
      </w:r>
      <w:r w:rsidRPr="00A40DDC">
        <w:rPr>
          <w:rFonts w:eastAsiaTheme="minorEastAsia" w:hint="cs"/>
          <w:i/>
          <w:sz w:val="23"/>
          <w:szCs w:val="23"/>
          <w:rtl/>
        </w:rPr>
        <w:t>این موضوع معکوس می‌شود. در شروع دوره</w:t>
      </w:r>
      <w:r w:rsidRPr="00A40DDC">
        <w:rPr>
          <w:rFonts w:eastAsiaTheme="minorEastAsia"/>
          <w:i/>
          <w:sz w:val="23"/>
          <w:szCs w:val="23"/>
          <w:rtl/>
        </w:rPr>
        <w:softHyphen/>
      </w:r>
      <w:r w:rsidRPr="00A40DDC">
        <w:rPr>
          <w:rFonts w:eastAsiaTheme="minorEastAsia" w:hint="cs"/>
          <w:i/>
          <w:sz w:val="23"/>
          <w:szCs w:val="23"/>
          <w:rtl/>
        </w:rPr>
        <w:t xml:space="preserve">ی </w:t>
      </w:r>
      <w:r w:rsidRPr="00A40DDC">
        <w:rPr>
          <w:rFonts w:eastAsiaTheme="minorEastAsia"/>
          <w:i/>
          <w:sz w:val="23"/>
          <w:szCs w:val="23"/>
        </w:rPr>
        <w:t>t+2</w:t>
      </w:r>
      <w:r w:rsidRPr="00A40DDC">
        <w:rPr>
          <w:rFonts w:eastAsiaTheme="minorEastAsia" w:hint="cs"/>
          <w:i/>
          <w:sz w:val="23"/>
          <w:szCs w:val="23"/>
          <w:rtl/>
        </w:rPr>
        <w:t xml:space="preserve"> خالص دارایی‌های خارجی به زمان اولیه</w:t>
      </w:r>
      <w:r w:rsidRPr="00A40DDC">
        <w:rPr>
          <w:rFonts w:eastAsiaTheme="minorEastAsia"/>
          <w:i/>
          <w:sz w:val="23"/>
          <w:szCs w:val="23"/>
          <w:rtl/>
        </w:rPr>
        <w:softHyphen/>
      </w:r>
      <w:r w:rsidRPr="00A40DDC">
        <w:rPr>
          <w:rFonts w:eastAsiaTheme="minorEastAsia" w:hint="cs"/>
          <w:i/>
          <w:sz w:val="23"/>
          <w:szCs w:val="23"/>
          <w:rtl/>
        </w:rPr>
        <w:t>ی خود باز خواهد گشت. نتیجه این</w:t>
      </w:r>
      <w:r w:rsidRPr="00A40DDC">
        <w:rPr>
          <w:rFonts w:eastAsiaTheme="minorEastAsia"/>
          <w:i/>
          <w:sz w:val="23"/>
          <w:szCs w:val="23"/>
          <w:rtl/>
        </w:rPr>
        <w:softHyphen/>
      </w:r>
      <w:r w:rsidRPr="00A40DDC">
        <w:rPr>
          <w:rFonts w:eastAsiaTheme="minorEastAsia" w:hint="cs"/>
          <w:i/>
          <w:sz w:val="23"/>
          <w:szCs w:val="23"/>
          <w:rtl/>
        </w:rPr>
        <w:t>که به واسطه</w:t>
      </w:r>
      <w:r w:rsidRPr="00A40DDC">
        <w:rPr>
          <w:rFonts w:eastAsiaTheme="minorEastAsia"/>
          <w:i/>
          <w:sz w:val="23"/>
          <w:szCs w:val="23"/>
          <w:rtl/>
        </w:rPr>
        <w:softHyphen/>
      </w:r>
      <w:r w:rsidRPr="00A40DDC">
        <w:rPr>
          <w:rFonts w:eastAsiaTheme="minorEastAsia" w:hint="cs"/>
          <w:i/>
          <w:sz w:val="23"/>
          <w:szCs w:val="23"/>
          <w:rtl/>
        </w:rPr>
        <w:t>ی تجارت و استقراض از خارج (یا وام دادن به خارج) اقتصاد ممکن است رفاه بیشتری نسبت به اقتصاد بسته حاصل می</w:t>
      </w:r>
      <w:r w:rsidRPr="00A40DDC">
        <w:rPr>
          <w:rFonts w:eastAsiaTheme="minorEastAsia"/>
          <w:i/>
          <w:sz w:val="23"/>
          <w:szCs w:val="23"/>
          <w:rtl/>
        </w:rPr>
        <w:softHyphen/>
      </w:r>
      <w:r w:rsidRPr="00A40DDC">
        <w:rPr>
          <w:rFonts w:eastAsiaTheme="minorEastAsia" w:hint="cs"/>
          <w:i/>
          <w:sz w:val="23"/>
          <w:szCs w:val="23"/>
          <w:rtl/>
        </w:rPr>
        <w:t>کند.</w:t>
      </w:r>
    </w:p>
    <w:p w14:paraId="59DC327B" w14:textId="77777777" w:rsidR="00411620" w:rsidRPr="00A40DDC" w:rsidRDefault="00411620" w:rsidP="00411620">
      <w:pPr>
        <w:spacing w:line="216" w:lineRule="auto"/>
        <w:rPr>
          <w:rFonts w:eastAsiaTheme="minorEastAsia"/>
          <w:i/>
          <w:sz w:val="23"/>
          <w:szCs w:val="23"/>
          <w:rtl/>
        </w:rPr>
      </w:pPr>
    </w:p>
    <w:p w14:paraId="6F898195" w14:textId="77777777" w:rsidR="00411620" w:rsidRPr="00A40DDC" w:rsidRDefault="00411620" w:rsidP="00411620">
      <w:pPr>
        <w:spacing w:line="216" w:lineRule="auto"/>
        <w:rPr>
          <w:rFonts w:eastAsiaTheme="minorEastAsia"/>
          <w:bCs/>
          <w:i/>
          <w:sz w:val="23"/>
          <w:szCs w:val="23"/>
          <w:rtl/>
        </w:rPr>
      </w:pPr>
      <w:r w:rsidRPr="00A40DDC">
        <w:rPr>
          <w:rFonts w:eastAsiaTheme="minorEastAsia" w:hint="cs"/>
          <w:bCs/>
          <w:i/>
          <w:sz w:val="23"/>
          <w:szCs w:val="23"/>
          <w:rtl/>
        </w:rPr>
        <w:t>تعادل بلند‌مدت</w:t>
      </w:r>
    </w:p>
    <w:p w14:paraId="093D165C"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lastRenderedPageBreak/>
        <w:t>تعادل بلند‌مدت در اقتصادِ باز بستگی به نرخ بازدهی حقیقی</w:t>
      </w:r>
      <w:r w:rsidRPr="00A40DDC">
        <w:rPr>
          <w:rFonts w:eastAsiaTheme="minorEastAsia"/>
          <w:i/>
          <w:sz w:val="23"/>
          <w:szCs w:val="23"/>
        </w:rPr>
        <w:t>r</w:t>
      </w:r>
      <w:r w:rsidRPr="00A40DDC">
        <w:rPr>
          <w:rFonts w:eastAsiaTheme="minorEastAsia"/>
          <w:i/>
          <w:sz w:val="23"/>
          <w:szCs w:val="23"/>
          <w:vertAlign w:val="superscript"/>
        </w:rPr>
        <w:t>*</w:t>
      </w:r>
      <w:r w:rsidRPr="00A40DDC">
        <w:rPr>
          <w:rFonts w:eastAsiaTheme="minorEastAsia" w:hint="cs"/>
          <w:i/>
          <w:sz w:val="23"/>
          <w:szCs w:val="23"/>
          <w:vertAlign w:val="superscript"/>
          <w:rtl/>
        </w:rPr>
        <w:t xml:space="preserve"> </w:t>
      </w:r>
      <w:r w:rsidRPr="00A40DDC">
        <w:rPr>
          <w:rFonts w:eastAsiaTheme="minorEastAsia" w:hint="cs"/>
          <w:i/>
          <w:sz w:val="23"/>
          <w:szCs w:val="23"/>
          <w:rtl/>
        </w:rPr>
        <w:t>دارد که هیچ کشوری بدلیل کوچکی به جز کشور آمریکا نمی‌تواند آنرا تغییر دهد. اگر فرض کنیم نرخ ترجیحات زمانی داخلی و خارج برابر است با</w:t>
      </w:r>
      <w:r w:rsidRPr="00A40DDC">
        <w:rPr>
          <w:position w:val="-6"/>
        </w:rPr>
        <w:object w:dxaOrig="200" w:dyaOrig="260" w14:anchorId="20DE2175">
          <v:shape id="_x0000_i3603" type="#_x0000_t75" style="width:10.3pt;height:13.3pt" o:ole="">
            <v:imagedata r:id="rId5194" o:title=""/>
          </v:shape>
          <o:OLEObject Type="Embed" ProgID="Equation.DSMT4" ShapeID="_x0000_i3603" DrawAspect="Content" ObjectID="_1791377547" r:id="rId5195"/>
        </w:object>
      </w:r>
      <w:r w:rsidRPr="00A40DDC">
        <w:rPr>
          <w:rFonts w:eastAsiaTheme="minorEastAsia" w:hint="cs"/>
          <w:i/>
          <w:sz w:val="23"/>
          <w:szCs w:val="23"/>
          <w:rtl/>
        </w:rPr>
        <w:t xml:space="preserve">، آنگاه بدلیل تحرّک سرمایه در بلندمدت خواهیم داشت </w:t>
      </w:r>
      <w:r w:rsidRPr="00A40DDC">
        <w:rPr>
          <w:position w:val="-6"/>
        </w:rPr>
        <w:object w:dxaOrig="920" w:dyaOrig="300" w14:anchorId="04B6402D">
          <v:shape id="_x0000_i3604" type="#_x0000_t75" style="width:46pt;height:14.5pt" o:ole="">
            <v:imagedata r:id="rId5196" o:title=""/>
          </v:shape>
          <o:OLEObject Type="Embed" ProgID="Equation.DSMT4" ShapeID="_x0000_i3604" DrawAspect="Content" ObjectID="_1791377548" r:id="rId5197"/>
        </w:object>
      </w:r>
      <w:r w:rsidRPr="00A40DDC">
        <w:rPr>
          <w:rFonts w:eastAsiaTheme="minorEastAsia" w:hint="cs"/>
          <w:i/>
          <w:sz w:val="23"/>
          <w:szCs w:val="23"/>
          <w:rtl/>
        </w:rPr>
        <w:t>. موجودی سرمایه</w:t>
      </w:r>
      <w:r w:rsidRPr="00A40DDC">
        <w:rPr>
          <w:position w:val="-10"/>
        </w:rPr>
        <w:object w:dxaOrig="220" w:dyaOrig="320" w14:anchorId="5EC8BA70">
          <v:shape id="_x0000_i3605" type="#_x0000_t75" style="width:10.9pt;height:15.75pt" o:ole="">
            <v:imagedata r:id="rId5198" o:title=""/>
          </v:shape>
          <o:OLEObject Type="Embed" ProgID="Equation.DSMT4" ShapeID="_x0000_i3605" DrawAspect="Content" ObjectID="_1791377549" r:id="rId5199"/>
        </w:object>
      </w:r>
      <w:r w:rsidRPr="00A40DDC">
        <w:rPr>
          <w:rFonts w:eastAsiaTheme="minorEastAsia" w:hint="cs"/>
          <w:i/>
          <w:sz w:val="23"/>
          <w:szCs w:val="23"/>
          <w:rtl/>
        </w:rPr>
        <w:t>، سرمایه</w:t>
      </w:r>
      <w:r w:rsidRPr="00A40DDC">
        <w:rPr>
          <w:rFonts w:eastAsiaTheme="minorEastAsia"/>
          <w:i/>
          <w:sz w:val="23"/>
          <w:szCs w:val="23"/>
          <w:rtl/>
        </w:rPr>
        <w:softHyphen/>
      </w:r>
      <w:r w:rsidRPr="00A40DDC">
        <w:rPr>
          <w:rFonts w:eastAsiaTheme="minorEastAsia" w:hint="cs"/>
          <w:i/>
          <w:sz w:val="23"/>
          <w:szCs w:val="23"/>
          <w:rtl/>
        </w:rPr>
        <w:t>گذاری</w:t>
      </w:r>
      <w:r w:rsidRPr="00A40DDC">
        <w:rPr>
          <w:position w:val="-10"/>
        </w:rPr>
        <w:object w:dxaOrig="180" w:dyaOrig="320" w14:anchorId="55A54E73">
          <v:shape id="_x0000_i3606" type="#_x0000_t75" style="width:9.1pt;height:15.75pt" o:ole="">
            <v:imagedata r:id="rId5200" o:title=""/>
          </v:shape>
          <o:OLEObject Type="Embed" ProgID="Equation.DSMT4" ShapeID="_x0000_i3606" DrawAspect="Content" ObjectID="_1791377550" r:id="rId5201"/>
        </w:object>
      </w:r>
      <w:r w:rsidRPr="00A40DDC">
        <w:rPr>
          <w:rFonts w:eastAsiaTheme="minorEastAsia" w:hint="cs"/>
          <w:i/>
          <w:sz w:val="23"/>
          <w:szCs w:val="23"/>
          <w:rtl/>
        </w:rPr>
        <w:t xml:space="preserve"> و تولید</w:t>
      </w:r>
      <w:r w:rsidRPr="00A40DDC">
        <w:rPr>
          <w:position w:val="-10"/>
        </w:rPr>
        <w:object w:dxaOrig="240" w:dyaOrig="320" w14:anchorId="41BF83F8">
          <v:shape id="_x0000_i3607" type="#_x0000_t75" style="width:11.5pt;height:15.75pt" o:ole="">
            <v:imagedata r:id="rId5202" o:title=""/>
          </v:shape>
          <o:OLEObject Type="Embed" ProgID="Equation.DSMT4" ShapeID="_x0000_i3607" DrawAspect="Content" ObjectID="_1791377551" r:id="rId5203"/>
        </w:object>
      </w:r>
      <w:r w:rsidRPr="00A40DDC">
        <w:rPr>
          <w:rFonts w:hint="cs"/>
          <w:i/>
          <w:sz w:val="23"/>
          <w:szCs w:val="23"/>
          <w:rtl/>
        </w:rPr>
        <w:t xml:space="preserve"> در</w:t>
      </w:r>
      <w:r w:rsidRPr="00A40DDC">
        <w:rPr>
          <w:rFonts w:eastAsiaTheme="minorEastAsia" w:hint="cs"/>
          <w:i/>
          <w:sz w:val="23"/>
          <w:szCs w:val="23"/>
          <w:vertAlign w:val="superscript"/>
          <w:rtl/>
        </w:rPr>
        <w:t xml:space="preserve"> </w:t>
      </w:r>
      <w:r w:rsidRPr="00A40DDC">
        <w:rPr>
          <w:rFonts w:eastAsiaTheme="minorEastAsia"/>
          <w:i/>
          <w:sz w:val="23"/>
          <w:szCs w:val="23"/>
          <w:vertAlign w:val="superscript"/>
          <w:rtl/>
        </w:rPr>
        <w:softHyphen/>
      </w:r>
      <w:r w:rsidRPr="00A40DDC">
        <w:rPr>
          <w:rFonts w:eastAsiaTheme="minorEastAsia" w:hint="cs"/>
          <w:i/>
          <w:sz w:val="23"/>
          <w:szCs w:val="23"/>
          <w:rtl/>
        </w:rPr>
        <w:t xml:space="preserve">بلندمدت ثابت خواهند بود و </w:t>
      </w:r>
      <w:r w:rsidRPr="00A40DDC">
        <w:rPr>
          <w:position w:val="-10"/>
        </w:rPr>
        <w:object w:dxaOrig="220" w:dyaOrig="320" w14:anchorId="6B369409">
          <v:shape id="_x0000_i3608" type="#_x0000_t75" style="width:10.9pt;height:15.75pt" o:ole="">
            <v:imagedata r:id="rId5204" o:title=""/>
          </v:shape>
          <o:OLEObject Type="Embed" ProgID="Equation.DSMT4" ShapeID="_x0000_i3608" DrawAspect="Content" ObjectID="_1791377552" r:id="rId5205"/>
        </w:object>
      </w:r>
      <w:r w:rsidRPr="00A40DDC">
        <w:rPr>
          <w:rFonts w:eastAsiaTheme="minorEastAsia" w:hint="cs"/>
          <w:i/>
          <w:sz w:val="23"/>
          <w:szCs w:val="23"/>
          <w:rtl/>
        </w:rPr>
        <w:t xml:space="preserve"> از رابطه</w:t>
      </w:r>
      <w:r w:rsidRPr="00A40DDC">
        <w:rPr>
          <w:rFonts w:eastAsiaTheme="minorEastAsia"/>
          <w:i/>
          <w:sz w:val="23"/>
          <w:szCs w:val="23"/>
          <w:rtl/>
        </w:rPr>
        <w:softHyphen/>
      </w:r>
      <w:r w:rsidRPr="00A40DDC">
        <w:rPr>
          <w:rFonts w:eastAsiaTheme="minorEastAsia" w:hint="cs"/>
          <w:i/>
          <w:sz w:val="23"/>
          <w:szCs w:val="23"/>
          <w:rtl/>
        </w:rPr>
        <w:t xml:space="preserve">ی </w:t>
      </w:r>
      <w:r w:rsidRPr="00A40DDC">
        <w:rPr>
          <w:rFonts w:hint="cs"/>
          <w:i/>
          <w:sz w:val="23"/>
          <w:szCs w:val="23"/>
          <w:rtl/>
        </w:rPr>
        <w:t>(۷. ۱۱)</w:t>
      </w:r>
      <w:r w:rsidRPr="00A40DDC">
        <w:rPr>
          <w:rFonts w:eastAsiaTheme="minorEastAsia"/>
          <w:i/>
          <w:sz w:val="23"/>
          <w:szCs w:val="23"/>
        </w:rPr>
        <w:t xml:space="preserve"> </w:t>
      </w:r>
      <w:r w:rsidRPr="00A40DDC">
        <w:rPr>
          <w:rFonts w:eastAsiaTheme="minorEastAsia" w:hint="cs"/>
          <w:i/>
          <w:sz w:val="23"/>
          <w:szCs w:val="23"/>
          <w:rtl/>
        </w:rPr>
        <w:t>بدست خواهد آمد</w:t>
      </w:r>
    </w:p>
    <w:p w14:paraId="078F8A30" w14:textId="77777777" w:rsidR="00411620" w:rsidRPr="00A40DDC" w:rsidRDefault="00411620" w:rsidP="00411620">
      <w:pPr>
        <w:spacing w:line="216" w:lineRule="auto"/>
        <w:rPr>
          <w:rFonts w:eastAsiaTheme="minorEastAsia"/>
          <w:i/>
          <w:sz w:val="23"/>
          <w:szCs w:val="23"/>
        </w:rPr>
      </w:pPr>
      <w:r w:rsidRPr="00A40DDC">
        <w:rPr>
          <w:rFonts w:eastAsiaTheme="minorEastAsia" w:hint="cs"/>
          <w:i/>
          <w:sz w:val="23"/>
          <w:szCs w:val="23"/>
          <w:rtl/>
        </w:rPr>
        <w:t>که در آن، تولید نهایی خالص موجودی سرمایه برابر است با</w:t>
      </w:r>
      <w:r w:rsidRPr="00025957">
        <w:rPr>
          <w:position w:val="-4"/>
        </w:rPr>
        <w:object w:dxaOrig="240" w:dyaOrig="279" w14:anchorId="27DA2065">
          <v:shape id="_x0000_i3609" type="#_x0000_t75" style="width:11.5pt;height:13.9pt" o:ole="">
            <v:imagedata r:id="rId5206" o:title=""/>
          </v:shape>
          <o:OLEObject Type="Embed" ProgID="Equation.DSMT4" ShapeID="_x0000_i3609" DrawAspect="Content" ObjectID="_1791377553" r:id="rId5207"/>
        </w:object>
      </w:r>
      <w:r w:rsidRPr="00A40DDC">
        <w:rPr>
          <w:rFonts w:eastAsiaTheme="minorEastAsia" w:hint="cs"/>
          <w:i/>
          <w:sz w:val="23"/>
          <w:szCs w:val="23"/>
          <w:rtl/>
        </w:rPr>
        <w:t xml:space="preserve">. مقدار تعادلی مصرف با حذف تجارت از اتحاد حسابداری ملی </w:t>
      </w:r>
      <w:r w:rsidRPr="00A40DDC">
        <w:rPr>
          <w:rFonts w:hint="cs"/>
          <w:i/>
          <w:sz w:val="23"/>
          <w:szCs w:val="23"/>
          <w:rtl/>
        </w:rPr>
        <w:t>(۷. ۱)</w:t>
      </w:r>
      <w:r w:rsidRPr="00A40DDC">
        <w:rPr>
          <w:rFonts w:eastAsiaTheme="minorEastAsia" w:hint="cs"/>
          <w:i/>
          <w:sz w:val="23"/>
          <w:szCs w:val="23"/>
          <w:rtl/>
        </w:rPr>
        <w:t xml:space="preserve"> و</w:t>
      </w:r>
      <w:r w:rsidRPr="00A40DDC">
        <w:rPr>
          <w:rFonts w:eastAsiaTheme="minorEastAsia"/>
          <w:i/>
          <w:sz w:val="23"/>
          <w:szCs w:val="23"/>
        </w:rPr>
        <w:t xml:space="preserve"> </w:t>
      </w:r>
      <w:r w:rsidRPr="00A40DDC">
        <w:rPr>
          <w:rFonts w:eastAsiaTheme="minorEastAsia" w:hint="cs"/>
          <w:i/>
          <w:sz w:val="23"/>
          <w:szCs w:val="23"/>
          <w:rtl/>
        </w:rPr>
        <w:t xml:space="preserve">ترازپرداخت‌های </w:t>
      </w:r>
      <w:r w:rsidRPr="00A40DDC">
        <w:rPr>
          <w:rFonts w:hint="cs"/>
          <w:i/>
          <w:sz w:val="23"/>
          <w:szCs w:val="23"/>
          <w:rtl/>
        </w:rPr>
        <w:t>(۷. ۵)</w:t>
      </w:r>
      <w:r w:rsidRPr="00A40DDC">
        <w:rPr>
          <w:rFonts w:eastAsiaTheme="minorEastAsia" w:hint="cs"/>
          <w:i/>
          <w:sz w:val="23"/>
          <w:szCs w:val="23"/>
          <w:rtl/>
        </w:rPr>
        <w:t xml:space="preserve"> و اینکه در تعادل</w:t>
      </w:r>
      <w:r w:rsidRPr="00A40DDC">
        <w:rPr>
          <w:position w:val="-10"/>
        </w:rPr>
        <w:object w:dxaOrig="700" w:dyaOrig="320" w14:anchorId="761997BB">
          <v:shape id="_x0000_i3610" type="#_x0000_t75" style="width:35.1pt;height:15.75pt" o:ole="">
            <v:imagedata r:id="rId5208" o:title=""/>
          </v:shape>
          <o:OLEObject Type="Embed" ProgID="Equation.DSMT4" ShapeID="_x0000_i3610" DrawAspect="Content" ObjectID="_1791377554" r:id="rId5209"/>
        </w:object>
      </w:r>
      <w:r w:rsidRPr="00A40DDC">
        <w:rPr>
          <w:rFonts w:hint="cs"/>
          <w:i/>
          <w:sz w:val="23"/>
          <w:szCs w:val="23"/>
          <w:rtl/>
        </w:rPr>
        <w:t xml:space="preserve"> </w:t>
      </w:r>
      <w:r w:rsidRPr="00A40DDC">
        <w:rPr>
          <w:rFonts w:eastAsiaTheme="minorEastAsia"/>
          <w:i/>
          <w:sz w:val="23"/>
          <w:szCs w:val="23"/>
          <w:vertAlign w:val="subscript"/>
        </w:rPr>
        <w:t xml:space="preserve"> </w:t>
      </w:r>
      <w:r w:rsidRPr="00A40DDC">
        <w:rPr>
          <w:rFonts w:eastAsiaTheme="minorEastAsia" w:hint="cs"/>
          <w:i/>
          <w:sz w:val="23"/>
          <w:szCs w:val="23"/>
          <w:rtl/>
        </w:rPr>
        <w:t>و</w:t>
      </w:r>
      <w:r w:rsidRPr="00A40DDC">
        <w:rPr>
          <w:position w:val="-10"/>
        </w:rPr>
        <w:object w:dxaOrig="700" w:dyaOrig="320" w14:anchorId="4EDEE75B">
          <v:shape id="_x0000_i3611" type="#_x0000_t75" style="width:35.1pt;height:15.75pt" o:ole="">
            <v:imagedata r:id="rId5210" o:title=""/>
          </v:shape>
          <o:OLEObject Type="Embed" ProgID="Equation.DSMT4" ShapeID="_x0000_i3611" DrawAspect="Content" ObjectID="_1791377555" r:id="rId5211"/>
        </w:object>
      </w:r>
      <w:r w:rsidRPr="00A40DDC">
        <w:rPr>
          <w:rFonts w:eastAsiaTheme="minorEastAsia" w:hint="cs"/>
          <w:i/>
          <w:sz w:val="23"/>
          <w:szCs w:val="23"/>
          <w:vertAlign w:val="subscript"/>
          <w:rtl/>
        </w:rPr>
        <w:t xml:space="preserve"> </w:t>
      </w:r>
      <w:r w:rsidRPr="00A40DDC">
        <w:rPr>
          <w:rFonts w:eastAsiaTheme="minorEastAsia" w:hint="cs"/>
          <w:i/>
          <w:sz w:val="23"/>
          <w:szCs w:val="23"/>
          <w:rtl/>
        </w:rPr>
        <w:t>می</w:t>
      </w:r>
      <w:r w:rsidRPr="00A40DDC">
        <w:rPr>
          <w:rFonts w:eastAsiaTheme="minorEastAsia"/>
          <w:i/>
          <w:sz w:val="23"/>
          <w:szCs w:val="23"/>
          <w:rtl/>
        </w:rPr>
        <w:softHyphen/>
      </w:r>
      <w:r w:rsidRPr="00A40DDC">
        <w:rPr>
          <w:rFonts w:eastAsiaTheme="minorEastAsia" w:hint="cs"/>
          <w:i/>
          <w:sz w:val="23"/>
          <w:szCs w:val="23"/>
          <w:rtl/>
        </w:rPr>
        <w:t xml:space="preserve">باشد، بدست می‌آید. لذا </w:t>
      </w:r>
    </w:p>
    <w:p w14:paraId="28B500D9"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10"/>
        </w:rPr>
        <w:object w:dxaOrig="1960" w:dyaOrig="340" w14:anchorId="585E62CD">
          <v:shape id="_x0000_i3612" type="#_x0000_t75" style="width:98pt;height:16.95pt" o:ole="">
            <v:imagedata r:id="rId5212" o:title=""/>
          </v:shape>
          <o:OLEObject Type="Embed" ProgID="Equation.DSMT4" ShapeID="_x0000_i3612" DrawAspect="Content" ObjectID="_1791377556" r:id="rId5213"/>
        </w:object>
      </w:r>
    </w:p>
    <w:p w14:paraId="42EE3B28" w14:textId="77777777" w:rsidR="00411620" w:rsidRPr="00A40DDC" w:rsidRDefault="00411620" w:rsidP="00411620">
      <w:pPr>
        <w:pStyle w:val="MTDisplayEquation"/>
        <w:tabs>
          <w:tab w:val="clear" w:pos="6660"/>
        </w:tabs>
        <w:spacing w:line="216" w:lineRule="auto"/>
        <w:rPr>
          <w:rFonts w:ascii="Times New Roman" w:eastAsiaTheme="minorEastAsia" w:hAnsi="Times New Roman" w:cs="B Nazanin"/>
          <w:i/>
          <w:sz w:val="23"/>
          <w:szCs w:val="23"/>
          <w:vertAlign w:val="subscript"/>
          <w:lang w:bidi="fa-IR"/>
        </w:rPr>
      </w:pPr>
      <w:r w:rsidRPr="00A40DDC">
        <w:rPr>
          <w:position w:val="-10"/>
        </w:rPr>
        <w:object w:dxaOrig="4880" w:dyaOrig="340" w14:anchorId="38013D06">
          <v:shape id="_x0000_i3613" type="#_x0000_t75" style="width:243.85pt;height:16.95pt" o:ole="">
            <v:imagedata r:id="rId5214" o:title=""/>
          </v:shape>
          <o:OLEObject Type="Embed" ProgID="Equation.DSMT4" ShapeID="_x0000_i3613" DrawAspect="Content" ObjectID="_1791377557" r:id="rId5215"/>
        </w:object>
      </w:r>
      <w:r w:rsidRPr="00A40DDC">
        <w:rPr>
          <w:position w:val="-16"/>
        </w:rPr>
        <w:object w:dxaOrig="5480" w:dyaOrig="420" w14:anchorId="228ECDE6">
          <v:shape id="_x0000_i3614" type="#_x0000_t75" style="width:273.5pt;height:21.2pt" o:ole="">
            <v:imagedata r:id="rId5216" o:title=""/>
          </v:shape>
          <o:OLEObject Type="Embed" ProgID="Equation.DSMT4" ShapeID="_x0000_i3614" DrawAspect="Content" ObjectID="_1791377558" r:id="rId5217"/>
        </w:object>
      </w:r>
      <w:r>
        <w:rPr>
          <w:rtl/>
        </w:rPr>
        <w:tab/>
      </w:r>
      <w:r w:rsidRPr="00A40DDC">
        <w:rPr>
          <w:rFonts w:ascii="Times New Roman" w:hAnsi="Times New Roman"/>
          <w:i/>
          <w:sz w:val="23"/>
          <w:szCs w:val="23"/>
          <w:rtl/>
        </w:rPr>
        <w:tab/>
      </w:r>
      <w:r w:rsidRPr="00A40DDC">
        <w:rPr>
          <w:rFonts w:ascii="Times New Roman" w:hAnsi="Times New Roman" w:cs="B Nazanin" w:hint="cs"/>
          <w:i/>
          <w:sz w:val="23"/>
          <w:szCs w:val="23"/>
          <w:rtl/>
        </w:rPr>
        <w:t>(۷. ۱۲)</w:t>
      </w:r>
    </w:p>
    <w:p w14:paraId="48603B75" w14:textId="77777777" w:rsidR="00411620" w:rsidRDefault="00411620" w:rsidP="00411620">
      <w:pPr>
        <w:spacing w:line="216" w:lineRule="auto"/>
        <w:jc w:val="center"/>
        <w:rPr>
          <w:rFonts w:eastAsiaTheme="minorEastAsia"/>
          <w:i/>
          <w:sz w:val="23"/>
          <w:szCs w:val="23"/>
          <w:rtl/>
        </w:rPr>
      </w:pPr>
      <w:r w:rsidRPr="00A40DDC">
        <w:rPr>
          <w:rFonts w:eastAsiaTheme="minorEastAsia" w:hint="cs"/>
          <w:i/>
          <w:sz w:val="23"/>
          <w:szCs w:val="23"/>
          <w:rtl/>
        </w:rPr>
        <w:t>از آن</w:t>
      </w:r>
      <w:r w:rsidRPr="00A40DDC">
        <w:rPr>
          <w:rFonts w:eastAsiaTheme="minorEastAsia"/>
          <w:i/>
          <w:sz w:val="23"/>
          <w:szCs w:val="23"/>
          <w:rtl/>
        </w:rPr>
        <w:softHyphen/>
      </w:r>
      <w:r w:rsidRPr="00A40DDC">
        <w:rPr>
          <w:rFonts w:eastAsiaTheme="minorEastAsia" w:hint="cs"/>
          <w:i/>
          <w:sz w:val="23"/>
          <w:szCs w:val="23"/>
          <w:rtl/>
        </w:rPr>
        <w:t>جا که واردات بخشی از مصرف است، لذا امکان بدست آوردن سطح تعادلی بلند</w:t>
      </w:r>
      <w:r w:rsidRPr="00A40DDC">
        <w:rPr>
          <w:rFonts w:eastAsiaTheme="minorEastAsia"/>
          <w:i/>
          <w:sz w:val="23"/>
          <w:szCs w:val="23"/>
        </w:rPr>
        <w:softHyphen/>
      </w:r>
      <w:r w:rsidRPr="00A40DDC">
        <w:rPr>
          <w:rFonts w:eastAsiaTheme="minorEastAsia" w:hint="cs"/>
          <w:i/>
          <w:sz w:val="23"/>
          <w:szCs w:val="23"/>
          <w:rtl/>
        </w:rPr>
        <w:t>مدت واردات وجود ندارد.</w:t>
      </w:r>
      <w:r w:rsidRPr="00A40DDC">
        <w:rPr>
          <w:rFonts w:eastAsiaTheme="minorEastAsia"/>
          <w:i/>
          <w:sz w:val="23"/>
          <w:szCs w:val="23"/>
        </w:rPr>
        <w:t xml:space="preserve"> </w:t>
      </w:r>
      <w:r w:rsidRPr="00A40DDC">
        <w:rPr>
          <w:rFonts w:eastAsiaTheme="minorEastAsia" w:hint="cs"/>
          <w:i/>
          <w:sz w:val="23"/>
          <w:szCs w:val="23"/>
          <w:rtl/>
        </w:rPr>
        <w:t>مقدار تعادلی بلند</w:t>
      </w:r>
      <w:r w:rsidRPr="00A40DDC">
        <w:rPr>
          <w:rFonts w:eastAsiaTheme="minorEastAsia"/>
          <w:i/>
          <w:sz w:val="23"/>
          <w:szCs w:val="23"/>
        </w:rPr>
        <w:softHyphen/>
      </w:r>
      <w:r w:rsidRPr="00A40DDC">
        <w:rPr>
          <w:rFonts w:eastAsiaTheme="minorEastAsia" w:hint="cs"/>
          <w:i/>
          <w:sz w:val="23"/>
          <w:szCs w:val="23"/>
          <w:rtl/>
        </w:rPr>
        <w:t>مدت خالص موجودی دارایی خارجی را نیز می‌توان بدست آورد.</w:t>
      </w:r>
      <w:r w:rsidRPr="00A40DDC">
        <w:rPr>
          <w:rFonts w:eastAsiaTheme="minorEastAsia"/>
          <w:i/>
          <w:sz w:val="23"/>
          <w:szCs w:val="23"/>
        </w:rPr>
        <w:t xml:space="preserve"> </w:t>
      </w:r>
      <w:r w:rsidRPr="00A40DDC">
        <w:rPr>
          <w:rFonts w:eastAsiaTheme="minorEastAsia" w:hint="cs"/>
          <w:i/>
          <w:sz w:val="23"/>
          <w:szCs w:val="23"/>
          <w:rtl/>
        </w:rPr>
        <w:t>از</w:t>
      </w:r>
    </w:p>
    <w:p w14:paraId="2ED5CDBF" w14:textId="77777777" w:rsidR="00411620" w:rsidRPr="00A40DDC" w:rsidRDefault="00411620" w:rsidP="00411620">
      <w:pPr>
        <w:spacing w:line="216" w:lineRule="auto"/>
        <w:jc w:val="center"/>
        <w:rPr>
          <w:rFonts w:eastAsiaTheme="minorEastAsia"/>
          <w:i/>
          <w:sz w:val="23"/>
          <w:szCs w:val="23"/>
          <w:rtl/>
        </w:rPr>
      </w:pPr>
      <w:r w:rsidRPr="00A40DDC">
        <w:rPr>
          <w:rFonts w:eastAsiaTheme="minorEastAsia" w:hint="cs"/>
          <w:i/>
          <w:sz w:val="23"/>
          <w:szCs w:val="23"/>
          <w:rtl/>
        </w:rPr>
        <w:t>نمودار ۷. ۱</w:t>
      </w:r>
    </w:p>
    <w:p w14:paraId="5B42F4D9" w14:textId="77777777" w:rsidR="00411620" w:rsidRPr="00A40DDC" w:rsidRDefault="00411620" w:rsidP="00411620">
      <w:pPr>
        <w:spacing w:line="216" w:lineRule="auto"/>
        <w:jc w:val="center"/>
        <w:rPr>
          <w:rFonts w:eastAsiaTheme="minorEastAsia"/>
          <w:i/>
          <w:sz w:val="23"/>
          <w:szCs w:val="23"/>
          <w:rtl/>
        </w:rPr>
      </w:pPr>
      <w:r w:rsidRPr="00A40DDC">
        <w:rPr>
          <w:rFonts w:eastAsiaTheme="minorEastAsia"/>
          <w:i/>
          <w:noProof/>
          <w:sz w:val="23"/>
          <w:szCs w:val="23"/>
          <w:u w:val="single"/>
          <w:rtl/>
          <w:lang w:bidi="ar-SA"/>
        </w:rPr>
        <w:drawing>
          <wp:inline distT="0" distB="0" distL="0" distR="0" wp14:anchorId="00B810A2" wp14:editId="3062D4E5">
            <wp:extent cx="3653118" cy="2035479"/>
            <wp:effectExtent l="38100" t="38100" r="43180" b="412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18" cstate="print">
                      <a:lum contrast="20000"/>
                      <a:extLst>
                        <a:ext uri="{28A0092B-C50C-407E-A947-70E740481C1C}">
                          <a14:useLocalDpi xmlns:a14="http://schemas.microsoft.com/office/drawing/2010/main" val="0"/>
                        </a:ext>
                      </a:extLst>
                    </a:blip>
                    <a:srcRect/>
                    <a:stretch>
                      <a:fillRect/>
                    </a:stretch>
                  </pic:blipFill>
                  <pic:spPr bwMode="auto">
                    <a:xfrm>
                      <a:off x="0" y="0"/>
                      <a:ext cx="3672368" cy="2046205"/>
                    </a:xfrm>
                    <a:prstGeom prst="rect">
                      <a:avLst/>
                    </a:prstGeom>
                    <a:ln w="28575">
                      <a:solidFill>
                        <a:schemeClr val="tx1"/>
                      </a:solidFill>
                    </a:ln>
                  </pic:spPr>
                </pic:pic>
              </a:graphicData>
            </a:graphic>
          </wp:inline>
        </w:drawing>
      </w:r>
    </w:p>
    <w:p w14:paraId="32B80838" w14:textId="77777777" w:rsidR="00411620" w:rsidRPr="00A40DDC" w:rsidRDefault="00411620" w:rsidP="00411620">
      <w:pPr>
        <w:spacing w:line="216" w:lineRule="auto"/>
        <w:rPr>
          <w:rFonts w:eastAsiaTheme="minorEastAsia"/>
          <w:i/>
          <w:sz w:val="23"/>
          <w:szCs w:val="23"/>
        </w:rPr>
      </w:pPr>
    </w:p>
    <w:p w14:paraId="59200896"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 xml:space="preserve">اتحاد ترازپرداخت‌های </w:t>
      </w:r>
      <w:r w:rsidRPr="00A40DDC">
        <w:rPr>
          <w:rFonts w:hint="cs"/>
          <w:i/>
          <w:sz w:val="23"/>
          <w:szCs w:val="23"/>
          <w:rtl/>
        </w:rPr>
        <w:t>(۷. ۵)</w:t>
      </w:r>
      <w:r w:rsidRPr="00A40DDC">
        <w:rPr>
          <w:rFonts w:eastAsiaTheme="minorEastAsia" w:hint="cs"/>
          <w:i/>
          <w:sz w:val="23"/>
          <w:szCs w:val="23"/>
          <w:rtl/>
        </w:rPr>
        <w:t xml:space="preserve"> برای خالص دارایی خارجی اولیه داریم:</w:t>
      </w:r>
    </w:p>
    <w:p w14:paraId="3CF63DD5"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10"/>
        </w:rPr>
        <w:object w:dxaOrig="2240" w:dyaOrig="340" w14:anchorId="5B7DA54E">
          <v:shape id="_x0000_i3615" type="#_x0000_t75" style="width:111.95pt;height:16.95pt" o:ole="">
            <v:imagedata r:id="rId5219" o:title=""/>
          </v:shape>
          <o:OLEObject Type="Embed" ProgID="Equation.DSMT4" ShapeID="_x0000_i3615" DrawAspect="Content" ObjectID="_1791377559" r:id="rId5220"/>
        </w:object>
      </w:r>
    </w:p>
    <w:p w14:paraId="4DAED7F7" w14:textId="77777777" w:rsidR="00411620" w:rsidRPr="00A40DDC" w:rsidRDefault="00411620" w:rsidP="00411620">
      <w:pPr>
        <w:pStyle w:val="MTDisplayEquation"/>
        <w:tabs>
          <w:tab w:val="clear" w:pos="6660"/>
        </w:tabs>
        <w:spacing w:line="216" w:lineRule="auto"/>
        <w:rPr>
          <w:rFonts w:ascii="Times New Roman" w:eastAsiaTheme="minorEastAsia" w:hAnsi="Times New Roman" w:cs="B Nazanin"/>
          <w:i/>
          <w:sz w:val="23"/>
          <w:szCs w:val="23"/>
          <w:lang w:bidi="fa-IR"/>
        </w:rPr>
      </w:pPr>
      <w:r w:rsidRPr="00A40DDC">
        <w:rPr>
          <w:position w:val="-30"/>
        </w:rPr>
        <w:object w:dxaOrig="5260" w:dyaOrig="700" w14:anchorId="7E3B7660">
          <v:shape id="_x0000_i3616" type="#_x0000_t75" style="width:263.2pt;height:35.1pt" o:ole="">
            <v:imagedata r:id="rId5221" o:title=""/>
          </v:shape>
          <o:OLEObject Type="Embed" ProgID="Equation.DSMT4" ShapeID="_x0000_i3616" DrawAspect="Content" ObjectID="_1791377560" r:id="rId5222"/>
        </w:object>
      </w:r>
      <w:r>
        <w:rPr>
          <w:rtl/>
        </w:rPr>
        <w:tab/>
      </w:r>
      <w:r>
        <w:rPr>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۱۳)</w:t>
      </w:r>
    </w:p>
    <w:p w14:paraId="479FF26D"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 xml:space="preserve"> مشروط بر آنکه </w:t>
      </w:r>
      <w:r w:rsidRPr="00A40DDC">
        <w:rPr>
          <w:position w:val="-38"/>
        </w:rPr>
        <w:object w:dxaOrig="1760" w:dyaOrig="740" w14:anchorId="4A39474C">
          <v:shape id="_x0000_i3617" type="#_x0000_t75" style="width:87.75pt;height:36.9pt" o:ole="">
            <v:imagedata r:id="rId5223" o:title=""/>
          </v:shape>
          <o:OLEObject Type="Embed" ProgID="Equation.DSMT4" ShapeID="_x0000_i3617" DrawAspect="Content" ObjectID="_1791377561" r:id="rId5224"/>
        </w:object>
      </w:r>
      <w:r w:rsidRPr="00A40DDC">
        <w:rPr>
          <w:rFonts w:eastAsiaTheme="minorEastAsia" w:hint="cs"/>
          <w:i/>
          <w:sz w:val="23"/>
          <w:szCs w:val="23"/>
          <w:rtl/>
        </w:rPr>
        <w:t xml:space="preserve"> باشد. </w:t>
      </w:r>
    </w:p>
    <w:p w14:paraId="5E241550"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lastRenderedPageBreak/>
        <w:t>اگر</w:t>
      </w:r>
      <w:r w:rsidRPr="00A40DDC">
        <w:rPr>
          <w:position w:val="-10"/>
        </w:rPr>
        <w:object w:dxaOrig="260" w:dyaOrig="320" w14:anchorId="1271035B">
          <v:shape id="_x0000_i3618" type="#_x0000_t75" style="width:13.3pt;height:15.75pt" o:ole="">
            <v:imagedata r:id="rId5225" o:title=""/>
          </v:shape>
          <o:OLEObject Type="Embed" ProgID="Equation.DSMT4" ShapeID="_x0000_i3618" DrawAspect="Content" ObjectID="_1791377562" r:id="rId5226"/>
        </w:object>
      </w:r>
      <w:r w:rsidRPr="00A40DDC">
        <w:rPr>
          <w:rFonts w:eastAsiaTheme="minorEastAsia" w:hint="cs"/>
          <w:i/>
          <w:sz w:val="23"/>
          <w:szCs w:val="23"/>
          <w:rtl/>
        </w:rPr>
        <w:t xml:space="preserve"> و</w:t>
      </w:r>
      <w:r w:rsidRPr="00A40DDC">
        <w:rPr>
          <w:position w:val="-10"/>
        </w:rPr>
        <w:object w:dxaOrig="240" w:dyaOrig="320" w14:anchorId="149A7E3F">
          <v:shape id="_x0000_i3619" type="#_x0000_t75" style="width:11.5pt;height:15.75pt" o:ole="">
            <v:imagedata r:id="rId5227" o:title=""/>
          </v:shape>
          <o:OLEObject Type="Embed" ProgID="Equation.DSMT4" ShapeID="_x0000_i3619" DrawAspect="Content" ObjectID="_1791377563" r:id="rId5228"/>
        </w:object>
      </w:r>
      <w:r w:rsidRPr="00A40DDC">
        <w:rPr>
          <w:rFonts w:eastAsiaTheme="minorEastAsia"/>
          <w:i/>
          <w:sz w:val="23"/>
          <w:szCs w:val="23"/>
          <w:vertAlign w:val="subscript"/>
        </w:rPr>
        <w:t xml:space="preserve"> </w:t>
      </w:r>
      <w:r w:rsidRPr="00A40DDC">
        <w:rPr>
          <w:rFonts w:eastAsiaTheme="minorEastAsia" w:hint="cs"/>
          <w:i/>
          <w:sz w:val="23"/>
          <w:szCs w:val="23"/>
          <w:rtl/>
        </w:rPr>
        <w:t>ثابت باشند و</w:t>
      </w:r>
      <w:r w:rsidRPr="00A40DDC">
        <w:rPr>
          <w:position w:val="-10"/>
        </w:rPr>
        <w:object w:dxaOrig="300" w:dyaOrig="340" w14:anchorId="05E9F59B">
          <v:shape id="_x0000_i3620" type="#_x0000_t75" style="width:14.5pt;height:16.95pt" o:ole="">
            <v:imagedata r:id="rId5229" o:title=""/>
          </v:shape>
          <o:OLEObject Type="Embed" ProgID="Equation.DSMT4" ShapeID="_x0000_i3620" DrawAspect="Content" ObjectID="_1791377564" r:id="rId5230"/>
        </w:object>
      </w:r>
      <w:r w:rsidRPr="00A40DDC">
        <w:rPr>
          <w:rFonts w:eastAsiaTheme="minorEastAsia" w:hint="cs"/>
          <w:i/>
          <w:sz w:val="23"/>
          <w:szCs w:val="23"/>
          <w:rtl/>
        </w:rPr>
        <w:t xml:space="preserve"> که بخشی از مصرف کل است آنهم ثابت باشد، آنگاه رابطه</w:t>
      </w:r>
      <w:r w:rsidRPr="00A40DDC">
        <w:rPr>
          <w:rFonts w:eastAsiaTheme="minorEastAsia"/>
          <w:i/>
          <w:sz w:val="23"/>
          <w:szCs w:val="23"/>
          <w:rtl/>
        </w:rPr>
        <w:softHyphen/>
      </w:r>
      <w:r w:rsidRPr="00A40DDC">
        <w:rPr>
          <w:rFonts w:eastAsiaTheme="minorEastAsia" w:hint="cs"/>
          <w:i/>
          <w:sz w:val="23"/>
          <w:szCs w:val="23"/>
          <w:rtl/>
        </w:rPr>
        <w:t xml:space="preserve">ی  </w:t>
      </w:r>
      <w:r w:rsidRPr="00A40DDC">
        <w:rPr>
          <w:rFonts w:hint="cs"/>
          <w:i/>
          <w:sz w:val="23"/>
          <w:szCs w:val="23"/>
          <w:rtl/>
        </w:rPr>
        <w:t>(۷. ۱۳)</w:t>
      </w:r>
      <w:r w:rsidRPr="00A40DDC">
        <w:rPr>
          <w:rFonts w:eastAsiaTheme="minorEastAsia" w:hint="cs"/>
          <w:i/>
          <w:sz w:val="23"/>
          <w:szCs w:val="23"/>
          <w:rtl/>
        </w:rPr>
        <w:t xml:space="preserve"> نشان می‌دهد که در وضعیت یکنواخت،</w:t>
      </w:r>
      <w:r w:rsidRPr="00A40DDC">
        <w:rPr>
          <w:rStyle w:val="FootnoteReference"/>
          <w:rFonts w:eastAsiaTheme="minorEastAsia"/>
          <w:i/>
          <w:sz w:val="23"/>
          <w:szCs w:val="23"/>
          <w:rtl/>
        </w:rPr>
        <w:footnoteReference w:id="177"/>
      </w:r>
      <w:r w:rsidRPr="00A40DDC">
        <w:rPr>
          <w:rFonts w:eastAsiaTheme="minorEastAsia" w:hint="cs"/>
          <w:i/>
          <w:sz w:val="23"/>
          <w:szCs w:val="23"/>
          <w:rtl/>
        </w:rPr>
        <w:t xml:space="preserve"> خالص دارایی خارجی نگه داشته شده برابر است با </w:t>
      </w:r>
    </w:p>
    <w:p w14:paraId="29529679" w14:textId="77777777" w:rsidR="00411620" w:rsidRPr="00A40DDC"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lang w:bidi="fa-IR"/>
        </w:rPr>
      </w:pPr>
      <w:r w:rsidRPr="00A40DDC">
        <w:rPr>
          <w:position w:val="-22"/>
        </w:rPr>
        <w:object w:dxaOrig="4480" w:dyaOrig="600" w14:anchorId="7B7FF00E">
          <v:shape id="_x0000_i3621" type="#_x0000_t75" style="width:223.85pt;height:29.65pt" o:ole="">
            <v:imagedata r:id="rId5231" o:title=""/>
          </v:shape>
          <o:OLEObject Type="Embed" ProgID="Equation.DSMT4" ShapeID="_x0000_i3621" DrawAspect="Content" ObjectID="_1791377565" r:id="rId5232"/>
        </w:object>
      </w:r>
      <w:r w:rsidRPr="00A40DDC">
        <w:rPr>
          <w:rFonts w:ascii="Times New Roman" w:hAnsi="Times New Roman" w:cs="B Nazanin"/>
          <w:i/>
          <w:sz w:val="23"/>
          <w:szCs w:val="23"/>
          <w:rtl/>
        </w:rPr>
        <w:tab/>
      </w:r>
      <w:r w:rsidRPr="00A40DDC">
        <w:rPr>
          <w:rFonts w:ascii="Times New Roman" w:hAnsi="Times New Roman" w:cs="B Nazanin"/>
          <w:i/>
          <w:sz w:val="23"/>
          <w:szCs w:val="23"/>
          <w:rtl/>
        </w:rPr>
        <w:tab/>
      </w:r>
      <w:r>
        <w:rPr>
          <w:rFonts w:ascii="Times New Roman" w:hAnsi="Times New Roman" w:cs="B Nazanin"/>
          <w:i/>
          <w:sz w:val="23"/>
          <w:szCs w:val="23"/>
          <w:rtl/>
        </w:rPr>
        <w:tab/>
      </w:r>
      <w:r>
        <w:rPr>
          <w:rFonts w:ascii="Times New Roman" w:hAnsi="Times New Roman" w:cs="B Nazanin"/>
          <w:i/>
          <w:sz w:val="23"/>
          <w:szCs w:val="23"/>
          <w:rtl/>
        </w:rPr>
        <w:tab/>
      </w:r>
      <w:r>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۱۴)</w:t>
      </w:r>
    </w:p>
    <w:p w14:paraId="606375D3"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 xml:space="preserve">لذا در وضعیت یکنواخت، خالص موجودی دارایی‌های خارجی نیز ثابت است. اگر </w:t>
      </w:r>
      <w:r w:rsidRPr="00A40DDC">
        <w:rPr>
          <w:position w:val="-10"/>
        </w:rPr>
        <w:object w:dxaOrig="560" w:dyaOrig="320" w14:anchorId="7629447D">
          <v:shape id="_x0000_i3622" type="#_x0000_t75" style="width:27.85pt;height:15.75pt" o:ole="">
            <v:imagedata r:id="rId5233" o:title=""/>
          </v:shape>
          <o:OLEObject Type="Embed" ProgID="Equation.DSMT4" ShapeID="_x0000_i3622" DrawAspect="Content" ObjectID="_1791377566" r:id="rId5234"/>
        </w:object>
      </w:r>
      <w:r w:rsidRPr="00A40DDC">
        <w:rPr>
          <w:rFonts w:eastAsiaTheme="minorEastAsia" w:hint="cs"/>
          <w:i/>
          <w:sz w:val="23"/>
          <w:szCs w:val="23"/>
          <w:rtl/>
        </w:rPr>
        <w:t xml:space="preserve"> یعنی دارایی خارجی اولیه مثبت، و </w:t>
      </w:r>
      <w:r w:rsidRPr="00A40DDC">
        <w:rPr>
          <w:rFonts w:eastAsiaTheme="minorEastAsia"/>
          <w:i/>
          <w:sz w:val="23"/>
          <w:szCs w:val="23"/>
        </w:rPr>
        <w:t>r</w:t>
      </w:r>
      <w:r w:rsidRPr="00A40DDC">
        <w:rPr>
          <w:rFonts w:eastAsiaTheme="minorEastAsia"/>
          <w:i/>
          <w:sz w:val="23"/>
          <w:szCs w:val="23"/>
          <w:vertAlign w:val="superscript"/>
        </w:rPr>
        <w:t>*</w:t>
      </w:r>
      <w:r w:rsidRPr="00A40DDC">
        <w:rPr>
          <w:rFonts w:eastAsiaTheme="minorEastAsia" w:hint="cs"/>
          <w:i/>
          <w:sz w:val="23"/>
          <w:szCs w:val="23"/>
          <w:vertAlign w:val="superscript"/>
          <w:rtl/>
        </w:rPr>
        <w:t xml:space="preserve"> </w:t>
      </w:r>
      <w:r w:rsidRPr="00A40DDC">
        <w:rPr>
          <w:rFonts w:eastAsiaTheme="minorEastAsia" w:hint="cs"/>
          <w:i/>
          <w:sz w:val="23"/>
          <w:szCs w:val="23"/>
          <w:rtl/>
        </w:rPr>
        <w:t xml:space="preserve">داده شده باشد، آنگاه بر اساس رابطه </w:t>
      </w:r>
      <w:r w:rsidRPr="00A40DDC">
        <w:rPr>
          <w:position w:val="-10"/>
        </w:rPr>
        <w:object w:dxaOrig="1760" w:dyaOrig="340" w14:anchorId="283575E9">
          <v:shape id="_x0000_i3623" type="#_x0000_t75" style="width:87.75pt;height:16.95pt" o:ole="">
            <v:imagedata r:id="rId5235" o:title=""/>
          </v:shape>
          <o:OLEObject Type="Embed" ProgID="Equation.DSMT4" ShapeID="_x0000_i3623" DrawAspect="Content" ObjectID="_1791377567" r:id="rId5236"/>
        </w:object>
      </w:r>
      <w:r w:rsidRPr="00A40DDC">
        <w:rPr>
          <w:rFonts w:eastAsiaTheme="minorEastAsia" w:hint="cs"/>
          <w:i/>
          <w:sz w:val="23"/>
          <w:szCs w:val="23"/>
          <w:rtl/>
        </w:rPr>
        <w:t xml:space="preserve"> می‌بایست کسری تجاری دائمی وجود داشته باشد. اگر کسری تجاری کمتر از</w:t>
      </w:r>
      <w:r w:rsidRPr="00A40DDC">
        <w:rPr>
          <w:position w:val="-10"/>
        </w:rPr>
        <w:object w:dxaOrig="360" w:dyaOrig="340" w14:anchorId="25F920EC">
          <v:shape id="_x0000_i3624" type="#_x0000_t75" style="width:18.15pt;height:16.95pt" o:ole="">
            <v:imagedata r:id="rId5237" o:title=""/>
          </v:shape>
          <o:OLEObject Type="Embed" ProgID="Equation.DSMT4" ShapeID="_x0000_i3624" DrawAspect="Content" ObjectID="_1791377568" r:id="rId5238"/>
        </w:object>
      </w:r>
      <w:r w:rsidRPr="00A40DDC">
        <w:rPr>
          <w:rFonts w:eastAsiaTheme="minorEastAsia" w:hint="cs"/>
          <w:i/>
          <w:sz w:val="23"/>
          <w:szCs w:val="23"/>
          <w:rtl/>
        </w:rPr>
        <w:t xml:space="preserve"> باشد، آنگاه اقتصاد مقدار زیادی دارایی خارجی برای مصرف خود نگه داشته است که غیرکاراست و لذا مصرف کالاها و خدمات خارجی را باید افزایش دهد. اگر کسری تجاری بیش از</w:t>
      </w:r>
      <w:r w:rsidRPr="00A40DDC">
        <w:rPr>
          <w:position w:val="-10"/>
        </w:rPr>
        <w:object w:dxaOrig="400" w:dyaOrig="340" w14:anchorId="6170B6D4">
          <v:shape id="_x0000_i3625" type="#_x0000_t75" style="width:19.95pt;height:16.95pt" o:ole="">
            <v:imagedata r:id="rId5239" o:title=""/>
          </v:shape>
          <o:OLEObject Type="Embed" ProgID="Equation.DSMT4" ShapeID="_x0000_i3625" DrawAspect="Content" ObjectID="_1791377569" r:id="rId5240"/>
        </w:object>
      </w:r>
      <w:r w:rsidRPr="00A40DDC">
        <w:rPr>
          <w:rFonts w:eastAsiaTheme="minorEastAsia" w:hint="cs"/>
          <w:i/>
          <w:sz w:val="23"/>
          <w:szCs w:val="23"/>
          <w:rtl/>
        </w:rPr>
        <w:t xml:space="preserve"> باشد آنگاه </w:t>
      </w:r>
      <w:r w:rsidRPr="00A40DDC">
        <w:rPr>
          <w:rFonts w:eastAsiaTheme="minorEastAsia"/>
          <w:i/>
          <w:sz w:val="23"/>
          <w:szCs w:val="23"/>
        </w:rPr>
        <w:t>ca</w:t>
      </w:r>
      <w:r w:rsidRPr="00A40DDC">
        <w:rPr>
          <w:rFonts w:eastAsiaTheme="minorEastAsia" w:hint="cs"/>
          <w:i/>
          <w:sz w:val="23"/>
          <w:szCs w:val="23"/>
          <w:rtl/>
        </w:rPr>
        <w:t xml:space="preserve"> غیرپایدار است. </w:t>
      </w:r>
    </w:p>
    <w:p w14:paraId="62ABFFA2" w14:textId="77777777" w:rsidR="00411620" w:rsidRDefault="00411620" w:rsidP="00411620">
      <w:pPr>
        <w:spacing w:line="216" w:lineRule="auto"/>
        <w:rPr>
          <w:rFonts w:eastAsiaTheme="minorEastAsia"/>
          <w:bCs/>
          <w:i/>
          <w:sz w:val="23"/>
          <w:szCs w:val="23"/>
          <w:rtl/>
        </w:rPr>
      </w:pPr>
    </w:p>
    <w:p w14:paraId="7B7ADDD6" w14:textId="77777777" w:rsidR="00411620" w:rsidRPr="00A40DDC" w:rsidRDefault="00411620" w:rsidP="00411620">
      <w:pPr>
        <w:spacing w:line="216" w:lineRule="auto"/>
        <w:rPr>
          <w:rFonts w:eastAsiaTheme="minorEastAsia"/>
          <w:bCs/>
          <w:i/>
          <w:sz w:val="23"/>
          <w:szCs w:val="23"/>
          <w:rtl/>
        </w:rPr>
      </w:pPr>
      <w:r w:rsidRPr="00A40DDC">
        <w:rPr>
          <w:rFonts w:eastAsiaTheme="minorEastAsia" w:hint="cs"/>
          <w:bCs/>
          <w:i/>
          <w:sz w:val="23"/>
          <w:szCs w:val="23"/>
          <w:rtl/>
        </w:rPr>
        <w:t>شوک‌های حساب جاری</w:t>
      </w:r>
    </w:p>
    <w:p w14:paraId="339D61D7" w14:textId="77777777" w:rsidR="00411620" w:rsidRDefault="00411620" w:rsidP="00411620">
      <w:pPr>
        <w:spacing w:line="216" w:lineRule="auto"/>
        <w:rPr>
          <w:rFonts w:eastAsiaTheme="minorEastAsia"/>
          <w:i/>
          <w:sz w:val="23"/>
          <w:szCs w:val="23"/>
          <w:rtl/>
        </w:rPr>
      </w:pPr>
      <w:r w:rsidRPr="00A40DDC">
        <w:rPr>
          <w:rFonts w:eastAsiaTheme="minorEastAsia" w:hint="cs"/>
          <w:i/>
          <w:sz w:val="23"/>
          <w:szCs w:val="23"/>
          <w:rtl/>
        </w:rPr>
        <w:t>اقتصادِ باز متأثر از شوک</w:t>
      </w:r>
      <w:r w:rsidRPr="00A40DDC">
        <w:rPr>
          <w:rFonts w:eastAsiaTheme="minorEastAsia"/>
          <w:i/>
          <w:sz w:val="23"/>
          <w:szCs w:val="23"/>
          <w:rtl/>
        </w:rPr>
        <w:softHyphen/>
      </w:r>
      <w:r w:rsidRPr="00A40DDC">
        <w:rPr>
          <w:rFonts w:eastAsiaTheme="minorEastAsia" w:hint="cs"/>
          <w:i/>
          <w:sz w:val="23"/>
          <w:szCs w:val="23"/>
          <w:rtl/>
        </w:rPr>
        <w:t>های داخلی و خارجی است. ابتدا اثر شوک</w:t>
      </w:r>
      <w:r w:rsidRPr="00A40DDC">
        <w:rPr>
          <w:rFonts w:eastAsiaTheme="minorEastAsia"/>
          <w:i/>
          <w:sz w:val="23"/>
          <w:szCs w:val="23"/>
          <w:rtl/>
        </w:rPr>
        <w:softHyphen/>
      </w:r>
      <w:r w:rsidRPr="00A40DDC">
        <w:rPr>
          <w:rFonts w:eastAsiaTheme="minorEastAsia" w:hint="cs"/>
          <w:i/>
          <w:sz w:val="23"/>
          <w:szCs w:val="23"/>
          <w:rtl/>
        </w:rPr>
        <w:t>های موقتی و دائمی برون</w:t>
      </w:r>
      <w:r w:rsidRPr="00A40DDC">
        <w:rPr>
          <w:rFonts w:eastAsiaTheme="minorEastAsia"/>
          <w:i/>
          <w:sz w:val="23"/>
          <w:szCs w:val="23"/>
          <w:rtl/>
        </w:rPr>
        <w:softHyphen/>
      </w:r>
      <w:r w:rsidRPr="00A40DDC">
        <w:rPr>
          <w:rFonts w:eastAsiaTheme="minorEastAsia" w:hint="cs"/>
          <w:i/>
          <w:sz w:val="23"/>
          <w:szCs w:val="23"/>
          <w:rtl/>
        </w:rPr>
        <w:t xml:space="preserve">زای </w:t>
      </w:r>
    </w:p>
    <w:p w14:paraId="37BF3BC4" w14:textId="77777777" w:rsidR="00411620" w:rsidRPr="00A40DDC" w:rsidRDefault="00411620" w:rsidP="00411620">
      <w:pPr>
        <w:spacing w:line="216" w:lineRule="auto"/>
        <w:rPr>
          <w:rFonts w:eastAsiaTheme="minorEastAsia"/>
          <w:i/>
          <w:sz w:val="23"/>
          <w:szCs w:val="23"/>
        </w:rPr>
      </w:pPr>
      <w:r w:rsidRPr="00A40DDC">
        <w:rPr>
          <w:rFonts w:eastAsiaTheme="minorEastAsia" w:hint="cs"/>
          <w:i/>
          <w:sz w:val="23"/>
          <w:szCs w:val="23"/>
          <w:rtl/>
        </w:rPr>
        <w:t>صادرات را بررسی می‌کنیم. این شوک</w:t>
      </w:r>
      <w:r w:rsidRPr="00A40DDC">
        <w:rPr>
          <w:rFonts w:eastAsiaTheme="minorEastAsia"/>
          <w:i/>
          <w:sz w:val="23"/>
          <w:szCs w:val="23"/>
          <w:rtl/>
        </w:rPr>
        <w:softHyphen/>
      </w:r>
      <w:r w:rsidRPr="00A40DDC">
        <w:rPr>
          <w:rFonts w:eastAsiaTheme="minorEastAsia" w:hint="cs"/>
          <w:i/>
          <w:sz w:val="23"/>
          <w:szCs w:val="23"/>
          <w:rtl/>
        </w:rPr>
        <w:t>ها ممکن است از طریق تغییر در درآمد خارجیان و یا ذائقه</w:t>
      </w:r>
      <w:r w:rsidRPr="00A40DDC">
        <w:rPr>
          <w:rFonts w:eastAsiaTheme="minorEastAsia"/>
          <w:i/>
          <w:sz w:val="23"/>
          <w:szCs w:val="23"/>
          <w:rtl/>
        </w:rPr>
        <w:softHyphen/>
      </w:r>
      <w:r w:rsidRPr="00A40DDC">
        <w:rPr>
          <w:rFonts w:eastAsiaTheme="minorEastAsia" w:hint="cs"/>
          <w:i/>
          <w:sz w:val="23"/>
          <w:szCs w:val="23"/>
          <w:rtl/>
        </w:rPr>
        <w:t>ی آن‌ها صورت پذیرد. فرض می‌کنیم قبل از شوک، اقتصاد در تعادل است، یعنی</w:t>
      </w:r>
      <w:r w:rsidRPr="00A40DDC">
        <w:rPr>
          <w:position w:val="-10"/>
        </w:rPr>
        <w:object w:dxaOrig="1780" w:dyaOrig="320" w14:anchorId="3C22CC97">
          <v:shape id="_x0000_i3626" type="#_x0000_t75" style="width:88.95pt;height:15.75pt" o:ole="">
            <v:imagedata r:id="rId5241" o:title=""/>
          </v:shape>
          <o:OLEObject Type="Embed" ProgID="Equation.DSMT4" ShapeID="_x0000_i3626" DrawAspect="Content" ObjectID="_1791377570" r:id="rId5242"/>
        </w:object>
      </w:r>
      <w:r w:rsidRPr="00A40DDC">
        <w:rPr>
          <w:rFonts w:eastAsiaTheme="minorEastAsia"/>
          <w:i/>
          <w:sz w:val="23"/>
          <w:szCs w:val="23"/>
        </w:rPr>
        <w:t xml:space="preserve"> </w:t>
      </w:r>
      <w:r w:rsidRPr="00A40DDC">
        <w:rPr>
          <w:rFonts w:eastAsiaTheme="minorEastAsia" w:hint="cs"/>
          <w:i/>
          <w:sz w:val="23"/>
          <w:szCs w:val="23"/>
          <w:rtl/>
        </w:rPr>
        <w:t xml:space="preserve">، </w:t>
      </w:r>
      <w:r w:rsidRPr="00A40DDC">
        <w:rPr>
          <w:position w:val="-10"/>
        </w:rPr>
        <w:object w:dxaOrig="960" w:dyaOrig="340" w14:anchorId="1E0F9413">
          <v:shape id="_x0000_i3627" type="#_x0000_t75" style="width:47.8pt;height:16.95pt" o:ole="">
            <v:imagedata r:id="rId5243" o:title=""/>
          </v:shape>
          <o:OLEObject Type="Embed" ProgID="Equation.DSMT4" ShapeID="_x0000_i3627" DrawAspect="Content" ObjectID="_1791377571" r:id="rId5244"/>
        </w:object>
      </w:r>
      <w:r w:rsidRPr="00A40DDC">
        <w:rPr>
          <w:rFonts w:eastAsiaTheme="minorEastAsia" w:hint="cs"/>
          <w:i/>
          <w:sz w:val="23"/>
          <w:szCs w:val="23"/>
          <w:rtl/>
        </w:rPr>
        <w:t xml:space="preserve">، </w:t>
      </w:r>
      <w:r w:rsidRPr="00A40DDC">
        <w:rPr>
          <w:position w:val="-10"/>
        </w:rPr>
        <w:object w:dxaOrig="680" w:dyaOrig="320" w14:anchorId="56B060DC">
          <v:shape id="_x0000_i3628" type="#_x0000_t75" style="width:33.9pt;height:15.75pt" o:ole="">
            <v:imagedata r:id="rId5245" o:title=""/>
          </v:shape>
          <o:OLEObject Type="Embed" ProgID="Equation.DSMT4" ShapeID="_x0000_i3628" DrawAspect="Content" ObjectID="_1791377572" r:id="rId5246"/>
        </w:object>
      </w:r>
      <w:r w:rsidRPr="00A40DDC">
        <w:rPr>
          <w:rFonts w:hint="cs"/>
          <w:i/>
          <w:sz w:val="23"/>
          <w:szCs w:val="23"/>
          <w:rtl/>
        </w:rPr>
        <w:t xml:space="preserve"> و </w:t>
      </w:r>
      <w:r w:rsidRPr="00A40DDC">
        <w:rPr>
          <w:rFonts w:eastAsiaTheme="minorEastAsia" w:hint="cs"/>
          <w:i/>
          <w:sz w:val="23"/>
          <w:szCs w:val="23"/>
          <w:rtl/>
        </w:rPr>
        <w:t>چون</w:t>
      </w:r>
      <w:r w:rsidRPr="00A40DDC">
        <w:rPr>
          <w:rFonts w:eastAsiaTheme="minorEastAsia"/>
          <w:i/>
          <w:sz w:val="23"/>
          <w:szCs w:val="23"/>
        </w:rPr>
        <w:t xml:space="preserve"> </w:t>
      </w:r>
      <w:r w:rsidRPr="00A40DDC">
        <w:rPr>
          <w:rFonts w:eastAsiaTheme="minorEastAsia" w:hint="cs"/>
          <w:i/>
          <w:sz w:val="23"/>
          <w:szCs w:val="23"/>
          <w:rtl/>
        </w:rPr>
        <w:t xml:space="preserve"> </w:t>
      </w:r>
      <w:r w:rsidRPr="00A40DDC">
        <w:rPr>
          <w:position w:val="-6"/>
        </w:rPr>
        <w:object w:dxaOrig="200" w:dyaOrig="260" w14:anchorId="4780CE75">
          <v:shape id="_x0000_i3629" type="#_x0000_t75" style="width:10.3pt;height:13.3pt" o:ole="">
            <v:imagedata r:id="rId5247" o:title=""/>
          </v:shape>
          <o:OLEObject Type="Embed" ProgID="Equation.DSMT4" ShapeID="_x0000_i3629" DrawAspect="Content" ObjectID="_1791377573" r:id="rId5248"/>
        </w:object>
      </w:r>
      <w:r w:rsidRPr="00A40DDC">
        <w:rPr>
          <w:rFonts w:hint="cs"/>
          <w:i/>
          <w:sz w:val="23"/>
          <w:szCs w:val="23"/>
          <w:rtl/>
        </w:rPr>
        <w:t xml:space="preserve"> و </w:t>
      </w:r>
      <w:r w:rsidRPr="00A40DDC">
        <w:rPr>
          <w:position w:val="-6"/>
        </w:rPr>
        <w:object w:dxaOrig="200" w:dyaOrig="260" w14:anchorId="337D45FB">
          <v:shape id="_x0000_i3630" type="#_x0000_t75" style="width:10.3pt;height:13.3pt" o:ole="">
            <v:imagedata r:id="rId5249" o:title=""/>
          </v:shape>
          <o:OLEObject Type="Embed" ProgID="Equation.DSMT4" ShapeID="_x0000_i3630" DrawAspect="Content" ObjectID="_1791377574" r:id="rId5250"/>
        </w:object>
      </w:r>
      <w:r w:rsidRPr="00A40DDC">
        <w:rPr>
          <w:rFonts w:eastAsiaTheme="minorEastAsia" w:hint="cs"/>
          <w:i/>
          <w:sz w:val="23"/>
          <w:szCs w:val="23"/>
          <w:rtl/>
        </w:rPr>
        <w:t xml:space="preserve"> ثابت می</w:t>
      </w:r>
      <w:r w:rsidRPr="00A40DDC">
        <w:rPr>
          <w:rFonts w:eastAsiaTheme="minorEastAsia"/>
          <w:i/>
          <w:sz w:val="23"/>
          <w:szCs w:val="23"/>
          <w:rtl/>
        </w:rPr>
        <w:softHyphen/>
      </w:r>
      <w:r w:rsidRPr="00A40DDC">
        <w:rPr>
          <w:rFonts w:eastAsiaTheme="minorEastAsia" w:hint="cs"/>
          <w:i/>
          <w:sz w:val="23"/>
          <w:szCs w:val="23"/>
          <w:rtl/>
        </w:rPr>
        <w:t xml:space="preserve">باشند </w:t>
      </w:r>
      <w:r w:rsidRPr="00A40DDC">
        <w:rPr>
          <w:position w:val="-10"/>
        </w:rPr>
        <w:object w:dxaOrig="1880" w:dyaOrig="320" w14:anchorId="67F2821A">
          <v:shape id="_x0000_i3631" type="#_x0000_t75" style="width:93.8pt;height:15.75pt" o:ole="">
            <v:imagedata r:id="rId5251" o:title=""/>
          </v:shape>
          <o:OLEObject Type="Embed" ProgID="Equation.DSMT4" ShapeID="_x0000_i3631" DrawAspect="Content" ObjectID="_1791377575" r:id="rId5252"/>
        </w:object>
      </w:r>
      <w:r w:rsidRPr="00A40DDC">
        <w:rPr>
          <w:rFonts w:eastAsiaTheme="minorEastAsia" w:hint="cs"/>
          <w:i/>
          <w:sz w:val="23"/>
          <w:szCs w:val="23"/>
          <w:rtl/>
        </w:rPr>
        <w:t>.</w:t>
      </w:r>
      <w:r w:rsidRPr="00A40DDC">
        <w:rPr>
          <w:rFonts w:eastAsiaTheme="minorEastAsia"/>
          <w:i/>
          <w:sz w:val="23"/>
          <w:szCs w:val="23"/>
        </w:rPr>
        <w:t xml:space="preserve">  </w:t>
      </w:r>
      <w:r w:rsidRPr="00A40DDC">
        <w:rPr>
          <w:rFonts w:eastAsiaTheme="minorEastAsia" w:hint="cs"/>
          <w:i/>
          <w:sz w:val="23"/>
          <w:szCs w:val="23"/>
          <w:rtl/>
        </w:rPr>
        <w:t xml:space="preserve">اکنون شوک منفی موقتی صادرات در زمان </w:t>
      </w:r>
      <w:r w:rsidRPr="00A40DDC">
        <w:rPr>
          <w:rFonts w:eastAsiaTheme="minorEastAsia"/>
          <w:i/>
          <w:sz w:val="23"/>
          <w:szCs w:val="23"/>
        </w:rPr>
        <w:t>t</w:t>
      </w:r>
      <w:r w:rsidRPr="00A40DDC">
        <w:rPr>
          <w:rFonts w:eastAsiaTheme="minorEastAsia" w:hint="cs"/>
          <w:i/>
          <w:sz w:val="23"/>
          <w:szCs w:val="23"/>
          <w:rtl/>
        </w:rPr>
        <w:t xml:space="preserve"> یعنی </w:t>
      </w:r>
      <w:r w:rsidRPr="00A40DDC">
        <w:rPr>
          <w:position w:val="-10"/>
        </w:rPr>
        <w:object w:dxaOrig="720" w:dyaOrig="320" w14:anchorId="5D760A11">
          <v:shape id="_x0000_i3632" type="#_x0000_t75" style="width:36.3pt;height:15.75pt" o:ole="">
            <v:imagedata r:id="rId5253" o:title=""/>
          </v:shape>
          <o:OLEObject Type="Embed" ProgID="Equation.DSMT4" ShapeID="_x0000_i3632" DrawAspect="Content" ObjectID="_1791377576" r:id="rId5254"/>
        </w:object>
      </w:r>
      <w:r w:rsidRPr="00A40DDC">
        <w:rPr>
          <w:rFonts w:eastAsiaTheme="minorEastAsia"/>
          <w:i/>
          <w:sz w:val="23"/>
          <w:szCs w:val="23"/>
        </w:rPr>
        <w:t xml:space="preserve"> </w:t>
      </w:r>
      <w:r w:rsidRPr="00A40DDC">
        <w:rPr>
          <w:rFonts w:eastAsiaTheme="minorEastAsia" w:hint="cs"/>
          <w:i/>
          <w:sz w:val="23"/>
          <w:szCs w:val="23"/>
          <w:rtl/>
        </w:rPr>
        <w:t>را بررسی می‌کنیم. از معادله</w:t>
      </w:r>
      <w:r w:rsidRPr="00A40DDC">
        <w:rPr>
          <w:rFonts w:eastAsiaTheme="minorEastAsia"/>
          <w:i/>
          <w:sz w:val="23"/>
          <w:szCs w:val="23"/>
        </w:rPr>
        <w:t xml:space="preserve"> </w:t>
      </w:r>
      <w:r w:rsidRPr="00A40DDC">
        <w:rPr>
          <w:rFonts w:eastAsiaTheme="minorEastAsia" w:hint="cs"/>
          <w:i/>
          <w:sz w:val="23"/>
          <w:szCs w:val="23"/>
          <w:rtl/>
        </w:rPr>
        <w:t xml:space="preserve">ترازپرداخت‌های </w:t>
      </w:r>
      <w:r w:rsidRPr="00A40DDC">
        <w:rPr>
          <w:rFonts w:hint="cs"/>
          <w:i/>
          <w:sz w:val="23"/>
          <w:szCs w:val="23"/>
          <w:rtl/>
        </w:rPr>
        <w:t>(۷. ۵)</w:t>
      </w:r>
      <w:r w:rsidRPr="00A40DDC">
        <w:rPr>
          <w:rFonts w:eastAsiaTheme="minorEastAsia" w:hint="cs"/>
          <w:i/>
          <w:sz w:val="23"/>
          <w:szCs w:val="23"/>
          <w:rtl/>
        </w:rPr>
        <w:t xml:space="preserve"> داریم:</w:t>
      </w:r>
    </w:p>
    <w:p w14:paraId="3E648CB2"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16"/>
        </w:rPr>
        <w:object w:dxaOrig="4080" w:dyaOrig="420" w14:anchorId="146D1A3A">
          <v:shape id="_x0000_i3633" type="#_x0000_t75" style="width:203.9pt;height:21.2pt" o:ole="">
            <v:imagedata r:id="rId5255" o:title=""/>
          </v:shape>
          <o:OLEObject Type="Embed" ProgID="Equation.DSMT4" ShapeID="_x0000_i3633" DrawAspect="Content" ObjectID="_1791377577" r:id="rId5256"/>
        </w:object>
      </w:r>
    </w:p>
    <w:p w14:paraId="32764EDF" w14:textId="77777777" w:rsidR="00411620" w:rsidRPr="00A40DDC" w:rsidRDefault="00411620" w:rsidP="00411620">
      <w:pPr>
        <w:pStyle w:val="MTDisplayEquation"/>
        <w:bidi/>
        <w:spacing w:line="216" w:lineRule="auto"/>
        <w:rPr>
          <w:rFonts w:ascii="Times New Roman" w:eastAsiaTheme="minorEastAsia" w:hAnsi="Times New Roman" w:cs="B Nazanin"/>
          <w:i/>
          <w:sz w:val="23"/>
          <w:szCs w:val="23"/>
          <w:rtl/>
          <w:lang w:bidi="fa-IR"/>
        </w:rPr>
      </w:pPr>
      <w:r w:rsidRPr="00A40DDC">
        <w:rPr>
          <w:rFonts w:ascii="Times New Roman" w:hAnsi="Times New Roman" w:cs="B Nazanin"/>
          <w:i/>
          <w:sz w:val="23"/>
          <w:szCs w:val="23"/>
        </w:rPr>
        <w:tab/>
      </w:r>
      <w:r w:rsidRPr="00A40DDC">
        <w:rPr>
          <w:rFonts w:ascii="Times New Roman" w:eastAsiaTheme="minorEastAsia" w:hAnsi="Times New Roman" w:cs="B Nazanin"/>
          <w:i/>
          <w:sz w:val="23"/>
          <w:szCs w:val="23"/>
          <w:lang w:bidi="fa-IR"/>
        </w:rPr>
        <w:t xml:space="preserve"> </w:t>
      </w:r>
      <w:r w:rsidRPr="00A40DDC">
        <w:rPr>
          <w:rFonts w:ascii="Times New Roman" w:eastAsiaTheme="minorEastAsia" w:hAnsi="Times New Roman" w:cs="B Nazanin" w:hint="cs"/>
          <w:i/>
          <w:sz w:val="23"/>
          <w:szCs w:val="23"/>
          <w:rtl/>
          <w:lang w:bidi="fa-IR"/>
        </w:rPr>
        <w:t xml:space="preserve">لذا خالص دارایی خارجی </w:t>
      </w:r>
      <w:r w:rsidRPr="00A40DDC">
        <w:rPr>
          <w:position w:val="-10"/>
        </w:rPr>
        <w:object w:dxaOrig="320" w:dyaOrig="320" w14:anchorId="3893D3B3">
          <v:shape id="_x0000_i3634" type="#_x0000_t75" style="width:15.75pt;height:15.75pt" o:ole="">
            <v:imagedata r:id="rId5257" o:title=""/>
          </v:shape>
          <o:OLEObject Type="Embed" ProgID="Equation.DSMT4" ShapeID="_x0000_i3634" DrawAspect="Content" ObjectID="_1791377578" r:id="rId5258"/>
        </w:object>
      </w:r>
      <w:r w:rsidRPr="00A40DDC">
        <w:rPr>
          <w:rFonts w:ascii="Times New Roman" w:eastAsiaTheme="minorEastAsia" w:hAnsi="Times New Roman" w:cs="B Nazanin" w:hint="cs"/>
          <w:i/>
          <w:sz w:val="23"/>
          <w:szCs w:val="23"/>
          <w:rtl/>
          <w:lang w:bidi="fa-IR"/>
        </w:rPr>
        <w:t xml:space="preserve"> در دوره</w:t>
      </w:r>
      <w:r w:rsidRPr="00A40DDC">
        <w:rPr>
          <w:rFonts w:ascii="Times New Roman" w:eastAsiaTheme="minorEastAsia" w:hAnsi="Times New Roman" w:cs="B Nazanin"/>
          <w:i/>
          <w:sz w:val="23"/>
          <w:szCs w:val="23"/>
          <w:rtl/>
          <w:lang w:bidi="fa-IR"/>
        </w:rPr>
        <w:softHyphen/>
      </w:r>
      <w:r w:rsidRPr="00A40DDC">
        <w:rPr>
          <w:rFonts w:ascii="Times New Roman" w:eastAsiaTheme="minorEastAsia" w:hAnsi="Times New Roman" w:cs="B Nazanin" w:hint="cs"/>
          <w:i/>
          <w:sz w:val="23"/>
          <w:szCs w:val="23"/>
          <w:rtl/>
          <w:lang w:bidi="fa-IR"/>
        </w:rPr>
        <w:t>ی بعد کاهش می</w:t>
      </w:r>
      <w:r w:rsidRPr="00A40DDC">
        <w:rPr>
          <w:rFonts w:ascii="Times New Roman" w:eastAsiaTheme="minorEastAsia" w:hAnsi="Times New Roman" w:cs="B Nazanin"/>
          <w:i/>
          <w:sz w:val="23"/>
          <w:szCs w:val="23"/>
          <w:rtl/>
          <w:lang w:bidi="fa-IR"/>
        </w:rPr>
        <w:softHyphen/>
      </w:r>
      <w:r w:rsidRPr="00A40DDC">
        <w:rPr>
          <w:rFonts w:ascii="Times New Roman" w:eastAsiaTheme="minorEastAsia" w:hAnsi="Times New Roman" w:cs="B Nazanin" w:hint="cs"/>
          <w:i/>
          <w:sz w:val="23"/>
          <w:szCs w:val="23"/>
          <w:rtl/>
          <w:lang w:bidi="fa-IR"/>
        </w:rPr>
        <w:t>یابد. در زمان‌های بعد واردات و خالص دارایی‌های خارجی نیز تغییر می‌کنند. با فرض اینکه واردات نسبتی از مصرف است، یعنی</w:t>
      </w:r>
    </w:p>
    <w:p w14:paraId="7FBCA26A" w14:textId="77777777" w:rsidR="00411620" w:rsidRPr="00A40DDC" w:rsidRDefault="00411620" w:rsidP="00411620">
      <w:pPr>
        <w:bidi w:val="0"/>
        <w:spacing w:line="216" w:lineRule="auto"/>
        <w:rPr>
          <w:rFonts w:eastAsiaTheme="minorEastAsia"/>
          <w:i/>
          <w:sz w:val="23"/>
          <w:szCs w:val="23"/>
        </w:rPr>
      </w:pPr>
      <w:r w:rsidRPr="00A40DDC">
        <w:rPr>
          <w:rFonts w:eastAsiaTheme="minorEastAsia" w:hint="cs"/>
          <w:i/>
          <w:sz w:val="23"/>
          <w:szCs w:val="23"/>
          <w:rtl/>
        </w:rPr>
        <w:t xml:space="preserve"> </w:t>
      </w:r>
      <w:r w:rsidRPr="00A40DDC">
        <w:rPr>
          <w:position w:val="-10"/>
        </w:rPr>
        <w:object w:dxaOrig="2400" w:dyaOrig="340" w14:anchorId="1A2D4F73">
          <v:shape id="_x0000_i3635" type="#_x0000_t75" style="width:119.8pt;height:16.95pt" o:ole="">
            <v:imagedata r:id="rId5259" o:title=""/>
          </v:shape>
          <o:OLEObject Type="Embed" ProgID="Equation.DSMT4" ShapeID="_x0000_i3635" DrawAspect="Content" ObjectID="_1791377579" r:id="rId5260"/>
        </w:object>
      </w:r>
      <w:r w:rsidRPr="00A40DDC">
        <w:rPr>
          <w:rFonts w:eastAsiaTheme="minorEastAsia"/>
          <w:i/>
          <w:sz w:val="23"/>
          <w:szCs w:val="23"/>
        </w:rPr>
        <w:t xml:space="preserve"> </w:t>
      </w:r>
    </w:p>
    <w:p w14:paraId="02AFC1CF"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 xml:space="preserve"> از رابطه </w:t>
      </w:r>
      <w:r w:rsidRPr="00A40DDC">
        <w:rPr>
          <w:rFonts w:hint="cs"/>
          <w:i/>
          <w:sz w:val="23"/>
          <w:szCs w:val="23"/>
          <w:rtl/>
        </w:rPr>
        <w:t>(۷. ۱۲)</w:t>
      </w:r>
      <w:r w:rsidRPr="00A40DDC">
        <w:rPr>
          <w:rFonts w:eastAsiaTheme="minorEastAsia" w:hint="cs"/>
          <w:i/>
          <w:sz w:val="23"/>
          <w:szCs w:val="23"/>
          <w:rtl/>
        </w:rPr>
        <w:t xml:space="preserve"> واردات در زمان</w:t>
      </w:r>
      <w:r w:rsidRPr="00A40DDC">
        <w:rPr>
          <w:position w:val="-6"/>
        </w:rPr>
        <w:object w:dxaOrig="440" w:dyaOrig="260" w14:anchorId="574DA4F3">
          <v:shape id="_x0000_i3636" type="#_x0000_t75" style="width:21.8pt;height:13.3pt" o:ole="">
            <v:imagedata r:id="rId5261" o:title=""/>
          </v:shape>
          <o:OLEObject Type="Embed" ProgID="Equation.DSMT4" ShapeID="_x0000_i3636" DrawAspect="Content" ObjectID="_1791377580" r:id="rId5262"/>
        </w:object>
      </w:r>
      <w:r w:rsidRPr="00A40DDC">
        <w:rPr>
          <w:rFonts w:eastAsiaTheme="minorEastAsia" w:hint="cs"/>
          <w:i/>
          <w:sz w:val="23"/>
          <w:szCs w:val="23"/>
          <w:rtl/>
        </w:rPr>
        <w:t xml:space="preserve"> برابر خواهد بود با </w:t>
      </w:r>
    </w:p>
    <w:p w14:paraId="2BAADB12" w14:textId="77777777" w:rsidR="00411620" w:rsidRPr="00A40DDC" w:rsidRDefault="00411620" w:rsidP="00411620">
      <w:pPr>
        <w:pStyle w:val="MTDisplayEquation"/>
        <w:bidi/>
        <w:spacing w:line="216" w:lineRule="auto"/>
        <w:rPr>
          <w:rFonts w:ascii="Times New Roman" w:eastAsiaTheme="minorEastAsia" w:hAnsi="Times New Roman" w:cs="B Nazanin"/>
          <w:i/>
          <w:sz w:val="23"/>
          <w:szCs w:val="23"/>
          <w:rtl/>
        </w:rPr>
      </w:pPr>
      <w:r w:rsidRPr="00A40DDC">
        <w:rPr>
          <w:position w:val="-26"/>
        </w:rPr>
        <w:object w:dxaOrig="6720" w:dyaOrig="660" w14:anchorId="58BDE4A1">
          <v:shape id="_x0000_i3637" type="#_x0000_t75" style="width:335.8pt;height:32.65pt" o:ole="">
            <v:imagedata r:id="rId5263" o:title=""/>
          </v:shape>
          <o:OLEObject Type="Embed" ProgID="Equation.DSMT4" ShapeID="_x0000_i3637" DrawAspect="Content" ObjectID="_1791377581" r:id="rId5264"/>
        </w:object>
      </w:r>
      <w:r w:rsidRPr="00A40DDC">
        <w:rPr>
          <w:rFonts w:ascii="Times New Roman" w:eastAsiaTheme="minorEastAsia" w:hAnsi="Times New Roman" w:cs="B Nazanin" w:hint="cs"/>
          <w:i/>
          <w:sz w:val="23"/>
          <w:szCs w:val="23"/>
          <w:rtl/>
        </w:rPr>
        <w:t>و چون</w:t>
      </w:r>
      <w:r w:rsidRPr="00A40DDC">
        <w:rPr>
          <w:position w:val="-10"/>
        </w:rPr>
        <w:object w:dxaOrig="1200" w:dyaOrig="320" w14:anchorId="07F8D2FA">
          <v:shape id="_x0000_i3638" type="#_x0000_t75" style="width:59.9pt;height:15.75pt" o:ole="">
            <v:imagedata r:id="rId5265" o:title=""/>
          </v:shape>
          <o:OLEObject Type="Embed" ProgID="Equation.DSMT4" ShapeID="_x0000_i3638" DrawAspect="Content" ObjectID="_1791377582" r:id="rId5266"/>
        </w:object>
      </w:r>
      <w:r w:rsidRPr="00A40DDC">
        <w:rPr>
          <w:rFonts w:ascii="Times New Roman" w:eastAsiaTheme="minorEastAsia" w:hAnsi="Times New Roman" w:cs="B Nazanin"/>
          <w:i/>
          <w:sz w:val="23"/>
          <w:szCs w:val="23"/>
        </w:rPr>
        <w:t xml:space="preserve"> </w:t>
      </w:r>
      <w:r w:rsidRPr="00A40DDC">
        <w:rPr>
          <w:rFonts w:ascii="Times New Roman" w:eastAsiaTheme="minorEastAsia" w:hAnsi="Times New Roman" w:cs="B Nazanin" w:hint="cs"/>
          <w:i/>
          <w:sz w:val="23"/>
          <w:szCs w:val="23"/>
          <w:rtl/>
        </w:rPr>
        <w:t xml:space="preserve">، لذا </w:t>
      </w:r>
    </w:p>
    <w:p w14:paraId="54A31636"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26"/>
        </w:rPr>
        <w:object w:dxaOrig="4640" w:dyaOrig="660" w14:anchorId="6FC2762B">
          <v:shape id="_x0000_i3639" type="#_x0000_t75" style="width:232.35pt;height:32.65pt" o:ole="">
            <v:imagedata r:id="rId5267" o:title=""/>
          </v:shape>
          <o:OLEObject Type="Embed" ProgID="Equation.DSMT4" ShapeID="_x0000_i3639" DrawAspect="Content" ObjectID="_1791377583" r:id="rId5268"/>
        </w:object>
      </w:r>
    </w:p>
    <w:p w14:paraId="0F97E9D7"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 xml:space="preserve">بنابراین واردات نیز در زمان </w:t>
      </w:r>
      <w:r w:rsidRPr="00A40DDC">
        <w:rPr>
          <w:rFonts w:eastAsiaTheme="minorEastAsia"/>
          <w:i/>
          <w:sz w:val="23"/>
          <w:szCs w:val="23"/>
        </w:rPr>
        <w:t>t+1</w:t>
      </w:r>
      <w:r w:rsidRPr="00A40DDC">
        <w:rPr>
          <w:rFonts w:eastAsiaTheme="minorEastAsia" w:hint="cs"/>
          <w:i/>
          <w:sz w:val="23"/>
          <w:szCs w:val="23"/>
          <w:rtl/>
        </w:rPr>
        <w:t xml:space="preserve"> کاهش می</w:t>
      </w:r>
      <w:r w:rsidRPr="00A40DDC">
        <w:rPr>
          <w:rFonts w:eastAsiaTheme="minorEastAsia"/>
          <w:i/>
          <w:sz w:val="23"/>
          <w:szCs w:val="23"/>
          <w:rtl/>
        </w:rPr>
        <w:softHyphen/>
      </w:r>
      <w:r w:rsidRPr="00A40DDC">
        <w:rPr>
          <w:rFonts w:eastAsiaTheme="minorEastAsia" w:hint="cs"/>
          <w:i/>
          <w:sz w:val="23"/>
          <w:szCs w:val="23"/>
          <w:rtl/>
        </w:rPr>
        <w:t xml:space="preserve">یابد. در زمان </w:t>
      </w:r>
      <w:r w:rsidRPr="00A40DDC">
        <w:rPr>
          <w:position w:val="-6"/>
        </w:rPr>
        <w:object w:dxaOrig="460" w:dyaOrig="260" w14:anchorId="123C360D">
          <v:shape id="_x0000_i3640" type="#_x0000_t75" style="width:23pt;height:13.3pt" o:ole="">
            <v:imagedata r:id="rId5269" o:title=""/>
          </v:shape>
          <o:OLEObject Type="Embed" ProgID="Equation.DSMT4" ShapeID="_x0000_i3640" DrawAspect="Content" ObjectID="_1791377584" r:id="rId5270"/>
        </w:object>
      </w:r>
      <w:r w:rsidRPr="00A40DDC">
        <w:rPr>
          <w:rFonts w:hint="cs"/>
          <w:i/>
          <w:sz w:val="23"/>
          <w:szCs w:val="23"/>
          <w:rtl/>
        </w:rPr>
        <w:t xml:space="preserve"> </w:t>
      </w:r>
      <w:r w:rsidRPr="00A40DDC">
        <w:rPr>
          <w:rFonts w:eastAsiaTheme="minorEastAsia" w:hint="cs"/>
          <w:i/>
          <w:sz w:val="23"/>
          <w:szCs w:val="23"/>
          <w:rtl/>
        </w:rPr>
        <w:t xml:space="preserve">داریم: </w:t>
      </w:r>
    </w:p>
    <w:p w14:paraId="51F296E0"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30"/>
        </w:rPr>
        <w:object w:dxaOrig="6660" w:dyaOrig="700" w14:anchorId="2AF24FE4">
          <v:shape id="_x0000_i3641" type="#_x0000_t75" style="width:332.75pt;height:35.1pt" o:ole="">
            <v:imagedata r:id="rId5271" o:title=""/>
          </v:shape>
          <o:OLEObject Type="Embed" ProgID="Equation.DSMT4" ShapeID="_x0000_i3641" DrawAspect="Content" ObjectID="_1791377585" r:id="rId5272"/>
        </w:object>
      </w:r>
    </w:p>
    <w:p w14:paraId="6292EAF0" w14:textId="77777777" w:rsidR="00411620" w:rsidRPr="00A40DDC" w:rsidRDefault="00411620" w:rsidP="00411620">
      <w:pPr>
        <w:pStyle w:val="MTDisplayEquation"/>
        <w:bidi/>
        <w:spacing w:line="216" w:lineRule="auto"/>
        <w:rPr>
          <w:rFonts w:ascii="Times New Roman" w:eastAsiaTheme="minorEastAsia" w:hAnsi="Times New Roman" w:cs="B Nazanin"/>
          <w:i/>
          <w:sz w:val="23"/>
          <w:szCs w:val="23"/>
          <w:lang w:bidi="fa-IR"/>
        </w:rPr>
      </w:pPr>
      <w:r w:rsidRPr="00A40DDC">
        <w:rPr>
          <w:rFonts w:ascii="Times New Roman" w:eastAsiaTheme="minorEastAsia" w:hAnsi="Times New Roman" w:cs="B Nazanin" w:hint="cs"/>
          <w:i/>
          <w:sz w:val="23"/>
          <w:szCs w:val="23"/>
          <w:rtl/>
          <w:lang w:bidi="fa-IR"/>
        </w:rPr>
        <w:lastRenderedPageBreak/>
        <w:t xml:space="preserve">اگر </w:t>
      </w:r>
      <w:r w:rsidRPr="00A40DDC">
        <w:rPr>
          <w:position w:val="-28"/>
        </w:rPr>
        <w:object w:dxaOrig="2040" w:dyaOrig="680" w14:anchorId="2CEF9607">
          <v:shape id="_x0000_i3642" type="#_x0000_t75" style="width:102.25pt;height:33.9pt" o:ole="">
            <v:imagedata r:id="rId5273" o:title=""/>
          </v:shape>
          <o:OLEObject Type="Embed" ProgID="Equation.DSMT4" ShapeID="_x0000_i3642" DrawAspect="Content" ObjectID="_1791377586" r:id="rId5274"/>
        </w:object>
      </w:r>
      <w:r w:rsidRPr="00A40DDC">
        <w:rPr>
          <w:rFonts w:ascii="Times New Roman" w:eastAsiaTheme="minorEastAsia" w:hAnsi="Times New Roman" w:cs="B Nazanin"/>
          <w:i/>
          <w:sz w:val="23"/>
          <w:szCs w:val="23"/>
          <w:lang w:bidi="fa-IR"/>
        </w:rPr>
        <w:t xml:space="preserve"> </w:t>
      </w:r>
      <w:r w:rsidRPr="00A40DDC">
        <w:rPr>
          <w:rFonts w:ascii="Times New Roman" w:eastAsiaTheme="minorEastAsia" w:hAnsi="Times New Roman" w:cs="B Nazanin" w:hint="cs"/>
          <w:i/>
          <w:sz w:val="23"/>
          <w:szCs w:val="23"/>
          <w:rtl/>
          <w:lang w:bidi="fa-IR"/>
        </w:rPr>
        <w:t>باشد، آنگاه</w:t>
      </w:r>
    </w:p>
    <w:p w14:paraId="394BD1AE" w14:textId="77777777" w:rsidR="00411620" w:rsidRPr="00A40DDC" w:rsidRDefault="00411620" w:rsidP="00411620">
      <w:pPr>
        <w:bidi w:val="0"/>
        <w:spacing w:line="216" w:lineRule="auto"/>
        <w:rPr>
          <w:rFonts w:eastAsiaTheme="minorEastAsia"/>
          <w:i/>
          <w:sz w:val="23"/>
          <w:szCs w:val="23"/>
        </w:rPr>
      </w:pPr>
      <w:r w:rsidRPr="00A40DDC">
        <w:rPr>
          <w:position w:val="-28"/>
        </w:rPr>
        <w:object w:dxaOrig="2940" w:dyaOrig="680" w14:anchorId="7E5B46DB">
          <v:shape id="_x0000_i3643" type="#_x0000_t75" style="width:147.05pt;height:33.9pt" o:ole="">
            <v:imagedata r:id="rId5275" o:title=""/>
          </v:shape>
          <o:OLEObject Type="Embed" ProgID="Equation.DSMT4" ShapeID="_x0000_i3643" DrawAspect="Content" ObjectID="_1791377587" r:id="rId5276"/>
        </w:object>
      </w:r>
      <w:r w:rsidRPr="00A40DDC">
        <w:rPr>
          <w:rFonts w:eastAsiaTheme="minorEastAsia"/>
          <w:i/>
          <w:sz w:val="23"/>
          <w:szCs w:val="23"/>
        </w:rPr>
        <w:t xml:space="preserve"> </w:t>
      </w:r>
    </w:p>
    <w:p w14:paraId="2CB7C78B" w14:textId="77777777" w:rsidR="00411620" w:rsidRPr="00A40DDC" w:rsidRDefault="00411620" w:rsidP="00411620">
      <w:pPr>
        <w:spacing w:line="216" w:lineRule="auto"/>
        <w:rPr>
          <w:rFonts w:eastAsiaTheme="minorEastAsia"/>
          <w:i/>
          <w:sz w:val="23"/>
          <w:szCs w:val="23"/>
        </w:rPr>
      </w:pPr>
      <w:r w:rsidRPr="00A40DDC">
        <w:rPr>
          <w:rFonts w:eastAsiaTheme="minorEastAsia" w:hint="cs"/>
          <w:i/>
          <w:sz w:val="23"/>
          <w:szCs w:val="23"/>
          <w:rtl/>
        </w:rPr>
        <w:t>یعنی خالص دارایی</w:t>
      </w:r>
      <w:r w:rsidRPr="00A40DDC">
        <w:rPr>
          <w:rFonts w:eastAsiaTheme="minorEastAsia"/>
          <w:i/>
          <w:sz w:val="23"/>
          <w:szCs w:val="23"/>
          <w:rtl/>
        </w:rPr>
        <w:softHyphen/>
      </w:r>
      <w:r w:rsidRPr="00A40DDC">
        <w:rPr>
          <w:rFonts w:eastAsiaTheme="minorEastAsia" w:hint="cs"/>
          <w:i/>
          <w:sz w:val="23"/>
          <w:szCs w:val="23"/>
          <w:rtl/>
        </w:rPr>
        <w:t xml:space="preserve">های خارجی در زمان </w:t>
      </w:r>
      <w:r w:rsidRPr="00A40DDC">
        <w:rPr>
          <w:rFonts w:eastAsiaTheme="minorEastAsia"/>
          <w:i/>
          <w:sz w:val="23"/>
          <w:szCs w:val="23"/>
        </w:rPr>
        <w:t>t+2</w:t>
      </w:r>
      <w:r w:rsidRPr="00A40DDC">
        <w:rPr>
          <w:rFonts w:eastAsiaTheme="minorEastAsia" w:hint="cs"/>
          <w:i/>
          <w:sz w:val="23"/>
          <w:szCs w:val="23"/>
          <w:rtl/>
        </w:rPr>
        <w:t xml:space="preserve"> بیشتر از زمان </w:t>
      </w:r>
      <w:r w:rsidRPr="00A40DDC">
        <w:rPr>
          <w:rFonts w:eastAsiaTheme="minorEastAsia"/>
          <w:i/>
          <w:sz w:val="23"/>
          <w:szCs w:val="23"/>
        </w:rPr>
        <w:t>t+1</w:t>
      </w:r>
      <w:r w:rsidRPr="00A40DDC">
        <w:rPr>
          <w:rFonts w:eastAsiaTheme="minorEastAsia" w:hint="cs"/>
          <w:i/>
          <w:sz w:val="23"/>
          <w:szCs w:val="23"/>
          <w:rtl/>
        </w:rPr>
        <w:t xml:space="preserve"> ولی کمتر از زمان </w:t>
      </w:r>
      <w:r w:rsidRPr="00A40DDC">
        <w:rPr>
          <w:rFonts w:eastAsiaTheme="minorEastAsia"/>
          <w:i/>
          <w:sz w:val="23"/>
          <w:szCs w:val="23"/>
        </w:rPr>
        <w:t>t</w:t>
      </w:r>
      <w:r w:rsidRPr="00A40DDC">
        <w:rPr>
          <w:rFonts w:eastAsiaTheme="minorEastAsia" w:hint="cs"/>
          <w:i/>
          <w:sz w:val="23"/>
          <w:szCs w:val="23"/>
          <w:rtl/>
        </w:rPr>
        <w:t xml:space="preserve"> است. به طور کلی </w:t>
      </w:r>
    </w:p>
    <w:p w14:paraId="216EF657" w14:textId="77777777" w:rsidR="00411620" w:rsidRPr="00A40DDC" w:rsidRDefault="00411620" w:rsidP="00411620">
      <w:pPr>
        <w:bidi w:val="0"/>
        <w:spacing w:line="216" w:lineRule="auto"/>
        <w:rPr>
          <w:rFonts w:eastAsiaTheme="minorEastAsia"/>
          <w:i/>
          <w:sz w:val="23"/>
          <w:szCs w:val="23"/>
        </w:rPr>
      </w:pPr>
      <w:r w:rsidRPr="00A40DDC">
        <w:rPr>
          <w:position w:val="-28"/>
        </w:rPr>
        <w:object w:dxaOrig="2780" w:dyaOrig="720" w14:anchorId="0EBA483B">
          <v:shape id="_x0000_i3644" type="#_x0000_t75" style="width:139.15pt;height:36.3pt" o:ole="">
            <v:imagedata r:id="rId5277" o:title=""/>
          </v:shape>
          <o:OLEObject Type="Embed" ProgID="Equation.DSMT4" ShapeID="_x0000_i3644" DrawAspect="Content" ObjectID="_1791377588" r:id="rId5278"/>
        </w:object>
      </w:r>
      <w:r w:rsidRPr="00A40DDC">
        <w:rPr>
          <w:rFonts w:eastAsiaTheme="minorEastAsia" w:hint="cs"/>
          <w:i/>
          <w:sz w:val="23"/>
          <w:szCs w:val="23"/>
          <w:rtl/>
        </w:rPr>
        <w:t xml:space="preserve"> </w:t>
      </w:r>
    </w:p>
    <w:p w14:paraId="38ED2F16" w14:textId="77777777" w:rsidR="00411620" w:rsidRPr="00A40DDC" w:rsidRDefault="00411620" w:rsidP="00411620">
      <w:pPr>
        <w:spacing w:line="216" w:lineRule="auto"/>
        <w:rPr>
          <w:rFonts w:eastAsiaTheme="minorEastAsia"/>
          <w:i/>
          <w:sz w:val="23"/>
          <w:szCs w:val="23"/>
        </w:rPr>
      </w:pPr>
      <w:r w:rsidRPr="00A40DDC">
        <w:rPr>
          <w:rFonts w:eastAsiaTheme="minorEastAsia" w:hint="cs"/>
          <w:i/>
          <w:sz w:val="23"/>
          <w:szCs w:val="23"/>
          <w:rtl/>
        </w:rPr>
        <w:t xml:space="preserve"> و</w:t>
      </w:r>
    </w:p>
    <w:p w14:paraId="7E3443C4" w14:textId="77777777" w:rsidR="00411620" w:rsidRPr="00A40DDC" w:rsidRDefault="00411620" w:rsidP="00411620">
      <w:pPr>
        <w:bidi w:val="0"/>
        <w:spacing w:line="216" w:lineRule="auto"/>
        <w:rPr>
          <w:rFonts w:eastAsiaTheme="minorEastAsia"/>
          <w:i/>
          <w:sz w:val="23"/>
          <w:szCs w:val="23"/>
          <w:rtl/>
        </w:rPr>
      </w:pPr>
      <w:r w:rsidRPr="00A40DDC">
        <w:rPr>
          <w:position w:val="-18"/>
        </w:rPr>
        <w:object w:dxaOrig="1080" w:dyaOrig="400" w14:anchorId="1B71BEE7">
          <v:shape id="_x0000_i3645" type="#_x0000_t75" style="width:54.45pt;height:19.95pt" o:ole="">
            <v:imagedata r:id="rId5279" o:title=""/>
          </v:shape>
          <o:OLEObject Type="Embed" ProgID="Equation.DSMT4" ShapeID="_x0000_i3645" DrawAspect="Content" ObjectID="_1791377589" r:id="rId5280"/>
        </w:object>
      </w:r>
    </w:p>
    <w:p w14:paraId="3618C22C"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بنابراین اگرچه موجودی خالص دارایی‌های خارجی در ابتدا کاهش می‌یابد ولی در دوره‌های بعد به مقدار تعادلی اولیه خود باز خواهد گشت.</w:t>
      </w:r>
    </w:p>
    <w:p w14:paraId="6EDDD125"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اکنون شوک دائمی صادرات را با</w:t>
      </w:r>
      <w:r w:rsidRPr="00A40DDC">
        <w:rPr>
          <w:position w:val="-8"/>
        </w:rPr>
        <w:object w:dxaOrig="240" w:dyaOrig="279" w14:anchorId="75B5519F">
          <v:shape id="_x0000_i3646" type="#_x0000_t75" style="width:11.5pt;height:13.9pt" o:ole="">
            <v:imagedata r:id="rId5281" o:title=""/>
          </v:shape>
          <o:OLEObject Type="Embed" ProgID="Equation.DSMT4" ShapeID="_x0000_i3646" DrawAspect="Content" ObjectID="_1791377590" r:id="rId5282"/>
        </w:object>
      </w:r>
      <w:r w:rsidRPr="00A40DDC">
        <w:rPr>
          <w:rFonts w:eastAsiaTheme="minorEastAsia" w:hint="cs"/>
          <w:i/>
          <w:sz w:val="23"/>
          <w:szCs w:val="23"/>
          <w:rtl/>
        </w:rPr>
        <w:t xml:space="preserve"> یا</w:t>
      </w:r>
      <w:r w:rsidRPr="00A40DDC">
        <w:rPr>
          <w:position w:val="-6"/>
        </w:rPr>
        <w:object w:dxaOrig="540" w:dyaOrig="260" w14:anchorId="48093952">
          <v:shape id="_x0000_i3647" type="#_x0000_t75" style="width:26.6pt;height:13.3pt" o:ole="">
            <v:imagedata r:id="rId5283" o:title=""/>
          </v:shape>
          <o:OLEObject Type="Embed" ProgID="Equation.DSMT4" ShapeID="_x0000_i3647" DrawAspect="Content" ObjectID="_1791377591" r:id="rId5284"/>
        </w:object>
      </w:r>
      <w:r w:rsidRPr="00A40DDC">
        <w:rPr>
          <w:rFonts w:eastAsiaTheme="minorEastAsia" w:hint="cs"/>
          <w:i/>
          <w:sz w:val="23"/>
          <w:szCs w:val="23"/>
          <w:rtl/>
        </w:rPr>
        <w:t xml:space="preserve"> ثابت و متغیر بررسی خواهیم کرد. اگر</w:t>
      </w:r>
      <w:r w:rsidRPr="00A40DDC">
        <w:rPr>
          <w:position w:val="-8"/>
        </w:rPr>
        <w:object w:dxaOrig="240" w:dyaOrig="279" w14:anchorId="24E8E2AC">
          <v:shape id="_x0000_i3648" type="#_x0000_t75" style="width:11.5pt;height:13.9pt" o:ole="">
            <v:imagedata r:id="rId5285" o:title=""/>
          </v:shape>
          <o:OLEObject Type="Embed" ProgID="Equation.DSMT4" ShapeID="_x0000_i3648" DrawAspect="Content" ObjectID="_1791377592" r:id="rId5286"/>
        </w:object>
      </w:r>
      <w:r w:rsidRPr="00A40DDC">
        <w:rPr>
          <w:rFonts w:eastAsiaTheme="minorEastAsia" w:hint="cs"/>
          <w:i/>
          <w:sz w:val="23"/>
          <w:szCs w:val="23"/>
          <w:rtl/>
        </w:rPr>
        <w:t xml:space="preserve"> ثابت باشد و</w:t>
      </w:r>
      <w:r w:rsidRPr="00A40DDC">
        <w:rPr>
          <w:position w:val="-10"/>
        </w:rPr>
        <w:object w:dxaOrig="240" w:dyaOrig="320" w14:anchorId="154C98D5">
          <v:shape id="_x0000_i3649" type="#_x0000_t75" style="width:11.5pt;height:15.75pt" o:ole="">
            <v:imagedata r:id="rId5287" o:title=""/>
          </v:shape>
          <o:OLEObject Type="Embed" ProgID="Equation.DSMT4" ShapeID="_x0000_i3649" DrawAspect="Content" ObjectID="_1791377593" r:id="rId5288"/>
        </w:object>
      </w:r>
      <w:r w:rsidRPr="00A40DDC">
        <w:rPr>
          <w:rFonts w:eastAsiaTheme="minorEastAsia" w:hint="cs"/>
          <w:i/>
          <w:sz w:val="23"/>
          <w:szCs w:val="23"/>
          <w:rtl/>
        </w:rPr>
        <w:t xml:space="preserve"> به</w:t>
      </w:r>
      <w:r w:rsidRPr="00A40DDC">
        <w:rPr>
          <w:rFonts w:eastAsiaTheme="minorEastAsia"/>
          <w:i/>
          <w:sz w:val="23"/>
          <w:szCs w:val="23"/>
          <w:rtl/>
        </w:rPr>
        <w:softHyphen/>
      </w:r>
      <w:r w:rsidRPr="00A40DDC">
        <w:rPr>
          <w:rFonts w:eastAsiaTheme="minorEastAsia" w:hint="cs"/>
          <w:i/>
          <w:sz w:val="23"/>
          <w:szCs w:val="23"/>
          <w:rtl/>
        </w:rPr>
        <w:t>طور دائمی به میزان</w:t>
      </w:r>
      <w:r w:rsidRPr="00A40DDC">
        <w:rPr>
          <w:position w:val="-10"/>
        </w:rPr>
        <w:object w:dxaOrig="360" w:dyaOrig="320" w14:anchorId="368FEDA2">
          <v:shape id="_x0000_i3650" type="#_x0000_t75" style="width:18.15pt;height:15.75pt" o:ole="">
            <v:imagedata r:id="rId5289" o:title=""/>
          </v:shape>
          <o:OLEObject Type="Embed" ProgID="Equation.DSMT4" ShapeID="_x0000_i3650" DrawAspect="Content" ObjectID="_1791377594" r:id="rId5290"/>
        </w:object>
      </w:r>
      <w:r w:rsidRPr="00A40DDC">
        <w:rPr>
          <w:rFonts w:eastAsiaTheme="minorEastAsia" w:hint="cs"/>
          <w:i/>
          <w:sz w:val="23"/>
          <w:szCs w:val="23"/>
          <w:rtl/>
        </w:rPr>
        <w:t xml:space="preserve"> افزایش یابد،</w:t>
      </w:r>
      <w:r w:rsidRPr="00A40DDC">
        <w:rPr>
          <w:rFonts w:eastAsiaTheme="minorEastAsia"/>
          <w:i/>
          <w:sz w:val="23"/>
          <w:szCs w:val="23"/>
        </w:rPr>
        <w:t xml:space="preserve"> </w:t>
      </w:r>
      <w:r w:rsidRPr="00A40DDC">
        <w:rPr>
          <w:rFonts w:eastAsiaTheme="minorEastAsia" w:hint="cs"/>
          <w:i/>
          <w:sz w:val="23"/>
          <w:szCs w:val="23"/>
          <w:rtl/>
        </w:rPr>
        <w:t xml:space="preserve">با فرض واردات داده شده، این شوک باعث افزایش خالص موجودی دارایی‌های خارجی خواهد شد. از رابطه </w:t>
      </w:r>
      <w:r w:rsidRPr="00A40DDC">
        <w:rPr>
          <w:rFonts w:hint="cs"/>
          <w:i/>
          <w:sz w:val="23"/>
          <w:szCs w:val="23"/>
          <w:rtl/>
        </w:rPr>
        <w:t>(۷. ۵)</w:t>
      </w:r>
      <w:r w:rsidRPr="00A40DDC">
        <w:rPr>
          <w:rFonts w:eastAsiaTheme="minorEastAsia" w:hint="cs"/>
          <w:i/>
          <w:sz w:val="23"/>
          <w:szCs w:val="23"/>
          <w:rtl/>
        </w:rPr>
        <w:t xml:space="preserve"> داریم:</w:t>
      </w:r>
    </w:p>
    <w:p w14:paraId="4EAD7D5D" w14:textId="77777777" w:rsidR="00411620" w:rsidRPr="00A40DDC" w:rsidRDefault="00411620" w:rsidP="00411620">
      <w:pPr>
        <w:pStyle w:val="MTDisplayEquation"/>
        <w:spacing w:line="216" w:lineRule="auto"/>
        <w:rPr>
          <w:rFonts w:ascii="Times New Roman" w:hAnsi="Times New Roman" w:cs="B Nazanin"/>
          <w:i/>
          <w:sz w:val="23"/>
          <w:szCs w:val="23"/>
          <w:rtl/>
        </w:rPr>
      </w:pPr>
      <w:r w:rsidRPr="00A40DDC">
        <w:rPr>
          <w:position w:val="-16"/>
        </w:rPr>
        <w:object w:dxaOrig="3720" w:dyaOrig="420" w14:anchorId="4A9C39EA">
          <v:shape id="_x0000_i3651" type="#_x0000_t75" style="width:185.75pt;height:21.2pt" o:ole="">
            <v:imagedata r:id="rId5291" o:title=""/>
          </v:shape>
          <o:OLEObject Type="Embed" ProgID="Equation.DSMT4" ShapeID="_x0000_i3651" DrawAspect="Content" ObjectID="_1791377595" r:id="rId5292"/>
        </w:object>
      </w:r>
    </w:p>
    <w:p w14:paraId="70AF3B9D" w14:textId="77777777" w:rsidR="00411620" w:rsidRPr="00A40DDC" w:rsidRDefault="00411620" w:rsidP="00411620">
      <w:pPr>
        <w:spacing w:line="216" w:lineRule="auto"/>
        <w:rPr>
          <w:i/>
          <w:sz w:val="23"/>
          <w:szCs w:val="23"/>
        </w:rPr>
      </w:pPr>
      <w:r w:rsidRPr="00A40DDC">
        <w:rPr>
          <w:i/>
          <w:sz w:val="23"/>
          <w:szCs w:val="23"/>
          <w:rtl/>
        </w:rPr>
        <w:t>و</w:t>
      </w:r>
      <w:r w:rsidRPr="00A40DDC">
        <w:rPr>
          <w:rFonts w:hint="cs"/>
          <w:i/>
          <w:sz w:val="23"/>
          <w:szCs w:val="23"/>
          <w:rtl/>
        </w:rPr>
        <w:t xml:space="preserve"> به</w:t>
      </w:r>
      <w:r w:rsidRPr="00A40DDC">
        <w:rPr>
          <w:i/>
          <w:sz w:val="23"/>
          <w:szCs w:val="23"/>
          <w:rtl/>
        </w:rPr>
        <w:softHyphen/>
      </w:r>
      <w:r w:rsidRPr="00A40DDC">
        <w:rPr>
          <w:rFonts w:hint="cs"/>
          <w:i/>
          <w:sz w:val="23"/>
          <w:szCs w:val="23"/>
          <w:rtl/>
        </w:rPr>
        <w:t>طور کلی</w:t>
      </w:r>
    </w:p>
    <w:p w14:paraId="0D8EE648" w14:textId="77777777" w:rsidR="00411620" w:rsidRPr="00A40DDC" w:rsidRDefault="00411620" w:rsidP="00411620">
      <w:pPr>
        <w:spacing w:line="216" w:lineRule="auto"/>
        <w:jc w:val="right"/>
        <w:rPr>
          <w:rFonts w:eastAsiaTheme="minorEastAsia"/>
          <w:i/>
          <w:sz w:val="23"/>
          <w:szCs w:val="23"/>
        </w:rPr>
      </w:pPr>
      <w:r w:rsidRPr="00A40DDC">
        <w:rPr>
          <w:position w:val="-22"/>
        </w:rPr>
        <w:object w:dxaOrig="2260" w:dyaOrig="720" w14:anchorId="6666AC95">
          <v:shape id="_x0000_i3652" type="#_x0000_t75" style="width:113.15pt;height:36.3pt" o:ole="">
            <v:imagedata r:id="rId5293" o:title=""/>
          </v:shape>
          <o:OLEObject Type="Embed" ProgID="Equation.DSMT4" ShapeID="_x0000_i3652" DrawAspect="Content" ObjectID="_1791377596" r:id="rId5294"/>
        </w:object>
      </w:r>
      <w:r w:rsidRPr="00A40DDC">
        <w:rPr>
          <w:rFonts w:eastAsiaTheme="minorEastAsia"/>
          <w:i/>
          <w:sz w:val="23"/>
          <w:szCs w:val="23"/>
          <w:rtl/>
        </w:rPr>
        <w:t xml:space="preserve">. </w:t>
      </w:r>
    </w:p>
    <w:p w14:paraId="3E250F87"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لذا اگر واردات ثابت باشد،</w:t>
      </w:r>
      <w:r w:rsidRPr="00A40DDC">
        <w:rPr>
          <w:position w:val="-10"/>
        </w:rPr>
        <w:object w:dxaOrig="340" w:dyaOrig="320" w14:anchorId="0BF7C386">
          <v:shape id="_x0000_i3653" type="#_x0000_t75" style="width:16.95pt;height:15.75pt" o:ole="">
            <v:imagedata r:id="rId5295" o:title=""/>
          </v:shape>
          <o:OLEObject Type="Embed" ProgID="Equation.DSMT4" ShapeID="_x0000_i3653" DrawAspect="Content" ObjectID="_1791377597" r:id="rId5296"/>
        </w:object>
      </w:r>
      <w:r w:rsidRPr="00A40DDC">
        <w:rPr>
          <w:rFonts w:eastAsiaTheme="minorEastAsia" w:hint="cs"/>
          <w:i/>
          <w:sz w:val="23"/>
          <w:szCs w:val="23"/>
          <w:rtl/>
        </w:rPr>
        <w:t xml:space="preserve"> منبسط خواهد شد. البته افزایش در خالص دارایی‌های خارجی باعث افزایش واردات و مصرف و سرمایه</w:t>
      </w:r>
      <w:r w:rsidRPr="00A40DDC">
        <w:rPr>
          <w:rFonts w:eastAsiaTheme="minorEastAsia"/>
          <w:i/>
          <w:sz w:val="23"/>
          <w:szCs w:val="23"/>
          <w:rtl/>
        </w:rPr>
        <w:softHyphen/>
      </w:r>
      <w:r w:rsidRPr="00A40DDC">
        <w:rPr>
          <w:rFonts w:eastAsiaTheme="minorEastAsia" w:hint="cs"/>
          <w:i/>
          <w:sz w:val="23"/>
          <w:szCs w:val="23"/>
          <w:rtl/>
        </w:rPr>
        <w:t>گذاری خواهد شد. این افزایش باید برابر با افزایش صادرات باشد تا این</w:t>
      </w:r>
      <w:r w:rsidRPr="00A40DDC">
        <w:rPr>
          <w:rFonts w:eastAsiaTheme="minorEastAsia"/>
          <w:i/>
          <w:sz w:val="23"/>
          <w:szCs w:val="23"/>
          <w:rtl/>
        </w:rPr>
        <w:softHyphen/>
      </w:r>
      <w:r w:rsidRPr="00A40DDC">
        <w:rPr>
          <w:rFonts w:eastAsiaTheme="minorEastAsia" w:hint="cs"/>
          <w:i/>
          <w:sz w:val="23"/>
          <w:szCs w:val="23"/>
          <w:rtl/>
        </w:rPr>
        <w:t>که دارایی‌های خارجی باثبات باشد. لذا واردات می‌باید به</w:t>
      </w:r>
      <w:r w:rsidRPr="00A40DDC">
        <w:rPr>
          <w:rFonts w:eastAsiaTheme="minorEastAsia"/>
          <w:i/>
          <w:sz w:val="23"/>
          <w:szCs w:val="23"/>
          <w:rtl/>
        </w:rPr>
        <w:softHyphen/>
      </w:r>
      <w:r w:rsidRPr="00A40DDC">
        <w:rPr>
          <w:rFonts w:eastAsiaTheme="minorEastAsia" w:hint="cs"/>
          <w:i/>
          <w:sz w:val="23"/>
          <w:szCs w:val="23"/>
          <w:rtl/>
        </w:rPr>
        <w:t xml:space="preserve">طور دائمی با نسبت </w:t>
      </w:r>
      <w:r w:rsidRPr="00A40DDC">
        <w:rPr>
          <w:position w:val="-10"/>
        </w:rPr>
        <w:object w:dxaOrig="1140" w:dyaOrig="340" w14:anchorId="3B1494AB">
          <v:shape id="_x0000_i3654" type="#_x0000_t75" style="width:57.5pt;height:16.95pt" o:ole="">
            <v:imagedata r:id="rId5297" o:title=""/>
          </v:shape>
          <o:OLEObject Type="Embed" ProgID="Equation.DSMT4" ShapeID="_x0000_i3654" DrawAspect="Content" ObjectID="_1791377598" r:id="rId5298"/>
        </w:object>
      </w:r>
      <w:r w:rsidRPr="00A40DDC">
        <w:rPr>
          <w:rFonts w:eastAsiaTheme="minorEastAsia" w:hint="cs"/>
          <w:i/>
          <w:sz w:val="23"/>
          <w:szCs w:val="23"/>
          <w:rtl/>
        </w:rPr>
        <w:t xml:space="preserve"> افزایش یابد تا خالص دارایی‌های خارجی بدون تغییر بماند. اکنون سوالی که مطرح می</w:t>
      </w:r>
      <w:r w:rsidRPr="00A40DDC">
        <w:rPr>
          <w:rFonts w:eastAsiaTheme="minorEastAsia"/>
          <w:i/>
          <w:sz w:val="23"/>
          <w:szCs w:val="23"/>
          <w:rtl/>
        </w:rPr>
        <w:softHyphen/>
      </w:r>
      <w:r w:rsidRPr="00A40DDC">
        <w:rPr>
          <w:rFonts w:eastAsiaTheme="minorEastAsia" w:hint="cs"/>
          <w:i/>
          <w:sz w:val="23"/>
          <w:szCs w:val="23"/>
          <w:rtl/>
        </w:rPr>
        <w:t>شود این است که واردات چگونه افزایش می‌یابد؟ واردات به</w:t>
      </w:r>
      <w:r w:rsidRPr="00A40DDC">
        <w:rPr>
          <w:position w:val="-8"/>
        </w:rPr>
        <w:object w:dxaOrig="240" w:dyaOrig="279" w14:anchorId="1F982550">
          <v:shape id="_x0000_i3655" type="#_x0000_t75" style="width:11.5pt;height:13.9pt" o:ole="">
            <v:imagedata r:id="rId5299" o:title=""/>
          </v:shape>
          <o:OLEObject Type="Embed" ProgID="Equation.DSMT4" ShapeID="_x0000_i3655" DrawAspect="Content" ObjectID="_1791377599" r:id="rId5300"/>
        </w:object>
      </w:r>
      <w:r w:rsidRPr="00A40DDC">
        <w:rPr>
          <w:rFonts w:eastAsiaTheme="minorEastAsia" w:hint="cs"/>
          <w:i/>
          <w:sz w:val="23"/>
          <w:szCs w:val="23"/>
          <w:rtl/>
        </w:rPr>
        <w:t xml:space="preserve"> وابسته است ولی تاکنون فرض کردیم</w:t>
      </w:r>
      <w:r w:rsidRPr="00A40DDC">
        <w:rPr>
          <w:rFonts w:eastAsiaTheme="minorEastAsia"/>
          <w:i/>
          <w:sz w:val="23"/>
          <w:szCs w:val="23"/>
        </w:rPr>
        <w:t xml:space="preserve"> </w:t>
      </w:r>
      <w:r w:rsidRPr="00A40DDC">
        <w:rPr>
          <w:rFonts w:eastAsiaTheme="minorEastAsia" w:hint="cs"/>
          <w:i/>
          <w:sz w:val="23"/>
          <w:szCs w:val="23"/>
          <w:rtl/>
        </w:rPr>
        <w:t>که</w:t>
      </w:r>
      <w:r w:rsidRPr="00A40DDC">
        <w:rPr>
          <w:position w:val="-8"/>
        </w:rPr>
        <w:object w:dxaOrig="240" w:dyaOrig="279" w14:anchorId="2ADC2297">
          <v:shape id="_x0000_i3656" type="#_x0000_t75" style="width:11.5pt;height:13.9pt" o:ole="">
            <v:imagedata r:id="rId5301" o:title=""/>
          </v:shape>
          <o:OLEObject Type="Embed" ProgID="Equation.DSMT4" ShapeID="_x0000_i3656" DrawAspect="Content" ObjectID="_1791377600" r:id="rId5302"/>
        </w:object>
      </w:r>
      <w:r w:rsidRPr="00A40DDC">
        <w:rPr>
          <w:rFonts w:eastAsiaTheme="minorEastAsia" w:hint="cs"/>
          <w:i/>
          <w:sz w:val="23"/>
          <w:szCs w:val="23"/>
          <w:rtl/>
        </w:rPr>
        <w:t xml:space="preserve"> ثابت است. لذا شرایطی را بررسی می‌کنیم که</w:t>
      </w:r>
      <w:r w:rsidRPr="00A40DDC">
        <w:rPr>
          <w:position w:val="-8"/>
        </w:rPr>
        <w:object w:dxaOrig="240" w:dyaOrig="279" w14:anchorId="5A27BAFE">
          <v:shape id="_x0000_i3657" type="#_x0000_t75" style="width:11.5pt;height:13.9pt" o:ole="">
            <v:imagedata r:id="rId5303" o:title=""/>
          </v:shape>
          <o:OLEObject Type="Embed" ProgID="Equation.DSMT4" ShapeID="_x0000_i3657" DrawAspect="Content" ObjectID="_1791377601" r:id="rId5304"/>
        </w:object>
      </w:r>
      <w:r w:rsidRPr="00A40DDC">
        <w:rPr>
          <w:rFonts w:hint="cs"/>
          <w:i/>
          <w:sz w:val="23"/>
          <w:szCs w:val="23"/>
          <w:rtl/>
        </w:rPr>
        <w:t xml:space="preserve"> </w:t>
      </w:r>
      <w:r w:rsidRPr="00A40DDC">
        <w:rPr>
          <w:rFonts w:eastAsiaTheme="minorEastAsia" w:hint="cs"/>
          <w:i/>
          <w:sz w:val="23"/>
          <w:szCs w:val="23"/>
          <w:rtl/>
        </w:rPr>
        <w:t>و به تبع آن واردات تغییر کنند.</w:t>
      </w:r>
    </w:p>
    <w:p w14:paraId="2ED190CD" w14:textId="77777777" w:rsidR="00411620" w:rsidRPr="00A40DDC" w:rsidRDefault="00411620" w:rsidP="00411620">
      <w:pPr>
        <w:spacing w:line="216" w:lineRule="auto"/>
        <w:rPr>
          <w:rFonts w:eastAsiaTheme="minorEastAsia"/>
          <w:i/>
          <w:sz w:val="23"/>
          <w:szCs w:val="23"/>
          <w:vertAlign w:val="subscript"/>
          <w:rtl/>
        </w:rPr>
      </w:pPr>
      <w:r w:rsidRPr="00A40DDC">
        <w:rPr>
          <w:rFonts w:eastAsiaTheme="minorEastAsia" w:hint="cs"/>
          <w:i/>
          <w:sz w:val="23"/>
          <w:szCs w:val="23"/>
          <w:rtl/>
        </w:rPr>
        <w:t>اگر فرض ‌کنیم صادرات و واردات به</w:t>
      </w:r>
      <w:r w:rsidRPr="00A40DDC">
        <w:rPr>
          <w:position w:val="-10"/>
        </w:rPr>
        <w:object w:dxaOrig="260" w:dyaOrig="320" w14:anchorId="413D8EB2">
          <v:shape id="_x0000_i3658" type="#_x0000_t75" style="width:13.3pt;height:15.75pt" o:ole="">
            <v:imagedata r:id="rId5305" o:title=""/>
          </v:shape>
          <o:OLEObject Type="Embed" ProgID="Equation.DSMT4" ShapeID="_x0000_i3658" DrawAspect="Content" ObjectID="_1791377602" r:id="rId5306"/>
        </w:object>
      </w:r>
      <w:r w:rsidRPr="00A40DDC">
        <w:rPr>
          <w:rFonts w:eastAsiaTheme="minorEastAsia" w:hint="cs"/>
          <w:i/>
          <w:sz w:val="23"/>
          <w:szCs w:val="23"/>
          <w:rtl/>
        </w:rPr>
        <w:t xml:space="preserve"> وابسته است، آنگاه توابع صادرات و واردات عبارتند از:</w:t>
      </w:r>
      <w:r w:rsidRPr="00A40DDC">
        <w:rPr>
          <w:rFonts w:eastAsiaTheme="minorEastAsia"/>
          <w:i/>
          <w:sz w:val="23"/>
          <w:szCs w:val="23"/>
        </w:rPr>
        <w:t xml:space="preserve"> </w:t>
      </w:r>
    </w:p>
    <w:p w14:paraId="38ACCB62"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12"/>
        </w:rPr>
        <w:object w:dxaOrig="2659" w:dyaOrig="360" w14:anchorId="71981622">
          <v:shape id="_x0000_i3659" type="#_x0000_t75" style="width:133.1pt;height:18.15pt" o:ole="">
            <v:imagedata r:id="rId5307" o:title=""/>
          </v:shape>
          <o:OLEObject Type="Embed" ProgID="Equation.DSMT4" ShapeID="_x0000_i3659" DrawAspect="Content" ObjectID="_1791377603" r:id="rId5308"/>
        </w:object>
      </w:r>
    </w:p>
    <w:p w14:paraId="5803504F"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12"/>
        </w:rPr>
        <w:object w:dxaOrig="2799" w:dyaOrig="360" w14:anchorId="7295FD86">
          <v:shape id="_x0000_i3660" type="#_x0000_t75" style="width:139.75pt;height:18.15pt" o:ole="">
            <v:imagedata r:id="rId5309" o:title=""/>
          </v:shape>
          <o:OLEObject Type="Embed" ProgID="Equation.DSMT4" ShapeID="_x0000_i3660" DrawAspect="Content" ObjectID="_1791377604" r:id="rId5310"/>
        </w:object>
      </w:r>
    </w:p>
    <w:p w14:paraId="122CBB26"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که در آن</w:t>
      </w:r>
      <w:r w:rsidRPr="00A40DDC">
        <w:rPr>
          <w:position w:val="-10"/>
        </w:rPr>
        <w:object w:dxaOrig="220" w:dyaOrig="320" w14:anchorId="7F2C0286">
          <v:shape id="_x0000_i3661" type="#_x0000_t75" style="width:10.9pt;height:15.75pt" o:ole="">
            <v:imagedata r:id="rId5311" o:title=""/>
          </v:shape>
          <o:OLEObject Type="Embed" ProgID="Equation.DSMT4" ShapeID="_x0000_i3661" DrawAspect="Content" ObjectID="_1791377605" r:id="rId5312"/>
        </w:object>
      </w:r>
      <w:r w:rsidRPr="00A40DDC">
        <w:rPr>
          <w:rFonts w:eastAsiaTheme="minorEastAsia" w:hint="cs"/>
          <w:i/>
          <w:sz w:val="23"/>
          <w:szCs w:val="23"/>
          <w:vertAlign w:val="subscript"/>
          <w:rtl/>
        </w:rPr>
        <w:t xml:space="preserve"> </w:t>
      </w:r>
      <w:r w:rsidRPr="00A40DDC">
        <w:rPr>
          <w:rFonts w:eastAsiaTheme="minorEastAsia" w:hint="cs"/>
          <w:i/>
          <w:sz w:val="23"/>
          <w:szCs w:val="23"/>
          <w:rtl/>
        </w:rPr>
        <w:t xml:space="preserve">متغیر برون </w:t>
      </w:r>
      <w:r w:rsidRPr="00A40DDC">
        <w:rPr>
          <w:rFonts w:eastAsiaTheme="minorEastAsia"/>
          <w:i/>
          <w:sz w:val="23"/>
          <w:szCs w:val="23"/>
          <w:rtl/>
        </w:rPr>
        <w:softHyphen/>
      </w:r>
      <w:r w:rsidRPr="00A40DDC">
        <w:rPr>
          <w:rFonts w:eastAsiaTheme="minorEastAsia" w:hint="cs"/>
          <w:i/>
          <w:sz w:val="23"/>
          <w:szCs w:val="23"/>
          <w:rtl/>
        </w:rPr>
        <w:t>زا می‌باشد. از طرفی داشتیم</w:t>
      </w:r>
      <w:r w:rsidRPr="00A40DDC">
        <w:rPr>
          <w:rFonts w:eastAsiaTheme="minorEastAsia"/>
          <w:i/>
          <w:sz w:val="23"/>
          <w:szCs w:val="23"/>
        </w:rPr>
        <w:t xml:space="preserve"> </w:t>
      </w:r>
      <w:r w:rsidRPr="00A40DDC">
        <w:rPr>
          <w:position w:val="-10"/>
        </w:rPr>
        <w:object w:dxaOrig="1240" w:dyaOrig="340" w14:anchorId="5669D0D4">
          <v:shape id="_x0000_i3662" type="#_x0000_t75" style="width:61.7pt;height:16.95pt" o:ole="">
            <v:imagedata r:id="rId5313" o:title=""/>
          </v:shape>
          <o:OLEObject Type="Embed" ProgID="Equation.DSMT4" ShapeID="_x0000_i3662" DrawAspect="Content" ObjectID="_1791377606" r:id="rId5314"/>
        </w:object>
      </w:r>
      <w:r w:rsidRPr="00A40DDC">
        <w:rPr>
          <w:rFonts w:eastAsiaTheme="minorEastAsia"/>
          <w:i/>
          <w:sz w:val="23"/>
          <w:szCs w:val="23"/>
        </w:rPr>
        <w:t xml:space="preserve"> </w:t>
      </w:r>
      <w:r w:rsidRPr="00A40DDC">
        <w:rPr>
          <w:rFonts w:eastAsiaTheme="minorEastAsia" w:hint="cs"/>
          <w:i/>
          <w:sz w:val="23"/>
          <w:szCs w:val="23"/>
          <w:rtl/>
        </w:rPr>
        <w:t>و از رابطه</w:t>
      </w:r>
      <w:r w:rsidRPr="00A40DDC">
        <w:rPr>
          <w:rFonts w:eastAsiaTheme="minorEastAsia"/>
          <w:i/>
          <w:sz w:val="23"/>
          <w:szCs w:val="23"/>
          <w:rtl/>
        </w:rPr>
        <w:softHyphen/>
      </w:r>
      <w:r w:rsidRPr="00A40DDC">
        <w:rPr>
          <w:rFonts w:eastAsiaTheme="minorEastAsia" w:hint="cs"/>
          <w:i/>
          <w:sz w:val="23"/>
          <w:szCs w:val="23"/>
          <w:rtl/>
        </w:rPr>
        <w:t xml:space="preserve">ی </w:t>
      </w:r>
      <w:r w:rsidRPr="00A40DDC">
        <w:rPr>
          <w:rFonts w:hint="cs"/>
          <w:i/>
          <w:sz w:val="23"/>
          <w:szCs w:val="23"/>
          <w:rtl/>
        </w:rPr>
        <w:t>(۷. ۱۴)</w:t>
      </w:r>
      <w:r w:rsidRPr="00A40DDC">
        <w:rPr>
          <w:rFonts w:eastAsiaTheme="minorEastAsia" w:hint="cs"/>
          <w:i/>
          <w:sz w:val="23"/>
          <w:szCs w:val="23"/>
          <w:rtl/>
        </w:rPr>
        <w:t xml:space="preserve"> نیز داشتیم </w:t>
      </w:r>
    </w:p>
    <w:p w14:paraId="5914491D"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lang w:bidi="fa-IR"/>
        </w:rPr>
      </w:pPr>
      <w:r w:rsidRPr="00A40DDC">
        <w:rPr>
          <w:position w:val="-16"/>
        </w:rPr>
        <w:object w:dxaOrig="5000" w:dyaOrig="420" w14:anchorId="347D427D">
          <v:shape id="_x0000_i3663" type="#_x0000_t75" style="width:249.9pt;height:21.2pt" o:ole="">
            <v:imagedata r:id="rId5315" o:title=""/>
          </v:shape>
          <o:OLEObject Type="Embed" ProgID="Equation.DSMT4" ShapeID="_x0000_i3663" DrawAspect="Content" ObjectID="_1791377607" r:id="rId5316"/>
        </w:object>
      </w:r>
    </w:p>
    <w:p w14:paraId="7A45D318" w14:textId="77777777" w:rsidR="00411620" w:rsidRPr="00A40DDC" w:rsidRDefault="00411620" w:rsidP="00411620">
      <w:pPr>
        <w:pStyle w:val="MTDisplayEquation"/>
        <w:bidi/>
        <w:spacing w:line="216" w:lineRule="auto"/>
        <w:rPr>
          <w:rFonts w:ascii="Times New Roman" w:eastAsiaTheme="minorEastAsia" w:hAnsi="Times New Roman" w:cs="B Nazanin"/>
          <w:i/>
          <w:sz w:val="23"/>
          <w:szCs w:val="23"/>
          <w:rtl/>
          <w:lang w:bidi="fa-IR"/>
        </w:rPr>
      </w:pPr>
      <w:r w:rsidRPr="00A40DDC">
        <w:rPr>
          <w:rFonts w:ascii="Times New Roman" w:hAnsi="Times New Roman" w:cs="B Nazanin"/>
          <w:i/>
          <w:sz w:val="23"/>
          <w:szCs w:val="23"/>
        </w:rPr>
        <w:lastRenderedPageBreak/>
        <w:tab/>
      </w:r>
      <w:r w:rsidRPr="00A40DDC">
        <w:rPr>
          <w:rFonts w:ascii="Times New Roman" w:eastAsiaTheme="minorEastAsia" w:hAnsi="Times New Roman" w:cs="B Nazanin" w:hint="cs"/>
          <w:i/>
          <w:sz w:val="23"/>
          <w:szCs w:val="23"/>
          <w:rtl/>
          <w:lang w:bidi="fa-IR"/>
        </w:rPr>
        <w:t>اگر</w:t>
      </w:r>
      <w:r w:rsidRPr="00A40DDC">
        <w:rPr>
          <w:position w:val="-6"/>
        </w:rPr>
        <w:object w:dxaOrig="320" w:dyaOrig="260" w14:anchorId="446C7759">
          <v:shape id="_x0000_i3664" type="#_x0000_t75" style="width:15.75pt;height:13.3pt" o:ole="">
            <v:imagedata r:id="rId5317" o:title=""/>
          </v:shape>
          <o:OLEObject Type="Embed" ProgID="Equation.DSMT4" ShapeID="_x0000_i3664" DrawAspect="Content" ObjectID="_1791377608" r:id="rId5318"/>
        </w:object>
      </w:r>
      <w:r w:rsidRPr="00A40DDC">
        <w:rPr>
          <w:rFonts w:ascii="Times New Roman" w:eastAsiaTheme="minorEastAsia" w:hAnsi="Times New Roman" w:cs="B Nazanin"/>
          <w:i/>
          <w:sz w:val="23"/>
          <w:szCs w:val="23"/>
          <w:lang w:bidi="fa-IR"/>
        </w:rPr>
        <w:t xml:space="preserve"> </w:t>
      </w:r>
      <w:r w:rsidRPr="00A40DDC">
        <w:rPr>
          <w:rFonts w:ascii="Times New Roman" w:eastAsiaTheme="minorEastAsia" w:hAnsi="Times New Roman" w:cs="B Nazanin" w:hint="cs"/>
          <w:i/>
          <w:sz w:val="23"/>
          <w:szCs w:val="23"/>
          <w:rtl/>
          <w:lang w:bidi="fa-IR"/>
        </w:rPr>
        <w:t>کاهش دائمی برون</w:t>
      </w:r>
      <w:r w:rsidRPr="00A40DDC">
        <w:rPr>
          <w:rFonts w:ascii="Times New Roman" w:eastAsiaTheme="minorEastAsia" w:hAnsi="Times New Roman" w:cs="B Nazanin"/>
          <w:i/>
          <w:sz w:val="23"/>
          <w:szCs w:val="23"/>
          <w:rtl/>
          <w:lang w:bidi="fa-IR"/>
        </w:rPr>
        <w:softHyphen/>
      </w:r>
      <w:r w:rsidRPr="00A40DDC">
        <w:rPr>
          <w:rFonts w:ascii="Times New Roman" w:eastAsiaTheme="minorEastAsia" w:hAnsi="Times New Roman" w:cs="B Nazanin" w:hint="cs"/>
          <w:i/>
          <w:sz w:val="23"/>
          <w:szCs w:val="23"/>
          <w:rtl/>
          <w:lang w:bidi="fa-IR"/>
        </w:rPr>
        <w:t>زا در صادرات باشد، و فرض کنیم</w:t>
      </w:r>
      <w:r w:rsidRPr="00A40DDC">
        <w:rPr>
          <w:position w:val="-10"/>
        </w:rPr>
        <w:object w:dxaOrig="240" w:dyaOrig="340" w14:anchorId="102B652E">
          <v:shape id="_x0000_i3665" type="#_x0000_t75" style="width:11.5pt;height:16.95pt" o:ole="">
            <v:imagedata r:id="rId5319" o:title=""/>
          </v:shape>
          <o:OLEObject Type="Embed" ProgID="Equation.DSMT4" ShapeID="_x0000_i3665" DrawAspect="Content" ObjectID="_1791377609" r:id="rId5320"/>
        </w:object>
      </w:r>
      <w:r w:rsidRPr="00A40DDC">
        <w:rPr>
          <w:rFonts w:ascii="Times New Roman" w:eastAsiaTheme="minorEastAsia" w:hAnsi="Times New Roman" w:cs="B Nazanin" w:hint="cs"/>
          <w:i/>
          <w:sz w:val="23"/>
          <w:szCs w:val="23"/>
          <w:vertAlign w:val="subscript"/>
          <w:rtl/>
          <w:lang w:bidi="fa-IR"/>
        </w:rPr>
        <w:t xml:space="preserve"> </w:t>
      </w:r>
      <w:r w:rsidRPr="00A40DDC">
        <w:rPr>
          <w:rFonts w:ascii="Times New Roman" w:eastAsiaTheme="minorEastAsia" w:hAnsi="Times New Roman" w:cs="B Nazanin" w:hint="cs"/>
          <w:i/>
          <w:sz w:val="23"/>
          <w:szCs w:val="23"/>
          <w:rtl/>
          <w:lang w:bidi="fa-IR"/>
        </w:rPr>
        <w:t>و</w:t>
      </w:r>
      <w:r w:rsidRPr="00A40DDC">
        <w:rPr>
          <w:position w:val="-10"/>
        </w:rPr>
        <w:object w:dxaOrig="279" w:dyaOrig="340" w14:anchorId="6BD55300">
          <v:shape id="_x0000_i3666" type="#_x0000_t75" style="width:13.9pt;height:16.95pt" o:ole="">
            <v:imagedata r:id="rId5321" o:title=""/>
          </v:shape>
          <o:OLEObject Type="Embed" ProgID="Equation.DSMT4" ShapeID="_x0000_i3666" DrawAspect="Content" ObjectID="_1791377610" r:id="rId5322"/>
        </w:object>
      </w:r>
      <w:r w:rsidRPr="00A40DDC">
        <w:rPr>
          <w:rFonts w:ascii="Times New Roman" w:eastAsiaTheme="minorEastAsia" w:hAnsi="Times New Roman" w:cs="B Nazanin" w:hint="cs"/>
          <w:i/>
          <w:sz w:val="23"/>
          <w:szCs w:val="23"/>
          <w:rtl/>
          <w:lang w:bidi="fa-IR"/>
        </w:rPr>
        <w:t xml:space="preserve"> داده شده ‌باشند، آنگاه با دیفرانسیل کلی از رابطه</w:t>
      </w:r>
      <w:r w:rsidRPr="00A40DDC">
        <w:rPr>
          <w:rFonts w:ascii="Times New Roman" w:eastAsiaTheme="minorEastAsia" w:hAnsi="Times New Roman" w:cs="B Nazanin"/>
          <w:i/>
          <w:sz w:val="23"/>
          <w:szCs w:val="23"/>
          <w:rtl/>
          <w:lang w:bidi="fa-IR"/>
        </w:rPr>
        <w:softHyphen/>
      </w:r>
      <w:r w:rsidRPr="00A40DDC">
        <w:rPr>
          <w:rFonts w:ascii="Times New Roman" w:eastAsiaTheme="minorEastAsia" w:hAnsi="Times New Roman" w:cs="B Nazanin" w:hint="cs"/>
          <w:i/>
          <w:sz w:val="23"/>
          <w:szCs w:val="23"/>
          <w:rtl/>
          <w:lang w:bidi="fa-IR"/>
        </w:rPr>
        <w:t xml:space="preserve">ی فوق داریم: </w:t>
      </w:r>
    </w:p>
    <w:p w14:paraId="63C03FB2"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16"/>
        </w:rPr>
        <w:object w:dxaOrig="4300" w:dyaOrig="420" w14:anchorId="71DE172A">
          <v:shape id="_x0000_i3667" type="#_x0000_t75" style="width:214.8pt;height:21.2pt" o:ole="">
            <v:imagedata r:id="rId5323" o:title=""/>
          </v:shape>
          <o:OLEObject Type="Embed" ProgID="Equation.DSMT4" ShapeID="_x0000_i3667" DrawAspect="Content" ObjectID="_1791377611" r:id="rId5324"/>
        </w:object>
      </w:r>
    </w:p>
    <w:p w14:paraId="615872CB"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لذا</w:t>
      </w:r>
    </w:p>
    <w:p w14:paraId="1938BB80" w14:textId="77777777" w:rsidR="00411620" w:rsidRPr="00A40DDC" w:rsidRDefault="00411620" w:rsidP="00411620">
      <w:pPr>
        <w:bidi w:val="0"/>
        <w:spacing w:line="216" w:lineRule="auto"/>
        <w:rPr>
          <w:rFonts w:eastAsiaTheme="minorEastAsia"/>
          <w:i/>
          <w:sz w:val="23"/>
          <w:szCs w:val="23"/>
        </w:rPr>
      </w:pPr>
      <w:r w:rsidRPr="00A40DDC">
        <w:rPr>
          <w:rFonts w:eastAsiaTheme="minorEastAsia" w:hint="cs"/>
          <w:i/>
          <w:sz w:val="23"/>
          <w:szCs w:val="23"/>
          <w:rtl/>
        </w:rPr>
        <w:t xml:space="preserve"> </w:t>
      </w:r>
      <w:r w:rsidRPr="00A40DDC">
        <w:rPr>
          <w:position w:val="-16"/>
        </w:rPr>
        <w:object w:dxaOrig="2920" w:dyaOrig="420" w14:anchorId="702BA34F">
          <v:shape id="_x0000_i3668" type="#_x0000_t75" style="width:145.8pt;height:21.2pt" o:ole="">
            <v:imagedata r:id="rId5325" o:title=""/>
          </v:shape>
          <o:OLEObject Type="Embed" ProgID="Equation.DSMT4" ShapeID="_x0000_i3668" DrawAspect="Content" ObjectID="_1791377612" r:id="rId5326"/>
        </w:object>
      </w:r>
    </w:p>
    <w:p w14:paraId="307DEA9A" w14:textId="77777777" w:rsidR="00411620" w:rsidRPr="00A40DDC" w:rsidRDefault="00411620" w:rsidP="00411620">
      <w:pPr>
        <w:bidi w:val="0"/>
        <w:spacing w:line="216" w:lineRule="auto"/>
        <w:rPr>
          <w:rFonts w:eastAsiaTheme="minorEastAsia"/>
          <w:i/>
          <w:sz w:val="23"/>
          <w:szCs w:val="23"/>
        </w:rPr>
      </w:pPr>
      <w:r w:rsidRPr="00A40DDC">
        <w:rPr>
          <w:position w:val="-26"/>
        </w:rPr>
        <w:object w:dxaOrig="4180" w:dyaOrig="600" w14:anchorId="5525140B">
          <v:shape id="_x0000_i3669" type="#_x0000_t75" style="width:208.75pt;height:29.65pt" o:ole="">
            <v:imagedata r:id="rId5327" o:title=""/>
          </v:shape>
          <o:OLEObject Type="Embed" ProgID="Equation.DSMT4" ShapeID="_x0000_i3669" DrawAspect="Content" ObjectID="_1791377613" r:id="rId5328"/>
        </w:object>
      </w:r>
      <w:r w:rsidRPr="00A40DDC">
        <w:rPr>
          <w:rFonts w:eastAsiaTheme="minorEastAsia"/>
          <w:i/>
          <w:sz w:val="23"/>
          <w:szCs w:val="23"/>
        </w:rPr>
        <w:t xml:space="preserve"> </w:t>
      </w:r>
    </w:p>
    <w:p w14:paraId="699DEC43"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 xml:space="preserve">که در آن </w:t>
      </w:r>
      <w:r w:rsidRPr="00A40DDC">
        <w:rPr>
          <w:position w:val="-18"/>
        </w:rPr>
        <w:object w:dxaOrig="2700" w:dyaOrig="499" w14:anchorId="0A7EDE10">
          <v:shape id="_x0000_i3670" type="#_x0000_t75" style="width:134.9pt;height:24.8pt" o:ole="">
            <v:imagedata r:id="rId5329" o:title=""/>
          </v:shape>
          <o:OLEObject Type="Embed" ProgID="Equation.DSMT4" ShapeID="_x0000_i3670" DrawAspect="Content" ObjectID="_1791377614" r:id="rId5330"/>
        </w:object>
      </w:r>
      <w:r w:rsidRPr="00A40DDC">
        <w:rPr>
          <w:rFonts w:eastAsiaTheme="minorEastAsia" w:hint="cs"/>
          <w:i/>
          <w:sz w:val="23"/>
          <w:szCs w:val="23"/>
          <w:rtl/>
        </w:rPr>
        <w:t xml:space="preserve"> ، </w:t>
      </w:r>
      <w:r w:rsidRPr="00025957">
        <w:rPr>
          <w:position w:val="-4"/>
        </w:rPr>
        <w:object w:dxaOrig="260" w:dyaOrig="279" w14:anchorId="4019CD26">
          <v:shape id="_x0000_i3671" type="#_x0000_t75" style="width:13.3pt;height:13.9pt" o:ole="">
            <v:imagedata r:id="rId5331" o:title=""/>
          </v:shape>
          <o:OLEObject Type="Embed" ProgID="Equation.DSMT4" ShapeID="_x0000_i3671" DrawAspect="Content" ObjectID="_1791377615" r:id="rId5332"/>
        </w:object>
      </w:r>
      <w:r w:rsidRPr="00A40DDC">
        <w:rPr>
          <w:rFonts w:eastAsiaTheme="minorEastAsia" w:hint="cs"/>
          <w:i/>
          <w:sz w:val="23"/>
          <w:szCs w:val="23"/>
          <w:vertAlign w:val="superscript"/>
          <w:rtl/>
        </w:rPr>
        <w:t xml:space="preserve"> </w:t>
      </w:r>
      <w:r w:rsidRPr="00A40DDC">
        <w:rPr>
          <w:rFonts w:eastAsiaTheme="minorEastAsia" w:hint="cs"/>
          <w:i/>
          <w:sz w:val="23"/>
          <w:szCs w:val="23"/>
          <w:rtl/>
        </w:rPr>
        <w:t>کشش قیمتی صادرات و</w:t>
      </w:r>
      <w:r w:rsidRPr="00A40DDC">
        <w:rPr>
          <w:rFonts w:eastAsiaTheme="minorEastAsia"/>
          <w:i/>
          <w:sz w:val="23"/>
          <w:szCs w:val="23"/>
        </w:rPr>
        <w:t xml:space="preserve"> </w:t>
      </w:r>
      <w:r w:rsidRPr="00025957">
        <w:rPr>
          <w:position w:val="-4"/>
        </w:rPr>
        <w:object w:dxaOrig="300" w:dyaOrig="279" w14:anchorId="38E013A1">
          <v:shape id="_x0000_i3672" type="#_x0000_t75" style="width:14.5pt;height:13.9pt" o:ole="">
            <v:imagedata r:id="rId5333" o:title=""/>
          </v:shape>
          <o:OLEObject Type="Embed" ProgID="Equation.DSMT4" ShapeID="_x0000_i3672" DrawAspect="Content" ObjectID="_1791377616" r:id="rId5334"/>
        </w:object>
      </w:r>
      <w:r w:rsidRPr="00A40DDC">
        <w:rPr>
          <w:rFonts w:eastAsiaTheme="minorEastAsia" w:hint="cs"/>
          <w:i/>
          <w:sz w:val="23"/>
          <w:szCs w:val="23"/>
          <w:vertAlign w:val="superscript"/>
          <w:rtl/>
        </w:rPr>
        <w:t xml:space="preserve"> </w:t>
      </w:r>
      <w:r w:rsidRPr="00A40DDC">
        <w:rPr>
          <w:rFonts w:eastAsiaTheme="minorEastAsia" w:hint="cs"/>
          <w:i/>
          <w:sz w:val="23"/>
          <w:szCs w:val="23"/>
          <w:rtl/>
        </w:rPr>
        <w:t>کشش قیمتی واردات است و فرض شده</w:t>
      </w:r>
      <w:r w:rsidRPr="00A40DDC">
        <w:rPr>
          <w:position w:val="-8"/>
        </w:rPr>
        <w:object w:dxaOrig="820" w:dyaOrig="320" w14:anchorId="075DE5C0">
          <v:shape id="_x0000_i3673" type="#_x0000_t75" style="width:40.55pt;height:15.75pt" o:ole="">
            <v:imagedata r:id="rId5335" o:title=""/>
          </v:shape>
          <o:OLEObject Type="Embed" ProgID="Equation.DSMT4" ShapeID="_x0000_i3673" DrawAspect="Content" ObjectID="_1791377617" r:id="rId5336"/>
        </w:object>
      </w:r>
      <w:r w:rsidRPr="00A40DDC">
        <w:rPr>
          <w:rFonts w:eastAsiaTheme="minorEastAsia"/>
          <w:i/>
          <w:sz w:val="23"/>
          <w:szCs w:val="23"/>
        </w:rPr>
        <w:t xml:space="preserve"> </w:t>
      </w:r>
      <w:r w:rsidRPr="00A40DDC">
        <w:rPr>
          <w:rFonts w:eastAsiaTheme="minorEastAsia" w:hint="cs"/>
          <w:i/>
          <w:sz w:val="23"/>
          <w:szCs w:val="23"/>
          <w:rtl/>
        </w:rPr>
        <w:t>است. باید توجه داشت که اگر در ابتدا تجارت در تراز باشد آنگاه</w:t>
      </w:r>
    </w:p>
    <w:p w14:paraId="6A7DA9C4"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lang w:bidi="fa-IR"/>
        </w:rPr>
      </w:pPr>
      <w:r w:rsidRPr="00A40DDC">
        <w:rPr>
          <w:position w:val="-26"/>
        </w:rPr>
        <w:object w:dxaOrig="3120" w:dyaOrig="700" w14:anchorId="3843BD8F">
          <v:shape id="_x0000_i3674" type="#_x0000_t75" style="width:156.1pt;height:35.1pt" o:ole="">
            <v:imagedata r:id="rId5337" o:title=""/>
          </v:shape>
          <o:OLEObject Type="Embed" ProgID="Equation.DSMT4" ShapeID="_x0000_i3674" DrawAspect="Content" ObjectID="_1791377618" r:id="rId5338"/>
        </w:object>
      </w:r>
    </w:p>
    <w:p w14:paraId="71E6C5D4" w14:textId="77777777" w:rsidR="00411620" w:rsidRPr="00A40DDC" w:rsidRDefault="00411620" w:rsidP="00411620">
      <w:pPr>
        <w:spacing w:line="216" w:lineRule="auto"/>
        <w:rPr>
          <w:rFonts w:eastAsiaTheme="minorEastAsia"/>
          <w:i/>
          <w:sz w:val="23"/>
          <w:szCs w:val="23"/>
          <w:rtl/>
        </w:rPr>
      </w:pPr>
      <w:r w:rsidRPr="00A40DDC">
        <w:rPr>
          <w:rFonts w:eastAsiaTheme="minorEastAsia"/>
          <w:i/>
          <w:sz w:val="23"/>
          <w:szCs w:val="23"/>
        </w:rPr>
        <w:t xml:space="preserve"> </w:t>
      </w:r>
      <w:r w:rsidRPr="00A40DDC">
        <w:rPr>
          <w:rFonts w:eastAsiaTheme="minorEastAsia" w:hint="cs"/>
          <w:i/>
          <w:sz w:val="23"/>
          <w:szCs w:val="23"/>
          <w:rtl/>
        </w:rPr>
        <w:t xml:space="preserve">که وابسته است به اینکه </w:t>
      </w:r>
      <w:r w:rsidRPr="00A40DDC">
        <w:rPr>
          <w:position w:val="-10"/>
        </w:rPr>
        <w:object w:dxaOrig="1040" w:dyaOrig="340" w14:anchorId="19CBE361">
          <v:shape id="_x0000_i3675" type="#_x0000_t75" style="width:52.05pt;height:16.95pt" o:ole="">
            <v:imagedata r:id="rId5339" o:title=""/>
          </v:shape>
          <o:OLEObject Type="Embed" ProgID="Equation.DSMT4" ShapeID="_x0000_i3675" DrawAspect="Content" ObjectID="_1791377619" r:id="rId5340"/>
        </w:object>
      </w:r>
      <w:r w:rsidRPr="00A40DDC">
        <w:rPr>
          <w:rFonts w:eastAsiaTheme="minorEastAsia"/>
          <w:i/>
          <w:sz w:val="23"/>
          <w:szCs w:val="23"/>
        </w:rPr>
        <w:t xml:space="preserve"> </w:t>
      </w:r>
      <w:r w:rsidRPr="00A40DDC">
        <w:rPr>
          <w:rFonts w:eastAsiaTheme="minorEastAsia" w:hint="cs"/>
          <w:i/>
          <w:sz w:val="23"/>
          <w:szCs w:val="23"/>
          <w:rtl/>
        </w:rPr>
        <w:t>باشد و بدان شرط</w:t>
      </w:r>
      <w:r w:rsidRPr="00A40DDC">
        <w:rPr>
          <w:rFonts w:eastAsiaTheme="minorEastAsia"/>
          <w:i/>
          <w:sz w:val="23"/>
          <w:szCs w:val="23"/>
        </w:rPr>
        <w:t xml:space="preserve"> </w:t>
      </w:r>
      <w:r w:rsidRPr="00A40DDC">
        <w:rPr>
          <w:rFonts w:eastAsiaTheme="minorEastAsia" w:hint="cs"/>
          <w:i/>
          <w:sz w:val="23"/>
          <w:szCs w:val="23"/>
          <w:rtl/>
        </w:rPr>
        <w:t>مارشال-لرنر</w:t>
      </w:r>
      <w:r w:rsidRPr="00A40DDC">
        <w:rPr>
          <w:rStyle w:val="FootnoteReference"/>
          <w:rFonts w:eastAsiaTheme="minorEastAsia"/>
          <w:i/>
          <w:sz w:val="23"/>
          <w:szCs w:val="23"/>
          <w:rtl/>
        </w:rPr>
        <w:footnoteReference w:id="178"/>
      </w:r>
      <w:r w:rsidRPr="00A40DDC">
        <w:rPr>
          <w:rFonts w:eastAsiaTheme="minorEastAsia" w:hint="cs"/>
          <w:i/>
          <w:sz w:val="23"/>
          <w:szCs w:val="23"/>
          <w:rtl/>
        </w:rPr>
        <w:t xml:space="preserve"> گویند. اگر کشش بازرگانی بزرگتر یا برابر یک باشد و یا </w:t>
      </w:r>
      <w:r w:rsidRPr="00A40DDC">
        <w:rPr>
          <w:position w:val="-10"/>
        </w:rPr>
        <w:object w:dxaOrig="540" w:dyaOrig="300" w14:anchorId="3DDEBE34">
          <v:shape id="_x0000_i3676" type="#_x0000_t75" style="width:26.6pt;height:14.5pt" o:ole="">
            <v:imagedata r:id="rId5341" o:title=""/>
          </v:shape>
          <o:OLEObject Type="Embed" ProgID="Equation.DSMT4" ShapeID="_x0000_i3676" DrawAspect="Content" ObjectID="_1791377620" r:id="rId5342"/>
        </w:object>
      </w:r>
      <w:r w:rsidRPr="00A40DDC">
        <w:rPr>
          <w:rFonts w:eastAsiaTheme="minorEastAsia" w:hint="cs"/>
          <w:i/>
          <w:sz w:val="23"/>
          <w:szCs w:val="23"/>
          <w:rtl/>
        </w:rPr>
        <w:t>باشد، برای اینکه کاهش صادرات باعث خروج سرمایه نشود</w:t>
      </w:r>
      <w:r w:rsidRPr="00A40DDC">
        <w:rPr>
          <w:position w:val="-10"/>
        </w:rPr>
        <w:object w:dxaOrig="260" w:dyaOrig="320" w14:anchorId="2533B30C">
          <v:shape id="_x0000_i3677" type="#_x0000_t75" style="width:13.3pt;height:15.75pt" o:ole="">
            <v:imagedata r:id="rId5343" o:title=""/>
          </v:shape>
          <o:OLEObject Type="Embed" ProgID="Equation.DSMT4" ShapeID="_x0000_i3677" DrawAspect="Content" ObjectID="_1791377621" r:id="rId5344"/>
        </w:object>
      </w:r>
      <w:r w:rsidRPr="00A40DDC">
        <w:rPr>
          <w:rFonts w:eastAsiaTheme="minorEastAsia" w:hint="cs"/>
          <w:i/>
          <w:sz w:val="23"/>
          <w:szCs w:val="23"/>
          <w:vertAlign w:val="subscript"/>
          <w:rtl/>
        </w:rPr>
        <w:t xml:space="preserve"> </w:t>
      </w:r>
      <w:r w:rsidRPr="00A40DDC">
        <w:rPr>
          <w:rFonts w:eastAsiaTheme="minorEastAsia" w:hint="cs"/>
          <w:i/>
          <w:sz w:val="23"/>
          <w:szCs w:val="23"/>
          <w:rtl/>
        </w:rPr>
        <w:t>باید افزایش یابد. افزایش</w:t>
      </w:r>
      <w:r w:rsidRPr="00A40DDC">
        <w:rPr>
          <w:position w:val="-8"/>
        </w:rPr>
        <w:object w:dxaOrig="240" w:dyaOrig="279" w14:anchorId="4B68AB40">
          <v:shape id="_x0000_i3678" type="#_x0000_t75" style="width:11.5pt;height:13.9pt" o:ole="">
            <v:imagedata r:id="rId5345" o:title=""/>
          </v:shape>
          <o:OLEObject Type="Embed" ProgID="Equation.DSMT4" ShapeID="_x0000_i3678" DrawAspect="Content" ObjectID="_1791377622" r:id="rId5346"/>
        </w:object>
      </w:r>
      <w:r w:rsidRPr="00A40DDC">
        <w:rPr>
          <w:rFonts w:eastAsiaTheme="minorEastAsia" w:hint="cs"/>
          <w:i/>
          <w:sz w:val="23"/>
          <w:szCs w:val="23"/>
          <w:rtl/>
        </w:rPr>
        <w:t xml:space="preserve"> باعث افزایش درآمد بهره از خارج می‌شود و فقط زمانی باعث بهبود تراز بازرگانی می‌شود که کشش بازرگانی بزرگتر یا برابر واحد باشد.</w:t>
      </w:r>
    </w:p>
    <w:p w14:paraId="3D4038FF"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اثر بلند‌مدت کاهش دائمی صادرات با توجه به عدم تغییر بلندمدت خالص دارایی</w:t>
      </w:r>
      <w:r w:rsidRPr="00A40DDC">
        <w:rPr>
          <w:rFonts w:eastAsiaTheme="minorEastAsia"/>
          <w:i/>
          <w:sz w:val="23"/>
          <w:szCs w:val="23"/>
          <w:rtl/>
        </w:rPr>
        <w:softHyphen/>
      </w:r>
      <w:r w:rsidRPr="00A40DDC">
        <w:rPr>
          <w:rFonts w:eastAsiaTheme="minorEastAsia" w:hint="cs"/>
          <w:i/>
          <w:sz w:val="23"/>
          <w:szCs w:val="23"/>
          <w:rtl/>
        </w:rPr>
        <w:t>های خارجی بر صادرات، واردات و تجارت برابر است با:</w:t>
      </w:r>
    </w:p>
    <w:p w14:paraId="63D76687"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16"/>
        </w:rPr>
        <w:object w:dxaOrig="2040" w:dyaOrig="420" w14:anchorId="097E9291">
          <v:shape id="_x0000_i3679" type="#_x0000_t75" style="width:102.25pt;height:21.2pt" o:ole="">
            <v:imagedata r:id="rId5347" o:title=""/>
          </v:shape>
          <o:OLEObject Type="Embed" ProgID="Equation.DSMT4" ShapeID="_x0000_i3679" DrawAspect="Content" ObjectID="_1791377623" r:id="rId5348"/>
        </w:object>
      </w:r>
    </w:p>
    <w:p w14:paraId="5985255A"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16"/>
        </w:rPr>
        <w:object w:dxaOrig="2760" w:dyaOrig="420" w14:anchorId="57C96FC2">
          <v:shape id="_x0000_i3680" type="#_x0000_t75" style="width:137.95pt;height:21.2pt" o:ole="">
            <v:imagedata r:id="rId5349" o:title=""/>
          </v:shape>
          <o:OLEObject Type="Embed" ProgID="Equation.DSMT4" ShapeID="_x0000_i3680" DrawAspect="Content" ObjectID="_1791377624" r:id="rId5350"/>
        </w:object>
      </w:r>
    </w:p>
    <w:p w14:paraId="63F6E581"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lang w:bidi="fa-IR"/>
        </w:rPr>
      </w:pPr>
      <w:r w:rsidRPr="00A40DDC">
        <w:rPr>
          <w:position w:val="-16"/>
        </w:rPr>
        <w:object w:dxaOrig="2040" w:dyaOrig="420" w14:anchorId="65D15053">
          <v:shape id="_x0000_i3681" type="#_x0000_t75" style="width:102.25pt;height:21.2pt" o:ole="">
            <v:imagedata r:id="rId5351" o:title=""/>
          </v:shape>
          <o:OLEObject Type="Embed" ProgID="Equation.DSMT4" ShapeID="_x0000_i3681" DrawAspect="Content" ObjectID="_1791377625" r:id="rId5352"/>
        </w:object>
      </w:r>
    </w:p>
    <w:p w14:paraId="11CF70B7"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 xml:space="preserve">باید توجه داشت که تغییرات </w:t>
      </w:r>
      <w:r w:rsidRPr="00A40DDC">
        <w:rPr>
          <w:rFonts w:eastAsiaTheme="minorEastAsia"/>
          <w:i/>
          <w:sz w:val="23"/>
          <w:szCs w:val="23"/>
        </w:rPr>
        <w:t>Q</w:t>
      </w:r>
      <w:r w:rsidRPr="00A40DDC">
        <w:rPr>
          <w:rFonts w:eastAsiaTheme="minorEastAsia" w:hint="cs"/>
          <w:i/>
          <w:sz w:val="23"/>
          <w:szCs w:val="23"/>
          <w:rtl/>
        </w:rPr>
        <w:t xml:space="preserve"> در کوتاه</w:t>
      </w:r>
      <w:r w:rsidRPr="00A40DDC">
        <w:rPr>
          <w:rFonts w:eastAsiaTheme="minorEastAsia"/>
          <w:i/>
          <w:sz w:val="23"/>
          <w:szCs w:val="23"/>
          <w:rtl/>
        </w:rPr>
        <w:softHyphen/>
      </w:r>
      <w:r w:rsidRPr="00A40DDC">
        <w:rPr>
          <w:rFonts w:eastAsiaTheme="minorEastAsia" w:hint="cs"/>
          <w:i/>
          <w:sz w:val="23"/>
          <w:szCs w:val="23"/>
          <w:rtl/>
        </w:rPr>
        <w:t>مدت به واسطه</w:t>
      </w:r>
      <w:r w:rsidRPr="00A40DDC">
        <w:rPr>
          <w:rFonts w:eastAsiaTheme="minorEastAsia"/>
          <w:i/>
          <w:sz w:val="23"/>
          <w:szCs w:val="23"/>
          <w:rtl/>
        </w:rPr>
        <w:softHyphen/>
      </w:r>
      <w:r w:rsidRPr="00A40DDC">
        <w:rPr>
          <w:rFonts w:eastAsiaTheme="minorEastAsia" w:hint="cs"/>
          <w:i/>
          <w:sz w:val="23"/>
          <w:szCs w:val="23"/>
          <w:rtl/>
        </w:rPr>
        <w:t>ی نرخ ارز اسمی است نه بواسطه</w:t>
      </w:r>
      <w:r w:rsidRPr="00A40DDC">
        <w:rPr>
          <w:rFonts w:eastAsiaTheme="minorEastAsia"/>
          <w:i/>
          <w:sz w:val="23"/>
          <w:szCs w:val="23"/>
          <w:rtl/>
        </w:rPr>
        <w:softHyphen/>
      </w:r>
      <w:r w:rsidRPr="00A40DDC">
        <w:rPr>
          <w:rFonts w:eastAsiaTheme="minorEastAsia" w:hint="cs"/>
          <w:i/>
          <w:sz w:val="23"/>
          <w:szCs w:val="23"/>
          <w:rtl/>
        </w:rPr>
        <w:t>ی نسبت قیمت</w:t>
      </w:r>
      <w:r w:rsidRPr="00A40DDC">
        <w:rPr>
          <w:rFonts w:eastAsiaTheme="minorEastAsia"/>
          <w:i/>
          <w:sz w:val="23"/>
          <w:szCs w:val="23"/>
          <w:rtl/>
        </w:rPr>
        <w:softHyphen/>
      </w:r>
      <w:r w:rsidRPr="00A40DDC">
        <w:rPr>
          <w:rFonts w:eastAsiaTheme="minorEastAsia" w:hint="cs"/>
          <w:i/>
          <w:sz w:val="23"/>
          <w:szCs w:val="23"/>
          <w:rtl/>
        </w:rPr>
        <w:t>ها.</w:t>
      </w:r>
    </w:p>
    <w:p w14:paraId="5E23D0B4" w14:textId="77777777" w:rsidR="00411620" w:rsidRPr="00A40DDC" w:rsidRDefault="00411620" w:rsidP="00411620">
      <w:pPr>
        <w:spacing w:line="216" w:lineRule="auto"/>
        <w:rPr>
          <w:rFonts w:eastAsiaTheme="minorEastAsia"/>
          <w:i/>
          <w:sz w:val="23"/>
          <w:szCs w:val="23"/>
          <w:rtl/>
        </w:rPr>
      </w:pPr>
    </w:p>
    <w:p w14:paraId="1F0A7A63" w14:textId="77777777" w:rsidR="00411620" w:rsidRPr="00A40DDC" w:rsidRDefault="00411620" w:rsidP="00411620">
      <w:pPr>
        <w:pStyle w:val="Heading1"/>
        <w:spacing w:before="0" w:after="0" w:line="216" w:lineRule="auto"/>
        <w:rPr>
          <w:rFonts w:ascii="Times New Roman" w:eastAsiaTheme="minorEastAsia" w:hAnsi="Times New Roman" w:cs="B Nazanin"/>
          <w:b w:val="0"/>
          <w:i/>
          <w:sz w:val="23"/>
          <w:szCs w:val="23"/>
          <w:rtl/>
        </w:rPr>
      </w:pPr>
      <w:r w:rsidRPr="00A40DDC">
        <w:rPr>
          <w:rFonts w:ascii="Times New Roman" w:eastAsiaTheme="minorEastAsia" w:hAnsi="Times New Roman" w:cs="B Nazanin" w:hint="cs"/>
          <w:b w:val="0"/>
          <w:i/>
          <w:sz w:val="23"/>
          <w:szCs w:val="23"/>
          <w:rtl/>
        </w:rPr>
        <w:t>۷. ۳ کالاهای قابل تجارت و غیر قابل تجارت</w:t>
      </w:r>
    </w:p>
    <w:p w14:paraId="7005D824"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تاکنون فرض کردیم تمامی کالاها و خدمات در اقتصاد قابل تجارت</w:t>
      </w:r>
      <w:r w:rsidRPr="00A40DDC">
        <w:rPr>
          <w:rFonts w:eastAsiaTheme="minorEastAsia"/>
          <w:i/>
          <w:sz w:val="23"/>
          <w:szCs w:val="23"/>
          <w:rtl/>
        </w:rPr>
        <w:softHyphen/>
      </w:r>
      <w:r w:rsidRPr="00A40DDC">
        <w:rPr>
          <w:rFonts w:eastAsiaTheme="minorEastAsia" w:hint="cs"/>
          <w:i/>
          <w:sz w:val="23"/>
          <w:szCs w:val="23"/>
          <w:rtl/>
        </w:rPr>
        <w:t>اند. درحالی</w:t>
      </w:r>
      <w:r w:rsidRPr="00A40DDC">
        <w:rPr>
          <w:rFonts w:eastAsiaTheme="minorEastAsia"/>
          <w:i/>
          <w:sz w:val="23"/>
          <w:szCs w:val="23"/>
          <w:rtl/>
        </w:rPr>
        <w:softHyphen/>
      </w:r>
      <w:r w:rsidRPr="00A40DDC">
        <w:rPr>
          <w:rFonts w:eastAsiaTheme="minorEastAsia" w:hint="cs"/>
          <w:i/>
          <w:sz w:val="23"/>
          <w:szCs w:val="23"/>
          <w:rtl/>
        </w:rPr>
        <w:t>که برخی از کالاها همانند ساختمان، جاده، غذاهای فست فود و بسیاری از خدمات، قابل تجارت نیستند. اکنون به جای استفاده از قیمت‌های نسبی، که یکی را واحد و دیگری را بر حسب قیمت نسبی اندازه</w:t>
      </w:r>
      <w:r w:rsidRPr="00A40DDC">
        <w:rPr>
          <w:rFonts w:eastAsiaTheme="minorEastAsia"/>
          <w:i/>
          <w:sz w:val="23"/>
          <w:szCs w:val="23"/>
          <w:rtl/>
        </w:rPr>
        <w:softHyphen/>
      </w:r>
      <w:r w:rsidRPr="00A40DDC">
        <w:rPr>
          <w:rFonts w:eastAsiaTheme="minorEastAsia" w:hint="cs"/>
          <w:i/>
          <w:sz w:val="23"/>
          <w:szCs w:val="23"/>
          <w:rtl/>
        </w:rPr>
        <w:t>گیری می‌کردیم، کالاها را با توجه به قیمت آن‌ها از یکدیگر تفکیک می‌کنیم. همچنین سطح عمومی قیمت</w:t>
      </w:r>
      <w:r w:rsidRPr="00A40DDC">
        <w:rPr>
          <w:rFonts w:eastAsiaTheme="minorEastAsia"/>
          <w:i/>
          <w:sz w:val="23"/>
          <w:szCs w:val="23"/>
          <w:rtl/>
        </w:rPr>
        <w:softHyphen/>
      </w:r>
      <w:r w:rsidRPr="00A40DDC">
        <w:rPr>
          <w:rFonts w:eastAsiaTheme="minorEastAsia" w:hint="cs"/>
          <w:i/>
          <w:sz w:val="23"/>
          <w:szCs w:val="23"/>
          <w:rtl/>
        </w:rPr>
        <w:t xml:space="preserve">ها را در </w:t>
      </w:r>
      <w:r w:rsidRPr="00A40DDC">
        <w:rPr>
          <w:rFonts w:eastAsiaTheme="minorEastAsia" w:hint="cs"/>
          <w:i/>
          <w:sz w:val="23"/>
          <w:szCs w:val="23"/>
          <w:rtl/>
        </w:rPr>
        <w:lastRenderedPageBreak/>
        <w:t>اقتصاد با</w:t>
      </w:r>
      <w:r w:rsidRPr="00A40DDC">
        <w:rPr>
          <w:position w:val="-10"/>
        </w:rPr>
        <w:object w:dxaOrig="240" w:dyaOrig="320" w14:anchorId="2A035ABE">
          <v:shape id="_x0000_i3682" type="#_x0000_t75" style="width:11.5pt;height:15.75pt" o:ole="">
            <v:imagedata r:id="rId5353" o:title=""/>
          </v:shape>
          <o:OLEObject Type="Embed" ProgID="Equation.DSMT4" ShapeID="_x0000_i3682" DrawAspect="Content" ObjectID="_1791377626" r:id="rId5354"/>
        </w:object>
      </w:r>
      <w:r w:rsidRPr="00A40DDC">
        <w:rPr>
          <w:rFonts w:eastAsiaTheme="minorEastAsia" w:hint="cs"/>
          <w:i/>
          <w:sz w:val="23"/>
          <w:szCs w:val="23"/>
          <w:vertAlign w:val="subscript"/>
          <w:rtl/>
        </w:rPr>
        <w:t xml:space="preserve"> </w:t>
      </w:r>
      <w:r w:rsidRPr="00A40DDC">
        <w:rPr>
          <w:rFonts w:eastAsiaTheme="minorEastAsia" w:hint="cs"/>
          <w:i/>
          <w:sz w:val="23"/>
          <w:szCs w:val="23"/>
          <w:rtl/>
        </w:rPr>
        <w:t>نشان می‌دهیم. در جدول زیر کالاهای قابل تجارت و غیرقابل تجارت و همچنین توابع مربوط به آن</w:t>
      </w:r>
      <w:r w:rsidRPr="00A40DDC">
        <w:rPr>
          <w:rFonts w:eastAsiaTheme="minorEastAsia"/>
          <w:i/>
          <w:sz w:val="23"/>
          <w:szCs w:val="23"/>
          <w:rtl/>
        </w:rPr>
        <w:softHyphen/>
      </w:r>
      <w:r w:rsidRPr="00A40DDC">
        <w:rPr>
          <w:rFonts w:eastAsiaTheme="minorEastAsia" w:hint="cs"/>
          <w:i/>
          <w:sz w:val="23"/>
          <w:szCs w:val="23"/>
          <w:rtl/>
        </w:rPr>
        <w:t>ها از یکدیگر تفکیک شده است.</w:t>
      </w:r>
    </w:p>
    <w:p w14:paraId="2B41D56A"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 xml:space="preserve">اما </w:t>
      </w:r>
      <w:r w:rsidRPr="00A40DDC">
        <w:rPr>
          <w:rFonts w:eastAsiaTheme="minorEastAsia"/>
          <w:i/>
          <w:sz w:val="23"/>
          <w:szCs w:val="23"/>
        </w:rPr>
        <w:t xml:space="preserve"> </w:t>
      </w:r>
      <w:r w:rsidRPr="00A40DDC">
        <w:rPr>
          <w:rFonts w:eastAsiaTheme="minorEastAsia" w:hint="cs"/>
          <w:i/>
          <w:sz w:val="23"/>
          <w:szCs w:val="23"/>
          <w:rtl/>
        </w:rPr>
        <w:t>چون مصرف ترکیبی است از مصرف کالاهای غیرقابل تجارت و مصرف کالاهای قابل تجارت یعنی</w:t>
      </w:r>
      <w:r w:rsidRPr="00A40DDC">
        <w:rPr>
          <w:position w:val="-10"/>
        </w:rPr>
        <w:object w:dxaOrig="300" w:dyaOrig="340" w14:anchorId="5DBCF5A7">
          <v:shape id="_x0000_i3683" type="#_x0000_t75" style="width:14.5pt;height:16.95pt" o:ole="">
            <v:imagedata r:id="rId5355" o:title=""/>
          </v:shape>
          <o:OLEObject Type="Embed" ProgID="Equation.DSMT4" ShapeID="_x0000_i3683" DrawAspect="Content" ObjectID="_1791377627" r:id="rId5356"/>
        </w:object>
      </w:r>
      <w:r w:rsidRPr="00A40DDC">
        <w:rPr>
          <w:rFonts w:eastAsiaTheme="minorEastAsia" w:hint="cs"/>
          <w:i/>
          <w:sz w:val="23"/>
          <w:szCs w:val="23"/>
          <w:rtl/>
        </w:rPr>
        <w:t xml:space="preserve"> و</w:t>
      </w:r>
      <w:r w:rsidRPr="00A40DDC">
        <w:rPr>
          <w:position w:val="-10"/>
        </w:rPr>
        <w:object w:dxaOrig="260" w:dyaOrig="340" w14:anchorId="3528DE36">
          <v:shape id="_x0000_i3684" type="#_x0000_t75" style="width:13.3pt;height:16.95pt" o:ole="">
            <v:imagedata r:id="rId5357" o:title=""/>
          </v:shape>
          <o:OLEObject Type="Embed" ProgID="Equation.DSMT4" ShapeID="_x0000_i3684" DrawAspect="Content" ObjectID="_1791377628" r:id="rId5358"/>
        </w:object>
      </w:r>
      <w:r w:rsidRPr="00A40DDC">
        <w:rPr>
          <w:rFonts w:hint="cs"/>
          <w:i/>
          <w:sz w:val="23"/>
          <w:szCs w:val="23"/>
          <w:rtl/>
        </w:rPr>
        <w:t>،</w:t>
      </w:r>
      <w:r w:rsidRPr="00A40DDC">
        <w:rPr>
          <w:rFonts w:eastAsiaTheme="minorEastAsia" w:hint="cs"/>
          <w:i/>
          <w:sz w:val="23"/>
          <w:szCs w:val="23"/>
          <w:rtl/>
        </w:rPr>
        <w:t xml:space="preserve"> لذا</w:t>
      </w:r>
      <w:r w:rsidRPr="00A40DDC">
        <w:rPr>
          <w:rFonts w:eastAsiaTheme="minorEastAsia"/>
          <w:i/>
          <w:sz w:val="23"/>
          <w:szCs w:val="23"/>
        </w:rPr>
        <w:t xml:space="preserve"> </w:t>
      </w:r>
      <w:r w:rsidRPr="00A40DDC">
        <w:rPr>
          <w:rFonts w:eastAsiaTheme="minorEastAsia" w:hint="cs"/>
          <w:i/>
          <w:sz w:val="23"/>
          <w:szCs w:val="23"/>
          <w:rtl/>
        </w:rPr>
        <w:t xml:space="preserve">مطلوبیت از مصرف هر دو کالا بدست خواهد آمد یعنی </w:t>
      </w:r>
      <w:r w:rsidRPr="00A40DDC">
        <w:rPr>
          <w:position w:val="-16"/>
        </w:rPr>
        <w:object w:dxaOrig="960" w:dyaOrig="420" w14:anchorId="7BE18F96">
          <v:shape id="_x0000_i3685" type="#_x0000_t75" style="width:47.8pt;height:21.2pt" o:ole="">
            <v:imagedata r:id="rId5359" o:title=""/>
          </v:shape>
          <o:OLEObject Type="Embed" ProgID="Equation.DSMT4" ShapeID="_x0000_i3685" DrawAspect="Content" ObjectID="_1791377629" r:id="rId5360"/>
        </w:object>
      </w:r>
      <w:r w:rsidRPr="00A40DDC">
        <w:rPr>
          <w:rFonts w:hint="cs"/>
          <w:i/>
          <w:sz w:val="23"/>
          <w:szCs w:val="23"/>
          <w:rtl/>
        </w:rPr>
        <w:t xml:space="preserve">. </w:t>
      </w:r>
      <w:r w:rsidRPr="00A40DDC">
        <w:rPr>
          <w:rFonts w:eastAsiaTheme="minorEastAsia" w:hint="cs"/>
          <w:i/>
          <w:sz w:val="23"/>
          <w:szCs w:val="23"/>
          <w:rtl/>
        </w:rPr>
        <w:t xml:space="preserve">اگر فرض کنیم </w:t>
      </w:r>
      <w:r w:rsidRPr="00A40DDC">
        <w:rPr>
          <w:position w:val="-10"/>
        </w:rPr>
        <w:object w:dxaOrig="300" w:dyaOrig="340" w14:anchorId="174E62C2">
          <v:shape id="_x0000_i3686" type="#_x0000_t75" style="width:14.5pt;height:16.95pt" o:ole="">
            <v:imagedata r:id="rId5361" o:title=""/>
          </v:shape>
          <o:OLEObject Type="Embed" ProgID="Equation.DSMT4" ShapeID="_x0000_i3686" DrawAspect="Content" ObjectID="_1791377630" r:id="rId5362"/>
        </w:object>
      </w:r>
      <w:r w:rsidRPr="00A40DDC">
        <w:rPr>
          <w:rFonts w:eastAsiaTheme="minorEastAsia" w:hint="cs"/>
          <w:i/>
          <w:sz w:val="23"/>
          <w:szCs w:val="23"/>
          <w:rtl/>
        </w:rPr>
        <w:t xml:space="preserve"> و</w:t>
      </w:r>
      <w:r w:rsidRPr="00A40DDC">
        <w:rPr>
          <w:position w:val="-10"/>
        </w:rPr>
        <w:object w:dxaOrig="300" w:dyaOrig="340" w14:anchorId="352F6A4B">
          <v:shape id="_x0000_i3687" type="#_x0000_t75" style="width:14.5pt;height:16.95pt" o:ole="">
            <v:imagedata r:id="rId5363" o:title=""/>
          </v:shape>
          <o:OLEObject Type="Embed" ProgID="Equation.DSMT4" ShapeID="_x0000_i3687" DrawAspect="Content" ObjectID="_1791377631" r:id="rId5364"/>
        </w:object>
      </w:r>
      <w:r w:rsidRPr="00A40DDC">
        <w:rPr>
          <w:rFonts w:eastAsiaTheme="minorEastAsia" w:hint="cs"/>
          <w:i/>
          <w:sz w:val="23"/>
          <w:szCs w:val="23"/>
          <w:rtl/>
        </w:rPr>
        <w:t xml:space="preserve"> کالاها و خدمات واسطه</w:t>
      </w:r>
      <w:r w:rsidRPr="00A40DDC">
        <w:rPr>
          <w:rFonts w:eastAsiaTheme="minorEastAsia"/>
          <w:i/>
          <w:sz w:val="23"/>
          <w:szCs w:val="23"/>
        </w:rPr>
        <w:softHyphen/>
      </w:r>
      <w:r w:rsidRPr="00A40DDC">
        <w:rPr>
          <w:rFonts w:eastAsiaTheme="minorEastAsia" w:hint="cs"/>
          <w:i/>
          <w:sz w:val="23"/>
          <w:szCs w:val="23"/>
          <w:rtl/>
        </w:rPr>
        <w:t>ای</w:t>
      </w:r>
      <w:r w:rsidRPr="00A40DDC">
        <w:rPr>
          <w:rFonts w:eastAsiaTheme="minorEastAsia"/>
          <w:i/>
          <w:sz w:val="23"/>
          <w:szCs w:val="23"/>
        </w:rPr>
        <w:softHyphen/>
      </w:r>
      <w:r w:rsidRPr="00A40DDC">
        <w:rPr>
          <w:rFonts w:eastAsiaTheme="minorEastAsia" w:hint="cs"/>
          <w:i/>
          <w:sz w:val="23"/>
          <w:szCs w:val="23"/>
          <w:rtl/>
        </w:rPr>
        <w:t>اند که در تولید</w:t>
      </w:r>
      <w:r w:rsidRPr="00A40DDC">
        <w:rPr>
          <w:position w:val="-10"/>
        </w:rPr>
        <w:object w:dxaOrig="200" w:dyaOrig="320" w14:anchorId="770D9376">
          <v:shape id="_x0000_i3688" type="#_x0000_t75" style="width:10.3pt;height:15.75pt" o:ole="">
            <v:imagedata r:id="rId5365" o:title=""/>
          </v:shape>
          <o:OLEObject Type="Embed" ProgID="Equation.DSMT4" ShapeID="_x0000_i3688" DrawAspect="Content" ObjectID="_1791377632" r:id="rId5366"/>
        </w:object>
      </w:r>
      <w:r w:rsidRPr="00A40DDC">
        <w:rPr>
          <w:rFonts w:eastAsiaTheme="minorEastAsia"/>
          <w:i/>
          <w:sz w:val="23"/>
          <w:szCs w:val="23"/>
        </w:rPr>
        <w:t xml:space="preserve"> </w:t>
      </w:r>
      <w:r w:rsidRPr="00A40DDC">
        <w:rPr>
          <w:rFonts w:eastAsiaTheme="minorEastAsia" w:hint="cs"/>
          <w:i/>
          <w:sz w:val="23"/>
          <w:szCs w:val="23"/>
          <w:rtl/>
        </w:rPr>
        <w:t xml:space="preserve">دخالت دارند، و نهایتاً </w:t>
      </w:r>
      <w:r w:rsidRPr="00A40DDC">
        <w:rPr>
          <w:position w:val="-10"/>
        </w:rPr>
        <w:object w:dxaOrig="200" w:dyaOrig="320" w14:anchorId="5EDF1C5D">
          <v:shape id="_x0000_i3689" type="#_x0000_t75" style="width:10.3pt;height:15.75pt" o:ole="">
            <v:imagedata r:id="rId5367" o:title=""/>
          </v:shape>
          <o:OLEObject Type="Embed" ProgID="Equation.DSMT4" ShapeID="_x0000_i3689" DrawAspect="Content" ObjectID="_1791377633" r:id="rId5368"/>
        </w:object>
      </w:r>
      <w:r w:rsidRPr="00A40DDC">
        <w:rPr>
          <w:rFonts w:eastAsiaTheme="minorEastAsia" w:hint="cs"/>
          <w:i/>
          <w:sz w:val="23"/>
          <w:szCs w:val="23"/>
          <w:vertAlign w:val="subscript"/>
          <w:rtl/>
        </w:rPr>
        <w:t xml:space="preserve"> </w:t>
      </w:r>
      <w:r w:rsidRPr="00A40DDC">
        <w:rPr>
          <w:rFonts w:eastAsiaTheme="minorEastAsia" w:hint="cs"/>
          <w:i/>
          <w:sz w:val="23"/>
          <w:szCs w:val="23"/>
          <w:rtl/>
        </w:rPr>
        <w:t>مصرف می‌شود، آنگاه می</w:t>
      </w:r>
      <w:r w:rsidRPr="00A40DDC">
        <w:rPr>
          <w:rFonts w:eastAsiaTheme="minorEastAsia"/>
          <w:i/>
          <w:sz w:val="23"/>
          <w:szCs w:val="23"/>
          <w:rtl/>
        </w:rPr>
        <w:softHyphen/>
      </w:r>
      <w:r w:rsidRPr="00A40DDC">
        <w:rPr>
          <w:rFonts w:eastAsiaTheme="minorEastAsia" w:hint="cs"/>
          <w:i/>
          <w:sz w:val="23"/>
          <w:szCs w:val="23"/>
          <w:rtl/>
        </w:rPr>
        <w:t>توان بحث خود را با همان</w:t>
      </w:r>
      <w:r w:rsidRPr="00A40DDC">
        <w:rPr>
          <w:position w:val="-12"/>
        </w:rPr>
        <w:object w:dxaOrig="580" w:dyaOrig="360" w14:anchorId="304FF76C">
          <v:shape id="_x0000_i3690" type="#_x0000_t75" style="width:29.05pt;height:18.15pt" o:ole="">
            <v:imagedata r:id="rId5369" o:title=""/>
          </v:shape>
          <o:OLEObject Type="Embed" ProgID="Equation.DSMT4" ShapeID="_x0000_i3690" DrawAspect="Content" ObjectID="_1791377634" r:id="rId5370"/>
        </w:object>
      </w:r>
      <w:r w:rsidRPr="00A40DDC">
        <w:rPr>
          <w:rFonts w:eastAsiaTheme="minorEastAsia" w:hint="cs"/>
          <w:i/>
          <w:sz w:val="23"/>
          <w:szCs w:val="23"/>
          <w:vertAlign w:val="subscript"/>
          <w:rtl/>
        </w:rPr>
        <w:t xml:space="preserve"> </w:t>
      </w:r>
      <w:r w:rsidRPr="00A40DDC">
        <w:rPr>
          <w:rFonts w:eastAsiaTheme="minorEastAsia" w:hint="cs"/>
          <w:i/>
          <w:sz w:val="23"/>
          <w:szCs w:val="23"/>
          <w:rtl/>
        </w:rPr>
        <w:t xml:space="preserve">ادامه داد. با فرض تابع مطلوبیت توانی خواهیم داشت، </w:t>
      </w:r>
    </w:p>
    <w:p w14:paraId="17A5128F" w14:textId="77777777" w:rsidR="00411620" w:rsidRPr="00A40DDC" w:rsidRDefault="00411620" w:rsidP="00411620">
      <w:pPr>
        <w:bidi w:val="0"/>
        <w:spacing w:line="216" w:lineRule="auto"/>
        <w:rPr>
          <w:rFonts w:eastAsiaTheme="minorEastAsia"/>
          <w:i/>
          <w:sz w:val="23"/>
          <w:szCs w:val="23"/>
          <w:rtl/>
        </w:rPr>
      </w:pPr>
      <w:r w:rsidRPr="00A40DDC">
        <w:rPr>
          <w:position w:val="-22"/>
        </w:rPr>
        <w:object w:dxaOrig="2920" w:dyaOrig="600" w14:anchorId="06D3C9B2">
          <v:shape id="_x0000_i3691" type="#_x0000_t75" style="width:145.8pt;height:29.65pt" o:ole="">
            <v:imagedata r:id="rId5371" o:title=""/>
          </v:shape>
          <o:OLEObject Type="Embed" ProgID="Equation.DSMT4" ShapeID="_x0000_i3691" DrawAspect="Content" ObjectID="_1791377635" r:id="rId5372"/>
        </w:object>
      </w:r>
    </w:p>
    <w:p w14:paraId="32C5C3A1" w14:textId="77777777" w:rsidR="00411620" w:rsidRDefault="00411620" w:rsidP="00411620">
      <w:pPr>
        <w:spacing w:line="216" w:lineRule="auto"/>
        <w:rPr>
          <w:rFonts w:eastAsiaTheme="minorEastAsia"/>
          <w:i/>
          <w:sz w:val="23"/>
          <w:szCs w:val="23"/>
          <w:rtl/>
        </w:rPr>
      </w:pPr>
      <w:r w:rsidRPr="00A40DDC">
        <w:rPr>
          <w:rFonts w:eastAsiaTheme="minorEastAsia" w:hint="cs"/>
          <w:i/>
          <w:sz w:val="23"/>
          <w:szCs w:val="23"/>
          <w:rtl/>
        </w:rPr>
        <w:t xml:space="preserve">اگر مصرف کل را تابعی با کشش جانشینی ثابت، </w:t>
      </w:r>
      <w:r w:rsidRPr="00A40DDC">
        <w:rPr>
          <w:rStyle w:val="FootnoteReference"/>
          <w:rFonts w:eastAsiaTheme="minorEastAsia"/>
          <w:i/>
          <w:sz w:val="23"/>
          <w:szCs w:val="23"/>
          <w:rtl/>
        </w:rPr>
        <w:footnoteReference w:id="179"/>
      </w:r>
      <w:r w:rsidRPr="00A40DDC">
        <w:rPr>
          <w:rFonts w:eastAsiaTheme="minorEastAsia"/>
          <w:i/>
          <w:sz w:val="23"/>
          <w:szCs w:val="23"/>
        </w:rPr>
        <w:t>CES</w:t>
      </w:r>
      <w:r w:rsidRPr="00A40DDC">
        <w:rPr>
          <w:rFonts w:eastAsiaTheme="minorEastAsia" w:hint="cs"/>
          <w:i/>
          <w:sz w:val="23"/>
          <w:szCs w:val="23"/>
          <w:rtl/>
        </w:rPr>
        <w:t xml:space="preserve"> نسبت به دو متغیر مصرف کالاهای قابل تجارت و غیر قابل تجارت در نظر بگیریم، خواهیم داشت،</w:t>
      </w:r>
    </w:p>
    <w:p w14:paraId="67EEBC7F" w14:textId="77777777" w:rsidR="00411620" w:rsidRPr="00A40DDC" w:rsidRDefault="00411620" w:rsidP="00411620">
      <w:pPr>
        <w:bidi w:val="0"/>
        <w:spacing w:line="216" w:lineRule="auto"/>
        <w:rPr>
          <w:rFonts w:eastAsiaTheme="minorEastAsia"/>
          <w:i/>
          <w:sz w:val="23"/>
          <w:szCs w:val="23"/>
          <w:rtl/>
        </w:rPr>
      </w:pPr>
      <w:r w:rsidRPr="00A40DDC">
        <w:rPr>
          <w:position w:val="-30"/>
        </w:rPr>
        <w:object w:dxaOrig="5420" w:dyaOrig="820" w14:anchorId="05ED74E1">
          <v:shape id="_x0000_i3692" type="#_x0000_t75" style="width:270.45pt;height:40.55pt" o:ole="">
            <v:imagedata r:id="rId5373" o:title=""/>
          </v:shape>
          <o:OLEObject Type="Embed" ProgID="Equation.DSMT4" ShapeID="_x0000_i3692" DrawAspect="Content" ObjectID="_1791377636" r:id="rId5374"/>
        </w:object>
      </w:r>
      <w:r w:rsidRPr="00A40DDC">
        <w:rPr>
          <w:rFonts w:eastAsiaTheme="minorEastAsia"/>
          <w:i/>
          <w:sz w:val="23"/>
          <w:szCs w:val="23"/>
          <w:rtl/>
        </w:rPr>
        <w:tab/>
      </w:r>
      <w:r w:rsidRPr="00A40DDC">
        <w:rPr>
          <w:rFonts w:eastAsiaTheme="minorEastAsia"/>
          <w:i/>
          <w:sz w:val="23"/>
          <w:szCs w:val="23"/>
          <w:rtl/>
        </w:rPr>
        <w:tab/>
      </w:r>
      <w:r w:rsidRPr="00A40DDC">
        <w:rPr>
          <w:rFonts w:eastAsiaTheme="minorEastAsia" w:hint="cs"/>
          <w:i/>
          <w:sz w:val="23"/>
          <w:szCs w:val="23"/>
          <w:rtl/>
        </w:rPr>
        <w:t>(۷. ۱۶)</w:t>
      </w:r>
    </w:p>
    <w:tbl>
      <w:tblPr>
        <w:tblStyle w:val="TableGrid"/>
        <w:bidiVisual/>
        <w:tblW w:w="0" w:type="auto"/>
        <w:tblLook w:val="04A0" w:firstRow="1" w:lastRow="0" w:firstColumn="1" w:lastColumn="0" w:noHBand="0" w:noVBand="1"/>
      </w:tblPr>
      <w:tblGrid>
        <w:gridCol w:w="2566"/>
        <w:gridCol w:w="2562"/>
        <w:gridCol w:w="1664"/>
      </w:tblGrid>
      <w:tr w:rsidR="00411620" w:rsidRPr="00A40DDC" w14:paraId="125C1FB3" w14:textId="77777777" w:rsidTr="00450AC0">
        <w:tc>
          <w:tcPr>
            <w:tcW w:w="2567" w:type="dxa"/>
          </w:tcPr>
          <w:p w14:paraId="4CC23924" w14:textId="77777777" w:rsidR="00411620" w:rsidRPr="00A40DDC" w:rsidRDefault="00411620" w:rsidP="00450AC0">
            <w:pPr>
              <w:spacing w:line="216" w:lineRule="auto"/>
              <w:jc w:val="center"/>
              <w:rPr>
                <w:rFonts w:eastAsiaTheme="minorEastAsia"/>
                <w:i/>
                <w:sz w:val="23"/>
                <w:szCs w:val="23"/>
                <w:rtl/>
              </w:rPr>
            </w:pPr>
            <w:r w:rsidRPr="00A40DDC">
              <w:rPr>
                <w:rFonts w:eastAsiaTheme="minorEastAsia"/>
                <w:i/>
                <w:sz w:val="23"/>
                <w:szCs w:val="23"/>
              </w:rPr>
              <w:t xml:space="preserve"> </w:t>
            </w:r>
            <w:r w:rsidRPr="00A40DDC">
              <w:rPr>
                <w:rFonts w:eastAsiaTheme="minorEastAsia" w:hint="cs"/>
                <w:i/>
                <w:sz w:val="23"/>
                <w:szCs w:val="23"/>
                <w:rtl/>
              </w:rPr>
              <w:t xml:space="preserve"> غیرقابل تجارت</w:t>
            </w:r>
          </w:p>
        </w:tc>
        <w:tc>
          <w:tcPr>
            <w:tcW w:w="2562" w:type="dxa"/>
          </w:tcPr>
          <w:p w14:paraId="5216EE39" w14:textId="77777777" w:rsidR="00411620" w:rsidRPr="00A40DDC" w:rsidRDefault="00411620" w:rsidP="00450AC0">
            <w:pPr>
              <w:spacing w:line="216" w:lineRule="auto"/>
              <w:jc w:val="center"/>
              <w:rPr>
                <w:rFonts w:eastAsiaTheme="minorEastAsia"/>
                <w:i/>
                <w:sz w:val="23"/>
                <w:szCs w:val="23"/>
                <w:rtl/>
              </w:rPr>
            </w:pPr>
            <w:r w:rsidRPr="00A40DDC">
              <w:rPr>
                <w:rFonts w:eastAsiaTheme="minorEastAsia" w:hint="cs"/>
                <w:i/>
                <w:sz w:val="23"/>
                <w:szCs w:val="23"/>
                <w:rtl/>
              </w:rPr>
              <w:t>قابل تجارت</w:t>
            </w:r>
          </w:p>
        </w:tc>
        <w:tc>
          <w:tcPr>
            <w:tcW w:w="1665" w:type="dxa"/>
          </w:tcPr>
          <w:p w14:paraId="54BDD9DF" w14:textId="77777777" w:rsidR="00411620" w:rsidRPr="00A40DDC" w:rsidRDefault="00411620" w:rsidP="00450AC0">
            <w:pPr>
              <w:spacing w:line="216" w:lineRule="auto"/>
              <w:rPr>
                <w:rFonts w:eastAsiaTheme="minorEastAsia"/>
                <w:i/>
                <w:sz w:val="23"/>
                <w:szCs w:val="23"/>
                <w:rtl/>
              </w:rPr>
            </w:pPr>
          </w:p>
        </w:tc>
      </w:tr>
      <w:tr w:rsidR="00411620" w:rsidRPr="00A40DDC" w14:paraId="49309E54" w14:textId="77777777" w:rsidTr="00450AC0">
        <w:tc>
          <w:tcPr>
            <w:tcW w:w="2567" w:type="dxa"/>
          </w:tcPr>
          <w:p w14:paraId="7338C7C7" w14:textId="77777777" w:rsidR="00411620" w:rsidRPr="00A40DDC" w:rsidRDefault="00411620" w:rsidP="00450AC0">
            <w:pPr>
              <w:tabs>
                <w:tab w:val="center" w:pos="1180"/>
                <w:tab w:val="right" w:pos="2360"/>
              </w:tabs>
              <w:spacing w:line="216" w:lineRule="auto"/>
              <w:rPr>
                <w:rFonts w:eastAsiaTheme="minorEastAsia"/>
                <w:i/>
                <w:sz w:val="23"/>
                <w:szCs w:val="23"/>
                <w:rtl/>
              </w:rPr>
            </w:pPr>
            <w:r w:rsidRPr="00A40DDC">
              <w:rPr>
                <w:i/>
                <w:sz w:val="23"/>
                <w:szCs w:val="23"/>
              </w:rPr>
              <w:tab/>
            </w:r>
            <w:r w:rsidRPr="00A40DDC">
              <w:rPr>
                <w:position w:val="-16"/>
              </w:rPr>
              <w:object w:dxaOrig="1480" w:dyaOrig="420" w14:anchorId="01A98C98">
                <v:shape id="_x0000_i3693" type="#_x0000_t75" style="width:73.8pt;height:21.2pt" o:ole="">
                  <v:imagedata r:id="rId5375" o:title=""/>
                </v:shape>
                <o:OLEObject Type="Embed" ProgID="Equation.DSMT4" ShapeID="_x0000_i3693" DrawAspect="Content" ObjectID="_1791377637" r:id="rId5376"/>
              </w:object>
            </w:r>
          </w:p>
        </w:tc>
        <w:tc>
          <w:tcPr>
            <w:tcW w:w="2562" w:type="dxa"/>
          </w:tcPr>
          <w:p w14:paraId="64550E82" w14:textId="77777777" w:rsidR="00411620" w:rsidRPr="00A40DDC" w:rsidRDefault="00411620" w:rsidP="00450AC0">
            <w:pPr>
              <w:tabs>
                <w:tab w:val="center" w:pos="1170"/>
                <w:tab w:val="right" w:pos="2340"/>
              </w:tabs>
              <w:spacing w:line="216" w:lineRule="auto"/>
              <w:rPr>
                <w:rFonts w:eastAsiaTheme="minorEastAsia"/>
                <w:i/>
                <w:sz w:val="23"/>
                <w:szCs w:val="23"/>
                <w:rtl/>
              </w:rPr>
            </w:pPr>
            <w:r w:rsidRPr="00A40DDC">
              <w:rPr>
                <w:i/>
                <w:sz w:val="23"/>
                <w:szCs w:val="23"/>
              </w:rPr>
              <w:tab/>
            </w:r>
            <w:r w:rsidRPr="00A40DDC">
              <w:rPr>
                <w:position w:val="-16"/>
              </w:rPr>
              <w:object w:dxaOrig="1480" w:dyaOrig="420" w14:anchorId="6083672D">
                <v:shape id="_x0000_i3694" type="#_x0000_t75" style="width:73.8pt;height:21.2pt" o:ole="">
                  <v:imagedata r:id="rId5377" o:title=""/>
                </v:shape>
                <o:OLEObject Type="Embed" ProgID="Equation.DSMT4" ShapeID="_x0000_i3694" DrawAspect="Content" ObjectID="_1791377638" r:id="rId5378"/>
              </w:object>
            </w:r>
          </w:p>
        </w:tc>
        <w:tc>
          <w:tcPr>
            <w:tcW w:w="1665" w:type="dxa"/>
          </w:tcPr>
          <w:p w14:paraId="2E1A7CC0" w14:textId="77777777" w:rsidR="00411620" w:rsidRPr="00A40DDC" w:rsidRDefault="00411620" w:rsidP="00450AC0">
            <w:pPr>
              <w:spacing w:line="216" w:lineRule="auto"/>
              <w:rPr>
                <w:rFonts w:eastAsiaTheme="minorEastAsia"/>
                <w:i/>
                <w:sz w:val="23"/>
                <w:szCs w:val="23"/>
                <w:rtl/>
              </w:rPr>
            </w:pPr>
            <w:r w:rsidRPr="00A40DDC">
              <w:rPr>
                <w:rFonts w:eastAsiaTheme="minorEastAsia" w:hint="cs"/>
                <w:i/>
                <w:sz w:val="23"/>
                <w:szCs w:val="23"/>
                <w:rtl/>
              </w:rPr>
              <w:t>تولید</w:t>
            </w:r>
          </w:p>
        </w:tc>
      </w:tr>
      <w:tr w:rsidR="00411620" w:rsidRPr="00A40DDC" w14:paraId="47453DBD" w14:textId="77777777" w:rsidTr="00450AC0">
        <w:tc>
          <w:tcPr>
            <w:tcW w:w="2567" w:type="dxa"/>
          </w:tcPr>
          <w:p w14:paraId="6936C86A" w14:textId="77777777" w:rsidR="00411620" w:rsidRPr="00A40DDC" w:rsidRDefault="00411620" w:rsidP="00450AC0">
            <w:pPr>
              <w:tabs>
                <w:tab w:val="center" w:pos="1180"/>
                <w:tab w:val="right" w:pos="2360"/>
              </w:tabs>
              <w:spacing w:line="216" w:lineRule="auto"/>
              <w:rPr>
                <w:rFonts w:eastAsiaTheme="minorEastAsia"/>
                <w:i/>
                <w:sz w:val="23"/>
                <w:szCs w:val="23"/>
                <w:rtl/>
              </w:rPr>
            </w:pPr>
            <w:r w:rsidRPr="00A40DDC">
              <w:rPr>
                <w:i/>
                <w:sz w:val="23"/>
                <w:szCs w:val="23"/>
              </w:rPr>
              <w:tab/>
            </w:r>
            <w:r w:rsidRPr="00A40DDC">
              <w:rPr>
                <w:position w:val="-10"/>
              </w:rPr>
              <w:object w:dxaOrig="300" w:dyaOrig="340" w14:anchorId="2C1A1FE3">
                <v:shape id="_x0000_i3695" type="#_x0000_t75" style="width:14.5pt;height:16.95pt" o:ole="">
                  <v:imagedata r:id="rId5379" o:title=""/>
                </v:shape>
                <o:OLEObject Type="Embed" ProgID="Equation.DSMT4" ShapeID="_x0000_i3695" DrawAspect="Content" ObjectID="_1791377639" r:id="rId5380"/>
              </w:object>
            </w:r>
          </w:p>
        </w:tc>
        <w:tc>
          <w:tcPr>
            <w:tcW w:w="2562" w:type="dxa"/>
          </w:tcPr>
          <w:p w14:paraId="75B38AC8" w14:textId="77777777" w:rsidR="00411620" w:rsidRPr="00A40DDC" w:rsidRDefault="00411620" w:rsidP="00450AC0">
            <w:pPr>
              <w:tabs>
                <w:tab w:val="center" w:pos="1170"/>
                <w:tab w:val="right" w:pos="2340"/>
              </w:tabs>
              <w:spacing w:line="216" w:lineRule="auto"/>
              <w:rPr>
                <w:rFonts w:eastAsiaTheme="minorEastAsia"/>
                <w:i/>
                <w:sz w:val="23"/>
                <w:szCs w:val="23"/>
                <w:rtl/>
              </w:rPr>
            </w:pPr>
            <w:r w:rsidRPr="00A40DDC">
              <w:rPr>
                <w:i/>
                <w:sz w:val="23"/>
                <w:szCs w:val="23"/>
              </w:rPr>
              <w:tab/>
            </w:r>
            <w:r w:rsidRPr="00A40DDC">
              <w:rPr>
                <w:position w:val="-10"/>
              </w:rPr>
              <w:object w:dxaOrig="260" w:dyaOrig="340" w14:anchorId="0146140C">
                <v:shape id="_x0000_i3696" type="#_x0000_t75" style="width:13.3pt;height:16.95pt" o:ole="">
                  <v:imagedata r:id="rId5381" o:title=""/>
                </v:shape>
                <o:OLEObject Type="Embed" ProgID="Equation.DSMT4" ShapeID="_x0000_i3696" DrawAspect="Content" ObjectID="_1791377640" r:id="rId5382"/>
              </w:object>
            </w:r>
          </w:p>
        </w:tc>
        <w:tc>
          <w:tcPr>
            <w:tcW w:w="1665" w:type="dxa"/>
          </w:tcPr>
          <w:p w14:paraId="03E019AA" w14:textId="77777777" w:rsidR="00411620" w:rsidRPr="00A40DDC" w:rsidRDefault="00411620" w:rsidP="00450AC0">
            <w:pPr>
              <w:spacing w:line="216" w:lineRule="auto"/>
              <w:rPr>
                <w:rFonts w:eastAsiaTheme="minorEastAsia"/>
                <w:i/>
                <w:sz w:val="23"/>
                <w:szCs w:val="23"/>
                <w:rtl/>
              </w:rPr>
            </w:pPr>
            <w:r w:rsidRPr="00A40DDC">
              <w:rPr>
                <w:rFonts w:eastAsiaTheme="minorEastAsia" w:hint="cs"/>
                <w:i/>
                <w:sz w:val="23"/>
                <w:szCs w:val="23"/>
                <w:rtl/>
              </w:rPr>
              <w:t>مصرف</w:t>
            </w:r>
          </w:p>
        </w:tc>
      </w:tr>
      <w:tr w:rsidR="00411620" w:rsidRPr="00A40DDC" w14:paraId="25530B8B" w14:textId="77777777" w:rsidTr="00450AC0">
        <w:tc>
          <w:tcPr>
            <w:tcW w:w="2567" w:type="dxa"/>
          </w:tcPr>
          <w:p w14:paraId="465E513A" w14:textId="77777777" w:rsidR="00411620" w:rsidRPr="00A40DDC" w:rsidRDefault="00411620" w:rsidP="00450AC0">
            <w:pPr>
              <w:tabs>
                <w:tab w:val="center" w:pos="1180"/>
                <w:tab w:val="right" w:pos="2360"/>
              </w:tabs>
              <w:spacing w:line="216" w:lineRule="auto"/>
              <w:rPr>
                <w:rFonts w:eastAsiaTheme="minorEastAsia"/>
                <w:i/>
                <w:sz w:val="23"/>
                <w:szCs w:val="23"/>
                <w:rtl/>
              </w:rPr>
            </w:pPr>
            <w:r w:rsidRPr="00A40DDC">
              <w:rPr>
                <w:i/>
                <w:sz w:val="23"/>
                <w:szCs w:val="23"/>
              </w:rPr>
              <w:tab/>
            </w:r>
            <w:r w:rsidRPr="00A40DDC">
              <w:rPr>
                <w:position w:val="-10"/>
              </w:rPr>
              <w:object w:dxaOrig="320" w:dyaOrig="340" w14:anchorId="787BB5E5">
                <v:shape id="_x0000_i3697" type="#_x0000_t75" style="width:15.75pt;height:16.95pt" o:ole="">
                  <v:imagedata r:id="rId5383" o:title=""/>
                </v:shape>
                <o:OLEObject Type="Embed" ProgID="Equation.DSMT4" ShapeID="_x0000_i3697" DrawAspect="Content" ObjectID="_1791377641" r:id="rId5384"/>
              </w:object>
            </w:r>
          </w:p>
        </w:tc>
        <w:tc>
          <w:tcPr>
            <w:tcW w:w="2562" w:type="dxa"/>
          </w:tcPr>
          <w:p w14:paraId="2B5F088C" w14:textId="77777777" w:rsidR="00411620" w:rsidRPr="00A40DDC" w:rsidRDefault="00411620" w:rsidP="00450AC0">
            <w:pPr>
              <w:tabs>
                <w:tab w:val="center" w:pos="1170"/>
                <w:tab w:val="right" w:pos="2340"/>
              </w:tabs>
              <w:spacing w:line="216" w:lineRule="auto"/>
              <w:rPr>
                <w:rFonts w:eastAsiaTheme="minorEastAsia"/>
                <w:i/>
                <w:sz w:val="23"/>
                <w:szCs w:val="23"/>
              </w:rPr>
            </w:pPr>
            <w:r w:rsidRPr="00A40DDC">
              <w:rPr>
                <w:i/>
                <w:sz w:val="23"/>
                <w:szCs w:val="23"/>
              </w:rPr>
              <w:tab/>
            </w:r>
            <w:r w:rsidRPr="00A40DDC">
              <w:rPr>
                <w:position w:val="-10"/>
              </w:rPr>
              <w:object w:dxaOrig="300" w:dyaOrig="340" w14:anchorId="3CFE1278">
                <v:shape id="_x0000_i3698" type="#_x0000_t75" style="width:14.5pt;height:16.95pt" o:ole="">
                  <v:imagedata r:id="rId5385" o:title=""/>
                </v:shape>
                <o:OLEObject Type="Embed" ProgID="Equation.DSMT4" ShapeID="_x0000_i3698" DrawAspect="Content" ObjectID="_1791377642" r:id="rId5386"/>
              </w:object>
            </w:r>
          </w:p>
        </w:tc>
        <w:tc>
          <w:tcPr>
            <w:tcW w:w="1665" w:type="dxa"/>
          </w:tcPr>
          <w:p w14:paraId="77D79A9A" w14:textId="77777777" w:rsidR="00411620" w:rsidRPr="00A40DDC" w:rsidRDefault="00411620" w:rsidP="00450AC0">
            <w:pPr>
              <w:spacing w:line="216" w:lineRule="auto"/>
              <w:rPr>
                <w:rFonts w:eastAsiaTheme="minorEastAsia"/>
                <w:i/>
                <w:sz w:val="23"/>
                <w:szCs w:val="23"/>
                <w:rtl/>
              </w:rPr>
            </w:pPr>
            <w:r w:rsidRPr="00A40DDC">
              <w:rPr>
                <w:rFonts w:eastAsiaTheme="minorEastAsia" w:hint="cs"/>
                <w:i/>
                <w:sz w:val="23"/>
                <w:szCs w:val="23"/>
                <w:rtl/>
              </w:rPr>
              <w:t>سرمایه</w:t>
            </w:r>
          </w:p>
        </w:tc>
      </w:tr>
      <w:tr w:rsidR="00411620" w:rsidRPr="00A40DDC" w14:paraId="48E4403C" w14:textId="77777777" w:rsidTr="00450AC0">
        <w:tc>
          <w:tcPr>
            <w:tcW w:w="2567" w:type="dxa"/>
          </w:tcPr>
          <w:p w14:paraId="7DEEA83D" w14:textId="77777777" w:rsidR="00411620" w:rsidRPr="00A40DDC" w:rsidRDefault="00411620" w:rsidP="00450AC0">
            <w:pPr>
              <w:tabs>
                <w:tab w:val="center" w:pos="1130"/>
                <w:tab w:val="right" w:pos="2260"/>
              </w:tabs>
              <w:spacing w:line="216" w:lineRule="auto"/>
              <w:rPr>
                <w:rFonts w:eastAsiaTheme="minorEastAsia"/>
                <w:i/>
                <w:sz w:val="23"/>
                <w:szCs w:val="23"/>
                <w:rtl/>
              </w:rPr>
            </w:pPr>
            <w:r w:rsidRPr="00A40DDC">
              <w:rPr>
                <w:i/>
                <w:sz w:val="23"/>
                <w:szCs w:val="23"/>
              </w:rPr>
              <w:tab/>
            </w:r>
            <w:r w:rsidRPr="00A40DDC">
              <w:rPr>
                <w:position w:val="-10"/>
              </w:rPr>
              <w:object w:dxaOrig="1640" w:dyaOrig="340" w14:anchorId="7A1769C5">
                <v:shape id="_x0000_i3699" type="#_x0000_t75" style="width:82.3pt;height:16.95pt" o:ole="">
                  <v:imagedata r:id="rId5387" o:title=""/>
                </v:shape>
                <o:OLEObject Type="Embed" ProgID="Equation.DSMT4" ShapeID="_x0000_i3699" DrawAspect="Content" ObjectID="_1791377643" r:id="rId5388"/>
              </w:object>
            </w:r>
          </w:p>
        </w:tc>
        <w:tc>
          <w:tcPr>
            <w:tcW w:w="2562" w:type="dxa"/>
          </w:tcPr>
          <w:p w14:paraId="47B916B5" w14:textId="77777777" w:rsidR="00411620" w:rsidRPr="00A40DDC" w:rsidRDefault="00411620" w:rsidP="00450AC0">
            <w:pPr>
              <w:tabs>
                <w:tab w:val="center" w:pos="1160"/>
                <w:tab w:val="right" w:pos="2320"/>
              </w:tabs>
              <w:spacing w:line="216" w:lineRule="auto"/>
              <w:rPr>
                <w:rFonts w:eastAsiaTheme="minorEastAsia"/>
                <w:i/>
                <w:sz w:val="23"/>
                <w:szCs w:val="23"/>
                <w:rtl/>
              </w:rPr>
            </w:pPr>
            <w:r w:rsidRPr="00A40DDC">
              <w:rPr>
                <w:i/>
                <w:sz w:val="23"/>
                <w:szCs w:val="23"/>
              </w:rPr>
              <w:tab/>
            </w:r>
            <w:r w:rsidRPr="00A40DDC">
              <w:rPr>
                <w:position w:val="-10"/>
              </w:rPr>
              <w:object w:dxaOrig="1579" w:dyaOrig="340" w14:anchorId="6F41A526">
                <v:shape id="_x0000_i3700" type="#_x0000_t75" style="width:79.25pt;height:16.95pt" o:ole="">
                  <v:imagedata r:id="rId5389" o:title=""/>
                </v:shape>
                <o:OLEObject Type="Embed" ProgID="Equation.DSMT4" ShapeID="_x0000_i3700" DrawAspect="Content" ObjectID="_1791377644" r:id="rId5390"/>
              </w:object>
            </w:r>
          </w:p>
        </w:tc>
        <w:tc>
          <w:tcPr>
            <w:tcW w:w="1665" w:type="dxa"/>
          </w:tcPr>
          <w:p w14:paraId="22A902FC" w14:textId="77777777" w:rsidR="00411620" w:rsidRPr="00A40DDC" w:rsidRDefault="00411620" w:rsidP="00450AC0">
            <w:pPr>
              <w:spacing w:line="216" w:lineRule="auto"/>
              <w:rPr>
                <w:rFonts w:eastAsiaTheme="minorEastAsia"/>
                <w:i/>
                <w:sz w:val="23"/>
                <w:szCs w:val="23"/>
                <w:rtl/>
              </w:rPr>
            </w:pPr>
            <w:r w:rsidRPr="00A40DDC">
              <w:rPr>
                <w:rFonts w:eastAsiaTheme="minorEastAsia" w:hint="cs"/>
                <w:i/>
                <w:sz w:val="23"/>
                <w:szCs w:val="23"/>
                <w:rtl/>
              </w:rPr>
              <w:t>سرمایه</w:t>
            </w:r>
            <w:r w:rsidRPr="00A40DDC">
              <w:rPr>
                <w:rFonts w:eastAsiaTheme="minorEastAsia"/>
                <w:i/>
                <w:sz w:val="23"/>
                <w:szCs w:val="23"/>
              </w:rPr>
              <w:softHyphen/>
            </w:r>
            <w:r w:rsidRPr="00A40DDC">
              <w:rPr>
                <w:rFonts w:eastAsiaTheme="minorEastAsia" w:hint="cs"/>
                <w:i/>
                <w:sz w:val="23"/>
                <w:szCs w:val="23"/>
                <w:rtl/>
              </w:rPr>
              <w:t>گذاری</w:t>
            </w:r>
          </w:p>
        </w:tc>
      </w:tr>
      <w:tr w:rsidR="00411620" w:rsidRPr="00A40DDC" w14:paraId="67A48680" w14:textId="77777777" w:rsidTr="00450AC0">
        <w:tc>
          <w:tcPr>
            <w:tcW w:w="2567" w:type="dxa"/>
          </w:tcPr>
          <w:p w14:paraId="77810A98" w14:textId="77777777" w:rsidR="00411620" w:rsidRPr="00A40DDC" w:rsidRDefault="00411620" w:rsidP="00450AC0">
            <w:pPr>
              <w:tabs>
                <w:tab w:val="center" w:pos="1030"/>
                <w:tab w:val="right" w:pos="2060"/>
              </w:tabs>
              <w:spacing w:line="216" w:lineRule="auto"/>
              <w:rPr>
                <w:rFonts w:eastAsiaTheme="minorEastAsia"/>
                <w:i/>
                <w:sz w:val="23"/>
                <w:szCs w:val="23"/>
                <w:rtl/>
              </w:rPr>
            </w:pPr>
            <w:r w:rsidRPr="00A40DDC">
              <w:rPr>
                <w:i/>
                <w:sz w:val="23"/>
                <w:szCs w:val="23"/>
              </w:rPr>
              <w:tab/>
            </w:r>
            <w:r w:rsidRPr="00A40DDC">
              <w:rPr>
                <w:position w:val="-10"/>
              </w:rPr>
              <w:object w:dxaOrig="340" w:dyaOrig="340" w14:anchorId="446982F0">
                <v:shape id="_x0000_i3701" type="#_x0000_t75" style="width:16.95pt;height:16.95pt" o:ole="">
                  <v:imagedata r:id="rId5391" o:title=""/>
                </v:shape>
                <o:OLEObject Type="Embed" ProgID="Equation.DSMT4" ShapeID="_x0000_i3701" DrawAspect="Content" ObjectID="_1791377645" r:id="rId5392"/>
              </w:object>
            </w:r>
          </w:p>
        </w:tc>
        <w:tc>
          <w:tcPr>
            <w:tcW w:w="2562" w:type="dxa"/>
          </w:tcPr>
          <w:p w14:paraId="2C807064" w14:textId="77777777" w:rsidR="00411620" w:rsidRPr="00A40DDC" w:rsidRDefault="00411620" w:rsidP="00450AC0">
            <w:pPr>
              <w:tabs>
                <w:tab w:val="center" w:pos="1040"/>
                <w:tab w:val="right" w:pos="2080"/>
              </w:tabs>
              <w:spacing w:line="216" w:lineRule="auto"/>
              <w:rPr>
                <w:rFonts w:eastAsiaTheme="minorEastAsia"/>
                <w:i/>
                <w:sz w:val="23"/>
                <w:szCs w:val="23"/>
                <w:rtl/>
              </w:rPr>
            </w:pPr>
            <w:r w:rsidRPr="00A40DDC">
              <w:rPr>
                <w:i/>
                <w:sz w:val="23"/>
                <w:szCs w:val="23"/>
              </w:rPr>
              <w:tab/>
            </w:r>
            <w:r w:rsidRPr="00A40DDC">
              <w:rPr>
                <w:position w:val="-10"/>
              </w:rPr>
              <w:object w:dxaOrig="320" w:dyaOrig="340" w14:anchorId="1ED10CD4">
                <v:shape id="_x0000_i3702" type="#_x0000_t75" style="width:15.75pt;height:16.95pt" o:ole="">
                  <v:imagedata r:id="rId5393" o:title=""/>
                </v:shape>
                <o:OLEObject Type="Embed" ProgID="Equation.DSMT4" ShapeID="_x0000_i3702" DrawAspect="Content" ObjectID="_1791377646" r:id="rId5394"/>
              </w:object>
            </w:r>
          </w:p>
        </w:tc>
        <w:tc>
          <w:tcPr>
            <w:tcW w:w="1665" w:type="dxa"/>
          </w:tcPr>
          <w:p w14:paraId="566479E1" w14:textId="77777777" w:rsidR="00411620" w:rsidRPr="00A40DDC" w:rsidRDefault="00411620" w:rsidP="00450AC0">
            <w:pPr>
              <w:spacing w:line="216" w:lineRule="auto"/>
              <w:rPr>
                <w:rFonts w:eastAsiaTheme="minorEastAsia"/>
                <w:i/>
                <w:sz w:val="23"/>
                <w:szCs w:val="23"/>
                <w:rtl/>
              </w:rPr>
            </w:pPr>
            <w:r w:rsidRPr="00A40DDC">
              <w:rPr>
                <w:rFonts w:eastAsiaTheme="minorEastAsia" w:hint="cs"/>
                <w:i/>
                <w:sz w:val="23"/>
                <w:szCs w:val="23"/>
                <w:rtl/>
              </w:rPr>
              <w:t>قیمت</w:t>
            </w:r>
            <w:r w:rsidRPr="00A40DDC">
              <w:rPr>
                <w:rFonts w:eastAsiaTheme="minorEastAsia"/>
                <w:i/>
                <w:sz w:val="23"/>
                <w:szCs w:val="23"/>
              </w:rPr>
              <w:softHyphen/>
            </w:r>
            <w:r w:rsidRPr="00A40DDC">
              <w:rPr>
                <w:rFonts w:eastAsiaTheme="minorEastAsia" w:hint="cs"/>
                <w:i/>
                <w:sz w:val="23"/>
                <w:szCs w:val="23"/>
                <w:rtl/>
              </w:rPr>
              <w:t>ها</w:t>
            </w:r>
          </w:p>
        </w:tc>
      </w:tr>
    </w:tbl>
    <w:p w14:paraId="2DC8CD91" w14:textId="77777777" w:rsidR="00411620" w:rsidRDefault="00411620" w:rsidP="00411620">
      <w:pPr>
        <w:spacing w:line="216" w:lineRule="auto"/>
        <w:rPr>
          <w:rFonts w:eastAsiaTheme="minorEastAsia"/>
          <w:i/>
          <w:sz w:val="23"/>
          <w:szCs w:val="23"/>
          <w:rtl/>
        </w:rPr>
      </w:pPr>
    </w:p>
    <w:p w14:paraId="0B831131"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که در آن ضریب</w:t>
      </w:r>
      <w:r w:rsidRPr="00A40DDC">
        <w:rPr>
          <w:position w:val="-10"/>
        </w:rPr>
        <w:object w:dxaOrig="200" w:dyaOrig="240" w14:anchorId="54E5DA1C">
          <v:shape id="_x0000_i3703" type="#_x0000_t75" style="width:10.3pt;height:11.5pt" o:ole="">
            <v:imagedata r:id="rId5395" o:title=""/>
          </v:shape>
          <o:OLEObject Type="Embed" ProgID="Equation.DSMT4" ShapeID="_x0000_i3703" DrawAspect="Content" ObjectID="_1791377647" r:id="rId5396"/>
        </w:object>
      </w:r>
      <w:r w:rsidRPr="00A40DDC">
        <w:rPr>
          <w:rFonts w:eastAsiaTheme="minorEastAsia" w:hint="cs"/>
          <w:i/>
          <w:sz w:val="23"/>
          <w:szCs w:val="23"/>
          <w:rtl/>
        </w:rPr>
        <w:t xml:space="preserve"> کشش جانشینی بین کالاهای قابل تجارت و غیر قابل تجارت است. کشش جانشینی بین</w:t>
      </w:r>
      <w:r w:rsidRPr="00A40DDC">
        <w:rPr>
          <w:position w:val="-10"/>
        </w:rPr>
        <w:object w:dxaOrig="340" w:dyaOrig="340" w14:anchorId="10ED4DC0">
          <v:shape id="_x0000_i3704" type="#_x0000_t75" style="width:16.95pt;height:16.95pt" o:ole="">
            <v:imagedata r:id="rId5397" o:title=""/>
          </v:shape>
          <o:OLEObject Type="Embed" ProgID="Equation.DSMT4" ShapeID="_x0000_i3704" DrawAspect="Content" ObjectID="_1791377648" r:id="rId5398"/>
        </w:object>
      </w:r>
      <w:r w:rsidRPr="00A40DDC">
        <w:rPr>
          <w:rFonts w:eastAsiaTheme="minorEastAsia" w:hint="cs"/>
          <w:i/>
          <w:sz w:val="23"/>
          <w:szCs w:val="23"/>
          <w:rtl/>
        </w:rPr>
        <w:t xml:space="preserve"> و </w:t>
      </w:r>
      <w:r w:rsidRPr="00A40DDC">
        <w:rPr>
          <w:position w:val="-10"/>
        </w:rPr>
        <w:object w:dxaOrig="260" w:dyaOrig="340" w14:anchorId="7ACC6F9A">
          <v:shape id="_x0000_i3705" type="#_x0000_t75" style="width:13.3pt;height:16.95pt" o:ole="">
            <v:imagedata r:id="rId5399" o:title=""/>
          </v:shape>
          <o:OLEObject Type="Embed" ProgID="Equation.DSMT4" ShapeID="_x0000_i3705" DrawAspect="Content" ObjectID="_1791377649" r:id="rId5400"/>
        </w:object>
      </w:r>
      <w:r w:rsidRPr="00A40DDC">
        <w:rPr>
          <w:rFonts w:eastAsiaTheme="minorEastAsia" w:hint="cs"/>
          <w:i/>
          <w:sz w:val="23"/>
          <w:szCs w:val="23"/>
          <w:rtl/>
        </w:rPr>
        <w:t xml:space="preserve"> عبارت است از، </w:t>
      </w:r>
    </w:p>
    <w:p w14:paraId="3E372C4A" w14:textId="77777777" w:rsidR="00411620" w:rsidRPr="00A40DDC" w:rsidRDefault="00411620" w:rsidP="00411620">
      <w:pPr>
        <w:bidi w:val="0"/>
        <w:spacing w:line="216" w:lineRule="auto"/>
        <w:rPr>
          <w:rFonts w:eastAsiaTheme="minorEastAsia"/>
          <w:i/>
          <w:sz w:val="23"/>
          <w:szCs w:val="23"/>
        </w:rPr>
      </w:pPr>
      <w:r w:rsidRPr="00A40DDC">
        <w:rPr>
          <w:position w:val="-62"/>
        </w:rPr>
        <w:object w:dxaOrig="2400" w:dyaOrig="1060" w14:anchorId="0FE25146">
          <v:shape id="_x0000_i3706" type="#_x0000_t75" style="width:119.8pt;height:53.25pt" o:ole="">
            <v:imagedata r:id="rId5401" o:title=""/>
          </v:shape>
          <o:OLEObject Type="Embed" ProgID="Equation.DSMT4" ShapeID="_x0000_i3706" DrawAspect="Content" ObjectID="_1791377650" r:id="rId5402"/>
        </w:object>
      </w:r>
      <w:r w:rsidRPr="00A40DDC">
        <w:rPr>
          <w:rFonts w:eastAsiaTheme="minorEastAsia" w:hint="cs"/>
          <w:i/>
          <w:sz w:val="23"/>
          <w:szCs w:val="23"/>
          <w:rtl/>
        </w:rPr>
        <w:t xml:space="preserve"> </w:t>
      </w:r>
    </w:p>
    <w:p w14:paraId="65AAE228"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یعنی</w:t>
      </w:r>
      <w:r w:rsidRPr="00A40DDC">
        <w:rPr>
          <w:position w:val="-6"/>
        </w:rPr>
        <w:object w:dxaOrig="400" w:dyaOrig="300" w14:anchorId="78549450">
          <v:shape id="_x0000_i3707" type="#_x0000_t75" style="width:19.95pt;height:14.5pt" o:ole="">
            <v:imagedata r:id="rId5403" o:title=""/>
          </v:shape>
          <o:OLEObject Type="Embed" ProgID="Equation.DSMT4" ShapeID="_x0000_i3707" DrawAspect="Content" ObjectID="_1791377651" r:id="rId5404"/>
        </w:object>
      </w:r>
      <w:r w:rsidRPr="00A40DDC">
        <w:rPr>
          <w:rFonts w:eastAsiaTheme="minorEastAsia"/>
          <w:i/>
          <w:sz w:val="23"/>
          <w:szCs w:val="23"/>
        </w:rPr>
        <w:t xml:space="preserve"> </w:t>
      </w:r>
      <w:r w:rsidRPr="00A40DDC">
        <w:rPr>
          <w:rFonts w:eastAsiaTheme="minorEastAsia" w:hint="cs"/>
          <w:i/>
          <w:sz w:val="23"/>
          <w:szCs w:val="23"/>
          <w:rtl/>
        </w:rPr>
        <w:t>برابر است با تغییر متناسب در نسبت نهاده‌های مصرفی</w:t>
      </w:r>
      <w:r w:rsidRPr="00A40DDC">
        <w:rPr>
          <w:position w:val="-6"/>
        </w:rPr>
        <w:object w:dxaOrig="260" w:dyaOrig="300" w14:anchorId="5FCAAF81">
          <v:shape id="_x0000_i3708" type="#_x0000_t75" style="width:13.3pt;height:14.5pt" o:ole="">
            <v:imagedata r:id="rId5405" o:title=""/>
          </v:shape>
          <o:OLEObject Type="Embed" ProgID="Equation.DSMT4" ShapeID="_x0000_i3708" DrawAspect="Content" ObjectID="_1791377652" r:id="rId5406"/>
        </w:object>
      </w:r>
      <w:r w:rsidRPr="00A40DDC">
        <w:rPr>
          <w:rFonts w:eastAsiaTheme="minorEastAsia" w:hint="cs"/>
          <w:i/>
          <w:sz w:val="23"/>
          <w:szCs w:val="23"/>
          <w:rtl/>
        </w:rPr>
        <w:t xml:space="preserve"> و</w:t>
      </w:r>
      <w:r w:rsidRPr="00A40DDC">
        <w:rPr>
          <w:position w:val="-6"/>
        </w:rPr>
        <w:object w:dxaOrig="300" w:dyaOrig="300" w14:anchorId="7DBBDE2C">
          <v:shape id="_x0000_i3709" type="#_x0000_t75" style="width:14.5pt;height:14.5pt" o:ole="">
            <v:imagedata r:id="rId5407" o:title=""/>
          </v:shape>
          <o:OLEObject Type="Embed" ProgID="Equation.DSMT4" ShapeID="_x0000_i3709" DrawAspect="Content" ObjectID="_1791377653" r:id="rId5408"/>
        </w:object>
      </w:r>
      <w:r w:rsidRPr="00A40DDC">
        <w:rPr>
          <w:rFonts w:hint="cs"/>
          <w:i/>
          <w:sz w:val="23"/>
          <w:szCs w:val="23"/>
          <w:rtl/>
        </w:rPr>
        <w:t>،</w:t>
      </w:r>
      <w:r w:rsidRPr="00A40DDC">
        <w:rPr>
          <w:rFonts w:eastAsiaTheme="minorEastAsia" w:hint="cs"/>
          <w:i/>
          <w:sz w:val="23"/>
          <w:szCs w:val="23"/>
          <w:rtl/>
        </w:rPr>
        <w:t xml:space="preserve"> تقسیم بر تغییر متناسب در نسبت تولید نهایی آن‌ها. اگر تابع تولید از نوع توابع کاب داگلاس باشد، یعنی</w:t>
      </w:r>
      <w:r w:rsidRPr="00A40DDC">
        <w:rPr>
          <w:position w:val="-16"/>
        </w:rPr>
        <w:object w:dxaOrig="1560" w:dyaOrig="460" w14:anchorId="2B4736EC">
          <v:shape id="_x0000_i3710" type="#_x0000_t75" style="width:78.05pt;height:23pt" o:ole="">
            <v:imagedata r:id="rId5409" o:title=""/>
          </v:shape>
          <o:OLEObject Type="Embed" ProgID="Equation.DSMT4" ShapeID="_x0000_i3710" DrawAspect="Content" ObjectID="_1791377654" r:id="rId5410"/>
        </w:object>
      </w:r>
      <w:r w:rsidRPr="00A40DDC">
        <w:rPr>
          <w:rFonts w:hint="cs"/>
          <w:i/>
          <w:sz w:val="23"/>
          <w:szCs w:val="23"/>
          <w:rtl/>
        </w:rPr>
        <w:t>،</w:t>
      </w:r>
      <w:r w:rsidRPr="00A40DDC">
        <w:rPr>
          <w:rFonts w:eastAsiaTheme="minorEastAsia"/>
          <w:i/>
          <w:sz w:val="23"/>
          <w:szCs w:val="23"/>
        </w:rPr>
        <w:t xml:space="preserve"> </w:t>
      </w:r>
      <w:r w:rsidRPr="00A40DDC">
        <w:rPr>
          <w:rFonts w:eastAsiaTheme="minorEastAsia" w:hint="cs"/>
          <w:i/>
          <w:sz w:val="23"/>
          <w:szCs w:val="23"/>
          <w:rtl/>
        </w:rPr>
        <w:t>آنگاه کشش جانشینی</w:t>
      </w:r>
      <w:r w:rsidRPr="00A40DDC">
        <w:rPr>
          <w:position w:val="-6"/>
        </w:rPr>
        <w:object w:dxaOrig="380" w:dyaOrig="300" w14:anchorId="6612B5CD">
          <v:shape id="_x0000_i3711" type="#_x0000_t75" style="width:18.75pt;height:14.5pt" o:ole="">
            <v:imagedata r:id="rId5411" o:title=""/>
          </v:shape>
          <o:OLEObject Type="Embed" ProgID="Equation.DSMT4" ShapeID="_x0000_i3711" DrawAspect="Content" ObjectID="_1791377655" r:id="rId5412"/>
        </w:object>
      </w:r>
      <w:r w:rsidRPr="00A40DDC">
        <w:rPr>
          <w:rFonts w:eastAsiaTheme="minorEastAsia" w:hint="cs"/>
          <w:i/>
          <w:sz w:val="23"/>
          <w:szCs w:val="23"/>
          <w:rtl/>
        </w:rPr>
        <w:t xml:space="preserve"> برابر با یک خواهد بود. اگر</w:t>
      </w:r>
      <w:r w:rsidRPr="00A40DDC">
        <w:rPr>
          <w:position w:val="-6"/>
        </w:rPr>
        <w:object w:dxaOrig="859" w:dyaOrig="300" w14:anchorId="76D570E8">
          <v:shape id="_x0000_i3712" type="#_x0000_t75" style="width:42.95pt;height:14.5pt" o:ole="">
            <v:imagedata r:id="rId5413" o:title=""/>
          </v:shape>
          <o:OLEObject Type="Embed" ProgID="Equation.DSMT4" ShapeID="_x0000_i3712" DrawAspect="Content" ObjectID="_1791377656" r:id="rId5414"/>
        </w:object>
      </w:r>
      <w:r w:rsidRPr="00A40DDC">
        <w:rPr>
          <w:rFonts w:eastAsiaTheme="minorEastAsia" w:hint="cs"/>
          <w:i/>
          <w:sz w:val="23"/>
          <w:szCs w:val="23"/>
          <w:rtl/>
        </w:rPr>
        <w:t xml:space="preserve"> و یا </w:t>
      </w:r>
      <w:r w:rsidRPr="00A40DDC">
        <w:rPr>
          <w:position w:val="-10"/>
        </w:rPr>
        <w:object w:dxaOrig="639" w:dyaOrig="260" w14:anchorId="755962A6">
          <v:shape id="_x0000_i3713" type="#_x0000_t75" style="width:32.05pt;height:13.3pt" o:ole="">
            <v:imagedata r:id="rId5415" o:title=""/>
          </v:shape>
          <o:OLEObject Type="Embed" ProgID="Equation.DSMT4" ShapeID="_x0000_i3713" DrawAspect="Content" ObjectID="_1791377657" r:id="rId5416"/>
        </w:object>
      </w:r>
      <w:r w:rsidRPr="00A40DDC">
        <w:rPr>
          <w:rFonts w:eastAsiaTheme="minorEastAsia" w:hint="cs"/>
          <w:i/>
          <w:sz w:val="23"/>
          <w:szCs w:val="23"/>
          <w:rtl/>
        </w:rPr>
        <w:t xml:space="preserve"> آنگاه تابع </w:t>
      </w:r>
      <w:r w:rsidRPr="00A40DDC">
        <w:rPr>
          <w:rFonts w:hint="cs"/>
          <w:i/>
          <w:sz w:val="23"/>
          <w:szCs w:val="23"/>
          <w:rtl/>
        </w:rPr>
        <w:t>(۷. ۱۶)</w:t>
      </w:r>
      <w:r w:rsidRPr="00A40DDC">
        <w:rPr>
          <w:rFonts w:eastAsiaTheme="minorEastAsia" w:hint="cs"/>
          <w:i/>
          <w:sz w:val="23"/>
          <w:szCs w:val="23"/>
          <w:rtl/>
        </w:rPr>
        <w:t xml:space="preserve"> خطی خواهد بود، و اگر</w:t>
      </w:r>
      <w:r w:rsidRPr="00A40DDC">
        <w:rPr>
          <w:rFonts w:eastAsiaTheme="minorEastAsia"/>
          <w:i/>
          <w:sz w:val="23"/>
          <w:szCs w:val="23"/>
        </w:rPr>
        <w:t xml:space="preserve"> </w:t>
      </w:r>
      <w:r w:rsidRPr="00A40DDC">
        <w:rPr>
          <w:position w:val="-6"/>
        </w:rPr>
        <w:object w:dxaOrig="820" w:dyaOrig="300" w14:anchorId="012A6994">
          <v:shape id="_x0000_i3714" type="#_x0000_t75" style="width:40.55pt;height:14.5pt" o:ole="">
            <v:imagedata r:id="rId5417" o:title=""/>
          </v:shape>
          <o:OLEObject Type="Embed" ProgID="Equation.DSMT4" ShapeID="_x0000_i3714" DrawAspect="Content" ObjectID="_1791377658" r:id="rId5418"/>
        </w:object>
      </w:r>
      <w:r w:rsidRPr="00A40DDC">
        <w:rPr>
          <w:rFonts w:eastAsiaTheme="minorEastAsia" w:hint="cs"/>
          <w:i/>
          <w:sz w:val="23"/>
          <w:szCs w:val="23"/>
          <w:rtl/>
        </w:rPr>
        <w:t>یا</w:t>
      </w:r>
      <w:r w:rsidRPr="00A40DDC">
        <w:rPr>
          <w:position w:val="-10"/>
        </w:rPr>
        <w:object w:dxaOrig="580" w:dyaOrig="300" w14:anchorId="5320FC33">
          <v:shape id="_x0000_i3715" type="#_x0000_t75" style="width:29.05pt;height:14.5pt" o:ole="">
            <v:imagedata r:id="rId5419" o:title=""/>
          </v:shape>
          <o:OLEObject Type="Embed" ProgID="Equation.DSMT4" ShapeID="_x0000_i3715" DrawAspect="Content" ObjectID="_1791377659" r:id="rId5420"/>
        </w:object>
      </w:r>
      <w:r w:rsidRPr="00A40DDC">
        <w:rPr>
          <w:rFonts w:eastAsiaTheme="minorEastAsia" w:hint="cs"/>
          <w:i/>
          <w:sz w:val="23"/>
          <w:szCs w:val="23"/>
          <w:rtl/>
        </w:rPr>
        <w:t xml:space="preserve"> آنگاه</w:t>
      </w:r>
      <w:r w:rsidRPr="00A40DDC">
        <w:rPr>
          <w:position w:val="-6"/>
        </w:rPr>
        <w:object w:dxaOrig="260" w:dyaOrig="300" w14:anchorId="33781B87">
          <v:shape id="_x0000_i3716" type="#_x0000_t75" style="width:13.3pt;height:14.5pt" o:ole="">
            <v:imagedata r:id="rId5421" o:title=""/>
          </v:shape>
          <o:OLEObject Type="Embed" ProgID="Equation.DSMT4" ShapeID="_x0000_i3716" DrawAspect="Content" ObjectID="_1791377660" r:id="rId5422"/>
        </w:object>
      </w:r>
      <w:r w:rsidRPr="00A40DDC">
        <w:rPr>
          <w:rFonts w:eastAsiaTheme="minorEastAsia" w:hint="cs"/>
          <w:i/>
          <w:sz w:val="23"/>
          <w:szCs w:val="23"/>
          <w:vertAlign w:val="superscript"/>
          <w:rtl/>
        </w:rPr>
        <w:t xml:space="preserve"> </w:t>
      </w:r>
      <w:r w:rsidRPr="00A40DDC">
        <w:rPr>
          <w:rFonts w:eastAsiaTheme="minorEastAsia" w:hint="cs"/>
          <w:i/>
          <w:sz w:val="23"/>
          <w:szCs w:val="23"/>
          <w:rtl/>
        </w:rPr>
        <w:t>و</w:t>
      </w:r>
      <w:r w:rsidRPr="00A40DDC">
        <w:rPr>
          <w:position w:val="-6"/>
        </w:rPr>
        <w:object w:dxaOrig="300" w:dyaOrig="300" w14:anchorId="21C4D7AC">
          <v:shape id="_x0000_i3717" type="#_x0000_t75" style="width:14.5pt;height:14.5pt" o:ole="">
            <v:imagedata r:id="rId5423" o:title=""/>
          </v:shape>
          <o:OLEObject Type="Embed" ProgID="Equation.DSMT4" ShapeID="_x0000_i3717" DrawAspect="Content" ObjectID="_1791377661" r:id="rId5424"/>
        </w:object>
      </w:r>
      <w:r w:rsidRPr="00A40DDC">
        <w:rPr>
          <w:rFonts w:eastAsiaTheme="minorEastAsia" w:hint="cs"/>
          <w:i/>
          <w:sz w:val="23"/>
          <w:szCs w:val="23"/>
          <w:vertAlign w:val="superscript"/>
          <w:rtl/>
        </w:rPr>
        <w:t xml:space="preserve"> </w:t>
      </w:r>
      <w:r w:rsidRPr="00A40DDC">
        <w:rPr>
          <w:rFonts w:eastAsiaTheme="minorEastAsia" w:hint="cs"/>
          <w:i/>
          <w:sz w:val="23"/>
          <w:szCs w:val="23"/>
          <w:rtl/>
        </w:rPr>
        <w:t xml:space="preserve">به نسبت </w:t>
      </w:r>
      <w:r w:rsidRPr="00A40DDC">
        <w:rPr>
          <w:rFonts w:eastAsiaTheme="minorEastAsia" w:hint="cs"/>
          <w:i/>
          <w:sz w:val="23"/>
          <w:szCs w:val="23"/>
          <w:rtl/>
        </w:rPr>
        <w:lastRenderedPageBreak/>
        <w:t>ثابتی مصرف خواهند شد. البته تابع</w:t>
      </w:r>
      <w:r w:rsidRPr="00A40DDC">
        <w:rPr>
          <w:position w:val="-6"/>
        </w:rPr>
        <w:object w:dxaOrig="520" w:dyaOrig="260" w14:anchorId="17929BDB">
          <v:shape id="_x0000_i3718" type="#_x0000_t75" style="width:26pt;height:13.3pt" o:ole="">
            <v:imagedata r:id="rId5425" o:title=""/>
          </v:shape>
          <o:OLEObject Type="Embed" ProgID="Equation.DSMT4" ShapeID="_x0000_i3718" DrawAspect="Content" ObjectID="_1791377662" r:id="rId5426"/>
        </w:object>
      </w:r>
      <w:r w:rsidRPr="00A40DDC">
        <w:rPr>
          <w:rFonts w:eastAsiaTheme="minorEastAsia" w:hint="cs"/>
          <w:i/>
          <w:sz w:val="23"/>
          <w:szCs w:val="23"/>
          <w:rtl/>
        </w:rPr>
        <w:t xml:space="preserve"> را به صورت تابع کاب داگلاس نشان می‌دهیم تا بتوان قاعده جانشینی را توضیح داد . </w:t>
      </w:r>
    </w:p>
    <w:p w14:paraId="67B2F91D"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کل مخارج مصرفی برابر خواهد بود با</w:t>
      </w:r>
    </w:p>
    <w:p w14:paraId="580BAC8B" w14:textId="77777777" w:rsidR="00411620" w:rsidRPr="00A40DDC" w:rsidRDefault="00411620" w:rsidP="00411620">
      <w:pPr>
        <w:spacing w:line="216" w:lineRule="auto"/>
        <w:jc w:val="right"/>
        <w:rPr>
          <w:rFonts w:eastAsiaTheme="minorEastAsia"/>
          <w:i/>
          <w:sz w:val="23"/>
          <w:szCs w:val="23"/>
        </w:rPr>
      </w:pPr>
      <w:r w:rsidRPr="00A40DDC">
        <w:rPr>
          <w:rFonts w:eastAsiaTheme="minorEastAsia" w:hint="cs"/>
          <w:i/>
          <w:sz w:val="23"/>
          <w:szCs w:val="23"/>
          <w:rtl/>
        </w:rPr>
        <w:t xml:space="preserve"> </w:t>
      </w:r>
      <w:r w:rsidRPr="00A40DDC">
        <w:rPr>
          <w:position w:val="-10"/>
        </w:rPr>
        <w:object w:dxaOrig="1780" w:dyaOrig="340" w14:anchorId="6E71E723">
          <v:shape id="_x0000_i3719" type="#_x0000_t75" style="width:88.95pt;height:16.95pt" o:ole="">
            <v:imagedata r:id="rId5427" o:title=""/>
          </v:shape>
          <o:OLEObject Type="Embed" ProgID="Equation.DSMT4" ShapeID="_x0000_i3719" DrawAspect="Content" ObjectID="_1791377663" r:id="rId5428"/>
        </w:object>
      </w:r>
    </w:p>
    <w:p w14:paraId="52E7369F"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و کل مخارج سرمایه</w:t>
      </w:r>
      <w:r w:rsidRPr="00A40DDC">
        <w:rPr>
          <w:rFonts w:eastAsiaTheme="minorEastAsia"/>
          <w:i/>
          <w:sz w:val="23"/>
          <w:szCs w:val="23"/>
        </w:rPr>
        <w:softHyphen/>
      </w:r>
      <w:r w:rsidRPr="00A40DDC">
        <w:rPr>
          <w:rFonts w:eastAsiaTheme="minorEastAsia" w:hint="cs"/>
          <w:i/>
          <w:sz w:val="23"/>
          <w:szCs w:val="23"/>
          <w:rtl/>
        </w:rPr>
        <w:t>گذاری و تولید به ترتیب برابر</w:t>
      </w:r>
      <w:r w:rsidRPr="00A40DDC">
        <w:rPr>
          <w:rFonts w:eastAsiaTheme="minorEastAsia"/>
          <w:i/>
          <w:sz w:val="23"/>
          <w:szCs w:val="23"/>
        </w:rPr>
        <w:t xml:space="preserve"> </w:t>
      </w:r>
      <w:r w:rsidRPr="00A40DDC">
        <w:rPr>
          <w:rFonts w:eastAsiaTheme="minorEastAsia" w:hint="cs"/>
          <w:i/>
          <w:sz w:val="23"/>
          <w:szCs w:val="23"/>
          <w:rtl/>
        </w:rPr>
        <w:t>است با:</w:t>
      </w:r>
    </w:p>
    <w:p w14:paraId="0B2761B5"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lang w:bidi="fa-IR"/>
        </w:rPr>
      </w:pPr>
      <w:r w:rsidRPr="00A40DDC">
        <w:rPr>
          <w:position w:val="-10"/>
        </w:rPr>
        <w:object w:dxaOrig="2140" w:dyaOrig="340" w14:anchorId="22BD2DF7">
          <v:shape id="_x0000_i3720" type="#_x0000_t75" style="width:107.1pt;height:16.95pt" o:ole="">
            <v:imagedata r:id="rId5429" o:title=""/>
          </v:shape>
          <o:OLEObject Type="Embed" ProgID="Equation.DSMT4" ShapeID="_x0000_i3720" DrawAspect="Content" ObjectID="_1791377664" r:id="rId5430"/>
        </w:object>
      </w:r>
    </w:p>
    <w:p w14:paraId="00DC1E78"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lang w:bidi="fa-IR"/>
        </w:rPr>
      </w:pPr>
      <w:r w:rsidRPr="00A40DDC">
        <w:rPr>
          <w:position w:val="-10"/>
        </w:rPr>
        <w:object w:dxaOrig="1880" w:dyaOrig="340" w14:anchorId="4E992722">
          <v:shape id="_x0000_i3721" type="#_x0000_t75" style="width:93.8pt;height:16.95pt" o:ole="">
            <v:imagedata r:id="rId5431" o:title=""/>
          </v:shape>
          <o:OLEObject Type="Embed" ProgID="Equation.DSMT4" ShapeID="_x0000_i3721" DrawAspect="Content" ObjectID="_1791377665" r:id="rId5432"/>
        </w:object>
      </w:r>
    </w:p>
    <w:p w14:paraId="1789A089" w14:textId="77777777" w:rsidR="00411620" w:rsidRPr="00A40DDC" w:rsidRDefault="00411620" w:rsidP="00411620">
      <w:pPr>
        <w:spacing w:line="216" w:lineRule="auto"/>
        <w:rPr>
          <w:rFonts w:eastAsiaTheme="minorEastAsia"/>
          <w:i/>
          <w:sz w:val="23"/>
          <w:szCs w:val="23"/>
        </w:rPr>
      </w:pPr>
      <w:r w:rsidRPr="00A40DDC">
        <w:rPr>
          <w:rFonts w:eastAsiaTheme="minorEastAsia" w:hint="cs"/>
          <w:i/>
          <w:sz w:val="23"/>
          <w:szCs w:val="23"/>
          <w:rtl/>
        </w:rPr>
        <w:t>لذا با تعمیم رابطه</w:t>
      </w:r>
      <w:r w:rsidRPr="00A40DDC">
        <w:rPr>
          <w:rFonts w:eastAsiaTheme="minorEastAsia"/>
          <w:i/>
          <w:sz w:val="23"/>
          <w:szCs w:val="23"/>
          <w:rtl/>
        </w:rPr>
        <w:softHyphen/>
      </w:r>
      <w:r w:rsidRPr="00A40DDC">
        <w:rPr>
          <w:rFonts w:eastAsiaTheme="minorEastAsia" w:hint="cs"/>
          <w:i/>
          <w:sz w:val="23"/>
          <w:szCs w:val="23"/>
          <w:rtl/>
        </w:rPr>
        <w:t xml:space="preserve">ی </w:t>
      </w:r>
      <w:r w:rsidRPr="00A40DDC">
        <w:rPr>
          <w:rFonts w:hint="cs"/>
          <w:i/>
          <w:sz w:val="23"/>
          <w:szCs w:val="23"/>
          <w:rtl/>
        </w:rPr>
        <w:t>(۷. ۹)</w:t>
      </w:r>
      <w:r w:rsidRPr="00A40DDC">
        <w:rPr>
          <w:rFonts w:eastAsiaTheme="minorEastAsia" w:hint="cs"/>
          <w:i/>
          <w:sz w:val="23"/>
          <w:szCs w:val="23"/>
          <w:rtl/>
        </w:rPr>
        <w:t xml:space="preserve"> قید منبع اقتصاد عبارت خواهد بود از </w:t>
      </w:r>
    </w:p>
    <w:p w14:paraId="15E0716E" w14:textId="77777777" w:rsidR="00411620" w:rsidRPr="00A40DDC" w:rsidRDefault="00411620" w:rsidP="00411620">
      <w:pPr>
        <w:spacing w:line="216" w:lineRule="auto"/>
        <w:jc w:val="right"/>
        <w:rPr>
          <w:rFonts w:eastAsiaTheme="minorEastAsia"/>
          <w:i/>
          <w:sz w:val="23"/>
          <w:szCs w:val="23"/>
          <w:rtl/>
        </w:rPr>
      </w:pPr>
      <w:r w:rsidRPr="00A40DDC">
        <w:rPr>
          <w:rFonts w:eastAsiaTheme="minorEastAsia" w:hint="cs"/>
          <w:i/>
          <w:sz w:val="23"/>
          <w:szCs w:val="23"/>
          <w:rtl/>
        </w:rPr>
        <w:t xml:space="preserve"> </w:t>
      </w:r>
      <w:r w:rsidRPr="00A40DDC">
        <w:rPr>
          <w:position w:val="-28"/>
        </w:rPr>
        <w:object w:dxaOrig="5380" w:dyaOrig="660" w14:anchorId="647F2B5A">
          <v:shape id="_x0000_i3722" type="#_x0000_t75" style="width:269.25pt;height:32.65pt" o:ole="">
            <v:imagedata r:id="rId5433" o:title=""/>
          </v:shape>
          <o:OLEObject Type="Embed" ProgID="Equation.DSMT4" ShapeID="_x0000_i3722" DrawAspect="Content" ObjectID="_1791377666" r:id="rId5434"/>
        </w:object>
      </w:r>
    </w:p>
    <w:p w14:paraId="5E6C36C7" w14:textId="77777777" w:rsidR="00411620" w:rsidRPr="00A40DDC" w:rsidRDefault="00411620" w:rsidP="00411620">
      <w:pPr>
        <w:pStyle w:val="MTDisplayEquation"/>
        <w:tabs>
          <w:tab w:val="clear" w:pos="6660"/>
        </w:tabs>
        <w:spacing w:line="216" w:lineRule="auto"/>
        <w:rPr>
          <w:rFonts w:ascii="Times New Roman" w:eastAsiaTheme="minorEastAsia" w:hAnsi="Times New Roman" w:cs="B Nazanin"/>
          <w:i/>
          <w:sz w:val="23"/>
          <w:szCs w:val="23"/>
          <w:lang w:bidi="fa-IR"/>
        </w:rPr>
      </w:pPr>
      <w:r w:rsidRPr="00A40DDC">
        <w:rPr>
          <w:position w:val="-28"/>
        </w:rPr>
        <w:object w:dxaOrig="4200" w:dyaOrig="660" w14:anchorId="7DAEFA07">
          <v:shape id="_x0000_i3723" type="#_x0000_t75" style="width:209.95pt;height:32.65pt" o:ole="">
            <v:imagedata r:id="rId5435" o:title=""/>
          </v:shape>
          <o:OLEObject Type="Embed" ProgID="Equation.DSMT4" ShapeID="_x0000_i3723" DrawAspect="Content" ObjectID="_1791377667" r:id="rId5436"/>
        </w:object>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cs="B Nazanin" w:hint="cs"/>
          <w:i/>
          <w:sz w:val="23"/>
          <w:szCs w:val="23"/>
          <w:rtl/>
        </w:rPr>
        <w:t>(۷. ۱۷)</w:t>
      </w:r>
    </w:p>
    <w:p w14:paraId="787E601F"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اکنون مسئله</w:t>
      </w:r>
      <w:r w:rsidRPr="00A40DDC">
        <w:rPr>
          <w:rFonts w:eastAsiaTheme="minorEastAsia"/>
          <w:i/>
          <w:sz w:val="23"/>
          <w:szCs w:val="23"/>
          <w:rtl/>
        </w:rPr>
        <w:softHyphen/>
      </w:r>
      <w:r w:rsidRPr="00A40DDC">
        <w:rPr>
          <w:rFonts w:eastAsiaTheme="minorEastAsia" w:hint="cs"/>
          <w:i/>
          <w:sz w:val="23"/>
          <w:szCs w:val="23"/>
          <w:rtl/>
        </w:rPr>
        <w:t>ی کارگزار نمونه در اقتصادِ باز حداکثر کردن مطلوبیت بین</w:t>
      </w:r>
      <w:r w:rsidRPr="00A40DDC">
        <w:rPr>
          <w:rFonts w:eastAsiaTheme="minorEastAsia"/>
          <w:i/>
          <w:sz w:val="23"/>
          <w:szCs w:val="23"/>
          <w:rtl/>
        </w:rPr>
        <w:softHyphen/>
      </w:r>
      <w:r w:rsidRPr="00A40DDC">
        <w:rPr>
          <w:rFonts w:eastAsiaTheme="minorEastAsia" w:hint="cs"/>
          <w:i/>
          <w:sz w:val="23"/>
          <w:szCs w:val="23"/>
          <w:rtl/>
        </w:rPr>
        <w:t>دوره</w:t>
      </w:r>
      <w:r w:rsidRPr="00A40DDC">
        <w:rPr>
          <w:rFonts w:eastAsiaTheme="minorEastAsia"/>
          <w:i/>
          <w:sz w:val="23"/>
          <w:szCs w:val="23"/>
          <w:rtl/>
        </w:rPr>
        <w:softHyphen/>
      </w:r>
      <w:r w:rsidRPr="00A40DDC">
        <w:rPr>
          <w:rFonts w:eastAsiaTheme="minorEastAsia" w:hint="cs"/>
          <w:i/>
          <w:sz w:val="23"/>
          <w:szCs w:val="23"/>
          <w:rtl/>
        </w:rPr>
        <w:t>ای بر حسب</w:t>
      </w:r>
      <w:r w:rsidRPr="00A40DDC">
        <w:rPr>
          <w:position w:val="-10"/>
        </w:rPr>
        <w:object w:dxaOrig="340" w:dyaOrig="340" w14:anchorId="3CBAD2AF">
          <v:shape id="_x0000_i3724" type="#_x0000_t75" style="width:16.95pt;height:16.95pt" o:ole="">
            <v:imagedata r:id="rId5437" o:title=""/>
          </v:shape>
          <o:OLEObject Type="Embed" ProgID="Equation.DSMT4" ShapeID="_x0000_i3724" DrawAspect="Content" ObjectID="_1791377668" r:id="rId5438"/>
        </w:object>
      </w:r>
      <w:r w:rsidRPr="00A40DDC">
        <w:rPr>
          <w:rFonts w:eastAsiaTheme="minorEastAsia" w:hint="cs"/>
          <w:i/>
          <w:sz w:val="23"/>
          <w:szCs w:val="23"/>
          <w:rtl/>
        </w:rPr>
        <w:t xml:space="preserve">، </w:t>
      </w:r>
      <w:r w:rsidRPr="00A40DDC">
        <w:rPr>
          <w:position w:val="-10"/>
        </w:rPr>
        <w:object w:dxaOrig="340" w:dyaOrig="340" w14:anchorId="66314C07">
          <v:shape id="_x0000_i3725" type="#_x0000_t75" style="width:16.95pt;height:16.95pt" o:ole="">
            <v:imagedata r:id="rId5439" o:title=""/>
          </v:shape>
          <o:OLEObject Type="Embed" ProgID="Equation.DSMT4" ShapeID="_x0000_i3725" DrawAspect="Content" ObjectID="_1791377669" r:id="rId5440"/>
        </w:object>
      </w:r>
      <w:r w:rsidRPr="00A40DDC">
        <w:rPr>
          <w:rFonts w:eastAsiaTheme="minorEastAsia" w:hint="cs"/>
          <w:i/>
          <w:sz w:val="23"/>
          <w:szCs w:val="23"/>
          <w:rtl/>
        </w:rPr>
        <w:t>،</w:t>
      </w:r>
    </w:p>
    <w:p w14:paraId="233A761B" w14:textId="77777777" w:rsidR="00411620" w:rsidRPr="00A40DDC" w:rsidRDefault="00411620" w:rsidP="00411620">
      <w:pPr>
        <w:spacing w:line="216" w:lineRule="auto"/>
        <w:rPr>
          <w:rFonts w:eastAsiaTheme="minorEastAsia"/>
          <w:i/>
          <w:sz w:val="23"/>
          <w:szCs w:val="23"/>
        </w:rPr>
      </w:pPr>
      <w:r w:rsidRPr="00A40DDC">
        <w:rPr>
          <w:rFonts w:eastAsiaTheme="minorEastAsia"/>
          <w:i/>
          <w:sz w:val="23"/>
          <w:szCs w:val="23"/>
        </w:rPr>
        <w:t xml:space="preserve"> </w:t>
      </w:r>
      <w:r w:rsidRPr="00A40DDC">
        <w:rPr>
          <w:position w:val="-10"/>
        </w:rPr>
        <w:object w:dxaOrig="1560" w:dyaOrig="340" w14:anchorId="0C3E9B30">
          <v:shape id="_x0000_i3726" type="#_x0000_t75" style="width:78.05pt;height:16.95pt" o:ole="">
            <v:imagedata r:id="rId5441" o:title=""/>
          </v:shape>
          <o:OLEObject Type="Embed" ProgID="Equation.DSMT4" ShapeID="_x0000_i3726" DrawAspect="Content" ObjectID="_1791377670" r:id="rId5442"/>
        </w:object>
      </w:r>
      <w:r w:rsidRPr="00A40DDC">
        <w:rPr>
          <w:rFonts w:eastAsiaTheme="minorEastAsia" w:hint="cs"/>
          <w:i/>
          <w:sz w:val="23"/>
          <w:szCs w:val="23"/>
          <w:rtl/>
        </w:rPr>
        <w:t xml:space="preserve"> برای </w:t>
      </w:r>
      <w:r w:rsidRPr="00A40DDC">
        <w:rPr>
          <w:position w:val="-6"/>
        </w:rPr>
        <w:object w:dxaOrig="499" w:dyaOrig="260" w14:anchorId="58D43077">
          <v:shape id="_x0000_i3727" type="#_x0000_t75" style="width:24.8pt;height:13.3pt" o:ole="">
            <v:imagedata r:id="rId5443" o:title=""/>
          </v:shape>
          <o:OLEObject Type="Embed" ProgID="Equation.DSMT4" ShapeID="_x0000_i3727" DrawAspect="Content" ObjectID="_1791377671" r:id="rId5444"/>
        </w:object>
      </w:r>
      <w:r w:rsidRPr="00A40DDC">
        <w:rPr>
          <w:rFonts w:eastAsiaTheme="minorEastAsia"/>
          <w:i/>
          <w:sz w:val="23"/>
          <w:szCs w:val="23"/>
          <w:rtl/>
        </w:rPr>
        <w:t xml:space="preserve"> </w:t>
      </w:r>
      <w:r w:rsidRPr="00A40DDC">
        <w:rPr>
          <w:rFonts w:eastAsiaTheme="minorEastAsia" w:hint="cs"/>
          <w:i/>
          <w:sz w:val="23"/>
          <w:szCs w:val="23"/>
          <w:rtl/>
        </w:rPr>
        <w:t xml:space="preserve">و نسبت به توابع تولید، معادلات انباشت سرمایه و قید منبع ملی </w:t>
      </w:r>
      <w:r w:rsidRPr="00A40DDC">
        <w:rPr>
          <w:rFonts w:hint="cs"/>
          <w:i/>
          <w:sz w:val="23"/>
          <w:szCs w:val="23"/>
          <w:rtl/>
        </w:rPr>
        <w:t>(۷. ۱۷)</w:t>
      </w:r>
      <w:r w:rsidRPr="00A40DDC">
        <w:rPr>
          <w:rFonts w:eastAsiaTheme="minorEastAsia" w:hint="cs"/>
          <w:i/>
          <w:sz w:val="23"/>
          <w:szCs w:val="23"/>
          <w:rtl/>
        </w:rPr>
        <w:t xml:space="preserve"> است. لاگرانژین این مسئله عبارتست از:</w:t>
      </w:r>
    </w:p>
    <w:p w14:paraId="14D1B291" w14:textId="77777777" w:rsidR="00411620" w:rsidRPr="00A40DDC" w:rsidRDefault="00411620" w:rsidP="00411620">
      <w:pPr>
        <w:bidi w:val="0"/>
        <w:spacing w:line="216" w:lineRule="auto"/>
        <w:jc w:val="right"/>
        <w:rPr>
          <w:rFonts w:eastAsiaTheme="minorEastAsia"/>
          <w:i/>
          <w:sz w:val="23"/>
          <w:szCs w:val="23"/>
          <w:rtl/>
        </w:rPr>
      </w:pPr>
      <w:r w:rsidRPr="00A40DDC">
        <w:rPr>
          <w:position w:val="-98"/>
        </w:rPr>
        <w:object w:dxaOrig="7100" w:dyaOrig="2060" w14:anchorId="5F542FA1">
          <v:shape id="_x0000_i3728" type="#_x0000_t75" style="width:341.85pt;height:102.85pt" o:ole="">
            <v:imagedata r:id="rId5445" o:title=""/>
          </v:shape>
          <o:OLEObject Type="Embed" ProgID="Equation.DSMT4" ShapeID="_x0000_i3728" DrawAspect="Content" ObjectID="_1791377672" r:id="rId5446"/>
        </w:object>
      </w:r>
      <w:r w:rsidRPr="00A40DDC">
        <w:rPr>
          <w:rFonts w:eastAsiaTheme="minorEastAsia" w:hint="cs"/>
          <w:i/>
          <w:sz w:val="23"/>
          <w:szCs w:val="23"/>
          <w:rtl/>
        </w:rPr>
        <w:t>شرایط مرتبه اول عبارتند از</w:t>
      </w:r>
    </w:p>
    <w:p w14:paraId="4BBC2676" w14:textId="77777777" w:rsidR="00411620" w:rsidRPr="00A40DDC" w:rsidRDefault="00411620" w:rsidP="00411620">
      <w:pPr>
        <w:bidi w:val="0"/>
        <w:spacing w:line="216" w:lineRule="auto"/>
        <w:rPr>
          <w:rFonts w:eastAsiaTheme="minorEastAsia"/>
          <w:i/>
          <w:sz w:val="23"/>
          <w:szCs w:val="23"/>
          <w:rtl/>
        </w:rPr>
      </w:pPr>
      <w:r w:rsidRPr="00A40DDC">
        <w:rPr>
          <w:position w:val="-28"/>
        </w:rPr>
        <w:object w:dxaOrig="3159" w:dyaOrig="660" w14:anchorId="3BB40AA1">
          <v:shape id="_x0000_i3729" type="#_x0000_t75" style="width:157.9pt;height:32.65pt" o:ole="">
            <v:imagedata r:id="rId5447" o:title=""/>
          </v:shape>
          <o:OLEObject Type="Embed" ProgID="Equation.DSMT4" ShapeID="_x0000_i3729" DrawAspect="Content" ObjectID="_1791377673" r:id="rId5448"/>
        </w:object>
      </w:r>
    </w:p>
    <w:p w14:paraId="0C1C6924"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30"/>
        </w:rPr>
        <w:object w:dxaOrig="4800" w:dyaOrig="820" w14:anchorId="0508A5D9">
          <v:shape id="_x0000_i3730" type="#_x0000_t75" style="width:240.2pt;height:40.55pt" o:ole="">
            <v:imagedata r:id="rId5449" o:title=""/>
          </v:shape>
          <o:OLEObject Type="Embed" ProgID="Equation.DSMT4" ShapeID="_x0000_i3730" DrawAspect="Content" ObjectID="_1791377674" r:id="rId5450"/>
        </w:object>
      </w:r>
    </w:p>
    <w:p w14:paraId="38FA4F9D"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30"/>
        </w:rPr>
        <w:object w:dxaOrig="6380" w:dyaOrig="700" w14:anchorId="37CF23C4">
          <v:shape id="_x0000_i3731" type="#_x0000_t75" style="width:318.85pt;height:35.1pt" o:ole="">
            <v:imagedata r:id="rId5451" o:title=""/>
          </v:shape>
          <o:OLEObject Type="Embed" ProgID="Equation.DSMT4" ShapeID="_x0000_i3731" DrawAspect="Content" ObjectID="_1791377675" r:id="rId5452"/>
        </w:object>
      </w:r>
    </w:p>
    <w:p w14:paraId="75CD0316" w14:textId="77777777" w:rsidR="00411620" w:rsidRPr="00A40DDC" w:rsidRDefault="00411620" w:rsidP="00411620">
      <w:pPr>
        <w:pStyle w:val="MTDisplayEquation"/>
        <w:spacing w:line="216" w:lineRule="auto"/>
        <w:jc w:val="left"/>
        <w:rPr>
          <w:rFonts w:ascii="Times New Roman" w:eastAsiaTheme="minorEastAsia" w:hAnsi="Times New Roman" w:cs="B Nazanin"/>
          <w:i/>
          <w:sz w:val="23"/>
          <w:szCs w:val="23"/>
          <w:lang w:bidi="fa-IR"/>
        </w:rPr>
      </w:pPr>
      <w:r w:rsidRPr="00A40DDC">
        <w:rPr>
          <w:position w:val="-30"/>
        </w:rPr>
        <w:object w:dxaOrig="6380" w:dyaOrig="700" w14:anchorId="209BD6F2">
          <v:shape id="_x0000_i3732" type="#_x0000_t75" style="width:318.85pt;height:35.1pt" o:ole="">
            <v:imagedata r:id="rId5453" o:title=""/>
          </v:shape>
          <o:OLEObject Type="Embed" ProgID="Equation.DSMT4" ShapeID="_x0000_i3732" DrawAspect="Content" ObjectID="_1791377676" r:id="rId5454"/>
        </w:object>
      </w:r>
    </w:p>
    <w:p w14:paraId="54FC6704"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lang w:bidi="fa-IR"/>
        </w:rPr>
      </w:pPr>
      <w:r w:rsidRPr="00A40DDC">
        <w:rPr>
          <w:position w:val="-28"/>
        </w:rPr>
        <w:object w:dxaOrig="3840" w:dyaOrig="620" w14:anchorId="1591B2FF">
          <v:shape id="_x0000_i3733" type="#_x0000_t75" style="width:191.8pt;height:31.45pt" o:ole="">
            <v:imagedata r:id="rId5455" o:title=""/>
          </v:shape>
          <o:OLEObject Type="Embed" ProgID="Equation.DSMT4" ShapeID="_x0000_i3733" DrawAspect="Content" ObjectID="_1791377677" r:id="rId5456"/>
        </w:object>
      </w:r>
    </w:p>
    <w:p w14:paraId="7208E063" w14:textId="77777777" w:rsidR="00411620" w:rsidRPr="00A40DDC" w:rsidRDefault="00411620" w:rsidP="00411620">
      <w:pPr>
        <w:spacing w:line="216" w:lineRule="auto"/>
        <w:rPr>
          <w:rFonts w:eastAsiaTheme="minorEastAsia"/>
          <w:i/>
          <w:sz w:val="23"/>
          <w:szCs w:val="23"/>
        </w:rPr>
      </w:pPr>
      <w:r w:rsidRPr="00A40DDC">
        <w:rPr>
          <w:rFonts w:eastAsiaTheme="minorEastAsia" w:hint="cs"/>
          <w:i/>
          <w:sz w:val="23"/>
          <w:szCs w:val="23"/>
          <w:rtl/>
        </w:rPr>
        <w:t>برای اثبات شرایط مرتبه اول تنها اولین معادله از شرایط مرتبه</w:t>
      </w:r>
      <w:r w:rsidRPr="00A40DDC">
        <w:rPr>
          <w:rFonts w:eastAsiaTheme="minorEastAsia"/>
          <w:i/>
          <w:sz w:val="23"/>
          <w:szCs w:val="23"/>
          <w:rtl/>
        </w:rPr>
        <w:softHyphen/>
      </w:r>
      <w:r w:rsidRPr="00A40DDC">
        <w:rPr>
          <w:rFonts w:eastAsiaTheme="minorEastAsia" w:hint="cs"/>
          <w:i/>
          <w:sz w:val="23"/>
          <w:szCs w:val="23"/>
          <w:rtl/>
        </w:rPr>
        <w:t>ی اول را استخراج می</w:t>
      </w:r>
      <w:r w:rsidRPr="00A40DDC">
        <w:rPr>
          <w:rFonts w:eastAsiaTheme="minorEastAsia"/>
          <w:i/>
          <w:sz w:val="23"/>
          <w:szCs w:val="23"/>
          <w:rtl/>
        </w:rPr>
        <w:softHyphen/>
      </w:r>
      <w:r w:rsidRPr="00A40DDC">
        <w:rPr>
          <w:rFonts w:eastAsiaTheme="minorEastAsia" w:hint="cs"/>
          <w:i/>
          <w:sz w:val="23"/>
          <w:szCs w:val="23"/>
          <w:rtl/>
        </w:rPr>
        <w:t>کنیم.</w:t>
      </w:r>
    </w:p>
    <w:p w14:paraId="5995314C"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lang w:bidi="fa-IR"/>
        </w:rPr>
      </w:pPr>
      <w:r w:rsidRPr="00A40DDC">
        <w:rPr>
          <w:position w:val="-28"/>
        </w:rPr>
        <w:object w:dxaOrig="3159" w:dyaOrig="660" w14:anchorId="118C9324">
          <v:shape id="_x0000_i3734" type="#_x0000_t75" style="width:157.9pt;height:32.65pt" o:ole="">
            <v:imagedata r:id="rId5457" o:title=""/>
          </v:shape>
          <o:OLEObject Type="Embed" ProgID="Equation.DSMT4" ShapeID="_x0000_i3734" DrawAspect="Content" ObjectID="_1791377678" r:id="rId5458"/>
        </w:object>
      </w:r>
    </w:p>
    <w:p w14:paraId="4B9109D9" w14:textId="77777777" w:rsidR="00411620" w:rsidRPr="00A40DDC" w:rsidRDefault="00411620" w:rsidP="00411620">
      <w:pPr>
        <w:spacing w:line="216" w:lineRule="auto"/>
        <w:rPr>
          <w:rFonts w:eastAsiaTheme="minorEastAsia"/>
          <w:i/>
          <w:sz w:val="23"/>
          <w:szCs w:val="23"/>
        </w:rPr>
      </w:pPr>
      <w:r w:rsidRPr="00A40DDC">
        <w:rPr>
          <w:rFonts w:eastAsiaTheme="minorEastAsia"/>
          <w:i/>
          <w:sz w:val="23"/>
          <w:szCs w:val="23"/>
        </w:rPr>
        <w:t xml:space="preserve"> </w:t>
      </w:r>
      <w:r w:rsidRPr="00A40DDC">
        <w:rPr>
          <w:rFonts w:eastAsiaTheme="minorEastAsia" w:hint="cs"/>
          <w:i/>
          <w:sz w:val="23"/>
          <w:szCs w:val="23"/>
          <w:rtl/>
        </w:rPr>
        <w:t xml:space="preserve">که در آن </w:t>
      </w:r>
    </w:p>
    <w:p w14:paraId="1633B07D"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92"/>
        </w:rPr>
        <w:object w:dxaOrig="5520" w:dyaOrig="1939" w14:anchorId="58F58FE3">
          <v:shape id="_x0000_i3735" type="#_x0000_t75" style="width:275.9pt;height:97.4pt" o:ole="">
            <v:imagedata r:id="rId5459" o:title=""/>
          </v:shape>
          <o:OLEObject Type="Embed" ProgID="Equation.DSMT4" ShapeID="_x0000_i3735" DrawAspect="Content" ObjectID="_1791377679" r:id="rId5460"/>
        </w:object>
      </w:r>
    </w:p>
    <w:p w14:paraId="5806590A"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و با استفاده از رابطه</w:t>
      </w:r>
      <w:r w:rsidRPr="00A40DDC">
        <w:rPr>
          <w:rFonts w:eastAsiaTheme="minorEastAsia"/>
          <w:i/>
          <w:sz w:val="23"/>
          <w:szCs w:val="23"/>
          <w:rtl/>
        </w:rPr>
        <w:softHyphen/>
      </w:r>
      <w:r w:rsidRPr="00A40DDC">
        <w:rPr>
          <w:rFonts w:eastAsiaTheme="minorEastAsia" w:hint="cs"/>
          <w:i/>
          <w:sz w:val="23"/>
          <w:szCs w:val="23"/>
          <w:rtl/>
        </w:rPr>
        <w:t xml:space="preserve">ی </w:t>
      </w:r>
      <w:r w:rsidRPr="00A40DDC">
        <w:rPr>
          <w:rFonts w:hint="cs"/>
          <w:i/>
          <w:sz w:val="23"/>
          <w:szCs w:val="23"/>
          <w:rtl/>
        </w:rPr>
        <w:t>(۷. ۱۶)</w:t>
      </w:r>
      <w:r w:rsidRPr="00A40DDC">
        <w:rPr>
          <w:rFonts w:eastAsiaTheme="minorEastAsia" w:hint="cs"/>
          <w:i/>
          <w:sz w:val="23"/>
          <w:szCs w:val="23"/>
          <w:rtl/>
        </w:rPr>
        <w:t xml:space="preserve"> خواهیم داشت</w:t>
      </w:r>
    </w:p>
    <w:p w14:paraId="0692C63A"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lang w:bidi="fa-IR"/>
        </w:rPr>
      </w:pPr>
      <w:r w:rsidRPr="00A40DDC">
        <w:rPr>
          <w:position w:val="-30"/>
        </w:rPr>
        <w:object w:dxaOrig="2400" w:dyaOrig="820" w14:anchorId="5F9DE010">
          <v:shape id="_x0000_i3736" type="#_x0000_t75" style="width:119.8pt;height:40.55pt" o:ole="">
            <v:imagedata r:id="rId5461" o:title=""/>
          </v:shape>
          <o:OLEObject Type="Embed" ProgID="Equation.DSMT4" ShapeID="_x0000_i3736" DrawAspect="Content" ObjectID="_1791377680" r:id="rId5462"/>
        </w:object>
      </w:r>
    </w:p>
    <w:p w14:paraId="47CB60A2"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بنابراین</w:t>
      </w:r>
    </w:p>
    <w:p w14:paraId="6046FE37"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lang w:bidi="fa-IR"/>
        </w:rPr>
      </w:pPr>
      <w:r w:rsidRPr="00A40DDC">
        <w:rPr>
          <w:position w:val="-30"/>
        </w:rPr>
        <w:object w:dxaOrig="4580" w:dyaOrig="820" w14:anchorId="46A9B588">
          <v:shape id="_x0000_i3737" type="#_x0000_t75" style="width:228.7pt;height:40.55pt" o:ole="">
            <v:imagedata r:id="rId5463" o:title=""/>
          </v:shape>
          <o:OLEObject Type="Embed" ProgID="Equation.DSMT4" ShapeID="_x0000_i3737" DrawAspect="Content" ObjectID="_1791377681" r:id="rId5464"/>
        </w:object>
      </w:r>
    </w:p>
    <w:p w14:paraId="1E937C3E"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که اولین معادله از شرایط مرتبه اول اثبات می</w:t>
      </w:r>
      <w:r w:rsidRPr="00A40DDC">
        <w:rPr>
          <w:rFonts w:eastAsiaTheme="minorEastAsia"/>
          <w:i/>
          <w:sz w:val="23"/>
          <w:szCs w:val="23"/>
          <w:rtl/>
        </w:rPr>
        <w:softHyphen/>
      </w:r>
      <w:r w:rsidRPr="00A40DDC">
        <w:rPr>
          <w:rFonts w:eastAsiaTheme="minorEastAsia" w:hint="cs"/>
          <w:i/>
          <w:sz w:val="23"/>
          <w:szCs w:val="23"/>
          <w:rtl/>
        </w:rPr>
        <w:t>شود.</w:t>
      </w:r>
    </w:p>
    <w:p w14:paraId="1B121E75" w14:textId="77777777" w:rsidR="00411620" w:rsidRPr="00A40DDC" w:rsidRDefault="00411620" w:rsidP="00411620">
      <w:pPr>
        <w:spacing w:line="216" w:lineRule="auto"/>
        <w:rPr>
          <w:rFonts w:eastAsiaTheme="minorEastAsia"/>
          <w:i/>
          <w:sz w:val="23"/>
          <w:szCs w:val="23"/>
        </w:rPr>
      </w:pPr>
      <w:r w:rsidRPr="00A40DDC">
        <w:rPr>
          <w:rFonts w:eastAsiaTheme="minorEastAsia" w:hint="cs"/>
          <w:i/>
          <w:sz w:val="23"/>
          <w:szCs w:val="23"/>
          <w:rtl/>
        </w:rPr>
        <w:t>از معادلات اول و دوم شرایط مرتبه</w:t>
      </w:r>
      <w:r w:rsidRPr="00A40DDC">
        <w:rPr>
          <w:rFonts w:eastAsiaTheme="minorEastAsia"/>
          <w:i/>
          <w:sz w:val="23"/>
          <w:szCs w:val="23"/>
          <w:rtl/>
        </w:rPr>
        <w:softHyphen/>
      </w:r>
      <w:r w:rsidRPr="00A40DDC">
        <w:rPr>
          <w:rFonts w:eastAsiaTheme="minorEastAsia" w:hint="cs"/>
          <w:i/>
          <w:sz w:val="23"/>
          <w:szCs w:val="23"/>
          <w:rtl/>
        </w:rPr>
        <w:t xml:space="preserve">ی اول فوق و برای </w:t>
      </w:r>
      <w:r w:rsidRPr="00A40DDC">
        <w:rPr>
          <w:position w:val="-6"/>
        </w:rPr>
        <w:object w:dxaOrig="499" w:dyaOrig="260" w14:anchorId="77A5F593">
          <v:shape id="_x0000_i3738" type="#_x0000_t75" style="width:24.8pt;height:13.3pt" o:ole="">
            <v:imagedata r:id="rId5465" o:title=""/>
          </v:shape>
          <o:OLEObject Type="Embed" ProgID="Equation.DSMT4" ShapeID="_x0000_i3738" DrawAspect="Content" ObjectID="_1791377682" r:id="rId5466"/>
        </w:object>
      </w:r>
      <w:r w:rsidRPr="00A40DDC">
        <w:rPr>
          <w:rFonts w:eastAsiaTheme="minorEastAsia" w:hint="cs"/>
          <w:i/>
          <w:sz w:val="23"/>
          <w:szCs w:val="23"/>
          <w:rtl/>
        </w:rPr>
        <w:t xml:space="preserve"> خواهیم داشت</w:t>
      </w:r>
    </w:p>
    <w:p w14:paraId="2127305E" w14:textId="77777777" w:rsidR="00411620" w:rsidRPr="00A40DDC" w:rsidRDefault="00411620" w:rsidP="00411620">
      <w:pPr>
        <w:pStyle w:val="MTDisplayEquation"/>
        <w:tabs>
          <w:tab w:val="clear" w:pos="6660"/>
        </w:tabs>
        <w:spacing w:line="216" w:lineRule="auto"/>
        <w:rPr>
          <w:rFonts w:ascii="Times New Roman" w:eastAsiaTheme="minorEastAsia" w:hAnsi="Times New Roman" w:cs="B Nazanin"/>
          <w:i/>
          <w:sz w:val="23"/>
          <w:szCs w:val="23"/>
          <w:lang w:bidi="fa-IR"/>
        </w:rPr>
      </w:pPr>
      <w:r w:rsidRPr="00A40DDC">
        <w:rPr>
          <w:position w:val="-30"/>
        </w:rPr>
        <w:object w:dxaOrig="1680" w:dyaOrig="740" w14:anchorId="34CAFA12">
          <v:shape id="_x0000_i3739" type="#_x0000_t75" style="width:84.1pt;height:36.9pt" o:ole="">
            <v:imagedata r:id="rId5467" o:title=""/>
          </v:shape>
          <o:OLEObject Type="Embed" ProgID="Equation.DSMT4" ShapeID="_x0000_i3739" DrawAspect="Content" ObjectID="_1791377683" r:id="rId5468"/>
        </w:object>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cs="B Nazanin"/>
          <w:i/>
          <w:sz w:val="23"/>
          <w:szCs w:val="23"/>
          <w:rtl/>
        </w:rPr>
        <w:tab/>
      </w:r>
      <w:r>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۱۸)</w:t>
      </w:r>
    </w:p>
    <w:p w14:paraId="77775306"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یعنی اگر قیمت کالاهای قابل تجارت نسبت به قیمت کالاهای غیرقابل تجارت افزایش یابد، آنگاه مصرف کالاهای قابل تجارت نسبت به مصرف کالاهای غیرقابل تجارت کاهش می</w:t>
      </w:r>
      <w:r w:rsidRPr="00A40DDC">
        <w:rPr>
          <w:rFonts w:eastAsiaTheme="minorEastAsia"/>
          <w:i/>
          <w:sz w:val="23"/>
          <w:szCs w:val="23"/>
          <w:rtl/>
        </w:rPr>
        <w:softHyphen/>
      </w:r>
      <w:r w:rsidRPr="00A40DDC">
        <w:rPr>
          <w:rFonts w:eastAsiaTheme="minorEastAsia" w:hint="cs"/>
          <w:i/>
          <w:sz w:val="23"/>
          <w:szCs w:val="23"/>
          <w:rtl/>
        </w:rPr>
        <w:t xml:space="preserve">یابد. همچنین اگر کشش جانشینی </w:t>
      </w:r>
      <w:r w:rsidRPr="00A40DDC">
        <w:rPr>
          <w:position w:val="-10"/>
        </w:rPr>
        <w:object w:dxaOrig="620" w:dyaOrig="300" w14:anchorId="69E84D24">
          <v:shape id="_x0000_i3740" type="#_x0000_t75" style="width:31.45pt;height:14.5pt" o:ole="">
            <v:imagedata r:id="rId5469" o:title=""/>
          </v:shape>
          <o:OLEObject Type="Embed" ProgID="Equation.DSMT4" ShapeID="_x0000_i3740" DrawAspect="Content" ObjectID="_1791377684" r:id="rId5470"/>
        </w:object>
      </w:r>
      <w:r w:rsidRPr="00A40DDC">
        <w:rPr>
          <w:rFonts w:eastAsiaTheme="minorEastAsia" w:hint="cs"/>
          <w:i/>
          <w:sz w:val="23"/>
          <w:szCs w:val="23"/>
          <w:rtl/>
        </w:rPr>
        <w:t xml:space="preserve"> میل کند، آنگاه </w:t>
      </w:r>
      <w:r w:rsidRPr="00A40DDC">
        <w:rPr>
          <w:position w:val="-28"/>
        </w:rPr>
        <w:object w:dxaOrig="740" w:dyaOrig="660" w14:anchorId="0FE45EA9">
          <v:shape id="_x0000_i3741" type="#_x0000_t75" style="width:36.9pt;height:32.65pt" o:ole="">
            <v:imagedata r:id="rId5471" o:title=""/>
          </v:shape>
          <o:OLEObject Type="Embed" ProgID="Equation.DSMT4" ShapeID="_x0000_i3741" DrawAspect="Content" ObjectID="_1791377685" r:id="rId5472"/>
        </w:object>
      </w:r>
      <w:r w:rsidRPr="00A40DDC">
        <w:rPr>
          <w:rFonts w:eastAsiaTheme="minorEastAsia" w:hint="cs"/>
          <w:i/>
          <w:sz w:val="23"/>
          <w:szCs w:val="23"/>
          <w:rtl/>
        </w:rPr>
        <w:t xml:space="preserve"> میل می</w:t>
      </w:r>
      <w:r w:rsidRPr="00A40DDC">
        <w:rPr>
          <w:rFonts w:eastAsiaTheme="minorEastAsia"/>
          <w:i/>
          <w:sz w:val="23"/>
          <w:szCs w:val="23"/>
          <w:rtl/>
        </w:rPr>
        <w:softHyphen/>
      </w:r>
      <w:r w:rsidRPr="00A40DDC">
        <w:rPr>
          <w:rFonts w:eastAsiaTheme="minorEastAsia" w:hint="cs"/>
          <w:i/>
          <w:sz w:val="23"/>
          <w:szCs w:val="23"/>
          <w:rtl/>
        </w:rPr>
        <w:t>کند، و کالاهای قابل تجارت و کالاهای غیرقابل تجارت به نسبت ثابت مصرف می</w:t>
      </w:r>
      <w:r w:rsidRPr="00A40DDC">
        <w:rPr>
          <w:rFonts w:eastAsiaTheme="minorEastAsia"/>
          <w:i/>
          <w:sz w:val="23"/>
          <w:szCs w:val="23"/>
          <w:rtl/>
        </w:rPr>
        <w:softHyphen/>
      </w:r>
      <w:r w:rsidRPr="00A40DDC">
        <w:rPr>
          <w:rFonts w:eastAsiaTheme="minorEastAsia" w:hint="cs"/>
          <w:i/>
          <w:sz w:val="23"/>
          <w:szCs w:val="23"/>
          <w:rtl/>
        </w:rPr>
        <w:t xml:space="preserve">شوند. و اگر </w:t>
      </w:r>
      <w:r w:rsidRPr="00A40DDC">
        <w:rPr>
          <w:position w:val="-10"/>
        </w:rPr>
        <w:object w:dxaOrig="660" w:dyaOrig="260" w14:anchorId="4710212E">
          <v:shape id="_x0000_i3742" type="#_x0000_t75" style="width:32.65pt;height:13.3pt" o:ole="">
            <v:imagedata r:id="rId5473" o:title=""/>
          </v:shape>
          <o:OLEObject Type="Embed" ProgID="Equation.DSMT4" ShapeID="_x0000_i3742" DrawAspect="Content" ObjectID="_1791377686" r:id="rId5474"/>
        </w:object>
      </w:r>
      <w:r w:rsidRPr="00A40DDC">
        <w:rPr>
          <w:rFonts w:eastAsiaTheme="minorEastAsia" w:hint="cs"/>
          <w:i/>
          <w:sz w:val="23"/>
          <w:szCs w:val="23"/>
          <w:rtl/>
        </w:rPr>
        <w:t xml:space="preserve"> میل کند آنگاه کالاهای قابل تجارت و کالاهای غیرقابل تجارت جانشین کامل</w:t>
      </w:r>
      <w:r w:rsidRPr="00A40DDC">
        <w:rPr>
          <w:rFonts w:eastAsiaTheme="minorEastAsia"/>
          <w:i/>
          <w:sz w:val="23"/>
          <w:szCs w:val="23"/>
          <w:rtl/>
        </w:rPr>
        <w:softHyphen/>
      </w:r>
      <w:r w:rsidRPr="00A40DDC">
        <w:rPr>
          <w:rFonts w:eastAsiaTheme="minorEastAsia" w:hint="cs"/>
          <w:i/>
          <w:sz w:val="23"/>
          <w:szCs w:val="23"/>
          <w:rtl/>
        </w:rPr>
        <w:t>اند و قیمت کالاهای غیرقابل تجارت نسبت ثابتی از قیمت کالاهای قابل تجارت خواهد بود. زیرا</w:t>
      </w:r>
    </w:p>
    <w:p w14:paraId="37B8F4F5"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lang w:bidi="fa-IR"/>
        </w:rPr>
      </w:pPr>
      <w:r w:rsidRPr="00A40DDC">
        <w:rPr>
          <w:position w:val="-30"/>
        </w:rPr>
        <w:object w:dxaOrig="4040" w:dyaOrig="820" w14:anchorId="50D5CCDC">
          <v:shape id="_x0000_i3743" type="#_x0000_t75" style="width:202.1pt;height:40.55pt" o:ole="">
            <v:imagedata r:id="rId5475" o:title=""/>
          </v:shape>
          <o:OLEObject Type="Embed" ProgID="Equation.DSMT4" ShapeID="_x0000_i3743" DrawAspect="Content" ObjectID="_1791377687" r:id="rId5476"/>
        </w:object>
      </w:r>
    </w:p>
    <w:p w14:paraId="4D9A2482"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lastRenderedPageBreak/>
        <w:t>از رابطه</w:t>
      </w:r>
      <w:r w:rsidRPr="00A40DDC">
        <w:rPr>
          <w:rFonts w:eastAsiaTheme="minorEastAsia"/>
          <w:i/>
          <w:sz w:val="23"/>
          <w:szCs w:val="23"/>
          <w:rtl/>
        </w:rPr>
        <w:softHyphen/>
      </w:r>
      <w:r w:rsidRPr="00A40DDC">
        <w:rPr>
          <w:rFonts w:eastAsiaTheme="minorEastAsia" w:hint="cs"/>
          <w:i/>
          <w:sz w:val="23"/>
          <w:szCs w:val="23"/>
          <w:rtl/>
        </w:rPr>
        <w:t xml:space="preserve">ی </w:t>
      </w:r>
      <w:r w:rsidRPr="00A40DDC">
        <w:rPr>
          <w:rFonts w:hint="cs"/>
          <w:i/>
          <w:sz w:val="23"/>
          <w:szCs w:val="23"/>
          <w:rtl/>
        </w:rPr>
        <w:t>(۷. ۱۸)</w:t>
      </w:r>
      <w:r w:rsidRPr="00A40DDC">
        <w:rPr>
          <w:rFonts w:eastAsiaTheme="minorEastAsia" w:hint="cs"/>
          <w:i/>
          <w:sz w:val="23"/>
          <w:szCs w:val="23"/>
          <w:rtl/>
        </w:rPr>
        <w:t xml:space="preserve"> داریم</w:t>
      </w:r>
    </w:p>
    <w:p w14:paraId="2D777056"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lang w:bidi="fa-IR"/>
        </w:rPr>
      </w:pPr>
      <w:r w:rsidRPr="00A40DDC">
        <w:rPr>
          <w:position w:val="-30"/>
        </w:rPr>
        <w:object w:dxaOrig="1960" w:dyaOrig="740" w14:anchorId="3520E405">
          <v:shape id="_x0000_i3744" type="#_x0000_t75" style="width:98pt;height:36.9pt" o:ole="">
            <v:imagedata r:id="rId5477" o:title=""/>
          </v:shape>
          <o:OLEObject Type="Embed" ProgID="Equation.DSMT4" ShapeID="_x0000_i3744" DrawAspect="Content" ObjectID="_1791377688" r:id="rId5478"/>
        </w:object>
      </w:r>
    </w:p>
    <w:p w14:paraId="5A1D564D"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با جایگزاری</w:t>
      </w:r>
      <w:r w:rsidRPr="00A40DDC">
        <w:rPr>
          <w:position w:val="-10"/>
        </w:rPr>
        <w:object w:dxaOrig="300" w:dyaOrig="340" w14:anchorId="49D87453">
          <v:shape id="_x0000_i3745" type="#_x0000_t75" style="width:14.5pt;height:16.95pt" o:ole="">
            <v:imagedata r:id="rId5479" o:title=""/>
          </v:shape>
          <o:OLEObject Type="Embed" ProgID="Equation.DSMT4" ShapeID="_x0000_i3745" DrawAspect="Content" ObjectID="_1791377689" r:id="rId5480"/>
        </w:object>
      </w:r>
      <w:r w:rsidRPr="00A40DDC">
        <w:rPr>
          <w:rFonts w:eastAsiaTheme="minorEastAsia" w:hint="cs"/>
          <w:i/>
          <w:sz w:val="23"/>
          <w:szCs w:val="23"/>
          <w:rtl/>
        </w:rPr>
        <w:t xml:space="preserve"> در رابطه</w:t>
      </w:r>
      <w:r w:rsidRPr="00A40DDC">
        <w:rPr>
          <w:rFonts w:eastAsiaTheme="minorEastAsia"/>
          <w:i/>
          <w:sz w:val="23"/>
          <w:szCs w:val="23"/>
          <w:rtl/>
        </w:rPr>
        <w:softHyphen/>
      </w:r>
      <w:r w:rsidRPr="00A40DDC">
        <w:rPr>
          <w:rFonts w:eastAsiaTheme="minorEastAsia" w:hint="cs"/>
          <w:i/>
          <w:sz w:val="23"/>
          <w:szCs w:val="23"/>
          <w:rtl/>
        </w:rPr>
        <w:t xml:space="preserve">ی </w:t>
      </w:r>
      <w:r w:rsidRPr="00A40DDC">
        <w:rPr>
          <w:rFonts w:hint="cs"/>
          <w:i/>
          <w:sz w:val="23"/>
          <w:szCs w:val="23"/>
          <w:rtl/>
        </w:rPr>
        <w:t>(۷. ۱۶)</w:t>
      </w:r>
      <w:r w:rsidRPr="00A40DDC">
        <w:rPr>
          <w:rFonts w:eastAsiaTheme="minorEastAsia"/>
          <w:i/>
          <w:sz w:val="23"/>
          <w:szCs w:val="23"/>
        </w:rPr>
        <w:t xml:space="preserve"> </w:t>
      </w:r>
      <w:r w:rsidRPr="00A40DDC">
        <w:rPr>
          <w:rFonts w:eastAsiaTheme="minorEastAsia" w:hint="cs"/>
          <w:i/>
          <w:sz w:val="23"/>
          <w:szCs w:val="23"/>
          <w:rtl/>
        </w:rPr>
        <w:t>داریم</w:t>
      </w:r>
    </w:p>
    <w:p w14:paraId="3284B79E"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bidi="fa-IR"/>
        </w:rPr>
      </w:pPr>
      <w:r w:rsidRPr="00A40DDC">
        <w:rPr>
          <w:position w:val="-30"/>
        </w:rPr>
        <w:object w:dxaOrig="3120" w:dyaOrig="820" w14:anchorId="0FF36C32">
          <v:shape id="_x0000_i3746" type="#_x0000_t75" style="width:156.1pt;height:40.55pt" o:ole="">
            <v:imagedata r:id="rId5481" o:title=""/>
          </v:shape>
          <o:OLEObject Type="Embed" ProgID="Equation.DSMT4" ShapeID="_x0000_i3746" DrawAspect="Content" ObjectID="_1791377690" r:id="rId5482"/>
        </w:object>
      </w:r>
    </w:p>
    <w:p w14:paraId="2884F49A"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val="en-GB" w:bidi="fa-IR"/>
        </w:rPr>
      </w:pPr>
      <w:r w:rsidRPr="00A40DDC">
        <w:rPr>
          <w:position w:val="-42"/>
        </w:rPr>
        <w:object w:dxaOrig="4800" w:dyaOrig="1080" w14:anchorId="088A7E0E">
          <v:shape id="_x0000_i3747" type="#_x0000_t75" style="width:240.2pt;height:54.45pt" o:ole="">
            <v:imagedata r:id="rId5483" o:title=""/>
          </v:shape>
          <o:OLEObject Type="Embed" ProgID="Equation.DSMT4" ShapeID="_x0000_i3747" DrawAspect="Content" ObjectID="_1791377691" r:id="rId5484"/>
        </w:object>
      </w:r>
    </w:p>
    <w:p w14:paraId="0FA8875F" w14:textId="77777777" w:rsidR="00411620" w:rsidRPr="00A40DDC" w:rsidRDefault="00411620" w:rsidP="00411620">
      <w:pPr>
        <w:pStyle w:val="MTDisplayEquation"/>
        <w:spacing w:line="216" w:lineRule="auto"/>
        <w:rPr>
          <w:rFonts w:ascii="Times New Roman" w:hAnsi="Times New Roman"/>
          <w:i/>
          <w:sz w:val="23"/>
          <w:szCs w:val="23"/>
          <w:rtl/>
        </w:rPr>
      </w:pPr>
      <w:r w:rsidRPr="00A40DDC">
        <w:rPr>
          <w:position w:val="-36"/>
        </w:rPr>
        <w:object w:dxaOrig="3840" w:dyaOrig="960" w14:anchorId="441281ED">
          <v:shape id="_x0000_i3748" type="#_x0000_t75" style="width:191.8pt;height:47.8pt" o:ole="">
            <v:imagedata r:id="rId5485" o:title=""/>
          </v:shape>
          <o:OLEObject Type="Embed" ProgID="Equation.DSMT4" ShapeID="_x0000_i3748" DrawAspect="Content" ObjectID="_1791377692" r:id="rId5486"/>
        </w:object>
      </w:r>
    </w:p>
    <w:p w14:paraId="4F5E0FAB" w14:textId="77777777" w:rsidR="00411620" w:rsidRPr="00A40DDC" w:rsidRDefault="00411620" w:rsidP="00411620">
      <w:pPr>
        <w:spacing w:line="216" w:lineRule="auto"/>
        <w:rPr>
          <w:rFonts w:eastAsiaTheme="minorEastAsia"/>
          <w:i/>
          <w:sz w:val="23"/>
          <w:szCs w:val="23"/>
          <w:lang w:bidi="ar-SA"/>
        </w:rPr>
      </w:pPr>
      <w:r w:rsidRPr="00A40DDC">
        <w:rPr>
          <w:rFonts w:eastAsiaTheme="minorEastAsia" w:hint="cs"/>
          <w:i/>
          <w:sz w:val="23"/>
          <w:szCs w:val="23"/>
          <w:rtl/>
          <w:lang w:bidi="ar-SA"/>
        </w:rPr>
        <w:t>و</w:t>
      </w:r>
    </w:p>
    <w:p w14:paraId="668BE9E3"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lang w:bidi="fa-IR"/>
        </w:rPr>
      </w:pPr>
      <w:r w:rsidRPr="00A40DDC">
        <w:rPr>
          <w:position w:val="-36"/>
        </w:rPr>
        <w:object w:dxaOrig="4140" w:dyaOrig="960" w14:anchorId="150F4CB3">
          <v:shape id="_x0000_i3749" type="#_x0000_t75" style="width:206.9pt;height:47.8pt" o:ole="">
            <v:imagedata r:id="rId5487" o:title=""/>
          </v:shape>
          <o:OLEObject Type="Embed" ProgID="Equation.DSMT4" ShapeID="_x0000_i3749" DrawAspect="Content" ObjectID="_1791377693" r:id="rId5488"/>
        </w:object>
      </w:r>
    </w:p>
    <w:p w14:paraId="20989058"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 xml:space="preserve">از طرفی داریم </w:t>
      </w:r>
    </w:p>
    <w:p w14:paraId="17E64282"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lang w:bidi="fa-IR"/>
        </w:rPr>
      </w:pPr>
      <w:r w:rsidRPr="00A40DDC">
        <w:rPr>
          <w:position w:val="-30"/>
        </w:rPr>
        <w:object w:dxaOrig="4280" w:dyaOrig="740" w14:anchorId="06FE1C37">
          <v:shape id="_x0000_i3750" type="#_x0000_t75" style="width:214.2pt;height:36.9pt" o:ole="">
            <v:imagedata r:id="rId5489" o:title=""/>
          </v:shape>
          <o:OLEObject Type="Embed" ProgID="Equation.DSMT4" ShapeID="_x0000_i3750" DrawAspect="Content" ObjectID="_1791377694" r:id="rId5490"/>
        </w:object>
      </w:r>
    </w:p>
    <w:p w14:paraId="77923417"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lang w:bidi="fa-IR"/>
        </w:rPr>
      </w:pPr>
      <w:r w:rsidRPr="00A40DDC">
        <w:rPr>
          <w:position w:val="-30"/>
        </w:rPr>
        <w:object w:dxaOrig="3760" w:dyaOrig="740" w14:anchorId="5D8D0B66">
          <v:shape id="_x0000_i3751" type="#_x0000_t75" style="width:188.15pt;height:36.9pt" o:ole="">
            <v:imagedata r:id="rId5491" o:title=""/>
          </v:shape>
          <o:OLEObject Type="Embed" ProgID="Equation.DSMT4" ShapeID="_x0000_i3751" DrawAspect="Content" ObjectID="_1791377695" r:id="rId5492"/>
        </w:object>
      </w:r>
    </w:p>
    <w:p w14:paraId="3EE53F68"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val="en-GB" w:bidi="fa-IR"/>
        </w:rPr>
      </w:pPr>
      <w:r w:rsidRPr="00A40DDC">
        <w:rPr>
          <w:position w:val="-36"/>
        </w:rPr>
        <w:object w:dxaOrig="6500" w:dyaOrig="820" w14:anchorId="06FB2259">
          <v:shape id="_x0000_i3752" type="#_x0000_t75" style="width:324.9pt;height:40.55pt" o:ole="">
            <v:imagedata r:id="rId5493" o:title=""/>
          </v:shape>
          <o:OLEObject Type="Embed" ProgID="Equation.DSMT4" ShapeID="_x0000_i3752" DrawAspect="Content" ObjectID="_1791377696" r:id="rId5494"/>
        </w:object>
      </w:r>
    </w:p>
    <w:p w14:paraId="7BBE45BB"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lang w:bidi="fa-IR"/>
        </w:rPr>
      </w:pPr>
      <w:r w:rsidRPr="00A40DDC">
        <w:rPr>
          <w:position w:val="-36"/>
        </w:rPr>
        <w:object w:dxaOrig="3420" w:dyaOrig="820" w14:anchorId="6B615F16">
          <v:shape id="_x0000_i3753" type="#_x0000_t75" style="width:170.6pt;height:40.55pt" o:ole="">
            <v:imagedata r:id="rId5495" o:title=""/>
          </v:shape>
          <o:OLEObject Type="Embed" ProgID="Equation.DSMT4" ShapeID="_x0000_i3753" DrawAspect="Content" ObjectID="_1791377697" r:id="rId5496"/>
        </w:object>
      </w:r>
    </w:p>
    <w:p w14:paraId="4D8605AD"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 xml:space="preserve">و اگر بجای </w:t>
      </w:r>
      <w:r w:rsidRPr="00A40DDC">
        <w:rPr>
          <w:position w:val="-28"/>
        </w:rPr>
        <w:object w:dxaOrig="320" w:dyaOrig="639" w14:anchorId="1189B606">
          <v:shape id="_x0000_i3754" type="#_x0000_t75" style="width:15.75pt;height:32.05pt" o:ole="">
            <v:imagedata r:id="rId5497" o:title=""/>
          </v:shape>
          <o:OLEObject Type="Embed" ProgID="Equation.DSMT4" ShapeID="_x0000_i3754" DrawAspect="Content" ObjectID="_1791377698" r:id="rId5498"/>
        </w:object>
      </w:r>
      <w:r w:rsidRPr="00A40DDC">
        <w:rPr>
          <w:rFonts w:eastAsiaTheme="minorEastAsia" w:hint="cs"/>
          <w:i/>
          <w:sz w:val="23"/>
          <w:szCs w:val="23"/>
          <w:rtl/>
        </w:rPr>
        <w:t xml:space="preserve"> از رابطه</w:t>
      </w:r>
      <w:r w:rsidRPr="00A40DDC">
        <w:rPr>
          <w:rFonts w:eastAsiaTheme="minorEastAsia"/>
          <w:i/>
          <w:sz w:val="23"/>
          <w:szCs w:val="23"/>
          <w:rtl/>
        </w:rPr>
        <w:softHyphen/>
      </w:r>
      <w:r w:rsidRPr="00A40DDC">
        <w:rPr>
          <w:rFonts w:eastAsiaTheme="minorEastAsia" w:hint="cs"/>
          <w:i/>
          <w:sz w:val="23"/>
          <w:szCs w:val="23"/>
          <w:rtl/>
        </w:rPr>
        <w:t>ی بالا جایگزین کنیم خواهیم داشت</w:t>
      </w:r>
    </w:p>
    <w:p w14:paraId="2994A9AC" w14:textId="77777777" w:rsidR="00411620" w:rsidRPr="00A40DDC" w:rsidRDefault="00411620" w:rsidP="00411620">
      <w:pPr>
        <w:pStyle w:val="MTDisplayEquation"/>
        <w:tabs>
          <w:tab w:val="clear" w:pos="6660"/>
        </w:tabs>
        <w:spacing w:line="216" w:lineRule="auto"/>
        <w:rPr>
          <w:rFonts w:ascii="Times New Roman" w:eastAsiaTheme="minorEastAsia" w:hAnsi="Times New Roman" w:cs="B Nazanin"/>
          <w:i/>
          <w:sz w:val="23"/>
          <w:szCs w:val="23"/>
          <w:rtl/>
          <w:lang w:bidi="fa-IR"/>
        </w:rPr>
      </w:pPr>
      <w:r w:rsidRPr="00A40DDC">
        <w:rPr>
          <w:position w:val="-22"/>
        </w:rPr>
        <w:object w:dxaOrig="3500" w:dyaOrig="660" w14:anchorId="6B18AE5D">
          <v:shape id="_x0000_i3755" type="#_x0000_t75" style="width:175.45pt;height:32.65pt" o:ole="">
            <v:imagedata r:id="rId5499" o:title=""/>
          </v:shape>
          <o:OLEObject Type="Embed" ProgID="Equation.DSMT4" ShapeID="_x0000_i3755" DrawAspect="Content" ObjectID="_1791377699" r:id="rId5500"/>
        </w:object>
      </w:r>
      <w:r w:rsidRPr="00A40DDC">
        <w:rPr>
          <w:rFonts w:ascii="Times New Roman" w:hAnsi="Times New Roman" w:cs="B Nazanin"/>
          <w:i/>
          <w:sz w:val="23"/>
          <w:szCs w:val="23"/>
          <w:rtl/>
        </w:rPr>
        <w:tab/>
      </w:r>
      <w:r w:rsidRPr="00A40DDC">
        <w:rPr>
          <w:rFonts w:ascii="Times New Roman" w:hAnsi="Times New Roman" w:cs="B Nazanin"/>
          <w:i/>
          <w:sz w:val="23"/>
          <w:szCs w:val="23"/>
          <w:rtl/>
        </w:rPr>
        <w:tab/>
      </w:r>
      <w:r>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۱۹)</w:t>
      </w:r>
    </w:p>
    <w:p w14:paraId="473DED92"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لذا سطح عمومی قیمت</w:t>
      </w:r>
      <w:r w:rsidRPr="00A40DDC">
        <w:rPr>
          <w:rFonts w:eastAsiaTheme="minorEastAsia"/>
          <w:i/>
          <w:sz w:val="23"/>
          <w:szCs w:val="23"/>
          <w:rtl/>
        </w:rPr>
        <w:softHyphen/>
      </w:r>
      <w:r w:rsidRPr="00A40DDC">
        <w:rPr>
          <w:rFonts w:eastAsiaTheme="minorEastAsia" w:hint="cs"/>
          <w:i/>
          <w:sz w:val="23"/>
          <w:szCs w:val="23"/>
          <w:rtl/>
        </w:rPr>
        <w:t xml:space="preserve">ها تابعی است از قیمت کالاهای تجاری و غیرتجاری. </w:t>
      </w:r>
    </w:p>
    <w:p w14:paraId="2DCFDBD2"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lastRenderedPageBreak/>
        <w:t>رابطه</w:t>
      </w:r>
      <w:r w:rsidRPr="00A40DDC">
        <w:rPr>
          <w:rFonts w:eastAsiaTheme="minorEastAsia"/>
          <w:i/>
          <w:sz w:val="23"/>
          <w:szCs w:val="23"/>
          <w:rtl/>
        </w:rPr>
        <w:softHyphen/>
      </w:r>
      <w:r w:rsidRPr="00A40DDC">
        <w:rPr>
          <w:rFonts w:eastAsiaTheme="minorEastAsia" w:hint="cs"/>
          <w:i/>
          <w:sz w:val="23"/>
          <w:szCs w:val="23"/>
          <w:rtl/>
        </w:rPr>
        <w:t xml:space="preserve">ی </w:t>
      </w:r>
      <w:r w:rsidRPr="00A40DDC">
        <w:rPr>
          <w:rFonts w:hint="cs"/>
          <w:i/>
          <w:sz w:val="23"/>
          <w:szCs w:val="23"/>
          <w:rtl/>
        </w:rPr>
        <w:t>(۷. ۱۸)</w:t>
      </w:r>
      <w:r w:rsidRPr="00A40DDC">
        <w:rPr>
          <w:rFonts w:eastAsiaTheme="minorEastAsia" w:hint="cs"/>
          <w:i/>
          <w:sz w:val="23"/>
          <w:szCs w:val="23"/>
          <w:rtl/>
        </w:rPr>
        <w:t xml:space="preserve"> را می</w:t>
      </w:r>
      <w:r w:rsidRPr="00A40DDC">
        <w:rPr>
          <w:rFonts w:eastAsiaTheme="minorEastAsia"/>
          <w:i/>
          <w:sz w:val="23"/>
          <w:szCs w:val="23"/>
          <w:rtl/>
        </w:rPr>
        <w:softHyphen/>
      </w:r>
      <w:r w:rsidRPr="00A40DDC">
        <w:rPr>
          <w:rFonts w:eastAsiaTheme="minorEastAsia" w:hint="cs"/>
          <w:i/>
          <w:sz w:val="23"/>
          <w:szCs w:val="23"/>
          <w:rtl/>
        </w:rPr>
        <w:t>توان به صورت زیر بازنویسی کرد؛</w:t>
      </w:r>
    </w:p>
    <w:p w14:paraId="1A30E2B4"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val="en-GB" w:bidi="fa-IR"/>
        </w:rPr>
      </w:pPr>
      <w:r w:rsidRPr="00A40DDC">
        <w:rPr>
          <w:rFonts w:ascii="Times New Roman" w:hAnsi="Times New Roman" w:cs="B Nazanin"/>
          <w:i/>
          <w:sz w:val="23"/>
          <w:szCs w:val="23"/>
        </w:rPr>
        <w:tab/>
      </w:r>
      <w:r w:rsidRPr="00A40DDC">
        <w:rPr>
          <w:position w:val="-38"/>
        </w:rPr>
        <w:object w:dxaOrig="6180" w:dyaOrig="880" w14:anchorId="2CE609BE">
          <v:shape id="_x0000_i3756" type="#_x0000_t75" style="width:309.2pt;height:44.15pt" o:ole="">
            <v:imagedata r:id="rId5501" o:title=""/>
          </v:shape>
          <o:OLEObject Type="Embed" ProgID="Equation.DSMT4" ShapeID="_x0000_i3756" DrawAspect="Content" ObjectID="_1791377700" r:id="rId5502"/>
        </w:object>
      </w:r>
    </w:p>
    <w:p w14:paraId="6075DDF1"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lang w:bidi="fa-IR"/>
        </w:rPr>
      </w:pPr>
      <w:r w:rsidRPr="00A40DDC">
        <w:rPr>
          <w:position w:val="-16"/>
        </w:rPr>
        <w:object w:dxaOrig="5539" w:dyaOrig="460" w14:anchorId="10107D7E">
          <v:shape id="_x0000_i3757" type="#_x0000_t75" style="width:277.1pt;height:23pt" o:ole="">
            <v:imagedata r:id="rId5503" o:title=""/>
          </v:shape>
          <o:OLEObject Type="Embed" ProgID="Equation.DSMT4" ShapeID="_x0000_i3757" DrawAspect="Content" ObjectID="_1791377701" r:id="rId5504"/>
        </w:object>
      </w:r>
    </w:p>
    <w:p w14:paraId="24D05C7D"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یعنی سهم مخارج مصرفی کالاهای قابل تجارت از کل مخارج مصرفی با افزایش قیمت</w:t>
      </w:r>
      <w:r w:rsidRPr="00A40DDC">
        <w:rPr>
          <w:rFonts w:eastAsiaTheme="minorEastAsia"/>
          <w:i/>
          <w:sz w:val="23"/>
          <w:szCs w:val="23"/>
          <w:rtl/>
        </w:rPr>
        <w:softHyphen/>
      </w:r>
      <w:r w:rsidRPr="00A40DDC">
        <w:rPr>
          <w:rFonts w:eastAsiaTheme="minorEastAsia" w:hint="cs"/>
          <w:i/>
          <w:sz w:val="23"/>
          <w:szCs w:val="23"/>
          <w:rtl/>
        </w:rPr>
        <w:t>های نسبی کالاهای قابل تجارت کاهش می</w:t>
      </w:r>
      <w:r w:rsidRPr="00A40DDC">
        <w:rPr>
          <w:rFonts w:eastAsiaTheme="minorEastAsia"/>
          <w:i/>
          <w:sz w:val="23"/>
          <w:szCs w:val="23"/>
          <w:rtl/>
        </w:rPr>
        <w:softHyphen/>
      </w:r>
      <w:r w:rsidRPr="00A40DDC">
        <w:rPr>
          <w:rFonts w:eastAsiaTheme="minorEastAsia" w:hint="cs"/>
          <w:i/>
          <w:sz w:val="23"/>
          <w:szCs w:val="23"/>
          <w:rtl/>
        </w:rPr>
        <w:t>یابد و مقدار واکنش آن به پارامتر</w:t>
      </w:r>
      <w:r w:rsidRPr="00A40DDC">
        <w:rPr>
          <w:position w:val="-10"/>
        </w:rPr>
        <w:object w:dxaOrig="260" w:dyaOrig="240" w14:anchorId="63AAF87A">
          <v:shape id="_x0000_i3758" type="#_x0000_t75" style="width:13.3pt;height:11.5pt" o:ole="">
            <v:imagedata r:id="rId5505" o:title=""/>
          </v:shape>
          <o:OLEObject Type="Embed" ProgID="Equation.DSMT4" ShapeID="_x0000_i3758" DrawAspect="Content" ObjectID="_1791377702" r:id="rId5506"/>
        </w:object>
      </w:r>
      <w:r w:rsidRPr="00A40DDC">
        <w:rPr>
          <w:rFonts w:eastAsiaTheme="minorEastAsia" w:hint="cs"/>
          <w:i/>
          <w:sz w:val="23"/>
          <w:szCs w:val="23"/>
          <w:rtl/>
        </w:rPr>
        <w:t>یعنی کشش جانشینی کالاهای قابل تجارت به غیرقابل تجارت وابسته است. همچنین سهم مخارج مصرفی کالاهای غیرقابل تجارت از کل مخارج مصرفی با افزایش قیمت</w:t>
      </w:r>
      <w:r w:rsidRPr="00A40DDC">
        <w:rPr>
          <w:rFonts w:eastAsiaTheme="minorEastAsia"/>
          <w:i/>
          <w:sz w:val="23"/>
          <w:szCs w:val="23"/>
          <w:rtl/>
        </w:rPr>
        <w:softHyphen/>
      </w:r>
      <w:r w:rsidRPr="00A40DDC">
        <w:rPr>
          <w:rFonts w:eastAsiaTheme="minorEastAsia" w:hint="cs"/>
          <w:i/>
          <w:sz w:val="23"/>
          <w:szCs w:val="23"/>
          <w:rtl/>
        </w:rPr>
        <w:t>های نسبی کالاهای غیرقابل تجارت کاهش می</w:t>
      </w:r>
      <w:r w:rsidRPr="00A40DDC">
        <w:rPr>
          <w:rFonts w:eastAsiaTheme="minorEastAsia"/>
          <w:i/>
          <w:sz w:val="23"/>
          <w:szCs w:val="23"/>
          <w:rtl/>
        </w:rPr>
        <w:softHyphen/>
      </w:r>
      <w:r w:rsidRPr="00A40DDC">
        <w:rPr>
          <w:rFonts w:eastAsiaTheme="minorEastAsia" w:hint="cs"/>
          <w:i/>
          <w:sz w:val="23"/>
          <w:szCs w:val="23"/>
          <w:rtl/>
        </w:rPr>
        <w:t>یابد و مقدار واکنش نیز مجدداً به پارامتر</w:t>
      </w:r>
      <w:r w:rsidRPr="00A40DDC">
        <w:rPr>
          <w:position w:val="-10"/>
        </w:rPr>
        <w:object w:dxaOrig="260" w:dyaOrig="240" w14:anchorId="310B58E2">
          <v:shape id="_x0000_i3759" type="#_x0000_t75" style="width:13.3pt;height:11.5pt" o:ole="">
            <v:imagedata r:id="rId5507" o:title=""/>
          </v:shape>
          <o:OLEObject Type="Embed" ProgID="Equation.DSMT4" ShapeID="_x0000_i3759" DrawAspect="Content" ObjectID="_1791377703" r:id="rId5508"/>
        </w:object>
      </w:r>
      <w:r w:rsidRPr="00A40DDC">
        <w:rPr>
          <w:rFonts w:eastAsiaTheme="minorEastAsia" w:hint="cs"/>
          <w:i/>
          <w:sz w:val="23"/>
          <w:szCs w:val="23"/>
          <w:rtl/>
        </w:rPr>
        <w:t>یعنی کشش جانشینی کالاهای قابل تجارت به غیرقابل تجارت وابسته است</w:t>
      </w:r>
    </w:p>
    <w:p w14:paraId="6878FD80"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پویایی کوتاه</w:t>
      </w:r>
      <w:r w:rsidRPr="00A40DDC">
        <w:rPr>
          <w:rFonts w:eastAsiaTheme="minorEastAsia"/>
          <w:i/>
          <w:sz w:val="23"/>
          <w:szCs w:val="23"/>
          <w:rtl/>
        </w:rPr>
        <w:softHyphen/>
      </w:r>
      <w:r w:rsidRPr="00A40DDC">
        <w:rPr>
          <w:rFonts w:eastAsiaTheme="minorEastAsia" w:hint="cs"/>
          <w:i/>
          <w:sz w:val="23"/>
          <w:szCs w:val="23"/>
          <w:rtl/>
        </w:rPr>
        <w:t>مدت را می</w:t>
      </w:r>
      <w:r w:rsidRPr="00A40DDC">
        <w:rPr>
          <w:rFonts w:eastAsiaTheme="minorEastAsia"/>
          <w:i/>
          <w:sz w:val="23"/>
          <w:szCs w:val="23"/>
          <w:rtl/>
        </w:rPr>
        <w:softHyphen/>
      </w:r>
      <w:r w:rsidRPr="00A40DDC">
        <w:rPr>
          <w:rFonts w:eastAsiaTheme="minorEastAsia" w:hint="cs"/>
          <w:i/>
          <w:sz w:val="23"/>
          <w:szCs w:val="23"/>
          <w:rtl/>
        </w:rPr>
        <w:t>توان از معادله</w:t>
      </w:r>
      <w:r w:rsidRPr="00A40DDC">
        <w:rPr>
          <w:rFonts w:eastAsiaTheme="minorEastAsia"/>
          <w:i/>
          <w:sz w:val="23"/>
          <w:szCs w:val="23"/>
          <w:rtl/>
        </w:rPr>
        <w:softHyphen/>
      </w:r>
      <w:r w:rsidRPr="00A40DDC">
        <w:rPr>
          <w:rFonts w:eastAsiaTheme="minorEastAsia" w:hint="cs"/>
          <w:i/>
          <w:sz w:val="23"/>
          <w:szCs w:val="23"/>
          <w:rtl/>
        </w:rPr>
        <w:t>ی اویلر و دو معادله</w:t>
      </w:r>
      <w:r w:rsidRPr="00A40DDC">
        <w:rPr>
          <w:rFonts w:eastAsiaTheme="minorEastAsia"/>
          <w:i/>
          <w:sz w:val="23"/>
          <w:szCs w:val="23"/>
          <w:rtl/>
        </w:rPr>
        <w:softHyphen/>
      </w:r>
      <w:r w:rsidRPr="00A40DDC">
        <w:rPr>
          <w:rFonts w:eastAsiaTheme="minorEastAsia" w:hint="cs"/>
          <w:i/>
          <w:sz w:val="23"/>
          <w:szCs w:val="23"/>
          <w:rtl/>
        </w:rPr>
        <w:t>ی</w:t>
      </w:r>
      <w:r w:rsidRPr="00A40DDC">
        <w:rPr>
          <w:position w:val="-10"/>
        </w:rPr>
        <w:object w:dxaOrig="560" w:dyaOrig="340" w14:anchorId="1B5D938C">
          <v:shape id="_x0000_i3760" type="#_x0000_t75" style="width:27.85pt;height:16.95pt" o:ole="">
            <v:imagedata r:id="rId5509" o:title=""/>
          </v:shape>
          <o:OLEObject Type="Embed" ProgID="Equation.DSMT4" ShapeID="_x0000_i3760" DrawAspect="Content" ObjectID="_1791377704" r:id="rId5510"/>
        </w:object>
      </w:r>
      <w:r w:rsidRPr="00A40DDC">
        <w:rPr>
          <w:rFonts w:eastAsiaTheme="minorEastAsia" w:hint="cs"/>
          <w:i/>
          <w:sz w:val="23"/>
          <w:szCs w:val="23"/>
          <w:rtl/>
        </w:rPr>
        <w:t xml:space="preserve"> و</w:t>
      </w:r>
      <w:r w:rsidRPr="00A40DDC">
        <w:rPr>
          <w:position w:val="-10"/>
        </w:rPr>
        <w:object w:dxaOrig="600" w:dyaOrig="340" w14:anchorId="6FF2133C">
          <v:shape id="_x0000_i3761" type="#_x0000_t75" style="width:29.65pt;height:16.95pt" o:ole="">
            <v:imagedata r:id="rId5511" o:title=""/>
          </v:shape>
          <o:OLEObject Type="Embed" ProgID="Equation.DSMT4" ShapeID="_x0000_i3761" DrawAspect="Content" ObjectID="_1791377705" r:id="rId5512"/>
        </w:object>
      </w:r>
      <w:r w:rsidRPr="00A40DDC">
        <w:rPr>
          <w:rFonts w:eastAsiaTheme="minorEastAsia"/>
          <w:i/>
          <w:sz w:val="23"/>
          <w:szCs w:val="23"/>
        </w:rPr>
        <w:t xml:space="preserve"> </w:t>
      </w:r>
      <w:r w:rsidRPr="00A40DDC">
        <w:rPr>
          <w:rFonts w:eastAsiaTheme="minorEastAsia" w:hint="cs"/>
          <w:i/>
          <w:sz w:val="23"/>
          <w:szCs w:val="23"/>
          <w:rtl/>
        </w:rPr>
        <w:t>بررسی کرد. به</w:t>
      </w:r>
      <w:r w:rsidRPr="00A40DDC">
        <w:rPr>
          <w:rFonts w:eastAsiaTheme="minorEastAsia"/>
          <w:i/>
          <w:sz w:val="23"/>
          <w:szCs w:val="23"/>
          <w:rtl/>
        </w:rPr>
        <w:softHyphen/>
      </w:r>
      <w:r w:rsidRPr="00A40DDC">
        <w:rPr>
          <w:rFonts w:eastAsiaTheme="minorEastAsia" w:hint="cs"/>
          <w:i/>
          <w:sz w:val="23"/>
          <w:szCs w:val="23"/>
          <w:rtl/>
        </w:rPr>
        <w:t>عنوان مثال برای کالاهای قابل تجارت داریم</w:t>
      </w:r>
    </w:p>
    <w:p w14:paraId="04A20C64"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30"/>
        </w:rPr>
        <w:object w:dxaOrig="3440" w:dyaOrig="740" w14:anchorId="34D8D989">
          <v:shape id="_x0000_i3762" type="#_x0000_t75" style="width:171.85pt;height:36.9pt" o:ole="">
            <v:imagedata r:id="rId5513" o:title=""/>
          </v:shape>
          <o:OLEObject Type="Embed" ProgID="Equation.DSMT4" ShapeID="_x0000_i3762" DrawAspect="Content" ObjectID="_1791377706" r:id="rId5514"/>
        </w:object>
      </w:r>
    </w:p>
    <w:p w14:paraId="57C21997" w14:textId="77777777" w:rsidR="00411620" w:rsidRPr="00A40DDC" w:rsidRDefault="00411620" w:rsidP="00411620">
      <w:pPr>
        <w:spacing w:line="216" w:lineRule="auto"/>
        <w:rPr>
          <w:rFonts w:eastAsiaTheme="minorEastAsia"/>
          <w:i/>
          <w:sz w:val="23"/>
          <w:szCs w:val="23"/>
          <w:lang w:val="en-GB"/>
        </w:rPr>
      </w:pPr>
      <w:r w:rsidRPr="00A40DDC">
        <w:rPr>
          <w:rFonts w:eastAsiaTheme="minorEastAsia" w:hint="cs"/>
          <w:i/>
          <w:sz w:val="23"/>
          <w:szCs w:val="23"/>
          <w:rtl/>
        </w:rPr>
        <w:t>و چون داریم</w:t>
      </w:r>
      <w:r w:rsidRPr="00A40DDC">
        <w:rPr>
          <w:position w:val="-16"/>
        </w:rPr>
        <w:object w:dxaOrig="2140" w:dyaOrig="460" w14:anchorId="7E1E369B">
          <v:shape id="_x0000_i3763" type="#_x0000_t75" style="width:107.1pt;height:23pt" o:ole="">
            <v:imagedata r:id="rId5515" o:title=""/>
          </v:shape>
          <o:OLEObject Type="Embed" ProgID="Equation.DSMT4" ShapeID="_x0000_i3763" DrawAspect="Content" ObjectID="_1791377707" r:id="rId5516"/>
        </w:object>
      </w:r>
      <w:r w:rsidRPr="00A40DDC">
        <w:rPr>
          <w:rFonts w:eastAsiaTheme="minorEastAsia" w:hint="cs"/>
          <w:i/>
          <w:sz w:val="23"/>
          <w:szCs w:val="23"/>
          <w:rtl/>
        </w:rPr>
        <w:t xml:space="preserve"> لذا </w:t>
      </w:r>
      <w:r w:rsidRPr="00A40DDC">
        <w:rPr>
          <w:position w:val="-16"/>
        </w:rPr>
        <w:object w:dxaOrig="2020" w:dyaOrig="460" w14:anchorId="6821D057">
          <v:shape id="_x0000_i3764" type="#_x0000_t75" style="width:101.05pt;height:23pt" o:ole="">
            <v:imagedata r:id="rId5517" o:title=""/>
          </v:shape>
          <o:OLEObject Type="Embed" ProgID="Equation.DSMT4" ShapeID="_x0000_i3764" DrawAspect="Content" ObjectID="_1791377708" r:id="rId5518"/>
        </w:object>
      </w:r>
      <w:r w:rsidRPr="00A40DDC">
        <w:rPr>
          <w:rFonts w:eastAsiaTheme="minorEastAsia" w:hint="cs"/>
          <w:i/>
          <w:sz w:val="23"/>
          <w:szCs w:val="23"/>
          <w:rtl/>
        </w:rPr>
        <w:t>. بنابراین</w:t>
      </w:r>
    </w:p>
    <w:p w14:paraId="4C5C97B6"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val="en-GB"/>
        </w:rPr>
      </w:pPr>
      <w:r w:rsidRPr="00A40DDC">
        <w:rPr>
          <w:position w:val="-36"/>
        </w:rPr>
        <w:object w:dxaOrig="6160" w:dyaOrig="940" w14:anchorId="74429981">
          <v:shape id="_x0000_i3765" type="#_x0000_t75" style="width:307.95pt;height:47.2pt" o:ole="">
            <v:imagedata r:id="rId5519" o:title=""/>
          </v:shape>
          <o:OLEObject Type="Embed" ProgID="Equation.DSMT4" ShapeID="_x0000_i3765" DrawAspect="Content" ObjectID="_1791377709" r:id="rId5520"/>
        </w:object>
      </w:r>
    </w:p>
    <w:p w14:paraId="17350380"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lang w:val="en-GB"/>
        </w:rPr>
        <w:t xml:space="preserve">و برای </w:t>
      </w:r>
      <w:r w:rsidRPr="00A40DDC">
        <w:rPr>
          <w:position w:val="-8"/>
        </w:rPr>
        <w:object w:dxaOrig="660" w:dyaOrig="279" w14:anchorId="3A07EC64">
          <v:shape id="_x0000_i3766" type="#_x0000_t75" style="width:32.65pt;height:13.9pt" o:ole="">
            <v:imagedata r:id="rId5521" o:title=""/>
          </v:shape>
          <o:OLEObject Type="Embed" ProgID="Equation.DSMT4" ShapeID="_x0000_i3766" DrawAspect="Content" ObjectID="_1791377710" r:id="rId5522"/>
        </w:object>
      </w:r>
      <w:r w:rsidRPr="00A40DDC">
        <w:rPr>
          <w:rFonts w:eastAsiaTheme="minorEastAsia"/>
          <w:i/>
          <w:sz w:val="23"/>
          <w:szCs w:val="23"/>
        </w:rPr>
        <w:t xml:space="preserve"> </w:t>
      </w:r>
      <w:r w:rsidRPr="00A40DDC">
        <w:rPr>
          <w:rFonts w:eastAsiaTheme="minorEastAsia" w:hint="cs"/>
          <w:i/>
          <w:sz w:val="23"/>
          <w:szCs w:val="23"/>
          <w:rtl/>
        </w:rPr>
        <w:t>خواهیم داشت</w:t>
      </w:r>
    </w:p>
    <w:p w14:paraId="67D40BEE"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28"/>
        </w:rPr>
        <w:object w:dxaOrig="3640" w:dyaOrig="660" w14:anchorId="5D047BFD">
          <v:shape id="_x0000_i3767" type="#_x0000_t75" style="width:181.5pt;height:32.65pt" o:ole="">
            <v:imagedata r:id="rId5523" o:title=""/>
          </v:shape>
          <o:OLEObject Type="Embed" ProgID="Equation.DSMT4" ShapeID="_x0000_i3767" DrawAspect="Content" ObjectID="_1791377711" r:id="rId5524"/>
        </w:object>
      </w:r>
    </w:p>
    <w:p w14:paraId="4CDA9FC6"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Pr>
      </w:pPr>
      <w:r w:rsidRPr="00A40DDC">
        <w:rPr>
          <w:position w:val="-28"/>
        </w:rPr>
        <w:object w:dxaOrig="4280" w:dyaOrig="660" w14:anchorId="10157394">
          <v:shape id="_x0000_i3768" type="#_x0000_t75" style="width:214.2pt;height:32.65pt" o:ole="">
            <v:imagedata r:id="rId5525" o:title=""/>
          </v:shape>
          <o:OLEObject Type="Embed" ProgID="Equation.DSMT4" ShapeID="_x0000_i3768" DrawAspect="Content" ObjectID="_1791377712" r:id="rId5526"/>
        </w:object>
      </w:r>
    </w:p>
    <w:p w14:paraId="7A30417F"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از طرفی داریم</w:t>
      </w:r>
    </w:p>
    <w:p w14:paraId="284DABC9"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28"/>
        </w:rPr>
        <w:object w:dxaOrig="3300" w:dyaOrig="620" w14:anchorId="21FFA000">
          <v:shape id="_x0000_i3769" type="#_x0000_t75" style="width:165.2pt;height:31.45pt" o:ole="">
            <v:imagedata r:id="rId5527" o:title=""/>
          </v:shape>
          <o:OLEObject Type="Embed" ProgID="Equation.DSMT4" ShapeID="_x0000_i3769" DrawAspect="Content" ObjectID="_1791377713" r:id="rId5528"/>
        </w:object>
      </w:r>
    </w:p>
    <w:p w14:paraId="46C4013B"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lang w:val="en-GB"/>
        </w:rPr>
        <w:t xml:space="preserve">و برای </w:t>
      </w:r>
      <w:r w:rsidRPr="00A40DDC">
        <w:rPr>
          <w:position w:val="-6"/>
        </w:rPr>
        <w:object w:dxaOrig="480" w:dyaOrig="260" w14:anchorId="66A9F26B">
          <v:shape id="_x0000_i3770" type="#_x0000_t75" style="width:24.2pt;height:13.3pt" o:ole="">
            <v:imagedata r:id="rId5529" o:title=""/>
          </v:shape>
          <o:OLEObject Type="Embed" ProgID="Equation.DSMT4" ShapeID="_x0000_i3770" DrawAspect="Content" ObjectID="_1791377714" r:id="rId5530"/>
        </w:object>
      </w:r>
      <w:r w:rsidRPr="00A40DDC">
        <w:rPr>
          <w:rFonts w:eastAsiaTheme="minorEastAsia"/>
          <w:i/>
          <w:sz w:val="23"/>
          <w:szCs w:val="23"/>
        </w:rPr>
        <w:t xml:space="preserve"> </w:t>
      </w:r>
      <w:r w:rsidRPr="00A40DDC">
        <w:rPr>
          <w:rFonts w:eastAsiaTheme="minorEastAsia" w:hint="cs"/>
          <w:i/>
          <w:sz w:val="23"/>
          <w:szCs w:val="23"/>
          <w:rtl/>
        </w:rPr>
        <w:t>خواهیم داشت</w:t>
      </w:r>
    </w:p>
    <w:p w14:paraId="68700BA6"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28"/>
        </w:rPr>
        <w:object w:dxaOrig="3840" w:dyaOrig="639" w14:anchorId="20C5EB95">
          <v:shape id="_x0000_i3771" type="#_x0000_t75" style="width:191.8pt;height:32.05pt" o:ole="">
            <v:imagedata r:id="rId5531" o:title=""/>
          </v:shape>
          <o:OLEObject Type="Embed" ProgID="Equation.DSMT4" ShapeID="_x0000_i3771" DrawAspect="Content" ObjectID="_1791377715" r:id="rId5532"/>
        </w:object>
      </w:r>
    </w:p>
    <w:p w14:paraId="2D7BC9A1" w14:textId="77777777" w:rsidR="00411620" w:rsidRPr="00A40DDC" w:rsidRDefault="00411620" w:rsidP="00411620">
      <w:pPr>
        <w:spacing w:line="216" w:lineRule="auto"/>
        <w:rPr>
          <w:rFonts w:eastAsiaTheme="minorEastAsia"/>
          <w:i/>
          <w:sz w:val="23"/>
          <w:szCs w:val="23"/>
          <w:rtl/>
          <w:lang w:val="en-GB"/>
        </w:rPr>
      </w:pPr>
      <w:r w:rsidRPr="00A40DDC">
        <w:rPr>
          <w:rFonts w:eastAsiaTheme="minorEastAsia"/>
          <w:i/>
          <w:sz w:val="23"/>
          <w:szCs w:val="23"/>
        </w:rPr>
        <w:t xml:space="preserve"> </w:t>
      </w:r>
      <w:r w:rsidRPr="00A40DDC">
        <w:rPr>
          <w:rFonts w:eastAsiaTheme="minorEastAsia" w:hint="cs"/>
          <w:i/>
          <w:sz w:val="23"/>
          <w:szCs w:val="23"/>
          <w:rtl/>
        </w:rPr>
        <w:t xml:space="preserve">ویا </w:t>
      </w:r>
    </w:p>
    <w:p w14:paraId="00F2F5AA"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30"/>
        </w:rPr>
        <w:object w:dxaOrig="2020" w:dyaOrig="740" w14:anchorId="63EB7E81">
          <v:shape id="_x0000_i3772" type="#_x0000_t75" style="width:101.05pt;height:36.9pt" o:ole="">
            <v:imagedata r:id="rId5533" o:title=""/>
          </v:shape>
          <o:OLEObject Type="Embed" ProgID="Equation.DSMT4" ShapeID="_x0000_i3772" DrawAspect="Content" ObjectID="_1791377716" r:id="rId5534"/>
        </w:object>
      </w:r>
    </w:p>
    <w:p w14:paraId="03C73BE0"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نتایج فوق را می</w:t>
      </w:r>
      <w:r w:rsidRPr="00A40DDC">
        <w:rPr>
          <w:rFonts w:eastAsiaTheme="minorEastAsia"/>
          <w:i/>
          <w:sz w:val="23"/>
          <w:szCs w:val="23"/>
          <w:rtl/>
        </w:rPr>
        <w:softHyphen/>
      </w:r>
      <w:r w:rsidRPr="00A40DDC">
        <w:rPr>
          <w:rFonts w:eastAsiaTheme="minorEastAsia" w:hint="cs"/>
          <w:i/>
          <w:sz w:val="23"/>
          <w:szCs w:val="23"/>
          <w:rtl/>
        </w:rPr>
        <w:t xml:space="preserve">توان از شرط مرتبه اول مربوط به مصرف کالاهای غیرقابل تجارت نیز بدست آورد. </w:t>
      </w:r>
    </w:p>
    <w:p w14:paraId="0D50ADF0" w14:textId="77777777" w:rsidR="00411620" w:rsidRPr="00A40DDC" w:rsidRDefault="00411620" w:rsidP="00411620">
      <w:pPr>
        <w:spacing w:line="216" w:lineRule="auto"/>
        <w:rPr>
          <w:rFonts w:eastAsiaTheme="minorEastAsia"/>
          <w:i/>
          <w:sz w:val="23"/>
          <w:szCs w:val="23"/>
        </w:rPr>
      </w:pPr>
      <w:r w:rsidRPr="00A40DDC">
        <w:rPr>
          <w:rFonts w:eastAsiaTheme="minorEastAsia" w:hint="cs"/>
          <w:i/>
          <w:sz w:val="23"/>
          <w:szCs w:val="23"/>
          <w:rtl/>
        </w:rPr>
        <w:t>حل مربوط به موجودی سرمایه</w:t>
      </w:r>
      <w:r w:rsidRPr="00A40DDC">
        <w:rPr>
          <w:rFonts w:eastAsiaTheme="minorEastAsia"/>
          <w:i/>
          <w:sz w:val="23"/>
          <w:szCs w:val="23"/>
          <w:rtl/>
        </w:rPr>
        <w:softHyphen/>
      </w:r>
      <w:r w:rsidRPr="00A40DDC">
        <w:rPr>
          <w:rFonts w:eastAsiaTheme="minorEastAsia" w:hint="cs"/>
          <w:i/>
          <w:sz w:val="23"/>
          <w:szCs w:val="23"/>
          <w:rtl/>
        </w:rPr>
        <w:t xml:space="preserve">ی کالاهای قابل تجارت و غیرقابل تجارت نیز از شرط مرتبه اول مربوط به آن‌ها یعنی </w:t>
      </w:r>
      <w:r w:rsidRPr="00A40DDC">
        <w:rPr>
          <w:position w:val="-28"/>
        </w:rPr>
        <w:object w:dxaOrig="859" w:dyaOrig="620" w14:anchorId="5C6110B9">
          <v:shape id="_x0000_i3773" type="#_x0000_t75" style="width:42.95pt;height:31.45pt" o:ole="">
            <v:imagedata r:id="rId5535" o:title=""/>
          </v:shape>
          <o:OLEObject Type="Embed" ProgID="Equation.DSMT4" ShapeID="_x0000_i3773" DrawAspect="Content" ObjectID="_1791377717" r:id="rId5536"/>
        </w:object>
      </w:r>
      <w:r w:rsidRPr="00A40DDC">
        <w:rPr>
          <w:rFonts w:eastAsiaTheme="minorEastAsia" w:hint="cs"/>
          <w:i/>
          <w:sz w:val="23"/>
          <w:szCs w:val="23"/>
          <w:rtl/>
        </w:rPr>
        <w:t xml:space="preserve"> و </w:t>
      </w:r>
      <w:r w:rsidRPr="00A40DDC">
        <w:rPr>
          <w:position w:val="-28"/>
        </w:rPr>
        <w:object w:dxaOrig="859" w:dyaOrig="620" w14:anchorId="12CB7EB3">
          <v:shape id="_x0000_i3774" type="#_x0000_t75" style="width:42.95pt;height:31.45pt" o:ole="">
            <v:imagedata r:id="rId5537" o:title=""/>
          </v:shape>
          <o:OLEObject Type="Embed" ProgID="Equation.DSMT4" ShapeID="_x0000_i3774" DrawAspect="Content" ObjectID="_1791377718" r:id="rId5538"/>
        </w:object>
      </w:r>
      <w:r w:rsidRPr="00A40DDC">
        <w:rPr>
          <w:rFonts w:eastAsiaTheme="minorEastAsia" w:hint="cs"/>
          <w:i/>
          <w:sz w:val="23"/>
          <w:szCs w:val="23"/>
          <w:rtl/>
        </w:rPr>
        <w:t xml:space="preserve"> و همچنین </w:t>
      </w:r>
      <w:r w:rsidRPr="00A40DDC">
        <w:rPr>
          <w:position w:val="-28"/>
        </w:rPr>
        <w:object w:dxaOrig="820" w:dyaOrig="620" w14:anchorId="23C84550">
          <v:shape id="_x0000_i3775" type="#_x0000_t75" style="width:40.55pt;height:31.45pt" o:ole="">
            <v:imagedata r:id="rId5539" o:title=""/>
          </v:shape>
          <o:OLEObject Type="Embed" ProgID="Equation.DSMT4" ShapeID="_x0000_i3775" DrawAspect="Content" ObjectID="_1791377719" r:id="rId5540"/>
        </w:object>
      </w:r>
      <w:r w:rsidRPr="00A40DDC">
        <w:rPr>
          <w:rFonts w:eastAsiaTheme="minorEastAsia" w:hint="cs"/>
          <w:i/>
          <w:sz w:val="23"/>
          <w:szCs w:val="23"/>
          <w:rtl/>
        </w:rPr>
        <w:t xml:space="preserve"> و برای </w:t>
      </w:r>
      <w:r w:rsidRPr="00A40DDC">
        <w:rPr>
          <w:position w:val="-6"/>
        </w:rPr>
        <w:object w:dxaOrig="480" w:dyaOrig="260" w14:anchorId="5517CEF3">
          <v:shape id="_x0000_i3776" type="#_x0000_t75" style="width:24.2pt;height:13.3pt" o:ole="">
            <v:imagedata r:id="rId5541" o:title=""/>
          </v:shape>
          <o:OLEObject Type="Embed" ProgID="Equation.DSMT4" ShapeID="_x0000_i3776" DrawAspect="Content" ObjectID="_1791377720" r:id="rId5542"/>
        </w:object>
      </w:r>
      <w:r w:rsidRPr="00A40DDC">
        <w:rPr>
          <w:rFonts w:eastAsiaTheme="minorEastAsia" w:hint="cs"/>
          <w:i/>
          <w:sz w:val="23"/>
          <w:szCs w:val="23"/>
          <w:rtl/>
        </w:rPr>
        <w:t xml:space="preserve"> و با یک جایگزاری ساده و تبدیل آن</w:t>
      </w:r>
      <w:r w:rsidRPr="00A40DDC">
        <w:rPr>
          <w:rFonts w:eastAsiaTheme="minorEastAsia"/>
          <w:i/>
          <w:sz w:val="23"/>
          <w:szCs w:val="23"/>
          <w:rtl/>
        </w:rPr>
        <w:softHyphen/>
      </w:r>
      <w:r w:rsidRPr="00A40DDC">
        <w:rPr>
          <w:rFonts w:eastAsiaTheme="minorEastAsia" w:hint="cs"/>
          <w:i/>
          <w:sz w:val="23"/>
          <w:szCs w:val="23"/>
          <w:rtl/>
        </w:rPr>
        <w:t>ها بدست خواهد آمد. بنابراین</w:t>
      </w:r>
    </w:p>
    <w:p w14:paraId="6B2D7994"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val="en-GB"/>
        </w:rPr>
      </w:pPr>
      <w:r w:rsidRPr="00A40DDC">
        <w:rPr>
          <w:position w:val="-30"/>
        </w:rPr>
        <w:object w:dxaOrig="4940" w:dyaOrig="700" w14:anchorId="0D6B25A9">
          <v:shape id="_x0000_i3777" type="#_x0000_t75" style="width:247.45pt;height:35.1pt" o:ole="">
            <v:imagedata r:id="rId5543" o:title=""/>
          </v:shape>
          <o:OLEObject Type="Embed" ProgID="Equation.DSMT4" ShapeID="_x0000_i3777" DrawAspect="Content" ObjectID="_1791377721" r:id="rId5544"/>
        </w:object>
      </w:r>
    </w:p>
    <w:p w14:paraId="4A9E15D6"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Pr>
      </w:pPr>
      <w:r w:rsidRPr="00A40DDC">
        <w:rPr>
          <w:position w:val="-30"/>
        </w:rPr>
        <w:object w:dxaOrig="4880" w:dyaOrig="700" w14:anchorId="62906EA7">
          <v:shape id="_x0000_i3778" type="#_x0000_t75" style="width:243.85pt;height:35.1pt" o:ole="">
            <v:imagedata r:id="rId5545" o:title=""/>
          </v:shape>
          <o:OLEObject Type="Embed" ProgID="Equation.DSMT4" ShapeID="_x0000_i3778" DrawAspect="Content" ObjectID="_1791377722" r:id="rId5546"/>
        </w:object>
      </w:r>
    </w:p>
    <w:p w14:paraId="2DB89486" w14:textId="77777777" w:rsidR="00411620" w:rsidRPr="00A40DDC" w:rsidRDefault="00411620" w:rsidP="00411620">
      <w:pPr>
        <w:spacing w:line="216" w:lineRule="auto"/>
        <w:rPr>
          <w:rFonts w:eastAsiaTheme="minorEastAsia"/>
          <w:i/>
          <w:sz w:val="23"/>
          <w:szCs w:val="23"/>
          <w:rtl/>
          <w:lang w:val="en-GB"/>
        </w:rPr>
      </w:pPr>
      <w:r w:rsidRPr="00A40DDC">
        <w:rPr>
          <w:rFonts w:eastAsiaTheme="minorEastAsia" w:hint="cs"/>
          <w:i/>
          <w:sz w:val="23"/>
          <w:szCs w:val="23"/>
          <w:rtl/>
          <w:lang w:val="en-GB"/>
        </w:rPr>
        <w:t>با حل دو معادله</w:t>
      </w:r>
      <w:r w:rsidRPr="00A40DDC">
        <w:rPr>
          <w:rFonts w:eastAsiaTheme="minorEastAsia"/>
          <w:i/>
          <w:sz w:val="23"/>
          <w:szCs w:val="23"/>
          <w:rtl/>
          <w:lang w:val="en-GB"/>
        </w:rPr>
        <w:softHyphen/>
      </w:r>
      <w:r w:rsidRPr="00A40DDC">
        <w:rPr>
          <w:rFonts w:eastAsiaTheme="minorEastAsia" w:hint="cs"/>
          <w:i/>
          <w:sz w:val="23"/>
          <w:szCs w:val="23"/>
          <w:rtl/>
          <w:lang w:val="en-GB"/>
        </w:rPr>
        <w:t>ی همزمان فوق موجودی سرمایه</w:t>
      </w:r>
      <w:r w:rsidRPr="00A40DDC">
        <w:rPr>
          <w:rFonts w:eastAsiaTheme="minorEastAsia"/>
          <w:i/>
          <w:sz w:val="23"/>
          <w:szCs w:val="23"/>
          <w:rtl/>
          <w:lang w:val="en-GB"/>
        </w:rPr>
        <w:softHyphen/>
      </w:r>
      <w:r w:rsidRPr="00A40DDC">
        <w:rPr>
          <w:rFonts w:eastAsiaTheme="minorEastAsia" w:hint="cs"/>
          <w:i/>
          <w:sz w:val="23"/>
          <w:szCs w:val="23"/>
          <w:rtl/>
          <w:lang w:val="en-GB"/>
        </w:rPr>
        <w:t>ی کالاهای قابل تجارت و غیرقابل تجارت را می</w:t>
      </w:r>
      <w:r w:rsidRPr="00A40DDC">
        <w:rPr>
          <w:rFonts w:eastAsiaTheme="minorEastAsia"/>
          <w:i/>
          <w:sz w:val="23"/>
          <w:szCs w:val="23"/>
          <w:rtl/>
          <w:lang w:val="en-GB"/>
        </w:rPr>
        <w:softHyphen/>
      </w:r>
      <w:r w:rsidRPr="00A40DDC">
        <w:rPr>
          <w:rFonts w:eastAsiaTheme="minorEastAsia" w:hint="cs"/>
          <w:i/>
          <w:sz w:val="23"/>
          <w:szCs w:val="23"/>
          <w:rtl/>
          <w:lang w:val="en-GB"/>
        </w:rPr>
        <w:t>توان بر اساس دو معادله</w:t>
      </w:r>
      <w:r w:rsidRPr="00A40DDC">
        <w:rPr>
          <w:rFonts w:eastAsiaTheme="minorEastAsia"/>
          <w:i/>
          <w:sz w:val="23"/>
          <w:szCs w:val="23"/>
          <w:rtl/>
          <w:lang w:val="en-GB"/>
        </w:rPr>
        <w:softHyphen/>
      </w:r>
      <w:r w:rsidRPr="00A40DDC">
        <w:rPr>
          <w:rFonts w:eastAsiaTheme="minorEastAsia" w:hint="cs"/>
          <w:i/>
          <w:sz w:val="23"/>
          <w:szCs w:val="23"/>
          <w:rtl/>
          <w:lang w:val="en-GB"/>
        </w:rPr>
        <w:t xml:space="preserve">ی زیر بدست آورد. </w:t>
      </w:r>
    </w:p>
    <w:p w14:paraId="1D26B418"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val="en-GB"/>
        </w:rPr>
      </w:pPr>
      <w:r w:rsidRPr="00A40DDC">
        <w:rPr>
          <w:position w:val="-16"/>
        </w:rPr>
        <w:object w:dxaOrig="2720" w:dyaOrig="400" w14:anchorId="59F1E797">
          <v:shape id="_x0000_i3779" type="#_x0000_t75" style="width:136.15pt;height:19.95pt" o:ole="">
            <v:imagedata r:id="rId5547" o:title=""/>
          </v:shape>
          <o:OLEObject Type="Embed" ProgID="Equation.DSMT4" ShapeID="_x0000_i3779" DrawAspect="Content" ObjectID="_1791377723" r:id="rId5548"/>
        </w:object>
      </w:r>
    </w:p>
    <w:p w14:paraId="70D7C745"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16"/>
        </w:rPr>
        <w:object w:dxaOrig="2620" w:dyaOrig="400" w14:anchorId="304E6D6A">
          <v:shape id="_x0000_i3780" type="#_x0000_t75" style="width:130.7pt;height:19.95pt" o:ole="">
            <v:imagedata r:id="rId5549" o:title=""/>
          </v:shape>
          <o:OLEObject Type="Embed" ProgID="Equation.DSMT4" ShapeID="_x0000_i3780" DrawAspect="Content" ObjectID="_1791377724" r:id="rId5550"/>
        </w:object>
      </w:r>
    </w:p>
    <w:p w14:paraId="21049801"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و چنانچه نرخ تورم در وضعیت یکنواخت یکسان باشد آنگاه</w:t>
      </w:r>
    </w:p>
    <w:p w14:paraId="4848349B"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lang w:val="en-GB"/>
        </w:rPr>
      </w:pPr>
      <w:r w:rsidRPr="00A40DDC">
        <w:rPr>
          <w:position w:val="-16"/>
        </w:rPr>
        <w:object w:dxaOrig="1760" w:dyaOrig="400" w14:anchorId="4BC84204">
          <v:shape id="_x0000_i3781" type="#_x0000_t75" style="width:87.75pt;height:19.95pt" o:ole="">
            <v:imagedata r:id="rId5551" o:title=""/>
          </v:shape>
          <o:OLEObject Type="Embed" ProgID="Equation.DSMT4" ShapeID="_x0000_i3781" DrawAspect="Content" ObjectID="_1791377725" r:id="rId5552"/>
        </w:object>
      </w:r>
    </w:p>
    <w:p w14:paraId="1516FAC6"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16"/>
        </w:rPr>
        <w:object w:dxaOrig="1579" w:dyaOrig="400" w14:anchorId="5C996A5E">
          <v:shape id="_x0000_i3782" type="#_x0000_t75" style="width:79.25pt;height:19.95pt" o:ole="">
            <v:imagedata r:id="rId5553" o:title=""/>
          </v:shape>
          <o:OLEObject Type="Embed" ProgID="Equation.DSMT4" ShapeID="_x0000_i3782" DrawAspect="Content" ObjectID="_1791377726" r:id="rId5554"/>
        </w:object>
      </w:r>
    </w:p>
    <w:p w14:paraId="2D9F36F4" w14:textId="77777777" w:rsidR="00411620" w:rsidRPr="00A40DDC" w:rsidRDefault="00411620" w:rsidP="00411620">
      <w:pPr>
        <w:spacing w:line="216" w:lineRule="auto"/>
        <w:rPr>
          <w:rFonts w:eastAsiaTheme="minorEastAsia"/>
          <w:i/>
          <w:sz w:val="23"/>
          <w:szCs w:val="23"/>
          <w:rtl/>
        </w:rPr>
      </w:pPr>
    </w:p>
    <w:p w14:paraId="500BEAE2" w14:textId="77777777" w:rsidR="00411620" w:rsidRPr="00A40DDC" w:rsidRDefault="00411620" w:rsidP="00411620">
      <w:pPr>
        <w:spacing w:line="216" w:lineRule="auto"/>
        <w:rPr>
          <w:rFonts w:eastAsiaTheme="minorEastAsia"/>
          <w:bCs/>
          <w:i/>
          <w:sz w:val="23"/>
          <w:szCs w:val="23"/>
          <w:rtl/>
        </w:rPr>
      </w:pPr>
      <w:r w:rsidRPr="00A40DDC">
        <w:rPr>
          <w:rFonts w:eastAsiaTheme="minorEastAsia" w:hint="cs"/>
          <w:bCs/>
          <w:i/>
          <w:sz w:val="23"/>
          <w:szCs w:val="23"/>
          <w:rtl/>
        </w:rPr>
        <w:t>حل بلندمدت</w:t>
      </w:r>
    </w:p>
    <w:p w14:paraId="743EBB70"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در تعادل بلندمدت کلیه</w:t>
      </w:r>
      <w:r w:rsidRPr="00A40DDC">
        <w:rPr>
          <w:rFonts w:eastAsiaTheme="minorEastAsia"/>
          <w:i/>
          <w:sz w:val="23"/>
          <w:szCs w:val="23"/>
          <w:rtl/>
        </w:rPr>
        <w:softHyphen/>
      </w:r>
      <w:r w:rsidRPr="00A40DDC">
        <w:rPr>
          <w:rFonts w:eastAsiaTheme="minorEastAsia" w:hint="cs"/>
          <w:i/>
          <w:sz w:val="23"/>
          <w:szCs w:val="23"/>
          <w:rtl/>
        </w:rPr>
        <w:t>ی متغیرهای موجود در مدل ثابت و بدون تغییراند. از رابطه</w:t>
      </w:r>
      <w:r w:rsidRPr="00A40DDC">
        <w:rPr>
          <w:rFonts w:eastAsiaTheme="minorEastAsia"/>
          <w:i/>
          <w:sz w:val="23"/>
          <w:szCs w:val="23"/>
          <w:rtl/>
        </w:rPr>
        <w:softHyphen/>
      </w:r>
      <w:r w:rsidRPr="00A40DDC">
        <w:rPr>
          <w:rFonts w:eastAsiaTheme="minorEastAsia" w:hint="cs"/>
          <w:i/>
          <w:sz w:val="23"/>
          <w:szCs w:val="23"/>
          <w:rtl/>
        </w:rPr>
        <w:t xml:space="preserve">ی </w:t>
      </w:r>
      <w:r w:rsidRPr="00A40DDC">
        <w:rPr>
          <w:rFonts w:hint="cs"/>
          <w:i/>
          <w:sz w:val="23"/>
          <w:szCs w:val="23"/>
          <w:rtl/>
        </w:rPr>
        <w:t>(۷. ۱۰)</w:t>
      </w:r>
      <w:r w:rsidRPr="00A40DDC">
        <w:rPr>
          <w:rFonts w:eastAsiaTheme="minorEastAsia" w:hint="cs"/>
          <w:i/>
          <w:sz w:val="23"/>
          <w:szCs w:val="23"/>
          <w:rtl/>
        </w:rPr>
        <w:t xml:space="preserve"> یا معادله</w:t>
      </w:r>
      <w:r w:rsidRPr="00A40DDC">
        <w:rPr>
          <w:rFonts w:eastAsiaTheme="minorEastAsia"/>
          <w:i/>
          <w:sz w:val="23"/>
          <w:szCs w:val="23"/>
          <w:rtl/>
        </w:rPr>
        <w:softHyphen/>
      </w:r>
      <w:r w:rsidRPr="00A40DDC">
        <w:rPr>
          <w:rFonts w:eastAsiaTheme="minorEastAsia" w:hint="cs"/>
          <w:i/>
          <w:sz w:val="23"/>
          <w:szCs w:val="23"/>
          <w:rtl/>
        </w:rPr>
        <w:t>ی اویلر داشتیم</w:t>
      </w:r>
    </w:p>
    <w:p w14:paraId="25A9A1A3"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30"/>
        </w:rPr>
        <w:object w:dxaOrig="6960" w:dyaOrig="700" w14:anchorId="04928CF7">
          <v:shape id="_x0000_i3783" type="#_x0000_t75" style="width:339.45pt;height:35.1pt" o:ole="">
            <v:imagedata r:id="rId5555" o:title=""/>
          </v:shape>
          <o:OLEObject Type="Embed" ProgID="Equation.DSMT4" ShapeID="_x0000_i3783" DrawAspect="Content" ObjectID="_1791377727" r:id="rId5556"/>
        </w:object>
      </w:r>
    </w:p>
    <w:p w14:paraId="77AABE0E"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 xml:space="preserve"> یعنی نرخ ترجیحات زمانی داخلی برابر است با نرخ بازدهی خارجی. </w:t>
      </w:r>
    </w:p>
    <w:p w14:paraId="6C4A291A"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خالص تولید نهایی موجودی سرمایه</w:t>
      </w:r>
      <w:r w:rsidRPr="00A40DDC">
        <w:rPr>
          <w:rFonts w:eastAsiaTheme="minorEastAsia"/>
          <w:i/>
          <w:sz w:val="23"/>
          <w:szCs w:val="23"/>
          <w:rtl/>
        </w:rPr>
        <w:softHyphen/>
      </w:r>
      <w:r w:rsidRPr="00A40DDC">
        <w:rPr>
          <w:rFonts w:eastAsiaTheme="minorEastAsia" w:hint="cs"/>
          <w:i/>
          <w:sz w:val="23"/>
          <w:szCs w:val="23"/>
          <w:rtl/>
        </w:rPr>
        <w:t>ی قابل تجارت و غیرقابل تجارت که در بخش قبل بدست آمد برابر است با</w:t>
      </w:r>
    </w:p>
    <w:p w14:paraId="7417BAC3" w14:textId="77777777" w:rsidR="00411620" w:rsidRPr="00A40DDC" w:rsidRDefault="00411620" w:rsidP="00411620">
      <w:pPr>
        <w:bidi w:val="0"/>
        <w:spacing w:line="216" w:lineRule="auto"/>
        <w:rPr>
          <w:rFonts w:eastAsiaTheme="minorEastAsia"/>
          <w:i/>
          <w:sz w:val="23"/>
          <w:szCs w:val="23"/>
          <w:rtl/>
        </w:rPr>
      </w:pPr>
      <w:r w:rsidRPr="00A40DDC">
        <w:rPr>
          <w:rFonts w:eastAsiaTheme="minorEastAsia" w:hint="cs"/>
          <w:i/>
          <w:sz w:val="23"/>
          <w:szCs w:val="23"/>
          <w:rtl/>
        </w:rPr>
        <w:t xml:space="preserve"> </w:t>
      </w:r>
      <w:r w:rsidRPr="00A40DDC">
        <w:rPr>
          <w:position w:val="-22"/>
        </w:rPr>
        <w:object w:dxaOrig="4500" w:dyaOrig="600" w14:anchorId="05369A07">
          <v:shape id="_x0000_i3784" type="#_x0000_t75" style="width:225.1pt;height:29.65pt" o:ole="">
            <v:imagedata r:id="rId5557" o:title=""/>
          </v:shape>
          <o:OLEObject Type="Embed" ProgID="Equation.DSMT4" ShapeID="_x0000_i3784" DrawAspect="Content" ObjectID="_1791377728" r:id="rId5558"/>
        </w:object>
      </w:r>
    </w:p>
    <w:p w14:paraId="4D64AF78" w14:textId="77777777" w:rsidR="00411620" w:rsidRPr="00A40DDC" w:rsidRDefault="00411620" w:rsidP="00411620">
      <w:pPr>
        <w:spacing w:line="216" w:lineRule="auto"/>
        <w:rPr>
          <w:i/>
          <w:sz w:val="23"/>
          <w:szCs w:val="23"/>
          <w:rtl/>
        </w:rPr>
      </w:pPr>
      <w:r w:rsidRPr="00A40DDC">
        <w:rPr>
          <w:i/>
          <w:sz w:val="23"/>
          <w:szCs w:val="23"/>
          <w:rtl/>
        </w:rPr>
        <w:t>از این رابطه می</w:t>
      </w:r>
      <w:r w:rsidRPr="00A40DDC">
        <w:rPr>
          <w:rFonts w:hint="cs"/>
          <w:i/>
          <w:sz w:val="23"/>
          <w:szCs w:val="23"/>
          <w:rtl/>
        </w:rPr>
        <w:t>‌</w:t>
      </w:r>
      <w:r w:rsidRPr="00A40DDC">
        <w:rPr>
          <w:i/>
          <w:sz w:val="23"/>
          <w:szCs w:val="23"/>
          <w:rtl/>
        </w:rPr>
        <w:t>توان مقادیر بهینه</w:t>
      </w:r>
      <w:r w:rsidRPr="00A40DDC">
        <w:rPr>
          <w:i/>
          <w:sz w:val="23"/>
          <w:szCs w:val="23"/>
          <w:rtl/>
        </w:rPr>
        <w:softHyphen/>
      </w:r>
      <w:r w:rsidRPr="00A40DDC">
        <w:rPr>
          <w:rFonts w:hint="cs"/>
          <w:i/>
          <w:sz w:val="23"/>
          <w:szCs w:val="23"/>
          <w:rtl/>
        </w:rPr>
        <w:t>ی</w:t>
      </w:r>
      <w:r w:rsidRPr="00025957">
        <w:rPr>
          <w:position w:val="-4"/>
        </w:rPr>
        <w:object w:dxaOrig="360" w:dyaOrig="279" w14:anchorId="1ABFBE29">
          <v:shape id="_x0000_i3785" type="#_x0000_t75" style="width:18.15pt;height:13.9pt" o:ole="">
            <v:imagedata r:id="rId5559" o:title=""/>
          </v:shape>
          <o:OLEObject Type="Embed" ProgID="Equation.DSMT4" ShapeID="_x0000_i3785" DrawAspect="Content" ObjectID="_1791377729" r:id="rId5560"/>
        </w:object>
      </w:r>
      <w:r w:rsidRPr="00A40DDC">
        <w:rPr>
          <w:i/>
          <w:sz w:val="23"/>
          <w:szCs w:val="23"/>
          <w:rtl/>
        </w:rPr>
        <w:t xml:space="preserve"> و</w:t>
      </w:r>
      <w:r w:rsidRPr="00025957">
        <w:rPr>
          <w:position w:val="-4"/>
        </w:rPr>
        <w:object w:dxaOrig="400" w:dyaOrig="279" w14:anchorId="48EEE68A">
          <v:shape id="_x0000_i3786" type="#_x0000_t75" style="width:19.95pt;height:13.9pt" o:ole="">
            <v:imagedata r:id="rId5561" o:title=""/>
          </v:shape>
          <o:OLEObject Type="Embed" ProgID="Equation.DSMT4" ShapeID="_x0000_i3786" DrawAspect="Content" ObjectID="_1791377730" r:id="rId5562"/>
        </w:object>
      </w:r>
      <w:r w:rsidRPr="00A40DDC">
        <w:rPr>
          <w:i/>
          <w:sz w:val="23"/>
          <w:szCs w:val="23"/>
          <w:rtl/>
        </w:rPr>
        <w:t xml:space="preserve"> را بدست آورد .</w:t>
      </w:r>
    </w:p>
    <w:p w14:paraId="2AAC6656" w14:textId="77777777" w:rsidR="00411620" w:rsidRPr="00A40DDC" w:rsidRDefault="00411620" w:rsidP="00411620">
      <w:pPr>
        <w:spacing w:line="216" w:lineRule="auto"/>
        <w:rPr>
          <w:i/>
          <w:sz w:val="23"/>
          <w:szCs w:val="23"/>
        </w:rPr>
      </w:pPr>
      <w:r w:rsidRPr="00A40DDC">
        <w:rPr>
          <w:i/>
          <w:sz w:val="23"/>
          <w:szCs w:val="23"/>
          <w:rtl/>
        </w:rPr>
        <w:lastRenderedPageBreak/>
        <w:t>در حالت خاص که موجودی سرمایه</w:t>
      </w:r>
      <w:r w:rsidRPr="00A40DDC">
        <w:rPr>
          <w:i/>
          <w:sz w:val="23"/>
          <w:szCs w:val="23"/>
          <w:rtl/>
        </w:rPr>
        <w:softHyphen/>
      </w:r>
      <w:r w:rsidRPr="00A40DDC">
        <w:rPr>
          <w:rFonts w:hint="cs"/>
          <w:i/>
          <w:sz w:val="23"/>
          <w:szCs w:val="23"/>
          <w:rtl/>
        </w:rPr>
        <w:t>ی</w:t>
      </w:r>
      <w:r w:rsidRPr="00A40DDC">
        <w:rPr>
          <w:i/>
          <w:sz w:val="23"/>
          <w:szCs w:val="23"/>
          <w:rtl/>
        </w:rPr>
        <w:t xml:space="preserve"> قابل تجارت فقط شامل کالاهای تجاری ا</w:t>
      </w:r>
      <w:r w:rsidRPr="00A40DDC">
        <w:rPr>
          <w:rFonts w:hint="cs"/>
          <w:i/>
          <w:sz w:val="23"/>
          <w:szCs w:val="23"/>
          <w:rtl/>
        </w:rPr>
        <w:t>ست،</w:t>
      </w:r>
      <w:r w:rsidRPr="00A40DDC">
        <w:rPr>
          <w:i/>
          <w:sz w:val="23"/>
          <w:szCs w:val="23"/>
          <w:rtl/>
        </w:rPr>
        <w:t xml:space="preserve"> و در حالتی که موجودی سرمایه</w:t>
      </w:r>
      <w:r w:rsidRPr="00A40DDC">
        <w:rPr>
          <w:i/>
          <w:sz w:val="23"/>
          <w:szCs w:val="23"/>
          <w:rtl/>
        </w:rPr>
        <w:softHyphen/>
      </w:r>
      <w:r w:rsidRPr="00A40DDC">
        <w:rPr>
          <w:rFonts w:hint="cs"/>
          <w:i/>
          <w:sz w:val="23"/>
          <w:szCs w:val="23"/>
          <w:rtl/>
        </w:rPr>
        <w:t>ی</w:t>
      </w:r>
      <w:r w:rsidRPr="00A40DDC">
        <w:rPr>
          <w:i/>
          <w:sz w:val="23"/>
          <w:szCs w:val="23"/>
          <w:rtl/>
        </w:rPr>
        <w:t xml:space="preserve"> غیرقابل تجارت فقط شامل کالاهای غیرتجاری ا</w:t>
      </w:r>
      <w:r w:rsidRPr="00A40DDC">
        <w:rPr>
          <w:rFonts w:hint="cs"/>
          <w:i/>
          <w:sz w:val="23"/>
          <w:szCs w:val="23"/>
          <w:rtl/>
        </w:rPr>
        <w:t>ست</w:t>
      </w:r>
      <w:r w:rsidRPr="00A40DDC">
        <w:rPr>
          <w:i/>
          <w:sz w:val="23"/>
          <w:szCs w:val="23"/>
          <w:rtl/>
        </w:rPr>
        <w:t xml:space="preserve"> آنگاه</w:t>
      </w:r>
    </w:p>
    <w:p w14:paraId="32DEBF9E" w14:textId="77777777" w:rsidR="00411620" w:rsidRPr="00A40DDC" w:rsidRDefault="00411620" w:rsidP="00411620">
      <w:pPr>
        <w:pStyle w:val="MTDisplayEquation"/>
        <w:spacing w:line="216" w:lineRule="auto"/>
        <w:rPr>
          <w:rFonts w:ascii="Times New Roman" w:hAnsi="Times New Roman" w:cs="B Nazanin"/>
          <w:i/>
          <w:sz w:val="23"/>
          <w:szCs w:val="23"/>
          <w:rtl/>
        </w:rPr>
      </w:pPr>
      <w:r w:rsidRPr="00A40DDC">
        <w:rPr>
          <w:position w:val="-14"/>
        </w:rPr>
        <w:object w:dxaOrig="2720" w:dyaOrig="380" w14:anchorId="100F0617">
          <v:shape id="_x0000_i3787" type="#_x0000_t75" style="width:136.15pt;height:18.75pt" o:ole="">
            <v:imagedata r:id="rId5563" o:title=""/>
          </v:shape>
          <o:OLEObject Type="Embed" ProgID="Equation.DSMT4" ShapeID="_x0000_i3787" DrawAspect="Content" ObjectID="_1791377731" r:id="rId5564"/>
        </w:object>
      </w:r>
      <w:r w:rsidRPr="00A40DDC">
        <w:rPr>
          <w:rFonts w:ascii="Times New Roman" w:hAnsi="Times New Roman" w:cs="B Nazanin"/>
          <w:i/>
          <w:sz w:val="23"/>
          <w:szCs w:val="23"/>
          <w:rtl/>
        </w:rPr>
        <w:t xml:space="preserve"> </w:t>
      </w:r>
    </w:p>
    <w:p w14:paraId="2669EA17" w14:textId="77777777" w:rsidR="00411620" w:rsidRPr="00A40DDC" w:rsidRDefault="00411620" w:rsidP="00411620">
      <w:pPr>
        <w:spacing w:line="216" w:lineRule="auto"/>
        <w:rPr>
          <w:i/>
          <w:sz w:val="23"/>
          <w:szCs w:val="23"/>
          <w:rtl/>
        </w:rPr>
      </w:pPr>
      <w:r w:rsidRPr="00A40DDC">
        <w:rPr>
          <w:i/>
          <w:sz w:val="23"/>
          <w:szCs w:val="23"/>
          <w:rtl/>
        </w:rPr>
        <w:t>لذا موجودی سرمایه</w:t>
      </w:r>
      <w:r w:rsidRPr="00A40DDC">
        <w:rPr>
          <w:i/>
          <w:sz w:val="23"/>
          <w:szCs w:val="23"/>
          <w:rtl/>
        </w:rPr>
        <w:softHyphen/>
      </w:r>
      <w:r w:rsidRPr="00A40DDC">
        <w:rPr>
          <w:rFonts w:hint="cs"/>
          <w:i/>
          <w:sz w:val="23"/>
          <w:szCs w:val="23"/>
          <w:rtl/>
        </w:rPr>
        <w:t>ی</w:t>
      </w:r>
      <w:r w:rsidRPr="00A40DDC">
        <w:rPr>
          <w:i/>
          <w:sz w:val="23"/>
          <w:szCs w:val="23"/>
          <w:rtl/>
        </w:rPr>
        <w:t xml:space="preserve"> هر دو کالای تجاری و غیرتجاری </w:t>
      </w:r>
      <w:r w:rsidRPr="00A40DDC">
        <w:rPr>
          <w:rFonts w:hint="cs"/>
          <w:i/>
          <w:sz w:val="23"/>
          <w:szCs w:val="23"/>
          <w:rtl/>
        </w:rPr>
        <w:t xml:space="preserve">افزایش خواهد یافت </w:t>
      </w:r>
      <w:r w:rsidRPr="00A40DDC">
        <w:rPr>
          <w:i/>
          <w:sz w:val="23"/>
          <w:szCs w:val="23"/>
          <w:rtl/>
        </w:rPr>
        <w:t>تا این</w:t>
      </w:r>
      <w:r w:rsidRPr="00A40DDC">
        <w:rPr>
          <w:i/>
          <w:sz w:val="23"/>
          <w:szCs w:val="23"/>
          <w:rtl/>
        </w:rPr>
        <w:softHyphen/>
        <w:t>که تولید نهایی آن</w:t>
      </w:r>
      <w:r w:rsidRPr="00A40DDC">
        <w:rPr>
          <w:rFonts w:hint="cs"/>
          <w:i/>
          <w:sz w:val="23"/>
          <w:szCs w:val="23"/>
          <w:rtl/>
        </w:rPr>
        <w:t>‌</w:t>
      </w:r>
      <w:r w:rsidRPr="00A40DDC">
        <w:rPr>
          <w:i/>
          <w:sz w:val="23"/>
          <w:szCs w:val="23"/>
          <w:rtl/>
        </w:rPr>
        <w:t>ها برابر هزینه</w:t>
      </w:r>
      <w:r w:rsidRPr="00A40DDC">
        <w:rPr>
          <w:i/>
          <w:sz w:val="23"/>
          <w:szCs w:val="23"/>
          <w:rtl/>
        </w:rPr>
        <w:softHyphen/>
      </w:r>
      <w:r w:rsidRPr="00A40DDC">
        <w:rPr>
          <w:rFonts w:hint="cs"/>
          <w:i/>
          <w:sz w:val="23"/>
          <w:szCs w:val="23"/>
          <w:rtl/>
        </w:rPr>
        <w:t>ی</w:t>
      </w:r>
      <w:r w:rsidRPr="00A40DDC">
        <w:rPr>
          <w:i/>
          <w:sz w:val="23"/>
          <w:szCs w:val="23"/>
          <w:rtl/>
        </w:rPr>
        <w:t xml:space="preserve"> استقراض آن</w:t>
      </w:r>
      <w:r w:rsidRPr="00A40DDC">
        <w:rPr>
          <w:rFonts w:hint="cs"/>
          <w:i/>
          <w:sz w:val="23"/>
          <w:szCs w:val="23"/>
          <w:rtl/>
        </w:rPr>
        <w:t>‌</w:t>
      </w:r>
      <w:r w:rsidRPr="00A40DDC">
        <w:rPr>
          <w:i/>
          <w:sz w:val="23"/>
          <w:szCs w:val="23"/>
          <w:rtl/>
        </w:rPr>
        <w:t>ها شود .</w:t>
      </w:r>
    </w:p>
    <w:p w14:paraId="48463817" w14:textId="77777777" w:rsidR="00411620" w:rsidRPr="00A40DDC" w:rsidRDefault="00411620" w:rsidP="00411620">
      <w:pPr>
        <w:spacing w:line="216" w:lineRule="auto"/>
        <w:rPr>
          <w:i/>
          <w:sz w:val="23"/>
          <w:szCs w:val="23"/>
          <w:rtl/>
        </w:rPr>
      </w:pPr>
      <w:r w:rsidRPr="00A40DDC">
        <w:rPr>
          <w:i/>
          <w:sz w:val="23"/>
          <w:szCs w:val="23"/>
          <w:rtl/>
        </w:rPr>
        <w:t>مقادیر ت</w:t>
      </w:r>
      <w:r w:rsidRPr="00A40DDC">
        <w:rPr>
          <w:rFonts w:hint="cs"/>
          <w:i/>
          <w:sz w:val="23"/>
          <w:szCs w:val="23"/>
          <w:rtl/>
        </w:rPr>
        <w:t>ع</w:t>
      </w:r>
      <w:r w:rsidRPr="00A40DDC">
        <w:rPr>
          <w:i/>
          <w:sz w:val="23"/>
          <w:szCs w:val="23"/>
          <w:rtl/>
        </w:rPr>
        <w:t>اد</w:t>
      </w:r>
      <w:r w:rsidRPr="00A40DDC">
        <w:rPr>
          <w:rFonts w:hint="cs"/>
          <w:i/>
          <w:sz w:val="23"/>
          <w:szCs w:val="23"/>
          <w:rtl/>
        </w:rPr>
        <w:t>ل</w:t>
      </w:r>
      <w:r w:rsidRPr="00A40DDC">
        <w:rPr>
          <w:i/>
          <w:sz w:val="23"/>
          <w:szCs w:val="23"/>
          <w:rtl/>
        </w:rPr>
        <w:t xml:space="preserve">ی بلندمدت دیگر متغیرها برابر است با </w:t>
      </w:r>
    </w:p>
    <w:p w14:paraId="48E2ABFD" w14:textId="77777777" w:rsidR="00411620" w:rsidRPr="00A40DDC" w:rsidRDefault="00411620" w:rsidP="00411620">
      <w:pPr>
        <w:bidi w:val="0"/>
        <w:spacing w:line="216" w:lineRule="auto"/>
        <w:rPr>
          <w:rFonts w:eastAsiaTheme="minorEastAsia"/>
          <w:i/>
          <w:sz w:val="23"/>
          <w:szCs w:val="23"/>
          <w:rtl/>
        </w:rPr>
      </w:pPr>
      <w:r w:rsidRPr="00A40DDC">
        <w:rPr>
          <w:position w:val="-16"/>
        </w:rPr>
        <w:object w:dxaOrig="1760" w:dyaOrig="420" w14:anchorId="2B695E8C">
          <v:shape id="_x0000_i3788" type="#_x0000_t75" style="width:87.75pt;height:21.2pt" o:ole="">
            <v:imagedata r:id="rId5565" o:title=""/>
          </v:shape>
          <o:OLEObject Type="Embed" ProgID="Equation.DSMT4" ShapeID="_x0000_i3788" DrawAspect="Content" ObjectID="_1791377732" r:id="rId5566"/>
        </w:object>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rFonts w:hint="cs"/>
          <w:i/>
          <w:sz w:val="23"/>
          <w:szCs w:val="23"/>
          <w:rtl/>
        </w:rPr>
        <w:t>(۷. ۲۰)</w:t>
      </w:r>
    </w:p>
    <w:p w14:paraId="3AECD663" w14:textId="77777777" w:rsidR="00411620" w:rsidRPr="00A40DDC" w:rsidRDefault="00411620" w:rsidP="00411620">
      <w:pPr>
        <w:bidi w:val="0"/>
        <w:spacing w:line="216" w:lineRule="auto"/>
        <w:rPr>
          <w:i/>
          <w:sz w:val="23"/>
          <w:szCs w:val="23"/>
          <w:rtl/>
        </w:rPr>
      </w:pPr>
      <w:r w:rsidRPr="00A40DDC">
        <w:rPr>
          <w:position w:val="-16"/>
        </w:rPr>
        <w:object w:dxaOrig="1840" w:dyaOrig="420" w14:anchorId="045CF190">
          <v:shape id="_x0000_i3789" type="#_x0000_t75" style="width:91.95pt;height:21.2pt" o:ole="">
            <v:imagedata r:id="rId5567" o:title=""/>
          </v:shape>
          <o:OLEObject Type="Embed" ProgID="Equation.DSMT4" ShapeID="_x0000_i3789" DrawAspect="Content" ObjectID="_1791377733" r:id="rId5568"/>
        </w:object>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Pr>
          <w:i/>
          <w:sz w:val="23"/>
          <w:szCs w:val="23"/>
          <w:rtl/>
        </w:rPr>
        <w:tab/>
      </w:r>
      <w:r w:rsidRPr="00A40DDC">
        <w:rPr>
          <w:i/>
          <w:sz w:val="23"/>
          <w:szCs w:val="23"/>
          <w:rtl/>
        </w:rPr>
        <w:tab/>
      </w:r>
      <w:r w:rsidRPr="00A40DDC">
        <w:rPr>
          <w:i/>
          <w:sz w:val="23"/>
          <w:szCs w:val="23"/>
          <w:rtl/>
        </w:rPr>
        <w:tab/>
      </w:r>
      <w:r w:rsidRPr="00A40DDC">
        <w:rPr>
          <w:rFonts w:hint="cs"/>
          <w:i/>
          <w:sz w:val="23"/>
          <w:szCs w:val="23"/>
          <w:rtl/>
        </w:rPr>
        <w:t>(۷. ۲۱)</w:t>
      </w:r>
    </w:p>
    <w:p w14:paraId="2AE966C3" w14:textId="77777777" w:rsidR="00411620" w:rsidRPr="00A40DDC" w:rsidRDefault="00411620" w:rsidP="00411620">
      <w:pPr>
        <w:bidi w:val="0"/>
        <w:spacing w:line="216" w:lineRule="auto"/>
        <w:rPr>
          <w:i/>
          <w:sz w:val="23"/>
          <w:szCs w:val="23"/>
          <w:rtl/>
        </w:rPr>
      </w:pPr>
      <w:r w:rsidRPr="00A40DDC">
        <w:rPr>
          <w:position w:val="-28"/>
        </w:rPr>
        <w:object w:dxaOrig="1780" w:dyaOrig="720" w14:anchorId="7CABC679">
          <v:shape id="_x0000_i3790" type="#_x0000_t75" style="width:88.95pt;height:36.3pt" o:ole="">
            <v:imagedata r:id="rId5569" o:title=""/>
          </v:shape>
          <o:OLEObject Type="Embed" ProgID="Equation.DSMT4" ShapeID="_x0000_i3790" DrawAspect="Content" ObjectID="_1791377734" r:id="rId5570"/>
        </w:object>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Pr>
          <w:i/>
          <w:sz w:val="23"/>
          <w:szCs w:val="23"/>
          <w:rtl/>
        </w:rPr>
        <w:tab/>
      </w:r>
      <w:r w:rsidRPr="00A40DDC">
        <w:rPr>
          <w:i/>
          <w:sz w:val="23"/>
          <w:szCs w:val="23"/>
          <w:rtl/>
        </w:rPr>
        <w:tab/>
      </w:r>
      <w:r w:rsidRPr="00A40DDC">
        <w:rPr>
          <w:rFonts w:hint="cs"/>
          <w:i/>
          <w:sz w:val="23"/>
          <w:szCs w:val="23"/>
          <w:rtl/>
        </w:rPr>
        <w:t>(۷. ۲۲)</w:t>
      </w:r>
    </w:p>
    <w:p w14:paraId="571815AA" w14:textId="77777777" w:rsidR="00411620" w:rsidRPr="00A40DDC" w:rsidRDefault="00411620" w:rsidP="00411620">
      <w:pPr>
        <w:tabs>
          <w:tab w:val="left" w:pos="3521"/>
        </w:tabs>
        <w:bidi w:val="0"/>
        <w:spacing w:line="216" w:lineRule="auto"/>
        <w:rPr>
          <w:i/>
          <w:sz w:val="23"/>
          <w:szCs w:val="23"/>
          <w:rtl/>
        </w:rPr>
      </w:pPr>
      <w:r w:rsidRPr="00A40DDC">
        <w:rPr>
          <w:i/>
          <w:sz w:val="23"/>
          <w:szCs w:val="23"/>
          <w:rtl/>
        </w:rPr>
        <w:t xml:space="preserve"> </w:t>
      </w:r>
      <w:r w:rsidRPr="00A40DDC">
        <w:rPr>
          <w:position w:val="-22"/>
        </w:rPr>
        <w:object w:dxaOrig="3580" w:dyaOrig="600" w14:anchorId="64EA13C1">
          <v:shape id="_x0000_i3791" type="#_x0000_t75" style="width:178.5pt;height:29.65pt" o:ole="">
            <v:imagedata r:id="rId5571" o:title=""/>
          </v:shape>
          <o:OLEObject Type="Embed" ProgID="Equation.DSMT4" ShapeID="_x0000_i3791" DrawAspect="Content" ObjectID="_1791377735" r:id="rId5572"/>
        </w:object>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Pr>
          <w:i/>
          <w:sz w:val="23"/>
          <w:szCs w:val="23"/>
          <w:rtl/>
        </w:rPr>
        <w:tab/>
      </w:r>
      <w:r w:rsidRPr="00A40DDC">
        <w:rPr>
          <w:i/>
          <w:sz w:val="23"/>
          <w:szCs w:val="23"/>
          <w:rtl/>
        </w:rPr>
        <w:tab/>
      </w:r>
      <w:r w:rsidRPr="00A40DDC">
        <w:rPr>
          <w:i/>
          <w:sz w:val="23"/>
          <w:szCs w:val="23"/>
          <w:rtl/>
        </w:rPr>
        <w:tab/>
      </w:r>
      <w:r w:rsidRPr="00A40DDC">
        <w:rPr>
          <w:rFonts w:hint="cs"/>
          <w:i/>
          <w:sz w:val="23"/>
          <w:szCs w:val="23"/>
          <w:rtl/>
        </w:rPr>
        <w:t>(۷. ۲۳)</w:t>
      </w:r>
    </w:p>
    <w:p w14:paraId="5203F7E5" w14:textId="77777777" w:rsidR="00411620" w:rsidRPr="00A40DDC" w:rsidRDefault="00411620" w:rsidP="00411620">
      <w:pPr>
        <w:pStyle w:val="MTDisplayEquation"/>
        <w:tabs>
          <w:tab w:val="clear" w:pos="6660"/>
        </w:tabs>
        <w:spacing w:line="216" w:lineRule="auto"/>
        <w:jc w:val="left"/>
        <w:rPr>
          <w:rFonts w:ascii="Times New Roman" w:eastAsiaTheme="minorEastAsia" w:hAnsi="Times New Roman" w:cs="B Nazanin"/>
          <w:i/>
          <w:sz w:val="23"/>
          <w:szCs w:val="23"/>
          <w:rtl/>
        </w:rPr>
      </w:pPr>
      <w:r w:rsidRPr="00A40DDC">
        <w:rPr>
          <w:position w:val="-28"/>
        </w:rPr>
        <w:object w:dxaOrig="3480" w:dyaOrig="720" w14:anchorId="0304C070">
          <v:shape id="_x0000_i3792" type="#_x0000_t75" style="width:174.25pt;height:36.3pt" o:ole="">
            <v:imagedata r:id="rId5573" o:title=""/>
          </v:shape>
          <o:OLEObject Type="Embed" ProgID="Equation.DSMT4" ShapeID="_x0000_i3792" DrawAspect="Content" ObjectID="_1791377736" r:id="rId5574"/>
        </w:object>
      </w:r>
      <w:r w:rsidRPr="00A40DDC">
        <w:rPr>
          <w:rFonts w:ascii="Times New Roman" w:hAnsi="Times New Roman"/>
          <w:i/>
          <w:sz w:val="23"/>
          <w:szCs w:val="23"/>
        </w:rPr>
        <w:tab/>
      </w:r>
      <w:r w:rsidRPr="00A40DDC">
        <w:rPr>
          <w:rFonts w:ascii="Times New Roman" w:hAnsi="Times New Roman"/>
          <w:i/>
          <w:sz w:val="23"/>
          <w:szCs w:val="23"/>
        </w:rPr>
        <w:tab/>
      </w:r>
      <w:r w:rsidRPr="00A40DDC">
        <w:rPr>
          <w:rFonts w:ascii="Times New Roman" w:hAnsi="Times New Roman"/>
          <w:i/>
          <w:sz w:val="23"/>
          <w:szCs w:val="23"/>
        </w:rPr>
        <w:tab/>
      </w:r>
      <w:r w:rsidRPr="00A40DDC">
        <w:rPr>
          <w:rFonts w:ascii="Times New Roman" w:hAnsi="Times New Roman"/>
          <w:i/>
          <w:sz w:val="23"/>
          <w:szCs w:val="23"/>
        </w:rPr>
        <w:tab/>
      </w:r>
      <w:r w:rsidRPr="00A40DDC">
        <w:rPr>
          <w:rFonts w:ascii="Times New Roman" w:hAnsi="Times New Roman"/>
          <w:i/>
          <w:sz w:val="23"/>
          <w:szCs w:val="23"/>
        </w:rPr>
        <w:tab/>
      </w:r>
      <w:r w:rsidRPr="00A40DDC">
        <w:rPr>
          <w:rFonts w:ascii="Times New Roman" w:hAnsi="Times New Roman"/>
          <w:i/>
          <w:sz w:val="23"/>
          <w:szCs w:val="23"/>
        </w:rPr>
        <w:tab/>
      </w:r>
      <w:r>
        <w:rPr>
          <w:rFonts w:ascii="Times New Roman" w:hAnsi="Times New Roman"/>
          <w:i/>
          <w:sz w:val="23"/>
          <w:szCs w:val="23"/>
          <w:rtl/>
        </w:rPr>
        <w:tab/>
      </w:r>
      <w:r w:rsidRPr="00A40DDC">
        <w:rPr>
          <w:rFonts w:ascii="Times New Roman" w:hAnsi="Times New Roman"/>
          <w:i/>
          <w:sz w:val="23"/>
          <w:szCs w:val="23"/>
        </w:rPr>
        <w:tab/>
      </w:r>
      <w:r w:rsidRPr="00A40DDC">
        <w:rPr>
          <w:rFonts w:ascii="Times New Roman" w:hAnsi="Times New Roman"/>
          <w:i/>
          <w:sz w:val="23"/>
          <w:szCs w:val="23"/>
        </w:rPr>
        <w:tab/>
      </w:r>
      <w:r w:rsidRPr="00A40DDC">
        <w:rPr>
          <w:rFonts w:ascii="Times New Roman" w:hAnsi="Times New Roman" w:cs="B Nazanin" w:hint="cs"/>
          <w:i/>
          <w:sz w:val="23"/>
          <w:szCs w:val="23"/>
        </w:rPr>
        <w:t xml:space="preserve"> </w:t>
      </w:r>
      <w:r w:rsidRPr="00A40DDC">
        <w:rPr>
          <w:rFonts w:ascii="Times New Roman" w:hAnsi="Times New Roman" w:cs="B Nazanin" w:hint="cs"/>
          <w:i/>
          <w:sz w:val="23"/>
          <w:szCs w:val="23"/>
          <w:rtl/>
        </w:rPr>
        <w:t>(۷. ۲۴)</w:t>
      </w:r>
      <w:r w:rsidRPr="00A40DDC">
        <w:rPr>
          <w:rFonts w:ascii="Times New Roman" w:hAnsi="Times New Roman" w:cs="B Nazanin" w:hint="cs"/>
          <w:i/>
          <w:sz w:val="23"/>
          <w:szCs w:val="23"/>
        </w:rPr>
        <w:t xml:space="preserve"> </w:t>
      </w:r>
    </w:p>
    <w:p w14:paraId="7D49DD8F" w14:textId="77777777" w:rsidR="00411620" w:rsidRPr="00A40DDC" w:rsidRDefault="00411620" w:rsidP="00411620">
      <w:pPr>
        <w:tabs>
          <w:tab w:val="left" w:pos="3521"/>
        </w:tabs>
        <w:spacing w:line="216" w:lineRule="auto"/>
        <w:rPr>
          <w:rFonts w:eastAsiaTheme="minorEastAsia"/>
          <w:i/>
          <w:sz w:val="23"/>
          <w:szCs w:val="23"/>
          <w:rtl/>
        </w:rPr>
      </w:pPr>
      <w:r w:rsidRPr="00A40DDC">
        <w:rPr>
          <w:rFonts w:hint="cs"/>
          <w:i/>
          <w:sz w:val="23"/>
          <w:szCs w:val="23"/>
          <w:rtl/>
        </w:rPr>
        <w:t xml:space="preserve">در روابط فوق </w:t>
      </w:r>
      <w:r w:rsidRPr="00A40DDC">
        <w:rPr>
          <w:i/>
          <w:sz w:val="23"/>
          <w:szCs w:val="23"/>
          <w:rtl/>
        </w:rPr>
        <w:t>ابتدا موجودی سرمایه بدست می</w:t>
      </w:r>
      <w:r w:rsidRPr="00A40DDC">
        <w:rPr>
          <w:rFonts w:hint="cs"/>
          <w:i/>
          <w:sz w:val="23"/>
          <w:szCs w:val="23"/>
          <w:rtl/>
        </w:rPr>
        <w:t>‌</w:t>
      </w:r>
      <w:r w:rsidRPr="00A40DDC">
        <w:rPr>
          <w:i/>
          <w:sz w:val="23"/>
          <w:szCs w:val="23"/>
          <w:rtl/>
        </w:rPr>
        <w:t>آید</w:t>
      </w:r>
      <w:r w:rsidRPr="00A40DDC">
        <w:rPr>
          <w:rFonts w:hint="cs"/>
          <w:i/>
          <w:sz w:val="23"/>
          <w:szCs w:val="23"/>
          <w:rtl/>
        </w:rPr>
        <w:t>،</w:t>
      </w:r>
      <w:r w:rsidRPr="00A40DDC">
        <w:rPr>
          <w:i/>
          <w:sz w:val="23"/>
          <w:szCs w:val="23"/>
          <w:rtl/>
        </w:rPr>
        <w:t xml:space="preserve"> پس از آن</w:t>
      </w:r>
      <w:r w:rsidRPr="00A40DDC">
        <w:rPr>
          <w:position w:val="-6"/>
        </w:rPr>
        <w:object w:dxaOrig="260" w:dyaOrig="300" w14:anchorId="68573CB0">
          <v:shape id="_x0000_i3793" type="#_x0000_t75" style="width:13.3pt;height:14.5pt" o:ole="">
            <v:imagedata r:id="rId5575" o:title=""/>
          </v:shape>
          <o:OLEObject Type="Embed" ProgID="Equation.DSMT4" ShapeID="_x0000_i3793" DrawAspect="Content" ObjectID="_1791377737" r:id="rId5576"/>
        </w:object>
      </w:r>
      <w:r w:rsidRPr="00A40DDC">
        <w:rPr>
          <w:i/>
          <w:sz w:val="23"/>
          <w:szCs w:val="23"/>
          <w:rtl/>
        </w:rPr>
        <w:t xml:space="preserve"> و</w:t>
      </w:r>
      <w:r w:rsidRPr="00A40DDC">
        <w:rPr>
          <w:position w:val="-6"/>
        </w:rPr>
        <w:object w:dxaOrig="300" w:dyaOrig="300" w14:anchorId="75C00806">
          <v:shape id="_x0000_i3794" type="#_x0000_t75" style="width:14.5pt;height:14.5pt" o:ole="">
            <v:imagedata r:id="rId5577" o:title=""/>
          </v:shape>
          <o:OLEObject Type="Embed" ProgID="Equation.DSMT4" ShapeID="_x0000_i3794" DrawAspect="Content" ObjectID="_1791377738" r:id="rId5578"/>
        </w:object>
      </w:r>
      <w:r w:rsidRPr="00A40DDC">
        <w:rPr>
          <w:i/>
          <w:sz w:val="23"/>
          <w:szCs w:val="23"/>
          <w:rtl/>
        </w:rPr>
        <w:t xml:space="preserve"> و</w:t>
      </w:r>
      <w:r w:rsidRPr="00A40DDC">
        <w:rPr>
          <w:rFonts w:hint="cs"/>
          <w:i/>
          <w:sz w:val="23"/>
          <w:szCs w:val="23"/>
          <w:rtl/>
        </w:rPr>
        <w:t xml:space="preserve"> در نتیجه</w:t>
      </w:r>
      <w:r w:rsidRPr="00A40DDC">
        <w:rPr>
          <w:position w:val="-6"/>
        </w:rPr>
        <w:object w:dxaOrig="160" w:dyaOrig="200" w14:anchorId="6300C816">
          <v:shape id="_x0000_i3795" type="#_x0000_t75" style="width:7.85pt;height:10.3pt" o:ole="">
            <v:imagedata r:id="rId5579" o:title=""/>
          </v:shape>
          <o:OLEObject Type="Embed" ProgID="Equation.DSMT4" ShapeID="_x0000_i3795" DrawAspect="Content" ObjectID="_1791377739" r:id="rId5580"/>
        </w:object>
      </w:r>
      <w:r w:rsidRPr="00A40DDC">
        <w:rPr>
          <w:i/>
          <w:sz w:val="23"/>
          <w:szCs w:val="23"/>
          <w:rtl/>
        </w:rPr>
        <w:t xml:space="preserve"> بدست می</w:t>
      </w:r>
      <w:r w:rsidRPr="00A40DDC">
        <w:rPr>
          <w:rFonts w:hint="cs"/>
          <w:i/>
          <w:sz w:val="23"/>
          <w:szCs w:val="23"/>
          <w:rtl/>
        </w:rPr>
        <w:t>‌</w:t>
      </w:r>
      <w:r w:rsidRPr="00A40DDC">
        <w:rPr>
          <w:i/>
          <w:sz w:val="23"/>
          <w:szCs w:val="23"/>
          <w:rtl/>
        </w:rPr>
        <w:t>آید</w:t>
      </w:r>
      <w:r w:rsidRPr="00A40DDC">
        <w:rPr>
          <w:rFonts w:hint="cs"/>
          <w:i/>
          <w:sz w:val="23"/>
          <w:szCs w:val="23"/>
          <w:rtl/>
        </w:rPr>
        <w:t>،</w:t>
      </w:r>
      <w:r w:rsidRPr="00A40DDC">
        <w:rPr>
          <w:i/>
          <w:sz w:val="23"/>
          <w:szCs w:val="23"/>
          <w:rtl/>
        </w:rPr>
        <w:t xml:space="preserve"> نسبت </w:t>
      </w:r>
      <w:r w:rsidRPr="00A40DDC">
        <w:rPr>
          <w:rFonts w:hint="cs"/>
          <w:i/>
          <w:sz w:val="23"/>
          <w:szCs w:val="23"/>
          <w:rtl/>
        </w:rPr>
        <w:t xml:space="preserve">مخارج </w:t>
      </w:r>
      <w:r w:rsidRPr="00A40DDC">
        <w:rPr>
          <w:i/>
          <w:sz w:val="23"/>
          <w:szCs w:val="23"/>
          <w:rtl/>
        </w:rPr>
        <w:t>مصرف</w:t>
      </w:r>
      <w:r w:rsidRPr="00A40DDC">
        <w:rPr>
          <w:rFonts w:hint="cs"/>
          <w:i/>
          <w:sz w:val="23"/>
          <w:szCs w:val="23"/>
          <w:rtl/>
        </w:rPr>
        <w:t>ی کالاهای قابل تجارت به غیرقابل تجارت</w:t>
      </w:r>
      <w:r w:rsidRPr="00A40DDC">
        <w:rPr>
          <w:position w:val="-22"/>
        </w:rPr>
        <w:object w:dxaOrig="340" w:dyaOrig="600" w14:anchorId="3008E237">
          <v:shape id="_x0000_i3796" type="#_x0000_t75" style="width:16.95pt;height:29.65pt" o:ole="">
            <v:imagedata r:id="rId5581" o:title=""/>
          </v:shape>
          <o:OLEObject Type="Embed" ProgID="Equation.DSMT4" ShapeID="_x0000_i3796" DrawAspect="Content" ObjectID="_1791377740" r:id="rId5582"/>
        </w:object>
      </w:r>
      <w:r w:rsidRPr="00A40DDC">
        <w:rPr>
          <w:i/>
          <w:sz w:val="23"/>
          <w:szCs w:val="23"/>
          <w:rtl/>
        </w:rPr>
        <w:t xml:space="preserve"> </w:t>
      </w:r>
      <w:r w:rsidRPr="00A40DDC">
        <w:rPr>
          <w:rFonts w:hint="cs"/>
          <w:i/>
          <w:sz w:val="23"/>
          <w:szCs w:val="23"/>
          <w:rtl/>
        </w:rPr>
        <w:t xml:space="preserve">نسبت </w:t>
      </w:r>
      <w:r w:rsidRPr="00A40DDC">
        <w:rPr>
          <w:i/>
          <w:sz w:val="23"/>
          <w:szCs w:val="23"/>
          <w:rtl/>
        </w:rPr>
        <w:t>ق</w:t>
      </w:r>
      <w:r w:rsidRPr="00A40DDC">
        <w:rPr>
          <w:rFonts w:hint="cs"/>
          <w:i/>
          <w:sz w:val="23"/>
          <w:szCs w:val="23"/>
          <w:rtl/>
        </w:rPr>
        <w:t>ی</w:t>
      </w:r>
      <w:r w:rsidRPr="00A40DDC">
        <w:rPr>
          <w:i/>
          <w:sz w:val="23"/>
          <w:szCs w:val="23"/>
          <w:rtl/>
        </w:rPr>
        <w:t>مت</w:t>
      </w:r>
      <w:r w:rsidRPr="00A40DDC">
        <w:rPr>
          <w:rFonts w:hint="cs"/>
          <w:i/>
          <w:sz w:val="23"/>
          <w:szCs w:val="23"/>
          <w:rtl/>
        </w:rPr>
        <w:t>‌</w:t>
      </w:r>
      <w:r w:rsidRPr="00A40DDC">
        <w:rPr>
          <w:i/>
          <w:sz w:val="23"/>
          <w:szCs w:val="23"/>
          <w:rtl/>
        </w:rPr>
        <w:t>های</w:t>
      </w:r>
      <w:r w:rsidRPr="00A40DDC">
        <w:rPr>
          <w:rFonts w:hint="cs"/>
          <w:i/>
          <w:sz w:val="23"/>
          <w:szCs w:val="23"/>
          <w:rtl/>
        </w:rPr>
        <w:t xml:space="preserve"> </w:t>
      </w:r>
      <w:r w:rsidRPr="00A40DDC">
        <w:rPr>
          <w:position w:val="-22"/>
        </w:rPr>
        <w:object w:dxaOrig="420" w:dyaOrig="600" w14:anchorId="5FDB12DF">
          <v:shape id="_x0000_i3797" type="#_x0000_t75" style="width:21.2pt;height:29.65pt" o:ole="">
            <v:imagedata r:id="rId5583" o:title=""/>
          </v:shape>
          <o:OLEObject Type="Embed" ProgID="Equation.DSMT4" ShapeID="_x0000_i3797" DrawAspect="Content" ObjectID="_1791377741" r:id="rId5584"/>
        </w:object>
      </w:r>
      <w:r w:rsidRPr="00A40DDC">
        <w:rPr>
          <w:i/>
          <w:sz w:val="23"/>
          <w:szCs w:val="23"/>
          <w:rtl/>
        </w:rPr>
        <w:t xml:space="preserve"> را </w:t>
      </w:r>
      <w:r w:rsidRPr="00A40DDC">
        <w:rPr>
          <w:rFonts w:hint="cs"/>
          <w:i/>
          <w:sz w:val="23"/>
          <w:szCs w:val="23"/>
          <w:rtl/>
        </w:rPr>
        <w:t xml:space="preserve">مشخص خواهد کرد، و </w:t>
      </w:r>
      <w:r w:rsidRPr="00A40DDC">
        <w:rPr>
          <w:i/>
          <w:sz w:val="23"/>
          <w:szCs w:val="23"/>
          <w:rtl/>
        </w:rPr>
        <w:t>برای بدست آوردن</w:t>
      </w:r>
      <w:r w:rsidRPr="00A40DDC">
        <w:rPr>
          <w:rFonts w:hint="cs"/>
          <w:i/>
          <w:sz w:val="23"/>
          <w:szCs w:val="23"/>
          <w:rtl/>
        </w:rPr>
        <w:t xml:space="preserve"> سطح قیمت کالاهای قابل تجارت</w:t>
      </w:r>
      <w:r w:rsidRPr="00025957">
        <w:rPr>
          <w:position w:val="-4"/>
        </w:rPr>
        <w:object w:dxaOrig="340" w:dyaOrig="279" w14:anchorId="726FEC5F">
          <v:shape id="_x0000_i3798" type="#_x0000_t75" style="width:16.95pt;height:13.9pt" o:ole="">
            <v:imagedata r:id="rId5585" o:title=""/>
          </v:shape>
          <o:OLEObject Type="Embed" ProgID="Equation.DSMT4" ShapeID="_x0000_i3798" DrawAspect="Content" ObjectID="_1791377742" r:id="rId5586"/>
        </w:object>
      </w:r>
      <w:r w:rsidRPr="00A40DDC">
        <w:rPr>
          <w:i/>
          <w:sz w:val="23"/>
          <w:szCs w:val="23"/>
          <w:rtl/>
        </w:rPr>
        <w:t xml:space="preserve"> و</w:t>
      </w:r>
      <w:r w:rsidRPr="00A40DDC">
        <w:rPr>
          <w:rFonts w:hint="cs"/>
          <w:i/>
          <w:sz w:val="23"/>
          <w:szCs w:val="23"/>
          <w:rtl/>
        </w:rPr>
        <w:t xml:space="preserve"> سطح قیمت کالاهای غیرقابل تجارت</w:t>
      </w:r>
      <w:r w:rsidRPr="00025957">
        <w:rPr>
          <w:position w:val="-4"/>
        </w:rPr>
        <w:object w:dxaOrig="360" w:dyaOrig="279" w14:anchorId="4ACBDFEA">
          <v:shape id="_x0000_i3799" type="#_x0000_t75" style="width:18.15pt;height:13.9pt" o:ole="">
            <v:imagedata r:id="rId5587" o:title=""/>
          </v:shape>
          <o:OLEObject Type="Embed" ProgID="Equation.DSMT4" ShapeID="_x0000_i3799" DrawAspect="Content" ObjectID="_1791377743" r:id="rId5588"/>
        </w:object>
      </w:r>
      <w:r w:rsidRPr="00A40DDC">
        <w:rPr>
          <w:i/>
          <w:sz w:val="23"/>
          <w:szCs w:val="23"/>
          <w:rtl/>
        </w:rPr>
        <w:t xml:space="preserve"> باید از قاعده</w:t>
      </w:r>
      <w:r w:rsidRPr="00A40DDC">
        <w:rPr>
          <w:i/>
          <w:sz w:val="23"/>
          <w:szCs w:val="23"/>
          <w:rtl/>
        </w:rPr>
        <w:softHyphen/>
      </w:r>
      <w:r w:rsidRPr="00A40DDC">
        <w:rPr>
          <w:rFonts w:hint="cs"/>
          <w:i/>
          <w:sz w:val="23"/>
          <w:szCs w:val="23"/>
          <w:rtl/>
        </w:rPr>
        <w:t>ی</w:t>
      </w:r>
      <w:r w:rsidRPr="00A40DDC">
        <w:rPr>
          <w:i/>
          <w:sz w:val="23"/>
          <w:szCs w:val="23"/>
          <w:rtl/>
        </w:rPr>
        <w:t xml:space="preserve"> نرم</w:t>
      </w:r>
      <w:r w:rsidRPr="00A40DDC">
        <w:rPr>
          <w:rFonts w:hint="cs"/>
          <w:i/>
          <w:sz w:val="23"/>
          <w:szCs w:val="23"/>
          <w:rtl/>
        </w:rPr>
        <w:t>ل</w:t>
      </w:r>
      <w:r w:rsidRPr="00A40DDC">
        <w:rPr>
          <w:i/>
          <w:sz w:val="23"/>
          <w:szCs w:val="23"/>
          <w:rtl/>
        </w:rPr>
        <w:t xml:space="preserve">ایز کردن استفاده کنیم یعنی </w:t>
      </w:r>
      <w:r w:rsidRPr="00A40DDC">
        <w:rPr>
          <w:i/>
          <w:sz w:val="23"/>
          <w:szCs w:val="23"/>
        </w:rPr>
        <w:t>P</w:t>
      </w:r>
      <w:r w:rsidRPr="00A40DDC">
        <w:rPr>
          <w:rFonts w:hint="cs"/>
          <w:i/>
          <w:sz w:val="23"/>
          <w:szCs w:val="23"/>
          <w:rtl/>
        </w:rPr>
        <w:t xml:space="preserve"> </w:t>
      </w:r>
      <w:r w:rsidRPr="00A40DDC">
        <w:rPr>
          <w:i/>
          <w:sz w:val="23"/>
          <w:szCs w:val="23"/>
          <w:rtl/>
        </w:rPr>
        <w:t>ر</w:t>
      </w:r>
      <w:r w:rsidRPr="00A40DDC">
        <w:rPr>
          <w:rFonts w:hint="cs"/>
          <w:i/>
          <w:sz w:val="23"/>
          <w:szCs w:val="23"/>
          <w:rtl/>
        </w:rPr>
        <w:t>ا برابر یک در</w:t>
      </w:r>
      <w:r w:rsidRPr="00A40DDC">
        <w:rPr>
          <w:i/>
          <w:sz w:val="23"/>
          <w:szCs w:val="23"/>
          <w:rtl/>
        </w:rPr>
        <w:t xml:space="preserve"> نظر بگیریم و در رابطه</w:t>
      </w:r>
      <w:r w:rsidRPr="00A40DDC">
        <w:rPr>
          <w:i/>
          <w:sz w:val="23"/>
          <w:szCs w:val="23"/>
          <w:rtl/>
        </w:rPr>
        <w:softHyphen/>
      </w:r>
      <w:r w:rsidRPr="00A40DDC">
        <w:rPr>
          <w:rFonts w:hint="cs"/>
          <w:i/>
          <w:sz w:val="23"/>
          <w:szCs w:val="23"/>
          <w:rtl/>
        </w:rPr>
        <w:t>ی</w:t>
      </w:r>
      <w:r w:rsidRPr="00A40DDC">
        <w:rPr>
          <w:i/>
          <w:sz w:val="23"/>
          <w:szCs w:val="23"/>
          <w:rtl/>
        </w:rPr>
        <w:t xml:space="preserve"> </w:t>
      </w:r>
      <w:r w:rsidRPr="00A40DDC">
        <w:rPr>
          <w:i/>
          <w:sz w:val="23"/>
          <w:szCs w:val="23"/>
        </w:rPr>
        <w:t>P</w:t>
      </w:r>
      <w:r w:rsidRPr="00A40DDC">
        <w:rPr>
          <w:i/>
          <w:sz w:val="23"/>
          <w:szCs w:val="23"/>
          <w:rtl/>
        </w:rPr>
        <w:t xml:space="preserve"> و</w:t>
      </w:r>
      <w:r w:rsidRPr="00A40DDC">
        <w:rPr>
          <w:position w:val="-22"/>
        </w:rPr>
        <w:object w:dxaOrig="420" w:dyaOrig="600" w14:anchorId="0A59E0F6">
          <v:shape id="_x0000_i3800" type="#_x0000_t75" style="width:21.2pt;height:29.65pt" o:ole="">
            <v:imagedata r:id="rId5589" o:title=""/>
          </v:shape>
          <o:OLEObject Type="Embed" ProgID="Equation.DSMT4" ShapeID="_x0000_i3800" DrawAspect="Content" ObjectID="_1791377744" r:id="rId5590"/>
        </w:object>
      </w:r>
      <w:r w:rsidRPr="00A40DDC">
        <w:rPr>
          <w:i/>
          <w:sz w:val="23"/>
          <w:szCs w:val="23"/>
          <w:rtl/>
        </w:rPr>
        <w:t xml:space="preserve"> دو معادله را بطور همزمان حل کنیم.</w:t>
      </w:r>
    </w:p>
    <w:p w14:paraId="15C5C132" w14:textId="77777777" w:rsidR="00411620" w:rsidRPr="00A40DDC" w:rsidRDefault="00411620" w:rsidP="00411620">
      <w:pPr>
        <w:tabs>
          <w:tab w:val="left" w:pos="3521"/>
        </w:tabs>
        <w:spacing w:line="216" w:lineRule="auto"/>
        <w:rPr>
          <w:i/>
          <w:sz w:val="23"/>
          <w:szCs w:val="23"/>
          <w:rtl/>
        </w:rPr>
      </w:pPr>
      <w:r w:rsidRPr="00A40DDC">
        <w:rPr>
          <w:i/>
          <w:sz w:val="23"/>
          <w:szCs w:val="23"/>
          <w:rtl/>
        </w:rPr>
        <w:t xml:space="preserve">ضرایب تکاثر بلندمدت را </w:t>
      </w:r>
      <w:r w:rsidRPr="00A40DDC">
        <w:rPr>
          <w:rFonts w:hint="cs"/>
          <w:i/>
          <w:sz w:val="23"/>
          <w:szCs w:val="23"/>
          <w:rtl/>
        </w:rPr>
        <w:t>با توجه به شوک</w:t>
      </w:r>
      <w:r w:rsidRPr="00A40DDC">
        <w:rPr>
          <w:i/>
          <w:sz w:val="23"/>
          <w:szCs w:val="23"/>
          <w:rtl/>
        </w:rPr>
        <w:softHyphen/>
        <w:t xml:space="preserve">های </w:t>
      </w:r>
      <w:r w:rsidRPr="00A40DDC">
        <w:rPr>
          <w:rFonts w:hint="cs"/>
          <w:i/>
          <w:sz w:val="23"/>
          <w:szCs w:val="23"/>
          <w:rtl/>
        </w:rPr>
        <w:t xml:space="preserve">مثبت </w:t>
      </w:r>
      <w:r w:rsidRPr="00A40DDC">
        <w:rPr>
          <w:i/>
          <w:sz w:val="23"/>
          <w:szCs w:val="23"/>
          <w:rtl/>
        </w:rPr>
        <w:t>بهره</w:t>
      </w:r>
      <w:r w:rsidRPr="00A40DDC">
        <w:rPr>
          <w:i/>
          <w:sz w:val="23"/>
          <w:szCs w:val="23"/>
          <w:rtl/>
        </w:rPr>
        <w:softHyphen/>
        <w:t>وری تولید کالا و خدمات تجاری و غیرتجاری</w:t>
      </w:r>
      <w:r w:rsidRPr="00A40DDC">
        <w:rPr>
          <w:rFonts w:hint="cs"/>
          <w:i/>
          <w:sz w:val="23"/>
          <w:szCs w:val="23"/>
          <w:rtl/>
        </w:rPr>
        <w:t xml:space="preserve"> نیز</w:t>
      </w:r>
      <w:r w:rsidRPr="00A40DDC">
        <w:rPr>
          <w:i/>
          <w:sz w:val="23"/>
          <w:szCs w:val="23"/>
          <w:rtl/>
        </w:rPr>
        <w:t xml:space="preserve"> می</w:t>
      </w:r>
      <w:r w:rsidRPr="00A40DDC">
        <w:rPr>
          <w:rFonts w:hint="cs"/>
          <w:i/>
          <w:sz w:val="23"/>
          <w:szCs w:val="23"/>
          <w:rtl/>
        </w:rPr>
        <w:t>‌</w:t>
      </w:r>
      <w:r w:rsidRPr="00A40DDC">
        <w:rPr>
          <w:i/>
          <w:sz w:val="23"/>
          <w:szCs w:val="23"/>
          <w:rtl/>
        </w:rPr>
        <w:t>توان بدست آورد . افزایش بهره</w:t>
      </w:r>
      <w:r w:rsidRPr="00A40DDC">
        <w:rPr>
          <w:i/>
          <w:sz w:val="23"/>
          <w:szCs w:val="23"/>
          <w:rtl/>
        </w:rPr>
        <w:softHyphen/>
        <w:t>وری دائمی</w:t>
      </w:r>
      <w:r w:rsidRPr="00A40DDC">
        <w:rPr>
          <w:rFonts w:hint="cs"/>
          <w:i/>
          <w:sz w:val="23"/>
          <w:szCs w:val="23"/>
          <w:rtl/>
        </w:rPr>
        <w:t xml:space="preserve"> تولید کالاهای قابل تجارت از طریق</w:t>
      </w:r>
      <w:r w:rsidRPr="00A40DDC">
        <w:rPr>
          <w:i/>
          <w:sz w:val="23"/>
          <w:szCs w:val="23"/>
          <w:rtl/>
        </w:rPr>
        <w:t xml:space="preserve"> </w:t>
      </w:r>
      <w:r w:rsidRPr="00A40DDC">
        <w:rPr>
          <w:rFonts w:hint="cs"/>
          <w:i/>
          <w:sz w:val="23"/>
          <w:szCs w:val="23"/>
          <w:rtl/>
        </w:rPr>
        <w:t>انتقال</w:t>
      </w:r>
      <w:r w:rsidRPr="00A40DDC">
        <w:rPr>
          <w:position w:val="-16"/>
        </w:rPr>
        <w:object w:dxaOrig="680" w:dyaOrig="420" w14:anchorId="351805C0">
          <v:shape id="_x0000_i3801" type="#_x0000_t75" style="width:33.9pt;height:21.2pt" o:ole="">
            <v:imagedata r:id="rId5591" o:title=""/>
          </v:shape>
          <o:OLEObject Type="Embed" ProgID="Equation.DSMT4" ShapeID="_x0000_i3801" DrawAspect="Content" ObjectID="_1791377745" r:id="rId5592"/>
        </w:object>
      </w:r>
      <w:r w:rsidRPr="00A40DDC">
        <w:rPr>
          <w:rFonts w:hint="cs"/>
          <w:i/>
          <w:sz w:val="23"/>
          <w:szCs w:val="23"/>
          <w:rtl/>
        </w:rPr>
        <w:t>، مخارج مصرفی کالاهای قابل تجارت را افزایش داده (رابطه</w:t>
      </w:r>
      <w:r w:rsidRPr="00A40DDC">
        <w:rPr>
          <w:i/>
          <w:sz w:val="23"/>
          <w:szCs w:val="23"/>
          <w:rtl/>
        </w:rPr>
        <w:softHyphen/>
      </w:r>
      <w:r w:rsidRPr="00A40DDC">
        <w:rPr>
          <w:rFonts w:hint="cs"/>
          <w:i/>
          <w:sz w:val="23"/>
          <w:szCs w:val="23"/>
          <w:rtl/>
        </w:rPr>
        <w:t>ی (۷.۲۰))، و نسبت سطح قیمت کالاهای غیرقابل تجارت به قابل تجارت</w:t>
      </w:r>
      <w:r w:rsidRPr="00A40DDC">
        <w:rPr>
          <w:position w:val="-22"/>
        </w:rPr>
        <w:object w:dxaOrig="420" w:dyaOrig="600" w14:anchorId="75A15C0E">
          <v:shape id="_x0000_i3802" type="#_x0000_t75" style="width:21.2pt;height:29.65pt" o:ole="">
            <v:imagedata r:id="rId5593" o:title=""/>
          </v:shape>
          <o:OLEObject Type="Embed" ProgID="Equation.DSMT4" ShapeID="_x0000_i3802" DrawAspect="Content" ObjectID="_1791377746" r:id="rId5594"/>
        </w:object>
      </w:r>
      <w:r w:rsidRPr="00A40DDC">
        <w:rPr>
          <w:rFonts w:hint="cs"/>
          <w:i/>
          <w:sz w:val="23"/>
          <w:szCs w:val="23"/>
          <w:rtl/>
        </w:rPr>
        <w:t xml:space="preserve"> افزایش می</w:t>
      </w:r>
      <w:r w:rsidRPr="00A40DDC">
        <w:rPr>
          <w:i/>
          <w:sz w:val="23"/>
          <w:szCs w:val="23"/>
          <w:rtl/>
        </w:rPr>
        <w:softHyphen/>
      </w:r>
      <w:r w:rsidRPr="00A40DDC">
        <w:rPr>
          <w:rFonts w:hint="cs"/>
          <w:i/>
          <w:sz w:val="23"/>
          <w:szCs w:val="23"/>
          <w:rtl/>
        </w:rPr>
        <w:t>یابد که مبین کاهش</w:t>
      </w:r>
      <w:r w:rsidRPr="00025957">
        <w:rPr>
          <w:position w:val="-4"/>
        </w:rPr>
        <w:object w:dxaOrig="300" w:dyaOrig="279" w14:anchorId="4A5585F6">
          <v:shape id="_x0000_i3803" type="#_x0000_t75" style="width:14.5pt;height:13.9pt" o:ole="">
            <v:imagedata r:id="rId5595" o:title=""/>
          </v:shape>
          <o:OLEObject Type="Embed" ProgID="Equation.DSMT4" ShapeID="_x0000_i3803" DrawAspect="Content" ObjectID="_1791377747" r:id="rId5596"/>
        </w:object>
      </w:r>
      <w:r w:rsidRPr="00A40DDC">
        <w:rPr>
          <w:rFonts w:hint="cs"/>
          <w:i/>
          <w:sz w:val="23"/>
          <w:szCs w:val="23"/>
          <w:rtl/>
        </w:rPr>
        <w:t xml:space="preserve"> است</w:t>
      </w:r>
      <w:r w:rsidRPr="00A40DDC">
        <w:rPr>
          <w:i/>
          <w:sz w:val="23"/>
          <w:szCs w:val="23"/>
          <w:rtl/>
        </w:rPr>
        <w:t>.</w:t>
      </w:r>
      <w:r w:rsidRPr="00A40DDC">
        <w:rPr>
          <w:rFonts w:hint="cs"/>
          <w:i/>
          <w:sz w:val="23"/>
          <w:szCs w:val="23"/>
          <w:rtl/>
        </w:rPr>
        <w:t xml:space="preserve"> همچنین </w:t>
      </w:r>
      <w:r w:rsidRPr="00A40DDC">
        <w:rPr>
          <w:i/>
          <w:sz w:val="23"/>
          <w:szCs w:val="23"/>
          <w:rtl/>
        </w:rPr>
        <w:t xml:space="preserve">افزایش </w:t>
      </w:r>
      <w:r w:rsidRPr="00A40DDC">
        <w:rPr>
          <w:rFonts w:hint="cs"/>
          <w:i/>
          <w:sz w:val="23"/>
          <w:szCs w:val="23"/>
          <w:rtl/>
        </w:rPr>
        <w:t xml:space="preserve">دائمی </w:t>
      </w:r>
      <w:r w:rsidRPr="00A40DDC">
        <w:rPr>
          <w:i/>
          <w:sz w:val="23"/>
          <w:szCs w:val="23"/>
          <w:rtl/>
        </w:rPr>
        <w:t>بهره</w:t>
      </w:r>
      <w:r w:rsidRPr="00A40DDC">
        <w:rPr>
          <w:i/>
          <w:sz w:val="23"/>
          <w:szCs w:val="23"/>
          <w:rtl/>
        </w:rPr>
        <w:softHyphen/>
        <w:t xml:space="preserve">وری </w:t>
      </w:r>
      <w:r w:rsidRPr="00A40DDC">
        <w:rPr>
          <w:rFonts w:hint="cs"/>
          <w:i/>
          <w:sz w:val="23"/>
          <w:szCs w:val="23"/>
          <w:rtl/>
        </w:rPr>
        <w:t>تولید کالاهای غیرقابل تجارت از طریق</w:t>
      </w:r>
      <w:r w:rsidRPr="00A40DDC">
        <w:rPr>
          <w:i/>
          <w:sz w:val="23"/>
          <w:szCs w:val="23"/>
          <w:rtl/>
        </w:rPr>
        <w:t xml:space="preserve"> </w:t>
      </w:r>
      <w:r w:rsidRPr="00A40DDC">
        <w:rPr>
          <w:rFonts w:hint="cs"/>
          <w:i/>
          <w:sz w:val="23"/>
          <w:szCs w:val="23"/>
          <w:rtl/>
        </w:rPr>
        <w:t>انتقال</w:t>
      </w:r>
      <w:r w:rsidRPr="00A40DDC">
        <w:rPr>
          <w:position w:val="-16"/>
        </w:rPr>
        <w:object w:dxaOrig="680" w:dyaOrig="420" w14:anchorId="4E011864">
          <v:shape id="_x0000_i3804" type="#_x0000_t75" style="width:33.9pt;height:21.2pt" o:ole="">
            <v:imagedata r:id="rId5597" o:title=""/>
          </v:shape>
          <o:OLEObject Type="Embed" ProgID="Equation.DSMT4" ShapeID="_x0000_i3804" DrawAspect="Content" ObjectID="_1791377748" r:id="rId5598"/>
        </w:object>
      </w:r>
      <w:r w:rsidRPr="00A40DDC">
        <w:rPr>
          <w:rFonts w:hint="cs"/>
          <w:i/>
          <w:sz w:val="23"/>
          <w:szCs w:val="23"/>
          <w:rtl/>
        </w:rPr>
        <w:t>، مخارج مصرفی کالاهای غیرقابل تجارت را افزایش داده (رابطه</w:t>
      </w:r>
      <w:r w:rsidRPr="00A40DDC">
        <w:rPr>
          <w:i/>
          <w:sz w:val="23"/>
          <w:szCs w:val="23"/>
          <w:rtl/>
        </w:rPr>
        <w:softHyphen/>
      </w:r>
      <w:r w:rsidRPr="00A40DDC">
        <w:rPr>
          <w:rFonts w:hint="cs"/>
          <w:i/>
          <w:sz w:val="23"/>
          <w:szCs w:val="23"/>
          <w:rtl/>
        </w:rPr>
        <w:t>ی(۷. ۲۱) و نسبت سطح قیمت کالاهای غیرقابل تجارت به قابل تجارت</w:t>
      </w:r>
      <w:r w:rsidRPr="00A40DDC">
        <w:rPr>
          <w:position w:val="-22"/>
        </w:rPr>
        <w:object w:dxaOrig="420" w:dyaOrig="600" w14:anchorId="1B118EFE">
          <v:shape id="_x0000_i3805" type="#_x0000_t75" style="width:21.2pt;height:29.65pt" o:ole="">
            <v:imagedata r:id="rId5599" o:title=""/>
          </v:shape>
          <o:OLEObject Type="Embed" ProgID="Equation.DSMT4" ShapeID="_x0000_i3805" DrawAspect="Content" ObjectID="_1791377749" r:id="rId5600"/>
        </w:object>
      </w:r>
      <w:r w:rsidRPr="00A40DDC">
        <w:rPr>
          <w:rFonts w:hint="cs"/>
          <w:i/>
          <w:sz w:val="23"/>
          <w:szCs w:val="23"/>
          <w:rtl/>
        </w:rPr>
        <w:t xml:space="preserve"> را کاهش و نشان می دهد که</w:t>
      </w:r>
      <w:r w:rsidRPr="00025957">
        <w:rPr>
          <w:position w:val="-4"/>
        </w:rPr>
        <w:object w:dxaOrig="360" w:dyaOrig="279" w14:anchorId="0BA777E0">
          <v:shape id="_x0000_i3806" type="#_x0000_t75" style="width:18.15pt;height:13.9pt" o:ole="">
            <v:imagedata r:id="rId5601" o:title=""/>
          </v:shape>
          <o:OLEObject Type="Embed" ProgID="Equation.DSMT4" ShapeID="_x0000_i3806" DrawAspect="Content" ObjectID="_1791377750" r:id="rId5602"/>
        </w:object>
      </w:r>
      <w:r w:rsidRPr="00A40DDC">
        <w:rPr>
          <w:rFonts w:hint="cs"/>
          <w:i/>
          <w:sz w:val="23"/>
          <w:szCs w:val="23"/>
          <w:rtl/>
        </w:rPr>
        <w:t xml:space="preserve"> کاهش می</w:t>
      </w:r>
      <w:r w:rsidRPr="00A40DDC">
        <w:rPr>
          <w:i/>
          <w:sz w:val="23"/>
          <w:szCs w:val="23"/>
          <w:rtl/>
        </w:rPr>
        <w:softHyphen/>
      </w:r>
      <w:r w:rsidRPr="00A40DDC">
        <w:rPr>
          <w:rFonts w:hint="cs"/>
          <w:i/>
          <w:sz w:val="23"/>
          <w:szCs w:val="23"/>
          <w:rtl/>
        </w:rPr>
        <w:t>یابد</w:t>
      </w:r>
      <w:r w:rsidRPr="00A40DDC">
        <w:rPr>
          <w:i/>
          <w:sz w:val="23"/>
          <w:szCs w:val="23"/>
          <w:rtl/>
        </w:rPr>
        <w:t>.</w:t>
      </w:r>
    </w:p>
    <w:p w14:paraId="5E915395" w14:textId="77777777" w:rsidR="00411620" w:rsidRPr="00A40DDC" w:rsidRDefault="00411620" w:rsidP="00411620">
      <w:pPr>
        <w:tabs>
          <w:tab w:val="left" w:pos="3521"/>
        </w:tabs>
        <w:spacing w:line="216" w:lineRule="auto"/>
        <w:rPr>
          <w:i/>
          <w:sz w:val="23"/>
          <w:szCs w:val="23"/>
          <w:rtl/>
        </w:rPr>
      </w:pPr>
    </w:p>
    <w:p w14:paraId="084072B8" w14:textId="77777777" w:rsidR="00411620" w:rsidRPr="00A40DDC" w:rsidRDefault="00411620" w:rsidP="00411620">
      <w:pPr>
        <w:pStyle w:val="Heading1"/>
        <w:spacing w:before="0" w:after="0" w:line="216" w:lineRule="auto"/>
        <w:rPr>
          <w:rFonts w:ascii="Times New Roman" w:hAnsi="Times New Roman" w:cs="B Nazanin"/>
          <w:b w:val="0"/>
          <w:i/>
          <w:sz w:val="23"/>
          <w:szCs w:val="23"/>
          <w:rtl/>
        </w:rPr>
      </w:pPr>
      <w:r w:rsidRPr="00A40DDC">
        <w:rPr>
          <w:rFonts w:ascii="Times New Roman" w:hAnsi="Times New Roman" w:cs="B Nazanin" w:hint="cs"/>
          <w:b w:val="0"/>
          <w:i/>
          <w:sz w:val="23"/>
          <w:szCs w:val="23"/>
          <w:rtl/>
        </w:rPr>
        <w:lastRenderedPageBreak/>
        <w:t xml:space="preserve">۷. ۴ </w:t>
      </w:r>
      <w:r w:rsidRPr="00A40DDC">
        <w:rPr>
          <w:rFonts w:ascii="Times New Roman" w:hAnsi="Times New Roman" w:cs="B Nazanin"/>
          <w:b w:val="0"/>
          <w:i/>
          <w:sz w:val="23"/>
          <w:szCs w:val="23"/>
          <w:rtl/>
        </w:rPr>
        <w:t>نرخ ارز حقیقی و</w:t>
      </w:r>
      <w:r w:rsidRPr="00A40DDC">
        <w:rPr>
          <w:rFonts w:ascii="Times New Roman" w:hAnsi="Times New Roman" w:cs="B Nazanin" w:hint="cs"/>
          <w:b w:val="0"/>
          <w:i/>
          <w:sz w:val="23"/>
          <w:szCs w:val="23"/>
          <w:rtl/>
        </w:rPr>
        <w:t xml:space="preserve"> رابطه</w:t>
      </w:r>
      <w:r w:rsidRPr="00A40DDC">
        <w:rPr>
          <w:rFonts w:ascii="Times New Roman" w:hAnsi="Times New Roman" w:cs="B Nazanin"/>
          <w:b w:val="0"/>
          <w:i/>
          <w:sz w:val="23"/>
          <w:szCs w:val="23"/>
          <w:rtl/>
        </w:rPr>
        <w:softHyphen/>
      </w:r>
      <w:r w:rsidRPr="00A40DDC">
        <w:rPr>
          <w:rFonts w:ascii="Times New Roman" w:hAnsi="Times New Roman" w:cs="B Nazanin" w:hint="cs"/>
          <w:b w:val="0"/>
          <w:i/>
          <w:sz w:val="23"/>
          <w:szCs w:val="23"/>
          <w:rtl/>
        </w:rPr>
        <w:t>ی مبادله</w:t>
      </w:r>
      <w:r w:rsidRPr="00A40DDC">
        <w:rPr>
          <w:rFonts w:ascii="Times New Roman" w:hAnsi="Times New Roman" w:cs="B Nazanin"/>
          <w:b w:val="0"/>
          <w:i/>
          <w:sz w:val="23"/>
          <w:szCs w:val="23"/>
          <w:rtl/>
        </w:rPr>
        <w:softHyphen/>
      </w:r>
      <w:r w:rsidRPr="00A40DDC">
        <w:rPr>
          <w:rFonts w:ascii="Times New Roman" w:hAnsi="Times New Roman" w:cs="B Nazanin" w:hint="cs"/>
          <w:b w:val="0"/>
          <w:i/>
          <w:sz w:val="23"/>
          <w:szCs w:val="23"/>
          <w:rtl/>
        </w:rPr>
        <w:t>ی حقیقی</w:t>
      </w:r>
      <w:r w:rsidRPr="00A40DDC">
        <w:rPr>
          <w:rFonts w:ascii="Times New Roman" w:hAnsi="Times New Roman" w:cs="B Nazanin"/>
          <w:b w:val="0"/>
          <w:i/>
          <w:sz w:val="23"/>
          <w:szCs w:val="23"/>
          <w:rtl/>
        </w:rPr>
        <w:t xml:space="preserve"> </w:t>
      </w:r>
    </w:p>
    <w:p w14:paraId="2B7DAC6D" w14:textId="77777777" w:rsidR="00411620" w:rsidRPr="00A40DDC" w:rsidRDefault="00411620" w:rsidP="00411620">
      <w:pPr>
        <w:tabs>
          <w:tab w:val="left" w:pos="3521"/>
        </w:tabs>
        <w:spacing w:line="216" w:lineRule="auto"/>
        <w:rPr>
          <w:i/>
          <w:sz w:val="23"/>
          <w:szCs w:val="23"/>
          <w:rtl/>
        </w:rPr>
      </w:pPr>
      <w:r w:rsidRPr="00A40DDC">
        <w:rPr>
          <w:rFonts w:hint="cs"/>
          <w:i/>
          <w:sz w:val="23"/>
          <w:szCs w:val="23"/>
          <w:rtl/>
        </w:rPr>
        <w:t>رابطه</w:t>
      </w:r>
      <w:r w:rsidRPr="00A40DDC">
        <w:rPr>
          <w:i/>
          <w:sz w:val="23"/>
          <w:szCs w:val="23"/>
          <w:rtl/>
        </w:rPr>
        <w:softHyphen/>
      </w:r>
      <w:r w:rsidRPr="00A40DDC">
        <w:rPr>
          <w:rFonts w:hint="cs"/>
          <w:i/>
          <w:sz w:val="23"/>
          <w:szCs w:val="23"/>
          <w:rtl/>
        </w:rPr>
        <w:t>ی مبادله</w:t>
      </w:r>
      <w:r w:rsidRPr="00A40DDC">
        <w:rPr>
          <w:i/>
          <w:sz w:val="23"/>
          <w:szCs w:val="23"/>
          <w:rtl/>
        </w:rPr>
        <w:softHyphen/>
      </w:r>
      <w:r w:rsidRPr="00A40DDC">
        <w:rPr>
          <w:rFonts w:hint="cs"/>
          <w:i/>
          <w:sz w:val="23"/>
          <w:szCs w:val="23"/>
          <w:rtl/>
        </w:rPr>
        <w:t xml:space="preserve">ی حقیقی یا </w:t>
      </w:r>
      <w:r w:rsidRPr="00A40DDC">
        <w:rPr>
          <w:i/>
          <w:sz w:val="23"/>
          <w:szCs w:val="23"/>
        </w:rPr>
        <w:t>TOT</w:t>
      </w:r>
      <w:r w:rsidRPr="00A40DDC">
        <w:rPr>
          <w:i/>
          <w:sz w:val="23"/>
          <w:szCs w:val="23"/>
          <w:rtl/>
        </w:rPr>
        <w:t xml:space="preserve"> </w:t>
      </w:r>
      <w:r w:rsidRPr="00A40DDC">
        <w:rPr>
          <w:rFonts w:hint="cs"/>
          <w:i/>
          <w:sz w:val="23"/>
          <w:szCs w:val="23"/>
          <w:rtl/>
        </w:rPr>
        <w:t xml:space="preserve">، </w:t>
      </w:r>
      <w:r w:rsidRPr="00A40DDC">
        <w:rPr>
          <w:i/>
          <w:sz w:val="23"/>
          <w:szCs w:val="23"/>
          <w:rtl/>
        </w:rPr>
        <w:t xml:space="preserve">قیمت واردات برحسب پول داخلی نسبت به </w:t>
      </w:r>
      <w:r w:rsidRPr="00A40DDC">
        <w:rPr>
          <w:rFonts w:hint="cs"/>
          <w:i/>
          <w:sz w:val="23"/>
          <w:szCs w:val="23"/>
          <w:rtl/>
        </w:rPr>
        <w:t xml:space="preserve">قیمت </w:t>
      </w:r>
      <w:r w:rsidRPr="00A40DDC">
        <w:rPr>
          <w:i/>
          <w:sz w:val="23"/>
          <w:szCs w:val="23"/>
          <w:rtl/>
        </w:rPr>
        <w:t>صادرات است</w:t>
      </w:r>
      <w:r w:rsidRPr="00A40DDC">
        <w:rPr>
          <w:rFonts w:hint="cs"/>
          <w:i/>
          <w:sz w:val="23"/>
          <w:szCs w:val="23"/>
          <w:rtl/>
        </w:rPr>
        <w:t>،</w:t>
      </w:r>
      <w:r w:rsidRPr="00A40DDC">
        <w:rPr>
          <w:i/>
          <w:sz w:val="23"/>
          <w:szCs w:val="23"/>
          <w:rtl/>
        </w:rPr>
        <w:t xml:space="preserve"> و</w:t>
      </w:r>
      <w:r w:rsidRPr="00A40DDC">
        <w:rPr>
          <w:rFonts w:hint="cs"/>
          <w:i/>
          <w:sz w:val="23"/>
          <w:szCs w:val="23"/>
          <w:rtl/>
        </w:rPr>
        <w:t>لی</w:t>
      </w:r>
      <w:r w:rsidRPr="00A40DDC">
        <w:rPr>
          <w:i/>
          <w:sz w:val="23"/>
          <w:szCs w:val="23"/>
          <w:rtl/>
        </w:rPr>
        <w:t xml:space="preserve"> نرخ ارز حقیقی سطح قیمت دنیا برحسب پول داخلی برحسب سطح قیمت داخلی است. لذا</w:t>
      </w:r>
      <w:r w:rsidRPr="00A40DDC">
        <w:rPr>
          <w:rFonts w:hint="cs"/>
          <w:i/>
          <w:sz w:val="23"/>
          <w:szCs w:val="23"/>
          <w:rtl/>
        </w:rPr>
        <w:t xml:space="preserve"> رابطه</w:t>
      </w:r>
      <w:r w:rsidRPr="00A40DDC">
        <w:rPr>
          <w:i/>
          <w:sz w:val="23"/>
          <w:szCs w:val="23"/>
          <w:rtl/>
        </w:rPr>
        <w:softHyphen/>
      </w:r>
      <w:r w:rsidRPr="00A40DDC">
        <w:rPr>
          <w:rFonts w:hint="cs"/>
          <w:i/>
          <w:sz w:val="23"/>
          <w:szCs w:val="23"/>
          <w:rtl/>
        </w:rPr>
        <w:t>ی مبادله</w:t>
      </w:r>
      <w:r w:rsidRPr="00A40DDC">
        <w:rPr>
          <w:i/>
          <w:sz w:val="23"/>
          <w:szCs w:val="23"/>
          <w:rtl/>
        </w:rPr>
        <w:softHyphen/>
      </w:r>
      <w:r w:rsidRPr="00A40DDC">
        <w:rPr>
          <w:rFonts w:hint="cs"/>
          <w:i/>
          <w:sz w:val="23"/>
          <w:szCs w:val="23"/>
          <w:rtl/>
        </w:rPr>
        <w:t>ی حقیقی</w:t>
      </w:r>
      <w:r w:rsidRPr="00A40DDC">
        <w:rPr>
          <w:i/>
          <w:sz w:val="23"/>
          <w:szCs w:val="23"/>
          <w:rtl/>
        </w:rPr>
        <w:t xml:space="preserve"> برحسب کالاهای تجارتی است ولی نرخ ارز حقیقی برحسب کالا و خدمات تجارتی و غیر</w:t>
      </w:r>
      <w:r w:rsidRPr="00A40DDC">
        <w:rPr>
          <w:rFonts w:hint="cs"/>
          <w:i/>
          <w:sz w:val="23"/>
          <w:szCs w:val="23"/>
          <w:rtl/>
        </w:rPr>
        <w:t>ت</w:t>
      </w:r>
      <w:r w:rsidRPr="00A40DDC">
        <w:rPr>
          <w:i/>
          <w:sz w:val="23"/>
          <w:szCs w:val="23"/>
          <w:rtl/>
        </w:rPr>
        <w:t xml:space="preserve">جارتی است . </w:t>
      </w:r>
      <w:r w:rsidRPr="00A40DDC">
        <w:rPr>
          <w:rFonts w:hint="cs"/>
          <w:i/>
          <w:sz w:val="23"/>
          <w:szCs w:val="23"/>
          <w:rtl/>
        </w:rPr>
        <w:t>بنابراین</w:t>
      </w:r>
      <w:r w:rsidRPr="00A40DDC">
        <w:rPr>
          <w:i/>
          <w:sz w:val="23"/>
          <w:szCs w:val="23"/>
          <w:rtl/>
        </w:rPr>
        <w:t xml:space="preserve"> اگر کالا و خدمات غیرتجارتی وجود نداشته باشد</w:t>
      </w:r>
      <w:r w:rsidRPr="00A40DDC">
        <w:rPr>
          <w:rFonts w:hint="cs"/>
          <w:i/>
          <w:sz w:val="23"/>
          <w:szCs w:val="23"/>
          <w:rtl/>
        </w:rPr>
        <w:t>، آنگاه رابطه</w:t>
      </w:r>
      <w:r w:rsidRPr="00A40DDC">
        <w:rPr>
          <w:i/>
          <w:sz w:val="23"/>
          <w:szCs w:val="23"/>
          <w:rtl/>
        </w:rPr>
        <w:softHyphen/>
      </w:r>
      <w:r w:rsidRPr="00A40DDC">
        <w:rPr>
          <w:rFonts w:hint="cs"/>
          <w:i/>
          <w:sz w:val="23"/>
          <w:szCs w:val="23"/>
          <w:rtl/>
        </w:rPr>
        <w:t>ی مبادله</w:t>
      </w:r>
      <w:r w:rsidRPr="00A40DDC">
        <w:rPr>
          <w:i/>
          <w:sz w:val="23"/>
          <w:szCs w:val="23"/>
          <w:rtl/>
        </w:rPr>
        <w:softHyphen/>
      </w:r>
      <w:r w:rsidRPr="00A40DDC">
        <w:rPr>
          <w:rFonts w:hint="cs"/>
          <w:i/>
          <w:sz w:val="23"/>
          <w:szCs w:val="23"/>
          <w:rtl/>
        </w:rPr>
        <w:t xml:space="preserve">ی حقیقی برابر با </w:t>
      </w:r>
      <w:r w:rsidRPr="00A40DDC">
        <w:rPr>
          <w:i/>
          <w:sz w:val="23"/>
          <w:szCs w:val="23"/>
          <w:rtl/>
        </w:rPr>
        <w:t xml:space="preserve">نرخ ارز حقیقی </w:t>
      </w:r>
      <w:r w:rsidRPr="00A40DDC">
        <w:rPr>
          <w:rFonts w:hint="cs"/>
          <w:i/>
          <w:sz w:val="23"/>
          <w:szCs w:val="23"/>
          <w:rtl/>
        </w:rPr>
        <w:t>خواهد شد</w:t>
      </w:r>
      <w:r w:rsidRPr="00A40DDC">
        <w:rPr>
          <w:i/>
          <w:sz w:val="23"/>
          <w:szCs w:val="23"/>
          <w:rtl/>
        </w:rPr>
        <w:t>.</w:t>
      </w:r>
      <w:r w:rsidRPr="00A40DDC">
        <w:rPr>
          <w:rFonts w:hint="cs"/>
          <w:i/>
          <w:sz w:val="23"/>
          <w:szCs w:val="23"/>
          <w:rtl/>
        </w:rPr>
        <w:t xml:space="preserve"> بنابراین رابطه</w:t>
      </w:r>
      <w:r w:rsidRPr="00A40DDC">
        <w:rPr>
          <w:i/>
          <w:sz w:val="23"/>
          <w:szCs w:val="23"/>
          <w:rtl/>
        </w:rPr>
        <w:softHyphen/>
      </w:r>
      <w:r w:rsidRPr="00A40DDC">
        <w:rPr>
          <w:rFonts w:hint="cs"/>
          <w:i/>
          <w:sz w:val="23"/>
          <w:szCs w:val="23"/>
          <w:rtl/>
        </w:rPr>
        <w:t>ی مبادله</w:t>
      </w:r>
      <w:r w:rsidRPr="00A40DDC">
        <w:rPr>
          <w:i/>
          <w:sz w:val="23"/>
          <w:szCs w:val="23"/>
          <w:rtl/>
        </w:rPr>
        <w:softHyphen/>
      </w:r>
      <w:r w:rsidRPr="00A40DDC">
        <w:rPr>
          <w:rFonts w:hint="cs"/>
          <w:i/>
          <w:sz w:val="23"/>
          <w:szCs w:val="23"/>
          <w:rtl/>
        </w:rPr>
        <w:t xml:space="preserve">ی حقیقی یا </w:t>
      </w:r>
      <w:r w:rsidRPr="00A40DDC">
        <w:rPr>
          <w:i/>
          <w:sz w:val="23"/>
          <w:szCs w:val="23"/>
        </w:rPr>
        <w:t>TOT</w:t>
      </w:r>
      <w:r w:rsidRPr="00A40DDC">
        <w:rPr>
          <w:i/>
          <w:sz w:val="23"/>
          <w:szCs w:val="23"/>
          <w:rtl/>
        </w:rPr>
        <w:t xml:space="preserve"> برابر است با</w:t>
      </w:r>
      <w:r w:rsidRPr="00A40DDC">
        <w:rPr>
          <w:rFonts w:hint="cs"/>
          <w:i/>
          <w:sz w:val="23"/>
          <w:szCs w:val="23"/>
          <w:rtl/>
        </w:rPr>
        <w:t>؛</w:t>
      </w:r>
    </w:p>
    <w:p w14:paraId="0F4C9230" w14:textId="77777777" w:rsidR="00411620" w:rsidRPr="00A40DDC" w:rsidRDefault="00411620" w:rsidP="00411620">
      <w:pPr>
        <w:pStyle w:val="MTDisplayEquation"/>
        <w:spacing w:line="216" w:lineRule="auto"/>
        <w:rPr>
          <w:rFonts w:ascii="Times New Roman" w:hAnsi="Times New Roman" w:cs="B Nazanin"/>
          <w:i/>
          <w:sz w:val="23"/>
          <w:szCs w:val="23"/>
          <w:rtl/>
        </w:rPr>
      </w:pPr>
      <w:r w:rsidRPr="00A40DDC">
        <w:rPr>
          <w:position w:val="-22"/>
        </w:rPr>
        <w:object w:dxaOrig="1100" w:dyaOrig="600" w14:anchorId="32AE786F">
          <v:shape id="_x0000_i3807" type="#_x0000_t75" style="width:55.05pt;height:29.65pt" o:ole="">
            <v:imagedata r:id="rId5603" o:title=""/>
          </v:shape>
          <o:OLEObject Type="Embed" ProgID="Equation.DSMT4" ShapeID="_x0000_i3807" DrawAspect="Content" ObjectID="_1791377751" r:id="rId5604"/>
        </w:object>
      </w:r>
    </w:p>
    <w:p w14:paraId="079104F2" w14:textId="77777777" w:rsidR="00411620" w:rsidRPr="00A40DDC" w:rsidRDefault="00411620" w:rsidP="00411620">
      <w:pPr>
        <w:tabs>
          <w:tab w:val="left" w:pos="3521"/>
        </w:tabs>
        <w:spacing w:line="216" w:lineRule="auto"/>
        <w:rPr>
          <w:i/>
          <w:sz w:val="23"/>
          <w:szCs w:val="23"/>
          <w:rtl/>
        </w:rPr>
      </w:pPr>
      <w:r w:rsidRPr="00A40DDC">
        <w:rPr>
          <w:i/>
          <w:sz w:val="23"/>
          <w:szCs w:val="23"/>
          <w:rtl/>
        </w:rPr>
        <w:t>که در آن</w:t>
      </w:r>
      <w:r w:rsidRPr="00025957">
        <w:rPr>
          <w:position w:val="-4"/>
        </w:rPr>
        <w:object w:dxaOrig="400" w:dyaOrig="279" w14:anchorId="6A4F0CAB">
          <v:shape id="_x0000_i3808" type="#_x0000_t75" style="width:19.95pt;height:13.9pt" o:ole="">
            <v:imagedata r:id="rId5605" o:title=""/>
          </v:shape>
          <o:OLEObject Type="Embed" ProgID="Equation.DSMT4" ShapeID="_x0000_i3808" DrawAspect="Content" ObjectID="_1791377752" r:id="rId5606"/>
        </w:object>
      </w:r>
      <w:r w:rsidRPr="00A40DDC">
        <w:rPr>
          <w:i/>
          <w:sz w:val="23"/>
          <w:szCs w:val="23"/>
          <w:rtl/>
        </w:rPr>
        <w:t xml:space="preserve"> </w:t>
      </w:r>
      <w:r w:rsidRPr="00A40DDC">
        <w:rPr>
          <w:rFonts w:hint="cs"/>
          <w:i/>
          <w:sz w:val="23"/>
          <w:szCs w:val="23"/>
          <w:rtl/>
        </w:rPr>
        <w:t xml:space="preserve">سطح </w:t>
      </w:r>
      <w:r w:rsidRPr="00A40DDC">
        <w:rPr>
          <w:i/>
          <w:sz w:val="23"/>
          <w:szCs w:val="23"/>
          <w:rtl/>
        </w:rPr>
        <w:t>ق</w:t>
      </w:r>
      <w:r w:rsidRPr="00A40DDC">
        <w:rPr>
          <w:rFonts w:hint="cs"/>
          <w:i/>
          <w:sz w:val="23"/>
          <w:szCs w:val="23"/>
          <w:rtl/>
        </w:rPr>
        <w:t>ی</w:t>
      </w:r>
      <w:r w:rsidRPr="00A40DDC">
        <w:rPr>
          <w:i/>
          <w:sz w:val="23"/>
          <w:szCs w:val="23"/>
          <w:rtl/>
        </w:rPr>
        <w:t>مت کالا و خدمات تجاری خارجی</w:t>
      </w:r>
      <w:r w:rsidRPr="00A40DDC">
        <w:rPr>
          <w:rFonts w:hint="cs"/>
          <w:i/>
          <w:sz w:val="23"/>
          <w:szCs w:val="23"/>
          <w:rtl/>
        </w:rPr>
        <w:t>،</w:t>
      </w:r>
      <w:r w:rsidRPr="00025957">
        <w:rPr>
          <w:position w:val="-4"/>
        </w:rPr>
        <w:object w:dxaOrig="340" w:dyaOrig="279" w14:anchorId="75A5EDDC">
          <v:shape id="_x0000_i3809" type="#_x0000_t75" style="width:16.95pt;height:13.9pt" o:ole="">
            <v:imagedata r:id="rId5607" o:title=""/>
          </v:shape>
          <o:OLEObject Type="Embed" ProgID="Equation.DSMT4" ShapeID="_x0000_i3809" DrawAspect="Content" ObjectID="_1791377753" r:id="rId5608"/>
        </w:object>
      </w:r>
      <w:r w:rsidRPr="00A40DDC">
        <w:rPr>
          <w:i/>
          <w:sz w:val="23"/>
          <w:szCs w:val="23"/>
          <w:rtl/>
        </w:rPr>
        <w:t xml:space="preserve"> ق</w:t>
      </w:r>
      <w:r w:rsidRPr="00A40DDC">
        <w:rPr>
          <w:rFonts w:hint="cs"/>
          <w:i/>
          <w:sz w:val="23"/>
          <w:szCs w:val="23"/>
          <w:rtl/>
        </w:rPr>
        <w:t>ی</w:t>
      </w:r>
      <w:r w:rsidRPr="00A40DDC">
        <w:rPr>
          <w:i/>
          <w:sz w:val="23"/>
          <w:szCs w:val="23"/>
          <w:rtl/>
        </w:rPr>
        <w:t>مت کالاها و خدمات تجاری داخلی و</w:t>
      </w:r>
      <w:r w:rsidRPr="00A40DDC">
        <w:rPr>
          <w:position w:val="-6"/>
        </w:rPr>
        <w:object w:dxaOrig="220" w:dyaOrig="260" w14:anchorId="79A306C8">
          <v:shape id="_x0000_i3810" type="#_x0000_t75" style="width:10.9pt;height:13.3pt" o:ole="">
            <v:imagedata r:id="rId5609" o:title=""/>
          </v:shape>
          <o:OLEObject Type="Embed" ProgID="Equation.DSMT4" ShapeID="_x0000_i3810" DrawAspect="Content" ObjectID="_1791377754" r:id="rId5610"/>
        </w:object>
      </w:r>
      <w:r w:rsidRPr="00A40DDC">
        <w:rPr>
          <w:i/>
          <w:sz w:val="23"/>
          <w:szCs w:val="23"/>
          <w:rtl/>
        </w:rPr>
        <w:t xml:space="preserve"> نرخ</w:t>
      </w:r>
      <w:r w:rsidRPr="00A40DDC">
        <w:rPr>
          <w:rFonts w:hint="cs"/>
          <w:i/>
          <w:sz w:val="23"/>
          <w:szCs w:val="23"/>
          <w:rtl/>
        </w:rPr>
        <w:t xml:space="preserve"> </w:t>
      </w:r>
      <w:r w:rsidRPr="00A40DDC">
        <w:rPr>
          <w:i/>
          <w:sz w:val="23"/>
          <w:szCs w:val="23"/>
          <w:rtl/>
        </w:rPr>
        <w:t>ارز اسمی است. لذا</w:t>
      </w:r>
      <w:r w:rsidRPr="00A40DDC">
        <w:rPr>
          <w:position w:val="-6"/>
        </w:rPr>
        <w:object w:dxaOrig="540" w:dyaOrig="300" w14:anchorId="7E481C37">
          <v:shape id="_x0000_i3811" type="#_x0000_t75" style="width:26.6pt;height:14.5pt" o:ole="">
            <v:imagedata r:id="rId5611" o:title=""/>
          </v:shape>
          <o:OLEObject Type="Embed" ProgID="Equation.DSMT4" ShapeID="_x0000_i3811" DrawAspect="Content" ObjectID="_1791377755" r:id="rId5612"/>
        </w:object>
      </w:r>
      <w:r w:rsidRPr="00A40DDC">
        <w:rPr>
          <w:i/>
          <w:sz w:val="23"/>
          <w:szCs w:val="23"/>
          <w:rtl/>
        </w:rPr>
        <w:t xml:space="preserve"> قیمت وارداتی برحسب پول </w:t>
      </w:r>
      <w:r w:rsidRPr="00A40DDC">
        <w:rPr>
          <w:rFonts w:hint="cs"/>
          <w:i/>
          <w:sz w:val="23"/>
          <w:szCs w:val="23"/>
          <w:rtl/>
        </w:rPr>
        <w:t>دا</w:t>
      </w:r>
      <w:r w:rsidRPr="00A40DDC">
        <w:rPr>
          <w:i/>
          <w:sz w:val="23"/>
          <w:szCs w:val="23"/>
          <w:rtl/>
        </w:rPr>
        <w:t>خلی است.</w:t>
      </w:r>
      <w:r w:rsidRPr="00A40DDC">
        <w:rPr>
          <w:rFonts w:hint="cs"/>
          <w:i/>
          <w:sz w:val="23"/>
          <w:szCs w:val="23"/>
          <w:rtl/>
        </w:rPr>
        <w:t xml:space="preserve"> نرخ ارز حقیقی نیز </w:t>
      </w:r>
      <w:r w:rsidRPr="00A40DDC">
        <w:rPr>
          <w:i/>
          <w:sz w:val="23"/>
          <w:szCs w:val="23"/>
          <w:rtl/>
        </w:rPr>
        <w:t>برابر است با</w:t>
      </w:r>
      <w:r w:rsidRPr="00A40DDC">
        <w:rPr>
          <w:rFonts w:hint="cs"/>
          <w:i/>
          <w:sz w:val="23"/>
          <w:szCs w:val="23"/>
          <w:rtl/>
        </w:rPr>
        <w:t>؛</w:t>
      </w:r>
      <w:r w:rsidRPr="00A40DDC">
        <w:rPr>
          <w:i/>
          <w:sz w:val="23"/>
          <w:szCs w:val="23"/>
          <w:rtl/>
        </w:rPr>
        <w:t xml:space="preserve"> </w:t>
      </w:r>
    </w:p>
    <w:p w14:paraId="617772A8" w14:textId="77777777" w:rsidR="00411620" w:rsidRPr="00A40DDC" w:rsidRDefault="00411620" w:rsidP="00411620">
      <w:pPr>
        <w:pStyle w:val="MTDisplayEquation"/>
        <w:spacing w:line="216" w:lineRule="auto"/>
        <w:rPr>
          <w:rFonts w:ascii="Times New Roman" w:hAnsi="Times New Roman" w:cs="B Nazanin"/>
          <w:i/>
          <w:sz w:val="23"/>
          <w:szCs w:val="23"/>
          <w:rtl/>
        </w:rPr>
      </w:pPr>
      <w:r w:rsidRPr="00A40DDC">
        <w:rPr>
          <w:position w:val="-22"/>
        </w:rPr>
        <w:object w:dxaOrig="880" w:dyaOrig="600" w14:anchorId="2F6F6A09">
          <v:shape id="_x0000_i3812" type="#_x0000_t75" style="width:44.15pt;height:29.65pt" o:ole="">
            <v:imagedata r:id="rId5613" o:title=""/>
          </v:shape>
          <o:OLEObject Type="Embed" ProgID="Equation.DSMT4" ShapeID="_x0000_i3812" DrawAspect="Content" ObjectID="_1791377756" r:id="rId5614"/>
        </w:object>
      </w:r>
    </w:p>
    <w:p w14:paraId="3E768075" w14:textId="77777777" w:rsidR="00411620" w:rsidRPr="00A40DDC" w:rsidRDefault="00411620" w:rsidP="00411620">
      <w:pPr>
        <w:tabs>
          <w:tab w:val="left" w:pos="3521"/>
        </w:tabs>
        <w:spacing w:line="216" w:lineRule="auto"/>
        <w:rPr>
          <w:i/>
          <w:sz w:val="23"/>
          <w:szCs w:val="23"/>
          <w:rtl/>
        </w:rPr>
      </w:pPr>
      <w:r w:rsidRPr="00A40DDC">
        <w:rPr>
          <w:i/>
          <w:sz w:val="23"/>
          <w:szCs w:val="23"/>
          <w:rtl/>
        </w:rPr>
        <w:t>که در آن</w:t>
      </w:r>
      <w:r w:rsidRPr="00025957">
        <w:rPr>
          <w:position w:val="-4"/>
        </w:rPr>
        <w:object w:dxaOrig="300" w:dyaOrig="279" w14:anchorId="60439F14">
          <v:shape id="_x0000_i3813" type="#_x0000_t75" style="width:14.5pt;height:13.9pt" o:ole="">
            <v:imagedata r:id="rId5615" o:title=""/>
          </v:shape>
          <o:OLEObject Type="Embed" ProgID="Equation.DSMT4" ShapeID="_x0000_i3813" DrawAspect="Content" ObjectID="_1791377757" r:id="rId5616"/>
        </w:object>
      </w:r>
      <w:r w:rsidRPr="00A40DDC">
        <w:rPr>
          <w:i/>
          <w:sz w:val="23"/>
          <w:szCs w:val="23"/>
          <w:rtl/>
        </w:rPr>
        <w:t xml:space="preserve"> سطح قیمت دنیا </w:t>
      </w:r>
      <w:r w:rsidRPr="00A40DDC">
        <w:rPr>
          <w:rFonts w:hint="cs"/>
          <w:i/>
          <w:sz w:val="23"/>
          <w:szCs w:val="23"/>
          <w:rtl/>
        </w:rPr>
        <w:t>و</w:t>
      </w:r>
      <w:r w:rsidRPr="00025957">
        <w:rPr>
          <w:position w:val="-4"/>
        </w:rPr>
        <w:object w:dxaOrig="240" w:dyaOrig="240" w14:anchorId="1D3AAADE">
          <v:shape id="_x0000_i3814" type="#_x0000_t75" style="width:11.5pt;height:11.5pt" o:ole="">
            <v:imagedata r:id="rId5617" o:title=""/>
          </v:shape>
          <o:OLEObject Type="Embed" ProgID="Equation.DSMT4" ShapeID="_x0000_i3814" DrawAspect="Content" ObjectID="_1791377758" r:id="rId5618"/>
        </w:object>
      </w:r>
      <w:r w:rsidRPr="00A40DDC">
        <w:rPr>
          <w:i/>
          <w:sz w:val="23"/>
          <w:szCs w:val="23"/>
          <w:rtl/>
        </w:rPr>
        <w:t xml:space="preserve"> سطح قیمت داخلی است.</w:t>
      </w:r>
      <w:r w:rsidRPr="00A40DDC">
        <w:rPr>
          <w:rFonts w:hint="cs"/>
          <w:i/>
          <w:sz w:val="23"/>
          <w:szCs w:val="23"/>
          <w:rtl/>
        </w:rPr>
        <w:t xml:space="preserve"> افزایش در رابطه</w:t>
      </w:r>
      <w:r w:rsidRPr="00A40DDC">
        <w:rPr>
          <w:i/>
          <w:sz w:val="23"/>
          <w:szCs w:val="23"/>
          <w:rtl/>
        </w:rPr>
        <w:softHyphen/>
      </w:r>
      <w:r w:rsidRPr="00A40DDC">
        <w:rPr>
          <w:rFonts w:hint="cs"/>
          <w:i/>
          <w:sz w:val="23"/>
          <w:szCs w:val="23"/>
          <w:rtl/>
        </w:rPr>
        <w:t>ی مبادله</w:t>
      </w:r>
      <w:r w:rsidRPr="00A40DDC">
        <w:rPr>
          <w:i/>
          <w:sz w:val="23"/>
          <w:szCs w:val="23"/>
          <w:rtl/>
        </w:rPr>
        <w:softHyphen/>
      </w:r>
      <w:r w:rsidRPr="00A40DDC">
        <w:rPr>
          <w:rFonts w:hint="cs"/>
          <w:i/>
          <w:sz w:val="23"/>
          <w:szCs w:val="23"/>
          <w:rtl/>
        </w:rPr>
        <w:t>ی حقیقی</w:t>
      </w:r>
      <w:r w:rsidRPr="00A40DDC">
        <w:rPr>
          <w:position w:val="-8"/>
        </w:rPr>
        <w:object w:dxaOrig="340" w:dyaOrig="320" w14:anchorId="6EB9D000">
          <v:shape id="_x0000_i3815" type="#_x0000_t75" style="width:16.95pt;height:15.75pt" o:ole="">
            <v:imagedata r:id="rId5619" o:title=""/>
          </v:shape>
          <o:OLEObject Type="Embed" ProgID="Equation.DSMT4" ShapeID="_x0000_i3815" DrawAspect="Content" ObjectID="_1791377759" r:id="rId5620"/>
        </w:object>
      </w:r>
      <w:r w:rsidRPr="00A40DDC">
        <w:rPr>
          <w:i/>
          <w:sz w:val="23"/>
          <w:szCs w:val="23"/>
          <w:rtl/>
        </w:rPr>
        <w:t xml:space="preserve"> یعنی</w:t>
      </w:r>
      <w:r w:rsidRPr="00A40DDC">
        <w:rPr>
          <w:rFonts w:hint="cs"/>
          <w:i/>
          <w:sz w:val="23"/>
          <w:szCs w:val="23"/>
          <w:rtl/>
        </w:rPr>
        <w:t xml:space="preserve"> کاهش ارزش پول حقیقی داخلی</w:t>
      </w:r>
      <w:r w:rsidRPr="00A40DDC">
        <w:rPr>
          <w:rStyle w:val="FootnoteReference"/>
          <w:rFonts w:eastAsiaTheme="majorEastAsia"/>
          <w:i/>
          <w:sz w:val="23"/>
          <w:szCs w:val="23"/>
          <w:rtl/>
        </w:rPr>
        <w:footnoteReference w:id="180"/>
      </w:r>
      <w:r w:rsidRPr="00A40DDC">
        <w:rPr>
          <w:rFonts w:hint="cs"/>
          <w:i/>
          <w:sz w:val="23"/>
          <w:szCs w:val="23"/>
          <w:rtl/>
        </w:rPr>
        <w:t xml:space="preserve"> که منجر به افزایش توان رقابتی و صادرات خواهد شد. همچنین افزایش در نرخ ارز حقیقی</w:t>
      </w:r>
      <w:r w:rsidRPr="00A40DDC">
        <w:rPr>
          <w:position w:val="-8"/>
        </w:rPr>
        <w:object w:dxaOrig="240" w:dyaOrig="279" w14:anchorId="696D8988">
          <v:shape id="_x0000_i3816" type="#_x0000_t75" style="width:11.5pt;height:13.9pt" o:ole="">
            <v:imagedata r:id="rId5621" o:title=""/>
          </v:shape>
          <o:OLEObject Type="Embed" ProgID="Equation.DSMT4" ShapeID="_x0000_i3816" DrawAspect="Content" ObjectID="_1791377760" r:id="rId5622"/>
        </w:object>
      </w:r>
      <w:r w:rsidRPr="00A40DDC">
        <w:rPr>
          <w:rFonts w:hint="cs"/>
          <w:i/>
          <w:sz w:val="23"/>
          <w:szCs w:val="23"/>
          <w:rtl/>
        </w:rPr>
        <w:t xml:space="preserve"> مبین افزایش قدرت خرید ساکنین داخلی یا کاهش هزینه</w:t>
      </w:r>
      <w:r w:rsidRPr="00A40DDC">
        <w:rPr>
          <w:i/>
          <w:sz w:val="23"/>
          <w:szCs w:val="23"/>
          <w:rtl/>
        </w:rPr>
        <w:softHyphen/>
      </w:r>
      <w:r w:rsidRPr="00A40DDC">
        <w:rPr>
          <w:rFonts w:hint="cs"/>
          <w:i/>
          <w:sz w:val="23"/>
          <w:szCs w:val="23"/>
          <w:rtl/>
        </w:rPr>
        <w:t>های زندگی نسبت به دیگر کشورهای دنیا است.</w:t>
      </w:r>
    </w:p>
    <w:p w14:paraId="632AD1C8" w14:textId="77777777" w:rsidR="00411620" w:rsidRPr="00A40DDC" w:rsidRDefault="00411620" w:rsidP="00411620">
      <w:pPr>
        <w:tabs>
          <w:tab w:val="left" w:pos="3521"/>
        </w:tabs>
        <w:spacing w:line="216" w:lineRule="auto"/>
        <w:rPr>
          <w:i/>
          <w:sz w:val="23"/>
          <w:szCs w:val="23"/>
          <w:rtl/>
        </w:rPr>
      </w:pPr>
      <w:r w:rsidRPr="00A40DDC">
        <w:rPr>
          <w:i/>
          <w:sz w:val="23"/>
          <w:szCs w:val="23"/>
          <w:rtl/>
        </w:rPr>
        <w:t xml:space="preserve"> </w:t>
      </w:r>
    </w:p>
    <w:p w14:paraId="7CBED838" w14:textId="77777777" w:rsidR="00411620" w:rsidRPr="00A40DDC" w:rsidRDefault="00411620" w:rsidP="00411620">
      <w:pPr>
        <w:tabs>
          <w:tab w:val="left" w:pos="3521"/>
        </w:tabs>
        <w:spacing w:line="216" w:lineRule="auto"/>
        <w:rPr>
          <w:bCs/>
          <w:i/>
          <w:sz w:val="23"/>
          <w:szCs w:val="23"/>
          <w:rtl/>
        </w:rPr>
      </w:pPr>
      <w:r w:rsidRPr="00A40DDC">
        <w:rPr>
          <w:bCs/>
          <w:i/>
          <w:sz w:val="23"/>
          <w:szCs w:val="23"/>
          <w:rtl/>
        </w:rPr>
        <w:t>قانون قیمت</w:t>
      </w:r>
      <w:r w:rsidRPr="00A40DDC">
        <w:rPr>
          <w:rFonts w:hint="cs"/>
          <w:bCs/>
          <w:i/>
          <w:sz w:val="23"/>
          <w:szCs w:val="23"/>
          <w:rtl/>
        </w:rPr>
        <w:t xml:space="preserve"> واحد</w:t>
      </w:r>
    </w:p>
    <w:p w14:paraId="4079D222" w14:textId="77777777" w:rsidR="00411620" w:rsidRPr="00A40DDC" w:rsidRDefault="00411620" w:rsidP="00411620">
      <w:pPr>
        <w:tabs>
          <w:tab w:val="left" w:pos="3521"/>
        </w:tabs>
        <w:spacing w:line="216" w:lineRule="auto"/>
        <w:rPr>
          <w:i/>
          <w:sz w:val="23"/>
          <w:szCs w:val="23"/>
          <w:rtl/>
        </w:rPr>
      </w:pPr>
      <w:r w:rsidRPr="00A40DDC">
        <w:rPr>
          <w:i/>
          <w:sz w:val="23"/>
          <w:szCs w:val="23"/>
          <w:rtl/>
        </w:rPr>
        <w:t>بر اساس قانون ق</w:t>
      </w:r>
      <w:r w:rsidRPr="00A40DDC">
        <w:rPr>
          <w:rFonts w:hint="cs"/>
          <w:i/>
          <w:sz w:val="23"/>
          <w:szCs w:val="23"/>
          <w:rtl/>
        </w:rPr>
        <w:t>ی</w:t>
      </w:r>
      <w:r w:rsidRPr="00A40DDC">
        <w:rPr>
          <w:i/>
          <w:sz w:val="23"/>
          <w:szCs w:val="23"/>
          <w:rtl/>
        </w:rPr>
        <w:t xml:space="preserve">مت </w:t>
      </w:r>
      <w:r w:rsidRPr="00A40DDC">
        <w:rPr>
          <w:rFonts w:hint="cs"/>
          <w:i/>
          <w:sz w:val="23"/>
          <w:szCs w:val="23"/>
          <w:rtl/>
        </w:rPr>
        <w:t xml:space="preserve">واحد، قیمت </w:t>
      </w:r>
      <w:r w:rsidRPr="00A40DDC">
        <w:rPr>
          <w:i/>
          <w:sz w:val="23"/>
          <w:szCs w:val="23"/>
          <w:rtl/>
        </w:rPr>
        <w:t xml:space="preserve">کالاها و خدمات تجاری برحسب پول داخلی </w:t>
      </w:r>
      <w:r w:rsidRPr="00A40DDC">
        <w:rPr>
          <w:rFonts w:hint="cs"/>
          <w:i/>
          <w:sz w:val="23"/>
          <w:szCs w:val="23"/>
          <w:rtl/>
        </w:rPr>
        <w:t>یکسان خواهند بود.</w:t>
      </w:r>
      <w:r w:rsidRPr="00A40DDC">
        <w:rPr>
          <w:i/>
          <w:sz w:val="23"/>
          <w:szCs w:val="23"/>
          <w:rtl/>
        </w:rPr>
        <w:t xml:space="preserve"> این قانون از طریق خرید کالا در مکان ارزان</w:t>
      </w:r>
      <w:r w:rsidRPr="00A40DDC">
        <w:rPr>
          <w:i/>
          <w:sz w:val="23"/>
          <w:szCs w:val="23"/>
          <w:rtl/>
        </w:rPr>
        <w:softHyphen/>
        <w:t>تر و فروش آن در مکان گران</w:t>
      </w:r>
      <w:r w:rsidRPr="00A40DDC">
        <w:rPr>
          <w:i/>
          <w:sz w:val="23"/>
          <w:szCs w:val="23"/>
          <w:rtl/>
        </w:rPr>
        <w:softHyphen/>
        <w:t>تر بوجود می</w:t>
      </w:r>
      <w:r w:rsidRPr="00A40DDC">
        <w:rPr>
          <w:rFonts w:hint="cs"/>
          <w:i/>
          <w:sz w:val="23"/>
          <w:szCs w:val="23"/>
          <w:rtl/>
        </w:rPr>
        <w:t>‌</w:t>
      </w:r>
      <w:r w:rsidRPr="00A40DDC">
        <w:rPr>
          <w:i/>
          <w:sz w:val="23"/>
          <w:szCs w:val="23"/>
          <w:rtl/>
        </w:rPr>
        <w:t xml:space="preserve">آید </w:t>
      </w:r>
      <w:r w:rsidRPr="00A40DDC">
        <w:rPr>
          <w:rFonts w:hint="cs"/>
          <w:i/>
          <w:sz w:val="23"/>
          <w:szCs w:val="23"/>
          <w:rtl/>
        </w:rPr>
        <w:t>که بدان معامله</w:t>
      </w:r>
      <w:r w:rsidRPr="00A40DDC">
        <w:rPr>
          <w:i/>
          <w:sz w:val="23"/>
          <w:szCs w:val="23"/>
          <w:rtl/>
        </w:rPr>
        <w:softHyphen/>
      </w:r>
      <w:r w:rsidRPr="00A40DDC">
        <w:rPr>
          <w:rFonts w:hint="cs"/>
          <w:i/>
          <w:sz w:val="23"/>
          <w:szCs w:val="23"/>
          <w:rtl/>
        </w:rPr>
        <w:t>ی آربیتراژ کالایی</w:t>
      </w:r>
      <w:r w:rsidRPr="00A40DDC">
        <w:rPr>
          <w:rStyle w:val="FootnoteReference"/>
          <w:rFonts w:eastAsiaTheme="majorEastAsia"/>
          <w:i/>
          <w:sz w:val="23"/>
          <w:szCs w:val="23"/>
          <w:rtl/>
        </w:rPr>
        <w:footnoteReference w:id="181"/>
      </w:r>
      <w:r w:rsidRPr="00A40DDC">
        <w:rPr>
          <w:rFonts w:hint="cs"/>
          <w:i/>
          <w:sz w:val="23"/>
          <w:szCs w:val="23"/>
          <w:rtl/>
        </w:rPr>
        <w:t xml:space="preserve"> گویند</w:t>
      </w:r>
      <w:r w:rsidRPr="00A40DDC">
        <w:rPr>
          <w:i/>
          <w:sz w:val="23"/>
          <w:szCs w:val="23"/>
          <w:rtl/>
        </w:rPr>
        <w:t xml:space="preserve">. در این حالت </w:t>
      </w:r>
      <w:r w:rsidRPr="00A40DDC">
        <w:rPr>
          <w:rFonts w:hint="cs"/>
          <w:i/>
          <w:sz w:val="23"/>
          <w:szCs w:val="23"/>
          <w:rtl/>
        </w:rPr>
        <w:t>رابطه</w:t>
      </w:r>
      <w:r w:rsidRPr="00A40DDC">
        <w:rPr>
          <w:i/>
          <w:sz w:val="23"/>
          <w:szCs w:val="23"/>
          <w:rtl/>
        </w:rPr>
        <w:softHyphen/>
      </w:r>
      <w:r w:rsidRPr="00A40DDC">
        <w:rPr>
          <w:rFonts w:hint="cs"/>
          <w:i/>
          <w:sz w:val="23"/>
          <w:szCs w:val="23"/>
          <w:rtl/>
        </w:rPr>
        <w:t>ی مبادله</w:t>
      </w:r>
      <w:r w:rsidRPr="00A40DDC">
        <w:rPr>
          <w:i/>
          <w:sz w:val="23"/>
          <w:szCs w:val="23"/>
          <w:rtl/>
        </w:rPr>
        <w:softHyphen/>
      </w:r>
      <w:r w:rsidRPr="00A40DDC">
        <w:rPr>
          <w:rFonts w:hint="cs"/>
          <w:i/>
          <w:sz w:val="23"/>
          <w:szCs w:val="23"/>
          <w:rtl/>
        </w:rPr>
        <w:t>ی حقیقی در</w:t>
      </w:r>
      <w:r w:rsidRPr="00A40DDC">
        <w:rPr>
          <w:i/>
          <w:sz w:val="23"/>
          <w:szCs w:val="23"/>
          <w:rtl/>
        </w:rPr>
        <w:t xml:space="preserve"> کشورهای مختلف یکسان است و در طول زمان تغییر نخواهد کرد. لذا</w:t>
      </w:r>
    </w:p>
    <w:p w14:paraId="1C7F2A83" w14:textId="77777777" w:rsidR="00411620" w:rsidRPr="00A40DDC" w:rsidRDefault="00411620" w:rsidP="00411620">
      <w:pPr>
        <w:tabs>
          <w:tab w:val="left" w:pos="3521"/>
        </w:tabs>
        <w:bidi w:val="0"/>
        <w:spacing w:line="216" w:lineRule="auto"/>
        <w:rPr>
          <w:i/>
          <w:sz w:val="23"/>
          <w:szCs w:val="23"/>
          <w:rtl/>
        </w:rPr>
      </w:pPr>
      <w:r w:rsidRPr="00A40DDC">
        <w:rPr>
          <w:i/>
          <w:sz w:val="23"/>
          <w:szCs w:val="23"/>
          <w:rtl/>
        </w:rPr>
        <w:t xml:space="preserve"> </w:t>
      </w:r>
      <w:r w:rsidRPr="00A40DDC">
        <w:rPr>
          <w:position w:val="-8"/>
        </w:rPr>
        <w:object w:dxaOrig="2360" w:dyaOrig="320" w14:anchorId="2A421839">
          <v:shape id="_x0000_i3817" type="#_x0000_t75" style="width:118pt;height:15.75pt" o:ole="">
            <v:imagedata r:id="rId5623" o:title=""/>
          </v:shape>
          <o:OLEObject Type="Embed" ProgID="Equation.DSMT4" ShapeID="_x0000_i3817" DrawAspect="Content" ObjectID="_1791377761" r:id="rId5624"/>
        </w:object>
      </w:r>
      <w:r w:rsidRPr="00A40DDC">
        <w:rPr>
          <w:i/>
          <w:sz w:val="23"/>
          <w:szCs w:val="23"/>
          <w:rtl/>
        </w:rPr>
        <w:t xml:space="preserve"> </w:t>
      </w:r>
    </w:p>
    <w:p w14:paraId="558E93FE" w14:textId="77777777" w:rsidR="00411620" w:rsidRPr="00A40DDC" w:rsidRDefault="00411620" w:rsidP="00411620">
      <w:pPr>
        <w:tabs>
          <w:tab w:val="left" w:pos="3521"/>
        </w:tabs>
        <w:spacing w:line="216" w:lineRule="auto"/>
        <w:rPr>
          <w:i/>
          <w:sz w:val="23"/>
          <w:szCs w:val="23"/>
          <w:rtl/>
        </w:rPr>
      </w:pPr>
      <w:r w:rsidRPr="00A40DDC">
        <w:rPr>
          <w:rFonts w:hint="cs"/>
          <w:i/>
          <w:sz w:val="23"/>
          <w:szCs w:val="23"/>
          <w:rtl/>
        </w:rPr>
        <w:t>چنانچه در</w:t>
      </w:r>
      <w:r w:rsidRPr="00A40DDC">
        <w:rPr>
          <w:i/>
          <w:sz w:val="23"/>
          <w:szCs w:val="23"/>
          <w:rtl/>
        </w:rPr>
        <w:t xml:space="preserve"> داخل و خارج کالاهای مختلف تولید </w:t>
      </w:r>
      <w:r w:rsidRPr="00A40DDC">
        <w:rPr>
          <w:rFonts w:hint="cs"/>
          <w:i/>
          <w:sz w:val="23"/>
          <w:szCs w:val="23"/>
          <w:rtl/>
        </w:rPr>
        <w:t>شود،</w:t>
      </w:r>
      <w:r w:rsidRPr="00A40DDC">
        <w:rPr>
          <w:i/>
          <w:sz w:val="23"/>
          <w:szCs w:val="23"/>
          <w:rtl/>
        </w:rPr>
        <w:t xml:space="preserve"> آنگاه قانون ق</w:t>
      </w:r>
      <w:r w:rsidRPr="00A40DDC">
        <w:rPr>
          <w:rFonts w:hint="cs"/>
          <w:i/>
          <w:sz w:val="23"/>
          <w:szCs w:val="23"/>
          <w:rtl/>
        </w:rPr>
        <w:t>ی</w:t>
      </w:r>
      <w:r w:rsidRPr="00A40DDC">
        <w:rPr>
          <w:i/>
          <w:sz w:val="23"/>
          <w:szCs w:val="23"/>
          <w:rtl/>
        </w:rPr>
        <w:t xml:space="preserve">مت </w:t>
      </w:r>
      <w:r w:rsidRPr="00A40DDC">
        <w:rPr>
          <w:rFonts w:hint="cs"/>
          <w:i/>
          <w:sz w:val="23"/>
          <w:szCs w:val="23"/>
          <w:rtl/>
        </w:rPr>
        <w:t xml:space="preserve">واحد </w:t>
      </w:r>
      <w:r w:rsidRPr="00A40DDC">
        <w:rPr>
          <w:i/>
          <w:sz w:val="23"/>
          <w:szCs w:val="23"/>
          <w:rtl/>
        </w:rPr>
        <w:t xml:space="preserve">مبین ثابت بودن </w:t>
      </w:r>
      <w:r w:rsidRPr="00A40DDC">
        <w:rPr>
          <w:rFonts w:hint="cs"/>
          <w:i/>
          <w:sz w:val="23"/>
          <w:szCs w:val="23"/>
          <w:rtl/>
        </w:rPr>
        <w:t>رابطه</w:t>
      </w:r>
      <w:r w:rsidRPr="00A40DDC">
        <w:rPr>
          <w:i/>
          <w:sz w:val="23"/>
          <w:szCs w:val="23"/>
          <w:rtl/>
        </w:rPr>
        <w:softHyphen/>
      </w:r>
      <w:r w:rsidRPr="00A40DDC">
        <w:rPr>
          <w:rFonts w:hint="cs"/>
          <w:i/>
          <w:sz w:val="23"/>
          <w:szCs w:val="23"/>
          <w:rtl/>
        </w:rPr>
        <w:t>ی مبادله</w:t>
      </w:r>
      <w:r w:rsidRPr="00A40DDC">
        <w:rPr>
          <w:i/>
          <w:sz w:val="23"/>
          <w:szCs w:val="23"/>
          <w:rtl/>
        </w:rPr>
        <w:softHyphen/>
      </w:r>
      <w:r w:rsidRPr="00A40DDC">
        <w:rPr>
          <w:rFonts w:hint="cs"/>
          <w:i/>
          <w:sz w:val="23"/>
          <w:szCs w:val="23"/>
          <w:rtl/>
        </w:rPr>
        <w:t xml:space="preserve">ی حقیقی </w:t>
      </w:r>
      <w:r w:rsidRPr="00A40DDC">
        <w:rPr>
          <w:i/>
          <w:sz w:val="23"/>
          <w:szCs w:val="23"/>
          <w:rtl/>
        </w:rPr>
        <w:t>نیست.</w:t>
      </w:r>
    </w:p>
    <w:p w14:paraId="59D05E26" w14:textId="77777777" w:rsidR="00411620" w:rsidRPr="00A40DDC" w:rsidRDefault="00411620" w:rsidP="00411620">
      <w:pPr>
        <w:tabs>
          <w:tab w:val="left" w:pos="3521"/>
        </w:tabs>
        <w:spacing w:line="216" w:lineRule="auto"/>
        <w:rPr>
          <w:i/>
          <w:sz w:val="23"/>
          <w:szCs w:val="23"/>
          <w:rtl/>
        </w:rPr>
      </w:pPr>
    </w:p>
    <w:p w14:paraId="29B8C0B5" w14:textId="77777777" w:rsidR="00411620" w:rsidRPr="00A40DDC" w:rsidRDefault="00411620" w:rsidP="00411620">
      <w:pPr>
        <w:tabs>
          <w:tab w:val="left" w:pos="3521"/>
        </w:tabs>
        <w:spacing w:line="216" w:lineRule="auto"/>
        <w:rPr>
          <w:bCs/>
          <w:i/>
          <w:sz w:val="23"/>
          <w:szCs w:val="23"/>
          <w:rtl/>
        </w:rPr>
      </w:pPr>
      <w:r w:rsidRPr="00A40DDC">
        <w:rPr>
          <w:bCs/>
          <w:i/>
          <w:sz w:val="23"/>
          <w:szCs w:val="23"/>
          <w:rtl/>
        </w:rPr>
        <w:t>برابری قدرت خرید</w:t>
      </w:r>
      <w:r w:rsidRPr="00A40DDC">
        <w:rPr>
          <w:rStyle w:val="FootnoteReference"/>
          <w:rFonts w:eastAsiaTheme="majorEastAsia"/>
          <w:bCs/>
          <w:i/>
          <w:sz w:val="23"/>
          <w:szCs w:val="23"/>
          <w:rtl/>
        </w:rPr>
        <w:footnoteReference w:id="182"/>
      </w:r>
      <w:r w:rsidRPr="00A40DDC">
        <w:rPr>
          <w:bCs/>
          <w:i/>
          <w:sz w:val="23"/>
          <w:szCs w:val="23"/>
          <w:rtl/>
        </w:rPr>
        <w:t xml:space="preserve"> </w:t>
      </w:r>
    </w:p>
    <w:p w14:paraId="2FC59E9F" w14:textId="77777777" w:rsidR="00411620" w:rsidRPr="00A40DDC" w:rsidRDefault="00411620" w:rsidP="00411620">
      <w:pPr>
        <w:tabs>
          <w:tab w:val="left" w:pos="3521"/>
        </w:tabs>
        <w:spacing w:line="216" w:lineRule="auto"/>
        <w:rPr>
          <w:i/>
          <w:sz w:val="23"/>
          <w:szCs w:val="23"/>
          <w:rtl/>
        </w:rPr>
      </w:pPr>
      <w:r w:rsidRPr="00A40DDC">
        <w:rPr>
          <w:rFonts w:hint="cs"/>
          <w:i/>
          <w:sz w:val="23"/>
          <w:szCs w:val="23"/>
          <w:rtl/>
        </w:rPr>
        <w:lastRenderedPageBreak/>
        <w:t>برابری قدرت خرید هنگامی اتفاق می</w:t>
      </w:r>
      <w:r w:rsidRPr="00A40DDC">
        <w:rPr>
          <w:i/>
          <w:sz w:val="23"/>
          <w:szCs w:val="23"/>
          <w:rtl/>
        </w:rPr>
        <w:softHyphen/>
      </w:r>
      <w:r w:rsidRPr="00A40DDC">
        <w:rPr>
          <w:rFonts w:hint="cs"/>
          <w:i/>
          <w:sz w:val="23"/>
          <w:szCs w:val="23"/>
          <w:rtl/>
        </w:rPr>
        <w:t>افتد ک</w:t>
      </w:r>
      <w:r w:rsidRPr="00A40DDC">
        <w:rPr>
          <w:i/>
          <w:sz w:val="23"/>
          <w:szCs w:val="23"/>
          <w:rtl/>
        </w:rPr>
        <w:t xml:space="preserve">ه قدرت خرید افراد داخلی و خارجی </w:t>
      </w:r>
      <w:r w:rsidRPr="00A40DDC">
        <w:rPr>
          <w:rFonts w:hint="cs"/>
          <w:i/>
          <w:sz w:val="23"/>
          <w:szCs w:val="23"/>
          <w:rtl/>
        </w:rPr>
        <w:t xml:space="preserve">یا </w:t>
      </w:r>
      <w:r w:rsidRPr="00A40DDC">
        <w:rPr>
          <w:i/>
          <w:sz w:val="23"/>
          <w:szCs w:val="23"/>
          <w:rtl/>
        </w:rPr>
        <w:t>نرخ ارز حقیقی ثابت باش</w:t>
      </w:r>
      <w:r w:rsidRPr="00A40DDC">
        <w:rPr>
          <w:rFonts w:hint="cs"/>
          <w:i/>
          <w:sz w:val="23"/>
          <w:szCs w:val="23"/>
          <w:rtl/>
        </w:rPr>
        <w:t>د. نسخه</w:t>
      </w:r>
      <w:r w:rsidRPr="00A40DDC">
        <w:rPr>
          <w:i/>
          <w:sz w:val="23"/>
          <w:szCs w:val="23"/>
          <w:rtl/>
        </w:rPr>
        <w:softHyphen/>
      </w:r>
      <w:r w:rsidRPr="00A40DDC">
        <w:rPr>
          <w:rFonts w:hint="cs"/>
          <w:i/>
          <w:sz w:val="23"/>
          <w:szCs w:val="23"/>
          <w:rtl/>
        </w:rPr>
        <w:t>ی</w:t>
      </w:r>
      <w:r w:rsidRPr="00A40DDC">
        <w:rPr>
          <w:i/>
          <w:sz w:val="23"/>
          <w:szCs w:val="23"/>
          <w:rtl/>
        </w:rPr>
        <w:t xml:space="preserve"> ضعیف </w:t>
      </w:r>
      <w:r w:rsidRPr="00A40DDC">
        <w:rPr>
          <w:rFonts w:hint="cs"/>
          <w:i/>
          <w:sz w:val="23"/>
          <w:szCs w:val="23"/>
          <w:rtl/>
        </w:rPr>
        <w:t>برابری قدرت خرید</w:t>
      </w:r>
      <w:r w:rsidRPr="00A40DDC">
        <w:rPr>
          <w:i/>
          <w:sz w:val="23"/>
          <w:szCs w:val="23"/>
          <w:rtl/>
        </w:rPr>
        <w:t xml:space="preserve"> مبین آن است که</w:t>
      </w:r>
      <w:r w:rsidRPr="00A40DDC">
        <w:rPr>
          <w:rFonts w:hint="cs"/>
          <w:i/>
          <w:sz w:val="23"/>
          <w:szCs w:val="23"/>
          <w:rtl/>
        </w:rPr>
        <w:t xml:space="preserve"> </w:t>
      </w:r>
      <w:r w:rsidRPr="00A40DDC">
        <w:rPr>
          <w:i/>
          <w:sz w:val="23"/>
          <w:szCs w:val="23"/>
          <w:rtl/>
        </w:rPr>
        <w:t>نرخ ارز حقیقی فقط در بلند</w:t>
      </w:r>
      <w:r w:rsidRPr="00A40DDC">
        <w:rPr>
          <w:rFonts w:hint="cs"/>
          <w:i/>
          <w:sz w:val="23"/>
          <w:szCs w:val="23"/>
          <w:rtl/>
        </w:rPr>
        <w:t>‌</w:t>
      </w:r>
      <w:r w:rsidRPr="00A40DDC">
        <w:rPr>
          <w:i/>
          <w:sz w:val="23"/>
          <w:szCs w:val="23"/>
          <w:rtl/>
        </w:rPr>
        <w:t>مدت ثابت است</w:t>
      </w:r>
      <w:r w:rsidRPr="00A40DDC">
        <w:rPr>
          <w:rFonts w:hint="cs"/>
          <w:i/>
          <w:sz w:val="23"/>
          <w:szCs w:val="23"/>
          <w:rtl/>
        </w:rPr>
        <w:t>،</w:t>
      </w:r>
      <w:r w:rsidRPr="00A40DDC">
        <w:rPr>
          <w:i/>
          <w:sz w:val="23"/>
          <w:szCs w:val="23"/>
          <w:rtl/>
        </w:rPr>
        <w:t xml:space="preserve"> و </w:t>
      </w:r>
      <w:r w:rsidRPr="00A40DDC">
        <w:rPr>
          <w:rFonts w:hint="cs"/>
          <w:i/>
          <w:sz w:val="23"/>
          <w:szCs w:val="23"/>
          <w:rtl/>
        </w:rPr>
        <w:t xml:space="preserve">برابری قدرت خرید </w:t>
      </w:r>
      <w:r w:rsidRPr="00A40DDC">
        <w:rPr>
          <w:i/>
          <w:sz w:val="23"/>
          <w:szCs w:val="23"/>
          <w:rtl/>
        </w:rPr>
        <w:t xml:space="preserve">نسبی </w:t>
      </w:r>
      <w:r w:rsidRPr="00A40DDC">
        <w:rPr>
          <w:rFonts w:hint="cs"/>
          <w:i/>
          <w:sz w:val="23"/>
          <w:szCs w:val="23"/>
          <w:rtl/>
        </w:rPr>
        <w:t>م</w:t>
      </w:r>
      <w:r w:rsidRPr="00A40DDC">
        <w:rPr>
          <w:i/>
          <w:sz w:val="23"/>
          <w:szCs w:val="23"/>
          <w:rtl/>
        </w:rPr>
        <w:t xml:space="preserve">بین آن که تغییرات </w:t>
      </w:r>
      <w:r w:rsidRPr="00A40DDC">
        <w:rPr>
          <w:rFonts w:hint="cs"/>
          <w:i/>
          <w:sz w:val="23"/>
          <w:szCs w:val="23"/>
          <w:rtl/>
        </w:rPr>
        <w:t>نرخ ارز حقیقی</w:t>
      </w:r>
      <w:r w:rsidRPr="00A40DDC">
        <w:rPr>
          <w:i/>
          <w:sz w:val="23"/>
          <w:szCs w:val="23"/>
          <w:rtl/>
        </w:rPr>
        <w:t xml:space="preserve"> ثابت</w:t>
      </w:r>
      <w:r w:rsidRPr="00A40DDC">
        <w:rPr>
          <w:rFonts w:hint="cs"/>
          <w:i/>
          <w:sz w:val="23"/>
          <w:szCs w:val="23"/>
          <w:rtl/>
        </w:rPr>
        <w:t xml:space="preserve"> باشد</w:t>
      </w:r>
      <w:r w:rsidRPr="00A40DDC">
        <w:rPr>
          <w:i/>
          <w:sz w:val="23"/>
          <w:szCs w:val="23"/>
          <w:rtl/>
        </w:rPr>
        <w:t>.</w:t>
      </w:r>
      <w:r w:rsidRPr="00A40DDC">
        <w:rPr>
          <w:rFonts w:hint="cs"/>
          <w:i/>
          <w:sz w:val="23"/>
          <w:szCs w:val="23"/>
          <w:rtl/>
        </w:rPr>
        <w:t xml:space="preserve"> </w:t>
      </w:r>
      <w:r w:rsidRPr="00A40DDC">
        <w:rPr>
          <w:i/>
          <w:sz w:val="23"/>
          <w:szCs w:val="23"/>
          <w:rtl/>
        </w:rPr>
        <w:t xml:space="preserve">درواقع دلیلی وجود ندارد که </w:t>
      </w:r>
      <w:r w:rsidRPr="00A40DDC">
        <w:rPr>
          <w:i/>
          <w:sz w:val="23"/>
          <w:szCs w:val="23"/>
        </w:rPr>
        <w:t>Q</w:t>
      </w:r>
      <w:r w:rsidRPr="00A40DDC">
        <w:rPr>
          <w:i/>
          <w:sz w:val="23"/>
          <w:szCs w:val="23"/>
          <w:rtl/>
        </w:rPr>
        <w:t xml:space="preserve"> حتی در بلند</w:t>
      </w:r>
      <w:r w:rsidRPr="00A40DDC">
        <w:rPr>
          <w:rFonts w:hint="cs"/>
          <w:i/>
          <w:sz w:val="23"/>
          <w:szCs w:val="23"/>
          <w:rtl/>
        </w:rPr>
        <w:t>‌</w:t>
      </w:r>
      <w:r w:rsidRPr="00A40DDC">
        <w:rPr>
          <w:i/>
          <w:sz w:val="23"/>
          <w:szCs w:val="23"/>
          <w:rtl/>
        </w:rPr>
        <w:t xml:space="preserve">مدت ثابت باشد. تغییرات </w:t>
      </w:r>
      <w:r w:rsidRPr="00A40DDC">
        <w:rPr>
          <w:i/>
          <w:sz w:val="23"/>
          <w:szCs w:val="23"/>
        </w:rPr>
        <w:t>Q</w:t>
      </w:r>
      <w:r w:rsidRPr="00A40DDC">
        <w:rPr>
          <w:i/>
          <w:sz w:val="23"/>
          <w:szCs w:val="23"/>
          <w:rtl/>
        </w:rPr>
        <w:t xml:space="preserve"> ممکن است بر اساس تغییرات قیمت کالاهای تجاری، </w:t>
      </w:r>
      <w:r w:rsidRPr="00A40DDC">
        <w:rPr>
          <w:rFonts w:hint="cs"/>
          <w:i/>
          <w:sz w:val="23"/>
          <w:szCs w:val="23"/>
          <w:rtl/>
        </w:rPr>
        <w:t xml:space="preserve">قیمت کالاهای </w:t>
      </w:r>
      <w:r w:rsidRPr="00A40DDC">
        <w:rPr>
          <w:i/>
          <w:sz w:val="23"/>
          <w:szCs w:val="23"/>
          <w:rtl/>
        </w:rPr>
        <w:t xml:space="preserve">غیرتجاری و یا </w:t>
      </w:r>
      <w:r w:rsidRPr="00A40DDC">
        <w:rPr>
          <w:rFonts w:hint="cs"/>
          <w:i/>
          <w:sz w:val="23"/>
          <w:szCs w:val="23"/>
          <w:rtl/>
        </w:rPr>
        <w:t>نرخ</w:t>
      </w:r>
      <w:r w:rsidRPr="00A40DDC">
        <w:rPr>
          <w:i/>
          <w:sz w:val="23"/>
          <w:szCs w:val="23"/>
          <w:rtl/>
        </w:rPr>
        <w:t xml:space="preserve"> </w:t>
      </w:r>
      <w:r w:rsidRPr="00A40DDC">
        <w:rPr>
          <w:rFonts w:hint="cs"/>
          <w:i/>
          <w:sz w:val="23"/>
          <w:szCs w:val="23"/>
          <w:rtl/>
        </w:rPr>
        <w:t xml:space="preserve">ارز اسمی </w:t>
      </w:r>
      <w:r w:rsidRPr="00A40DDC">
        <w:rPr>
          <w:i/>
          <w:sz w:val="23"/>
          <w:szCs w:val="23"/>
          <w:rtl/>
        </w:rPr>
        <w:t>بوجود آید.</w:t>
      </w:r>
    </w:p>
    <w:p w14:paraId="4B62FC73" w14:textId="77777777" w:rsidR="00411620" w:rsidRPr="00A40DDC" w:rsidRDefault="00411620" w:rsidP="00411620">
      <w:pPr>
        <w:tabs>
          <w:tab w:val="left" w:pos="3521"/>
        </w:tabs>
        <w:spacing w:line="216" w:lineRule="auto"/>
        <w:rPr>
          <w:i/>
          <w:sz w:val="23"/>
          <w:szCs w:val="23"/>
          <w:rtl/>
        </w:rPr>
      </w:pPr>
      <w:r w:rsidRPr="00A40DDC">
        <w:rPr>
          <w:rFonts w:hint="cs"/>
          <w:i/>
          <w:sz w:val="23"/>
          <w:szCs w:val="23"/>
          <w:rtl/>
        </w:rPr>
        <w:t>برای</w:t>
      </w:r>
      <w:r w:rsidRPr="00A40DDC">
        <w:rPr>
          <w:i/>
          <w:sz w:val="23"/>
          <w:szCs w:val="23"/>
          <w:rtl/>
        </w:rPr>
        <w:t xml:space="preserve"> سهولت فرض </w:t>
      </w:r>
      <w:r w:rsidRPr="00A40DDC">
        <w:rPr>
          <w:rFonts w:hint="cs"/>
          <w:i/>
          <w:sz w:val="23"/>
          <w:szCs w:val="23"/>
          <w:rtl/>
        </w:rPr>
        <w:t>می</w:t>
      </w:r>
      <w:r w:rsidRPr="00A40DDC">
        <w:rPr>
          <w:i/>
          <w:sz w:val="23"/>
          <w:szCs w:val="23"/>
          <w:rtl/>
        </w:rPr>
        <w:softHyphen/>
        <w:t xml:space="preserve">کنیم </w:t>
      </w:r>
      <w:r w:rsidRPr="00A40DDC">
        <w:rPr>
          <w:rFonts w:hint="cs"/>
          <w:i/>
          <w:sz w:val="23"/>
          <w:szCs w:val="23"/>
          <w:rtl/>
        </w:rPr>
        <w:t xml:space="preserve">پارامترهای </w:t>
      </w:r>
      <w:r w:rsidRPr="00A40DDC">
        <w:rPr>
          <w:i/>
          <w:sz w:val="23"/>
          <w:szCs w:val="23"/>
          <w:rtl/>
        </w:rPr>
        <w:t>داخلی و خارجی یعنی</w:t>
      </w:r>
      <w:r w:rsidRPr="00A40DDC">
        <w:rPr>
          <w:position w:val="-6"/>
        </w:rPr>
        <w:object w:dxaOrig="600" w:dyaOrig="300" w14:anchorId="44A8192D">
          <v:shape id="_x0000_i3818" type="#_x0000_t75" style="width:29.65pt;height:14.5pt" o:ole="">
            <v:imagedata r:id="rId5625" o:title=""/>
          </v:shape>
          <o:OLEObject Type="Embed" ProgID="Equation.DSMT4" ShapeID="_x0000_i3818" DrawAspect="Content" ObjectID="_1791377762" r:id="rId5626"/>
        </w:object>
      </w:r>
      <w:r w:rsidRPr="00A40DDC">
        <w:rPr>
          <w:i/>
          <w:sz w:val="23"/>
          <w:szCs w:val="23"/>
          <w:rtl/>
        </w:rPr>
        <w:t xml:space="preserve"> و</w:t>
      </w:r>
      <w:r w:rsidRPr="00A40DDC">
        <w:rPr>
          <w:position w:val="-10"/>
        </w:rPr>
        <w:object w:dxaOrig="580" w:dyaOrig="340" w14:anchorId="7FDA9E59">
          <v:shape id="_x0000_i3819" type="#_x0000_t75" style="width:29.05pt;height:16.95pt" o:ole="">
            <v:imagedata r:id="rId5627" o:title=""/>
          </v:shape>
          <o:OLEObject Type="Embed" ProgID="Equation.DSMT4" ShapeID="_x0000_i3819" DrawAspect="Content" ObjectID="_1791377763" r:id="rId5628"/>
        </w:object>
      </w:r>
      <w:r w:rsidRPr="00A40DDC">
        <w:rPr>
          <w:i/>
          <w:sz w:val="23"/>
          <w:szCs w:val="23"/>
          <w:rtl/>
        </w:rPr>
        <w:t xml:space="preserve"> یکسانند</w:t>
      </w:r>
      <w:r w:rsidRPr="00A40DDC">
        <w:rPr>
          <w:rFonts w:hint="cs"/>
          <w:i/>
          <w:sz w:val="23"/>
          <w:szCs w:val="23"/>
          <w:rtl/>
        </w:rPr>
        <w:t>،</w:t>
      </w:r>
      <w:r w:rsidRPr="00A40DDC">
        <w:rPr>
          <w:i/>
          <w:sz w:val="23"/>
          <w:szCs w:val="23"/>
          <w:rtl/>
        </w:rPr>
        <w:t xml:space="preserve"> آنگاه از </w:t>
      </w:r>
      <w:r w:rsidRPr="00A40DDC">
        <w:rPr>
          <w:rFonts w:hint="cs"/>
          <w:i/>
          <w:sz w:val="23"/>
          <w:szCs w:val="23"/>
          <w:rtl/>
        </w:rPr>
        <w:t>آن</w:t>
      </w:r>
      <w:r w:rsidRPr="00A40DDC">
        <w:rPr>
          <w:i/>
          <w:sz w:val="23"/>
          <w:szCs w:val="23"/>
          <w:rtl/>
        </w:rPr>
        <w:softHyphen/>
      </w:r>
      <w:r w:rsidRPr="00A40DDC">
        <w:rPr>
          <w:rFonts w:hint="cs"/>
          <w:i/>
          <w:sz w:val="23"/>
          <w:szCs w:val="23"/>
          <w:rtl/>
        </w:rPr>
        <w:t xml:space="preserve">جا که داشتیم </w:t>
      </w:r>
    </w:p>
    <w:p w14:paraId="2F7B9495" w14:textId="77777777" w:rsidR="00411620" w:rsidRPr="00A40DDC" w:rsidRDefault="00411620" w:rsidP="00411620">
      <w:pPr>
        <w:pStyle w:val="MTDisplayEquation"/>
        <w:spacing w:line="216" w:lineRule="auto"/>
        <w:rPr>
          <w:rFonts w:ascii="Times New Roman" w:hAnsi="Times New Roman" w:cs="B Nazanin"/>
          <w:i/>
          <w:sz w:val="23"/>
          <w:szCs w:val="23"/>
          <w:rtl/>
        </w:rPr>
      </w:pPr>
      <w:r w:rsidRPr="00A40DDC">
        <w:rPr>
          <w:position w:val="-22"/>
        </w:rPr>
        <w:object w:dxaOrig="880" w:dyaOrig="600" w14:anchorId="00F9B5B8">
          <v:shape id="_x0000_i3820" type="#_x0000_t75" style="width:44.15pt;height:29.65pt" o:ole="">
            <v:imagedata r:id="rId5629" o:title=""/>
          </v:shape>
          <o:OLEObject Type="Embed" ProgID="Equation.DSMT4" ShapeID="_x0000_i3820" DrawAspect="Content" ObjectID="_1791377764" r:id="rId5630"/>
        </w:object>
      </w:r>
    </w:p>
    <w:p w14:paraId="32FFD293" w14:textId="77777777" w:rsidR="00411620" w:rsidRPr="00A40DDC" w:rsidRDefault="00411620" w:rsidP="00411620">
      <w:pPr>
        <w:pStyle w:val="MTDisplayEquation"/>
        <w:spacing w:line="216" w:lineRule="auto"/>
        <w:rPr>
          <w:rFonts w:ascii="Times New Roman" w:hAnsi="Times New Roman" w:cs="B Nazanin"/>
          <w:i/>
          <w:sz w:val="23"/>
          <w:szCs w:val="23"/>
          <w:rtl/>
        </w:rPr>
      </w:pPr>
      <w:r w:rsidRPr="00A40DDC">
        <w:rPr>
          <w:position w:val="-40"/>
        </w:rPr>
        <w:object w:dxaOrig="4020" w:dyaOrig="960" w14:anchorId="06BD1137">
          <v:shape id="_x0000_i3821" type="#_x0000_t75" style="width:200.85pt;height:47.8pt" o:ole="">
            <v:imagedata r:id="rId5631" o:title=""/>
          </v:shape>
          <o:OLEObject Type="Embed" ProgID="Equation.DSMT4" ShapeID="_x0000_i3821" DrawAspect="Content" ObjectID="_1791377765" r:id="rId5632"/>
        </w:object>
      </w:r>
    </w:p>
    <w:p w14:paraId="1B3E1EF5" w14:textId="77777777" w:rsidR="00411620" w:rsidRPr="00A40DDC" w:rsidRDefault="00411620" w:rsidP="00411620">
      <w:pPr>
        <w:pStyle w:val="MTDisplayEquation"/>
        <w:spacing w:line="216" w:lineRule="auto"/>
        <w:rPr>
          <w:rFonts w:ascii="Times New Roman" w:hAnsi="Times New Roman" w:cs="B Nazanin"/>
          <w:i/>
          <w:sz w:val="23"/>
          <w:szCs w:val="23"/>
          <w:rtl/>
        </w:rPr>
      </w:pPr>
      <w:r w:rsidRPr="00A40DDC">
        <w:rPr>
          <w:position w:val="-34"/>
        </w:rPr>
        <w:object w:dxaOrig="5740" w:dyaOrig="840" w14:anchorId="1E4A1565">
          <v:shape id="_x0000_i3822" type="#_x0000_t75" style="width:286.8pt;height:41.75pt" o:ole="">
            <v:imagedata r:id="rId5633" o:title=""/>
          </v:shape>
          <o:OLEObject Type="Embed" ProgID="Equation.DSMT4" ShapeID="_x0000_i3822" DrawAspect="Content" ObjectID="_1791377766" r:id="rId5634"/>
        </w:object>
      </w:r>
    </w:p>
    <w:p w14:paraId="39365068" w14:textId="77777777" w:rsidR="00411620" w:rsidRPr="00A40DDC" w:rsidRDefault="00411620" w:rsidP="00411620">
      <w:pPr>
        <w:tabs>
          <w:tab w:val="left" w:pos="3521"/>
        </w:tabs>
        <w:spacing w:line="216" w:lineRule="auto"/>
        <w:rPr>
          <w:i/>
          <w:sz w:val="23"/>
          <w:szCs w:val="23"/>
          <w:rtl/>
        </w:rPr>
      </w:pPr>
      <w:r w:rsidRPr="00A40DDC">
        <w:rPr>
          <w:i/>
          <w:sz w:val="23"/>
          <w:szCs w:val="23"/>
          <w:rtl/>
        </w:rPr>
        <w:t>در رابطه فوق</w:t>
      </w:r>
      <w:r w:rsidRPr="00A40DDC">
        <w:rPr>
          <w:position w:val="-22"/>
        </w:rPr>
        <w:object w:dxaOrig="580" w:dyaOrig="600" w14:anchorId="1B237B54">
          <v:shape id="_x0000_i3823" type="#_x0000_t75" style="width:29.05pt;height:29.65pt" o:ole="">
            <v:imagedata r:id="rId5635" o:title=""/>
          </v:shape>
          <o:OLEObject Type="Embed" ProgID="Equation.DSMT4" ShapeID="_x0000_i3823" DrawAspect="Content" ObjectID="_1791377767" r:id="rId5636"/>
        </w:object>
      </w:r>
      <w:r w:rsidRPr="00A40DDC">
        <w:rPr>
          <w:i/>
          <w:sz w:val="23"/>
          <w:szCs w:val="23"/>
          <w:rtl/>
        </w:rPr>
        <w:t xml:space="preserve"> همان</w:t>
      </w:r>
      <w:r w:rsidRPr="00A40DDC">
        <w:rPr>
          <w:rFonts w:hint="cs"/>
          <w:i/>
          <w:sz w:val="23"/>
          <w:szCs w:val="23"/>
          <w:rtl/>
        </w:rPr>
        <w:t xml:space="preserve"> رابطه</w:t>
      </w:r>
      <w:r w:rsidRPr="00A40DDC">
        <w:rPr>
          <w:i/>
          <w:sz w:val="23"/>
          <w:szCs w:val="23"/>
          <w:rtl/>
        </w:rPr>
        <w:softHyphen/>
      </w:r>
      <w:r w:rsidRPr="00A40DDC">
        <w:rPr>
          <w:rFonts w:hint="cs"/>
          <w:i/>
          <w:sz w:val="23"/>
          <w:szCs w:val="23"/>
          <w:rtl/>
        </w:rPr>
        <w:t>ی مبادله</w:t>
      </w:r>
      <w:r w:rsidRPr="00A40DDC">
        <w:rPr>
          <w:i/>
          <w:sz w:val="23"/>
          <w:szCs w:val="23"/>
          <w:rtl/>
        </w:rPr>
        <w:softHyphen/>
      </w:r>
      <w:r w:rsidRPr="00A40DDC">
        <w:rPr>
          <w:rFonts w:hint="cs"/>
          <w:i/>
          <w:sz w:val="23"/>
          <w:szCs w:val="23"/>
          <w:rtl/>
        </w:rPr>
        <w:t>ی حقیقی</w:t>
      </w:r>
      <w:r w:rsidRPr="00A40DDC">
        <w:rPr>
          <w:i/>
          <w:sz w:val="23"/>
          <w:szCs w:val="23"/>
        </w:rPr>
        <w:t xml:space="preserve"> </w:t>
      </w:r>
      <w:r w:rsidRPr="00A40DDC">
        <w:rPr>
          <w:rFonts w:hint="cs"/>
          <w:i/>
          <w:sz w:val="23"/>
          <w:szCs w:val="23"/>
          <w:rtl/>
        </w:rPr>
        <w:t>یا</w:t>
      </w:r>
      <w:r w:rsidRPr="00A40DDC">
        <w:rPr>
          <w:position w:val="-6"/>
        </w:rPr>
        <w:object w:dxaOrig="540" w:dyaOrig="260" w14:anchorId="3B3F071E">
          <v:shape id="_x0000_i3824" type="#_x0000_t75" style="width:26.6pt;height:13.3pt" o:ole="">
            <v:imagedata r:id="rId5637" o:title=""/>
          </v:shape>
          <o:OLEObject Type="Embed" ProgID="Equation.DSMT4" ShapeID="_x0000_i3824" DrawAspect="Content" ObjectID="_1791377768" r:id="rId5638"/>
        </w:object>
      </w:r>
      <w:r w:rsidRPr="00A40DDC">
        <w:rPr>
          <w:i/>
          <w:sz w:val="23"/>
          <w:szCs w:val="23"/>
          <w:rtl/>
        </w:rPr>
        <w:t xml:space="preserve"> است . </w:t>
      </w:r>
      <w:r w:rsidRPr="00A40DDC">
        <w:rPr>
          <w:rFonts w:hint="cs"/>
          <w:i/>
          <w:sz w:val="23"/>
          <w:szCs w:val="23"/>
          <w:rtl/>
        </w:rPr>
        <w:t>بنابراین</w:t>
      </w:r>
      <w:r w:rsidRPr="00A40DDC">
        <w:rPr>
          <w:position w:val="-8"/>
        </w:rPr>
        <w:object w:dxaOrig="240" w:dyaOrig="279" w14:anchorId="7C00D190">
          <v:shape id="_x0000_i3825" type="#_x0000_t75" style="width:11.5pt;height:13.9pt" o:ole="">
            <v:imagedata r:id="rId5639" o:title=""/>
          </v:shape>
          <o:OLEObject Type="Embed" ProgID="Equation.DSMT4" ShapeID="_x0000_i3825" DrawAspect="Content" ObjectID="_1791377769" r:id="rId5640"/>
        </w:object>
      </w:r>
      <w:r w:rsidRPr="00A40DDC">
        <w:rPr>
          <w:i/>
          <w:sz w:val="23"/>
          <w:szCs w:val="23"/>
        </w:rPr>
        <w:t xml:space="preserve"> </w:t>
      </w:r>
      <w:r w:rsidRPr="00A40DDC">
        <w:rPr>
          <w:i/>
          <w:sz w:val="23"/>
          <w:szCs w:val="23"/>
          <w:rtl/>
        </w:rPr>
        <w:t>وابسته است به</w:t>
      </w:r>
      <w:r w:rsidRPr="00A40DDC">
        <w:rPr>
          <w:position w:val="-6"/>
        </w:rPr>
        <w:object w:dxaOrig="540" w:dyaOrig="260" w14:anchorId="46748ABB">
          <v:shape id="_x0000_i3826" type="#_x0000_t75" style="width:26.6pt;height:13.3pt" o:ole="">
            <v:imagedata r:id="rId5641" o:title=""/>
          </v:shape>
          <o:OLEObject Type="Embed" ProgID="Equation.DSMT4" ShapeID="_x0000_i3826" DrawAspect="Content" ObjectID="_1791377770" r:id="rId5642"/>
        </w:object>
      </w:r>
      <w:r w:rsidRPr="00A40DDC">
        <w:rPr>
          <w:i/>
          <w:sz w:val="23"/>
          <w:szCs w:val="23"/>
          <w:rtl/>
        </w:rPr>
        <w:t>و قیمت</w:t>
      </w:r>
      <w:r w:rsidRPr="00A40DDC">
        <w:rPr>
          <w:rFonts w:hint="cs"/>
          <w:i/>
          <w:sz w:val="23"/>
          <w:szCs w:val="23"/>
          <w:rtl/>
        </w:rPr>
        <w:t>‌</w:t>
      </w:r>
      <w:r w:rsidRPr="00A40DDC">
        <w:rPr>
          <w:i/>
          <w:sz w:val="23"/>
          <w:szCs w:val="23"/>
          <w:rtl/>
        </w:rPr>
        <w:t xml:space="preserve">های نسبی کالاهای غیرتجاری </w:t>
      </w:r>
      <w:r w:rsidRPr="00A40DDC">
        <w:rPr>
          <w:rFonts w:hint="cs"/>
          <w:i/>
          <w:sz w:val="23"/>
          <w:szCs w:val="23"/>
          <w:rtl/>
        </w:rPr>
        <w:t xml:space="preserve">به تجاری </w:t>
      </w:r>
      <w:r w:rsidRPr="00A40DDC">
        <w:rPr>
          <w:i/>
          <w:sz w:val="23"/>
          <w:szCs w:val="23"/>
          <w:rtl/>
        </w:rPr>
        <w:t>خارجی و داخلی یعنی</w:t>
      </w:r>
      <w:r w:rsidRPr="00A40DDC">
        <w:rPr>
          <w:position w:val="-22"/>
        </w:rPr>
        <w:object w:dxaOrig="480" w:dyaOrig="600" w14:anchorId="7FFB06DD">
          <v:shape id="_x0000_i3827" type="#_x0000_t75" style="width:24.2pt;height:29.65pt" o:ole="">
            <v:imagedata r:id="rId5643" o:title=""/>
          </v:shape>
          <o:OLEObject Type="Embed" ProgID="Equation.DSMT4" ShapeID="_x0000_i3827" DrawAspect="Content" ObjectID="_1791377771" r:id="rId5644"/>
        </w:object>
      </w:r>
      <w:r w:rsidRPr="00A40DDC">
        <w:rPr>
          <w:i/>
          <w:sz w:val="23"/>
          <w:szCs w:val="23"/>
          <w:rtl/>
        </w:rPr>
        <w:t xml:space="preserve"> و </w:t>
      </w:r>
      <w:r w:rsidRPr="00A40DDC">
        <w:rPr>
          <w:position w:val="-22"/>
        </w:rPr>
        <w:object w:dxaOrig="420" w:dyaOrig="600" w14:anchorId="5C4351CE">
          <v:shape id="_x0000_i3828" type="#_x0000_t75" style="width:21.2pt;height:29.65pt" o:ole="">
            <v:imagedata r:id="rId5645" o:title=""/>
          </v:shape>
          <o:OLEObject Type="Embed" ProgID="Equation.DSMT4" ShapeID="_x0000_i3828" DrawAspect="Content" ObjectID="_1791377772" r:id="rId5646"/>
        </w:object>
      </w:r>
      <w:r w:rsidRPr="00A40DDC">
        <w:rPr>
          <w:i/>
          <w:sz w:val="23"/>
          <w:szCs w:val="23"/>
          <w:rtl/>
        </w:rPr>
        <w:t>.</w:t>
      </w:r>
      <w:r w:rsidRPr="00A40DDC">
        <w:rPr>
          <w:rFonts w:hint="cs"/>
          <w:i/>
          <w:sz w:val="23"/>
          <w:szCs w:val="23"/>
          <w:rtl/>
        </w:rPr>
        <w:t xml:space="preserve"> </w:t>
      </w:r>
      <w:r w:rsidRPr="00A40DDC">
        <w:rPr>
          <w:i/>
          <w:sz w:val="23"/>
          <w:szCs w:val="23"/>
          <w:rtl/>
        </w:rPr>
        <w:t>اگر</w:t>
      </w:r>
      <w:r w:rsidRPr="00A40DDC">
        <w:rPr>
          <w:position w:val="-6"/>
        </w:rPr>
        <w:object w:dxaOrig="540" w:dyaOrig="260" w14:anchorId="1DA6400D">
          <v:shape id="_x0000_i3829" type="#_x0000_t75" style="width:26.6pt;height:13.3pt" o:ole="">
            <v:imagedata r:id="rId5647" o:title=""/>
          </v:shape>
          <o:OLEObject Type="Embed" ProgID="Equation.DSMT4" ShapeID="_x0000_i3829" DrawAspect="Content" ObjectID="_1791377773" r:id="rId5648"/>
        </w:object>
      </w:r>
      <w:r w:rsidRPr="00A40DDC">
        <w:rPr>
          <w:i/>
          <w:sz w:val="23"/>
          <w:szCs w:val="23"/>
        </w:rPr>
        <w:t xml:space="preserve"> </w:t>
      </w:r>
      <w:r w:rsidRPr="00A40DDC">
        <w:rPr>
          <w:i/>
          <w:sz w:val="23"/>
          <w:szCs w:val="23"/>
          <w:rtl/>
        </w:rPr>
        <w:t>ثابت باشد آنگاه</w:t>
      </w:r>
      <w:r w:rsidRPr="00A40DDC">
        <w:rPr>
          <w:position w:val="-8"/>
        </w:rPr>
        <w:object w:dxaOrig="240" w:dyaOrig="279" w14:anchorId="0DF40200">
          <v:shape id="_x0000_i3830" type="#_x0000_t75" style="width:11.5pt;height:13.9pt" o:ole="">
            <v:imagedata r:id="rId5649" o:title=""/>
          </v:shape>
          <o:OLEObject Type="Embed" ProgID="Equation.DSMT4" ShapeID="_x0000_i3830" DrawAspect="Content" ObjectID="_1791377774" r:id="rId5650"/>
        </w:object>
      </w:r>
      <w:r w:rsidRPr="00A40DDC">
        <w:rPr>
          <w:i/>
          <w:sz w:val="23"/>
          <w:szCs w:val="23"/>
          <w:rtl/>
        </w:rPr>
        <w:t xml:space="preserve"> یا </w:t>
      </w:r>
      <w:r w:rsidRPr="00A40DDC">
        <w:rPr>
          <w:rFonts w:hint="cs"/>
          <w:i/>
          <w:sz w:val="23"/>
          <w:szCs w:val="23"/>
          <w:rtl/>
        </w:rPr>
        <w:t xml:space="preserve">نرخ ارز حقیقی </w:t>
      </w:r>
      <w:r w:rsidRPr="00A40DDC">
        <w:rPr>
          <w:i/>
          <w:sz w:val="23"/>
          <w:szCs w:val="23"/>
          <w:rtl/>
        </w:rPr>
        <w:t xml:space="preserve">برابر است با </w:t>
      </w:r>
    </w:p>
    <w:p w14:paraId="73B7707B" w14:textId="77777777" w:rsidR="00411620" w:rsidRPr="00A40DDC" w:rsidRDefault="00411620" w:rsidP="00411620">
      <w:pPr>
        <w:tabs>
          <w:tab w:val="left" w:pos="3521"/>
        </w:tabs>
        <w:bidi w:val="0"/>
        <w:spacing w:line="216" w:lineRule="auto"/>
        <w:rPr>
          <w:i/>
          <w:sz w:val="23"/>
          <w:szCs w:val="23"/>
          <w:rtl/>
        </w:rPr>
      </w:pPr>
      <w:r w:rsidRPr="00A40DDC">
        <w:rPr>
          <w:i/>
          <w:sz w:val="23"/>
          <w:szCs w:val="23"/>
          <w:rtl/>
        </w:rPr>
        <w:t xml:space="preserve"> </w:t>
      </w:r>
      <w:r w:rsidRPr="00A40DDC">
        <w:rPr>
          <w:position w:val="-34"/>
        </w:rPr>
        <w:object w:dxaOrig="5600" w:dyaOrig="840" w14:anchorId="64FD7438">
          <v:shape id="_x0000_i3831" type="#_x0000_t75" style="width:280.15pt;height:41.75pt" o:ole="">
            <v:imagedata r:id="rId5651" o:title=""/>
          </v:shape>
          <o:OLEObject Type="Embed" ProgID="Equation.DSMT4" ShapeID="_x0000_i3831" DrawAspect="Content" ObjectID="_1791377775" r:id="rId5652"/>
        </w:object>
      </w:r>
    </w:p>
    <w:p w14:paraId="5F63228E" w14:textId="77777777" w:rsidR="00411620" w:rsidRPr="00A40DDC" w:rsidRDefault="00411620" w:rsidP="00411620">
      <w:pPr>
        <w:tabs>
          <w:tab w:val="left" w:pos="3521"/>
        </w:tabs>
        <w:spacing w:line="216" w:lineRule="auto"/>
        <w:rPr>
          <w:i/>
          <w:sz w:val="23"/>
          <w:szCs w:val="23"/>
          <w:rtl/>
        </w:rPr>
      </w:pPr>
      <w:r w:rsidRPr="00A40DDC">
        <w:rPr>
          <w:i/>
          <w:sz w:val="23"/>
          <w:szCs w:val="23"/>
          <w:rtl/>
        </w:rPr>
        <w:t>رابطه</w:t>
      </w:r>
      <w:r w:rsidRPr="00A40DDC">
        <w:rPr>
          <w:i/>
          <w:sz w:val="23"/>
          <w:szCs w:val="23"/>
          <w:rtl/>
        </w:rPr>
        <w:softHyphen/>
      </w:r>
      <w:r w:rsidRPr="00A40DDC">
        <w:rPr>
          <w:rFonts w:hint="cs"/>
          <w:i/>
          <w:sz w:val="23"/>
          <w:szCs w:val="23"/>
          <w:rtl/>
        </w:rPr>
        <w:t>ی</w:t>
      </w:r>
      <w:r w:rsidRPr="00A40DDC">
        <w:rPr>
          <w:i/>
          <w:sz w:val="23"/>
          <w:szCs w:val="23"/>
          <w:rtl/>
        </w:rPr>
        <w:t xml:space="preserve"> بین </w:t>
      </w:r>
      <w:r w:rsidRPr="00A40DDC">
        <w:rPr>
          <w:rFonts w:hint="cs"/>
          <w:i/>
          <w:sz w:val="23"/>
          <w:szCs w:val="23"/>
          <w:rtl/>
        </w:rPr>
        <w:t>نرخ ارز حقیقی</w:t>
      </w:r>
      <w:r w:rsidRPr="00A40DDC">
        <w:rPr>
          <w:i/>
          <w:sz w:val="23"/>
          <w:szCs w:val="23"/>
          <w:rtl/>
        </w:rPr>
        <w:t xml:space="preserve"> با قیمت نسبی کالاهای غیرتجاری زمانی کاملاً مشخص می</w:t>
      </w:r>
      <w:r w:rsidRPr="00A40DDC">
        <w:rPr>
          <w:rFonts w:hint="cs"/>
          <w:i/>
          <w:sz w:val="23"/>
          <w:szCs w:val="23"/>
          <w:rtl/>
        </w:rPr>
        <w:t>‌</w:t>
      </w:r>
      <w:r w:rsidRPr="00A40DDC">
        <w:rPr>
          <w:i/>
          <w:sz w:val="23"/>
          <w:szCs w:val="23"/>
          <w:rtl/>
        </w:rPr>
        <w:t xml:space="preserve">شود که </w:t>
      </w:r>
      <w:r w:rsidRPr="00A40DDC">
        <w:rPr>
          <w:rFonts w:hint="cs"/>
          <w:i/>
          <w:sz w:val="23"/>
          <w:szCs w:val="23"/>
          <w:rtl/>
        </w:rPr>
        <w:t>کشش جانشینی برابر با یک باشد، یعنی</w:t>
      </w:r>
      <w:r w:rsidRPr="00A40DDC">
        <w:rPr>
          <w:position w:val="-10"/>
        </w:rPr>
        <w:object w:dxaOrig="480" w:dyaOrig="300" w14:anchorId="6A60675A">
          <v:shape id="_x0000_i3832" type="#_x0000_t75" style="width:24.2pt;height:14.5pt" o:ole="">
            <v:imagedata r:id="rId5653" o:title=""/>
          </v:shape>
          <o:OLEObject Type="Embed" ProgID="Equation.DSMT4" ShapeID="_x0000_i3832" DrawAspect="Content" ObjectID="_1791377776" r:id="rId5654"/>
        </w:object>
      </w:r>
      <w:r w:rsidRPr="00A40DDC">
        <w:rPr>
          <w:rFonts w:hint="cs"/>
          <w:i/>
          <w:sz w:val="23"/>
          <w:szCs w:val="23"/>
          <w:rtl/>
        </w:rPr>
        <w:t>.</w:t>
      </w:r>
      <w:r w:rsidRPr="00A40DDC">
        <w:rPr>
          <w:i/>
          <w:sz w:val="23"/>
          <w:szCs w:val="23"/>
          <w:rtl/>
        </w:rPr>
        <w:t xml:space="preserve"> بر اساس قاعده</w:t>
      </w:r>
      <w:r w:rsidRPr="00A40DDC">
        <w:rPr>
          <w:i/>
          <w:sz w:val="23"/>
          <w:szCs w:val="23"/>
          <w:rtl/>
        </w:rPr>
        <w:softHyphen/>
      </w:r>
      <w:r w:rsidRPr="00A40DDC">
        <w:rPr>
          <w:rFonts w:hint="cs"/>
          <w:i/>
          <w:sz w:val="23"/>
          <w:szCs w:val="23"/>
          <w:rtl/>
        </w:rPr>
        <w:t>ی</w:t>
      </w:r>
      <w:r w:rsidRPr="00A40DDC">
        <w:rPr>
          <w:i/>
          <w:sz w:val="23"/>
          <w:szCs w:val="23"/>
          <w:rtl/>
        </w:rPr>
        <w:t xml:space="preserve"> هوپیتال داریم </w:t>
      </w:r>
    </w:p>
    <w:p w14:paraId="793195CC" w14:textId="77777777" w:rsidR="00411620" w:rsidRPr="00A40DDC" w:rsidRDefault="00411620" w:rsidP="00411620">
      <w:pPr>
        <w:tabs>
          <w:tab w:val="left" w:pos="3521"/>
        </w:tabs>
        <w:bidi w:val="0"/>
        <w:spacing w:line="216" w:lineRule="auto"/>
        <w:rPr>
          <w:i/>
          <w:sz w:val="23"/>
          <w:szCs w:val="23"/>
          <w:rtl/>
        </w:rPr>
      </w:pPr>
      <w:r w:rsidRPr="00A40DDC">
        <w:rPr>
          <w:i/>
          <w:sz w:val="23"/>
          <w:szCs w:val="23"/>
          <w:rtl/>
        </w:rPr>
        <w:t xml:space="preserve"> </w:t>
      </w:r>
      <w:r w:rsidRPr="00A40DDC">
        <w:rPr>
          <w:position w:val="-28"/>
        </w:rPr>
        <w:object w:dxaOrig="1760" w:dyaOrig="720" w14:anchorId="0F69CDD3">
          <v:shape id="_x0000_i3833" type="#_x0000_t75" style="width:87.75pt;height:36.3pt" o:ole="">
            <v:imagedata r:id="rId5655" o:title=""/>
          </v:shape>
          <o:OLEObject Type="Embed" ProgID="Equation.DSMT4" ShapeID="_x0000_i3833" DrawAspect="Content" ObjectID="_1791377777" r:id="rId5656"/>
        </w:object>
      </w:r>
      <w:r w:rsidRPr="00A40DDC">
        <w:rPr>
          <w:i/>
          <w:sz w:val="23"/>
          <w:szCs w:val="23"/>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Pr>
          <w:i/>
          <w:sz w:val="23"/>
          <w:szCs w:val="23"/>
          <w:rtl/>
        </w:rPr>
        <w:tab/>
      </w:r>
      <w:r w:rsidRPr="00A40DDC">
        <w:rPr>
          <w:i/>
          <w:sz w:val="23"/>
          <w:szCs w:val="23"/>
        </w:rPr>
        <w:tab/>
      </w:r>
      <w:r w:rsidRPr="00A40DDC">
        <w:rPr>
          <w:i/>
          <w:sz w:val="23"/>
          <w:szCs w:val="23"/>
        </w:rPr>
        <w:tab/>
      </w:r>
      <w:r w:rsidRPr="00A40DDC">
        <w:rPr>
          <w:i/>
          <w:sz w:val="23"/>
          <w:szCs w:val="23"/>
        </w:rPr>
        <w:tab/>
      </w:r>
      <w:r w:rsidRPr="00A40DDC">
        <w:rPr>
          <w:i/>
          <w:sz w:val="23"/>
          <w:szCs w:val="23"/>
        </w:rPr>
        <w:tab/>
      </w:r>
      <w:r w:rsidRPr="00A40DDC">
        <w:rPr>
          <w:rFonts w:hint="cs"/>
          <w:i/>
          <w:sz w:val="23"/>
          <w:szCs w:val="23"/>
          <w:rtl/>
        </w:rPr>
        <w:t>(۷. ۲۵)</w:t>
      </w:r>
    </w:p>
    <w:p w14:paraId="7E4CA8BE" w14:textId="77777777" w:rsidR="00411620" w:rsidRPr="00A40DDC" w:rsidRDefault="00411620" w:rsidP="00411620">
      <w:pPr>
        <w:tabs>
          <w:tab w:val="left" w:pos="3521"/>
        </w:tabs>
        <w:spacing w:line="216" w:lineRule="auto"/>
        <w:rPr>
          <w:i/>
          <w:sz w:val="23"/>
          <w:szCs w:val="23"/>
          <w:rtl/>
        </w:rPr>
      </w:pPr>
      <w:r w:rsidRPr="00A40DDC">
        <w:rPr>
          <w:rFonts w:hint="cs"/>
          <w:i/>
          <w:sz w:val="23"/>
          <w:szCs w:val="23"/>
          <w:rtl/>
        </w:rPr>
        <w:t xml:space="preserve">اگر </w:t>
      </w:r>
      <w:r w:rsidRPr="00A40DDC">
        <w:rPr>
          <w:i/>
          <w:sz w:val="23"/>
          <w:szCs w:val="23"/>
          <w:rtl/>
        </w:rPr>
        <w:t>فرض کنیم بهره</w:t>
      </w:r>
      <w:r w:rsidRPr="00A40DDC">
        <w:rPr>
          <w:i/>
          <w:sz w:val="23"/>
          <w:szCs w:val="23"/>
          <w:rtl/>
        </w:rPr>
        <w:softHyphen/>
        <w:t>وری تولیدات غیر</w:t>
      </w:r>
      <w:r w:rsidRPr="00A40DDC">
        <w:rPr>
          <w:i/>
          <w:sz w:val="23"/>
          <w:szCs w:val="23"/>
          <w:rtl/>
        </w:rPr>
        <w:softHyphen/>
        <w:t>تجاری داخل نسبت به خارج</w:t>
      </w:r>
      <w:r w:rsidRPr="00A40DDC">
        <w:rPr>
          <w:rFonts w:hint="cs"/>
          <w:i/>
          <w:sz w:val="23"/>
          <w:szCs w:val="23"/>
          <w:rtl/>
        </w:rPr>
        <w:t xml:space="preserve"> افزایش</w:t>
      </w:r>
      <w:r w:rsidRPr="00A40DDC">
        <w:rPr>
          <w:i/>
          <w:sz w:val="23"/>
          <w:szCs w:val="23"/>
          <w:rtl/>
        </w:rPr>
        <w:t xml:space="preserve"> </w:t>
      </w:r>
      <w:r w:rsidRPr="00A40DDC">
        <w:rPr>
          <w:rFonts w:hint="cs"/>
          <w:i/>
          <w:sz w:val="23"/>
          <w:szCs w:val="23"/>
          <w:rtl/>
        </w:rPr>
        <w:t>یابد، آنگاه قیمت کالاهای غیرتجاری داخلی</w:t>
      </w:r>
      <w:r w:rsidRPr="00025957">
        <w:rPr>
          <w:position w:val="-4"/>
        </w:rPr>
        <w:object w:dxaOrig="360" w:dyaOrig="279" w14:anchorId="6909E13B">
          <v:shape id="_x0000_i3834" type="#_x0000_t75" style="width:18.15pt;height:13.9pt" o:ole="">
            <v:imagedata r:id="rId5657" o:title=""/>
          </v:shape>
          <o:OLEObject Type="Embed" ProgID="Equation.DSMT4" ShapeID="_x0000_i3834" DrawAspect="Content" ObjectID="_1791377778" r:id="rId5658"/>
        </w:object>
      </w:r>
      <w:r w:rsidRPr="00A40DDC">
        <w:rPr>
          <w:i/>
          <w:sz w:val="23"/>
          <w:szCs w:val="23"/>
          <w:rtl/>
        </w:rPr>
        <w:t xml:space="preserve"> </w:t>
      </w:r>
      <w:r w:rsidRPr="00A40DDC">
        <w:rPr>
          <w:rFonts w:hint="cs"/>
          <w:i/>
          <w:sz w:val="23"/>
          <w:szCs w:val="23"/>
          <w:rtl/>
        </w:rPr>
        <w:t xml:space="preserve">کاهش و نرخ ارز حقیقی </w:t>
      </w:r>
      <w:r w:rsidRPr="00A40DDC">
        <w:rPr>
          <w:i/>
          <w:sz w:val="23"/>
          <w:szCs w:val="23"/>
          <w:rtl/>
        </w:rPr>
        <w:t xml:space="preserve">یا </w:t>
      </w:r>
      <w:r w:rsidRPr="00A40DDC">
        <w:rPr>
          <w:i/>
          <w:sz w:val="23"/>
          <w:szCs w:val="23"/>
        </w:rPr>
        <w:t>Q</w:t>
      </w:r>
      <w:r w:rsidRPr="00A40DDC">
        <w:rPr>
          <w:i/>
          <w:sz w:val="23"/>
          <w:szCs w:val="23"/>
          <w:rtl/>
        </w:rPr>
        <w:t xml:space="preserve"> </w:t>
      </w:r>
      <w:r w:rsidRPr="00A40DDC">
        <w:rPr>
          <w:rFonts w:hint="cs"/>
          <w:i/>
          <w:sz w:val="23"/>
          <w:szCs w:val="23"/>
          <w:rtl/>
        </w:rPr>
        <w:t>افزایش می</w:t>
      </w:r>
      <w:r w:rsidRPr="00A40DDC">
        <w:rPr>
          <w:i/>
          <w:sz w:val="23"/>
          <w:szCs w:val="23"/>
          <w:rtl/>
        </w:rPr>
        <w:softHyphen/>
      </w:r>
      <w:r w:rsidRPr="00A40DDC">
        <w:rPr>
          <w:rFonts w:hint="cs"/>
          <w:i/>
          <w:sz w:val="23"/>
          <w:szCs w:val="23"/>
          <w:rtl/>
        </w:rPr>
        <w:t>یابد</w:t>
      </w:r>
      <w:r w:rsidRPr="00A40DDC">
        <w:rPr>
          <w:i/>
          <w:sz w:val="23"/>
          <w:szCs w:val="23"/>
          <w:rtl/>
        </w:rPr>
        <w:t xml:space="preserve">. همچنین جذابیت داخل برای کالاهای غیرتجاری نسبت به کالاهای تجاری </w:t>
      </w:r>
      <w:r w:rsidRPr="00A40DDC">
        <w:rPr>
          <w:rFonts w:hint="cs"/>
          <w:i/>
          <w:sz w:val="23"/>
          <w:szCs w:val="23"/>
          <w:rtl/>
        </w:rPr>
        <w:t xml:space="preserve">افزایش یافته و تقاضا برای </w:t>
      </w:r>
      <w:r w:rsidRPr="00A40DDC">
        <w:rPr>
          <w:i/>
          <w:sz w:val="23"/>
          <w:szCs w:val="23"/>
          <w:rtl/>
        </w:rPr>
        <w:t xml:space="preserve">کالاهای تجاری </w:t>
      </w:r>
      <w:r w:rsidRPr="00A40DDC">
        <w:rPr>
          <w:rFonts w:hint="cs"/>
          <w:i/>
          <w:sz w:val="23"/>
          <w:szCs w:val="23"/>
          <w:rtl/>
        </w:rPr>
        <w:t xml:space="preserve">کاهش و این کالاها </w:t>
      </w:r>
      <w:r w:rsidRPr="00A40DDC">
        <w:rPr>
          <w:i/>
          <w:sz w:val="23"/>
          <w:szCs w:val="23"/>
          <w:rtl/>
        </w:rPr>
        <w:t>کمتر رقابتی می</w:t>
      </w:r>
      <w:r w:rsidRPr="00A40DDC">
        <w:rPr>
          <w:rFonts w:hint="cs"/>
          <w:i/>
          <w:sz w:val="23"/>
          <w:szCs w:val="23"/>
          <w:rtl/>
        </w:rPr>
        <w:t>‌</w:t>
      </w:r>
      <w:r w:rsidRPr="00A40DDC">
        <w:rPr>
          <w:i/>
          <w:sz w:val="23"/>
          <w:szCs w:val="23"/>
          <w:rtl/>
        </w:rPr>
        <w:t>شوند</w:t>
      </w:r>
      <w:r w:rsidRPr="00A40DDC">
        <w:rPr>
          <w:rFonts w:hint="cs"/>
          <w:i/>
          <w:sz w:val="23"/>
          <w:szCs w:val="23"/>
          <w:rtl/>
        </w:rPr>
        <w:t xml:space="preserve"> </w:t>
      </w:r>
      <w:r w:rsidRPr="00A40DDC">
        <w:rPr>
          <w:i/>
          <w:sz w:val="23"/>
          <w:szCs w:val="23"/>
          <w:rtl/>
        </w:rPr>
        <w:t xml:space="preserve">و </w:t>
      </w:r>
      <w:r w:rsidRPr="00A40DDC">
        <w:rPr>
          <w:rFonts w:hint="cs"/>
          <w:i/>
          <w:sz w:val="23"/>
          <w:szCs w:val="23"/>
          <w:rtl/>
        </w:rPr>
        <w:t xml:space="preserve">در </w:t>
      </w:r>
      <w:r w:rsidRPr="00A40DDC">
        <w:rPr>
          <w:i/>
          <w:sz w:val="23"/>
          <w:szCs w:val="23"/>
          <w:rtl/>
        </w:rPr>
        <w:t>نتیجه آن</w:t>
      </w:r>
      <w:r w:rsidRPr="00A40DDC">
        <w:rPr>
          <w:i/>
          <w:sz w:val="23"/>
          <w:szCs w:val="23"/>
          <w:rtl/>
        </w:rPr>
        <w:softHyphen/>
        <w:t xml:space="preserve"> </w:t>
      </w:r>
      <w:r w:rsidRPr="00A40DDC">
        <w:rPr>
          <w:i/>
          <w:sz w:val="23"/>
          <w:szCs w:val="23"/>
        </w:rPr>
        <w:t>Q</w:t>
      </w:r>
      <w:r w:rsidRPr="00A40DDC">
        <w:rPr>
          <w:i/>
          <w:sz w:val="23"/>
          <w:szCs w:val="23"/>
          <w:rtl/>
        </w:rPr>
        <w:t xml:space="preserve"> </w:t>
      </w:r>
      <w:r w:rsidRPr="00A40DDC">
        <w:rPr>
          <w:rFonts w:hint="cs"/>
          <w:i/>
          <w:sz w:val="23"/>
          <w:szCs w:val="23"/>
          <w:rtl/>
        </w:rPr>
        <w:t>افرایش</w:t>
      </w:r>
      <w:r w:rsidRPr="00A40DDC">
        <w:rPr>
          <w:i/>
          <w:sz w:val="23"/>
          <w:szCs w:val="23"/>
          <w:rtl/>
        </w:rPr>
        <w:t xml:space="preserve"> می</w:t>
      </w:r>
      <w:r w:rsidRPr="00A40DDC">
        <w:rPr>
          <w:rFonts w:hint="cs"/>
          <w:i/>
          <w:sz w:val="23"/>
          <w:szCs w:val="23"/>
          <w:rtl/>
        </w:rPr>
        <w:t>‌</w:t>
      </w:r>
      <w:r w:rsidRPr="00A40DDC">
        <w:rPr>
          <w:i/>
          <w:sz w:val="23"/>
          <w:szCs w:val="23"/>
          <w:rtl/>
        </w:rPr>
        <w:t>یابد</w:t>
      </w:r>
      <w:r w:rsidRPr="00A40DDC">
        <w:rPr>
          <w:rFonts w:hint="cs"/>
          <w:i/>
          <w:sz w:val="23"/>
          <w:szCs w:val="23"/>
          <w:rtl/>
        </w:rPr>
        <w:t xml:space="preserve"> که از </w:t>
      </w:r>
      <w:r w:rsidRPr="00A40DDC">
        <w:rPr>
          <w:i/>
          <w:sz w:val="23"/>
          <w:szCs w:val="23"/>
          <w:rtl/>
        </w:rPr>
        <w:t xml:space="preserve">عوامل موثر بر </w:t>
      </w:r>
      <w:r w:rsidRPr="00A40DDC">
        <w:rPr>
          <w:i/>
          <w:sz w:val="23"/>
          <w:szCs w:val="23"/>
        </w:rPr>
        <w:t>Q</w:t>
      </w:r>
      <w:r w:rsidRPr="00A40DDC">
        <w:rPr>
          <w:i/>
          <w:sz w:val="23"/>
          <w:szCs w:val="23"/>
          <w:rtl/>
        </w:rPr>
        <w:t xml:space="preserve"> در بلندمدت است</w:t>
      </w:r>
      <w:r w:rsidRPr="00A40DDC">
        <w:rPr>
          <w:rFonts w:hint="cs"/>
          <w:i/>
          <w:sz w:val="23"/>
          <w:szCs w:val="23"/>
          <w:rtl/>
        </w:rPr>
        <w:t>،</w:t>
      </w:r>
      <w:r w:rsidRPr="00A40DDC">
        <w:rPr>
          <w:i/>
          <w:sz w:val="23"/>
          <w:szCs w:val="23"/>
          <w:rtl/>
        </w:rPr>
        <w:t xml:space="preserve"> </w:t>
      </w:r>
      <w:r w:rsidRPr="00A40DDC">
        <w:rPr>
          <w:rFonts w:hint="cs"/>
          <w:i/>
          <w:sz w:val="23"/>
          <w:szCs w:val="23"/>
          <w:rtl/>
        </w:rPr>
        <w:t>و</w:t>
      </w:r>
      <w:r w:rsidRPr="00A40DDC">
        <w:rPr>
          <w:i/>
          <w:sz w:val="23"/>
          <w:szCs w:val="23"/>
          <w:rtl/>
        </w:rPr>
        <w:t xml:space="preserve"> بدان اثر </w:t>
      </w:r>
      <w:r w:rsidRPr="00A40DDC">
        <w:rPr>
          <w:rFonts w:hint="cs"/>
          <w:i/>
          <w:sz w:val="23"/>
          <w:szCs w:val="23"/>
          <w:rtl/>
        </w:rPr>
        <w:t>بالاسا-ساموئلسون</w:t>
      </w:r>
      <w:r w:rsidRPr="00A40DDC">
        <w:rPr>
          <w:rStyle w:val="FootnoteReference"/>
          <w:rFonts w:eastAsiaTheme="majorEastAsia"/>
          <w:i/>
          <w:sz w:val="23"/>
          <w:szCs w:val="23"/>
          <w:rtl/>
        </w:rPr>
        <w:footnoteReference w:id="183"/>
      </w:r>
      <w:r w:rsidRPr="00A40DDC">
        <w:rPr>
          <w:rFonts w:hint="cs"/>
          <w:i/>
          <w:sz w:val="23"/>
          <w:szCs w:val="23"/>
          <w:rtl/>
        </w:rPr>
        <w:t xml:space="preserve"> </w:t>
      </w:r>
      <w:r w:rsidRPr="00A40DDC">
        <w:rPr>
          <w:i/>
          <w:sz w:val="23"/>
          <w:szCs w:val="23"/>
          <w:rtl/>
        </w:rPr>
        <w:t>گویند.</w:t>
      </w:r>
    </w:p>
    <w:p w14:paraId="5DF2881E" w14:textId="77777777" w:rsidR="00411620" w:rsidRPr="00A40DDC" w:rsidRDefault="00411620" w:rsidP="00411620">
      <w:pPr>
        <w:tabs>
          <w:tab w:val="left" w:pos="3521"/>
        </w:tabs>
        <w:spacing w:line="216" w:lineRule="auto"/>
        <w:rPr>
          <w:i/>
          <w:sz w:val="23"/>
          <w:szCs w:val="23"/>
          <w:rtl/>
        </w:rPr>
      </w:pPr>
    </w:p>
    <w:p w14:paraId="3C5CD3EB" w14:textId="77777777" w:rsidR="00411620" w:rsidRPr="00A40DDC" w:rsidRDefault="00411620" w:rsidP="00411620">
      <w:pPr>
        <w:tabs>
          <w:tab w:val="left" w:pos="3521"/>
        </w:tabs>
        <w:spacing w:line="216" w:lineRule="auto"/>
        <w:rPr>
          <w:bCs/>
          <w:i/>
          <w:sz w:val="23"/>
          <w:szCs w:val="23"/>
          <w:rtl/>
        </w:rPr>
      </w:pPr>
      <w:r w:rsidRPr="00A40DDC">
        <w:rPr>
          <w:bCs/>
          <w:i/>
          <w:sz w:val="23"/>
          <w:szCs w:val="23"/>
          <w:rtl/>
        </w:rPr>
        <w:t xml:space="preserve">برخی </w:t>
      </w:r>
      <w:r w:rsidRPr="00A40DDC">
        <w:rPr>
          <w:rFonts w:hint="cs"/>
          <w:bCs/>
          <w:i/>
          <w:sz w:val="23"/>
          <w:szCs w:val="23"/>
          <w:rtl/>
        </w:rPr>
        <w:t>حقایق آشکار شده</w:t>
      </w:r>
      <w:r w:rsidRPr="00A40DDC">
        <w:rPr>
          <w:bCs/>
          <w:i/>
          <w:sz w:val="23"/>
          <w:szCs w:val="23"/>
          <w:rtl/>
        </w:rPr>
        <w:softHyphen/>
      </w:r>
      <w:r w:rsidRPr="00A40DDC">
        <w:rPr>
          <w:rFonts w:hint="cs"/>
          <w:bCs/>
          <w:i/>
          <w:sz w:val="23"/>
          <w:szCs w:val="23"/>
          <w:rtl/>
        </w:rPr>
        <w:t>ی رابطه</w:t>
      </w:r>
      <w:r w:rsidRPr="00A40DDC">
        <w:rPr>
          <w:bCs/>
          <w:i/>
          <w:sz w:val="23"/>
          <w:szCs w:val="23"/>
          <w:rtl/>
        </w:rPr>
        <w:softHyphen/>
      </w:r>
      <w:r w:rsidRPr="00A40DDC">
        <w:rPr>
          <w:rFonts w:hint="cs"/>
          <w:bCs/>
          <w:i/>
          <w:sz w:val="23"/>
          <w:szCs w:val="23"/>
          <w:rtl/>
        </w:rPr>
        <w:t>ی مبادله</w:t>
      </w:r>
      <w:r w:rsidRPr="00A40DDC">
        <w:rPr>
          <w:bCs/>
          <w:i/>
          <w:sz w:val="23"/>
          <w:szCs w:val="23"/>
          <w:rtl/>
        </w:rPr>
        <w:softHyphen/>
      </w:r>
      <w:r w:rsidRPr="00A40DDC">
        <w:rPr>
          <w:rFonts w:hint="cs"/>
          <w:bCs/>
          <w:i/>
          <w:sz w:val="23"/>
          <w:szCs w:val="23"/>
          <w:rtl/>
        </w:rPr>
        <w:t>ی حقیقی</w:t>
      </w:r>
      <w:r w:rsidRPr="00A40DDC">
        <w:rPr>
          <w:position w:val="-8"/>
        </w:rPr>
        <w:object w:dxaOrig="340" w:dyaOrig="320" w14:anchorId="3B127C82">
          <v:shape id="_x0000_i3835" type="#_x0000_t75" style="width:16.95pt;height:15.75pt" o:ole="">
            <v:imagedata r:id="rId5659" o:title=""/>
          </v:shape>
          <o:OLEObject Type="Embed" ProgID="Equation.DSMT4" ShapeID="_x0000_i3835" DrawAspect="Content" ObjectID="_1791377779" r:id="rId5660"/>
        </w:object>
      </w:r>
      <w:r w:rsidRPr="00A40DDC">
        <w:rPr>
          <w:bCs/>
          <w:i/>
          <w:sz w:val="23"/>
          <w:szCs w:val="23"/>
          <w:rtl/>
        </w:rPr>
        <w:t xml:space="preserve"> </w:t>
      </w:r>
      <w:r w:rsidRPr="00A40DDC">
        <w:rPr>
          <w:rFonts w:hint="cs"/>
          <w:bCs/>
          <w:i/>
          <w:sz w:val="23"/>
          <w:szCs w:val="23"/>
          <w:rtl/>
        </w:rPr>
        <w:t xml:space="preserve">و نرخ ارز حقیقی </w:t>
      </w:r>
      <w:r w:rsidRPr="00A40DDC">
        <w:rPr>
          <w:bCs/>
          <w:i/>
          <w:sz w:val="23"/>
          <w:szCs w:val="23"/>
        </w:rPr>
        <w:t>Q</w:t>
      </w:r>
    </w:p>
    <w:p w14:paraId="503AC339" w14:textId="77777777" w:rsidR="00411620" w:rsidRPr="00A40DDC" w:rsidRDefault="00411620" w:rsidP="00411620">
      <w:pPr>
        <w:tabs>
          <w:tab w:val="left" w:pos="3521"/>
        </w:tabs>
        <w:spacing w:line="216" w:lineRule="auto"/>
        <w:rPr>
          <w:i/>
          <w:sz w:val="23"/>
          <w:szCs w:val="23"/>
        </w:rPr>
      </w:pPr>
      <w:r w:rsidRPr="00A40DDC">
        <w:rPr>
          <w:i/>
          <w:sz w:val="23"/>
          <w:szCs w:val="23"/>
          <w:rtl/>
        </w:rPr>
        <w:t>اگرچه بر اساس نظریه</w:t>
      </w:r>
      <w:r w:rsidRPr="00A40DDC">
        <w:rPr>
          <w:position w:val="-8"/>
        </w:rPr>
        <w:object w:dxaOrig="340" w:dyaOrig="320" w14:anchorId="4F3F6C87">
          <v:shape id="_x0000_i3836" type="#_x0000_t75" style="width:16.95pt;height:15.75pt" o:ole="">
            <v:imagedata r:id="rId5661" o:title=""/>
          </v:shape>
          <o:OLEObject Type="Embed" ProgID="Equation.DSMT4" ShapeID="_x0000_i3836" DrawAspect="Content" ObjectID="_1791377780" r:id="rId5662"/>
        </w:object>
      </w:r>
      <w:r w:rsidRPr="00A40DDC">
        <w:rPr>
          <w:i/>
          <w:sz w:val="23"/>
          <w:szCs w:val="23"/>
          <w:rtl/>
        </w:rPr>
        <w:t xml:space="preserve"> و</w:t>
      </w:r>
      <w:r w:rsidRPr="00A40DDC">
        <w:rPr>
          <w:position w:val="-8"/>
        </w:rPr>
        <w:object w:dxaOrig="240" w:dyaOrig="279" w14:anchorId="4F33670F">
          <v:shape id="_x0000_i3837" type="#_x0000_t75" style="width:11.5pt;height:13.9pt" o:ole="">
            <v:imagedata r:id="rId5663" o:title=""/>
          </v:shape>
          <o:OLEObject Type="Embed" ProgID="Equation.DSMT4" ShapeID="_x0000_i3837" DrawAspect="Content" ObjectID="_1791377781" r:id="rId5664"/>
        </w:object>
      </w:r>
      <w:r w:rsidRPr="00A40DDC">
        <w:rPr>
          <w:rFonts w:hint="cs"/>
          <w:i/>
          <w:sz w:val="23"/>
          <w:szCs w:val="23"/>
          <w:rtl/>
        </w:rPr>
        <w:t xml:space="preserve"> </w:t>
      </w:r>
      <w:r w:rsidRPr="00A40DDC">
        <w:rPr>
          <w:i/>
          <w:sz w:val="23"/>
          <w:szCs w:val="23"/>
          <w:rtl/>
        </w:rPr>
        <w:t>می</w:t>
      </w:r>
      <w:r w:rsidRPr="00A40DDC">
        <w:rPr>
          <w:rFonts w:hint="cs"/>
          <w:i/>
          <w:sz w:val="23"/>
          <w:szCs w:val="23"/>
          <w:rtl/>
        </w:rPr>
        <w:t>‌</w:t>
      </w:r>
      <w:r w:rsidRPr="00A40DDC">
        <w:rPr>
          <w:i/>
          <w:sz w:val="23"/>
          <w:szCs w:val="23"/>
          <w:rtl/>
        </w:rPr>
        <w:t>بایست ثابت باشند</w:t>
      </w:r>
      <w:r w:rsidRPr="00A40DDC">
        <w:rPr>
          <w:rFonts w:hint="cs"/>
          <w:i/>
          <w:sz w:val="23"/>
          <w:szCs w:val="23"/>
          <w:rtl/>
        </w:rPr>
        <w:t>،</w:t>
      </w:r>
      <w:r w:rsidRPr="00A40DDC">
        <w:rPr>
          <w:i/>
          <w:sz w:val="23"/>
          <w:szCs w:val="23"/>
          <w:rtl/>
        </w:rPr>
        <w:t xml:space="preserve"> ولی برخی شواهد </w:t>
      </w:r>
      <w:r w:rsidRPr="00A40DDC">
        <w:rPr>
          <w:rFonts w:hint="cs"/>
          <w:i/>
          <w:sz w:val="23"/>
          <w:szCs w:val="23"/>
          <w:rtl/>
        </w:rPr>
        <w:t xml:space="preserve">تجربی </w:t>
      </w:r>
      <w:r w:rsidRPr="00A40DDC">
        <w:rPr>
          <w:i/>
          <w:sz w:val="23"/>
          <w:szCs w:val="23"/>
          <w:rtl/>
        </w:rPr>
        <w:t>نشان می</w:t>
      </w:r>
      <w:r w:rsidRPr="00A40DDC">
        <w:rPr>
          <w:rFonts w:hint="cs"/>
          <w:i/>
          <w:sz w:val="23"/>
          <w:szCs w:val="23"/>
          <w:rtl/>
        </w:rPr>
        <w:t>‌</w:t>
      </w:r>
      <w:r w:rsidRPr="00A40DDC">
        <w:rPr>
          <w:i/>
          <w:sz w:val="23"/>
          <w:szCs w:val="23"/>
          <w:rtl/>
        </w:rPr>
        <w:t>دهند که نه در کوتاه</w:t>
      </w:r>
      <w:r w:rsidRPr="00A40DDC">
        <w:rPr>
          <w:i/>
          <w:sz w:val="23"/>
          <w:szCs w:val="23"/>
          <w:rtl/>
        </w:rPr>
        <w:softHyphen/>
        <w:t>مدت و نه در بلند</w:t>
      </w:r>
      <w:r w:rsidRPr="00A40DDC">
        <w:rPr>
          <w:i/>
          <w:sz w:val="23"/>
          <w:szCs w:val="23"/>
          <w:rtl/>
        </w:rPr>
        <w:softHyphen/>
        <w:t>مدت هیچ یک از این دو متغیر ثابت ن</w:t>
      </w:r>
      <w:r w:rsidRPr="00A40DDC">
        <w:rPr>
          <w:rFonts w:hint="cs"/>
          <w:i/>
          <w:sz w:val="23"/>
          <w:szCs w:val="23"/>
          <w:rtl/>
        </w:rPr>
        <w:t>یست</w:t>
      </w:r>
      <w:r w:rsidRPr="00A40DDC">
        <w:rPr>
          <w:i/>
          <w:sz w:val="23"/>
          <w:szCs w:val="23"/>
          <w:rtl/>
        </w:rPr>
        <w:t>ند.</w:t>
      </w:r>
      <w:r w:rsidRPr="00A40DDC">
        <w:rPr>
          <w:rFonts w:hint="cs"/>
          <w:i/>
          <w:sz w:val="23"/>
          <w:szCs w:val="23"/>
          <w:rtl/>
        </w:rPr>
        <w:t xml:space="preserve"> خلاصه</w:t>
      </w:r>
      <w:r w:rsidRPr="00A40DDC">
        <w:rPr>
          <w:i/>
          <w:sz w:val="23"/>
          <w:szCs w:val="23"/>
          <w:rtl/>
        </w:rPr>
        <w:softHyphen/>
      </w:r>
      <w:r w:rsidRPr="00A40DDC">
        <w:rPr>
          <w:rFonts w:hint="cs"/>
          <w:i/>
          <w:sz w:val="23"/>
          <w:szCs w:val="23"/>
          <w:rtl/>
        </w:rPr>
        <w:t>ی آنچه که آبسفلد</w:t>
      </w:r>
      <w:r w:rsidRPr="00A40DDC">
        <w:rPr>
          <w:rStyle w:val="FootnoteReference"/>
          <w:rFonts w:eastAsiaTheme="majorEastAsia"/>
          <w:i/>
          <w:sz w:val="23"/>
          <w:szCs w:val="23"/>
          <w:rtl/>
        </w:rPr>
        <w:footnoteReference w:id="184"/>
      </w:r>
      <w:r w:rsidRPr="00A40DDC">
        <w:rPr>
          <w:rFonts w:hint="cs"/>
          <w:i/>
          <w:sz w:val="23"/>
          <w:szCs w:val="23"/>
          <w:rtl/>
        </w:rPr>
        <w:t xml:space="preserve"> در سال ۲۰۰۱ نشان داده است به شرح زیر است. </w:t>
      </w:r>
    </w:p>
    <w:p w14:paraId="79604E46" w14:textId="77777777" w:rsidR="00411620" w:rsidRPr="00A40DDC" w:rsidRDefault="00411620" w:rsidP="00C67946">
      <w:pPr>
        <w:pStyle w:val="ListParagraph"/>
        <w:numPr>
          <w:ilvl w:val="0"/>
          <w:numId w:val="5"/>
        </w:numPr>
        <w:tabs>
          <w:tab w:val="left" w:pos="283"/>
        </w:tabs>
        <w:spacing w:line="216" w:lineRule="auto"/>
        <w:ind w:left="0" w:firstLine="0"/>
        <w:rPr>
          <w:i/>
          <w:sz w:val="23"/>
          <w:szCs w:val="23"/>
        </w:rPr>
      </w:pPr>
      <w:r w:rsidRPr="00A40DDC">
        <w:rPr>
          <w:rFonts w:hint="cs"/>
          <w:i/>
          <w:sz w:val="23"/>
          <w:szCs w:val="23"/>
          <w:rtl/>
        </w:rPr>
        <w:t>در</w:t>
      </w:r>
      <w:r w:rsidRPr="00A40DDC">
        <w:rPr>
          <w:i/>
          <w:sz w:val="23"/>
          <w:szCs w:val="23"/>
          <w:rtl/>
        </w:rPr>
        <w:t xml:space="preserve"> اغلب کشورها</w:t>
      </w:r>
      <w:r w:rsidRPr="00A40DDC">
        <w:rPr>
          <w:rFonts w:hint="cs"/>
          <w:i/>
          <w:sz w:val="23"/>
          <w:szCs w:val="23"/>
          <w:rtl/>
        </w:rPr>
        <w:t>ی</w:t>
      </w:r>
      <w:r w:rsidRPr="00A40DDC">
        <w:rPr>
          <w:i/>
          <w:sz w:val="23"/>
          <w:szCs w:val="23"/>
          <w:rtl/>
        </w:rPr>
        <w:t xml:space="preserve"> با نظام ارز شناور</w:t>
      </w:r>
      <w:r w:rsidRPr="00A40DDC">
        <w:rPr>
          <w:rFonts w:hint="cs"/>
          <w:i/>
          <w:sz w:val="23"/>
          <w:szCs w:val="23"/>
          <w:rtl/>
        </w:rPr>
        <w:t>،</w:t>
      </w:r>
      <w:r w:rsidRPr="00A40DDC">
        <w:rPr>
          <w:i/>
          <w:sz w:val="23"/>
          <w:szCs w:val="23"/>
          <w:rtl/>
        </w:rPr>
        <w:t xml:space="preserve"> خواص آماری</w:t>
      </w:r>
      <w:r w:rsidRPr="00A40DDC">
        <w:rPr>
          <w:position w:val="-8"/>
        </w:rPr>
        <w:object w:dxaOrig="340" w:dyaOrig="320" w14:anchorId="0205997F">
          <v:shape id="_x0000_i3838" type="#_x0000_t75" style="width:16.95pt;height:15.75pt" o:ole="">
            <v:imagedata r:id="rId5665" o:title=""/>
          </v:shape>
          <o:OLEObject Type="Embed" ProgID="Equation.DSMT4" ShapeID="_x0000_i3838" DrawAspect="Content" ObjectID="_1791377782" r:id="rId5666"/>
        </w:object>
      </w:r>
      <w:r w:rsidRPr="00A40DDC">
        <w:rPr>
          <w:rFonts w:hint="cs"/>
          <w:i/>
          <w:sz w:val="23"/>
          <w:szCs w:val="23"/>
          <w:rtl/>
        </w:rPr>
        <w:t xml:space="preserve"> </w:t>
      </w:r>
      <w:r w:rsidRPr="00A40DDC">
        <w:rPr>
          <w:i/>
          <w:sz w:val="23"/>
          <w:szCs w:val="23"/>
          <w:rtl/>
        </w:rPr>
        <w:t>و</w:t>
      </w:r>
      <w:r w:rsidRPr="00A40DDC">
        <w:rPr>
          <w:position w:val="-8"/>
        </w:rPr>
        <w:object w:dxaOrig="240" w:dyaOrig="279" w14:anchorId="2BDE57F5">
          <v:shape id="_x0000_i3839" type="#_x0000_t75" style="width:11.5pt;height:13.9pt" o:ole="">
            <v:imagedata r:id="rId5667" o:title=""/>
          </v:shape>
          <o:OLEObject Type="Embed" ProgID="Equation.DSMT4" ShapeID="_x0000_i3839" DrawAspect="Content" ObjectID="_1791377783" r:id="rId5668"/>
        </w:object>
      </w:r>
      <w:r w:rsidRPr="00A40DDC">
        <w:rPr>
          <w:rFonts w:hint="cs"/>
          <w:i/>
          <w:sz w:val="23"/>
          <w:szCs w:val="23"/>
          <w:rtl/>
        </w:rPr>
        <w:t xml:space="preserve"> </w:t>
      </w:r>
      <w:r w:rsidRPr="00A40DDC">
        <w:rPr>
          <w:i/>
          <w:sz w:val="23"/>
          <w:szCs w:val="23"/>
          <w:rtl/>
        </w:rPr>
        <w:t>بسیار شبیه هم</w:t>
      </w:r>
      <w:r w:rsidRPr="00A40DDC">
        <w:rPr>
          <w:i/>
          <w:sz w:val="23"/>
          <w:szCs w:val="23"/>
          <w:rtl/>
        </w:rPr>
        <w:softHyphen/>
        <w:t>اند .</w:t>
      </w:r>
    </w:p>
    <w:p w14:paraId="7EA7DB32" w14:textId="77777777" w:rsidR="00411620" w:rsidRPr="00A40DDC" w:rsidRDefault="00411620" w:rsidP="00C67946">
      <w:pPr>
        <w:pStyle w:val="ListParagraph"/>
        <w:numPr>
          <w:ilvl w:val="0"/>
          <w:numId w:val="5"/>
        </w:numPr>
        <w:tabs>
          <w:tab w:val="left" w:pos="283"/>
        </w:tabs>
        <w:spacing w:line="216" w:lineRule="auto"/>
        <w:ind w:left="0" w:firstLine="0"/>
        <w:rPr>
          <w:i/>
          <w:sz w:val="23"/>
          <w:szCs w:val="23"/>
        </w:rPr>
      </w:pPr>
      <w:r w:rsidRPr="00A40DDC">
        <w:rPr>
          <w:i/>
          <w:sz w:val="23"/>
          <w:szCs w:val="23"/>
          <w:rtl/>
        </w:rPr>
        <w:t xml:space="preserve">اثر شوک </w:t>
      </w:r>
      <w:r w:rsidRPr="00A40DDC">
        <w:rPr>
          <w:rFonts w:hint="cs"/>
          <w:i/>
          <w:sz w:val="23"/>
          <w:szCs w:val="23"/>
          <w:rtl/>
        </w:rPr>
        <w:t xml:space="preserve">نرخ ارز حقیقی‌ </w:t>
      </w:r>
      <w:r w:rsidRPr="00A40DDC">
        <w:rPr>
          <w:i/>
          <w:sz w:val="23"/>
          <w:szCs w:val="23"/>
          <w:rtl/>
        </w:rPr>
        <w:t xml:space="preserve">مدت زمان زیادی ادامه دارد و </w:t>
      </w:r>
      <w:r w:rsidRPr="00A40DDC">
        <w:rPr>
          <w:rFonts w:hint="cs"/>
          <w:i/>
          <w:sz w:val="23"/>
          <w:szCs w:val="23"/>
          <w:rtl/>
        </w:rPr>
        <w:t>نیمه عمر</w:t>
      </w:r>
      <w:r w:rsidRPr="00A40DDC">
        <w:rPr>
          <w:i/>
          <w:sz w:val="23"/>
          <w:szCs w:val="23"/>
          <w:rtl/>
        </w:rPr>
        <w:t xml:space="preserve"> آن </w:t>
      </w:r>
      <w:r w:rsidRPr="00A40DDC">
        <w:rPr>
          <w:rFonts w:hint="cs"/>
          <w:i/>
          <w:sz w:val="23"/>
          <w:szCs w:val="23"/>
          <w:rtl/>
        </w:rPr>
        <w:t>دو تا چهار سال و نیم</w:t>
      </w:r>
      <w:r w:rsidRPr="00A40DDC">
        <w:rPr>
          <w:i/>
          <w:sz w:val="23"/>
          <w:szCs w:val="23"/>
          <w:rtl/>
        </w:rPr>
        <w:t xml:space="preserve"> است.</w:t>
      </w:r>
    </w:p>
    <w:p w14:paraId="08911277" w14:textId="77777777" w:rsidR="00411620" w:rsidRPr="00A40DDC" w:rsidRDefault="00411620" w:rsidP="00C67946">
      <w:pPr>
        <w:pStyle w:val="ListParagraph"/>
        <w:numPr>
          <w:ilvl w:val="0"/>
          <w:numId w:val="5"/>
        </w:numPr>
        <w:tabs>
          <w:tab w:val="left" w:pos="-36"/>
          <w:tab w:val="left" w:pos="54"/>
        </w:tabs>
        <w:spacing w:line="216" w:lineRule="auto"/>
        <w:ind w:left="0" w:firstLine="0"/>
        <w:rPr>
          <w:i/>
          <w:sz w:val="23"/>
          <w:szCs w:val="23"/>
        </w:rPr>
      </w:pPr>
      <w:r w:rsidRPr="00A40DDC">
        <w:rPr>
          <w:rFonts w:hint="cs"/>
          <w:i/>
          <w:sz w:val="23"/>
          <w:szCs w:val="23"/>
          <w:rtl/>
        </w:rPr>
        <w:t>رابطه</w:t>
      </w:r>
      <w:r w:rsidRPr="00A40DDC">
        <w:rPr>
          <w:i/>
          <w:sz w:val="23"/>
          <w:szCs w:val="23"/>
          <w:rtl/>
        </w:rPr>
        <w:softHyphen/>
      </w:r>
      <w:r w:rsidRPr="00A40DDC">
        <w:rPr>
          <w:rFonts w:hint="cs"/>
          <w:i/>
          <w:sz w:val="23"/>
          <w:szCs w:val="23"/>
          <w:rtl/>
        </w:rPr>
        <w:t>ی مبادله</w:t>
      </w:r>
      <w:r w:rsidRPr="00A40DDC">
        <w:rPr>
          <w:i/>
          <w:sz w:val="23"/>
          <w:szCs w:val="23"/>
          <w:rtl/>
        </w:rPr>
        <w:softHyphen/>
      </w:r>
      <w:r w:rsidRPr="00A40DDC">
        <w:rPr>
          <w:rFonts w:hint="cs"/>
          <w:i/>
          <w:sz w:val="23"/>
          <w:szCs w:val="23"/>
          <w:rtl/>
        </w:rPr>
        <w:t>ی بارزگانی حقیقی</w:t>
      </w:r>
      <w:r w:rsidRPr="00A40DDC">
        <w:rPr>
          <w:position w:val="-8"/>
        </w:rPr>
        <w:object w:dxaOrig="340" w:dyaOrig="320" w14:anchorId="0BE11C0A">
          <v:shape id="_x0000_i3840" type="#_x0000_t75" style="width:16.95pt;height:15.75pt" o:ole="">
            <v:imagedata r:id="rId5669" o:title=""/>
          </v:shape>
          <o:OLEObject Type="Embed" ProgID="Equation.DSMT4" ShapeID="_x0000_i3840" DrawAspect="Content" ObjectID="_1791377784" r:id="rId5670"/>
        </w:object>
      </w:r>
      <w:r w:rsidRPr="00A40DDC">
        <w:rPr>
          <w:i/>
          <w:sz w:val="23"/>
          <w:szCs w:val="23"/>
          <w:rtl/>
        </w:rPr>
        <w:t xml:space="preserve"> </w:t>
      </w:r>
      <w:r w:rsidRPr="00A40DDC">
        <w:rPr>
          <w:rFonts w:hint="cs"/>
          <w:i/>
          <w:sz w:val="23"/>
          <w:szCs w:val="23"/>
          <w:rtl/>
        </w:rPr>
        <w:t xml:space="preserve">و نرخ ارز حقیقی </w:t>
      </w:r>
      <w:r w:rsidRPr="00A40DDC">
        <w:rPr>
          <w:i/>
          <w:sz w:val="23"/>
          <w:szCs w:val="23"/>
        </w:rPr>
        <w:t>Q</w:t>
      </w:r>
      <w:r w:rsidRPr="00A40DDC">
        <w:rPr>
          <w:rFonts w:hint="cs"/>
          <w:i/>
          <w:sz w:val="23"/>
          <w:szCs w:val="23"/>
          <w:rtl/>
        </w:rPr>
        <w:t xml:space="preserve"> </w:t>
      </w:r>
      <w:r w:rsidRPr="00A40DDC">
        <w:rPr>
          <w:i/>
          <w:sz w:val="23"/>
          <w:szCs w:val="23"/>
          <w:rtl/>
        </w:rPr>
        <w:t xml:space="preserve">تقریباً همانند نرخ ارز اسمی </w:t>
      </w:r>
      <w:r w:rsidRPr="00A40DDC">
        <w:rPr>
          <w:rFonts w:hint="cs"/>
          <w:i/>
          <w:sz w:val="23"/>
          <w:szCs w:val="23"/>
          <w:rtl/>
        </w:rPr>
        <w:t xml:space="preserve">پر نوسانند. </w:t>
      </w:r>
    </w:p>
    <w:p w14:paraId="407E181A" w14:textId="77777777" w:rsidR="00411620" w:rsidRPr="00A40DDC" w:rsidRDefault="00411620" w:rsidP="00C67946">
      <w:pPr>
        <w:pStyle w:val="ListParagraph"/>
        <w:numPr>
          <w:ilvl w:val="0"/>
          <w:numId w:val="5"/>
        </w:numPr>
        <w:tabs>
          <w:tab w:val="left" w:pos="54"/>
        </w:tabs>
        <w:spacing w:line="216" w:lineRule="auto"/>
        <w:ind w:left="0" w:firstLine="0"/>
        <w:rPr>
          <w:i/>
          <w:sz w:val="23"/>
          <w:szCs w:val="23"/>
        </w:rPr>
      </w:pPr>
      <w:r w:rsidRPr="00A40DDC">
        <w:rPr>
          <w:i/>
          <w:sz w:val="23"/>
          <w:szCs w:val="23"/>
          <w:rtl/>
        </w:rPr>
        <w:t xml:space="preserve">ضریب همبستگی بین </w:t>
      </w:r>
      <w:r w:rsidRPr="00A40DDC">
        <w:rPr>
          <w:i/>
          <w:sz w:val="23"/>
          <w:szCs w:val="23"/>
        </w:rPr>
        <w:t>Q</w:t>
      </w:r>
      <w:r w:rsidRPr="00A40DDC">
        <w:rPr>
          <w:i/>
          <w:sz w:val="23"/>
          <w:szCs w:val="23"/>
          <w:rtl/>
        </w:rPr>
        <w:t xml:space="preserve"> و</w:t>
      </w:r>
      <w:r w:rsidRPr="00A40DDC">
        <w:rPr>
          <w:position w:val="-8"/>
        </w:rPr>
        <w:object w:dxaOrig="340" w:dyaOrig="320" w14:anchorId="55FD616E">
          <v:shape id="_x0000_i3841" type="#_x0000_t75" style="width:16.95pt;height:15.75pt" o:ole="">
            <v:imagedata r:id="rId5671" o:title=""/>
          </v:shape>
          <o:OLEObject Type="Embed" ProgID="Equation.DSMT4" ShapeID="_x0000_i3841" DrawAspect="Content" ObjectID="_1791377785" r:id="rId5672"/>
        </w:object>
      </w:r>
      <w:r w:rsidRPr="00A40DDC">
        <w:rPr>
          <w:i/>
          <w:sz w:val="23"/>
          <w:szCs w:val="23"/>
          <w:rtl/>
        </w:rPr>
        <w:t xml:space="preserve"> و قیمت</w:t>
      </w:r>
      <w:r w:rsidRPr="00A40DDC">
        <w:rPr>
          <w:rFonts w:hint="cs"/>
          <w:i/>
          <w:sz w:val="23"/>
          <w:szCs w:val="23"/>
          <w:rtl/>
        </w:rPr>
        <w:t>‌</w:t>
      </w:r>
      <w:r w:rsidRPr="00A40DDC">
        <w:rPr>
          <w:i/>
          <w:sz w:val="23"/>
          <w:szCs w:val="23"/>
          <w:rtl/>
        </w:rPr>
        <w:t>های نسبی کالاهای غی</w:t>
      </w:r>
      <w:r w:rsidRPr="00A40DDC">
        <w:rPr>
          <w:rFonts w:hint="cs"/>
          <w:i/>
          <w:sz w:val="23"/>
          <w:szCs w:val="23"/>
          <w:rtl/>
        </w:rPr>
        <w:t>ر</w:t>
      </w:r>
      <w:r w:rsidRPr="00A40DDC">
        <w:rPr>
          <w:i/>
          <w:sz w:val="23"/>
          <w:szCs w:val="23"/>
          <w:rtl/>
        </w:rPr>
        <w:t>تجاری یعنی</w:t>
      </w:r>
      <w:r w:rsidRPr="00A40DDC">
        <w:rPr>
          <w:position w:val="-22"/>
        </w:rPr>
        <w:object w:dxaOrig="620" w:dyaOrig="600" w14:anchorId="748FA2D5">
          <v:shape id="_x0000_i3842" type="#_x0000_t75" style="width:31.45pt;height:29.65pt" o:ole="">
            <v:imagedata r:id="rId5673" o:title=""/>
          </v:shape>
          <o:OLEObject Type="Embed" ProgID="Equation.DSMT4" ShapeID="_x0000_i3842" DrawAspect="Content" ObjectID="_1791377786" r:id="rId5674"/>
        </w:object>
      </w:r>
      <w:r w:rsidRPr="00A40DDC">
        <w:rPr>
          <w:rFonts w:eastAsiaTheme="minorEastAsia"/>
          <w:i/>
          <w:sz w:val="23"/>
          <w:szCs w:val="23"/>
          <w:rtl/>
        </w:rPr>
        <w:t xml:space="preserve"> </w:t>
      </w:r>
      <w:r w:rsidRPr="00A40DDC">
        <w:rPr>
          <w:rFonts w:eastAsiaTheme="minorEastAsia" w:hint="cs"/>
          <w:i/>
          <w:sz w:val="23"/>
          <w:szCs w:val="23"/>
          <w:rtl/>
        </w:rPr>
        <w:t xml:space="preserve">برای اکثر کشورهای عضو </w:t>
      </w:r>
      <w:r w:rsidRPr="00A40DDC">
        <w:rPr>
          <w:rFonts w:eastAsiaTheme="minorEastAsia"/>
          <w:i/>
          <w:sz w:val="23"/>
          <w:szCs w:val="23"/>
        </w:rPr>
        <w:t xml:space="preserve">OECD </w:t>
      </w:r>
      <w:r w:rsidRPr="00A40DDC">
        <w:rPr>
          <w:rFonts w:eastAsiaTheme="minorEastAsia" w:hint="cs"/>
          <w:i/>
          <w:sz w:val="23"/>
          <w:szCs w:val="23"/>
          <w:rtl/>
        </w:rPr>
        <w:t xml:space="preserve"> </w:t>
      </w:r>
      <w:r w:rsidRPr="00A40DDC">
        <w:rPr>
          <w:rFonts w:eastAsiaTheme="minorEastAsia"/>
          <w:i/>
          <w:sz w:val="23"/>
          <w:szCs w:val="23"/>
          <w:rtl/>
        </w:rPr>
        <w:t>بین</w:t>
      </w:r>
      <w:r w:rsidRPr="00A40DDC">
        <w:rPr>
          <w:rFonts w:eastAsiaTheme="minorEastAsia" w:hint="cs"/>
          <w:i/>
          <w:sz w:val="23"/>
          <w:szCs w:val="23"/>
          <w:rtl/>
        </w:rPr>
        <w:t xml:space="preserve"> ۰.۹۲ تا یک</w:t>
      </w:r>
      <w:r w:rsidRPr="00A40DDC">
        <w:rPr>
          <w:rFonts w:eastAsiaTheme="minorEastAsia"/>
          <w:i/>
          <w:sz w:val="23"/>
          <w:szCs w:val="23"/>
          <w:rtl/>
        </w:rPr>
        <w:t xml:space="preserve"> است . </w:t>
      </w:r>
    </w:p>
    <w:p w14:paraId="406F721D" w14:textId="77777777" w:rsidR="00411620" w:rsidRPr="00A40DDC" w:rsidRDefault="00411620" w:rsidP="00C67946">
      <w:pPr>
        <w:pStyle w:val="ListParagraph"/>
        <w:numPr>
          <w:ilvl w:val="0"/>
          <w:numId w:val="5"/>
        </w:numPr>
        <w:tabs>
          <w:tab w:val="left" w:pos="-36"/>
        </w:tabs>
        <w:spacing w:line="216" w:lineRule="auto"/>
        <w:ind w:left="0" w:firstLine="0"/>
        <w:rPr>
          <w:i/>
          <w:sz w:val="23"/>
          <w:szCs w:val="23"/>
        </w:rPr>
      </w:pPr>
      <w:r w:rsidRPr="00A40DDC">
        <w:rPr>
          <w:rFonts w:eastAsiaTheme="minorEastAsia"/>
          <w:i/>
          <w:sz w:val="23"/>
          <w:szCs w:val="23"/>
          <w:rtl/>
        </w:rPr>
        <w:t xml:space="preserve">با نوسانات </w:t>
      </w:r>
      <w:r w:rsidRPr="00A40DDC">
        <w:rPr>
          <w:rFonts w:eastAsiaTheme="minorEastAsia" w:hint="cs"/>
          <w:i/>
          <w:sz w:val="23"/>
          <w:szCs w:val="23"/>
          <w:rtl/>
        </w:rPr>
        <w:t xml:space="preserve">نرخ ارز اسمی </w:t>
      </w:r>
      <w:r w:rsidRPr="00A40DDC">
        <w:rPr>
          <w:rFonts w:eastAsiaTheme="minorEastAsia"/>
          <w:i/>
          <w:sz w:val="23"/>
          <w:szCs w:val="23"/>
        </w:rPr>
        <w:t>S</w:t>
      </w:r>
      <w:r w:rsidRPr="00A40DDC">
        <w:rPr>
          <w:rFonts w:eastAsiaTheme="minorEastAsia"/>
          <w:i/>
          <w:sz w:val="23"/>
          <w:szCs w:val="23"/>
          <w:rtl/>
        </w:rPr>
        <w:t xml:space="preserve"> همبستگی</w:t>
      </w:r>
      <w:r w:rsidRPr="00A40DDC">
        <w:rPr>
          <w:rFonts w:eastAsiaTheme="minorEastAsia"/>
          <w:i/>
          <w:sz w:val="23"/>
          <w:szCs w:val="23"/>
        </w:rPr>
        <w:t xml:space="preserve"> </w:t>
      </w:r>
      <w:r w:rsidRPr="00A40DDC">
        <w:rPr>
          <w:rFonts w:eastAsiaTheme="minorEastAsia" w:hint="cs"/>
          <w:i/>
          <w:sz w:val="23"/>
          <w:szCs w:val="23"/>
          <w:rtl/>
        </w:rPr>
        <w:t>بین</w:t>
      </w:r>
      <w:r w:rsidRPr="00A40DDC">
        <w:rPr>
          <w:rFonts w:eastAsiaTheme="minorEastAsia"/>
          <w:i/>
          <w:sz w:val="23"/>
          <w:szCs w:val="23"/>
          <w:rtl/>
        </w:rPr>
        <w:t xml:space="preserve"> </w:t>
      </w:r>
      <w:r w:rsidRPr="00A40DDC">
        <w:rPr>
          <w:i/>
          <w:sz w:val="23"/>
          <w:szCs w:val="23"/>
        </w:rPr>
        <w:t>Q</w:t>
      </w:r>
      <w:r w:rsidRPr="00A40DDC">
        <w:rPr>
          <w:i/>
          <w:sz w:val="23"/>
          <w:szCs w:val="23"/>
          <w:rtl/>
        </w:rPr>
        <w:t xml:space="preserve"> و</w:t>
      </w:r>
      <w:r w:rsidRPr="00A40DDC">
        <w:rPr>
          <w:position w:val="-8"/>
        </w:rPr>
        <w:object w:dxaOrig="340" w:dyaOrig="320" w14:anchorId="4566B878">
          <v:shape id="_x0000_i3843" type="#_x0000_t75" style="width:16.95pt;height:15.75pt" o:ole="">
            <v:imagedata r:id="rId5675" o:title=""/>
          </v:shape>
          <o:OLEObject Type="Embed" ProgID="Equation.DSMT4" ShapeID="_x0000_i3843" DrawAspect="Content" ObjectID="_1791377787" r:id="rId5676"/>
        </w:object>
      </w:r>
      <w:r w:rsidRPr="00A40DDC">
        <w:rPr>
          <w:i/>
          <w:sz w:val="23"/>
          <w:szCs w:val="23"/>
          <w:rtl/>
        </w:rPr>
        <w:t xml:space="preserve"> افزایش می</w:t>
      </w:r>
      <w:r w:rsidRPr="00A40DDC">
        <w:rPr>
          <w:i/>
          <w:sz w:val="23"/>
          <w:szCs w:val="23"/>
          <w:rtl/>
        </w:rPr>
        <w:softHyphen/>
        <w:t>یابد.</w:t>
      </w:r>
    </w:p>
    <w:p w14:paraId="0E79A61E" w14:textId="77777777" w:rsidR="00411620" w:rsidRPr="00A40DDC" w:rsidRDefault="00411620" w:rsidP="00C67946">
      <w:pPr>
        <w:pStyle w:val="ListParagraph"/>
        <w:numPr>
          <w:ilvl w:val="0"/>
          <w:numId w:val="5"/>
        </w:numPr>
        <w:tabs>
          <w:tab w:val="left" w:pos="-36"/>
        </w:tabs>
        <w:spacing w:line="216" w:lineRule="auto"/>
        <w:ind w:left="0" w:firstLine="0"/>
        <w:rPr>
          <w:i/>
          <w:sz w:val="23"/>
          <w:szCs w:val="23"/>
        </w:rPr>
      </w:pPr>
      <w:r w:rsidRPr="00A40DDC">
        <w:rPr>
          <w:rFonts w:hint="cs"/>
          <w:i/>
          <w:sz w:val="23"/>
          <w:szCs w:val="23"/>
          <w:rtl/>
        </w:rPr>
        <w:t xml:space="preserve">و بالاخره </w:t>
      </w:r>
      <w:r w:rsidRPr="00A40DDC">
        <w:rPr>
          <w:i/>
          <w:sz w:val="23"/>
          <w:szCs w:val="23"/>
          <w:rtl/>
        </w:rPr>
        <w:t xml:space="preserve">تغییرات </w:t>
      </w:r>
      <w:r w:rsidRPr="00A40DDC">
        <w:rPr>
          <w:rFonts w:hint="cs"/>
          <w:i/>
          <w:sz w:val="23"/>
          <w:szCs w:val="23"/>
          <w:rtl/>
        </w:rPr>
        <w:t xml:space="preserve">نرخ ارز حقیقی بیشتر به تبع </w:t>
      </w:r>
      <w:r w:rsidRPr="00A40DDC">
        <w:rPr>
          <w:i/>
          <w:sz w:val="23"/>
          <w:szCs w:val="23"/>
          <w:rtl/>
        </w:rPr>
        <w:t xml:space="preserve">تغییرات </w:t>
      </w:r>
      <w:r w:rsidRPr="00A40DDC">
        <w:rPr>
          <w:rFonts w:hint="cs"/>
          <w:i/>
          <w:sz w:val="23"/>
          <w:szCs w:val="23"/>
          <w:rtl/>
        </w:rPr>
        <w:t xml:space="preserve">نرخ </w:t>
      </w:r>
      <w:r w:rsidRPr="00A40DDC">
        <w:rPr>
          <w:i/>
          <w:sz w:val="23"/>
          <w:szCs w:val="23"/>
          <w:rtl/>
        </w:rPr>
        <w:t xml:space="preserve">ارز اسمی </w:t>
      </w:r>
      <w:r w:rsidRPr="00A40DDC">
        <w:rPr>
          <w:i/>
          <w:sz w:val="23"/>
          <w:szCs w:val="23"/>
        </w:rPr>
        <w:t>S</w:t>
      </w:r>
      <w:r w:rsidRPr="00A40DDC">
        <w:rPr>
          <w:i/>
          <w:sz w:val="23"/>
          <w:szCs w:val="23"/>
          <w:rtl/>
        </w:rPr>
        <w:t xml:space="preserve"> </w:t>
      </w:r>
      <w:r w:rsidRPr="00A40DDC">
        <w:rPr>
          <w:rFonts w:hint="cs"/>
          <w:i/>
          <w:sz w:val="23"/>
          <w:szCs w:val="23"/>
          <w:rtl/>
        </w:rPr>
        <w:t>می</w:t>
      </w:r>
      <w:r w:rsidRPr="00A40DDC">
        <w:rPr>
          <w:i/>
          <w:sz w:val="23"/>
          <w:szCs w:val="23"/>
          <w:rtl/>
        </w:rPr>
        <w:softHyphen/>
        <w:t>باشد تا نسبت قیمت</w:t>
      </w:r>
      <w:r w:rsidRPr="00A40DDC">
        <w:rPr>
          <w:i/>
          <w:sz w:val="23"/>
          <w:szCs w:val="23"/>
          <w:rtl/>
        </w:rPr>
        <w:softHyphen/>
        <w:t>ها</w:t>
      </w:r>
      <w:r w:rsidRPr="00A40DDC">
        <w:rPr>
          <w:rFonts w:hint="cs"/>
          <w:i/>
          <w:sz w:val="23"/>
          <w:szCs w:val="23"/>
          <w:rtl/>
        </w:rPr>
        <w:t>، زیرا</w:t>
      </w:r>
      <w:r w:rsidRPr="00A40DDC">
        <w:rPr>
          <w:i/>
          <w:sz w:val="23"/>
          <w:szCs w:val="23"/>
          <w:rtl/>
        </w:rPr>
        <w:t xml:space="preserve"> بدلیل هدف</w:t>
      </w:r>
      <w:r w:rsidRPr="00A40DDC">
        <w:rPr>
          <w:i/>
          <w:sz w:val="23"/>
          <w:szCs w:val="23"/>
          <w:rtl/>
        </w:rPr>
        <w:softHyphen/>
        <w:t>گذاری دولت</w:t>
      </w:r>
      <w:r w:rsidRPr="00A40DDC">
        <w:rPr>
          <w:i/>
          <w:sz w:val="23"/>
          <w:szCs w:val="23"/>
          <w:rtl/>
        </w:rPr>
        <w:softHyphen/>
        <w:t xml:space="preserve">ها </w:t>
      </w:r>
      <w:r w:rsidRPr="00A40DDC">
        <w:rPr>
          <w:rFonts w:hint="cs"/>
          <w:i/>
          <w:sz w:val="23"/>
          <w:szCs w:val="23"/>
          <w:rtl/>
        </w:rPr>
        <w:t>و چسبندگی قیمت</w:t>
      </w:r>
      <w:r w:rsidRPr="00A40DDC">
        <w:rPr>
          <w:i/>
          <w:sz w:val="23"/>
          <w:szCs w:val="23"/>
          <w:rtl/>
        </w:rPr>
        <w:softHyphen/>
      </w:r>
      <w:r w:rsidRPr="00A40DDC">
        <w:rPr>
          <w:rFonts w:hint="cs"/>
          <w:i/>
          <w:sz w:val="23"/>
          <w:szCs w:val="23"/>
          <w:rtl/>
        </w:rPr>
        <w:t>ها،</w:t>
      </w:r>
      <w:r w:rsidRPr="00A40DDC">
        <w:rPr>
          <w:i/>
          <w:sz w:val="23"/>
          <w:szCs w:val="23"/>
          <w:rtl/>
        </w:rPr>
        <w:t xml:space="preserve"> </w:t>
      </w:r>
      <w:r w:rsidRPr="00A40DDC">
        <w:rPr>
          <w:rFonts w:hint="cs"/>
          <w:i/>
          <w:sz w:val="23"/>
          <w:szCs w:val="23"/>
          <w:rtl/>
        </w:rPr>
        <w:t>معمولاً قیمت</w:t>
      </w:r>
      <w:r w:rsidRPr="00A40DDC">
        <w:rPr>
          <w:i/>
          <w:sz w:val="23"/>
          <w:szCs w:val="23"/>
          <w:rtl/>
        </w:rPr>
        <w:softHyphen/>
      </w:r>
      <w:r w:rsidRPr="00A40DDC">
        <w:rPr>
          <w:rFonts w:hint="cs"/>
          <w:i/>
          <w:sz w:val="23"/>
          <w:szCs w:val="23"/>
          <w:rtl/>
        </w:rPr>
        <w:t xml:space="preserve">ها </w:t>
      </w:r>
      <w:r w:rsidRPr="00A40DDC">
        <w:rPr>
          <w:i/>
          <w:sz w:val="23"/>
          <w:szCs w:val="23"/>
          <w:rtl/>
        </w:rPr>
        <w:t xml:space="preserve">تغییرپذیری کمتری </w:t>
      </w:r>
      <w:r w:rsidRPr="00A40DDC">
        <w:rPr>
          <w:rFonts w:hint="cs"/>
          <w:i/>
          <w:sz w:val="23"/>
          <w:szCs w:val="23"/>
          <w:rtl/>
        </w:rPr>
        <w:t>نسبت به نرخ ارز اسمی د</w:t>
      </w:r>
      <w:r w:rsidRPr="00A40DDC">
        <w:rPr>
          <w:i/>
          <w:sz w:val="23"/>
          <w:szCs w:val="23"/>
          <w:rtl/>
        </w:rPr>
        <w:t>ا</w:t>
      </w:r>
      <w:r w:rsidRPr="00A40DDC">
        <w:rPr>
          <w:rFonts w:hint="cs"/>
          <w:i/>
          <w:sz w:val="23"/>
          <w:szCs w:val="23"/>
          <w:rtl/>
        </w:rPr>
        <w:t>ر</w:t>
      </w:r>
      <w:r w:rsidRPr="00A40DDC">
        <w:rPr>
          <w:i/>
          <w:sz w:val="23"/>
          <w:szCs w:val="23"/>
          <w:rtl/>
        </w:rPr>
        <w:t>ند</w:t>
      </w:r>
      <w:r w:rsidRPr="00A40DDC">
        <w:rPr>
          <w:rFonts w:hint="cs"/>
          <w:i/>
          <w:sz w:val="23"/>
          <w:szCs w:val="23"/>
          <w:rtl/>
        </w:rPr>
        <w:t>.</w:t>
      </w:r>
    </w:p>
    <w:p w14:paraId="6BE68FBB" w14:textId="77777777" w:rsidR="00411620" w:rsidRPr="00A40DDC" w:rsidRDefault="00411620" w:rsidP="00411620">
      <w:pPr>
        <w:pStyle w:val="ListParagraph"/>
        <w:tabs>
          <w:tab w:val="left" w:pos="283"/>
          <w:tab w:val="left" w:pos="3521"/>
        </w:tabs>
        <w:spacing w:line="216" w:lineRule="auto"/>
        <w:ind w:left="0"/>
        <w:rPr>
          <w:i/>
          <w:sz w:val="23"/>
          <w:szCs w:val="23"/>
          <w:rtl/>
        </w:rPr>
      </w:pPr>
    </w:p>
    <w:p w14:paraId="0724FA0A" w14:textId="77777777" w:rsidR="00411620" w:rsidRPr="00A40DDC" w:rsidRDefault="00411620" w:rsidP="00411620">
      <w:pPr>
        <w:pStyle w:val="Heading1"/>
        <w:spacing w:before="0" w:after="0" w:line="216" w:lineRule="auto"/>
        <w:rPr>
          <w:rFonts w:ascii="Times New Roman" w:hAnsi="Times New Roman" w:cs="B Nazanin"/>
          <w:b w:val="0"/>
          <w:i/>
          <w:sz w:val="23"/>
          <w:szCs w:val="23"/>
          <w:rtl/>
        </w:rPr>
      </w:pPr>
      <w:r w:rsidRPr="00A40DDC">
        <w:rPr>
          <w:rFonts w:ascii="Times New Roman" w:hAnsi="Times New Roman" w:cs="B Nazanin" w:hint="cs"/>
          <w:b w:val="0"/>
          <w:i/>
          <w:sz w:val="23"/>
          <w:szCs w:val="23"/>
          <w:rtl/>
        </w:rPr>
        <w:t xml:space="preserve">۷. ۵ </w:t>
      </w:r>
      <w:r w:rsidRPr="00A40DDC">
        <w:rPr>
          <w:rFonts w:ascii="Times New Roman" w:hAnsi="Times New Roman" w:cs="B Nazanin"/>
          <w:b w:val="0"/>
          <w:i/>
          <w:sz w:val="23"/>
          <w:szCs w:val="23"/>
          <w:rtl/>
        </w:rPr>
        <w:t>جانش</w:t>
      </w:r>
      <w:r w:rsidRPr="00A40DDC">
        <w:rPr>
          <w:rFonts w:ascii="Times New Roman" w:hAnsi="Times New Roman" w:cs="B Nazanin" w:hint="cs"/>
          <w:b w:val="0"/>
          <w:i/>
          <w:sz w:val="23"/>
          <w:szCs w:val="23"/>
          <w:rtl/>
        </w:rPr>
        <w:t>ی</w:t>
      </w:r>
      <w:r w:rsidRPr="00A40DDC">
        <w:rPr>
          <w:rFonts w:ascii="Times New Roman" w:hAnsi="Times New Roman" w:cs="B Nazanin"/>
          <w:b w:val="0"/>
          <w:i/>
          <w:sz w:val="23"/>
          <w:szCs w:val="23"/>
          <w:rtl/>
        </w:rPr>
        <w:t>ن</w:t>
      </w:r>
      <w:r w:rsidRPr="00A40DDC">
        <w:rPr>
          <w:rFonts w:ascii="Times New Roman" w:hAnsi="Times New Roman" w:cs="B Nazanin"/>
          <w:b w:val="0"/>
          <w:i/>
          <w:sz w:val="23"/>
          <w:szCs w:val="23"/>
          <w:rtl/>
        </w:rPr>
        <w:softHyphen/>
      </w:r>
      <w:r w:rsidRPr="00A40DDC">
        <w:rPr>
          <w:rFonts w:ascii="Times New Roman" w:hAnsi="Times New Roman" w:cs="B Nazanin" w:hint="cs"/>
          <w:b w:val="0"/>
          <w:i/>
          <w:sz w:val="23"/>
          <w:szCs w:val="23"/>
          <w:rtl/>
        </w:rPr>
        <w:t>پذیری</w:t>
      </w:r>
      <w:r w:rsidRPr="00A40DDC">
        <w:rPr>
          <w:rFonts w:ascii="Times New Roman" w:hAnsi="Times New Roman" w:cs="B Nazanin"/>
          <w:b w:val="0"/>
          <w:i/>
          <w:sz w:val="23"/>
          <w:szCs w:val="23"/>
          <w:rtl/>
        </w:rPr>
        <w:t xml:space="preserve"> ناق</w:t>
      </w:r>
      <w:r w:rsidRPr="00A40DDC">
        <w:rPr>
          <w:rFonts w:ascii="Times New Roman" w:hAnsi="Times New Roman" w:cs="B Nazanin" w:hint="cs"/>
          <w:b w:val="0"/>
          <w:i/>
          <w:sz w:val="23"/>
          <w:szCs w:val="23"/>
          <w:rtl/>
        </w:rPr>
        <w:t>ص</w:t>
      </w:r>
      <w:r w:rsidRPr="00A40DDC">
        <w:rPr>
          <w:rFonts w:ascii="Times New Roman" w:hAnsi="Times New Roman" w:cs="B Nazanin"/>
          <w:b w:val="0"/>
          <w:i/>
          <w:sz w:val="23"/>
          <w:szCs w:val="23"/>
          <w:rtl/>
        </w:rPr>
        <w:t xml:space="preserve"> کالاهای </w:t>
      </w:r>
      <w:r w:rsidRPr="00A40DDC">
        <w:rPr>
          <w:rFonts w:ascii="Times New Roman" w:hAnsi="Times New Roman" w:cs="B Nazanin" w:hint="cs"/>
          <w:b w:val="0"/>
          <w:i/>
          <w:sz w:val="23"/>
          <w:szCs w:val="23"/>
          <w:rtl/>
        </w:rPr>
        <w:t xml:space="preserve">قابل </w:t>
      </w:r>
      <w:r w:rsidRPr="00A40DDC">
        <w:rPr>
          <w:rFonts w:ascii="Times New Roman" w:hAnsi="Times New Roman" w:cs="B Nazanin"/>
          <w:b w:val="0"/>
          <w:i/>
          <w:sz w:val="23"/>
          <w:szCs w:val="23"/>
          <w:rtl/>
        </w:rPr>
        <w:t>تجار</w:t>
      </w:r>
      <w:r w:rsidRPr="00A40DDC">
        <w:rPr>
          <w:rFonts w:ascii="Times New Roman" w:hAnsi="Times New Roman" w:cs="B Nazanin" w:hint="cs"/>
          <w:b w:val="0"/>
          <w:i/>
          <w:sz w:val="23"/>
          <w:szCs w:val="23"/>
          <w:rtl/>
        </w:rPr>
        <w:t>ت</w:t>
      </w:r>
    </w:p>
    <w:p w14:paraId="309903E9" w14:textId="77777777" w:rsidR="00411620" w:rsidRPr="00A40DDC" w:rsidRDefault="00411620" w:rsidP="00411620">
      <w:pPr>
        <w:spacing w:line="216" w:lineRule="auto"/>
        <w:rPr>
          <w:i/>
          <w:sz w:val="23"/>
          <w:szCs w:val="23"/>
          <w:rtl/>
        </w:rPr>
      </w:pPr>
      <w:r w:rsidRPr="00A40DDC">
        <w:rPr>
          <w:rFonts w:hint="cs"/>
          <w:i/>
          <w:sz w:val="23"/>
          <w:szCs w:val="23"/>
          <w:rtl/>
        </w:rPr>
        <w:t>قبلاً جانشین</w:t>
      </w:r>
      <w:r w:rsidRPr="00A40DDC">
        <w:rPr>
          <w:i/>
          <w:sz w:val="23"/>
          <w:szCs w:val="23"/>
          <w:rtl/>
        </w:rPr>
        <w:softHyphen/>
      </w:r>
      <w:r w:rsidRPr="00A40DDC">
        <w:rPr>
          <w:rFonts w:hint="cs"/>
          <w:i/>
          <w:sz w:val="23"/>
          <w:szCs w:val="23"/>
          <w:rtl/>
        </w:rPr>
        <w:t>پذیری ناقص بین کالاهای قابل تجارت و غیرقابل تجارت را مورد بررسی قرار دادیم. اکنون جانشین</w:t>
      </w:r>
      <w:r w:rsidRPr="00A40DDC">
        <w:rPr>
          <w:i/>
          <w:sz w:val="23"/>
          <w:szCs w:val="23"/>
          <w:rtl/>
        </w:rPr>
        <w:softHyphen/>
      </w:r>
      <w:r w:rsidRPr="00A40DDC">
        <w:rPr>
          <w:rFonts w:hint="cs"/>
          <w:i/>
          <w:sz w:val="23"/>
          <w:szCs w:val="23"/>
          <w:rtl/>
        </w:rPr>
        <w:t>پذیری ناقص کالاهای قابل تجارت را بررسی خواهیم کرد. ابتدا برخی مفاهیم قیمت</w:t>
      </w:r>
      <w:r w:rsidRPr="00A40DDC">
        <w:rPr>
          <w:i/>
          <w:sz w:val="23"/>
          <w:szCs w:val="23"/>
          <w:rtl/>
        </w:rPr>
        <w:softHyphen/>
      </w:r>
      <w:r w:rsidRPr="00A40DDC">
        <w:rPr>
          <w:rFonts w:hint="cs"/>
          <w:i/>
          <w:sz w:val="23"/>
          <w:szCs w:val="23"/>
          <w:rtl/>
        </w:rPr>
        <w:t>گذاری و درجه‌ی جانشین</w:t>
      </w:r>
      <w:r w:rsidRPr="00A40DDC">
        <w:rPr>
          <w:i/>
          <w:sz w:val="23"/>
          <w:szCs w:val="23"/>
          <w:rtl/>
        </w:rPr>
        <w:softHyphen/>
      </w:r>
      <w:r w:rsidRPr="00A40DDC">
        <w:rPr>
          <w:rFonts w:hint="cs"/>
          <w:i/>
          <w:sz w:val="23"/>
          <w:szCs w:val="23"/>
          <w:rtl/>
        </w:rPr>
        <w:t>پذیری بین کالاهای قابل تجارت را مورد بررسی قرار می‌دهیم. سپس مدلی که در آن امکان جانشین</w:t>
      </w:r>
      <w:r w:rsidRPr="00A40DDC">
        <w:rPr>
          <w:i/>
          <w:sz w:val="23"/>
          <w:szCs w:val="23"/>
          <w:rtl/>
        </w:rPr>
        <w:softHyphen/>
      </w:r>
      <w:r w:rsidRPr="00A40DDC">
        <w:rPr>
          <w:rFonts w:hint="cs"/>
          <w:i/>
          <w:sz w:val="23"/>
          <w:szCs w:val="23"/>
          <w:rtl/>
        </w:rPr>
        <w:t>پذیری ناقص در میان کالاهای قابل تجارت و بین کالاهای تجاری و غیرتجاری فراهم می‌شود را بسط خواهیم داد.</w:t>
      </w:r>
    </w:p>
    <w:p w14:paraId="7937D6E9" w14:textId="77777777" w:rsidR="00411620" w:rsidRPr="00A40DDC" w:rsidRDefault="00411620" w:rsidP="00411620">
      <w:pPr>
        <w:spacing w:line="216" w:lineRule="auto"/>
        <w:rPr>
          <w:i/>
          <w:sz w:val="23"/>
          <w:szCs w:val="23"/>
          <w:rtl/>
        </w:rPr>
      </w:pPr>
    </w:p>
    <w:p w14:paraId="6E3C9D9B" w14:textId="77777777" w:rsidR="00411620" w:rsidRPr="00A40DDC" w:rsidRDefault="00411620" w:rsidP="00411620">
      <w:pPr>
        <w:tabs>
          <w:tab w:val="left" w:pos="3521"/>
        </w:tabs>
        <w:spacing w:line="216" w:lineRule="auto"/>
        <w:rPr>
          <w:bCs/>
          <w:i/>
          <w:sz w:val="23"/>
          <w:szCs w:val="23"/>
          <w:rtl/>
        </w:rPr>
      </w:pPr>
      <w:r w:rsidRPr="00A40DDC">
        <w:rPr>
          <w:rFonts w:hint="cs"/>
          <w:bCs/>
          <w:i/>
          <w:sz w:val="23"/>
          <w:szCs w:val="23"/>
          <w:rtl/>
        </w:rPr>
        <w:t>۷. ۵. ۱ قیمت</w:t>
      </w:r>
      <w:r w:rsidRPr="00A40DDC">
        <w:rPr>
          <w:bCs/>
          <w:i/>
          <w:sz w:val="23"/>
          <w:szCs w:val="23"/>
          <w:rtl/>
        </w:rPr>
        <w:softHyphen/>
      </w:r>
      <w:r w:rsidRPr="00A40DDC">
        <w:rPr>
          <w:rFonts w:hint="cs"/>
          <w:bCs/>
          <w:i/>
          <w:sz w:val="23"/>
          <w:szCs w:val="23"/>
          <w:rtl/>
        </w:rPr>
        <w:t>گذاری به پول تولیدکننده، قیمت</w:t>
      </w:r>
      <w:r w:rsidRPr="00A40DDC">
        <w:rPr>
          <w:bCs/>
          <w:i/>
          <w:sz w:val="23"/>
          <w:szCs w:val="23"/>
          <w:rtl/>
        </w:rPr>
        <w:softHyphen/>
      </w:r>
      <w:r w:rsidRPr="00A40DDC">
        <w:rPr>
          <w:rFonts w:hint="cs"/>
          <w:bCs/>
          <w:i/>
          <w:sz w:val="23"/>
          <w:szCs w:val="23"/>
          <w:rtl/>
        </w:rPr>
        <w:t>گذاری به پول داخلی، حکم قیمت به بازار</w:t>
      </w:r>
    </w:p>
    <w:p w14:paraId="267731FB" w14:textId="77777777" w:rsidR="00411620" w:rsidRPr="00A40DDC" w:rsidRDefault="00411620" w:rsidP="00411620">
      <w:pPr>
        <w:tabs>
          <w:tab w:val="left" w:pos="3521"/>
        </w:tabs>
        <w:spacing w:line="216" w:lineRule="auto"/>
        <w:rPr>
          <w:i/>
          <w:sz w:val="23"/>
          <w:szCs w:val="23"/>
          <w:rtl/>
        </w:rPr>
      </w:pPr>
      <w:r w:rsidRPr="00A40DDC">
        <w:rPr>
          <w:i/>
          <w:sz w:val="23"/>
          <w:szCs w:val="23"/>
          <w:rtl/>
        </w:rPr>
        <w:t>معمولاً</w:t>
      </w:r>
      <w:r w:rsidRPr="00A40DDC">
        <w:rPr>
          <w:rFonts w:hint="cs"/>
          <w:i/>
          <w:sz w:val="23"/>
          <w:szCs w:val="23"/>
          <w:rtl/>
        </w:rPr>
        <w:t xml:space="preserve"> </w:t>
      </w:r>
      <w:r w:rsidRPr="00A40DDC">
        <w:rPr>
          <w:i/>
          <w:sz w:val="23"/>
          <w:szCs w:val="23"/>
          <w:rtl/>
        </w:rPr>
        <w:t>کالاها و خدمات تجاری تولید شده</w:t>
      </w:r>
      <w:r w:rsidRPr="00A40DDC">
        <w:rPr>
          <w:rFonts w:hint="cs"/>
          <w:i/>
          <w:sz w:val="23"/>
          <w:szCs w:val="23"/>
          <w:rtl/>
        </w:rPr>
        <w:t xml:space="preserve"> </w:t>
      </w:r>
      <w:r w:rsidRPr="00A40DDC">
        <w:rPr>
          <w:i/>
          <w:sz w:val="23"/>
          <w:szCs w:val="23"/>
          <w:rtl/>
        </w:rPr>
        <w:t>در داخل و</w:t>
      </w:r>
      <w:r w:rsidRPr="00A40DDC">
        <w:rPr>
          <w:rFonts w:hint="cs"/>
          <w:i/>
          <w:sz w:val="23"/>
          <w:szCs w:val="23"/>
          <w:rtl/>
        </w:rPr>
        <w:t xml:space="preserve"> </w:t>
      </w:r>
      <w:r w:rsidRPr="00A40DDC">
        <w:rPr>
          <w:i/>
          <w:sz w:val="23"/>
          <w:szCs w:val="23"/>
          <w:rtl/>
        </w:rPr>
        <w:t>خارج</w:t>
      </w:r>
      <w:r w:rsidRPr="00A40DDC">
        <w:rPr>
          <w:rFonts w:hint="cs"/>
          <w:i/>
          <w:sz w:val="23"/>
          <w:szCs w:val="23"/>
          <w:rtl/>
        </w:rPr>
        <w:t xml:space="preserve"> </w:t>
      </w:r>
      <w:r w:rsidRPr="00A40DDC">
        <w:rPr>
          <w:i/>
          <w:sz w:val="23"/>
          <w:szCs w:val="23"/>
          <w:rtl/>
        </w:rPr>
        <w:t>مصرف می</w:t>
      </w:r>
      <w:r w:rsidRPr="00A40DDC">
        <w:rPr>
          <w:rFonts w:hint="cs"/>
          <w:i/>
          <w:sz w:val="23"/>
          <w:szCs w:val="23"/>
          <w:rtl/>
        </w:rPr>
        <w:t>‌شوند.</w:t>
      </w:r>
      <w:r w:rsidRPr="00A40DDC">
        <w:rPr>
          <w:i/>
          <w:sz w:val="23"/>
          <w:szCs w:val="23"/>
          <w:rtl/>
        </w:rPr>
        <w:t xml:space="preserve"> اگر قیود مربوط به تجارت وجود نداشته باشد</w:t>
      </w:r>
      <w:r w:rsidRPr="00A40DDC">
        <w:rPr>
          <w:rFonts w:hint="cs"/>
          <w:i/>
          <w:sz w:val="23"/>
          <w:szCs w:val="23"/>
          <w:rtl/>
        </w:rPr>
        <w:t>،</w:t>
      </w:r>
      <w:r w:rsidRPr="00A40DDC">
        <w:rPr>
          <w:i/>
          <w:sz w:val="23"/>
          <w:szCs w:val="23"/>
          <w:rtl/>
        </w:rPr>
        <w:t xml:space="preserve"> کالاها و خدمات تجاری جانشین ناقص</w:t>
      </w:r>
      <w:r w:rsidRPr="00A40DDC">
        <w:rPr>
          <w:i/>
          <w:sz w:val="23"/>
          <w:szCs w:val="23"/>
          <w:rtl/>
        </w:rPr>
        <w:softHyphen/>
        <w:t>اند.</w:t>
      </w:r>
      <w:r w:rsidRPr="00A40DDC">
        <w:rPr>
          <w:rFonts w:hint="cs"/>
          <w:i/>
          <w:sz w:val="23"/>
          <w:szCs w:val="23"/>
          <w:rtl/>
        </w:rPr>
        <w:t xml:space="preserve"> </w:t>
      </w:r>
      <w:r w:rsidRPr="00A40DDC">
        <w:rPr>
          <w:i/>
          <w:sz w:val="23"/>
          <w:szCs w:val="23"/>
          <w:rtl/>
        </w:rPr>
        <w:t>اگر کالاها و خدمات تجاری داخلی و خارجی جانشین نزدیک باشند</w:t>
      </w:r>
      <w:r w:rsidRPr="00A40DDC">
        <w:rPr>
          <w:rFonts w:hint="cs"/>
          <w:i/>
          <w:sz w:val="23"/>
          <w:szCs w:val="23"/>
          <w:rtl/>
        </w:rPr>
        <w:t>،</w:t>
      </w:r>
      <w:r w:rsidRPr="00A40DDC">
        <w:rPr>
          <w:i/>
          <w:sz w:val="23"/>
          <w:szCs w:val="23"/>
          <w:rtl/>
        </w:rPr>
        <w:t xml:space="preserve"> آنگاه برای </w:t>
      </w:r>
      <w:r w:rsidRPr="00A40DDC">
        <w:rPr>
          <w:rFonts w:hint="cs"/>
          <w:i/>
          <w:sz w:val="23"/>
          <w:szCs w:val="23"/>
          <w:rtl/>
        </w:rPr>
        <w:t xml:space="preserve">یک </w:t>
      </w:r>
      <w:r w:rsidRPr="00A40DDC">
        <w:rPr>
          <w:i/>
          <w:sz w:val="23"/>
          <w:szCs w:val="23"/>
          <w:rtl/>
        </w:rPr>
        <w:t>اقتصاد کوچک</w:t>
      </w:r>
      <w:r w:rsidRPr="00A40DDC">
        <w:rPr>
          <w:rFonts w:hint="cs"/>
          <w:i/>
          <w:sz w:val="23"/>
          <w:szCs w:val="23"/>
          <w:rtl/>
        </w:rPr>
        <w:t>،</w:t>
      </w:r>
      <w:r w:rsidRPr="00A40DDC">
        <w:rPr>
          <w:i/>
          <w:sz w:val="23"/>
          <w:szCs w:val="23"/>
          <w:rtl/>
        </w:rPr>
        <w:t xml:space="preserve"> </w:t>
      </w:r>
      <w:r w:rsidRPr="00A40DDC">
        <w:rPr>
          <w:rFonts w:hint="cs"/>
          <w:i/>
          <w:sz w:val="23"/>
          <w:szCs w:val="23"/>
          <w:rtl/>
        </w:rPr>
        <w:t>قیم</w:t>
      </w:r>
      <w:r w:rsidRPr="00A40DDC">
        <w:rPr>
          <w:i/>
          <w:sz w:val="23"/>
          <w:szCs w:val="23"/>
          <w:rtl/>
        </w:rPr>
        <w:t xml:space="preserve">ت </w:t>
      </w:r>
      <w:r w:rsidRPr="00A40DDC">
        <w:rPr>
          <w:rFonts w:hint="cs"/>
          <w:i/>
          <w:sz w:val="23"/>
          <w:szCs w:val="23"/>
          <w:rtl/>
        </w:rPr>
        <w:t xml:space="preserve">کالاهای </w:t>
      </w:r>
      <w:r w:rsidRPr="00A40DDC">
        <w:rPr>
          <w:i/>
          <w:sz w:val="23"/>
          <w:szCs w:val="23"/>
          <w:rtl/>
        </w:rPr>
        <w:t>صادرات</w:t>
      </w:r>
      <w:r w:rsidRPr="00A40DDC">
        <w:rPr>
          <w:rFonts w:hint="cs"/>
          <w:i/>
          <w:sz w:val="23"/>
          <w:szCs w:val="23"/>
          <w:rtl/>
        </w:rPr>
        <w:t>ی</w:t>
      </w:r>
      <w:r w:rsidRPr="00A40DDC">
        <w:rPr>
          <w:i/>
          <w:sz w:val="23"/>
          <w:szCs w:val="23"/>
          <w:rtl/>
        </w:rPr>
        <w:t xml:space="preserve"> و واردات</w:t>
      </w:r>
      <w:r w:rsidRPr="00A40DDC">
        <w:rPr>
          <w:rFonts w:hint="cs"/>
          <w:i/>
          <w:sz w:val="23"/>
          <w:szCs w:val="23"/>
          <w:rtl/>
        </w:rPr>
        <w:t>ی</w:t>
      </w:r>
      <w:r w:rsidRPr="00A40DDC">
        <w:rPr>
          <w:i/>
          <w:sz w:val="23"/>
          <w:szCs w:val="23"/>
          <w:rtl/>
        </w:rPr>
        <w:t xml:space="preserve"> بوسیله قیمت</w:t>
      </w:r>
      <w:r w:rsidRPr="00A40DDC">
        <w:rPr>
          <w:rFonts w:hint="cs"/>
          <w:i/>
          <w:sz w:val="23"/>
          <w:szCs w:val="23"/>
          <w:rtl/>
        </w:rPr>
        <w:t>‌</w:t>
      </w:r>
      <w:r w:rsidRPr="00A40DDC">
        <w:rPr>
          <w:i/>
          <w:sz w:val="23"/>
          <w:szCs w:val="23"/>
          <w:rtl/>
        </w:rPr>
        <w:t>های جهانی معین می</w:t>
      </w:r>
      <w:r w:rsidRPr="00A40DDC">
        <w:rPr>
          <w:rFonts w:hint="cs"/>
          <w:i/>
          <w:sz w:val="23"/>
          <w:szCs w:val="23"/>
          <w:rtl/>
        </w:rPr>
        <w:t>‌</w:t>
      </w:r>
      <w:r w:rsidRPr="00A40DDC">
        <w:rPr>
          <w:i/>
          <w:sz w:val="23"/>
          <w:szCs w:val="23"/>
          <w:rtl/>
        </w:rPr>
        <w:t>شود</w:t>
      </w:r>
      <w:r w:rsidRPr="00A40DDC">
        <w:rPr>
          <w:rFonts w:hint="cs"/>
          <w:i/>
          <w:sz w:val="23"/>
          <w:szCs w:val="23"/>
          <w:rtl/>
        </w:rPr>
        <w:t>.</w:t>
      </w:r>
      <w:r w:rsidRPr="00A40DDC">
        <w:rPr>
          <w:i/>
          <w:sz w:val="23"/>
          <w:szCs w:val="23"/>
          <w:rtl/>
        </w:rPr>
        <w:t xml:space="preserve"> در این حالت </w:t>
      </w:r>
      <w:r w:rsidRPr="00A40DDC">
        <w:rPr>
          <w:rFonts w:hint="cs"/>
          <w:i/>
          <w:sz w:val="23"/>
          <w:szCs w:val="23"/>
          <w:rtl/>
        </w:rPr>
        <w:t xml:space="preserve">کاهش </w:t>
      </w:r>
      <w:r w:rsidRPr="00A40DDC">
        <w:rPr>
          <w:i/>
          <w:sz w:val="23"/>
          <w:szCs w:val="23"/>
          <w:rtl/>
        </w:rPr>
        <w:t>ارزش پول داخلی</w:t>
      </w:r>
      <w:r w:rsidRPr="00A40DDC">
        <w:rPr>
          <w:rFonts w:hint="cs"/>
          <w:i/>
          <w:sz w:val="23"/>
          <w:szCs w:val="23"/>
          <w:rtl/>
        </w:rPr>
        <w:t>،</w:t>
      </w:r>
      <w:r w:rsidRPr="00A40DDC">
        <w:rPr>
          <w:i/>
          <w:sz w:val="23"/>
          <w:szCs w:val="23"/>
          <w:rtl/>
        </w:rPr>
        <w:t xml:space="preserve"> یا</w:t>
      </w:r>
      <w:r w:rsidRPr="00A40DDC">
        <w:rPr>
          <w:rFonts w:hint="cs"/>
          <w:i/>
          <w:sz w:val="23"/>
          <w:szCs w:val="23"/>
          <w:rtl/>
        </w:rPr>
        <w:t xml:space="preserve"> افزایش</w:t>
      </w:r>
      <w:r w:rsidRPr="00A40DDC">
        <w:rPr>
          <w:i/>
          <w:sz w:val="23"/>
          <w:szCs w:val="23"/>
          <w:rtl/>
        </w:rPr>
        <w:t xml:space="preserve"> قیمت</w:t>
      </w:r>
      <w:r w:rsidRPr="00A40DDC">
        <w:rPr>
          <w:i/>
          <w:sz w:val="23"/>
          <w:szCs w:val="23"/>
          <w:rtl/>
        </w:rPr>
        <w:softHyphen/>
      </w:r>
      <w:r w:rsidRPr="00A40DDC">
        <w:rPr>
          <w:rFonts w:hint="cs"/>
          <w:i/>
          <w:sz w:val="23"/>
          <w:szCs w:val="23"/>
          <w:rtl/>
        </w:rPr>
        <w:t>های</w:t>
      </w:r>
      <w:r w:rsidRPr="00A40DDC">
        <w:rPr>
          <w:i/>
          <w:sz w:val="23"/>
          <w:szCs w:val="23"/>
          <w:rtl/>
        </w:rPr>
        <w:t xml:space="preserve"> جهانی</w:t>
      </w:r>
      <w:r w:rsidRPr="00A40DDC">
        <w:rPr>
          <w:rFonts w:hint="cs"/>
          <w:i/>
          <w:sz w:val="23"/>
          <w:szCs w:val="23"/>
          <w:rtl/>
        </w:rPr>
        <w:t xml:space="preserve">، منجر به افزایش قیمت صادرات و واردات برحسب پول داخلی می‌شود. </w:t>
      </w:r>
    </w:p>
    <w:p w14:paraId="45C52899" w14:textId="77777777" w:rsidR="00411620" w:rsidRPr="00A40DDC" w:rsidRDefault="00411620" w:rsidP="00411620">
      <w:pPr>
        <w:tabs>
          <w:tab w:val="left" w:pos="3521"/>
        </w:tabs>
        <w:spacing w:line="216" w:lineRule="auto"/>
        <w:rPr>
          <w:i/>
          <w:sz w:val="23"/>
          <w:szCs w:val="23"/>
          <w:rtl/>
        </w:rPr>
      </w:pPr>
      <w:r w:rsidRPr="00A40DDC">
        <w:rPr>
          <w:rFonts w:hint="cs"/>
          <w:i/>
          <w:sz w:val="23"/>
          <w:szCs w:val="23"/>
          <w:rtl/>
        </w:rPr>
        <w:lastRenderedPageBreak/>
        <w:t xml:space="preserve">چنانچه </w:t>
      </w:r>
      <w:r w:rsidRPr="00A40DDC">
        <w:rPr>
          <w:i/>
          <w:sz w:val="23"/>
          <w:szCs w:val="23"/>
          <w:rtl/>
        </w:rPr>
        <w:t>اقتصاد داخلی بزرگ باشد</w:t>
      </w:r>
      <w:r w:rsidRPr="00A40DDC">
        <w:rPr>
          <w:rFonts w:hint="cs"/>
          <w:i/>
          <w:sz w:val="23"/>
          <w:szCs w:val="23"/>
          <w:rtl/>
        </w:rPr>
        <w:t>،</w:t>
      </w:r>
      <w:r w:rsidRPr="00A40DDC">
        <w:rPr>
          <w:i/>
          <w:sz w:val="23"/>
          <w:szCs w:val="23"/>
          <w:rtl/>
        </w:rPr>
        <w:t xml:space="preserve"> آنگاه قیمت داخلی کالاهای تجاری احتمالاً بر قیمت خارجی </w:t>
      </w:r>
      <w:r w:rsidRPr="00A40DDC">
        <w:rPr>
          <w:rFonts w:hint="cs"/>
          <w:i/>
          <w:sz w:val="23"/>
          <w:szCs w:val="23"/>
          <w:rtl/>
        </w:rPr>
        <w:t>کالاهای تجاری غ</w:t>
      </w:r>
      <w:r w:rsidRPr="00A40DDC">
        <w:rPr>
          <w:i/>
          <w:sz w:val="23"/>
          <w:szCs w:val="23"/>
          <w:rtl/>
        </w:rPr>
        <w:t>الب می</w:t>
      </w:r>
      <w:r w:rsidRPr="00A40DDC">
        <w:rPr>
          <w:rFonts w:hint="cs"/>
          <w:i/>
          <w:sz w:val="23"/>
          <w:szCs w:val="23"/>
          <w:rtl/>
        </w:rPr>
        <w:t>‌</w:t>
      </w:r>
      <w:r w:rsidRPr="00A40DDC">
        <w:rPr>
          <w:i/>
          <w:sz w:val="23"/>
          <w:szCs w:val="23"/>
          <w:rtl/>
        </w:rPr>
        <w:t xml:space="preserve">شود و قیمت واردات </w:t>
      </w:r>
      <w:r w:rsidRPr="00A40DDC">
        <w:rPr>
          <w:rFonts w:hint="cs"/>
          <w:i/>
          <w:sz w:val="23"/>
          <w:szCs w:val="23"/>
          <w:rtl/>
        </w:rPr>
        <w:t xml:space="preserve">عمدتاً </w:t>
      </w:r>
      <w:r w:rsidRPr="00A40DDC">
        <w:rPr>
          <w:i/>
          <w:sz w:val="23"/>
          <w:szCs w:val="23"/>
          <w:rtl/>
        </w:rPr>
        <w:t xml:space="preserve">برحسب قیمت </w:t>
      </w:r>
      <w:r w:rsidRPr="00A40DDC">
        <w:rPr>
          <w:rFonts w:hint="cs"/>
          <w:i/>
          <w:sz w:val="23"/>
          <w:szCs w:val="23"/>
          <w:rtl/>
        </w:rPr>
        <w:t xml:space="preserve">تولیدات </w:t>
      </w:r>
      <w:r w:rsidRPr="00A40DDC">
        <w:rPr>
          <w:i/>
          <w:sz w:val="23"/>
          <w:szCs w:val="23"/>
          <w:rtl/>
        </w:rPr>
        <w:t>داخلی تعیین می</w:t>
      </w:r>
      <w:r w:rsidRPr="00A40DDC">
        <w:rPr>
          <w:rFonts w:hint="cs"/>
          <w:i/>
          <w:sz w:val="23"/>
          <w:szCs w:val="23"/>
          <w:rtl/>
        </w:rPr>
        <w:t>‌</w:t>
      </w:r>
      <w:r w:rsidRPr="00A40DDC">
        <w:rPr>
          <w:i/>
          <w:sz w:val="23"/>
          <w:szCs w:val="23"/>
          <w:rtl/>
        </w:rPr>
        <w:t xml:space="preserve">شود که بدان </w:t>
      </w:r>
      <w:r w:rsidRPr="00A40DDC">
        <w:rPr>
          <w:rFonts w:hint="cs"/>
          <w:i/>
          <w:sz w:val="23"/>
          <w:szCs w:val="23"/>
          <w:rtl/>
        </w:rPr>
        <w:t>حکم قیمت به بازار</w:t>
      </w:r>
      <w:r w:rsidRPr="00A40DDC">
        <w:rPr>
          <w:rStyle w:val="FootnoteReference"/>
          <w:rFonts w:eastAsiaTheme="majorEastAsia"/>
          <w:bCs/>
          <w:i/>
          <w:sz w:val="23"/>
          <w:szCs w:val="23"/>
          <w:rtl/>
        </w:rPr>
        <w:footnoteReference w:id="185"/>
      </w:r>
      <w:r w:rsidRPr="00A40DDC">
        <w:rPr>
          <w:i/>
          <w:sz w:val="23"/>
          <w:szCs w:val="23"/>
          <w:rtl/>
        </w:rPr>
        <w:t xml:space="preserve"> یا</w:t>
      </w:r>
      <w:r w:rsidRPr="00A40DDC">
        <w:rPr>
          <w:rFonts w:hint="cs"/>
          <w:i/>
          <w:sz w:val="23"/>
          <w:szCs w:val="23"/>
          <w:rtl/>
        </w:rPr>
        <w:t xml:space="preserve"> قیمت</w:t>
      </w:r>
      <w:r w:rsidRPr="00A40DDC">
        <w:rPr>
          <w:i/>
          <w:sz w:val="23"/>
          <w:szCs w:val="23"/>
          <w:rtl/>
        </w:rPr>
        <w:softHyphen/>
      </w:r>
      <w:r w:rsidRPr="00A40DDC">
        <w:rPr>
          <w:rFonts w:hint="cs"/>
          <w:i/>
          <w:sz w:val="23"/>
          <w:szCs w:val="23"/>
          <w:rtl/>
        </w:rPr>
        <w:t>گذاری به پول داخلی</w:t>
      </w:r>
      <w:r w:rsidRPr="00A40DDC">
        <w:rPr>
          <w:i/>
          <w:sz w:val="23"/>
          <w:szCs w:val="23"/>
        </w:rPr>
        <w:t xml:space="preserve"> </w:t>
      </w:r>
      <w:r w:rsidRPr="00A40DDC">
        <w:rPr>
          <w:i/>
          <w:sz w:val="23"/>
          <w:szCs w:val="23"/>
          <w:rtl/>
        </w:rPr>
        <w:t>گفته می</w:t>
      </w:r>
      <w:r w:rsidRPr="00A40DDC">
        <w:rPr>
          <w:rFonts w:hint="cs"/>
          <w:i/>
          <w:sz w:val="23"/>
          <w:szCs w:val="23"/>
          <w:rtl/>
        </w:rPr>
        <w:t>‌</w:t>
      </w:r>
      <w:r w:rsidRPr="00A40DDC">
        <w:rPr>
          <w:i/>
          <w:sz w:val="23"/>
          <w:szCs w:val="23"/>
          <w:rtl/>
        </w:rPr>
        <w:t>شود.</w:t>
      </w:r>
      <w:r w:rsidRPr="00A40DDC">
        <w:rPr>
          <w:rStyle w:val="FootnoteReference"/>
          <w:rFonts w:eastAsiaTheme="majorEastAsia"/>
          <w:bCs/>
          <w:i/>
          <w:sz w:val="23"/>
          <w:szCs w:val="23"/>
          <w:rtl/>
        </w:rPr>
        <w:footnoteReference w:id="186"/>
      </w:r>
      <w:r w:rsidRPr="00A40DDC">
        <w:rPr>
          <w:i/>
          <w:sz w:val="23"/>
          <w:szCs w:val="23"/>
          <w:rtl/>
        </w:rPr>
        <w:t xml:space="preserve"> لذا </w:t>
      </w:r>
      <w:r w:rsidRPr="00A40DDC">
        <w:rPr>
          <w:rFonts w:hint="cs"/>
          <w:i/>
          <w:sz w:val="23"/>
          <w:szCs w:val="23"/>
          <w:rtl/>
        </w:rPr>
        <w:t xml:space="preserve">کاهش در </w:t>
      </w:r>
      <w:r w:rsidRPr="00A40DDC">
        <w:rPr>
          <w:i/>
          <w:sz w:val="23"/>
          <w:szCs w:val="23"/>
          <w:rtl/>
        </w:rPr>
        <w:t>ارزش نرخ ارز اثر کمی</w:t>
      </w:r>
      <w:r w:rsidRPr="00A40DDC">
        <w:rPr>
          <w:rFonts w:hint="cs"/>
          <w:i/>
          <w:sz w:val="23"/>
          <w:szCs w:val="23"/>
          <w:rtl/>
        </w:rPr>
        <w:t xml:space="preserve"> ‌</w:t>
      </w:r>
      <w:r w:rsidRPr="00A40DDC">
        <w:rPr>
          <w:i/>
          <w:sz w:val="23"/>
          <w:szCs w:val="23"/>
          <w:rtl/>
        </w:rPr>
        <w:t>بر قیمت</w:t>
      </w:r>
      <w:r w:rsidRPr="00A40DDC">
        <w:rPr>
          <w:rFonts w:hint="cs"/>
          <w:i/>
          <w:sz w:val="23"/>
          <w:szCs w:val="23"/>
          <w:rtl/>
        </w:rPr>
        <w:t>‌</w:t>
      </w:r>
      <w:r w:rsidRPr="00A40DDC">
        <w:rPr>
          <w:i/>
          <w:sz w:val="23"/>
          <w:szCs w:val="23"/>
          <w:rtl/>
        </w:rPr>
        <w:t>ها</w:t>
      </w:r>
      <w:r w:rsidRPr="00A40DDC">
        <w:rPr>
          <w:rFonts w:hint="cs"/>
          <w:i/>
          <w:sz w:val="23"/>
          <w:szCs w:val="23"/>
          <w:rtl/>
        </w:rPr>
        <w:t xml:space="preserve">ی </w:t>
      </w:r>
      <w:r w:rsidRPr="00A40DDC">
        <w:rPr>
          <w:i/>
          <w:sz w:val="23"/>
          <w:szCs w:val="23"/>
          <w:rtl/>
        </w:rPr>
        <w:t xml:space="preserve">داخلی </w:t>
      </w:r>
      <w:r w:rsidRPr="00A40DDC">
        <w:rPr>
          <w:rFonts w:hint="cs"/>
          <w:i/>
          <w:sz w:val="23"/>
          <w:szCs w:val="23"/>
          <w:rtl/>
        </w:rPr>
        <w:t>خواهد گذاشت</w:t>
      </w:r>
      <w:r w:rsidRPr="00A40DDC">
        <w:rPr>
          <w:i/>
          <w:sz w:val="23"/>
          <w:szCs w:val="23"/>
          <w:rtl/>
        </w:rPr>
        <w:t>.</w:t>
      </w:r>
    </w:p>
    <w:p w14:paraId="37B35B30" w14:textId="77777777" w:rsidR="00411620" w:rsidRPr="00A40DDC" w:rsidRDefault="00411620" w:rsidP="00411620">
      <w:pPr>
        <w:tabs>
          <w:tab w:val="left" w:pos="3521"/>
        </w:tabs>
        <w:spacing w:line="216" w:lineRule="auto"/>
        <w:rPr>
          <w:i/>
          <w:sz w:val="23"/>
          <w:szCs w:val="23"/>
          <w:rtl/>
        </w:rPr>
      </w:pPr>
      <w:r w:rsidRPr="00A40DDC">
        <w:rPr>
          <w:i/>
          <w:sz w:val="23"/>
          <w:szCs w:val="23"/>
          <w:rtl/>
        </w:rPr>
        <w:t>اگر فرض کنیم ک</w:t>
      </w:r>
      <w:r w:rsidRPr="00A40DDC">
        <w:rPr>
          <w:rFonts w:hint="cs"/>
          <w:i/>
          <w:sz w:val="23"/>
          <w:szCs w:val="23"/>
          <w:rtl/>
        </w:rPr>
        <w:t>ش</w:t>
      </w:r>
      <w:r w:rsidRPr="00A40DDC">
        <w:rPr>
          <w:i/>
          <w:sz w:val="23"/>
          <w:szCs w:val="23"/>
          <w:rtl/>
        </w:rPr>
        <w:t>ش جانشینی کالا</w:t>
      </w:r>
      <w:r w:rsidRPr="00A40DDC">
        <w:rPr>
          <w:rFonts w:hint="cs"/>
          <w:i/>
          <w:sz w:val="23"/>
          <w:szCs w:val="23"/>
          <w:rtl/>
        </w:rPr>
        <w:t>ها</w:t>
      </w:r>
      <w:r w:rsidRPr="00A40DDC">
        <w:rPr>
          <w:i/>
          <w:sz w:val="23"/>
          <w:szCs w:val="23"/>
          <w:rtl/>
        </w:rPr>
        <w:t>ی تجاری داخلی و خارجی کم باشد</w:t>
      </w:r>
      <w:r w:rsidRPr="00A40DDC">
        <w:rPr>
          <w:rFonts w:hint="cs"/>
          <w:i/>
          <w:sz w:val="23"/>
          <w:szCs w:val="23"/>
          <w:rtl/>
        </w:rPr>
        <w:t>،</w:t>
      </w:r>
      <w:r w:rsidRPr="00A40DDC">
        <w:rPr>
          <w:i/>
          <w:sz w:val="23"/>
          <w:szCs w:val="23"/>
          <w:rtl/>
        </w:rPr>
        <w:t xml:space="preserve"> آنگاه تولید کننده</w:t>
      </w:r>
      <w:r w:rsidRPr="00A40DDC">
        <w:rPr>
          <w:i/>
          <w:sz w:val="23"/>
          <w:szCs w:val="23"/>
          <w:rtl/>
        </w:rPr>
        <w:softHyphen/>
      </w:r>
      <w:r w:rsidRPr="00A40DDC">
        <w:rPr>
          <w:rFonts w:hint="cs"/>
          <w:i/>
          <w:sz w:val="23"/>
          <w:szCs w:val="23"/>
          <w:rtl/>
        </w:rPr>
        <w:t>ی</w:t>
      </w:r>
      <w:r w:rsidRPr="00A40DDC">
        <w:rPr>
          <w:i/>
          <w:sz w:val="23"/>
          <w:szCs w:val="23"/>
          <w:rtl/>
        </w:rPr>
        <w:t xml:space="preserve"> داخلی و خارجی </w:t>
      </w:r>
      <w:r w:rsidRPr="00A40DDC">
        <w:rPr>
          <w:rFonts w:hint="cs"/>
          <w:i/>
          <w:sz w:val="23"/>
          <w:szCs w:val="23"/>
          <w:rtl/>
        </w:rPr>
        <w:t xml:space="preserve">در بازار خود و بازار خارجی </w:t>
      </w:r>
      <w:r w:rsidRPr="00A40DDC">
        <w:rPr>
          <w:i/>
          <w:sz w:val="23"/>
          <w:szCs w:val="23"/>
          <w:rtl/>
        </w:rPr>
        <w:t>قدرت انحصار</w:t>
      </w:r>
      <w:r w:rsidRPr="00A40DDC">
        <w:rPr>
          <w:rFonts w:hint="cs"/>
          <w:i/>
          <w:sz w:val="23"/>
          <w:szCs w:val="23"/>
          <w:rtl/>
        </w:rPr>
        <w:t>ی</w:t>
      </w:r>
      <w:r w:rsidRPr="00A40DDC">
        <w:rPr>
          <w:i/>
          <w:sz w:val="23"/>
          <w:szCs w:val="23"/>
          <w:rtl/>
        </w:rPr>
        <w:t xml:space="preserve"> دارند </w:t>
      </w:r>
      <w:r w:rsidRPr="00A40DDC">
        <w:rPr>
          <w:rFonts w:hint="cs"/>
          <w:i/>
          <w:sz w:val="23"/>
          <w:szCs w:val="23"/>
          <w:rtl/>
        </w:rPr>
        <w:t>و</w:t>
      </w:r>
      <w:r w:rsidRPr="00A40DDC">
        <w:rPr>
          <w:i/>
          <w:sz w:val="23"/>
          <w:szCs w:val="23"/>
          <w:rtl/>
        </w:rPr>
        <w:t xml:space="preserve"> قادر</w:t>
      </w:r>
      <w:r w:rsidRPr="00A40DDC">
        <w:rPr>
          <w:rFonts w:hint="cs"/>
          <w:i/>
          <w:sz w:val="23"/>
          <w:szCs w:val="23"/>
          <w:rtl/>
        </w:rPr>
        <w:t xml:space="preserve"> خواهند بود </w:t>
      </w:r>
      <w:r w:rsidRPr="00A40DDC">
        <w:rPr>
          <w:i/>
          <w:sz w:val="23"/>
          <w:szCs w:val="23"/>
          <w:rtl/>
        </w:rPr>
        <w:t xml:space="preserve">قیمت را در دو بازار تعیین کنند که بدان </w:t>
      </w:r>
      <w:r w:rsidRPr="00A40DDC">
        <w:rPr>
          <w:rFonts w:hint="cs"/>
          <w:i/>
          <w:sz w:val="23"/>
          <w:szCs w:val="23"/>
          <w:rtl/>
        </w:rPr>
        <w:t>قیمت</w:t>
      </w:r>
      <w:r w:rsidRPr="00A40DDC">
        <w:rPr>
          <w:i/>
          <w:sz w:val="23"/>
          <w:szCs w:val="23"/>
          <w:rtl/>
        </w:rPr>
        <w:softHyphen/>
      </w:r>
      <w:r w:rsidRPr="00A40DDC">
        <w:rPr>
          <w:rFonts w:hint="cs"/>
          <w:i/>
          <w:sz w:val="23"/>
          <w:szCs w:val="23"/>
          <w:rtl/>
        </w:rPr>
        <w:t>گذاری به پول تولیدکننده</w:t>
      </w:r>
      <w:r w:rsidRPr="00A40DDC">
        <w:rPr>
          <w:i/>
          <w:sz w:val="23"/>
          <w:szCs w:val="23"/>
          <w:rtl/>
        </w:rPr>
        <w:t xml:space="preserve"> گویند</w:t>
      </w:r>
      <w:r w:rsidRPr="00A40DDC">
        <w:rPr>
          <w:i/>
          <w:sz w:val="23"/>
          <w:szCs w:val="23"/>
        </w:rPr>
        <w:t>.</w:t>
      </w:r>
      <w:r w:rsidRPr="00A40DDC">
        <w:rPr>
          <w:rStyle w:val="FootnoteReference"/>
          <w:rFonts w:eastAsiaTheme="majorEastAsia"/>
          <w:bCs/>
          <w:i/>
          <w:sz w:val="23"/>
          <w:szCs w:val="23"/>
          <w:rtl/>
        </w:rPr>
        <w:footnoteReference w:id="187"/>
      </w:r>
      <w:r w:rsidRPr="00A40DDC">
        <w:rPr>
          <w:i/>
          <w:sz w:val="23"/>
          <w:szCs w:val="23"/>
          <w:rtl/>
        </w:rPr>
        <w:t xml:space="preserve"> لذا </w:t>
      </w:r>
      <w:r w:rsidRPr="00A40DDC">
        <w:rPr>
          <w:rFonts w:hint="cs"/>
          <w:i/>
          <w:sz w:val="23"/>
          <w:szCs w:val="23"/>
          <w:rtl/>
        </w:rPr>
        <w:t>کاهش</w:t>
      </w:r>
      <w:r w:rsidRPr="00A40DDC">
        <w:rPr>
          <w:i/>
          <w:sz w:val="23"/>
          <w:szCs w:val="23"/>
          <w:rtl/>
        </w:rPr>
        <w:t xml:space="preserve"> نرخ ارز لزوما</w:t>
      </w:r>
      <w:r w:rsidRPr="00A40DDC">
        <w:rPr>
          <w:rFonts w:hint="cs"/>
          <w:i/>
          <w:sz w:val="23"/>
          <w:szCs w:val="23"/>
          <w:rtl/>
        </w:rPr>
        <w:t>ً</w:t>
      </w:r>
      <w:r w:rsidRPr="00A40DDC">
        <w:rPr>
          <w:i/>
          <w:sz w:val="23"/>
          <w:szCs w:val="23"/>
          <w:rtl/>
        </w:rPr>
        <w:t xml:space="preserve"> </w:t>
      </w:r>
      <w:r w:rsidRPr="00A40DDC">
        <w:rPr>
          <w:rFonts w:hint="cs"/>
          <w:i/>
          <w:sz w:val="23"/>
          <w:szCs w:val="23"/>
          <w:rtl/>
        </w:rPr>
        <w:t>قیمت صادرات و واردات را بر حسب پول داخلی تغییر نداده و به تبع آن رابطه‌ی مبادله افزایش نمی</w:t>
      </w:r>
      <w:r w:rsidRPr="00A40DDC">
        <w:rPr>
          <w:i/>
          <w:sz w:val="23"/>
          <w:szCs w:val="23"/>
          <w:rtl/>
        </w:rPr>
        <w:softHyphen/>
      </w:r>
      <w:r w:rsidRPr="00A40DDC">
        <w:rPr>
          <w:rFonts w:hint="cs"/>
          <w:i/>
          <w:sz w:val="23"/>
          <w:szCs w:val="23"/>
          <w:rtl/>
        </w:rPr>
        <w:t>یابد</w:t>
      </w:r>
      <w:r w:rsidRPr="00A40DDC">
        <w:rPr>
          <w:i/>
          <w:sz w:val="23"/>
          <w:szCs w:val="23"/>
          <w:rtl/>
        </w:rPr>
        <w:t>.</w:t>
      </w:r>
    </w:p>
    <w:p w14:paraId="76BDFF99" w14:textId="77777777" w:rsidR="00411620" w:rsidRPr="00A40DDC" w:rsidRDefault="00411620" w:rsidP="00411620">
      <w:pPr>
        <w:tabs>
          <w:tab w:val="left" w:pos="3521"/>
        </w:tabs>
        <w:spacing w:line="216" w:lineRule="auto"/>
        <w:rPr>
          <w:i/>
          <w:sz w:val="23"/>
          <w:szCs w:val="23"/>
          <w:rtl/>
        </w:rPr>
      </w:pPr>
    </w:p>
    <w:p w14:paraId="72039581" w14:textId="77777777" w:rsidR="00411620" w:rsidRPr="00A40DDC" w:rsidRDefault="00411620" w:rsidP="00411620">
      <w:pPr>
        <w:tabs>
          <w:tab w:val="left" w:pos="3521"/>
        </w:tabs>
        <w:spacing w:line="216" w:lineRule="auto"/>
        <w:rPr>
          <w:bCs/>
          <w:i/>
          <w:sz w:val="23"/>
          <w:szCs w:val="23"/>
          <w:rtl/>
        </w:rPr>
      </w:pPr>
      <w:r w:rsidRPr="00A40DDC">
        <w:rPr>
          <w:rFonts w:hint="cs"/>
          <w:bCs/>
          <w:i/>
          <w:sz w:val="23"/>
          <w:szCs w:val="23"/>
          <w:rtl/>
        </w:rPr>
        <w:t>۲.۵.۷</w:t>
      </w:r>
      <w:r w:rsidRPr="00A40DDC">
        <w:rPr>
          <w:bCs/>
          <w:i/>
          <w:sz w:val="23"/>
          <w:szCs w:val="23"/>
          <w:rtl/>
        </w:rPr>
        <w:t xml:space="preserve"> جانشین</w:t>
      </w:r>
      <w:r w:rsidRPr="00A40DDC">
        <w:rPr>
          <w:rFonts w:hint="cs"/>
          <w:bCs/>
          <w:i/>
          <w:sz w:val="23"/>
          <w:szCs w:val="23"/>
          <w:rtl/>
        </w:rPr>
        <w:t xml:space="preserve"> پذیری</w:t>
      </w:r>
      <w:r w:rsidRPr="00A40DDC">
        <w:rPr>
          <w:bCs/>
          <w:i/>
          <w:sz w:val="23"/>
          <w:szCs w:val="23"/>
          <w:rtl/>
        </w:rPr>
        <w:t xml:space="preserve"> </w:t>
      </w:r>
      <w:r w:rsidRPr="00A40DDC">
        <w:rPr>
          <w:rFonts w:hint="cs"/>
          <w:bCs/>
          <w:i/>
          <w:sz w:val="23"/>
          <w:szCs w:val="23"/>
          <w:rtl/>
        </w:rPr>
        <w:t>ناق</w:t>
      </w:r>
      <w:r w:rsidRPr="00A40DDC">
        <w:rPr>
          <w:bCs/>
          <w:i/>
          <w:sz w:val="23"/>
          <w:szCs w:val="23"/>
          <w:rtl/>
        </w:rPr>
        <w:t>ص کالاهای تجاری و غیرتجاری</w:t>
      </w:r>
    </w:p>
    <w:p w14:paraId="0E8B58B2" w14:textId="77777777" w:rsidR="00411620" w:rsidRPr="00A40DDC" w:rsidRDefault="00411620" w:rsidP="00411620">
      <w:pPr>
        <w:tabs>
          <w:tab w:val="left" w:pos="3521"/>
        </w:tabs>
        <w:spacing w:line="216" w:lineRule="auto"/>
        <w:rPr>
          <w:i/>
          <w:sz w:val="23"/>
          <w:szCs w:val="23"/>
          <w:rtl/>
        </w:rPr>
      </w:pPr>
      <w:r w:rsidRPr="00A40DDC">
        <w:rPr>
          <w:i/>
          <w:sz w:val="23"/>
          <w:szCs w:val="23"/>
          <w:rtl/>
        </w:rPr>
        <w:t xml:space="preserve">اکنون جانشنی ناقص </w:t>
      </w:r>
      <w:r w:rsidRPr="00A40DDC">
        <w:rPr>
          <w:rFonts w:hint="cs"/>
          <w:i/>
          <w:sz w:val="23"/>
          <w:szCs w:val="23"/>
          <w:rtl/>
        </w:rPr>
        <w:t xml:space="preserve">میان کالاهای تجاری و </w:t>
      </w:r>
      <w:r w:rsidRPr="00A40DDC">
        <w:rPr>
          <w:i/>
          <w:sz w:val="23"/>
          <w:szCs w:val="23"/>
          <w:rtl/>
        </w:rPr>
        <w:t xml:space="preserve">بین کالای تجاری و غیرتجاری را </w:t>
      </w:r>
      <w:r w:rsidRPr="00A40DDC">
        <w:rPr>
          <w:rFonts w:hint="cs"/>
          <w:i/>
          <w:sz w:val="23"/>
          <w:szCs w:val="23"/>
          <w:rtl/>
        </w:rPr>
        <w:t>مورد بررسی قرار می</w:t>
      </w:r>
      <w:r w:rsidRPr="00A40DDC">
        <w:rPr>
          <w:i/>
          <w:sz w:val="23"/>
          <w:szCs w:val="23"/>
          <w:rtl/>
        </w:rPr>
        <w:softHyphen/>
      </w:r>
      <w:r w:rsidRPr="00A40DDC">
        <w:rPr>
          <w:rFonts w:hint="cs"/>
          <w:i/>
          <w:sz w:val="23"/>
          <w:szCs w:val="23"/>
          <w:rtl/>
        </w:rPr>
        <w:t>دهیم. فرض کنید</w:t>
      </w:r>
    </w:p>
    <w:p w14:paraId="12D66E9F" w14:textId="77777777" w:rsidR="00411620" w:rsidRPr="00A40DDC" w:rsidRDefault="00411620" w:rsidP="00411620">
      <w:pPr>
        <w:pStyle w:val="MTDisplayEquation"/>
        <w:spacing w:line="216" w:lineRule="auto"/>
        <w:rPr>
          <w:rFonts w:ascii="Times New Roman" w:hAnsi="Times New Roman" w:cs="B Nazanin"/>
          <w:i/>
          <w:sz w:val="23"/>
          <w:szCs w:val="23"/>
          <w:rtl/>
        </w:rPr>
      </w:pPr>
      <w:r w:rsidRPr="00A40DDC">
        <w:rPr>
          <w:position w:val="-30"/>
        </w:rPr>
        <w:object w:dxaOrig="1620" w:dyaOrig="740" w14:anchorId="10BFAD70">
          <v:shape id="_x0000_i3844" type="#_x0000_t75" style="width:81.1pt;height:36.9pt" o:ole="">
            <v:imagedata r:id="rId5677" o:title=""/>
          </v:shape>
          <o:OLEObject Type="Embed" ProgID="Equation.DSMT4" ShapeID="_x0000_i3844" DrawAspect="Content" ObjectID="_1791377788" r:id="rId5678"/>
        </w:object>
      </w:r>
    </w:p>
    <w:p w14:paraId="475E87F4" w14:textId="77777777" w:rsidR="00411620" w:rsidRPr="00A40DDC" w:rsidRDefault="00411620" w:rsidP="00411620">
      <w:pPr>
        <w:tabs>
          <w:tab w:val="left" w:pos="3521"/>
        </w:tabs>
        <w:spacing w:line="216" w:lineRule="auto"/>
        <w:rPr>
          <w:i/>
          <w:sz w:val="23"/>
          <w:szCs w:val="23"/>
          <w:rtl/>
        </w:rPr>
      </w:pPr>
      <w:r w:rsidRPr="00A40DDC">
        <w:rPr>
          <w:i/>
          <w:sz w:val="23"/>
          <w:szCs w:val="23"/>
          <w:rtl/>
        </w:rPr>
        <w:t xml:space="preserve">و </w:t>
      </w:r>
      <w:r w:rsidRPr="00A40DDC">
        <w:rPr>
          <w:rFonts w:hint="cs"/>
          <w:i/>
          <w:sz w:val="23"/>
          <w:szCs w:val="23"/>
          <w:rtl/>
        </w:rPr>
        <w:t xml:space="preserve">تابع </w:t>
      </w:r>
      <w:r w:rsidRPr="00A40DDC">
        <w:rPr>
          <w:i/>
          <w:sz w:val="23"/>
          <w:szCs w:val="23"/>
          <w:rtl/>
        </w:rPr>
        <w:t>م</w:t>
      </w:r>
      <w:r w:rsidRPr="00A40DDC">
        <w:rPr>
          <w:rFonts w:hint="cs"/>
          <w:i/>
          <w:sz w:val="23"/>
          <w:szCs w:val="23"/>
          <w:rtl/>
        </w:rPr>
        <w:t>ص</w:t>
      </w:r>
      <w:r w:rsidRPr="00A40DDC">
        <w:rPr>
          <w:i/>
          <w:sz w:val="23"/>
          <w:szCs w:val="23"/>
          <w:rtl/>
        </w:rPr>
        <w:t xml:space="preserve">رف </w:t>
      </w:r>
      <w:r w:rsidRPr="00A40DDC">
        <w:rPr>
          <w:rFonts w:hint="cs"/>
          <w:i/>
          <w:sz w:val="23"/>
          <w:szCs w:val="23"/>
          <w:rtl/>
        </w:rPr>
        <w:t>کل</w:t>
      </w:r>
      <w:r w:rsidRPr="00A40DDC">
        <w:rPr>
          <w:position w:val="-10"/>
        </w:rPr>
        <w:object w:dxaOrig="220" w:dyaOrig="320" w14:anchorId="246D4D00">
          <v:shape id="_x0000_i3845" type="#_x0000_t75" style="width:10.9pt;height:15.75pt" o:ole="">
            <v:imagedata r:id="rId5679" o:title=""/>
          </v:shape>
          <o:OLEObject Type="Embed" ProgID="Equation.DSMT4" ShapeID="_x0000_i3845" DrawAspect="Content" ObjectID="_1791377789" r:id="rId5680"/>
        </w:object>
      </w:r>
      <w:r w:rsidRPr="00A40DDC">
        <w:rPr>
          <w:i/>
          <w:sz w:val="23"/>
          <w:szCs w:val="23"/>
          <w:rtl/>
        </w:rPr>
        <w:t xml:space="preserve"> </w:t>
      </w:r>
      <w:r w:rsidRPr="00A40DDC">
        <w:rPr>
          <w:rFonts w:hint="cs"/>
          <w:i/>
          <w:sz w:val="23"/>
          <w:szCs w:val="23"/>
          <w:rtl/>
        </w:rPr>
        <w:t>که از ترکیب کالاهای قابل تجارت و غیرقابل تجارت بدست می</w:t>
      </w:r>
      <w:r w:rsidRPr="00A40DDC">
        <w:rPr>
          <w:i/>
          <w:sz w:val="23"/>
          <w:szCs w:val="23"/>
          <w:rtl/>
        </w:rPr>
        <w:softHyphen/>
      </w:r>
      <w:r w:rsidRPr="00A40DDC">
        <w:rPr>
          <w:rFonts w:hint="cs"/>
          <w:i/>
          <w:sz w:val="23"/>
          <w:szCs w:val="23"/>
          <w:rtl/>
        </w:rPr>
        <w:t xml:space="preserve">آید </w:t>
      </w:r>
      <w:r w:rsidRPr="00A40DDC">
        <w:rPr>
          <w:i/>
          <w:sz w:val="23"/>
          <w:szCs w:val="23"/>
          <w:rtl/>
        </w:rPr>
        <w:t xml:space="preserve">از </w:t>
      </w:r>
      <w:r w:rsidRPr="00A40DDC">
        <w:rPr>
          <w:rFonts w:hint="cs"/>
          <w:i/>
          <w:sz w:val="23"/>
          <w:szCs w:val="23"/>
          <w:rtl/>
        </w:rPr>
        <w:t>تابع</w:t>
      </w:r>
      <w:r w:rsidRPr="00A40DDC">
        <w:rPr>
          <w:i/>
          <w:sz w:val="23"/>
          <w:szCs w:val="23"/>
          <w:rtl/>
        </w:rPr>
        <w:t xml:space="preserve"> کاب داگلاس </w:t>
      </w:r>
      <w:r w:rsidRPr="00A40DDC">
        <w:rPr>
          <w:rFonts w:hint="cs"/>
          <w:i/>
          <w:sz w:val="23"/>
          <w:szCs w:val="23"/>
          <w:rtl/>
        </w:rPr>
        <w:t xml:space="preserve">دو سطحی بدست آید. </w:t>
      </w:r>
      <w:r w:rsidRPr="00A40DDC">
        <w:rPr>
          <w:i/>
          <w:sz w:val="23"/>
          <w:szCs w:val="23"/>
          <w:rtl/>
        </w:rPr>
        <w:t>یعنی</w:t>
      </w:r>
    </w:p>
    <w:p w14:paraId="10926C57" w14:textId="77777777" w:rsidR="00411620" w:rsidRPr="00A40DDC" w:rsidRDefault="00411620" w:rsidP="00411620">
      <w:pPr>
        <w:pStyle w:val="MTDisplayEquation"/>
        <w:tabs>
          <w:tab w:val="clear" w:pos="6660"/>
        </w:tabs>
        <w:spacing w:line="216" w:lineRule="auto"/>
        <w:rPr>
          <w:rFonts w:ascii="Times New Roman" w:eastAsiaTheme="minorEastAsia" w:hAnsi="Times New Roman" w:cs="B Nazanin"/>
          <w:i/>
          <w:sz w:val="23"/>
          <w:szCs w:val="23"/>
          <w:rtl/>
        </w:rPr>
      </w:pPr>
      <w:r w:rsidRPr="00A40DDC">
        <w:rPr>
          <w:position w:val="-34"/>
        </w:rPr>
        <w:object w:dxaOrig="1620" w:dyaOrig="840" w14:anchorId="102FAC08">
          <v:shape id="_x0000_i3846" type="#_x0000_t75" style="width:81.1pt;height:41.75pt" o:ole="">
            <v:imagedata r:id="rId5681" o:title=""/>
          </v:shape>
          <o:OLEObject Type="Embed" ProgID="Equation.DSMT4" ShapeID="_x0000_i3846" DrawAspect="Content" ObjectID="_1791377790" r:id="rId5682"/>
        </w:object>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۲۶)</w:t>
      </w:r>
    </w:p>
    <w:p w14:paraId="5C531122" w14:textId="77777777" w:rsidR="00411620" w:rsidRPr="00A40DDC" w:rsidRDefault="00411620" w:rsidP="00411620">
      <w:pPr>
        <w:pStyle w:val="MTDisplayEquation"/>
        <w:tabs>
          <w:tab w:val="clear" w:pos="6660"/>
        </w:tabs>
        <w:spacing w:line="216" w:lineRule="auto"/>
        <w:rPr>
          <w:rFonts w:ascii="Times New Roman" w:eastAsiaTheme="minorEastAsia" w:hAnsi="Times New Roman" w:cs="B Nazanin"/>
          <w:i/>
          <w:sz w:val="23"/>
          <w:szCs w:val="23"/>
          <w:rtl/>
        </w:rPr>
      </w:pPr>
      <w:r w:rsidRPr="00A40DDC">
        <w:rPr>
          <w:position w:val="-34"/>
        </w:rPr>
        <w:object w:dxaOrig="1719" w:dyaOrig="840" w14:anchorId="0FE756C5">
          <v:shape id="_x0000_i3847" type="#_x0000_t75" style="width:85.9pt;height:41.75pt" o:ole="">
            <v:imagedata r:id="rId5683" o:title=""/>
          </v:shape>
          <o:OLEObject Type="Embed" ProgID="Equation.DSMT4" ShapeID="_x0000_i3847" DrawAspect="Content" ObjectID="_1791377791" r:id="rId5684"/>
        </w:object>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Pr>
          <w:rFonts w:ascii="Times New Roman" w:hAnsi="Times New Roma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۲۷)</w:t>
      </w:r>
    </w:p>
    <w:p w14:paraId="79C522C9" w14:textId="77777777" w:rsidR="00411620" w:rsidRPr="00A40DDC" w:rsidRDefault="00411620" w:rsidP="00411620">
      <w:pPr>
        <w:tabs>
          <w:tab w:val="left" w:pos="3521"/>
        </w:tabs>
        <w:spacing w:line="216" w:lineRule="auto"/>
        <w:rPr>
          <w:i/>
          <w:sz w:val="23"/>
          <w:szCs w:val="23"/>
          <w:rtl/>
        </w:rPr>
      </w:pPr>
      <w:r w:rsidRPr="00A40DDC">
        <w:rPr>
          <w:i/>
          <w:sz w:val="23"/>
          <w:szCs w:val="23"/>
          <w:rtl/>
        </w:rPr>
        <w:t>که در آن</w:t>
      </w:r>
      <w:r w:rsidRPr="00A40DDC">
        <w:rPr>
          <w:position w:val="-10"/>
        </w:rPr>
        <w:object w:dxaOrig="260" w:dyaOrig="340" w14:anchorId="38F88F52">
          <v:shape id="_x0000_i3848" type="#_x0000_t75" style="width:13.3pt;height:16.95pt" o:ole="">
            <v:imagedata r:id="rId5685" o:title=""/>
          </v:shape>
          <o:OLEObject Type="Embed" ProgID="Equation.DSMT4" ShapeID="_x0000_i3848" DrawAspect="Content" ObjectID="_1791377792" r:id="rId5686"/>
        </w:object>
      </w:r>
      <w:r w:rsidRPr="00A40DDC">
        <w:rPr>
          <w:i/>
          <w:sz w:val="23"/>
          <w:szCs w:val="23"/>
          <w:rtl/>
        </w:rPr>
        <w:t xml:space="preserve"> و</w:t>
      </w:r>
      <w:r w:rsidRPr="00A40DDC">
        <w:rPr>
          <w:position w:val="-10"/>
        </w:rPr>
        <w:object w:dxaOrig="279" w:dyaOrig="340" w14:anchorId="329F08C4">
          <v:shape id="_x0000_i3849" type="#_x0000_t75" style="width:13.9pt;height:16.95pt" o:ole="">
            <v:imagedata r:id="rId5687" o:title=""/>
          </v:shape>
          <o:OLEObject Type="Embed" ProgID="Equation.DSMT4" ShapeID="_x0000_i3849" DrawAspect="Content" ObjectID="_1791377793" r:id="rId5688"/>
        </w:object>
      </w:r>
      <w:r w:rsidRPr="00A40DDC">
        <w:rPr>
          <w:i/>
          <w:sz w:val="23"/>
          <w:szCs w:val="23"/>
          <w:rtl/>
        </w:rPr>
        <w:t xml:space="preserve"> معرف کالای تجاری و غیرتجاری است و</w:t>
      </w:r>
      <w:r w:rsidRPr="00A40DDC">
        <w:rPr>
          <w:position w:val="-10"/>
        </w:rPr>
        <w:object w:dxaOrig="279" w:dyaOrig="340" w14:anchorId="1A202817">
          <v:shape id="_x0000_i3850" type="#_x0000_t75" style="width:13.9pt;height:16.95pt" o:ole="">
            <v:imagedata r:id="rId5689" o:title=""/>
          </v:shape>
          <o:OLEObject Type="Embed" ProgID="Equation.DSMT4" ShapeID="_x0000_i3850" DrawAspect="Content" ObjectID="_1791377794" r:id="rId5690"/>
        </w:object>
      </w:r>
      <w:r w:rsidRPr="00A40DDC">
        <w:rPr>
          <w:i/>
          <w:sz w:val="23"/>
          <w:szCs w:val="23"/>
          <w:rtl/>
        </w:rPr>
        <w:t xml:space="preserve"> و</w:t>
      </w:r>
      <w:r w:rsidRPr="00A40DDC">
        <w:rPr>
          <w:position w:val="-10"/>
        </w:rPr>
        <w:object w:dxaOrig="260" w:dyaOrig="340" w14:anchorId="5EAEA882">
          <v:shape id="_x0000_i3851" type="#_x0000_t75" style="width:13.3pt;height:16.95pt" o:ole="">
            <v:imagedata r:id="rId5691" o:title=""/>
          </v:shape>
          <o:OLEObject Type="Embed" ProgID="Equation.DSMT4" ShapeID="_x0000_i3851" DrawAspect="Content" ObjectID="_1791377795" r:id="rId5692"/>
        </w:object>
      </w:r>
      <w:r w:rsidRPr="00A40DDC">
        <w:rPr>
          <w:i/>
          <w:sz w:val="23"/>
          <w:szCs w:val="23"/>
          <w:rtl/>
        </w:rPr>
        <w:t xml:space="preserve"> معرف کالاهای تجاری تولید شده در داخل و خارج است</w:t>
      </w:r>
      <w:r w:rsidRPr="00A40DDC">
        <w:rPr>
          <w:i/>
          <w:sz w:val="23"/>
          <w:szCs w:val="23"/>
        </w:rPr>
        <w:t>.</w:t>
      </w:r>
      <w:r w:rsidRPr="00A40DDC">
        <w:rPr>
          <w:i/>
          <w:sz w:val="23"/>
          <w:szCs w:val="23"/>
          <w:rtl/>
        </w:rPr>
        <w:t xml:space="preserve"> لذا بر اساس مدل اولیه</w:t>
      </w:r>
      <w:r w:rsidRPr="00A40DDC">
        <w:rPr>
          <w:rFonts w:hint="cs"/>
          <w:i/>
          <w:sz w:val="23"/>
          <w:szCs w:val="23"/>
          <w:rtl/>
        </w:rPr>
        <w:t>‌</w:t>
      </w:r>
      <w:r w:rsidRPr="00A40DDC">
        <w:rPr>
          <w:i/>
          <w:sz w:val="23"/>
          <w:szCs w:val="23"/>
          <w:rtl/>
        </w:rPr>
        <w:t xml:space="preserve">ی </w:t>
      </w:r>
      <w:r w:rsidRPr="00A40DDC">
        <w:rPr>
          <w:rFonts w:hint="cs"/>
          <w:i/>
          <w:sz w:val="23"/>
          <w:szCs w:val="23"/>
          <w:rtl/>
        </w:rPr>
        <w:t xml:space="preserve">این فصل، صادرات برابر با </w:t>
      </w:r>
      <w:r w:rsidRPr="00A40DDC">
        <w:rPr>
          <w:position w:val="-10"/>
        </w:rPr>
        <w:object w:dxaOrig="760" w:dyaOrig="340" w14:anchorId="6D837F3B">
          <v:shape id="_x0000_i3852" type="#_x0000_t75" style="width:38.1pt;height:16.95pt" o:ole="">
            <v:imagedata r:id="rId5693" o:title=""/>
          </v:shape>
          <o:OLEObject Type="Embed" ProgID="Equation.DSMT4" ShapeID="_x0000_i3852" DrawAspect="Content" ObjectID="_1791377796" r:id="rId5694"/>
        </w:object>
      </w:r>
      <w:r w:rsidRPr="00A40DDC">
        <w:rPr>
          <w:rFonts w:hint="cs"/>
          <w:i/>
          <w:sz w:val="23"/>
          <w:szCs w:val="23"/>
          <w:rtl/>
        </w:rPr>
        <w:t xml:space="preserve"> و واردات برابر با</w:t>
      </w:r>
      <w:r w:rsidRPr="00A40DDC">
        <w:rPr>
          <w:position w:val="-10"/>
        </w:rPr>
        <w:object w:dxaOrig="760" w:dyaOrig="340" w14:anchorId="68B4EBDF">
          <v:shape id="_x0000_i3853" type="#_x0000_t75" style="width:38.1pt;height:16.95pt" o:ole="">
            <v:imagedata r:id="rId5695" o:title=""/>
          </v:shape>
          <o:OLEObject Type="Embed" ProgID="Equation.DSMT4" ShapeID="_x0000_i3853" DrawAspect="Content" ObjectID="_1791377797" r:id="rId5696"/>
        </w:object>
      </w:r>
      <w:r w:rsidRPr="00A40DDC">
        <w:rPr>
          <w:rFonts w:hint="cs"/>
          <w:i/>
          <w:sz w:val="23"/>
          <w:szCs w:val="23"/>
          <w:rtl/>
        </w:rPr>
        <w:t>خواهد بود</w:t>
      </w:r>
      <w:r w:rsidRPr="00A40DDC">
        <w:rPr>
          <w:i/>
          <w:sz w:val="23"/>
          <w:szCs w:val="23"/>
        </w:rPr>
        <w:t>.</w:t>
      </w:r>
      <w:r w:rsidRPr="00A40DDC">
        <w:rPr>
          <w:i/>
          <w:sz w:val="23"/>
          <w:szCs w:val="23"/>
          <w:rtl/>
        </w:rPr>
        <w:t xml:space="preserve"> </w:t>
      </w:r>
      <w:r w:rsidRPr="00A40DDC">
        <w:rPr>
          <w:rFonts w:hint="cs"/>
          <w:i/>
          <w:sz w:val="23"/>
          <w:szCs w:val="23"/>
          <w:rtl/>
        </w:rPr>
        <w:t xml:space="preserve">استفاده از تابع کاب-داگلاس نسبت به تابع </w:t>
      </w:r>
      <w:r w:rsidRPr="00A40DDC">
        <w:rPr>
          <w:i/>
          <w:sz w:val="23"/>
          <w:szCs w:val="23"/>
        </w:rPr>
        <w:t>CES</w:t>
      </w:r>
      <w:r w:rsidRPr="00A40DDC">
        <w:rPr>
          <w:rFonts w:hint="cs"/>
          <w:i/>
          <w:sz w:val="23"/>
          <w:szCs w:val="23"/>
          <w:rtl/>
        </w:rPr>
        <w:t xml:space="preserve"> مفیدتر است زیرا در تابع کاب-داگلاس فرض می‌شود کشش جانشینی برابر با یک است و تجزیه و تحلیل ساده</w:t>
      </w:r>
      <w:r w:rsidRPr="00A40DDC">
        <w:rPr>
          <w:i/>
          <w:sz w:val="23"/>
          <w:szCs w:val="23"/>
          <w:rtl/>
        </w:rPr>
        <w:softHyphen/>
      </w:r>
      <w:r w:rsidRPr="00A40DDC">
        <w:rPr>
          <w:rFonts w:hint="cs"/>
          <w:i/>
          <w:sz w:val="23"/>
          <w:szCs w:val="23"/>
          <w:rtl/>
        </w:rPr>
        <w:t xml:space="preserve">تر خواهد شد. </w:t>
      </w:r>
    </w:p>
    <w:p w14:paraId="1AD46645" w14:textId="77777777" w:rsidR="00411620" w:rsidRPr="00A40DDC" w:rsidRDefault="00411620" w:rsidP="00411620">
      <w:pPr>
        <w:tabs>
          <w:tab w:val="left" w:pos="3521"/>
        </w:tabs>
        <w:spacing w:line="216" w:lineRule="auto"/>
        <w:rPr>
          <w:i/>
          <w:sz w:val="23"/>
          <w:szCs w:val="23"/>
          <w:rtl/>
        </w:rPr>
      </w:pPr>
      <w:r w:rsidRPr="00A40DDC">
        <w:rPr>
          <w:rFonts w:hint="cs"/>
          <w:i/>
          <w:sz w:val="23"/>
          <w:szCs w:val="23"/>
          <w:rtl/>
        </w:rPr>
        <w:t>مخارج مصر</w:t>
      </w:r>
      <w:r w:rsidRPr="00A40DDC">
        <w:rPr>
          <w:i/>
          <w:sz w:val="23"/>
          <w:szCs w:val="23"/>
          <w:rtl/>
        </w:rPr>
        <w:t>ف</w:t>
      </w:r>
      <w:r w:rsidRPr="00A40DDC">
        <w:rPr>
          <w:rFonts w:hint="cs"/>
          <w:i/>
          <w:sz w:val="23"/>
          <w:szCs w:val="23"/>
          <w:rtl/>
        </w:rPr>
        <w:t>ی به قیمت</w:t>
      </w:r>
      <w:r w:rsidRPr="00A40DDC">
        <w:rPr>
          <w:i/>
          <w:sz w:val="23"/>
          <w:szCs w:val="23"/>
          <w:rtl/>
        </w:rPr>
        <w:t xml:space="preserve"> جاری برابر است با</w:t>
      </w:r>
    </w:p>
    <w:p w14:paraId="6164123F" w14:textId="77777777" w:rsidR="00411620" w:rsidRPr="00A40DDC" w:rsidRDefault="00411620" w:rsidP="00411620">
      <w:pPr>
        <w:pStyle w:val="MTDisplayEquation"/>
        <w:tabs>
          <w:tab w:val="clear" w:pos="3320"/>
          <w:tab w:val="clear" w:pos="6660"/>
        </w:tabs>
        <w:spacing w:line="216" w:lineRule="auto"/>
        <w:rPr>
          <w:rFonts w:ascii="Times New Roman" w:hAnsi="Times New Roman" w:cs="B Nazanin"/>
          <w:i/>
          <w:sz w:val="23"/>
          <w:szCs w:val="23"/>
          <w:rtl/>
        </w:rPr>
      </w:pPr>
      <w:r w:rsidRPr="00A40DDC">
        <w:rPr>
          <w:position w:val="-10"/>
        </w:rPr>
        <w:object w:dxaOrig="1820" w:dyaOrig="340" w14:anchorId="7FC9CA83">
          <v:shape id="_x0000_i3854" type="#_x0000_t75" style="width:90.75pt;height:16.95pt" o:ole="">
            <v:imagedata r:id="rId5697" o:title=""/>
          </v:shape>
          <o:OLEObject Type="Embed" ProgID="Equation.DSMT4" ShapeID="_x0000_i3854" DrawAspect="Content" ObjectID="_1791377798" r:id="rId5698"/>
        </w:object>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۲۸)</w:t>
      </w:r>
      <w:r w:rsidRPr="00A40DDC">
        <w:rPr>
          <w:rFonts w:ascii="Times New Roman" w:hAnsi="Times New Roman" w:cs="B Nazanin"/>
          <w:i/>
          <w:sz w:val="23"/>
          <w:szCs w:val="23"/>
          <w:rtl/>
        </w:rPr>
        <w:tab/>
      </w:r>
    </w:p>
    <w:p w14:paraId="571CE908" w14:textId="77777777" w:rsidR="00411620" w:rsidRPr="00A40DDC" w:rsidRDefault="00411620" w:rsidP="00411620">
      <w:pPr>
        <w:pStyle w:val="MTDisplayEquation"/>
        <w:tabs>
          <w:tab w:val="clear" w:pos="3320"/>
          <w:tab w:val="clear" w:pos="6660"/>
        </w:tabs>
        <w:spacing w:line="216" w:lineRule="auto"/>
        <w:rPr>
          <w:rFonts w:ascii="Times New Roman" w:hAnsi="Times New Roman"/>
          <w:i/>
          <w:sz w:val="23"/>
          <w:szCs w:val="23"/>
        </w:rPr>
      </w:pPr>
      <w:r w:rsidRPr="00A40DDC">
        <w:rPr>
          <w:position w:val="-10"/>
        </w:rPr>
        <w:object w:dxaOrig="2000" w:dyaOrig="340" w14:anchorId="7B6AF122">
          <v:shape id="_x0000_i3855" type="#_x0000_t75" style="width:99.85pt;height:16.95pt" o:ole="">
            <v:imagedata r:id="rId5699" o:title=""/>
          </v:shape>
          <o:OLEObject Type="Embed" ProgID="Equation.DSMT4" ShapeID="_x0000_i3855" DrawAspect="Content" ObjectID="_1791377799" r:id="rId5700"/>
        </w:object>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 xml:space="preserve">  </w:t>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 xml:space="preserve">(۷. ۲۹)    </w:t>
      </w:r>
    </w:p>
    <w:p w14:paraId="0B24B233" w14:textId="77777777" w:rsidR="00411620" w:rsidRPr="00A40DDC" w:rsidRDefault="00411620" w:rsidP="00411620">
      <w:pPr>
        <w:tabs>
          <w:tab w:val="left" w:pos="3521"/>
        </w:tabs>
        <w:spacing w:line="216" w:lineRule="auto"/>
        <w:rPr>
          <w:i/>
          <w:sz w:val="23"/>
          <w:szCs w:val="23"/>
          <w:rtl/>
        </w:rPr>
      </w:pPr>
      <w:r w:rsidRPr="00A40DDC">
        <w:rPr>
          <w:rFonts w:eastAsiaTheme="minorEastAsia" w:hint="cs"/>
          <w:i/>
          <w:sz w:val="23"/>
          <w:szCs w:val="23"/>
          <w:rtl/>
        </w:rPr>
        <w:lastRenderedPageBreak/>
        <w:t>که در آن</w:t>
      </w:r>
      <w:r w:rsidRPr="00A40DDC">
        <w:rPr>
          <w:position w:val="-10"/>
        </w:rPr>
        <w:object w:dxaOrig="240" w:dyaOrig="320" w14:anchorId="50B194C5">
          <v:shape id="_x0000_i3856" type="#_x0000_t75" style="width:11.5pt;height:15.75pt" o:ole="">
            <v:imagedata r:id="rId5701" o:title=""/>
          </v:shape>
          <o:OLEObject Type="Embed" ProgID="Equation.DSMT4" ShapeID="_x0000_i3856" DrawAspect="Content" ObjectID="_1791377800" r:id="rId5702"/>
        </w:object>
      </w:r>
      <w:r w:rsidRPr="00A40DDC">
        <w:rPr>
          <w:i/>
          <w:sz w:val="23"/>
          <w:szCs w:val="23"/>
          <w:rtl/>
        </w:rPr>
        <w:t xml:space="preserve"> سطح عمومی قیمت</w:t>
      </w:r>
      <w:r w:rsidRPr="00A40DDC">
        <w:rPr>
          <w:i/>
          <w:sz w:val="23"/>
          <w:szCs w:val="23"/>
          <w:rtl/>
        </w:rPr>
        <w:softHyphen/>
        <w:t>ها،</w:t>
      </w:r>
      <w:r w:rsidRPr="00A40DDC">
        <w:rPr>
          <w:position w:val="-10"/>
        </w:rPr>
        <w:object w:dxaOrig="400" w:dyaOrig="340" w14:anchorId="47A5274D">
          <v:shape id="_x0000_i3857" type="#_x0000_t75" style="width:19.95pt;height:16.95pt" o:ole="">
            <v:imagedata r:id="rId5703" o:title=""/>
          </v:shape>
          <o:OLEObject Type="Embed" ProgID="Equation.DSMT4" ShapeID="_x0000_i3857" DrawAspect="Content" ObjectID="_1791377801" r:id="rId5704"/>
        </w:object>
      </w:r>
      <w:r w:rsidRPr="00A40DDC">
        <w:rPr>
          <w:i/>
          <w:sz w:val="23"/>
          <w:szCs w:val="23"/>
          <w:rtl/>
        </w:rPr>
        <w:t>و</w:t>
      </w:r>
      <w:r w:rsidRPr="00A40DDC">
        <w:rPr>
          <w:position w:val="-10"/>
        </w:rPr>
        <w:object w:dxaOrig="360" w:dyaOrig="340" w14:anchorId="25E197BB">
          <v:shape id="_x0000_i3858" type="#_x0000_t75" style="width:18.15pt;height:16.95pt" o:ole="">
            <v:imagedata r:id="rId5705" o:title=""/>
          </v:shape>
          <o:OLEObject Type="Embed" ProgID="Equation.DSMT4" ShapeID="_x0000_i3858" DrawAspect="Content" ObjectID="_1791377802" r:id="rId5706"/>
        </w:object>
      </w:r>
      <w:r w:rsidRPr="00A40DDC">
        <w:rPr>
          <w:i/>
          <w:sz w:val="23"/>
          <w:szCs w:val="23"/>
          <w:rtl/>
        </w:rPr>
        <w:t xml:space="preserve"> قیمت کالاهای تجاری و غیرتجاری</w:t>
      </w:r>
      <w:r w:rsidRPr="00A40DDC">
        <w:rPr>
          <w:rFonts w:hint="cs"/>
          <w:i/>
          <w:sz w:val="23"/>
          <w:szCs w:val="23"/>
          <w:rtl/>
        </w:rPr>
        <w:t xml:space="preserve"> و</w:t>
      </w:r>
      <w:r w:rsidRPr="00A40DDC">
        <w:rPr>
          <w:position w:val="-10"/>
        </w:rPr>
        <w:object w:dxaOrig="360" w:dyaOrig="340" w14:anchorId="5A86A3D8">
          <v:shape id="_x0000_i3859" type="#_x0000_t75" style="width:18.15pt;height:16.95pt" o:ole="">
            <v:imagedata r:id="rId5707" o:title=""/>
          </v:shape>
          <o:OLEObject Type="Embed" ProgID="Equation.DSMT4" ShapeID="_x0000_i3859" DrawAspect="Content" ObjectID="_1791377803" r:id="rId5708"/>
        </w:object>
      </w:r>
      <w:r w:rsidRPr="00A40DDC">
        <w:rPr>
          <w:rFonts w:eastAsiaTheme="minorEastAsia" w:hint="cs"/>
          <w:i/>
          <w:sz w:val="23"/>
          <w:szCs w:val="23"/>
          <w:rtl/>
        </w:rPr>
        <w:t xml:space="preserve"> </w:t>
      </w:r>
      <w:r w:rsidRPr="00A40DDC">
        <w:rPr>
          <w:i/>
          <w:sz w:val="23"/>
          <w:szCs w:val="23"/>
          <w:rtl/>
        </w:rPr>
        <w:t xml:space="preserve">و </w:t>
      </w:r>
      <w:r w:rsidRPr="00A40DDC">
        <w:rPr>
          <w:position w:val="-10"/>
        </w:rPr>
        <w:object w:dxaOrig="340" w:dyaOrig="340" w14:anchorId="7A48772C">
          <v:shape id="_x0000_i3860" type="#_x0000_t75" style="width:16.95pt;height:16.95pt" o:ole="">
            <v:imagedata r:id="rId5709" o:title=""/>
          </v:shape>
          <o:OLEObject Type="Embed" ProgID="Equation.DSMT4" ShapeID="_x0000_i3860" DrawAspect="Content" ObjectID="_1791377804" r:id="rId5710"/>
        </w:object>
      </w:r>
      <w:r w:rsidRPr="00A40DDC">
        <w:rPr>
          <w:i/>
          <w:sz w:val="23"/>
          <w:szCs w:val="23"/>
          <w:rtl/>
        </w:rPr>
        <w:t xml:space="preserve"> قیمت کالاهای تجاری تولید شده در داخل و خارج است . </w:t>
      </w:r>
    </w:p>
    <w:p w14:paraId="19D4FD49" w14:textId="77777777" w:rsidR="00411620" w:rsidRPr="00A40DDC" w:rsidRDefault="00411620" w:rsidP="00411620">
      <w:pPr>
        <w:tabs>
          <w:tab w:val="left" w:pos="3521"/>
        </w:tabs>
        <w:spacing w:line="216" w:lineRule="auto"/>
        <w:rPr>
          <w:i/>
          <w:sz w:val="23"/>
          <w:szCs w:val="23"/>
          <w:rtl/>
        </w:rPr>
      </w:pPr>
      <w:r w:rsidRPr="00A40DDC">
        <w:rPr>
          <w:i/>
          <w:sz w:val="23"/>
          <w:szCs w:val="23"/>
          <w:rtl/>
        </w:rPr>
        <w:t>رابطه</w:t>
      </w:r>
      <w:r w:rsidRPr="00A40DDC">
        <w:rPr>
          <w:i/>
          <w:sz w:val="23"/>
          <w:szCs w:val="23"/>
          <w:rtl/>
        </w:rPr>
        <w:softHyphen/>
      </w:r>
      <w:r w:rsidRPr="00A40DDC">
        <w:rPr>
          <w:rFonts w:hint="cs"/>
          <w:i/>
          <w:sz w:val="23"/>
          <w:szCs w:val="23"/>
          <w:rtl/>
        </w:rPr>
        <w:t>ی</w:t>
      </w:r>
      <w:r w:rsidRPr="00A40DDC">
        <w:rPr>
          <w:i/>
          <w:sz w:val="23"/>
          <w:szCs w:val="23"/>
          <w:rtl/>
        </w:rPr>
        <w:t xml:space="preserve"> </w:t>
      </w:r>
      <w:r w:rsidRPr="00A40DDC">
        <w:rPr>
          <w:rFonts w:hint="cs"/>
          <w:i/>
          <w:sz w:val="23"/>
          <w:szCs w:val="23"/>
          <w:rtl/>
        </w:rPr>
        <w:t xml:space="preserve">مبادله </w:t>
      </w:r>
      <w:r w:rsidRPr="00A40DDC">
        <w:rPr>
          <w:i/>
          <w:sz w:val="23"/>
          <w:szCs w:val="23"/>
          <w:rtl/>
        </w:rPr>
        <w:t>عبارت است</w:t>
      </w:r>
      <w:r w:rsidRPr="00A40DDC">
        <w:rPr>
          <w:rFonts w:hint="cs"/>
          <w:i/>
          <w:sz w:val="23"/>
          <w:szCs w:val="23"/>
          <w:rtl/>
        </w:rPr>
        <w:t xml:space="preserve"> از</w:t>
      </w:r>
      <w:r w:rsidRPr="00A40DDC">
        <w:rPr>
          <w:i/>
          <w:sz w:val="23"/>
          <w:szCs w:val="23"/>
          <w:rtl/>
        </w:rPr>
        <w:t>:</w:t>
      </w:r>
    </w:p>
    <w:p w14:paraId="1B059A2F"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28"/>
        </w:rPr>
        <w:object w:dxaOrig="1780" w:dyaOrig="660" w14:anchorId="4910CDCB">
          <v:shape id="_x0000_i3861" type="#_x0000_t75" style="width:88.95pt;height:32.65pt" o:ole="">
            <v:imagedata r:id="rId5711" o:title=""/>
          </v:shape>
          <o:OLEObject Type="Embed" ProgID="Equation.DSMT4" ShapeID="_x0000_i3861" DrawAspect="Content" ObjectID="_1791377805" r:id="rId5712"/>
        </w:object>
      </w:r>
    </w:p>
    <w:p w14:paraId="40F8CD8C" w14:textId="77777777" w:rsidR="00411620" w:rsidRPr="00A40DDC" w:rsidRDefault="00411620" w:rsidP="00411620">
      <w:pPr>
        <w:tabs>
          <w:tab w:val="left" w:pos="3521"/>
        </w:tabs>
        <w:spacing w:line="216" w:lineRule="auto"/>
        <w:rPr>
          <w:i/>
          <w:sz w:val="23"/>
          <w:szCs w:val="23"/>
          <w:rtl/>
        </w:rPr>
      </w:pPr>
      <w:r w:rsidRPr="00A40DDC">
        <w:rPr>
          <w:rFonts w:eastAsiaTheme="minorEastAsia"/>
          <w:i/>
          <w:sz w:val="23"/>
          <w:szCs w:val="23"/>
          <w:rtl/>
        </w:rPr>
        <w:t>که</w:t>
      </w:r>
      <w:r w:rsidRPr="00A40DDC">
        <w:rPr>
          <w:rFonts w:eastAsiaTheme="minorEastAsia"/>
          <w:i/>
          <w:sz w:val="23"/>
          <w:szCs w:val="23"/>
        </w:rPr>
        <w:t xml:space="preserve"> </w:t>
      </w:r>
      <w:r w:rsidRPr="00A40DDC">
        <w:rPr>
          <w:rFonts w:eastAsiaTheme="minorEastAsia" w:hint="cs"/>
          <w:i/>
          <w:sz w:val="23"/>
          <w:szCs w:val="23"/>
          <w:rtl/>
        </w:rPr>
        <w:t>در آن</w:t>
      </w:r>
      <w:r w:rsidRPr="00A40DDC">
        <w:rPr>
          <w:position w:val="-10"/>
        </w:rPr>
        <w:object w:dxaOrig="1100" w:dyaOrig="340" w14:anchorId="24B3B37F">
          <v:shape id="_x0000_i3862" type="#_x0000_t75" style="width:55.05pt;height:16.95pt" o:ole="">
            <v:imagedata r:id="rId5713" o:title=""/>
          </v:shape>
          <o:OLEObject Type="Embed" ProgID="Equation.DSMT4" ShapeID="_x0000_i3862" DrawAspect="Content" ObjectID="_1791377806" r:id="rId5714"/>
        </w:object>
      </w:r>
      <w:r w:rsidRPr="00A40DDC">
        <w:rPr>
          <w:rFonts w:eastAsiaTheme="minorEastAsia"/>
          <w:i/>
          <w:sz w:val="23"/>
          <w:szCs w:val="23"/>
          <w:rtl/>
        </w:rPr>
        <w:t xml:space="preserve"> و</w:t>
      </w:r>
      <w:r w:rsidRPr="00A40DDC">
        <w:rPr>
          <w:position w:val="-10"/>
        </w:rPr>
        <w:object w:dxaOrig="400" w:dyaOrig="340" w14:anchorId="1CF9E54F">
          <v:shape id="_x0000_i3863" type="#_x0000_t75" style="width:19.95pt;height:16.95pt" o:ole="">
            <v:imagedata r:id="rId5715" o:title=""/>
          </v:shape>
          <o:OLEObject Type="Embed" ProgID="Equation.DSMT4" ShapeID="_x0000_i3863" DrawAspect="Content" ObjectID="_1791377807" r:id="rId5716"/>
        </w:object>
      </w:r>
      <w:r w:rsidRPr="00A40DDC">
        <w:rPr>
          <w:i/>
          <w:sz w:val="23"/>
          <w:szCs w:val="23"/>
          <w:rtl/>
        </w:rPr>
        <w:t xml:space="preserve"> قیمت کالا</w:t>
      </w:r>
      <w:r w:rsidRPr="00A40DDC">
        <w:rPr>
          <w:i/>
          <w:sz w:val="23"/>
          <w:szCs w:val="23"/>
        </w:rPr>
        <w:softHyphen/>
      </w:r>
      <w:r w:rsidRPr="00A40DDC">
        <w:rPr>
          <w:rFonts w:hint="cs"/>
          <w:i/>
          <w:sz w:val="23"/>
          <w:szCs w:val="23"/>
          <w:rtl/>
        </w:rPr>
        <w:t>ها</w:t>
      </w:r>
      <w:r w:rsidRPr="00A40DDC">
        <w:rPr>
          <w:i/>
          <w:sz w:val="23"/>
          <w:szCs w:val="23"/>
          <w:rtl/>
        </w:rPr>
        <w:t xml:space="preserve">ی تجاری خارجی تولید شده در خارج به </w:t>
      </w:r>
      <w:r w:rsidRPr="00A40DDC">
        <w:rPr>
          <w:rFonts w:hint="cs"/>
          <w:i/>
          <w:sz w:val="23"/>
          <w:szCs w:val="23"/>
          <w:rtl/>
        </w:rPr>
        <w:t>پول</w:t>
      </w:r>
      <w:r w:rsidRPr="00A40DDC">
        <w:rPr>
          <w:i/>
          <w:sz w:val="23"/>
          <w:szCs w:val="23"/>
          <w:rtl/>
        </w:rPr>
        <w:t xml:space="preserve"> خارجی است </w:t>
      </w:r>
      <w:r w:rsidRPr="00A40DDC">
        <w:rPr>
          <w:rFonts w:hint="cs"/>
          <w:i/>
          <w:sz w:val="23"/>
          <w:szCs w:val="23"/>
          <w:rtl/>
        </w:rPr>
        <w:t>و یا</w:t>
      </w:r>
      <w:r w:rsidRPr="00A40DDC">
        <w:rPr>
          <w:i/>
          <w:sz w:val="23"/>
          <w:szCs w:val="23"/>
          <w:rtl/>
        </w:rPr>
        <w:t xml:space="preserve"> قیمت واردات</w:t>
      </w:r>
      <w:r w:rsidRPr="00A40DDC">
        <w:rPr>
          <w:rFonts w:hint="cs"/>
          <w:i/>
          <w:sz w:val="23"/>
          <w:szCs w:val="23"/>
          <w:rtl/>
        </w:rPr>
        <w:t xml:space="preserve"> است</w:t>
      </w:r>
      <w:r w:rsidRPr="00A40DDC">
        <w:rPr>
          <w:i/>
          <w:sz w:val="23"/>
          <w:szCs w:val="23"/>
          <w:rtl/>
        </w:rPr>
        <w:t>.</w:t>
      </w:r>
      <w:r w:rsidRPr="00A40DDC">
        <w:rPr>
          <w:rFonts w:hint="cs"/>
          <w:i/>
          <w:sz w:val="23"/>
          <w:szCs w:val="23"/>
          <w:rtl/>
        </w:rPr>
        <w:t xml:space="preserve"> </w:t>
      </w:r>
      <w:r w:rsidRPr="00A40DDC">
        <w:rPr>
          <w:i/>
          <w:sz w:val="23"/>
          <w:szCs w:val="23"/>
          <w:rtl/>
        </w:rPr>
        <w:t>برای سهولت فرض می</w:t>
      </w:r>
      <w:r w:rsidRPr="00A40DDC">
        <w:rPr>
          <w:rFonts w:hint="cs"/>
          <w:i/>
          <w:sz w:val="23"/>
          <w:szCs w:val="23"/>
          <w:rtl/>
        </w:rPr>
        <w:t>‌</w:t>
      </w:r>
      <w:r w:rsidRPr="00A40DDC">
        <w:rPr>
          <w:i/>
          <w:sz w:val="23"/>
          <w:szCs w:val="23"/>
          <w:rtl/>
        </w:rPr>
        <w:t xml:space="preserve">شود </w:t>
      </w:r>
      <w:r w:rsidRPr="00A40DDC">
        <w:rPr>
          <w:rFonts w:hint="cs"/>
          <w:i/>
          <w:sz w:val="23"/>
          <w:szCs w:val="23"/>
          <w:rtl/>
        </w:rPr>
        <w:t>کل</w:t>
      </w:r>
      <w:r w:rsidRPr="00A40DDC">
        <w:rPr>
          <w:i/>
          <w:sz w:val="23"/>
          <w:szCs w:val="23"/>
          <w:rtl/>
        </w:rPr>
        <w:t xml:space="preserve"> تولید داخلی برون</w:t>
      </w:r>
      <w:r w:rsidRPr="00A40DDC">
        <w:rPr>
          <w:i/>
          <w:sz w:val="23"/>
          <w:szCs w:val="23"/>
          <w:rtl/>
        </w:rPr>
        <w:softHyphen/>
        <w:t xml:space="preserve">زاست </w:t>
      </w:r>
      <w:r w:rsidRPr="00A40DDC">
        <w:rPr>
          <w:rFonts w:hint="cs"/>
          <w:i/>
          <w:sz w:val="23"/>
          <w:szCs w:val="23"/>
          <w:rtl/>
        </w:rPr>
        <w:t xml:space="preserve">و </w:t>
      </w:r>
      <w:r w:rsidRPr="00A40DDC">
        <w:rPr>
          <w:i/>
          <w:sz w:val="23"/>
          <w:szCs w:val="23"/>
          <w:rtl/>
        </w:rPr>
        <w:t xml:space="preserve">عبارت </w:t>
      </w:r>
      <w:r w:rsidRPr="00A40DDC">
        <w:rPr>
          <w:rFonts w:hint="cs"/>
          <w:i/>
          <w:sz w:val="23"/>
          <w:szCs w:val="23"/>
          <w:rtl/>
        </w:rPr>
        <w:t xml:space="preserve">است </w:t>
      </w:r>
      <w:r w:rsidRPr="00A40DDC">
        <w:rPr>
          <w:i/>
          <w:sz w:val="23"/>
          <w:szCs w:val="23"/>
          <w:rtl/>
        </w:rPr>
        <w:t>از:</w:t>
      </w:r>
    </w:p>
    <w:p w14:paraId="23F250D9" w14:textId="77777777" w:rsidR="00411620" w:rsidRPr="00A40DDC" w:rsidRDefault="00411620" w:rsidP="00411620">
      <w:pPr>
        <w:tabs>
          <w:tab w:val="left" w:pos="3521"/>
        </w:tabs>
        <w:bidi w:val="0"/>
        <w:spacing w:line="216" w:lineRule="auto"/>
        <w:rPr>
          <w:i/>
          <w:sz w:val="23"/>
          <w:szCs w:val="23"/>
          <w:rtl/>
        </w:rPr>
      </w:pPr>
      <w:r w:rsidRPr="00A40DDC">
        <w:rPr>
          <w:position w:val="-10"/>
        </w:rPr>
        <w:object w:dxaOrig="2680" w:dyaOrig="340" w14:anchorId="39DEB6D4">
          <v:shape id="_x0000_i3864" type="#_x0000_t75" style="width:133.7pt;height:16.95pt" o:ole="">
            <v:imagedata r:id="rId5717" o:title=""/>
          </v:shape>
          <o:OLEObject Type="Embed" ProgID="Equation.DSMT4" ShapeID="_x0000_i3864" DrawAspect="Content" ObjectID="_1791377808" r:id="rId5718"/>
        </w:object>
      </w:r>
      <w:r w:rsidRPr="00A40DDC">
        <w:rPr>
          <w:i/>
          <w:sz w:val="23"/>
          <w:szCs w:val="23"/>
          <w:rtl/>
        </w:rPr>
        <w:tab/>
      </w:r>
      <w:r w:rsidRPr="00A40DDC">
        <w:rPr>
          <w:i/>
          <w:sz w:val="23"/>
          <w:szCs w:val="23"/>
          <w:rtl/>
        </w:rPr>
        <w:tab/>
      </w:r>
      <w:r>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rFonts w:hint="cs"/>
          <w:i/>
          <w:sz w:val="23"/>
          <w:szCs w:val="23"/>
          <w:rtl/>
        </w:rPr>
        <w:t>(۷. ۳۰)</w:t>
      </w:r>
    </w:p>
    <w:p w14:paraId="22145845" w14:textId="77777777" w:rsidR="00411620" w:rsidRPr="00A40DDC" w:rsidRDefault="00411620" w:rsidP="00411620">
      <w:pPr>
        <w:tabs>
          <w:tab w:val="left" w:pos="3521"/>
        </w:tabs>
        <w:spacing w:line="216" w:lineRule="auto"/>
        <w:rPr>
          <w:i/>
          <w:sz w:val="23"/>
          <w:szCs w:val="23"/>
          <w:rtl/>
        </w:rPr>
      </w:pPr>
      <w:r w:rsidRPr="00A40DDC">
        <w:rPr>
          <w:i/>
          <w:sz w:val="23"/>
          <w:szCs w:val="23"/>
          <w:rtl/>
        </w:rPr>
        <w:t>که</w:t>
      </w:r>
      <w:r w:rsidRPr="00A40DDC">
        <w:rPr>
          <w:rFonts w:hint="cs"/>
          <w:i/>
          <w:sz w:val="23"/>
          <w:szCs w:val="23"/>
          <w:rtl/>
        </w:rPr>
        <w:t xml:space="preserve"> در آن</w:t>
      </w:r>
      <w:r w:rsidRPr="00A40DDC">
        <w:rPr>
          <w:i/>
          <w:sz w:val="23"/>
          <w:szCs w:val="23"/>
          <w:rtl/>
        </w:rPr>
        <w:t xml:space="preserve"> </w:t>
      </w:r>
      <w:r w:rsidRPr="00A40DDC">
        <w:rPr>
          <w:position w:val="-10"/>
        </w:rPr>
        <w:object w:dxaOrig="740" w:dyaOrig="340" w14:anchorId="3018C686">
          <v:shape id="_x0000_i3865" type="#_x0000_t75" style="width:36.9pt;height:16.95pt" o:ole="">
            <v:imagedata r:id="rId5719" o:title=""/>
          </v:shape>
          <o:OLEObject Type="Embed" ProgID="Equation.DSMT4" ShapeID="_x0000_i3865" DrawAspect="Content" ObjectID="_1791377809" r:id="rId5720"/>
        </w:object>
      </w:r>
      <w:r w:rsidRPr="00A40DDC">
        <w:rPr>
          <w:rFonts w:eastAsiaTheme="minorEastAsia" w:hint="cs"/>
          <w:i/>
          <w:sz w:val="23"/>
          <w:szCs w:val="23"/>
          <w:rtl/>
        </w:rPr>
        <w:t>.</w:t>
      </w:r>
    </w:p>
    <w:p w14:paraId="018B14D4" w14:textId="77777777" w:rsidR="00411620" w:rsidRPr="00A40DDC" w:rsidRDefault="00411620" w:rsidP="00411620">
      <w:pPr>
        <w:tabs>
          <w:tab w:val="left" w:pos="3521"/>
        </w:tabs>
        <w:spacing w:line="216" w:lineRule="auto"/>
        <w:rPr>
          <w:i/>
          <w:sz w:val="23"/>
          <w:szCs w:val="23"/>
          <w:rtl/>
        </w:rPr>
      </w:pPr>
      <w:r w:rsidRPr="00A40DDC">
        <w:rPr>
          <w:rFonts w:hint="cs"/>
          <w:i/>
          <w:sz w:val="23"/>
          <w:szCs w:val="23"/>
          <w:rtl/>
        </w:rPr>
        <w:t xml:space="preserve">تراز پرداخت‌های </w:t>
      </w:r>
      <w:r w:rsidRPr="00A40DDC">
        <w:rPr>
          <w:i/>
          <w:sz w:val="23"/>
          <w:szCs w:val="23"/>
          <w:rtl/>
        </w:rPr>
        <w:t xml:space="preserve">اسمی که با سطح قیمت داخلی </w:t>
      </w:r>
      <w:r w:rsidRPr="00A40DDC">
        <w:rPr>
          <w:rFonts w:hint="cs"/>
          <w:i/>
          <w:sz w:val="23"/>
          <w:szCs w:val="23"/>
          <w:rtl/>
        </w:rPr>
        <w:t xml:space="preserve">تعدیل </w:t>
      </w:r>
      <w:r w:rsidRPr="00A40DDC">
        <w:rPr>
          <w:i/>
          <w:sz w:val="23"/>
          <w:szCs w:val="23"/>
          <w:rtl/>
        </w:rPr>
        <w:t>شده</w:t>
      </w:r>
      <w:r w:rsidRPr="00A40DDC">
        <w:rPr>
          <w:rFonts w:hint="cs"/>
          <w:i/>
          <w:sz w:val="23"/>
          <w:szCs w:val="23"/>
          <w:rtl/>
        </w:rPr>
        <w:t xml:space="preserve"> </w:t>
      </w:r>
      <w:r w:rsidRPr="00A40DDC">
        <w:rPr>
          <w:i/>
          <w:sz w:val="23"/>
          <w:szCs w:val="23"/>
          <w:rtl/>
        </w:rPr>
        <w:t>عبارت است از:</w:t>
      </w:r>
    </w:p>
    <w:p w14:paraId="4FAAC09D" w14:textId="77777777" w:rsidR="00411620" w:rsidRPr="00A40DDC" w:rsidRDefault="00411620" w:rsidP="00411620">
      <w:pPr>
        <w:pStyle w:val="MTDisplayEquation"/>
        <w:spacing w:line="216" w:lineRule="auto"/>
        <w:rPr>
          <w:rFonts w:ascii="Times New Roman" w:hAnsi="Times New Roman" w:cs="B Nazanin"/>
          <w:i/>
          <w:sz w:val="23"/>
          <w:szCs w:val="23"/>
          <w:rtl/>
        </w:rPr>
      </w:pPr>
      <w:r w:rsidRPr="00A40DDC">
        <w:rPr>
          <w:position w:val="-28"/>
        </w:rPr>
        <w:object w:dxaOrig="2600" w:dyaOrig="660" w14:anchorId="4184BE8C">
          <v:shape id="_x0000_i3866" type="#_x0000_t75" style="width:130.1pt;height:32.65pt" o:ole="">
            <v:imagedata r:id="rId5721" o:title=""/>
          </v:shape>
          <o:OLEObject Type="Embed" ProgID="Equation.DSMT4" ShapeID="_x0000_i3866" DrawAspect="Content" ObjectID="_1791377810" r:id="rId5722"/>
        </w:object>
      </w:r>
    </w:p>
    <w:p w14:paraId="64AC1855" w14:textId="77777777" w:rsidR="00411620" w:rsidRPr="00A40DDC" w:rsidRDefault="00411620" w:rsidP="00411620">
      <w:pPr>
        <w:tabs>
          <w:tab w:val="left" w:pos="3521"/>
        </w:tabs>
        <w:spacing w:line="216" w:lineRule="auto"/>
        <w:rPr>
          <w:i/>
          <w:sz w:val="23"/>
          <w:szCs w:val="23"/>
          <w:rtl/>
        </w:rPr>
      </w:pPr>
      <w:r w:rsidRPr="00A40DDC">
        <w:rPr>
          <w:i/>
          <w:sz w:val="23"/>
          <w:szCs w:val="23"/>
          <w:rtl/>
        </w:rPr>
        <w:t xml:space="preserve">که اگر آنرا با </w:t>
      </w:r>
      <w:r w:rsidRPr="00A40DDC">
        <w:rPr>
          <w:rFonts w:hint="cs"/>
          <w:i/>
          <w:sz w:val="23"/>
          <w:szCs w:val="23"/>
          <w:rtl/>
        </w:rPr>
        <w:t>(۷. ۳۰)</w:t>
      </w:r>
      <w:r w:rsidRPr="00A40DDC">
        <w:rPr>
          <w:i/>
          <w:sz w:val="23"/>
          <w:szCs w:val="23"/>
          <w:rtl/>
        </w:rPr>
        <w:t xml:space="preserve"> </w:t>
      </w:r>
      <w:r w:rsidRPr="00A40DDC">
        <w:rPr>
          <w:rFonts w:hint="cs"/>
          <w:i/>
          <w:sz w:val="23"/>
          <w:szCs w:val="23"/>
          <w:rtl/>
        </w:rPr>
        <w:t>جهت</w:t>
      </w:r>
      <w:r w:rsidRPr="00A40DDC">
        <w:rPr>
          <w:i/>
          <w:sz w:val="23"/>
          <w:szCs w:val="23"/>
          <w:rtl/>
        </w:rPr>
        <w:t xml:space="preserve"> حذف صادرات </w:t>
      </w:r>
      <w:r w:rsidRPr="00A40DDC">
        <w:rPr>
          <w:rFonts w:hint="cs"/>
          <w:i/>
          <w:sz w:val="23"/>
          <w:szCs w:val="23"/>
          <w:rtl/>
        </w:rPr>
        <w:t>ترکیب</w:t>
      </w:r>
      <w:r w:rsidRPr="00A40DDC">
        <w:rPr>
          <w:i/>
          <w:sz w:val="23"/>
          <w:szCs w:val="23"/>
          <w:rtl/>
        </w:rPr>
        <w:t xml:space="preserve"> کنیم</w:t>
      </w:r>
      <w:r w:rsidRPr="00A40DDC">
        <w:rPr>
          <w:rFonts w:hint="cs"/>
          <w:i/>
          <w:sz w:val="23"/>
          <w:szCs w:val="23"/>
          <w:rtl/>
        </w:rPr>
        <w:t>،</w:t>
      </w:r>
      <w:r w:rsidRPr="00A40DDC">
        <w:rPr>
          <w:i/>
          <w:sz w:val="23"/>
          <w:szCs w:val="23"/>
          <w:rtl/>
        </w:rPr>
        <w:t xml:space="preserve"> ق</w:t>
      </w:r>
      <w:r w:rsidRPr="00A40DDC">
        <w:rPr>
          <w:rFonts w:hint="cs"/>
          <w:i/>
          <w:sz w:val="23"/>
          <w:szCs w:val="23"/>
          <w:rtl/>
        </w:rPr>
        <w:t>ی</w:t>
      </w:r>
      <w:r w:rsidRPr="00A40DDC">
        <w:rPr>
          <w:i/>
          <w:sz w:val="23"/>
          <w:szCs w:val="23"/>
          <w:rtl/>
        </w:rPr>
        <w:t xml:space="preserve">د </w:t>
      </w:r>
      <w:r w:rsidRPr="00A40DDC">
        <w:rPr>
          <w:rFonts w:hint="cs"/>
          <w:i/>
          <w:sz w:val="23"/>
          <w:szCs w:val="23"/>
          <w:rtl/>
        </w:rPr>
        <w:t>منبع</w:t>
      </w:r>
      <w:r w:rsidRPr="00A40DDC">
        <w:rPr>
          <w:i/>
          <w:sz w:val="23"/>
          <w:szCs w:val="23"/>
          <w:rtl/>
        </w:rPr>
        <w:t xml:space="preserve"> حقیقی </w:t>
      </w:r>
      <w:r w:rsidRPr="00A40DDC">
        <w:rPr>
          <w:rFonts w:hint="cs"/>
          <w:i/>
          <w:sz w:val="23"/>
          <w:szCs w:val="23"/>
          <w:rtl/>
        </w:rPr>
        <w:t xml:space="preserve">اقتصاد </w:t>
      </w:r>
      <w:r w:rsidRPr="00A40DDC">
        <w:rPr>
          <w:i/>
          <w:sz w:val="23"/>
          <w:szCs w:val="23"/>
          <w:rtl/>
        </w:rPr>
        <w:t xml:space="preserve">را </w:t>
      </w:r>
      <w:r w:rsidRPr="00A40DDC">
        <w:rPr>
          <w:rFonts w:hint="cs"/>
          <w:i/>
          <w:sz w:val="23"/>
          <w:szCs w:val="23"/>
          <w:rtl/>
        </w:rPr>
        <w:t xml:space="preserve">بدست </w:t>
      </w:r>
      <w:r w:rsidRPr="00A40DDC">
        <w:rPr>
          <w:i/>
          <w:sz w:val="23"/>
          <w:szCs w:val="23"/>
          <w:rtl/>
        </w:rPr>
        <w:t xml:space="preserve">خواهیم </w:t>
      </w:r>
      <w:r w:rsidRPr="00A40DDC">
        <w:rPr>
          <w:rFonts w:hint="cs"/>
          <w:i/>
          <w:sz w:val="23"/>
          <w:szCs w:val="23"/>
          <w:rtl/>
        </w:rPr>
        <w:t>آورد</w:t>
      </w:r>
      <w:r w:rsidRPr="00A40DDC">
        <w:rPr>
          <w:i/>
          <w:sz w:val="23"/>
          <w:szCs w:val="23"/>
          <w:rtl/>
        </w:rPr>
        <w:t xml:space="preserve">. </w:t>
      </w:r>
      <w:r w:rsidRPr="00A40DDC">
        <w:rPr>
          <w:rFonts w:hint="cs"/>
          <w:i/>
          <w:sz w:val="23"/>
          <w:szCs w:val="23"/>
          <w:rtl/>
        </w:rPr>
        <w:t>بنابراین</w:t>
      </w:r>
    </w:p>
    <w:p w14:paraId="392E5D41" w14:textId="77777777" w:rsidR="00411620" w:rsidRPr="00A40DDC" w:rsidRDefault="00411620" w:rsidP="00411620">
      <w:pPr>
        <w:pStyle w:val="MTDisplayEquation"/>
        <w:tabs>
          <w:tab w:val="clear" w:pos="3320"/>
          <w:tab w:val="clear" w:pos="6660"/>
        </w:tabs>
        <w:spacing w:line="216" w:lineRule="auto"/>
        <w:rPr>
          <w:rFonts w:ascii="Times New Roman" w:hAnsi="Times New Roman" w:cs="B Nazanin"/>
          <w:i/>
          <w:sz w:val="23"/>
          <w:szCs w:val="23"/>
          <w:rtl/>
        </w:rPr>
      </w:pPr>
      <w:r w:rsidRPr="00A40DDC">
        <w:rPr>
          <w:position w:val="-28"/>
        </w:rPr>
        <w:object w:dxaOrig="4099" w:dyaOrig="660" w14:anchorId="1C8EDFB9">
          <v:shape id="_x0000_i3867" type="#_x0000_t75" style="width:205.1pt;height:32.65pt" o:ole="">
            <v:imagedata r:id="rId5723" o:title=""/>
          </v:shape>
          <o:OLEObject Type="Embed" ProgID="Equation.DSMT4" ShapeID="_x0000_i3867" DrawAspect="Content" ObjectID="_1791377811" r:id="rId5724"/>
        </w:object>
      </w:r>
      <w:r w:rsidRPr="00A40DDC">
        <w:rPr>
          <w:rFonts w:ascii="Times New Roman" w:hAnsi="Times New Roman"/>
          <w:i/>
          <w:sz w:val="23"/>
          <w:szCs w:val="23"/>
          <w:rtl/>
        </w:rPr>
        <w:tab/>
      </w:r>
      <w:r w:rsidRPr="00A40DDC">
        <w:rPr>
          <w:rFonts w:ascii="Times New Roman" w:hAnsi="Times New Roman"/>
          <w:i/>
          <w:sz w:val="23"/>
          <w:szCs w:val="23"/>
          <w:rtl/>
        </w:rPr>
        <w:tab/>
      </w:r>
      <w:r>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cs="B Nazanin" w:hint="cs"/>
          <w:i/>
          <w:sz w:val="23"/>
          <w:szCs w:val="23"/>
          <w:rtl/>
        </w:rPr>
        <w:t>(۷. ۳۱)</w:t>
      </w:r>
    </w:p>
    <w:p w14:paraId="42BC616D" w14:textId="77777777" w:rsidR="00411620" w:rsidRPr="00A40DDC" w:rsidRDefault="00411620" w:rsidP="00411620">
      <w:pPr>
        <w:tabs>
          <w:tab w:val="left" w:pos="3521"/>
        </w:tabs>
        <w:spacing w:line="216" w:lineRule="auto"/>
        <w:rPr>
          <w:i/>
          <w:sz w:val="23"/>
          <w:szCs w:val="23"/>
          <w:rtl/>
        </w:rPr>
      </w:pPr>
      <w:r w:rsidRPr="00A40DDC">
        <w:rPr>
          <w:i/>
          <w:sz w:val="23"/>
          <w:szCs w:val="23"/>
          <w:rtl/>
        </w:rPr>
        <w:t>لا</w:t>
      </w:r>
      <w:r w:rsidRPr="00A40DDC">
        <w:rPr>
          <w:rFonts w:hint="cs"/>
          <w:i/>
          <w:sz w:val="23"/>
          <w:szCs w:val="23"/>
          <w:rtl/>
        </w:rPr>
        <w:t>گرانژ</w:t>
      </w:r>
      <w:r w:rsidRPr="00A40DDC">
        <w:rPr>
          <w:i/>
          <w:sz w:val="23"/>
          <w:szCs w:val="23"/>
          <w:rtl/>
        </w:rPr>
        <w:t xml:space="preserve">ین </w:t>
      </w:r>
      <w:r w:rsidRPr="00A40DDC">
        <w:rPr>
          <w:rFonts w:hint="cs"/>
          <w:i/>
          <w:sz w:val="23"/>
          <w:szCs w:val="23"/>
          <w:rtl/>
        </w:rPr>
        <w:t xml:space="preserve">این مسئله </w:t>
      </w:r>
      <w:r w:rsidRPr="00A40DDC">
        <w:rPr>
          <w:i/>
          <w:sz w:val="23"/>
          <w:szCs w:val="23"/>
          <w:rtl/>
        </w:rPr>
        <w:t xml:space="preserve">عبارت </w:t>
      </w:r>
      <w:r w:rsidRPr="00A40DDC">
        <w:rPr>
          <w:rFonts w:hint="cs"/>
          <w:i/>
          <w:sz w:val="23"/>
          <w:szCs w:val="23"/>
          <w:rtl/>
        </w:rPr>
        <w:t>است ا</w:t>
      </w:r>
      <w:r w:rsidRPr="00A40DDC">
        <w:rPr>
          <w:i/>
          <w:sz w:val="23"/>
          <w:szCs w:val="23"/>
          <w:rtl/>
        </w:rPr>
        <w:t xml:space="preserve">ز: </w:t>
      </w:r>
    </w:p>
    <w:p w14:paraId="4FF27221" w14:textId="77777777" w:rsidR="00411620" w:rsidRPr="00A40DDC" w:rsidRDefault="00411620" w:rsidP="00411620">
      <w:pPr>
        <w:pStyle w:val="MTDisplayEquation"/>
        <w:tabs>
          <w:tab w:val="clear" w:pos="6660"/>
        </w:tabs>
        <w:spacing w:line="216" w:lineRule="auto"/>
        <w:rPr>
          <w:rFonts w:ascii="Times New Roman" w:hAnsi="Times New Roman" w:cs="B Nazanin"/>
          <w:i/>
          <w:sz w:val="23"/>
          <w:szCs w:val="23"/>
          <w:rtl/>
        </w:rPr>
      </w:pPr>
      <w:r w:rsidRPr="00A40DDC">
        <w:rPr>
          <w:position w:val="-48"/>
        </w:rPr>
        <w:object w:dxaOrig="6320" w:dyaOrig="1080" w14:anchorId="30296E09">
          <v:shape id="_x0000_i3868" type="#_x0000_t75" style="width:315.85pt;height:54.45pt" o:ole="">
            <v:imagedata r:id="rId5725" o:title=""/>
          </v:shape>
          <o:OLEObject Type="Embed" ProgID="Equation.DSMT4" ShapeID="_x0000_i3868" DrawAspect="Content" ObjectID="_1791377812" r:id="rId5726"/>
        </w:object>
      </w:r>
    </w:p>
    <w:p w14:paraId="23114C88" w14:textId="77777777" w:rsidR="00411620" w:rsidRPr="00A40DDC" w:rsidRDefault="00411620" w:rsidP="00411620">
      <w:pPr>
        <w:pStyle w:val="MTDisplayEquation"/>
        <w:tabs>
          <w:tab w:val="clear" w:pos="6660"/>
        </w:tabs>
        <w:bidi/>
        <w:spacing w:line="216" w:lineRule="auto"/>
        <w:rPr>
          <w:rFonts w:ascii="Times New Roman" w:hAnsi="Times New Roman" w:cs="B Nazanin"/>
          <w:i/>
          <w:sz w:val="23"/>
          <w:szCs w:val="23"/>
          <w:rtl/>
          <w:lang w:bidi="fa-IR"/>
        </w:rPr>
      </w:pPr>
      <w:r w:rsidRPr="00A40DDC">
        <w:rPr>
          <w:rFonts w:ascii="Times New Roman" w:hAnsi="Times New Roman" w:cs="B Nazanin"/>
          <w:i/>
          <w:sz w:val="23"/>
          <w:szCs w:val="23"/>
          <w:rtl/>
        </w:rPr>
        <w:t xml:space="preserve">و </w:t>
      </w:r>
      <w:r w:rsidRPr="00A40DDC">
        <w:rPr>
          <w:rFonts w:ascii="Times New Roman" w:hAnsi="Times New Roman" w:cs="B Nazanin" w:hint="cs"/>
          <w:i/>
          <w:sz w:val="23"/>
          <w:szCs w:val="23"/>
          <w:rtl/>
          <w:lang w:bidi="fa-IR"/>
        </w:rPr>
        <w:t>شرایط مرتبه</w:t>
      </w:r>
      <w:r w:rsidRPr="00A40DDC">
        <w:rPr>
          <w:rFonts w:ascii="Times New Roman" w:hAnsi="Times New Roman" w:cs="B Nazanin"/>
          <w:i/>
          <w:sz w:val="23"/>
          <w:szCs w:val="23"/>
          <w:rtl/>
          <w:lang w:bidi="fa-IR"/>
        </w:rPr>
        <w:softHyphen/>
      </w:r>
      <w:r w:rsidRPr="00A40DDC">
        <w:rPr>
          <w:rFonts w:ascii="Times New Roman" w:hAnsi="Times New Roman" w:cs="B Nazanin" w:hint="cs"/>
          <w:i/>
          <w:sz w:val="23"/>
          <w:szCs w:val="23"/>
          <w:rtl/>
          <w:lang w:bidi="fa-IR"/>
        </w:rPr>
        <w:t>ی اول</w:t>
      </w:r>
      <w:r w:rsidRPr="00A40DDC">
        <w:rPr>
          <w:rFonts w:ascii="Times New Roman" w:hAnsi="Times New Roman" w:cs="B Nazanin"/>
          <w:i/>
          <w:sz w:val="23"/>
          <w:szCs w:val="23"/>
          <w:rtl/>
        </w:rPr>
        <w:t xml:space="preserve"> برحسب </w:t>
      </w:r>
      <w:r w:rsidRPr="00A40DDC">
        <w:rPr>
          <w:position w:val="-16"/>
        </w:rPr>
        <w:object w:dxaOrig="2480" w:dyaOrig="420" w14:anchorId="406F2117">
          <v:shape id="_x0000_i3869" type="#_x0000_t75" style="width:124.05pt;height:21.2pt" o:ole="">
            <v:imagedata r:id="rId5727" o:title=""/>
          </v:shape>
          <o:OLEObject Type="Embed" ProgID="Equation.DSMT4" ShapeID="_x0000_i3869" DrawAspect="Content" ObjectID="_1791377813" r:id="rId5728"/>
        </w:object>
      </w:r>
      <w:r w:rsidRPr="00A40DDC">
        <w:rPr>
          <w:rFonts w:ascii="Times New Roman" w:hAnsi="Times New Roman" w:cs="B Nazanin"/>
          <w:i/>
          <w:sz w:val="23"/>
          <w:szCs w:val="23"/>
          <w:rtl/>
        </w:rPr>
        <w:t xml:space="preserve"> عبارت است از</w:t>
      </w:r>
      <w:r w:rsidRPr="00A40DDC">
        <w:rPr>
          <w:rFonts w:ascii="Times New Roman" w:hAnsi="Times New Roman" w:cs="B Nazanin" w:hint="cs"/>
          <w:i/>
          <w:sz w:val="23"/>
          <w:szCs w:val="23"/>
          <w:rtl/>
          <w:lang w:bidi="fa-IR"/>
        </w:rPr>
        <w:t>؛</w:t>
      </w:r>
    </w:p>
    <w:p w14:paraId="69B1D080" w14:textId="77777777" w:rsidR="00411620" w:rsidRPr="00A40DDC" w:rsidRDefault="00411620" w:rsidP="00411620">
      <w:pPr>
        <w:pStyle w:val="MTDisplayEquation"/>
        <w:spacing w:line="216" w:lineRule="auto"/>
        <w:rPr>
          <w:rFonts w:ascii="Times New Roman" w:hAnsi="Times New Roman" w:cs="B Nazanin"/>
          <w:i/>
          <w:sz w:val="23"/>
          <w:szCs w:val="23"/>
          <w:lang w:val="en-GB" w:bidi="fa-IR"/>
        </w:rPr>
      </w:pPr>
      <w:r w:rsidRPr="00A40DDC">
        <w:rPr>
          <w:position w:val="-30"/>
        </w:rPr>
        <w:object w:dxaOrig="5380" w:dyaOrig="700" w14:anchorId="025556B0">
          <v:shape id="_x0000_i3870" type="#_x0000_t75" style="width:269.25pt;height:35.1pt" o:ole="">
            <v:imagedata r:id="rId5729" o:title=""/>
          </v:shape>
          <o:OLEObject Type="Embed" ProgID="Equation.DSMT4" ShapeID="_x0000_i3870" DrawAspect="Content" ObjectID="_1791377814" r:id="rId5730"/>
        </w:object>
      </w:r>
    </w:p>
    <w:p w14:paraId="6598A932" w14:textId="77777777" w:rsidR="00411620" w:rsidRPr="00A40DDC" w:rsidRDefault="00411620" w:rsidP="00411620">
      <w:pPr>
        <w:pStyle w:val="MTDisplayEquation"/>
        <w:spacing w:line="216" w:lineRule="auto"/>
        <w:rPr>
          <w:rFonts w:ascii="Times New Roman" w:hAnsi="Times New Roman" w:cs="B Nazanin"/>
          <w:i/>
          <w:sz w:val="23"/>
          <w:szCs w:val="23"/>
          <w:lang w:val="en-GB" w:bidi="fa-IR"/>
        </w:rPr>
      </w:pPr>
      <w:r w:rsidRPr="00A40DDC">
        <w:rPr>
          <w:position w:val="-30"/>
        </w:rPr>
        <w:object w:dxaOrig="5319" w:dyaOrig="700" w14:anchorId="1EEB3D8F">
          <v:shape id="_x0000_i3871" type="#_x0000_t75" style="width:266.2pt;height:35.1pt" o:ole="">
            <v:imagedata r:id="rId5731" o:title=""/>
          </v:shape>
          <o:OLEObject Type="Embed" ProgID="Equation.DSMT4" ShapeID="_x0000_i3871" DrawAspect="Content" ObjectID="_1791377815" r:id="rId5732"/>
        </w:object>
      </w:r>
    </w:p>
    <w:p w14:paraId="2C9FD62E" w14:textId="77777777" w:rsidR="00411620" w:rsidRPr="00A40DDC" w:rsidRDefault="00411620" w:rsidP="00411620">
      <w:pPr>
        <w:pStyle w:val="MTDisplayEquation"/>
        <w:spacing w:line="216" w:lineRule="auto"/>
        <w:rPr>
          <w:rFonts w:ascii="Times New Roman" w:hAnsi="Times New Roman" w:cs="B Nazanin"/>
          <w:i/>
          <w:sz w:val="23"/>
          <w:szCs w:val="23"/>
          <w:lang w:val="en-GB" w:bidi="fa-IR"/>
        </w:rPr>
      </w:pPr>
      <w:r w:rsidRPr="00A40DDC">
        <w:rPr>
          <w:position w:val="-30"/>
        </w:rPr>
        <w:object w:dxaOrig="5260" w:dyaOrig="700" w14:anchorId="41A56374">
          <v:shape id="_x0000_i3872" type="#_x0000_t75" style="width:263.2pt;height:35.1pt" o:ole="">
            <v:imagedata r:id="rId5733" o:title=""/>
          </v:shape>
          <o:OLEObject Type="Embed" ProgID="Equation.DSMT4" ShapeID="_x0000_i3872" DrawAspect="Content" ObjectID="_1791377816" r:id="rId5734"/>
        </w:object>
      </w:r>
    </w:p>
    <w:p w14:paraId="0AE87596" w14:textId="77777777" w:rsidR="00411620" w:rsidRPr="00A40DDC" w:rsidRDefault="00411620" w:rsidP="00411620">
      <w:pPr>
        <w:pStyle w:val="MTDisplayEquation"/>
        <w:spacing w:line="216" w:lineRule="auto"/>
        <w:rPr>
          <w:rFonts w:ascii="Times New Roman" w:hAnsi="Times New Roman" w:cs="B Nazanin"/>
          <w:i/>
          <w:sz w:val="23"/>
          <w:szCs w:val="23"/>
          <w:lang w:val="en-GB" w:bidi="fa-IR"/>
        </w:rPr>
      </w:pPr>
      <w:r w:rsidRPr="00A40DDC">
        <w:rPr>
          <w:position w:val="-28"/>
        </w:rPr>
        <w:object w:dxaOrig="5240" w:dyaOrig="620" w14:anchorId="00E53515">
          <v:shape id="_x0000_i3873" type="#_x0000_t75" style="width:262pt;height:31.45pt" o:ole="">
            <v:imagedata r:id="rId5735" o:title=""/>
          </v:shape>
          <o:OLEObject Type="Embed" ProgID="Equation.DSMT4" ShapeID="_x0000_i3873" DrawAspect="Content" ObjectID="_1791377817" r:id="rId5736"/>
        </w:object>
      </w:r>
    </w:p>
    <w:p w14:paraId="12F3AAED" w14:textId="77777777" w:rsidR="00411620" w:rsidRPr="00A40DDC" w:rsidRDefault="00411620" w:rsidP="00411620">
      <w:pPr>
        <w:tabs>
          <w:tab w:val="left" w:pos="3521"/>
        </w:tabs>
        <w:spacing w:line="216" w:lineRule="auto"/>
        <w:rPr>
          <w:i/>
          <w:sz w:val="23"/>
          <w:szCs w:val="23"/>
          <w:rtl/>
        </w:rPr>
      </w:pPr>
      <w:r w:rsidRPr="00A40DDC">
        <w:rPr>
          <w:rFonts w:hint="cs"/>
          <w:i/>
          <w:sz w:val="23"/>
          <w:szCs w:val="23"/>
          <w:rtl/>
        </w:rPr>
        <w:lastRenderedPageBreak/>
        <w:t>از</w:t>
      </w:r>
      <w:r w:rsidRPr="00A40DDC">
        <w:rPr>
          <w:i/>
          <w:sz w:val="23"/>
          <w:szCs w:val="23"/>
          <w:rtl/>
        </w:rPr>
        <w:t xml:space="preserve"> دو رابط</w:t>
      </w:r>
      <w:r w:rsidRPr="00A40DDC">
        <w:rPr>
          <w:rFonts w:hint="cs"/>
          <w:i/>
          <w:sz w:val="23"/>
          <w:szCs w:val="23"/>
          <w:rtl/>
        </w:rPr>
        <w:t>ه</w:t>
      </w:r>
      <w:r w:rsidRPr="00A40DDC">
        <w:rPr>
          <w:i/>
          <w:sz w:val="23"/>
          <w:szCs w:val="23"/>
          <w:rtl/>
        </w:rPr>
        <w:softHyphen/>
      </w:r>
      <w:r w:rsidRPr="00A40DDC">
        <w:rPr>
          <w:rFonts w:hint="cs"/>
          <w:i/>
          <w:sz w:val="23"/>
          <w:szCs w:val="23"/>
          <w:rtl/>
        </w:rPr>
        <w:t>ی</w:t>
      </w:r>
      <w:r w:rsidRPr="00A40DDC">
        <w:rPr>
          <w:i/>
          <w:sz w:val="23"/>
          <w:szCs w:val="23"/>
          <w:rtl/>
        </w:rPr>
        <w:t xml:space="preserve"> اول </w:t>
      </w:r>
      <w:r w:rsidRPr="00A40DDC">
        <w:rPr>
          <w:rFonts w:hint="cs"/>
          <w:i/>
          <w:sz w:val="23"/>
          <w:szCs w:val="23"/>
          <w:rtl/>
        </w:rPr>
        <w:t>شرایط مرتبه</w:t>
      </w:r>
      <w:r w:rsidRPr="00A40DDC">
        <w:rPr>
          <w:i/>
          <w:sz w:val="23"/>
          <w:szCs w:val="23"/>
          <w:rtl/>
        </w:rPr>
        <w:softHyphen/>
      </w:r>
      <w:r w:rsidRPr="00A40DDC">
        <w:rPr>
          <w:rFonts w:hint="cs"/>
          <w:i/>
          <w:sz w:val="23"/>
          <w:szCs w:val="23"/>
          <w:rtl/>
        </w:rPr>
        <w:t xml:space="preserve">ی اول </w:t>
      </w:r>
      <w:r w:rsidRPr="00A40DDC">
        <w:rPr>
          <w:i/>
          <w:sz w:val="23"/>
          <w:szCs w:val="23"/>
          <w:rtl/>
        </w:rPr>
        <w:t>و</w:t>
      </w:r>
      <w:r w:rsidRPr="00A40DDC">
        <w:rPr>
          <w:rFonts w:hint="cs"/>
          <w:i/>
          <w:sz w:val="23"/>
          <w:szCs w:val="23"/>
          <w:rtl/>
        </w:rPr>
        <w:t xml:space="preserve"> برای</w:t>
      </w:r>
      <w:r w:rsidRPr="00A40DDC">
        <w:rPr>
          <w:i/>
          <w:sz w:val="23"/>
          <w:szCs w:val="23"/>
          <w:rtl/>
        </w:rPr>
        <w:t xml:space="preserve"> </w:t>
      </w:r>
      <w:r w:rsidRPr="00A40DDC">
        <w:rPr>
          <w:i/>
          <w:sz w:val="23"/>
          <w:szCs w:val="23"/>
        </w:rPr>
        <w:t>s=0</w:t>
      </w:r>
      <w:r w:rsidRPr="00A40DDC">
        <w:rPr>
          <w:i/>
          <w:sz w:val="23"/>
          <w:szCs w:val="23"/>
          <w:rtl/>
        </w:rPr>
        <w:t xml:space="preserve"> </w:t>
      </w:r>
      <w:r w:rsidRPr="00A40DDC">
        <w:rPr>
          <w:rFonts w:hint="cs"/>
          <w:i/>
          <w:sz w:val="23"/>
          <w:szCs w:val="23"/>
          <w:rtl/>
        </w:rPr>
        <w:t xml:space="preserve">، </w:t>
      </w:r>
      <w:r w:rsidRPr="00A40DDC">
        <w:rPr>
          <w:i/>
          <w:sz w:val="23"/>
          <w:szCs w:val="23"/>
          <w:rtl/>
        </w:rPr>
        <w:t xml:space="preserve">مصرف نسبی کالاهای تجاری تولید شده در داخل و خارج </w:t>
      </w:r>
      <w:r w:rsidRPr="00A40DDC">
        <w:rPr>
          <w:rFonts w:hint="cs"/>
          <w:i/>
          <w:sz w:val="23"/>
          <w:szCs w:val="23"/>
          <w:rtl/>
        </w:rPr>
        <w:t>بدست می</w:t>
      </w:r>
      <w:r w:rsidRPr="00A40DDC">
        <w:rPr>
          <w:i/>
          <w:sz w:val="23"/>
          <w:szCs w:val="23"/>
          <w:rtl/>
        </w:rPr>
        <w:softHyphen/>
      </w:r>
      <w:r w:rsidRPr="00A40DDC">
        <w:rPr>
          <w:rFonts w:hint="cs"/>
          <w:i/>
          <w:sz w:val="23"/>
          <w:szCs w:val="23"/>
          <w:rtl/>
        </w:rPr>
        <w:t xml:space="preserve">آید که </w:t>
      </w:r>
      <w:r w:rsidRPr="00A40DDC">
        <w:rPr>
          <w:i/>
          <w:sz w:val="23"/>
          <w:szCs w:val="23"/>
          <w:rtl/>
        </w:rPr>
        <w:t xml:space="preserve">تابعی است از </w:t>
      </w:r>
      <w:r w:rsidRPr="00A40DDC">
        <w:rPr>
          <w:rFonts w:hint="cs"/>
          <w:i/>
          <w:sz w:val="23"/>
          <w:szCs w:val="23"/>
          <w:rtl/>
        </w:rPr>
        <w:t>رابطه‌ی مبادله</w:t>
      </w:r>
      <w:r w:rsidRPr="00A40DDC">
        <w:rPr>
          <w:i/>
          <w:sz w:val="23"/>
          <w:szCs w:val="23"/>
          <w:rtl/>
        </w:rPr>
        <w:softHyphen/>
      </w:r>
      <w:r w:rsidRPr="00A40DDC">
        <w:rPr>
          <w:rFonts w:hint="cs"/>
          <w:i/>
          <w:sz w:val="23"/>
          <w:szCs w:val="23"/>
          <w:rtl/>
        </w:rPr>
        <w:t>ی</w:t>
      </w:r>
      <w:r w:rsidRPr="00A40DDC">
        <w:rPr>
          <w:position w:val="-10"/>
        </w:rPr>
        <w:object w:dxaOrig="340" w:dyaOrig="340" w14:anchorId="7432153B">
          <v:shape id="_x0000_i3874" type="#_x0000_t75" style="width:16.95pt;height:16.95pt" o:ole="">
            <v:imagedata r:id="rId5737" o:title=""/>
          </v:shape>
          <o:OLEObject Type="Embed" ProgID="Equation.DSMT4" ShapeID="_x0000_i3874" DrawAspect="Content" ObjectID="_1791377818" r:id="rId5738"/>
        </w:object>
      </w:r>
      <w:r w:rsidRPr="00A40DDC">
        <w:rPr>
          <w:i/>
          <w:sz w:val="23"/>
          <w:szCs w:val="23"/>
          <w:rtl/>
        </w:rPr>
        <w:t xml:space="preserve"> و برابر است با </w:t>
      </w:r>
    </w:p>
    <w:p w14:paraId="28F0F8C0" w14:textId="77777777" w:rsidR="00411620" w:rsidRPr="00A40DDC" w:rsidRDefault="00411620" w:rsidP="00411620">
      <w:pPr>
        <w:pStyle w:val="MTDisplayEquation"/>
        <w:tabs>
          <w:tab w:val="clear" w:pos="6660"/>
        </w:tabs>
        <w:spacing w:line="216" w:lineRule="auto"/>
        <w:rPr>
          <w:rFonts w:ascii="Times New Roman" w:hAnsi="Times New Roman" w:cs="B Nazanin"/>
          <w:i/>
          <w:sz w:val="23"/>
          <w:szCs w:val="23"/>
          <w:rtl/>
          <w:lang w:bidi="fa-IR"/>
        </w:rPr>
      </w:pPr>
      <w:r w:rsidRPr="00A40DDC">
        <w:rPr>
          <w:position w:val="-28"/>
        </w:rPr>
        <w:object w:dxaOrig="2439" w:dyaOrig="660" w14:anchorId="406577E3">
          <v:shape id="_x0000_i3875" type="#_x0000_t75" style="width:122.2pt;height:32.65pt" o:ole="">
            <v:imagedata r:id="rId5739" o:title=""/>
          </v:shape>
          <o:OLEObject Type="Embed" ProgID="Equation.DSMT4" ShapeID="_x0000_i3875" DrawAspect="Content" ObjectID="_1791377819" r:id="rId5740"/>
        </w:object>
      </w:r>
      <w:r w:rsidRPr="00A40DDC">
        <w:rPr>
          <w:rFonts w:ascii="Times New Roman" w:hAnsi="Times New Roman" w:cs="B Nazanin"/>
          <w:i/>
          <w:sz w:val="23"/>
          <w:szCs w:val="23"/>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lang w:bidi="fa-IR"/>
        </w:rPr>
        <w:t>(۷. ۳۲)</w:t>
      </w:r>
    </w:p>
    <w:p w14:paraId="3F83AF7F" w14:textId="77777777" w:rsidR="00411620" w:rsidRPr="00A40DDC" w:rsidRDefault="00411620" w:rsidP="00411620">
      <w:pPr>
        <w:tabs>
          <w:tab w:val="left" w:pos="3521"/>
        </w:tabs>
        <w:spacing w:line="216" w:lineRule="auto"/>
        <w:rPr>
          <w:i/>
          <w:sz w:val="23"/>
          <w:szCs w:val="23"/>
          <w:rtl/>
        </w:rPr>
      </w:pPr>
      <w:r w:rsidRPr="00A40DDC">
        <w:rPr>
          <w:i/>
          <w:sz w:val="23"/>
          <w:szCs w:val="23"/>
          <w:rtl/>
        </w:rPr>
        <w:t xml:space="preserve">بر اساس </w:t>
      </w:r>
      <w:r w:rsidRPr="00A40DDC">
        <w:rPr>
          <w:rFonts w:hint="cs"/>
          <w:i/>
          <w:sz w:val="23"/>
          <w:szCs w:val="23"/>
          <w:rtl/>
        </w:rPr>
        <w:t xml:space="preserve">تابع </w:t>
      </w:r>
      <w:r w:rsidRPr="00A40DDC">
        <w:rPr>
          <w:i/>
          <w:sz w:val="23"/>
          <w:szCs w:val="23"/>
          <w:rtl/>
        </w:rPr>
        <w:t>کاب داگلاس</w:t>
      </w:r>
      <w:r w:rsidRPr="00A40DDC">
        <w:rPr>
          <w:rFonts w:hint="cs"/>
          <w:i/>
          <w:sz w:val="23"/>
          <w:szCs w:val="23"/>
          <w:rtl/>
        </w:rPr>
        <w:t>، کشش</w:t>
      </w:r>
      <w:r w:rsidRPr="00A40DDC">
        <w:rPr>
          <w:i/>
          <w:sz w:val="23"/>
          <w:szCs w:val="23"/>
          <w:rtl/>
        </w:rPr>
        <w:t xml:space="preserve"> جانشینی </w:t>
      </w:r>
      <w:r w:rsidRPr="00A40DDC">
        <w:rPr>
          <w:rFonts w:hint="cs"/>
          <w:i/>
          <w:sz w:val="23"/>
          <w:szCs w:val="23"/>
          <w:rtl/>
        </w:rPr>
        <w:t xml:space="preserve">برابر </w:t>
      </w:r>
      <w:r w:rsidRPr="00A40DDC">
        <w:rPr>
          <w:i/>
          <w:sz w:val="23"/>
          <w:szCs w:val="23"/>
          <w:rtl/>
        </w:rPr>
        <w:t>واحد است.</w:t>
      </w:r>
      <w:r w:rsidRPr="00A40DDC">
        <w:rPr>
          <w:rFonts w:hint="cs"/>
          <w:i/>
          <w:sz w:val="23"/>
          <w:szCs w:val="23"/>
          <w:rtl/>
        </w:rPr>
        <w:t xml:space="preserve"> بنابراین یک افزایش در قیمت نسبی کالاهای وارداتی باعث افزایش مصرف کالاهای خانگی نسبت به واردات به همان نسبت می</w:t>
      </w:r>
      <w:r w:rsidRPr="00A40DDC">
        <w:rPr>
          <w:i/>
          <w:sz w:val="23"/>
          <w:szCs w:val="23"/>
          <w:rtl/>
        </w:rPr>
        <w:softHyphen/>
      </w:r>
      <w:r w:rsidRPr="00A40DDC">
        <w:rPr>
          <w:rFonts w:hint="cs"/>
          <w:i/>
          <w:sz w:val="23"/>
          <w:szCs w:val="23"/>
          <w:rtl/>
        </w:rPr>
        <w:t xml:space="preserve">شود. </w:t>
      </w:r>
    </w:p>
    <w:p w14:paraId="39F07B7F" w14:textId="77777777" w:rsidR="00411620" w:rsidRPr="00A40DDC" w:rsidRDefault="00411620" w:rsidP="00411620">
      <w:pPr>
        <w:tabs>
          <w:tab w:val="left" w:pos="3521"/>
        </w:tabs>
        <w:spacing w:line="216" w:lineRule="auto"/>
        <w:rPr>
          <w:i/>
          <w:sz w:val="23"/>
          <w:szCs w:val="23"/>
          <w:rtl/>
        </w:rPr>
      </w:pPr>
      <w:r w:rsidRPr="00A40DDC">
        <w:rPr>
          <w:i/>
          <w:sz w:val="23"/>
          <w:szCs w:val="23"/>
          <w:rtl/>
        </w:rPr>
        <w:t xml:space="preserve">اگر </w:t>
      </w:r>
      <w:r w:rsidRPr="00A40DDC">
        <w:rPr>
          <w:rFonts w:hint="cs"/>
          <w:i/>
          <w:sz w:val="23"/>
          <w:szCs w:val="23"/>
          <w:rtl/>
        </w:rPr>
        <w:t>(۷. ۳۲)</w:t>
      </w:r>
      <w:r w:rsidRPr="00A40DDC">
        <w:rPr>
          <w:i/>
          <w:sz w:val="23"/>
          <w:szCs w:val="23"/>
          <w:rtl/>
        </w:rPr>
        <w:t xml:space="preserve"> را در </w:t>
      </w:r>
      <w:r w:rsidRPr="00A40DDC">
        <w:rPr>
          <w:rFonts w:hint="cs"/>
          <w:i/>
          <w:sz w:val="23"/>
          <w:szCs w:val="23"/>
          <w:rtl/>
        </w:rPr>
        <w:t>(۷. ۲۷)</w:t>
      </w:r>
      <w:r w:rsidRPr="00A40DDC">
        <w:rPr>
          <w:i/>
          <w:sz w:val="23"/>
          <w:szCs w:val="23"/>
          <w:rtl/>
        </w:rPr>
        <w:t xml:space="preserve"> جایگزین کنیم</w:t>
      </w:r>
      <w:r w:rsidRPr="00A40DDC">
        <w:rPr>
          <w:rFonts w:hint="cs"/>
          <w:i/>
          <w:sz w:val="23"/>
          <w:szCs w:val="23"/>
          <w:rtl/>
        </w:rPr>
        <w:t>،</w:t>
      </w:r>
      <w:r w:rsidRPr="00A40DDC">
        <w:rPr>
          <w:i/>
          <w:sz w:val="23"/>
          <w:szCs w:val="23"/>
          <w:rtl/>
        </w:rPr>
        <w:t xml:space="preserve"> </w:t>
      </w:r>
      <w:r w:rsidRPr="00A40DDC">
        <w:rPr>
          <w:rFonts w:hint="cs"/>
          <w:i/>
          <w:sz w:val="23"/>
          <w:szCs w:val="23"/>
          <w:rtl/>
        </w:rPr>
        <w:t>تو</w:t>
      </w:r>
      <w:r w:rsidRPr="00A40DDC">
        <w:rPr>
          <w:i/>
          <w:sz w:val="23"/>
          <w:szCs w:val="23"/>
          <w:rtl/>
        </w:rPr>
        <w:t xml:space="preserve">ابع تقاضای </w:t>
      </w:r>
      <w:r w:rsidRPr="00A40DDC">
        <w:rPr>
          <w:rFonts w:hint="cs"/>
          <w:i/>
          <w:sz w:val="23"/>
          <w:szCs w:val="23"/>
          <w:rtl/>
        </w:rPr>
        <w:t xml:space="preserve">زیر را </w:t>
      </w:r>
      <w:r w:rsidRPr="00A40DDC">
        <w:rPr>
          <w:i/>
          <w:sz w:val="23"/>
          <w:szCs w:val="23"/>
          <w:rtl/>
        </w:rPr>
        <w:t>بدست می</w:t>
      </w:r>
      <w:r w:rsidRPr="00A40DDC">
        <w:rPr>
          <w:rFonts w:hint="cs"/>
          <w:i/>
          <w:sz w:val="23"/>
          <w:szCs w:val="23"/>
          <w:rtl/>
        </w:rPr>
        <w:t>‌</w:t>
      </w:r>
      <w:r w:rsidRPr="00A40DDC">
        <w:rPr>
          <w:i/>
          <w:sz w:val="23"/>
          <w:szCs w:val="23"/>
          <w:rtl/>
        </w:rPr>
        <w:t>آوریم.</w:t>
      </w:r>
    </w:p>
    <w:p w14:paraId="59BE813D" w14:textId="77777777" w:rsidR="00411620" w:rsidRPr="00A40DDC" w:rsidRDefault="00411620" w:rsidP="00411620">
      <w:pPr>
        <w:pStyle w:val="MTDisplayEquation"/>
        <w:tabs>
          <w:tab w:val="clear" w:pos="6660"/>
          <w:tab w:val="right" w:pos="0"/>
        </w:tabs>
        <w:spacing w:line="216" w:lineRule="auto"/>
        <w:rPr>
          <w:rFonts w:ascii="Times New Roman" w:hAnsi="Times New Roman" w:cs="B Nazanin"/>
          <w:i/>
          <w:sz w:val="23"/>
          <w:szCs w:val="23"/>
          <w:rtl/>
        </w:rPr>
      </w:pPr>
      <w:r w:rsidRPr="00A40DDC">
        <w:rPr>
          <w:position w:val="-28"/>
        </w:rPr>
        <w:object w:dxaOrig="1460" w:dyaOrig="660" w14:anchorId="0FB523CC">
          <v:shape id="_x0000_i3876" type="#_x0000_t75" style="width:73.2pt;height:32.65pt" o:ole="">
            <v:imagedata r:id="rId5741" o:title=""/>
          </v:shape>
          <o:OLEObject Type="Embed" ProgID="Equation.DSMT4" ShapeID="_x0000_i3876" DrawAspect="Content" ObjectID="_1791377820" r:id="rId5742"/>
        </w:object>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Pr>
          <w:rFonts w:ascii="Times New Roman" w:hAnsi="Times New Roma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۳۳)</w:t>
      </w:r>
    </w:p>
    <w:p w14:paraId="7C70F3A6" w14:textId="77777777" w:rsidR="00411620" w:rsidRPr="00A40DDC" w:rsidRDefault="00411620" w:rsidP="00411620">
      <w:pPr>
        <w:pStyle w:val="MTDisplayEquation"/>
        <w:tabs>
          <w:tab w:val="clear" w:pos="6660"/>
        </w:tabs>
        <w:spacing w:line="216" w:lineRule="auto"/>
        <w:rPr>
          <w:rFonts w:ascii="Times New Roman" w:hAnsi="Times New Roman" w:cs="B Nazanin"/>
          <w:i/>
          <w:sz w:val="23"/>
          <w:szCs w:val="23"/>
          <w:rtl/>
        </w:rPr>
      </w:pPr>
      <w:r w:rsidRPr="00A40DDC">
        <w:rPr>
          <w:position w:val="-28"/>
        </w:rPr>
        <w:object w:dxaOrig="1700" w:dyaOrig="660" w14:anchorId="332B04E7">
          <v:shape id="_x0000_i3877" type="#_x0000_t75" style="width:85.3pt;height:32.65pt" o:ole="">
            <v:imagedata r:id="rId5743" o:title=""/>
          </v:shape>
          <o:OLEObject Type="Embed" ProgID="Equation.DSMT4" ShapeID="_x0000_i3877" DrawAspect="Content" ObjectID="_1791377821" r:id="rId5744"/>
        </w:object>
      </w:r>
      <w:r w:rsidRPr="00A40DDC">
        <w:rPr>
          <w:rFonts w:ascii="Times New Roman" w:hAnsi="Times New Roman"/>
          <w:i/>
          <w:sz w:val="23"/>
          <w:szCs w:val="23"/>
          <w:rtl/>
        </w:rPr>
        <w:tab/>
      </w:r>
      <w:r>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۳۴)</w:t>
      </w:r>
    </w:p>
    <w:p w14:paraId="14401620" w14:textId="77777777" w:rsidR="00411620" w:rsidRPr="00A40DDC" w:rsidRDefault="00411620" w:rsidP="00411620">
      <w:pPr>
        <w:tabs>
          <w:tab w:val="left" w:pos="3521"/>
        </w:tabs>
        <w:spacing w:line="216" w:lineRule="auto"/>
        <w:rPr>
          <w:i/>
          <w:sz w:val="23"/>
          <w:szCs w:val="23"/>
          <w:rtl/>
        </w:rPr>
      </w:pPr>
      <w:r w:rsidRPr="00A40DDC">
        <w:rPr>
          <w:rFonts w:hint="cs"/>
          <w:i/>
          <w:sz w:val="23"/>
          <w:szCs w:val="23"/>
          <w:rtl/>
        </w:rPr>
        <w:t xml:space="preserve">و </w:t>
      </w:r>
      <w:r w:rsidRPr="00A40DDC">
        <w:rPr>
          <w:i/>
          <w:sz w:val="23"/>
          <w:szCs w:val="23"/>
          <w:rtl/>
        </w:rPr>
        <w:t xml:space="preserve">اگر </w:t>
      </w:r>
      <w:r w:rsidRPr="00A40DDC">
        <w:rPr>
          <w:rFonts w:hint="cs"/>
          <w:i/>
          <w:sz w:val="23"/>
          <w:szCs w:val="23"/>
          <w:rtl/>
        </w:rPr>
        <w:t xml:space="preserve">(۷. ۳۲ ) </w:t>
      </w:r>
      <w:r w:rsidRPr="00A40DDC">
        <w:rPr>
          <w:i/>
          <w:sz w:val="23"/>
          <w:szCs w:val="23"/>
          <w:rtl/>
        </w:rPr>
        <w:t xml:space="preserve">را در </w:t>
      </w:r>
      <w:r w:rsidRPr="00A40DDC">
        <w:rPr>
          <w:rFonts w:hint="cs"/>
          <w:i/>
          <w:sz w:val="23"/>
          <w:szCs w:val="23"/>
          <w:rtl/>
        </w:rPr>
        <w:t>(۷. ۲۹)</w:t>
      </w:r>
      <w:r w:rsidRPr="00A40DDC">
        <w:rPr>
          <w:i/>
          <w:sz w:val="23"/>
          <w:szCs w:val="23"/>
          <w:rtl/>
        </w:rPr>
        <w:t xml:space="preserve"> جایگزین کنیم</w:t>
      </w:r>
      <w:r w:rsidRPr="00A40DDC">
        <w:rPr>
          <w:rFonts w:hint="cs"/>
          <w:i/>
          <w:sz w:val="23"/>
          <w:szCs w:val="23"/>
          <w:rtl/>
        </w:rPr>
        <w:t>،</w:t>
      </w:r>
      <w:r w:rsidRPr="00A40DDC">
        <w:rPr>
          <w:i/>
          <w:sz w:val="23"/>
          <w:szCs w:val="23"/>
          <w:rtl/>
        </w:rPr>
        <w:t xml:space="preserve"> سهم مخارج مصرفی کالاهای تجاری تولید شده</w:t>
      </w:r>
      <w:r w:rsidRPr="00A40DDC">
        <w:rPr>
          <w:rFonts w:hint="cs"/>
          <w:i/>
          <w:sz w:val="23"/>
          <w:szCs w:val="23"/>
          <w:rtl/>
        </w:rPr>
        <w:t>‌</w:t>
      </w:r>
      <w:r w:rsidRPr="00A40DDC">
        <w:rPr>
          <w:i/>
          <w:sz w:val="23"/>
          <w:szCs w:val="23"/>
          <w:rtl/>
        </w:rPr>
        <w:t xml:space="preserve">ی </w:t>
      </w:r>
      <w:r w:rsidRPr="00A40DDC">
        <w:rPr>
          <w:rFonts w:hint="cs"/>
          <w:i/>
          <w:sz w:val="23"/>
          <w:szCs w:val="23"/>
          <w:rtl/>
        </w:rPr>
        <w:t>خانگی</w:t>
      </w:r>
      <w:r w:rsidRPr="00A40DDC">
        <w:rPr>
          <w:i/>
          <w:sz w:val="23"/>
          <w:szCs w:val="23"/>
          <w:rtl/>
        </w:rPr>
        <w:t xml:space="preserve"> را نسبت به کل مخارج مصرفی کالاهای تجاری </w:t>
      </w:r>
      <w:r w:rsidRPr="00A40DDC">
        <w:rPr>
          <w:rFonts w:hint="cs"/>
          <w:i/>
          <w:sz w:val="23"/>
          <w:szCs w:val="23"/>
          <w:rtl/>
        </w:rPr>
        <w:t>بدست خواهیم آورد</w:t>
      </w:r>
      <w:r w:rsidRPr="00A40DDC">
        <w:rPr>
          <w:i/>
          <w:sz w:val="23"/>
          <w:szCs w:val="23"/>
          <w:rtl/>
        </w:rPr>
        <w:t xml:space="preserve">. </w:t>
      </w:r>
    </w:p>
    <w:p w14:paraId="799D95F9" w14:textId="77777777" w:rsidR="00411620" w:rsidRPr="00A40DDC" w:rsidRDefault="00411620" w:rsidP="00411620">
      <w:pPr>
        <w:pStyle w:val="MTDisplayEquation"/>
        <w:spacing w:line="216" w:lineRule="auto"/>
        <w:rPr>
          <w:rFonts w:ascii="Times New Roman" w:hAnsi="Times New Roman" w:cs="B Nazanin"/>
          <w:i/>
          <w:sz w:val="23"/>
          <w:szCs w:val="23"/>
          <w:rtl/>
        </w:rPr>
      </w:pPr>
      <w:r w:rsidRPr="00A40DDC">
        <w:rPr>
          <w:position w:val="-28"/>
        </w:rPr>
        <w:object w:dxaOrig="2680" w:dyaOrig="660" w14:anchorId="1467E9D0">
          <v:shape id="_x0000_i3878" type="#_x0000_t75" style="width:133.7pt;height:32.65pt" o:ole="">
            <v:imagedata r:id="rId5745" o:title=""/>
          </v:shape>
          <o:OLEObject Type="Embed" ProgID="Equation.DSMT4" ShapeID="_x0000_i3878" DrawAspect="Content" ObjectID="_1791377822" r:id="rId5746"/>
        </w:object>
      </w:r>
    </w:p>
    <w:p w14:paraId="2D8F752F" w14:textId="77777777" w:rsidR="00411620" w:rsidRPr="00A40DDC" w:rsidRDefault="00411620" w:rsidP="00411620">
      <w:pPr>
        <w:tabs>
          <w:tab w:val="left" w:pos="3521"/>
        </w:tabs>
        <w:spacing w:line="216" w:lineRule="auto"/>
        <w:rPr>
          <w:i/>
          <w:sz w:val="23"/>
          <w:szCs w:val="23"/>
          <w:rtl/>
        </w:rPr>
      </w:pPr>
      <w:r w:rsidRPr="00A40DDC">
        <w:rPr>
          <w:i/>
          <w:sz w:val="23"/>
          <w:szCs w:val="23"/>
          <w:rtl/>
        </w:rPr>
        <w:t xml:space="preserve">از روابط </w:t>
      </w:r>
      <w:r w:rsidRPr="00A40DDC">
        <w:rPr>
          <w:rFonts w:hint="cs"/>
          <w:i/>
          <w:sz w:val="23"/>
          <w:szCs w:val="23"/>
          <w:rtl/>
        </w:rPr>
        <w:t>(۷. ۳۳)</w:t>
      </w:r>
      <w:r w:rsidRPr="00A40DDC">
        <w:rPr>
          <w:i/>
          <w:sz w:val="23"/>
          <w:szCs w:val="23"/>
          <w:rtl/>
        </w:rPr>
        <w:t>،</w:t>
      </w:r>
      <w:r w:rsidRPr="00A40DDC">
        <w:rPr>
          <w:rFonts w:hint="cs"/>
          <w:i/>
          <w:sz w:val="23"/>
          <w:szCs w:val="23"/>
          <w:rtl/>
        </w:rPr>
        <w:t xml:space="preserve"> (۷. ۳۴)</w:t>
      </w:r>
      <w:r w:rsidRPr="00A40DDC">
        <w:rPr>
          <w:i/>
          <w:sz w:val="23"/>
          <w:szCs w:val="23"/>
          <w:rtl/>
        </w:rPr>
        <w:t xml:space="preserve"> و</w:t>
      </w:r>
      <w:r w:rsidRPr="00A40DDC">
        <w:rPr>
          <w:rFonts w:hint="cs"/>
          <w:i/>
          <w:sz w:val="23"/>
          <w:szCs w:val="23"/>
          <w:rtl/>
        </w:rPr>
        <w:t>(۷. ۲۹)</w:t>
      </w:r>
      <w:r w:rsidRPr="00A40DDC">
        <w:rPr>
          <w:i/>
          <w:sz w:val="23"/>
          <w:szCs w:val="23"/>
          <w:rtl/>
        </w:rPr>
        <w:t xml:space="preserve"> داریم :</w:t>
      </w:r>
    </w:p>
    <w:p w14:paraId="738F4C23" w14:textId="77777777" w:rsidR="00411620" w:rsidRPr="00A40DDC" w:rsidRDefault="00411620" w:rsidP="00411620">
      <w:pPr>
        <w:pStyle w:val="MTDisplayEquation"/>
        <w:tabs>
          <w:tab w:val="clear" w:pos="6660"/>
        </w:tabs>
        <w:spacing w:line="216" w:lineRule="auto"/>
        <w:rPr>
          <w:rFonts w:ascii="Times New Roman" w:hAnsi="Times New Roman" w:cs="B Nazanin"/>
          <w:i/>
          <w:sz w:val="23"/>
          <w:szCs w:val="23"/>
          <w:rtl/>
        </w:rPr>
      </w:pPr>
      <w:r w:rsidRPr="00A40DDC">
        <w:rPr>
          <w:position w:val="-16"/>
        </w:rPr>
        <w:object w:dxaOrig="1860" w:dyaOrig="460" w14:anchorId="71818682">
          <v:shape id="_x0000_i3879" type="#_x0000_t75" style="width:93.2pt;height:23pt" o:ole="">
            <v:imagedata r:id="rId5747" o:title=""/>
          </v:shape>
          <o:OLEObject Type="Embed" ProgID="Equation.DSMT4" ShapeID="_x0000_i3879" DrawAspect="Content" ObjectID="_1791377823" r:id="rId5748"/>
        </w:object>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۳۵)</w:t>
      </w:r>
    </w:p>
    <w:p w14:paraId="5B68C02B" w14:textId="77777777" w:rsidR="00411620" w:rsidRPr="00A40DDC" w:rsidRDefault="00411620" w:rsidP="00411620">
      <w:pPr>
        <w:tabs>
          <w:tab w:val="left" w:pos="3521"/>
        </w:tabs>
        <w:spacing w:line="216" w:lineRule="auto"/>
        <w:rPr>
          <w:rFonts w:eastAsiaTheme="minorEastAsia"/>
          <w:i/>
          <w:sz w:val="23"/>
          <w:szCs w:val="23"/>
          <w:rtl/>
        </w:rPr>
      </w:pPr>
      <w:r w:rsidRPr="00A40DDC">
        <w:rPr>
          <w:i/>
          <w:sz w:val="23"/>
          <w:szCs w:val="23"/>
          <w:rtl/>
        </w:rPr>
        <w:t>ب</w:t>
      </w:r>
      <w:r w:rsidRPr="00A40DDC">
        <w:rPr>
          <w:rFonts w:hint="cs"/>
          <w:i/>
          <w:sz w:val="23"/>
          <w:szCs w:val="23"/>
          <w:rtl/>
        </w:rPr>
        <w:t xml:space="preserve">ه </w:t>
      </w:r>
      <w:r w:rsidRPr="00A40DDC">
        <w:rPr>
          <w:i/>
          <w:sz w:val="23"/>
          <w:szCs w:val="23"/>
          <w:rtl/>
        </w:rPr>
        <w:t>همین ترتیب می</w:t>
      </w:r>
      <w:r w:rsidRPr="00A40DDC">
        <w:rPr>
          <w:rFonts w:hint="cs"/>
          <w:i/>
          <w:sz w:val="23"/>
          <w:szCs w:val="23"/>
          <w:rtl/>
        </w:rPr>
        <w:t>‌</w:t>
      </w:r>
      <w:r w:rsidRPr="00A40DDC">
        <w:rPr>
          <w:i/>
          <w:sz w:val="23"/>
          <w:szCs w:val="23"/>
          <w:rtl/>
        </w:rPr>
        <w:t xml:space="preserve">توان </w:t>
      </w:r>
      <w:r w:rsidRPr="00A40DDC">
        <w:rPr>
          <w:rFonts w:hint="cs"/>
          <w:i/>
          <w:sz w:val="23"/>
          <w:szCs w:val="23"/>
          <w:rtl/>
        </w:rPr>
        <w:t xml:space="preserve">مخارج </w:t>
      </w:r>
      <w:r w:rsidRPr="00A40DDC">
        <w:rPr>
          <w:i/>
          <w:sz w:val="23"/>
          <w:szCs w:val="23"/>
          <w:rtl/>
        </w:rPr>
        <w:t>مصرف</w:t>
      </w:r>
      <w:r w:rsidRPr="00A40DDC">
        <w:rPr>
          <w:rFonts w:hint="cs"/>
          <w:i/>
          <w:sz w:val="23"/>
          <w:szCs w:val="23"/>
          <w:rtl/>
        </w:rPr>
        <w:t>ی</w:t>
      </w:r>
      <w:r w:rsidRPr="00A40DDC">
        <w:rPr>
          <w:i/>
          <w:sz w:val="23"/>
          <w:szCs w:val="23"/>
          <w:rtl/>
        </w:rPr>
        <w:t xml:space="preserve"> کل و </w:t>
      </w:r>
      <w:r w:rsidRPr="00A40DDC">
        <w:rPr>
          <w:rFonts w:hint="cs"/>
          <w:i/>
          <w:sz w:val="23"/>
          <w:szCs w:val="23"/>
          <w:rtl/>
        </w:rPr>
        <w:t xml:space="preserve">مخارج </w:t>
      </w:r>
      <w:r w:rsidRPr="00A40DDC">
        <w:rPr>
          <w:i/>
          <w:sz w:val="23"/>
          <w:szCs w:val="23"/>
          <w:rtl/>
        </w:rPr>
        <w:t>مصرف</w:t>
      </w:r>
      <w:r w:rsidRPr="00A40DDC">
        <w:rPr>
          <w:rFonts w:hint="cs"/>
          <w:i/>
          <w:sz w:val="23"/>
          <w:szCs w:val="23"/>
          <w:rtl/>
        </w:rPr>
        <w:t>ی</w:t>
      </w:r>
      <w:r w:rsidRPr="00A40DDC">
        <w:rPr>
          <w:i/>
          <w:sz w:val="23"/>
          <w:szCs w:val="23"/>
          <w:rtl/>
        </w:rPr>
        <w:t xml:space="preserve"> کالاهای تجاری و </w:t>
      </w:r>
      <w:r w:rsidRPr="00A40DDC">
        <w:rPr>
          <w:rFonts w:hint="cs"/>
          <w:i/>
          <w:sz w:val="23"/>
          <w:szCs w:val="23"/>
          <w:rtl/>
        </w:rPr>
        <w:t>مخارج</w:t>
      </w:r>
      <w:r w:rsidRPr="00A40DDC">
        <w:rPr>
          <w:i/>
          <w:sz w:val="23"/>
          <w:szCs w:val="23"/>
          <w:rtl/>
        </w:rPr>
        <w:t xml:space="preserve"> مصرف</w:t>
      </w:r>
      <w:r w:rsidRPr="00A40DDC">
        <w:rPr>
          <w:rFonts w:hint="cs"/>
          <w:i/>
          <w:sz w:val="23"/>
          <w:szCs w:val="23"/>
          <w:rtl/>
        </w:rPr>
        <w:t>ی</w:t>
      </w:r>
      <w:r w:rsidRPr="00A40DDC">
        <w:rPr>
          <w:i/>
          <w:sz w:val="23"/>
          <w:szCs w:val="23"/>
          <w:rtl/>
        </w:rPr>
        <w:t xml:space="preserve"> کالاهای غیرتجاری را بدست آورد</w:t>
      </w:r>
      <w:r w:rsidRPr="00A40DDC">
        <w:rPr>
          <w:rFonts w:hint="cs"/>
          <w:i/>
          <w:sz w:val="23"/>
          <w:szCs w:val="23"/>
          <w:rtl/>
        </w:rPr>
        <w:t>.</w:t>
      </w:r>
      <w:r w:rsidRPr="00A40DDC">
        <w:rPr>
          <w:i/>
          <w:sz w:val="23"/>
          <w:szCs w:val="23"/>
          <w:rtl/>
        </w:rPr>
        <w:t xml:space="preserve"> از </w:t>
      </w:r>
      <w:r w:rsidRPr="00A40DDC">
        <w:rPr>
          <w:rFonts w:hint="cs"/>
          <w:i/>
          <w:sz w:val="23"/>
          <w:szCs w:val="23"/>
          <w:rtl/>
        </w:rPr>
        <w:t>شرایط مرتبه</w:t>
      </w:r>
      <w:r w:rsidRPr="00A40DDC">
        <w:rPr>
          <w:i/>
          <w:sz w:val="23"/>
          <w:szCs w:val="23"/>
          <w:rtl/>
        </w:rPr>
        <w:softHyphen/>
      </w:r>
      <w:r w:rsidRPr="00A40DDC">
        <w:rPr>
          <w:rFonts w:hint="cs"/>
          <w:i/>
          <w:sz w:val="23"/>
          <w:szCs w:val="23"/>
          <w:rtl/>
        </w:rPr>
        <w:t>ی اول</w:t>
      </w:r>
      <w:r w:rsidRPr="00A40DDC">
        <w:rPr>
          <w:i/>
          <w:sz w:val="23"/>
          <w:szCs w:val="23"/>
          <w:rtl/>
        </w:rPr>
        <w:t xml:space="preserve"> مربوط به</w:t>
      </w:r>
      <w:r w:rsidRPr="00A40DDC">
        <w:rPr>
          <w:position w:val="-10"/>
        </w:rPr>
        <w:object w:dxaOrig="300" w:dyaOrig="340" w14:anchorId="1112210A">
          <v:shape id="_x0000_i3880" type="#_x0000_t75" style="width:14.5pt;height:16.95pt" o:ole="">
            <v:imagedata r:id="rId5749" o:title=""/>
          </v:shape>
          <o:OLEObject Type="Embed" ProgID="Equation.DSMT4" ShapeID="_x0000_i3880" DrawAspect="Content" ObjectID="_1791377824" r:id="rId5750"/>
        </w:object>
      </w:r>
      <w:r w:rsidRPr="00A40DDC">
        <w:rPr>
          <w:i/>
          <w:sz w:val="23"/>
          <w:szCs w:val="23"/>
          <w:rtl/>
        </w:rPr>
        <w:t xml:space="preserve"> و</w:t>
      </w:r>
      <w:r w:rsidRPr="00A40DDC">
        <w:rPr>
          <w:position w:val="-10"/>
        </w:rPr>
        <w:object w:dxaOrig="300" w:dyaOrig="340" w14:anchorId="7F8A4130">
          <v:shape id="_x0000_i3881" type="#_x0000_t75" style="width:14.5pt;height:16.95pt" o:ole="">
            <v:imagedata r:id="rId5751" o:title=""/>
          </v:shape>
          <o:OLEObject Type="Embed" ProgID="Equation.DSMT4" ShapeID="_x0000_i3881" DrawAspect="Content" ObjectID="_1791377825" r:id="rId5752"/>
        </w:object>
      </w:r>
      <w:r w:rsidRPr="00A40DDC">
        <w:rPr>
          <w:rFonts w:eastAsiaTheme="minorEastAsia"/>
          <w:i/>
          <w:sz w:val="23"/>
          <w:szCs w:val="23"/>
          <w:rtl/>
        </w:rPr>
        <w:t xml:space="preserve"> و</w:t>
      </w:r>
      <w:r w:rsidRPr="00A40DDC">
        <w:rPr>
          <w:rFonts w:eastAsiaTheme="minorEastAsia" w:hint="cs"/>
          <w:i/>
          <w:sz w:val="23"/>
          <w:szCs w:val="23"/>
          <w:rtl/>
        </w:rPr>
        <w:t xml:space="preserve"> برای</w:t>
      </w:r>
      <w:r w:rsidRPr="00A40DDC">
        <w:rPr>
          <w:rFonts w:eastAsiaTheme="minorEastAsia"/>
          <w:i/>
          <w:sz w:val="23"/>
          <w:szCs w:val="23"/>
          <w:rtl/>
        </w:rPr>
        <w:t xml:space="preserve"> </w:t>
      </w:r>
      <w:r w:rsidRPr="00A40DDC">
        <w:rPr>
          <w:position w:val="-6"/>
        </w:rPr>
        <w:object w:dxaOrig="499" w:dyaOrig="260" w14:anchorId="75F3D65B">
          <v:shape id="_x0000_i3882" type="#_x0000_t75" style="width:24.8pt;height:13.3pt" o:ole="">
            <v:imagedata r:id="rId5753" o:title=""/>
          </v:shape>
          <o:OLEObject Type="Embed" ProgID="Equation.DSMT4" ShapeID="_x0000_i3882" DrawAspect="Content" ObjectID="_1791377826" r:id="rId5754"/>
        </w:object>
      </w:r>
      <w:r w:rsidRPr="00A40DDC">
        <w:rPr>
          <w:rFonts w:eastAsiaTheme="minorEastAsia"/>
          <w:i/>
          <w:sz w:val="23"/>
          <w:szCs w:val="23"/>
          <w:rtl/>
        </w:rPr>
        <w:t xml:space="preserve"> داریم</w:t>
      </w:r>
    </w:p>
    <w:p w14:paraId="5CA1095C" w14:textId="77777777" w:rsidR="00411620" w:rsidRPr="00A40DDC" w:rsidRDefault="00411620" w:rsidP="00411620">
      <w:pPr>
        <w:pStyle w:val="MTDisplayEquation"/>
        <w:tabs>
          <w:tab w:val="clear" w:pos="6660"/>
        </w:tabs>
        <w:spacing w:line="216" w:lineRule="auto"/>
        <w:rPr>
          <w:rFonts w:ascii="Times New Roman" w:hAnsi="Times New Roman" w:cs="B Nazanin"/>
          <w:i/>
          <w:sz w:val="23"/>
          <w:szCs w:val="23"/>
          <w:rtl/>
          <w:lang w:bidi="fa-IR"/>
        </w:rPr>
      </w:pPr>
      <w:r w:rsidRPr="00A40DDC">
        <w:rPr>
          <w:position w:val="-28"/>
        </w:rPr>
        <w:object w:dxaOrig="1540" w:dyaOrig="660" w14:anchorId="26734E15">
          <v:shape id="_x0000_i3883" type="#_x0000_t75" style="width:76.85pt;height:32.65pt" o:ole="">
            <v:imagedata r:id="rId5755" o:title=""/>
          </v:shape>
          <o:OLEObject Type="Embed" ProgID="Equation.DSMT4" ShapeID="_x0000_i3883" DrawAspect="Content" ObjectID="_1791377827" r:id="rId5756"/>
        </w:object>
      </w:r>
      <w:r w:rsidRPr="00A40DDC">
        <w:rPr>
          <w:rFonts w:ascii="Times New Roman" w:hAnsi="Times New Roman" w:cs="B Nazanin"/>
          <w:i/>
          <w:sz w:val="23"/>
          <w:szCs w:val="23"/>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Pr>
        <w:tab/>
      </w:r>
      <w:r w:rsidRPr="00A40DDC">
        <w:rPr>
          <w:rFonts w:ascii="Times New Roman" w:hAnsi="Times New Roman" w:cs="B Nazanin" w:hint="cs"/>
          <w:i/>
          <w:sz w:val="23"/>
          <w:szCs w:val="23"/>
          <w:rtl/>
          <w:lang w:bidi="fa-IR"/>
        </w:rPr>
        <w:t>(۷. ۳۶)</w:t>
      </w:r>
    </w:p>
    <w:p w14:paraId="28F10329" w14:textId="77777777" w:rsidR="00411620" w:rsidRPr="00A40DDC" w:rsidRDefault="00411620" w:rsidP="00411620">
      <w:pPr>
        <w:tabs>
          <w:tab w:val="left" w:pos="3521"/>
        </w:tabs>
        <w:spacing w:line="216" w:lineRule="auto"/>
        <w:rPr>
          <w:i/>
          <w:sz w:val="23"/>
          <w:szCs w:val="23"/>
          <w:rtl/>
        </w:rPr>
      </w:pPr>
      <w:r w:rsidRPr="00A40DDC">
        <w:rPr>
          <w:i/>
          <w:sz w:val="23"/>
          <w:szCs w:val="23"/>
          <w:rtl/>
        </w:rPr>
        <w:t>با ترکیب</w:t>
      </w:r>
      <w:r w:rsidRPr="00A40DDC">
        <w:rPr>
          <w:rFonts w:hint="cs"/>
          <w:i/>
          <w:sz w:val="23"/>
          <w:szCs w:val="23"/>
          <w:rtl/>
        </w:rPr>
        <w:t xml:space="preserve"> روابط</w:t>
      </w:r>
      <w:r w:rsidRPr="00A40DDC">
        <w:rPr>
          <w:i/>
          <w:sz w:val="23"/>
          <w:szCs w:val="23"/>
          <w:rtl/>
        </w:rPr>
        <w:t xml:space="preserve"> </w:t>
      </w:r>
      <w:r w:rsidRPr="00A40DDC">
        <w:rPr>
          <w:rFonts w:hint="cs"/>
          <w:i/>
          <w:sz w:val="23"/>
          <w:szCs w:val="23"/>
          <w:rtl/>
        </w:rPr>
        <w:t>(۷. ۳۶)</w:t>
      </w:r>
      <w:r w:rsidRPr="00A40DDC">
        <w:rPr>
          <w:i/>
          <w:sz w:val="23"/>
          <w:szCs w:val="23"/>
          <w:rtl/>
        </w:rPr>
        <w:t xml:space="preserve">، </w:t>
      </w:r>
      <w:r w:rsidRPr="00A40DDC">
        <w:rPr>
          <w:rFonts w:hint="cs"/>
          <w:i/>
          <w:sz w:val="23"/>
          <w:szCs w:val="23"/>
          <w:rtl/>
        </w:rPr>
        <w:t>(۷. ۳۳)</w:t>
      </w:r>
      <w:r w:rsidRPr="00A40DDC">
        <w:rPr>
          <w:i/>
          <w:sz w:val="23"/>
          <w:szCs w:val="23"/>
          <w:rtl/>
        </w:rPr>
        <w:t xml:space="preserve"> و </w:t>
      </w:r>
      <w:r w:rsidRPr="00A40DDC">
        <w:rPr>
          <w:rFonts w:hint="cs"/>
          <w:i/>
          <w:sz w:val="23"/>
          <w:szCs w:val="23"/>
          <w:rtl/>
        </w:rPr>
        <w:t>(۷. ۳۵</w:t>
      </w:r>
      <w:r w:rsidRPr="00A40DDC">
        <w:rPr>
          <w:i/>
          <w:sz w:val="23"/>
          <w:szCs w:val="23"/>
          <w:rtl/>
        </w:rPr>
        <w:t xml:space="preserve">) خواهیم </w:t>
      </w:r>
      <w:r w:rsidRPr="00A40DDC">
        <w:rPr>
          <w:rFonts w:hint="cs"/>
          <w:i/>
          <w:sz w:val="23"/>
          <w:szCs w:val="23"/>
          <w:rtl/>
        </w:rPr>
        <w:t>داشت،</w:t>
      </w:r>
    </w:p>
    <w:p w14:paraId="41131595" w14:textId="77777777" w:rsidR="00411620" w:rsidRPr="00A40DDC" w:rsidRDefault="00411620" w:rsidP="00411620">
      <w:pPr>
        <w:pStyle w:val="MTDisplayEquation"/>
        <w:tabs>
          <w:tab w:val="clear" w:pos="6660"/>
        </w:tabs>
        <w:spacing w:line="216" w:lineRule="auto"/>
        <w:rPr>
          <w:rFonts w:ascii="Times New Roman" w:hAnsi="Times New Roman" w:cs="B Nazanin"/>
          <w:i/>
          <w:sz w:val="23"/>
          <w:szCs w:val="23"/>
          <w:rtl/>
        </w:rPr>
      </w:pPr>
      <w:r w:rsidRPr="00A40DDC">
        <w:rPr>
          <w:position w:val="-28"/>
        </w:rPr>
        <w:object w:dxaOrig="1359" w:dyaOrig="660" w14:anchorId="30873A32">
          <v:shape id="_x0000_i3884" type="#_x0000_t75" style="width:67.75pt;height:32.65pt" o:ole="">
            <v:imagedata r:id="rId5757" o:title=""/>
          </v:shape>
          <o:OLEObject Type="Embed" ProgID="Equation.DSMT4" ShapeID="_x0000_i3884" DrawAspect="Content" ObjectID="_1791377828" r:id="rId5758"/>
        </w:object>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۳۷)</w:t>
      </w:r>
    </w:p>
    <w:p w14:paraId="142FDF3B" w14:textId="77777777" w:rsidR="00411620" w:rsidRPr="00A40DDC" w:rsidRDefault="00411620" w:rsidP="00411620">
      <w:pPr>
        <w:tabs>
          <w:tab w:val="left" w:pos="3521"/>
        </w:tabs>
        <w:spacing w:line="216" w:lineRule="auto"/>
        <w:rPr>
          <w:i/>
          <w:sz w:val="23"/>
          <w:szCs w:val="23"/>
          <w:rtl/>
        </w:rPr>
      </w:pPr>
      <w:r w:rsidRPr="00A40DDC">
        <w:rPr>
          <w:i/>
          <w:sz w:val="23"/>
          <w:szCs w:val="23"/>
          <w:rtl/>
        </w:rPr>
        <w:t>از معادلات</w:t>
      </w:r>
      <w:r w:rsidRPr="00A40DDC">
        <w:rPr>
          <w:rFonts w:hint="cs"/>
          <w:i/>
          <w:sz w:val="23"/>
          <w:szCs w:val="23"/>
          <w:rtl/>
        </w:rPr>
        <w:t xml:space="preserve"> (۷. ۳۷)</w:t>
      </w:r>
      <w:r w:rsidRPr="00A40DDC">
        <w:rPr>
          <w:i/>
          <w:sz w:val="23"/>
          <w:szCs w:val="23"/>
          <w:rtl/>
        </w:rPr>
        <w:t xml:space="preserve"> و </w:t>
      </w:r>
      <w:r w:rsidRPr="00A40DDC">
        <w:rPr>
          <w:rFonts w:hint="cs"/>
          <w:i/>
          <w:sz w:val="23"/>
          <w:szCs w:val="23"/>
          <w:rtl/>
        </w:rPr>
        <w:t>(۷. ۲۸)</w:t>
      </w:r>
      <w:r w:rsidRPr="00A40DDC">
        <w:rPr>
          <w:rFonts w:eastAsiaTheme="minorEastAsia" w:hint="cs"/>
          <w:i/>
          <w:sz w:val="23"/>
          <w:szCs w:val="23"/>
          <w:rtl/>
        </w:rPr>
        <w:t xml:space="preserve"> </w:t>
      </w:r>
      <w:r w:rsidRPr="00A40DDC">
        <w:rPr>
          <w:i/>
          <w:sz w:val="23"/>
          <w:szCs w:val="23"/>
          <w:rtl/>
        </w:rPr>
        <w:t xml:space="preserve">به سهم مخارج مصرفی کالاهای تجاری </w:t>
      </w:r>
      <w:r w:rsidRPr="00A40DDC">
        <w:rPr>
          <w:rFonts w:hint="cs"/>
          <w:i/>
          <w:sz w:val="23"/>
          <w:szCs w:val="23"/>
          <w:rtl/>
        </w:rPr>
        <w:t>از</w:t>
      </w:r>
      <w:r w:rsidRPr="00A40DDC">
        <w:rPr>
          <w:i/>
          <w:sz w:val="23"/>
          <w:szCs w:val="23"/>
          <w:rtl/>
        </w:rPr>
        <w:t xml:space="preserve"> کل مخارج مصرفی می</w:t>
      </w:r>
      <w:r w:rsidRPr="00A40DDC">
        <w:rPr>
          <w:rFonts w:hint="cs"/>
          <w:i/>
          <w:sz w:val="23"/>
          <w:szCs w:val="23"/>
          <w:rtl/>
        </w:rPr>
        <w:t>‌</w:t>
      </w:r>
      <w:r w:rsidRPr="00A40DDC">
        <w:rPr>
          <w:i/>
          <w:sz w:val="23"/>
          <w:szCs w:val="23"/>
          <w:rtl/>
        </w:rPr>
        <w:t>رسیم یعنی</w:t>
      </w:r>
      <w:r w:rsidRPr="00A40DDC">
        <w:rPr>
          <w:position w:val="-28"/>
        </w:rPr>
        <w:object w:dxaOrig="840" w:dyaOrig="660" w14:anchorId="4ED05D57">
          <v:shape id="_x0000_i3885" type="#_x0000_t75" style="width:41.75pt;height:32.65pt" o:ole="">
            <v:imagedata r:id="rId5759" o:title=""/>
          </v:shape>
          <o:OLEObject Type="Embed" ProgID="Equation.DSMT4" ShapeID="_x0000_i3885" DrawAspect="Content" ObjectID="_1791377829" r:id="rId5760"/>
        </w:object>
      </w:r>
      <w:r w:rsidRPr="00A40DDC">
        <w:rPr>
          <w:rFonts w:eastAsiaTheme="minorEastAsia"/>
          <w:i/>
          <w:sz w:val="23"/>
          <w:szCs w:val="23"/>
          <w:rtl/>
        </w:rPr>
        <w:t xml:space="preserve"> و به همین صورت</w:t>
      </w:r>
      <w:r w:rsidRPr="00A40DDC">
        <w:rPr>
          <w:position w:val="-28"/>
        </w:rPr>
        <w:object w:dxaOrig="1260" w:dyaOrig="660" w14:anchorId="2A99AFE5">
          <v:shape id="_x0000_i3886" type="#_x0000_t75" style="width:62.9pt;height:32.65pt" o:ole="">
            <v:imagedata r:id="rId5761" o:title=""/>
          </v:shape>
          <o:OLEObject Type="Embed" ProgID="Equation.DSMT4" ShapeID="_x0000_i3886" DrawAspect="Content" ObjectID="_1791377830" r:id="rId5762"/>
        </w:object>
      </w:r>
      <w:r w:rsidRPr="00A40DDC">
        <w:rPr>
          <w:rFonts w:hint="cs"/>
          <w:i/>
          <w:sz w:val="23"/>
          <w:szCs w:val="23"/>
          <w:rtl/>
        </w:rPr>
        <w:t>.</w:t>
      </w:r>
      <w:r w:rsidRPr="00A40DDC">
        <w:rPr>
          <w:rFonts w:eastAsiaTheme="minorEastAsia" w:hint="cs"/>
          <w:i/>
          <w:sz w:val="23"/>
          <w:szCs w:val="23"/>
          <w:rtl/>
        </w:rPr>
        <w:t xml:space="preserve"> </w:t>
      </w:r>
      <w:r w:rsidRPr="00A40DDC">
        <w:rPr>
          <w:i/>
          <w:sz w:val="23"/>
          <w:szCs w:val="23"/>
          <w:rtl/>
        </w:rPr>
        <w:t>سطح عمومی قیمت</w:t>
      </w:r>
      <w:r w:rsidRPr="00A40DDC">
        <w:rPr>
          <w:i/>
          <w:sz w:val="23"/>
          <w:szCs w:val="23"/>
          <w:rtl/>
        </w:rPr>
        <w:softHyphen/>
      </w:r>
      <w:r w:rsidRPr="00A40DDC">
        <w:rPr>
          <w:rFonts w:hint="cs"/>
          <w:i/>
          <w:sz w:val="23"/>
          <w:szCs w:val="23"/>
          <w:rtl/>
        </w:rPr>
        <w:t>ها</w:t>
      </w:r>
      <w:r w:rsidRPr="00A40DDC">
        <w:rPr>
          <w:i/>
          <w:sz w:val="23"/>
          <w:szCs w:val="23"/>
          <w:rtl/>
        </w:rPr>
        <w:t xml:space="preserve"> نیز </w:t>
      </w:r>
      <w:r w:rsidRPr="00A40DDC">
        <w:rPr>
          <w:rFonts w:hint="cs"/>
          <w:i/>
          <w:sz w:val="23"/>
          <w:szCs w:val="23"/>
          <w:rtl/>
        </w:rPr>
        <w:t>برابر است با ؛</w:t>
      </w:r>
      <w:r w:rsidRPr="00A40DDC">
        <w:rPr>
          <w:i/>
          <w:sz w:val="23"/>
          <w:szCs w:val="23"/>
          <w:rtl/>
        </w:rPr>
        <w:t xml:space="preserve"> </w:t>
      </w:r>
    </w:p>
    <w:p w14:paraId="0B9395B5" w14:textId="77777777" w:rsidR="00411620" w:rsidRPr="00A40DDC" w:rsidRDefault="00411620" w:rsidP="00411620">
      <w:pPr>
        <w:tabs>
          <w:tab w:val="left" w:pos="3521"/>
        </w:tabs>
        <w:bidi w:val="0"/>
        <w:spacing w:line="216" w:lineRule="auto"/>
        <w:rPr>
          <w:i/>
          <w:sz w:val="23"/>
          <w:szCs w:val="23"/>
          <w:rtl/>
        </w:rPr>
      </w:pPr>
      <w:r w:rsidRPr="00A40DDC">
        <w:rPr>
          <w:position w:val="-16"/>
        </w:rPr>
        <w:object w:dxaOrig="1719" w:dyaOrig="460" w14:anchorId="64FD9D23">
          <v:shape id="_x0000_i3887" type="#_x0000_t75" style="width:85.9pt;height:23pt" o:ole="">
            <v:imagedata r:id="rId5763" o:title=""/>
          </v:shape>
          <o:OLEObject Type="Embed" ProgID="Equation.DSMT4" ShapeID="_x0000_i3887" DrawAspect="Content" ObjectID="_1791377831" r:id="rId5764"/>
        </w:object>
      </w:r>
      <w:r w:rsidRPr="00A40DDC">
        <w:rPr>
          <w:i/>
          <w:sz w:val="23"/>
          <w:szCs w:val="23"/>
          <w:rtl/>
        </w:rPr>
        <w:t xml:space="preserve"> </w:t>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tl/>
        </w:rPr>
        <w:tab/>
      </w:r>
      <w:r>
        <w:rPr>
          <w:i/>
          <w:sz w:val="23"/>
          <w:szCs w:val="23"/>
          <w:rtl/>
        </w:rPr>
        <w:tab/>
      </w:r>
      <w:r w:rsidRPr="00A40DDC">
        <w:rPr>
          <w:i/>
          <w:sz w:val="23"/>
          <w:szCs w:val="23"/>
          <w:rtl/>
        </w:rPr>
        <w:tab/>
      </w:r>
      <w:r w:rsidRPr="00A40DDC">
        <w:rPr>
          <w:i/>
          <w:sz w:val="23"/>
          <w:szCs w:val="23"/>
          <w:rtl/>
        </w:rPr>
        <w:tab/>
      </w:r>
      <w:r w:rsidRPr="00A40DDC">
        <w:rPr>
          <w:i/>
          <w:sz w:val="23"/>
          <w:szCs w:val="23"/>
          <w:rtl/>
        </w:rPr>
        <w:tab/>
      </w:r>
      <w:r w:rsidRPr="00A40DDC">
        <w:rPr>
          <w:i/>
          <w:sz w:val="23"/>
          <w:szCs w:val="23"/>
        </w:rPr>
        <w:t xml:space="preserve"> </w:t>
      </w:r>
      <w:r w:rsidRPr="00A40DDC">
        <w:rPr>
          <w:i/>
          <w:sz w:val="23"/>
          <w:szCs w:val="23"/>
          <w:rtl/>
        </w:rPr>
        <w:tab/>
      </w:r>
      <w:r w:rsidRPr="00A40DDC">
        <w:rPr>
          <w:rFonts w:hint="cs"/>
          <w:i/>
          <w:sz w:val="23"/>
          <w:szCs w:val="23"/>
          <w:rtl/>
        </w:rPr>
        <w:t>(۷. ۳۸)</w:t>
      </w:r>
    </w:p>
    <w:p w14:paraId="37E2E7DE" w14:textId="77777777" w:rsidR="00411620" w:rsidRPr="00A40DDC" w:rsidRDefault="00411620" w:rsidP="00411620">
      <w:pPr>
        <w:tabs>
          <w:tab w:val="left" w:pos="3521"/>
        </w:tabs>
        <w:spacing w:line="216" w:lineRule="auto"/>
        <w:rPr>
          <w:i/>
          <w:sz w:val="23"/>
          <w:szCs w:val="23"/>
          <w:rtl/>
        </w:rPr>
      </w:pPr>
      <w:r w:rsidRPr="00A40DDC">
        <w:rPr>
          <w:i/>
          <w:sz w:val="23"/>
          <w:szCs w:val="23"/>
          <w:rtl/>
        </w:rPr>
        <w:t xml:space="preserve">و اگر بجای </w:t>
      </w:r>
      <w:r w:rsidRPr="00A40DDC">
        <w:rPr>
          <w:position w:val="-10"/>
        </w:rPr>
        <w:object w:dxaOrig="340" w:dyaOrig="340" w14:anchorId="70822359">
          <v:shape id="_x0000_i3888" type="#_x0000_t75" style="width:16.95pt;height:16.95pt" o:ole="">
            <v:imagedata r:id="rId5765" o:title=""/>
          </v:shape>
          <o:OLEObject Type="Embed" ProgID="Equation.DSMT4" ShapeID="_x0000_i3888" DrawAspect="Content" ObjectID="_1791377832" r:id="rId5766"/>
        </w:object>
      </w:r>
      <w:r w:rsidRPr="00A40DDC">
        <w:rPr>
          <w:i/>
          <w:sz w:val="23"/>
          <w:szCs w:val="23"/>
          <w:rtl/>
        </w:rPr>
        <w:t xml:space="preserve"> جایگزین کنیم </w:t>
      </w:r>
      <w:r w:rsidRPr="00A40DDC">
        <w:rPr>
          <w:rFonts w:hint="cs"/>
          <w:i/>
          <w:sz w:val="23"/>
          <w:szCs w:val="23"/>
          <w:rtl/>
        </w:rPr>
        <w:t>خواهیم داشت؛</w:t>
      </w:r>
    </w:p>
    <w:p w14:paraId="16E60272" w14:textId="77777777" w:rsidR="00411620" w:rsidRPr="00A40DDC" w:rsidRDefault="00411620" w:rsidP="00411620">
      <w:pPr>
        <w:tabs>
          <w:tab w:val="left" w:pos="3521"/>
        </w:tabs>
        <w:bidi w:val="0"/>
        <w:spacing w:line="216" w:lineRule="auto"/>
        <w:rPr>
          <w:i/>
          <w:sz w:val="23"/>
          <w:szCs w:val="23"/>
          <w:rtl/>
        </w:rPr>
      </w:pPr>
      <w:r w:rsidRPr="00A40DDC">
        <w:rPr>
          <w:position w:val="-16"/>
        </w:rPr>
        <w:object w:dxaOrig="2720" w:dyaOrig="480" w14:anchorId="4B931327">
          <v:shape id="_x0000_i3889" type="#_x0000_t75" style="width:136.15pt;height:24.2pt" o:ole="">
            <v:imagedata r:id="rId5767" o:title=""/>
          </v:shape>
          <o:OLEObject Type="Embed" ProgID="Equation.DSMT4" ShapeID="_x0000_i3889" DrawAspect="Content" ObjectID="_1791377833" r:id="rId5768"/>
        </w:object>
      </w:r>
      <w:r w:rsidRPr="00A40DDC">
        <w:rPr>
          <w:rFonts w:eastAsiaTheme="minorEastAsia"/>
          <w:i/>
          <w:sz w:val="23"/>
          <w:szCs w:val="23"/>
        </w:rPr>
        <w:t xml:space="preserve"> </w:t>
      </w:r>
      <w:r w:rsidRPr="00A40DDC">
        <w:rPr>
          <w:rFonts w:eastAsiaTheme="minorEastAsia"/>
          <w:i/>
          <w:sz w:val="23"/>
          <w:szCs w:val="23"/>
          <w:rtl/>
        </w:rPr>
        <w:tab/>
      </w:r>
      <w:r w:rsidRPr="00A40DDC">
        <w:rPr>
          <w:rFonts w:eastAsiaTheme="minorEastAsia"/>
          <w:i/>
          <w:sz w:val="23"/>
          <w:szCs w:val="23"/>
          <w:rtl/>
        </w:rPr>
        <w:tab/>
      </w:r>
      <w:r w:rsidRPr="00A40DDC">
        <w:rPr>
          <w:rFonts w:eastAsiaTheme="minorEastAsia"/>
          <w:i/>
          <w:sz w:val="23"/>
          <w:szCs w:val="23"/>
          <w:rtl/>
        </w:rPr>
        <w:tab/>
      </w:r>
      <w:r w:rsidRPr="00A40DDC">
        <w:rPr>
          <w:rFonts w:eastAsiaTheme="minorEastAsia"/>
          <w:i/>
          <w:sz w:val="23"/>
          <w:szCs w:val="23"/>
          <w:rtl/>
        </w:rPr>
        <w:tab/>
      </w:r>
      <w:r w:rsidRPr="00A40DDC">
        <w:rPr>
          <w:rFonts w:eastAsiaTheme="minorEastAsia"/>
          <w:i/>
          <w:sz w:val="23"/>
          <w:szCs w:val="23"/>
          <w:rtl/>
        </w:rPr>
        <w:tab/>
      </w:r>
      <w:r w:rsidRPr="00A40DDC">
        <w:rPr>
          <w:rFonts w:eastAsiaTheme="minorEastAsia"/>
          <w:i/>
          <w:sz w:val="23"/>
          <w:szCs w:val="23"/>
          <w:rtl/>
        </w:rPr>
        <w:tab/>
      </w:r>
      <w:r>
        <w:rPr>
          <w:rFonts w:eastAsiaTheme="minorEastAsia"/>
          <w:i/>
          <w:sz w:val="23"/>
          <w:szCs w:val="23"/>
          <w:rtl/>
        </w:rPr>
        <w:tab/>
      </w:r>
      <w:r w:rsidRPr="00A40DDC">
        <w:rPr>
          <w:rFonts w:eastAsiaTheme="minorEastAsia"/>
          <w:i/>
          <w:sz w:val="23"/>
          <w:szCs w:val="23"/>
          <w:rtl/>
        </w:rPr>
        <w:tab/>
      </w:r>
      <w:r w:rsidRPr="00A40DDC">
        <w:rPr>
          <w:rFonts w:eastAsiaTheme="minorEastAsia"/>
          <w:i/>
          <w:sz w:val="23"/>
          <w:szCs w:val="23"/>
          <w:rtl/>
        </w:rPr>
        <w:tab/>
      </w:r>
      <w:r w:rsidRPr="00A40DDC">
        <w:rPr>
          <w:rFonts w:eastAsiaTheme="minorEastAsia"/>
          <w:i/>
          <w:sz w:val="23"/>
          <w:szCs w:val="23"/>
          <w:rtl/>
        </w:rPr>
        <w:tab/>
      </w:r>
      <w:r w:rsidRPr="00A40DDC">
        <w:rPr>
          <w:rFonts w:eastAsiaTheme="minorEastAsia" w:hint="cs"/>
          <w:i/>
          <w:sz w:val="23"/>
          <w:szCs w:val="23"/>
          <w:rtl/>
        </w:rPr>
        <w:t>(۷. ۳۹)</w:t>
      </w:r>
    </w:p>
    <w:p w14:paraId="10F89E3E" w14:textId="77777777" w:rsidR="00411620" w:rsidRPr="00A40DDC" w:rsidRDefault="00411620" w:rsidP="00411620">
      <w:pPr>
        <w:tabs>
          <w:tab w:val="left" w:pos="3521"/>
        </w:tabs>
        <w:spacing w:line="216" w:lineRule="auto"/>
        <w:rPr>
          <w:i/>
          <w:sz w:val="23"/>
          <w:szCs w:val="23"/>
          <w:rtl/>
        </w:rPr>
      </w:pPr>
      <w:r w:rsidRPr="00A40DDC">
        <w:rPr>
          <w:rFonts w:hint="cs"/>
          <w:i/>
          <w:sz w:val="23"/>
          <w:szCs w:val="23"/>
          <w:rtl/>
        </w:rPr>
        <w:t xml:space="preserve">و </w:t>
      </w:r>
      <w:r w:rsidRPr="00A40DDC">
        <w:rPr>
          <w:i/>
          <w:sz w:val="23"/>
          <w:szCs w:val="23"/>
          <w:rtl/>
        </w:rPr>
        <w:t>از آن</w:t>
      </w:r>
      <w:r w:rsidRPr="00A40DDC">
        <w:rPr>
          <w:i/>
          <w:sz w:val="23"/>
          <w:szCs w:val="23"/>
          <w:rtl/>
        </w:rPr>
        <w:softHyphen/>
        <w:t>جا که</w:t>
      </w:r>
      <w:r w:rsidRPr="00A40DDC">
        <w:rPr>
          <w:position w:val="-10"/>
        </w:rPr>
        <w:object w:dxaOrig="1140" w:dyaOrig="340" w14:anchorId="6452A8E4">
          <v:shape id="_x0000_i3890" type="#_x0000_t75" style="width:57.5pt;height:16.95pt" o:ole="">
            <v:imagedata r:id="rId5769" o:title=""/>
          </v:shape>
          <o:OLEObject Type="Embed" ProgID="Equation.DSMT4" ShapeID="_x0000_i3890" DrawAspect="Content" ObjectID="_1791377834" r:id="rId5770"/>
        </w:object>
      </w:r>
      <w:r w:rsidRPr="00A40DDC">
        <w:rPr>
          <w:i/>
          <w:sz w:val="23"/>
          <w:szCs w:val="23"/>
          <w:rtl/>
        </w:rPr>
        <w:t xml:space="preserve"> و</w:t>
      </w:r>
      <w:r w:rsidRPr="00A40DDC">
        <w:rPr>
          <w:position w:val="-10"/>
        </w:rPr>
        <w:object w:dxaOrig="1240" w:dyaOrig="340" w14:anchorId="522617FB">
          <v:shape id="_x0000_i3891" type="#_x0000_t75" style="width:61.7pt;height:16.95pt" o:ole="">
            <v:imagedata r:id="rId5771" o:title=""/>
          </v:shape>
          <o:OLEObject Type="Embed" ProgID="Equation.DSMT4" ShapeID="_x0000_i3891" DrawAspect="Content" ObjectID="_1791377835" r:id="rId5772"/>
        </w:object>
      </w:r>
      <w:r w:rsidRPr="00A40DDC">
        <w:rPr>
          <w:rFonts w:hint="cs"/>
          <w:i/>
          <w:sz w:val="23"/>
          <w:szCs w:val="23"/>
          <w:rtl/>
        </w:rPr>
        <w:t xml:space="preserve"> است</w:t>
      </w:r>
      <w:r w:rsidRPr="00A40DDC">
        <w:rPr>
          <w:rFonts w:eastAsiaTheme="minorEastAsia" w:hint="cs"/>
          <w:i/>
          <w:sz w:val="23"/>
          <w:szCs w:val="23"/>
          <w:rtl/>
        </w:rPr>
        <w:t>،</w:t>
      </w:r>
      <w:r w:rsidRPr="00A40DDC">
        <w:rPr>
          <w:i/>
          <w:sz w:val="23"/>
          <w:szCs w:val="23"/>
          <w:rtl/>
        </w:rPr>
        <w:t xml:space="preserve"> نرخ ارز حقیقی بین دو کشور برابر است با</w:t>
      </w:r>
      <w:r w:rsidRPr="00A40DDC">
        <w:rPr>
          <w:rFonts w:hint="cs"/>
          <w:i/>
          <w:sz w:val="23"/>
          <w:szCs w:val="23"/>
          <w:rtl/>
        </w:rPr>
        <w:t>،</w:t>
      </w:r>
    </w:p>
    <w:p w14:paraId="2CDB674C" w14:textId="77777777" w:rsidR="00411620" w:rsidRPr="00A40DDC" w:rsidRDefault="00411620" w:rsidP="00411620">
      <w:pPr>
        <w:tabs>
          <w:tab w:val="left" w:pos="3521"/>
        </w:tabs>
        <w:bidi w:val="0"/>
        <w:spacing w:line="216" w:lineRule="auto"/>
        <w:rPr>
          <w:i/>
          <w:sz w:val="23"/>
          <w:szCs w:val="23"/>
          <w:rtl/>
        </w:rPr>
      </w:pPr>
      <w:r w:rsidRPr="00A40DDC">
        <w:rPr>
          <w:position w:val="-40"/>
        </w:rPr>
        <w:object w:dxaOrig="6080" w:dyaOrig="900" w14:anchorId="1A72DA44">
          <v:shape id="_x0000_i3892" type="#_x0000_t75" style="width:303.75pt;height:45.4pt" o:ole="">
            <v:imagedata r:id="rId5773" o:title=""/>
          </v:shape>
          <o:OLEObject Type="Embed" ProgID="Equation.DSMT4" ShapeID="_x0000_i3892" DrawAspect="Content" ObjectID="_1791377836" r:id="rId5774"/>
        </w:object>
      </w:r>
      <w:r w:rsidRPr="00A40DDC">
        <w:rPr>
          <w:rFonts w:hint="cs"/>
          <w:i/>
          <w:sz w:val="23"/>
          <w:szCs w:val="23"/>
          <w:rtl/>
        </w:rPr>
        <w:t xml:space="preserve">(۷. ۴۰)   </w:t>
      </w:r>
    </w:p>
    <w:p w14:paraId="78169FFA" w14:textId="77777777" w:rsidR="00411620" w:rsidRPr="00A40DDC" w:rsidRDefault="00411620" w:rsidP="00411620">
      <w:pPr>
        <w:tabs>
          <w:tab w:val="left" w:pos="3521"/>
        </w:tabs>
        <w:spacing w:line="216" w:lineRule="auto"/>
        <w:rPr>
          <w:rFonts w:eastAsiaTheme="minorEastAsia"/>
          <w:i/>
          <w:sz w:val="23"/>
          <w:szCs w:val="23"/>
          <w:rtl/>
        </w:rPr>
      </w:pPr>
      <w:r w:rsidRPr="00A40DDC">
        <w:rPr>
          <w:i/>
          <w:sz w:val="23"/>
          <w:szCs w:val="23"/>
          <w:rtl/>
        </w:rPr>
        <w:t xml:space="preserve">با مقایسه </w:t>
      </w:r>
      <w:r w:rsidRPr="00A40DDC">
        <w:rPr>
          <w:rFonts w:hint="cs"/>
          <w:i/>
          <w:sz w:val="23"/>
          <w:szCs w:val="23"/>
          <w:rtl/>
        </w:rPr>
        <w:t>(۷. ۴۰)</w:t>
      </w:r>
      <w:r w:rsidRPr="00A40DDC">
        <w:rPr>
          <w:i/>
          <w:sz w:val="23"/>
          <w:szCs w:val="23"/>
          <w:rtl/>
        </w:rPr>
        <w:t xml:space="preserve"> و</w:t>
      </w:r>
      <w:r w:rsidRPr="00A40DDC">
        <w:rPr>
          <w:rFonts w:hint="cs"/>
          <w:i/>
          <w:sz w:val="23"/>
          <w:szCs w:val="23"/>
          <w:rtl/>
        </w:rPr>
        <w:t xml:space="preserve"> (۷. ۲۴)</w:t>
      </w:r>
      <w:r w:rsidRPr="00A40DDC">
        <w:rPr>
          <w:i/>
          <w:sz w:val="23"/>
          <w:szCs w:val="23"/>
          <w:rtl/>
        </w:rPr>
        <w:t xml:space="preserve"> رابطه</w:t>
      </w:r>
      <w:r w:rsidRPr="00A40DDC">
        <w:rPr>
          <w:i/>
          <w:sz w:val="23"/>
          <w:szCs w:val="23"/>
          <w:rtl/>
        </w:rPr>
        <w:softHyphen/>
      </w:r>
      <w:r w:rsidRPr="00A40DDC">
        <w:rPr>
          <w:rFonts w:hint="cs"/>
          <w:i/>
          <w:sz w:val="23"/>
          <w:szCs w:val="23"/>
          <w:rtl/>
        </w:rPr>
        <w:t>ی</w:t>
      </w:r>
      <w:r w:rsidRPr="00A40DDC">
        <w:rPr>
          <w:i/>
          <w:sz w:val="23"/>
          <w:szCs w:val="23"/>
          <w:rtl/>
        </w:rPr>
        <w:t xml:space="preserve"> بین</w:t>
      </w:r>
      <w:r w:rsidRPr="00A40DDC">
        <w:rPr>
          <w:i/>
          <w:sz w:val="23"/>
          <w:szCs w:val="23"/>
        </w:rPr>
        <w:t xml:space="preserve"> </w:t>
      </w:r>
      <w:r w:rsidRPr="00A40DDC">
        <w:rPr>
          <w:rFonts w:hint="cs"/>
          <w:i/>
          <w:sz w:val="23"/>
          <w:szCs w:val="23"/>
          <w:rtl/>
        </w:rPr>
        <w:t>نرخ ارز حقیقی</w:t>
      </w:r>
      <w:r w:rsidRPr="00A40DDC">
        <w:rPr>
          <w:position w:val="-8"/>
        </w:rPr>
        <w:object w:dxaOrig="240" w:dyaOrig="279" w14:anchorId="432C33A0">
          <v:shape id="_x0000_i3893" type="#_x0000_t75" style="width:11.5pt;height:13.9pt" o:ole="">
            <v:imagedata r:id="rId5775" o:title=""/>
          </v:shape>
          <o:OLEObject Type="Embed" ProgID="Equation.DSMT4" ShapeID="_x0000_i3893" DrawAspect="Content" ObjectID="_1791377837" r:id="rId5776"/>
        </w:object>
      </w:r>
      <w:r w:rsidRPr="00A40DDC">
        <w:rPr>
          <w:i/>
          <w:sz w:val="23"/>
          <w:szCs w:val="23"/>
          <w:rtl/>
        </w:rPr>
        <w:t xml:space="preserve"> و</w:t>
      </w:r>
      <w:r w:rsidRPr="00A40DDC">
        <w:rPr>
          <w:rFonts w:hint="cs"/>
          <w:i/>
          <w:sz w:val="23"/>
          <w:szCs w:val="23"/>
          <w:rtl/>
        </w:rPr>
        <w:t xml:space="preserve"> رابطه</w:t>
      </w:r>
      <w:r w:rsidRPr="00A40DDC">
        <w:rPr>
          <w:i/>
          <w:sz w:val="23"/>
          <w:szCs w:val="23"/>
          <w:rtl/>
        </w:rPr>
        <w:softHyphen/>
      </w:r>
      <w:r w:rsidRPr="00A40DDC">
        <w:rPr>
          <w:rFonts w:hint="cs"/>
          <w:i/>
          <w:sz w:val="23"/>
          <w:szCs w:val="23"/>
          <w:rtl/>
        </w:rPr>
        <w:t>ی مبادله</w:t>
      </w:r>
      <w:r w:rsidRPr="00A40DDC">
        <w:rPr>
          <w:i/>
          <w:sz w:val="23"/>
          <w:szCs w:val="23"/>
          <w:rtl/>
        </w:rPr>
        <w:softHyphen/>
      </w:r>
      <w:r w:rsidRPr="00A40DDC">
        <w:rPr>
          <w:rFonts w:hint="cs"/>
          <w:i/>
          <w:sz w:val="23"/>
          <w:szCs w:val="23"/>
          <w:rtl/>
        </w:rPr>
        <w:t>ی بازرگانی</w:t>
      </w:r>
      <w:r w:rsidRPr="00A40DDC">
        <w:rPr>
          <w:position w:val="-8"/>
        </w:rPr>
        <w:object w:dxaOrig="340" w:dyaOrig="320" w14:anchorId="11C56190">
          <v:shape id="_x0000_i3894" type="#_x0000_t75" style="width:16.95pt;height:15.75pt" o:ole="">
            <v:imagedata r:id="rId5777" o:title=""/>
          </v:shape>
          <o:OLEObject Type="Embed" ProgID="Equation.DSMT4" ShapeID="_x0000_i3894" DrawAspect="Content" ObjectID="_1791377838" r:id="rId5778"/>
        </w:object>
      </w:r>
      <w:r w:rsidRPr="00A40DDC">
        <w:rPr>
          <w:i/>
          <w:sz w:val="23"/>
          <w:szCs w:val="23"/>
          <w:rtl/>
        </w:rPr>
        <w:t xml:space="preserve"> و</w:t>
      </w:r>
      <w:r w:rsidRPr="00A40DDC">
        <w:rPr>
          <w:rFonts w:hint="cs"/>
          <w:i/>
          <w:sz w:val="23"/>
          <w:szCs w:val="23"/>
          <w:rtl/>
        </w:rPr>
        <w:t xml:space="preserve"> </w:t>
      </w:r>
      <w:r w:rsidRPr="00A40DDC">
        <w:rPr>
          <w:i/>
          <w:sz w:val="23"/>
          <w:szCs w:val="23"/>
          <w:rtl/>
        </w:rPr>
        <w:t>قیمت</w:t>
      </w:r>
      <w:r w:rsidRPr="00A40DDC">
        <w:rPr>
          <w:rFonts w:hint="cs"/>
          <w:i/>
          <w:sz w:val="23"/>
          <w:szCs w:val="23"/>
          <w:rtl/>
        </w:rPr>
        <w:t>‌</w:t>
      </w:r>
      <w:r w:rsidRPr="00A40DDC">
        <w:rPr>
          <w:i/>
          <w:sz w:val="23"/>
          <w:szCs w:val="23"/>
          <w:rtl/>
        </w:rPr>
        <w:t>های نسبی کالاهای غیرتجاری مشخص</w:t>
      </w:r>
      <w:r w:rsidRPr="00A40DDC">
        <w:rPr>
          <w:i/>
          <w:sz w:val="23"/>
          <w:szCs w:val="23"/>
          <w:rtl/>
        </w:rPr>
        <w:softHyphen/>
        <w:t xml:space="preserve">تر </w:t>
      </w:r>
      <w:r w:rsidRPr="00A40DDC">
        <w:rPr>
          <w:rFonts w:hint="cs"/>
          <w:i/>
          <w:sz w:val="23"/>
          <w:szCs w:val="23"/>
          <w:rtl/>
        </w:rPr>
        <w:t>می</w:t>
      </w:r>
      <w:r w:rsidRPr="00A40DDC">
        <w:rPr>
          <w:i/>
          <w:sz w:val="23"/>
          <w:szCs w:val="23"/>
          <w:rtl/>
        </w:rPr>
        <w:softHyphen/>
      </w:r>
      <w:r w:rsidRPr="00A40DDC">
        <w:rPr>
          <w:rFonts w:hint="cs"/>
          <w:i/>
          <w:sz w:val="23"/>
          <w:szCs w:val="23"/>
          <w:rtl/>
        </w:rPr>
        <w:t>شود</w:t>
      </w:r>
      <w:r w:rsidRPr="00A40DDC">
        <w:rPr>
          <w:i/>
          <w:sz w:val="23"/>
          <w:szCs w:val="23"/>
          <w:rtl/>
        </w:rPr>
        <w:t>.</w:t>
      </w:r>
      <w:r w:rsidRPr="00A40DDC">
        <w:rPr>
          <w:rFonts w:hint="cs"/>
          <w:i/>
          <w:sz w:val="23"/>
          <w:szCs w:val="23"/>
          <w:rtl/>
        </w:rPr>
        <w:t xml:space="preserve"> </w:t>
      </w:r>
      <w:r w:rsidRPr="00A40DDC">
        <w:rPr>
          <w:i/>
          <w:sz w:val="23"/>
          <w:szCs w:val="23"/>
          <w:rtl/>
        </w:rPr>
        <w:t>اگر</w:t>
      </w:r>
      <w:r w:rsidRPr="00A40DDC">
        <w:rPr>
          <w:position w:val="-10"/>
        </w:rPr>
        <w:object w:dxaOrig="680" w:dyaOrig="340" w14:anchorId="5C3C7C05">
          <v:shape id="_x0000_i3895" type="#_x0000_t75" style="width:33.9pt;height:16.95pt" o:ole="">
            <v:imagedata r:id="rId5779" o:title=""/>
          </v:shape>
          <o:OLEObject Type="Embed" ProgID="Equation.DSMT4" ShapeID="_x0000_i3895" DrawAspect="Content" ObjectID="_1791377839" r:id="rId5780"/>
        </w:object>
      </w:r>
      <w:r w:rsidRPr="00A40DDC">
        <w:rPr>
          <w:rFonts w:eastAsiaTheme="minorEastAsia"/>
          <w:i/>
          <w:sz w:val="23"/>
          <w:szCs w:val="23"/>
          <w:rtl/>
        </w:rPr>
        <w:t xml:space="preserve"> باشد آنگاه رابطه</w:t>
      </w:r>
      <w:r w:rsidRPr="00A40DDC">
        <w:rPr>
          <w:rFonts w:eastAsiaTheme="minorEastAsia"/>
          <w:i/>
          <w:sz w:val="23"/>
          <w:szCs w:val="23"/>
          <w:rtl/>
        </w:rPr>
        <w:softHyphen/>
      </w:r>
      <w:r w:rsidRPr="00A40DDC">
        <w:rPr>
          <w:rFonts w:eastAsiaTheme="minorEastAsia" w:hint="cs"/>
          <w:i/>
          <w:sz w:val="23"/>
          <w:szCs w:val="23"/>
          <w:rtl/>
        </w:rPr>
        <w:t xml:space="preserve">ی </w:t>
      </w:r>
      <w:r w:rsidRPr="00A40DDC">
        <w:rPr>
          <w:rFonts w:hint="cs"/>
          <w:i/>
          <w:sz w:val="23"/>
          <w:szCs w:val="23"/>
          <w:rtl/>
        </w:rPr>
        <w:t>(۷. ۲۵)</w:t>
      </w:r>
      <w:r w:rsidRPr="00A40DDC">
        <w:rPr>
          <w:rFonts w:eastAsiaTheme="minorEastAsia"/>
          <w:i/>
          <w:sz w:val="23"/>
          <w:szCs w:val="23"/>
          <w:rtl/>
        </w:rPr>
        <w:t xml:space="preserve"> را خواهیم داشت</w:t>
      </w:r>
      <w:r w:rsidRPr="00A40DDC">
        <w:rPr>
          <w:rFonts w:eastAsiaTheme="minorEastAsia" w:hint="cs"/>
          <w:i/>
          <w:sz w:val="23"/>
          <w:szCs w:val="23"/>
          <w:rtl/>
        </w:rPr>
        <w:t xml:space="preserve">، </w:t>
      </w:r>
      <w:r w:rsidRPr="00A40DDC">
        <w:rPr>
          <w:rFonts w:eastAsiaTheme="minorEastAsia"/>
          <w:i/>
          <w:sz w:val="23"/>
          <w:szCs w:val="23"/>
          <w:rtl/>
        </w:rPr>
        <w:t>فقط</w:t>
      </w:r>
      <w:r w:rsidRPr="00A40DDC">
        <w:rPr>
          <w:position w:val="-10"/>
        </w:rPr>
        <w:object w:dxaOrig="180" w:dyaOrig="240" w14:anchorId="176EBA30">
          <v:shape id="_x0000_i3896" type="#_x0000_t75" style="width:9.1pt;height:11.5pt" o:ole="">
            <v:imagedata r:id="rId5781" o:title=""/>
          </v:shape>
          <o:OLEObject Type="Embed" ProgID="Equation.DSMT4" ShapeID="_x0000_i3896" DrawAspect="Content" ObjectID="_1791377840" r:id="rId5782"/>
        </w:object>
      </w:r>
      <w:r w:rsidRPr="00A40DDC">
        <w:rPr>
          <w:i/>
          <w:sz w:val="23"/>
          <w:szCs w:val="23"/>
          <w:rtl/>
        </w:rPr>
        <w:t xml:space="preserve"> با</w:t>
      </w:r>
      <w:r w:rsidRPr="00A40DDC">
        <w:rPr>
          <w:position w:val="-6"/>
        </w:rPr>
        <w:object w:dxaOrig="180" w:dyaOrig="200" w14:anchorId="0DE98C45">
          <v:shape id="_x0000_i3897" type="#_x0000_t75" style="width:9.1pt;height:10.3pt" o:ole="">
            <v:imagedata r:id="rId5783" o:title=""/>
          </v:shape>
          <o:OLEObject Type="Embed" ProgID="Equation.DSMT4" ShapeID="_x0000_i3897" DrawAspect="Content" ObjectID="_1791377841" r:id="rId5784"/>
        </w:object>
      </w:r>
      <w:r w:rsidRPr="00A40DDC">
        <w:rPr>
          <w:i/>
          <w:sz w:val="23"/>
          <w:szCs w:val="23"/>
          <w:rtl/>
        </w:rPr>
        <w:t xml:space="preserve"> عوض شد</w:t>
      </w:r>
      <w:r w:rsidRPr="00A40DDC">
        <w:rPr>
          <w:rFonts w:hint="cs"/>
          <w:i/>
          <w:sz w:val="23"/>
          <w:szCs w:val="23"/>
          <w:rtl/>
        </w:rPr>
        <w:t>ه است</w:t>
      </w:r>
      <w:r w:rsidRPr="00A40DDC">
        <w:rPr>
          <w:i/>
          <w:sz w:val="23"/>
          <w:szCs w:val="23"/>
          <w:rtl/>
        </w:rPr>
        <w:t xml:space="preserve"> .</w:t>
      </w:r>
    </w:p>
    <w:p w14:paraId="17044411" w14:textId="77777777" w:rsidR="00411620" w:rsidRPr="00A40DDC" w:rsidRDefault="00411620" w:rsidP="00411620">
      <w:pPr>
        <w:tabs>
          <w:tab w:val="left" w:pos="3521"/>
        </w:tabs>
        <w:spacing w:line="216" w:lineRule="auto"/>
        <w:rPr>
          <w:i/>
          <w:sz w:val="23"/>
          <w:szCs w:val="23"/>
          <w:rtl/>
        </w:rPr>
      </w:pPr>
      <w:r w:rsidRPr="00A40DDC">
        <w:rPr>
          <w:i/>
          <w:sz w:val="23"/>
          <w:szCs w:val="23"/>
          <w:rtl/>
        </w:rPr>
        <w:t>معادله اویلر مصرف عبارت است از :</w:t>
      </w:r>
    </w:p>
    <w:p w14:paraId="19B3F899" w14:textId="77777777" w:rsidR="00411620" w:rsidRPr="00A40DDC" w:rsidRDefault="00411620" w:rsidP="00411620">
      <w:pPr>
        <w:pStyle w:val="MTDisplayEquation"/>
        <w:spacing w:line="216" w:lineRule="auto"/>
        <w:rPr>
          <w:rFonts w:ascii="Times New Roman" w:hAnsi="Times New Roman" w:cs="B Nazanin"/>
          <w:i/>
          <w:sz w:val="23"/>
          <w:szCs w:val="23"/>
          <w:rtl/>
        </w:rPr>
      </w:pPr>
      <w:r w:rsidRPr="00A40DDC">
        <w:rPr>
          <w:position w:val="-30"/>
        </w:rPr>
        <w:object w:dxaOrig="2000" w:dyaOrig="740" w14:anchorId="53B6FBD2">
          <v:shape id="_x0000_i3898" type="#_x0000_t75" style="width:99.85pt;height:36.9pt" o:ole="">
            <v:imagedata r:id="rId5785" o:title=""/>
          </v:shape>
          <o:OLEObject Type="Embed" ProgID="Equation.DSMT4" ShapeID="_x0000_i3898" DrawAspect="Content" ObjectID="_1791377842" r:id="rId5786"/>
        </w:object>
      </w:r>
    </w:p>
    <w:p w14:paraId="2854D6CE" w14:textId="77777777" w:rsidR="00411620" w:rsidRPr="00A40DDC" w:rsidRDefault="00411620" w:rsidP="00411620">
      <w:pPr>
        <w:tabs>
          <w:tab w:val="left" w:pos="3521"/>
        </w:tabs>
        <w:spacing w:line="216" w:lineRule="auto"/>
        <w:rPr>
          <w:i/>
          <w:sz w:val="23"/>
          <w:szCs w:val="23"/>
          <w:rtl/>
        </w:rPr>
      </w:pPr>
      <w:r w:rsidRPr="00A40DDC">
        <w:rPr>
          <w:i/>
          <w:sz w:val="23"/>
          <w:szCs w:val="23"/>
          <w:rtl/>
        </w:rPr>
        <w:t xml:space="preserve">و اگر </w:t>
      </w:r>
      <w:r w:rsidRPr="00A40DDC">
        <w:rPr>
          <w:position w:val="-10"/>
        </w:rPr>
        <w:object w:dxaOrig="999" w:dyaOrig="340" w14:anchorId="2DE78F71">
          <v:shape id="_x0000_i3899" type="#_x0000_t75" style="width:50.2pt;height:16.95pt" o:ole="">
            <v:imagedata r:id="rId5787" o:title=""/>
          </v:shape>
          <o:OLEObject Type="Embed" ProgID="Equation.DSMT4" ShapeID="_x0000_i3899" DrawAspect="Content" ObjectID="_1791377843" r:id="rId5788"/>
        </w:object>
      </w:r>
      <w:r w:rsidRPr="00A40DDC">
        <w:rPr>
          <w:i/>
          <w:sz w:val="23"/>
          <w:szCs w:val="23"/>
          <w:rtl/>
        </w:rPr>
        <w:t xml:space="preserve"> </w:t>
      </w:r>
      <w:r w:rsidRPr="00A40DDC">
        <w:rPr>
          <w:rFonts w:hint="cs"/>
          <w:i/>
          <w:sz w:val="23"/>
          <w:szCs w:val="23"/>
          <w:rtl/>
        </w:rPr>
        <w:t xml:space="preserve">باشد آنگاه </w:t>
      </w:r>
      <w:r w:rsidRPr="00A40DDC">
        <w:rPr>
          <w:i/>
          <w:sz w:val="23"/>
          <w:szCs w:val="23"/>
          <w:rtl/>
        </w:rPr>
        <w:t xml:space="preserve">مصرف بلندمدت ثابت </w:t>
      </w:r>
      <w:r w:rsidRPr="00A40DDC">
        <w:rPr>
          <w:rFonts w:hint="cs"/>
          <w:i/>
          <w:sz w:val="23"/>
          <w:szCs w:val="23"/>
          <w:rtl/>
        </w:rPr>
        <w:t>خواهد بود</w:t>
      </w:r>
      <w:r w:rsidRPr="00A40DDC">
        <w:rPr>
          <w:i/>
          <w:sz w:val="23"/>
          <w:szCs w:val="23"/>
          <w:rtl/>
        </w:rPr>
        <w:t>.</w:t>
      </w:r>
    </w:p>
    <w:p w14:paraId="59C172C7" w14:textId="77777777" w:rsidR="00411620" w:rsidRPr="00A40DDC" w:rsidRDefault="00411620" w:rsidP="00411620">
      <w:pPr>
        <w:tabs>
          <w:tab w:val="left" w:pos="3521"/>
        </w:tabs>
        <w:spacing w:line="216" w:lineRule="auto"/>
        <w:rPr>
          <w:i/>
          <w:sz w:val="23"/>
          <w:szCs w:val="23"/>
          <w:rtl/>
        </w:rPr>
      </w:pPr>
      <w:r w:rsidRPr="00A40DDC">
        <w:rPr>
          <w:i/>
          <w:sz w:val="23"/>
          <w:szCs w:val="23"/>
          <w:rtl/>
        </w:rPr>
        <w:t xml:space="preserve"> از</w:t>
      </w:r>
      <w:r w:rsidRPr="00A40DDC">
        <w:rPr>
          <w:rFonts w:hint="cs"/>
          <w:i/>
          <w:sz w:val="23"/>
          <w:szCs w:val="23"/>
          <w:rtl/>
        </w:rPr>
        <w:t xml:space="preserve"> رابطه</w:t>
      </w:r>
      <w:r w:rsidRPr="00A40DDC">
        <w:rPr>
          <w:i/>
          <w:sz w:val="23"/>
          <w:szCs w:val="23"/>
          <w:rtl/>
        </w:rPr>
        <w:softHyphen/>
      </w:r>
      <w:r w:rsidRPr="00A40DDC">
        <w:rPr>
          <w:rFonts w:hint="cs"/>
          <w:i/>
          <w:sz w:val="23"/>
          <w:szCs w:val="23"/>
          <w:rtl/>
        </w:rPr>
        <w:t>ی</w:t>
      </w:r>
      <w:r w:rsidRPr="00A40DDC">
        <w:rPr>
          <w:i/>
          <w:sz w:val="23"/>
          <w:szCs w:val="23"/>
          <w:rtl/>
        </w:rPr>
        <w:t xml:space="preserve"> </w:t>
      </w:r>
      <w:r w:rsidRPr="00A40DDC">
        <w:rPr>
          <w:rFonts w:hint="cs"/>
          <w:i/>
          <w:sz w:val="23"/>
          <w:szCs w:val="23"/>
          <w:rtl/>
        </w:rPr>
        <w:t>(۷. ۳۱)</w:t>
      </w:r>
      <w:r w:rsidRPr="00A40DDC">
        <w:rPr>
          <w:i/>
          <w:sz w:val="23"/>
          <w:szCs w:val="23"/>
          <w:rtl/>
        </w:rPr>
        <w:t xml:space="preserve"> مقدار خالص دارایی</w:t>
      </w:r>
      <w:r w:rsidRPr="00A40DDC">
        <w:rPr>
          <w:rFonts w:hint="cs"/>
          <w:i/>
          <w:sz w:val="23"/>
          <w:szCs w:val="23"/>
          <w:rtl/>
        </w:rPr>
        <w:t>‌</w:t>
      </w:r>
      <w:r w:rsidRPr="00A40DDC">
        <w:rPr>
          <w:i/>
          <w:sz w:val="23"/>
          <w:szCs w:val="23"/>
          <w:rtl/>
        </w:rPr>
        <w:t xml:space="preserve">های خارجی حقیقی </w:t>
      </w:r>
      <w:r w:rsidRPr="00A40DDC">
        <w:rPr>
          <w:rFonts w:hint="cs"/>
          <w:i/>
          <w:sz w:val="23"/>
          <w:szCs w:val="23"/>
          <w:rtl/>
        </w:rPr>
        <w:t xml:space="preserve">در وضعیت یکنواخت را خواهیم داشت و </w:t>
      </w:r>
      <w:r w:rsidRPr="00A40DDC">
        <w:rPr>
          <w:i/>
          <w:sz w:val="23"/>
          <w:szCs w:val="23"/>
          <w:rtl/>
        </w:rPr>
        <w:t>برابر است با:</w:t>
      </w:r>
    </w:p>
    <w:p w14:paraId="6D5D233E" w14:textId="77777777" w:rsidR="00411620" w:rsidRPr="00A40DDC" w:rsidRDefault="00411620" w:rsidP="00411620">
      <w:pPr>
        <w:pStyle w:val="MTDisplayEquation"/>
        <w:spacing w:line="216" w:lineRule="auto"/>
        <w:rPr>
          <w:rFonts w:ascii="Times New Roman" w:hAnsi="Times New Roman" w:cs="B Nazanin"/>
          <w:i/>
          <w:sz w:val="23"/>
          <w:szCs w:val="23"/>
          <w:rtl/>
        </w:rPr>
      </w:pPr>
      <w:r w:rsidRPr="00A40DDC">
        <w:rPr>
          <w:position w:val="-30"/>
        </w:rPr>
        <w:object w:dxaOrig="3440" w:dyaOrig="700" w14:anchorId="2776A7F6">
          <v:shape id="_x0000_i3900" type="#_x0000_t75" style="width:171.85pt;height:35.1pt" o:ole="">
            <v:imagedata r:id="rId5789" o:title=""/>
          </v:shape>
          <o:OLEObject Type="Embed" ProgID="Equation.DSMT4" ShapeID="_x0000_i3900" DrawAspect="Content" ObjectID="_1791377844" r:id="rId5790"/>
        </w:object>
      </w:r>
    </w:p>
    <w:p w14:paraId="291DF165" w14:textId="77777777" w:rsidR="00411620" w:rsidRPr="00A40DDC" w:rsidRDefault="00411620" w:rsidP="00411620">
      <w:pPr>
        <w:pStyle w:val="MTDisplayEquation"/>
        <w:spacing w:line="216" w:lineRule="auto"/>
        <w:rPr>
          <w:rFonts w:ascii="Times New Roman" w:hAnsi="Times New Roman" w:cs="B Nazanin"/>
          <w:i/>
          <w:sz w:val="23"/>
          <w:szCs w:val="23"/>
          <w:rtl/>
        </w:rPr>
      </w:pPr>
      <w:r w:rsidRPr="00A40DDC">
        <w:rPr>
          <w:position w:val="-32"/>
        </w:rPr>
        <w:object w:dxaOrig="4840" w:dyaOrig="740" w14:anchorId="0E164DE7">
          <v:shape id="_x0000_i3901" type="#_x0000_t75" style="width:242pt;height:36.9pt" o:ole="">
            <v:imagedata r:id="rId5791" o:title=""/>
          </v:shape>
          <o:OLEObject Type="Embed" ProgID="Equation.DSMT4" ShapeID="_x0000_i3901" DrawAspect="Content" ObjectID="_1791377845" r:id="rId5792"/>
        </w:object>
      </w:r>
    </w:p>
    <w:p w14:paraId="7CC26A82" w14:textId="77777777" w:rsidR="00411620" w:rsidRPr="00A40DDC" w:rsidRDefault="00411620" w:rsidP="00411620">
      <w:pPr>
        <w:pStyle w:val="MTDisplayEquation"/>
        <w:spacing w:line="216" w:lineRule="auto"/>
        <w:rPr>
          <w:rFonts w:ascii="Times New Roman" w:hAnsi="Times New Roman" w:cs="B Nazanin"/>
          <w:i/>
          <w:sz w:val="23"/>
          <w:szCs w:val="23"/>
          <w:rtl/>
        </w:rPr>
      </w:pPr>
      <w:r w:rsidRPr="00A40DDC">
        <w:rPr>
          <w:position w:val="-22"/>
        </w:rPr>
        <w:object w:dxaOrig="3100" w:dyaOrig="639" w14:anchorId="08B75FFA">
          <v:shape id="_x0000_i3902" type="#_x0000_t75" style="width:154.9pt;height:32.05pt" o:ole="">
            <v:imagedata r:id="rId5793" o:title=""/>
          </v:shape>
          <o:OLEObject Type="Embed" ProgID="Equation.DSMT4" ShapeID="_x0000_i3902" DrawAspect="Content" ObjectID="_1791377846" r:id="rId5794"/>
        </w:object>
      </w:r>
    </w:p>
    <w:p w14:paraId="497CED9E" w14:textId="77777777" w:rsidR="00411620" w:rsidRPr="00A40DDC" w:rsidRDefault="00411620" w:rsidP="00411620">
      <w:pPr>
        <w:pStyle w:val="MTDisplayEquation"/>
        <w:tabs>
          <w:tab w:val="clear" w:pos="6660"/>
        </w:tabs>
        <w:spacing w:line="216" w:lineRule="auto"/>
        <w:rPr>
          <w:rFonts w:ascii="Times New Roman" w:hAnsi="Times New Roman" w:cs="B Nazanin"/>
          <w:i/>
          <w:sz w:val="23"/>
          <w:szCs w:val="23"/>
          <w:rtl/>
          <w:lang w:bidi="fa-IR"/>
        </w:rPr>
      </w:pPr>
      <w:r w:rsidRPr="00A40DDC">
        <w:rPr>
          <w:position w:val="-22"/>
        </w:rPr>
        <w:object w:dxaOrig="1740" w:dyaOrig="580" w14:anchorId="7DE9B11D">
          <v:shape id="_x0000_i3903" type="#_x0000_t75" style="width:87.15pt;height:29.05pt" o:ole="">
            <v:imagedata r:id="rId5795" o:title=""/>
          </v:shape>
          <o:OLEObject Type="Embed" ProgID="Equation.DSMT4" ShapeID="_x0000_i3903" DrawAspect="Content" ObjectID="_1791377847" r:id="rId5796"/>
        </w:object>
      </w:r>
      <w:r w:rsidRPr="00A40DDC">
        <w:rPr>
          <w:rFonts w:ascii="Times New Roman" w:hAnsi="Times New Roman" w:cs="B Nazanin"/>
          <w:i/>
          <w:sz w:val="23"/>
          <w:szCs w:val="23"/>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lang w:bidi="fa-IR"/>
        </w:rPr>
        <w:t>(۷ .۴۱)</w:t>
      </w:r>
    </w:p>
    <w:p w14:paraId="58B4B1EB" w14:textId="77777777" w:rsidR="00411620" w:rsidRPr="00A40DDC" w:rsidRDefault="00411620" w:rsidP="00411620">
      <w:pPr>
        <w:pStyle w:val="MTDisplayEquation"/>
        <w:tabs>
          <w:tab w:val="clear" w:pos="6660"/>
        </w:tabs>
        <w:spacing w:line="216" w:lineRule="auto"/>
        <w:rPr>
          <w:rFonts w:ascii="Times New Roman" w:hAnsi="Times New Roman" w:cs="B Nazanin"/>
          <w:i/>
          <w:sz w:val="23"/>
          <w:szCs w:val="23"/>
          <w:rtl/>
        </w:rPr>
      </w:pPr>
      <w:r w:rsidRPr="00A40DDC">
        <w:rPr>
          <w:position w:val="-22"/>
        </w:rPr>
        <w:object w:dxaOrig="2860" w:dyaOrig="940" w14:anchorId="093CA7B0">
          <v:shape id="_x0000_i3904" type="#_x0000_t75" style="width:142.8pt;height:47.2pt" o:ole="">
            <v:imagedata r:id="rId5797" o:title=""/>
          </v:shape>
          <o:OLEObject Type="Embed" ProgID="Equation.DSMT4" ShapeID="_x0000_i3904" DrawAspect="Content" ObjectID="_1791377848" r:id="rId5798"/>
        </w:object>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Pr>
          <w:rFonts w:ascii="Times New Roman" w:hAnsi="Times New Roma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۴۲)</w:t>
      </w:r>
    </w:p>
    <w:p w14:paraId="271A7750" w14:textId="77777777" w:rsidR="00411620" w:rsidRPr="00A40DDC" w:rsidRDefault="00411620" w:rsidP="00411620">
      <w:pPr>
        <w:tabs>
          <w:tab w:val="left" w:pos="3521"/>
        </w:tabs>
        <w:spacing w:line="216" w:lineRule="auto"/>
        <w:rPr>
          <w:i/>
          <w:sz w:val="23"/>
          <w:szCs w:val="23"/>
          <w:rtl/>
        </w:rPr>
      </w:pPr>
      <w:r w:rsidRPr="00A40DDC">
        <w:rPr>
          <w:rFonts w:hint="cs"/>
          <w:i/>
          <w:sz w:val="23"/>
          <w:szCs w:val="23"/>
          <w:rtl/>
        </w:rPr>
        <w:t xml:space="preserve">که </w:t>
      </w:r>
      <w:r w:rsidRPr="00A40DDC">
        <w:rPr>
          <w:i/>
          <w:sz w:val="23"/>
          <w:szCs w:val="23"/>
          <w:rtl/>
        </w:rPr>
        <w:t xml:space="preserve">رونوشتی از </w:t>
      </w:r>
      <w:r w:rsidRPr="00A40DDC">
        <w:rPr>
          <w:rFonts w:hint="cs"/>
          <w:i/>
          <w:sz w:val="23"/>
          <w:szCs w:val="23"/>
          <w:rtl/>
        </w:rPr>
        <w:t>معادله</w:t>
      </w:r>
      <w:r w:rsidRPr="00A40DDC">
        <w:rPr>
          <w:i/>
          <w:sz w:val="23"/>
          <w:szCs w:val="23"/>
          <w:rtl/>
        </w:rPr>
        <w:softHyphen/>
      </w:r>
      <w:r w:rsidRPr="00A40DDC">
        <w:rPr>
          <w:rFonts w:hint="cs"/>
          <w:i/>
          <w:sz w:val="23"/>
          <w:szCs w:val="23"/>
          <w:rtl/>
        </w:rPr>
        <w:t>ی (۷. ۱۴)</w:t>
      </w:r>
      <w:r w:rsidRPr="00A40DDC">
        <w:rPr>
          <w:i/>
          <w:sz w:val="23"/>
          <w:szCs w:val="23"/>
          <w:rtl/>
        </w:rPr>
        <w:t xml:space="preserve"> است. از </w:t>
      </w:r>
      <w:r w:rsidRPr="00A40DDC">
        <w:rPr>
          <w:rFonts w:hint="cs"/>
          <w:i/>
          <w:sz w:val="23"/>
          <w:szCs w:val="23"/>
          <w:rtl/>
        </w:rPr>
        <w:t>(۷. ۴۱)</w:t>
      </w:r>
      <w:r w:rsidRPr="00A40DDC">
        <w:rPr>
          <w:i/>
          <w:sz w:val="23"/>
          <w:szCs w:val="23"/>
          <w:rtl/>
        </w:rPr>
        <w:t xml:space="preserve"> خواهیم داشت:</w:t>
      </w:r>
    </w:p>
    <w:p w14:paraId="3D6003F7" w14:textId="77777777" w:rsidR="00411620" w:rsidRPr="00A40DDC" w:rsidRDefault="00411620" w:rsidP="00411620">
      <w:pPr>
        <w:pStyle w:val="MTDisplayEquation"/>
        <w:spacing w:line="216" w:lineRule="auto"/>
        <w:jc w:val="left"/>
        <w:rPr>
          <w:rFonts w:ascii="Times New Roman" w:eastAsiaTheme="minorEastAsia" w:hAnsi="Times New Roman" w:cs="B Nazanin"/>
          <w:i/>
          <w:sz w:val="23"/>
          <w:szCs w:val="23"/>
          <w:rtl/>
        </w:rPr>
      </w:pPr>
      <w:r w:rsidRPr="00A40DDC">
        <w:rPr>
          <w:position w:val="-10"/>
        </w:rPr>
        <w:object w:dxaOrig="1120" w:dyaOrig="340" w14:anchorId="76F9D20B">
          <v:shape id="_x0000_i3905" type="#_x0000_t75" style="width:56.25pt;height:16.95pt" o:ole="">
            <v:imagedata r:id="rId5799" o:title=""/>
          </v:shape>
          <o:OLEObject Type="Embed" ProgID="Equation.DSMT4" ShapeID="_x0000_i3905" DrawAspect="Content" ObjectID="_1791377849" r:id="rId5800"/>
        </w:object>
      </w:r>
    </w:p>
    <w:p w14:paraId="2784F4A5" w14:textId="77777777" w:rsidR="00411620" w:rsidRPr="00A40DDC" w:rsidRDefault="00411620" w:rsidP="00411620">
      <w:pPr>
        <w:tabs>
          <w:tab w:val="left" w:pos="3521"/>
        </w:tabs>
        <w:spacing w:line="216" w:lineRule="auto"/>
        <w:rPr>
          <w:rFonts w:eastAsiaTheme="minorEastAsia"/>
          <w:i/>
          <w:sz w:val="23"/>
          <w:szCs w:val="23"/>
        </w:rPr>
      </w:pPr>
      <w:r w:rsidRPr="00A40DDC">
        <w:rPr>
          <w:rFonts w:eastAsiaTheme="minorEastAsia"/>
          <w:i/>
          <w:sz w:val="23"/>
          <w:szCs w:val="23"/>
          <w:rtl/>
        </w:rPr>
        <w:t xml:space="preserve">یعنی </w:t>
      </w:r>
      <w:r w:rsidRPr="00A40DDC">
        <w:rPr>
          <w:rFonts w:eastAsiaTheme="minorEastAsia" w:hint="cs"/>
          <w:i/>
          <w:sz w:val="23"/>
          <w:szCs w:val="23"/>
          <w:rtl/>
        </w:rPr>
        <w:t>مخارج مصر</w:t>
      </w:r>
      <w:r w:rsidRPr="00A40DDC">
        <w:rPr>
          <w:rFonts w:eastAsiaTheme="minorEastAsia"/>
          <w:i/>
          <w:sz w:val="23"/>
          <w:szCs w:val="23"/>
          <w:rtl/>
        </w:rPr>
        <w:t>ف</w:t>
      </w:r>
      <w:r w:rsidRPr="00A40DDC">
        <w:rPr>
          <w:rFonts w:eastAsiaTheme="minorEastAsia" w:hint="cs"/>
          <w:i/>
          <w:sz w:val="23"/>
          <w:szCs w:val="23"/>
          <w:rtl/>
        </w:rPr>
        <w:t xml:space="preserve">ی کل برابر است با </w:t>
      </w:r>
      <w:r w:rsidRPr="00A40DDC">
        <w:rPr>
          <w:rFonts w:eastAsiaTheme="minorEastAsia"/>
          <w:i/>
          <w:sz w:val="23"/>
          <w:szCs w:val="23"/>
          <w:rtl/>
        </w:rPr>
        <w:t xml:space="preserve">درآمد دائمی ناشی از تولید </w:t>
      </w:r>
      <w:r w:rsidRPr="00A40DDC">
        <w:rPr>
          <w:rFonts w:eastAsiaTheme="minorEastAsia" w:hint="cs"/>
          <w:i/>
          <w:sz w:val="23"/>
          <w:szCs w:val="23"/>
          <w:rtl/>
        </w:rPr>
        <w:t>باضافه</w:t>
      </w:r>
      <w:r w:rsidRPr="00A40DDC">
        <w:rPr>
          <w:rFonts w:eastAsiaTheme="minorEastAsia"/>
          <w:i/>
          <w:sz w:val="23"/>
          <w:szCs w:val="23"/>
          <w:rtl/>
        </w:rPr>
        <w:softHyphen/>
      </w:r>
      <w:r w:rsidRPr="00A40DDC">
        <w:rPr>
          <w:rFonts w:eastAsiaTheme="minorEastAsia" w:hint="cs"/>
          <w:i/>
          <w:sz w:val="23"/>
          <w:szCs w:val="23"/>
          <w:rtl/>
        </w:rPr>
        <w:t>ی</w:t>
      </w:r>
      <w:r w:rsidRPr="00A40DDC">
        <w:rPr>
          <w:rFonts w:eastAsiaTheme="minorEastAsia"/>
          <w:i/>
          <w:sz w:val="23"/>
          <w:szCs w:val="23"/>
          <w:rtl/>
        </w:rPr>
        <w:t xml:space="preserve"> </w:t>
      </w:r>
      <w:r w:rsidRPr="00A40DDC">
        <w:rPr>
          <w:rFonts w:eastAsiaTheme="minorEastAsia" w:hint="cs"/>
          <w:i/>
          <w:sz w:val="23"/>
          <w:szCs w:val="23"/>
          <w:rtl/>
        </w:rPr>
        <w:t>خال</w:t>
      </w:r>
      <w:r w:rsidRPr="00A40DDC">
        <w:rPr>
          <w:rFonts w:eastAsiaTheme="minorEastAsia"/>
          <w:i/>
          <w:sz w:val="23"/>
          <w:szCs w:val="23"/>
          <w:rtl/>
        </w:rPr>
        <w:t xml:space="preserve">ص </w:t>
      </w:r>
      <w:r w:rsidRPr="00A40DDC">
        <w:rPr>
          <w:rFonts w:eastAsiaTheme="minorEastAsia" w:hint="cs"/>
          <w:i/>
          <w:sz w:val="23"/>
          <w:szCs w:val="23"/>
          <w:rtl/>
        </w:rPr>
        <w:t xml:space="preserve">درآمد </w:t>
      </w:r>
      <w:r w:rsidRPr="00A40DDC">
        <w:rPr>
          <w:rFonts w:eastAsiaTheme="minorEastAsia"/>
          <w:i/>
          <w:sz w:val="23"/>
          <w:szCs w:val="23"/>
          <w:rtl/>
        </w:rPr>
        <w:t>دارایی</w:t>
      </w:r>
      <w:r w:rsidRPr="00A40DDC">
        <w:rPr>
          <w:rFonts w:eastAsiaTheme="minorEastAsia" w:hint="cs"/>
          <w:i/>
          <w:sz w:val="23"/>
          <w:szCs w:val="23"/>
          <w:rtl/>
        </w:rPr>
        <w:t>‌</w:t>
      </w:r>
      <w:r w:rsidRPr="00A40DDC">
        <w:rPr>
          <w:rFonts w:eastAsiaTheme="minorEastAsia"/>
          <w:i/>
          <w:sz w:val="23"/>
          <w:szCs w:val="23"/>
          <w:rtl/>
        </w:rPr>
        <w:t>های خارجی.</w:t>
      </w:r>
    </w:p>
    <w:p w14:paraId="32AA3695" w14:textId="77777777" w:rsidR="00411620" w:rsidRPr="00A40DDC" w:rsidRDefault="00411620" w:rsidP="00411620">
      <w:pPr>
        <w:tabs>
          <w:tab w:val="left" w:pos="3521"/>
        </w:tabs>
        <w:spacing w:line="216" w:lineRule="auto"/>
        <w:rPr>
          <w:rFonts w:eastAsiaTheme="minorEastAsia"/>
          <w:i/>
          <w:sz w:val="23"/>
          <w:szCs w:val="23"/>
          <w:rtl/>
        </w:rPr>
      </w:pPr>
    </w:p>
    <w:p w14:paraId="46FCC766" w14:textId="77777777" w:rsidR="00411620" w:rsidRPr="00A40DDC" w:rsidRDefault="00411620" w:rsidP="00411620">
      <w:pPr>
        <w:pStyle w:val="Heading1"/>
        <w:spacing w:before="0" w:after="0" w:line="216" w:lineRule="auto"/>
        <w:rPr>
          <w:rFonts w:ascii="Times New Roman" w:eastAsiaTheme="minorEastAsia" w:hAnsi="Times New Roman" w:cs="B Nazanin"/>
          <w:b w:val="0"/>
          <w:i/>
          <w:sz w:val="23"/>
          <w:szCs w:val="23"/>
          <w:rtl/>
        </w:rPr>
      </w:pPr>
      <w:r w:rsidRPr="00A40DDC">
        <w:rPr>
          <w:rFonts w:ascii="Times New Roman" w:eastAsiaTheme="minorEastAsia" w:hAnsi="Times New Roman" w:cs="B Nazanin" w:hint="cs"/>
          <w:b w:val="0"/>
          <w:i/>
          <w:sz w:val="23"/>
          <w:szCs w:val="23"/>
          <w:rtl/>
        </w:rPr>
        <w:t>۷. ۶ پایداری ح</w:t>
      </w:r>
      <w:r w:rsidRPr="00A40DDC">
        <w:rPr>
          <w:rFonts w:ascii="Times New Roman" w:eastAsiaTheme="minorEastAsia" w:hAnsi="Times New Roman" w:cs="B Nazanin"/>
          <w:b w:val="0"/>
          <w:i/>
          <w:sz w:val="23"/>
          <w:szCs w:val="23"/>
          <w:rtl/>
        </w:rPr>
        <w:t xml:space="preserve">ساب جاری </w:t>
      </w:r>
    </w:p>
    <w:p w14:paraId="6A7A62A7"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t>قبلا</w:t>
      </w:r>
      <w:r w:rsidRPr="00A40DDC">
        <w:rPr>
          <w:rFonts w:eastAsiaTheme="minorEastAsia" w:hint="cs"/>
          <w:i/>
          <w:sz w:val="23"/>
          <w:szCs w:val="23"/>
          <w:rtl/>
        </w:rPr>
        <w:t xml:space="preserve">ً </w:t>
      </w:r>
      <w:r w:rsidRPr="00A40DDC">
        <w:rPr>
          <w:rFonts w:eastAsiaTheme="minorEastAsia"/>
          <w:i/>
          <w:sz w:val="23"/>
          <w:szCs w:val="23"/>
          <w:rtl/>
        </w:rPr>
        <w:t xml:space="preserve">حساب جاری و </w:t>
      </w:r>
      <w:r w:rsidRPr="00A40DDC">
        <w:rPr>
          <w:rFonts w:eastAsiaTheme="minorEastAsia" w:hint="cs"/>
          <w:i/>
          <w:sz w:val="23"/>
          <w:szCs w:val="23"/>
          <w:rtl/>
        </w:rPr>
        <w:t xml:space="preserve">مقدار </w:t>
      </w:r>
      <w:r w:rsidRPr="00A40DDC">
        <w:rPr>
          <w:rFonts w:eastAsiaTheme="minorEastAsia"/>
          <w:i/>
          <w:sz w:val="23"/>
          <w:szCs w:val="23"/>
          <w:rtl/>
        </w:rPr>
        <w:t>خالص دارایی</w:t>
      </w:r>
      <w:r w:rsidRPr="00A40DDC">
        <w:rPr>
          <w:rFonts w:eastAsiaTheme="minorEastAsia" w:hint="cs"/>
          <w:i/>
          <w:sz w:val="23"/>
          <w:szCs w:val="23"/>
          <w:rtl/>
        </w:rPr>
        <w:t>‌</w:t>
      </w:r>
      <w:r w:rsidRPr="00A40DDC">
        <w:rPr>
          <w:rFonts w:eastAsiaTheme="minorEastAsia"/>
          <w:i/>
          <w:sz w:val="23"/>
          <w:szCs w:val="23"/>
          <w:rtl/>
        </w:rPr>
        <w:t xml:space="preserve">های خارجی بلندمدت را بررسی کردیم و نتیجه گرفتیم که در </w:t>
      </w:r>
      <w:r w:rsidRPr="00A40DDC">
        <w:rPr>
          <w:rFonts w:eastAsiaTheme="minorEastAsia" w:hint="cs"/>
          <w:i/>
          <w:sz w:val="23"/>
          <w:szCs w:val="23"/>
          <w:rtl/>
        </w:rPr>
        <w:t xml:space="preserve">وضعیت یکنواخت </w:t>
      </w:r>
      <w:r w:rsidRPr="00A40DDC">
        <w:rPr>
          <w:rFonts w:eastAsiaTheme="minorEastAsia"/>
          <w:i/>
          <w:sz w:val="23"/>
          <w:szCs w:val="23"/>
          <w:rtl/>
        </w:rPr>
        <w:t xml:space="preserve">حساب جاری </w:t>
      </w:r>
      <w:r w:rsidRPr="00A40DDC">
        <w:rPr>
          <w:rFonts w:eastAsiaTheme="minorEastAsia" w:hint="cs"/>
          <w:i/>
          <w:sz w:val="23"/>
          <w:szCs w:val="23"/>
          <w:rtl/>
        </w:rPr>
        <w:t>بلندمدت متوازن است.</w:t>
      </w:r>
      <w:r w:rsidRPr="00A40DDC">
        <w:rPr>
          <w:rFonts w:eastAsiaTheme="minorEastAsia"/>
          <w:i/>
          <w:sz w:val="23"/>
          <w:szCs w:val="23"/>
          <w:rtl/>
        </w:rPr>
        <w:t xml:space="preserve"> ولی ممکن است </w:t>
      </w:r>
      <w:r w:rsidRPr="00A40DDC">
        <w:rPr>
          <w:rFonts w:eastAsiaTheme="minorEastAsia" w:hint="cs"/>
          <w:i/>
          <w:sz w:val="23"/>
          <w:szCs w:val="23"/>
          <w:rtl/>
        </w:rPr>
        <w:t xml:space="preserve">کشوری </w:t>
      </w:r>
      <w:r w:rsidRPr="00A40DDC">
        <w:rPr>
          <w:rFonts w:eastAsiaTheme="minorEastAsia"/>
          <w:i/>
          <w:sz w:val="23"/>
          <w:szCs w:val="23"/>
          <w:rtl/>
        </w:rPr>
        <w:t xml:space="preserve">کسری تجاری دائمی داشته </w:t>
      </w:r>
      <w:r w:rsidRPr="00A40DDC">
        <w:rPr>
          <w:rFonts w:eastAsiaTheme="minorEastAsia" w:hint="cs"/>
          <w:i/>
          <w:sz w:val="23"/>
          <w:szCs w:val="23"/>
          <w:rtl/>
        </w:rPr>
        <w:t>باشد که ا</w:t>
      </w:r>
      <w:r w:rsidRPr="00A40DDC">
        <w:rPr>
          <w:rFonts w:eastAsiaTheme="minorEastAsia"/>
          <w:i/>
          <w:sz w:val="23"/>
          <w:szCs w:val="23"/>
          <w:rtl/>
        </w:rPr>
        <w:t>ندازه</w:t>
      </w:r>
      <w:r w:rsidRPr="00A40DDC">
        <w:rPr>
          <w:rFonts w:eastAsiaTheme="minorEastAsia"/>
          <w:i/>
          <w:sz w:val="23"/>
          <w:szCs w:val="23"/>
          <w:rtl/>
        </w:rPr>
        <w:softHyphen/>
      </w:r>
      <w:r w:rsidRPr="00A40DDC">
        <w:rPr>
          <w:rFonts w:eastAsiaTheme="minorEastAsia" w:hint="cs"/>
          <w:i/>
          <w:sz w:val="23"/>
          <w:szCs w:val="23"/>
          <w:rtl/>
        </w:rPr>
        <w:t>ی</w:t>
      </w:r>
      <w:r w:rsidRPr="00A40DDC">
        <w:rPr>
          <w:rFonts w:eastAsiaTheme="minorEastAsia"/>
          <w:i/>
          <w:sz w:val="23"/>
          <w:szCs w:val="23"/>
          <w:rtl/>
        </w:rPr>
        <w:t xml:space="preserve"> آن </w:t>
      </w:r>
      <w:r w:rsidRPr="00A40DDC">
        <w:rPr>
          <w:rFonts w:eastAsiaTheme="minorEastAsia" w:hint="cs"/>
          <w:i/>
          <w:sz w:val="23"/>
          <w:szCs w:val="23"/>
          <w:rtl/>
        </w:rPr>
        <w:t xml:space="preserve">نیز </w:t>
      </w:r>
      <w:r w:rsidRPr="00A40DDC">
        <w:rPr>
          <w:rFonts w:eastAsiaTheme="minorEastAsia"/>
          <w:i/>
          <w:sz w:val="23"/>
          <w:szCs w:val="23"/>
          <w:rtl/>
        </w:rPr>
        <w:t xml:space="preserve">به </w:t>
      </w:r>
      <w:r w:rsidRPr="00A40DDC">
        <w:rPr>
          <w:rFonts w:eastAsiaTheme="minorEastAsia" w:hint="cs"/>
          <w:i/>
          <w:sz w:val="23"/>
          <w:szCs w:val="23"/>
          <w:rtl/>
        </w:rPr>
        <w:t xml:space="preserve">درآمد </w:t>
      </w:r>
      <w:r w:rsidRPr="00A40DDC">
        <w:rPr>
          <w:rFonts w:eastAsiaTheme="minorEastAsia"/>
          <w:i/>
          <w:sz w:val="23"/>
          <w:szCs w:val="23"/>
          <w:rtl/>
        </w:rPr>
        <w:t>بهره</w:t>
      </w:r>
      <w:r w:rsidRPr="00A40DDC">
        <w:rPr>
          <w:rFonts w:eastAsiaTheme="minorEastAsia"/>
          <w:i/>
          <w:sz w:val="23"/>
          <w:szCs w:val="23"/>
          <w:rtl/>
        </w:rPr>
        <w:softHyphen/>
      </w:r>
      <w:r w:rsidRPr="00A40DDC">
        <w:rPr>
          <w:rFonts w:eastAsiaTheme="minorEastAsia" w:hint="cs"/>
          <w:i/>
          <w:sz w:val="23"/>
          <w:szCs w:val="23"/>
          <w:rtl/>
        </w:rPr>
        <w:t>ی</w:t>
      </w:r>
      <w:r w:rsidRPr="00A40DDC">
        <w:rPr>
          <w:rFonts w:eastAsiaTheme="minorEastAsia"/>
          <w:i/>
          <w:sz w:val="23"/>
          <w:szCs w:val="23"/>
          <w:rtl/>
        </w:rPr>
        <w:t xml:space="preserve"> دارایی</w:t>
      </w:r>
      <w:r w:rsidRPr="00A40DDC">
        <w:rPr>
          <w:rFonts w:eastAsiaTheme="minorEastAsia" w:hint="cs"/>
          <w:i/>
          <w:sz w:val="23"/>
          <w:szCs w:val="23"/>
          <w:rtl/>
        </w:rPr>
        <w:t>‌</w:t>
      </w:r>
      <w:r w:rsidRPr="00A40DDC">
        <w:rPr>
          <w:rFonts w:eastAsiaTheme="minorEastAsia"/>
          <w:i/>
          <w:sz w:val="23"/>
          <w:szCs w:val="23"/>
          <w:rtl/>
        </w:rPr>
        <w:t>های خارجی وابسته است</w:t>
      </w:r>
      <w:r w:rsidRPr="00A40DDC">
        <w:rPr>
          <w:rFonts w:eastAsiaTheme="minorEastAsia" w:hint="cs"/>
          <w:i/>
          <w:sz w:val="23"/>
          <w:szCs w:val="23"/>
          <w:rtl/>
        </w:rPr>
        <w:t>.</w:t>
      </w:r>
      <w:r w:rsidRPr="00A40DDC">
        <w:rPr>
          <w:rFonts w:eastAsiaTheme="minorEastAsia"/>
          <w:i/>
          <w:sz w:val="23"/>
          <w:szCs w:val="23"/>
          <w:rtl/>
        </w:rPr>
        <w:t xml:space="preserve"> نتیجه این</w:t>
      </w:r>
      <w:r w:rsidRPr="00A40DDC">
        <w:rPr>
          <w:rFonts w:eastAsiaTheme="minorEastAsia"/>
          <w:i/>
          <w:sz w:val="23"/>
          <w:szCs w:val="23"/>
          <w:rtl/>
        </w:rPr>
        <w:softHyphen/>
        <w:t xml:space="preserve">که </w:t>
      </w:r>
      <w:r w:rsidRPr="00A40DDC">
        <w:rPr>
          <w:rFonts w:eastAsiaTheme="minorEastAsia" w:hint="cs"/>
          <w:i/>
          <w:sz w:val="23"/>
          <w:szCs w:val="23"/>
          <w:rtl/>
        </w:rPr>
        <w:lastRenderedPageBreak/>
        <w:t xml:space="preserve">موازنه‌ی </w:t>
      </w:r>
      <w:r w:rsidRPr="00A40DDC">
        <w:rPr>
          <w:rFonts w:eastAsiaTheme="minorEastAsia"/>
          <w:i/>
          <w:sz w:val="23"/>
          <w:szCs w:val="23"/>
          <w:rtl/>
        </w:rPr>
        <w:t xml:space="preserve">دائمی </w:t>
      </w:r>
      <w:r w:rsidRPr="00A40DDC">
        <w:rPr>
          <w:rFonts w:eastAsiaTheme="minorEastAsia" w:hint="cs"/>
          <w:i/>
          <w:sz w:val="23"/>
          <w:szCs w:val="23"/>
          <w:rtl/>
        </w:rPr>
        <w:t xml:space="preserve">حساب جاری </w:t>
      </w:r>
      <w:r w:rsidRPr="00A40DDC">
        <w:rPr>
          <w:rFonts w:eastAsiaTheme="minorEastAsia"/>
          <w:i/>
          <w:sz w:val="23"/>
          <w:szCs w:val="23"/>
          <w:rtl/>
        </w:rPr>
        <w:t>یک حالت پایدار است</w:t>
      </w:r>
      <w:r w:rsidRPr="00A40DDC">
        <w:rPr>
          <w:rFonts w:eastAsiaTheme="minorEastAsia" w:hint="cs"/>
          <w:i/>
          <w:sz w:val="23"/>
          <w:szCs w:val="23"/>
          <w:rtl/>
        </w:rPr>
        <w:t>.</w:t>
      </w:r>
      <w:r w:rsidRPr="00A40DDC">
        <w:rPr>
          <w:rFonts w:eastAsiaTheme="minorEastAsia"/>
          <w:i/>
          <w:sz w:val="23"/>
          <w:szCs w:val="23"/>
          <w:rtl/>
        </w:rPr>
        <w:t xml:space="preserve"> در عمل </w:t>
      </w:r>
      <w:r w:rsidRPr="00A40DDC">
        <w:rPr>
          <w:rFonts w:eastAsiaTheme="minorEastAsia" w:hint="cs"/>
          <w:i/>
          <w:sz w:val="23"/>
          <w:szCs w:val="23"/>
          <w:rtl/>
        </w:rPr>
        <w:t xml:space="preserve">وضعیت </w:t>
      </w:r>
      <w:r w:rsidRPr="00A40DDC">
        <w:rPr>
          <w:rFonts w:eastAsiaTheme="minorEastAsia"/>
          <w:i/>
          <w:sz w:val="23"/>
          <w:szCs w:val="23"/>
          <w:rtl/>
        </w:rPr>
        <w:t>حساب جاری در ط</w:t>
      </w:r>
      <w:r w:rsidRPr="00A40DDC">
        <w:rPr>
          <w:rFonts w:eastAsiaTheme="minorEastAsia" w:hint="cs"/>
          <w:i/>
          <w:sz w:val="23"/>
          <w:szCs w:val="23"/>
          <w:rtl/>
        </w:rPr>
        <w:t>ی</w:t>
      </w:r>
      <w:r w:rsidRPr="00A40DDC">
        <w:rPr>
          <w:rFonts w:eastAsiaTheme="minorEastAsia"/>
          <w:i/>
          <w:sz w:val="23"/>
          <w:szCs w:val="23"/>
          <w:rtl/>
        </w:rPr>
        <w:t xml:space="preserve"> زمان تغییر می</w:t>
      </w:r>
      <w:r w:rsidRPr="00A40DDC">
        <w:rPr>
          <w:rFonts w:eastAsiaTheme="minorEastAsia" w:hint="cs"/>
          <w:i/>
          <w:sz w:val="23"/>
          <w:szCs w:val="23"/>
          <w:rtl/>
        </w:rPr>
        <w:t>‌</w:t>
      </w:r>
      <w:r w:rsidRPr="00A40DDC">
        <w:rPr>
          <w:rFonts w:eastAsiaTheme="minorEastAsia"/>
          <w:i/>
          <w:sz w:val="23"/>
          <w:szCs w:val="23"/>
          <w:rtl/>
        </w:rPr>
        <w:t>کند</w:t>
      </w:r>
      <w:r w:rsidRPr="00A40DDC">
        <w:rPr>
          <w:rFonts w:eastAsiaTheme="minorEastAsia" w:hint="cs"/>
          <w:i/>
          <w:sz w:val="23"/>
          <w:szCs w:val="23"/>
          <w:rtl/>
        </w:rPr>
        <w:t xml:space="preserve"> و</w:t>
      </w:r>
      <w:r w:rsidRPr="00A40DDC">
        <w:rPr>
          <w:rFonts w:eastAsiaTheme="minorEastAsia"/>
          <w:i/>
          <w:sz w:val="23"/>
          <w:szCs w:val="23"/>
          <w:rtl/>
        </w:rPr>
        <w:t xml:space="preserve"> ممکن است مازاد یا کسری داشته باشد. لذا این سوال مطرح </w:t>
      </w:r>
      <w:r w:rsidRPr="00A40DDC">
        <w:rPr>
          <w:rFonts w:eastAsiaTheme="minorEastAsia" w:hint="cs"/>
          <w:i/>
          <w:sz w:val="23"/>
          <w:szCs w:val="23"/>
          <w:rtl/>
        </w:rPr>
        <w:t>می</w:t>
      </w:r>
      <w:r w:rsidRPr="00A40DDC">
        <w:rPr>
          <w:rFonts w:eastAsiaTheme="minorEastAsia"/>
          <w:i/>
          <w:sz w:val="23"/>
          <w:szCs w:val="23"/>
          <w:rtl/>
        </w:rPr>
        <w:softHyphen/>
      </w:r>
      <w:r w:rsidRPr="00A40DDC">
        <w:rPr>
          <w:rFonts w:eastAsiaTheme="minorEastAsia" w:hint="cs"/>
          <w:i/>
          <w:sz w:val="23"/>
          <w:szCs w:val="23"/>
          <w:rtl/>
        </w:rPr>
        <w:t>شود</w:t>
      </w:r>
      <w:r w:rsidRPr="00A40DDC">
        <w:rPr>
          <w:rFonts w:eastAsiaTheme="minorEastAsia"/>
          <w:i/>
          <w:sz w:val="23"/>
          <w:szCs w:val="23"/>
          <w:rtl/>
        </w:rPr>
        <w:t xml:space="preserve"> که آیا </w:t>
      </w:r>
      <w:r w:rsidRPr="00A40DDC">
        <w:rPr>
          <w:rFonts w:eastAsiaTheme="minorEastAsia" w:hint="cs"/>
          <w:i/>
          <w:sz w:val="23"/>
          <w:szCs w:val="23"/>
          <w:rtl/>
        </w:rPr>
        <w:t>حساب جاری آتی انت</w:t>
      </w:r>
      <w:r w:rsidRPr="00A40DDC">
        <w:rPr>
          <w:rFonts w:eastAsiaTheme="minorEastAsia"/>
          <w:i/>
          <w:sz w:val="23"/>
          <w:szCs w:val="23"/>
          <w:rtl/>
        </w:rPr>
        <w:t>ظاری پایدار است</w:t>
      </w:r>
      <w:r w:rsidRPr="00A40DDC">
        <w:rPr>
          <w:rFonts w:eastAsiaTheme="minorEastAsia" w:hint="cs"/>
          <w:i/>
          <w:sz w:val="23"/>
          <w:szCs w:val="23"/>
          <w:rtl/>
        </w:rPr>
        <w:t xml:space="preserve"> یا خیر؟ در پاسخ به این سئوال </w:t>
      </w:r>
      <w:r w:rsidRPr="00A40DDC">
        <w:rPr>
          <w:rFonts w:eastAsiaTheme="minorEastAsia"/>
          <w:i/>
          <w:sz w:val="23"/>
          <w:szCs w:val="23"/>
          <w:rtl/>
        </w:rPr>
        <w:t xml:space="preserve">دو </w:t>
      </w:r>
      <w:r w:rsidRPr="00A40DDC">
        <w:rPr>
          <w:rFonts w:eastAsiaTheme="minorEastAsia" w:hint="cs"/>
          <w:i/>
          <w:sz w:val="23"/>
          <w:szCs w:val="23"/>
          <w:rtl/>
        </w:rPr>
        <w:t xml:space="preserve">حالت را </w:t>
      </w:r>
      <w:r w:rsidRPr="00A40DDC">
        <w:rPr>
          <w:rFonts w:eastAsiaTheme="minorEastAsia"/>
          <w:i/>
          <w:sz w:val="23"/>
          <w:szCs w:val="23"/>
          <w:rtl/>
        </w:rPr>
        <w:t>بررسی می</w:t>
      </w:r>
      <w:r w:rsidRPr="00A40DDC">
        <w:rPr>
          <w:rFonts w:eastAsiaTheme="minorEastAsia"/>
          <w:i/>
          <w:sz w:val="23"/>
          <w:szCs w:val="23"/>
          <w:rtl/>
        </w:rPr>
        <w:softHyphen/>
      </w:r>
      <w:r w:rsidRPr="00A40DDC">
        <w:rPr>
          <w:rFonts w:eastAsiaTheme="minorEastAsia" w:hint="cs"/>
          <w:i/>
          <w:sz w:val="23"/>
          <w:szCs w:val="23"/>
          <w:rtl/>
        </w:rPr>
        <w:t xml:space="preserve">کنیم. ابتدا </w:t>
      </w:r>
      <w:r w:rsidRPr="00A40DDC">
        <w:rPr>
          <w:rFonts w:eastAsiaTheme="minorEastAsia"/>
          <w:i/>
          <w:sz w:val="23"/>
          <w:szCs w:val="23"/>
          <w:rtl/>
        </w:rPr>
        <w:t>نشان می</w:t>
      </w:r>
      <w:r w:rsidRPr="00A40DDC">
        <w:rPr>
          <w:rFonts w:eastAsiaTheme="minorEastAsia" w:hint="cs"/>
          <w:i/>
          <w:sz w:val="23"/>
          <w:szCs w:val="23"/>
          <w:rtl/>
        </w:rPr>
        <w:t>‌</w:t>
      </w:r>
      <w:r w:rsidRPr="00A40DDC">
        <w:rPr>
          <w:rFonts w:eastAsiaTheme="minorEastAsia"/>
          <w:i/>
          <w:sz w:val="23"/>
          <w:szCs w:val="23"/>
          <w:rtl/>
        </w:rPr>
        <w:t xml:space="preserve">دهیم </w:t>
      </w:r>
      <w:r w:rsidRPr="00A40DDC">
        <w:rPr>
          <w:rFonts w:eastAsiaTheme="minorEastAsia" w:hint="cs"/>
          <w:i/>
          <w:sz w:val="23"/>
          <w:szCs w:val="23"/>
          <w:rtl/>
        </w:rPr>
        <w:t xml:space="preserve">که </w:t>
      </w:r>
      <w:r w:rsidRPr="00A40DDC">
        <w:rPr>
          <w:rFonts w:eastAsiaTheme="minorEastAsia"/>
          <w:i/>
          <w:sz w:val="23"/>
          <w:szCs w:val="23"/>
          <w:rtl/>
        </w:rPr>
        <w:t xml:space="preserve">چگونه تحلیل قبلی در خصوص پایداری </w:t>
      </w:r>
      <w:r w:rsidRPr="00A40DDC">
        <w:rPr>
          <w:rFonts w:eastAsiaTheme="minorEastAsia" w:hint="cs"/>
          <w:i/>
          <w:sz w:val="23"/>
          <w:szCs w:val="23"/>
          <w:rtl/>
        </w:rPr>
        <w:t>وضعیت مالی</w:t>
      </w:r>
      <w:r w:rsidRPr="00A40DDC">
        <w:rPr>
          <w:rFonts w:eastAsiaTheme="minorEastAsia"/>
          <w:i/>
          <w:sz w:val="23"/>
          <w:szCs w:val="23"/>
          <w:rtl/>
        </w:rPr>
        <w:t xml:space="preserve"> ممکن است در خصوص </w:t>
      </w:r>
      <w:r w:rsidRPr="00A40DDC">
        <w:rPr>
          <w:rFonts w:eastAsiaTheme="minorEastAsia" w:hint="cs"/>
          <w:i/>
          <w:sz w:val="23"/>
          <w:szCs w:val="23"/>
          <w:rtl/>
        </w:rPr>
        <w:t>حساب جاری</w:t>
      </w:r>
      <w:r w:rsidRPr="00A40DDC">
        <w:rPr>
          <w:rFonts w:eastAsiaTheme="minorEastAsia"/>
          <w:i/>
          <w:sz w:val="23"/>
          <w:szCs w:val="23"/>
          <w:rtl/>
        </w:rPr>
        <w:t xml:space="preserve"> بکار گرفته شود.</w:t>
      </w:r>
      <w:r w:rsidRPr="00A40DDC">
        <w:rPr>
          <w:rFonts w:eastAsiaTheme="minorEastAsia" w:hint="cs"/>
          <w:i/>
          <w:sz w:val="23"/>
          <w:szCs w:val="23"/>
          <w:rtl/>
        </w:rPr>
        <w:t xml:space="preserve"> و سپس</w:t>
      </w:r>
      <w:r w:rsidRPr="00A40DDC">
        <w:rPr>
          <w:rFonts w:eastAsiaTheme="minorEastAsia"/>
          <w:i/>
          <w:sz w:val="23"/>
          <w:szCs w:val="23"/>
          <w:rtl/>
        </w:rPr>
        <w:t xml:space="preserve"> </w:t>
      </w:r>
      <w:r w:rsidRPr="00A40DDC">
        <w:rPr>
          <w:rFonts w:eastAsiaTheme="minorEastAsia" w:hint="cs"/>
          <w:i/>
          <w:sz w:val="23"/>
          <w:szCs w:val="23"/>
          <w:rtl/>
        </w:rPr>
        <w:t>رویکرد</w:t>
      </w:r>
      <w:r w:rsidRPr="00A40DDC">
        <w:rPr>
          <w:rFonts w:eastAsiaTheme="minorEastAsia"/>
          <w:i/>
          <w:sz w:val="23"/>
          <w:szCs w:val="23"/>
          <w:rtl/>
        </w:rPr>
        <w:t xml:space="preserve"> </w:t>
      </w:r>
      <w:r w:rsidRPr="00A40DDC">
        <w:rPr>
          <w:rFonts w:eastAsiaTheme="minorEastAsia" w:hint="cs"/>
          <w:i/>
          <w:sz w:val="23"/>
          <w:szCs w:val="23"/>
          <w:rtl/>
        </w:rPr>
        <w:t xml:space="preserve">حساب جاری </w:t>
      </w:r>
      <w:r w:rsidRPr="00A40DDC">
        <w:rPr>
          <w:rFonts w:eastAsiaTheme="minorEastAsia"/>
          <w:i/>
          <w:sz w:val="23"/>
          <w:szCs w:val="23"/>
          <w:rtl/>
        </w:rPr>
        <w:t>بین</w:t>
      </w:r>
      <w:r w:rsidRPr="00A40DDC">
        <w:rPr>
          <w:rFonts w:eastAsiaTheme="minorEastAsia"/>
          <w:i/>
          <w:sz w:val="23"/>
          <w:szCs w:val="23"/>
          <w:rtl/>
        </w:rPr>
        <w:softHyphen/>
        <w:t>دوره</w:t>
      </w:r>
      <w:r w:rsidRPr="00A40DDC">
        <w:rPr>
          <w:rFonts w:eastAsiaTheme="minorEastAsia"/>
          <w:i/>
          <w:sz w:val="23"/>
          <w:szCs w:val="23"/>
          <w:rtl/>
        </w:rPr>
        <w:softHyphen/>
        <w:t>ای را مورد بررسی قرار می</w:t>
      </w:r>
      <w:r w:rsidRPr="00A40DDC">
        <w:rPr>
          <w:rFonts w:eastAsiaTheme="minorEastAsia" w:hint="cs"/>
          <w:i/>
          <w:sz w:val="23"/>
          <w:szCs w:val="23"/>
          <w:rtl/>
        </w:rPr>
        <w:t>‌</w:t>
      </w:r>
      <w:r w:rsidRPr="00A40DDC">
        <w:rPr>
          <w:rFonts w:eastAsiaTheme="minorEastAsia"/>
          <w:i/>
          <w:sz w:val="23"/>
          <w:szCs w:val="23"/>
          <w:rtl/>
        </w:rPr>
        <w:t>دهیم که در آن تصمیمات بهینه</w:t>
      </w:r>
      <w:r w:rsidRPr="00A40DDC">
        <w:rPr>
          <w:rFonts w:eastAsiaTheme="minorEastAsia"/>
          <w:i/>
          <w:sz w:val="23"/>
          <w:szCs w:val="23"/>
          <w:rtl/>
        </w:rPr>
        <w:softHyphen/>
      </w:r>
      <w:r w:rsidRPr="00A40DDC">
        <w:rPr>
          <w:rFonts w:eastAsiaTheme="minorEastAsia" w:hint="cs"/>
          <w:i/>
          <w:sz w:val="23"/>
          <w:szCs w:val="23"/>
          <w:rtl/>
        </w:rPr>
        <w:t>ی</w:t>
      </w:r>
      <w:r w:rsidRPr="00A40DDC">
        <w:rPr>
          <w:rFonts w:eastAsiaTheme="minorEastAsia"/>
          <w:i/>
          <w:sz w:val="23"/>
          <w:szCs w:val="23"/>
          <w:rtl/>
        </w:rPr>
        <w:t xml:space="preserve"> مصرف و پس</w:t>
      </w:r>
      <w:r w:rsidRPr="00A40DDC">
        <w:rPr>
          <w:rFonts w:eastAsiaTheme="minorEastAsia"/>
          <w:i/>
          <w:sz w:val="23"/>
          <w:szCs w:val="23"/>
          <w:rtl/>
        </w:rPr>
        <w:softHyphen/>
        <w:t xml:space="preserve">انداز </w:t>
      </w:r>
      <w:r w:rsidRPr="00A40DDC">
        <w:rPr>
          <w:rFonts w:eastAsiaTheme="minorEastAsia" w:hint="cs"/>
          <w:i/>
          <w:sz w:val="23"/>
          <w:szCs w:val="23"/>
          <w:rtl/>
        </w:rPr>
        <w:t xml:space="preserve">خانوار </w:t>
      </w:r>
      <w:r w:rsidRPr="00A40DDC">
        <w:rPr>
          <w:rFonts w:eastAsiaTheme="minorEastAsia"/>
          <w:i/>
          <w:sz w:val="23"/>
          <w:szCs w:val="23"/>
          <w:rtl/>
        </w:rPr>
        <w:t>در مدل تعادل عمومی پویا بررسی می</w:t>
      </w:r>
      <w:r w:rsidRPr="00A40DDC">
        <w:rPr>
          <w:rFonts w:eastAsiaTheme="minorEastAsia" w:hint="cs"/>
          <w:i/>
          <w:sz w:val="23"/>
          <w:szCs w:val="23"/>
          <w:rtl/>
        </w:rPr>
        <w:t>‌</w:t>
      </w:r>
      <w:r w:rsidRPr="00A40DDC">
        <w:rPr>
          <w:rFonts w:eastAsiaTheme="minorEastAsia"/>
          <w:i/>
          <w:sz w:val="23"/>
          <w:szCs w:val="23"/>
          <w:rtl/>
        </w:rPr>
        <w:t>شود.</w:t>
      </w:r>
    </w:p>
    <w:p w14:paraId="74278F42" w14:textId="77777777" w:rsidR="00411620" w:rsidRPr="00A40DDC" w:rsidRDefault="00411620" w:rsidP="00411620">
      <w:pPr>
        <w:tabs>
          <w:tab w:val="left" w:pos="3521"/>
        </w:tabs>
        <w:spacing w:line="216" w:lineRule="auto"/>
        <w:rPr>
          <w:rFonts w:eastAsiaTheme="minorEastAsia"/>
          <w:i/>
          <w:sz w:val="23"/>
          <w:szCs w:val="23"/>
          <w:rtl/>
        </w:rPr>
      </w:pPr>
    </w:p>
    <w:p w14:paraId="2CAFDB14" w14:textId="77777777" w:rsidR="00411620" w:rsidRPr="00A40DDC" w:rsidRDefault="00411620" w:rsidP="00411620">
      <w:pPr>
        <w:pStyle w:val="Heading2"/>
        <w:spacing w:before="0" w:line="216" w:lineRule="auto"/>
        <w:rPr>
          <w:rFonts w:ascii="Times New Roman" w:eastAsiaTheme="minorEastAsia" w:hAnsi="Times New Roman" w:cs="B Nazanin"/>
          <w:b w:val="0"/>
          <w:i/>
          <w:iCs/>
          <w:color w:val="auto"/>
          <w:sz w:val="23"/>
          <w:szCs w:val="23"/>
          <w:rtl/>
        </w:rPr>
      </w:pPr>
      <w:r w:rsidRPr="00A40DDC">
        <w:rPr>
          <w:rFonts w:ascii="Times New Roman" w:eastAsiaTheme="minorEastAsia" w:hAnsi="Times New Roman" w:cs="B Nazanin" w:hint="cs"/>
          <w:b w:val="0"/>
          <w:i/>
          <w:color w:val="auto"/>
          <w:sz w:val="23"/>
          <w:szCs w:val="23"/>
          <w:rtl/>
        </w:rPr>
        <w:t xml:space="preserve">۷. ۶. ۱ </w:t>
      </w:r>
      <w:r w:rsidRPr="00A40DDC">
        <w:rPr>
          <w:rFonts w:ascii="Times New Roman" w:eastAsiaTheme="minorEastAsia" w:hAnsi="Times New Roman" w:cs="B Nazanin"/>
          <w:b w:val="0"/>
          <w:i/>
          <w:color w:val="auto"/>
          <w:sz w:val="23"/>
          <w:szCs w:val="23"/>
          <w:rtl/>
        </w:rPr>
        <w:t xml:space="preserve">پایداری </w:t>
      </w:r>
      <w:r w:rsidRPr="00A40DDC">
        <w:rPr>
          <w:rFonts w:ascii="Times New Roman" w:eastAsiaTheme="minorEastAsia" w:hAnsi="Times New Roman" w:cs="B Nazanin" w:hint="cs"/>
          <w:b w:val="0"/>
          <w:i/>
          <w:color w:val="auto"/>
          <w:sz w:val="23"/>
          <w:szCs w:val="23"/>
          <w:rtl/>
        </w:rPr>
        <w:t>ترازپرداخت‌ها</w:t>
      </w:r>
    </w:p>
    <w:p w14:paraId="71744ABB"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hint="cs"/>
          <w:i/>
          <w:sz w:val="23"/>
          <w:szCs w:val="23"/>
          <w:rtl/>
        </w:rPr>
        <w:t xml:space="preserve">ترازپرداخت‌های </w:t>
      </w:r>
      <w:r w:rsidRPr="00A40DDC">
        <w:rPr>
          <w:rFonts w:eastAsiaTheme="minorEastAsia"/>
          <w:i/>
          <w:sz w:val="23"/>
          <w:szCs w:val="23"/>
          <w:rtl/>
        </w:rPr>
        <w:t>اسم</w:t>
      </w:r>
      <w:r w:rsidRPr="00A40DDC">
        <w:rPr>
          <w:rFonts w:eastAsiaTheme="minorEastAsia" w:hint="cs"/>
          <w:i/>
          <w:sz w:val="23"/>
          <w:szCs w:val="23"/>
          <w:rtl/>
        </w:rPr>
        <w:t>ی رابطه</w:t>
      </w:r>
      <w:r w:rsidRPr="00A40DDC">
        <w:rPr>
          <w:rFonts w:eastAsiaTheme="minorEastAsia"/>
          <w:i/>
          <w:sz w:val="23"/>
          <w:szCs w:val="23"/>
          <w:rtl/>
        </w:rPr>
        <w:softHyphen/>
      </w:r>
      <w:r w:rsidRPr="00A40DDC">
        <w:rPr>
          <w:rFonts w:eastAsiaTheme="minorEastAsia" w:hint="cs"/>
          <w:i/>
          <w:sz w:val="23"/>
          <w:szCs w:val="23"/>
          <w:rtl/>
        </w:rPr>
        <w:t>ی (۷. ۲) برابر بود با؛</w:t>
      </w:r>
    </w:p>
    <w:p w14:paraId="1563D82E" w14:textId="77777777" w:rsidR="00411620" w:rsidRPr="00A40DDC" w:rsidRDefault="00411620" w:rsidP="00411620">
      <w:pPr>
        <w:pStyle w:val="MTDisplayEquation"/>
        <w:spacing w:line="216" w:lineRule="auto"/>
        <w:rPr>
          <w:rFonts w:ascii="Times New Roman" w:hAnsi="Times New Roman" w:cs="B Nazanin"/>
          <w:i/>
          <w:sz w:val="23"/>
          <w:szCs w:val="23"/>
          <w:rtl/>
        </w:rPr>
      </w:pPr>
      <w:r w:rsidRPr="00A40DDC">
        <w:rPr>
          <w:position w:val="-10"/>
        </w:rPr>
        <w:object w:dxaOrig="5200" w:dyaOrig="340" w14:anchorId="68FBD84B">
          <v:shape id="_x0000_i3906" type="#_x0000_t75" style="width:260.15pt;height:16.95pt" o:ole="">
            <v:imagedata r:id="rId5801" o:title=""/>
          </v:shape>
          <o:OLEObject Type="Embed" ProgID="Equation.DSMT4" ShapeID="_x0000_i3906" DrawAspect="Content" ObjectID="_1791377850" r:id="rId5802"/>
        </w:object>
      </w:r>
    </w:p>
    <w:p w14:paraId="32691416" w14:textId="77777777" w:rsidR="00411620" w:rsidRPr="00A40DDC" w:rsidRDefault="00411620" w:rsidP="00411620">
      <w:pPr>
        <w:tabs>
          <w:tab w:val="left" w:pos="3521"/>
        </w:tabs>
        <w:spacing w:line="216" w:lineRule="auto"/>
        <w:rPr>
          <w:i/>
          <w:sz w:val="23"/>
          <w:szCs w:val="23"/>
          <w:rtl/>
        </w:rPr>
      </w:pPr>
      <w:r w:rsidRPr="00A40DDC">
        <w:rPr>
          <w:i/>
          <w:sz w:val="23"/>
          <w:szCs w:val="23"/>
          <w:rtl/>
        </w:rPr>
        <w:t>که در آن</w:t>
      </w:r>
      <w:r w:rsidRPr="00A40DDC">
        <w:rPr>
          <w:position w:val="-10"/>
        </w:rPr>
        <w:object w:dxaOrig="240" w:dyaOrig="320" w14:anchorId="20A5AF75">
          <v:shape id="_x0000_i3907" type="#_x0000_t75" style="width:11.5pt;height:15.75pt" o:ole="">
            <v:imagedata r:id="rId5803" o:title=""/>
          </v:shape>
          <o:OLEObject Type="Embed" ProgID="Equation.DSMT4" ShapeID="_x0000_i3907" DrawAspect="Content" ObjectID="_1791377851" r:id="rId5804"/>
        </w:object>
      </w:r>
      <w:r w:rsidRPr="00A40DDC">
        <w:rPr>
          <w:i/>
          <w:sz w:val="23"/>
          <w:szCs w:val="23"/>
          <w:rtl/>
        </w:rPr>
        <w:t xml:space="preserve"> صادرات</w:t>
      </w:r>
      <w:r w:rsidRPr="00A40DDC">
        <w:rPr>
          <w:rFonts w:hint="cs"/>
          <w:i/>
          <w:sz w:val="23"/>
          <w:szCs w:val="23"/>
          <w:rtl/>
        </w:rPr>
        <w:t>،</w:t>
      </w:r>
      <w:r w:rsidRPr="00A40DDC">
        <w:rPr>
          <w:position w:val="-10"/>
        </w:rPr>
        <w:object w:dxaOrig="300" w:dyaOrig="340" w14:anchorId="0F48D8CC">
          <v:shape id="_x0000_i3908" type="#_x0000_t75" style="width:14.5pt;height:16.95pt" o:ole="">
            <v:imagedata r:id="rId5805" o:title=""/>
          </v:shape>
          <o:OLEObject Type="Embed" ProgID="Equation.DSMT4" ShapeID="_x0000_i3908" DrawAspect="Content" ObjectID="_1791377852" r:id="rId5806"/>
        </w:object>
      </w:r>
      <w:r w:rsidRPr="00A40DDC">
        <w:rPr>
          <w:i/>
          <w:sz w:val="23"/>
          <w:szCs w:val="23"/>
          <w:rtl/>
        </w:rPr>
        <w:t xml:space="preserve"> واردات</w:t>
      </w:r>
      <w:r w:rsidRPr="00A40DDC">
        <w:rPr>
          <w:rFonts w:hint="cs"/>
          <w:i/>
          <w:sz w:val="23"/>
          <w:szCs w:val="23"/>
          <w:rtl/>
        </w:rPr>
        <w:t>،</w:t>
      </w:r>
      <w:r w:rsidRPr="00A40DDC">
        <w:rPr>
          <w:position w:val="-10"/>
        </w:rPr>
        <w:object w:dxaOrig="300" w:dyaOrig="340" w14:anchorId="78B1D3E9">
          <v:shape id="_x0000_i3909" type="#_x0000_t75" style="width:14.5pt;height:16.95pt" o:ole="">
            <v:imagedata r:id="rId5807" o:title=""/>
          </v:shape>
          <o:OLEObject Type="Embed" ProgID="Equation.DSMT4" ShapeID="_x0000_i3909" DrawAspect="Content" ObjectID="_1791377853" r:id="rId5808"/>
        </w:object>
      </w:r>
      <w:r w:rsidRPr="00A40DDC">
        <w:rPr>
          <w:i/>
          <w:sz w:val="23"/>
          <w:szCs w:val="23"/>
          <w:rtl/>
        </w:rPr>
        <w:t xml:space="preserve"> دارایی</w:t>
      </w:r>
      <w:r w:rsidRPr="00A40DDC">
        <w:rPr>
          <w:rFonts w:hint="cs"/>
          <w:i/>
          <w:sz w:val="23"/>
          <w:szCs w:val="23"/>
          <w:rtl/>
        </w:rPr>
        <w:t>‌</w:t>
      </w:r>
      <w:r w:rsidRPr="00A40DDC">
        <w:rPr>
          <w:i/>
          <w:sz w:val="23"/>
          <w:szCs w:val="23"/>
          <w:rtl/>
        </w:rPr>
        <w:t>های خارجی ب</w:t>
      </w:r>
      <w:r w:rsidRPr="00A40DDC">
        <w:rPr>
          <w:rFonts w:hint="cs"/>
          <w:i/>
          <w:sz w:val="23"/>
          <w:szCs w:val="23"/>
          <w:rtl/>
        </w:rPr>
        <w:t>ر حسب</w:t>
      </w:r>
      <w:r w:rsidRPr="00A40DDC">
        <w:rPr>
          <w:i/>
          <w:sz w:val="23"/>
          <w:szCs w:val="23"/>
          <w:rtl/>
        </w:rPr>
        <w:t xml:space="preserve"> ارز خارجی نزد خانوار داخلی</w:t>
      </w:r>
      <w:r w:rsidRPr="00A40DDC">
        <w:rPr>
          <w:rFonts w:hint="cs"/>
          <w:i/>
          <w:sz w:val="23"/>
          <w:szCs w:val="23"/>
          <w:rtl/>
        </w:rPr>
        <w:t>،</w:t>
      </w:r>
      <w:r w:rsidRPr="00A40DDC">
        <w:rPr>
          <w:position w:val="-10"/>
        </w:rPr>
        <w:object w:dxaOrig="360" w:dyaOrig="340" w14:anchorId="591B8EA0">
          <v:shape id="_x0000_i3910" type="#_x0000_t75" style="width:18.15pt;height:16.95pt" o:ole="">
            <v:imagedata r:id="rId5809" o:title=""/>
          </v:shape>
          <o:OLEObject Type="Embed" ProgID="Equation.DSMT4" ShapeID="_x0000_i3910" DrawAspect="Content" ObjectID="_1791377854" r:id="rId5810"/>
        </w:object>
      </w:r>
      <w:r w:rsidRPr="00A40DDC">
        <w:rPr>
          <w:i/>
          <w:sz w:val="23"/>
          <w:szCs w:val="23"/>
          <w:rtl/>
        </w:rPr>
        <w:t xml:space="preserve"> دارایی</w:t>
      </w:r>
      <w:r w:rsidRPr="00A40DDC">
        <w:rPr>
          <w:rFonts w:hint="cs"/>
          <w:i/>
          <w:sz w:val="23"/>
          <w:szCs w:val="23"/>
          <w:rtl/>
        </w:rPr>
        <w:t>‌</w:t>
      </w:r>
      <w:r w:rsidRPr="00A40DDC">
        <w:rPr>
          <w:i/>
          <w:sz w:val="23"/>
          <w:szCs w:val="23"/>
          <w:rtl/>
        </w:rPr>
        <w:t>های داخلی نزد خارجی</w:t>
      </w:r>
      <w:r w:rsidRPr="00A40DDC">
        <w:rPr>
          <w:i/>
          <w:sz w:val="23"/>
          <w:szCs w:val="23"/>
          <w:rtl/>
        </w:rPr>
        <w:softHyphen/>
        <w:t>ها ب</w:t>
      </w:r>
      <w:r w:rsidRPr="00A40DDC">
        <w:rPr>
          <w:rFonts w:hint="cs"/>
          <w:i/>
          <w:sz w:val="23"/>
          <w:szCs w:val="23"/>
          <w:rtl/>
        </w:rPr>
        <w:t>ر حسب</w:t>
      </w:r>
      <w:r w:rsidRPr="00A40DDC">
        <w:rPr>
          <w:i/>
          <w:sz w:val="23"/>
          <w:szCs w:val="23"/>
          <w:rtl/>
        </w:rPr>
        <w:t xml:space="preserve"> پول داخلی</w:t>
      </w:r>
      <w:r w:rsidRPr="00A40DDC">
        <w:rPr>
          <w:rFonts w:hint="cs"/>
          <w:i/>
          <w:sz w:val="23"/>
          <w:szCs w:val="23"/>
          <w:rtl/>
        </w:rPr>
        <w:t>،</w:t>
      </w:r>
      <w:r w:rsidRPr="00A40DDC">
        <w:rPr>
          <w:position w:val="-10"/>
        </w:rPr>
        <w:object w:dxaOrig="340" w:dyaOrig="340" w14:anchorId="113B6911">
          <v:shape id="_x0000_i3911" type="#_x0000_t75" style="width:16.95pt;height:16.95pt" o:ole="">
            <v:imagedata r:id="rId5811" o:title=""/>
          </v:shape>
          <o:OLEObject Type="Embed" ProgID="Equation.DSMT4" ShapeID="_x0000_i3911" DrawAspect="Content" ObjectID="_1791377855" r:id="rId5812"/>
        </w:object>
      </w:r>
      <w:r w:rsidRPr="00A40DDC">
        <w:rPr>
          <w:i/>
          <w:sz w:val="23"/>
          <w:szCs w:val="23"/>
          <w:rtl/>
        </w:rPr>
        <w:t xml:space="preserve"> </w:t>
      </w:r>
      <w:r w:rsidRPr="00A40DDC">
        <w:rPr>
          <w:rFonts w:hint="cs"/>
          <w:i/>
          <w:sz w:val="23"/>
          <w:szCs w:val="23"/>
          <w:rtl/>
        </w:rPr>
        <w:t>قیم</w:t>
      </w:r>
      <w:r w:rsidRPr="00A40DDC">
        <w:rPr>
          <w:i/>
          <w:sz w:val="23"/>
          <w:szCs w:val="23"/>
          <w:rtl/>
        </w:rPr>
        <w:t>ت صادرات</w:t>
      </w:r>
      <w:r w:rsidRPr="00A40DDC">
        <w:rPr>
          <w:rFonts w:hint="cs"/>
          <w:i/>
          <w:sz w:val="23"/>
          <w:szCs w:val="23"/>
          <w:rtl/>
        </w:rPr>
        <w:t>،</w:t>
      </w:r>
      <w:r w:rsidRPr="00025957">
        <w:rPr>
          <w:position w:val="-4"/>
        </w:rPr>
        <w:object w:dxaOrig="400" w:dyaOrig="279" w14:anchorId="2F3A7BF5">
          <v:shape id="_x0000_i3912" type="#_x0000_t75" style="width:19.95pt;height:13.9pt" o:ole="">
            <v:imagedata r:id="rId5813" o:title=""/>
          </v:shape>
          <o:OLEObject Type="Embed" ProgID="Equation.DSMT4" ShapeID="_x0000_i3912" DrawAspect="Content" ObjectID="_1791377856" r:id="rId5814"/>
        </w:object>
      </w:r>
      <w:r w:rsidRPr="00A40DDC">
        <w:rPr>
          <w:i/>
          <w:sz w:val="23"/>
          <w:szCs w:val="23"/>
          <w:rtl/>
        </w:rPr>
        <w:t xml:space="preserve"> قیمت واردات به ارز خارجی</w:t>
      </w:r>
      <w:r w:rsidRPr="00A40DDC">
        <w:rPr>
          <w:rFonts w:hint="cs"/>
          <w:i/>
          <w:sz w:val="23"/>
          <w:szCs w:val="23"/>
          <w:rtl/>
        </w:rPr>
        <w:t>،</w:t>
      </w:r>
      <w:r w:rsidRPr="00A40DDC">
        <w:rPr>
          <w:position w:val="-10"/>
        </w:rPr>
        <w:object w:dxaOrig="260" w:dyaOrig="320" w14:anchorId="71B2241E">
          <v:shape id="_x0000_i3913" type="#_x0000_t75" style="width:13.3pt;height:15.75pt" o:ole="">
            <v:imagedata r:id="rId5815" o:title=""/>
          </v:shape>
          <o:OLEObject Type="Embed" ProgID="Equation.DSMT4" ShapeID="_x0000_i3913" DrawAspect="Content" ObjectID="_1791377857" r:id="rId5816"/>
        </w:object>
      </w:r>
      <w:r w:rsidRPr="00A40DDC">
        <w:rPr>
          <w:i/>
          <w:sz w:val="23"/>
          <w:szCs w:val="23"/>
          <w:rtl/>
        </w:rPr>
        <w:t xml:space="preserve"> نرخ ارز اسمی م</w:t>
      </w:r>
      <w:r w:rsidRPr="00A40DDC">
        <w:rPr>
          <w:rFonts w:hint="cs"/>
          <w:i/>
          <w:sz w:val="23"/>
          <w:szCs w:val="23"/>
          <w:rtl/>
        </w:rPr>
        <w:t>ؤ</w:t>
      </w:r>
      <w:r w:rsidRPr="00A40DDC">
        <w:rPr>
          <w:i/>
          <w:sz w:val="23"/>
          <w:szCs w:val="23"/>
          <w:rtl/>
        </w:rPr>
        <w:t>ثر</w:t>
      </w:r>
      <w:r w:rsidRPr="00A40DDC">
        <w:rPr>
          <w:rFonts w:hint="cs"/>
          <w:i/>
          <w:sz w:val="23"/>
          <w:szCs w:val="23"/>
          <w:rtl/>
        </w:rPr>
        <w:t>،</w:t>
      </w:r>
      <w:r w:rsidRPr="00A40DDC">
        <w:rPr>
          <w:position w:val="-10"/>
        </w:rPr>
        <w:object w:dxaOrig="279" w:dyaOrig="320" w14:anchorId="5A2082FD">
          <v:shape id="_x0000_i3914" type="#_x0000_t75" style="width:13.9pt;height:15.75pt" o:ole="">
            <v:imagedata r:id="rId5817" o:title=""/>
          </v:shape>
          <o:OLEObject Type="Embed" ProgID="Equation.DSMT4" ShapeID="_x0000_i3914" DrawAspect="Content" ObjectID="_1791377858" r:id="rId5818"/>
        </w:object>
      </w:r>
      <w:r w:rsidRPr="00A40DDC">
        <w:rPr>
          <w:i/>
          <w:sz w:val="23"/>
          <w:szCs w:val="23"/>
          <w:rtl/>
        </w:rPr>
        <w:t xml:space="preserve"> و</w:t>
      </w:r>
      <w:r w:rsidRPr="00A40DDC">
        <w:rPr>
          <w:position w:val="-10"/>
        </w:rPr>
        <w:object w:dxaOrig="300" w:dyaOrig="340" w14:anchorId="2C4E19EC">
          <v:shape id="_x0000_i3915" type="#_x0000_t75" style="width:14.5pt;height:16.95pt" o:ole="">
            <v:imagedata r:id="rId5819" o:title=""/>
          </v:shape>
          <o:OLEObject Type="Embed" ProgID="Equation.DSMT4" ShapeID="_x0000_i3915" DrawAspect="Content" ObjectID="_1791377859" r:id="rId5820"/>
        </w:object>
      </w:r>
      <w:r w:rsidRPr="00A40DDC">
        <w:rPr>
          <w:i/>
          <w:sz w:val="23"/>
          <w:szCs w:val="23"/>
          <w:rtl/>
        </w:rPr>
        <w:t xml:space="preserve"> نرخ بهره</w:t>
      </w:r>
      <w:r w:rsidRPr="00A40DDC">
        <w:rPr>
          <w:i/>
          <w:sz w:val="23"/>
          <w:szCs w:val="23"/>
          <w:rtl/>
        </w:rPr>
        <w:softHyphen/>
      </w:r>
      <w:r w:rsidRPr="00A40DDC">
        <w:rPr>
          <w:rFonts w:hint="cs"/>
          <w:i/>
          <w:sz w:val="23"/>
          <w:szCs w:val="23"/>
          <w:rtl/>
        </w:rPr>
        <w:t>ی</w:t>
      </w:r>
      <w:r w:rsidRPr="00A40DDC">
        <w:rPr>
          <w:i/>
          <w:sz w:val="23"/>
          <w:szCs w:val="23"/>
          <w:rtl/>
        </w:rPr>
        <w:t xml:space="preserve"> داخلی و خارجی و</w:t>
      </w:r>
      <w:r w:rsidRPr="00A40DDC">
        <w:rPr>
          <w:position w:val="-10"/>
        </w:rPr>
        <w:object w:dxaOrig="1420" w:dyaOrig="340" w14:anchorId="4B454FCC">
          <v:shape id="_x0000_i3916" type="#_x0000_t75" style="width:70.8pt;height:16.95pt" o:ole="">
            <v:imagedata r:id="rId5821" o:title=""/>
          </v:shape>
          <o:OLEObject Type="Embed" ProgID="Equation.DSMT4" ShapeID="_x0000_i3916" DrawAspect="Content" ObjectID="_1791377860" r:id="rId5822"/>
        </w:object>
      </w:r>
      <w:r w:rsidRPr="00A40DDC">
        <w:rPr>
          <w:rFonts w:eastAsiaTheme="minorEastAsia"/>
          <w:i/>
          <w:sz w:val="23"/>
          <w:szCs w:val="23"/>
          <w:rtl/>
        </w:rPr>
        <w:t xml:space="preserve"> خالص دارایی</w:t>
      </w:r>
      <w:r w:rsidRPr="00A40DDC">
        <w:rPr>
          <w:rFonts w:eastAsiaTheme="minorEastAsia" w:hint="cs"/>
          <w:i/>
          <w:sz w:val="23"/>
          <w:szCs w:val="23"/>
          <w:rtl/>
        </w:rPr>
        <w:t>‌</w:t>
      </w:r>
      <w:r w:rsidRPr="00A40DDC">
        <w:rPr>
          <w:rFonts w:eastAsiaTheme="minorEastAsia"/>
          <w:i/>
          <w:sz w:val="23"/>
          <w:szCs w:val="23"/>
          <w:rtl/>
        </w:rPr>
        <w:t>های خارجی است و</w:t>
      </w:r>
      <w:r w:rsidRPr="00A40DDC">
        <w:rPr>
          <w:position w:val="-10"/>
        </w:rPr>
        <w:object w:dxaOrig="400" w:dyaOrig="320" w14:anchorId="3D130F84">
          <v:shape id="_x0000_i3917" type="#_x0000_t75" style="width:19.95pt;height:15.75pt" o:ole="">
            <v:imagedata r:id="rId5823" o:title=""/>
          </v:shape>
          <o:OLEObject Type="Embed" ProgID="Equation.DSMT4" ShapeID="_x0000_i3917" DrawAspect="Content" ObjectID="_1791377861" r:id="rId5824"/>
        </w:object>
      </w:r>
      <w:r w:rsidRPr="00A40DDC">
        <w:rPr>
          <w:i/>
          <w:sz w:val="23"/>
          <w:szCs w:val="23"/>
          <w:rtl/>
        </w:rPr>
        <w:t xml:space="preserve"> حساب جاری اسمی برحسب</w:t>
      </w:r>
      <w:r w:rsidRPr="00A40DDC">
        <w:rPr>
          <w:rFonts w:hint="cs"/>
          <w:i/>
          <w:sz w:val="23"/>
          <w:szCs w:val="23"/>
          <w:rtl/>
        </w:rPr>
        <w:t xml:space="preserve"> </w:t>
      </w:r>
      <w:r w:rsidRPr="00A40DDC">
        <w:rPr>
          <w:i/>
          <w:sz w:val="23"/>
          <w:szCs w:val="23"/>
          <w:rtl/>
        </w:rPr>
        <w:t>پول داخلی است .</w:t>
      </w:r>
    </w:p>
    <w:p w14:paraId="04344C63" w14:textId="77777777" w:rsidR="00411620" w:rsidRPr="00A40DDC" w:rsidRDefault="00411620" w:rsidP="00411620">
      <w:pPr>
        <w:tabs>
          <w:tab w:val="left" w:pos="3521"/>
        </w:tabs>
        <w:spacing w:line="216" w:lineRule="auto"/>
        <w:rPr>
          <w:i/>
          <w:sz w:val="23"/>
          <w:szCs w:val="23"/>
          <w:rtl/>
        </w:rPr>
      </w:pPr>
      <w:r w:rsidRPr="00A40DDC">
        <w:rPr>
          <w:i/>
          <w:sz w:val="23"/>
          <w:szCs w:val="23"/>
          <w:rtl/>
        </w:rPr>
        <w:t>دارایی</w:t>
      </w:r>
      <w:r w:rsidRPr="00A40DDC">
        <w:rPr>
          <w:rFonts w:hint="cs"/>
          <w:i/>
          <w:sz w:val="23"/>
          <w:szCs w:val="23"/>
          <w:rtl/>
        </w:rPr>
        <w:t>‌</w:t>
      </w:r>
      <w:r w:rsidRPr="00A40DDC">
        <w:rPr>
          <w:i/>
          <w:sz w:val="23"/>
          <w:szCs w:val="23"/>
          <w:rtl/>
        </w:rPr>
        <w:t xml:space="preserve">های مالی شامل </w:t>
      </w:r>
      <w:r w:rsidRPr="00A40DDC">
        <w:rPr>
          <w:rFonts w:hint="cs"/>
          <w:i/>
          <w:sz w:val="23"/>
          <w:szCs w:val="23"/>
          <w:rtl/>
        </w:rPr>
        <w:t>اوراق قرضه</w:t>
      </w:r>
      <w:r w:rsidRPr="00A40DDC">
        <w:rPr>
          <w:i/>
          <w:sz w:val="23"/>
          <w:szCs w:val="23"/>
          <w:rtl/>
        </w:rPr>
        <w:softHyphen/>
      </w:r>
      <w:r w:rsidRPr="00A40DDC">
        <w:rPr>
          <w:rFonts w:hint="cs"/>
          <w:i/>
          <w:sz w:val="23"/>
          <w:szCs w:val="23"/>
          <w:rtl/>
        </w:rPr>
        <w:t>ی دولتی</w:t>
      </w:r>
      <w:r w:rsidRPr="00A40DDC">
        <w:rPr>
          <w:i/>
          <w:sz w:val="23"/>
          <w:szCs w:val="23"/>
          <w:rtl/>
        </w:rPr>
        <w:t xml:space="preserve"> و </w:t>
      </w:r>
      <w:r w:rsidRPr="00A40DDC">
        <w:rPr>
          <w:rFonts w:hint="cs"/>
          <w:i/>
          <w:sz w:val="23"/>
          <w:szCs w:val="23"/>
          <w:rtl/>
        </w:rPr>
        <w:t>سهام</w:t>
      </w:r>
      <w:r w:rsidRPr="00A40DDC">
        <w:rPr>
          <w:i/>
          <w:sz w:val="23"/>
          <w:szCs w:val="23"/>
          <w:rtl/>
        </w:rPr>
        <w:t xml:space="preserve"> است که بدلیل ریسک نگهداری آن</w:t>
      </w:r>
      <w:r w:rsidRPr="00A40DDC">
        <w:rPr>
          <w:rFonts w:hint="cs"/>
          <w:i/>
          <w:sz w:val="23"/>
          <w:szCs w:val="23"/>
          <w:rtl/>
        </w:rPr>
        <w:t>‌</w:t>
      </w:r>
      <w:r w:rsidRPr="00A40DDC">
        <w:rPr>
          <w:i/>
          <w:sz w:val="23"/>
          <w:szCs w:val="23"/>
          <w:rtl/>
        </w:rPr>
        <w:t>ها نرخ بهره</w:t>
      </w:r>
      <w:r w:rsidRPr="00A40DDC">
        <w:rPr>
          <w:i/>
          <w:sz w:val="23"/>
          <w:szCs w:val="23"/>
          <w:rtl/>
        </w:rPr>
        <w:softHyphen/>
      </w:r>
      <w:r w:rsidRPr="00A40DDC">
        <w:rPr>
          <w:rFonts w:hint="cs"/>
          <w:i/>
          <w:sz w:val="23"/>
          <w:szCs w:val="23"/>
          <w:rtl/>
        </w:rPr>
        <w:t>ی</w:t>
      </w:r>
      <w:r w:rsidRPr="00A40DDC">
        <w:rPr>
          <w:i/>
          <w:sz w:val="23"/>
          <w:szCs w:val="23"/>
          <w:rtl/>
        </w:rPr>
        <w:t xml:space="preserve"> متفاوت</w:t>
      </w:r>
      <w:r w:rsidRPr="00A40DDC">
        <w:rPr>
          <w:rFonts w:hint="cs"/>
          <w:i/>
          <w:sz w:val="23"/>
          <w:szCs w:val="23"/>
          <w:rtl/>
        </w:rPr>
        <w:t>ی</w:t>
      </w:r>
      <w:r w:rsidRPr="00A40DDC">
        <w:rPr>
          <w:i/>
          <w:sz w:val="23"/>
          <w:szCs w:val="23"/>
          <w:rtl/>
        </w:rPr>
        <w:t xml:space="preserve"> دارند </w:t>
      </w:r>
      <w:r w:rsidRPr="00A40DDC">
        <w:rPr>
          <w:rFonts w:hint="cs"/>
          <w:i/>
          <w:sz w:val="23"/>
          <w:szCs w:val="23"/>
          <w:rtl/>
        </w:rPr>
        <w:t xml:space="preserve">و جهت سهولت </w:t>
      </w:r>
      <w:r w:rsidRPr="00A40DDC">
        <w:rPr>
          <w:i/>
          <w:sz w:val="23"/>
          <w:szCs w:val="23"/>
          <w:rtl/>
        </w:rPr>
        <w:t xml:space="preserve">بحث </w:t>
      </w:r>
      <w:r w:rsidRPr="00A40DDC">
        <w:rPr>
          <w:rFonts w:hint="cs"/>
          <w:i/>
          <w:sz w:val="23"/>
          <w:szCs w:val="23"/>
          <w:rtl/>
        </w:rPr>
        <w:t xml:space="preserve">یکسان </w:t>
      </w:r>
      <w:r w:rsidRPr="00A40DDC">
        <w:rPr>
          <w:i/>
          <w:sz w:val="23"/>
          <w:szCs w:val="23"/>
          <w:rtl/>
        </w:rPr>
        <w:t>در نظر گرفته می</w:t>
      </w:r>
      <w:r w:rsidRPr="00A40DDC">
        <w:rPr>
          <w:rFonts w:hint="cs"/>
          <w:i/>
          <w:sz w:val="23"/>
          <w:szCs w:val="23"/>
          <w:rtl/>
        </w:rPr>
        <w:t>‌</w:t>
      </w:r>
      <w:r w:rsidRPr="00A40DDC">
        <w:rPr>
          <w:i/>
          <w:sz w:val="23"/>
          <w:szCs w:val="23"/>
          <w:rtl/>
        </w:rPr>
        <w:t>شوند.</w:t>
      </w:r>
      <w:r w:rsidRPr="00A40DDC">
        <w:rPr>
          <w:rFonts w:hint="cs"/>
          <w:i/>
          <w:sz w:val="23"/>
          <w:szCs w:val="23"/>
          <w:rtl/>
        </w:rPr>
        <w:t xml:space="preserve"> براحتی می</w:t>
      </w:r>
      <w:r w:rsidRPr="00A40DDC">
        <w:rPr>
          <w:i/>
          <w:sz w:val="23"/>
          <w:szCs w:val="23"/>
          <w:rtl/>
        </w:rPr>
        <w:softHyphen/>
      </w:r>
      <w:r w:rsidRPr="00A40DDC">
        <w:rPr>
          <w:rFonts w:hint="cs"/>
          <w:i/>
          <w:sz w:val="23"/>
          <w:szCs w:val="23"/>
          <w:rtl/>
        </w:rPr>
        <w:t>توان ترازپرداخت‌ها</w:t>
      </w:r>
      <w:r w:rsidRPr="00A40DDC">
        <w:rPr>
          <w:i/>
          <w:sz w:val="23"/>
          <w:szCs w:val="23"/>
          <w:rtl/>
        </w:rPr>
        <w:t xml:space="preserve"> را به صورت </w:t>
      </w:r>
      <w:r w:rsidRPr="00A40DDC">
        <w:rPr>
          <w:rFonts w:hint="cs"/>
          <w:i/>
          <w:sz w:val="23"/>
          <w:szCs w:val="23"/>
          <w:rtl/>
        </w:rPr>
        <w:t xml:space="preserve">نسبتی </w:t>
      </w:r>
      <w:r w:rsidRPr="00A40DDC">
        <w:rPr>
          <w:i/>
          <w:sz w:val="23"/>
          <w:szCs w:val="23"/>
          <w:rtl/>
        </w:rPr>
        <w:t xml:space="preserve">از </w:t>
      </w:r>
      <w:r w:rsidRPr="00A40DDC">
        <w:rPr>
          <w:i/>
          <w:sz w:val="23"/>
          <w:szCs w:val="23"/>
        </w:rPr>
        <w:t>GDP</w:t>
      </w:r>
      <w:r w:rsidRPr="00A40DDC">
        <w:rPr>
          <w:i/>
          <w:sz w:val="23"/>
          <w:szCs w:val="23"/>
          <w:rtl/>
        </w:rPr>
        <w:t xml:space="preserve"> اسمی </w:t>
      </w:r>
      <w:r w:rsidRPr="00A40DDC">
        <w:rPr>
          <w:rFonts w:hint="cs"/>
          <w:i/>
          <w:sz w:val="23"/>
          <w:szCs w:val="23"/>
          <w:rtl/>
        </w:rPr>
        <w:t xml:space="preserve">بازنویسی نمود. بنابراین؛ </w:t>
      </w:r>
    </w:p>
    <w:p w14:paraId="656334E0" w14:textId="77777777" w:rsidR="00411620" w:rsidRPr="00A40DDC" w:rsidRDefault="00411620" w:rsidP="00411620">
      <w:pPr>
        <w:pStyle w:val="MTDisplayEquation"/>
        <w:spacing w:line="216" w:lineRule="auto"/>
        <w:jc w:val="left"/>
        <w:rPr>
          <w:rFonts w:ascii="Times New Roman" w:hAnsi="Times New Roman" w:cs="B Nazanin"/>
          <w:i/>
          <w:sz w:val="23"/>
          <w:szCs w:val="23"/>
          <w:rtl/>
        </w:rPr>
      </w:pPr>
      <w:r w:rsidRPr="00A40DDC">
        <w:rPr>
          <w:position w:val="-30"/>
        </w:rPr>
        <w:object w:dxaOrig="4060" w:dyaOrig="700" w14:anchorId="1F46FC98">
          <v:shape id="_x0000_i3918" type="#_x0000_t75" style="width:203.3pt;height:35.1pt" o:ole="">
            <v:imagedata r:id="rId5825" o:title=""/>
          </v:shape>
          <o:OLEObject Type="Embed" ProgID="Equation.DSMT4" ShapeID="_x0000_i3918" DrawAspect="Content" ObjectID="_1791377862" r:id="rId5826"/>
        </w:object>
      </w:r>
    </w:p>
    <w:p w14:paraId="29F05715" w14:textId="77777777" w:rsidR="00411620" w:rsidRPr="00A40DDC"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tl/>
        </w:rPr>
      </w:pPr>
      <w:r w:rsidRPr="00A40DDC">
        <w:rPr>
          <w:position w:val="-30"/>
        </w:rPr>
        <w:object w:dxaOrig="4040" w:dyaOrig="700" w14:anchorId="01550B32">
          <v:shape id="_x0000_i3919" type="#_x0000_t75" style="width:202.1pt;height:35.1pt" o:ole="">
            <v:imagedata r:id="rId5827" o:title=""/>
          </v:shape>
          <o:OLEObject Type="Embed" ProgID="Equation.DSMT4" ShapeID="_x0000_i3919" DrawAspect="Content" ObjectID="_1791377863" r:id="rId5828"/>
        </w:object>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۴۳)</w:t>
      </w:r>
    </w:p>
    <w:p w14:paraId="04499514" w14:textId="77777777" w:rsidR="00411620" w:rsidRPr="00A40DDC" w:rsidRDefault="00411620" w:rsidP="00411620">
      <w:pPr>
        <w:tabs>
          <w:tab w:val="left" w:pos="3521"/>
        </w:tabs>
        <w:spacing w:line="216" w:lineRule="auto"/>
        <w:rPr>
          <w:i/>
          <w:sz w:val="23"/>
          <w:szCs w:val="23"/>
          <w:rtl/>
        </w:rPr>
      </w:pPr>
      <w:r w:rsidRPr="00A40DDC">
        <w:rPr>
          <w:rFonts w:hint="cs"/>
          <w:i/>
          <w:sz w:val="23"/>
          <w:szCs w:val="23"/>
          <w:rtl/>
        </w:rPr>
        <w:t>که در آن</w:t>
      </w:r>
    </w:p>
    <w:p w14:paraId="15E8C894"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28"/>
        </w:rPr>
        <w:object w:dxaOrig="6320" w:dyaOrig="660" w14:anchorId="369B2494">
          <v:shape id="_x0000_i3920" type="#_x0000_t75" style="width:315.85pt;height:32.65pt" o:ole="">
            <v:imagedata r:id="rId5829" o:title=""/>
          </v:shape>
          <o:OLEObject Type="Embed" ProgID="Equation.DSMT4" ShapeID="_x0000_i3920" DrawAspect="Content" ObjectID="_1791377864" r:id="rId5830"/>
        </w:object>
      </w:r>
    </w:p>
    <w:p w14:paraId="1E63A4F8" w14:textId="77777777" w:rsidR="00411620" w:rsidRPr="00A40DDC" w:rsidRDefault="00411620" w:rsidP="00411620">
      <w:pPr>
        <w:tabs>
          <w:tab w:val="left" w:pos="3521"/>
        </w:tabs>
        <w:spacing w:line="216" w:lineRule="auto"/>
        <w:rPr>
          <w:i/>
          <w:sz w:val="23"/>
          <w:szCs w:val="23"/>
          <w:rtl/>
        </w:rPr>
      </w:pPr>
      <w:r w:rsidRPr="00A40DDC">
        <w:rPr>
          <w:rFonts w:hint="cs"/>
          <w:i/>
          <w:sz w:val="23"/>
          <w:szCs w:val="23"/>
          <w:rtl/>
        </w:rPr>
        <w:t>و</w:t>
      </w:r>
      <w:r w:rsidRPr="00A40DDC">
        <w:rPr>
          <w:position w:val="-10"/>
        </w:rPr>
        <w:object w:dxaOrig="220" w:dyaOrig="320" w14:anchorId="78D70A12">
          <v:shape id="_x0000_i3921" type="#_x0000_t75" style="width:10.9pt;height:15.75pt" o:ole="">
            <v:imagedata r:id="rId5831" o:title=""/>
          </v:shape>
          <o:OLEObject Type="Embed" ProgID="Equation.DSMT4" ShapeID="_x0000_i3921" DrawAspect="Content" ObjectID="_1791377865" r:id="rId5832"/>
        </w:object>
      </w:r>
      <w:r w:rsidRPr="00A40DDC">
        <w:rPr>
          <w:rFonts w:hint="cs"/>
          <w:i/>
          <w:sz w:val="23"/>
          <w:szCs w:val="23"/>
          <w:rtl/>
        </w:rPr>
        <w:t xml:space="preserve"> </w:t>
      </w:r>
      <w:r w:rsidRPr="00A40DDC">
        <w:rPr>
          <w:rFonts w:eastAsiaTheme="minorEastAsia"/>
          <w:i/>
          <w:sz w:val="23"/>
          <w:szCs w:val="23"/>
        </w:rPr>
        <w:t xml:space="preserve"> </w:t>
      </w:r>
      <w:r w:rsidRPr="00A40DDC">
        <w:rPr>
          <w:rFonts w:eastAsiaTheme="minorEastAsia" w:hint="cs"/>
          <w:i/>
          <w:sz w:val="23"/>
          <w:szCs w:val="23"/>
          <w:rtl/>
        </w:rPr>
        <w:t>نرخ رشد تولید ناخالص داخلی اسمی و</w:t>
      </w:r>
      <w:r w:rsidRPr="00A40DDC">
        <w:rPr>
          <w:position w:val="-10"/>
        </w:rPr>
        <w:object w:dxaOrig="859" w:dyaOrig="320" w14:anchorId="6CAA44B4">
          <v:shape id="_x0000_i3922" type="#_x0000_t75" style="width:42.95pt;height:15.75pt" o:ole="">
            <v:imagedata r:id="rId5833" o:title=""/>
          </v:shape>
          <o:OLEObject Type="Embed" ProgID="Equation.DSMT4" ShapeID="_x0000_i3922" DrawAspect="Content" ObjectID="_1791377866" r:id="rId5834"/>
        </w:object>
      </w:r>
      <w:r w:rsidRPr="00A40DDC">
        <w:rPr>
          <w:rFonts w:hint="cs"/>
          <w:i/>
          <w:sz w:val="23"/>
          <w:szCs w:val="23"/>
          <w:rtl/>
        </w:rPr>
        <w:t xml:space="preserve"> می</w:t>
      </w:r>
      <w:r w:rsidRPr="00A40DDC">
        <w:rPr>
          <w:i/>
          <w:sz w:val="23"/>
          <w:szCs w:val="23"/>
          <w:rtl/>
        </w:rPr>
        <w:softHyphen/>
      </w:r>
      <w:r w:rsidRPr="00A40DDC">
        <w:rPr>
          <w:rFonts w:hint="cs"/>
          <w:i/>
          <w:sz w:val="23"/>
          <w:szCs w:val="23"/>
          <w:rtl/>
        </w:rPr>
        <w:t>باشد</w:t>
      </w:r>
      <w:r w:rsidRPr="00A40DDC">
        <w:rPr>
          <w:rFonts w:eastAsiaTheme="minorEastAsia"/>
          <w:i/>
          <w:sz w:val="23"/>
          <w:szCs w:val="23"/>
        </w:rPr>
        <w:t>.</w:t>
      </w:r>
      <w:r w:rsidRPr="00A40DDC">
        <w:rPr>
          <w:rFonts w:eastAsiaTheme="minorEastAsia" w:hint="cs"/>
          <w:i/>
          <w:sz w:val="23"/>
          <w:szCs w:val="23"/>
          <w:rtl/>
        </w:rPr>
        <w:t xml:space="preserve"> رابطه</w:t>
      </w:r>
      <w:r w:rsidRPr="00A40DDC">
        <w:rPr>
          <w:rFonts w:eastAsiaTheme="minorEastAsia"/>
          <w:i/>
          <w:sz w:val="23"/>
          <w:szCs w:val="23"/>
          <w:rtl/>
        </w:rPr>
        <w:softHyphen/>
      </w:r>
      <w:r w:rsidRPr="00A40DDC">
        <w:rPr>
          <w:rFonts w:eastAsiaTheme="minorEastAsia" w:hint="cs"/>
          <w:i/>
          <w:sz w:val="23"/>
          <w:szCs w:val="23"/>
          <w:rtl/>
        </w:rPr>
        <w:t xml:space="preserve">ی </w:t>
      </w:r>
      <w:r w:rsidRPr="00A40DDC">
        <w:rPr>
          <w:rFonts w:hint="cs"/>
          <w:i/>
          <w:sz w:val="23"/>
          <w:szCs w:val="23"/>
          <w:rtl/>
        </w:rPr>
        <w:t>(۷. ۴۳)</w:t>
      </w:r>
      <w:r w:rsidRPr="00A40DDC">
        <w:rPr>
          <w:rFonts w:eastAsiaTheme="minorEastAsia" w:hint="cs"/>
          <w:i/>
          <w:sz w:val="23"/>
          <w:szCs w:val="23"/>
          <w:rtl/>
        </w:rPr>
        <w:t xml:space="preserve"> را می</w:t>
      </w:r>
      <w:r w:rsidRPr="00A40DDC">
        <w:rPr>
          <w:rFonts w:eastAsiaTheme="minorEastAsia"/>
          <w:i/>
          <w:sz w:val="23"/>
          <w:szCs w:val="23"/>
          <w:rtl/>
        </w:rPr>
        <w:softHyphen/>
      </w:r>
      <w:r w:rsidRPr="00A40DDC">
        <w:rPr>
          <w:rFonts w:eastAsiaTheme="minorEastAsia" w:hint="cs"/>
          <w:i/>
          <w:sz w:val="23"/>
          <w:szCs w:val="23"/>
          <w:rtl/>
        </w:rPr>
        <w:t>توان به صورت معادله</w:t>
      </w:r>
      <w:r w:rsidRPr="00A40DDC">
        <w:rPr>
          <w:rFonts w:eastAsiaTheme="minorEastAsia"/>
          <w:i/>
          <w:sz w:val="23"/>
          <w:szCs w:val="23"/>
          <w:rtl/>
        </w:rPr>
        <w:softHyphen/>
      </w:r>
      <w:r w:rsidRPr="00A40DDC">
        <w:rPr>
          <w:rFonts w:eastAsiaTheme="minorEastAsia" w:hint="cs"/>
          <w:i/>
          <w:sz w:val="23"/>
          <w:szCs w:val="23"/>
          <w:rtl/>
        </w:rPr>
        <w:t>ی تفاضلی بر حسب</w:t>
      </w:r>
      <w:r w:rsidRPr="00A40DDC">
        <w:rPr>
          <w:position w:val="-28"/>
        </w:rPr>
        <w:object w:dxaOrig="300" w:dyaOrig="639" w14:anchorId="5B1AAA72">
          <v:shape id="_x0000_i3923" type="#_x0000_t75" style="width:14.5pt;height:32.05pt" o:ole="">
            <v:imagedata r:id="rId5835" o:title=""/>
          </v:shape>
          <o:OLEObject Type="Embed" ProgID="Equation.DSMT4" ShapeID="_x0000_i3923" DrawAspect="Content" ObjectID="_1791377867" r:id="rId5836"/>
        </w:object>
      </w:r>
      <w:r w:rsidRPr="00A40DDC">
        <w:rPr>
          <w:rFonts w:eastAsiaTheme="minorEastAsia" w:hint="cs"/>
          <w:i/>
          <w:sz w:val="23"/>
          <w:szCs w:val="23"/>
          <w:rtl/>
        </w:rPr>
        <w:t xml:space="preserve"> نوشت. بنابراین</w:t>
      </w:r>
    </w:p>
    <w:p w14:paraId="6FBC7158" w14:textId="77777777" w:rsidR="00411620" w:rsidRPr="00A40DDC" w:rsidRDefault="00411620" w:rsidP="00411620">
      <w:pPr>
        <w:pStyle w:val="MTDisplayEquation"/>
        <w:tabs>
          <w:tab w:val="clear" w:pos="6660"/>
          <w:tab w:val="right" w:pos="0"/>
        </w:tabs>
        <w:spacing w:line="216" w:lineRule="auto"/>
        <w:jc w:val="left"/>
        <w:rPr>
          <w:rFonts w:ascii="Times New Roman" w:eastAsiaTheme="minorEastAsia" w:hAnsi="Times New Roman" w:cs="B Nazanin"/>
          <w:i/>
          <w:sz w:val="23"/>
          <w:szCs w:val="23"/>
        </w:rPr>
      </w:pPr>
      <w:r w:rsidRPr="00A40DDC">
        <w:rPr>
          <w:position w:val="-30"/>
        </w:rPr>
        <w:object w:dxaOrig="3760" w:dyaOrig="700" w14:anchorId="2909B766">
          <v:shape id="_x0000_i3924" type="#_x0000_t75" style="width:188.15pt;height:35.1pt" o:ole="">
            <v:imagedata r:id="rId5837" o:title=""/>
          </v:shape>
          <o:OLEObject Type="Embed" ProgID="Equation.DSMT4" ShapeID="_x0000_i3924" DrawAspect="Content" ObjectID="_1791377868" r:id="rId5838"/>
        </w:object>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۴۴)</w:t>
      </w:r>
    </w:p>
    <w:p w14:paraId="2B55201A" w14:textId="77777777" w:rsidR="00411620" w:rsidRPr="00A40DDC" w:rsidRDefault="00411620" w:rsidP="00411620">
      <w:pPr>
        <w:tabs>
          <w:tab w:val="left" w:pos="3521"/>
        </w:tabs>
        <w:spacing w:line="216" w:lineRule="auto"/>
        <w:rPr>
          <w:i/>
          <w:sz w:val="23"/>
          <w:szCs w:val="23"/>
          <w:rtl/>
        </w:rPr>
      </w:pPr>
      <w:r w:rsidRPr="00A40DDC">
        <w:rPr>
          <w:rFonts w:eastAsiaTheme="minorEastAsia" w:hint="cs"/>
          <w:i/>
          <w:sz w:val="23"/>
          <w:szCs w:val="23"/>
          <w:rtl/>
        </w:rPr>
        <w:t>که در آن</w:t>
      </w:r>
    </w:p>
    <w:p w14:paraId="7BBD44E8"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Pr>
      </w:pPr>
      <w:r w:rsidRPr="00A40DDC">
        <w:rPr>
          <w:position w:val="-30"/>
        </w:rPr>
        <w:object w:dxaOrig="3360" w:dyaOrig="700" w14:anchorId="74CD91AD">
          <v:shape id="_x0000_i3925" type="#_x0000_t75" style="width:168.2pt;height:35.1pt" o:ole="">
            <v:imagedata r:id="rId5839" o:title=""/>
          </v:shape>
          <o:OLEObject Type="Embed" ProgID="Equation.DSMT4" ShapeID="_x0000_i3925" DrawAspect="Content" ObjectID="_1791377869" r:id="rId5840"/>
        </w:object>
      </w:r>
    </w:p>
    <w:p w14:paraId="270972B7" w14:textId="77777777" w:rsidR="00411620" w:rsidRPr="00A40DDC" w:rsidRDefault="00411620" w:rsidP="00411620">
      <w:pPr>
        <w:pStyle w:val="MTDisplayEquation"/>
        <w:tabs>
          <w:tab w:val="clear" w:pos="6660"/>
          <w:tab w:val="right" w:pos="0"/>
        </w:tabs>
        <w:spacing w:line="216" w:lineRule="auto"/>
        <w:rPr>
          <w:rFonts w:ascii="Times New Roman" w:hAnsi="Times New Roman" w:cs="B Nazanin"/>
          <w:i/>
          <w:sz w:val="23"/>
          <w:szCs w:val="23"/>
          <w:rtl/>
        </w:rPr>
      </w:pPr>
      <w:r w:rsidRPr="00A40DDC">
        <w:rPr>
          <w:position w:val="-30"/>
        </w:rPr>
        <w:object w:dxaOrig="3320" w:dyaOrig="700" w14:anchorId="0D5AA0F2">
          <v:shape id="_x0000_i3926" type="#_x0000_t75" style="width:165.8pt;height:35.1pt" o:ole="">
            <v:imagedata r:id="rId5841" o:title=""/>
          </v:shape>
          <o:OLEObject Type="Embed" ProgID="Equation.DSMT4" ShapeID="_x0000_i3926" DrawAspect="Content" ObjectID="_1791377870" r:id="rId5842"/>
        </w:object>
      </w:r>
      <w:r w:rsidRPr="00A40DDC">
        <w:rPr>
          <w:rFonts w:ascii="Times New Roman" w:hAnsi="Times New Roman" w:cs="B Nazanin"/>
          <w:i/>
          <w:sz w:val="23"/>
          <w:szCs w:val="23"/>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Pr>
          <w:rFonts w:ascii="Times New Roman" w:hAnsi="Times New Roman" w:cs="B Nazanin"/>
          <w:i/>
          <w:sz w:val="23"/>
          <w:szCs w:val="23"/>
          <w:rtl/>
        </w:rPr>
        <w:tab/>
      </w:r>
      <w:r>
        <w:rPr>
          <w:rFonts w:ascii="Times New Roman" w:hAnsi="Times New Roman" w:cs="B Nazanin"/>
          <w:i/>
          <w:sz w:val="23"/>
          <w:szCs w:val="23"/>
          <w:rtl/>
        </w:rPr>
        <w:tab/>
      </w:r>
      <w:r>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۴۵)</w:t>
      </w:r>
    </w:p>
    <w:p w14:paraId="3082A8D4" w14:textId="77777777" w:rsidR="00411620" w:rsidRPr="00A40DDC" w:rsidRDefault="00411620" w:rsidP="00411620">
      <w:pPr>
        <w:tabs>
          <w:tab w:val="left" w:pos="3521"/>
        </w:tabs>
        <w:spacing w:line="216" w:lineRule="auto"/>
        <w:rPr>
          <w:i/>
          <w:sz w:val="23"/>
          <w:szCs w:val="23"/>
          <w:rtl/>
        </w:rPr>
      </w:pPr>
      <w:r w:rsidRPr="00A40DDC">
        <w:rPr>
          <w:i/>
          <w:sz w:val="23"/>
          <w:szCs w:val="23"/>
          <w:rtl/>
        </w:rPr>
        <w:t>در رابطه</w:t>
      </w:r>
      <w:r w:rsidRPr="00A40DDC">
        <w:rPr>
          <w:i/>
          <w:sz w:val="23"/>
          <w:szCs w:val="23"/>
        </w:rPr>
        <w:softHyphen/>
      </w:r>
      <w:r w:rsidRPr="00A40DDC">
        <w:rPr>
          <w:i/>
          <w:sz w:val="23"/>
          <w:szCs w:val="23"/>
          <w:rtl/>
        </w:rPr>
        <w:softHyphen/>
      </w:r>
      <w:r w:rsidRPr="00A40DDC">
        <w:rPr>
          <w:rFonts w:hint="cs"/>
          <w:i/>
          <w:sz w:val="23"/>
          <w:szCs w:val="23"/>
          <w:rtl/>
        </w:rPr>
        <w:t>ی</w:t>
      </w:r>
      <w:r w:rsidRPr="00A40DDC">
        <w:rPr>
          <w:i/>
          <w:sz w:val="23"/>
          <w:szCs w:val="23"/>
          <w:rtl/>
        </w:rPr>
        <w:t xml:space="preserve"> </w:t>
      </w:r>
      <w:r w:rsidRPr="00A40DDC">
        <w:rPr>
          <w:rFonts w:hint="cs"/>
          <w:i/>
          <w:sz w:val="23"/>
          <w:szCs w:val="23"/>
          <w:rtl/>
        </w:rPr>
        <w:t>(۷. ۴۵</w:t>
      </w:r>
      <w:r w:rsidRPr="00A40DDC">
        <w:rPr>
          <w:i/>
          <w:sz w:val="23"/>
          <w:szCs w:val="23"/>
          <w:rtl/>
        </w:rPr>
        <w:t xml:space="preserve"> </w:t>
      </w:r>
      <w:r w:rsidRPr="00A40DDC">
        <w:rPr>
          <w:rFonts w:hint="cs"/>
          <w:i/>
          <w:sz w:val="23"/>
          <w:szCs w:val="23"/>
          <w:rtl/>
        </w:rPr>
        <w:t xml:space="preserve">) نسبت </w:t>
      </w:r>
      <m:oMath>
        <m:f>
          <m:fPr>
            <m:ctrlPr>
              <w:rPr>
                <w:rFonts w:ascii="Cambria Math" w:hAnsi="Cambria Math"/>
                <w:i/>
                <w:sz w:val="23"/>
                <w:szCs w:val="23"/>
              </w:rPr>
            </m:ctrlPr>
          </m:fPr>
          <m:num>
            <m:sSub>
              <m:sSubPr>
                <m:ctrlPr>
                  <w:rPr>
                    <w:rFonts w:ascii="Cambria Math" w:hAnsi="Cambria Math"/>
                    <w:i/>
                    <w:sz w:val="23"/>
                    <w:szCs w:val="23"/>
                  </w:rPr>
                </m:ctrlPr>
              </m:sSubPr>
              <m:e>
                <m:r>
                  <w:rPr>
                    <w:rFonts w:ascii="Cambria Math" w:hAnsi="Cambria Math"/>
                    <w:sz w:val="23"/>
                    <w:szCs w:val="23"/>
                  </w:rPr>
                  <m:t>τ</m:t>
                </m:r>
              </m:e>
              <m:sub>
                <m:r>
                  <w:rPr>
                    <w:rFonts w:ascii="Cambria Math" w:hAnsi="Cambria Math"/>
                    <w:sz w:val="23"/>
                    <w:szCs w:val="23"/>
                  </w:rPr>
                  <m:t>t</m:t>
                </m:r>
              </m:sub>
            </m:sSub>
          </m:num>
          <m:den>
            <m:sSub>
              <m:sSubPr>
                <m:ctrlPr>
                  <w:rPr>
                    <w:rFonts w:ascii="Cambria Math" w:hAnsi="Cambria Math"/>
                    <w:i/>
                    <w:sz w:val="23"/>
                    <w:szCs w:val="23"/>
                  </w:rPr>
                </m:ctrlPr>
              </m:sSubPr>
              <m:e>
                <m:r>
                  <w:rPr>
                    <w:rFonts w:ascii="Cambria Math" w:hAnsi="Cambria Math"/>
                    <w:sz w:val="23"/>
                    <w:szCs w:val="23"/>
                  </w:rPr>
                  <m:t>y</m:t>
                </m:r>
              </m:e>
              <m:sub>
                <m:r>
                  <w:rPr>
                    <w:rFonts w:ascii="Cambria Math" w:hAnsi="Cambria Math"/>
                    <w:sz w:val="23"/>
                    <w:szCs w:val="23"/>
                  </w:rPr>
                  <m:t>t</m:t>
                </m:r>
              </m:sub>
            </m:sSub>
          </m:den>
        </m:f>
      </m:oMath>
      <w:r w:rsidRPr="00A40DDC">
        <w:rPr>
          <w:rFonts w:eastAsiaTheme="minorEastAsia" w:hint="cs"/>
          <w:i/>
          <w:sz w:val="23"/>
          <w:szCs w:val="23"/>
          <w:rtl/>
        </w:rPr>
        <w:t xml:space="preserve"> (</w:t>
      </w:r>
      <w:r w:rsidRPr="00A40DDC">
        <w:rPr>
          <w:i/>
          <w:sz w:val="23"/>
          <w:szCs w:val="23"/>
          <w:rtl/>
        </w:rPr>
        <w:t xml:space="preserve">همانند کسری بودجه اولیه دولت </w:t>
      </w:r>
      <w:r w:rsidRPr="00A40DDC">
        <w:rPr>
          <w:rFonts w:hint="cs"/>
          <w:i/>
          <w:sz w:val="23"/>
          <w:szCs w:val="23"/>
          <w:rtl/>
        </w:rPr>
        <w:t>نسبت به</w:t>
      </w:r>
      <w:r w:rsidRPr="00A40DDC">
        <w:rPr>
          <w:i/>
          <w:sz w:val="23"/>
          <w:szCs w:val="23"/>
          <w:rtl/>
        </w:rPr>
        <w:t xml:space="preserve"> </w:t>
      </w:r>
      <w:r w:rsidRPr="00A40DDC">
        <w:rPr>
          <w:i/>
          <w:sz w:val="23"/>
          <w:szCs w:val="23"/>
        </w:rPr>
        <w:t>GDP</w:t>
      </w:r>
      <w:r w:rsidRPr="00A40DDC">
        <w:rPr>
          <w:i/>
          <w:sz w:val="23"/>
          <w:szCs w:val="23"/>
          <w:rtl/>
        </w:rPr>
        <w:t xml:space="preserve"> در فصل </w:t>
      </w:r>
      <w:r w:rsidRPr="00A40DDC">
        <w:rPr>
          <w:rFonts w:hint="cs"/>
          <w:i/>
          <w:sz w:val="23"/>
          <w:szCs w:val="23"/>
          <w:rtl/>
        </w:rPr>
        <w:t xml:space="preserve">پنجم)، </w:t>
      </w:r>
      <w:r w:rsidRPr="00A40DDC">
        <w:rPr>
          <w:i/>
          <w:sz w:val="23"/>
          <w:szCs w:val="23"/>
          <w:rtl/>
        </w:rPr>
        <w:t xml:space="preserve">مازاد </w:t>
      </w:r>
      <w:r w:rsidRPr="00A40DDC">
        <w:rPr>
          <w:rFonts w:hint="cs"/>
          <w:i/>
          <w:sz w:val="23"/>
          <w:szCs w:val="23"/>
          <w:rtl/>
        </w:rPr>
        <w:t>حساب جاری</w:t>
      </w:r>
      <w:r w:rsidRPr="00A40DDC">
        <w:rPr>
          <w:i/>
          <w:sz w:val="23"/>
          <w:szCs w:val="23"/>
          <w:rtl/>
        </w:rPr>
        <w:t xml:space="preserve"> اولیه </w:t>
      </w:r>
      <w:r w:rsidRPr="00A40DDC">
        <w:rPr>
          <w:rFonts w:hint="cs"/>
          <w:i/>
          <w:sz w:val="23"/>
          <w:szCs w:val="23"/>
          <w:rtl/>
        </w:rPr>
        <w:t>نسبت به</w:t>
      </w:r>
      <w:r w:rsidRPr="00A40DDC">
        <w:rPr>
          <w:i/>
          <w:sz w:val="23"/>
          <w:szCs w:val="23"/>
          <w:rtl/>
        </w:rPr>
        <w:t xml:space="preserve"> </w:t>
      </w:r>
      <w:r w:rsidRPr="00A40DDC">
        <w:rPr>
          <w:i/>
          <w:sz w:val="23"/>
          <w:szCs w:val="23"/>
        </w:rPr>
        <w:t>GDP</w:t>
      </w:r>
      <w:r w:rsidRPr="00A40DDC">
        <w:rPr>
          <w:i/>
          <w:sz w:val="23"/>
          <w:szCs w:val="23"/>
          <w:rtl/>
        </w:rPr>
        <w:t xml:space="preserve"> </w:t>
      </w:r>
      <w:r w:rsidRPr="00A40DDC">
        <w:rPr>
          <w:rFonts w:hint="cs"/>
          <w:i/>
          <w:sz w:val="23"/>
          <w:szCs w:val="23"/>
          <w:rtl/>
        </w:rPr>
        <w:t>است</w:t>
      </w:r>
      <w:r w:rsidRPr="00A40DDC">
        <w:rPr>
          <w:i/>
          <w:sz w:val="23"/>
          <w:szCs w:val="23"/>
          <w:rtl/>
        </w:rPr>
        <w:t>. در رابطه</w:t>
      </w:r>
      <w:r w:rsidRPr="00A40DDC">
        <w:rPr>
          <w:i/>
          <w:sz w:val="23"/>
          <w:szCs w:val="23"/>
          <w:rtl/>
        </w:rPr>
        <w:softHyphen/>
      </w:r>
      <w:r w:rsidRPr="00A40DDC">
        <w:rPr>
          <w:rFonts w:hint="cs"/>
          <w:i/>
          <w:sz w:val="23"/>
          <w:szCs w:val="23"/>
          <w:rtl/>
        </w:rPr>
        <w:t>ی</w:t>
      </w:r>
      <w:r w:rsidRPr="00A40DDC">
        <w:rPr>
          <w:i/>
          <w:sz w:val="23"/>
          <w:szCs w:val="23"/>
          <w:rtl/>
        </w:rPr>
        <w:t xml:space="preserve"> </w:t>
      </w:r>
      <w:r w:rsidRPr="00A40DDC">
        <w:rPr>
          <w:rFonts w:hint="cs"/>
          <w:i/>
          <w:sz w:val="23"/>
          <w:szCs w:val="23"/>
          <w:rtl/>
        </w:rPr>
        <w:t>(۷. ۴۵</w:t>
      </w:r>
      <w:r w:rsidRPr="00A40DDC">
        <w:rPr>
          <w:i/>
          <w:sz w:val="23"/>
          <w:szCs w:val="23"/>
          <w:rtl/>
        </w:rPr>
        <w:t xml:space="preserve"> </w:t>
      </w:r>
      <w:r w:rsidRPr="00A40DDC">
        <w:rPr>
          <w:rFonts w:hint="cs"/>
          <w:i/>
          <w:sz w:val="23"/>
          <w:szCs w:val="23"/>
          <w:rtl/>
        </w:rPr>
        <w:t xml:space="preserve">) </w:t>
      </w:r>
      <w:r w:rsidRPr="00A40DDC">
        <w:rPr>
          <w:i/>
          <w:sz w:val="23"/>
          <w:szCs w:val="23"/>
          <w:rtl/>
        </w:rPr>
        <w:t>اگر نرخ بهره</w:t>
      </w:r>
      <w:r w:rsidRPr="00A40DDC">
        <w:rPr>
          <w:i/>
          <w:sz w:val="23"/>
          <w:szCs w:val="23"/>
          <w:rtl/>
        </w:rPr>
        <w:softHyphen/>
      </w:r>
      <w:r w:rsidRPr="00A40DDC">
        <w:rPr>
          <w:rFonts w:hint="cs"/>
          <w:i/>
          <w:sz w:val="23"/>
          <w:szCs w:val="23"/>
          <w:rtl/>
        </w:rPr>
        <w:t>ی</w:t>
      </w:r>
      <w:r w:rsidRPr="00A40DDC">
        <w:rPr>
          <w:i/>
          <w:sz w:val="23"/>
          <w:szCs w:val="23"/>
          <w:rtl/>
        </w:rPr>
        <w:t xml:space="preserve"> داخل و خارج از طریق</w:t>
      </w:r>
      <w:r w:rsidRPr="00A40DDC">
        <w:rPr>
          <w:rFonts w:hint="cs"/>
          <w:i/>
          <w:sz w:val="23"/>
          <w:szCs w:val="23"/>
          <w:rtl/>
        </w:rPr>
        <w:t xml:space="preserve"> برابری نرخ بهره</w:t>
      </w:r>
      <w:r w:rsidRPr="00A40DDC">
        <w:rPr>
          <w:i/>
          <w:sz w:val="23"/>
          <w:szCs w:val="23"/>
          <w:rtl/>
        </w:rPr>
        <w:softHyphen/>
      </w:r>
      <w:r w:rsidRPr="00A40DDC">
        <w:rPr>
          <w:rFonts w:hint="cs"/>
          <w:i/>
          <w:sz w:val="23"/>
          <w:szCs w:val="23"/>
          <w:rtl/>
        </w:rPr>
        <w:t>ی بدون پوشش</w:t>
      </w:r>
      <w:r w:rsidRPr="00A40DDC">
        <w:rPr>
          <w:i/>
          <w:sz w:val="23"/>
          <w:szCs w:val="23"/>
          <w:rtl/>
        </w:rPr>
        <w:t xml:space="preserve"> </w:t>
      </w:r>
      <w:r w:rsidRPr="00A40DDC">
        <w:rPr>
          <w:i/>
          <w:sz w:val="23"/>
          <w:szCs w:val="23"/>
        </w:rPr>
        <w:t>UIP</w:t>
      </w:r>
      <w:r w:rsidRPr="00A40DDC">
        <w:rPr>
          <w:i/>
          <w:sz w:val="23"/>
          <w:szCs w:val="23"/>
          <w:rtl/>
        </w:rPr>
        <w:t xml:space="preserve"> یعنی</w:t>
      </w:r>
      <w:r w:rsidRPr="00A40DDC">
        <w:rPr>
          <w:rFonts w:hint="cs"/>
          <w:i/>
          <w:sz w:val="23"/>
          <w:szCs w:val="23"/>
          <w:rtl/>
        </w:rPr>
        <w:t xml:space="preserve"> رابطه</w:t>
      </w:r>
      <w:r w:rsidRPr="00A40DDC">
        <w:rPr>
          <w:i/>
          <w:sz w:val="23"/>
          <w:szCs w:val="23"/>
          <w:rtl/>
        </w:rPr>
        <w:softHyphen/>
      </w:r>
      <w:r w:rsidRPr="00A40DDC">
        <w:rPr>
          <w:rFonts w:hint="cs"/>
          <w:i/>
          <w:sz w:val="23"/>
          <w:szCs w:val="23"/>
          <w:rtl/>
        </w:rPr>
        <w:t>ی</w:t>
      </w:r>
      <w:r w:rsidRPr="00A40DDC">
        <w:rPr>
          <w:i/>
          <w:sz w:val="23"/>
          <w:szCs w:val="23"/>
          <w:rtl/>
        </w:rPr>
        <w:t xml:space="preserve"> </w:t>
      </w:r>
      <w:r w:rsidRPr="00A40DDC">
        <w:rPr>
          <w:position w:val="-10"/>
        </w:rPr>
        <w:object w:dxaOrig="1359" w:dyaOrig="340" w14:anchorId="68DD2A92">
          <v:shape id="_x0000_i3927" type="#_x0000_t75" style="width:67.75pt;height:16.95pt" o:ole="">
            <v:imagedata r:id="rId5843" o:title=""/>
          </v:shape>
          <o:OLEObject Type="Embed" ProgID="Equation.DSMT4" ShapeID="_x0000_i3927" DrawAspect="Content" ObjectID="_1791377871" r:id="rId5844"/>
        </w:object>
      </w:r>
      <w:r w:rsidRPr="00A40DDC">
        <w:rPr>
          <w:i/>
          <w:sz w:val="23"/>
          <w:szCs w:val="23"/>
          <w:rtl/>
        </w:rPr>
        <w:t xml:space="preserve"> برابر باش</w:t>
      </w:r>
      <w:r w:rsidRPr="00A40DDC">
        <w:rPr>
          <w:rFonts w:hint="cs"/>
          <w:i/>
          <w:sz w:val="23"/>
          <w:szCs w:val="23"/>
          <w:rtl/>
        </w:rPr>
        <w:t>ن</w:t>
      </w:r>
      <w:r w:rsidRPr="00A40DDC">
        <w:rPr>
          <w:i/>
          <w:sz w:val="23"/>
          <w:szCs w:val="23"/>
          <w:rtl/>
        </w:rPr>
        <w:t>د</w:t>
      </w:r>
      <w:r w:rsidRPr="00A40DDC">
        <w:rPr>
          <w:rFonts w:hint="cs"/>
          <w:i/>
          <w:sz w:val="23"/>
          <w:szCs w:val="23"/>
          <w:rtl/>
        </w:rPr>
        <w:t>،</w:t>
      </w:r>
      <w:r w:rsidRPr="00A40DDC">
        <w:rPr>
          <w:i/>
          <w:sz w:val="23"/>
          <w:szCs w:val="23"/>
          <w:rtl/>
        </w:rPr>
        <w:t xml:space="preserve"> و</w:t>
      </w:r>
      <w:r w:rsidRPr="00A40DDC">
        <w:rPr>
          <w:rFonts w:hint="cs"/>
          <w:i/>
          <w:sz w:val="23"/>
          <w:szCs w:val="23"/>
          <w:rtl/>
        </w:rPr>
        <w:t xml:space="preserve"> </w:t>
      </w:r>
      <w:r w:rsidRPr="00A40DDC">
        <w:rPr>
          <w:i/>
          <w:sz w:val="23"/>
          <w:szCs w:val="23"/>
          <w:rtl/>
        </w:rPr>
        <w:t>نرخ ارز ثابت باشد</w:t>
      </w:r>
      <w:r w:rsidRPr="00A40DDC">
        <w:rPr>
          <w:rFonts w:hint="cs"/>
          <w:i/>
          <w:sz w:val="23"/>
          <w:szCs w:val="23"/>
          <w:rtl/>
        </w:rPr>
        <w:t>،</w:t>
      </w:r>
      <w:r w:rsidRPr="00A40DDC">
        <w:rPr>
          <w:i/>
          <w:sz w:val="23"/>
          <w:szCs w:val="23"/>
          <w:rtl/>
        </w:rPr>
        <w:t xml:space="preserve"> آنگاه </w:t>
      </w:r>
      <w:r w:rsidRPr="00A40DDC">
        <w:rPr>
          <w:position w:val="-10"/>
        </w:rPr>
        <w:object w:dxaOrig="220" w:dyaOrig="320" w14:anchorId="07B707E5">
          <v:shape id="_x0000_i3928" type="#_x0000_t75" style="width:10.9pt;height:15.75pt" o:ole="">
            <v:imagedata r:id="rId5845" o:title=""/>
          </v:shape>
          <o:OLEObject Type="Embed" ProgID="Equation.DSMT4" ShapeID="_x0000_i3928" DrawAspect="Content" ObjectID="_1791377872" r:id="rId5846"/>
        </w:object>
      </w:r>
      <w:r w:rsidRPr="00A40DDC">
        <w:rPr>
          <w:i/>
          <w:sz w:val="23"/>
          <w:szCs w:val="23"/>
          <w:rtl/>
        </w:rPr>
        <w:t xml:space="preserve"> همان </w:t>
      </w:r>
      <w:r w:rsidRPr="00A40DDC">
        <w:rPr>
          <w:rFonts w:hint="cs"/>
          <w:i/>
          <w:sz w:val="23"/>
          <w:szCs w:val="23"/>
          <w:rtl/>
        </w:rPr>
        <w:t>تراز تجاری</w:t>
      </w:r>
      <w:r w:rsidRPr="00A40DDC">
        <w:rPr>
          <w:i/>
          <w:sz w:val="23"/>
          <w:szCs w:val="23"/>
          <w:rtl/>
        </w:rPr>
        <w:t xml:space="preserve"> است. لذا دو قسمت سمت راست رابطه</w:t>
      </w:r>
      <w:r w:rsidRPr="00A40DDC">
        <w:rPr>
          <w:i/>
          <w:sz w:val="23"/>
          <w:szCs w:val="23"/>
          <w:rtl/>
        </w:rPr>
        <w:softHyphen/>
      </w:r>
      <w:r w:rsidRPr="00A40DDC">
        <w:rPr>
          <w:rFonts w:hint="cs"/>
          <w:i/>
          <w:sz w:val="23"/>
          <w:szCs w:val="23"/>
          <w:rtl/>
        </w:rPr>
        <w:t>ی</w:t>
      </w:r>
      <w:r w:rsidRPr="00A40DDC">
        <w:rPr>
          <w:i/>
          <w:sz w:val="23"/>
          <w:szCs w:val="23"/>
          <w:rtl/>
        </w:rPr>
        <w:t xml:space="preserve"> </w:t>
      </w:r>
      <w:r w:rsidRPr="00A40DDC">
        <w:rPr>
          <w:rFonts w:hint="cs"/>
          <w:i/>
          <w:sz w:val="23"/>
          <w:szCs w:val="23"/>
          <w:rtl/>
        </w:rPr>
        <w:t>(۷. ۴۵</w:t>
      </w:r>
      <w:r w:rsidRPr="00A40DDC">
        <w:rPr>
          <w:i/>
          <w:sz w:val="23"/>
          <w:szCs w:val="23"/>
          <w:rtl/>
        </w:rPr>
        <w:t xml:space="preserve"> </w:t>
      </w:r>
      <w:r w:rsidRPr="00A40DDC">
        <w:rPr>
          <w:rFonts w:hint="cs"/>
          <w:i/>
          <w:sz w:val="23"/>
          <w:szCs w:val="23"/>
          <w:rtl/>
        </w:rPr>
        <w:t xml:space="preserve">) </w:t>
      </w:r>
      <w:r w:rsidRPr="00A40DDC">
        <w:rPr>
          <w:i/>
          <w:sz w:val="23"/>
          <w:szCs w:val="23"/>
          <w:rtl/>
        </w:rPr>
        <w:t>زمانی در این رابطه حفظ می</w:t>
      </w:r>
      <w:r w:rsidRPr="00A40DDC">
        <w:rPr>
          <w:rFonts w:hint="cs"/>
          <w:i/>
          <w:sz w:val="23"/>
          <w:szCs w:val="23"/>
          <w:rtl/>
        </w:rPr>
        <w:t>‌</w:t>
      </w:r>
      <w:r w:rsidRPr="00A40DDC">
        <w:rPr>
          <w:i/>
          <w:sz w:val="23"/>
          <w:szCs w:val="23"/>
          <w:rtl/>
        </w:rPr>
        <w:t>شود که این شروط وجود نداشته باشد</w:t>
      </w:r>
      <w:r w:rsidRPr="00A40DDC">
        <w:rPr>
          <w:rFonts w:hint="cs"/>
          <w:i/>
          <w:sz w:val="23"/>
          <w:szCs w:val="23"/>
          <w:rtl/>
        </w:rPr>
        <w:t>.</w:t>
      </w:r>
      <w:r w:rsidRPr="00A40DDC">
        <w:rPr>
          <w:i/>
          <w:sz w:val="23"/>
          <w:szCs w:val="23"/>
          <w:rtl/>
        </w:rPr>
        <w:t xml:space="preserve"> در اولی اگر</w:t>
      </w:r>
      <w:r w:rsidRPr="00A40DDC">
        <w:rPr>
          <w:position w:val="-10"/>
        </w:rPr>
        <w:object w:dxaOrig="760" w:dyaOrig="340" w14:anchorId="13B6A267">
          <v:shape id="_x0000_i3929" type="#_x0000_t75" style="width:38.1pt;height:16.95pt" o:ole="">
            <v:imagedata r:id="rId5847" o:title=""/>
          </v:shape>
          <o:OLEObject Type="Embed" ProgID="Equation.DSMT4" ShapeID="_x0000_i3929" DrawAspect="Content" ObjectID="_1791377873" r:id="rId5848"/>
        </w:object>
      </w:r>
      <w:r w:rsidRPr="00A40DDC">
        <w:rPr>
          <w:i/>
          <w:sz w:val="23"/>
          <w:szCs w:val="23"/>
          <w:rtl/>
        </w:rPr>
        <w:t xml:space="preserve"> باشد</w:t>
      </w:r>
      <w:r w:rsidRPr="00A40DDC">
        <w:rPr>
          <w:rFonts w:hint="cs"/>
          <w:i/>
          <w:sz w:val="23"/>
          <w:szCs w:val="23"/>
          <w:rtl/>
        </w:rPr>
        <w:t>،</w:t>
      </w:r>
      <w:r w:rsidRPr="00A40DDC">
        <w:rPr>
          <w:i/>
          <w:sz w:val="23"/>
          <w:szCs w:val="23"/>
          <w:rtl/>
        </w:rPr>
        <w:t xml:space="preserve"> یعنی اضافه </w:t>
      </w:r>
      <w:r w:rsidRPr="00A40DDC">
        <w:rPr>
          <w:rFonts w:hint="cs"/>
          <w:i/>
          <w:sz w:val="23"/>
          <w:szCs w:val="23"/>
          <w:rtl/>
        </w:rPr>
        <w:t>ب</w:t>
      </w:r>
      <w:r w:rsidRPr="00A40DDC">
        <w:rPr>
          <w:i/>
          <w:sz w:val="23"/>
          <w:szCs w:val="23"/>
          <w:rtl/>
        </w:rPr>
        <w:t>هره</w:t>
      </w:r>
      <w:r w:rsidRPr="00A40DDC">
        <w:rPr>
          <w:i/>
          <w:sz w:val="23"/>
          <w:szCs w:val="23"/>
          <w:rtl/>
        </w:rPr>
        <w:softHyphen/>
      </w:r>
      <w:r w:rsidRPr="00A40DDC">
        <w:rPr>
          <w:rFonts w:hint="cs"/>
          <w:i/>
          <w:sz w:val="23"/>
          <w:szCs w:val="23"/>
          <w:rtl/>
        </w:rPr>
        <w:t>ی</w:t>
      </w:r>
      <w:r w:rsidRPr="00A40DDC">
        <w:rPr>
          <w:i/>
          <w:sz w:val="23"/>
          <w:szCs w:val="23"/>
          <w:rtl/>
        </w:rPr>
        <w:t xml:space="preserve"> پرداختی به خارجی</w:t>
      </w:r>
      <w:r w:rsidRPr="00A40DDC">
        <w:rPr>
          <w:rFonts w:hint="cs"/>
          <w:i/>
          <w:sz w:val="23"/>
          <w:szCs w:val="23"/>
          <w:rtl/>
        </w:rPr>
        <w:t>‌</w:t>
      </w:r>
      <w:r w:rsidRPr="00A40DDC">
        <w:rPr>
          <w:i/>
          <w:sz w:val="23"/>
          <w:szCs w:val="23"/>
          <w:rtl/>
        </w:rPr>
        <w:t xml:space="preserve">ها بابت نگهداری دارایی مالی داخلی </w:t>
      </w:r>
      <w:r w:rsidRPr="00A40DDC">
        <w:rPr>
          <w:rFonts w:hint="cs"/>
          <w:i/>
          <w:sz w:val="23"/>
          <w:szCs w:val="23"/>
          <w:rtl/>
        </w:rPr>
        <w:t>وجود داشته باشد،</w:t>
      </w:r>
      <w:r w:rsidRPr="00A40DDC">
        <w:rPr>
          <w:i/>
          <w:sz w:val="23"/>
          <w:szCs w:val="23"/>
          <w:rtl/>
        </w:rPr>
        <w:t xml:space="preserve"> و قسمت دوم هزینه</w:t>
      </w:r>
      <w:r w:rsidRPr="00A40DDC">
        <w:rPr>
          <w:i/>
          <w:sz w:val="23"/>
          <w:szCs w:val="23"/>
          <w:rtl/>
        </w:rPr>
        <w:softHyphen/>
      </w:r>
      <w:r w:rsidRPr="00A40DDC">
        <w:rPr>
          <w:rFonts w:hint="cs"/>
          <w:i/>
          <w:sz w:val="23"/>
          <w:szCs w:val="23"/>
          <w:rtl/>
        </w:rPr>
        <w:t>ی</w:t>
      </w:r>
      <w:r w:rsidRPr="00A40DDC">
        <w:rPr>
          <w:i/>
          <w:sz w:val="23"/>
          <w:szCs w:val="23"/>
          <w:rtl/>
        </w:rPr>
        <w:t xml:space="preserve"> </w:t>
      </w:r>
      <w:r w:rsidRPr="00A40DDC">
        <w:rPr>
          <w:rFonts w:hint="cs"/>
          <w:i/>
          <w:sz w:val="23"/>
          <w:szCs w:val="23"/>
          <w:rtl/>
        </w:rPr>
        <w:t xml:space="preserve">تجدید </w:t>
      </w:r>
      <w:r w:rsidRPr="00A40DDC">
        <w:rPr>
          <w:i/>
          <w:sz w:val="23"/>
          <w:szCs w:val="23"/>
          <w:rtl/>
        </w:rPr>
        <w:t>ارزیابی دارایی</w:t>
      </w:r>
      <w:r w:rsidRPr="00A40DDC">
        <w:rPr>
          <w:rFonts w:hint="cs"/>
          <w:i/>
          <w:sz w:val="23"/>
          <w:szCs w:val="23"/>
          <w:rtl/>
        </w:rPr>
        <w:t>‌</w:t>
      </w:r>
      <w:r w:rsidRPr="00A40DDC">
        <w:rPr>
          <w:i/>
          <w:sz w:val="23"/>
          <w:szCs w:val="23"/>
          <w:rtl/>
        </w:rPr>
        <w:t>های داخلی نزد خارجی</w:t>
      </w:r>
      <w:r w:rsidRPr="00A40DDC">
        <w:rPr>
          <w:i/>
          <w:sz w:val="23"/>
          <w:szCs w:val="23"/>
          <w:rtl/>
        </w:rPr>
        <w:softHyphen/>
        <w:t>ها است که بر اسا</w:t>
      </w:r>
      <w:r w:rsidRPr="00A40DDC">
        <w:rPr>
          <w:rFonts w:hint="cs"/>
          <w:i/>
          <w:sz w:val="23"/>
          <w:szCs w:val="23"/>
          <w:rtl/>
        </w:rPr>
        <w:t>س کاهش ارزش پول داخلی</w:t>
      </w:r>
      <w:r w:rsidRPr="00A40DDC">
        <w:rPr>
          <w:i/>
          <w:sz w:val="23"/>
          <w:szCs w:val="23"/>
          <w:rtl/>
        </w:rPr>
        <w:t xml:space="preserve"> اتفاق افت</w:t>
      </w:r>
      <w:r w:rsidRPr="00A40DDC">
        <w:rPr>
          <w:rFonts w:hint="cs"/>
          <w:i/>
          <w:sz w:val="23"/>
          <w:szCs w:val="23"/>
          <w:rtl/>
        </w:rPr>
        <w:t>ا</w:t>
      </w:r>
      <w:r w:rsidRPr="00A40DDC">
        <w:rPr>
          <w:i/>
          <w:sz w:val="23"/>
          <w:szCs w:val="23"/>
          <w:rtl/>
        </w:rPr>
        <w:t>د</w:t>
      </w:r>
      <w:r w:rsidRPr="00A40DDC">
        <w:rPr>
          <w:rFonts w:hint="cs"/>
          <w:i/>
          <w:sz w:val="23"/>
          <w:szCs w:val="23"/>
          <w:rtl/>
        </w:rPr>
        <w:t>ه،</w:t>
      </w:r>
      <w:r w:rsidRPr="00A40DDC">
        <w:rPr>
          <w:i/>
          <w:sz w:val="23"/>
          <w:szCs w:val="23"/>
          <w:rtl/>
        </w:rPr>
        <w:t xml:space="preserve"> </w:t>
      </w:r>
      <w:r w:rsidRPr="00A40DDC">
        <w:rPr>
          <w:rFonts w:hint="cs"/>
          <w:i/>
          <w:sz w:val="23"/>
          <w:szCs w:val="23"/>
          <w:rtl/>
        </w:rPr>
        <w:t xml:space="preserve">و </w:t>
      </w:r>
      <w:r w:rsidRPr="00A40DDC">
        <w:rPr>
          <w:i/>
          <w:sz w:val="23"/>
          <w:szCs w:val="23"/>
          <w:rtl/>
        </w:rPr>
        <w:t>با افزایش نرخ رشد داخلی این هزینه افزایش می</w:t>
      </w:r>
      <w:r w:rsidRPr="00A40DDC">
        <w:rPr>
          <w:rFonts w:hint="cs"/>
          <w:i/>
          <w:sz w:val="23"/>
          <w:szCs w:val="23"/>
          <w:rtl/>
        </w:rPr>
        <w:t>‌</w:t>
      </w:r>
      <w:r w:rsidRPr="00A40DDC">
        <w:rPr>
          <w:i/>
          <w:sz w:val="23"/>
          <w:szCs w:val="23"/>
          <w:rtl/>
        </w:rPr>
        <w:t>یابد.</w:t>
      </w:r>
    </w:p>
    <w:p w14:paraId="1F939865" w14:textId="77777777" w:rsidR="00411620" w:rsidRPr="00A40DDC" w:rsidRDefault="00411620" w:rsidP="00411620">
      <w:pPr>
        <w:tabs>
          <w:tab w:val="left" w:pos="3521"/>
        </w:tabs>
        <w:spacing w:line="216" w:lineRule="auto"/>
        <w:rPr>
          <w:i/>
          <w:sz w:val="23"/>
          <w:szCs w:val="23"/>
          <w:rtl/>
        </w:rPr>
      </w:pPr>
      <w:r w:rsidRPr="00A40DDC">
        <w:rPr>
          <w:i/>
          <w:sz w:val="23"/>
          <w:szCs w:val="23"/>
          <w:rtl/>
        </w:rPr>
        <w:t xml:space="preserve">معادله </w:t>
      </w:r>
      <w:r w:rsidRPr="00A40DDC">
        <w:rPr>
          <w:rFonts w:hint="cs"/>
          <w:i/>
          <w:sz w:val="23"/>
          <w:szCs w:val="23"/>
          <w:rtl/>
        </w:rPr>
        <w:t>(۷. ۴۴)</w:t>
      </w:r>
      <w:r w:rsidRPr="00A40DDC">
        <w:rPr>
          <w:i/>
          <w:sz w:val="23"/>
          <w:szCs w:val="23"/>
          <w:rtl/>
        </w:rPr>
        <w:t xml:space="preserve"> یک معادله</w:t>
      </w:r>
      <w:r w:rsidRPr="00A40DDC">
        <w:rPr>
          <w:i/>
          <w:sz w:val="23"/>
          <w:szCs w:val="23"/>
          <w:rtl/>
        </w:rPr>
        <w:softHyphen/>
      </w:r>
      <w:r w:rsidRPr="00A40DDC">
        <w:rPr>
          <w:rFonts w:hint="cs"/>
          <w:i/>
          <w:sz w:val="23"/>
          <w:szCs w:val="23"/>
          <w:rtl/>
        </w:rPr>
        <w:t>ی</w:t>
      </w:r>
      <w:r w:rsidRPr="00A40DDC">
        <w:rPr>
          <w:i/>
          <w:sz w:val="23"/>
          <w:szCs w:val="23"/>
          <w:rtl/>
        </w:rPr>
        <w:t xml:space="preserve"> تفاضلی است</w:t>
      </w:r>
      <w:r w:rsidRPr="00A40DDC">
        <w:rPr>
          <w:rFonts w:hint="cs"/>
          <w:i/>
          <w:sz w:val="23"/>
          <w:szCs w:val="23"/>
          <w:rtl/>
        </w:rPr>
        <w:t xml:space="preserve"> و لذا </w:t>
      </w:r>
      <w:r w:rsidRPr="00A40DDC">
        <w:rPr>
          <w:i/>
          <w:sz w:val="23"/>
          <w:szCs w:val="23"/>
          <w:rtl/>
        </w:rPr>
        <w:t xml:space="preserve">تجزیه و تحلیل پایداری </w:t>
      </w:r>
      <w:r w:rsidRPr="00A40DDC">
        <w:rPr>
          <w:rFonts w:hint="cs"/>
          <w:i/>
          <w:sz w:val="23"/>
          <w:szCs w:val="23"/>
          <w:rtl/>
        </w:rPr>
        <w:t>تراز پرداخت‌ها یع</w:t>
      </w:r>
      <w:r w:rsidRPr="00A40DDC">
        <w:rPr>
          <w:i/>
          <w:sz w:val="23"/>
          <w:szCs w:val="23"/>
          <w:rtl/>
        </w:rPr>
        <w:t xml:space="preserve">نی </w:t>
      </w:r>
      <w:r w:rsidRPr="00A40DDC">
        <w:rPr>
          <w:rFonts w:hint="cs"/>
          <w:i/>
          <w:sz w:val="23"/>
          <w:szCs w:val="23"/>
          <w:rtl/>
        </w:rPr>
        <w:t xml:space="preserve">بررسی </w:t>
      </w:r>
      <w:r w:rsidRPr="00A40DDC">
        <w:rPr>
          <w:i/>
          <w:sz w:val="23"/>
          <w:szCs w:val="23"/>
          <w:rtl/>
        </w:rPr>
        <w:t xml:space="preserve">ثبات رابطه </w:t>
      </w:r>
      <w:r w:rsidRPr="00A40DDC">
        <w:rPr>
          <w:rFonts w:hint="cs"/>
          <w:i/>
          <w:sz w:val="23"/>
          <w:szCs w:val="23"/>
          <w:rtl/>
        </w:rPr>
        <w:t>(۷. ۴۴).</w:t>
      </w:r>
      <w:r w:rsidRPr="00A40DDC">
        <w:rPr>
          <w:i/>
          <w:sz w:val="23"/>
          <w:szCs w:val="23"/>
          <w:rtl/>
        </w:rPr>
        <w:t xml:space="preserve"> </w:t>
      </w:r>
      <w:r w:rsidRPr="00A40DDC">
        <w:rPr>
          <w:i/>
          <w:sz w:val="23"/>
          <w:szCs w:val="23"/>
        </w:rPr>
        <w:t xml:space="preserve"> </w:t>
      </w:r>
      <w:r w:rsidRPr="00A40DDC">
        <w:rPr>
          <w:rFonts w:hint="cs"/>
          <w:i/>
          <w:sz w:val="23"/>
          <w:szCs w:val="23"/>
          <w:rtl/>
        </w:rPr>
        <w:t xml:space="preserve">اگر </w:t>
      </w:r>
      <w:r w:rsidRPr="00A40DDC">
        <w:rPr>
          <w:i/>
          <w:sz w:val="23"/>
          <w:szCs w:val="23"/>
          <w:rtl/>
        </w:rPr>
        <w:t xml:space="preserve">فرض کنیم </w:t>
      </w:r>
      <w:r w:rsidRPr="00A40DDC">
        <w:rPr>
          <w:i/>
          <w:sz w:val="23"/>
          <w:szCs w:val="23"/>
        </w:rPr>
        <w:t>UIP</w:t>
      </w:r>
      <w:r w:rsidRPr="00A40DDC">
        <w:rPr>
          <w:i/>
          <w:sz w:val="23"/>
          <w:szCs w:val="23"/>
          <w:rtl/>
        </w:rPr>
        <w:t xml:space="preserve"> وجود دارد و</w:t>
      </w:r>
      <w:r w:rsidRPr="00A40DDC">
        <w:rPr>
          <w:rFonts w:hint="cs"/>
          <w:i/>
          <w:sz w:val="23"/>
          <w:szCs w:val="23"/>
          <w:rtl/>
        </w:rPr>
        <w:t xml:space="preserve"> </w:t>
      </w:r>
      <w:r w:rsidRPr="00A40DDC">
        <w:rPr>
          <w:position w:val="-10"/>
        </w:rPr>
        <w:object w:dxaOrig="220" w:dyaOrig="320" w14:anchorId="60810476">
          <v:shape id="_x0000_i3930" type="#_x0000_t75" style="width:10.9pt;height:15.75pt" o:ole="">
            <v:imagedata r:id="rId5849" o:title=""/>
          </v:shape>
          <o:OLEObject Type="Embed" ProgID="Equation.DSMT4" ShapeID="_x0000_i3930" DrawAspect="Content" ObjectID="_1791377874" r:id="rId5850"/>
        </w:object>
      </w:r>
      <w:r w:rsidRPr="00A40DDC">
        <w:rPr>
          <w:rFonts w:hint="cs"/>
          <w:i/>
          <w:sz w:val="23"/>
          <w:szCs w:val="23"/>
          <w:rtl/>
        </w:rPr>
        <w:t xml:space="preserve">، </w:t>
      </w:r>
      <w:r w:rsidRPr="00A40DDC">
        <w:rPr>
          <w:position w:val="-10"/>
        </w:rPr>
        <w:object w:dxaOrig="240" w:dyaOrig="320" w14:anchorId="509501CD">
          <v:shape id="_x0000_i3931" type="#_x0000_t75" style="width:11.5pt;height:15.75pt" o:ole="">
            <v:imagedata r:id="rId5851" o:title=""/>
          </v:shape>
          <o:OLEObject Type="Embed" ProgID="Equation.DSMT4" ShapeID="_x0000_i3931" DrawAspect="Content" ObjectID="_1791377875" r:id="rId5852"/>
        </w:object>
      </w:r>
      <w:r w:rsidRPr="00A40DDC">
        <w:rPr>
          <w:i/>
          <w:sz w:val="23"/>
          <w:szCs w:val="23"/>
          <w:rtl/>
        </w:rPr>
        <w:t>،</w:t>
      </w:r>
      <w:r w:rsidRPr="00A40DDC">
        <w:rPr>
          <w:position w:val="-10"/>
        </w:rPr>
        <w:object w:dxaOrig="300" w:dyaOrig="340" w14:anchorId="7F72F4A1">
          <v:shape id="_x0000_i3932" type="#_x0000_t75" style="width:14.5pt;height:16.95pt" o:ole="">
            <v:imagedata r:id="rId5853" o:title=""/>
          </v:shape>
          <o:OLEObject Type="Embed" ProgID="Equation.DSMT4" ShapeID="_x0000_i3932" DrawAspect="Content" ObjectID="_1791377876" r:id="rId5854"/>
        </w:object>
      </w:r>
      <w:r w:rsidRPr="00A40DDC">
        <w:rPr>
          <w:i/>
          <w:sz w:val="23"/>
          <w:szCs w:val="23"/>
          <w:rtl/>
        </w:rPr>
        <w:t xml:space="preserve"> و</w:t>
      </w:r>
      <w:r w:rsidRPr="00A40DDC">
        <w:rPr>
          <w:position w:val="-10"/>
        </w:rPr>
        <w:object w:dxaOrig="200" w:dyaOrig="320" w14:anchorId="781FB88D">
          <v:shape id="_x0000_i3933" type="#_x0000_t75" style="width:10.3pt;height:15.75pt" o:ole="">
            <v:imagedata r:id="rId5855" o:title=""/>
          </v:shape>
          <o:OLEObject Type="Embed" ProgID="Equation.DSMT4" ShapeID="_x0000_i3933" DrawAspect="Content" ObjectID="_1791377877" r:id="rId5856"/>
        </w:object>
      </w:r>
      <w:r w:rsidRPr="00A40DDC">
        <w:rPr>
          <w:i/>
          <w:sz w:val="23"/>
          <w:szCs w:val="23"/>
          <w:rtl/>
        </w:rPr>
        <w:t xml:space="preserve"> ثابت است</w:t>
      </w:r>
      <w:r w:rsidRPr="00A40DDC">
        <w:rPr>
          <w:rFonts w:hint="cs"/>
          <w:i/>
          <w:sz w:val="23"/>
          <w:szCs w:val="23"/>
          <w:rtl/>
        </w:rPr>
        <w:t>،</w:t>
      </w:r>
      <w:r w:rsidRPr="00A40DDC">
        <w:rPr>
          <w:i/>
          <w:sz w:val="23"/>
          <w:szCs w:val="23"/>
          <w:rtl/>
        </w:rPr>
        <w:t xml:space="preserve"> لذا</w:t>
      </w:r>
      <w:r w:rsidRPr="00A40DDC">
        <w:rPr>
          <w:position w:val="-6"/>
        </w:rPr>
        <w:object w:dxaOrig="700" w:dyaOrig="300" w14:anchorId="73F7E0FF">
          <v:shape id="_x0000_i3934" type="#_x0000_t75" style="width:35.1pt;height:14.5pt" o:ole="">
            <v:imagedata r:id="rId5857" o:title=""/>
          </v:shape>
          <o:OLEObject Type="Embed" ProgID="Equation.DSMT4" ShapeID="_x0000_i3934" DrawAspect="Content" ObjectID="_1791377878" r:id="rId5858"/>
        </w:object>
      </w:r>
      <w:r w:rsidRPr="00A40DDC">
        <w:rPr>
          <w:i/>
          <w:sz w:val="23"/>
          <w:szCs w:val="23"/>
          <w:rtl/>
        </w:rPr>
        <w:t xml:space="preserve"> و رابطه</w:t>
      </w:r>
      <w:r w:rsidRPr="00A40DDC">
        <w:rPr>
          <w:i/>
          <w:sz w:val="23"/>
          <w:szCs w:val="23"/>
          <w:rtl/>
        </w:rPr>
        <w:softHyphen/>
      </w:r>
      <w:r w:rsidRPr="00A40DDC">
        <w:rPr>
          <w:rFonts w:hint="cs"/>
          <w:i/>
          <w:sz w:val="23"/>
          <w:szCs w:val="23"/>
          <w:rtl/>
        </w:rPr>
        <w:t>ی</w:t>
      </w:r>
      <w:r w:rsidRPr="00A40DDC">
        <w:rPr>
          <w:i/>
          <w:sz w:val="23"/>
          <w:szCs w:val="23"/>
          <w:rtl/>
        </w:rPr>
        <w:t xml:space="preserve"> </w:t>
      </w:r>
      <w:r w:rsidRPr="00A40DDC">
        <w:rPr>
          <w:rFonts w:hint="cs"/>
          <w:i/>
          <w:sz w:val="23"/>
          <w:szCs w:val="23"/>
          <w:rtl/>
        </w:rPr>
        <w:t>(۷. ۴۴)</w:t>
      </w:r>
      <w:r w:rsidRPr="00A40DDC">
        <w:rPr>
          <w:rFonts w:eastAsiaTheme="minorEastAsia" w:hint="cs"/>
          <w:i/>
          <w:sz w:val="23"/>
          <w:szCs w:val="23"/>
          <w:rtl/>
        </w:rPr>
        <w:t xml:space="preserve"> </w:t>
      </w:r>
      <w:r w:rsidRPr="00A40DDC">
        <w:rPr>
          <w:i/>
          <w:sz w:val="23"/>
          <w:szCs w:val="23"/>
          <w:rtl/>
        </w:rPr>
        <w:t xml:space="preserve">برابر خواهد با </w:t>
      </w:r>
    </w:p>
    <w:p w14:paraId="7C4A2A30" w14:textId="77777777" w:rsidR="00411620" w:rsidRPr="00A40DDC" w:rsidRDefault="00411620" w:rsidP="00411620">
      <w:pPr>
        <w:pStyle w:val="MTDisplayEquation"/>
        <w:tabs>
          <w:tab w:val="clear" w:pos="6660"/>
          <w:tab w:val="right" w:pos="0"/>
        </w:tabs>
        <w:spacing w:line="216" w:lineRule="auto"/>
        <w:jc w:val="left"/>
        <w:rPr>
          <w:rFonts w:ascii="Times New Roman" w:eastAsiaTheme="minorEastAsia" w:hAnsi="Times New Roman" w:cs="B Nazanin"/>
          <w:i/>
          <w:sz w:val="23"/>
          <w:szCs w:val="23"/>
          <w:rtl/>
        </w:rPr>
      </w:pPr>
      <w:r w:rsidRPr="00A40DDC">
        <w:rPr>
          <w:position w:val="-30"/>
        </w:rPr>
        <w:object w:dxaOrig="4360" w:dyaOrig="700" w14:anchorId="077F8682">
          <v:shape id="_x0000_i3935" type="#_x0000_t75" style="width:217.8pt;height:35.1pt" o:ole="">
            <v:imagedata r:id="rId5859" o:title=""/>
          </v:shape>
          <o:OLEObject Type="Embed" ProgID="Equation.DSMT4" ShapeID="_x0000_i3935" DrawAspect="Content" ObjectID="_1791377879" r:id="rId5860"/>
        </w:object>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۴۶)</w:t>
      </w:r>
    </w:p>
    <w:p w14:paraId="444168ED" w14:textId="77777777" w:rsidR="00411620" w:rsidRPr="00A40DDC" w:rsidRDefault="00411620" w:rsidP="00411620">
      <w:pPr>
        <w:tabs>
          <w:tab w:val="left" w:pos="3521"/>
        </w:tabs>
        <w:spacing w:line="216" w:lineRule="auto"/>
        <w:rPr>
          <w:i/>
          <w:sz w:val="23"/>
          <w:szCs w:val="23"/>
          <w:rtl/>
        </w:rPr>
      </w:pPr>
      <w:r w:rsidRPr="00A40DDC">
        <w:rPr>
          <w:i/>
          <w:sz w:val="23"/>
          <w:szCs w:val="23"/>
          <w:rtl/>
        </w:rPr>
        <w:t xml:space="preserve">در بلندمدت و با فرض </w:t>
      </w:r>
      <w:r w:rsidRPr="00A40DDC">
        <w:rPr>
          <w:i/>
          <w:sz w:val="23"/>
          <w:szCs w:val="23"/>
        </w:rPr>
        <w:t>UIP</w:t>
      </w:r>
      <w:r w:rsidRPr="00A40DDC">
        <w:rPr>
          <w:i/>
          <w:sz w:val="23"/>
          <w:szCs w:val="23"/>
          <w:rtl/>
        </w:rPr>
        <w:t xml:space="preserve"> و </w:t>
      </w:r>
      <w:r w:rsidRPr="00A40DDC">
        <w:rPr>
          <w:position w:val="-6"/>
        </w:rPr>
        <w:object w:dxaOrig="639" w:dyaOrig="260" w14:anchorId="4257E40C">
          <v:shape id="_x0000_i3936" type="#_x0000_t75" style="width:32.05pt;height:13.3pt" o:ole="">
            <v:imagedata r:id="rId5861" o:title=""/>
          </v:shape>
          <o:OLEObject Type="Embed" ProgID="Equation.DSMT4" ShapeID="_x0000_i3936" DrawAspect="Content" ObjectID="_1791377880" r:id="rId5862"/>
        </w:object>
      </w:r>
      <w:r w:rsidRPr="00A40DDC">
        <w:rPr>
          <w:rFonts w:hint="cs"/>
          <w:i/>
          <w:sz w:val="23"/>
          <w:szCs w:val="23"/>
          <w:rtl/>
        </w:rPr>
        <w:t>،</w:t>
      </w:r>
      <w:r w:rsidRPr="00A40DDC">
        <w:rPr>
          <w:rFonts w:eastAsiaTheme="minorEastAsia"/>
          <w:i/>
          <w:sz w:val="23"/>
          <w:szCs w:val="23"/>
          <w:rtl/>
        </w:rPr>
        <w:t xml:space="preserve"> تحلیل پایداری یعنی این</w:t>
      </w:r>
      <w:r w:rsidRPr="00A40DDC">
        <w:rPr>
          <w:rFonts w:eastAsiaTheme="minorEastAsia"/>
          <w:i/>
          <w:sz w:val="23"/>
          <w:szCs w:val="23"/>
          <w:rtl/>
        </w:rPr>
        <w:softHyphen/>
        <w:t xml:space="preserve">که </w:t>
      </w:r>
      <w:r w:rsidRPr="00A40DDC">
        <w:rPr>
          <w:position w:val="-12"/>
        </w:rPr>
        <w:object w:dxaOrig="1240" w:dyaOrig="360" w14:anchorId="40D46A64">
          <v:shape id="_x0000_i3937" type="#_x0000_t75" style="width:61.7pt;height:18.15pt" o:ole="">
            <v:imagedata r:id="rId5863" o:title=""/>
          </v:shape>
          <o:OLEObject Type="Embed" ProgID="Equation.DSMT4" ShapeID="_x0000_i3937" DrawAspect="Content" ObjectID="_1791377881" r:id="rId5864"/>
        </w:object>
      </w:r>
      <w:r w:rsidRPr="00A40DDC">
        <w:rPr>
          <w:rFonts w:eastAsiaTheme="minorEastAsia" w:hint="cs"/>
          <w:i/>
          <w:sz w:val="23"/>
          <w:szCs w:val="23"/>
          <w:rtl/>
        </w:rPr>
        <w:t xml:space="preserve"> </w:t>
      </w:r>
      <w:r w:rsidRPr="00A40DDC">
        <w:rPr>
          <w:i/>
          <w:sz w:val="23"/>
          <w:szCs w:val="23"/>
          <w:rtl/>
        </w:rPr>
        <w:t>بزرگتر یا کوچکتر از</w:t>
      </w:r>
      <w:r w:rsidRPr="00A40DDC">
        <w:rPr>
          <w:position w:val="-6"/>
        </w:rPr>
        <w:object w:dxaOrig="600" w:dyaOrig="300" w14:anchorId="3002437D">
          <v:shape id="_x0000_i3938" type="#_x0000_t75" style="width:29.65pt;height:14.5pt" o:ole="">
            <v:imagedata r:id="rId5865" o:title=""/>
          </v:shape>
          <o:OLEObject Type="Embed" ProgID="Equation.DSMT4" ShapeID="_x0000_i3938" DrawAspect="Content" ObjectID="_1791377882" r:id="rId5866"/>
        </w:object>
      </w:r>
      <w:r w:rsidRPr="00A40DDC">
        <w:rPr>
          <w:i/>
          <w:sz w:val="23"/>
          <w:szCs w:val="23"/>
          <w:rtl/>
        </w:rPr>
        <w:t xml:space="preserve"> است یا خیر؟</w:t>
      </w:r>
      <w:r w:rsidRPr="00A40DDC">
        <w:rPr>
          <w:rFonts w:hint="cs"/>
          <w:i/>
          <w:sz w:val="23"/>
          <w:szCs w:val="23"/>
          <w:rtl/>
        </w:rPr>
        <w:t xml:space="preserve"> و یا </w:t>
      </w:r>
      <w:r w:rsidRPr="00A40DDC">
        <w:rPr>
          <w:position w:val="-10"/>
        </w:rPr>
        <w:object w:dxaOrig="520" w:dyaOrig="260" w14:anchorId="61E3DEFC">
          <v:shape id="_x0000_i3939" type="#_x0000_t75" style="width:26pt;height:13.3pt" o:ole="">
            <v:imagedata r:id="rId5867" o:title=""/>
          </v:shape>
          <o:OLEObject Type="Embed" ProgID="Equation.DSMT4" ShapeID="_x0000_i3939" DrawAspect="Content" ObjectID="_1791377883" r:id="rId5868"/>
        </w:object>
      </w:r>
      <w:r w:rsidRPr="00A40DDC">
        <w:rPr>
          <w:i/>
          <w:sz w:val="23"/>
          <w:szCs w:val="23"/>
          <w:rtl/>
        </w:rPr>
        <w:t xml:space="preserve"> بزرگتر یا کوچکتر از </w:t>
      </w:r>
      <w:r w:rsidRPr="00A40DDC">
        <w:rPr>
          <w:i/>
          <w:sz w:val="23"/>
          <w:szCs w:val="23"/>
        </w:rPr>
        <w:t>R</w:t>
      </w:r>
      <w:r w:rsidRPr="00A40DDC">
        <w:rPr>
          <w:i/>
          <w:sz w:val="23"/>
          <w:szCs w:val="23"/>
          <w:rtl/>
        </w:rPr>
        <w:t xml:space="preserve"> است یا خیر؟ شرط فوق همانند پایداری وضعیت مالی </w:t>
      </w:r>
      <w:r w:rsidRPr="00A40DDC">
        <w:rPr>
          <w:rFonts w:hint="cs"/>
          <w:i/>
          <w:sz w:val="23"/>
          <w:szCs w:val="23"/>
          <w:rtl/>
        </w:rPr>
        <w:t xml:space="preserve">دولت </w:t>
      </w:r>
      <w:r w:rsidRPr="00A40DDC">
        <w:rPr>
          <w:i/>
          <w:sz w:val="23"/>
          <w:szCs w:val="23"/>
          <w:rtl/>
        </w:rPr>
        <w:t xml:space="preserve">است که در فصل </w:t>
      </w:r>
      <w:r w:rsidRPr="00A40DDC">
        <w:rPr>
          <w:rFonts w:hint="cs"/>
          <w:i/>
          <w:sz w:val="23"/>
          <w:szCs w:val="23"/>
          <w:rtl/>
        </w:rPr>
        <w:t>پنجم</w:t>
      </w:r>
      <w:r w:rsidRPr="00A40DDC">
        <w:rPr>
          <w:i/>
          <w:sz w:val="23"/>
          <w:szCs w:val="23"/>
          <w:rtl/>
        </w:rPr>
        <w:t xml:space="preserve"> بررسی شد .</w:t>
      </w:r>
    </w:p>
    <w:p w14:paraId="1C631EBF" w14:textId="77777777" w:rsidR="00411620" w:rsidRPr="00A40DDC" w:rsidRDefault="00411620" w:rsidP="00411620">
      <w:pPr>
        <w:tabs>
          <w:tab w:val="left" w:pos="3521"/>
        </w:tabs>
        <w:spacing w:line="216" w:lineRule="auto"/>
        <w:rPr>
          <w:i/>
          <w:sz w:val="23"/>
          <w:szCs w:val="23"/>
          <w:rtl/>
        </w:rPr>
      </w:pPr>
      <w:r w:rsidRPr="00A40DDC">
        <w:rPr>
          <w:i/>
          <w:sz w:val="23"/>
          <w:szCs w:val="23"/>
          <w:rtl/>
        </w:rPr>
        <w:t>ابتدا فرض می</w:t>
      </w:r>
      <w:r w:rsidRPr="00A40DDC">
        <w:rPr>
          <w:rFonts w:hint="cs"/>
          <w:i/>
          <w:sz w:val="23"/>
          <w:szCs w:val="23"/>
          <w:rtl/>
        </w:rPr>
        <w:t>‌</w:t>
      </w:r>
      <w:r w:rsidRPr="00A40DDC">
        <w:rPr>
          <w:i/>
          <w:sz w:val="23"/>
          <w:szCs w:val="23"/>
          <w:rtl/>
        </w:rPr>
        <w:t xml:space="preserve">کنیم </w:t>
      </w:r>
      <w:r w:rsidRPr="00A40DDC">
        <w:rPr>
          <w:position w:val="-10"/>
        </w:rPr>
        <w:object w:dxaOrig="920" w:dyaOrig="300" w14:anchorId="7DEE5BCF">
          <v:shape id="_x0000_i3940" type="#_x0000_t75" style="width:46pt;height:14.5pt" o:ole="">
            <v:imagedata r:id="rId5869" o:title=""/>
          </v:shape>
          <o:OLEObject Type="Embed" ProgID="Equation.DSMT4" ShapeID="_x0000_i3940" DrawAspect="Content" ObjectID="_1791377884" r:id="rId5870"/>
        </w:object>
      </w:r>
      <w:r w:rsidRPr="00A40DDC">
        <w:rPr>
          <w:i/>
          <w:sz w:val="23"/>
          <w:szCs w:val="23"/>
          <w:rtl/>
        </w:rPr>
        <w:t xml:space="preserve"> یعنی رابطه</w:t>
      </w:r>
      <w:r w:rsidRPr="00A40DDC">
        <w:rPr>
          <w:rFonts w:hint="cs"/>
          <w:i/>
          <w:sz w:val="23"/>
          <w:szCs w:val="23"/>
          <w:rtl/>
        </w:rPr>
        <w:t xml:space="preserve"> (۷. ۴۶)</w:t>
      </w:r>
      <w:r w:rsidRPr="00A40DDC">
        <w:rPr>
          <w:i/>
          <w:sz w:val="23"/>
          <w:szCs w:val="23"/>
          <w:rtl/>
        </w:rPr>
        <w:t xml:space="preserve"> باثبا</w:t>
      </w:r>
      <w:r w:rsidRPr="00A40DDC">
        <w:rPr>
          <w:rFonts w:hint="cs"/>
          <w:i/>
          <w:sz w:val="23"/>
          <w:szCs w:val="23"/>
          <w:rtl/>
        </w:rPr>
        <w:t>ت</w:t>
      </w:r>
      <w:r w:rsidRPr="00A40DDC">
        <w:rPr>
          <w:i/>
          <w:sz w:val="23"/>
          <w:szCs w:val="23"/>
          <w:rtl/>
        </w:rPr>
        <w:t xml:space="preserve"> است و بصورت </w:t>
      </w:r>
      <w:r w:rsidRPr="00A40DDC">
        <w:rPr>
          <w:rFonts w:hint="cs"/>
          <w:i/>
          <w:sz w:val="23"/>
          <w:szCs w:val="23"/>
          <w:rtl/>
        </w:rPr>
        <w:t>پس</w:t>
      </w:r>
      <w:r w:rsidRPr="00A40DDC">
        <w:rPr>
          <w:i/>
          <w:sz w:val="23"/>
          <w:szCs w:val="23"/>
          <w:rtl/>
        </w:rPr>
        <w:softHyphen/>
      </w:r>
      <w:r w:rsidRPr="00A40DDC">
        <w:rPr>
          <w:rFonts w:hint="cs"/>
          <w:i/>
          <w:sz w:val="23"/>
          <w:szCs w:val="23"/>
          <w:rtl/>
        </w:rPr>
        <w:t xml:space="preserve">رو </w:t>
      </w:r>
      <w:r w:rsidRPr="00A40DDC">
        <w:rPr>
          <w:i/>
          <w:sz w:val="23"/>
          <w:szCs w:val="23"/>
          <w:rtl/>
        </w:rPr>
        <w:t>حل خواهد شد</w:t>
      </w:r>
      <w:r w:rsidRPr="00A40DDC">
        <w:rPr>
          <w:rFonts w:hint="cs"/>
          <w:i/>
          <w:sz w:val="23"/>
          <w:szCs w:val="23"/>
          <w:rtl/>
        </w:rPr>
        <w:t>.</w:t>
      </w:r>
      <w:r w:rsidRPr="00A40DDC">
        <w:rPr>
          <w:i/>
          <w:sz w:val="23"/>
          <w:szCs w:val="23"/>
          <w:rtl/>
        </w:rPr>
        <w:t xml:space="preserve"> در این شرایط تحلیل پایداری </w:t>
      </w:r>
      <w:r w:rsidRPr="00A40DDC">
        <w:rPr>
          <w:rFonts w:hint="cs"/>
          <w:i/>
          <w:sz w:val="23"/>
          <w:szCs w:val="23"/>
          <w:rtl/>
        </w:rPr>
        <w:t>ترازپرداخت‌ها</w:t>
      </w:r>
      <w:r w:rsidRPr="00A40DDC">
        <w:rPr>
          <w:i/>
          <w:sz w:val="23"/>
          <w:szCs w:val="23"/>
          <w:rtl/>
        </w:rPr>
        <w:t xml:space="preserve"> یعنی </w:t>
      </w:r>
      <w:r w:rsidRPr="00A40DDC">
        <w:rPr>
          <w:rFonts w:hint="cs"/>
          <w:i/>
          <w:sz w:val="23"/>
          <w:szCs w:val="23"/>
          <w:rtl/>
        </w:rPr>
        <w:t>محدود بودن نسبت</w:t>
      </w:r>
      <w:r w:rsidRPr="00A40DDC">
        <w:rPr>
          <w:position w:val="-28"/>
        </w:rPr>
        <w:object w:dxaOrig="300" w:dyaOrig="639" w14:anchorId="3C45147A">
          <v:shape id="_x0000_i3941" type="#_x0000_t75" style="width:14.5pt;height:32.05pt" o:ole="">
            <v:imagedata r:id="rId5871" o:title=""/>
          </v:shape>
          <o:OLEObject Type="Embed" ProgID="Equation.DSMT4" ShapeID="_x0000_i3941" DrawAspect="Content" ObjectID="_1791377885" r:id="rId5872"/>
        </w:object>
      </w:r>
      <w:r w:rsidRPr="00A40DDC">
        <w:rPr>
          <w:i/>
          <w:sz w:val="23"/>
          <w:szCs w:val="23"/>
          <w:rtl/>
        </w:rPr>
        <w:t xml:space="preserve">. با فروض فوق اگر تراز تجاری </w:t>
      </w:r>
      <w:r w:rsidRPr="00A40DDC">
        <w:rPr>
          <w:rFonts w:hint="cs"/>
          <w:i/>
          <w:sz w:val="23"/>
          <w:szCs w:val="23"/>
          <w:rtl/>
        </w:rPr>
        <w:t>مثبت</w:t>
      </w:r>
      <w:r w:rsidRPr="00A40DDC">
        <w:rPr>
          <w:i/>
          <w:sz w:val="23"/>
          <w:szCs w:val="23"/>
          <w:rtl/>
        </w:rPr>
        <w:t xml:space="preserve"> یا منفی باشد </w:t>
      </w:r>
      <w:r w:rsidRPr="00A40DDC">
        <w:rPr>
          <w:position w:val="-28"/>
        </w:rPr>
        <w:object w:dxaOrig="300" w:dyaOrig="639" w14:anchorId="412F64F6">
          <v:shape id="_x0000_i3942" type="#_x0000_t75" style="width:14.5pt;height:32.05pt" o:ole="">
            <v:imagedata r:id="rId5873" o:title=""/>
          </v:shape>
          <o:OLEObject Type="Embed" ProgID="Equation.DSMT4" ShapeID="_x0000_i3942" DrawAspect="Content" ObjectID="_1791377886" r:id="rId5874"/>
        </w:object>
      </w:r>
      <w:r w:rsidRPr="00A40DDC">
        <w:rPr>
          <w:rFonts w:eastAsiaTheme="minorEastAsia" w:hint="cs"/>
          <w:i/>
          <w:sz w:val="23"/>
          <w:szCs w:val="23"/>
          <w:rtl/>
        </w:rPr>
        <w:t xml:space="preserve"> </w:t>
      </w:r>
      <w:r w:rsidRPr="00A40DDC">
        <w:rPr>
          <w:i/>
          <w:sz w:val="23"/>
          <w:szCs w:val="23"/>
          <w:rtl/>
        </w:rPr>
        <w:t>پایدار خواهد بود .</w:t>
      </w:r>
    </w:p>
    <w:p w14:paraId="219F4647" w14:textId="77777777" w:rsidR="00411620" w:rsidRPr="00A40DDC" w:rsidRDefault="00411620" w:rsidP="00411620">
      <w:pPr>
        <w:tabs>
          <w:tab w:val="left" w:pos="3521"/>
        </w:tabs>
        <w:spacing w:line="216" w:lineRule="auto"/>
        <w:rPr>
          <w:i/>
          <w:sz w:val="23"/>
          <w:szCs w:val="23"/>
          <w:rtl/>
        </w:rPr>
      </w:pPr>
      <w:r w:rsidRPr="00A40DDC">
        <w:rPr>
          <w:i/>
          <w:sz w:val="23"/>
          <w:szCs w:val="23"/>
          <w:rtl/>
        </w:rPr>
        <w:t>حالت دوم</w:t>
      </w:r>
      <w:r w:rsidRPr="00A40DDC">
        <w:rPr>
          <w:rFonts w:hint="cs"/>
          <w:i/>
          <w:sz w:val="23"/>
          <w:szCs w:val="23"/>
          <w:rtl/>
        </w:rPr>
        <w:t xml:space="preserve"> زمانی است که</w:t>
      </w:r>
      <w:r w:rsidRPr="00A40DDC">
        <w:rPr>
          <w:i/>
          <w:sz w:val="23"/>
          <w:szCs w:val="23"/>
          <w:rtl/>
        </w:rPr>
        <w:t xml:space="preserve"> </w:t>
      </w:r>
      <w:r w:rsidRPr="00A40DDC">
        <w:rPr>
          <w:position w:val="-10"/>
        </w:rPr>
        <w:object w:dxaOrig="920" w:dyaOrig="300" w14:anchorId="524106A3">
          <v:shape id="_x0000_i3943" type="#_x0000_t75" style="width:46pt;height:14.5pt" o:ole="">
            <v:imagedata r:id="rId5875" o:title=""/>
          </v:shape>
          <o:OLEObject Type="Embed" ProgID="Equation.DSMT4" ShapeID="_x0000_i3943" DrawAspect="Content" ObjectID="_1791377887" r:id="rId5876"/>
        </w:object>
      </w:r>
      <w:r w:rsidRPr="00A40DDC">
        <w:rPr>
          <w:i/>
          <w:sz w:val="23"/>
          <w:szCs w:val="23"/>
          <w:rtl/>
        </w:rPr>
        <w:t xml:space="preserve"> </w:t>
      </w:r>
      <w:r w:rsidRPr="00A40DDC">
        <w:rPr>
          <w:rFonts w:hint="cs"/>
          <w:i/>
          <w:sz w:val="23"/>
          <w:szCs w:val="23"/>
          <w:rtl/>
        </w:rPr>
        <w:t>باشد. در آن صورت رابطه</w:t>
      </w:r>
      <w:r w:rsidRPr="00A40DDC">
        <w:rPr>
          <w:i/>
          <w:sz w:val="23"/>
          <w:szCs w:val="23"/>
          <w:rtl/>
        </w:rPr>
        <w:softHyphen/>
      </w:r>
      <w:r w:rsidRPr="00A40DDC">
        <w:rPr>
          <w:rFonts w:hint="cs"/>
          <w:i/>
          <w:sz w:val="23"/>
          <w:szCs w:val="23"/>
          <w:rtl/>
        </w:rPr>
        <w:t>ی (۷. ۴۶)</w:t>
      </w:r>
      <w:r w:rsidRPr="00A40DDC">
        <w:rPr>
          <w:i/>
          <w:sz w:val="23"/>
          <w:szCs w:val="23"/>
          <w:rtl/>
        </w:rPr>
        <w:t xml:space="preserve"> باید </w:t>
      </w:r>
      <w:r w:rsidRPr="00A40DDC">
        <w:rPr>
          <w:rFonts w:hint="cs"/>
          <w:i/>
          <w:sz w:val="23"/>
          <w:szCs w:val="23"/>
          <w:rtl/>
        </w:rPr>
        <w:t>به صورت پیش</w:t>
      </w:r>
      <w:r w:rsidRPr="00A40DDC">
        <w:rPr>
          <w:i/>
          <w:sz w:val="23"/>
          <w:szCs w:val="23"/>
          <w:rtl/>
        </w:rPr>
        <w:softHyphen/>
      </w:r>
      <w:r w:rsidRPr="00A40DDC">
        <w:rPr>
          <w:rFonts w:hint="cs"/>
          <w:i/>
          <w:sz w:val="23"/>
          <w:szCs w:val="23"/>
          <w:rtl/>
        </w:rPr>
        <w:t xml:space="preserve">رو </w:t>
      </w:r>
      <w:r w:rsidRPr="00A40DDC">
        <w:rPr>
          <w:i/>
          <w:sz w:val="23"/>
          <w:szCs w:val="23"/>
          <w:rtl/>
        </w:rPr>
        <w:t>حل شود</w:t>
      </w:r>
      <w:r w:rsidRPr="00A40DDC">
        <w:rPr>
          <w:rFonts w:hint="cs"/>
          <w:i/>
          <w:sz w:val="23"/>
          <w:szCs w:val="23"/>
          <w:rtl/>
        </w:rPr>
        <w:t>.</w:t>
      </w:r>
      <w:r w:rsidRPr="00A40DDC">
        <w:rPr>
          <w:i/>
          <w:sz w:val="23"/>
          <w:szCs w:val="23"/>
          <w:rtl/>
        </w:rPr>
        <w:t xml:space="preserve"> اگر </w:t>
      </w:r>
      <w:r w:rsidRPr="00A40DDC">
        <w:rPr>
          <w:position w:val="-10"/>
        </w:rPr>
        <w:object w:dxaOrig="560" w:dyaOrig="320" w14:anchorId="23A869D1">
          <v:shape id="_x0000_i3944" type="#_x0000_t75" style="width:27.85pt;height:15.75pt" o:ole="">
            <v:imagedata r:id="rId5877" o:title=""/>
          </v:shape>
          <o:OLEObject Type="Embed" ProgID="Equation.DSMT4" ShapeID="_x0000_i3944" DrawAspect="Content" ObjectID="_1791377888" r:id="rId5878"/>
        </w:object>
      </w:r>
      <w:r w:rsidRPr="00A40DDC">
        <w:rPr>
          <w:rFonts w:eastAsiaTheme="minorEastAsia"/>
          <w:i/>
          <w:sz w:val="23"/>
          <w:szCs w:val="23"/>
          <w:rtl/>
        </w:rPr>
        <w:t xml:space="preserve"> باشد باید مشخص کنیم که آیا توالی مازاد یا کسری تجاری انتظاری آتی برای بازپرداخت </w:t>
      </w:r>
      <w:r w:rsidRPr="00A40DDC">
        <w:rPr>
          <w:rFonts w:eastAsiaTheme="minorEastAsia" w:hint="cs"/>
          <w:i/>
          <w:sz w:val="23"/>
          <w:szCs w:val="23"/>
          <w:rtl/>
        </w:rPr>
        <w:t>بدهی خالص</w:t>
      </w:r>
      <w:r w:rsidRPr="00A40DDC">
        <w:rPr>
          <w:rFonts w:eastAsiaTheme="minorEastAsia"/>
          <w:i/>
          <w:sz w:val="23"/>
          <w:szCs w:val="23"/>
          <w:rtl/>
        </w:rPr>
        <w:t xml:space="preserve"> کافی است یا خیر؟ و اگر </w:t>
      </w:r>
      <w:r w:rsidRPr="00A40DDC">
        <w:rPr>
          <w:position w:val="-10"/>
        </w:rPr>
        <w:object w:dxaOrig="560" w:dyaOrig="320" w14:anchorId="0EF03F29">
          <v:shape id="_x0000_i3945" type="#_x0000_t75" style="width:27.85pt;height:15.75pt" o:ole="">
            <v:imagedata r:id="rId5879" o:title=""/>
          </v:shape>
          <o:OLEObject Type="Embed" ProgID="Equation.DSMT4" ShapeID="_x0000_i3945" DrawAspect="Content" ObjectID="_1791377889" r:id="rId5880"/>
        </w:object>
      </w:r>
      <w:r w:rsidRPr="00A40DDC">
        <w:rPr>
          <w:i/>
          <w:sz w:val="23"/>
          <w:szCs w:val="23"/>
          <w:rtl/>
        </w:rPr>
        <w:t xml:space="preserve"> باشد باید مشخص کنیم که توالی مازاد یا کسری تجاری انتظاری آتی برای استفاده</w:t>
      </w:r>
      <w:r w:rsidRPr="00A40DDC">
        <w:rPr>
          <w:i/>
          <w:sz w:val="23"/>
          <w:szCs w:val="23"/>
          <w:rtl/>
        </w:rPr>
        <w:softHyphen/>
      </w:r>
      <w:r w:rsidRPr="00A40DDC">
        <w:rPr>
          <w:rFonts w:hint="cs"/>
          <w:i/>
          <w:sz w:val="23"/>
          <w:szCs w:val="23"/>
          <w:rtl/>
        </w:rPr>
        <w:t xml:space="preserve">ی </w:t>
      </w:r>
      <w:r w:rsidRPr="00A40DDC">
        <w:rPr>
          <w:i/>
          <w:sz w:val="23"/>
          <w:szCs w:val="23"/>
          <w:rtl/>
        </w:rPr>
        <w:t>دارایی خارجی کافی است یا خیر؟</w:t>
      </w:r>
    </w:p>
    <w:p w14:paraId="7657D0CE" w14:textId="77777777" w:rsidR="00411620" w:rsidRPr="00A40DDC" w:rsidRDefault="00411620" w:rsidP="00411620">
      <w:pPr>
        <w:tabs>
          <w:tab w:val="left" w:pos="3521"/>
        </w:tabs>
        <w:spacing w:line="216" w:lineRule="auto"/>
        <w:rPr>
          <w:i/>
          <w:sz w:val="23"/>
          <w:szCs w:val="23"/>
        </w:rPr>
      </w:pPr>
      <w:r w:rsidRPr="00A40DDC">
        <w:rPr>
          <w:i/>
          <w:sz w:val="23"/>
          <w:szCs w:val="23"/>
          <w:rtl/>
        </w:rPr>
        <w:t xml:space="preserve">با حل </w:t>
      </w:r>
      <w:r w:rsidRPr="00A40DDC">
        <w:rPr>
          <w:rFonts w:hint="cs"/>
          <w:i/>
          <w:sz w:val="23"/>
          <w:szCs w:val="23"/>
          <w:rtl/>
        </w:rPr>
        <w:t>(۷. ۴۶)</w:t>
      </w:r>
      <w:r w:rsidRPr="00A40DDC">
        <w:rPr>
          <w:i/>
          <w:sz w:val="23"/>
          <w:szCs w:val="23"/>
          <w:rtl/>
        </w:rPr>
        <w:t xml:space="preserve"> بصورت </w:t>
      </w:r>
      <w:r w:rsidRPr="00A40DDC">
        <w:rPr>
          <w:rFonts w:hint="cs"/>
          <w:i/>
          <w:sz w:val="23"/>
          <w:szCs w:val="23"/>
          <w:rtl/>
        </w:rPr>
        <w:t>پیش</w:t>
      </w:r>
      <w:r w:rsidRPr="00A40DDC">
        <w:rPr>
          <w:i/>
          <w:sz w:val="23"/>
          <w:szCs w:val="23"/>
          <w:rtl/>
        </w:rPr>
        <w:softHyphen/>
      </w:r>
      <w:r w:rsidRPr="00A40DDC">
        <w:rPr>
          <w:rFonts w:hint="cs"/>
          <w:i/>
          <w:sz w:val="23"/>
          <w:szCs w:val="23"/>
          <w:rtl/>
        </w:rPr>
        <w:t xml:space="preserve">رو و اگر </w:t>
      </w:r>
      <w:r w:rsidRPr="00A40DDC">
        <w:rPr>
          <w:position w:val="-6"/>
        </w:rPr>
        <w:object w:dxaOrig="740" w:dyaOrig="220" w14:anchorId="31B3BF45">
          <v:shape id="_x0000_i3946" type="#_x0000_t75" style="width:36.9pt;height:10.9pt" o:ole="">
            <v:imagedata r:id="rId5881" o:title=""/>
          </v:shape>
          <o:OLEObject Type="Embed" ProgID="Equation.DSMT4" ShapeID="_x0000_i3946" DrawAspect="Content" ObjectID="_1791377890" r:id="rId5882"/>
        </w:object>
      </w:r>
      <w:r w:rsidRPr="00A40DDC">
        <w:rPr>
          <w:i/>
          <w:sz w:val="23"/>
          <w:szCs w:val="23"/>
          <w:rtl/>
        </w:rPr>
        <w:t xml:space="preserve"> میل کند </w:t>
      </w:r>
      <w:r w:rsidRPr="00A40DDC">
        <w:rPr>
          <w:rFonts w:hint="cs"/>
          <w:i/>
          <w:sz w:val="23"/>
          <w:szCs w:val="23"/>
          <w:rtl/>
        </w:rPr>
        <w:t xml:space="preserve">و با </w:t>
      </w:r>
      <w:r w:rsidRPr="00A40DDC">
        <w:rPr>
          <w:i/>
          <w:sz w:val="23"/>
          <w:szCs w:val="23"/>
          <w:rtl/>
        </w:rPr>
        <w:t>شرط</w:t>
      </w:r>
      <w:r w:rsidRPr="00A40DDC">
        <w:rPr>
          <w:rFonts w:hint="cs"/>
          <w:i/>
          <w:sz w:val="23"/>
          <w:szCs w:val="23"/>
          <w:rtl/>
        </w:rPr>
        <w:t xml:space="preserve"> تراگردی</w:t>
      </w:r>
      <w:r w:rsidRPr="00A40DDC">
        <w:rPr>
          <w:i/>
          <w:sz w:val="23"/>
          <w:szCs w:val="23"/>
          <w:rtl/>
        </w:rPr>
        <w:t xml:space="preserve"> </w:t>
      </w:r>
    </w:p>
    <w:p w14:paraId="21F265D3" w14:textId="77777777" w:rsidR="00411620" w:rsidRPr="00A40DDC" w:rsidRDefault="00411620" w:rsidP="00411620">
      <w:pPr>
        <w:pStyle w:val="MTDisplayEquation"/>
        <w:tabs>
          <w:tab w:val="clear" w:pos="6660"/>
        </w:tabs>
        <w:spacing w:line="216" w:lineRule="auto"/>
        <w:jc w:val="left"/>
        <w:rPr>
          <w:rFonts w:ascii="Times New Roman" w:hAnsi="Times New Roman" w:cs="B Nazanin"/>
          <w:i/>
          <w:sz w:val="23"/>
          <w:szCs w:val="23"/>
          <w:rtl/>
        </w:rPr>
      </w:pPr>
      <w:r w:rsidRPr="00A40DDC">
        <w:rPr>
          <w:position w:val="-30"/>
        </w:rPr>
        <w:object w:dxaOrig="3100" w:dyaOrig="760" w14:anchorId="57BD7675">
          <v:shape id="_x0000_i3947" type="#_x0000_t75" style="width:154.9pt;height:38.1pt" o:ole="">
            <v:imagedata r:id="rId5883" o:title=""/>
          </v:shape>
          <o:OLEObject Type="Embed" ProgID="Equation.DSMT4" ShapeID="_x0000_i3947" DrawAspect="Content" ObjectID="_1791377891" r:id="rId5884"/>
        </w:object>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۴۷)</w:t>
      </w:r>
    </w:p>
    <w:p w14:paraId="6B391436" w14:textId="77777777" w:rsidR="00411620" w:rsidRPr="00A40DDC" w:rsidRDefault="00411620" w:rsidP="00411620">
      <w:pPr>
        <w:tabs>
          <w:tab w:val="left" w:pos="3521"/>
        </w:tabs>
        <w:spacing w:line="216" w:lineRule="auto"/>
        <w:rPr>
          <w:i/>
          <w:sz w:val="23"/>
          <w:szCs w:val="23"/>
          <w:rtl/>
        </w:rPr>
      </w:pPr>
      <w:r w:rsidRPr="00A40DDC">
        <w:rPr>
          <w:i/>
          <w:sz w:val="23"/>
          <w:szCs w:val="23"/>
          <w:rtl/>
        </w:rPr>
        <w:t>داریم</w:t>
      </w:r>
    </w:p>
    <w:p w14:paraId="07C93D2D" w14:textId="77777777" w:rsidR="00411620" w:rsidRPr="00A40DDC" w:rsidRDefault="00411620" w:rsidP="00411620">
      <w:pPr>
        <w:pStyle w:val="MTDisplayEquation"/>
        <w:spacing w:line="216" w:lineRule="auto"/>
        <w:rPr>
          <w:rFonts w:ascii="Times New Roman" w:hAnsi="Times New Roman"/>
          <w:i/>
          <w:sz w:val="23"/>
          <w:szCs w:val="23"/>
          <w:rtl/>
        </w:rPr>
      </w:pPr>
      <w:r w:rsidRPr="00A40DDC">
        <w:rPr>
          <w:position w:val="-32"/>
        </w:rPr>
        <w:object w:dxaOrig="7040" w:dyaOrig="780" w14:anchorId="1A764FC8">
          <v:shape id="_x0000_i3948" type="#_x0000_t75" style="width:338.8pt;height:39.35pt" o:ole="">
            <v:imagedata r:id="rId5885" o:title=""/>
          </v:shape>
          <o:OLEObject Type="Embed" ProgID="Equation.DSMT4" ShapeID="_x0000_i3948" DrawAspect="Content" ObjectID="_1791377892" r:id="rId5886"/>
        </w:object>
      </w:r>
    </w:p>
    <w:p w14:paraId="4E3CAE01" w14:textId="77777777" w:rsidR="00411620" w:rsidRPr="00A40DDC" w:rsidRDefault="00411620" w:rsidP="00411620">
      <w:pPr>
        <w:pStyle w:val="MTDisplayEquation"/>
        <w:bidi/>
        <w:spacing w:line="216" w:lineRule="auto"/>
        <w:rPr>
          <w:rFonts w:ascii="Times New Roman" w:hAnsi="Times New Roman" w:cs="B Nazanin"/>
          <w:i/>
          <w:sz w:val="23"/>
          <w:szCs w:val="23"/>
          <w:rtl/>
        </w:rPr>
      </w:pPr>
      <w:r w:rsidRPr="00A40DDC">
        <w:rPr>
          <w:rFonts w:ascii="Times New Roman" w:hAnsi="Times New Roman" w:cs="B Nazanin" w:hint="cs"/>
          <w:i/>
          <w:sz w:val="23"/>
          <w:szCs w:val="23"/>
          <w:rtl/>
        </w:rPr>
        <w:t xml:space="preserve"> آنگاه می</w:t>
      </w:r>
      <w:r w:rsidRPr="00A40DDC">
        <w:rPr>
          <w:rFonts w:ascii="Times New Roman" w:hAnsi="Times New Roman" w:cs="B Nazanin"/>
          <w:i/>
          <w:sz w:val="23"/>
          <w:szCs w:val="23"/>
          <w:rtl/>
        </w:rPr>
        <w:softHyphen/>
      </w:r>
      <w:r w:rsidRPr="00A40DDC">
        <w:rPr>
          <w:rFonts w:ascii="Times New Roman" w:hAnsi="Times New Roman" w:cs="B Nazanin" w:hint="cs"/>
          <w:i/>
          <w:sz w:val="23"/>
          <w:szCs w:val="23"/>
          <w:rtl/>
        </w:rPr>
        <w:t>توان</w:t>
      </w:r>
      <w:r w:rsidRPr="00A40DDC">
        <w:rPr>
          <w:rFonts w:ascii="Times New Roman" w:hAnsi="Times New Roman" w:cs="B Nazanin"/>
          <w:i/>
          <w:sz w:val="23"/>
          <w:szCs w:val="23"/>
          <w:rtl/>
        </w:rPr>
        <w:t xml:space="preserve"> شرط بین</w:t>
      </w:r>
      <w:r w:rsidRPr="00A40DDC">
        <w:rPr>
          <w:rFonts w:ascii="Times New Roman" w:hAnsi="Times New Roman" w:cs="B Nazanin"/>
          <w:i/>
          <w:sz w:val="23"/>
          <w:szCs w:val="23"/>
          <w:rtl/>
        </w:rPr>
        <w:softHyphen/>
        <w:t>دوره</w:t>
      </w:r>
      <w:r w:rsidRPr="00A40DDC">
        <w:rPr>
          <w:rFonts w:ascii="Times New Roman" w:hAnsi="Times New Roman" w:cs="B Nazanin"/>
          <w:i/>
          <w:sz w:val="23"/>
          <w:szCs w:val="23"/>
          <w:rtl/>
        </w:rPr>
        <w:softHyphen/>
        <w:t xml:space="preserve">ای یا ارزش فعلی </w:t>
      </w:r>
      <w:r w:rsidRPr="00A40DDC">
        <w:rPr>
          <w:rFonts w:ascii="Times New Roman" w:hAnsi="Times New Roman" w:cs="B Nazanin" w:hint="cs"/>
          <w:i/>
          <w:sz w:val="23"/>
          <w:szCs w:val="23"/>
          <w:rtl/>
        </w:rPr>
        <w:t>ترازپرداخت‌ها</w:t>
      </w:r>
      <w:r w:rsidRPr="00A40DDC">
        <w:rPr>
          <w:rFonts w:ascii="Times New Roman" w:hAnsi="Times New Roman" w:cs="B Nazanin"/>
          <w:i/>
          <w:sz w:val="23"/>
          <w:szCs w:val="23"/>
          <w:rtl/>
        </w:rPr>
        <w:t xml:space="preserve"> را نسبت به </w:t>
      </w:r>
      <w:r w:rsidRPr="00A40DDC">
        <w:rPr>
          <w:rFonts w:ascii="Times New Roman" w:hAnsi="Times New Roman" w:cs="B Nazanin"/>
          <w:i/>
          <w:sz w:val="23"/>
          <w:szCs w:val="23"/>
        </w:rPr>
        <w:t>GDP</w:t>
      </w:r>
      <w:r w:rsidRPr="00A40DDC">
        <w:rPr>
          <w:rFonts w:ascii="Times New Roman" w:hAnsi="Times New Roman" w:cs="B Nazanin"/>
          <w:i/>
          <w:sz w:val="23"/>
          <w:szCs w:val="23"/>
          <w:rtl/>
        </w:rPr>
        <w:t xml:space="preserve"> بدست آور</w:t>
      </w:r>
      <w:r w:rsidRPr="00A40DDC">
        <w:rPr>
          <w:rFonts w:ascii="Times New Roman" w:hAnsi="Times New Roman" w:cs="B Nazanin" w:hint="cs"/>
          <w:i/>
          <w:sz w:val="23"/>
          <w:szCs w:val="23"/>
          <w:rtl/>
        </w:rPr>
        <w:t>د</w:t>
      </w:r>
      <w:r w:rsidRPr="00A40DDC">
        <w:rPr>
          <w:rFonts w:ascii="Times New Roman" w:hAnsi="Times New Roman" w:cs="B Nazanin"/>
          <w:i/>
          <w:sz w:val="23"/>
          <w:szCs w:val="23"/>
          <w:rtl/>
        </w:rPr>
        <w:t xml:space="preserve"> یعنی</w:t>
      </w:r>
      <w:r w:rsidRPr="00A40DDC">
        <w:rPr>
          <w:rFonts w:ascii="Times New Roman" w:hAnsi="Times New Roman" w:cs="B Nazanin" w:hint="cs"/>
          <w:i/>
          <w:sz w:val="23"/>
          <w:szCs w:val="23"/>
          <w:rtl/>
        </w:rPr>
        <w:t>،</w:t>
      </w:r>
    </w:p>
    <w:p w14:paraId="08EC4138"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Pr>
      </w:pPr>
      <w:r w:rsidRPr="00A40DDC">
        <w:rPr>
          <w:position w:val="-32"/>
        </w:rPr>
        <w:object w:dxaOrig="4940" w:dyaOrig="780" w14:anchorId="47DF6700">
          <v:shape id="_x0000_i3949" type="#_x0000_t75" style="width:247.45pt;height:39.35pt" o:ole="">
            <v:imagedata r:id="rId5887" o:title=""/>
          </v:shape>
          <o:OLEObject Type="Embed" ProgID="Equation.DSMT4" ShapeID="_x0000_i3949" DrawAspect="Content" ObjectID="_1791377893" r:id="rId5888"/>
        </w:object>
      </w:r>
    </w:p>
    <w:p w14:paraId="6A8EC78D"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t xml:space="preserve"> یعنی اگر </w:t>
      </w:r>
      <w:r w:rsidRPr="00A40DDC">
        <w:rPr>
          <w:rFonts w:eastAsiaTheme="minorEastAsia" w:hint="cs"/>
          <w:i/>
          <w:sz w:val="23"/>
          <w:szCs w:val="23"/>
          <w:rtl/>
        </w:rPr>
        <w:t>در اقتصاد دارایی خالص</w:t>
      </w:r>
      <w:r w:rsidRPr="00A40DDC">
        <w:rPr>
          <w:rFonts w:eastAsiaTheme="minorEastAsia"/>
          <w:i/>
          <w:sz w:val="23"/>
          <w:szCs w:val="23"/>
          <w:rtl/>
        </w:rPr>
        <w:t xml:space="preserve"> منفی باشد</w:t>
      </w:r>
      <w:r w:rsidRPr="00A40DDC">
        <w:rPr>
          <w:rFonts w:eastAsiaTheme="minorEastAsia"/>
          <w:i/>
          <w:sz w:val="23"/>
          <w:szCs w:val="23"/>
        </w:rPr>
        <w:t xml:space="preserve"> </w:t>
      </w:r>
      <w:r w:rsidRPr="00A40DDC">
        <w:rPr>
          <w:position w:val="-10"/>
        </w:rPr>
        <w:object w:dxaOrig="880" w:dyaOrig="320" w14:anchorId="607F3F71">
          <v:shape id="_x0000_i3950" type="#_x0000_t75" style="width:44.15pt;height:15.75pt" o:ole="">
            <v:imagedata r:id="rId5889" o:title=""/>
          </v:shape>
          <o:OLEObject Type="Embed" ProgID="Equation.DSMT4" ShapeID="_x0000_i3950" DrawAspect="Content" ObjectID="_1791377894" r:id="rId5890"/>
        </w:object>
      </w:r>
      <w:r w:rsidRPr="00A40DDC">
        <w:rPr>
          <w:rFonts w:eastAsiaTheme="minorEastAsia" w:hint="cs"/>
          <w:i/>
          <w:sz w:val="23"/>
          <w:szCs w:val="23"/>
          <w:rtl/>
        </w:rPr>
        <w:t xml:space="preserve">، </w:t>
      </w:r>
      <w:r w:rsidRPr="00A40DDC">
        <w:rPr>
          <w:rFonts w:eastAsiaTheme="minorEastAsia"/>
          <w:i/>
          <w:sz w:val="23"/>
          <w:szCs w:val="23"/>
          <w:rtl/>
        </w:rPr>
        <w:t xml:space="preserve">آنگاه مازاد ارزش فعلی تراز تجاری حقیقی جاری و انتظاری آتی نسبت به </w:t>
      </w:r>
      <w:r w:rsidRPr="00A40DDC">
        <w:rPr>
          <w:rFonts w:eastAsiaTheme="minorEastAsia"/>
          <w:i/>
          <w:sz w:val="23"/>
          <w:szCs w:val="23"/>
        </w:rPr>
        <w:t>GDP</w:t>
      </w:r>
      <w:r w:rsidRPr="00A40DDC">
        <w:rPr>
          <w:rFonts w:eastAsiaTheme="minorEastAsia"/>
          <w:i/>
          <w:sz w:val="23"/>
          <w:szCs w:val="23"/>
          <w:rtl/>
        </w:rPr>
        <w:t xml:space="preserve"> یعنی </w:t>
      </w:r>
    </w:p>
    <w:p w14:paraId="028A4DA2"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Pr>
      </w:pPr>
      <w:r w:rsidRPr="00A40DDC">
        <w:rPr>
          <w:position w:val="-30"/>
        </w:rPr>
        <w:object w:dxaOrig="1820" w:dyaOrig="700" w14:anchorId="0CB1C718">
          <v:shape id="_x0000_i3951" type="#_x0000_t75" style="width:90.75pt;height:35.1pt" o:ole="">
            <v:imagedata r:id="rId5891" o:title=""/>
          </v:shape>
          <o:OLEObject Type="Embed" ProgID="Equation.DSMT4" ShapeID="_x0000_i3951" DrawAspect="Content" ObjectID="_1791377895" r:id="rId5892"/>
        </w:object>
      </w:r>
    </w:p>
    <w:p w14:paraId="0ED0F86D"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t xml:space="preserve"> باید </w:t>
      </w:r>
      <w:r w:rsidRPr="00A40DDC">
        <w:rPr>
          <w:rFonts w:eastAsiaTheme="minorEastAsia" w:hint="cs"/>
          <w:i/>
          <w:sz w:val="23"/>
          <w:szCs w:val="23"/>
          <w:rtl/>
        </w:rPr>
        <w:t>مثب</w:t>
      </w:r>
      <w:r w:rsidRPr="00A40DDC">
        <w:rPr>
          <w:rFonts w:eastAsiaTheme="minorEastAsia"/>
          <w:i/>
          <w:sz w:val="23"/>
          <w:szCs w:val="23"/>
          <w:rtl/>
        </w:rPr>
        <w:t>ت و به اندازه</w:t>
      </w:r>
      <w:r w:rsidRPr="00A40DDC">
        <w:rPr>
          <w:rFonts w:eastAsiaTheme="minorEastAsia" w:hint="cs"/>
          <w:i/>
          <w:sz w:val="23"/>
          <w:szCs w:val="23"/>
          <w:rtl/>
        </w:rPr>
        <w:t xml:space="preserve">‌ </w:t>
      </w:r>
      <w:r w:rsidRPr="00A40DDC">
        <w:rPr>
          <w:rFonts w:eastAsiaTheme="minorEastAsia"/>
          <w:i/>
          <w:sz w:val="23"/>
          <w:szCs w:val="23"/>
          <w:rtl/>
        </w:rPr>
        <w:t xml:space="preserve">کافی بزرگ </w:t>
      </w:r>
      <w:r w:rsidRPr="00A40DDC">
        <w:rPr>
          <w:rFonts w:eastAsiaTheme="minorEastAsia" w:hint="cs"/>
          <w:i/>
          <w:sz w:val="23"/>
          <w:szCs w:val="23"/>
          <w:rtl/>
        </w:rPr>
        <w:t xml:space="preserve">باشد </w:t>
      </w:r>
      <w:r w:rsidRPr="00A40DDC">
        <w:rPr>
          <w:rFonts w:eastAsiaTheme="minorEastAsia"/>
          <w:i/>
          <w:sz w:val="23"/>
          <w:szCs w:val="23"/>
          <w:rtl/>
        </w:rPr>
        <w:t xml:space="preserve">تا </w:t>
      </w:r>
      <w:r w:rsidRPr="00A40DDC">
        <w:rPr>
          <w:rFonts w:eastAsiaTheme="minorEastAsia" w:hint="cs"/>
          <w:i/>
          <w:sz w:val="23"/>
          <w:szCs w:val="23"/>
          <w:rtl/>
        </w:rPr>
        <w:t>بدهی خالص</w:t>
      </w:r>
      <w:r w:rsidRPr="00A40DDC">
        <w:rPr>
          <w:rFonts w:eastAsiaTheme="minorEastAsia"/>
          <w:i/>
          <w:sz w:val="23"/>
          <w:szCs w:val="23"/>
          <w:rtl/>
        </w:rPr>
        <w:t xml:space="preserve"> را تسویه کند. و اگر </w:t>
      </w:r>
      <w:r w:rsidRPr="00A40DDC">
        <w:rPr>
          <w:rFonts w:eastAsiaTheme="minorEastAsia" w:hint="cs"/>
          <w:i/>
          <w:sz w:val="23"/>
          <w:szCs w:val="23"/>
          <w:rtl/>
        </w:rPr>
        <w:t>در اقتصاد دارایی خالص</w:t>
      </w:r>
      <w:r w:rsidRPr="00A40DDC">
        <w:rPr>
          <w:rFonts w:eastAsiaTheme="minorEastAsia"/>
          <w:i/>
          <w:sz w:val="23"/>
          <w:szCs w:val="23"/>
          <w:rtl/>
        </w:rPr>
        <w:t xml:space="preserve"> </w:t>
      </w:r>
      <w:r w:rsidRPr="00A40DDC">
        <w:rPr>
          <w:rFonts w:eastAsiaTheme="minorEastAsia" w:hint="cs"/>
          <w:i/>
          <w:sz w:val="23"/>
          <w:szCs w:val="23"/>
          <w:rtl/>
        </w:rPr>
        <w:t>مثبت</w:t>
      </w:r>
      <w:r w:rsidRPr="00A40DDC">
        <w:rPr>
          <w:rFonts w:eastAsiaTheme="minorEastAsia"/>
          <w:i/>
          <w:sz w:val="23"/>
          <w:szCs w:val="23"/>
          <w:rtl/>
        </w:rPr>
        <w:t xml:space="preserve"> باشد</w:t>
      </w:r>
      <w:r w:rsidRPr="00A40DDC">
        <w:rPr>
          <w:rFonts w:eastAsiaTheme="minorEastAsia" w:hint="cs"/>
          <w:i/>
          <w:sz w:val="23"/>
          <w:szCs w:val="23"/>
          <w:rtl/>
        </w:rPr>
        <w:t xml:space="preserve"> یعنی</w:t>
      </w:r>
      <w:r w:rsidRPr="00A40DDC">
        <w:rPr>
          <w:rFonts w:eastAsiaTheme="minorEastAsia"/>
          <w:i/>
          <w:sz w:val="23"/>
          <w:szCs w:val="23"/>
          <w:rtl/>
        </w:rPr>
        <w:t xml:space="preserve"> </w:t>
      </w:r>
      <w:r w:rsidRPr="00A40DDC">
        <w:rPr>
          <w:position w:val="-10"/>
        </w:rPr>
        <w:object w:dxaOrig="880" w:dyaOrig="320" w14:anchorId="1B2F8C8F">
          <v:shape id="_x0000_i3952" type="#_x0000_t75" style="width:44.15pt;height:15.75pt" o:ole="">
            <v:imagedata r:id="rId5893" o:title=""/>
          </v:shape>
          <o:OLEObject Type="Embed" ProgID="Equation.DSMT4" ShapeID="_x0000_i3952" DrawAspect="Content" ObjectID="_1791377896" r:id="rId5894"/>
        </w:object>
      </w:r>
      <w:r w:rsidRPr="00A40DDC">
        <w:rPr>
          <w:rFonts w:eastAsiaTheme="minorEastAsia" w:hint="cs"/>
          <w:i/>
          <w:sz w:val="23"/>
          <w:szCs w:val="23"/>
          <w:rtl/>
        </w:rPr>
        <w:t xml:space="preserve">، </w:t>
      </w:r>
      <w:r w:rsidRPr="00A40DDC">
        <w:rPr>
          <w:rFonts w:eastAsiaTheme="minorEastAsia"/>
          <w:i/>
          <w:sz w:val="23"/>
          <w:szCs w:val="23"/>
          <w:rtl/>
        </w:rPr>
        <w:t xml:space="preserve">آنگاه کسری ارزش فعلی تراز تجاری حقیقی جاری و انتظاری آتی نسبت به </w:t>
      </w:r>
      <w:r w:rsidRPr="00A40DDC">
        <w:rPr>
          <w:rFonts w:eastAsiaTheme="minorEastAsia"/>
          <w:i/>
          <w:sz w:val="23"/>
          <w:szCs w:val="23"/>
        </w:rPr>
        <w:t>GDP</w:t>
      </w:r>
      <w:r w:rsidRPr="00A40DDC">
        <w:rPr>
          <w:rFonts w:eastAsiaTheme="minorEastAsia"/>
          <w:i/>
          <w:sz w:val="23"/>
          <w:szCs w:val="23"/>
          <w:rtl/>
        </w:rPr>
        <w:t xml:space="preserve"> باید به اندازه</w:t>
      </w:r>
      <w:r w:rsidRPr="00A40DDC">
        <w:rPr>
          <w:rFonts w:eastAsiaTheme="minorEastAsia"/>
          <w:i/>
          <w:sz w:val="23"/>
          <w:szCs w:val="23"/>
          <w:rtl/>
        </w:rPr>
        <w:softHyphen/>
        <w:t xml:space="preserve">ای باشد تا </w:t>
      </w:r>
      <w:r w:rsidRPr="00A40DDC">
        <w:rPr>
          <w:rFonts w:eastAsiaTheme="minorEastAsia" w:hint="cs"/>
          <w:i/>
          <w:sz w:val="23"/>
          <w:szCs w:val="23"/>
          <w:rtl/>
        </w:rPr>
        <w:t>خالص دارایی را مورد استفاده قرار دهد</w:t>
      </w:r>
      <w:r w:rsidRPr="00A40DDC">
        <w:rPr>
          <w:rFonts w:eastAsiaTheme="minorEastAsia"/>
          <w:i/>
          <w:sz w:val="23"/>
          <w:szCs w:val="23"/>
          <w:rtl/>
        </w:rPr>
        <w:t>. در غیر این صورت سطح دارایی</w:t>
      </w:r>
      <w:r w:rsidRPr="00A40DDC">
        <w:rPr>
          <w:rFonts w:eastAsiaTheme="minorEastAsia" w:hint="cs"/>
          <w:i/>
          <w:sz w:val="23"/>
          <w:szCs w:val="23"/>
          <w:rtl/>
        </w:rPr>
        <w:t>‌</w:t>
      </w:r>
      <w:r w:rsidRPr="00A40DDC">
        <w:rPr>
          <w:rFonts w:eastAsiaTheme="minorEastAsia"/>
          <w:i/>
          <w:sz w:val="23"/>
          <w:szCs w:val="23"/>
          <w:rtl/>
        </w:rPr>
        <w:t>های خارجی نگهداری شده در اقتصاد بیش از اندازه است.</w:t>
      </w:r>
    </w:p>
    <w:p w14:paraId="01D72666"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t>در حالت</w:t>
      </w:r>
      <w:r w:rsidRPr="00A40DDC">
        <w:rPr>
          <w:rFonts w:eastAsiaTheme="minorEastAsia" w:hint="cs"/>
          <w:i/>
          <w:sz w:val="23"/>
          <w:szCs w:val="23"/>
          <w:rtl/>
        </w:rPr>
        <w:t>ی</w:t>
      </w:r>
      <w:r w:rsidRPr="00A40DDC">
        <w:rPr>
          <w:rFonts w:eastAsiaTheme="minorEastAsia"/>
          <w:i/>
          <w:sz w:val="23"/>
          <w:szCs w:val="23"/>
          <w:rtl/>
        </w:rPr>
        <w:t xml:space="preserve"> خاص که مازاد تجاری حقیقی ثابت و مثبت است یعنی </w:t>
      </w:r>
    </w:p>
    <w:p w14:paraId="35E8D565"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28"/>
        </w:rPr>
        <w:object w:dxaOrig="1840" w:dyaOrig="660" w14:anchorId="0A2FFD34">
          <v:shape id="_x0000_i3953" type="#_x0000_t75" style="width:91.95pt;height:32.65pt" o:ole="">
            <v:imagedata r:id="rId5895" o:title=""/>
          </v:shape>
          <o:OLEObject Type="Embed" ProgID="Equation.DSMT4" ShapeID="_x0000_i3953" DrawAspect="Content" ObjectID="_1791377897" r:id="rId5896"/>
        </w:object>
      </w:r>
    </w:p>
    <w:p w14:paraId="404F6254"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t>آنگاه ارتباط ساده</w:t>
      </w:r>
      <w:r w:rsidRPr="00A40DDC">
        <w:rPr>
          <w:rFonts w:eastAsiaTheme="minorEastAsia"/>
          <w:i/>
          <w:sz w:val="23"/>
          <w:szCs w:val="23"/>
          <w:rtl/>
        </w:rPr>
        <w:softHyphen/>
        <w:t>ای بین بدهی و مازاد تجاری حقیقی بلندمدت برقرار می</w:t>
      </w:r>
      <w:r w:rsidRPr="00A40DDC">
        <w:rPr>
          <w:rFonts w:eastAsiaTheme="minorEastAsia" w:hint="cs"/>
          <w:i/>
          <w:sz w:val="23"/>
          <w:szCs w:val="23"/>
          <w:rtl/>
        </w:rPr>
        <w:t>‌</w:t>
      </w:r>
      <w:r w:rsidRPr="00A40DDC">
        <w:rPr>
          <w:rFonts w:eastAsiaTheme="minorEastAsia"/>
          <w:i/>
          <w:sz w:val="23"/>
          <w:szCs w:val="23"/>
          <w:rtl/>
        </w:rPr>
        <w:t>شود</w:t>
      </w:r>
      <w:r w:rsidRPr="00A40DDC">
        <w:rPr>
          <w:rFonts w:eastAsiaTheme="minorEastAsia" w:hint="cs"/>
          <w:i/>
          <w:sz w:val="23"/>
          <w:szCs w:val="23"/>
          <w:rtl/>
        </w:rPr>
        <w:t>،</w:t>
      </w:r>
      <w:r w:rsidRPr="00A40DDC">
        <w:rPr>
          <w:rFonts w:eastAsiaTheme="minorEastAsia"/>
          <w:i/>
          <w:sz w:val="23"/>
          <w:szCs w:val="23"/>
          <w:rtl/>
        </w:rPr>
        <w:t xml:space="preserve"> یعنی</w:t>
      </w:r>
    </w:p>
    <w:p w14:paraId="407C0ACE" w14:textId="77777777" w:rsidR="00411620" w:rsidRPr="00A40DDC"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tl/>
        </w:rPr>
      </w:pPr>
      <w:r w:rsidRPr="00A40DDC">
        <w:rPr>
          <w:position w:val="-30"/>
        </w:rPr>
        <w:object w:dxaOrig="3040" w:dyaOrig="680" w14:anchorId="6E1170A8">
          <v:shape id="_x0000_i3954" type="#_x0000_t75" style="width:151.85pt;height:33.9pt" o:ole="">
            <v:imagedata r:id="rId5897" o:title=""/>
          </v:shape>
          <o:OLEObject Type="Embed" ProgID="Equation.DSMT4" ShapeID="_x0000_i3954" DrawAspect="Content" ObjectID="_1791377898" r:id="rId5898"/>
        </w:object>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i/>
          <w:sz w:val="23"/>
          <w:szCs w:val="23"/>
          <w:rtl/>
        </w:rPr>
        <w:tab/>
      </w:r>
      <w:r>
        <w:rPr>
          <w:rFonts w:ascii="Times New Roman" w:hAnsi="Times New Roman"/>
          <w:i/>
          <w:sz w:val="23"/>
          <w:szCs w:val="23"/>
          <w:rtl/>
        </w:rPr>
        <w:tab/>
      </w:r>
      <w:r w:rsidRPr="00A40DDC">
        <w:rPr>
          <w:rFonts w:ascii="Times New Roman" w:hAnsi="Times New Roman"/>
          <w:i/>
          <w:sz w:val="23"/>
          <w:szCs w:val="23"/>
          <w:rtl/>
        </w:rPr>
        <w:tab/>
      </w:r>
      <w:r w:rsidRPr="00A40DDC">
        <w:rPr>
          <w:rFonts w:ascii="Times New Roman" w:hAnsi="Times New Roman" w:cs="B Nazanin"/>
          <w:i/>
          <w:sz w:val="23"/>
          <w:szCs w:val="23"/>
          <w:rtl/>
        </w:rPr>
        <w:tab/>
      </w:r>
      <w:r w:rsidRPr="00A40DDC">
        <w:rPr>
          <w:rFonts w:ascii="Times New Roman" w:hAnsi="Times New Roman" w:cs="B Nazanin" w:hint="cs"/>
          <w:i/>
          <w:sz w:val="23"/>
          <w:szCs w:val="23"/>
          <w:rtl/>
        </w:rPr>
        <w:t>(۷. ۴۸)</w:t>
      </w:r>
    </w:p>
    <w:p w14:paraId="71B755F4"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hint="cs"/>
          <w:i/>
          <w:sz w:val="23"/>
          <w:szCs w:val="23"/>
          <w:rtl/>
        </w:rPr>
        <w:t>رابطه</w:t>
      </w:r>
      <w:r w:rsidRPr="00A40DDC">
        <w:rPr>
          <w:rFonts w:eastAsiaTheme="minorEastAsia"/>
          <w:i/>
          <w:sz w:val="23"/>
          <w:szCs w:val="23"/>
          <w:rtl/>
        </w:rPr>
        <w:softHyphen/>
      </w:r>
      <w:r w:rsidRPr="00A40DDC">
        <w:rPr>
          <w:rFonts w:eastAsiaTheme="minorEastAsia" w:hint="cs"/>
          <w:i/>
          <w:sz w:val="23"/>
          <w:szCs w:val="23"/>
          <w:rtl/>
        </w:rPr>
        <w:t>ی (۷. ۴۸)</w:t>
      </w:r>
      <w:r w:rsidRPr="00A40DDC">
        <w:rPr>
          <w:rFonts w:eastAsiaTheme="minorEastAsia"/>
          <w:i/>
          <w:sz w:val="23"/>
          <w:szCs w:val="23"/>
          <w:rtl/>
        </w:rPr>
        <w:t xml:space="preserve"> </w:t>
      </w:r>
      <w:r w:rsidRPr="00A40DDC">
        <w:rPr>
          <w:rFonts w:eastAsiaTheme="minorEastAsia" w:hint="cs"/>
          <w:i/>
          <w:sz w:val="23"/>
          <w:szCs w:val="23"/>
          <w:rtl/>
        </w:rPr>
        <w:t xml:space="preserve">بسط </w:t>
      </w:r>
      <w:r w:rsidRPr="00A40DDC">
        <w:rPr>
          <w:rFonts w:eastAsiaTheme="minorEastAsia"/>
          <w:i/>
          <w:sz w:val="23"/>
          <w:szCs w:val="23"/>
          <w:rtl/>
        </w:rPr>
        <w:t>رابطه</w:t>
      </w:r>
      <w:r w:rsidRPr="00A40DDC">
        <w:rPr>
          <w:rFonts w:eastAsiaTheme="minorEastAsia"/>
          <w:i/>
          <w:sz w:val="23"/>
          <w:szCs w:val="23"/>
          <w:rtl/>
        </w:rPr>
        <w:softHyphen/>
      </w:r>
      <w:r w:rsidRPr="00A40DDC">
        <w:rPr>
          <w:rFonts w:eastAsiaTheme="minorEastAsia" w:hint="cs"/>
          <w:i/>
          <w:sz w:val="23"/>
          <w:szCs w:val="23"/>
          <w:rtl/>
        </w:rPr>
        <w:t>ی</w:t>
      </w:r>
      <w:r w:rsidRPr="00A40DDC">
        <w:rPr>
          <w:rFonts w:eastAsiaTheme="minorEastAsia"/>
          <w:i/>
          <w:sz w:val="23"/>
          <w:szCs w:val="23"/>
          <w:rtl/>
        </w:rPr>
        <w:t xml:space="preserve"> </w:t>
      </w:r>
      <w:r w:rsidRPr="00A40DDC">
        <w:rPr>
          <w:rFonts w:eastAsiaTheme="minorEastAsia" w:hint="cs"/>
          <w:i/>
          <w:sz w:val="23"/>
          <w:szCs w:val="23"/>
          <w:rtl/>
        </w:rPr>
        <w:t>(۷. ۱۴)</w:t>
      </w:r>
      <w:r w:rsidRPr="00A40DDC">
        <w:rPr>
          <w:rFonts w:eastAsiaTheme="minorEastAsia"/>
          <w:i/>
          <w:sz w:val="23"/>
          <w:szCs w:val="23"/>
          <w:rtl/>
        </w:rPr>
        <w:t xml:space="preserve"> است که در آن رشد اقتصادی نیز در نظر گرفته شده است</w:t>
      </w:r>
      <w:r w:rsidRPr="00A40DDC">
        <w:rPr>
          <w:rFonts w:eastAsiaTheme="minorEastAsia" w:hint="cs"/>
          <w:i/>
          <w:sz w:val="23"/>
          <w:szCs w:val="23"/>
          <w:rtl/>
        </w:rPr>
        <w:t xml:space="preserve">. </w:t>
      </w:r>
      <w:r w:rsidRPr="00A40DDC">
        <w:rPr>
          <w:rFonts w:eastAsiaTheme="minorEastAsia"/>
          <w:i/>
          <w:sz w:val="23"/>
          <w:szCs w:val="23"/>
          <w:rtl/>
        </w:rPr>
        <w:t>جهت درک رابطه</w:t>
      </w:r>
      <w:r w:rsidRPr="00A40DDC">
        <w:rPr>
          <w:rFonts w:eastAsiaTheme="minorEastAsia"/>
          <w:i/>
          <w:sz w:val="23"/>
          <w:szCs w:val="23"/>
          <w:rtl/>
        </w:rPr>
        <w:softHyphen/>
      </w:r>
      <w:r w:rsidRPr="00A40DDC">
        <w:rPr>
          <w:rFonts w:eastAsiaTheme="minorEastAsia" w:hint="cs"/>
          <w:i/>
          <w:sz w:val="23"/>
          <w:szCs w:val="23"/>
          <w:rtl/>
        </w:rPr>
        <w:t>ی</w:t>
      </w:r>
      <w:r w:rsidRPr="00A40DDC">
        <w:rPr>
          <w:rFonts w:eastAsiaTheme="minorEastAsia"/>
          <w:i/>
          <w:sz w:val="23"/>
          <w:szCs w:val="23"/>
          <w:rtl/>
        </w:rPr>
        <w:t xml:space="preserve"> فوق از رابطه</w:t>
      </w:r>
      <w:r w:rsidRPr="00A40DDC">
        <w:rPr>
          <w:rFonts w:eastAsiaTheme="minorEastAsia"/>
          <w:i/>
          <w:sz w:val="23"/>
          <w:szCs w:val="23"/>
          <w:rtl/>
        </w:rPr>
        <w:softHyphen/>
      </w:r>
      <w:r w:rsidRPr="00A40DDC">
        <w:rPr>
          <w:rFonts w:eastAsiaTheme="minorEastAsia" w:hint="cs"/>
          <w:i/>
          <w:sz w:val="23"/>
          <w:szCs w:val="23"/>
          <w:rtl/>
        </w:rPr>
        <w:t>ی</w:t>
      </w:r>
      <w:r w:rsidRPr="00A40DDC">
        <w:rPr>
          <w:rFonts w:eastAsiaTheme="minorEastAsia"/>
          <w:i/>
          <w:sz w:val="23"/>
          <w:szCs w:val="23"/>
          <w:rtl/>
        </w:rPr>
        <w:t xml:space="preserve"> </w:t>
      </w:r>
      <w:r w:rsidRPr="00A40DDC">
        <w:rPr>
          <w:rFonts w:eastAsiaTheme="minorEastAsia" w:hint="cs"/>
          <w:i/>
          <w:sz w:val="23"/>
          <w:szCs w:val="23"/>
          <w:rtl/>
        </w:rPr>
        <w:t>(۷. ۴۳)</w:t>
      </w:r>
      <w:r w:rsidRPr="00A40DDC">
        <w:rPr>
          <w:rFonts w:eastAsiaTheme="minorEastAsia"/>
          <w:i/>
          <w:sz w:val="23"/>
          <w:szCs w:val="23"/>
          <w:rtl/>
        </w:rPr>
        <w:t xml:space="preserve"> می</w:t>
      </w:r>
      <w:r w:rsidRPr="00A40DDC">
        <w:rPr>
          <w:rFonts w:eastAsiaTheme="minorEastAsia" w:hint="cs"/>
          <w:i/>
          <w:sz w:val="23"/>
          <w:szCs w:val="23"/>
          <w:rtl/>
        </w:rPr>
        <w:t>‌</w:t>
      </w:r>
      <w:r w:rsidRPr="00A40DDC">
        <w:rPr>
          <w:rFonts w:eastAsiaTheme="minorEastAsia"/>
          <w:i/>
          <w:sz w:val="23"/>
          <w:szCs w:val="23"/>
          <w:rtl/>
        </w:rPr>
        <w:t xml:space="preserve">دانیم که در بلندمدت چون </w:t>
      </w:r>
      <w:r w:rsidRPr="00A40DDC">
        <w:rPr>
          <w:position w:val="-10"/>
        </w:rPr>
        <w:object w:dxaOrig="720" w:dyaOrig="320" w14:anchorId="2E1BC2C9">
          <v:shape id="_x0000_i3955" type="#_x0000_t75" style="width:36.3pt;height:15.75pt" o:ole="">
            <v:imagedata r:id="rId5899" o:title=""/>
          </v:shape>
          <o:OLEObject Type="Embed" ProgID="Equation.DSMT4" ShapeID="_x0000_i3955" DrawAspect="Content" ObjectID="_1791377899" r:id="rId5900"/>
        </w:object>
      </w:r>
      <w:r w:rsidRPr="00A40DDC">
        <w:rPr>
          <w:rFonts w:eastAsiaTheme="minorEastAsia"/>
          <w:i/>
          <w:sz w:val="23"/>
          <w:szCs w:val="23"/>
          <w:rtl/>
        </w:rPr>
        <w:t xml:space="preserve">، </w:t>
      </w:r>
      <w:r w:rsidRPr="00A40DDC">
        <w:rPr>
          <w:position w:val="-10"/>
        </w:rPr>
        <w:object w:dxaOrig="700" w:dyaOrig="320" w14:anchorId="7A0C6644">
          <v:shape id="_x0000_i3956" type="#_x0000_t75" style="width:35.1pt;height:15.75pt" o:ole="">
            <v:imagedata r:id="rId5901" o:title=""/>
          </v:shape>
          <o:OLEObject Type="Embed" ProgID="Equation.DSMT4" ShapeID="_x0000_i3956" DrawAspect="Content" ObjectID="_1791377900" r:id="rId5902"/>
        </w:object>
      </w:r>
      <w:r w:rsidRPr="00A40DDC">
        <w:rPr>
          <w:rFonts w:eastAsiaTheme="minorEastAsia"/>
          <w:i/>
          <w:sz w:val="23"/>
          <w:szCs w:val="23"/>
          <w:rtl/>
        </w:rPr>
        <w:t xml:space="preserve">، </w:t>
      </w:r>
      <w:r w:rsidRPr="00A40DDC">
        <w:rPr>
          <w:position w:val="-10"/>
        </w:rPr>
        <w:object w:dxaOrig="760" w:dyaOrig="340" w14:anchorId="48BC4952">
          <v:shape id="_x0000_i3957" type="#_x0000_t75" style="width:38.1pt;height:16.95pt" o:ole="">
            <v:imagedata r:id="rId5903" o:title=""/>
          </v:shape>
          <o:OLEObject Type="Embed" ProgID="Equation.DSMT4" ShapeID="_x0000_i3957" DrawAspect="Content" ObjectID="_1791377901" r:id="rId5904"/>
        </w:object>
      </w:r>
      <w:r w:rsidRPr="00A40DDC">
        <w:rPr>
          <w:rFonts w:eastAsiaTheme="minorEastAsia"/>
          <w:i/>
          <w:sz w:val="23"/>
          <w:szCs w:val="23"/>
          <w:rtl/>
        </w:rPr>
        <w:t xml:space="preserve"> و </w:t>
      </w:r>
      <w:r w:rsidRPr="00A40DDC">
        <w:rPr>
          <w:position w:val="-10"/>
        </w:rPr>
        <w:object w:dxaOrig="900" w:dyaOrig="300" w14:anchorId="7A55AA20">
          <v:shape id="_x0000_i3958" type="#_x0000_t75" style="width:45.4pt;height:14.5pt" o:ole="">
            <v:imagedata r:id="rId5905" o:title=""/>
          </v:shape>
          <o:OLEObject Type="Embed" ProgID="Equation.DSMT4" ShapeID="_x0000_i3958" DrawAspect="Content" ObjectID="_1791377902" r:id="rId5906"/>
        </w:object>
      </w:r>
      <w:r w:rsidRPr="00A40DDC">
        <w:rPr>
          <w:rFonts w:eastAsiaTheme="minorEastAsia" w:hint="cs"/>
          <w:i/>
          <w:sz w:val="23"/>
          <w:szCs w:val="23"/>
          <w:rtl/>
        </w:rPr>
        <w:t xml:space="preserve">، </w:t>
      </w:r>
      <w:r w:rsidRPr="00A40DDC">
        <w:rPr>
          <w:rFonts w:eastAsiaTheme="minorEastAsia"/>
          <w:i/>
          <w:sz w:val="23"/>
          <w:szCs w:val="23"/>
          <w:rtl/>
        </w:rPr>
        <w:t xml:space="preserve">لذا حساب جاری </w:t>
      </w:r>
      <w:r w:rsidRPr="00A40DDC">
        <w:rPr>
          <w:rFonts w:eastAsiaTheme="minorEastAsia" w:hint="cs"/>
          <w:i/>
          <w:sz w:val="23"/>
          <w:szCs w:val="23"/>
          <w:rtl/>
        </w:rPr>
        <w:t xml:space="preserve">حقیقی </w:t>
      </w:r>
      <w:r w:rsidRPr="00A40DDC">
        <w:rPr>
          <w:rFonts w:eastAsiaTheme="minorEastAsia"/>
          <w:i/>
          <w:sz w:val="23"/>
          <w:szCs w:val="23"/>
          <w:rtl/>
        </w:rPr>
        <w:t xml:space="preserve">برابر است با </w:t>
      </w:r>
      <w:r w:rsidRPr="00A40DDC">
        <w:rPr>
          <w:rFonts w:eastAsiaTheme="minorEastAsia" w:hint="cs"/>
          <w:i/>
          <w:sz w:val="23"/>
          <w:szCs w:val="23"/>
          <w:rtl/>
        </w:rPr>
        <w:t>تراز تجاری</w:t>
      </w:r>
      <w:r w:rsidRPr="00A40DDC">
        <w:rPr>
          <w:rFonts w:eastAsiaTheme="minorEastAsia"/>
          <w:i/>
          <w:sz w:val="23"/>
          <w:szCs w:val="23"/>
          <w:rtl/>
        </w:rPr>
        <w:t xml:space="preserve"> </w:t>
      </w:r>
      <w:r w:rsidRPr="00A40DDC">
        <w:rPr>
          <w:rFonts w:eastAsiaTheme="minorEastAsia" w:hint="cs"/>
          <w:i/>
          <w:sz w:val="23"/>
          <w:szCs w:val="23"/>
          <w:rtl/>
        </w:rPr>
        <w:t xml:space="preserve">حقیقی </w:t>
      </w:r>
      <w:r w:rsidRPr="00A40DDC">
        <w:rPr>
          <w:rFonts w:eastAsiaTheme="minorEastAsia"/>
          <w:i/>
          <w:sz w:val="23"/>
          <w:szCs w:val="23"/>
          <w:rtl/>
        </w:rPr>
        <w:t xml:space="preserve">به اضافه خالص درآمد بهره حقیقی یعنی </w:t>
      </w:r>
    </w:p>
    <w:p w14:paraId="216958AB"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30"/>
        </w:rPr>
        <w:object w:dxaOrig="5920" w:dyaOrig="700" w14:anchorId="436C7793">
          <v:shape id="_x0000_i3959" type="#_x0000_t75" style="width:295.85pt;height:35.1pt" o:ole="">
            <v:imagedata r:id="rId5907" o:title=""/>
          </v:shape>
          <o:OLEObject Type="Embed" ProgID="Equation.DSMT4" ShapeID="_x0000_i3959" DrawAspect="Content" ObjectID="_1791377903" r:id="rId5908"/>
        </w:object>
      </w:r>
    </w:p>
    <w:p w14:paraId="617B68AB"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hint="cs"/>
          <w:i/>
          <w:sz w:val="23"/>
          <w:szCs w:val="23"/>
          <w:rtl/>
        </w:rPr>
        <w:t xml:space="preserve">و </w:t>
      </w:r>
      <w:r w:rsidRPr="00A40DDC">
        <w:rPr>
          <w:rFonts w:eastAsiaTheme="minorEastAsia"/>
          <w:i/>
          <w:sz w:val="23"/>
          <w:szCs w:val="23"/>
          <w:rtl/>
        </w:rPr>
        <w:t>با جایگزین کردن</w:t>
      </w:r>
      <w:r w:rsidRPr="00A40DDC">
        <w:rPr>
          <w:rFonts w:eastAsiaTheme="minorEastAsia" w:hint="cs"/>
          <w:i/>
          <w:sz w:val="23"/>
          <w:szCs w:val="23"/>
          <w:rtl/>
        </w:rPr>
        <w:t xml:space="preserve"> آن در </w:t>
      </w:r>
      <w:r w:rsidRPr="00A40DDC">
        <w:rPr>
          <w:rFonts w:eastAsiaTheme="minorEastAsia"/>
          <w:i/>
          <w:sz w:val="23"/>
          <w:szCs w:val="23"/>
          <w:rtl/>
        </w:rPr>
        <w:t>رابطه</w:t>
      </w:r>
      <w:r w:rsidRPr="00A40DDC">
        <w:rPr>
          <w:rFonts w:eastAsiaTheme="minorEastAsia"/>
          <w:i/>
          <w:sz w:val="23"/>
          <w:szCs w:val="23"/>
          <w:rtl/>
        </w:rPr>
        <w:softHyphen/>
      </w:r>
      <w:r w:rsidRPr="00A40DDC">
        <w:rPr>
          <w:rFonts w:eastAsiaTheme="minorEastAsia" w:hint="cs"/>
          <w:i/>
          <w:sz w:val="23"/>
          <w:szCs w:val="23"/>
          <w:rtl/>
        </w:rPr>
        <w:t>ی</w:t>
      </w:r>
      <w:r w:rsidRPr="00A40DDC">
        <w:rPr>
          <w:rFonts w:eastAsiaTheme="minorEastAsia"/>
          <w:i/>
          <w:sz w:val="23"/>
          <w:szCs w:val="23"/>
          <w:rtl/>
        </w:rPr>
        <w:t xml:space="preserve"> </w:t>
      </w:r>
      <w:r w:rsidRPr="00A40DDC">
        <w:rPr>
          <w:rFonts w:hint="cs"/>
          <w:i/>
          <w:sz w:val="23"/>
          <w:szCs w:val="23"/>
          <w:rtl/>
        </w:rPr>
        <w:t>(۷ .۴۸)</w:t>
      </w:r>
      <w:r w:rsidRPr="00A40DDC">
        <w:rPr>
          <w:rFonts w:eastAsiaTheme="minorEastAsia"/>
          <w:i/>
          <w:sz w:val="23"/>
          <w:szCs w:val="23"/>
          <w:rtl/>
        </w:rPr>
        <w:t xml:space="preserve"> داریم.</w:t>
      </w:r>
    </w:p>
    <w:p w14:paraId="566B4C13"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Pr>
      </w:pPr>
      <w:r w:rsidRPr="00A40DDC">
        <w:rPr>
          <w:position w:val="-28"/>
        </w:rPr>
        <w:object w:dxaOrig="1900" w:dyaOrig="660" w14:anchorId="33341640">
          <v:shape id="_x0000_i3960" type="#_x0000_t75" style="width:95pt;height:32.65pt" o:ole="">
            <v:imagedata r:id="rId5909" o:title=""/>
          </v:shape>
          <o:OLEObject Type="Embed" ProgID="Equation.DSMT4" ShapeID="_x0000_i3960" DrawAspect="Content" ObjectID="_1791377904" r:id="rId5910"/>
        </w:object>
      </w:r>
    </w:p>
    <w:p w14:paraId="6D525A94"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t>اگر رشد اقتصادی اسمی وجود داشته باشد</w:t>
      </w:r>
      <w:r w:rsidRPr="00A40DDC">
        <w:rPr>
          <w:rFonts w:eastAsiaTheme="minorEastAsia" w:hint="cs"/>
          <w:i/>
          <w:sz w:val="23"/>
          <w:szCs w:val="23"/>
          <w:rtl/>
        </w:rPr>
        <w:t>،</w:t>
      </w:r>
      <w:r w:rsidRPr="00A40DDC">
        <w:rPr>
          <w:rFonts w:eastAsiaTheme="minorEastAsia"/>
          <w:i/>
          <w:sz w:val="23"/>
          <w:szCs w:val="23"/>
          <w:rtl/>
        </w:rPr>
        <w:t xml:space="preserve"> آنگاه امکان کسری حساب جاری</w:t>
      </w:r>
      <w:r w:rsidRPr="00A40DDC">
        <w:rPr>
          <w:rFonts w:eastAsiaTheme="minorEastAsia" w:hint="cs"/>
          <w:i/>
          <w:sz w:val="23"/>
          <w:szCs w:val="23"/>
          <w:rtl/>
        </w:rPr>
        <w:t xml:space="preserve"> یعنی</w:t>
      </w:r>
      <w:r w:rsidRPr="00A40DDC">
        <w:rPr>
          <w:rFonts w:eastAsiaTheme="minorEastAsia"/>
          <w:i/>
          <w:sz w:val="23"/>
          <w:szCs w:val="23"/>
          <w:rtl/>
        </w:rPr>
        <w:t xml:space="preserve"> </w:t>
      </w:r>
      <w:r w:rsidRPr="00A40DDC">
        <w:rPr>
          <w:rFonts w:eastAsiaTheme="minorEastAsia"/>
          <w:i/>
          <w:sz w:val="23"/>
          <w:szCs w:val="23"/>
        </w:rPr>
        <w:t>CA&lt;0</w:t>
      </w:r>
      <w:r w:rsidRPr="00A40DDC">
        <w:rPr>
          <w:rFonts w:eastAsiaTheme="minorEastAsia" w:hint="cs"/>
          <w:i/>
          <w:sz w:val="23"/>
          <w:szCs w:val="23"/>
          <w:rtl/>
        </w:rPr>
        <w:t xml:space="preserve"> </w:t>
      </w:r>
      <w:r w:rsidRPr="00A40DDC">
        <w:rPr>
          <w:rFonts w:eastAsiaTheme="minorEastAsia"/>
          <w:i/>
          <w:sz w:val="23"/>
          <w:szCs w:val="23"/>
          <w:rtl/>
        </w:rPr>
        <w:t>دائمی و پایدار</w:t>
      </w:r>
      <w:r w:rsidRPr="00A40DDC">
        <w:rPr>
          <w:rFonts w:eastAsiaTheme="minorEastAsia" w:hint="cs"/>
          <w:i/>
          <w:sz w:val="23"/>
          <w:szCs w:val="23"/>
          <w:rtl/>
        </w:rPr>
        <w:t>،</w:t>
      </w:r>
      <w:r w:rsidRPr="00A40DDC">
        <w:rPr>
          <w:rFonts w:eastAsiaTheme="minorEastAsia"/>
          <w:i/>
          <w:sz w:val="23"/>
          <w:szCs w:val="23"/>
          <w:rtl/>
        </w:rPr>
        <w:t xml:space="preserve"> </w:t>
      </w:r>
      <w:r w:rsidRPr="00A40DDC">
        <w:rPr>
          <w:rFonts w:eastAsiaTheme="minorEastAsia" w:hint="cs"/>
          <w:i/>
          <w:sz w:val="23"/>
          <w:szCs w:val="23"/>
          <w:rtl/>
        </w:rPr>
        <w:t>علیرغم</w:t>
      </w:r>
      <w:r w:rsidRPr="00A40DDC">
        <w:rPr>
          <w:rFonts w:eastAsiaTheme="minorEastAsia"/>
          <w:i/>
          <w:sz w:val="23"/>
          <w:szCs w:val="23"/>
          <w:rtl/>
        </w:rPr>
        <w:t xml:space="preserve"> </w:t>
      </w:r>
      <w:r w:rsidRPr="00A40DDC">
        <w:rPr>
          <w:position w:val="-26"/>
        </w:rPr>
        <w:object w:dxaOrig="560" w:dyaOrig="600" w14:anchorId="7046528A">
          <v:shape id="_x0000_i3961" type="#_x0000_t75" style="width:27.85pt;height:29.65pt" o:ole="">
            <v:imagedata r:id="rId5911" o:title=""/>
          </v:shape>
          <o:OLEObject Type="Embed" ProgID="Equation.DSMT4" ShapeID="_x0000_i3961" DrawAspect="Content" ObjectID="_1791377905" r:id="rId5912"/>
        </w:object>
      </w:r>
      <w:r w:rsidRPr="00A40DDC">
        <w:rPr>
          <w:rFonts w:hint="cs"/>
          <w:i/>
          <w:sz w:val="23"/>
          <w:szCs w:val="23"/>
          <w:rtl/>
        </w:rPr>
        <w:t xml:space="preserve"> </w:t>
      </w:r>
      <w:r w:rsidRPr="00A40DDC">
        <w:rPr>
          <w:rFonts w:eastAsiaTheme="minorEastAsia"/>
          <w:i/>
          <w:sz w:val="23"/>
          <w:szCs w:val="23"/>
          <w:rtl/>
        </w:rPr>
        <w:t xml:space="preserve">وجود </w:t>
      </w:r>
      <w:r w:rsidRPr="00A40DDC">
        <w:rPr>
          <w:rFonts w:eastAsiaTheme="minorEastAsia" w:hint="cs"/>
          <w:i/>
          <w:sz w:val="23"/>
          <w:szCs w:val="23"/>
          <w:rtl/>
        </w:rPr>
        <w:t>خواهد داشت</w:t>
      </w:r>
      <w:r w:rsidRPr="00A40DDC">
        <w:rPr>
          <w:rFonts w:eastAsiaTheme="minorEastAsia"/>
          <w:i/>
          <w:sz w:val="23"/>
          <w:szCs w:val="23"/>
          <w:rtl/>
        </w:rPr>
        <w:t xml:space="preserve"> </w:t>
      </w:r>
      <w:r w:rsidRPr="00A40DDC">
        <w:rPr>
          <w:rFonts w:eastAsiaTheme="minorEastAsia" w:hint="cs"/>
          <w:i/>
          <w:sz w:val="23"/>
          <w:szCs w:val="23"/>
          <w:rtl/>
        </w:rPr>
        <w:t>م</w:t>
      </w:r>
      <w:r w:rsidRPr="00A40DDC">
        <w:rPr>
          <w:rFonts w:eastAsiaTheme="minorEastAsia"/>
          <w:i/>
          <w:sz w:val="23"/>
          <w:szCs w:val="23"/>
          <w:rtl/>
        </w:rPr>
        <w:t>شر</w:t>
      </w:r>
      <w:r w:rsidRPr="00A40DDC">
        <w:rPr>
          <w:rFonts w:eastAsiaTheme="minorEastAsia" w:hint="cs"/>
          <w:i/>
          <w:sz w:val="23"/>
          <w:szCs w:val="23"/>
          <w:rtl/>
        </w:rPr>
        <w:t>و</w:t>
      </w:r>
      <w:r w:rsidRPr="00A40DDC">
        <w:rPr>
          <w:rFonts w:eastAsiaTheme="minorEastAsia"/>
          <w:i/>
          <w:sz w:val="23"/>
          <w:szCs w:val="23"/>
          <w:rtl/>
        </w:rPr>
        <w:t xml:space="preserve">ط برآنکه کسری حساب جاری از سمت راست </w:t>
      </w:r>
      <w:r w:rsidRPr="00A40DDC">
        <w:rPr>
          <w:rFonts w:eastAsiaTheme="minorEastAsia" w:hint="cs"/>
          <w:i/>
          <w:sz w:val="23"/>
          <w:szCs w:val="23"/>
          <w:rtl/>
        </w:rPr>
        <w:t>رابطه بیشتر</w:t>
      </w:r>
      <w:r w:rsidRPr="00A40DDC">
        <w:rPr>
          <w:rFonts w:eastAsiaTheme="minorEastAsia"/>
          <w:i/>
          <w:sz w:val="23"/>
          <w:szCs w:val="23"/>
          <w:rtl/>
        </w:rPr>
        <w:t xml:space="preserve"> نشود</w:t>
      </w:r>
      <w:r w:rsidRPr="00A40DDC">
        <w:rPr>
          <w:rFonts w:eastAsiaTheme="minorEastAsia" w:hint="cs"/>
          <w:i/>
          <w:sz w:val="23"/>
          <w:szCs w:val="23"/>
          <w:rtl/>
        </w:rPr>
        <w:t>.</w:t>
      </w:r>
      <w:r w:rsidRPr="00A40DDC">
        <w:rPr>
          <w:rFonts w:eastAsiaTheme="minorEastAsia"/>
          <w:i/>
          <w:sz w:val="23"/>
          <w:szCs w:val="23"/>
          <w:rtl/>
        </w:rPr>
        <w:t xml:space="preserve"> با افزایش </w:t>
      </w:r>
      <w:r w:rsidRPr="00A40DDC">
        <w:rPr>
          <w:rFonts w:eastAsiaTheme="minorEastAsia" w:hint="cs"/>
          <w:i/>
          <w:sz w:val="23"/>
          <w:szCs w:val="23"/>
          <w:rtl/>
        </w:rPr>
        <w:t xml:space="preserve">نرخ </w:t>
      </w:r>
      <w:r w:rsidRPr="00A40DDC">
        <w:rPr>
          <w:rFonts w:eastAsiaTheme="minorEastAsia"/>
          <w:i/>
          <w:sz w:val="23"/>
          <w:szCs w:val="23"/>
          <w:rtl/>
        </w:rPr>
        <w:t xml:space="preserve">رشد اقتصادی </w:t>
      </w:r>
      <w:r w:rsidRPr="00A40DDC">
        <w:rPr>
          <w:rFonts w:eastAsiaTheme="minorEastAsia" w:hint="cs"/>
          <w:i/>
          <w:sz w:val="23"/>
          <w:szCs w:val="23"/>
          <w:rtl/>
        </w:rPr>
        <w:t>اسمی</w:t>
      </w:r>
      <w:r w:rsidRPr="00A40DDC">
        <w:rPr>
          <w:rFonts w:eastAsiaTheme="minorEastAsia"/>
          <w:i/>
          <w:sz w:val="23"/>
          <w:szCs w:val="23"/>
          <w:rtl/>
        </w:rPr>
        <w:t xml:space="preserve"> </w:t>
      </w:r>
      <w:r w:rsidRPr="00A40DDC">
        <w:rPr>
          <w:rFonts w:eastAsiaTheme="minorEastAsia" w:hint="cs"/>
          <w:i/>
          <w:sz w:val="23"/>
          <w:szCs w:val="23"/>
          <w:rtl/>
        </w:rPr>
        <w:t xml:space="preserve">و </w:t>
      </w:r>
      <w:r w:rsidRPr="00A40DDC">
        <w:rPr>
          <w:rFonts w:eastAsiaTheme="minorEastAsia"/>
          <w:i/>
          <w:sz w:val="23"/>
          <w:szCs w:val="23"/>
          <w:rtl/>
        </w:rPr>
        <w:t>بدون آنکه بدهی دولت افزایش یابد</w:t>
      </w:r>
      <w:r w:rsidRPr="00A40DDC">
        <w:rPr>
          <w:rFonts w:eastAsiaTheme="minorEastAsia" w:hint="cs"/>
          <w:i/>
          <w:sz w:val="23"/>
          <w:szCs w:val="23"/>
          <w:rtl/>
        </w:rPr>
        <w:t>،</w:t>
      </w:r>
      <w:r w:rsidRPr="00A40DDC">
        <w:rPr>
          <w:rFonts w:eastAsiaTheme="minorEastAsia"/>
          <w:i/>
          <w:sz w:val="23"/>
          <w:szCs w:val="23"/>
          <w:rtl/>
        </w:rPr>
        <w:t xml:space="preserve"> احتمال </w:t>
      </w:r>
      <w:r w:rsidRPr="00A40DDC">
        <w:rPr>
          <w:rFonts w:eastAsiaTheme="minorEastAsia"/>
          <w:i/>
          <w:sz w:val="23"/>
          <w:szCs w:val="23"/>
          <w:rtl/>
        </w:rPr>
        <w:lastRenderedPageBreak/>
        <w:t>پایداری کسری حساب جاری دائمی افزایش می</w:t>
      </w:r>
      <w:r w:rsidRPr="00A40DDC">
        <w:rPr>
          <w:rFonts w:eastAsiaTheme="minorEastAsia" w:hint="cs"/>
          <w:i/>
          <w:sz w:val="23"/>
          <w:szCs w:val="23"/>
          <w:rtl/>
        </w:rPr>
        <w:t>‌</w:t>
      </w:r>
      <w:r w:rsidRPr="00A40DDC">
        <w:rPr>
          <w:rFonts w:eastAsiaTheme="minorEastAsia"/>
          <w:i/>
          <w:sz w:val="23"/>
          <w:szCs w:val="23"/>
          <w:rtl/>
        </w:rPr>
        <w:t>یابد. نتایج فوق با نتایج اولیه که نشان می</w:t>
      </w:r>
      <w:r w:rsidRPr="00A40DDC">
        <w:rPr>
          <w:rFonts w:eastAsiaTheme="minorEastAsia" w:hint="cs"/>
          <w:i/>
          <w:sz w:val="23"/>
          <w:szCs w:val="23"/>
          <w:rtl/>
        </w:rPr>
        <w:t>‌</w:t>
      </w:r>
      <w:r w:rsidRPr="00A40DDC">
        <w:rPr>
          <w:rFonts w:eastAsiaTheme="minorEastAsia"/>
          <w:i/>
          <w:sz w:val="23"/>
          <w:szCs w:val="23"/>
          <w:rtl/>
        </w:rPr>
        <w:t xml:space="preserve">داد حساب جاری بلندمدت باید </w:t>
      </w:r>
      <w:r w:rsidRPr="00A40DDC">
        <w:rPr>
          <w:rFonts w:eastAsiaTheme="minorEastAsia" w:hint="cs"/>
          <w:i/>
          <w:sz w:val="23"/>
          <w:szCs w:val="23"/>
          <w:rtl/>
        </w:rPr>
        <w:t>تراز</w:t>
      </w:r>
      <w:r w:rsidRPr="00A40DDC">
        <w:rPr>
          <w:rFonts w:eastAsiaTheme="minorEastAsia"/>
          <w:i/>
          <w:sz w:val="23"/>
          <w:szCs w:val="23"/>
          <w:rtl/>
        </w:rPr>
        <w:t xml:space="preserve"> </w:t>
      </w:r>
      <w:r w:rsidRPr="00A40DDC">
        <w:rPr>
          <w:rFonts w:eastAsiaTheme="minorEastAsia" w:hint="cs"/>
          <w:i/>
          <w:sz w:val="23"/>
          <w:szCs w:val="23"/>
          <w:rtl/>
        </w:rPr>
        <w:t xml:space="preserve">باشد </w:t>
      </w:r>
      <w:r w:rsidRPr="00A40DDC">
        <w:rPr>
          <w:rFonts w:eastAsiaTheme="minorEastAsia"/>
          <w:i/>
          <w:sz w:val="23"/>
          <w:szCs w:val="23"/>
          <w:rtl/>
        </w:rPr>
        <w:t>مغایر است</w:t>
      </w:r>
      <w:r w:rsidRPr="00A40DDC">
        <w:rPr>
          <w:rFonts w:eastAsiaTheme="minorEastAsia" w:hint="cs"/>
          <w:i/>
          <w:sz w:val="23"/>
          <w:szCs w:val="23"/>
          <w:rtl/>
        </w:rPr>
        <w:t>،</w:t>
      </w:r>
      <w:r w:rsidRPr="00A40DDC">
        <w:rPr>
          <w:rFonts w:eastAsiaTheme="minorEastAsia"/>
          <w:i/>
          <w:sz w:val="23"/>
          <w:szCs w:val="23"/>
          <w:rtl/>
        </w:rPr>
        <w:t xml:space="preserve"> زیرا</w:t>
      </w:r>
      <w:r w:rsidRPr="00A40DDC">
        <w:rPr>
          <w:rFonts w:eastAsiaTheme="minorEastAsia" w:hint="cs"/>
          <w:i/>
          <w:sz w:val="23"/>
          <w:szCs w:val="23"/>
          <w:rtl/>
        </w:rPr>
        <w:t xml:space="preserve"> </w:t>
      </w:r>
      <w:r w:rsidRPr="00A40DDC">
        <w:rPr>
          <w:rFonts w:eastAsiaTheme="minorEastAsia"/>
          <w:i/>
          <w:sz w:val="23"/>
          <w:szCs w:val="23"/>
          <w:rtl/>
        </w:rPr>
        <w:t xml:space="preserve">رشد اقتصادی اسمی </w:t>
      </w:r>
      <w:r w:rsidRPr="00A40DDC">
        <w:rPr>
          <w:rFonts w:eastAsiaTheme="minorEastAsia" w:hint="cs"/>
          <w:i/>
          <w:sz w:val="23"/>
          <w:szCs w:val="23"/>
          <w:rtl/>
        </w:rPr>
        <w:t>صفر نیست</w:t>
      </w:r>
      <w:r w:rsidRPr="00A40DDC">
        <w:rPr>
          <w:rFonts w:eastAsiaTheme="minorEastAsia"/>
          <w:i/>
          <w:sz w:val="23"/>
          <w:szCs w:val="23"/>
          <w:rtl/>
        </w:rPr>
        <w:t xml:space="preserve">. </w:t>
      </w:r>
    </w:p>
    <w:p w14:paraId="0B69CC44"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t xml:space="preserve">کارایی پویا </w:t>
      </w:r>
      <w:r w:rsidRPr="00A40DDC">
        <w:rPr>
          <w:rFonts w:eastAsiaTheme="minorEastAsia" w:hint="cs"/>
          <w:i/>
          <w:sz w:val="23"/>
          <w:szCs w:val="23"/>
          <w:rtl/>
        </w:rPr>
        <w:t xml:space="preserve">مستلزم آن است که </w:t>
      </w:r>
      <w:r w:rsidRPr="00A40DDC">
        <w:rPr>
          <w:rFonts w:eastAsiaTheme="minorEastAsia"/>
          <w:i/>
          <w:sz w:val="23"/>
          <w:szCs w:val="23"/>
          <w:rtl/>
        </w:rPr>
        <w:t xml:space="preserve">در بلندمدت </w:t>
      </w:r>
      <w:r w:rsidRPr="00A40DDC">
        <w:rPr>
          <w:rFonts w:eastAsiaTheme="minorEastAsia" w:hint="cs"/>
          <w:i/>
          <w:sz w:val="23"/>
          <w:szCs w:val="23"/>
          <w:rtl/>
        </w:rPr>
        <w:t>کارگزاران</w:t>
      </w:r>
      <w:r w:rsidRPr="00A40DDC">
        <w:rPr>
          <w:rFonts w:eastAsiaTheme="minorEastAsia"/>
          <w:i/>
          <w:sz w:val="23"/>
          <w:szCs w:val="23"/>
          <w:rtl/>
        </w:rPr>
        <w:t xml:space="preserve"> اقتصادی همانند خان</w:t>
      </w:r>
      <w:r w:rsidRPr="00A40DDC">
        <w:rPr>
          <w:rFonts w:eastAsiaTheme="minorEastAsia" w:hint="cs"/>
          <w:i/>
          <w:sz w:val="23"/>
          <w:szCs w:val="23"/>
          <w:rtl/>
        </w:rPr>
        <w:t xml:space="preserve">وار و یا </w:t>
      </w:r>
      <w:r w:rsidRPr="00A40DDC">
        <w:rPr>
          <w:rFonts w:eastAsiaTheme="minorEastAsia"/>
          <w:i/>
          <w:sz w:val="23"/>
          <w:szCs w:val="23"/>
          <w:rtl/>
        </w:rPr>
        <w:t xml:space="preserve">دولت دارایی خود را کلاً </w:t>
      </w:r>
      <w:r w:rsidRPr="00A40DDC">
        <w:rPr>
          <w:rFonts w:eastAsiaTheme="minorEastAsia" w:hint="cs"/>
          <w:i/>
          <w:sz w:val="23"/>
          <w:szCs w:val="23"/>
          <w:rtl/>
        </w:rPr>
        <w:t>م</w:t>
      </w:r>
      <w:r w:rsidRPr="00A40DDC">
        <w:rPr>
          <w:rFonts w:eastAsiaTheme="minorEastAsia"/>
          <w:i/>
          <w:sz w:val="23"/>
          <w:szCs w:val="23"/>
          <w:rtl/>
        </w:rPr>
        <w:t>صرف کن</w:t>
      </w:r>
      <w:r w:rsidRPr="00A40DDC">
        <w:rPr>
          <w:rFonts w:eastAsiaTheme="minorEastAsia" w:hint="cs"/>
          <w:i/>
          <w:sz w:val="23"/>
          <w:szCs w:val="23"/>
          <w:rtl/>
        </w:rPr>
        <w:t>ن</w:t>
      </w:r>
      <w:r w:rsidRPr="00A40DDC">
        <w:rPr>
          <w:rFonts w:eastAsiaTheme="minorEastAsia"/>
          <w:i/>
          <w:sz w:val="23"/>
          <w:szCs w:val="23"/>
          <w:rtl/>
        </w:rPr>
        <w:t>د. اگر برنامه</w:t>
      </w:r>
      <w:r w:rsidRPr="00A40DDC">
        <w:rPr>
          <w:rFonts w:eastAsiaTheme="minorEastAsia"/>
          <w:i/>
          <w:sz w:val="23"/>
          <w:szCs w:val="23"/>
          <w:rtl/>
        </w:rPr>
        <w:softHyphen/>
      </w:r>
      <w:r w:rsidRPr="00A40DDC">
        <w:rPr>
          <w:rFonts w:eastAsiaTheme="minorEastAsia" w:hint="cs"/>
          <w:i/>
          <w:sz w:val="23"/>
          <w:szCs w:val="23"/>
          <w:rtl/>
        </w:rPr>
        <w:t xml:space="preserve">ی </w:t>
      </w:r>
      <w:r w:rsidRPr="00A40DDC">
        <w:rPr>
          <w:rFonts w:eastAsiaTheme="minorEastAsia"/>
          <w:i/>
          <w:sz w:val="23"/>
          <w:szCs w:val="23"/>
          <w:rtl/>
        </w:rPr>
        <w:t xml:space="preserve">مصرفی </w:t>
      </w:r>
      <w:r w:rsidRPr="00A40DDC">
        <w:rPr>
          <w:rFonts w:eastAsiaTheme="minorEastAsia" w:hint="cs"/>
          <w:i/>
          <w:sz w:val="23"/>
          <w:szCs w:val="23"/>
          <w:rtl/>
        </w:rPr>
        <w:t xml:space="preserve">کارگزاران اقتصادی </w:t>
      </w:r>
      <w:r w:rsidRPr="00A40DDC">
        <w:rPr>
          <w:rFonts w:eastAsiaTheme="minorEastAsia"/>
          <w:i/>
          <w:sz w:val="23"/>
          <w:szCs w:val="23"/>
          <w:rtl/>
        </w:rPr>
        <w:t>بگونه</w:t>
      </w:r>
      <w:r w:rsidRPr="00A40DDC">
        <w:rPr>
          <w:rFonts w:eastAsiaTheme="minorEastAsia"/>
          <w:i/>
          <w:sz w:val="23"/>
          <w:szCs w:val="23"/>
          <w:rtl/>
        </w:rPr>
        <w:softHyphen/>
        <w:t xml:space="preserve">ای باشد که </w:t>
      </w:r>
      <w:r w:rsidRPr="00A40DDC">
        <w:rPr>
          <w:rFonts w:eastAsiaTheme="minorEastAsia" w:hint="cs"/>
          <w:i/>
          <w:sz w:val="23"/>
          <w:szCs w:val="23"/>
          <w:rtl/>
        </w:rPr>
        <w:t xml:space="preserve">کل </w:t>
      </w:r>
      <w:r w:rsidRPr="00A40DDC">
        <w:rPr>
          <w:rFonts w:eastAsiaTheme="minorEastAsia"/>
          <w:i/>
          <w:sz w:val="23"/>
          <w:szCs w:val="23"/>
          <w:rtl/>
        </w:rPr>
        <w:t>دارا</w:t>
      </w:r>
      <w:r w:rsidRPr="00A40DDC">
        <w:rPr>
          <w:rFonts w:eastAsiaTheme="minorEastAsia" w:hint="cs"/>
          <w:i/>
          <w:sz w:val="23"/>
          <w:szCs w:val="23"/>
          <w:rtl/>
        </w:rPr>
        <w:t>ی</w:t>
      </w:r>
      <w:r w:rsidRPr="00A40DDC">
        <w:rPr>
          <w:rFonts w:eastAsiaTheme="minorEastAsia"/>
          <w:i/>
          <w:sz w:val="23"/>
          <w:szCs w:val="23"/>
          <w:rtl/>
        </w:rPr>
        <w:t xml:space="preserve">ی مصرف </w:t>
      </w:r>
      <w:r w:rsidRPr="00A40DDC">
        <w:rPr>
          <w:rFonts w:eastAsiaTheme="minorEastAsia" w:hint="cs"/>
          <w:i/>
          <w:sz w:val="23"/>
          <w:szCs w:val="23"/>
          <w:rtl/>
        </w:rPr>
        <w:t>ن</w:t>
      </w:r>
      <w:r w:rsidRPr="00A40DDC">
        <w:rPr>
          <w:rFonts w:eastAsiaTheme="minorEastAsia"/>
          <w:i/>
          <w:sz w:val="23"/>
          <w:szCs w:val="23"/>
          <w:rtl/>
        </w:rPr>
        <w:t>شود</w:t>
      </w:r>
      <w:r w:rsidRPr="00A40DDC">
        <w:rPr>
          <w:rFonts w:eastAsiaTheme="minorEastAsia" w:hint="cs"/>
          <w:i/>
          <w:sz w:val="23"/>
          <w:szCs w:val="23"/>
          <w:rtl/>
        </w:rPr>
        <w:t>،</w:t>
      </w:r>
      <w:r w:rsidRPr="00A40DDC">
        <w:rPr>
          <w:rFonts w:eastAsiaTheme="minorEastAsia"/>
          <w:i/>
          <w:sz w:val="23"/>
          <w:szCs w:val="23"/>
          <w:rtl/>
        </w:rPr>
        <w:t xml:space="preserve"> آنگا</w:t>
      </w:r>
      <w:r w:rsidRPr="00A40DDC">
        <w:rPr>
          <w:rFonts w:eastAsiaTheme="minorEastAsia" w:hint="cs"/>
          <w:i/>
          <w:sz w:val="23"/>
          <w:szCs w:val="23"/>
          <w:rtl/>
        </w:rPr>
        <w:t>ه</w:t>
      </w:r>
      <w:r w:rsidRPr="00A40DDC">
        <w:rPr>
          <w:rFonts w:eastAsiaTheme="minorEastAsia"/>
          <w:i/>
          <w:sz w:val="23"/>
          <w:szCs w:val="23"/>
          <w:rtl/>
        </w:rPr>
        <w:t xml:space="preserve"> </w:t>
      </w:r>
      <w:r w:rsidRPr="00A40DDC">
        <w:rPr>
          <w:rFonts w:eastAsiaTheme="minorEastAsia" w:hint="cs"/>
          <w:i/>
          <w:sz w:val="23"/>
          <w:szCs w:val="23"/>
          <w:rtl/>
        </w:rPr>
        <w:t xml:space="preserve">در اقتصاد </w:t>
      </w:r>
      <w:r w:rsidRPr="00A40DDC">
        <w:rPr>
          <w:rFonts w:eastAsiaTheme="minorEastAsia"/>
          <w:i/>
          <w:sz w:val="23"/>
          <w:szCs w:val="23"/>
          <w:rtl/>
        </w:rPr>
        <w:t xml:space="preserve">کارایی پویا وجود ندارد </w:t>
      </w:r>
      <w:r w:rsidRPr="00A40DDC">
        <w:rPr>
          <w:rFonts w:eastAsiaTheme="minorEastAsia" w:hint="cs"/>
          <w:i/>
          <w:sz w:val="23"/>
          <w:szCs w:val="23"/>
          <w:rtl/>
        </w:rPr>
        <w:t xml:space="preserve">مگر آن که </w:t>
      </w:r>
      <w:r w:rsidRPr="00A40DDC">
        <w:rPr>
          <w:rFonts w:eastAsiaTheme="minorEastAsia"/>
          <w:i/>
          <w:sz w:val="23"/>
          <w:szCs w:val="23"/>
          <w:rtl/>
        </w:rPr>
        <w:t xml:space="preserve">خانوار انگیزه به ارث گذاشتن </w:t>
      </w:r>
      <w:r w:rsidRPr="00A40DDC">
        <w:rPr>
          <w:rFonts w:eastAsiaTheme="minorEastAsia" w:hint="cs"/>
          <w:i/>
          <w:sz w:val="23"/>
          <w:szCs w:val="23"/>
          <w:rtl/>
        </w:rPr>
        <w:t>داشته باشد.</w:t>
      </w:r>
      <w:r w:rsidRPr="00A40DDC">
        <w:rPr>
          <w:rFonts w:eastAsiaTheme="minorEastAsia"/>
          <w:i/>
          <w:sz w:val="23"/>
          <w:szCs w:val="23"/>
          <w:rtl/>
        </w:rPr>
        <w:t xml:space="preserve"> اگر</w:t>
      </w:r>
      <w:r w:rsidRPr="00A40DDC">
        <w:rPr>
          <w:rFonts w:eastAsiaTheme="minorEastAsia" w:hint="cs"/>
          <w:i/>
          <w:sz w:val="23"/>
          <w:szCs w:val="23"/>
          <w:rtl/>
        </w:rPr>
        <w:t xml:space="preserve"> در اقتصاد خالص دارایی خارجی مثبت باشد،</w:t>
      </w:r>
      <w:r w:rsidRPr="00A40DDC">
        <w:rPr>
          <w:rFonts w:eastAsiaTheme="minorEastAsia"/>
          <w:i/>
          <w:sz w:val="23"/>
          <w:szCs w:val="23"/>
          <w:rtl/>
        </w:rPr>
        <w:t xml:space="preserve"> </w:t>
      </w:r>
      <w:r w:rsidRPr="00A40DDC">
        <w:rPr>
          <w:position w:val="-8"/>
        </w:rPr>
        <w:object w:dxaOrig="520" w:dyaOrig="279" w14:anchorId="54D9684D">
          <v:shape id="_x0000_i3962" type="#_x0000_t75" style="width:26pt;height:13.9pt" o:ole="">
            <v:imagedata r:id="rId5913" o:title=""/>
          </v:shape>
          <o:OLEObject Type="Embed" ProgID="Equation.DSMT4" ShapeID="_x0000_i3962" DrawAspect="Content" ObjectID="_1791377906" r:id="rId5914"/>
        </w:object>
      </w:r>
      <w:r w:rsidRPr="00A40DDC">
        <w:rPr>
          <w:rFonts w:eastAsiaTheme="minorEastAsia" w:hint="cs"/>
          <w:i/>
          <w:sz w:val="23"/>
          <w:szCs w:val="23"/>
          <w:rtl/>
        </w:rPr>
        <w:t xml:space="preserve"> ، </w:t>
      </w:r>
      <w:r w:rsidRPr="00A40DDC">
        <w:rPr>
          <w:rFonts w:eastAsiaTheme="minorEastAsia"/>
          <w:i/>
          <w:sz w:val="23"/>
          <w:szCs w:val="23"/>
          <w:rtl/>
        </w:rPr>
        <w:t xml:space="preserve">آنگاه </w:t>
      </w:r>
    </w:p>
    <w:p w14:paraId="74CE00C7" w14:textId="77777777" w:rsidR="00411620" w:rsidRPr="00A40DDC" w:rsidRDefault="00411620" w:rsidP="00411620">
      <w:pPr>
        <w:tabs>
          <w:tab w:val="left" w:pos="3521"/>
        </w:tabs>
        <w:bidi w:val="0"/>
        <w:spacing w:line="216" w:lineRule="auto"/>
        <w:rPr>
          <w:rFonts w:eastAsiaTheme="minorEastAsia"/>
          <w:i/>
          <w:sz w:val="23"/>
          <w:szCs w:val="23"/>
          <w:rtl/>
        </w:rPr>
      </w:pPr>
      <w:r w:rsidRPr="00A40DDC">
        <w:rPr>
          <w:position w:val="-28"/>
        </w:rPr>
        <w:object w:dxaOrig="3400" w:dyaOrig="660" w14:anchorId="338328AA">
          <v:shape id="_x0000_i3963" type="#_x0000_t75" style="width:170pt;height:32.65pt" o:ole="">
            <v:imagedata r:id="rId5915" o:title=""/>
          </v:shape>
          <o:OLEObject Type="Embed" ProgID="Equation.DSMT4" ShapeID="_x0000_i3963" DrawAspect="Content" ObjectID="_1791377907" r:id="rId5916"/>
        </w:object>
      </w:r>
    </w:p>
    <w:p w14:paraId="1E00B55A"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t xml:space="preserve">در بلندمدت کسری تجاری باید </w:t>
      </w:r>
      <w:r w:rsidRPr="00A40DDC">
        <w:rPr>
          <w:rFonts w:eastAsiaTheme="minorEastAsia" w:hint="cs"/>
          <w:i/>
          <w:sz w:val="23"/>
          <w:szCs w:val="23"/>
          <w:rtl/>
        </w:rPr>
        <w:t>به اندازه</w:t>
      </w:r>
      <w:r w:rsidRPr="00A40DDC">
        <w:rPr>
          <w:rFonts w:eastAsiaTheme="minorEastAsia"/>
          <w:i/>
          <w:sz w:val="23"/>
          <w:szCs w:val="23"/>
          <w:rtl/>
        </w:rPr>
        <w:softHyphen/>
      </w:r>
      <w:r w:rsidRPr="00A40DDC">
        <w:rPr>
          <w:rFonts w:eastAsiaTheme="minorEastAsia" w:hint="cs"/>
          <w:i/>
          <w:sz w:val="23"/>
          <w:szCs w:val="23"/>
          <w:rtl/>
        </w:rPr>
        <w:t>ای</w:t>
      </w:r>
      <w:r w:rsidRPr="00A40DDC">
        <w:rPr>
          <w:rFonts w:eastAsiaTheme="minorEastAsia"/>
          <w:i/>
          <w:sz w:val="23"/>
          <w:szCs w:val="23"/>
          <w:rtl/>
        </w:rPr>
        <w:t xml:space="preserve"> باشد</w:t>
      </w:r>
      <w:r w:rsidRPr="00A40DDC">
        <w:rPr>
          <w:rFonts w:eastAsiaTheme="minorEastAsia" w:hint="cs"/>
          <w:i/>
          <w:sz w:val="23"/>
          <w:szCs w:val="23"/>
          <w:rtl/>
        </w:rPr>
        <w:t xml:space="preserve"> </w:t>
      </w:r>
      <w:r w:rsidRPr="00A40DDC">
        <w:rPr>
          <w:rFonts w:eastAsiaTheme="minorEastAsia"/>
          <w:i/>
          <w:sz w:val="23"/>
          <w:szCs w:val="23"/>
          <w:rtl/>
        </w:rPr>
        <w:t xml:space="preserve">که </w:t>
      </w:r>
      <w:r w:rsidRPr="00A40DDC">
        <w:rPr>
          <w:rFonts w:eastAsiaTheme="minorEastAsia" w:hint="cs"/>
          <w:i/>
          <w:sz w:val="23"/>
          <w:szCs w:val="23"/>
          <w:rtl/>
        </w:rPr>
        <w:t xml:space="preserve">خانوار </w:t>
      </w:r>
      <w:r w:rsidRPr="00A40DDC">
        <w:rPr>
          <w:rFonts w:eastAsiaTheme="minorEastAsia"/>
          <w:i/>
          <w:sz w:val="23"/>
          <w:szCs w:val="23"/>
          <w:rtl/>
        </w:rPr>
        <w:t>دارایی</w:t>
      </w:r>
      <w:r w:rsidRPr="00A40DDC">
        <w:rPr>
          <w:rFonts w:eastAsiaTheme="minorEastAsia"/>
          <w:i/>
          <w:sz w:val="23"/>
          <w:szCs w:val="23"/>
          <w:rtl/>
        </w:rPr>
        <w:softHyphen/>
      </w:r>
      <w:r w:rsidRPr="00A40DDC">
        <w:rPr>
          <w:rFonts w:eastAsiaTheme="minorEastAsia" w:hint="cs"/>
          <w:i/>
          <w:sz w:val="23"/>
          <w:szCs w:val="23"/>
          <w:rtl/>
        </w:rPr>
        <w:t>اش</w:t>
      </w:r>
      <w:r w:rsidRPr="00A40DDC">
        <w:rPr>
          <w:rFonts w:eastAsiaTheme="minorEastAsia"/>
          <w:i/>
          <w:sz w:val="23"/>
          <w:szCs w:val="23"/>
          <w:rtl/>
        </w:rPr>
        <w:t xml:space="preserve"> را </w:t>
      </w:r>
      <w:r w:rsidRPr="00A40DDC">
        <w:rPr>
          <w:rFonts w:eastAsiaTheme="minorEastAsia" w:hint="cs"/>
          <w:i/>
          <w:sz w:val="23"/>
          <w:szCs w:val="23"/>
          <w:rtl/>
        </w:rPr>
        <w:t>م</w:t>
      </w:r>
      <w:r w:rsidRPr="00A40DDC">
        <w:rPr>
          <w:rFonts w:eastAsiaTheme="minorEastAsia"/>
          <w:i/>
          <w:sz w:val="23"/>
          <w:szCs w:val="23"/>
          <w:rtl/>
        </w:rPr>
        <w:t xml:space="preserve">صرف کند. لذا اگر </w:t>
      </w:r>
      <w:r w:rsidRPr="00A40DDC">
        <w:rPr>
          <w:position w:val="-8"/>
        </w:rPr>
        <w:object w:dxaOrig="520" w:dyaOrig="279" w14:anchorId="49BBE1AA">
          <v:shape id="_x0000_i3964" type="#_x0000_t75" style="width:26pt;height:13.9pt" o:ole="">
            <v:imagedata r:id="rId5917" o:title=""/>
          </v:shape>
          <o:OLEObject Type="Embed" ProgID="Equation.DSMT4" ShapeID="_x0000_i3964" DrawAspect="Content" ObjectID="_1791377908" r:id="rId5918"/>
        </w:object>
      </w:r>
      <w:r w:rsidRPr="00A40DDC">
        <w:rPr>
          <w:rFonts w:eastAsiaTheme="minorEastAsia" w:hint="cs"/>
          <w:i/>
          <w:sz w:val="23"/>
          <w:szCs w:val="23"/>
          <w:rtl/>
        </w:rPr>
        <w:t xml:space="preserve"> </w:t>
      </w:r>
      <w:r w:rsidRPr="00A40DDC">
        <w:rPr>
          <w:rFonts w:eastAsiaTheme="minorEastAsia"/>
          <w:i/>
          <w:sz w:val="23"/>
          <w:szCs w:val="23"/>
          <w:rtl/>
        </w:rPr>
        <w:t>آنگاه</w:t>
      </w:r>
      <w:r w:rsidRPr="00A40DDC">
        <w:rPr>
          <w:rFonts w:eastAsiaTheme="minorEastAsia" w:hint="cs"/>
          <w:i/>
          <w:sz w:val="23"/>
          <w:szCs w:val="23"/>
          <w:rtl/>
        </w:rPr>
        <w:t xml:space="preserve"> کسری تجاری نباید از سمت چپ رابطه بیشتر باشد. </w:t>
      </w:r>
      <w:r w:rsidRPr="00A40DDC">
        <w:rPr>
          <w:rFonts w:eastAsiaTheme="minorEastAsia"/>
          <w:i/>
          <w:sz w:val="23"/>
          <w:szCs w:val="23"/>
          <w:rtl/>
        </w:rPr>
        <w:t xml:space="preserve">لذا در بلندمدت اشتباه است که </w:t>
      </w:r>
      <w:r w:rsidRPr="00A40DDC">
        <w:rPr>
          <w:rFonts w:eastAsiaTheme="minorEastAsia" w:hint="cs"/>
          <w:i/>
          <w:sz w:val="23"/>
          <w:szCs w:val="23"/>
          <w:rtl/>
        </w:rPr>
        <w:t xml:space="preserve">در اقتصاد خالص دارایی خارجی مثبت باشد </w:t>
      </w:r>
      <w:r w:rsidRPr="00A40DDC">
        <w:rPr>
          <w:rFonts w:eastAsiaTheme="minorEastAsia"/>
          <w:i/>
          <w:sz w:val="23"/>
          <w:szCs w:val="23"/>
          <w:rtl/>
        </w:rPr>
        <w:t xml:space="preserve">و مازاد </w:t>
      </w:r>
      <w:r w:rsidRPr="00A40DDC">
        <w:rPr>
          <w:rFonts w:eastAsiaTheme="minorEastAsia" w:hint="cs"/>
          <w:i/>
          <w:sz w:val="23"/>
          <w:szCs w:val="23"/>
          <w:rtl/>
        </w:rPr>
        <w:t>یا تراز تجاری</w:t>
      </w:r>
      <w:r w:rsidRPr="00A40DDC">
        <w:rPr>
          <w:rFonts w:eastAsiaTheme="minorEastAsia"/>
          <w:i/>
          <w:sz w:val="23"/>
          <w:szCs w:val="23"/>
          <w:rtl/>
        </w:rPr>
        <w:t xml:space="preserve"> نیز وجود داشته باش</w:t>
      </w:r>
      <w:r w:rsidRPr="00A40DDC">
        <w:rPr>
          <w:rFonts w:eastAsiaTheme="minorEastAsia" w:hint="cs"/>
          <w:i/>
          <w:sz w:val="23"/>
          <w:szCs w:val="23"/>
          <w:rtl/>
        </w:rPr>
        <w:t>د</w:t>
      </w:r>
      <w:r w:rsidRPr="00A40DDC">
        <w:rPr>
          <w:rFonts w:eastAsiaTheme="minorEastAsia"/>
          <w:i/>
          <w:sz w:val="23"/>
          <w:szCs w:val="23"/>
          <w:rtl/>
        </w:rPr>
        <w:t>.</w:t>
      </w:r>
    </w:p>
    <w:p w14:paraId="1C39F645" w14:textId="77777777" w:rsidR="00411620" w:rsidRPr="00A40DDC" w:rsidRDefault="00411620" w:rsidP="00411620">
      <w:pPr>
        <w:tabs>
          <w:tab w:val="left" w:pos="3521"/>
        </w:tabs>
        <w:spacing w:line="216" w:lineRule="auto"/>
        <w:rPr>
          <w:rFonts w:eastAsiaTheme="minorEastAsia"/>
          <w:i/>
          <w:sz w:val="23"/>
          <w:szCs w:val="23"/>
        </w:rPr>
      </w:pPr>
    </w:p>
    <w:p w14:paraId="76A96DDC" w14:textId="77777777" w:rsidR="00411620" w:rsidRPr="00A40DDC" w:rsidRDefault="00411620" w:rsidP="00411620">
      <w:pPr>
        <w:tabs>
          <w:tab w:val="left" w:pos="3521"/>
        </w:tabs>
        <w:spacing w:line="216" w:lineRule="auto"/>
        <w:rPr>
          <w:rFonts w:eastAsiaTheme="minorEastAsia"/>
          <w:bCs/>
          <w:i/>
          <w:sz w:val="23"/>
          <w:szCs w:val="23"/>
        </w:rPr>
      </w:pPr>
      <w:r w:rsidRPr="00A40DDC">
        <w:rPr>
          <w:rFonts w:eastAsiaTheme="minorEastAsia" w:hint="cs"/>
          <w:bCs/>
          <w:i/>
          <w:sz w:val="23"/>
          <w:szCs w:val="23"/>
          <w:rtl/>
        </w:rPr>
        <w:t>تعادل بلندمدت رابطه</w:t>
      </w:r>
      <w:r w:rsidRPr="00A40DDC">
        <w:rPr>
          <w:rFonts w:eastAsiaTheme="minorEastAsia"/>
          <w:bCs/>
          <w:i/>
          <w:sz w:val="23"/>
          <w:szCs w:val="23"/>
          <w:rtl/>
        </w:rPr>
        <w:softHyphen/>
      </w:r>
      <w:r w:rsidRPr="00A40DDC">
        <w:rPr>
          <w:rFonts w:eastAsiaTheme="minorEastAsia" w:hint="cs"/>
          <w:bCs/>
          <w:i/>
          <w:sz w:val="23"/>
          <w:szCs w:val="23"/>
          <w:rtl/>
        </w:rPr>
        <w:t>ی مبادله و نرخ ارز حقیقی</w:t>
      </w:r>
    </w:p>
    <w:p w14:paraId="5CE884FC"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t>تعادل بلند</w:t>
      </w:r>
      <w:r w:rsidRPr="00A40DDC">
        <w:rPr>
          <w:rFonts w:eastAsiaTheme="minorEastAsia" w:hint="cs"/>
          <w:i/>
          <w:sz w:val="23"/>
          <w:szCs w:val="23"/>
          <w:rtl/>
        </w:rPr>
        <w:t>‌</w:t>
      </w:r>
      <w:r w:rsidRPr="00A40DDC">
        <w:rPr>
          <w:rFonts w:eastAsiaTheme="minorEastAsia"/>
          <w:i/>
          <w:sz w:val="23"/>
          <w:szCs w:val="23"/>
          <w:rtl/>
        </w:rPr>
        <w:t>مدت ایجاب می</w:t>
      </w:r>
      <w:r w:rsidRPr="00A40DDC">
        <w:rPr>
          <w:rFonts w:eastAsiaTheme="minorEastAsia" w:hint="cs"/>
          <w:i/>
          <w:sz w:val="23"/>
          <w:szCs w:val="23"/>
          <w:rtl/>
        </w:rPr>
        <w:t>‌</w:t>
      </w:r>
      <w:r w:rsidRPr="00A40DDC">
        <w:rPr>
          <w:rFonts w:eastAsiaTheme="minorEastAsia"/>
          <w:i/>
          <w:sz w:val="23"/>
          <w:szCs w:val="23"/>
          <w:rtl/>
        </w:rPr>
        <w:t xml:space="preserve">کند شرط </w:t>
      </w:r>
      <w:r w:rsidRPr="00A40DDC">
        <w:rPr>
          <w:rFonts w:hint="cs"/>
          <w:i/>
          <w:sz w:val="23"/>
          <w:szCs w:val="23"/>
          <w:rtl/>
        </w:rPr>
        <w:t>(۷. ۴۸)</w:t>
      </w:r>
      <w:r w:rsidRPr="00A40DDC">
        <w:rPr>
          <w:rFonts w:eastAsiaTheme="minorEastAsia"/>
          <w:i/>
          <w:sz w:val="23"/>
          <w:szCs w:val="23"/>
          <w:rtl/>
        </w:rPr>
        <w:t xml:space="preserve"> برقرار شود</w:t>
      </w:r>
      <w:r w:rsidRPr="00A40DDC">
        <w:rPr>
          <w:rFonts w:eastAsiaTheme="minorEastAsia" w:hint="cs"/>
          <w:i/>
          <w:sz w:val="23"/>
          <w:szCs w:val="23"/>
          <w:rtl/>
        </w:rPr>
        <w:t>،</w:t>
      </w:r>
      <w:r w:rsidRPr="00A40DDC">
        <w:rPr>
          <w:rFonts w:eastAsiaTheme="minorEastAsia"/>
          <w:i/>
          <w:sz w:val="23"/>
          <w:szCs w:val="23"/>
          <w:rtl/>
        </w:rPr>
        <w:t xml:space="preserve"> لذا </w:t>
      </w:r>
    </w:p>
    <w:p w14:paraId="5F429F52" w14:textId="77777777" w:rsidR="00411620" w:rsidRPr="00A40DDC" w:rsidRDefault="00411620" w:rsidP="00411620">
      <w:pPr>
        <w:pStyle w:val="MTDisplayEquation"/>
        <w:spacing w:line="216" w:lineRule="auto"/>
        <w:rPr>
          <w:rFonts w:ascii="Times New Roman" w:hAnsi="Times New Roman" w:cs="B Nazanin"/>
          <w:i/>
          <w:sz w:val="23"/>
          <w:szCs w:val="23"/>
          <w:rtl/>
        </w:rPr>
      </w:pPr>
      <w:r w:rsidRPr="00A40DDC">
        <w:rPr>
          <w:position w:val="-22"/>
        </w:rPr>
        <w:object w:dxaOrig="2560" w:dyaOrig="820" w14:anchorId="47CD23C7">
          <v:shape id="_x0000_i3965" type="#_x0000_t75" style="width:127.65pt;height:40.55pt" o:ole="">
            <v:imagedata r:id="rId5919" o:title=""/>
          </v:shape>
          <o:OLEObject Type="Embed" ProgID="Equation.DSMT4" ShapeID="_x0000_i3965" DrawAspect="Content" ObjectID="_1791377909" r:id="rId5920"/>
        </w:object>
      </w:r>
    </w:p>
    <w:p w14:paraId="19E6FC96" w14:textId="77777777" w:rsidR="00411620" w:rsidRPr="00A40DDC" w:rsidRDefault="00411620" w:rsidP="00411620">
      <w:pPr>
        <w:pStyle w:val="MTDisplayEquation"/>
        <w:bidi/>
        <w:spacing w:line="216" w:lineRule="auto"/>
        <w:rPr>
          <w:rFonts w:ascii="Times New Roman" w:eastAsiaTheme="minorEastAsia" w:hAnsi="Times New Roman" w:cs="B Nazanin"/>
          <w:i/>
          <w:sz w:val="23"/>
          <w:szCs w:val="23"/>
          <w:rtl/>
        </w:rPr>
      </w:pPr>
      <w:r w:rsidRPr="00A40DDC">
        <w:rPr>
          <w:rFonts w:ascii="Times New Roman" w:hAnsi="Times New Roman" w:cs="B Nazanin" w:hint="cs"/>
          <w:i/>
          <w:sz w:val="23"/>
          <w:szCs w:val="23"/>
          <w:rtl/>
        </w:rPr>
        <w:t>بنابراین</w:t>
      </w:r>
      <w:r w:rsidRPr="00A40DDC">
        <w:rPr>
          <w:rFonts w:ascii="Times New Roman" w:eastAsiaTheme="minorEastAsia" w:hAnsi="Times New Roman" w:cs="B Nazanin"/>
          <w:i/>
          <w:sz w:val="23"/>
          <w:szCs w:val="23"/>
          <w:rtl/>
        </w:rPr>
        <w:t xml:space="preserve"> </w:t>
      </w:r>
      <w:r w:rsidRPr="00A40DDC">
        <w:rPr>
          <w:rFonts w:ascii="Times New Roman" w:eastAsiaTheme="minorEastAsia" w:hAnsi="Times New Roman" w:cs="B Nazanin" w:hint="cs"/>
          <w:i/>
          <w:sz w:val="23"/>
          <w:szCs w:val="23"/>
          <w:rtl/>
        </w:rPr>
        <w:t>رابطه</w:t>
      </w:r>
      <w:r w:rsidRPr="00A40DDC">
        <w:rPr>
          <w:rFonts w:ascii="Times New Roman" w:eastAsiaTheme="minorEastAsia" w:hAnsi="Times New Roman" w:cs="B Nazanin"/>
          <w:i/>
          <w:sz w:val="23"/>
          <w:szCs w:val="23"/>
          <w:rtl/>
        </w:rPr>
        <w:softHyphen/>
      </w:r>
      <w:r w:rsidRPr="00A40DDC">
        <w:rPr>
          <w:rFonts w:ascii="Times New Roman" w:eastAsiaTheme="minorEastAsia" w:hAnsi="Times New Roman" w:cs="B Nazanin" w:hint="cs"/>
          <w:i/>
          <w:sz w:val="23"/>
          <w:szCs w:val="23"/>
          <w:rtl/>
        </w:rPr>
        <w:t>ی مبادله</w:t>
      </w:r>
      <w:r w:rsidRPr="00A40DDC">
        <w:rPr>
          <w:rFonts w:ascii="Times New Roman" w:eastAsiaTheme="minorEastAsia" w:hAnsi="Times New Roman" w:cs="B Nazanin"/>
          <w:i/>
          <w:sz w:val="23"/>
          <w:szCs w:val="23"/>
          <w:rtl/>
        </w:rPr>
        <w:softHyphen/>
      </w:r>
      <w:r w:rsidRPr="00A40DDC">
        <w:rPr>
          <w:rFonts w:ascii="Times New Roman" w:eastAsiaTheme="minorEastAsia" w:hAnsi="Times New Roman" w:cs="B Nazanin" w:hint="cs"/>
          <w:i/>
          <w:sz w:val="23"/>
          <w:szCs w:val="23"/>
          <w:rtl/>
        </w:rPr>
        <w:t xml:space="preserve">ی </w:t>
      </w:r>
      <w:r w:rsidRPr="00A40DDC">
        <w:rPr>
          <w:rFonts w:ascii="Times New Roman" w:eastAsiaTheme="minorEastAsia" w:hAnsi="Times New Roman" w:cs="B Nazanin"/>
          <w:i/>
          <w:sz w:val="23"/>
          <w:szCs w:val="23"/>
          <w:rtl/>
        </w:rPr>
        <w:t xml:space="preserve">تعادلی نیازمند </w:t>
      </w:r>
      <w:r w:rsidRPr="00A40DDC">
        <w:rPr>
          <w:rFonts w:ascii="Times New Roman" w:eastAsiaTheme="minorEastAsia" w:hAnsi="Times New Roman" w:cs="B Nazanin" w:hint="cs"/>
          <w:i/>
          <w:sz w:val="23"/>
          <w:szCs w:val="23"/>
          <w:rtl/>
          <w:lang w:bidi="fa-IR"/>
        </w:rPr>
        <w:t xml:space="preserve">تراز تجاری حقیقی بلندمدت </w:t>
      </w:r>
      <w:r w:rsidRPr="00A40DDC">
        <w:rPr>
          <w:rFonts w:ascii="Times New Roman" w:eastAsiaTheme="minorEastAsia" w:hAnsi="Times New Roman" w:cs="B Nazanin"/>
          <w:i/>
          <w:sz w:val="23"/>
          <w:szCs w:val="23"/>
          <w:rtl/>
        </w:rPr>
        <w:t xml:space="preserve">و </w:t>
      </w:r>
      <w:r w:rsidRPr="00A40DDC">
        <w:rPr>
          <w:rFonts w:ascii="Times New Roman" w:eastAsiaTheme="minorEastAsia" w:hAnsi="Times New Roman" w:cs="B Nazanin" w:hint="cs"/>
          <w:i/>
          <w:sz w:val="23"/>
          <w:szCs w:val="23"/>
          <w:rtl/>
        </w:rPr>
        <w:t>تراز حساب جاری بلندمدت</w:t>
      </w:r>
      <w:r w:rsidRPr="00A40DDC">
        <w:rPr>
          <w:rFonts w:ascii="Times New Roman" w:eastAsiaTheme="minorEastAsia" w:hAnsi="Times New Roman" w:cs="B Nazanin"/>
          <w:i/>
          <w:sz w:val="23"/>
          <w:szCs w:val="23"/>
          <w:rtl/>
        </w:rPr>
        <w:t xml:space="preserve"> نیست</w:t>
      </w:r>
      <w:r w:rsidRPr="00A40DDC">
        <w:rPr>
          <w:rFonts w:ascii="Times New Roman" w:eastAsiaTheme="minorEastAsia" w:hAnsi="Times New Roman" w:cs="B Nazanin" w:hint="cs"/>
          <w:i/>
          <w:sz w:val="23"/>
          <w:szCs w:val="23"/>
          <w:rtl/>
        </w:rPr>
        <w:t>.</w:t>
      </w:r>
      <w:r w:rsidRPr="00A40DDC">
        <w:rPr>
          <w:rFonts w:ascii="Times New Roman" w:eastAsiaTheme="minorEastAsia" w:hAnsi="Times New Roman" w:cs="B Nazanin"/>
          <w:i/>
          <w:sz w:val="23"/>
          <w:szCs w:val="23"/>
          <w:rtl/>
        </w:rPr>
        <w:t xml:space="preserve"> </w:t>
      </w:r>
      <w:r w:rsidRPr="00A40DDC">
        <w:rPr>
          <w:rFonts w:ascii="Times New Roman" w:eastAsiaTheme="minorEastAsia" w:hAnsi="Times New Roman" w:cs="B Nazanin" w:hint="cs"/>
          <w:i/>
          <w:sz w:val="23"/>
          <w:szCs w:val="23"/>
          <w:rtl/>
        </w:rPr>
        <w:t>افرایش صادرات</w:t>
      </w:r>
      <w:r w:rsidRPr="00A40DDC">
        <w:rPr>
          <w:rFonts w:ascii="Times New Roman" w:eastAsiaTheme="minorEastAsia" w:hAnsi="Times New Roman" w:cs="B Nazanin"/>
          <w:i/>
          <w:sz w:val="23"/>
          <w:szCs w:val="23"/>
          <w:rtl/>
        </w:rPr>
        <w:t xml:space="preserve"> ، </w:t>
      </w:r>
      <w:r w:rsidRPr="00A40DDC">
        <w:rPr>
          <w:rFonts w:ascii="Times New Roman" w:eastAsiaTheme="minorEastAsia" w:hAnsi="Times New Roman" w:cs="B Nazanin" w:hint="cs"/>
          <w:i/>
          <w:sz w:val="23"/>
          <w:szCs w:val="23"/>
          <w:rtl/>
        </w:rPr>
        <w:t>کاهش واردات</w:t>
      </w:r>
      <w:r w:rsidRPr="00A40DDC">
        <w:rPr>
          <w:rFonts w:ascii="Times New Roman" w:eastAsiaTheme="minorEastAsia" w:hAnsi="Times New Roman" w:cs="B Nazanin"/>
          <w:i/>
          <w:sz w:val="23"/>
          <w:szCs w:val="23"/>
          <w:rtl/>
        </w:rPr>
        <w:t xml:space="preserve">، </w:t>
      </w:r>
      <w:r w:rsidRPr="00A40DDC">
        <w:rPr>
          <w:rFonts w:ascii="Times New Roman" w:eastAsiaTheme="minorEastAsia" w:hAnsi="Times New Roman" w:cs="B Nazanin" w:hint="cs"/>
          <w:i/>
          <w:sz w:val="23"/>
          <w:szCs w:val="23"/>
          <w:rtl/>
        </w:rPr>
        <w:t>مثبت بودن خالص دارایی</w:t>
      </w:r>
      <w:r w:rsidRPr="00A40DDC">
        <w:rPr>
          <w:rFonts w:ascii="Times New Roman" w:eastAsiaTheme="minorEastAsia" w:hAnsi="Times New Roman" w:cs="B Nazanin"/>
          <w:i/>
          <w:sz w:val="23"/>
          <w:szCs w:val="23"/>
          <w:rtl/>
        </w:rPr>
        <w:softHyphen/>
      </w:r>
      <w:r w:rsidRPr="00A40DDC">
        <w:rPr>
          <w:rFonts w:ascii="Times New Roman" w:eastAsiaTheme="minorEastAsia" w:hAnsi="Times New Roman" w:cs="B Nazanin" w:hint="cs"/>
          <w:i/>
          <w:sz w:val="23"/>
          <w:szCs w:val="23"/>
          <w:rtl/>
        </w:rPr>
        <w:t>های خارجی،</w:t>
      </w:r>
      <w:r w:rsidRPr="00A40DDC">
        <w:rPr>
          <w:rFonts w:ascii="Times New Roman" w:eastAsiaTheme="minorEastAsia" w:hAnsi="Times New Roman" w:cs="B Nazanin"/>
          <w:i/>
          <w:sz w:val="23"/>
          <w:szCs w:val="23"/>
          <w:rtl/>
        </w:rPr>
        <w:t xml:space="preserve"> </w:t>
      </w:r>
      <w:r w:rsidRPr="00A40DDC">
        <w:rPr>
          <w:rFonts w:ascii="Times New Roman" w:eastAsiaTheme="minorEastAsia" w:hAnsi="Times New Roman" w:cs="B Nazanin" w:hint="cs"/>
          <w:i/>
          <w:sz w:val="23"/>
          <w:szCs w:val="23"/>
          <w:rtl/>
        </w:rPr>
        <w:t>افزایش نرخ بهره</w:t>
      </w:r>
      <w:r w:rsidRPr="00A40DDC">
        <w:rPr>
          <w:rFonts w:ascii="Times New Roman" w:eastAsiaTheme="minorEastAsia" w:hAnsi="Times New Roman" w:cs="B Nazanin"/>
          <w:i/>
          <w:sz w:val="23"/>
          <w:szCs w:val="23"/>
          <w:rtl/>
        </w:rPr>
        <w:softHyphen/>
      </w:r>
      <w:r w:rsidRPr="00A40DDC">
        <w:rPr>
          <w:rFonts w:ascii="Times New Roman" w:eastAsiaTheme="minorEastAsia" w:hAnsi="Times New Roman" w:cs="B Nazanin" w:hint="cs"/>
          <w:i/>
          <w:sz w:val="23"/>
          <w:szCs w:val="23"/>
          <w:rtl/>
        </w:rPr>
        <w:t>ی حقیقی</w:t>
      </w:r>
      <w:r w:rsidRPr="00A40DDC">
        <w:rPr>
          <w:rFonts w:ascii="Times New Roman" w:eastAsiaTheme="minorEastAsia" w:hAnsi="Times New Roman" w:cs="B Nazanin"/>
          <w:i/>
          <w:sz w:val="23"/>
          <w:szCs w:val="23"/>
          <w:rtl/>
        </w:rPr>
        <w:t xml:space="preserve"> </w:t>
      </w:r>
      <w:r w:rsidRPr="00A40DDC">
        <w:rPr>
          <w:position w:val="-6"/>
        </w:rPr>
        <w:object w:dxaOrig="580" w:dyaOrig="260" w14:anchorId="23E26E26">
          <v:shape id="_x0000_i3966" type="#_x0000_t75" style="width:29.05pt;height:13.3pt" o:ole="">
            <v:imagedata r:id="rId5921" o:title=""/>
          </v:shape>
          <o:OLEObject Type="Embed" ProgID="Equation.DSMT4" ShapeID="_x0000_i3966" DrawAspect="Content" ObjectID="_1791377910" r:id="rId5922"/>
        </w:object>
      </w:r>
      <w:r w:rsidRPr="00A40DDC">
        <w:rPr>
          <w:rFonts w:ascii="Times New Roman" w:eastAsiaTheme="minorEastAsia" w:hAnsi="Times New Roman" w:cs="B Nazanin" w:hint="cs"/>
          <w:i/>
          <w:sz w:val="23"/>
          <w:szCs w:val="23"/>
          <w:rtl/>
        </w:rPr>
        <w:t xml:space="preserve"> و یا</w:t>
      </w:r>
      <w:r w:rsidRPr="00A40DDC">
        <w:rPr>
          <w:rFonts w:ascii="Times New Roman" w:eastAsiaTheme="minorEastAsia" w:hAnsi="Times New Roman" w:cs="B Nazanin"/>
          <w:i/>
          <w:sz w:val="23"/>
          <w:szCs w:val="23"/>
          <w:rtl/>
        </w:rPr>
        <w:t xml:space="preserve"> </w:t>
      </w:r>
      <w:r w:rsidRPr="00A40DDC">
        <w:rPr>
          <w:rFonts w:ascii="Times New Roman" w:eastAsiaTheme="minorEastAsia" w:hAnsi="Times New Roman" w:cs="B Nazanin" w:hint="cs"/>
          <w:i/>
          <w:sz w:val="23"/>
          <w:szCs w:val="23"/>
          <w:rtl/>
        </w:rPr>
        <w:t xml:space="preserve">کاهش نرخ رشد </w:t>
      </w:r>
      <w:r w:rsidRPr="00A40DDC">
        <w:rPr>
          <w:rFonts w:ascii="Times New Roman" w:eastAsiaTheme="minorEastAsia" w:hAnsi="Times New Roman" w:cs="B Nazanin"/>
          <w:i/>
          <w:sz w:val="23"/>
          <w:szCs w:val="23"/>
        </w:rPr>
        <w:t>GDP</w:t>
      </w:r>
      <w:r w:rsidRPr="00A40DDC">
        <w:rPr>
          <w:rFonts w:ascii="Times New Roman" w:eastAsiaTheme="minorEastAsia" w:hAnsi="Times New Roman" w:cs="B Nazanin" w:hint="cs"/>
          <w:i/>
          <w:sz w:val="23"/>
          <w:szCs w:val="23"/>
          <w:rtl/>
          <w:lang w:bidi="fa-IR"/>
        </w:rPr>
        <w:t xml:space="preserve"> اسمی</w:t>
      </w:r>
      <w:r w:rsidRPr="00A40DDC">
        <w:rPr>
          <w:position w:val="-10"/>
        </w:rPr>
        <w:object w:dxaOrig="180" w:dyaOrig="240" w14:anchorId="40A86E03">
          <v:shape id="_x0000_i3967" type="#_x0000_t75" style="width:9.1pt;height:11.5pt" o:ole="">
            <v:imagedata r:id="rId5923" o:title=""/>
          </v:shape>
          <o:OLEObject Type="Embed" ProgID="Equation.DSMT4" ShapeID="_x0000_i3967" DrawAspect="Content" ObjectID="_1791377911" r:id="rId5924"/>
        </w:object>
      </w:r>
      <w:r w:rsidRPr="00A40DDC">
        <w:rPr>
          <w:rFonts w:ascii="Times New Roman" w:eastAsiaTheme="minorEastAsia" w:hAnsi="Times New Roman" w:cs="B Nazanin"/>
          <w:i/>
          <w:sz w:val="23"/>
          <w:szCs w:val="23"/>
          <w:rtl/>
        </w:rPr>
        <w:t xml:space="preserve"> </w:t>
      </w:r>
      <w:r w:rsidRPr="00A40DDC">
        <w:rPr>
          <w:rFonts w:ascii="Times New Roman" w:eastAsiaTheme="minorEastAsia" w:hAnsi="Times New Roman" w:cs="B Nazanin" w:hint="cs"/>
          <w:i/>
          <w:sz w:val="23"/>
          <w:szCs w:val="23"/>
          <w:rtl/>
        </w:rPr>
        <w:t>همگی مقدار تعادلی رابطه</w:t>
      </w:r>
      <w:r w:rsidRPr="00A40DDC">
        <w:rPr>
          <w:rFonts w:ascii="Times New Roman" w:eastAsiaTheme="minorEastAsia" w:hAnsi="Times New Roman" w:cs="B Nazanin"/>
          <w:i/>
          <w:sz w:val="23"/>
          <w:szCs w:val="23"/>
          <w:rtl/>
        </w:rPr>
        <w:softHyphen/>
      </w:r>
      <w:r w:rsidRPr="00A40DDC">
        <w:rPr>
          <w:rFonts w:ascii="Times New Roman" w:eastAsiaTheme="minorEastAsia" w:hAnsi="Times New Roman" w:cs="B Nazanin" w:hint="cs"/>
          <w:i/>
          <w:sz w:val="23"/>
          <w:szCs w:val="23"/>
          <w:rtl/>
        </w:rPr>
        <w:t>ی مبادله</w:t>
      </w:r>
      <w:r w:rsidRPr="00A40DDC">
        <w:rPr>
          <w:rFonts w:ascii="Times New Roman" w:eastAsiaTheme="minorEastAsia" w:hAnsi="Times New Roman" w:cs="B Nazanin"/>
          <w:i/>
          <w:sz w:val="23"/>
          <w:szCs w:val="23"/>
          <w:rtl/>
        </w:rPr>
        <w:softHyphen/>
      </w:r>
      <w:r w:rsidRPr="00A40DDC">
        <w:rPr>
          <w:rFonts w:ascii="Times New Roman" w:eastAsiaTheme="minorEastAsia" w:hAnsi="Times New Roman" w:cs="B Nazanin" w:hint="cs"/>
          <w:i/>
          <w:sz w:val="23"/>
          <w:szCs w:val="23"/>
          <w:rtl/>
        </w:rPr>
        <w:t xml:space="preserve">ی </w:t>
      </w:r>
      <w:r w:rsidRPr="00A40DDC">
        <w:rPr>
          <w:rFonts w:ascii="Times New Roman" w:eastAsiaTheme="minorEastAsia" w:hAnsi="Times New Roman" w:cs="B Nazanin"/>
          <w:i/>
          <w:sz w:val="23"/>
          <w:szCs w:val="23"/>
        </w:rPr>
        <w:t>TOT</w:t>
      </w:r>
      <w:r w:rsidRPr="00A40DDC">
        <w:rPr>
          <w:rFonts w:ascii="Times New Roman" w:eastAsiaTheme="minorEastAsia" w:hAnsi="Times New Roman" w:cs="B Nazanin"/>
          <w:i/>
          <w:sz w:val="23"/>
          <w:szCs w:val="23"/>
          <w:rtl/>
        </w:rPr>
        <w:t xml:space="preserve"> </w:t>
      </w:r>
      <w:r w:rsidRPr="00A40DDC">
        <w:rPr>
          <w:rFonts w:ascii="Times New Roman" w:eastAsiaTheme="minorEastAsia" w:hAnsi="Times New Roman" w:cs="B Nazanin" w:hint="cs"/>
          <w:i/>
          <w:sz w:val="23"/>
          <w:szCs w:val="23"/>
          <w:rtl/>
        </w:rPr>
        <w:t>را افزایش می</w:t>
      </w:r>
      <w:r w:rsidRPr="00A40DDC">
        <w:rPr>
          <w:rFonts w:ascii="Times New Roman" w:eastAsiaTheme="minorEastAsia" w:hAnsi="Times New Roman" w:cs="B Nazanin"/>
          <w:i/>
          <w:sz w:val="23"/>
          <w:szCs w:val="23"/>
          <w:rtl/>
        </w:rPr>
        <w:softHyphen/>
      </w:r>
      <w:r w:rsidRPr="00A40DDC">
        <w:rPr>
          <w:rFonts w:ascii="Times New Roman" w:eastAsiaTheme="minorEastAsia" w:hAnsi="Times New Roman" w:cs="B Nazanin" w:hint="cs"/>
          <w:i/>
          <w:sz w:val="23"/>
          <w:szCs w:val="23"/>
          <w:rtl/>
        </w:rPr>
        <w:t>دهند</w:t>
      </w:r>
      <w:r w:rsidRPr="00A40DDC">
        <w:rPr>
          <w:rFonts w:ascii="Times New Roman" w:eastAsiaTheme="minorEastAsia" w:hAnsi="Times New Roman" w:cs="B Nazanin"/>
          <w:i/>
          <w:sz w:val="23"/>
          <w:szCs w:val="23"/>
          <w:rtl/>
        </w:rPr>
        <w:t xml:space="preserve">. </w:t>
      </w:r>
    </w:p>
    <w:p w14:paraId="4D74BA44"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t xml:space="preserve">نرخ ارز حقیقی برابر است با </w:t>
      </w:r>
    </w:p>
    <w:p w14:paraId="121AB040"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22"/>
        </w:rPr>
        <w:object w:dxaOrig="1540" w:dyaOrig="600" w14:anchorId="18914A80">
          <v:shape id="_x0000_i3968" type="#_x0000_t75" style="width:76.85pt;height:29.65pt" o:ole="">
            <v:imagedata r:id="rId5925" o:title=""/>
          </v:shape>
          <o:OLEObject Type="Embed" ProgID="Equation.DSMT4" ShapeID="_x0000_i3968" DrawAspect="Content" ObjectID="_1791377912" r:id="rId5926"/>
        </w:object>
      </w:r>
    </w:p>
    <w:p w14:paraId="24E85028"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t xml:space="preserve">تفاوت بین </w:t>
      </w:r>
      <w:r w:rsidRPr="00A40DDC">
        <w:rPr>
          <w:rFonts w:eastAsiaTheme="minorEastAsia"/>
          <w:i/>
          <w:sz w:val="23"/>
          <w:szCs w:val="23"/>
        </w:rPr>
        <w:t>Q</w:t>
      </w:r>
      <w:r w:rsidRPr="00A40DDC">
        <w:rPr>
          <w:rFonts w:eastAsiaTheme="minorEastAsia"/>
          <w:i/>
          <w:sz w:val="23"/>
          <w:szCs w:val="23"/>
          <w:rtl/>
        </w:rPr>
        <w:t xml:space="preserve"> و</w:t>
      </w:r>
      <w:r w:rsidRPr="00A40DDC">
        <w:rPr>
          <w:position w:val="-8"/>
        </w:rPr>
        <w:object w:dxaOrig="320" w:dyaOrig="320" w14:anchorId="18E3C913">
          <v:shape id="_x0000_i3969" type="#_x0000_t75" style="width:15.75pt;height:15.75pt" o:ole="">
            <v:imagedata r:id="rId5927" o:title=""/>
          </v:shape>
          <o:OLEObject Type="Embed" ProgID="Equation.DSMT4" ShapeID="_x0000_i3969" DrawAspect="Content" ObjectID="_1791377913" r:id="rId5928"/>
        </w:object>
      </w:r>
      <w:r w:rsidRPr="00A40DDC">
        <w:rPr>
          <w:rFonts w:eastAsiaTheme="minorEastAsia"/>
          <w:i/>
          <w:sz w:val="23"/>
          <w:szCs w:val="23"/>
          <w:rtl/>
        </w:rPr>
        <w:t xml:space="preserve"> بخاطر تفاوت در قیمت</w:t>
      </w:r>
      <w:r w:rsidRPr="00A40DDC">
        <w:rPr>
          <w:rFonts w:eastAsiaTheme="minorEastAsia" w:hint="cs"/>
          <w:i/>
          <w:sz w:val="23"/>
          <w:szCs w:val="23"/>
          <w:rtl/>
        </w:rPr>
        <w:t>‌</w:t>
      </w:r>
      <w:r w:rsidRPr="00A40DDC">
        <w:rPr>
          <w:rFonts w:eastAsiaTheme="minorEastAsia"/>
          <w:i/>
          <w:sz w:val="23"/>
          <w:szCs w:val="23"/>
          <w:rtl/>
        </w:rPr>
        <w:t xml:space="preserve">های داخلی و خارجی </w:t>
      </w:r>
      <w:r w:rsidRPr="00A40DDC">
        <w:rPr>
          <w:rFonts w:eastAsiaTheme="minorEastAsia" w:hint="cs"/>
          <w:i/>
          <w:sz w:val="23"/>
          <w:szCs w:val="23"/>
          <w:rtl/>
        </w:rPr>
        <w:t xml:space="preserve">کالاهای </w:t>
      </w:r>
      <w:r w:rsidRPr="00A40DDC">
        <w:rPr>
          <w:rFonts w:eastAsiaTheme="minorEastAsia"/>
          <w:i/>
          <w:sz w:val="23"/>
          <w:szCs w:val="23"/>
          <w:rtl/>
        </w:rPr>
        <w:t>صادرات</w:t>
      </w:r>
      <w:r w:rsidRPr="00A40DDC">
        <w:rPr>
          <w:rFonts w:eastAsiaTheme="minorEastAsia" w:hint="cs"/>
          <w:i/>
          <w:sz w:val="23"/>
          <w:szCs w:val="23"/>
          <w:rtl/>
        </w:rPr>
        <w:t>ی</w:t>
      </w:r>
      <w:r w:rsidRPr="00A40DDC">
        <w:rPr>
          <w:rFonts w:eastAsiaTheme="minorEastAsia"/>
          <w:i/>
          <w:sz w:val="23"/>
          <w:szCs w:val="23"/>
          <w:rtl/>
        </w:rPr>
        <w:t xml:space="preserve"> نسبت به سطح عمومی قیمت</w:t>
      </w:r>
      <w:r w:rsidRPr="00A40DDC">
        <w:rPr>
          <w:rFonts w:eastAsiaTheme="minorEastAsia"/>
          <w:i/>
          <w:sz w:val="23"/>
          <w:szCs w:val="23"/>
          <w:rtl/>
        </w:rPr>
        <w:softHyphen/>
        <w:t xml:space="preserve">ها است. اگر فرض کنیم </w:t>
      </w:r>
      <w:r w:rsidRPr="00A40DDC">
        <w:rPr>
          <w:rFonts w:eastAsiaTheme="minorEastAsia"/>
          <w:i/>
          <w:sz w:val="23"/>
          <w:szCs w:val="23"/>
        </w:rPr>
        <w:t>TOT</w:t>
      </w:r>
      <w:r w:rsidRPr="00A40DDC">
        <w:rPr>
          <w:rFonts w:eastAsiaTheme="minorEastAsia"/>
          <w:i/>
          <w:sz w:val="23"/>
          <w:szCs w:val="23"/>
          <w:rtl/>
        </w:rPr>
        <w:t xml:space="preserve"> ثابت </w:t>
      </w:r>
      <w:r w:rsidRPr="00A40DDC">
        <w:rPr>
          <w:rFonts w:eastAsiaTheme="minorEastAsia" w:hint="cs"/>
          <w:i/>
          <w:sz w:val="23"/>
          <w:szCs w:val="23"/>
          <w:rtl/>
        </w:rPr>
        <w:t>باشد،</w:t>
      </w:r>
      <w:r w:rsidRPr="00A40DDC">
        <w:rPr>
          <w:rFonts w:eastAsiaTheme="minorEastAsia"/>
          <w:i/>
          <w:sz w:val="23"/>
          <w:szCs w:val="23"/>
          <w:rtl/>
        </w:rPr>
        <w:t xml:space="preserve"> آنگاه </w:t>
      </w:r>
      <w:r w:rsidRPr="00A40DDC">
        <w:rPr>
          <w:position w:val="-8"/>
        </w:rPr>
        <w:object w:dxaOrig="680" w:dyaOrig="320" w14:anchorId="75A596B2">
          <v:shape id="_x0000_i3970" type="#_x0000_t75" style="width:33.9pt;height:15.75pt" o:ole="">
            <v:imagedata r:id="rId5929" o:title=""/>
          </v:shape>
          <o:OLEObject Type="Embed" ProgID="Equation.DSMT4" ShapeID="_x0000_i3970" DrawAspect="Content" ObjectID="_1791377914" r:id="rId5930"/>
        </w:object>
      </w:r>
      <w:r w:rsidRPr="00A40DDC">
        <w:rPr>
          <w:rFonts w:eastAsiaTheme="minorEastAsia"/>
          <w:i/>
          <w:sz w:val="23"/>
          <w:szCs w:val="23"/>
          <w:rtl/>
        </w:rPr>
        <w:t xml:space="preserve"> و</w:t>
      </w:r>
      <w:r w:rsidRPr="00A40DDC">
        <w:rPr>
          <w:rFonts w:eastAsiaTheme="minorEastAsia" w:hint="cs"/>
          <w:i/>
          <w:sz w:val="23"/>
          <w:szCs w:val="23"/>
          <w:rtl/>
        </w:rPr>
        <w:t xml:space="preserve"> </w:t>
      </w:r>
      <w:r w:rsidRPr="00A40DDC">
        <w:rPr>
          <w:position w:val="-22"/>
        </w:rPr>
        <w:object w:dxaOrig="1240" w:dyaOrig="600" w14:anchorId="6C931EBA">
          <v:shape id="_x0000_i3971" type="#_x0000_t75" style="width:61.7pt;height:29.65pt" o:ole="">
            <v:imagedata r:id="rId5931" o:title=""/>
          </v:shape>
          <o:OLEObject Type="Embed" ProgID="Equation.DSMT4" ShapeID="_x0000_i3971" DrawAspect="Content" ObjectID="_1791377915" r:id="rId5932"/>
        </w:object>
      </w:r>
      <w:r w:rsidRPr="00A40DDC">
        <w:rPr>
          <w:rFonts w:eastAsiaTheme="minorEastAsia"/>
          <w:i/>
          <w:sz w:val="23"/>
          <w:szCs w:val="23"/>
          <w:rtl/>
        </w:rPr>
        <w:t xml:space="preserve"> است و لذا در تعادل بلندمدت شرط زیر برای نرخ ارز حقیقی باید برقرار باشد </w:t>
      </w:r>
    </w:p>
    <w:p w14:paraId="7F57DE40"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22"/>
        </w:rPr>
        <w:object w:dxaOrig="3680" w:dyaOrig="660" w14:anchorId="630EAD58">
          <v:shape id="_x0000_i3972" type="#_x0000_t75" style="width:183.95pt;height:32.65pt" o:ole="">
            <v:imagedata r:id="rId5933" o:title=""/>
          </v:shape>
          <o:OLEObject Type="Embed" ProgID="Equation.DSMT4" ShapeID="_x0000_i3972" DrawAspect="Content" ObjectID="_1791377916" r:id="rId5934"/>
        </w:object>
      </w:r>
    </w:p>
    <w:p w14:paraId="68F647A4" w14:textId="77777777" w:rsidR="00411620" w:rsidRPr="00A40DDC" w:rsidRDefault="00411620" w:rsidP="00411620">
      <w:pPr>
        <w:tabs>
          <w:tab w:val="left" w:pos="3521"/>
        </w:tabs>
        <w:spacing w:line="216" w:lineRule="auto"/>
        <w:rPr>
          <w:rFonts w:eastAsiaTheme="minorEastAsia"/>
          <w:bCs/>
          <w:i/>
          <w:sz w:val="23"/>
          <w:szCs w:val="23"/>
          <w:rtl/>
        </w:rPr>
      </w:pPr>
      <w:r w:rsidRPr="00A40DDC">
        <w:rPr>
          <w:rFonts w:eastAsiaTheme="minorEastAsia"/>
          <w:bCs/>
          <w:i/>
          <w:sz w:val="23"/>
          <w:szCs w:val="23"/>
          <w:rtl/>
        </w:rPr>
        <w:t xml:space="preserve">کسری </w:t>
      </w:r>
      <w:r w:rsidRPr="00A40DDC">
        <w:rPr>
          <w:rFonts w:eastAsiaTheme="minorEastAsia" w:hint="cs"/>
          <w:bCs/>
          <w:i/>
          <w:sz w:val="23"/>
          <w:szCs w:val="23"/>
          <w:rtl/>
        </w:rPr>
        <w:t xml:space="preserve">دوگانه یا </w:t>
      </w:r>
      <w:r w:rsidRPr="00A40DDC">
        <w:rPr>
          <w:rFonts w:eastAsiaTheme="minorEastAsia"/>
          <w:bCs/>
          <w:i/>
          <w:sz w:val="23"/>
          <w:szCs w:val="23"/>
          <w:rtl/>
        </w:rPr>
        <w:t>توام</w:t>
      </w:r>
      <w:r w:rsidRPr="00A40DDC">
        <w:rPr>
          <w:rStyle w:val="FootnoteReference"/>
          <w:rFonts w:eastAsiaTheme="minorEastAsia"/>
          <w:bCs/>
          <w:i/>
          <w:sz w:val="23"/>
          <w:szCs w:val="23"/>
          <w:rtl/>
        </w:rPr>
        <w:footnoteReference w:id="188"/>
      </w:r>
      <w:r w:rsidRPr="00A40DDC">
        <w:rPr>
          <w:rFonts w:eastAsiaTheme="minorEastAsia"/>
          <w:bCs/>
          <w:i/>
          <w:sz w:val="23"/>
          <w:szCs w:val="23"/>
          <w:rtl/>
        </w:rPr>
        <w:t xml:space="preserve"> </w:t>
      </w:r>
    </w:p>
    <w:p w14:paraId="4B274B4C"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lastRenderedPageBreak/>
        <w:t>حساب جاری</w:t>
      </w:r>
      <w:r w:rsidRPr="00A40DDC">
        <w:rPr>
          <w:rFonts w:eastAsiaTheme="minorEastAsia" w:hint="cs"/>
          <w:i/>
          <w:sz w:val="23"/>
          <w:szCs w:val="23"/>
          <w:rtl/>
        </w:rPr>
        <w:t xml:space="preserve"> ترکیبی از </w:t>
      </w:r>
      <w:r w:rsidRPr="00A40DDC">
        <w:rPr>
          <w:rFonts w:eastAsiaTheme="minorEastAsia"/>
          <w:i/>
          <w:sz w:val="23"/>
          <w:szCs w:val="23"/>
          <w:rtl/>
        </w:rPr>
        <w:t>حساب بخش خصوصی و عمومی است</w:t>
      </w:r>
      <w:r w:rsidRPr="00A40DDC">
        <w:rPr>
          <w:rFonts w:eastAsiaTheme="minorEastAsia" w:hint="cs"/>
          <w:i/>
          <w:sz w:val="23"/>
          <w:szCs w:val="23"/>
          <w:rtl/>
        </w:rPr>
        <w:t>.</w:t>
      </w:r>
      <w:r w:rsidRPr="00A40DDC">
        <w:rPr>
          <w:rFonts w:eastAsiaTheme="minorEastAsia"/>
          <w:i/>
          <w:sz w:val="23"/>
          <w:szCs w:val="23"/>
          <w:rtl/>
        </w:rPr>
        <w:t xml:space="preserve"> سوال جالبی که مطرح</w:t>
      </w:r>
      <w:r w:rsidRPr="00A40DDC">
        <w:rPr>
          <w:rFonts w:eastAsiaTheme="minorEastAsia" w:hint="cs"/>
          <w:i/>
          <w:sz w:val="23"/>
          <w:szCs w:val="23"/>
          <w:rtl/>
        </w:rPr>
        <w:t xml:space="preserve"> می</w:t>
      </w:r>
      <w:r w:rsidRPr="00A40DDC">
        <w:rPr>
          <w:rFonts w:eastAsiaTheme="minorEastAsia"/>
          <w:i/>
          <w:sz w:val="23"/>
          <w:szCs w:val="23"/>
          <w:rtl/>
        </w:rPr>
        <w:softHyphen/>
      </w:r>
      <w:r w:rsidRPr="00A40DDC">
        <w:rPr>
          <w:rFonts w:eastAsiaTheme="minorEastAsia" w:hint="cs"/>
          <w:i/>
          <w:sz w:val="23"/>
          <w:szCs w:val="23"/>
          <w:rtl/>
        </w:rPr>
        <w:t xml:space="preserve">شود این </w:t>
      </w:r>
      <w:r w:rsidRPr="00A40DDC">
        <w:rPr>
          <w:rFonts w:eastAsiaTheme="minorEastAsia"/>
          <w:i/>
          <w:sz w:val="23"/>
          <w:szCs w:val="23"/>
          <w:rtl/>
        </w:rPr>
        <w:t xml:space="preserve">است که </w:t>
      </w:r>
      <w:r w:rsidRPr="00A40DDC">
        <w:rPr>
          <w:rFonts w:eastAsiaTheme="minorEastAsia" w:hint="cs"/>
          <w:i/>
          <w:sz w:val="23"/>
          <w:szCs w:val="23"/>
          <w:rtl/>
        </w:rPr>
        <w:t xml:space="preserve">آیا </w:t>
      </w:r>
      <w:r w:rsidRPr="00A40DDC">
        <w:rPr>
          <w:rFonts w:eastAsiaTheme="minorEastAsia"/>
          <w:i/>
          <w:sz w:val="23"/>
          <w:szCs w:val="23"/>
          <w:rtl/>
        </w:rPr>
        <w:t xml:space="preserve">کسری حساب جاری بخاطر </w:t>
      </w:r>
      <w:r w:rsidRPr="00A40DDC">
        <w:rPr>
          <w:rFonts w:eastAsiaTheme="minorEastAsia" w:hint="cs"/>
          <w:i/>
          <w:sz w:val="23"/>
          <w:szCs w:val="23"/>
          <w:rtl/>
        </w:rPr>
        <w:t>م</w:t>
      </w:r>
      <w:r w:rsidRPr="00A40DDC">
        <w:rPr>
          <w:rFonts w:eastAsiaTheme="minorEastAsia"/>
          <w:i/>
          <w:sz w:val="23"/>
          <w:szCs w:val="23"/>
          <w:rtl/>
        </w:rPr>
        <w:t>صرف بیش از حد بخش خصوصی و عدم پس</w:t>
      </w:r>
      <w:r w:rsidRPr="00A40DDC">
        <w:rPr>
          <w:rFonts w:eastAsiaTheme="minorEastAsia"/>
          <w:i/>
          <w:sz w:val="23"/>
          <w:szCs w:val="23"/>
          <w:rtl/>
        </w:rPr>
        <w:softHyphen/>
        <w:t>اندا</w:t>
      </w:r>
      <w:r w:rsidRPr="00A40DDC">
        <w:rPr>
          <w:rFonts w:eastAsiaTheme="minorEastAsia" w:hint="cs"/>
          <w:i/>
          <w:sz w:val="23"/>
          <w:szCs w:val="23"/>
          <w:rtl/>
        </w:rPr>
        <w:t>ز</w:t>
      </w:r>
      <w:r w:rsidRPr="00A40DDC">
        <w:rPr>
          <w:rFonts w:eastAsiaTheme="minorEastAsia"/>
          <w:i/>
          <w:sz w:val="23"/>
          <w:szCs w:val="23"/>
          <w:rtl/>
        </w:rPr>
        <w:t xml:space="preserve"> کافی است</w:t>
      </w:r>
      <w:r w:rsidRPr="00A40DDC">
        <w:rPr>
          <w:rFonts w:eastAsiaTheme="minorEastAsia" w:hint="cs"/>
          <w:i/>
          <w:sz w:val="23"/>
          <w:szCs w:val="23"/>
          <w:rtl/>
        </w:rPr>
        <w:t>،</w:t>
      </w:r>
      <w:r w:rsidRPr="00A40DDC">
        <w:rPr>
          <w:rFonts w:eastAsiaTheme="minorEastAsia"/>
          <w:i/>
          <w:sz w:val="23"/>
          <w:szCs w:val="23"/>
          <w:rtl/>
        </w:rPr>
        <w:t xml:space="preserve"> </w:t>
      </w:r>
      <w:r w:rsidRPr="00A40DDC">
        <w:rPr>
          <w:rFonts w:eastAsiaTheme="minorEastAsia" w:hint="cs"/>
          <w:i/>
          <w:sz w:val="23"/>
          <w:szCs w:val="23"/>
          <w:rtl/>
        </w:rPr>
        <w:t xml:space="preserve">و </w:t>
      </w:r>
      <w:r w:rsidRPr="00A40DDC">
        <w:rPr>
          <w:rFonts w:eastAsiaTheme="minorEastAsia"/>
          <w:i/>
          <w:sz w:val="23"/>
          <w:szCs w:val="23"/>
          <w:rtl/>
        </w:rPr>
        <w:t xml:space="preserve">یا بخاطر </w:t>
      </w:r>
      <w:r w:rsidRPr="00A40DDC">
        <w:rPr>
          <w:rFonts w:eastAsiaTheme="minorEastAsia" w:hint="cs"/>
          <w:i/>
          <w:sz w:val="23"/>
          <w:szCs w:val="23"/>
          <w:rtl/>
        </w:rPr>
        <w:t>م</w:t>
      </w:r>
      <w:r w:rsidRPr="00A40DDC">
        <w:rPr>
          <w:rFonts w:eastAsiaTheme="minorEastAsia"/>
          <w:i/>
          <w:sz w:val="23"/>
          <w:szCs w:val="23"/>
          <w:rtl/>
        </w:rPr>
        <w:t>صرف و استقراض بیش از حد</w:t>
      </w:r>
      <w:r w:rsidRPr="00A40DDC">
        <w:rPr>
          <w:rFonts w:eastAsiaTheme="minorEastAsia" w:hint="cs"/>
          <w:i/>
          <w:sz w:val="23"/>
          <w:szCs w:val="23"/>
          <w:rtl/>
        </w:rPr>
        <w:t xml:space="preserve"> </w:t>
      </w:r>
      <w:r w:rsidRPr="00A40DDC">
        <w:rPr>
          <w:rFonts w:eastAsiaTheme="minorEastAsia"/>
          <w:i/>
          <w:sz w:val="23"/>
          <w:szCs w:val="23"/>
          <w:rtl/>
        </w:rPr>
        <w:t>بخش عمومی است</w:t>
      </w:r>
      <w:r w:rsidRPr="00A40DDC">
        <w:rPr>
          <w:rFonts w:eastAsiaTheme="minorEastAsia" w:hint="cs"/>
          <w:i/>
          <w:sz w:val="23"/>
          <w:szCs w:val="23"/>
          <w:rtl/>
        </w:rPr>
        <w:t>؟</w:t>
      </w:r>
      <w:r w:rsidRPr="00A40DDC">
        <w:rPr>
          <w:rFonts w:eastAsiaTheme="minorEastAsia"/>
          <w:i/>
          <w:sz w:val="23"/>
          <w:szCs w:val="23"/>
          <w:rtl/>
        </w:rPr>
        <w:t xml:space="preserve"> کسری توام از آن</w:t>
      </w:r>
      <w:r w:rsidRPr="00A40DDC">
        <w:rPr>
          <w:rFonts w:eastAsiaTheme="minorEastAsia"/>
          <w:i/>
          <w:sz w:val="23"/>
          <w:szCs w:val="23"/>
          <w:rtl/>
        </w:rPr>
        <w:softHyphen/>
        <w:t>جا ناشی می</w:t>
      </w:r>
      <w:r w:rsidRPr="00A40DDC">
        <w:rPr>
          <w:rFonts w:eastAsiaTheme="minorEastAsia" w:hint="cs"/>
          <w:i/>
          <w:sz w:val="23"/>
          <w:szCs w:val="23"/>
          <w:rtl/>
        </w:rPr>
        <w:t>‌</w:t>
      </w:r>
      <w:r w:rsidRPr="00A40DDC">
        <w:rPr>
          <w:rFonts w:eastAsiaTheme="minorEastAsia"/>
          <w:i/>
          <w:sz w:val="23"/>
          <w:szCs w:val="23"/>
          <w:rtl/>
        </w:rPr>
        <w:t>شود که کسری حساب جاری بخاطر کسری بودجه</w:t>
      </w:r>
      <w:r w:rsidRPr="00A40DDC">
        <w:rPr>
          <w:rFonts w:eastAsiaTheme="minorEastAsia"/>
          <w:i/>
          <w:sz w:val="23"/>
          <w:szCs w:val="23"/>
          <w:rtl/>
        </w:rPr>
        <w:softHyphen/>
      </w:r>
      <w:r w:rsidRPr="00A40DDC">
        <w:rPr>
          <w:rFonts w:eastAsiaTheme="minorEastAsia" w:hint="cs"/>
          <w:i/>
          <w:sz w:val="23"/>
          <w:szCs w:val="23"/>
          <w:rtl/>
        </w:rPr>
        <w:t>ی</w:t>
      </w:r>
      <w:r w:rsidRPr="00A40DDC">
        <w:rPr>
          <w:rFonts w:eastAsiaTheme="minorEastAsia"/>
          <w:i/>
          <w:sz w:val="23"/>
          <w:szCs w:val="23"/>
          <w:rtl/>
        </w:rPr>
        <w:t xml:space="preserve"> دولت باشد و بخش خصوصی د</w:t>
      </w:r>
      <w:r w:rsidRPr="00A40DDC">
        <w:rPr>
          <w:rFonts w:eastAsiaTheme="minorEastAsia" w:hint="cs"/>
          <w:i/>
          <w:sz w:val="23"/>
          <w:szCs w:val="23"/>
          <w:rtl/>
        </w:rPr>
        <w:t>ر تراز</w:t>
      </w:r>
      <w:r w:rsidRPr="00A40DDC">
        <w:rPr>
          <w:rFonts w:eastAsiaTheme="minorEastAsia"/>
          <w:i/>
          <w:sz w:val="23"/>
          <w:szCs w:val="23"/>
          <w:rtl/>
        </w:rPr>
        <w:t xml:space="preserve"> باشد</w:t>
      </w:r>
      <w:r w:rsidRPr="00A40DDC">
        <w:rPr>
          <w:rFonts w:eastAsiaTheme="minorEastAsia" w:hint="cs"/>
          <w:i/>
          <w:sz w:val="23"/>
          <w:szCs w:val="23"/>
          <w:rtl/>
        </w:rPr>
        <w:t>.</w:t>
      </w:r>
      <w:r w:rsidRPr="00A40DDC">
        <w:rPr>
          <w:rFonts w:eastAsiaTheme="minorEastAsia"/>
          <w:i/>
          <w:sz w:val="23"/>
          <w:szCs w:val="23"/>
          <w:rtl/>
        </w:rPr>
        <w:t xml:space="preserve"> در </w:t>
      </w:r>
      <w:r w:rsidRPr="00A40DDC">
        <w:rPr>
          <w:rFonts w:eastAsiaTheme="minorEastAsia" w:hint="cs"/>
          <w:i/>
          <w:sz w:val="23"/>
          <w:szCs w:val="23"/>
          <w:rtl/>
        </w:rPr>
        <w:t>ایالات متحده</w:t>
      </w:r>
      <w:r w:rsidRPr="00A40DDC">
        <w:rPr>
          <w:rFonts w:eastAsiaTheme="minorEastAsia"/>
          <w:i/>
          <w:sz w:val="23"/>
          <w:szCs w:val="23"/>
          <w:rtl/>
        </w:rPr>
        <w:softHyphen/>
      </w:r>
      <w:r w:rsidRPr="00A40DDC">
        <w:rPr>
          <w:rFonts w:eastAsiaTheme="minorEastAsia" w:hint="cs"/>
          <w:i/>
          <w:sz w:val="23"/>
          <w:szCs w:val="23"/>
          <w:rtl/>
        </w:rPr>
        <w:t xml:space="preserve">ی آمریکا </w:t>
      </w:r>
      <w:r w:rsidRPr="00A40DDC">
        <w:rPr>
          <w:rFonts w:eastAsiaTheme="minorEastAsia"/>
          <w:i/>
          <w:sz w:val="23"/>
          <w:szCs w:val="23"/>
          <w:rtl/>
        </w:rPr>
        <w:t xml:space="preserve">در پایان </w:t>
      </w:r>
      <w:r w:rsidRPr="00A40DDC">
        <w:rPr>
          <w:rFonts w:eastAsiaTheme="minorEastAsia" w:hint="cs"/>
          <w:i/>
          <w:sz w:val="23"/>
          <w:szCs w:val="23"/>
          <w:rtl/>
        </w:rPr>
        <w:t xml:space="preserve">سال ۲۰۰۳ میلادی </w:t>
      </w:r>
      <w:r w:rsidRPr="00A40DDC">
        <w:rPr>
          <w:rFonts w:eastAsiaTheme="minorEastAsia"/>
          <w:i/>
          <w:sz w:val="23"/>
          <w:szCs w:val="23"/>
          <w:rtl/>
        </w:rPr>
        <w:t xml:space="preserve">کسری بودجه سالانه دولت </w:t>
      </w:r>
      <w:r w:rsidRPr="00A40DDC">
        <w:rPr>
          <w:rFonts w:eastAsiaTheme="minorEastAsia" w:hint="cs"/>
          <w:i/>
          <w:sz w:val="23"/>
          <w:szCs w:val="23"/>
          <w:rtl/>
        </w:rPr>
        <w:t>۵۲۰</w:t>
      </w:r>
      <w:r w:rsidRPr="00A40DDC">
        <w:rPr>
          <w:rFonts w:eastAsiaTheme="minorEastAsia"/>
          <w:i/>
          <w:sz w:val="23"/>
          <w:szCs w:val="23"/>
          <w:rtl/>
        </w:rPr>
        <w:t xml:space="preserve"> میلیارد دلار و کسری حساب جا</w:t>
      </w:r>
      <w:r w:rsidRPr="00A40DDC">
        <w:rPr>
          <w:rFonts w:eastAsiaTheme="minorEastAsia" w:hint="cs"/>
          <w:i/>
          <w:sz w:val="23"/>
          <w:szCs w:val="23"/>
          <w:rtl/>
        </w:rPr>
        <w:t xml:space="preserve">ری ۵۵۰ </w:t>
      </w:r>
      <w:r w:rsidRPr="00A40DDC">
        <w:rPr>
          <w:rFonts w:eastAsiaTheme="minorEastAsia"/>
          <w:i/>
          <w:sz w:val="23"/>
          <w:szCs w:val="23"/>
          <w:rtl/>
        </w:rPr>
        <w:t xml:space="preserve">میلیارد دلار بود که هر دو </w:t>
      </w:r>
      <w:r w:rsidRPr="00A40DDC">
        <w:rPr>
          <w:rFonts w:eastAsiaTheme="minorEastAsia" w:hint="cs"/>
          <w:i/>
          <w:sz w:val="23"/>
          <w:szCs w:val="23"/>
          <w:rtl/>
        </w:rPr>
        <w:t xml:space="preserve">تقریباً </w:t>
      </w:r>
      <w:r w:rsidRPr="00A40DDC">
        <w:rPr>
          <w:rFonts w:eastAsiaTheme="minorEastAsia"/>
          <w:i/>
          <w:sz w:val="23"/>
          <w:szCs w:val="23"/>
          <w:rtl/>
        </w:rPr>
        <w:t>بیش از</w:t>
      </w:r>
      <w:r w:rsidRPr="00A40DDC">
        <w:rPr>
          <w:rFonts w:eastAsiaTheme="minorEastAsia" w:hint="cs"/>
          <w:i/>
          <w:sz w:val="23"/>
          <w:szCs w:val="23"/>
          <w:rtl/>
        </w:rPr>
        <w:t xml:space="preserve"> ۵درصد تولید ناخالص داخلی</w:t>
      </w:r>
      <w:r w:rsidRPr="00A40DDC">
        <w:rPr>
          <w:rFonts w:eastAsiaTheme="minorEastAsia"/>
          <w:i/>
          <w:sz w:val="23"/>
          <w:szCs w:val="23"/>
          <w:rtl/>
        </w:rPr>
        <w:t xml:space="preserve"> </w:t>
      </w:r>
      <w:r w:rsidRPr="00A40DDC">
        <w:rPr>
          <w:rFonts w:eastAsiaTheme="minorEastAsia" w:hint="cs"/>
          <w:i/>
          <w:sz w:val="23"/>
          <w:szCs w:val="23"/>
          <w:rtl/>
        </w:rPr>
        <w:t>آمریکا هستند</w:t>
      </w:r>
      <w:r w:rsidRPr="00A40DDC">
        <w:rPr>
          <w:rFonts w:eastAsiaTheme="minorEastAsia"/>
          <w:i/>
          <w:sz w:val="23"/>
          <w:szCs w:val="23"/>
          <w:rtl/>
        </w:rPr>
        <w:t xml:space="preserve">. لذا کسری تجاری بخاطر کسری بودجه </w:t>
      </w:r>
      <w:r w:rsidRPr="00A40DDC">
        <w:rPr>
          <w:rFonts w:eastAsiaTheme="minorEastAsia" w:hint="cs"/>
          <w:i/>
          <w:sz w:val="23"/>
          <w:szCs w:val="23"/>
          <w:rtl/>
        </w:rPr>
        <w:t xml:space="preserve">دولت </w:t>
      </w:r>
      <w:r w:rsidRPr="00A40DDC">
        <w:rPr>
          <w:rFonts w:eastAsiaTheme="minorEastAsia"/>
          <w:i/>
          <w:sz w:val="23"/>
          <w:szCs w:val="23"/>
          <w:rtl/>
        </w:rPr>
        <w:t>بوده است</w:t>
      </w:r>
      <w:r w:rsidRPr="00A40DDC">
        <w:rPr>
          <w:rFonts w:eastAsiaTheme="minorEastAsia" w:hint="cs"/>
          <w:i/>
          <w:sz w:val="23"/>
          <w:szCs w:val="23"/>
          <w:rtl/>
        </w:rPr>
        <w:t>.</w:t>
      </w:r>
    </w:p>
    <w:p w14:paraId="3D8091F4"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hint="cs"/>
          <w:i/>
          <w:sz w:val="23"/>
          <w:szCs w:val="23"/>
          <w:rtl/>
        </w:rPr>
        <w:t xml:space="preserve">همانند قبل </w:t>
      </w:r>
      <w:r w:rsidRPr="00A40DDC">
        <w:rPr>
          <w:rFonts w:eastAsiaTheme="minorEastAsia"/>
          <w:i/>
          <w:sz w:val="23"/>
          <w:szCs w:val="23"/>
          <w:rtl/>
        </w:rPr>
        <w:t xml:space="preserve">قید منبع ملی عبارت است از </w:t>
      </w:r>
    </w:p>
    <w:p w14:paraId="086C1456"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10"/>
        </w:rPr>
        <w:object w:dxaOrig="2360" w:dyaOrig="340" w14:anchorId="451CF8D6">
          <v:shape id="_x0000_i3973" type="#_x0000_t75" style="width:118pt;height:16.95pt" o:ole="">
            <v:imagedata r:id="rId5935" o:title=""/>
          </v:shape>
          <o:OLEObject Type="Embed" ProgID="Equation.DSMT4" ShapeID="_x0000_i3973" DrawAspect="Content" ObjectID="_1791377917" r:id="rId5936"/>
        </w:object>
      </w:r>
    </w:p>
    <w:p w14:paraId="3554E0CA"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t>قید بودجه</w:t>
      </w:r>
      <w:r w:rsidRPr="00A40DDC">
        <w:rPr>
          <w:rFonts w:eastAsiaTheme="minorEastAsia"/>
          <w:i/>
          <w:sz w:val="23"/>
          <w:szCs w:val="23"/>
          <w:rtl/>
        </w:rPr>
        <w:softHyphen/>
      </w:r>
      <w:r w:rsidRPr="00A40DDC">
        <w:rPr>
          <w:rFonts w:eastAsiaTheme="minorEastAsia" w:hint="cs"/>
          <w:i/>
          <w:sz w:val="23"/>
          <w:szCs w:val="23"/>
          <w:rtl/>
        </w:rPr>
        <w:t>ی</w:t>
      </w:r>
      <w:r w:rsidRPr="00A40DDC">
        <w:rPr>
          <w:rFonts w:eastAsiaTheme="minorEastAsia"/>
          <w:i/>
          <w:sz w:val="23"/>
          <w:szCs w:val="23"/>
          <w:rtl/>
        </w:rPr>
        <w:t xml:space="preserve"> بخش خصوصی عبارت از</w:t>
      </w:r>
    </w:p>
    <w:p w14:paraId="14406C0B"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16"/>
        </w:rPr>
        <w:object w:dxaOrig="4459" w:dyaOrig="420" w14:anchorId="03830ADA">
          <v:shape id="_x0000_i3974" type="#_x0000_t75" style="width:222.65pt;height:21.2pt" o:ole="">
            <v:imagedata r:id="rId5937" o:title=""/>
          </v:shape>
          <o:OLEObject Type="Embed" ProgID="Equation.DSMT4" ShapeID="_x0000_i3974" DrawAspect="Content" ObjectID="_1791377918" r:id="rId5938"/>
        </w:object>
      </w:r>
    </w:p>
    <w:p w14:paraId="067DA07D"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hint="cs"/>
          <w:i/>
          <w:sz w:val="23"/>
          <w:szCs w:val="23"/>
          <w:rtl/>
        </w:rPr>
        <w:t>که در آن</w:t>
      </w:r>
      <w:r w:rsidRPr="00A40DDC">
        <w:rPr>
          <w:position w:val="-10"/>
        </w:rPr>
        <w:object w:dxaOrig="260" w:dyaOrig="340" w14:anchorId="55441041">
          <v:shape id="_x0000_i3975" type="#_x0000_t75" style="width:13.3pt;height:16.95pt" o:ole="">
            <v:imagedata r:id="rId5939" o:title=""/>
          </v:shape>
          <o:OLEObject Type="Embed" ProgID="Equation.DSMT4" ShapeID="_x0000_i3975" DrawAspect="Content" ObjectID="_1791377919" r:id="rId5940"/>
        </w:object>
      </w:r>
      <w:r w:rsidRPr="00A40DDC">
        <w:rPr>
          <w:rFonts w:hint="cs"/>
          <w:i/>
          <w:sz w:val="23"/>
          <w:szCs w:val="23"/>
          <w:rtl/>
        </w:rPr>
        <w:t xml:space="preserve"> </w:t>
      </w:r>
      <w:r w:rsidRPr="00A40DDC">
        <w:rPr>
          <w:rFonts w:eastAsiaTheme="minorEastAsia"/>
          <w:i/>
          <w:sz w:val="23"/>
          <w:szCs w:val="23"/>
          <w:rtl/>
        </w:rPr>
        <w:t>بدهی حقیقی دولت نزد بخش خصوصی داخلی</w:t>
      </w:r>
      <w:r w:rsidRPr="00A40DDC">
        <w:rPr>
          <w:rFonts w:eastAsiaTheme="minorEastAsia" w:hint="cs"/>
          <w:i/>
          <w:sz w:val="23"/>
          <w:szCs w:val="23"/>
          <w:rtl/>
        </w:rPr>
        <w:t>،</w:t>
      </w:r>
      <w:r w:rsidRPr="00A40DDC">
        <w:rPr>
          <w:position w:val="-10"/>
        </w:rPr>
        <w:object w:dxaOrig="260" w:dyaOrig="340" w14:anchorId="2F307D42">
          <v:shape id="_x0000_i3976" type="#_x0000_t75" style="width:13.3pt;height:16.95pt" o:ole="">
            <v:imagedata r:id="rId5941" o:title=""/>
          </v:shape>
          <o:OLEObject Type="Embed" ProgID="Equation.DSMT4" ShapeID="_x0000_i3976" DrawAspect="Content" ObjectID="_1791377920" r:id="rId5942"/>
        </w:object>
      </w:r>
      <w:r w:rsidRPr="00A40DDC">
        <w:rPr>
          <w:rFonts w:eastAsiaTheme="minorEastAsia"/>
          <w:i/>
          <w:sz w:val="23"/>
          <w:szCs w:val="23"/>
          <w:rtl/>
        </w:rPr>
        <w:t xml:space="preserve"> بدهی حقیقی خارجی نزد بخش خصوصی داخلی و </w:t>
      </w:r>
      <w:r w:rsidRPr="00A40DDC">
        <w:rPr>
          <w:position w:val="-10"/>
        </w:rPr>
        <w:object w:dxaOrig="240" w:dyaOrig="320" w14:anchorId="7242192D">
          <v:shape id="_x0000_i3977" type="#_x0000_t75" style="width:11.5pt;height:15.75pt" o:ole="">
            <v:imagedata r:id="rId5943" o:title=""/>
          </v:shape>
          <o:OLEObject Type="Embed" ProgID="Equation.DSMT4" ShapeID="_x0000_i3977" DrawAspect="Content" ObjectID="_1791377921" r:id="rId5944"/>
        </w:object>
      </w:r>
      <w:r w:rsidRPr="00A40DDC">
        <w:rPr>
          <w:rFonts w:eastAsiaTheme="minorEastAsia"/>
          <w:i/>
          <w:sz w:val="23"/>
          <w:szCs w:val="23"/>
          <w:rtl/>
        </w:rPr>
        <w:t xml:space="preserve"> مالیات است و فرض می</w:t>
      </w:r>
      <w:r w:rsidRPr="00A40DDC">
        <w:rPr>
          <w:rFonts w:eastAsiaTheme="minorEastAsia" w:hint="cs"/>
          <w:i/>
          <w:sz w:val="23"/>
          <w:szCs w:val="23"/>
          <w:rtl/>
        </w:rPr>
        <w:t>‌</w:t>
      </w:r>
      <w:r w:rsidRPr="00A40DDC">
        <w:rPr>
          <w:rFonts w:eastAsiaTheme="minorEastAsia"/>
          <w:i/>
          <w:sz w:val="23"/>
          <w:szCs w:val="23"/>
          <w:rtl/>
        </w:rPr>
        <w:t xml:space="preserve">شود یک نرخ بهره جهانی </w:t>
      </w:r>
      <w:r w:rsidRPr="00A40DDC">
        <w:rPr>
          <w:position w:val="-10"/>
        </w:rPr>
        <w:object w:dxaOrig="240" w:dyaOrig="340" w14:anchorId="6CCCC922">
          <v:shape id="_x0000_i3978" type="#_x0000_t75" style="width:11.5pt;height:16.95pt" o:ole="">
            <v:imagedata r:id="rId5945" o:title=""/>
          </v:shape>
          <o:OLEObject Type="Embed" ProgID="Equation.DSMT4" ShapeID="_x0000_i3978" DrawAspect="Content" ObjectID="_1791377922" r:id="rId5946"/>
        </w:object>
      </w:r>
      <w:r w:rsidRPr="00A40DDC">
        <w:rPr>
          <w:rFonts w:eastAsiaTheme="minorEastAsia"/>
          <w:i/>
          <w:sz w:val="23"/>
          <w:szCs w:val="23"/>
          <w:rtl/>
        </w:rPr>
        <w:t xml:space="preserve"> وجود دارد. پس</w:t>
      </w:r>
      <w:r w:rsidRPr="00A40DDC">
        <w:rPr>
          <w:rFonts w:eastAsiaTheme="minorEastAsia"/>
          <w:i/>
          <w:sz w:val="23"/>
          <w:szCs w:val="23"/>
          <w:rtl/>
        </w:rPr>
        <w:softHyphen/>
        <w:t xml:space="preserve">انداز خالص بخش خصوصی </w:t>
      </w:r>
      <w:r w:rsidRPr="00A40DDC">
        <w:rPr>
          <w:rFonts w:eastAsiaTheme="minorEastAsia" w:hint="cs"/>
          <w:i/>
          <w:sz w:val="23"/>
          <w:szCs w:val="23"/>
          <w:rtl/>
        </w:rPr>
        <w:t xml:space="preserve">برابر است با </w:t>
      </w:r>
      <w:r w:rsidRPr="00A40DDC">
        <w:rPr>
          <w:rFonts w:eastAsiaTheme="minorEastAsia"/>
          <w:i/>
          <w:sz w:val="23"/>
          <w:szCs w:val="23"/>
          <w:rtl/>
        </w:rPr>
        <w:t xml:space="preserve">درآمد کل منهای مخارج </w:t>
      </w:r>
      <w:r w:rsidRPr="00A40DDC">
        <w:rPr>
          <w:rFonts w:eastAsiaTheme="minorEastAsia" w:hint="cs"/>
          <w:i/>
          <w:sz w:val="23"/>
          <w:szCs w:val="23"/>
          <w:rtl/>
        </w:rPr>
        <w:t>کل. لذا</w:t>
      </w:r>
    </w:p>
    <w:p w14:paraId="1C82A19F"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18"/>
        </w:rPr>
        <w:object w:dxaOrig="4800" w:dyaOrig="460" w14:anchorId="074D0BE0">
          <v:shape id="_x0000_i3979" type="#_x0000_t75" style="width:240.2pt;height:23pt" o:ole="">
            <v:imagedata r:id="rId5947" o:title=""/>
          </v:shape>
          <o:OLEObject Type="Embed" ProgID="Equation.DSMT4" ShapeID="_x0000_i3979" DrawAspect="Content" ObjectID="_1791377923" r:id="rId5948"/>
        </w:object>
      </w:r>
    </w:p>
    <w:p w14:paraId="5A7F0BCE"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t>قید بودجه</w:t>
      </w:r>
      <w:r w:rsidRPr="00A40DDC">
        <w:rPr>
          <w:rFonts w:eastAsiaTheme="minorEastAsia"/>
          <w:i/>
          <w:sz w:val="23"/>
          <w:szCs w:val="23"/>
          <w:rtl/>
        </w:rPr>
        <w:softHyphen/>
      </w:r>
      <w:r w:rsidRPr="00A40DDC">
        <w:rPr>
          <w:rFonts w:eastAsiaTheme="minorEastAsia" w:hint="cs"/>
          <w:i/>
          <w:sz w:val="23"/>
          <w:szCs w:val="23"/>
          <w:rtl/>
        </w:rPr>
        <w:t>ی</w:t>
      </w:r>
      <w:r w:rsidRPr="00A40DDC">
        <w:rPr>
          <w:rFonts w:eastAsiaTheme="minorEastAsia"/>
          <w:i/>
          <w:sz w:val="23"/>
          <w:szCs w:val="23"/>
          <w:rtl/>
        </w:rPr>
        <w:t xml:space="preserve"> دولت عبارت است از </w:t>
      </w:r>
    </w:p>
    <w:p w14:paraId="56F4BCC5"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16"/>
        </w:rPr>
        <w:object w:dxaOrig="3200" w:dyaOrig="420" w14:anchorId="31CD40DB">
          <v:shape id="_x0000_i3980" type="#_x0000_t75" style="width:160.35pt;height:21.2pt" o:ole="">
            <v:imagedata r:id="rId5949" o:title=""/>
          </v:shape>
          <o:OLEObject Type="Embed" ProgID="Equation.DSMT4" ShapeID="_x0000_i3980" DrawAspect="Content" ObjectID="_1791377924" r:id="rId5950"/>
        </w:object>
      </w:r>
    </w:p>
    <w:p w14:paraId="05FAB0BB"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t>که در آن</w:t>
      </w:r>
      <w:r w:rsidRPr="00A40DDC">
        <w:rPr>
          <w:position w:val="-10"/>
        </w:rPr>
        <w:object w:dxaOrig="279" w:dyaOrig="340" w14:anchorId="2A3DD90B">
          <v:shape id="_x0000_i3981" type="#_x0000_t75" style="width:13.9pt;height:16.95pt" o:ole="">
            <v:imagedata r:id="rId5951" o:title=""/>
          </v:shape>
          <o:OLEObject Type="Embed" ProgID="Equation.DSMT4" ShapeID="_x0000_i3981" DrawAspect="Content" ObjectID="_1791377925" r:id="rId5952"/>
        </w:object>
      </w:r>
      <w:r w:rsidRPr="00A40DDC">
        <w:rPr>
          <w:rFonts w:eastAsiaTheme="minorEastAsia"/>
          <w:i/>
          <w:sz w:val="23"/>
          <w:szCs w:val="23"/>
          <w:rtl/>
        </w:rPr>
        <w:t xml:space="preserve"> بدهی حقیقی دولت است که توسط خارجی</w:t>
      </w:r>
      <w:r w:rsidRPr="00A40DDC">
        <w:rPr>
          <w:rFonts w:eastAsiaTheme="minorEastAsia"/>
          <w:i/>
          <w:sz w:val="23"/>
          <w:szCs w:val="23"/>
        </w:rPr>
        <w:softHyphen/>
      </w:r>
      <w:r w:rsidRPr="00A40DDC">
        <w:rPr>
          <w:rFonts w:eastAsiaTheme="minorEastAsia"/>
          <w:i/>
          <w:sz w:val="23"/>
          <w:szCs w:val="23"/>
          <w:rtl/>
        </w:rPr>
        <w:t>ها نگهداری می</w:t>
      </w:r>
      <w:r w:rsidRPr="00A40DDC">
        <w:rPr>
          <w:rFonts w:eastAsiaTheme="minorEastAsia" w:hint="cs"/>
          <w:i/>
          <w:sz w:val="23"/>
          <w:szCs w:val="23"/>
          <w:rtl/>
        </w:rPr>
        <w:t>‌</w:t>
      </w:r>
      <w:r w:rsidRPr="00A40DDC">
        <w:rPr>
          <w:rFonts w:eastAsiaTheme="minorEastAsia"/>
          <w:i/>
          <w:sz w:val="23"/>
          <w:szCs w:val="23"/>
          <w:rtl/>
        </w:rPr>
        <w:t>شود.</w:t>
      </w:r>
      <w:r w:rsidRPr="00A40DDC">
        <w:rPr>
          <w:rFonts w:eastAsiaTheme="minorEastAsia"/>
          <w:i/>
          <w:sz w:val="23"/>
          <w:szCs w:val="23"/>
        </w:rPr>
        <w:t xml:space="preserve"> </w:t>
      </w:r>
      <w:r w:rsidRPr="00A40DDC">
        <w:rPr>
          <w:rFonts w:eastAsiaTheme="minorEastAsia"/>
          <w:i/>
          <w:sz w:val="23"/>
          <w:szCs w:val="23"/>
          <w:rtl/>
        </w:rPr>
        <w:t>بنابراین کسری بودجه</w:t>
      </w:r>
      <w:r w:rsidRPr="00A40DDC">
        <w:rPr>
          <w:rFonts w:eastAsiaTheme="minorEastAsia"/>
          <w:i/>
          <w:sz w:val="23"/>
          <w:szCs w:val="23"/>
          <w:rtl/>
        </w:rPr>
        <w:softHyphen/>
      </w:r>
      <w:r w:rsidRPr="00A40DDC">
        <w:rPr>
          <w:rFonts w:eastAsiaTheme="minorEastAsia" w:hint="cs"/>
          <w:i/>
          <w:sz w:val="23"/>
          <w:szCs w:val="23"/>
          <w:rtl/>
        </w:rPr>
        <w:t>ی</w:t>
      </w:r>
      <w:r w:rsidRPr="00A40DDC">
        <w:rPr>
          <w:rFonts w:eastAsiaTheme="minorEastAsia"/>
          <w:i/>
          <w:sz w:val="23"/>
          <w:szCs w:val="23"/>
          <w:rtl/>
        </w:rPr>
        <w:t xml:space="preserve"> دولت عبارت است </w:t>
      </w:r>
    </w:p>
    <w:p w14:paraId="7D5A9D44"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16"/>
        </w:rPr>
        <w:object w:dxaOrig="3320" w:dyaOrig="420" w14:anchorId="21BC396A">
          <v:shape id="_x0000_i3982" type="#_x0000_t75" style="width:165.8pt;height:21.2pt" o:ole="">
            <v:imagedata r:id="rId5953" o:title=""/>
          </v:shape>
          <o:OLEObject Type="Embed" ProgID="Equation.DSMT4" ShapeID="_x0000_i3982" DrawAspect="Content" ObjectID="_1791377926" r:id="rId5954"/>
        </w:object>
      </w:r>
    </w:p>
    <w:p w14:paraId="185047C5"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t xml:space="preserve">اتحاد </w:t>
      </w:r>
      <w:r w:rsidRPr="00A40DDC">
        <w:rPr>
          <w:rFonts w:eastAsiaTheme="minorEastAsia" w:hint="cs"/>
          <w:i/>
          <w:sz w:val="23"/>
          <w:szCs w:val="23"/>
          <w:rtl/>
        </w:rPr>
        <w:t>ترازپرداخت‌ها</w:t>
      </w:r>
      <w:r w:rsidRPr="00A40DDC">
        <w:rPr>
          <w:rFonts w:eastAsiaTheme="minorEastAsia"/>
          <w:i/>
          <w:sz w:val="23"/>
          <w:szCs w:val="23"/>
          <w:rtl/>
        </w:rPr>
        <w:t xml:space="preserve"> را می</w:t>
      </w:r>
      <w:r w:rsidRPr="00A40DDC">
        <w:rPr>
          <w:rFonts w:eastAsiaTheme="minorEastAsia" w:hint="cs"/>
          <w:i/>
          <w:sz w:val="23"/>
          <w:szCs w:val="23"/>
          <w:rtl/>
        </w:rPr>
        <w:t>‌</w:t>
      </w:r>
      <w:r w:rsidRPr="00A40DDC">
        <w:rPr>
          <w:rFonts w:eastAsiaTheme="minorEastAsia"/>
          <w:i/>
          <w:sz w:val="23"/>
          <w:szCs w:val="23"/>
          <w:rtl/>
        </w:rPr>
        <w:t>توان بصورت زیر نوشت</w:t>
      </w:r>
      <w:r w:rsidRPr="00A40DDC">
        <w:rPr>
          <w:rFonts w:eastAsiaTheme="minorEastAsia" w:hint="cs"/>
          <w:i/>
          <w:sz w:val="23"/>
          <w:szCs w:val="23"/>
          <w:rtl/>
        </w:rPr>
        <w:t>،</w:t>
      </w:r>
    </w:p>
    <w:p w14:paraId="5ADE1307"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16"/>
        </w:rPr>
        <w:object w:dxaOrig="3379" w:dyaOrig="420" w14:anchorId="4CF356BF">
          <v:shape id="_x0000_i3983" type="#_x0000_t75" style="width:168.8pt;height:21.2pt" o:ole="">
            <v:imagedata r:id="rId5955" o:title=""/>
          </v:shape>
          <o:OLEObject Type="Embed" ProgID="Equation.DSMT4" ShapeID="_x0000_i3983" DrawAspect="Content" ObjectID="_1791377927" r:id="rId5956"/>
        </w:object>
      </w:r>
    </w:p>
    <w:p w14:paraId="148CD1CE"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t xml:space="preserve">و تراز تجاری </w:t>
      </w:r>
      <w:r w:rsidRPr="00A40DDC">
        <w:rPr>
          <w:rFonts w:eastAsiaTheme="minorEastAsia" w:hint="cs"/>
          <w:i/>
          <w:sz w:val="23"/>
          <w:szCs w:val="23"/>
          <w:rtl/>
        </w:rPr>
        <w:t>برابر است</w:t>
      </w:r>
      <w:r w:rsidRPr="00A40DDC">
        <w:rPr>
          <w:rFonts w:eastAsiaTheme="minorEastAsia"/>
          <w:i/>
          <w:sz w:val="23"/>
          <w:szCs w:val="23"/>
          <w:rtl/>
        </w:rPr>
        <w:t xml:space="preserve"> </w:t>
      </w:r>
      <w:r w:rsidRPr="00A40DDC">
        <w:rPr>
          <w:rFonts w:eastAsiaTheme="minorEastAsia" w:hint="cs"/>
          <w:i/>
          <w:sz w:val="23"/>
          <w:szCs w:val="23"/>
          <w:rtl/>
        </w:rPr>
        <w:t>با</w:t>
      </w:r>
    </w:p>
    <w:p w14:paraId="795992A4"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Pr>
      </w:pPr>
      <w:r w:rsidRPr="00A40DDC">
        <w:rPr>
          <w:position w:val="-12"/>
        </w:rPr>
        <w:object w:dxaOrig="2540" w:dyaOrig="360" w14:anchorId="2E53C2EA">
          <v:shape id="_x0000_i3984" type="#_x0000_t75" style="width:127.05pt;height:18.15pt" o:ole="">
            <v:imagedata r:id="rId5957" o:title=""/>
          </v:shape>
          <o:OLEObject Type="Embed" ProgID="Equation.DSMT4" ShapeID="_x0000_i3984" DrawAspect="Content" ObjectID="_1791377928" r:id="rId5958"/>
        </w:object>
      </w:r>
    </w:p>
    <w:p w14:paraId="7C5B905D" w14:textId="77777777" w:rsidR="00411620" w:rsidRPr="00A40DDC" w:rsidRDefault="00411620" w:rsidP="00411620">
      <w:pPr>
        <w:pStyle w:val="MTDisplayEquation"/>
        <w:spacing w:line="216" w:lineRule="auto"/>
        <w:rPr>
          <w:rFonts w:ascii="Times New Roman" w:eastAsiaTheme="minorEastAsia" w:hAnsi="Times New Roman" w:cs="B Nazanin"/>
          <w:i/>
          <w:sz w:val="23"/>
          <w:szCs w:val="23"/>
          <w:rtl/>
        </w:rPr>
      </w:pPr>
      <w:r w:rsidRPr="00A40DDC">
        <w:rPr>
          <w:position w:val="-40"/>
        </w:rPr>
        <w:object w:dxaOrig="6220" w:dyaOrig="900" w14:anchorId="5E696991">
          <v:shape id="_x0000_i3985" type="#_x0000_t75" style="width:311pt;height:45.4pt" o:ole="">
            <v:imagedata r:id="rId5959" o:title=""/>
          </v:shape>
          <o:OLEObject Type="Embed" ProgID="Equation.DSMT4" ShapeID="_x0000_i3985" DrawAspect="Content" ObjectID="_1791377929" r:id="rId5960"/>
        </w:object>
      </w:r>
    </w:p>
    <w:p w14:paraId="5FBE4A7A"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t>که اولین جز</w:t>
      </w:r>
      <w:r w:rsidRPr="00A40DDC">
        <w:rPr>
          <w:rFonts w:eastAsiaTheme="minorEastAsia" w:hint="cs"/>
          <w:i/>
          <w:sz w:val="23"/>
          <w:szCs w:val="23"/>
          <w:rtl/>
        </w:rPr>
        <w:t>ء</w:t>
      </w:r>
      <w:r w:rsidRPr="00A40DDC">
        <w:rPr>
          <w:rFonts w:eastAsiaTheme="minorEastAsia"/>
          <w:i/>
          <w:sz w:val="23"/>
          <w:szCs w:val="23"/>
          <w:rtl/>
        </w:rPr>
        <w:t xml:space="preserve"> سمت راست تراز بخش خصوصی و دومین جزء سمت راست تراز بخش دولتی است</w:t>
      </w:r>
      <w:r w:rsidRPr="00A40DDC">
        <w:rPr>
          <w:rFonts w:eastAsiaTheme="minorEastAsia"/>
          <w:i/>
          <w:sz w:val="23"/>
          <w:szCs w:val="23"/>
        </w:rPr>
        <w:t>.</w:t>
      </w:r>
      <w:r w:rsidRPr="00A40DDC">
        <w:rPr>
          <w:rFonts w:eastAsiaTheme="minorEastAsia" w:hint="cs"/>
          <w:i/>
          <w:sz w:val="23"/>
          <w:szCs w:val="23"/>
          <w:rtl/>
        </w:rPr>
        <w:t xml:space="preserve"> </w:t>
      </w:r>
      <w:r w:rsidRPr="00A40DDC">
        <w:rPr>
          <w:rFonts w:eastAsiaTheme="minorEastAsia"/>
          <w:i/>
          <w:sz w:val="23"/>
          <w:szCs w:val="23"/>
          <w:rtl/>
        </w:rPr>
        <w:t xml:space="preserve">با حذف تراز تجاری از اتحاد </w:t>
      </w:r>
      <w:r w:rsidRPr="00A40DDC">
        <w:rPr>
          <w:rFonts w:eastAsiaTheme="minorEastAsia" w:hint="cs"/>
          <w:i/>
          <w:sz w:val="23"/>
          <w:szCs w:val="23"/>
          <w:rtl/>
        </w:rPr>
        <w:t>ترازپرداخت‌ها</w:t>
      </w:r>
      <w:r w:rsidRPr="00A40DDC">
        <w:rPr>
          <w:rFonts w:eastAsiaTheme="minorEastAsia"/>
          <w:i/>
          <w:sz w:val="23"/>
          <w:szCs w:val="23"/>
          <w:rtl/>
        </w:rPr>
        <w:t xml:space="preserve"> داریم</w:t>
      </w:r>
      <w:r w:rsidRPr="00A40DDC">
        <w:rPr>
          <w:rFonts w:eastAsiaTheme="minorEastAsia" w:hint="cs"/>
          <w:i/>
          <w:sz w:val="23"/>
          <w:szCs w:val="23"/>
          <w:rtl/>
        </w:rPr>
        <w:t>،</w:t>
      </w:r>
    </w:p>
    <w:p w14:paraId="223C0C8E" w14:textId="77777777" w:rsidR="00411620" w:rsidRPr="00A40DDC" w:rsidRDefault="00411620" w:rsidP="00411620">
      <w:pPr>
        <w:tabs>
          <w:tab w:val="left" w:pos="3521"/>
        </w:tabs>
        <w:bidi w:val="0"/>
        <w:spacing w:line="216" w:lineRule="auto"/>
        <w:rPr>
          <w:rFonts w:eastAsiaTheme="minorEastAsia"/>
          <w:i/>
          <w:sz w:val="23"/>
          <w:szCs w:val="23"/>
        </w:rPr>
      </w:pPr>
      <w:r w:rsidRPr="00A40DDC">
        <w:rPr>
          <w:rFonts w:eastAsiaTheme="minorEastAsia"/>
          <w:i/>
          <w:sz w:val="23"/>
          <w:szCs w:val="23"/>
          <w:rtl/>
        </w:rPr>
        <w:lastRenderedPageBreak/>
        <w:t xml:space="preserve"> </w:t>
      </w:r>
      <w:r w:rsidRPr="00A40DDC">
        <w:rPr>
          <w:position w:val="-40"/>
        </w:rPr>
        <w:object w:dxaOrig="6000" w:dyaOrig="900" w14:anchorId="0D03C25C">
          <v:shape id="_x0000_i3986" type="#_x0000_t75" style="width:300.1pt;height:45.4pt" o:ole="">
            <v:imagedata r:id="rId5961" o:title=""/>
          </v:shape>
          <o:OLEObject Type="Embed" ProgID="Equation.DSMT4" ShapeID="_x0000_i3986" DrawAspect="Content" ObjectID="_1791377930" r:id="rId5962"/>
        </w:object>
      </w:r>
    </w:p>
    <w:p w14:paraId="74BA5C14"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t>سمت</w:t>
      </w:r>
      <w:r w:rsidRPr="00A40DDC">
        <w:rPr>
          <w:rFonts w:eastAsiaTheme="minorEastAsia" w:hint="cs"/>
          <w:i/>
          <w:sz w:val="23"/>
          <w:szCs w:val="23"/>
          <w:rtl/>
        </w:rPr>
        <w:t xml:space="preserve"> </w:t>
      </w:r>
      <w:r w:rsidRPr="00A40DDC">
        <w:rPr>
          <w:rFonts w:eastAsiaTheme="minorEastAsia"/>
          <w:i/>
          <w:sz w:val="23"/>
          <w:szCs w:val="23"/>
          <w:rtl/>
        </w:rPr>
        <w:t>چپ</w:t>
      </w:r>
      <w:r w:rsidRPr="00A40DDC">
        <w:rPr>
          <w:rFonts w:eastAsiaTheme="minorEastAsia" w:hint="cs"/>
          <w:i/>
          <w:sz w:val="23"/>
          <w:szCs w:val="23"/>
          <w:rtl/>
        </w:rPr>
        <w:t xml:space="preserve"> </w:t>
      </w:r>
      <w:r w:rsidRPr="00A40DDC">
        <w:rPr>
          <w:rFonts w:eastAsiaTheme="minorEastAsia"/>
          <w:i/>
          <w:sz w:val="23"/>
          <w:szCs w:val="23"/>
          <w:rtl/>
        </w:rPr>
        <w:t>رابطه فوق تراز حساب جاری است که از ترکیب تراز بخش خصوصی و تراز بخش دولتی بدست آمده است .</w:t>
      </w:r>
    </w:p>
    <w:p w14:paraId="2C6B69D2"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i/>
          <w:sz w:val="23"/>
          <w:szCs w:val="23"/>
          <w:rtl/>
        </w:rPr>
        <w:t xml:space="preserve">بر </w:t>
      </w:r>
      <w:r w:rsidRPr="00A40DDC">
        <w:rPr>
          <w:rFonts w:eastAsiaTheme="minorEastAsia" w:hint="cs"/>
          <w:i/>
          <w:sz w:val="23"/>
          <w:szCs w:val="23"/>
          <w:rtl/>
        </w:rPr>
        <w:t>اساس</w:t>
      </w:r>
      <w:r w:rsidRPr="00A40DDC">
        <w:rPr>
          <w:rFonts w:eastAsiaTheme="minorEastAsia"/>
          <w:i/>
          <w:sz w:val="23"/>
          <w:szCs w:val="23"/>
          <w:rtl/>
        </w:rPr>
        <w:t xml:space="preserve"> کسری </w:t>
      </w:r>
      <w:r w:rsidRPr="00A40DDC">
        <w:rPr>
          <w:rFonts w:eastAsiaTheme="minorEastAsia" w:hint="cs"/>
          <w:i/>
          <w:sz w:val="23"/>
          <w:szCs w:val="23"/>
          <w:rtl/>
        </w:rPr>
        <w:t xml:space="preserve">دوگانه یا </w:t>
      </w:r>
      <w:r w:rsidRPr="00A40DDC">
        <w:rPr>
          <w:rFonts w:eastAsiaTheme="minorEastAsia"/>
          <w:i/>
          <w:sz w:val="23"/>
          <w:szCs w:val="23"/>
          <w:rtl/>
        </w:rPr>
        <w:t>توام</w:t>
      </w:r>
      <w:r w:rsidRPr="00A40DDC">
        <w:rPr>
          <w:rFonts w:eastAsiaTheme="minorEastAsia" w:hint="cs"/>
          <w:i/>
          <w:sz w:val="23"/>
          <w:szCs w:val="23"/>
          <w:rtl/>
        </w:rPr>
        <w:t>،</w:t>
      </w:r>
      <w:r w:rsidRPr="00A40DDC">
        <w:rPr>
          <w:rFonts w:eastAsiaTheme="minorEastAsia"/>
          <w:i/>
          <w:sz w:val="23"/>
          <w:szCs w:val="23"/>
          <w:rtl/>
        </w:rPr>
        <w:t xml:space="preserve"> اگر بخش خصوصی در تراز باشد</w:t>
      </w:r>
      <w:r w:rsidRPr="00A40DDC">
        <w:rPr>
          <w:rFonts w:eastAsiaTheme="minorEastAsia" w:hint="cs"/>
          <w:i/>
          <w:sz w:val="23"/>
          <w:szCs w:val="23"/>
          <w:rtl/>
        </w:rPr>
        <w:t>،</w:t>
      </w:r>
      <w:r w:rsidRPr="00A40DDC">
        <w:rPr>
          <w:rFonts w:eastAsiaTheme="minorEastAsia"/>
          <w:i/>
          <w:sz w:val="23"/>
          <w:szCs w:val="23"/>
          <w:rtl/>
        </w:rPr>
        <w:t xml:space="preserve"> </w:t>
      </w:r>
      <w:r w:rsidRPr="00A40DDC">
        <w:rPr>
          <w:rFonts w:eastAsiaTheme="minorEastAsia" w:hint="cs"/>
          <w:i/>
          <w:sz w:val="23"/>
          <w:szCs w:val="23"/>
          <w:rtl/>
        </w:rPr>
        <w:t>آنگاه</w:t>
      </w:r>
      <w:r w:rsidRPr="00A40DDC">
        <w:rPr>
          <w:rFonts w:eastAsiaTheme="minorEastAsia"/>
          <w:i/>
          <w:sz w:val="23"/>
          <w:szCs w:val="23"/>
          <w:rtl/>
        </w:rPr>
        <w:t xml:space="preserve"> کسری حساب جاری فقط مت</w:t>
      </w:r>
      <w:r w:rsidRPr="00A40DDC">
        <w:rPr>
          <w:rFonts w:eastAsiaTheme="minorEastAsia" w:hint="cs"/>
          <w:i/>
          <w:sz w:val="23"/>
          <w:szCs w:val="23"/>
          <w:rtl/>
        </w:rPr>
        <w:t>أ</w:t>
      </w:r>
      <w:r w:rsidRPr="00A40DDC">
        <w:rPr>
          <w:rFonts w:eastAsiaTheme="minorEastAsia"/>
          <w:i/>
          <w:sz w:val="23"/>
          <w:szCs w:val="23"/>
          <w:rtl/>
        </w:rPr>
        <w:t xml:space="preserve">ثر از کسری </w:t>
      </w:r>
      <w:r w:rsidRPr="00A40DDC">
        <w:rPr>
          <w:rFonts w:eastAsiaTheme="minorEastAsia" w:hint="cs"/>
          <w:i/>
          <w:sz w:val="23"/>
          <w:szCs w:val="23"/>
          <w:rtl/>
        </w:rPr>
        <w:t>بودجه</w:t>
      </w:r>
      <w:r w:rsidRPr="00A40DDC">
        <w:rPr>
          <w:rFonts w:eastAsiaTheme="minorEastAsia"/>
          <w:i/>
          <w:sz w:val="23"/>
          <w:szCs w:val="23"/>
          <w:rtl/>
        </w:rPr>
        <w:softHyphen/>
      </w:r>
      <w:r w:rsidRPr="00A40DDC">
        <w:rPr>
          <w:rFonts w:eastAsiaTheme="minorEastAsia" w:hint="cs"/>
          <w:i/>
          <w:sz w:val="23"/>
          <w:szCs w:val="23"/>
          <w:rtl/>
        </w:rPr>
        <w:t xml:space="preserve">ی </w:t>
      </w:r>
      <w:r w:rsidRPr="00A40DDC">
        <w:rPr>
          <w:rFonts w:eastAsiaTheme="minorEastAsia"/>
          <w:i/>
          <w:sz w:val="23"/>
          <w:szCs w:val="23"/>
          <w:rtl/>
        </w:rPr>
        <w:t>دولت است. سمت راست رابطه</w:t>
      </w:r>
      <w:r w:rsidRPr="00A40DDC">
        <w:rPr>
          <w:rFonts w:eastAsiaTheme="minorEastAsia"/>
          <w:i/>
          <w:sz w:val="23"/>
          <w:szCs w:val="23"/>
          <w:rtl/>
        </w:rPr>
        <w:softHyphen/>
      </w:r>
      <w:r w:rsidRPr="00A40DDC">
        <w:rPr>
          <w:rFonts w:eastAsiaTheme="minorEastAsia" w:hint="cs"/>
          <w:i/>
          <w:sz w:val="23"/>
          <w:szCs w:val="23"/>
          <w:rtl/>
        </w:rPr>
        <w:t>ی</w:t>
      </w:r>
      <w:r w:rsidRPr="00A40DDC">
        <w:rPr>
          <w:rFonts w:eastAsiaTheme="minorEastAsia"/>
          <w:i/>
          <w:sz w:val="23"/>
          <w:szCs w:val="23"/>
          <w:rtl/>
        </w:rPr>
        <w:t xml:space="preserve"> فوق همان حساب سرمایه است که با </w:t>
      </w:r>
      <w:r w:rsidRPr="00A40DDC">
        <w:rPr>
          <w:rFonts w:eastAsiaTheme="minorEastAsia" w:hint="cs"/>
          <w:i/>
          <w:sz w:val="23"/>
          <w:szCs w:val="23"/>
          <w:rtl/>
        </w:rPr>
        <w:t>نگهداری بخش خصوصی از دارایی خارجی افزایش و با ف</w:t>
      </w:r>
      <w:r w:rsidRPr="00A40DDC">
        <w:rPr>
          <w:rFonts w:eastAsiaTheme="minorEastAsia"/>
          <w:i/>
          <w:sz w:val="23"/>
          <w:szCs w:val="23"/>
          <w:rtl/>
        </w:rPr>
        <w:t>روش اوراق قرضه</w:t>
      </w:r>
      <w:r w:rsidRPr="00A40DDC">
        <w:rPr>
          <w:rFonts w:eastAsiaTheme="minorEastAsia"/>
          <w:i/>
          <w:sz w:val="23"/>
          <w:szCs w:val="23"/>
          <w:rtl/>
        </w:rPr>
        <w:softHyphen/>
      </w:r>
      <w:r w:rsidRPr="00A40DDC">
        <w:rPr>
          <w:rFonts w:eastAsiaTheme="minorEastAsia" w:hint="cs"/>
          <w:i/>
          <w:sz w:val="23"/>
          <w:szCs w:val="23"/>
          <w:rtl/>
        </w:rPr>
        <w:t>ی</w:t>
      </w:r>
      <w:r w:rsidRPr="00A40DDC">
        <w:rPr>
          <w:rFonts w:eastAsiaTheme="minorEastAsia"/>
          <w:i/>
          <w:sz w:val="23"/>
          <w:szCs w:val="23"/>
          <w:rtl/>
        </w:rPr>
        <w:t xml:space="preserve"> دولتی</w:t>
      </w:r>
      <w:r w:rsidRPr="00A40DDC">
        <w:rPr>
          <w:rFonts w:eastAsiaTheme="minorEastAsia" w:hint="cs"/>
          <w:i/>
          <w:sz w:val="23"/>
          <w:szCs w:val="23"/>
          <w:rtl/>
        </w:rPr>
        <w:t xml:space="preserve"> کاهش می‌یابد</w:t>
      </w:r>
      <w:r w:rsidRPr="00A40DDC">
        <w:rPr>
          <w:rFonts w:eastAsiaTheme="minorEastAsia"/>
          <w:i/>
          <w:sz w:val="23"/>
          <w:szCs w:val="23"/>
          <w:rtl/>
        </w:rPr>
        <w:t>. لذا اگر بخش خصوصی در تراز باشد و دولت کسری داشته باشد</w:t>
      </w:r>
      <w:r w:rsidRPr="00A40DDC">
        <w:rPr>
          <w:rFonts w:eastAsiaTheme="minorEastAsia" w:hint="cs"/>
          <w:i/>
          <w:sz w:val="23"/>
          <w:szCs w:val="23"/>
          <w:rtl/>
        </w:rPr>
        <w:t>،</w:t>
      </w:r>
      <w:r w:rsidRPr="00A40DDC">
        <w:rPr>
          <w:rFonts w:eastAsiaTheme="minorEastAsia"/>
          <w:i/>
          <w:sz w:val="23"/>
          <w:szCs w:val="23"/>
          <w:rtl/>
        </w:rPr>
        <w:t xml:space="preserve"> آنگاه دولت باید بدهی خود را به </w:t>
      </w:r>
      <w:r w:rsidRPr="00A40DDC">
        <w:rPr>
          <w:rFonts w:eastAsiaTheme="minorEastAsia" w:hint="cs"/>
          <w:i/>
          <w:sz w:val="23"/>
          <w:szCs w:val="23"/>
          <w:rtl/>
        </w:rPr>
        <w:t xml:space="preserve">مابقی کشورهای دنیا </w:t>
      </w:r>
      <w:r w:rsidRPr="00A40DDC">
        <w:rPr>
          <w:rFonts w:eastAsiaTheme="minorEastAsia"/>
          <w:i/>
          <w:sz w:val="23"/>
          <w:szCs w:val="23"/>
          <w:rtl/>
        </w:rPr>
        <w:t>بفروشد</w:t>
      </w:r>
      <w:r w:rsidRPr="00A40DDC">
        <w:rPr>
          <w:rFonts w:eastAsiaTheme="minorEastAsia" w:hint="cs"/>
          <w:i/>
          <w:sz w:val="23"/>
          <w:szCs w:val="23"/>
          <w:rtl/>
        </w:rPr>
        <w:t>،</w:t>
      </w:r>
      <w:r w:rsidRPr="00A40DDC">
        <w:rPr>
          <w:rFonts w:eastAsiaTheme="minorEastAsia"/>
          <w:i/>
          <w:sz w:val="23"/>
          <w:szCs w:val="23"/>
          <w:rtl/>
        </w:rPr>
        <w:t xml:space="preserve"> یعنی </w:t>
      </w:r>
      <w:r w:rsidRPr="00A40DDC">
        <w:rPr>
          <w:position w:val="-10"/>
        </w:rPr>
        <w:object w:dxaOrig="840" w:dyaOrig="340" w14:anchorId="6443FF5D">
          <v:shape id="_x0000_i3987" type="#_x0000_t75" style="width:41.75pt;height:16.95pt" o:ole="">
            <v:imagedata r:id="rId5963" o:title=""/>
          </v:shape>
          <o:OLEObject Type="Embed" ProgID="Equation.DSMT4" ShapeID="_x0000_i3987" DrawAspect="Content" ObjectID="_1791377931" r:id="rId5964"/>
        </w:object>
      </w:r>
      <w:r w:rsidRPr="00A40DDC">
        <w:rPr>
          <w:rFonts w:eastAsiaTheme="minorEastAsia"/>
          <w:i/>
          <w:sz w:val="23"/>
          <w:szCs w:val="23"/>
          <w:rtl/>
        </w:rPr>
        <w:t xml:space="preserve"> </w:t>
      </w:r>
      <w:r w:rsidRPr="00A40DDC">
        <w:rPr>
          <w:rFonts w:eastAsiaTheme="minorEastAsia" w:hint="cs"/>
          <w:i/>
          <w:sz w:val="23"/>
          <w:szCs w:val="23"/>
          <w:rtl/>
        </w:rPr>
        <w:t>باشد</w:t>
      </w:r>
      <w:r w:rsidRPr="00A40DDC">
        <w:rPr>
          <w:rFonts w:eastAsiaTheme="minorEastAsia"/>
          <w:i/>
          <w:sz w:val="23"/>
          <w:szCs w:val="23"/>
          <w:rtl/>
        </w:rPr>
        <w:t>.</w:t>
      </w:r>
      <w:r w:rsidRPr="00A40DDC">
        <w:rPr>
          <w:rFonts w:eastAsiaTheme="minorEastAsia" w:hint="cs"/>
          <w:i/>
          <w:sz w:val="23"/>
          <w:szCs w:val="23"/>
          <w:rtl/>
        </w:rPr>
        <w:t xml:space="preserve"> </w:t>
      </w:r>
    </w:p>
    <w:p w14:paraId="2FC76F30"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hint="cs"/>
          <w:i/>
          <w:sz w:val="23"/>
          <w:szCs w:val="23"/>
          <w:rtl/>
        </w:rPr>
        <w:t>همان</w:t>
      </w:r>
      <w:r w:rsidRPr="00A40DDC">
        <w:rPr>
          <w:rFonts w:eastAsiaTheme="minorEastAsia"/>
          <w:i/>
          <w:sz w:val="23"/>
          <w:szCs w:val="23"/>
          <w:rtl/>
        </w:rPr>
        <w:softHyphen/>
      </w:r>
      <w:r w:rsidRPr="00A40DDC">
        <w:rPr>
          <w:rFonts w:eastAsiaTheme="minorEastAsia" w:hint="cs"/>
          <w:i/>
          <w:sz w:val="23"/>
          <w:szCs w:val="23"/>
          <w:rtl/>
        </w:rPr>
        <w:t>گونه که قبلاً اشاره شد، گاهی اوقات می‌توان چنین استدلال کرد که کسری حساب جاری بدلیل قصور و اشتباه دولت است. این نتیجه احتمال اینکه مابقی کشورهای دنیا بدلیل نقص بازار سرمایه، تمایل به نگهداری بیش از حدّ اوراق قرضه‌ی دولتی را دارند و در نتیجه‌ جریان ورود سرمایه مستلزم جبران کسری حساب جاری است را در نظر نمی</w:t>
      </w:r>
      <w:r w:rsidRPr="00A40DDC">
        <w:rPr>
          <w:rFonts w:eastAsiaTheme="minorEastAsia"/>
          <w:i/>
          <w:sz w:val="23"/>
          <w:szCs w:val="23"/>
          <w:rtl/>
        </w:rPr>
        <w:softHyphen/>
      </w:r>
      <w:r w:rsidRPr="00A40DDC">
        <w:rPr>
          <w:rFonts w:eastAsiaTheme="minorEastAsia" w:hint="cs"/>
          <w:i/>
          <w:sz w:val="23"/>
          <w:szCs w:val="23"/>
          <w:rtl/>
        </w:rPr>
        <w:t>گیرد. این مسئله به طور خودکار از طریق افزایش تقاضای خارجی برای پول رایج داخلی و افزایش قیمت پول داخلی اتفاق خواهد افتاد و باعث افزایش رابطه‌ی مبادله و کاهش تجارت و به تبع آن کسری حساب جاری خواهد شد. افزایش تقاضا برای دارایی داخلی همچنین علت تجدید ارزیابی دارایی مالی بخش خصوصی و به تبع آن افزایش مصرف و واردات است که باعث بدتر شدن وضعیت حساب جاری خواهد شد. بعلاوه، برای دولت سهل</w:t>
      </w:r>
      <w:r w:rsidRPr="00A40DDC">
        <w:rPr>
          <w:rFonts w:eastAsiaTheme="minorEastAsia"/>
          <w:i/>
          <w:sz w:val="23"/>
          <w:szCs w:val="23"/>
          <w:rtl/>
        </w:rPr>
        <w:softHyphen/>
      </w:r>
      <w:r w:rsidRPr="00A40DDC">
        <w:rPr>
          <w:rFonts w:eastAsiaTheme="minorEastAsia" w:hint="cs"/>
          <w:i/>
          <w:sz w:val="23"/>
          <w:szCs w:val="23"/>
          <w:rtl/>
        </w:rPr>
        <w:t>تر است تا کسری را تأمین مالی کند و اوراق قرضه</w:t>
      </w:r>
      <w:r w:rsidRPr="00A40DDC">
        <w:rPr>
          <w:rFonts w:eastAsiaTheme="minorEastAsia"/>
          <w:i/>
          <w:sz w:val="23"/>
          <w:szCs w:val="23"/>
          <w:rtl/>
        </w:rPr>
        <w:softHyphen/>
      </w:r>
      <w:r w:rsidRPr="00A40DDC">
        <w:rPr>
          <w:rFonts w:eastAsiaTheme="minorEastAsia" w:hint="cs"/>
          <w:i/>
          <w:sz w:val="23"/>
          <w:szCs w:val="23"/>
          <w:rtl/>
        </w:rPr>
        <w:t>ی خود را بیشتر به خارج و کمتر به داخل بفروشد، اما بدتر شدن کسری حساب جاری به کسری بودجه‌ی دولت نسبت داده نشود.</w:t>
      </w:r>
    </w:p>
    <w:p w14:paraId="11014C5F" w14:textId="77777777" w:rsidR="00411620" w:rsidRPr="00A40DDC" w:rsidRDefault="00411620" w:rsidP="00411620">
      <w:pPr>
        <w:tabs>
          <w:tab w:val="left" w:pos="3521"/>
        </w:tabs>
        <w:spacing w:line="216" w:lineRule="auto"/>
        <w:rPr>
          <w:rFonts w:eastAsiaTheme="minorEastAsia"/>
          <w:i/>
          <w:sz w:val="23"/>
          <w:szCs w:val="23"/>
          <w:rtl/>
        </w:rPr>
      </w:pPr>
    </w:p>
    <w:p w14:paraId="79DB9A5F" w14:textId="77777777" w:rsidR="00411620" w:rsidRPr="00A40DDC" w:rsidRDefault="00411620" w:rsidP="00411620">
      <w:pPr>
        <w:pStyle w:val="Heading1"/>
        <w:spacing w:before="0" w:after="0" w:line="216" w:lineRule="auto"/>
        <w:rPr>
          <w:rFonts w:ascii="Times New Roman" w:eastAsiaTheme="minorEastAsia" w:hAnsi="Times New Roman" w:cs="B Nazanin"/>
          <w:b w:val="0"/>
          <w:i/>
          <w:sz w:val="23"/>
          <w:szCs w:val="23"/>
          <w:rtl/>
        </w:rPr>
      </w:pPr>
      <w:r w:rsidRPr="00A40DDC">
        <w:rPr>
          <w:rFonts w:ascii="Times New Roman" w:eastAsiaTheme="minorEastAsia" w:hAnsi="Times New Roman" w:cs="B Nazanin" w:hint="cs"/>
          <w:b w:val="0"/>
          <w:i/>
          <w:sz w:val="23"/>
          <w:szCs w:val="23"/>
          <w:rtl/>
        </w:rPr>
        <w:t>۷. ۶. ۲ رویکرد بین دوره</w:t>
      </w:r>
      <w:r w:rsidRPr="00A40DDC">
        <w:rPr>
          <w:rFonts w:ascii="Times New Roman" w:eastAsiaTheme="minorEastAsia" w:hAnsi="Times New Roman" w:cs="B Nazanin"/>
          <w:b w:val="0"/>
          <w:i/>
          <w:sz w:val="23"/>
          <w:szCs w:val="23"/>
          <w:rtl/>
        </w:rPr>
        <w:softHyphen/>
      </w:r>
      <w:r w:rsidRPr="00A40DDC">
        <w:rPr>
          <w:rFonts w:ascii="Times New Roman" w:eastAsiaTheme="minorEastAsia" w:hAnsi="Times New Roman" w:cs="B Nazanin" w:hint="cs"/>
          <w:b w:val="0"/>
          <w:i/>
          <w:sz w:val="23"/>
          <w:szCs w:val="23"/>
          <w:rtl/>
        </w:rPr>
        <w:t xml:space="preserve">ای حساب جاری </w:t>
      </w:r>
    </w:p>
    <w:p w14:paraId="78BE21C0" w14:textId="77777777" w:rsidR="00411620" w:rsidRPr="00A40DDC" w:rsidRDefault="00411620" w:rsidP="00411620">
      <w:pPr>
        <w:tabs>
          <w:tab w:val="left" w:pos="3521"/>
        </w:tabs>
        <w:spacing w:line="216" w:lineRule="auto"/>
        <w:rPr>
          <w:rFonts w:eastAsiaTheme="minorEastAsia"/>
          <w:i/>
          <w:sz w:val="23"/>
          <w:szCs w:val="23"/>
          <w:rtl/>
        </w:rPr>
      </w:pPr>
      <w:r w:rsidRPr="00A40DDC">
        <w:rPr>
          <w:rFonts w:eastAsiaTheme="minorEastAsia" w:hint="cs"/>
          <w:i/>
          <w:sz w:val="23"/>
          <w:szCs w:val="23"/>
          <w:rtl/>
        </w:rPr>
        <w:t>در یک مدل تعادل عمومی پویا، اقتصاد می</w:t>
      </w:r>
      <w:r w:rsidRPr="00A40DDC">
        <w:rPr>
          <w:rFonts w:eastAsiaTheme="minorEastAsia"/>
          <w:i/>
          <w:sz w:val="23"/>
          <w:szCs w:val="23"/>
          <w:rtl/>
        </w:rPr>
        <w:softHyphen/>
      </w:r>
      <w:r w:rsidRPr="00A40DDC">
        <w:rPr>
          <w:rFonts w:eastAsiaTheme="minorEastAsia" w:hint="cs"/>
          <w:i/>
          <w:sz w:val="23"/>
          <w:szCs w:val="23"/>
          <w:rtl/>
        </w:rPr>
        <w:t>تواند تصمیمات بهینه‌ی مصرف و پس</w:t>
      </w:r>
      <w:r w:rsidRPr="00A40DDC">
        <w:rPr>
          <w:rFonts w:eastAsiaTheme="minorEastAsia"/>
          <w:i/>
          <w:sz w:val="23"/>
          <w:szCs w:val="23"/>
          <w:rtl/>
        </w:rPr>
        <w:softHyphen/>
      </w:r>
      <w:r w:rsidRPr="00A40DDC">
        <w:rPr>
          <w:rFonts w:eastAsiaTheme="minorEastAsia" w:hint="cs"/>
          <w:i/>
          <w:sz w:val="23"/>
          <w:szCs w:val="23"/>
          <w:rtl/>
        </w:rPr>
        <w:t>انداز را با ترکیب تراز پرداخت‌ها در یک مدل بین</w:t>
      </w:r>
      <w:r w:rsidRPr="00A40DDC">
        <w:rPr>
          <w:rFonts w:eastAsiaTheme="minorEastAsia"/>
          <w:i/>
          <w:sz w:val="23"/>
          <w:szCs w:val="23"/>
          <w:rtl/>
        </w:rPr>
        <w:softHyphen/>
      </w:r>
      <w:r w:rsidRPr="00A40DDC">
        <w:rPr>
          <w:rFonts w:eastAsiaTheme="minorEastAsia" w:hint="cs"/>
          <w:i/>
          <w:sz w:val="23"/>
          <w:szCs w:val="23"/>
          <w:rtl/>
        </w:rPr>
        <w:t>دوره</w:t>
      </w:r>
      <w:r w:rsidRPr="00A40DDC">
        <w:rPr>
          <w:rFonts w:eastAsiaTheme="minorEastAsia"/>
          <w:i/>
          <w:sz w:val="23"/>
          <w:szCs w:val="23"/>
          <w:rtl/>
        </w:rPr>
        <w:softHyphen/>
      </w:r>
      <w:r w:rsidRPr="00A40DDC">
        <w:rPr>
          <w:rFonts w:eastAsiaTheme="minorEastAsia" w:hint="cs"/>
          <w:i/>
          <w:sz w:val="23"/>
          <w:szCs w:val="23"/>
          <w:rtl/>
        </w:rPr>
        <w:t>ای از مصرف ترکیب کند. این حالت خاص را مدل بین دوره</w:t>
      </w:r>
      <w:r w:rsidRPr="00A40DDC">
        <w:rPr>
          <w:rFonts w:eastAsiaTheme="minorEastAsia"/>
          <w:i/>
          <w:sz w:val="23"/>
          <w:szCs w:val="23"/>
          <w:rtl/>
        </w:rPr>
        <w:softHyphen/>
      </w:r>
      <w:r w:rsidRPr="00A40DDC">
        <w:rPr>
          <w:rFonts w:eastAsiaTheme="minorEastAsia" w:hint="cs"/>
          <w:i/>
          <w:sz w:val="23"/>
          <w:szCs w:val="23"/>
          <w:rtl/>
        </w:rPr>
        <w:t xml:space="preserve">ای حساب جاری نامند. </w:t>
      </w:r>
      <w:r w:rsidRPr="00A40DDC">
        <w:rPr>
          <w:rStyle w:val="FootnoteReference"/>
          <w:rFonts w:eastAsiaTheme="minorEastAsia"/>
          <w:i/>
          <w:sz w:val="23"/>
          <w:szCs w:val="23"/>
          <w:rtl/>
        </w:rPr>
        <w:footnoteReference w:id="189"/>
      </w:r>
      <w:r w:rsidRPr="00A40DDC">
        <w:rPr>
          <w:rFonts w:eastAsiaTheme="minorEastAsia" w:hint="cs"/>
          <w:i/>
          <w:sz w:val="23"/>
          <w:szCs w:val="23"/>
          <w:rtl/>
        </w:rPr>
        <w:t xml:space="preserve"> </w:t>
      </w:r>
    </w:p>
    <w:p w14:paraId="3121AAAD"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اتحاد ترازپرداخت‌های حقیقی زیر را در نظر بگیرید</w:t>
      </w:r>
    </w:p>
    <w:p w14:paraId="739D8649" w14:textId="77777777" w:rsidR="00411620" w:rsidRPr="00A40DDC" w:rsidRDefault="00411620" w:rsidP="00411620">
      <w:pPr>
        <w:bidi w:val="0"/>
        <w:spacing w:line="216" w:lineRule="auto"/>
        <w:rPr>
          <w:i/>
          <w:sz w:val="23"/>
          <w:szCs w:val="23"/>
        </w:rPr>
      </w:pPr>
      <w:r w:rsidRPr="00A40DDC">
        <w:rPr>
          <w:position w:val="-16"/>
        </w:rPr>
        <w:object w:dxaOrig="1700" w:dyaOrig="420" w14:anchorId="1FA8789D">
          <v:shape id="_x0000_i3988" type="#_x0000_t75" style="width:85.3pt;height:21.2pt" o:ole="">
            <v:imagedata r:id="rId5965" o:title=""/>
          </v:shape>
          <o:OLEObject Type="Embed" ProgID="Equation.DSMT4" ShapeID="_x0000_i3988" DrawAspect="Content" ObjectID="_1791377932" r:id="rId5966"/>
        </w:object>
      </w:r>
    </w:p>
    <w:p w14:paraId="7D359DBF" w14:textId="77777777" w:rsidR="00411620" w:rsidRPr="00A40DDC" w:rsidRDefault="00411620" w:rsidP="00411620">
      <w:pPr>
        <w:spacing w:line="216" w:lineRule="auto"/>
        <w:rPr>
          <w:i/>
          <w:sz w:val="23"/>
          <w:szCs w:val="23"/>
          <w:rtl/>
        </w:rPr>
      </w:pPr>
      <w:r w:rsidRPr="00A40DDC">
        <w:rPr>
          <w:rFonts w:hint="cs"/>
          <w:i/>
          <w:sz w:val="23"/>
          <w:szCs w:val="23"/>
          <w:rtl/>
        </w:rPr>
        <w:t>که در آن</w:t>
      </w:r>
      <w:r w:rsidRPr="00025957">
        <w:rPr>
          <w:position w:val="-4"/>
        </w:rPr>
        <w:object w:dxaOrig="240" w:dyaOrig="279" w14:anchorId="1D27F31B">
          <v:shape id="_x0000_i3989" type="#_x0000_t75" style="width:11.5pt;height:13.9pt" o:ole="">
            <v:imagedata r:id="rId5967" o:title=""/>
          </v:shape>
          <o:OLEObject Type="Embed" ProgID="Equation.DSMT4" ShapeID="_x0000_i3989" DrawAspect="Content" ObjectID="_1791377933" r:id="rId5968"/>
        </w:object>
      </w:r>
      <w:r w:rsidRPr="00A40DDC">
        <w:rPr>
          <w:i/>
          <w:sz w:val="23"/>
          <w:szCs w:val="23"/>
        </w:rPr>
        <w:t xml:space="preserve"> </w:t>
      </w:r>
      <w:r w:rsidRPr="00A40DDC">
        <w:rPr>
          <w:rFonts w:hint="cs"/>
          <w:i/>
          <w:sz w:val="23"/>
          <w:szCs w:val="23"/>
          <w:rtl/>
        </w:rPr>
        <w:t>نرخ بهره‌ی حقیقی دنیاست. خالص صادرات یا تجارت برابر است با</w:t>
      </w:r>
    </w:p>
    <w:p w14:paraId="0CF192B7" w14:textId="77777777" w:rsidR="00411620" w:rsidRPr="00A40DDC" w:rsidRDefault="00411620" w:rsidP="00411620">
      <w:pPr>
        <w:bidi w:val="0"/>
        <w:spacing w:line="216" w:lineRule="auto"/>
        <w:rPr>
          <w:i/>
          <w:sz w:val="23"/>
          <w:szCs w:val="23"/>
        </w:rPr>
      </w:pPr>
      <w:r w:rsidRPr="00A40DDC">
        <w:rPr>
          <w:position w:val="-10"/>
        </w:rPr>
        <w:object w:dxaOrig="1680" w:dyaOrig="320" w14:anchorId="20A62502">
          <v:shape id="_x0000_i3990" type="#_x0000_t75" style="width:84.1pt;height:15.75pt" o:ole="">
            <v:imagedata r:id="rId5969" o:title=""/>
          </v:shape>
          <o:OLEObject Type="Embed" ProgID="Equation.DSMT4" ShapeID="_x0000_i3990" DrawAspect="Content" ObjectID="_1791377934" r:id="rId5970"/>
        </w:object>
      </w:r>
    </w:p>
    <w:p w14:paraId="2A96205E" w14:textId="77777777" w:rsidR="00411620" w:rsidRPr="00A40DDC" w:rsidRDefault="00411620" w:rsidP="00411620">
      <w:pPr>
        <w:spacing w:line="216" w:lineRule="auto"/>
        <w:rPr>
          <w:i/>
          <w:sz w:val="23"/>
          <w:szCs w:val="23"/>
          <w:rtl/>
        </w:rPr>
      </w:pPr>
      <w:r w:rsidRPr="00A40DDC">
        <w:rPr>
          <w:rFonts w:hint="cs"/>
          <w:i/>
          <w:sz w:val="23"/>
          <w:szCs w:val="23"/>
          <w:rtl/>
        </w:rPr>
        <w:t>حساب جاری حقیقی عبارت است از</w:t>
      </w:r>
    </w:p>
    <w:p w14:paraId="5C647E3A" w14:textId="77777777" w:rsidR="00411620" w:rsidRPr="00A40DDC" w:rsidRDefault="00411620" w:rsidP="00411620">
      <w:pPr>
        <w:bidi w:val="0"/>
        <w:spacing w:line="216" w:lineRule="auto"/>
        <w:rPr>
          <w:i/>
          <w:sz w:val="23"/>
          <w:szCs w:val="23"/>
        </w:rPr>
      </w:pPr>
      <w:r w:rsidRPr="00A40DDC">
        <w:rPr>
          <w:position w:val="-10"/>
        </w:rPr>
        <w:object w:dxaOrig="1600" w:dyaOrig="340" w14:anchorId="20E67B2C">
          <v:shape id="_x0000_i3991" type="#_x0000_t75" style="width:79.85pt;height:16.95pt" o:ole="">
            <v:imagedata r:id="rId5971" o:title=""/>
          </v:shape>
          <o:OLEObject Type="Embed" ProgID="Equation.DSMT4" ShapeID="_x0000_i3991" DrawAspect="Content" ObjectID="_1791377935" r:id="rId5972"/>
        </w:object>
      </w:r>
    </w:p>
    <w:p w14:paraId="164B6D3C" w14:textId="77777777" w:rsidR="00411620" w:rsidRPr="00A40DDC" w:rsidRDefault="00411620" w:rsidP="00411620">
      <w:pPr>
        <w:spacing w:line="216" w:lineRule="auto"/>
        <w:rPr>
          <w:i/>
          <w:sz w:val="23"/>
          <w:szCs w:val="23"/>
          <w:rtl/>
        </w:rPr>
      </w:pPr>
      <w:r w:rsidRPr="00A40DDC">
        <w:rPr>
          <w:rFonts w:hint="cs"/>
          <w:i/>
          <w:sz w:val="23"/>
          <w:szCs w:val="23"/>
          <w:rtl/>
        </w:rPr>
        <w:lastRenderedPageBreak/>
        <w:t>اتحاد درآمد ملی نیز برابر است با</w:t>
      </w:r>
    </w:p>
    <w:p w14:paraId="66AA5B6E" w14:textId="77777777" w:rsidR="00411620" w:rsidRPr="00A40DDC" w:rsidRDefault="00411620" w:rsidP="00411620">
      <w:pPr>
        <w:bidi w:val="0"/>
        <w:spacing w:line="216" w:lineRule="auto"/>
        <w:rPr>
          <w:i/>
          <w:sz w:val="23"/>
          <w:szCs w:val="23"/>
          <w:rtl/>
        </w:rPr>
      </w:pPr>
      <w:r w:rsidRPr="00A40DDC">
        <w:rPr>
          <w:position w:val="-10"/>
        </w:rPr>
        <w:object w:dxaOrig="1680" w:dyaOrig="320" w14:anchorId="450FF85D">
          <v:shape id="_x0000_i3992" type="#_x0000_t75" style="width:84.1pt;height:15.75pt" o:ole="">
            <v:imagedata r:id="rId5973" o:title=""/>
          </v:shape>
          <o:OLEObject Type="Embed" ProgID="Equation.DSMT4" ShapeID="_x0000_i3992" DrawAspect="Content" ObjectID="_1791377936" r:id="rId5974"/>
        </w:object>
      </w:r>
    </w:p>
    <w:p w14:paraId="3082737D" w14:textId="77777777" w:rsidR="00411620" w:rsidRPr="00A40DDC" w:rsidRDefault="00411620" w:rsidP="00411620">
      <w:pPr>
        <w:spacing w:line="216" w:lineRule="auto"/>
        <w:rPr>
          <w:i/>
          <w:sz w:val="23"/>
          <w:szCs w:val="23"/>
          <w:rtl/>
        </w:rPr>
      </w:pPr>
      <w:r w:rsidRPr="00A40DDC">
        <w:rPr>
          <w:rFonts w:hint="cs"/>
          <w:i/>
          <w:sz w:val="23"/>
          <w:szCs w:val="23"/>
          <w:rtl/>
        </w:rPr>
        <w:t>و تولید خالص به صورت زیر تعریف می‌شود</w:t>
      </w:r>
    </w:p>
    <w:p w14:paraId="179544CD" w14:textId="77777777" w:rsidR="00411620" w:rsidRPr="00A40DDC" w:rsidRDefault="00411620" w:rsidP="00411620">
      <w:pPr>
        <w:bidi w:val="0"/>
        <w:spacing w:line="216" w:lineRule="auto"/>
        <w:rPr>
          <w:i/>
          <w:sz w:val="23"/>
          <w:szCs w:val="23"/>
        </w:rPr>
      </w:pPr>
      <w:r w:rsidRPr="00A40DDC">
        <w:rPr>
          <w:position w:val="-10"/>
        </w:rPr>
        <w:object w:dxaOrig="2079" w:dyaOrig="320" w14:anchorId="10B7D62A">
          <v:shape id="_x0000_i3993" type="#_x0000_t75" style="width:104.05pt;height:15.75pt" o:ole="">
            <v:imagedata r:id="rId5975" o:title=""/>
          </v:shape>
          <o:OLEObject Type="Embed" ProgID="Equation.DSMT4" ShapeID="_x0000_i3993" DrawAspect="Content" ObjectID="_1791377937" r:id="rId5976"/>
        </w:object>
      </w:r>
    </w:p>
    <w:p w14:paraId="547D1D66" w14:textId="77777777" w:rsidR="00411620" w:rsidRPr="00A40DDC" w:rsidRDefault="00411620" w:rsidP="00411620">
      <w:pPr>
        <w:spacing w:line="216" w:lineRule="auto"/>
        <w:rPr>
          <w:i/>
          <w:sz w:val="23"/>
          <w:szCs w:val="23"/>
          <w:rtl/>
        </w:rPr>
      </w:pPr>
      <w:r w:rsidRPr="00A40DDC">
        <w:rPr>
          <w:rFonts w:hint="cs"/>
          <w:i/>
          <w:sz w:val="23"/>
          <w:szCs w:val="23"/>
          <w:rtl/>
        </w:rPr>
        <w:t xml:space="preserve">از شرط تراگردی تراز پرداخت‌ها داریم که پایداری مستلزم آن است که </w:t>
      </w:r>
      <w:r w:rsidRPr="00A40DDC">
        <w:rPr>
          <w:position w:val="-22"/>
        </w:rPr>
        <w:object w:dxaOrig="2420" w:dyaOrig="540" w14:anchorId="779FBC95">
          <v:shape id="_x0000_i3994" type="#_x0000_t75" style="width:121pt;height:26.6pt" o:ole="">
            <v:imagedata r:id="rId5977" o:title=""/>
          </v:shape>
          <o:OLEObject Type="Embed" ProgID="Equation.DSMT4" ShapeID="_x0000_i3994" DrawAspect="Content" ObjectID="_1791377938" r:id="rId5978"/>
        </w:object>
      </w:r>
      <w:r w:rsidRPr="00A40DDC">
        <w:rPr>
          <w:i/>
          <w:sz w:val="23"/>
          <w:szCs w:val="23"/>
        </w:rPr>
        <w:t xml:space="preserve"> </w:t>
      </w:r>
      <w:r w:rsidRPr="00A40DDC">
        <w:rPr>
          <w:rFonts w:hint="cs"/>
          <w:i/>
          <w:sz w:val="23"/>
          <w:szCs w:val="23"/>
          <w:rtl/>
        </w:rPr>
        <w:t>باشد. بنابراین</w:t>
      </w:r>
    </w:p>
    <w:p w14:paraId="5EDDC358" w14:textId="77777777" w:rsidR="00411620" w:rsidRPr="00A40DDC" w:rsidRDefault="00411620" w:rsidP="00411620">
      <w:pPr>
        <w:bidi w:val="0"/>
        <w:spacing w:line="216" w:lineRule="auto"/>
        <w:rPr>
          <w:i/>
          <w:sz w:val="23"/>
          <w:szCs w:val="23"/>
        </w:rPr>
      </w:pPr>
      <w:r w:rsidRPr="00A40DDC">
        <w:rPr>
          <w:position w:val="-38"/>
        </w:rPr>
        <w:object w:dxaOrig="4480" w:dyaOrig="740" w14:anchorId="46128A3A">
          <v:shape id="_x0000_i3995" type="#_x0000_t75" style="width:223.85pt;height:36.9pt" o:ole="">
            <v:imagedata r:id="rId5979" o:title=""/>
          </v:shape>
          <o:OLEObject Type="Embed" ProgID="Equation.DSMT4" ShapeID="_x0000_i3995" DrawAspect="Content" ObjectID="_1791377939" r:id="rId5980"/>
        </w:object>
      </w:r>
    </w:p>
    <w:p w14:paraId="7C9BF962" w14:textId="77777777" w:rsidR="00411620" w:rsidRPr="00A40DDC" w:rsidRDefault="00411620" w:rsidP="00411620">
      <w:pPr>
        <w:spacing w:line="216" w:lineRule="auto"/>
        <w:rPr>
          <w:i/>
          <w:sz w:val="23"/>
          <w:szCs w:val="23"/>
          <w:rtl/>
        </w:rPr>
      </w:pPr>
      <w:r w:rsidRPr="00A40DDC">
        <w:rPr>
          <w:rFonts w:hint="cs"/>
          <w:i/>
          <w:sz w:val="23"/>
          <w:szCs w:val="23"/>
          <w:rtl/>
        </w:rPr>
        <w:t>از نتایج قبل داریم ، یک مصرف کننده</w:t>
      </w:r>
      <w:r w:rsidRPr="00A40DDC">
        <w:rPr>
          <w:i/>
          <w:sz w:val="23"/>
          <w:szCs w:val="23"/>
          <w:rtl/>
        </w:rPr>
        <w:softHyphen/>
      </w:r>
      <w:r w:rsidRPr="00A40DDC">
        <w:rPr>
          <w:rFonts w:hint="cs"/>
          <w:i/>
          <w:sz w:val="23"/>
          <w:szCs w:val="23"/>
          <w:rtl/>
        </w:rPr>
        <w:t>ی نمونه تابع مطلوبیت بین</w:t>
      </w:r>
      <w:r w:rsidRPr="00A40DDC">
        <w:rPr>
          <w:i/>
          <w:sz w:val="23"/>
          <w:szCs w:val="23"/>
          <w:rtl/>
        </w:rPr>
        <w:softHyphen/>
      </w:r>
      <w:r w:rsidRPr="00A40DDC">
        <w:rPr>
          <w:rFonts w:hint="cs"/>
          <w:i/>
          <w:sz w:val="23"/>
          <w:szCs w:val="23"/>
          <w:rtl/>
        </w:rPr>
        <w:t>دوره</w:t>
      </w:r>
      <w:r w:rsidRPr="00A40DDC">
        <w:rPr>
          <w:i/>
          <w:sz w:val="23"/>
          <w:szCs w:val="23"/>
          <w:rtl/>
        </w:rPr>
        <w:softHyphen/>
      </w:r>
      <w:r w:rsidRPr="00A40DDC">
        <w:rPr>
          <w:rFonts w:hint="cs"/>
          <w:i/>
          <w:sz w:val="23"/>
          <w:szCs w:val="23"/>
          <w:rtl/>
        </w:rPr>
        <w:t xml:space="preserve">ای </w:t>
      </w:r>
      <w:r w:rsidRPr="00A40DDC">
        <w:rPr>
          <w:position w:val="-26"/>
        </w:rPr>
        <w:object w:dxaOrig="2020" w:dyaOrig="620" w14:anchorId="504DB4B4">
          <v:shape id="_x0000_i3996" type="#_x0000_t75" style="width:101.05pt;height:31.45pt" o:ole="">
            <v:imagedata r:id="rId5981" o:title=""/>
          </v:shape>
          <o:OLEObject Type="Embed" ProgID="Equation.DSMT4" ShapeID="_x0000_i3996" DrawAspect="Content" ObjectID="_1791377940" r:id="rId5982"/>
        </w:object>
      </w:r>
      <w:r w:rsidRPr="00A40DDC">
        <w:rPr>
          <w:rFonts w:hint="cs"/>
          <w:i/>
          <w:sz w:val="23"/>
          <w:szCs w:val="23"/>
          <w:rtl/>
        </w:rPr>
        <w:t xml:space="preserve"> را نسبت به اتحاد درآمد ملی حداکثر می‌کند، و مصرف را برابر با درآمد دائمی که از ثروت در نظریه چرخه</w:t>
      </w:r>
      <w:r w:rsidRPr="00A40DDC">
        <w:rPr>
          <w:i/>
          <w:sz w:val="23"/>
          <w:szCs w:val="23"/>
          <w:rtl/>
        </w:rPr>
        <w:softHyphen/>
      </w:r>
      <w:r w:rsidRPr="00A40DDC">
        <w:rPr>
          <w:rFonts w:hint="cs"/>
          <w:i/>
          <w:sz w:val="23"/>
          <w:szCs w:val="23"/>
          <w:rtl/>
        </w:rPr>
        <w:t>ی زندگی بدست می‌آید قرار می‌دهد. یعنی</w:t>
      </w:r>
    </w:p>
    <w:p w14:paraId="06BB0C75" w14:textId="77777777" w:rsidR="00411620" w:rsidRPr="00A40DDC" w:rsidRDefault="00411620" w:rsidP="00411620">
      <w:pPr>
        <w:bidi w:val="0"/>
        <w:spacing w:line="216" w:lineRule="auto"/>
        <w:rPr>
          <w:i/>
          <w:sz w:val="23"/>
          <w:szCs w:val="23"/>
        </w:rPr>
      </w:pPr>
      <w:r w:rsidRPr="00A40DDC">
        <w:rPr>
          <w:position w:val="-10"/>
        </w:rPr>
        <w:object w:dxaOrig="840" w:dyaOrig="340" w14:anchorId="501A2ADE">
          <v:shape id="_x0000_i3997" type="#_x0000_t75" style="width:41.75pt;height:16.95pt" o:ole="">
            <v:imagedata r:id="rId5983" o:title=""/>
          </v:shape>
          <o:OLEObject Type="Embed" ProgID="Equation.DSMT4" ShapeID="_x0000_i3997" DrawAspect="Content" ObjectID="_1791377941" r:id="rId5984"/>
        </w:object>
      </w:r>
    </w:p>
    <w:p w14:paraId="50D98EB0"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ثروت در اقتصاد باز برابر است با</w:t>
      </w:r>
    </w:p>
    <w:p w14:paraId="4543D9E4" w14:textId="77777777" w:rsidR="00411620" w:rsidRPr="00A40DDC" w:rsidRDefault="00411620" w:rsidP="00411620">
      <w:pPr>
        <w:bidi w:val="0"/>
        <w:spacing w:line="216" w:lineRule="auto"/>
        <w:rPr>
          <w:rFonts w:eastAsiaTheme="minorEastAsia"/>
          <w:i/>
          <w:sz w:val="23"/>
          <w:szCs w:val="23"/>
        </w:rPr>
      </w:pPr>
      <w:r w:rsidRPr="00A40DDC">
        <w:rPr>
          <w:position w:val="-40"/>
        </w:rPr>
        <w:object w:dxaOrig="2960" w:dyaOrig="900" w14:anchorId="16EB5972">
          <v:shape id="_x0000_i3998" type="#_x0000_t75" style="width:148.25pt;height:45.4pt" o:ole="">
            <v:imagedata r:id="rId5985" o:title=""/>
          </v:shape>
          <o:OLEObject Type="Embed" ProgID="Equation.DSMT4" ShapeID="_x0000_i3998" DrawAspect="Content" ObjectID="_1791377942" r:id="rId5986"/>
        </w:object>
      </w:r>
    </w:p>
    <w:p w14:paraId="570AE581"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 xml:space="preserve">با جایگزاری </w:t>
      </w:r>
      <w:r w:rsidRPr="00A40DDC">
        <w:rPr>
          <w:position w:val="-10"/>
        </w:rPr>
        <w:object w:dxaOrig="200" w:dyaOrig="320" w14:anchorId="5DD3393D">
          <v:shape id="_x0000_i3999" type="#_x0000_t75" style="width:10.3pt;height:15.75pt" o:ole="">
            <v:imagedata r:id="rId5987" o:title=""/>
          </v:shape>
          <o:OLEObject Type="Embed" ProgID="Equation.DSMT4" ShapeID="_x0000_i3999" DrawAspect="Content" ObjectID="_1791377943" r:id="rId5988"/>
        </w:object>
      </w:r>
      <w:r w:rsidRPr="00A40DDC">
        <w:rPr>
          <w:rFonts w:eastAsiaTheme="minorEastAsia" w:hint="cs"/>
          <w:i/>
          <w:sz w:val="23"/>
          <w:szCs w:val="23"/>
          <w:rtl/>
        </w:rPr>
        <w:t xml:space="preserve"> در عبارت حساب جاری، شرط زیر را برای پایداری حساب جاری بدست خواهیم آورد</w:t>
      </w:r>
    </w:p>
    <w:p w14:paraId="5813725C" w14:textId="77777777" w:rsidR="00411620" w:rsidRPr="00A40DDC" w:rsidRDefault="00411620" w:rsidP="00411620">
      <w:pPr>
        <w:bidi w:val="0"/>
        <w:spacing w:line="216" w:lineRule="auto"/>
        <w:rPr>
          <w:rFonts w:eastAsiaTheme="minorEastAsia"/>
          <w:i/>
          <w:sz w:val="23"/>
          <w:szCs w:val="23"/>
          <w:rtl/>
        </w:rPr>
      </w:pPr>
      <w:r w:rsidRPr="00A40DDC">
        <w:rPr>
          <w:position w:val="-38"/>
        </w:rPr>
        <w:object w:dxaOrig="3580" w:dyaOrig="760" w14:anchorId="0B47B64D">
          <v:shape id="_x0000_i4000" type="#_x0000_t75" style="width:178.5pt;height:38.1pt" o:ole="">
            <v:imagedata r:id="rId5989" o:title=""/>
          </v:shape>
          <o:OLEObject Type="Embed" ProgID="Equation.DSMT4" ShapeID="_x0000_i4000" DrawAspect="Content" ObjectID="_1791377944" r:id="rId5990"/>
        </w:object>
      </w:r>
      <w:r w:rsidRPr="00A40DDC">
        <w:rPr>
          <w:rFonts w:eastAsiaTheme="minorEastAsia" w:hint="cs"/>
          <w:i/>
          <w:sz w:val="23"/>
          <w:szCs w:val="23"/>
          <w:rtl/>
        </w:rPr>
        <w:t>‌</w:t>
      </w:r>
      <w:r w:rsidRPr="00A40DDC">
        <w:rPr>
          <w:rFonts w:eastAsiaTheme="minorEastAsia" w:hint="cs"/>
          <w:i/>
          <w:sz w:val="23"/>
          <w:szCs w:val="23"/>
          <w:rtl/>
        </w:rPr>
        <w:tab/>
      </w:r>
      <w:r w:rsidRPr="00A40DDC">
        <w:rPr>
          <w:rFonts w:eastAsiaTheme="minorEastAsia" w:hint="cs"/>
          <w:i/>
          <w:sz w:val="23"/>
          <w:szCs w:val="23"/>
          <w:rtl/>
        </w:rPr>
        <w:tab/>
      </w:r>
      <w:r w:rsidRPr="00A40DDC">
        <w:rPr>
          <w:rFonts w:eastAsiaTheme="minorEastAsia"/>
          <w:i/>
          <w:sz w:val="23"/>
          <w:szCs w:val="23"/>
          <w:rtl/>
        </w:rPr>
        <w:tab/>
      </w:r>
      <w:r w:rsidRPr="00A40DDC">
        <w:rPr>
          <w:rFonts w:eastAsiaTheme="minorEastAsia"/>
          <w:i/>
          <w:sz w:val="23"/>
          <w:szCs w:val="23"/>
          <w:rtl/>
        </w:rPr>
        <w:tab/>
      </w:r>
      <w:r w:rsidRPr="00A40DDC">
        <w:rPr>
          <w:rFonts w:eastAsiaTheme="minorEastAsia"/>
          <w:i/>
          <w:sz w:val="23"/>
          <w:szCs w:val="23"/>
          <w:rtl/>
        </w:rPr>
        <w:tab/>
      </w:r>
      <w:r w:rsidRPr="00A40DDC">
        <w:rPr>
          <w:rFonts w:eastAsiaTheme="minorEastAsia"/>
          <w:i/>
          <w:sz w:val="23"/>
          <w:szCs w:val="23"/>
          <w:rtl/>
        </w:rPr>
        <w:tab/>
      </w:r>
      <w:r w:rsidRPr="00A40DDC">
        <w:rPr>
          <w:rFonts w:eastAsiaTheme="minorEastAsia"/>
          <w:i/>
          <w:sz w:val="23"/>
          <w:szCs w:val="23"/>
          <w:rtl/>
        </w:rPr>
        <w:tab/>
      </w:r>
      <w:r>
        <w:rPr>
          <w:rFonts w:eastAsiaTheme="minorEastAsia"/>
          <w:i/>
          <w:sz w:val="23"/>
          <w:szCs w:val="23"/>
          <w:rtl/>
        </w:rPr>
        <w:tab/>
      </w:r>
      <w:r w:rsidRPr="00A40DDC">
        <w:rPr>
          <w:rFonts w:eastAsiaTheme="minorEastAsia"/>
          <w:i/>
          <w:sz w:val="23"/>
          <w:szCs w:val="23"/>
          <w:rtl/>
        </w:rPr>
        <w:tab/>
      </w:r>
      <w:r w:rsidRPr="00A40DDC">
        <w:rPr>
          <w:rFonts w:eastAsiaTheme="minorEastAsia" w:hint="cs"/>
          <w:i/>
          <w:sz w:val="23"/>
          <w:szCs w:val="23"/>
          <w:rtl/>
        </w:rPr>
        <w:t>(۷. ۴۹)</w:t>
      </w:r>
    </w:p>
    <w:p w14:paraId="7D170DDB"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بنابراین برای پایداری، یک کسری حساب جاری می‌بایست بوسیله‌ی ارزش فعلی تغییرات در خالص تولید جاری و آتی جبران شود. این نتیجه ممکن است با نظریه چرخه</w:t>
      </w:r>
      <w:r w:rsidRPr="00A40DDC">
        <w:rPr>
          <w:rFonts w:eastAsiaTheme="minorEastAsia"/>
          <w:i/>
          <w:sz w:val="23"/>
          <w:szCs w:val="23"/>
          <w:rtl/>
        </w:rPr>
        <w:softHyphen/>
      </w:r>
      <w:r w:rsidRPr="00A40DDC">
        <w:rPr>
          <w:rFonts w:eastAsiaTheme="minorEastAsia" w:hint="cs"/>
          <w:i/>
          <w:sz w:val="23"/>
          <w:szCs w:val="23"/>
          <w:rtl/>
        </w:rPr>
        <w:t>ی زندگی در فصل چهارم مقایسه شود. در آن</w:t>
      </w:r>
      <w:r w:rsidRPr="00A40DDC">
        <w:rPr>
          <w:rFonts w:eastAsiaTheme="minorEastAsia"/>
          <w:i/>
          <w:sz w:val="23"/>
          <w:szCs w:val="23"/>
          <w:rtl/>
        </w:rPr>
        <w:softHyphen/>
      </w:r>
      <w:r w:rsidRPr="00A40DDC">
        <w:rPr>
          <w:rFonts w:eastAsiaTheme="minorEastAsia" w:hint="cs"/>
          <w:i/>
          <w:sz w:val="23"/>
          <w:szCs w:val="23"/>
          <w:rtl/>
        </w:rPr>
        <w:t>جا نشان داده شد پس</w:t>
      </w:r>
      <w:r w:rsidRPr="00A40DDC">
        <w:rPr>
          <w:rFonts w:eastAsiaTheme="minorEastAsia"/>
          <w:i/>
          <w:sz w:val="23"/>
          <w:szCs w:val="23"/>
          <w:rtl/>
        </w:rPr>
        <w:softHyphen/>
      </w:r>
      <w:r w:rsidRPr="00A40DDC">
        <w:rPr>
          <w:rFonts w:eastAsiaTheme="minorEastAsia" w:hint="cs"/>
          <w:i/>
          <w:sz w:val="23"/>
          <w:szCs w:val="23"/>
          <w:rtl/>
        </w:rPr>
        <w:t>انداز جاری</w:t>
      </w:r>
      <w:r w:rsidRPr="00A40DDC">
        <w:rPr>
          <w:position w:val="-10"/>
        </w:rPr>
        <w:object w:dxaOrig="200" w:dyaOrig="320" w14:anchorId="592952FB">
          <v:shape id="_x0000_i4001" type="#_x0000_t75" style="width:10.3pt;height:15.75pt" o:ole="">
            <v:imagedata r:id="rId5991" o:title=""/>
          </v:shape>
          <o:OLEObject Type="Embed" ProgID="Equation.DSMT4" ShapeID="_x0000_i4001" DrawAspect="Content" ObjectID="_1791377945" r:id="rId5992"/>
        </w:object>
      </w:r>
      <w:r w:rsidRPr="00A40DDC">
        <w:rPr>
          <w:rFonts w:eastAsiaTheme="minorEastAsia" w:hint="cs"/>
          <w:i/>
          <w:sz w:val="23"/>
          <w:szCs w:val="23"/>
          <w:rtl/>
        </w:rPr>
        <w:t xml:space="preserve"> می‌بایست با ارزش فعلی جاری و آتی تغییرات در درآمد</w:t>
      </w:r>
      <w:r w:rsidRPr="00A40DDC">
        <w:rPr>
          <w:position w:val="-10"/>
        </w:rPr>
        <w:object w:dxaOrig="240" w:dyaOrig="320" w14:anchorId="21614B11">
          <v:shape id="_x0000_i4002" type="#_x0000_t75" style="width:11.5pt;height:15.75pt" o:ole="">
            <v:imagedata r:id="rId5993" o:title=""/>
          </v:shape>
          <o:OLEObject Type="Embed" ProgID="Equation.DSMT4" ShapeID="_x0000_i4002" DrawAspect="Content" ObjectID="_1791377946" r:id="rId5994"/>
        </w:object>
      </w:r>
      <w:r w:rsidRPr="00A40DDC">
        <w:rPr>
          <w:rFonts w:eastAsiaTheme="minorEastAsia" w:hint="cs"/>
          <w:i/>
          <w:sz w:val="23"/>
          <w:szCs w:val="23"/>
          <w:rtl/>
        </w:rPr>
        <w:t xml:space="preserve"> برابر باشد. یعنی</w:t>
      </w:r>
    </w:p>
    <w:p w14:paraId="787B93F9" w14:textId="77777777" w:rsidR="00411620" w:rsidRPr="00A40DDC" w:rsidRDefault="00411620" w:rsidP="00411620">
      <w:pPr>
        <w:bidi w:val="0"/>
        <w:spacing w:line="216" w:lineRule="auto"/>
        <w:rPr>
          <w:rFonts w:eastAsiaTheme="minorEastAsia"/>
          <w:i/>
          <w:sz w:val="23"/>
          <w:szCs w:val="23"/>
          <w:rtl/>
        </w:rPr>
      </w:pPr>
      <w:r w:rsidRPr="00A40DDC">
        <w:rPr>
          <w:position w:val="-34"/>
        </w:rPr>
        <w:object w:dxaOrig="1480" w:dyaOrig="700" w14:anchorId="2C898386">
          <v:shape id="_x0000_i4003" type="#_x0000_t75" style="width:73.8pt;height:35.1pt" o:ole="">
            <v:imagedata r:id="rId5995" o:title=""/>
          </v:shape>
          <o:OLEObject Type="Embed" ProgID="Equation.DSMT4" ShapeID="_x0000_i4003" DrawAspect="Content" ObjectID="_1791377947" r:id="rId5996"/>
        </w:object>
      </w:r>
    </w:p>
    <w:p w14:paraId="37E8BCC1"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 xml:space="preserve">که درآن </w:t>
      </w:r>
      <w:r w:rsidRPr="00A40DDC">
        <w:rPr>
          <w:rFonts w:eastAsiaTheme="minorEastAsia"/>
          <w:i/>
          <w:sz w:val="23"/>
          <w:szCs w:val="23"/>
        </w:rPr>
        <w:t>r</w:t>
      </w:r>
      <w:r w:rsidRPr="00A40DDC">
        <w:rPr>
          <w:rFonts w:eastAsiaTheme="minorEastAsia" w:hint="cs"/>
          <w:i/>
          <w:sz w:val="23"/>
          <w:szCs w:val="23"/>
          <w:rtl/>
        </w:rPr>
        <w:t xml:space="preserve"> نرخ بازدهی پس</w:t>
      </w:r>
      <w:r w:rsidRPr="00A40DDC">
        <w:rPr>
          <w:rFonts w:eastAsiaTheme="minorEastAsia"/>
          <w:i/>
          <w:sz w:val="23"/>
          <w:szCs w:val="23"/>
          <w:rtl/>
        </w:rPr>
        <w:softHyphen/>
      </w:r>
      <w:r w:rsidRPr="00A40DDC">
        <w:rPr>
          <w:rFonts w:eastAsiaTheme="minorEastAsia" w:hint="cs"/>
          <w:i/>
          <w:sz w:val="23"/>
          <w:szCs w:val="23"/>
          <w:rtl/>
        </w:rPr>
        <w:t>انداز است. معادله‌ی فوق به این صورت تفسیر شد که پس</w:t>
      </w:r>
      <w:r w:rsidRPr="00A40DDC">
        <w:rPr>
          <w:rFonts w:eastAsiaTheme="minorEastAsia"/>
          <w:i/>
          <w:sz w:val="23"/>
          <w:szCs w:val="23"/>
          <w:rtl/>
        </w:rPr>
        <w:softHyphen/>
      </w:r>
      <w:r w:rsidRPr="00A40DDC">
        <w:rPr>
          <w:rFonts w:eastAsiaTheme="minorEastAsia" w:hint="cs"/>
          <w:i/>
          <w:sz w:val="23"/>
          <w:szCs w:val="23"/>
          <w:rtl/>
        </w:rPr>
        <w:t xml:space="preserve">انداز برای جبران کاهش درآمدهای انتظاری آتی صورت می‌گیرد. لذا رابطه‌ی (۷. ۴۹) را می‌توان به این صورت تفسیر نمود که یک وضعیت حساب جاری مثبت مستلزم جبران کاهش در خالص تولید آتی انتظاری است. </w:t>
      </w:r>
    </w:p>
    <w:p w14:paraId="769E1758" w14:textId="77777777" w:rsidR="00411620" w:rsidRPr="00A40DDC" w:rsidRDefault="00411620" w:rsidP="00411620">
      <w:pPr>
        <w:spacing w:line="216" w:lineRule="auto"/>
        <w:rPr>
          <w:rFonts w:eastAsiaTheme="minorEastAsia"/>
          <w:i/>
          <w:sz w:val="23"/>
          <w:szCs w:val="23"/>
          <w:rtl/>
        </w:rPr>
      </w:pPr>
    </w:p>
    <w:p w14:paraId="29F28601" w14:textId="77777777" w:rsidR="00411620" w:rsidRPr="00A40DDC" w:rsidRDefault="00411620" w:rsidP="00411620">
      <w:pPr>
        <w:pStyle w:val="Heading1"/>
        <w:spacing w:before="0" w:after="0" w:line="216" w:lineRule="auto"/>
        <w:rPr>
          <w:rFonts w:ascii="Times New Roman" w:eastAsiaTheme="minorEastAsia" w:hAnsi="Times New Roman" w:cs="B Nazanin"/>
          <w:b w:val="0"/>
          <w:i/>
          <w:sz w:val="23"/>
          <w:szCs w:val="23"/>
          <w:rtl/>
        </w:rPr>
      </w:pPr>
      <w:r w:rsidRPr="00A40DDC">
        <w:rPr>
          <w:rFonts w:ascii="Times New Roman" w:eastAsiaTheme="minorEastAsia" w:hAnsi="Times New Roman" w:cs="B Nazanin" w:hint="cs"/>
          <w:b w:val="0"/>
          <w:i/>
          <w:sz w:val="23"/>
          <w:szCs w:val="23"/>
          <w:rtl/>
        </w:rPr>
        <w:lastRenderedPageBreak/>
        <w:t xml:space="preserve">۷. ۷ نتایج </w:t>
      </w:r>
    </w:p>
    <w:p w14:paraId="580B91BA"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در این فصل مدل اقتصاد بسته را بسط دادیم تا امکان تجارت بین کشورها فراهم شود. در اقتصاد باز قیدی که مصرف در اقتصاد بواسطه‌ی تولید همان کشور و در هر دوره صورت می‌گیرد حذف می</w:t>
      </w:r>
      <w:r w:rsidRPr="00A40DDC">
        <w:rPr>
          <w:rFonts w:eastAsiaTheme="minorEastAsia"/>
          <w:i/>
          <w:sz w:val="23"/>
          <w:szCs w:val="23"/>
          <w:rtl/>
        </w:rPr>
        <w:softHyphen/>
      </w:r>
      <w:r w:rsidRPr="00A40DDC">
        <w:rPr>
          <w:rFonts w:eastAsiaTheme="minorEastAsia" w:hint="cs"/>
          <w:i/>
          <w:sz w:val="23"/>
          <w:szCs w:val="23"/>
          <w:rtl/>
        </w:rPr>
        <w:t>شد. برای مثال، با استقراض از خارج، اقتصاد داخلی توانایی واردات کالاها و خدمات را دارد و موقتاً مصرف را افزایش می‌دهد، و بدهی تحمیل شده بوسیله‌ی مازاد حساب جاری و کاهش مصرف می‌بایست بعداً بازپرداخت شود.</w:t>
      </w:r>
    </w:p>
    <w:p w14:paraId="4EE283B5"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در ابتدا یک اقتصاد باز را مطرح کردیم که در آن بخشی از مصرف داخلی بوسیله‌ی واردات که جانشین کامل تولید داخلی است تأمین می</w:t>
      </w:r>
      <w:r w:rsidRPr="00A40DDC">
        <w:rPr>
          <w:rFonts w:eastAsiaTheme="minorEastAsia"/>
          <w:i/>
          <w:sz w:val="23"/>
          <w:szCs w:val="23"/>
          <w:rtl/>
        </w:rPr>
        <w:softHyphen/>
      </w:r>
      <w:r w:rsidRPr="00A40DDC">
        <w:rPr>
          <w:rFonts w:eastAsiaTheme="minorEastAsia" w:hint="cs"/>
          <w:i/>
          <w:sz w:val="23"/>
          <w:szCs w:val="23"/>
          <w:rtl/>
        </w:rPr>
        <w:t>شد و از طریق جانشینی بین</w:t>
      </w:r>
      <w:r w:rsidRPr="00A40DDC">
        <w:rPr>
          <w:rFonts w:eastAsiaTheme="minorEastAsia"/>
          <w:i/>
          <w:sz w:val="23"/>
          <w:szCs w:val="23"/>
          <w:rtl/>
        </w:rPr>
        <w:softHyphen/>
      </w:r>
      <w:r w:rsidRPr="00A40DDC">
        <w:rPr>
          <w:rFonts w:eastAsiaTheme="minorEastAsia" w:hint="cs"/>
          <w:i/>
          <w:sz w:val="23"/>
          <w:szCs w:val="23"/>
          <w:rtl/>
        </w:rPr>
        <w:t>دوره</w:t>
      </w:r>
      <w:r w:rsidRPr="00A40DDC">
        <w:rPr>
          <w:rFonts w:eastAsiaTheme="minorEastAsia"/>
          <w:i/>
          <w:sz w:val="23"/>
          <w:szCs w:val="23"/>
          <w:rtl/>
        </w:rPr>
        <w:softHyphen/>
      </w:r>
      <w:r w:rsidRPr="00A40DDC">
        <w:rPr>
          <w:rFonts w:eastAsiaTheme="minorEastAsia" w:hint="cs"/>
          <w:i/>
          <w:sz w:val="23"/>
          <w:szCs w:val="23"/>
          <w:rtl/>
        </w:rPr>
        <w:t xml:space="preserve">ای رفاه افزایش یافت. سپس این مدل به دو روش بسط داده شد. ابتدا به این نکته اشاره شد که تمامی کالاها و خدمات قابلیت تجارت را نداشته و مدل را با کالاها و خدمات قابل تجارت و غیرقابل تجارت مورد بررسی قرار دادیم. سپس فرض وجود جانشینی کامل بین کالاهای قابل تجارت داخلی و خارجی را تقلیل داده و اجازه داده شد که این کالاها جانشین ناقص باشند. </w:t>
      </w:r>
    </w:p>
    <w:p w14:paraId="62E38940"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دو فرض متعارف و مشترک در مدل اقتصاد باز، بخصوص در بلند‌مدت عبارت است از برابری قدرت خرید که نشان دهنده‌ی نرخ ارز حقیقی ثابت است، و قانون یک قیمت که تحت شرایط خاص مبین رابطه‌ی مبادله‌ی ثابت می‌باشد. هرچند شواهد تجربی بشدت بر خلاف این مفروضات بخصوص در کوتاه‌مدت است. با معرفی کالاها و خدمات قابل تجارت و غیرقابل تجارت قادر بودیم تا رابطه‌ی مبادله را از نرخ ارز حقیقی متمایز کنیم. تا حدودی بر خلاف شهود و عقل، رشد بهره</w:t>
      </w:r>
      <w:r w:rsidRPr="00A40DDC">
        <w:rPr>
          <w:rFonts w:eastAsiaTheme="minorEastAsia"/>
          <w:i/>
          <w:sz w:val="23"/>
          <w:szCs w:val="23"/>
          <w:rtl/>
        </w:rPr>
        <w:softHyphen/>
      </w:r>
      <w:r w:rsidRPr="00A40DDC">
        <w:rPr>
          <w:rFonts w:eastAsiaTheme="minorEastAsia" w:hint="cs"/>
          <w:i/>
          <w:sz w:val="23"/>
          <w:szCs w:val="23"/>
          <w:rtl/>
        </w:rPr>
        <w:t>وری نسبی در بخش کالاها و خدمات غیرقابل تجارت است که در بلند‌مدت نرخ ارز حقیقی، و بنابراین هزینه زندگی نسبی بین کشورها را تعیین می</w:t>
      </w:r>
      <w:r w:rsidRPr="00A40DDC">
        <w:rPr>
          <w:rFonts w:eastAsiaTheme="minorEastAsia"/>
          <w:i/>
          <w:sz w:val="23"/>
          <w:szCs w:val="23"/>
          <w:rtl/>
        </w:rPr>
        <w:softHyphen/>
      </w:r>
      <w:r w:rsidRPr="00A40DDC">
        <w:rPr>
          <w:rFonts w:eastAsiaTheme="minorEastAsia" w:hint="cs"/>
          <w:i/>
          <w:sz w:val="23"/>
          <w:szCs w:val="23"/>
          <w:rtl/>
        </w:rPr>
        <w:t>کند. در این تجزیه و تحلیل نرخ ارز اسمی را برون</w:t>
      </w:r>
      <w:r w:rsidRPr="00A40DDC">
        <w:rPr>
          <w:rFonts w:eastAsiaTheme="minorEastAsia"/>
          <w:i/>
          <w:sz w:val="23"/>
          <w:szCs w:val="23"/>
          <w:rtl/>
        </w:rPr>
        <w:softHyphen/>
      </w:r>
      <w:r w:rsidRPr="00A40DDC">
        <w:rPr>
          <w:rFonts w:eastAsiaTheme="minorEastAsia" w:hint="cs"/>
          <w:i/>
          <w:sz w:val="23"/>
          <w:szCs w:val="23"/>
          <w:rtl/>
        </w:rPr>
        <w:t>زا در نظر گرفتیم.</w:t>
      </w:r>
    </w:p>
    <w:p w14:paraId="4E153590" w14:textId="77777777" w:rsidR="00411620" w:rsidRPr="00A40DDC" w:rsidRDefault="00411620" w:rsidP="00411620">
      <w:pPr>
        <w:spacing w:line="216" w:lineRule="auto"/>
        <w:rPr>
          <w:rFonts w:eastAsiaTheme="minorEastAsia"/>
          <w:i/>
          <w:sz w:val="23"/>
          <w:szCs w:val="23"/>
          <w:rtl/>
        </w:rPr>
      </w:pPr>
      <w:r w:rsidRPr="00A40DDC">
        <w:rPr>
          <w:rFonts w:eastAsiaTheme="minorEastAsia" w:hint="cs"/>
          <w:i/>
          <w:sz w:val="23"/>
          <w:szCs w:val="23"/>
          <w:rtl/>
        </w:rPr>
        <w:t>در یک اقتصاد بسته دو قید بودجه‌ی خانوار و قید بودجه‌ی دولت وجود دارد. در یک اقتصاد باز قید بودجه</w:t>
      </w:r>
      <w:r w:rsidRPr="00A40DDC">
        <w:rPr>
          <w:rFonts w:eastAsiaTheme="minorEastAsia"/>
          <w:i/>
          <w:sz w:val="23"/>
          <w:szCs w:val="23"/>
          <w:rtl/>
        </w:rPr>
        <w:softHyphen/>
      </w:r>
      <w:r w:rsidRPr="00A40DDC">
        <w:rPr>
          <w:rFonts w:eastAsiaTheme="minorEastAsia" w:hint="cs"/>
          <w:i/>
          <w:sz w:val="23"/>
          <w:szCs w:val="23"/>
          <w:rtl/>
        </w:rPr>
        <w:t>ی دیگری اضافه می</w:t>
      </w:r>
      <w:r w:rsidRPr="00A40DDC">
        <w:rPr>
          <w:rFonts w:eastAsiaTheme="minorEastAsia"/>
          <w:i/>
          <w:sz w:val="23"/>
          <w:szCs w:val="23"/>
          <w:rtl/>
        </w:rPr>
        <w:softHyphen/>
      </w:r>
      <w:r w:rsidRPr="00A40DDC">
        <w:rPr>
          <w:rFonts w:eastAsiaTheme="minorEastAsia" w:hint="cs"/>
          <w:i/>
          <w:sz w:val="23"/>
          <w:szCs w:val="23"/>
          <w:rtl/>
        </w:rPr>
        <w:t>شود که همان ترازپرداخت‌ها است. ترازپرداخت‌ها همواره باید برقرار باشد زیرا اتحاد حسابداری است. در نتیجه با کسری حساب جاری می‌بایست یک خروج سرمایه</w:t>
      </w:r>
      <w:r w:rsidRPr="00A40DDC">
        <w:rPr>
          <w:rFonts w:eastAsiaTheme="minorEastAsia"/>
          <w:i/>
          <w:sz w:val="23"/>
          <w:szCs w:val="23"/>
          <w:rtl/>
        </w:rPr>
        <w:softHyphen/>
      </w:r>
      <w:r w:rsidRPr="00A40DDC">
        <w:rPr>
          <w:rFonts w:eastAsiaTheme="minorEastAsia" w:hint="cs"/>
          <w:i/>
          <w:sz w:val="23"/>
          <w:szCs w:val="23"/>
          <w:rtl/>
        </w:rPr>
        <w:t xml:space="preserve"> وجود داشته باشد که آن را پرداخت کند. و اگر مابقی کشورهای دنیا بخواهند نگه</w:t>
      </w:r>
      <w:r w:rsidRPr="00A40DDC">
        <w:rPr>
          <w:rFonts w:eastAsiaTheme="minorEastAsia"/>
          <w:i/>
          <w:sz w:val="23"/>
          <w:szCs w:val="23"/>
          <w:rtl/>
        </w:rPr>
        <w:softHyphen/>
      </w:r>
      <w:r w:rsidRPr="00A40DDC">
        <w:rPr>
          <w:rFonts w:eastAsiaTheme="minorEastAsia" w:hint="cs"/>
          <w:i/>
          <w:sz w:val="23"/>
          <w:szCs w:val="23"/>
          <w:rtl/>
        </w:rPr>
        <w:t>داری دارایی خود را افزایش دهند، آنگاه می</w:t>
      </w:r>
      <w:r w:rsidRPr="00A40DDC">
        <w:rPr>
          <w:rFonts w:eastAsiaTheme="minorEastAsia"/>
          <w:i/>
          <w:sz w:val="23"/>
          <w:szCs w:val="23"/>
          <w:rtl/>
        </w:rPr>
        <w:softHyphen/>
      </w:r>
      <w:r w:rsidRPr="00A40DDC">
        <w:rPr>
          <w:rFonts w:eastAsiaTheme="minorEastAsia" w:hint="cs"/>
          <w:i/>
          <w:sz w:val="23"/>
          <w:szCs w:val="23"/>
          <w:rtl/>
        </w:rPr>
        <w:t xml:space="preserve">بایست کسری حساب جاری وجود داشته باشد. این نتایج این سئوال را ایجاد خواهد کرد چه قیودی بر اندازه و دوام و ماندگاری کسری حساب جاری کشور وجود خواهد داشت. نشان داده شد که در یک اقتصاد ایستا، اگر خالص دارایی خارجی مثبت وجود داشته باشد، امکان کسری تجاری دائمی وجود خواهد داشت اما حساب جاری در بلند‌مدت باید تراز باشد. در مقابل، اگر کشوری در حال رشد باشد، ممکن است یک کسری حساب جاری دائمی داشته باشد. اندازه‌ی کسری به اندازه‌ی نگهداری دارایی و نرخ رشد وابسته است. همچنین می‌توان نشان داد که در مدل تعادل عمومی پویا، وضعیت حساب جاری مثبت مستلزم جبران کاهش خالص تولید در آینده یعنی تولید منهای مخارج سرمایه‌گذاری و مخارج دولت است. </w:t>
      </w:r>
    </w:p>
    <w:p w14:paraId="1EB4C2EF" w14:textId="77777777" w:rsidR="00411620" w:rsidRDefault="00411620" w:rsidP="00411620">
      <w:pPr>
        <w:spacing w:line="216" w:lineRule="auto"/>
        <w:rPr>
          <w:rFonts w:eastAsiaTheme="minorEastAsia"/>
          <w:i/>
          <w:sz w:val="23"/>
          <w:szCs w:val="23"/>
          <w:rtl/>
        </w:rPr>
      </w:pPr>
      <w:r w:rsidRPr="00A40DDC">
        <w:rPr>
          <w:rFonts w:eastAsiaTheme="minorEastAsia" w:hint="cs"/>
          <w:i/>
          <w:sz w:val="23"/>
          <w:szCs w:val="23"/>
          <w:rtl/>
        </w:rPr>
        <w:lastRenderedPageBreak/>
        <w:t xml:space="preserve">در فصل سیزدهم نرخ ارز اسمی درون سیستم اقتصادی تعیین </w:t>
      </w:r>
      <w:r w:rsidRPr="00A40DDC">
        <w:rPr>
          <w:rFonts w:eastAsiaTheme="minorEastAsia"/>
          <w:i/>
          <w:sz w:val="23"/>
          <w:szCs w:val="23"/>
          <w:rtl/>
        </w:rPr>
        <w:softHyphen/>
      </w:r>
      <w:r w:rsidRPr="00A40DDC">
        <w:rPr>
          <w:rFonts w:eastAsiaTheme="minorEastAsia" w:hint="cs"/>
          <w:i/>
          <w:sz w:val="23"/>
          <w:szCs w:val="23"/>
          <w:rtl/>
        </w:rPr>
        <w:t>می</w:t>
      </w:r>
      <w:r w:rsidRPr="00A40DDC">
        <w:rPr>
          <w:rFonts w:eastAsiaTheme="minorEastAsia"/>
          <w:i/>
          <w:sz w:val="23"/>
          <w:szCs w:val="23"/>
          <w:rtl/>
        </w:rPr>
        <w:softHyphen/>
      </w:r>
      <w:r w:rsidRPr="00A40DDC">
        <w:rPr>
          <w:rFonts w:eastAsiaTheme="minorEastAsia" w:hint="cs"/>
          <w:i/>
          <w:sz w:val="23"/>
          <w:szCs w:val="23"/>
          <w:rtl/>
        </w:rPr>
        <w:t>شود و برخی نتایج این فصل را در مدل ابستفلد و روگوف</w:t>
      </w:r>
      <w:r w:rsidRPr="00A40DDC">
        <w:rPr>
          <w:rStyle w:val="FootnoteReference"/>
          <w:rFonts w:eastAsiaTheme="minorEastAsia"/>
          <w:i/>
          <w:sz w:val="23"/>
          <w:szCs w:val="23"/>
          <w:rtl/>
        </w:rPr>
        <w:footnoteReference w:id="190"/>
      </w:r>
      <w:r w:rsidRPr="00A40DDC">
        <w:rPr>
          <w:rFonts w:eastAsiaTheme="minorEastAsia" w:hint="cs"/>
          <w:i/>
          <w:sz w:val="23"/>
          <w:szCs w:val="23"/>
          <w:rtl/>
        </w:rPr>
        <w:t xml:space="preserve"> بسط خواهیم داد.</w:t>
      </w:r>
      <w:r>
        <w:rPr>
          <w:rFonts w:eastAsiaTheme="minorEastAsia"/>
          <w:i/>
          <w:sz w:val="23"/>
          <w:szCs w:val="23"/>
          <w:rtl/>
        </w:rPr>
        <w:br w:type="page"/>
      </w:r>
    </w:p>
    <w:p w14:paraId="17A71AB3" w14:textId="77777777" w:rsidR="00411620" w:rsidRPr="00A40DDC" w:rsidRDefault="00411620" w:rsidP="00411620">
      <w:pPr>
        <w:spacing w:line="216" w:lineRule="auto"/>
        <w:rPr>
          <w:rFonts w:eastAsiaTheme="minorEastAsia"/>
          <w:i/>
          <w:sz w:val="23"/>
          <w:szCs w:val="23"/>
          <w:rtl/>
        </w:rPr>
      </w:pPr>
    </w:p>
    <w:p w14:paraId="4E6EED8D" w14:textId="77777777" w:rsidR="00411620" w:rsidRPr="00FE433F" w:rsidRDefault="00411620" w:rsidP="00411620">
      <w:pPr>
        <w:pStyle w:val="a3"/>
        <w:spacing w:before="1080" w:after="720" w:line="216" w:lineRule="auto"/>
        <w:ind w:left="0"/>
        <w:rPr>
          <w:rFonts w:cs="B Nazanin"/>
          <w:b w:val="0"/>
          <w:i/>
          <w:color w:val="auto"/>
          <w:sz w:val="40"/>
          <w:szCs w:val="40"/>
        </w:rPr>
      </w:pPr>
      <w:r w:rsidRPr="00FE433F">
        <w:rPr>
          <w:rFonts w:cs="B Nazanin" w:hint="cs"/>
          <w:b w:val="0"/>
          <w:i/>
          <w:color w:val="auto"/>
          <w:sz w:val="40"/>
          <w:szCs w:val="40"/>
          <w:rtl/>
        </w:rPr>
        <w:t>فصل هشتم</w:t>
      </w:r>
    </w:p>
    <w:p w14:paraId="109C2419" w14:textId="77777777" w:rsidR="00411620" w:rsidRPr="00FE433F" w:rsidRDefault="00411620" w:rsidP="00411620">
      <w:pPr>
        <w:pStyle w:val="a4"/>
        <w:pBdr>
          <w:top w:val="none" w:sz="0" w:space="0" w:color="auto"/>
          <w:bottom w:val="none" w:sz="0" w:space="0" w:color="auto"/>
        </w:pBdr>
        <w:shd w:val="clear" w:color="auto" w:fill="auto"/>
        <w:spacing w:before="720" w:after="720" w:line="216" w:lineRule="auto"/>
        <w:ind w:left="57"/>
        <w:rPr>
          <w:rFonts w:ascii="Times New Roman" w:hAnsi="Times New Roman"/>
          <w:i/>
          <w:sz w:val="40"/>
          <w:szCs w:val="40"/>
          <w:rtl/>
        </w:rPr>
      </w:pPr>
      <w:r w:rsidRPr="00FE433F">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t>اقتصاد پولی</w:t>
      </w:r>
    </w:p>
    <w:p w14:paraId="51219FCF" w14:textId="77777777" w:rsidR="00411620" w:rsidRPr="00FE433F" w:rsidRDefault="00411620" w:rsidP="00411620">
      <w:pPr>
        <w:pStyle w:val="Heading1"/>
        <w:spacing w:before="0" w:after="0" w:line="216" w:lineRule="auto"/>
        <w:rPr>
          <w:rFonts w:ascii="Times New Roman" w:hAnsi="Times New Roman" w:cs="B Nazanin"/>
          <w:b w:val="0"/>
          <w:i/>
          <w:sz w:val="23"/>
          <w:szCs w:val="23"/>
          <w:rtl/>
        </w:rPr>
      </w:pPr>
      <w:r w:rsidRPr="00FE433F">
        <w:rPr>
          <w:rFonts w:ascii="Times New Roman" w:hAnsi="Times New Roman" w:cs="B Nazanin"/>
          <w:b w:val="0"/>
          <w:i/>
          <w:sz w:val="23"/>
          <w:szCs w:val="23"/>
          <w:rtl/>
        </w:rPr>
        <w:t xml:space="preserve">۱.۸ </w:t>
      </w:r>
      <w:r w:rsidRPr="00FE433F">
        <w:rPr>
          <w:rFonts w:ascii="Times New Roman" w:hAnsi="Times New Roman" w:cs="B Nazanin" w:hint="eastAsia"/>
          <w:b w:val="0"/>
          <w:i/>
          <w:sz w:val="23"/>
          <w:szCs w:val="23"/>
          <w:rtl/>
        </w:rPr>
        <w:t>مقدمه</w:t>
      </w:r>
    </w:p>
    <w:p w14:paraId="11FCA20B" w14:textId="77777777" w:rsidR="00411620" w:rsidRPr="00FE433F" w:rsidRDefault="00411620" w:rsidP="00411620">
      <w:pPr>
        <w:spacing w:line="216" w:lineRule="auto"/>
        <w:rPr>
          <w:i/>
          <w:sz w:val="23"/>
          <w:szCs w:val="23"/>
          <w:rtl/>
        </w:rPr>
      </w:pPr>
      <w:r w:rsidRPr="00FE433F">
        <w:rPr>
          <w:i/>
          <w:sz w:val="23"/>
          <w:szCs w:val="23"/>
          <w:rtl/>
        </w:rPr>
        <w:t>در 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فصل</w:t>
      </w:r>
      <w:r w:rsidRPr="00FE433F">
        <w:rPr>
          <w:i/>
          <w:sz w:val="23"/>
          <w:szCs w:val="23"/>
          <w:rtl/>
        </w:rPr>
        <w:t xml:space="preserve"> </w:t>
      </w:r>
      <w:r w:rsidRPr="00FE433F">
        <w:rPr>
          <w:rFonts w:hint="eastAsia"/>
          <w:i/>
          <w:sz w:val="23"/>
          <w:szCs w:val="23"/>
          <w:rtl/>
        </w:rPr>
        <w:t>نقش</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اق</w:t>
      </w:r>
      <w:r w:rsidRPr="00FE433F">
        <w:rPr>
          <w:i/>
          <w:sz w:val="23"/>
          <w:szCs w:val="23"/>
          <w:rtl/>
        </w:rPr>
        <w:t>تصاد کلان را مورد بررس</w:t>
      </w:r>
      <w:r w:rsidRPr="00FE433F">
        <w:rPr>
          <w:rFonts w:hint="cs"/>
          <w:i/>
          <w:sz w:val="23"/>
          <w:szCs w:val="23"/>
          <w:rtl/>
        </w:rPr>
        <w:t>ی</w:t>
      </w:r>
      <w:r w:rsidRPr="00FE433F">
        <w:rPr>
          <w:i/>
          <w:sz w:val="23"/>
          <w:szCs w:val="23"/>
          <w:rtl/>
        </w:rPr>
        <w:t xml:space="preserve"> قرار م</w:t>
      </w:r>
      <w:r w:rsidRPr="00FE433F">
        <w:rPr>
          <w:rFonts w:hint="cs"/>
          <w:i/>
          <w:sz w:val="23"/>
          <w:szCs w:val="23"/>
          <w:rtl/>
        </w:rPr>
        <w:t>ی</w:t>
      </w:r>
      <w:r w:rsidRPr="00FE433F">
        <w:rPr>
          <w:i/>
          <w:sz w:val="23"/>
          <w:szCs w:val="23"/>
          <w:rtl/>
        </w:rPr>
        <w:softHyphen/>
        <w:t>ده</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معرف</w:t>
      </w:r>
      <w:r w:rsidRPr="00FE433F">
        <w:rPr>
          <w:rFonts w:hint="cs"/>
          <w:i/>
          <w:sz w:val="23"/>
          <w:szCs w:val="23"/>
          <w:rtl/>
        </w:rPr>
        <w:t>ی</w:t>
      </w:r>
      <w:r w:rsidRPr="00FE433F">
        <w:rPr>
          <w:i/>
          <w:sz w:val="23"/>
          <w:szCs w:val="23"/>
          <w:rtl/>
        </w:rPr>
        <w:t xml:space="preserve"> </w:t>
      </w:r>
      <w:r w:rsidRPr="00FE433F">
        <w:rPr>
          <w:rFonts w:hint="eastAsia"/>
          <w:i/>
          <w:sz w:val="23"/>
          <w:szCs w:val="23"/>
          <w:rtl/>
        </w:rPr>
        <w:t>پ</w:t>
      </w:r>
      <w:r w:rsidRPr="00FE433F">
        <w:rPr>
          <w:i/>
          <w:sz w:val="23"/>
          <w:szCs w:val="23"/>
          <w:rtl/>
        </w:rPr>
        <w:t>ول در اقتصاد</w:t>
      </w:r>
      <w:r w:rsidRPr="00FE433F">
        <w:rPr>
          <w:rFonts w:hint="cs"/>
          <w:i/>
          <w:sz w:val="23"/>
          <w:szCs w:val="23"/>
          <w:rtl/>
        </w:rPr>
        <w:t>،</w:t>
      </w:r>
      <w:r w:rsidRPr="00FE433F">
        <w:rPr>
          <w:i/>
          <w:sz w:val="23"/>
          <w:szCs w:val="23"/>
          <w:rtl/>
        </w:rPr>
        <w:t xml:space="preserve"> امکان </w:t>
      </w:r>
      <w:r w:rsidRPr="00FE433F">
        <w:rPr>
          <w:rFonts w:hint="eastAsia"/>
          <w:i/>
          <w:sz w:val="23"/>
          <w:szCs w:val="23"/>
          <w:rtl/>
        </w:rPr>
        <w:t>تجز</w:t>
      </w:r>
      <w:r w:rsidRPr="00FE433F">
        <w:rPr>
          <w:rFonts w:hint="cs"/>
          <w:i/>
          <w:sz w:val="23"/>
          <w:szCs w:val="23"/>
          <w:rtl/>
        </w:rPr>
        <w:t>ی</w:t>
      </w:r>
      <w:r w:rsidRPr="00FE433F">
        <w:rPr>
          <w:rFonts w:hint="eastAsia"/>
          <w:i/>
          <w:sz w:val="23"/>
          <w:szCs w:val="23"/>
          <w:rtl/>
        </w:rPr>
        <w:t>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تحل</w:t>
      </w:r>
      <w:r w:rsidRPr="00FE433F">
        <w:rPr>
          <w:rFonts w:hint="cs"/>
          <w:i/>
          <w:sz w:val="23"/>
          <w:szCs w:val="23"/>
          <w:rtl/>
        </w:rPr>
        <w:t>ی</w:t>
      </w:r>
      <w:r w:rsidRPr="00FE433F">
        <w:rPr>
          <w:rFonts w:hint="eastAsia"/>
          <w:i/>
          <w:sz w:val="23"/>
          <w:szCs w:val="23"/>
          <w:rtl/>
        </w:rPr>
        <w:t>ل</w:t>
      </w:r>
      <w:r w:rsidRPr="00FE433F">
        <w:rPr>
          <w:i/>
          <w:sz w:val="23"/>
          <w:szCs w:val="23"/>
          <w:rtl/>
        </w:rPr>
        <w:t xml:space="preserve"> سطح عموم</w:t>
      </w:r>
      <w:r w:rsidRPr="00FE433F">
        <w:rPr>
          <w:rFonts w:hint="cs"/>
          <w:i/>
          <w:sz w:val="23"/>
          <w:szCs w:val="23"/>
          <w:rtl/>
        </w:rPr>
        <w:t>ی</w:t>
      </w:r>
      <w:r w:rsidRPr="00FE433F">
        <w:rPr>
          <w:i/>
          <w:sz w:val="23"/>
          <w:szCs w:val="23"/>
          <w:rtl/>
        </w:rPr>
        <w:t xml:space="preserve"> ق</w:t>
      </w:r>
      <w:r w:rsidRPr="00FE433F">
        <w:rPr>
          <w:rFonts w:hint="cs"/>
          <w:i/>
          <w:sz w:val="23"/>
          <w:szCs w:val="23"/>
          <w:rtl/>
        </w:rPr>
        <w:t>ی</w:t>
      </w:r>
      <w:r w:rsidRPr="00FE433F">
        <w:rPr>
          <w:rFonts w:hint="eastAsia"/>
          <w:i/>
          <w:sz w:val="23"/>
          <w:szCs w:val="23"/>
          <w:rtl/>
        </w:rPr>
        <w:t>مت</w:t>
      </w:r>
      <w:r w:rsidRPr="00FE433F">
        <w:rPr>
          <w:i/>
          <w:sz w:val="23"/>
          <w:szCs w:val="23"/>
          <w:rtl/>
        </w:rPr>
        <w:softHyphen/>
        <w:t>ها و تورم ن</w:t>
      </w:r>
      <w:r w:rsidRPr="00FE433F">
        <w:rPr>
          <w:rFonts w:hint="cs"/>
          <w:i/>
          <w:sz w:val="23"/>
          <w:szCs w:val="23"/>
          <w:rtl/>
        </w:rPr>
        <w:t>ی</w:t>
      </w:r>
      <w:r w:rsidRPr="00FE433F">
        <w:rPr>
          <w:rFonts w:hint="eastAsia"/>
          <w:i/>
          <w:sz w:val="23"/>
          <w:szCs w:val="23"/>
          <w:rtl/>
        </w:rPr>
        <w:t>ز</w:t>
      </w:r>
      <w:r w:rsidRPr="00FE433F">
        <w:rPr>
          <w:i/>
          <w:sz w:val="23"/>
          <w:szCs w:val="23"/>
          <w:rtl/>
        </w:rPr>
        <w:t xml:space="preserve"> </w:t>
      </w:r>
      <w:r w:rsidRPr="00FE433F">
        <w:rPr>
          <w:rFonts w:hint="cs"/>
          <w:i/>
          <w:sz w:val="23"/>
          <w:szCs w:val="23"/>
          <w:rtl/>
        </w:rPr>
        <w:t xml:space="preserve">در فصل بعد </w:t>
      </w:r>
      <w:r w:rsidRPr="00FE433F">
        <w:rPr>
          <w:rFonts w:hint="eastAsia"/>
          <w:i/>
          <w:sz w:val="23"/>
          <w:szCs w:val="23"/>
          <w:rtl/>
        </w:rPr>
        <w:t>فراهم</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i/>
          <w:sz w:val="23"/>
          <w:szCs w:val="23"/>
          <w:rtl/>
        </w:rPr>
        <w:softHyphen/>
      </w:r>
      <w:r w:rsidRPr="00FE433F">
        <w:rPr>
          <w:rFonts w:hint="eastAsia"/>
          <w:i/>
          <w:sz w:val="23"/>
          <w:szCs w:val="23"/>
          <w:rtl/>
        </w:rPr>
        <w:t>شود</w:t>
      </w:r>
      <w:r w:rsidRPr="00FE433F">
        <w:rPr>
          <w:i/>
          <w:sz w:val="23"/>
          <w:szCs w:val="23"/>
          <w:rtl/>
        </w:rPr>
        <w:t>. در فصل پنجم</w:t>
      </w:r>
      <w:r w:rsidRPr="00FE433F">
        <w:rPr>
          <w:rFonts w:hint="cs"/>
          <w:i/>
          <w:sz w:val="23"/>
          <w:szCs w:val="23"/>
          <w:rtl/>
        </w:rPr>
        <w:t>،</w:t>
      </w:r>
      <w:r w:rsidRPr="00FE433F">
        <w:rPr>
          <w:i/>
          <w:sz w:val="23"/>
          <w:szCs w:val="23"/>
          <w:rtl/>
        </w:rPr>
        <w:t xml:space="preserve"> جهت ارز</w:t>
      </w:r>
      <w:r w:rsidRPr="00FE433F">
        <w:rPr>
          <w:rFonts w:hint="cs"/>
          <w:i/>
          <w:sz w:val="23"/>
          <w:szCs w:val="23"/>
          <w:rtl/>
        </w:rPr>
        <w:t>ی</w:t>
      </w:r>
      <w:r w:rsidRPr="00FE433F">
        <w:rPr>
          <w:rFonts w:hint="eastAsia"/>
          <w:i/>
          <w:sz w:val="23"/>
          <w:szCs w:val="23"/>
          <w:rtl/>
        </w:rPr>
        <w:t>اب</w:t>
      </w:r>
      <w:r w:rsidRPr="00FE433F">
        <w:rPr>
          <w:rFonts w:hint="cs"/>
          <w:i/>
          <w:sz w:val="23"/>
          <w:szCs w:val="23"/>
          <w:rtl/>
        </w:rPr>
        <w:t>ی</w:t>
      </w:r>
      <w:r w:rsidRPr="00FE433F">
        <w:rPr>
          <w:i/>
          <w:sz w:val="23"/>
          <w:szCs w:val="23"/>
          <w:rtl/>
        </w:rPr>
        <w:t xml:space="preserve"> س</w:t>
      </w:r>
      <w:r w:rsidRPr="00FE433F">
        <w:rPr>
          <w:rFonts w:hint="cs"/>
          <w:i/>
          <w:sz w:val="23"/>
          <w:szCs w:val="23"/>
          <w:rtl/>
        </w:rPr>
        <w:t>ی</w:t>
      </w:r>
      <w:r w:rsidRPr="00FE433F">
        <w:rPr>
          <w:rFonts w:hint="eastAsia"/>
          <w:i/>
          <w:sz w:val="23"/>
          <w:szCs w:val="23"/>
          <w:rtl/>
        </w:rPr>
        <w:t>است‌ها</w:t>
      </w:r>
      <w:r w:rsidRPr="00FE433F">
        <w:rPr>
          <w:rFonts w:hint="cs"/>
          <w:i/>
          <w:sz w:val="23"/>
          <w:szCs w:val="23"/>
          <w:rtl/>
        </w:rPr>
        <w:t>ی</w:t>
      </w:r>
      <w:r w:rsidRPr="00FE433F">
        <w:rPr>
          <w:i/>
          <w:sz w:val="23"/>
          <w:szCs w:val="23"/>
          <w:rtl/>
        </w:rPr>
        <w:t xml:space="preserve"> مال</w:t>
      </w:r>
      <w:r w:rsidRPr="00FE433F">
        <w:rPr>
          <w:rFonts w:hint="cs"/>
          <w:i/>
          <w:sz w:val="23"/>
          <w:szCs w:val="23"/>
          <w:rtl/>
        </w:rPr>
        <w:t>ی</w:t>
      </w:r>
      <w:r w:rsidRPr="00FE433F">
        <w:rPr>
          <w:rFonts w:hint="eastAsia"/>
          <w:i/>
          <w:sz w:val="23"/>
          <w:szCs w:val="23"/>
          <w:rtl/>
        </w:rPr>
        <w:t>،</w:t>
      </w:r>
      <w:r w:rsidRPr="00FE433F">
        <w:rPr>
          <w:i/>
          <w:sz w:val="23"/>
          <w:szCs w:val="23"/>
          <w:rtl/>
        </w:rPr>
        <w:t xml:space="preserve"> با ارائه</w:t>
      </w:r>
      <w:r w:rsidRPr="00FE433F">
        <w:rPr>
          <w:i/>
          <w:sz w:val="23"/>
          <w:szCs w:val="23"/>
        </w:rPr>
        <w:softHyphen/>
      </w:r>
      <w:r w:rsidRPr="00FE433F">
        <w:rPr>
          <w:rFonts w:hint="cs"/>
          <w:i/>
          <w:sz w:val="23"/>
          <w:szCs w:val="23"/>
          <w:rtl/>
        </w:rPr>
        <w:t>ی</w:t>
      </w:r>
      <w:r w:rsidRPr="00FE433F">
        <w:rPr>
          <w:i/>
          <w:sz w:val="23"/>
          <w:szCs w:val="23"/>
          <w:rtl/>
        </w:rPr>
        <w:t xml:space="preserve"> ق</w:t>
      </w:r>
      <w:r w:rsidRPr="00FE433F">
        <w:rPr>
          <w:rFonts w:hint="cs"/>
          <w:i/>
          <w:sz w:val="23"/>
          <w:szCs w:val="23"/>
          <w:rtl/>
        </w:rPr>
        <w:t>ی</w:t>
      </w:r>
      <w:r w:rsidRPr="00FE433F">
        <w:rPr>
          <w:rFonts w:hint="eastAsia"/>
          <w:i/>
          <w:sz w:val="23"/>
          <w:szCs w:val="23"/>
          <w:rtl/>
        </w:rPr>
        <w:t>د</w:t>
      </w:r>
      <w:r w:rsidRPr="00FE433F">
        <w:rPr>
          <w:i/>
          <w:sz w:val="23"/>
          <w:szCs w:val="23"/>
          <w:rtl/>
        </w:rPr>
        <w:t xml:space="preserve"> بودجه</w:t>
      </w:r>
      <w:r w:rsidRPr="00FE433F">
        <w:rPr>
          <w:i/>
          <w:sz w:val="23"/>
          <w:szCs w:val="23"/>
        </w:rPr>
        <w:softHyphen/>
      </w:r>
      <w:r w:rsidRPr="00FE433F">
        <w:rPr>
          <w:rFonts w:hint="cs"/>
          <w:i/>
          <w:sz w:val="23"/>
          <w:szCs w:val="23"/>
          <w:rtl/>
        </w:rPr>
        <w:t>ی</w:t>
      </w:r>
      <w:r w:rsidRPr="00FE433F">
        <w:rPr>
          <w:i/>
          <w:sz w:val="23"/>
          <w:szCs w:val="23"/>
          <w:rtl/>
        </w:rPr>
        <w:t xml:space="preserve"> دولت </w:t>
      </w:r>
      <w:r w:rsidRPr="00FE433F">
        <w:rPr>
          <w:rFonts w:hint="cs"/>
          <w:i/>
          <w:sz w:val="23"/>
          <w:szCs w:val="23"/>
          <w:rtl/>
        </w:rPr>
        <w:t xml:space="preserve">فرض </w:t>
      </w:r>
      <w:r w:rsidRPr="00FE433F">
        <w:rPr>
          <w:i/>
          <w:sz w:val="23"/>
          <w:szCs w:val="23"/>
          <w:rtl/>
        </w:rPr>
        <w:t>کرد</w:t>
      </w:r>
      <w:r w:rsidRPr="00FE433F">
        <w:rPr>
          <w:rFonts w:hint="cs"/>
          <w:i/>
          <w:sz w:val="23"/>
          <w:szCs w:val="23"/>
          <w:rtl/>
        </w:rPr>
        <w:t>ی</w:t>
      </w:r>
      <w:r w:rsidRPr="00FE433F">
        <w:rPr>
          <w:rFonts w:hint="eastAsia"/>
          <w:i/>
          <w:sz w:val="23"/>
          <w:szCs w:val="23"/>
          <w:rtl/>
        </w:rPr>
        <w:t>م دو</w:t>
      </w:r>
      <w:r w:rsidRPr="00FE433F">
        <w:rPr>
          <w:i/>
          <w:sz w:val="23"/>
          <w:szCs w:val="23"/>
          <w:rtl/>
        </w:rPr>
        <w:t xml:space="preserve"> متغ</w:t>
      </w:r>
      <w:r w:rsidRPr="00FE433F">
        <w:rPr>
          <w:rFonts w:hint="cs"/>
          <w:i/>
          <w:sz w:val="23"/>
          <w:szCs w:val="23"/>
          <w:rtl/>
        </w:rPr>
        <w:t>ی</w:t>
      </w:r>
      <w:r w:rsidRPr="00FE433F">
        <w:rPr>
          <w:rFonts w:hint="eastAsia"/>
          <w:i/>
          <w:sz w:val="23"/>
          <w:szCs w:val="23"/>
          <w:rtl/>
        </w:rPr>
        <w:t>ر</w:t>
      </w:r>
      <w:r w:rsidRPr="00FE433F">
        <w:rPr>
          <w:i/>
          <w:sz w:val="23"/>
          <w:szCs w:val="23"/>
          <w:rtl/>
        </w:rPr>
        <w:t xml:space="preserve"> پول و سطح </w:t>
      </w:r>
      <w:r w:rsidRPr="00FE433F">
        <w:rPr>
          <w:rFonts w:hint="eastAsia"/>
          <w:i/>
          <w:sz w:val="23"/>
          <w:szCs w:val="23"/>
          <w:rtl/>
        </w:rPr>
        <w:t>عموم</w:t>
      </w:r>
      <w:r w:rsidRPr="00FE433F">
        <w:rPr>
          <w:rFonts w:hint="cs"/>
          <w:i/>
          <w:sz w:val="23"/>
          <w:szCs w:val="23"/>
          <w:rtl/>
        </w:rPr>
        <w:t>ی</w:t>
      </w:r>
      <w:r w:rsidRPr="00FE433F">
        <w:rPr>
          <w:i/>
          <w:sz w:val="23"/>
          <w:szCs w:val="23"/>
          <w:rtl/>
        </w:rPr>
        <w:t xml:space="preserve"> ق</w:t>
      </w:r>
      <w:r w:rsidRPr="00FE433F">
        <w:rPr>
          <w:rFonts w:hint="cs"/>
          <w:i/>
          <w:sz w:val="23"/>
          <w:szCs w:val="23"/>
          <w:rtl/>
        </w:rPr>
        <w:t>ی</w:t>
      </w:r>
      <w:r w:rsidRPr="00FE433F">
        <w:rPr>
          <w:rFonts w:hint="eastAsia"/>
          <w:i/>
          <w:sz w:val="23"/>
          <w:szCs w:val="23"/>
          <w:rtl/>
        </w:rPr>
        <w:t>مت</w:t>
      </w:r>
      <w:r w:rsidRPr="00FE433F">
        <w:rPr>
          <w:i/>
          <w:sz w:val="23"/>
          <w:szCs w:val="23"/>
          <w:rtl/>
        </w:rPr>
        <w:t>‌ه</w:t>
      </w:r>
      <w:r w:rsidRPr="00FE433F">
        <w:rPr>
          <w:rFonts w:hint="eastAsia"/>
          <w:i/>
          <w:sz w:val="23"/>
          <w:szCs w:val="23"/>
          <w:rtl/>
        </w:rPr>
        <w:t>ا</w:t>
      </w:r>
      <w:r w:rsidRPr="00FE433F">
        <w:rPr>
          <w:i/>
          <w:sz w:val="23"/>
          <w:szCs w:val="23"/>
        </w:rPr>
        <w:t xml:space="preserve"> </w:t>
      </w:r>
      <w:r w:rsidRPr="00FE433F">
        <w:rPr>
          <w:rFonts w:hint="cs"/>
          <w:i/>
          <w:sz w:val="23"/>
          <w:szCs w:val="23"/>
          <w:rtl/>
        </w:rPr>
        <w:t xml:space="preserve"> در مدل اقتصادی ثابت</w:t>
      </w:r>
      <w:r w:rsidRPr="00FE433F">
        <w:rPr>
          <w:i/>
          <w:sz w:val="23"/>
          <w:szCs w:val="23"/>
          <w:rtl/>
        </w:rPr>
        <w:softHyphen/>
      </w:r>
      <w:r w:rsidRPr="00FE433F">
        <w:rPr>
          <w:rFonts w:hint="cs"/>
          <w:i/>
          <w:sz w:val="23"/>
          <w:szCs w:val="23"/>
          <w:rtl/>
        </w:rPr>
        <w:t xml:space="preserve"> می</w:t>
      </w:r>
      <w:r w:rsidRPr="00FE433F">
        <w:rPr>
          <w:i/>
          <w:sz w:val="23"/>
          <w:szCs w:val="23"/>
          <w:rtl/>
        </w:rPr>
        <w:softHyphen/>
      </w:r>
      <w:r w:rsidRPr="00FE433F">
        <w:rPr>
          <w:rFonts w:hint="cs"/>
          <w:i/>
          <w:sz w:val="23"/>
          <w:szCs w:val="23"/>
          <w:rtl/>
        </w:rPr>
        <w:t>باشند</w:t>
      </w:r>
      <w:r w:rsidRPr="00FE433F">
        <w:rPr>
          <w:i/>
          <w:sz w:val="23"/>
          <w:szCs w:val="23"/>
          <w:rtl/>
        </w:rPr>
        <w:t>. همچن</w:t>
      </w:r>
      <w:r w:rsidRPr="00FE433F">
        <w:rPr>
          <w:rFonts w:hint="cs"/>
          <w:i/>
          <w:sz w:val="23"/>
          <w:szCs w:val="23"/>
          <w:rtl/>
        </w:rPr>
        <w:t>ی</w:t>
      </w:r>
      <w:r w:rsidRPr="00FE433F">
        <w:rPr>
          <w:i/>
          <w:sz w:val="23"/>
          <w:szCs w:val="23"/>
          <w:rtl/>
        </w:rPr>
        <w:t xml:space="preserve">ن در فصل هفتم و در مبحث نرخ ارز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و رابطه</w:t>
      </w:r>
      <w:r w:rsidRPr="00FE433F">
        <w:rPr>
          <w:i/>
          <w:sz w:val="23"/>
          <w:szCs w:val="23"/>
          <w:rtl/>
        </w:rPr>
        <w:softHyphen/>
      </w:r>
      <w:r w:rsidRPr="00FE433F">
        <w:rPr>
          <w:rFonts w:hint="cs"/>
          <w:i/>
          <w:sz w:val="23"/>
          <w:szCs w:val="23"/>
          <w:rtl/>
        </w:rPr>
        <w:t>ی</w:t>
      </w:r>
      <w:r w:rsidRPr="00FE433F">
        <w:rPr>
          <w:i/>
          <w:sz w:val="23"/>
          <w:szCs w:val="23"/>
          <w:rtl/>
        </w:rPr>
        <w:t xml:space="preserve"> مبادله</w:t>
      </w:r>
      <w:r w:rsidRPr="00FE433F">
        <w:rPr>
          <w:rFonts w:hint="cs"/>
          <w:i/>
          <w:sz w:val="23"/>
          <w:szCs w:val="23"/>
          <w:rtl/>
        </w:rPr>
        <w:t>،</w:t>
      </w:r>
      <w:r w:rsidRPr="00FE433F">
        <w:rPr>
          <w:i/>
          <w:sz w:val="23"/>
          <w:szCs w:val="23"/>
          <w:rtl/>
        </w:rPr>
        <w:t xml:space="preserve"> ق</w:t>
      </w:r>
      <w:r w:rsidRPr="00FE433F">
        <w:rPr>
          <w:rFonts w:hint="cs"/>
          <w:i/>
          <w:sz w:val="23"/>
          <w:szCs w:val="23"/>
          <w:rtl/>
        </w:rPr>
        <w:t>ی</w:t>
      </w:r>
      <w:r w:rsidRPr="00FE433F">
        <w:rPr>
          <w:rFonts w:hint="eastAsia"/>
          <w:i/>
          <w:sz w:val="23"/>
          <w:szCs w:val="23"/>
          <w:rtl/>
        </w:rPr>
        <w:t>مت</w:t>
      </w:r>
      <w:r w:rsidRPr="00FE433F">
        <w:rPr>
          <w:i/>
          <w:sz w:val="23"/>
          <w:szCs w:val="23"/>
          <w:rtl/>
        </w:rPr>
        <w:t>‌ها</w:t>
      </w:r>
      <w:r w:rsidRPr="00FE433F">
        <w:rPr>
          <w:rFonts w:hint="cs"/>
          <w:i/>
          <w:sz w:val="23"/>
          <w:szCs w:val="23"/>
          <w:rtl/>
        </w:rPr>
        <w:t>ی</w:t>
      </w:r>
      <w:r w:rsidRPr="00FE433F">
        <w:rPr>
          <w:i/>
          <w:sz w:val="23"/>
          <w:szCs w:val="23"/>
          <w:rtl/>
        </w:rPr>
        <w:t xml:space="preserve"> نسب</w:t>
      </w:r>
      <w:r w:rsidRPr="00FE433F">
        <w:rPr>
          <w:rFonts w:hint="cs"/>
          <w:i/>
          <w:sz w:val="23"/>
          <w:szCs w:val="23"/>
          <w:rtl/>
        </w:rPr>
        <w:t>ی</w:t>
      </w:r>
      <w:r w:rsidRPr="00FE433F">
        <w:rPr>
          <w:i/>
          <w:sz w:val="23"/>
          <w:szCs w:val="23"/>
          <w:rtl/>
        </w:rPr>
        <w:t xml:space="preserve"> را مورد توجه قرار داد</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فصل</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تقاضا</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اعتبار</w:t>
      </w:r>
      <w:r w:rsidRPr="00FE433F">
        <w:rPr>
          <w:i/>
          <w:sz w:val="23"/>
          <w:szCs w:val="23"/>
          <w:rtl/>
        </w:rPr>
        <w:t xml:space="preserve"> </w:t>
      </w:r>
      <w:r w:rsidRPr="00FE433F">
        <w:rPr>
          <w:rFonts w:hint="cs"/>
          <w:i/>
          <w:sz w:val="23"/>
          <w:szCs w:val="23"/>
          <w:rtl/>
        </w:rPr>
        <w:t xml:space="preserve">توسط کارگزار نمونه </w:t>
      </w:r>
      <w:r w:rsidRPr="00FE433F">
        <w:rPr>
          <w:rFonts w:hint="eastAsia"/>
          <w:i/>
          <w:sz w:val="23"/>
          <w:szCs w:val="23"/>
          <w:rtl/>
        </w:rPr>
        <w:t>و</w:t>
      </w:r>
      <w:r w:rsidRPr="00FE433F">
        <w:rPr>
          <w:i/>
          <w:sz w:val="23"/>
          <w:szCs w:val="23"/>
          <w:rtl/>
        </w:rPr>
        <w:t xml:space="preserve"> </w:t>
      </w:r>
      <w:r w:rsidRPr="00FE433F">
        <w:rPr>
          <w:rFonts w:hint="eastAsia"/>
          <w:i/>
          <w:sz w:val="23"/>
          <w:szCs w:val="23"/>
          <w:rtl/>
        </w:rPr>
        <w:t>برخ</w:t>
      </w:r>
      <w:r w:rsidRPr="00FE433F">
        <w:rPr>
          <w:rFonts w:hint="cs"/>
          <w:i/>
          <w:sz w:val="23"/>
          <w:szCs w:val="23"/>
          <w:rtl/>
        </w:rPr>
        <w:t>ی</w:t>
      </w:r>
      <w:r w:rsidRPr="00FE433F">
        <w:rPr>
          <w:i/>
          <w:sz w:val="23"/>
          <w:szCs w:val="23"/>
          <w:rtl/>
        </w:rPr>
        <w:t xml:space="preserve"> </w:t>
      </w:r>
      <w:r w:rsidRPr="00FE433F">
        <w:rPr>
          <w:rFonts w:hint="eastAsia"/>
          <w:i/>
          <w:sz w:val="23"/>
          <w:szCs w:val="23"/>
          <w:rtl/>
        </w:rPr>
        <w:t>پ</w:t>
      </w:r>
      <w:r w:rsidRPr="00FE433F">
        <w:rPr>
          <w:rFonts w:hint="cs"/>
          <w:i/>
          <w:sz w:val="23"/>
          <w:szCs w:val="23"/>
          <w:rtl/>
        </w:rPr>
        <w:t>ی</w:t>
      </w:r>
      <w:r w:rsidRPr="00FE433F">
        <w:rPr>
          <w:rFonts w:hint="eastAsia"/>
          <w:i/>
          <w:sz w:val="23"/>
          <w:szCs w:val="23"/>
          <w:rtl/>
        </w:rPr>
        <w:t>امدها</w:t>
      </w:r>
      <w:r w:rsidRPr="00FE433F">
        <w:rPr>
          <w:rFonts w:hint="cs"/>
          <w:i/>
          <w:sz w:val="23"/>
          <w:szCs w:val="23"/>
          <w:rtl/>
        </w:rPr>
        <w:t>ی</w:t>
      </w:r>
      <w:r w:rsidRPr="00FE433F">
        <w:rPr>
          <w:i/>
          <w:sz w:val="23"/>
          <w:szCs w:val="23"/>
          <w:rtl/>
        </w:rPr>
        <w:t xml:space="preserve"> آن در اقتصاد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اشاره کرد</w:t>
      </w:r>
      <w:r w:rsidRPr="00FE433F">
        <w:rPr>
          <w:rFonts w:hint="eastAsia"/>
          <w:i/>
          <w:sz w:val="23"/>
          <w:szCs w:val="23"/>
          <w:rtl/>
        </w:rPr>
        <w:t>ه</w:t>
      </w:r>
      <w:r w:rsidRPr="00FE433F">
        <w:rPr>
          <w:i/>
          <w:sz w:val="23"/>
          <w:szCs w:val="23"/>
          <w:rtl/>
        </w:rPr>
        <w:t xml:space="preserve"> </w:t>
      </w:r>
      <w:r w:rsidRPr="00FE433F">
        <w:rPr>
          <w:rFonts w:hint="eastAsia"/>
          <w:i/>
          <w:sz w:val="23"/>
          <w:szCs w:val="23"/>
          <w:rtl/>
        </w:rPr>
        <w:t>و</w:t>
      </w:r>
      <w:r w:rsidRPr="00FE433F">
        <w:rPr>
          <w:i/>
          <w:sz w:val="23"/>
          <w:szCs w:val="23"/>
          <w:rtl/>
        </w:rPr>
        <w:t xml:space="preserve"> رابطه</w:t>
      </w:r>
      <w:r w:rsidRPr="00FE433F">
        <w:rPr>
          <w:i/>
          <w:sz w:val="23"/>
          <w:szCs w:val="23"/>
          <w:rtl/>
        </w:rPr>
        <w:softHyphen/>
      </w:r>
      <w:r w:rsidRPr="00FE433F">
        <w:rPr>
          <w:rFonts w:hint="cs"/>
          <w:i/>
          <w:sz w:val="23"/>
          <w:szCs w:val="23"/>
          <w:rtl/>
        </w:rPr>
        <w:t>ی</w:t>
      </w:r>
      <w:r w:rsidRPr="00FE433F">
        <w:rPr>
          <w:i/>
          <w:sz w:val="23"/>
          <w:szCs w:val="23"/>
          <w:rtl/>
        </w:rPr>
        <w:t xml:space="preserve"> ب</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تورم</w:t>
      </w:r>
      <w:r w:rsidRPr="00FE433F">
        <w:rPr>
          <w:i/>
          <w:sz w:val="23"/>
          <w:szCs w:val="23"/>
          <w:rtl/>
        </w:rPr>
        <w:t xml:space="preserve"> </w:t>
      </w:r>
      <w:r w:rsidRPr="00FE433F">
        <w:rPr>
          <w:rFonts w:hint="eastAsia"/>
          <w:i/>
          <w:sz w:val="23"/>
          <w:szCs w:val="23"/>
          <w:rtl/>
        </w:rPr>
        <w:t>را</w:t>
      </w:r>
      <w:r w:rsidRPr="00FE433F">
        <w:rPr>
          <w:rFonts w:hint="cs"/>
          <w:i/>
          <w:sz w:val="23"/>
          <w:szCs w:val="23"/>
          <w:rtl/>
        </w:rPr>
        <w:t xml:space="preserve"> </w:t>
      </w:r>
      <w:r w:rsidRPr="00FE433F">
        <w:rPr>
          <w:i/>
          <w:sz w:val="23"/>
          <w:szCs w:val="23"/>
          <w:rtl/>
        </w:rPr>
        <w:t>بررس</w:t>
      </w:r>
      <w:r w:rsidRPr="00FE433F">
        <w:rPr>
          <w:rFonts w:hint="cs"/>
          <w:i/>
          <w:sz w:val="23"/>
          <w:szCs w:val="23"/>
          <w:rtl/>
        </w:rPr>
        <w:t>ی</w:t>
      </w:r>
      <w:r w:rsidRPr="00FE433F">
        <w:rPr>
          <w:i/>
          <w:sz w:val="23"/>
          <w:szCs w:val="23"/>
          <w:rtl/>
        </w:rPr>
        <w:t xml:space="preserve"> خواه</w:t>
      </w:r>
      <w:r w:rsidRPr="00FE433F">
        <w:rPr>
          <w:rFonts w:hint="cs"/>
          <w:i/>
          <w:sz w:val="23"/>
          <w:szCs w:val="23"/>
          <w:rtl/>
        </w:rPr>
        <w:t>ی</w:t>
      </w:r>
      <w:r w:rsidRPr="00FE433F">
        <w:rPr>
          <w:rFonts w:hint="eastAsia"/>
          <w:i/>
          <w:sz w:val="23"/>
          <w:szCs w:val="23"/>
          <w:rtl/>
        </w:rPr>
        <w:t>م</w:t>
      </w:r>
      <w:r w:rsidRPr="00FE433F">
        <w:rPr>
          <w:rFonts w:hint="cs"/>
          <w:i/>
          <w:sz w:val="23"/>
          <w:szCs w:val="23"/>
          <w:rtl/>
        </w:rPr>
        <w:t xml:space="preserve"> کرد. </w:t>
      </w:r>
    </w:p>
    <w:p w14:paraId="23E12B4F" w14:textId="77777777" w:rsidR="00411620" w:rsidRDefault="00411620" w:rsidP="00411620">
      <w:pPr>
        <w:spacing w:line="216" w:lineRule="auto"/>
        <w:rPr>
          <w:i/>
          <w:sz w:val="23"/>
          <w:szCs w:val="23"/>
          <w:rtl/>
        </w:rPr>
      </w:pPr>
      <w:r w:rsidRPr="00FE433F">
        <w:rPr>
          <w:i/>
          <w:sz w:val="23"/>
          <w:szCs w:val="23"/>
          <w:rtl/>
        </w:rPr>
        <w:t>ابتدا تار</w:t>
      </w:r>
      <w:r w:rsidRPr="00FE433F">
        <w:rPr>
          <w:rFonts w:hint="cs"/>
          <w:i/>
          <w:sz w:val="23"/>
          <w:szCs w:val="23"/>
          <w:rtl/>
        </w:rPr>
        <w:t>ی</w:t>
      </w:r>
      <w:r w:rsidRPr="00FE433F">
        <w:rPr>
          <w:rFonts w:hint="eastAsia"/>
          <w:i/>
          <w:sz w:val="23"/>
          <w:szCs w:val="23"/>
          <w:rtl/>
        </w:rPr>
        <w:t>خچه</w:t>
      </w:r>
      <w:r w:rsidRPr="00FE433F">
        <w:rPr>
          <w:i/>
          <w:sz w:val="23"/>
          <w:szCs w:val="23"/>
          <w:rtl/>
        </w:rPr>
        <w:softHyphen/>
      </w:r>
      <w:r w:rsidRPr="00FE433F">
        <w:rPr>
          <w:rFonts w:hint="cs"/>
          <w:i/>
          <w:sz w:val="23"/>
          <w:szCs w:val="23"/>
          <w:rtl/>
        </w:rPr>
        <w:t>ی</w:t>
      </w:r>
      <w:r w:rsidRPr="00FE433F">
        <w:rPr>
          <w:i/>
          <w:sz w:val="23"/>
          <w:szCs w:val="23"/>
          <w:rtl/>
        </w:rPr>
        <w:t xml:space="preserve"> مختصر</w:t>
      </w:r>
      <w:r w:rsidRPr="00FE433F">
        <w:rPr>
          <w:rFonts w:hint="cs"/>
          <w:i/>
          <w:sz w:val="23"/>
          <w:szCs w:val="23"/>
          <w:rtl/>
        </w:rPr>
        <w:t>ی</w:t>
      </w:r>
      <w:r w:rsidRPr="00FE433F">
        <w:rPr>
          <w:i/>
          <w:sz w:val="23"/>
          <w:szCs w:val="23"/>
          <w:rtl/>
        </w:rPr>
        <w:t xml:space="preserve"> از پول و نقش آن در اقتصاد را ارائه، و سپس دلائل ظهور پول در اقتصاد و حرکت </w:t>
      </w:r>
      <w:r w:rsidRPr="00FE433F">
        <w:rPr>
          <w:rFonts w:hint="eastAsia"/>
          <w:i/>
          <w:sz w:val="23"/>
          <w:szCs w:val="23"/>
          <w:rtl/>
        </w:rPr>
        <w:t>به</w:t>
      </w:r>
      <w:r w:rsidRPr="00FE433F">
        <w:rPr>
          <w:i/>
          <w:sz w:val="23"/>
          <w:szCs w:val="23"/>
          <w:rtl/>
        </w:rPr>
        <w:t xml:space="preserve"> </w:t>
      </w:r>
      <w:r w:rsidRPr="00FE433F">
        <w:rPr>
          <w:rFonts w:hint="eastAsia"/>
          <w:i/>
          <w:sz w:val="23"/>
          <w:szCs w:val="23"/>
          <w:rtl/>
        </w:rPr>
        <w:t>سمت</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سو</w:t>
      </w:r>
      <w:r w:rsidRPr="00FE433F">
        <w:rPr>
          <w:rFonts w:hint="cs"/>
          <w:i/>
          <w:sz w:val="23"/>
          <w:szCs w:val="23"/>
          <w:rtl/>
        </w:rPr>
        <w:t>ی</w:t>
      </w:r>
      <w:r w:rsidRPr="00FE433F">
        <w:rPr>
          <w:i/>
          <w:sz w:val="23"/>
          <w:szCs w:val="23"/>
          <w:rtl/>
        </w:rPr>
        <w:t xml:space="preserve"> اقتصاد غ</w:t>
      </w:r>
      <w:r w:rsidRPr="00FE433F">
        <w:rPr>
          <w:rFonts w:hint="cs"/>
          <w:i/>
          <w:sz w:val="23"/>
          <w:szCs w:val="23"/>
          <w:rtl/>
        </w:rPr>
        <w:t>ی</w:t>
      </w:r>
      <w:r w:rsidRPr="00FE433F">
        <w:rPr>
          <w:rFonts w:hint="eastAsia"/>
          <w:i/>
          <w:sz w:val="23"/>
          <w:szCs w:val="23"/>
          <w:rtl/>
        </w:rPr>
        <w:t>رپول</w:t>
      </w:r>
      <w:r w:rsidRPr="00FE433F">
        <w:rPr>
          <w:rFonts w:hint="cs"/>
          <w:i/>
          <w:sz w:val="23"/>
          <w:szCs w:val="23"/>
          <w:rtl/>
        </w:rPr>
        <w:t xml:space="preserve">ی یا همان </w:t>
      </w:r>
      <w:r w:rsidRPr="00FE433F">
        <w:rPr>
          <w:rFonts w:hint="eastAsia"/>
          <w:i/>
          <w:sz w:val="23"/>
          <w:szCs w:val="23"/>
          <w:rtl/>
        </w:rPr>
        <w:t>غ</w:t>
      </w:r>
      <w:r w:rsidRPr="00FE433F">
        <w:rPr>
          <w:rFonts w:hint="cs"/>
          <w:i/>
          <w:sz w:val="23"/>
          <w:szCs w:val="23"/>
          <w:rtl/>
        </w:rPr>
        <w:t>ی</w:t>
      </w:r>
      <w:r w:rsidRPr="00FE433F">
        <w:rPr>
          <w:rFonts w:hint="eastAsia"/>
          <w:i/>
          <w:sz w:val="23"/>
          <w:szCs w:val="23"/>
          <w:rtl/>
        </w:rPr>
        <w:t>رنقد</w:t>
      </w:r>
      <w:r w:rsidRPr="00FE433F">
        <w:rPr>
          <w:rFonts w:hint="cs"/>
          <w:i/>
          <w:sz w:val="23"/>
          <w:szCs w:val="23"/>
          <w:rtl/>
        </w:rPr>
        <w:t>ی</w:t>
      </w:r>
      <w:r w:rsidRPr="00FE433F">
        <w:rPr>
          <w:rStyle w:val="FootnoteReference"/>
          <w:rFonts w:eastAsiaTheme="majorEastAsia"/>
          <w:i/>
          <w:sz w:val="23"/>
          <w:szCs w:val="23"/>
          <w:rtl/>
        </w:rPr>
        <w:footnoteReference w:id="191"/>
      </w:r>
      <w:r w:rsidRPr="00FE433F">
        <w:rPr>
          <w:i/>
          <w:sz w:val="23"/>
          <w:szCs w:val="23"/>
          <w:rtl/>
        </w:rPr>
        <w:t xml:space="preserve"> که اثرات ژرف و عم</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در اجرا</w:t>
      </w:r>
      <w:r w:rsidRPr="00FE433F">
        <w:rPr>
          <w:rFonts w:hint="cs"/>
          <w:i/>
          <w:sz w:val="23"/>
          <w:szCs w:val="23"/>
          <w:rtl/>
        </w:rPr>
        <w:t>ی</w:t>
      </w:r>
      <w:r w:rsidRPr="00FE433F">
        <w:rPr>
          <w:i/>
          <w:sz w:val="23"/>
          <w:szCs w:val="23"/>
          <w:rtl/>
        </w:rPr>
        <w:t xml:space="preserve"> س</w:t>
      </w:r>
      <w:r w:rsidRPr="00FE433F">
        <w:rPr>
          <w:rFonts w:hint="cs"/>
          <w:i/>
          <w:sz w:val="23"/>
          <w:szCs w:val="23"/>
          <w:rtl/>
        </w:rPr>
        <w:t>ی</w:t>
      </w:r>
      <w:r w:rsidRPr="00FE433F">
        <w:rPr>
          <w:rFonts w:hint="eastAsia"/>
          <w:i/>
          <w:sz w:val="23"/>
          <w:szCs w:val="23"/>
          <w:rtl/>
        </w:rPr>
        <w:t>است</w:t>
      </w:r>
      <w:r w:rsidRPr="00FE433F">
        <w:rPr>
          <w:i/>
          <w:sz w:val="23"/>
          <w:szCs w:val="23"/>
          <w:rtl/>
        </w:rPr>
        <w:t>‌ها</w:t>
      </w:r>
      <w:r w:rsidRPr="00FE433F">
        <w:rPr>
          <w:rFonts w:hint="cs"/>
          <w:i/>
          <w:sz w:val="23"/>
          <w:szCs w:val="23"/>
          <w:rtl/>
        </w:rPr>
        <w:t>ی</w:t>
      </w:r>
      <w:r w:rsidRPr="00FE433F">
        <w:rPr>
          <w:i/>
          <w:sz w:val="23"/>
          <w:szCs w:val="23"/>
          <w:rtl/>
        </w:rPr>
        <w:t xml:space="preserve"> پو</w:t>
      </w:r>
      <w:r w:rsidRPr="00FE433F">
        <w:rPr>
          <w:rFonts w:hint="cs"/>
          <w:i/>
          <w:sz w:val="23"/>
          <w:szCs w:val="23"/>
          <w:rtl/>
        </w:rPr>
        <w:t>لی</w:t>
      </w:r>
      <w:r w:rsidRPr="00FE433F">
        <w:rPr>
          <w:i/>
          <w:sz w:val="23"/>
          <w:szCs w:val="23"/>
          <w:rtl/>
        </w:rPr>
        <w:t xml:space="preserve"> </w:t>
      </w:r>
      <w:r w:rsidRPr="00FE433F">
        <w:rPr>
          <w:rFonts w:hint="eastAsia"/>
          <w:i/>
          <w:sz w:val="23"/>
          <w:szCs w:val="23"/>
          <w:rtl/>
        </w:rPr>
        <w:t>و</w:t>
      </w:r>
      <w:r w:rsidRPr="00FE433F">
        <w:rPr>
          <w:i/>
          <w:sz w:val="23"/>
          <w:szCs w:val="23"/>
          <w:rtl/>
        </w:rPr>
        <w:t xml:space="preserve"> تأث</w:t>
      </w:r>
      <w:r w:rsidRPr="00FE433F">
        <w:rPr>
          <w:rFonts w:hint="cs"/>
          <w:i/>
          <w:sz w:val="23"/>
          <w:szCs w:val="23"/>
          <w:rtl/>
        </w:rPr>
        <w:t>ی</w:t>
      </w:r>
      <w:r w:rsidRPr="00FE433F">
        <w:rPr>
          <w:rFonts w:hint="eastAsia"/>
          <w:i/>
          <w:sz w:val="23"/>
          <w:szCs w:val="23"/>
          <w:rtl/>
        </w:rPr>
        <w:t>ر</w:t>
      </w:r>
      <w:r w:rsidRPr="00FE433F">
        <w:rPr>
          <w:i/>
          <w:sz w:val="23"/>
          <w:szCs w:val="23"/>
          <w:rtl/>
        </w:rPr>
        <w:t xml:space="preserve"> آن بر متغ</w:t>
      </w:r>
      <w:r w:rsidRPr="00FE433F">
        <w:rPr>
          <w:rFonts w:hint="cs"/>
          <w:i/>
          <w:sz w:val="23"/>
          <w:szCs w:val="23"/>
          <w:rtl/>
        </w:rPr>
        <w:t>ی</w:t>
      </w:r>
      <w:r w:rsidRPr="00FE433F">
        <w:rPr>
          <w:rFonts w:hint="eastAsia"/>
          <w:i/>
          <w:sz w:val="23"/>
          <w:szCs w:val="23"/>
          <w:rtl/>
        </w:rPr>
        <w:t>رها</w:t>
      </w:r>
      <w:r w:rsidRPr="00FE433F">
        <w:rPr>
          <w:rFonts w:hint="cs"/>
          <w:i/>
          <w:sz w:val="23"/>
          <w:szCs w:val="23"/>
          <w:rtl/>
        </w:rPr>
        <w:t>ی</w:t>
      </w:r>
      <w:r w:rsidRPr="00FE433F">
        <w:rPr>
          <w:i/>
          <w:sz w:val="23"/>
          <w:szCs w:val="23"/>
          <w:rtl/>
        </w:rPr>
        <w:t xml:space="preserve"> اقتصاد</w:t>
      </w:r>
      <w:r w:rsidRPr="00FE433F">
        <w:rPr>
          <w:rFonts w:hint="cs"/>
          <w:i/>
          <w:sz w:val="23"/>
          <w:szCs w:val="23"/>
          <w:rtl/>
        </w:rPr>
        <w:t>ی</w:t>
      </w:r>
      <w:r w:rsidRPr="00FE433F">
        <w:rPr>
          <w:i/>
          <w:sz w:val="23"/>
          <w:szCs w:val="23"/>
          <w:rtl/>
        </w:rPr>
        <w:t xml:space="preserve"> داشته است را بررس</w:t>
      </w:r>
      <w:r w:rsidRPr="00FE433F">
        <w:rPr>
          <w:rFonts w:hint="cs"/>
          <w:i/>
          <w:sz w:val="23"/>
          <w:szCs w:val="23"/>
          <w:rtl/>
        </w:rPr>
        <w:t>ی</w:t>
      </w:r>
      <w:r w:rsidRPr="00FE433F">
        <w:rPr>
          <w:i/>
          <w:sz w:val="23"/>
          <w:szCs w:val="23"/>
          <w:rtl/>
        </w:rPr>
        <w:t xml:space="preserve"> خواه</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کرد</w:t>
      </w:r>
      <w:r w:rsidRPr="00FE433F">
        <w:rPr>
          <w:i/>
          <w:sz w:val="23"/>
          <w:szCs w:val="23"/>
          <w:rtl/>
        </w:rPr>
        <w:t xml:space="preserve">. </w:t>
      </w:r>
      <w:r w:rsidRPr="00FE433F">
        <w:rPr>
          <w:rFonts w:hint="eastAsia"/>
          <w:i/>
          <w:sz w:val="23"/>
          <w:szCs w:val="23"/>
          <w:rtl/>
        </w:rPr>
        <w:t>سپس</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تجد</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نظر</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مدل</w:t>
      </w:r>
      <w:r w:rsidRPr="00FE433F">
        <w:rPr>
          <w:i/>
          <w:sz w:val="23"/>
          <w:szCs w:val="23"/>
          <w:rtl/>
        </w:rPr>
        <w:t xml:space="preserve"> </w:t>
      </w:r>
      <w:r w:rsidRPr="00FE433F">
        <w:rPr>
          <w:rFonts w:hint="eastAsia"/>
          <w:i/>
          <w:sz w:val="23"/>
          <w:szCs w:val="23"/>
          <w:rtl/>
        </w:rPr>
        <w:t>اقتصاد</w:t>
      </w:r>
      <w:r w:rsidRPr="00FE433F">
        <w:rPr>
          <w:rFonts w:hint="cs"/>
          <w:i/>
          <w:sz w:val="23"/>
          <w:szCs w:val="23"/>
          <w:rtl/>
        </w:rPr>
        <w:t xml:space="preserve"> کلان</w:t>
      </w:r>
      <w:r w:rsidRPr="00FE433F">
        <w:rPr>
          <w:rFonts w:hint="eastAsia"/>
          <w:i/>
          <w:sz w:val="23"/>
          <w:szCs w:val="23"/>
          <w:rtl/>
        </w:rPr>
        <w:t>،</w:t>
      </w:r>
      <w:r w:rsidRPr="00FE433F">
        <w:rPr>
          <w:i/>
          <w:sz w:val="23"/>
          <w:szCs w:val="23"/>
          <w:rtl/>
        </w:rPr>
        <w:t xml:space="preserve"> امکان نگهدار</w:t>
      </w:r>
      <w:r w:rsidRPr="00FE433F">
        <w:rPr>
          <w:rFonts w:hint="cs"/>
          <w:i/>
          <w:sz w:val="23"/>
          <w:szCs w:val="23"/>
          <w:rtl/>
        </w:rPr>
        <w:t>ی</w:t>
      </w:r>
      <w:r w:rsidRPr="00FE433F">
        <w:rPr>
          <w:i/>
          <w:sz w:val="23"/>
          <w:szCs w:val="23"/>
          <w:rtl/>
        </w:rPr>
        <w:t xml:space="preserve"> پول و اعتبار را مورد بررس</w:t>
      </w:r>
      <w:r w:rsidRPr="00FE433F">
        <w:rPr>
          <w:rFonts w:hint="cs"/>
          <w:i/>
          <w:sz w:val="23"/>
          <w:szCs w:val="23"/>
          <w:rtl/>
        </w:rPr>
        <w:t>ی</w:t>
      </w:r>
      <w:r w:rsidRPr="00FE433F">
        <w:rPr>
          <w:i/>
          <w:sz w:val="23"/>
          <w:szCs w:val="23"/>
          <w:rtl/>
        </w:rPr>
        <w:t xml:space="preserve"> قرار م</w:t>
      </w:r>
      <w:r w:rsidRPr="00FE433F">
        <w:rPr>
          <w:rFonts w:hint="cs"/>
          <w:i/>
          <w:sz w:val="23"/>
          <w:szCs w:val="23"/>
          <w:rtl/>
        </w:rPr>
        <w:t>ی‌</w:t>
      </w:r>
      <w:r w:rsidRPr="00FE433F">
        <w:rPr>
          <w:i/>
          <w:sz w:val="23"/>
          <w:szCs w:val="23"/>
          <w:rtl/>
        </w:rPr>
        <w:t>ده</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خصوص</w:t>
      </w:r>
      <w:r w:rsidRPr="00FE433F">
        <w:rPr>
          <w:i/>
          <w:sz w:val="23"/>
          <w:szCs w:val="23"/>
          <w:rtl/>
        </w:rPr>
        <w:t xml:space="preserve"> </w:t>
      </w:r>
      <w:r w:rsidRPr="00FE433F">
        <w:rPr>
          <w:rFonts w:hint="eastAsia"/>
          <w:i/>
          <w:sz w:val="23"/>
          <w:szCs w:val="23"/>
          <w:rtl/>
        </w:rPr>
        <w:t>چهار</w:t>
      </w:r>
      <w:r w:rsidRPr="00FE433F">
        <w:rPr>
          <w:i/>
          <w:sz w:val="23"/>
          <w:szCs w:val="23"/>
          <w:rtl/>
        </w:rPr>
        <w:t xml:space="preserve"> </w:t>
      </w:r>
      <w:r w:rsidRPr="00FE433F">
        <w:rPr>
          <w:rFonts w:hint="eastAsia"/>
          <w:i/>
          <w:sz w:val="23"/>
          <w:szCs w:val="23"/>
          <w:rtl/>
        </w:rPr>
        <w:t>نظریه</w:t>
      </w:r>
      <w:r w:rsidRPr="00FE433F">
        <w:rPr>
          <w:i/>
          <w:sz w:val="23"/>
          <w:szCs w:val="23"/>
          <w:rtl/>
        </w:rPr>
        <w:t xml:space="preserve"> </w:t>
      </w:r>
      <w:r w:rsidRPr="00FE433F">
        <w:rPr>
          <w:rFonts w:hint="eastAsia"/>
          <w:i/>
          <w:sz w:val="23"/>
          <w:szCs w:val="23"/>
          <w:rtl/>
        </w:rPr>
        <w:t>تقاضا</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rFonts w:hint="eastAsia"/>
          <w:i/>
          <w:sz w:val="23"/>
          <w:szCs w:val="23"/>
        </w:rPr>
        <w:t>‌</w:t>
      </w:r>
      <w:r w:rsidRPr="00FE433F">
        <w:rPr>
          <w:rFonts w:hint="cs"/>
          <w:i/>
          <w:sz w:val="23"/>
          <w:szCs w:val="23"/>
          <w:rtl/>
        </w:rPr>
        <w:t xml:space="preserve"> مورد بررسی قرار می</w:t>
      </w:r>
      <w:r w:rsidRPr="00FE433F">
        <w:rPr>
          <w:i/>
          <w:sz w:val="23"/>
          <w:szCs w:val="23"/>
          <w:rtl/>
        </w:rPr>
        <w:softHyphen/>
      </w:r>
      <w:r w:rsidRPr="00FE433F">
        <w:rPr>
          <w:rFonts w:hint="cs"/>
          <w:i/>
          <w:sz w:val="23"/>
          <w:szCs w:val="23"/>
          <w:rtl/>
        </w:rPr>
        <w:t>گیرند که عبارتند از:</w:t>
      </w:r>
    </w:p>
    <w:p w14:paraId="104728BB" w14:textId="77777777" w:rsidR="00411620" w:rsidRPr="00FE433F" w:rsidRDefault="00411620" w:rsidP="00C67946">
      <w:pPr>
        <w:pStyle w:val="ListParagraph"/>
        <w:numPr>
          <w:ilvl w:val="3"/>
          <w:numId w:val="2"/>
        </w:numPr>
        <w:spacing w:line="216" w:lineRule="auto"/>
        <w:ind w:left="0" w:firstLine="0"/>
        <w:rPr>
          <w:i/>
          <w:sz w:val="23"/>
          <w:szCs w:val="23"/>
        </w:rPr>
      </w:pPr>
      <w:r w:rsidRPr="00FE433F">
        <w:rPr>
          <w:rFonts w:hint="cs"/>
          <w:i/>
          <w:sz w:val="23"/>
          <w:szCs w:val="23"/>
          <w:rtl/>
        </w:rPr>
        <w:t xml:space="preserve">نظریه خرید نقدی یا </w:t>
      </w:r>
      <w:r w:rsidRPr="00FE433F">
        <w:rPr>
          <w:rStyle w:val="FootnoteReference"/>
          <w:rFonts w:eastAsiaTheme="majorEastAsia"/>
          <w:i/>
          <w:sz w:val="23"/>
          <w:szCs w:val="23"/>
          <w:rtl/>
        </w:rPr>
        <w:footnoteReference w:id="192"/>
      </w:r>
      <w:r w:rsidRPr="00FE433F">
        <w:rPr>
          <w:i/>
          <w:sz w:val="23"/>
          <w:szCs w:val="23"/>
        </w:rPr>
        <w:t>CIA</w:t>
      </w:r>
      <w:r w:rsidRPr="00FE433F">
        <w:rPr>
          <w:i/>
          <w:sz w:val="23"/>
          <w:szCs w:val="23"/>
          <w:rtl/>
        </w:rPr>
        <w:t xml:space="preserve"> که در آن فرض م</w:t>
      </w:r>
      <w:r w:rsidRPr="00FE433F">
        <w:rPr>
          <w:rFonts w:hint="cs"/>
          <w:i/>
          <w:sz w:val="23"/>
          <w:szCs w:val="23"/>
          <w:rtl/>
        </w:rPr>
        <w:t>ی‌</w:t>
      </w:r>
      <w:r w:rsidRPr="00FE433F">
        <w:rPr>
          <w:i/>
          <w:sz w:val="23"/>
          <w:szCs w:val="23"/>
          <w:rtl/>
        </w:rPr>
        <w:t xml:space="preserve">شود </w:t>
      </w:r>
      <w:r w:rsidRPr="00FE433F">
        <w:rPr>
          <w:rFonts w:hint="eastAsia"/>
          <w:i/>
          <w:sz w:val="23"/>
          <w:szCs w:val="23"/>
          <w:rtl/>
        </w:rPr>
        <w:t>خر</w:t>
      </w:r>
      <w:r w:rsidRPr="00FE433F">
        <w:rPr>
          <w:rFonts w:hint="cs"/>
          <w:i/>
          <w:sz w:val="23"/>
          <w:szCs w:val="23"/>
          <w:rtl/>
        </w:rPr>
        <w:t>ی</w:t>
      </w:r>
      <w:r w:rsidRPr="00FE433F">
        <w:rPr>
          <w:rFonts w:hint="eastAsia"/>
          <w:i/>
          <w:sz w:val="23"/>
          <w:szCs w:val="23"/>
          <w:rtl/>
        </w:rPr>
        <w:t>د</w:t>
      </w:r>
      <w:r w:rsidRPr="00FE433F">
        <w:rPr>
          <w:i/>
          <w:sz w:val="23"/>
          <w:szCs w:val="23"/>
          <w:rtl/>
        </w:rPr>
        <w:t xml:space="preserve"> کالاها و خدمات فقط بواسطه</w:t>
      </w:r>
      <w:r w:rsidRPr="00FE433F">
        <w:rPr>
          <w:i/>
          <w:sz w:val="23"/>
          <w:szCs w:val="23"/>
          <w:rtl/>
        </w:rPr>
        <w:softHyphen/>
      </w:r>
      <w:r w:rsidRPr="00FE433F">
        <w:rPr>
          <w:rFonts w:hint="cs"/>
          <w:i/>
          <w:sz w:val="23"/>
          <w:szCs w:val="23"/>
          <w:rtl/>
        </w:rPr>
        <w:t>ی</w:t>
      </w:r>
      <w:r w:rsidRPr="00FE433F">
        <w:rPr>
          <w:i/>
          <w:sz w:val="23"/>
          <w:szCs w:val="23"/>
          <w:rtl/>
        </w:rPr>
        <w:t xml:space="preserve"> پول </w:t>
      </w:r>
      <w:r w:rsidRPr="00FE433F">
        <w:rPr>
          <w:rFonts w:hint="cs"/>
          <w:i/>
          <w:sz w:val="23"/>
          <w:szCs w:val="23"/>
          <w:rtl/>
        </w:rPr>
        <w:t xml:space="preserve">نقد </w:t>
      </w:r>
      <w:r w:rsidRPr="00FE433F">
        <w:rPr>
          <w:rFonts w:hint="eastAsia"/>
          <w:i/>
          <w:sz w:val="23"/>
          <w:szCs w:val="23"/>
          <w:rtl/>
        </w:rPr>
        <w:t>امکان</w:t>
      </w:r>
      <w:r w:rsidRPr="00FE433F">
        <w:rPr>
          <w:i/>
          <w:sz w:val="23"/>
          <w:szCs w:val="23"/>
          <w:rtl/>
        </w:rPr>
        <w:softHyphen/>
      </w:r>
      <w:r w:rsidRPr="00FE433F">
        <w:rPr>
          <w:rFonts w:hint="eastAsia"/>
          <w:i/>
          <w:sz w:val="23"/>
          <w:szCs w:val="23"/>
          <w:rtl/>
        </w:rPr>
        <w:t>پذ</w:t>
      </w:r>
      <w:r w:rsidRPr="00FE433F">
        <w:rPr>
          <w:rFonts w:hint="cs"/>
          <w:i/>
          <w:sz w:val="23"/>
          <w:szCs w:val="23"/>
          <w:rtl/>
        </w:rPr>
        <w:t>ی</w:t>
      </w:r>
      <w:r w:rsidRPr="00FE433F">
        <w:rPr>
          <w:rFonts w:hint="eastAsia"/>
          <w:i/>
          <w:sz w:val="23"/>
          <w:szCs w:val="23"/>
          <w:rtl/>
        </w:rPr>
        <w:t>ر</w:t>
      </w:r>
      <w:r w:rsidRPr="00FE433F">
        <w:rPr>
          <w:i/>
          <w:sz w:val="23"/>
          <w:szCs w:val="23"/>
          <w:rtl/>
        </w:rPr>
        <w:t xml:space="preserve"> </w:t>
      </w:r>
      <w:r w:rsidRPr="00FE433F">
        <w:rPr>
          <w:rFonts w:hint="eastAsia"/>
          <w:i/>
          <w:sz w:val="23"/>
          <w:szCs w:val="23"/>
          <w:rtl/>
        </w:rPr>
        <w:t>است</w:t>
      </w:r>
      <w:r w:rsidRPr="00FE433F">
        <w:rPr>
          <w:i/>
          <w:sz w:val="23"/>
          <w:szCs w:val="23"/>
          <w:rtl/>
        </w:rPr>
        <w:t>،</w:t>
      </w:r>
    </w:p>
    <w:p w14:paraId="14F235CC" w14:textId="77777777" w:rsidR="00411620" w:rsidRPr="00FE433F" w:rsidRDefault="00411620" w:rsidP="00C67946">
      <w:pPr>
        <w:pStyle w:val="ListParagraph"/>
        <w:numPr>
          <w:ilvl w:val="0"/>
          <w:numId w:val="2"/>
        </w:numPr>
        <w:spacing w:line="216" w:lineRule="auto"/>
        <w:ind w:left="0" w:firstLine="0"/>
        <w:rPr>
          <w:i/>
          <w:sz w:val="23"/>
          <w:szCs w:val="23"/>
        </w:rPr>
      </w:pPr>
      <w:r w:rsidRPr="00FE433F">
        <w:rPr>
          <w:rFonts w:hint="cs"/>
          <w:i/>
          <w:sz w:val="23"/>
          <w:szCs w:val="23"/>
          <w:rtl/>
        </w:rPr>
        <w:t>نظریه پول در تابع مطلوبیت یا</w:t>
      </w:r>
      <w:r w:rsidRPr="00FE433F">
        <w:rPr>
          <w:i/>
          <w:sz w:val="23"/>
          <w:szCs w:val="23"/>
          <w:rtl/>
        </w:rPr>
        <w:t xml:space="preserve"> </w:t>
      </w:r>
      <w:r w:rsidRPr="00FE433F">
        <w:rPr>
          <w:rStyle w:val="FootnoteReference"/>
          <w:rFonts w:eastAsiaTheme="majorEastAsia"/>
          <w:i/>
          <w:sz w:val="23"/>
          <w:szCs w:val="23"/>
          <w:rtl/>
        </w:rPr>
        <w:footnoteReference w:id="193"/>
      </w:r>
      <w:r w:rsidRPr="00FE433F">
        <w:rPr>
          <w:i/>
          <w:sz w:val="23"/>
          <w:szCs w:val="23"/>
        </w:rPr>
        <w:t>MIU</w:t>
      </w:r>
      <w:r w:rsidRPr="00FE433F">
        <w:rPr>
          <w:i/>
          <w:sz w:val="23"/>
          <w:szCs w:val="23"/>
          <w:rtl/>
        </w:rPr>
        <w:t xml:space="preserve"> که فرض م</w:t>
      </w:r>
      <w:r w:rsidRPr="00FE433F">
        <w:rPr>
          <w:rFonts w:hint="cs"/>
          <w:i/>
          <w:sz w:val="23"/>
          <w:szCs w:val="23"/>
          <w:rtl/>
        </w:rPr>
        <w:t>ی‌</w:t>
      </w:r>
      <w:r w:rsidRPr="00FE433F">
        <w:rPr>
          <w:i/>
          <w:sz w:val="23"/>
          <w:szCs w:val="23"/>
          <w:rtl/>
        </w:rPr>
        <w:t xml:space="preserve">کند </w:t>
      </w:r>
      <w:r w:rsidRPr="00FE433F">
        <w:rPr>
          <w:rFonts w:hint="eastAsia"/>
          <w:i/>
          <w:sz w:val="23"/>
          <w:szCs w:val="23"/>
          <w:rtl/>
        </w:rPr>
        <w:t>موجود</w:t>
      </w:r>
      <w:r w:rsidRPr="00FE433F">
        <w:rPr>
          <w:rFonts w:hint="cs"/>
          <w:i/>
          <w:sz w:val="23"/>
          <w:szCs w:val="23"/>
          <w:rtl/>
        </w:rPr>
        <w:t>ی</w:t>
      </w:r>
      <w:r w:rsidRPr="00FE433F">
        <w:rPr>
          <w:i/>
          <w:sz w:val="23"/>
          <w:szCs w:val="23"/>
          <w:rtl/>
        </w:rPr>
        <w:t xml:space="preserve"> پول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eastAsia"/>
          <w:i/>
          <w:sz w:val="23"/>
          <w:szCs w:val="23"/>
        </w:rPr>
        <w:t>‌</w:t>
      </w:r>
      <w:r w:rsidRPr="00FE433F">
        <w:rPr>
          <w:rFonts w:hint="cs"/>
          <w:i/>
          <w:sz w:val="23"/>
          <w:szCs w:val="23"/>
          <w:rtl/>
        </w:rPr>
        <w:t>همانند کالا، ی</w:t>
      </w:r>
      <w:r w:rsidRPr="00FE433F">
        <w:rPr>
          <w:rFonts w:hint="eastAsia"/>
          <w:i/>
          <w:sz w:val="23"/>
          <w:szCs w:val="23"/>
          <w:rtl/>
        </w:rPr>
        <w:t>ک</w:t>
      </w:r>
      <w:r w:rsidRPr="00FE433F">
        <w:rPr>
          <w:i/>
          <w:sz w:val="23"/>
          <w:szCs w:val="23"/>
          <w:rtl/>
        </w:rPr>
        <w:t xml:space="preserve"> </w:t>
      </w:r>
      <w:r w:rsidRPr="00FE433F">
        <w:rPr>
          <w:rFonts w:hint="cs"/>
          <w:i/>
          <w:sz w:val="23"/>
          <w:szCs w:val="23"/>
          <w:rtl/>
        </w:rPr>
        <w:t xml:space="preserve">عامل </w:t>
      </w:r>
      <w:r w:rsidRPr="00FE433F">
        <w:rPr>
          <w:i/>
          <w:sz w:val="23"/>
          <w:szCs w:val="23"/>
          <w:rtl/>
        </w:rPr>
        <w:t xml:space="preserve">مستقل </w:t>
      </w:r>
      <w:r w:rsidRPr="00FE433F">
        <w:rPr>
          <w:rFonts w:hint="cs"/>
          <w:i/>
          <w:sz w:val="23"/>
          <w:szCs w:val="23"/>
          <w:rtl/>
        </w:rPr>
        <w:t xml:space="preserve">در ایجاد </w:t>
      </w:r>
      <w:r w:rsidRPr="00FE433F">
        <w:rPr>
          <w:i/>
          <w:sz w:val="23"/>
          <w:szCs w:val="23"/>
          <w:rtl/>
        </w:rPr>
        <w:t>مطلوب</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cs"/>
          <w:i/>
          <w:sz w:val="23"/>
          <w:szCs w:val="23"/>
          <w:rtl/>
        </w:rPr>
        <w:t>است</w:t>
      </w:r>
      <w:r w:rsidRPr="00FE433F">
        <w:rPr>
          <w:i/>
          <w:sz w:val="23"/>
          <w:szCs w:val="23"/>
          <w:rtl/>
        </w:rPr>
        <w:t xml:space="preserve">. </w:t>
      </w:r>
    </w:p>
    <w:p w14:paraId="2B069EDD" w14:textId="77777777" w:rsidR="00411620" w:rsidRPr="00FE433F" w:rsidRDefault="00411620" w:rsidP="00C67946">
      <w:pPr>
        <w:pStyle w:val="ListParagraph"/>
        <w:numPr>
          <w:ilvl w:val="0"/>
          <w:numId w:val="2"/>
        </w:numPr>
        <w:spacing w:line="216" w:lineRule="auto"/>
        <w:ind w:left="0" w:firstLine="0"/>
        <w:rPr>
          <w:i/>
          <w:sz w:val="23"/>
          <w:szCs w:val="23"/>
        </w:rPr>
      </w:pPr>
      <w:r w:rsidRPr="00FE433F">
        <w:rPr>
          <w:rFonts w:hint="cs"/>
          <w:i/>
          <w:sz w:val="23"/>
          <w:szCs w:val="23"/>
          <w:rtl/>
        </w:rPr>
        <w:lastRenderedPageBreak/>
        <w:t>نظریه پول همانند کالای واسطه یا</w:t>
      </w:r>
      <w:r w:rsidRPr="00FE433F">
        <w:rPr>
          <w:i/>
          <w:sz w:val="23"/>
          <w:szCs w:val="23"/>
          <w:rtl/>
        </w:rPr>
        <w:t xml:space="preserve"> </w:t>
      </w:r>
      <w:r w:rsidRPr="00FE433F">
        <w:rPr>
          <w:rStyle w:val="FootnoteReference"/>
          <w:rFonts w:eastAsiaTheme="majorEastAsia"/>
          <w:i/>
          <w:sz w:val="23"/>
          <w:szCs w:val="23"/>
          <w:rtl/>
        </w:rPr>
        <w:footnoteReference w:id="194"/>
      </w:r>
      <w:r w:rsidRPr="00FE433F">
        <w:rPr>
          <w:i/>
          <w:sz w:val="23"/>
          <w:szCs w:val="23"/>
        </w:rPr>
        <w:t>MIG</w:t>
      </w:r>
      <w:r w:rsidRPr="00FE433F">
        <w:rPr>
          <w:i/>
          <w:sz w:val="23"/>
          <w:szCs w:val="23"/>
          <w:rtl/>
        </w:rPr>
        <w:t xml:space="preserve"> </w:t>
      </w:r>
      <w:r w:rsidRPr="00FE433F">
        <w:rPr>
          <w:rFonts w:hint="cs"/>
          <w:i/>
          <w:sz w:val="23"/>
          <w:szCs w:val="23"/>
          <w:rtl/>
        </w:rPr>
        <w:t xml:space="preserve">که </w:t>
      </w:r>
      <w:r w:rsidRPr="00FE433F">
        <w:rPr>
          <w:rFonts w:hint="eastAsia"/>
          <w:i/>
          <w:sz w:val="23"/>
          <w:szCs w:val="23"/>
          <w:rtl/>
        </w:rPr>
        <w:t>فرض</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i/>
          <w:sz w:val="23"/>
          <w:szCs w:val="23"/>
          <w:rtl/>
        </w:rPr>
        <w:softHyphen/>
      </w:r>
      <w:r w:rsidRPr="00FE433F">
        <w:rPr>
          <w:rFonts w:hint="eastAsia"/>
          <w:i/>
          <w:sz w:val="23"/>
          <w:szCs w:val="23"/>
          <w:rtl/>
        </w:rPr>
        <w:t>کند</w:t>
      </w:r>
      <w:r w:rsidRPr="00FE433F">
        <w:rPr>
          <w:i/>
          <w:sz w:val="23"/>
          <w:szCs w:val="23"/>
          <w:rtl/>
        </w:rPr>
        <w:t xml:space="preserve"> پول در </w:t>
      </w:r>
      <w:r w:rsidRPr="00FE433F">
        <w:rPr>
          <w:rFonts w:hint="cs"/>
          <w:i/>
          <w:sz w:val="23"/>
          <w:szCs w:val="23"/>
          <w:rtl/>
        </w:rPr>
        <w:t xml:space="preserve">مدت </w:t>
      </w:r>
      <w:r w:rsidRPr="00FE433F">
        <w:rPr>
          <w:i/>
          <w:sz w:val="23"/>
          <w:szCs w:val="23"/>
          <w:rtl/>
        </w:rPr>
        <w:t>زمان خر</w:t>
      </w:r>
      <w:r w:rsidRPr="00FE433F">
        <w:rPr>
          <w:rFonts w:hint="cs"/>
          <w:i/>
          <w:sz w:val="23"/>
          <w:szCs w:val="23"/>
          <w:rtl/>
        </w:rPr>
        <w:t>ی</w:t>
      </w:r>
      <w:r w:rsidRPr="00FE433F">
        <w:rPr>
          <w:rFonts w:hint="eastAsia"/>
          <w:i/>
          <w:sz w:val="23"/>
          <w:szCs w:val="23"/>
          <w:rtl/>
        </w:rPr>
        <w:t>د</w:t>
      </w:r>
      <w:r w:rsidRPr="00FE433F">
        <w:rPr>
          <w:rFonts w:hint="cs"/>
          <w:i/>
          <w:sz w:val="23"/>
          <w:szCs w:val="23"/>
          <w:rtl/>
        </w:rPr>
        <w:t xml:space="preserve"> کالاها و خدمات</w:t>
      </w:r>
      <w:r w:rsidRPr="00FE433F">
        <w:rPr>
          <w:i/>
          <w:sz w:val="23"/>
          <w:szCs w:val="23"/>
          <w:rtl/>
        </w:rPr>
        <w:t xml:space="preserve"> صرفه</w:t>
      </w:r>
      <w:r w:rsidRPr="00FE433F">
        <w:rPr>
          <w:i/>
          <w:sz w:val="23"/>
          <w:szCs w:val="23"/>
          <w:rtl/>
        </w:rPr>
        <w:softHyphen/>
        <w:t>جو</w:t>
      </w:r>
      <w:r w:rsidRPr="00FE433F">
        <w:rPr>
          <w:rFonts w:hint="cs"/>
          <w:i/>
          <w:sz w:val="23"/>
          <w:szCs w:val="23"/>
          <w:rtl/>
        </w:rPr>
        <w:t>یی</w:t>
      </w:r>
      <w:r w:rsidRPr="00FE433F">
        <w:rPr>
          <w:i/>
          <w:sz w:val="23"/>
          <w:szCs w:val="23"/>
          <w:rtl/>
        </w:rPr>
        <w:t xml:space="preserve"> م</w:t>
      </w:r>
      <w:r w:rsidRPr="00FE433F">
        <w:rPr>
          <w:rFonts w:hint="cs"/>
          <w:i/>
          <w:sz w:val="23"/>
          <w:szCs w:val="23"/>
          <w:rtl/>
        </w:rPr>
        <w:t>ی‌</w:t>
      </w:r>
      <w:r w:rsidRPr="00FE433F">
        <w:rPr>
          <w:i/>
          <w:sz w:val="23"/>
          <w:szCs w:val="23"/>
          <w:rtl/>
        </w:rPr>
        <w:t>کند و لذا کالا</w:t>
      </w:r>
      <w:r w:rsidRPr="00FE433F">
        <w:rPr>
          <w:rFonts w:hint="cs"/>
          <w:i/>
          <w:sz w:val="23"/>
          <w:szCs w:val="23"/>
          <w:rtl/>
        </w:rPr>
        <w:t>ی</w:t>
      </w:r>
      <w:r w:rsidRPr="00FE433F">
        <w:rPr>
          <w:i/>
          <w:sz w:val="23"/>
          <w:szCs w:val="23"/>
          <w:rtl/>
        </w:rPr>
        <w:t xml:space="preserve"> واسطه </w:t>
      </w:r>
      <w:r w:rsidRPr="00FE433F">
        <w:rPr>
          <w:rFonts w:hint="eastAsia"/>
          <w:i/>
          <w:sz w:val="23"/>
          <w:szCs w:val="23"/>
          <w:rtl/>
        </w:rPr>
        <w:t>است</w:t>
      </w:r>
      <w:r w:rsidRPr="00FE433F">
        <w:rPr>
          <w:i/>
          <w:sz w:val="23"/>
          <w:szCs w:val="23"/>
          <w:rtl/>
        </w:rPr>
        <w:t xml:space="preserve"> و نه نها</w:t>
      </w:r>
      <w:r w:rsidRPr="00FE433F">
        <w:rPr>
          <w:rFonts w:hint="cs"/>
          <w:i/>
          <w:sz w:val="23"/>
          <w:szCs w:val="23"/>
          <w:rtl/>
        </w:rPr>
        <w:t>یی.</w:t>
      </w:r>
      <w:r w:rsidRPr="00FE433F">
        <w:rPr>
          <w:i/>
          <w:sz w:val="23"/>
          <w:szCs w:val="23"/>
          <w:rtl/>
        </w:rPr>
        <w:t xml:space="preserve"> </w:t>
      </w:r>
    </w:p>
    <w:p w14:paraId="38095043" w14:textId="77777777" w:rsidR="00411620" w:rsidRPr="00FE433F" w:rsidRDefault="00411620" w:rsidP="00C67946">
      <w:pPr>
        <w:pStyle w:val="ListParagraph"/>
        <w:numPr>
          <w:ilvl w:val="0"/>
          <w:numId w:val="2"/>
        </w:numPr>
        <w:spacing w:line="216" w:lineRule="auto"/>
        <w:ind w:left="0" w:firstLine="0"/>
        <w:rPr>
          <w:i/>
          <w:sz w:val="23"/>
          <w:szCs w:val="23"/>
        </w:rPr>
      </w:pPr>
      <w:r w:rsidRPr="00FE433F">
        <w:rPr>
          <w:rFonts w:hint="eastAsia"/>
          <w:i/>
          <w:sz w:val="23"/>
          <w:szCs w:val="23"/>
          <w:rtl/>
        </w:rPr>
        <w:t>و</w:t>
      </w:r>
      <w:r w:rsidRPr="00FE433F">
        <w:rPr>
          <w:i/>
          <w:sz w:val="23"/>
          <w:szCs w:val="23"/>
          <w:rtl/>
        </w:rPr>
        <w:t xml:space="preserve"> بالاخره چهارم</w:t>
      </w:r>
      <w:r w:rsidRPr="00FE433F">
        <w:rPr>
          <w:rFonts w:hint="cs"/>
          <w:i/>
          <w:sz w:val="23"/>
          <w:szCs w:val="23"/>
          <w:rtl/>
        </w:rPr>
        <w:t>ی</w:t>
      </w:r>
      <w:r w:rsidRPr="00FE433F">
        <w:rPr>
          <w:rFonts w:hint="eastAsia"/>
          <w:i/>
          <w:sz w:val="23"/>
          <w:szCs w:val="23"/>
          <w:rtl/>
        </w:rPr>
        <w:t>ن</w:t>
      </w:r>
      <w:r w:rsidRPr="00FE433F">
        <w:rPr>
          <w:i/>
          <w:sz w:val="23"/>
          <w:szCs w:val="23"/>
          <w:rtl/>
        </w:rPr>
        <w:t xml:space="preserve"> نظریه</w:t>
      </w:r>
      <w:r w:rsidRPr="00FE433F">
        <w:rPr>
          <w:rFonts w:hint="cs"/>
          <w:i/>
          <w:sz w:val="23"/>
          <w:szCs w:val="23"/>
          <w:rtl/>
        </w:rPr>
        <w:t xml:space="preserve"> که در آن فرض می</w:t>
      </w:r>
      <w:r w:rsidRPr="00FE433F">
        <w:rPr>
          <w:i/>
          <w:sz w:val="23"/>
          <w:szCs w:val="23"/>
          <w:rtl/>
        </w:rPr>
        <w:softHyphen/>
      </w:r>
      <w:r w:rsidRPr="00FE433F">
        <w:rPr>
          <w:rFonts w:hint="cs"/>
          <w:i/>
          <w:sz w:val="23"/>
          <w:szCs w:val="23"/>
          <w:rtl/>
        </w:rPr>
        <w:t>شود</w:t>
      </w:r>
      <w:r w:rsidRPr="00FE433F">
        <w:rPr>
          <w:i/>
          <w:sz w:val="23"/>
          <w:szCs w:val="23"/>
          <w:rtl/>
        </w:rPr>
        <w:t xml:space="preserve"> </w:t>
      </w:r>
      <w:r w:rsidRPr="00FE433F">
        <w:rPr>
          <w:rFonts w:hint="eastAsia"/>
          <w:i/>
          <w:sz w:val="23"/>
          <w:szCs w:val="23"/>
        </w:rPr>
        <w:t>‌</w:t>
      </w:r>
      <w:r w:rsidRPr="00FE433F">
        <w:rPr>
          <w:rFonts w:hint="cs"/>
          <w:i/>
          <w:sz w:val="23"/>
          <w:szCs w:val="23"/>
          <w:rtl/>
        </w:rPr>
        <w:t>ی</w:t>
      </w:r>
      <w:r w:rsidRPr="00FE433F">
        <w:rPr>
          <w:rFonts w:hint="eastAsia"/>
          <w:i/>
          <w:sz w:val="23"/>
          <w:szCs w:val="23"/>
          <w:rtl/>
        </w:rPr>
        <w:t>ک</w:t>
      </w:r>
      <w:r w:rsidRPr="00FE433F">
        <w:rPr>
          <w:rFonts w:hint="cs"/>
          <w:i/>
          <w:sz w:val="23"/>
          <w:szCs w:val="23"/>
          <w:rtl/>
        </w:rPr>
        <w:t>ی</w:t>
      </w:r>
      <w:r w:rsidRPr="00FE433F">
        <w:rPr>
          <w:i/>
          <w:sz w:val="23"/>
          <w:szCs w:val="23"/>
          <w:rtl/>
        </w:rPr>
        <w:t xml:space="preserve"> </w:t>
      </w:r>
      <w:r w:rsidRPr="00FE433F">
        <w:rPr>
          <w:rFonts w:hint="eastAsia"/>
          <w:i/>
          <w:sz w:val="23"/>
          <w:szCs w:val="23"/>
          <w:rtl/>
        </w:rPr>
        <w:t>از</w:t>
      </w:r>
      <w:r w:rsidRPr="00FE433F">
        <w:rPr>
          <w:i/>
          <w:sz w:val="23"/>
          <w:szCs w:val="23"/>
          <w:rtl/>
        </w:rPr>
        <w:t xml:space="preserve"> من</w:t>
      </w:r>
      <w:r w:rsidRPr="00FE433F">
        <w:rPr>
          <w:rFonts w:hint="eastAsia"/>
          <w:i/>
          <w:sz w:val="23"/>
          <w:szCs w:val="23"/>
          <w:rtl/>
        </w:rPr>
        <w:t>ابع</w:t>
      </w:r>
      <w:r w:rsidRPr="00FE433F">
        <w:rPr>
          <w:i/>
          <w:sz w:val="23"/>
          <w:szCs w:val="23"/>
          <w:rtl/>
        </w:rPr>
        <w:t xml:space="preserve"> </w:t>
      </w:r>
      <w:r w:rsidRPr="00FE433F">
        <w:rPr>
          <w:rFonts w:hint="eastAsia"/>
          <w:i/>
          <w:sz w:val="23"/>
          <w:szCs w:val="23"/>
          <w:rtl/>
        </w:rPr>
        <w:t>هز</w:t>
      </w:r>
      <w:r w:rsidRPr="00FE433F">
        <w:rPr>
          <w:rFonts w:hint="cs"/>
          <w:i/>
          <w:sz w:val="23"/>
          <w:szCs w:val="23"/>
          <w:rtl/>
        </w:rPr>
        <w:t>ی</w:t>
      </w:r>
      <w:r w:rsidRPr="00FE433F">
        <w:rPr>
          <w:rFonts w:hint="eastAsia"/>
          <w:i/>
          <w:sz w:val="23"/>
          <w:szCs w:val="23"/>
          <w:rtl/>
        </w:rPr>
        <w:t>نه</w:t>
      </w:r>
      <w:r w:rsidRPr="00FE433F">
        <w:rPr>
          <w:i/>
          <w:sz w:val="23"/>
          <w:szCs w:val="23"/>
          <w:rtl/>
        </w:rPr>
        <w:softHyphen/>
      </w:r>
      <w:r w:rsidRPr="00FE433F">
        <w:rPr>
          <w:rFonts w:hint="cs"/>
          <w:i/>
          <w:sz w:val="23"/>
          <w:szCs w:val="23"/>
          <w:rtl/>
        </w:rPr>
        <w:t>های</w:t>
      </w:r>
      <w:r w:rsidRPr="00FE433F">
        <w:rPr>
          <w:i/>
          <w:sz w:val="23"/>
          <w:szCs w:val="23"/>
          <w:rtl/>
        </w:rPr>
        <w:t xml:space="preserve"> 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cs"/>
          <w:i/>
          <w:sz w:val="23"/>
          <w:szCs w:val="23"/>
          <w:rtl/>
        </w:rPr>
        <w:t xml:space="preserve">که </w:t>
      </w:r>
      <w:r w:rsidRPr="00FE433F">
        <w:rPr>
          <w:i/>
          <w:sz w:val="23"/>
          <w:szCs w:val="23"/>
          <w:rtl/>
        </w:rPr>
        <w:t>بر ق</w:t>
      </w:r>
      <w:r w:rsidRPr="00FE433F">
        <w:rPr>
          <w:rFonts w:hint="cs"/>
          <w:i/>
          <w:sz w:val="23"/>
          <w:szCs w:val="23"/>
          <w:rtl/>
        </w:rPr>
        <w:t>ی</w:t>
      </w:r>
      <w:r w:rsidRPr="00FE433F">
        <w:rPr>
          <w:rFonts w:hint="eastAsia"/>
          <w:i/>
          <w:sz w:val="23"/>
          <w:szCs w:val="23"/>
          <w:rtl/>
        </w:rPr>
        <w:t>د</w:t>
      </w:r>
      <w:r w:rsidRPr="00FE433F">
        <w:rPr>
          <w:i/>
          <w:sz w:val="23"/>
          <w:szCs w:val="23"/>
          <w:rtl/>
        </w:rPr>
        <w:t xml:space="preserve"> بودجه تاث</w:t>
      </w:r>
      <w:r w:rsidRPr="00FE433F">
        <w:rPr>
          <w:rFonts w:hint="cs"/>
          <w:i/>
          <w:sz w:val="23"/>
          <w:szCs w:val="23"/>
          <w:rtl/>
        </w:rPr>
        <w:t>ی</w:t>
      </w:r>
      <w:r w:rsidRPr="00FE433F">
        <w:rPr>
          <w:rFonts w:hint="eastAsia"/>
          <w:i/>
          <w:sz w:val="23"/>
          <w:szCs w:val="23"/>
          <w:rtl/>
        </w:rPr>
        <w:t>ر</w:t>
      </w:r>
      <w:r w:rsidRPr="00FE433F">
        <w:rPr>
          <w:i/>
          <w:sz w:val="23"/>
          <w:szCs w:val="23"/>
          <w:rtl/>
        </w:rPr>
        <w:t xml:space="preserve"> م</w:t>
      </w:r>
      <w:r w:rsidRPr="00FE433F">
        <w:rPr>
          <w:rFonts w:hint="cs"/>
          <w:i/>
          <w:sz w:val="23"/>
          <w:szCs w:val="23"/>
          <w:rtl/>
        </w:rPr>
        <w:t>ی</w:t>
      </w:r>
      <w:r w:rsidRPr="00FE433F">
        <w:rPr>
          <w:rFonts w:hint="eastAsia"/>
          <w:i/>
          <w:sz w:val="23"/>
          <w:szCs w:val="23"/>
        </w:rPr>
        <w:t>‌</w:t>
      </w:r>
      <w:r w:rsidRPr="00FE433F">
        <w:rPr>
          <w:i/>
          <w:sz w:val="23"/>
          <w:szCs w:val="23"/>
          <w:rtl/>
        </w:rPr>
        <w:t>گذارد</w:t>
      </w:r>
      <w:r w:rsidRPr="00FE433F">
        <w:rPr>
          <w:rFonts w:hint="cs"/>
          <w:i/>
          <w:sz w:val="23"/>
          <w:szCs w:val="23"/>
          <w:rtl/>
        </w:rPr>
        <w:t>،</w:t>
      </w:r>
      <w:r w:rsidRPr="00FE433F">
        <w:rPr>
          <w:i/>
          <w:sz w:val="23"/>
          <w:szCs w:val="23"/>
          <w:rtl/>
        </w:rPr>
        <w:t xml:space="preserve"> </w:t>
      </w:r>
      <w:r w:rsidRPr="00FE433F">
        <w:rPr>
          <w:rFonts w:hint="cs"/>
          <w:i/>
          <w:sz w:val="23"/>
          <w:szCs w:val="23"/>
          <w:rtl/>
        </w:rPr>
        <w:t>هزینه</w:t>
      </w:r>
      <w:r w:rsidRPr="00FE433F">
        <w:rPr>
          <w:i/>
          <w:sz w:val="23"/>
          <w:szCs w:val="23"/>
          <w:rtl/>
        </w:rPr>
        <w:softHyphen/>
      </w:r>
      <w:r w:rsidRPr="00FE433F">
        <w:rPr>
          <w:rFonts w:hint="cs"/>
          <w:i/>
          <w:sz w:val="23"/>
          <w:szCs w:val="23"/>
          <w:rtl/>
        </w:rPr>
        <w:t xml:space="preserve">ی مربوط به </w:t>
      </w:r>
      <w:r w:rsidRPr="00FE433F">
        <w:rPr>
          <w:rFonts w:hint="eastAsia"/>
          <w:i/>
          <w:sz w:val="23"/>
          <w:szCs w:val="23"/>
          <w:rtl/>
        </w:rPr>
        <w:t>معاملات</w:t>
      </w:r>
      <w:r w:rsidRPr="00FE433F">
        <w:rPr>
          <w:i/>
          <w:sz w:val="23"/>
          <w:szCs w:val="23"/>
          <w:rtl/>
        </w:rPr>
        <w:t xml:space="preserve"> مخارج </w:t>
      </w:r>
      <w:r w:rsidRPr="00FE433F">
        <w:rPr>
          <w:rFonts w:hint="eastAsia"/>
          <w:i/>
          <w:sz w:val="23"/>
          <w:szCs w:val="23"/>
          <w:rtl/>
        </w:rPr>
        <w:t>مصرف</w:t>
      </w:r>
      <w:r w:rsidRPr="00FE433F">
        <w:rPr>
          <w:rFonts w:hint="cs"/>
          <w:i/>
          <w:sz w:val="23"/>
          <w:szCs w:val="23"/>
          <w:rtl/>
        </w:rPr>
        <w:t>ی است و این هزینه</w:t>
      </w:r>
      <w:r w:rsidRPr="00FE433F">
        <w:rPr>
          <w:i/>
          <w:sz w:val="23"/>
          <w:szCs w:val="23"/>
          <w:rtl/>
        </w:rPr>
        <w:softHyphen/>
      </w:r>
      <w:r w:rsidRPr="00FE433F">
        <w:rPr>
          <w:i/>
          <w:sz w:val="23"/>
          <w:szCs w:val="23"/>
          <w:rtl/>
        </w:rPr>
        <w:softHyphen/>
      </w:r>
      <w:r w:rsidRPr="00FE433F">
        <w:rPr>
          <w:rFonts w:hint="cs"/>
          <w:i/>
          <w:sz w:val="23"/>
          <w:szCs w:val="23"/>
          <w:rtl/>
        </w:rPr>
        <w:t xml:space="preserve">ی معامله </w:t>
      </w:r>
      <w:r w:rsidRPr="00FE433F">
        <w:rPr>
          <w:i/>
          <w:sz w:val="23"/>
          <w:szCs w:val="23"/>
          <w:rtl/>
        </w:rPr>
        <w:t xml:space="preserve">تنها در </w:t>
      </w:r>
      <w:r w:rsidRPr="00FE433F">
        <w:rPr>
          <w:rFonts w:hint="eastAsia"/>
          <w:i/>
          <w:sz w:val="23"/>
          <w:szCs w:val="23"/>
          <w:rtl/>
        </w:rPr>
        <w:t>صورت</w:t>
      </w:r>
      <w:r w:rsidRPr="00FE433F">
        <w:rPr>
          <w:rFonts w:hint="cs"/>
          <w:i/>
          <w:sz w:val="23"/>
          <w:szCs w:val="23"/>
          <w:rtl/>
        </w:rPr>
        <w:t>ی</w:t>
      </w:r>
      <w:r w:rsidRPr="00FE433F">
        <w:rPr>
          <w:i/>
          <w:sz w:val="23"/>
          <w:szCs w:val="23"/>
          <w:rtl/>
        </w:rPr>
        <w:t xml:space="preserve"> </w:t>
      </w:r>
      <w:r w:rsidRPr="00FE433F">
        <w:rPr>
          <w:rFonts w:hint="eastAsia"/>
          <w:i/>
          <w:sz w:val="23"/>
          <w:szCs w:val="23"/>
          <w:rtl/>
        </w:rPr>
        <w:t>کاهش</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cs"/>
          <w:i/>
          <w:sz w:val="23"/>
          <w:szCs w:val="23"/>
          <w:rtl/>
        </w:rPr>
        <w:t>ی</w:t>
      </w:r>
      <w:r w:rsidRPr="00FE433F">
        <w:rPr>
          <w:rFonts w:hint="eastAsia"/>
          <w:i/>
          <w:sz w:val="23"/>
          <w:szCs w:val="23"/>
          <w:rtl/>
        </w:rPr>
        <w:t>ابد</w:t>
      </w:r>
      <w:r w:rsidRPr="00FE433F">
        <w:rPr>
          <w:i/>
          <w:sz w:val="23"/>
          <w:szCs w:val="23"/>
          <w:rtl/>
        </w:rPr>
        <w:t xml:space="preserve"> که از پول استفاده شود. </w:t>
      </w:r>
    </w:p>
    <w:p w14:paraId="5858FB39" w14:textId="77777777" w:rsidR="00411620" w:rsidRPr="00FE433F" w:rsidRDefault="00411620" w:rsidP="00411620">
      <w:pPr>
        <w:spacing w:line="216" w:lineRule="auto"/>
        <w:rPr>
          <w:i/>
          <w:sz w:val="23"/>
          <w:szCs w:val="23"/>
          <w:rtl/>
        </w:rPr>
      </w:pPr>
      <w:r w:rsidRPr="00FE433F">
        <w:rPr>
          <w:rFonts w:hint="cs"/>
          <w:i/>
          <w:sz w:val="23"/>
          <w:szCs w:val="23"/>
          <w:rtl/>
        </w:rPr>
        <w:t xml:space="preserve">ضمناً </w:t>
      </w:r>
      <w:r w:rsidRPr="00FE433F">
        <w:rPr>
          <w:i/>
          <w:sz w:val="23"/>
          <w:szCs w:val="23"/>
          <w:rtl/>
        </w:rPr>
        <w:t>جز</w:t>
      </w:r>
      <w:r w:rsidRPr="00FE433F">
        <w:rPr>
          <w:rFonts w:hint="cs"/>
          <w:i/>
          <w:sz w:val="23"/>
          <w:szCs w:val="23"/>
          <w:rtl/>
        </w:rPr>
        <w:t>ئی</w:t>
      </w:r>
      <w:r w:rsidRPr="00FE433F">
        <w:rPr>
          <w:rFonts w:hint="eastAsia"/>
          <w:i/>
          <w:sz w:val="23"/>
          <w:szCs w:val="23"/>
          <w:rtl/>
        </w:rPr>
        <w:t>ات</w:t>
      </w:r>
      <w:r w:rsidRPr="00FE433F">
        <w:rPr>
          <w:i/>
          <w:sz w:val="23"/>
          <w:szCs w:val="23"/>
          <w:rtl/>
        </w:rPr>
        <w:t xml:space="preserve"> مباحث س</w:t>
      </w:r>
      <w:r w:rsidRPr="00FE433F">
        <w:rPr>
          <w:rFonts w:hint="cs"/>
          <w:i/>
          <w:sz w:val="23"/>
          <w:szCs w:val="23"/>
          <w:rtl/>
        </w:rPr>
        <w:t>ی</w:t>
      </w:r>
      <w:r w:rsidRPr="00FE433F">
        <w:rPr>
          <w:rFonts w:hint="eastAsia"/>
          <w:i/>
          <w:sz w:val="23"/>
          <w:szCs w:val="23"/>
          <w:rtl/>
        </w:rPr>
        <w:t>است</w:t>
      </w:r>
      <w:r w:rsidRPr="00FE433F">
        <w:rPr>
          <w:i/>
          <w:sz w:val="23"/>
          <w:szCs w:val="23"/>
          <w:rtl/>
        </w:rPr>
        <w:t xml:space="preserve"> پول</w:t>
      </w:r>
      <w:r w:rsidRPr="00FE433F">
        <w:rPr>
          <w:rFonts w:hint="cs"/>
          <w:i/>
          <w:sz w:val="23"/>
          <w:szCs w:val="23"/>
          <w:rtl/>
        </w:rPr>
        <w:t>ی</w:t>
      </w:r>
      <w:r w:rsidRPr="00FE433F">
        <w:rPr>
          <w:i/>
          <w:sz w:val="23"/>
          <w:szCs w:val="23"/>
          <w:rtl/>
        </w:rPr>
        <w:t xml:space="preserve"> و اقتصاد 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و تورم را </w:t>
      </w:r>
      <w:r w:rsidRPr="00FE433F">
        <w:rPr>
          <w:rFonts w:hint="eastAsia"/>
          <w:i/>
          <w:sz w:val="23"/>
          <w:szCs w:val="23"/>
          <w:rtl/>
        </w:rPr>
        <w:t>در</w:t>
      </w:r>
      <w:r w:rsidRPr="00FE433F">
        <w:rPr>
          <w:i/>
          <w:sz w:val="23"/>
          <w:szCs w:val="23"/>
          <w:rtl/>
        </w:rPr>
        <w:t xml:space="preserve"> </w:t>
      </w:r>
      <w:r w:rsidRPr="00FE433F">
        <w:rPr>
          <w:rFonts w:hint="eastAsia"/>
          <w:i/>
          <w:sz w:val="23"/>
          <w:szCs w:val="23"/>
          <w:rtl/>
        </w:rPr>
        <w:t>فصل</w:t>
      </w:r>
      <w:r w:rsidRPr="00FE433F">
        <w:rPr>
          <w:rFonts w:hint="cs"/>
          <w:i/>
          <w:sz w:val="23"/>
          <w:szCs w:val="23"/>
          <w:rtl/>
        </w:rPr>
        <w:t xml:space="preserve"> چهاردهم</w:t>
      </w:r>
      <w:r w:rsidRPr="00FE433F">
        <w:rPr>
          <w:i/>
          <w:sz w:val="23"/>
          <w:szCs w:val="23"/>
          <w:rtl/>
        </w:rPr>
        <w:t xml:space="preserve"> </w:t>
      </w:r>
      <w:r w:rsidRPr="00FE433F">
        <w:rPr>
          <w:rFonts w:hint="cs"/>
          <w:i/>
          <w:sz w:val="23"/>
          <w:szCs w:val="23"/>
          <w:rtl/>
        </w:rPr>
        <w:t xml:space="preserve">بدقت </w:t>
      </w:r>
      <w:r w:rsidRPr="00FE433F">
        <w:rPr>
          <w:i/>
          <w:sz w:val="23"/>
          <w:szCs w:val="23"/>
          <w:rtl/>
        </w:rPr>
        <w:t>مورد بررس</w:t>
      </w:r>
      <w:r w:rsidRPr="00FE433F">
        <w:rPr>
          <w:rFonts w:hint="cs"/>
          <w:i/>
          <w:sz w:val="23"/>
          <w:szCs w:val="23"/>
          <w:rtl/>
        </w:rPr>
        <w:t>ی</w:t>
      </w:r>
      <w:r w:rsidRPr="00FE433F">
        <w:rPr>
          <w:i/>
          <w:sz w:val="23"/>
          <w:szCs w:val="23"/>
          <w:rtl/>
        </w:rPr>
        <w:t xml:space="preserve"> قرار خواه</w:t>
      </w:r>
      <w:r w:rsidRPr="00FE433F">
        <w:rPr>
          <w:rFonts w:hint="cs"/>
          <w:i/>
          <w:sz w:val="23"/>
          <w:szCs w:val="23"/>
          <w:rtl/>
        </w:rPr>
        <w:t>ی</w:t>
      </w:r>
      <w:r w:rsidRPr="00FE433F">
        <w:rPr>
          <w:rFonts w:hint="eastAsia"/>
          <w:i/>
          <w:sz w:val="23"/>
          <w:szCs w:val="23"/>
          <w:rtl/>
        </w:rPr>
        <w:t>م</w:t>
      </w:r>
      <w:r w:rsidRPr="00FE433F">
        <w:rPr>
          <w:i/>
          <w:sz w:val="23"/>
          <w:szCs w:val="23"/>
          <w:rtl/>
        </w:rPr>
        <w:t xml:space="preserve"> داد.</w:t>
      </w:r>
      <w:r w:rsidRPr="00FE433F">
        <w:rPr>
          <w:rStyle w:val="FootnoteReference"/>
          <w:rFonts w:eastAsiaTheme="majorEastAsia"/>
          <w:i/>
          <w:sz w:val="23"/>
          <w:szCs w:val="23"/>
          <w:rtl/>
        </w:rPr>
        <w:footnoteReference w:id="195"/>
      </w:r>
      <w:r w:rsidRPr="00FE433F">
        <w:rPr>
          <w:i/>
          <w:sz w:val="23"/>
          <w:szCs w:val="23"/>
          <w:rtl/>
        </w:rPr>
        <w:t xml:space="preserve"> </w:t>
      </w:r>
    </w:p>
    <w:p w14:paraId="68AA8E39" w14:textId="77777777" w:rsidR="00411620" w:rsidRPr="00FE433F" w:rsidRDefault="00411620" w:rsidP="00411620">
      <w:pPr>
        <w:spacing w:line="216" w:lineRule="auto"/>
        <w:rPr>
          <w:i/>
          <w:sz w:val="23"/>
          <w:szCs w:val="23"/>
          <w:rtl/>
        </w:rPr>
      </w:pPr>
    </w:p>
    <w:p w14:paraId="721F1CB6" w14:textId="77777777" w:rsidR="00411620" w:rsidRPr="00FE433F" w:rsidRDefault="00411620" w:rsidP="00411620">
      <w:pPr>
        <w:pStyle w:val="Heading1"/>
        <w:spacing w:before="0" w:after="0" w:line="216" w:lineRule="auto"/>
        <w:rPr>
          <w:rFonts w:ascii="Times New Roman" w:hAnsi="Times New Roman" w:cs="B Nazanin"/>
          <w:b w:val="0"/>
          <w:i/>
          <w:sz w:val="23"/>
          <w:szCs w:val="23"/>
          <w:rtl/>
        </w:rPr>
      </w:pPr>
      <w:r w:rsidRPr="00FE433F">
        <w:rPr>
          <w:rFonts w:ascii="Times New Roman" w:hAnsi="Times New Roman" w:cs="B Nazanin"/>
          <w:b w:val="0"/>
          <w:i/>
          <w:sz w:val="23"/>
          <w:szCs w:val="23"/>
          <w:rtl/>
        </w:rPr>
        <w:t>۸. ۲ تار</w:t>
      </w:r>
      <w:r w:rsidRPr="00FE433F">
        <w:rPr>
          <w:rFonts w:ascii="Times New Roman" w:hAnsi="Times New Roman" w:cs="B Nazanin" w:hint="cs"/>
          <w:b w:val="0"/>
          <w:i/>
          <w:sz w:val="23"/>
          <w:szCs w:val="23"/>
          <w:rtl/>
        </w:rPr>
        <w:t>ی</w:t>
      </w:r>
      <w:r w:rsidRPr="00FE433F">
        <w:rPr>
          <w:rFonts w:ascii="Times New Roman" w:hAnsi="Times New Roman" w:cs="B Nazanin"/>
          <w:b w:val="0"/>
          <w:i/>
          <w:sz w:val="23"/>
          <w:szCs w:val="23"/>
          <w:rtl/>
        </w:rPr>
        <w:t>خ</w:t>
      </w:r>
      <w:r w:rsidRPr="00FE433F">
        <w:rPr>
          <w:rFonts w:ascii="Times New Roman" w:hAnsi="Times New Roman" w:cs="B Nazanin" w:hint="eastAsia"/>
          <w:b w:val="0"/>
          <w:i/>
          <w:sz w:val="23"/>
          <w:szCs w:val="23"/>
          <w:rtl/>
        </w:rPr>
        <w:t>چه</w:t>
      </w:r>
      <w:r w:rsidRPr="00FE433F">
        <w:rPr>
          <w:rFonts w:ascii="Times New Roman" w:hAnsi="Times New Roman" w:cs="B Nazanin"/>
          <w:b w:val="0"/>
          <w:i/>
          <w:sz w:val="23"/>
          <w:szCs w:val="23"/>
          <w:rtl/>
        </w:rPr>
        <w:softHyphen/>
      </w:r>
      <w:r w:rsidRPr="00FE433F">
        <w:rPr>
          <w:rFonts w:ascii="Times New Roman" w:hAnsi="Times New Roman" w:cs="B Nazanin" w:hint="cs"/>
          <w:b w:val="0"/>
          <w:i/>
          <w:sz w:val="23"/>
          <w:szCs w:val="23"/>
          <w:rtl/>
        </w:rPr>
        <w:t>ی</w:t>
      </w:r>
      <w:r w:rsidRPr="00FE433F">
        <w:rPr>
          <w:rFonts w:ascii="Times New Roman" w:hAnsi="Times New Roman" w:cs="B Nazanin"/>
          <w:b w:val="0"/>
          <w:i/>
          <w:sz w:val="23"/>
          <w:szCs w:val="23"/>
          <w:rtl/>
        </w:rPr>
        <w:t xml:space="preserve"> مختصر</w:t>
      </w:r>
      <w:r w:rsidRPr="00FE433F">
        <w:rPr>
          <w:rFonts w:ascii="Times New Roman" w:hAnsi="Times New Roman" w:cs="B Nazanin" w:hint="cs"/>
          <w:b w:val="0"/>
          <w:i/>
          <w:sz w:val="23"/>
          <w:szCs w:val="23"/>
          <w:rtl/>
        </w:rPr>
        <w:t>ی</w:t>
      </w:r>
      <w:r w:rsidRPr="00FE433F">
        <w:rPr>
          <w:rFonts w:ascii="Times New Roman" w:hAnsi="Times New Roman" w:cs="B Nazanin"/>
          <w:b w:val="0"/>
          <w:i/>
          <w:sz w:val="23"/>
          <w:szCs w:val="23"/>
          <w:rtl/>
        </w:rPr>
        <w:t xml:space="preserve"> از پول و </w:t>
      </w:r>
      <w:r w:rsidRPr="00FE433F">
        <w:rPr>
          <w:rFonts w:ascii="Times New Roman" w:hAnsi="Times New Roman" w:cs="B Nazanin" w:hint="eastAsia"/>
          <w:b w:val="0"/>
          <w:i/>
          <w:sz w:val="23"/>
          <w:szCs w:val="23"/>
          <w:rtl/>
        </w:rPr>
        <w:t>وظا</w:t>
      </w:r>
      <w:r w:rsidRPr="00FE433F">
        <w:rPr>
          <w:rFonts w:ascii="Times New Roman" w:hAnsi="Times New Roman" w:cs="B Nazanin" w:hint="cs"/>
          <w:b w:val="0"/>
          <w:i/>
          <w:sz w:val="23"/>
          <w:szCs w:val="23"/>
          <w:rtl/>
        </w:rPr>
        <w:t>ی</w:t>
      </w:r>
      <w:r w:rsidRPr="00FE433F">
        <w:rPr>
          <w:rFonts w:ascii="Times New Roman" w:hAnsi="Times New Roman" w:cs="B Nazanin" w:hint="eastAsia"/>
          <w:b w:val="0"/>
          <w:i/>
          <w:sz w:val="23"/>
          <w:szCs w:val="23"/>
          <w:rtl/>
        </w:rPr>
        <w:t>ف</w:t>
      </w:r>
      <w:r w:rsidRPr="00FE433F">
        <w:rPr>
          <w:rFonts w:ascii="Times New Roman" w:hAnsi="Times New Roman" w:cs="B Nazanin"/>
          <w:b w:val="0"/>
          <w:i/>
          <w:sz w:val="23"/>
          <w:szCs w:val="23"/>
          <w:rtl/>
        </w:rPr>
        <w:t xml:space="preserve"> آن</w:t>
      </w:r>
    </w:p>
    <w:p w14:paraId="2E9D638F" w14:textId="77777777" w:rsidR="00411620" w:rsidRPr="00FE433F" w:rsidRDefault="00411620" w:rsidP="00411620">
      <w:pPr>
        <w:spacing w:line="216" w:lineRule="auto"/>
        <w:rPr>
          <w:i/>
          <w:sz w:val="23"/>
          <w:szCs w:val="23"/>
          <w:rtl/>
        </w:rPr>
      </w:pPr>
      <w:r w:rsidRPr="00FE433F">
        <w:rPr>
          <w:rFonts w:hint="cs"/>
          <w:i/>
          <w:sz w:val="23"/>
          <w:szCs w:val="23"/>
          <w:rtl/>
        </w:rPr>
        <w:t xml:space="preserve">معمولاً </w:t>
      </w:r>
      <w:r w:rsidRPr="00FE433F">
        <w:rPr>
          <w:rFonts w:hint="eastAsia"/>
          <w:i/>
          <w:sz w:val="23"/>
          <w:szCs w:val="23"/>
          <w:rtl/>
        </w:rPr>
        <w:t>وجود</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اقتصاد</w:t>
      </w:r>
      <w:r w:rsidRPr="00FE433F">
        <w:rPr>
          <w:i/>
          <w:sz w:val="23"/>
          <w:szCs w:val="23"/>
          <w:rtl/>
        </w:rPr>
        <w:t xml:space="preserve"> </w:t>
      </w:r>
      <w:r w:rsidRPr="00FE433F">
        <w:rPr>
          <w:rFonts w:hint="eastAsia"/>
          <w:i/>
          <w:sz w:val="23"/>
          <w:szCs w:val="23"/>
          <w:rtl/>
        </w:rPr>
        <w:t>مفروض</w:t>
      </w:r>
      <w:r w:rsidRPr="00FE433F">
        <w:rPr>
          <w:i/>
          <w:sz w:val="23"/>
          <w:szCs w:val="23"/>
          <w:rtl/>
        </w:rPr>
        <w:t xml:space="preserve"> </w:t>
      </w:r>
      <w:r w:rsidRPr="00FE433F">
        <w:rPr>
          <w:rFonts w:hint="cs"/>
          <w:i/>
          <w:sz w:val="23"/>
          <w:szCs w:val="23"/>
          <w:rtl/>
        </w:rPr>
        <w:t>است،</w:t>
      </w:r>
      <w:r w:rsidRPr="00FE433F">
        <w:rPr>
          <w:i/>
          <w:sz w:val="23"/>
          <w:szCs w:val="23"/>
          <w:rtl/>
        </w:rPr>
        <w:t xml:space="preserve"> </w:t>
      </w:r>
      <w:r w:rsidRPr="00FE433F">
        <w:rPr>
          <w:rFonts w:hint="cs"/>
          <w:i/>
          <w:sz w:val="23"/>
          <w:szCs w:val="23"/>
          <w:rtl/>
        </w:rPr>
        <w:t>و در نظریه</w:t>
      </w:r>
      <w:r w:rsidRPr="00FE433F">
        <w:rPr>
          <w:i/>
          <w:sz w:val="23"/>
          <w:szCs w:val="23"/>
          <w:rtl/>
        </w:rPr>
        <w:softHyphen/>
      </w:r>
      <w:r w:rsidRPr="00FE433F">
        <w:rPr>
          <w:rFonts w:hint="cs"/>
          <w:i/>
          <w:sz w:val="23"/>
          <w:szCs w:val="23"/>
          <w:rtl/>
        </w:rPr>
        <w:t xml:space="preserve">های اقتصادی </w:t>
      </w:r>
      <w:r w:rsidRPr="00FE433F">
        <w:rPr>
          <w:rFonts w:hint="eastAsia"/>
          <w:i/>
          <w:sz w:val="23"/>
          <w:szCs w:val="23"/>
          <w:rtl/>
        </w:rPr>
        <w:t>در</w:t>
      </w:r>
      <w:r w:rsidRPr="00FE433F">
        <w:rPr>
          <w:i/>
          <w:sz w:val="23"/>
          <w:szCs w:val="23"/>
          <w:rtl/>
        </w:rPr>
        <w:t xml:space="preserve"> </w:t>
      </w:r>
      <w:r w:rsidRPr="00FE433F">
        <w:rPr>
          <w:rFonts w:hint="eastAsia"/>
          <w:i/>
          <w:sz w:val="23"/>
          <w:szCs w:val="23"/>
          <w:rtl/>
        </w:rPr>
        <w:t>خصوص</w:t>
      </w:r>
      <w:r w:rsidRPr="00FE433F">
        <w:rPr>
          <w:i/>
          <w:sz w:val="23"/>
          <w:szCs w:val="23"/>
          <w:rtl/>
        </w:rPr>
        <w:t xml:space="preserve"> </w:t>
      </w:r>
      <w:r w:rsidRPr="00FE433F">
        <w:rPr>
          <w:rFonts w:hint="cs"/>
          <w:i/>
          <w:sz w:val="23"/>
          <w:szCs w:val="23"/>
          <w:rtl/>
        </w:rPr>
        <w:t xml:space="preserve">ضرورت لزوم استفاده از </w:t>
      </w:r>
      <w:r w:rsidRPr="00FE433F">
        <w:rPr>
          <w:rFonts w:hint="eastAsia"/>
          <w:i/>
          <w:sz w:val="23"/>
          <w:szCs w:val="23"/>
          <w:rtl/>
        </w:rPr>
        <w:t>پول</w:t>
      </w:r>
      <w:r w:rsidRPr="00FE433F">
        <w:rPr>
          <w:i/>
          <w:sz w:val="23"/>
          <w:szCs w:val="23"/>
          <w:rtl/>
        </w:rPr>
        <w:t xml:space="preserve"> </w:t>
      </w:r>
      <w:r w:rsidRPr="00FE433F">
        <w:rPr>
          <w:rFonts w:hint="cs"/>
          <w:i/>
          <w:sz w:val="23"/>
          <w:szCs w:val="23"/>
          <w:rtl/>
        </w:rPr>
        <w:t>و این</w:t>
      </w:r>
      <w:r w:rsidRPr="00FE433F">
        <w:rPr>
          <w:i/>
          <w:sz w:val="23"/>
          <w:szCs w:val="23"/>
          <w:rtl/>
        </w:rPr>
        <w:softHyphen/>
      </w:r>
      <w:r w:rsidRPr="00FE433F">
        <w:rPr>
          <w:rFonts w:hint="cs"/>
          <w:i/>
          <w:sz w:val="23"/>
          <w:szCs w:val="23"/>
          <w:rtl/>
        </w:rPr>
        <w:t>که</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چ</w:t>
      </w:r>
      <w:r w:rsidRPr="00FE433F">
        <w:rPr>
          <w:rFonts w:hint="cs"/>
          <w:i/>
          <w:sz w:val="23"/>
          <w:szCs w:val="23"/>
          <w:rtl/>
        </w:rPr>
        <w:t>ی</w:t>
      </w:r>
      <w:r w:rsidRPr="00FE433F">
        <w:rPr>
          <w:rFonts w:hint="eastAsia"/>
          <w:i/>
          <w:sz w:val="23"/>
          <w:szCs w:val="23"/>
          <w:rtl/>
        </w:rPr>
        <w:t>ست</w:t>
      </w:r>
      <w:r w:rsidRPr="00FE433F">
        <w:rPr>
          <w:rFonts w:hint="cs"/>
          <w:i/>
          <w:sz w:val="23"/>
          <w:szCs w:val="23"/>
          <w:rtl/>
        </w:rPr>
        <w:t xml:space="preserve"> </w:t>
      </w:r>
      <w:r w:rsidRPr="00FE433F">
        <w:rPr>
          <w:rFonts w:hint="eastAsia"/>
          <w:i/>
          <w:sz w:val="23"/>
          <w:szCs w:val="23"/>
          <w:rtl/>
        </w:rPr>
        <w:t>اجماع</w:t>
      </w:r>
      <w:r w:rsidRPr="00FE433F">
        <w:rPr>
          <w:rFonts w:hint="cs"/>
          <w:i/>
          <w:sz w:val="23"/>
          <w:szCs w:val="23"/>
          <w:rtl/>
        </w:rPr>
        <w:t xml:space="preserve"> نظر </w:t>
      </w:r>
      <w:r w:rsidRPr="00FE433F">
        <w:rPr>
          <w:rFonts w:hint="eastAsia"/>
          <w:i/>
          <w:sz w:val="23"/>
          <w:szCs w:val="23"/>
          <w:rtl/>
        </w:rPr>
        <w:t>وجود</w:t>
      </w:r>
      <w:r w:rsidRPr="00FE433F">
        <w:rPr>
          <w:i/>
          <w:sz w:val="23"/>
          <w:szCs w:val="23"/>
          <w:rtl/>
        </w:rPr>
        <w:t xml:space="preserve"> </w:t>
      </w:r>
      <w:r w:rsidRPr="00FE433F">
        <w:rPr>
          <w:rFonts w:hint="cs"/>
          <w:i/>
          <w:sz w:val="23"/>
          <w:szCs w:val="23"/>
          <w:rtl/>
        </w:rPr>
        <w:t>دار</w:t>
      </w:r>
      <w:r w:rsidRPr="00FE433F">
        <w:rPr>
          <w:rFonts w:hint="eastAsia"/>
          <w:i/>
          <w:sz w:val="23"/>
          <w:szCs w:val="23"/>
          <w:rtl/>
        </w:rPr>
        <w:t>د</w:t>
      </w:r>
      <w:r w:rsidRPr="00FE433F">
        <w:rPr>
          <w:i/>
          <w:sz w:val="23"/>
          <w:szCs w:val="23"/>
          <w:rtl/>
        </w:rPr>
        <w:t xml:space="preserve">. </w:t>
      </w:r>
      <w:r w:rsidRPr="00FE433F">
        <w:rPr>
          <w:rFonts w:hint="cs"/>
          <w:i/>
          <w:sz w:val="23"/>
          <w:szCs w:val="23"/>
          <w:rtl/>
        </w:rPr>
        <w:t xml:space="preserve">هرچند </w:t>
      </w:r>
      <w:r w:rsidRPr="00FE433F">
        <w:rPr>
          <w:rFonts w:hint="eastAsia"/>
          <w:i/>
          <w:sz w:val="23"/>
          <w:szCs w:val="23"/>
          <w:rtl/>
        </w:rPr>
        <w:t>در</w:t>
      </w:r>
      <w:r w:rsidRPr="00FE433F">
        <w:rPr>
          <w:i/>
          <w:sz w:val="23"/>
          <w:szCs w:val="23"/>
          <w:rtl/>
        </w:rPr>
        <w:t xml:space="preserve"> </w:t>
      </w:r>
      <w:r w:rsidRPr="00FE433F">
        <w:rPr>
          <w:rFonts w:hint="eastAsia"/>
          <w:i/>
          <w:sz w:val="23"/>
          <w:szCs w:val="23"/>
          <w:rtl/>
        </w:rPr>
        <w:t>خصوص</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دو</w:t>
      </w:r>
      <w:r w:rsidRPr="00FE433F">
        <w:rPr>
          <w:i/>
          <w:sz w:val="23"/>
          <w:szCs w:val="23"/>
          <w:rtl/>
        </w:rPr>
        <w:t xml:space="preserve"> </w:t>
      </w:r>
      <w:r w:rsidRPr="00FE433F">
        <w:rPr>
          <w:rFonts w:hint="cs"/>
          <w:i/>
          <w:sz w:val="23"/>
          <w:szCs w:val="23"/>
          <w:rtl/>
        </w:rPr>
        <w:t xml:space="preserve">موضوع در ادبیات اقتصاد پولی </w:t>
      </w:r>
      <w:r w:rsidRPr="00FE433F">
        <w:rPr>
          <w:rFonts w:hint="eastAsia"/>
          <w:i/>
          <w:sz w:val="23"/>
          <w:szCs w:val="23"/>
          <w:rtl/>
        </w:rPr>
        <w:t>مطالب</w:t>
      </w:r>
      <w:r w:rsidRPr="00FE433F">
        <w:rPr>
          <w:i/>
          <w:sz w:val="23"/>
          <w:szCs w:val="23"/>
          <w:rtl/>
        </w:rPr>
        <w:t xml:space="preserve"> </w:t>
      </w:r>
      <w:r w:rsidRPr="00FE433F">
        <w:rPr>
          <w:rFonts w:hint="eastAsia"/>
          <w:i/>
          <w:sz w:val="23"/>
          <w:szCs w:val="23"/>
          <w:rtl/>
        </w:rPr>
        <w:t>بس</w:t>
      </w:r>
      <w:r w:rsidRPr="00FE433F">
        <w:rPr>
          <w:rFonts w:hint="cs"/>
          <w:i/>
          <w:sz w:val="23"/>
          <w:szCs w:val="23"/>
          <w:rtl/>
        </w:rPr>
        <w:t>ی</w:t>
      </w:r>
      <w:r w:rsidRPr="00FE433F">
        <w:rPr>
          <w:rFonts w:hint="eastAsia"/>
          <w:i/>
          <w:sz w:val="23"/>
          <w:szCs w:val="23"/>
          <w:rtl/>
        </w:rPr>
        <w:t>ار</w:t>
      </w:r>
      <w:r w:rsidRPr="00FE433F">
        <w:rPr>
          <w:rFonts w:hint="cs"/>
          <w:i/>
          <w:sz w:val="23"/>
          <w:szCs w:val="23"/>
          <w:rtl/>
        </w:rPr>
        <w:t xml:space="preserve"> </w:t>
      </w:r>
      <w:r w:rsidRPr="00FE433F">
        <w:rPr>
          <w:rFonts w:hint="eastAsia"/>
          <w:i/>
          <w:sz w:val="23"/>
          <w:szCs w:val="23"/>
          <w:rtl/>
        </w:rPr>
        <w:t>ز</w:t>
      </w:r>
      <w:r w:rsidRPr="00FE433F">
        <w:rPr>
          <w:rFonts w:hint="cs"/>
          <w:i/>
          <w:sz w:val="23"/>
          <w:szCs w:val="23"/>
          <w:rtl/>
        </w:rPr>
        <w:t>ی</w:t>
      </w:r>
      <w:r w:rsidRPr="00FE433F">
        <w:rPr>
          <w:rFonts w:hint="eastAsia"/>
          <w:i/>
          <w:sz w:val="23"/>
          <w:szCs w:val="23"/>
          <w:rtl/>
        </w:rPr>
        <w:t>اد</w:t>
      </w:r>
      <w:r w:rsidRPr="00FE433F">
        <w:rPr>
          <w:rFonts w:hint="cs"/>
          <w:i/>
          <w:sz w:val="23"/>
          <w:szCs w:val="23"/>
          <w:rtl/>
        </w:rPr>
        <w:t>ی</w:t>
      </w:r>
      <w:r w:rsidRPr="00FE433F">
        <w:rPr>
          <w:i/>
          <w:sz w:val="23"/>
          <w:szCs w:val="23"/>
          <w:rtl/>
        </w:rPr>
        <w:t xml:space="preserve"> </w:t>
      </w:r>
      <w:r w:rsidRPr="00FE433F">
        <w:rPr>
          <w:rFonts w:hint="eastAsia"/>
          <w:i/>
          <w:sz w:val="23"/>
          <w:szCs w:val="23"/>
          <w:rtl/>
        </w:rPr>
        <w:t>وجود</w:t>
      </w:r>
      <w:r w:rsidRPr="00FE433F">
        <w:rPr>
          <w:i/>
          <w:sz w:val="23"/>
          <w:szCs w:val="23"/>
          <w:rtl/>
        </w:rPr>
        <w:t xml:space="preserve"> </w:t>
      </w:r>
      <w:r w:rsidRPr="00FE433F">
        <w:rPr>
          <w:rFonts w:hint="eastAsia"/>
          <w:i/>
          <w:sz w:val="23"/>
          <w:szCs w:val="23"/>
          <w:rtl/>
        </w:rPr>
        <w:t>دارد</w:t>
      </w:r>
      <w:r w:rsidRPr="00FE433F">
        <w:rPr>
          <w:rFonts w:hint="cs"/>
          <w:i/>
          <w:sz w:val="23"/>
          <w:szCs w:val="23"/>
          <w:rtl/>
        </w:rPr>
        <w:t>،</w:t>
      </w:r>
      <w:r w:rsidRPr="00FE433F">
        <w:rPr>
          <w:i/>
          <w:sz w:val="23"/>
          <w:szCs w:val="23"/>
          <w:rtl/>
        </w:rPr>
        <w:t xml:space="preserve"> </w:t>
      </w:r>
      <w:r w:rsidRPr="00FE433F">
        <w:rPr>
          <w:rFonts w:hint="eastAsia"/>
          <w:i/>
          <w:sz w:val="23"/>
          <w:szCs w:val="23"/>
          <w:rtl/>
        </w:rPr>
        <w:t>ام</w:t>
      </w:r>
      <w:r w:rsidRPr="00FE433F">
        <w:rPr>
          <w:rFonts w:hint="cs"/>
          <w:i/>
          <w:sz w:val="23"/>
          <w:szCs w:val="23"/>
          <w:rtl/>
        </w:rPr>
        <w:t>ّ</w:t>
      </w:r>
      <w:r w:rsidRPr="00FE433F">
        <w:rPr>
          <w:rFonts w:hint="eastAsia"/>
          <w:i/>
          <w:sz w:val="23"/>
          <w:szCs w:val="23"/>
          <w:rtl/>
        </w:rPr>
        <w:t>ا</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cs"/>
          <w:i/>
          <w:sz w:val="23"/>
          <w:szCs w:val="23"/>
          <w:rtl/>
        </w:rPr>
        <w:t>بخش</w:t>
      </w:r>
      <w:r w:rsidRPr="00FE433F">
        <w:rPr>
          <w:i/>
          <w:sz w:val="23"/>
          <w:szCs w:val="23"/>
          <w:rtl/>
        </w:rPr>
        <w:t xml:space="preserve"> </w:t>
      </w:r>
      <w:r w:rsidRPr="00FE433F">
        <w:rPr>
          <w:rFonts w:hint="eastAsia"/>
          <w:i/>
          <w:sz w:val="23"/>
          <w:szCs w:val="23"/>
          <w:rtl/>
        </w:rPr>
        <w:t>فقط</w:t>
      </w:r>
      <w:r w:rsidRPr="00FE433F">
        <w:rPr>
          <w:i/>
          <w:sz w:val="23"/>
          <w:szCs w:val="23"/>
          <w:rtl/>
        </w:rPr>
        <w:t xml:space="preserve"> </w:t>
      </w:r>
      <w:r w:rsidRPr="00FE433F">
        <w:rPr>
          <w:rFonts w:hint="eastAsia"/>
          <w:i/>
          <w:sz w:val="23"/>
          <w:szCs w:val="23"/>
          <w:rtl/>
        </w:rPr>
        <w:t>تار</w:t>
      </w:r>
      <w:r w:rsidRPr="00FE433F">
        <w:rPr>
          <w:rFonts w:hint="cs"/>
          <w:i/>
          <w:sz w:val="23"/>
          <w:szCs w:val="23"/>
          <w:rtl/>
        </w:rPr>
        <w:t>ی</w:t>
      </w:r>
      <w:r w:rsidRPr="00FE433F">
        <w:rPr>
          <w:rFonts w:hint="eastAsia"/>
          <w:i/>
          <w:sz w:val="23"/>
          <w:szCs w:val="23"/>
          <w:rtl/>
        </w:rPr>
        <w:t>خ</w:t>
      </w:r>
      <w:r w:rsidRPr="00FE433F">
        <w:rPr>
          <w:rFonts w:hint="cs"/>
          <w:i/>
          <w:sz w:val="23"/>
          <w:szCs w:val="23"/>
          <w:rtl/>
        </w:rPr>
        <w:t>چه</w:t>
      </w:r>
      <w:r w:rsidRPr="00FE433F">
        <w:rPr>
          <w:i/>
          <w:sz w:val="23"/>
          <w:szCs w:val="23"/>
          <w:rtl/>
        </w:rPr>
        <w:softHyphen/>
      </w:r>
      <w:r w:rsidRPr="00FE433F">
        <w:rPr>
          <w:rFonts w:hint="cs"/>
          <w:i/>
          <w:sz w:val="23"/>
          <w:szCs w:val="23"/>
          <w:rtl/>
        </w:rPr>
        <w:t>ی</w:t>
      </w:r>
      <w:r w:rsidRPr="00FE433F">
        <w:rPr>
          <w:i/>
          <w:sz w:val="23"/>
          <w:szCs w:val="23"/>
          <w:rtl/>
        </w:rPr>
        <w:t xml:space="preserve"> </w:t>
      </w:r>
      <w:r w:rsidRPr="00FE433F">
        <w:rPr>
          <w:rFonts w:hint="eastAsia"/>
          <w:i/>
          <w:sz w:val="23"/>
          <w:szCs w:val="23"/>
          <w:rtl/>
        </w:rPr>
        <w:t>مختصر</w:t>
      </w:r>
      <w:r w:rsidRPr="00FE433F">
        <w:rPr>
          <w:rFonts w:hint="cs"/>
          <w:i/>
          <w:sz w:val="23"/>
          <w:szCs w:val="23"/>
          <w:rtl/>
        </w:rPr>
        <w:t>ی</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وظا</w:t>
      </w:r>
      <w:r w:rsidRPr="00FE433F">
        <w:rPr>
          <w:rFonts w:hint="cs"/>
          <w:i/>
          <w:sz w:val="23"/>
          <w:szCs w:val="23"/>
          <w:rtl/>
        </w:rPr>
        <w:t>ی</w:t>
      </w:r>
      <w:r w:rsidRPr="00FE433F">
        <w:rPr>
          <w:rFonts w:hint="eastAsia"/>
          <w:i/>
          <w:sz w:val="23"/>
          <w:szCs w:val="23"/>
          <w:rtl/>
        </w:rPr>
        <w:t>ف</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مورد</w:t>
      </w:r>
      <w:r w:rsidRPr="00FE433F">
        <w:rPr>
          <w:i/>
          <w:sz w:val="23"/>
          <w:szCs w:val="23"/>
          <w:rtl/>
        </w:rPr>
        <w:t xml:space="preserve"> </w:t>
      </w:r>
      <w:r w:rsidRPr="00FE433F">
        <w:rPr>
          <w:rFonts w:hint="eastAsia"/>
          <w:i/>
          <w:sz w:val="23"/>
          <w:szCs w:val="23"/>
          <w:rtl/>
        </w:rPr>
        <w:t>بررس</w:t>
      </w:r>
      <w:r w:rsidRPr="00FE433F">
        <w:rPr>
          <w:rFonts w:hint="cs"/>
          <w:i/>
          <w:sz w:val="23"/>
          <w:szCs w:val="23"/>
          <w:rtl/>
        </w:rPr>
        <w:t>ی</w:t>
      </w:r>
      <w:r w:rsidRPr="00FE433F">
        <w:rPr>
          <w:i/>
          <w:sz w:val="23"/>
          <w:szCs w:val="23"/>
          <w:rtl/>
        </w:rPr>
        <w:t xml:space="preserve"> </w:t>
      </w:r>
      <w:r w:rsidRPr="00FE433F">
        <w:rPr>
          <w:rFonts w:hint="eastAsia"/>
          <w:i/>
          <w:sz w:val="23"/>
          <w:szCs w:val="23"/>
          <w:rtl/>
        </w:rPr>
        <w:t>قرار</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ده</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Pr>
        <w:t>‌</w:t>
      </w:r>
      <w:r w:rsidRPr="00FE433F">
        <w:rPr>
          <w:rFonts w:hint="cs"/>
          <w:i/>
          <w:sz w:val="23"/>
          <w:szCs w:val="23"/>
          <w:rtl/>
        </w:rPr>
        <w:t>ی</w:t>
      </w:r>
      <w:r w:rsidRPr="00FE433F">
        <w:rPr>
          <w:rFonts w:hint="eastAsia"/>
          <w:i/>
          <w:sz w:val="23"/>
          <w:szCs w:val="23"/>
          <w:rtl/>
        </w:rPr>
        <w:t>ک</w:t>
      </w:r>
      <w:r w:rsidRPr="00FE433F">
        <w:rPr>
          <w:rFonts w:hint="cs"/>
          <w:i/>
          <w:sz w:val="23"/>
          <w:szCs w:val="23"/>
          <w:rtl/>
        </w:rPr>
        <w:t>ی</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وظا</w:t>
      </w:r>
      <w:r w:rsidRPr="00FE433F">
        <w:rPr>
          <w:rFonts w:hint="cs"/>
          <w:i/>
          <w:sz w:val="23"/>
          <w:szCs w:val="23"/>
          <w:rtl/>
        </w:rPr>
        <w:t>ی</w:t>
      </w:r>
      <w:r w:rsidRPr="00FE433F">
        <w:rPr>
          <w:rFonts w:hint="eastAsia"/>
          <w:i/>
          <w:sz w:val="23"/>
          <w:szCs w:val="23"/>
          <w:rtl/>
        </w:rPr>
        <w:t>ف</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استفاده</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معاملات</w:t>
      </w:r>
      <w:r w:rsidRPr="00FE433F">
        <w:rPr>
          <w:i/>
          <w:sz w:val="23"/>
          <w:szCs w:val="23"/>
          <w:rtl/>
        </w:rPr>
        <w:t xml:space="preserve"> </w:t>
      </w:r>
      <w:r w:rsidRPr="00FE433F">
        <w:rPr>
          <w:rFonts w:hint="eastAsia"/>
          <w:i/>
          <w:sz w:val="23"/>
          <w:szCs w:val="23"/>
          <w:rtl/>
        </w:rPr>
        <w:t>کالاها</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خدمات</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دوم</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وظ</w:t>
      </w:r>
      <w:r w:rsidRPr="00FE433F">
        <w:rPr>
          <w:rFonts w:hint="cs"/>
          <w:i/>
          <w:sz w:val="23"/>
          <w:szCs w:val="23"/>
          <w:rtl/>
        </w:rPr>
        <w:t>ی</w:t>
      </w:r>
      <w:r w:rsidRPr="00FE433F">
        <w:rPr>
          <w:rFonts w:hint="eastAsia"/>
          <w:i/>
          <w:sz w:val="23"/>
          <w:szCs w:val="23"/>
          <w:rtl/>
        </w:rPr>
        <w:t>فه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ذخ</w:t>
      </w:r>
      <w:r w:rsidRPr="00FE433F">
        <w:rPr>
          <w:rFonts w:hint="cs"/>
          <w:i/>
          <w:sz w:val="23"/>
          <w:szCs w:val="23"/>
          <w:rtl/>
        </w:rPr>
        <w:t>ی</w:t>
      </w:r>
      <w:r w:rsidRPr="00FE433F">
        <w:rPr>
          <w:rFonts w:hint="eastAsia"/>
          <w:i/>
          <w:sz w:val="23"/>
          <w:szCs w:val="23"/>
          <w:rtl/>
        </w:rPr>
        <w:t>ره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ارزش</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منظور</w:t>
      </w:r>
      <w:r w:rsidRPr="00FE433F">
        <w:rPr>
          <w:i/>
          <w:sz w:val="23"/>
          <w:szCs w:val="23"/>
          <w:rtl/>
        </w:rPr>
        <w:t xml:space="preserve"> </w:t>
      </w:r>
      <w:r w:rsidRPr="00FE433F">
        <w:rPr>
          <w:rFonts w:hint="eastAsia"/>
          <w:i/>
          <w:sz w:val="23"/>
          <w:szCs w:val="23"/>
          <w:rtl/>
        </w:rPr>
        <w:t>انتقال</w:t>
      </w:r>
      <w:r w:rsidRPr="00FE433F">
        <w:rPr>
          <w:i/>
          <w:sz w:val="23"/>
          <w:szCs w:val="23"/>
          <w:rtl/>
        </w:rPr>
        <w:t xml:space="preserve"> </w:t>
      </w:r>
      <w:r w:rsidRPr="00FE433F">
        <w:rPr>
          <w:rFonts w:hint="eastAsia"/>
          <w:i/>
          <w:sz w:val="23"/>
          <w:szCs w:val="23"/>
          <w:rtl/>
        </w:rPr>
        <w:t>مصرف</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ط</w:t>
      </w:r>
      <w:r w:rsidRPr="00FE433F">
        <w:rPr>
          <w:rFonts w:hint="cs"/>
          <w:i/>
          <w:sz w:val="23"/>
          <w:szCs w:val="23"/>
          <w:rtl/>
        </w:rPr>
        <w:t>ی</w:t>
      </w:r>
      <w:r w:rsidRPr="00FE433F">
        <w:rPr>
          <w:i/>
          <w:sz w:val="23"/>
          <w:szCs w:val="23"/>
          <w:rtl/>
        </w:rPr>
        <w:t xml:space="preserve"> </w:t>
      </w:r>
      <w:r w:rsidRPr="00FE433F">
        <w:rPr>
          <w:rFonts w:hint="eastAsia"/>
          <w:i/>
          <w:sz w:val="23"/>
          <w:szCs w:val="23"/>
          <w:rtl/>
        </w:rPr>
        <w:t>زمان</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سوم</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وظ</w:t>
      </w:r>
      <w:r w:rsidRPr="00FE433F">
        <w:rPr>
          <w:rFonts w:hint="cs"/>
          <w:i/>
          <w:sz w:val="23"/>
          <w:szCs w:val="23"/>
          <w:rtl/>
        </w:rPr>
        <w:t>ی</w:t>
      </w:r>
      <w:r w:rsidRPr="00FE433F">
        <w:rPr>
          <w:rFonts w:hint="eastAsia"/>
          <w:i/>
          <w:sz w:val="23"/>
          <w:szCs w:val="23"/>
          <w:rtl/>
        </w:rPr>
        <w:t>فه</w:t>
      </w:r>
      <w:r w:rsidRPr="00FE433F">
        <w:rPr>
          <w:i/>
          <w:sz w:val="23"/>
          <w:szCs w:val="23"/>
          <w:rtl/>
        </w:rPr>
        <w:softHyphen/>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rFonts w:hint="cs"/>
          <w:i/>
          <w:sz w:val="23"/>
          <w:szCs w:val="23"/>
          <w:rtl/>
        </w:rPr>
        <w:t>،</w:t>
      </w:r>
      <w:r w:rsidRPr="00FE433F">
        <w:rPr>
          <w:i/>
          <w:sz w:val="23"/>
          <w:szCs w:val="23"/>
          <w:rtl/>
        </w:rPr>
        <w:t xml:space="preserve"> </w:t>
      </w:r>
      <w:r w:rsidRPr="00FE433F">
        <w:rPr>
          <w:rFonts w:hint="eastAsia"/>
          <w:i/>
          <w:sz w:val="23"/>
          <w:szCs w:val="23"/>
          <w:rtl/>
        </w:rPr>
        <w:t>اعتبار</w:t>
      </w:r>
      <w:r w:rsidRPr="00FE433F">
        <w:rPr>
          <w:rFonts w:hint="cs"/>
          <w:i/>
          <w:sz w:val="23"/>
          <w:szCs w:val="23"/>
          <w:rtl/>
        </w:rPr>
        <w:t>ی</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قابل</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eastAsia"/>
          <w:i/>
          <w:sz w:val="23"/>
          <w:szCs w:val="23"/>
          <w:rtl/>
        </w:rPr>
        <w:t>اس</w:t>
      </w:r>
      <w:r w:rsidRPr="00FE433F">
        <w:rPr>
          <w:rFonts w:hint="cs"/>
          <w:i/>
          <w:sz w:val="23"/>
          <w:szCs w:val="23"/>
          <w:rtl/>
        </w:rPr>
        <w:t>ت</w:t>
      </w:r>
      <w:r w:rsidRPr="00FE433F">
        <w:rPr>
          <w:rFonts w:hint="eastAsia"/>
          <w:i/>
          <w:sz w:val="23"/>
          <w:szCs w:val="23"/>
          <w:rtl/>
        </w:rPr>
        <w:t>قراض</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مصرف</w:t>
      </w:r>
      <w:r w:rsidRPr="00FE433F">
        <w:rPr>
          <w:i/>
          <w:sz w:val="23"/>
          <w:szCs w:val="23"/>
          <w:rtl/>
        </w:rPr>
        <w:t xml:space="preserve"> </w:t>
      </w:r>
      <w:r w:rsidRPr="00FE433F">
        <w:rPr>
          <w:rFonts w:hint="eastAsia"/>
          <w:i/>
          <w:sz w:val="23"/>
          <w:szCs w:val="23"/>
          <w:rtl/>
        </w:rPr>
        <w:t>امروز</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بازپرداخت</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آ</w:t>
      </w:r>
      <w:r w:rsidRPr="00FE433F">
        <w:rPr>
          <w:rFonts w:hint="cs"/>
          <w:i/>
          <w:sz w:val="23"/>
          <w:szCs w:val="23"/>
          <w:rtl/>
        </w:rPr>
        <w:t>ی</w:t>
      </w:r>
      <w:r w:rsidRPr="00FE433F">
        <w:rPr>
          <w:rFonts w:hint="eastAsia"/>
          <w:i/>
          <w:sz w:val="23"/>
          <w:szCs w:val="23"/>
          <w:rtl/>
        </w:rPr>
        <w:t>نده</w:t>
      </w:r>
      <w:r w:rsidRPr="00FE433F">
        <w:rPr>
          <w:i/>
          <w:sz w:val="23"/>
          <w:szCs w:val="23"/>
          <w:rtl/>
        </w:rPr>
        <w:t xml:space="preserve"> </w:t>
      </w:r>
      <w:r w:rsidRPr="00FE433F">
        <w:rPr>
          <w:rFonts w:hint="eastAsia"/>
          <w:i/>
          <w:sz w:val="23"/>
          <w:szCs w:val="23"/>
          <w:rtl/>
        </w:rPr>
        <w:t>را</w:t>
      </w:r>
      <w:r w:rsidRPr="00FE433F">
        <w:rPr>
          <w:rFonts w:hint="cs"/>
          <w:i/>
          <w:sz w:val="23"/>
          <w:szCs w:val="23"/>
          <w:rtl/>
        </w:rPr>
        <w:t xml:space="preserve"> </w:t>
      </w:r>
      <w:r w:rsidRPr="00FE433F">
        <w:rPr>
          <w:rFonts w:hint="eastAsia"/>
          <w:i/>
          <w:sz w:val="23"/>
          <w:szCs w:val="23"/>
          <w:rtl/>
        </w:rPr>
        <w:t>دارد</w:t>
      </w:r>
      <w:r w:rsidRPr="00FE433F">
        <w:rPr>
          <w:i/>
          <w:sz w:val="23"/>
          <w:szCs w:val="23"/>
          <w:rtl/>
        </w:rPr>
        <w:t xml:space="preserve">. </w:t>
      </w:r>
      <w:r w:rsidRPr="00FE433F">
        <w:rPr>
          <w:rFonts w:hint="cs"/>
          <w:i/>
          <w:sz w:val="23"/>
          <w:szCs w:val="23"/>
          <w:rtl/>
        </w:rPr>
        <w:t xml:space="preserve">البته </w:t>
      </w:r>
      <w:r w:rsidRPr="00FE433F">
        <w:rPr>
          <w:rFonts w:hint="eastAsia"/>
          <w:i/>
          <w:sz w:val="23"/>
          <w:szCs w:val="23"/>
          <w:rtl/>
        </w:rPr>
        <w:t>پول</w:t>
      </w:r>
      <w:r w:rsidRPr="00FE433F">
        <w:rPr>
          <w:i/>
          <w:sz w:val="23"/>
          <w:szCs w:val="23"/>
          <w:rtl/>
        </w:rPr>
        <w:t xml:space="preserve"> </w:t>
      </w:r>
      <w:r w:rsidRPr="00FE433F">
        <w:rPr>
          <w:rFonts w:hint="eastAsia"/>
          <w:i/>
          <w:sz w:val="23"/>
          <w:szCs w:val="23"/>
          <w:rtl/>
        </w:rPr>
        <w:t>قابل</w:t>
      </w:r>
      <w:r w:rsidRPr="00FE433F">
        <w:rPr>
          <w:rFonts w:hint="cs"/>
          <w:i/>
          <w:sz w:val="23"/>
          <w:szCs w:val="23"/>
          <w:rtl/>
        </w:rPr>
        <w:t>ی</w:t>
      </w:r>
      <w:r w:rsidRPr="00FE433F">
        <w:rPr>
          <w:rFonts w:hint="eastAsia"/>
          <w:i/>
          <w:sz w:val="23"/>
          <w:szCs w:val="23"/>
          <w:rtl/>
        </w:rPr>
        <w:t>ت</w:t>
      </w:r>
      <w:r w:rsidRPr="00FE433F">
        <w:rPr>
          <w:i/>
          <w:sz w:val="23"/>
          <w:szCs w:val="23"/>
          <w:rtl/>
        </w:rPr>
        <w:softHyphen/>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د</w:t>
      </w:r>
      <w:r w:rsidRPr="00FE433F">
        <w:rPr>
          <w:rFonts w:hint="cs"/>
          <w:i/>
          <w:sz w:val="23"/>
          <w:szCs w:val="23"/>
          <w:rtl/>
        </w:rPr>
        <w:t>ی</w:t>
      </w:r>
      <w:r w:rsidRPr="00FE433F">
        <w:rPr>
          <w:rFonts w:hint="eastAsia"/>
          <w:i/>
          <w:sz w:val="23"/>
          <w:szCs w:val="23"/>
          <w:rtl/>
        </w:rPr>
        <w:t>گر</w:t>
      </w:r>
      <w:r w:rsidRPr="00FE433F">
        <w:rPr>
          <w:rFonts w:hint="cs"/>
          <w:i/>
          <w:sz w:val="23"/>
          <w:szCs w:val="23"/>
          <w:rtl/>
        </w:rPr>
        <w:t>ی</w:t>
      </w:r>
      <w:r w:rsidRPr="00FE433F">
        <w:rPr>
          <w:i/>
          <w:sz w:val="23"/>
          <w:szCs w:val="23"/>
          <w:rtl/>
        </w:rPr>
        <w:t xml:space="preserve"> </w:t>
      </w:r>
      <w:r w:rsidRPr="00FE433F">
        <w:rPr>
          <w:rFonts w:hint="cs"/>
          <w:i/>
          <w:sz w:val="23"/>
          <w:szCs w:val="23"/>
          <w:rtl/>
        </w:rPr>
        <w:t xml:space="preserve">نیز </w:t>
      </w:r>
      <w:r w:rsidRPr="00FE433F">
        <w:rPr>
          <w:rFonts w:hint="eastAsia"/>
          <w:i/>
          <w:sz w:val="23"/>
          <w:szCs w:val="23"/>
          <w:rtl/>
        </w:rPr>
        <w:t>دارد</w:t>
      </w:r>
      <w:r w:rsidRPr="00FE433F">
        <w:rPr>
          <w:i/>
          <w:sz w:val="23"/>
          <w:szCs w:val="23"/>
          <w:rtl/>
        </w:rPr>
        <w:t xml:space="preserve"> </w:t>
      </w:r>
      <w:r w:rsidRPr="00FE433F">
        <w:rPr>
          <w:rFonts w:hint="cs"/>
          <w:i/>
          <w:sz w:val="23"/>
          <w:szCs w:val="23"/>
          <w:rtl/>
        </w:rPr>
        <w:t>و</w:t>
      </w:r>
      <w:r w:rsidRPr="00FE433F">
        <w:rPr>
          <w:i/>
          <w:sz w:val="23"/>
          <w:szCs w:val="23"/>
          <w:rtl/>
        </w:rPr>
        <w:t xml:space="preserve"> </w:t>
      </w:r>
      <w:r w:rsidRPr="00FE433F">
        <w:rPr>
          <w:rFonts w:hint="eastAsia"/>
          <w:i/>
          <w:sz w:val="23"/>
          <w:szCs w:val="23"/>
          <w:rtl/>
        </w:rPr>
        <w:t>کاربرد</w:t>
      </w:r>
      <w:r w:rsidRPr="00FE433F">
        <w:rPr>
          <w:i/>
          <w:sz w:val="23"/>
          <w:szCs w:val="23"/>
          <w:rtl/>
        </w:rPr>
        <w:t xml:space="preserve"> </w:t>
      </w:r>
      <w:r w:rsidRPr="00FE433F">
        <w:rPr>
          <w:rFonts w:hint="cs"/>
          <w:i/>
          <w:sz w:val="23"/>
          <w:szCs w:val="23"/>
          <w:rtl/>
        </w:rPr>
        <w:t>آن</w:t>
      </w:r>
      <w:r w:rsidRPr="00FE433F">
        <w:rPr>
          <w:i/>
          <w:sz w:val="23"/>
          <w:szCs w:val="23"/>
          <w:rtl/>
        </w:rPr>
        <w:t xml:space="preserve"> </w:t>
      </w:r>
      <w:r w:rsidRPr="00FE433F">
        <w:rPr>
          <w:rFonts w:hint="eastAsia"/>
          <w:i/>
          <w:sz w:val="23"/>
          <w:szCs w:val="23"/>
          <w:rtl/>
        </w:rPr>
        <w:t>عمدتاً</w:t>
      </w:r>
      <w:r w:rsidRPr="00FE433F">
        <w:rPr>
          <w:i/>
          <w:sz w:val="23"/>
          <w:szCs w:val="23"/>
          <w:rtl/>
        </w:rPr>
        <w:t xml:space="preserve"> </w:t>
      </w:r>
      <w:r w:rsidRPr="00FE433F">
        <w:rPr>
          <w:rFonts w:hint="eastAsia"/>
          <w:i/>
          <w:sz w:val="23"/>
          <w:szCs w:val="23"/>
          <w:rtl/>
        </w:rPr>
        <w:t>متک</w:t>
      </w:r>
      <w:r w:rsidRPr="00FE433F">
        <w:rPr>
          <w:rFonts w:hint="cs"/>
          <w:i/>
          <w:sz w:val="23"/>
          <w:szCs w:val="23"/>
          <w:rtl/>
        </w:rPr>
        <w:t>ی</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بر</w:t>
      </w:r>
      <w:r w:rsidRPr="00FE433F">
        <w:rPr>
          <w:i/>
          <w:sz w:val="23"/>
          <w:szCs w:val="23"/>
          <w:rtl/>
        </w:rPr>
        <w:t xml:space="preserve"> </w:t>
      </w:r>
      <w:r w:rsidRPr="00FE433F">
        <w:rPr>
          <w:rFonts w:hint="eastAsia"/>
          <w:i/>
          <w:sz w:val="23"/>
          <w:szCs w:val="23"/>
          <w:rtl/>
        </w:rPr>
        <w:t>هز</w:t>
      </w:r>
      <w:r w:rsidRPr="00FE433F">
        <w:rPr>
          <w:rFonts w:hint="cs"/>
          <w:i/>
          <w:sz w:val="23"/>
          <w:szCs w:val="23"/>
          <w:rtl/>
        </w:rPr>
        <w:t>ی</w:t>
      </w:r>
      <w:r w:rsidRPr="00FE433F">
        <w:rPr>
          <w:rFonts w:hint="eastAsia"/>
          <w:i/>
          <w:sz w:val="23"/>
          <w:szCs w:val="23"/>
          <w:rtl/>
        </w:rPr>
        <w:t>نه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فا</w:t>
      </w:r>
      <w:r w:rsidRPr="00FE433F">
        <w:rPr>
          <w:rFonts w:hint="cs"/>
          <w:i/>
          <w:sz w:val="23"/>
          <w:szCs w:val="23"/>
          <w:rtl/>
        </w:rPr>
        <w:t>ی</w:t>
      </w:r>
      <w:r w:rsidRPr="00FE433F">
        <w:rPr>
          <w:rFonts w:hint="eastAsia"/>
          <w:i/>
          <w:sz w:val="23"/>
          <w:szCs w:val="23"/>
          <w:rtl/>
        </w:rPr>
        <w:t>ده</w:t>
      </w:r>
      <w:r w:rsidRPr="00FE433F">
        <w:rPr>
          <w:i/>
          <w:sz w:val="23"/>
          <w:szCs w:val="23"/>
          <w:rtl/>
        </w:rPr>
        <w:t>.</w:t>
      </w:r>
    </w:p>
    <w:p w14:paraId="67013F16" w14:textId="77777777" w:rsidR="00411620" w:rsidRPr="00FE433F" w:rsidRDefault="00411620" w:rsidP="00411620">
      <w:pPr>
        <w:spacing w:line="216" w:lineRule="auto"/>
        <w:rPr>
          <w:i/>
          <w:sz w:val="23"/>
          <w:szCs w:val="23"/>
        </w:rPr>
      </w:pPr>
      <w:r w:rsidRPr="00FE433F">
        <w:rPr>
          <w:rFonts w:hint="eastAsia"/>
          <w:i/>
          <w:sz w:val="23"/>
          <w:szCs w:val="23"/>
          <w:rtl/>
        </w:rPr>
        <w:t>معاملات</w:t>
      </w:r>
      <w:r w:rsidRPr="00FE433F">
        <w:rPr>
          <w:i/>
          <w:sz w:val="23"/>
          <w:szCs w:val="23"/>
          <w:rtl/>
        </w:rPr>
        <w:t xml:space="preserve"> </w:t>
      </w:r>
      <w:r w:rsidRPr="00FE433F">
        <w:rPr>
          <w:rFonts w:hint="eastAsia"/>
          <w:i/>
          <w:sz w:val="23"/>
          <w:szCs w:val="23"/>
          <w:rtl/>
        </w:rPr>
        <w:t>کالاها</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خدمات</w:t>
      </w:r>
      <w:r w:rsidRPr="00FE433F">
        <w:rPr>
          <w:i/>
          <w:sz w:val="23"/>
          <w:szCs w:val="23"/>
          <w:rtl/>
        </w:rPr>
        <w:t xml:space="preserve"> </w:t>
      </w:r>
      <w:r w:rsidRPr="00FE433F">
        <w:rPr>
          <w:rFonts w:hint="eastAsia"/>
          <w:i/>
          <w:sz w:val="23"/>
          <w:szCs w:val="23"/>
          <w:rtl/>
        </w:rPr>
        <w:t>ممکن</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بصورت</w:t>
      </w:r>
      <w:r w:rsidRPr="00FE433F">
        <w:rPr>
          <w:i/>
          <w:sz w:val="23"/>
          <w:szCs w:val="23"/>
          <w:rtl/>
        </w:rPr>
        <w:t xml:space="preserve"> </w:t>
      </w:r>
      <w:r w:rsidRPr="00FE433F">
        <w:rPr>
          <w:rFonts w:hint="eastAsia"/>
          <w:i/>
          <w:sz w:val="23"/>
          <w:szCs w:val="23"/>
          <w:rtl/>
        </w:rPr>
        <w:t>پا</w:t>
      </w:r>
      <w:r w:rsidRPr="00FE433F">
        <w:rPr>
          <w:rFonts w:hint="cs"/>
          <w:i/>
          <w:sz w:val="23"/>
          <w:szCs w:val="23"/>
          <w:rtl/>
        </w:rPr>
        <w:t>ی</w:t>
      </w:r>
      <w:r w:rsidRPr="00FE433F">
        <w:rPr>
          <w:rFonts w:hint="eastAsia"/>
          <w:i/>
          <w:sz w:val="23"/>
          <w:szCs w:val="23"/>
          <w:rtl/>
        </w:rPr>
        <w:t>اپا</w:t>
      </w:r>
      <w:r w:rsidRPr="00FE433F">
        <w:rPr>
          <w:rFonts w:hint="cs"/>
          <w:i/>
          <w:sz w:val="23"/>
          <w:szCs w:val="23"/>
          <w:rtl/>
        </w:rPr>
        <w:t>ی</w:t>
      </w:r>
      <w:r w:rsidRPr="00FE433F">
        <w:rPr>
          <w:i/>
          <w:sz w:val="23"/>
          <w:szCs w:val="23"/>
          <w:rtl/>
        </w:rPr>
        <w:t xml:space="preserve"> </w:t>
      </w:r>
      <w:r w:rsidRPr="00FE433F">
        <w:rPr>
          <w:rFonts w:hint="eastAsia"/>
          <w:i/>
          <w:sz w:val="23"/>
          <w:szCs w:val="23"/>
          <w:rtl/>
        </w:rPr>
        <w:t>و</w:t>
      </w:r>
      <w:r w:rsidRPr="00FE433F">
        <w:rPr>
          <w:rFonts w:hint="cs"/>
          <w:i/>
          <w:sz w:val="23"/>
          <w:szCs w:val="23"/>
          <w:rtl/>
        </w:rPr>
        <w:t xml:space="preserve"> </w:t>
      </w:r>
      <w:r w:rsidRPr="00FE433F">
        <w:rPr>
          <w:rFonts w:hint="eastAsia"/>
          <w:i/>
          <w:sz w:val="23"/>
          <w:szCs w:val="23"/>
        </w:rPr>
        <w:t>‌</w:t>
      </w:r>
      <w:r w:rsidRPr="00FE433F">
        <w:rPr>
          <w:rFonts w:hint="cs"/>
          <w:i/>
          <w:sz w:val="23"/>
          <w:szCs w:val="23"/>
          <w:rtl/>
        </w:rPr>
        <w:t>ی</w:t>
      </w:r>
      <w:r w:rsidRPr="00FE433F">
        <w:rPr>
          <w:rFonts w:hint="eastAsia"/>
          <w:i/>
          <w:sz w:val="23"/>
          <w:szCs w:val="23"/>
          <w:rtl/>
        </w:rPr>
        <w:t>ا</w:t>
      </w:r>
      <w:r w:rsidRPr="00FE433F">
        <w:rPr>
          <w:i/>
          <w:sz w:val="23"/>
          <w:szCs w:val="23"/>
          <w:rtl/>
        </w:rPr>
        <w:t xml:space="preserve"> </w:t>
      </w:r>
      <w:r w:rsidRPr="00FE433F">
        <w:rPr>
          <w:rFonts w:hint="eastAsia"/>
          <w:i/>
          <w:sz w:val="23"/>
          <w:szCs w:val="23"/>
          <w:rtl/>
        </w:rPr>
        <w:t>تهاتر</w:t>
      </w:r>
      <w:r w:rsidRPr="00FE433F">
        <w:rPr>
          <w:rFonts w:hint="cs"/>
          <w:i/>
          <w:sz w:val="23"/>
          <w:szCs w:val="23"/>
          <w:rtl/>
        </w:rPr>
        <w:t>ی</w:t>
      </w:r>
      <w:r w:rsidRPr="00FE433F">
        <w:rPr>
          <w:i/>
          <w:sz w:val="23"/>
          <w:szCs w:val="23"/>
          <w:rtl/>
        </w:rPr>
        <w:t xml:space="preserve"> </w:t>
      </w:r>
      <w:r w:rsidRPr="00FE433F">
        <w:rPr>
          <w:rFonts w:hint="eastAsia"/>
          <w:i/>
          <w:sz w:val="23"/>
          <w:szCs w:val="23"/>
          <w:rtl/>
        </w:rPr>
        <w:t>انجام</w:t>
      </w:r>
      <w:r w:rsidRPr="00FE433F">
        <w:rPr>
          <w:i/>
          <w:sz w:val="23"/>
          <w:szCs w:val="23"/>
          <w:rtl/>
        </w:rPr>
        <w:t xml:space="preserve"> </w:t>
      </w:r>
      <w:r w:rsidRPr="00FE433F">
        <w:rPr>
          <w:rFonts w:hint="eastAsia"/>
          <w:i/>
          <w:sz w:val="23"/>
          <w:szCs w:val="23"/>
          <w:rtl/>
        </w:rPr>
        <w:t>شوند</w:t>
      </w:r>
      <w:r w:rsidRPr="00FE433F">
        <w:rPr>
          <w:i/>
          <w:sz w:val="23"/>
          <w:szCs w:val="23"/>
          <w:rtl/>
        </w:rPr>
        <w:t xml:space="preserve">. </w:t>
      </w:r>
      <w:r w:rsidRPr="00FE433F">
        <w:rPr>
          <w:rFonts w:hint="eastAsia"/>
          <w:i/>
          <w:sz w:val="23"/>
          <w:szCs w:val="23"/>
          <w:rtl/>
        </w:rPr>
        <w:t>معا</w:t>
      </w:r>
      <w:r w:rsidRPr="00FE433F">
        <w:rPr>
          <w:rFonts w:hint="cs"/>
          <w:i/>
          <w:sz w:val="23"/>
          <w:szCs w:val="23"/>
          <w:rtl/>
        </w:rPr>
        <w:t>ی</w:t>
      </w:r>
      <w:r w:rsidRPr="00FE433F">
        <w:rPr>
          <w:rFonts w:hint="eastAsia"/>
          <w:i/>
          <w:sz w:val="23"/>
          <w:szCs w:val="23"/>
          <w:rtl/>
        </w:rPr>
        <w:t>ب</w:t>
      </w:r>
      <w:r w:rsidRPr="00FE433F">
        <w:rPr>
          <w:i/>
          <w:sz w:val="23"/>
          <w:szCs w:val="23"/>
          <w:rtl/>
        </w:rPr>
        <w:t xml:space="preserve"> </w:t>
      </w:r>
      <w:r w:rsidRPr="00FE433F">
        <w:rPr>
          <w:rFonts w:hint="eastAsia"/>
          <w:i/>
          <w:sz w:val="23"/>
          <w:szCs w:val="23"/>
          <w:rtl/>
        </w:rPr>
        <w:t>روش</w:t>
      </w:r>
      <w:r w:rsidRPr="00FE433F">
        <w:rPr>
          <w:i/>
          <w:sz w:val="23"/>
          <w:szCs w:val="23"/>
          <w:rtl/>
        </w:rPr>
        <w:t xml:space="preserve"> </w:t>
      </w:r>
      <w:r w:rsidRPr="00FE433F">
        <w:rPr>
          <w:rFonts w:hint="eastAsia"/>
          <w:i/>
          <w:sz w:val="23"/>
          <w:szCs w:val="23"/>
          <w:rtl/>
        </w:rPr>
        <w:t>تهاتر</w:t>
      </w:r>
      <w:r w:rsidRPr="00FE433F">
        <w:rPr>
          <w:rFonts w:hint="cs"/>
          <w:i/>
          <w:sz w:val="23"/>
          <w:szCs w:val="23"/>
          <w:rtl/>
        </w:rPr>
        <w:t>ی</w:t>
      </w:r>
      <w:r w:rsidRPr="00FE433F">
        <w:rPr>
          <w:i/>
          <w:sz w:val="23"/>
          <w:szCs w:val="23"/>
          <w:rtl/>
        </w:rPr>
        <w:t xml:space="preserve"> </w:t>
      </w:r>
      <w:r w:rsidRPr="00FE433F">
        <w:rPr>
          <w:rFonts w:hint="eastAsia"/>
          <w:i/>
          <w:sz w:val="23"/>
          <w:szCs w:val="23"/>
          <w:rtl/>
        </w:rPr>
        <w:t>و</w:t>
      </w:r>
      <w:r w:rsidRPr="00FE433F">
        <w:rPr>
          <w:rFonts w:hint="eastAsia"/>
          <w:i/>
          <w:sz w:val="23"/>
          <w:szCs w:val="23"/>
        </w:rPr>
        <w:t>‌</w:t>
      </w:r>
      <w:r w:rsidRPr="00FE433F">
        <w:rPr>
          <w:rFonts w:hint="cs"/>
          <w:i/>
          <w:sz w:val="23"/>
          <w:szCs w:val="23"/>
          <w:rtl/>
        </w:rPr>
        <w:t xml:space="preserve"> ی</w:t>
      </w:r>
      <w:r w:rsidRPr="00FE433F">
        <w:rPr>
          <w:rFonts w:hint="eastAsia"/>
          <w:i/>
          <w:sz w:val="23"/>
          <w:szCs w:val="23"/>
          <w:rtl/>
        </w:rPr>
        <w:t>ا</w:t>
      </w:r>
      <w:r w:rsidRPr="00FE433F">
        <w:rPr>
          <w:i/>
          <w:sz w:val="23"/>
          <w:szCs w:val="23"/>
          <w:rtl/>
        </w:rPr>
        <w:t xml:space="preserve"> </w:t>
      </w:r>
      <w:r w:rsidRPr="00FE433F">
        <w:rPr>
          <w:rFonts w:hint="eastAsia"/>
          <w:i/>
          <w:sz w:val="23"/>
          <w:szCs w:val="23"/>
          <w:rtl/>
        </w:rPr>
        <w:t>معاملات</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صورت</w:t>
      </w:r>
      <w:r w:rsidRPr="00FE433F">
        <w:rPr>
          <w:i/>
          <w:sz w:val="23"/>
          <w:szCs w:val="23"/>
          <w:rtl/>
        </w:rPr>
        <w:t xml:space="preserve"> </w:t>
      </w:r>
      <w:r w:rsidRPr="00FE433F">
        <w:rPr>
          <w:rFonts w:hint="eastAsia"/>
          <w:i/>
          <w:sz w:val="23"/>
          <w:szCs w:val="23"/>
          <w:rtl/>
        </w:rPr>
        <w:t>پا</w:t>
      </w:r>
      <w:r w:rsidRPr="00FE433F">
        <w:rPr>
          <w:rFonts w:hint="cs"/>
          <w:i/>
          <w:sz w:val="23"/>
          <w:szCs w:val="23"/>
          <w:rtl/>
        </w:rPr>
        <w:t>ی</w:t>
      </w:r>
      <w:r w:rsidRPr="00FE433F">
        <w:rPr>
          <w:rFonts w:hint="eastAsia"/>
          <w:i/>
          <w:sz w:val="23"/>
          <w:szCs w:val="23"/>
          <w:rtl/>
        </w:rPr>
        <w:t>اپا</w:t>
      </w:r>
      <w:r w:rsidRPr="00FE433F">
        <w:rPr>
          <w:rFonts w:hint="cs"/>
          <w:i/>
          <w:sz w:val="23"/>
          <w:szCs w:val="23"/>
          <w:rtl/>
        </w:rPr>
        <w:t>ی</w:t>
      </w:r>
      <w:r w:rsidRPr="00FE433F">
        <w:rPr>
          <w:i/>
          <w:sz w:val="23"/>
          <w:szCs w:val="23"/>
          <w:rtl/>
        </w:rPr>
        <w:t xml:space="preserve"> </w:t>
      </w:r>
      <w:r w:rsidRPr="00FE433F">
        <w:rPr>
          <w:rFonts w:hint="eastAsia"/>
          <w:i/>
          <w:sz w:val="23"/>
          <w:szCs w:val="23"/>
          <w:rtl/>
        </w:rPr>
        <w:t>کاملاً</w:t>
      </w:r>
      <w:r w:rsidRPr="00FE433F">
        <w:rPr>
          <w:i/>
          <w:sz w:val="23"/>
          <w:szCs w:val="23"/>
          <w:rtl/>
        </w:rPr>
        <w:t xml:space="preserve"> </w:t>
      </w:r>
      <w:r w:rsidRPr="00FE433F">
        <w:rPr>
          <w:rFonts w:hint="eastAsia"/>
          <w:i/>
          <w:sz w:val="23"/>
          <w:szCs w:val="23"/>
          <w:rtl/>
        </w:rPr>
        <w:t>شناخته</w:t>
      </w:r>
      <w:r w:rsidRPr="00FE433F">
        <w:rPr>
          <w:i/>
          <w:sz w:val="23"/>
          <w:szCs w:val="23"/>
          <w:rtl/>
        </w:rPr>
        <w:t xml:space="preserve"> </w:t>
      </w:r>
      <w:r w:rsidRPr="00FE433F">
        <w:rPr>
          <w:rFonts w:hint="eastAsia"/>
          <w:i/>
          <w:sz w:val="23"/>
          <w:szCs w:val="23"/>
          <w:rtl/>
        </w:rPr>
        <w:t>شده</w:t>
      </w:r>
      <w:r w:rsidRPr="00FE433F">
        <w:rPr>
          <w:i/>
          <w:sz w:val="23"/>
          <w:szCs w:val="23"/>
          <w:rtl/>
        </w:rPr>
        <w:t xml:space="preserve"> </w:t>
      </w:r>
      <w:r w:rsidRPr="00FE433F">
        <w:rPr>
          <w:rFonts w:hint="cs"/>
          <w:i/>
          <w:sz w:val="23"/>
          <w:szCs w:val="23"/>
          <w:rtl/>
        </w:rPr>
        <w:t>و</w:t>
      </w:r>
      <w:r w:rsidRPr="00FE433F">
        <w:rPr>
          <w:i/>
          <w:sz w:val="23"/>
          <w:szCs w:val="23"/>
          <w:rtl/>
        </w:rPr>
        <w:t xml:space="preserve"> </w:t>
      </w:r>
      <w:r w:rsidRPr="00FE433F">
        <w:rPr>
          <w:rFonts w:hint="eastAsia"/>
          <w:i/>
          <w:sz w:val="23"/>
          <w:szCs w:val="23"/>
          <w:rtl/>
        </w:rPr>
        <w:t>مستلزم</w:t>
      </w:r>
      <w:r w:rsidRPr="00FE433F">
        <w:rPr>
          <w:i/>
          <w:sz w:val="23"/>
          <w:szCs w:val="23"/>
          <w:rtl/>
        </w:rPr>
        <w:t xml:space="preserve"> </w:t>
      </w:r>
      <w:r w:rsidRPr="00FE433F">
        <w:rPr>
          <w:rFonts w:hint="eastAsia"/>
          <w:i/>
          <w:sz w:val="23"/>
          <w:szCs w:val="23"/>
          <w:rtl/>
        </w:rPr>
        <w:t>وجود</w:t>
      </w:r>
      <w:r w:rsidRPr="00FE433F">
        <w:rPr>
          <w:i/>
          <w:sz w:val="23"/>
          <w:szCs w:val="23"/>
          <w:rtl/>
        </w:rPr>
        <w:t xml:space="preserve"> </w:t>
      </w:r>
      <w:r w:rsidRPr="00FE433F">
        <w:rPr>
          <w:rFonts w:hint="eastAsia"/>
          <w:i/>
          <w:sz w:val="23"/>
          <w:szCs w:val="23"/>
          <w:rtl/>
        </w:rPr>
        <w:t>همزمان</w:t>
      </w:r>
      <w:r w:rsidRPr="00FE433F">
        <w:rPr>
          <w:rFonts w:hint="cs"/>
          <w:i/>
          <w:sz w:val="23"/>
          <w:szCs w:val="23"/>
          <w:rtl/>
        </w:rPr>
        <w:t>ی</w:t>
      </w:r>
      <w:r w:rsidRPr="00FE433F">
        <w:rPr>
          <w:i/>
          <w:sz w:val="23"/>
          <w:szCs w:val="23"/>
          <w:rtl/>
        </w:rPr>
        <w:t xml:space="preserve"> </w:t>
      </w:r>
      <w:r w:rsidRPr="00FE433F">
        <w:rPr>
          <w:rFonts w:hint="eastAsia"/>
          <w:i/>
          <w:sz w:val="23"/>
          <w:szCs w:val="23"/>
          <w:rtl/>
        </w:rPr>
        <w:t>مقدار</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نوع</w:t>
      </w:r>
      <w:r w:rsidRPr="00FE433F">
        <w:rPr>
          <w:i/>
          <w:sz w:val="23"/>
          <w:szCs w:val="23"/>
          <w:rtl/>
        </w:rPr>
        <w:t xml:space="preserve"> </w:t>
      </w:r>
      <w:r w:rsidRPr="00FE433F">
        <w:rPr>
          <w:rFonts w:hint="eastAsia"/>
          <w:i/>
          <w:sz w:val="23"/>
          <w:szCs w:val="23"/>
          <w:rtl/>
        </w:rPr>
        <w:t>کالا</w:t>
      </w:r>
      <w:r w:rsidRPr="00FE433F">
        <w:rPr>
          <w:rFonts w:hint="cs"/>
          <w:i/>
          <w:sz w:val="23"/>
          <w:szCs w:val="23"/>
          <w:rtl/>
        </w:rPr>
        <w:t>ی</w:t>
      </w:r>
      <w:r w:rsidRPr="00FE433F">
        <w:rPr>
          <w:i/>
          <w:sz w:val="23"/>
          <w:szCs w:val="23"/>
          <w:rtl/>
        </w:rPr>
        <w:t xml:space="preserve"> </w:t>
      </w:r>
      <w:r w:rsidRPr="00FE433F">
        <w:rPr>
          <w:rFonts w:hint="eastAsia"/>
          <w:i/>
          <w:sz w:val="23"/>
          <w:szCs w:val="23"/>
          <w:rtl/>
        </w:rPr>
        <w:t>مورد</w:t>
      </w:r>
      <w:r w:rsidRPr="00FE433F">
        <w:rPr>
          <w:i/>
          <w:sz w:val="23"/>
          <w:szCs w:val="23"/>
          <w:rtl/>
        </w:rPr>
        <w:t xml:space="preserve"> </w:t>
      </w:r>
      <w:r w:rsidRPr="00FE433F">
        <w:rPr>
          <w:rFonts w:hint="eastAsia"/>
          <w:i/>
          <w:sz w:val="23"/>
          <w:szCs w:val="23"/>
          <w:rtl/>
        </w:rPr>
        <w:t>ن</w:t>
      </w:r>
      <w:r w:rsidRPr="00FE433F">
        <w:rPr>
          <w:rFonts w:hint="cs"/>
          <w:i/>
          <w:sz w:val="23"/>
          <w:szCs w:val="23"/>
          <w:rtl/>
        </w:rPr>
        <w:t>ی</w:t>
      </w:r>
      <w:r w:rsidRPr="00FE433F">
        <w:rPr>
          <w:rFonts w:hint="eastAsia"/>
          <w:i/>
          <w:sz w:val="23"/>
          <w:szCs w:val="23"/>
          <w:rtl/>
        </w:rPr>
        <w:t>از</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هر</w:t>
      </w:r>
      <w:r w:rsidRPr="00FE433F">
        <w:rPr>
          <w:i/>
          <w:sz w:val="23"/>
          <w:szCs w:val="23"/>
          <w:rtl/>
        </w:rPr>
        <w:t xml:space="preserve"> </w:t>
      </w:r>
      <w:r w:rsidRPr="00FE433F">
        <w:rPr>
          <w:rFonts w:hint="eastAsia"/>
          <w:i/>
          <w:sz w:val="23"/>
          <w:szCs w:val="23"/>
          <w:rtl/>
        </w:rPr>
        <w:t>دو</w:t>
      </w:r>
      <w:r w:rsidRPr="00FE433F">
        <w:rPr>
          <w:i/>
          <w:sz w:val="23"/>
          <w:szCs w:val="23"/>
          <w:rtl/>
        </w:rPr>
        <w:t xml:space="preserve"> </w:t>
      </w:r>
      <w:r w:rsidRPr="00FE433F">
        <w:rPr>
          <w:rFonts w:hint="eastAsia"/>
          <w:i/>
          <w:sz w:val="23"/>
          <w:szCs w:val="23"/>
          <w:rtl/>
        </w:rPr>
        <w:t>طرف</w:t>
      </w:r>
      <w:r w:rsidRPr="00FE433F">
        <w:rPr>
          <w:rFonts w:hint="cs"/>
          <w:i/>
          <w:sz w:val="23"/>
          <w:szCs w:val="23"/>
          <w:rtl/>
        </w:rPr>
        <w:t>ِ</w:t>
      </w:r>
      <w:r w:rsidRPr="00FE433F">
        <w:rPr>
          <w:i/>
          <w:sz w:val="23"/>
          <w:szCs w:val="23"/>
          <w:rtl/>
        </w:rPr>
        <w:t xml:space="preserve"> </w:t>
      </w:r>
      <w:r w:rsidRPr="00FE433F">
        <w:rPr>
          <w:rFonts w:hint="eastAsia"/>
          <w:i/>
          <w:sz w:val="23"/>
          <w:szCs w:val="23"/>
          <w:rtl/>
        </w:rPr>
        <w:t>معامله</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باشد</w:t>
      </w:r>
      <w:r w:rsidRPr="00FE433F">
        <w:rPr>
          <w:rFonts w:hint="cs"/>
          <w:i/>
          <w:sz w:val="23"/>
          <w:szCs w:val="23"/>
          <w:rtl/>
        </w:rPr>
        <w:t>،</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لذا</w:t>
      </w:r>
      <w:r w:rsidRPr="00FE433F">
        <w:rPr>
          <w:i/>
          <w:sz w:val="23"/>
          <w:szCs w:val="23"/>
          <w:rtl/>
        </w:rPr>
        <w:t xml:space="preserve"> </w:t>
      </w:r>
      <w:r w:rsidRPr="00FE433F">
        <w:rPr>
          <w:rFonts w:hint="eastAsia"/>
          <w:i/>
          <w:sz w:val="23"/>
          <w:szCs w:val="23"/>
          <w:rtl/>
        </w:rPr>
        <w:t>شناسا</w:t>
      </w:r>
      <w:r w:rsidRPr="00FE433F">
        <w:rPr>
          <w:rFonts w:hint="cs"/>
          <w:i/>
          <w:sz w:val="23"/>
          <w:szCs w:val="23"/>
          <w:rtl/>
        </w:rPr>
        <w:t>یی</w:t>
      </w:r>
      <w:r w:rsidRPr="00FE433F">
        <w:rPr>
          <w:i/>
          <w:sz w:val="23"/>
          <w:szCs w:val="23"/>
          <w:rtl/>
        </w:rPr>
        <w:t xml:space="preserve"> </w:t>
      </w:r>
      <w:r w:rsidRPr="00FE433F">
        <w:rPr>
          <w:rFonts w:hint="eastAsia"/>
          <w:i/>
          <w:sz w:val="23"/>
          <w:szCs w:val="23"/>
          <w:rtl/>
        </w:rPr>
        <w:t>فرد</w:t>
      </w:r>
      <w:r w:rsidRPr="00FE433F">
        <w:rPr>
          <w:i/>
          <w:sz w:val="23"/>
          <w:szCs w:val="23"/>
          <w:rtl/>
        </w:rPr>
        <w:t xml:space="preserve"> </w:t>
      </w:r>
      <w:r w:rsidRPr="00FE433F">
        <w:rPr>
          <w:rFonts w:hint="eastAsia"/>
          <w:i/>
          <w:sz w:val="23"/>
          <w:szCs w:val="23"/>
          <w:rtl/>
        </w:rPr>
        <w:t>مورد</w:t>
      </w:r>
      <w:r w:rsidRPr="00FE433F">
        <w:rPr>
          <w:i/>
          <w:sz w:val="23"/>
          <w:szCs w:val="23"/>
          <w:rtl/>
        </w:rPr>
        <w:t xml:space="preserve"> </w:t>
      </w:r>
      <w:r w:rsidRPr="00FE433F">
        <w:rPr>
          <w:rFonts w:hint="eastAsia"/>
          <w:i/>
          <w:sz w:val="23"/>
          <w:szCs w:val="23"/>
          <w:rtl/>
        </w:rPr>
        <w:t>ن</w:t>
      </w:r>
      <w:r w:rsidRPr="00FE433F">
        <w:rPr>
          <w:rFonts w:hint="cs"/>
          <w:i/>
          <w:sz w:val="23"/>
          <w:szCs w:val="23"/>
          <w:rtl/>
        </w:rPr>
        <w:t>ی</w:t>
      </w:r>
      <w:r w:rsidRPr="00FE433F">
        <w:rPr>
          <w:rFonts w:hint="eastAsia"/>
          <w:i/>
          <w:sz w:val="23"/>
          <w:szCs w:val="23"/>
          <w:rtl/>
        </w:rPr>
        <w:t>از</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انجام</w:t>
      </w:r>
      <w:r w:rsidRPr="00FE433F">
        <w:rPr>
          <w:i/>
          <w:sz w:val="23"/>
          <w:szCs w:val="23"/>
          <w:rtl/>
        </w:rPr>
        <w:t xml:space="preserve"> </w:t>
      </w:r>
      <w:r w:rsidRPr="00FE433F">
        <w:rPr>
          <w:rFonts w:hint="eastAsia"/>
          <w:i/>
          <w:sz w:val="23"/>
          <w:szCs w:val="23"/>
          <w:rtl/>
        </w:rPr>
        <w:t>معاملات</w:t>
      </w:r>
      <w:r w:rsidRPr="00FE433F">
        <w:rPr>
          <w:i/>
          <w:sz w:val="23"/>
          <w:szCs w:val="23"/>
          <w:rtl/>
        </w:rPr>
        <w:t xml:space="preserve"> </w:t>
      </w:r>
      <w:r w:rsidRPr="00FE433F">
        <w:rPr>
          <w:rFonts w:hint="eastAsia"/>
          <w:i/>
          <w:sz w:val="23"/>
          <w:szCs w:val="23"/>
          <w:rtl/>
        </w:rPr>
        <w:t>ممکن</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بس</w:t>
      </w:r>
      <w:r w:rsidRPr="00FE433F">
        <w:rPr>
          <w:rFonts w:hint="cs"/>
          <w:i/>
          <w:sz w:val="23"/>
          <w:szCs w:val="23"/>
          <w:rtl/>
        </w:rPr>
        <w:t>ی</w:t>
      </w:r>
      <w:r w:rsidRPr="00FE433F">
        <w:rPr>
          <w:rFonts w:hint="eastAsia"/>
          <w:i/>
          <w:sz w:val="23"/>
          <w:szCs w:val="23"/>
          <w:rtl/>
        </w:rPr>
        <w:t>ار</w:t>
      </w:r>
      <w:r w:rsidRPr="00FE433F">
        <w:rPr>
          <w:i/>
          <w:sz w:val="23"/>
          <w:szCs w:val="23"/>
          <w:rtl/>
        </w:rPr>
        <w:t xml:space="preserve"> </w:t>
      </w:r>
      <w:r w:rsidRPr="00FE433F">
        <w:rPr>
          <w:rFonts w:hint="eastAsia"/>
          <w:i/>
          <w:sz w:val="23"/>
          <w:szCs w:val="23"/>
          <w:rtl/>
        </w:rPr>
        <w:t>پر</w:t>
      </w:r>
      <w:r w:rsidRPr="00FE433F">
        <w:rPr>
          <w:i/>
          <w:sz w:val="23"/>
          <w:szCs w:val="23"/>
          <w:rtl/>
        </w:rPr>
        <w:t xml:space="preserve"> </w:t>
      </w:r>
      <w:r w:rsidRPr="00FE433F">
        <w:rPr>
          <w:rFonts w:hint="eastAsia"/>
          <w:i/>
          <w:sz w:val="23"/>
          <w:szCs w:val="23"/>
          <w:rtl/>
        </w:rPr>
        <w:t>هز</w:t>
      </w:r>
      <w:r w:rsidRPr="00FE433F">
        <w:rPr>
          <w:rFonts w:hint="cs"/>
          <w:i/>
          <w:sz w:val="23"/>
          <w:szCs w:val="23"/>
          <w:rtl/>
        </w:rPr>
        <w:t>ی</w:t>
      </w:r>
      <w:r w:rsidRPr="00FE433F">
        <w:rPr>
          <w:rFonts w:hint="eastAsia"/>
          <w:i/>
          <w:sz w:val="23"/>
          <w:szCs w:val="23"/>
          <w:rtl/>
        </w:rPr>
        <w:t>نه</w:t>
      </w:r>
      <w:r w:rsidRPr="00FE433F">
        <w:rPr>
          <w:i/>
          <w:sz w:val="23"/>
          <w:szCs w:val="23"/>
          <w:rtl/>
        </w:rPr>
        <w:t xml:space="preserve"> </w:t>
      </w:r>
      <w:r w:rsidRPr="00FE433F">
        <w:rPr>
          <w:rFonts w:hint="eastAsia"/>
          <w:i/>
          <w:sz w:val="23"/>
          <w:szCs w:val="23"/>
          <w:rtl/>
        </w:rPr>
        <w:t>باشد</w:t>
      </w:r>
      <w:r w:rsidRPr="00FE433F">
        <w:rPr>
          <w:i/>
          <w:sz w:val="23"/>
          <w:szCs w:val="23"/>
          <w:rtl/>
        </w:rPr>
        <w:t xml:space="preserve">. </w:t>
      </w:r>
      <w:r w:rsidRPr="00FE433F">
        <w:rPr>
          <w:rFonts w:hint="eastAsia"/>
          <w:i/>
          <w:sz w:val="23"/>
          <w:szCs w:val="23"/>
          <w:rtl/>
        </w:rPr>
        <w:t>مبادله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کالاها</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خدمات</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طلا</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نقره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cs"/>
          <w:i/>
          <w:sz w:val="23"/>
          <w:szCs w:val="23"/>
          <w:rtl/>
        </w:rPr>
        <w:t xml:space="preserve">یا </w:t>
      </w:r>
      <w:r w:rsidRPr="00FE433F">
        <w:rPr>
          <w:rFonts w:hint="eastAsia"/>
          <w:i/>
          <w:sz w:val="23"/>
          <w:szCs w:val="23"/>
          <w:rtl/>
        </w:rPr>
        <w:t>برخ</w:t>
      </w:r>
      <w:r w:rsidRPr="00FE433F">
        <w:rPr>
          <w:rFonts w:hint="cs"/>
          <w:i/>
          <w:sz w:val="23"/>
          <w:szCs w:val="23"/>
          <w:rtl/>
        </w:rPr>
        <w:t>ی</w:t>
      </w:r>
      <w:r w:rsidRPr="00FE433F">
        <w:rPr>
          <w:i/>
          <w:sz w:val="23"/>
          <w:szCs w:val="23"/>
          <w:rtl/>
        </w:rPr>
        <w:t xml:space="preserve"> </w:t>
      </w:r>
      <w:r w:rsidRPr="00FE433F">
        <w:rPr>
          <w:rFonts w:hint="eastAsia"/>
          <w:i/>
          <w:sz w:val="23"/>
          <w:szCs w:val="23"/>
          <w:rtl/>
        </w:rPr>
        <w:t>کالاها</w:t>
      </w:r>
      <w:r w:rsidRPr="00FE433F">
        <w:rPr>
          <w:rFonts w:hint="cs"/>
          <w:i/>
          <w:sz w:val="23"/>
          <w:szCs w:val="23"/>
          <w:rtl/>
        </w:rPr>
        <w:t>ی</w:t>
      </w:r>
      <w:r w:rsidRPr="00FE433F">
        <w:rPr>
          <w:i/>
          <w:sz w:val="23"/>
          <w:szCs w:val="23"/>
          <w:rtl/>
        </w:rPr>
        <w:t xml:space="preserve"> </w:t>
      </w:r>
      <w:r w:rsidRPr="00FE433F">
        <w:rPr>
          <w:rFonts w:hint="eastAsia"/>
          <w:i/>
          <w:sz w:val="23"/>
          <w:szCs w:val="23"/>
          <w:rtl/>
        </w:rPr>
        <w:t>گران</w:t>
      </w:r>
      <w:r w:rsidRPr="00FE433F">
        <w:rPr>
          <w:i/>
          <w:sz w:val="23"/>
          <w:szCs w:val="23"/>
          <w:rtl/>
        </w:rPr>
        <w:softHyphen/>
      </w:r>
      <w:r w:rsidRPr="00FE433F">
        <w:rPr>
          <w:rFonts w:hint="eastAsia"/>
          <w:i/>
          <w:sz w:val="23"/>
          <w:szCs w:val="23"/>
          <w:rtl/>
        </w:rPr>
        <w:t>بها</w:t>
      </w:r>
      <w:r w:rsidRPr="00FE433F">
        <w:rPr>
          <w:rFonts w:hint="cs"/>
          <w:i/>
          <w:sz w:val="23"/>
          <w:szCs w:val="23"/>
          <w:rtl/>
        </w:rPr>
        <w:t xml:space="preserve"> </w:t>
      </w:r>
      <w:r w:rsidRPr="00FE433F">
        <w:rPr>
          <w:rFonts w:hint="eastAsia"/>
          <w:i/>
          <w:sz w:val="23"/>
          <w:szCs w:val="23"/>
          <w:rtl/>
        </w:rPr>
        <w:t>راه</w:t>
      </w:r>
      <w:r w:rsidRPr="00FE433F">
        <w:rPr>
          <w:i/>
          <w:sz w:val="23"/>
          <w:szCs w:val="23"/>
          <w:rtl/>
        </w:rPr>
        <w:t xml:space="preserve"> </w:t>
      </w:r>
      <w:r w:rsidRPr="00FE433F">
        <w:rPr>
          <w:rFonts w:hint="cs"/>
          <w:i/>
          <w:sz w:val="23"/>
          <w:szCs w:val="23"/>
          <w:rtl/>
        </w:rPr>
        <w:t xml:space="preserve">حل </w:t>
      </w:r>
      <w:r w:rsidRPr="00FE433F">
        <w:rPr>
          <w:rFonts w:hint="eastAsia"/>
          <w:i/>
          <w:sz w:val="23"/>
          <w:szCs w:val="23"/>
          <w:rtl/>
        </w:rPr>
        <w:t>اول</w:t>
      </w:r>
      <w:r w:rsidRPr="00FE433F">
        <w:rPr>
          <w:rFonts w:hint="cs"/>
          <w:i/>
          <w:sz w:val="23"/>
          <w:szCs w:val="23"/>
          <w:rtl/>
        </w:rPr>
        <w:t>ی</w:t>
      </w:r>
      <w:r w:rsidRPr="00FE433F">
        <w:rPr>
          <w:rFonts w:hint="eastAsia"/>
          <w:i/>
          <w:sz w:val="23"/>
          <w:szCs w:val="23"/>
          <w:rtl/>
        </w:rPr>
        <w:t>ه</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مشکلات</w:t>
      </w:r>
      <w:r w:rsidRPr="00FE433F">
        <w:rPr>
          <w:i/>
          <w:sz w:val="23"/>
          <w:szCs w:val="23"/>
          <w:rtl/>
        </w:rPr>
        <w:t xml:space="preserve"> </w:t>
      </w:r>
      <w:r w:rsidRPr="00FE433F">
        <w:rPr>
          <w:rFonts w:hint="eastAsia"/>
          <w:i/>
          <w:sz w:val="23"/>
          <w:szCs w:val="23"/>
          <w:rtl/>
        </w:rPr>
        <w:t>بود</w:t>
      </w:r>
      <w:r w:rsidRPr="00FE433F">
        <w:rPr>
          <w:i/>
          <w:sz w:val="23"/>
          <w:szCs w:val="23"/>
          <w:rtl/>
        </w:rPr>
        <w:t xml:space="preserve">. </w:t>
      </w:r>
      <w:r w:rsidRPr="00FE433F">
        <w:rPr>
          <w:rFonts w:hint="eastAsia"/>
          <w:i/>
          <w:sz w:val="23"/>
          <w:szCs w:val="23"/>
          <w:rtl/>
        </w:rPr>
        <w:t>طلا</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نقره</w:t>
      </w:r>
      <w:r w:rsidRPr="00FE433F">
        <w:rPr>
          <w:i/>
          <w:sz w:val="23"/>
          <w:szCs w:val="23"/>
          <w:rtl/>
        </w:rPr>
        <w:t xml:space="preserve"> </w:t>
      </w:r>
      <w:r w:rsidRPr="00FE433F">
        <w:rPr>
          <w:rFonts w:hint="eastAsia"/>
          <w:i/>
          <w:sz w:val="23"/>
          <w:szCs w:val="23"/>
          <w:rtl/>
        </w:rPr>
        <w:t>همچن</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مشکلات</w:t>
      </w:r>
      <w:r w:rsidRPr="00FE433F">
        <w:rPr>
          <w:i/>
          <w:sz w:val="23"/>
          <w:szCs w:val="23"/>
          <w:rtl/>
        </w:rPr>
        <w:t xml:space="preserve"> </w:t>
      </w:r>
      <w:r w:rsidRPr="00FE433F">
        <w:rPr>
          <w:rFonts w:hint="eastAsia"/>
          <w:i/>
          <w:sz w:val="23"/>
          <w:szCs w:val="23"/>
          <w:rtl/>
        </w:rPr>
        <w:t>مربوط</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ذخ</w:t>
      </w:r>
      <w:r w:rsidRPr="00FE433F">
        <w:rPr>
          <w:rFonts w:hint="cs"/>
          <w:i/>
          <w:sz w:val="23"/>
          <w:szCs w:val="23"/>
          <w:rtl/>
        </w:rPr>
        <w:t>ی</w:t>
      </w:r>
      <w:r w:rsidRPr="00FE433F">
        <w:rPr>
          <w:rFonts w:hint="eastAsia"/>
          <w:i/>
          <w:sz w:val="23"/>
          <w:szCs w:val="23"/>
          <w:rtl/>
        </w:rPr>
        <w:t>ره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ثروت</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جاد</w:t>
      </w:r>
      <w:r w:rsidRPr="00FE433F">
        <w:rPr>
          <w:i/>
          <w:sz w:val="23"/>
          <w:szCs w:val="23"/>
          <w:rtl/>
        </w:rPr>
        <w:t xml:space="preserve"> </w:t>
      </w:r>
      <w:r w:rsidRPr="00FE433F">
        <w:rPr>
          <w:rFonts w:hint="eastAsia"/>
          <w:i/>
          <w:sz w:val="23"/>
          <w:szCs w:val="23"/>
          <w:rtl/>
        </w:rPr>
        <w:t>اعتبار</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حل</w:t>
      </w:r>
      <w:r w:rsidRPr="00FE433F">
        <w:rPr>
          <w:i/>
          <w:sz w:val="23"/>
          <w:szCs w:val="23"/>
          <w:rtl/>
        </w:rPr>
        <w:t xml:space="preserve"> </w:t>
      </w:r>
      <w:r w:rsidRPr="00FE433F">
        <w:rPr>
          <w:rFonts w:hint="eastAsia"/>
          <w:i/>
          <w:sz w:val="23"/>
          <w:szCs w:val="23"/>
          <w:rtl/>
        </w:rPr>
        <w:t>کردند</w:t>
      </w:r>
      <w:r w:rsidRPr="00FE433F">
        <w:rPr>
          <w:rFonts w:hint="cs"/>
          <w:i/>
          <w:sz w:val="23"/>
          <w:szCs w:val="23"/>
          <w:rtl/>
        </w:rPr>
        <w:t>، ولی</w:t>
      </w:r>
      <w:r w:rsidRPr="00FE433F">
        <w:rPr>
          <w:i/>
          <w:sz w:val="23"/>
          <w:szCs w:val="23"/>
          <w:rtl/>
        </w:rPr>
        <w:t xml:space="preserve"> </w:t>
      </w:r>
      <w:r w:rsidRPr="00FE433F">
        <w:rPr>
          <w:rFonts w:hint="eastAsia"/>
          <w:i/>
          <w:sz w:val="23"/>
          <w:szCs w:val="23"/>
          <w:rtl/>
        </w:rPr>
        <w:t>مهمتر</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مسئله</w:t>
      </w:r>
      <w:r w:rsidRPr="00FE433F">
        <w:rPr>
          <w:i/>
          <w:sz w:val="23"/>
          <w:szCs w:val="23"/>
          <w:rtl/>
        </w:rPr>
        <w:softHyphen/>
      </w:r>
      <w:r w:rsidRPr="00FE433F">
        <w:rPr>
          <w:rFonts w:hint="cs"/>
          <w:i/>
          <w:sz w:val="23"/>
          <w:szCs w:val="23"/>
          <w:rtl/>
        </w:rPr>
        <w:t>ی</w:t>
      </w:r>
      <w:r w:rsidRPr="00FE433F">
        <w:rPr>
          <w:i/>
          <w:sz w:val="23"/>
          <w:szCs w:val="23"/>
          <w:rtl/>
        </w:rPr>
        <w:t xml:space="preserve"> </w:t>
      </w:r>
      <w:r w:rsidRPr="00FE433F">
        <w:rPr>
          <w:rFonts w:hint="eastAsia"/>
          <w:i/>
          <w:sz w:val="23"/>
          <w:szCs w:val="23"/>
          <w:rtl/>
        </w:rPr>
        <w:t>مربوط</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cs"/>
          <w:i/>
          <w:sz w:val="23"/>
          <w:szCs w:val="23"/>
          <w:rtl/>
        </w:rPr>
        <w:t xml:space="preserve">استفاده از </w:t>
      </w:r>
      <w:r w:rsidRPr="00FE433F">
        <w:rPr>
          <w:rFonts w:hint="eastAsia"/>
          <w:i/>
          <w:sz w:val="23"/>
          <w:szCs w:val="23"/>
          <w:rtl/>
        </w:rPr>
        <w:t>دو</w:t>
      </w:r>
      <w:r w:rsidRPr="00FE433F">
        <w:rPr>
          <w:i/>
          <w:sz w:val="23"/>
          <w:szCs w:val="23"/>
          <w:rtl/>
        </w:rPr>
        <w:t xml:space="preserve"> </w:t>
      </w:r>
      <w:r w:rsidRPr="00FE433F">
        <w:rPr>
          <w:rFonts w:hint="eastAsia"/>
          <w:i/>
          <w:sz w:val="23"/>
          <w:szCs w:val="23"/>
          <w:rtl/>
        </w:rPr>
        <w:t>فلز</w:t>
      </w:r>
      <w:r w:rsidRPr="00FE433F">
        <w:rPr>
          <w:i/>
          <w:sz w:val="23"/>
          <w:szCs w:val="23"/>
          <w:rtl/>
        </w:rPr>
        <w:t xml:space="preserve"> </w:t>
      </w:r>
      <w:r w:rsidRPr="00FE433F">
        <w:rPr>
          <w:rFonts w:hint="eastAsia"/>
          <w:i/>
          <w:sz w:val="23"/>
          <w:szCs w:val="23"/>
          <w:rtl/>
        </w:rPr>
        <w:t>طلا</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نقره</w:t>
      </w:r>
      <w:r w:rsidRPr="00FE433F">
        <w:rPr>
          <w:i/>
          <w:sz w:val="23"/>
          <w:szCs w:val="23"/>
          <w:rtl/>
        </w:rPr>
        <w:t xml:space="preserve"> </w:t>
      </w:r>
      <w:r w:rsidRPr="00FE433F">
        <w:rPr>
          <w:rFonts w:hint="cs"/>
          <w:i/>
          <w:sz w:val="23"/>
          <w:szCs w:val="23"/>
          <w:rtl/>
        </w:rPr>
        <w:t xml:space="preserve">در معاملات، </w:t>
      </w:r>
      <w:r w:rsidRPr="00FE433F">
        <w:rPr>
          <w:rFonts w:hint="eastAsia"/>
          <w:i/>
          <w:sz w:val="23"/>
          <w:szCs w:val="23"/>
          <w:rtl/>
        </w:rPr>
        <w:t>محدود</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eastAsia"/>
          <w:i/>
          <w:sz w:val="23"/>
          <w:szCs w:val="23"/>
          <w:rtl/>
        </w:rPr>
        <w:t>تول</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عرضه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آن</w:t>
      </w:r>
      <w:r w:rsidRPr="00FE433F">
        <w:rPr>
          <w:rFonts w:hint="cs"/>
          <w:i/>
          <w:sz w:val="23"/>
          <w:szCs w:val="23"/>
          <w:rtl/>
        </w:rPr>
        <w:t>‌</w:t>
      </w:r>
      <w:r w:rsidRPr="00FE433F">
        <w:rPr>
          <w:rFonts w:hint="eastAsia"/>
          <w:i/>
          <w:sz w:val="23"/>
          <w:szCs w:val="23"/>
          <w:rtl/>
        </w:rPr>
        <w:t>ها</w:t>
      </w:r>
      <w:r w:rsidRPr="00FE433F">
        <w:rPr>
          <w:rFonts w:hint="cs"/>
          <w:i/>
          <w:sz w:val="23"/>
          <w:szCs w:val="23"/>
          <w:rtl/>
        </w:rPr>
        <w:t xml:space="preserve"> بود</w:t>
      </w:r>
      <w:r w:rsidRPr="00FE433F">
        <w:rPr>
          <w:i/>
          <w:sz w:val="23"/>
          <w:szCs w:val="23"/>
          <w:rtl/>
        </w:rPr>
        <w:t xml:space="preserve">. </w:t>
      </w:r>
      <w:r w:rsidRPr="00FE433F">
        <w:rPr>
          <w:rFonts w:hint="eastAsia"/>
          <w:i/>
          <w:sz w:val="23"/>
          <w:szCs w:val="23"/>
          <w:rtl/>
        </w:rPr>
        <w:t>همزمان</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رشد</w:t>
      </w:r>
      <w:r w:rsidRPr="00FE433F">
        <w:rPr>
          <w:i/>
          <w:sz w:val="23"/>
          <w:szCs w:val="23"/>
          <w:rtl/>
        </w:rPr>
        <w:t xml:space="preserve"> </w:t>
      </w:r>
      <w:r w:rsidRPr="00FE433F">
        <w:rPr>
          <w:rFonts w:hint="eastAsia"/>
          <w:i/>
          <w:sz w:val="23"/>
          <w:szCs w:val="23"/>
          <w:rtl/>
        </w:rPr>
        <w:t>تول</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اقتصاد،</w:t>
      </w:r>
      <w:r w:rsidRPr="00FE433F">
        <w:rPr>
          <w:i/>
          <w:sz w:val="23"/>
          <w:szCs w:val="23"/>
          <w:rtl/>
        </w:rPr>
        <w:t xml:space="preserve"> </w:t>
      </w:r>
      <w:r w:rsidRPr="00FE433F">
        <w:rPr>
          <w:rFonts w:hint="eastAsia"/>
          <w:i/>
          <w:sz w:val="23"/>
          <w:szCs w:val="23"/>
          <w:rtl/>
        </w:rPr>
        <w:t>عرضه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فلزات</w:t>
      </w:r>
      <w:r w:rsidRPr="00FE433F">
        <w:rPr>
          <w:i/>
          <w:sz w:val="23"/>
          <w:szCs w:val="23"/>
          <w:rtl/>
        </w:rPr>
        <w:t xml:space="preserve"> </w:t>
      </w:r>
      <w:r w:rsidRPr="00FE433F">
        <w:rPr>
          <w:rFonts w:hint="eastAsia"/>
          <w:i/>
          <w:sz w:val="23"/>
          <w:szCs w:val="23"/>
          <w:rtl/>
        </w:rPr>
        <w:t>گران</w:t>
      </w:r>
      <w:r w:rsidRPr="00FE433F">
        <w:rPr>
          <w:i/>
          <w:sz w:val="23"/>
          <w:szCs w:val="23"/>
          <w:rtl/>
        </w:rPr>
        <w:softHyphen/>
      </w:r>
      <w:r w:rsidRPr="00FE433F">
        <w:rPr>
          <w:rFonts w:hint="eastAsia"/>
          <w:i/>
          <w:sz w:val="23"/>
          <w:szCs w:val="23"/>
          <w:rtl/>
        </w:rPr>
        <w:t>بها</w:t>
      </w:r>
      <w:r w:rsidRPr="00FE433F">
        <w:rPr>
          <w:i/>
          <w:sz w:val="23"/>
          <w:szCs w:val="23"/>
          <w:rtl/>
        </w:rPr>
        <w:t xml:space="preserve"> </w:t>
      </w:r>
      <w:r w:rsidRPr="00FE433F">
        <w:rPr>
          <w:rFonts w:hint="eastAsia"/>
          <w:i/>
          <w:sz w:val="23"/>
          <w:szCs w:val="23"/>
          <w:rtl/>
        </w:rPr>
        <w:t>جهت</w:t>
      </w:r>
      <w:r w:rsidRPr="00FE433F">
        <w:rPr>
          <w:i/>
          <w:sz w:val="23"/>
          <w:szCs w:val="23"/>
          <w:rtl/>
        </w:rPr>
        <w:t xml:space="preserve"> </w:t>
      </w:r>
      <w:r w:rsidRPr="00FE433F">
        <w:rPr>
          <w:rFonts w:hint="eastAsia"/>
          <w:i/>
          <w:sz w:val="23"/>
          <w:szCs w:val="23"/>
          <w:rtl/>
        </w:rPr>
        <w:t>تأم</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مال</w:t>
      </w:r>
      <w:r w:rsidRPr="00FE433F">
        <w:rPr>
          <w:rFonts w:hint="cs"/>
          <w:i/>
          <w:sz w:val="23"/>
          <w:szCs w:val="23"/>
          <w:rtl/>
        </w:rPr>
        <w:t>ی</w:t>
      </w:r>
      <w:r w:rsidRPr="00FE433F">
        <w:rPr>
          <w:i/>
          <w:sz w:val="23"/>
          <w:szCs w:val="23"/>
          <w:rtl/>
        </w:rPr>
        <w:t xml:space="preserve"> </w:t>
      </w:r>
      <w:r w:rsidRPr="00FE433F">
        <w:rPr>
          <w:rFonts w:hint="eastAsia"/>
          <w:i/>
          <w:sz w:val="23"/>
          <w:szCs w:val="23"/>
          <w:rtl/>
        </w:rPr>
        <w:t>معاملات</w:t>
      </w:r>
      <w:r w:rsidRPr="00FE433F">
        <w:rPr>
          <w:i/>
          <w:sz w:val="23"/>
          <w:szCs w:val="23"/>
          <w:rtl/>
        </w:rPr>
        <w:t xml:space="preserve"> </w:t>
      </w:r>
      <w:r w:rsidRPr="00FE433F">
        <w:rPr>
          <w:rFonts w:hint="eastAsia"/>
          <w:i/>
          <w:sz w:val="23"/>
          <w:szCs w:val="23"/>
          <w:rtl/>
        </w:rPr>
        <w:t>ن</w:t>
      </w:r>
      <w:r w:rsidRPr="00FE433F">
        <w:rPr>
          <w:rFonts w:hint="cs"/>
          <w:i/>
          <w:sz w:val="23"/>
          <w:szCs w:val="23"/>
          <w:rtl/>
        </w:rPr>
        <w:t>ی</w:t>
      </w:r>
      <w:r w:rsidRPr="00FE433F">
        <w:rPr>
          <w:rFonts w:hint="eastAsia"/>
          <w:i/>
          <w:sz w:val="23"/>
          <w:szCs w:val="23"/>
          <w:rtl/>
        </w:rPr>
        <w:t>ز</w:t>
      </w:r>
      <w:r w:rsidRPr="00FE433F">
        <w:rPr>
          <w:i/>
          <w:sz w:val="23"/>
          <w:szCs w:val="23"/>
          <w:rtl/>
        </w:rPr>
        <w:t xml:space="preserve"> </w:t>
      </w:r>
      <w:r w:rsidRPr="00FE433F">
        <w:rPr>
          <w:rFonts w:hint="cs"/>
          <w:i/>
          <w:sz w:val="23"/>
          <w:szCs w:val="23"/>
          <w:rtl/>
        </w:rPr>
        <w:t>می</w:t>
      </w:r>
      <w:r w:rsidRPr="00FE433F">
        <w:rPr>
          <w:i/>
          <w:sz w:val="23"/>
          <w:szCs w:val="23"/>
          <w:rtl/>
        </w:rPr>
        <w:softHyphen/>
      </w:r>
      <w:r w:rsidRPr="00FE433F">
        <w:rPr>
          <w:rFonts w:hint="cs"/>
          <w:i/>
          <w:sz w:val="23"/>
          <w:szCs w:val="23"/>
          <w:rtl/>
        </w:rPr>
        <w:t xml:space="preserve">بایست </w:t>
      </w:r>
      <w:r w:rsidRPr="00FE433F">
        <w:rPr>
          <w:rFonts w:hint="eastAsia"/>
          <w:i/>
          <w:sz w:val="23"/>
          <w:szCs w:val="23"/>
          <w:rtl/>
        </w:rPr>
        <w:t>افزا</w:t>
      </w:r>
      <w:r w:rsidRPr="00FE433F">
        <w:rPr>
          <w:rFonts w:hint="cs"/>
          <w:i/>
          <w:sz w:val="23"/>
          <w:szCs w:val="23"/>
          <w:rtl/>
        </w:rPr>
        <w:t>ی</w:t>
      </w:r>
      <w:r w:rsidRPr="00FE433F">
        <w:rPr>
          <w:rFonts w:hint="eastAsia"/>
          <w:i/>
          <w:sz w:val="23"/>
          <w:szCs w:val="23"/>
          <w:rtl/>
        </w:rPr>
        <w:t>ش</w:t>
      </w:r>
      <w:r w:rsidRPr="00FE433F">
        <w:rPr>
          <w:rFonts w:hint="eastAsia"/>
          <w:i/>
          <w:sz w:val="23"/>
          <w:szCs w:val="23"/>
        </w:rPr>
        <w:t>‌</w:t>
      </w:r>
      <w:r w:rsidRPr="00FE433F">
        <w:rPr>
          <w:rFonts w:hint="cs"/>
          <w:i/>
          <w:sz w:val="23"/>
          <w:szCs w:val="23"/>
          <w:rtl/>
        </w:rPr>
        <w:t xml:space="preserve"> </w:t>
      </w:r>
      <w:r w:rsidRPr="00FE433F">
        <w:rPr>
          <w:i/>
          <w:sz w:val="23"/>
          <w:szCs w:val="23"/>
          <w:rtl/>
        </w:rPr>
        <w:softHyphen/>
      </w:r>
      <w:r w:rsidRPr="00FE433F">
        <w:rPr>
          <w:rFonts w:hint="cs"/>
          <w:i/>
          <w:sz w:val="23"/>
          <w:szCs w:val="23"/>
          <w:rtl/>
        </w:rPr>
        <w:t>ی</w:t>
      </w:r>
      <w:r w:rsidRPr="00FE433F">
        <w:rPr>
          <w:rFonts w:hint="eastAsia"/>
          <w:i/>
          <w:sz w:val="23"/>
          <w:szCs w:val="23"/>
          <w:rtl/>
        </w:rPr>
        <w:t>ا</w:t>
      </w:r>
      <w:r w:rsidRPr="00FE433F">
        <w:rPr>
          <w:rFonts w:hint="cs"/>
          <w:i/>
          <w:sz w:val="23"/>
          <w:szCs w:val="23"/>
          <w:rtl/>
        </w:rPr>
        <w:t>بد</w:t>
      </w:r>
      <w:r w:rsidRPr="00FE433F">
        <w:rPr>
          <w:i/>
          <w:sz w:val="23"/>
          <w:szCs w:val="23"/>
          <w:rtl/>
        </w:rPr>
        <w:t xml:space="preserve">. </w:t>
      </w:r>
      <w:r w:rsidRPr="00FE433F">
        <w:rPr>
          <w:rFonts w:hint="cs"/>
          <w:i/>
          <w:sz w:val="23"/>
          <w:szCs w:val="23"/>
          <w:rtl/>
        </w:rPr>
        <w:t xml:space="preserve">بنابراین </w:t>
      </w:r>
      <w:r w:rsidRPr="00FE433F">
        <w:rPr>
          <w:rFonts w:hint="eastAsia"/>
          <w:i/>
          <w:sz w:val="23"/>
          <w:szCs w:val="23"/>
          <w:rtl/>
        </w:rPr>
        <w:t>محدود</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eastAsia"/>
          <w:i/>
          <w:sz w:val="23"/>
          <w:szCs w:val="23"/>
          <w:rtl/>
        </w:rPr>
        <w:t>عرضه</w:t>
      </w:r>
      <w:r w:rsidRPr="00FE433F">
        <w:rPr>
          <w:i/>
          <w:sz w:val="23"/>
          <w:szCs w:val="23"/>
          <w:rtl/>
        </w:rPr>
        <w:softHyphen/>
      </w:r>
      <w:r w:rsidRPr="00FE433F">
        <w:rPr>
          <w:rFonts w:hint="cs"/>
          <w:i/>
          <w:sz w:val="23"/>
          <w:szCs w:val="23"/>
          <w:rtl/>
        </w:rPr>
        <w:t>ی طلا و نقره</w:t>
      </w:r>
      <w:r w:rsidRPr="00FE433F">
        <w:rPr>
          <w:i/>
          <w:sz w:val="23"/>
          <w:szCs w:val="23"/>
          <w:rtl/>
        </w:rPr>
        <w:t xml:space="preserve"> </w:t>
      </w:r>
      <w:r w:rsidRPr="00FE433F">
        <w:rPr>
          <w:rFonts w:hint="eastAsia"/>
          <w:i/>
          <w:sz w:val="23"/>
          <w:szCs w:val="23"/>
          <w:rtl/>
        </w:rPr>
        <w:t>بهمراه</w:t>
      </w:r>
      <w:r w:rsidRPr="00FE433F">
        <w:rPr>
          <w:i/>
          <w:sz w:val="23"/>
          <w:szCs w:val="23"/>
          <w:rtl/>
        </w:rPr>
        <w:t xml:space="preserve"> </w:t>
      </w:r>
      <w:r w:rsidRPr="00FE433F">
        <w:rPr>
          <w:rFonts w:hint="eastAsia"/>
          <w:i/>
          <w:sz w:val="23"/>
          <w:szCs w:val="23"/>
          <w:rtl/>
        </w:rPr>
        <w:t>رشد</w:t>
      </w:r>
      <w:r w:rsidRPr="00FE433F">
        <w:rPr>
          <w:i/>
          <w:sz w:val="23"/>
          <w:szCs w:val="23"/>
          <w:rtl/>
        </w:rPr>
        <w:t xml:space="preserve"> </w:t>
      </w:r>
      <w:r w:rsidRPr="00FE433F">
        <w:rPr>
          <w:rFonts w:hint="eastAsia"/>
          <w:i/>
          <w:sz w:val="23"/>
          <w:szCs w:val="23"/>
          <w:rtl/>
        </w:rPr>
        <w:t>تول</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اقتصاد</w:t>
      </w:r>
      <w:r w:rsidRPr="00FE433F">
        <w:rPr>
          <w:i/>
          <w:sz w:val="23"/>
          <w:szCs w:val="23"/>
          <w:rtl/>
        </w:rPr>
        <w:t xml:space="preserve"> </w:t>
      </w:r>
      <w:r w:rsidRPr="00FE433F">
        <w:rPr>
          <w:rFonts w:hint="eastAsia"/>
          <w:i/>
          <w:sz w:val="23"/>
          <w:szCs w:val="23"/>
          <w:rtl/>
        </w:rPr>
        <w:t>منجر</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افزا</w:t>
      </w:r>
      <w:r w:rsidRPr="00FE433F">
        <w:rPr>
          <w:rFonts w:hint="cs"/>
          <w:i/>
          <w:sz w:val="23"/>
          <w:szCs w:val="23"/>
          <w:rtl/>
        </w:rPr>
        <w:t>ی</w:t>
      </w:r>
      <w:r w:rsidRPr="00FE433F">
        <w:rPr>
          <w:rFonts w:hint="eastAsia"/>
          <w:i/>
          <w:sz w:val="23"/>
          <w:szCs w:val="23"/>
          <w:rtl/>
        </w:rPr>
        <w:t>ش</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مت</w:t>
      </w:r>
      <w:r w:rsidRPr="00FE433F">
        <w:rPr>
          <w:i/>
          <w:sz w:val="23"/>
          <w:szCs w:val="23"/>
          <w:rtl/>
        </w:rPr>
        <w:t xml:space="preserve"> </w:t>
      </w:r>
      <w:r w:rsidRPr="00FE433F">
        <w:rPr>
          <w:rFonts w:hint="eastAsia"/>
          <w:i/>
          <w:sz w:val="23"/>
          <w:szCs w:val="23"/>
          <w:rtl/>
        </w:rPr>
        <w:t>طلا</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نقره،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صرفه</w:t>
      </w:r>
      <w:r w:rsidRPr="00FE433F">
        <w:rPr>
          <w:i/>
          <w:sz w:val="23"/>
          <w:szCs w:val="23"/>
          <w:rtl/>
        </w:rPr>
        <w:softHyphen/>
      </w:r>
      <w:r w:rsidRPr="00FE433F">
        <w:rPr>
          <w:rFonts w:hint="eastAsia"/>
          <w:i/>
          <w:sz w:val="23"/>
          <w:szCs w:val="23"/>
          <w:rtl/>
        </w:rPr>
        <w:t>جو</w:t>
      </w:r>
      <w:r w:rsidRPr="00FE433F">
        <w:rPr>
          <w:rFonts w:hint="cs"/>
          <w:i/>
          <w:sz w:val="23"/>
          <w:szCs w:val="23"/>
          <w:rtl/>
        </w:rPr>
        <w:t>یی</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مصارف</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فلزات</w:t>
      </w:r>
      <w:r w:rsidRPr="00FE433F">
        <w:rPr>
          <w:i/>
          <w:sz w:val="23"/>
          <w:szCs w:val="23"/>
          <w:rtl/>
        </w:rPr>
        <w:t xml:space="preserve"> </w:t>
      </w:r>
      <w:r w:rsidRPr="00FE433F">
        <w:rPr>
          <w:rFonts w:hint="eastAsia"/>
          <w:i/>
          <w:sz w:val="23"/>
          <w:szCs w:val="23"/>
          <w:rtl/>
        </w:rPr>
        <w:t>گران</w:t>
      </w:r>
      <w:r w:rsidRPr="00FE433F">
        <w:rPr>
          <w:i/>
          <w:sz w:val="23"/>
          <w:szCs w:val="23"/>
          <w:rtl/>
        </w:rPr>
        <w:softHyphen/>
      </w:r>
      <w:r w:rsidRPr="00FE433F">
        <w:rPr>
          <w:rFonts w:hint="eastAsia"/>
          <w:i/>
          <w:sz w:val="23"/>
          <w:szCs w:val="23"/>
          <w:rtl/>
        </w:rPr>
        <w:t>بها</w:t>
      </w:r>
      <w:r w:rsidRPr="00FE433F">
        <w:rPr>
          <w:i/>
          <w:sz w:val="23"/>
          <w:szCs w:val="23"/>
          <w:rtl/>
        </w:rPr>
        <w:t xml:space="preserve"> </w:t>
      </w:r>
      <w:r w:rsidRPr="00FE433F">
        <w:rPr>
          <w:rFonts w:hint="eastAsia"/>
          <w:i/>
          <w:sz w:val="23"/>
          <w:szCs w:val="23"/>
          <w:rtl/>
        </w:rPr>
        <w:t>شد</w:t>
      </w:r>
      <w:r w:rsidRPr="00FE433F">
        <w:rPr>
          <w:i/>
          <w:sz w:val="23"/>
          <w:szCs w:val="23"/>
          <w:rtl/>
        </w:rPr>
        <w:t>.</w:t>
      </w:r>
    </w:p>
    <w:p w14:paraId="35DE1C8A" w14:textId="77777777" w:rsidR="00411620" w:rsidRPr="00FE433F" w:rsidRDefault="00411620" w:rsidP="00411620">
      <w:pPr>
        <w:spacing w:line="216" w:lineRule="auto"/>
        <w:rPr>
          <w:i/>
          <w:sz w:val="23"/>
          <w:szCs w:val="23"/>
          <w:rtl/>
        </w:rPr>
      </w:pPr>
      <w:r w:rsidRPr="00FE433F">
        <w:rPr>
          <w:rFonts w:hint="cs"/>
          <w:i/>
          <w:sz w:val="23"/>
          <w:szCs w:val="23"/>
          <w:rtl/>
        </w:rPr>
        <w:t xml:space="preserve">یکی از دلائل </w:t>
      </w:r>
      <w:r w:rsidRPr="00FE433F">
        <w:rPr>
          <w:rFonts w:hint="eastAsia"/>
          <w:i/>
          <w:sz w:val="23"/>
          <w:szCs w:val="23"/>
          <w:rtl/>
        </w:rPr>
        <w:t>اصل</w:t>
      </w:r>
      <w:r w:rsidRPr="00FE433F">
        <w:rPr>
          <w:rFonts w:hint="cs"/>
          <w:i/>
          <w:sz w:val="23"/>
          <w:szCs w:val="23"/>
          <w:rtl/>
        </w:rPr>
        <w:t>ی</w:t>
      </w:r>
      <w:r w:rsidRPr="00FE433F">
        <w:rPr>
          <w:i/>
          <w:sz w:val="23"/>
          <w:szCs w:val="23"/>
          <w:rtl/>
        </w:rPr>
        <w:t xml:space="preserve"> </w:t>
      </w:r>
      <w:r w:rsidRPr="00FE433F">
        <w:rPr>
          <w:rFonts w:hint="eastAsia"/>
          <w:i/>
          <w:sz w:val="23"/>
          <w:szCs w:val="23"/>
          <w:rtl/>
        </w:rPr>
        <w:t>معرف</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اقتصاد</w:t>
      </w:r>
      <w:r w:rsidRPr="00FE433F">
        <w:rPr>
          <w:rFonts w:hint="cs"/>
          <w:i/>
          <w:sz w:val="23"/>
          <w:szCs w:val="23"/>
          <w:rtl/>
        </w:rPr>
        <w:t xml:space="preserve"> </w:t>
      </w:r>
      <w:r w:rsidRPr="00FE433F">
        <w:rPr>
          <w:rFonts w:hint="eastAsia"/>
          <w:i/>
          <w:sz w:val="23"/>
          <w:szCs w:val="23"/>
          <w:rtl/>
        </w:rPr>
        <w:t>انعقاد</w:t>
      </w:r>
      <w:r w:rsidRPr="00FE433F">
        <w:rPr>
          <w:i/>
          <w:sz w:val="23"/>
          <w:szCs w:val="23"/>
          <w:rtl/>
        </w:rPr>
        <w:t xml:space="preserve"> </w:t>
      </w:r>
      <w:r w:rsidRPr="00FE433F">
        <w:rPr>
          <w:rFonts w:hint="eastAsia"/>
          <w:i/>
          <w:sz w:val="23"/>
          <w:szCs w:val="23"/>
          <w:rtl/>
        </w:rPr>
        <w:t>قراردادها</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هنگام</w:t>
      </w:r>
      <w:r w:rsidRPr="00FE433F">
        <w:rPr>
          <w:i/>
          <w:sz w:val="23"/>
          <w:szCs w:val="23"/>
          <w:rtl/>
        </w:rPr>
        <w:t xml:space="preserve"> </w:t>
      </w:r>
      <w:r w:rsidRPr="00FE433F">
        <w:rPr>
          <w:rFonts w:hint="eastAsia"/>
          <w:i/>
          <w:sz w:val="23"/>
          <w:szCs w:val="23"/>
          <w:rtl/>
        </w:rPr>
        <w:t>وام</w:t>
      </w:r>
      <w:r w:rsidRPr="00FE433F">
        <w:rPr>
          <w:i/>
          <w:sz w:val="23"/>
          <w:szCs w:val="23"/>
          <w:rtl/>
        </w:rPr>
        <w:t xml:space="preserve"> </w:t>
      </w:r>
      <w:r w:rsidRPr="00FE433F">
        <w:rPr>
          <w:rFonts w:hint="eastAsia"/>
          <w:i/>
          <w:sz w:val="23"/>
          <w:szCs w:val="23"/>
          <w:rtl/>
        </w:rPr>
        <w:t>گرفتن</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وام</w:t>
      </w:r>
      <w:r w:rsidRPr="00FE433F">
        <w:rPr>
          <w:i/>
          <w:sz w:val="23"/>
          <w:szCs w:val="23"/>
          <w:rtl/>
        </w:rPr>
        <w:t xml:space="preserve"> </w:t>
      </w:r>
      <w:r w:rsidRPr="00FE433F">
        <w:rPr>
          <w:rFonts w:hint="eastAsia"/>
          <w:i/>
          <w:sz w:val="23"/>
          <w:szCs w:val="23"/>
          <w:rtl/>
        </w:rPr>
        <w:t>دادن</w:t>
      </w:r>
      <w:r w:rsidRPr="00FE433F">
        <w:rPr>
          <w:i/>
          <w:sz w:val="23"/>
          <w:szCs w:val="23"/>
          <w:rtl/>
        </w:rPr>
        <w:t xml:space="preserve"> </w:t>
      </w:r>
      <w:r w:rsidRPr="00FE433F">
        <w:rPr>
          <w:rFonts w:hint="eastAsia"/>
          <w:i/>
          <w:sz w:val="23"/>
          <w:szCs w:val="23"/>
          <w:rtl/>
        </w:rPr>
        <w:t>بود</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ابتدا،</w:t>
      </w:r>
      <w:r w:rsidRPr="00FE433F">
        <w:rPr>
          <w:i/>
          <w:sz w:val="23"/>
          <w:szCs w:val="23"/>
          <w:rtl/>
        </w:rPr>
        <w:t xml:space="preserve"> </w:t>
      </w:r>
      <w:r w:rsidRPr="00FE433F">
        <w:rPr>
          <w:rFonts w:hint="cs"/>
          <w:i/>
          <w:sz w:val="23"/>
          <w:szCs w:val="23"/>
          <w:rtl/>
        </w:rPr>
        <w:t xml:space="preserve">برای انعقاد </w:t>
      </w:r>
      <w:r w:rsidRPr="00FE433F">
        <w:rPr>
          <w:rFonts w:hint="eastAsia"/>
          <w:i/>
          <w:sz w:val="23"/>
          <w:szCs w:val="23"/>
          <w:rtl/>
        </w:rPr>
        <w:t>قراردادها</w:t>
      </w:r>
      <w:r w:rsidRPr="00FE433F">
        <w:rPr>
          <w:i/>
          <w:sz w:val="23"/>
          <w:szCs w:val="23"/>
          <w:rtl/>
        </w:rPr>
        <w:t xml:space="preserve"> </w:t>
      </w:r>
      <w:r w:rsidRPr="00FE433F">
        <w:rPr>
          <w:rFonts w:hint="eastAsia"/>
          <w:i/>
          <w:sz w:val="23"/>
          <w:szCs w:val="23"/>
          <w:rtl/>
        </w:rPr>
        <w:t>طلا</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نقره</w:t>
      </w:r>
      <w:r w:rsidRPr="00FE433F">
        <w:rPr>
          <w:i/>
          <w:sz w:val="23"/>
          <w:szCs w:val="23"/>
          <w:rtl/>
        </w:rPr>
        <w:t xml:space="preserve"> </w:t>
      </w:r>
      <w:r w:rsidRPr="00FE433F">
        <w:rPr>
          <w:rFonts w:hint="eastAsia"/>
          <w:i/>
          <w:sz w:val="23"/>
          <w:szCs w:val="23"/>
          <w:rtl/>
        </w:rPr>
        <w:t>قرض</w:t>
      </w:r>
      <w:r w:rsidRPr="00FE433F">
        <w:rPr>
          <w:i/>
          <w:sz w:val="23"/>
          <w:szCs w:val="23"/>
          <w:rtl/>
        </w:rPr>
        <w:t xml:space="preserve"> </w:t>
      </w:r>
      <w:r w:rsidRPr="00FE433F">
        <w:rPr>
          <w:rFonts w:hint="eastAsia"/>
          <w:i/>
          <w:sz w:val="23"/>
          <w:szCs w:val="23"/>
          <w:rtl/>
        </w:rPr>
        <w:t>گرفته</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شد</w:t>
      </w:r>
      <w:r w:rsidRPr="00FE433F">
        <w:rPr>
          <w:rFonts w:hint="cs"/>
          <w:i/>
          <w:sz w:val="23"/>
          <w:szCs w:val="23"/>
          <w:rtl/>
        </w:rPr>
        <w:t>،</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cs"/>
          <w:i/>
          <w:sz w:val="23"/>
          <w:szCs w:val="23"/>
          <w:rtl/>
        </w:rPr>
        <w:t xml:space="preserve">سپس </w:t>
      </w:r>
      <w:r w:rsidRPr="00FE433F">
        <w:rPr>
          <w:rFonts w:hint="eastAsia"/>
          <w:i/>
          <w:sz w:val="23"/>
          <w:szCs w:val="23"/>
          <w:rtl/>
        </w:rPr>
        <w:t>در</w:t>
      </w:r>
      <w:r w:rsidRPr="00FE433F">
        <w:rPr>
          <w:i/>
          <w:sz w:val="23"/>
          <w:szCs w:val="23"/>
          <w:rtl/>
        </w:rPr>
        <w:t xml:space="preserve"> </w:t>
      </w:r>
      <w:r w:rsidRPr="00FE433F">
        <w:rPr>
          <w:rFonts w:hint="eastAsia"/>
          <w:i/>
          <w:sz w:val="23"/>
          <w:szCs w:val="23"/>
          <w:rtl/>
        </w:rPr>
        <w:t>آ</w:t>
      </w:r>
      <w:r w:rsidRPr="00FE433F">
        <w:rPr>
          <w:rFonts w:hint="cs"/>
          <w:i/>
          <w:sz w:val="23"/>
          <w:szCs w:val="23"/>
          <w:rtl/>
        </w:rPr>
        <w:t>ی</w:t>
      </w:r>
      <w:r w:rsidRPr="00FE433F">
        <w:rPr>
          <w:rFonts w:hint="eastAsia"/>
          <w:i/>
          <w:sz w:val="23"/>
          <w:szCs w:val="23"/>
          <w:rtl/>
        </w:rPr>
        <w:t>نده</w:t>
      </w:r>
      <w:r w:rsidRPr="00FE433F">
        <w:rPr>
          <w:i/>
          <w:sz w:val="23"/>
          <w:szCs w:val="23"/>
          <w:rtl/>
        </w:rPr>
        <w:t xml:space="preserve"> </w:t>
      </w:r>
      <w:r w:rsidRPr="00FE433F">
        <w:rPr>
          <w:rFonts w:hint="eastAsia"/>
          <w:i/>
          <w:sz w:val="23"/>
          <w:szCs w:val="23"/>
          <w:rtl/>
        </w:rPr>
        <w:t>بازپرداخت</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شد</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استقراض،</w:t>
      </w:r>
      <w:r w:rsidRPr="00FE433F">
        <w:rPr>
          <w:i/>
          <w:sz w:val="23"/>
          <w:szCs w:val="23"/>
          <w:rtl/>
        </w:rPr>
        <w:t xml:space="preserve"> </w:t>
      </w:r>
      <w:r w:rsidRPr="00FE433F">
        <w:rPr>
          <w:rFonts w:hint="eastAsia"/>
          <w:i/>
          <w:sz w:val="23"/>
          <w:szCs w:val="23"/>
          <w:rtl/>
        </w:rPr>
        <w:t>حق</w:t>
      </w:r>
      <w:r w:rsidRPr="00FE433F">
        <w:rPr>
          <w:i/>
          <w:sz w:val="23"/>
          <w:szCs w:val="23"/>
          <w:rtl/>
        </w:rPr>
        <w:t xml:space="preserve"> </w:t>
      </w:r>
      <w:r w:rsidRPr="00FE433F">
        <w:rPr>
          <w:rFonts w:hint="eastAsia"/>
          <w:i/>
          <w:sz w:val="23"/>
          <w:szCs w:val="23"/>
          <w:rtl/>
        </w:rPr>
        <w:t>الزحمه</w:t>
      </w:r>
      <w:r w:rsidRPr="00FE433F">
        <w:rPr>
          <w:i/>
          <w:sz w:val="23"/>
          <w:szCs w:val="23"/>
          <w:rtl/>
        </w:rPr>
        <w:softHyphen/>
      </w:r>
      <w:r w:rsidRPr="00FE433F">
        <w:rPr>
          <w:rFonts w:hint="eastAsia"/>
          <w:i/>
          <w:sz w:val="23"/>
          <w:szCs w:val="23"/>
          <w:rtl/>
        </w:rPr>
        <w:t>ا</w:t>
      </w:r>
      <w:r w:rsidRPr="00FE433F">
        <w:rPr>
          <w:rFonts w:hint="cs"/>
          <w:i/>
          <w:sz w:val="23"/>
          <w:szCs w:val="23"/>
          <w:rtl/>
        </w:rPr>
        <w:t>ی</w:t>
      </w:r>
      <w:r w:rsidRPr="00FE433F">
        <w:rPr>
          <w:i/>
          <w:sz w:val="23"/>
          <w:szCs w:val="23"/>
          <w:rtl/>
        </w:rPr>
        <w:t xml:space="preserve"> </w:t>
      </w:r>
      <w:r w:rsidRPr="00FE433F">
        <w:rPr>
          <w:rFonts w:hint="eastAsia"/>
          <w:i/>
          <w:sz w:val="23"/>
          <w:szCs w:val="23"/>
          <w:rtl/>
        </w:rPr>
        <w:t>وجود</w:t>
      </w:r>
      <w:r w:rsidRPr="00FE433F">
        <w:rPr>
          <w:i/>
          <w:sz w:val="23"/>
          <w:szCs w:val="23"/>
          <w:rtl/>
        </w:rPr>
        <w:t xml:space="preserve"> </w:t>
      </w:r>
      <w:r w:rsidRPr="00FE433F">
        <w:rPr>
          <w:rFonts w:hint="eastAsia"/>
          <w:i/>
          <w:sz w:val="23"/>
          <w:szCs w:val="23"/>
          <w:rtl/>
        </w:rPr>
        <w:t>داشت</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معمولاً</w:t>
      </w:r>
      <w:r w:rsidRPr="00FE433F">
        <w:rPr>
          <w:i/>
          <w:sz w:val="23"/>
          <w:szCs w:val="23"/>
          <w:rtl/>
        </w:rPr>
        <w:t xml:space="preserve"> </w:t>
      </w:r>
      <w:r w:rsidRPr="00FE433F">
        <w:rPr>
          <w:rFonts w:hint="eastAsia"/>
          <w:i/>
          <w:sz w:val="23"/>
          <w:szCs w:val="23"/>
          <w:rtl/>
        </w:rPr>
        <w:t>مازاد</w:t>
      </w:r>
      <w:r w:rsidRPr="00FE433F">
        <w:rPr>
          <w:i/>
          <w:sz w:val="23"/>
          <w:szCs w:val="23"/>
          <w:rtl/>
        </w:rPr>
        <w:t xml:space="preserve"> </w:t>
      </w:r>
      <w:r w:rsidRPr="00FE433F">
        <w:rPr>
          <w:rFonts w:hint="eastAsia"/>
          <w:i/>
          <w:sz w:val="23"/>
          <w:szCs w:val="23"/>
          <w:rtl/>
        </w:rPr>
        <w:t>بر</w:t>
      </w:r>
      <w:r w:rsidRPr="00FE433F">
        <w:rPr>
          <w:i/>
          <w:sz w:val="23"/>
          <w:szCs w:val="23"/>
          <w:rtl/>
        </w:rPr>
        <w:t xml:space="preserve"> </w:t>
      </w:r>
      <w:r w:rsidRPr="00FE433F">
        <w:rPr>
          <w:rFonts w:hint="eastAsia"/>
          <w:i/>
          <w:sz w:val="23"/>
          <w:szCs w:val="23"/>
          <w:rtl/>
        </w:rPr>
        <w:t>طلا</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نقره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قرارداد</w:t>
      </w:r>
      <w:r w:rsidRPr="00FE433F">
        <w:rPr>
          <w:i/>
          <w:sz w:val="23"/>
          <w:szCs w:val="23"/>
          <w:rtl/>
        </w:rPr>
        <w:t xml:space="preserve"> </w:t>
      </w:r>
      <w:r w:rsidRPr="00FE433F">
        <w:rPr>
          <w:rFonts w:hint="eastAsia"/>
          <w:i/>
          <w:sz w:val="23"/>
          <w:szCs w:val="23"/>
          <w:rtl/>
        </w:rPr>
        <w:t>اول</w:t>
      </w:r>
      <w:r w:rsidRPr="00FE433F">
        <w:rPr>
          <w:rFonts w:hint="cs"/>
          <w:i/>
          <w:sz w:val="23"/>
          <w:szCs w:val="23"/>
          <w:rtl/>
        </w:rPr>
        <w:t>ی</w:t>
      </w:r>
      <w:r w:rsidRPr="00FE433F">
        <w:rPr>
          <w:rFonts w:hint="eastAsia"/>
          <w:i/>
          <w:sz w:val="23"/>
          <w:szCs w:val="23"/>
          <w:rtl/>
        </w:rPr>
        <w:t>ه</w:t>
      </w:r>
      <w:r w:rsidRPr="00FE433F">
        <w:rPr>
          <w:i/>
          <w:sz w:val="23"/>
          <w:szCs w:val="23"/>
          <w:rtl/>
        </w:rPr>
        <w:t xml:space="preserve"> </w:t>
      </w:r>
      <w:r w:rsidRPr="00FE433F">
        <w:rPr>
          <w:rFonts w:hint="eastAsia"/>
          <w:i/>
          <w:sz w:val="23"/>
          <w:szCs w:val="23"/>
          <w:rtl/>
        </w:rPr>
        <w:t>بود</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ظهور</w:t>
      </w:r>
      <w:r w:rsidRPr="00FE433F">
        <w:rPr>
          <w:i/>
          <w:sz w:val="23"/>
          <w:szCs w:val="23"/>
          <w:rtl/>
        </w:rPr>
        <w:t xml:space="preserve"> </w:t>
      </w:r>
      <w:r w:rsidRPr="00FE433F">
        <w:rPr>
          <w:rFonts w:hint="eastAsia"/>
          <w:i/>
          <w:sz w:val="23"/>
          <w:szCs w:val="23"/>
          <w:rtl/>
        </w:rPr>
        <w:t>بازارها</w:t>
      </w:r>
      <w:r w:rsidRPr="00FE433F">
        <w:rPr>
          <w:rFonts w:hint="cs"/>
          <w:i/>
          <w:sz w:val="23"/>
          <w:szCs w:val="23"/>
          <w:rtl/>
        </w:rPr>
        <w:t>ی</w:t>
      </w:r>
      <w:r w:rsidRPr="00FE433F">
        <w:rPr>
          <w:i/>
          <w:sz w:val="23"/>
          <w:szCs w:val="23"/>
          <w:rtl/>
        </w:rPr>
        <w:t xml:space="preserve"> </w:t>
      </w:r>
      <w:r w:rsidRPr="00FE433F">
        <w:rPr>
          <w:rFonts w:hint="eastAsia"/>
          <w:i/>
          <w:sz w:val="23"/>
          <w:szCs w:val="23"/>
          <w:rtl/>
        </w:rPr>
        <w:t>ثانو</w:t>
      </w:r>
      <w:r w:rsidRPr="00FE433F">
        <w:rPr>
          <w:rFonts w:hint="cs"/>
          <w:i/>
          <w:sz w:val="23"/>
          <w:szCs w:val="23"/>
          <w:rtl/>
        </w:rPr>
        <w:t>ی</w:t>
      </w:r>
      <w:r w:rsidRPr="00FE433F">
        <w:rPr>
          <w:rFonts w:hint="eastAsia"/>
          <w:i/>
          <w:sz w:val="23"/>
          <w:szCs w:val="23"/>
          <w:rtl/>
        </w:rPr>
        <w:t>ه</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خود</w:t>
      </w:r>
      <w:r w:rsidRPr="00FE433F">
        <w:rPr>
          <w:i/>
          <w:sz w:val="23"/>
          <w:szCs w:val="23"/>
          <w:rtl/>
        </w:rPr>
        <w:t xml:space="preserve"> </w:t>
      </w:r>
      <w:r w:rsidRPr="00FE433F">
        <w:rPr>
          <w:rFonts w:hint="eastAsia"/>
          <w:i/>
          <w:sz w:val="23"/>
          <w:szCs w:val="23"/>
          <w:rtl/>
        </w:rPr>
        <w:t>قراردادها</w:t>
      </w:r>
      <w:r w:rsidRPr="00FE433F">
        <w:rPr>
          <w:rFonts w:hint="cs"/>
          <w:i/>
          <w:sz w:val="23"/>
          <w:szCs w:val="23"/>
          <w:rtl/>
        </w:rPr>
        <w:t>ی</w:t>
      </w:r>
      <w:r w:rsidRPr="00FE433F">
        <w:rPr>
          <w:i/>
          <w:sz w:val="23"/>
          <w:szCs w:val="23"/>
          <w:rtl/>
        </w:rPr>
        <w:t xml:space="preserve"> </w:t>
      </w:r>
      <w:r w:rsidRPr="00FE433F">
        <w:rPr>
          <w:rFonts w:hint="eastAsia"/>
          <w:i/>
          <w:sz w:val="23"/>
          <w:szCs w:val="23"/>
          <w:rtl/>
        </w:rPr>
        <w:t>طلا</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نقره</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خر</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فروش</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شد،</w:t>
      </w:r>
      <w:r w:rsidRPr="00FE433F">
        <w:rPr>
          <w:i/>
          <w:sz w:val="23"/>
          <w:szCs w:val="23"/>
          <w:rtl/>
        </w:rPr>
        <w:t xml:space="preserve"> </w:t>
      </w:r>
      <w:r w:rsidRPr="00FE433F">
        <w:rPr>
          <w:rFonts w:hint="eastAsia"/>
          <w:i/>
          <w:sz w:val="23"/>
          <w:szCs w:val="23"/>
          <w:rtl/>
        </w:rPr>
        <w:t>مبادله</w:t>
      </w:r>
      <w:r w:rsidRPr="00FE433F">
        <w:rPr>
          <w:i/>
          <w:sz w:val="23"/>
          <w:szCs w:val="23"/>
          <w:rtl/>
        </w:rPr>
        <w:softHyphen/>
      </w:r>
      <w:r w:rsidRPr="00FE433F">
        <w:rPr>
          <w:rFonts w:hint="cs"/>
          <w:i/>
          <w:sz w:val="23"/>
          <w:szCs w:val="23"/>
          <w:rtl/>
        </w:rPr>
        <w:t>ی</w:t>
      </w:r>
      <w:r w:rsidRPr="00FE433F">
        <w:rPr>
          <w:i/>
          <w:sz w:val="23"/>
          <w:szCs w:val="23"/>
          <w:rtl/>
        </w:rPr>
        <w:t xml:space="preserve"> </w:t>
      </w:r>
      <w:r w:rsidRPr="00FE433F">
        <w:rPr>
          <w:rFonts w:hint="eastAsia"/>
          <w:i/>
          <w:sz w:val="23"/>
          <w:szCs w:val="23"/>
          <w:rtl/>
        </w:rPr>
        <w:t>طلا</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نقره</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کاغذ</w:t>
      </w:r>
      <w:r w:rsidRPr="00FE433F">
        <w:rPr>
          <w:i/>
          <w:sz w:val="23"/>
          <w:szCs w:val="23"/>
          <w:rtl/>
        </w:rPr>
        <w:t xml:space="preserve"> </w:t>
      </w:r>
      <w:r w:rsidRPr="00FE433F">
        <w:rPr>
          <w:rFonts w:hint="eastAsia"/>
          <w:i/>
          <w:sz w:val="23"/>
          <w:szCs w:val="23"/>
          <w:rtl/>
        </w:rPr>
        <w:t>آغاز</w:t>
      </w:r>
      <w:r w:rsidRPr="00FE433F">
        <w:rPr>
          <w:i/>
          <w:sz w:val="23"/>
          <w:szCs w:val="23"/>
          <w:rtl/>
        </w:rPr>
        <w:t xml:space="preserve"> </w:t>
      </w:r>
      <w:r w:rsidRPr="00FE433F">
        <w:rPr>
          <w:rFonts w:hint="eastAsia"/>
          <w:i/>
          <w:sz w:val="23"/>
          <w:szCs w:val="23"/>
          <w:rtl/>
        </w:rPr>
        <w:t>شد</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مس</w:t>
      </w:r>
      <w:r w:rsidRPr="00FE433F">
        <w:rPr>
          <w:rFonts w:hint="cs"/>
          <w:i/>
          <w:sz w:val="23"/>
          <w:szCs w:val="23"/>
          <w:rtl/>
        </w:rPr>
        <w:t>ی</w:t>
      </w:r>
      <w:r w:rsidRPr="00FE433F">
        <w:rPr>
          <w:rFonts w:hint="eastAsia"/>
          <w:i/>
          <w:sz w:val="23"/>
          <w:szCs w:val="23"/>
          <w:rtl/>
        </w:rPr>
        <w:t>ر،</w:t>
      </w:r>
      <w:r w:rsidRPr="00FE433F">
        <w:rPr>
          <w:i/>
          <w:sz w:val="23"/>
          <w:szCs w:val="23"/>
          <w:rtl/>
        </w:rPr>
        <w:t xml:space="preserve"> </w:t>
      </w:r>
      <w:r w:rsidRPr="00FE433F">
        <w:rPr>
          <w:rFonts w:hint="cs"/>
          <w:i/>
          <w:sz w:val="23"/>
          <w:szCs w:val="23"/>
          <w:rtl/>
        </w:rPr>
        <w:t>ی</w:t>
      </w:r>
      <w:r w:rsidRPr="00FE433F">
        <w:rPr>
          <w:rFonts w:hint="eastAsia"/>
          <w:i/>
          <w:sz w:val="23"/>
          <w:szCs w:val="23"/>
          <w:rtl/>
        </w:rPr>
        <w:t>عن</w:t>
      </w:r>
      <w:r w:rsidRPr="00FE433F">
        <w:rPr>
          <w:rFonts w:hint="cs"/>
          <w:i/>
          <w:sz w:val="23"/>
          <w:szCs w:val="23"/>
          <w:rtl/>
        </w:rPr>
        <w:t>ی</w:t>
      </w:r>
      <w:r w:rsidRPr="00FE433F">
        <w:rPr>
          <w:i/>
          <w:sz w:val="23"/>
          <w:szCs w:val="23"/>
          <w:rtl/>
        </w:rPr>
        <w:t xml:space="preserve"> </w:t>
      </w:r>
      <w:r w:rsidRPr="00FE433F">
        <w:rPr>
          <w:rFonts w:hint="eastAsia"/>
          <w:i/>
          <w:sz w:val="23"/>
          <w:szCs w:val="23"/>
          <w:rtl/>
        </w:rPr>
        <w:t>در</w:t>
      </w:r>
      <w:r w:rsidRPr="00FE433F">
        <w:rPr>
          <w:rFonts w:hint="cs"/>
          <w:i/>
          <w:sz w:val="23"/>
          <w:szCs w:val="23"/>
          <w:rtl/>
        </w:rPr>
        <w:t>ی</w:t>
      </w:r>
      <w:r w:rsidRPr="00FE433F">
        <w:rPr>
          <w:rFonts w:hint="eastAsia"/>
          <w:i/>
          <w:sz w:val="23"/>
          <w:szCs w:val="23"/>
          <w:rtl/>
        </w:rPr>
        <w:t>افت</w:t>
      </w:r>
      <w:r w:rsidRPr="00FE433F">
        <w:rPr>
          <w:i/>
          <w:sz w:val="23"/>
          <w:szCs w:val="23"/>
          <w:rtl/>
        </w:rPr>
        <w:t xml:space="preserve"> </w:t>
      </w:r>
      <w:r w:rsidRPr="00FE433F">
        <w:rPr>
          <w:rFonts w:hint="eastAsia"/>
          <w:i/>
          <w:sz w:val="23"/>
          <w:szCs w:val="23"/>
          <w:rtl/>
        </w:rPr>
        <w:t>طلا</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نقره</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امروز،</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تعهد</w:t>
      </w:r>
      <w:r w:rsidRPr="00FE433F">
        <w:rPr>
          <w:i/>
          <w:sz w:val="23"/>
          <w:szCs w:val="23"/>
          <w:rtl/>
        </w:rPr>
        <w:t xml:space="preserve"> </w:t>
      </w:r>
      <w:r w:rsidRPr="00FE433F">
        <w:rPr>
          <w:rFonts w:hint="cs"/>
          <w:i/>
          <w:sz w:val="23"/>
          <w:szCs w:val="23"/>
          <w:rtl/>
        </w:rPr>
        <w:t xml:space="preserve">بازپرداخت آن </w:t>
      </w:r>
      <w:r w:rsidRPr="00FE433F">
        <w:rPr>
          <w:rFonts w:hint="eastAsia"/>
          <w:i/>
          <w:sz w:val="23"/>
          <w:szCs w:val="23"/>
          <w:rtl/>
        </w:rPr>
        <w:t>در</w:t>
      </w:r>
      <w:r w:rsidRPr="00FE433F">
        <w:rPr>
          <w:i/>
          <w:sz w:val="23"/>
          <w:szCs w:val="23"/>
          <w:rtl/>
        </w:rPr>
        <w:t xml:space="preserve"> </w:t>
      </w:r>
      <w:r w:rsidRPr="00FE433F">
        <w:rPr>
          <w:rFonts w:hint="eastAsia"/>
          <w:i/>
          <w:sz w:val="23"/>
          <w:szCs w:val="23"/>
          <w:rtl/>
        </w:rPr>
        <w:t>آ</w:t>
      </w:r>
      <w:r w:rsidRPr="00FE433F">
        <w:rPr>
          <w:rFonts w:hint="cs"/>
          <w:i/>
          <w:sz w:val="23"/>
          <w:szCs w:val="23"/>
          <w:rtl/>
        </w:rPr>
        <w:t>ی</w:t>
      </w:r>
      <w:r w:rsidRPr="00FE433F">
        <w:rPr>
          <w:rFonts w:hint="eastAsia"/>
          <w:i/>
          <w:sz w:val="23"/>
          <w:szCs w:val="23"/>
          <w:rtl/>
        </w:rPr>
        <w:t>نده،</w:t>
      </w:r>
      <w:r w:rsidRPr="00FE433F">
        <w:rPr>
          <w:i/>
          <w:sz w:val="23"/>
          <w:szCs w:val="23"/>
          <w:rtl/>
        </w:rPr>
        <w:t xml:space="preserve"> </w:t>
      </w:r>
      <w:r w:rsidRPr="00FE433F">
        <w:rPr>
          <w:rFonts w:hint="eastAsia"/>
          <w:i/>
          <w:sz w:val="23"/>
          <w:szCs w:val="23"/>
          <w:rtl/>
        </w:rPr>
        <w:t>وام</w:t>
      </w:r>
      <w:r w:rsidRPr="00FE433F">
        <w:rPr>
          <w:i/>
          <w:sz w:val="23"/>
          <w:szCs w:val="23"/>
          <w:rtl/>
        </w:rPr>
        <w:softHyphen/>
      </w:r>
      <w:r w:rsidRPr="00FE433F">
        <w:rPr>
          <w:rFonts w:hint="eastAsia"/>
          <w:i/>
          <w:sz w:val="23"/>
          <w:szCs w:val="23"/>
          <w:rtl/>
        </w:rPr>
        <w:t>دهنده</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توانست</w:t>
      </w:r>
      <w:r w:rsidRPr="00FE433F">
        <w:rPr>
          <w:i/>
          <w:sz w:val="23"/>
          <w:szCs w:val="23"/>
          <w:rtl/>
        </w:rPr>
        <w:t xml:space="preserve"> </w:t>
      </w:r>
      <w:r w:rsidRPr="00FE433F">
        <w:rPr>
          <w:rFonts w:hint="eastAsia"/>
          <w:i/>
          <w:sz w:val="23"/>
          <w:szCs w:val="23"/>
          <w:rtl/>
        </w:rPr>
        <w:t>ساختار</w:t>
      </w:r>
      <w:r w:rsidRPr="00FE433F">
        <w:rPr>
          <w:i/>
          <w:sz w:val="23"/>
          <w:szCs w:val="23"/>
          <w:rtl/>
        </w:rPr>
        <w:t xml:space="preserve"> </w:t>
      </w:r>
      <w:r w:rsidRPr="00FE433F">
        <w:rPr>
          <w:rFonts w:hint="eastAsia"/>
          <w:i/>
          <w:sz w:val="23"/>
          <w:szCs w:val="23"/>
          <w:rtl/>
        </w:rPr>
        <w:t>سررس</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دارا</w:t>
      </w:r>
      <w:r w:rsidRPr="00FE433F">
        <w:rPr>
          <w:rFonts w:hint="cs"/>
          <w:i/>
          <w:sz w:val="23"/>
          <w:szCs w:val="23"/>
          <w:rtl/>
        </w:rPr>
        <w:t>یی</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تغ</w:t>
      </w:r>
      <w:r w:rsidRPr="00FE433F">
        <w:rPr>
          <w:rFonts w:hint="cs"/>
          <w:i/>
          <w:sz w:val="23"/>
          <w:szCs w:val="23"/>
          <w:rtl/>
        </w:rPr>
        <w:t>یی</w:t>
      </w:r>
      <w:r w:rsidRPr="00FE433F">
        <w:rPr>
          <w:rFonts w:hint="eastAsia"/>
          <w:i/>
          <w:sz w:val="23"/>
          <w:szCs w:val="23"/>
          <w:rtl/>
        </w:rPr>
        <w:t>ر</w:t>
      </w:r>
      <w:r w:rsidRPr="00FE433F">
        <w:rPr>
          <w:i/>
          <w:sz w:val="23"/>
          <w:szCs w:val="23"/>
          <w:rtl/>
        </w:rPr>
        <w:t xml:space="preserve"> </w:t>
      </w:r>
      <w:r w:rsidRPr="00FE433F">
        <w:rPr>
          <w:rFonts w:hint="eastAsia"/>
          <w:i/>
          <w:sz w:val="23"/>
          <w:szCs w:val="23"/>
          <w:rtl/>
        </w:rPr>
        <w:t>داده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وا</w:t>
      </w:r>
      <w:r w:rsidRPr="00FE433F">
        <w:rPr>
          <w:rFonts w:hint="cs"/>
          <w:i/>
          <w:sz w:val="23"/>
          <w:szCs w:val="23"/>
          <w:rtl/>
        </w:rPr>
        <w:t>م</w:t>
      </w:r>
      <w:r w:rsidRPr="00FE433F">
        <w:rPr>
          <w:i/>
          <w:sz w:val="23"/>
          <w:szCs w:val="23"/>
          <w:rtl/>
        </w:rPr>
        <w:t xml:space="preserve"> </w:t>
      </w:r>
      <w:r w:rsidRPr="00FE433F">
        <w:rPr>
          <w:rFonts w:hint="eastAsia"/>
          <w:i/>
          <w:sz w:val="23"/>
          <w:szCs w:val="23"/>
          <w:rtl/>
        </w:rPr>
        <w:t>ب</w:t>
      </w:r>
      <w:r w:rsidRPr="00FE433F">
        <w:rPr>
          <w:rFonts w:hint="cs"/>
          <w:i/>
          <w:sz w:val="23"/>
          <w:szCs w:val="23"/>
          <w:rtl/>
        </w:rPr>
        <w:t>ی</w:t>
      </w:r>
      <w:r w:rsidRPr="00FE433F">
        <w:rPr>
          <w:rFonts w:hint="eastAsia"/>
          <w:i/>
          <w:sz w:val="23"/>
          <w:szCs w:val="23"/>
          <w:rtl/>
        </w:rPr>
        <w:t>شتر</w:t>
      </w:r>
      <w:r w:rsidRPr="00FE433F">
        <w:rPr>
          <w:rFonts w:hint="cs"/>
          <w:i/>
          <w:sz w:val="23"/>
          <w:szCs w:val="23"/>
          <w:rtl/>
        </w:rPr>
        <w:t>ی</w:t>
      </w:r>
      <w:r w:rsidRPr="00FE433F">
        <w:rPr>
          <w:i/>
          <w:sz w:val="23"/>
          <w:szCs w:val="23"/>
          <w:rtl/>
        </w:rPr>
        <w:t xml:space="preserve"> </w:t>
      </w:r>
      <w:r w:rsidRPr="00FE433F">
        <w:rPr>
          <w:rFonts w:hint="eastAsia"/>
          <w:i/>
          <w:sz w:val="23"/>
          <w:szCs w:val="23"/>
          <w:rtl/>
        </w:rPr>
        <w:t>بدهد</w:t>
      </w:r>
      <w:r w:rsidRPr="00FE433F">
        <w:rPr>
          <w:i/>
          <w:sz w:val="23"/>
          <w:szCs w:val="23"/>
          <w:rtl/>
        </w:rPr>
        <w:t xml:space="preserve">. </w:t>
      </w:r>
      <w:r w:rsidRPr="00FE433F">
        <w:rPr>
          <w:rFonts w:hint="eastAsia"/>
          <w:i/>
          <w:sz w:val="23"/>
          <w:szCs w:val="23"/>
          <w:rtl/>
        </w:rPr>
        <w:t>مؤثر</w:t>
      </w:r>
      <w:r w:rsidRPr="00FE433F">
        <w:rPr>
          <w:i/>
          <w:sz w:val="23"/>
          <w:szCs w:val="23"/>
          <w:rtl/>
        </w:rPr>
        <w:t xml:space="preserve"> </w:t>
      </w:r>
      <w:r w:rsidRPr="00FE433F">
        <w:rPr>
          <w:rFonts w:hint="eastAsia"/>
          <w:i/>
          <w:sz w:val="23"/>
          <w:szCs w:val="23"/>
          <w:rtl/>
        </w:rPr>
        <w:t>بودن</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کارکرد</w:t>
      </w:r>
      <w:r w:rsidRPr="00FE433F">
        <w:rPr>
          <w:i/>
          <w:sz w:val="23"/>
          <w:szCs w:val="23"/>
          <w:rtl/>
        </w:rPr>
        <w:t xml:space="preserve"> </w:t>
      </w:r>
      <w:r w:rsidRPr="00FE433F">
        <w:rPr>
          <w:rFonts w:hint="cs"/>
          <w:i/>
          <w:sz w:val="23"/>
          <w:szCs w:val="23"/>
          <w:rtl/>
        </w:rPr>
        <w:lastRenderedPageBreak/>
        <w:t xml:space="preserve">مستلزم </w:t>
      </w:r>
      <w:r w:rsidRPr="00FE433F">
        <w:rPr>
          <w:rFonts w:hint="eastAsia"/>
          <w:i/>
          <w:sz w:val="23"/>
          <w:szCs w:val="23"/>
          <w:rtl/>
        </w:rPr>
        <w:t>اطم</w:t>
      </w:r>
      <w:r w:rsidRPr="00FE433F">
        <w:rPr>
          <w:rFonts w:hint="cs"/>
          <w:i/>
          <w:sz w:val="23"/>
          <w:szCs w:val="23"/>
          <w:rtl/>
        </w:rPr>
        <w:t>ی</w:t>
      </w:r>
      <w:r w:rsidRPr="00FE433F">
        <w:rPr>
          <w:rFonts w:hint="eastAsia"/>
          <w:i/>
          <w:sz w:val="23"/>
          <w:szCs w:val="23"/>
          <w:rtl/>
        </w:rPr>
        <w:t>نان</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بازخر</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بده</w:t>
      </w:r>
      <w:r w:rsidRPr="00FE433F">
        <w:rPr>
          <w:rFonts w:hint="cs"/>
          <w:i/>
          <w:sz w:val="23"/>
          <w:szCs w:val="23"/>
          <w:rtl/>
        </w:rPr>
        <w:t>ی</w:t>
      </w:r>
      <w:r w:rsidRPr="00FE433F">
        <w:rPr>
          <w:i/>
          <w:sz w:val="23"/>
          <w:szCs w:val="23"/>
          <w:rtl/>
        </w:rPr>
        <w:t xml:space="preserve"> </w:t>
      </w:r>
      <w:r w:rsidRPr="00FE433F">
        <w:rPr>
          <w:rFonts w:hint="eastAsia"/>
          <w:i/>
          <w:sz w:val="23"/>
          <w:szCs w:val="23"/>
          <w:rtl/>
        </w:rPr>
        <w:t>بود</w:t>
      </w:r>
      <w:r w:rsidRPr="00FE433F">
        <w:rPr>
          <w:i/>
          <w:sz w:val="23"/>
          <w:szCs w:val="23"/>
          <w:rtl/>
        </w:rPr>
        <w:t xml:space="preserve">. </w:t>
      </w:r>
      <w:r w:rsidRPr="00FE433F">
        <w:rPr>
          <w:rFonts w:hint="eastAsia"/>
          <w:i/>
          <w:sz w:val="23"/>
          <w:szCs w:val="23"/>
          <w:rtl/>
        </w:rPr>
        <w:t>گ</w:t>
      </w:r>
      <w:r w:rsidRPr="00FE433F">
        <w:rPr>
          <w:rFonts w:hint="cs"/>
          <w:i/>
          <w:sz w:val="23"/>
          <w:szCs w:val="23"/>
          <w:rtl/>
        </w:rPr>
        <w:t>ی</w:t>
      </w:r>
      <w:r w:rsidRPr="00FE433F">
        <w:rPr>
          <w:rFonts w:hint="eastAsia"/>
          <w:i/>
          <w:sz w:val="23"/>
          <w:szCs w:val="23"/>
          <w:rtl/>
        </w:rPr>
        <w:t>رند</w:t>
      </w:r>
      <w:r w:rsidRPr="00FE433F">
        <w:rPr>
          <w:rFonts w:hint="cs"/>
          <w:i/>
          <w:sz w:val="23"/>
          <w:szCs w:val="23"/>
          <w:rtl/>
        </w:rPr>
        <w:t xml:space="preserve">گان </w:t>
      </w:r>
      <w:r w:rsidRPr="00FE433F">
        <w:rPr>
          <w:rFonts w:hint="eastAsia"/>
          <w:i/>
          <w:sz w:val="23"/>
          <w:szCs w:val="23"/>
          <w:rtl/>
        </w:rPr>
        <w:t>عمده</w:t>
      </w:r>
      <w:r w:rsidRPr="00FE433F">
        <w:rPr>
          <w:i/>
          <w:sz w:val="23"/>
          <w:szCs w:val="23"/>
          <w:rtl/>
        </w:rPr>
        <w:softHyphen/>
      </w:r>
      <w:r w:rsidRPr="00FE433F">
        <w:rPr>
          <w:rFonts w:hint="cs"/>
          <w:i/>
          <w:sz w:val="23"/>
          <w:szCs w:val="23"/>
          <w:rtl/>
        </w:rPr>
        <w:t xml:space="preserve"> و اصلی وام،</w:t>
      </w:r>
      <w:r w:rsidRPr="00FE433F">
        <w:rPr>
          <w:i/>
          <w:sz w:val="23"/>
          <w:szCs w:val="23"/>
          <w:rtl/>
        </w:rPr>
        <w:t xml:space="preserve"> </w:t>
      </w:r>
      <w:r w:rsidRPr="00FE433F">
        <w:rPr>
          <w:rFonts w:hint="eastAsia"/>
          <w:i/>
          <w:sz w:val="23"/>
          <w:szCs w:val="23"/>
          <w:rtl/>
        </w:rPr>
        <w:t>پادشاه</w:t>
      </w:r>
      <w:r w:rsidRPr="00FE433F">
        <w:rPr>
          <w:rFonts w:hint="cs"/>
          <w:i/>
          <w:sz w:val="23"/>
          <w:szCs w:val="23"/>
          <w:rtl/>
        </w:rPr>
        <w:t>ان</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دولت</w:t>
      </w:r>
      <w:r w:rsidRPr="00FE433F">
        <w:rPr>
          <w:i/>
          <w:sz w:val="23"/>
          <w:szCs w:val="23"/>
          <w:rtl/>
        </w:rPr>
        <w:softHyphen/>
      </w:r>
      <w:r w:rsidRPr="00FE433F">
        <w:rPr>
          <w:rFonts w:hint="cs"/>
          <w:i/>
          <w:sz w:val="23"/>
          <w:szCs w:val="23"/>
          <w:rtl/>
        </w:rPr>
        <w:t>ها</w:t>
      </w:r>
      <w:r w:rsidRPr="00FE433F">
        <w:rPr>
          <w:i/>
          <w:sz w:val="23"/>
          <w:szCs w:val="23"/>
          <w:rtl/>
        </w:rPr>
        <w:t xml:space="preserve"> </w:t>
      </w:r>
      <w:r w:rsidRPr="00FE433F">
        <w:rPr>
          <w:rFonts w:hint="cs"/>
          <w:i/>
          <w:sz w:val="23"/>
          <w:szCs w:val="23"/>
          <w:rtl/>
        </w:rPr>
        <w:t xml:space="preserve">بودند که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هز</w:t>
      </w:r>
      <w:r w:rsidRPr="00FE433F">
        <w:rPr>
          <w:rFonts w:hint="cs"/>
          <w:i/>
          <w:sz w:val="23"/>
          <w:szCs w:val="23"/>
          <w:rtl/>
        </w:rPr>
        <w:t>ی</w:t>
      </w:r>
      <w:r w:rsidRPr="00FE433F">
        <w:rPr>
          <w:rFonts w:hint="eastAsia"/>
          <w:i/>
          <w:sz w:val="23"/>
          <w:szCs w:val="23"/>
          <w:rtl/>
        </w:rPr>
        <w:t>نه</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مربوط</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جنگ</w:t>
      </w:r>
      <w:r w:rsidRPr="00FE433F">
        <w:rPr>
          <w:i/>
          <w:sz w:val="23"/>
          <w:szCs w:val="23"/>
          <w:rtl/>
        </w:rPr>
        <w:t xml:space="preserve"> </w:t>
      </w:r>
      <w:r w:rsidRPr="00FE433F">
        <w:rPr>
          <w:rFonts w:hint="cs"/>
          <w:i/>
          <w:sz w:val="23"/>
          <w:szCs w:val="23"/>
          <w:rtl/>
        </w:rPr>
        <w:t>از</w:t>
      </w:r>
      <w:r w:rsidRPr="00FE433F">
        <w:rPr>
          <w:i/>
          <w:sz w:val="23"/>
          <w:szCs w:val="23"/>
          <w:rtl/>
        </w:rPr>
        <w:t xml:space="preserve"> </w:t>
      </w:r>
      <w:r w:rsidRPr="00FE433F">
        <w:rPr>
          <w:rFonts w:hint="eastAsia"/>
          <w:i/>
          <w:sz w:val="23"/>
          <w:szCs w:val="23"/>
          <w:rtl/>
        </w:rPr>
        <w:t>زم</w:t>
      </w:r>
      <w:r w:rsidRPr="00FE433F">
        <w:rPr>
          <w:rFonts w:hint="cs"/>
          <w:i/>
          <w:sz w:val="23"/>
          <w:szCs w:val="23"/>
          <w:rtl/>
        </w:rPr>
        <w:t>ی</w:t>
      </w:r>
      <w:r w:rsidRPr="00FE433F">
        <w:rPr>
          <w:rFonts w:hint="eastAsia"/>
          <w:i/>
          <w:sz w:val="23"/>
          <w:szCs w:val="23"/>
          <w:rtl/>
        </w:rPr>
        <w:t>ن</w:t>
      </w:r>
      <w:r w:rsidRPr="00FE433F">
        <w:rPr>
          <w:i/>
          <w:sz w:val="23"/>
          <w:szCs w:val="23"/>
          <w:rtl/>
        </w:rPr>
        <w:softHyphen/>
      </w:r>
      <w:r w:rsidRPr="00FE433F">
        <w:rPr>
          <w:rFonts w:hint="eastAsia"/>
          <w:i/>
          <w:sz w:val="23"/>
          <w:szCs w:val="23"/>
          <w:rtl/>
        </w:rPr>
        <w:t>داران</w:t>
      </w:r>
      <w:r w:rsidRPr="00FE433F">
        <w:rPr>
          <w:i/>
          <w:sz w:val="23"/>
          <w:szCs w:val="23"/>
          <w:rtl/>
        </w:rPr>
        <w:t xml:space="preserve"> </w:t>
      </w:r>
      <w:r w:rsidRPr="00FE433F">
        <w:rPr>
          <w:rFonts w:hint="eastAsia"/>
          <w:i/>
          <w:sz w:val="23"/>
          <w:szCs w:val="23"/>
          <w:rtl/>
        </w:rPr>
        <w:t>بزرگ</w:t>
      </w:r>
      <w:r w:rsidRPr="00FE433F">
        <w:rPr>
          <w:i/>
          <w:sz w:val="23"/>
          <w:szCs w:val="23"/>
          <w:rtl/>
        </w:rPr>
        <w:t xml:space="preserve"> </w:t>
      </w:r>
      <w:r w:rsidRPr="00FE433F">
        <w:rPr>
          <w:rFonts w:hint="cs"/>
          <w:i/>
          <w:sz w:val="23"/>
          <w:szCs w:val="23"/>
          <w:rtl/>
        </w:rPr>
        <w:t xml:space="preserve">که </w:t>
      </w:r>
      <w:r w:rsidRPr="00FE433F">
        <w:rPr>
          <w:rFonts w:hint="eastAsia"/>
          <w:i/>
          <w:sz w:val="23"/>
          <w:szCs w:val="23"/>
          <w:rtl/>
        </w:rPr>
        <w:t>مهمتر</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وام</w:t>
      </w:r>
      <w:r w:rsidRPr="00FE433F">
        <w:rPr>
          <w:i/>
          <w:sz w:val="23"/>
          <w:szCs w:val="23"/>
          <w:rtl/>
        </w:rPr>
        <w:softHyphen/>
      </w:r>
      <w:r w:rsidRPr="00FE433F">
        <w:rPr>
          <w:rFonts w:hint="eastAsia"/>
          <w:i/>
          <w:sz w:val="23"/>
          <w:szCs w:val="23"/>
          <w:rtl/>
        </w:rPr>
        <w:t>دهندگان</w:t>
      </w:r>
      <w:r w:rsidRPr="00FE433F">
        <w:rPr>
          <w:i/>
          <w:sz w:val="23"/>
          <w:szCs w:val="23"/>
          <w:rtl/>
        </w:rPr>
        <w:t xml:space="preserve"> </w:t>
      </w:r>
      <w:r w:rsidRPr="00FE433F">
        <w:rPr>
          <w:rFonts w:hint="eastAsia"/>
          <w:i/>
          <w:sz w:val="23"/>
          <w:szCs w:val="23"/>
          <w:rtl/>
        </w:rPr>
        <w:t>بودند</w:t>
      </w:r>
      <w:r w:rsidRPr="00FE433F">
        <w:rPr>
          <w:rFonts w:hint="cs"/>
          <w:i/>
          <w:sz w:val="23"/>
          <w:szCs w:val="23"/>
          <w:rtl/>
        </w:rPr>
        <w:t xml:space="preserve"> قرض می</w:t>
      </w:r>
      <w:r w:rsidRPr="00FE433F">
        <w:rPr>
          <w:i/>
          <w:sz w:val="23"/>
          <w:szCs w:val="23"/>
          <w:rtl/>
        </w:rPr>
        <w:softHyphen/>
      </w:r>
      <w:r w:rsidRPr="00FE433F">
        <w:rPr>
          <w:rFonts w:hint="cs"/>
          <w:i/>
          <w:sz w:val="23"/>
          <w:szCs w:val="23"/>
          <w:rtl/>
        </w:rPr>
        <w:t xml:space="preserve">کردند، و متعاقب آن </w:t>
      </w:r>
      <w:r w:rsidRPr="00FE433F">
        <w:rPr>
          <w:rFonts w:hint="eastAsia"/>
          <w:i/>
          <w:sz w:val="23"/>
          <w:szCs w:val="23"/>
          <w:rtl/>
        </w:rPr>
        <w:t>با</w:t>
      </w:r>
      <w:r w:rsidRPr="00FE433F">
        <w:rPr>
          <w:i/>
          <w:sz w:val="23"/>
          <w:szCs w:val="23"/>
          <w:rtl/>
        </w:rPr>
        <w:t xml:space="preserve"> </w:t>
      </w:r>
      <w:r w:rsidRPr="00FE433F">
        <w:rPr>
          <w:rFonts w:hint="eastAsia"/>
          <w:i/>
          <w:sz w:val="23"/>
          <w:szCs w:val="23"/>
          <w:rtl/>
        </w:rPr>
        <w:t>رشد</w:t>
      </w:r>
      <w:r w:rsidRPr="00FE433F">
        <w:rPr>
          <w:i/>
          <w:sz w:val="23"/>
          <w:szCs w:val="23"/>
          <w:rtl/>
        </w:rPr>
        <w:t xml:space="preserve"> </w:t>
      </w:r>
      <w:r w:rsidRPr="00FE433F">
        <w:rPr>
          <w:rFonts w:hint="eastAsia"/>
          <w:i/>
          <w:sz w:val="23"/>
          <w:szCs w:val="23"/>
          <w:rtl/>
        </w:rPr>
        <w:t>تجارت</w:t>
      </w:r>
      <w:r w:rsidRPr="00FE433F">
        <w:rPr>
          <w:rFonts w:hint="cs"/>
          <w:i/>
          <w:sz w:val="23"/>
          <w:szCs w:val="23"/>
          <w:rtl/>
        </w:rPr>
        <w:t xml:space="preserve"> کالاها و خدمات</w:t>
      </w:r>
      <w:r w:rsidRPr="00FE433F">
        <w:rPr>
          <w:rFonts w:hint="eastAsia"/>
          <w:i/>
          <w:sz w:val="23"/>
          <w:szCs w:val="23"/>
          <w:rtl/>
        </w:rPr>
        <w:t>،</w:t>
      </w:r>
      <w:r w:rsidRPr="00FE433F">
        <w:rPr>
          <w:i/>
          <w:sz w:val="23"/>
          <w:szCs w:val="23"/>
          <w:rtl/>
        </w:rPr>
        <w:t xml:space="preserve"> </w:t>
      </w:r>
      <w:r w:rsidRPr="00FE433F">
        <w:rPr>
          <w:rFonts w:hint="eastAsia"/>
          <w:i/>
          <w:sz w:val="23"/>
          <w:szCs w:val="23"/>
          <w:rtl/>
        </w:rPr>
        <w:t>تسل</w:t>
      </w:r>
      <w:r w:rsidRPr="00FE433F">
        <w:rPr>
          <w:rFonts w:hint="cs"/>
          <w:i/>
          <w:sz w:val="23"/>
          <w:szCs w:val="23"/>
          <w:rtl/>
        </w:rPr>
        <w:t>ّ</w:t>
      </w:r>
      <w:r w:rsidRPr="00FE433F">
        <w:rPr>
          <w:rFonts w:hint="eastAsia"/>
          <w:i/>
          <w:sz w:val="23"/>
          <w:szCs w:val="23"/>
          <w:rtl/>
        </w:rPr>
        <w:t>ط</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چ</w:t>
      </w:r>
      <w:r w:rsidRPr="00FE433F">
        <w:rPr>
          <w:rFonts w:hint="cs"/>
          <w:i/>
          <w:sz w:val="23"/>
          <w:szCs w:val="23"/>
          <w:rtl/>
        </w:rPr>
        <w:t>ی</w:t>
      </w:r>
      <w:r w:rsidRPr="00FE433F">
        <w:rPr>
          <w:rFonts w:hint="eastAsia"/>
          <w:i/>
          <w:sz w:val="23"/>
          <w:szCs w:val="23"/>
          <w:rtl/>
        </w:rPr>
        <w:t>رگ</w:t>
      </w:r>
      <w:r w:rsidRPr="00FE433F">
        <w:rPr>
          <w:rFonts w:hint="cs"/>
          <w:i/>
          <w:sz w:val="23"/>
          <w:szCs w:val="23"/>
          <w:rtl/>
        </w:rPr>
        <w:t>ی</w:t>
      </w:r>
      <w:r w:rsidRPr="00FE433F">
        <w:rPr>
          <w:i/>
          <w:sz w:val="23"/>
          <w:szCs w:val="23"/>
          <w:rtl/>
        </w:rPr>
        <w:t xml:space="preserve"> </w:t>
      </w:r>
      <w:r w:rsidRPr="00FE433F">
        <w:rPr>
          <w:rFonts w:hint="eastAsia"/>
          <w:i/>
          <w:sz w:val="23"/>
          <w:szCs w:val="23"/>
          <w:rtl/>
        </w:rPr>
        <w:t>تجار</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وام</w:t>
      </w:r>
      <w:r w:rsidRPr="00FE433F">
        <w:rPr>
          <w:i/>
          <w:sz w:val="23"/>
          <w:szCs w:val="23"/>
          <w:rtl/>
        </w:rPr>
        <w:t xml:space="preserve"> </w:t>
      </w:r>
      <w:r w:rsidRPr="00FE433F">
        <w:rPr>
          <w:rFonts w:hint="eastAsia"/>
          <w:i/>
          <w:sz w:val="23"/>
          <w:szCs w:val="23"/>
          <w:rtl/>
        </w:rPr>
        <w:t>گرفتن</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وام</w:t>
      </w:r>
      <w:r w:rsidRPr="00FE433F">
        <w:rPr>
          <w:i/>
          <w:sz w:val="23"/>
          <w:szCs w:val="23"/>
          <w:rtl/>
        </w:rPr>
        <w:t xml:space="preserve"> </w:t>
      </w:r>
      <w:r w:rsidRPr="00FE433F">
        <w:rPr>
          <w:rFonts w:hint="eastAsia"/>
          <w:i/>
          <w:sz w:val="23"/>
          <w:szCs w:val="23"/>
          <w:rtl/>
        </w:rPr>
        <w:t>دادن</w:t>
      </w:r>
      <w:r w:rsidRPr="00FE433F">
        <w:rPr>
          <w:rFonts w:hint="cs"/>
          <w:i/>
          <w:sz w:val="23"/>
          <w:szCs w:val="23"/>
          <w:rtl/>
        </w:rPr>
        <w:t>،</w:t>
      </w:r>
      <w:r w:rsidRPr="00FE433F">
        <w:rPr>
          <w:i/>
          <w:sz w:val="23"/>
          <w:szCs w:val="23"/>
          <w:rtl/>
        </w:rPr>
        <w:t xml:space="preserve"> </w:t>
      </w:r>
      <w:r w:rsidRPr="00FE433F">
        <w:rPr>
          <w:rFonts w:hint="eastAsia"/>
          <w:i/>
          <w:sz w:val="23"/>
          <w:szCs w:val="23"/>
          <w:rtl/>
        </w:rPr>
        <w:t>بر</w:t>
      </w:r>
      <w:r w:rsidRPr="00FE433F">
        <w:rPr>
          <w:i/>
          <w:sz w:val="23"/>
          <w:szCs w:val="23"/>
          <w:rtl/>
        </w:rPr>
        <w:t xml:space="preserve"> </w:t>
      </w:r>
      <w:r w:rsidRPr="00FE433F">
        <w:rPr>
          <w:rFonts w:hint="eastAsia"/>
          <w:i/>
          <w:sz w:val="23"/>
          <w:szCs w:val="23"/>
          <w:rtl/>
        </w:rPr>
        <w:t>پادشاه</w:t>
      </w:r>
      <w:r w:rsidRPr="00FE433F">
        <w:rPr>
          <w:rFonts w:hint="cs"/>
          <w:i/>
          <w:sz w:val="23"/>
          <w:szCs w:val="23"/>
          <w:rtl/>
        </w:rPr>
        <w:t>ان</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دولت</w:t>
      </w:r>
      <w:r w:rsidRPr="00FE433F">
        <w:rPr>
          <w:i/>
          <w:sz w:val="23"/>
          <w:szCs w:val="23"/>
          <w:rtl/>
        </w:rPr>
        <w:softHyphen/>
      </w:r>
      <w:r w:rsidRPr="00FE433F">
        <w:rPr>
          <w:rFonts w:hint="cs"/>
          <w:i/>
          <w:sz w:val="23"/>
          <w:szCs w:val="23"/>
          <w:rtl/>
        </w:rPr>
        <w:t>ها</w:t>
      </w:r>
      <w:r w:rsidRPr="00FE433F">
        <w:rPr>
          <w:i/>
          <w:sz w:val="23"/>
          <w:szCs w:val="23"/>
          <w:rtl/>
        </w:rPr>
        <w:t xml:space="preserve"> </w:t>
      </w:r>
      <w:r w:rsidRPr="00FE433F">
        <w:rPr>
          <w:rFonts w:hint="eastAsia"/>
          <w:i/>
          <w:sz w:val="23"/>
          <w:szCs w:val="23"/>
          <w:rtl/>
        </w:rPr>
        <w:t>آغاز</w:t>
      </w:r>
      <w:r w:rsidRPr="00FE433F">
        <w:rPr>
          <w:i/>
          <w:sz w:val="23"/>
          <w:szCs w:val="23"/>
          <w:rtl/>
        </w:rPr>
        <w:t xml:space="preserve"> </w:t>
      </w:r>
      <w:r w:rsidRPr="00FE433F">
        <w:rPr>
          <w:rFonts w:hint="eastAsia"/>
          <w:i/>
          <w:sz w:val="23"/>
          <w:szCs w:val="23"/>
          <w:rtl/>
        </w:rPr>
        <w:t>شد</w:t>
      </w:r>
      <w:r w:rsidRPr="00FE433F">
        <w:rPr>
          <w:i/>
          <w:sz w:val="23"/>
          <w:szCs w:val="23"/>
          <w:rtl/>
        </w:rPr>
        <w:t xml:space="preserve">. </w:t>
      </w:r>
    </w:p>
    <w:p w14:paraId="24F9A30A" w14:textId="77777777" w:rsidR="00411620" w:rsidRPr="00FE433F" w:rsidRDefault="00411620" w:rsidP="00411620">
      <w:pPr>
        <w:spacing w:line="216" w:lineRule="auto"/>
        <w:rPr>
          <w:i/>
          <w:sz w:val="23"/>
          <w:szCs w:val="23"/>
          <w:rtl/>
        </w:rPr>
      </w:pP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ابتدا،</w:t>
      </w:r>
      <w:r w:rsidRPr="00FE433F">
        <w:rPr>
          <w:i/>
          <w:sz w:val="23"/>
          <w:szCs w:val="23"/>
          <w:rtl/>
        </w:rPr>
        <w:t xml:space="preserve"> </w:t>
      </w:r>
      <w:r w:rsidRPr="00FE433F">
        <w:rPr>
          <w:rFonts w:hint="eastAsia"/>
          <w:i/>
          <w:sz w:val="23"/>
          <w:szCs w:val="23"/>
          <w:rtl/>
        </w:rPr>
        <w:t>بازارها</w:t>
      </w:r>
      <w:r w:rsidRPr="00FE433F">
        <w:rPr>
          <w:rFonts w:hint="cs"/>
          <w:i/>
          <w:sz w:val="23"/>
          <w:szCs w:val="23"/>
          <w:rtl/>
        </w:rPr>
        <w:t>ی</w:t>
      </w:r>
      <w:r w:rsidRPr="00FE433F">
        <w:rPr>
          <w:i/>
          <w:sz w:val="23"/>
          <w:szCs w:val="23"/>
          <w:rtl/>
        </w:rPr>
        <w:t xml:space="preserve"> </w:t>
      </w:r>
      <w:r w:rsidRPr="00FE433F">
        <w:rPr>
          <w:rFonts w:hint="eastAsia"/>
          <w:i/>
          <w:sz w:val="23"/>
          <w:szCs w:val="23"/>
          <w:rtl/>
        </w:rPr>
        <w:t>اعتبار</w:t>
      </w:r>
      <w:r w:rsidRPr="00FE433F">
        <w:rPr>
          <w:rFonts w:hint="cs"/>
          <w:i/>
          <w:sz w:val="23"/>
          <w:szCs w:val="23"/>
          <w:rtl/>
        </w:rPr>
        <w:t>ی،</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cs"/>
          <w:i/>
          <w:sz w:val="23"/>
          <w:szCs w:val="23"/>
          <w:rtl/>
        </w:rPr>
        <w:t>اعتبارات</w:t>
      </w:r>
      <w:r w:rsidRPr="00FE433F">
        <w:rPr>
          <w:i/>
          <w:sz w:val="23"/>
          <w:szCs w:val="23"/>
          <w:rtl/>
        </w:rPr>
        <w:t xml:space="preserve"> </w:t>
      </w:r>
      <w:r w:rsidRPr="00FE433F">
        <w:rPr>
          <w:rFonts w:hint="eastAsia"/>
          <w:i/>
          <w:sz w:val="23"/>
          <w:szCs w:val="23"/>
          <w:rtl/>
        </w:rPr>
        <w:t>ان</w:t>
      </w:r>
      <w:r w:rsidRPr="00FE433F">
        <w:rPr>
          <w:rFonts w:hint="cs"/>
          <w:i/>
          <w:sz w:val="23"/>
          <w:szCs w:val="23"/>
          <w:rtl/>
        </w:rPr>
        <w:t>د</w:t>
      </w:r>
      <w:r w:rsidRPr="00FE433F">
        <w:rPr>
          <w:rFonts w:hint="eastAsia"/>
          <w:i/>
          <w:sz w:val="23"/>
          <w:szCs w:val="23"/>
          <w:rtl/>
        </w:rPr>
        <w:t>ک</w:t>
      </w:r>
      <w:r w:rsidRPr="00FE433F">
        <w:rPr>
          <w:rFonts w:hint="cs"/>
          <w:i/>
          <w:sz w:val="23"/>
          <w:szCs w:val="23"/>
          <w:rtl/>
        </w:rPr>
        <w:t xml:space="preserve">ِ </w:t>
      </w:r>
      <w:r w:rsidRPr="00FE433F">
        <w:rPr>
          <w:rFonts w:hint="eastAsia"/>
          <w:i/>
          <w:sz w:val="23"/>
          <w:szCs w:val="23"/>
          <w:rtl/>
        </w:rPr>
        <w:t>وام</w:t>
      </w:r>
      <w:r w:rsidRPr="00FE433F">
        <w:rPr>
          <w:i/>
          <w:sz w:val="23"/>
          <w:szCs w:val="23"/>
          <w:rtl/>
        </w:rPr>
        <w:softHyphen/>
      </w:r>
      <w:r w:rsidRPr="00FE433F">
        <w:rPr>
          <w:rFonts w:hint="eastAsia"/>
          <w:i/>
          <w:sz w:val="23"/>
          <w:szCs w:val="23"/>
          <w:rtl/>
        </w:rPr>
        <w:t>دهندگان</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جاد</w:t>
      </w:r>
      <w:r w:rsidRPr="00FE433F">
        <w:rPr>
          <w:i/>
          <w:sz w:val="23"/>
          <w:szCs w:val="23"/>
          <w:rtl/>
        </w:rPr>
        <w:t xml:space="preserve"> </w:t>
      </w:r>
      <w:r w:rsidRPr="00FE433F">
        <w:rPr>
          <w:rFonts w:hint="eastAsia"/>
          <w:i/>
          <w:sz w:val="23"/>
          <w:szCs w:val="23"/>
          <w:rtl/>
        </w:rPr>
        <w:t>شد</w:t>
      </w:r>
      <w:r w:rsidRPr="00FE433F">
        <w:rPr>
          <w:rFonts w:hint="cs"/>
          <w:i/>
          <w:sz w:val="23"/>
          <w:szCs w:val="23"/>
          <w:rtl/>
        </w:rPr>
        <w:t>، و سپس</w:t>
      </w:r>
      <w:r w:rsidRPr="00FE433F">
        <w:rPr>
          <w:i/>
          <w:sz w:val="23"/>
          <w:szCs w:val="23"/>
          <w:rtl/>
        </w:rPr>
        <w:t xml:space="preserve"> </w:t>
      </w:r>
      <w:r w:rsidRPr="00FE433F">
        <w:rPr>
          <w:rFonts w:hint="eastAsia"/>
          <w:i/>
          <w:sz w:val="23"/>
          <w:szCs w:val="23"/>
          <w:rtl/>
        </w:rPr>
        <w:t>وام</w:t>
      </w:r>
      <w:r w:rsidRPr="00FE433F">
        <w:rPr>
          <w:i/>
          <w:sz w:val="23"/>
          <w:szCs w:val="23"/>
          <w:rtl/>
        </w:rPr>
        <w:softHyphen/>
      </w:r>
      <w:r w:rsidRPr="00FE433F">
        <w:rPr>
          <w:rFonts w:hint="eastAsia"/>
          <w:i/>
          <w:sz w:val="23"/>
          <w:szCs w:val="23"/>
          <w:rtl/>
        </w:rPr>
        <w:t>دهندگان</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cs"/>
          <w:i/>
          <w:sz w:val="23"/>
          <w:szCs w:val="23"/>
          <w:rtl/>
        </w:rPr>
        <w:t>با</w:t>
      </w:r>
      <w:r w:rsidRPr="00FE433F">
        <w:rPr>
          <w:i/>
          <w:sz w:val="23"/>
          <w:szCs w:val="23"/>
          <w:rtl/>
        </w:rPr>
        <w:t xml:space="preserve"> </w:t>
      </w:r>
      <w:r w:rsidRPr="00FE433F">
        <w:rPr>
          <w:rFonts w:hint="eastAsia"/>
          <w:i/>
          <w:sz w:val="23"/>
          <w:szCs w:val="23"/>
          <w:rtl/>
        </w:rPr>
        <w:t>عملکرد</w:t>
      </w:r>
      <w:r w:rsidRPr="00FE433F">
        <w:rPr>
          <w:rFonts w:hint="cs"/>
          <w:i/>
          <w:sz w:val="23"/>
          <w:szCs w:val="23"/>
          <w:rtl/>
        </w:rPr>
        <w:t>ی</w:t>
      </w:r>
      <w:r w:rsidRPr="00FE433F">
        <w:rPr>
          <w:i/>
          <w:sz w:val="23"/>
          <w:szCs w:val="23"/>
          <w:rtl/>
        </w:rPr>
        <w:t xml:space="preserve"> </w:t>
      </w:r>
      <w:r w:rsidRPr="00FE433F">
        <w:rPr>
          <w:rFonts w:hint="eastAsia"/>
          <w:i/>
          <w:sz w:val="23"/>
          <w:szCs w:val="23"/>
          <w:rtl/>
        </w:rPr>
        <w:t>همانند</w:t>
      </w:r>
      <w:r w:rsidRPr="00FE433F">
        <w:rPr>
          <w:i/>
          <w:sz w:val="23"/>
          <w:szCs w:val="23"/>
          <w:rtl/>
        </w:rPr>
        <w:t xml:space="preserve"> </w:t>
      </w:r>
      <w:r w:rsidRPr="00FE433F">
        <w:rPr>
          <w:rFonts w:hint="eastAsia"/>
          <w:i/>
          <w:sz w:val="23"/>
          <w:szCs w:val="23"/>
          <w:rtl/>
        </w:rPr>
        <w:t>گذشته</w:t>
      </w:r>
      <w:r w:rsidRPr="00FE433F">
        <w:rPr>
          <w:rFonts w:hint="cs"/>
          <w:i/>
          <w:sz w:val="23"/>
          <w:szCs w:val="23"/>
          <w:rtl/>
        </w:rPr>
        <w:t xml:space="preserve"> تبدیل </w:t>
      </w:r>
      <w:r w:rsidRPr="00FE433F">
        <w:rPr>
          <w:rFonts w:hint="eastAsia"/>
          <w:i/>
          <w:sz w:val="23"/>
          <w:szCs w:val="23"/>
          <w:rtl/>
        </w:rPr>
        <w:t>به</w:t>
      </w:r>
      <w:r w:rsidRPr="00FE433F">
        <w:rPr>
          <w:i/>
          <w:sz w:val="23"/>
          <w:szCs w:val="23"/>
          <w:rtl/>
        </w:rPr>
        <w:t xml:space="preserve"> </w:t>
      </w:r>
      <w:r w:rsidRPr="00FE433F">
        <w:rPr>
          <w:rFonts w:hint="eastAsia"/>
          <w:i/>
          <w:sz w:val="23"/>
          <w:szCs w:val="23"/>
          <w:rtl/>
        </w:rPr>
        <w:t>موسسه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cs"/>
          <w:i/>
          <w:sz w:val="23"/>
          <w:szCs w:val="23"/>
          <w:rtl/>
        </w:rPr>
        <w:t xml:space="preserve">یا </w:t>
      </w:r>
      <w:r w:rsidRPr="00FE433F">
        <w:rPr>
          <w:rFonts w:hint="eastAsia"/>
          <w:i/>
          <w:sz w:val="23"/>
          <w:szCs w:val="23"/>
          <w:rtl/>
        </w:rPr>
        <w:t>نهاد</w:t>
      </w:r>
      <w:r w:rsidRPr="00FE433F">
        <w:rPr>
          <w:rFonts w:hint="cs"/>
          <w:i/>
          <w:sz w:val="23"/>
          <w:szCs w:val="23"/>
          <w:rtl/>
        </w:rPr>
        <w:t>ی</w:t>
      </w:r>
      <w:r w:rsidRPr="00FE433F">
        <w:rPr>
          <w:i/>
          <w:sz w:val="23"/>
          <w:szCs w:val="23"/>
          <w:rtl/>
        </w:rPr>
        <w:t xml:space="preserve"> </w:t>
      </w:r>
      <w:r w:rsidRPr="00FE433F">
        <w:rPr>
          <w:rFonts w:hint="eastAsia"/>
          <w:i/>
          <w:sz w:val="23"/>
          <w:szCs w:val="23"/>
          <w:rtl/>
        </w:rPr>
        <w:t>بنام</w:t>
      </w:r>
      <w:r w:rsidRPr="00FE433F">
        <w:rPr>
          <w:i/>
          <w:sz w:val="23"/>
          <w:szCs w:val="23"/>
          <w:rtl/>
        </w:rPr>
        <w:t xml:space="preserve"> </w:t>
      </w:r>
      <w:r w:rsidRPr="00FE433F">
        <w:rPr>
          <w:rFonts w:hint="eastAsia"/>
          <w:i/>
          <w:sz w:val="23"/>
          <w:szCs w:val="23"/>
          <w:rtl/>
        </w:rPr>
        <w:t>بانک</w:t>
      </w:r>
      <w:r w:rsidRPr="00FE433F">
        <w:rPr>
          <w:i/>
          <w:sz w:val="23"/>
          <w:szCs w:val="23"/>
          <w:rtl/>
        </w:rPr>
        <w:t xml:space="preserve"> </w:t>
      </w:r>
      <w:r w:rsidRPr="00FE433F">
        <w:rPr>
          <w:rFonts w:hint="cs"/>
          <w:i/>
          <w:sz w:val="23"/>
          <w:szCs w:val="23"/>
          <w:rtl/>
        </w:rPr>
        <w:t>شدند</w:t>
      </w:r>
      <w:r w:rsidRPr="00FE433F">
        <w:rPr>
          <w:i/>
          <w:sz w:val="23"/>
          <w:szCs w:val="23"/>
          <w:rtl/>
        </w:rPr>
        <w:t xml:space="preserve">. </w:t>
      </w:r>
      <w:r w:rsidRPr="00FE433F">
        <w:rPr>
          <w:rFonts w:hint="eastAsia"/>
          <w:i/>
          <w:sz w:val="23"/>
          <w:szCs w:val="23"/>
          <w:rtl/>
        </w:rPr>
        <w:t>پس</w:t>
      </w:r>
      <w:r w:rsidRPr="00FE433F">
        <w:rPr>
          <w:i/>
          <w:sz w:val="23"/>
          <w:szCs w:val="23"/>
          <w:rtl/>
        </w:rPr>
        <w:softHyphen/>
      </w:r>
      <w:r w:rsidRPr="00FE433F">
        <w:rPr>
          <w:rFonts w:hint="eastAsia"/>
          <w:i/>
          <w:sz w:val="23"/>
          <w:szCs w:val="23"/>
          <w:rtl/>
        </w:rPr>
        <w:t>اندازکنندگان</w:t>
      </w:r>
      <w:r w:rsidRPr="00FE433F">
        <w:rPr>
          <w:rFonts w:hint="cs"/>
          <w:i/>
          <w:sz w:val="23"/>
          <w:szCs w:val="23"/>
          <w:rtl/>
        </w:rPr>
        <w:t>،</w:t>
      </w:r>
      <w:r w:rsidRPr="00FE433F">
        <w:rPr>
          <w:i/>
          <w:sz w:val="23"/>
          <w:szCs w:val="23"/>
          <w:rtl/>
        </w:rPr>
        <w:t xml:space="preserve"> </w:t>
      </w:r>
      <w:r w:rsidRPr="00FE433F">
        <w:rPr>
          <w:rFonts w:hint="eastAsia"/>
          <w:i/>
          <w:sz w:val="23"/>
          <w:szCs w:val="23"/>
          <w:rtl/>
        </w:rPr>
        <w:t>طلا</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نقره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خود</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بانک</w:t>
      </w:r>
      <w:r w:rsidRPr="00FE433F">
        <w:rPr>
          <w:rFonts w:hint="eastAsia"/>
          <w:i/>
          <w:sz w:val="23"/>
          <w:szCs w:val="23"/>
        </w:rPr>
        <w:t>‌</w:t>
      </w:r>
      <w:r w:rsidRPr="00FE433F">
        <w:rPr>
          <w:rFonts w:hint="eastAsia"/>
          <w:i/>
          <w:sz w:val="23"/>
          <w:szCs w:val="23"/>
          <w:rtl/>
        </w:rPr>
        <w:t>ها</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سپرده</w:t>
      </w:r>
      <w:r w:rsidRPr="00FE433F">
        <w:rPr>
          <w:i/>
          <w:sz w:val="23"/>
          <w:szCs w:val="23"/>
          <w:rtl/>
        </w:rPr>
        <w:t xml:space="preserve"> </w:t>
      </w:r>
      <w:r w:rsidRPr="00FE433F">
        <w:rPr>
          <w:rFonts w:hint="eastAsia"/>
          <w:i/>
          <w:sz w:val="23"/>
          <w:szCs w:val="23"/>
          <w:rtl/>
        </w:rPr>
        <w:t>گذاشت</w:t>
      </w:r>
      <w:r w:rsidRPr="00FE433F">
        <w:rPr>
          <w:rFonts w:hint="cs"/>
          <w:i/>
          <w:sz w:val="23"/>
          <w:szCs w:val="23"/>
          <w:rtl/>
        </w:rPr>
        <w:t>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بابت</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درآمد</w:t>
      </w:r>
      <w:r w:rsidRPr="00FE433F">
        <w:rPr>
          <w:rFonts w:hint="cs"/>
          <w:i/>
          <w:sz w:val="23"/>
          <w:szCs w:val="23"/>
          <w:rtl/>
        </w:rPr>
        <w:t>ی</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در</w:t>
      </w:r>
      <w:r w:rsidRPr="00FE433F">
        <w:rPr>
          <w:rFonts w:hint="cs"/>
          <w:i/>
          <w:sz w:val="23"/>
          <w:szCs w:val="23"/>
          <w:rtl/>
        </w:rPr>
        <w:t>ی</w:t>
      </w:r>
      <w:r w:rsidRPr="00FE433F">
        <w:rPr>
          <w:rFonts w:hint="eastAsia"/>
          <w:i/>
          <w:sz w:val="23"/>
          <w:szCs w:val="23"/>
          <w:rtl/>
        </w:rPr>
        <w:t>افت</w:t>
      </w:r>
      <w:r w:rsidRPr="00FE433F">
        <w:rPr>
          <w:i/>
          <w:sz w:val="23"/>
          <w:szCs w:val="23"/>
          <w:rtl/>
        </w:rPr>
        <w:t xml:space="preserve"> </w:t>
      </w:r>
      <w:r w:rsidRPr="00FE433F">
        <w:rPr>
          <w:rFonts w:hint="eastAsia"/>
          <w:i/>
          <w:sz w:val="23"/>
          <w:szCs w:val="23"/>
          <w:rtl/>
        </w:rPr>
        <w:t>کردند</w:t>
      </w:r>
      <w:r w:rsidRPr="00FE433F">
        <w:rPr>
          <w:i/>
          <w:sz w:val="23"/>
          <w:szCs w:val="23"/>
          <w:rtl/>
        </w:rPr>
        <w:t xml:space="preserve">. </w:t>
      </w:r>
      <w:r w:rsidRPr="00FE433F">
        <w:rPr>
          <w:rFonts w:hint="eastAsia"/>
          <w:i/>
          <w:sz w:val="23"/>
          <w:szCs w:val="23"/>
          <w:rtl/>
        </w:rPr>
        <w:t>آن</w:t>
      </w:r>
      <w:r w:rsidRPr="00FE433F">
        <w:rPr>
          <w:rFonts w:hint="cs"/>
          <w:i/>
          <w:sz w:val="23"/>
          <w:szCs w:val="23"/>
          <w:rtl/>
        </w:rPr>
        <w:t>‌</w:t>
      </w:r>
      <w:r w:rsidRPr="00FE433F">
        <w:rPr>
          <w:rFonts w:hint="eastAsia"/>
          <w:i/>
          <w:sz w:val="23"/>
          <w:szCs w:val="23"/>
          <w:rtl/>
        </w:rPr>
        <w:t>ها</w:t>
      </w:r>
      <w:r w:rsidRPr="00FE433F">
        <w:rPr>
          <w:i/>
          <w:sz w:val="23"/>
          <w:szCs w:val="23"/>
          <w:rtl/>
        </w:rPr>
        <w:t xml:space="preserve"> </w:t>
      </w:r>
      <w:r w:rsidRPr="00FE433F">
        <w:rPr>
          <w:rFonts w:hint="eastAsia"/>
          <w:i/>
          <w:sz w:val="23"/>
          <w:szCs w:val="23"/>
          <w:rtl/>
        </w:rPr>
        <w:t>همچن</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اسناد</w:t>
      </w:r>
      <w:r w:rsidRPr="00FE433F">
        <w:rPr>
          <w:i/>
          <w:sz w:val="23"/>
          <w:szCs w:val="23"/>
          <w:rtl/>
        </w:rPr>
        <w:t xml:space="preserve"> </w:t>
      </w:r>
      <w:r w:rsidRPr="00FE433F">
        <w:rPr>
          <w:rFonts w:hint="eastAsia"/>
          <w:i/>
          <w:sz w:val="23"/>
          <w:szCs w:val="23"/>
          <w:rtl/>
        </w:rPr>
        <w:t>اعتبار</w:t>
      </w:r>
      <w:r w:rsidRPr="00FE433F">
        <w:rPr>
          <w:rFonts w:hint="cs"/>
          <w:i/>
          <w:sz w:val="23"/>
          <w:szCs w:val="23"/>
          <w:rtl/>
        </w:rPr>
        <w:t>ی</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مبادله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طلا</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تنز</w:t>
      </w:r>
      <w:r w:rsidRPr="00FE433F">
        <w:rPr>
          <w:rFonts w:hint="cs"/>
          <w:i/>
          <w:sz w:val="23"/>
          <w:szCs w:val="23"/>
          <w:rtl/>
        </w:rPr>
        <w:t>ی</w:t>
      </w:r>
      <w:r w:rsidRPr="00FE433F">
        <w:rPr>
          <w:rFonts w:hint="eastAsia"/>
          <w:i/>
          <w:sz w:val="23"/>
          <w:szCs w:val="23"/>
          <w:rtl/>
        </w:rPr>
        <w:t>ل</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بانک</w:t>
      </w:r>
      <w:r w:rsidRPr="00FE433F">
        <w:rPr>
          <w:rFonts w:hint="eastAsia"/>
          <w:i/>
          <w:sz w:val="23"/>
          <w:szCs w:val="23"/>
        </w:rPr>
        <w:t>‌</w:t>
      </w:r>
      <w:r w:rsidRPr="00FE433F">
        <w:rPr>
          <w:rFonts w:hint="eastAsia"/>
          <w:i/>
          <w:sz w:val="23"/>
          <w:szCs w:val="23"/>
          <w:rtl/>
        </w:rPr>
        <w:t>ها</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فروختند</w:t>
      </w:r>
      <w:r w:rsidRPr="00FE433F">
        <w:rPr>
          <w:rFonts w:hint="cs"/>
          <w:i/>
          <w:sz w:val="23"/>
          <w:szCs w:val="23"/>
          <w:rtl/>
        </w:rPr>
        <w:t>، و</w:t>
      </w:r>
      <w:r w:rsidRPr="00FE433F">
        <w:rPr>
          <w:i/>
          <w:sz w:val="23"/>
          <w:szCs w:val="23"/>
          <w:rtl/>
        </w:rPr>
        <w:t xml:space="preserve"> </w:t>
      </w:r>
      <w:r w:rsidRPr="00FE433F">
        <w:rPr>
          <w:rFonts w:hint="eastAsia"/>
          <w:i/>
          <w:sz w:val="23"/>
          <w:szCs w:val="23"/>
          <w:rtl/>
        </w:rPr>
        <w:t>بانک</w:t>
      </w:r>
      <w:r w:rsidRPr="00FE433F">
        <w:rPr>
          <w:rFonts w:hint="eastAsia"/>
          <w:i/>
          <w:sz w:val="23"/>
          <w:szCs w:val="23"/>
        </w:rPr>
        <w:t>‌</w:t>
      </w:r>
      <w:r w:rsidRPr="00FE433F">
        <w:rPr>
          <w:rFonts w:hint="eastAsia"/>
          <w:i/>
          <w:sz w:val="23"/>
          <w:szCs w:val="23"/>
          <w:rtl/>
        </w:rPr>
        <w:t>ها</w:t>
      </w:r>
      <w:r w:rsidRPr="00FE433F">
        <w:rPr>
          <w:i/>
          <w:sz w:val="23"/>
          <w:szCs w:val="23"/>
          <w:rtl/>
        </w:rPr>
        <w:t xml:space="preserve"> </w:t>
      </w:r>
      <w:r w:rsidRPr="00FE433F">
        <w:rPr>
          <w:rFonts w:hint="eastAsia"/>
          <w:i/>
          <w:sz w:val="23"/>
          <w:szCs w:val="23"/>
          <w:rtl/>
        </w:rPr>
        <w:t>بد</w:t>
      </w:r>
      <w:r w:rsidRPr="00FE433F">
        <w:rPr>
          <w:rFonts w:hint="cs"/>
          <w:i/>
          <w:sz w:val="23"/>
          <w:szCs w:val="23"/>
          <w:rtl/>
        </w:rPr>
        <w:t>لی</w:t>
      </w:r>
      <w:r w:rsidRPr="00FE433F">
        <w:rPr>
          <w:rFonts w:hint="eastAsia"/>
          <w:i/>
          <w:sz w:val="23"/>
          <w:szCs w:val="23"/>
          <w:rtl/>
        </w:rPr>
        <w:t>ل</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مت</w:t>
      </w:r>
      <w:r w:rsidRPr="00FE433F">
        <w:rPr>
          <w:i/>
          <w:sz w:val="23"/>
          <w:szCs w:val="23"/>
          <w:rtl/>
        </w:rPr>
        <w:t xml:space="preserve"> </w:t>
      </w:r>
      <w:r w:rsidRPr="00FE433F">
        <w:rPr>
          <w:rFonts w:hint="eastAsia"/>
          <w:i/>
          <w:sz w:val="23"/>
          <w:szCs w:val="23"/>
          <w:rtl/>
        </w:rPr>
        <w:t>خر</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تنز</w:t>
      </w:r>
      <w:r w:rsidRPr="00FE433F">
        <w:rPr>
          <w:rFonts w:hint="cs"/>
          <w:i/>
          <w:sz w:val="23"/>
          <w:szCs w:val="23"/>
          <w:rtl/>
        </w:rPr>
        <w:t>ی</w:t>
      </w:r>
      <w:r w:rsidRPr="00FE433F">
        <w:rPr>
          <w:rFonts w:hint="eastAsia"/>
          <w:i/>
          <w:sz w:val="23"/>
          <w:szCs w:val="23"/>
          <w:rtl/>
        </w:rPr>
        <w:t>ل</w:t>
      </w:r>
      <w:r w:rsidRPr="00FE433F">
        <w:rPr>
          <w:i/>
          <w:sz w:val="23"/>
          <w:szCs w:val="23"/>
          <w:rtl/>
        </w:rPr>
        <w:t xml:space="preserve"> </w:t>
      </w:r>
      <w:r w:rsidRPr="00FE433F">
        <w:rPr>
          <w:rFonts w:hint="eastAsia"/>
          <w:i/>
          <w:sz w:val="23"/>
          <w:szCs w:val="23"/>
          <w:rtl/>
        </w:rPr>
        <w:t>شده</w:t>
      </w:r>
      <w:r w:rsidRPr="00FE433F">
        <w:rPr>
          <w:i/>
          <w:sz w:val="23"/>
          <w:szCs w:val="23"/>
          <w:rtl/>
        </w:rPr>
        <w:softHyphen/>
      </w:r>
      <w:r w:rsidRPr="00FE433F">
        <w:rPr>
          <w:rFonts w:hint="cs"/>
          <w:i/>
          <w:sz w:val="23"/>
          <w:szCs w:val="23"/>
          <w:rtl/>
        </w:rPr>
        <w:t>ی</w:t>
      </w:r>
      <w:r w:rsidRPr="00FE433F">
        <w:rPr>
          <w:i/>
          <w:sz w:val="23"/>
          <w:szCs w:val="23"/>
          <w:rtl/>
        </w:rPr>
        <w:t xml:space="preserve"> </w:t>
      </w:r>
      <w:r w:rsidRPr="00FE433F">
        <w:rPr>
          <w:rFonts w:hint="eastAsia"/>
          <w:i/>
          <w:sz w:val="23"/>
          <w:szCs w:val="23"/>
          <w:rtl/>
        </w:rPr>
        <w:t>اسناد</w:t>
      </w:r>
      <w:r w:rsidRPr="00FE433F">
        <w:rPr>
          <w:i/>
          <w:sz w:val="23"/>
          <w:szCs w:val="23"/>
          <w:rtl/>
        </w:rPr>
        <w:t xml:space="preserve"> </w:t>
      </w:r>
      <w:r w:rsidRPr="00FE433F">
        <w:rPr>
          <w:rFonts w:hint="eastAsia"/>
          <w:i/>
          <w:sz w:val="23"/>
          <w:szCs w:val="23"/>
          <w:rtl/>
        </w:rPr>
        <w:t>اعتبار</w:t>
      </w:r>
      <w:r w:rsidRPr="00FE433F">
        <w:rPr>
          <w:rFonts w:hint="cs"/>
          <w:i/>
          <w:sz w:val="23"/>
          <w:szCs w:val="23"/>
          <w:rtl/>
        </w:rPr>
        <w:t>ی</w:t>
      </w:r>
      <w:r w:rsidRPr="00FE433F">
        <w:rPr>
          <w:i/>
          <w:sz w:val="23"/>
          <w:szCs w:val="23"/>
          <w:rtl/>
        </w:rPr>
        <w:t xml:space="preserve"> </w:t>
      </w:r>
      <w:r w:rsidRPr="00FE433F">
        <w:rPr>
          <w:rFonts w:hint="eastAsia"/>
          <w:i/>
          <w:sz w:val="23"/>
          <w:szCs w:val="23"/>
          <w:rtl/>
        </w:rPr>
        <w:t>کمتر</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ارزش</w:t>
      </w:r>
      <w:r w:rsidRPr="00FE433F">
        <w:rPr>
          <w:i/>
          <w:sz w:val="23"/>
          <w:szCs w:val="23"/>
          <w:rtl/>
        </w:rPr>
        <w:t xml:space="preserve"> </w:t>
      </w:r>
      <w:r w:rsidRPr="00FE433F">
        <w:rPr>
          <w:rFonts w:hint="eastAsia"/>
          <w:i/>
          <w:sz w:val="23"/>
          <w:szCs w:val="23"/>
          <w:rtl/>
        </w:rPr>
        <w:t>بازخر</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آن</w:t>
      </w:r>
      <w:r w:rsidRPr="00FE433F">
        <w:rPr>
          <w:rFonts w:hint="cs"/>
          <w:i/>
          <w:sz w:val="23"/>
          <w:szCs w:val="23"/>
          <w:rtl/>
        </w:rPr>
        <w:t>‌</w:t>
      </w:r>
      <w:r w:rsidRPr="00FE433F">
        <w:rPr>
          <w:rFonts w:hint="eastAsia"/>
          <w:i/>
          <w:sz w:val="23"/>
          <w:szCs w:val="23"/>
          <w:rtl/>
        </w:rPr>
        <w:t>ها</w:t>
      </w:r>
      <w:r w:rsidRPr="00FE433F">
        <w:rPr>
          <w:i/>
          <w:sz w:val="23"/>
          <w:szCs w:val="23"/>
          <w:rtl/>
        </w:rPr>
        <w:t xml:space="preserve"> </w:t>
      </w:r>
      <w:r w:rsidRPr="00FE433F">
        <w:rPr>
          <w:rFonts w:hint="eastAsia"/>
          <w:i/>
          <w:sz w:val="23"/>
          <w:szCs w:val="23"/>
          <w:rtl/>
        </w:rPr>
        <w:t>بود</w:t>
      </w:r>
      <w:r w:rsidRPr="00FE433F">
        <w:rPr>
          <w:i/>
          <w:sz w:val="23"/>
          <w:szCs w:val="23"/>
          <w:rtl/>
        </w:rPr>
        <w:t xml:space="preserve"> </w:t>
      </w:r>
      <w:r w:rsidRPr="00FE433F">
        <w:rPr>
          <w:rFonts w:hint="eastAsia"/>
          <w:i/>
          <w:sz w:val="23"/>
          <w:szCs w:val="23"/>
          <w:rtl/>
        </w:rPr>
        <w:t>سود</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کردند</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جا</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بانک</w:t>
      </w:r>
      <w:r w:rsidRPr="00FE433F">
        <w:rPr>
          <w:rFonts w:hint="eastAsia"/>
          <w:i/>
          <w:sz w:val="23"/>
          <w:szCs w:val="23"/>
        </w:rPr>
        <w:t>‌</w:t>
      </w:r>
      <w:r w:rsidRPr="00FE433F">
        <w:rPr>
          <w:rFonts w:hint="eastAsia"/>
          <w:i/>
          <w:sz w:val="23"/>
          <w:szCs w:val="23"/>
          <w:rtl/>
        </w:rPr>
        <w:t>ها</w:t>
      </w:r>
      <w:r w:rsidRPr="00FE433F">
        <w:rPr>
          <w:i/>
          <w:sz w:val="23"/>
          <w:szCs w:val="23"/>
          <w:rtl/>
        </w:rPr>
        <w:t xml:space="preserve"> </w:t>
      </w:r>
      <w:r w:rsidRPr="00FE433F">
        <w:rPr>
          <w:rFonts w:hint="eastAsia"/>
          <w:i/>
          <w:sz w:val="23"/>
          <w:szCs w:val="23"/>
          <w:rtl/>
        </w:rPr>
        <w:t>ر</w:t>
      </w:r>
      <w:r w:rsidRPr="00FE433F">
        <w:rPr>
          <w:rFonts w:hint="cs"/>
          <w:i/>
          <w:sz w:val="23"/>
          <w:szCs w:val="23"/>
          <w:rtl/>
        </w:rPr>
        <w:t>ی</w:t>
      </w:r>
      <w:r w:rsidRPr="00FE433F">
        <w:rPr>
          <w:rFonts w:hint="eastAsia"/>
          <w:i/>
          <w:sz w:val="23"/>
          <w:szCs w:val="23"/>
          <w:rtl/>
        </w:rPr>
        <w:t>سک</w:t>
      </w:r>
      <w:r w:rsidRPr="00FE433F">
        <w:rPr>
          <w:i/>
          <w:sz w:val="23"/>
          <w:szCs w:val="23"/>
          <w:rtl/>
        </w:rPr>
        <w:t xml:space="preserve"> </w:t>
      </w:r>
      <w:r w:rsidRPr="00FE433F">
        <w:rPr>
          <w:rFonts w:hint="eastAsia"/>
          <w:i/>
          <w:sz w:val="23"/>
          <w:szCs w:val="23"/>
          <w:rtl/>
        </w:rPr>
        <w:t>نکول</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قصور</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عدم</w:t>
      </w:r>
      <w:r w:rsidRPr="00FE433F">
        <w:rPr>
          <w:i/>
          <w:sz w:val="23"/>
          <w:szCs w:val="23"/>
          <w:rtl/>
        </w:rPr>
        <w:t xml:space="preserve"> </w:t>
      </w:r>
      <w:r w:rsidRPr="00FE433F">
        <w:rPr>
          <w:rFonts w:hint="eastAsia"/>
          <w:i/>
          <w:sz w:val="23"/>
          <w:szCs w:val="23"/>
          <w:rtl/>
        </w:rPr>
        <w:t>پرداخت</w:t>
      </w:r>
      <w:r w:rsidRPr="00FE433F">
        <w:rPr>
          <w:i/>
          <w:sz w:val="23"/>
          <w:szCs w:val="23"/>
          <w:rtl/>
        </w:rPr>
        <w:t xml:space="preserve"> </w:t>
      </w:r>
      <w:r w:rsidRPr="00FE433F">
        <w:rPr>
          <w:rFonts w:hint="eastAsia"/>
          <w:i/>
          <w:sz w:val="23"/>
          <w:szCs w:val="23"/>
          <w:rtl/>
        </w:rPr>
        <w:t>بده</w:t>
      </w:r>
      <w:r w:rsidRPr="00FE433F">
        <w:rPr>
          <w:rFonts w:hint="cs"/>
          <w:i/>
          <w:sz w:val="23"/>
          <w:szCs w:val="23"/>
          <w:rtl/>
        </w:rPr>
        <w:t>ی</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قبول</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کردند،</w:t>
      </w:r>
      <w:r w:rsidRPr="00FE433F">
        <w:rPr>
          <w:i/>
          <w:sz w:val="23"/>
          <w:szCs w:val="23"/>
          <w:rtl/>
        </w:rPr>
        <w:t xml:space="preserve"> </w:t>
      </w:r>
      <w:r w:rsidRPr="00FE433F">
        <w:rPr>
          <w:rFonts w:hint="cs"/>
          <w:i/>
          <w:sz w:val="23"/>
          <w:szCs w:val="23"/>
          <w:rtl/>
        </w:rPr>
        <w:t>لذا</w:t>
      </w:r>
      <w:r w:rsidRPr="00FE433F">
        <w:rPr>
          <w:i/>
          <w:sz w:val="23"/>
          <w:szCs w:val="23"/>
          <w:rtl/>
        </w:rPr>
        <w:t xml:space="preserve"> </w:t>
      </w:r>
      <w:r w:rsidRPr="00FE433F">
        <w:rPr>
          <w:rFonts w:hint="eastAsia"/>
          <w:i/>
          <w:sz w:val="23"/>
          <w:szCs w:val="23"/>
          <w:rtl/>
        </w:rPr>
        <w:t>انتقال</w:t>
      </w:r>
      <w:r w:rsidRPr="00FE433F">
        <w:rPr>
          <w:rFonts w:hint="cs"/>
          <w:i/>
          <w:sz w:val="23"/>
          <w:szCs w:val="23"/>
          <w:rtl/>
        </w:rPr>
        <w:t xml:space="preserve"> ریسک</w:t>
      </w:r>
      <w:r w:rsidRPr="00FE433F">
        <w:rPr>
          <w:i/>
          <w:sz w:val="23"/>
          <w:szCs w:val="23"/>
          <w:rtl/>
        </w:rPr>
        <w:t xml:space="preserve"> </w:t>
      </w:r>
      <w:r w:rsidRPr="00FE433F">
        <w:rPr>
          <w:rFonts w:hint="eastAsia"/>
          <w:i/>
          <w:sz w:val="23"/>
          <w:szCs w:val="23"/>
          <w:rtl/>
        </w:rPr>
        <w:t>ب</w:t>
      </w:r>
      <w:r w:rsidRPr="00FE433F">
        <w:rPr>
          <w:rFonts w:hint="cs"/>
          <w:i/>
          <w:sz w:val="23"/>
          <w:szCs w:val="23"/>
          <w:rtl/>
        </w:rPr>
        <w:t xml:space="preserve">ه </w:t>
      </w:r>
      <w:r w:rsidRPr="00FE433F">
        <w:rPr>
          <w:rFonts w:hint="eastAsia"/>
          <w:i/>
          <w:sz w:val="23"/>
          <w:szCs w:val="23"/>
          <w:rtl/>
        </w:rPr>
        <w:t>بانک</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نرخ</w:t>
      </w:r>
      <w:r w:rsidRPr="00FE433F">
        <w:rPr>
          <w:i/>
          <w:sz w:val="23"/>
          <w:szCs w:val="23"/>
          <w:rtl/>
        </w:rPr>
        <w:t xml:space="preserve"> </w:t>
      </w:r>
      <w:r w:rsidRPr="00FE433F">
        <w:rPr>
          <w:rFonts w:hint="eastAsia"/>
          <w:i/>
          <w:sz w:val="23"/>
          <w:szCs w:val="23"/>
          <w:rtl/>
        </w:rPr>
        <w:t>تنز</w:t>
      </w:r>
      <w:r w:rsidRPr="00FE433F">
        <w:rPr>
          <w:rFonts w:hint="cs"/>
          <w:i/>
          <w:sz w:val="23"/>
          <w:szCs w:val="23"/>
          <w:rtl/>
        </w:rPr>
        <w:t>ی</w:t>
      </w:r>
      <w:r w:rsidRPr="00FE433F">
        <w:rPr>
          <w:rFonts w:hint="eastAsia"/>
          <w:i/>
          <w:sz w:val="23"/>
          <w:szCs w:val="23"/>
          <w:rtl/>
        </w:rPr>
        <w:t>ل</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cs"/>
          <w:i/>
          <w:sz w:val="23"/>
          <w:szCs w:val="23"/>
          <w:rtl/>
        </w:rPr>
        <w:t>هزینه</w:t>
      </w:r>
      <w:r w:rsidRPr="00FE433F">
        <w:rPr>
          <w:i/>
          <w:sz w:val="23"/>
          <w:szCs w:val="23"/>
          <w:rtl/>
        </w:rPr>
        <w:softHyphen/>
      </w:r>
      <w:r w:rsidRPr="00FE433F">
        <w:rPr>
          <w:rFonts w:hint="cs"/>
          <w:i/>
          <w:sz w:val="23"/>
          <w:szCs w:val="23"/>
          <w:rtl/>
        </w:rPr>
        <w:t>ی</w:t>
      </w:r>
      <w:r w:rsidRPr="00FE433F">
        <w:rPr>
          <w:i/>
          <w:sz w:val="23"/>
          <w:szCs w:val="23"/>
          <w:rtl/>
        </w:rPr>
        <w:t xml:space="preserve"> </w:t>
      </w:r>
      <w:r w:rsidRPr="00FE433F">
        <w:rPr>
          <w:rFonts w:hint="eastAsia"/>
          <w:i/>
          <w:sz w:val="23"/>
          <w:szCs w:val="23"/>
          <w:rtl/>
        </w:rPr>
        <w:t>انتظار</w:t>
      </w:r>
      <w:r w:rsidRPr="00FE433F">
        <w:rPr>
          <w:rFonts w:hint="cs"/>
          <w:i/>
          <w:sz w:val="23"/>
          <w:szCs w:val="23"/>
          <w:rtl/>
        </w:rPr>
        <w:t>ی</w:t>
      </w:r>
      <w:r w:rsidRPr="00FE433F">
        <w:rPr>
          <w:i/>
          <w:sz w:val="23"/>
          <w:szCs w:val="23"/>
          <w:rtl/>
        </w:rPr>
        <w:t xml:space="preserve"> </w:t>
      </w:r>
      <w:r w:rsidRPr="00FE433F">
        <w:rPr>
          <w:rFonts w:hint="cs"/>
          <w:i/>
          <w:sz w:val="23"/>
          <w:szCs w:val="23"/>
          <w:rtl/>
        </w:rPr>
        <w:t>تعدیل می</w:t>
      </w:r>
      <w:r w:rsidRPr="00FE433F">
        <w:rPr>
          <w:i/>
          <w:sz w:val="23"/>
          <w:szCs w:val="23"/>
          <w:rtl/>
        </w:rPr>
        <w:softHyphen/>
      </w:r>
      <w:r w:rsidRPr="00FE433F">
        <w:rPr>
          <w:rFonts w:hint="cs"/>
          <w:i/>
          <w:sz w:val="23"/>
          <w:szCs w:val="23"/>
          <w:rtl/>
        </w:rPr>
        <w:t>شد</w:t>
      </w:r>
      <w:r w:rsidRPr="00FE433F">
        <w:rPr>
          <w:i/>
          <w:sz w:val="23"/>
          <w:szCs w:val="23"/>
          <w:rtl/>
        </w:rPr>
        <w:t xml:space="preserve">. </w:t>
      </w:r>
    </w:p>
    <w:p w14:paraId="17F0865C" w14:textId="77777777" w:rsidR="00411620" w:rsidRPr="00FE433F" w:rsidRDefault="00411620" w:rsidP="00411620">
      <w:pPr>
        <w:spacing w:line="216" w:lineRule="auto"/>
        <w:rPr>
          <w:i/>
          <w:sz w:val="23"/>
          <w:szCs w:val="23"/>
          <w:rtl/>
        </w:rPr>
      </w:pPr>
      <w:r w:rsidRPr="00FE433F">
        <w:rPr>
          <w:rFonts w:hint="cs"/>
          <w:i/>
          <w:sz w:val="23"/>
          <w:szCs w:val="23"/>
          <w:rtl/>
        </w:rPr>
        <w:t xml:space="preserve">در این مسیر </w:t>
      </w:r>
      <w:r w:rsidRPr="00FE433F">
        <w:rPr>
          <w:rFonts w:hint="eastAsia"/>
          <w:i/>
          <w:sz w:val="23"/>
          <w:szCs w:val="23"/>
          <w:rtl/>
        </w:rPr>
        <w:t>بانک</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بزرگ</w:t>
      </w:r>
      <w:r w:rsidRPr="00FE433F">
        <w:rPr>
          <w:i/>
          <w:sz w:val="23"/>
          <w:szCs w:val="23"/>
          <w:rtl/>
        </w:rPr>
        <w:softHyphen/>
      </w:r>
      <w:r w:rsidRPr="00FE433F">
        <w:rPr>
          <w:rFonts w:hint="cs"/>
          <w:i/>
          <w:sz w:val="23"/>
          <w:szCs w:val="23"/>
          <w:rtl/>
        </w:rPr>
        <w:t>تر</w:t>
      </w:r>
      <w:r w:rsidRPr="00FE433F">
        <w:rPr>
          <w:i/>
          <w:sz w:val="23"/>
          <w:szCs w:val="23"/>
          <w:rtl/>
        </w:rPr>
        <w:t xml:space="preserve"> </w:t>
      </w:r>
      <w:r w:rsidRPr="00FE433F">
        <w:rPr>
          <w:rFonts w:hint="eastAsia"/>
          <w:i/>
          <w:sz w:val="23"/>
          <w:szCs w:val="23"/>
          <w:rtl/>
        </w:rPr>
        <w:t>مهمتر</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منابع</w:t>
      </w:r>
      <w:r w:rsidRPr="00FE433F">
        <w:rPr>
          <w:i/>
          <w:sz w:val="23"/>
          <w:szCs w:val="23"/>
          <w:rtl/>
        </w:rPr>
        <w:t xml:space="preserve"> </w:t>
      </w:r>
      <w:r w:rsidRPr="00FE433F">
        <w:rPr>
          <w:rFonts w:hint="eastAsia"/>
          <w:i/>
          <w:sz w:val="23"/>
          <w:szCs w:val="23"/>
          <w:rtl/>
        </w:rPr>
        <w:t>اعتبار</w:t>
      </w:r>
      <w:r w:rsidRPr="00FE433F">
        <w:rPr>
          <w:rFonts w:hint="cs"/>
          <w:i/>
          <w:sz w:val="23"/>
          <w:szCs w:val="23"/>
          <w:rtl/>
        </w:rPr>
        <w:t>ی</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پادشاه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دولت</w:t>
      </w:r>
      <w:r w:rsidRPr="00FE433F">
        <w:rPr>
          <w:i/>
          <w:sz w:val="23"/>
          <w:szCs w:val="23"/>
          <w:rtl/>
        </w:rPr>
        <w:t xml:space="preserve"> </w:t>
      </w:r>
      <w:r w:rsidRPr="00FE433F">
        <w:rPr>
          <w:rFonts w:hint="eastAsia"/>
          <w:i/>
          <w:sz w:val="23"/>
          <w:szCs w:val="23"/>
          <w:rtl/>
        </w:rPr>
        <w:t>شدند</w:t>
      </w:r>
      <w:r w:rsidRPr="00FE433F">
        <w:rPr>
          <w:rFonts w:hint="cs"/>
          <w:i/>
          <w:sz w:val="23"/>
          <w:szCs w:val="23"/>
          <w:rtl/>
        </w:rPr>
        <w:t xml:space="preserve">. </w:t>
      </w:r>
      <w:r w:rsidRPr="00FE433F">
        <w:rPr>
          <w:rFonts w:hint="eastAsia"/>
          <w:i/>
          <w:sz w:val="23"/>
          <w:szCs w:val="23"/>
          <w:rtl/>
        </w:rPr>
        <w:t>برخ</w:t>
      </w:r>
      <w:r w:rsidRPr="00FE433F">
        <w:rPr>
          <w:rFonts w:hint="cs"/>
          <w:i/>
          <w:sz w:val="23"/>
          <w:szCs w:val="23"/>
          <w:rtl/>
        </w:rPr>
        <w:t>ی</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آن</w:t>
      </w:r>
      <w:r w:rsidRPr="00FE433F">
        <w:rPr>
          <w:rFonts w:hint="cs"/>
          <w:i/>
          <w:sz w:val="23"/>
          <w:szCs w:val="23"/>
          <w:rtl/>
        </w:rPr>
        <w:t>‌</w:t>
      </w:r>
      <w:r w:rsidRPr="00FE433F">
        <w:rPr>
          <w:rFonts w:hint="eastAsia"/>
          <w:i/>
          <w:sz w:val="23"/>
          <w:szCs w:val="23"/>
          <w:rtl/>
        </w:rPr>
        <w:t>ها</w:t>
      </w:r>
      <w:r w:rsidRPr="00FE433F">
        <w:rPr>
          <w:i/>
          <w:sz w:val="23"/>
          <w:szCs w:val="23"/>
          <w:rtl/>
        </w:rPr>
        <w:t xml:space="preserve"> </w:t>
      </w:r>
      <w:r w:rsidRPr="00FE433F">
        <w:rPr>
          <w:rFonts w:hint="eastAsia"/>
          <w:i/>
          <w:sz w:val="23"/>
          <w:szCs w:val="23"/>
          <w:rtl/>
        </w:rPr>
        <w:t>انحصارگر</w:t>
      </w:r>
      <w:r w:rsidRPr="00FE433F">
        <w:rPr>
          <w:rFonts w:hint="cs"/>
          <w:i/>
          <w:sz w:val="23"/>
          <w:szCs w:val="23"/>
          <w:rtl/>
        </w:rPr>
        <w:t>انی</w:t>
      </w:r>
      <w:r w:rsidRPr="00FE433F">
        <w:rPr>
          <w:i/>
          <w:sz w:val="23"/>
          <w:szCs w:val="23"/>
          <w:rtl/>
        </w:rPr>
        <w:t xml:space="preserve"> </w:t>
      </w:r>
      <w:r w:rsidRPr="00FE433F">
        <w:rPr>
          <w:rFonts w:hint="eastAsia"/>
          <w:i/>
          <w:sz w:val="23"/>
          <w:szCs w:val="23"/>
          <w:rtl/>
        </w:rPr>
        <w:t>بودند</w:t>
      </w:r>
      <w:r w:rsidRPr="00FE433F">
        <w:rPr>
          <w:i/>
          <w:sz w:val="23"/>
          <w:szCs w:val="23"/>
          <w:rtl/>
        </w:rPr>
        <w:t xml:space="preserve"> </w:t>
      </w:r>
      <w:r w:rsidRPr="00FE433F">
        <w:rPr>
          <w:rFonts w:hint="cs"/>
          <w:i/>
          <w:sz w:val="23"/>
          <w:szCs w:val="23"/>
          <w:rtl/>
        </w:rPr>
        <w:t>که</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بانک</w:t>
      </w:r>
      <w:r w:rsidRPr="00FE433F">
        <w:rPr>
          <w:i/>
          <w:sz w:val="23"/>
          <w:szCs w:val="23"/>
          <w:rtl/>
        </w:rPr>
        <w:t xml:space="preserve"> </w:t>
      </w:r>
      <w:r w:rsidRPr="00FE433F">
        <w:rPr>
          <w:rFonts w:hint="eastAsia"/>
          <w:i/>
          <w:sz w:val="23"/>
          <w:szCs w:val="23"/>
          <w:rtl/>
        </w:rPr>
        <w:t>دولت</w:t>
      </w:r>
      <w:r w:rsidRPr="00FE433F">
        <w:rPr>
          <w:rFonts w:hint="cs"/>
          <w:i/>
          <w:sz w:val="23"/>
          <w:szCs w:val="23"/>
          <w:rtl/>
        </w:rPr>
        <w:t>ی</w:t>
      </w:r>
      <w:r w:rsidRPr="00FE433F">
        <w:rPr>
          <w:i/>
          <w:sz w:val="23"/>
          <w:szCs w:val="23"/>
          <w:rtl/>
        </w:rPr>
        <w:t xml:space="preserve"> </w:t>
      </w:r>
      <w:r w:rsidRPr="00FE433F">
        <w:rPr>
          <w:rFonts w:hint="cs"/>
          <w:i/>
          <w:sz w:val="23"/>
          <w:szCs w:val="23"/>
          <w:rtl/>
        </w:rPr>
        <w:t>ی</w:t>
      </w:r>
      <w:r w:rsidRPr="00FE433F">
        <w:rPr>
          <w:rFonts w:hint="eastAsia"/>
          <w:i/>
          <w:sz w:val="23"/>
          <w:szCs w:val="23"/>
          <w:rtl/>
        </w:rPr>
        <w:t>ا</w:t>
      </w:r>
      <w:r w:rsidRPr="00FE433F">
        <w:rPr>
          <w:i/>
          <w:sz w:val="23"/>
          <w:szCs w:val="23"/>
          <w:rtl/>
        </w:rPr>
        <w:t xml:space="preserve"> </w:t>
      </w:r>
      <w:r w:rsidRPr="00FE433F">
        <w:rPr>
          <w:rFonts w:hint="eastAsia"/>
          <w:i/>
          <w:sz w:val="23"/>
          <w:szCs w:val="23"/>
          <w:rtl/>
        </w:rPr>
        <w:t>بانک</w:t>
      </w:r>
      <w:r w:rsidRPr="00FE433F">
        <w:rPr>
          <w:i/>
          <w:sz w:val="23"/>
          <w:szCs w:val="23"/>
          <w:rtl/>
        </w:rPr>
        <w:t xml:space="preserve"> </w:t>
      </w:r>
      <w:r w:rsidRPr="00FE433F">
        <w:rPr>
          <w:rFonts w:hint="eastAsia"/>
          <w:i/>
          <w:sz w:val="23"/>
          <w:szCs w:val="23"/>
          <w:rtl/>
        </w:rPr>
        <w:t>مرکز</w:t>
      </w:r>
      <w:r w:rsidRPr="00FE433F">
        <w:rPr>
          <w:rFonts w:hint="cs"/>
          <w:i/>
          <w:sz w:val="23"/>
          <w:szCs w:val="23"/>
          <w:rtl/>
        </w:rPr>
        <w:t>ی</w:t>
      </w:r>
      <w:r w:rsidRPr="00FE433F">
        <w:rPr>
          <w:i/>
          <w:sz w:val="23"/>
          <w:szCs w:val="23"/>
          <w:rtl/>
        </w:rPr>
        <w:t xml:space="preserve"> </w:t>
      </w:r>
      <w:r w:rsidRPr="00FE433F">
        <w:rPr>
          <w:rFonts w:hint="cs"/>
          <w:i/>
          <w:sz w:val="23"/>
          <w:szCs w:val="23"/>
          <w:rtl/>
        </w:rPr>
        <w:t xml:space="preserve">تبدیل </w:t>
      </w:r>
      <w:r w:rsidRPr="00FE433F">
        <w:rPr>
          <w:rFonts w:hint="eastAsia"/>
          <w:i/>
          <w:sz w:val="23"/>
          <w:szCs w:val="23"/>
          <w:rtl/>
        </w:rPr>
        <w:t>شد</w:t>
      </w:r>
      <w:r w:rsidRPr="00FE433F">
        <w:rPr>
          <w:rFonts w:hint="cs"/>
          <w:i/>
          <w:sz w:val="23"/>
          <w:szCs w:val="23"/>
          <w:rtl/>
        </w:rPr>
        <w:t>ه و متعاقباً،</w:t>
      </w:r>
      <w:r w:rsidRPr="00FE433F">
        <w:rPr>
          <w:i/>
          <w:sz w:val="23"/>
          <w:szCs w:val="23"/>
          <w:rtl/>
        </w:rPr>
        <w:t xml:space="preserve"> </w:t>
      </w:r>
      <w:r w:rsidRPr="00FE433F">
        <w:rPr>
          <w:rFonts w:hint="eastAsia"/>
          <w:i/>
          <w:sz w:val="23"/>
          <w:szCs w:val="23"/>
          <w:rtl/>
        </w:rPr>
        <w:t>بس</w:t>
      </w:r>
      <w:r w:rsidRPr="00FE433F">
        <w:rPr>
          <w:rFonts w:hint="cs"/>
          <w:i/>
          <w:sz w:val="23"/>
          <w:szCs w:val="23"/>
          <w:rtl/>
        </w:rPr>
        <w:t>ی</w:t>
      </w:r>
      <w:r w:rsidRPr="00FE433F">
        <w:rPr>
          <w:rFonts w:hint="eastAsia"/>
          <w:i/>
          <w:sz w:val="23"/>
          <w:szCs w:val="23"/>
          <w:rtl/>
        </w:rPr>
        <w:t>ار</w:t>
      </w:r>
      <w:r w:rsidRPr="00FE433F">
        <w:rPr>
          <w:rFonts w:hint="cs"/>
          <w:i/>
          <w:sz w:val="23"/>
          <w:szCs w:val="23"/>
          <w:rtl/>
        </w:rPr>
        <w:t>ی</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بانک</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مرکز</w:t>
      </w:r>
      <w:r w:rsidRPr="00FE433F">
        <w:rPr>
          <w:rFonts w:hint="cs"/>
          <w:i/>
          <w:sz w:val="23"/>
          <w:szCs w:val="23"/>
          <w:rtl/>
        </w:rPr>
        <w:t>ی</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اخت</w:t>
      </w:r>
      <w:r w:rsidRPr="00FE433F">
        <w:rPr>
          <w:rFonts w:hint="cs"/>
          <w:i/>
          <w:sz w:val="23"/>
          <w:szCs w:val="23"/>
          <w:rtl/>
        </w:rPr>
        <w:t>ی</w:t>
      </w:r>
      <w:r w:rsidRPr="00FE433F">
        <w:rPr>
          <w:rFonts w:hint="eastAsia"/>
          <w:i/>
          <w:sz w:val="23"/>
          <w:szCs w:val="23"/>
          <w:rtl/>
        </w:rPr>
        <w:t>ار</w:t>
      </w:r>
      <w:r w:rsidRPr="00FE433F">
        <w:rPr>
          <w:i/>
          <w:sz w:val="23"/>
          <w:szCs w:val="23"/>
          <w:rtl/>
        </w:rPr>
        <w:t xml:space="preserve"> </w:t>
      </w:r>
      <w:r w:rsidRPr="00FE433F">
        <w:rPr>
          <w:rFonts w:hint="eastAsia"/>
          <w:i/>
          <w:sz w:val="23"/>
          <w:szCs w:val="23"/>
          <w:rtl/>
        </w:rPr>
        <w:t>دولت</w:t>
      </w:r>
      <w:r w:rsidRPr="00FE433F">
        <w:rPr>
          <w:i/>
          <w:sz w:val="23"/>
          <w:szCs w:val="23"/>
          <w:rtl/>
        </w:rPr>
        <w:t xml:space="preserve"> </w:t>
      </w:r>
      <w:r w:rsidRPr="00FE433F">
        <w:rPr>
          <w:rFonts w:hint="eastAsia"/>
          <w:i/>
          <w:sz w:val="23"/>
          <w:szCs w:val="23"/>
          <w:rtl/>
        </w:rPr>
        <w:t>قرار</w:t>
      </w:r>
      <w:r w:rsidRPr="00FE433F">
        <w:rPr>
          <w:i/>
          <w:sz w:val="23"/>
          <w:szCs w:val="23"/>
          <w:rtl/>
        </w:rPr>
        <w:t xml:space="preserve"> </w:t>
      </w:r>
      <w:r w:rsidRPr="00FE433F">
        <w:rPr>
          <w:rFonts w:hint="eastAsia"/>
          <w:i/>
          <w:sz w:val="23"/>
          <w:szCs w:val="23"/>
          <w:rtl/>
        </w:rPr>
        <w:t>گرفت</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اصل</w:t>
      </w:r>
      <w:r w:rsidRPr="00FE433F">
        <w:rPr>
          <w:rFonts w:hint="cs"/>
          <w:i/>
          <w:sz w:val="23"/>
          <w:szCs w:val="23"/>
          <w:rtl/>
        </w:rPr>
        <w:t>،</w:t>
      </w:r>
      <w:r w:rsidRPr="00FE433F">
        <w:rPr>
          <w:i/>
          <w:sz w:val="23"/>
          <w:szCs w:val="23"/>
          <w:rtl/>
        </w:rPr>
        <w:t xml:space="preserve"> </w:t>
      </w:r>
      <w:r w:rsidRPr="00FE433F">
        <w:rPr>
          <w:rFonts w:hint="eastAsia"/>
          <w:i/>
          <w:sz w:val="23"/>
          <w:szCs w:val="23"/>
          <w:rtl/>
        </w:rPr>
        <w:t>دولت</w:t>
      </w:r>
      <w:r w:rsidRPr="00FE433F">
        <w:rPr>
          <w:i/>
          <w:sz w:val="23"/>
          <w:szCs w:val="23"/>
          <w:rtl/>
        </w:rPr>
        <w:softHyphen/>
      </w:r>
      <w:r w:rsidRPr="00FE433F">
        <w:rPr>
          <w:rFonts w:hint="cs"/>
          <w:i/>
          <w:sz w:val="23"/>
          <w:szCs w:val="23"/>
          <w:rtl/>
        </w:rPr>
        <w:t>ها</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بانک</w:t>
      </w:r>
      <w:r w:rsidRPr="00FE433F">
        <w:rPr>
          <w:i/>
          <w:sz w:val="23"/>
          <w:szCs w:val="23"/>
          <w:rtl/>
        </w:rPr>
        <w:t xml:space="preserve"> </w:t>
      </w:r>
      <w:r w:rsidRPr="00FE433F">
        <w:rPr>
          <w:rFonts w:hint="eastAsia"/>
          <w:i/>
          <w:sz w:val="23"/>
          <w:szCs w:val="23"/>
          <w:rtl/>
        </w:rPr>
        <w:t>مرکز</w:t>
      </w:r>
      <w:r w:rsidRPr="00FE433F">
        <w:rPr>
          <w:rFonts w:hint="cs"/>
          <w:i/>
          <w:sz w:val="23"/>
          <w:szCs w:val="23"/>
          <w:rtl/>
        </w:rPr>
        <w:t>ی</w:t>
      </w:r>
      <w:r w:rsidRPr="00FE433F">
        <w:rPr>
          <w:i/>
          <w:sz w:val="23"/>
          <w:szCs w:val="23"/>
          <w:rtl/>
        </w:rPr>
        <w:t xml:space="preserve"> </w:t>
      </w:r>
      <w:r w:rsidRPr="00FE433F">
        <w:rPr>
          <w:rFonts w:hint="eastAsia"/>
          <w:i/>
          <w:sz w:val="23"/>
          <w:szCs w:val="23"/>
          <w:rtl/>
        </w:rPr>
        <w:t>قرض</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کر</w:t>
      </w:r>
      <w:r w:rsidRPr="00FE433F">
        <w:rPr>
          <w:rFonts w:hint="cs"/>
          <w:i/>
          <w:sz w:val="23"/>
          <w:szCs w:val="23"/>
          <w:rtl/>
        </w:rPr>
        <w:t>دن</w:t>
      </w:r>
      <w:r w:rsidRPr="00FE433F">
        <w:rPr>
          <w:rFonts w:hint="eastAsia"/>
          <w:i/>
          <w:sz w:val="23"/>
          <w:szCs w:val="23"/>
          <w:rtl/>
        </w:rPr>
        <w:t>د</w:t>
      </w:r>
      <w:r w:rsidRPr="00FE433F">
        <w:rPr>
          <w:rFonts w:hint="cs"/>
          <w:i/>
          <w:sz w:val="23"/>
          <w:szCs w:val="23"/>
          <w:rtl/>
        </w:rPr>
        <w:t xml:space="preserve"> و</w:t>
      </w:r>
      <w:r w:rsidRPr="00FE433F">
        <w:rPr>
          <w:i/>
          <w:sz w:val="23"/>
          <w:szCs w:val="23"/>
          <w:rtl/>
        </w:rPr>
        <w:t xml:space="preserve"> </w:t>
      </w:r>
      <w:r w:rsidRPr="00FE433F">
        <w:rPr>
          <w:rFonts w:hint="eastAsia"/>
          <w:i/>
          <w:sz w:val="23"/>
          <w:szCs w:val="23"/>
          <w:rtl/>
        </w:rPr>
        <w:t>اعتبار</w:t>
      </w:r>
      <w:r w:rsidRPr="00FE433F">
        <w:rPr>
          <w:i/>
          <w:sz w:val="23"/>
          <w:szCs w:val="23"/>
          <w:rtl/>
        </w:rPr>
        <w:t xml:space="preserve"> </w:t>
      </w:r>
      <w:r w:rsidRPr="00FE433F">
        <w:rPr>
          <w:rFonts w:hint="eastAsia"/>
          <w:i/>
          <w:sz w:val="23"/>
          <w:szCs w:val="23"/>
          <w:rtl/>
        </w:rPr>
        <w:t>بانک</w:t>
      </w:r>
      <w:r w:rsidRPr="00FE433F">
        <w:rPr>
          <w:i/>
          <w:sz w:val="23"/>
          <w:szCs w:val="23"/>
          <w:rtl/>
        </w:rPr>
        <w:t xml:space="preserve"> </w:t>
      </w:r>
      <w:r w:rsidRPr="00FE433F">
        <w:rPr>
          <w:rFonts w:hint="eastAsia"/>
          <w:i/>
          <w:sz w:val="23"/>
          <w:szCs w:val="23"/>
          <w:rtl/>
        </w:rPr>
        <w:t>مرکز</w:t>
      </w:r>
      <w:r w:rsidRPr="00FE433F">
        <w:rPr>
          <w:rFonts w:hint="cs"/>
          <w:i/>
          <w:sz w:val="23"/>
          <w:szCs w:val="23"/>
          <w:rtl/>
        </w:rPr>
        <w:t>ی</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استقراض</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بخش</w:t>
      </w:r>
      <w:r w:rsidRPr="00FE433F">
        <w:rPr>
          <w:i/>
          <w:sz w:val="23"/>
          <w:szCs w:val="23"/>
          <w:rtl/>
        </w:rPr>
        <w:t xml:space="preserve"> </w:t>
      </w:r>
      <w:r w:rsidRPr="00FE433F">
        <w:rPr>
          <w:rFonts w:hint="eastAsia"/>
          <w:i/>
          <w:sz w:val="23"/>
          <w:szCs w:val="23"/>
          <w:rtl/>
        </w:rPr>
        <w:t>خصوص</w:t>
      </w:r>
      <w:r w:rsidRPr="00FE433F">
        <w:rPr>
          <w:rFonts w:hint="cs"/>
          <w:i/>
          <w:sz w:val="23"/>
          <w:szCs w:val="23"/>
          <w:rtl/>
        </w:rPr>
        <w:t>ی</w:t>
      </w:r>
      <w:r w:rsidRPr="00FE433F">
        <w:rPr>
          <w:rFonts w:hint="eastAsia"/>
          <w:i/>
          <w:sz w:val="23"/>
          <w:szCs w:val="23"/>
          <w:rtl/>
        </w:rPr>
        <w:t>،</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تعهد</w:t>
      </w:r>
      <w:r w:rsidRPr="00FE433F">
        <w:rPr>
          <w:i/>
          <w:sz w:val="23"/>
          <w:szCs w:val="23"/>
          <w:rtl/>
        </w:rPr>
        <w:t xml:space="preserve"> </w:t>
      </w:r>
      <w:r w:rsidRPr="00FE433F">
        <w:rPr>
          <w:rFonts w:hint="eastAsia"/>
          <w:i/>
          <w:sz w:val="23"/>
          <w:szCs w:val="23"/>
          <w:rtl/>
        </w:rPr>
        <w:t>بازپرداخت</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آ</w:t>
      </w:r>
      <w:r w:rsidRPr="00FE433F">
        <w:rPr>
          <w:rFonts w:hint="cs"/>
          <w:i/>
          <w:sz w:val="23"/>
          <w:szCs w:val="23"/>
          <w:rtl/>
        </w:rPr>
        <w:t>ی</w:t>
      </w:r>
      <w:r w:rsidRPr="00FE433F">
        <w:rPr>
          <w:rFonts w:hint="eastAsia"/>
          <w:i/>
          <w:sz w:val="23"/>
          <w:szCs w:val="23"/>
          <w:rtl/>
        </w:rPr>
        <w:t>نده</w:t>
      </w:r>
      <w:r w:rsidRPr="00FE433F">
        <w:rPr>
          <w:i/>
          <w:sz w:val="23"/>
          <w:szCs w:val="23"/>
          <w:rtl/>
        </w:rPr>
        <w:t xml:space="preserve"> </w:t>
      </w:r>
      <w:r w:rsidRPr="00FE433F">
        <w:rPr>
          <w:rFonts w:hint="eastAsia"/>
          <w:i/>
          <w:sz w:val="23"/>
          <w:szCs w:val="23"/>
          <w:rtl/>
        </w:rPr>
        <w:t>افزا</w:t>
      </w:r>
      <w:r w:rsidRPr="00FE433F">
        <w:rPr>
          <w:rFonts w:hint="cs"/>
          <w:i/>
          <w:sz w:val="23"/>
          <w:szCs w:val="23"/>
          <w:rtl/>
        </w:rPr>
        <w:t>ی</w:t>
      </w:r>
      <w:r w:rsidRPr="00FE433F">
        <w:rPr>
          <w:rFonts w:hint="eastAsia"/>
          <w:i/>
          <w:sz w:val="23"/>
          <w:szCs w:val="23"/>
          <w:rtl/>
        </w:rPr>
        <w:t>ش</w:t>
      </w:r>
      <w:r w:rsidRPr="00FE433F">
        <w:rPr>
          <w:i/>
          <w:sz w:val="23"/>
          <w:szCs w:val="23"/>
          <w:rtl/>
        </w:rPr>
        <w:t xml:space="preserve"> </w:t>
      </w:r>
      <w:r w:rsidRPr="00FE433F">
        <w:rPr>
          <w:rFonts w:hint="cs"/>
          <w:i/>
          <w:sz w:val="23"/>
          <w:szCs w:val="23"/>
          <w:rtl/>
        </w:rPr>
        <w:t>می</w:t>
      </w:r>
      <w:r w:rsidRPr="00FE433F">
        <w:rPr>
          <w:i/>
          <w:sz w:val="23"/>
          <w:szCs w:val="23"/>
          <w:rtl/>
        </w:rPr>
        <w:softHyphen/>
      </w:r>
      <w:r w:rsidRPr="00FE433F">
        <w:rPr>
          <w:rFonts w:hint="cs"/>
          <w:i/>
          <w:sz w:val="23"/>
          <w:szCs w:val="23"/>
          <w:rtl/>
        </w:rPr>
        <w:t>ی</w:t>
      </w:r>
      <w:r w:rsidRPr="00FE433F">
        <w:rPr>
          <w:rFonts w:hint="eastAsia"/>
          <w:i/>
          <w:sz w:val="23"/>
          <w:szCs w:val="23"/>
          <w:rtl/>
        </w:rPr>
        <w:t>افت</w:t>
      </w:r>
      <w:r w:rsidRPr="00FE433F">
        <w:rPr>
          <w:i/>
          <w:sz w:val="23"/>
          <w:szCs w:val="23"/>
          <w:rtl/>
        </w:rPr>
        <w:t>.</w:t>
      </w:r>
      <w:r w:rsidRPr="00FE433F">
        <w:rPr>
          <w:rFonts w:hint="cs"/>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ابتدا،</w:t>
      </w:r>
      <w:r w:rsidRPr="00FE433F">
        <w:rPr>
          <w:i/>
          <w:sz w:val="23"/>
          <w:szCs w:val="23"/>
          <w:rtl/>
        </w:rPr>
        <w:t xml:space="preserve"> </w:t>
      </w:r>
      <w:r w:rsidRPr="00FE433F">
        <w:rPr>
          <w:rFonts w:hint="eastAsia"/>
          <w:i/>
          <w:sz w:val="23"/>
          <w:szCs w:val="23"/>
          <w:rtl/>
        </w:rPr>
        <w:t>تمام</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cs"/>
          <w:i/>
          <w:sz w:val="23"/>
          <w:szCs w:val="23"/>
          <w:rtl/>
        </w:rPr>
        <w:t>قروض</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وام</w:t>
      </w:r>
      <w:r w:rsidRPr="00FE433F">
        <w:rPr>
          <w:rFonts w:hint="eastAsia"/>
          <w:i/>
          <w:sz w:val="23"/>
          <w:szCs w:val="23"/>
        </w:rPr>
        <w:t>‌</w:t>
      </w:r>
      <w:r w:rsidRPr="00FE433F">
        <w:rPr>
          <w:rFonts w:hint="eastAsia"/>
          <w:i/>
          <w:sz w:val="23"/>
          <w:szCs w:val="23"/>
          <w:rtl/>
        </w:rPr>
        <w:t>ها</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طلا</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نقره</w:t>
      </w:r>
      <w:r w:rsidRPr="00FE433F">
        <w:rPr>
          <w:i/>
          <w:sz w:val="23"/>
          <w:szCs w:val="23"/>
          <w:rtl/>
        </w:rPr>
        <w:t xml:space="preserve"> </w:t>
      </w:r>
      <w:r w:rsidRPr="00FE433F">
        <w:rPr>
          <w:rFonts w:hint="cs"/>
          <w:i/>
          <w:sz w:val="23"/>
          <w:szCs w:val="23"/>
          <w:rtl/>
        </w:rPr>
        <w:t>معین می</w:t>
      </w:r>
      <w:r w:rsidRPr="00FE433F">
        <w:rPr>
          <w:i/>
          <w:sz w:val="23"/>
          <w:szCs w:val="23"/>
          <w:rtl/>
        </w:rPr>
        <w:softHyphen/>
      </w:r>
      <w:r w:rsidRPr="00FE433F">
        <w:rPr>
          <w:rFonts w:hint="cs"/>
          <w:i/>
          <w:sz w:val="23"/>
          <w:szCs w:val="23"/>
          <w:rtl/>
        </w:rPr>
        <w:t>شد</w:t>
      </w:r>
      <w:r w:rsidRPr="00FE433F">
        <w:rPr>
          <w:i/>
          <w:sz w:val="23"/>
          <w:szCs w:val="23"/>
          <w:rtl/>
        </w:rPr>
        <w:t xml:space="preserve">. </w:t>
      </w:r>
      <w:r w:rsidRPr="00FE433F">
        <w:rPr>
          <w:rFonts w:hint="eastAsia"/>
          <w:i/>
          <w:sz w:val="23"/>
          <w:szCs w:val="23"/>
          <w:rtl/>
        </w:rPr>
        <w:t>همان</w:t>
      </w:r>
      <w:r w:rsidRPr="00FE433F">
        <w:rPr>
          <w:i/>
          <w:sz w:val="23"/>
          <w:szCs w:val="23"/>
          <w:rtl/>
        </w:rPr>
        <w:softHyphen/>
      </w:r>
      <w:r w:rsidRPr="00FE433F">
        <w:rPr>
          <w:rFonts w:hint="eastAsia"/>
          <w:i/>
          <w:sz w:val="23"/>
          <w:szCs w:val="23"/>
          <w:rtl/>
        </w:rPr>
        <w:t>گونه</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وام</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بانک</w:t>
      </w:r>
      <w:r w:rsidRPr="00FE433F">
        <w:rPr>
          <w:rFonts w:hint="cs"/>
          <w:i/>
          <w:sz w:val="23"/>
          <w:szCs w:val="23"/>
          <w:rtl/>
        </w:rPr>
        <w:t>ی،</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بازارها</w:t>
      </w:r>
      <w:r w:rsidRPr="00FE433F">
        <w:rPr>
          <w:rFonts w:hint="cs"/>
          <w:i/>
          <w:sz w:val="23"/>
          <w:szCs w:val="23"/>
          <w:rtl/>
        </w:rPr>
        <w:t>ی</w:t>
      </w:r>
      <w:r w:rsidRPr="00FE433F">
        <w:rPr>
          <w:i/>
          <w:sz w:val="23"/>
          <w:szCs w:val="23"/>
          <w:rtl/>
        </w:rPr>
        <w:t xml:space="preserve"> </w:t>
      </w:r>
      <w:r w:rsidRPr="00FE433F">
        <w:rPr>
          <w:rFonts w:hint="eastAsia"/>
          <w:i/>
          <w:sz w:val="23"/>
          <w:szCs w:val="23"/>
          <w:rtl/>
        </w:rPr>
        <w:t>ثانو</w:t>
      </w:r>
      <w:r w:rsidRPr="00FE433F">
        <w:rPr>
          <w:rFonts w:hint="cs"/>
          <w:i/>
          <w:sz w:val="23"/>
          <w:szCs w:val="23"/>
          <w:rtl/>
        </w:rPr>
        <w:t>ی</w:t>
      </w:r>
      <w:r w:rsidRPr="00FE433F">
        <w:rPr>
          <w:rFonts w:hint="eastAsia"/>
          <w:i/>
          <w:sz w:val="23"/>
          <w:szCs w:val="23"/>
          <w:rtl/>
        </w:rPr>
        <w:t>ه</w:t>
      </w:r>
      <w:r w:rsidRPr="00FE433F">
        <w:rPr>
          <w:i/>
          <w:sz w:val="23"/>
          <w:szCs w:val="23"/>
          <w:rtl/>
        </w:rPr>
        <w:t xml:space="preserve"> </w:t>
      </w:r>
      <w:r w:rsidRPr="00FE433F">
        <w:rPr>
          <w:rFonts w:hint="eastAsia"/>
          <w:i/>
          <w:sz w:val="23"/>
          <w:szCs w:val="23"/>
          <w:rtl/>
        </w:rPr>
        <w:t>ب</w:t>
      </w:r>
      <w:r w:rsidRPr="00FE433F">
        <w:rPr>
          <w:rFonts w:hint="cs"/>
          <w:i/>
          <w:sz w:val="23"/>
          <w:szCs w:val="23"/>
          <w:rtl/>
        </w:rPr>
        <w:t>رای</w:t>
      </w:r>
      <w:r w:rsidRPr="00FE433F">
        <w:rPr>
          <w:i/>
          <w:sz w:val="23"/>
          <w:szCs w:val="23"/>
          <w:rtl/>
        </w:rPr>
        <w:t xml:space="preserve"> </w:t>
      </w:r>
      <w:r w:rsidRPr="00FE433F">
        <w:rPr>
          <w:rFonts w:hint="eastAsia"/>
          <w:i/>
          <w:sz w:val="23"/>
          <w:szCs w:val="23"/>
          <w:rtl/>
        </w:rPr>
        <w:t>تنز</w:t>
      </w:r>
      <w:r w:rsidRPr="00FE433F">
        <w:rPr>
          <w:rFonts w:hint="cs"/>
          <w:i/>
          <w:sz w:val="23"/>
          <w:szCs w:val="23"/>
          <w:rtl/>
        </w:rPr>
        <w:t>ی</w:t>
      </w:r>
      <w:r w:rsidRPr="00FE433F">
        <w:rPr>
          <w:rFonts w:hint="eastAsia"/>
          <w:i/>
          <w:sz w:val="23"/>
          <w:szCs w:val="23"/>
          <w:rtl/>
        </w:rPr>
        <w:t>ل</w:t>
      </w:r>
      <w:r w:rsidRPr="00FE433F">
        <w:rPr>
          <w:i/>
          <w:sz w:val="23"/>
          <w:szCs w:val="23"/>
          <w:rtl/>
        </w:rPr>
        <w:t xml:space="preserve"> </w:t>
      </w:r>
      <w:r w:rsidRPr="00FE433F">
        <w:rPr>
          <w:rFonts w:hint="eastAsia"/>
          <w:i/>
          <w:sz w:val="23"/>
          <w:szCs w:val="23"/>
          <w:rtl/>
        </w:rPr>
        <w:t>اسناد</w:t>
      </w:r>
      <w:r w:rsidRPr="00FE433F">
        <w:rPr>
          <w:rFonts w:hint="cs"/>
          <w:i/>
          <w:sz w:val="23"/>
          <w:szCs w:val="23"/>
          <w:rtl/>
        </w:rPr>
        <w:t xml:space="preserve"> بدهی،</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وام</w:t>
      </w:r>
      <w:r w:rsidRPr="00FE433F">
        <w:rPr>
          <w:rFonts w:hint="eastAsia"/>
          <w:i/>
          <w:sz w:val="23"/>
          <w:szCs w:val="23"/>
        </w:rPr>
        <w:t>‌</w:t>
      </w:r>
      <w:r w:rsidRPr="00FE433F">
        <w:rPr>
          <w:rFonts w:hint="eastAsia"/>
          <w:i/>
          <w:sz w:val="23"/>
          <w:szCs w:val="23"/>
          <w:rtl/>
        </w:rPr>
        <w:t>ها</w:t>
      </w:r>
      <w:r w:rsidRPr="00FE433F">
        <w:rPr>
          <w:rFonts w:hint="cs"/>
          <w:i/>
          <w:sz w:val="23"/>
          <w:szCs w:val="23"/>
          <w:rtl/>
        </w:rPr>
        <w:t xml:space="preserve">ی بین </w:t>
      </w:r>
      <w:r w:rsidRPr="00FE433F">
        <w:rPr>
          <w:rFonts w:hint="eastAsia"/>
          <w:i/>
          <w:sz w:val="23"/>
          <w:szCs w:val="23"/>
          <w:rtl/>
        </w:rPr>
        <w:t>بانک</w:t>
      </w:r>
      <w:r w:rsidRPr="00FE433F">
        <w:rPr>
          <w:rFonts w:hint="cs"/>
          <w:i/>
          <w:sz w:val="23"/>
          <w:szCs w:val="23"/>
          <w:rtl/>
        </w:rPr>
        <w:t xml:space="preserve">ی </w:t>
      </w:r>
      <w:r w:rsidRPr="00FE433F">
        <w:rPr>
          <w:rFonts w:hint="eastAsia"/>
          <w:i/>
          <w:sz w:val="23"/>
          <w:szCs w:val="23"/>
          <w:rtl/>
        </w:rPr>
        <w:t>گسترش</w:t>
      </w:r>
      <w:r w:rsidRPr="00FE433F">
        <w:rPr>
          <w:i/>
          <w:sz w:val="23"/>
          <w:szCs w:val="23"/>
          <w:rtl/>
        </w:rPr>
        <w:t xml:space="preserve"> </w:t>
      </w:r>
      <w:r w:rsidRPr="00FE433F">
        <w:rPr>
          <w:rFonts w:hint="cs"/>
          <w:i/>
          <w:sz w:val="23"/>
          <w:szCs w:val="23"/>
          <w:rtl/>
        </w:rPr>
        <w:t>می</w:t>
      </w:r>
      <w:r w:rsidRPr="00FE433F">
        <w:rPr>
          <w:i/>
          <w:sz w:val="23"/>
          <w:szCs w:val="23"/>
          <w:rtl/>
        </w:rPr>
        <w:softHyphen/>
      </w:r>
      <w:r w:rsidRPr="00FE433F">
        <w:rPr>
          <w:rFonts w:hint="cs"/>
          <w:i/>
          <w:sz w:val="23"/>
          <w:szCs w:val="23"/>
          <w:rtl/>
        </w:rPr>
        <w:t>ی</w:t>
      </w:r>
      <w:r w:rsidRPr="00FE433F">
        <w:rPr>
          <w:rFonts w:hint="eastAsia"/>
          <w:i/>
          <w:sz w:val="23"/>
          <w:szCs w:val="23"/>
          <w:rtl/>
        </w:rPr>
        <w:t>افت،</w:t>
      </w:r>
      <w:r w:rsidRPr="00FE433F">
        <w:rPr>
          <w:i/>
          <w:sz w:val="23"/>
          <w:szCs w:val="23"/>
          <w:rtl/>
        </w:rPr>
        <w:t xml:space="preserve"> </w:t>
      </w:r>
      <w:r w:rsidRPr="00FE433F">
        <w:rPr>
          <w:rFonts w:hint="eastAsia"/>
          <w:i/>
          <w:sz w:val="23"/>
          <w:szCs w:val="23"/>
          <w:rtl/>
        </w:rPr>
        <w:t>بانک</w:t>
      </w:r>
      <w:r w:rsidRPr="00FE433F">
        <w:rPr>
          <w:rFonts w:hint="eastAsia"/>
          <w:i/>
          <w:sz w:val="23"/>
          <w:szCs w:val="23"/>
        </w:rPr>
        <w:t>‌</w:t>
      </w:r>
      <w:r w:rsidRPr="00FE433F">
        <w:rPr>
          <w:rFonts w:hint="eastAsia"/>
          <w:i/>
          <w:sz w:val="23"/>
          <w:szCs w:val="23"/>
          <w:rtl/>
        </w:rPr>
        <w:t>ها</w:t>
      </w:r>
      <w:r w:rsidRPr="00FE433F">
        <w:rPr>
          <w:i/>
          <w:sz w:val="23"/>
          <w:szCs w:val="23"/>
          <w:rtl/>
        </w:rPr>
        <w:t xml:space="preserve"> </w:t>
      </w:r>
      <w:r w:rsidRPr="00FE433F">
        <w:rPr>
          <w:rFonts w:hint="eastAsia"/>
          <w:i/>
          <w:sz w:val="23"/>
          <w:szCs w:val="23"/>
          <w:rtl/>
        </w:rPr>
        <w:t>م</w:t>
      </w:r>
      <w:r w:rsidRPr="00FE433F">
        <w:rPr>
          <w:rFonts w:hint="cs"/>
          <w:i/>
          <w:sz w:val="23"/>
          <w:szCs w:val="23"/>
          <w:rtl/>
        </w:rPr>
        <w:t xml:space="preserve">توجه شدند </w:t>
      </w:r>
      <w:r w:rsidRPr="00FE433F">
        <w:rPr>
          <w:rFonts w:hint="eastAsia"/>
          <w:i/>
          <w:sz w:val="23"/>
          <w:szCs w:val="23"/>
          <w:rtl/>
        </w:rPr>
        <w:t>که</w:t>
      </w:r>
      <w:r w:rsidRPr="00FE433F">
        <w:rPr>
          <w:rFonts w:hint="cs"/>
          <w:i/>
          <w:sz w:val="23"/>
          <w:szCs w:val="23"/>
          <w:rtl/>
        </w:rPr>
        <w:t xml:space="preserve"> جهت برداشت سپرده</w:t>
      </w:r>
      <w:r w:rsidRPr="00FE433F">
        <w:rPr>
          <w:i/>
          <w:sz w:val="23"/>
          <w:szCs w:val="23"/>
          <w:rtl/>
        </w:rPr>
        <w:softHyphen/>
      </w:r>
      <w:r w:rsidRPr="00FE433F">
        <w:rPr>
          <w:rFonts w:hint="cs"/>
          <w:i/>
          <w:sz w:val="23"/>
          <w:szCs w:val="23"/>
          <w:rtl/>
        </w:rPr>
        <w:t>های طلا و نقره</w:t>
      </w:r>
      <w:r w:rsidRPr="00FE433F">
        <w:rPr>
          <w:i/>
          <w:sz w:val="23"/>
          <w:szCs w:val="23"/>
          <w:rtl/>
        </w:rPr>
        <w:softHyphen/>
      </w:r>
      <w:r w:rsidRPr="00FE433F">
        <w:rPr>
          <w:rFonts w:hint="cs"/>
          <w:i/>
          <w:sz w:val="23"/>
          <w:szCs w:val="23"/>
          <w:rtl/>
        </w:rPr>
        <w:t>ی سپرده</w:t>
      </w:r>
      <w:r w:rsidRPr="00FE433F">
        <w:rPr>
          <w:i/>
          <w:sz w:val="23"/>
          <w:szCs w:val="23"/>
          <w:rtl/>
        </w:rPr>
        <w:softHyphen/>
      </w:r>
      <w:r w:rsidRPr="00FE433F">
        <w:rPr>
          <w:rFonts w:hint="cs"/>
          <w:i/>
          <w:sz w:val="23"/>
          <w:szCs w:val="23"/>
          <w:rtl/>
        </w:rPr>
        <w:t xml:space="preserve">گذاران </w:t>
      </w:r>
      <w:r w:rsidRPr="00FE433F">
        <w:rPr>
          <w:rFonts w:hint="eastAsia"/>
          <w:i/>
          <w:sz w:val="23"/>
          <w:szCs w:val="23"/>
          <w:rtl/>
        </w:rPr>
        <w:t>در</w:t>
      </w:r>
      <w:r w:rsidRPr="00FE433F">
        <w:rPr>
          <w:i/>
          <w:sz w:val="23"/>
          <w:szCs w:val="23"/>
          <w:rtl/>
        </w:rPr>
        <w:t xml:space="preserve"> </w:t>
      </w:r>
      <w:r w:rsidRPr="00FE433F">
        <w:rPr>
          <w:rFonts w:hint="eastAsia"/>
          <w:i/>
          <w:sz w:val="23"/>
          <w:szCs w:val="23"/>
          <w:rtl/>
        </w:rPr>
        <w:t>هر</w:t>
      </w:r>
      <w:r w:rsidRPr="00FE433F">
        <w:rPr>
          <w:i/>
          <w:sz w:val="23"/>
          <w:szCs w:val="23"/>
          <w:rtl/>
        </w:rPr>
        <w:t xml:space="preserve"> </w:t>
      </w:r>
      <w:r w:rsidRPr="00FE433F">
        <w:rPr>
          <w:rFonts w:hint="eastAsia"/>
          <w:i/>
          <w:sz w:val="23"/>
          <w:szCs w:val="23"/>
          <w:rtl/>
        </w:rPr>
        <w:t>زمان</w:t>
      </w:r>
      <w:r w:rsidRPr="00FE433F">
        <w:rPr>
          <w:rFonts w:hint="cs"/>
          <w:i/>
          <w:sz w:val="23"/>
          <w:szCs w:val="23"/>
          <w:rtl/>
        </w:rPr>
        <w:t>،</w:t>
      </w:r>
      <w:r w:rsidRPr="00FE433F">
        <w:rPr>
          <w:i/>
          <w:sz w:val="23"/>
          <w:szCs w:val="23"/>
          <w:rtl/>
        </w:rPr>
        <w:t xml:space="preserve"> </w:t>
      </w:r>
      <w:r w:rsidRPr="00FE433F">
        <w:rPr>
          <w:rFonts w:hint="cs"/>
          <w:i/>
          <w:sz w:val="23"/>
          <w:szCs w:val="23"/>
          <w:rtl/>
        </w:rPr>
        <w:t xml:space="preserve">ضروری </w:t>
      </w:r>
      <w:r w:rsidRPr="00FE433F">
        <w:rPr>
          <w:rFonts w:hint="eastAsia"/>
          <w:i/>
          <w:sz w:val="23"/>
          <w:szCs w:val="23"/>
          <w:rtl/>
        </w:rPr>
        <w:t>ن</w:t>
      </w:r>
      <w:r w:rsidRPr="00FE433F">
        <w:rPr>
          <w:rFonts w:hint="cs"/>
          <w:i/>
          <w:sz w:val="23"/>
          <w:szCs w:val="23"/>
          <w:rtl/>
        </w:rPr>
        <w:t>ی</w:t>
      </w:r>
      <w:r w:rsidRPr="00FE433F">
        <w:rPr>
          <w:rFonts w:hint="eastAsia"/>
          <w:i/>
          <w:sz w:val="23"/>
          <w:szCs w:val="23"/>
          <w:rtl/>
        </w:rPr>
        <w:t>ست</w:t>
      </w:r>
      <w:r w:rsidRPr="00FE433F">
        <w:rPr>
          <w:i/>
          <w:sz w:val="23"/>
          <w:szCs w:val="23"/>
          <w:rtl/>
        </w:rPr>
        <w:t xml:space="preserve"> </w:t>
      </w:r>
      <w:r w:rsidRPr="00FE433F">
        <w:rPr>
          <w:rFonts w:hint="eastAsia"/>
          <w:i/>
          <w:sz w:val="23"/>
          <w:szCs w:val="23"/>
          <w:rtl/>
        </w:rPr>
        <w:t>تا</w:t>
      </w:r>
      <w:r w:rsidRPr="00FE433F">
        <w:rPr>
          <w:i/>
          <w:sz w:val="23"/>
          <w:szCs w:val="23"/>
          <w:rtl/>
        </w:rPr>
        <w:t xml:space="preserve"> </w:t>
      </w:r>
      <w:r w:rsidRPr="00FE433F">
        <w:rPr>
          <w:rFonts w:hint="eastAsia"/>
          <w:i/>
          <w:sz w:val="23"/>
          <w:szCs w:val="23"/>
          <w:rtl/>
        </w:rPr>
        <w:t>وام</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آن</w:t>
      </w:r>
      <w:r w:rsidRPr="00FE433F">
        <w:rPr>
          <w:rFonts w:hint="cs"/>
          <w:i/>
          <w:sz w:val="23"/>
          <w:szCs w:val="23"/>
          <w:rtl/>
        </w:rPr>
        <w:t>‌</w:t>
      </w:r>
      <w:r w:rsidRPr="00FE433F">
        <w:rPr>
          <w:rFonts w:hint="eastAsia"/>
          <w:i/>
          <w:sz w:val="23"/>
          <w:szCs w:val="23"/>
          <w:rtl/>
        </w:rPr>
        <w:t>ها</w:t>
      </w:r>
      <w:r w:rsidRPr="00FE433F">
        <w:rPr>
          <w:i/>
          <w:sz w:val="23"/>
          <w:szCs w:val="23"/>
          <w:rtl/>
        </w:rPr>
        <w:t xml:space="preserve"> (</w:t>
      </w:r>
      <w:r w:rsidRPr="00FE433F">
        <w:rPr>
          <w:rFonts w:hint="cs"/>
          <w:i/>
          <w:sz w:val="23"/>
          <w:szCs w:val="23"/>
          <w:rtl/>
        </w:rPr>
        <w:t>موجودی</w:t>
      </w:r>
      <w:r w:rsidRPr="00FE433F">
        <w:rPr>
          <w:i/>
          <w:sz w:val="23"/>
          <w:szCs w:val="23"/>
          <w:rtl/>
        </w:rPr>
        <w:t xml:space="preserve"> </w:t>
      </w:r>
      <w:r w:rsidRPr="00FE433F">
        <w:rPr>
          <w:rFonts w:hint="eastAsia"/>
          <w:i/>
          <w:sz w:val="23"/>
          <w:szCs w:val="23"/>
          <w:rtl/>
        </w:rPr>
        <w:t>بانک</w:t>
      </w:r>
      <w:r w:rsidRPr="00FE433F">
        <w:rPr>
          <w:rFonts w:hint="eastAsia"/>
          <w:i/>
          <w:sz w:val="23"/>
          <w:szCs w:val="23"/>
        </w:rPr>
        <w:t>‌</w:t>
      </w:r>
      <w:r w:rsidRPr="00FE433F">
        <w:rPr>
          <w:rFonts w:hint="eastAsia"/>
          <w:i/>
          <w:sz w:val="23"/>
          <w:szCs w:val="23"/>
          <w:rtl/>
        </w:rPr>
        <w:t>ها</w:t>
      </w:r>
      <w:r w:rsidRPr="00FE433F">
        <w:rPr>
          <w:i/>
          <w:sz w:val="23"/>
          <w:szCs w:val="23"/>
          <w:rtl/>
        </w:rPr>
        <w:t xml:space="preserve">) </w:t>
      </w:r>
      <w:r w:rsidRPr="00FE433F">
        <w:rPr>
          <w:rFonts w:hint="eastAsia"/>
          <w:i/>
          <w:sz w:val="23"/>
          <w:szCs w:val="23"/>
          <w:rtl/>
        </w:rPr>
        <w:t>ب</w:t>
      </w:r>
      <w:r w:rsidRPr="00FE433F">
        <w:rPr>
          <w:rFonts w:hint="cs"/>
          <w:i/>
          <w:sz w:val="23"/>
          <w:szCs w:val="23"/>
          <w:rtl/>
        </w:rPr>
        <w:t xml:space="preserve">رابر با </w:t>
      </w:r>
      <w:r w:rsidRPr="00FE433F">
        <w:rPr>
          <w:rFonts w:hint="eastAsia"/>
          <w:i/>
          <w:sz w:val="23"/>
          <w:szCs w:val="23"/>
          <w:rtl/>
        </w:rPr>
        <w:t>طلا</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نقره</w:t>
      </w:r>
      <w:r w:rsidRPr="00FE433F">
        <w:rPr>
          <w:i/>
          <w:sz w:val="23"/>
          <w:szCs w:val="23"/>
          <w:rtl/>
        </w:rPr>
        <w:softHyphen/>
      </w:r>
      <w:r w:rsidRPr="00FE433F">
        <w:rPr>
          <w:rFonts w:hint="cs"/>
          <w:i/>
          <w:sz w:val="23"/>
          <w:szCs w:val="23"/>
          <w:rtl/>
        </w:rPr>
        <w:t>ی</w:t>
      </w:r>
      <w:r w:rsidRPr="00FE433F">
        <w:rPr>
          <w:i/>
          <w:sz w:val="23"/>
          <w:szCs w:val="23"/>
          <w:rtl/>
        </w:rPr>
        <w:t xml:space="preserve"> </w:t>
      </w:r>
      <w:r w:rsidRPr="00FE433F">
        <w:rPr>
          <w:rFonts w:hint="eastAsia"/>
          <w:i/>
          <w:sz w:val="23"/>
          <w:szCs w:val="23"/>
          <w:rtl/>
        </w:rPr>
        <w:t>نگهدار</w:t>
      </w:r>
      <w:r w:rsidRPr="00FE433F">
        <w:rPr>
          <w:rFonts w:hint="cs"/>
          <w:i/>
          <w:sz w:val="23"/>
          <w:szCs w:val="23"/>
          <w:rtl/>
        </w:rPr>
        <w:t>ی</w:t>
      </w:r>
      <w:r w:rsidRPr="00FE433F">
        <w:rPr>
          <w:i/>
          <w:sz w:val="23"/>
          <w:szCs w:val="23"/>
          <w:rtl/>
        </w:rPr>
        <w:t xml:space="preserve"> </w:t>
      </w:r>
      <w:r w:rsidRPr="00FE433F">
        <w:rPr>
          <w:rFonts w:hint="eastAsia"/>
          <w:i/>
          <w:sz w:val="23"/>
          <w:szCs w:val="23"/>
          <w:rtl/>
        </w:rPr>
        <w:t>شده</w:t>
      </w:r>
      <w:r w:rsidRPr="00FE433F">
        <w:rPr>
          <w:i/>
          <w:sz w:val="23"/>
          <w:szCs w:val="23"/>
          <w:rtl/>
        </w:rPr>
        <w:t xml:space="preserve"> </w:t>
      </w:r>
      <w:r w:rsidRPr="00FE433F">
        <w:rPr>
          <w:rFonts w:hint="eastAsia"/>
          <w:i/>
          <w:sz w:val="23"/>
          <w:szCs w:val="23"/>
          <w:rtl/>
        </w:rPr>
        <w:t>باشد</w:t>
      </w:r>
      <w:r w:rsidRPr="00FE433F">
        <w:rPr>
          <w:i/>
          <w:sz w:val="23"/>
          <w:szCs w:val="23"/>
          <w:rtl/>
        </w:rPr>
        <w:t xml:space="preserve">. </w:t>
      </w:r>
      <w:r w:rsidRPr="00FE433F">
        <w:rPr>
          <w:rFonts w:hint="cs"/>
          <w:i/>
          <w:sz w:val="23"/>
          <w:szCs w:val="23"/>
          <w:rtl/>
        </w:rPr>
        <w:t xml:space="preserve">بنابراین </w:t>
      </w:r>
      <w:r w:rsidRPr="00FE433F">
        <w:rPr>
          <w:rFonts w:hint="eastAsia"/>
          <w:i/>
          <w:sz w:val="23"/>
          <w:szCs w:val="23"/>
          <w:rtl/>
        </w:rPr>
        <w:t>بانک</w:t>
      </w:r>
      <w:r w:rsidRPr="00FE433F">
        <w:rPr>
          <w:rFonts w:hint="eastAsia"/>
          <w:i/>
          <w:sz w:val="23"/>
          <w:szCs w:val="23"/>
        </w:rPr>
        <w:t>‌</w:t>
      </w:r>
      <w:r w:rsidRPr="00FE433F">
        <w:rPr>
          <w:rFonts w:hint="eastAsia"/>
          <w:i/>
          <w:sz w:val="23"/>
          <w:szCs w:val="23"/>
          <w:rtl/>
        </w:rPr>
        <w:t>ها</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وام</w:t>
      </w:r>
      <w:r w:rsidRPr="00FE433F">
        <w:rPr>
          <w:i/>
          <w:sz w:val="23"/>
          <w:szCs w:val="23"/>
          <w:rtl/>
        </w:rPr>
        <w:t xml:space="preserve"> </w:t>
      </w:r>
      <w:r w:rsidRPr="00FE433F">
        <w:rPr>
          <w:rFonts w:hint="eastAsia"/>
          <w:i/>
          <w:sz w:val="23"/>
          <w:szCs w:val="23"/>
          <w:rtl/>
        </w:rPr>
        <w:t>دادن</w:t>
      </w:r>
      <w:r w:rsidRPr="00FE433F">
        <w:rPr>
          <w:i/>
          <w:sz w:val="23"/>
          <w:szCs w:val="23"/>
          <w:rtl/>
        </w:rPr>
        <w:t xml:space="preserve"> </w:t>
      </w:r>
      <w:r w:rsidRPr="00FE433F">
        <w:rPr>
          <w:rFonts w:hint="cs"/>
          <w:i/>
          <w:sz w:val="23"/>
          <w:szCs w:val="23"/>
          <w:rtl/>
        </w:rPr>
        <w:t>بیش</w:t>
      </w:r>
      <w:r w:rsidRPr="00FE433F">
        <w:rPr>
          <w:i/>
          <w:sz w:val="23"/>
          <w:szCs w:val="23"/>
          <w:rtl/>
        </w:rPr>
        <w:softHyphen/>
      </w:r>
      <w:r w:rsidRPr="00FE433F">
        <w:rPr>
          <w:rFonts w:hint="cs"/>
          <w:i/>
          <w:sz w:val="23"/>
          <w:szCs w:val="23"/>
          <w:rtl/>
        </w:rPr>
        <w:t>تر از آنچه که</w:t>
      </w:r>
      <w:r w:rsidRPr="00FE433F">
        <w:rPr>
          <w:i/>
          <w:sz w:val="23"/>
          <w:szCs w:val="23"/>
          <w:rtl/>
        </w:rPr>
        <w:t xml:space="preserve"> </w:t>
      </w:r>
      <w:r w:rsidRPr="00FE433F">
        <w:rPr>
          <w:rFonts w:hint="eastAsia"/>
          <w:i/>
          <w:sz w:val="23"/>
          <w:szCs w:val="23"/>
          <w:rtl/>
        </w:rPr>
        <w:t>طلا</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نقره</w:t>
      </w:r>
      <w:r w:rsidRPr="00FE433F">
        <w:rPr>
          <w:i/>
          <w:sz w:val="23"/>
          <w:szCs w:val="23"/>
          <w:rtl/>
        </w:rPr>
        <w:softHyphen/>
        <w:t xml:space="preserve"> </w:t>
      </w:r>
      <w:r w:rsidRPr="00FE433F">
        <w:rPr>
          <w:rFonts w:hint="eastAsia"/>
          <w:i/>
          <w:sz w:val="23"/>
          <w:szCs w:val="23"/>
          <w:rtl/>
        </w:rPr>
        <w:t>نگهدار</w:t>
      </w:r>
      <w:r w:rsidRPr="00FE433F">
        <w:rPr>
          <w:rFonts w:hint="cs"/>
          <w:i/>
          <w:sz w:val="23"/>
          <w:szCs w:val="23"/>
          <w:rtl/>
        </w:rPr>
        <w:t>ی</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کردند</w:t>
      </w:r>
      <w:r w:rsidRPr="00FE433F">
        <w:rPr>
          <w:i/>
          <w:sz w:val="23"/>
          <w:szCs w:val="23"/>
          <w:rtl/>
        </w:rPr>
        <w:t xml:space="preserve"> </w:t>
      </w:r>
      <w:r w:rsidRPr="00FE433F">
        <w:rPr>
          <w:rFonts w:hint="cs"/>
          <w:i/>
          <w:sz w:val="23"/>
          <w:szCs w:val="23"/>
          <w:rtl/>
        </w:rPr>
        <w:t xml:space="preserve">سود خود را </w:t>
      </w:r>
      <w:r w:rsidRPr="00FE433F">
        <w:rPr>
          <w:rFonts w:hint="eastAsia"/>
          <w:i/>
          <w:sz w:val="23"/>
          <w:szCs w:val="23"/>
          <w:rtl/>
        </w:rPr>
        <w:t>افزا</w:t>
      </w:r>
      <w:r w:rsidRPr="00FE433F">
        <w:rPr>
          <w:rFonts w:hint="cs"/>
          <w:i/>
          <w:sz w:val="23"/>
          <w:szCs w:val="23"/>
          <w:rtl/>
        </w:rPr>
        <w:t>ی</w:t>
      </w:r>
      <w:r w:rsidRPr="00FE433F">
        <w:rPr>
          <w:rFonts w:hint="eastAsia"/>
          <w:i/>
          <w:sz w:val="23"/>
          <w:szCs w:val="23"/>
          <w:rtl/>
        </w:rPr>
        <w:t>ش</w:t>
      </w:r>
      <w:r w:rsidRPr="00FE433F">
        <w:rPr>
          <w:i/>
          <w:sz w:val="23"/>
          <w:szCs w:val="23"/>
          <w:rtl/>
        </w:rPr>
        <w:t xml:space="preserve"> </w:t>
      </w:r>
      <w:r w:rsidRPr="00FE433F">
        <w:rPr>
          <w:rFonts w:hint="cs"/>
          <w:i/>
          <w:sz w:val="23"/>
          <w:szCs w:val="23"/>
          <w:rtl/>
        </w:rPr>
        <w:t>دادند</w:t>
      </w:r>
      <w:r w:rsidRPr="00FE433F">
        <w:rPr>
          <w:i/>
          <w:sz w:val="23"/>
          <w:szCs w:val="23"/>
          <w:rtl/>
        </w:rPr>
        <w:t xml:space="preserve">. </w:t>
      </w:r>
    </w:p>
    <w:p w14:paraId="015F3518" w14:textId="77777777" w:rsidR="00411620" w:rsidRPr="00FE433F" w:rsidRDefault="00411620" w:rsidP="00411620">
      <w:pPr>
        <w:spacing w:line="216" w:lineRule="auto"/>
        <w:rPr>
          <w:i/>
          <w:sz w:val="23"/>
          <w:szCs w:val="23"/>
        </w:rPr>
      </w:pPr>
      <w:r w:rsidRPr="00FE433F">
        <w:rPr>
          <w:rFonts w:hint="eastAsia"/>
          <w:i/>
          <w:sz w:val="23"/>
          <w:szCs w:val="23"/>
          <w:rtl/>
        </w:rPr>
        <w:t>دولت</w:t>
      </w:r>
      <w:r w:rsidRPr="00FE433F">
        <w:rPr>
          <w:i/>
          <w:sz w:val="23"/>
          <w:szCs w:val="23"/>
          <w:rtl/>
        </w:rPr>
        <w:softHyphen/>
      </w:r>
      <w:r w:rsidRPr="00FE433F">
        <w:rPr>
          <w:rFonts w:hint="cs"/>
          <w:i/>
          <w:sz w:val="23"/>
          <w:szCs w:val="23"/>
          <w:rtl/>
        </w:rPr>
        <w:t xml:space="preserve">ها </w:t>
      </w:r>
      <w:r w:rsidRPr="00FE433F">
        <w:rPr>
          <w:rFonts w:hint="eastAsia"/>
          <w:i/>
          <w:sz w:val="23"/>
          <w:szCs w:val="23"/>
          <w:rtl/>
        </w:rPr>
        <w:t>مشاهده</w:t>
      </w:r>
      <w:r w:rsidRPr="00FE433F">
        <w:rPr>
          <w:i/>
          <w:sz w:val="23"/>
          <w:szCs w:val="23"/>
          <w:rtl/>
        </w:rPr>
        <w:t xml:space="preserve"> </w:t>
      </w:r>
      <w:r w:rsidRPr="00FE433F">
        <w:rPr>
          <w:rFonts w:hint="eastAsia"/>
          <w:i/>
          <w:sz w:val="23"/>
          <w:szCs w:val="23"/>
          <w:rtl/>
        </w:rPr>
        <w:t>کرد</w:t>
      </w:r>
      <w:r w:rsidRPr="00FE433F">
        <w:rPr>
          <w:rFonts w:hint="cs"/>
          <w:i/>
          <w:sz w:val="23"/>
          <w:szCs w:val="23"/>
          <w:rtl/>
        </w:rPr>
        <w:t>ند</w:t>
      </w:r>
      <w:r w:rsidRPr="00FE433F">
        <w:rPr>
          <w:i/>
          <w:sz w:val="23"/>
          <w:szCs w:val="23"/>
          <w:rtl/>
        </w:rPr>
        <w:t xml:space="preserve"> </w:t>
      </w:r>
      <w:r w:rsidRPr="00FE433F">
        <w:rPr>
          <w:rFonts w:hint="eastAsia"/>
          <w:i/>
          <w:sz w:val="23"/>
          <w:szCs w:val="23"/>
          <w:rtl/>
        </w:rPr>
        <w:t>خلق</w:t>
      </w:r>
      <w:r w:rsidRPr="00FE433F">
        <w:rPr>
          <w:i/>
          <w:sz w:val="23"/>
          <w:szCs w:val="23"/>
          <w:rtl/>
        </w:rPr>
        <w:t xml:space="preserve"> </w:t>
      </w:r>
      <w:r w:rsidRPr="00FE433F">
        <w:rPr>
          <w:rFonts w:hint="eastAsia"/>
          <w:i/>
          <w:sz w:val="23"/>
          <w:szCs w:val="23"/>
          <w:rtl/>
        </w:rPr>
        <w:t>اعتبار</w:t>
      </w:r>
      <w:r w:rsidRPr="00FE433F">
        <w:rPr>
          <w:i/>
          <w:sz w:val="23"/>
          <w:szCs w:val="23"/>
          <w:rtl/>
        </w:rPr>
        <w:t xml:space="preserve"> </w:t>
      </w:r>
      <w:r w:rsidRPr="00FE433F">
        <w:rPr>
          <w:rFonts w:hint="eastAsia"/>
          <w:i/>
          <w:sz w:val="23"/>
          <w:szCs w:val="23"/>
          <w:rtl/>
        </w:rPr>
        <w:t>بوس</w:t>
      </w:r>
      <w:r w:rsidRPr="00FE433F">
        <w:rPr>
          <w:rFonts w:hint="cs"/>
          <w:i/>
          <w:sz w:val="23"/>
          <w:szCs w:val="23"/>
          <w:rtl/>
        </w:rPr>
        <w:t>ی</w:t>
      </w:r>
      <w:r w:rsidRPr="00FE433F">
        <w:rPr>
          <w:rFonts w:hint="eastAsia"/>
          <w:i/>
          <w:sz w:val="23"/>
          <w:szCs w:val="23"/>
          <w:rtl/>
        </w:rPr>
        <w:t>له</w:t>
      </w:r>
      <w:r w:rsidRPr="00FE433F">
        <w:rPr>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بانک</w:t>
      </w:r>
      <w:r w:rsidRPr="00FE433F">
        <w:rPr>
          <w:i/>
          <w:sz w:val="23"/>
          <w:szCs w:val="23"/>
        </w:rPr>
        <w:t>‌</w:t>
      </w:r>
      <w:r w:rsidRPr="00FE433F">
        <w:rPr>
          <w:rFonts w:hint="eastAsia"/>
          <w:i/>
          <w:sz w:val="23"/>
          <w:szCs w:val="23"/>
          <w:rtl/>
        </w:rPr>
        <w:t>ها</w:t>
      </w:r>
      <w:r w:rsidRPr="00FE433F">
        <w:rPr>
          <w:i/>
          <w:sz w:val="23"/>
          <w:szCs w:val="23"/>
          <w:rtl/>
        </w:rPr>
        <w:t xml:space="preserve"> </w:t>
      </w:r>
      <w:r w:rsidRPr="00FE433F">
        <w:rPr>
          <w:rFonts w:hint="eastAsia"/>
          <w:i/>
          <w:sz w:val="23"/>
          <w:szCs w:val="23"/>
          <w:rtl/>
        </w:rPr>
        <w:t>بدون</w:t>
      </w:r>
      <w:r w:rsidRPr="00FE433F">
        <w:rPr>
          <w:i/>
          <w:sz w:val="23"/>
          <w:szCs w:val="23"/>
          <w:rtl/>
        </w:rPr>
        <w:t xml:space="preserve"> </w:t>
      </w:r>
      <w:r w:rsidRPr="00FE433F">
        <w:rPr>
          <w:rFonts w:hint="eastAsia"/>
          <w:i/>
          <w:sz w:val="23"/>
          <w:szCs w:val="23"/>
          <w:rtl/>
        </w:rPr>
        <w:t>ن</w:t>
      </w:r>
      <w:r w:rsidRPr="00FE433F">
        <w:rPr>
          <w:rFonts w:hint="cs"/>
          <w:i/>
          <w:sz w:val="23"/>
          <w:szCs w:val="23"/>
          <w:rtl/>
        </w:rPr>
        <w:t>ی</w:t>
      </w:r>
      <w:r w:rsidRPr="00FE433F">
        <w:rPr>
          <w:rFonts w:hint="eastAsia"/>
          <w:i/>
          <w:sz w:val="23"/>
          <w:szCs w:val="23"/>
          <w:rtl/>
        </w:rPr>
        <w:t>از</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cs"/>
          <w:i/>
          <w:sz w:val="23"/>
          <w:szCs w:val="23"/>
          <w:rtl/>
        </w:rPr>
        <w:t xml:space="preserve">برگشت صددرصد </w:t>
      </w:r>
      <w:r w:rsidRPr="00FE433F">
        <w:rPr>
          <w:rFonts w:hint="eastAsia"/>
          <w:i/>
          <w:sz w:val="23"/>
          <w:szCs w:val="23"/>
          <w:rtl/>
        </w:rPr>
        <w:t>طلا</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نقره</w:t>
      </w:r>
      <w:r w:rsidRPr="00FE433F">
        <w:rPr>
          <w:rFonts w:hint="cs"/>
          <w:i/>
          <w:sz w:val="23"/>
          <w:szCs w:val="23"/>
          <w:rtl/>
        </w:rPr>
        <w:t xml:space="preserve"> انجام می</w:t>
      </w:r>
      <w:r w:rsidRPr="00FE433F">
        <w:rPr>
          <w:i/>
          <w:sz w:val="23"/>
          <w:szCs w:val="23"/>
          <w:rtl/>
        </w:rPr>
        <w:softHyphen/>
      </w:r>
      <w:r w:rsidRPr="00FE433F">
        <w:rPr>
          <w:rFonts w:hint="cs"/>
          <w:i/>
          <w:sz w:val="23"/>
          <w:szCs w:val="23"/>
          <w:rtl/>
        </w:rPr>
        <w:t>شود</w:t>
      </w:r>
      <w:r w:rsidRPr="00FE433F">
        <w:rPr>
          <w:rFonts w:hint="eastAsia"/>
          <w:i/>
          <w:sz w:val="23"/>
          <w:szCs w:val="23"/>
          <w:rtl/>
        </w:rPr>
        <w:t>،</w:t>
      </w:r>
      <w:r w:rsidRPr="00FE433F">
        <w:rPr>
          <w:rFonts w:hint="cs"/>
          <w:i/>
          <w:sz w:val="23"/>
          <w:szCs w:val="23"/>
          <w:rtl/>
        </w:rPr>
        <w:t xml:space="preserve"> لذا خرید کالاها و خدمات دولت بوسیله</w:t>
      </w:r>
      <w:r w:rsidRPr="00FE433F">
        <w:rPr>
          <w:i/>
          <w:sz w:val="23"/>
          <w:szCs w:val="23"/>
          <w:rtl/>
        </w:rPr>
        <w:softHyphen/>
      </w:r>
      <w:r w:rsidRPr="00FE433F">
        <w:rPr>
          <w:rFonts w:hint="cs"/>
          <w:i/>
          <w:sz w:val="23"/>
          <w:szCs w:val="23"/>
          <w:rtl/>
        </w:rPr>
        <w:t>ی اسکناس</w:t>
      </w:r>
      <w:r w:rsidRPr="00FE433F">
        <w:rPr>
          <w:i/>
          <w:sz w:val="23"/>
          <w:szCs w:val="23"/>
          <w:rtl/>
        </w:rPr>
        <w:softHyphen/>
      </w:r>
      <w:r w:rsidRPr="00FE433F">
        <w:rPr>
          <w:rFonts w:hint="cs"/>
          <w:i/>
          <w:sz w:val="23"/>
          <w:szCs w:val="23"/>
          <w:rtl/>
        </w:rPr>
        <w:t>های استانداردی که توسط بانک مرکزی با طلا بازخرید می</w:t>
      </w:r>
      <w:r w:rsidRPr="00FE433F">
        <w:rPr>
          <w:i/>
          <w:sz w:val="23"/>
          <w:szCs w:val="23"/>
          <w:rtl/>
        </w:rPr>
        <w:softHyphen/>
      </w:r>
      <w:r w:rsidRPr="00FE433F">
        <w:rPr>
          <w:rFonts w:hint="cs"/>
          <w:i/>
          <w:sz w:val="23"/>
          <w:szCs w:val="23"/>
          <w:rtl/>
        </w:rPr>
        <w:t>شد آغاز گردید. عموم مردم با اطمینان از بدست آوردن طلا و نقره در صورت نیاز، این اسکناس</w:t>
      </w:r>
      <w:r w:rsidRPr="00FE433F">
        <w:rPr>
          <w:i/>
          <w:sz w:val="23"/>
          <w:szCs w:val="23"/>
          <w:rtl/>
        </w:rPr>
        <w:softHyphen/>
      </w:r>
      <w:r w:rsidRPr="00FE433F">
        <w:rPr>
          <w:rFonts w:hint="cs"/>
          <w:i/>
          <w:sz w:val="23"/>
          <w:szCs w:val="23"/>
          <w:rtl/>
        </w:rPr>
        <w:t>ها را از دولت در قبال معاوضه با کالاها و خدمات پذیرفتند. بعدها، اسکناس برای مبادله</w:t>
      </w:r>
      <w:r w:rsidRPr="00FE433F">
        <w:rPr>
          <w:i/>
          <w:sz w:val="23"/>
          <w:szCs w:val="23"/>
          <w:rtl/>
        </w:rPr>
        <w:softHyphen/>
      </w:r>
      <w:r w:rsidRPr="00FE433F">
        <w:rPr>
          <w:rFonts w:hint="cs"/>
          <w:i/>
          <w:sz w:val="23"/>
          <w:szCs w:val="23"/>
          <w:rtl/>
        </w:rPr>
        <w:t>ی تمامی کالاها و خدمات در اقتصاد،‌ تسویه</w:t>
      </w:r>
      <w:r w:rsidRPr="00FE433F">
        <w:rPr>
          <w:i/>
          <w:sz w:val="23"/>
          <w:szCs w:val="23"/>
          <w:rtl/>
        </w:rPr>
        <w:softHyphen/>
      </w:r>
      <w:r w:rsidRPr="00FE433F">
        <w:rPr>
          <w:rFonts w:hint="cs"/>
          <w:i/>
          <w:sz w:val="23"/>
          <w:szCs w:val="23"/>
          <w:rtl/>
        </w:rPr>
        <w:t>ی بدهی</w:t>
      </w:r>
      <w:r w:rsidRPr="00FE433F">
        <w:rPr>
          <w:i/>
          <w:sz w:val="23"/>
          <w:szCs w:val="23"/>
          <w:rtl/>
        </w:rPr>
        <w:softHyphen/>
      </w:r>
      <w:r w:rsidRPr="00FE433F">
        <w:rPr>
          <w:rFonts w:hint="cs"/>
          <w:i/>
          <w:sz w:val="23"/>
          <w:szCs w:val="23"/>
          <w:rtl/>
        </w:rPr>
        <w:t>ها و پس</w:t>
      </w:r>
      <w:r w:rsidRPr="00FE433F">
        <w:rPr>
          <w:i/>
          <w:sz w:val="23"/>
          <w:szCs w:val="23"/>
          <w:rtl/>
        </w:rPr>
        <w:softHyphen/>
      </w:r>
      <w:r w:rsidRPr="00FE433F">
        <w:rPr>
          <w:rFonts w:hint="cs"/>
          <w:i/>
          <w:sz w:val="23"/>
          <w:szCs w:val="23"/>
          <w:rtl/>
        </w:rPr>
        <w:t>انداز در بانک</w:t>
      </w:r>
      <w:r w:rsidRPr="00FE433F">
        <w:rPr>
          <w:i/>
          <w:sz w:val="23"/>
          <w:szCs w:val="23"/>
          <w:rtl/>
        </w:rPr>
        <w:softHyphen/>
      </w:r>
      <w:r w:rsidRPr="00FE433F">
        <w:rPr>
          <w:rFonts w:hint="cs"/>
          <w:i/>
          <w:sz w:val="23"/>
          <w:szCs w:val="23"/>
          <w:rtl/>
        </w:rPr>
        <w:t xml:space="preserve">ها مورد استفاده قرار گرفت. </w:t>
      </w:r>
    </w:p>
    <w:p w14:paraId="3C8479A4" w14:textId="77777777" w:rsidR="00411620" w:rsidRPr="00FE433F" w:rsidRDefault="00411620" w:rsidP="00411620">
      <w:pPr>
        <w:spacing w:line="216" w:lineRule="auto"/>
        <w:rPr>
          <w:i/>
          <w:sz w:val="23"/>
          <w:szCs w:val="23"/>
          <w:rtl/>
        </w:rPr>
      </w:pPr>
      <w:r w:rsidRPr="00FE433F">
        <w:rPr>
          <w:rFonts w:hint="cs"/>
          <w:i/>
          <w:sz w:val="23"/>
          <w:szCs w:val="23"/>
          <w:rtl/>
        </w:rPr>
        <w:t>با موفقیت این سیستم گام نهایی در ظهور پول کاغذی و بدون پشتوانه هنگامی اتفاق افتاد که دولت</w:t>
      </w:r>
      <w:r w:rsidRPr="00FE433F">
        <w:rPr>
          <w:i/>
          <w:sz w:val="23"/>
          <w:szCs w:val="23"/>
          <w:rtl/>
        </w:rPr>
        <w:softHyphen/>
      </w:r>
      <w:r w:rsidRPr="00FE433F">
        <w:rPr>
          <w:rFonts w:hint="cs"/>
          <w:i/>
          <w:sz w:val="23"/>
          <w:szCs w:val="23"/>
          <w:rtl/>
        </w:rPr>
        <w:t>ها قابلیت تبدیل این اسکناس</w:t>
      </w:r>
      <w:r w:rsidRPr="00FE433F">
        <w:rPr>
          <w:i/>
          <w:sz w:val="23"/>
          <w:szCs w:val="23"/>
          <w:rtl/>
        </w:rPr>
        <w:softHyphen/>
      </w:r>
      <w:r w:rsidRPr="00FE433F">
        <w:rPr>
          <w:rFonts w:hint="cs"/>
          <w:i/>
          <w:sz w:val="23"/>
          <w:szCs w:val="23"/>
          <w:rtl/>
        </w:rPr>
        <w:t>ها را با طلا و نقره معلق، و انحصار عرضه</w:t>
      </w:r>
      <w:r w:rsidRPr="00FE433F">
        <w:rPr>
          <w:i/>
          <w:sz w:val="23"/>
          <w:szCs w:val="23"/>
          <w:rtl/>
        </w:rPr>
        <w:softHyphen/>
      </w:r>
      <w:r w:rsidRPr="00FE433F">
        <w:rPr>
          <w:rFonts w:hint="cs"/>
          <w:i/>
          <w:sz w:val="23"/>
          <w:szCs w:val="23"/>
          <w:rtl/>
        </w:rPr>
        <w:t>ی اسکناس</w:t>
      </w:r>
      <w:r w:rsidRPr="00FE433F">
        <w:rPr>
          <w:i/>
          <w:sz w:val="23"/>
          <w:szCs w:val="23"/>
          <w:rtl/>
        </w:rPr>
        <w:softHyphen/>
      </w:r>
      <w:r w:rsidRPr="00FE433F">
        <w:rPr>
          <w:rFonts w:hint="cs"/>
          <w:i/>
          <w:sz w:val="23"/>
          <w:szCs w:val="23"/>
          <w:rtl/>
        </w:rPr>
        <w:t>های اعتباری را آغاز کردند. در این زمان اسکناس، پول بدون پشتوانه محض شد. عرضه</w:t>
      </w:r>
      <w:r w:rsidRPr="00FE433F">
        <w:rPr>
          <w:i/>
          <w:sz w:val="23"/>
          <w:szCs w:val="23"/>
          <w:rtl/>
        </w:rPr>
        <w:softHyphen/>
      </w:r>
      <w:r w:rsidRPr="00FE433F">
        <w:rPr>
          <w:rFonts w:hint="cs"/>
          <w:i/>
          <w:sz w:val="23"/>
          <w:szCs w:val="23"/>
          <w:rtl/>
        </w:rPr>
        <w:t>ی پولِ بدون پشتوانه بوسیله</w:t>
      </w:r>
      <w:r w:rsidRPr="00FE433F">
        <w:rPr>
          <w:i/>
          <w:sz w:val="23"/>
          <w:szCs w:val="23"/>
          <w:rtl/>
        </w:rPr>
        <w:softHyphen/>
      </w:r>
      <w:r w:rsidRPr="00FE433F">
        <w:rPr>
          <w:rFonts w:hint="cs"/>
          <w:i/>
          <w:sz w:val="23"/>
          <w:szCs w:val="23"/>
          <w:rtl/>
        </w:rPr>
        <w:t>ی بانک مرکزی پول بیرونی نامند که دیون و بدهی</w:t>
      </w:r>
      <w:r w:rsidRPr="00FE433F">
        <w:rPr>
          <w:i/>
          <w:sz w:val="23"/>
          <w:szCs w:val="23"/>
          <w:rtl/>
        </w:rPr>
        <w:softHyphen/>
      </w:r>
      <w:r w:rsidRPr="00FE433F">
        <w:rPr>
          <w:rFonts w:hint="cs"/>
          <w:i/>
          <w:sz w:val="23"/>
          <w:szCs w:val="23"/>
          <w:rtl/>
        </w:rPr>
        <w:t>های بانک مرکزی را بوجود می</w:t>
      </w:r>
      <w:r w:rsidRPr="00FE433F">
        <w:rPr>
          <w:i/>
          <w:sz w:val="23"/>
          <w:szCs w:val="23"/>
          <w:rtl/>
        </w:rPr>
        <w:softHyphen/>
      </w:r>
      <w:r w:rsidRPr="00FE433F">
        <w:rPr>
          <w:rFonts w:hint="cs"/>
          <w:i/>
          <w:sz w:val="23"/>
          <w:szCs w:val="23"/>
          <w:rtl/>
        </w:rPr>
        <w:t>آورد. این پول</w:t>
      </w:r>
      <w:r w:rsidRPr="00FE433F">
        <w:rPr>
          <w:i/>
          <w:sz w:val="23"/>
          <w:szCs w:val="23"/>
          <w:rtl/>
        </w:rPr>
        <w:softHyphen/>
      </w:r>
      <w:r w:rsidRPr="00FE433F">
        <w:rPr>
          <w:rFonts w:hint="cs"/>
          <w:i/>
          <w:sz w:val="23"/>
          <w:szCs w:val="23"/>
          <w:rtl/>
        </w:rPr>
        <w:t>ها عمدتاً بوسیله</w:t>
      </w:r>
      <w:r w:rsidRPr="00FE433F">
        <w:rPr>
          <w:i/>
          <w:sz w:val="23"/>
          <w:szCs w:val="23"/>
          <w:rtl/>
        </w:rPr>
        <w:softHyphen/>
      </w:r>
      <w:r w:rsidRPr="00FE433F">
        <w:rPr>
          <w:rFonts w:hint="cs"/>
          <w:i/>
          <w:sz w:val="23"/>
          <w:szCs w:val="23"/>
          <w:rtl/>
        </w:rPr>
        <w:t>ی مردم و به صورت سپرده</w:t>
      </w:r>
      <w:r w:rsidRPr="00FE433F">
        <w:rPr>
          <w:i/>
          <w:sz w:val="23"/>
          <w:szCs w:val="23"/>
          <w:rtl/>
        </w:rPr>
        <w:softHyphen/>
      </w:r>
      <w:r w:rsidRPr="00FE433F">
        <w:rPr>
          <w:rFonts w:hint="cs"/>
          <w:i/>
          <w:sz w:val="23"/>
          <w:szCs w:val="23"/>
          <w:rtl/>
        </w:rPr>
        <w:t>های بانکی نگه داشته می</w:t>
      </w:r>
      <w:r w:rsidRPr="00FE433F">
        <w:rPr>
          <w:i/>
          <w:sz w:val="23"/>
          <w:szCs w:val="23"/>
          <w:rtl/>
        </w:rPr>
        <w:softHyphen/>
      </w:r>
      <w:r w:rsidRPr="00FE433F">
        <w:rPr>
          <w:rFonts w:hint="cs"/>
          <w:i/>
          <w:sz w:val="23"/>
          <w:szCs w:val="23"/>
          <w:rtl/>
        </w:rPr>
        <w:t>شود و بر حسب قابلیت دسترسی با یکدیگر متفاوت می</w:t>
      </w:r>
      <w:r w:rsidRPr="00FE433F">
        <w:rPr>
          <w:i/>
          <w:sz w:val="23"/>
          <w:szCs w:val="23"/>
          <w:rtl/>
        </w:rPr>
        <w:softHyphen/>
      </w:r>
      <w:r w:rsidRPr="00FE433F">
        <w:rPr>
          <w:rFonts w:hint="cs"/>
          <w:i/>
          <w:sz w:val="23"/>
          <w:szCs w:val="23"/>
          <w:rtl/>
        </w:rPr>
        <w:t>باشند. برخی از آن‌ها در هر لحظه از زمان قابل دسترس و برخی دیگر بعد از دوره</w:t>
      </w:r>
      <w:r w:rsidRPr="00FE433F">
        <w:rPr>
          <w:i/>
          <w:sz w:val="23"/>
          <w:szCs w:val="23"/>
          <w:rtl/>
        </w:rPr>
        <w:softHyphen/>
      </w:r>
      <w:r w:rsidRPr="00FE433F">
        <w:rPr>
          <w:rFonts w:hint="cs"/>
          <w:i/>
          <w:sz w:val="23"/>
          <w:szCs w:val="23"/>
          <w:rtl/>
        </w:rPr>
        <w:t>ی مشخصی از زمان قابل دسترس می</w:t>
      </w:r>
      <w:r w:rsidRPr="00FE433F">
        <w:rPr>
          <w:i/>
          <w:sz w:val="23"/>
          <w:szCs w:val="23"/>
          <w:rtl/>
        </w:rPr>
        <w:softHyphen/>
      </w:r>
      <w:r w:rsidRPr="00FE433F">
        <w:rPr>
          <w:rFonts w:hint="cs"/>
          <w:i/>
          <w:sz w:val="23"/>
          <w:szCs w:val="23"/>
          <w:rtl/>
        </w:rPr>
        <w:t>باشند. این سپرده</w:t>
      </w:r>
      <w:r w:rsidRPr="00FE433F">
        <w:rPr>
          <w:i/>
          <w:sz w:val="23"/>
          <w:szCs w:val="23"/>
          <w:rtl/>
        </w:rPr>
        <w:softHyphen/>
      </w:r>
      <w:r w:rsidRPr="00FE433F">
        <w:rPr>
          <w:rFonts w:hint="cs"/>
          <w:i/>
          <w:sz w:val="23"/>
          <w:szCs w:val="23"/>
          <w:rtl/>
        </w:rPr>
        <w:t>ها به عموم و به صورت اعتبار، وام داده می</w:t>
      </w:r>
      <w:r w:rsidRPr="00FE433F">
        <w:rPr>
          <w:i/>
          <w:sz w:val="23"/>
          <w:szCs w:val="23"/>
          <w:rtl/>
        </w:rPr>
        <w:softHyphen/>
      </w:r>
      <w:r w:rsidRPr="00FE433F">
        <w:rPr>
          <w:rFonts w:hint="cs"/>
          <w:i/>
          <w:sz w:val="23"/>
          <w:szCs w:val="23"/>
          <w:rtl/>
        </w:rPr>
        <w:t>شود، بخشی از این اعتبار وام</w:t>
      </w:r>
      <w:r w:rsidRPr="00FE433F">
        <w:rPr>
          <w:i/>
          <w:sz w:val="23"/>
          <w:szCs w:val="23"/>
          <w:rtl/>
        </w:rPr>
        <w:softHyphen/>
      </w:r>
      <w:r w:rsidRPr="00FE433F">
        <w:rPr>
          <w:rFonts w:hint="cs"/>
          <w:i/>
          <w:sz w:val="23"/>
          <w:szCs w:val="23"/>
          <w:rtl/>
        </w:rPr>
        <w:t>های به بنگاه</w:t>
      </w:r>
      <w:r w:rsidRPr="00FE433F">
        <w:rPr>
          <w:i/>
          <w:sz w:val="23"/>
          <w:szCs w:val="23"/>
          <w:rtl/>
        </w:rPr>
        <w:softHyphen/>
      </w:r>
      <w:r w:rsidRPr="00FE433F">
        <w:rPr>
          <w:rFonts w:hint="cs"/>
          <w:i/>
          <w:sz w:val="23"/>
          <w:szCs w:val="23"/>
          <w:rtl/>
        </w:rPr>
        <w:t>ها را بوجود می</w:t>
      </w:r>
      <w:r w:rsidRPr="00FE433F">
        <w:rPr>
          <w:i/>
          <w:sz w:val="23"/>
          <w:szCs w:val="23"/>
          <w:rtl/>
        </w:rPr>
        <w:softHyphen/>
      </w:r>
      <w:r w:rsidRPr="00FE433F">
        <w:rPr>
          <w:rFonts w:hint="cs"/>
          <w:i/>
          <w:sz w:val="23"/>
          <w:szCs w:val="23"/>
          <w:rtl/>
        </w:rPr>
        <w:t>آورد، و یا نتیجه</w:t>
      </w:r>
      <w:r w:rsidRPr="00FE433F">
        <w:rPr>
          <w:i/>
          <w:sz w:val="23"/>
          <w:szCs w:val="23"/>
          <w:rtl/>
        </w:rPr>
        <w:softHyphen/>
      </w:r>
      <w:r w:rsidRPr="00FE433F">
        <w:rPr>
          <w:rFonts w:hint="cs"/>
          <w:i/>
          <w:sz w:val="23"/>
          <w:szCs w:val="23"/>
          <w:rtl/>
        </w:rPr>
        <w:t xml:space="preserve">ی خرید، یا تنزیل اسناد </w:t>
      </w:r>
      <w:r w:rsidRPr="00FE433F">
        <w:rPr>
          <w:rFonts w:hint="cs"/>
          <w:i/>
          <w:sz w:val="23"/>
          <w:szCs w:val="23"/>
          <w:rtl/>
        </w:rPr>
        <w:lastRenderedPageBreak/>
        <w:t>بدهی منتشر شده بوسیله</w:t>
      </w:r>
      <w:r w:rsidRPr="00FE433F">
        <w:rPr>
          <w:i/>
          <w:sz w:val="23"/>
          <w:szCs w:val="23"/>
          <w:rtl/>
        </w:rPr>
        <w:softHyphen/>
      </w:r>
      <w:r w:rsidRPr="00FE433F">
        <w:rPr>
          <w:rFonts w:hint="cs"/>
          <w:i/>
          <w:sz w:val="23"/>
          <w:szCs w:val="23"/>
          <w:rtl/>
        </w:rPr>
        <w:t>ی شرکت</w:t>
      </w:r>
      <w:r w:rsidRPr="00FE433F">
        <w:rPr>
          <w:i/>
          <w:sz w:val="23"/>
          <w:szCs w:val="23"/>
          <w:rtl/>
        </w:rPr>
        <w:softHyphen/>
      </w:r>
      <w:r w:rsidRPr="00FE433F">
        <w:rPr>
          <w:rFonts w:hint="cs"/>
          <w:i/>
          <w:sz w:val="23"/>
          <w:szCs w:val="23"/>
          <w:rtl/>
        </w:rPr>
        <w:t>های تجاری می</w:t>
      </w:r>
      <w:r w:rsidRPr="00FE433F">
        <w:rPr>
          <w:i/>
          <w:sz w:val="23"/>
          <w:szCs w:val="23"/>
          <w:rtl/>
        </w:rPr>
        <w:softHyphen/>
      </w:r>
      <w:r w:rsidRPr="00FE433F">
        <w:rPr>
          <w:rFonts w:hint="cs"/>
          <w:i/>
          <w:sz w:val="23"/>
          <w:szCs w:val="23"/>
          <w:rtl/>
        </w:rPr>
        <w:t>باشد. سپرده</w:t>
      </w:r>
      <w:r w:rsidRPr="00FE433F">
        <w:rPr>
          <w:i/>
          <w:sz w:val="23"/>
          <w:szCs w:val="23"/>
          <w:rtl/>
        </w:rPr>
        <w:softHyphen/>
      </w:r>
      <w:r w:rsidRPr="00FE433F">
        <w:rPr>
          <w:rFonts w:hint="cs"/>
          <w:i/>
          <w:sz w:val="23"/>
          <w:szCs w:val="23"/>
          <w:rtl/>
        </w:rPr>
        <w:t>های مردم در سیستم بانکی را پول درونی نامند که بدهی مابقی سیستم بانکی را شکل می</w:t>
      </w:r>
      <w:r w:rsidRPr="00FE433F">
        <w:rPr>
          <w:i/>
          <w:sz w:val="23"/>
          <w:szCs w:val="23"/>
          <w:rtl/>
        </w:rPr>
        <w:softHyphen/>
      </w:r>
      <w:r w:rsidRPr="00FE433F">
        <w:rPr>
          <w:rFonts w:hint="cs"/>
          <w:i/>
          <w:sz w:val="23"/>
          <w:szCs w:val="23"/>
          <w:rtl/>
        </w:rPr>
        <w:t>دهد. مجموع پول درونی و بیرونی کل عرضه</w:t>
      </w:r>
      <w:r w:rsidRPr="00FE433F">
        <w:rPr>
          <w:i/>
          <w:sz w:val="23"/>
          <w:szCs w:val="23"/>
          <w:rtl/>
        </w:rPr>
        <w:softHyphen/>
      </w:r>
      <w:r w:rsidRPr="00FE433F">
        <w:rPr>
          <w:rFonts w:hint="cs"/>
          <w:i/>
          <w:sz w:val="23"/>
          <w:szCs w:val="23"/>
          <w:rtl/>
        </w:rPr>
        <w:t>ی پول می</w:t>
      </w:r>
      <w:r w:rsidRPr="00FE433F">
        <w:rPr>
          <w:i/>
          <w:sz w:val="23"/>
          <w:szCs w:val="23"/>
          <w:rtl/>
        </w:rPr>
        <w:softHyphen/>
      </w:r>
      <w:r w:rsidRPr="00FE433F">
        <w:rPr>
          <w:rFonts w:hint="cs"/>
          <w:i/>
          <w:sz w:val="23"/>
          <w:szCs w:val="23"/>
          <w:rtl/>
        </w:rPr>
        <w:t>باشد که بدهی کل سیستم بانکی است. بنابراین پول شامل دامنه و محدوده</w:t>
      </w:r>
      <w:r w:rsidRPr="00FE433F">
        <w:rPr>
          <w:i/>
          <w:sz w:val="23"/>
          <w:szCs w:val="23"/>
          <w:rtl/>
        </w:rPr>
        <w:softHyphen/>
      </w:r>
      <w:r w:rsidRPr="00FE433F">
        <w:rPr>
          <w:rFonts w:hint="cs"/>
          <w:i/>
          <w:sz w:val="23"/>
          <w:szCs w:val="23"/>
          <w:rtl/>
        </w:rPr>
        <w:t>ی گسترده</w:t>
      </w:r>
      <w:r w:rsidRPr="00FE433F">
        <w:rPr>
          <w:i/>
          <w:sz w:val="23"/>
          <w:szCs w:val="23"/>
          <w:rtl/>
        </w:rPr>
        <w:softHyphen/>
      </w:r>
      <w:r w:rsidRPr="00FE433F">
        <w:rPr>
          <w:rFonts w:hint="cs"/>
          <w:i/>
          <w:sz w:val="23"/>
          <w:szCs w:val="23"/>
          <w:rtl/>
        </w:rPr>
        <w:t>ای از بدهی</w:t>
      </w:r>
      <w:r w:rsidRPr="00FE433F">
        <w:rPr>
          <w:i/>
          <w:sz w:val="23"/>
          <w:szCs w:val="23"/>
          <w:rtl/>
        </w:rPr>
        <w:softHyphen/>
      </w:r>
      <w:r w:rsidRPr="00FE433F">
        <w:rPr>
          <w:rFonts w:hint="cs"/>
          <w:i/>
          <w:sz w:val="23"/>
          <w:szCs w:val="23"/>
          <w:rtl/>
        </w:rPr>
        <w:t>های بانکی است که بر حسب درجه</w:t>
      </w:r>
      <w:r w:rsidRPr="00FE433F">
        <w:rPr>
          <w:i/>
          <w:sz w:val="23"/>
          <w:szCs w:val="23"/>
          <w:rtl/>
        </w:rPr>
        <w:softHyphen/>
      </w:r>
      <w:r w:rsidRPr="00FE433F">
        <w:rPr>
          <w:rFonts w:hint="cs"/>
          <w:i/>
          <w:sz w:val="23"/>
          <w:szCs w:val="23"/>
          <w:rtl/>
        </w:rPr>
        <w:t>ی نقدینگی، یعنی سهولت استفاده در خریدهای آنی و لحظه</w:t>
      </w:r>
      <w:r w:rsidRPr="00FE433F">
        <w:rPr>
          <w:i/>
          <w:sz w:val="23"/>
          <w:szCs w:val="23"/>
          <w:rtl/>
        </w:rPr>
        <w:softHyphen/>
      </w:r>
      <w:r w:rsidRPr="00FE433F">
        <w:rPr>
          <w:rFonts w:hint="cs"/>
          <w:i/>
          <w:sz w:val="23"/>
          <w:szCs w:val="23"/>
          <w:rtl/>
        </w:rPr>
        <w:t>ای با یکدیگر متفاوت می</w:t>
      </w:r>
      <w:r w:rsidRPr="00FE433F">
        <w:rPr>
          <w:i/>
          <w:sz w:val="23"/>
          <w:szCs w:val="23"/>
          <w:rtl/>
        </w:rPr>
        <w:softHyphen/>
      </w:r>
      <w:r w:rsidRPr="00FE433F">
        <w:rPr>
          <w:rFonts w:hint="cs"/>
          <w:i/>
          <w:sz w:val="23"/>
          <w:szCs w:val="23"/>
          <w:rtl/>
        </w:rPr>
        <w:t>باشند. برخی همانند اسکناس بدون پشتوانه که به فرمان دولت منتشر و در جریان گذاشته می</w:t>
      </w:r>
      <w:r w:rsidRPr="00FE433F">
        <w:rPr>
          <w:i/>
          <w:sz w:val="23"/>
          <w:szCs w:val="23"/>
          <w:rtl/>
        </w:rPr>
        <w:softHyphen/>
      </w:r>
      <w:r w:rsidRPr="00FE433F">
        <w:rPr>
          <w:rFonts w:hint="cs"/>
          <w:i/>
          <w:sz w:val="23"/>
          <w:szCs w:val="23"/>
          <w:rtl/>
        </w:rPr>
        <w:t>شود بصورت نقد در دسترس</w:t>
      </w:r>
      <w:r w:rsidRPr="00FE433F">
        <w:rPr>
          <w:i/>
          <w:sz w:val="23"/>
          <w:szCs w:val="23"/>
          <w:rtl/>
        </w:rPr>
        <w:softHyphen/>
      </w:r>
      <w:r w:rsidRPr="00FE433F">
        <w:rPr>
          <w:rFonts w:hint="cs"/>
          <w:i/>
          <w:sz w:val="23"/>
          <w:szCs w:val="23"/>
          <w:rtl/>
        </w:rPr>
        <w:t>اند و درجه</w:t>
      </w:r>
      <w:r w:rsidRPr="00FE433F">
        <w:rPr>
          <w:i/>
          <w:sz w:val="23"/>
          <w:szCs w:val="23"/>
          <w:rtl/>
        </w:rPr>
        <w:softHyphen/>
      </w:r>
      <w:r w:rsidRPr="00FE433F">
        <w:rPr>
          <w:rFonts w:hint="cs"/>
          <w:i/>
          <w:sz w:val="23"/>
          <w:szCs w:val="23"/>
          <w:rtl/>
        </w:rPr>
        <w:t>ی نقدینگی بسیار بالایی دارند، و برخی همانند پس</w:t>
      </w:r>
      <w:r w:rsidRPr="00FE433F">
        <w:rPr>
          <w:i/>
          <w:sz w:val="23"/>
          <w:szCs w:val="23"/>
          <w:rtl/>
        </w:rPr>
        <w:softHyphen/>
      </w:r>
      <w:r w:rsidRPr="00FE433F">
        <w:rPr>
          <w:rFonts w:hint="cs"/>
          <w:i/>
          <w:sz w:val="23"/>
          <w:szCs w:val="23"/>
          <w:rtl/>
        </w:rPr>
        <w:t>اندازهای کوتاه</w:t>
      </w:r>
      <w:r w:rsidRPr="00FE433F">
        <w:rPr>
          <w:i/>
          <w:sz w:val="23"/>
          <w:szCs w:val="23"/>
          <w:rtl/>
        </w:rPr>
        <w:softHyphen/>
      </w:r>
      <w:r w:rsidRPr="00FE433F">
        <w:rPr>
          <w:rFonts w:hint="cs"/>
          <w:i/>
          <w:sz w:val="23"/>
          <w:szCs w:val="23"/>
          <w:rtl/>
        </w:rPr>
        <w:t>مدت، بلندمدت</w:t>
      </w:r>
      <w:r w:rsidRPr="00FE433F">
        <w:rPr>
          <w:i/>
          <w:sz w:val="23"/>
          <w:szCs w:val="23"/>
          <w:rtl/>
        </w:rPr>
        <w:softHyphen/>
      </w:r>
      <w:r w:rsidRPr="00FE433F">
        <w:rPr>
          <w:rFonts w:hint="cs"/>
          <w:i/>
          <w:sz w:val="23"/>
          <w:szCs w:val="23"/>
          <w:rtl/>
        </w:rPr>
        <w:t>، و یا سفته و حواله</w:t>
      </w:r>
      <w:r w:rsidRPr="00FE433F">
        <w:rPr>
          <w:i/>
          <w:sz w:val="23"/>
          <w:szCs w:val="23"/>
          <w:rtl/>
        </w:rPr>
        <w:softHyphen/>
      </w:r>
      <w:r w:rsidRPr="00FE433F">
        <w:rPr>
          <w:rFonts w:hint="cs"/>
          <w:i/>
          <w:sz w:val="23"/>
          <w:szCs w:val="23"/>
          <w:rtl/>
        </w:rPr>
        <w:t>های بانکی درجه</w:t>
      </w:r>
      <w:r w:rsidRPr="00FE433F">
        <w:rPr>
          <w:i/>
          <w:sz w:val="23"/>
          <w:szCs w:val="23"/>
          <w:rtl/>
        </w:rPr>
        <w:softHyphen/>
      </w:r>
      <w:r w:rsidRPr="00FE433F">
        <w:rPr>
          <w:rFonts w:hint="cs"/>
          <w:i/>
          <w:sz w:val="23"/>
          <w:szCs w:val="23"/>
          <w:rtl/>
        </w:rPr>
        <w:t>ی نقدینگی پایین و قابلیت دسترسی به پول آنی آن‌ها کم</w:t>
      </w:r>
      <w:r w:rsidRPr="00FE433F">
        <w:rPr>
          <w:i/>
          <w:sz w:val="23"/>
          <w:szCs w:val="23"/>
          <w:rtl/>
        </w:rPr>
        <w:softHyphen/>
      </w:r>
      <w:r w:rsidRPr="00FE433F">
        <w:rPr>
          <w:rFonts w:hint="cs"/>
          <w:i/>
          <w:sz w:val="23"/>
          <w:szCs w:val="23"/>
          <w:rtl/>
        </w:rPr>
        <w:t xml:space="preserve">تر است. </w:t>
      </w:r>
    </w:p>
    <w:p w14:paraId="413B4A97" w14:textId="77777777" w:rsidR="00411620" w:rsidRPr="00FE433F" w:rsidRDefault="00411620" w:rsidP="00411620">
      <w:pPr>
        <w:spacing w:line="216" w:lineRule="auto"/>
        <w:rPr>
          <w:i/>
          <w:sz w:val="23"/>
          <w:szCs w:val="23"/>
          <w:rtl/>
        </w:rPr>
      </w:pPr>
      <w:r w:rsidRPr="00FE433F">
        <w:rPr>
          <w:rFonts w:hint="cs"/>
          <w:i/>
          <w:sz w:val="23"/>
          <w:szCs w:val="23"/>
          <w:rtl/>
        </w:rPr>
        <w:t>در سال</w:t>
      </w:r>
      <w:r w:rsidRPr="00FE433F">
        <w:rPr>
          <w:i/>
          <w:sz w:val="23"/>
          <w:szCs w:val="23"/>
          <w:rtl/>
        </w:rPr>
        <w:softHyphen/>
      </w:r>
      <w:r w:rsidRPr="00FE433F">
        <w:rPr>
          <w:rFonts w:hint="cs"/>
          <w:i/>
          <w:sz w:val="23"/>
          <w:szCs w:val="23"/>
          <w:rtl/>
        </w:rPr>
        <w:t>های اخیر پول پلاستیکی، پول الکترونیکی یا کارت</w:t>
      </w:r>
      <w:r w:rsidRPr="00FE433F">
        <w:rPr>
          <w:i/>
          <w:sz w:val="23"/>
          <w:szCs w:val="23"/>
          <w:rtl/>
        </w:rPr>
        <w:softHyphen/>
      </w:r>
      <w:r w:rsidRPr="00FE433F">
        <w:rPr>
          <w:rFonts w:hint="cs"/>
          <w:i/>
          <w:sz w:val="23"/>
          <w:szCs w:val="23"/>
          <w:rtl/>
        </w:rPr>
        <w:t>های بدهی و اعتباری نیز بوجود آمده است. در این روزها فقط بخش کوچکی از مخارج ممکن است با پول و به صورت نقدی صورت گیرد و بخش عمده</w:t>
      </w:r>
      <w:r w:rsidRPr="00FE433F">
        <w:rPr>
          <w:i/>
          <w:sz w:val="23"/>
          <w:szCs w:val="23"/>
          <w:rtl/>
        </w:rPr>
        <w:softHyphen/>
      </w:r>
      <w:r w:rsidRPr="00FE433F">
        <w:rPr>
          <w:rFonts w:hint="cs"/>
          <w:i/>
          <w:sz w:val="23"/>
          <w:szCs w:val="23"/>
          <w:rtl/>
        </w:rPr>
        <w:t>ای از مخارج بوسیله</w:t>
      </w:r>
      <w:r w:rsidRPr="00FE433F">
        <w:rPr>
          <w:i/>
          <w:sz w:val="23"/>
          <w:szCs w:val="23"/>
          <w:rtl/>
        </w:rPr>
        <w:softHyphen/>
      </w:r>
      <w:r w:rsidRPr="00FE433F">
        <w:rPr>
          <w:rFonts w:hint="cs"/>
          <w:i/>
          <w:sz w:val="23"/>
          <w:szCs w:val="23"/>
          <w:rtl/>
        </w:rPr>
        <w:t>ی کارت</w:t>
      </w:r>
      <w:r w:rsidRPr="00FE433F">
        <w:rPr>
          <w:i/>
          <w:sz w:val="23"/>
          <w:szCs w:val="23"/>
          <w:rtl/>
        </w:rPr>
        <w:softHyphen/>
      </w:r>
      <w:r w:rsidRPr="00FE433F">
        <w:rPr>
          <w:rFonts w:hint="cs"/>
          <w:i/>
          <w:sz w:val="23"/>
          <w:szCs w:val="23"/>
          <w:rtl/>
        </w:rPr>
        <w:t>های بدهی و اعتباری انجام می</w:t>
      </w:r>
      <w:r w:rsidRPr="00FE433F">
        <w:rPr>
          <w:i/>
          <w:sz w:val="23"/>
          <w:szCs w:val="23"/>
          <w:rtl/>
        </w:rPr>
        <w:softHyphen/>
      </w:r>
      <w:r w:rsidRPr="00FE433F">
        <w:rPr>
          <w:rFonts w:hint="cs"/>
          <w:i/>
          <w:sz w:val="23"/>
          <w:szCs w:val="23"/>
          <w:rtl/>
        </w:rPr>
        <w:t>شود. کارت بدهی این امکان را فراهم می</w:t>
      </w:r>
      <w:r w:rsidRPr="00FE433F">
        <w:rPr>
          <w:i/>
          <w:sz w:val="23"/>
          <w:szCs w:val="23"/>
          <w:rtl/>
        </w:rPr>
        <w:softHyphen/>
      </w:r>
      <w:r w:rsidRPr="00FE433F">
        <w:rPr>
          <w:rFonts w:hint="cs"/>
          <w:i/>
          <w:sz w:val="23"/>
          <w:szCs w:val="23"/>
          <w:rtl/>
        </w:rPr>
        <w:t>سازد تا با هر خرید، حساب بانکی فرد مذکور بواسطه</w:t>
      </w:r>
      <w:r w:rsidRPr="00FE433F">
        <w:rPr>
          <w:i/>
          <w:sz w:val="23"/>
          <w:szCs w:val="23"/>
          <w:rtl/>
        </w:rPr>
        <w:softHyphen/>
      </w:r>
      <w:r w:rsidRPr="00FE433F">
        <w:rPr>
          <w:rFonts w:hint="cs"/>
          <w:i/>
          <w:sz w:val="23"/>
          <w:szCs w:val="23"/>
          <w:rtl/>
        </w:rPr>
        <w:t>ی ارتباطات الکترونیکی فوراً بدهکار شود. کارت اعتباری، پرداخت مخارج را برای دوره</w:t>
      </w:r>
      <w:r w:rsidRPr="00FE433F">
        <w:rPr>
          <w:i/>
          <w:sz w:val="23"/>
          <w:szCs w:val="23"/>
          <w:rtl/>
        </w:rPr>
        <w:softHyphen/>
      </w:r>
      <w:r w:rsidRPr="00FE433F">
        <w:rPr>
          <w:rFonts w:hint="cs"/>
          <w:i/>
          <w:sz w:val="23"/>
          <w:szCs w:val="23"/>
          <w:rtl/>
        </w:rPr>
        <w:t>ی مشخص و ثابتی مثلاً یک ماهه، و یا مدت زمانی که به اختیار خریدار انتخاب می</w:t>
      </w:r>
      <w:r w:rsidRPr="00FE433F">
        <w:rPr>
          <w:i/>
          <w:sz w:val="23"/>
          <w:szCs w:val="23"/>
          <w:rtl/>
        </w:rPr>
        <w:softHyphen/>
      </w:r>
      <w:r w:rsidRPr="00FE433F">
        <w:rPr>
          <w:rFonts w:hint="cs"/>
          <w:i/>
          <w:sz w:val="23"/>
          <w:szCs w:val="23"/>
          <w:rtl/>
        </w:rPr>
        <w:t>شود، به تاخیر می</w:t>
      </w:r>
      <w:r w:rsidRPr="00FE433F">
        <w:rPr>
          <w:i/>
          <w:sz w:val="23"/>
          <w:szCs w:val="23"/>
          <w:rtl/>
        </w:rPr>
        <w:softHyphen/>
      </w:r>
      <w:r w:rsidRPr="00FE433F">
        <w:rPr>
          <w:rFonts w:hint="cs"/>
          <w:i/>
          <w:sz w:val="23"/>
          <w:szCs w:val="23"/>
          <w:rtl/>
        </w:rPr>
        <w:t>اندازد. با توجه به پرداخت بهره</w:t>
      </w:r>
      <w:r w:rsidRPr="00FE433F">
        <w:rPr>
          <w:i/>
          <w:sz w:val="23"/>
          <w:szCs w:val="23"/>
          <w:rtl/>
        </w:rPr>
        <w:softHyphen/>
      </w:r>
      <w:r w:rsidRPr="00FE433F">
        <w:rPr>
          <w:rFonts w:hint="cs"/>
          <w:i/>
          <w:sz w:val="23"/>
          <w:szCs w:val="23"/>
          <w:rtl/>
        </w:rPr>
        <w:t xml:space="preserve"> به کلیه</w:t>
      </w:r>
      <w:r w:rsidRPr="00FE433F">
        <w:rPr>
          <w:i/>
          <w:sz w:val="23"/>
          <w:szCs w:val="23"/>
          <w:rtl/>
        </w:rPr>
        <w:softHyphen/>
      </w:r>
      <w:r w:rsidRPr="00FE433F">
        <w:rPr>
          <w:rFonts w:hint="cs"/>
          <w:i/>
          <w:sz w:val="23"/>
          <w:szCs w:val="23"/>
          <w:rtl/>
        </w:rPr>
        <w:t>ی حساب</w:t>
      </w:r>
      <w:r w:rsidRPr="00FE433F">
        <w:rPr>
          <w:i/>
          <w:sz w:val="23"/>
          <w:szCs w:val="23"/>
          <w:rtl/>
        </w:rPr>
        <w:softHyphen/>
      </w:r>
      <w:r w:rsidRPr="00FE433F">
        <w:rPr>
          <w:rFonts w:hint="cs"/>
          <w:i/>
          <w:sz w:val="23"/>
          <w:szCs w:val="23"/>
          <w:rtl/>
        </w:rPr>
        <w:t>های سپرده، امروزه سیستم بانکی به سمت اقتصاد غیرپولی و غیرنقدیِ مبتنی بر اعتبار حرکت می</w:t>
      </w:r>
      <w:r w:rsidRPr="00FE433F">
        <w:rPr>
          <w:i/>
          <w:sz w:val="23"/>
          <w:szCs w:val="23"/>
          <w:rtl/>
        </w:rPr>
        <w:softHyphen/>
      </w:r>
      <w:r w:rsidRPr="00FE433F">
        <w:rPr>
          <w:rFonts w:hint="cs"/>
          <w:i/>
          <w:sz w:val="23"/>
          <w:szCs w:val="23"/>
          <w:rtl/>
        </w:rPr>
        <w:t>کند. کارت</w:t>
      </w:r>
      <w:r w:rsidRPr="00FE433F">
        <w:rPr>
          <w:i/>
          <w:sz w:val="23"/>
          <w:szCs w:val="23"/>
          <w:rtl/>
        </w:rPr>
        <w:softHyphen/>
      </w:r>
      <w:r w:rsidRPr="00FE433F">
        <w:rPr>
          <w:rFonts w:hint="cs"/>
          <w:i/>
          <w:sz w:val="23"/>
          <w:szCs w:val="23"/>
          <w:rtl/>
        </w:rPr>
        <w:t>های اعتباری ابتدا توسط بانک</w:t>
      </w:r>
      <w:r w:rsidRPr="00FE433F">
        <w:rPr>
          <w:i/>
          <w:sz w:val="23"/>
          <w:szCs w:val="23"/>
          <w:rtl/>
        </w:rPr>
        <w:softHyphen/>
      </w:r>
      <w:r w:rsidRPr="00FE433F">
        <w:rPr>
          <w:rFonts w:hint="cs"/>
          <w:i/>
          <w:sz w:val="23"/>
          <w:szCs w:val="23"/>
          <w:rtl/>
        </w:rPr>
        <w:t>ها منتشر می</w:t>
      </w:r>
      <w:r w:rsidRPr="00FE433F">
        <w:rPr>
          <w:i/>
          <w:sz w:val="23"/>
          <w:szCs w:val="23"/>
          <w:rtl/>
        </w:rPr>
        <w:softHyphen/>
      </w:r>
      <w:r w:rsidRPr="00FE433F">
        <w:rPr>
          <w:rFonts w:hint="cs"/>
          <w:i/>
          <w:sz w:val="23"/>
          <w:szCs w:val="23"/>
          <w:rtl/>
        </w:rPr>
        <w:t>شد، ولی امروزه بسیاری از شرکت</w:t>
      </w:r>
      <w:r w:rsidRPr="00FE433F">
        <w:rPr>
          <w:i/>
          <w:sz w:val="23"/>
          <w:szCs w:val="23"/>
          <w:rtl/>
        </w:rPr>
        <w:softHyphen/>
      </w:r>
      <w:r w:rsidRPr="00FE433F">
        <w:rPr>
          <w:rFonts w:hint="cs"/>
          <w:i/>
          <w:sz w:val="23"/>
          <w:szCs w:val="23"/>
          <w:rtl/>
        </w:rPr>
        <w:t>های خرده فروشی و حتی مؤسسات خیریه نیز کارت</w:t>
      </w:r>
      <w:r w:rsidRPr="00FE433F">
        <w:rPr>
          <w:i/>
          <w:sz w:val="23"/>
          <w:szCs w:val="23"/>
          <w:rtl/>
        </w:rPr>
        <w:softHyphen/>
      </w:r>
      <w:r w:rsidRPr="00FE433F">
        <w:rPr>
          <w:rFonts w:hint="cs"/>
          <w:i/>
          <w:sz w:val="23"/>
          <w:szCs w:val="23"/>
          <w:rtl/>
        </w:rPr>
        <w:t>های اعتباری را منتشر می</w:t>
      </w:r>
      <w:r w:rsidRPr="00FE433F">
        <w:rPr>
          <w:i/>
          <w:sz w:val="23"/>
          <w:szCs w:val="23"/>
          <w:rtl/>
        </w:rPr>
        <w:softHyphen/>
      </w:r>
      <w:r w:rsidRPr="00FE433F">
        <w:rPr>
          <w:rFonts w:hint="cs"/>
          <w:i/>
          <w:sz w:val="23"/>
          <w:szCs w:val="23"/>
          <w:rtl/>
        </w:rPr>
        <w:t xml:space="preserve">کنند. </w:t>
      </w:r>
    </w:p>
    <w:p w14:paraId="1AA96923" w14:textId="77777777" w:rsidR="00411620" w:rsidRPr="00FE433F" w:rsidRDefault="00411620" w:rsidP="00411620">
      <w:pPr>
        <w:spacing w:line="216" w:lineRule="auto"/>
        <w:rPr>
          <w:i/>
          <w:sz w:val="23"/>
          <w:szCs w:val="23"/>
          <w:rtl/>
        </w:rPr>
      </w:pPr>
      <w:r w:rsidRPr="00FE433F">
        <w:rPr>
          <w:rFonts w:hint="cs"/>
          <w:i/>
          <w:sz w:val="23"/>
          <w:szCs w:val="23"/>
          <w:rtl/>
        </w:rPr>
        <w:t>گام بعدی در خصوص فعالیت</w:t>
      </w:r>
      <w:r w:rsidRPr="00FE433F">
        <w:rPr>
          <w:i/>
          <w:sz w:val="23"/>
          <w:szCs w:val="23"/>
          <w:rtl/>
        </w:rPr>
        <w:softHyphen/>
      </w:r>
      <w:r w:rsidRPr="00FE433F">
        <w:rPr>
          <w:rFonts w:hint="cs"/>
          <w:i/>
          <w:sz w:val="23"/>
          <w:szCs w:val="23"/>
          <w:rtl/>
        </w:rPr>
        <w:t>های بانکی ظهور شرکت</w:t>
      </w:r>
      <w:r w:rsidRPr="00FE433F">
        <w:rPr>
          <w:i/>
          <w:sz w:val="23"/>
          <w:szCs w:val="23"/>
          <w:rtl/>
        </w:rPr>
        <w:softHyphen/>
      </w:r>
      <w:r w:rsidRPr="00FE433F">
        <w:rPr>
          <w:rFonts w:hint="cs"/>
          <w:i/>
          <w:sz w:val="23"/>
          <w:szCs w:val="23"/>
          <w:rtl/>
        </w:rPr>
        <w:t>های مالی غیربانکی است. این روزها موسسات ساختمانی و شرکت</w:t>
      </w:r>
      <w:r w:rsidRPr="00FE433F">
        <w:rPr>
          <w:i/>
          <w:sz w:val="23"/>
          <w:szCs w:val="23"/>
          <w:rtl/>
        </w:rPr>
        <w:softHyphen/>
      </w:r>
      <w:r w:rsidRPr="00FE433F">
        <w:rPr>
          <w:rFonts w:hint="cs"/>
          <w:i/>
          <w:sz w:val="23"/>
          <w:szCs w:val="23"/>
          <w:rtl/>
        </w:rPr>
        <w:t>های رهنی تسهیلات بانکی را فراهم کرده و در نتیجه، مالکان منازل مسکونی قادرند با رهن منزل خود از این موسسات قرض کنند و به تبع آن یکی از مهمترین دارایی</w:t>
      </w:r>
      <w:r w:rsidRPr="00FE433F">
        <w:rPr>
          <w:i/>
          <w:sz w:val="23"/>
          <w:szCs w:val="23"/>
          <w:rtl/>
        </w:rPr>
        <w:softHyphen/>
      </w:r>
      <w:r w:rsidRPr="00FE433F">
        <w:rPr>
          <w:rFonts w:hint="cs"/>
          <w:i/>
          <w:sz w:val="23"/>
          <w:szCs w:val="23"/>
          <w:rtl/>
        </w:rPr>
        <w:t>های با درجه</w:t>
      </w:r>
      <w:r w:rsidRPr="00FE433F">
        <w:rPr>
          <w:i/>
          <w:sz w:val="23"/>
          <w:szCs w:val="23"/>
          <w:rtl/>
        </w:rPr>
        <w:softHyphen/>
      </w:r>
      <w:r w:rsidRPr="00FE433F">
        <w:rPr>
          <w:rFonts w:hint="cs"/>
          <w:i/>
          <w:sz w:val="23"/>
          <w:szCs w:val="23"/>
          <w:rtl/>
        </w:rPr>
        <w:t>ی نقدینگی پایین را به دارایی با نقدینگی بالا تبدیل کنند. این توسعه</w:t>
      </w:r>
      <w:r w:rsidRPr="00FE433F">
        <w:rPr>
          <w:i/>
          <w:sz w:val="23"/>
          <w:szCs w:val="23"/>
          <w:rtl/>
        </w:rPr>
        <w:softHyphen/>
      </w:r>
      <w:r w:rsidRPr="00FE433F">
        <w:rPr>
          <w:rFonts w:hint="cs"/>
          <w:i/>
          <w:sz w:val="23"/>
          <w:szCs w:val="23"/>
          <w:rtl/>
        </w:rPr>
        <w:t>ی بازارهای پولی اثرات بسیار ژرف و عمیقی بر سیاست پولی گذاشته است. پول و اعتبار را دیگر نمی</w:t>
      </w:r>
      <w:r w:rsidRPr="00FE433F">
        <w:rPr>
          <w:i/>
          <w:sz w:val="23"/>
          <w:szCs w:val="23"/>
          <w:rtl/>
        </w:rPr>
        <w:softHyphen/>
      </w:r>
      <w:r w:rsidRPr="00FE433F">
        <w:rPr>
          <w:rFonts w:hint="cs"/>
          <w:i/>
          <w:sz w:val="23"/>
          <w:szCs w:val="23"/>
          <w:rtl/>
        </w:rPr>
        <w:t>توان بوسیله</w:t>
      </w:r>
      <w:r w:rsidRPr="00FE433F">
        <w:rPr>
          <w:i/>
          <w:sz w:val="23"/>
          <w:szCs w:val="23"/>
          <w:rtl/>
        </w:rPr>
        <w:softHyphen/>
      </w:r>
      <w:r w:rsidRPr="00FE433F">
        <w:rPr>
          <w:rFonts w:hint="cs"/>
          <w:i/>
          <w:sz w:val="23"/>
          <w:szCs w:val="23"/>
          <w:rtl/>
        </w:rPr>
        <w:t>ی مقدار پول یا اهداف مبتنی بر عرضه</w:t>
      </w:r>
      <w:r w:rsidRPr="00FE433F">
        <w:rPr>
          <w:i/>
          <w:sz w:val="23"/>
          <w:szCs w:val="23"/>
          <w:rtl/>
        </w:rPr>
        <w:softHyphen/>
      </w:r>
      <w:r w:rsidRPr="00FE433F">
        <w:rPr>
          <w:rFonts w:hint="cs"/>
          <w:i/>
          <w:sz w:val="23"/>
          <w:szCs w:val="23"/>
          <w:rtl/>
        </w:rPr>
        <w:t>ی پول و بطور مؤثر کنترل نمود. سیاست پولی می</w:t>
      </w:r>
      <w:r w:rsidRPr="00FE433F">
        <w:rPr>
          <w:i/>
          <w:sz w:val="23"/>
          <w:szCs w:val="23"/>
          <w:rtl/>
        </w:rPr>
        <w:softHyphen/>
      </w:r>
      <w:r w:rsidRPr="00FE433F">
        <w:rPr>
          <w:rFonts w:hint="cs"/>
          <w:i/>
          <w:sz w:val="23"/>
          <w:szCs w:val="23"/>
          <w:rtl/>
        </w:rPr>
        <w:t>بایست بر کارکردهای نرخ</w:t>
      </w:r>
      <w:r w:rsidRPr="00FE433F">
        <w:rPr>
          <w:i/>
          <w:sz w:val="23"/>
          <w:szCs w:val="23"/>
          <w:rtl/>
        </w:rPr>
        <w:softHyphen/>
      </w:r>
      <w:r w:rsidRPr="00FE433F">
        <w:rPr>
          <w:rFonts w:hint="cs"/>
          <w:i/>
          <w:sz w:val="23"/>
          <w:szCs w:val="23"/>
          <w:rtl/>
        </w:rPr>
        <w:t>های بهره و تغییر هزینه</w:t>
      </w:r>
      <w:r w:rsidRPr="00FE433F">
        <w:rPr>
          <w:i/>
          <w:sz w:val="23"/>
          <w:szCs w:val="23"/>
          <w:rtl/>
        </w:rPr>
        <w:softHyphen/>
      </w:r>
      <w:r w:rsidRPr="00FE433F">
        <w:rPr>
          <w:rFonts w:hint="cs"/>
          <w:i/>
          <w:sz w:val="23"/>
          <w:szCs w:val="23"/>
          <w:rtl/>
        </w:rPr>
        <w:t>ی استقراض و به تبع آن تأثیر بر انواع اعتبار متکی باشد. بسیاری از خانوارها در پرتفولیوی خود، انواع دارایی</w:t>
      </w:r>
      <w:r w:rsidRPr="00FE433F">
        <w:rPr>
          <w:i/>
          <w:sz w:val="23"/>
          <w:szCs w:val="23"/>
          <w:rtl/>
        </w:rPr>
        <w:softHyphen/>
      </w:r>
      <w:r w:rsidRPr="00FE433F">
        <w:rPr>
          <w:rFonts w:hint="cs"/>
          <w:i/>
          <w:sz w:val="23"/>
          <w:szCs w:val="23"/>
          <w:rtl/>
        </w:rPr>
        <w:t>ها همانند سپرده</w:t>
      </w:r>
      <w:r w:rsidRPr="00FE433F">
        <w:rPr>
          <w:i/>
          <w:sz w:val="23"/>
          <w:szCs w:val="23"/>
          <w:rtl/>
        </w:rPr>
        <w:softHyphen/>
      </w:r>
      <w:r w:rsidRPr="00FE433F">
        <w:rPr>
          <w:rFonts w:hint="cs"/>
          <w:i/>
          <w:sz w:val="23"/>
          <w:szCs w:val="23"/>
          <w:rtl/>
        </w:rPr>
        <w:t>های بانکی، سهام بازارسرمایه و زمین و ساختمان را نگه</w:t>
      </w:r>
      <w:r w:rsidRPr="00FE433F">
        <w:rPr>
          <w:i/>
          <w:sz w:val="23"/>
          <w:szCs w:val="23"/>
          <w:rtl/>
        </w:rPr>
        <w:softHyphen/>
      </w:r>
      <w:r w:rsidRPr="00FE433F">
        <w:rPr>
          <w:rFonts w:hint="cs"/>
          <w:i/>
          <w:sz w:val="23"/>
          <w:szCs w:val="23"/>
          <w:rtl/>
        </w:rPr>
        <w:t>داری می</w:t>
      </w:r>
      <w:r w:rsidRPr="00FE433F">
        <w:rPr>
          <w:i/>
          <w:sz w:val="23"/>
          <w:szCs w:val="23"/>
          <w:rtl/>
        </w:rPr>
        <w:softHyphen/>
      </w:r>
      <w:r w:rsidRPr="00FE433F">
        <w:rPr>
          <w:rFonts w:hint="cs"/>
          <w:i/>
          <w:sz w:val="23"/>
          <w:szCs w:val="23"/>
          <w:rtl/>
        </w:rPr>
        <w:t>کنند. ترکیب این دارایی</w:t>
      </w:r>
      <w:r w:rsidRPr="00FE433F">
        <w:rPr>
          <w:i/>
          <w:sz w:val="23"/>
          <w:szCs w:val="23"/>
          <w:rtl/>
        </w:rPr>
        <w:softHyphen/>
      </w:r>
      <w:r w:rsidRPr="00FE433F">
        <w:rPr>
          <w:rFonts w:hint="cs"/>
          <w:i/>
          <w:sz w:val="23"/>
          <w:szCs w:val="23"/>
          <w:rtl/>
        </w:rPr>
        <w:t>ها به نرخ بازگشت آن‌ها و همچنین ارزش سهولت استفاده از آن‌ها وابسته است. ممکن است بدهی، نوعی دارایی با بازدهی منفی باشد. با تراز مجدد پرتفو و افزودن بدهی بیشتر، خانوارها می</w:t>
      </w:r>
      <w:r w:rsidRPr="00FE433F">
        <w:rPr>
          <w:i/>
          <w:sz w:val="23"/>
          <w:szCs w:val="23"/>
          <w:rtl/>
        </w:rPr>
        <w:softHyphen/>
      </w:r>
      <w:r w:rsidRPr="00FE433F">
        <w:rPr>
          <w:rFonts w:hint="cs"/>
          <w:i/>
          <w:sz w:val="23"/>
          <w:szCs w:val="23"/>
          <w:rtl/>
        </w:rPr>
        <w:t>توانند سریعاً نقدینگی ایجاد کنند. چالش جدید سیاست پولی ایجاد ارتباط قابل اعتبار و اتکا بین نرخ</w:t>
      </w:r>
      <w:r w:rsidRPr="00FE433F">
        <w:rPr>
          <w:i/>
          <w:sz w:val="23"/>
          <w:szCs w:val="23"/>
          <w:rtl/>
        </w:rPr>
        <w:softHyphen/>
      </w:r>
      <w:r w:rsidRPr="00FE433F">
        <w:rPr>
          <w:rFonts w:hint="cs"/>
          <w:i/>
          <w:sz w:val="23"/>
          <w:szCs w:val="23"/>
          <w:rtl/>
        </w:rPr>
        <w:t>های بهره و مخارج مالی کالاها و خدمات بگونه</w:t>
      </w:r>
      <w:r w:rsidRPr="00FE433F">
        <w:rPr>
          <w:i/>
          <w:sz w:val="23"/>
          <w:szCs w:val="23"/>
          <w:rtl/>
        </w:rPr>
        <w:softHyphen/>
      </w:r>
      <w:r w:rsidRPr="00FE433F">
        <w:rPr>
          <w:rFonts w:hint="cs"/>
          <w:i/>
          <w:sz w:val="23"/>
          <w:szCs w:val="23"/>
          <w:rtl/>
        </w:rPr>
        <w:t>ای است که ترکیب پرتفو و تراز مجدد در نتیجه</w:t>
      </w:r>
      <w:r w:rsidRPr="00FE433F">
        <w:rPr>
          <w:i/>
          <w:sz w:val="23"/>
          <w:szCs w:val="23"/>
          <w:rtl/>
        </w:rPr>
        <w:softHyphen/>
      </w:r>
      <w:r w:rsidRPr="00FE433F">
        <w:rPr>
          <w:rFonts w:hint="cs"/>
          <w:i/>
          <w:sz w:val="23"/>
          <w:szCs w:val="23"/>
          <w:rtl/>
        </w:rPr>
        <w:t>ی تغییر نرخ بهره را درنظر بگیرد. دراین صورت بدلیل آنکه پول تنها یکی از دارایی</w:t>
      </w:r>
      <w:r w:rsidRPr="00FE433F">
        <w:rPr>
          <w:i/>
          <w:sz w:val="23"/>
          <w:szCs w:val="23"/>
          <w:rtl/>
        </w:rPr>
        <w:softHyphen/>
      </w:r>
      <w:r w:rsidRPr="00FE433F">
        <w:rPr>
          <w:rFonts w:hint="cs"/>
          <w:i/>
          <w:sz w:val="23"/>
          <w:szCs w:val="23"/>
          <w:rtl/>
        </w:rPr>
        <w:t>ها است، نقش پول بشدت مبهم خواهد شد و لذا سیاست پولی می</w:t>
      </w:r>
      <w:r w:rsidRPr="00FE433F">
        <w:rPr>
          <w:i/>
          <w:sz w:val="23"/>
          <w:szCs w:val="23"/>
          <w:rtl/>
        </w:rPr>
        <w:softHyphen/>
      </w:r>
      <w:r w:rsidRPr="00FE433F">
        <w:rPr>
          <w:rFonts w:hint="cs"/>
          <w:i/>
          <w:sz w:val="23"/>
          <w:szCs w:val="23"/>
          <w:rtl/>
        </w:rPr>
        <w:t>بایست بر تمامی پرتفوی دارایی</w:t>
      </w:r>
      <w:r w:rsidRPr="00FE433F">
        <w:rPr>
          <w:i/>
          <w:sz w:val="23"/>
          <w:szCs w:val="23"/>
          <w:rtl/>
        </w:rPr>
        <w:softHyphen/>
      </w:r>
      <w:r w:rsidRPr="00FE433F">
        <w:rPr>
          <w:rFonts w:hint="cs"/>
          <w:i/>
          <w:sz w:val="23"/>
          <w:szCs w:val="23"/>
          <w:rtl/>
        </w:rPr>
        <w:t xml:space="preserve">ها متمرکز شود. </w:t>
      </w:r>
    </w:p>
    <w:p w14:paraId="703314DD" w14:textId="77777777" w:rsidR="00411620" w:rsidRPr="00FE433F" w:rsidRDefault="00411620" w:rsidP="00411620">
      <w:pPr>
        <w:spacing w:line="216" w:lineRule="auto"/>
        <w:rPr>
          <w:i/>
          <w:sz w:val="23"/>
          <w:szCs w:val="23"/>
          <w:rtl/>
        </w:rPr>
      </w:pPr>
      <w:r w:rsidRPr="00FE433F">
        <w:rPr>
          <w:rFonts w:hint="cs"/>
          <w:i/>
          <w:sz w:val="23"/>
          <w:szCs w:val="23"/>
          <w:rtl/>
        </w:rPr>
        <w:t xml:space="preserve"> </w:t>
      </w:r>
    </w:p>
    <w:p w14:paraId="72B4687B" w14:textId="77777777" w:rsidR="00411620" w:rsidRPr="00FE433F" w:rsidRDefault="00411620" w:rsidP="00411620">
      <w:pPr>
        <w:pStyle w:val="Heading1"/>
        <w:spacing w:before="0" w:after="0" w:line="216" w:lineRule="auto"/>
        <w:rPr>
          <w:rFonts w:ascii="Times New Roman" w:hAnsi="Times New Roman" w:cs="B Nazanin"/>
          <w:b w:val="0"/>
          <w:i/>
          <w:sz w:val="23"/>
          <w:szCs w:val="23"/>
          <w:rtl/>
        </w:rPr>
      </w:pPr>
      <w:r w:rsidRPr="00FE433F">
        <w:rPr>
          <w:rFonts w:ascii="Times New Roman" w:hAnsi="Times New Roman" w:cs="B Nazanin" w:hint="cs"/>
          <w:b w:val="0"/>
          <w:i/>
          <w:sz w:val="23"/>
          <w:szCs w:val="23"/>
          <w:rtl/>
        </w:rPr>
        <w:lastRenderedPageBreak/>
        <w:t xml:space="preserve">۸. ۳ </w:t>
      </w:r>
      <w:r w:rsidRPr="00FE433F">
        <w:rPr>
          <w:rFonts w:ascii="Times New Roman" w:hAnsi="Times New Roman" w:cs="B Nazanin" w:hint="eastAsia"/>
          <w:b w:val="0"/>
          <w:i/>
          <w:sz w:val="23"/>
          <w:szCs w:val="23"/>
          <w:rtl/>
        </w:rPr>
        <w:t>ق</w:t>
      </w:r>
      <w:r w:rsidRPr="00FE433F">
        <w:rPr>
          <w:rFonts w:ascii="Times New Roman" w:hAnsi="Times New Roman" w:cs="B Nazanin" w:hint="cs"/>
          <w:b w:val="0"/>
          <w:i/>
          <w:sz w:val="23"/>
          <w:szCs w:val="23"/>
          <w:rtl/>
        </w:rPr>
        <w:t>ی</w:t>
      </w:r>
      <w:r w:rsidRPr="00FE433F">
        <w:rPr>
          <w:rFonts w:ascii="Times New Roman" w:hAnsi="Times New Roman" w:cs="B Nazanin" w:hint="eastAsia"/>
          <w:b w:val="0"/>
          <w:i/>
          <w:sz w:val="23"/>
          <w:szCs w:val="23"/>
          <w:rtl/>
        </w:rPr>
        <w:t>د</w:t>
      </w:r>
      <w:r w:rsidRPr="00FE433F">
        <w:rPr>
          <w:rFonts w:ascii="Times New Roman" w:hAnsi="Times New Roman" w:cs="B Nazanin"/>
          <w:b w:val="0"/>
          <w:i/>
          <w:sz w:val="23"/>
          <w:szCs w:val="23"/>
          <w:rtl/>
        </w:rPr>
        <w:t xml:space="preserve"> </w:t>
      </w:r>
      <w:r w:rsidRPr="00FE433F">
        <w:rPr>
          <w:rFonts w:ascii="Times New Roman" w:hAnsi="Times New Roman" w:cs="B Nazanin" w:hint="eastAsia"/>
          <w:b w:val="0"/>
          <w:i/>
          <w:sz w:val="23"/>
          <w:szCs w:val="23"/>
          <w:rtl/>
        </w:rPr>
        <w:t>بودجه</w:t>
      </w:r>
      <w:r w:rsidRPr="00FE433F">
        <w:rPr>
          <w:rFonts w:ascii="Times New Roman" w:hAnsi="Times New Roman" w:cs="B Nazanin"/>
          <w:b w:val="0"/>
          <w:i/>
          <w:sz w:val="23"/>
          <w:szCs w:val="23"/>
        </w:rPr>
        <w:t>‌</w:t>
      </w:r>
      <w:r w:rsidRPr="00FE433F">
        <w:rPr>
          <w:rFonts w:ascii="Times New Roman" w:hAnsi="Times New Roman" w:cs="B Nazanin" w:hint="cs"/>
          <w:b w:val="0"/>
          <w:i/>
          <w:sz w:val="23"/>
          <w:szCs w:val="23"/>
          <w:rtl/>
        </w:rPr>
        <w:t>ی</w:t>
      </w:r>
      <w:r w:rsidRPr="00FE433F">
        <w:rPr>
          <w:rFonts w:ascii="Times New Roman" w:hAnsi="Times New Roman" w:cs="B Nazanin"/>
          <w:b w:val="0"/>
          <w:i/>
          <w:sz w:val="23"/>
          <w:szCs w:val="23"/>
          <w:rtl/>
        </w:rPr>
        <w:t xml:space="preserve"> </w:t>
      </w:r>
      <w:r w:rsidRPr="00FE433F">
        <w:rPr>
          <w:rFonts w:ascii="Times New Roman" w:hAnsi="Times New Roman" w:cs="B Nazanin" w:hint="eastAsia"/>
          <w:b w:val="0"/>
          <w:i/>
          <w:sz w:val="23"/>
          <w:szCs w:val="23"/>
          <w:rtl/>
        </w:rPr>
        <w:t>اسم</w:t>
      </w:r>
      <w:r w:rsidRPr="00FE433F">
        <w:rPr>
          <w:rFonts w:ascii="Times New Roman" w:hAnsi="Times New Roman" w:cs="B Nazanin" w:hint="cs"/>
          <w:b w:val="0"/>
          <w:i/>
          <w:sz w:val="23"/>
          <w:szCs w:val="23"/>
          <w:rtl/>
        </w:rPr>
        <w:t>ی</w:t>
      </w:r>
      <w:r w:rsidRPr="00FE433F">
        <w:rPr>
          <w:rFonts w:ascii="Times New Roman" w:hAnsi="Times New Roman" w:cs="B Nazanin"/>
          <w:b w:val="0"/>
          <w:i/>
          <w:sz w:val="23"/>
          <w:szCs w:val="23"/>
          <w:rtl/>
        </w:rPr>
        <w:t xml:space="preserve"> </w:t>
      </w:r>
      <w:r w:rsidRPr="00FE433F">
        <w:rPr>
          <w:rFonts w:ascii="Times New Roman" w:hAnsi="Times New Roman" w:cs="B Nazanin" w:hint="eastAsia"/>
          <w:b w:val="0"/>
          <w:i/>
          <w:sz w:val="23"/>
          <w:szCs w:val="23"/>
          <w:rtl/>
        </w:rPr>
        <w:t>خانوار</w:t>
      </w:r>
    </w:p>
    <w:p w14:paraId="0E191CD0" w14:textId="77777777" w:rsidR="00411620" w:rsidRPr="00FE433F" w:rsidRDefault="00411620" w:rsidP="00411620">
      <w:pPr>
        <w:spacing w:line="216" w:lineRule="auto"/>
        <w:rPr>
          <w:i/>
          <w:sz w:val="23"/>
          <w:szCs w:val="23"/>
          <w:rtl/>
        </w:rPr>
      </w:pPr>
      <w:r w:rsidRPr="00FE433F">
        <w:rPr>
          <w:i/>
          <w:sz w:val="23"/>
          <w:szCs w:val="23"/>
          <w:rtl/>
        </w:rPr>
        <w:t>در فصل چهارم که تصم</w:t>
      </w:r>
      <w:r w:rsidRPr="00FE433F">
        <w:rPr>
          <w:rFonts w:hint="cs"/>
          <w:i/>
          <w:sz w:val="23"/>
          <w:szCs w:val="23"/>
          <w:rtl/>
        </w:rPr>
        <w:t>ی</w:t>
      </w:r>
      <w:r w:rsidRPr="00FE433F">
        <w:rPr>
          <w:rFonts w:hint="eastAsia"/>
          <w:i/>
          <w:sz w:val="23"/>
          <w:szCs w:val="23"/>
          <w:rtl/>
        </w:rPr>
        <w:t>مات</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در</w:t>
      </w:r>
      <w:r w:rsidRPr="00FE433F">
        <w:rPr>
          <w:rFonts w:hint="cs"/>
          <w:i/>
          <w:sz w:val="23"/>
          <w:szCs w:val="23"/>
          <w:rtl/>
        </w:rPr>
        <w:t xml:space="preserve"> </w:t>
      </w:r>
      <w:r w:rsidRPr="00FE433F">
        <w:rPr>
          <w:rFonts w:hint="eastAsia"/>
          <w:i/>
          <w:sz w:val="23"/>
          <w:szCs w:val="23"/>
        </w:rPr>
        <w:t>‌</w:t>
      </w:r>
      <w:r w:rsidRPr="00FE433F">
        <w:rPr>
          <w:rFonts w:hint="cs"/>
          <w:i/>
          <w:sz w:val="23"/>
          <w:szCs w:val="23"/>
          <w:rtl/>
        </w:rPr>
        <w:t>ی</w:t>
      </w:r>
      <w:r w:rsidRPr="00FE433F">
        <w:rPr>
          <w:i/>
          <w:sz w:val="23"/>
          <w:szCs w:val="23"/>
          <w:rtl/>
        </w:rPr>
        <w:t>ک مدل غ</w:t>
      </w:r>
      <w:r w:rsidRPr="00FE433F">
        <w:rPr>
          <w:rFonts w:hint="cs"/>
          <w:i/>
          <w:sz w:val="23"/>
          <w:szCs w:val="23"/>
          <w:rtl/>
        </w:rPr>
        <w:t>ی</w:t>
      </w:r>
      <w:r w:rsidRPr="00FE433F">
        <w:rPr>
          <w:rFonts w:hint="eastAsia"/>
          <w:i/>
          <w:sz w:val="23"/>
          <w:szCs w:val="23"/>
          <w:rtl/>
        </w:rPr>
        <w:t>ر</w:t>
      </w:r>
      <w:r w:rsidRPr="00FE433F">
        <w:rPr>
          <w:i/>
          <w:sz w:val="23"/>
          <w:szCs w:val="23"/>
          <w:rtl/>
        </w:rPr>
        <w:t>متمرکز مورد ارز</w:t>
      </w:r>
      <w:r w:rsidRPr="00FE433F">
        <w:rPr>
          <w:rFonts w:hint="cs"/>
          <w:i/>
          <w:sz w:val="23"/>
          <w:szCs w:val="23"/>
          <w:rtl/>
        </w:rPr>
        <w:t>ی</w:t>
      </w:r>
      <w:r w:rsidRPr="00FE433F">
        <w:rPr>
          <w:rFonts w:hint="eastAsia"/>
          <w:i/>
          <w:sz w:val="23"/>
          <w:szCs w:val="23"/>
          <w:rtl/>
        </w:rPr>
        <w:t>اب</w:t>
      </w:r>
      <w:r w:rsidRPr="00FE433F">
        <w:rPr>
          <w:rFonts w:hint="cs"/>
          <w:i/>
          <w:sz w:val="23"/>
          <w:szCs w:val="23"/>
          <w:rtl/>
        </w:rPr>
        <w:t>ی</w:t>
      </w:r>
      <w:r w:rsidRPr="00FE433F">
        <w:rPr>
          <w:i/>
          <w:sz w:val="23"/>
          <w:szCs w:val="23"/>
          <w:rtl/>
        </w:rPr>
        <w:t xml:space="preserve"> قرار گرفت</w:t>
      </w:r>
      <w:r w:rsidRPr="00FE433F">
        <w:rPr>
          <w:rFonts w:hint="cs"/>
          <w:i/>
          <w:sz w:val="23"/>
          <w:szCs w:val="23"/>
          <w:rtl/>
        </w:rPr>
        <w:t>،</w:t>
      </w:r>
      <w:r w:rsidRPr="00FE433F">
        <w:rPr>
          <w:i/>
          <w:sz w:val="23"/>
          <w:szCs w:val="23"/>
          <w:rtl/>
        </w:rPr>
        <w:t xml:space="preserve"> 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i/>
          <w:sz w:val="23"/>
          <w:szCs w:val="23"/>
          <w:rtl/>
        </w:rPr>
        <w:softHyphen/>
      </w:r>
      <w:r w:rsidRPr="00FE433F">
        <w:rPr>
          <w:rFonts w:hint="cs"/>
          <w:i/>
          <w:sz w:val="23"/>
          <w:szCs w:val="23"/>
          <w:rtl/>
        </w:rPr>
        <w:t>ی</w:t>
      </w:r>
      <w:r w:rsidRPr="00FE433F">
        <w:rPr>
          <w:i/>
          <w:sz w:val="23"/>
          <w:szCs w:val="23"/>
          <w:rtl/>
        </w:rPr>
        <w:t xml:space="preserve">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cs"/>
          <w:i/>
          <w:sz w:val="23"/>
          <w:szCs w:val="23"/>
          <w:rtl/>
        </w:rPr>
        <w:t xml:space="preserve">خانوار </w:t>
      </w:r>
      <w:r w:rsidRPr="00FE433F">
        <w:rPr>
          <w:i/>
          <w:sz w:val="23"/>
          <w:szCs w:val="23"/>
          <w:rtl/>
        </w:rPr>
        <w:t>عبارت بود از؛</w:t>
      </w:r>
    </w:p>
    <w:p w14:paraId="74732137" w14:textId="77777777" w:rsidR="00411620" w:rsidRPr="00FE433F" w:rsidRDefault="00411620" w:rsidP="00411620">
      <w:pPr>
        <w:pStyle w:val="MTDisplayEquation"/>
        <w:spacing w:line="216" w:lineRule="auto"/>
        <w:rPr>
          <w:rFonts w:ascii="Times New Roman" w:hAnsi="Times New Roman" w:cs="B Nazanin"/>
          <w:i/>
          <w:sz w:val="23"/>
          <w:szCs w:val="23"/>
          <w:rtl/>
          <w:lang w:bidi="fa-IR"/>
        </w:rPr>
      </w:pPr>
      <w:r w:rsidRPr="00FE433F">
        <w:rPr>
          <w:position w:val="-10"/>
        </w:rPr>
        <w:object w:dxaOrig="1760" w:dyaOrig="320" w14:anchorId="3545E8FB">
          <v:shape id="_x0000_i4004" type="#_x0000_t75" style="width:88.35pt;height:16.35pt" o:ole="">
            <v:imagedata r:id="rId5997" o:title=""/>
          </v:shape>
          <o:OLEObject Type="Embed" ProgID="Equation.DSMT4" ShapeID="_x0000_i4004" DrawAspect="Content" ObjectID="_1791377948" r:id="rId5998"/>
        </w:object>
      </w:r>
    </w:p>
    <w:p w14:paraId="7FCE2A05" w14:textId="77777777" w:rsidR="00411620" w:rsidRPr="00FE433F" w:rsidRDefault="00411620" w:rsidP="00411620">
      <w:pPr>
        <w:spacing w:line="216" w:lineRule="auto"/>
        <w:rPr>
          <w:i/>
          <w:sz w:val="23"/>
          <w:szCs w:val="23"/>
          <w:rtl/>
        </w:rPr>
      </w:pPr>
      <w:r w:rsidRPr="00FE433F">
        <w:rPr>
          <w:i/>
          <w:sz w:val="23"/>
          <w:szCs w:val="23"/>
          <w:rtl/>
        </w:rPr>
        <w:t>که</w:t>
      </w:r>
      <w:r w:rsidRPr="00FE433F">
        <w:rPr>
          <w:rFonts w:hint="cs"/>
          <w:i/>
          <w:sz w:val="23"/>
          <w:szCs w:val="23"/>
          <w:rtl/>
        </w:rPr>
        <w:t xml:space="preserve"> در آن </w:t>
      </w:r>
      <w:r w:rsidRPr="00FE433F">
        <w:rPr>
          <w:position w:val="-10"/>
        </w:rPr>
        <w:object w:dxaOrig="240" w:dyaOrig="320" w14:anchorId="5607BCD9">
          <v:shape id="_x0000_i4005" type="#_x0000_t75" style="width:12.1pt;height:16.35pt" o:ole="">
            <v:imagedata r:id="rId5999" o:title=""/>
          </v:shape>
          <o:OLEObject Type="Embed" ProgID="Equation.DSMT4" ShapeID="_x0000_i4005" DrawAspect="Content" ObjectID="_1791377949" r:id="rId6000"/>
        </w:object>
      </w:r>
      <w:r w:rsidRPr="00FE433F">
        <w:rPr>
          <w:i/>
          <w:sz w:val="23"/>
          <w:szCs w:val="23"/>
          <w:rtl/>
        </w:rPr>
        <w:t xml:space="preserve"> درآمد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cs"/>
          <w:i/>
          <w:sz w:val="23"/>
          <w:szCs w:val="23"/>
          <w:rtl/>
        </w:rPr>
        <w:t xml:space="preserve">خانوار است و </w:t>
      </w:r>
      <w:r w:rsidRPr="00FE433F">
        <w:rPr>
          <w:i/>
          <w:sz w:val="23"/>
          <w:szCs w:val="23"/>
          <w:rtl/>
        </w:rPr>
        <w:t>برون</w:t>
      </w:r>
      <w:r w:rsidRPr="00FE433F">
        <w:rPr>
          <w:i/>
          <w:sz w:val="23"/>
          <w:szCs w:val="23"/>
          <w:rtl/>
        </w:rPr>
        <w:softHyphen/>
        <w:t>زا،</w:t>
      </w:r>
      <w:r w:rsidRPr="00FE433F">
        <w:rPr>
          <w:position w:val="-10"/>
        </w:rPr>
        <w:object w:dxaOrig="240" w:dyaOrig="320" w14:anchorId="01E4BE9B">
          <v:shape id="_x0000_i4006" type="#_x0000_t75" style="width:12.1pt;height:16.35pt" o:ole="">
            <v:imagedata r:id="rId6001" o:title=""/>
          </v:shape>
          <o:OLEObject Type="Embed" ProgID="Equation.DSMT4" ShapeID="_x0000_i4006" DrawAspect="Content" ObjectID="_1791377950" r:id="rId6002"/>
        </w:object>
      </w:r>
      <w:r w:rsidRPr="00FE433F">
        <w:rPr>
          <w:i/>
          <w:sz w:val="23"/>
          <w:szCs w:val="23"/>
          <w:rtl/>
        </w:rPr>
        <w:t xml:space="preserve"> کل دارا</w:t>
      </w:r>
      <w:r w:rsidRPr="00FE433F">
        <w:rPr>
          <w:rFonts w:hint="cs"/>
          <w:i/>
          <w:sz w:val="23"/>
          <w:szCs w:val="23"/>
          <w:rtl/>
        </w:rPr>
        <w:t>یی</w:t>
      </w:r>
      <w:r w:rsidRPr="00FE433F">
        <w:rPr>
          <w:i/>
          <w:sz w:val="23"/>
          <w:szCs w:val="23"/>
          <w:rtl/>
        </w:rPr>
        <w:t xml:space="preserve"> 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در ابتدا</w:t>
      </w:r>
      <w:r w:rsidRPr="00FE433F">
        <w:rPr>
          <w:rFonts w:hint="cs"/>
          <w:i/>
          <w:sz w:val="23"/>
          <w:szCs w:val="23"/>
          <w:rtl/>
        </w:rPr>
        <w:t>ی</w:t>
      </w:r>
      <w:r w:rsidRPr="00FE433F">
        <w:rPr>
          <w:i/>
          <w:sz w:val="23"/>
          <w:szCs w:val="23"/>
          <w:rtl/>
        </w:rPr>
        <w:t xml:space="preserve"> دوره</w:t>
      </w:r>
      <w:r w:rsidRPr="00FE433F">
        <w:rPr>
          <w:rFonts w:hint="eastAsia"/>
          <w:i/>
          <w:sz w:val="23"/>
          <w:szCs w:val="23"/>
        </w:rPr>
        <w:t>‌</w:t>
      </w:r>
      <w:r w:rsidRPr="00FE433F">
        <w:rPr>
          <w:rFonts w:hint="cs"/>
          <w:i/>
          <w:sz w:val="23"/>
          <w:szCs w:val="23"/>
          <w:rtl/>
        </w:rPr>
        <w:t>ی</w:t>
      </w:r>
      <w:r w:rsidRPr="00FE433F">
        <w:rPr>
          <w:position w:val="-6"/>
        </w:rPr>
        <w:object w:dxaOrig="139" w:dyaOrig="240" w14:anchorId="3F70F7C2">
          <v:shape id="_x0000_i4007" type="#_x0000_t75" style="width:7.25pt;height:12.1pt" o:ole="">
            <v:imagedata r:id="rId6003" o:title=""/>
          </v:shape>
          <o:OLEObject Type="Embed" ProgID="Equation.DSMT4" ShapeID="_x0000_i4007" DrawAspect="Content" ObjectID="_1791377951" r:id="rId6004"/>
        </w:object>
      </w:r>
      <w:r w:rsidRPr="00FE433F">
        <w:rPr>
          <w:i/>
          <w:sz w:val="23"/>
          <w:szCs w:val="23"/>
          <w:rtl/>
        </w:rPr>
        <w:t xml:space="preserve"> و</w:t>
      </w:r>
      <w:r w:rsidRPr="00FE433F">
        <w:rPr>
          <w:position w:val="-10"/>
        </w:rPr>
        <w:object w:dxaOrig="180" w:dyaOrig="320" w14:anchorId="6BDD90D6">
          <v:shape id="_x0000_i4008" type="#_x0000_t75" style="width:9.1pt;height:16.35pt" o:ole="">
            <v:imagedata r:id="rId6005" o:title=""/>
          </v:shape>
          <o:OLEObject Type="Embed" ProgID="Equation.DSMT4" ShapeID="_x0000_i4008" DrawAspect="Content" ObjectID="_1791377952" r:id="rId6006"/>
        </w:object>
      </w:r>
      <w:r w:rsidRPr="00FE433F">
        <w:rPr>
          <w:i/>
          <w:sz w:val="23"/>
          <w:szCs w:val="23"/>
          <w:rtl/>
        </w:rPr>
        <w:t xml:space="preserve"> نرخ بازده</w:t>
      </w:r>
      <w:r w:rsidRPr="00FE433F">
        <w:rPr>
          <w:rFonts w:hint="cs"/>
          <w:i/>
          <w:sz w:val="23"/>
          <w:szCs w:val="23"/>
          <w:rtl/>
        </w:rPr>
        <w:t>ی</w:t>
      </w:r>
      <w:r w:rsidRPr="00FE433F">
        <w:rPr>
          <w:i/>
          <w:sz w:val="23"/>
          <w:szCs w:val="23"/>
          <w:rtl/>
        </w:rPr>
        <w:t xml:space="preserve"> 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cs"/>
          <w:i/>
          <w:sz w:val="23"/>
          <w:szCs w:val="23"/>
          <w:rtl/>
        </w:rPr>
        <w:t xml:space="preserve">دارایی </w:t>
      </w:r>
      <w:r w:rsidRPr="00FE433F">
        <w:rPr>
          <w:i/>
          <w:sz w:val="23"/>
          <w:szCs w:val="23"/>
          <w:rtl/>
        </w:rPr>
        <w:t>است. در فصل پنجم با معرف</w:t>
      </w:r>
      <w:r w:rsidRPr="00FE433F">
        <w:rPr>
          <w:rFonts w:hint="cs"/>
          <w:i/>
          <w:sz w:val="23"/>
          <w:szCs w:val="23"/>
          <w:rtl/>
        </w:rPr>
        <w:t>ی</w:t>
      </w:r>
      <w:r w:rsidRPr="00FE433F">
        <w:rPr>
          <w:i/>
          <w:sz w:val="23"/>
          <w:szCs w:val="23"/>
          <w:rtl/>
        </w:rPr>
        <w:t xml:space="preserve"> 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i/>
          <w:sz w:val="23"/>
          <w:szCs w:val="23"/>
          <w:rtl/>
        </w:rPr>
        <w:softHyphen/>
      </w:r>
      <w:r w:rsidRPr="00FE433F">
        <w:rPr>
          <w:rFonts w:hint="cs"/>
          <w:i/>
          <w:sz w:val="23"/>
          <w:szCs w:val="23"/>
          <w:rtl/>
        </w:rPr>
        <w:t>ی</w:t>
      </w:r>
      <w:r w:rsidRPr="00FE433F">
        <w:rPr>
          <w:i/>
          <w:sz w:val="23"/>
          <w:szCs w:val="23"/>
          <w:rtl/>
        </w:rPr>
        <w:t xml:space="preserve"> اسم</w:t>
      </w:r>
      <w:r w:rsidRPr="00FE433F">
        <w:rPr>
          <w:rFonts w:hint="cs"/>
          <w:i/>
          <w:sz w:val="23"/>
          <w:szCs w:val="23"/>
          <w:rtl/>
        </w:rPr>
        <w:t>ی</w:t>
      </w:r>
      <w:r w:rsidRPr="00FE433F">
        <w:rPr>
          <w:i/>
          <w:sz w:val="23"/>
          <w:szCs w:val="23"/>
          <w:rtl/>
        </w:rPr>
        <w:t xml:space="preserve"> خانوار</w:t>
      </w:r>
      <w:r w:rsidRPr="00FE433F">
        <w:rPr>
          <w:rFonts w:hint="cs"/>
          <w:i/>
          <w:sz w:val="23"/>
          <w:szCs w:val="23"/>
          <w:rtl/>
        </w:rPr>
        <w:t>،</w:t>
      </w:r>
      <w:r w:rsidRPr="00FE433F">
        <w:rPr>
          <w:i/>
          <w:sz w:val="23"/>
          <w:szCs w:val="23"/>
          <w:rtl/>
        </w:rPr>
        <w:t xml:space="preserve"> ب</w:t>
      </w:r>
      <w:r w:rsidRPr="00FE433F">
        <w:rPr>
          <w:rFonts w:hint="cs"/>
          <w:i/>
          <w:sz w:val="23"/>
          <w:szCs w:val="23"/>
          <w:rtl/>
        </w:rPr>
        <w:t>ی</w:t>
      </w:r>
      <w:r w:rsidRPr="00FE433F">
        <w:rPr>
          <w:rFonts w:hint="eastAsia"/>
          <w:i/>
          <w:sz w:val="23"/>
          <w:szCs w:val="23"/>
          <w:rtl/>
        </w:rPr>
        <w:t>ن</w:t>
      </w:r>
      <w:r w:rsidRPr="00FE433F">
        <w:rPr>
          <w:i/>
          <w:sz w:val="23"/>
          <w:szCs w:val="23"/>
          <w:rtl/>
        </w:rPr>
        <w:t xml:space="preserve"> دو نوع دارا</w:t>
      </w:r>
      <w:r w:rsidRPr="00FE433F">
        <w:rPr>
          <w:rFonts w:hint="cs"/>
          <w:i/>
          <w:sz w:val="23"/>
          <w:szCs w:val="23"/>
          <w:rtl/>
        </w:rPr>
        <w:t>یی</w:t>
      </w:r>
      <w:r w:rsidRPr="00FE433F">
        <w:rPr>
          <w:i/>
          <w:sz w:val="23"/>
          <w:szCs w:val="23"/>
          <w:rtl/>
        </w:rPr>
        <w:t xml:space="preserve"> </w:t>
      </w:r>
      <w:r w:rsidRPr="00FE433F">
        <w:rPr>
          <w:rFonts w:hint="cs"/>
          <w:i/>
          <w:sz w:val="23"/>
          <w:szCs w:val="23"/>
          <w:rtl/>
        </w:rPr>
        <w:t>خانوار ی</w:t>
      </w:r>
      <w:r w:rsidRPr="00FE433F">
        <w:rPr>
          <w:rFonts w:hint="eastAsia"/>
          <w:i/>
          <w:sz w:val="23"/>
          <w:szCs w:val="23"/>
          <w:rtl/>
        </w:rPr>
        <w:t>عن</w:t>
      </w:r>
      <w:r w:rsidRPr="00FE433F">
        <w:rPr>
          <w:rFonts w:hint="cs"/>
          <w:i/>
          <w:sz w:val="23"/>
          <w:szCs w:val="23"/>
          <w:rtl/>
        </w:rPr>
        <w:t>ی</w:t>
      </w:r>
      <w:r w:rsidRPr="00FE433F">
        <w:rPr>
          <w:i/>
          <w:sz w:val="23"/>
          <w:szCs w:val="23"/>
          <w:rtl/>
        </w:rPr>
        <w:t xml:space="preserve"> ذخائر اسم</w:t>
      </w:r>
      <w:r w:rsidRPr="00FE433F">
        <w:rPr>
          <w:rFonts w:hint="cs"/>
          <w:i/>
          <w:sz w:val="23"/>
          <w:szCs w:val="23"/>
          <w:rtl/>
        </w:rPr>
        <w:t>ی</w:t>
      </w:r>
      <w:r w:rsidRPr="00FE433F">
        <w:rPr>
          <w:i/>
          <w:sz w:val="23"/>
          <w:szCs w:val="23"/>
          <w:rtl/>
        </w:rPr>
        <w:t xml:space="preserve"> پول در زمان</w:t>
      </w:r>
      <w:r w:rsidRPr="00FE433F">
        <w:rPr>
          <w:position w:val="-6"/>
        </w:rPr>
        <w:object w:dxaOrig="139" w:dyaOrig="240" w14:anchorId="2E0A5DE6">
          <v:shape id="_x0000_i4009" type="#_x0000_t75" style="width:7.25pt;height:12.1pt" o:ole="">
            <v:imagedata r:id="rId6007" o:title=""/>
          </v:shape>
          <o:OLEObject Type="Embed" ProgID="Equation.DSMT4" ShapeID="_x0000_i4009" DrawAspect="Content" ObjectID="_1791377953" r:id="rId6008"/>
        </w:object>
      </w:r>
      <w:r w:rsidRPr="00FE433F">
        <w:rPr>
          <w:rFonts w:hint="eastAsia"/>
          <w:i/>
          <w:sz w:val="23"/>
          <w:szCs w:val="23"/>
        </w:rPr>
        <w:t>‌</w:t>
      </w:r>
      <w:r w:rsidRPr="00FE433F">
        <w:rPr>
          <w:i/>
          <w:sz w:val="23"/>
          <w:szCs w:val="23"/>
          <w:rtl/>
        </w:rPr>
        <w:t xml:space="preserve"> </w:t>
      </w:r>
      <w:r w:rsidRPr="00FE433F">
        <w:rPr>
          <w:rFonts w:hint="cs"/>
          <w:i/>
          <w:sz w:val="23"/>
          <w:szCs w:val="23"/>
          <w:rtl/>
        </w:rPr>
        <w:t>یا</w:t>
      </w:r>
      <w:r w:rsidRPr="00FE433F">
        <w:rPr>
          <w:position w:val="-10"/>
        </w:rPr>
        <w:object w:dxaOrig="340" w:dyaOrig="320" w14:anchorId="5EC119A5">
          <v:shape id="_x0000_i4010" type="#_x0000_t75" style="width:16.95pt;height:16.35pt" o:ole="">
            <v:imagedata r:id="rId6009" o:title=""/>
          </v:shape>
          <o:OLEObject Type="Embed" ProgID="Equation.DSMT4" ShapeID="_x0000_i4010" DrawAspect="Content" ObjectID="_1791377954" r:id="rId6010"/>
        </w:object>
      </w:r>
      <w:r w:rsidRPr="00FE433F">
        <w:rPr>
          <w:i/>
          <w:sz w:val="23"/>
          <w:szCs w:val="23"/>
          <w:rtl/>
        </w:rPr>
        <w:t xml:space="preserve"> و اوراق قرضه</w:t>
      </w:r>
      <w:r w:rsidRPr="00FE433F">
        <w:rPr>
          <w:i/>
          <w:sz w:val="23"/>
          <w:szCs w:val="23"/>
          <w:rtl/>
        </w:rPr>
        <w:softHyphen/>
      </w:r>
      <w:r w:rsidRPr="00FE433F">
        <w:rPr>
          <w:rFonts w:hint="cs"/>
          <w:i/>
          <w:sz w:val="23"/>
          <w:szCs w:val="23"/>
          <w:rtl/>
        </w:rPr>
        <w:t>ی</w:t>
      </w:r>
      <w:r w:rsidRPr="00FE433F">
        <w:rPr>
          <w:i/>
          <w:sz w:val="23"/>
          <w:szCs w:val="23"/>
          <w:rtl/>
        </w:rPr>
        <w:t xml:space="preserve"> دولت</w:t>
      </w:r>
      <w:r w:rsidRPr="00FE433F">
        <w:rPr>
          <w:rFonts w:hint="cs"/>
          <w:i/>
          <w:sz w:val="23"/>
          <w:szCs w:val="23"/>
          <w:rtl/>
        </w:rPr>
        <w:t>ی</w:t>
      </w:r>
      <w:r w:rsidRPr="00FE433F">
        <w:rPr>
          <w:i/>
          <w:sz w:val="23"/>
          <w:szCs w:val="23"/>
          <w:rtl/>
        </w:rPr>
        <w:t xml:space="preserve"> </w:t>
      </w:r>
      <w:r w:rsidRPr="00FE433F">
        <w:rPr>
          <w:rFonts w:hint="eastAsia"/>
          <w:i/>
          <w:sz w:val="23"/>
          <w:szCs w:val="23"/>
        </w:rPr>
        <w:t>‌</w:t>
      </w:r>
      <w:r w:rsidRPr="00FE433F">
        <w:rPr>
          <w:rFonts w:hint="cs"/>
          <w:i/>
          <w:sz w:val="23"/>
          <w:szCs w:val="23"/>
          <w:rtl/>
        </w:rPr>
        <w:t>ی</w:t>
      </w:r>
      <w:r w:rsidRPr="00FE433F">
        <w:rPr>
          <w:i/>
          <w:sz w:val="23"/>
          <w:szCs w:val="23"/>
          <w:rtl/>
        </w:rPr>
        <w:t>ک دوره</w:t>
      </w:r>
      <w:r w:rsidRPr="00FE433F">
        <w:rPr>
          <w:i/>
          <w:sz w:val="23"/>
          <w:szCs w:val="23"/>
          <w:rtl/>
        </w:rPr>
        <w:softHyphen/>
      </w:r>
      <w:r w:rsidRPr="00FE433F">
        <w:rPr>
          <w:rFonts w:hint="eastAsia"/>
          <w:i/>
          <w:sz w:val="23"/>
          <w:szCs w:val="23"/>
          <w:rtl/>
        </w:rPr>
        <w:t>ا</w:t>
      </w:r>
      <w:r w:rsidRPr="00FE433F">
        <w:rPr>
          <w:rFonts w:hint="cs"/>
          <w:i/>
          <w:sz w:val="23"/>
          <w:szCs w:val="23"/>
          <w:rtl/>
        </w:rPr>
        <w:t>ی</w:t>
      </w:r>
      <w:r w:rsidRPr="00FE433F">
        <w:rPr>
          <w:i/>
          <w:sz w:val="23"/>
          <w:szCs w:val="23"/>
          <w:rtl/>
        </w:rPr>
        <w:t xml:space="preserve"> که در زمان </w:t>
      </w:r>
      <w:r w:rsidRPr="00FE433F">
        <w:rPr>
          <w:position w:val="-6"/>
        </w:rPr>
        <w:object w:dxaOrig="420" w:dyaOrig="260" w14:anchorId="3101A7A8">
          <v:shape id="_x0000_i4011" type="#_x0000_t75" style="width:20.55pt;height:13.3pt" o:ole="">
            <v:imagedata r:id="rId6011" o:title=""/>
          </v:shape>
          <o:OLEObject Type="Embed" ProgID="Equation.DSMT4" ShapeID="_x0000_i4011" DrawAspect="Content" ObjectID="_1791377955" r:id="rId6012"/>
        </w:object>
      </w:r>
      <w:r w:rsidRPr="00FE433F">
        <w:rPr>
          <w:rFonts w:hint="cs"/>
          <w:i/>
          <w:sz w:val="23"/>
          <w:szCs w:val="23"/>
          <w:rtl/>
        </w:rPr>
        <w:t xml:space="preserve"> من</w:t>
      </w:r>
      <w:r w:rsidRPr="00FE433F">
        <w:rPr>
          <w:rFonts w:hint="eastAsia"/>
          <w:i/>
          <w:sz w:val="23"/>
          <w:szCs w:val="23"/>
          <w:rtl/>
        </w:rPr>
        <w:t>تشر</w:t>
      </w:r>
      <w:r w:rsidRPr="00FE433F">
        <w:rPr>
          <w:i/>
          <w:sz w:val="23"/>
          <w:szCs w:val="23"/>
          <w:rtl/>
        </w:rPr>
        <w:t xml:space="preserve"> م</w:t>
      </w:r>
      <w:r w:rsidRPr="00FE433F">
        <w:rPr>
          <w:rFonts w:hint="cs"/>
          <w:i/>
          <w:sz w:val="23"/>
          <w:szCs w:val="23"/>
          <w:rtl/>
        </w:rPr>
        <w:t>ی‌</w:t>
      </w:r>
      <w:r w:rsidRPr="00FE433F">
        <w:rPr>
          <w:i/>
          <w:sz w:val="23"/>
          <w:szCs w:val="23"/>
          <w:rtl/>
        </w:rPr>
        <w:t>شد تما</w:t>
      </w:r>
      <w:r w:rsidRPr="00FE433F">
        <w:rPr>
          <w:rFonts w:hint="cs"/>
          <w:i/>
          <w:sz w:val="23"/>
          <w:szCs w:val="23"/>
          <w:rtl/>
        </w:rPr>
        <w:t>ی</w:t>
      </w:r>
      <w:r w:rsidRPr="00FE433F">
        <w:rPr>
          <w:rFonts w:hint="eastAsia"/>
          <w:i/>
          <w:sz w:val="23"/>
          <w:szCs w:val="23"/>
          <w:rtl/>
        </w:rPr>
        <w:t>ز</w:t>
      </w:r>
      <w:r w:rsidRPr="00FE433F">
        <w:rPr>
          <w:i/>
          <w:sz w:val="23"/>
          <w:szCs w:val="23"/>
          <w:rtl/>
        </w:rPr>
        <w:t xml:space="preserve"> </w:t>
      </w:r>
      <w:r w:rsidRPr="00FE433F">
        <w:rPr>
          <w:rFonts w:hint="eastAsia"/>
          <w:i/>
          <w:sz w:val="23"/>
          <w:szCs w:val="23"/>
          <w:rtl/>
        </w:rPr>
        <w:t>قائل</w:t>
      </w:r>
      <w:r w:rsidRPr="00FE433F">
        <w:rPr>
          <w:i/>
          <w:sz w:val="23"/>
          <w:szCs w:val="23"/>
          <w:rtl/>
        </w:rPr>
        <w:t xml:space="preserve"> </w:t>
      </w:r>
      <w:r w:rsidRPr="00FE433F">
        <w:rPr>
          <w:rFonts w:hint="eastAsia"/>
          <w:i/>
          <w:sz w:val="23"/>
          <w:szCs w:val="23"/>
          <w:rtl/>
        </w:rPr>
        <w:t>شد</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اکنون</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rFonts w:hint="eastAsia"/>
          <w:i/>
          <w:sz w:val="23"/>
          <w:szCs w:val="23"/>
        </w:rPr>
        <w:t>‌</w:t>
      </w:r>
      <w:r w:rsidRPr="00FE433F">
        <w:rPr>
          <w:rFonts w:hint="cs"/>
          <w:i/>
          <w:sz w:val="23"/>
          <w:szCs w:val="23"/>
          <w:rtl/>
        </w:rPr>
        <w:t>ی</w:t>
      </w:r>
      <w:r w:rsidRPr="00FE433F">
        <w:rPr>
          <w:i/>
          <w:sz w:val="23"/>
          <w:szCs w:val="23"/>
          <w:rtl/>
        </w:rPr>
        <w:t xml:space="preserve"> اسم</w:t>
      </w:r>
      <w:r w:rsidRPr="00FE433F">
        <w:rPr>
          <w:rFonts w:hint="cs"/>
          <w:i/>
          <w:sz w:val="23"/>
          <w:szCs w:val="23"/>
          <w:rtl/>
        </w:rPr>
        <w:t>ی</w:t>
      </w:r>
      <w:r w:rsidRPr="00FE433F">
        <w:rPr>
          <w:i/>
          <w:sz w:val="23"/>
          <w:szCs w:val="23"/>
          <w:rtl/>
        </w:rPr>
        <w:t xml:space="preserve"> را به صورت ز</w:t>
      </w:r>
      <w:r w:rsidRPr="00FE433F">
        <w:rPr>
          <w:rFonts w:hint="cs"/>
          <w:i/>
          <w:sz w:val="23"/>
          <w:szCs w:val="23"/>
          <w:rtl/>
        </w:rPr>
        <w:t>ی</w:t>
      </w:r>
      <w:r w:rsidRPr="00FE433F">
        <w:rPr>
          <w:rFonts w:hint="eastAsia"/>
          <w:i/>
          <w:sz w:val="23"/>
          <w:szCs w:val="23"/>
          <w:rtl/>
        </w:rPr>
        <w:t>ر</w:t>
      </w:r>
      <w:r w:rsidRPr="00FE433F">
        <w:rPr>
          <w:i/>
          <w:sz w:val="23"/>
          <w:szCs w:val="23"/>
          <w:rtl/>
        </w:rPr>
        <w:t xml:space="preserve"> بازنو</w:t>
      </w:r>
      <w:r w:rsidRPr="00FE433F">
        <w:rPr>
          <w:rFonts w:hint="cs"/>
          <w:i/>
          <w:sz w:val="23"/>
          <w:szCs w:val="23"/>
          <w:rtl/>
        </w:rPr>
        <w:t>ی</w:t>
      </w:r>
      <w:r w:rsidRPr="00FE433F">
        <w:rPr>
          <w:rFonts w:hint="eastAsia"/>
          <w:i/>
          <w:sz w:val="23"/>
          <w:szCs w:val="23"/>
          <w:rtl/>
        </w:rPr>
        <w:t>س</w:t>
      </w:r>
      <w:r w:rsidRPr="00FE433F">
        <w:rPr>
          <w:rFonts w:hint="cs"/>
          <w:i/>
          <w:sz w:val="23"/>
          <w:szCs w:val="23"/>
          <w:rtl/>
        </w:rPr>
        <w:t>ی</w:t>
      </w:r>
      <w:r w:rsidRPr="00FE433F">
        <w:rPr>
          <w:i/>
          <w:sz w:val="23"/>
          <w:szCs w:val="23"/>
          <w:rtl/>
        </w:rPr>
        <w:t xml:space="preserve"> م</w:t>
      </w:r>
      <w:r w:rsidRPr="00FE433F">
        <w:rPr>
          <w:rFonts w:hint="cs"/>
          <w:i/>
          <w:sz w:val="23"/>
          <w:szCs w:val="23"/>
          <w:rtl/>
        </w:rPr>
        <w:t>ی‌</w:t>
      </w:r>
      <w:r w:rsidRPr="00FE433F">
        <w:rPr>
          <w:i/>
          <w:sz w:val="23"/>
          <w:szCs w:val="23"/>
          <w:rtl/>
        </w:rPr>
        <w:t>کن</w:t>
      </w:r>
      <w:r w:rsidRPr="00FE433F">
        <w:rPr>
          <w:rFonts w:hint="cs"/>
          <w:i/>
          <w:sz w:val="23"/>
          <w:szCs w:val="23"/>
          <w:rtl/>
        </w:rPr>
        <w:t>ی</w:t>
      </w:r>
      <w:r w:rsidRPr="00FE433F">
        <w:rPr>
          <w:rFonts w:hint="eastAsia"/>
          <w:i/>
          <w:sz w:val="23"/>
          <w:szCs w:val="23"/>
          <w:rtl/>
        </w:rPr>
        <w:t>م</w:t>
      </w:r>
      <w:r w:rsidRPr="00FE433F">
        <w:rPr>
          <w:i/>
          <w:sz w:val="23"/>
          <w:szCs w:val="23"/>
          <w:rtl/>
        </w:rPr>
        <w:t>.</w:t>
      </w:r>
    </w:p>
    <w:p w14:paraId="232F0983" w14:textId="77777777" w:rsidR="00411620" w:rsidRPr="00FE433F" w:rsidRDefault="00411620" w:rsidP="00411620">
      <w:pPr>
        <w:bidi w:val="0"/>
        <w:spacing w:line="216" w:lineRule="auto"/>
        <w:rPr>
          <w:i/>
          <w:sz w:val="23"/>
          <w:szCs w:val="23"/>
          <w:rtl/>
        </w:rPr>
      </w:pPr>
      <w:r w:rsidRPr="00FE433F">
        <w:rPr>
          <w:position w:val="-10"/>
        </w:rPr>
        <w:object w:dxaOrig="3019" w:dyaOrig="320" w14:anchorId="2789B445">
          <v:shape id="_x0000_i4012" type="#_x0000_t75" style="width:151.25pt;height:16.35pt" o:ole="">
            <v:imagedata r:id="rId6013" o:title=""/>
          </v:shape>
          <o:OLEObject Type="Embed" ProgID="Equation.DSMT4" ShapeID="_x0000_i4012" DrawAspect="Content" ObjectID="_1791377956" r:id="rId6014"/>
        </w:object>
      </w:r>
      <w:r w:rsidRPr="00FE433F">
        <w:rPr>
          <w:i/>
          <w:sz w:val="23"/>
          <w:szCs w:val="23"/>
          <w:rtl/>
        </w:rPr>
        <w:t xml:space="preserve"> </w:t>
      </w:r>
      <w:r w:rsidRPr="00FE433F">
        <w:rPr>
          <w:i/>
          <w:sz w:val="23"/>
          <w:szCs w:val="23"/>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Pr>
          <w:i/>
          <w:sz w:val="23"/>
          <w:szCs w:val="23"/>
          <w:rtl/>
        </w:rPr>
        <w:tab/>
      </w:r>
      <w:r>
        <w:rPr>
          <w:i/>
          <w:sz w:val="23"/>
          <w:szCs w:val="23"/>
          <w:rtl/>
        </w:rPr>
        <w:tab/>
      </w:r>
      <w:r w:rsidRPr="00FE433F">
        <w:rPr>
          <w:i/>
          <w:sz w:val="23"/>
          <w:szCs w:val="23"/>
          <w:rtl/>
        </w:rPr>
        <w:tab/>
      </w:r>
      <w:r w:rsidRPr="00FE433F">
        <w:rPr>
          <w:i/>
          <w:sz w:val="23"/>
          <w:szCs w:val="23"/>
        </w:rPr>
        <w:tab/>
      </w:r>
      <w:r w:rsidRPr="00FE433F">
        <w:rPr>
          <w:i/>
          <w:sz w:val="23"/>
          <w:szCs w:val="23"/>
          <w:rtl/>
        </w:rPr>
        <w:tab/>
      </w:r>
      <w:r w:rsidRPr="00FE433F">
        <w:rPr>
          <w:i/>
          <w:sz w:val="23"/>
          <w:szCs w:val="23"/>
          <w:rtl/>
        </w:rPr>
        <w:tab/>
      </w:r>
      <w:r w:rsidRPr="00FE433F">
        <w:rPr>
          <w:i/>
          <w:sz w:val="23"/>
          <w:szCs w:val="23"/>
        </w:rPr>
        <w:tab/>
      </w:r>
      <w:r w:rsidRPr="00FE433F">
        <w:rPr>
          <w:i/>
          <w:sz w:val="23"/>
          <w:szCs w:val="23"/>
          <w:rtl/>
        </w:rPr>
        <w:t>(۸. ۱)</w:t>
      </w:r>
    </w:p>
    <w:p w14:paraId="5E8CBEA1" w14:textId="77777777" w:rsidR="00411620" w:rsidRPr="00FE433F" w:rsidRDefault="00411620" w:rsidP="00411620">
      <w:pPr>
        <w:spacing w:line="216" w:lineRule="auto"/>
        <w:rPr>
          <w:rFonts w:eastAsia="Calibri"/>
          <w:i/>
          <w:sz w:val="23"/>
          <w:szCs w:val="23"/>
        </w:rPr>
      </w:pPr>
      <w:r w:rsidRPr="00FE433F">
        <w:rPr>
          <w:i/>
          <w:sz w:val="23"/>
          <w:szCs w:val="23"/>
          <w:rtl/>
        </w:rPr>
        <w:t>که در آن</w:t>
      </w:r>
      <w:r w:rsidRPr="00FE433F">
        <w:rPr>
          <w:position w:val="-10"/>
        </w:rPr>
        <w:object w:dxaOrig="240" w:dyaOrig="320" w14:anchorId="68D5858B">
          <v:shape id="_x0000_i4013" type="#_x0000_t75" style="width:12.1pt;height:16.35pt" o:ole="">
            <v:imagedata r:id="rId6015" o:title=""/>
          </v:shape>
          <o:OLEObject Type="Embed" ProgID="Equation.DSMT4" ShapeID="_x0000_i4013" DrawAspect="Content" ObjectID="_1791377957" r:id="rId6016"/>
        </w:object>
      </w:r>
      <w:r w:rsidRPr="00FE433F">
        <w:rPr>
          <w:rFonts w:eastAsia="Calibri"/>
          <w:i/>
          <w:sz w:val="23"/>
          <w:szCs w:val="23"/>
          <w:rtl/>
        </w:rPr>
        <w:t xml:space="preserve"> سطح عموم</w:t>
      </w:r>
      <w:r w:rsidRPr="00FE433F">
        <w:rPr>
          <w:rFonts w:eastAsia="Calibri" w:hint="cs"/>
          <w:i/>
          <w:sz w:val="23"/>
          <w:szCs w:val="23"/>
          <w:rtl/>
        </w:rPr>
        <w:t>ی</w:t>
      </w:r>
      <w:r w:rsidRPr="00FE433F">
        <w:rPr>
          <w:rFonts w:eastAsia="Calibri"/>
          <w:i/>
          <w:sz w:val="23"/>
          <w:szCs w:val="23"/>
          <w:rtl/>
        </w:rPr>
        <w:t xml:space="preserve"> ق</w:t>
      </w:r>
      <w:r w:rsidRPr="00FE433F">
        <w:rPr>
          <w:rFonts w:eastAsia="Calibri" w:hint="cs"/>
          <w:i/>
          <w:sz w:val="23"/>
          <w:szCs w:val="23"/>
          <w:rtl/>
        </w:rPr>
        <w:t>ی</w:t>
      </w:r>
      <w:r w:rsidRPr="00FE433F">
        <w:rPr>
          <w:rFonts w:eastAsia="Calibri" w:hint="eastAsia"/>
          <w:i/>
          <w:sz w:val="23"/>
          <w:szCs w:val="23"/>
          <w:rtl/>
        </w:rPr>
        <w:t>مت</w:t>
      </w:r>
      <w:r w:rsidRPr="00FE433F">
        <w:rPr>
          <w:rFonts w:eastAsia="Calibri"/>
          <w:i/>
          <w:sz w:val="23"/>
          <w:szCs w:val="23"/>
          <w:rtl/>
        </w:rPr>
        <w:t>‌ها،</w:t>
      </w:r>
      <w:r w:rsidRPr="00FE433F">
        <w:rPr>
          <w:position w:val="-10"/>
        </w:rPr>
        <w:object w:dxaOrig="279" w:dyaOrig="320" w14:anchorId="62711477">
          <v:shape id="_x0000_i4014" type="#_x0000_t75" style="width:13.9pt;height:16.35pt" o:ole="">
            <v:imagedata r:id="rId6017" o:title=""/>
          </v:shape>
          <o:OLEObject Type="Embed" ProgID="Equation.DSMT4" ShapeID="_x0000_i4014" DrawAspect="Content" ObjectID="_1791377958" r:id="rId6018"/>
        </w:object>
      </w:r>
      <w:r w:rsidRPr="00FE433F">
        <w:rPr>
          <w:rFonts w:eastAsia="Calibri"/>
          <w:i/>
          <w:sz w:val="23"/>
          <w:szCs w:val="23"/>
          <w:rtl/>
        </w:rPr>
        <w:t xml:space="preserve"> نرخ بازده</w:t>
      </w:r>
      <w:r w:rsidRPr="00FE433F">
        <w:rPr>
          <w:rFonts w:eastAsia="Calibri" w:hint="cs"/>
          <w:i/>
          <w:sz w:val="23"/>
          <w:szCs w:val="23"/>
          <w:rtl/>
        </w:rPr>
        <w:t>ی</w:t>
      </w:r>
      <w:r w:rsidRPr="00FE433F">
        <w:rPr>
          <w:rFonts w:eastAsia="Calibri"/>
          <w:i/>
          <w:sz w:val="23"/>
          <w:szCs w:val="23"/>
          <w:rtl/>
        </w:rPr>
        <w:t xml:space="preserve"> اسم</w:t>
      </w:r>
      <w:r w:rsidRPr="00FE433F">
        <w:rPr>
          <w:rFonts w:eastAsia="Calibri" w:hint="cs"/>
          <w:i/>
          <w:sz w:val="23"/>
          <w:szCs w:val="23"/>
          <w:rtl/>
        </w:rPr>
        <w:t>ی</w:t>
      </w:r>
      <w:r w:rsidRPr="00FE433F">
        <w:rPr>
          <w:rFonts w:eastAsia="Calibri"/>
          <w:i/>
          <w:sz w:val="23"/>
          <w:szCs w:val="23"/>
          <w:rtl/>
        </w:rPr>
        <w:t xml:space="preserve"> اوراق قرضه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دولت</w:t>
      </w:r>
      <w:r w:rsidRPr="00FE433F">
        <w:rPr>
          <w:rFonts w:eastAsia="Calibri" w:hint="cs"/>
          <w:i/>
          <w:sz w:val="23"/>
          <w:szCs w:val="23"/>
          <w:rtl/>
        </w:rPr>
        <w:t>ی</w:t>
      </w:r>
      <w:r w:rsidRPr="00FE433F">
        <w:rPr>
          <w:rFonts w:eastAsia="Calibri"/>
          <w:i/>
          <w:sz w:val="23"/>
          <w:szCs w:val="23"/>
          <w:rtl/>
        </w:rPr>
        <w:t xml:space="preserve"> و</w:t>
      </w:r>
      <w:r w:rsidRPr="00FE433F">
        <w:rPr>
          <w:position w:val="-10"/>
        </w:rPr>
        <w:object w:dxaOrig="480" w:dyaOrig="320" w14:anchorId="272AF372">
          <v:shape id="_x0000_i4015" type="#_x0000_t75" style="width:24.2pt;height:16.35pt" o:ole="">
            <v:imagedata r:id="rId6019" o:title=""/>
          </v:shape>
          <o:OLEObject Type="Embed" ProgID="Equation.DSMT4" ShapeID="_x0000_i4015" DrawAspect="Content" ObjectID="_1791377959" r:id="rId6020"/>
        </w:object>
      </w:r>
      <w:r w:rsidRPr="00FE433F">
        <w:rPr>
          <w:rFonts w:eastAsia="Calibri"/>
          <w:i/>
          <w:sz w:val="23"/>
          <w:szCs w:val="23"/>
          <w:rtl/>
        </w:rPr>
        <w:t xml:space="preserve"> درآمد بهره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اوراق قرضه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دولت</w:t>
      </w:r>
      <w:r w:rsidRPr="00FE433F">
        <w:rPr>
          <w:rFonts w:eastAsia="Calibri" w:hint="cs"/>
          <w:i/>
          <w:sz w:val="23"/>
          <w:szCs w:val="23"/>
          <w:rtl/>
        </w:rPr>
        <w:t>ی</w:t>
      </w:r>
      <w:r w:rsidRPr="00FE433F">
        <w:rPr>
          <w:rFonts w:eastAsia="Calibri"/>
          <w:i/>
          <w:sz w:val="23"/>
          <w:szCs w:val="23"/>
          <w:rtl/>
        </w:rPr>
        <w:t xml:space="preserve"> است که در ابتدا</w:t>
      </w:r>
      <w:r w:rsidRPr="00FE433F">
        <w:rPr>
          <w:rFonts w:eastAsia="Calibri" w:hint="cs"/>
          <w:i/>
          <w:sz w:val="23"/>
          <w:szCs w:val="23"/>
          <w:rtl/>
        </w:rPr>
        <w:t>ی</w:t>
      </w:r>
      <w:r w:rsidRPr="00FE433F">
        <w:rPr>
          <w:rFonts w:eastAsia="Calibri"/>
          <w:i/>
          <w:sz w:val="23"/>
          <w:szCs w:val="23"/>
          <w:rtl/>
        </w:rPr>
        <w:t xml:space="preserve"> دوره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position w:val="-6"/>
        </w:rPr>
        <w:object w:dxaOrig="139" w:dyaOrig="240" w14:anchorId="35CA2A91">
          <v:shape id="_x0000_i4016" type="#_x0000_t75" style="width:7.25pt;height:12.1pt" o:ole="">
            <v:imagedata r:id="rId6021" o:title=""/>
          </v:shape>
          <o:OLEObject Type="Embed" ProgID="Equation.DSMT4" ShapeID="_x0000_i4016" DrawAspect="Content" ObjectID="_1791377960" r:id="rId6022"/>
        </w:object>
      </w:r>
      <w:r w:rsidRPr="00FE433F">
        <w:rPr>
          <w:rFonts w:eastAsia="Calibri" w:hint="cs"/>
          <w:i/>
          <w:sz w:val="23"/>
          <w:szCs w:val="23"/>
          <w:rtl/>
        </w:rPr>
        <w:t xml:space="preserve"> </w:t>
      </w:r>
      <w:r w:rsidRPr="00FE433F">
        <w:rPr>
          <w:rFonts w:eastAsia="Calibri"/>
          <w:i/>
          <w:sz w:val="23"/>
          <w:szCs w:val="23"/>
          <w:rtl/>
        </w:rPr>
        <w:t>پرداخت م</w:t>
      </w:r>
      <w:r w:rsidRPr="00FE433F">
        <w:rPr>
          <w:rFonts w:eastAsia="Calibri" w:hint="cs"/>
          <w:i/>
          <w:sz w:val="23"/>
          <w:szCs w:val="23"/>
          <w:rtl/>
        </w:rPr>
        <w:t>ی‌</w:t>
      </w:r>
      <w:r w:rsidRPr="00FE433F">
        <w:rPr>
          <w:rFonts w:eastAsia="Calibri"/>
          <w:i/>
          <w:sz w:val="23"/>
          <w:szCs w:val="23"/>
          <w:rtl/>
        </w:rPr>
        <w:t>شود. 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بودجه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w:t>
      </w:r>
      <w:r w:rsidRPr="00FE433F">
        <w:rPr>
          <w:rFonts w:hint="cs"/>
          <w:i/>
          <w:sz w:val="23"/>
          <w:szCs w:val="23"/>
          <w:rtl/>
        </w:rPr>
        <w:t xml:space="preserve">خانوار </w:t>
      </w:r>
      <w:r w:rsidRPr="00FE433F">
        <w:rPr>
          <w:rFonts w:eastAsia="Calibri"/>
          <w:i/>
          <w:sz w:val="23"/>
          <w:szCs w:val="23"/>
          <w:rtl/>
        </w:rPr>
        <w:t>از تقس</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رابطه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i/>
          <w:sz w:val="23"/>
          <w:szCs w:val="23"/>
          <w:rtl/>
        </w:rPr>
        <w:t>(۸.</w:t>
      </w:r>
      <w:r w:rsidRPr="00FE433F">
        <w:rPr>
          <w:rFonts w:hint="cs"/>
          <w:i/>
          <w:sz w:val="23"/>
          <w:szCs w:val="23"/>
          <w:rtl/>
        </w:rPr>
        <w:t xml:space="preserve"> </w:t>
      </w:r>
      <w:r w:rsidRPr="00FE433F">
        <w:rPr>
          <w:i/>
          <w:sz w:val="23"/>
          <w:szCs w:val="23"/>
          <w:rtl/>
        </w:rPr>
        <w:t>۱)</w:t>
      </w:r>
      <w:r w:rsidRPr="00FE433F">
        <w:rPr>
          <w:rFonts w:eastAsia="Calibri"/>
          <w:i/>
          <w:sz w:val="23"/>
          <w:szCs w:val="23"/>
          <w:rtl/>
        </w:rPr>
        <w:t xml:space="preserve"> بر سطح عموم</w:t>
      </w:r>
      <w:r w:rsidRPr="00FE433F">
        <w:rPr>
          <w:rFonts w:eastAsia="Calibri" w:hint="cs"/>
          <w:i/>
          <w:sz w:val="23"/>
          <w:szCs w:val="23"/>
          <w:rtl/>
        </w:rPr>
        <w:t>ی</w:t>
      </w:r>
      <w:r w:rsidRPr="00FE433F">
        <w:rPr>
          <w:rFonts w:eastAsia="Calibri"/>
          <w:i/>
          <w:sz w:val="23"/>
          <w:szCs w:val="23"/>
          <w:rtl/>
        </w:rPr>
        <w:t xml:space="preserve"> ق</w:t>
      </w:r>
      <w:r w:rsidRPr="00FE433F">
        <w:rPr>
          <w:rFonts w:eastAsia="Calibri" w:hint="cs"/>
          <w:i/>
          <w:sz w:val="23"/>
          <w:szCs w:val="23"/>
          <w:rtl/>
        </w:rPr>
        <w:t>ی</w:t>
      </w:r>
      <w:r w:rsidRPr="00FE433F">
        <w:rPr>
          <w:rFonts w:eastAsia="Calibri" w:hint="eastAsia"/>
          <w:i/>
          <w:sz w:val="23"/>
          <w:szCs w:val="23"/>
          <w:rtl/>
        </w:rPr>
        <w:t>مت</w:t>
      </w:r>
      <w:r w:rsidRPr="00FE433F">
        <w:rPr>
          <w:rFonts w:eastAsia="Calibri"/>
          <w:i/>
          <w:sz w:val="23"/>
          <w:szCs w:val="23"/>
          <w:rtl/>
        </w:rPr>
        <w:t>‌ها بدست م</w:t>
      </w:r>
      <w:r w:rsidRPr="00FE433F">
        <w:rPr>
          <w:rFonts w:eastAsia="Calibri" w:hint="cs"/>
          <w:i/>
          <w:sz w:val="23"/>
          <w:szCs w:val="23"/>
          <w:rtl/>
        </w:rPr>
        <w:t>ی‌</w:t>
      </w:r>
      <w:r w:rsidRPr="00FE433F">
        <w:rPr>
          <w:rFonts w:eastAsia="Calibri"/>
          <w:i/>
          <w:sz w:val="23"/>
          <w:szCs w:val="23"/>
          <w:rtl/>
        </w:rPr>
        <w:t>آ</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بنابرا</w:t>
      </w:r>
      <w:r w:rsidRPr="00FE433F">
        <w:rPr>
          <w:rFonts w:eastAsia="Calibri" w:hint="cs"/>
          <w:i/>
          <w:sz w:val="23"/>
          <w:szCs w:val="23"/>
          <w:rtl/>
        </w:rPr>
        <w:t>ی</w:t>
      </w:r>
      <w:r w:rsidRPr="00FE433F">
        <w:rPr>
          <w:rFonts w:eastAsia="Calibri" w:hint="eastAsia"/>
          <w:i/>
          <w:sz w:val="23"/>
          <w:szCs w:val="23"/>
          <w:rtl/>
        </w:rPr>
        <w:t>ن</w:t>
      </w:r>
    </w:p>
    <w:p w14:paraId="587A10BC" w14:textId="77777777" w:rsidR="00411620" w:rsidRPr="00FE433F" w:rsidRDefault="00411620" w:rsidP="00411620">
      <w:pPr>
        <w:bidi w:val="0"/>
        <w:spacing w:line="216" w:lineRule="auto"/>
        <w:rPr>
          <w:i/>
          <w:sz w:val="23"/>
          <w:szCs w:val="23"/>
          <w:rtl/>
        </w:rPr>
      </w:pPr>
      <w:r w:rsidRPr="00FE433F">
        <w:rPr>
          <w:position w:val="-12"/>
        </w:rPr>
        <w:object w:dxaOrig="4599" w:dyaOrig="360" w14:anchorId="27CFC176">
          <v:shape id="_x0000_i4017" type="#_x0000_t75" style="width:229.9pt;height:18.15pt" o:ole="">
            <v:imagedata r:id="rId6023" o:title=""/>
          </v:shape>
          <o:OLEObject Type="Embed" ProgID="Equation.DSMT4" ShapeID="_x0000_i4017" DrawAspect="Content" ObjectID="_1791377961" r:id="rId6024"/>
        </w:object>
      </w:r>
      <w:r w:rsidRPr="00FE433F">
        <w:rPr>
          <w:i/>
          <w:sz w:val="23"/>
          <w:szCs w:val="23"/>
          <w:rtl/>
        </w:rPr>
        <w:t xml:space="preserve"> </w:t>
      </w:r>
      <w:r w:rsidRPr="00FE433F">
        <w:rPr>
          <w:i/>
          <w:sz w:val="23"/>
          <w:szCs w:val="23"/>
        </w:rPr>
        <w:tab/>
      </w:r>
      <w:r w:rsidRPr="00FE433F">
        <w:rPr>
          <w:i/>
          <w:sz w:val="23"/>
          <w:szCs w:val="23"/>
        </w:rPr>
        <w:tab/>
      </w:r>
      <w:r w:rsidRPr="00FE433F">
        <w:rPr>
          <w:rFonts w:hint="cs"/>
          <w:i/>
          <w:sz w:val="23"/>
          <w:szCs w:val="23"/>
        </w:rPr>
        <w:t xml:space="preserve"> </w:t>
      </w:r>
    </w:p>
    <w:p w14:paraId="5DE0EBDD"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 xml:space="preserve">و یا </w:t>
      </w:r>
    </w:p>
    <w:p w14:paraId="18C568E3" w14:textId="77777777" w:rsidR="00411620" w:rsidRPr="00FE433F" w:rsidRDefault="00411620" w:rsidP="00411620">
      <w:pPr>
        <w:bidi w:val="0"/>
        <w:spacing w:line="216" w:lineRule="auto"/>
        <w:rPr>
          <w:i/>
          <w:sz w:val="23"/>
          <w:szCs w:val="23"/>
          <w:rtl/>
        </w:rPr>
      </w:pPr>
      <w:r w:rsidRPr="00FE433F">
        <w:rPr>
          <w:position w:val="-12"/>
        </w:rPr>
        <w:object w:dxaOrig="4099" w:dyaOrig="360" w14:anchorId="683D9BF7">
          <v:shape id="_x0000_i4018" type="#_x0000_t75" style="width:205.1pt;height:18.15pt" o:ole="">
            <v:imagedata r:id="rId6025" o:title=""/>
          </v:shape>
          <o:OLEObject Type="Embed" ProgID="Equation.DSMT4" ShapeID="_x0000_i4018" DrawAspect="Content" ObjectID="_1791377962" r:id="rId6026"/>
        </w:object>
      </w:r>
      <w:r w:rsidRPr="00FE433F">
        <w:rPr>
          <w:i/>
          <w:sz w:val="23"/>
          <w:szCs w:val="23"/>
          <w:rtl/>
        </w:rPr>
        <w:tab/>
      </w:r>
      <w:r w:rsidRPr="00FE433F">
        <w:rPr>
          <w:i/>
          <w:sz w:val="23"/>
          <w:szCs w:val="23"/>
          <w:rtl/>
        </w:rPr>
        <w:tab/>
      </w:r>
      <w:r w:rsidRPr="00FE433F">
        <w:rPr>
          <w:i/>
          <w:sz w:val="23"/>
          <w:szCs w:val="23"/>
          <w:rtl/>
        </w:rPr>
        <w:tab/>
      </w:r>
      <w:r>
        <w:rPr>
          <w:i/>
          <w:sz w:val="23"/>
          <w:szCs w:val="23"/>
          <w:rtl/>
        </w:rPr>
        <w:tab/>
      </w:r>
      <w:r>
        <w:rPr>
          <w:i/>
          <w:sz w:val="23"/>
          <w:szCs w:val="23"/>
          <w:rtl/>
        </w:rPr>
        <w:tab/>
      </w:r>
      <w:r w:rsidRPr="00FE433F">
        <w:rPr>
          <w:i/>
          <w:sz w:val="23"/>
          <w:szCs w:val="23"/>
          <w:rtl/>
        </w:rPr>
        <w:tab/>
      </w:r>
      <w:r w:rsidRPr="00FE433F">
        <w:rPr>
          <w:i/>
          <w:sz w:val="23"/>
          <w:szCs w:val="23"/>
          <w:rtl/>
        </w:rPr>
        <w:tab/>
      </w:r>
      <w:r w:rsidRPr="00FE433F">
        <w:rPr>
          <w:i/>
          <w:sz w:val="23"/>
          <w:szCs w:val="23"/>
        </w:rPr>
        <w:tab/>
      </w:r>
      <w:r w:rsidRPr="00FE433F">
        <w:rPr>
          <w:i/>
          <w:sz w:val="23"/>
          <w:szCs w:val="23"/>
          <w:rtl/>
        </w:rPr>
        <w:t>(۸. ۲)</w:t>
      </w:r>
      <w:r w:rsidRPr="00FE433F">
        <w:rPr>
          <w:rFonts w:hint="cs"/>
          <w:i/>
          <w:sz w:val="23"/>
          <w:szCs w:val="23"/>
        </w:rPr>
        <w:t xml:space="preserve"> </w:t>
      </w:r>
    </w:p>
    <w:p w14:paraId="685579A5"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که در آن</w:t>
      </w:r>
      <w:r w:rsidRPr="00FE433F">
        <w:rPr>
          <w:position w:val="-28"/>
        </w:rPr>
        <w:object w:dxaOrig="720" w:dyaOrig="639" w14:anchorId="1E95333E">
          <v:shape id="_x0000_i4019" type="#_x0000_t75" style="width:36.3pt;height:32.05pt" o:ole="">
            <v:imagedata r:id="rId6027" o:title=""/>
          </v:shape>
          <o:OLEObject Type="Embed" ProgID="Equation.DSMT4" ShapeID="_x0000_i4019" DrawAspect="Content" ObjectID="_1791377963" r:id="rId6028"/>
        </w:object>
      </w:r>
      <w:r w:rsidRPr="00FE433F">
        <w:rPr>
          <w:rFonts w:eastAsia="Calibri" w:hint="cs"/>
          <w:i/>
          <w:sz w:val="23"/>
          <w:szCs w:val="23"/>
          <w:rtl/>
        </w:rPr>
        <w:t xml:space="preserve"> و</w:t>
      </w:r>
      <w:r w:rsidRPr="00FE433F">
        <w:rPr>
          <w:position w:val="-28"/>
        </w:rPr>
        <w:object w:dxaOrig="859" w:dyaOrig="639" w14:anchorId="5CDB8333">
          <v:shape id="_x0000_i4020" type="#_x0000_t75" style="width:42.95pt;height:32.05pt" o:ole="">
            <v:imagedata r:id="rId6029" o:title=""/>
          </v:shape>
          <o:OLEObject Type="Embed" ProgID="Equation.DSMT4" ShapeID="_x0000_i4020" DrawAspect="Content" ObjectID="_1791377964" r:id="rId6030"/>
        </w:object>
      </w:r>
      <w:r w:rsidRPr="00FE433F">
        <w:rPr>
          <w:rFonts w:eastAsia="Calibri"/>
          <w:i/>
          <w:sz w:val="23"/>
          <w:szCs w:val="23"/>
          <w:rtl/>
        </w:rPr>
        <w:t xml:space="preserve"> </w:t>
      </w:r>
      <w:r w:rsidRPr="00FE433F">
        <w:rPr>
          <w:rFonts w:hint="cs"/>
          <w:i/>
          <w:sz w:val="23"/>
          <w:szCs w:val="23"/>
          <w:rtl/>
        </w:rPr>
        <w:t>می</w:t>
      </w:r>
      <w:r w:rsidRPr="00FE433F">
        <w:rPr>
          <w:i/>
          <w:sz w:val="23"/>
          <w:szCs w:val="23"/>
          <w:rtl/>
        </w:rPr>
        <w:softHyphen/>
      </w:r>
      <w:r w:rsidRPr="00FE433F">
        <w:rPr>
          <w:rFonts w:hint="cs"/>
          <w:i/>
          <w:sz w:val="23"/>
          <w:szCs w:val="23"/>
          <w:rtl/>
        </w:rPr>
        <w:t xml:space="preserve">باشد، </w:t>
      </w:r>
      <w:r w:rsidRPr="00FE433F">
        <w:rPr>
          <w:rFonts w:eastAsia="Calibri"/>
          <w:i/>
          <w:sz w:val="23"/>
          <w:szCs w:val="23"/>
          <w:rtl/>
        </w:rPr>
        <w:t>و تورم برابر است ب</w:t>
      </w:r>
      <w:r w:rsidRPr="00FE433F">
        <w:rPr>
          <w:rFonts w:eastAsia="Calibri" w:hint="cs"/>
          <w:i/>
          <w:sz w:val="23"/>
          <w:szCs w:val="23"/>
          <w:rtl/>
        </w:rPr>
        <w:t>ا</w:t>
      </w:r>
      <w:r w:rsidRPr="00FE433F">
        <w:rPr>
          <w:position w:val="-28"/>
        </w:rPr>
        <w:object w:dxaOrig="1100" w:dyaOrig="639" w14:anchorId="6C4525C6">
          <v:shape id="_x0000_i4021" type="#_x0000_t75" style="width:55.05pt;height:32.05pt" o:ole="">
            <v:imagedata r:id="rId6031" o:title=""/>
          </v:shape>
          <o:OLEObject Type="Embed" ProgID="Equation.DSMT4" ShapeID="_x0000_i4021" DrawAspect="Content" ObjectID="_1791377965" r:id="rId6032"/>
        </w:object>
      </w:r>
      <w:r w:rsidRPr="00FE433F">
        <w:rPr>
          <w:rFonts w:eastAsia="Calibri"/>
          <w:i/>
          <w:sz w:val="23"/>
          <w:szCs w:val="23"/>
          <w:rtl/>
        </w:rPr>
        <w:t xml:space="preserve">. </w:t>
      </w:r>
      <w:r w:rsidRPr="00FE433F">
        <w:rPr>
          <w:rFonts w:eastAsia="Calibri" w:hint="cs"/>
          <w:i/>
          <w:sz w:val="23"/>
          <w:szCs w:val="23"/>
          <w:rtl/>
        </w:rPr>
        <w:t xml:space="preserve">با تفاضل </w:t>
      </w:r>
      <w:r w:rsidRPr="00FE433F">
        <w:rPr>
          <w:position w:val="-12"/>
        </w:rPr>
        <w:object w:dxaOrig="1620" w:dyaOrig="360" w14:anchorId="33C70C80">
          <v:shape id="_x0000_i4022" type="#_x0000_t75" style="width:81.1pt;height:18.15pt" o:ole="">
            <v:imagedata r:id="rId6033" o:title=""/>
          </v:shape>
          <o:OLEObject Type="Embed" ProgID="Equation.DSMT4" ShapeID="_x0000_i4022" DrawAspect="Content" ObjectID="_1791377966" r:id="rId6034"/>
        </w:object>
      </w:r>
      <w:r w:rsidRPr="00FE433F">
        <w:rPr>
          <w:rFonts w:eastAsia="Calibri" w:hint="cs"/>
          <w:i/>
          <w:sz w:val="23"/>
          <w:szCs w:val="23"/>
          <w:rtl/>
        </w:rPr>
        <w:t xml:space="preserve"> از طرفین رابطه</w:t>
      </w:r>
      <w:r w:rsidRPr="00FE433F">
        <w:rPr>
          <w:rFonts w:eastAsia="Calibri"/>
          <w:i/>
          <w:sz w:val="23"/>
          <w:szCs w:val="23"/>
          <w:rtl/>
        </w:rPr>
        <w:softHyphen/>
      </w:r>
      <w:r w:rsidRPr="00FE433F">
        <w:rPr>
          <w:rFonts w:eastAsia="Calibri" w:hint="cs"/>
          <w:i/>
          <w:sz w:val="23"/>
          <w:szCs w:val="23"/>
          <w:rtl/>
        </w:rPr>
        <w:t xml:space="preserve">ی فوق، </w:t>
      </w:r>
      <w:r w:rsidRPr="00FE433F">
        <w:rPr>
          <w:rFonts w:eastAsia="Calibri"/>
          <w:i/>
          <w:sz w:val="23"/>
          <w:szCs w:val="23"/>
          <w:rtl/>
        </w:rPr>
        <w:t>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بودجه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به صورت ز</w:t>
      </w:r>
      <w:r w:rsidRPr="00FE433F">
        <w:rPr>
          <w:rFonts w:eastAsia="Calibri" w:hint="cs"/>
          <w:i/>
          <w:sz w:val="23"/>
          <w:szCs w:val="23"/>
          <w:rtl/>
        </w:rPr>
        <w:t>ی</w:t>
      </w:r>
      <w:r w:rsidRPr="00FE433F">
        <w:rPr>
          <w:rFonts w:eastAsia="Calibri" w:hint="eastAsia"/>
          <w:i/>
          <w:sz w:val="23"/>
          <w:szCs w:val="23"/>
          <w:rtl/>
        </w:rPr>
        <w:t>ر</w:t>
      </w:r>
      <w:r w:rsidRPr="00FE433F">
        <w:rPr>
          <w:rFonts w:eastAsia="Calibri"/>
          <w:i/>
          <w:sz w:val="23"/>
          <w:szCs w:val="23"/>
          <w:rtl/>
        </w:rPr>
        <w:t xml:space="preserve"> </w:t>
      </w:r>
      <w:r w:rsidRPr="00FE433F">
        <w:rPr>
          <w:rFonts w:eastAsia="Calibri" w:hint="eastAsia"/>
          <w:i/>
          <w:sz w:val="23"/>
          <w:szCs w:val="23"/>
          <w:rtl/>
        </w:rPr>
        <w:t>بازنو</w:t>
      </w:r>
      <w:r w:rsidRPr="00FE433F">
        <w:rPr>
          <w:rFonts w:eastAsia="Calibri" w:hint="cs"/>
          <w:i/>
          <w:sz w:val="23"/>
          <w:szCs w:val="23"/>
          <w:rtl/>
        </w:rPr>
        <w:t>ی</w:t>
      </w:r>
      <w:r w:rsidRPr="00FE433F">
        <w:rPr>
          <w:rFonts w:eastAsia="Calibri" w:hint="eastAsia"/>
          <w:i/>
          <w:sz w:val="23"/>
          <w:szCs w:val="23"/>
          <w:rtl/>
        </w:rPr>
        <w:t>س</w:t>
      </w:r>
      <w:r w:rsidRPr="00FE433F">
        <w:rPr>
          <w:rFonts w:eastAsia="Calibri" w:hint="cs"/>
          <w:i/>
          <w:sz w:val="23"/>
          <w:szCs w:val="23"/>
          <w:rtl/>
        </w:rPr>
        <w:t>ی</w:t>
      </w:r>
      <w:r w:rsidRPr="00FE433F">
        <w:rPr>
          <w:rFonts w:eastAsia="Calibri"/>
          <w:i/>
          <w:sz w:val="23"/>
          <w:szCs w:val="23"/>
          <w:rtl/>
        </w:rPr>
        <w:t xml:space="preserve"> </w:t>
      </w:r>
      <w:r w:rsidRPr="00FE433F">
        <w:rPr>
          <w:rFonts w:eastAsia="Calibri" w:hint="cs"/>
          <w:i/>
          <w:sz w:val="23"/>
          <w:szCs w:val="23"/>
          <w:rtl/>
        </w:rPr>
        <w:t>می</w:t>
      </w:r>
      <w:r w:rsidRPr="00FE433F">
        <w:rPr>
          <w:rFonts w:eastAsia="Calibri"/>
          <w:i/>
          <w:sz w:val="23"/>
          <w:szCs w:val="23"/>
          <w:rtl/>
        </w:rPr>
        <w:softHyphen/>
      </w:r>
      <w:r w:rsidRPr="00FE433F">
        <w:rPr>
          <w:rFonts w:eastAsia="Calibri" w:hint="cs"/>
          <w:i/>
          <w:sz w:val="23"/>
          <w:szCs w:val="23"/>
          <w:rtl/>
        </w:rPr>
        <w:t>شو</w:t>
      </w:r>
      <w:r w:rsidRPr="00FE433F">
        <w:rPr>
          <w:rFonts w:eastAsia="Calibri" w:hint="eastAsia"/>
          <w:i/>
          <w:sz w:val="23"/>
          <w:szCs w:val="23"/>
          <w:rtl/>
        </w:rPr>
        <w:t>د؛</w:t>
      </w:r>
    </w:p>
    <w:p w14:paraId="32289D16" w14:textId="77777777" w:rsidR="00411620" w:rsidRPr="00FE433F" w:rsidRDefault="00411620" w:rsidP="00411620">
      <w:pPr>
        <w:pStyle w:val="MTDisplayEquation"/>
        <w:tabs>
          <w:tab w:val="clear" w:pos="6660"/>
        </w:tabs>
        <w:spacing w:line="216" w:lineRule="auto"/>
        <w:rPr>
          <w:rFonts w:ascii="Times New Roman" w:eastAsia="Times New Roman" w:hAnsi="Times New Roman" w:cs="B Nazanin"/>
          <w:i/>
          <w:sz w:val="23"/>
          <w:szCs w:val="23"/>
          <w:rtl/>
          <w:lang w:bidi="fa-IR"/>
        </w:rPr>
      </w:pPr>
      <w:r w:rsidRPr="00FE433F">
        <w:rPr>
          <w:position w:val="-30"/>
        </w:rPr>
        <w:object w:dxaOrig="4920" w:dyaOrig="700" w14:anchorId="76374FCE">
          <v:shape id="_x0000_i4023" type="#_x0000_t75" style="width:246.25pt;height:35.1pt" o:ole="">
            <v:imagedata r:id="rId6035" o:title=""/>
          </v:shape>
          <o:OLEObject Type="Embed" ProgID="Equation.DSMT4" ShapeID="_x0000_i4023" DrawAspect="Content" ObjectID="_1791377967" r:id="rId6036"/>
        </w:object>
      </w:r>
      <w:r w:rsidRPr="00FE433F">
        <w:rPr>
          <w:rFonts w:ascii="Times New Roman" w:hAnsi="Times New Roman" w:cs="B Nazanin"/>
          <w:i/>
          <w:sz w:val="23"/>
          <w:szCs w:val="23"/>
        </w:rPr>
        <w:tab/>
      </w:r>
      <w:r w:rsidRPr="00FE433F">
        <w:rPr>
          <w:rFonts w:ascii="Times New Roman" w:hAnsi="Times New Roman" w:cs="B Nazanin"/>
          <w:i/>
          <w:sz w:val="23"/>
          <w:szCs w:val="23"/>
          <w:rtl/>
        </w:rPr>
        <w:tab/>
      </w:r>
      <w:r>
        <w:rPr>
          <w:rFonts w:ascii="Times New Roman" w:hAnsi="Times New Roman" w:cs="B Nazanin"/>
          <w:i/>
          <w:sz w:val="23"/>
          <w:szCs w:val="23"/>
          <w:rtl/>
        </w:rPr>
        <w:tab/>
      </w:r>
      <w:r>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lang w:bidi="fa-IR"/>
        </w:rPr>
        <w:t>(۸. ۳)</w:t>
      </w:r>
    </w:p>
    <w:p w14:paraId="5B1F2F48" w14:textId="77777777" w:rsidR="00411620" w:rsidRPr="00FE433F" w:rsidRDefault="00411620" w:rsidP="00411620">
      <w:pPr>
        <w:spacing w:line="216" w:lineRule="auto"/>
        <w:rPr>
          <w:rFonts w:eastAsia="Calibri"/>
          <w:i/>
          <w:sz w:val="23"/>
          <w:szCs w:val="23"/>
          <w:rtl/>
        </w:rPr>
      </w:pPr>
      <w:r w:rsidRPr="00FE433F">
        <w:rPr>
          <w:i/>
          <w:sz w:val="23"/>
          <w:szCs w:val="23"/>
          <w:rtl/>
        </w:rPr>
        <w:t xml:space="preserve"> با مقا</w:t>
      </w:r>
      <w:r w:rsidRPr="00FE433F">
        <w:rPr>
          <w:rFonts w:hint="cs"/>
          <w:i/>
          <w:sz w:val="23"/>
          <w:szCs w:val="23"/>
          <w:rtl/>
        </w:rPr>
        <w:t>ی</w:t>
      </w:r>
      <w:r w:rsidRPr="00FE433F">
        <w:rPr>
          <w:rFonts w:hint="eastAsia"/>
          <w:i/>
          <w:sz w:val="23"/>
          <w:szCs w:val="23"/>
          <w:rtl/>
        </w:rPr>
        <w:t>سه</w:t>
      </w:r>
      <w:r w:rsidRPr="00FE433F">
        <w:rPr>
          <w:i/>
          <w:sz w:val="23"/>
          <w:szCs w:val="23"/>
          <w:rtl/>
        </w:rPr>
        <w:softHyphen/>
      </w:r>
      <w:r w:rsidRPr="00FE433F">
        <w:rPr>
          <w:rFonts w:hint="cs"/>
          <w:i/>
          <w:sz w:val="23"/>
          <w:szCs w:val="23"/>
          <w:rtl/>
        </w:rPr>
        <w:t>ی</w:t>
      </w:r>
      <w:r w:rsidRPr="00FE433F">
        <w:rPr>
          <w:i/>
          <w:sz w:val="23"/>
          <w:szCs w:val="23"/>
          <w:rtl/>
        </w:rPr>
        <w:t xml:space="preserve"> رابطه</w:t>
      </w:r>
      <w:r w:rsidRPr="00FE433F">
        <w:rPr>
          <w:rFonts w:hint="eastAsia"/>
          <w:i/>
          <w:sz w:val="23"/>
          <w:szCs w:val="23"/>
        </w:rPr>
        <w:t>‌</w:t>
      </w:r>
      <w:r w:rsidRPr="00FE433F">
        <w:rPr>
          <w:rFonts w:hint="cs"/>
          <w:i/>
          <w:sz w:val="23"/>
          <w:szCs w:val="23"/>
          <w:rtl/>
        </w:rPr>
        <w:t>ی</w:t>
      </w:r>
      <w:r w:rsidRPr="00FE433F">
        <w:rPr>
          <w:i/>
          <w:sz w:val="23"/>
          <w:szCs w:val="23"/>
          <w:rtl/>
        </w:rPr>
        <w:t xml:space="preserve"> (۸. ۳)</w:t>
      </w:r>
      <w:r w:rsidRPr="00FE433F">
        <w:rPr>
          <w:rFonts w:eastAsia="Calibri"/>
          <w:i/>
          <w:sz w:val="23"/>
          <w:szCs w:val="23"/>
          <w:rtl/>
        </w:rPr>
        <w:t xml:space="preserve"> با 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بودجه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Pr>
        <w:t xml:space="preserve"> </w:t>
      </w:r>
      <w:r w:rsidRPr="00FE433F">
        <w:rPr>
          <w:rFonts w:eastAsia="Calibri" w:hint="cs"/>
          <w:i/>
          <w:sz w:val="23"/>
          <w:szCs w:val="23"/>
          <w:rtl/>
        </w:rPr>
        <w:t>در</w:t>
      </w:r>
      <w:r w:rsidRPr="00FE433F">
        <w:rPr>
          <w:rFonts w:eastAsia="Calibri"/>
          <w:i/>
          <w:sz w:val="23"/>
          <w:szCs w:val="23"/>
          <w:rtl/>
        </w:rPr>
        <w:t xml:space="preserve"> فصل چهارم به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نت</w:t>
      </w:r>
      <w:r w:rsidRPr="00FE433F">
        <w:rPr>
          <w:rFonts w:eastAsia="Calibri" w:hint="cs"/>
          <w:i/>
          <w:sz w:val="23"/>
          <w:szCs w:val="23"/>
          <w:rtl/>
        </w:rPr>
        <w:t>ی</w:t>
      </w:r>
      <w:r w:rsidRPr="00FE433F">
        <w:rPr>
          <w:rFonts w:eastAsia="Calibri" w:hint="eastAsia"/>
          <w:i/>
          <w:sz w:val="23"/>
          <w:szCs w:val="23"/>
          <w:rtl/>
        </w:rPr>
        <w:t>جه</w:t>
      </w:r>
      <w:r w:rsidRPr="00FE433F">
        <w:rPr>
          <w:rFonts w:eastAsia="Calibri"/>
          <w:i/>
          <w:sz w:val="23"/>
          <w:szCs w:val="23"/>
          <w:rtl/>
        </w:rPr>
        <w:t xml:space="preserve"> خواه</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رس</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که کل دارا</w:t>
      </w:r>
      <w:r w:rsidRPr="00FE433F">
        <w:rPr>
          <w:rFonts w:eastAsia="Calibri" w:hint="cs"/>
          <w:i/>
          <w:sz w:val="23"/>
          <w:szCs w:val="23"/>
          <w:rtl/>
        </w:rPr>
        <w:t>یی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برابر است با</w:t>
      </w:r>
    </w:p>
    <w:p w14:paraId="5665B246" w14:textId="77777777" w:rsidR="00411620" w:rsidRPr="00FE433F" w:rsidRDefault="00411620" w:rsidP="00411620">
      <w:pPr>
        <w:bidi w:val="0"/>
        <w:spacing w:line="216" w:lineRule="auto"/>
        <w:rPr>
          <w:i/>
          <w:sz w:val="23"/>
          <w:szCs w:val="23"/>
          <w:rtl/>
        </w:rPr>
      </w:pPr>
      <w:r w:rsidRPr="00FE433F">
        <w:rPr>
          <w:i/>
          <w:sz w:val="23"/>
          <w:szCs w:val="23"/>
          <w:rtl/>
        </w:rPr>
        <w:t xml:space="preserve"> </w:t>
      </w:r>
      <w:r w:rsidRPr="00FE433F">
        <w:rPr>
          <w:position w:val="-10"/>
        </w:rPr>
        <w:object w:dxaOrig="1060" w:dyaOrig="320" w14:anchorId="42FD92B6">
          <v:shape id="_x0000_i4024" type="#_x0000_t75" style="width:53.25pt;height:16.35pt" o:ole="">
            <v:imagedata r:id="rId6037" o:title=""/>
          </v:shape>
          <o:OLEObject Type="Embed" ProgID="Equation.DSMT4" ShapeID="_x0000_i4024" DrawAspect="Content" ObjectID="_1791377968" r:id="rId6038"/>
        </w:object>
      </w:r>
    </w:p>
    <w:p w14:paraId="16750E75" w14:textId="77777777" w:rsidR="00411620" w:rsidRPr="00FE433F" w:rsidRDefault="00411620" w:rsidP="00411620">
      <w:pPr>
        <w:spacing w:line="216" w:lineRule="auto"/>
        <w:rPr>
          <w:rFonts w:eastAsia="Calibri"/>
          <w:i/>
          <w:sz w:val="23"/>
          <w:szCs w:val="23"/>
          <w:rtl/>
        </w:rPr>
      </w:pPr>
      <w:r w:rsidRPr="00FE433F">
        <w:rPr>
          <w:rFonts w:eastAsia="Calibri"/>
          <w:i/>
          <w:sz w:val="23"/>
          <w:szCs w:val="23"/>
        </w:rPr>
        <w:t xml:space="preserve"> </w:t>
      </w:r>
      <w:r w:rsidRPr="00FE433F">
        <w:rPr>
          <w:rFonts w:eastAsia="Calibri"/>
          <w:i/>
          <w:sz w:val="23"/>
          <w:szCs w:val="23"/>
          <w:rtl/>
        </w:rPr>
        <w:t>و نرخ بازده</w:t>
      </w:r>
      <w:r w:rsidRPr="00FE433F">
        <w:rPr>
          <w:rFonts w:eastAsia="Calibri" w:hint="cs"/>
          <w:i/>
          <w:sz w:val="23"/>
          <w:szCs w:val="23"/>
          <w:rtl/>
        </w:rPr>
        <w:t>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اوراق قرضه دولت</w:t>
      </w:r>
      <w:r w:rsidRPr="00FE433F">
        <w:rPr>
          <w:rFonts w:eastAsia="Calibri" w:hint="cs"/>
          <w:i/>
          <w:sz w:val="23"/>
          <w:szCs w:val="23"/>
          <w:rtl/>
        </w:rPr>
        <w:t>ی</w:t>
      </w:r>
      <w:r w:rsidRPr="00FE433F">
        <w:rPr>
          <w:rFonts w:eastAsia="Calibri"/>
          <w:i/>
          <w:sz w:val="23"/>
          <w:szCs w:val="23"/>
          <w:rtl/>
        </w:rPr>
        <w:t xml:space="preserve"> برابر است با</w:t>
      </w:r>
    </w:p>
    <w:p w14:paraId="23B86EFB" w14:textId="77777777" w:rsidR="00411620" w:rsidRPr="00FE433F" w:rsidRDefault="00411620" w:rsidP="00411620">
      <w:pPr>
        <w:bidi w:val="0"/>
        <w:spacing w:line="216" w:lineRule="auto"/>
        <w:rPr>
          <w:i/>
          <w:sz w:val="23"/>
          <w:szCs w:val="23"/>
          <w:rtl/>
        </w:rPr>
      </w:pPr>
      <w:r w:rsidRPr="00FE433F">
        <w:rPr>
          <w:i/>
          <w:sz w:val="23"/>
          <w:szCs w:val="23"/>
          <w:rtl/>
        </w:rPr>
        <w:t xml:space="preserve"> </w:t>
      </w:r>
      <w:r w:rsidRPr="00FE433F">
        <w:rPr>
          <w:position w:val="-28"/>
        </w:rPr>
        <w:object w:dxaOrig="3540" w:dyaOrig="639" w14:anchorId="14F23A25">
          <v:shape id="_x0000_i4025" type="#_x0000_t75" style="width:177.3pt;height:32.05pt" o:ole="">
            <v:imagedata r:id="rId6039" o:title=""/>
          </v:shape>
          <o:OLEObject Type="Embed" ProgID="Equation.DSMT4" ShapeID="_x0000_i4025" DrawAspect="Content" ObjectID="_1791377969" r:id="rId6040"/>
        </w:object>
      </w:r>
      <w:r w:rsidRPr="00FE433F">
        <w:rPr>
          <w:i/>
          <w:sz w:val="23"/>
          <w:szCs w:val="23"/>
          <w:rtl/>
        </w:rPr>
        <w:t xml:space="preserve"> </w:t>
      </w:r>
    </w:p>
    <w:p w14:paraId="758649CE"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و نرخ بازده</w:t>
      </w:r>
      <w:r w:rsidRPr="00FE433F">
        <w:rPr>
          <w:rFonts w:eastAsia="Calibri" w:hint="cs"/>
          <w:i/>
          <w:sz w:val="23"/>
          <w:szCs w:val="23"/>
          <w:rtl/>
        </w:rPr>
        <w:t>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پول </w:t>
      </w:r>
      <w:r w:rsidRPr="00FE433F">
        <w:rPr>
          <w:rFonts w:eastAsia="Calibri" w:hint="cs"/>
          <w:i/>
          <w:sz w:val="23"/>
          <w:szCs w:val="23"/>
          <w:rtl/>
        </w:rPr>
        <w:t xml:space="preserve">نیز </w:t>
      </w:r>
      <w:r w:rsidRPr="00FE433F">
        <w:rPr>
          <w:rFonts w:eastAsia="Calibri"/>
          <w:i/>
          <w:sz w:val="23"/>
          <w:szCs w:val="23"/>
          <w:rtl/>
        </w:rPr>
        <w:t>برابر است با</w:t>
      </w:r>
      <w:r w:rsidRPr="00FE433F">
        <w:rPr>
          <w:position w:val="-10"/>
        </w:rPr>
        <w:object w:dxaOrig="499" w:dyaOrig="320" w14:anchorId="2BAD51BE">
          <v:shape id="_x0000_i4026" type="#_x0000_t75" style="width:24.8pt;height:16.35pt" o:ole="">
            <v:imagedata r:id="rId6041" o:title=""/>
          </v:shape>
          <o:OLEObject Type="Embed" ProgID="Equation.DSMT4" ShapeID="_x0000_i4026" DrawAspect="Content" ObjectID="_1791377970" r:id="rId6042"/>
        </w:object>
      </w:r>
      <w:r w:rsidRPr="00FE433F">
        <w:rPr>
          <w:rFonts w:eastAsia="Calibri"/>
          <w:i/>
          <w:sz w:val="23"/>
          <w:szCs w:val="23"/>
          <w:rtl/>
        </w:rPr>
        <w:t>. در ا</w:t>
      </w:r>
      <w:r w:rsidRPr="00FE433F">
        <w:rPr>
          <w:rFonts w:eastAsia="Calibri" w:hint="cs"/>
          <w:i/>
          <w:sz w:val="23"/>
          <w:szCs w:val="23"/>
          <w:rtl/>
        </w:rPr>
        <w:t>ی</w:t>
      </w:r>
      <w:r w:rsidRPr="00FE433F">
        <w:rPr>
          <w:rFonts w:eastAsia="Calibri" w:hint="eastAsia"/>
          <w:i/>
          <w:sz w:val="23"/>
          <w:szCs w:val="23"/>
          <w:rtl/>
        </w:rPr>
        <w:t>نجا</w:t>
      </w:r>
      <w:r w:rsidRPr="00FE433F">
        <w:rPr>
          <w:rFonts w:eastAsia="Calibri"/>
          <w:i/>
          <w:sz w:val="23"/>
          <w:szCs w:val="23"/>
          <w:rtl/>
        </w:rPr>
        <w:t xml:space="preserve"> فرض </w:t>
      </w:r>
      <w:r w:rsidRPr="00FE433F">
        <w:rPr>
          <w:rFonts w:eastAsia="Calibri" w:hint="eastAsia"/>
          <w:i/>
          <w:sz w:val="23"/>
          <w:szCs w:val="23"/>
          <w:rtl/>
        </w:rPr>
        <w:t>م</w:t>
      </w:r>
      <w:r w:rsidRPr="00FE433F">
        <w:rPr>
          <w:rFonts w:eastAsia="Calibri" w:hint="cs"/>
          <w:i/>
          <w:sz w:val="23"/>
          <w:szCs w:val="23"/>
          <w:rtl/>
        </w:rPr>
        <w:t>ی</w:t>
      </w:r>
      <w:r w:rsidRPr="00FE433F">
        <w:rPr>
          <w:rFonts w:eastAsia="Calibri"/>
          <w:i/>
          <w:sz w:val="23"/>
          <w:szCs w:val="23"/>
          <w:rtl/>
        </w:rPr>
        <w:softHyphen/>
      </w:r>
      <w:r w:rsidRPr="00FE433F">
        <w:rPr>
          <w:rFonts w:hint="cs"/>
          <w:i/>
          <w:sz w:val="23"/>
          <w:szCs w:val="23"/>
          <w:rtl/>
        </w:rPr>
        <w:t>شود</w:t>
      </w:r>
      <w:r w:rsidRPr="00FE433F">
        <w:rPr>
          <w:rFonts w:eastAsia="Calibri"/>
          <w:i/>
          <w:sz w:val="23"/>
          <w:szCs w:val="23"/>
          <w:rtl/>
        </w:rPr>
        <w:t xml:space="preserve"> که پ</w:t>
      </w:r>
      <w:r w:rsidRPr="00FE433F">
        <w:rPr>
          <w:rFonts w:eastAsia="Calibri" w:hint="cs"/>
          <w:i/>
          <w:sz w:val="23"/>
          <w:szCs w:val="23"/>
          <w:rtl/>
        </w:rPr>
        <w:t>ی</w:t>
      </w:r>
      <w:r w:rsidRPr="00FE433F">
        <w:rPr>
          <w:rFonts w:eastAsia="Calibri" w:hint="eastAsia"/>
          <w:i/>
          <w:sz w:val="23"/>
          <w:szCs w:val="23"/>
          <w:rtl/>
        </w:rPr>
        <w:t>ش</w:t>
      </w:r>
      <w:r w:rsidRPr="00FE433F">
        <w:rPr>
          <w:i/>
          <w:sz w:val="23"/>
          <w:szCs w:val="23"/>
          <w:rtl/>
        </w:rPr>
        <w:softHyphen/>
      </w:r>
      <w:r w:rsidRPr="00FE433F">
        <w:rPr>
          <w:rFonts w:eastAsia="Calibri" w:hint="eastAsia"/>
          <w:i/>
          <w:sz w:val="23"/>
          <w:szCs w:val="23"/>
          <w:rtl/>
        </w:rPr>
        <w:t>ب</w:t>
      </w:r>
      <w:r w:rsidRPr="00FE433F">
        <w:rPr>
          <w:rFonts w:eastAsia="Calibri" w:hint="cs"/>
          <w:i/>
          <w:sz w:val="23"/>
          <w:szCs w:val="23"/>
          <w:rtl/>
        </w:rPr>
        <w:t>ی</w:t>
      </w:r>
      <w:r w:rsidRPr="00FE433F">
        <w:rPr>
          <w:rFonts w:eastAsia="Calibri" w:hint="eastAsia"/>
          <w:i/>
          <w:sz w:val="23"/>
          <w:szCs w:val="23"/>
          <w:rtl/>
        </w:rPr>
        <w:t>ن</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دق</w:t>
      </w:r>
      <w:r w:rsidRPr="00FE433F">
        <w:rPr>
          <w:rFonts w:eastAsia="Calibri" w:hint="cs"/>
          <w:i/>
          <w:sz w:val="23"/>
          <w:szCs w:val="23"/>
          <w:rtl/>
        </w:rPr>
        <w:t>ی</w:t>
      </w:r>
      <w:r w:rsidRPr="00FE433F">
        <w:rPr>
          <w:rFonts w:eastAsia="Calibri" w:hint="eastAsia"/>
          <w:i/>
          <w:sz w:val="23"/>
          <w:szCs w:val="23"/>
          <w:rtl/>
        </w:rPr>
        <w:t>ق</w:t>
      </w:r>
      <w:r w:rsidRPr="00FE433F">
        <w:rPr>
          <w:rFonts w:eastAsia="Calibri"/>
          <w:i/>
          <w:sz w:val="23"/>
          <w:szCs w:val="23"/>
          <w:rtl/>
        </w:rPr>
        <w:t xml:space="preserve"> </w:t>
      </w:r>
      <w:r w:rsidRPr="00FE433F">
        <w:rPr>
          <w:rFonts w:eastAsia="Calibri" w:hint="eastAsia"/>
          <w:i/>
          <w:sz w:val="23"/>
          <w:szCs w:val="23"/>
          <w:rtl/>
        </w:rPr>
        <w:t>است</w:t>
      </w:r>
      <w:r w:rsidRPr="00FE433F">
        <w:rPr>
          <w:rFonts w:eastAsia="Calibri" w:hint="cs"/>
          <w:i/>
          <w:sz w:val="23"/>
          <w:szCs w:val="23"/>
          <w:rtl/>
        </w:rPr>
        <w:t xml:space="preserve">، یعنی </w:t>
      </w:r>
      <w:r w:rsidRPr="00FE433F">
        <w:rPr>
          <w:position w:val="-10"/>
        </w:rPr>
        <w:object w:dxaOrig="1140" w:dyaOrig="320" w14:anchorId="3325B79F">
          <v:shape id="_x0000_i4027" type="#_x0000_t75" style="width:56.85pt;height:16.35pt" o:ole="">
            <v:imagedata r:id="rId6043" o:title=""/>
          </v:shape>
          <o:OLEObject Type="Embed" ProgID="Equation.DSMT4" ShapeID="_x0000_i4027" DrawAspect="Content" ObjectID="_1791377971" r:id="rId6044"/>
        </w:object>
      </w:r>
      <w:r w:rsidRPr="00FE433F">
        <w:rPr>
          <w:rFonts w:eastAsia="Calibri"/>
          <w:i/>
          <w:sz w:val="23"/>
          <w:szCs w:val="23"/>
          <w:rtl/>
        </w:rPr>
        <w:t xml:space="preserve">. </w:t>
      </w:r>
      <w:r w:rsidRPr="00FE433F">
        <w:rPr>
          <w:rFonts w:eastAsia="Calibri" w:hint="eastAsia"/>
          <w:i/>
          <w:sz w:val="23"/>
          <w:szCs w:val="23"/>
          <w:rtl/>
        </w:rPr>
        <w:t>چنانچه</w:t>
      </w:r>
      <w:r w:rsidRPr="00FE433F">
        <w:rPr>
          <w:rFonts w:eastAsia="Calibri"/>
          <w:i/>
          <w:sz w:val="23"/>
          <w:szCs w:val="23"/>
          <w:rtl/>
        </w:rPr>
        <w:t xml:space="preserve"> </w:t>
      </w:r>
      <w:r w:rsidRPr="00FE433F">
        <w:rPr>
          <w:rFonts w:eastAsia="Calibri" w:hint="eastAsia"/>
          <w:i/>
          <w:sz w:val="23"/>
          <w:szCs w:val="23"/>
          <w:rtl/>
        </w:rPr>
        <w:t>پ</w:t>
      </w:r>
      <w:r w:rsidRPr="00FE433F">
        <w:rPr>
          <w:rFonts w:eastAsia="Calibri" w:hint="cs"/>
          <w:i/>
          <w:sz w:val="23"/>
          <w:szCs w:val="23"/>
          <w:rtl/>
        </w:rPr>
        <w:t>ی</w:t>
      </w:r>
      <w:r w:rsidRPr="00FE433F">
        <w:rPr>
          <w:rFonts w:eastAsia="Calibri" w:hint="eastAsia"/>
          <w:i/>
          <w:sz w:val="23"/>
          <w:szCs w:val="23"/>
          <w:rtl/>
        </w:rPr>
        <w:t>ش</w:t>
      </w:r>
      <w:r w:rsidRPr="00FE433F">
        <w:rPr>
          <w:i/>
          <w:sz w:val="23"/>
          <w:szCs w:val="23"/>
          <w:rtl/>
        </w:rPr>
        <w:softHyphen/>
      </w:r>
      <w:r w:rsidRPr="00FE433F">
        <w:rPr>
          <w:rFonts w:eastAsia="Calibri" w:hint="eastAsia"/>
          <w:i/>
          <w:sz w:val="23"/>
          <w:szCs w:val="23"/>
          <w:rtl/>
        </w:rPr>
        <w:t>ب</w:t>
      </w:r>
      <w:r w:rsidRPr="00FE433F">
        <w:rPr>
          <w:rFonts w:eastAsia="Calibri" w:hint="cs"/>
          <w:i/>
          <w:sz w:val="23"/>
          <w:szCs w:val="23"/>
          <w:rtl/>
        </w:rPr>
        <w:t>ی</w:t>
      </w:r>
      <w:r w:rsidRPr="00FE433F">
        <w:rPr>
          <w:rFonts w:eastAsia="Calibri" w:hint="eastAsia"/>
          <w:i/>
          <w:sz w:val="23"/>
          <w:szCs w:val="23"/>
          <w:rtl/>
        </w:rPr>
        <w:t>ن</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دق</w:t>
      </w:r>
      <w:r w:rsidRPr="00FE433F">
        <w:rPr>
          <w:rFonts w:eastAsia="Calibri" w:hint="cs"/>
          <w:i/>
          <w:sz w:val="23"/>
          <w:szCs w:val="23"/>
          <w:rtl/>
        </w:rPr>
        <w:t>ی</w:t>
      </w:r>
      <w:r w:rsidRPr="00FE433F">
        <w:rPr>
          <w:rFonts w:eastAsia="Calibri" w:hint="eastAsia"/>
          <w:i/>
          <w:sz w:val="23"/>
          <w:szCs w:val="23"/>
          <w:rtl/>
        </w:rPr>
        <w:t>ق</w:t>
      </w:r>
      <w:r w:rsidRPr="00FE433F">
        <w:rPr>
          <w:rFonts w:eastAsia="Calibri"/>
          <w:i/>
          <w:sz w:val="23"/>
          <w:szCs w:val="23"/>
          <w:rtl/>
        </w:rPr>
        <w:t xml:space="preserve"> </w:t>
      </w:r>
      <w:r w:rsidRPr="00FE433F">
        <w:rPr>
          <w:rFonts w:eastAsia="Calibri" w:hint="eastAsia"/>
          <w:i/>
          <w:sz w:val="23"/>
          <w:szCs w:val="23"/>
          <w:rtl/>
        </w:rPr>
        <w:t>نباشد</w:t>
      </w:r>
      <w:r w:rsidRPr="00FE433F">
        <w:rPr>
          <w:rFonts w:eastAsia="Calibri" w:hint="cs"/>
          <w:i/>
          <w:sz w:val="23"/>
          <w:szCs w:val="23"/>
          <w:rtl/>
        </w:rPr>
        <w:t>،</w:t>
      </w:r>
      <w:r w:rsidRPr="00FE433F">
        <w:rPr>
          <w:rFonts w:eastAsia="Calibri"/>
          <w:i/>
          <w:sz w:val="23"/>
          <w:szCs w:val="23"/>
          <w:rtl/>
        </w:rPr>
        <w:t xml:space="preserve"> </w:t>
      </w:r>
      <w:r w:rsidRPr="00FE433F">
        <w:rPr>
          <w:rFonts w:eastAsia="Calibri" w:hint="eastAsia"/>
          <w:i/>
          <w:sz w:val="23"/>
          <w:szCs w:val="23"/>
          <w:rtl/>
        </w:rPr>
        <w:t>آنگاه</w:t>
      </w:r>
      <w:r w:rsidRPr="00FE433F">
        <w:rPr>
          <w:rFonts w:eastAsia="Calibri"/>
          <w:i/>
          <w:sz w:val="23"/>
          <w:szCs w:val="23"/>
          <w:rtl/>
        </w:rPr>
        <w:t xml:space="preserve"> </w:t>
      </w:r>
      <w:r w:rsidRPr="00FE433F">
        <w:rPr>
          <w:rFonts w:eastAsia="Calibri" w:hint="eastAsia"/>
          <w:i/>
          <w:sz w:val="23"/>
          <w:szCs w:val="23"/>
          <w:rtl/>
        </w:rPr>
        <w:t>نرخ</w:t>
      </w:r>
      <w:r w:rsidRPr="00FE433F">
        <w:rPr>
          <w:rFonts w:eastAsia="Calibri"/>
          <w:i/>
          <w:sz w:val="23"/>
          <w:szCs w:val="23"/>
          <w:rtl/>
        </w:rPr>
        <w:t xml:space="preserve"> </w:t>
      </w:r>
      <w:r w:rsidRPr="00FE433F">
        <w:rPr>
          <w:rFonts w:eastAsia="Calibri" w:hint="eastAsia"/>
          <w:i/>
          <w:sz w:val="23"/>
          <w:szCs w:val="23"/>
          <w:rtl/>
        </w:rPr>
        <w:t>بهره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با </w:t>
      </w:r>
      <w:r w:rsidRPr="00FE433F">
        <w:rPr>
          <w:rFonts w:hint="cs"/>
          <w:i/>
          <w:sz w:val="23"/>
          <w:szCs w:val="23"/>
          <w:rtl/>
        </w:rPr>
        <w:t>معادله</w:t>
      </w:r>
      <w:r w:rsidRPr="00FE433F">
        <w:rPr>
          <w:i/>
          <w:sz w:val="23"/>
          <w:szCs w:val="23"/>
          <w:rtl/>
        </w:rPr>
        <w:softHyphen/>
      </w:r>
      <w:r w:rsidRPr="00FE433F">
        <w:rPr>
          <w:rFonts w:hint="cs"/>
          <w:i/>
          <w:sz w:val="23"/>
          <w:szCs w:val="23"/>
          <w:rtl/>
        </w:rPr>
        <w:t>ی</w:t>
      </w:r>
      <w:r w:rsidRPr="00FE433F">
        <w:rPr>
          <w:rFonts w:eastAsia="Calibri"/>
          <w:i/>
          <w:sz w:val="23"/>
          <w:szCs w:val="23"/>
          <w:rtl/>
        </w:rPr>
        <w:t xml:space="preserve"> ف</w:t>
      </w:r>
      <w:r w:rsidRPr="00FE433F">
        <w:rPr>
          <w:rFonts w:eastAsia="Calibri" w:hint="cs"/>
          <w:i/>
          <w:sz w:val="23"/>
          <w:szCs w:val="23"/>
          <w:rtl/>
        </w:rPr>
        <w:t>ی</w:t>
      </w:r>
      <w:r w:rsidRPr="00FE433F">
        <w:rPr>
          <w:rFonts w:eastAsia="Calibri" w:hint="eastAsia"/>
          <w:i/>
          <w:sz w:val="23"/>
          <w:szCs w:val="23"/>
          <w:rtl/>
        </w:rPr>
        <w:t>شر</w:t>
      </w:r>
      <w:r w:rsidRPr="00FE433F">
        <w:rPr>
          <w:rFonts w:eastAsia="Calibri" w:hint="cs"/>
          <w:i/>
          <w:sz w:val="23"/>
          <w:szCs w:val="23"/>
          <w:rtl/>
        </w:rPr>
        <w:t>،</w:t>
      </w:r>
      <w:r w:rsidRPr="00FE433F">
        <w:rPr>
          <w:i/>
          <w:sz w:val="23"/>
          <w:szCs w:val="23"/>
          <w:rtl/>
        </w:rPr>
        <w:t xml:space="preserve"> </w:t>
      </w:r>
      <w:r w:rsidRPr="00FE433F">
        <w:rPr>
          <w:rFonts w:eastAsia="Calibri" w:hint="cs"/>
          <w:i/>
          <w:sz w:val="23"/>
          <w:szCs w:val="23"/>
          <w:rtl/>
        </w:rPr>
        <w:t>ی</w:t>
      </w:r>
      <w:r w:rsidRPr="00FE433F">
        <w:rPr>
          <w:rFonts w:eastAsia="Calibri"/>
          <w:i/>
          <w:sz w:val="23"/>
          <w:szCs w:val="23"/>
          <w:rtl/>
        </w:rPr>
        <w:t>عن</w:t>
      </w:r>
      <w:r w:rsidRPr="00FE433F">
        <w:rPr>
          <w:rFonts w:eastAsia="Calibri" w:hint="cs"/>
          <w:i/>
          <w:sz w:val="23"/>
          <w:szCs w:val="23"/>
          <w:rtl/>
        </w:rPr>
        <w:t>ی</w:t>
      </w:r>
      <w:r w:rsidRPr="00FE433F">
        <w:rPr>
          <w:rFonts w:eastAsia="Calibri"/>
          <w:i/>
          <w:sz w:val="23"/>
          <w:szCs w:val="23"/>
          <w:rtl/>
        </w:rPr>
        <w:t xml:space="preserve"> </w:t>
      </w:r>
      <w:r w:rsidRPr="00FE433F">
        <w:rPr>
          <w:position w:val="-10"/>
        </w:rPr>
        <w:object w:dxaOrig="1500" w:dyaOrig="320" w14:anchorId="4902212F">
          <v:shape id="_x0000_i4028" type="#_x0000_t75" style="width:75.05pt;height:16.35pt" o:ole="">
            <v:imagedata r:id="rId6045" o:title=""/>
          </v:shape>
          <o:OLEObject Type="Embed" ProgID="Equation.DSMT4" ShapeID="_x0000_i4028" DrawAspect="Content" ObjectID="_1791377972" r:id="rId6046"/>
        </w:object>
      </w:r>
      <w:r w:rsidRPr="00FE433F">
        <w:rPr>
          <w:rFonts w:hint="cs"/>
          <w:i/>
          <w:sz w:val="23"/>
          <w:szCs w:val="23"/>
          <w:rtl/>
        </w:rPr>
        <w:t>،</w:t>
      </w:r>
      <w:r w:rsidRPr="00FE433F">
        <w:rPr>
          <w:rFonts w:eastAsia="Calibri"/>
          <w:i/>
          <w:sz w:val="23"/>
          <w:szCs w:val="23"/>
          <w:rtl/>
        </w:rPr>
        <w:t xml:space="preserve"> متفاوت </w:t>
      </w:r>
      <w:r w:rsidRPr="00FE433F">
        <w:rPr>
          <w:rFonts w:hint="cs"/>
          <w:i/>
          <w:sz w:val="23"/>
          <w:szCs w:val="23"/>
          <w:rtl/>
        </w:rPr>
        <w:t>خواهد بود</w:t>
      </w:r>
      <w:r w:rsidRPr="00FE433F">
        <w:rPr>
          <w:rFonts w:eastAsia="Calibri"/>
          <w:i/>
          <w:sz w:val="23"/>
          <w:szCs w:val="23"/>
          <w:rtl/>
        </w:rPr>
        <w:t>.</w:t>
      </w:r>
    </w:p>
    <w:p w14:paraId="3BCA4DA3" w14:textId="77777777" w:rsidR="00411620" w:rsidRPr="00FE433F" w:rsidRDefault="00411620" w:rsidP="00411620">
      <w:pPr>
        <w:spacing w:line="216" w:lineRule="auto"/>
        <w:rPr>
          <w:rFonts w:eastAsia="Calibri"/>
          <w:i/>
          <w:sz w:val="23"/>
          <w:szCs w:val="23"/>
          <w:rtl/>
        </w:rPr>
      </w:pPr>
      <w:r w:rsidRPr="00FE433F">
        <w:rPr>
          <w:rFonts w:eastAsia="Calibri" w:hint="eastAsia"/>
          <w:i/>
          <w:sz w:val="23"/>
          <w:szCs w:val="23"/>
          <w:rtl/>
        </w:rPr>
        <w:t>اگر</w:t>
      </w:r>
      <w:r w:rsidRPr="00FE433F">
        <w:rPr>
          <w:rFonts w:eastAsia="Calibri"/>
          <w:i/>
          <w:sz w:val="23"/>
          <w:szCs w:val="23"/>
          <w:rtl/>
        </w:rPr>
        <w:t xml:space="preserve"> </w:t>
      </w:r>
      <w:r w:rsidRPr="00FE433F">
        <w:rPr>
          <w:rFonts w:eastAsia="Calibri" w:hint="eastAsia"/>
          <w:i/>
          <w:sz w:val="23"/>
          <w:szCs w:val="23"/>
          <w:rtl/>
        </w:rPr>
        <w:t>نرخ</w:t>
      </w:r>
      <w:r w:rsidRPr="00FE433F">
        <w:rPr>
          <w:rFonts w:eastAsia="Calibri"/>
          <w:i/>
          <w:sz w:val="23"/>
          <w:szCs w:val="23"/>
          <w:rtl/>
        </w:rPr>
        <w:t xml:space="preserve"> تورم مثبت </w:t>
      </w:r>
      <w:r w:rsidRPr="00FE433F">
        <w:rPr>
          <w:rFonts w:eastAsia="Calibri" w:hint="eastAsia"/>
          <w:i/>
          <w:sz w:val="23"/>
          <w:szCs w:val="23"/>
          <w:rtl/>
        </w:rPr>
        <w:t>باشد</w:t>
      </w:r>
      <w:r w:rsidRPr="00FE433F">
        <w:rPr>
          <w:rFonts w:eastAsia="Calibri" w:hint="cs"/>
          <w:i/>
          <w:sz w:val="23"/>
          <w:szCs w:val="23"/>
          <w:rtl/>
        </w:rPr>
        <w:t>،</w:t>
      </w:r>
      <w:r w:rsidRPr="00FE433F">
        <w:rPr>
          <w:rFonts w:eastAsia="Calibri"/>
          <w:i/>
          <w:sz w:val="23"/>
          <w:szCs w:val="23"/>
          <w:rtl/>
        </w:rPr>
        <w:t xml:space="preserve"> آنگاه نرخ بازده</w:t>
      </w:r>
      <w:r w:rsidRPr="00FE433F">
        <w:rPr>
          <w:rFonts w:eastAsia="Calibri" w:hint="cs"/>
          <w:i/>
          <w:sz w:val="23"/>
          <w:szCs w:val="23"/>
          <w:rtl/>
        </w:rPr>
        <w:t>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پول منف</w:t>
      </w:r>
      <w:r w:rsidRPr="00FE433F">
        <w:rPr>
          <w:rFonts w:eastAsia="Calibri" w:hint="cs"/>
          <w:i/>
          <w:sz w:val="23"/>
          <w:szCs w:val="23"/>
          <w:rtl/>
        </w:rPr>
        <w:t>ی</w:t>
      </w:r>
      <w:r w:rsidRPr="00FE433F">
        <w:rPr>
          <w:rFonts w:eastAsia="Calibri"/>
          <w:i/>
          <w:sz w:val="23"/>
          <w:szCs w:val="23"/>
          <w:rtl/>
        </w:rPr>
        <w:t xml:space="preserve"> خواهد بود</w:t>
      </w:r>
      <w:r w:rsidRPr="00FE433F">
        <w:rPr>
          <w:rFonts w:eastAsia="Calibri" w:hint="cs"/>
          <w:i/>
          <w:sz w:val="23"/>
          <w:szCs w:val="23"/>
          <w:rtl/>
        </w:rPr>
        <w:t>.</w:t>
      </w:r>
      <w:r w:rsidRPr="00FE433F">
        <w:rPr>
          <w:rFonts w:eastAsia="Calibri"/>
          <w:i/>
          <w:sz w:val="23"/>
          <w:szCs w:val="23"/>
          <w:rtl/>
        </w:rPr>
        <w:t xml:space="preserve"> ز</w:t>
      </w:r>
      <w:r w:rsidRPr="00FE433F">
        <w:rPr>
          <w:rFonts w:eastAsia="Calibri" w:hint="cs"/>
          <w:i/>
          <w:sz w:val="23"/>
          <w:szCs w:val="23"/>
          <w:rtl/>
        </w:rPr>
        <w:t>ی</w:t>
      </w:r>
      <w:r w:rsidRPr="00FE433F">
        <w:rPr>
          <w:rFonts w:eastAsia="Calibri" w:hint="eastAsia"/>
          <w:i/>
          <w:sz w:val="23"/>
          <w:szCs w:val="23"/>
          <w:rtl/>
        </w:rPr>
        <w:t>را</w:t>
      </w:r>
      <w:r w:rsidRPr="00FE433F">
        <w:rPr>
          <w:rFonts w:eastAsia="Calibri"/>
          <w:i/>
          <w:sz w:val="23"/>
          <w:szCs w:val="23"/>
          <w:rtl/>
        </w:rPr>
        <w:t xml:space="preserve"> بازده</w:t>
      </w:r>
      <w:r w:rsidRPr="00FE433F">
        <w:rPr>
          <w:rFonts w:eastAsia="Calibri" w:hint="cs"/>
          <w:i/>
          <w:sz w:val="23"/>
          <w:szCs w:val="23"/>
          <w:rtl/>
        </w:rPr>
        <w:t>ی</w:t>
      </w:r>
      <w:r w:rsidRPr="00FE433F">
        <w:rPr>
          <w:rFonts w:eastAsia="Calibri"/>
          <w:i/>
          <w:sz w:val="23"/>
          <w:szCs w:val="23"/>
          <w:rtl/>
        </w:rPr>
        <w:t xml:space="preserve"> اسم</w:t>
      </w:r>
      <w:r w:rsidRPr="00FE433F">
        <w:rPr>
          <w:rFonts w:eastAsia="Calibri" w:hint="cs"/>
          <w:i/>
          <w:sz w:val="23"/>
          <w:szCs w:val="23"/>
          <w:rtl/>
        </w:rPr>
        <w:t>ی</w:t>
      </w:r>
      <w:r w:rsidRPr="00FE433F">
        <w:rPr>
          <w:rFonts w:eastAsia="Calibri"/>
          <w:i/>
          <w:sz w:val="23"/>
          <w:szCs w:val="23"/>
          <w:rtl/>
        </w:rPr>
        <w:t xml:space="preserve"> پول برابر است با صفر</w:t>
      </w:r>
      <w:r w:rsidRPr="00FE433F">
        <w:rPr>
          <w:rFonts w:eastAsia="Calibri" w:hint="cs"/>
          <w:i/>
          <w:sz w:val="23"/>
          <w:szCs w:val="23"/>
          <w:rtl/>
        </w:rPr>
        <w:t>،</w:t>
      </w:r>
      <w:r w:rsidRPr="00FE433F">
        <w:rPr>
          <w:rFonts w:eastAsia="Calibri"/>
          <w:i/>
          <w:sz w:val="23"/>
          <w:szCs w:val="23"/>
          <w:rtl/>
        </w:rPr>
        <w:t xml:space="preserve"> و قدرت خر</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پول با 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i/>
          <w:sz w:val="23"/>
          <w:szCs w:val="23"/>
          <w:rtl/>
        </w:rPr>
        <w:t xml:space="preserve"> نرخ تورم کاهش م</w:t>
      </w:r>
      <w:r w:rsidRPr="00FE433F">
        <w:rPr>
          <w:rFonts w:eastAsia="Calibri" w:hint="cs"/>
          <w:i/>
          <w:sz w:val="23"/>
          <w:szCs w:val="23"/>
          <w:rtl/>
        </w:rPr>
        <w:t>ی‌ی</w:t>
      </w:r>
      <w:r w:rsidRPr="00FE433F">
        <w:rPr>
          <w:rFonts w:eastAsia="Calibri" w:hint="eastAsia"/>
          <w:i/>
          <w:sz w:val="23"/>
          <w:szCs w:val="23"/>
          <w:rtl/>
        </w:rPr>
        <w:t>ابد</w:t>
      </w:r>
      <w:r w:rsidRPr="00FE433F">
        <w:rPr>
          <w:rFonts w:eastAsia="Calibri"/>
          <w:i/>
          <w:sz w:val="23"/>
          <w:szCs w:val="23"/>
          <w:rtl/>
        </w:rPr>
        <w:t xml:space="preserve">. </w:t>
      </w:r>
      <w:r w:rsidRPr="00FE433F">
        <w:rPr>
          <w:rFonts w:eastAsia="Calibri" w:hint="cs"/>
          <w:i/>
          <w:sz w:val="23"/>
          <w:szCs w:val="23"/>
          <w:rtl/>
        </w:rPr>
        <w:t>درحقیقت تورم یا</w:t>
      </w:r>
      <w:r w:rsidRPr="00FE433F">
        <w:rPr>
          <w:rFonts w:eastAsia="Calibri"/>
          <w:i/>
          <w:sz w:val="23"/>
          <w:szCs w:val="23"/>
          <w:rtl/>
        </w:rPr>
        <w:t xml:space="preserve"> کاهش </w:t>
      </w:r>
      <w:r w:rsidRPr="00FE433F">
        <w:rPr>
          <w:rFonts w:eastAsia="Calibri"/>
          <w:i/>
          <w:sz w:val="23"/>
          <w:szCs w:val="23"/>
          <w:rtl/>
        </w:rPr>
        <w:lastRenderedPageBreak/>
        <w:t>ارزش اسم</w:t>
      </w:r>
      <w:r w:rsidRPr="00FE433F">
        <w:rPr>
          <w:rFonts w:eastAsia="Calibri" w:hint="cs"/>
          <w:i/>
          <w:sz w:val="23"/>
          <w:szCs w:val="23"/>
          <w:rtl/>
        </w:rPr>
        <w:t>ی</w:t>
      </w:r>
      <w:r w:rsidRPr="00FE433F">
        <w:rPr>
          <w:rFonts w:eastAsia="Calibri"/>
          <w:i/>
          <w:sz w:val="23"/>
          <w:szCs w:val="23"/>
          <w:rtl/>
        </w:rPr>
        <w:t xml:space="preserve"> پول نوع</w:t>
      </w:r>
      <w:r w:rsidRPr="00FE433F">
        <w:rPr>
          <w:rFonts w:eastAsia="Calibri" w:hint="cs"/>
          <w:i/>
          <w:sz w:val="23"/>
          <w:szCs w:val="23"/>
          <w:rtl/>
        </w:rPr>
        <w:t>ی</w:t>
      </w:r>
      <w:r w:rsidRPr="00FE433F">
        <w:rPr>
          <w:rFonts w:eastAsia="Calibri"/>
          <w:i/>
          <w:sz w:val="23"/>
          <w:szCs w:val="23"/>
          <w:rtl/>
        </w:rPr>
        <w:t xml:space="preserve"> مال</w:t>
      </w:r>
      <w:r w:rsidRPr="00FE433F">
        <w:rPr>
          <w:rFonts w:eastAsia="Calibri" w:hint="cs"/>
          <w:i/>
          <w:sz w:val="23"/>
          <w:szCs w:val="23"/>
          <w:rtl/>
        </w:rPr>
        <w:t>ی</w:t>
      </w:r>
      <w:r w:rsidRPr="00FE433F">
        <w:rPr>
          <w:rFonts w:eastAsia="Calibri" w:hint="eastAsia"/>
          <w:i/>
          <w:sz w:val="23"/>
          <w:szCs w:val="23"/>
          <w:rtl/>
        </w:rPr>
        <w:t>ات</w:t>
      </w:r>
      <w:r w:rsidRPr="00FE433F">
        <w:rPr>
          <w:rFonts w:eastAsia="Calibri"/>
          <w:i/>
          <w:sz w:val="23"/>
          <w:szCs w:val="23"/>
          <w:rtl/>
        </w:rPr>
        <w:t xml:space="preserve"> است که بدان مال</w:t>
      </w:r>
      <w:r w:rsidRPr="00FE433F">
        <w:rPr>
          <w:rFonts w:eastAsia="Calibri" w:hint="cs"/>
          <w:i/>
          <w:sz w:val="23"/>
          <w:szCs w:val="23"/>
          <w:rtl/>
        </w:rPr>
        <w:t>ی</w:t>
      </w:r>
      <w:r w:rsidRPr="00FE433F">
        <w:rPr>
          <w:rFonts w:eastAsia="Calibri" w:hint="eastAsia"/>
          <w:i/>
          <w:sz w:val="23"/>
          <w:szCs w:val="23"/>
          <w:rtl/>
        </w:rPr>
        <w:t>ات</w:t>
      </w:r>
      <w:r w:rsidRPr="00FE433F">
        <w:rPr>
          <w:rFonts w:eastAsia="Calibri"/>
          <w:i/>
          <w:sz w:val="23"/>
          <w:szCs w:val="23"/>
          <w:rtl/>
        </w:rPr>
        <w:t xml:space="preserve"> تورم</w:t>
      </w:r>
      <w:r w:rsidRPr="00FE433F">
        <w:rPr>
          <w:rFonts w:eastAsia="Calibri" w:hint="cs"/>
          <w:i/>
          <w:sz w:val="23"/>
          <w:szCs w:val="23"/>
          <w:rtl/>
        </w:rPr>
        <w:t>ی</w:t>
      </w:r>
      <w:r w:rsidRPr="00FE433F">
        <w:rPr>
          <w:rFonts w:eastAsia="Calibri"/>
          <w:i/>
          <w:sz w:val="23"/>
          <w:szCs w:val="23"/>
          <w:rtl/>
        </w:rPr>
        <w:t xml:space="preserve"> گو</w:t>
      </w:r>
      <w:r w:rsidRPr="00FE433F">
        <w:rPr>
          <w:rFonts w:eastAsia="Calibri" w:hint="cs"/>
          <w:i/>
          <w:sz w:val="23"/>
          <w:szCs w:val="23"/>
          <w:rtl/>
        </w:rPr>
        <w:t>ی</w:t>
      </w:r>
      <w:r w:rsidRPr="00FE433F">
        <w:rPr>
          <w:rFonts w:eastAsia="Calibri" w:hint="eastAsia"/>
          <w:i/>
          <w:sz w:val="23"/>
          <w:szCs w:val="23"/>
          <w:rtl/>
        </w:rPr>
        <w:t>ند</w:t>
      </w:r>
      <w:r w:rsidRPr="00FE433F">
        <w:rPr>
          <w:rFonts w:eastAsia="Calibri" w:hint="cs"/>
          <w:i/>
          <w:sz w:val="23"/>
          <w:szCs w:val="23"/>
          <w:rtl/>
        </w:rPr>
        <w:t>، و</w:t>
      </w:r>
      <w:r w:rsidRPr="00FE433F">
        <w:rPr>
          <w:rFonts w:eastAsia="Calibri"/>
          <w:i/>
          <w:sz w:val="23"/>
          <w:szCs w:val="23"/>
          <w:rtl/>
        </w:rPr>
        <w:t xml:space="preserve"> </w:t>
      </w:r>
      <w:r w:rsidRPr="00FE433F">
        <w:rPr>
          <w:rFonts w:eastAsia="Calibri" w:hint="cs"/>
          <w:i/>
          <w:sz w:val="23"/>
          <w:szCs w:val="23"/>
          <w:rtl/>
        </w:rPr>
        <w:t xml:space="preserve">مالیات تورمی </w:t>
      </w:r>
      <w:r w:rsidRPr="00FE433F">
        <w:rPr>
          <w:rFonts w:hint="cs"/>
          <w:i/>
          <w:sz w:val="23"/>
          <w:szCs w:val="23"/>
          <w:rtl/>
        </w:rPr>
        <w:t xml:space="preserve">همان </w:t>
      </w:r>
      <w:r w:rsidRPr="00FE433F">
        <w:rPr>
          <w:rFonts w:eastAsia="Calibri"/>
          <w:i/>
          <w:sz w:val="23"/>
          <w:szCs w:val="23"/>
          <w:rtl/>
        </w:rPr>
        <w:t>درآمد دولت از</w:t>
      </w:r>
      <w:r w:rsidRPr="00FE433F">
        <w:rPr>
          <w:i/>
          <w:sz w:val="23"/>
          <w:szCs w:val="23"/>
          <w:rtl/>
        </w:rPr>
        <w:t xml:space="preserve"> حق</w:t>
      </w:r>
      <w:r w:rsidRPr="00FE433F">
        <w:rPr>
          <w:i/>
          <w:sz w:val="23"/>
          <w:szCs w:val="23"/>
          <w:rtl/>
        </w:rPr>
        <w:softHyphen/>
      </w:r>
      <w:r w:rsidRPr="00FE433F">
        <w:rPr>
          <w:rFonts w:hint="cs"/>
          <w:i/>
          <w:sz w:val="23"/>
          <w:szCs w:val="23"/>
          <w:rtl/>
        </w:rPr>
        <w:t>الضرب</w:t>
      </w:r>
      <w:r w:rsidRPr="00FE433F">
        <w:rPr>
          <w:i/>
          <w:sz w:val="23"/>
          <w:szCs w:val="23"/>
          <w:rtl/>
        </w:rPr>
        <w:t xml:space="preserve"> </w:t>
      </w:r>
      <w:r w:rsidRPr="00FE433F">
        <w:rPr>
          <w:rFonts w:hint="cs"/>
          <w:i/>
          <w:sz w:val="23"/>
          <w:szCs w:val="23"/>
          <w:rtl/>
        </w:rPr>
        <w:t xml:space="preserve">و </w:t>
      </w:r>
      <w:r w:rsidRPr="00FE433F">
        <w:rPr>
          <w:i/>
          <w:sz w:val="23"/>
          <w:szCs w:val="23"/>
          <w:rtl/>
        </w:rPr>
        <w:t>انحصار</w:t>
      </w:r>
      <w:r w:rsidRPr="00FE433F">
        <w:rPr>
          <w:rFonts w:eastAsia="Calibri"/>
          <w:i/>
          <w:sz w:val="23"/>
          <w:szCs w:val="23"/>
          <w:rtl/>
        </w:rPr>
        <w:t xml:space="preserve"> انتشار پول </w:t>
      </w:r>
      <w:r w:rsidRPr="00FE433F">
        <w:rPr>
          <w:rFonts w:eastAsia="Calibri" w:hint="cs"/>
          <w:i/>
          <w:sz w:val="23"/>
          <w:szCs w:val="23"/>
          <w:rtl/>
        </w:rPr>
        <w:t>توسط دولت است</w:t>
      </w:r>
      <w:r w:rsidRPr="00FE433F">
        <w:rPr>
          <w:rFonts w:eastAsia="Calibri"/>
          <w:i/>
          <w:sz w:val="23"/>
          <w:szCs w:val="23"/>
          <w:rtl/>
        </w:rPr>
        <w:t xml:space="preserve">. </w:t>
      </w:r>
    </w:p>
    <w:p w14:paraId="5B112BF9" w14:textId="77777777" w:rsidR="00411620" w:rsidRPr="00FE433F" w:rsidRDefault="00411620" w:rsidP="00411620">
      <w:pPr>
        <w:spacing w:line="216" w:lineRule="auto"/>
        <w:rPr>
          <w:rFonts w:eastAsia="Calibri"/>
          <w:i/>
          <w:sz w:val="23"/>
          <w:szCs w:val="23"/>
        </w:rPr>
      </w:pPr>
      <w:r w:rsidRPr="00FE433F">
        <w:rPr>
          <w:rFonts w:eastAsia="Calibri"/>
          <w:i/>
          <w:sz w:val="23"/>
          <w:szCs w:val="23"/>
          <w:rtl/>
        </w:rPr>
        <w:t>در وضع</w:t>
      </w:r>
      <w:r w:rsidRPr="00FE433F">
        <w:rPr>
          <w:rFonts w:eastAsia="Calibri" w:hint="cs"/>
          <w:i/>
          <w:sz w:val="23"/>
          <w:szCs w:val="23"/>
          <w:rtl/>
        </w:rPr>
        <w:t>ی</w:t>
      </w:r>
      <w:r w:rsidRPr="00FE433F">
        <w:rPr>
          <w:rFonts w:eastAsia="Calibri" w:hint="eastAsia"/>
          <w:i/>
          <w:sz w:val="23"/>
          <w:szCs w:val="23"/>
          <w:rtl/>
        </w:rPr>
        <w:t>ت</w:t>
      </w:r>
      <w:r w:rsidRPr="00FE433F">
        <w:rPr>
          <w:rFonts w:eastAsia="Calibri" w:hint="eastAsia"/>
          <w:i/>
          <w:sz w:val="23"/>
          <w:szCs w:val="23"/>
        </w:rPr>
        <w:t>‌</w:t>
      </w:r>
      <w:r w:rsidRPr="00FE433F">
        <w:rPr>
          <w:rFonts w:eastAsia="Calibri" w:hint="cs"/>
          <w:i/>
          <w:sz w:val="23"/>
          <w:szCs w:val="23"/>
          <w:rtl/>
        </w:rPr>
        <w:t xml:space="preserve"> ی</w:t>
      </w:r>
      <w:r w:rsidRPr="00FE433F">
        <w:rPr>
          <w:rFonts w:eastAsia="Calibri"/>
          <w:i/>
          <w:sz w:val="23"/>
          <w:szCs w:val="23"/>
          <w:rtl/>
        </w:rPr>
        <w:t>کنواخت</w:t>
      </w:r>
      <w:r w:rsidRPr="00FE433F">
        <w:rPr>
          <w:rFonts w:eastAsia="Calibri" w:hint="eastAsia"/>
          <w:i/>
          <w:sz w:val="23"/>
          <w:szCs w:val="23"/>
          <w:rtl/>
        </w:rPr>
        <w:t>ِ</w:t>
      </w:r>
      <w:r w:rsidRPr="00FE433F">
        <w:rPr>
          <w:rFonts w:eastAsia="Calibri"/>
          <w:i/>
          <w:sz w:val="23"/>
          <w:szCs w:val="23"/>
          <w:rtl/>
        </w:rPr>
        <w:t xml:space="preserve"> تعادل</w:t>
      </w:r>
      <w:r w:rsidRPr="00FE433F">
        <w:rPr>
          <w:rFonts w:eastAsia="Calibri" w:hint="cs"/>
          <w:i/>
          <w:sz w:val="23"/>
          <w:szCs w:val="23"/>
          <w:rtl/>
        </w:rPr>
        <w:t>ی،</w:t>
      </w:r>
      <w:r w:rsidRPr="00FE433F">
        <w:rPr>
          <w:rFonts w:eastAsia="Calibri"/>
          <w:i/>
          <w:sz w:val="23"/>
          <w:szCs w:val="23"/>
          <w:rtl/>
        </w:rPr>
        <w:t xml:space="preserve"> تمام</w:t>
      </w:r>
      <w:r w:rsidRPr="00FE433F">
        <w:rPr>
          <w:rFonts w:eastAsia="Calibri" w:hint="cs"/>
          <w:i/>
          <w:sz w:val="23"/>
          <w:szCs w:val="23"/>
          <w:rtl/>
        </w:rPr>
        <w:t>ی</w:t>
      </w:r>
      <w:r w:rsidRPr="00FE433F">
        <w:rPr>
          <w:rFonts w:eastAsia="Calibri"/>
          <w:i/>
          <w:sz w:val="23"/>
          <w:szCs w:val="23"/>
          <w:rtl/>
        </w:rPr>
        <w:t xml:space="preserve"> ذخائر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از جمله ذخائر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پول و اوراق قرضه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دولت</w:t>
      </w:r>
      <w:r w:rsidRPr="00FE433F">
        <w:rPr>
          <w:rFonts w:eastAsia="Calibri" w:hint="cs"/>
          <w:i/>
          <w:sz w:val="23"/>
          <w:szCs w:val="23"/>
          <w:rtl/>
        </w:rPr>
        <w:t>ی</w:t>
      </w:r>
      <w:r w:rsidRPr="00FE433F">
        <w:rPr>
          <w:rFonts w:eastAsia="Calibri"/>
          <w:i/>
          <w:sz w:val="23"/>
          <w:szCs w:val="23"/>
          <w:rtl/>
        </w:rPr>
        <w:t xml:space="preserve"> ثابت </w:t>
      </w:r>
      <w:r w:rsidRPr="00FE433F">
        <w:rPr>
          <w:rFonts w:eastAsia="Calibri" w:hint="cs"/>
          <w:i/>
          <w:sz w:val="23"/>
          <w:szCs w:val="23"/>
          <w:rtl/>
        </w:rPr>
        <w:t>هست</w:t>
      </w:r>
      <w:r w:rsidRPr="00FE433F">
        <w:rPr>
          <w:rFonts w:eastAsia="Calibri"/>
          <w:i/>
          <w:sz w:val="23"/>
          <w:szCs w:val="23"/>
          <w:rtl/>
        </w:rPr>
        <w:t>ند</w:t>
      </w:r>
      <w:r w:rsidRPr="00FE433F">
        <w:rPr>
          <w:rFonts w:eastAsia="Calibri"/>
          <w:i/>
          <w:sz w:val="23"/>
          <w:szCs w:val="23"/>
        </w:rPr>
        <w:t>.</w:t>
      </w:r>
      <w:r w:rsidRPr="00FE433F">
        <w:rPr>
          <w:position w:val="-6"/>
        </w:rPr>
        <w:object w:dxaOrig="1200" w:dyaOrig="260" w14:anchorId="71BFDA6B">
          <v:shape id="_x0000_i4029" type="#_x0000_t75" style="width:59.9pt;height:13.3pt" o:ole="">
            <v:imagedata r:id="rId6047" o:title=""/>
          </v:shape>
          <o:OLEObject Type="Embed" ProgID="Equation.DSMT4" ShapeID="_x0000_i4029" DrawAspect="Content" ObjectID="_1791377973" r:id="rId6048"/>
        </w:object>
      </w:r>
      <w:r w:rsidRPr="00FE433F">
        <w:rPr>
          <w:rFonts w:hint="cs"/>
          <w:i/>
          <w:sz w:val="23"/>
          <w:szCs w:val="23"/>
          <w:rtl/>
        </w:rPr>
        <w:t xml:space="preserve"> باید توجه داشت که در وضعیت یکنواخت </w:t>
      </w:r>
      <w:r w:rsidRPr="00FE433F">
        <w:rPr>
          <w:rFonts w:eastAsia="Calibri"/>
          <w:i/>
          <w:sz w:val="23"/>
          <w:szCs w:val="23"/>
          <w:rtl/>
        </w:rPr>
        <w:t xml:space="preserve">نرخ تورم لزوماً </w:t>
      </w:r>
      <w:r w:rsidRPr="00FE433F">
        <w:rPr>
          <w:rFonts w:eastAsia="Calibri" w:hint="cs"/>
          <w:i/>
          <w:sz w:val="23"/>
          <w:szCs w:val="23"/>
          <w:rtl/>
        </w:rPr>
        <w:t xml:space="preserve">برابر با </w:t>
      </w:r>
      <w:r w:rsidRPr="00FE433F">
        <w:rPr>
          <w:rFonts w:eastAsia="Calibri"/>
          <w:i/>
          <w:sz w:val="23"/>
          <w:szCs w:val="23"/>
          <w:rtl/>
        </w:rPr>
        <w:t>صفر ن</w:t>
      </w:r>
      <w:r w:rsidRPr="00FE433F">
        <w:rPr>
          <w:rFonts w:eastAsia="Calibri" w:hint="cs"/>
          <w:i/>
          <w:sz w:val="23"/>
          <w:szCs w:val="23"/>
          <w:rtl/>
        </w:rPr>
        <w:t>ی</w:t>
      </w:r>
      <w:r w:rsidRPr="00FE433F">
        <w:rPr>
          <w:rFonts w:eastAsia="Calibri" w:hint="eastAsia"/>
          <w:i/>
          <w:sz w:val="23"/>
          <w:szCs w:val="23"/>
          <w:rtl/>
        </w:rPr>
        <w:t>ست</w:t>
      </w:r>
      <w:r w:rsidRPr="00FE433F">
        <w:rPr>
          <w:rFonts w:eastAsia="Calibri"/>
          <w:i/>
          <w:sz w:val="23"/>
          <w:szCs w:val="23"/>
          <w:rtl/>
        </w:rPr>
        <w:t>. ز</w:t>
      </w:r>
      <w:r w:rsidRPr="00FE433F">
        <w:rPr>
          <w:rFonts w:eastAsia="Calibri" w:hint="cs"/>
          <w:i/>
          <w:sz w:val="23"/>
          <w:szCs w:val="23"/>
          <w:rtl/>
        </w:rPr>
        <w:t>ی</w:t>
      </w:r>
      <w:r w:rsidRPr="00FE433F">
        <w:rPr>
          <w:rFonts w:eastAsia="Calibri" w:hint="eastAsia"/>
          <w:i/>
          <w:sz w:val="23"/>
          <w:szCs w:val="23"/>
          <w:rtl/>
        </w:rPr>
        <w:t>را</w:t>
      </w:r>
      <w:r w:rsidRPr="00FE433F">
        <w:rPr>
          <w:rFonts w:eastAsia="Calibri"/>
          <w:i/>
          <w:sz w:val="23"/>
          <w:szCs w:val="23"/>
          <w:rtl/>
        </w:rPr>
        <w:t xml:space="preserve"> چنانچه نرخ رشد پول اسم</w:t>
      </w:r>
      <w:r w:rsidRPr="00FE433F">
        <w:rPr>
          <w:rFonts w:eastAsia="Calibri" w:hint="cs"/>
          <w:i/>
          <w:sz w:val="23"/>
          <w:szCs w:val="23"/>
          <w:rtl/>
        </w:rPr>
        <w:t>ی</w:t>
      </w:r>
      <w:r w:rsidRPr="00FE433F">
        <w:rPr>
          <w:rFonts w:eastAsia="Calibri"/>
          <w:i/>
          <w:sz w:val="23"/>
          <w:szCs w:val="23"/>
          <w:rtl/>
        </w:rPr>
        <w:t xml:space="preserve"> برابر ب</w:t>
      </w:r>
      <w:r w:rsidRPr="00FE433F">
        <w:rPr>
          <w:rFonts w:eastAsia="Calibri" w:hint="cs"/>
          <w:i/>
          <w:sz w:val="23"/>
          <w:szCs w:val="23"/>
          <w:rtl/>
        </w:rPr>
        <w:t>ا</w:t>
      </w:r>
      <w:r w:rsidRPr="00FE433F">
        <w:rPr>
          <w:position w:val="-22"/>
        </w:rPr>
        <w:object w:dxaOrig="840" w:dyaOrig="560" w14:anchorId="682B2C9C">
          <v:shape id="_x0000_i4030" type="#_x0000_t75" style="width:41.75pt;height:27.85pt" o:ole="">
            <v:imagedata r:id="rId6049" o:title=""/>
          </v:shape>
          <o:OLEObject Type="Embed" ProgID="Equation.DSMT4" ShapeID="_x0000_i4030" DrawAspect="Content" ObjectID="_1791377974" r:id="rId6050"/>
        </w:object>
      </w:r>
      <w:r w:rsidRPr="00FE433F">
        <w:rPr>
          <w:rFonts w:eastAsia="Calibri"/>
          <w:i/>
          <w:sz w:val="23"/>
          <w:szCs w:val="23"/>
          <w:rtl/>
        </w:rPr>
        <w:t xml:space="preserve"> باشد</w:t>
      </w:r>
      <w:r w:rsidRPr="00FE433F">
        <w:rPr>
          <w:rFonts w:eastAsia="Calibri" w:hint="cs"/>
          <w:i/>
          <w:sz w:val="23"/>
          <w:szCs w:val="23"/>
          <w:rtl/>
        </w:rPr>
        <w:t xml:space="preserve">، </w:t>
      </w:r>
      <w:r w:rsidRPr="00FE433F">
        <w:rPr>
          <w:rFonts w:eastAsia="Calibri"/>
          <w:i/>
          <w:sz w:val="23"/>
          <w:szCs w:val="23"/>
          <w:rtl/>
        </w:rPr>
        <w:t>آنگاه</w:t>
      </w:r>
    </w:p>
    <w:p w14:paraId="3CD0CD6B" w14:textId="77777777" w:rsidR="00411620" w:rsidRPr="00FE433F" w:rsidRDefault="00411620" w:rsidP="00411620">
      <w:pPr>
        <w:bidi w:val="0"/>
        <w:spacing w:line="216" w:lineRule="auto"/>
        <w:rPr>
          <w:i/>
          <w:sz w:val="23"/>
          <w:szCs w:val="23"/>
        </w:rPr>
      </w:pPr>
      <w:r w:rsidRPr="00FE433F">
        <w:rPr>
          <w:position w:val="-22"/>
        </w:rPr>
        <w:object w:dxaOrig="3940" w:dyaOrig="560" w14:anchorId="5B5B52AF">
          <v:shape id="_x0000_i4031" type="#_x0000_t75" style="width:197.25pt;height:27.85pt" o:ole="">
            <v:imagedata r:id="rId6051" o:title=""/>
          </v:shape>
          <o:OLEObject Type="Embed" ProgID="Equation.DSMT4" ShapeID="_x0000_i4031" DrawAspect="Content" ObjectID="_1791377975" r:id="rId6052"/>
        </w:object>
      </w:r>
    </w:p>
    <w:p w14:paraId="3165532B" w14:textId="77777777" w:rsidR="00411620" w:rsidRPr="00FE433F" w:rsidRDefault="00411620" w:rsidP="00411620">
      <w:pPr>
        <w:spacing w:line="216" w:lineRule="auto"/>
        <w:rPr>
          <w:rFonts w:eastAsia="Calibri"/>
          <w:i/>
          <w:sz w:val="23"/>
          <w:szCs w:val="23"/>
          <w:rtl/>
        </w:rPr>
      </w:pP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عن</w:t>
      </w:r>
      <w:r w:rsidRPr="00FE433F">
        <w:rPr>
          <w:rFonts w:eastAsia="Calibri" w:hint="cs"/>
          <w:i/>
          <w:sz w:val="23"/>
          <w:szCs w:val="23"/>
          <w:rtl/>
        </w:rPr>
        <w:t xml:space="preserve">ی </w:t>
      </w:r>
      <w:r w:rsidRPr="00FE433F">
        <w:rPr>
          <w:rFonts w:eastAsia="Calibri"/>
          <w:i/>
          <w:sz w:val="23"/>
          <w:szCs w:val="23"/>
          <w:rtl/>
        </w:rPr>
        <w:t xml:space="preserve">نرخ </w:t>
      </w:r>
      <w:r w:rsidRPr="00FE433F">
        <w:rPr>
          <w:rFonts w:eastAsia="Calibri" w:hint="eastAsia"/>
          <w:i/>
          <w:sz w:val="23"/>
          <w:szCs w:val="23"/>
          <w:rtl/>
        </w:rPr>
        <w:t>رشد</w:t>
      </w:r>
      <w:r w:rsidRPr="00FE433F">
        <w:rPr>
          <w:rFonts w:eastAsia="Calibri"/>
          <w:i/>
          <w:sz w:val="23"/>
          <w:szCs w:val="23"/>
          <w:rtl/>
        </w:rPr>
        <w:t xml:space="preserve"> </w:t>
      </w:r>
      <w:r w:rsidRPr="00FE433F">
        <w:rPr>
          <w:rFonts w:eastAsia="Calibri" w:hint="eastAsia"/>
          <w:i/>
          <w:sz w:val="23"/>
          <w:szCs w:val="23"/>
          <w:rtl/>
        </w:rPr>
        <w:t>ق</w:t>
      </w:r>
      <w:r w:rsidRPr="00FE433F">
        <w:rPr>
          <w:rFonts w:eastAsia="Calibri" w:hint="cs"/>
          <w:i/>
          <w:sz w:val="23"/>
          <w:szCs w:val="23"/>
          <w:rtl/>
        </w:rPr>
        <w:t>ی</w:t>
      </w:r>
      <w:r w:rsidRPr="00FE433F">
        <w:rPr>
          <w:rFonts w:eastAsia="Calibri" w:hint="eastAsia"/>
          <w:i/>
          <w:sz w:val="23"/>
          <w:szCs w:val="23"/>
          <w:rtl/>
        </w:rPr>
        <w:t>مت</w:t>
      </w:r>
      <w:r w:rsidRPr="00FE433F">
        <w:rPr>
          <w:rFonts w:eastAsia="Calibri"/>
          <w:i/>
          <w:sz w:val="23"/>
          <w:szCs w:val="23"/>
          <w:rtl/>
        </w:rPr>
        <w:softHyphen/>
      </w:r>
      <w:r w:rsidRPr="00FE433F">
        <w:rPr>
          <w:rFonts w:eastAsia="Calibri" w:hint="eastAsia"/>
          <w:i/>
          <w:sz w:val="23"/>
          <w:szCs w:val="23"/>
          <w:rtl/>
        </w:rPr>
        <w:t>ها</w:t>
      </w:r>
      <w:r w:rsidRPr="00FE433F">
        <w:rPr>
          <w:rFonts w:eastAsia="Calibri"/>
          <w:i/>
          <w:sz w:val="23"/>
          <w:szCs w:val="23"/>
          <w:rtl/>
        </w:rPr>
        <w:t xml:space="preserve"> </w:t>
      </w:r>
      <w:r w:rsidRPr="00FE433F">
        <w:rPr>
          <w:rFonts w:eastAsia="Calibri" w:hint="cs"/>
          <w:i/>
          <w:sz w:val="23"/>
          <w:szCs w:val="23"/>
          <w:rtl/>
        </w:rPr>
        <w:t>ی</w:t>
      </w:r>
      <w:r w:rsidRPr="00FE433F">
        <w:rPr>
          <w:rFonts w:eastAsia="Calibri" w:hint="eastAsia"/>
          <w:i/>
          <w:sz w:val="23"/>
          <w:szCs w:val="23"/>
          <w:rtl/>
        </w:rPr>
        <w:t>ا</w:t>
      </w:r>
      <w:r w:rsidRPr="00FE433F">
        <w:rPr>
          <w:rFonts w:eastAsia="Calibri"/>
          <w:i/>
          <w:sz w:val="23"/>
          <w:szCs w:val="23"/>
          <w:rtl/>
        </w:rPr>
        <w:t xml:space="preserve"> تورم </w:t>
      </w:r>
      <w:r w:rsidRPr="00FE433F">
        <w:rPr>
          <w:rFonts w:eastAsia="Calibri" w:hint="cs"/>
          <w:i/>
          <w:sz w:val="23"/>
          <w:szCs w:val="23"/>
          <w:rtl/>
        </w:rPr>
        <w:t xml:space="preserve">در </w:t>
      </w:r>
      <w:proofErr w:type="gramStart"/>
      <w:r w:rsidRPr="00FE433F">
        <w:rPr>
          <w:rFonts w:eastAsia="Calibri" w:hint="cs"/>
          <w:i/>
          <w:sz w:val="23"/>
          <w:szCs w:val="23"/>
          <w:rtl/>
        </w:rPr>
        <w:t>بلندمدت</w:t>
      </w:r>
      <w:r w:rsidRPr="00FE433F">
        <w:rPr>
          <w:rFonts w:eastAsia="Calibri"/>
          <w:i/>
          <w:sz w:val="23"/>
          <w:szCs w:val="23"/>
          <w:rtl/>
        </w:rPr>
        <w:t xml:space="preserve"> </w:t>
      </w:r>
      <w:r w:rsidRPr="00FE433F">
        <w:rPr>
          <w:rFonts w:eastAsia="Calibri" w:hint="cs"/>
          <w:i/>
          <w:sz w:val="23"/>
          <w:szCs w:val="23"/>
          <w:rtl/>
        </w:rPr>
        <w:t xml:space="preserve"> </w:t>
      </w:r>
      <w:r w:rsidRPr="00FE433F">
        <w:rPr>
          <w:rFonts w:eastAsia="Calibri"/>
          <w:i/>
          <w:sz w:val="23"/>
          <w:szCs w:val="23"/>
          <w:rtl/>
        </w:rPr>
        <w:t>برابر</w:t>
      </w:r>
      <w:proofErr w:type="gramEnd"/>
      <w:r w:rsidRPr="00FE433F">
        <w:rPr>
          <w:rFonts w:eastAsia="Calibri"/>
          <w:i/>
          <w:sz w:val="23"/>
          <w:szCs w:val="23"/>
          <w:rtl/>
        </w:rPr>
        <w:t xml:space="preserve"> است با نرخ رشد پول اسم</w:t>
      </w:r>
      <w:r w:rsidRPr="00FE433F">
        <w:rPr>
          <w:rFonts w:eastAsia="Calibri" w:hint="cs"/>
          <w:i/>
          <w:sz w:val="23"/>
          <w:szCs w:val="23"/>
          <w:rtl/>
        </w:rPr>
        <w:t>ی</w:t>
      </w:r>
      <w:r w:rsidRPr="00FE433F">
        <w:rPr>
          <w:rFonts w:eastAsia="Calibri"/>
          <w:i/>
          <w:sz w:val="23"/>
          <w:szCs w:val="23"/>
          <w:rtl/>
        </w:rPr>
        <w:t xml:space="preserve">. چنانچه در بلندمدت </w:t>
      </w:r>
      <w:r w:rsidRPr="00FE433F">
        <w:rPr>
          <w:i/>
          <w:sz w:val="23"/>
          <w:szCs w:val="23"/>
          <w:rtl/>
        </w:rPr>
        <w:t>نرخ رشد پول برون</w:t>
      </w:r>
      <w:r w:rsidRPr="00FE433F">
        <w:rPr>
          <w:i/>
          <w:sz w:val="23"/>
          <w:szCs w:val="23"/>
          <w:rtl/>
        </w:rPr>
        <w:softHyphen/>
      </w:r>
      <w:r w:rsidRPr="00FE433F">
        <w:rPr>
          <w:rFonts w:eastAsia="Calibri"/>
          <w:i/>
          <w:sz w:val="23"/>
          <w:szCs w:val="23"/>
          <w:rtl/>
        </w:rPr>
        <w:t>زا باشد، آنگاه تورم برابر است با نرخ رشد پول</w:t>
      </w:r>
      <w:r w:rsidRPr="00FE433F">
        <w:rPr>
          <w:rFonts w:eastAsia="Calibri" w:hint="eastAsia"/>
          <w:i/>
          <w:sz w:val="23"/>
          <w:szCs w:val="23"/>
          <w:rtl/>
        </w:rPr>
        <w:t>،</w:t>
      </w:r>
      <w:r w:rsidRPr="00FE433F">
        <w:rPr>
          <w:i/>
          <w:sz w:val="23"/>
          <w:szCs w:val="23"/>
          <w:rtl/>
        </w:rPr>
        <w:t xml:space="preserve"> و اگر تورم برون</w:t>
      </w:r>
      <w:r w:rsidRPr="00FE433F">
        <w:rPr>
          <w:i/>
          <w:sz w:val="23"/>
          <w:szCs w:val="23"/>
          <w:rtl/>
        </w:rPr>
        <w:softHyphen/>
      </w:r>
      <w:r w:rsidRPr="00FE433F">
        <w:rPr>
          <w:rFonts w:eastAsia="Calibri"/>
          <w:i/>
          <w:sz w:val="23"/>
          <w:szCs w:val="23"/>
          <w:rtl/>
        </w:rPr>
        <w:t>زا باشد (همانند هدف گذار</w:t>
      </w:r>
      <w:r w:rsidRPr="00FE433F">
        <w:rPr>
          <w:rFonts w:eastAsia="Calibri" w:hint="cs"/>
          <w:i/>
          <w:sz w:val="23"/>
          <w:szCs w:val="23"/>
          <w:rtl/>
        </w:rPr>
        <w:t>ی</w:t>
      </w:r>
      <w:r w:rsidRPr="00FE433F">
        <w:rPr>
          <w:rFonts w:eastAsia="Calibri"/>
          <w:i/>
          <w:sz w:val="23"/>
          <w:szCs w:val="23"/>
          <w:rtl/>
        </w:rPr>
        <w:t xml:space="preserve"> تورم) آنگاه با تغ</w:t>
      </w:r>
      <w:r w:rsidRPr="00FE433F">
        <w:rPr>
          <w:rFonts w:eastAsia="Calibri" w:hint="cs"/>
          <w:i/>
          <w:sz w:val="23"/>
          <w:szCs w:val="23"/>
          <w:rtl/>
        </w:rPr>
        <w:t>یی</w:t>
      </w:r>
      <w:r w:rsidRPr="00FE433F">
        <w:rPr>
          <w:rFonts w:eastAsia="Calibri" w:hint="eastAsia"/>
          <w:i/>
          <w:sz w:val="23"/>
          <w:szCs w:val="23"/>
          <w:rtl/>
        </w:rPr>
        <w:t>ر</w:t>
      </w:r>
      <w:r w:rsidRPr="00FE433F">
        <w:rPr>
          <w:rFonts w:eastAsia="Calibri"/>
          <w:i/>
          <w:sz w:val="23"/>
          <w:szCs w:val="23"/>
          <w:rtl/>
        </w:rPr>
        <w:t xml:space="preserve"> جهت عل</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نرخ رشد پول اسم</w:t>
      </w:r>
      <w:r w:rsidRPr="00FE433F">
        <w:rPr>
          <w:rFonts w:eastAsia="Calibri" w:hint="cs"/>
          <w:i/>
          <w:sz w:val="23"/>
          <w:szCs w:val="23"/>
          <w:rtl/>
        </w:rPr>
        <w:t>ی</w:t>
      </w:r>
      <w:r w:rsidRPr="00FE433F">
        <w:rPr>
          <w:rFonts w:eastAsia="Calibri"/>
          <w:i/>
          <w:sz w:val="23"/>
          <w:szCs w:val="23"/>
          <w:rtl/>
        </w:rPr>
        <w:t xml:space="preserve"> برابر است با نرخ تورم.</w:t>
      </w:r>
    </w:p>
    <w:p w14:paraId="17347589" w14:textId="77777777" w:rsidR="00411620" w:rsidRPr="00FE433F" w:rsidRDefault="00411620" w:rsidP="00411620">
      <w:pPr>
        <w:spacing w:line="216" w:lineRule="auto"/>
        <w:rPr>
          <w:rFonts w:eastAsia="Calibri"/>
          <w:i/>
          <w:sz w:val="23"/>
          <w:szCs w:val="23"/>
          <w:rtl/>
        </w:rPr>
      </w:pPr>
    </w:p>
    <w:p w14:paraId="528DC53C" w14:textId="77777777" w:rsidR="00411620" w:rsidRPr="00FE433F" w:rsidRDefault="00411620" w:rsidP="00411620">
      <w:pPr>
        <w:pStyle w:val="Heading1"/>
        <w:spacing w:before="0" w:after="0" w:line="216" w:lineRule="auto"/>
        <w:rPr>
          <w:rFonts w:ascii="Times New Roman" w:hAnsi="Times New Roman" w:cs="B Nazanin"/>
          <w:b w:val="0"/>
          <w:i/>
          <w:sz w:val="23"/>
          <w:szCs w:val="23"/>
          <w:rtl/>
        </w:rPr>
      </w:pPr>
      <w:r w:rsidRPr="00FE433F">
        <w:rPr>
          <w:rFonts w:ascii="Times New Roman" w:hAnsi="Times New Roman" w:cs="B Nazanin"/>
          <w:b w:val="0"/>
          <w:i/>
          <w:sz w:val="23"/>
          <w:szCs w:val="23"/>
          <w:rtl/>
        </w:rPr>
        <w:t xml:space="preserve">۸. ۴ </w:t>
      </w:r>
      <w:r w:rsidRPr="00FE433F">
        <w:rPr>
          <w:rFonts w:ascii="Times New Roman" w:hAnsi="Times New Roman" w:cs="B Nazanin" w:hint="cs"/>
          <w:b w:val="0"/>
          <w:i/>
          <w:sz w:val="23"/>
          <w:szCs w:val="23"/>
          <w:rtl/>
        </w:rPr>
        <w:t xml:space="preserve">تابع </w:t>
      </w:r>
      <w:r w:rsidRPr="00FE433F">
        <w:rPr>
          <w:rFonts w:ascii="Times New Roman" w:hAnsi="Times New Roman" w:cs="B Nazanin"/>
          <w:b w:val="0"/>
          <w:i/>
          <w:sz w:val="23"/>
          <w:szCs w:val="23"/>
          <w:rtl/>
        </w:rPr>
        <w:t>تقاضا برا</w:t>
      </w:r>
      <w:r w:rsidRPr="00FE433F">
        <w:rPr>
          <w:rFonts w:ascii="Times New Roman" w:hAnsi="Times New Roman" w:cs="B Nazanin" w:hint="cs"/>
          <w:b w:val="0"/>
          <w:i/>
          <w:sz w:val="23"/>
          <w:szCs w:val="23"/>
          <w:rtl/>
        </w:rPr>
        <w:t>ی</w:t>
      </w:r>
      <w:r w:rsidRPr="00FE433F">
        <w:rPr>
          <w:rFonts w:ascii="Times New Roman" w:hAnsi="Times New Roman" w:cs="B Nazanin"/>
          <w:b w:val="0"/>
          <w:i/>
          <w:sz w:val="23"/>
          <w:szCs w:val="23"/>
          <w:rtl/>
        </w:rPr>
        <w:t xml:space="preserve"> پول</w:t>
      </w:r>
      <w:r w:rsidRPr="00FE433F">
        <w:rPr>
          <w:rFonts w:ascii="Times New Roman" w:hAnsi="Times New Roman" w:cs="B Nazanin" w:hint="cs"/>
          <w:b w:val="0"/>
          <w:i/>
          <w:sz w:val="23"/>
          <w:szCs w:val="23"/>
          <w:rtl/>
        </w:rPr>
        <w:t xml:space="preserve"> بر مبنای </w:t>
      </w:r>
      <w:r w:rsidRPr="00FE433F">
        <w:rPr>
          <w:rFonts w:ascii="Times New Roman" w:hAnsi="Times New Roman" w:cs="B Nazanin"/>
          <w:b w:val="0"/>
          <w:i/>
          <w:sz w:val="23"/>
          <w:szCs w:val="23"/>
          <w:rtl/>
        </w:rPr>
        <w:t>مدل</w:t>
      </w:r>
      <w:r w:rsidRPr="00FE433F">
        <w:rPr>
          <w:rFonts w:ascii="Times New Roman" w:hAnsi="Times New Roman" w:cs="B Nazanin" w:hint="cs"/>
          <w:b w:val="0"/>
          <w:i/>
          <w:sz w:val="23"/>
          <w:szCs w:val="23"/>
          <w:rtl/>
        </w:rPr>
        <w:t xml:space="preserve"> خرید نقدی</w:t>
      </w:r>
      <w:r w:rsidRPr="00FE433F">
        <w:rPr>
          <w:rFonts w:ascii="Times New Roman" w:hAnsi="Times New Roman" w:cs="B Nazanin"/>
          <w:b w:val="0"/>
          <w:i/>
          <w:sz w:val="23"/>
          <w:szCs w:val="23"/>
          <w:rtl/>
        </w:rPr>
        <w:t xml:space="preserve"> </w:t>
      </w:r>
      <w:r w:rsidRPr="00FE433F">
        <w:rPr>
          <w:rFonts w:ascii="Times New Roman" w:hAnsi="Times New Roman" w:cs="B Nazanin"/>
          <w:b w:val="0"/>
          <w:i/>
          <w:sz w:val="23"/>
          <w:szCs w:val="23"/>
        </w:rPr>
        <w:t>CIA</w:t>
      </w:r>
      <w:r w:rsidRPr="00FE433F">
        <w:rPr>
          <w:rFonts w:ascii="Times New Roman" w:hAnsi="Times New Roman" w:cs="B Nazanin"/>
          <w:b w:val="0"/>
          <w:i/>
          <w:sz w:val="23"/>
          <w:szCs w:val="23"/>
          <w:rtl/>
        </w:rPr>
        <w:t xml:space="preserve"> </w:t>
      </w:r>
    </w:p>
    <w:p w14:paraId="23D47F0B" w14:textId="77777777" w:rsidR="00411620" w:rsidRPr="00FE433F" w:rsidRDefault="00411620" w:rsidP="00411620">
      <w:pPr>
        <w:spacing w:line="216" w:lineRule="auto"/>
        <w:rPr>
          <w:rFonts w:eastAsia="Calibri"/>
          <w:i/>
          <w:sz w:val="23"/>
          <w:szCs w:val="23"/>
        </w:rPr>
      </w:pPr>
      <w:r w:rsidRPr="00FE433F">
        <w:rPr>
          <w:rFonts w:eastAsia="Calibri"/>
          <w:i/>
          <w:sz w:val="23"/>
          <w:szCs w:val="23"/>
          <w:rtl/>
        </w:rPr>
        <w:t>در 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بودجه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خانوار ملاحظه</w:t>
      </w:r>
      <w:r w:rsidRPr="00FE433F">
        <w:rPr>
          <w:rFonts w:eastAsia="Calibri" w:hint="cs"/>
          <w:i/>
          <w:sz w:val="23"/>
          <w:szCs w:val="23"/>
          <w:rtl/>
        </w:rPr>
        <w:t xml:space="preserve"> </w:t>
      </w:r>
      <w:r w:rsidRPr="00FE433F">
        <w:rPr>
          <w:rFonts w:eastAsia="Calibri"/>
          <w:i/>
          <w:sz w:val="23"/>
          <w:szCs w:val="23"/>
          <w:rtl/>
        </w:rPr>
        <w:t>شد که نگهدار</w:t>
      </w:r>
      <w:r w:rsidRPr="00FE433F">
        <w:rPr>
          <w:rFonts w:eastAsia="Calibri" w:hint="cs"/>
          <w:i/>
          <w:sz w:val="23"/>
          <w:szCs w:val="23"/>
          <w:rtl/>
        </w:rPr>
        <w:t>ی</w:t>
      </w:r>
      <w:r w:rsidRPr="00FE433F">
        <w:rPr>
          <w:rFonts w:eastAsia="Calibri"/>
          <w:i/>
          <w:sz w:val="23"/>
          <w:szCs w:val="23"/>
          <w:rtl/>
        </w:rPr>
        <w:t xml:space="preserve"> پول منجر به تحم</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هز</w:t>
      </w:r>
      <w:r w:rsidRPr="00FE433F">
        <w:rPr>
          <w:rFonts w:eastAsia="Calibri" w:hint="cs"/>
          <w:i/>
          <w:sz w:val="23"/>
          <w:szCs w:val="23"/>
          <w:rtl/>
        </w:rPr>
        <w:t>ی</w:t>
      </w:r>
      <w:r w:rsidRPr="00FE433F">
        <w:rPr>
          <w:rFonts w:eastAsia="Calibri" w:hint="eastAsia"/>
          <w:i/>
          <w:sz w:val="23"/>
          <w:szCs w:val="23"/>
          <w:rtl/>
        </w:rPr>
        <w:t>نه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بر خانوار م</w:t>
      </w:r>
      <w:r w:rsidRPr="00FE433F">
        <w:rPr>
          <w:rFonts w:eastAsia="Calibri" w:hint="cs"/>
          <w:i/>
          <w:sz w:val="23"/>
          <w:szCs w:val="23"/>
          <w:rtl/>
        </w:rPr>
        <w:t>ی‌</w:t>
      </w:r>
      <w:r w:rsidRPr="00FE433F">
        <w:rPr>
          <w:rFonts w:eastAsia="Calibri"/>
          <w:i/>
          <w:sz w:val="23"/>
          <w:szCs w:val="23"/>
          <w:rtl/>
        </w:rPr>
        <w:t>شود. بنابرا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سئوال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است که چرا خانوار پول نقد نگهدار</w:t>
      </w:r>
      <w:r w:rsidRPr="00FE433F">
        <w:rPr>
          <w:rFonts w:eastAsia="Calibri" w:hint="cs"/>
          <w:i/>
          <w:sz w:val="23"/>
          <w:szCs w:val="23"/>
          <w:rtl/>
        </w:rPr>
        <w:t>ی</w: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کند؟ در پاسخ اول</w:t>
      </w:r>
      <w:r w:rsidRPr="00FE433F">
        <w:rPr>
          <w:rFonts w:eastAsia="Calibri" w:hint="cs"/>
          <w:i/>
          <w:sz w:val="23"/>
          <w:szCs w:val="23"/>
          <w:rtl/>
        </w:rPr>
        <w:t>ی</w:t>
      </w:r>
      <w:r w:rsidRPr="00FE433F">
        <w:rPr>
          <w:rFonts w:eastAsia="Calibri" w:hint="eastAsia"/>
          <w:i/>
          <w:sz w:val="23"/>
          <w:szCs w:val="23"/>
          <w:rtl/>
        </w:rPr>
        <w:t>ه</w:t>
      </w:r>
      <w:r w:rsidRPr="00FE433F">
        <w:rPr>
          <w:rFonts w:eastAsia="Calibri"/>
          <w:i/>
          <w:sz w:val="23"/>
          <w:szCs w:val="23"/>
          <w:rtl/>
        </w:rPr>
        <w:t xml:space="preserve"> </w:t>
      </w:r>
      <w:r w:rsidRPr="00FE433F">
        <w:rPr>
          <w:rFonts w:eastAsia="Calibri" w:hint="eastAsia"/>
          <w:i/>
          <w:sz w:val="23"/>
          <w:szCs w:val="23"/>
          <w:rtl/>
        </w:rPr>
        <w:t>با</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به</w:t>
      </w:r>
      <w:r w:rsidRPr="00FE433F">
        <w:rPr>
          <w:rFonts w:eastAsia="Calibri"/>
          <w:i/>
          <w:sz w:val="23"/>
          <w:szCs w:val="23"/>
          <w:rtl/>
        </w:rPr>
        <w:t xml:space="preserve"> </w:t>
      </w:r>
      <w:r w:rsidRPr="00FE433F">
        <w:rPr>
          <w:rFonts w:eastAsia="Calibri" w:hint="eastAsia"/>
          <w:i/>
          <w:sz w:val="23"/>
          <w:szCs w:val="23"/>
          <w:rtl/>
        </w:rPr>
        <w:t>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نکته</w:t>
      </w:r>
      <w:r w:rsidRPr="00FE433F">
        <w:rPr>
          <w:rFonts w:eastAsia="Calibri"/>
          <w:i/>
          <w:sz w:val="23"/>
          <w:szCs w:val="23"/>
          <w:rtl/>
        </w:rPr>
        <w:t xml:space="preserve"> </w:t>
      </w:r>
      <w:r w:rsidRPr="00FE433F">
        <w:rPr>
          <w:rFonts w:eastAsia="Calibri" w:hint="eastAsia"/>
          <w:i/>
          <w:sz w:val="23"/>
          <w:szCs w:val="23"/>
          <w:rtl/>
        </w:rPr>
        <w:t>اشاره</w:t>
      </w:r>
      <w:r w:rsidRPr="00FE433F">
        <w:rPr>
          <w:rFonts w:eastAsia="Calibri"/>
          <w:i/>
          <w:sz w:val="23"/>
          <w:szCs w:val="23"/>
          <w:rtl/>
        </w:rPr>
        <w:t xml:space="preserve"> </w:t>
      </w:r>
      <w:r w:rsidRPr="00FE433F">
        <w:rPr>
          <w:rFonts w:eastAsia="Calibri" w:hint="cs"/>
          <w:i/>
          <w:sz w:val="23"/>
          <w:szCs w:val="23"/>
          <w:rtl/>
        </w:rPr>
        <w:t>شو</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که</w:t>
      </w:r>
      <w:r w:rsidRPr="00FE433F">
        <w:rPr>
          <w:rFonts w:eastAsia="Calibri"/>
          <w:i/>
          <w:sz w:val="23"/>
          <w:szCs w:val="23"/>
          <w:rtl/>
        </w:rPr>
        <w:t xml:space="preserve"> </w:t>
      </w:r>
      <w:r w:rsidRPr="00FE433F">
        <w:rPr>
          <w:rFonts w:eastAsia="Calibri" w:hint="eastAsia"/>
          <w:i/>
          <w:sz w:val="23"/>
          <w:szCs w:val="23"/>
          <w:rtl/>
        </w:rPr>
        <w:t>نگهدار</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پول</w:t>
      </w:r>
      <w:r w:rsidRPr="00FE433F">
        <w:rPr>
          <w:rFonts w:eastAsia="Calibri"/>
          <w:i/>
          <w:sz w:val="23"/>
          <w:szCs w:val="23"/>
          <w:rtl/>
        </w:rPr>
        <w:t xml:space="preserve"> </w:t>
      </w:r>
      <w:r w:rsidRPr="00FE433F">
        <w:rPr>
          <w:rFonts w:eastAsia="Calibri" w:hint="eastAsia"/>
          <w:i/>
          <w:sz w:val="23"/>
          <w:szCs w:val="23"/>
          <w:rtl/>
        </w:rPr>
        <w:t>نقد</w:t>
      </w:r>
      <w:r w:rsidRPr="00FE433F">
        <w:rPr>
          <w:rFonts w:eastAsia="Calibri" w:hint="cs"/>
          <w:i/>
          <w:sz w:val="23"/>
          <w:szCs w:val="23"/>
          <w:rtl/>
        </w:rPr>
        <w:t>،</w:t>
      </w:r>
      <w:r w:rsidRPr="00FE433F">
        <w:rPr>
          <w:rFonts w:eastAsia="Calibri"/>
          <w:i/>
          <w:sz w:val="23"/>
          <w:szCs w:val="23"/>
          <w:rtl/>
        </w:rPr>
        <w:t xml:space="preserve"> </w:t>
      </w:r>
      <w:r w:rsidRPr="00FE433F">
        <w:rPr>
          <w:rFonts w:eastAsia="Calibri" w:hint="eastAsia"/>
          <w:i/>
          <w:sz w:val="23"/>
          <w:szCs w:val="23"/>
          <w:rtl/>
        </w:rPr>
        <w:t>نه</w:t>
      </w:r>
      <w:r w:rsidRPr="00FE433F">
        <w:rPr>
          <w:rFonts w:eastAsia="Calibri"/>
          <w:i/>
          <w:sz w:val="23"/>
          <w:szCs w:val="23"/>
          <w:rtl/>
        </w:rPr>
        <w:t xml:space="preserve"> </w:t>
      </w:r>
      <w:r w:rsidRPr="00FE433F">
        <w:rPr>
          <w:rFonts w:eastAsia="Calibri" w:hint="eastAsia"/>
          <w:i/>
          <w:sz w:val="23"/>
          <w:szCs w:val="23"/>
          <w:rtl/>
        </w:rPr>
        <w:t>تنها</w:t>
      </w:r>
      <w:r w:rsidRPr="00FE433F">
        <w:rPr>
          <w:rFonts w:eastAsia="Calibri"/>
          <w:i/>
          <w:sz w:val="23"/>
          <w:szCs w:val="23"/>
          <w:rtl/>
        </w:rPr>
        <w:t xml:space="preserve"> </w:t>
      </w:r>
      <w:r w:rsidRPr="00FE433F">
        <w:rPr>
          <w:rFonts w:eastAsia="Calibri" w:hint="eastAsia"/>
          <w:i/>
          <w:sz w:val="23"/>
          <w:szCs w:val="23"/>
          <w:rtl/>
        </w:rPr>
        <w:t>ذخ</w:t>
      </w:r>
      <w:r w:rsidRPr="00FE433F">
        <w:rPr>
          <w:rFonts w:eastAsia="Calibri" w:hint="cs"/>
          <w:i/>
          <w:sz w:val="23"/>
          <w:szCs w:val="23"/>
          <w:rtl/>
        </w:rPr>
        <w:t>ی</w:t>
      </w:r>
      <w:r w:rsidRPr="00FE433F">
        <w:rPr>
          <w:rFonts w:eastAsia="Calibri" w:hint="eastAsia"/>
          <w:i/>
          <w:sz w:val="23"/>
          <w:szCs w:val="23"/>
          <w:rtl/>
        </w:rPr>
        <w:t>ره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ارزش و واحد محاسبات</w:t>
      </w:r>
      <w:r w:rsidRPr="00FE433F">
        <w:rPr>
          <w:rFonts w:eastAsia="Calibri" w:hint="cs"/>
          <w:i/>
          <w:sz w:val="23"/>
          <w:szCs w:val="23"/>
          <w:rtl/>
        </w:rPr>
        <w:t>ی</w:t>
      </w:r>
      <w:r w:rsidRPr="00FE433F">
        <w:rPr>
          <w:rFonts w:eastAsia="Calibri"/>
          <w:i/>
          <w:sz w:val="23"/>
          <w:szCs w:val="23"/>
          <w:rtl/>
        </w:rPr>
        <w:t xml:space="preserve"> است</w:t>
      </w:r>
      <w:r w:rsidRPr="00FE433F">
        <w:rPr>
          <w:rFonts w:eastAsia="Calibri" w:hint="eastAsia"/>
          <w:i/>
          <w:sz w:val="23"/>
          <w:szCs w:val="23"/>
          <w:rtl/>
        </w:rPr>
        <w:t>،</w:t>
      </w:r>
      <w:r w:rsidRPr="00FE433F">
        <w:rPr>
          <w:rFonts w:eastAsia="Calibri"/>
          <w:i/>
          <w:sz w:val="23"/>
          <w:szCs w:val="23"/>
          <w:rtl/>
        </w:rPr>
        <w:t xml:space="preserve"> بلکه هز</w:t>
      </w:r>
      <w:r w:rsidRPr="00FE433F">
        <w:rPr>
          <w:rFonts w:eastAsia="Calibri" w:hint="cs"/>
          <w:i/>
          <w:sz w:val="23"/>
          <w:szCs w:val="23"/>
          <w:rtl/>
        </w:rPr>
        <w:t>ی</w:t>
      </w:r>
      <w:r w:rsidRPr="00FE433F">
        <w:rPr>
          <w:rFonts w:eastAsia="Calibri" w:hint="eastAsia"/>
          <w:i/>
          <w:sz w:val="23"/>
          <w:szCs w:val="23"/>
          <w:rtl/>
        </w:rPr>
        <w:t>نه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معاملات</w:t>
      </w:r>
      <w:r w:rsidRPr="00FE433F">
        <w:rPr>
          <w:rFonts w:eastAsia="Calibri" w:hint="cs"/>
          <w:i/>
          <w:sz w:val="23"/>
          <w:szCs w:val="23"/>
          <w:rtl/>
        </w:rPr>
        <w:t>ی</w:t>
      </w:r>
      <w:r w:rsidRPr="00FE433F">
        <w:rPr>
          <w:rFonts w:eastAsia="Calibri"/>
          <w:i/>
          <w:sz w:val="23"/>
          <w:szCs w:val="23"/>
          <w:rtl/>
        </w:rPr>
        <w:t xml:space="preserve"> را ن</w:t>
      </w:r>
      <w:r w:rsidRPr="00FE433F">
        <w:rPr>
          <w:rFonts w:eastAsia="Calibri" w:hint="cs"/>
          <w:i/>
          <w:sz w:val="23"/>
          <w:szCs w:val="23"/>
          <w:rtl/>
        </w:rPr>
        <w:t>ی</w:t>
      </w:r>
      <w:r w:rsidRPr="00FE433F">
        <w:rPr>
          <w:rFonts w:eastAsia="Calibri" w:hint="eastAsia"/>
          <w:i/>
          <w:sz w:val="23"/>
          <w:szCs w:val="23"/>
          <w:rtl/>
        </w:rPr>
        <w:t>ز</w:t>
      </w:r>
      <w:r w:rsidRPr="00FE433F">
        <w:rPr>
          <w:rFonts w:eastAsia="Calibri"/>
          <w:i/>
          <w:sz w:val="23"/>
          <w:szCs w:val="23"/>
          <w:rtl/>
        </w:rPr>
        <w:t xml:space="preserve"> کاهش م</w:t>
      </w:r>
      <w:r w:rsidRPr="00FE433F">
        <w:rPr>
          <w:rFonts w:eastAsia="Calibri" w:hint="cs"/>
          <w:i/>
          <w:sz w:val="23"/>
          <w:szCs w:val="23"/>
          <w:rtl/>
        </w:rPr>
        <w:t>ی‌</w:t>
      </w:r>
      <w:r w:rsidRPr="00FE433F">
        <w:rPr>
          <w:rFonts w:eastAsia="Calibri"/>
          <w:i/>
          <w:sz w:val="23"/>
          <w:szCs w:val="23"/>
          <w:rtl/>
        </w:rPr>
        <w:t xml:space="preserve">دهد. مدل </w:t>
      </w:r>
      <w:r w:rsidRPr="00FE433F">
        <w:rPr>
          <w:rFonts w:eastAsia="Calibri"/>
          <w:i/>
          <w:sz w:val="23"/>
          <w:szCs w:val="23"/>
        </w:rPr>
        <w:t>CIA</w:t>
      </w:r>
      <w:r w:rsidRPr="00FE433F">
        <w:rPr>
          <w:rFonts w:eastAsia="Calibri"/>
          <w:i/>
          <w:sz w:val="23"/>
          <w:szCs w:val="23"/>
          <w:rtl/>
        </w:rPr>
        <w:t xml:space="preserve"> </w:t>
      </w:r>
      <w:r w:rsidRPr="00FE433F">
        <w:rPr>
          <w:rFonts w:eastAsia="Calibri" w:hint="eastAsia"/>
          <w:i/>
          <w:sz w:val="23"/>
          <w:szCs w:val="23"/>
          <w:rtl/>
        </w:rPr>
        <w:t>بر</w:t>
      </w:r>
      <w:r w:rsidRPr="00FE433F">
        <w:rPr>
          <w:rFonts w:eastAsia="Calibri"/>
          <w:i/>
          <w:sz w:val="23"/>
          <w:szCs w:val="23"/>
          <w:rtl/>
        </w:rPr>
        <w:t xml:space="preserve"> تقاضا</w:t>
      </w:r>
      <w:r w:rsidRPr="00FE433F">
        <w:rPr>
          <w:rFonts w:eastAsia="Calibri" w:hint="cs"/>
          <w:i/>
          <w:sz w:val="23"/>
          <w:szCs w:val="23"/>
          <w:rtl/>
        </w:rPr>
        <w:t>ی</w:t>
      </w:r>
      <w:r w:rsidRPr="00FE433F">
        <w:rPr>
          <w:rFonts w:eastAsia="Calibri"/>
          <w:i/>
          <w:sz w:val="23"/>
          <w:szCs w:val="23"/>
          <w:rtl/>
        </w:rPr>
        <w:t xml:space="preserve"> معاملات</w:t>
      </w:r>
      <w:r w:rsidRPr="00FE433F">
        <w:rPr>
          <w:rFonts w:eastAsia="Calibri" w:hint="cs"/>
          <w:i/>
          <w:sz w:val="23"/>
          <w:szCs w:val="23"/>
          <w:rtl/>
        </w:rPr>
        <w:t>ی</w:t>
      </w:r>
      <w:r w:rsidRPr="00FE433F">
        <w:rPr>
          <w:rFonts w:eastAsia="Calibri"/>
          <w:i/>
          <w:sz w:val="23"/>
          <w:szCs w:val="23"/>
          <w:rtl/>
        </w:rPr>
        <w:t xml:space="preserve"> پول متمرکز است و در آن فرض م</w:t>
      </w:r>
      <w:r w:rsidRPr="00FE433F">
        <w:rPr>
          <w:rFonts w:eastAsia="Calibri" w:hint="cs"/>
          <w:i/>
          <w:sz w:val="23"/>
          <w:szCs w:val="23"/>
          <w:rtl/>
        </w:rPr>
        <w:t>ی‌</w:t>
      </w:r>
      <w:r w:rsidRPr="00FE433F">
        <w:rPr>
          <w:rFonts w:eastAsia="Calibri"/>
          <w:i/>
          <w:sz w:val="23"/>
          <w:szCs w:val="23"/>
          <w:rtl/>
        </w:rPr>
        <w:t>شود</w:t>
      </w:r>
      <w:r w:rsidRPr="00FE433F">
        <w:rPr>
          <w:rFonts w:eastAsia="Calibri" w:hint="cs"/>
          <w:i/>
          <w:sz w:val="23"/>
          <w:szCs w:val="23"/>
          <w:rtl/>
        </w:rPr>
        <w:t>،</w:t>
      </w:r>
      <w:r w:rsidRPr="00FE433F">
        <w:rPr>
          <w:rFonts w:eastAsia="Calibri"/>
          <w:i/>
          <w:sz w:val="23"/>
          <w:szCs w:val="23"/>
          <w:rtl/>
        </w:rPr>
        <w:t xml:space="preserve"> خر</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تمام</w:t>
      </w:r>
      <w:r w:rsidRPr="00FE433F">
        <w:rPr>
          <w:rFonts w:eastAsia="Calibri" w:hint="cs"/>
          <w:i/>
          <w:sz w:val="23"/>
          <w:szCs w:val="23"/>
          <w:rtl/>
        </w:rPr>
        <w:t>ی</w:t>
      </w:r>
      <w:r w:rsidRPr="00FE433F">
        <w:rPr>
          <w:rFonts w:eastAsia="Calibri"/>
          <w:i/>
          <w:sz w:val="23"/>
          <w:szCs w:val="23"/>
          <w:rtl/>
        </w:rPr>
        <w:t xml:space="preserve"> کالاها و خدمات بصورت نقد</w:t>
      </w:r>
      <w:r w:rsidRPr="00FE433F">
        <w:rPr>
          <w:rFonts w:eastAsia="Calibri" w:hint="cs"/>
          <w:i/>
          <w:sz w:val="23"/>
          <w:szCs w:val="23"/>
          <w:rtl/>
        </w:rPr>
        <w:t>ی</w:t>
      </w:r>
      <w:r w:rsidRPr="00FE433F">
        <w:rPr>
          <w:rFonts w:eastAsia="Calibri"/>
          <w:i/>
          <w:sz w:val="23"/>
          <w:szCs w:val="23"/>
          <w:rtl/>
        </w:rPr>
        <w:t xml:space="preserve"> ا</w:t>
      </w:r>
      <w:r w:rsidRPr="00FE433F">
        <w:rPr>
          <w:rFonts w:eastAsia="Calibri" w:hint="eastAsia"/>
          <w:i/>
          <w:sz w:val="23"/>
          <w:szCs w:val="23"/>
          <w:rtl/>
        </w:rPr>
        <w:t>ست</w:t>
      </w:r>
      <w:r w:rsidRPr="00FE433F">
        <w:rPr>
          <w:rFonts w:eastAsia="Calibri"/>
          <w:i/>
          <w:sz w:val="23"/>
          <w:szCs w:val="23"/>
          <w:rtl/>
        </w:rPr>
        <w:t xml:space="preserve">. </w:t>
      </w:r>
      <w:r w:rsidRPr="00FE433F">
        <w:rPr>
          <w:rFonts w:eastAsia="Calibri" w:hint="cs"/>
          <w:i/>
          <w:sz w:val="23"/>
          <w:szCs w:val="23"/>
          <w:rtl/>
        </w:rPr>
        <w:t xml:space="preserve">هر چند، </w:t>
      </w:r>
      <w:r w:rsidRPr="00FE433F">
        <w:rPr>
          <w:rFonts w:eastAsia="Calibri"/>
          <w:i/>
          <w:sz w:val="23"/>
          <w:szCs w:val="23"/>
          <w:rtl/>
        </w:rPr>
        <w:t>در واقع، اقتصاد با مقد</w:t>
      </w:r>
      <w:r w:rsidRPr="00FE433F">
        <w:rPr>
          <w:rFonts w:eastAsia="Calibri" w:hint="cs"/>
          <w:i/>
          <w:sz w:val="23"/>
          <w:szCs w:val="23"/>
          <w:rtl/>
        </w:rPr>
        <w:t>ا</w:t>
      </w:r>
      <w:r w:rsidRPr="00FE433F">
        <w:rPr>
          <w:rFonts w:eastAsia="Calibri" w:hint="eastAsia"/>
          <w:i/>
          <w:sz w:val="23"/>
          <w:szCs w:val="23"/>
          <w:rtl/>
        </w:rPr>
        <w:t>ر</w:t>
      </w:r>
      <w:r w:rsidRPr="00FE433F">
        <w:rPr>
          <w:rFonts w:eastAsia="Calibri"/>
          <w:i/>
          <w:sz w:val="23"/>
          <w:szCs w:val="23"/>
          <w:rtl/>
        </w:rPr>
        <w:t xml:space="preserve"> پول کمتر</w:t>
      </w:r>
      <w:r w:rsidRPr="00FE433F">
        <w:rPr>
          <w:rFonts w:eastAsia="Calibri" w:hint="cs"/>
          <w:i/>
          <w:sz w:val="23"/>
          <w:szCs w:val="23"/>
          <w:rtl/>
        </w:rPr>
        <w:t>ی</w:t>
      </w:r>
      <w:r w:rsidRPr="00FE433F">
        <w:rPr>
          <w:rFonts w:eastAsia="Calibri"/>
          <w:i/>
          <w:sz w:val="23"/>
          <w:szCs w:val="23"/>
          <w:rtl/>
        </w:rPr>
        <w:t xml:space="preserve"> نسبت به مخارج اسم</w:t>
      </w:r>
      <w:r w:rsidRPr="00FE433F">
        <w:rPr>
          <w:rFonts w:eastAsia="Calibri" w:hint="cs"/>
          <w:i/>
          <w:sz w:val="23"/>
          <w:szCs w:val="23"/>
          <w:rtl/>
        </w:rPr>
        <w:t>ی</w:t>
      </w:r>
      <w:r w:rsidRPr="00FE433F">
        <w:rPr>
          <w:rFonts w:eastAsia="Calibri"/>
          <w:i/>
          <w:sz w:val="23"/>
          <w:szCs w:val="23"/>
          <w:rtl/>
        </w:rPr>
        <w:t xml:space="preserve"> اداره م</w:t>
      </w:r>
      <w:r w:rsidRPr="00FE433F">
        <w:rPr>
          <w:rFonts w:eastAsia="Calibri" w:hint="cs"/>
          <w:i/>
          <w:sz w:val="23"/>
          <w:szCs w:val="23"/>
          <w:rtl/>
        </w:rPr>
        <w:t>ی‌</w:t>
      </w:r>
      <w:r w:rsidRPr="00FE433F">
        <w:rPr>
          <w:rFonts w:eastAsia="Calibri"/>
          <w:i/>
          <w:sz w:val="23"/>
          <w:szCs w:val="23"/>
          <w:rtl/>
        </w:rPr>
        <w:t xml:space="preserve">شود، </w:t>
      </w:r>
      <w:r w:rsidRPr="00FE433F">
        <w:rPr>
          <w:rFonts w:eastAsia="Calibri" w:hint="cs"/>
          <w:i/>
          <w:sz w:val="23"/>
          <w:szCs w:val="23"/>
          <w:rtl/>
        </w:rPr>
        <w:t xml:space="preserve">و </w:t>
      </w:r>
      <w:r w:rsidRPr="00FE433F">
        <w:rPr>
          <w:rFonts w:eastAsia="Calibri"/>
          <w:i/>
          <w:sz w:val="23"/>
          <w:szCs w:val="23"/>
          <w:rtl/>
        </w:rPr>
        <w:t>مقدار پول در دسترس کمتر از مخارج اسم</w:t>
      </w:r>
      <w:r w:rsidRPr="00FE433F">
        <w:rPr>
          <w:rFonts w:eastAsia="Calibri" w:hint="cs"/>
          <w:i/>
          <w:sz w:val="23"/>
          <w:szCs w:val="23"/>
          <w:rtl/>
        </w:rPr>
        <w:t>ی</w:t>
      </w:r>
      <w:r w:rsidRPr="00FE433F">
        <w:rPr>
          <w:rFonts w:eastAsia="Calibri"/>
          <w:i/>
          <w:sz w:val="23"/>
          <w:szCs w:val="23"/>
          <w:rtl/>
        </w:rPr>
        <w:t xml:space="preserve"> </w:t>
      </w:r>
      <w:r w:rsidRPr="00FE433F">
        <w:rPr>
          <w:rFonts w:eastAsia="Calibri" w:hint="cs"/>
          <w:i/>
          <w:sz w:val="23"/>
          <w:szCs w:val="23"/>
          <w:rtl/>
        </w:rPr>
        <w:t>است. ولی</w:t>
      </w:r>
      <w:r w:rsidRPr="00FE433F">
        <w:rPr>
          <w:rFonts w:eastAsia="Calibri"/>
          <w:i/>
          <w:sz w:val="23"/>
          <w:szCs w:val="23"/>
          <w:rtl/>
        </w:rPr>
        <w:t xml:space="preserve"> برا</w:t>
      </w:r>
      <w:r w:rsidRPr="00FE433F">
        <w:rPr>
          <w:rFonts w:eastAsia="Calibri" w:hint="cs"/>
          <w:i/>
          <w:sz w:val="23"/>
          <w:szCs w:val="23"/>
          <w:rtl/>
        </w:rPr>
        <w:t>ی</w:t>
      </w:r>
      <w:r w:rsidRPr="00FE433F">
        <w:rPr>
          <w:rFonts w:eastAsia="Calibri"/>
          <w:i/>
          <w:sz w:val="23"/>
          <w:szCs w:val="23"/>
          <w:rtl/>
        </w:rPr>
        <w:t xml:space="preserve"> سهولت فرض م</w:t>
      </w:r>
      <w:r w:rsidRPr="00FE433F">
        <w:rPr>
          <w:rFonts w:eastAsia="Calibri" w:hint="cs"/>
          <w:i/>
          <w:sz w:val="23"/>
          <w:szCs w:val="23"/>
          <w:rtl/>
        </w:rPr>
        <w:t>ی‌</w:t>
      </w:r>
      <w:r w:rsidRPr="00FE433F">
        <w:rPr>
          <w:rFonts w:eastAsia="Calibri" w:hint="eastAsia"/>
          <w:i/>
          <w:sz w:val="23"/>
          <w:szCs w:val="23"/>
          <w:rtl/>
        </w:rPr>
        <w:t>شود</w:t>
      </w:r>
      <w:r w:rsidRPr="00FE433F">
        <w:rPr>
          <w:rFonts w:eastAsia="Calibri"/>
          <w:i/>
          <w:sz w:val="23"/>
          <w:szCs w:val="23"/>
          <w:rtl/>
        </w:rPr>
        <w:t xml:space="preserve"> پول نگهدار</w:t>
      </w:r>
      <w:r w:rsidRPr="00FE433F">
        <w:rPr>
          <w:rFonts w:eastAsia="Calibri" w:hint="cs"/>
          <w:i/>
          <w:sz w:val="23"/>
          <w:szCs w:val="23"/>
          <w:rtl/>
        </w:rPr>
        <w:t>ی</w:t>
      </w:r>
      <w:r w:rsidRPr="00FE433F">
        <w:rPr>
          <w:rFonts w:eastAsia="Calibri"/>
          <w:i/>
          <w:sz w:val="23"/>
          <w:szCs w:val="23"/>
          <w:rtl/>
        </w:rPr>
        <w:t xml:space="preserve"> شده برابر است با کل مخارج اسم</w:t>
      </w:r>
      <w:r w:rsidRPr="00FE433F">
        <w:rPr>
          <w:rFonts w:eastAsia="Calibri" w:hint="cs"/>
          <w:i/>
          <w:sz w:val="23"/>
          <w:szCs w:val="23"/>
          <w:rtl/>
        </w:rPr>
        <w:t>ی،</w:t>
      </w:r>
      <w:r w:rsidRPr="00FE433F">
        <w:rPr>
          <w:rFonts w:eastAsia="Calibri"/>
          <w:i/>
          <w:sz w:val="23"/>
          <w:szCs w:val="23"/>
          <w:rtl/>
        </w:rPr>
        <w:t xml:space="preserve"> و لذا تقاضا</w:t>
      </w:r>
      <w:r w:rsidRPr="00FE433F">
        <w:rPr>
          <w:rFonts w:eastAsia="Calibri" w:hint="cs"/>
          <w:i/>
          <w:sz w:val="23"/>
          <w:szCs w:val="23"/>
          <w:rtl/>
        </w:rPr>
        <w:t>ی</w:t>
      </w:r>
      <w:r w:rsidRPr="00FE433F">
        <w:rPr>
          <w:rFonts w:eastAsia="Calibri"/>
          <w:i/>
          <w:sz w:val="23"/>
          <w:szCs w:val="23"/>
          <w:rtl/>
        </w:rPr>
        <w:t xml:space="preserve"> اسم</w:t>
      </w:r>
      <w:r w:rsidRPr="00FE433F">
        <w:rPr>
          <w:rFonts w:eastAsia="Calibri" w:hint="cs"/>
          <w:i/>
          <w:sz w:val="23"/>
          <w:szCs w:val="23"/>
          <w:rtl/>
        </w:rPr>
        <w:t>ی</w:t>
      </w:r>
      <w:r w:rsidRPr="00FE433F">
        <w:rPr>
          <w:rFonts w:eastAsia="Calibri"/>
          <w:i/>
          <w:sz w:val="23"/>
          <w:szCs w:val="23"/>
          <w:rtl/>
        </w:rPr>
        <w:t xml:space="preserve"> پول </w:t>
      </w:r>
      <w:r w:rsidRPr="00FE433F">
        <w:rPr>
          <w:rFonts w:eastAsia="Calibri" w:hint="eastAsia"/>
          <w:i/>
          <w:sz w:val="23"/>
          <w:szCs w:val="23"/>
          <w:rtl/>
        </w:rPr>
        <w:t>برابر</w:t>
      </w:r>
      <w:r w:rsidRPr="00FE433F">
        <w:rPr>
          <w:rFonts w:eastAsia="Calibri"/>
          <w:i/>
          <w:sz w:val="23"/>
          <w:szCs w:val="23"/>
          <w:rtl/>
        </w:rPr>
        <w:t xml:space="preserve"> است </w:t>
      </w:r>
      <w:r w:rsidRPr="00FE433F">
        <w:rPr>
          <w:rFonts w:eastAsia="Calibri" w:hint="eastAsia"/>
          <w:i/>
          <w:sz w:val="23"/>
          <w:szCs w:val="23"/>
          <w:rtl/>
        </w:rPr>
        <w:t>با</w:t>
      </w:r>
    </w:p>
    <w:p w14:paraId="2A1A8038" w14:textId="77777777" w:rsidR="00411620" w:rsidRPr="00FE433F" w:rsidRDefault="00411620" w:rsidP="00411620">
      <w:pPr>
        <w:bidi w:val="0"/>
        <w:spacing w:line="216" w:lineRule="auto"/>
        <w:rPr>
          <w:i/>
          <w:sz w:val="23"/>
          <w:szCs w:val="23"/>
        </w:rPr>
      </w:pPr>
      <w:r w:rsidRPr="00FE433F">
        <w:rPr>
          <w:position w:val="-10"/>
        </w:rPr>
        <w:object w:dxaOrig="980" w:dyaOrig="340" w14:anchorId="597FE0A2">
          <v:shape id="_x0000_i4032" type="#_x0000_t75" style="width:49pt;height:16.95pt" o:ole="">
            <v:imagedata r:id="rId6053" o:title=""/>
          </v:shape>
          <o:OLEObject Type="Embed" ProgID="Equation.DSMT4" ShapeID="_x0000_i4032" DrawAspect="Content" ObjectID="_1791377976" r:id="rId6054"/>
        </w:object>
      </w:r>
      <w:r w:rsidRPr="00FE433F">
        <w:rPr>
          <w:i/>
          <w:sz w:val="23"/>
          <w:szCs w:val="23"/>
        </w:rPr>
        <w:t xml:space="preserve"> </w:t>
      </w:r>
    </w:p>
    <w:p w14:paraId="55B5B929"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و تقاضا</w:t>
      </w:r>
      <w:r w:rsidRPr="00FE433F">
        <w:rPr>
          <w:rFonts w:eastAsia="Calibri" w:hint="cs"/>
          <w:i/>
          <w:sz w:val="23"/>
          <w:szCs w:val="23"/>
          <w:rtl/>
        </w:rPr>
        <w:t>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پول برابر </w:t>
      </w:r>
      <w:r w:rsidRPr="00FE433F">
        <w:rPr>
          <w:rFonts w:eastAsia="Calibri" w:hint="cs"/>
          <w:i/>
          <w:sz w:val="23"/>
          <w:szCs w:val="23"/>
          <w:rtl/>
        </w:rPr>
        <w:t xml:space="preserve">خواهد بود </w:t>
      </w:r>
      <w:r w:rsidRPr="00FE433F">
        <w:rPr>
          <w:rFonts w:eastAsia="Calibri"/>
          <w:i/>
          <w:sz w:val="23"/>
          <w:szCs w:val="23"/>
          <w:rtl/>
        </w:rPr>
        <w:t>با</w:t>
      </w:r>
    </w:p>
    <w:p w14:paraId="378D4B69"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1359" w:dyaOrig="660" w14:anchorId="19D9979F">
          <v:shape id="_x0000_i4033" type="#_x0000_t75" style="width:67.75pt;height:32.65pt" o:ole="">
            <v:imagedata r:id="rId6055" o:title=""/>
          </v:shape>
          <o:OLEObject Type="Embed" ProgID="Equation.DSMT4" ShapeID="_x0000_i4033" DrawAspect="Content" ObjectID="_1791377977" r:id="rId6056"/>
        </w:object>
      </w:r>
    </w:p>
    <w:p w14:paraId="4292DC1A"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اکنون فرض م</w:t>
      </w:r>
      <w:r w:rsidRPr="00FE433F">
        <w:rPr>
          <w:rFonts w:eastAsia="Calibri" w:hint="cs"/>
          <w:i/>
          <w:sz w:val="23"/>
          <w:szCs w:val="23"/>
          <w:rtl/>
        </w:rPr>
        <w:t>ی‌</w:t>
      </w:r>
      <w:r w:rsidRPr="00FE433F">
        <w:rPr>
          <w:rFonts w:eastAsia="Calibri"/>
          <w:i/>
          <w:sz w:val="23"/>
          <w:szCs w:val="23"/>
          <w:rtl/>
        </w:rPr>
        <w:t>کن</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w:t>
      </w:r>
      <w:r w:rsidRPr="00FE433F">
        <w:rPr>
          <w:rFonts w:eastAsia="Calibri" w:hint="eastAsia"/>
          <w:i/>
          <w:sz w:val="23"/>
          <w:szCs w:val="23"/>
          <w:rtl/>
        </w:rPr>
        <w:t>عرضه</w:t>
      </w:r>
      <w:r w:rsidRPr="00FE433F">
        <w:rPr>
          <w:rFonts w:eastAsia="Calibri" w:hint="eastAsia"/>
          <w:i/>
          <w:sz w:val="23"/>
          <w:szCs w:val="23"/>
        </w:rPr>
        <w:t>‌</w:t>
      </w:r>
      <w:r w:rsidRPr="00FE433F">
        <w:rPr>
          <w:rFonts w:eastAsia="Calibri" w:hint="cs"/>
          <w:i/>
          <w:sz w:val="23"/>
          <w:szCs w:val="23"/>
          <w:rtl/>
        </w:rPr>
        <w:t>ی</w:t>
      </w:r>
      <w:r w:rsidRPr="00FE433F">
        <w:rPr>
          <w:i/>
          <w:sz w:val="23"/>
          <w:szCs w:val="23"/>
          <w:rtl/>
        </w:rPr>
        <w:t xml:space="preserve"> پول برون</w:t>
      </w:r>
      <w:r w:rsidRPr="00FE433F">
        <w:rPr>
          <w:i/>
          <w:sz w:val="23"/>
          <w:szCs w:val="23"/>
          <w:rtl/>
        </w:rPr>
        <w:softHyphen/>
      </w:r>
      <w:r w:rsidRPr="00FE433F">
        <w:rPr>
          <w:rFonts w:eastAsia="Calibri"/>
          <w:i/>
          <w:sz w:val="23"/>
          <w:szCs w:val="23"/>
          <w:rtl/>
        </w:rPr>
        <w:t>زاست و تعادل در بازار پول از برابر</w:t>
      </w:r>
      <w:r w:rsidRPr="00FE433F">
        <w:rPr>
          <w:rFonts w:eastAsia="Calibri" w:hint="cs"/>
          <w:i/>
          <w:sz w:val="23"/>
          <w:szCs w:val="23"/>
          <w:rtl/>
        </w:rPr>
        <w:t>ی</w:t>
      </w:r>
      <w:r w:rsidRPr="00FE433F">
        <w:rPr>
          <w:rFonts w:eastAsia="Calibri"/>
          <w:i/>
          <w:sz w:val="23"/>
          <w:szCs w:val="23"/>
          <w:rtl/>
        </w:rPr>
        <w:t xml:space="preserve"> عرضه و تقاضا</w:t>
      </w:r>
      <w:r w:rsidRPr="00FE433F">
        <w:rPr>
          <w:rFonts w:eastAsia="Calibri" w:hint="cs"/>
          <w:i/>
          <w:sz w:val="23"/>
          <w:szCs w:val="23"/>
          <w:rtl/>
        </w:rPr>
        <w:t>ی</w:t>
      </w:r>
      <w:r w:rsidRPr="00FE433F">
        <w:rPr>
          <w:rFonts w:eastAsia="Calibri"/>
          <w:i/>
          <w:sz w:val="23"/>
          <w:szCs w:val="23"/>
          <w:rtl/>
        </w:rPr>
        <w:t xml:space="preserve"> پول بدست م</w:t>
      </w:r>
      <w:r w:rsidRPr="00FE433F">
        <w:rPr>
          <w:rFonts w:eastAsia="Calibri" w:hint="cs"/>
          <w:i/>
          <w:sz w:val="23"/>
          <w:szCs w:val="23"/>
          <w:rtl/>
        </w:rPr>
        <w:t>ی‌</w:t>
      </w:r>
      <w:r w:rsidRPr="00FE433F">
        <w:rPr>
          <w:rFonts w:eastAsia="Calibri"/>
          <w:i/>
          <w:sz w:val="23"/>
          <w:szCs w:val="23"/>
          <w:rtl/>
        </w:rPr>
        <w:t>آ</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cs"/>
          <w:i/>
          <w:sz w:val="23"/>
          <w:szCs w:val="23"/>
          <w:rtl/>
        </w:rPr>
        <w:t>لذا</w:t>
      </w:r>
    </w:p>
    <w:p w14:paraId="1712ACF0"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0"/>
        </w:rPr>
        <w:object w:dxaOrig="1520" w:dyaOrig="340" w14:anchorId="4B9A7066">
          <v:shape id="_x0000_i4034" type="#_x0000_t75" style="width:76.25pt;height:16.95pt" o:ole="">
            <v:imagedata r:id="rId6057" o:title=""/>
          </v:shape>
          <o:OLEObject Type="Embed" ProgID="Equation.DSMT4" ShapeID="_x0000_i4034" DrawAspect="Content" ObjectID="_1791377978" r:id="rId6058"/>
        </w:object>
      </w:r>
    </w:p>
    <w:p w14:paraId="42811E59"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مسئله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خانوار عبارت است از حداکثر کردن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ب</w:t>
      </w:r>
      <w:r w:rsidRPr="00FE433F">
        <w:rPr>
          <w:rFonts w:eastAsia="Calibri" w:hint="cs"/>
          <w:i/>
          <w:sz w:val="23"/>
          <w:szCs w:val="23"/>
          <w:rtl/>
        </w:rPr>
        <w:t>ی</w:t>
      </w:r>
      <w:r w:rsidRPr="00FE433F">
        <w:rPr>
          <w:rFonts w:eastAsia="Calibri" w:hint="eastAsia"/>
          <w:i/>
          <w:sz w:val="23"/>
          <w:szCs w:val="23"/>
          <w:rtl/>
        </w:rPr>
        <w:t>ن</w:t>
      </w:r>
      <w:r w:rsidRPr="00FE433F">
        <w:rPr>
          <w:i/>
          <w:sz w:val="23"/>
          <w:szCs w:val="23"/>
          <w:rtl/>
        </w:rPr>
        <w:softHyphen/>
        <w:t>دوره</w:t>
      </w:r>
      <w:r w:rsidRPr="00FE433F">
        <w:rPr>
          <w:i/>
          <w:sz w:val="23"/>
          <w:szCs w:val="23"/>
          <w:rtl/>
        </w:rPr>
        <w:softHyphen/>
      </w:r>
      <w:r w:rsidRPr="00FE433F">
        <w:rPr>
          <w:rFonts w:eastAsia="Calibri"/>
          <w:i/>
          <w:sz w:val="23"/>
          <w:szCs w:val="23"/>
          <w:rtl/>
        </w:rPr>
        <w:t>ا</w:t>
      </w:r>
      <w:r w:rsidRPr="00FE433F">
        <w:rPr>
          <w:rFonts w:eastAsia="Calibri" w:hint="cs"/>
          <w:i/>
          <w:sz w:val="23"/>
          <w:szCs w:val="23"/>
          <w:rtl/>
        </w:rPr>
        <w:t>ی</w:t>
      </w:r>
      <w:r w:rsidRPr="00FE433F">
        <w:rPr>
          <w:rFonts w:eastAsia="Calibri"/>
          <w:i/>
          <w:sz w:val="23"/>
          <w:szCs w:val="23"/>
          <w:rtl/>
        </w:rPr>
        <w:t xml:space="preserve"> تنز</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شده</w:t>
      </w:r>
      <w:r w:rsidRPr="00FE433F">
        <w:rPr>
          <w:rFonts w:eastAsia="Calibri" w:hint="eastAsia"/>
          <w:i/>
          <w:sz w:val="23"/>
          <w:szCs w:val="23"/>
        </w:rPr>
        <w:t>‌</w:t>
      </w:r>
      <w:r w:rsidRPr="00FE433F">
        <w:rPr>
          <w:rFonts w:eastAsia="Calibri"/>
          <w:i/>
          <w:sz w:val="23"/>
          <w:szCs w:val="23"/>
          <w:rtl/>
        </w:rPr>
        <w:t xml:space="preserve"> نسبت به ق</w:t>
      </w:r>
      <w:r w:rsidRPr="00FE433F">
        <w:rPr>
          <w:rFonts w:eastAsia="Calibri" w:hint="cs"/>
          <w:i/>
          <w:sz w:val="23"/>
          <w:szCs w:val="23"/>
          <w:rtl/>
        </w:rPr>
        <w:t>یو</w:t>
      </w:r>
      <w:r w:rsidRPr="00FE433F">
        <w:rPr>
          <w:rFonts w:eastAsia="Calibri" w:hint="eastAsia"/>
          <w:i/>
          <w:sz w:val="23"/>
          <w:szCs w:val="23"/>
          <w:rtl/>
        </w:rPr>
        <w:t>د</w:t>
      </w:r>
      <w:r w:rsidRPr="00FE433F">
        <w:rPr>
          <w:rFonts w:eastAsia="Calibri"/>
          <w:i/>
          <w:sz w:val="23"/>
          <w:szCs w:val="23"/>
          <w:rtl/>
        </w:rPr>
        <w:t xml:space="preserve"> بودجه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خانوار </w:t>
      </w:r>
      <w:r w:rsidRPr="00FE433F">
        <w:rPr>
          <w:rFonts w:eastAsia="Calibri" w:hint="cs"/>
          <w:i/>
          <w:sz w:val="23"/>
          <w:szCs w:val="23"/>
          <w:rtl/>
        </w:rPr>
        <w:t>یا</w:t>
      </w:r>
      <w:r w:rsidRPr="00FE433F">
        <w:rPr>
          <w:rFonts w:eastAsia="Calibri"/>
          <w:i/>
          <w:sz w:val="23"/>
          <w:szCs w:val="23"/>
          <w:rtl/>
        </w:rPr>
        <w:t xml:space="preserve"> رابطه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w:t>
      </w:r>
      <w:r w:rsidRPr="00FE433F">
        <w:rPr>
          <w:i/>
          <w:sz w:val="23"/>
          <w:szCs w:val="23"/>
          <w:rtl/>
        </w:rPr>
        <w:t>(۸.</w:t>
      </w:r>
      <w:r w:rsidRPr="00FE433F">
        <w:rPr>
          <w:i/>
          <w:sz w:val="23"/>
          <w:szCs w:val="23"/>
        </w:rPr>
        <w:t xml:space="preserve"> </w:t>
      </w:r>
      <w:r w:rsidRPr="00FE433F">
        <w:rPr>
          <w:i/>
          <w:sz w:val="23"/>
          <w:szCs w:val="23"/>
          <w:rtl/>
        </w:rPr>
        <w:t>۲)</w:t>
      </w:r>
      <w:r w:rsidRPr="00FE433F">
        <w:rPr>
          <w:rFonts w:eastAsia="Calibri"/>
          <w:i/>
          <w:sz w:val="23"/>
          <w:szCs w:val="23"/>
          <w:rtl/>
        </w:rPr>
        <w:t xml:space="preserve"> و برابر</w:t>
      </w:r>
      <w:r w:rsidRPr="00FE433F">
        <w:rPr>
          <w:rFonts w:eastAsia="Calibri" w:hint="cs"/>
          <w:i/>
          <w:sz w:val="23"/>
          <w:szCs w:val="23"/>
          <w:rtl/>
        </w:rPr>
        <w:t>ی</w:t>
      </w:r>
      <w:r w:rsidRPr="00FE433F">
        <w:rPr>
          <w:rFonts w:eastAsia="Calibri"/>
          <w:i/>
          <w:sz w:val="23"/>
          <w:szCs w:val="23"/>
          <w:rtl/>
        </w:rPr>
        <w:t xml:space="preserve"> عرضه و تقاضا</w:t>
      </w:r>
      <w:r w:rsidRPr="00FE433F">
        <w:rPr>
          <w:rFonts w:eastAsia="Calibri" w:hint="cs"/>
          <w:i/>
          <w:sz w:val="23"/>
          <w:szCs w:val="23"/>
          <w:rtl/>
        </w:rPr>
        <w:t>ی</w:t>
      </w:r>
      <w:r w:rsidRPr="00FE433F">
        <w:rPr>
          <w:rFonts w:eastAsia="Calibri"/>
          <w:i/>
          <w:sz w:val="23"/>
          <w:szCs w:val="23"/>
          <w:rtl/>
        </w:rPr>
        <w:t xml:space="preserve"> پول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 xml:space="preserve">ی و </w:t>
      </w:r>
      <w:r w:rsidRPr="00FE433F">
        <w:rPr>
          <w:rFonts w:eastAsia="Calibri"/>
          <w:i/>
          <w:sz w:val="23"/>
          <w:szCs w:val="23"/>
          <w:rtl/>
        </w:rPr>
        <w:t>بر حسب متغ</w:t>
      </w:r>
      <w:r w:rsidRPr="00FE433F">
        <w:rPr>
          <w:rFonts w:eastAsia="Calibri" w:hint="cs"/>
          <w:i/>
          <w:sz w:val="23"/>
          <w:szCs w:val="23"/>
          <w:rtl/>
        </w:rPr>
        <w:t>ی</w:t>
      </w:r>
      <w:r w:rsidRPr="00FE433F">
        <w:rPr>
          <w:rFonts w:eastAsia="Calibri" w:hint="eastAsia"/>
          <w:i/>
          <w:sz w:val="23"/>
          <w:szCs w:val="23"/>
          <w:rtl/>
        </w:rPr>
        <w:t>رها</w:t>
      </w:r>
      <w:r w:rsidRPr="00FE433F">
        <w:rPr>
          <w:rFonts w:eastAsia="Calibri" w:hint="cs"/>
          <w:i/>
          <w:sz w:val="23"/>
          <w:szCs w:val="23"/>
          <w:rtl/>
        </w:rPr>
        <w:t>ی</w:t>
      </w:r>
      <w:r w:rsidRPr="00FE433F">
        <w:rPr>
          <w:position w:val="-10"/>
        </w:rPr>
        <w:object w:dxaOrig="340" w:dyaOrig="320" w14:anchorId="7ED6D763">
          <v:shape id="_x0000_i4035" type="#_x0000_t75" style="width:16.95pt;height:16.35pt" o:ole="">
            <v:imagedata r:id="rId6059" o:title=""/>
          </v:shape>
          <o:OLEObject Type="Embed" ProgID="Equation.DSMT4" ShapeID="_x0000_i4035" DrawAspect="Content" ObjectID="_1791377979" r:id="rId6060"/>
        </w:object>
      </w:r>
      <w:r w:rsidRPr="00FE433F">
        <w:rPr>
          <w:rFonts w:eastAsia="Calibri"/>
          <w:i/>
          <w:sz w:val="23"/>
          <w:szCs w:val="23"/>
          <w:rtl/>
        </w:rPr>
        <w:t>،</w:t>
      </w:r>
      <w:r w:rsidRPr="00FE433F">
        <w:rPr>
          <w:position w:val="-10"/>
        </w:rPr>
        <w:object w:dxaOrig="480" w:dyaOrig="320" w14:anchorId="1311E51B">
          <v:shape id="_x0000_i4036" type="#_x0000_t75" style="width:24.2pt;height:16.35pt" o:ole="">
            <v:imagedata r:id="rId6061" o:title=""/>
          </v:shape>
          <o:OLEObject Type="Embed" ProgID="Equation.DSMT4" ShapeID="_x0000_i4036" DrawAspect="Content" ObjectID="_1791377980" r:id="rId6062"/>
        </w:object>
      </w:r>
      <w:r w:rsidRPr="00FE433F">
        <w:rPr>
          <w:rFonts w:eastAsia="Calibri"/>
          <w:i/>
          <w:sz w:val="23"/>
          <w:szCs w:val="23"/>
          <w:rtl/>
        </w:rPr>
        <w:t xml:space="preserve"> و</w:t>
      </w:r>
      <w:r w:rsidRPr="00FE433F">
        <w:rPr>
          <w:position w:val="-10"/>
        </w:rPr>
        <w:object w:dxaOrig="560" w:dyaOrig="320" w14:anchorId="308F0544">
          <v:shape id="_x0000_i4037" type="#_x0000_t75" style="width:27.85pt;height:16.35pt" o:ole="">
            <v:imagedata r:id="rId6063" o:title=""/>
          </v:shape>
          <o:OLEObject Type="Embed" ProgID="Equation.DSMT4" ShapeID="_x0000_i4037" DrawAspect="Content" ObjectID="_1791377981" r:id="rId6064"/>
        </w:object>
      </w:r>
      <w:r w:rsidRPr="00FE433F">
        <w:rPr>
          <w:rFonts w:eastAsia="Calibri"/>
          <w:i/>
          <w:sz w:val="23"/>
          <w:szCs w:val="23"/>
        </w:rPr>
        <w:t xml:space="preserve"> </w:t>
      </w:r>
      <w:r w:rsidRPr="00FE433F">
        <w:rPr>
          <w:rFonts w:eastAsia="Calibri"/>
          <w:i/>
          <w:sz w:val="23"/>
          <w:szCs w:val="23"/>
          <w:rtl/>
        </w:rPr>
        <w:t>برا</w:t>
      </w:r>
      <w:r w:rsidRPr="00FE433F">
        <w:rPr>
          <w:rFonts w:eastAsia="Calibri" w:hint="cs"/>
          <w:i/>
          <w:sz w:val="23"/>
          <w:szCs w:val="23"/>
          <w:rtl/>
        </w:rPr>
        <w:t>ی</w:t>
      </w:r>
      <w:r w:rsidRPr="00FE433F">
        <w:rPr>
          <w:rFonts w:eastAsia="Calibri"/>
          <w:i/>
          <w:sz w:val="23"/>
          <w:szCs w:val="23"/>
          <w:rtl/>
        </w:rPr>
        <w:t xml:space="preserve"> کل</w:t>
      </w:r>
      <w:r w:rsidRPr="00FE433F">
        <w:rPr>
          <w:rFonts w:eastAsia="Calibri" w:hint="cs"/>
          <w:i/>
          <w:sz w:val="23"/>
          <w:szCs w:val="23"/>
          <w:rtl/>
        </w:rPr>
        <w:t>ی</w:t>
      </w:r>
      <w:r w:rsidRPr="00FE433F">
        <w:rPr>
          <w:rFonts w:eastAsia="Calibri" w:hint="eastAsia"/>
          <w:i/>
          <w:sz w:val="23"/>
          <w:szCs w:val="23"/>
          <w:rtl/>
        </w:rPr>
        <w:t>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position w:val="-6"/>
        </w:rPr>
        <w:object w:dxaOrig="499" w:dyaOrig="260" w14:anchorId="79C9CDFA">
          <v:shape id="_x0000_i4038" type="#_x0000_t75" style="width:24.8pt;height:13.3pt" o:ole="">
            <v:imagedata r:id="rId6065" o:title=""/>
          </v:shape>
          <o:OLEObject Type="Embed" ProgID="Equation.DSMT4" ShapeID="_x0000_i4038" DrawAspect="Content" ObjectID="_1791377982" r:id="rId6066"/>
        </w:object>
      </w:r>
      <w:r w:rsidRPr="00FE433F">
        <w:rPr>
          <w:rFonts w:hint="cs"/>
          <w:i/>
          <w:sz w:val="23"/>
          <w:szCs w:val="23"/>
          <w:rtl/>
        </w:rPr>
        <w:t xml:space="preserve"> است.</w:t>
      </w:r>
      <w:r w:rsidRPr="00FE433F">
        <w:rPr>
          <w:rFonts w:eastAsia="Calibri"/>
          <w:i/>
          <w:sz w:val="23"/>
          <w:szCs w:val="23"/>
          <w:rtl/>
        </w:rPr>
        <w:t xml:space="preserve"> لاگرانژ</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مسئله عبارت است از</w:t>
      </w:r>
    </w:p>
    <w:p w14:paraId="6E7607C8"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52"/>
        </w:rPr>
        <w:object w:dxaOrig="6700" w:dyaOrig="1160" w14:anchorId="4DEFEC93">
          <v:shape id="_x0000_i4039" type="#_x0000_t75" style="width:335.2pt;height:58.1pt" o:ole="">
            <v:imagedata r:id="rId6067" o:title=""/>
          </v:shape>
          <o:OLEObject Type="Embed" ProgID="Equation.DSMT4" ShapeID="_x0000_i4039" DrawAspect="Content" ObjectID="_1791377983" r:id="rId6068"/>
        </w:object>
      </w:r>
    </w:p>
    <w:p w14:paraId="4115807D"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شرا</w:t>
      </w:r>
      <w:r w:rsidRPr="00FE433F">
        <w:rPr>
          <w:rFonts w:eastAsia="Calibri" w:hint="cs"/>
          <w:i/>
          <w:sz w:val="23"/>
          <w:szCs w:val="23"/>
          <w:rtl/>
        </w:rPr>
        <w:t>ی</w:t>
      </w:r>
      <w:r w:rsidRPr="00FE433F">
        <w:rPr>
          <w:rFonts w:eastAsia="Calibri" w:hint="eastAsia"/>
          <w:i/>
          <w:sz w:val="23"/>
          <w:szCs w:val="23"/>
          <w:rtl/>
        </w:rPr>
        <w:t>ط</w:t>
      </w:r>
      <w:r w:rsidRPr="00FE433F">
        <w:rPr>
          <w:rFonts w:eastAsia="Calibri"/>
          <w:i/>
          <w:sz w:val="23"/>
          <w:szCs w:val="23"/>
          <w:rtl/>
        </w:rPr>
        <w:t xml:space="preserve"> </w:t>
      </w:r>
      <w:r w:rsidRPr="00FE433F">
        <w:rPr>
          <w:rFonts w:eastAsia="Calibri" w:hint="eastAsia"/>
          <w:i/>
          <w:sz w:val="23"/>
          <w:szCs w:val="23"/>
          <w:rtl/>
        </w:rPr>
        <w:t>مرتبه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اول عبارتند از؛</w:t>
      </w:r>
    </w:p>
    <w:p w14:paraId="70EF0690"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4740" w:dyaOrig="620" w14:anchorId="0853ADE1">
          <v:shape id="_x0000_i4040" type="#_x0000_t75" style="width:236.55pt;height:30.85pt" o:ole="">
            <v:imagedata r:id="rId6069" o:title=""/>
          </v:shape>
          <o:OLEObject Type="Embed" ProgID="Equation.DSMT4" ShapeID="_x0000_i4040" DrawAspect="Content" ObjectID="_1791377984" r:id="rId6070"/>
        </w:object>
      </w:r>
    </w:p>
    <w:p w14:paraId="1CDBA346"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4800" w:dyaOrig="620" w14:anchorId="0D42487D">
          <v:shape id="_x0000_i4041" type="#_x0000_t75" style="width:240.2pt;height:30.85pt" o:ole="">
            <v:imagedata r:id="rId6071" o:title=""/>
          </v:shape>
          <o:OLEObject Type="Embed" ProgID="Equation.DSMT4" ShapeID="_x0000_i4041" DrawAspect="Content" ObjectID="_1791377985" r:id="rId6072"/>
        </w:object>
      </w:r>
    </w:p>
    <w:p w14:paraId="311369B4"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4760" w:dyaOrig="620" w14:anchorId="42E39C48">
          <v:shape id="_x0000_i4042" type="#_x0000_t75" style="width:237.8pt;height:30.85pt" o:ole="">
            <v:imagedata r:id="rId6073" o:title=""/>
          </v:shape>
          <o:OLEObject Type="Embed" ProgID="Equation.DSMT4" ShapeID="_x0000_i4042" DrawAspect="Content" ObjectID="_1791377986" r:id="rId6074"/>
        </w:object>
      </w:r>
    </w:p>
    <w:p w14:paraId="50CAFDD9"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از برابر</w:t>
      </w:r>
      <w:r w:rsidRPr="00FE433F">
        <w:rPr>
          <w:rFonts w:eastAsia="Calibri" w:hint="cs"/>
          <w:i/>
          <w:sz w:val="23"/>
          <w:szCs w:val="23"/>
          <w:rtl/>
        </w:rPr>
        <w:t>ی</w:t>
      </w:r>
      <w:r w:rsidRPr="00FE433F">
        <w:rPr>
          <w:rFonts w:eastAsia="Calibri"/>
          <w:i/>
          <w:sz w:val="23"/>
          <w:szCs w:val="23"/>
          <w:rtl/>
        </w:rPr>
        <w:t xml:space="preserve"> ر</w:t>
      </w:r>
      <w:r w:rsidRPr="00FE433F">
        <w:rPr>
          <w:rFonts w:eastAsia="Calibri" w:hint="cs"/>
          <w:i/>
          <w:sz w:val="23"/>
          <w:szCs w:val="23"/>
          <w:rtl/>
        </w:rPr>
        <w:t>و</w:t>
      </w:r>
      <w:r w:rsidRPr="00FE433F">
        <w:rPr>
          <w:rFonts w:eastAsia="Calibri"/>
          <w:i/>
          <w:sz w:val="23"/>
          <w:szCs w:val="23"/>
          <w:rtl/>
        </w:rPr>
        <w:t xml:space="preserve">ابط دوم و سوم </w:t>
      </w:r>
      <w:r w:rsidRPr="00FE433F">
        <w:rPr>
          <w:rFonts w:eastAsia="Calibri" w:hint="cs"/>
          <w:i/>
          <w:sz w:val="23"/>
          <w:szCs w:val="23"/>
          <w:rtl/>
        </w:rPr>
        <w:t>از شرایط مرتبه اول</w:t>
      </w:r>
      <w:r w:rsidRPr="00FE433F">
        <w:rPr>
          <w:rFonts w:eastAsia="Calibri"/>
          <w:i/>
          <w:sz w:val="23"/>
          <w:szCs w:val="23"/>
          <w:rtl/>
        </w:rPr>
        <w:t xml:space="preserve"> خواه</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w:t>
      </w:r>
      <w:r w:rsidRPr="00FE433F">
        <w:rPr>
          <w:rFonts w:eastAsia="Calibri" w:hint="eastAsia"/>
          <w:i/>
          <w:sz w:val="23"/>
          <w:szCs w:val="23"/>
          <w:rtl/>
        </w:rPr>
        <w:t>داشت،</w:t>
      </w:r>
    </w:p>
    <w:p w14:paraId="16795769"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0"/>
        </w:rPr>
        <w:object w:dxaOrig="2500" w:dyaOrig="320" w14:anchorId="30EF4AD4">
          <v:shape id="_x0000_i4043" type="#_x0000_t75" style="width:125.25pt;height:16.35pt" o:ole="">
            <v:imagedata r:id="rId6075" o:title=""/>
          </v:shape>
          <o:OLEObject Type="Embed" ProgID="Equation.DSMT4" ShapeID="_x0000_i4043" DrawAspect="Content" ObjectID="_1791377987" r:id="rId6076"/>
        </w:object>
      </w:r>
    </w:p>
    <w:p w14:paraId="481B07FF" w14:textId="77777777" w:rsidR="00411620" w:rsidRPr="00FE433F" w:rsidRDefault="00411620" w:rsidP="00411620">
      <w:pPr>
        <w:spacing w:line="216" w:lineRule="auto"/>
        <w:rPr>
          <w:rFonts w:eastAsia="Calibri"/>
          <w:i/>
          <w:sz w:val="23"/>
          <w:szCs w:val="23"/>
        </w:rPr>
      </w:pPr>
      <w:r w:rsidRPr="00FE433F">
        <w:rPr>
          <w:rFonts w:eastAsia="Calibri"/>
          <w:i/>
          <w:sz w:val="23"/>
          <w:szCs w:val="23"/>
          <w:rtl/>
        </w:rPr>
        <w:t>و با جا</w:t>
      </w:r>
      <w:r w:rsidRPr="00FE433F">
        <w:rPr>
          <w:rFonts w:eastAsia="Calibri" w:hint="cs"/>
          <w:i/>
          <w:sz w:val="23"/>
          <w:szCs w:val="23"/>
          <w:rtl/>
        </w:rPr>
        <w:t>ی</w:t>
      </w:r>
      <w:r w:rsidRPr="00FE433F">
        <w:rPr>
          <w:rFonts w:eastAsia="Calibri" w:hint="eastAsia"/>
          <w:i/>
          <w:sz w:val="23"/>
          <w:szCs w:val="23"/>
          <w:rtl/>
        </w:rPr>
        <w:t>گ</w:t>
      </w:r>
      <w:r w:rsidRPr="00FE433F">
        <w:rPr>
          <w:rFonts w:eastAsia="Calibri" w:hint="cs"/>
          <w:i/>
          <w:sz w:val="23"/>
          <w:szCs w:val="23"/>
          <w:rtl/>
        </w:rPr>
        <w:t>ز</w:t>
      </w:r>
      <w:r w:rsidRPr="00FE433F">
        <w:rPr>
          <w:rFonts w:eastAsia="Calibri" w:hint="eastAsia"/>
          <w:i/>
          <w:sz w:val="23"/>
          <w:szCs w:val="23"/>
          <w:rtl/>
        </w:rPr>
        <w:t>ار</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آن</w:t>
      </w:r>
      <w:r w:rsidRPr="00FE433F">
        <w:rPr>
          <w:rFonts w:eastAsia="Calibri"/>
          <w:i/>
          <w:sz w:val="23"/>
          <w:szCs w:val="23"/>
          <w:rtl/>
        </w:rPr>
        <w:t xml:space="preserve"> </w:t>
      </w:r>
      <w:r w:rsidRPr="00FE433F">
        <w:rPr>
          <w:rFonts w:eastAsia="Calibri" w:hint="eastAsia"/>
          <w:i/>
          <w:sz w:val="23"/>
          <w:szCs w:val="23"/>
          <w:rtl/>
        </w:rPr>
        <w:t>در</w:t>
      </w:r>
      <w:r w:rsidRPr="00FE433F">
        <w:rPr>
          <w:rFonts w:eastAsia="Calibri"/>
          <w:i/>
          <w:sz w:val="23"/>
          <w:szCs w:val="23"/>
          <w:rtl/>
        </w:rPr>
        <w:t xml:space="preserve"> </w:t>
      </w:r>
      <w:r w:rsidRPr="00FE433F">
        <w:rPr>
          <w:rFonts w:eastAsia="Calibri" w:hint="eastAsia"/>
          <w:i/>
          <w:sz w:val="23"/>
          <w:szCs w:val="23"/>
          <w:rtl/>
        </w:rPr>
        <w:t>رابطه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اول دار</w:t>
      </w:r>
      <w:r w:rsidRPr="00FE433F">
        <w:rPr>
          <w:rFonts w:eastAsia="Calibri" w:hint="cs"/>
          <w:i/>
          <w:sz w:val="23"/>
          <w:szCs w:val="23"/>
          <w:rtl/>
        </w:rPr>
        <w:t>ی</w:t>
      </w:r>
      <w:r w:rsidRPr="00FE433F">
        <w:rPr>
          <w:rFonts w:eastAsia="Calibri" w:hint="eastAsia"/>
          <w:i/>
          <w:sz w:val="23"/>
          <w:szCs w:val="23"/>
          <w:rtl/>
        </w:rPr>
        <w:t>م</w:t>
      </w:r>
    </w:p>
    <w:p w14:paraId="500EABF6"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2"/>
        </w:rPr>
        <w:object w:dxaOrig="2120" w:dyaOrig="360" w14:anchorId="6716643B">
          <v:shape id="_x0000_i4044" type="#_x0000_t75" style="width:105.9pt;height:18.15pt" o:ole="">
            <v:imagedata r:id="rId6077" o:title=""/>
          </v:shape>
          <o:OLEObject Type="Embed" ProgID="Equation.DSMT4" ShapeID="_x0000_i4044" DrawAspect="Content" ObjectID="_1791377988" r:id="rId6078"/>
        </w:object>
      </w:r>
    </w:p>
    <w:p w14:paraId="5DE7CC8A"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و از دوم</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رابطه</w:t>
      </w:r>
      <w:r w:rsidRPr="00FE433F">
        <w:rPr>
          <w:rFonts w:eastAsia="Calibri"/>
          <w:i/>
          <w:sz w:val="23"/>
          <w:szCs w:val="23"/>
          <w:rtl/>
        </w:rPr>
        <w:t xml:space="preserve"> </w:t>
      </w:r>
      <w:r w:rsidRPr="00FE433F">
        <w:rPr>
          <w:rFonts w:eastAsia="Calibri" w:hint="eastAsia"/>
          <w:i/>
          <w:sz w:val="23"/>
          <w:szCs w:val="23"/>
          <w:rtl/>
        </w:rPr>
        <w:t>از</w:t>
      </w:r>
      <w:r w:rsidRPr="00FE433F">
        <w:rPr>
          <w:rFonts w:eastAsia="Calibri"/>
          <w:i/>
          <w:sz w:val="23"/>
          <w:szCs w:val="23"/>
          <w:rtl/>
        </w:rPr>
        <w:t xml:space="preserve"> </w:t>
      </w:r>
      <w:r w:rsidRPr="00FE433F">
        <w:rPr>
          <w:rFonts w:eastAsia="Calibri" w:hint="eastAsia"/>
          <w:i/>
          <w:sz w:val="23"/>
          <w:szCs w:val="23"/>
          <w:rtl/>
        </w:rPr>
        <w:t>شرا</w:t>
      </w:r>
      <w:r w:rsidRPr="00FE433F">
        <w:rPr>
          <w:rFonts w:eastAsia="Calibri" w:hint="cs"/>
          <w:i/>
          <w:sz w:val="23"/>
          <w:szCs w:val="23"/>
          <w:rtl/>
        </w:rPr>
        <w:t>ی</w:t>
      </w:r>
      <w:r w:rsidRPr="00FE433F">
        <w:rPr>
          <w:rFonts w:eastAsia="Calibri" w:hint="eastAsia"/>
          <w:i/>
          <w:sz w:val="23"/>
          <w:szCs w:val="23"/>
          <w:rtl/>
        </w:rPr>
        <w:t>ط</w:t>
      </w:r>
      <w:r w:rsidRPr="00FE433F">
        <w:rPr>
          <w:rFonts w:eastAsia="Calibri"/>
          <w:i/>
          <w:sz w:val="23"/>
          <w:szCs w:val="23"/>
          <w:rtl/>
        </w:rPr>
        <w:t xml:space="preserve"> </w:t>
      </w:r>
      <w:r w:rsidRPr="00FE433F">
        <w:rPr>
          <w:rFonts w:eastAsia="Calibri" w:hint="eastAsia"/>
          <w:i/>
          <w:sz w:val="23"/>
          <w:szCs w:val="23"/>
          <w:rtl/>
        </w:rPr>
        <w:t>مرتبه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اول دار</w:t>
      </w:r>
      <w:r w:rsidRPr="00FE433F">
        <w:rPr>
          <w:rFonts w:eastAsia="Calibri" w:hint="cs"/>
          <w:i/>
          <w:sz w:val="23"/>
          <w:szCs w:val="23"/>
          <w:rtl/>
        </w:rPr>
        <w:t>ی</w:t>
      </w:r>
      <w:r w:rsidRPr="00FE433F">
        <w:rPr>
          <w:rFonts w:eastAsia="Calibri" w:hint="eastAsia"/>
          <w:i/>
          <w:sz w:val="23"/>
          <w:szCs w:val="23"/>
          <w:rtl/>
        </w:rPr>
        <w:t>م</w:t>
      </w:r>
    </w:p>
    <w:p w14:paraId="209EB19C"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1579" w:dyaOrig="639" w14:anchorId="611014A2">
          <v:shape id="_x0000_i4045" type="#_x0000_t75" style="width:79.25pt;height:32.05pt" o:ole="">
            <v:imagedata r:id="rId6079" o:title=""/>
          </v:shape>
          <o:OLEObject Type="Embed" ProgID="Equation.DSMT4" ShapeID="_x0000_i4045" DrawAspect="Content" ObjectID="_1791377989" r:id="rId6080"/>
        </w:object>
      </w:r>
    </w:p>
    <w:p w14:paraId="03108198"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و با جایگزاری آن در رابطه</w:t>
      </w:r>
      <w:r w:rsidRPr="00FE433F">
        <w:rPr>
          <w:rFonts w:eastAsia="Calibri"/>
          <w:i/>
          <w:sz w:val="23"/>
          <w:szCs w:val="23"/>
          <w:rtl/>
        </w:rPr>
        <w:softHyphen/>
      </w:r>
      <w:r w:rsidRPr="00FE433F">
        <w:rPr>
          <w:rFonts w:eastAsia="Calibri" w:hint="cs"/>
          <w:i/>
          <w:sz w:val="23"/>
          <w:szCs w:val="23"/>
          <w:rtl/>
        </w:rPr>
        <w:t xml:space="preserve">ی </w:t>
      </w:r>
      <w:r w:rsidRPr="00FE433F">
        <w:rPr>
          <w:position w:val="-12"/>
        </w:rPr>
        <w:object w:dxaOrig="2120" w:dyaOrig="360" w14:anchorId="40F46597">
          <v:shape id="_x0000_i4046" type="#_x0000_t75" style="width:105.9pt;height:18.15pt" o:ole="">
            <v:imagedata r:id="rId6081" o:title=""/>
          </v:shape>
          <o:OLEObject Type="Embed" ProgID="Equation.DSMT4" ShapeID="_x0000_i4046" DrawAspect="Content" ObjectID="_1791377990" r:id="rId6082"/>
        </w:object>
      </w:r>
      <w:r w:rsidRPr="00FE433F">
        <w:rPr>
          <w:rFonts w:eastAsia="Calibri" w:hint="cs"/>
          <w:i/>
          <w:sz w:val="23"/>
          <w:szCs w:val="23"/>
          <w:rtl/>
        </w:rPr>
        <w:t xml:space="preserve"> برای </w:t>
      </w:r>
      <w:r w:rsidRPr="00FE433F">
        <w:rPr>
          <w:position w:val="-8"/>
        </w:rPr>
        <w:object w:dxaOrig="660" w:dyaOrig="279" w14:anchorId="7AEA2A6B">
          <v:shape id="_x0000_i4047" type="#_x0000_t75" style="width:32.65pt;height:13.9pt" o:ole="">
            <v:imagedata r:id="rId6083" o:title=""/>
          </v:shape>
          <o:OLEObject Type="Embed" ProgID="Equation.DSMT4" ShapeID="_x0000_i4047" DrawAspect="Content" ObjectID="_1791377991" r:id="rId6084"/>
        </w:object>
      </w:r>
      <w:r w:rsidRPr="00FE433F">
        <w:rPr>
          <w:i/>
          <w:sz w:val="23"/>
          <w:szCs w:val="23"/>
        </w:rPr>
        <w:t xml:space="preserve"> </w:t>
      </w:r>
      <w:r w:rsidRPr="00FE433F">
        <w:rPr>
          <w:rFonts w:eastAsia="Calibri" w:hint="eastAsia"/>
          <w:i/>
          <w:sz w:val="23"/>
          <w:szCs w:val="23"/>
          <w:rtl/>
        </w:rPr>
        <w:t>معادله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او</w:t>
      </w:r>
      <w:r w:rsidRPr="00FE433F">
        <w:rPr>
          <w:rFonts w:eastAsia="Calibri" w:hint="cs"/>
          <w:i/>
          <w:sz w:val="23"/>
          <w:szCs w:val="23"/>
          <w:rtl/>
        </w:rPr>
        <w:t>ی</w:t>
      </w:r>
      <w:r w:rsidRPr="00FE433F">
        <w:rPr>
          <w:rFonts w:eastAsia="Calibri" w:hint="eastAsia"/>
          <w:i/>
          <w:sz w:val="23"/>
          <w:szCs w:val="23"/>
          <w:rtl/>
        </w:rPr>
        <w:t>لر</w:t>
      </w:r>
      <w:r w:rsidRPr="00FE433F">
        <w:rPr>
          <w:rFonts w:eastAsia="Calibri"/>
          <w:i/>
          <w:sz w:val="23"/>
          <w:szCs w:val="23"/>
          <w:rtl/>
        </w:rPr>
        <w:t xml:space="preserve"> </w:t>
      </w:r>
      <w:r w:rsidRPr="00FE433F">
        <w:rPr>
          <w:rFonts w:eastAsia="Calibri" w:hint="cs"/>
          <w:i/>
          <w:sz w:val="23"/>
          <w:szCs w:val="23"/>
          <w:rtl/>
        </w:rPr>
        <w:t>را بدست خواهیم آورد که عبارت است از</w:t>
      </w:r>
      <w:r>
        <w:rPr>
          <w:rFonts w:eastAsia="Calibri"/>
          <w:i/>
          <w:sz w:val="23"/>
          <w:szCs w:val="23"/>
          <w:rtl/>
        </w:rPr>
        <w:tab/>
      </w:r>
    </w:p>
    <w:p w14:paraId="2B48687B" w14:textId="77777777" w:rsidR="00411620" w:rsidRPr="00FE433F" w:rsidRDefault="00411620" w:rsidP="00411620">
      <w:pPr>
        <w:pStyle w:val="MTDisplayEquation"/>
        <w:tabs>
          <w:tab w:val="clear" w:pos="6660"/>
          <w:tab w:val="right" w:pos="0"/>
        </w:tabs>
        <w:spacing w:line="216" w:lineRule="auto"/>
        <w:rPr>
          <w:rFonts w:ascii="Times New Roman" w:eastAsia="Times New Roman" w:hAnsi="Times New Roman" w:cs="B Nazanin"/>
          <w:i/>
          <w:sz w:val="23"/>
          <w:szCs w:val="23"/>
          <w:rtl/>
          <w:lang w:bidi="fa-IR"/>
        </w:rPr>
      </w:pPr>
      <w:r w:rsidRPr="00FE433F">
        <w:rPr>
          <w:position w:val="-30"/>
        </w:rPr>
        <w:object w:dxaOrig="3400" w:dyaOrig="680" w14:anchorId="046A3F8A">
          <v:shape id="_x0000_i4048" type="#_x0000_t75" style="width:170pt;height:33.9pt" o:ole="">
            <v:imagedata r:id="rId6085" o:title=""/>
          </v:shape>
          <o:OLEObject Type="Embed" ProgID="Equation.DSMT4" ShapeID="_x0000_i4048" DrawAspect="Content" ObjectID="_1791377992" r:id="rId6086"/>
        </w:object>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cs="B Nazanin"/>
          <w:i/>
          <w:sz w:val="23"/>
          <w:szCs w:val="23"/>
        </w:rPr>
        <w:tab/>
      </w:r>
      <w:r w:rsidRPr="00FE433F">
        <w:rPr>
          <w:rFonts w:ascii="Times New Roman" w:hAnsi="Times New Roman" w:cs="B Nazanin"/>
          <w:i/>
          <w:sz w:val="23"/>
          <w:szCs w:val="23"/>
          <w:rtl/>
          <w:lang w:bidi="fa-IR"/>
        </w:rPr>
        <w:t>(۸. ۴)</w:t>
      </w:r>
    </w:p>
    <w:p w14:paraId="13DCFC5F"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همان</w:t>
      </w:r>
      <w:r w:rsidRPr="00FE433F">
        <w:rPr>
          <w:rFonts w:eastAsia="Calibri"/>
          <w:i/>
          <w:sz w:val="23"/>
          <w:szCs w:val="23"/>
          <w:rtl/>
        </w:rPr>
        <w:softHyphen/>
        <w:t>گونه که ملاحظه م</w:t>
      </w:r>
      <w:r w:rsidRPr="00FE433F">
        <w:rPr>
          <w:rFonts w:eastAsia="Calibri" w:hint="cs"/>
          <w:i/>
          <w:sz w:val="23"/>
          <w:szCs w:val="23"/>
          <w:rtl/>
        </w:rPr>
        <w:t>ی‌</w:t>
      </w:r>
      <w:r w:rsidRPr="00FE433F">
        <w:rPr>
          <w:rFonts w:eastAsia="Calibri"/>
          <w:i/>
          <w:sz w:val="23"/>
          <w:szCs w:val="23"/>
          <w:rtl/>
        </w:rPr>
        <w:t>شود معادله</w:t>
      </w:r>
      <w:r w:rsidRPr="00FE433F">
        <w:rPr>
          <w:rFonts w:eastAsia="Calibri" w:hint="eastAsia"/>
          <w:i/>
          <w:sz w:val="23"/>
          <w:szCs w:val="23"/>
        </w:rPr>
        <w:t>‌</w:t>
      </w:r>
      <w:r w:rsidRPr="00FE433F">
        <w:rPr>
          <w:rFonts w:eastAsia="Calibri" w:hint="cs"/>
          <w:i/>
          <w:sz w:val="23"/>
          <w:szCs w:val="23"/>
          <w:rtl/>
        </w:rPr>
        <w:t>ی</w:t>
      </w:r>
      <w:r w:rsidRPr="00FE433F">
        <w:rPr>
          <w:rFonts w:hint="cs"/>
          <w:i/>
          <w:sz w:val="23"/>
          <w:szCs w:val="23"/>
          <w:rtl/>
        </w:rPr>
        <w:t xml:space="preserve"> </w:t>
      </w:r>
      <w:r w:rsidRPr="00FE433F">
        <w:rPr>
          <w:rFonts w:eastAsia="Calibri"/>
          <w:i/>
          <w:sz w:val="23"/>
          <w:szCs w:val="23"/>
          <w:rtl/>
        </w:rPr>
        <w:t>او</w:t>
      </w:r>
      <w:r w:rsidRPr="00FE433F">
        <w:rPr>
          <w:rFonts w:eastAsia="Calibri" w:hint="cs"/>
          <w:i/>
          <w:sz w:val="23"/>
          <w:szCs w:val="23"/>
          <w:rtl/>
        </w:rPr>
        <w:t>ی</w:t>
      </w:r>
      <w:r w:rsidRPr="00FE433F">
        <w:rPr>
          <w:rFonts w:eastAsia="Calibri" w:hint="eastAsia"/>
          <w:i/>
          <w:sz w:val="23"/>
          <w:szCs w:val="23"/>
          <w:rtl/>
        </w:rPr>
        <w:t>لر</w:t>
      </w:r>
      <w:r w:rsidRPr="00FE433F">
        <w:rPr>
          <w:rFonts w:eastAsia="Calibri"/>
          <w:i/>
          <w:sz w:val="23"/>
          <w:szCs w:val="23"/>
          <w:rtl/>
        </w:rPr>
        <w:t xml:space="preserve"> </w:t>
      </w:r>
      <w:r w:rsidRPr="00FE433F">
        <w:rPr>
          <w:i/>
          <w:sz w:val="23"/>
          <w:szCs w:val="23"/>
          <w:rtl/>
        </w:rPr>
        <w:t>(۸. ۴)</w:t>
      </w:r>
      <w:r w:rsidRPr="00FE433F">
        <w:rPr>
          <w:rFonts w:eastAsia="Calibri"/>
          <w:i/>
          <w:sz w:val="23"/>
          <w:szCs w:val="23"/>
          <w:rtl/>
        </w:rPr>
        <w:t xml:space="preserve"> دق</w:t>
      </w:r>
      <w:r w:rsidRPr="00FE433F">
        <w:rPr>
          <w:rFonts w:eastAsia="Calibri" w:hint="cs"/>
          <w:i/>
          <w:sz w:val="23"/>
          <w:szCs w:val="23"/>
          <w:rtl/>
        </w:rPr>
        <w:t>ی</w:t>
      </w:r>
      <w:r w:rsidRPr="00FE433F">
        <w:rPr>
          <w:rFonts w:eastAsia="Calibri" w:hint="eastAsia"/>
          <w:i/>
          <w:sz w:val="23"/>
          <w:szCs w:val="23"/>
          <w:rtl/>
        </w:rPr>
        <w:t>قاً</w:t>
      </w:r>
      <w:r w:rsidRPr="00FE433F">
        <w:rPr>
          <w:rFonts w:eastAsia="Calibri"/>
          <w:i/>
          <w:sz w:val="23"/>
          <w:szCs w:val="23"/>
          <w:rtl/>
        </w:rPr>
        <w:t xml:space="preserve"> شب</w:t>
      </w:r>
      <w:r w:rsidRPr="00FE433F">
        <w:rPr>
          <w:rFonts w:eastAsia="Calibri" w:hint="cs"/>
          <w:i/>
          <w:sz w:val="23"/>
          <w:szCs w:val="23"/>
          <w:rtl/>
        </w:rPr>
        <w:t>ی</w:t>
      </w:r>
      <w:r w:rsidRPr="00FE433F">
        <w:rPr>
          <w:rFonts w:eastAsia="Calibri" w:hint="eastAsia"/>
          <w:i/>
          <w:sz w:val="23"/>
          <w:szCs w:val="23"/>
          <w:rtl/>
        </w:rPr>
        <w:t>ه</w:t>
      </w:r>
      <w:r w:rsidRPr="00FE433F">
        <w:rPr>
          <w:rFonts w:eastAsia="Calibri"/>
          <w:i/>
          <w:sz w:val="23"/>
          <w:szCs w:val="23"/>
          <w:rtl/>
        </w:rPr>
        <w:t xml:space="preserve"> معادله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او</w:t>
      </w:r>
      <w:r w:rsidRPr="00FE433F">
        <w:rPr>
          <w:rFonts w:eastAsia="Calibri" w:hint="cs"/>
          <w:i/>
          <w:sz w:val="23"/>
          <w:szCs w:val="23"/>
          <w:rtl/>
        </w:rPr>
        <w:t>ی</w:t>
      </w:r>
      <w:r w:rsidRPr="00FE433F">
        <w:rPr>
          <w:rFonts w:eastAsia="Calibri" w:hint="eastAsia"/>
          <w:i/>
          <w:sz w:val="23"/>
          <w:szCs w:val="23"/>
          <w:rtl/>
        </w:rPr>
        <w:t>لر</w:t>
      </w:r>
      <w:r w:rsidRPr="00FE433F">
        <w:rPr>
          <w:rFonts w:eastAsia="Calibri"/>
          <w:i/>
          <w:sz w:val="23"/>
          <w:szCs w:val="23"/>
          <w:rtl/>
        </w:rPr>
        <w:t xml:space="preserve"> در اقتصاد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است. </w:t>
      </w:r>
    </w:p>
    <w:p w14:paraId="1FCA9025" w14:textId="77777777" w:rsidR="00411620" w:rsidRPr="00FE433F" w:rsidRDefault="00411620" w:rsidP="00411620">
      <w:pPr>
        <w:spacing w:line="216" w:lineRule="auto"/>
        <w:rPr>
          <w:i/>
          <w:sz w:val="23"/>
          <w:szCs w:val="23"/>
          <w:rtl/>
        </w:rPr>
      </w:pPr>
      <w:r w:rsidRPr="00FE433F">
        <w:rPr>
          <w:i/>
          <w:sz w:val="23"/>
          <w:szCs w:val="23"/>
          <w:rtl/>
        </w:rPr>
        <w:t>در بلندمدت</w:t>
      </w:r>
      <w:r w:rsidRPr="00FE433F">
        <w:rPr>
          <w:i/>
          <w:sz w:val="23"/>
          <w:szCs w:val="23"/>
        </w:rPr>
        <w:t xml:space="preserve"> </w:t>
      </w:r>
      <w:r w:rsidRPr="00FE433F">
        <w:rPr>
          <w:i/>
          <w:sz w:val="23"/>
          <w:szCs w:val="23"/>
          <w:rtl/>
        </w:rPr>
        <w:t>دار</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position w:val="-10"/>
        </w:rPr>
        <w:object w:dxaOrig="560" w:dyaOrig="320" w14:anchorId="7B143D90">
          <v:shape id="_x0000_i4049" type="#_x0000_t75" style="width:27.85pt;height:16.35pt" o:ole="">
            <v:imagedata r:id="rId6087" o:title=""/>
          </v:shape>
          <o:OLEObject Type="Embed" ProgID="Equation.DSMT4" ShapeID="_x0000_i4049" DrawAspect="Content" ObjectID="_1791377993" r:id="rId6088"/>
        </w:object>
      </w:r>
      <w:r w:rsidRPr="00FE433F">
        <w:rPr>
          <w:i/>
          <w:sz w:val="23"/>
          <w:szCs w:val="23"/>
          <w:rtl/>
        </w:rPr>
        <w:t xml:space="preserve">، </w:t>
      </w:r>
      <w:r w:rsidRPr="00FE433F">
        <w:rPr>
          <w:position w:val="-22"/>
        </w:rPr>
        <w:object w:dxaOrig="880" w:dyaOrig="560" w14:anchorId="528AB280">
          <v:shape id="_x0000_i4050" type="#_x0000_t75" style="width:44.15pt;height:27.85pt" o:ole="">
            <v:imagedata r:id="rId6089" o:title=""/>
          </v:shape>
          <o:OLEObject Type="Embed" ProgID="Equation.DSMT4" ShapeID="_x0000_i4050" DrawAspect="Content" ObjectID="_1791377994" r:id="rId6090"/>
        </w:object>
      </w:r>
      <w:r w:rsidRPr="00FE433F">
        <w:rPr>
          <w:rFonts w:hint="cs"/>
          <w:i/>
          <w:sz w:val="23"/>
          <w:szCs w:val="23"/>
          <w:rtl/>
        </w:rPr>
        <w:t>.</w:t>
      </w:r>
      <w:r w:rsidRPr="00FE433F">
        <w:rPr>
          <w:i/>
          <w:sz w:val="23"/>
          <w:szCs w:val="23"/>
          <w:rtl/>
        </w:rPr>
        <w:t xml:space="preserve"> و</w:t>
      </w:r>
      <w:r w:rsidRPr="00FE433F">
        <w:rPr>
          <w:rFonts w:hint="cs"/>
          <w:i/>
          <w:sz w:val="23"/>
          <w:szCs w:val="23"/>
          <w:rtl/>
        </w:rPr>
        <w:t xml:space="preserve"> مخارج مصرفی حقیقی</w:t>
      </w:r>
      <w:r w:rsidRPr="00FE433F">
        <w:rPr>
          <w:position w:val="-10"/>
        </w:rPr>
        <w:object w:dxaOrig="200" w:dyaOrig="320" w14:anchorId="2DEEB5A3">
          <v:shape id="_x0000_i4051" type="#_x0000_t75" style="width:10.3pt;height:16.35pt" o:ole="">
            <v:imagedata r:id="rId6091" o:title=""/>
          </v:shape>
          <o:OLEObject Type="Embed" ProgID="Equation.DSMT4" ShapeID="_x0000_i4051" DrawAspect="Content" ObjectID="_1791377995" r:id="rId6092"/>
        </w:object>
      </w:r>
      <w:r w:rsidRPr="00FE433F">
        <w:rPr>
          <w:i/>
          <w:sz w:val="23"/>
          <w:szCs w:val="23"/>
          <w:rtl/>
        </w:rPr>
        <w:t xml:space="preserve"> و</w:t>
      </w:r>
      <w:r w:rsidRPr="00FE433F">
        <w:rPr>
          <w:rFonts w:hint="cs"/>
          <w:i/>
          <w:sz w:val="23"/>
          <w:szCs w:val="23"/>
          <w:rtl/>
        </w:rPr>
        <w:t xml:space="preserve"> تقاضای پول حقیقی </w:t>
      </w:r>
      <w:r w:rsidRPr="00FE433F">
        <w:rPr>
          <w:position w:val="-10"/>
        </w:rPr>
        <w:object w:dxaOrig="300" w:dyaOrig="320" w14:anchorId="39BAFF96">
          <v:shape id="_x0000_i4052" type="#_x0000_t75" style="width:15.15pt;height:16.35pt" o:ole="">
            <v:imagedata r:id="rId6093" o:title=""/>
          </v:shape>
          <o:OLEObject Type="Embed" ProgID="Equation.DSMT4" ShapeID="_x0000_i4052" DrawAspect="Content" ObjectID="_1791377996" r:id="rId6094"/>
        </w:object>
      </w:r>
      <w:r w:rsidRPr="00FE433F">
        <w:rPr>
          <w:rFonts w:hint="cs"/>
          <w:i/>
          <w:sz w:val="23"/>
          <w:szCs w:val="23"/>
          <w:rtl/>
        </w:rPr>
        <w:t xml:space="preserve"> در کوتاه</w:t>
      </w:r>
      <w:r w:rsidRPr="00FE433F">
        <w:rPr>
          <w:i/>
          <w:sz w:val="23"/>
          <w:szCs w:val="23"/>
          <w:rtl/>
        </w:rPr>
        <w:softHyphen/>
      </w:r>
      <w:r w:rsidRPr="00FE433F">
        <w:rPr>
          <w:rFonts w:hint="cs"/>
          <w:i/>
          <w:sz w:val="23"/>
          <w:szCs w:val="23"/>
          <w:rtl/>
        </w:rPr>
        <w:t>مدت و بلندمدت به شرح زیر بدست می</w:t>
      </w:r>
      <w:r w:rsidRPr="00FE433F">
        <w:rPr>
          <w:i/>
          <w:sz w:val="23"/>
          <w:szCs w:val="23"/>
          <w:rtl/>
        </w:rPr>
        <w:softHyphen/>
      </w:r>
      <w:r w:rsidRPr="00FE433F">
        <w:rPr>
          <w:rFonts w:hint="cs"/>
          <w:i/>
          <w:sz w:val="23"/>
          <w:szCs w:val="23"/>
          <w:rtl/>
        </w:rPr>
        <w:t xml:space="preserve">آید. </w:t>
      </w:r>
      <w:r w:rsidRPr="00FE433F">
        <w:rPr>
          <w:i/>
          <w:sz w:val="23"/>
          <w:szCs w:val="23"/>
          <w:rtl/>
        </w:rPr>
        <w:t>تقاضا</w:t>
      </w:r>
      <w:r w:rsidRPr="00FE433F">
        <w:rPr>
          <w:rFonts w:hint="cs"/>
          <w:i/>
          <w:sz w:val="23"/>
          <w:szCs w:val="23"/>
          <w:rtl/>
        </w:rPr>
        <w:t>ی</w:t>
      </w:r>
      <w:r w:rsidRPr="00FE433F">
        <w:rPr>
          <w:i/>
          <w:sz w:val="23"/>
          <w:szCs w:val="23"/>
          <w:rtl/>
        </w:rPr>
        <w:t xml:space="preserve"> کوتاه</w:t>
      </w:r>
      <w:r w:rsidRPr="00FE433F">
        <w:rPr>
          <w:i/>
          <w:sz w:val="23"/>
          <w:szCs w:val="23"/>
          <w:rtl/>
        </w:rPr>
        <w:softHyphen/>
        <w:t xml:space="preserve">مدت و بلندمدت پول برابر است با </w:t>
      </w:r>
      <w:r w:rsidRPr="00FE433F">
        <w:rPr>
          <w:position w:val="-10"/>
        </w:rPr>
        <w:object w:dxaOrig="680" w:dyaOrig="320" w14:anchorId="55EC015F">
          <v:shape id="_x0000_i4053" type="#_x0000_t75" style="width:33.9pt;height:16.35pt" o:ole="">
            <v:imagedata r:id="rId6095" o:title=""/>
          </v:shape>
          <o:OLEObject Type="Embed" ProgID="Equation.DSMT4" ShapeID="_x0000_i4053" DrawAspect="Content" ObjectID="_1791377997" r:id="rId6096"/>
        </w:object>
      </w:r>
      <w:r w:rsidRPr="00FE433F">
        <w:rPr>
          <w:i/>
          <w:sz w:val="23"/>
          <w:szCs w:val="23"/>
          <w:rtl/>
        </w:rPr>
        <w:t xml:space="preserve">. </w:t>
      </w:r>
      <w:r w:rsidRPr="00FE433F">
        <w:rPr>
          <w:rFonts w:hint="eastAsia"/>
          <w:i/>
          <w:sz w:val="23"/>
          <w:szCs w:val="23"/>
          <w:rtl/>
        </w:rPr>
        <w:t>مخارج</w:t>
      </w:r>
      <w:r w:rsidRPr="00FE433F">
        <w:rPr>
          <w:i/>
          <w:sz w:val="23"/>
          <w:szCs w:val="23"/>
          <w:rtl/>
        </w:rPr>
        <w:t xml:space="preserve"> مصرف</w:t>
      </w:r>
      <w:r w:rsidRPr="00FE433F">
        <w:rPr>
          <w:rFonts w:hint="cs"/>
          <w:i/>
          <w:sz w:val="23"/>
          <w:szCs w:val="23"/>
          <w:rtl/>
        </w:rPr>
        <w:t>ی</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cs"/>
          <w:i/>
          <w:sz w:val="23"/>
          <w:szCs w:val="23"/>
          <w:rtl/>
        </w:rPr>
        <w:t>در</w:t>
      </w:r>
      <w:r w:rsidRPr="00FE433F">
        <w:rPr>
          <w:i/>
          <w:sz w:val="23"/>
          <w:szCs w:val="23"/>
          <w:rtl/>
        </w:rPr>
        <w:t xml:space="preserve"> کوتاه</w:t>
      </w:r>
      <w:r w:rsidRPr="00FE433F">
        <w:rPr>
          <w:i/>
          <w:sz w:val="23"/>
          <w:szCs w:val="23"/>
        </w:rPr>
        <w:softHyphen/>
      </w:r>
      <w:r w:rsidRPr="00FE433F">
        <w:rPr>
          <w:i/>
          <w:sz w:val="23"/>
          <w:szCs w:val="23"/>
          <w:rtl/>
        </w:rPr>
        <w:t>مدت</w:t>
      </w:r>
      <w:r w:rsidRPr="00FE433F">
        <w:rPr>
          <w:rFonts w:hint="cs"/>
          <w:i/>
          <w:sz w:val="23"/>
          <w:szCs w:val="23"/>
          <w:rtl/>
        </w:rPr>
        <w:t xml:space="preserve"> همانند</w:t>
      </w:r>
      <w:r w:rsidRPr="00FE433F">
        <w:rPr>
          <w:i/>
          <w:sz w:val="23"/>
          <w:szCs w:val="23"/>
          <w:rtl/>
        </w:rPr>
        <w:t xml:space="preserve"> فصول قبل </w:t>
      </w:r>
      <w:r w:rsidRPr="00FE433F">
        <w:rPr>
          <w:rFonts w:hint="cs"/>
          <w:i/>
          <w:sz w:val="23"/>
          <w:szCs w:val="23"/>
          <w:rtl/>
        </w:rPr>
        <w:t>بدست می</w:t>
      </w:r>
      <w:r w:rsidRPr="00FE433F">
        <w:rPr>
          <w:i/>
          <w:sz w:val="23"/>
          <w:szCs w:val="23"/>
          <w:rtl/>
        </w:rPr>
        <w:softHyphen/>
      </w:r>
      <w:r w:rsidRPr="00FE433F">
        <w:rPr>
          <w:rFonts w:hint="cs"/>
          <w:i/>
          <w:sz w:val="23"/>
          <w:szCs w:val="23"/>
          <w:rtl/>
        </w:rPr>
        <w:t xml:space="preserve">آید، ولی در بلندمدت و </w:t>
      </w:r>
      <w:r w:rsidRPr="00FE433F">
        <w:rPr>
          <w:i/>
          <w:sz w:val="23"/>
          <w:szCs w:val="23"/>
          <w:rtl/>
        </w:rPr>
        <w:t>با فرض ا</w:t>
      </w:r>
      <w:r w:rsidRPr="00FE433F">
        <w:rPr>
          <w:rFonts w:hint="cs"/>
          <w:i/>
          <w:sz w:val="23"/>
          <w:szCs w:val="23"/>
          <w:rtl/>
        </w:rPr>
        <w:t>ی</w:t>
      </w:r>
      <w:r w:rsidRPr="00FE433F">
        <w:rPr>
          <w:rFonts w:hint="eastAsia"/>
          <w:i/>
          <w:sz w:val="23"/>
          <w:szCs w:val="23"/>
          <w:rtl/>
        </w:rPr>
        <w:t>ن</w:t>
      </w:r>
      <w:r w:rsidRPr="00FE433F">
        <w:rPr>
          <w:i/>
          <w:sz w:val="23"/>
          <w:szCs w:val="23"/>
          <w:rtl/>
        </w:rPr>
        <w:softHyphen/>
      </w:r>
      <w:r w:rsidRPr="00FE433F">
        <w:rPr>
          <w:rFonts w:hint="eastAsia"/>
          <w:i/>
          <w:sz w:val="23"/>
          <w:szCs w:val="23"/>
          <w:rtl/>
        </w:rPr>
        <w:t>که</w:t>
      </w:r>
      <w:r w:rsidRPr="00FE433F">
        <w:rPr>
          <w:position w:val="-10"/>
        </w:rPr>
        <w:object w:dxaOrig="279" w:dyaOrig="320" w14:anchorId="59FD7838">
          <v:shape id="_x0000_i4054" type="#_x0000_t75" style="width:13.9pt;height:16.35pt" o:ole="">
            <v:imagedata r:id="rId6097" o:title=""/>
          </v:shape>
          <o:OLEObject Type="Embed" ProgID="Equation.DSMT4" ShapeID="_x0000_i4054" DrawAspect="Content" ObjectID="_1791377998" r:id="rId6098"/>
        </w:object>
      </w:r>
      <w:r w:rsidRPr="00FE433F">
        <w:rPr>
          <w:i/>
          <w:sz w:val="23"/>
          <w:szCs w:val="23"/>
          <w:rtl/>
        </w:rPr>
        <w:t xml:space="preserve"> و</w:t>
      </w:r>
      <w:r w:rsidRPr="00FE433F">
        <w:rPr>
          <w:position w:val="-10"/>
        </w:rPr>
        <w:object w:dxaOrig="240" w:dyaOrig="320" w14:anchorId="6BF9ECF5">
          <v:shape id="_x0000_i4055" type="#_x0000_t75" style="width:12.1pt;height:16.35pt" o:ole="">
            <v:imagedata r:id="rId6099" o:title=""/>
          </v:shape>
          <o:OLEObject Type="Embed" ProgID="Equation.DSMT4" ShapeID="_x0000_i4055" DrawAspect="Content" ObjectID="_1791377999" r:id="rId6100"/>
        </w:object>
      </w:r>
      <w:r w:rsidRPr="00FE433F">
        <w:rPr>
          <w:i/>
          <w:sz w:val="23"/>
          <w:szCs w:val="23"/>
          <w:rtl/>
        </w:rPr>
        <w:t xml:space="preserve"> ثابت باشند</w:t>
      </w:r>
      <w:r w:rsidRPr="00FE433F">
        <w:rPr>
          <w:rFonts w:hint="cs"/>
          <w:i/>
          <w:sz w:val="23"/>
          <w:szCs w:val="23"/>
          <w:rtl/>
        </w:rPr>
        <w:t xml:space="preserve">، </w:t>
      </w:r>
      <w:r w:rsidRPr="00FE433F">
        <w:rPr>
          <w:i/>
          <w:sz w:val="23"/>
          <w:szCs w:val="23"/>
        </w:rPr>
        <w:t xml:space="preserve"> </w:t>
      </w:r>
      <w:r w:rsidRPr="00FE433F">
        <w:rPr>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rFonts w:hint="eastAsia"/>
          <w:i/>
          <w:sz w:val="23"/>
          <w:szCs w:val="23"/>
        </w:rPr>
        <w:t>‌</w:t>
      </w:r>
      <w:r w:rsidRPr="00FE433F">
        <w:rPr>
          <w:rFonts w:hint="cs"/>
          <w:i/>
          <w:sz w:val="23"/>
          <w:szCs w:val="23"/>
          <w:rtl/>
        </w:rPr>
        <w:t>ی</w:t>
      </w:r>
      <w:r w:rsidRPr="00FE433F">
        <w:rPr>
          <w:i/>
          <w:sz w:val="23"/>
          <w:szCs w:val="23"/>
          <w:rtl/>
        </w:rPr>
        <w:t xml:space="preserve"> خانوار </w:t>
      </w:r>
      <w:r w:rsidRPr="00FE433F">
        <w:rPr>
          <w:rFonts w:hint="eastAsia"/>
          <w:i/>
          <w:sz w:val="23"/>
          <w:szCs w:val="23"/>
        </w:rPr>
        <w:t>‌</w:t>
      </w:r>
      <w:r w:rsidRPr="00FE433F">
        <w:rPr>
          <w:rFonts w:hint="cs"/>
          <w:i/>
          <w:sz w:val="23"/>
          <w:szCs w:val="23"/>
          <w:rtl/>
        </w:rPr>
        <w:t>ی</w:t>
      </w:r>
      <w:r w:rsidRPr="00FE433F">
        <w:rPr>
          <w:i/>
          <w:sz w:val="23"/>
          <w:szCs w:val="23"/>
          <w:rtl/>
        </w:rPr>
        <w:t>ا رابطه</w:t>
      </w:r>
      <w:r w:rsidRPr="00FE433F">
        <w:rPr>
          <w:i/>
          <w:sz w:val="23"/>
          <w:szCs w:val="23"/>
          <w:rtl/>
        </w:rPr>
        <w:softHyphen/>
      </w:r>
      <w:r w:rsidRPr="00FE433F">
        <w:rPr>
          <w:rFonts w:hint="cs"/>
          <w:i/>
          <w:sz w:val="23"/>
          <w:szCs w:val="23"/>
          <w:rtl/>
        </w:rPr>
        <w:t>ی</w:t>
      </w:r>
      <w:r w:rsidRPr="00FE433F">
        <w:rPr>
          <w:i/>
          <w:sz w:val="23"/>
          <w:szCs w:val="23"/>
        </w:rPr>
        <w:t xml:space="preserve"> </w:t>
      </w:r>
      <w:r w:rsidRPr="00FE433F">
        <w:rPr>
          <w:i/>
          <w:sz w:val="23"/>
          <w:szCs w:val="23"/>
          <w:rtl/>
        </w:rPr>
        <w:t>(۸. ۲) برابر خواهد بود با،</w:t>
      </w:r>
    </w:p>
    <w:p w14:paraId="3908A7CB"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2"/>
        </w:rPr>
        <w:object w:dxaOrig="3860" w:dyaOrig="360" w14:anchorId="6E04736E">
          <v:shape id="_x0000_i4056" type="#_x0000_t75" style="width:193pt;height:18.15pt" o:ole="">
            <v:imagedata r:id="rId6101" o:title=""/>
          </v:shape>
          <o:OLEObject Type="Embed" ProgID="Equation.DSMT4" ShapeID="_x0000_i4056" DrawAspect="Content" ObjectID="_1791378000" r:id="rId6102"/>
        </w:object>
      </w:r>
    </w:p>
    <w:p w14:paraId="1C19F41C"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و با توجه به ا</w:t>
      </w:r>
      <w:r w:rsidRPr="00FE433F">
        <w:rPr>
          <w:rFonts w:eastAsia="Calibri" w:hint="cs"/>
          <w:i/>
          <w:sz w:val="23"/>
          <w:szCs w:val="23"/>
          <w:rtl/>
        </w:rPr>
        <w:t>ی</w:t>
      </w:r>
      <w:r w:rsidRPr="00FE433F">
        <w:rPr>
          <w:rFonts w:eastAsia="Calibri" w:hint="eastAsia"/>
          <w:i/>
          <w:sz w:val="23"/>
          <w:szCs w:val="23"/>
          <w:rtl/>
        </w:rPr>
        <w:t>ن</w:t>
      </w:r>
      <w:r w:rsidRPr="00FE433F">
        <w:rPr>
          <w:i/>
          <w:sz w:val="23"/>
          <w:szCs w:val="23"/>
          <w:rtl/>
        </w:rPr>
        <w:softHyphen/>
      </w:r>
      <w:r w:rsidRPr="00FE433F">
        <w:rPr>
          <w:rFonts w:eastAsia="Calibri" w:hint="eastAsia"/>
          <w:i/>
          <w:sz w:val="23"/>
          <w:szCs w:val="23"/>
          <w:rtl/>
        </w:rPr>
        <w:t>که</w:t>
      </w:r>
      <w:r w:rsidRPr="00FE433F">
        <w:rPr>
          <w:position w:val="-10"/>
        </w:rPr>
        <w:object w:dxaOrig="1060" w:dyaOrig="320" w14:anchorId="3BCD29B0">
          <v:shape id="_x0000_i4057" type="#_x0000_t75" style="width:53.25pt;height:16.35pt" o:ole="">
            <v:imagedata r:id="rId6103" o:title=""/>
          </v:shape>
          <o:OLEObject Type="Embed" ProgID="Equation.DSMT4" ShapeID="_x0000_i4057" DrawAspect="Content" ObjectID="_1791378001" r:id="rId6104"/>
        </w:object>
      </w:r>
      <w:r w:rsidRPr="00FE433F">
        <w:rPr>
          <w:rFonts w:eastAsia="Calibri"/>
          <w:i/>
          <w:sz w:val="23"/>
          <w:szCs w:val="23"/>
          <w:rtl/>
        </w:rPr>
        <w:t xml:space="preserve"> دار</w:t>
      </w:r>
      <w:r w:rsidRPr="00FE433F">
        <w:rPr>
          <w:rFonts w:eastAsia="Calibri" w:hint="cs"/>
          <w:i/>
          <w:sz w:val="23"/>
          <w:szCs w:val="23"/>
          <w:rtl/>
        </w:rPr>
        <w:t>ی</w:t>
      </w:r>
      <w:r w:rsidRPr="00FE433F">
        <w:rPr>
          <w:rFonts w:eastAsia="Calibri" w:hint="eastAsia"/>
          <w:i/>
          <w:sz w:val="23"/>
          <w:szCs w:val="23"/>
          <w:rtl/>
        </w:rPr>
        <w:t>م،</w:t>
      </w:r>
    </w:p>
    <w:p w14:paraId="2AB69616"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70"/>
        </w:rPr>
        <w:object w:dxaOrig="5179" w:dyaOrig="1300" w14:anchorId="48C51FFA">
          <v:shape id="_x0000_i4058" type="#_x0000_t75" style="width:258.95pt;height:64.75pt" o:ole="">
            <v:imagedata r:id="rId6105" o:title=""/>
          </v:shape>
          <o:OLEObject Type="Embed" ProgID="Equation.DSMT4" ShapeID="_x0000_i4058" DrawAspect="Content" ObjectID="_1791378002" r:id="rId6106"/>
        </w:object>
      </w:r>
    </w:p>
    <w:p w14:paraId="39A8A182"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 xml:space="preserve">با </w:t>
      </w:r>
      <w:r w:rsidRPr="00FE433F">
        <w:rPr>
          <w:rFonts w:eastAsia="Calibri" w:hint="cs"/>
          <w:i/>
          <w:sz w:val="23"/>
          <w:szCs w:val="23"/>
          <w:rtl/>
        </w:rPr>
        <w:t>حل معادله</w:t>
      </w:r>
      <w:r w:rsidRPr="00FE433F">
        <w:rPr>
          <w:rFonts w:eastAsia="Calibri"/>
          <w:i/>
          <w:sz w:val="23"/>
          <w:szCs w:val="23"/>
          <w:rtl/>
        </w:rPr>
        <w:softHyphen/>
      </w:r>
      <w:r w:rsidRPr="00FE433F">
        <w:rPr>
          <w:rFonts w:eastAsia="Calibri" w:hint="cs"/>
          <w:i/>
          <w:sz w:val="23"/>
          <w:szCs w:val="23"/>
          <w:rtl/>
        </w:rPr>
        <w:t xml:space="preserve">ی تفاضلی فوق و </w:t>
      </w:r>
      <w:r w:rsidRPr="00FE433F">
        <w:rPr>
          <w:rFonts w:eastAsia="Calibri"/>
          <w:i/>
          <w:sz w:val="23"/>
          <w:szCs w:val="23"/>
          <w:rtl/>
        </w:rPr>
        <w:t>حذف</w:t>
      </w:r>
      <w:r w:rsidRPr="00FE433F">
        <w:rPr>
          <w:position w:val="-10"/>
        </w:rPr>
        <w:object w:dxaOrig="380" w:dyaOrig="320" w14:anchorId="4D6887E5">
          <v:shape id="_x0000_i4059" type="#_x0000_t75" style="width:18.75pt;height:16.35pt" o:ole="">
            <v:imagedata r:id="rId6107" o:title=""/>
          </v:shape>
          <o:OLEObject Type="Embed" ProgID="Equation.DSMT4" ShapeID="_x0000_i4059" DrawAspect="Content" ObjectID="_1791378003" r:id="rId6108"/>
        </w:object>
      </w:r>
      <w:r w:rsidRPr="00FE433F">
        <w:rPr>
          <w:rFonts w:eastAsia="Calibri"/>
          <w:i/>
          <w:sz w:val="23"/>
          <w:szCs w:val="23"/>
          <w:rtl/>
        </w:rPr>
        <w:t xml:space="preserve">، </w:t>
      </w:r>
      <w:r w:rsidRPr="00FE433F">
        <w:rPr>
          <w:position w:val="-10"/>
        </w:rPr>
        <w:object w:dxaOrig="380" w:dyaOrig="320" w14:anchorId="3E32405F">
          <v:shape id="_x0000_i4060" type="#_x0000_t75" style="width:18.75pt;height:16.35pt" o:ole="">
            <v:imagedata r:id="rId6109" o:title=""/>
          </v:shape>
          <o:OLEObject Type="Embed" ProgID="Equation.DSMT4" ShapeID="_x0000_i4060" DrawAspect="Content" ObjectID="_1791378004" r:id="rId6110"/>
        </w:object>
      </w:r>
      <w:r w:rsidRPr="00FE433F">
        <w:rPr>
          <w:rFonts w:eastAsia="Calibri"/>
          <w:i/>
          <w:sz w:val="23"/>
          <w:szCs w:val="23"/>
          <w:rtl/>
        </w:rPr>
        <w:t xml:space="preserve"> و ...</w:t>
      </w:r>
      <w:r w:rsidRPr="00FE433F">
        <w:rPr>
          <w:rFonts w:eastAsia="Calibri" w:hint="eastAsia"/>
          <w:i/>
          <w:sz w:val="23"/>
          <w:szCs w:val="23"/>
          <w:rtl/>
        </w:rPr>
        <w:t>،</w:t>
      </w:r>
      <w:r w:rsidRPr="00FE433F">
        <w:rPr>
          <w:rFonts w:eastAsia="Calibri"/>
          <w:i/>
          <w:sz w:val="23"/>
          <w:szCs w:val="23"/>
          <w:rtl/>
        </w:rPr>
        <w:t xml:space="preserve"> 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بودجه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ب</w:t>
      </w:r>
      <w:r w:rsidRPr="00FE433F">
        <w:rPr>
          <w:rFonts w:eastAsia="Calibri" w:hint="cs"/>
          <w:i/>
          <w:sz w:val="23"/>
          <w:szCs w:val="23"/>
          <w:rtl/>
        </w:rPr>
        <w:t>ی</w:t>
      </w:r>
      <w:r w:rsidRPr="00FE433F">
        <w:rPr>
          <w:rFonts w:eastAsia="Calibri" w:hint="eastAsia"/>
          <w:i/>
          <w:sz w:val="23"/>
          <w:szCs w:val="23"/>
          <w:rtl/>
        </w:rPr>
        <w:t>ن</w:t>
      </w:r>
      <w:r w:rsidRPr="00FE433F">
        <w:rPr>
          <w:i/>
          <w:sz w:val="23"/>
          <w:szCs w:val="23"/>
          <w:rtl/>
        </w:rPr>
        <w:t xml:space="preserve"> دوره</w:t>
      </w:r>
      <w:r w:rsidRPr="00FE433F">
        <w:rPr>
          <w:i/>
          <w:sz w:val="23"/>
          <w:szCs w:val="23"/>
          <w:rtl/>
        </w:rPr>
        <w:softHyphen/>
      </w:r>
      <w:r w:rsidRPr="00FE433F">
        <w:rPr>
          <w:rFonts w:eastAsia="Calibri"/>
          <w:i/>
          <w:sz w:val="23"/>
          <w:szCs w:val="23"/>
          <w:rtl/>
        </w:rPr>
        <w:t>ا</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خانوار</w:t>
      </w:r>
      <w:r w:rsidRPr="00FE433F">
        <w:rPr>
          <w:rFonts w:eastAsia="Calibri"/>
          <w:i/>
          <w:sz w:val="23"/>
          <w:szCs w:val="23"/>
          <w:rtl/>
        </w:rPr>
        <w:t xml:space="preserve"> عبارت خواهد بود از</w:t>
      </w:r>
    </w:p>
    <w:p w14:paraId="1548D810" w14:textId="77777777" w:rsidR="00411620" w:rsidRPr="00FE433F" w:rsidRDefault="00411620" w:rsidP="00411620">
      <w:pPr>
        <w:pStyle w:val="MTDisplayEquation"/>
        <w:spacing w:line="216" w:lineRule="auto"/>
        <w:rPr>
          <w:rFonts w:ascii="Times New Roman" w:eastAsia="Times New Roman" w:hAnsi="Times New Roman" w:cs="B Nazanin"/>
          <w:i/>
          <w:sz w:val="23"/>
          <w:szCs w:val="23"/>
          <w:rtl/>
          <w:lang w:bidi="fa-IR"/>
        </w:rPr>
      </w:pPr>
      <w:r w:rsidRPr="00FE433F">
        <w:rPr>
          <w:position w:val="-26"/>
        </w:rPr>
        <w:object w:dxaOrig="5080" w:dyaOrig="680" w14:anchorId="28DC50BC">
          <v:shape id="_x0000_i4061" type="#_x0000_t75" style="width:254.1pt;height:33.9pt" o:ole="">
            <v:imagedata r:id="rId6111" o:title=""/>
          </v:shape>
          <o:OLEObject Type="Embed" ProgID="Equation.DSMT4" ShapeID="_x0000_i4061" DrawAspect="Content" ObjectID="_1791378005" r:id="rId6112"/>
        </w:object>
      </w:r>
    </w:p>
    <w:p w14:paraId="26959D81"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و اگر شرط</w:t>
      </w:r>
      <w:r w:rsidRPr="00FE433F">
        <w:rPr>
          <w:rFonts w:hint="cs"/>
          <w:i/>
          <w:sz w:val="23"/>
          <w:szCs w:val="23"/>
          <w:rtl/>
        </w:rPr>
        <w:t xml:space="preserve"> </w:t>
      </w:r>
      <w:r w:rsidRPr="00FE433F">
        <w:rPr>
          <w:position w:val="-6"/>
        </w:rPr>
        <w:object w:dxaOrig="1240" w:dyaOrig="260" w14:anchorId="2711F612">
          <v:shape id="_x0000_i4062" type="#_x0000_t75" style="width:61.7pt;height:13.3pt" o:ole="">
            <v:imagedata r:id="rId6113" o:title=""/>
          </v:shape>
          <o:OLEObject Type="Embed" ProgID="Equation.DSMT4" ShapeID="_x0000_i4062" DrawAspect="Content" ObjectID="_1791378006" r:id="rId6114"/>
        </w:object>
      </w:r>
      <w:r w:rsidRPr="00FE433F">
        <w:rPr>
          <w:rFonts w:eastAsia="Calibri"/>
          <w:i/>
          <w:sz w:val="23"/>
          <w:szCs w:val="23"/>
          <w:rtl/>
        </w:rPr>
        <w:t xml:space="preserve"> برقرار باشد آنگاه با </w:t>
      </w:r>
      <w:r w:rsidRPr="00FE433F">
        <w:rPr>
          <w:rFonts w:eastAsia="Calibri" w:hint="eastAsia"/>
          <w:i/>
          <w:sz w:val="23"/>
          <w:szCs w:val="23"/>
          <w:rtl/>
        </w:rPr>
        <w:t>توجه</w:t>
      </w:r>
      <w:r w:rsidRPr="00FE433F">
        <w:rPr>
          <w:rFonts w:eastAsia="Calibri"/>
          <w:i/>
          <w:sz w:val="23"/>
          <w:szCs w:val="23"/>
          <w:rtl/>
        </w:rPr>
        <w:t xml:space="preserve"> به شرط </w:t>
      </w:r>
      <w:r w:rsidRPr="00FE433F">
        <w:rPr>
          <w:rFonts w:eastAsia="Calibri" w:hint="eastAsia"/>
          <w:i/>
          <w:sz w:val="23"/>
          <w:szCs w:val="23"/>
          <w:rtl/>
        </w:rPr>
        <w:t>ت</w:t>
      </w:r>
      <w:r w:rsidRPr="00FE433F">
        <w:rPr>
          <w:rFonts w:eastAsia="Calibri" w:hint="cs"/>
          <w:i/>
          <w:sz w:val="23"/>
          <w:szCs w:val="23"/>
          <w:rtl/>
        </w:rPr>
        <w:t>راگردی</w:t>
      </w:r>
      <w:r w:rsidRPr="00FE433F">
        <w:rPr>
          <w:rFonts w:eastAsia="Calibri"/>
          <w:i/>
          <w:sz w:val="23"/>
          <w:szCs w:val="23"/>
          <w:rtl/>
        </w:rPr>
        <w:t xml:space="preserve"> </w:t>
      </w:r>
      <w:r w:rsidRPr="00FE433F">
        <w:rPr>
          <w:position w:val="-26"/>
        </w:rPr>
        <w:object w:dxaOrig="1920" w:dyaOrig="680" w14:anchorId="7719C5BC">
          <v:shape id="_x0000_i4063" type="#_x0000_t75" style="width:96.2pt;height:33.9pt" o:ole="">
            <v:imagedata r:id="rId6115" o:title=""/>
          </v:shape>
          <o:OLEObject Type="Embed" ProgID="Equation.DSMT4" ShapeID="_x0000_i4063" DrawAspect="Content" ObjectID="_1791378007" r:id="rId6116"/>
        </w:object>
      </w:r>
      <w:r w:rsidRPr="00FE433F">
        <w:rPr>
          <w:rFonts w:eastAsia="Calibri"/>
          <w:i/>
          <w:sz w:val="23"/>
          <w:szCs w:val="23"/>
          <w:rtl/>
        </w:rPr>
        <w:t xml:space="preserve"> خواه</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داشت</w:t>
      </w:r>
    </w:p>
    <w:p w14:paraId="54C82079" w14:textId="77777777" w:rsidR="00411620" w:rsidRPr="00FE433F" w:rsidRDefault="00411620" w:rsidP="00411620">
      <w:pPr>
        <w:pStyle w:val="MTDisplayEquation"/>
        <w:spacing w:line="216" w:lineRule="auto"/>
        <w:rPr>
          <w:rFonts w:ascii="Times New Roman" w:eastAsia="Times New Roman" w:hAnsi="Times New Roman" w:cs="B Nazanin"/>
          <w:i/>
          <w:sz w:val="23"/>
          <w:szCs w:val="23"/>
          <w:rtl/>
          <w:lang w:bidi="fa-IR"/>
        </w:rPr>
      </w:pPr>
      <w:r w:rsidRPr="00FE433F">
        <w:rPr>
          <w:position w:val="-26"/>
        </w:rPr>
        <w:object w:dxaOrig="3739" w:dyaOrig="680" w14:anchorId="32C3BC27">
          <v:shape id="_x0000_i4064" type="#_x0000_t75" style="width:186.95pt;height:33.9pt" o:ole="">
            <v:imagedata r:id="rId6117" o:title=""/>
          </v:shape>
          <o:OLEObject Type="Embed" ProgID="Equation.DSMT4" ShapeID="_x0000_i4064" DrawAspect="Content" ObjectID="_1791378008" r:id="rId6118"/>
        </w:object>
      </w:r>
    </w:p>
    <w:p w14:paraId="1C92AE28" w14:textId="77777777" w:rsidR="00411620" w:rsidRPr="00FE433F" w:rsidRDefault="00411620" w:rsidP="00411620">
      <w:pPr>
        <w:spacing w:line="216" w:lineRule="auto"/>
        <w:rPr>
          <w:i/>
          <w:sz w:val="23"/>
          <w:szCs w:val="23"/>
        </w:rPr>
      </w:pPr>
      <w:r w:rsidRPr="00FE433F">
        <w:rPr>
          <w:i/>
          <w:sz w:val="23"/>
          <w:szCs w:val="23"/>
          <w:rtl/>
        </w:rPr>
        <w:t>چنانچه فرض کن</w:t>
      </w:r>
      <w:r w:rsidRPr="00FE433F">
        <w:rPr>
          <w:rFonts w:hint="cs"/>
          <w:i/>
          <w:sz w:val="23"/>
          <w:szCs w:val="23"/>
          <w:rtl/>
        </w:rPr>
        <w:t>ی</w:t>
      </w:r>
      <w:r w:rsidRPr="00FE433F">
        <w:rPr>
          <w:rFonts w:hint="eastAsia"/>
          <w:i/>
          <w:sz w:val="23"/>
          <w:szCs w:val="23"/>
          <w:rtl/>
        </w:rPr>
        <w:t>م</w:t>
      </w:r>
      <w:r w:rsidRPr="00FE433F">
        <w:rPr>
          <w:i/>
          <w:sz w:val="23"/>
          <w:szCs w:val="23"/>
        </w:rPr>
        <w:t xml:space="preserve"> </w:t>
      </w:r>
      <w:r w:rsidRPr="00FE433F">
        <w:rPr>
          <w:i/>
          <w:sz w:val="23"/>
          <w:szCs w:val="23"/>
          <w:rtl/>
        </w:rPr>
        <w:t>درآمد</w:t>
      </w:r>
      <w:r w:rsidRPr="00FE433F">
        <w:rPr>
          <w:position w:val="-10"/>
        </w:rPr>
        <w:object w:dxaOrig="240" w:dyaOrig="320" w14:anchorId="1A15EB94">
          <v:shape id="_x0000_i4065" type="#_x0000_t75" style="width:12.1pt;height:16.35pt" o:ole="">
            <v:imagedata r:id="rId6119" o:title=""/>
          </v:shape>
          <o:OLEObject Type="Embed" ProgID="Equation.DSMT4" ShapeID="_x0000_i4065" DrawAspect="Content" ObjectID="_1791378009" r:id="rId6120"/>
        </w:object>
      </w:r>
      <w:r w:rsidRPr="00FE433F">
        <w:rPr>
          <w:i/>
          <w:sz w:val="23"/>
          <w:szCs w:val="23"/>
        </w:rPr>
        <w:t xml:space="preserve"> </w:t>
      </w:r>
      <w:r w:rsidRPr="00FE433F">
        <w:rPr>
          <w:i/>
          <w:sz w:val="23"/>
          <w:szCs w:val="23"/>
          <w:rtl/>
        </w:rPr>
        <w:t>ثابت باشد و متغ</w:t>
      </w:r>
      <w:r w:rsidRPr="00FE433F">
        <w:rPr>
          <w:rFonts w:hint="cs"/>
          <w:i/>
          <w:sz w:val="23"/>
          <w:szCs w:val="23"/>
          <w:rtl/>
        </w:rPr>
        <w:t>ی</w:t>
      </w:r>
      <w:r w:rsidRPr="00FE433F">
        <w:rPr>
          <w:rFonts w:hint="eastAsia"/>
          <w:i/>
          <w:sz w:val="23"/>
          <w:szCs w:val="23"/>
          <w:rtl/>
        </w:rPr>
        <w:t>رها</w:t>
      </w:r>
      <w:r w:rsidRPr="00FE433F">
        <w:rPr>
          <w:rFonts w:hint="cs"/>
          <w:i/>
          <w:sz w:val="23"/>
          <w:szCs w:val="23"/>
          <w:rtl/>
        </w:rPr>
        <w:t>ی</w:t>
      </w:r>
      <w:r w:rsidRPr="00FE433F">
        <w:rPr>
          <w:position w:val="-10"/>
        </w:rPr>
        <w:object w:dxaOrig="200" w:dyaOrig="320" w14:anchorId="55FB4436">
          <v:shape id="_x0000_i4066" type="#_x0000_t75" style="width:10.3pt;height:16.35pt" o:ole="">
            <v:imagedata r:id="rId6121" o:title=""/>
          </v:shape>
          <o:OLEObject Type="Embed" ProgID="Equation.DSMT4" ShapeID="_x0000_i4066" DrawAspect="Content" ObjectID="_1791378010" r:id="rId6122"/>
        </w:object>
      </w:r>
      <w:r w:rsidRPr="00FE433F">
        <w:rPr>
          <w:i/>
          <w:sz w:val="23"/>
          <w:szCs w:val="23"/>
        </w:rPr>
        <w:t xml:space="preserve"> </w:t>
      </w:r>
      <w:r w:rsidRPr="00FE433F">
        <w:rPr>
          <w:i/>
          <w:sz w:val="23"/>
          <w:szCs w:val="23"/>
          <w:rtl/>
        </w:rPr>
        <w:t>و</w:t>
      </w:r>
      <w:r w:rsidRPr="00FE433F">
        <w:rPr>
          <w:position w:val="-10"/>
        </w:rPr>
        <w:object w:dxaOrig="300" w:dyaOrig="320" w14:anchorId="2374B558">
          <v:shape id="_x0000_i4067" type="#_x0000_t75" style="width:15.15pt;height:16.35pt" o:ole="">
            <v:imagedata r:id="rId6123" o:title=""/>
          </v:shape>
          <o:OLEObject Type="Embed" ProgID="Equation.DSMT4" ShapeID="_x0000_i4067" DrawAspect="Content" ObjectID="_1791378011" r:id="rId6124"/>
        </w:object>
      </w:r>
      <w:r w:rsidRPr="00FE433F">
        <w:rPr>
          <w:rFonts w:hint="cs"/>
          <w:i/>
          <w:sz w:val="23"/>
          <w:szCs w:val="23"/>
          <w:rtl/>
        </w:rPr>
        <w:t xml:space="preserve">، </w:t>
      </w:r>
      <w:r w:rsidRPr="00FE433F">
        <w:rPr>
          <w:i/>
          <w:sz w:val="23"/>
          <w:szCs w:val="23"/>
          <w:rtl/>
        </w:rPr>
        <w:t>در تعادل بلندمدت باشند</w:t>
      </w:r>
      <w:r w:rsidRPr="00FE433F">
        <w:rPr>
          <w:rFonts w:hint="cs"/>
          <w:i/>
          <w:sz w:val="23"/>
          <w:szCs w:val="23"/>
          <w:rtl/>
        </w:rPr>
        <w:t xml:space="preserve">، آنگاه </w:t>
      </w:r>
      <w:r w:rsidRPr="00FE433F">
        <w:rPr>
          <w:position w:val="-10"/>
        </w:rPr>
        <w:object w:dxaOrig="1300" w:dyaOrig="320" w14:anchorId="4F5DAFC2">
          <v:shape id="_x0000_i4068" type="#_x0000_t75" style="width:64.75pt;height:16.35pt" o:ole="">
            <v:imagedata r:id="rId6125" o:title=""/>
          </v:shape>
          <o:OLEObject Type="Embed" ProgID="Equation.DSMT4" ShapeID="_x0000_i4068" DrawAspect="Content" ObjectID="_1791378012" r:id="rId6126"/>
        </w:object>
      </w:r>
      <w:r w:rsidRPr="00FE433F">
        <w:rPr>
          <w:rFonts w:hint="cs"/>
          <w:i/>
          <w:sz w:val="23"/>
          <w:szCs w:val="23"/>
          <w:rtl/>
        </w:rPr>
        <w:t xml:space="preserve"> است، و</w:t>
      </w:r>
      <w:r w:rsidRPr="00FE433F">
        <w:rPr>
          <w:i/>
          <w:sz w:val="23"/>
          <w:szCs w:val="23"/>
          <w:rtl/>
        </w:rPr>
        <w:t xml:space="preserve"> برا</w:t>
      </w:r>
      <w:r w:rsidRPr="00FE433F">
        <w:rPr>
          <w:rFonts w:hint="cs"/>
          <w:i/>
          <w:sz w:val="23"/>
          <w:szCs w:val="23"/>
          <w:rtl/>
        </w:rPr>
        <w:t>ی</w:t>
      </w:r>
      <w:r w:rsidRPr="00FE433F">
        <w:rPr>
          <w:i/>
          <w:sz w:val="23"/>
          <w:szCs w:val="23"/>
          <w:rtl/>
        </w:rPr>
        <w:t xml:space="preserve"> هر</w:t>
      </w:r>
      <w:r w:rsidRPr="00FE433F">
        <w:rPr>
          <w:position w:val="-6"/>
        </w:rPr>
        <w:object w:dxaOrig="580" w:dyaOrig="260" w14:anchorId="582C878E">
          <v:shape id="_x0000_i4069" type="#_x0000_t75" style="width:29.05pt;height:13.3pt" o:ole="">
            <v:imagedata r:id="rId6127" o:title=""/>
          </v:shape>
          <o:OLEObject Type="Embed" ProgID="Equation.DSMT4" ShapeID="_x0000_i4069" DrawAspect="Content" ObjectID="_1791378013" r:id="rId6128"/>
        </w:object>
      </w:r>
      <w:r w:rsidRPr="00FE433F">
        <w:rPr>
          <w:i/>
          <w:sz w:val="23"/>
          <w:szCs w:val="23"/>
          <w:rtl/>
        </w:rPr>
        <w:t xml:space="preserve"> </w:t>
      </w:r>
      <w:r w:rsidRPr="00FE433F">
        <w:rPr>
          <w:rFonts w:hint="eastAsia"/>
          <w:i/>
          <w:sz w:val="23"/>
          <w:szCs w:val="23"/>
          <w:rtl/>
        </w:rPr>
        <w:t>دار</w:t>
      </w:r>
      <w:r w:rsidRPr="00FE433F">
        <w:rPr>
          <w:rFonts w:hint="cs"/>
          <w:i/>
          <w:sz w:val="23"/>
          <w:szCs w:val="23"/>
          <w:rtl/>
        </w:rPr>
        <w:t>ی</w:t>
      </w:r>
      <w:r w:rsidRPr="00FE433F">
        <w:rPr>
          <w:rFonts w:hint="eastAsia"/>
          <w:i/>
          <w:sz w:val="23"/>
          <w:szCs w:val="23"/>
          <w:rtl/>
        </w:rPr>
        <w:t>م</w:t>
      </w:r>
      <w:r w:rsidRPr="00FE433F">
        <w:rPr>
          <w:position w:val="-10"/>
        </w:rPr>
        <w:object w:dxaOrig="1579" w:dyaOrig="320" w14:anchorId="3F5949DF">
          <v:shape id="_x0000_i4070" type="#_x0000_t75" style="width:79.25pt;height:16.35pt" o:ole="">
            <v:imagedata r:id="rId6129" o:title=""/>
          </v:shape>
          <o:OLEObject Type="Embed" ProgID="Equation.DSMT4" ShapeID="_x0000_i4070" DrawAspect="Content" ObjectID="_1791378014" r:id="rId6130"/>
        </w:object>
      </w:r>
      <w:r w:rsidRPr="00FE433F">
        <w:rPr>
          <w:i/>
          <w:sz w:val="23"/>
          <w:szCs w:val="23"/>
          <w:rtl/>
        </w:rPr>
        <w:t xml:space="preserve"> و </w:t>
      </w:r>
      <w:r w:rsidRPr="00FE433F">
        <w:rPr>
          <w:position w:val="-10"/>
        </w:rPr>
        <w:object w:dxaOrig="900" w:dyaOrig="320" w14:anchorId="5F73D071">
          <v:shape id="_x0000_i4071" type="#_x0000_t75" style="width:45.4pt;height:16.35pt" o:ole="">
            <v:imagedata r:id="rId6131" o:title=""/>
          </v:shape>
          <o:OLEObject Type="Embed" ProgID="Equation.DSMT4" ShapeID="_x0000_i4071" DrawAspect="Content" ObjectID="_1791378015" r:id="rId6132"/>
        </w:object>
      </w:r>
      <w:r w:rsidRPr="00FE433F">
        <w:rPr>
          <w:i/>
          <w:sz w:val="23"/>
          <w:szCs w:val="23"/>
          <w:rtl/>
        </w:rPr>
        <w:t xml:space="preserve"> و </w:t>
      </w:r>
      <w:r w:rsidRPr="00FE433F">
        <w:rPr>
          <w:rFonts w:hint="cs"/>
          <w:i/>
          <w:sz w:val="23"/>
          <w:szCs w:val="23"/>
          <w:rtl/>
        </w:rPr>
        <w:t>لذا</w:t>
      </w:r>
    </w:p>
    <w:p w14:paraId="422FF319" w14:textId="77777777" w:rsidR="00411620" w:rsidRPr="00FE433F" w:rsidRDefault="00411620" w:rsidP="00411620">
      <w:pPr>
        <w:pStyle w:val="MTDisplayEquation"/>
        <w:tabs>
          <w:tab w:val="clear" w:pos="6660"/>
        </w:tabs>
        <w:spacing w:line="216" w:lineRule="auto"/>
        <w:rPr>
          <w:rFonts w:ascii="Times New Roman" w:hAnsi="Times New Roman" w:cs="B Nazanin"/>
          <w:i/>
          <w:sz w:val="23"/>
          <w:szCs w:val="23"/>
          <w:rtl/>
          <w:lang w:bidi="fa-IR"/>
        </w:rPr>
      </w:pPr>
      <w:r w:rsidRPr="00FE433F">
        <w:rPr>
          <w:position w:val="-10"/>
        </w:rPr>
        <w:object w:dxaOrig="3060" w:dyaOrig="320" w14:anchorId="7910767C">
          <v:shape id="_x0000_i4072" type="#_x0000_t75" style="width:153.1pt;height:16.35pt" o:ole="">
            <v:imagedata r:id="rId6133" o:title=""/>
          </v:shape>
          <o:OLEObject Type="Embed" ProgID="Equation.DSMT4" ShapeID="_x0000_i4072" DrawAspect="Content" ObjectID="_1791378016" r:id="rId6134"/>
        </w:object>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cs="B Nazanin"/>
          <w:i/>
          <w:sz w:val="23"/>
          <w:szCs w:val="23"/>
          <w:rtl/>
          <w:lang w:bidi="fa-IR"/>
        </w:rPr>
        <w:tab/>
        <w:t>(۸. ۵)</w:t>
      </w:r>
    </w:p>
    <w:p w14:paraId="448DD342" w14:textId="77777777" w:rsidR="00411620" w:rsidRPr="00FE433F" w:rsidRDefault="00411620" w:rsidP="00411620">
      <w:pPr>
        <w:pStyle w:val="MTDisplayEquation"/>
        <w:tabs>
          <w:tab w:val="clear" w:pos="6660"/>
        </w:tabs>
        <w:spacing w:line="216" w:lineRule="auto"/>
        <w:rPr>
          <w:rFonts w:ascii="Times New Roman" w:eastAsia="Times New Roman" w:hAnsi="Times New Roman" w:cs="B Nazanin"/>
          <w:i/>
          <w:sz w:val="23"/>
          <w:szCs w:val="23"/>
          <w:rtl/>
          <w:lang w:bidi="fa-IR"/>
        </w:rPr>
      </w:pPr>
      <w:r w:rsidRPr="00FE433F">
        <w:rPr>
          <w:position w:val="-22"/>
        </w:rPr>
        <w:object w:dxaOrig="1860" w:dyaOrig="580" w14:anchorId="079E616C">
          <v:shape id="_x0000_i4073" type="#_x0000_t75" style="width:92.55pt;height:29.05pt" o:ole="">
            <v:imagedata r:id="rId6135" o:title=""/>
          </v:shape>
          <o:OLEObject Type="Embed" ProgID="Equation.DSMT4" ShapeID="_x0000_i4073" DrawAspect="Content" ObjectID="_1791378017" r:id="rId6136"/>
        </w:object>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cs="B Nazanin"/>
          <w:i/>
          <w:sz w:val="23"/>
          <w:szCs w:val="23"/>
        </w:rPr>
        <w:tab/>
      </w:r>
      <w:r w:rsidRPr="00FE433F">
        <w:rPr>
          <w:rFonts w:ascii="Times New Roman" w:hAnsi="Times New Roman" w:cs="B Nazanin"/>
          <w:i/>
          <w:sz w:val="23"/>
          <w:szCs w:val="23"/>
          <w:rtl/>
          <w:lang w:bidi="fa-IR"/>
        </w:rPr>
        <w:t>(۸. ۶)</w:t>
      </w:r>
    </w:p>
    <w:p w14:paraId="0FEE6844"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چنانچه تورم مثبت</w:t>
      </w:r>
      <w:r w:rsidRPr="00FE433F">
        <w:rPr>
          <w:rFonts w:eastAsia="Calibri"/>
          <w:i/>
          <w:sz w:val="23"/>
          <w:szCs w:val="23"/>
        </w:rPr>
        <w:t xml:space="preserve"> </w:t>
      </w:r>
      <w:r w:rsidRPr="00FE433F">
        <w:rPr>
          <w:rFonts w:eastAsia="Calibri"/>
          <w:i/>
          <w:sz w:val="23"/>
          <w:szCs w:val="23"/>
          <w:rtl/>
        </w:rPr>
        <w:t>باشد</w:t>
      </w:r>
      <w:r w:rsidRPr="00FE433F">
        <w:rPr>
          <w:rFonts w:eastAsia="Calibri" w:hint="cs"/>
          <w:i/>
          <w:sz w:val="23"/>
          <w:szCs w:val="23"/>
          <w:rtl/>
        </w:rPr>
        <w:t xml:space="preserve"> </w:t>
      </w:r>
      <w:r w:rsidRPr="00FE433F">
        <w:rPr>
          <w:position w:val="-6"/>
        </w:rPr>
        <w:object w:dxaOrig="540" w:dyaOrig="260" w14:anchorId="620C0EC6">
          <v:shape id="_x0000_i4074" type="#_x0000_t75" style="width:26.6pt;height:13.3pt" o:ole="">
            <v:imagedata r:id="rId6137" o:title=""/>
          </v:shape>
          <o:OLEObject Type="Embed" ProgID="Equation.DSMT4" ShapeID="_x0000_i4074" DrawAspect="Content" ObjectID="_1791378018" r:id="rId6138"/>
        </w:object>
      </w:r>
      <w:r w:rsidRPr="00FE433F">
        <w:rPr>
          <w:rFonts w:hint="cs"/>
          <w:i/>
          <w:sz w:val="23"/>
          <w:szCs w:val="23"/>
          <w:rtl/>
        </w:rPr>
        <w:t>،</w:t>
      </w:r>
      <w:r w:rsidRPr="00FE433F">
        <w:rPr>
          <w:rFonts w:eastAsia="Calibri"/>
          <w:i/>
          <w:sz w:val="23"/>
          <w:szCs w:val="23"/>
          <w:rtl/>
        </w:rPr>
        <w:t xml:space="preserve"> آنگاه با 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i/>
          <w:sz w:val="23"/>
          <w:szCs w:val="23"/>
          <w:rtl/>
        </w:rPr>
        <w:t xml:space="preserve"> ذخائر پول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در رابطه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i/>
          <w:sz w:val="23"/>
          <w:szCs w:val="23"/>
          <w:rtl/>
        </w:rPr>
        <w:t>(۸.</w:t>
      </w:r>
      <w:r w:rsidRPr="00FE433F">
        <w:rPr>
          <w:rFonts w:hint="cs"/>
          <w:i/>
          <w:sz w:val="23"/>
          <w:szCs w:val="23"/>
          <w:rtl/>
        </w:rPr>
        <w:t xml:space="preserve"> </w:t>
      </w:r>
      <w:r w:rsidRPr="00FE433F">
        <w:rPr>
          <w:i/>
          <w:sz w:val="23"/>
          <w:szCs w:val="23"/>
          <w:rtl/>
        </w:rPr>
        <w:t>۵)</w:t>
      </w:r>
      <w:r w:rsidRPr="00FE433F">
        <w:rPr>
          <w:rFonts w:eastAsia="Calibri"/>
          <w:i/>
          <w:sz w:val="23"/>
          <w:szCs w:val="23"/>
          <w:rtl/>
        </w:rPr>
        <w:t>، مصرف کاهش خواهد</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افت، ز</w:t>
      </w:r>
      <w:r w:rsidRPr="00FE433F">
        <w:rPr>
          <w:rFonts w:eastAsia="Calibri" w:hint="cs"/>
          <w:i/>
          <w:sz w:val="23"/>
          <w:szCs w:val="23"/>
          <w:rtl/>
        </w:rPr>
        <w:t>ی</w:t>
      </w:r>
      <w:r w:rsidRPr="00FE433F">
        <w:rPr>
          <w:rFonts w:eastAsia="Calibri" w:hint="eastAsia"/>
          <w:i/>
          <w:sz w:val="23"/>
          <w:szCs w:val="23"/>
          <w:rtl/>
        </w:rPr>
        <w:t>را</w:t>
      </w:r>
      <w:r w:rsidRPr="00FE433F">
        <w:rPr>
          <w:rFonts w:eastAsia="Calibri"/>
          <w:i/>
          <w:sz w:val="23"/>
          <w:szCs w:val="23"/>
          <w:rtl/>
        </w:rPr>
        <w:t xml:space="preserve"> قدرت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خر</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پول با نگه</w:t>
      </w:r>
      <w:r w:rsidRPr="00FE433F">
        <w:rPr>
          <w:i/>
          <w:sz w:val="23"/>
          <w:szCs w:val="23"/>
          <w:rtl/>
        </w:rPr>
        <w:softHyphen/>
      </w:r>
      <w:r w:rsidRPr="00FE433F">
        <w:rPr>
          <w:rFonts w:eastAsia="Calibri"/>
          <w:i/>
          <w:sz w:val="23"/>
          <w:szCs w:val="23"/>
          <w:rtl/>
        </w:rPr>
        <w:t>داشتن پول و 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i/>
          <w:sz w:val="23"/>
          <w:szCs w:val="23"/>
          <w:rtl/>
        </w:rPr>
        <w:t xml:space="preserve"> </w:t>
      </w:r>
      <w:r w:rsidRPr="00FE433F">
        <w:rPr>
          <w:rFonts w:eastAsia="Calibri" w:hint="eastAsia"/>
          <w:i/>
          <w:sz w:val="23"/>
          <w:szCs w:val="23"/>
          <w:rtl/>
        </w:rPr>
        <w:t>نرخ</w:t>
      </w:r>
      <w:r w:rsidRPr="00FE433F">
        <w:rPr>
          <w:rFonts w:eastAsia="Calibri"/>
          <w:i/>
          <w:sz w:val="23"/>
          <w:szCs w:val="23"/>
          <w:rtl/>
        </w:rPr>
        <w:t xml:space="preserve"> تورم کاهش</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افته و </w:t>
      </w:r>
      <w:r w:rsidRPr="00FE433F">
        <w:rPr>
          <w:rFonts w:eastAsia="Calibri" w:hint="cs"/>
          <w:i/>
          <w:sz w:val="23"/>
          <w:szCs w:val="23"/>
          <w:rtl/>
        </w:rPr>
        <w:t>به تبع آن</w:t>
      </w:r>
      <w:r w:rsidRPr="00FE433F">
        <w:rPr>
          <w:rFonts w:eastAsia="Calibri"/>
          <w:i/>
          <w:sz w:val="23"/>
          <w:szCs w:val="23"/>
          <w:rtl/>
        </w:rPr>
        <w:t xml:space="preserve"> متغ</w:t>
      </w:r>
      <w:r w:rsidRPr="00FE433F">
        <w:rPr>
          <w:rFonts w:eastAsia="Calibri" w:hint="cs"/>
          <w:i/>
          <w:sz w:val="23"/>
          <w:szCs w:val="23"/>
          <w:rtl/>
        </w:rPr>
        <w:t>ی</w:t>
      </w:r>
      <w:r w:rsidRPr="00FE433F">
        <w:rPr>
          <w:rFonts w:eastAsia="Calibri" w:hint="eastAsia"/>
          <w:i/>
          <w:sz w:val="23"/>
          <w:szCs w:val="23"/>
          <w:rtl/>
        </w:rPr>
        <w:t>رها</w:t>
      </w:r>
      <w:r w:rsidRPr="00FE433F">
        <w:rPr>
          <w:rFonts w:eastAsia="Calibri" w:hint="cs"/>
          <w:i/>
          <w:sz w:val="23"/>
          <w:szCs w:val="23"/>
          <w:rtl/>
        </w:rPr>
        <w:t>ی</w:t>
      </w:r>
      <w:r w:rsidRPr="00FE433F">
        <w:rPr>
          <w:rFonts w:eastAsia="Calibri"/>
          <w:i/>
          <w:sz w:val="23"/>
          <w:szCs w:val="23"/>
          <w:rtl/>
        </w:rPr>
        <w:t xml:space="preserve"> اسم</w:t>
      </w:r>
      <w:r w:rsidRPr="00FE433F">
        <w:rPr>
          <w:rFonts w:eastAsia="Calibri" w:hint="cs"/>
          <w:i/>
          <w:sz w:val="23"/>
          <w:szCs w:val="23"/>
          <w:rtl/>
        </w:rPr>
        <w:t>ی</w:t>
      </w:r>
      <w:r w:rsidRPr="00FE433F">
        <w:rPr>
          <w:rFonts w:eastAsia="Calibri"/>
          <w:i/>
          <w:sz w:val="23"/>
          <w:szCs w:val="23"/>
          <w:rtl/>
        </w:rPr>
        <w:t xml:space="preserve"> (تورم)</w:t>
      </w:r>
      <w:r w:rsidRPr="00FE433F">
        <w:rPr>
          <w:rFonts w:eastAsia="Calibri" w:hint="cs"/>
          <w:i/>
          <w:sz w:val="23"/>
          <w:szCs w:val="23"/>
          <w:rtl/>
        </w:rPr>
        <w:t>،</w:t>
      </w:r>
      <w:r w:rsidRPr="00FE433F">
        <w:rPr>
          <w:rFonts w:eastAsia="Calibri"/>
          <w:i/>
          <w:sz w:val="23"/>
          <w:szCs w:val="23"/>
          <w:rtl/>
        </w:rPr>
        <w:t xml:space="preserve"> متغ</w:t>
      </w:r>
      <w:r w:rsidRPr="00FE433F">
        <w:rPr>
          <w:rFonts w:eastAsia="Calibri" w:hint="cs"/>
          <w:i/>
          <w:sz w:val="23"/>
          <w:szCs w:val="23"/>
          <w:rtl/>
        </w:rPr>
        <w:t>ی</w:t>
      </w:r>
      <w:r w:rsidRPr="00FE433F">
        <w:rPr>
          <w:rFonts w:eastAsia="Calibri" w:hint="eastAsia"/>
          <w:i/>
          <w:sz w:val="23"/>
          <w:szCs w:val="23"/>
          <w:rtl/>
        </w:rPr>
        <w:t>رها</w:t>
      </w:r>
      <w:r w:rsidRPr="00FE433F">
        <w:rPr>
          <w:rFonts w:eastAsia="Calibri" w:hint="cs"/>
          <w:i/>
          <w:sz w:val="23"/>
          <w:szCs w:val="23"/>
          <w:rtl/>
        </w:rPr>
        <w:t>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(مصرف) را تحت تأث</w:t>
      </w:r>
      <w:r w:rsidRPr="00FE433F">
        <w:rPr>
          <w:rFonts w:eastAsia="Calibri" w:hint="cs"/>
          <w:i/>
          <w:sz w:val="23"/>
          <w:szCs w:val="23"/>
          <w:rtl/>
        </w:rPr>
        <w:t>ی</w:t>
      </w:r>
      <w:r w:rsidRPr="00FE433F">
        <w:rPr>
          <w:rFonts w:eastAsia="Calibri" w:hint="eastAsia"/>
          <w:i/>
          <w:sz w:val="23"/>
          <w:szCs w:val="23"/>
          <w:rtl/>
        </w:rPr>
        <w:t>ر</w:t>
      </w:r>
      <w:r w:rsidRPr="00FE433F">
        <w:rPr>
          <w:rFonts w:eastAsia="Calibri"/>
          <w:i/>
          <w:sz w:val="23"/>
          <w:szCs w:val="23"/>
          <w:rtl/>
        </w:rPr>
        <w:t xml:space="preserve"> قرار م</w:t>
      </w:r>
      <w:r w:rsidRPr="00FE433F">
        <w:rPr>
          <w:rFonts w:eastAsia="Calibri" w:hint="cs"/>
          <w:i/>
          <w:sz w:val="23"/>
          <w:szCs w:val="23"/>
          <w:rtl/>
        </w:rPr>
        <w:t>ی‌</w:t>
      </w:r>
      <w:r w:rsidRPr="00FE433F">
        <w:rPr>
          <w:rFonts w:eastAsia="Calibri"/>
          <w:i/>
          <w:sz w:val="23"/>
          <w:szCs w:val="23"/>
          <w:rtl/>
        </w:rPr>
        <w:t>دهند.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موضوع را در مبحث </w:t>
      </w:r>
      <w:r w:rsidRPr="00FE433F">
        <w:rPr>
          <w:rFonts w:eastAsia="Calibri" w:hint="cs"/>
          <w:i/>
          <w:sz w:val="23"/>
          <w:szCs w:val="23"/>
          <w:rtl/>
        </w:rPr>
        <w:t>اَبَر</w:t>
      </w:r>
      <w:r w:rsidRPr="00FE433F">
        <w:rPr>
          <w:rFonts w:eastAsia="Calibri"/>
          <w:i/>
          <w:sz w:val="23"/>
          <w:szCs w:val="23"/>
          <w:rtl/>
        </w:rPr>
        <w:t>خنث</w:t>
      </w:r>
      <w:r w:rsidRPr="00FE433F">
        <w:rPr>
          <w:rFonts w:eastAsia="Calibri" w:hint="cs"/>
          <w:i/>
          <w:sz w:val="23"/>
          <w:szCs w:val="23"/>
          <w:rtl/>
        </w:rPr>
        <w:t>ایی</w:t>
      </w:r>
      <w:r w:rsidRPr="00FE433F">
        <w:rPr>
          <w:rFonts w:eastAsia="Calibri"/>
          <w:i/>
          <w:sz w:val="23"/>
          <w:szCs w:val="23"/>
          <w:rtl/>
        </w:rPr>
        <w:t xml:space="preserve"> </w:t>
      </w:r>
      <w:r w:rsidRPr="00FE433F">
        <w:rPr>
          <w:rFonts w:eastAsia="Calibri" w:hint="cs"/>
          <w:i/>
          <w:sz w:val="23"/>
          <w:szCs w:val="23"/>
          <w:rtl/>
        </w:rPr>
        <w:t xml:space="preserve">پول </w:t>
      </w:r>
      <w:r w:rsidRPr="00FE433F">
        <w:rPr>
          <w:rFonts w:eastAsia="Calibri"/>
          <w:i/>
          <w:sz w:val="23"/>
          <w:szCs w:val="23"/>
          <w:rtl/>
        </w:rPr>
        <w:t>ب</w:t>
      </w:r>
      <w:r w:rsidRPr="00FE433F">
        <w:rPr>
          <w:rFonts w:eastAsia="Calibri" w:hint="cs"/>
          <w:i/>
          <w:sz w:val="23"/>
          <w:szCs w:val="23"/>
          <w:rtl/>
        </w:rPr>
        <w:t>ی</w:t>
      </w:r>
      <w:r w:rsidRPr="00FE433F">
        <w:rPr>
          <w:rFonts w:eastAsia="Calibri" w:hint="eastAsia"/>
          <w:i/>
          <w:sz w:val="23"/>
          <w:szCs w:val="23"/>
          <w:rtl/>
        </w:rPr>
        <w:t>شتر</w:t>
      </w:r>
      <w:r w:rsidRPr="00FE433F">
        <w:rPr>
          <w:rFonts w:eastAsia="Calibri"/>
          <w:i/>
          <w:sz w:val="23"/>
          <w:szCs w:val="23"/>
          <w:rtl/>
        </w:rPr>
        <w:t xml:space="preserve"> بررس</w:t>
      </w:r>
      <w:r w:rsidRPr="00FE433F">
        <w:rPr>
          <w:rFonts w:eastAsia="Calibri" w:hint="cs"/>
          <w:i/>
          <w:sz w:val="23"/>
          <w:szCs w:val="23"/>
          <w:rtl/>
        </w:rPr>
        <w:t>ی</w:t>
      </w:r>
      <w:r w:rsidRPr="00FE433F">
        <w:rPr>
          <w:rFonts w:eastAsia="Calibri"/>
          <w:i/>
          <w:sz w:val="23"/>
          <w:szCs w:val="23"/>
          <w:rtl/>
        </w:rPr>
        <w:t xml:space="preserve"> خواه</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کرد. همچن</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در</w:t>
      </w:r>
      <w:r w:rsidRPr="00FE433F">
        <w:rPr>
          <w:rFonts w:eastAsia="Calibri"/>
          <w:i/>
          <w:sz w:val="23"/>
          <w:szCs w:val="23"/>
          <w:rtl/>
        </w:rPr>
        <w:t xml:space="preserve"> </w:t>
      </w:r>
      <w:r w:rsidRPr="00FE433F">
        <w:rPr>
          <w:rFonts w:eastAsia="Calibri" w:hint="eastAsia"/>
          <w:i/>
          <w:sz w:val="23"/>
          <w:szCs w:val="23"/>
          <w:rtl/>
        </w:rPr>
        <w:t>رابطه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w:t>
      </w:r>
      <w:r w:rsidRPr="00FE433F">
        <w:rPr>
          <w:i/>
          <w:sz w:val="23"/>
          <w:szCs w:val="23"/>
          <w:rtl/>
        </w:rPr>
        <w:t xml:space="preserve">(۸. </w:t>
      </w:r>
      <w:r w:rsidRPr="00FE433F">
        <w:rPr>
          <w:rFonts w:hint="cs"/>
          <w:i/>
          <w:sz w:val="23"/>
          <w:szCs w:val="23"/>
          <w:rtl/>
        </w:rPr>
        <w:t>۶</w:t>
      </w:r>
      <w:r w:rsidRPr="00FE433F">
        <w:rPr>
          <w:i/>
          <w:sz w:val="23"/>
          <w:szCs w:val="23"/>
          <w:rtl/>
        </w:rPr>
        <w:t>)</w:t>
      </w:r>
      <w:r w:rsidRPr="00FE433F">
        <w:rPr>
          <w:rFonts w:eastAsia="Calibri"/>
          <w:i/>
          <w:sz w:val="23"/>
          <w:szCs w:val="23"/>
          <w:rtl/>
        </w:rPr>
        <w:t xml:space="preserve"> بدل</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پرداخت نقد</w:t>
      </w:r>
      <w:r w:rsidRPr="00FE433F">
        <w:rPr>
          <w:rFonts w:eastAsia="Calibri" w:hint="cs"/>
          <w:i/>
          <w:sz w:val="23"/>
          <w:szCs w:val="23"/>
          <w:rtl/>
        </w:rPr>
        <w:t>ی</w:t>
      </w:r>
      <w:r w:rsidRPr="00FE433F">
        <w:rPr>
          <w:rFonts w:eastAsia="Calibri"/>
          <w:i/>
          <w:sz w:val="23"/>
          <w:szCs w:val="23"/>
          <w:rtl/>
        </w:rPr>
        <w:t xml:space="preserve"> مخارج مصرف</w:t>
      </w:r>
      <w:r w:rsidRPr="00FE433F">
        <w:rPr>
          <w:rFonts w:eastAsia="Calibri" w:hint="cs"/>
          <w:i/>
          <w:sz w:val="23"/>
          <w:szCs w:val="23"/>
          <w:rtl/>
        </w:rPr>
        <w:t>ی</w:t>
      </w:r>
      <w:r w:rsidRPr="00FE433F">
        <w:rPr>
          <w:rFonts w:eastAsia="Calibri" w:hint="eastAsia"/>
          <w:i/>
          <w:sz w:val="23"/>
          <w:szCs w:val="23"/>
          <w:rtl/>
        </w:rPr>
        <w:t>،</w:t>
      </w:r>
      <w:r w:rsidRPr="00FE433F">
        <w:rPr>
          <w:rFonts w:eastAsia="Calibri"/>
          <w:i/>
          <w:sz w:val="23"/>
          <w:szCs w:val="23"/>
          <w:rtl/>
        </w:rPr>
        <w:t xml:space="preserve"> با 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i/>
          <w:sz w:val="23"/>
          <w:szCs w:val="23"/>
          <w:rtl/>
        </w:rPr>
        <w:t xml:space="preserve"> </w:t>
      </w:r>
      <w:r w:rsidRPr="00FE433F">
        <w:rPr>
          <w:rFonts w:eastAsia="Calibri" w:hint="eastAsia"/>
          <w:i/>
          <w:sz w:val="23"/>
          <w:szCs w:val="23"/>
          <w:rtl/>
        </w:rPr>
        <w:t>تورم</w:t>
      </w:r>
      <w:r w:rsidRPr="00FE433F">
        <w:rPr>
          <w:rFonts w:eastAsia="Calibri"/>
          <w:i/>
          <w:sz w:val="23"/>
          <w:szCs w:val="23"/>
          <w:rtl/>
        </w:rPr>
        <w:t xml:space="preserve"> </w:t>
      </w:r>
      <w:r w:rsidRPr="00FE433F">
        <w:rPr>
          <w:rFonts w:eastAsia="Calibri" w:hint="eastAsia"/>
          <w:i/>
          <w:sz w:val="23"/>
          <w:szCs w:val="23"/>
          <w:rtl/>
        </w:rPr>
        <w:t>و</w:t>
      </w:r>
      <w:r w:rsidRPr="00FE433F">
        <w:rPr>
          <w:rFonts w:eastAsia="Calibri"/>
          <w:i/>
          <w:sz w:val="23"/>
          <w:szCs w:val="23"/>
          <w:rtl/>
        </w:rPr>
        <w:t xml:space="preserve"> </w:t>
      </w:r>
      <w:r w:rsidRPr="00FE433F">
        <w:rPr>
          <w:rFonts w:eastAsia="Calibri" w:hint="eastAsia"/>
          <w:i/>
          <w:sz w:val="23"/>
          <w:szCs w:val="23"/>
          <w:rtl/>
        </w:rPr>
        <w:t>درآمدها</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ثابت</w:t>
      </w:r>
      <w:r w:rsidRPr="00FE433F">
        <w:rPr>
          <w:rFonts w:eastAsia="Calibri"/>
          <w:i/>
          <w:sz w:val="23"/>
          <w:szCs w:val="23"/>
          <w:rtl/>
        </w:rPr>
        <w:t xml:space="preserve"> </w:t>
      </w:r>
      <w:r w:rsidRPr="00FE433F">
        <w:rPr>
          <w:position w:val="-10"/>
        </w:rPr>
        <w:object w:dxaOrig="700" w:dyaOrig="320" w14:anchorId="039FB805">
          <v:shape id="_x0000_i4075" type="#_x0000_t75" style="width:35.1pt;height:16.35pt" o:ole="">
            <v:imagedata r:id="rId6139" o:title=""/>
          </v:shape>
          <o:OLEObject Type="Embed" ProgID="Equation.DSMT4" ShapeID="_x0000_i4075" DrawAspect="Content" ObjectID="_1791378019" r:id="rId6140"/>
        </w:object>
      </w:r>
      <w:r w:rsidRPr="00FE433F">
        <w:rPr>
          <w:rFonts w:eastAsia="Calibri"/>
          <w:i/>
          <w:sz w:val="23"/>
          <w:szCs w:val="23"/>
          <w:rtl/>
        </w:rPr>
        <w:t xml:space="preserve"> مخارج مصرف</w:t>
      </w:r>
      <w:r w:rsidRPr="00FE433F">
        <w:rPr>
          <w:rFonts w:eastAsia="Calibri" w:hint="cs"/>
          <w:i/>
          <w:sz w:val="23"/>
          <w:szCs w:val="23"/>
          <w:rtl/>
        </w:rPr>
        <w:t>ی</w:t>
      </w:r>
      <w:r w:rsidRPr="00FE433F">
        <w:rPr>
          <w:rFonts w:eastAsia="Calibri"/>
          <w:i/>
          <w:sz w:val="23"/>
          <w:szCs w:val="23"/>
          <w:rtl/>
        </w:rPr>
        <w:t xml:space="preserve"> کاهش </w:t>
      </w:r>
      <w:r w:rsidRPr="00FE433F">
        <w:rPr>
          <w:rFonts w:eastAsia="Calibri" w:hint="cs"/>
          <w:i/>
          <w:sz w:val="23"/>
          <w:szCs w:val="23"/>
          <w:rtl/>
        </w:rPr>
        <w:t>خواهد یافت</w:t>
      </w:r>
      <w:r w:rsidRPr="00FE433F">
        <w:rPr>
          <w:rFonts w:eastAsia="Calibri"/>
          <w:i/>
          <w:sz w:val="23"/>
          <w:szCs w:val="23"/>
          <w:rtl/>
        </w:rPr>
        <w:t>.</w:t>
      </w:r>
    </w:p>
    <w:p w14:paraId="4822B1A6" w14:textId="77777777" w:rsidR="00411620" w:rsidRPr="00FE433F" w:rsidRDefault="00411620" w:rsidP="00411620">
      <w:pPr>
        <w:spacing w:line="216" w:lineRule="auto"/>
        <w:rPr>
          <w:rFonts w:eastAsia="Calibri"/>
          <w:i/>
          <w:sz w:val="23"/>
          <w:szCs w:val="23"/>
          <w:rtl/>
        </w:rPr>
      </w:pPr>
    </w:p>
    <w:p w14:paraId="760608F0" w14:textId="77777777" w:rsidR="00411620" w:rsidRPr="00FE433F" w:rsidRDefault="00411620" w:rsidP="00411620">
      <w:pPr>
        <w:pStyle w:val="Heading1"/>
        <w:spacing w:before="0" w:after="0" w:line="216" w:lineRule="auto"/>
        <w:rPr>
          <w:rFonts w:ascii="Times New Roman" w:hAnsi="Times New Roman" w:cs="B Nazanin"/>
          <w:b w:val="0"/>
          <w:i/>
          <w:sz w:val="23"/>
          <w:szCs w:val="23"/>
          <w:rtl/>
        </w:rPr>
      </w:pPr>
      <w:r w:rsidRPr="00FE433F">
        <w:rPr>
          <w:rFonts w:ascii="Times New Roman" w:hAnsi="Times New Roman" w:cs="B Nazanin"/>
          <w:b w:val="0"/>
          <w:i/>
          <w:sz w:val="23"/>
          <w:szCs w:val="23"/>
          <w:rtl/>
        </w:rPr>
        <w:t>۸. ۵ پول در تابع مطلوب</w:t>
      </w:r>
      <w:r w:rsidRPr="00FE433F">
        <w:rPr>
          <w:rFonts w:ascii="Times New Roman" w:hAnsi="Times New Roman" w:cs="B Nazanin" w:hint="cs"/>
          <w:b w:val="0"/>
          <w:i/>
          <w:sz w:val="23"/>
          <w:szCs w:val="23"/>
          <w:rtl/>
        </w:rPr>
        <w:t>ی</w:t>
      </w:r>
      <w:r w:rsidRPr="00FE433F">
        <w:rPr>
          <w:rFonts w:ascii="Times New Roman" w:hAnsi="Times New Roman" w:cs="B Nazanin" w:hint="eastAsia"/>
          <w:b w:val="0"/>
          <w:i/>
          <w:sz w:val="23"/>
          <w:szCs w:val="23"/>
          <w:rtl/>
        </w:rPr>
        <w:t>ت</w:t>
      </w:r>
      <w:r w:rsidRPr="00FE433F">
        <w:rPr>
          <w:rFonts w:ascii="Times New Roman" w:hAnsi="Times New Roman" w:cs="B Nazanin" w:hint="cs"/>
          <w:b w:val="0"/>
          <w:i/>
          <w:sz w:val="23"/>
          <w:szCs w:val="23"/>
          <w:rtl/>
        </w:rPr>
        <w:t xml:space="preserve"> </w:t>
      </w:r>
      <w:r w:rsidRPr="00FE433F">
        <w:rPr>
          <w:rFonts w:ascii="Times New Roman" w:hAnsi="Times New Roman" w:cs="B Nazanin"/>
          <w:b w:val="0"/>
          <w:i/>
          <w:sz w:val="23"/>
          <w:szCs w:val="23"/>
        </w:rPr>
        <w:t xml:space="preserve"> MIU</w:t>
      </w:r>
    </w:p>
    <w:p w14:paraId="6091E502"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در مدل پول در تابع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که اول بار توسط س</w:t>
      </w:r>
      <w:r w:rsidRPr="00FE433F">
        <w:rPr>
          <w:rFonts w:eastAsia="Calibri" w:hint="cs"/>
          <w:i/>
          <w:sz w:val="23"/>
          <w:szCs w:val="23"/>
          <w:rtl/>
        </w:rPr>
        <w:t>ی</w:t>
      </w:r>
      <w:r w:rsidRPr="00FE433F">
        <w:rPr>
          <w:rFonts w:eastAsia="Calibri"/>
          <w:i/>
          <w:sz w:val="23"/>
          <w:szCs w:val="23"/>
          <w:rtl/>
        </w:rPr>
        <w:t>در</w:t>
      </w:r>
      <w:r w:rsidRPr="00FE433F">
        <w:rPr>
          <w:rFonts w:eastAsia="Calibri" w:hint="cs"/>
          <w:i/>
          <w:sz w:val="23"/>
          <w:szCs w:val="23"/>
          <w:rtl/>
        </w:rPr>
        <w:t>ا</w:t>
      </w:r>
      <w:r w:rsidRPr="00FE433F">
        <w:rPr>
          <w:rFonts w:eastAsia="Calibri"/>
          <w:i/>
          <w:sz w:val="23"/>
          <w:szCs w:val="23"/>
          <w:rtl/>
        </w:rPr>
        <w:t>سک</w:t>
      </w:r>
      <w:r w:rsidRPr="00FE433F">
        <w:rPr>
          <w:rFonts w:eastAsia="Calibri" w:hint="cs"/>
          <w:i/>
          <w:sz w:val="23"/>
          <w:szCs w:val="23"/>
          <w:rtl/>
        </w:rPr>
        <w:t>ی</w:t>
      </w:r>
      <w:r w:rsidRPr="00FE433F">
        <w:rPr>
          <w:rStyle w:val="FootnoteReference"/>
          <w:rFonts w:eastAsiaTheme="majorEastAsia"/>
          <w:i/>
          <w:sz w:val="23"/>
          <w:szCs w:val="23"/>
          <w:rtl/>
        </w:rPr>
        <w:footnoteReference w:id="196"/>
      </w:r>
      <w:r w:rsidRPr="00FE433F">
        <w:rPr>
          <w:rFonts w:eastAsia="Calibri"/>
          <w:i/>
          <w:sz w:val="23"/>
          <w:szCs w:val="23"/>
          <w:rtl/>
        </w:rPr>
        <w:t xml:space="preserve"> ارائه شد</w:t>
      </w:r>
      <w:r w:rsidRPr="00FE433F">
        <w:rPr>
          <w:rFonts w:eastAsia="Calibri" w:hint="cs"/>
          <w:i/>
          <w:sz w:val="23"/>
          <w:szCs w:val="23"/>
          <w:rtl/>
        </w:rPr>
        <w:t>ه است</w:t>
      </w:r>
      <w:r w:rsidRPr="00FE433F">
        <w:rPr>
          <w:rFonts w:eastAsia="Calibri"/>
          <w:i/>
          <w:sz w:val="23"/>
          <w:szCs w:val="23"/>
          <w:rtl/>
        </w:rPr>
        <w:t xml:space="preserve"> فرض م</w:t>
      </w:r>
      <w:r w:rsidRPr="00FE433F">
        <w:rPr>
          <w:rFonts w:eastAsia="Calibri" w:hint="cs"/>
          <w:i/>
          <w:sz w:val="23"/>
          <w:szCs w:val="23"/>
          <w:rtl/>
        </w:rPr>
        <w:t>ی‌</w:t>
      </w:r>
      <w:r w:rsidRPr="00FE433F">
        <w:rPr>
          <w:rFonts w:eastAsia="Calibri"/>
          <w:i/>
          <w:sz w:val="23"/>
          <w:szCs w:val="23"/>
          <w:rtl/>
        </w:rPr>
        <w:t xml:space="preserve">شود </w:t>
      </w:r>
      <w:r w:rsidRPr="00FE433F">
        <w:rPr>
          <w:rFonts w:eastAsia="Calibri" w:hint="eastAsia"/>
          <w:i/>
          <w:sz w:val="23"/>
          <w:szCs w:val="23"/>
          <w:rtl/>
        </w:rPr>
        <w:t>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خانوار با نگهدار</w:t>
      </w:r>
      <w:r w:rsidRPr="00FE433F">
        <w:rPr>
          <w:rFonts w:eastAsia="Calibri" w:hint="cs"/>
          <w:i/>
          <w:sz w:val="23"/>
          <w:szCs w:val="23"/>
          <w:rtl/>
        </w:rPr>
        <w:t>ی</w:t>
      </w:r>
      <w:r w:rsidRPr="00FE433F">
        <w:rPr>
          <w:rFonts w:eastAsia="Calibri"/>
          <w:i/>
          <w:sz w:val="23"/>
          <w:szCs w:val="23"/>
          <w:rtl/>
        </w:rPr>
        <w:t xml:space="preserve"> پول نقد </w:t>
      </w:r>
      <w:r w:rsidRPr="00FE433F">
        <w:rPr>
          <w:rFonts w:eastAsia="Calibri" w:hint="eastAsia"/>
          <w:i/>
          <w:sz w:val="23"/>
          <w:szCs w:val="23"/>
          <w:rtl/>
        </w:rPr>
        <w:t>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i/>
          <w:sz w:val="23"/>
          <w:szCs w:val="23"/>
          <w:rtl/>
        </w:rPr>
        <w:t xml:space="preserve"> </w:t>
      </w:r>
      <w:r w:rsidRPr="00FE433F">
        <w:rPr>
          <w:rFonts w:eastAsia="Calibri" w:hint="cs"/>
          <w:i/>
          <w:sz w:val="23"/>
          <w:szCs w:val="23"/>
          <w:rtl/>
        </w:rPr>
        <w:t>می</w:t>
      </w:r>
      <w:r w:rsidRPr="00FE433F">
        <w:rPr>
          <w:rFonts w:eastAsia="Calibri"/>
          <w:i/>
          <w:sz w:val="23"/>
          <w:szCs w:val="23"/>
          <w:rtl/>
        </w:rPr>
        <w:softHyphen/>
      </w:r>
      <w:r w:rsidRPr="00FE433F">
        <w:rPr>
          <w:rFonts w:eastAsia="Calibri" w:hint="cs"/>
          <w:i/>
          <w:sz w:val="23"/>
          <w:szCs w:val="23"/>
          <w:rtl/>
        </w:rPr>
        <w:t>یابد،</w:t>
      </w:r>
      <w:r w:rsidRPr="00FE433F">
        <w:rPr>
          <w:rFonts w:eastAsia="Calibri"/>
          <w:i/>
          <w:sz w:val="23"/>
          <w:szCs w:val="23"/>
          <w:rtl/>
        </w:rPr>
        <w:t xml:space="preserve"> و لذا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w:t>
      </w:r>
      <w:r w:rsidRPr="00FE433F">
        <w:rPr>
          <w:rFonts w:eastAsia="Calibri" w:hint="eastAsia"/>
          <w:i/>
          <w:sz w:val="23"/>
          <w:szCs w:val="23"/>
          <w:rtl/>
        </w:rPr>
        <w:t>خانوار</w:t>
      </w:r>
      <w:r w:rsidRPr="00FE433F">
        <w:rPr>
          <w:rFonts w:eastAsia="Calibri"/>
          <w:i/>
          <w:sz w:val="23"/>
          <w:szCs w:val="23"/>
          <w:rtl/>
        </w:rPr>
        <w:t xml:space="preserve"> تابع</w:t>
      </w:r>
      <w:r w:rsidRPr="00FE433F">
        <w:rPr>
          <w:rFonts w:eastAsia="Calibri" w:hint="cs"/>
          <w:i/>
          <w:sz w:val="23"/>
          <w:szCs w:val="23"/>
          <w:rtl/>
        </w:rPr>
        <w:t>ی</w:t>
      </w:r>
      <w:r w:rsidRPr="00FE433F">
        <w:rPr>
          <w:rFonts w:eastAsia="Calibri"/>
          <w:i/>
          <w:sz w:val="23"/>
          <w:szCs w:val="23"/>
          <w:rtl/>
        </w:rPr>
        <w:t xml:space="preserve"> از </w:t>
      </w:r>
      <w:r w:rsidRPr="00FE433F">
        <w:rPr>
          <w:rFonts w:eastAsia="Calibri" w:hint="eastAsia"/>
          <w:i/>
          <w:sz w:val="23"/>
          <w:szCs w:val="23"/>
          <w:rtl/>
        </w:rPr>
        <w:t>موجود</w:t>
      </w:r>
      <w:r w:rsidRPr="00FE433F">
        <w:rPr>
          <w:rFonts w:eastAsia="Calibri" w:hint="cs"/>
          <w:i/>
          <w:sz w:val="23"/>
          <w:szCs w:val="23"/>
          <w:rtl/>
        </w:rPr>
        <w:t>ی</w:t>
      </w:r>
      <w:r w:rsidRPr="00FE433F">
        <w:rPr>
          <w:rFonts w:eastAsia="Calibri"/>
          <w:i/>
          <w:sz w:val="23"/>
          <w:szCs w:val="23"/>
          <w:rtl/>
        </w:rPr>
        <w:t xml:space="preserve"> پول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ن</w:t>
      </w:r>
      <w:r w:rsidRPr="00FE433F">
        <w:rPr>
          <w:rFonts w:eastAsia="Calibri" w:hint="cs"/>
          <w:i/>
          <w:sz w:val="23"/>
          <w:szCs w:val="23"/>
          <w:rtl/>
        </w:rPr>
        <w:t>ی</w:t>
      </w:r>
      <w:r w:rsidRPr="00FE433F">
        <w:rPr>
          <w:rFonts w:eastAsia="Calibri" w:hint="eastAsia"/>
          <w:i/>
          <w:sz w:val="23"/>
          <w:szCs w:val="23"/>
          <w:rtl/>
        </w:rPr>
        <w:t>ز</w:t>
      </w:r>
      <w:r w:rsidRPr="00FE433F">
        <w:rPr>
          <w:rFonts w:eastAsia="Calibri"/>
          <w:i/>
          <w:sz w:val="23"/>
          <w:szCs w:val="23"/>
          <w:rtl/>
        </w:rPr>
        <w:t xml:space="preserve"> خواهد بود. در مدل</w:t>
      </w:r>
      <w:r w:rsidRPr="00FE433F">
        <w:rPr>
          <w:rFonts w:eastAsia="Calibri"/>
          <w:i/>
          <w:sz w:val="23"/>
          <w:szCs w:val="23"/>
        </w:rPr>
        <w:t xml:space="preserve">CIA </w:t>
      </w:r>
      <w:r w:rsidRPr="00FE433F">
        <w:rPr>
          <w:rFonts w:eastAsia="Calibri" w:hint="cs"/>
          <w:i/>
          <w:sz w:val="23"/>
          <w:szCs w:val="23"/>
          <w:rtl/>
        </w:rPr>
        <w:t xml:space="preserve"> </w:t>
      </w:r>
      <w:r w:rsidRPr="00FE433F">
        <w:rPr>
          <w:rFonts w:eastAsia="Calibri"/>
          <w:i/>
          <w:sz w:val="23"/>
          <w:szCs w:val="23"/>
          <w:rtl/>
        </w:rPr>
        <w:t>تقاضا برا</w:t>
      </w:r>
      <w:r w:rsidRPr="00FE433F">
        <w:rPr>
          <w:rFonts w:eastAsia="Calibri" w:hint="cs"/>
          <w:i/>
          <w:sz w:val="23"/>
          <w:szCs w:val="23"/>
          <w:rtl/>
        </w:rPr>
        <w:t>ی</w:t>
      </w:r>
      <w:r w:rsidRPr="00FE433F">
        <w:rPr>
          <w:rFonts w:eastAsia="Calibri"/>
          <w:i/>
          <w:sz w:val="23"/>
          <w:szCs w:val="23"/>
          <w:rtl/>
        </w:rPr>
        <w:t xml:space="preserve"> پول به </w:t>
      </w:r>
      <w:r w:rsidRPr="00FE433F">
        <w:rPr>
          <w:rFonts w:eastAsia="Calibri" w:hint="eastAsia"/>
          <w:i/>
          <w:sz w:val="23"/>
          <w:szCs w:val="23"/>
          <w:rtl/>
        </w:rPr>
        <w:t>تغ</w:t>
      </w:r>
      <w:r w:rsidRPr="00FE433F">
        <w:rPr>
          <w:rFonts w:eastAsia="Calibri" w:hint="cs"/>
          <w:i/>
          <w:sz w:val="23"/>
          <w:szCs w:val="23"/>
          <w:rtl/>
        </w:rPr>
        <w:t>یی</w:t>
      </w:r>
      <w:r w:rsidRPr="00FE433F">
        <w:rPr>
          <w:rFonts w:eastAsia="Calibri" w:hint="eastAsia"/>
          <w:i/>
          <w:sz w:val="23"/>
          <w:szCs w:val="23"/>
          <w:rtl/>
        </w:rPr>
        <w:t>رات</w:t>
      </w:r>
      <w:r w:rsidRPr="00FE433F">
        <w:rPr>
          <w:rFonts w:eastAsia="Calibri"/>
          <w:i/>
          <w:sz w:val="23"/>
          <w:szCs w:val="23"/>
          <w:rtl/>
        </w:rPr>
        <w:t xml:space="preserve"> نرخ بهره </w:t>
      </w:r>
      <w:r w:rsidRPr="00FE433F">
        <w:rPr>
          <w:rFonts w:eastAsia="Calibri" w:hint="eastAsia"/>
          <w:i/>
          <w:sz w:val="23"/>
          <w:szCs w:val="23"/>
          <w:rtl/>
        </w:rPr>
        <w:t>حساس</w:t>
      </w:r>
      <w:r w:rsidRPr="00FE433F">
        <w:rPr>
          <w:rFonts w:eastAsia="Calibri"/>
          <w:i/>
          <w:sz w:val="23"/>
          <w:szCs w:val="23"/>
          <w:rtl/>
        </w:rPr>
        <w:t xml:space="preserve"> نبود</w:t>
      </w:r>
      <w:r w:rsidRPr="00FE433F">
        <w:rPr>
          <w:rFonts w:eastAsia="Calibri" w:hint="cs"/>
          <w:i/>
          <w:sz w:val="23"/>
          <w:szCs w:val="23"/>
          <w:rtl/>
        </w:rPr>
        <w:t>،</w:t>
      </w:r>
      <w:r w:rsidRPr="00FE433F">
        <w:rPr>
          <w:rFonts w:eastAsia="Calibri"/>
          <w:i/>
          <w:sz w:val="23"/>
          <w:szCs w:val="23"/>
          <w:rtl/>
        </w:rPr>
        <w:t xml:space="preserve"> اما در مدل </w:t>
      </w:r>
      <w:r w:rsidRPr="00FE433F">
        <w:rPr>
          <w:rFonts w:eastAsia="Calibri"/>
          <w:i/>
          <w:sz w:val="23"/>
          <w:szCs w:val="23"/>
        </w:rPr>
        <w:t>MIU</w:t>
      </w:r>
      <w:r w:rsidRPr="00FE433F">
        <w:rPr>
          <w:rFonts w:eastAsia="Calibri"/>
          <w:i/>
          <w:sz w:val="23"/>
          <w:szCs w:val="23"/>
          <w:rtl/>
        </w:rPr>
        <w:t xml:space="preserve"> بدل</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هز</w:t>
      </w:r>
      <w:r w:rsidRPr="00FE433F">
        <w:rPr>
          <w:rFonts w:eastAsia="Calibri" w:hint="cs"/>
          <w:i/>
          <w:sz w:val="23"/>
          <w:szCs w:val="23"/>
          <w:rtl/>
        </w:rPr>
        <w:t>ی</w:t>
      </w:r>
      <w:r w:rsidRPr="00FE433F">
        <w:rPr>
          <w:rFonts w:eastAsia="Calibri" w:hint="eastAsia"/>
          <w:i/>
          <w:sz w:val="23"/>
          <w:szCs w:val="23"/>
          <w:rtl/>
        </w:rPr>
        <w:t>نه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فرصت نگهدار</w:t>
      </w:r>
      <w:r w:rsidRPr="00FE433F">
        <w:rPr>
          <w:rFonts w:eastAsia="Calibri" w:hint="cs"/>
          <w:i/>
          <w:sz w:val="23"/>
          <w:szCs w:val="23"/>
          <w:rtl/>
        </w:rPr>
        <w:t>ی</w:t>
      </w:r>
      <w:r w:rsidRPr="00FE433F">
        <w:rPr>
          <w:rFonts w:eastAsia="Calibri"/>
          <w:i/>
          <w:sz w:val="23"/>
          <w:szCs w:val="23"/>
          <w:rtl/>
        </w:rPr>
        <w:t xml:space="preserve"> پول </w:t>
      </w:r>
      <w:r w:rsidRPr="00FE433F">
        <w:rPr>
          <w:rFonts w:eastAsia="Calibri" w:hint="eastAsia"/>
          <w:i/>
          <w:sz w:val="23"/>
          <w:szCs w:val="23"/>
          <w:rtl/>
        </w:rPr>
        <w:t>بخاطر</w:t>
      </w:r>
      <w:r w:rsidRPr="00FE433F">
        <w:rPr>
          <w:rFonts w:eastAsia="Calibri"/>
          <w:i/>
          <w:sz w:val="23"/>
          <w:szCs w:val="23"/>
          <w:rtl/>
        </w:rPr>
        <w:t xml:space="preserve"> از دست دادن نرخ بهره، تقاضا برا</w:t>
      </w:r>
      <w:r w:rsidRPr="00FE433F">
        <w:rPr>
          <w:rFonts w:eastAsia="Calibri" w:hint="cs"/>
          <w:i/>
          <w:sz w:val="23"/>
          <w:szCs w:val="23"/>
          <w:rtl/>
        </w:rPr>
        <w:t>ی</w:t>
      </w:r>
      <w:r w:rsidRPr="00FE433F">
        <w:rPr>
          <w:rFonts w:eastAsia="Calibri"/>
          <w:i/>
          <w:sz w:val="23"/>
          <w:szCs w:val="23"/>
          <w:rtl/>
        </w:rPr>
        <w:t xml:space="preserve"> پول به نرخ بهره ن</w:t>
      </w:r>
      <w:r w:rsidRPr="00FE433F">
        <w:rPr>
          <w:rFonts w:eastAsia="Calibri" w:hint="cs"/>
          <w:i/>
          <w:sz w:val="23"/>
          <w:szCs w:val="23"/>
          <w:rtl/>
        </w:rPr>
        <w:t>ی</w:t>
      </w:r>
      <w:r w:rsidRPr="00FE433F">
        <w:rPr>
          <w:rFonts w:eastAsia="Calibri" w:hint="eastAsia"/>
          <w:i/>
          <w:sz w:val="23"/>
          <w:szCs w:val="23"/>
          <w:rtl/>
        </w:rPr>
        <w:t>ز</w:t>
      </w:r>
      <w:r w:rsidRPr="00FE433F">
        <w:rPr>
          <w:rFonts w:eastAsia="Calibri"/>
          <w:i/>
          <w:sz w:val="23"/>
          <w:szCs w:val="23"/>
          <w:rtl/>
        </w:rPr>
        <w:t xml:space="preserve"> وابسته خواهد شد. جهت بررس</w:t>
      </w:r>
      <w:r w:rsidRPr="00FE433F">
        <w:rPr>
          <w:rFonts w:eastAsia="Calibri" w:hint="cs"/>
          <w:i/>
          <w:sz w:val="23"/>
          <w:szCs w:val="23"/>
          <w:rtl/>
        </w:rPr>
        <w:t>ی</w:t>
      </w:r>
      <w:r w:rsidRPr="00FE433F">
        <w:rPr>
          <w:rFonts w:eastAsia="Calibri"/>
          <w:i/>
          <w:sz w:val="23"/>
          <w:szCs w:val="23"/>
          <w:rtl/>
        </w:rPr>
        <w:t xml:space="preserve">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مدل</w:t>
      </w:r>
      <w:r w:rsidRPr="00FE433F">
        <w:rPr>
          <w:rFonts w:eastAsia="Calibri"/>
          <w:i/>
          <w:sz w:val="23"/>
          <w:szCs w:val="23"/>
          <w:rtl/>
        </w:rPr>
        <w:t xml:space="preserve"> فرض کن</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تابع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خانوار نمونه عبارت است از؛</w:t>
      </w:r>
    </w:p>
    <w:p w14:paraId="580B6773" w14:textId="77777777" w:rsidR="00411620" w:rsidRPr="00FE433F" w:rsidRDefault="00411620" w:rsidP="00411620">
      <w:pPr>
        <w:pStyle w:val="MTDisplayEquation"/>
        <w:spacing w:line="216" w:lineRule="auto"/>
        <w:rPr>
          <w:rFonts w:ascii="Times New Roman" w:eastAsia="Times New Roman" w:hAnsi="Times New Roman" w:cs="B Nazanin"/>
          <w:i/>
          <w:sz w:val="23"/>
          <w:szCs w:val="23"/>
          <w:rtl/>
          <w:lang w:bidi="fa-IR"/>
        </w:rPr>
      </w:pPr>
      <w:r w:rsidRPr="00FE433F">
        <w:rPr>
          <w:position w:val="-12"/>
        </w:rPr>
        <w:object w:dxaOrig="4420" w:dyaOrig="360" w14:anchorId="2163557C">
          <v:shape id="_x0000_i4076" type="#_x0000_t75" style="width:220.85pt;height:18.15pt" o:ole="">
            <v:imagedata r:id="rId6141" o:title=""/>
          </v:shape>
          <o:OLEObject Type="Embed" ProgID="Equation.DSMT4" ShapeID="_x0000_i4076" DrawAspect="Content" ObjectID="_1791378020" r:id="rId6142"/>
        </w:object>
      </w:r>
    </w:p>
    <w:p w14:paraId="488C8BEE"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ی</w:t>
      </w:r>
      <w:r w:rsidRPr="00FE433F">
        <w:rPr>
          <w:rFonts w:eastAsia="Calibri" w:hint="eastAsia"/>
          <w:i/>
          <w:sz w:val="23"/>
          <w:szCs w:val="23"/>
          <w:rtl/>
        </w:rPr>
        <w:t>عن</w:t>
      </w:r>
      <w:r w:rsidRPr="00FE433F">
        <w:rPr>
          <w:rFonts w:eastAsia="Calibri" w:hint="cs"/>
          <w:i/>
          <w:sz w:val="23"/>
          <w:szCs w:val="23"/>
          <w:rtl/>
        </w:rPr>
        <w:t>ی</w:t>
      </w:r>
      <w:r w:rsidRPr="00FE433F">
        <w:rPr>
          <w:rFonts w:eastAsia="Calibri"/>
          <w:i/>
          <w:sz w:val="23"/>
          <w:szCs w:val="23"/>
          <w:rtl/>
        </w:rPr>
        <w:t xml:space="preserve"> با 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i/>
          <w:sz w:val="23"/>
          <w:szCs w:val="23"/>
          <w:rtl/>
        </w:rPr>
        <w:t xml:space="preserve"> </w:t>
      </w:r>
      <w:r w:rsidRPr="00FE433F">
        <w:rPr>
          <w:rFonts w:eastAsia="Calibri" w:hint="eastAsia"/>
          <w:i/>
          <w:sz w:val="23"/>
          <w:szCs w:val="23"/>
          <w:rtl/>
        </w:rPr>
        <w:t>مخارج</w:t>
      </w:r>
      <w:r w:rsidRPr="00FE433F">
        <w:rPr>
          <w:rFonts w:eastAsia="Calibri"/>
          <w:i/>
          <w:sz w:val="23"/>
          <w:szCs w:val="23"/>
          <w:rtl/>
        </w:rPr>
        <w:t xml:space="preserve"> مصرف</w:t>
      </w:r>
      <w:r w:rsidRPr="00FE433F">
        <w:rPr>
          <w:rFonts w:eastAsia="Calibri" w:hint="cs"/>
          <w:i/>
          <w:sz w:val="23"/>
          <w:szCs w:val="23"/>
          <w:rtl/>
        </w:rPr>
        <w:t>ی</w:t>
      </w:r>
      <w:r w:rsidRPr="00FE433F">
        <w:rPr>
          <w:rFonts w:eastAsia="Calibri"/>
          <w:i/>
          <w:sz w:val="23"/>
          <w:szCs w:val="23"/>
          <w:rtl/>
        </w:rPr>
        <w:t xml:space="preserve"> و تقاضا برا</w:t>
      </w:r>
      <w:r w:rsidRPr="00FE433F">
        <w:rPr>
          <w:rFonts w:eastAsia="Calibri" w:hint="cs"/>
          <w:i/>
          <w:sz w:val="23"/>
          <w:szCs w:val="23"/>
          <w:rtl/>
        </w:rPr>
        <w:t>ی</w:t>
      </w:r>
      <w:r w:rsidRPr="00FE433F">
        <w:rPr>
          <w:rFonts w:eastAsia="Calibri"/>
          <w:i/>
          <w:sz w:val="23"/>
          <w:szCs w:val="23"/>
          <w:rtl/>
        </w:rPr>
        <w:t xml:space="preserve"> پول</w:t>
      </w:r>
      <w:r w:rsidRPr="00FE433F">
        <w:rPr>
          <w:rFonts w:eastAsia="Calibri" w:hint="eastAsia"/>
          <w:i/>
          <w:sz w:val="23"/>
          <w:szCs w:val="23"/>
          <w:rtl/>
        </w:rPr>
        <w:t>،</w:t>
      </w:r>
      <w:r w:rsidRPr="00FE433F">
        <w:rPr>
          <w:rFonts w:eastAsia="Calibri"/>
          <w:i/>
          <w:sz w:val="23"/>
          <w:szCs w:val="23"/>
          <w:rtl/>
        </w:rPr>
        <w:t xml:space="preserve">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خانوار با ش</w:t>
      </w:r>
      <w:r w:rsidRPr="00FE433F">
        <w:rPr>
          <w:rFonts w:eastAsia="Calibri" w:hint="cs"/>
          <w:i/>
          <w:sz w:val="23"/>
          <w:szCs w:val="23"/>
          <w:rtl/>
        </w:rPr>
        <w:t>ی</w:t>
      </w:r>
      <w:r w:rsidRPr="00FE433F">
        <w:rPr>
          <w:rFonts w:eastAsia="Calibri" w:hint="eastAsia"/>
          <w:i/>
          <w:sz w:val="23"/>
          <w:szCs w:val="23"/>
          <w:rtl/>
        </w:rPr>
        <w:t>ب</w:t>
      </w:r>
      <w:r w:rsidRPr="00FE433F">
        <w:rPr>
          <w:rFonts w:eastAsia="Calibri"/>
          <w:i/>
          <w:sz w:val="23"/>
          <w:szCs w:val="23"/>
          <w:rtl/>
        </w:rPr>
        <w:t xml:space="preserve"> کاهنده 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i/>
          <w:sz w:val="23"/>
          <w:szCs w:val="23"/>
          <w:rtl/>
        </w:rPr>
        <w:t xml:space="preserve"> خواهد</w:t>
      </w:r>
      <w:r w:rsidRPr="00FE433F">
        <w:rPr>
          <w:rFonts w:eastAsia="Calibri" w:hint="eastAsia"/>
          <w:i/>
          <w:sz w:val="23"/>
          <w:szCs w:val="23"/>
        </w:rPr>
        <w:t>‌</w:t>
      </w:r>
      <w:r w:rsidRPr="00FE433F">
        <w:rPr>
          <w:rFonts w:eastAsia="Calibri" w:hint="cs"/>
          <w:i/>
          <w:sz w:val="23"/>
          <w:szCs w:val="23"/>
          <w:rtl/>
        </w:rPr>
        <w:t xml:space="preserve"> ی</w:t>
      </w:r>
      <w:r w:rsidRPr="00FE433F">
        <w:rPr>
          <w:rFonts w:eastAsia="Calibri"/>
          <w:i/>
          <w:sz w:val="23"/>
          <w:szCs w:val="23"/>
          <w:rtl/>
        </w:rPr>
        <w:t>افت. همچن</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فرض</w:t>
      </w:r>
      <w:r w:rsidRPr="00FE433F">
        <w:rPr>
          <w:rFonts w:eastAsia="Calibri"/>
          <w:i/>
          <w:sz w:val="23"/>
          <w:szCs w:val="23"/>
          <w:rtl/>
        </w:rPr>
        <w:t xml:space="preserve"> </w:t>
      </w:r>
      <w:r w:rsidRPr="00FE433F">
        <w:rPr>
          <w:rFonts w:eastAsia="Calibri" w:hint="eastAsia"/>
          <w:i/>
          <w:sz w:val="23"/>
          <w:szCs w:val="23"/>
          <w:rtl/>
        </w:rPr>
        <w:t>کن</w:t>
      </w:r>
      <w:r w:rsidRPr="00FE433F">
        <w:rPr>
          <w:rFonts w:eastAsia="Calibri" w:hint="cs"/>
          <w:i/>
          <w:sz w:val="23"/>
          <w:szCs w:val="23"/>
          <w:rtl/>
        </w:rPr>
        <w:t>ی</w:t>
      </w:r>
      <w:r w:rsidRPr="00FE433F">
        <w:rPr>
          <w:rFonts w:eastAsia="Calibri" w:hint="eastAsia"/>
          <w:i/>
          <w:sz w:val="23"/>
          <w:szCs w:val="23"/>
          <w:rtl/>
        </w:rPr>
        <w:t>د</w:t>
      </w:r>
      <w:r w:rsidRPr="00FE433F">
        <w:rPr>
          <w:position w:val="-10"/>
        </w:rPr>
        <w:object w:dxaOrig="300" w:dyaOrig="320" w14:anchorId="7AD33C54">
          <v:shape id="_x0000_i4077" type="#_x0000_t75" style="width:15.15pt;height:16.35pt" o:ole="">
            <v:imagedata r:id="rId6143" o:title=""/>
          </v:shape>
          <o:OLEObject Type="Embed" ProgID="Equation.DSMT4" ShapeID="_x0000_i4077" DrawAspect="Content" ObjectID="_1791378021" r:id="rId6144"/>
        </w:object>
      </w:r>
      <w:r w:rsidRPr="00FE433F">
        <w:rPr>
          <w:rFonts w:eastAsia="Calibri"/>
          <w:i/>
          <w:sz w:val="23"/>
          <w:szCs w:val="23"/>
        </w:rPr>
        <w:t xml:space="preserve"> </w:t>
      </w:r>
      <w:r w:rsidRPr="00FE433F">
        <w:rPr>
          <w:rFonts w:eastAsia="Calibri"/>
          <w:i/>
          <w:sz w:val="23"/>
          <w:szCs w:val="23"/>
          <w:rtl/>
        </w:rPr>
        <w:t xml:space="preserve">در زمان </w:t>
      </w:r>
      <w:r w:rsidRPr="00FE433F">
        <w:rPr>
          <w:rFonts w:eastAsia="Calibri"/>
          <w:i/>
          <w:sz w:val="23"/>
          <w:szCs w:val="23"/>
        </w:rPr>
        <w:t>t</w:t>
      </w:r>
      <w:r w:rsidRPr="00FE433F">
        <w:rPr>
          <w:rFonts w:eastAsia="Calibri"/>
          <w:i/>
          <w:sz w:val="23"/>
          <w:szCs w:val="23"/>
          <w:rtl/>
        </w:rPr>
        <w:t xml:space="preserve"> داده شده است و</w:t>
      </w:r>
      <w:r w:rsidRPr="00FE433F">
        <w:rPr>
          <w:position w:val="-10"/>
        </w:rPr>
        <w:object w:dxaOrig="420" w:dyaOrig="320" w14:anchorId="14BE4AE5">
          <v:shape id="_x0000_i4078" type="#_x0000_t75" style="width:20.55pt;height:16.35pt" o:ole="">
            <v:imagedata r:id="rId6145" o:title=""/>
          </v:shape>
          <o:OLEObject Type="Embed" ProgID="Equation.DSMT4" ShapeID="_x0000_i4078" DrawAspect="Content" ObjectID="_1791378022" r:id="rId6146"/>
        </w:object>
      </w:r>
      <w:r w:rsidRPr="00FE433F">
        <w:rPr>
          <w:rFonts w:eastAsia="Calibri"/>
          <w:i/>
          <w:sz w:val="23"/>
          <w:szCs w:val="23"/>
          <w:rtl/>
        </w:rPr>
        <w:t xml:space="preserve"> نت</w:t>
      </w:r>
      <w:r w:rsidRPr="00FE433F">
        <w:rPr>
          <w:rFonts w:eastAsia="Calibri" w:hint="cs"/>
          <w:i/>
          <w:sz w:val="23"/>
          <w:szCs w:val="23"/>
          <w:rtl/>
        </w:rPr>
        <w:t>ی</w:t>
      </w:r>
      <w:r w:rsidRPr="00FE433F">
        <w:rPr>
          <w:rFonts w:eastAsia="Calibri" w:hint="eastAsia"/>
          <w:i/>
          <w:sz w:val="23"/>
          <w:szCs w:val="23"/>
          <w:rtl/>
        </w:rPr>
        <w:t>جه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تصم</w:t>
      </w:r>
      <w:r w:rsidRPr="00FE433F">
        <w:rPr>
          <w:rFonts w:eastAsia="Calibri" w:hint="cs"/>
          <w:i/>
          <w:sz w:val="23"/>
          <w:szCs w:val="23"/>
          <w:rtl/>
        </w:rPr>
        <w:t>ی</w:t>
      </w:r>
      <w:r w:rsidRPr="00FE433F">
        <w:rPr>
          <w:rFonts w:eastAsia="Calibri" w:hint="eastAsia"/>
          <w:i/>
          <w:sz w:val="23"/>
          <w:szCs w:val="23"/>
          <w:rtl/>
        </w:rPr>
        <w:t>مات</w:t>
      </w:r>
      <w:r w:rsidRPr="00FE433F">
        <w:rPr>
          <w:rFonts w:eastAsia="Calibri"/>
          <w:i/>
          <w:sz w:val="23"/>
          <w:szCs w:val="23"/>
          <w:rtl/>
        </w:rPr>
        <w:t xml:space="preserve"> </w:t>
      </w:r>
      <w:r w:rsidRPr="00FE433F">
        <w:rPr>
          <w:rFonts w:eastAsia="Calibri" w:hint="eastAsia"/>
          <w:i/>
          <w:sz w:val="23"/>
          <w:szCs w:val="23"/>
          <w:rtl/>
        </w:rPr>
        <w:t>خانوار</w:t>
      </w:r>
      <w:r w:rsidRPr="00FE433F">
        <w:rPr>
          <w:rFonts w:eastAsia="Calibri"/>
          <w:i/>
          <w:sz w:val="23"/>
          <w:szCs w:val="23"/>
          <w:rtl/>
        </w:rPr>
        <w:t xml:space="preserve"> </w:t>
      </w:r>
      <w:r w:rsidRPr="00FE433F">
        <w:rPr>
          <w:rFonts w:eastAsia="Calibri" w:hint="eastAsia"/>
          <w:i/>
          <w:sz w:val="23"/>
          <w:szCs w:val="23"/>
          <w:rtl/>
        </w:rPr>
        <w:t>در</w:t>
      </w:r>
      <w:r w:rsidRPr="00FE433F">
        <w:rPr>
          <w:rFonts w:eastAsia="Calibri"/>
          <w:i/>
          <w:sz w:val="23"/>
          <w:szCs w:val="23"/>
          <w:rtl/>
        </w:rPr>
        <w:t xml:space="preserve"> </w:t>
      </w:r>
      <w:r w:rsidRPr="00FE433F">
        <w:rPr>
          <w:rFonts w:eastAsia="Calibri" w:hint="eastAsia"/>
          <w:i/>
          <w:sz w:val="23"/>
          <w:szCs w:val="23"/>
          <w:rtl/>
        </w:rPr>
        <w:t>زمان</w:t>
      </w:r>
      <w:r w:rsidRPr="00FE433F">
        <w:rPr>
          <w:rFonts w:eastAsia="Calibri"/>
          <w:i/>
          <w:sz w:val="23"/>
          <w:szCs w:val="23"/>
          <w:rtl/>
        </w:rPr>
        <w:t xml:space="preserve"> </w:t>
      </w:r>
      <w:r w:rsidRPr="00FE433F">
        <w:rPr>
          <w:rFonts w:eastAsia="Calibri"/>
          <w:i/>
          <w:sz w:val="23"/>
          <w:szCs w:val="23"/>
        </w:rPr>
        <w:t>t</w:t>
      </w:r>
      <w:r w:rsidRPr="00FE433F">
        <w:rPr>
          <w:rFonts w:eastAsia="Calibri"/>
          <w:i/>
          <w:sz w:val="23"/>
          <w:szCs w:val="23"/>
          <w:rtl/>
        </w:rPr>
        <w:t xml:space="preserve"> است. خانوار نمونه به دنبال حداکثر کردن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w:t>
      </w:r>
      <w:r w:rsidRPr="00FE433F">
        <w:rPr>
          <w:rFonts w:eastAsia="Calibri" w:hint="eastAsia"/>
          <w:i/>
          <w:sz w:val="23"/>
          <w:szCs w:val="23"/>
          <w:rtl/>
        </w:rPr>
        <w:t>تنز</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w:t>
      </w:r>
      <w:r w:rsidRPr="00FE433F">
        <w:rPr>
          <w:rFonts w:eastAsia="Calibri" w:hint="eastAsia"/>
          <w:i/>
          <w:sz w:val="23"/>
          <w:szCs w:val="23"/>
          <w:rtl/>
        </w:rPr>
        <w:t>شده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ب</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دوره</w:t>
      </w:r>
      <w:r w:rsidRPr="00FE433F">
        <w:rPr>
          <w:i/>
          <w:sz w:val="23"/>
          <w:szCs w:val="23"/>
          <w:rtl/>
        </w:rPr>
        <w:softHyphen/>
      </w:r>
      <w:r w:rsidRPr="00FE433F">
        <w:rPr>
          <w:rFonts w:eastAsia="Calibri"/>
          <w:i/>
          <w:sz w:val="23"/>
          <w:szCs w:val="23"/>
          <w:rtl/>
        </w:rPr>
        <w:t>ا</w:t>
      </w:r>
      <w:r w:rsidRPr="00FE433F">
        <w:rPr>
          <w:rFonts w:eastAsia="Calibri" w:hint="cs"/>
          <w:i/>
          <w:sz w:val="23"/>
          <w:szCs w:val="23"/>
          <w:rtl/>
        </w:rPr>
        <w:t>ی</w:t>
      </w:r>
    </w:p>
    <w:p w14:paraId="52E10B8B" w14:textId="77777777" w:rsidR="00411620" w:rsidRPr="00FE433F" w:rsidRDefault="00411620" w:rsidP="00411620">
      <w:pPr>
        <w:bidi w:val="0"/>
        <w:spacing w:line="216" w:lineRule="auto"/>
        <w:rPr>
          <w:rFonts w:eastAsia="Calibri"/>
          <w:i/>
          <w:sz w:val="23"/>
          <w:szCs w:val="23"/>
          <w:rtl/>
        </w:rPr>
      </w:pPr>
      <w:r w:rsidRPr="00FE433F">
        <w:rPr>
          <w:position w:val="-26"/>
        </w:rPr>
        <w:object w:dxaOrig="2020" w:dyaOrig="620" w14:anchorId="634BE7B7">
          <v:shape id="_x0000_i4079" type="#_x0000_t75" style="width:101.05pt;height:30.85pt" o:ole="">
            <v:imagedata r:id="rId6147" o:title=""/>
          </v:shape>
          <o:OLEObject Type="Embed" ProgID="Equation.DSMT4" ShapeID="_x0000_i4079" DrawAspect="Content" ObjectID="_1791378023" r:id="rId6148"/>
        </w:object>
      </w:r>
    </w:p>
    <w:p w14:paraId="1E84A46C" w14:textId="77777777" w:rsidR="00411620" w:rsidRPr="00FE433F" w:rsidRDefault="00411620" w:rsidP="00411620">
      <w:pPr>
        <w:spacing w:line="216" w:lineRule="auto"/>
        <w:rPr>
          <w:rFonts w:eastAsia="Calibri"/>
          <w:i/>
          <w:sz w:val="23"/>
          <w:szCs w:val="23"/>
        </w:rPr>
      </w:pPr>
      <w:r w:rsidRPr="00FE433F">
        <w:rPr>
          <w:rFonts w:eastAsia="Calibri"/>
          <w:i/>
          <w:sz w:val="23"/>
          <w:szCs w:val="23"/>
          <w:rtl/>
        </w:rPr>
        <w:t xml:space="preserve"> نسبت به 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بودجه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خود</w:t>
      </w:r>
      <w:r w:rsidRPr="00FE433F">
        <w:rPr>
          <w:rFonts w:eastAsia="Calibri"/>
          <w:i/>
          <w:sz w:val="23"/>
          <w:szCs w:val="23"/>
          <w:rtl/>
        </w:rPr>
        <w:t xml:space="preserve"> بر حسب متغ</w:t>
      </w:r>
      <w:r w:rsidRPr="00FE433F">
        <w:rPr>
          <w:rFonts w:eastAsia="Calibri" w:hint="cs"/>
          <w:i/>
          <w:sz w:val="23"/>
          <w:szCs w:val="23"/>
          <w:rtl/>
        </w:rPr>
        <w:t>ی</w:t>
      </w:r>
      <w:r w:rsidRPr="00FE433F">
        <w:rPr>
          <w:rFonts w:eastAsia="Calibri" w:hint="eastAsia"/>
          <w:i/>
          <w:sz w:val="23"/>
          <w:szCs w:val="23"/>
          <w:rtl/>
        </w:rPr>
        <w:t>رها</w:t>
      </w:r>
      <w:r w:rsidRPr="00FE433F">
        <w:rPr>
          <w:rFonts w:eastAsia="Calibri" w:hint="cs"/>
          <w:i/>
          <w:sz w:val="23"/>
          <w:szCs w:val="23"/>
          <w:rtl/>
        </w:rPr>
        <w:t>ی</w:t>
      </w:r>
      <w:r w:rsidRPr="00FE433F">
        <w:rPr>
          <w:position w:val="-10"/>
        </w:rPr>
        <w:object w:dxaOrig="340" w:dyaOrig="320" w14:anchorId="72053DFB">
          <v:shape id="_x0000_i4080" type="#_x0000_t75" style="width:16.95pt;height:16.35pt" o:ole="">
            <v:imagedata r:id="rId6149" o:title=""/>
          </v:shape>
          <o:OLEObject Type="Embed" ProgID="Equation.DSMT4" ShapeID="_x0000_i4080" DrawAspect="Content" ObjectID="_1791378024" r:id="rId6150"/>
        </w:object>
      </w:r>
      <w:r w:rsidRPr="00FE433F">
        <w:rPr>
          <w:rFonts w:eastAsia="Calibri"/>
          <w:i/>
          <w:sz w:val="23"/>
          <w:szCs w:val="23"/>
          <w:rtl/>
        </w:rPr>
        <w:t>،</w:t>
      </w:r>
      <w:r w:rsidRPr="00FE433F">
        <w:rPr>
          <w:position w:val="-10"/>
        </w:rPr>
        <w:object w:dxaOrig="340" w:dyaOrig="320" w14:anchorId="4E27B29B">
          <v:shape id="_x0000_i4081" type="#_x0000_t75" style="width:16.95pt;height:16.35pt" o:ole="">
            <v:imagedata r:id="rId6151" o:title=""/>
          </v:shape>
          <o:OLEObject Type="Embed" ProgID="Equation.DSMT4" ShapeID="_x0000_i4081" DrawAspect="Content" ObjectID="_1791378025" r:id="rId6152"/>
        </w:object>
      </w:r>
      <w:r w:rsidRPr="00FE433F">
        <w:rPr>
          <w:rFonts w:eastAsia="Calibri"/>
          <w:i/>
          <w:sz w:val="23"/>
          <w:szCs w:val="23"/>
          <w:rtl/>
        </w:rPr>
        <w:t xml:space="preserve"> و</w:t>
      </w:r>
      <w:r w:rsidRPr="00FE433F">
        <w:rPr>
          <w:position w:val="-10"/>
        </w:rPr>
        <w:object w:dxaOrig="420" w:dyaOrig="320" w14:anchorId="63FBB7DA">
          <v:shape id="_x0000_i4082" type="#_x0000_t75" style="width:20.55pt;height:16.35pt" o:ole="">
            <v:imagedata r:id="rId6153" o:title=""/>
          </v:shape>
          <o:OLEObject Type="Embed" ProgID="Equation.DSMT4" ShapeID="_x0000_i4082" DrawAspect="Content" ObjectID="_1791378026" r:id="rId6154"/>
        </w:objec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باشد. بنابرا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لاگرانژ</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مسئله برابر </w:t>
      </w:r>
      <w:r w:rsidRPr="00FE433F">
        <w:rPr>
          <w:rFonts w:eastAsia="Calibri" w:hint="cs"/>
          <w:i/>
          <w:sz w:val="23"/>
          <w:szCs w:val="23"/>
          <w:rtl/>
        </w:rPr>
        <w:t xml:space="preserve">خواهد بود </w:t>
      </w:r>
      <w:r w:rsidRPr="00FE433F">
        <w:rPr>
          <w:rFonts w:eastAsia="Calibri"/>
          <w:i/>
          <w:sz w:val="23"/>
          <w:szCs w:val="23"/>
          <w:rtl/>
        </w:rPr>
        <w:t>با</w:t>
      </w:r>
    </w:p>
    <w:p w14:paraId="61A47D4D"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34"/>
        </w:rPr>
        <w:object w:dxaOrig="6700" w:dyaOrig="780" w14:anchorId="4AC91457">
          <v:shape id="_x0000_i4083" type="#_x0000_t75" style="width:335.2pt;height:39.35pt" o:ole="">
            <v:imagedata r:id="rId6155" o:title=""/>
          </v:shape>
          <o:OLEObject Type="Embed" ProgID="Equation.DSMT4" ShapeID="_x0000_i4083" DrawAspect="Content" ObjectID="_1791378027" r:id="rId6156"/>
        </w:object>
      </w:r>
    </w:p>
    <w:p w14:paraId="7E67EA68" w14:textId="77777777" w:rsidR="00411620" w:rsidRPr="00FE433F" w:rsidRDefault="00411620" w:rsidP="00411620">
      <w:pPr>
        <w:pStyle w:val="MTDisplayEquation"/>
        <w:bidi/>
        <w:spacing w:line="216" w:lineRule="auto"/>
        <w:rPr>
          <w:rFonts w:ascii="Times New Roman" w:hAnsi="Times New Roman" w:cs="B Nazanin"/>
          <w:i/>
          <w:sz w:val="23"/>
          <w:szCs w:val="23"/>
          <w:rtl/>
          <w:lang w:bidi="fa-IR"/>
        </w:rPr>
      </w:pPr>
      <w:r w:rsidRPr="00FE433F">
        <w:rPr>
          <w:rFonts w:ascii="Times New Roman" w:hAnsi="Times New Roman" w:cs="B Nazanin" w:hint="eastAsia"/>
          <w:i/>
          <w:sz w:val="23"/>
          <w:szCs w:val="23"/>
          <w:rtl/>
          <w:lang w:bidi="fa-IR"/>
        </w:rPr>
        <w:t>به</w:t>
      </w:r>
      <w:r w:rsidRPr="00FE433F">
        <w:rPr>
          <w:rFonts w:ascii="Times New Roman" w:hAnsi="Times New Roman" w:cs="B Nazanin"/>
          <w:i/>
          <w:sz w:val="23"/>
          <w:szCs w:val="23"/>
          <w:rtl/>
          <w:lang w:bidi="fa-IR"/>
        </w:rPr>
        <w:t xml:space="preserve"> ا</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ن</w:t>
      </w:r>
      <w:r w:rsidRPr="00FE433F">
        <w:rPr>
          <w:rFonts w:ascii="Times New Roman" w:hAnsi="Times New Roman" w:cs="B Nazanin"/>
          <w:i/>
          <w:sz w:val="23"/>
          <w:szCs w:val="23"/>
          <w:rtl/>
          <w:lang w:bidi="fa-IR"/>
        </w:rPr>
        <w:t xml:space="preserve"> ترت</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ب</w:t>
      </w:r>
      <w:r w:rsidRPr="00FE433F">
        <w:rPr>
          <w:rFonts w:ascii="Times New Roman" w:hAnsi="Times New Roman" w:cs="B Nazanin"/>
          <w:i/>
          <w:sz w:val="23"/>
          <w:szCs w:val="23"/>
          <w:rtl/>
          <w:lang w:bidi="fa-IR"/>
        </w:rPr>
        <w:t xml:space="preserve"> شرا</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ط</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مرتبه</w:t>
      </w:r>
      <w:r w:rsidRPr="00FE433F">
        <w:rPr>
          <w:rFonts w:ascii="Times New Roman" w:hAnsi="Times New Roman" w:cs="B Nazanin" w:hint="eastAsia"/>
          <w:i/>
          <w:sz w:val="23"/>
          <w:szCs w:val="23"/>
          <w:lang w:bidi="fa-IR"/>
        </w:rPr>
        <w:t>‌</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اول عبارتند از؛</w:t>
      </w:r>
    </w:p>
    <w:p w14:paraId="73988626"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5040" w:dyaOrig="620" w14:anchorId="1F1E27E5">
          <v:shape id="_x0000_i4084" type="#_x0000_t75" style="width:252.3pt;height:30.85pt" o:ole="">
            <v:imagedata r:id="rId6157" o:title=""/>
          </v:shape>
          <o:OLEObject Type="Embed" ProgID="Equation.DSMT4" ShapeID="_x0000_i4084" DrawAspect="Content" ObjectID="_1791378028" r:id="rId6158"/>
        </w:object>
      </w:r>
    </w:p>
    <w:p w14:paraId="3D5F4F13"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5040" w:dyaOrig="620" w14:anchorId="62ED514F">
          <v:shape id="_x0000_i4085" type="#_x0000_t75" style="width:252.3pt;height:30.85pt" o:ole="">
            <v:imagedata r:id="rId6159" o:title=""/>
          </v:shape>
          <o:OLEObject Type="Embed" ProgID="Equation.DSMT4" ShapeID="_x0000_i4085" DrawAspect="Content" ObjectID="_1791378029" r:id="rId6160"/>
        </w:object>
      </w:r>
    </w:p>
    <w:p w14:paraId="0C695BB4"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5080" w:dyaOrig="620" w14:anchorId="45552ABA">
          <v:shape id="_x0000_i4086" type="#_x0000_t75" style="width:254.1pt;height:30.85pt" o:ole="">
            <v:imagedata r:id="rId6161" o:title=""/>
          </v:shape>
          <o:OLEObject Type="Embed" ProgID="Equation.DSMT4" ShapeID="_x0000_i4086" DrawAspect="Content" ObjectID="_1791378030" r:id="rId6162"/>
        </w:object>
      </w:r>
    </w:p>
    <w:p w14:paraId="40EFCD06"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از برابر</w:t>
      </w:r>
      <w:r w:rsidRPr="00FE433F">
        <w:rPr>
          <w:rFonts w:eastAsia="Calibri" w:hint="cs"/>
          <w:i/>
          <w:sz w:val="23"/>
          <w:szCs w:val="23"/>
          <w:rtl/>
        </w:rPr>
        <w:t>ی</w:t>
      </w:r>
      <w:r w:rsidRPr="00FE433F">
        <w:rPr>
          <w:rFonts w:eastAsia="Calibri"/>
          <w:i/>
          <w:sz w:val="23"/>
          <w:szCs w:val="23"/>
          <w:rtl/>
        </w:rPr>
        <w:t xml:space="preserve"> دو رابطه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دوم و سوم</w:t>
      </w:r>
      <w:r w:rsidRPr="00FE433F">
        <w:rPr>
          <w:rFonts w:eastAsia="Calibri" w:hint="cs"/>
          <w:i/>
          <w:sz w:val="23"/>
          <w:szCs w:val="23"/>
          <w:rtl/>
        </w:rPr>
        <w:t xml:space="preserve"> </w:t>
      </w:r>
      <w:r w:rsidRPr="00FE433F">
        <w:rPr>
          <w:rFonts w:eastAsia="Calibri"/>
          <w:i/>
          <w:sz w:val="23"/>
          <w:szCs w:val="23"/>
          <w:rtl/>
        </w:rPr>
        <w:t>شرا</w:t>
      </w:r>
      <w:r w:rsidRPr="00FE433F">
        <w:rPr>
          <w:rFonts w:eastAsia="Calibri" w:hint="cs"/>
          <w:i/>
          <w:sz w:val="23"/>
          <w:szCs w:val="23"/>
          <w:rtl/>
        </w:rPr>
        <w:t>ی</w:t>
      </w:r>
      <w:r w:rsidRPr="00FE433F">
        <w:rPr>
          <w:rFonts w:eastAsia="Calibri" w:hint="eastAsia"/>
          <w:i/>
          <w:sz w:val="23"/>
          <w:szCs w:val="23"/>
          <w:rtl/>
        </w:rPr>
        <w:t>ط</w:t>
      </w:r>
      <w:r w:rsidRPr="00FE433F">
        <w:rPr>
          <w:rFonts w:eastAsia="Calibri"/>
          <w:i/>
          <w:sz w:val="23"/>
          <w:szCs w:val="23"/>
          <w:rtl/>
        </w:rPr>
        <w:t xml:space="preserve"> مرتبه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اول</w:t>
      </w:r>
      <w:r w:rsidRPr="00FE433F">
        <w:rPr>
          <w:rFonts w:eastAsia="Calibri" w:hint="cs"/>
          <w:i/>
          <w:sz w:val="23"/>
          <w:szCs w:val="23"/>
          <w:rtl/>
        </w:rPr>
        <w:t xml:space="preserve">، </w:t>
      </w:r>
      <w:r w:rsidRPr="00FE433F">
        <w:rPr>
          <w:rFonts w:eastAsia="Calibri"/>
          <w:i/>
          <w:sz w:val="23"/>
          <w:szCs w:val="23"/>
          <w:rtl/>
        </w:rPr>
        <w:t>برا</w:t>
      </w:r>
      <w:r w:rsidRPr="00FE433F">
        <w:rPr>
          <w:rFonts w:eastAsia="Calibri" w:hint="cs"/>
          <w:i/>
          <w:sz w:val="23"/>
          <w:szCs w:val="23"/>
          <w:rtl/>
        </w:rPr>
        <w:t>ی</w:t>
      </w:r>
      <w:r w:rsidRPr="00FE433F">
        <w:rPr>
          <w:rFonts w:eastAsia="Calibri"/>
          <w:i/>
          <w:sz w:val="23"/>
          <w:szCs w:val="23"/>
          <w:rtl/>
        </w:rPr>
        <w:t xml:space="preserve"> </w:t>
      </w:r>
      <w:r w:rsidRPr="00FE433F">
        <w:rPr>
          <w:position w:val="-6"/>
        </w:rPr>
        <w:object w:dxaOrig="480" w:dyaOrig="260" w14:anchorId="6F54F20A">
          <v:shape id="_x0000_i4087" type="#_x0000_t75" style="width:24.2pt;height:13.3pt" o:ole="">
            <v:imagedata r:id="rId6163" o:title=""/>
          </v:shape>
          <o:OLEObject Type="Embed" ProgID="Equation.DSMT4" ShapeID="_x0000_i4087" DrawAspect="Content" ObjectID="_1791378031" r:id="rId6164"/>
        </w:object>
      </w:r>
      <w:r w:rsidRPr="00FE433F">
        <w:rPr>
          <w:rFonts w:eastAsia="Calibri"/>
          <w:i/>
          <w:sz w:val="23"/>
          <w:szCs w:val="23"/>
          <w:rtl/>
        </w:rPr>
        <w:t xml:space="preserve"> خواه</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داشت،</w:t>
      </w:r>
    </w:p>
    <w:p w14:paraId="4A9947B4"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2"/>
        </w:rPr>
        <w:object w:dxaOrig="1579" w:dyaOrig="340" w14:anchorId="28D66CFC">
          <v:shape id="_x0000_i4088" type="#_x0000_t75" style="width:79.25pt;height:16.95pt" o:ole="">
            <v:imagedata r:id="rId6165" o:title=""/>
          </v:shape>
          <o:OLEObject Type="Embed" ProgID="Equation.DSMT4" ShapeID="_x0000_i4088" DrawAspect="Content" ObjectID="_1791378032" r:id="rId6166"/>
        </w:object>
      </w:r>
    </w:p>
    <w:p w14:paraId="7560AD23" w14:textId="77777777" w:rsidR="00411620" w:rsidRPr="00FE433F" w:rsidRDefault="00411620" w:rsidP="00411620">
      <w:pPr>
        <w:spacing w:line="216" w:lineRule="auto"/>
        <w:rPr>
          <w:rFonts w:eastAsia="Calibri"/>
          <w:i/>
          <w:sz w:val="23"/>
          <w:szCs w:val="23"/>
        </w:rPr>
      </w:pPr>
      <w:r w:rsidRPr="00FE433F">
        <w:rPr>
          <w:rFonts w:eastAsia="Calibri"/>
          <w:i/>
          <w:sz w:val="23"/>
          <w:szCs w:val="23"/>
          <w:rtl/>
        </w:rPr>
        <w:t>و با جا</w:t>
      </w:r>
      <w:r w:rsidRPr="00FE433F">
        <w:rPr>
          <w:rFonts w:eastAsia="Calibri" w:hint="cs"/>
          <w:i/>
          <w:sz w:val="23"/>
          <w:szCs w:val="23"/>
          <w:rtl/>
        </w:rPr>
        <w:t>ی</w:t>
      </w:r>
      <w:r w:rsidRPr="00FE433F">
        <w:rPr>
          <w:rFonts w:eastAsia="Calibri" w:hint="eastAsia"/>
          <w:i/>
          <w:sz w:val="23"/>
          <w:szCs w:val="23"/>
          <w:rtl/>
        </w:rPr>
        <w:t>گ</w:t>
      </w:r>
      <w:r w:rsidRPr="00FE433F">
        <w:rPr>
          <w:rFonts w:eastAsia="Calibri" w:hint="cs"/>
          <w:i/>
          <w:sz w:val="23"/>
          <w:szCs w:val="23"/>
          <w:rtl/>
        </w:rPr>
        <w:t>ز</w:t>
      </w:r>
      <w:r w:rsidRPr="00FE433F">
        <w:rPr>
          <w:rFonts w:eastAsia="Calibri" w:hint="eastAsia"/>
          <w:i/>
          <w:sz w:val="23"/>
          <w:szCs w:val="23"/>
          <w:rtl/>
        </w:rPr>
        <w:t>ار</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رابطه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اول از شرا</w:t>
      </w:r>
      <w:r w:rsidRPr="00FE433F">
        <w:rPr>
          <w:rFonts w:eastAsia="Calibri" w:hint="cs"/>
          <w:i/>
          <w:sz w:val="23"/>
          <w:szCs w:val="23"/>
          <w:rtl/>
        </w:rPr>
        <w:t>ی</w:t>
      </w:r>
      <w:r w:rsidRPr="00FE433F">
        <w:rPr>
          <w:rFonts w:eastAsia="Calibri" w:hint="eastAsia"/>
          <w:i/>
          <w:sz w:val="23"/>
          <w:szCs w:val="23"/>
          <w:rtl/>
        </w:rPr>
        <w:t>ط</w:t>
      </w:r>
      <w:r w:rsidRPr="00FE433F">
        <w:rPr>
          <w:rFonts w:eastAsia="Calibri"/>
          <w:i/>
          <w:sz w:val="23"/>
          <w:szCs w:val="23"/>
          <w:rtl/>
        </w:rPr>
        <w:t xml:space="preserve"> مرتبه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اول برا</w:t>
      </w:r>
      <w:r w:rsidRPr="00FE433F">
        <w:rPr>
          <w:rFonts w:eastAsia="Calibri" w:hint="cs"/>
          <w:i/>
          <w:sz w:val="23"/>
          <w:szCs w:val="23"/>
          <w:rtl/>
        </w:rPr>
        <w:t>ی</w:t>
      </w:r>
      <w:r w:rsidRPr="00FE433F">
        <w:rPr>
          <w:rFonts w:eastAsia="Calibri"/>
          <w:i/>
          <w:sz w:val="23"/>
          <w:szCs w:val="23"/>
          <w:rtl/>
        </w:rPr>
        <w:t xml:space="preserve"> </w:t>
      </w:r>
      <w:r w:rsidRPr="00FE433F">
        <w:rPr>
          <w:position w:val="-6"/>
        </w:rPr>
        <w:object w:dxaOrig="480" w:dyaOrig="260" w14:anchorId="451FC30F">
          <v:shape id="_x0000_i4089" type="#_x0000_t75" style="width:24.2pt;height:13.3pt" o:ole="">
            <v:imagedata r:id="rId6167" o:title=""/>
          </v:shape>
          <o:OLEObject Type="Embed" ProgID="Equation.DSMT4" ShapeID="_x0000_i4089" DrawAspect="Content" ObjectID="_1791378033" r:id="rId6168"/>
        </w:object>
      </w:r>
      <w:r w:rsidRPr="00FE433F">
        <w:rPr>
          <w:rFonts w:eastAsia="Calibri"/>
          <w:i/>
          <w:sz w:val="23"/>
          <w:szCs w:val="23"/>
          <w:rtl/>
        </w:rPr>
        <w:t xml:space="preserve"> دار</w:t>
      </w:r>
      <w:r w:rsidRPr="00FE433F">
        <w:rPr>
          <w:rFonts w:eastAsia="Calibri" w:hint="cs"/>
          <w:i/>
          <w:sz w:val="23"/>
          <w:szCs w:val="23"/>
          <w:rtl/>
        </w:rPr>
        <w:t>ی</w:t>
      </w:r>
      <w:r w:rsidRPr="00FE433F">
        <w:rPr>
          <w:rFonts w:eastAsia="Calibri" w:hint="eastAsia"/>
          <w:i/>
          <w:sz w:val="23"/>
          <w:szCs w:val="23"/>
          <w:rtl/>
        </w:rPr>
        <w:t>م</w:t>
      </w:r>
    </w:p>
    <w:p w14:paraId="18DF155F" w14:textId="77777777" w:rsidR="00411620" w:rsidRPr="00FE433F" w:rsidRDefault="00411620" w:rsidP="00411620">
      <w:pPr>
        <w:pStyle w:val="MTDisplayEquation"/>
        <w:tabs>
          <w:tab w:val="clear" w:pos="6660"/>
          <w:tab w:val="right" w:pos="0"/>
        </w:tabs>
        <w:spacing w:line="216" w:lineRule="auto"/>
        <w:rPr>
          <w:rFonts w:ascii="Times New Roman" w:eastAsia="Times New Roman" w:hAnsi="Times New Roman" w:cs="B Nazanin"/>
          <w:i/>
          <w:sz w:val="23"/>
          <w:szCs w:val="23"/>
          <w:rtl/>
          <w:lang w:bidi="fa-IR"/>
        </w:rPr>
      </w:pPr>
      <w:r w:rsidRPr="00FE433F">
        <w:rPr>
          <w:position w:val="-12"/>
        </w:rPr>
        <w:object w:dxaOrig="1600" w:dyaOrig="340" w14:anchorId="6E8AE32C">
          <v:shape id="_x0000_i4090" type="#_x0000_t75" style="width:79.85pt;height:16.95pt" o:ole="">
            <v:imagedata r:id="rId6169" o:title=""/>
          </v:shape>
          <o:OLEObject Type="Embed" ProgID="Equation.DSMT4" ShapeID="_x0000_i4090" DrawAspect="Content" ObjectID="_1791378034" r:id="rId6170"/>
        </w:object>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lang w:bidi="fa-IR"/>
        </w:rPr>
        <w:t>(۸. ۷)</w:t>
      </w:r>
    </w:p>
    <w:p w14:paraId="4143A884"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2"/>
        </w:rPr>
        <w:object w:dxaOrig="2560" w:dyaOrig="340" w14:anchorId="613A0F2F">
          <v:shape id="_x0000_i4091" type="#_x0000_t75" style="width:127.65pt;height:16.95pt" o:ole="">
            <v:imagedata r:id="rId6171" o:title=""/>
          </v:shape>
          <o:OLEObject Type="Embed" ProgID="Equation.DSMT4" ShapeID="_x0000_i4091" DrawAspect="Content" ObjectID="_1791378035" r:id="rId6172"/>
        </w:object>
      </w:r>
    </w:p>
    <w:p w14:paraId="5BA4A2F9" w14:textId="77777777" w:rsidR="00411620" w:rsidRPr="00FE433F" w:rsidRDefault="00411620" w:rsidP="00411620">
      <w:pPr>
        <w:spacing w:line="216" w:lineRule="auto"/>
        <w:rPr>
          <w:rFonts w:eastAsia="Calibri"/>
          <w:i/>
          <w:sz w:val="23"/>
          <w:szCs w:val="23"/>
          <w:rtl/>
        </w:rPr>
      </w:pPr>
      <w:r w:rsidRPr="00FE433F">
        <w:rPr>
          <w:rFonts w:hint="cs"/>
          <w:i/>
          <w:sz w:val="23"/>
          <w:szCs w:val="23"/>
          <w:rtl/>
        </w:rPr>
        <w:t>رابطه</w:t>
      </w:r>
      <w:r w:rsidRPr="00FE433F">
        <w:rPr>
          <w:i/>
          <w:sz w:val="23"/>
          <w:szCs w:val="23"/>
          <w:rtl/>
        </w:rPr>
        <w:softHyphen/>
      </w:r>
      <w:r w:rsidRPr="00FE433F">
        <w:rPr>
          <w:rFonts w:hint="cs"/>
          <w:i/>
          <w:sz w:val="23"/>
          <w:szCs w:val="23"/>
          <w:rtl/>
        </w:rPr>
        <w:t xml:space="preserve">ی (۸. ۷) همان تابع تقاضا برای پول است. زیرا در این رابطه </w:t>
      </w:r>
      <w:r w:rsidRPr="00FE433F">
        <w:rPr>
          <w:rFonts w:eastAsia="Calibri"/>
          <w:i/>
          <w:sz w:val="23"/>
          <w:szCs w:val="23"/>
          <w:rtl/>
        </w:rPr>
        <w:t>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w:t>
      </w:r>
      <w:r w:rsidRPr="00FE433F">
        <w:rPr>
          <w:rFonts w:eastAsia="Calibri" w:hint="eastAsia"/>
          <w:i/>
          <w:sz w:val="23"/>
          <w:szCs w:val="23"/>
          <w:rtl/>
        </w:rPr>
        <w:t>اض</w:t>
      </w:r>
      <w:r w:rsidRPr="00FE433F">
        <w:rPr>
          <w:rFonts w:eastAsia="Calibri"/>
          <w:i/>
          <w:sz w:val="23"/>
          <w:szCs w:val="23"/>
          <w:rtl/>
        </w:rPr>
        <w:t>اف</w:t>
      </w:r>
      <w:r w:rsidRPr="00FE433F">
        <w:rPr>
          <w:rFonts w:eastAsia="Calibri" w:hint="cs"/>
          <w:i/>
          <w:sz w:val="23"/>
          <w:szCs w:val="23"/>
          <w:rtl/>
        </w:rPr>
        <w:t>ی</w:t>
      </w:r>
      <w:r w:rsidRPr="00FE433F">
        <w:rPr>
          <w:rFonts w:eastAsia="Calibri"/>
          <w:i/>
          <w:sz w:val="23"/>
          <w:szCs w:val="23"/>
          <w:rtl/>
        </w:rPr>
        <w:t xml:space="preserve"> حاصل از نگهدار</w:t>
      </w:r>
      <w:r w:rsidRPr="00FE433F">
        <w:rPr>
          <w:rFonts w:eastAsia="Calibri" w:hint="cs"/>
          <w:i/>
          <w:sz w:val="23"/>
          <w:szCs w:val="23"/>
          <w:rtl/>
        </w:rPr>
        <w:t>ی</w:t>
      </w:r>
      <w:r w:rsidRPr="00FE433F">
        <w:rPr>
          <w:rFonts w:eastAsia="Calibri"/>
          <w:i/>
          <w:sz w:val="23"/>
          <w:szCs w:val="23"/>
          <w:rtl/>
        </w:rPr>
        <w:t xml:space="preserve"> پول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در ابتدا</w:t>
      </w:r>
      <w:r w:rsidRPr="00FE433F">
        <w:rPr>
          <w:rFonts w:eastAsia="Calibri" w:hint="cs"/>
          <w:i/>
          <w:sz w:val="23"/>
          <w:szCs w:val="23"/>
          <w:rtl/>
        </w:rPr>
        <w:t>ی</w:t>
      </w:r>
      <w:r w:rsidRPr="00FE433F">
        <w:rPr>
          <w:rFonts w:eastAsia="Calibri"/>
          <w:i/>
          <w:sz w:val="23"/>
          <w:szCs w:val="23"/>
          <w:rtl/>
        </w:rPr>
        <w:t xml:space="preserve"> دوره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rFonts w:eastAsia="Calibri"/>
          <w:i/>
          <w:sz w:val="23"/>
          <w:szCs w:val="23"/>
        </w:rPr>
        <w:t>t+1</w:t>
      </w:r>
      <w:r w:rsidRPr="00FE433F">
        <w:rPr>
          <w:rFonts w:eastAsia="Calibri" w:hint="eastAsia"/>
          <w:i/>
          <w:sz w:val="23"/>
          <w:szCs w:val="23"/>
          <w:rtl/>
        </w:rPr>
        <w:t>،</w:t>
      </w:r>
      <w:r w:rsidRPr="00FE433F">
        <w:rPr>
          <w:rFonts w:eastAsia="Calibri"/>
          <w:i/>
          <w:sz w:val="23"/>
          <w:szCs w:val="23"/>
          <w:rtl/>
        </w:rPr>
        <w:t xml:space="preserve"> بواسطه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هز</w:t>
      </w:r>
      <w:r w:rsidRPr="00FE433F">
        <w:rPr>
          <w:rFonts w:eastAsia="Calibri" w:hint="cs"/>
          <w:i/>
          <w:sz w:val="23"/>
          <w:szCs w:val="23"/>
          <w:rtl/>
        </w:rPr>
        <w:t>ی</w:t>
      </w:r>
      <w:r w:rsidRPr="00FE433F">
        <w:rPr>
          <w:rFonts w:eastAsia="Calibri" w:hint="eastAsia"/>
          <w:i/>
          <w:sz w:val="23"/>
          <w:szCs w:val="23"/>
          <w:rtl/>
        </w:rPr>
        <w:t>نه</w:t>
      </w:r>
      <w:r w:rsidRPr="00FE433F">
        <w:rPr>
          <w:i/>
          <w:sz w:val="23"/>
          <w:szCs w:val="23"/>
          <w:rtl/>
        </w:rPr>
        <w:softHyphen/>
      </w:r>
      <w:r w:rsidRPr="00FE433F">
        <w:rPr>
          <w:rFonts w:eastAsia="Calibri" w:hint="cs"/>
          <w:i/>
          <w:sz w:val="23"/>
          <w:szCs w:val="23"/>
          <w:rtl/>
        </w:rPr>
        <w:t>ی</w:t>
      </w:r>
      <w:r w:rsidRPr="00FE433F">
        <w:rPr>
          <w:rFonts w:eastAsia="Calibri"/>
          <w:i/>
          <w:sz w:val="23"/>
          <w:szCs w:val="23"/>
          <w:rtl/>
        </w:rPr>
        <w:t xml:space="preserve"> نگهدار</w:t>
      </w:r>
      <w:r w:rsidRPr="00FE433F">
        <w:rPr>
          <w:rFonts w:eastAsia="Calibri" w:hint="cs"/>
          <w:i/>
          <w:sz w:val="23"/>
          <w:szCs w:val="23"/>
          <w:rtl/>
        </w:rPr>
        <w:t>ی</w:t>
      </w:r>
      <w:r w:rsidRPr="00FE433F">
        <w:rPr>
          <w:rFonts w:eastAsia="Calibri"/>
          <w:i/>
          <w:sz w:val="23"/>
          <w:szCs w:val="23"/>
          <w:rtl/>
        </w:rPr>
        <w:t xml:space="preserve"> پول</w:t>
      </w:r>
      <w:r w:rsidRPr="00FE433F">
        <w:rPr>
          <w:rFonts w:eastAsia="Calibri" w:hint="cs"/>
          <w:i/>
          <w:sz w:val="23"/>
          <w:szCs w:val="23"/>
          <w:rtl/>
        </w:rPr>
        <w:t>،</w:t>
      </w:r>
      <w:r w:rsidRPr="00FE433F">
        <w:rPr>
          <w:rFonts w:eastAsia="Calibri"/>
          <w:i/>
          <w:sz w:val="23"/>
          <w:szCs w:val="23"/>
          <w:rtl/>
        </w:rPr>
        <w:t xml:space="preserve"> </w:t>
      </w:r>
      <w:r w:rsidRPr="00FE433F">
        <w:rPr>
          <w:rFonts w:eastAsia="Calibri" w:hint="cs"/>
          <w:i/>
          <w:sz w:val="23"/>
          <w:szCs w:val="23"/>
          <w:rtl/>
        </w:rPr>
        <w:t>ی</w:t>
      </w:r>
      <w:r w:rsidRPr="00FE433F">
        <w:rPr>
          <w:rFonts w:eastAsia="Calibri"/>
          <w:i/>
          <w:sz w:val="23"/>
          <w:szCs w:val="23"/>
          <w:rtl/>
        </w:rPr>
        <w:t xml:space="preserve">ا کاهش </w:t>
      </w:r>
      <w:r w:rsidRPr="00FE433F">
        <w:rPr>
          <w:rFonts w:eastAsia="Calibri" w:hint="cs"/>
          <w:i/>
          <w:sz w:val="23"/>
          <w:szCs w:val="23"/>
          <w:rtl/>
        </w:rPr>
        <w:t xml:space="preserve">مطلوبیت نهایی حاصل از کاهش مصرف بدلیل کاهش </w:t>
      </w:r>
      <w:r w:rsidRPr="00FE433F">
        <w:rPr>
          <w:rFonts w:eastAsia="Calibri"/>
          <w:i/>
          <w:sz w:val="23"/>
          <w:szCs w:val="23"/>
          <w:rtl/>
        </w:rPr>
        <w:t>درآمد نرخ بهره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حاصل از نگهدار</w:t>
      </w:r>
      <w:r w:rsidRPr="00FE433F">
        <w:rPr>
          <w:rFonts w:eastAsia="Calibri" w:hint="cs"/>
          <w:i/>
          <w:sz w:val="23"/>
          <w:szCs w:val="23"/>
          <w:rtl/>
        </w:rPr>
        <w:t>ی</w:t>
      </w:r>
      <w:r w:rsidRPr="00FE433F">
        <w:rPr>
          <w:rFonts w:eastAsia="Calibri"/>
          <w:i/>
          <w:sz w:val="23"/>
          <w:szCs w:val="23"/>
          <w:rtl/>
        </w:rPr>
        <w:t xml:space="preserve"> پول</w:t>
      </w:r>
      <w:r w:rsidRPr="00FE433F">
        <w:rPr>
          <w:rFonts w:eastAsia="Calibri" w:hint="cs"/>
          <w:i/>
          <w:sz w:val="23"/>
          <w:szCs w:val="23"/>
          <w:rtl/>
        </w:rPr>
        <w:t>،</w:t>
      </w:r>
      <w:r w:rsidRPr="00FE433F">
        <w:rPr>
          <w:rFonts w:eastAsia="Calibri"/>
          <w:i/>
          <w:sz w:val="23"/>
          <w:szCs w:val="23"/>
          <w:rtl/>
        </w:rPr>
        <w:t xml:space="preserve"> بجا</w:t>
      </w:r>
      <w:r w:rsidRPr="00FE433F">
        <w:rPr>
          <w:rFonts w:eastAsia="Calibri" w:hint="cs"/>
          <w:i/>
          <w:sz w:val="23"/>
          <w:szCs w:val="23"/>
          <w:rtl/>
        </w:rPr>
        <w:t>ی</w:t>
      </w:r>
      <w:r w:rsidRPr="00FE433F">
        <w:rPr>
          <w:rFonts w:eastAsia="Calibri"/>
          <w:i/>
          <w:sz w:val="23"/>
          <w:szCs w:val="23"/>
          <w:rtl/>
        </w:rPr>
        <w:t xml:space="preserve"> اوراق قرضه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دولت</w:t>
      </w:r>
      <w:r w:rsidRPr="00FE433F">
        <w:rPr>
          <w:rFonts w:eastAsia="Calibri" w:hint="cs"/>
          <w:i/>
          <w:sz w:val="23"/>
          <w:szCs w:val="23"/>
          <w:rtl/>
        </w:rPr>
        <w:t>ی،</w:t>
      </w:r>
      <w:r w:rsidRPr="00FE433F">
        <w:rPr>
          <w:rFonts w:eastAsia="Calibri"/>
          <w:i/>
          <w:sz w:val="23"/>
          <w:szCs w:val="23"/>
          <w:rtl/>
        </w:rPr>
        <w:t xml:space="preserve"> </w:t>
      </w:r>
      <w:r w:rsidRPr="00FE433F">
        <w:rPr>
          <w:rFonts w:eastAsia="Calibri" w:hint="cs"/>
          <w:i/>
          <w:sz w:val="23"/>
          <w:szCs w:val="23"/>
          <w:rtl/>
        </w:rPr>
        <w:t>در زم</w:t>
      </w:r>
      <w:r w:rsidRPr="00FE433F">
        <w:rPr>
          <w:rFonts w:eastAsia="Calibri"/>
          <w:i/>
          <w:sz w:val="23"/>
          <w:szCs w:val="23"/>
          <w:rtl/>
        </w:rPr>
        <w:t xml:space="preserve">ان </w:t>
      </w:r>
      <w:r w:rsidRPr="00FE433F">
        <w:rPr>
          <w:rFonts w:eastAsia="Calibri"/>
          <w:i/>
          <w:sz w:val="23"/>
          <w:szCs w:val="23"/>
        </w:rPr>
        <w:t>t+1</w:t>
      </w:r>
      <w:r w:rsidRPr="00FE433F">
        <w:rPr>
          <w:rFonts w:eastAsia="Calibri"/>
          <w:i/>
          <w:sz w:val="23"/>
          <w:szCs w:val="23"/>
          <w:rtl/>
        </w:rPr>
        <w:t xml:space="preserve"> جبران م</w:t>
      </w:r>
      <w:r w:rsidRPr="00FE433F">
        <w:rPr>
          <w:rFonts w:eastAsia="Calibri" w:hint="cs"/>
          <w:i/>
          <w:sz w:val="23"/>
          <w:szCs w:val="23"/>
          <w:rtl/>
        </w:rPr>
        <w:t>ی‌</w:t>
      </w:r>
      <w:r w:rsidRPr="00FE433F">
        <w:rPr>
          <w:rFonts w:eastAsia="Calibri"/>
          <w:i/>
          <w:sz w:val="23"/>
          <w:szCs w:val="23"/>
          <w:rtl/>
        </w:rPr>
        <w:t xml:space="preserve">شود. </w:t>
      </w:r>
    </w:p>
    <w:p w14:paraId="560D0E30" w14:textId="77777777" w:rsidR="00411620" w:rsidRPr="00FE433F" w:rsidRDefault="00411620" w:rsidP="00411620">
      <w:pPr>
        <w:spacing w:line="216" w:lineRule="auto"/>
        <w:rPr>
          <w:rFonts w:eastAsia="Calibri"/>
          <w:i/>
          <w:sz w:val="23"/>
          <w:szCs w:val="23"/>
          <w:rtl/>
        </w:rPr>
      </w:pPr>
    </w:p>
    <w:p w14:paraId="4DE61836" w14:textId="77777777" w:rsidR="00411620" w:rsidRPr="00FE433F" w:rsidRDefault="00411620" w:rsidP="00411620">
      <w:pPr>
        <w:spacing w:line="216" w:lineRule="auto"/>
        <w:rPr>
          <w:rFonts w:eastAsia="Calibri"/>
          <w:i/>
          <w:sz w:val="23"/>
          <w:szCs w:val="23"/>
          <w:rtl/>
        </w:rPr>
      </w:pPr>
      <w:r w:rsidRPr="00FE433F">
        <w:rPr>
          <w:rFonts w:eastAsia="Calibri" w:hint="cs"/>
          <w:bCs/>
          <w:i/>
          <w:sz w:val="23"/>
          <w:szCs w:val="23"/>
          <w:rtl/>
        </w:rPr>
        <w:t>مثال:</w:t>
      </w:r>
      <w:r w:rsidRPr="00FE433F">
        <w:rPr>
          <w:rFonts w:eastAsia="Calibri" w:hint="cs"/>
          <w:i/>
          <w:sz w:val="23"/>
          <w:szCs w:val="23"/>
          <w:rtl/>
        </w:rPr>
        <w:t xml:space="preserve"> </w:t>
      </w:r>
      <w:r w:rsidRPr="00FE433F">
        <w:rPr>
          <w:rFonts w:eastAsia="Calibri"/>
          <w:i/>
          <w:sz w:val="23"/>
          <w:szCs w:val="23"/>
          <w:rtl/>
        </w:rPr>
        <w:t>جهت استخراج تابع تقاضا</w:t>
      </w:r>
      <w:r w:rsidRPr="00FE433F">
        <w:rPr>
          <w:rFonts w:eastAsia="Calibri" w:hint="cs"/>
          <w:i/>
          <w:sz w:val="23"/>
          <w:szCs w:val="23"/>
          <w:rtl/>
        </w:rPr>
        <w:t>ی</w:t>
      </w:r>
      <w:r w:rsidRPr="00FE433F">
        <w:rPr>
          <w:rFonts w:eastAsia="Calibri"/>
          <w:i/>
          <w:sz w:val="23"/>
          <w:szCs w:val="23"/>
          <w:rtl/>
        </w:rPr>
        <w:t xml:space="preserve"> پول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تابع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ز</w:t>
      </w:r>
      <w:r w:rsidRPr="00FE433F">
        <w:rPr>
          <w:rFonts w:eastAsia="Calibri" w:hint="cs"/>
          <w:i/>
          <w:sz w:val="23"/>
          <w:szCs w:val="23"/>
          <w:rtl/>
        </w:rPr>
        <w:t>ی</w:t>
      </w:r>
      <w:r w:rsidRPr="00FE433F">
        <w:rPr>
          <w:rFonts w:eastAsia="Calibri" w:hint="eastAsia"/>
          <w:i/>
          <w:sz w:val="23"/>
          <w:szCs w:val="23"/>
          <w:rtl/>
        </w:rPr>
        <w:t>ر</w:t>
      </w:r>
      <w:r w:rsidRPr="00FE433F">
        <w:rPr>
          <w:rFonts w:eastAsia="Calibri"/>
          <w:i/>
          <w:sz w:val="23"/>
          <w:szCs w:val="23"/>
          <w:rtl/>
        </w:rPr>
        <w:t xml:space="preserve"> را در نظر م</w:t>
      </w:r>
      <w:r w:rsidRPr="00FE433F">
        <w:rPr>
          <w:rFonts w:eastAsia="Calibri" w:hint="cs"/>
          <w:i/>
          <w:sz w:val="23"/>
          <w:szCs w:val="23"/>
          <w:rtl/>
        </w:rPr>
        <w:t>ی‌</w:t>
      </w:r>
      <w:r w:rsidRPr="00FE433F">
        <w:rPr>
          <w:rFonts w:eastAsia="Calibri"/>
          <w:i/>
          <w:sz w:val="23"/>
          <w:szCs w:val="23"/>
          <w:rtl/>
        </w:rPr>
        <w:t>گ</w:t>
      </w:r>
      <w:r w:rsidRPr="00FE433F">
        <w:rPr>
          <w:rFonts w:eastAsia="Calibri" w:hint="cs"/>
          <w:i/>
          <w:sz w:val="23"/>
          <w:szCs w:val="23"/>
          <w:rtl/>
        </w:rPr>
        <w:t>ی</w:t>
      </w:r>
      <w:r w:rsidRPr="00FE433F">
        <w:rPr>
          <w:rFonts w:eastAsia="Calibri" w:hint="eastAsia"/>
          <w:i/>
          <w:sz w:val="23"/>
          <w:szCs w:val="23"/>
          <w:rtl/>
        </w:rPr>
        <w:t>ر</w:t>
      </w:r>
      <w:r w:rsidRPr="00FE433F">
        <w:rPr>
          <w:rFonts w:eastAsia="Calibri" w:hint="cs"/>
          <w:i/>
          <w:sz w:val="23"/>
          <w:szCs w:val="23"/>
          <w:rtl/>
        </w:rPr>
        <w:t>ی</w:t>
      </w:r>
      <w:r w:rsidRPr="00FE433F">
        <w:rPr>
          <w:rFonts w:eastAsia="Calibri" w:hint="eastAsia"/>
          <w:i/>
          <w:sz w:val="23"/>
          <w:szCs w:val="23"/>
          <w:rtl/>
        </w:rPr>
        <w:t>م</w:t>
      </w:r>
    </w:p>
    <w:p w14:paraId="0F3BA21E"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2"/>
        </w:rPr>
        <w:object w:dxaOrig="2840" w:dyaOrig="600" w14:anchorId="0B657630">
          <v:shape id="_x0000_i4092" type="#_x0000_t75" style="width:142.2pt;height:29.65pt" o:ole="">
            <v:imagedata r:id="rId6173" o:title=""/>
          </v:shape>
          <o:OLEObject Type="Embed" ProgID="Equation.DSMT4" ShapeID="_x0000_i4092" DrawAspect="Content" ObjectID="_1791378036" r:id="rId6174"/>
        </w:object>
      </w:r>
    </w:p>
    <w:p w14:paraId="7DC70BD9"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از رابطه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i/>
          <w:sz w:val="23"/>
          <w:szCs w:val="23"/>
          <w:rtl/>
        </w:rPr>
        <w:t>(۸. ۷)</w:t>
      </w:r>
      <w:r w:rsidRPr="00FE433F">
        <w:rPr>
          <w:rFonts w:eastAsia="Calibri"/>
          <w:i/>
          <w:sz w:val="23"/>
          <w:szCs w:val="23"/>
          <w:rtl/>
        </w:rPr>
        <w:t xml:space="preserve"> خواه</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داشت</w:t>
      </w:r>
    </w:p>
    <w:p w14:paraId="581E7173"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0"/>
        </w:rPr>
        <w:object w:dxaOrig="1400" w:dyaOrig="340" w14:anchorId="4E73C96E">
          <v:shape id="_x0000_i4093" type="#_x0000_t75" style="width:70.2pt;height:16.95pt" o:ole="">
            <v:imagedata r:id="rId6175" o:title=""/>
          </v:shape>
          <o:OLEObject Type="Embed" ProgID="Equation.DSMT4" ShapeID="_x0000_i4093" DrawAspect="Content" ObjectID="_1791378037" r:id="rId6176"/>
        </w:object>
      </w:r>
    </w:p>
    <w:p w14:paraId="22F33F17"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بنابرا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Pr>
        <w:t xml:space="preserve"> </w:t>
      </w:r>
      <w:r w:rsidRPr="00FE433F">
        <w:rPr>
          <w:rFonts w:eastAsia="Calibri"/>
          <w:i/>
          <w:sz w:val="23"/>
          <w:szCs w:val="23"/>
          <w:rtl/>
        </w:rPr>
        <w:t>تابع تقاضا</w:t>
      </w:r>
      <w:r w:rsidRPr="00FE433F">
        <w:rPr>
          <w:rFonts w:eastAsia="Calibri" w:hint="cs"/>
          <w:i/>
          <w:sz w:val="23"/>
          <w:szCs w:val="23"/>
          <w:rtl/>
        </w:rPr>
        <w:t>ی</w:t>
      </w:r>
      <w:r w:rsidRPr="00FE433F">
        <w:rPr>
          <w:rFonts w:eastAsia="Calibri"/>
          <w:i/>
          <w:sz w:val="23"/>
          <w:szCs w:val="23"/>
          <w:rtl/>
        </w:rPr>
        <w:t xml:space="preserve"> پول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برابر است با</w:t>
      </w:r>
    </w:p>
    <w:p w14:paraId="68C827ED"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1860" w:dyaOrig="700" w14:anchorId="4B03716E">
          <v:shape id="_x0000_i4094" type="#_x0000_t75" style="width:92.55pt;height:35.1pt" o:ole="">
            <v:imagedata r:id="rId6177" o:title=""/>
          </v:shape>
          <o:OLEObject Type="Embed" ProgID="Equation.DSMT4" ShapeID="_x0000_i4094" DrawAspect="Content" ObjectID="_1791378038" r:id="rId6178"/>
        </w:object>
      </w:r>
    </w:p>
    <w:p w14:paraId="61B08F61" w14:textId="77777777" w:rsidR="00411620" w:rsidRPr="00FE433F" w:rsidRDefault="00411620" w:rsidP="00411620">
      <w:pPr>
        <w:spacing w:line="216" w:lineRule="auto"/>
        <w:rPr>
          <w:rFonts w:eastAsia="Calibri"/>
          <w:i/>
          <w:sz w:val="23"/>
          <w:szCs w:val="23"/>
        </w:rPr>
      </w:pPr>
      <w:r w:rsidRPr="00FE433F">
        <w:rPr>
          <w:rFonts w:eastAsia="Calibri"/>
          <w:i/>
          <w:sz w:val="23"/>
          <w:szCs w:val="23"/>
          <w:rtl/>
        </w:rPr>
        <w:t xml:space="preserve">و </w:t>
      </w:r>
      <w:r w:rsidRPr="00FE433F">
        <w:rPr>
          <w:rFonts w:eastAsia="Calibri" w:hint="cs"/>
          <w:i/>
          <w:sz w:val="23"/>
          <w:szCs w:val="23"/>
          <w:rtl/>
        </w:rPr>
        <w:t>برای ت</w:t>
      </w:r>
      <w:r w:rsidRPr="00FE433F">
        <w:rPr>
          <w:rFonts w:eastAsia="Calibri"/>
          <w:i/>
          <w:sz w:val="23"/>
          <w:szCs w:val="23"/>
          <w:rtl/>
        </w:rPr>
        <w:t>ابع تقاضا</w:t>
      </w:r>
      <w:r w:rsidRPr="00FE433F">
        <w:rPr>
          <w:rFonts w:eastAsia="Calibri" w:hint="cs"/>
          <w:i/>
          <w:sz w:val="23"/>
          <w:szCs w:val="23"/>
          <w:rtl/>
        </w:rPr>
        <w:t>ی</w:t>
      </w:r>
      <w:r w:rsidRPr="00FE433F">
        <w:rPr>
          <w:rFonts w:eastAsia="Calibri"/>
          <w:i/>
          <w:sz w:val="23"/>
          <w:szCs w:val="23"/>
          <w:rtl/>
        </w:rPr>
        <w:t xml:space="preserve"> پول </w:t>
      </w:r>
      <w:r w:rsidRPr="00FE433F">
        <w:rPr>
          <w:rFonts w:eastAsia="Calibri" w:hint="cs"/>
          <w:i/>
          <w:sz w:val="23"/>
          <w:szCs w:val="23"/>
          <w:rtl/>
        </w:rPr>
        <w:t>اسمی</w:t>
      </w:r>
      <w:r w:rsidRPr="00FE433F">
        <w:rPr>
          <w:rFonts w:eastAsia="Calibri"/>
          <w:i/>
          <w:sz w:val="23"/>
          <w:szCs w:val="23"/>
          <w:rtl/>
        </w:rPr>
        <w:t xml:space="preserve"> </w:t>
      </w:r>
      <w:r w:rsidRPr="00FE433F">
        <w:rPr>
          <w:rFonts w:eastAsia="Calibri" w:hint="cs"/>
          <w:i/>
          <w:sz w:val="23"/>
          <w:szCs w:val="23"/>
          <w:rtl/>
        </w:rPr>
        <w:t>خواهیم داشت</w:t>
      </w:r>
    </w:p>
    <w:p w14:paraId="4D7965BD" w14:textId="77777777" w:rsidR="00411620" w:rsidRPr="00FE433F" w:rsidRDefault="00411620" w:rsidP="00411620">
      <w:pPr>
        <w:bidi w:val="0"/>
        <w:spacing w:line="216" w:lineRule="auto"/>
        <w:rPr>
          <w:i/>
          <w:sz w:val="23"/>
          <w:szCs w:val="23"/>
        </w:rPr>
      </w:pPr>
      <w:r w:rsidRPr="00FE433F">
        <w:rPr>
          <w:position w:val="-28"/>
        </w:rPr>
        <w:object w:dxaOrig="2220" w:dyaOrig="700" w14:anchorId="5E235516">
          <v:shape id="_x0000_i4095" type="#_x0000_t75" style="width:110.7pt;height:35.1pt" o:ole="">
            <v:imagedata r:id="rId6179" o:title=""/>
          </v:shape>
          <o:OLEObject Type="Embed" ProgID="Equation.DSMT4" ShapeID="_x0000_i4095" DrawAspect="Content" ObjectID="_1791378039" r:id="rId6180"/>
        </w:object>
      </w:r>
      <w:r w:rsidRPr="00FE433F">
        <w:rPr>
          <w:i/>
          <w:sz w:val="23"/>
          <w:szCs w:val="23"/>
          <w:rtl/>
        </w:rPr>
        <w:tab/>
      </w:r>
      <w:r w:rsidRPr="00FE433F">
        <w:rPr>
          <w:i/>
          <w:sz w:val="23"/>
          <w:szCs w:val="23"/>
          <w:rtl/>
        </w:rPr>
        <w:tab/>
      </w:r>
      <w:r w:rsidRPr="00FE433F">
        <w:rPr>
          <w:i/>
          <w:sz w:val="23"/>
          <w:szCs w:val="23"/>
          <w:rtl/>
        </w:rPr>
        <w:tab/>
      </w:r>
      <w:r w:rsidRPr="00FE433F">
        <w:rPr>
          <w:i/>
          <w:sz w:val="23"/>
          <w:szCs w:val="23"/>
        </w:rPr>
        <w:tab/>
      </w:r>
      <w:r w:rsidRPr="00FE433F">
        <w:rPr>
          <w:i/>
          <w:sz w:val="23"/>
          <w:szCs w:val="23"/>
          <w:rtl/>
        </w:rPr>
        <w:tab/>
      </w:r>
      <w:r w:rsidRPr="00FE433F">
        <w:rPr>
          <w:i/>
          <w:sz w:val="23"/>
          <w:szCs w:val="23"/>
          <w:rtl/>
        </w:rPr>
        <w:tab/>
      </w:r>
      <w:r w:rsidRPr="00FE433F">
        <w:rPr>
          <w:i/>
          <w:sz w:val="23"/>
          <w:szCs w:val="23"/>
          <w:rtl/>
        </w:rPr>
        <w:tab/>
      </w:r>
      <w:r>
        <w:rPr>
          <w:i/>
          <w:sz w:val="23"/>
          <w:szCs w:val="23"/>
          <w:rtl/>
        </w:rPr>
        <w:tab/>
      </w:r>
      <w:r>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t>(۸. ۸)</w:t>
      </w:r>
    </w:p>
    <w:p w14:paraId="4540D3E9"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بنابرا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با</w:t>
      </w:r>
      <w:r w:rsidRPr="00FE433F">
        <w:rPr>
          <w:rFonts w:eastAsia="Calibri"/>
          <w:i/>
          <w:sz w:val="23"/>
          <w:szCs w:val="23"/>
          <w:rtl/>
        </w:rPr>
        <w:t xml:space="preserve"> </w:t>
      </w:r>
      <w:r w:rsidRPr="00FE433F">
        <w:rPr>
          <w:rFonts w:eastAsia="Calibri" w:hint="eastAsia"/>
          <w:i/>
          <w:sz w:val="23"/>
          <w:szCs w:val="23"/>
          <w:rtl/>
        </w:rPr>
        <w:t>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i/>
          <w:sz w:val="23"/>
          <w:szCs w:val="23"/>
          <w:rtl/>
        </w:rPr>
        <w:t xml:space="preserve"> </w:t>
      </w:r>
      <w:r w:rsidRPr="00FE433F">
        <w:rPr>
          <w:rFonts w:eastAsia="Calibri" w:hint="eastAsia"/>
          <w:i/>
          <w:sz w:val="23"/>
          <w:szCs w:val="23"/>
          <w:rtl/>
        </w:rPr>
        <w:t>نرخ</w:t>
      </w:r>
      <w:r w:rsidRPr="00FE433F">
        <w:rPr>
          <w:rFonts w:eastAsia="Calibri"/>
          <w:i/>
          <w:sz w:val="23"/>
          <w:szCs w:val="23"/>
          <w:rtl/>
        </w:rPr>
        <w:t xml:space="preserve"> </w:t>
      </w:r>
      <w:r w:rsidRPr="00FE433F">
        <w:rPr>
          <w:rFonts w:eastAsia="Calibri" w:hint="eastAsia"/>
          <w:i/>
          <w:sz w:val="23"/>
          <w:szCs w:val="23"/>
          <w:rtl/>
        </w:rPr>
        <w:t>بهره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اسم</w:t>
      </w:r>
      <w:r w:rsidRPr="00FE433F">
        <w:rPr>
          <w:rFonts w:eastAsia="Calibri" w:hint="cs"/>
          <w:i/>
          <w:sz w:val="23"/>
          <w:szCs w:val="23"/>
          <w:rtl/>
        </w:rPr>
        <w:t>ی</w:t>
      </w:r>
      <w:r w:rsidRPr="00FE433F">
        <w:rPr>
          <w:position w:val="-10"/>
        </w:rPr>
        <w:object w:dxaOrig="279" w:dyaOrig="320" w14:anchorId="0C841BD1">
          <v:shape id="_x0000_i4096" type="#_x0000_t75" style="width:13.9pt;height:16.35pt" o:ole="">
            <v:imagedata r:id="rId6181" o:title=""/>
          </v:shape>
          <o:OLEObject Type="Embed" ProgID="Equation.DSMT4" ShapeID="_x0000_i4096" DrawAspect="Content" ObjectID="_1791378040" r:id="rId6182"/>
        </w:object>
      </w:r>
      <w:r w:rsidRPr="00FE433F">
        <w:rPr>
          <w:rFonts w:hint="cs"/>
          <w:i/>
          <w:sz w:val="23"/>
          <w:szCs w:val="23"/>
          <w:rtl/>
        </w:rPr>
        <w:t>،</w:t>
      </w:r>
      <w:r w:rsidRPr="00FE433F">
        <w:rPr>
          <w:rFonts w:eastAsia="Calibri"/>
          <w:i/>
          <w:sz w:val="23"/>
          <w:szCs w:val="23"/>
          <w:rtl/>
        </w:rPr>
        <w:t xml:space="preserve"> تقاضا برا</w:t>
      </w:r>
      <w:r w:rsidRPr="00FE433F">
        <w:rPr>
          <w:rFonts w:eastAsia="Calibri" w:hint="cs"/>
          <w:i/>
          <w:sz w:val="23"/>
          <w:szCs w:val="23"/>
          <w:rtl/>
        </w:rPr>
        <w:t>ی</w:t>
      </w:r>
      <w:r w:rsidRPr="00FE433F">
        <w:rPr>
          <w:rFonts w:eastAsia="Calibri"/>
          <w:i/>
          <w:sz w:val="23"/>
          <w:szCs w:val="23"/>
          <w:rtl/>
        </w:rPr>
        <w:t xml:space="preserve"> پول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hint="eastAsia"/>
          <w:i/>
          <w:sz w:val="23"/>
          <w:szCs w:val="23"/>
          <w:rtl/>
        </w:rPr>
        <w:t>،</w:t>
      </w:r>
      <w:r w:rsidRPr="00FE433F">
        <w:rPr>
          <w:rFonts w:eastAsia="Calibri"/>
          <w:i/>
          <w:sz w:val="23"/>
          <w:szCs w:val="23"/>
          <w:rtl/>
        </w:rPr>
        <w:t xml:space="preserve"> و </w:t>
      </w:r>
      <w:r w:rsidRPr="00FE433F">
        <w:rPr>
          <w:rFonts w:eastAsia="Calibri" w:hint="eastAsia"/>
          <w:i/>
          <w:sz w:val="23"/>
          <w:szCs w:val="23"/>
          <w:rtl/>
        </w:rPr>
        <w:t>تقاضا</w:t>
      </w:r>
      <w:r w:rsidRPr="00FE433F">
        <w:rPr>
          <w:rFonts w:eastAsia="Calibri"/>
          <w:i/>
          <w:sz w:val="23"/>
          <w:szCs w:val="23"/>
          <w:rtl/>
        </w:rPr>
        <w:t xml:space="preserve"> برا</w:t>
      </w:r>
      <w:r w:rsidRPr="00FE433F">
        <w:rPr>
          <w:rFonts w:eastAsia="Calibri" w:hint="cs"/>
          <w:i/>
          <w:sz w:val="23"/>
          <w:szCs w:val="23"/>
          <w:rtl/>
        </w:rPr>
        <w:t>ی</w:t>
      </w:r>
      <w:r w:rsidRPr="00FE433F">
        <w:rPr>
          <w:rFonts w:eastAsia="Calibri"/>
          <w:i/>
          <w:sz w:val="23"/>
          <w:szCs w:val="23"/>
          <w:rtl/>
        </w:rPr>
        <w:t xml:space="preserve"> پول اسم</w:t>
      </w:r>
      <w:r w:rsidRPr="00FE433F">
        <w:rPr>
          <w:rFonts w:eastAsia="Calibri" w:hint="cs"/>
          <w:i/>
          <w:sz w:val="23"/>
          <w:szCs w:val="23"/>
          <w:rtl/>
        </w:rPr>
        <w:t>ی</w:t>
      </w:r>
      <w:r w:rsidRPr="00FE433F">
        <w:rPr>
          <w:rFonts w:eastAsia="Calibri"/>
          <w:i/>
          <w:sz w:val="23"/>
          <w:szCs w:val="23"/>
          <w:rtl/>
        </w:rPr>
        <w:t xml:space="preserve"> کاهش خواهد</w:t>
      </w:r>
      <w:r w:rsidRPr="00FE433F">
        <w:rPr>
          <w:rFonts w:eastAsia="Calibri" w:hint="eastAsia"/>
          <w:i/>
          <w:sz w:val="23"/>
          <w:szCs w:val="23"/>
        </w:rPr>
        <w:t>‌</w:t>
      </w:r>
      <w:r w:rsidRPr="00FE433F">
        <w:rPr>
          <w:rFonts w:eastAsia="Calibri"/>
          <w:i/>
          <w:sz w:val="23"/>
          <w:szCs w:val="23"/>
          <w:rtl/>
        </w:rPr>
        <w:t xml:space="preserve"> </w:t>
      </w:r>
      <w:r w:rsidRPr="00FE433F">
        <w:rPr>
          <w:rFonts w:eastAsia="Calibri" w:hint="cs"/>
          <w:i/>
          <w:sz w:val="23"/>
          <w:szCs w:val="23"/>
          <w:rtl/>
        </w:rPr>
        <w:t>ی</w:t>
      </w:r>
      <w:r w:rsidRPr="00FE433F">
        <w:rPr>
          <w:rFonts w:eastAsia="Calibri"/>
          <w:i/>
          <w:sz w:val="23"/>
          <w:szCs w:val="23"/>
          <w:rtl/>
        </w:rPr>
        <w:t>افت. همان</w:t>
      </w:r>
      <w:r w:rsidRPr="00FE433F">
        <w:rPr>
          <w:i/>
          <w:sz w:val="23"/>
          <w:szCs w:val="23"/>
          <w:rtl/>
        </w:rPr>
        <w:softHyphen/>
      </w:r>
      <w:r w:rsidRPr="00FE433F">
        <w:rPr>
          <w:rFonts w:eastAsia="Calibri"/>
          <w:i/>
          <w:sz w:val="23"/>
          <w:szCs w:val="23"/>
          <w:rtl/>
        </w:rPr>
        <w:t>گونه که ملاحظه م</w:t>
      </w:r>
      <w:r w:rsidRPr="00FE433F">
        <w:rPr>
          <w:rFonts w:eastAsia="Calibri" w:hint="cs"/>
          <w:i/>
          <w:sz w:val="23"/>
          <w:szCs w:val="23"/>
          <w:rtl/>
        </w:rPr>
        <w:t>ی‌</w:t>
      </w:r>
      <w:r w:rsidRPr="00FE433F">
        <w:rPr>
          <w:rFonts w:eastAsia="Calibri"/>
          <w:i/>
          <w:sz w:val="23"/>
          <w:szCs w:val="23"/>
          <w:rtl/>
        </w:rPr>
        <w:t>شود</w:t>
      </w:r>
      <w:r w:rsidRPr="00FE433F">
        <w:rPr>
          <w:rFonts w:eastAsia="Calibri"/>
          <w:i/>
          <w:sz w:val="23"/>
          <w:szCs w:val="23"/>
        </w:rPr>
        <w:t xml:space="preserve"> </w:t>
      </w:r>
      <w:r w:rsidRPr="00FE433F">
        <w:rPr>
          <w:rFonts w:eastAsia="Calibri"/>
          <w:i/>
          <w:sz w:val="23"/>
          <w:szCs w:val="23"/>
          <w:rtl/>
        </w:rPr>
        <w:t>تابع تقاضا برا</w:t>
      </w:r>
      <w:r w:rsidRPr="00FE433F">
        <w:rPr>
          <w:rFonts w:eastAsia="Calibri" w:hint="cs"/>
          <w:i/>
          <w:sz w:val="23"/>
          <w:szCs w:val="23"/>
          <w:rtl/>
        </w:rPr>
        <w:t>ی</w:t>
      </w:r>
      <w:r w:rsidRPr="00FE433F">
        <w:rPr>
          <w:rFonts w:eastAsia="Calibri"/>
          <w:i/>
          <w:sz w:val="23"/>
          <w:szCs w:val="23"/>
          <w:rtl/>
        </w:rPr>
        <w:t xml:space="preserve"> پول اسم</w:t>
      </w:r>
      <w:r w:rsidRPr="00FE433F">
        <w:rPr>
          <w:rFonts w:eastAsia="Calibri" w:hint="cs"/>
          <w:i/>
          <w:sz w:val="23"/>
          <w:szCs w:val="23"/>
          <w:rtl/>
        </w:rPr>
        <w:t>ی</w:t>
      </w:r>
      <w:r w:rsidRPr="00FE433F">
        <w:rPr>
          <w:rFonts w:eastAsia="Calibri"/>
          <w:i/>
          <w:sz w:val="23"/>
          <w:szCs w:val="23"/>
          <w:rtl/>
        </w:rPr>
        <w:t xml:space="preserve"> در مدل </w:t>
      </w:r>
      <w:r w:rsidRPr="00FE433F">
        <w:rPr>
          <w:rFonts w:eastAsia="Calibri"/>
          <w:i/>
          <w:sz w:val="23"/>
          <w:szCs w:val="23"/>
        </w:rPr>
        <w:t>MIU</w:t>
      </w:r>
      <w:r w:rsidRPr="00FE433F">
        <w:rPr>
          <w:rFonts w:eastAsia="Calibri"/>
          <w:i/>
          <w:sz w:val="23"/>
          <w:szCs w:val="23"/>
          <w:rtl/>
        </w:rPr>
        <w:t xml:space="preserve"> با تابع تقاضا</w:t>
      </w:r>
      <w:r w:rsidRPr="00FE433F">
        <w:rPr>
          <w:rFonts w:eastAsia="Calibri" w:hint="cs"/>
          <w:i/>
          <w:sz w:val="23"/>
          <w:szCs w:val="23"/>
          <w:rtl/>
        </w:rPr>
        <w:t>ی</w:t>
      </w:r>
      <w:r w:rsidRPr="00FE433F">
        <w:rPr>
          <w:rFonts w:eastAsia="Calibri"/>
          <w:i/>
          <w:sz w:val="23"/>
          <w:szCs w:val="23"/>
          <w:rtl/>
        </w:rPr>
        <w:t xml:space="preserve"> پول اسم</w:t>
      </w:r>
      <w:r w:rsidRPr="00FE433F">
        <w:rPr>
          <w:rFonts w:eastAsia="Calibri" w:hint="cs"/>
          <w:i/>
          <w:sz w:val="23"/>
          <w:szCs w:val="23"/>
          <w:rtl/>
        </w:rPr>
        <w:t>ی</w:t>
      </w:r>
      <w:r w:rsidRPr="00FE433F">
        <w:rPr>
          <w:rFonts w:eastAsia="Calibri"/>
          <w:i/>
          <w:sz w:val="23"/>
          <w:szCs w:val="23"/>
          <w:rtl/>
        </w:rPr>
        <w:t xml:space="preserve"> در مدل </w:t>
      </w:r>
      <w:r w:rsidRPr="00FE433F">
        <w:rPr>
          <w:rFonts w:eastAsia="Calibri"/>
          <w:i/>
          <w:sz w:val="23"/>
          <w:szCs w:val="23"/>
        </w:rPr>
        <w:t>CIA</w:t>
      </w:r>
      <w:r w:rsidRPr="00FE433F">
        <w:rPr>
          <w:rFonts w:eastAsia="Calibri" w:hint="eastAsia"/>
          <w:i/>
          <w:sz w:val="23"/>
          <w:szCs w:val="23"/>
        </w:rPr>
        <w:t>‌</w:t>
      </w:r>
      <w:r w:rsidRPr="00FE433F">
        <w:rPr>
          <w:rFonts w:eastAsia="Calibri"/>
          <w:i/>
          <w:sz w:val="23"/>
          <w:szCs w:val="23"/>
          <w:rtl/>
        </w:rPr>
        <w:t xml:space="preserve"> </w:t>
      </w:r>
      <w:r w:rsidRPr="00FE433F">
        <w:rPr>
          <w:rFonts w:eastAsia="Calibri" w:hint="cs"/>
          <w:i/>
          <w:sz w:val="23"/>
          <w:szCs w:val="23"/>
          <w:rtl/>
        </w:rPr>
        <w:t>ی</w:t>
      </w:r>
      <w:r w:rsidRPr="00FE433F">
        <w:rPr>
          <w:rFonts w:eastAsia="Calibri"/>
          <w:i/>
          <w:sz w:val="23"/>
          <w:szCs w:val="23"/>
          <w:rtl/>
        </w:rPr>
        <w:t>عن</w:t>
      </w:r>
      <w:r w:rsidRPr="00FE433F">
        <w:rPr>
          <w:rFonts w:eastAsia="Calibri" w:hint="cs"/>
          <w:i/>
          <w:sz w:val="23"/>
          <w:szCs w:val="23"/>
          <w:rtl/>
        </w:rPr>
        <w:t>ی</w:t>
      </w:r>
      <w:r w:rsidRPr="00FE433F">
        <w:rPr>
          <w:rFonts w:eastAsia="Calibri"/>
          <w:i/>
          <w:sz w:val="23"/>
          <w:szCs w:val="23"/>
          <w:rtl/>
        </w:rPr>
        <w:t xml:space="preserve"> </w:t>
      </w:r>
      <w:r w:rsidRPr="00FE433F">
        <w:rPr>
          <w:position w:val="-10"/>
        </w:rPr>
        <w:object w:dxaOrig="1300" w:dyaOrig="320" w14:anchorId="432BC6D7">
          <v:shape id="_x0000_i4097" type="#_x0000_t75" style="width:64.75pt;height:16.35pt" o:ole="">
            <v:imagedata r:id="rId6183" o:title=""/>
          </v:shape>
          <o:OLEObject Type="Embed" ProgID="Equation.DSMT4" ShapeID="_x0000_i4097" DrawAspect="Content" ObjectID="_1791378041" r:id="rId6184"/>
        </w:object>
      </w:r>
      <w:r w:rsidRPr="00FE433F">
        <w:rPr>
          <w:rFonts w:eastAsia="Calibri"/>
          <w:i/>
          <w:sz w:val="23"/>
          <w:szCs w:val="23"/>
          <w:rtl/>
        </w:rPr>
        <w:t xml:space="preserve"> متفاوت است. </w:t>
      </w:r>
    </w:p>
    <w:p w14:paraId="630E59B9"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با بررس</w:t>
      </w:r>
      <w:r w:rsidRPr="00FE433F">
        <w:rPr>
          <w:rFonts w:eastAsia="Calibri" w:hint="cs"/>
          <w:i/>
          <w:sz w:val="23"/>
          <w:szCs w:val="23"/>
          <w:rtl/>
        </w:rPr>
        <w:t>ی</w:t>
      </w:r>
      <w:r w:rsidRPr="00FE433F">
        <w:rPr>
          <w:rFonts w:eastAsia="Calibri"/>
          <w:i/>
          <w:sz w:val="23"/>
          <w:szCs w:val="23"/>
          <w:rtl/>
        </w:rPr>
        <w:t xml:space="preserve"> شرا</w:t>
      </w:r>
      <w:r w:rsidRPr="00FE433F">
        <w:rPr>
          <w:rFonts w:eastAsia="Calibri" w:hint="cs"/>
          <w:i/>
          <w:sz w:val="23"/>
          <w:szCs w:val="23"/>
          <w:rtl/>
        </w:rPr>
        <w:t>ی</w:t>
      </w:r>
      <w:r w:rsidRPr="00FE433F">
        <w:rPr>
          <w:rFonts w:eastAsia="Calibri" w:hint="eastAsia"/>
          <w:i/>
          <w:sz w:val="23"/>
          <w:szCs w:val="23"/>
          <w:rtl/>
        </w:rPr>
        <w:t>ط</w:t>
      </w:r>
      <w:r w:rsidRPr="00FE433F">
        <w:rPr>
          <w:rFonts w:eastAsia="Calibri"/>
          <w:i/>
          <w:sz w:val="23"/>
          <w:szCs w:val="23"/>
          <w:rtl/>
        </w:rPr>
        <w:t xml:space="preserve"> </w:t>
      </w:r>
      <w:r w:rsidRPr="00FE433F">
        <w:rPr>
          <w:rFonts w:eastAsia="Calibri" w:hint="eastAsia"/>
          <w:i/>
          <w:sz w:val="23"/>
          <w:szCs w:val="23"/>
          <w:rtl/>
        </w:rPr>
        <w:t>مرتبه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اول مربوط به مخارج مصرف</w:t>
      </w:r>
      <w:r w:rsidRPr="00FE433F">
        <w:rPr>
          <w:rFonts w:eastAsia="Calibri" w:hint="cs"/>
          <w:i/>
          <w:sz w:val="23"/>
          <w:szCs w:val="23"/>
          <w:rtl/>
        </w:rPr>
        <w:t>ی</w:t>
      </w:r>
      <w:r w:rsidRPr="00FE433F">
        <w:rPr>
          <w:rFonts w:eastAsia="Calibri"/>
          <w:i/>
          <w:sz w:val="23"/>
          <w:szCs w:val="23"/>
          <w:rtl/>
        </w:rPr>
        <w:t xml:space="preserve"> و اوراق قرضه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دولت</w:t>
      </w:r>
      <w:r w:rsidRPr="00FE433F">
        <w:rPr>
          <w:rFonts w:eastAsia="Calibri" w:hint="cs"/>
          <w:i/>
          <w:sz w:val="23"/>
          <w:szCs w:val="23"/>
          <w:rtl/>
        </w:rPr>
        <w:t>ی</w:t>
      </w:r>
      <w:r w:rsidRPr="00FE433F">
        <w:rPr>
          <w:rFonts w:eastAsia="Calibri" w:hint="eastAsia"/>
          <w:i/>
          <w:sz w:val="23"/>
          <w:szCs w:val="23"/>
          <w:rtl/>
        </w:rPr>
        <w:t>،</w:t>
      </w:r>
      <w:r w:rsidRPr="00FE433F">
        <w:rPr>
          <w:rFonts w:eastAsia="Calibri"/>
          <w:i/>
          <w:sz w:val="23"/>
          <w:szCs w:val="23"/>
          <w:rtl/>
        </w:rPr>
        <w:t xml:space="preserve"> همان معادله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او</w:t>
      </w:r>
      <w:r w:rsidRPr="00FE433F">
        <w:rPr>
          <w:rFonts w:eastAsia="Calibri" w:hint="cs"/>
          <w:i/>
          <w:sz w:val="23"/>
          <w:szCs w:val="23"/>
          <w:rtl/>
        </w:rPr>
        <w:t>ی</w:t>
      </w:r>
      <w:r w:rsidRPr="00FE433F">
        <w:rPr>
          <w:rFonts w:eastAsia="Calibri" w:hint="eastAsia"/>
          <w:i/>
          <w:sz w:val="23"/>
          <w:szCs w:val="23"/>
          <w:rtl/>
        </w:rPr>
        <w:t>لر</w:t>
      </w:r>
      <w:r w:rsidRPr="00FE433F">
        <w:rPr>
          <w:rFonts w:eastAsia="Calibri"/>
          <w:i/>
          <w:sz w:val="23"/>
          <w:szCs w:val="23"/>
          <w:rtl/>
        </w:rPr>
        <w:t xml:space="preserve"> مدل </w:t>
      </w:r>
      <w:r w:rsidRPr="00FE433F">
        <w:rPr>
          <w:rFonts w:eastAsia="Calibri"/>
          <w:i/>
          <w:sz w:val="23"/>
          <w:szCs w:val="23"/>
        </w:rPr>
        <w:t>CIA</w:t>
      </w:r>
      <w:r w:rsidRPr="00FE433F">
        <w:rPr>
          <w:rFonts w:eastAsia="Calibri" w:hint="eastAsia"/>
          <w:i/>
          <w:sz w:val="23"/>
          <w:szCs w:val="23"/>
        </w:rPr>
        <w:t>‌</w:t>
      </w:r>
      <w:r w:rsidRPr="00FE433F">
        <w:rPr>
          <w:rFonts w:eastAsia="Calibri"/>
          <w:i/>
          <w:sz w:val="23"/>
          <w:szCs w:val="23"/>
          <w:rtl/>
        </w:rPr>
        <w:t xml:space="preserve"> </w:t>
      </w:r>
      <w:r w:rsidRPr="00FE433F">
        <w:rPr>
          <w:rFonts w:eastAsia="Calibri" w:hint="cs"/>
          <w:i/>
          <w:sz w:val="23"/>
          <w:szCs w:val="23"/>
          <w:rtl/>
        </w:rPr>
        <w:t>ی</w:t>
      </w:r>
      <w:r w:rsidRPr="00FE433F">
        <w:rPr>
          <w:rFonts w:eastAsia="Calibri"/>
          <w:i/>
          <w:sz w:val="23"/>
          <w:szCs w:val="23"/>
          <w:rtl/>
        </w:rPr>
        <w:t>عن</w:t>
      </w:r>
      <w:r w:rsidRPr="00FE433F">
        <w:rPr>
          <w:rFonts w:eastAsia="Calibri" w:hint="cs"/>
          <w:i/>
          <w:sz w:val="23"/>
          <w:szCs w:val="23"/>
          <w:rtl/>
        </w:rPr>
        <w:t>ی</w:t>
      </w:r>
      <w:r w:rsidRPr="00FE433F">
        <w:rPr>
          <w:rFonts w:eastAsia="Calibri"/>
          <w:i/>
          <w:sz w:val="23"/>
          <w:szCs w:val="23"/>
          <w:rtl/>
        </w:rPr>
        <w:t xml:space="preserve"> رابطه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i/>
          <w:sz w:val="23"/>
          <w:szCs w:val="23"/>
          <w:rtl/>
        </w:rPr>
        <w:t>(۸. ۴)</w:t>
      </w:r>
      <w:r w:rsidRPr="00FE433F">
        <w:rPr>
          <w:rFonts w:eastAsia="Calibri"/>
          <w:i/>
          <w:sz w:val="23"/>
          <w:szCs w:val="23"/>
          <w:rtl/>
        </w:rPr>
        <w:t xml:space="preserve"> را بدست خواه</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آورد. همچن</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عل</w:t>
      </w:r>
      <w:r w:rsidRPr="00FE433F">
        <w:rPr>
          <w:rFonts w:eastAsia="Calibri" w:hint="cs"/>
          <w:i/>
          <w:sz w:val="23"/>
          <w:szCs w:val="23"/>
          <w:rtl/>
        </w:rPr>
        <w:t>ی</w:t>
      </w:r>
      <w:r w:rsidRPr="00FE433F">
        <w:rPr>
          <w:rFonts w:eastAsia="Calibri" w:hint="eastAsia"/>
          <w:i/>
          <w:sz w:val="23"/>
          <w:szCs w:val="23"/>
          <w:rtl/>
        </w:rPr>
        <w:t>رغم</w:t>
      </w:r>
      <w:r w:rsidRPr="00FE433F">
        <w:rPr>
          <w:rFonts w:eastAsia="Calibri"/>
          <w:i/>
          <w:sz w:val="23"/>
          <w:szCs w:val="23"/>
          <w:rtl/>
        </w:rPr>
        <w:t xml:space="preserve"> وابستگ</w:t>
      </w:r>
      <w:r w:rsidRPr="00FE433F">
        <w:rPr>
          <w:rFonts w:eastAsia="Calibri" w:hint="cs"/>
          <w:i/>
          <w:sz w:val="23"/>
          <w:szCs w:val="23"/>
          <w:rtl/>
        </w:rPr>
        <w:t>ی</w:t>
      </w:r>
      <w:r w:rsidRPr="00FE433F">
        <w:rPr>
          <w:rFonts w:eastAsia="Calibri"/>
          <w:i/>
          <w:sz w:val="23"/>
          <w:szCs w:val="23"/>
          <w:rtl/>
        </w:rPr>
        <w:t xml:space="preserve"> تقاضا برا</w:t>
      </w:r>
      <w:r w:rsidRPr="00FE433F">
        <w:rPr>
          <w:rFonts w:eastAsia="Calibri" w:hint="cs"/>
          <w:i/>
          <w:sz w:val="23"/>
          <w:szCs w:val="23"/>
          <w:rtl/>
        </w:rPr>
        <w:t>ی</w:t>
      </w:r>
      <w:r w:rsidRPr="00FE433F">
        <w:rPr>
          <w:rFonts w:eastAsia="Calibri"/>
          <w:i/>
          <w:sz w:val="23"/>
          <w:szCs w:val="23"/>
          <w:rtl/>
        </w:rPr>
        <w:t xml:space="preserve"> پول به نرخ بهره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اسم</w:t>
      </w:r>
      <w:r w:rsidRPr="00FE433F">
        <w:rPr>
          <w:rFonts w:eastAsia="Calibri" w:hint="cs"/>
          <w:i/>
          <w:sz w:val="23"/>
          <w:szCs w:val="23"/>
          <w:rtl/>
        </w:rPr>
        <w:t>ی</w:t>
      </w:r>
      <w:r w:rsidRPr="00FE433F">
        <w:rPr>
          <w:rFonts w:eastAsia="Calibri" w:hint="eastAsia"/>
          <w:i/>
          <w:sz w:val="23"/>
          <w:szCs w:val="23"/>
          <w:rtl/>
        </w:rPr>
        <w:t>،</w:t>
      </w:r>
      <w:r w:rsidRPr="00FE433F">
        <w:rPr>
          <w:rFonts w:eastAsia="Calibri"/>
          <w:i/>
          <w:sz w:val="23"/>
          <w:szCs w:val="23"/>
          <w:rtl/>
        </w:rPr>
        <w:t xml:space="preserve"> حل بلندمدت مصرف و تقاضا برا</w:t>
      </w:r>
      <w:r w:rsidRPr="00FE433F">
        <w:rPr>
          <w:rFonts w:eastAsia="Calibri" w:hint="cs"/>
          <w:i/>
          <w:sz w:val="23"/>
          <w:szCs w:val="23"/>
          <w:rtl/>
        </w:rPr>
        <w:t>ی</w:t>
      </w:r>
      <w:r w:rsidRPr="00FE433F">
        <w:rPr>
          <w:rFonts w:eastAsia="Calibri"/>
          <w:i/>
          <w:sz w:val="23"/>
          <w:szCs w:val="23"/>
          <w:rtl/>
        </w:rPr>
        <w:t xml:space="preserve"> پول شب</w:t>
      </w:r>
      <w:r w:rsidRPr="00FE433F">
        <w:rPr>
          <w:rFonts w:eastAsia="Calibri" w:hint="cs"/>
          <w:i/>
          <w:sz w:val="23"/>
          <w:szCs w:val="23"/>
          <w:rtl/>
        </w:rPr>
        <w:t>ی</w:t>
      </w:r>
      <w:r w:rsidRPr="00FE433F">
        <w:rPr>
          <w:rFonts w:eastAsia="Calibri" w:hint="eastAsia"/>
          <w:i/>
          <w:sz w:val="23"/>
          <w:szCs w:val="23"/>
          <w:rtl/>
        </w:rPr>
        <w:t>ه</w:t>
      </w:r>
      <w:r w:rsidRPr="00FE433F">
        <w:rPr>
          <w:rFonts w:eastAsia="Calibri"/>
          <w:i/>
          <w:sz w:val="23"/>
          <w:szCs w:val="23"/>
          <w:rtl/>
        </w:rPr>
        <w:t xml:space="preserve"> مدل </w:t>
      </w:r>
      <w:r w:rsidRPr="00FE433F">
        <w:rPr>
          <w:rFonts w:eastAsia="Calibri"/>
          <w:i/>
          <w:sz w:val="23"/>
          <w:szCs w:val="23"/>
        </w:rPr>
        <w:t>CIA</w:t>
      </w:r>
      <w:r w:rsidRPr="00FE433F">
        <w:rPr>
          <w:rFonts w:eastAsia="Calibri"/>
          <w:i/>
          <w:sz w:val="23"/>
          <w:szCs w:val="23"/>
          <w:rtl/>
        </w:rPr>
        <w:t xml:space="preserve"> خواهد بود. اگر در معادله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i/>
          <w:sz w:val="23"/>
          <w:szCs w:val="23"/>
          <w:rtl/>
        </w:rPr>
        <w:t>(۸. ۸)</w:t>
      </w:r>
      <w:r w:rsidRPr="00FE433F">
        <w:rPr>
          <w:rFonts w:eastAsia="Calibri"/>
          <w:i/>
          <w:sz w:val="23"/>
          <w:szCs w:val="23"/>
          <w:rtl/>
        </w:rPr>
        <w:t xml:space="preserve"> عامل مق</w:t>
      </w:r>
      <w:r w:rsidRPr="00FE433F">
        <w:rPr>
          <w:rFonts w:eastAsia="Calibri" w:hint="cs"/>
          <w:i/>
          <w:sz w:val="23"/>
          <w:szCs w:val="23"/>
          <w:rtl/>
        </w:rPr>
        <w:t>ی</w:t>
      </w:r>
      <w:r w:rsidRPr="00FE433F">
        <w:rPr>
          <w:rFonts w:eastAsia="Calibri" w:hint="eastAsia"/>
          <w:i/>
          <w:sz w:val="23"/>
          <w:szCs w:val="23"/>
          <w:rtl/>
        </w:rPr>
        <w:t>اس</w:t>
      </w:r>
      <w:r w:rsidRPr="00FE433F">
        <w:rPr>
          <w:position w:val="-28"/>
        </w:rPr>
        <w:object w:dxaOrig="940" w:dyaOrig="700" w14:anchorId="0177FC80">
          <v:shape id="_x0000_i4098" type="#_x0000_t75" style="width:47.2pt;height:35.1pt" o:ole="">
            <v:imagedata r:id="rId6185" o:title=""/>
          </v:shape>
          <o:OLEObject Type="Embed" ProgID="Equation.DSMT4" ShapeID="_x0000_i4098" DrawAspect="Content" ObjectID="_1791378042" r:id="rId6186"/>
        </w:object>
      </w:r>
      <w:r w:rsidRPr="00FE433F">
        <w:rPr>
          <w:rFonts w:eastAsia="Calibri"/>
          <w:i/>
          <w:sz w:val="23"/>
          <w:szCs w:val="23"/>
          <w:rtl/>
        </w:rPr>
        <w:t xml:space="preserve"> کوچکتر از</w:t>
      </w:r>
      <w:r w:rsidRPr="00FE433F">
        <w:rPr>
          <w:rFonts w:eastAsia="Calibri"/>
          <w:i/>
          <w:sz w:val="23"/>
          <w:szCs w:val="23"/>
        </w:rPr>
        <w:t xml:space="preserve"> </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ک باشد</w:t>
      </w:r>
      <w:r w:rsidRPr="00FE433F">
        <w:rPr>
          <w:rFonts w:eastAsia="Calibri" w:hint="cs"/>
          <w:i/>
          <w:sz w:val="23"/>
          <w:szCs w:val="23"/>
          <w:rtl/>
        </w:rPr>
        <w:t>،</w:t>
      </w:r>
      <w:r w:rsidRPr="00FE433F">
        <w:rPr>
          <w:rFonts w:eastAsia="Calibri"/>
          <w:i/>
          <w:sz w:val="23"/>
          <w:szCs w:val="23"/>
          <w:rtl/>
        </w:rPr>
        <w:t xml:space="preserve"> آنگاه </w:t>
      </w:r>
      <w:r w:rsidRPr="00FE433F">
        <w:rPr>
          <w:rFonts w:eastAsia="Calibri" w:hint="eastAsia"/>
          <w:i/>
          <w:sz w:val="23"/>
          <w:szCs w:val="23"/>
          <w:rtl/>
        </w:rPr>
        <w:t>موجود</w:t>
      </w:r>
      <w:r w:rsidRPr="00FE433F">
        <w:rPr>
          <w:rFonts w:eastAsia="Calibri" w:hint="cs"/>
          <w:i/>
          <w:sz w:val="23"/>
          <w:szCs w:val="23"/>
          <w:rtl/>
        </w:rPr>
        <w:t>ی</w:t>
      </w:r>
      <w:r w:rsidRPr="00FE433F">
        <w:rPr>
          <w:rFonts w:eastAsia="Calibri"/>
          <w:i/>
          <w:sz w:val="23"/>
          <w:szCs w:val="23"/>
          <w:rtl/>
        </w:rPr>
        <w:t xml:space="preserve"> پول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Pr>
        <w:t xml:space="preserve"> </w:t>
      </w:r>
      <w:r w:rsidRPr="00FE433F">
        <w:rPr>
          <w:rFonts w:eastAsia="Calibri"/>
          <w:i/>
          <w:sz w:val="23"/>
          <w:szCs w:val="23"/>
          <w:rtl/>
        </w:rPr>
        <w:t xml:space="preserve">در مدل </w:t>
      </w:r>
      <w:r w:rsidRPr="00FE433F">
        <w:rPr>
          <w:rFonts w:eastAsia="Calibri"/>
          <w:i/>
          <w:sz w:val="23"/>
          <w:szCs w:val="23"/>
        </w:rPr>
        <w:t>MIU</w:t>
      </w:r>
      <w:r w:rsidRPr="00FE433F">
        <w:rPr>
          <w:rFonts w:eastAsia="Calibri"/>
          <w:i/>
          <w:sz w:val="23"/>
          <w:szCs w:val="23"/>
          <w:rtl/>
        </w:rPr>
        <w:t xml:space="preserve"> کمتر از مدل </w:t>
      </w:r>
      <w:r w:rsidRPr="00FE433F">
        <w:rPr>
          <w:rFonts w:eastAsia="Calibri"/>
          <w:i/>
          <w:sz w:val="23"/>
          <w:szCs w:val="23"/>
        </w:rPr>
        <w:t>CIA</w:t>
      </w:r>
      <w:r w:rsidRPr="00FE433F">
        <w:rPr>
          <w:rFonts w:eastAsia="Calibri"/>
          <w:i/>
          <w:sz w:val="23"/>
          <w:szCs w:val="23"/>
          <w:rtl/>
        </w:rPr>
        <w:t xml:space="preserve"> خواهد بود.</w:t>
      </w:r>
      <w:r w:rsidRPr="00FE433F">
        <w:rPr>
          <w:rFonts w:eastAsia="Calibri"/>
          <w:i/>
          <w:sz w:val="23"/>
          <w:szCs w:val="23"/>
        </w:rPr>
        <w:t xml:space="preserve"> </w:t>
      </w:r>
      <w:r w:rsidRPr="00FE433F">
        <w:rPr>
          <w:rFonts w:eastAsia="Calibri"/>
          <w:i/>
          <w:sz w:val="23"/>
          <w:szCs w:val="23"/>
          <w:rtl/>
        </w:rPr>
        <w:t>صر</w:t>
      </w:r>
      <w:r w:rsidRPr="00FE433F">
        <w:rPr>
          <w:i/>
          <w:sz w:val="23"/>
          <w:szCs w:val="23"/>
          <w:rtl/>
        </w:rPr>
        <w:t>فه</w:t>
      </w:r>
      <w:r w:rsidRPr="00FE433F">
        <w:rPr>
          <w:i/>
          <w:sz w:val="23"/>
          <w:szCs w:val="23"/>
          <w:rtl/>
        </w:rPr>
        <w:softHyphen/>
      </w:r>
      <w:r w:rsidRPr="00FE433F">
        <w:rPr>
          <w:rFonts w:eastAsia="Calibri"/>
          <w:i/>
          <w:sz w:val="23"/>
          <w:szCs w:val="23"/>
          <w:rtl/>
        </w:rPr>
        <w:t>جو</w:t>
      </w:r>
      <w:r w:rsidRPr="00FE433F">
        <w:rPr>
          <w:rFonts w:eastAsia="Calibri" w:hint="cs"/>
          <w:i/>
          <w:sz w:val="23"/>
          <w:szCs w:val="23"/>
          <w:rtl/>
        </w:rPr>
        <w:t>یی</w:t>
      </w:r>
      <w:r w:rsidRPr="00FE433F">
        <w:rPr>
          <w:rFonts w:eastAsia="Calibri"/>
          <w:i/>
          <w:sz w:val="23"/>
          <w:szCs w:val="23"/>
          <w:rtl/>
        </w:rPr>
        <w:t xml:space="preserve"> در </w:t>
      </w:r>
      <w:r w:rsidRPr="00FE433F">
        <w:rPr>
          <w:rFonts w:eastAsia="Calibri" w:hint="eastAsia"/>
          <w:i/>
          <w:sz w:val="23"/>
          <w:szCs w:val="23"/>
          <w:rtl/>
        </w:rPr>
        <w:t>موجود</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پول</w:t>
      </w:r>
      <w:r w:rsidRPr="00FE433F">
        <w:rPr>
          <w:rFonts w:eastAsia="Calibri"/>
          <w:i/>
          <w:sz w:val="23"/>
          <w:szCs w:val="23"/>
          <w:rtl/>
        </w:rPr>
        <w:t xml:space="preserve"> </w:t>
      </w:r>
      <w:r w:rsidRPr="00FE433F">
        <w:rPr>
          <w:rFonts w:eastAsia="Calibri" w:hint="eastAsia"/>
          <w:i/>
          <w:sz w:val="23"/>
          <w:szCs w:val="23"/>
          <w:rtl/>
        </w:rPr>
        <w:t>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هز</w:t>
      </w:r>
      <w:r w:rsidRPr="00FE433F">
        <w:rPr>
          <w:rFonts w:eastAsia="Calibri" w:hint="cs"/>
          <w:i/>
          <w:sz w:val="23"/>
          <w:szCs w:val="23"/>
          <w:rtl/>
        </w:rPr>
        <w:t>ی</w:t>
      </w:r>
      <w:r w:rsidRPr="00FE433F">
        <w:rPr>
          <w:rFonts w:eastAsia="Calibri" w:hint="eastAsia"/>
          <w:i/>
          <w:sz w:val="23"/>
          <w:szCs w:val="23"/>
          <w:rtl/>
        </w:rPr>
        <w:t>نه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نگهدار</w:t>
      </w:r>
      <w:r w:rsidRPr="00FE433F">
        <w:rPr>
          <w:rFonts w:eastAsia="Calibri" w:hint="cs"/>
          <w:i/>
          <w:sz w:val="23"/>
          <w:szCs w:val="23"/>
          <w:rtl/>
        </w:rPr>
        <w:t>ی</w:t>
      </w:r>
      <w:r w:rsidRPr="00FE433F">
        <w:rPr>
          <w:rFonts w:eastAsia="Calibri"/>
          <w:i/>
          <w:sz w:val="23"/>
          <w:szCs w:val="23"/>
          <w:rtl/>
        </w:rPr>
        <w:t xml:space="preserve"> پول را نسبت به مدل </w:t>
      </w:r>
      <w:r w:rsidRPr="00FE433F">
        <w:rPr>
          <w:rFonts w:eastAsia="Calibri"/>
          <w:i/>
          <w:sz w:val="23"/>
          <w:szCs w:val="23"/>
        </w:rPr>
        <w:t>CIA</w:t>
      </w:r>
      <w:r w:rsidRPr="00FE433F">
        <w:rPr>
          <w:rFonts w:eastAsia="Calibri"/>
          <w:i/>
          <w:sz w:val="23"/>
          <w:szCs w:val="23"/>
          <w:rtl/>
        </w:rPr>
        <w:t xml:space="preserve"> کاهش خواهد داد.</w:t>
      </w:r>
    </w:p>
    <w:p w14:paraId="3895045F" w14:textId="77777777" w:rsidR="00411620" w:rsidRPr="00FE433F" w:rsidRDefault="00411620" w:rsidP="00411620">
      <w:pPr>
        <w:spacing w:line="216" w:lineRule="auto"/>
        <w:rPr>
          <w:rFonts w:eastAsia="Calibri"/>
          <w:i/>
          <w:sz w:val="23"/>
          <w:szCs w:val="23"/>
          <w:rtl/>
        </w:rPr>
      </w:pPr>
      <w:r w:rsidRPr="00FE433F">
        <w:rPr>
          <w:rFonts w:eastAsia="Calibri" w:hint="eastAsia"/>
          <w:i/>
          <w:sz w:val="23"/>
          <w:szCs w:val="23"/>
          <w:rtl/>
        </w:rPr>
        <w:t>از</w:t>
      </w:r>
      <w:r w:rsidRPr="00FE433F">
        <w:rPr>
          <w:rFonts w:eastAsia="Calibri"/>
          <w:i/>
          <w:sz w:val="23"/>
          <w:szCs w:val="23"/>
          <w:rtl/>
        </w:rPr>
        <w:t xml:space="preserve"> آنجا که خانوار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w:t>
      </w:r>
      <w:r w:rsidRPr="00FE433F">
        <w:rPr>
          <w:rFonts w:eastAsia="Calibri" w:hint="eastAsia"/>
          <w:i/>
          <w:sz w:val="23"/>
          <w:szCs w:val="23"/>
          <w:rtl/>
        </w:rPr>
        <w:t>تنز</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w:t>
      </w:r>
      <w:r w:rsidRPr="00FE433F">
        <w:rPr>
          <w:rFonts w:eastAsia="Calibri" w:hint="eastAsia"/>
          <w:i/>
          <w:sz w:val="23"/>
          <w:szCs w:val="23"/>
          <w:rtl/>
        </w:rPr>
        <w:t>شده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خ</w:t>
      </w:r>
      <w:r w:rsidRPr="00FE433F">
        <w:rPr>
          <w:rFonts w:eastAsia="Calibri" w:hint="eastAsia"/>
          <w:i/>
          <w:sz w:val="23"/>
          <w:szCs w:val="23"/>
          <w:rtl/>
        </w:rPr>
        <w:t>ود</w:t>
      </w:r>
      <w:r w:rsidRPr="00FE433F">
        <w:rPr>
          <w:rFonts w:eastAsia="Calibri"/>
          <w:i/>
          <w:sz w:val="23"/>
          <w:szCs w:val="23"/>
          <w:rtl/>
        </w:rPr>
        <w:t xml:space="preserve"> </w:t>
      </w:r>
      <w:r w:rsidRPr="00FE433F">
        <w:rPr>
          <w:rFonts w:eastAsia="Calibri" w:hint="eastAsia"/>
          <w:i/>
          <w:sz w:val="23"/>
          <w:szCs w:val="23"/>
          <w:rtl/>
        </w:rPr>
        <w:t>را</w:t>
      </w:r>
      <w:r w:rsidRPr="00FE433F">
        <w:rPr>
          <w:rFonts w:eastAsia="Calibri"/>
          <w:i/>
          <w:sz w:val="23"/>
          <w:szCs w:val="23"/>
          <w:rtl/>
        </w:rPr>
        <w:t xml:space="preserve"> </w:t>
      </w:r>
      <w:r w:rsidRPr="00FE433F">
        <w:rPr>
          <w:rFonts w:eastAsia="Calibri" w:hint="eastAsia"/>
          <w:i/>
          <w:sz w:val="23"/>
          <w:szCs w:val="23"/>
          <w:rtl/>
        </w:rPr>
        <w:t>حداکثر</w:t>
      </w:r>
      <w:r w:rsidRPr="00FE433F">
        <w:rPr>
          <w:rFonts w:eastAsia="Calibri"/>
          <w:i/>
          <w:sz w:val="23"/>
          <w:szCs w:val="23"/>
          <w:rtl/>
        </w:rPr>
        <w:t xml:space="preserve"> </w:t>
      </w:r>
      <w:r w:rsidRPr="00FE433F">
        <w:rPr>
          <w:rFonts w:eastAsia="Calibri" w:hint="eastAsia"/>
          <w:i/>
          <w:sz w:val="23"/>
          <w:szCs w:val="23"/>
          <w:rtl/>
        </w:rPr>
        <w:t>م</w:t>
      </w:r>
      <w:r w:rsidRPr="00FE433F">
        <w:rPr>
          <w:rFonts w:eastAsia="Calibri" w:hint="cs"/>
          <w:i/>
          <w:sz w:val="23"/>
          <w:szCs w:val="23"/>
          <w:rtl/>
        </w:rPr>
        <w:t>ی</w:t>
      </w:r>
      <w:r w:rsidRPr="00FE433F">
        <w:rPr>
          <w:rFonts w:eastAsia="Calibri"/>
          <w:i/>
          <w:sz w:val="23"/>
          <w:szCs w:val="23"/>
          <w:rtl/>
        </w:rPr>
        <w:softHyphen/>
      </w:r>
      <w:r w:rsidRPr="00FE433F">
        <w:rPr>
          <w:rFonts w:eastAsia="Calibri" w:hint="eastAsia"/>
          <w:i/>
          <w:sz w:val="23"/>
          <w:szCs w:val="23"/>
          <w:rtl/>
        </w:rPr>
        <w:t>کند</w:t>
      </w:r>
      <w:r w:rsidRPr="00FE433F">
        <w:rPr>
          <w:rFonts w:eastAsia="Calibri" w:hint="cs"/>
          <w:i/>
          <w:sz w:val="23"/>
          <w:szCs w:val="23"/>
          <w:rtl/>
        </w:rPr>
        <w:t>،</w:t>
      </w:r>
      <w:r w:rsidRPr="00FE433F">
        <w:rPr>
          <w:rFonts w:eastAsia="Calibri"/>
          <w:i/>
          <w:sz w:val="23"/>
          <w:szCs w:val="23"/>
          <w:rtl/>
        </w:rPr>
        <w:t xml:space="preserve"> لذا نتا</w:t>
      </w:r>
      <w:r w:rsidRPr="00FE433F">
        <w:rPr>
          <w:rFonts w:eastAsia="Calibri" w:hint="cs"/>
          <w:i/>
          <w:sz w:val="23"/>
          <w:szCs w:val="23"/>
          <w:rtl/>
        </w:rPr>
        <w:t>ی</w:t>
      </w:r>
      <w:r w:rsidRPr="00FE433F">
        <w:rPr>
          <w:rFonts w:eastAsia="Calibri" w:hint="eastAsia"/>
          <w:i/>
          <w:sz w:val="23"/>
          <w:szCs w:val="23"/>
          <w:rtl/>
        </w:rPr>
        <w:t>ج</w:t>
      </w:r>
      <w:r w:rsidRPr="00FE433F">
        <w:rPr>
          <w:rFonts w:eastAsia="Calibri"/>
          <w:i/>
          <w:sz w:val="23"/>
          <w:szCs w:val="23"/>
          <w:rtl/>
        </w:rPr>
        <w:t xml:space="preserve"> فوق را م</w:t>
      </w:r>
      <w:r w:rsidRPr="00FE433F">
        <w:rPr>
          <w:rFonts w:eastAsia="Calibri" w:hint="cs"/>
          <w:i/>
          <w:sz w:val="23"/>
          <w:szCs w:val="23"/>
          <w:rtl/>
        </w:rPr>
        <w:t>ی</w:t>
      </w:r>
      <w:r w:rsidRPr="00FE433F">
        <w:rPr>
          <w:rFonts w:eastAsia="Calibri" w:hint="eastAsia"/>
          <w:i/>
          <w:sz w:val="23"/>
          <w:szCs w:val="23"/>
        </w:rPr>
        <w:t>‌</w:t>
      </w:r>
      <w:r w:rsidRPr="00FE433F">
        <w:rPr>
          <w:rFonts w:eastAsia="Calibri"/>
          <w:i/>
          <w:sz w:val="23"/>
          <w:szCs w:val="23"/>
          <w:rtl/>
        </w:rPr>
        <w:t>توان از طر</w:t>
      </w:r>
      <w:r w:rsidRPr="00FE433F">
        <w:rPr>
          <w:rFonts w:eastAsia="Calibri" w:hint="cs"/>
          <w:i/>
          <w:sz w:val="23"/>
          <w:szCs w:val="23"/>
          <w:rtl/>
        </w:rPr>
        <w:t>ی</w:t>
      </w:r>
      <w:r w:rsidRPr="00FE433F">
        <w:rPr>
          <w:rFonts w:eastAsia="Calibri" w:hint="eastAsia"/>
          <w:i/>
          <w:sz w:val="23"/>
          <w:szCs w:val="23"/>
          <w:rtl/>
        </w:rPr>
        <w:t>ق</w:t>
      </w:r>
      <w:r w:rsidRPr="00FE433F">
        <w:rPr>
          <w:rFonts w:eastAsia="Calibri"/>
          <w:i/>
          <w:sz w:val="23"/>
          <w:szCs w:val="23"/>
          <w:rtl/>
        </w:rPr>
        <w:t xml:space="preserve"> 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i/>
          <w:sz w:val="23"/>
          <w:szCs w:val="23"/>
          <w:rtl/>
        </w:rPr>
        <w:t xml:space="preserve"> جزئ</w:t>
      </w:r>
      <w:r w:rsidRPr="00FE433F">
        <w:rPr>
          <w:rFonts w:eastAsia="Calibri" w:hint="cs"/>
          <w:i/>
          <w:sz w:val="23"/>
          <w:szCs w:val="23"/>
          <w:rtl/>
        </w:rPr>
        <w:t>ی</w:t>
      </w:r>
      <w:r w:rsidRPr="00FE433F">
        <w:rPr>
          <w:rFonts w:eastAsia="Calibri"/>
          <w:i/>
          <w:sz w:val="23"/>
          <w:szCs w:val="23"/>
          <w:rtl/>
        </w:rPr>
        <w:t xml:space="preserve"> پول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در زمان</w:t>
      </w:r>
      <w:r w:rsidRPr="00FE433F">
        <w:rPr>
          <w:position w:val="-6"/>
        </w:rPr>
        <w:object w:dxaOrig="440" w:dyaOrig="260" w14:anchorId="731E7E88">
          <v:shape id="_x0000_i4099" type="#_x0000_t75" style="width:21.8pt;height:13.3pt" o:ole="">
            <v:imagedata r:id="rId6187" o:title=""/>
          </v:shape>
          <o:OLEObject Type="Embed" ProgID="Equation.DSMT4" ShapeID="_x0000_i4099" DrawAspect="Content" ObjectID="_1791378043" r:id="rId6188"/>
        </w:object>
      </w:r>
      <w:r w:rsidRPr="00FE433F">
        <w:rPr>
          <w:rFonts w:hint="cs"/>
          <w:i/>
          <w:sz w:val="23"/>
          <w:szCs w:val="23"/>
          <w:rtl/>
        </w:rPr>
        <w:t xml:space="preserve"> </w:t>
      </w:r>
      <w:r w:rsidRPr="00FE433F">
        <w:rPr>
          <w:rFonts w:eastAsia="Calibri" w:hint="cs"/>
          <w:i/>
          <w:sz w:val="23"/>
          <w:szCs w:val="23"/>
          <w:rtl/>
        </w:rPr>
        <w:t>ی</w:t>
      </w:r>
      <w:r w:rsidRPr="00FE433F">
        <w:rPr>
          <w:rFonts w:eastAsia="Calibri" w:hint="eastAsia"/>
          <w:i/>
          <w:sz w:val="23"/>
          <w:szCs w:val="23"/>
          <w:rtl/>
        </w:rPr>
        <w:t>عن</w:t>
      </w:r>
      <w:r w:rsidRPr="00FE433F">
        <w:rPr>
          <w:rFonts w:eastAsia="Calibri" w:hint="cs"/>
          <w:i/>
          <w:sz w:val="23"/>
          <w:szCs w:val="23"/>
          <w:rtl/>
        </w:rPr>
        <w:t>ی</w:t>
      </w:r>
      <w:r w:rsidRPr="00FE433F">
        <w:rPr>
          <w:rFonts w:eastAsia="Calibri"/>
          <w:i/>
          <w:sz w:val="23"/>
          <w:szCs w:val="23"/>
          <w:rtl/>
        </w:rPr>
        <w:t xml:space="preserve"> </w:t>
      </w:r>
      <w:r w:rsidRPr="00FE433F">
        <w:rPr>
          <w:position w:val="-10"/>
        </w:rPr>
        <w:object w:dxaOrig="560" w:dyaOrig="320" w14:anchorId="73E924E9">
          <v:shape id="_x0000_i4100" type="#_x0000_t75" style="width:27.85pt;height:16.35pt" o:ole="">
            <v:imagedata r:id="rId6189" o:title=""/>
          </v:shape>
          <o:OLEObject Type="Embed" ProgID="Equation.DSMT4" ShapeID="_x0000_i4100" DrawAspect="Content" ObjectID="_1791378044" r:id="rId6190"/>
        </w:object>
      </w:r>
      <w:r w:rsidRPr="00FE433F">
        <w:rPr>
          <w:rFonts w:hint="eastAsia"/>
          <w:i/>
          <w:sz w:val="23"/>
          <w:szCs w:val="23"/>
          <w:rtl/>
        </w:rPr>
        <w:t>،</w:t>
      </w:r>
      <w:r w:rsidRPr="00FE433F">
        <w:rPr>
          <w:i/>
          <w:sz w:val="23"/>
          <w:szCs w:val="23"/>
          <w:rtl/>
        </w:rPr>
        <w:t xml:space="preserve"> </w:t>
      </w:r>
      <w:r w:rsidRPr="00FE433F">
        <w:rPr>
          <w:rFonts w:eastAsia="Calibri"/>
          <w:i/>
          <w:sz w:val="23"/>
          <w:szCs w:val="23"/>
          <w:rtl/>
        </w:rPr>
        <w:t>و ثابت بودن تغ</w:t>
      </w:r>
      <w:r w:rsidRPr="00FE433F">
        <w:rPr>
          <w:rFonts w:eastAsia="Calibri" w:hint="cs"/>
          <w:i/>
          <w:sz w:val="23"/>
          <w:szCs w:val="23"/>
          <w:rtl/>
        </w:rPr>
        <w:t>یی</w:t>
      </w:r>
      <w:r w:rsidRPr="00FE433F">
        <w:rPr>
          <w:rFonts w:eastAsia="Calibri" w:hint="eastAsia"/>
          <w:i/>
          <w:sz w:val="23"/>
          <w:szCs w:val="23"/>
          <w:rtl/>
        </w:rPr>
        <w:t>رات</w:t>
      </w:r>
      <w:r w:rsidRPr="00FE433F">
        <w:rPr>
          <w:rFonts w:eastAsia="Calibri"/>
          <w:i/>
          <w:sz w:val="23"/>
          <w:szCs w:val="23"/>
          <w:rtl/>
        </w:rPr>
        <w:t xml:space="preserve">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در زمان </w:t>
      </w:r>
      <w:r w:rsidRPr="00FE433F">
        <w:rPr>
          <w:position w:val="-6"/>
        </w:rPr>
        <w:object w:dxaOrig="440" w:dyaOrig="260" w14:anchorId="5239ED9D">
          <v:shape id="_x0000_i4101" type="#_x0000_t75" style="width:21.8pt;height:13.3pt" o:ole="">
            <v:imagedata r:id="rId6191" o:title=""/>
          </v:shape>
          <o:OLEObject Type="Embed" ProgID="Equation.DSMT4" ShapeID="_x0000_i4101" DrawAspect="Content" ObjectID="_1791378045" r:id="rId6192"/>
        </w:object>
      </w:r>
      <w:r w:rsidRPr="00FE433F">
        <w:rPr>
          <w:i/>
          <w:sz w:val="23"/>
          <w:szCs w:val="23"/>
          <w:rtl/>
        </w:rPr>
        <w:t xml:space="preserve"> </w:t>
      </w:r>
      <w:r w:rsidRPr="00FE433F">
        <w:rPr>
          <w:rFonts w:hint="eastAsia"/>
          <w:i/>
          <w:sz w:val="23"/>
          <w:szCs w:val="23"/>
          <w:rtl/>
        </w:rPr>
        <w:t>ن</w:t>
      </w:r>
      <w:r w:rsidRPr="00FE433F">
        <w:rPr>
          <w:rFonts w:hint="cs"/>
          <w:i/>
          <w:sz w:val="23"/>
          <w:szCs w:val="23"/>
          <w:rtl/>
        </w:rPr>
        <w:t>ی</w:t>
      </w:r>
      <w:r w:rsidRPr="00FE433F">
        <w:rPr>
          <w:rFonts w:hint="eastAsia"/>
          <w:i/>
          <w:sz w:val="23"/>
          <w:szCs w:val="23"/>
          <w:rtl/>
        </w:rPr>
        <w:t>ز</w:t>
      </w:r>
      <w:r w:rsidRPr="00FE433F">
        <w:rPr>
          <w:rFonts w:eastAsia="Calibri"/>
          <w:i/>
          <w:sz w:val="23"/>
          <w:szCs w:val="23"/>
          <w:rtl/>
        </w:rPr>
        <w:t xml:space="preserve"> بدست آورد. بنابرا</w:t>
      </w:r>
      <w:r w:rsidRPr="00FE433F">
        <w:rPr>
          <w:rFonts w:eastAsia="Calibri" w:hint="cs"/>
          <w:i/>
          <w:sz w:val="23"/>
          <w:szCs w:val="23"/>
          <w:rtl/>
        </w:rPr>
        <w:t>ی</w:t>
      </w:r>
      <w:r w:rsidRPr="00FE433F">
        <w:rPr>
          <w:rFonts w:eastAsia="Calibri" w:hint="eastAsia"/>
          <w:i/>
          <w:sz w:val="23"/>
          <w:szCs w:val="23"/>
          <w:rtl/>
        </w:rPr>
        <w:t>ن</w:t>
      </w:r>
    </w:p>
    <w:p w14:paraId="47D57525" w14:textId="77777777" w:rsidR="00411620" w:rsidRPr="00FE433F" w:rsidRDefault="00411620" w:rsidP="00411620">
      <w:pPr>
        <w:bidi w:val="0"/>
        <w:spacing w:line="216" w:lineRule="auto"/>
        <w:rPr>
          <w:i/>
          <w:sz w:val="23"/>
          <w:szCs w:val="23"/>
          <w:rtl/>
        </w:rPr>
      </w:pPr>
      <w:r w:rsidRPr="00FE433F">
        <w:rPr>
          <w:position w:val="-12"/>
        </w:rPr>
        <w:object w:dxaOrig="3140" w:dyaOrig="340" w14:anchorId="135D7A54">
          <v:shape id="_x0000_i4102" type="#_x0000_t75" style="width:157.3pt;height:16.95pt" o:ole="">
            <v:imagedata r:id="rId6193" o:title=""/>
          </v:shape>
          <o:OLEObject Type="Embed" ProgID="Equation.DSMT4" ShapeID="_x0000_i4102" DrawAspect="Content" ObjectID="_1791378046" r:id="rId6194"/>
        </w:object>
      </w:r>
      <w:r w:rsidRPr="00FE433F">
        <w:rPr>
          <w:i/>
          <w:sz w:val="23"/>
          <w:szCs w:val="23"/>
        </w:rPr>
        <w:t xml:space="preserve"> </w:t>
      </w:r>
    </w:p>
    <w:p w14:paraId="62FBF4F7"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منافع حاصل از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w:t>
      </w:r>
      <w:r w:rsidRPr="00FE433F">
        <w:rPr>
          <w:rFonts w:eastAsia="Calibri" w:hint="eastAsia"/>
          <w:i/>
          <w:sz w:val="23"/>
          <w:szCs w:val="23"/>
          <w:rtl/>
        </w:rPr>
        <w:t>نگهدار</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پول</w:t>
      </w:r>
      <w:r w:rsidRPr="00FE433F">
        <w:rPr>
          <w:rFonts w:eastAsia="Calibri"/>
          <w:i/>
          <w:sz w:val="23"/>
          <w:szCs w:val="23"/>
          <w:rtl/>
        </w:rPr>
        <w:t xml:space="preserve"> </w:t>
      </w:r>
      <w:r w:rsidRPr="00FE433F">
        <w:rPr>
          <w:rFonts w:eastAsia="Calibri" w:hint="eastAsia"/>
          <w:i/>
          <w:sz w:val="23"/>
          <w:szCs w:val="23"/>
          <w:rtl/>
        </w:rPr>
        <w:t>در</w:t>
      </w:r>
      <w:r w:rsidRPr="00FE433F">
        <w:rPr>
          <w:rFonts w:eastAsia="Calibri"/>
          <w:i/>
          <w:sz w:val="23"/>
          <w:szCs w:val="23"/>
          <w:rtl/>
        </w:rPr>
        <w:t xml:space="preserve"> </w:t>
      </w:r>
      <w:r w:rsidRPr="00FE433F">
        <w:rPr>
          <w:rFonts w:eastAsia="Calibri" w:hint="eastAsia"/>
          <w:i/>
          <w:sz w:val="23"/>
          <w:szCs w:val="23"/>
          <w:rtl/>
        </w:rPr>
        <w:t>زمان</w:t>
      </w:r>
      <w:r w:rsidRPr="00FE433F">
        <w:rPr>
          <w:position w:val="-6"/>
        </w:rPr>
        <w:object w:dxaOrig="440" w:dyaOrig="260" w14:anchorId="042A9746">
          <v:shape id="_x0000_i4103" type="#_x0000_t75" style="width:21.8pt;height:13.3pt" o:ole="">
            <v:imagedata r:id="rId6195" o:title=""/>
          </v:shape>
          <o:OLEObject Type="Embed" ProgID="Equation.DSMT4" ShapeID="_x0000_i4103" DrawAspect="Content" ObjectID="_1791378047" r:id="rId6196"/>
        </w:object>
      </w:r>
      <w:r w:rsidRPr="00FE433F">
        <w:rPr>
          <w:i/>
          <w:sz w:val="23"/>
          <w:szCs w:val="23"/>
          <w:rtl/>
        </w:rPr>
        <w:t xml:space="preserve"> </w:t>
      </w:r>
      <w:r w:rsidRPr="00FE433F">
        <w:rPr>
          <w:rFonts w:eastAsia="Calibri"/>
          <w:i/>
          <w:sz w:val="23"/>
          <w:szCs w:val="23"/>
          <w:rtl/>
        </w:rPr>
        <w:t>بواسطه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ز</w:t>
      </w:r>
      <w:r w:rsidRPr="00FE433F">
        <w:rPr>
          <w:rFonts w:eastAsia="Calibri" w:hint="cs"/>
          <w:i/>
          <w:sz w:val="23"/>
          <w:szCs w:val="23"/>
          <w:rtl/>
        </w:rPr>
        <w:t>ی</w:t>
      </w:r>
      <w:r w:rsidRPr="00FE433F">
        <w:rPr>
          <w:rFonts w:eastAsia="Calibri" w:hint="eastAsia"/>
          <w:i/>
          <w:sz w:val="23"/>
          <w:szCs w:val="23"/>
          <w:rtl/>
        </w:rPr>
        <w:t>ان</w:t>
      </w:r>
      <w:r w:rsidRPr="00FE433F">
        <w:rPr>
          <w:rFonts w:eastAsia="Calibri"/>
          <w:i/>
          <w:sz w:val="23"/>
          <w:szCs w:val="23"/>
          <w:rtl/>
        </w:rPr>
        <w:t xml:space="preserve"> حاصل از کاهش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مصرف در زمان </w:t>
      </w:r>
      <w:r w:rsidRPr="00FE433F">
        <w:rPr>
          <w:position w:val="-6"/>
        </w:rPr>
        <w:object w:dxaOrig="440" w:dyaOrig="260" w14:anchorId="70FA1917">
          <v:shape id="_x0000_i4104" type="#_x0000_t75" style="width:21.8pt;height:13.3pt" o:ole="">
            <v:imagedata r:id="rId6197" o:title=""/>
          </v:shape>
          <o:OLEObject Type="Embed" ProgID="Equation.DSMT4" ShapeID="_x0000_i4104" DrawAspect="Content" ObjectID="_1791378048" r:id="rId6198"/>
        </w:object>
      </w:r>
      <w:r w:rsidRPr="00FE433F">
        <w:rPr>
          <w:rFonts w:eastAsia="Calibri"/>
          <w:i/>
          <w:sz w:val="23"/>
          <w:szCs w:val="23"/>
          <w:rtl/>
        </w:rPr>
        <w:t xml:space="preserve"> جبران م</w:t>
      </w:r>
      <w:r w:rsidRPr="00FE433F">
        <w:rPr>
          <w:rFonts w:eastAsia="Calibri" w:hint="cs"/>
          <w:i/>
          <w:sz w:val="23"/>
          <w:szCs w:val="23"/>
          <w:rtl/>
        </w:rPr>
        <w:t>ی‌</w:t>
      </w:r>
      <w:r w:rsidRPr="00FE433F">
        <w:rPr>
          <w:rFonts w:eastAsia="Calibri"/>
          <w:i/>
          <w:sz w:val="23"/>
          <w:szCs w:val="23"/>
          <w:rtl/>
        </w:rPr>
        <w:t>شود. تغ</w:t>
      </w:r>
      <w:r w:rsidRPr="00FE433F">
        <w:rPr>
          <w:rFonts w:eastAsia="Calibri" w:hint="cs"/>
          <w:i/>
          <w:sz w:val="23"/>
          <w:szCs w:val="23"/>
          <w:rtl/>
        </w:rPr>
        <w:t>یی</w:t>
      </w:r>
      <w:r w:rsidRPr="00FE433F">
        <w:rPr>
          <w:rFonts w:eastAsia="Calibri" w:hint="eastAsia"/>
          <w:i/>
          <w:sz w:val="23"/>
          <w:szCs w:val="23"/>
          <w:rtl/>
        </w:rPr>
        <w:t>رات</w:t>
      </w:r>
      <w:r w:rsidRPr="00FE433F">
        <w:rPr>
          <w:rFonts w:eastAsia="Calibri"/>
          <w:i/>
          <w:sz w:val="23"/>
          <w:szCs w:val="23"/>
          <w:rtl/>
        </w:rPr>
        <w:t xml:space="preserve"> مصرف در زمان </w:t>
      </w:r>
      <w:r w:rsidRPr="00FE433F">
        <w:rPr>
          <w:position w:val="-6"/>
        </w:rPr>
        <w:object w:dxaOrig="440" w:dyaOrig="260" w14:anchorId="45A17E31">
          <v:shape id="_x0000_i4105" type="#_x0000_t75" style="width:21.8pt;height:13.3pt" o:ole="">
            <v:imagedata r:id="rId6199" o:title=""/>
          </v:shape>
          <o:OLEObject Type="Embed" ProgID="Equation.DSMT4" ShapeID="_x0000_i4105" DrawAspect="Content" ObjectID="_1791378049" r:id="rId6200"/>
        </w:object>
      </w:r>
      <w:r w:rsidRPr="00FE433F">
        <w:rPr>
          <w:rFonts w:eastAsia="Calibri"/>
          <w:i/>
          <w:sz w:val="23"/>
          <w:szCs w:val="23"/>
          <w:rtl/>
        </w:rPr>
        <w:t xml:space="preserve"> ن</w:t>
      </w:r>
      <w:r w:rsidRPr="00FE433F">
        <w:rPr>
          <w:rFonts w:eastAsia="Calibri" w:hint="cs"/>
          <w:i/>
          <w:sz w:val="23"/>
          <w:szCs w:val="23"/>
          <w:rtl/>
        </w:rPr>
        <w:t>ی</w:t>
      </w:r>
      <w:r w:rsidRPr="00FE433F">
        <w:rPr>
          <w:rFonts w:eastAsia="Calibri" w:hint="eastAsia"/>
          <w:i/>
          <w:sz w:val="23"/>
          <w:szCs w:val="23"/>
          <w:rtl/>
        </w:rPr>
        <w:t>ز</w:t>
      </w:r>
      <w:r w:rsidRPr="00FE433F">
        <w:rPr>
          <w:rFonts w:eastAsia="Calibri"/>
          <w:i/>
          <w:sz w:val="23"/>
          <w:szCs w:val="23"/>
          <w:rtl/>
        </w:rPr>
        <w:t xml:space="preserve"> برابر است با</w:t>
      </w:r>
    </w:p>
    <w:p w14:paraId="76F1907A"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30"/>
        </w:rPr>
        <w:object w:dxaOrig="1900" w:dyaOrig="680" w14:anchorId="5F72FAEF">
          <v:shape id="_x0000_i4106" type="#_x0000_t75" style="width:95pt;height:33.9pt" o:ole="">
            <v:imagedata r:id="rId6201" o:title=""/>
          </v:shape>
          <o:OLEObject Type="Embed" ProgID="Equation.DSMT4" ShapeID="_x0000_i4106" DrawAspect="Content" ObjectID="_1791378050" r:id="rId6202"/>
        </w:object>
      </w:r>
    </w:p>
    <w:p w14:paraId="2C4095FA"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از معادله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i/>
          <w:sz w:val="23"/>
          <w:szCs w:val="23"/>
          <w:rtl/>
        </w:rPr>
        <w:t>(۸. ۸)</w: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توان 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بودج</w:t>
      </w:r>
      <w:r w:rsidRPr="00FE433F">
        <w:rPr>
          <w:rFonts w:eastAsia="Calibri"/>
          <w:i/>
          <w:sz w:val="23"/>
          <w:szCs w:val="23"/>
          <w:rtl/>
        </w:rPr>
        <w:t>ه</w:t>
      </w:r>
      <w:r w:rsidRPr="00FE433F">
        <w:rPr>
          <w:rFonts w:eastAsia="Calibri" w:hint="eastAsia"/>
          <w:i/>
          <w:sz w:val="23"/>
          <w:szCs w:val="23"/>
        </w:rPr>
        <w:t>‌</w:t>
      </w:r>
      <w:r w:rsidRPr="00FE433F">
        <w:rPr>
          <w:rFonts w:eastAsia="Calibri" w:hint="cs"/>
          <w:i/>
          <w:sz w:val="23"/>
          <w:szCs w:val="23"/>
          <w:rtl/>
        </w:rPr>
        <w:t>ی</w:t>
      </w:r>
      <w:r w:rsidRPr="00FE433F">
        <w:rPr>
          <w:i/>
          <w:sz w:val="23"/>
          <w:szCs w:val="23"/>
          <w:rtl/>
        </w:rPr>
        <w:t xml:space="preserve"> دو دوره</w:t>
      </w:r>
      <w:r w:rsidRPr="00FE433F">
        <w:rPr>
          <w:i/>
          <w:sz w:val="23"/>
          <w:szCs w:val="23"/>
          <w:rtl/>
        </w:rPr>
        <w:softHyphen/>
      </w:r>
      <w:r w:rsidRPr="00FE433F">
        <w:rPr>
          <w:rFonts w:eastAsia="Calibri"/>
          <w:i/>
          <w:sz w:val="23"/>
          <w:szCs w:val="23"/>
          <w:rtl/>
        </w:rPr>
        <w:t>ا</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خانوار</w:t>
      </w:r>
      <w:r w:rsidRPr="00FE433F">
        <w:rPr>
          <w:rFonts w:eastAsia="Calibri"/>
          <w:i/>
          <w:sz w:val="23"/>
          <w:szCs w:val="23"/>
          <w:rtl/>
        </w:rPr>
        <w:t xml:space="preserve"> را بدست آورد. 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بودجه</w:t>
      </w:r>
      <w:r w:rsidRPr="00FE433F">
        <w:rPr>
          <w:rFonts w:eastAsia="Calibri"/>
          <w:i/>
          <w:sz w:val="23"/>
          <w:szCs w:val="23"/>
          <w:rtl/>
        </w:rPr>
        <w:t xml:space="preserve"> </w:t>
      </w:r>
      <w:r w:rsidRPr="00FE433F">
        <w:rPr>
          <w:rFonts w:eastAsia="Calibri" w:hint="eastAsia"/>
          <w:i/>
          <w:sz w:val="23"/>
          <w:szCs w:val="23"/>
          <w:rtl/>
        </w:rPr>
        <w:t>در</w:t>
      </w:r>
      <w:r w:rsidRPr="00FE433F">
        <w:rPr>
          <w:rFonts w:eastAsia="Calibri"/>
          <w:i/>
          <w:sz w:val="23"/>
          <w:szCs w:val="23"/>
          <w:rtl/>
        </w:rPr>
        <w:t xml:space="preserve"> </w:t>
      </w:r>
      <w:r w:rsidRPr="00FE433F">
        <w:rPr>
          <w:rFonts w:eastAsia="Calibri" w:hint="eastAsia"/>
          <w:i/>
          <w:sz w:val="23"/>
          <w:szCs w:val="23"/>
          <w:rtl/>
        </w:rPr>
        <w:t>دوره</w:t>
      </w:r>
      <w:r w:rsidRPr="00FE433F">
        <w:rPr>
          <w:i/>
          <w:sz w:val="23"/>
          <w:szCs w:val="23"/>
          <w:rtl/>
        </w:rPr>
        <w:softHyphen/>
      </w:r>
      <w:r w:rsidRPr="00FE433F">
        <w:rPr>
          <w:rFonts w:eastAsia="Calibri" w:hint="cs"/>
          <w:i/>
          <w:sz w:val="23"/>
          <w:szCs w:val="23"/>
          <w:rtl/>
        </w:rPr>
        <w:t>ی</w:t>
      </w:r>
      <w:r w:rsidRPr="00FE433F">
        <w:rPr>
          <w:rFonts w:eastAsia="Calibri"/>
          <w:i/>
          <w:sz w:val="23"/>
          <w:szCs w:val="23"/>
          <w:rtl/>
        </w:rPr>
        <w:t xml:space="preserve"> </w:t>
      </w:r>
      <w:r w:rsidRPr="00FE433F">
        <w:rPr>
          <w:position w:val="-6"/>
        </w:rPr>
        <w:object w:dxaOrig="480" w:dyaOrig="260" w14:anchorId="59119A8F">
          <v:shape id="_x0000_i4107" type="#_x0000_t75" style="width:24.2pt;height:13.3pt" o:ole="">
            <v:imagedata r:id="rId6203" o:title=""/>
          </v:shape>
          <o:OLEObject Type="Embed" ProgID="Equation.DSMT4" ShapeID="_x0000_i4107" DrawAspect="Content" ObjectID="_1791378051" r:id="rId6204"/>
        </w:object>
      </w:r>
      <w:r w:rsidRPr="00FE433F">
        <w:rPr>
          <w:rFonts w:eastAsia="Calibri"/>
          <w:i/>
          <w:sz w:val="23"/>
          <w:szCs w:val="23"/>
          <w:rtl/>
        </w:rPr>
        <w:t xml:space="preserve"> برابر است با</w:t>
      </w:r>
    </w:p>
    <w:p w14:paraId="44C662D3"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2"/>
        </w:rPr>
        <w:object w:dxaOrig="6420" w:dyaOrig="360" w14:anchorId="136343D5">
          <v:shape id="_x0000_i4108" type="#_x0000_t75" style="width:321.3pt;height:18.15pt" o:ole="">
            <v:imagedata r:id="rId6205" o:title=""/>
          </v:shape>
          <o:OLEObject Type="Embed" ProgID="Equation.DSMT4" ShapeID="_x0000_i4108" DrawAspect="Content" ObjectID="_1791378052" r:id="rId6206"/>
        </w:object>
      </w:r>
    </w:p>
    <w:p w14:paraId="09CA0BAD" w14:textId="77777777" w:rsidR="00411620" w:rsidRPr="00FE433F" w:rsidRDefault="00411620" w:rsidP="00411620">
      <w:pPr>
        <w:pStyle w:val="MTDisplayEquation"/>
        <w:spacing w:line="216" w:lineRule="auto"/>
        <w:rPr>
          <w:rFonts w:ascii="Times New Roman" w:eastAsia="Times New Roman" w:hAnsi="Times New Roman" w:cs="B Nazanin"/>
          <w:i/>
          <w:sz w:val="23"/>
          <w:szCs w:val="23"/>
          <w:rtl/>
          <w:lang w:bidi="fa-IR"/>
        </w:rPr>
      </w:pPr>
      <w:r w:rsidRPr="00FE433F">
        <w:rPr>
          <w:position w:val="-28"/>
        </w:rPr>
        <w:object w:dxaOrig="5700" w:dyaOrig="620" w14:anchorId="622DFAB9">
          <v:shape id="_x0000_i4109" type="#_x0000_t75" style="width:284.95pt;height:30.85pt" o:ole="">
            <v:imagedata r:id="rId6207" o:title=""/>
          </v:shape>
          <o:OLEObject Type="Embed" ProgID="Equation.DSMT4" ShapeID="_x0000_i4109" DrawAspect="Content" ObjectID="_1791378053" r:id="rId6208"/>
        </w:object>
      </w:r>
    </w:p>
    <w:p w14:paraId="272EA937"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با جا</w:t>
      </w:r>
      <w:r w:rsidRPr="00FE433F">
        <w:rPr>
          <w:rFonts w:eastAsia="Calibri" w:hint="cs"/>
          <w:i/>
          <w:sz w:val="23"/>
          <w:szCs w:val="23"/>
          <w:rtl/>
        </w:rPr>
        <w:t>ی</w:t>
      </w:r>
      <w:r w:rsidRPr="00FE433F">
        <w:rPr>
          <w:rFonts w:eastAsia="Calibri" w:hint="eastAsia"/>
          <w:i/>
          <w:sz w:val="23"/>
          <w:szCs w:val="23"/>
          <w:rtl/>
        </w:rPr>
        <w:t>گزار</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آن</w:t>
      </w:r>
      <w:r w:rsidRPr="00FE433F">
        <w:rPr>
          <w:rFonts w:eastAsia="Calibri"/>
          <w:i/>
          <w:sz w:val="23"/>
          <w:szCs w:val="23"/>
          <w:rtl/>
        </w:rPr>
        <w:t xml:space="preserve"> </w:t>
      </w:r>
      <w:r w:rsidRPr="00FE433F">
        <w:rPr>
          <w:rFonts w:eastAsia="Calibri" w:hint="eastAsia"/>
          <w:i/>
          <w:sz w:val="23"/>
          <w:szCs w:val="23"/>
          <w:rtl/>
        </w:rPr>
        <w:t>در</w:t>
      </w:r>
      <w:r w:rsidRPr="00FE433F">
        <w:rPr>
          <w:rFonts w:eastAsia="Calibri"/>
          <w:i/>
          <w:sz w:val="23"/>
          <w:szCs w:val="23"/>
          <w:rtl/>
        </w:rPr>
        <w:t xml:space="preserve"> </w:t>
      </w:r>
      <w:r w:rsidRPr="00FE433F">
        <w:rPr>
          <w:rFonts w:eastAsia="Calibri" w:hint="eastAsia"/>
          <w:i/>
          <w:sz w:val="23"/>
          <w:szCs w:val="23"/>
          <w:rtl/>
        </w:rPr>
        <w:t>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بودجه</w:t>
      </w:r>
      <w:r w:rsidRPr="00FE433F">
        <w:rPr>
          <w:rFonts w:eastAsia="Calibri"/>
          <w:i/>
          <w:sz w:val="23"/>
          <w:szCs w:val="23"/>
          <w:rtl/>
        </w:rPr>
        <w:t xml:space="preserve"> </w:t>
      </w:r>
      <w:r w:rsidRPr="00FE433F">
        <w:rPr>
          <w:rFonts w:eastAsia="Calibri" w:hint="eastAsia"/>
          <w:i/>
          <w:sz w:val="23"/>
          <w:szCs w:val="23"/>
          <w:rtl/>
        </w:rPr>
        <w:t>در</w:t>
      </w:r>
      <w:r w:rsidRPr="00FE433F">
        <w:rPr>
          <w:rFonts w:eastAsia="Calibri"/>
          <w:i/>
          <w:sz w:val="23"/>
          <w:szCs w:val="23"/>
          <w:rtl/>
        </w:rPr>
        <w:t xml:space="preserve"> </w:t>
      </w:r>
      <w:r w:rsidRPr="00FE433F">
        <w:rPr>
          <w:rFonts w:eastAsia="Calibri" w:hint="eastAsia"/>
          <w:i/>
          <w:sz w:val="23"/>
          <w:szCs w:val="23"/>
          <w:rtl/>
        </w:rPr>
        <w:t>دوره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position w:val="-6"/>
        </w:rPr>
        <w:object w:dxaOrig="499" w:dyaOrig="260" w14:anchorId="18F87BD4">
          <v:shape id="_x0000_i4110" type="#_x0000_t75" style="width:24.8pt;height:13.3pt" o:ole="">
            <v:imagedata r:id="rId6209" o:title=""/>
          </v:shape>
          <o:OLEObject Type="Embed" ProgID="Equation.DSMT4" ShapeID="_x0000_i4110" DrawAspect="Content" ObjectID="_1791378054" r:id="rId6210"/>
        </w:object>
      </w:r>
      <w:r w:rsidRPr="00FE433F">
        <w:rPr>
          <w:rFonts w:eastAsia="Calibri"/>
          <w:i/>
          <w:sz w:val="23"/>
          <w:szCs w:val="23"/>
          <w:rtl/>
        </w:rPr>
        <w:t xml:space="preserve"> خواه</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داشت</w:t>
      </w:r>
    </w:p>
    <w:p w14:paraId="441E73C1" w14:textId="77777777" w:rsidR="00411620" w:rsidRPr="00FE433F" w:rsidRDefault="00411620" w:rsidP="00411620">
      <w:pPr>
        <w:pStyle w:val="MTDisplayEquation"/>
        <w:spacing w:line="216" w:lineRule="auto"/>
        <w:rPr>
          <w:rFonts w:ascii="Times New Roman" w:eastAsia="Times New Roman" w:hAnsi="Times New Roman" w:cs="B Nazanin"/>
          <w:i/>
          <w:sz w:val="23"/>
          <w:szCs w:val="23"/>
          <w:rtl/>
          <w:lang w:bidi="fa-IR"/>
        </w:rPr>
      </w:pPr>
      <w:r w:rsidRPr="00FE433F">
        <w:rPr>
          <w:position w:val="-12"/>
        </w:rPr>
        <w:object w:dxaOrig="5240" w:dyaOrig="360" w14:anchorId="0FB327B8">
          <v:shape id="_x0000_i4111" type="#_x0000_t75" style="width:262pt;height:18.15pt" o:ole="">
            <v:imagedata r:id="rId6211" o:title=""/>
          </v:shape>
          <o:OLEObject Type="Embed" ProgID="Equation.DSMT4" ShapeID="_x0000_i4111" DrawAspect="Content" ObjectID="_1791378055" r:id="rId6212"/>
        </w:object>
      </w:r>
    </w:p>
    <w:p w14:paraId="5F4B859C"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2"/>
        </w:rPr>
        <w:object w:dxaOrig="5679" w:dyaOrig="360" w14:anchorId="67077E0E">
          <v:shape id="_x0000_i4112" type="#_x0000_t75" style="width:283.75pt;height:18.15pt" o:ole="">
            <v:imagedata r:id="rId6213" o:title=""/>
          </v:shape>
          <o:OLEObject Type="Embed" ProgID="Equation.DSMT4" ShapeID="_x0000_i4112" DrawAspect="Content" ObjectID="_1791378056" r:id="rId6214"/>
        </w:object>
      </w:r>
    </w:p>
    <w:p w14:paraId="6F518AFC"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2"/>
        </w:rPr>
        <w:object w:dxaOrig="5800" w:dyaOrig="360" w14:anchorId="257BD27A">
          <v:shape id="_x0000_i4113" type="#_x0000_t75" style="width:289.8pt;height:18.15pt" o:ole="">
            <v:imagedata r:id="rId6215" o:title=""/>
          </v:shape>
          <o:OLEObject Type="Embed" ProgID="Equation.DSMT4" ShapeID="_x0000_i4113" DrawAspect="Content" ObjectID="_1791378057" r:id="rId6216"/>
        </w:object>
      </w:r>
    </w:p>
    <w:p w14:paraId="264DD32B"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2"/>
        </w:rPr>
        <w:object w:dxaOrig="4160" w:dyaOrig="360" w14:anchorId="1A4661AC">
          <v:shape id="_x0000_i4114" type="#_x0000_t75" style="width:208.15pt;height:18.15pt" o:ole="">
            <v:imagedata r:id="rId6217" o:title=""/>
          </v:shape>
          <o:OLEObject Type="Embed" ProgID="Equation.DSMT4" ShapeID="_x0000_i4114" DrawAspect="Content" ObjectID="_1791378058" r:id="rId6218"/>
        </w:object>
      </w:r>
    </w:p>
    <w:p w14:paraId="12AAE893"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با فرض ثابت بودن کل</w:t>
      </w:r>
      <w:r w:rsidRPr="00FE433F">
        <w:rPr>
          <w:rFonts w:eastAsia="Calibri" w:hint="cs"/>
          <w:i/>
          <w:sz w:val="23"/>
          <w:szCs w:val="23"/>
          <w:rtl/>
        </w:rPr>
        <w:t>ی</w:t>
      </w:r>
      <w:r w:rsidRPr="00FE433F">
        <w:rPr>
          <w:rFonts w:eastAsia="Calibri" w:hint="eastAsia"/>
          <w:i/>
          <w:sz w:val="23"/>
          <w:szCs w:val="23"/>
          <w:rtl/>
        </w:rPr>
        <w:t>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متغ</w:t>
      </w:r>
      <w:r w:rsidRPr="00FE433F">
        <w:rPr>
          <w:rFonts w:eastAsia="Calibri" w:hint="cs"/>
          <w:i/>
          <w:sz w:val="23"/>
          <w:szCs w:val="23"/>
          <w:rtl/>
        </w:rPr>
        <w:t>ی</w:t>
      </w:r>
      <w:r w:rsidRPr="00FE433F">
        <w:rPr>
          <w:rFonts w:eastAsia="Calibri" w:hint="eastAsia"/>
          <w:i/>
          <w:sz w:val="23"/>
          <w:szCs w:val="23"/>
          <w:rtl/>
        </w:rPr>
        <w:t>رها</w:t>
      </w:r>
      <w:r w:rsidRPr="00FE433F">
        <w:rPr>
          <w:rFonts w:eastAsia="Calibri"/>
          <w:i/>
          <w:sz w:val="23"/>
          <w:szCs w:val="23"/>
          <w:rtl/>
        </w:rPr>
        <w:t xml:space="preserve"> بجز </w:t>
      </w:r>
      <w:r w:rsidRPr="00FE433F">
        <w:rPr>
          <w:position w:val="-10"/>
        </w:rPr>
        <w:object w:dxaOrig="340" w:dyaOrig="320" w14:anchorId="191DC4AD">
          <v:shape id="_x0000_i4115" type="#_x0000_t75" style="width:16.95pt;height:16.35pt" o:ole="">
            <v:imagedata r:id="rId6219" o:title=""/>
          </v:shape>
          <o:OLEObject Type="Embed" ProgID="Equation.DSMT4" ShapeID="_x0000_i4115" DrawAspect="Content" ObjectID="_1791378059" r:id="rId6220"/>
        </w:object>
      </w:r>
      <w:r w:rsidRPr="00FE433F">
        <w:rPr>
          <w:rFonts w:eastAsia="Calibri"/>
          <w:i/>
          <w:sz w:val="23"/>
          <w:szCs w:val="23"/>
          <w:rtl/>
        </w:rPr>
        <w:t xml:space="preserve"> و </w:t>
      </w:r>
      <w:r w:rsidRPr="00FE433F">
        <w:rPr>
          <w:position w:val="-10"/>
        </w:rPr>
        <w:object w:dxaOrig="420" w:dyaOrig="320" w14:anchorId="260ED560">
          <v:shape id="_x0000_i4116" type="#_x0000_t75" style="width:20.55pt;height:16.35pt" o:ole="">
            <v:imagedata r:id="rId6221" o:title=""/>
          </v:shape>
          <o:OLEObject Type="Embed" ProgID="Equation.DSMT4" ShapeID="_x0000_i4116" DrawAspect="Content" ObjectID="_1791378060" r:id="rId6222"/>
        </w:object>
      </w:r>
      <w:r w:rsidRPr="00FE433F">
        <w:rPr>
          <w:rFonts w:eastAsia="Calibri"/>
          <w:i/>
          <w:sz w:val="23"/>
          <w:szCs w:val="23"/>
          <w:rtl/>
        </w:rPr>
        <w:t xml:space="preserve"> و با د</w:t>
      </w:r>
      <w:r w:rsidRPr="00FE433F">
        <w:rPr>
          <w:rFonts w:eastAsia="Calibri" w:hint="cs"/>
          <w:i/>
          <w:sz w:val="23"/>
          <w:szCs w:val="23"/>
          <w:rtl/>
        </w:rPr>
        <w:t>ی</w:t>
      </w:r>
      <w:r w:rsidRPr="00FE433F">
        <w:rPr>
          <w:rFonts w:eastAsia="Calibri" w:hint="eastAsia"/>
          <w:i/>
          <w:sz w:val="23"/>
          <w:szCs w:val="23"/>
          <w:rtl/>
        </w:rPr>
        <w:t>فرانس</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w:t>
      </w:r>
      <w:r w:rsidRPr="00FE433F">
        <w:rPr>
          <w:rFonts w:eastAsia="Calibri" w:hint="eastAsia"/>
          <w:i/>
          <w:sz w:val="23"/>
          <w:szCs w:val="23"/>
          <w:rtl/>
        </w:rPr>
        <w:t>جزئ</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از</w:t>
      </w:r>
      <w:r w:rsidRPr="00FE433F">
        <w:rPr>
          <w:rFonts w:eastAsia="Calibri"/>
          <w:i/>
          <w:sz w:val="23"/>
          <w:szCs w:val="23"/>
          <w:rtl/>
        </w:rPr>
        <w:t xml:space="preserve"> </w:t>
      </w:r>
      <w:r w:rsidRPr="00FE433F">
        <w:rPr>
          <w:rFonts w:eastAsia="Calibri" w:hint="eastAsia"/>
          <w:i/>
          <w:sz w:val="23"/>
          <w:szCs w:val="23"/>
          <w:rtl/>
        </w:rPr>
        <w:t>رابطه</w:t>
      </w:r>
      <w:r w:rsidRPr="00FE433F">
        <w:rPr>
          <w:rFonts w:eastAsia="Calibri"/>
          <w:i/>
          <w:sz w:val="23"/>
          <w:szCs w:val="23"/>
          <w:rtl/>
        </w:rPr>
        <w:softHyphen/>
      </w:r>
      <w:r w:rsidRPr="00FE433F">
        <w:rPr>
          <w:rFonts w:eastAsia="Calibri" w:hint="cs"/>
          <w:i/>
          <w:sz w:val="23"/>
          <w:szCs w:val="23"/>
          <w:rtl/>
        </w:rPr>
        <w:t>ی</w:t>
      </w:r>
      <w:r w:rsidRPr="00FE433F">
        <w:rPr>
          <w:i/>
          <w:sz w:val="23"/>
          <w:szCs w:val="23"/>
          <w:rtl/>
        </w:rPr>
        <w:t xml:space="preserve"> فوق </w:t>
      </w:r>
      <w:r w:rsidRPr="00FE433F">
        <w:rPr>
          <w:rFonts w:hint="cs"/>
          <w:i/>
          <w:sz w:val="23"/>
          <w:szCs w:val="23"/>
          <w:rtl/>
        </w:rPr>
        <w:t>خواهیم داشت</w:t>
      </w:r>
    </w:p>
    <w:p w14:paraId="41A8FB9C"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0"/>
        </w:rPr>
        <w:object w:dxaOrig="1660" w:dyaOrig="320" w14:anchorId="221C8404">
          <v:shape id="_x0000_i4117" type="#_x0000_t75" style="width:82.9pt;height:16.35pt" o:ole="">
            <v:imagedata r:id="rId6223" o:title=""/>
          </v:shape>
          <o:OLEObject Type="Embed" ProgID="Equation.DSMT4" ShapeID="_x0000_i4117" DrawAspect="Content" ObjectID="_1791378061" r:id="rId6224"/>
        </w:object>
      </w:r>
    </w:p>
    <w:p w14:paraId="0AC96FF5"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و چون داشت</w:t>
      </w:r>
      <w:r w:rsidRPr="00FE433F">
        <w:rPr>
          <w:rFonts w:eastAsia="Calibri" w:hint="cs"/>
          <w:i/>
          <w:sz w:val="23"/>
          <w:szCs w:val="23"/>
          <w:rtl/>
        </w:rPr>
        <w:t>ی</w:t>
      </w:r>
      <w:r w:rsidRPr="00FE433F">
        <w:rPr>
          <w:rFonts w:eastAsia="Calibri" w:hint="eastAsia"/>
          <w:i/>
          <w:sz w:val="23"/>
          <w:szCs w:val="23"/>
          <w:rtl/>
        </w:rPr>
        <w:t>م</w:t>
      </w:r>
    </w:p>
    <w:p w14:paraId="6CD8CD23"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30"/>
        </w:rPr>
        <w:object w:dxaOrig="1900" w:dyaOrig="680" w14:anchorId="3B015383">
          <v:shape id="_x0000_i4118" type="#_x0000_t75" style="width:95pt;height:33.9pt" o:ole="">
            <v:imagedata r:id="rId6225" o:title=""/>
          </v:shape>
          <o:OLEObject Type="Embed" ProgID="Equation.DSMT4" ShapeID="_x0000_i4118" DrawAspect="Content" ObjectID="_1791378062" r:id="rId6226"/>
        </w:object>
      </w:r>
    </w:p>
    <w:p w14:paraId="5442AE53"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بنابرا</w:t>
      </w:r>
      <w:r w:rsidRPr="00FE433F">
        <w:rPr>
          <w:rFonts w:eastAsia="Calibri" w:hint="cs"/>
          <w:i/>
          <w:sz w:val="23"/>
          <w:szCs w:val="23"/>
          <w:rtl/>
        </w:rPr>
        <w:t>ی</w:t>
      </w:r>
      <w:r w:rsidRPr="00FE433F">
        <w:rPr>
          <w:rFonts w:eastAsia="Calibri" w:hint="eastAsia"/>
          <w:i/>
          <w:sz w:val="23"/>
          <w:szCs w:val="23"/>
          <w:rtl/>
        </w:rPr>
        <w:t>ن</w:t>
      </w:r>
    </w:p>
    <w:p w14:paraId="1D2694AD" w14:textId="77777777" w:rsidR="00411620" w:rsidRPr="00FE433F" w:rsidRDefault="00411620" w:rsidP="00411620">
      <w:pPr>
        <w:pStyle w:val="MTDisplayEquation"/>
        <w:spacing w:line="216" w:lineRule="auto"/>
        <w:rPr>
          <w:rFonts w:ascii="Times New Roman" w:eastAsia="Times New Roman" w:hAnsi="Times New Roman" w:cs="B Nazanin"/>
          <w:i/>
          <w:sz w:val="23"/>
          <w:szCs w:val="23"/>
          <w:rtl/>
          <w:lang w:bidi="fa-IR"/>
        </w:rPr>
      </w:pPr>
      <w:r w:rsidRPr="00FE433F">
        <w:rPr>
          <w:position w:val="-12"/>
        </w:rPr>
        <w:object w:dxaOrig="1560" w:dyaOrig="340" w14:anchorId="3CED9C0F">
          <v:shape id="_x0000_i4119" type="#_x0000_t75" style="width:78.05pt;height:16.95pt" o:ole="">
            <v:imagedata r:id="rId6227" o:title=""/>
          </v:shape>
          <o:OLEObject Type="Embed" ProgID="Equation.DSMT4" ShapeID="_x0000_i4119" DrawAspect="Content" ObjectID="_1791378063" r:id="rId6228"/>
        </w:object>
      </w:r>
    </w:p>
    <w:p w14:paraId="6C226140"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که همان رابطه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i/>
          <w:sz w:val="23"/>
          <w:szCs w:val="23"/>
          <w:rtl/>
        </w:rPr>
        <w:t>(۸. ۷)</w:t>
      </w:r>
      <w:r w:rsidRPr="00FE433F">
        <w:rPr>
          <w:rFonts w:eastAsia="Calibri" w:hint="cs"/>
          <w:i/>
          <w:sz w:val="23"/>
          <w:szCs w:val="23"/>
          <w:rtl/>
        </w:rPr>
        <w:t xml:space="preserve"> است</w:t>
      </w:r>
      <w:r w:rsidRPr="00FE433F">
        <w:rPr>
          <w:rFonts w:eastAsia="Calibri"/>
          <w:i/>
          <w:sz w:val="23"/>
          <w:szCs w:val="23"/>
          <w:rtl/>
        </w:rPr>
        <w:t>.</w:t>
      </w:r>
    </w:p>
    <w:p w14:paraId="7DF9BB20" w14:textId="77777777" w:rsidR="00411620" w:rsidRPr="00FE433F" w:rsidRDefault="00411620" w:rsidP="00411620">
      <w:pPr>
        <w:spacing w:line="216" w:lineRule="auto"/>
        <w:rPr>
          <w:rFonts w:eastAsia="Calibri"/>
          <w:i/>
          <w:sz w:val="23"/>
          <w:szCs w:val="23"/>
        </w:rPr>
      </w:pPr>
      <w:r w:rsidRPr="00FE433F">
        <w:rPr>
          <w:rFonts w:eastAsia="Calibri"/>
          <w:i/>
          <w:sz w:val="23"/>
          <w:szCs w:val="23"/>
          <w:rtl/>
        </w:rPr>
        <w:t>همچن</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با</w:t>
      </w:r>
      <w:r w:rsidRPr="00FE433F">
        <w:rPr>
          <w:rFonts w:eastAsia="Calibri"/>
          <w:i/>
          <w:sz w:val="23"/>
          <w:szCs w:val="23"/>
          <w:rtl/>
        </w:rPr>
        <w:t xml:space="preserve"> </w:t>
      </w:r>
      <w:r w:rsidRPr="00FE433F">
        <w:rPr>
          <w:rFonts w:eastAsia="Calibri" w:hint="eastAsia"/>
          <w:i/>
          <w:sz w:val="23"/>
          <w:szCs w:val="23"/>
          <w:rtl/>
        </w:rPr>
        <w:t>کاهش</w:t>
      </w:r>
      <w:r w:rsidRPr="00FE433F">
        <w:rPr>
          <w:rFonts w:eastAsia="Calibri"/>
          <w:i/>
          <w:sz w:val="23"/>
          <w:szCs w:val="23"/>
          <w:rtl/>
        </w:rPr>
        <w:t xml:space="preserve"> </w:t>
      </w:r>
      <w:r w:rsidRPr="00FE433F">
        <w:rPr>
          <w:rFonts w:eastAsia="Calibri" w:hint="eastAsia"/>
          <w:i/>
          <w:sz w:val="23"/>
          <w:szCs w:val="23"/>
          <w:rtl/>
        </w:rPr>
        <w:t>جزئ</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در</w:t>
      </w:r>
      <w:r w:rsidRPr="00FE433F">
        <w:rPr>
          <w:position w:val="-10"/>
        </w:rPr>
        <w:object w:dxaOrig="200" w:dyaOrig="320" w14:anchorId="0288D2A1">
          <v:shape id="_x0000_i4120" type="#_x0000_t75" style="width:10.3pt;height:16.35pt" o:ole="">
            <v:imagedata r:id="rId6229" o:title=""/>
          </v:shape>
          <o:OLEObject Type="Embed" ProgID="Equation.DSMT4" ShapeID="_x0000_i4120" DrawAspect="Content" ObjectID="_1791378064" r:id="rId6230"/>
        </w:object>
      </w:r>
      <w:r w:rsidRPr="00FE433F">
        <w:rPr>
          <w:rFonts w:eastAsia="Calibri"/>
          <w:i/>
          <w:sz w:val="23"/>
          <w:szCs w:val="23"/>
        </w:rPr>
        <w:t xml:space="preserve"> </w:t>
      </w:r>
      <w:r w:rsidRPr="00FE433F">
        <w:rPr>
          <w:rFonts w:eastAsia="Calibri"/>
          <w:i/>
          <w:sz w:val="23"/>
          <w:szCs w:val="23"/>
          <w:rtl/>
        </w:rPr>
        <w:t>به اندازه</w:t>
      </w:r>
      <w:r w:rsidRPr="00FE433F">
        <w:rPr>
          <w:rFonts w:eastAsia="Calibri"/>
          <w:i/>
          <w:sz w:val="23"/>
          <w:szCs w:val="23"/>
          <w:rtl/>
        </w:rPr>
        <w:softHyphen/>
      </w:r>
      <w:r w:rsidRPr="00FE433F">
        <w:rPr>
          <w:rFonts w:eastAsia="Calibri" w:hint="cs"/>
          <w:i/>
          <w:sz w:val="23"/>
          <w:szCs w:val="23"/>
          <w:rtl/>
        </w:rPr>
        <w:t>ی</w:t>
      </w:r>
      <w:r w:rsidRPr="00FE433F">
        <w:rPr>
          <w:position w:val="-10"/>
        </w:rPr>
        <w:object w:dxaOrig="340" w:dyaOrig="320" w14:anchorId="56052289">
          <v:shape id="_x0000_i4121" type="#_x0000_t75" style="width:16.95pt;height:16.35pt" o:ole="">
            <v:imagedata r:id="rId6231" o:title=""/>
          </v:shape>
          <o:OLEObject Type="Embed" ProgID="Equation.DSMT4" ShapeID="_x0000_i4121" DrawAspect="Content" ObjectID="_1791378065" r:id="rId6232"/>
        </w:object>
      </w:r>
      <w:r w:rsidRPr="00FE433F">
        <w:rPr>
          <w:rFonts w:hint="cs"/>
          <w:sz w:val="23"/>
          <w:szCs w:val="23"/>
          <w:rtl/>
        </w:rPr>
        <w:t xml:space="preserve"> در زمان </w:t>
      </w:r>
      <w:r w:rsidRPr="00FE433F">
        <w:rPr>
          <w:position w:val="-6"/>
        </w:rPr>
        <w:object w:dxaOrig="139" w:dyaOrig="240" w14:anchorId="1E0AB685">
          <v:shape id="_x0000_i4122" type="#_x0000_t75" style="width:7.25pt;height:12.1pt" o:ole="">
            <v:imagedata r:id="rId6233" o:title=""/>
          </v:shape>
          <o:OLEObject Type="Embed" ProgID="Equation.DSMT4" ShapeID="_x0000_i4122" DrawAspect="Content" ObjectID="_1791378066" r:id="rId6234"/>
        </w:object>
      </w:r>
      <w:r w:rsidRPr="00FE433F">
        <w:rPr>
          <w:rFonts w:hint="cs"/>
          <w:sz w:val="23"/>
          <w:szCs w:val="23"/>
          <w:rtl/>
        </w:rPr>
        <w:t>،</w:t>
      </w:r>
      <w:r w:rsidRPr="00FE433F">
        <w:rPr>
          <w:rFonts w:eastAsia="Calibri"/>
          <w:i/>
          <w:sz w:val="23"/>
          <w:szCs w:val="23"/>
          <w:rtl/>
        </w:rPr>
        <w:t xml:space="preserve"> و 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i/>
          <w:sz w:val="23"/>
          <w:szCs w:val="23"/>
          <w:rtl/>
        </w:rPr>
        <w:t xml:space="preserve"> مصرف و تقاضا برا</w:t>
      </w:r>
      <w:r w:rsidRPr="00FE433F">
        <w:rPr>
          <w:rFonts w:eastAsia="Calibri" w:hint="cs"/>
          <w:i/>
          <w:sz w:val="23"/>
          <w:szCs w:val="23"/>
          <w:rtl/>
        </w:rPr>
        <w:t>ی</w:t>
      </w:r>
      <w:r w:rsidRPr="00FE433F">
        <w:rPr>
          <w:rFonts w:eastAsia="Calibri"/>
          <w:i/>
          <w:sz w:val="23"/>
          <w:szCs w:val="23"/>
          <w:rtl/>
        </w:rPr>
        <w:t xml:space="preserve"> پول در زمان </w:t>
      </w:r>
      <w:r w:rsidRPr="00FE433F">
        <w:rPr>
          <w:position w:val="-6"/>
        </w:rPr>
        <w:object w:dxaOrig="440" w:dyaOrig="260" w14:anchorId="1C08C125">
          <v:shape id="_x0000_i4123" type="#_x0000_t75" style="width:21.8pt;height:13.3pt" o:ole="">
            <v:imagedata r:id="rId6235" o:title=""/>
          </v:shape>
          <o:OLEObject Type="Embed" ProgID="Equation.DSMT4" ShapeID="_x0000_i4123" DrawAspect="Content" ObjectID="_1791378067" r:id="rId6236"/>
        </w:object>
      </w:r>
      <w:r w:rsidRPr="00FE433F">
        <w:rPr>
          <w:rFonts w:eastAsia="Calibri"/>
          <w:i/>
          <w:sz w:val="23"/>
          <w:szCs w:val="23"/>
          <w:rtl/>
        </w:rPr>
        <w:t xml:space="preserve"> با توجه به ا</w:t>
      </w:r>
      <w:r w:rsidRPr="00FE433F">
        <w:rPr>
          <w:rFonts w:eastAsia="Calibri" w:hint="cs"/>
          <w:i/>
          <w:sz w:val="23"/>
          <w:szCs w:val="23"/>
          <w:rtl/>
        </w:rPr>
        <w:t>ی</w:t>
      </w:r>
      <w:r w:rsidRPr="00FE433F">
        <w:rPr>
          <w:rFonts w:eastAsia="Calibri" w:hint="eastAsia"/>
          <w:i/>
          <w:sz w:val="23"/>
          <w:szCs w:val="23"/>
          <w:rtl/>
        </w:rPr>
        <w:t>نکه</w:t>
      </w:r>
      <w:r w:rsidRPr="00FE433F">
        <w:rPr>
          <w:rFonts w:eastAsia="Calibri"/>
          <w:i/>
          <w:sz w:val="23"/>
          <w:szCs w:val="23"/>
          <w:rtl/>
        </w:rPr>
        <w:t xml:space="preserve">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تنز</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شده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دو دوره بدون تغ</w:t>
      </w:r>
      <w:r w:rsidRPr="00FE433F">
        <w:rPr>
          <w:rFonts w:eastAsia="Calibri" w:hint="cs"/>
          <w:i/>
          <w:sz w:val="23"/>
          <w:szCs w:val="23"/>
          <w:rtl/>
        </w:rPr>
        <w:t>یی</w:t>
      </w:r>
      <w:r w:rsidRPr="00FE433F">
        <w:rPr>
          <w:rFonts w:eastAsia="Calibri" w:hint="eastAsia"/>
          <w:i/>
          <w:sz w:val="23"/>
          <w:szCs w:val="23"/>
          <w:rtl/>
        </w:rPr>
        <w:t>ر</w:t>
      </w:r>
      <w:r w:rsidRPr="00FE433F">
        <w:rPr>
          <w:rFonts w:eastAsia="Calibri"/>
          <w:i/>
          <w:sz w:val="23"/>
          <w:szCs w:val="23"/>
          <w:rtl/>
        </w:rPr>
        <w:t xml:space="preserve"> باق</w:t>
      </w:r>
      <w:r w:rsidRPr="00FE433F">
        <w:rPr>
          <w:rFonts w:eastAsia="Calibri" w:hint="cs"/>
          <w:i/>
          <w:sz w:val="23"/>
          <w:szCs w:val="23"/>
          <w:rtl/>
        </w:rPr>
        <w:t>ی</w: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ماند خواه</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w:t>
      </w:r>
      <w:r w:rsidRPr="00FE433F">
        <w:rPr>
          <w:rFonts w:eastAsia="Calibri" w:hint="eastAsia"/>
          <w:i/>
          <w:sz w:val="23"/>
          <w:szCs w:val="23"/>
          <w:rtl/>
        </w:rPr>
        <w:t>داشت</w:t>
      </w:r>
    </w:p>
    <w:p w14:paraId="708CA399" w14:textId="77777777" w:rsidR="00411620" w:rsidRPr="00FE433F" w:rsidRDefault="00411620" w:rsidP="00411620">
      <w:pPr>
        <w:pStyle w:val="MTDisplayEquation"/>
        <w:spacing w:line="216" w:lineRule="auto"/>
        <w:rPr>
          <w:rFonts w:ascii="Times New Roman" w:eastAsia="Times New Roman" w:hAnsi="Times New Roman" w:cs="B Nazanin"/>
          <w:i/>
          <w:sz w:val="23"/>
          <w:szCs w:val="23"/>
          <w:rtl/>
          <w:lang w:bidi="fa-IR"/>
        </w:rPr>
      </w:pPr>
      <w:r w:rsidRPr="00FE433F">
        <w:rPr>
          <w:position w:val="-14"/>
        </w:rPr>
        <w:object w:dxaOrig="4120" w:dyaOrig="380" w14:anchorId="16E65E18">
          <v:shape id="_x0000_i4124" type="#_x0000_t75" style="width:205.7pt;height:18.75pt" o:ole="">
            <v:imagedata r:id="rId6237" o:title=""/>
          </v:shape>
          <o:OLEObject Type="Embed" ProgID="Equation.DSMT4" ShapeID="_x0000_i4124" DrawAspect="Content" ObjectID="_1791378068" r:id="rId6238"/>
        </w:object>
      </w:r>
    </w:p>
    <w:p w14:paraId="5E6D10DA"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و</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ا</w:t>
      </w:r>
    </w:p>
    <w:p w14:paraId="192C672B" w14:textId="77777777" w:rsidR="00411620" w:rsidRPr="00FE433F" w:rsidRDefault="00411620" w:rsidP="00411620">
      <w:pPr>
        <w:pStyle w:val="MTDisplayEquation"/>
        <w:tabs>
          <w:tab w:val="clear" w:pos="6660"/>
          <w:tab w:val="right" w:pos="0"/>
        </w:tabs>
        <w:spacing w:line="216" w:lineRule="auto"/>
        <w:rPr>
          <w:rFonts w:ascii="Times New Roman" w:hAnsi="Times New Roman" w:cs="B Nazanin"/>
          <w:i/>
          <w:sz w:val="23"/>
          <w:szCs w:val="23"/>
          <w:lang w:bidi="fa-IR"/>
        </w:rPr>
      </w:pPr>
      <w:r w:rsidRPr="00FE433F">
        <w:rPr>
          <w:position w:val="-14"/>
        </w:rPr>
        <w:object w:dxaOrig="3379" w:dyaOrig="380" w14:anchorId="1EB4744B">
          <v:shape id="_x0000_i4125" type="#_x0000_t75" style="width:168.8pt;height:18.75pt" o:ole="">
            <v:imagedata r:id="rId6239" o:title=""/>
          </v:shape>
          <o:OLEObject Type="Embed" ProgID="Equation.DSMT4" ShapeID="_x0000_i4125" DrawAspect="Content" ObjectID="_1791378069" r:id="rId6240"/>
        </w:object>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Pr>
        <w:tab/>
      </w:r>
      <w:r w:rsidRPr="00FE433F">
        <w:rPr>
          <w:rFonts w:ascii="Times New Roman" w:hAnsi="Times New Roman"/>
          <w:i/>
          <w:sz w:val="23"/>
          <w:szCs w:val="23"/>
          <w:rtl/>
        </w:rPr>
        <w:tab/>
      </w:r>
      <w:r w:rsidRPr="00FE433F">
        <w:rPr>
          <w:rFonts w:ascii="Times New Roman" w:hAnsi="Times New Roman"/>
          <w:i/>
          <w:sz w:val="23"/>
          <w:szCs w:val="23"/>
        </w:rPr>
        <w:tab/>
      </w:r>
      <w:r w:rsidRPr="00FE433F">
        <w:rPr>
          <w:rFonts w:ascii="Times New Roman" w:hAnsi="Times New Roman" w:cs="B Nazanin"/>
          <w:i/>
          <w:sz w:val="23"/>
          <w:szCs w:val="23"/>
        </w:rPr>
        <w:tab/>
      </w:r>
      <w:r w:rsidRPr="00FE433F">
        <w:rPr>
          <w:rFonts w:ascii="Times New Roman" w:hAnsi="Times New Roman" w:cs="B Nazanin"/>
          <w:i/>
          <w:sz w:val="23"/>
          <w:szCs w:val="23"/>
          <w:rtl/>
        </w:rPr>
        <w:t>(</w:t>
      </w:r>
      <w:r w:rsidRPr="00FE433F">
        <w:rPr>
          <w:rFonts w:ascii="Times New Roman" w:hAnsi="Times New Roman" w:cs="B Nazanin"/>
          <w:i/>
          <w:sz w:val="23"/>
          <w:szCs w:val="23"/>
          <w:rtl/>
          <w:lang w:bidi="fa-IR"/>
        </w:rPr>
        <w:t>۸.</w:t>
      </w:r>
      <w:r w:rsidRPr="00FE433F">
        <w:rPr>
          <w:rFonts w:ascii="Times New Roman" w:hAnsi="Times New Roman" w:cs="B Nazanin"/>
          <w:i/>
          <w:sz w:val="23"/>
          <w:szCs w:val="23"/>
          <w:rtl/>
        </w:rPr>
        <w:t xml:space="preserve"> </w:t>
      </w:r>
      <w:r w:rsidRPr="00FE433F">
        <w:rPr>
          <w:rFonts w:ascii="Times New Roman" w:hAnsi="Times New Roman" w:cs="B Nazanin"/>
          <w:i/>
          <w:sz w:val="23"/>
          <w:szCs w:val="23"/>
          <w:rtl/>
          <w:lang w:bidi="fa-IR"/>
        </w:rPr>
        <w:t>۹)</w:t>
      </w:r>
    </w:p>
    <w:p w14:paraId="577EACA5" w14:textId="77777777" w:rsidR="00411620" w:rsidRPr="00FE433F" w:rsidRDefault="00411620" w:rsidP="00411620">
      <w:pPr>
        <w:pStyle w:val="MTDisplayEquation"/>
        <w:tabs>
          <w:tab w:val="clear" w:pos="6660"/>
          <w:tab w:val="right" w:pos="7110"/>
        </w:tabs>
        <w:bidi/>
        <w:spacing w:line="216" w:lineRule="auto"/>
        <w:rPr>
          <w:rFonts w:ascii="Times New Roman" w:hAnsi="Times New Roman" w:cs="B Nazanin"/>
          <w:i/>
          <w:sz w:val="23"/>
          <w:szCs w:val="23"/>
          <w:rtl/>
          <w:lang w:bidi="fa-IR"/>
        </w:rPr>
      </w:pP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عن</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کاهش مطلوب</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ت</w:t>
      </w:r>
      <w:r w:rsidRPr="00FE433F">
        <w:rPr>
          <w:rFonts w:ascii="Times New Roman" w:hAnsi="Times New Roman" w:cs="B Nazanin"/>
          <w:i/>
          <w:sz w:val="23"/>
          <w:szCs w:val="23"/>
          <w:rtl/>
          <w:lang w:bidi="fa-IR"/>
        </w:rPr>
        <w:t xml:space="preserve"> حاصل از کاهش مصرف در زمان </w:t>
      </w:r>
      <w:r w:rsidRPr="00FE433F">
        <w:rPr>
          <w:rFonts w:ascii="Times New Roman" w:hAnsi="Times New Roman" w:cs="B Nazanin"/>
          <w:i/>
          <w:sz w:val="23"/>
          <w:szCs w:val="23"/>
          <w:lang w:bidi="fa-IR"/>
        </w:rPr>
        <w:t>t</w:t>
      </w:r>
      <w:r w:rsidRPr="00FE433F">
        <w:rPr>
          <w:rFonts w:ascii="Times New Roman" w:hAnsi="Times New Roman" w:cs="B Nazanin"/>
          <w:i/>
          <w:sz w:val="23"/>
          <w:szCs w:val="23"/>
          <w:rtl/>
          <w:lang w:bidi="fa-IR"/>
        </w:rPr>
        <w:t xml:space="preserve"> بواسطه</w:t>
      </w:r>
      <w:r w:rsidRPr="00FE433F">
        <w:rPr>
          <w:rFonts w:ascii="Times New Roman" w:hAnsi="Times New Roman" w:cs="B Nazanin" w:hint="eastAsia"/>
          <w:i/>
          <w:sz w:val="23"/>
          <w:szCs w:val="23"/>
          <w:lang w:bidi="fa-IR"/>
        </w:rPr>
        <w:t>‌</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افزا</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ش</w:t>
      </w:r>
      <w:r w:rsidRPr="00FE433F">
        <w:rPr>
          <w:rFonts w:ascii="Times New Roman" w:hAnsi="Times New Roman" w:cs="B Nazanin"/>
          <w:i/>
          <w:sz w:val="23"/>
          <w:szCs w:val="23"/>
          <w:rtl/>
          <w:lang w:bidi="fa-IR"/>
        </w:rPr>
        <w:t xml:space="preserve"> مطلوب</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ت</w:t>
      </w:r>
      <w:r w:rsidRPr="00FE433F">
        <w:rPr>
          <w:rFonts w:ascii="Times New Roman" w:hAnsi="Times New Roman" w:cs="B Nazanin"/>
          <w:i/>
          <w:sz w:val="23"/>
          <w:szCs w:val="23"/>
          <w:rtl/>
          <w:lang w:bidi="fa-IR"/>
        </w:rPr>
        <w:t xml:space="preserve"> حاصل از افزا</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ش</w:t>
      </w:r>
      <w:r w:rsidRPr="00FE433F">
        <w:rPr>
          <w:rFonts w:ascii="Times New Roman" w:hAnsi="Times New Roman" w:cs="B Nazanin"/>
          <w:i/>
          <w:sz w:val="23"/>
          <w:szCs w:val="23"/>
          <w:rtl/>
          <w:lang w:bidi="fa-IR"/>
        </w:rPr>
        <w:t xml:space="preserve"> مصرف و نگهدار</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پول در زمان </w:t>
      </w:r>
      <w:r w:rsidRPr="00FE433F">
        <w:rPr>
          <w:position w:val="-6"/>
        </w:rPr>
        <w:object w:dxaOrig="440" w:dyaOrig="260" w14:anchorId="0BDE3638">
          <v:shape id="_x0000_i4126" type="#_x0000_t75" style="width:21.8pt;height:13.3pt" o:ole="">
            <v:imagedata r:id="rId6241" o:title=""/>
          </v:shape>
          <o:OLEObject Type="Embed" ProgID="Equation.DSMT4" ShapeID="_x0000_i4126" DrawAspect="Content" ObjectID="_1791378070" r:id="rId6242"/>
        </w:object>
      </w:r>
      <w:r w:rsidRPr="00FE433F">
        <w:rPr>
          <w:rFonts w:ascii="Times New Roman" w:hAnsi="Times New Roman" w:cs="B Nazanin" w:hint="cs"/>
          <w:i/>
          <w:sz w:val="23"/>
          <w:szCs w:val="23"/>
          <w:rtl/>
        </w:rPr>
        <w:t xml:space="preserve"> </w:t>
      </w:r>
      <w:r w:rsidRPr="00FE433F">
        <w:rPr>
          <w:rFonts w:ascii="Times New Roman" w:hAnsi="Times New Roman" w:cs="B Nazanin"/>
          <w:i/>
          <w:sz w:val="23"/>
          <w:szCs w:val="23"/>
          <w:rtl/>
          <w:lang w:bidi="fa-IR"/>
        </w:rPr>
        <w:t>جبران م</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شود. </w:t>
      </w:r>
    </w:p>
    <w:p w14:paraId="31B20F7B" w14:textId="77777777" w:rsidR="00411620" w:rsidRPr="00FE433F" w:rsidRDefault="00411620" w:rsidP="00411620">
      <w:pPr>
        <w:spacing w:line="216" w:lineRule="auto"/>
        <w:rPr>
          <w:rFonts w:eastAsia="Calibri"/>
          <w:i/>
          <w:sz w:val="23"/>
          <w:szCs w:val="23"/>
        </w:rPr>
      </w:pPr>
      <w:r w:rsidRPr="00FE433F">
        <w:rPr>
          <w:rFonts w:eastAsia="Calibri"/>
          <w:i/>
          <w:sz w:val="23"/>
          <w:szCs w:val="23"/>
          <w:rtl/>
        </w:rPr>
        <w:t>با د</w:t>
      </w:r>
      <w:r w:rsidRPr="00FE433F">
        <w:rPr>
          <w:rFonts w:eastAsia="Calibri" w:hint="cs"/>
          <w:i/>
          <w:sz w:val="23"/>
          <w:szCs w:val="23"/>
          <w:rtl/>
        </w:rPr>
        <w:t>ی</w:t>
      </w:r>
      <w:r w:rsidRPr="00FE433F">
        <w:rPr>
          <w:rFonts w:eastAsia="Calibri" w:hint="eastAsia"/>
          <w:i/>
          <w:sz w:val="23"/>
          <w:szCs w:val="23"/>
          <w:rtl/>
        </w:rPr>
        <w:t>فرانس</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w:t>
      </w:r>
      <w:r w:rsidRPr="00FE433F">
        <w:rPr>
          <w:rFonts w:eastAsia="Calibri" w:hint="eastAsia"/>
          <w:i/>
          <w:sz w:val="23"/>
          <w:szCs w:val="23"/>
          <w:rtl/>
        </w:rPr>
        <w:t>جزئ</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از</w:t>
      </w:r>
      <w:r w:rsidRPr="00FE433F">
        <w:rPr>
          <w:rFonts w:eastAsia="Calibri"/>
          <w:i/>
          <w:sz w:val="23"/>
          <w:szCs w:val="23"/>
          <w:rtl/>
        </w:rPr>
        <w:t xml:space="preserve"> </w:t>
      </w:r>
      <w:r w:rsidRPr="00FE433F">
        <w:rPr>
          <w:rFonts w:eastAsia="Calibri" w:hint="eastAsia"/>
          <w:i/>
          <w:sz w:val="23"/>
          <w:szCs w:val="23"/>
          <w:rtl/>
        </w:rPr>
        <w:t>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بودجه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دو </w:t>
      </w:r>
      <w:r w:rsidRPr="00FE433F">
        <w:rPr>
          <w:i/>
          <w:sz w:val="23"/>
          <w:szCs w:val="23"/>
          <w:rtl/>
        </w:rPr>
        <w:t>دوره</w:t>
      </w:r>
      <w:r w:rsidRPr="00FE433F">
        <w:rPr>
          <w:rFonts w:hint="cs"/>
          <w:i/>
          <w:sz w:val="23"/>
          <w:szCs w:val="23"/>
          <w:rtl/>
        </w:rPr>
        <w:t>‌</w:t>
      </w:r>
      <w:r w:rsidRPr="00FE433F">
        <w:rPr>
          <w:i/>
          <w:sz w:val="23"/>
          <w:szCs w:val="23"/>
          <w:rtl/>
        </w:rPr>
        <w:t>ای</w:t>
      </w:r>
      <w:r w:rsidRPr="00FE433F">
        <w:rPr>
          <w:rFonts w:eastAsia="Calibri"/>
          <w:i/>
          <w:sz w:val="23"/>
          <w:szCs w:val="23"/>
          <w:rtl/>
        </w:rPr>
        <w:t xml:space="preserve"> خواه</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داشت </w:t>
      </w:r>
    </w:p>
    <w:p w14:paraId="1708BDD9" w14:textId="77777777" w:rsidR="00411620" w:rsidRPr="00FE433F" w:rsidRDefault="00411620" w:rsidP="00411620">
      <w:pPr>
        <w:pStyle w:val="MTDisplayEquation"/>
        <w:spacing w:line="216" w:lineRule="auto"/>
        <w:rPr>
          <w:rFonts w:ascii="Times New Roman" w:eastAsia="Times New Roman" w:hAnsi="Times New Roman" w:cs="B Nazanin"/>
          <w:i/>
          <w:sz w:val="23"/>
          <w:szCs w:val="23"/>
          <w:rtl/>
          <w:lang w:bidi="fa-IR"/>
        </w:rPr>
      </w:pPr>
      <w:r w:rsidRPr="00FE433F">
        <w:rPr>
          <w:position w:val="-12"/>
        </w:rPr>
        <w:object w:dxaOrig="4420" w:dyaOrig="360" w14:anchorId="66D2B511">
          <v:shape id="_x0000_i4127" type="#_x0000_t75" style="width:220.85pt;height:18.15pt" o:ole="">
            <v:imagedata r:id="rId6243" o:title=""/>
          </v:shape>
          <o:OLEObject Type="Embed" ProgID="Equation.DSMT4" ShapeID="_x0000_i4127" DrawAspect="Content" ObjectID="_1791378071" r:id="rId6244"/>
        </w:object>
      </w:r>
    </w:p>
    <w:p w14:paraId="4567F158"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بنابرا</w:t>
      </w:r>
      <w:r w:rsidRPr="00FE433F">
        <w:rPr>
          <w:rFonts w:eastAsia="Calibri" w:hint="cs"/>
          <w:i/>
          <w:sz w:val="23"/>
          <w:szCs w:val="23"/>
          <w:rtl/>
        </w:rPr>
        <w:t>ی</w:t>
      </w:r>
      <w:r w:rsidRPr="00FE433F">
        <w:rPr>
          <w:rFonts w:eastAsia="Calibri" w:hint="eastAsia"/>
          <w:i/>
          <w:sz w:val="23"/>
          <w:szCs w:val="23"/>
          <w:rtl/>
        </w:rPr>
        <w:t>ن</w:t>
      </w:r>
    </w:p>
    <w:p w14:paraId="3FA289B2" w14:textId="77777777" w:rsidR="00411620" w:rsidRPr="00FE433F" w:rsidRDefault="00411620" w:rsidP="00411620">
      <w:pPr>
        <w:pStyle w:val="MTDisplayEquation"/>
        <w:tabs>
          <w:tab w:val="clear" w:pos="6660"/>
        </w:tabs>
        <w:spacing w:line="216" w:lineRule="auto"/>
        <w:rPr>
          <w:rFonts w:ascii="Times New Roman" w:eastAsia="Times New Roman" w:hAnsi="Times New Roman" w:cs="B Nazanin"/>
          <w:i/>
          <w:sz w:val="23"/>
          <w:szCs w:val="23"/>
          <w:lang w:bidi="fa-IR"/>
        </w:rPr>
      </w:pPr>
      <w:r w:rsidRPr="00FE433F">
        <w:rPr>
          <w:position w:val="-28"/>
        </w:rPr>
        <w:object w:dxaOrig="3159" w:dyaOrig="639" w14:anchorId="3C794C41">
          <v:shape id="_x0000_i4128" type="#_x0000_t75" style="width:157.9pt;height:32.05pt" o:ole="">
            <v:imagedata r:id="rId6245" o:title=""/>
          </v:shape>
          <o:OLEObject Type="Embed" ProgID="Equation.DSMT4" ShapeID="_x0000_i4128" DrawAspect="Content" ObjectID="_1791378072" r:id="rId6246"/>
        </w:object>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Pr>
          <w:rFonts w:ascii="Times New Roman" w:hAnsi="Times New Roman" w:cs="B Nazanin"/>
          <w:i/>
          <w:sz w:val="23"/>
          <w:szCs w:val="23"/>
          <w:rtl/>
        </w:rPr>
        <w:tab/>
      </w:r>
      <w:r>
        <w:rPr>
          <w:rFonts w:ascii="Times New Roman" w:hAnsi="Times New Roman" w:cs="B Nazanin"/>
          <w:i/>
          <w:sz w:val="23"/>
          <w:szCs w:val="23"/>
          <w:rtl/>
        </w:rPr>
        <w:tab/>
      </w:r>
      <w:r w:rsidRPr="00FE433F">
        <w:rPr>
          <w:rFonts w:ascii="Times New Roman" w:hAnsi="Times New Roman" w:cs="B Nazanin"/>
          <w:i/>
          <w:sz w:val="23"/>
          <w:szCs w:val="23"/>
        </w:rPr>
        <w:tab/>
      </w:r>
      <w:r w:rsidRPr="00FE433F">
        <w:rPr>
          <w:rFonts w:ascii="Times New Roman" w:hAnsi="Times New Roman" w:cs="B Nazanin"/>
          <w:i/>
          <w:sz w:val="23"/>
          <w:szCs w:val="23"/>
        </w:rPr>
        <w:tab/>
      </w:r>
      <w:r w:rsidRPr="00FE433F">
        <w:rPr>
          <w:rFonts w:ascii="Times New Roman" w:hAnsi="Times New Roman" w:cs="B Nazanin"/>
          <w:i/>
          <w:sz w:val="23"/>
          <w:szCs w:val="23"/>
          <w:rtl/>
        </w:rPr>
        <w:tab/>
        <w:t>(</w:t>
      </w:r>
      <w:r w:rsidRPr="00FE433F">
        <w:rPr>
          <w:rFonts w:ascii="Times New Roman" w:hAnsi="Times New Roman" w:cs="B Nazanin"/>
          <w:i/>
          <w:sz w:val="23"/>
          <w:szCs w:val="23"/>
          <w:rtl/>
          <w:lang w:bidi="fa-IR"/>
        </w:rPr>
        <w:t>۸.</w:t>
      </w:r>
      <w:r w:rsidRPr="00FE433F">
        <w:rPr>
          <w:rFonts w:ascii="Times New Roman" w:hAnsi="Times New Roman" w:cs="B Nazanin"/>
          <w:i/>
          <w:sz w:val="23"/>
          <w:szCs w:val="23"/>
          <w:rtl/>
        </w:rPr>
        <w:t xml:space="preserve"> </w:t>
      </w:r>
      <w:r w:rsidRPr="00FE433F">
        <w:rPr>
          <w:rFonts w:ascii="Times New Roman" w:hAnsi="Times New Roman" w:cs="B Nazanin"/>
          <w:i/>
          <w:sz w:val="23"/>
          <w:szCs w:val="23"/>
          <w:rtl/>
          <w:lang w:bidi="fa-IR"/>
        </w:rPr>
        <w:t>۱۰)</w:t>
      </w:r>
      <w:r w:rsidRPr="00FE433F">
        <w:rPr>
          <w:rFonts w:ascii="Times New Roman" w:hAnsi="Times New Roman" w:cs="B Nazanin" w:hint="cs"/>
          <w:i/>
          <w:sz w:val="23"/>
          <w:szCs w:val="23"/>
          <w:lang w:bidi="fa-IR"/>
        </w:rPr>
        <w:t xml:space="preserve"> </w:t>
      </w:r>
    </w:p>
    <w:p w14:paraId="59894B80" w14:textId="77777777" w:rsidR="00411620" w:rsidRPr="00FE433F" w:rsidRDefault="00411620" w:rsidP="00411620">
      <w:pPr>
        <w:pStyle w:val="MTDisplayEquation"/>
        <w:spacing w:line="216" w:lineRule="auto"/>
        <w:rPr>
          <w:rFonts w:ascii="Times New Roman" w:eastAsia="Times New Roman" w:hAnsi="Times New Roman" w:cs="B Nazanin"/>
          <w:i/>
          <w:sz w:val="23"/>
          <w:szCs w:val="23"/>
          <w:rtl/>
          <w:lang w:bidi="fa-IR"/>
        </w:rPr>
      </w:pPr>
      <w:r w:rsidRPr="00FE433F">
        <w:rPr>
          <w:position w:val="-28"/>
        </w:rPr>
        <w:object w:dxaOrig="2680" w:dyaOrig="639" w14:anchorId="146F35DA">
          <v:shape id="_x0000_i4129" type="#_x0000_t75" style="width:133.7pt;height:32.05pt" o:ole="">
            <v:imagedata r:id="rId6247" o:title=""/>
          </v:shape>
          <o:OLEObject Type="Embed" ProgID="Equation.DSMT4" ShapeID="_x0000_i4129" DrawAspect="Content" ObjectID="_1791378073" r:id="rId6248"/>
        </w:object>
      </w:r>
    </w:p>
    <w:p w14:paraId="0322658A"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ی</w:t>
      </w:r>
      <w:r w:rsidRPr="00FE433F">
        <w:rPr>
          <w:rFonts w:eastAsia="Calibri" w:hint="eastAsia"/>
          <w:i/>
          <w:sz w:val="23"/>
          <w:szCs w:val="23"/>
          <w:rtl/>
        </w:rPr>
        <w:t>عن</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هر</w:t>
      </w:r>
      <w:r w:rsidRPr="00FE433F">
        <w:rPr>
          <w:rFonts w:eastAsia="Calibri"/>
          <w:i/>
          <w:sz w:val="23"/>
          <w:szCs w:val="23"/>
          <w:rtl/>
        </w:rPr>
        <w:t xml:space="preserve"> </w:t>
      </w:r>
      <w:r w:rsidRPr="00FE433F">
        <w:rPr>
          <w:rFonts w:eastAsia="Calibri" w:hint="eastAsia"/>
          <w:i/>
          <w:sz w:val="23"/>
          <w:szCs w:val="23"/>
          <w:rtl/>
        </w:rPr>
        <w:t>واحد</w:t>
      </w:r>
      <w:r w:rsidRPr="00FE433F">
        <w:rPr>
          <w:rFonts w:eastAsia="Calibri"/>
          <w:i/>
          <w:sz w:val="23"/>
          <w:szCs w:val="23"/>
        </w:rPr>
        <w:t xml:space="preserve"> </w:t>
      </w:r>
      <w:r w:rsidRPr="00FE433F">
        <w:rPr>
          <w:rFonts w:eastAsia="Calibri"/>
          <w:i/>
          <w:sz w:val="23"/>
          <w:szCs w:val="23"/>
          <w:rtl/>
        </w:rPr>
        <w:t xml:space="preserve">کاهش مصرف در زمان </w:t>
      </w:r>
      <w:r w:rsidRPr="00FE433F">
        <w:rPr>
          <w:rFonts w:eastAsia="Calibri"/>
          <w:i/>
          <w:sz w:val="23"/>
          <w:szCs w:val="23"/>
        </w:rPr>
        <w:t>t</w:t>
      </w:r>
      <w:r w:rsidRPr="00FE433F">
        <w:rPr>
          <w:rFonts w:eastAsia="Calibri"/>
          <w:i/>
          <w:sz w:val="23"/>
          <w:szCs w:val="23"/>
          <w:rtl/>
        </w:rPr>
        <w:t>، مصرف منها</w:t>
      </w:r>
      <w:r w:rsidRPr="00FE433F">
        <w:rPr>
          <w:rFonts w:eastAsia="Calibri" w:hint="cs"/>
          <w:i/>
          <w:sz w:val="23"/>
          <w:szCs w:val="23"/>
          <w:rtl/>
        </w:rPr>
        <w:t>ی</w:t>
      </w:r>
      <w:r w:rsidRPr="00FE433F">
        <w:rPr>
          <w:rFonts w:eastAsia="Calibri"/>
          <w:i/>
          <w:sz w:val="23"/>
          <w:szCs w:val="23"/>
          <w:rtl/>
        </w:rPr>
        <w:t xml:space="preserve"> هز</w:t>
      </w:r>
      <w:r w:rsidRPr="00FE433F">
        <w:rPr>
          <w:rFonts w:eastAsia="Calibri" w:hint="cs"/>
          <w:i/>
          <w:sz w:val="23"/>
          <w:szCs w:val="23"/>
          <w:rtl/>
        </w:rPr>
        <w:t>ی</w:t>
      </w:r>
      <w:r w:rsidRPr="00FE433F">
        <w:rPr>
          <w:rFonts w:eastAsia="Calibri" w:hint="eastAsia"/>
          <w:i/>
          <w:sz w:val="23"/>
          <w:szCs w:val="23"/>
          <w:rtl/>
        </w:rPr>
        <w:t>نه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بهره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نگهدار</w:t>
      </w:r>
      <w:r w:rsidRPr="00FE433F">
        <w:rPr>
          <w:rFonts w:eastAsia="Calibri" w:hint="cs"/>
          <w:i/>
          <w:sz w:val="23"/>
          <w:szCs w:val="23"/>
          <w:rtl/>
        </w:rPr>
        <w:t>ی</w:t>
      </w:r>
      <w:r w:rsidRPr="00FE433F">
        <w:rPr>
          <w:rFonts w:eastAsia="Calibri"/>
          <w:i/>
          <w:sz w:val="23"/>
          <w:szCs w:val="23"/>
          <w:rtl/>
        </w:rPr>
        <w:t xml:space="preserve"> پول در زمان </w:t>
      </w:r>
      <w:r w:rsidRPr="00FE433F">
        <w:rPr>
          <w:rFonts w:eastAsia="Calibri"/>
          <w:i/>
          <w:sz w:val="23"/>
          <w:szCs w:val="23"/>
        </w:rPr>
        <w:t>t+1</w:t>
      </w:r>
      <w:r w:rsidRPr="00FE433F">
        <w:rPr>
          <w:rFonts w:eastAsia="Calibri"/>
          <w:i/>
          <w:sz w:val="23"/>
          <w:szCs w:val="23"/>
          <w:rtl/>
        </w:rPr>
        <w:t xml:space="preserve"> را در</w:t>
      </w:r>
      <w:r w:rsidRPr="00FE433F">
        <w:rPr>
          <w:position w:val="-28"/>
        </w:rPr>
        <w:object w:dxaOrig="1520" w:dyaOrig="639" w14:anchorId="0971B6AD">
          <v:shape id="_x0000_i4130" type="#_x0000_t75" style="width:76.25pt;height:32.05pt" o:ole="">
            <v:imagedata r:id="rId6249" o:title=""/>
          </v:shape>
          <o:OLEObject Type="Embed" ProgID="Equation.DSMT4" ShapeID="_x0000_i4130" DrawAspect="Content" ObjectID="_1791378074" r:id="rId6250"/>
        </w:object>
      </w:r>
      <w:r w:rsidRPr="00FE433F">
        <w:rPr>
          <w:rFonts w:eastAsia="Calibri"/>
          <w:i/>
          <w:sz w:val="23"/>
          <w:szCs w:val="23"/>
          <w:rtl/>
        </w:rPr>
        <w:t xml:space="preserve"> 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دهد. با جا</w:t>
      </w:r>
      <w:r w:rsidRPr="00FE433F">
        <w:rPr>
          <w:rFonts w:eastAsia="Calibri" w:hint="cs"/>
          <w:i/>
          <w:sz w:val="23"/>
          <w:szCs w:val="23"/>
          <w:rtl/>
        </w:rPr>
        <w:t>ی</w:t>
      </w:r>
      <w:r w:rsidRPr="00FE433F">
        <w:rPr>
          <w:rFonts w:eastAsia="Calibri" w:hint="eastAsia"/>
          <w:i/>
          <w:sz w:val="23"/>
          <w:szCs w:val="23"/>
          <w:rtl/>
        </w:rPr>
        <w:t>گزار</w:t>
      </w:r>
      <w:r w:rsidRPr="00FE433F">
        <w:rPr>
          <w:rFonts w:eastAsia="Calibri" w:hint="cs"/>
          <w:i/>
          <w:sz w:val="23"/>
          <w:szCs w:val="23"/>
          <w:rtl/>
        </w:rPr>
        <w:t>ی</w:t>
      </w:r>
      <w:r w:rsidRPr="00FE433F">
        <w:rPr>
          <w:rFonts w:eastAsia="Calibri"/>
          <w:i/>
          <w:sz w:val="23"/>
          <w:szCs w:val="23"/>
          <w:rtl/>
        </w:rPr>
        <w:t xml:space="preserve"> </w:t>
      </w:r>
      <w:r w:rsidRPr="00FE433F">
        <w:rPr>
          <w:position w:val="-10"/>
        </w:rPr>
        <w:object w:dxaOrig="460" w:dyaOrig="320" w14:anchorId="6A79D373">
          <v:shape id="_x0000_i4131" type="#_x0000_t75" style="width:23pt;height:16.35pt" o:ole="">
            <v:imagedata r:id="rId6251" o:title=""/>
          </v:shape>
          <o:OLEObject Type="Embed" ProgID="Equation.DSMT4" ShapeID="_x0000_i4131" DrawAspect="Content" ObjectID="_1791378075" r:id="rId6252"/>
        </w:object>
      </w:r>
      <w:r w:rsidRPr="00FE433F">
        <w:rPr>
          <w:rFonts w:eastAsia="Calibri"/>
          <w:i/>
          <w:sz w:val="23"/>
          <w:szCs w:val="23"/>
          <w:rtl/>
        </w:rPr>
        <w:t xml:space="preserve"> در رابطه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i/>
          <w:sz w:val="23"/>
          <w:szCs w:val="23"/>
          <w:rtl/>
        </w:rPr>
        <w:t>(۸.</w:t>
      </w:r>
      <w:r w:rsidRPr="00FE433F">
        <w:rPr>
          <w:rFonts w:hint="cs"/>
          <w:i/>
          <w:sz w:val="23"/>
          <w:szCs w:val="23"/>
          <w:rtl/>
        </w:rPr>
        <w:t xml:space="preserve"> ۹</w:t>
      </w:r>
      <w:r w:rsidRPr="00FE433F">
        <w:rPr>
          <w:i/>
          <w:sz w:val="23"/>
          <w:szCs w:val="23"/>
          <w:rtl/>
        </w:rPr>
        <w:t>)</w:t>
      </w:r>
      <w:r w:rsidRPr="00FE433F">
        <w:rPr>
          <w:rFonts w:eastAsia="Calibri"/>
          <w:i/>
          <w:sz w:val="23"/>
          <w:szCs w:val="23"/>
          <w:rtl/>
        </w:rPr>
        <w:t xml:space="preserve"> خواه</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داشت</w:t>
      </w:r>
    </w:p>
    <w:p w14:paraId="599E1228" w14:textId="77777777" w:rsidR="00411620" w:rsidRPr="00FE433F" w:rsidRDefault="00411620" w:rsidP="00411620">
      <w:pPr>
        <w:pStyle w:val="MTDisplayEquation"/>
        <w:tabs>
          <w:tab w:val="clear" w:pos="6660"/>
        </w:tabs>
        <w:spacing w:line="216" w:lineRule="auto"/>
        <w:rPr>
          <w:rFonts w:ascii="Times New Roman" w:eastAsia="Times New Roman" w:hAnsi="Times New Roman" w:cs="B Nazanin"/>
          <w:i/>
          <w:sz w:val="23"/>
          <w:szCs w:val="23"/>
          <w:lang w:bidi="fa-IR"/>
        </w:rPr>
      </w:pPr>
      <w:r w:rsidRPr="00FE433F">
        <w:rPr>
          <w:position w:val="-28"/>
        </w:rPr>
        <w:object w:dxaOrig="5200" w:dyaOrig="639" w14:anchorId="5EB1E35A">
          <v:shape id="_x0000_i4132" type="#_x0000_t75" style="width:260.15pt;height:32.05pt" o:ole="">
            <v:imagedata r:id="rId6253" o:title=""/>
          </v:shape>
          <o:OLEObject Type="Embed" ProgID="Equation.DSMT4" ShapeID="_x0000_i4132" DrawAspect="Content" ObjectID="_1791378076" r:id="rId6254"/>
        </w:object>
      </w:r>
      <w:r>
        <w:rPr>
          <w:rtl/>
        </w:rPr>
        <w:tab/>
      </w:r>
      <w:r w:rsidRPr="00FE433F">
        <w:rPr>
          <w:rFonts w:ascii="Times New Roman" w:hAnsi="Times New Roman"/>
          <w:i/>
          <w:sz w:val="23"/>
          <w:szCs w:val="23"/>
          <w:rtl/>
        </w:rPr>
        <w:tab/>
      </w:r>
      <w:r w:rsidRPr="00FE433F">
        <w:rPr>
          <w:rFonts w:ascii="Times New Roman" w:hAnsi="Times New Roman" w:cs="B Nazanin"/>
          <w:i/>
          <w:sz w:val="23"/>
          <w:szCs w:val="23"/>
          <w:rtl/>
        </w:rPr>
        <w:tab/>
        <w:t>(</w:t>
      </w:r>
      <w:r w:rsidRPr="00FE433F">
        <w:rPr>
          <w:rFonts w:ascii="Times New Roman" w:hAnsi="Times New Roman" w:cs="B Nazanin"/>
          <w:i/>
          <w:sz w:val="23"/>
          <w:szCs w:val="23"/>
          <w:rtl/>
          <w:lang w:bidi="fa-IR"/>
        </w:rPr>
        <w:t>۸.</w:t>
      </w:r>
      <w:r w:rsidRPr="00FE433F">
        <w:rPr>
          <w:rFonts w:ascii="Times New Roman" w:hAnsi="Times New Roman" w:cs="B Nazanin"/>
          <w:i/>
          <w:sz w:val="23"/>
          <w:szCs w:val="23"/>
          <w:rtl/>
        </w:rPr>
        <w:t xml:space="preserve"> </w:t>
      </w:r>
      <w:r w:rsidRPr="00FE433F">
        <w:rPr>
          <w:rFonts w:ascii="Times New Roman" w:hAnsi="Times New Roman" w:cs="B Nazanin"/>
          <w:i/>
          <w:sz w:val="23"/>
          <w:szCs w:val="23"/>
          <w:rtl/>
          <w:lang w:bidi="fa-IR"/>
        </w:rPr>
        <w:t>۱۱)</w:t>
      </w:r>
    </w:p>
    <w:p w14:paraId="202B7D20"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و چون از رابطه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i/>
          <w:sz w:val="23"/>
          <w:szCs w:val="23"/>
          <w:rtl/>
        </w:rPr>
        <w:t>(۸. ۷)</w:t>
      </w:r>
      <w:r w:rsidRPr="00FE433F">
        <w:rPr>
          <w:rFonts w:eastAsia="Calibri"/>
          <w:i/>
          <w:sz w:val="23"/>
          <w:szCs w:val="23"/>
          <w:rtl/>
        </w:rPr>
        <w:t xml:space="preserve"> دار</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w:t>
      </w:r>
      <w:r w:rsidRPr="00FE433F">
        <w:rPr>
          <w:position w:val="-12"/>
        </w:rPr>
        <w:object w:dxaOrig="1900" w:dyaOrig="340" w14:anchorId="696BE835">
          <v:shape id="_x0000_i4133" type="#_x0000_t75" style="width:95pt;height:16.95pt" o:ole="">
            <v:imagedata r:id="rId6255" o:title=""/>
          </v:shape>
          <o:OLEObject Type="Embed" ProgID="Equation.DSMT4" ShapeID="_x0000_i4133" DrawAspect="Content" ObjectID="_1791378077" r:id="rId6256"/>
        </w:object>
      </w:r>
      <w:r w:rsidRPr="00FE433F">
        <w:rPr>
          <w:rFonts w:eastAsia="Calibri"/>
          <w:i/>
          <w:sz w:val="23"/>
          <w:szCs w:val="23"/>
          <w:rtl/>
        </w:rPr>
        <w:t xml:space="preserve"> بنابر ا</w:t>
      </w:r>
      <w:r w:rsidRPr="00FE433F">
        <w:rPr>
          <w:rFonts w:eastAsia="Calibri" w:hint="cs"/>
          <w:i/>
          <w:sz w:val="23"/>
          <w:szCs w:val="23"/>
          <w:rtl/>
        </w:rPr>
        <w:t>ی</w:t>
      </w:r>
      <w:r w:rsidRPr="00FE433F">
        <w:rPr>
          <w:rFonts w:eastAsia="Calibri" w:hint="eastAsia"/>
          <w:i/>
          <w:sz w:val="23"/>
          <w:szCs w:val="23"/>
          <w:rtl/>
        </w:rPr>
        <w:t>ن</w:t>
      </w:r>
    </w:p>
    <w:p w14:paraId="3F6BF104"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30"/>
        </w:rPr>
        <w:object w:dxaOrig="1840" w:dyaOrig="680" w14:anchorId="6BB82466">
          <v:shape id="_x0000_i4134" type="#_x0000_t75" style="width:91.95pt;height:33.9pt" o:ole="">
            <v:imagedata r:id="rId6257" o:title=""/>
          </v:shape>
          <o:OLEObject Type="Embed" ProgID="Equation.DSMT4" ShapeID="_x0000_i4134" DrawAspect="Content" ObjectID="_1791378078" r:id="rId6258"/>
        </w:object>
      </w:r>
    </w:p>
    <w:p w14:paraId="2B0A0FBB" w14:textId="77777777" w:rsidR="00411620" w:rsidRPr="00FE433F" w:rsidRDefault="00411620" w:rsidP="00411620">
      <w:pPr>
        <w:spacing w:line="216" w:lineRule="auto"/>
        <w:rPr>
          <w:rFonts w:eastAsia="Calibri"/>
          <w:i/>
          <w:sz w:val="23"/>
          <w:szCs w:val="23"/>
        </w:rPr>
      </w:pPr>
      <w:r w:rsidRPr="00FE433F">
        <w:rPr>
          <w:rFonts w:eastAsia="Calibri"/>
          <w:i/>
          <w:sz w:val="23"/>
          <w:szCs w:val="23"/>
          <w:rtl/>
        </w:rPr>
        <w:lastRenderedPageBreak/>
        <w:t>که همان معادله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او</w:t>
      </w:r>
      <w:r w:rsidRPr="00FE433F">
        <w:rPr>
          <w:rFonts w:eastAsia="Calibri" w:hint="cs"/>
          <w:i/>
          <w:sz w:val="23"/>
          <w:szCs w:val="23"/>
          <w:rtl/>
        </w:rPr>
        <w:t>ی</w:t>
      </w:r>
      <w:r w:rsidRPr="00FE433F">
        <w:rPr>
          <w:rFonts w:eastAsia="Calibri" w:hint="eastAsia"/>
          <w:i/>
          <w:sz w:val="23"/>
          <w:szCs w:val="23"/>
          <w:rtl/>
        </w:rPr>
        <w:t>لر</w:t>
      </w:r>
      <w:r w:rsidRPr="00FE433F">
        <w:rPr>
          <w:rFonts w:eastAsia="Calibri"/>
          <w:i/>
          <w:sz w:val="23"/>
          <w:szCs w:val="23"/>
          <w:rtl/>
        </w:rPr>
        <w:t xml:space="preserve"> معمول</w:t>
      </w:r>
      <w:r w:rsidRPr="00FE433F">
        <w:rPr>
          <w:rFonts w:eastAsia="Calibri" w:hint="cs"/>
          <w:i/>
          <w:sz w:val="23"/>
          <w:szCs w:val="23"/>
          <w:rtl/>
        </w:rPr>
        <w:t>ی</w:t>
      </w:r>
      <w:r w:rsidRPr="00FE433F">
        <w:rPr>
          <w:rFonts w:eastAsia="Calibri"/>
          <w:i/>
          <w:sz w:val="23"/>
          <w:szCs w:val="23"/>
          <w:rtl/>
        </w:rPr>
        <w:t xml:space="preserve"> است.</w:t>
      </w:r>
    </w:p>
    <w:p w14:paraId="3C0A3447" w14:textId="77777777" w:rsidR="00411620" w:rsidRPr="00FE433F" w:rsidRDefault="00411620" w:rsidP="00411620">
      <w:pPr>
        <w:pStyle w:val="Heading1"/>
        <w:spacing w:before="0" w:after="0" w:line="216" w:lineRule="auto"/>
        <w:rPr>
          <w:rFonts w:ascii="Times New Roman" w:hAnsi="Times New Roman" w:cs="B Nazanin"/>
          <w:b w:val="0"/>
          <w:i/>
          <w:sz w:val="23"/>
          <w:szCs w:val="23"/>
          <w:rtl/>
        </w:rPr>
      </w:pPr>
      <w:r w:rsidRPr="00FE433F">
        <w:rPr>
          <w:rFonts w:ascii="Times New Roman" w:hAnsi="Times New Roman" w:cs="B Nazanin"/>
          <w:b w:val="0"/>
          <w:i/>
          <w:sz w:val="23"/>
          <w:szCs w:val="23"/>
          <w:rtl/>
        </w:rPr>
        <w:t xml:space="preserve"> ۸. </w:t>
      </w:r>
      <w:r w:rsidRPr="00FE433F">
        <w:rPr>
          <w:rFonts w:ascii="Times New Roman" w:hAnsi="Times New Roman" w:cs="B Nazanin" w:hint="cs"/>
          <w:b w:val="0"/>
          <w:i/>
          <w:sz w:val="23"/>
          <w:szCs w:val="23"/>
          <w:rtl/>
        </w:rPr>
        <w:t xml:space="preserve">۶ </w:t>
      </w:r>
      <w:r w:rsidRPr="00FE433F">
        <w:rPr>
          <w:rFonts w:ascii="Times New Roman" w:hAnsi="Times New Roman" w:cs="B Nazanin"/>
          <w:b w:val="0"/>
          <w:i/>
          <w:sz w:val="23"/>
          <w:szCs w:val="23"/>
          <w:rtl/>
        </w:rPr>
        <w:t>هز</w:t>
      </w:r>
      <w:r w:rsidRPr="00FE433F">
        <w:rPr>
          <w:rFonts w:ascii="Times New Roman" w:hAnsi="Times New Roman" w:cs="B Nazanin" w:hint="cs"/>
          <w:b w:val="0"/>
          <w:i/>
          <w:sz w:val="23"/>
          <w:szCs w:val="23"/>
          <w:rtl/>
        </w:rPr>
        <w:t>ی</w:t>
      </w:r>
      <w:r w:rsidRPr="00FE433F">
        <w:rPr>
          <w:rFonts w:ascii="Times New Roman" w:hAnsi="Times New Roman" w:cs="B Nazanin" w:hint="eastAsia"/>
          <w:b w:val="0"/>
          <w:i/>
          <w:sz w:val="23"/>
          <w:szCs w:val="23"/>
          <w:rtl/>
        </w:rPr>
        <w:t>نه</w:t>
      </w:r>
      <w:r w:rsidRPr="00FE433F">
        <w:rPr>
          <w:rFonts w:ascii="Times New Roman" w:hAnsi="Times New Roman" w:cs="B Nazanin"/>
          <w:b w:val="0"/>
          <w:i/>
          <w:sz w:val="23"/>
          <w:szCs w:val="23"/>
          <w:rtl/>
        </w:rPr>
        <w:t>‌ها</w:t>
      </w:r>
      <w:r w:rsidRPr="00FE433F">
        <w:rPr>
          <w:rFonts w:ascii="Times New Roman" w:hAnsi="Times New Roman" w:cs="B Nazanin" w:hint="cs"/>
          <w:b w:val="0"/>
          <w:i/>
          <w:sz w:val="23"/>
          <w:szCs w:val="23"/>
          <w:rtl/>
        </w:rPr>
        <w:t>ی</w:t>
      </w:r>
      <w:r w:rsidRPr="00FE433F">
        <w:rPr>
          <w:rFonts w:ascii="Times New Roman" w:hAnsi="Times New Roman" w:cs="B Nazanin"/>
          <w:b w:val="0"/>
          <w:i/>
          <w:sz w:val="23"/>
          <w:szCs w:val="23"/>
          <w:rtl/>
        </w:rPr>
        <w:t xml:space="preserve"> معاملات</w:t>
      </w:r>
      <w:r w:rsidRPr="00FE433F">
        <w:rPr>
          <w:rFonts w:ascii="Times New Roman" w:hAnsi="Times New Roman" w:cs="B Nazanin" w:hint="cs"/>
          <w:b w:val="0"/>
          <w:i/>
          <w:sz w:val="23"/>
          <w:szCs w:val="23"/>
          <w:rtl/>
        </w:rPr>
        <w:t>ی</w:t>
      </w:r>
    </w:p>
    <w:p w14:paraId="6E845C3C" w14:textId="77777777" w:rsidR="00411620" w:rsidRPr="00FE433F" w:rsidRDefault="00411620" w:rsidP="00411620">
      <w:pPr>
        <w:spacing w:line="216" w:lineRule="auto"/>
        <w:rPr>
          <w:rFonts w:eastAsia="Calibri"/>
          <w:i/>
          <w:sz w:val="23"/>
          <w:szCs w:val="23"/>
        </w:rPr>
      </w:pPr>
      <w:r w:rsidRPr="00FE433F">
        <w:rPr>
          <w:rFonts w:eastAsia="Calibri"/>
          <w:i/>
          <w:sz w:val="23"/>
          <w:szCs w:val="23"/>
          <w:rtl/>
        </w:rPr>
        <w:t>تاکنون به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نکته</w:t>
      </w:r>
      <w:r w:rsidRPr="00FE433F">
        <w:rPr>
          <w:rFonts w:eastAsia="Calibri"/>
          <w:i/>
          <w:sz w:val="23"/>
          <w:szCs w:val="23"/>
          <w:rtl/>
        </w:rPr>
        <w:t xml:space="preserve"> </w:t>
      </w:r>
      <w:r w:rsidRPr="00FE433F">
        <w:rPr>
          <w:rFonts w:eastAsia="Calibri" w:hint="eastAsia"/>
          <w:i/>
          <w:sz w:val="23"/>
          <w:szCs w:val="23"/>
          <w:rtl/>
        </w:rPr>
        <w:t>اشاره</w:t>
      </w:r>
      <w:r w:rsidRPr="00FE433F">
        <w:rPr>
          <w:rFonts w:eastAsia="Calibri"/>
          <w:i/>
          <w:sz w:val="23"/>
          <w:szCs w:val="23"/>
          <w:rtl/>
        </w:rPr>
        <w:t xml:space="preserve"> </w:t>
      </w:r>
      <w:r w:rsidRPr="00FE433F">
        <w:rPr>
          <w:rFonts w:eastAsia="Calibri" w:hint="eastAsia"/>
          <w:i/>
          <w:sz w:val="23"/>
          <w:szCs w:val="23"/>
          <w:rtl/>
        </w:rPr>
        <w:t>کرد</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w:t>
      </w:r>
      <w:r w:rsidRPr="00FE433F">
        <w:rPr>
          <w:rFonts w:eastAsia="Calibri" w:hint="eastAsia"/>
          <w:i/>
          <w:sz w:val="23"/>
          <w:szCs w:val="23"/>
          <w:rtl/>
        </w:rPr>
        <w:t>که</w:t>
      </w:r>
      <w:r w:rsidRPr="00FE433F">
        <w:rPr>
          <w:rFonts w:hint="cs"/>
          <w:i/>
          <w:sz w:val="23"/>
          <w:szCs w:val="23"/>
          <w:rtl/>
        </w:rPr>
        <w:t xml:space="preserve"> </w:t>
      </w:r>
      <w:r w:rsidRPr="00FE433F">
        <w:rPr>
          <w:rFonts w:eastAsia="Calibri" w:hint="eastAsia"/>
          <w:i/>
          <w:sz w:val="23"/>
          <w:szCs w:val="23"/>
          <w:rtl/>
        </w:rPr>
        <w:t>پول</w:t>
      </w:r>
      <w:r w:rsidRPr="00FE433F">
        <w:rPr>
          <w:rFonts w:eastAsia="Calibri"/>
          <w:i/>
          <w:sz w:val="23"/>
          <w:szCs w:val="23"/>
          <w:rtl/>
        </w:rPr>
        <w:t xml:space="preserve"> </w:t>
      </w:r>
      <w:r w:rsidRPr="00FE433F">
        <w:rPr>
          <w:rFonts w:eastAsia="Calibri" w:hint="cs"/>
          <w:i/>
          <w:sz w:val="23"/>
          <w:szCs w:val="23"/>
          <w:rtl/>
        </w:rPr>
        <w:t>بخاطر</w:t>
      </w:r>
      <w:r w:rsidRPr="00FE433F">
        <w:rPr>
          <w:rFonts w:eastAsia="Calibri"/>
          <w:i/>
          <w:sz w:val="23"/>
          <w:szCs w:val="23"/>
          <w:rtl/>
        </w:rPr>
        <w:t xml:space="preserve"> </w:t>
      </w:r>
      <w:r w:rsidRPr="00FE433F">
        <w:rPr>
          <w:rFonts w:eastAsia="Calibri" w:hint="eastAsia"/>
          <w:i/>
          <w:sz w:val="23"/>
          <w:szCs w:val="23"/>
          <w:rtl/>
        </w:rPr>
        <w:t>انجام</w:t>
      </w:r>
      <w:r w:rsidRPr="00FE433F">
        <w:rPr>
          <w:rFonts w:eastAsia="Calibri"/>
          <w:i/>
          <w:sz w:val="23"/>
          <w:szCs w:val="23"/>
          <w:rtl/>
        </w:rPr>
        <w:t xml:space="preserve"> </w:t>
      </w:r>
      <w:r w:rsidRPr="00FE433F">
        <w:rPr>
          <w:rFonts w:eastAsia="Calibri" w:hint="eastAsia"/>
          <w:i/>
          <w:sz w:val="23"/>
          <w:szCs w:val="23"/>
          <w:rtl/>
        </w:rPr>
        <w:t>معاملات</w:t>
      </w:r>
      <w:r w:rsidRPr="00FE433F">
        <w:rPr>
          <w:rFonts w:eastAsia="Calibri"/>
          <w:i/>
          <w:sz w:val="23"/>
          <w:szCs w:val="23"/>
        </w:rPr>
        <w:t xml:space="preserve"> </w:t>
      </w:r>
      <w:r w:rsidRPr="00FE433F">
        <w:rPr>
          <w:rFonts w:eastAsia="Calibri" w:hint="cs"/>
          <w:i/>
          <w:sz w:val="23"/>
          <w:szCs w:val="23"/>
          <w:rtl/>
        </w:rPr>
        <w:t xml:space="preserve">و ایجاد </w:t>
      </w:r>
      <w:r w:rsidRPr="00FE433F">
        <w:rPr>
          <w:rFonts w:eastAsia="Calibri" w:hint="eastAsia"/>
          <w:i/>
          <w:sz w:val="23"/>
          <w:szCs w:val="23"/>
          <w:rtl/>
        </w:rPr>
        <w:t>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w:t>
      </w:r>
      <w:r w:rsidRPr="00FE433F">
        <w:rPr>
          <w:rFonts w:eastAsia="Calibri" w:hint="cs"/>
          <w:i/>
          <w:sz w:val="23"/>
          <w:szCs w:val="23"/>
          <w:rtl/>
        </w:rPr>
        <w:t>تقاضا می</w:t>
      </w:r>
      <w:r w:rsidRPr="00FE433F">
        <w:rPr>
          <w:rFonts w:eastAsia="Calibri"/>
          <w:i/>
          <w:sz w:val="23"/>
          <w:szCs w:val="23"/>
          <w:rtl/>
        </w:rPr>
        <w:softHyphen/>
      </w:r>
      <w:r w:rsidRPr="00FE433F">
        <w:rPr>
          <w:rFonts w:eastAsia="Calibri" w:hint="cs"/>
          <w:i/>
          <w:sz w:val="23"/>
          <w:szCs w:val="23"/>
          <w:rtl/>
        </w:rPr>
        <w:t>شود. مطلوبیت حاصل از نگهداری پول ممکن است بطور مستقیم و</w:t>
      </w:r>
      <w:r w:rsidRPr="00FE433F">
        <w:rPr>
          <w:rFonts w:hint="cs"/>
          <w:i/>
          <w:sz w:val="23"/>
          <w:szCs w:val="23"/>
          <w:rtl/>
        </w:rPr>
        <w:t xml:space="preserve"> </w:t>
      </w:r>
      <w:r w:rsidRPr="00FE433F">
        <w:rPr>
          <w:rFonts w:eastAsia="Calibri" w:hint="cs"/>
          <w:i/>
          <w:sz w:val="23"/>
          <w:szCs w:val="23"/>
          <w:rtl/>
        </w:rPr>
        <w:t>یا</w:t>
      </w:r>
      <w:r w:rsidRPr="00FE433F">
        <w:rPr>
          <w:rFonts w:eastAsia="Calibri"/>
          <w:i/>
          <w:sz w:val="23"/>
          <w:szCs w:val="23"/>
          <w:rtl/>
        </w:rPr>
        <w:t xml:space="preserve"> غ</w:t>
      </w:r>
      <w:r w:rsidRPr="00FE433F">
        <w:rPr>
          <w:rFonts w:eastAsia="Calibri" w:hint="cs"/>
          <w:i/>
          <w:sz w:val="23"/>
          <w:szCs w:val="23"/>
          <w:rtl/>
        </w:rPr>
        <w:t>ی</w:t>
      </w:r>
      <w:r w:rsidRPr="00FE433F">
        <w:rPr>
          <w:rFonts w:eastAsia="Calibri" w:hint="eastAsia"/>
          <w:i/>
          <w:sz w:val="23"/>
          <w:szCs w:val="23"/>
          <w:rtl/>
        </w:rPr>
        <w:t>ر</w:t>
      </w:r>
      <w:r w:rsidRPr="00FE433F">
        <w:rPr>
          <w:i/>
          <w:sz w:val="23"/>
          <w:szCs w:val="23"/>
          <w:rtl/>
        </w:rPr>
        <w:softHyphen/>
      </w:r>
      <w:r w:rsidRPr="00FE433F">
        <w:rPr>
          <w:rFonts w:eastAsia="Calibri"/>
          <w:i/>
          <w:sz w:val="23"/>
          <w:szCs w:val="23"/>
          <w:rtl/>
        </w:rPr>
        <w:t>مستق</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از طر</w:t>
      </w:r>
      <w:r w:rsidRPr="00FE433F">
        <w:rPr>
          <w:rFonts w:eastAsia="Calibri" w:hint="cs"/>
          <w:i/>
          <w:sz w:val="23"/>
          <w:szCs w:val="23"/>
          <w:rtl/>
        </w:rPr>
        <w:t>ی</w:t>
      </w:r>
      <w:r w:rsidRPr="00FE433F">
        <w:rPr>
          <w:rFonts w:eastAsia="Calibri" w:hint="eastAsia"/>
          <w:i/>
          <w:sz w:val="23"/>
          <w:szCs w:val="23"/>
          <w:rtl/>
        </w:rPr>
        <w:t>ق</w:t>
      </w:r>
      <w:r w:rsidRPr="00FE433F">
        <w:rPr>
          <w:rFonts w:eastAsia="Calibri"/>
          <w:i/>
          <w:sz w:val="23"/>
          <w:szCs w:val="23"/>
          <w:rtl/>
        </w:rPr>
        <w:t xml:space="preserve"> افزا</w:t>
      </w:r>
      <w:r w:rsidRPr="00FE433F">
        <w:rPr>
          <w:rFonts w:eastAsia="Calibri" w:hint="cs"/>
          <w:i/>
          <w:sz w:val="23"/>
          <w:szCs w:val="23"/>
          <w:rtl/>
        </w:rPr>
        <w:t>ی</w:t>
      </w:r>
      <w:r w:rsidRPr="00FE433F">
        <w:rPr>
          <w:rFonts w:eastAsia="Calibri" w:hint="eastAsia"/>
          <w:i/>
          <w:sz w:val="23"/>
          <w:szCs w:val="23"/>
          <w:rtl/>
        </w:rPr>
        <w:t>ش</w:t>
      </w:r>
      <w:r w:rsidRPr="00FE433F">
        <w:rPr>
          <w:i/>
          <w:sz w:val="23"/>
          <w:szCs w:val="23"/>
          <w:rtl/>
        </w:rPr>
        <w:t xml:space="preserve"> فراغتِ حاصل از صرفه</w:t>
      </w:r>
      <w:r w:rsidRPr="00FE433F">
        <w:rPr>
          <w:i/>
          <w:sz w:val="23"/>
          <w:szCs w:val="23"/>
          <w:rtl/>
        </w:rPr>
        <w:softHyphen/>
      </w:r>
      <w:r w:rsidRPr="00FE433F">
        <w:rPr>
          <w:rFonts w:eastAsia="Calibri"/>
          <w:i/>
          <w:sz w:val="23"/>
          <w:szCs w:val="23"/>
          <w:rtl/>
        </w:rPr>
        <w:t>جو</w:t>
      </w:r>
      <w:r w:rsidRPr="00FE433F">
        <w:rPr>
          <w:rFonts w:eastAsia="Calibri" w:hint="cs"/>
          <w:i/>
          <w:sz w:val="23"/>
          <w:szCs w:val="23"/>
          <w:rtl/>
        </w:rPr>
        <w:t>یی</w:t>
      </w:r>
      <w:r w:rsidRPr="00FE433F">
        <w:rPr>
          <w:rFonts w:eastAsia="Calibri"/>
          <w:i/>
          <w:sz w:val="23"/>
          <w:szCs w:val="23"/>
          <w:rtl/>
        </w:rPr>
        <w:t xml:space="preserve"> در زمان خر</w:t>
      </w:r>
      <w:r w:rsidRPr="00FE433F">
        <w:rPr>
          <w:rFonts w:eastAsia="Calibri" w:hint="cs"/>
          <w:i/>
          <w:sz w:val="23"/>
          <w:szCs w:val="23"/>
          <w:rtl/>
        </w:rPr>
        <w:t>ی</w:t>
      </w:r>
      <w:r w:rsidRPr="00FE433F">
        <w:rPr>
          <w:rFonts w:eastAsia="Calibri" w:hint="eastAsia"/>
          <w:i/>
          <w:sz w:val="23"/>
          <w:szCs w:val="23"/>
          <w:rtl/>
        </w:rPr>
        <w:t>د</w:t>
      </w:r>
      <w:r w:rsidRPr="00FE433F">
        <w:rPr>
          <w:rFonts w:eastAsia="Calibri" w:hint="cs"/>
          <w:i/>
          <w:sz w:val="23"/>
          <w:szCs w:val="23"/>
          <w:rtl/>
        </w:rPr>
        <w:t xml:space="preserve"> ایجاد شود.</w:t>
      </w:r>
      <w:r w:rsidRPr="00FE433F">
        <w:rPr>
          <w:rFonts w:eastAsia="Calibri"/>
          <w:i/>
          <w:sz w:val="23"/>
          <w:szCs w:val="23"/>
          <w:rtl/>
        </w:rPr>
        <w:t xml:space="preserve"> اکنون فرض م</w:t>
      </w:r>
      <w:r w:rsidRPr="00FE433F">
        <w:rPr>
          <w:rFonts w:eastAsia="Calibri" w:hint="cs"/>
          <w:i/>
          <w:sz w:val="23"/>
          <w:szCs w:val="23"/>
          <w:rtl/>
        </w:rPr>
        <w:t>ی‌</w:t>
      </w:r>
      <w:r w:rsidRPr="00FE433F">
        <w:rPr>
          <w:rFonts w:eastAsia="Calibri"/>
          <w:i/>
          <w:sz w:val="23"/>
          <w:szCs w:val="23"/>
          <w:rtl/>
        </w:rPr>
        <w:t>کن</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w:t>
      </w:r>
      <w:r w:rsidRPr="00FE433F">
        <w:rPr>
          <w:rFonts w:eastAsia="Calibri" w:hint="eastAsia"/>
          <w:i/>
          <w:sz w:val="23"/>
          <w:szCs w:val="23"/>
          <w:rtl/>
        </w:rPr>
        <w:t>انجام</w:t>
      </w:r>
      <w:r w:rsidRPr="00FE433F">
        <w:rPr>
          <w:rFonts w:eastAsia="Calibri"/>
          <w:i/>
          <w:sz w:val="23"/>
          <w:szCs w:val="23"/>
          <w:rtl/>
        </w:rPr>
        <w:t xml:space="preserve"> </w:t>
      </w:r>
      <w:r w:rsidRPr="00FE433F">
        <w:rPr>
          <w:rFonts w:eastAsia="Calibri" w:hint="eastAsia"/>
          <w:i/>
          <w:sz w:val="23"/>
          <w:szCs w:val="23"/>
          <w:rtl/>
        </w:rPr>
        <w:t>معاملات</w:t>
      </w:r>
      <w:r w:rsidRPr="00FE433F">
        <w:rPr>
          <w:rFonts w:eastAsia="Calibri"/>
          <w:i/>
          <w:sz w:val="23"/>
          <w:szCs w:val="23"/>
          <w:rtl/>
        </w:rPr>
        <w:t xml:space="preserve"> </w:t>
      </w:r>
      <w:r w:rsidRPr="00FE433F">
        <w:rPr>
          <w:rFonts w:eastAsia="Calibri" w:hint="eastAsia"/>
          <w:i/>
          <w:sz w:val="23"/>
          <w:szCs w:val="23"/>
          <w:rtl/>
        </w:rPr>
        <w:t>مصرف</w:t>
      </w:r>
      <w:r w:rsidRPr="00FE433F">
        <w:rPr>
          <w:rFonts w:eastAsia="Calibri" w:hint="cs"/>
          <w:i/>
          <w:sz w:val="23"/>
          <w:szCs w:val="23"/>
          <w:rtl/>
        </w:rPr>
        <w:t>ی</w:t>
      </w:r>
      <w:r w:rsidRPr="00FE433F">
        <w:rPr>
          <w:rFonts w:hint="cs"/>
          <w:i/>
          <w:sz w:val="23"/>
          <w:szCs w:val="23"/>
          <w:rtl/>
        </w:rPr>
        <w:t xml:space="preserve">، </w:t>
      </w:r>
      <w:r w:rsidRPr="00FE433F">
        <w:rPr>
          <w:rFonts w:eastAsia="Calibri" w:hint="eastAsia"/>
          <w:i/>
          <w:sz w:val="23"/>
          <w:szCs w:val="23"/>
          <w:rtl/>
        </w:rPr>
        <w:t>هز</w:t>
      </w:r>
      <w:r w:rsidRPr="00FE433F">
        <w:rPr>
          <w:rFonts w:eastAsia="Calibri" w:hint="cs"/>
          <w:i/>
          <w:sz w:val="23"/>
          <w:szCs w:val="23"/>
          <w:rtl/>
        </w:rPr>
        <w:t>ی</w:t>
      </w:r>
      <w:r w:rsidRPr="00FE433F">
        <w:rPr>
          <w:rFonts w:eastAsia="Calibri" w:hint="eastAsia"/>
          <w:i/>
          <w:sz w:val="23"/>
          <w:szCs w:val="23"/>
          <w:rtl/>
        </w:rPr>
        <w:t>نه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i/>
          <w:sz w:val="23"/>
          <w:szCs w:val="23"/>
          <w:rtl/>
        </w:rPr>
        <w:t xml:space="preserve"> را دربر</w:t>
      </w:r>
      <w:r w:rsidRPr="00FE433F">
        <w:rPr>
          <w:rFonts w:hint="cs"/>
          <w:i/>
          <w:sz w:val="23"/>
          <w:szCs w:val="23"/>
          <w:rtl/>
        </w:rPr>
        <w:t xml:space="preserve"> </w:t>
      </w:r>
      <w:r w:rsidRPr="00FE433F">
        <w:rPr>
          <w:rFonts w:eastAsia="Calibri"/>
          <w:i/>
          <w:sz w:val="23"/>
          <w:szCs w:val="23"/>
          <w:rtl/>
        </w:rPr>
        <w:t xml:space="preserve">دارد و </w:t>
      </w:r>
      <w:r w:rsidRPr="00FE433F">
        <w:rPr>
          <w:rFonts w:eastAsia="Calibri" w:hint="cs"/>
          <w:i/>
          <w:sz w:val="23"/>
          <w:szCs w:val="23"/>
          <w:rtl/>
        </w:rPr>
        <w:t xml:space="preserve">با </w:t>
      </w:r>
      <w:r w:rsidRPr="00FE433F">
        <w:rPr>
          <w:rFonts w:eastAsia="Calibri"/>
          <w:i/>
          <w:sz w:val="23"/>
          <w:szCs w:val="23"/>
          <w:rtl/>
        </w:rPr>
        <w:t>بکارگ</w:t>
      </w:r>
      <w:r w:rsidRPr="00FE433F">
        <w:rPr>
          <w:rFonts w:eastAsia="Calibri" w:hint="cs"/>
          <w:i/>
          <w:sz w:val="23"/>
          <w:szCs w:val="23"/>
          <w:rtl/>
        </w:rPr>
        <w:t>ی</w:t>
      </w:r>
      <w:r w:rsidRPr="00FE433F">
        <w:rPr>
          <w:rFonts w:eastAsia="Calibri" w:hint="eastAsia"/>
          <w:i/>
          <w:sz w:val="23"/>
          <w:szCs w:val="23"/>
          <w:rtl/>
        </w:rPr>
        <w:t>ر</w:t>
      </w:r>
      <w:r w:rsidRPr="00FE433F">
        <w:rPr>
          <w:rFonts w:eastAsia="Calibri" w:hint="cs"/>
          <w:i/>
          <w:sz w:val="23"/>
          <w:szCs w:val="23"/>
          <w:rtl/>
        </w:rPr>
        <w:t>ی</w:t>
      </w:r>
      <w:r w:rsidRPr="00FE433F">
        <w:rPr>
          <w:rFonts w:eastAsia="Calibri"/>
          <w:i/>
          <w:sz w:val="23"/>
          <w:szCs w:val="23"/>
          <w:rtl/>
        </w:rPr>
        <w:t xml:space="preserve"> پول ممکن است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هز</w:t>
      </w:r>
      <w:r w:rsidRPr="00FE433F">
        <w:rPr>
          <w:rFonts w:eastAsia="Calibri" w:hint="cs"/>
          <w:i/>
          <w:sz w:val="23"/>
          <w:szCs w:val="23"/>
          <w:rtl/>
        </w:rPr>
        <w:t>ی</w:t>
      </w:r>
      <w:r w:rsidRPr="00FE433F">
        <w:rPr>
          <w:rFonts w:eastAsia="Calibri" w:hint="eastAsia"/>
          <w:i/>
          <w:sz w:val="23"/>
          <w:szCs w:val="23"/>
          <w:rtl/>
        </w:rPr>
        <w:t>نه</w:t>
      </w:r>
      <w:r w:rsidRPr="00FE433F">
        <w:rPr>
          <w:rFonts w:eastAsia="Calibri"/>
          <w:i/>
          <w:sz w:val="23"/>
          <w:szCs w:val="23"/>
          <w:rtl/>
        </w:rPr>
        <w:t xml:space="preserve"> کاهش </w:t>
      </w:r>
      <w:r w:rsidRPr="00FE433F">
        <w:rPr>
          <w:rFonts w:eastAsia="Calibri" w:hint="cs"/>
          <w:i/>
          <w:sz w:val="23"/>
          <w:szCs w:val="23"/>
          <w:rtl/>
        </w:rPr>
        <w:t>یاب</w:t>
      </w:r>
      <w:r w:rsidRPr="00FE433F">
        <w:rPr>
          <w:rFonts w:eastAsia="Calibri"/>
          <w:i/>
          <w:sz w:val="23"/>
          <w:szCs w:val="23"/>
          <w:rtl/>
        </w:rPr>
        <w:t>د.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ا</w:t>
      </w:r>
      <w:r w:rsidRPr="00FE433F">
        <w:rPr>
          <w:rFonts w:eastAsia="Calibri" w:hint="cs"/>
          <w:i/>
          <w:sz w:val="23"/>
          <w:szCs w:val="23"/>
          <w:rtl/>
        </w:rPr>
        <w:t>ی</w:t>
      </w:r>
      <w:r w:rsidRPr="00FE433F">
        <w:rPr>
          <w:rFonts w:eastAsia="Calibri" w:hint="eastAsia"/>
          <w:i/>
          <w:sz w:val="23"/>
          <w:szCs w:val="23"/>
          <w:rtl/>
        </w:rPr>
        <w:t>ده</w:t>
      </w:r>
      <w:r w:rsidRPr="00FE433F">
        <w:rPr>
          <w:rFonts w:eastAsia="Calibri"/>
          <w:i/>
          <w:sz w:val="23"/>
          <w:szCs w:val="23"/>
          <w:rtl/>
        </w:rPr>
        <w:t xml:space="preserve"> </w:t>
      </w:r>
      <w:r w:rsidRPr="00FE433F">
        <w:rPr>
          <w:rFonts w:eastAsia="Calibri" w:hint="eastAsia"/>
          <w:i/>
          <w:sz w:val="23"/>
          <w:szCs w:val="23"/>
          <w:rtl/>
        </w:rPr>
        <w:t>اب</w:t>
      </w:r>
      <w:r w:rsidRPr="00FE433F">
        <w:rPr>
          <w:rFonts w:eastAsia="Calibri" w:hint="cs"/>
          <w:i/>
          <w:sz w:val="23"/>
          <w:szCs w:val="23"/>
          <w:rtl/>
        </w:rPr>
        <w:t>ت</w:t>
      </w:r>
      <w:r w:rsidRPr="00FE433F">
        <w:rPr>
          <w:rFonts w:eastAsia="Calibri" w:hint="eastAsia"/>
          <w:i/>
          <w:sz w:val="23"/>
          <w:szCs w:val="23"/>
          <w:rtl/>
        </w:rPr>
        <w:t>دا</w:t>
      </w:r>
      <w:r w:rsidRPr="00FE433F">
        <w:rPr>
          <w:rFonts w:eastAsia="Calibri"/>
          <w:i/>
          <w:sz w:val="23"/>
          <w:szCs w:val="23"/>
          <w:rtl/>
        </w:rPr>
        <w:t xml:space="preserve"> </w:t>
      </w:r>
      <w:r w:rsidRPr="00FE433F">
        <w:rPr>
          <w:rFonts w:eastAsia="Calibri" w:hint="eastAsia"/>
          <w:i/>
          <w:sz w:val="23"/>
          <w:szCs w:val="23"/>
          <w:rtl/>
        </w:rPr>
        <w:t>توسط</w:t>
      </w:r>
      <w:r w:rsidRPr="00FE433F">
        <w:rPr>
          <w:rFonts w:eastAsia="Calibri"/>
          <w:i/>
          <w:sz w:val="23"/>
          <w:szCs w:val="23"/>
          <w:rtl/>
        </w:rPr>
        <w:t xml:space="preserve"> </w:t>
      </w:r>
      <w:r w:rsidRPr="00FE433F">
        <w:rPr>
          <w:rFonts w:eastAsia="Calibri" w:hint="eastAsia"/>
          <w:i/>
          <w:sz w:val="23"/>
          <w:szCs w:val="23"/>
          <w:rtl/>
        </w:rPr>
        <w:t>بروک</w:t>
      </w:r>
      <w:r w:rsidRPr="00FE433F">
        <w:rPr>
          <w:rStyle w:val="FootnoteReference"/>
          <w:rFonts w:eastAsiaTheme="majorEastAsia"/>
          <w:i/>
          <w:sz w:val="23"/>
          <w:szCs w:val="23"/>
          <w:rtl/>
        </w:rPr>
        <w:footnoteReference w:id="197"/>
      </w:r>
      <w:r w:rsidRPr="00FE433F">
        <w:rPr>
          <w:rFonts w:eastAsia="Calibri"/>
          <w:i/>
          <w:sz w:val="23"/>
          <w:szCs w:val="23"/>
          <w:rtl/>
        </w:rPr>
        <w:t xml:space="preserve"> ارائه شد و سپس توسط ف</w:t>
      </w:r>
      <w:r w:rsidRPr="00FE433F">
        <w:rPr>
          <w:rFonts w:eastAsia="Calibri" w:hint="cs"/>
          <w:i/>
          <w:sz w:val="23"/>
          <w:szCs w:val="23"/>
          <w:rtl/>
        </w:rPr>
        <w:t>ی</w:t>
      </w:r>
      <w:r w:rsidRPr="00FE433F">
        <w:rPr>
          <w:rFonts w:eastAsia="Calibri" w:hint="eastAsia"/>
          <w:i/>
          <w:sz w:val="23"/>
          <w:szCs w:val="23"/>
          <w:rtl/>
        </w:rPr>
        <w:t>نسترا</w:t>
      </w:r>
      <w:r w:rsidRPr="00FE433F">
        <w:rPr>
          <w:rStyle w:val="FootnoteReference"/>
          <w:rFonts w:eastAsiaTheme="majorEastAsia"/>
          <w:i/>
          <w:sz w:val="23"/>
          <w:szCs w:val="23"/>
          <w:rtl/>
        </w:rPr>
        <w:footnoteReference w:id="198"/>
      </w:r>
      <w:r w:rsidRPr="00FE433F">
        <w:rPr>
          <w:i/>
          <w:sz w:val="23"/>
          <w:szCs w:val="23"/>
          <w:rtl/>
        </w:rPr>
        <w:t xml:space="preserve"> فرمول</w:t>
      </w:r>
      <w:r w:rsidRPr="00FE433F">
        <w:rPr>
          <w:i/>
          <w:sz w:val="23"/>
          <w:szCs w:val="23"/>
          <w:rtl/>
        </w:rPr>
        <w:softHyphen/>
      </w:r>
      <w:r w:rsidRPr="00FE433F">
        <w:rPr>
          <w:rFonts w:eastAsia="Calibri"/>
          <w:i/>
          <w:sz w:val="23"/>
          <w:szCs w:val="23"/>
          <w:rtl/>
        </w:rPr>
        <w:t>بند</w:t>
      </w:r>
      <w:r w:rsidRPr="00FE433F">
        <w:rPr>
          <w:rFonts w:eastAsia="Calibri" w:hint="cs"/>
          <w:i/>
          <w:sz w:val="23"/>
          <w:szCs w:val="23"/>
          <w:rtl/>
        </w:rPr>
        <w:t>ی</w:t>
      </w:r>
      <w:r w:rsidRPr="00FE433F">
        <w:rPr>
          <w:rFonts w:eastAsia="Calibri"/>
          <w:i/>
          <w:sz w:val="23"/>
          <w:szCs w:val="23"/>
          <w:rtl/>
        </w:rPr>
        <w:t xml:space="preserve"> شد. </w:t>
      </w:r>
    </w:p>
    <w:p w14:paraId="66D35ED5"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با در نظر گرفتن هز</w:t>
      </w:r>
      <w:r w:rsidRPr="00FE433F">
        <w:rPr>
          <w:rFonts w:eastAsia="Calibri" w:hint="cs"/>
          <w:i/>
          <w:sz w:val="23"/>
          <w:szCs w:val="23"/>
          <w:rtl/>
        </w:rPr>
        <w:t>ی</w:t>
      </w:r>
      <w:r w:rsidRPr="00FE433F">
        <w:rPr>
          <w:rFonts w:eastAsia="Calibri" w:hint="eastAsia"/>
          <w:i/>
          <w:sz w:val="23"/>
          <w:szCs w:val="23"/>
          <w:rtl/>
        </w:rPr>
        <w:t>نه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منبع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معاملات جهت مخارج مصرف</w:t>
      </w:r>
      <w:r w:rsidRPr="00FE433F">
        <w:rPr>
          <w:rFonts w:eastAsia="Calibri" w:hint="cs"/>
          <w:i/>
          <w:sz w:val="23"/>
          <w:szCs w:val="23"/>
          <w:rtl/>
        </w:rPr>
        <w:t>ی</w:t>
      </w:r>
      <w:r w:rsidRPr="00FE433F">
        <w:rPr>
          <w:rFonts w:eastAsia="Calibri"/>
          <w:i/>
          <w:sz w:val="23"/>
          <w:szCs w:val="23"/>
          <w:rtl/>
        </w:rPr>
        <w:t xml:space="preserve"> و بازنو</w:t>
      </w:r>
      <w:r w:rsidRPr="00FE433F">
        <w:rPr>
          <w:rFonts w:eastAsia="Calibri" w:hint="cs"/>
          <w:i/>
          <w:sz w:val="23"/>
          <w:szCs w:val="23"/>
          <w:rtl/>
        </w:rPr>
        <w:t>ی</w:t>
      </w:r>
      <w:r w:rsidRPr="00FE433F">
        <w:rPr>
          <w:rFonts w:eastAsia="Calibri" w:hint="eastAsia"/>
          <w:i/>
          <w:sz w:val="23"/>
          <w:szCs w:val="23"/>
          <w:rtl/>
        </w:rPr>
        <w:t>س</w:t>
      </w:r>
      <w:r w:rsidRPr="00FE433F">
        <w:rPr>
          <w:rFonts w:eastAsia="Calibri" w:hint="cs"/>
          <w:i/>
          <w:sz w:val="23"/>
          <w:szCs w:val="23"/>
          <w:rtl/>
        </w:rPr>
        <w:t>ی</w:t>
      </w:r>
      <w:r w:rsidRPr="00FE433F">
        <w:rPr>
          <w:rFonts w:eastAsia="Calibri"/>
          <w:i/>
          <w:sz w:val="23"/>
          <w:szCs w:val="23"/>
          <w:rtl/>
        </w:rPr>
        <w:t xml:space="preserve"> رابطه</w:t>
      </w:r>
      <w:r w:rsidRPr="00FE433F">
        <w:rPr>
          <w:rFonts w:eastAsia="Calibri" w:hint="eastAsia"/>
          <w:i/>
          <w:sz w:val="23"/>
          <w:szCs w:val="23"/>
        </w:rPr>
        <w:t>‌</w:t>
      </w:r>
      <w:r w:rsidRPr="00FE433F">
        <w:rPr>
          <w:rFonts w:eastAsia="Calibri" w:hint="cs"/>
          <w:i/>
          <w:sz w:val="23"/>
          <w:szCs w:val="23"/>
          <w:rtl/>
        </w:rPr>
        <w:t xml:space="preserve">ی </w:t>
      </w:r>
      <w:r w:rsidRPr="00FE433F">
        <w:rPr>
          <w:i/>
          <w:sz w:val="23"/>
          <w:szCs w:val="23"/>
          <w:rtl/>
        </w:rPr>
        <w:t>(۸</w:t>
      </w:r>
      <w:r w:rsidRPr="00FE433F">
        <w:rPr>
          <w:rFonts w:hint="cs"/>
          <w:i/>
          <w:sz w:val="23"/>
          <w:szCs w:val="23"/>
          <w:rtl/>
        </w:rPr>
        <w:t xml:space="preserve">. </w:t>
      </w:r>
      <w:r w:rsidRPr="00FE433F">
        <w:rPr>
          <w:i/>
          <w:sz w:val="23"/>
          <w:szCs w:val="23"/>
          <w:rtl/>
        </w:rPr>
        <w:t>۲)</w:t>
      </w:r>
      <w:r w:rsidRPr="00FE433F">
        <w:rPr>
          <w:rFonts w:eastAsia="Calibri"/>
          <w:i/>
          <w:sz w:val="23"/>
          <w:szCs w:val="23"/>
          <w:rtl/>
        </w:rPr>
        <w:t>، 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بودجه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خانوار عبارت خواهد بود از؛</w:t>
      </w:r>
    </w:p>
    <w:p w14:paraId="55EA0717" w14:textId="77777777" w:rsidR="00411620" w:rsidRPr="00FE433F" w:rsidRDefault="00411620" w:rsidP="00411620">
      <w:pPr>
        <w:pStyle w:val="MTDisplayEquation"/>
        <w:tabs>
          <w:tab w:val="clear" w:pos="6660"/>
          <w:tab w:val="right" w:pos="0"/>
        </w:tabs>
        <w:spacing w:line="216" w:lineRule="auto"/>
        <w:rPr>
          <w:rFonts w:ascii="Times New Roman" w:eastAsia="Times New Roman" w:hAnsi="Times New Roman" w:cs="B Nazanin"/>
          <w:i/>
          <w:sz w:val="23"/>
          <w:szCs w:val="23"/>
          <w:rtl/>
          <w:lang w:bidi="fa-IR"/>
        </w:rPr>
      </w:pPr>
      <w:r w:rsidRPr="00FE433F">
        <w:rPr>
          <w:position w:val="-12"/>
        </w:rPr>
        <w:object w:dxaOrig="5620" w:dyaOrig="360" w14:anchorId="12595385">
          <v:shape id="_x0000_i4135" type="#_x0000_t75" style="width:280.75pt;height:18.15pt" o:ole="">
            <v:imagedata r:id="rId6259" o:title=""/>
          </v:shape>
          <o:OLEObject Type="Embed" ProgID="Equation.DSMT4" ShapeID="_x0000_i4135" DrawAspect="Content" ObjectID="_1791378079" r:id="rId6260"/>
        </w:object>
      </w:r>
    </w:p>
    <w:p w14:paraId="0E1EE4E9" w14:textId="77777777" w:rsidR="00411620" w:rsidRPr="00FE433F" w:rsidRDefault="00411620" w:rsidP="00411620">
      <w:pPr>
        <w:spacing w:line="216" w:lineRule="auto"/>
        <w:rPr>
          <w:i/>
          <w:sz w:val="23"/>
          <w:szCs w:val="23"/>
          <w:rtl/>
        </w:rPr>
      </w:pPr>
      <w:r w:rsidRPr="00FE433F">
        <w:rPr>
          <w:i/>
          <w:sz w:val="23"/>
          <w:szCs w:val="23"/>
          <w:rtl/>
        </w:rPr>
        <w:t xml:space="preserve">که در آن </w:t>
      </w:r>
      <w:r w:rsidRPr="00FE433F">
        <w:rPr>
          <w:position w:val="-12"/>
        </w:rPr>
        <w:object w:dxaOrig="880" w:dyaOrig="360" w14:anchorId="07E5CF8A">
          <v:shape id="_x0000_i4136" type="#_x0000_t75" style="width:44.15pt;height:18.15pt" o:ole="">
            <v:imagedata r:id="rId6261" o:title=""/>
          </v:shape>
          <o:OLEObject Type="Embed" ProgID="Equation.DSMT4" ShapeID="_x0000_i4136" DrawAspect="Content" ObjectID="_1791378080" r:id="rId6262"/>
        </w:object>
      </w:r>
      <w:r w:rsidRPr="00FE433F">
        <w:rPr>
          <w:i/>
          <w:sz w:val="23"/>
          <w:szCs w:val="23"/>
          <w:rtl/>
        </w:rPr>
        <w:t xml:space="preserve"> هز</w:t>
      </w:r>
      <w:r w:rsidRPr="00FE433F">
        <w:rPr>
          <w:rFonts w:hint="cs"/>
          <w:i/>
          <w:sz w:val="23"/>
          <w:szCs w:val="23"/>
          <w:rtl/>
        </w:rPr>
        <w:t>ی</w:t>
      </w:r>
      <w:r w:rsidRPr="00FE433F">
        <w:rPr>
          <w:rFonts w:hint="eastAsia"/>
          <w:i/>
          <w:sz w:val="23"/>
          <w:szCs w:val="23"/>
          <w:rtl/>
        </w:rPr>
        <w:t>نه</w:t>
      </w:r>
      <w:r w:rsidRPr="00FE433F">
        <w:rPr>
          <w:rFonts w:hint="eastAsia"/>
          <w:i/>
          <w:sz w:val="23"/>
          <w:szCs w:val="23"/>
        </w:rPr>
        <w:t>‌</w:t>
      </w:r>
      <w:r w:rsidRPr="00FE433F">
        <w:rPr>
          <w:rFonts w:hint="cs"/>
          <w:i/>
          <w:sz w:val="23"/>
          <w:szCs w:val="23"/>
          <w:rtl/>
        </w:rPr>
        <w:t>ی</w:t>
      </w:r>
      <w:r w:rsidRPr="00FE433F">
        <w:rPr>
          <w:i/>
          <w:sz w:val="23"/>
          <w:szCs w:val="23"/>
          <w:rtl/>
        </w:rPr>
        <w:t xml:space="preserve"> منبع 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معاملات مربوط به مخارج مصرف</w:t>
      </w:r>
      <w:r w:rsidRPr="00FE433F">
        <w:rPr>
          <w:rFonts w:hint="cs"/>
          <w:i/>
          <w:sz w:val="23"/>
          <w:szCs w:val="23"/>
          <w:rtl/>
        </w:rPr>
        <w:t>ی</w:t>
      </w:r>
      <w:r w:rsidRPr="00FE433F">
        <w:rPr>
          <w:i/>
          <w:sz w:val="23"/>
          <w:szCs w:val="23"/>
          <w:rtl/>
        </w:rPr>
        <w:t xml:space="preserve"> است و </w:t>
      </w:r>
      <w:r w:rsidRPr="00FE433F">
        <w:rPr>
          <w:position w:val="-6"/>
        </w:rPr>
        <w:object w:dxaOrig="580" w:dyaOrig="260" w14:anchorId="165799C8">
          <v:shape id="_x0000_i4137" type="#_x0000_t75" style="width:29.05pt;height:13.3pt" o:ole="">
            <v:imagedata r:id="rId6263" o:title=""/>
          </v:shape>
          <o:OLEObject Type="Embed" ProgID="Equation.DSMT4" ShapeID="_x0000_i4137" DrawAspect="Content" ObjectID="_1791378081" r:id="rId6264"/>
        </w:object>
      </w:r>
      <w:r w:rsidRPr="00FE433F">
        <w:rPr>
          <w:i/>
          <w:sz w:val="23"/>
          <w:szCs w:val="23"/>
          <w:rtl/>
        </w:rPr>
        <w:t xml:space="preserve">، </w:t>
      </w:r>
      <w:r w:rsidRPr="00FE433F">
        <w:rPr>
          <w:position w:val="-12"/>
        </w:rPr>
        <w:object w:dxaOrig="1120" w:dyaOrig="360" w14:anchorId="39B34D6C">
          <v:shape id="_x0000_i4138" type="#_x0000_t75" style="width:55.65pt;height:18.15pt" o:ole="">
            <v:imagedata r:id="rId6265" o:title=""/>
          </v:shape>
          <o:OLEObject Type="Embed" ProgID="Equation.DSMT4" ShapeID="_x0000_i4138" DrawAspect="Content" ObjectID="_1791378082" r:id="rId6266"/>
        </w:object>
      </w:r>
      <w:r w:rsidRPr="00FE433F">
        <w:rPr>
          <w:i/>
          <w:sz w:val="23"/>
          <w:szCs w:val="23"/>
          <w:rtl/>
        </w:rPr>
        <w:t xml:space="preserve">، </w:t>
      </w:r>
      <w:r w:rsidRPr="00FE433F">
        <w:rPr>
          <w:position w:val="-10"/>
        </w:rPr>
        <w:object w:dxaOrig="1520" w:dyaOrig="320" w14:anchorId="2EADF1D1">
          <v:shape id="_x0000_i4139" type="#_x0000_t75" style="width:76.25pt;height:16.35pt" o:ole="">
            <v:imagedata r:id="rId6267" o:title=""/>
          </v:shape>
          <o:OLEObject Type="Embed" ProgID="Equation.DSMT4" ShapeID="_x0000_i4139" DrawAspect="Content" ObjectID="_1791378083" r:id="rId6268"/>
        </w:object>
      </w:r>
      <w:r w:rsidRPr="00FE433F">
        <w:rPr>
          <w:i/>
          <w:sz w:val="23"/>
          <w:szCs w:val="23"/>
          <w:rtl/>
        </w:rPr>
        <w:t>،</w:t>
      </w:r>
      <w:r w:rsidRPr="00FE433F">
        <w:rPr>
          <w:i/>
          <w:sz w:val="23"/>
          <w:szCs w:val="23"/>
        </w:rPr>
        <w:t xml:space="preserve"> </w:t>
      </w:r>
      <w:r w:rsidRPr="00FE433F">
        <w:rPr>
          <w:position w:val="-10"/>
        </w:rPr>
        <w:object w:dxaOrig="1320" w:dyaOrig="320" w14:anchorId="6222A0A3">
          <v:shape id="_x0000_i4140" type="#_x0000_t75" style="width:65.95pt;height:16.35pt" o:ole="">
            <v:imagedata r:id="rId6269" o:title=""/>
          </v:shape>
          <o:OLEObject Type="Embed" ProgID="Equation.DSMT4" ShapeID="_x0000_i4140" DrawAspect="Content" ObjectID="_1791378084" r:id="rId6270"/>
        </w:object>
      </w:r>
      <w:r w:rsidRPr="00FE433F">
        <w:rPr>
          <w:i/>
          <w:sz w:val="23"/>
          <w:szCs w:val="23"/>
          <w:rtl/>
        </w:rPr>
        <w:t xml:space="preserve">و </w:t>
      </w:r>
      <w:r w:rsidRPr="00FE433F">
        <w:rPr>
          <w:position w:val="-12"/>
        </w:rPr>
        <w:object w:dxaOrig="1040" w:dyaOrig="360" w14:anchorId="65797284">
          <v:shape id="_x0000_i4141" type="#_x0000_t75" style="width:52.05pt;height:18.15pt" o:ole="">
            <v:imagedata r:id="rId6271" o:title=""/>
          </v:shape>
          <o:OLEObject Type="Embed" ProgID="Equation.DSMT4" ShapeID="_x0000_i4141" DrawAspect="Content" ObjectID="_1791378085" r:id="rId6272"/>
        </w:object>
      </w:r>
      <w:r w:rsidRPr="00FE433F">
        <w:rPr>
          <w:i/>
          <w:sz w:val="23"/>
          <w:szCs w:val="23"/>
        </w:rPr>
        <w:t xml:space="preserve"> </w:t>
      </w:r>
      <w:r w:rsidRPr="00FE433F">
        <w:rPr>
          <w:i/>
          <w:sz w:val="23"/>
          <w:szCs w:val="23"/>
          <w:rtl/>
        </w:rPr>
        <w:t>تابع</w:t>
      </w:r>
      <w:r w:rsidRPr="00FE433F">
        <w:rPr>
          <w:rFonts w:hint="cs"/>
          <w:i/>
          <w:sz w:val="23"/>
          <w:szCs w:val="23"/>
          <w:rtl/>
        </w:rPr>
        <w:t>ی</w:t>
      </w:r>
      <w:r w:rsidRPr="00FE433F">
        <w:rPr>
          <w:i/>
          <w:sz w:val="23"/>
          <w:szCs w:val="23"/>
          <w:rtl/>
        </w:rPr>
        <w:t xml:space="preserve"> شب</w:t>
      </w:r>
      <w:r w:rsidRPr="00FE433F">
        <w:rPr>
          <w:rFonts w:hint="eastAsia"/>
          <w:i/>
          <w:sz w:val="23"/>
          <w:szCs w:val="23"/>
          <w:rtl/>
        </w:rPr>
        <w:t>ه</w:t>
      </w:r>
      <w:r w:rsidRPr="00FE433F">
        <w:rPr>
          <w:i/>
          <w:sz w:val="23"/>
          <w:szCs w:val="23"/>
          <w:rtl/>
        </w:rPr>
        <w:t xml:space="preserve"> </w:t>
      </w:r>
      <w:r w:rsidRPr="00FE433F">
        <w:rPr>
          <w:rFonts w:hint="eastAsia"/>
          <w:i/>
          <w:sz w:val="23"/>
          <w:szCs w:val="23"/>
          <w:rtl/>
        </w:rPr>
        <w:t>مقعر</w:t>
      </w:r>
      <w:r w:rsidRPr="00FE433F">
        <w:rPr>
          <w:i/>
          <w:sz w:val="23"/>
          <w:szCs w:val="23"/>
          <w:rtl/>
        </w:rPr>
        <w:t xml:space="preserve"> است. فروض فوق مب</w:t>
      </w:r>
      <w:r w:rsidRPr="00FE433F">
        <w:rPr>
          <w:rFonts w:hint="cs"/>
          <w:i/>
          <w:sz w:val="23"/>
          <w:szCs w:val="23"/>
          <w:rtl/>
        </w:rPr>
        <w:t>ی</w:t>
      </w:r>
      <w:r w:rsidRPr="00FE433F">
        <w:rPr>
          <w:rFonts w:hint="eastAsia"/>
          <w:i/>
          <w:sz w:val="23"/>
          <w:szCs w:val="23"/>
          <w:rtl/>
        </w:rPr>
        <w:t>ن</w:t>
      </w:r>
      <w:r w:rsidRPr="00FE433F">
        <w:rPr>
          <w:i/>
          <w:sz w:val="23"/>
          <w:szCs w:val="23"/>
          <w:rtl/>
        </w:rPr>
        <w:t xml:space="preserve"> آن است که با افزا</w:t>
      </w:r>
      <w:r w:rsidRPr="00FE433F">
        <w:rPr>
          <w:rFonts w:hint="cs"/>
          <w:i/>
          <w:sz w:val="23"/>
          <w:szCs w:val="23"/>
          <w:rtl/>
        </w:rPr>
        <w:t>ی</w:t>
      </w:r>
      <w:r w:rsidRPr="00FE433F">
        <w:rPr>
          <w:rFonts w:hint="eastAsia"/>
          <w:i/>
          <w:sz w:val="23"/>
          <w:szCs w:val="23"/>
          <w:rtl/>
        </w:rPr>
        <w:t>ش</w:t>
      </w:r>
      <w:r w:rsidRPr="00FE433F">
        <w:rPr>
          <w:i/>
          <w:sz w:val="23"/>
          <w:szCs w:val="23"/>
          <w:rtl/>
        </w:rPr>
        <w:t xml:space="preserve"> مصرف، هز</w:t>
      </w:r>
      <w:r w:rsidRPr="00FE433F">
        <w:rPr>
          <w:rFonts w:hint="cs"/>
          <w:i/>
          <w:sz w:val="23"/>
          <w:szCs w:val="23"/>
          <w:rtl/>
        </w:rPr>
        <w:t>ی</w:t>
      </w:r>
      <w:r w:rsidRPr="00FE433F">
        <w:rPr>
          <w:rFonts w:hint="eastAsia"/>
          <w:i/>
          <w:sz w:val="23"/>
          <w:szCs w:val="23"/>
          <w:rtl/>
        </w:rPr>
        <w:t>نه</w:t>
      </w:r>
      <w:r w:rsidRPr="00FE433F">
        <w:rPr>
          <w:i/>
          <w:sz w:val="23"/>
          <w:szCs w:val="23"/>
          <w:rtl/>
        </w:rPr>
        <w:t>‌ها</w:t>
      </w:r>
      <w:r w:rsidRPr="00FE433F">
        <w:rPr>
          <w:rFonts w:hint="cs"/>
          <w:i/>
          <w:sz w:val="23"/>
          <w:szCs w:val="23"/>
          <w:rtl/>
        </w:rPr>
        <w:t>ی</w:t>
      </w:r>
      <w:r w:rsidRPr="00FE433F">
        <w:rPr>
          <w:i/>
          <w:sz w:val="23"/>
          <w:szCs w:val="23"/>
          <w:rtl/>
        </w:rPr>
        <w:t xml:space="preserve"> معاملات با نرخ فزا</w:t>
      </w:r>
      <w:r w:rsidRPr="00FE433F">
        <w:rPr>
          <w:rFonts w:hint="cs"/>
          <w:i/>
          <w:sz w:val="23"/>
          <w:szCs w:val="23"/>
          <w:rtl/>
        </w:rPr>
        <w:t>ی</w:t>
      </w:r>
      <w:r w:rsidRPr="00FE433F">
        <w:rPr>
          <w:rFonts w:hint="eastAsia"/>
          <w:i/>
          <w:sz w:val="23"/>
          <w:szCs w:val="23"/>
          <w:rtl/>
        </w:rPr>
        <w:t>نده</w:t>
      </w:r>
      <w:r w:rsidRPr="00FE433F">
        <w:rPr>
          <w:i/>
          <w:sz w:val="23"/>
          <w:szCs w:val="23"/>
          <w:rtl/>
        </w:rPr>
        <w:t xml:space="preserve"> </w:t>
      </w:r>
      <w:r w:rsidRPr="00FE433F">
        <w:rPr>
          <w:rFonts w:hint="eastAsia"/>
          <w:i/>
          <w:sz w:val="23"/>
          <w:szCs w:val="23"/>
          <w:rtl/>
        </w:rPr>
        <w:t>افزا</w:t>
      </w:r>
      <w:r w:rsidRPr="00FE433F">
        <w:rPr>
          <w:rFonts w:hint="cs"/>
          <w:i/>
          <w:sz w:val="23"/>
          <w:szCs w:val="23"/>
          <w:rtl/>
        </w:rPr>
        <w:t>ی</w:t>
      </w:r>
      <w:r w:rsidRPr="00FE433F">
        <w:rPr>
          <w:rFonts w:hint="eastAsia"/>
          <w:i/>
          <w:sz w:val="23"/>
          <w:szCs w:val="23"/>
          <w:rtl/>
        </w:rPr>
        <w:t>ش</w:t>
      </w:r>
      <w:r w:rsidRPr="00FE433F">
        <w:rPr>
          <w:i/>
          <w:sz w:val="23"/>
          <w:szCs w:val="23"/>
          <w:rtl/>
        </w:rPr>
        <w:t>، اما با افزا</w:t>
      </w:r>
      <w:r w:rsidRPr="00FE433F">
        <w:rPr>
          <w:rFonts w:hint="cs"/>
          <w:i/>
          <w:sz w:val="23"/>
          <w:szCs w:val="23"/>
          <w:rtl/>
        </w:rPr>
        <w:t>ی</w:t>
      </w:r>
      <w:r w:rsidRPr="00FE433F">
        <w:rPr>
          <w:rFonts w:hint="eastAsia"/>
          <w:i/>
          <w:sz w:val="23"/>
          <w:szCs w:val="23"/>
          <w:rtl/>
        </w:rPr>
        <w:t>ش</w:t>
      </w:r>
      <w:r w:rsidRPr="00FE433F">
        <w:rPr>
          <w:i/>
          <w:sz w:val="23"/>
          <w:szCs w:val="23"/>
          <w:rtl/>
        </w:rPr>
        <w:t xml:space="preserve"> </w:t>
      </w:r>
      <w:r w:rsidRPr="00FE433F">
        <w:rPr>
          <w:rFonts w:hint="cs"/>
          <w:i/>
          <w:sz w:val="23"/>
          <w:szCs w:val="23"/>
          <w:rtl/>
        </w:rPr>
        <w:t xml:space="preserve">تقاضا برای </w:t>
      </w:r>
      <w:r w:rsidRPr="00FE433F">
        <w:rPr>
          <w:rFonts w:hint="eastAsia"/>
          <w:i/>
          <w:sz w:val="23"/>
          <w:szCs w:val="23"/>
          <w:rtl/>
        </w:rPr>
        <w:t>پول،</w:t>
      </w:r>
      <w:r w:rsidRPr="00FE433F">
        <w:rPr>
          <w:i/>
          <w:sz w:val="23"/>
          <w:szCs w:val="23"/>
          <w:rtl/>
        </w:rPr>
        <w:t xml:space="preserve"> </w:t>
      </w:r>
      <w:r w:rsidRPr="00FE433F">
        <w:rPr>
          <w:rFonts w:hint="eastAsia"/>
          <w:i/>
          <w:sz w:val="23"/>
          <w:szCs w:val="23"/>
          <w:rtl/>
        </w:rPr>
        <w:t>هز</w:t>
      </w:r>
      <w:r w:rsidRPr="00FE433F">
        <w:rPr>
          <w:rFonts w:hint="cs"/>
          <w:i/>
          <w:sz w:val="23"/>
          <w:szCs w:val="23"/>
          <w:rtl/>
        </w:rPr>
        <w:t>ی</w:t>
      </w:r>
      <w:r w:rsidRPr="00FE433F">
        <w:rPr>
          <w:rFonts w:hint="eastAsia"/>
          <w:i/>
          <w:sz w:val="23"/>
          <w:szCs w:val="23"/>
          <w:rtl/>
        </w:rPr>
        <w:t>نه</w:t>
      </w:r>
      <w:r w:rsidRPr="00FE433F">
        <w:rPr>
          <w:i/>
          <w:sz w:val="23"/>
          <w:szCs w:val="23"/>
          <w:rtl/>
        </w:rPr>
        <w:t>‌ها</w:t>
      </w:r>
      <w:r w:rsidRPr="00FE433F">
        <w:rPr>
          <w:rFonts w:hint="cs"/>
          <w:i/>
          <w:sz w:val="23"/>
          <w:szCs w:val="23"/>
          <w:rtl/>
        </w:rPr>
        <w:t>ی</w:t>
      </w:r>
      <w:r w:rsidRPr="00FE433F">
        <w:rPr>
          <w:i/>
          <w:sz w:val="23"/>
          <w:szCs w:val="23"/>
          <w:rtl/>
        </w:rPr>
        <w:t xml:space="preserve"> معاملات با نرخ کاهنده کاهش خواهد</w:t>
      </w:r>
      <w:r w:rsidRPr="00FE433F">
        <w:rPr>
          <w:rFonts w:hint="cs"/>
          <w:i/>
          <w:sz w:val="23"/>
          <w:szCs w:val="23"/>
          <w:rtl/>
        </w:rPr>
        <w:t xml:space="preserve"> </w:t>
      </w:r>
      <w:r w:rsidRPr="00FE433F">
        <w:rPr>
          <w:rFonts w:hint="eastAsia"/>
          <w:i/>
          <w:sz w:val="23"/>
          <w:szCs w:val="23"/>
        </w:rPr>
        <w:t>‌</w:t>
      </w:r>
      <w:r w:rsidRPr="00FE433F">
        <w:rPr>
          <w:rFonts w:hint="cs"/>
          <w:i/>
          <w:sz w:val="23"/>
          <w:szCs w:val="23"/>
          <w:rtl/>
        </w:rPr>
        <w:t>ی</w:t>
      </w:r>
      <w:r w:rsidRPr="00FE433F">
        <w:rPr>
          <w:i/>
          <w:sz w:val="23"/>
          <w:szCs w:val="23"/>
          <w:rtl/>
        </w:rPr>
        <w:t xml:space="preserve">افت. </w:t>
      </w:r>
    </w:p>
    <w:p w14:paraId="5240732B"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مسئله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خانوار حداکثر کردن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w:t>
      </w:r>
      <w:r w:rsidRPr="00FE433F">
        <w:rPr>
          <w:rFonts w:eastAsia="Calibri" w:hint="eastAsia"/>
          <w:i/>
          <w:sz w:val="23"/>
          <w:szCs w:val="23"/>
          <w:rtl/>
        </w:rPr>
        <w:t>تنز</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w:t>
      </w:r>
      <w:r w:rsidRPr="00FE433F">
        <w:rPr>
          <w:rFonts w:eastAsia="Calibri" w:hint="eastAsia"/>
          <w:i/>
          <w:sz w:val="23"/>
          <w:szCs w:val="23"/>
          <w:rtl/>
        </w:rPr>
        <w:t>شده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ب</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i/>
          <w:sz w:val="23"/>
          <w:szCs w:val="23"/>
          <w:rtl/>
        </w:rPr>
        <w:t>دوره</w:t>
      </w:r>
      <w:r w:rsidRPr="00FE433F">
        <w:rPr>
          <w:rFonts w:hint="cs"/>
          <w:i/>
          <w:sz w:val="23"/>
          <w:szCs w:val="23"/>
          <w:rtl/>
        </w:rPr>
        <w:t>‌</w:t>
      </w:r>
      <w:r w:rsidRPr="00FE433F">
        <w:rPr>
          <w:i/>
          <w:sz w:val="23"/>
          <w:szCs w:val="23"/>
          <w:rtl/>
        </w:rPr>
        <w:t>ای</w:t>
      </w:r>
      <w:r w:rsidRPr="00FE433F">
        <w:rPr>
          <w:rFonts w:eastAsia="Calibri"/>
          <w:i/>
          <w:sz w:val="23"/>
          <w:szCs w:val="23"/>
          <w:rtl/>
        </w:rPr>
        <w:t xml:space="preserve"> نسبت به 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بودجه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خانوار</w:t>
      </w:r>
      <w:r w:rsidRPr="00FE433F">
        <w:rPr>
          <w:rFonts w:eastAsia="Calibri" w:hint="cs"/>
          <w:i/>
          <w:sz w:val="23"/>
          <w:szCs w:val="23"/>
          <w:rtl/>
        </w:rPr>
        <w:t xml:space="preserve">       </w:t>
      </w:r>
      <w:r w:rsidRPr="00FE433F">
        <w:rPr>
          <w:rFonts w:eastAsia="Calibri"/>
          <w:i/>
          <w:sz w:val="23"/>
          <w:szCs w:val="23"/>
          <w:rtl/>
        </w:rPr>
        <w:t xml:space="preserve"> بر حسب متغ</w:t>
      </w:r>
      <w:r w:rsidRPr="00FE433F">
        <w:rPr>
          <w:rFonts w:eastAsia="Calibri" w:hint="cs"/>
          <w:i/>
          <w:sz w:val="23"/>
          <w:szCs w:val="23"/>
          <w:rtl/>
        </w:rPr>
        <w:t>ی</w:t>
      </w:r>
      <w:r w:rsidRPr="00FE433F">
        <w:rPr>
          <w:rFonts w:eastAsia="Calibri" w:hint="eastAsia"/>
          <w:i/>
          <w:sz w:val="23"/>
          <w:szCs w:val="23"/>
          <w:rtl/>
        </w:rPr>
        <w:t>رها</w:t>
      </w:r>
      <w:r w:rsidRPr="00FE433F">
        <w:rPr>
          <w:rFonts w:eastAsia="Calibri" w:hint="cs"/>
          <w:i/>
          <w:sz w:val="23"/>
          <w:szCs w:val="23"/>
          <w:rtl/>
        </w:rPr>
        <w:t>ی</w:t>
      </w:r>
      <w:r w:rsidRPr="00FE433F">
        <w:rPr>
          <w:position w:val="-10"/>
        </w:rPr>
        <w:object w:dxaOrig="340" w:dyaOrig="320" w14:anchorId="7F2B21F8">
          <v:shape id="_x0000_i4142" type="#_x0000_t75" style="width:16.95pt;height:16.35pt" o:ole="">
            <v:imagedata r:id="rId6273" o:title=""/>
          </v:shape>
          <o:OLEObject Type="Embed" ProgID="Equation.DSMT4" ShapeID="_x0000_i4142" DrawAspect="Content" ObjectID="_1791378086" r:id="rId6274"/>
        </w:object>
      </w:r>
      <w:r w:rsidRPr="00FE433F">
        <w:rPr>
          <w:rFonts w:eastAsia="Calibri"/>
          <w:i/>
          <w:sz w:val="23"/>
          <w:szCs w:val="23"/>
          <w:rtl/>
        </w:rPr>
        <w:t>،</w:t>
      </w:r>
      <w:r w:rsidRPr="00FE433F">
        <w:rPr>
          <w:position w:val="-10"/>
        </w:rPr>
        <w:object w:dxaOrig="480" w:dyaOrig="320" w14:anchorId="34C31623">
          <v:shape id="_x0000_i4143" type="#_x0000_t75" style="width:24.2pt;height:16.35pt" o:ole="">
            <v:imagedata r:id="rId6275" o:title=""/>
          </v:shape>
          <o:OLEObject Type="Embed" ProgID="Equation.DSMT4" ShapeID="_x0000_i4143" DrawAspect="Content" ObjectID="_1791378087" r:id="rId6276"/>
        </w:object>
      </w:r>
      <w:r w:rsidRPr="00FE433F">
        <w:rPr>
          <w:rFonts w:eastAsia="Calibri"/>
          <w:i/>
          <w:sz w:val="23"/>
          <w:szCs w:val="23"/>
          <w:rtl/>
        </w:rPr>
        <w:t xml:space="preserve"> و</w:t>
      </w:r>
      <w:r w:rsidRPr="00FE433F">
        <w:rPr>
          <w:position w:val="-10"/>
        </w:rPr>
        <w:object w:dxaOrig="560" w:dyaOrig="320" w14:anchorId="3B351E0C">
          <v:shape id="_x0000_i4144" type="#_x0000_t75" style="width:27.85pt;height:16.35pt" o:ole="">
            <v:imagedata r:id="rId6277" o:title=""/>
          </v:shape>
          <o:OLEObject Type="Embed" ProgID="Equation.DSMT4" ShapeID="_x0000_i4144" DrawAspect="Content" ObjectID="_1791378088" r:id="rId6278"/>
        </w:object>
      </w:r>
      <w:r w:rsidRPr="00FE433F">
        <w:rPr>
          <w:rFonts w:eastAsia="Calibri"/>
          <w:i/>
          <w:sz w:val="23"/>
          <w:szCs w:val="23"/>
          <w:rtl/>
        </w:rPr>
        <w:t xml:space="preserve"> </w:t>
      </w:r>
      <w:r w:rsidRPr="00FE433F">
        <w:rPr>
          <w:rFonts w:hint="cs"/>
          <w:i/>
          <w:sz w:val="23"/>
          <w:szCs w:val="23"/>
          <w:rtl/>
        </w:rPr>
        <w:t xml:space="preserve">و </w:t>
      </w:r>
      <w:r w:rsidRPr="00FE433F">
        <w:rPr>
          <w:rFonts w:eastAsia="Calibri"/>
          <w:i/>
          <w:sz w:val="23"/>
          <w:szCs w:val="23"/>
          <w:rtl/>
        </w:rPr>
        <w:t>برا</w:t>
      </w:r>
      <w:r w:rsidRPr="00FE433F">
        <w:rPr>
          <w:rFonts w:eastAsia="Calibri" w:hint="cs"/>
          <w:i/>
          <w:sz w:val="23"/>
          <w:szCs w:val="23"/>
          <w:rtl/>
        </w:rPr>
        <w:t>ی</w:t>
      </w:r>
      <w:r w:rsidRPr="00FE433F">
        <w:rPr>
          <w:rFonts w:eastAsia="Calibri"/>
          <w:i/>
          <w:sz w:val="23"/>
          <w:szCs w:val="23"/>
          <w:rtl/>
        </w:rPr>
        <w:t xml:space="preserve"> هر </w:t>
      </w:r>
      <w:r w:rsidRPr="00FE433F">
        <w:rPr>
          <w:position w:val="-6"/>
        </w:rPr>
        <w:object w:dxaOrig="499" w:dyaOrig="260" w14:anchorId="7FCE8A52">
          <v:shape id="_x0000_i4145" type="#_x0000_t75" style="width:24.8pt;height:13.3pt" o:ole="">
            <v:imagedata r:id="rId6279" o:title=""/>
          </v:shape>
          <o:OLEObject Type="Embed" ProgID="Equation.DSMT4" ShapeID="_x0000_i4145" DrawAspect="Content" ObjectID="_1791378089" r:id="rId6280"/>
        </w:objec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باشد. بنابرا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لاگرانژ</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hint="cs"/>
          <w:i/>
          <w:sz w:val="23"/>
          <w:szCs w:val="23"/>
          <w:rtl/>
        </w:rPr>
        <w:t xml:space="preserve">این مسئله </w:t>
      </w:r>
      <w:r w:rsidRPr="00FE433F">
        <w:rPr>
          <w:rFonts w:eastAsia="Calibri" w:hint="eastAsia"/>
          <w:i/>
          <w:sz w:val="23"/>
          <w:szCs w:val="23"/>
          <w:rtl/>
        </w:rPr>
        <w:t>عبارت</w:t>
      </w:r>
      <w:r w:rsidRPr="00FE433F">
        <w:rPr>
          <w:rFonts w:eastAsia="Calibri"/>
          <w:i/>
          <w:sz w:val="23"/>
          <w:szCs w:val="23"/>
          <w:rtl/>
        </w:rPr>
        <w:t xml:space="preserve"> </w:t>
      </w:r>
      <w:r w:rsidRPr="00FE433F">
        <w:rPr>
          <w:rFonts w:eastAsia="Calibri" w:hint="eastAsia"/>
          <w:i/>
          <w:sz w:val="23"/>
          <w:szCs w:val="23"/>
          <w:rtl/>
        </w:rPr>
        <w:t>است</w:t>
      </w:r>
      <w:r w:rsidRPr="00FE433F">
        <w:rPr>
          <w:rFonts w:eastAsia="Calibri"/>
          <w:i/>
          <w:sz w:val="23"/>
          <w:szCs w:val="23"/>
          <w:rtl/>
        </w:rPr>
        <w:t xml:space="preserve"> </w:t>
      </w:r>
      <w:r w:rsidRPr="00FE433F">
        <w:rPr>
          <w:rFonts w:eastAsia="Calibri" w:hint="eastAsia"/>
          <w:i/>
          <w:sz w:val="23"/>
          <w:szCs w:val="23"/>
          <w:rtl/>
        </w:rPr>
        <w:t>از؛</w:t>
      </w:r>
    </w:p>
    <w:p w14:paraId="0D8F1F20" w14:textId="77777777" w:rsidR="00411620" w:rsidRPr="00FE433F" w:rsidRDefault="00411620" w:rsidP="00411620">
      <w:pPr>
        <w:pStyle w:val="MTDisplayEquation"/>
        <w:spacing w:line="216" w:lineRule="auto"/>
        <w:rPr>
          <w:rFonts w:ascii="Times New Roman" w:hAnsi="Times New Roman"/>
          <w:i/>
          <w:sz w:val="23"/>
          <w:szCs w:val="23"/>
          <w:rtl/>
        </w:rPr>
      </w:pPr>
      <w:r w:rsidRPr="00FE433F">
        <w:rPr>
          <w:position w:val="-52"/>
        </w:rPr>
        <w:object w:dxaOrig="6240" w:dyaOrig="1140" w14:anchorId="319D756F">
          <v:shape id="_x0000_i4146" type="#_x0000_t75" style="width:312.2pt;height:56.85pt" o:ole="">
            <v:imagedata r:id="rId6281" o:title=""/>
          </v:shape>
          <o:OLEObject Type="Embed" ProgID="Equation.DSMT4" ShapeID="_x0000_i4146" DrawAspect="Content" ObjectID="_1791378090" r:id="rId6282"/>
        </w:object>
      </w:r>
    </w:p>
    <w:p w14:paraId="46A9D4AF" w14:textId="77777777" w:rsidR="00411620" w:rsidRPr="00FE433F" w:rsidRDefault="00411620" w:rsidP="00411620">
      <w:pPr>
        <w:pStyle w:val="MTDisplayEquation"/>
        <w:bidi/>
        <w:spacing w:line="216" w:lineRule="auto"/>
        <w:rPr>
          <w:rFonts w:ascii="Times New Roman" w:eastAsia="Calibri" w:hAnsi="Times New Roman"/>
          <w:i/>
          <w:sz w:val="23"/>
          <w:szCs w:val="23"/>
          <w:rtl/>
        </w:rPr>
      </w:pPr>
      <w:r w:rsidRPr="00FE433F">
        <w:rPr>
          <w:rFonts w:ascii="Times New Roman" w:eastAsia="Calibri" w:hAnsi="Times New Roman"/>
          <w:i/>
          <w:sz w:val="23"/>
          <w:szCs w:val="23"/>
          <w:rtl/>
        </w:rPr>
        <w:t>و شرا</w:t>
      </w:r>
      <w:r w:rsidRPr="00FE433F">
        <w:rPr>
          <w:rFonts w:ascii="Times New Roman" w:eastAsia="Calibri" w:hAnsi="Times New Roman" w:hint="cs"/>
          <w:i/>
          <w:sz w:val="23"/>
          <w:szCs w:val="23"/>
          <w:rtl/>
        </w:rPr>
        <w:t>ی</w:t>
      </w:r>
      <w:r w:rsidRPr="00FE433F">
        <w:rPr>
          <w:rFonts w:ascii="Times New Roman" w:eastAsia="Calibri" w:hAnsi="Times New Roman" w:hint="eastAsia"/>
          <w:i/>
          <w:sz w:val="23"/>
          <w:szCs w:val="23"/>
          <w:rtl/>
        </w:rPr>
        <w:t>ط</w:t>
      </w:r>
      <w:r w:rsidRPr="00FE433F">
        <w:rPr>
          <w:rFonts w:ascii="Times New Roman" w:eastAsia="Calibri" w:hAnsi="Times New Roman"/>
          <w:i/>
          <w:sz w:val="23"/>
          <w:szCs w:val="23"/>
          <w:rtl/>
        </w:rPr>
        <w:t xml:space="preserve"> </w:t>
      </w:r>
      <w:r w:rsidRPr="00FE433F">
        <w:rPr>
          <w:rFonts w:ascii="Times New Roman" w:eastAsia="Calibri" w:hAnsi="Times New Roman" w:hint="eastAsia"/>
          <w:i/>
          <w:sz w:val="23"/>
          <w:szCs w:val="23"/>
          <w:rtl/>
        </w:rPr>
        <w:t>مرتبه</w:t>
      </w:r>
      <w:r w:rsidRPr="00FE433F">
        <w:rPr>
          <w:rFonts w:ascii="Times New Roman" w:eastAsia="Calibri" w:hAnsi="Times New Roman" w:hint="eastAsia"/>
          <w:i/>
          <w:sz w:val="23"/>
          <w:szCs w:val="23"/>
        </w:rPr>
        <w:t>‌</w:t>
      </w:r>
      <w:r w:rsidRPr="00FE433F">
        <w:rPr>
          <w:rFonts w:ascii="Times New Roman" w:eastAsia="Calibri" w:hAnsi="Times New Roman" w:hint="cs"/>
          <w:i/>
          <w:sz w:val="23"/>
          <w:szCs w:val="23"/>
          <w:rtl/>
        </w:rPr>
        <w:t>ی</w:t>
      </w:r>
      <w:r w:rsidRPr="00FE433F">
        <w:rPr>
          <w:rFonts w:ascii="Times New Roman" w:eastAsia="Calibri" w:hAnsi="Times New Roman"/>
          <w:i/>
          <w:sz w:val="23"/>
          <w:szCs w:val="23"/>
          <w:rtl/>
        </w:rPr>
        <w:t xml:space="preserve"> اول عبارتند از؛</w:t>
      </w:r>
    </w:p>
    <w:p w14:paraId="7C51110A"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5300" w:dyaOrig="620" w14:anchorId="00AEF0BB">
          <v:shape id="_x0000_i4147" type="#_x0000_t75" style="width:265pt;height:30.85pt" o:ole="">
            <v:imagedata r:id="rId6283" o:title=""/>
          </v:shape>
          <o:OLEObject Type="Embed" ProgID="Equation.DSMT4" ShapeID="_x0000_i4147" DrawAspect="Content" ObjectID="_1791378091" r:id="rId6284"/>
        </w:object>
      </w:r>
    </w:p>
    <w:p w14:paraId="4D07BA2C"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5260" w:dyaOrig="620" w14:anchorId="5255DB66">
          <v:shape id="_x0000_i4148" type="#_x0000_t75" style="width:263.2pt;height:30.85pt" o:ole="">
            <v:imagedata r:id="rId6285" o:title=""/>
          </v:shape>
          <o:OLEObject Type="Embed" ProgID="Equation.DSMT4" ShapeID="_x0000_i4148" DrawAspect="Content" ObjectID="_1791378092" r:id="rId6286"/>
        </w:object>
      </w:r>
    </w:p>
    <w:p w14:paraId="3C7E0878"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5300" w:dyaOrig="620" w14:anchorId="42CEAB00">
          <v:shape id="_x0000_i4149" type="#_x0000_t75" style="width:265pt;height:30.85pt" o:ole="">
            <v:imagedata r:id="rId6287" o:title=""/>
          </v:shape>
          <o:OLEObject Type="Embed" ProgID="Equation.DSMT4" ShapeID="_x0000_i4149" DrawAspect="Content" ObjectID="_1791378093" r:id="rId6288"/>
        </w:object>
      </w:r>
    </w:p>
    <w:p w14:paraId="4A17BF4E"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از شرا</w:t>
      </w:r>
      <w:r w:rsidRPr="00FE433F">
        <w:rPr>
          <w:rFonts w:eastAsia="Calibri" w:hint="cs"/>
          <w:i/>
          <w:sz w:val="23"/>
          <w:szCs w:val="23"/>
          <w:rtl/>
        </w:rPr>
        <w:t>ی</w:t>
      </w:r>
      <w:r w:rsidRPr="00FE433F">
        <w:rPr>
          <w:rFonts w:eastAsia="Calibri" w:hint="eastAsia"/>
          <w:i/>
          <w:sz w:val="23"/>
          <w:szCs w:val="23"/>
          <w:rtl/>
        </w:rPr>
        <w:t>ط</w:t>
      </w:r>
      <w:r w:rsidRPr="00FE433F">
        <w:rPr>
          <w:rFonts w:eastAsia="Calibri"/>
          <w:i/>
          <w:sz w:val="23"/>
          <w:szCs w:val="23"/>
          <w:rtl/>
        </w:rPr>
        <w:t xml:space="preserve"> </w:t>
      </w:r>
      <w:r w:rsidRPr="00FE433F">
        <w:rPr>
          <w:rFonts w:eastAsia="Calibri" w:hint="eastAsia"/>
          <w:i/>
          <w:sz w:val="23"/>
          <w:szCs w:val="23"/>
          <w:rtl/>
        </w:rPr>
        <w:t>مرتبه</w:t>
      </w:r>
      <w:r w:rsidRPr="00FE433F">
        <w:rPr>
          <w:rFonts w:eastAsia="Calibri"/>
          <w:i/>
          <w:sz w:val="23"/>
          <w:szCs w:val="23"/>
          <w:rtl/>
        </w:rPr>
        <w:t xml:space="preserve"> </w:t>
      </w:r>
      <w:r w:rsidRPr="00FE433F">
        <w:rPr>
          <w:rFonts w:eastAsia="Calibri" w:hint="eastAsia"/>
          <w:i/>
          <w:sz w:val="23"/>
          <w:szCs w:val="23"/>
          <w:rtl/>
        </w:rPr>
        <w:t>اول</w:t>
      </w:r>
      <w:r w:rsidRPr="00FE433F">
        <w:rPr>
          <w:rFonts w:eastAsia="Calibri"/>
          <w:i/>
          <w:sz w:val="23"/>
          <w:szCs w:val="23"/>
          <w:rtl/>
        </w:rPr>
        <w:t xml:space="preserve"> </w:t>
      </w:r>
      <w:r w:rsidRPr="00FE433F">
        <w:rPr>
          <w:rFonts w:eastAsia="Calibri" w:hint="eastAsia"/>
          <w:i/>
          <w:sz w:val="23"/>
          <w:szCs w:val="23"/>
          <w:rtl/>
        </w:rPr>
        <w:t>مربوط</w:t>
      </w:r>
      <w:r w:rsidRPr="00FE433F">
        <w:rPr>
          <w:rFonts w:eastAsia="Calibri"/>
          <w:i/>
          <w:sz w:val="23"/>
          <w:szCs w:val="23"/>
          <w:rtl/>
        </w:rPr>
        <w:t xml:space="preserve"> </w:t>
      </w:r>
      <w:r w:rsidRPr="00FE433F">
        <w:rPr>
          <w:rFonts w:eastAsia="Calibri" w:hint="eastAsia"/>
          <w:i/>
          <w:sz w:val="23"/>
          <w:szCs w:val="23"/>
          <w:rtl/>
        </w:rPr>
        <w:t>به</w:t>
      </w:r>
      <w:r w:rsidRPr="00FE433F">
        <w:rPr>
          <w:rFonts w:eastAsia="Calibri"/>
          <w:i/>
          <w:sz w:val="23"/>
          <w:szCs w:val="23"/>
          <w:rtl/>
        </w:rPr>
        <w:t xml:space="preserve"> </w:t>
      </w:r>
      <w:r w:rsidRPr="00FE433F">
        <w:rPr>
          <w:rFonts w:eastAsia="Calibri" w:hint="eastAsia"/>
          <w:i/>
          <w:sz w:val="23"/>
          <w:szCs w:val="23"/>
          <w:rtl/>
        </w:rPr>
        <w:t>اوراق</w:t>
      </w:r>
      <w:r w:rsidRPr="00FE433F">
        <w:rPr>
          <w:rFonts w:eastAsia="Calibri"/>
          <w:i/>
          <w:sz w:val="23"/>
          <w:szCs w:val="23"/>
          <w:rtl/>
        </w:rPr>
        <w:t xml:space="preserve"> </w:t>
      </w:r>
      <w:r w:rsidRPr="00FE433F">
        <w:rPr>
          <w:rFonts w:eastAsia="Calibri" w:hint="eastAsia"/>
          <w:i/>
          <w:sz w:val="23"/>
          <w:szCs w:val="23"/>
          <w:rtl/>
        </w:rPr>
        <w:t>قرضه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دولت</w:t>
      </w:r>
      <w:r w:rsidRPr="00FE433F">
        <w:rPr>
          <w:rFonts w:eastAsia="Calibri" w:hint="cs"/>
          <w:i/>
          <w:sz w:val="23"/>
          <w:szCs w:val="23"/>
          <w:rtl/>
        </w:rPr>
        <w:t>ی</w:t>
      </w:r>
      <w:r w:rsidRPr="00FE433F">
        <w:rPr>
          <w:rFonts w:eastAsia="Calibri"/>
          <w:i/>
          <w:sz w:val="23"/>
          <w:szCs w:val="23"/>
          <w:rtl/>
        </w:rPr>
        <w:t xml:space="preserve"> دار</w:t>
      </w:r>
      <w:r w:rsidRPr="00FE433F">
        <w:rPr>
          <w:rFonts w:eastAsia="Calibri" w:hint="cs"/>
          <w:i/>
          <w:sz w:val="23"/>
          <w:szCs w:val="23"/>
          <w:rtl/>
        </w:rPr>
        <w:t>ی</w:t>
      </w:r>
      <w:r w:rsidRPr="00FE433F">
        <w:rPr>
          <w:rFonts w:eastAsia="Calibri" w:hint="eastAsia"/>
          <w:i/>
          <w:sz w:val="23"/>
          <w:szCs w:val="23"/>
          <w:rtl/>
        </w:rPr>
        <w:t>م</w:t>
      </w:r>
    </w:p>
    <w:p w14:paraId="0C12F9C4" w14:textId="77777777" w:rsidR="00411620" w:rsidRPr="00FE433F" w:rsidRDefault="00411620" w:rsidP="00411620">
      <w:pPr>
        <w:pStyle w:val="MTDisplayEquation"/>
        <w:spacing w:line="216" w:lineRule="auto"/>
        <w:rPr>
          <w:rFonts w:ascii="Times New Roman" w:eastAsia="Times New Roman" w:hAnsi="Times New Roman" w:cs="B Nazanin"/>
          <w:i/>
          <w:sz w:val="23"/>
          <w:szCs w:val="23"/>
          <w:rtl/>
          <w:lang w:bidi="fa-IR"/>
        </w:rPr>
      </w:pPr>
      <w:r w:rsidRPr="00FE433F">
        <w:rPr>
          <w:position w:val="-28"/>
        </w:rPr>
        <w:object w:dxaOrig="1579" w:dyaOrig="639" w14:anchorId="0D83073B">
          <v:shape id="_x0000_i4150" type="#_x0000_t75" style="width:79.25pt;height:32.05pt" o:ole="">
            <v:imagedata r:id="rId6289" o:title=""/>
          </v:shape>
          <o:OLEObject Type="Embed" ProgID="Equation.DSMT4" ShapeID="_x0000_i4150" DrawAspect="Content" ObjectID="_1791378094" r:id="rId6290"/>
        </w:object>
      </w:r>
    </w:p>
    <w:p w14:paraId="4F04934B"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lastRenderedPageBreak/>
        <w:t xml:space="preserve"> و معادله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او</w:t>
      </w:r>
      <w:r w:rsidRPr="00FE433F">
        <w:rPr>
          <w:rFonts w:eastAsia="Calibri" w:hint="cs"/>
          <w:i/>
          <w:sz w:val="23"/>
          <w:szCs w:val="23"/>
          <w:rtl/>
        </w:rPr>
        <w:t>ی</w:t>
      </w:r>
      <w:r w:rsidRPr="00FE433F">
        <w:rPr>
          <w:rFonts w:eastAsia="Calibri" w:hint="eastAsia"/>
          <w:i/>
          <w:sz w:val="23"/>
          <w:szCs w:val="23"/>
          <w:rtl/>
        </w:rPr>
        <w:t>لر</w:t>
      </w:r>
      <w:r w:rsidRPr="00FE433F">
        <w:rPr>
          <w:rFonts w:eastAsia="Calibri"/>
          <w:i/>
          <w:sz w:val="23"/>
          <w:szCs w:val="23"/>
          <w:rtl/>
        </w:rPr>
        <w:t xml:space="preserve"> برا</w:t>
      </w:r>
      <w:r w:rsidRPr="00FE433F">
        <w:rPr>
          <w:rFonts w:eastAsia="Calibri" w:hint="cs"/>
          <w:i/>
          <w:sz w:val="23"/>
          <w:szCs w:val="23"/>
          <w:rtl/>
        </w:rPr>
        <w:t>ی</w:t>
      </w:r>
      <w:r w:rsidRPr="00FE433F">
        <w:rPr>
          <w:rFonts w:eastAsia="Calibri"/>
          <w:i/>
          <w:sz w:val="23"/>
          <w:szCs w:val="23"/>
          <w:rtl/>
        </w:rPr>
        <w:t xml:space="preserve"> دروره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rFonts w:eastAsia="Calibri"/>
          <w:i/>
          <w:sz w:val="23"/>
          <w:szCs w:val="23"/>
        </w:rPr>
        <w:t xml:space="preserve">t+1 </w:t>
      </w:r>
      <w:r w:rsidRPr="00FE433F">
        <w:rPr>
          <w:rFonts w:eastAsia="Calibri" w:hint="cs"/>
          <w:i/>
          <w:sz w:val="23"/>
          <w:szCs w:val="23"/>
          <w:rtl/>
        </w:rPr>
        <w:t xml:space="preserve"> عبارت است از</w:t>
      </w:r>
    </w:p>
    <w:p w14:paraId="7D937BD5" w14:textId="77777777" w:rsidR="00411620" w:rsidRPr="00FE433F" w:rsidRDefault="00411620" w:rsidP="00411620">
      <w:pPr>
        <w:pStyle w:val="MTDisplayEquation"/>
        <w:tabs>
          <w:tab w:val="clear" w:pos="6660"/>
        </w:tabs>
        <w:spacing w:line="216" w:lineRule="auto"/>
        <w:rPr>
          <w:rFonts w:ascii="Times New Roman" w:eastAsia="Times New Roman" w:hAnsi="Times New Roman" w:cs="B Nazanin"/>
          <w:i/>
          <w:sz w:val="23"/>
          <w:szCs w:val="23"/>
          <w:rtl/>
          <w:lang w:bidi="fa-IR"/>
        </w:rPr>
      </w:pPr>
      <w:r w:rsidRPr="00FE433F">
        <w:rPr>
          <w:position w:val="-30"/>
        </w:rPr>
        <w:object w:dxaOrig="2680" w:dyaOrig="680" w14:anchorId="76B908F2">
          <v:shape id="_x0000_i4151" type="#_x0000_t75" style="width:133.7pt;height:33.9pt" o:ole="">
            <v:imagedata r:id="rId6291" o:title=""/>
          </v:shape>
          <o:OLEObject Type="Embed" ProgID="Equation.DSMT4" ShapeID="_x0000_i4151" DrawAspect="Content" ObjectID="_1791378095" r:id="rId6292"/>
        </w:object>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cs="B Nazanin"/>
          <w:i/>
          <w:sz w:val="23"/>
          <w:szCs w:val="23"/>
          <w:rtl/>
          <w:lang w:bidi="fa-IR"/>
        </w:rPr>
        <w:tab/>
      </w:r>
    </w:p>
    <w:p w14:paraId="1E02A78C"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از شرا</w:t>
      </w:r>
      <w:r w:rsidRPr="00FE433F">
        <w:rPr>
          <w:rFonts w:eastAsia="Calibri" w:hint="cs"/>
          <w:i/>
          <w:sz w:val="23"/>
          <w:szCs w:val="23"/>
          <w:rtl/>
        </w:rPr>
        <w:t>ی</w:t>
      </w:r>
      <w:r w:rsidRPr="00FE433F">
        <w:rPr>
          <w:rFonts w:eastAsia="Calibri" w:hint="eastAsia"/>
          <w:i/>
          <w:sz w:val="23"/>
          <w:szCs w:val="23"/>
          <w:rtl/>
        </w:rPr>
        <w:t>ط</w:t>
      </w:r>
      <w:r w:rsidRPr="00FE433F">
        <w:rPr>
          <w:rFonts w:eastAsia="Calibri"/>
          <w:i/>
          <w:sz w:val="23"/>
          <w:szCs w:val="23"/>
          <w:rtl/>
        </w:rPr>
        <w:t xml:space="preserve"> </w:t>
      </w:r>
      <w:r w:rsidRPr="00FE433F">
        <w:rPr>
          <w:rFonts w:eastAsia="Calibri" w:hint="eastAsia"/>
          <w:i/>
          <w:sz w:val="23"/>
          <w:szCs w:val="23"/>
          <w:rtl/>
        </w:rPr>
        <w:t>مرتبه</w:t>
      </w:r>
      <w:r w:rsidRPr="00FE433F">
        <w:rPr>
          <w:rFonts w:eastAsia="Calibri"/>
          <w:i/>
          <w:sz w:val="23"/>
          <w:szCs w:val="23"/>
          <w:rtl/>
        </w:rPr>
        <w:t xml:space="preserve"> </w:t>
      </w:r>
      <w:r w:rsidRPr="00FE433F">
        <w:rPr>
          <w:rFonts w:eastAsia="Calibri" w:hint="eastAsia"/>
          <w:i/>
          <w:sz w:val="23"/>
          <w:szCs w:val="23"/>
          <w:rtl/>
        </w:rPr>
        <w:t>اول</w:t>
      </w:r>
      <w:r w:rsidRPr="00FE433F">
        <w:rPr>
          <w:rFonts w:eastAsia="Calibri"/>
          <w:i/>
          <w:sz w:val="23"/>
          <w:szCs w:val="23"/>
          <w:rtl/>
        </w:rPr>
        <w:t xml:space="preserve"> </w:t>
      </w:r>
      <w:r w:rsidRPr="00FE433F">
        <w:rPr>
          <w:rFonts w:eastAsia="Calibri" w:hint="eastAsia"/>
          <w:i/>
          <w:sz w:val="23"/>
          <w:szCs w:val="23"/>
          <w:rtl/>
        </w:rPr>
        <w:t>مربوط</w:t>
      </w:r>
      <w:r w:rsidRPr="00FE433F">
        <w:rPr>
          <w:rFonts w:eastAsia="Calibri"/>
          <w:i/>
          <w:sz w:val="23"/>
          <w:szCs w:val="23"/>
          <w:rtl/>
        </w:rPr>
        <w:t xml:space="preserve"> </w:t>
      </w:r>
      <w:r w:rsidRPr="00FE433F">
        <w:rPr>
          <w:rFonts w:eastAsia="Calibri" w:hint="eastAsia"/>
          <w:i/>
          <w:sz w:val="23"/>
          <w:szCs w:val="23"/>
          <w:rtl/>
        </w:rPr>
        <w:t>به</w:t>
      </w:r>
      <w:r w:rsidRPr="00FE433F">
        <w:rPr>
          <w:rFonts w:eastAsia="Calibri"/>
          <w:i/>
          <w:sz w:val="23"/>
          <w:szCs w:val="23"/>
          <w:rtl/>
        </w:rPr>
        <w:t xml:space="preserve"> </w:t>
      </w:r>
      <w:r w:rsidRPr="00FE433F">
        <w:rPr>
          <w:rFonts w:eastAsia="Calibri" w:hint="eastAsia"/>
          <w:i/>
          <w:sz w:val="23"/>
          <w:szCs w:val="23"/>
          <w:rtl/>
        </w:rPr>
        <w:t>پول</w:t>
      </w:r>
      <w:r w:rsidRPr="00FE433F">
        <w:rPr>
          <w:rFonts w:eastAsia="Calibri"/>
          <w:i/>
          <w:sz w:val="23"/>
          <w:szCs w:val="23"/>
          <w:rtl/>
        </w:rPr>
        <w:t xml:space="preserve"> </w:t>
      </w:r>
      <w:r w:rsidRPr="00FE433F">
        <w:rPr>
          <w:rFonts w:eastAsia="Calibri" w:hint="eastAsia"/>
          <w:i/>
          <w:sz w:val="23"/>
          <w:szCs w:val="23"/>
          <w:rtl/>
        </w:rPr>
        <w:t>و</w:t>
      </w:r>
      <w:r w:rsidRPr="00FE433F">
        <w:rPr>
          <w:rFonts w:eastAsia="Calibri"/>
          <w:i/>
          <w:sz w:val="23"/>
          <w:szCs w:val="23"/>
          <w:rtl/>
        </w:rPr>
        <w:t xml:space="preserve"> </w:t>
      </w:r>
      <w:r w:rsidRPr="00FE433F">
        <w:rPr>
          <w:rFonts w:eastAsia="Calibri" w:hint="eastAsia"/>
          <w:i/>
          <w:sz w:val="23"/>
          <w:szCs w:val="23"/>
          <w:rtl/>
        </w:rPr>
        <w:t>اوراق</w:t>
      </w:r>
      <w:r w:rsidRPr="00FE433F">
        <w:rPr>
          <w:rFonts w:eastAsia="Calibri"/>
          <w:i/>
          <w:sz w:val="23"/>
          <w:szCs w:val="23"/>
          <w:rtl/>
        </w:rPr>
        <w:t xml:space="preserve"> </w:t>
      </w:r>
      <w:r w:rsidRPr="00FE433F">
        <w:rPr>
          <w:rFonts w:eastAsia="Calibri" w:hint="eastAsia"/>
          <w:i/>
          <w:sz w:val="23"/>
          <w:szCs w:val="23"/>
          <w:rtl/>
        </w:rPr>
        <w:t>قرضه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دولت</w:t>
      </w:r>
      <w:r w:rsidRPr="00FE433F">
        <w:rPr>
          <w:rFonts w:eastAsia="Calibri" w:hint="cs"/>
          <w:i/>
          <w:sz w:val="23"/>
          <w:szCs w:val="23"/>
          <w:rtl/>
        </w:rPr>
        <w:t>ی</w:t>
      </w:r>
      <w:r w:rsidRPr="00FE433F">
        <w:rPr>
          <w:rFonts w:eastAsia="Calibri"/>
          <w:i/>
          <w:sz w:val="23"/>
          <w:szCs w:val="23"/>
          <w:rtl/>
        </w:rPr>
        <w:t xml:space="preserve"> برا</w:t>
      </w:r>
      <w:r w:rsidRPr="00FE433F">
        <w:rPr>
          <w:rFonts w:eastAsia="Calibri" w:hint="cs"/>
          <w:i/>
          <w:sz w:val="23"/>
          <w:szCs w:val="23"/>
          <w:rtl/>
        </w:rPr>
        <w:t>ی</w:t>
      </w:r>
      <w:r w:rsidRPr="00FE433F">
        <w:rPr>
          <w:rFonts w:eastAsia="Calibri"/>
          <w:i/>
          <w:sz w:val="23"/>
          <w:szCs w:val="23"/>
          <w:rtl/>
        </w:rPr>
        <w:t xml:space="preserve"> </w:t>
      </w:r>
      <w:r w:rsidRPr="00FE433F">
        <w:rPr>
          <w:position w:val="-6"/>
        </w:rPr>
        <w:object w:dxaOrig="480" w:dyaOrig="260" w14:anchorId="339913B1">
          <v:shape id="_x0000_i4152" type="#_x0000_t75" style="width:24.2pt;height:13.3pt" o:ole="">
            <v:imagedata r:id="rId6293" o:title=""/>
          </v:shape>
          <o:OLEObject Type="Embed" ProgID="Equation.DSMT4" ShapeID="_x0000_i4152" DrawAspect="Content" ObjectID="_1791378096" r:id="rId6294"/>
        </w:object>
      </w:r>
      <w:r w:rsidRPr="00FE433F">
        <w:rPr>
          <w:rFonts w:eastAsia="Calibri"/>
          <w:i/>
          <w:sz w:val="23"/>
          <w:szCs w:val="23"/>
          <w:rtl/>
        </w:rPr>
        <w:t xml:space="preserve"> دار</w:t>
      </w:r>
      <w:r w:rsidRPr="00FE433F">
        <w:rPr>
          <w:rFonts w:eastAsia="Calibri" w:hint="cs"/>
          <w:i/>
          <w:sz w:val="23"/>
          <w:szCs w:val="23"/>
          <w:rtl/>
        </w:rPr>
        <w:t>ی</w:t>
      </w:r>
      <w:r w:rsidRPr="00FE433F">
        <w:rPr>
          <w:rFonts w:eastAsia="Calibri" w:hint="eastAsia"/>
          <w:i/>
          <w:sz w:val="23"/>
          <w:szCs w:val="23"/>
          <w:rtl/>
        </w:rPr>
        <w:t>م</w:t>
      </w:r>
    </w:p>
    <w:p w14:paraId="66E2616D" w14:textId="77777777" w:rsidR="00411620" w:rsidRPr="00FE433F" w:rsidRDefault="00411620" w:rsidP="00411620">
      <w:pPr>
        <w:pStyle w:val="MTDisplayEquation"/>
        <w:tabs>
          <w:tab w:val="clear" w:pos="6660"/>
        </w:tabs>
        <w:spacing w:line="216" w:lineRule="auto"/>
        <w:rPr>
          <w:rFonts w:ascii="Times New Roman" w:eastAsia="Times New Roman" w:hAnsi="Times New Roman" w:cs="B Nazanin"/>
          <w:i/>
          <w:sz w:val="23"/>
          <w:szCs w:val="23"/>
          <w:rtl/>
          <w:lang w:bidi="fa-IR"/>
        </w:rPr>
      </w:pPr>
      <w:r w:rsidRPr="00FE433F">
        <w:rPr>
          <w:position w:val="-12"/>
        </w:rPr>
        <w:object w:dxaOrig="1219" w:dyaOrig="340" w14:anchorId="129536CF">
          <v:shape id="_x0000_i4153" type="#_x0000_t75" style="width:61.1pt;height:16.95pt" o:ole="">
            <v:imagedata r:id="rId6295" o:title=""/>
          </v:shape>
          <o:OLEObject Type="Embed" ProgID="Equation.DSMT4" ShapeID="_x0000_i4153" DrawAspect="Content" ObjectID="_1791378097" r:id="rId6296"/>
        </w:object>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cs="B Nazanin"/>
          <w:i/>
          <w:sz w:val="23"/>
          <w:szCs w:val="23"/>
          <w:rtl/>
        </w:rPr>
        <w:tab/>
      </w:r>
    </w:p>
    <w:p w14:paraId="15C07BF3"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 xml:space="preserve">حل </w:t>
      </w:r>
      <w:r w:rsidRPr="00FE433F">
        <w:rPr>
          <w:rFonts w:hint="cs"/>
          <w:i/>
          <w:sz w:val="23"/>
          <w:szCs w:val="23"/>
          <w:rtl/>
        </w:rPr>
        <w:t xml:space="preserve">این مدل </w:t>
      </w:r>
      <w:r w:rsidRPr="00FE433F">
        <w:rPr>
          <w:rFonts w:eastAsia="Calibri"/>
          <w:i/>
          <w:sz w:val="23"/>
          <w:szCs w:val="23"/>
          <w:rtl/>
        </w:rPr>
        <w:t>در وضع</w:t>
      </w:r>
      <w:r w:rsidRPr="00FE433F">
        <w:rPr>
          <w:rFonts w:eastAsia="Calibri" w:hint="cs"/>
          <w:i/>
          <w:sz w:val="23"/>
          <w:szCs w:val="23"/>
          <w:rtl/>
        </w:rPr>
        <w:t>ی</w:t>
      </w:r>
      <w:r w:rsidRPr="00FE433F">
        <w:rPr>
          <w:rFonts w:eastAsia="Calibri" w:hint="eastAsia"/>
          <w:i/>
          <w:sz w:val="23"/>
          <w:szCs w:val="23"/>
          <w:rtl/>
        </w:rPr>
        <w:t>ت</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کنواخت </w:t>
      </w:r>
      <w:r w:rsidRPr="00FE433F">
        <w:rPr>
          <w:rFonts w:hint="cs"/>
          <w:i/>
          <w:sz w:val="23"/>
          <w:szCs w:val="23"/>
          <w:rtl/>
        </w:rPr>
        <w:t xml:space="preserve">و </w:t>
      </w:r>
      <w:r w:rsidRPr="00FE433F">
        <w:rPr>
          <w:rFonts w:eastAsia="Calibri"/>
          <w:i/>
          <w:sz w:val="23"/>
          <w:szCs w:val="23"/>
          <w:rtl/>
        </w:rPr>
        <w:t>برا</w:t>
      </w:r>
      <w:r w:rsidRPr="00FE433F">
        <w:rPr>
          <w:rFonts w:eastAsia="Calibri" w:hint="cs"/>
          <w:i/>
          <w:sz w:val="23"/>
          <w:szCs w:val="23"/>
          <w:rtl/>
        </w:rPr>
        <w:t>ی</w:t>
      </w:r>
      <w:r w:rsidRPr="00FE433F">
        <w:rPr>
          <w:rFonts w:eastAsia="Calibri"/>
          <w:i/>
          <w:sz w:val="23"/>
          <w:szCs w:val="23"/>
          <w:rtl/>
        </w:rPr>
        <w:t xml:space="preserve"> متغ</w:t>
      </w:r>
      <w:r w:rsidRPr="00FE433F">
        <w:rPr>
          <w:rFonts w:eastAsia="Calibri" w:hint="cs"/>
          <w:i/>
          <w:sz w:val="23"/>
          <w:szCs w:val="23"/>
          <w:rtl/>
        </w:rPr>
        <w:t>ی</w:t>
      </w:r>
      <w:r w:rsidRPr="00FE433F">
        <w:rPr>
          <w:rFonts w:eastAsia="Calibri" w:hint="eastAsia"/>
          <w:i/>
          <w:sz w:val="23"/>
          <w:szCs w:val="23"/>
          <w:rtl/>
        </w:rPr>
        <w:t>رها</w:t>
      </w:r>
      <w:r w:rsidRPr="00FE433F">
        <w:rPr>
          <w:rFonts w:eastAsia="Calibri" w:hint="cs"/>
          <w:i/>
          <w:sz w:val="23"/>
          <w:szCs w:val="23"/>
          <w:rtl/>
        </w:rPr>
        <w:t>ی</w:t>
      </w:r>
      <w:r w:rsidRPr="00FE433F">
        <w:rPr>
          <w:rFonts w:eastAsia="Calibri"/>
          <w:i/>
          <w:sz w:val="23"/>
          <w:szCs w:val="23"/>
          <w:rtl/>
        </w:rPr>
        <w:t xml:space="preserve"> مصرف و پول از معادله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Pr>
          <w:rFonts w:eastAsia="Calibri" w:hint="cs"/>
          <w:i/>
          <w:sz w:val="23"/>
          <w:szCs w:val="23"/>
          <w:rtl/>
        </w:rPr>
        <w:t xml:space="preserve">فوق </w:t>
      </w:r>
      <w:r w:rsidRPr="00FE433F">
        <w:rPr>
          <w:rFonts w:eastAsia="Calibri"/>
          <w:i/>
          <w:sz w:val="23"/>
          <w:szCs w:val="23"/>
          <w:rtl/>
        </w:rPr>
        <w:t>و 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بودجه</w:t>
      </w:r>
      <w:r w:rsidRPr="00FE433F">
        <w:rPr>
          <w:rFonts w:eastAsia="Calibri" w:hint="eastAsia"/>
          <w:i/>
          <w:sz w:val="23"/>
          <w:szCs w:val="23"/>
        </w:rPr>
        <w:t>‌</w:t>
      </w:r>
      <w:r w:rsidRPr="00FE433F">
        <w:rPr>
          <w:rFonts w:eastAsia="Calibri" w:hint="cs"/>
          <w:i/>
          <w:sz w:val="23"/>
          <w:szCs w:val="23"/>
          <w:rtl/>
        </w:rPr>
        <w:t>ی</w:t>
      </w:r>
      <w:r w:rsidRPr="00FE433F">
        <w:rPr>
          <w:i/>
          <w:sz w:val="23"/>
          <w:szCs w:val="23"/>
          <w:rtl/>
        </w:rPr>
        <w:t xml:space="preserve"> بلند</w:t>
      </w:r>
      <w:r w:rsidRPr="00FE433F">
        <w:rPr>
          <w:rFonts w:eastAsia="Calibri"/>
          <w:i/>
          <w:sz w:val="23"/>
          <w:szCs w:val="23"/>
          <w:rtl/>
        </w:rPr>
        <w:t>مدت خانوار بدست م</w:t>
      </w:r>
      <w:r w:rsidRPr="00FE433F">
        <w:rPr>
          <w:rFonts w:eastAsia="Calibri" w:hint="cs"/>
          <w:i/>
          <w:sz w:val="23"/>
          <w:szCs w:val="23"/>
          <w:rtl/>
        </w:rPr>
        <w:t>ی‌</w:t>
      </w:r>
      <w:r w:rsidRPr="00FE433F">
        <w:rPr>
          <w:rFonts w:eastAsia="Calibri"/>
          <w:i/>
          <w:sz w:val="23"/>
          <w:szCs w:val="23"/>
          <w:rtl/>
        </w:rPr>
        <w:t>آ</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با فرض ا</w:t>
      </w:r>
      <w:r w:rsidRPr="00FE433F">
        <w:rPr>
          <w:rFonts w:eastAsia="Calibri" w:hint="cs"/>
          <w:i/>
          <w:sz w:val="23"/>
          <w:szCs w:val="23"/>
          <w:rtl/>
        </w:rPr>
        <w:t>ی</w:t>
      </w:r>
      <w:r w:rsidRPr="00FE433F">
        <w:rPr>
          <w:rFonts w:eastAsia="Calibri" w:hint="eastAsia"/>
          <w:i/>
          <w:sz w:val="23"/>
          <w:szCs w:val="23"/>
          <w:rtl/>
        </w:rPr>
        <w:t>نکه</w:t>
      </w:r>
      <w:r w:rsidRPr="00FE433F">
        <w:rPr>
          <w:rFonts w:eastAsia="Calibri"/>
          <w:i/>
          <w:sz w:val="23"/>
          <w:szCs w:val="23"/>
          <w:rtl/>
        </w:rPr>
        <w:t xml:space="preserve"> در بلندمدت</w:t>
      </w:r>
      <w:r w:rsidRPr="00FE433F">
        <w:rPr>
          <w:position w:val="-10"/>
        </w:rPr>
        <w:object w:dxaOrig="540" w:dyaOrig="320" w14:anchorId="01645DF2">
          <v:shape id="_x0000_i4154" type="#_x0000_t75" style="width:26.6pt;height:16.35pt" o:ole="">
            <v:imagedata r:id="rId6297" o:title=""/>
          </v:shape>
          <o:OLEObject Type="Embed" ProgID="Equation.DSMT4" ShapeID="_x0000_i4154" DrawAspect="Content" ObjectID="_1791378098" r:id="rId6298"/>
        </w:object>
      </w:r>
      <w:r w:rsidRPr="00FE433F">
        <w:rPr>
          <w:rFonts w:hint="cs"/>
          <w:i/>
          <w:sz w:val="23"/>
          <w:szCs w:val="23"/>
          <w:rtl/>
        </w:rPr>
        <w:t>،</w:t>
      </w:r>
      <w:r w:rsidRPr="00FE433F">
        <w:rPr>
          <w:position w:val="-10"/>
        </w:rPr>
        <w:object w:dxaOrig="720" w:dyaOrig="320" w14:anchorId="0274CFFB">
          <v:shape id="_x0000_i4155" type="#_x0000_t75" style="width:36.3pt;height:16.35pt" o:ole="">
            <v:imagedata r:id="rId6299" o:title=""/>
          </v:shape>
          <o:OLEObject Type="Embed" ProgID="Equation.DSMT4" ShapeID="_x0000_i4155" DrawAspect="Content" ObjectID="_1791378099" r:id="rId6300"/>
        </w:object>
      </w:r>
      <w:r w:rsidRPr="00FE433F">
        <w:rPr>
          <w:rFonts w:eastAsia="Calibri"/>
          <w:i/>
          <w:sz w:val="23"/>
          <w:szCs w:val="23"/>
          <w:rtl/>
        </w:rPr>
        <w:t>،</w:t>
      </w:r>
      <w:r w:rsidRPr="00FE433F">
        <w:rPr>
          <w:rFonts w:eastAsia="Calibri"/>
          <w:i/>
          <w:sz w:val="23"/>
          <w:szCs w:val="23"/>
        </w:rPr>
        <w:t xml:space="preserve"> </w:t>
      </w:r>
      <w:r w:rsidRPr="00FE433F">
        <w:rPr>
          <w:position w:val="-10"/>
        </w:rPr>
        <w:object w:dxaOrig="560" w:dyaOrig="320" w14:anchorId="565B731A">
          <v:shape id="_x0000_i4156" type="#_x0000_t75" style="width:27.85pt;height:16.35pt" o:ole="">
            <v:imagedata r:id="rId6301" o:title=""/>
          </v:shape>
          <o:OLEObject Type="Embed" ProgID="Equation.DSMT4" ShapeID="_x0000_i4156" DrawAspect="Content" ObjectID="_1791378100" r:id="rId6302"/>
        </w:object>
      </w:r>
      <w:r w:rsidRPr="00FE433F">
        <w:rPr>
          <w:rFonts w:eastAsia="Calibri"/>
          <w:i/>
          <w:sz w:val="23"/>
          <w:szCs w:val="23"/>
          <w:rtl/>
        </w:rPr>
        <w:t>،</w:t>
      </w:r>
      <w:r w:rsidRPr="00FE433F">
        <w:rPr>
          <w:position w:val="-10"/>
        </w:rPr>
        <w:object w:dxaOrig="680" w:dyaOrig="320" w14:anchorId="0D5B8426">
          <v:shape id="_x0000_i4157" type="#_x0000_t75" style="width:33.9pt;height:16.35pt" o:ole="">
            <v:imagedata r:id="rId6303" o:title=""/>
          </v:shape>
          <o:OLEObject Type="Embed" ProgID="Equation.DSMT4" ShapeID="_x0000_i4157" DrawAspect="Content" ObjectID="_1791378101" r:id="rId6304"/>
        </w:object>
      </w:r>
      <w:r w:rsidRPr="00FE433F">
        <w:rPr>
          <w:rFonts w:eastAsia="Calibri"/>
          <w:i/>
          <w:sz w:val="23"/>
          <w:szCs w:val="23"/>
          <w:rtl/>
        </w:rPr>
        <w:t xml:space="preserve">، </w:t>
      </w:r>
      <w:r w:rsidRPr="00FE433F">
        <w:rPr>
          <w:position w:val="-10"/>
        </w:rPr>
        <w:object w:dxaOrig="620" w:dyaOrig="320" w14:anchorId="0AE96CEA">
          <v:shape id="_x0000_i4158" type="#_x0000_t75" style="width:30.85pt;height:16.35pt" o:ole="">
            <v:imagedata r:id="rId6305" o:title=""/>
          </v:shape>
          <o:OLEObject Type="Embed" ProgID="Equation.DSMT4" ShapeID="_x0000_i4158" DrawAspect="Content" ObjectID="_1791378102" r:id="rId6306"/>
        </w:object>
      </w:r>
      <w:r w:rsidRPr="00FE433F">
        <w:rPr>
          <w:rFonts w:eastAsia="Calibri"/>
          <w:i/>
          <w:sz w:val="23"/>
          <w:szCs w:val="23"/>
        </w:rPr>
        <w:t xml:space="preserve"> </w:t>
      </w:r>
      <w:r w:rsidRPr="00FE433F">
        <w:rPr>
          <w:rFonts w:eastAsia="Calibri"/>
          <w:i/>
          <w:sz w:val="23"/>
          <w:szCs w:val="23"/>
          <w:rtl/>
        </w:rPr>
        <w:t xml:space="preserve">و </w:t>
      </w:r>
      <w:r w:rsidRPr="00FE433F">
        <w:rPr>
          <w:position w:val="-10"/>
        </w:rPr>
        <w:object w:dxaOrig="880" w:dyaOrig="320" w14:anchorId="38040EF2">
          <v:shape id="_x0000_i4159" type="#_x0000_t75" style="width:44.15pt;height:16.35pt" o:ole="">
            <v:imagedata r:id="rId6307" o:title=""/>
          </v:shape>
          <o:OLEObject Type="Embed" ProgID="Equation.DSMT4" ShapeID="_x0000_i4159" DrawAspect="Content" ObjectID="_1791378103" r:id="rId6308"/>
        </w:object>
      </w:r>
      <w:r w:rsidRPr="00FE433F">
        <w:rPr>
          <w:rFonts w:eastAsia="Calibri"/>
          <w:i/>
          <w:sz w:val="23"/>
          <w:szCs w:val="23"/>
          <w:rtl/>
        </w:rPr>
        <w:t xml:space="preserve"> است آنگاه 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بودجه</w:t>
      </w:r>
      <w:r w:rsidRPr="00FE433F">
        <w:rPr>
          <w:rFonts w:eastAsia="Calibri" w:hint="eastAsia"/>
          <w:i/>
          <w:sz w:val="23"/>
          <w:szCs w:val="23"/>
        </w:rPr>
        <w:t>‌</w:t>
      </w:r>
      <w:r w:rsidRPr="00FE433F">
        <w:rPr>
          <w:rFonts w:eastAsia="Calibri" w:hint="cs"/>
          <w:i/>
          <w:sz w:val="23"/>
          <w:szCs w:val="23"/>
          <w:rtl/>
        </w:rPr>
        <w:t>ی</w:t>
      </w:r>
      <w:r w:rsidRPr="00FE433F">
        <w:rPr>
          <w:i/>
          <w:sz w:val="23"/>
          <w:szCs w:val="23"/>
          <w:rtl/>
        </w:rPr>
        <w:t xml:space="preserve"> بلند</w:t>
      </w:r>
      <w:r w:rsidRPr="00FE433F">
        <w:rPr>
          <w:rFonts w:eastAsia="Calibri"/>
          <w:i/>
          <w:sz w:val="23"/>
          <w:szCs w:val="23"/>
          <w:rtl/>
        </w:rPr>
        <w:t>مدت خانوار و معادله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Pr>
        <w:t xml:space="preserve"> </w:t>
      </w:r>
      <w:r>
        <w:rPr>
          <w:rFonts w:hint="cs"/>
          <w:i/>
          <w:sz w:val="23"/>
          <w:szCs w:val="23"/>
          <w:rtl/>
        </w:rPr>
        <w:t xml:space="preserve"> فوق</w:t>
      </w:r>
      <w:r w:rsidRPr="00FE433F">
        <w:rPr>
          <w:rFonts w:eastAsia="Calibri"/>
          <w:i/>
          <w:sz w:val="23"/>
          <w:szCs w:val="23"/>
          <w:rtl/>
        </w:rPr>
        <w:t xml:space="preserve"> عبارت خواه</w:t>
      </w:r>
      <w:r w:rsidRPr="00FE433F">
        <w:rPr>
          <w:rFonts w:eastAsia="Calibri" w:hint="cs"/>
          <w:i/>
          <w:sz w:val="23"/>
          <w:szCs w:val="23"/>
          <w:rtl/>
        </w:rPr>
        <w:t>ن</w:t>
      </w:r>
      <w:r w:rsidRPr="00FE433F">
        <w:rPr>
          <w:rFonts w:eastAsia="Calibri"/>
          <w:i/>
          <w:sz w:val="23"/>
          <w:szCs w:val="23"/>
          <w:rtl/>
        </w:rPr>
        <w:t>د بود از</w:t>
      </w:r>
    </w:p>
    <w:p w14:paraId="145FDB98" w14:textId="77777777" w:rsidR="00411620" w:rsidRPr="00FE433F" w:rsidRDefault="00411620" w:rsidP="00411620">
      <w:pPr>
        <w:pStyle w:val="MTDisplayEquation"/>
        <w:tabs>
          <w:tab w:val="clear" w:pos="6660"/>
        </w:tabs>
        <w:spacing w:line="216" w:lineRule="auto"/>
        <w:rPr>
          <w:rFonts w:ascii="Times New Roman" w:eastAsia="Times New Roman" w:hAnsi="Times New Roman" w:cs="B Nazanin"/>
          <w:i/>
          <w:sz w:val="23"/>
          <w:szCs w:val="23"/>
          <w:rtl/>
          <w:lang w:bidi="fa-IR"/>
        </w:rPr>
      </w:pPr>
      <w:r w:rsidRPr="00FE433F">
        <w:rPr>
          <w:position w:val="-12"/>
        </w:rPr>
        <w:object w:dxaOrig="2820" w:dyaOrig="360" w14:anchorId="0EBE2DC3">
          <v:shape id="_x0000_i4160" type="#_x0000_t75" style="width:140.95pt;height:18.15pt" o:ole="">
            <v:imagedata r:id="rId6309" o:title=""/>
          </v:shape>
          <o:OLEObject Type="Embed" ProgID="Equation.DSMT4" ShapeID="_x0000_i4160" DrawAspect="Content" ObjectID="_1791378104" r:id="rId6310"/>
        </w:object>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cs="B Nazanin"/>
          <w:i/>
          <w:sz w:val="23"/>
          <w:szCs w:val="23"/>
          <w:rtl/>
          <w:lang w:bidi="fa-IR"/>
        </w:rPr>
        <w:tab/>
      </w:r>
    </w:p>
    <w:p w14:paraId="3C78002E" w14:textId="77777777" w:rsidR="00411620" w:rsidRPr="00FE433F" w:rsidRDefault="00411620" w:rsidP="00411620">
      <w:pPr>
        <w:pStyle w:val="MTDisplayEquation"/>
        <w:tabs>
          <w:tab w:val="clear" w:pos="6660"/>
          <w:tab w:val="right" w:pos="0"/>
        </w:tabs>
        <w:spacing w:line="216" w:lineRule="auto"/>
        <w:rPr>
          <w:rFonts w:ascii="Times New Roman" w:eastAsia="Times New Roman" w:hAnsi="Times New Roman" w:cs="B Nazanin"/>
          <w:i/>
          <w:sz w:val="23"/>
          <w:szCs w:val="23"/>
          <w:lang w:bidi="fa-IR"/>
        </w:rPr>
      </w:pPr>
      <w:r w:rsidRPr="00FE433F">
        <w:rPr>
          <w:position w:val="-12"/>
        </w:rPr>
        <w:object w:dxaOrig="1359" w:dyaOrig="360" w14:anchorId="30EE4F22">
          <v:shape id="_x0000_i4161" type="#_x0000_t75" style="width:67.75pt;height:18.15pt" o:ole="">
            <v:imagedata r:id="rId6311" o:title=""/>
          </v:shape>
          <o:OLEObject Type="Embed" ProgID="Equation.DSMT4" ShapeID="_x0000_i4161" DrawAspect="Content" ObjectID="_1791378105" r:id="rId6312"/>
        </w:object>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cs="B Nazanin"/>
          <w:i/>
          <w:sz w:val="23"/>
          <w:szCs w:val="23"/>
          <w:rtl/>
        </w:rPr>
        <w:tab/>
      </w:r>
    </w:p>
    <w:p w14:paraId="62ABB3C2"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که دو معادله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غ</w:t>
      </w:r>
      <w:r w:rsidRPr="00FE433F">
        <w:rPr>
          <w:rFonts w:eastAsia="Calibri" w:hint="cs"/>
          <w:i/>
          <w:sz w:val="23"/>
          <w:szCs w:val="23"/>
          <w:rtl/>
        </w:rPr>
        <w:t>ی</w:t>
      </w:r>
      <w:r w:rsidRPr="00FE433F">
        <w:rPr>
          <w:rFonts w:eastAsia="Calibri" w:hint="eastAsia"/>
          <w:i/>
          <w:sz w:val="23"/>
          <w:szCs w:val="23"/>
          <w:rtl/>
        </w:rPr>
        <w:t>ر</w:t>
      </w:r>
      <w:r w:rsidRPr="00FE433F">
        <w:rPr>
          <w:rFonts w:eastAsia="Calibri"/>
          <w:i/>
          <w:sz w:val="23"/>
          <w:szCs w:val="23"/>
          <w:rtl/>
        </w:rPr>
        <w:t>خط</w:t>
      </w:r>
      <w:r w:rsidRPr="00FE433F">
        <w:rPr>
          <w:rFonts w:eastAsia="Calibri" w:hint="cs"/>
          <w:i/>
          <w:sz w:val="23"/>
          <w:szCs w:val="23"/>
          <w:rtl/>
        </w:rPr>
        <w:t>ی</w:t>
      </w:r>
      <w:r w:rsidRPr="00FE433F">
        <w:rPr>
          <w:rFonts w:eastAsia="Calibri"/>
          <w:i/>
          <w:sz w:val="23"/>
          <w:szCs w:val="23"/>
          <w:rtl/>
        </w:rPr>
        <w:t xml:space="preserve"> نسبت به </w:t>
      </w:r>
      <w:r w:rsidRPr="00FE433F">
        <w:rPr>
          <w:rFonts w:eastAsia="Calibri"/>
          <w:i/>
          <w:sz w:val="23"/>
          <w:szCs w:val="23"/>
        </w:rPr>
        <w:t>c</w:t>
      </w:r>
      <w:r w:rsidRPr="00FE433F">
        <w:rPr>
          <w:rFonts w:eastAsia="Calibri"/>
          <w:i/>
          <w:sz w:val="23"/>
          <w:szCs w:val="23"/>
          <w:rtl/>
        </w:rPr>
        <w:t xml:space="preserve"> و </w:t>
      </w:r>
      <w:r w:rsidRPr="00FE433F">
        <w:rPr>
          <w:rFonts w:eastAsia="Calibri"/>
          <w:i/>
          <w:sz w:val="23"/>
          <w:szCs w:val="23"/>
        </w:rPr>
        <w:t>m</w:t>
      </w:r>
      <w:r w:rsidRPr="00FE433F">
        <w:rPr>
          <w:rFonts w:eastAsia="Calibri"/>
          <w:i/>
          <w:sz w:val="23"/>
          <w:szCs w:val="23"/>
          <w:rtl/>
        </w:rPr>
        <w:t xml:space="preserve"> م</w:t>
      </w:r>
      <w:r w:rsidRPr="00FE433F">
        <w:rPr>
          <w:rFonts w:eastAsia="Calibri" w:hint="cs"/>
          <w:i/>
          <w:sz w:val="23"/>
          <w:szCs w:val="23"/>
          <w:rtl/>
        </w:rPr>
        <w:t>ی‌</w:t>
      </w:r>
      <w:r w:rsidRPr="00FE433F">
        <w:rPr>
          <w:i/>
          <w:sz w:val="23"/>
          <w:szCs w:val="23"/>
          <w:rtl/>
        </w:rPr>
        <w:t>باشند و</w:t>
      </w:r>
      <w:r w:rsidRPr="00FE433F">
        <w:rPr>
          <w:rFonts w:eastAsia="Calibri"/>
          <w:i/>
          <w:sz w:val="23"/>
          <w:szCs w:val="23"/>
          <w:rtl/>
        </w:rPr>
        <w:t xml:space="preserve"> حل فرم بسته</w:t>
      </w:r>
      <w:r w:rsidRPr="00FE433F">
        <w:rPr>
          <w:rFonts w:eastAsia="Calibri" w:hint="eastAsia"/>
          <w:i/>
          <w:sz w:val="23"/>
          <w:szCs w:val="23"/>
        </w:rPr>
        <w:t>‌</w:t>
      </w:r>
      <w:r w:rsidRPr="00FE433F">
        <w:rPr>
          <w:rFonts w:eastAsia="Calibri" w:hint="cs"/>
          <w:i/>
          <w:sz w:val="23"/>
          <w:szCs w:val="23"/>
          <w:rtl/>
        </w:rPr>
        <w:t>ی</w:t>
      </w:r>
      <w:r w:rsidRPr="00FE433F">
        <w:rPr>
          <w:rStyle w:val="FootnoteReference"/>
          <w:rFonts w:eastAsiaTheme="majorEastAsia"/>
          <w:i/>
          <w:sz w:val="23"/>
          <w:szCs w:val="23"/>
          <w:rtl/>
        </w:rPr>
        <w:footnoteReference w:id="199"/>
      </w:r>
      <w:r w:rsidRPr="00FE433F">
        <w:rPr>
          <w:rFonts w:eastAsia="Calibri"/>
          <w:i/>
          <w:sz w:val="23"/>
          <w:szCs w:val="23"/>
          <w:rtl/>
        </w:rPr>
        <w:t xml:space="preserve"> آنرا نم</w:t>
      </w:r>
      <w:r w:rsidRPr="00FE433F">
        <w:rPr>
          <w:rFonts w:eastAsia="Calibri" w:hint="cs"/>
          <w:i/>
          <w:sz w:val="23"/>
          <w:szCs w:val="23"/>
          <w:rtl/>
        </w:rPr>
        <w:t>ی‌</w:t>
      </w:r>
      <w:r w:rsidRPr="00FE433F">
        <w:rPr>
          <w:rFonts w:eastAsia="Calibri"/>
          <w:i/>
          <w:sz w:val="23"/>
          <w:szCs w:val="23"/>
          <w:rtl/>
        </w:rPr>
        <w:t>توان بدست آورد.</w:t>
      </w:r>
      <w:r w:rsidRPr="00FE433F">
        <w:rPr>
          <w:rFonts w:eastAsia="Calibri" w:hint="cs"/>
          <w:i/>
          <w:sz w:val="23"/>
          <w:szCs w:val="23"/>
          <w:rtl/>
        </w:rPr>
        <w:t xml:space="preserve"> </w:t>
      </w:r>
      <w:r w:rsidRPr="00FE433F">
        <w:rPr>
          <w:rFonts w:eastAsia="Calibri"/>
          <w:i/>
          <w:sz w:val="23"/>
          <w:szCs w:val="23"/>
          <w:rtl/>
        </w:rPr>
        <w:t>حل بلند</w:t>
      </w:r>
      <w:r w:rsidRPr="00FE433F">
        <w:rPr>
          <w:rFonts w:hint="cs"/>
          <w:i/>
          <w:sz w:val="23"/>
          <w:szCs w:val="23"/>
          <w:rtl/>
        </w:rPr>
        <w:t>‌</w:t>
      </w:r>
      <w:r w:rsidRPr="00FE433F">
        <w:rPr>
          <w:i/>
          <w:sz w:val="23"/>
          <w:szCs w:val="23"/>
          <w:rtl/>
        </w:rPr>
        <w:t>مدت</w:t>
      </w:r>
      <w:r w:rsidRPr="00FE433F">
        <w:rPr>
          <w:rFonts w:eastAsia="Calibri"/>
          <w:i/>
          <w:sz w:val="23"/>
          <w:szCs w:val="23"/>
          <w:rtl/>
        </w:rPr>
        <w:t xml:space="preserve"> اثرات تغ</w:t>
      </w:r>
      <w:r w:rsidRPr="00FE433F">
        <w:rPr>
          <w:rFonts w:eastAsia="Calibri" w:hint="cs"/>
          <w:i/>
          <w:sz w:val="23"/>
          <w:szCs w:val="23"/>
          <w:rtl/>
        </w:rPr>
        <w:t>یی</w:t>
      </w:r>
      <w:r w:rsidRPr="00FE433F">
        <w:rPr>
          <w:rFonts w:eastAsia="Calibri" w:hint="eastAsia"/>
          <w:i/>
          <w:sz w:val="23"/>
          <w:szCs w:val="23"/>
          <w:rtl/>
        </w:rPr>
        <w:t>ر</w:t>
      </w:r>
      <w:r w:rsidRPr="00FE433F">
        <w:rPr>
          <w:rFonts w:eastAsia="Calibri"/>
          <w:i/>
          <w:sz w:val="23"/>
          <w:szCs w:val="23"/>
          <w:rtl/>
        </w:rPr>
        <w:t xml:space="preserve"> در </w:t>
      </w:r>
      <w:r w:rsidRPr="00FE433F">
        <w:rPr>
          <w:rFonts w:eastAsia="Calibri"/>
          <w:i/>
          <w:sz w:val="23"/>
          <w:szCs w:val="23"/>
        </w:rPr>
        <w:t>x</w:t>
      </w:r>
      <w:r w:rsidRPr="00FE433F">
        <w:rPr>
          <w:rFonts w:eastAsia="Calibri"/>
          <w:i/>
          <w:sz w:val="23"/>
          <w:szCs w:val="23"/>
          <w:rtl/>
        </w:rPr>
        <w:t xml:space="preserve">، </w:t>
      </w:r>
      <w:r w:rsidRPr="00FE433F">
        <w:rPr>
          <w:rFonts w:eastAsia="Calibri"/>
          <w:i/>
          <w:sz w:val="23"/>
          <w:szCs w:val="23"/>
        </w:rPr>
        <w:t>b</w:t>
      </w:r>
      <w:r w:rsidRPr="00FE433F">
        <w:rPr>
          <w:rFonts w:eastAsia="Calibri"/>
          <w:i/>
          <w:sz w:val="23"/>
          <w:szCs w:val="23"/>
          <w:rtl/>
        </w:rPr>
        <w:t xml:space="preserve"> و </w:t>
      </w:r>
      <w:r w:rsidRPr="00FE433F">
        <w:rPr>
          <w:rFonts w:eastAsia="Calibri"/>
          <w:i/>
          <w:sz w:val="23"/>
          <w:szCs w:val="23"/>
        </w:rPr>
        <w:t>R</w:t>
      </w:r>
      <w:r w:rsidRPr="00FE433F">
        <w:rPr>
          <w:rFonts w:eastAsia="Calibri"/>
          <w:i/>
          <w:sz w:val="23"/>
          <w:szCs w:val="23"/>
          <w:rtl/>
        </w:rPr>
        <w:t xml:space="preserve"> را م</w:t>
      </w:r>
      <w:r w:rsidRPr="00FE433F">
        <w:rPr>
          <w:rFonts w:eastAsia="Calibri" w:hint="cs"/>
          <w:i/>
          <w:sz w:val="23"/>
          <w:szCs w:val="23"/>
          <w:rtl/>
        </w:rPr>
        <w:t>ی‌</w:t>
      </w:r>
      <w:r w:rsidRPr="00FE433F">
        <w:rPr>
          <w:rFonts w:eastAsia="Calibri"/>
          <w:i/>
          <w:sz w:val="23"/>
          <w:szCs w:val="23"/>
          <w:rtl/>
        </w:rPr>
        <w:t>توان از معادلات</w:t>
      </w:r>
      <w:r>
        <w:rPr>
          <w:rFonts w:hint="cs"/>
          <w:i/>
          <w:sz w:val="23"/>
          <w:szCs w:val="23"/>
          <w:rtl/>
        </w:rPr>
        <w:t xml:space="preserve"> فوق </w:t>
      </w:r>
      <w:r w:rsidRPr="00FE433F">
        <w:rPr>
          <w:rFonts w:eastAsia="Calibri"/>
          <w:i/>
          <w:sz w:val="23"/>
          <w:szCs w:val="23"/>
          <w:rtl/>
        </w:rPr>
        <w:t>بدست آورد. از آنجا که</w:t>
      </w:r>
    </w:p>
    <w:p w14:paraId="701C0B84"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44"/>
        </w:rPr>
        <w:object w:dxaOrig="4099" w:dyaOrig="980" w14:anchorId="415E9528">
          <v:shape id="_x0000_i4162" type="#_x0000_t75" style="width:205.1pt;height:49pt" o:ole="">
            <v:imagedata r:id="rId6313" o:title=""/>
          </v:shape>
          <o:OLEObject Type="Embed" ProgID="Equation.DSMT4" ShapeID="_x0000_i4162" DrawAspect="Content" ObjectID="_1791378106" r:id="rId6314"/>
        </w:object>
      </w:r>
    </w:p>
    <w:p w14:paraId="7EF2B252"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بنابرا</w:t>
      </w:r>
      <w:r w:rsidRPr="00FE433F">
        <w:rPr>
          <w:rFonts w:eastAsia="Calibri" w:hint="cs"/>
          <w:i/>
          <w:sz w:val="23"/>
          <w:szCs w:val="23"/>
          <w:rtl/>
        </w:rPr>
        <w:t>ی</w:t>
      </w:r>
      <w:r w:rsidRPr="00FE433F">
        <w:rPr>
          <w:rFonts w:eastAsia="Calibri" w:hint="eastAsia"/>
          <w:i/>
          <w:sz w:val="23"/>
          <w:szCs w:val="23"/>
          <w:rtl/>
        </w:rPr>
        <w:t>ن</w:t>
      </w:r>
    </w:p>
    <w:p w14:paraId="3FAFFF3B"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44"/>
        </w:rPr>
        <w:object w:dxaOrig="3980" w:dyaOrig="1180" w14:anchorId="648CF625">
          <v:shape id="_x0000_i4163" type="#_x0000_t75" style="width:199.05pt;height:58.7pt" o:ole="">
            <v:imagedata r:id="rId6315" o:title=""/>
          </v:shape>
          <o:OLEObject Type="Embed" ProgID="Equation.DSMT4" ShapeID="_x0000_i4163" DrawAspect="Content" ObjectID="_1791378107" r:id="rId6316"/>
        </w:object>
      </w:r>
    </w:p>
    <w:p w14:paraId="5DDF559F"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با فرض ا</w:t>
      </w:r>
      <w:r w:rsidRPr="00FE433F">
        <w:rPr>
          <w:rFonts w:eastAsia="Calibri" w:hint="cs"/>
          <w:i/>
          <w:sz w:val="23"/>
          <w:szCs w:val="23"/>
          <w:rtl/>
        </w:rPr>
        <w:t>ی</w:t>
      </w:r>
      <w:r w:rsidRPr="00FE433F">
        <w:rPr>
          <w:rFonts w:eastAsia="Calibri" w:hint="eastAsia"/>
          <w:i/>
          <w:sz w:val="23"/>
          <w:szCs w:val="23"/>
          <w:rtl/>
        </w:rPr>
        <w:t>نکه</w:t>
      </w:r>
      <w:r w:rsidRPr="00FE433F">
        <w:rPr>
          <w:rFonts w:eastAsia="Calibri"/>
          <w:i/>
          <w:sz w:val="23"/>
          <w:szCs w:val="23"/>
          <w:rtl/>
        </w:rPr>
        <w:t xml:space="preserve"> </w:t>
      </w:r>
      <w:r w:rsidRPr="00FE433F">
        <w:rPr>
          <w:position w:val="-12"/>
        </w:rPr>
        <w:object w:dxaOrig="2360" w:dyaOrig="360" w14:anchorId="0ECBE8BF">
          <v:shape id="_x0000_i4164" type="#_x0000_t75" style="width:118pt;height:18.15pt" o:ole="">
            <v:imagedata r:id="rId6317" o:title=""/>
          </v:shape>
          <o:OLEObject Type="Embed" ProgID="Equation.DSMT4" ShapeID="_x0000_i4164" DrawAspect="Content" ObjectID="_1791378108" r:id="rId6318"/>
        </w:object>
      </w:r>
      <w:r w:rsidRPr="00FE433F">
        <w:rPr>
          <w:rFonts w:eastAsia="Calibri"/>
          <w:i/>
          <w:sz w:val="23"/>
          <w:szCs w:val="23"/>
          <w:rtl/>
        </w:rPr>
        <w:t xml:space="preserve"> مثبت باشد و مشتقات جزئ</w:t>
      </w:r>
      <w:r w:rsidRPr="00FE433F">
        <w:rPr>
          <w:rFonts w:eastAsia="Calibri" w:hint="cs"/>
          <w:i/>
          <w:sz w:val="23"/>
          <w:szCs w:val="23"/>
          <w:rtl/>
        </w:rPr>
        <w:t>ی</w:t>
      </w:r>
      <w:r w:rsidRPr="00FE433F">
        <w:rPr>
          <w:position w:val="-12"/>
        </w:rPr>
        <w:object w:dxaOrig="760" w:dyaOrig="360" w14:anchorId="3FACB22A">
          <v:shape id="_x0000_i4165" type="#_x0000_t75" style="width:38.1pt;height:18.15pt" o:ole="">
            <v:imagedata r:id="rId6319" o:title=""/>
          </v:shape>
          <o:OLEObject Type="Embed" ProgID="Equation.DSMT4" ShapeID="_x0000_i4165" DrawAspect="Content" ObjectID="_1791378109" r:id="rId6320"/>
        </w:object>
      </w:r>
      <w:r w:rsidRPr="00FE433F">
        <w:rPr>
          <w:rFonts w:eastAsia="Calibri"/>
          <w:i/>
          <w:sz w:val="23"/>
          <w:szCs w:val="23"/>
          <w:rtl/>
        </w:rPr>
        <w:t xml:space="preserve"> غ</w:t>
      </w:r>
      <w:r w:rsidRPr="00FE433F">
        <w:rPr>
          <w:rFonts w:eastAsia="Calibri" w:hint="cs"/>
          <w:i/>
          <w:sz w:val="23"/>
          <w:szCs w:val="23"/>
          <w:rtl/>
        </w:rPr>
        <w:t>ی</w:t>
      </w:r>
      <w:r w:rsidRPr="00FE433F">
        <w:rPr>
          <w:rFonts w:eastAsia="Calibri" w:hint="eastAsia"/>
          <w:i/>
          <w:sz w:val="23"/>
          <w:szCs w:val="23"/>
          <w:rtl/>
        </w:rPr>
        <w:t>ر</w:t>
      </w:r>
      <w:r w:rsidRPr="00FE433F">
        <w:rPr>
          <w:rFonts w:eastAsia="Calibri"/>
          <w:i/>
          <w:sz w:val="23"/>
          <w:szCs w:val="23"/>
          <w:rtl/>
        </w:rPr>
        <w:t>صفر باش</w:t>
      </w:r>
      <w:r w:rsidRPr="00FE433F">
        <w:rPr>
          <w:rFonts w:eastAsia="Calibri" w:hint="cs"/>
          <w:i/>
          <w:sz w:val="23"/>
          <w:szCs w:val="23"/>
          <w:rtl/>
        </w:rPr>
        <w:t>ن</w:t>
      </w:r>
      <w:r w:rsidRPr="00FE433F">
        <w:rPr>
          <w:rFonts w:eastAsia="Calibri"/>
          <w:i/>
          <w:sz w:val="23"/>
          <w:szCs w:val="23"/>
          <w:rtl/>
        </w:rPr>
        <w:t>د آنگاه خواه</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داشت</w:t>
      </w:r>
    </w:p>
    <w:p w14:paraId="5BE490C6" w14:textId="77777777" w:rsidR="00411620" w:rsidRPr="00FE433F" w:rsidRDefault="00411620" w:rsidP="00411620">
      <w:pPr>
        <w:pStyle w:val="MTDisplayEquation"/>
        <w:spacing w:line="216" w:lineRule="auto"/>
        <w:rPr>
          <w:rFonts w:ascii="Times New Roman" w:eastAsia="Times New Roman" w:hAnsi="Times New Roman" w:cs="B Nazanin"/>
          <w:i/>
          <w:sz w:val="23"/>
          <w:szCs w:val="23"/>
          <w:rtl/>
          <w:lang w:bidi="fa-IR"/>
        </w:rPr>
      </w:pPr>
      <w:r w:rsidRPr="00FE433F">
        <w:rPr>
          <w:position w:val="-44"/>
        </w:rPr>
        <w:object w:dxaOrig="2240" w:dyaOrig="980" w14:anchorId="5F3BD9BC">
          <v:shape id="_x0000_i4166" type="#_x0000_t75" style="width:111.95pt;height:49pt" o:ole="">
            <v:imagedata r:id="rId6321" o:title=""/>
          </v:shape>
          <o:OLEObject Type="Embed" ProgID="Equation.DSMT4" ShapeID="_x0000_i4166" DrawAspect="Content" ObjectID="_1791378110" r:id="rId6322"/>
        </w:object>
      </w:r>
    </w:p>
    <w:p w14:paraId="6A92D7DD"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بنابرا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با 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hint="cs"/>
          <w:i/>
          <w:sz w:val="23"/>
          <w:szCs w:val="23"/>
          <w:rtl/>
        </w:rPr>
        <w:t xml:space="preserve"> </w:t>
      </w:r>
      <w:r w:rsidRPr="00FE433F">
        <w:rPr>
          <w:rFonts w:eastAsia="Calibri"/>
          <w:i/>
          <w:sz w:val="23"/>
          <w:szCs w:val="23"/>
        </w:rPr>
        <w:t>x</w:t>
      </w:r>
      <w:r w:rsidRPr="00FE433F">
        <w:rPr>
          <w:rFonts w:eastAsia="Calibri" w:hint="cs"/>
          <w:i/>
          <w:sz w:val="23"/>
          <w:szCs w:val="23"/>
          <w:rtl/>
        </w:rPr>
        <w:t xml:space="preserve">، </w:t>
      </w:r>
      <w:r w:rsidRPr="00FE433F">
        <w:rPr>
          <w:rFonts w:eastAsia="Calibri"/>
          <w:i/>
          <w:sz w:val="23"/>
          <w:szCs w:val="23"/>
        </w:rPr>
        <w:t>b</w:t>
      </w:r>
      <w:r w:rsidRPr="00FE433F">
        <w:rPr>
          <w:rFonts w:eastAsia="Calibri"/>
          <w:i/>
          <w:sz w:val="23"/>
          <w:szCs w:val="23"/>
          <w:rtl/>
        </w:rPr>
        <w:t xml:space="preserve"> و کاهش </w:t>
      </w:r>
      <w:r w:rsidRPr="00FE433F">
        <w:rPr>
          <w:rFonts w:eastAsia="Calibri"/>
          <w:i/>
          <w:sz w:val="23"/>
          <w:szCs w:val="23"/>
        </w:rPr>
        <w:t>R</w:t>
      </w:r>
      <w:r w:rsidRPr="00FE433F">
        <w:rPr>
          <w:rFonts w:eastAsia="Calibri"/>
          <w:i/>
          <w:sz w:val="23"/>
          <w:szCs w:val="23"/>
          <w:rtl/>
        </w:rPr>
        <w:t xml:space="preserve"> تقاضا برا</w:t>
      </w:r>
      <w:r w:rsidRPr="00FE433F">
        <w:rPr>
          <w:rFonts w:eastAsia="Calibri" w:hint="cs"/>
          <w:i/>
          <w:sz w:val="23"/>
          <w:szCs w:val="23"/>
          <w:rtl/>
        </w:rPr>
        <w:t>ی</w:t>
      </w:r>
      <w:r w:rsidRPr="00FE433F">
        <w:rPr>
          <w:rFonts w:eastAsia="Calibri"/>
          <w:i/>
          <w:sz w:val="23"/>
          <w:szCs w:val="23"/>
          <w:rtl/>
        </w:rPr>
        <w:t xml:space="preserve"> پول در بلندمدت 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i/>
          <w:sz w:val="23"/>
          <w:szCs w:val="23"/>
          <w:rtl/>
        </w:rPr>
        <w:t xml:space="preserve"> م</w:t>
      </w:r>
      <w:r w:rsidRPr="00FE433F">
        <w:rPr>
          <w:rFonts w:eastAsia="Calibri" w:hint="cs"/>
          <w:i/>
          <w:sz w:val="23"/>
          <w:szCs w:val="23"/>
          <w:rtl/>
        </w:rPr>
        <w:t>ی‌ی</w:t>
      </w:r>
      <w:r w:rsidRPr="00FE433F">
        <w:rPr>
          <w:rFonts w:eastAsia="Calibri" w:hint="eastAsia"/>
          <w:i/>
          <w:sz w:val="23"/>
          <w:szCs w:val="23"/>
          <w:rtl/>
        </w:rPr>
        <w:t>ابد</w:t>
      </w:r>
      <w:r w:rsidRPr="00FE433F">
        <w:rPr>
          <w:rFonts w:eastAsia="Calibri"/>
          <w:i/>
          <w:sz w:val="23"/>
          <w:szCs w:val="23"/>
          <w:rtl/>
        </w:rPr>
        <w:t>. نتا</w:t>
      </w:r>
      <w:r w:rsidRPr="00FE433F">
        <w:rPr>
          <w:rFonts w:eastAsia="Calibri" w:hint="cs"/>
          <w:i/>
          <w:sz w:val="23"/>
          <w:szCs w:val="23"/>
          <w:rtl/>
        </w:rPr>
        <w:t>ی</w:t>
      </w:r>
      <w:r w:rsidRPr="00FE433F">
        <w:rPr>
          <w:rFonts w:eastAsia="Calibri" w:hint="eastAsia"/>
          <w:i/>
          <w:sz w:val="23"/>
          <w:szCs w:val="23"/>
          <w:rtl/>
        </w:rPr>
        <w:t>ج</w:t>
      </w:r>
      <w:r w:rsidRPr="00FE433F">
        <w:rPr>
          <w:rFonts w:eastAsia="Calibri"/>
          <w:i/>
          <w:sz w:val="23"/>
          <w:szCs w:val="23"/>
          <w:rtl/>
        </w:rPr>
        <w:t xml:space="preserve"> فوق را در مدل</w:t>
      </w:r>
      <w:r w:rsidRPr="00FE433F">
        <w:rPr>
          <w:rFonts w:eastAsia="Calibri" w:hint="cs"/>
          <w:i/>
          <w:sz w:val="23"/>
          <w:szCs w:val="23"/>
          <w:rtl/>
        </w:rPr>
        <w:t xml:space="preserve"> پول در تابع مطلوبیت</w:t>
      </w:r>
      <w:r w:rsidRPr="00FE433F">
        <w:rPr>
          <w:rFonts w:eastAsia="Calibri"/>
          <w:i/>
          <w:sz w:val="23"/>
          <w:szCs w:val="23"/>
          <w:rtl/>
        </w:rPr>
        <w:t xml:space="preserve"> </w:t>
      </w:r>
      <w:r w:rsidRPr="00FE433F">
        <w:rPr>
          <w:rFonts w:eastAsia="Calibri"/>
          <w:i/>
          <w:sz w:val="23"/>
          <w:szCs w:val="23"/>
        </w:rPr>
        <w:t>MIU</w:t>
      </w:r>
      <w:r w:rsidRPr="00FE433F">
        <w:rPr>
          <w:rFonts w:eastAsia="Calibri"/>
          <w:i/>
          <w:sz w:val="23"/>
          <w:szCs w:val="23"/>
          <w:rtl/>
        </w:rPr>
        <w:t xml:space="preserve"> و</w:t>
      </w:r>
      <w:r w:rsidRPr="00FE433F">
        <w:rPr>
          <w:rFonts w:eastAsia="Calibri" w:hint="cs"/>
          <w:i/>
          <w:sz w:val="23"/>
          <w:szCs w:val="23"/>
          <w:rtl/>
        </w:rPr>
        <w:t xml:space="preserve"> پول به عنوان کالای واسطه یا مدل زمان-خرید</w:t>
      </w:r>
      <w:r w:rsidRPr="00FE433F">
        <w:rPr>
          <w:rFonts w:eastAsia="Calibri"/>
          <w:i/>
          <w:sz w:val="23"/>
          <w:szCs w:val="23"/>
          <w:rtl/>
        </w:rPr>
        <w:t xml:space="preserve"> </w:t>
      </w:r>
      <w:r w:rsidRPr="00FE433F">
        <w:rPr>
          <w:rFonts w:eastAsia="Calibri"/>
          <w:i/>
          <w:sz w:val="23"/>
          <w:szCs w:val="23"/>
        </w:rPr>
        <w:t>MIG</w:t>
      </w:r>
      <w:r w:rsidRPr="00FE433F">
        <w:rPr>
          <w:rFonts w:eastAsia="Calibri"/>
          <w:i/>
          <w:sz w:val="23"/>
          <w:szCs w:val="23"/>
          <w:rtl/>
        </w:rPr>
        <w:t xml:space="preserve"> ن</w:t>
      </w:r>
      <w:r w:rsidRPr="00FE433F">
        <w:rPr>
          <w:rFonts w:eastAsia="Calibri" w:hint="cs"/>
          <w:i/>
          <w:sz w:val="23"/>
          <w:szCs w:val="23"/>
          <w:rtl/>
        </w:rPr>
        <w:t>ی</w:t>
      </w:r>
      <w:r w:rsidRPr="00FE433F">
        <w:rPr>
          <w:rFonts w:eastAsia="Calibri" w:hint="eastAsia"/>
          <w:i/>
          <w:sz w:val="23"/>
          <w:szCs w:val="23"/>
          <w:rtl/>
        </w:rPr>
        <w:t>ز</w:t>
      </w:r>
      <w:r w:rsidRPr="00FE433F">
        <w:rPr>
          <w:rFonts w:eastAsia="Calibri"/>
          <w:i/>
          <w:sz w:val="23"/>
          <w:szCs w:val="23"/>
          <w:rtl/>
        </w:rPr>
        <w:t xml:space="preserve"> بدست آورد</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w:t>
      </w:r>
    </w:p>
    <w:p w14:paraId="1E70349F"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از معادله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position w:val="-12"/>
        </w:rPr>
        <w:object w:dxaOrig="1359" w:dyaOrig="360" w14:anchorId="161CF164">
          <v:shape id="_x0000_i4167" type="#_x0000_t75" style="width:67.75pt;height:18.15pt" o:ole="">
            <v:imagedata r:id="rId6311" o:title=""/>
          </v:shape>
          <o:OLEObject Type="Embed" ProgID="Equation.DSMT4" ShapeID="_x0000_i4167" DrawAspect="Content" ObjectID="_1791378111" r:id="rId6323"/>
        </w:object>
      </w:r>
      <w:r w:rsidRPr="00FE433F">
        <w:rPr>
          <w:rFonts w:eastAsia="Calibri"/>
          <w:i/>
          <w:sz w:val="23"/>
          <w:szCs w:val="23"/>
          <w:rtl/>
        </w:rPr>
        <w:t xml:space="preserve"> و با فرض </w:t>
      </w:r>
      <w:r w:rsidRPr="00FE433F">
        <w:rPr>
          <w:rFonts w:eastAsia="Calibri"/>
          <w:i/>
          <w:sz w:val="23"/>
          <w:szCs w:val="23"/>
        </w:rPr>
        <w:t>R</w:t>
      </w:r>
      <w:r w:rsidRPr="00FE433F">
        <w:rPr>
          <w:rFonts w:eastAsia="Calibri"/>
          <w:i/>
          <w:sz w:val="23"/>
          <w:szCs w:val="23"/>
          <w:rtl/>
        </w:rPr>
        <w:t xml:space="preserve"> داده شده دار</w:t>
      </w:r>
      <w:r w:rsidRPr="00FE433F">
        <w:rPr>
          <w:rFonts w:eastAsia="Calibri" w:hint="cs"/>
          <w:i/>
          <w:sz w:val="23"/>
          <w:szCs w:val="23"/>
          <w:rtl/>
        </w:rPr>
        <w:t>ی</w:t>
      </w:r>
      <w:r w:rsidRPr="00FE433F">
        <w:rPr>
          <w:rFonts w:eastAsia="Calibri" w:hint="eastAsia"/>
          <w:i/>
          <w:sz w:val="23"/>
          <w:szCs w:val="23"/>
          <w:rtl/>
        </w:rPr>
        <w:t>م</w:t>
      </w:r>
    </w:p>
    <w:p w14:paraId="519F6A7D"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4800" w:dyaOrig="639" w14:anchorId="6F6558F9">
          <v:shape id="_x0000_i4168" type="#_x0000_t75" style="width:240.2pt;height:32.05pt" o:ole="">
            <v:imagedata r:id="rId6324" o:title=""/>
          </v:shape>
          <o:OLEObject Type="Embed" ProgID="Equation.DSMT4" ShapeID="_x0000_i4168" DrawAspect="Content" ObjectID="_1791378112" r:id="rId6325"/>
        </w:object>
      </w:r>
    </w:p>
    <w:p w14:paraId="6BC5161F" w14:textId="77777777" w:rsidR="00411620" w:rsidRPr="00FE433F" w:rsidRDefault="00411620" w:rsidP="00411620">
      <w:pPr>
        <w:pStyle w:val="MTDisplayEquation"/>
        <w:bidi/>
        <w:spacing w:line="216" w:lineRule="auto"/>
        <w:rPr>
          <w:rFonts w:ascii="Times New Roman" w:hAnsi="Times New Roman" w:cs="B Nazanin"/>
          <w:i/>
          <w:sz w:val="23"/>
          <w:szCs w:val="23"/>
          <w:rtl/>
          <w:lang w:bidi="fa-IR"/>
        </w:rPr>
      </w:pP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عن</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با افزا</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ش</w:t>
      </w:r>
      <w:r w:rsidRPr="00FE433F">
        <w:rPr>
          <w:rFonts w:ascii="Times New Roman" w:hAnsi="Times New Roman" w:cs="B Nazanin"/>
          <w:i/>
          <w:sz w:val="23"/>
          <w:szCs w:val="23"/>
          <w:rtl/>
          <w:lang w:bidi="fa-IR"/>
        </w:rPr>
        <w:t xml:space="preserve"> مصرف، تقاضا برا</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پول حق</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ق</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افزا</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ش</w:t>
      </w:r>
      <w:r w:rsidRPr="00FE433F">
        <w:rPr>
          <w:rFonts w:ascii="Times New Roman" w:hAnsi="Times New Roman" w:cs="B Nazanin"/>
          <w:i/>
          <w:sz w:val="23"/>
          <w:szCs w:val="23"/>
          <w:rtl/>
          <w:lang w:bidi="fa-IR"/>
        </w:rPr>
        <w:t xml:space="preserve"> خواهد</w:t>
      </w:r>
      <w:r w:rsidRPr="00FE433F">
        <w:rPr>
          <w:rFonts w:ascii="Times New Roman" w:hAnsi="Times New Roman" w:cs="B Nazanin" w:hint="cs"/>
          <w:i/>
          <w:sz w:val="23"/>
          <w:szCs w:val="23"/>
          <w:rtl/>
          <w:lang w:bidi="fa-IR"/>
        </w:rPr>
        <w:t xml:space="preserve"> </w:t>
      </w:r>
      <w:r w:rsidRPr="00FE433F">
        <w:rPr>
          <w:rFonts w:ascii="Times New Roman" w:hAnsi="Times New Roman" w:cs="B Nazanin" w:hint="eastAsia"/>
          <w:i/>
          <w:sz w:val="23"/>
          <w:szCs w:val="23"/>
          <w:lang w:bidi="fa-IR"/>
        </w:rPr>
        <w:t>‌</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افت. از معادله</w:t>
      </w:r>
      <w:r w:rsidRPr="00FE433F">
        <w:rPr>
          <w:rFonts w:ascii="Times New Roman" w:hAnsi="Times New Roman" w:cs="B Nazanin" w:hint="eastAsia"/>
          <w:i/>
          <w:sz w:val="23"/>
          <w:szCs w:val="23"/>
          <w:lang w:bidi="fa-IR"/>
        </w:rPr>
        <w:t>‌</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w:t>
      </w:r>
      <w:r w:rsidRPr="00FE433F">
        <w:rPr>
          <w:position w:val="-12"/>
        </w:rPr>
        <w:object w:dxaOrig="2820" w:dyaOrig="360" w14:anchorId="1E134BE2">
          <v:shape id="_x0000_i4169" type="#_x0000_t75" style="width:140.95pt;height:18.15pt" o:ole="">
            <v:imagedata r:id="rId6309" o:title=""/>
          </v:shape>
          <o:OLEObject Type="Embed" ProgID="Equation.DSMT4" ShapeID="_x0000_i4169" DrawAspect="Content" ObjectID="_1791378113" r:id="rId6326"/>
        </w:object>
      </w:r>
      <w:r w:rsidRPr="00FE433F">
        <w:rPr>
          <w:rFonts w:ascii="Times New Roman" w:hAnsi="Times New Roman" w:cs="B Nazanin"/>
          <w:i/>
          <w:sz w:val="23"/>
          <w:szCs w:val="23"/>
          <w:rtl/>
          <w:lang w:bidi="fa-IR"/>
        </w:rPr>
        <w:t xml:space="preserve"> و با فرض</w:t>
      </w:r>
      <w:r w:rsidRPr="00FE433F">
        <w:rPr>
          <w:rFonts w:ascii="Times New Roman" w:hAnsi="Times New Roman" w:cs="B Nazanin"/>
          <w:i/>
          <w:sz w:val="23"/>
          <w:szCs w:val="23"/>
          <w:lang w:bidi="fa-IR"/>
        </w:rPr>
        <w:t xml:space="preserve">x </w:t>
      </w:r>
      <w:r w:rsidRPr="00FE433F">
        <w:rPr>
          <w:rFonts w:ascii="Times New Roman" w:hAnsi="Times New Roman" w:cs="B Nazanin" w:hint="cs"/>
          <w:i/>
          <w:sz w:val="23"/>
          <w:szCs w:val="23"/>
          <w:rtl/>
          <w:lang w:bidi="fa-IR"/>
        </w:rPr>
        <w:t xml:space="preserve"> و </w:t>
      </w:r>
      <w:r w:rsidRPr="00FE433F">
        <w:rPr>
          <w:rFonts w:ascii="Times New Roman" w:hAnsi="Times New Roman" w:cs="B Nazanin"/>
          <w:i/>
          <w:sz w:val="23"/>
          <w:szCs w:val="23"/>
          <w:lang w:bidi="fa-IR"/>
        </w:rPr>
        <w:t>b</w:t>
      </w:r>
      <w:r w:rsidRPr="00FE433F">
        <w:rPr>
          <w:rFonts w:ascii="Times New Roman" w:hAnsi="Times New Roman" w:cs="B Nazanin"/>
          <w:i/>
          <w:sz w:val="23"/>
          <w:szCs w:val="23"/>
          <w:rtl/>
          <w:lang w:bidi="fa-IR"/>
        </w:rPr>
        <w:t xml:space="preserve"> داده شده دار</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م</w:t>
      </w:r>
    </w:p>
    <w:p w14:paraId="02EEA5DE"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6300" w:dyaOrig="639" w14:anchorId="6552E7A7">
          <v:shape id="_x0000_i4170" type="#_x0000_t75" style="width:315.25pt;height:32.05pt" o:ole="">
            <v:imagedata r:id="rId6327" o:title=""/>
          </v:shape>
          <o:OLEObject Type="Embed" ProgID="Equation.DSMT4" ShapeID="_x0000_i4170" DrawAspect="Content" ObjectID="_1791378114" r:id="rId6328"/>
        </w:object>
      </w:r>
    </w:p>
    <w:p w14:paraId="185DD9D7"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که م</w:t>
      </w:r>
      <w:r w:rsidRPr="00FE433F">
        <w:rPr>
          <w:rFonts w:eastAsia="Calibri" w:hint="cs"/>
          <w:i/>
          <w:sz w:val="23"/>
          <w:szCs w:val="23"/>
          <w:rtl/>
        </w:rPr>
        <w:t>ی‌</w:t>
      </w:r>
      <w:r w:rsidRPr="00FE433F">
        <w:rPr>
          <w:rFonts w:eastAsia="Calibri"/>
          <w:i/>
          <w:sz w:val="23"/>
          <w:szCs w:val="23"/>
          <w:rtl/>
        </w:rPr>
        <w:t>با</w:t>
      </w:r>
      <w:r w:rsidRPr="00FE433F">
        <w:rPr>
          <w:rFonts w:eastAsia="Calibri" w:hint="cs"/>
          <w:i/>
          <w:sz w:val="23"/>
          <w:szCs w:val="23"/>
          <w:rtl/>
        </w:rPr>
        <w:t>ی</w:t>
      </w:r>
      <w:r w:rsidRPr="00FE433F">
        <w:rPr>
          <w:rFonts w:eastAsia="Calibri" w:hint="eastAsia"/>
          <w:i/>
          <w:sz w:val="23"/>
          <w:szCs w:val="23"/>
          <w:rtl/>
        </w:rPr>
        <w:t>ست</w:t>
      </w:r>
      <w:r w:rsidRPr="00FE433F">
        <w:rPr>
          <w:rFonts w:eastAsia="Calibri"/>
          <w:i/>
          <w:sz w:val="23"/>
          <w:szCs w:val="23"/>
          <w:rtl/>
        </w:rPr>
        <w:t xml:space="preserve"> مثبت باشد. اما از آنجا که</w:t>
      </w:r>
      <w:r w:rsidRPr="00FE433F">
        <w:rPr>
          <w:position w:val="-10"/>
        </w:rPr>
        <w:object w:dxaOrig="260" w:dyaOrig="320" w14:anchorId="388DE79B">
          <v:shape id="_x0000_i4171" type="#_x0000_t75" style="width:13.3pt;height:16.35pt" o:ole="">
            <v:imagedata r:id="rId6329" o:title=""/>
          </v:shape>
          <o:OLEObject Type="Embed" ProgID="Equation.DSMT4" ShapeID="_x0000_i4171" DrawAspect="Content" ObjectID="_1791378115" r:id="rId6330"/>
        </w:object>
      </w:r>
      <w:r w:rsidRPr="00FE433F">
        <w:rPr>
          <w:rFonts w:eastAsia="Calibri"/>
          <w:i/>
          <w:sz w:val="23"/>
          <w:szCs w:val="23"/>
          <w:rtl/>
        </w:rPr>
        <w:t xml:space="preserve"> مثبت است لذا</w:t>
      </w:r>
      <w:r w:rsidRPr="00FE433F">
        <w:rPr>
          <w:position w:val="-10"/>
        </w:rPr>
        <w:object w:dxaOrig="639" w:dyaOrig="320" w14:anchorId="36FAFB67">
          <v:shape id="_x0000_i4172" type="#_x0000_t75" style="width:32.05pt;height:16.35pt" o:ole="">
            <v:imagedata r:id="rId6331" o:title=""/>
          </v:shape>
          <o:OLEObject Type="Embed" ProgID="Equation.DSMT4" ShapeID="_x0000_i4172" DrawAspect="Content" ObjectID="_1791378116" r:id="rId6332"/>
        </w:object>
      </w:r>
      <w:r w:rsidRPr="00FE433F">
        <w:rPr>
          <w:rFonts w:eastAsia="Calibri"/>
          <w:i/>
          <w:sz w:val="23"/>
          <w:szCs w:val="23"/>
          <w:rtl/>
        </w:rPr>
        <w:t xml:space="preserve"> منف</w:t>
      </w:r>
      <w:r w:rsidRPr="00FE433F">
        <w:rPr>
          <w:rFonts w:eastAsia="Calibri" w:hint="cs"/>
          <w:i/>
          <w:sz w:val="23"/>
          <w:szCs w:val="23"/>
          <w:rtl/>
        </w:rPr>
        <w:t>ی</w:t>
      </w:r>
      <w:r w:rsidRPr="00FE433F">
        <w:rPr>
          <w:rFonts w:eastAsia="Calibri"/>
          <w:i/>
          <w:sz w:val="23"/>
          <w:szCs w:val="23"/>
          <w:rtl/>
        </w:rPr>
        <w:t xml:space="preserve"> خواهد بود که فرض مثبت بودن </w:t>
      </w:r>
      <w:r w:rsidRPr="00FE433F">
        <w:rPr>
          <w:position w:val="-12"/>
        </w:rPr>
        <w:object w:dxaOrig="2360" w:dyaOrig="360" w14:anchorId="558B6CF1">
          <v:shape id="_x0000_i4173" type="#_x0000_t75" style="width:118pt;height:18.15pt" o:ole="">
            <v:imagedata r:id="rId6333" o:title=""/>
          </v:shape>
          <o:OLEObject Type="Embed" ProgID="Equation.DSMT4" ShapeID="_x0000_i4173" DrawAspect="Content" ObjectID="_1791378117" r:id="rId6334"/>
        </w:object>
      </w:r>
      <w:r w:rsidRPr="00FE433F">
        <w:rPr>
          <w:rFonts w:eastAsia="Calibri"/>
          <w:i/>
          <w:sz w:val="23"/>
          <w:szCs w:val="23"/>
          <w:rtl/>
        </w:rPr>
        <w:t xml:space="preserve"> را تأ</w:t>
      </w:r>
      <w:r w:rsidRPr="00FE433F">
        <w:rPr>
          <w:rFonts w:eastAsia="Calibri" w:hint="cs"/>
          <w:i/>
          <w:sz w:val="23"/>
          <w:szCs w:val="23"/>
          <w:rtl/>
        </w:rPr>
        <w:t>یی</w:t>
      </w:r>
      <w:r w:rsidRPr="00FE433F">
        <w:rPr>
          <w:rFonts w:eastAsia="Calibri" w:hint="eastAsia"/>
          <w:i/>
          <w:sz w:val="23"/>
          <w:szCs w:val="23"/>
          <w:rtl/>
        </w:rPr>
        <w:t>د</w: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کند و نشان م</w:t>
      </w:r>
      <w:r w:rsidRPr="00FE433F">
        <w:rPr>
          <w:rFonts w:eastAsia="Calibri" w:hint="cs"/>
          <w:i/>
          <w:sz w:val="23"/>
          <w:szCs w:val="23"/>
          <w:rtl/>
        </w:rPr>
        <w:t>ی‌</w:t>
      </w:r>
      <w:r w:rsidRPr="00FE433F">
        <w:rPr>
          <w:rFonts w:eastAsia="Calibri"/>
          <w:i/>
          <w:sz w:val="23"/>
          <w:szCs w:val="23"/>
          <w:rtl/>
        </w:rPr>
        <w:t>دهد که</w:t>
      </w:r>
      <w:r w:rsidRPr="00FE433F">
        <w:rPr>
          <w:position w:val="-22"/>
        </w:rPr>
        <w:object w:dxaOrig="400" w:dyaOrig="560" w14:anchorId="60DF412D">
          <v:shape id="_x0000_i4174" type="#_x0000_t75" style="width:19.95pt;height:27.85pt" o:ole="">
            <v:imagedata r:id="rId6335" o:title=""/>
          </v:shape>
          <o:OLEObject Type="Embed" ProgID="Equation.DSMT4" ShapeID="_x0000_i4174" DrawAspect="Content" ObjectID="_1791378118" r:id="rId6336"/>
        </w:object>
      </w:r>
      <w:r w:rsidRPr="00FE433F">
        <w:rPr>
          <w:rFonts w:eastAsia="Calibri"/>
          <w:i/>
          <w:sz w:val="23"/>
          <w:szCs w:val="23"/>
        </w:rPr>
        <w:t xml:space="preserve"> </w:t>
      </w:r>
      <w:r w:rsidRPr="00FE433F">
        <w:rPr>
          <w:rFonts w:eastAsia="Calibri"/>
          <w:i/>
          <w:sz w:val="23"/>
          <w:szCs w:val="23"/>
          <w:rtl/>
        </w:rPr>
        <w:t>منف</w:t>
      </w:r>
      <w:r w:rsidRPr="00FE433F">
        <w:rPr>
          <w:rFonts w:eastAsia="Calibri" w:hint="cs"/>
          <w:i/>
          <w:sz w:val="23"/>
          <w:szCs w:val="23"/>
          <w:rtl/>
        </w:rPr>
        <w:t>ی</w:t>
      </w:r>
      <w:r w:rsidRPr="00FE433F">
        <w:rPr>
          <w:rFonts w:eastAsia="Calibri"/>
          <w:i/>
          <w:sz w:val="23"/>
          <w:szCs w:val="23"/>
          <w:rtl/>
        </w:rPr>
        <w:t xml:space="preserve"> است. </w:t>
      </w:r>
    </w:p>
    <w:p w14:paraId="637ADCAE" w14:textId="77777777" w:rsidR="00411620" w:rsidRPr="00FE433F" w:rsidRDefault="00411620" w:rsidP="00411620">
      <w:pPr>
        <w:spacing w:line="216" w:lineRule="auto"/>
        <w:rPr>
          <w:rFonts w:eastAsia="Calibri"/>
          <w:i/>
          <w:sz w:val="23"/>
          <w:szCs w:val="23"/>
          <w:rtl/>
        </w:rPr>
      </w:pPr>
    </w:p>
    <w:p w14:paraId="7B70EC4E" w14:textId="77777777" w:rsidR="00411620" w:rsidRPr="00FE433F" w:rsidRDefault="00411620" w:rsidP="00411620">
      <w:pPr>
        <w:pStyle w:val="Heading1"/>
        <w:spacing w:before="0" w:after="0" w:line="216" w:lineRule="auto"/>
        <w:rPr>
          <w:rFonts w:ascii="Times New Roman" w:hAnsi="Times New Roman" w:cs="B Nazanin"/>
          <w:b w:val="0"/>
          <w:i/>
          <w:sz w:val="23"/>
          <w:szCs w:val="23"/>
          <w:rtl/>
        </w:rPr>
      </w:pPr>
      <w:r w:rsidRPr="00FE433F">
        <w:rPr>
          <w:rFonts w:ascii="Times New Roman" w:hAnsi="Times New Roman" w:cs="B Nazanin"/>
          <w:b w:val="0"/>
          <w:i/>
          <w:sz w:val="23"/>
          <w:szCs w:val="23"/>
          <w:rtl/>
        </w:rPr>
        <w:t xml:space="preserve">۸. </w:t>
      </w:r>
      <w:r w:rsidRPr="00FE433F">
        <w:rPr>
          <w:rFonts w:ascii="Times New Roman" w:hAnsi="Times New Roman" w:cs="B Nazanin" w:hint="cs"/>
          <w:b w:val="0"/>
          <w:i/>
          <w:sz w:val="23"/>
          <w:szCs w:val="23"/>
          <w:rtl/>
        </w:rPr>
        <w:t>۷ پو</w:t>
      </w:r>
      <w:r w:rsidRPr="00FE433F">
        <w:rPr>
          <w:rFonts w:ascii="Times New Roman" w:hAnsi="Times New Roman" w:cs="B Nazanin"/>
          <w:b w:val="0"/>
          <w:i/>
          <w:sz w:val="23"/>
          <w:szCs w:val="23"/>
          <w:rtl/>
        </w:rPr>
        <w:t>ل به عنوان کالا</w:t>
      </w:r>
      <w:r w:rsidRPr="00FE433F">
        <w:rPr>
          <w:rFonts w:ascii="Times New Roman" w:hAnsi="Times New Roman" w:cs="B Nazanin" w:hint="cs"/>
          <w:b w:val="0"/>
          <w:i/>
          <w:sz w:val="23"/>
          <w:szCs w:val="23"/>
          <w:rtl/>
        </w:rPr>
        <w:t>ی</w:t>
      </w:r>
      <w:r w:rsidRPr="00FE433F">
        <w:rPr>
          <w:rFonts w:ascii="Times New Roman" w:hAnsi="Times New Roman" w:cs="B Nazanin"/>
          <w:b w:val="0"/>
          <w:i/>
          <w:sz w:val="23"/>
          <w:szCs w:val="23"/>
          <w:rtl/>
        </w:rPr>
        <w:t xml:space="preserve"> واسطه و</w:t>
      </w:r>
      <w:r w:rsidRPr="00FE433F">
        <w:rPr>
          <w:rFonts w:ascii="Times New Roman" w:hAnsi="Times New Roman" w:cs="B Nazanin"/>
          <w:b w:val="0"/>
          <w:i/>
          <w:sz w:val="23"/>
          <w:szCs w:val="23"/>
        </w:rPr>
        <w:t>‌</w:t>
      </w:r>
      <w:r w:rsidRPr="00FE433F">
        <w:rPr>
          <w:rFonts w:ascii="Times New Roman" w:hAnsi="Times New Roman" w:cs="B Nazanin" w:hint="cs"/>
          <w:b w:val="0"/>
          <w:i/>
          <w:sz w:val="23"/>
          <w:szCs w:val="23"/>
          <w:rtl/>
        </w:rPr>
        <w:t>ی</w:t>
      </w:r>
      <w:r w:rsidRPr="00FE433F">
        <w:rPr>
          <w:rFonts w:ascii="Times New Roman" w:hAnsi="Times New Roman" w:cs="B Nazanin"/>
          <w:b w:val="0"/>
          <w:i/>
          <w:sz w:val="23"/>
          <w:szCs w:val="23"/>
          <w:rtl/>
        </w:rPr>
        <w:t>ا مدل زمان-خر</w:t>
      </w:r>
      <w:r w:rsidRPr="00FE433F">
        <w:rPr>
          <w:rFonts w:ascii="Times New Roman" w:hAnsi="Times New Roman" w:cs="B Nazanin" w:hint="cs"/>
          <w:b w:val="0"/>
          <w:i/>
          <w:sz w:val="23"/>
          <w:szCs w:val="23"/>
          <w:rtl/>
        </w:rPr>
        <w:t>ی</w:t>
      </w:r>
      <w:r w:rsidRPr="00FE433F">
        <w:rPr>
          <w:rFonts w:ascii="Times New Roman" w:hAnsi="Times New Roman" w:cs="B Nazanin" w:hint="eastAsia"/>
          <w:b w:val="0"/>
          <w:i/>
          <w:sz w:val="23"/>
          <w:szCs w:val="23"/>
          <w:rtl/>
        </w:rPr>
        <w:t>د</w:t>
      </w:r>
      <w:r w:rsidRPr="00FE433F">
        <w:rPr>
          <w:rFonts w:ascii="Times New Roman" w:hAnsi="Times New Roman" w:cs="B Nazanin" w:hint="cs"/>
          <w:b w:val="0"/>
          <w:i/>
          <w:sz w:val="23"/>
          <w:szCs w:val="23"/>
          <w:rtl/>
        </w:rPr>
        <w:t xml:space="preserve"> </w:t>
      </w:r>
      <w:r w:rsidRPr="00FE433F">
        <w:rPr>
          <w:rStyle w:val="FootnoteReference"/>
          <w:rFonts w:ascii="Times New Roman" w:eastAsiaTheme="majorEastAsia" w:hAnsi="Times New Roman" w:cs="B Nazanin"/>
          <w:b w:val="0"/>
          <w:i/>
          <w:sz w:val="23"/>
          <w:szCs w:val="23"/>
          <w:rtl/>
        </w:rPr>
        <w:footnoteReference w:id="200"/>
      </w:r>
      <w:r w:rsidRPr="00FE433F">
        <w:rPr>
          <w:rFonts w:ascii="Times New Roman" w:hAnsi="Times New Roman" w:cs="B Nazanin"/>
          <w:b w:val="0"/>
          <w:i/>
          <w:sz w:val="23"/>
          <w:szCs w:val="23"/>
        </w:rPr>
        <w:t>MIG</w:t>
      </w:r>
    </w:p>
    <w:p w14:paraId="36265829"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در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نظریه</w:t>
      </w:r>
      <w:r w:rsidRPr="00FE433F">
        <w:rPr>
          <w:rFonts w:eastAsia="Calibri"/>
          <w:i/>
          <w:sz w:val="23"/>
          <w:szCs w:val="23"/>
          <w:rtl/>
        </w:rPr>
        <w:t xml:space="preserve"> </w:t>
      </w:r>
      <w:r w:rsidRPr="00FE433F">
        <w:rPr>
          <w:rFonts w:eastAsia="Calibri" w:hint="eastAsia"/>
          <w:i/>
          <w:sz w:val="23"/>
          <w:szCs w:val="23"/>
          <w:rtl/>
        </w:rPr>
        <w:t>پول</w:t>
      </w:r>
      <w:r w:rsidRPr="00FE433F">
        <w:rPr>
          <w:rFonts w:eastAsia="Calibri"/>
          <w:i/>
          <w:sz w:val="23"/>
          <w:szCs w:val="23"/>
          <w:rtl/>
        </w:rPr>
        <w:t xml:space="preserve"> </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ک کالا</w:t>
      </w:r>
      <w:r w:rsidRPr="00FE433F">
        <w:rPr>
          <w:rFonts w:eastAsia="Calibri" w:hint="cs"/>
          <w:i/>
          <w:sz w:val="23"/>
          <w:szCs w:val="23"/>
          <w:rtl/>
        </w:rPr>
        <w:t>ی</w:t>
      </w:r>
      <w:r w:rsidRPr="00FE433F">
        <w:rPr>
          <w:rFonts w:eastAsia="Calibri"/>
          <w:i/>
          <w:sz w:val="23"/>
          <w:szCs w:val="23"/>
          <w:rtl/>
        </w:rPr>
        <w:t xml:space="preserve"> واسطه است</w:t>
      </w:r>
      <w:r w:rsidRPr="00FE433F">
        <w:rPr>
          <w:rFonts w:eastAsia="Calibri" w:hint="cs"/>
          <w:i/>
          <w:sz w:val="23"/>
          <w:szCs w:val="23"/>
          <w:rtl/>
        </w:rPr>
        <w:t>،</w:t>
      </w:r>
      <w:r w:rsidRPr="00FE433F">
        <w:rPr>
          <w:rFonts w:eastAsia="Calibri"/>
          <w:i/>
          <w:sz w:val="23"/>
          <w:szCs w:val="23"/>
          <w:rtl/>
        </w:rPr>
        <w:t xml:space="preserve"> و جهت کاهش</w:t>
      </w:r>
      <w:r w:rsidRPr="00FE433F">
        <w:rPr>
          <w:rFonts w:hint="cs"/>
          <w:i/>
          <w:sz w:val="23"/>
          <w:szCs w:val="23"/>
          <w:rtl/>
        </w:rPr>
        <w:t xml:space="preserve">‌ </w:t>
      </w:r>
      <w:r w:rsidRPr="00FE433F">
        <w:rPr>
          <w:i/>
          <w:sz w:val="23"/>
          <w:szCs w:val="23"/>
          <w:rtl/>
        </w:rPr>
        <w:t>مدت</w:t>
      </w:r>
      <w:r w:rsidRPr="00FE433F">
        <w:rPr>
          <w:rFonts w:eastAsia="Calibri"/>
          <w:i/>
          <w:sz w:val="23"/>
          <w:szCs w:val="23"/>
          <w:rtl/>
        </w:rPr>
        <w:t xml:space="preserve"> زمان خر</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توسط</w:t>
      </w:r>
      <w:r w:rsidRPr="00FE433F">
        <w:rPr>
          <w:rFonts w:eastAsia="Calibri"/>
          <w:i/>
          <w:sz w:val="23"/>
          <w:szCs w:val="23"/>
          <w:rtl/>
        </w:rPr>
        <w:t xml:space="preserve"> خانوار نگهدار</w:t>
      </w:r>
      <w:r w:rsidRPr="00FE433F">
        <w:rPr>
          <w:rFonts w:eastAsia="Calibri" w:hint="cs"/>
          <w:i/>
          <w:sz w:val="23"/>
          <w:szCs w:val="23"/>
          <w:rtl/>
        </w:rPr>
        <w:t>ی</w: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شود. مقدار پول</w:t>
      </w:r>
      <w:r w:rsidRPr="00FE433F">
        <w:rPr>
          <w:rFonts w:eastAsia="Calibri" w:hint="cs"/>
          <w:i/>
          <w:sz w:val="23"/>
          <w:szCs w:val="23"/>
          <w:rtl/>
        </w:rPr>
        <w:t>ی</w:t>
      </w:r>
      <w:r w:rsidRPr="00FE433F">
        <w:rPr>
          <w:rFonts w:eastAsia="Calibri"/>
          <w:i/>
          <w:sz w:val="23"/>
          <w:szCs w:val="23"/>
          <w:rtl/>
        </w:rPr>
        <w:t xml:space="preserve"> که جهت اهداف معاملات</w:t>
      </w:r>
      <w:r w:rsidRPr="00FE433F">
        <w:rPr>
          <w:rFonts w:eastAsia="Calibri" w:hint="cs"/>
          <w:i/>
          <w:sz w:val="23"/>
          <w:szCs w:val="23"/>
          <w:rtl/>
        </w:rPr>
        <w:t>ی</w:t>
      </w:r>
      <w:r w:rsidRPr="00FE433F">
        <w:rPr>
          <w:rFonts w:eastAsia="Calibri"/>
          <w:i/>
          <w:sz w:val="23"/>
          <w:szCs w:val="23"/>
          <w:rtl/>
        </w:rPr>
        <w:t xml:space="preserve"> نگهدار</w:t>
      </w:r>
      <w:r w:rsidRPr="00FE433F">
        <w:rPr>
          <w:rFonts w:eastAsia="Calibri" w:hint="cs"/>
          <w:i/>
          <w:sz w:val="23"/>
          <w:szCs w:val="23"/>
          <w:rtl/>
        </w:rPr>
        <w:t>ی</w: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شود به</w:t>
      </w:r>
      <w:r w:rsidRPr="00FE433F">
        <w:rPr>
          <w:rFonts w:eastAsia="Calibri" w:hint="cs"/>
          <w:i/>
          <w:sz w:val="23"/>
          <w:szCs w:val="23"/>
          <w:rtl/>
        </w:rPr>
        <w:t xml:space="preserve"> </w:t>
      </w:r>
      <w:r w:rsidRPr="00FE433F">
        <w:rPr>
          <w:rFonts w:hint="cs"/>
          <w:i/>
          <w:sz w:val="23"/>
          <w:szCs w:val="23"/>
          <w:rtl/>
        </w:rPr>
        <w:t>‌</w:t>
      </w:r>
      <w:r w:rsidRPr="00FE433F">
        <w:rPr>
          <w:i/>
          <w:sz w:val="23"/>
          <w:szCs w:val="23"/>
          <w:rtl/>
        </w:rPr>
        <w:t>مدت</w:t>
      </w:r>
      <w:r w:rsidRPr="00FE433F">
        <w:rPr>
          <w:rFonts w:eastAsia="Calibri"/>
          <w:i/>
          <w:sz w:val="23"/>
          <w:szCs w:val="23"/>
          <w:rtl/>
        </w:rPr>
        <w:t xml:space="preserve"> زمان خر</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کالاها</w:t>
      </w:r>
      <w:r w:rsidRPr="00FE433F">
        <w:rPr>
          <w:rFonts w:eastAsia="Calibri"/>
          <w:i/>
          <w:sz w:val="23"/>
          <w:szCs w:val="23"/>
          <w:rtl/>
        </w:rPr>
        <w:t xml:space="preserve"> و خدمات وابسته است. در ا</w:t>
      </w:r>
      <w:r w:rsidRPr="00FE433F">
        <w:rPr>
          <w:rFonts w:eastAsia="Calibri" w:hint="cs"/>
          <w:i/>
          <w:sz w:val="23"/>
          <w:szCs w:val="23"/>
          <w:rtl/>
        </w:rPr>
        <w:t>ی</w:t>
      </w:r>
      <w:r w:rsidRPr="00FE433F">
        <w:rPr>
          <w:rFonts w:eastAsia="Calibri"/>
          <w:i/>
          <w:sz w:val="23"/>
          <w:szCs w:val="23"/>
          <w:rtl/>
        </w:rPr>
        <w:t xml:space="preserve">ن قسمت </w:t>
      </w:r>
      <w:r w:rsidRPr="00FE433F">
        <w:rPr>
          <w:rFonts w:eastAsia="Calibri" w:hint="cs"/>
          <w:i/>
          <w:sz w:val="23"/>
          <w:szCs w:val="23"/>
          <w:rtl/>
        </w:rPr>
        <w:t>یکی از ا</w:t>
      </w:r>
      <w:r w:rsidRPr="00FE433F">
        <w:rPr>
          <w:rFonts w:eastAsia="Calibri"/>
          <w:i/>
          <w:sz w:val="23"/>
          <w:szCs w:val="23"/>
          <w:rtl/>
        </w:rPr>
        <w:t>نو</w:t>
      </w:r>
      <w:r w:rsidRPr="00FE433F">
        <w:rPr>
          <w:rFonts w:eastAsia="Calibri" w:hint="cs"/>
          <w:i/>
          <w:sz w:val="23"/>
          <w:szCs w:val="23"/>
          <w:rtl/>
        </w:rPr>
        <w:t>ا</w:t>
      </w:r>
      <w:r w:rsidRPr="00FE433F">
        <w:rPr>
          <w:rFonts w:eastAsia="Calibri"/>
          <w:i/>
          <w:sz w:val="23"/>
          <w:szCs w:val="23"/>
          <w:rtl/>
        </w:rPr>
        <w:t>ع مدل زمان-خر</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پول را بررس</w:t>
      </w:r>
      <w:r w:rsidRPr="00FE433F">
        <w:rPr>
          <w:rFonts w:eastAsia="Calibri" w:hint="cs"/>
          <w:i/>
          <w:sz w:val="23"/>
          <w:szCs w:val="23"/>
          <w:rtl/>
        </w:rPr>
        <w:t>ی</w: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کن</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w:t>
      </w:r>
      <w:r w:rsidRPr="00FE433F">
        <w:rPr>
          <w:rFonts w:eastAsia="Calibri" w:hint="eastAsia"/>
          <w:i/>
          <w:sz w:val="23"/>
          <w:szCs w:val="23"/>
          <w:rtl/>
        </w:rPr>
        <w:t>که</w:t>
      </w:r>
      <w:r w:rsidRPr="00FE433F">
        <w:rPr>
          <w:rFonts w:eastAsia="Calibri"/>
          <w:i/>
          <w:sz w:val="23"/>
          <w:szCs w:val="23"/>
          <w:rtl/>
        </w:rPr>
        <w:t xml:space="preserve"> </w:t>
      </w:r>
      <w:r w:rsidRPr="00FE433F">
        <w:rPr>
          <w:rFonts w:eastAsia="Calibri" w:hint="eastAsia"/>
          <w:i/>
          <w:sz w:val="23"/>
          <w:szCs w:val="23"/>
          <w:rtl/>
        </w:rPr>
        <w:t>ابتدا</w:t>
      </w:r>
      <w:r w:rsidRPr="00FE433F">
        <w:rPr>
          <w:rFonts w:eastAsia="Calibri"/>
          <w:i/>
          <w:sz w:val="23"/>
          <w:szCs w:val="23"/>
          <w:rtl/>
        </w:rPr>
        <w:t xml:space="preserve"> </w:t>
      </w:r>
      <w:r w:rsidRPr="00FE433F">
        <w:rPr>
          <w:rFonts w:eastAsia="Calibri" w:hint="eastAsia"/>
          <w:i/>
          <w:sz w:val="23"/>
          <w:szCs w:val="23"/>
          <w:rtl/>
        </w:rPr>
        <w:t>توسط</w:t>
      </w:r>
      <w:r w:rsidRPr="00FE433F">
        <w:rPr>
          <w:rFonts w:eastAsia="Calibri"/>
          <w:i/>
          <w:sz w:val="23"/>
          <w:szCs w:val="23"/>
          <w:rtl/>
        </w:rPr>
        <w:t xml:space="preserve"> </w:t>
      </w:r>
      <w:r w:rsidRPr="00FE433F">
        <w:rPr>
          <w:rFonts w:eastAsia="Calibri" w:hint="cs"/>
          <w:i/>
          <w:sz w:val="23"/>
          <w:szCs w:val="23"/>
          <w:rtl/>
        </w:rPr>
        <w:t>لی</w:t>
      </w:r>
      <w:r w:rsidRPr="00FE433F">
        <w:rPr>
          <w:rFonts w:eastAsia="Calibri" w:hint="eastAsia"/>
          <w:i/>
          <w:sz w:val="23"/>
          <w:szCs w:val="23"/>
          <w:rtl/>
        </w:rPr>
        <w:t>انکو</w:t>
      </w:r>
      <w:r w:rsidRPr="00FE433F">
        <w:rPr>
          <w:rFonts w:eastAsia="Calibri" w:hint="cs"/>
          <w:i/>
          <w:sz w:val="23"/>
          <w:szCs w:val="23"/>
          <w:rtl/>
        </w:rPr>
        <w:t>ی</w:t>
      </w:r>
      <w:r w:rsidRPr="00FE433F">
        <w:rPr>
          <w:rFonts w:eastAsia="Calibri" w:hint="eastAsia"/>
          <w:i/>
          <w:sz w:val="23"/>
          <w:szCs w:val="23"/>
          <w:rtl/>
        </w:rPr>
        <w:t>ست</w:t>
      </w:r>
      <w:r w:rsidRPr="00FE433F">
        <w:rPr>
          <w:rFonts w:eastAsia="Calibri"/>
          <w:i/>
          <w:sz w:val="23"/>
          <w:szCs w:val="23"/>
          <w:rtl/>
        </w:rPr>
        <w:t xml:space="preserve"> </w:t>
      </w:r>
      <w:r w:rsidRPr="00FE433F">
        <w:rPr>
          <w:rFonts w:eastAsia="Calibri" w:hint="eastAsia"/>
          <w:i/>
          <w:sz w:val="23"/>
          <w:szCs w:val="23"/>
          <w:rtl/>
        </w:rPr>
        <w:t>و</w:t>
      </w:r>
      <w:r w:rsidRPr="00FE433F">
        <w:rPr>
          <w:rFonts w:eastAsia="Calibri"/>
          <w:i/>
          <w:sz w:val="23"/>
          <w:szCs w:val="23"/>
          <w:rtl/>
        </w:rPr>
        <w:t xml:space="preserve"> </w:t>
      </w:r>
      <w:r w:rsidRPr="00FE433F">
        <w:rPr>
          <w:rFonts w:eastAsia="Calibri" w:hint="eastAsia"/>
          <w:i/>
          <w:sz w:val="23"/>
          <w:szCs w:val="23"/>
          <w:rtl/>
        </w:rPr>
        <w:t>سارجنت</w:t>
      </w:r>
      <w:r w:rsidRPr="00FE433F">
        <w:rPr>
          <w:rStyle w:val="FootnoteReference"/>
          <w:rFonts w:eastAsia="Calibri"/>
          <w:i/>
          <w:sz w:val="23"/>
          <w:szCs w:val="23"/>
          <w:rtl/>
        </w:rPr>
        <w:footnoteReference w:id="201"/>
      </w:r>
      <w:r w:rsidRPr="00FE433F">
        <w:rPr>
          <w:rFonts w:eastAsia="Calibri"/>
          <w:i/>
          <w:sz w:val="23"/>
          <w:szCs w:val="23"/>
          <w:rtl/>
        </w:rPr>
        <w:t xml:space="preserve"> </w:t>
      </w:r>
      <w:r w:rsidRPr="00FE433F">
        <w:rPr>
          <w:rFonts w:eastAsia="Calibri" w:hint="eastAsia"/>
          <w:i/>
          <w:sz w:val="23"/>
          <w:szCs w:val="23"/>
          <w:rtl/>
        </w:rPr>
        <w:t>ارائه</w:t>
      </w:r>
      <w:r w:rsidRPr="00FE433F">
        <w:rPr>
          <w:rFonts w:eastAsia="Calibri"/>
          <w:i/>
          <w:sz w:val="23"/>
          <w:szCs w:val="23"/>
          <w:rtl/>
        </w:rPr>
        <w:t xml:space="preserve"> </w:t>
      </w:r>
      <w:r w:rsidRPr="00FE433F">
        <w:rPr>
          <w:rFonts w:eastAsia="Calibri" w:hint="eastAsia"/>
          <w:i/>
          <w:sz w:val="23"/>
          <w:szCs w:val="23"/>
          <w:rtl/>
        </w:rPr>
        <w:t>شده</w:t>
      </w:r>
      <w:r w:rsidRPr="00FE433F">
        <w:rPr>
          <w:rFonts w:eastAsia="Calibri"/>
          <w:i/>
          <w:sz w:val="23"/>
          <w:szCs w:val="23"/>
          <w:rtl/>
        </w:rPr>
        <w:t xml:space="preserve"> </w:t>
      </w:r>
      <w:r w:rsidRPr="00FE433F">
        <w:rPr>
          <w:rFonts w:eastAsia="Calibri" w:hint="eastAsia"/>
          <w:i/>
          <w:sz w:val="23"/>
          <w:szCs w:val="23"/>
          <w:rtl/>
        </w:rPr>
        <w:t>است</w:t>
      </w:r>
      <w:r w:rsidRPr="00FE433F">
        <w:rPr>
          <w:rFonts w:eastAsia="Calibri"/>
          <w:i/>
          <w:sz w:val="23"/>
          <w:szCs w:val="23"/>
          <w:rtl/>
        </w:rPr>
        <w:t>.</w:t>
      </w:r>
    </w:p>
    <w:p w14:paraId="7810DF0E" w14:textId="77777777" w:rsidR="00411620" w:rsidRPr="00FE433F" w:rsidRDefault="00411620" w:rsidP="00411620">
      <w:pPr>
        <w:spacing w:line="216" w:lineRule="auto"/>
        <w:rPr>
          <w:rFonts w:eastAsia="Calibri"/>
          <w:i/>
          <w:sz w:val="23"/>
          <w:szCs w:val="23"/>
        </w:rPr>
      </w:pPr>
      <w:r w:rsidRPr="00FE433F">
        <w:rPr>
          <w:rFonts w:eastAsia="Calibri"/>
          <w:i/>
          <w:sz w:val="23"/>
          <w:szCs w:val="23"/>
          <w:rtl/>
        </w:rPr>
        <w:t>فرض کن</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خانوار کل زمان دردسترس خود </w:t>
      </w:r>
      <w:r w:rsidRPr="00FE433F">
        <w:rPr>
          <w:rFonts w:eastAsia="Calibri" w:hint="eastAsia"/>
          <w:i/>
          <w:sz w:val="23"/>
          <w:szCs w:val="23"/>
          <w:rtl/>
        </w:rPr>
        <w:t>را</w:t>
      </w:r>
      <w:r w:rsidRPr="00FE433F">
        <w:rPr>
          <w:rFonts w:eastAsia="Calibri"/>
          <w:i/>
          <w:sz w:val="23"/>
          <w:szCs w:val="23"/>
          <w:rtl/>
        </w:rPr>
        <w:t xml:space="preserve"> که به</w:t>
      </w:r>
      <w:r w:rsidRPr="00FE433F">
        <w:rPr>
          <w:i/>
          <w:sz w:val="23"/>
          <w:szCs w:val="23"/>
        </w:rPr>
        <w:t xml:space="preserve"> </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ک نرمالا</w:t>
      </w:r>
      <w:r w:rsidRPr="00FE433F">
        <w:rPr>
          <w:rFonts w:eastAsia="Calibri" w:hint="cs"/>
          <w:i/>
          <w:sz w:val="23"/>
          <w:szCs w:val="23"/>
          <w:rtl/>
        </w:rPr>
        <w:t>ی</w:t>
      </w:r>
      <w:r w:rsidRPr="00FE433F">
        <w:rPr>
          <w:rFonts w:eastAsia="Calibri" w:hint="eastAsia"/>
          <w:i/>
          <w:sz w:val="23"/>
          <w:szCs w:val="23"/>
          <w:rtl/>
        </w:rPr>
        <w:t>ز</w:t>
      </w:r>
      <w:r w:rsidRPr="00FE433F">
        <w:rPr>
          <w:rFonts w:eastAsia="Calibri"/>
          <w:i/>
          <w:sz w:val="23"/>
          <w:szCs w:val="23"/>
          <w:rtl/>
        </w:rPr>
        <w:t xml:space="preserve"> </w:t>
      </w:r>
      <w:r w:rsidRPr="00FE433F">
        <w:rPr>
          <w:rFonts w:eastAsia="Calibri" w:hint="eastAsia"/>
          <w:i/>
          <w:sz w:val="23"/>
          <w:szCs w:val="23"/>
          <w:rtl/>
        </w:rPr>
        <w:t>شده</w:t>
      </w:r>
      <w:r w:rsidRPr="00FE433F">
        <w:rPr>
          <w:rFonts w:eastAsia="Calibri"/>
          <w:i/>
          <w:sz w:val="23"/>
          <w:szCs w:val="23"/>
          <w:rtl/>
        </w:rPr>
        <w:t xml:space="preserve"> </w:t>
      </w:r>
      <w:r w:rsidRPr="00FE433F">
        <w:rPr>
          <w:rFonts w:eastAsia="Calibri" w:hint="eastAsia"/>
          <w:i/>
          <w:sz w:val="23"/>
          <w:szCs w:val="23"/>
          <w:rtl/>
        </w:rPr>
        <w:t>است</w:t>
      </w:r>
      <w:r w:rsidRPr="00FE433F">
        <w:rPr>
          <w:rFonts w:eastAsia="Calibri"/>
          <w:i/>
          <w:sz w:val="23"/>
          <w:szCs w:val="23"/>
          <w:rtl/>
        </w:rPr>
        <w:t xml:space="preserve"> ب</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کار</w:t>
      </w:r>
      <w:r w:rsidRPr="00FE433F">
        <w:rPr>
          <w:position w:val="-10"/>
        </w:rPr>
        <w:object w:dxaOrig="240" w:dyaOrig="320" w14:anchorId="6FD43D34">
          <v:shape id="_x0000_i4175" type="#_x0000_t75" style="width:12.1pt;height:16.35pt" o:ole="">
            <v:imagedata r:id="rId6337" o:title=""/>
          </v:shape>
          <o:OLEObject Type="Embed" ProgID="Equation.DSMT4" ShapeID="_x0000_i4175" DrawAspect="Content" ObjectID="_1791378119" r:id="rId6338"/>
        </w:object>
      </w:r>
      <w:r w:rsidRPr="00FE433F">
        <w:rPr>
          <w:rFonts w:eastAsia="Calibri"/>
          <w:i/>
          <w:sz w:val="23"/>
          <w:szCs w:val="23"/>
          <w:rtl/>
        </w:rPr>
        <w:t>، اوقات فراغت</w:t>
      </w:r>
      <w:r w:rsidRPr="00FE433F">
        <w:rPr>
          <w:position w:val="-10"/>
        </w:rPr>
        <w:object w:dxaOrig="180" w:dyaOrig="320" w14:anchorId="3C3CD646">
          <v:shape id="_x0000_i4176" type="#_x0000_t75" style="width:9.1pt;height:16.35pt" o:ole="">
            <v:imagedata r:id="rId6339" o:title=""/>
          </v:shape>
          <o:OLEObject Type="Embed" ProgID="Equation.DSMT4" ShapeID="_x0000_i4176" DrawAspect="Content" ObjectID="_1791378120" r:id="rId6340"/>
        </w:object>
      </w:r>
      <w:r w:rsidRPr="00FE433F">
        <w:rPr>
          <w:rFonts w:eastAsia="Calibri"/>
          <w:i/>
          <w:sz w:val="23"/>
          <w:szCs w:val="23"/>
          <w:rtl/>
        </w:rPr>
        <w:t xml:space="preserve"> و زمان خر</w:t>
      </w:r>
      <w:r w:rsidRPr="00FE433F">
        <w:rPr>
          <w:rFonts w:eastAsia="Calibri" w:hint="cs"/>
          <w:i/>
          <w:sz w:val="23"/>
          <w:szCs w:val="23"/>
          <w:rtl/>
        </w:rPr>
        <w:t>ی</w:t>
      </w:r>
      <w:r w:rsidRPr="00FE433F">
        <w:rPr>
          <w:rFonts w:eastAsia="Calibri" w:hint="eastAsia"/>
          <w:i/>
          <w:sz w:val="23"/>
          <w:szCs w:val="23"/>
          <w:rtl/>
        </w:rPr>
        <w:t>د</w:t>
      </w:r>
      <w:r w:rsidRPr="00FE433F">
        <w:rPr>
          <w:position w:val="-10"/>
        </w:rPr>
        <w:object w:dxaOrig="200" w:dyaOrig="320" w14:anchorId="04F501F1">
          <v:shape id="_x0000_i4177" type="#_x0000_t75" style="width:10.3pt;height:16.35pt" o:ole="">
            <v:imagedata r:id="rId6341" o:title=""/>
          </v:shape>
          <o:OLEObject Type="Embed" ProgID="Equation.DSMT4" ShapeID="_x0000_i4177" DrawAspect="Content" ObjectID="_1791378121" r:id="rId6342"/>
        </w:object>
      </w:r>
      <w:r w:rsidRPr="00FE433F">
        <w:rPr>
          <w:rFonts w:eastAsia="Calibri"/>
          <w:i/>
          <w:sz w:val="23"/>
          <w:szCs w:val="23"/>
          <w:rtl/>
        </w:rPr>
        <w:t xml:space="preserve"> تخص</w:t>
      </w:r>
      <w:r w:rsidRPr="00FE433F">
        <w:rPr>
          <w:rFonts w:eastAsia="Calibri" w:hint="cs"/>
          <w:i/>
          <w:sz w:val="23"/>
          <w:szCs w:val="23"/>
          <w:rtl/>
        </w:rPr>
        <w:t>ی</w:t>
      </w:r>
      <w:r w:rsidRPr="00FE433F">
        <w:rPr>
          <w:rFonts w:eastAsia="Calibri" w:hint="eastAsia"/>
          <w:i/>
          <w:sz w:val="23"/>
          <w:szCs w:val="23"/>
          <w:rtl/>
        </w:rPr>
        <w:t>ص</w: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دهد. بنابرا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زمان</w:t>
      </w:r>
      <w:r w:rsidRPr="00FE433F">
        <w:rPr>
          <w:rFonts w:eastAsia="Calibri"/>
          <w:i/>
          <w:sz w:val="23"/>
          <w:szCs w:val="23"/>
          <w:rtl/>
        </w:rPr>
        <w:t xml:space="preserve"> خانوار عبارت است از</w:t>
      </w:r>
    </w:p>
    <w:p w14:paraId="3A4A04D6"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0"/>
        </w:rPr>
        <w:object w:dxaOrig="1240" w:dyaOrig="320" w14:anchorId="46582B1B">
          <v:shape id="_x0000_i4178" type="#_x0000_t75" style="width:61.7pt;height:16.35pt" o:ole="">
            <v:imagedata r:id="rId6343" o:title=""/>
          </v:shape>
          <o:OLEObject Type="Embed" ProgID="Equation.DSMT4" ShapeID="_x0000_i4178" DrawAspect="Content" ObjectID="_1791378122" r:id="rId6344"/>
        </w:object>
      </w:r>
    </w:p>
    <w:p w14:paraId="44A85D2F"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همچن</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فرض کن</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که</w:t>
      </w:r>
      <w:r w:rsidRPr="00FE433F">
        <w:rPr>
          <w:rFonts w:hint="cs"/>
          <w:i/>
          <w:sz w:val="23"/>
          <w:szCs w:val="23"/>
          <w:rtl/>
        </w:rPr>
        <w:t xml:space="preserve">‌ </w:t>
      </w:r>
      <w:r w:rsidRPr="00FE433F">
        <w:rPr>
          <w:i/>
          <w:sz w:val="23"/>
          <w:szCs w:val="23"/>
          <w:rtl/>
        </w:rPr>
        <w:t>مدت</w:t>
      </w:r>
      <w:r w:rsidRPr="00FE433F">
        <w:rPr>
          <w:rFonts w:eastAsia="Calibri"/>
          <w:i/>
          <w:sz w:val="23"/>
          <w:szCs w:val="23"/>
          <w:rtl/>
        </w:rPr>
        <w:t xml:space="preserve"> زمان</w:t>
      </w:r>
      <w:r w:rsidRPr="00FE433F">
        <w:rPr>
          <w:rFonts w:eastAsia="Calibri" w:hint="cs"/>
          <w:i/>
          <w:sz w:val="23"/>
          <w:szCs w:val="23"/>
          <w:rtl/>
        </w:rPr>
        <w:t>ی</w:t>
      </w:r>
      <w:r w:rsidRPr="00FE433F">
        <w:rPr>
          <w:rFonts w:eastAsia="Calibri"/>
          <w:i/>
          <w:sz w:val="23"/>
          <w:szCs w:val="23"/>
          <w:rtl/>
        </w:rPr>
        <w:t xml:space="preserve"> که صرف خر</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شود تابع</w:t>
      </w:r>
      <w:r w:rsidRPr="00FE433F">
        <w:rPr>
          <w:rFonts w:eastAsia="Calibri" w:hint="cs"/>
          <w:i/>
          <w:sz w:val="23"/>
          <w:szCs w:val="23"/>
          <w:rtl/>
        </w:rPr>
        <w:t>ی</w:t>
      </w:r>
      <w:r w:rsidRPr="00FE433F">
        <w:rPr>
          <w:rFonts w:eastAsia="Calibri"/>
          <w:i/>
          <w:sz w:val="23"/>
          <w:szCs w:val="23"/>
          <w:rtl/>
        </w:rPr>
        <w:t xml:space="preserve"> است از </w:t>
      </w:r>
      <w:r w:rsidRPr="00FE433F">
        <w:rPr>
          <w:rFonts w:eastAsia="Calibri" w:hint="eastAsia"/>
          <w:i/>
          <w:sz w:val="23"/>
          <w:szCs w:val="23"/>
          <w:rtl/>
        </w:rPr>
        <w:t>مخارج</w:t>
      </w:r>
      <w:r w:rsidRPr="00FE433F">
        <w:rPr>
          <w:rFonts w:eastAsia="Calibri"/>
          <w:i/>
          <w:sz w:val="23"/>
          <w:szCs w:val="23"/>
          <w:rtl/>
        </w:rPr>
        <w:t xml:space="preserve"> مصرف</w:t>
      </w:r>
      <w:r w:rsidRPr="00FE433F">
        <w:rPr>
          <w:rFonts w:eastAsia="Calibri" w:hint="cs"/>
          <w:i/>
          <w:sz w:val="23"/>
          <w:szCs w:val="23"/>
          <w:rtl/>
        </w:rPr>
        <w:t>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خانوار</w:t>
      </w:r>
      <w:r w:rsidRPr="00FE433F">
        <w:rPr>
          <w:rFonts w:eastAsia="Calibri"/>
          <w:i/>
          <w:sz w:val="23"/>
          <w:szCs w:val="23"/>
          <w:rtl/>
        </w:rPr>
        <w:t xml:space="preserve"> و </w:t>
      </w:r>
      <w:r w:rsidRPr="00FE433F">
        <w:rPr>
          <w:rFonts w:eastAsia="Calibri" w:hint="eastAsia"/>
          <w:i/>
          <w:sz w:val="23"/>
          <w:szCs w:val="23"/>
          <w:rtl/>
        </w:rPr>
        <w:t>مقدار</w:t>
      </w:r>
      <w:r w:rsidRPr="00FE433F">
        <w:rPr>
          <w:rFonts w:eastAsia="Calibri"/>
          <w:i/>
          <w:sz w:val="23"/>
          <w:szCs w:val="23"/>
          <w:rtl/>
        </w:rPr>
        <w:t xml:space="preserve"> پول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در دسترس آن</w:t>
      </w:r>
      <w:r w:rsidRPr="00FE433F">
        <w:rPr>
          <w:rFonts w:eastAsia="Calibri" w:hint="cs"/>
          <w:i/>
          <w:sz w:val="23"/>
          <w:szCs w:val="23"/>
          <w:rtl/>
        </w:rPr>
        <w:t>‌</w:t>
      </w:r>
      <w:r w:rsidRPr="00FE433F">
        <w:rPr>
          <w:rFonts w:eastAsia="Calibri"/>
          <w:i/>
          <w:sz w:val="23"/>
          <w:szCs w:val="23"/>
          <w:rtl/>
        </w:rPr>
        <w:t>ها. لذا</w:t>
      </w:r>
    </w:p>
    <w:p w14:paraId="0A0BACF1" w14:textId="77777777" w:rsidR="00411620" w:rsidRPr="00FE433F" w:rsidRDefault="00411620" w:rsidP="00411620">
      <w:pPr>
        <w:bidi w:val="0"/>
        <w:spacing w:line="216" w:lineRule="auto"/>
        <w:rPr>
          <w:i/>
          <w:sz w:val="23"/>
          <w:szCs w:val="23"/>
        </w:rPr>
      </w:pPr>
      <w:r w:rsidRPr="00FE433F">
        <w:rPr>
          <w:position w:val="-12"/>
        </w:rPr>
        <w:object w:dxaOrig="4720" w:dyaOrig="360" w14:anchorId="3F7A7942">
          <v:shape id="_x0000_i4179" type="#_x0000_t75" style="width:235.95pt;height:18.15pt" o:ole="">
            <v:imagedata r:id="rId6345" o:title=""/>
          </v:shape>
          <o:OLEObject Type="Embed" ProgID="Equation.DSMT4" ShapeID="_x0000_i4179" DrawAspect="Content" ObjectID="_1791378123" r:id="rId6346"/>
        </w:object>
      </w:r>
      <w:r w:rsidRPr="00FE433F">
        <w:rPr>
          <w:i/>
          <w:sz w:val="23"/>
          <w:szCs w:val="23"/>
          <w:rtl/>
        </w:rPr>
        <w:t xml:space="preserve"> </w:t>
      </w:r>
      <w:r w:rsidRPr="00FE433F">
        <w:rPr>
          <w:i/>
          <w:sz w:val="23"/>
          <w:szCs w:val="23"/>
          <w:rtl/>
        </w:rPr>
        <w:tab/>
      </w:r>
      <w:r w:rsidRPr="00FE433F">
        <w:rPr>
          <w:i/>
          <w:sz w:val="23"/>
          <w:szCs w:val="23"/>
          <w:rtl/>
        </w:rPr>
        <w:tab/>
      </w:r>
      <w:r w:rsidRPr="00FE433F">
        <w:rPr>
          <w:i/>
          <w:sz w:val="23"/>
          <w:szCs w:val="23"/>
          <w:rtl/>
        </w:rPr>
        <w:tab/>
      </w:r>
      <w:r>
        <w:rPr>
          <w:i/>
          <w:sz w:val="23"/>
          <w:szCs w:val="23"/>
          <w:rtl/>
        </w:rPr>
        <w:tab/>
      </w:r>
      <w:r w:rsidRPr="00FE433F">
        <w:rPr>
          <w:i/>
          <w:sz w:val="23"/>
          <w:szCs w:val="23"/>
          <w:rtl/>
        </w:rPr>
        <w:tab/>
        <w:t>(۸. ۱۲)</w:t>
      </w:r>
    </w:p>
    <w:p w14:paraId="7CF65D5C"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همچن</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w:t>
      </w:r>
      <w:r w:rsidRPr="00FE433F">
        <w:rPr>
          <w:rFonts w:eastAsia="Calibri" w:hint="eastAsia"/>
          <w:i/>
          <w:sz w:val="23"/>
          <w:szCs w:val="23"/>
          <w:rtl/>
        </w:rPr>
        <w:t>خانوار</w:t>
      </w:r>
      <w:r w:rsidRPr="00FE433F">
        <w:rPr>
          <w:rFonts w:eastAsia="Calibri"/>
          <w:i/>
          <w:sz w:val="23"/>
          <w:szCs w:val="23"/>
          <w:rtl/>
        </w:rPr>
        <w:t xml:space="preserve"> </w:t>
      </w:r>
      <w:r w:rsidRPr="00FE433F">
        <w:rPr>
          <w:rFonts w:eastAsia="Calibri" w:hint="eastAsia"/>
          <w:i/>
          <w:sz w:val="23"/>
          <w:szCs w:val="23"/>
          <w:rtl/>
        </w:rPr>
        <w:t>تابع</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است</w:t>
      </w:r>
      <w:r w:rsidRPr="00FE433F">
        <w:rPr>
          <w:rFonts w:eastAsia="Calibri"/>
          <w:i/>
          <w:sz w:val="23"/>
          <w:szCs w:val="23"/>
          <w:rtl/>
        </w:rPr>
        <w:t xml:space="preserve"> </w:t>
      </w:r>
      <w:r w:rsidRPr="00FE433F">
        <w:rPr>
          <w:rFonts w:eastAsia="Calibri" w:hint="eastAsia"/>
          <w:i/>
          <w:sz w:val="23"/>
          <w:szCs w:val="23"/>
          <w:rtl/>
        </w:rPr>
        <w:t>از</w:t>
      </w:r>
      <w:r w:rsidRPr="00FE433F">
        <w:rPr>
          <w:rFonts w:eastAsia="Calibri"/>
          <w:i/>
          <w:sz w:val="23"/>
          <w:szCs w:val="23"/>
          <w:rtl/>
        </w:rPr>
        <w:t xml:space="preserve"> </w:t>
      </w:r>
      <w:r w:rsidRPr="00FE433F">
        <w:rPr>
          <w:rFonts w:eastAsia="Calibri" w:hint="eastAsia"/>
          <w:i/>
          <w:sz w:val="23"/>
          <w:szCs w:val="23"/>
          <w:rtl/>
        </w:rPr>
        <w:t>مصرف</w:t>
      </w:r>
      <w:r w:rsidRPr="00FE433F">
        <w:rPr>
          <w:rFonts w:eastAsia="Calibri"/>
          <w:i/>
          <w:sz w:val="23"/>
          <w:szCs w:val="23"/>
          <w:rtl/>
        </w:rPr>
        <w:t xml:space="preserve"> </w:t>
      </w:r>
      <w:r w:rsidRPr="00FE433F">
        <w:rPr>
          <w:rFonts w:eastAsia="Calibri" w:hint="eastAsia"/>
          <w:i/>
          <w:sz w:val="23"/>
          <w:szCs w:val="23"/>
          <w:rtl/>
        </w:rPr>
        <w:t>و</w:t>
      </w:r>
      <w:r w:rsidRPr="00FE433F">
        <w:rPr>
          <w:rFonts w:eastAsia="Calibri"/>
          <w:i/>
          <w:sz w:val="23"/>
          <w:szCs w:val="23"/>
          <w:rtl/>
        </w:rPr>
        <w:t xml:space="preserve"> </w:t>
      </w:r>
      <w:r w:rsidRPr="00FE433F">
        <w:rPr>
          <w:rFonts w:eastAsia="Calibri" w:hint="eastAsia"/>
          <w:i/>
          <w:sz w:val="23"/>
          <w:szCs w:val="23"/>
          <w:rtl/>
        </w:rPr>
        <w:t>فراغت،</w:t>
      </w:r>
      <w:r w:rsidRPr="00FE433F">
        <w:rPr>
          <w:rFonts w:eastAsia="Calibri"/>
          <w:i/>
          <w:sz w:val="23"/>
          <w:szCs w:val="23"/>
          <w:rtl/>
        </w:rPr>
        <w:t xml:space="preserve"> و پول در تابع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قرار ندارد. بنابرا</w:t>
      </w:r>
      <w:r w:rsidRPr="00FE433F">
        <w:rPr>
          <w:rFonts w:eastAsia="Calibri" w:hint="cs"/>
          <w:i/>
          <w:sz w:val="23"/>
          <w:szCs w:val="23"/>
          <w:rtl/>
        </w:rPr>
        <w:t>ی</w:t>
      </w:r>
      <w:r w:rsidRPr="00FE433F">
        <w:rPr>
          <w:rFonts w:eastAsia="Calibri" w:hint="eastAsia"/>
          <w:i/>
          <w:sz w:val="23"/>
          <w:szCs w:val="23"/>
          <w:rtl/>
        </w:rPr>
        <w:t>ن</w:t>
      </w:r>
    </w:p>
    <w:p w14:paraId="12687B06"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2"/>
        </w:rPr>
        <w:object w:dxaOrig="4459" w:dyaOrig="360" w14:anchorId="588AB9A2">
          <v:shape id="_x0000_i4180" type="#_x0000_t75" style="width:222.65pt;height:18.15pt" o:ole="">
            <v:imagedata r:id="rId6347" o:title=""/>
          </v:shape>
          <o:OLEObject Type="Embed" ProgID="Equation.DSMT4" ShapeID="_x0000_i4180" DrawAspect="Content" ObjectID="_1791378124" r:id="rId6348"/>
        </w:object>
      </w:r>
    </w:p>
    <w:p w14:paraId="4D445E89"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اگر</w:t>
      </w:r>
      <w:r w:rsidRPr="00FE433F">
        <w:rPr>
          <w:position w:val="-10"/>
        </w:rPr>
        <w:object w:dxaOrig="200" w:dyaOrig="320" w14:anchorId="5D0061D4">
          <v:shape id="_x0000_i4181" type="#_x0000_t75" style="width:10.3pt;height:16.35pt" o:ole="">
            <v:imagedata r:id="rId6349" o:title=""/>
          </v:shape>
          <o:OLEObject Type="Embed" ProgID="Equation.DSMT4" ShapeID="_x0000_i4181" DrawAspect="Content" ObjectID="_1791378125" r:id="rId6350"/>
        </w:object>
      </w:r>
      <w:r w:rsidRPr="00FE433F">
        <w:rPr>
          <w:rFonts w:eastAsia="Calibri"/>
          <w:i/>
          <w:sz w:val="23"/>
          <w:szCs w:val="23"/>
        </w:rPr>
        <w:t xml:space="preserve"> </w:t>
      </w:r>
      <w:r w:rsidRPr="00FE433F">
        <w:rPr>
          <w:rFonts w:eastAsia="Calibri"/>
          <w:i/>
          <w:sz w:val="23"/>
          <w:szCs w:val="23"/>
          <w:rtl/>
        </w:rPr>
        <w:t>را از رابطه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i/>
          <w:sz w:val="23"/>
          <w:szCs w:val="23"/>
          <w:rtl/>
        </w:rPr>
        <w:t>(۸. ۱۲)</w:t>
      </w:r>
      <w:r w:rsidRPr="00FE433F">
        <w:rPr>
          <w:rFonts w:eastAsia="Calibri"/>
          <w:i/>
          <w:sz w:val="23"/>
          <w:szCs w:val="23"/>
          <w:rtl/>
        </w:rPr>
        <w:t xml:space="preserve"> در تابع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جا</w:t>
      </w:r>
      <w:r w:rsidRPr="00FE433F">
        <w:rPr>
          <w:rFonts w:eastAsia="Calibri" w:hint="cs"/>
          <w:i/>
          <w:sz w:val="23"/>
          <w:szCs w:val="23"/>
          <w:rtl/>
        </w:rPr>
        <w:t>ی</w:t>
      </w:r>
      <w:r w:rsidRPr="00FE433F">
        <w:rPr>
          <w:rFonts w:eastAsia="Calibri" w:hint="eastAsia"/>
          <w:i/>
          <w:sz w:val="23"/>
          <w:szCs w:val="23"/>
          <w:rtl/>
        </w:rPr>
        <w:t>گز</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کن</w:t>
      </w:r>
      <w:r w:rsidRPr="00FE433F">
        <w:rPr>
          <w:rFonts w:eastAsia="Calibri" w:hint="cs"/>
          <w:i/>
          <w:sz w:val="23"/>
          <w:szCs w:val="23"/>
          <w:rtl/>
        </w:rPr>
        <w:t>ی</w:t>
      </w:r>
      <w:r w:rsidRPr="00FE433F">
        <w:rPr>
          <w:rFonts w:eastAsia="Calibri" w:hint="eastAsia"/>
          <w:i/>
          <w:sz w:val="23"/>
          <w:szCs w:val="23"/>
          <w:rtl/>
        </w:rPr>
        <w:t>م</w:t>
      </w:r>
      <w:r w:rsidRPr="00FE433F">
        <w:rPr>
          <w:rFonts w:eastAsia="Calibri" w:hint="cs"/>
          <w:i/>
          <w:sz w:val="23"/>
          <w:szCs w:val="23"/>
          <w:rtl/>
        </w:rPr>
        <w:t>،</w:t>
      </w:r>
      <w:r w:rsidRPr="00FE433F">
        <w:rPr>
          <w:rFonts w:eastAsia="Calibri"/>
          <w:i/>
          <w:sz w:val="23"/>
          <w:szCs w:val="23"/>
          <w:rtl/>
        </w:rPr>
        <w:t xml:space="preserve"> آنگاه م</w:t>
      </w:r>
      <w:r w:rsidRPr="00FE433F">
        <w:rPr>
          <w:rFonts w:eastAsia="Calibri" w:hint="cs"/>
          <w:i/>
          <w:sz w:val="23"/>
          <w:szCs w:val="23"/>
          <w:rtl/>
        </w:rPr>
        <w:t>ی‌</w:t>
      </w:r>
      <w:r w:rsidRPr="00FE433F">
        <w:rPr>
          <w:rFonts w:eastAsia="Calibri"/>
          <w:i/>
          <w:sz w:val="23"/>
          <w:szCs w:val="23"/>
          <w:rtl/>
        </w:rPr>
        <w:t>توان تابع مشتق شده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ز</w:t>
      </w:r>
      <w:r w:rsidRPr="00FE433F">
        <w:rPr>
          <w:rFonts w:eastAsia="Calibri" w:hint="cs"/>
          <w:i/>
          <w:sz w:val="23"/>
          <w:szCs w:val="23"/>
          <w:rtl/>
        </w:rPr>
        <w:t>ی</w:t>
      </w:r>
      <w:r w:rsidRPr="00FE433F">
        <w:rPr>
          <w:rFonts w:eastAsia="Calibri" w:hint="eastAsia"/>
          <w:i/>
          <w:sz w:val="23"/>
          <w:szCs w:val="23"/>
          <w:rtl/>
        </w:rPr>
        <w:t>ر</w:t>
      </w:r>
      <w:r w:rsidRPr="00FE433F">
        <w:rPr>
          <w:rFonts w:eastAsia="Calibri"/>
          <w:i/>
          <w:sz w:val="23"/>
          <w:szCs w:val="23"/>
          <w:rtl/>
        </w:rPr>
        <w:t xml:space="preserve"> را بدست آورد.</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عن</w:t>
      </w:r>
      <w:r w:rsidRPr="00FE433F">
        <w:rPr>
          <w:rFonts w:eastAsia="Calibri" w:hint="cs"/>
          <w:i/>
          <w:sz w:val="23"/>
          <w:szCs w:val="23"/>
          <w:rtl/>
        </w:rPr>
        <w:t>ی</w:t>
      </w:r>
    </w:p>
    <w:p w14:paraId="52EB80F0"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2"/>
        </w:rPr>
        <w:object w:dxaOrig="5360" w:dyaOrig="360" w14:anchorId="72B5E405">
          <v:shape id="_x0000_i4182" type="#_x0000_t75" style="width:268.05pt;height:18.15pt" o:ole="">
            <v:imagedata r:id="rId6351" o:title=""/>
          </v:shape>
          <o:OLEObject Type="Embed" ProgID="Equation.DSMT4" ShapeID="_x0000_i4182" DrawAspect="Content" ObjectID="_1791378126" r:id="rId6352"/>
        </w:object>
      </w:r>
    </w:p>
    <w:p w14:paraId="2FBE68DB" w14:textId="77777777" w:rsidR="00411620" w:rsidRPr="00FE433F" w:rsidRDefault="00411620" w:rsidP="00411620">
      <w:pPr>
        <w:spacing w:line="216" w:lineRule="auto"/>
        <w:rPr>
          <w:i/>
          <w:sz w:val="23"/>
          <w:szCs w:val="23"/>
          <w:rtl/>
        </w:rPr>
      </w:pPr>
      <w:r w:rsidRPr="00FE433F">
        <w:rPr>
          <w:i/>
          <w:sz w:val="23"/>
          <w:szCs w:val="23"/>
          <w:rtl/>
        </w:rPr>
        <w:t>هدف خانوار حداکثر کردن مطلوب</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eastAsia"/>
          <w:i/>
          <w:sz w:val="23"/>
          <w:szCs w:val="23"/>
          <w:rtl/>
        </w:rPr>
        <w:t>تنز</w:t>
      </w:r>
      <w:r w:rsidRPr="00FE433F">
        <w:rPr>
          <w:rFonts w:hint="cs"/>
          <w:i/>
          <w:sz w:val="23"/>
          <w:szCs w:val="23"/>
          <w:rtl/>
        </w:rPr>
        <w:t>ی</w:t>
      </w:r>
      <w:r w:rsidRPr="00FE433F">
        <w:rPr>
          <w:rFonts w:hint="eastAsia"/>
          <w:i/>
          <w:sz w:val="23"/>
          <w:szCs w:val="23"/>
          <w:rtl/>
        </w:rPr>
        <w:t>ل</w:t>
      </w:r>
      <w:r w:rsidRPr="00FE433F">
        <w:rPr>
          <w:i/>
          <w:sz w:val="23"/>
          <w:szCs w:val="23"/>
          <w:rtl/>
        </w:rPr>
        <w:t xml:space="preserve"> </w:t>
      </w:r>
      <w:r w:rsidRPr="00FE433F">
        <w:rPr>
          <w:rFonts w:hint="eastAsia"/>
          <w:i/>
          <w:sz w:val="23"/>
          <w:szCs w:val="23"/>
          <w:rtl/>
        </w:rPr>
        <w:t>شده</w:t>
      </w:r>
      <w:r w:rsidRPr="00FE433F">
        <w:rPr>
          <w:rFonts w:hint="eastAsia"/>
          <w:i/>
          <w:sz w:val="23"/>
          <w:szCs w:val="23"/>
        </w:rPr>
        <w:t>‌</w:t>
      </w:r>
      <w:r w:rsidRPr="00FE433F">
        <w:rPr>
          <w:rFonts w:hint="cs"/>
          <w:i/>
          <w:sz w:val="23"/>
          <w:szCs w:val="23"/>
          <w:rtl/>
        </w:rPr>
        <w:t>ی</w:t>
      </w:r>
      <w:r w:rsidRPr="00FE433F">
        <w:rPr>
          <w:i/>
          <w:sz w:val="23"/>
          <w:szCs w:val="23"/>
          <w:rtl/>
        </w:rPr>
        <w:t xml:space="preserve"> ب</w:t>
      </w:r>
      <w:r w:rsidRPr="00FE433F">
        <w:rPr>
          <w:rFonts w:hint="cs"/>
          <w:i/>
          <w:sz w:val="23"/>
          <w:szCs w:val="23"/>
          <w:rtl/>
        </w:rPr>
        <w:t>ی</w:t>
      </w:r>
      <w:r w:rsidRPr="00FE433F">
        <w:rPr>
          <w:rFonts w:hint="eastAsia"/>
          <w:i/>
          <w:sz w:val="23"/>
          <w:szCs w:val="23"/>
          <w:rtl/>
        </w:rPr>
        <w:t>ن</w:t>
      </w:r>
      <w:r w:rsidRPr="00FE433F">
        <w:rPr>
          <w:i/>
          <w:sz w:val="23"/>
          <w:szCs w:val="23"/>
          <w:rtl/>
        </w:rPr>
        <w:softHyphen/>
        <w:t>دوره</w:t>
      </w:r>
      <w:r w:rsidRPr="00FE433F">
        <w:rPr>
          <w:rFonts w:hint="cs"/>
          <w:i/>
          <w:sz w:val="23"/>
          <w:szCs w:val="23"/>
          <w:rtl/>
        </w:rPr>
        <w:t>‌</w:t>
      </w:r>
      <w:r w:rsidRPr="00FE433F">
        <w:rPr>
          <w:i/>
          <w:sz w:val="23"/>
          <w:szCs w:val="23"/>
          <w:rtl/>
        </w:rPr>
        <w:t>ای فوق نسبت به ق</w:t>
      </w:r>
      <w:r w:rsidRPr="00FE433F">
        <w:rPr>
          <w:rFonts w:hint="cs"/>
          <w:i/>
          <w:sz w:val="23"/>
          <w:szCs w:val="23"/>
          <w:rtl/>
        </w:rPr>
        <w:t>ی</w:t>
      </w:r>
      <w:r w:rsidRPr="00FE433F">
        <w:rPr>
          <w:rFonts w:hint="eastAsia"/>
          <w:i/>
          <w:sz w:val="23"/>
          <w:szCs w:val="23"/>
          <w:rtl/>
        </w:rPr>
        <w:t>د</w:t>
      </w:r>
      <w:r w:rsidRPr="00FE433F">
        <w:rPr>
          <w:i/>
          <w:sz w:val="23"/>
          <w:szCs w:val="23"/>
          <w:rtl/>
        </w:rPr>
        <w:t xml:space="preserve"> بودجه</w:t>
      </w:r>
      <w:r w:rsidRPr="00FE433F">
        <w:rPr>
          <w:rFonts w:hint="eastAsia"/>
          <w:i/>
          <w:sz w:val="23"/>
          <w:szCs w:val="23"/>
        </w:rPr>
        <w:t>‌</w:t>
      </w:r>
      <w:r w:rsidRPr="00FE433F">
        <w:rPr>
          <w:rFonts w:hint="cs"/>
          <w:i/>
          <w:sz w:val="23"/>
          <w:szCs w:val="23"/>
          <w:rtl/>
        </w:rPr>
        <w:t>ی</w:t>
      </w:r>
      <w:r w:rsidRPr="00FE433F">
        <w:rPr>
          <w:i/>
          <w:sz w:val="23"/>
          <w:szCs w:val="23"/>
          <w:rtl/>
        </w:rPr>
        <w:t xml:space="preserve"> خ</w:t>
      </w:r>
      <w:r w:rsidRPr="00FE433F">
        <w:rPr>
          <w:rFonts w:hint="eastAsia"/>
          <w:i/>
          <w:sz w:val="23"/>
          <w:szCs w:val="23"/>
          <w:rtl/>
        </w:rPr>
        <w:t>ود</w:t>
      </w:r>
      <w:r w:rsidRPr="00FE433F">
        <w:rPr>
          <w:rFonts w:hint="cs"/>
          <w:i/>
          <w:sz w:val="23"/>
          <w:szCs w:val="23"/>
          <w:rtl/>
        </w:rPr>
        <w:t xml:space="preserve"> است</w:t>
      </w:r>
      <w:r w:rsidRPr="00FE433F">
        <w:rPr>
          <w:rFonts w:hint="eastAsia"/>
          <w:i/>
          <w:sz w:val="23"/>
          <w:szCs w:val="23"/>
          <w:rtl/>
        </w:rPr>
        <w:t>،</w:t>
      </w:r>
      <w:r w:rsidRPr="00FE433F">
        <w:rPr>
          <w:i/>
          <w:sz w:val="23"/>
          <w:szCs w:val="23"/>
          <w:rtl/>
        </w:rPr>
        <w:t xml:space="preserve"> بر حسب متغ</w:t>
      </w:r>
      <w:r w:rsidRPr="00FE433F">
        <w:rPr>
          <w:rFonts w:hint="cs"/>
          <w:i/>
          <w:sz w:val="23"/>
          <w:szCs w:val="23"/>
          <w:rtl/>
        </w:rPr>
        <w:t>ی</w:t>
      </w:r>
      <w:r w:rsidRPr="00FE433F">
        <w:rPr>
          <w:rFonts w:hint="eastAsia"/>
          <w:i/>
          <w:sz w:val="23"/>
          <w:szCs w:val="23"/>
          <w:rtl/>
        </w:rPr>
        <w:t>رها</w:t>
      </w:r>
      <w:r w:rsidRPr="00FE433F">
        <w:rPr>
          <w:rFonts w:hint="cs"/>
          <w:i/>
          <w:sz w:val="23"/>
          <w:szCs w:val="23"/>
          <w:rtl/>
        </w:rPr>
        <w:t>ی</w:t>
      </w:r>
      <w:r w:rsidRPr="00FE433F">
        <w:rPr>
          <w:position w:val="-10"/>
        </w:rPr>
        <w:object w:dxaOrig="340" w:dyaOrig="320" w14:anchorId="46F98422">
          <v:shape id="_x0000_i4183" type="#_x0000_t75" style="width:16.95pt;height:16.35pt" o:ole="">
            <v:imagedata r:id="rId6353" o:title=""/>
          </v:shape>
          <o:OLEObject Type="Embed" ProgID="Equation.DSMT4" ShapeID="_x0000_i4183" DrawAspect="Content" ObjectID="_1791378127" r:id="rId6354"/>
        </w:object>
      </w:r>
      <w:r w:rsidRPr="00FE433F">
        <w:rPr>
          <w:i/>
          <w:sz w:val="23"/>
          <w:szCs w:val="23"/>
          <w:rtl/>
        </w:rPr>
        <w:t>،</w:t>
      </w:r>
      <w:r w:rsidRPr="00FE433F">
        <w:rPr>
          <w:position w:val="-10"/>
        </w:rPr>
        <w:object w:dxaOrig="320" w:dyaOrig="320" w14:anchorId="6D4EF0FA">
          <v:shape id="_x0000_i4184" type="#_x0000_t75" style="width:16.35pt;height:16.35pt" o:ole="">
            <v:imagedata r:id="rId6355" o:title=""/>
          </v:shape>
          <o:OLEObject Type="Embed" ProgID="Equation.DSMT4" ShapeID="_x0000_i4184" DrawAspect="Content" ObjectID="_1791378128" r:id="rId6356"/>
        </w:object>
      </w:r>
      <w:r w:rsidRPr="00FE433F">
        <w:rPr>
          <w:i/>
          <w:sz w:val="23"/>
          <w:szCs w:val="23"/>
          <w:rtl/>
        </w:rPr>
        <w:t>،</w:t>
      </w:r>
      <w:r w:rsidRPr="00FE433F">
        <w:rPr>
          <w:position w:val="-10"/>
        </w:rPr>
        <w:object w:dxaOrig="380" w:dyaOrig="320" w14:anchorId="087FA4DA">
          <v:shape id="_x0000_i4185" type="#_x0000_t75" style="width:18.75pt;height:16.35pt" o:ole="">
            <v:imagedata r:id="rId6357" o:title=""/>
          </v:shape>
          <o:OLEObject Type="Embed" ProgID="Equation.DSMT4" ShapeID="_x0000_i4185" DrawAspect="Content" ObjectID="_1791378129" r:id="rId6358"/>
        </w:object>
      </w:r>
      <w:r w:rsidRPr="00FE433F">
        <w:rPr>
          <w:i/>
          <w:sz w:val="23"/>
          <w:szCs w:val="23"/>
          <w:rtl/>
        </w:rPr>
        <w:t>،</w:t>
      </w:r>
      <w:r w:rsidRPr="00FE433F">
        <w:rPr>
          <w:position w:val="-10"/>
        </w:rPr>
        <w:object w:dxaOrig="480" w:dyaOrig="320" w14:anchorId="23E406C1">
          <v:shape id="_x0000_i4186" type="#_x0000_t75" style="width:24.2pt;height:16.35pt" o:ole="">
            <v:imagedata r:id="rId6359" o:title=""/>
          </v:shape>
          <o:OLEObject Type="Embed" ProgID="Equation.DSMT4" ShapeID="_x0000_i4186" DrawAspect="Content" ObjectID="_1791378130" r:id="rId6360"/>
        </w:object>
      </w:r>
      <w:r w:rsidRPr="00FE433F">
        <w:rPr>
          <w:i/>
          <w:sz w:val="23"/>
          <w:szCs w:val="23"/>
          <w:rtl/>
        </w:rPr>
        <w:t xml:space="preserve"> و</w:t>
      </w:r>
      <w:r w:rsidRPr="00FE433F">
        <w:rPr>
          <w:position w:val="-10"/>
        </w:rPr>
        <w:object w:dxaOrig="560" w:dyaOrig="320" w14:anchorId="7DE3DF7E">
          <v:shape id="_x0000_i4187" type="#_x0000_t75" style="width:27.85pt;height:16.35pt" o:ole="">
            <v:imagedata r:id="rId6361" o:title=""/>
          </v:shape>
          <o:OLEObject Type="Embed" ProgID="Equation.DSMT4" ShapeID="_x0000_i4187" DrawAspect="Content" ObjectID="_1791378131" r:id="rId6362"/>
        </w:object>
      </w:r>
      <w:r w:rsidRPr="00FE433F">
        <w:rPr>
          <w:i/>
          <w:sz w:val="23"/>
          <w:szCs w:val="23"/>
          <w:rtl/>
        </w:rPr>
        <w:t xml:space="preserve"> </w:t>
      </w:r>
      <w:r w:rsidRPr="00FE433F">
        <w:rPr>
          <w:rFonts w:hint="eastAsia"/>
          <w:i/>
          <w:sz w:val="23"/>
          <w:szCs w:val="23"/>
          <w:rtl/>
        </w:rPr>
        <w:t>و</w:t>
      </w:r>
      <w:r w:rsidRPr="00FE433F">
        <w:rPr>
          <w:i/>
          <w:sz w:val="23"/>
          <w:szCs w:val="23"/>
          <w:rtl/>
        </w:rPr>
        <w:t xml:space="preserve"> برا</w:t>
      </w:r>
      <w:r w:rsidRPr="00FE433F">
        <w:rPr>
          <w:rFonts w:hint="cs"/>
          <w:i/>
          <w:sz w:val="23"/>
          <w:szCs w:val="23"/>
          <w:rtl/>
        </w:rPr>
        <w:t>ی</w:t>
      </w:r>
      <w:r w:rsidRPr="00FE433F">
        <w:rPr>
          <w:i/>
          <w:sz w:val="23"/>
          <w:szCs w:val="23"/>
          <w:rtl/>
        </w:rPr>
        <w:t xml:space="preserve"> هر </w:t>
      </w:r>
      <w:r w:rsidRPr="00FE433F">
        <w:rPr>
          <w:position w:val="-6"/>
        </w:rPr>
        <w:object w:dxaOrig="499" w:dyaOrig="260" w14:anchorId="2A01EC9F">
          <v:shape id="_x0000_i4188" type="#_x0000_t75" style="width:24.8pt;height:13.3pt" o:ole="">
            <v:imagedata r:id="rId6363" o:title=""/>
          </v:shape>
          <o:OLEObject Type="Embed" ProgID="Equation.DSMT4" ShapeID="_x0000_i4188" DrawAspect="Content" ObjectID="_1791378132" r:id="rId6364"/>
        </w:object>
      </w:r>
      <w:r w:rsidRPr="00FE433F">
        <w:rPr>
          <w:i/>
          <w:sz w:val="23"/>
          <w:szCs w:val="23"/>
          <w:rtl/>
        </w:rPr>
        <w:t>. همچن</w:t>
      </w:r>
      <w:r w:rsidRPr="00FE433F">
        <w:rPr>
          <w:rFonts w:hint="cs"/>
          <w:i/>
          <w:sz w:val="23"/>
          <w:szCs w:val="23"/>
          <w:rtl/>
        </w:rPr>
        <w:t>ی</w:t>
      </w:r>
      <w:r w:rsidRPr="00FE433F">
        <w:rPr>
          <w:rFonts w:hint="eastAsia"/>
          <w:i/>
          <w:sz w:val="23"/>
          <w:szCs w:val="23"/>
          <w:rtl/>
        </w:rPr>
        <w:t>ن</w:t>
      </w:r>
      <w:r w:rsidRPr="00FE433F">
        <w:rPr>
          <w:i/>
          <w:sz w:val="23"/>
          <w:szCs w:val="23"/>
          <w:rtl/>
        </w:rPr>
        <w:t xml:space="preserve"> م</w:t>
      </w:r>
      <w:r w:rsidRPr="00FE433F">
        <w:rPr>
          <w:rFonts w:hint="cs"/>
          <w:i/>
          <w:sz w:val="23"/>
          <w:szCs w:val="23"/>
          <w:rtl/>
        </w:rPr>
        <w:t>ی‌</w:t>
      </w:r>
      <w:r w:rsidRPr="00FE433F">
        <w:rPr>
          <w:i/>
          <w:sz w:val="23"/>
          <w:szCs w:val="23"/>
          <w:rtl/>
        </w:rPr>
        <w:t>توان هدف خانوار را بر اساس مطلوب</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eastAsia"/>
          <w:i/>
          <w:sz w:val="23"/>
          <w:szCs w:val="23"/>
          <w:rtl/>
        </w:rPr>
        <w:t>تنز</w:t>
      </w:r>
      <w:r w:rsidRPr="00FE433F">
        <w:rPr>
          <w:rFonts w:hint="cs"/>
          <w:i/>
          <w:sz w:val="23"/>
          <w:szCs w:val="23"/>
          <w:rtl/>
        </w:rPr>
        <w:t>ی</w:t>
      </w:r>
      <w:r w:rsidRPr="00FE433F">
        <w:rPr>
          <w:rFonts w:hint="eastAsia"/>
          <w:i/>
          <w:sz w:val="23"/>
          <w:szCs w:val="23"/>
          <w:rtl/>
        </w:rPr>
        <w:t>ل</w:t>
      </w:r>
      <w:r w:rsidRPr="00FE433F">
        <w:rPr>
          <w:i/>
          <w:sz w:val="23"/>
          <w:szCs w:val="23"/>
          <w:rtl/>
        </w:rPr>
        <w:t xml:space="preserve"> </w:t>
      </w:r>
      <w:r w:rsidRPr="00FE433F">
        <w:rPr>
          <w:rFonts w:hint="eastAsia"/>
          <w:i/>
          <w:sz w:val="23"/>
          <w:szCs w:val="23"/>
          <w:rtl/>
        </w:rPr>
        <w:t>شده</w:t>
      </w:r>
      <w:r w:rsidRPr="00FE433F">
        <w:rPr>
          <w:rFonts w:hint="eastAsia"/>
          <w:i/>
          <w:sz w:val="23"/>
          <w:szCs w:val="23"/>
        </w:rPr>
        <w:t>‌</w:t>
      </w:r>
      <w:r w:rsidRPr="00FE433F">
        <w:rPr>
          <w:rFonts w:hint="cs"/>
          <w:i/>
          <w:sz w:val="23"/>
          <w:szCs w:val="23"/>
          <w:rtl/>
        </w:rPr>
        <w:t>ی</w:t>
      </w:r>
      <w:r w:rsidRPr="00FE433F">
        <w:rPr>
          <w:i/>
          <w:sz w:val="23"/>
          <w:szCs w:val="23"/>
          <w:rtl/>
        </w:rPr>
        <w:t xml:space="preserve"> ب</w:t>
      </w:r>
      <w:r w:rsidRPr="00FE433F">
        <w:rPr>
          <w:rFonts w:hint="cs"/>
          <w:i/>
          <w:sz w:val="23"/>
          <w:szCs w:val="23"/>
          <w:rtl/>
        </w:rPr>
        <w:t>ی</w:t>
      </w:r>
      <w:r w:rsidRPr="00FE433F">
        <w:rPr>
          <w:rFonts w:hint="eastAsia"/>
          <w:i/>
          <w:sz w:val="23"/>
          <w:szCs w:val="23"/>
          <w:rtl/>
        </w:rPr>
        <w:t>ن</w:t>
      </w:r>
      <w:r w:rsidRPr="00FE433F">
        <w:rPr>
          <w:i/>
          <w:sz w:val="23"/>
          <w:szCs w:val="23"/>
          <w:rtl/>
        </w:rPr>
        <w:softHyphen/>
        <w:t>دوره</w:t>
      </w:r>
      <w:r w:rsidRPr="00FE433F">
        <w:rPr>
          <w:rFonts w:hint="cs"/>
          <w:i/>
          <w:sz w:val="23"/>
          <w:szCs w:val="23"/>
          <w:rtl/>
        </w:rPr>
        <w:t>‌</w:t>
      </w:r>
      <w:r w:rsidRPr="00FE433F">
        <w:rPr>
          <w:i/>
          <w:sz w:val="23"/>
          <w:szCs w:val="23"/>
          <w:rtl/>
        </w:rPr>
        <w:t>ای که به پول وابسته ن</w:t>
      </w:r>
      <w:r w:rsidRPr="00FE433F">
        <w:rPr>
          <w:rFonts w:hint="cs"/>
          <w:i/>
          <w:sz w:val="23"/>
          <w:szCs w:val="23"/>
          <w:rtl/>
        </w:rPr>
        <w:t>ی</w:t>
      </w:r>
      <w:r w:rsidRPr="00FE433F">
        <w:rPr>
          <w:rFonts w:hint="eastAsia"/>
          <w:i/>
          <w:sz w:val="23"/>
          <w:szCs w:val="23"/>
          <w:rtl/>
        </w:rPr>
        <w:t>ست</w:t>
      </w:r>
      <w:r w:rsidRPr="00FE433F">
        <w:rPr>
          <w:rFonts w:hint="eastAsia"/>
          <w:i/>
          <w:sz w:val="23"/>
          <w:szCs w:val="23"/>
        </w:rPr>
        <w:t xml:space="preserve">‌ </w:t>
      </w:r>
      <w:r w:rsidRPr="00FE433F">
        <w:rPr>
          <w:rFonts w:hint="cs"/>
          <w:i/>
          <w:sz w:val="23"/>
          <w:szCs w:val="23"/>
          <w:rtl/>
        </w:rPr>
        <w:t>ی</w:t>
      </w:r>
      <w:r w:rsidRPr="00FE433F">
        <w:rPr>
          <w:i/>
          <w:sz w:val="23"/>
          <w:szCs w:val="23"/>
          <w:rtl/>
        </w:rPr>
        <w:t>عن</w:t>
      </w:r>
      <w:r w:rsidRPr="00FE433F">
        <w:rPr>
          <w:rFonts w:hint="cs"/>
          <w:i/>
          <w:sz w:val="23"/>
          <w:szCs w:val="23"/>
          <w:rtl/>
        </w:rPr>
        <w:t>ی</w:t>
      </w:r>
      <w:r w:rsidRPr="00FE433F">
        <w:rPr>
          <w:position w:val="-12"/>
        </w:rPr>
        <w:object w:dxaOrig="1160" w:dyaOrig="360" w14:anchorId="26DF4F61">
          <v:shape id="_x0000_i4189" type="#_x0000_t75" style="width:58.1pt;height:18.15pt" o:ole="">
            <v:imagedata r:id="rId6365" o:title=""/>
          </v:shape>
          <o:OLEObject Type="Embed" ProgID="Equation.DSMT4" ShapeID="_x0000_i4189" DrawAspect="Content" ObjectID="_1791378133" r:id="rId6366"/>
        </w:object>
      </w:r>
      <w:r w:rsidRPr="00FE433F">
        <w:rPr>
          <w:rFonts w:hint="cs"/>
          <w:i/>
          <w:sz w:val="23"/>
          <w:szCs w:val="23"/>
          <w:rtl/>
        </w:rPr>
        <w:t>،</w:t>
      </w:r>
      <w:r w:rsidRPr="00FE433F">
        <w:rPr>
          <w:i/>
          <w:sz w:val="23"/>
          <w:szCs w:val="23"/>
          <w:rtl/>
        </w:rPr>
        <w:t xml:space="preserve"> نسبت به ق</w:t>
      </w:r>
      <w:r w:rsidRPr="00FE433F">
        <w:rPr>
          <w:rFonts w:hint="cs"/>
          <w:i/>
          <w:sz w:val="23"/>
          <w:szCs w:val="23"/>
          <w:rtl/>
        </w:rPr>
        <w:t>ی</w:t>
      </w:r>
      <w:r w:rsidRPr="00FE433F">
        <w:rPr>
          <w:rFonts w:hint="eastAsia"/>
          <w:i/>
          <w:sz w:val="23"/>
          <w:szCs w:val="23"/>
          <w:rtl/>
        </w:rPr>
        <w:t>د</w:t>
      </w:r>
      <w:r w:rsidRPr="00FE433F">
        <w:rPr>
          <w:i/>
          <w:sz w:val="23"/>
          <w:szCs w:val="23"/>
          <w:rtl/>
        </w:rPr>
        <w:t xml:space="preserve"> بودجه</w:t>
      </w:r>
      <w:r w:rsidRPr="00FE433F">
        <w:rPr>
          <w:rFonts w:hint="eastAsia"/>
          <w:i/>
          <w:sz w:val="23"/>
          <w:szCs w:val="23"/>
        </w:rPr>
        <w:t>‌</w:t>
      </w:r>
      <w:r w:rsidRPr="00FE433F">
        <w:rPr>
          <w:rFonts w:hint="cs"/>
          <w:i/>
          <w:sz w:val="23"/>
          <w:szCs w:val="23"/>
          <w:rtl/>
        </w:rPr>
        <w:t>ی</w:t>
      </w:r>
      <w:r w:rsidRPr="00FE433F">
        <w:rPr>
          <w:i/>
          <w:sz w:val="23"/>
          <w:szCs w:val="23"/>
          <w:rtl/>
        </w:rPr>
        <w:t xml:space="preserve"> خانوار و ق</w:t>
      </w:r>
      <w:r w:rsidRPr="00FE433F">
        <w:rPr>
          <w:rFonts w:hint="cs"/>
          <w:i/>
          <w:sz w:val="23"/>
          <w:szCs w:val="23"/>
          <w:rtl/>
        </w:rPr>
        <w:t>ی</w:t>
      </w:r>
      <w:r w:rsidRPr="00FE433F">
        <w:rPr>
          <w:rFonts w:hint="eastAsia"/>
          <w:i/>
          <w:sz w:val="23"/>
          <w:szCs w:val="23"/>
          <w:rtl/>
        </w:rPr>
        <w:t>د</w:t>
      </w:r>
      <w:r w:rsidRPr="00FE433F">
        <w:rPr>
          <w:i/>
          <w:sz w:val="23"/>
          <w:szCs w:val="23"/>
          <w:rtl/>
        </w:rPr>
        <w:t xml:space="preserve"> زمان، و بر حسب متغ</w:t>
      </w:r>
      <w:r w:rsidRPr="00FE433F">
        <w:rPr>
          <w:rFonts w:hint="cs"/>
          <w:i/>
          <w:sz w:val="23"/>
          <w:szCs w:val="23"/>
          <w:rtl/>
        </w:rPr>
        <w:t>ی</w:t>
      </w:r>
      <w:r w:rsidRPr="00FE433F">
        <w:rPr>
          <w:rFonts w:hint="eastAsia"/>
          <w:i/>
          <w:sz w:val="23"/>
          <w:szCs w:val="23"/>
          <w:rtl/>
        </w:rPr>
        <w:t>رها</w:t>
      </w:r>
      <w:r w:rsidRPr="00FE433F">
        <w:rPr>
          <w:rFonts w:hint="cs"/>
          <w:i/>
          <w:sz w:val="23"/>
          <w:szCs w:val="23"/>
          <w:rtl/>
        </w:rPr>
        <w:t>ی</w:t>
      </w:r>
      <w:r w:rsidRPr="00FE433F">
        <w:rPr>
          <w:position w:val="-10"/>
        </w:rPr>
        <w:object w:dxaOrig="340" w:dyaOrig="320" w14:anchorId="5FF4F7E1">
          <v:shape id="_x0000_i4190" type="#_x0000_t75" style="width:16.95pt;height:16.35pt" o:ole="">
            <v:imagedata r:id="rId6367" o:title=""/>
          </v:shape>
          <o:OLEObject Type="Embed" ProgID="Equation.DSMT4" ShapeID="_x0000_i4190" DrawAspect="Content" ObjectID="_1791378134" r:id="rId6368"/>
        </w:object>
      </w:r>
      <w:r w:rsidRPr="00FE433F">
        <w:rPr>
          <w:i/>
          <w:sz w:val="23"/>
          <w:szCs w:val="23"/>
          <w:rtl/>
        </w:rPr>
        <w:t>،</w:t>
      </w:r>
      <w:r w:rsidRPr="00FE433F">
        <w:rPr>
          <w:position w:val="-10"/>
        </w:rPr>
        <w:object w:dxaOrig="320" w:dyaOrig="320" w14:anchorId="53D6630E">
          <v:shape id="_x0000_i4191" type="#_x0000_t75" style="width:16.35pt;height:16.35pt" o:ole="">
            <v:imagedata r:id="rId6369" o:title=""/>
          </v:shape>
          <o:OLEObject Type="Embed" ProgID="Equation.DSMT4" ShapeID="_x0000_i4191" DrawAspect="Content" ObjectID="_1791378135" r:id="rId6370"/>
        </w:object>
      </w:r>
      <w:r w:rsidRPr="00FE433F">
        <w:rPr>
          <w:i/>
          <w:sz w:val="23"/>
          <w:szCs w:val="23"/>
          <w:rtl/>
        </w:rPr>
        <w:t>،</w:t>
      </w:r>
      <w:r w:rsidRPr="00FE433F">
        <w:rPr>
          <w:position w:val="-10"/>
        </w:rPr>
        <w:object w:dxaOrig="380" w:dyaOrig="320" w14:anchorId="62A2F4A3">
          <v:shape id="_x0000_i4192" type="#_x0000_t75" style="width:18.75pt;height:16.35pt" o:ole="">
            <v:imagedata r:id="rId6371" o:title=""/>
          </v:shape>
          <o:OLEObject Type="Embed" ProgID="Equation.DSMT4" ShapeID="_x0000_i4192" DrawAspect="Content" ObjectID="_1791378136" r:id="rId6372"/>
        </w:object>
      </w:r>
      <w:r w:rsidRPr="00FE433F">
        <w:rPr>
          <w:i/>
          <w:sz w:val="23"/>
          <w:szCs w:val="23"/>
          <w:rtl/>
        </w:rPr>
        <w:t>،</w:t>
      </w:r>
      <w:r w:rsidRPr="00FE433F">
        <w:rPr>
          <w:position w:val="-10"/>
        </w:rPr>
        <w:object w:dxaOrig="480" w:dyaOrig="320" w14:anchorId="20900847">
          <v:shape id="_x0000_i4193" type="#_x0000_t75" style="width:24.2pt;height:16.35pt" o:ole="">
            <v:imagedata r:id="rId6373" o:title=""/>
          </v:shape>
          <o:OLEObject Type="Embed" ProgID="Equation.DSMT4" ShapeID="_x0000_i4193" DrawAspect="Content" ObjectID="_1791378137" r:id="rId6374"/>
        </w:object>
      </w:r>
      <w:r w:rsidRPr="00FE433F">
        <w:rPr>
          <w:i/>
          <w:sz w:val="23"/>
          <w:szCs w:val="23"/>
          <w:rtl/>
        </w:rPr>
        <w:t xml:space="preserve"> و</w:t>
      </w:r>
      <w:r w:rsidRPr="00FE433F">
        <w:rPr>
          <w:position w:val="-10"/>
        </w:rPr>
        <w:object w:dxaOrig="560" w:dyaOrig="320" w14:anchorId="509A5752">
          <v:shape id="_x0000_i4194" type="#_x0000_t75" style="width:27.85pt;height:16.35pt" o:ole="">
            <v:imagedata r:id="rId6375" o:title=""/>
          </v:shape>
          <o:OLEObject Type="Embed" ProgID="Equation.DSMT4" ShapeID="_x0000_i4194" DrawAspect="Content" ObjectID="_1791378138" r:id="rId6376"/>
        </w:object>
      </w:r>
      <w:r w:rsidRPr="00FE433F">
        <w:rPr>
          <w:i/>
          <w:sz w:val="23"/>
          <w:szCs w:val="23"/>
          <w:rtl/>
        </w:rPr>
        <w:t xml:space="preserve"> </w:t>
      </w:r>
      <w:r w:rsidRPr="00FE433F">
        <w:rPr>
          <w:rFonts w:hint="eastAsia"/>
          <w:i/>
          <w:sz w:val="23"/>
          <w:szCs w:val="23"/>
          <w:rtl/>
        </w:rPr>
        <w:t>و</w:t>
      </w:r>
      <w:r w:rsidRPr="00FE433F">
        <w:rPr>
          <w:i/>
          <w:sz w:val="23"/>
          <w:szCs w:val="23"/>
          <w:rtl/>
        </w:rPr>
        <w:t xml:space="preserve"> برا</w:t>
      </w:r>
      <w:r w:rsidRPr="00FE433F">
        <w:rPr>
          <w:rFonts w:hint="cs"/>
          <w:i/>
          <w:sz w:val="23"/>
          <w:szCs w:val="23"/>
          <w:rtl/>
        </w:rPr>
        <w:t>ی</w:t>
      </w:r>
      <w:r w:rsidRPr="00FE433F">
        <w:rPr>
          <w:i/>
          <w:sz w:val="23"/>
          <w:szCs w:val="23"/>
          <w:rtl/>
        </w:rPr>
        <w:t xml:space="preserve"> هر </w:t>
      </w:r>
      <w:r w:rsidRPr="00FE433F">
        <w:rPr>
          <w:position w:val="-6"/>
        </w:rPr>
        <w:object w:dxaOrig="499" w:dyaOrig="260" w14:anchorId="4C14C239">
          <v:shape id="_x0000_i4195" type="#_x0000_t75" style="width:24.8pt;height:13.3pt" o:ole="">
            <v:imagedata r:id="rId6377" o:title=""/>
          </v:shape>
          <o:OLEObject Type="Embed" ProgID="Equation.DSMT4" ShapeID="_x0000_i4195" DrawAspect="Content" ObjectID="_1791378139" r:id="rId6378"/>
        </w:object>
      </w:r>
      <w:r w:rsidRPr="00FE433F">
        <w:rPr>
          <w:i/>
          <w:sz w:val="23"/>
          <w:szCs w:val="23"/>
          <w:rtl/>
        </w:rPr>
        <w:t xml:space="preserve"> حداکثر کرد. بنابرا</w:t>
      </w:r>
      <w:r w:rsidRPr="00FE433F">
        <w:rPr>
          <w:rFonts w:hint="cs"/>
          <w:i/>
          <w:sz w:val="23"/>
          <w:szCs w:val="23"/>
          <w:rtl/>
        </w:rPr>
        <w:t>ی</w:t>
      </w:r>
      <w:r w:rsidRPr="00FE433F">
        <w:rPr>
          <w:rFonts w:hint="eastAsia"/>
          <w:i/>
          <w:sz w:val="23"/>
          <w:szCs w:val="23"/>
          <w:rtl/>
        </w:rPr>
        <w:t>ن</w:t>
      </w:r>
      <w:r w:rsidRPr="00FE433F">
        <w:rPr>
          <w:i/>
          <w:sz w:val="23"/>
          <w:szCs w:val="23"/>
          <w:rtl/>
        </w:rPr>
        <w:t xml:space="preserve"> لاگرانژ</w:t>
      </w:r>
      <w:r w:rsidRPr="00FE433F">
        <w:rPr>
          <w:rFonts w:hint="cs"/>
          <w:i/>
          <w:sz w:val="23"/>
          <w:szCs w:val="23"/>
          <w:rtl/>
        </w:rPr>
        <w:t>ی</w:t>
      </w:r>
      <w:r w:rsidRPr="00FE433F">
        <w:rPr>
          <w:rFonts w:hint="eastAsia"/>
          <w:i/>
          <w:sz w:val="23"/>
          <w:szCs w:val="23"/>
          <w:rtl/>
        </w:rPr>
        <w:t>ن</w:t>
      </w:r>
      <w:r w:rsidRPr="00FE433F">
        <w:rPr>
          <w:i/>
          <w:sz w:val="23"/>
          <w:szCs w:val="23"/>
        </w:rPr>
        <w:t xml:space="preserve"> </w:t>
      </w:r>
      <w:r w:rsidRPr="00FE433F">
        <w:rPr>
          <w:rFonts w:hint="cs"/>
          <w:i/>
          <w:sz w:val="23"/>
          <w:szCs w:val="23"/>
          <w:rtl/>
        </w:rPr>
        <w:t>این مسئله عبارت است ا</w:t>
      </w:r>
      <w:r w:rsidRPr="00FE433F">
        <w:rPr>
          <w:i/>
          <w:sz w:val="23"/>
          <w:szCs w:val="23"/>
          <w:rtl/>
        </w:rPr>
        <w:t>ز؛</w:t>
      </w:r>
    </w:p>
    <w:p w14:paraId="36C96217" w14:textId="77777777" w:rsidR="00411620" w:rsidRPr="00FE433F" w:rsidRDefault="00411620" w:rsidP="00411620">
      <w:pPr>
        <w:pStyle w:val="MTDisplayEquation"/>
        <w:tabs>
          <w:tab w:val="clear" w:pos="6660"/>
        </w:tabs>
        <w:spacing w:line="216" w:lineRule="auto"/>
        <w:rPr>
          <w:rFonts w:ascii="Times New Roman" w:eastAsia="Calibri" w:hAnsi="Times New Roman" w:cs="B Nazanin"/>
          <w:i/>
          <w:sz w:val="23"/>
          <w:szCs w:val="23"/>
        </w:rPr>
      </w:pPr>
      <w:r w:rsidRPr="00FE433F">
        <w:rPr>
          <w:position w:val="-56"/>
        </w:rPr>
        <w:object w:dxaOrig="7080" w:dyaOrig="1219" w14:anchorId="536BF1F4">
          <v:shape id="_x0000_i4196" type="#_x0000_t75" style="width:353.95pt;height:61.1pt" o:ole="">
            <v:imagedata r:id="rId6379" o:title=""/>
          </v:shape>
          <o:OLEObject Type="Embed" ProgID="Equation.DSMT4" ShapeID="_x0000_i4196" DrawAspect="Content" ObjectID="_1791378140" r:id="rId6380"/>
        </w:object>
      </w:r>
    </w:p>
    <w:p w14:paraId="66C4DF99" w14:textId="77777777" w:rsidR="00411620" w:rsidRPr="00FE433F" w:rsidRDefault="00411620" w:rsidP="00411620">
      <w:pPr>
        <w:pStyle w:val="MTDisplayEquation"/>
        <w:tabs>
          <w:tab w:val="clear" w:pos="6660"/>
        </w:tabs>
        <w:bidi/>
        <w:spacing w:line="216" w:lineRule="auto"/>
        <w:rPr>
          <w:rFonts w:ascii="Times New Roman" w:eastAsia="Calibri" w:hAnsi="Times New Roman" w:cs="B Nazanin"/>
          <w:i/>
          <w:sz w:val="23"/>
          <w:szCs w:val="23"/>
          <w:rtl/>
        </w:rPr>
      </w:pPr>
      <w:r w:rsidRPr="00FE433F">
        <w:rPr>
          <w:rFonts w:ascii="Times New Roman" w:eastAsia="Calibri" w:hAnsi="Times New Roman" w:cs="B Nazanin" w:hint="cs"/>
          <w:i/>
          <w:sz w:val="23"/>
          <w:szCs w:val="23"/>
          <w:rtl/>
          <w:lang w:bidi="fa-IR"/>
        </w:rPr>
        <w:t>و</w:t>
      </w:r>
      <w:r w:rsidRPr="00FE433F">
        <w:rPr>
          <w:rFonts w:ascii="Times New Roman" w:eastAsia="Calibri" w:hAnsi="Times New Roman" w:cs="B Nazanin"/>
          <w:i/>
          <w:sz w:val="23"/>
          <w:szCs w:val="23"/>
          <w:rtl/>
        </w:rPr>
        <w:t xml:space="preserve"> شرا</w:t>
      </w:r>
      <w:r w:rsidRPr="00FE433F">
        <w:rPr>
          <w:rFonts w:ascii="Times New Roman" w:eastAsia="Calibri" w:hAnsi="Times New Roman" w:cs="B Nazanin" w:hint="cs"/>
          <w:i/>
          <w:sz w:val="23"/>
          <w:szCs w:val="23"/>
          <w:rtl/>
        </w:rPr>
        <w:t>ی</w:t>
      </w:r>
      <w:r w:rsidRPr="00FE433F">
        <w:rPr>
          <w:rFonts w:ascii="Times New Roman" w:eastAsia="Calibri" w:hAnsi="Times New Roman" w:cs="B Nazanin" w:hint="eastAsia"/>
          <w:i/>
          <w:sz w:val="23"/>
          <w:szCs w:val="23"/>
          <w:rtl/>
        </w:rPr>
        <w:t>ط</w:t>
      </w:r>
      <w:r w:rsidRPr="00FE433F">
        <w:rPr>
          <w:rFonts w:ascii="Times New Roman" w:eastAsia="Calibri" w:hAnsi="Times New Roman" w:cs="B Nazanin"/>
          <w:i/>
          <w:sz w:val="23"/>
          <w:szCs w:val="23"/>
          <w:rtl/>
        </w:rPr>
        <w:t xml:space="preserve"> </w:t>
      </w:r>
      <w:r w:rsidRPr="00FE433F">
        <w:rPr>
          <w:rFonts w:ascii="Times New Roman" w:eastAsia="Calibri" w:hAnsi="Times New Roman" w:cs="B Nazanin" w:hint="eastAsia"/>
          <w:i/>
          <w:sz w:val="23"/>
          <w:szCs w:val="23"/>
          <w:rtl/>
        </w:rPr>
        <w:t>مرتبه</w:t>
      </w:r>
      <w:r w:rsidRPr="00FE433F">
        <w:rPr>
          <w:rFonts w:ascii="Times New Roman" w:eastAsia="Calibri" w:hAnsi="Times New Roman" w:cs="B Nazanin" w:hint="eastAsia"/>
          <w:i/>
          <w:sz w:val="23"/>
          <w:szCs w:val="23"/>
        </w:rPr>
        <w:t>‌</w:t>
      </w:r>
      <w:r w:rsidRPr="00FE433F">
        <w:rPr>
          <w:rFonts w:ascii="Times New Roman" w:eastAsia="Calibri" w:hAnsi="Times New Roman" w:cs="B Nazanin" w:hint="cs"/>
          <w:i/>
          <w:sz w:val="23"/>
          <w:szCs w:val="23"/>
          <w:rtl/>
        </w:rPr>
        <w:t>ی</w:t>
      </w:r>
      <w:r w:rsidRPr="00FE433F">
        <w:rPr>
          <w:rFonts w:ascii="Times New Roman" w:eastAsia="Calibri" w:hAnsi="Times New Roman" w:cs="B Nazanin"/>
          <w:i/>
          <w:sz w:val="23"/>
          <w:szCs w:val="23"/>
          <w:rtl/>
        </w:rPr>
        <w:t xml:space="preserve"> اول عبارتند از؛</w:t>
      </w:r>
    </w:p>
    <w:p w14:paraId="29C2E938"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5080" w:dyaOrig="620" w14:anchorId="6F2DF109">
          <v:shape id="_x0000_i4197" type="#_x0000_t75" style="width:254.1pt;height:30.85pt" o:ole="">
            <v:imagedata r:id="rId6381" o:title=""/>
          </v:shape>
          <o:OLEObject Type="Embed" ProgID="Equation.DSMT4" ShapeID="_x0000_i4197" DrawAspect="Content" ObjectID="_1791378141" r:id="rId6382"/>
        </w:object>
      </w:r>
    </w:p>
    <w:p w14:paraId="3579CDC1"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5020" w:dyaOrig="620" w14:anchorId="5084C67A">
          <v:shape id="_x0000_i4198" type="#_x0000_t75" style="width:251.1pt;height:30.85pt" o:ole="">
            <v:imagedata r:id="rId6383" o:title=""/>
          </v:shape>
          <o:OLEObject Type="Embed" ProgID="Equation.DSMT4" ShapeID="_x0000_i4198" DrawAspect="Content" ObjectID="_1791378142" r:id="rId6384"/>
        </w:object>
      </w:r>
    </w:p>
    <w:p w14:paraId="1CD738BC"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4980" w:dyaOrig="620" w14:anchorId="10BF18DB">
          <v:shape id="_x0000_i4199" type="#_x0000_t75" style="width:249.3pt;height:30.85pt" o:ole="">
            <v:imagedata r:id="rId6385" o:title=""/>
          </v:shape>
          <o:OLEObject Type="Embed" ProgID="Equation.DSMT4" ShapeID="_x0000_i4199" DrawAspect="Content" ObjectID="_1791378143" r:id="rId6386"/>
        </w:object>
      </w:r>
    </w:p>
    <w:p w14:paraId="07A8530D"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4980" w:dyaOrig="620" w14:anchorId="0E293791">
          <v:shape id="_x0000_i4200" type="#_x0000_t75" style="width:249.3pt;height:30.85pt" o:ole="">
            <v:imagedata r:id="rId6387" o:title=""/>
          </v:shape>
          <o:OLEObject Type="Embed" ProgID="Equation.DSMT4" ShapeID="_x0000_i4200" DrawAspect="Content" ObjectID="_1791378144" r:id="rId6388"/>
        </w:object>
      </w:r>
    </w:p>
    <w:p w14:paraId="5F86C986"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5000" w:dyaOrig="620" w14:anchorId="5E457D61">
          <v:shape id="_x0000_i4201" type="#_x0000_t75" style="width:249.9pt;height:30.85pt" o:ole="">
            <v:imagedata r:id="rId6389" o:title=""/>
          </v:shape>
          <o:OLEObject Type="Embed" ProgID="Equation.DSMT4" ShapeID="_x0000_i4201" DrawAspect="Content" ObjectID="_1791378145" r:id="rId6390"/>
        </w:object>
      </w:r>
    </w:p>
    <w:p w14:paraId="50EE1589" w14:textId="77777777" w:rsidR="00411620" w:rsidRPr="00FE433F" w:rsidRDefault="00411620" w:rsidP="00411620">
      <w:pPr>
        <w:spacing w:line="216" w:lineRule="auto"/>
        <w:rPr>
          <w:rFonts w:eastAsia="Calibri"/>
          <w:i/>
          <w:sz w:val="23"/>
          <w:szCs w:val="23"/>
        </w:rPr>
      </w:pPr>
      <w:r w:rsidRPr="00FE433F">
        <w:rPr>
          <w:rFonts w:eastAsia="Calibri"/>
          <w:i/>
          <w:sz w:val="23"/>
          <w:szCs w:val="23"/>
          <w:rtl/>
        </w:rPr>
        <w:t>از شرا</w:t>
      </w:r>
      <w:r w:rsidRPr="00FE433F">
        <w:rPr>
          <w:rFonts w:eastAsia="Calibri" w:hint="cs"/>
          <w:i/>
          <w:sz w:val="23"/>
          <w:szCs w:val="23"/>
          <w:rtl/>
        </w:rPr>
        <w:t>ی</w:t>
      </w:r>
      <w:r w:rsidRPr="00FE433F">
        <w:rPr>
          <w:rFonts w:eastAsia="Calibri" w:hint="eastAsia"/>
          <w:i/>
          <w:sz w:val="23"/>
          <w:szCs w:val="23"/>
          <w:rtl/>
        </w:rPr>
        <w:t>ط</w:t>
      </w:r>
      <w:r w:rsidRPr="00FE433F">
        <w:rPr>
          <w:rFonts w:eastAsia="Calibri"/>
          <w:i/>
          <w:sz w:val="23"/>
          <w:szCs w:val="23"/>
          <w:rtl/>
        </w:rPr>
        <w:t xml:space="preserve"> </w:t>
      </w:r>
      <w:r w:rsidRPr="00FE433F">
        <w:rPr>
          <w:rFonts w:eastAsia="Calibri" w:hint="eastAsia"/>
          <w:i/>
          <w:sz w:val="23"/>
          <w:szCs w:val="23"/>
          <w:rtl/>
        </w:rPr>
        <w:t>مرتبه</w:t>
      </w:r>
      <w:r w:rsidRPr="00FE433F">
        <w:rPr>
          <w:rFonts w:eastAsia="Calibri"/>
          <w:i/>
          <w:sz w:val="23"/>
          <w:szCs w:val="23"/>
          <w:rtl/>
        </w:rPr>
        <w:t xml:space="preserve"> </w:t>
      </w:r>
      <w:r w:rsidRPr="00FE433F">
        <w:rPr>
          <w:rFonts w:eastAsia="Calibri" w:hint="eastAsia"/>
          <w:i/>
          <w:sz w:val="23"/>
          <w:szCs w:val="23"/>
          <w:rtl/>
        </w:rPr>
        <w:t>اول</w:t>
      </w:r>
      <w:r w:rsidRPr="00FE433F">
        <w:rPr>
          <w:rFonts w:eastAsia="Calibri"/>
          <w:i/>
          <w:sz w:val="23"/>
          <w:szCs w:val="23"/>
          <w:rtl/>
        </w:rPr>
        <w:t xml:space="preserve"> </w:t>
      </w:r>
      <w:r w:rsidRPr="00FE433F">
        <w:rPr>
          <w:rFonts w:eastAsia="Calibri" w:hint="eastAsia"/>
          <w:i/>
          <w:sz w:val="23"/>
          <w:szCs w:val="23"/>
          <w:rtl/>
        </w:rPr>
        <w:t>مربوط</w:t>
      </w:r>
      <w:r w:rsidRPr="00FE433F">
        <w:rPr>
          <w:rFonts w:eastAsia="Calibri"/>
          <w:i/>
          <w:sz w:val="23"/>
          <w:szCs w:val="23"/>
          <w:rtl/>
        </w:rPr>
        <w:t xml:space="preserve"> </w:t>
      </w:r>
      <w:r w:rsidRPr="00FE433F">
        <w:rPr>
          <w:rFonts w:eastAsia="Calibri" w:hint="eastAsia"/>
          <w:i/>
          <w:sz w:val="23"/>
          <w:szCs w:val="23"/>
          <w:rtl/>
        </w:rPr>
        <w:t>به</w:t>
      </w:r>
      <w:r w:rsidRPr="00FE433F">
        <w:rPr>
          <w:rFonts w:eastAsia="Calibri"/>
          <w:i/>
          <w:sz w:val="23"/>
          <w:szCs w:val="23"/>
          <w:rtl/>
        </w:rPr>
        <w:t xml:space="preserve"> </w:t>
      </w:r>
      <w:r w:rsidRPr="00FE433F">
        <w:rPr>
          <w:rFonts w:eastAsia="Calibri" w:hint="eastAsia"/>
          <w:i/>
          <w:sz w:val="23"/>
          <w:szCs w:val="23"/>
          <w:rtl/>
        </w:rPr>
        <w:t>پول</w:t>
      </w:r>
      <w:r w:rsidRPr="00FE433F">
        <w:rPr>
          <w:rFonts w:eastAsia="Calibri"/>
          <w:i/>
          <w:sz w:val="23"/>
          <w:szCs w:val="23"/>
          <w:rtl/>
        </w:rPr>
        <w:t xml:space="preserve"> </w:t>
      </w:r>
      <w:r w:rsidRPr="00FE433F">
        <w:rPr>
          <w:rFonts w:eastAsia="Calibri" w:hint="eastAsia"/>
          <w:i/>
          <w:sz w:val="23"/>
          <w:szCs w:val="23"/>
          <w:rtl/>
        </w:rPr>
        <w:t>و</w:t>
      </w:r>
      <w:r w:rsidRPr="00FE433F">
        <w:rPr>
          <w:rFonts w:eastAsia="Calibri"/>
          <w:i/>
          <w:sz w:val="23"/>
          <w:szCs w:val="23"/>
          <w:rtl/>
        </w:rPr>
        <w:t xml:space="preserve"> </w:t>
      </w:r>
      <w:r w:rsidRPr="00FE433F">
        <w:rPr>
          <w:rFonts w:eastAsia="Calibri" w:hint="eastAsia"/>
          <w:i/>
          <w:sz w:val="23"/>
          <w:szCs w:val="23"/>
          <w:rtl/>
        </w:rPr>
        <w:t>اوراق</w:t>
      </w:r>
      <w:r w:rsidRPr="00FE433F">
        <w:rPr>
          <w:rFonts w:eastAsia="Calibri"/>
          <w:i/>
          <w:sz w:val="23"/>
          <w:szCs w:val="23"/>
          <w:rtl/>
        </w:rPr>
        <w:t xml:space="preserve"> </w:t>
      </w:r>
      <w:r w:rsidRPr="00FE433F">
        <w:rPr>
          <w:rFonts w:eastAsia="Calibri" w:hint="eastAsia"/>
          <w:i/>
          <w:sz w:val="23"/>
          <w:szCs w:val="23"/>
          <w:rtl/>
        </w:rPr>
        <w:t>قرضه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دولت</w:t>
      </w:r>
      <w:r w:rsidRPr="00FE433F">
        <w:rPr>
          <w:rFonts w:eastAsia="Calibri" w:hint="cs"/>
          <w:i/>
          <w:sz w:val="23"/>
          <w:szCs w:val="23"/>
          <w:rtl/>
        </w:rPr>
        <w:t>ی</w:t>
      </w:r>
      <w:r w:rsidRPr="00FE433F">
        <w:rPr>
          <w:rFonts w:eastAsia="Calibri"/>
          <w:i/>
          <w:sz w:val="23"/>
          <w:szCs w:val="23"/>
          <w:rtl/>
        </w:rPr>
        <w:t xml:space="preserve"> دار</w:t>
      </w:r>
      <w:r w:rsidRPr="00FE433F">
        <w:rPr>
          <w:rFonts w:eastAsia="Calibri" w:hint="cs"/>
          <w:i/>
          <w:sz w:val="23"/>
          <w:szCs w:val="23"/>
          <w:rtl/>
        </w:rPr>
        <w:t>ی</w:t>
      </w:r>
      <w:r w:rsidRPr="00FE433F">
        <w:rPr>
          <w:rFonts w:eastAsia="Calibri" w:hint="eastAsia"/>
          <w:i/>
          <w:sz w:val="23"/>
          <w:szCs w:val="23"/>
          <w:rtl/>
        </w:rPr>
        <w:t>م</w:t>
      </w:r>
    </w:p>
    <w:p w14:paraId="58BD0C46" w14:textId="77777777" w:rsidR="00411620" w:rsidRPr="00FE433F" w:rsidRDefault="00411620" w:rsidP="00411620">
      <w:pPr>
        <w:pStyle w:val="MTDisplayEquation"/>
        <w:spacing w:line="216" w:lineRule="auto"/>
        <w:rPr>
          <w:rFonts w:ascii="Times New Roman" w:eastAsia="Times New Roman" w:hAnsi="Times New Roman" w:cs="B Nazanin"/>
          <w:i/>
          <w:sz w:val="23"/>
          <w:szCs w:val="23"/>
          <w:rtl/>
          <w:lang w:bidi="fa-IR"/>
        </w:rPr>
      </w:pPr>
      <w:r w:rsidRPr="00FE433F">
        <w:rPr>
          <w:position w:val="-12"/>
        </w:rPr>
        <w:object w:dxaOrig="1740" w:dyaOrig="340" w14:anchorId="2AE7EBEC">
          <v:shape id="_x0000_i4202" type="#_x0000_t75" style="width:87.15pt;height:16.95pt" o:ole="">
            <v:imagedata r:id="rId6391" o:title=""/>
          </v:shape>
          <o:OLEObject Type="Embed" ProgID="Equation.DSMT4" ShapeID="_x0000_i4202" DrawAspect="Content" ObjectID="_1791378146" r:id="rId6392"/>
        </w:object>
      </w:r>
    </w:p>
    <w:p w14:paraId="678CBBA9" w14:textId="77777777" w:rsidR="00411620" w:rsidRPr="00FE433F" w:rsidRDefault="00411620" w:rsidP="00411620">
      <w:pPr>
        <w:spacing w:line="216" w:lineRule="auto"/>
        <w:rPr>
          <w:rFonts w:eastAsia="Calibri"/>
          <w:i/>
          <w:sz w:val="23"/>
          <w:szCs w:val="23"/>
        </w:rPr>
      </w:pPr>
      <w:r w:rsidRPr="00FE433F">
        <w:rPr>
          <w:rFonts w:eastAsia="Calibri"/>
          <w:i/>
          <w:sz w:val="23"/>
          <w:szCs w:val="23"/>
          <w:rtl/>
        </w:rPr>
        <w:t>با ترک</w:t>
      </w:r>
      <w:r w:rsidRPr="00FE433F">
        <w:rPr>
          <w:rFonts w:eastAsia="Calibri" w:hint="cs"/>
          <w:i/>
          <w:sz w:val="23"/>
          <w:szCs w:val="23"/>
          <w:rtl/>
        </w:rPr>
        <w:t>ی</w:t>
      </w:r>
      <w:r w:rsidRPr="00FE433F">
        <w:rPr>
          <w:rFonts w:eastAsia="Calibri" w:hint="eastAsia"/>
          <w:i/>
          <w:sz w:val="23"/>
          <w:szCs w:val="23"/>
          <w:rtl/>
        </w:rPr>
        <w:t>ب</w:t>
      </w:r>
      <w:r w:rsidRPr="00FE433F">
        <w:rPr>
          <w:rFonts w:eastAsia="Calibri"/>
          <w:i/>
          <w:sz w:val="23"/>
          <w:szCs w:val="23"/>
          <w:rtl/>
        </w:rPr>
        <w:t xml:space="preserve"> </w:t>
      </w:r>
      <w:r w:rsidRPr="00FE433F">
        <w:rPr>
          <w:rFonts w:eastAsia="Calibri" w:hint="eastAsia"/>
          <w:i/>
          <w:sz w:val="23"/>
          <w:szCs w:val="23"/>
          <w:rtl/>
        </w:rPr>
        <w:t>رابطه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فوق با شرا</w:t>
      </w:r>
      <w:r w:rsidRPr="00FE433F">
        <w:rPr>
          <w:rFonts w:eastAsia="Calibri" w:hint="cs"/>
          <w:i/>
          <w:sz w:val="23"/>
          <w:szCs w:val="23"/>
          <w:rtl/>
        </w:rPr>
        <w:t>ی</w:t>
      </w:r>
      <w:r w:rsidRPr="00FE433F">
        <w:rPr>
          <w:rFonts w:eastAsia="Calibri" w:hint="eastAsia"/>
          <w:i/>
          <w:sz w:val="23"/>
          <w:szCs w:val="23"/>
          <w:rtl/>
        </w:rPr>
        <w:t>ط</w:t>
      </w:r>
      <w:r w:rsidRPr="00FE433F">
        <w:rPr>
          <w:rFonts w:eastAsia="Calibri"/>
          <w:i/>
          <w:sz w:val="23"/>
          <w:szCs w:val="23"/>
          <w:rtl/>
        </w:rPr>
        <w:t xml:space="preserve"> مرتبه اول مصرف و فراغت و برا</w:t>
      </w:r>
      <w:r w:rsidRPr="00FE433F">
        <w:rPr>
          <w:rFonts w:eastAsia="Calibri" w:hint="cs"/>
          <w:i/>
          <w:sz w:val="23"/>
          <w:szCs w:val="23"/>
          <w:rtl/>
        </w:rPr>
        <w:t>ی</w:t>
      </w:r>
      <w:r w:rsidRPr="00FE433F">
        <w:rPr>
          <w:rFonts w:eastAsia="Calibri"/>
          <w:i/>
          <w:sz w:val="23"/>
          <w:szCs w:val="23"/>
          <w:rtl/>
        </w:rPr>
        <w:t xml:space="preserve"> </w:t>
      </w:r>
      <w:r w:rsidRPr="00FE433F">
        <w:rPr>
          <w:position w:val="-6"/>
        </w:rPr>
        <w:object w:dxaOrig="480" w:dyaOrig="260" w14:anchorId="1E5295FA">
          <v:shape id="_x0000_i4203" type="#_x0000_t75" style="width:24.2pt;height:13.3pt" o:ole="">
            <v:imagedata r:id="rId6393" o:title=""/>
          </v:shape>
          <o:OLEObject Type="Embed" ProgID="Equation.DSMT4" ShapeID="_x0000_i4203" DrawAspect="Content" ObjectID="_1791378147" r:id="rId6394"/>
        </w:object>
      </w:r>
      <w:r w:rsidRPr="00FE433F">
        <w:rPr>
          <w:rFonts w:eastAsia="Calibri"/>
          <w:i/>
          <w:sz w:val="23"/>
          <w:szCs w:val="23"/>
          <w:rtl/>
        </w:rPr>
        <w:t xml:space="preserve"> خواه</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داشت؛</w:t>
      </w:r>
    </w:p>
    <w:p w14:paraId="1D082142" w14:textId="77777777" w:rsidR="00411620" w:rsidRPr="00FE433F" w:rsidRDefault="00411620" w:rsidP="00411620">
      <w:pPr>
        <w:pStyle w:val="MTDisplayEquation"/>
        <w:tabs>
          <w:tab w:val="clear" w:pos="6660"/>
        </w:tabs>
        <w:spacing w:line="216" w:lineRule="auto"/>
        <w:rPr>
          <w:rFonts w:ascii="Times New Roman" w:eastAsia="Times New Roman" w:hAnsi="Times New Roman" w:cs="B Nazanin"/>
          <w:i/>
          <w:sz w:val="23"/>
          <w:szCs w:val="23"/>
          <w:rtl/>
          <w:lang w:bidi="fa-IR"/>
        </w:rPr>
      </w:pPr>
      <w:r w:rsidRPr="00FE433F">
        <w:rPr>
          <w:position w:val="-14"/>
        </w:rPr>
        <w:object w:dxaOrig="3340" w:dyaOrig="380" w14:anchorId="6150581B">
          <v:shape id="_x0000_i4204" type="#_x0000_t75" style="width:167pt;height:18.75pt" o:ole="">
            <v:imagedata r:id="rId6395" o:title=""/>
          </v:shape>
          <o:OLEObject Type="Embed" ProgID="Equation.DSMT4" ShapeID="_x0000_i4204" DrawAspect="Content" ObjectID="_1791378148" r:id="rId6396"/>
        </w:object>
      </w:r>
      <w:r w:rsidRPr="00FE433F">
        <w:rPr>
          <w:rFonts w:ascii="Times New Roman" w:hAnsi="Times New Roman" w:cs="B Nazanin"/>
          <w:i/>
          <w:sz w:val="23"/>
          <w:szCs w:val="23"/>
        </w:rPr>
        <w:t xml:space="preserve"> </w:t>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Pr>
          <w:rFonts w:ascii="Times New Roman" w:hAnsi="Times New Roman" w:cs="B Nazanin"/>
          <w:i/>
          <w:sz w:val="23"/>
          <w:szCs w:val="23"/>
          <w:rtl/>
        </w:rPr>
        <w:tab/>
      </w:r>
      <w:r w:rsidRPr="00FE433F">
        <w:rPr>
          <w:rFonts w:ascii="Times New Roman" w:hAnsi="Times New Roman" w:cs="B Nazanin"/>
          <w:i/>
          <w:sz w:val="23"/>
          <w:szCs w:val="23"/>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lang w:bidi="fa-IR"/>
        </w:rPr>
        <w:t>(۸. ۱۳)</w:t>
      </w:r>
    </w:p>
    <w:p w14:paraId="5BF092CD"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در رابطه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فوق</w:t>
      </w:r>
      <w:r w:rsidRPr="00FE433F">
        <w:rPr>
          <w:position w:val="-12"/>
        </w:rPr>
        <w:object w:dxaOrig="540" w:dyaOrig="340" w14:anchorId="6250FE2A">
          <v:shape id="_x0000_i4205" type="#_x0000_t75" style="width:26.6pt;height:16.95pt" o:ole="">
            <v:imagedata r:id="rId6397" o:title=""/>
          </v:shape>
          <o:OLEObject Type="Embed" ProgID="Equation.DSMT4" ShapeID="_x0000_i4205" DrawAspect="Content" ObjectID="_1791378149" r:id="rId6398"/>
        </w:object>
      </w:r>
      <w:r w:rsidRPr="00FE433F">
        <w:rPr>
          <w:rFonts w:eastAsia="Calibri"/>
          <w:i/>
          <w:sz w:val="23"/>
          <w:szCs w:val="23"/>
          <w:rtl/>
        </w:rPr>
        <w:t xml:space="preserve"> </w:t>
      </w:r>
      <w:r w:rsidRPr="00FE433F">
        <w:rPr>
          <w:i/>
          <w:sz w:val="23"/>
          <w:szCs w:val="23"/>
          <w:rtl/>
        </w:rPr>
        <w:t>صرفه</w:t>
      </w:r>
      <w:r w:rsidRPr="00FE433F">
        <w:rPr>
          <w:i/>
          <w:sz w:val="23"/>
          <w:szCs w:val="23"/>
          <w:rtl/>
        </w:rPr>
        <w:softHyphen/>
      </w:r>
      <w:r w:rsidRPr="00FE433F">
        <w:rPr>
          <w:rFonts w:eastAsia="Calibri"/>
          <w:i/>
          <w:sz w:val="23"/>
          <w:szCs w:val="23"/>
          <w:rtl/>
        </w:rPr>
        <w:t>جو</w:t>
      </w:r>
      <w:r w:rsidRPr="00FE433F">
        <w:rPr>
          <w:rFonts w:eastAsia="Calibri" w:hint="cs"/>
          <w:i/>
          <w:sz w:val="23"/>
          <w:szCs w:val="23"/>
          <w:rtl/>
        </w:rPr>
        <w:t>یی</w:t>
      </w:r>
      <w:r w:rsidRPr="00FE433F">
        <w:rPr>
          <w:rFonts w:eastAsia="Calibri"/>
          <w:i/>
          <w:sz w:val="23"/>
          <w:szCs w:val="23"/>
          <w:rtl/>
        </w:rPr>
        <w:t xml:space="preserve"> در زمان خر</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را به ازا</w:t>
      </w:r>
      <w:r w:rsidRPr="00FE433F">
        <w:rPr>
          <w:rFonts w:eastAsia="Calibri" w:hint="cs"/>
          <w:i/>
          <w:sz w:val="23"/>
          <w:szCs w:val="23"/>
          <w:rtl/>
        </w:rPr>
        <w:t>ی</w:t>
      </w:r>
      <w:r w:rsidRPr="00FE433F">
        <w:rPr>
          <w:rFonts w:eastAsia="Calibri" w:hint="eastAsia"/>
          <w:i/>
          <w:sz w:val="23"/>
          <w:szCs w:val="23"/>
        </w:rPr>
        <w:t>‌</w:t>
      </w:r>
      <w:r w:rsidRPr="00FE433F">
        <w:rPr>
          <w:rFonts w:eastAsia="Calibri" w:hint="cs"/>
          <w:i/>
          <w:sz w:val="23"/>
          <w:szCs w:val="23"/>
          <w:rtl/>
        </w:rPr>
        <w:t xml:space="preserve"> ی</w:t>
      </w:r>
      <w:r w:rsidRPr="00FE433F">
        <w:rPr>
          <w:rFonts w:eastAsia="Calibri"/>
          <w:i/>
          <w:sz w:val="23"/>
          <w:szCs w:val="23"/>
          <w:rtl/>
        </w:rPr>
        <w:t>ک واحد اضافه نگهدار</w:t>
      </w:r>
      <w:r w:rsidRPr="00FE433F">
        <w:rPr>
          <w:rFonts w:eastAsia="Calibri" w:hint="cs"/>
          <w:i/>
          <w:sz w:val="23"/>
          <w:szCs w:val="23"/>
          <w:rtl/>
        </w:rPr>
        <w:t>ی</w:t>
      </w:r>
      <w:r w:rsidRPr="00FE433F">
        <w:rPr>
          <w:rFonts w:eastAsia="Calibri"/>
          <w:i/>
          <w:sz w:val="23"/>
          <w:szCs w:val="23"/>
          <w:rtl/>
        </w:rPr>
        <w:t xml:space="preserve"> پول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i/>
          <w:sz w:val="23"/>
          <w:szCs w:val="23"/>
          <w:rtl/>
        </w:rPr>
        <w:t xml:space="preserve"> اندازه</w:t>
      </w:r>
      <w:r w:rsidRPr="00FE433F">
        <w:rPr>
          <w:i/>
          <w:sz w:val="23"/>
          <w:szCs w:val="23"/>
          <w:rtl/>
        </w:rPr>
        <w:softHyphen/>
      </w:r>
      <w:r w:rsidRPr="00FE433F">
        <w:rPr>
          <w:rFonts w:eastAsia="Calibri"/>
          <w:i/>
          <w:sz w:val="23"/>
          <w:szCs w:val="23"/>
          <w:rtl/>
        </w:rPr>
        <w:t>گ</w:t>
      </w:r>
      <w:r w:rsidRPr="00FE433F">
        <w:rPr>
          <w:rFonts w:eastAsia="Calibri" w:hint="cs"/>
          <w:i/>
          <w:sz w:val="23"/>
          <w:szCs w:val="23"/>
          <w:rtl/>
        </w:rPr>
        <w:t>ی</w:t>
      </w:r>
      <w:r w:rsidRPr="00FE433F">
        <w:rPr>
          <w:rFonts w:eastAsia="Calibri" w:hint="eastAsia"/>
          <w:i/>
          <w:sz w:val="23"/>
          <w:szCs w:val="23"/>
          <w:rtl/>
        </w:rPr>
        <w:t>ر</w:t>
      </w:r>
      <w:r w:rsidRPr="00FE433F">
        <w:rPr>
          <w:rFonts w:eastAsia="Calibri" w:hint="cs"/>
          <w:i/>
          <w:sz w:val="23"/>
          <w:szCs w:val="23"/>
          <w:rtl/>
        </w:rPr>
        <w:t>ی</w: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کند و هر واحد صرفه</w:t>
      </w:r>
      <w:r w:rsidRPr="00FE433F">
        <w:rPr>
          <w:rFonts w:eastAsia="Calibri"/>
          <w:i/>
          <w:sz w:val="23"/>
          <w:szCs w:val="23"/>
          <w:rtl/>
        </w:rPr>
        <w:softHyphen/>
        <w:t>جو</w:t>
      </w:r>
      <w:r w:rsidRPr="00FE433F">
        <w:rPr>
          <w:rFonts w:eastAsia="Calibri" w:hint="cs"/>
          <w:i/>
          <w:sz w:val="23"/>
          <w:szCs w:val="23"/>
          <w:rtl/>
        </w:rPr>
        <w:t>یی</w:t>
      </w:r>
      <w:r w:rsidRPr="00FE433F">
        <w:rPr>
          <w:rFonts w:eastAsia="Calibri"/>
          <w:i/>
          <w:sz w:val="23"/>
          <w:szCs w:val="23"/>
          <w:rtl/>
        </w:rPr>
        <w:t xml:space="preserve"> شده در زمان خر</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مطلوب</w:t>
      </w:r>
      <w:r w:rsidRPr="00FE433F">
        <w:rPr>
          <w:rFonts w:eastAsia="Calibri" w:hint="cs"/>
          <w:i/>
          <w:sz w:val="23"/>
          <w:szCs w:val="23"/>
          <w:rtl/>
        </w:rPr>
        <w:t>ی</w:t>
      </w:r>
      <w:r w:rsidRPr="00FE433F">
        <w:rPr>
          <w:rFonts w:eastAsia="Calibri" w:hint="eastAsia"/>
          <w:i/>
          <w:sz w:val="23"/>
          <w:szCs w:val="23"/>
          <w:rtl/>
        </w:rPr>
        <w:t>ت</w:t>
      </w:r>
      <w:r w:rsidRPr="00FE433F">
        <w:rPr>
          <w:position w:val="-12"/>
        </w:rPr>
        <w:object w:dxaOrig="480" w:dyaOrig="340" w14:anchorId="583382D9">
          <v:shape id="_x0000_i4206" type="#_x0000_t75" style="width:24.2pt;height:16.95pt" o:ole="">
            <v:imagedata r:id="rId6399" o:title=""/>
          </v:shape>
          <o:OLEObject Type="Embed" ProgID="Equation.DSMT4" ShapeID="_x0000_i4206" DrawAspect="Content" ObjectID="_1791378150" r:id="rId6400"/>
        </w:object>
      </w:r>
      <w:r w:rsidRPr="00FE433F">
        <w:rPr>
          <w:rFonts w:eastAsia="Calibri"/>
          <w:i/>
          <w:sz w:val="23"/>
          <w:szCs w:val="23"/>
          <w:rtl/>
        </w:rPr>
        <w:t xml:space="preserve"> را ا</w:t>
      </w:r>
      <w:r w:rsidRPr="00FE433F">
        <w:rPr>
          <w:rFonts w:eastAsia="Calibri" w:hint="cs"/>
          <w:i/>
          <w:sz w:val="23"/>
          <w:szCs w:val="23"/>
          <w:rtl/>
        </w:rPr>
        <w:t>ی</w:t>
      </w:r>
      <w:r w:rsidRPr="00FE433F">
        <w:rPr>
          <w:rFonts w:eastAsia="Calibri" w:hint="eastAsia"/>
          <w:i/>
          <w:sz w:val="23"/>
          <w:szCs w:val="23"/>
          <w:rtl/>
        </w:rPr>
        <w:t>جاد</w:t>
      </w:r>
      <w:r w:rsidRPr="00FE433F">
        <w:rPr>
          <w:rFonts w:eastAsia="Calibri"/>
          <w:i/>
          <w:sz w:val="23"/>
          <w:szCs w:val="23"/>
          <w:rtl/>
        </w:rPr>
        <w:t xml:space="preserve"> خواهد کرد. ضمناً هر واحد اضافه پول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نگهدار</w:t>
      </w:r>
      <w:r w:rsidRPr="00FE433F">
        <w:rPr>
          <w:rFonts w:eastAsia="Calibri" w:hint="cs"/>
          <w:i/>
          <w:sz w:val="23"/>
          <w:szCs w:val="23"/>
          <w:rtl/>
        </w:rPr>
        <w:t>ی</w:t>
      </w:r>
      <w:r w:rsidRPr="00FE433F">
        <w:rPr>
          <w:rFonts w:eastAsia="Calibri"/>
          <w:i/>
          <w:sz w:val="23"/>
          <w:szCs w:val="23"/>
          <w:rtl/>
        </w:rPr>
        <w:t xml:space="preserve"> شده</w:t>
      </w:r>
      <w:r w:rsidRPr="00FE433F">
        <w:rPr>
          <w:rFonts w:eastAsia="Calibri" w:hint="cs"/>
          <w:i/>
          <w:sz w:val="23"/>
          <w:szCs w:val="23"/>
          <w:rtl/>
        </w:rPr>
        <w:t>،</w:t>
      </w:r>
      <w:r w:rsidRPr="00FE433F">
        <w:rPr>
          <w:rFonts w:eastAsia="Calibri"/>
          <w:i/>
          <w:sz w:val="23"/>
          <w:szCs w:val="23"/>
          <w:rtl/>
        </w:rPr>
        <w:t xml:space="preserve"> هز</w:t>
      </w:r>
      <w:r w:rsidRPr="00FE433F">
        <w:rPr>
          <w:rFonts w:eastAsia="Calibri" w:hint="cs"/>
          <w:i/>
          <w:sz w:val="23"/>
          <w:szCs w:val="23"/>
          <w:rtl/>
        </w:rPr>
        <w:t>ی</w:t>
      </w:r>
      <w:r w:rsidRPr="00FE433F">
        <w:rPr>
          <w:rFonts w:eastAsia="Calibri" w:hint="eastAsia"/>
          <w:i/>
          <w:sz w:val="23"/>
          <w:szCs w:val="23"/>
          <w:rtl/>
        </w:rPr>
        <w:t>نه</w:t>
      </w:r>
      <w:r w:rsidRPr="00FE433F">
        <w:rPr>
          <w:rFonts w:eastAsia="Calibri" w:hint="eastAsia"/>
          <w:i/>
          <w:sz w:val="23"/>
          <w:szCs w:val="23"/>
        </w:rPr>
        <w:t>‌</w:t>
      </w:r>
      <w:r w:rsidRPr="00FE433F">
        <w:rPr>
          <w:rFonts w:eastAsia="Calibri" w:hint="cs"/>
          <w:i/>
          <w:sz w:val="23"/>
          <w:szCs w:val="23"/>
          <w:rtl/>
        </w:rPr>
        <w:t>ی</w:t>
      </w:r>
      <w:r w:rsidRPr="00FE433F">
        <w:rPr>
          <w:position w:val="-10"/>
        </w:rPr>
        <w:object w:dxaOrig="400" w:dyaOrig="320" w14:anchorId="4B2FA6C2">
          <v:shape id="_x0000_i4207" type="#_x0000_t75" style="width:19.95pt;height:16.35pt" o:ole="">
            <v:imagedata r:id="rId6401" o:title=""/>
          </v:shape>
          <o:OLEObject Type="Embed" ProgID="Equation.DSMT4" ShapeID="_x0000_i4207" DrawAspect="Content" ObjectID="_1791378151" r:id="rId6402"/>
        </w:object>
      </w:r>
      <w:r w:rsidRPr="00FE433F">
        <w:rPr>
          <w:rFonts w:eastAsia="Calibri"/>
          <w:i/>
          <w:sz w:val="23"/>
          <w:szCs w:val="23"/>
          <w:rtl/>
        </w:rPr>
        <w:t xml:space="preserve"> را در بر خواهد داشت</w:t>
      </w:r>
      <w:r w:rsidRPr="00FE433F">
        <w:rPr>
          <w:rFonts w:eastAsia="Calibri" w:hint="cs"/>
          <w:i/>
          <w:sz w:val="23"/>
          <w:szCs w:val="23"/>
          <w:rtl/>
        </w:rPr>
        <w:t>،</w:t>
      </w:r>
      <w:r w:rsidRPr="00FE433F">
        <w:rPr>
          <w:rFonts w:eastAsia="Calibri"/>
          <w:i/>
          <w:sz w:val="23"/>
          <w:szCs w:val="23"/>
          <w:rtl/>
        </w:rPr>
        <w:t xml:space="preserve"> و بد</w:t>
      </w:r>
      <w:r w:rsidRPr="00FE433F">
        <w:rPr>
          <w:rFonts w:eastAsia="Calibri" w:hint="cs"/>
          <w:i/>
          <w:sz w:val="23"/>
          <w:szCs w:val="23"/>
          <w:rtl/>
        </w:rPr>
        <w:t>ی</w:t>
      </w:r>
      <w:r w:rsidRPr="00FE433F">
        <w:rPr>
          <w:rFonts w:eastAsia="Calibri" w:hint="eastAsia"/>
          <w:i/>
          <w:sz w:val="23"/>
          <w:szCs w:val="23"/>
          <w:rtl/>
        </w:rPr>
        <w:t>ن</w:t>
      </w:r>
      <w:r w:rsidRPr="00FE433F">
        <w:rPr>
          <w:i/>
          <w:sz w:val="23"/>
          <w:szCs w:val="23"/>
          <w:rtl/>
        </w:rPr>
        <w:softHyphen/>
      </w:r>
      <w:r w:rsidRPr="00FE433F">
        <w:rPr>
          <w:rFonts w:eastAsia="Calibri"/>
          <w:i/>
          <w:sz w:val="23"/>
          <w:szCs w:val="23"/>
          <w:rtl/>
        </w:rPr>
        <w:t>ترت</w:t>
      </w:r>
      <w:r w:rsidRPr="00FE433F">
        <w:rPr>
          <w:rFonts w:eastAsia="Calibri" w:hint="cs"/>
          <w:i/>
          <w:sz w:val="23"/>
          <w:szCs w:val="23"/>
          <w:rtl/>
        </w:rPr>
        <w:t>ی</w:t>
      </w:r>
      <w:r w:rsidRPr="00FE433F">
        <w:rPr>
          <w:rFonts w:eastAsia="Calibri" w:hint="eastAsia"/>
          <w:i/>
          <w:sz w:val="23"/>
          <w:szCs w:val="23"/>
          <w:rtl/>
        </w:rPr>
        <w:t>ب</w:t>
      </w:r>
      <w:r w:rsidRPr="00FE433F">
        <w:rPr>
          <w:position w:val="-12"/>
        </w:rPr>
        <w:object w:dxaOrig="840" w:dyaOrig="340" w14:anchorId="7E1D37D7">
          <v:shape id="_x0000_i4208" type="#_x0000_t75" style="width:41.75pt;height:16.95pt" o:ole="">
            <v:imagedata r:id="rId6403" o:title=""/>
          </v:shape>
          <o:OLEObject Type="Embed" ProgID="Equation.DSMT4" ShapeID="_x0000_i4208" DrawAspect="Content" ObjectID="_1791378152" r:id="rId6404"/>
        </w:object>
      </w:r>
      <w:r w:rsidRPr="00FE433F">
        <w:rPr>
          <w:rFonts w:eastAsia="Calibri"/>
          <w:i/>
          <w:sz w:val="23"/>
          <w:szCs w:val="23"/>
          <w:rtl/>
        </w:rPr>
        <w:t xml:space="preserve"> کاهش در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بخاطر کاهش در مصرف خواهد بود. هر چند کاهش مصرف، زمان خر</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را ن</w:t>
      </w:r>
      <w:r w:rsidRPr="00FE433F">
        <w:rPr>
          <w:rFonts w:eastAsia="Calibri" w:hint="cs"/>
          <w:i/>
          <w:sz w:val="23"/>
          <w:szCs w:val="23"/>
          <w:rtl/>
        </w:rPr>
        <w:t>ی</w:t>
      </w:r>
      <w:r w:rsidRPr="00FE433F">
        <w:rPr>
          <w:rFonts w:eastAsia="Calibri" w:hint="eastAsia"/>
          <w:i/>
          <w:sz w:val="23"/>
          <w:szCs w:val="23"/>
          <w:rtl/>
        </w:rPr>
        <w:t>ز</w:t>
      </w:r>
      <w:r w:rsidRPr="00FE433F">
        <w:rPr>
          <w:rFonts w:eastAsia="Calibri"/>
          <w:i/>
          <w:sz w:val="23"/>
          <w:szCs w:val="23"/>
          <w:rtl/>
        </w:rPr>
        <w:t xml:space="preserve"> کاهش داده که منجر به 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i/>
          <w:sz w:val="23"/>
          <w:szCs w:val="23"/>
          <w:rtl/>
        </w:rPr>
        <w:t xml:space="preserve">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خواهد شد. بنابرا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سمت</w:t>
      </w:r>
      <w:r w:rsidRPr="00FE433F">
        <w:rPr>
          <w:rFonts w:eastAsia="Calibri"/>
          <w:i/>
          <w:sz w:val="23"/>
          <w:szCs w:val="23"/>
          <w:rtl/>
        </w:rPr>
        <w:t xml:space="preserve"> </w:t>
      </w:r>
      <w:r w:rsidRPr="00FE433F">
        <w:rPr>
          <w:rFonts w:eastAsia="Calibri" w:hint="eastAsia"/>
          <w:i/>
          <w:sz w:val="23"/>
          <w:szCs w:val="23"/>
          <w:rtl/>
        </w:rPr>
        <w:t>راست</w:t>
      </w:r>
      <w:r w:rsidRPr="00FE433F">
        <w:rPr>
          <w:rFonts w:eastAsia="Calibri"/>
          <w:i/>
          <w:sz w:val="23"/>
          <w:szCs w:val="23"/>
          <w:rtl/>
        </w:rPr>
        <w:t xml:space="preserve"> </w:t>
      </w:r>
      <w:r w:rsidRPr="00FE433F">
        <w:rPr>
          <w:rFonts w:eastAsia="Calibri" w:hint="eastAsia"/>
          <w:i/>
          <w:sz w:val="23"/>
          <w:szCs w:val="23"/>
          <w:rtl/>
        </w:rPr>
        <w:t>رابطه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i/>
          <w:sz w:val="23"/>
          <w:szCs w:val="23"/>
          <w:rtl/>
        </w:rPr>
        <w:t>(۸. ۱۳)</w:t>
      </w:r>
      <w:r w:rsidRPr="00FE433F">
        <w:rPr>
          <w:rFonts w:eastAsia="Calibri"/>
          <w:i/>
          <w:sz w:val="23"/>
          <w:szCs w:val="23"/>
          <w:rtl/>
        </w:rPr>
        <w:t xml:space="preserve"> خالص کاهش در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بخاطر</w:t>
      </w:r>
      <w:r w:rsidRPr="00FE433F">
        <w:rPr>
          <w:rFonts w:eastAsia="Calibri" w:hint="eastAsia"/>
          <w:i/>
          <w:sz w:val="23"/>
          <w:szCs w:val="23"/>
        </w:rPr>
        <w:t>‌</w:t>
      </w:r>
      <w:r w:rsidRPr="00FE433F">
        <w:rPr>
          <w:rFonts w:hint="cs"/>
          <w:i/>
          <w:sz w:val="23"/>
          <w:szCs w:val="23"/>
          <w:rtl/>
        </w:rPr>
        <w:t xml:space="preserve"> </w:t>
      </w:r>
      <w:r w:rsidRPr="00FE433F">
        <w:rPr>
          <w:rFonts w:eastAsia="Calibri" w:hint="cs"/>
          <w:i/>
          <w:sz w:val="23"/>
          <w:szCs w:val="23"/>
          <w:rtl/>
        </w:rPr>
        <w:t>ی</w:t>
      </w:r>
      <w:r w:rsidRPr="00FE433F">
        <w:rPr>
          <w:rFonts w:eastAsia="Calibri"/>
          <w:i/>
          <w:sz w:val="23"/>
          <w:szCs w:val="23"/>
          <w:rtl/>
        </w:rPr>
        <w:t>ک واحد 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i/>
          <w:sz w:val="23"/>
          <w:szCs w:val="23"/>
          <w:rtl/>
        </w:rPr>
        <w:t xml:space="preserve"> در نگهدار</w:t>
      </w:r>
      <w:r w:rsidRPr="00FE433F">
        <w:rPr>
          <w:rFonts w:eastAsia="Calibri" w:hint="cs"/>
          <w:i/>
          <w:sz w:val="23"/>
          <w:szCs w:val="23"/>
          <w:rtl/>
        </w:rPr>
        <w:t>ی</w:t>
      </w:r>
      <w:r w:rsidRPr="00FE433F">
        <w:rPr>
          <w:rFonts w:eastAsia="Calibri"/>
          <w:i/>
          <w:sz w:val="23"/>
          <w:szCs w:val="23"/>
          <w:rtl/>
        </w:rPr>
        <w:t xml:space="preserve"> پول نقد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i/>
          <w:sz w:val="23"/>
          <w:szCs w:val="23"/>
          <w:rtl/>
        </w:rPr>
        <w:t xml:space="preserve"> توسط خانوار را اندازه</w:t>
      </w:r>
      <w:r w:rsidRPr="00FE433F">
        <w:rPr>
          <w:i/>
          <w:sz w:val="23"/>
          <w:szCs w:val="23"/>
          <w:rtl/>
        </w:rPr>
        <w:softHyphen/>
      </w:r>
      <w:r w:rsidRPr="00FE433F">
        <w:rPr>
          <w:rFonts w:eastAsia="Calibri"/>
          <w:i/>
          <w:sz w:val="23"/>
          <w:szCs w:val="23"/>
          <w:rtl/>
        </w:rPr>
        <w:t>گ</w:t>
      </w:r>
      <w:r w:rsidRPr="00FE433F">
        <w:rPr>
          <w:rFonts w:eastAsia="Calibri" w:hint="cs"/>
          <w:i/>
          <w:sz w:val="23"/>
          <w:szCs w:val="23"/>
          <w:rtl/>
        </w:rPr>
        <w:t>ی</w:t>
      </w:r>
      <w:r w:rsidRPr="00FE433F">
        <w:rPr>
          <w:rFonts w:eastAsia="Calibri" w:hint="eastAsia"/>
          <w:i/>
          <w:sz w:val="23"/>
          <w:szCs w:val="23"/>
          <w:rtl/>
        </w:rPr>
        <w:t>ر</w:t>
      </w:r>
      <w:r w:rsidRPr="00FE433F">
        <w:rPr>
          <w:rFonts w:eastAsia="Calibri" w:hint="cs"/>
          <w:i/>
          <w:sz w:val="23"/>
          <w:szCs w:val="23"/>
          <w:rtl/>
        </w:rPr>
        <w:t>ی</w: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کند.</w:t>
      </w:r>
    </w:p>
    <w:p w14:paraId="373CBAA9"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با حل رابطه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i/>
          <w:sz w:val="23"/>
          <w:szCs w:val="23"/>
          <w:rtl/>
        </w:rPr>
        <w:t>(۸. ۱۳)</w: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توان تابع تقاضا برا</w:t>
      </w:r>
      <w:r w:rsidRPr="00FE433F">
        <w:rPr>
          <w:rFonts w:eastAsia="Calibri" w:hint="cs"/>
          <w:i/>
          <w:sz w:val="23"/>
          <w:szCs w:val="23"/>
          <w:rtl/>
        </w:rPr>
        <w:t>ی</w:t>
      </w:r>
      <w:r w:rsidRPr="00FE433F">
        <w:rPr>
          <w:i/>
          <w:sz w:val="23"/>
          <w:szCs w:val="23"/>
          <w:rtl/>
        </w:rPr>
        <w:t xml:space="preserve"> پول را بدست آورد. بطور</w:t>
      </w:r>
      <w:r w:rsidRPr="00FE433F">
        <w:rPr>
          <w:rFonts w:eastAsia="Calibri"/>
          <w:i/>
          <w:sz w:val="23"/>
          <w:szCs w:val="23"/>
          <w:rtl/>
        </w:rPr>
        <w:t>کل</w:t>
      </w:r>
      <w:r w:rsidRPr="00FE433F">
        <w:rPr>
          <w:rFonts w:eastAsia="Calibri" w:hint="cs"/>
          <w:i/>
          <w:sz w:val="23"/>
          <w:szCs w:val="23"/>
          <w:rtl/>
        </w:rPr>
        <w:t>ی</w:t>
      </w:r>
      <w:r w:rsidRPr="00FE433F">
        <w:rPr>
          <w:rFonts w:eastAsia="Calibri"/>
          <w:i/>
          <w:sz w:val="23"/>
          <w:szCs w:val="23"/>
          <w:rtl/>
        </w:rPr>
        <w:t xml:space="preserve"> بدل</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w:t>
      </w:r>
      <w:r w:rsidRPr="00FE433F">
        <w:rPr>
          <w:rFonts w:eastAsia="Calibri" w:hint="eastAsia"/>
          <w:i/>
          <w:sz w:val="23"/>
          <w:szCs w:val="23"/>
          <w:rtl/>
        </w:rPr>
        <w:t>فرم</w:t>
      </w:r>
      <w:r w:rsidRPr="00FE433F">
        <w:rPr>
          <w:rFonts w:eastAsia="Calibri"/>
          <w:i/>
          <w:sz w:val="23"/>
          <w:szCs w:val="23"/>
          <w:rtl/>
        </w:rPr>
        <w:t xml:space="preserve"> </w:t>
      </w:r>
      <w:r w:rsidRPr="00FE433F">
        <w:rPr>
          <w:rFonts w:eastAsia="Calibri" w:hint="eastAsia"/>
          <w:i/>
          <w:sz w:val="23"/>
          <w:szCs w:val="23"/>
          <w:rtl/>
        </w:rPr>
        <w:t>تبع</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تابع</w:t>
      </w:r>
      <w:r w:rsidRPr="00FE433F">
        <w:rPr>
          <w:rFonts w:eastAsia="Calibri"/>
          <w:i/>
          <w:sz w:val="23"/>
          <w:szCs w:val="23"/>
          <w:rtl/>
        </w:rPr>
        <w:t xml:space="preserve"> </w:t>
      </w:r>
      <w:r w:rsidRPr="00FE433F">
        <w:rPr>
          <w:rFonts w:eastAsia="Calibri" w:hint="eastAsia"/>
          <w:i/>
          <w:sz w:val="23"/>
          <w:szCs w:val="23"/>
          <w:rtl/>
        </w:rPr>
        <w:t>هز</w:t>
      </w:r>
      <w:r w:rsidRPr="00FE433F">
        <w:rPr>
          <w:rFonts w:eastAsia="Calibri" w:hint="cs"/>
          <w:i/>
          <w:sz w:val="23"/>
          <w:szCs w:val="23"/>
          <w:rtl/>
        </w:rPr>
        <w:t>ی</w:t>
      </w:r>
      <w:r w:rsidRPr="00FE433F">
        <w:rPr>
          <w:rFonts w:eastAsia="Calibri" w:hint="eastAsia"/>
          <w:i/>
          <w:sz w:val="23"/>
          <w:szCs w:val="23"/>
          <w:rtl/>
        </w:rPr>
        <w:t>نه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خر</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توان تابع ضمن</w:t>
      </w:r>
      <w:r w:rsidRPr="00FE433F">
        <w:rPr>
          <w:rFonts w:eastAsia="Calibri" w:hint="cs"/>
          <w:i/>
          <w:sz w:val="23"/>
          <w:szCs w:val="23"/>
          <w:rtl/>
        </w:rPr>
        <w:t>ی</w:t>
      </w:r>
      <w:r w:rsidRPr="00FE433F">
        <w:rPr>
          <w:rFonts w:eastAsia="Calibri"/>
          <w:i/>
          <w:sz w:val="23"/>
          <w:szCs w:val="23"/>
          <w:rtl/>
        </w:rPr>
        <w:t xml:space="preserve"> تقاضا برا</w:t>
      </w:r>
      <w:r w:rsidRPr="00FE433F">
        <w:rPr>
          <w:rFonts w:eastAsia="Calibri" w:hint="cs"/>
          <w:i/>
          <w:sz w:val="23"/>
          <w:szCs w:val="23"/>
          <w:rtl/>
        </w:rPr>
        <w:t>ی</w:t>
      </w:r>
      <w:r w:rsidRPr="00FE433F">
        <w:rPr>
          <w:rFonts w:eastAsia="Calibri"/>
          <w:i/>
          <w:sz w:val="23"/>
          <w:szCs w:val="23"/>
          <w:rtl/>
        </w:rPr>
        <w:t xml:space="preserve"> پول را بدست آورد که ممکن است به صورت ز</w:t>
      </w:r>
      <w:r w:rsidRPr="00FE433F">
        <w:rPr>
          <w:rFonts w:eastAsia="Calibri" w:hint="cs"/>
          <w:i/>
          <w:sz w:val="23"/>
          <w:szCs w:val="23"/>
          <w:rtl/>
        </w:rPr>
        <w:t>ی</w:t>
      </w:r>
      <w:r w:rsidRPr="00FE433F">
        <w:rPr>
          <w:rFonts w:eastAsia="Calibri" w:hint="eastAsia"/>
          <w:i/>
          <w:sz w:val="23"/>
          <w:szCs w:val="23"/>
          <w:rtl/>
        </w:rPr>
        <w:t>ر</w:t>
      </w:r>
      <w:r w:rsidRPr="00FE433F">
        <w:rPr>
          <w:rFonts w:eastAsia="Calibri"/>
          <w:i/>
          <w:sz w:val="23"/>
          <w:szCs w:val="23"/>
          <w:rtl/>
        </w:rPr>
        <w:t xml:space="preserve"> </w:t>
      </w:r>
      <w:r w:rsidRPr="00FE433F">
        <w:rPr>
          <w:rFonts w:eastAsia="Calibri" w:hint="eastAsia"/>
          <w:i/>
          <w:sz w:val="23"/>
          <w:szCs w:val="23"/>
          <w:rtl/>
        </w:rPr>
        <w:t>نوشته</w:t>
      </w:r>
      <w:r w:rsidRPr="00FE433F">
        <w:rPr>
          <w:rFonts w:eastAsia="Calibri"/>
          <w:i/>
          <w:sz w:val="23"/>
          <w:szCs w:val="23"/>
          <w:rtl/>
        </w:rPr>
        <w:t xml:space="preserve"> </w:t>
      </w:r>
      <w:r w:rsidRPr="00FE433F">
        <w:rPr>
          <w:rFonts w:eastAsia="Calibri" w:hint="eastAsia"/>
          <w:i/>
          <w:sz w:val="23"/>
          <w:szCs w:val="23"/>
          <w:rtl/>
        </w:rPr>
        <w:t>شود؛</w:t>
      </w:r>
    </w:p>
    <w:p w14:paraId="2FD1A65C" w14:textId="77777777" w:rsidR="00411620" w:rsidRPr="00FE433F" w:rsidRDefault="00411620" w:rsidP="00411620">
      <w:pPr>
        <w:pStyle w:val="MTDisplayEquation"/>
        <w:tabs>
          <w:tab w:val="clear" w:pos="6660"/>
          <w:tab w:val="right" w:pos="0"/>
        </w:tabs>
        <w:spacing w:line="216" w:lineRule="auto"/>
        <w:rPr>
          <w:rFonts w:ascii="Times New Roman" w:hAnsi="Times New Roman"/>
          <w:i/>
          <w:sz w:val="23"/>
          <w:szCs w:val="23"/>
          <w:rtl/>
        </w:rPr>
      </w:pPr>
      <w:r w:rsidRPr="00FE433F">
        <w:rPr>
          <w:position w:val="-12"/>
        </w:rPr>
        <w:object w:dxaOrig="2439" w:dyaOrig="360" w14:anchorId="41F42B5E">
          <v:shape id="_x0000_i4209" type="#_x0000_t75" style="width:121.6pt;height:18.15pt" o:ole="">
            <v:imagedata r:id="rId6405" o:title=""/>
          </v:shape>
          <o:OLEObject Type="Embed" ProgID="Equation.DSMT4" ShapeID="_x0000_i4209" DrawAspect="Content" ObjectID="_1791378153" r:id="rId6406"/>
        </w:object>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cs="B Nazanin" w:hint="cs"/>
          <w:i/>
          <w:sz w:val="23"/>
          <w:szCs w:val="23"/>
          <w:rtl/>
        </w:rPr>
        <w:t>(۸. ۱۴)</w:t>
      </w:r>
    </w:p>
    <w:p w14:paraId="18E7DD68" w14:textId="77777777" w:rsidR="00411620" w:rsidRPr="00FE433F" w:rsidRDefault="00411620" w:rsidP="00411620">
      <w:pPr>
        <w:spacing w:line="216" w:lineRule="auto"/>
        <w:rPr>
          <w:i/>
          <w:sz w:val="23"/>
          <w:szCs w:val="23"/>
          <w:lang w:bidi="ar-SA"/>
        </w:rPr>
      </w:pPr>
    </w:p>
    <w:p w14:paraId="1225AB49" w14:textId="77777777" w:rsidR="00411620" w:rsidRPr="00FE433F" w:rsidRDefault="00411620" w:rsidP="00411620">
      <w:pPr>
        <w:spacing w:line="216" w:lineRule="auto"/>
        <w:rPr>
          <w:rFonts w:eastAsia="Calibri"/>
          <w:i/>
          <w:sz w:val="23"/>
          <w:szCs w:val="23"/>
          <w:rtl/>
        </w:rPr>
      </w:pPr>
      <w:r w:rsidRPr="00FE433F">
        <w:rPr>
          <w:rFonts w:eastAsia="Calibri" w:hint="cs"/>
          <w:bCs/>
          <w:i/>
          <w:sz w:val="23"/>
          <w:szCs w:val="23"/>
          <w:rtl/>
        </w:rPr>
        <w:t>مثال:</w:t>
      </w:r>
      <w:r w:rsidRPr="00FE433F">
        <w:rPr>
          <w:rFonts w:eastAsia="Calibri" w:hint="cs"/>
          <w:i/>
          <w:sz w:val="23"/>
          <w:szCs w:val="23"/>
          <w:rtl/>
        </w:rPr>
        <w:t xml:space="preserve"> </w:t>
      </w:r>
      <w:r w:rsidRPr="00FE433F">
        <w:rPr>
          <w:rFonts w:eastAsia="Calibri"/>
          <w:i/>
          <w:sz w:val="23"/>
          <w:szCs w:val="23"/>
          <w:rtl/>
        </w:rPr>
        <w:t>اگر تابع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w:t>
      </w:r>
      <w:r w:rsidRPr="00FE433F">
        <w:rPr>
          <w:rFonts w:eastAsia="Calibri" w:hint="eastAsia"/>
          <w:i/>
          <w:sz w:val="23"/>
          <w:szCs w:val="23"/>
          <w:rtl/>
        </w:rPr>
        <w:t>لگار</w:t>
      </w:r>
      <w:r w:rsidRPr="00FE433F">
        <w:rPr>
          <w:rFonts w:eastAsia="Calibri" w:hint="cs"/>
          <w:i/>
          <w:sz w:val="23"/>
          <w:szCs w:val="23"/>
          <w:rtl/>
        </w:rPr>
        <w:t>ی</w:t>
      </w:r>
      <w:r w:rsidRPr="00FE433F">
        <w:rPr>
          <w:rFonts w:eastAsia="Calibri" w:hint="eastAsia"/>
          <w:i/>
          <w:sz w:val="23"/>
          <w:szCs w:val="23"/>
          <w:rtl/>
        </w:rPr>
        <w:t>تم</w:t>
      </w:r>
      <w:r w:rsidRPr="00FE433F">
        <w:rPr>
          <w:rFonts w:eastAsia="Calibri"/>
          <w:i/>
          <w:sz w:val="23"/>
          <w:szCs w:val="23"/>
          <w:rtl/>
        </w:rPr>
        <w:t>-خط</w:t>
      </w:r>
      <w:r w:rsidRPr="00FE433F">
        <w:rPr>
          <w:rFonts w:eastAsia="Calibri" w:hint="cs"/>
          <w:i/>
          <w:sz w:val="23"/>
          <w:szCs w:val="23"/>
          <w:rtl/>
        </w:rPr>
        <w:t>ی</w:t>
      </w:r>
      <w:r w:rsidRPr="00FE433F">
        <w:rPr>
          <w:rFonts w:eastAsia="Calibri"/>
          <w:i/>
          <w:sz w:val="23"/>
          <w:szCs w:val="23"/>
          <w:rtl/>
        </w:rPr>
        <w:t xml:space="preserve"> ز</w:t>
      </w:r>
      <w:r w:rsidRPr="00FE433F">
        <w:rPr>
          <w:rFonts w:eastAsia="Calibri" w:hint="cs"/>
          <w:i/>
          <w:sz w:val="23"/>
          <w:szCs w:val="23"/>
          <w:rtl/>
        </w:rPr>
        <w:t>ی</w:t>
      </w:r>
      <w:r w:rsidRPr="00FE433F">
        <w:rPr>
          <w:rFonts w:eastAsia="Calibri" w:hint="eastAsia"/>
          <w:i/>
          <w:sz w:val="23"/>
          <w:szCs w:val="23"/>
          <w:rtl/>
        </w:rPr>
        <w:t>ر</w:t>
      </w:r>
      <w:r w:rsidRPr="00FE433F">
        <w:rPr>
          <w:rFonts w:eastAsia="Calibri"/>
          <w:i/>
          <w:sz w:val="23"/>
          <w:szCs w:val="23"/>
          <w:rtl/>
        </w:rPr>
        <w:t xml:space="preserve"> </w:t>
      </w:r>
      <w:r w:rsidRPr="00FE433F">
        <w:rPr>
          <w:rFonts w:eastAsia="Calibri" w:hint="eastAsia"/>
          <w:i/>
          <w:sz w:val="23"/>
          <w:szCs w:val="23"/>
          <w:rtl/>
        </w:rPr>
        <w:t>را</w:t>
      </w:r>
      <w:r w:rsidRPr="00FE433F">
        <w:rPr>
          <w:rFonts w:eastAsia="Calibri"/>
          <w:i/>
          <w:sz w:val="23"/>
          <w:szCs w:val="23"/>
          <w:rtl/>
        </w:rPr>
        <w:t xml:space="preserve"> </w:t>
      </w:r>
      <w:r w:rsidRPr="00FE433F">
        <w:rPr>
          <w:rFonts w:eastAsia="Calibri" w:hint="eastAsia"/>
          <w:i/>
          <w:sz w:val="23"/>
          <w:szCs w:val="23"/>
          <w:rtl/>
        </w:rPr>
        <w:t>داشته</w:t>
      </w:r>
      <w:r w:rsidRPr="00FE433F">
        <w:rPr>
          <w:rFonts w:eastAsia="Calibri"/>
          <w:i/>
          <w:sz w:val="23"/>
          <w:szCs w:val="23"/>
          <w:rtl/>
        </w:rPr>
        <w:t xml:space="preserve"> </w:t>
      </w:r>
      <w:r w:rsidRPr="00FE433F">
        <w:rPr>
          <w:rFonts w:eastAsia="Calibri" w:hint="eastAsia"/>
          <w:i/>
          <w:sz w:val="23"/>
          <w:szCs w:val="23"/>
          <w:rtl/>
        </w:rPr>
        <w:t>باش</w:t>
      </w:r>
      <w:r w:rsidRPr="00FE433F">
        <w:rPr>
          <w:rFonts w:eastAsia="Calibri" w:hint="cs"/>
          <w:i/>
          <w:sz w:val="23"/>
          <w:szCs w:val="23"/>
          <w:rtl/>
        </w:rPr>
        <w:t>ی</w:t>
      </w:r>
      <w:r w:rsidRPr="00FE433F">
        <w:rPr>
          <w:rFonts w:eastAsia="Calibri" w:hint="eastAsia"/>
          <w:i/>
          <w:sz w:val="23"/>
          <w:szCs w:val="23"/>
          <w:rtl/>
        </w:rPr>
        <w:t>م</w:t>
      </w:r>
    </w:p>
    <w:p w14:paraId="4A28D474" w14:textId="77777777" w:rsidR="00411620" w:rsidRPr="00FE433F" w:rsidRDefault="00411620" w:rsidP="00411620">
      <w:pPr>
        <w:pStyle w:val="MTDisplayEquation"/>
        <w:spacing w:line="216" w:lineRule="auto"/>
        <w:rPr>
          <w:rFonts w:ascii="Times New Roman" w:eastAsia="Times New Roman" w:hAnsi="Times New Roman" w:cs="B Nazanin"/>
          <w:i/>
          <w:sz w:val="23"/>
          <w:szCs w:val="23"/>
          <w:rtl/>
          <w:lang w:bidi="fa-IR"/>
        </w:rPr>
      </w:pPr>
      <w:r w:rsidRPr="00FE433F">
        <w:rPr>
          <w:position w:val="-12"/>
        </w:rPr>
        <w:object w:dxaOrig="1960" w:dyaOrig="360" w14:anchorId="4F307D27">
          <v:shape id="_x0000_i4210" type="#_x0000_t75" style="width:98pt;height:18.15pt" o:ole="">
            <v:imagedata r:id="rId6407" o:title=""/>
          </v:shape>
          <o:OLEObject Type="Embed" ProgID="Equation.DSMT4" ShapeID="_x0000_i4210" DrawAspect="Content" ObjectID="_1791378154" r:id="rId6408"/>
        </w:object>
      </w:r>
    </w:p>
    <w:p w14:paraId="1B6B442E"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و تابع هز</w:t>
      </w:r>
      <w:r w:rsidRPr="00FE433F">
        <w:rPr>
          <w:rFonts w:eastAsia="Calibri" w:hint="cs"/>
          <w:i/>
          <w:sz w:val="23"/>
          <w:szCs w:val="23"/>
          <w:rtl/>
        </w:rPr>
        <w:t>ی</w:t>
      </w:r>
      <w:r w:rsidRPr="00FE433F">
        <w:rPr>
          <w:rFonts w:eastAsia="Calibri" w:hint="eastAsia"/>
          <w:i/>
          <w:sz w:val="23"/>
          <w:szCs w:val="23"/>
          <w:rtl/>
        </w:rPr>
        <w:t>نه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زمان خر</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برابر باشد با</w:t>
      </w:r>
    </w:p>
    <w:p w14:paraId="7D234A9C" w14:textId="77777777" w:rsidR="00411620" w:rsidRPr="00FE433F" w:rsidRDefault="00411620" w:rsidP="00411620">
      <w:pPr>
        <w:pStyle w:val="MTDisplayEquation"/>
        <w:tabs>
          <w:tab w:val="clear" w:pos="6660"/>
        </w:tabs>
        <w:spacing w:line="216" w:lineRule="auto"/>
        <w:rPr>
          <w:rFonts w:ascii="Times New Roman" w:eastAsia="Times New Roman" w:hAnsi="Times New Roman" w:cs="B Nazanin"/>
          <w:i/>
          <w:sz w:val="23"/>
          <w:szCs w:val="23"/>
          <w:lang w:bidi="fa-IR"/>
        </w:rPr>
      </w:pPr>
      <w:r w:rsidRPr="00FE433F">
        <w:rPr>
          <w:position w:val="-28"/>
        </w:rPr>
        <w:object w:dxaOrig="900" w:dyaOrig="639" w14:anchorId="123E305D">
          <v:shape id="_x0000_i4211" type="#_x0000_t75" style="width:45.4pt;height:32.05pt" o:ole="">
            <v:imagedata r:id="rId6409" o:title=""/>
          </v:shape>
          <o:OLEObject Type="Embed" ProgID="Equation.DSMT4" ShapeID="_x0000_i4211" DrawAspect="Content" ObjectID="_1791378155" r:id="rId6410"/>
        </w:object>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cs="B Nazanin" w:hint="cs"/>
          <w:i/>
          <w:sz w:val="23"/>
          <w:szCs w:val="23"/>
          <w:rtl/>
        </w:rPr>
        <w:t>(۸. ۱۵)</w:t>
      </w:r>
    </w:p>
    <w:p w14:paraId="4DF241D3"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آنگاه شکل صر</w:t>
      </w:r>
      <w:r w:rsidRPr="00FE433F">
        <w:rPr>
          <w:rFonts w:eastAsia="Calibri" w:hint="cs"/>
          <w:i/>
          <w:sz w:val="23"/>
          <w:szCs w:val="23"/>
          <w:rtl/>
        </w:rPr>
        <w:t>ی</w:t>
      </w:r>
      <w:r w:rsidRPr="00FE433F">
        <w:rPr>
          <w:rFonts w:eastAsia="Calibri" w:hint="eastAsia"/>
          <w:i/>
          <w:sz w:val="23"/>
          <w:szCs w:val="23"/>
          <w:rtl/>
        </w:rPr>
        <w:t>ح</w:t>
      </w:r>
      <w:r w:rsidRPr="00FE433F">
        <w:rPr>
          <w:rFonts w:eastAsia="Calibri"/>
          <w:i/>
          <w:sz w:val="23"/>
          <w:szCs w:val="23"/>
          <w:rtl/>
        </w:rPr>
        <w:t xml:space="preserve"> تابع تقاضا برا</w:t>
      </w:r>
      <w:r w:rsidRPr="00FE433F">
        <w:rPr>
          <w:rFonts w:eastAsia="Calibri" w:hint="cs"/>
          <w:i/>
          <w:sz w:val="23"/>
          <w:szCs w:val="23"/>
          <w:rtl/>
        </w:rPr>
        <w:t>ی</w:t>
      </w:r>
      <w:r w:rsidRPr="00FE433F">
        <w:rPr>
          <w:rFonts w:eastAsia="Calibri"/>
          <w:i/>
          <w:sz w:val="23"/>
          <w:szCs w:val="23"/>
          <w:rtl/>
        </w:rPr>
        <w:t xml:space="preserve"> پول را م</w:t>
      </w:r>
      <w:r w:rsidRPr="00FE433F">
        <w:rPr>
          <w:rFonts w:eastAsia="Calibri" w:hint="cs"/>
          <w:i/>
          <w:sz w:val="23"/>
          <w:szCs w:val="23"/>
          <w:rtl/>
        </w:rPr>
        <w:t>ی‌</w:t>
      </w:r>
      <w:r w:rsidRPr="00FE433F">
        <w:rPr>
          <w:rFonts w:eastAsia="Calibri"/>
          <w:i/>
          <w:sz w:val="23"/>
          <w:szCs w:val="23"/>
          <w:rtl/>
        </w:rPr>
        <w:t xml:space="preserve">توان </w:t>
      </w:r>
      <w:r w:rsidRPr="00FE433F">
        <w:rPr>
          <w:rFonts w:eastAsia="Calibri" w:hint="cs"/>
          <w:i/>
          <w:sz w:val="23"/>
          <w:szCs w:val="23"/>
          <w:rtl/>
        </w:rPr>
        <w:t xml:space="preserve">به صورت زیر </w:t>
      </w:r>
      <w:r w:rsidRPr="00FE433F">
        <w:rPr>
          <w:rFonts w:eastAsia="Calibri"/>
          <w:i/>
          <w:sz w:val="23"/>
          <w:szCs w:val="23"/>
          <w:rtl/>
        </w:rPr>
        <w:t>بدست آورد. از رابطه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Pr>
        <w:t xml:space="preserve"> </w:t>
      </w:r>
      <w:r w:rsidRPr="00FE433F">
        <w:rPr>
          <w:i/>
          <w:sz w:val="23"/>
          <w:szCs w:val="23"/>
          <w:rtl/>
        </w:rPr>
        <w:t>(۸. ۱۳)</w:t>
      </w:r>
      <w:r w:rsidRPr="00FE433F">
        <w:rPr>
          <w:rFonts w:eastAsia="Calibri"/>
          <w:i/>
          <w:sz w:val="23"/>
          <w:szCs w:val="23"/>
          <w:rtl/>
        </w:rPr>
        <w:t xml:space="preserve"> دار</w:t>
      </w:r>
      <w:r w:rsidRPr="00FE433F">
        <w:rPr>
          <w:rFonts w:eastAsia="Calibri" w:hint="cs"/>
          <w:i/>
          <w:sz w:val="23"/>
          <w:szCs w:val="23"/>
          <w:rtl/>
        </w:rPr>
        <w:t>ی</w:t>
      </w:r>
      <w:r w:rsidRPr="00FE433F">
        <w:rPr>
          <w:rFonts w:eastAsia="Calibri" w:hint="eastAsia"/>
          <w:i/>
          <w:sz w:val="23"/>
          <w:szCs w:val="23"/>
          <w:rtl/>
        </w:rPr>
        <w:t>م</w:t>
      </w:r>
    </w:p>
    <w:p w14:paraId="61D41EEE" w14:textId="77777777" w:rsidR="00411620" w:rsidRPr="00FE433F" w:rsidRDefault="00411620" w:rsidP="00411620">
      <w:pPr>
        <w:pStyle w:val="MTDisplayEquation"/>
        <w:tabs>
          <w:tab w:val="clear" w:pos="6660"/>
        </w:tabs>
        <w:spacing w:line="216" w:lineRule="auto"/>
        <w:rPr>
          <w:rFonts w:ascii="Times New Roman" w:eastAsia="Times New Roman" w:hAnsi="Times New Roman" w:cs="B Nazanin"/>
          <w:i/>
          <w:sz w:val="23"/>
          <w:szCs w:val="23"/>
          <w:lang w:bidi="fa-IR"/>
        </w:rPr>
      </w:pPr>
      <w:r w:rsidRPr="00FE433F">
        <w:rPr>
          <w:position w:val="-30"/>
        </w:rPr>
        <w:object w:dxaOrig="2960" w:dyaOrig="700" w14:anchorId="76D2288A">
          <v:shape id="_x0000_i4212" type="#_x0000_t75" style="width:148.25pt;height:35.1pt" o:ole="">
            <v:imagedata r:id="rId6411" o:title=""/>
          </v:shape>
          <o:OLEObject Type="Embed" ProgID="Equation.DSMT4" ShapeID="_x0000_i4212" DrawAspect="Content" ObjectID="_1791378156" r:id="rId6412"/>
        </w:object>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p>
    <w:p w14:paraId="21B38427"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و تابع تقاضا برا</w:t>
      </w:r>
      <w:r w:rsidRPr="00FE433F">
        <w:rPr>
          <w:rFonts w:eastAsia="Calibri" w:hint="cs"/>
          <w:i/>
          <w:sz w:val="23"/>
          <w:szCs w:val="23"/>
          <w:rtl/>
        </w:rPr>
        <w:t>ی</w:t>
      </w:r>
      <w:r w:rsidRPr="00FE433F">
        <w:rPr>
          <w:rFonts w:eastAsia="Calibri"/>
          <w:i/>
          <w:sz w:val="23"/>
          <w:szCs w:val="23"/>
          <w:rtl/>
        </w:rPr>
        <w:t xml:space="preserve"> پول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برابر خواهد بود با</w:t>
      </w:r>
    </w:p>
    <w:p w14:paraId="7EE19106" w14:textId="77777777" w:rsidR="00411620" w:rsidRPr="00FE433F" w:rsidRDefault="00411620" w:rsidP="00411620">
      <w:pPr>
        <w:pStyle w:val="MTDisplayEquation"/>
        <w:tabs>
          <w:tab w:val="clear" w:pos="6660"/>
        </w:tabs>
        <w:spacing w:line="216" w:lineRule="auto"/>
        <w:rPr>
          <w:rFonts w:ascii="Times New Roman" w:eastAsia="Times New Roman" w:hAnsi="Times New Roman" w:cs="B Nazanin"/>
          <w:i/>
          <w:sz w:val="23"/>
          <w:szCs w:val="23"/>
          <w:lang w:bidi="fa-IR"/>
        </w:rPr>
      </w:pPr>
      <w:r w:rsidRPr="00FE433F">
        <w:rPr>
          <w:position w:val="-30"/>
        </w:rPr>
        <w:object w:dxaOrig="2880" w:dyaOrig="700" w14:anchorId="776A1E48">
          <v:shape id="_x0000_i4213" type="#_x0000_t75" style="width:2in;height:35.1pt" o:ole="">
            <v:imagedata r:id="rId6413" o:title=""/>
          </v:shape>
          <o:OLEObject Type="Embed" ProgID="Equation.DSMT4" ShapeID="_x0000_i4213" DrawAspect="Content" ObjectID="_1791378157" r:id="rId6414"/>
        </w:object>
      </w:r>
      <w:r w:rsidRPr="00FE433F">
        <w:rPr>
          <w:rFonts w:ascii="Times New Roman" w:hAnsi="Times New Roman" w:cs="B Nazanin"/>
          <w:i/>
          <w:sz w:val="23"/>
          <w:szCs w:val="23"/>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t>(</w:t>
      </w:r>
      <w:r w:rsidRPr="00FE433F">
        <w:rPr>
          <w:rFonts w:ascii="Times New Roman" w:hAnsi="Times New Roman" w:cs="B Nazanin"/>
          <w:i/>
          <w:sz w:val="23"/>
          <w:szCs w:val="23"/>
          <w:rtl/>
          <w:lang w:bidi="fa-IR"/>
        </w:rPr>
        <w:t>۸.</w:t>
      </w:r>
      <w:r w:rsidRPr="00FE433F">
        <w:rPr>
          <w:rFonts w:ascii="Times New Roman" w:hAnsi="Times New Roman" w:cs="B Nazanin"/>
          <w:i/>
          <w:sz w:val="23"/>
          <w:szCs w:val="23"/>
          <w:rtl/>
        </w:rPr>
        <w:t xml:space="preserve"> </w:t>
      </w:r>
      <w:r w:rsidRPr="00FE433F">
        <w:rPr>
          <w:rFonts w:ascii="Times New Roman" w:hAnsi="Times New Roman" w:cs="B Nazanin"/>
          <w:i/>
          <w:sz w:val="23"/>
          <w:szCs w:val="23"/>
          <w:rtl/>
          <w:lang w:bidi="fa-IR"/>
        </w:rPr>
        <w:t>۱</w:t>
      </w:r>
      <w:r w:rsidRPr="00FE433F">
        <w:rPr>
          <w:rFonts w:ascii="Times New Roman" w:hAnsi="Times New Roman" w:cs="B Nazanin" w:hint="cs"/>
          <w:i/>
          <w:sz w:val="23"/>
          <w:szCs w:val="23"/>
          <w:rtl/>
          <w:lang w:bidi="fa-IR"/>
        </w:rPr>
        <w:t>۶</w:t>
      </w:r>
      <w:r w:rsidRPr="00FE433F">
        <w:rPr>
          <w:rFonts w:ascii="Times New Roman" w:hAnsi="Times New Roman" w:cs="B Nazanin"/>
          <w:i/>
          <w:sz w:val="23"/>
          <w:szCs w:val="23"/>
          <w:rtl/>
          <w:lang w:bidi="fa-IR"/>
        </w:rPr>
        <w:t>)</w:t>
      </w:r>
    </w:p>
    <w:p w14:paraId="2E85909C" w14:textId="77777777" w:rsidR="00411620" w:rsidRPr="00FE433F" w:rsidRDefault="00411620" w:rsidP="00411620">
      <w:pPr>
        <w:spacing w:line="216" w:lineRule="auto"/>
        <w:rPr>
          <w:rFonts w:eastAsia="Calibri"/>
          <w:i/>
          <w:sz w:val="23"/>
          <w:szCs w:val="23"/>
        </w:rPr>
      </w:pPr>
      <w:r w:rsidRPr="00FE433F">
        <w:rPr>
          <w:rFonts w:eastAsia="Calibri"/>
          <w:i/>
          <w:sz w:val="23"/>
          <w:szCs w:val="23"/>
          <w:rtl/>
        </w:rPr>
        <w:t>در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رابطه</w:t>
      </w:r>
      <w:r w:rsidRPr="00FE433F">
        <w:rPr>
          <w:rFonts w:eastAsia="Calibri"/>
          <w:i/>
          <w:sz w:val="23"/>
          <w:szCs w:val="23"/>
          <w:rtl/>
        </w:rPr>
        <w:t xml:space="preserve"> </w:t>
      </w:r>
      <w:r w:rsidRPr="00FE433F">
        <w:rPr>
          <w:rFonts w:eastAsia="Calibri" w:hint="cs"/>
          <w:i/>
          <w:sz w:val="23"/>
          <w:szCs w:val="23"/>
          <w:rtl/>
        </w:rPr>
        <w:t xml:space="preserve">نیز </w:t>
      </w:r>
      <w:r w:rsidRPr="00FE433F">
        <w:rPr>
          <w:rFonts w:eastAsia="Calibri"/>
          <w:i/>
          <w:sz w:val="23"/>
          <w:szCs w:val="23"/>
          <w:rtl/>
        </w:rPr>
        <w:t>اثر منف</w:t>
      </w:r>
      <w:r w:rsidRPr="00FE433F">
        <w:rPr>
          <w:rFonts w:eastAsia="Calibri" w:hint="cs"/>
          <w:i/>
          <w:sz w:val="23"/>
          <w:szCs w:val="23"/>
          <w:rtl/>
        </w:rPr>
        <w:t>ی</w:t>
      </w:r>
      <w:r w:rsidRPr="00FE433F">
        <w:rPr>
          <w:rFonts w:eastAsia="Calibri"/>
          <w:i/>
          <w:sz w:val="23"/>
          <w:szCs w:val="23"/>
          <w:rtl/>
        </w:rPr>
        <w:t xml:space="preserve"> نرخ بهره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اسم</w:t>
      </w:r>
      <w:r w:rsidRPr="00FE433F">
        <w:rPr>
          <w:rFonts w:eastAsia="Calibri" w:hint="cs"/>
          <w:i/>
          <w:sz w:val="23"/>
          <w:szCs w:val="23"/>
          <w:rtl/>
        </w:rPr>
        <w:t>ی</w:t>
      </w:r>
      <w:r w:rsidRPr="00FE433F">
        <w:rPr>
          <w:rFonts w:eastAsia="Calibri"/>
          <w:i/>
          <w:sz w:val="23"/>
          <w:szCs w:val="23"/>
          <w:rtl/>
        </w:rPr>
        <w:t xml:space="preserve"> در </w:t>
      </w:r>
      <w:r w:rsidRPr="00FE433F">
        <w:rPr>
          <w:rFonts w:eastAsia="Calibri" w:hint="cs"/>
          <w:i/>
          <w:sz w:val="23"/>
          <w:szCs w:val="23"/>
          <w:rtl/>
        </w:rPr>
        <w:t xml:space="preserve">تابع </w:t>
      </w:r>
      <w:r w:rsidRPr="00FE433F">
        <w:rPr>
          <w:rFonts w:eastAsia="Calibri"/>
          <w:i/>
          <w:sz w:val="23"/>
          <w:szCs w:val="23"/>
          <w:rtl/>
        </w:rPr>
        <w:t>تقاضا برا</w:t>
      </w:r>
      <w:r w:rsidRPr="00FE433F">
        <w:rPr>
          <w:rFonts w:eastAsia="Calibri" w:hint="cs"/>
          <w:i/>
          <w:sz w:val="23"/>
          <w:szCs w:val="23"/>
          <w:rtl/>
        </w:rPr>
        <w:t>ی</w:t>
      </w:r>
      <w:r w:rsidRPr="00FE433F">
        <w:rPr>
          <w:rFonts w:eastAsia="Calibri"/>
          <w:i/>
          <w:sz w:val="23"/>
          <w:szCs w:val="23"/>
          <w:rtl/>
        </w:rPr>
        <w:t xml:space="preserve"> پول را ملاحظه م</w:t>
      </w:r>
      <w:r w:rsidRPr="00FE433F">
        <w:rPr>
          <w:rFonts w:eastAsia="Calibri" w:hint="cs"/>
          <w:i/>
          <w:sz w:val="23"/>
          <w:szCs w:val="23"/>
          <w:rtl/>
        </w:rPr>
        <w:t>ی‌</w:t>
      </w:r>
      <w:r w:rsidRPr="00FE433F">
        <w:rPr>
          <w:rFonts w:eastAsia="Calibri"/>
          <w:i/>
          <w:sz w:val="23"/>
          <w:szCs w:val="23"/>
          <w:rtl/>
        </w:rPr>
        <w:t>کن</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ضمنا</w:t>
      </w:r>
      <w:r w:rsidRPr="00FE433F">
        <w:rPr>
          <w:rFonts w:hint="cs"/>
          <w:i/>
          <w:sz w:val="23"/>
          <w:szCs w:val="23"/>
          <w:rtl/>
        </w:rPr>
        <w:t>ً</w:t>
      </w:r>
      <w:r w:rsidRPr="00FE433F">
        <w:rPr>
          <w:rFonts w:eastAsia="Calibri"/>
          <w:i/>
          <w:sz w:val="23"/>
          <w:szCs w:val="23"/>
          <w:rtl/>
        </w:rPr>
        <w:t xml:space="preserve"> در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تابع وابستگ</w:t>
      </w:r>
      <w:r w:rsidRPr="00FE433F">
        <w:rPr>
          <w:rFonts w:eastAsia="Calibri" w:hint="cs"/>
          <w:i/>
          <w:sz w:val="23"/>
          <w:szCs w:val="23"/>
          <w:rtl/>
        </w:rPr>
        <w:t>ی</w:t>
      </w:r>
      <w:r w:rsidRPr="00FE433F">
        <w:rPr>
          <w:rFonts w:eastAsia="Calibri"/>
          <w:i/>
          <w:sz w:val="23"/>
          <w:szCs w:val="23"/>
          <w:rtl/>
        </w:rPr>
        <w:t xml:space="preserve"> تقاضا برا</w:t>
      </w:r>
      <w:r w:rsidRPr="00FE433F">
        <w:rPr>
          <w:rFonts w:eastAsia="Calibri" w:hint="cs"/>
          <w:i/>
          <w:sz w:val="23"/>
          <w:szCs w:val="23"/>
          <w:rtl/>
        </w:rPr>
        <w:t>ی</w:t>
      </w:r>
      <w:r w:rsidRPr="00FE433F">
        <w:rPr>
          <w:rFonts w:eastAsia="Calibri"/>
          <w:i/>
          <w:sz w:val="23"/>
          <w:szCs w:val="23"/>
          <w:rtl/>
        </w:rPr>
        <w:t xml:space="preserve"> پول</w:t>
      </w:r>
      <w:r w:rsidRPr="00FE433F">
        <w:rPr>
          <w:rFonts w:eastAsia="Calibri" w:hint="cs"/>
          <w:i/>
          <w:sz w:val="23"/>
          <w:szCs w:val="23"/>
          <w:rtl/>
        </w:rPr>
        <w:t xml:space="preserve"> </w:t>
      </w:r>
      <w:r w:rsidRPr="00FE433F">
        <w:rPr>
          <w:rFonts w:eastAsia="Calibri"/>
          <w:i/>
          <w:sz w:val="23"/>
          <w:szCs w:val="23"/>
          <w:rtl/>
        </w:rPr>
        <w:t>نسبت</w:t>
      </w:r>
      <w:r w:rsidRPr="00FE433F">
        <w:rPr>
          <w:rFonts w:eastAsia="Calibri" w:hint="cs"/>
          <w:i/>
          <w:sz w:val="23"/>
          <w:szCs w:val="23"/>
          <w:rtl/>
        </w:rPr>
        <w:t xml:space="preserve"> به </w:t>
      </w:r>
      <w:r w:rsidRPr="00FE433F">
        <w:rPr>
          <w:rFonts w:hint="cs"/>
          <w:i/>
          <w:sz w:val="23"/>
          <w:szCs w:val="23"/>
          <w:rtl/>
        </w:rPr>
        <w:t>‌</w:t>
      </w:r>
      <w:r w:rsidRPr="00FE433F">
        <w:rPr>
          <w:i/>
          <w:sz w:val="23"/>
          <w:szCs w:val="23"/>
          <w:rtl/>
        </w:rPr>
        <w:t>مدت</w:t>
      </w:r>
      <w:r w:rsidRPr="00FE433F">
        <w:rPr>
          <w:rFonts w:eastAsia="Calibri"/>
          <w:i/>
          <w:sz w:val="23"/>
          <w:szCs w:val="23"/>
          <w:rtl/>
        </w:rPr>
        <w:t xml:space="preserve"> زمان خر</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به اوقات فراغت ن</w:t>
      </w:r>
      <w:r w:rsidRPr="00FE433F">
        <w:rPr>
          <w:rFonts w:eastAsia="Calibri" w:hint="cs"/>
          <w:i/>
          <w:sz w:val="23"/>
          <w:szCs w:val="23"/>
          <w:rtl/>
        </w:rPr>
        <w:t>ی</w:t>
      </w:r>
      <w:r w:rsidRPr="00FE433F">
        <w:rPr>
          <w:rFonts w:eastAsia="Calibri" w:hint="eastAsia"/>
          <w:i/>
          <w:sz w:val="23"/>
          <w:szCs w:val="23"/>
          <w:rtl/>
        </w:rPr>
        <w:t>ز</w:t>
      </w:r>
      <w:r w:rsidRPr="00FE433F">
        <w:rPr>
          <w:rFonts w:eastAsia="Calibri"/>
          <w:i/>
          <w:sz w:val="23"/>
          <w:szCs w:val="23"/>
          <w:rtl/>
        </w:rPr>
        <w:t xml:space="preserve"> نشان داده شده است. چنانچه</w:t>
      </w:r>
      <w:r w:rsidRPr="00FE433F">
        <w:rPr>
          <w:position w:val="-30"/>
        </w:rPr>
        <w:object w:dxaOrig="1120" w:dyaOrig="660" w14:anchorId="3D189C94">
          <v:shape id="_x0000_i4214" type="#_x0000_t75" style="width:55.65pt;height:32.65pt" o:ole="">
            <v:imagedata r:id="rId6415" o:title=""/>
          </v:shape>
          <o:OLEObject Type="Embed" ProgID="Equation.DSMT4" ShapeID="_x0000_i4214" DrawAspect="Content" ObjectID="_1791378158" r:id="rId6416"/>
        </w:object>
      </w:r>
      <w:r w:rsidRPr="00FE433F">
        <w:rPr>
          <w:rFonts w:eastAsia="Calibri"/>
          <w:i/>
          <w:sz w:val="23"/>
          <w:szCs w:val="23"/>
          <w:rtl/>
        </w:rPr>
        <w:t xml:space="preserve"> مثبت باشد آنگاه 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i/>
          <w:sz w:val="23"/>
          <w:szCs w:val="23"/>
          <w:rtl/>
        </w:rPr>
        <w:t xml:space="preserve"> نسبت زمان خر</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به اوقات فراغت</w:t>
      </w:r>
      <w:r w:rsidRPr="00FE433F">
        <w:rPr>
          <w:rFonts w:hint="cs"/>
          <w:i/>
          <w:sz w:val="23"/>
          <w:szCs w:val="23"/>
          <w:rtl/>
        </w:rPr>
        <w:t>،</w:t>
      </w:r>
      <w:r w:rsidRPr="00FE433F">
        <w:rPr>
          <w:rFonts w:eastAsia="Calibri"/>
          <w:i/>
          <w:sz w:val="23"/>
          <w:szCs w:val="23"/>
          <w:rtl/>
        </w:rPr>
        <w:t xml:space="preserve"> تقاضا برا</w:t>
      </w:r>
      <w:r w:rsidRPr="00FE433F">
        <w:rPr>
          <w:rFonts w:eastAsia="Calibri" w:hint="cs"/>
          <w:i/>
          <w:sz w:val="23"/>
          <w:szCs w:val="23"/>
          <w:rtl/>
        </w:rPr>
        <w:t>ی</w:t>
      </w:r>
      <w:r w:rsidRPr="00FE433F">
        <w:rPr>
          <w:rFonts w:eastAsia="Calibri"/>
          <w:i/>
          <w:sz w:val="23"/>
          <w:szCs w:val="23"/>
          <w:rtl/>
        </w:rPr>
        <w:t xml:space="preserve"> پول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را 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i/>
          <w:sz w:val="23"/>
          <w:szCs w:val="23"/>
          <w:rtl/>
        </w:rPr>
        <w:t xml:space="preserve"> و بنابرا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هز</w:t>
      </w:r>
      <w:r w:rsidRPr="00FE433F">
        <w:rPr>
          <w:rFonts w:eastAsia="Calibri" w:hint="cs"/>
          <w:i/>
          <w:sz w:val="23"/>
          <w:szCs w:val="23"/>
          <w:rtl/>
        </w:rPr>
        <w:t>ی</w:t>
      </w:r>
      <w:r w:rsidRPr="00FE433F">
        <w:rPr>
          <w:rFonts w:eastAsia="Calibri" w:hint="eastAsia"/>
          <w:i/>
          <w:sz w:val="23"/>
          <w:szCs w:val="23"/>
          <w:rtl/>
        </w:rPr>
        <w:t>نه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خر</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را کاهش خواهد داد. با مقا</w:t>
      </w:r>
      <w:r w:rsidRPr="00FE433F">
        <w:rPr>
          <w:rFonts w:eastAsia="Calibri" w:hint="cs"/>
          <w:i/>
          <w:sz w:val="23"/>
          <w:szCs w:val="23"/>
          <w:rtl/>
        </w:rPr>
        <w:t>ی</w:t>
      </w:r>
      <w:r w:rsidRPr="00FE433F">
        <w:rPr>
          <w:rFonts w:eastAsia="Calibri" w:hint="eastAsia"/>
          <w:i/>
          <w:sz w:val="23"/>
          <w:szCs w:val="23"/>
          <w:rtl/>
        </w:rPr>
        <w:t>سه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مدل </w:t>
      </w:r>
      <w:r w:rsidRPr="00FE433F">
        <w:rPr>
          <w:i/>
          <w:sz w:val="23"/>
          <w:szCs w:val="23"/>
          <w:rtl/>
        </w:rPr>
        <w:t>پول به عنوان کالا</w:t>
      </w:r>
      <w:r w:rsidRPr="00FE433F">
        <w:rPr>
          <w:rFonts w:hint="cs"/>
          <w:i/>
          <w:sz w:val="23"/>
          <w:szCs w:val="23"/>
          <w:rtl/>
        </w:rPr>
        <w:t>ی</w:t>
      </w:r>
      <w:r w:rsidRPr="00FE433F">
        <w:rPr>
          <w:i/>
          <w:sz w:val="23"/>
          <w:szCs w:val="23"/>
          <w:rtl/>
        </w:rPr>
        <w:t xml:space="preserve"> واسطه و</w:t>
      </w:r>
      <w:r w:rsidRPr="00FE433F">
        <w:rPr>
          <w:rFonts w:hint="cs"/>
          <w:i/>
          <w:sz w:val="23"/>
          <w:szCs w:val="23"/>
          <w:rtl/>
        </w:rPr>
        <w:t xml:space="preserve"> </w:t>
      </w:r>
      <w:r w:rsidRPr="00FE433F">
        <w:rPr>
          <w:i/>
          <w:sz w:val="23"/>
          <w:szCs w:val="23"/>
        </w:rPr>
        <w:t>‌</w:t>
      </w:r>
      <w:r w:rsidRPr="00FE433F">
        <w:rPr>
          <w:rFonts w:hint="cs"/>
          <w:i/>
          <w:sz w:val="23"/>
          <w:szCs w:val="23"/>
          <w:rtl/>
        </w:rPr>
        <w:t>ی</w:t>
      </w:r>
      <w:r w:rsidRPr="00FE433F">
        <w:rPr>
          <w:i/>
          <w:sz w:val="23"/>
          <w:szCs w:val="23"/>
          <w:rtl/>
        </w:rPr>
        <w:t>ا مدل زمان-خر</w:t>
      </w:r>
      <w:r w:rsidRPr="00FE433F">
        <w:rPr>
          <w:rFonts w:hint="cs"/>
          <w:i/>
          <w:sz w:val="23"/>
          <w:szCs w:val="23"/>
          <w:rtl/>
        </w:rPr>
        <w:t>ی</w:t>
      </w:r>
      <w:r w:rsidRPr="00FE433F">
        <w:rPr>
          <w:rFonts w:hint="eastAsia"/>
          <w:i/>
          <w:sz w:val="23"/>
          <w:szCs w:val="23"/>
          <w:rtl/>
        </w:rPr>
        <w:t>د</w:t>
      </w:r>
      <w:r w:rsidRPr="00FE433F">
        <w:rPr>
          <w:rFonts w:hint="cs"/>
          <w:i/>
          <w:sz w:val="23"/>
          <w:szCs w:val="23"/>
          <w:rtl/>
        </w:rPr>
        <w:t xml:space="preserve"> </w:t>
      </w:r>
      <w:r w:rsidRPr="00FE433F">
        <w:rPr>
          <w:rFonts w:eastAsia="Calibri"/>
          <w:i/>
          <w:sz w:val="23"/>
          <w:szCs w:val="23"/>
        </w:rPr>
        <w:t>MIG</w:t>
      </w:r>
      <w:r w:rsidRPr="00FE433F">
        <w:rPr>
          <w:rFonts w:eastAsia="Calibri" w:hint="cs"/>
          <w:i/>
          <w:sz w:val="23"/>
          <w:szCs w:val="23"/>
          <w:rtl/>
        </w:rPr>
        <w:t>،</w:t>
      </w:r>
      <w:r w:rsidRPr="00FE433F">
        <w:rPr>
          <w:rFonts w:eastAsia="Calibri"/>
          <w:i/>
          <w:sz w:val="23"/>
          <w:szCs w:val="23"/>
          <w:rtl/>
        </w:rPr>
        <w:t xml:space="preserve"> با دو مدل </w:t>
      </w:r>
      <w:r w:rsidRPr="00FE433F">
        <w:rPr>
          <w:rFonts w:eastAsia="Calibri" w:hint="cs"/>
          <w:i/>
          <w:sz w:val="23"/>
          <w:szCs w:val="23"/>
          <w:rtl/>
        </w:rPr>
        <w:t xml:space="preserve">تقاضای </w:t>
      </w:r>
      <w:r w:rsidRPr="00FE433F">
        <w:rPr>
          <w:i/>
          <w:sz w:val="23"/>
          <w:szCs w:val="23"/>
          <w:rtl/>
        </w:rPr>
        <w:t>پول</w:t>
      </w:r>
      <w:r w:rsidRPr="00FE433F">
        <w:rPr>
          <w:rFonts w:hint="cs"/>
          <w:i/>
          <w:sz w:val="23"/>
          <w:szCs w:val="23"/>
          <w:rtl/>
        </w:rPr>
        <w:t xml:space="preserve"> برای خرید نقدی</w:t>
      </w:r>
      <w:r w:rsidRPr="00FE433F">
        <w:rPr>
          <w:i/>
          <w:sz w:val="23"/>
          <w:szCs w:val="23"/>
          <w:rtl/>
        </w:rPr>
        <w:t xml:space="preserve"> </w:t>
      </w:r>
      <w:r w:rsidRPr="00FE433F">
        <w:rPr>
          <w:i/>
          <w:sz w:val="23"/>
          <w:szCs w:val="23"/>
        </w:rPr>
        <w:t>CIA</w:t>
      </w:r>
      <w:r w:rsidRPr="00FE433F">
        <w:rPr>
          <w:i/>
          <w:sz w:val="23"/>
          <w:szCs w:val="23"/>
          <w:rtl/>
        </w:rPr>
        <w:t xml:space="preserve"> </w:t>
      </w:r>
      <w:r w:rsidRPr="00FE433F">
        <w:rPr>
          <w:rFonts w:eastAsia="Calibri"/>
          <w:i/>
          <w:sz w:val="23"/>
          <w:szCs w:val="23"/>
          <w:rtl/>
        </w:rPr>
        <w:t>و</w:t>
      </w:r>
      <w:r w:rsidRPr="00FE433F">
        <w:rPr>
          <w:rFonts w:eastAsia="Calibri" w:hint="cs"/>
          <w:i/>
          <w:sz w:val="23"/>
          <w:szCs w:val="23"/>
          <w:rtl/>
        </w:rPr>
        <w:t xml:space="preserve"> </w:t>
      </w:r>
      <w:r w:rsidRPr="00FE433F">
        <w:rPr>
          <w:i/>
          <w:sz w:val="23"/>
          <w:szCs w:val="23"/>
          <w:rtl/>
        </w:rPr>
        <w:t>پول در تابع مطلوب</w:t>
      </w:r>
      <w:r w:rsidRPr="00FE433F">
        <w:rPr>
          <w:rFonts w:hint="cs"/>
          <w:i/>
          <w:sz w:val="23"/>
          <w:szCs w:val="23"/>
          <w:rtl/>
        </w:rPr>
        <w:t>ی</w:t>
      </w:r>
      <w:r w:rsidRPr="00FE433F">
        <w:rPr>
          <w:rFonts w:hint="eastAsia"/>
          <w:i/>
          <w:sz w:val="23"/>
          <w:szCs w:val="23"/>
          <w:rtl/>
        </w:rPr>
        <w:t>ت</w:t>
      </w:r>
      <w:r w:rsidRPr="00FE433F">
        <w:rPr>
          <w:rFonts w:eastAsia="Calibri"/>
          <w:i/>
          <w:sz w:val="23"/>
          <w:szCs w:val="23"/>
          <w:rtl/>
        </w:rPr>
        <w:t xml:space="preserve"> </w:t>
      </w:r>
      <w:r w:rsidRPr="00FE433F">
        <w:rPr>
          <w:rFonts w:eastAsia="Calibri"/>
          <w:i/>
          <w:sz w:val="23"/>
          <w:szCs w:val="23"/>
        </w:rPr>
        <w:t>MIU</w:t>
      </w:r>
      <w:r w:rsidRPr="00FE433F">
        <w:rPr>
          <w:rFonts w:eastAsia="Calibri"/>
          <w:i/>
          <w:sz w:val="23"/>
          <w:szCs w:val="23"/>
          <w:rtl/>
        </w:rPr>
        <w:t xml:space="preserve"> ملاحظه م</w:t>
      </w:r>
      <w:r w:rsidRPr="00FE433F">
        <w:rPr>
          <w:rFonts w:eastAsia="Calibri" w:hint="cs"/>
          <w:i/>
          <w:sz w:val="23"/>
          <w:szCs w:val="23"/>
          <w:rtl/>
        </w:rPr>
        <w:t>ی‌کنیم</w:t>
      </w:r>
      <w:r w:rsidRPr="00FE433F">
        <w:rPr>
          <w:rFonts w:eastAsia="Calibri"/>
          <w:i/>
          <w:sz w:val="23"/>
          <w:szCs w:val="23"/>
          <w:rtl/>
        </w:rPr>
        <w:t xml:space="preserve"> که بر اساس 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زمان،</w:t>
      </w:r>
      <w:r w:rsidRPr="00FE433F">
        <w:rPr>
          <w:rFonts w:eastAsia="Calibri" w:hint="cs"/>
          <w:i/>
          <w:sz w:val="23"/>
          <w:szCs w:val="23"/>
          <w:rtl/>
        </w:rPr>
        <w:t xml:space="preserve"> </w:t>
      </w:r>
      <w:r w:rsidRPr="00FE433F">
        <w:rPr>
          <w:rFonts w:hint="cs"/>
          <w:i/>
          <w:sz w:val="23"/>
          <w:szCs w:val="23"/>
          <w:rtl/>
        </w:rPr>
        <w:t>‌</w:t>
      </w:r>
      <w:r w:rsidRPr="00FE433F">
        <w:rPr>
          <w:i/>
          <w:sz w:val="23"/>
          <w:szCs w:val="23"/>
          <w:rtl/>
        </w:rPr>
        <w:t>مدت</w:t>
      </w:r>
      <w:r w:rsidRPr="00FE433F">
        <w:rPr>
          <w:rFonts w:eastAsia="Calibri"/>
          <w:i/>
          <w:sz w:val="23"/>
          <w:szCs w:val="23"/>
          <w:rtl/>
        </w:rPr>
        <w:t xml:space="preserve"> زمان برا</w:t>
      </w:r>
      <w:r w:rsidRPr="00FE433F">
        <w:rPr>
          <w:rFonts w:eastAsia="Calibri" w:hint="cs"/>
          <w:i/>
          <w:sz w:val="23"/>
          <w:szCs w:val="23"/>
          <w:rtl/>
        </w:rPr>
        <w:t>ی</w:t>
      </w:r>
      <w:r w:rsidRPr="00FE433F">
        <w:rPr>
          <w:rFonts w:eastAsia="Calibri"/>
          <w:i/>
          <w:sz w:val="23"/>
          <w:szCs w:val="23"/>
          <w:rtl/>
        </w:rPr>
        <w:t xml:space="preserve"> خر</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باعث کاهش اوقات فراغت و احتمالاً</w:t>
      </w:r>
      <w:r w:rsidRPr="00FE433F">
        <w:rPr>
          <w:rFonts w:eastAsia="Calibri" w:hint="cs"/>
          <w:i/>
          <w:sz w:val="23"/>
          <w:szCs w:val="23"/>
          <w:rtl/>
        </w:rPr>
        <w:t xml:space="preserve"> </w:t>
      </w:r>
      <w:r w:rsidRPr="00FE433F">
        <w:rPr>
          <w:rFonts w:hint="cs"/>
          <w:i/>
          <w:sz w:val="23"/>
          <w:szCs w:val="23"/>
          <w:rtl/>
        </w:rPr>
        <w:t>‌</w:t>
      </w:r>
      <w:r w:rsidRPr="00FE433F">
        <w:rPr>
          <w:i/>
          <w:sz w:val="23"/>
          <w:szCs w:val="23"/>
          <w:rtl/>
        </w:rPr>
        <w:t>مدت</w:t>
      </w:r>
      <w:r w:rsidRPr="00FE433F">
        <w:rPr>
          <w:rFonts w:eastAsia="Calibri"/>
          <w:i/>
          <w:sz w:val="23"/>
          <w:szCs w:val="23"/>
          <w:rtl/>
        </w:rPr>
        <w:t xml:space="preserve"> زمان کار م</w:t>
      </w:r>
      <w:r w:rsidRPr="00FE433F">
        <w:rPr>
          <w:rFonts w:eastAsia="Calibri" w:hint="cs"/>
          <w:i/>
          <w:sz w:val="23"/>
          <w:szCs w:val="23"/>
          <w:rtl/>
        </w:rPr>
        <w:t>ی‌</w:t>
      </w:r>
      <w:r w:rsidRPr="00FE433F">
        <w:rPr>
          <w:rFonts w:eastAsia="Calibri"/>
          <w:i/>
          <w:sz w:val="23"/>
          <w:szCs w:val="23"/>
          <w:rtl/>
        </w:rPr>
        <w:t>شود، و با کاهش</w:t>
      </w:r>
      <w:r w:rsidRPr="00FE433F">
        <w:rPr>
          <w:rFonts w:hint="cs"/>
          <w:i/>
          <w:sz w:val="23"/>
          <w:szCs w:val="23"/>
          <w:rtl/>
        </w:rPr>
        <w:t xml:space="preserve">‌ </w:t>
      </w:r>
      <w:r w:rsidRPr="00FE433F">
        <w:rPr>
          <w:i/>
          <w:sz w:val="23"/>
          <w:szCs w:val="23"/>
          <w:rtl/>
        </w:rPr>
        <w:t>مدت</w:t>
      </w:r>
      <w:r w:rsidRPr="00FE433F">
        <w:rPr>
          <w:rFonts w:eastAsia="Calibri"/>
          <w:i/>
          <w:sz w:val="23"/>
          <w:szCs w:val="23"/>
          <w:rtl/>
        </w:rPr>
        <w:t xml:space="preserve"> زمان کار، درآمد و به تبع آن مخارج مصرف</w:t>
      </w:r>
      <w:r w:rsidRPr="00FE433F">
        <w:rPr>
          <w:rFonts w:eastAsia="Calibri" w:hint="cs"/>
          <w:i/>
          <w:sz w:val="23"/>
          <w:szCs w:val="23"/>
          <w:rtl/>
        </w:rPr>
        <w:t>ی</w:t>
      </w:r>
      <w:r w:rsidRPr="00FE433F">
        <w:rPr>
          <w:rFonts w:eastAsia="Calibri"/>
          <w:i/>
          <w:sz w:val="23"/>
          <w:szCs w:val="23"/>
          <w:rtl/>
        </w:rPr>
        <w:t xml:space="preserve"> خانوار کاهش م</w:t>
      </w:r>
      <w:r w:rsidRPr="00FE433F">
        <w:rPr>
          <w:rFonts w:eastAsia="Calibri" w:hint="cs"/>
          <w:i/>
          <w:sz w:val="23"/>
          <w:szCs w:val="23"/>
          <w:rtl/>
        </w:rPr>
        <w:t>ی‌ی</w:t>
      </w:r>
      <w:r w:rsidRPr="00FE433F">
        <w:rPr>
          <w:rFonts w:eastAsia="Calibri" w:hint="eastAsia"/>
          <w:i/>
          <w:sz w:val="23"/>
          <w:szCs w:val="23"/>
          <w:rtl/>
        </w:rPr>
        <w:t>ابد</w:t>
      </w:r>
      <w:r w:rsidRPr="00FE433F">
        <w:rPr>
          <w:rFonts w:eastAsia="Calibri"/>
          <w:i/>
          <w:sz w:val="23"/>
          <w:szCs w:val="23"/>
          <w:rtl/>
        </w:rPr>
        <w:t>. در سال‌ها</w:t>
      </w:r>
      <w:r w:rsidRPr="00FE433F">
        <w:rPr>
          <w:rFonts w:eastAsia="Calibri" w:hint="cs"/>
          <w:i/>
          <w:sz w:val="23"/>
          <w:szCs w:val="23"/>
          <w:rtl/>
        </w:rPr>
        <w:t>ی</w:t>
      </w:r>
      <w:r w:rsidRPr="00FE433F">
        <w:rPr>
          <w:rFonts w:eastAsia="Calibri"/>
          <w:i/>
          <w:sz w:val="23"/>
          <w:szCs w:val="23"/>
          <w:rtl/>
        </w:rPr>
        <w:t xml:space="preserve"> اخ</w:t>
      </w:r>
      <w:r w:rsidRPr="00FE433F">
        <w:rPr>
          <w:rFonts w:eastAsia="Calibri" w:hint="cs"/>
          <w:i/>
          <w:sz w:val="23"/>
          <w:szCs w:val="23"/>
          <w:rtl/>
        </w:rPr>
        <w:t>ی</w:t>
      </w:r>
      <w:r w:rsidRPr="00FE433F">
        <w:rPr>
          <w:rFonts w:eastAsia="Calibri" w:hint="eastAsia"/>
          <w:i/>
          <w:sz w:val="23"/>
          <w:szCs w:val="23"/>
          <w:rtl/>
        </w:rPr>
        <w:t>ر</w:t>
      </w:r>
      <w:r w:rsidRPr="00FE433F">
        <w:rPr>
          <w:rFonts w:eastAsia="Calibri"/>
          <w:i/>
          <w:sz w:val="23"/>
          <w:szCs w:val="23"/>
          <w:rtl/>
        </w:rPr>
        <w:t xml:space="preserve"> </w:t>
      </w:r>
      <w:r w:rsidRPr="00FE433F">
        <w:rPr>
          <w:rFonts w:eastAsia="Calibri" w:hint="eastAsia"/>
          <w:i/>
          <w:sz w:val="23"/>
          <w:szCs w:val="23"/>
          <w:rtl/>
        </w:rPr>
        <w:t>شاهد</w:t>
      </w:r>
      <w:r w:rsidRPr="00FE433F">
        <w:rPr>
          <w:rFonts w:eastAsia="Calibri"/>
          <w:i/>
          <w:sz w:val="23"/>
          <w:szCs w:val="23"/>
          <w:rtl/>
        </w:rPr>
        <w:t xml:space="preserve"> </w:t>
      </w:r>
      <w:r w:rsidRPr="00FE433F">
        <w:rPr>
          <w:rFonts w:eastAsia="Calibri" w:hint="eastAsia"/>
          <w:i/>
          <w:sz w:val="23"/>
          <w:szCs w:val="23"/>
          <w:rtl/>
        </w:rPr>
        <w:t>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i/>
          <w:sz w:val="23"/>
          <w:szCs w:val="23"/>
          <w:rtl/>
        </w:rPr>
        <w:t xml:space="preserve"> </w:t>
      </w:r>
      <w:r w:rsidRPr="00FE433F">
        <w:rPr>
          <w:rFonts w:eastAsia="Calibri" w:hint="cs"/>
          <w:i/>
          <w:sz w:val="23"/>
          <w:szCs w:val="23"/>
          <w:rtl/>
        </w:rPr>
        <w:t>چشم</w:t>
      </w:r>
      <w:r w:rsidRPr="00FE433F">
        <w:rPr>
          <w:rFonts w:eastAsia="Calibri"/>
          <w:i/>
          <w:sz w:val="23"/>
          <w:szCs w:val="23"/>
          <w:rtl/>
        </w:rPr>
        <w:softHyphen/>
      </w:r>
      <w:r w:rsidRPr="00FE433F">
        <w:rPr>
          <w:rFonts w:eastAsia="Calibri" w:hint="cs"/>
          <w:i/>
          <w:sz w:val="23"/>
          <w:szCs w:val="23"/>
          <w:rtl/>
        </w:rPr>
        <w:t xml:space="preserve">گیر </w:t>
      </w:r>
      <w:r w:rsidRPr="00FE433F">
        <w:rPr>
          <w:rFonts w:eastAsia="Calibri" w:hint="eastAsia"/>
          <w:i/>
          <w:sz w:val="23"/>
          <w:szCs w:val="23"/>
          <w:rtl/>
        </w:rPr>
        <w:t>خر</w:t>
      </w:r>
      <w:r w:rsidRPr="00FE433F">
        <w:rPr>
          <w:rFonts w:eastAsia="Calibri" w:hint="cs"/>
          <w:i/>
          <w:sz w:val="23"/>
          <w:szCs w:val="23"/>
          <w:rtl/>
        </w:rPr>
        <w:t>ی</w:t>
      </w:r>
      <w:r w:rsidRPr="00FE433F">
        <w:rPr>
          <w:rFonts w:eastAsia="Calibri" w:hint="eastAsia"/>
          <w:i/>
          <w:sz w:val="23"/>
          <w:szCs w:val="23"/>
          <w:rtl/>
        </w:rPr>
        <w:t>د</w:t>
      </w:r>
      <w:r w:rsidRPr="00FE433F">
        <w:rPr>
          <w:rFonts w:eastAsia="Calibri" w:hint="cs"/>
          <w:i/>
          <w:sz w:val="23"/>
          <w:szCs w:val="23"/>
          <w:rtl/>
        </w:rPr>
        <w:t>های</w:t>
      </w:r>
      <w:r w:rsidRPr="00FE433F">
        <w:rPr>
          <w:rFonts w:eastAsia="Calibri"/>
          <w:i/>
          <w:sz w:val="23"/>
          <w:szCs w:val="23"/>
          <w:rtl/>
        </w:rPr>
        <w:t xml:space="preserve"> </w:t>
      </w:r>
      <w:r w:rsidRPr="00FE433F">
        <w:rPr>
          <w:rFonts w:eastAsia="Calibri" w:hint="eastAsia"/>
          <w:i/>
          <w:sz w:val="23"/>
          <w:szCs w:val="23"/>
          <w:rtl/>
        </w:rPr>
        <w:t>آنلا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بوده</w:t>
      </w:r>
      <w:r w:rsidRPr="00FE433F">
        <w:rPr>
          <w:rFonts w:eastAsia="Calibri"/>
          <w:i/>
          <w:sz w:val="23"/>
          <w:szCs w:val="23"/>
          <w:rtl/>
        </w:rPr>
        <w:t xml:space="preserve"> </w:t>
      </w:r>
      <w:r w:rsidRPr="00FE433F">
        <w:rPr>
          <w:rFonts w:eastAsia="Calibri" w:hint="eastAsia"/>
          <w:i/>
          <w:sz w:val="23"/>
          <w:szCs w:val="23"/>
          <w:rtl/>
        </w:rPr>
        <w:t>که</w:t>
      </w:r>
      <w:r w:rsidRPr="00FE433F">
        <w:rPr>
          <w:rFonts w:eastAsia="Calibri"/>
          <w:i/>
          <w:sz w:val="23"/>
          <w:szCs w:val="23"/>
          <w:rtl/>
        </w:rPr>
        <w:t xml:space="preserve"> </w:t>
      </w:r>
      <w:r w:rsidRPr="00FE433F">
        <w:rPr>
          <w:rFonts w:eastAsia="Calibri" w:hint="eastAsia"/>
          <w:i/>
          <w:sz w:val="23"/>
          <w:szCs w:val="23"/>
          <w:rtl/>
        </w:rPr>
        <w:t>مستلزم</w:t>
      </w:r>
      <w:r w:rsidRPr="00FE433F">
        <w:rPr>
          <w:rFonts w:eastAsia="Calibri"/>
          <w:i/>
          <w:sz w:val="23"/>
          <w:szCs w:val="23"/>
          <w:rtl/>
        </w:rPr>
        <w:t xml:space="preserve"> </w:t>
      </w:r>
      <w:r w:rsidRPr="00FE433F">
        <w:rPr>
          <w:rFonts w:eastAsia="Calibri" w:hint="eastAsia"/>
          <w:i/>
          <w:sz w:val="23"/>
          <w:szCs w:val="23"/>
          <w:rtl/>
        </w:rPr>
        <w:t>استفاده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ب</w:t>
      </w:r>
      <w:r w:rsidRPr="00FE433F">
        <w:rPr>
          <w:rFonts w:eastAsia="Calibri" w:hint="cs"/>
          <w:i/>
          <w:sz w:val="23"/>
          <w:szCs w:val="23"/>
          <w:rtl/>
        </w:rPr>
        <w:t>ی</w:t>
      </w:r>
      <w:r w:rsidRPr="00FE433F">
        <w:rPr>
          <w:rFonts w:eastAsia="Calibri" w:hint="eastAsia"/>
          <w:i/>
          <w:sz w:val="23"/>
          <w:szCs w:val="23"/>
          <w:rtl/>
        </w:rPr>
        <w:t>شتر</w:t>
      </w:r>
      <w:r w:rsidRPr="00FE433F">
        <w:rPr>
          <w:rFonts w:eastAsia="Calibri"/>
          <w:i/>
          <w:sz w:val="23"/>
          <w:szCs w:val="23"/>
          <w:rtl/>
        </w:rPr>
        <w:t xml:space="preserve"> از کارت‌ها</w:t>
      </w:r>
      <w:r w:rsidRPr="00FE433F">
        <w:rPr>
          <w:rFonts w:eastAsia="Calibri" w:hint="cs"/>
          <w:i/>
          <w:sz w:val="23"/>
          <w:szCs w:val="23"/>
          <w:rtl/>
        </w:rPr>
        <w:t>ی</w:t>
      </w:r>
      <w:r w:rsidRPr="00FE433F">
        <w:rPr>
          <w:rFonts w:eastAsia="Calibri"/>
          <w:i/>
          <w:sz w:val="23"/>
          <w:szCs w:val="23"/>
          <w:rtl/>
        </w:rPr>
        <w:t xml:space="preserve"> اعتبار</w:t>
      </w:r>
      <w:r w:rsidRPr="00FE433F">
        <w:rPr>
          <w:rFonts w:eastAsia="Calibri" w:hint="cs"/>
          <w:i/>
          <w:sz w:val="23"/>
          <w:szCs w:val="23"/>
          <w:rtl/>
        </w:rPr>
        <w:t>ی</w:t>
      </w:r>
      <w:r w:rsidRPr="00FE433F">
        <w:rPr>
          <w:rFonts w:eastAsia="Calibri"/>
          <w:i/>
          <w:sz w:val="23"/>
          <w:szCs w:val="23"/>
          <w:rtl/>
        </w:rPr>
        <w:t xml:space="preserve"> و کارت‌ها</w:t>
      </w:r>
      <w:r w:rsidRPr="00FE433F">
        <w:rPr>
          <w:rFonts w:eastAsia="Calibri" w:hint="cs"/>
          <w:i/>
          <w:sz w:val="23"/>
          <w:szCs w:val="23"/>
          <w:rtl/>
        </w:rPr>
        <w:t>ی</w:t>
      </w:r>
      <w:r w:rsidRPr="00FE433F">
        <w:rPr>
          <w:rFonts w:eastAsia="Calibri"/>
          <w:i/>
          <w:sz w:val="23"/>
          <w:szCs w:val="23"/>
          <w:rtl/>
        </w:rPr>
        <w:t xml:space="preserve"> بده</w:t>
      </w:r>
      <w:r w:rsidRPr="00FE433F">
        <w:rPr>
          <w:rFonts w:eastAsia="Calibri" w:hint="cs"/>
          <w:i/>
          <w:sz w:val="23"/>
          <w:szCs w:val="23"/>
          <w:rtl/>
        </w:rPr>
        <w:t>ی</w:t>
      </w:r>
      <w:r w:rsidRPr="00FE433F">
        <w:rPr>
          <w:rFonts w:eastAsia="Calibri"/>
          <w:i/>
          <w:sz w:val="23"/>
          <w:szCs w:val="23"/>
          <w:rtl/>
        </w:rPr>
        <w:t xml:space="preserve"> است. خر</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آنلا</w:t>
      </w:r>
      <w:r w:rsidRPr="00FE433F">
        <w:rPr>
          <w:rFonts w:eastAsia="Calibri" w:hint="cs"/>
          <w:i/>
          <w:sz w:val="23"/>
          <w:szCs w:val="23"/>
          <w:rtl/>
        </w:rPr>
        <w:t>ی</w:t>
      </w:r>
      <w:r w:rsidRPr="00FE433F">
        <w:rPr>
          <w:rFonts w:eastAsia="Calibri" w:hint="eastAsia"/>
          <w:i/>
          <w:sz w:val="23"/>
          <w:szCs w:val="23"/>
          <w:rtl/>
        </w:rPr>
        <w:t>ن</w:t>
      </w:r>
      <w:r w:rsidRPr="00FE433F">
        <w:rPr>
          <w:rFonts w:hint="cs"/>
          <w:i/>
          <w:sz w:val="23"/>
          <w:szCs w:val="23"/>
          <w:rtl/>
        </w:rPr>
        <w:t xml:space="preserve">‌ </w:t>
      </w:r>
      <w:r w:rsidRPr="00FE433F">
        <w:rPr>
          <w:i/>
          <w:sz w:val="23"/>
          <w:szCs w:val="23"/>
          <w:rtl/>
        </w:rPr>
        <w:t>مدت</w:t>
      </w:r>
      <w:r w:rsidRPr="00FE433F">
        <w:rPr>
          <w:rFonts w:eastAsia="Calibri"/>
          <w:i/>
          <w:sz w:val="23"/>
          <w:szCs w:val="23"/>
          <w:rtl/>
        </w:rPr>
        <w:t xml:space="preserve"> </w:t>
      </w:r>
      <w:r w:rsidRPr="00FE433F">
        <w:rPr>
          <w:rFonts w:eastAsia="Calibri" w:hint="eastAsia"/>
          <w:i/>
          <w:sz w:val="23"/>
          <w:szCs w:val="23"/>
          <w:rtl/>
        </w:rPr>
        <w:t>زمان</w:t>
      </w:r>
      <w:r w:rsidRPr="00FE433F">
        <w:rPr>
          <w:rFonts w:eastAsia="Calibri"/>
          <w:i/>
          <w:sz w:val="23"/>
          <w:szCs w:val="23"/>
          <w:rtl/>
        </w:rPr>
        <w:t xml:space="preserve"> </w:t>
      </w:r>
      <w:r w:rsidRPr="00FE433F">
        <w:rPr>
          <w:rFonts w:eastAsia="Calibri" w:hint="eastAsia"/>
          <w:i/>
          <w:sz w:val="23"/>
          <w:szCs w:val="23"/>
          <w:rtl/>
        </w:rPr>
        <w:t>برا</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خر</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و</w:t>
      </w:r>
      <w:r w:rsidRPr="00FE433F">
        <w:rPr>
          <w:rFonts w:eastAsia="Calibri"/>
          <w:i/>
          <w:sz w:val="23"/>
          <w:szCs w:val="23"/>
          <w:rtl/>
        </w:rPr>
        <w:t xml:space="preserve"> </w:t>
      </w:r>
      <w:r w:rsidRPr="00FE433F">
        <w:rPr>
          <w:rFonts w:eastAsia="Calibri" w:hint="eastAsia"/>
          <w:i/>
          <w:sz w:val="23"/>
          <w:szCs w:val="23"/>
          <w:rtl/>
        </w:rPr>
        <w:t>تقاضا</w:t>
      </w:r>
      <w:r w:rsidRPr="00FE433F">
        <w:rPr>
          <w:rFonts w:eastAsia="Calibri"/>
          <w:i/>
          <w:sz w:val="23"/>
          <w:szCs w:val="23"/>
          <w:rtl/>
        </w:rPr>
        <w:t xml:space="preserve"> </w:t>
      </w:r>
      <w:r w:rsidRPr="00FE433F">
        <w:rPr>
          <w:rFonts w:eastAsia="Calibri" w:hint="eastAsia"/>
          <w:i/>
          <w:sz w:val="23"/>
          <w:szCs w:val="23"/>
          <w:rtl/>
        </w:rPr>
        <w:t>برا</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پول</w:t>
      </w:r>
      <w:r w:rsidRPr="00FE433F">
        <w:rPr>
          <w:rFonts w:eastAsia="Calibri"/>
          <w:i/>
          <w:sz w:val="23"/>
          <w:szCs w:val="23"/>
          <w:rtl/>
        </w:rPr>
        <w:t xml:space="preserve"> </w:t>
      </w:r>
      <w:r w:rsidRPr="00FE433F">
        <w:rPr>
          <w:rFonts w:eastAsia="Calibri" w:hint="eastAsia"/>
          <w:i/>
          <w:sz w:val="23"/>
          <w:szCs w:val="23"/>
          <w:rtl/>
        </w:rPr>
        <w:t>نقد</w:t>
      </w:r>
      <w:r w:rsidRPr="00FE433F">
        <w:rPr>
          <w:rFonts w:eastAsia="Calibri"/>
          <w:i/>
          <w:sz w:val="23"/>
          <w:szCs w:val="23"/>
          <w:rtl/>
        </w:rPr>
        <w:t xml:space="preserve"> </w:t>
      </w:r>
      <w:r w:rsidRPr="00FE433F">
        <w:rPr>
          <w:rFonts w:eastAsia="Calibri" w:hint="eastAsia"/>
          <w:i/>
          <w:sz w:val="23"/>
          <w:szCs w:val="23"/>
          <w:rtl/>
        </w:rPr>
        <w:t>را</w:t>
      </w:r>
      <w:r w:rsidRPr="00FE433F">
        <w:rPr>
          <w:rFonts w:eastAsia="Calibri"/>
          <w:i/>
          <w:sz w:val="23"/>
          <w:szCs w:val="23"/>
          <w:rtl/>
        </w:rPr>
        <w:t xml:space="preserve"> </w:t>
      </w:r>
      <w:r w:rsidRPr="00FE433F">
        <w:rPr>
          <w:rFonts w:eastAsia="Calibri" w:hint="eastAsia"/>
          <w:i/>
          <w:sz w:val="23"/>
          <w:szCs w:val="23"/>
          <w:rtl/>
        </w:rPr>
        <w:t>کاهش</w:t>
      </w:r>
      <w:r w:rsidRPr="00FE433F">
        <w:rPr>
          <w:rFonts w:eastAsia="Calibri" w:hint="cs"/>
          <w:i/>
          <w:sz w:val="23"/>
          <w:szCs w:val="23"/>
          <w:rtl/>
        </w:rPr>
        <w:t>،</w:t>
      </w:r>
      <w:r w:rsidRPr="00FE433F">
        <w:rPr>
          <w:rFonts w:eastAsia="Calibri"/>
          <w:i/>
          <w:sz w:val="23"/>
          <w:szCs w:val="23"/>
          <w:rtl/>
        </w:rPr>
        <w:t xml:space="preserve"> </w:t>
      </w:r>
      <w:r w:rsidRPr="00FE433F">
        <w:rPr>
          <w:rFonts w:eastAsia="Calibri" w:hint="eastAsia"/>
          <w:i/>
          <w:sz w:val="23"/>
          <w:szCs w:val="23"/>
          <w:rtl/>
        </w:rPr>
        <w:t>و</w:t>
      </w:r>
      <w:r w:rsidRPr="00FE433F">
        <w:rPr>
          <w:rFonts w:eastAsia="Calibri"/>
          <w:i/>
          <w:sz w:val="23"/>
          <w:szCs w:val="23"/>
          <w:rtl/>
        </w:rPr>
        <w:t xml:space="preserve"> </w:t>
      </w:r>
      <w:r w:rsidRPr="00FE433F">
        <w:rPr>
          <w:rFonts w:eastAsia="Calibri" w:hint="eastAsia"/>
          <w:i/>
          <w:sz w:val="23"/>
          <w:szCs w:val="23"/>
          <w:rtl/>
        </w:rPr>
        <w:t>بطور</w:t>
      </w:r>
      <w:r w:rsidRPr="00FE433F">
        <w:rPr>
          <w:rFonts w:eastAsia="Calibri"/>
          <w:i/>
          <w:sz w:val="23"/>
          <w:szCs w:val="23"/>
          <w:rtl/>
        </w:rPr>
        <w:t xml:space="preserve"> </w:t>
      </w:r>
      <w:r w:rsidRPr="00FE433F">
        <w:rPr>
          <w:rFonts w:eastAsia="Calibri" w:hint="eastAsia"/>
          <w:i/>
          <w:sz w:val="23"/>
          <w:szCs w:val="23"/>
          <w:rtl/>
        </w:rPr>
        <w:t>همزمان</w:t>
      </w:r>
      <w:r w:rsidRPr="00FE433F">
        <w:rPr>
          <w:rFonts w:eastAsia="Calibri"/>
          <w:i/>
          <w:sz w:val="23"/>
          <w:szCs w:val="23"/>
          <w:rtl/>
        </w:rPr>
        <w:t xml:space="preserve"> </w:t>
      </w:r>
      <w:r w:rsidRPr="00FE433F">
        <w:rPr>
          <w:rFonts w:eastAsia="Calibri" w:hint="eastAsia"/>
          <w:i/>
          <w:sz w:val="23"/>
          <w:szCs w:val="23"/>
          <w:rtl/>
        </w:rPr>
        <w:t>پول</w:t>
      </w:r>
      <w:r w:rsidRPr="00FE433F">
        <w:rPr>
          <w:rFonts w:eastAsia="Calibri"/>
          <w:i/>
          <w:sz w:val="23"/>
          <w:szCs w:val="23"/>
          <w:rtl/>
        </w:rPr>
        <w:t xml:space="preserve"> </w:t>
      </w:r>
      <w:r w:rsidRPr="00FE433F">
        <w:rPr>
          <w:rFonts w:eastAsia="Calibri" w:hint="eastAsia"/>
          <w:i/>
          <w:sz w:val="23"/>
          <w:szCs w:val="23"/>
          <w:rtl/>
        </w:rPr>
        <w:t>گسترده</w:t>
      </w:r>
      <w:r w:rsidRPr="00FE433F">
        <w:rPr>
          <w:rFonts w:eastAsia="Calibri"/>
          <w:i/>
          <w:sz w:val="23"/>
          <w:szCs w:val="23"/>
          <w:rtl/>
        </w:rPr>
        <w:t xml:space="preserve"> </w:t>
      </w:r>
      <w:r w:rsidRPr="00FE433F">
        <w:rPr>
          <w:rFonts w:eastAsia="Calibri" w:hint="eastAsia"/>
          <w:i/>
          <w:sz w:val="23"/>
          <w:szCs w:val="23"/>
          <w:rtl/>
        </w:rPr>
        <w:t>را</w:t>
      </w:r>
      <w:r w:rsidRPr="00FE433F">
        <w:rPr>
          <w:rFonts w:eastAsia="Calibri"/>
          <w:i/>
          <w:sz w:val="23"/>
          <w:szCs w:val="23"/>
          <w:rtl/>
        </w:rPr>
        <w:t xml:space="preserve"> </w:t>
      </w:r>
      <w:r w:rsidRPr="00FE433F">
        <w:rPr>
          <w:rFonts w:eastAsia="Calibri" w:hint="eastAsia"/>
          <w:i/>
          <w:sz w:val="23"/>
          <w:szCs w:val="23"/>
          <w:rtl/>
        </w:rPr>
        <w:t>بخاطر</w:t>
      </w:r>
      <w:r w:rsidRPr="00FE433F">
        <w:rPr>
          <w:rFonts w:eastAsia="Calibri"/>
          <w:i/>
          <w:sz w:val="23"/>
          <w:szCs w:val="23"/>
          <w:rtl/>
        </w:rPr>
        <w:t xml:space="preserve"> </w:t>
      </w:r>
      <w:r w:rsidRPr="00FE433F">
        <w:rPr>
          <w:rFonts w:eastAsia="Calibri" w:hint="eastAsia"/>
          <w:i/>
          <w:sz w:val="23"/>
          <w:szCs w:val="23"/>
          <w:rtl/>
        </w:rPr>
        <w:t>بده</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کارت</w:t>
      </w:r>
      <w:r w:rsidRPr="00FE433F">
        <w:rPr>
          <w:rFonts w:eastAsia="Calibri"/>
          <w:i/>
          <w:sz w:val="23"/>
          <w:szCs w:val="23"/>
          <w:rtl/>
        </w:rPr>
        <w:t>‌ها</w:t>
      </w:r>
      <w:r w:rsidRPr="00FE433F">
        <w:rPr>
          <w:rFonts w:eastAsia="Calibri" w:hint="cs"/>
          <w:i/>
          <w:sz w:val="23"/>
          <w:szCs w:val="23"/>
          <w:rtl/>
        </w:rPr>
        <w:t>ی</w:t>
      </w:r>
      <w:r w:rsidRPr="00FE433F">
        <w:rPr>
          <w:rFonts w:eastAsia="Calibri"/>
          <w:i/>
          <w:sz w:val="23"/>
          <w:szCs w:val="23"/>
          <w:rtl/>
        </w:rPr>
        <w:t xml:space="preserve"> اعتبار</w:t>
      </w:r>
      <w:r w:rsidRPr="00FE433F">
        <w:rPr>
          <w:rFonts w:eastAsia="Calibri" w:hint="cs"/>
          <w:i/>
          <w:sz w:val="23"/>
          <w:szCs w:val="23"/>
          <w:rtl/>
        </w:rPr>
        <w:t>ی</w:t>
      </w:r>
      <w:r w:rsidRPr="00FE433F">
        <w:rPr>
          <w:rFonts w:eastAsia="Calibri"/>
          <w:i/>
          <w:sz w:val="23"/>
          <w:szCs w:val="23"/>
          <w:rtl/>
        </w:rPr>
        <w:t xml:space="preserve"> 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i/>
          <w:sz w:val="23"/>
          <w:szCs w:val="23"/>
          <w:rtl/>
        </w:rPr>
        <w:t xml:space="preserve"> </w:t>
      </w:r>
      <w:r w:rsidRPr="00FE433F">
        <w:rPr>
          <w:rFonts w:eastAsia="Calibri" w:hint="eastAsia"/>
          <w:i/>
          <w:sz w:val="23"/>
          <w:szCs w:val="23"/>
          <w:rtl/>
        </w:rPr>
        <w:t>خواهد</w:t>
      </w:r>
      <w:r w:rsidRPr="00FE433F">
        <w:rPr>
          <w:rFonts w:eastAsia="Calibri"/>
          <w:i/>
          <w:sz w:val="23"/>
          <w:szCs w:val="23"/>
          <w:rtl/>
        </w:rPr>
        <w:t xml:space="preserve"> </w:t>
      </w:r>
      <w:r w:rsidRPr="00FE433F">
        <w:rPr>
          <w:rFonts w:eastAsia="Calibri" w:hint="eastAsia"/>
          <w:i/>
          <w:sz w:val="23"/>
          <w:szCs w:val="23"/>
          <w:rtl/>
        </w:rPr>
        <w:t>داد</w:t>
      </w:r>
      <w:r w:rsidRPr="00FE433F">
        <w:rPr>
          <w:rFonts w:eastAsia="Calibri"/>
          <w:i/>
          <w:sz w:val="23"/>
          <w:szCs w:val="23"/>
          <w:rtl/>
        </w:rPr>
        <w:t xml:space="preserve">. </w:t>
      </w:r>
      <w:r w:rsidRPr="00FE433F">
        <w:rPr>
          <w:rFonts w:eastAsia="Calibri" w:hint="eastAsia"/>
          <w:i/>
          <w:sz w:val="23"/>
          <w:szCs w:val="23"/>
          <w:rtl/>
        </w:rPr>
        <w:t>برا</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مطالعه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ب</w:t>
      </w:r>
      <w:r w:rsidRPr="00FE433F">
        <w:rPr>
          <w:rFonts w:eastAsia="Calibri" w:hint="cs"/>
          <w:i/>
          <w:sz w:val="23"/>
          <w:szCs w:val="23"/>
          <w:rtl/>
        </w:rPr>
        <w:t>ی</w:t>
      </w:r>
      <w:r w:rsidRPr="00FE433F">
        <w:rPr>
          <w:rFonts w:eastAsia="Calibri" w:hint="eastAsia"/>
          <w:i/>
          <w:sz w:val="23"/>
          <w:szCs w:val="23"/>
          <w:rtl/>
        </w:rPr>
        <w:t>شتر</w:t>
      </w:r>
      <w:r w:rsidRPr="00FE433F">
        <w:rPr>
          <w:rFonts w:eastAsia="Calibri"/>
          <w:i/>
          <w:sz w:val="23"/>
          <w:szCs w:val="23"/>
          <w:rtl/>
        </w:rPr>
        <w:t xml:space="preserve"> به فصول دوم و سوم کتاب والش</w:t>
      </w:r>
      <w:r w:rsidRPr="00FE433F">
        <w:rPr>
          <w:rStyle w:val="FootnoteReference"/>
          <w:rFonts w:eastAsiaTheme="majorEastAsia"/>
          <w:i/>
          <w:sz w:val="23"/>
          <w:szCs w:val="23"/>
          <w:rtl/>
        </w:rPr>
        <w:footnoteReference w:id="202"/>
      </w:r>
      <w:r w:rsidRPr="00FE433F">
        <w:rPr>
          <w:rFonts w:eastAsia="Calibri"/>
          <w:i/>
          <w:sz w:val="23"/>
          <w:szCs w:val="23"/>
          <w:rtl/>
        </w:rPr>
        <w:t xml:space="preserve"> مراجعه شود. </w:t>
      </w:r>
    </w:p>
    <w:p w14:paraId="55098D35" w14:textId="77777777" w:rsidR="00411620" w:rsidRPr="00FE433F" w:rsidRDefault="00411620" w:rsidP="00411620">
      <w:pPr>
        <w:spacing w:line="216" w:lineRule="auto"/>
        <w:rPr>
          <w:rFonts w:eastAsia="Calibri"/>
          <w:i/>
          <w:sz w:val="23"/>
          <w:szCs w:val="23"/>
        </w:rPr>
      </w:pPr>
    </w:p>
    <w:p w14:paraId="6A7B109B" w14:textId="77777777" w:rsidR="00411620" w:rsidRPr="00FE433F" w:rsidRDefault="00411620" w:rsidP="00411620">
      <w:pPr>
        <w:pStyle w:val="Heading1"/>
        <w:spacing w:before="0" w:after="0" w:line="216" w:lineRule="auto"/>
        <w:rPr>
          <w:rFonts w:ascii="Times New Roman" w:hAnsi="Times New Roman" w:cs="B Nazanin"/>
          <w:b w:val="0"/>
          <w:i/>
          <w:sz w:val="23"/>
          <w:szCs w:val="23"/>
          <w:rtl/>
        </w:rPr>
      </w:pPr>
      <w:r w:rsidRPr="00FE433F">
        <w:rPr>
          <w:rFonts w:ascii="Times New Roman" w:hAnsi="Times New Roman" w:cs="B Nazanin"/>
          <w:b w:val="0"/>
          <w:i/>
          <w:sz w:val="23"/>
          <w:szCs w:val="23"/>
          <w:rtl/>
        </w:rPr>
        <w:t>۸. ۸ خر</w:t>
      </w:r>
      <w:r w:rsidRPr="00FE433F">
        <w:rPr>
          <w:rFonts w:ascii="Times New Roman" w:hAnsi="Times New Roman" w:cs="B Nazanin" w:hint="cs"/>
          <w:b w:val="0"/>
          <w:i/>
          <w:sz w:val="23"/>
          <w:szCs w:val="23"/>
          <w:rtl/>
        </w:rPr>
        <w:t>ی</w:t>
      </w:r>
      <w:r w:rsidRPr="00FE433F">
        <w:rPr>
          <w:rFonts w:ascii="Times New Roman" w:hAnsi="Times New Roman" w:cs="B Nazanin" w:hint="eastAsia"/>
          <w:b w:val="0"/>
          <w:i/>
          <w:sz w:val="23"/>
          <w:szCs w:val="23"/>
          <w:rtl/>
        </w:rPr>
        <w:t>دها</w:t>
      </w:r>
      <w:r w:rsidRPr="00FE433F">
        <w:rPr>
          <w:rFonts w:ascii="Times New Roman" w:hAnsi="Times New Roman" w:cs="B Nazanin" w:hint="cs"/>
          <w:b w:val="0"/>
          <w:i/>
          <w:sz w:val="23"/>
          <w:szCs w:val="23"/>
          <w:rtl/>
        </w:rPr>
        <w:t>ی</w:t>
      </w:r>
      <w:r w:rsidRPr="00FE433F">
        <w:rPr>
          <w:rFonts w:ascii="Times New Roman" w:hAnsi="Times New Roman" w:cs="B Nazanin"/>
          <w:b w:val="0"/>
          <w:i/>
          <w:sz w:val="23"/>
          <w:szCs w:val="23"/>
          <w:rtl/>
        </w:rPr>
        <w:t xml:space="preserve"> نقد</w:t>
      </w:r>
      <w:r w:rsidRPr="00FE433F">
        <w:rPr>
          <w:rFonts w:ascii="Times New Roman" w:hAnsi="Times New Roman" w:cs="B Nazanin" w:hint="cs"/>
          <w:b w:val="0"/>
          <w:i/>
          <w:sz w:val="23"/>
          <w:szCs w:val="23"/>
          <w:rtl/>
        </w:rPr>
        <w:t>ی</w:t>
      </w:r>
      <w:r w:rsidRPr="00FE433F">
        <w:rPr>
          <w:rFonts w:ascii="Times New Roman" w:hAnsi="Times New Roman" w:cs="B Nazanin"/>
          <w:b w:val="0"/>
          <w:i/>
          <w:sz w:val="23"/>
          <w:szCs w:val="23"/>
          <w:rtl/>
        </w:rPr>
        <w:t xml:space="preserve"> و اعتبار</w:t>
      </w:r>
      <w:r w:rsidRPr="00FE433F">
        <w:rPr>
          <w:rFonts w:ascii="Times New Roman" w:hAnsi="Times New Roman" w:cs="B Nazanin" w:hint="cs"/>
          <w:b w:val="0"/>
          <w:i/>
          <w:sz w:val="23"/>
          <w:szCs w:val="23"/>
          <w:rtl/>
        </w:rPr>
        <w:t>ی</w:t>
      </w:r>
    </w:p>
    <w:p w14:paraId="0E38E8CC"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 xml:space="preserve">درعمل، </w:t>
      </w:r>
      <w:r w:rsidRPr="00FE433F">
        <w:rPr>
          <w:rFonts w:eastAsia="Calibri"/>
          <w:i/>
          <w:sz w:val="23"/>
          <w:szCs w:val="23"/>
          <w:rtl/>
        </w:rPr>
        <w:t>برخ</w:t>
      </w:r>
      <w:r w:rsidRPr="00FE433F">
        <w:rPr>
          <w:rFonts w:eastAsia="Calibri" w:hint="cs"/>
          <w:i/>
          <w:sz w:val="23"/>
          <w:szCs w:val="23"/>
          <w:rtl/>
        </w:rPr>
        <w:t>ی</w:t>
      </w:r>
      <w:r w:rsidRPr="00FE433F">
        <w:rPr>
          <w:rFonts w:eastAsia="Calibri"/>
          <w:i/>
          <w:sz w:val="23"/>
          <w:szCs w:val="23"/>
          <w:rtl/>
        </w:rPr>
        <w:t xml:space="preserve"> از کالاها بصورت نقد</w:t>
      </w:r>
      <w:r w:rsidRPr="00FE433F">
        <w:rPr>
          <w:rFonts w:eastAsia="Calibri" w:hint="cs"/>
          <w:i/>
          <w:sz w:val="23"/>
          <w:szCs w:val="23"/>
          <w:rtl/>
        </w:rPr>
        <w:t>ی</w:t>
      </w:r>
      <w:r w:rsidRPr="00FE433F">
        <w:rPr>
          <w:rFonts w:eastAsia="Calibri"/>
          <w:i/>
          <w:sz w:val="23"/>
          <w:szCs w:val="23"/>
          <w:rtl/>
        </w:rPr>
        <w:t xml:space="preserve"> </w:t>
      </w:r>
      <w:r w:rsidRPr="00FE433F">
        <w:rPr>
          <w:rFonts w:eastAsia="Calibri" w:hint="cs"/>
          <w:i/>
          <w:sz w:val="23"/>
          <w:szCs w:val="23"/>
          <w:rtl/>
        </w:rPr>
        <w:t xml:space="preserve">و برخی دیگر </w:t>
      </w:r>
      <w:r w:rsidRPr="00FE433F">
        <w:rPr>
          <w:rFonts w:eastAsia="Calibri"/>
          <w:i/>
          <w:sz w:val="23"/>
          <w:szCs w:val="23"/>
          <w:rtl/>
        </w:rPr>
        <w:t>به صورت اعتبار</w:t>
      </w:r>
      <w:r w:rsidRPr="00FE433F">
        <w:rPr>
          <w:rFonts w:eastAsia="Calibri" w:hint="cs"/>
          <w:i/>
          <w:sz w:val="23"/>
          <w:szCs w:val="23"/>
          <w:rtl/>
        </w:rPr>
        <w:t>ی</w:t>
      </w:r>
      <w:r w:rsidRPr="00FE433F">
        <w:rPr>
          <w:rFonts w:eastAsia="Calibri"/>
          <w:i/>
          <w:sz w:val="23"/>
          <w:szCs w:val="23"/>
          <w:rtl/>
        </w:rPr>
        <w:t xml:space="preserve"> خر</w:t>
      </w:r>
      <w:r w:rsidRPr="00FE433F">
        <w:rPr>
          <w:rFonts w:eastAsia="Calibri" w:hint="cs"/>
          <w:i/>
          <w:sz w:val="23"/>
          <w:szCs w:val="23"/>
          <w:rtl/>
        </w:rPr>
        <w:t>ی</w:t>
      </w:r>
      <w:r w:rsidRPr="00FE433F">
        <w:rPr>
          <w:rFonts w:eastAsia="Calibri" w:hint="eastAsia"/>
          <w:i/>
          <w:sz w:val="23"/>
          <w:szCs w:val="23"/>
          <w:rtl/>
        </w:rPr>
        <w:t>دار</w:t>
      </w:r>
      <w:r w:rsidRPr="00FE433F">
        <w:rPr>
          <w:rFonts w:eastAsia="Calibri" w:hint="cs"/>
          <w:i/>
          <w:sz w:val="23"/>
          <w:szCs w:val="23"/>
          <w:rtl/>
        </w:rPr>
        <w:t>ی</w:t>
      </w:r>
      <w:r w:rsidRPr="00FE433F">
        <w:rPr>
          <w:rFonts w:eastAsia="Calibri"/>
          <w:i/>
          <w:sz w:val="23"/>
          <w:szCs w:val="23"/>
          <w:rtl/>
        </w:rPr>
        <w:t xml:space="preserve"> </w:t>
      </w:r>
      <w:r w:rsidRPr="00FE433F">
        <w:rPr>
          <w:rFonts w:eastAsia="Calibri" w:hint="cs"/>
          <w:i/>
          <w:sz w:val="23"/>
          <w:szCs w:val="23"/>
          <w:rtl/>
        </w:rPr>
        <w:t>می</w:t>
      </w:r>
      <w:r w:rsidRPr="00FE433F">
        <w:rPr>
          <w:rFonts w:eastAsia="Calibri"/>
          <w:i/>
          <w:sz w:val="23"/>
          <w:szCs w:val="23"/>
          <w:rtl/>
        </w:rPr>
        <w:softHyphen/>
      </w:r>
      <w:r w:rsidRPr="00FE433F">
        <w:rPr>
          <w:rFonts w:eastAsia="Calibri" w:hint="cs"/>
          <w:i/>
          <w:sz w:val="23"/>
          <w:szCs w:val="23"/>
          <w:rtl/>
        </w:rPr>
        <w:t xml:space="preserve">شوند. </w:t>
      </w:r>
      <w:r w:rsidRPr="00FE433F">
        <w:rPr>
          <w:rFonts w:eastAsia="Calibri"/>
          <w:i/>
          <w:sz w:val="23"/>
          <w:szCs w:val="23"/>
          <w:rtl/>
        </w:rPr>
        <w:t>فرض کن</w:t>
      </w:r>
      <w:r w:rsidRPr="00FE433F">
        <w:rPr>
          <w:rFonts w:eastAsia="Calibri" w:hint="cs"/>
          <w:i/>
          <w:sz w:val="23"/>
          <w:szCs w:val="23"/>
          <w:rtl/>
        </w:rPr>
        <w:t>ی</w:t>
      </w:r>
      <w:r w:rsidRPr="00FE433F">
        <w:rPr>
          <w:rFonts w:eastAsia="Calibri" w:hint="eastAsia"/>
          <w:i/>
          <w:sz w:val="23"/>
          <w:szCs w:val="23"/>
          <w:rtl/>
        </w:rPr>
        <w:t>د</w:t>
      </w:r>
      <w:r w:rsidRPr="00FE433F">
        <w:rPr>
          <w:position w:val="-12"/>
        </w:rPr>
        <w:object w:dxaOrig="300" w:dyaOrig="340" w14:anchorId="743BAD4F">
          <v:shape id="_x0000_i4215" type="#_x0000_t75" style="width:15.15pt;height:16.95pt" o:ole="">
            <v:imagedata r:id="rId6417" o:title=""/>
          </v:shape>
          <o:OLEObject Type="Embed" ProgID="Equation.DSMT4" ShapeID="_x0000_i4215" DrawAspect="Content" ObjectID="_1791378159" r:id="rId6418"/>
        </w:object>
      </w:r>
      <w:r w:rsidRPr="00FE433F">
        <w:rPr>
          <w:rFonts w:eastAsia="Calibri"/>
          <w:i/>
          <w:sz w:val="23"/>
          <w:szCs w:val="23"/>
          <w:rtl/>
        </w:rPr>
        <w:t xml:space="preserve"> مصرف کالاها</w:t>
      </w:r>
      <w:r w:rsidRPr="00FE433F">
        <w:rPr>
          <w:rFonts w:eastAsia="Calibri" w:hint="cs"/>
          <w:i/>
          <w:sz w:val="23"/>
          <w:szCs w:val="23"/>
          <w:rtl/>
        </w:rPr>
        <w:t>یی</w:t>
      </w:r>
      <w:r w:rsidRPr="00FE433F">
        <w:rPr>
          <w:rFonts w:eastAsia="Calibri"/>
          <w:i/>
          <w:sz w:val="23"/>
          <w:szCs w:val="23"/>
          <w:rtl/>
        </w:rPr>
        <w:t xml:space="preserve"> است که فقط به صورت نقد</w:t>
      </w:r>
      <w:r w:rsidRPr="00FE433F">
        <w:rPr>
          <w:rFonts w:eastAsia="Calibri" w:hint="cs"/>
          <w:i/>
          <w:sz w:val="23"/>
          <w:szCs w:val="23"/>
          <w:rtl/>
        </w:rPr>
        <w:t>ی</w:t>
      </w:r>
      <w:r w:rsidRPr="00FE433F">
        <w:rPr>
          <w:rFonts w:eastAsia="Calibri"/>
          <w:i/>
          <w:sz w:val="23"/>
          <w:szCs w:val="23"/>
          <w:rtl/>
        </w:rPr>
        <w:t xml:space="preserve"> و</w:t>
      </w:r>
      <w:r w:rsidRPr="00FE433F">
        <w:rPr>
          <w:position w:val="-12"/>
        </w:rPr>
        <w:object w:dxaOrig="300" w:dyaOrig="340" w14:anchorId="30749DD8">
          <v:shape id="_x0000_i4216" type="#_x0000_t75" style="width:15.15pt;height:16.95pt" o:ole="">
            <v:imagedata r:id="rId6419" o:title=""/>
          </v:shape>
          <o:OLEObject Type="Embed" ProgID="Equation.DSMT4" ShapeID="_x0000_i4216" DrawAspect="Content" ObjectID="_1791378160" r:id="rId6420"/>
        </w:object>
      </w:r>
      <w:r w:rsidRPr="00FE433F">
        <w:rPr>
          <w:rFonts w:eastAsia="Calibri"/>
          <w:i/>
          <w:sz w:val="23"/>
          <w:szCs w:val="23"/>
          <w:rtl/>
        </w:rPr>
        <w:t xml:space="preserve"> مصرف د</w:t>
      </w:r>
      <w:r w:rsidRPr="00FE433F">
        <w:rPr>
          <w:rFonts w:eastAsia="Calibri" w:hint="cs"/>
          <w:i/>
          <w:sz w:val="23"/>
          <w:szCs w:val="23"/>
          <w:rtl/>
        </w:rPr>
        <w:t>ی</w:t>
      </w:r>
      <w:r w:rsidRPr="00FE433F">
        <w:rPr>
          <w:rFonts w:eastAsia="Calibri" w:hint="eastAsia"/>
          <w:i/>
          <w:sz w:val="23"/>
          <w:szCs w:val="23"/>
          <w:rtl/>
        </w:rPr>
        <w:t>گر</w:t>
      </w:r>
      <w:r w:rsidRPr="00FE433F">
        <w:rPr>
          <w:rFonts w:eastAsia="Calibri"/>
          <w:i/>
          <w:sz w:val="23"/>
          <w:szCs w:val="23"/>
          <w:rtl/>
        </w:rPr>
        <w:t xml:space="preserve"> کالاها</w:t>
      </w:r>
      <w:r w:rsidRPr="00FE433F">
        <w:rPr>
          <w:rFonts w:eastAsia="Calibri" w:hint="cs"/>
          <w:i/>
          <w:sz w:val="23"/>
          <w:szCs w:val="23"/>
          <w:rtl/>
        </w:rPr>
        <w:t>یی</w:t>
      </w:r>
      <w:r w:rsidRPr="00FE433F">
        <w:rPr>
          <w:rFonts w:eastAsia="Calibri"/>
          <w:i/>
          <w:sz w:val="23"/>
          <w:szCs w:val="23"/>
          <w:rtl/>
        </w:rPr>
        <w:t xml:space="preserve"> است که به صورت اعتبار</w:t>
      </w:r>
      <w:r w:rsidRPr="00FE433F">
        <w:rPr>
          <w:rFonts w:eastAsia="Calibri" w:hint="cs"/>
          <w:i/>
          <w:sz w:val="23"/>
          <w:szCs w:val="23"/>
          <w:rtl/>
        </w:rPr>
        <w:t>ی</w:t>
      </w:r>
      <w:r w:rsidRPr="00FE433F">
        <w:rPr>
          <w:rFonts w:eastAsia="Calibri"/>
          <w:i/>
          <w:sz w:val="23"/>
          <w:szCs w:val="23"/>
          <w:rtl/>
        </w:rPr>
        <w:t xml:space="preserve"> خر</w:t>
      </w:r>
      <w:r w:rsidRPr="00FE433F">
        <w:rPr>
          <w:rFonts w:eastAsia="Calibri" w:hint="cs"/>
          <w:i/>
          <w:sz w:val="23"/>
          <w:szCs w:val="23"/>
          <w:rtl/>
        </w:rPr>
        <w:t>ی</w:t>
      </w:r>
      <w:r w:rsidRPr="00FE433F">
        <w:rPr>
          <w:rFonts w:eastAsia="Calibri" w:hint="eastAsia"/>
          <w:i/>
          <w:sz w:val="23"/>
          <w:szCs w:val="23"/>
          <w:rtl/>
        </w:rPr>
        <w:t>دار</w:t>
      </w:r>
      <w:r w:rsidRPr="00FE433F">
        <w:rPr>
          <w:rFonts w:eastAsia="Calibri" w:hint="cs"/>
          <w:i/>
          <w:sz w:val="23"/>
          <w:szCs w:val="23"/>
          <w:rtl/>
        </w:rPr>
        <w:t>ی</w:t>
      </w:r>
      <w:r w:rsidRPr="00FE433F">
        <w:rPr>
          <w:rFonts w:eastAsia="Calibri"/>
          <w:i/>
          <w:sz w:val="23"/>
          <w:szCs w:val="23"/>
          <w:rtl/>
        </w:rPr>
        <w:t xml:space="preserve"> </w:t>
      </w:r>
      <w:r w:rsidRPr="00FE433F">
        <w:rPr>
          <w:rFonts w:eastAsia="Calibri"/>
          <w:i/>
          <w:sz w:val="23"/>
          <w:szCs w:val="23"/>
        </w:rPr>
        <w:t>‌</w:t>
      </w:r>
      <w:r w:rsidRPr="00FE433F">
        <w:rPr>
          <w:rFonts w:eastAsia="Calibri"/>
          <w:i/>
          <w:sz w:val="23"/>
          <w:szCs w:val="23"/>
          <w:rtl/>
        </w:rPr>
        <w:t xml:space="preserve">شوند. </w:t>
      </w:r>
      <w:r w:rsidRPr="00FE433F">
        <w:rPr>
          <w:rFonts w:eastAsia="Calibri" w:hint="cs"/>
          <w:i/>
          <w:sz w:val="23"/>
          <w:szCs w:val="23"/>
          <w:rtl/>
        </w:rPr>
        <w:t xml:space="preserve">قیمت این کالاها به ترتیب برابر است با </w:t>
      </w:r>
      <w:r w:rsidRPr="00FE433F">
        <w:rPr>
          <w:position w:val="-12"/>
        </w:rPr>
        <w:object w:dxaOrig="340" w:dyaOrig="340" w14:anchorId="04D841E9">
          <v:shape id="_x0000_i4217" type="#_x0000_t75" style="width:16.95pt;height:16.95pt" o:ole="">
            <v:imagedata r:id="rId6421" o:title=""/>
          </v:shape>
          <o:OLEObject Type="Embed" ProgID="Equation.DSMT4" ShapeID="_x0000_i4217" DrawAspect="Content" ObjectID="_1791378161" r:id="rId6422"/>
        </w:object>
      </w:r>
      <w:r w:rsidRPr="00FE433F">
        <w:rPr>
          <w:rFonts w:eastAsia="Calibri" w:hint="cs"/>
          <w:i/>
          <w:sz w:val="23"/>
          <w:szCs w:val="23"/>
          <w:rtl/>
        </w:rPr>
        <w:t xml:space="preserve"> و </w:t>
      </w:r>
      <w:r w:rsidRPr="00FE433F">
        <w:rPr>
          <w:position w:val="-12"/>
        </w:rPr>
        <w:object w:dxaOrig="340" w:dyaOrig="340" w14:anchorId="77654455">
          <v:shape id="_x0000_i4218" type="#_x0000_t75" style="width:16.95pt;height:16.95pt" o:ole="">
            <v:imagedata r:id="rId6423" o:title=""/>
          </v:shape>
          <o:OLEObject Type="Embed" ProgID="Equation.DSMT4" ShapeID="_x0000_i4218" DrawAspect="Content" ObjectID="_1791378162" r:id="rId6424"/>
        </w:object>
      </w:r>
      <w:r w:rsidRPr="00FE433F">
        <w:rPr>
          <w:i/>
          <w:sz w:val="23"/>
          <w:szCs w:val="23"/>
        </w:rPr>
        <w:t>.</w:t>
      </w:r>
      <w:r w:rsidRPr="00FE433F">
        <w:rPr>
          <w:rFonts w:eastAsia="Calibri" w:hint="cs"/>
          <w:i/>
          <w:sz w:val="23"/>
          <w:szCs w:val="23"/>
          <w:rtl/>
        </w:rPr>
        <w:t xml:space="preserve"> </w:t>
      </w:r>
      <w:r w:rsidRPr="00FE433F">
        <w:rPr>
          <w:rFonts w:eastAsia="Calibri"/>
          <w:i/>
          <w:sz w:val="23"/>
          <w:szCs w:val="23"/>
          <w:rtl/>
        </w:rPr>
        <w:t>برا</w:t>
      </w:r>
      <w:r w:rsidRPr="00FE433F">
        <w:rPr>
          <w:rFonts w:eastAsia="Calibri" w:hint="cs"/>
          <w:i/>
          <w:sz w:val="23"/>
          <w:szCs w:val="23"/>
          <w:rtl/>
        </w:rPr>
        <w:t>ی</w:t>
      </w:r>
      <w:r w:rsidRPr="00FE433F">
        <w:rPr>
          <w:rFonts w:eastAsia="Calibri"/>
          <w:i/>
          <w:sz w:val="23"/>
          <w:szCs w:val="23"/>
          <w:rtl/>
        </w:rPr>
        <w:t xml:space="preserve"> کالاها</w:t>
      </w:r>
      <w:r w:rsidRPr="00FE433F">
        <w:rPr>
          <w:rFonts w:eastAsia="Calibri" w:hint="cs"/>
          <w:i/>
          <w:sz w:val="23"/>
          <w:szCs w:val="23"/>
          <w:rtl/>
        </w:rPr>
        <w:t>یی</w:t>
      </w:r>
      <w:r w:rsidRPr="00FE433F">
        <w:rPr>
          <w:rFonts w:eastAsia="Calibri"/>
          <w:i/>
          <w:sz w:val="23"/>
          <w:szCs w:val="23"/>
          <w:rtl/>
        </w:rPr>
        <w:t xml:space="preserve"> که به صورت نقد</w:t>
      </w:r>
      <w:r w:rsidRPr="00FE433F">
        <w:rPr>
          <w:rFonts w:eastAsia="Calibri" w:hint="cs"/>
          <w:i/>
          <w:sz w:val="23"/>
          <w:szCs w:val="23"/>
          <w:rtl/>
        </w:rPr>
        <w:t>ی</w:t>
      </w:r>
      <w:r w:rsidRPr="00FE433F">
        <w:rPr>
          <w:rFonts w:eastAsia="Calibri"/>
          <w:i/>
          <w:sz w:val="23"/>
          <w:szCs w:val="23"/>
          <w:rtl/>
        </w:rPr>
        <w:t xml:space="preserve"> خر</w:t>
      </w:r>
      <w:r w:rsidRPr="00FE433F">
        <w:rPr>
          <w:rFonts w:eastAsia="Calibri" w:hint="cs"/>
          <w:i/>
          <w:sz w:val="23"/>
          <w:szCs w:val="23"/>
          <w:rtl/>
        </w:rPr>
        <w:t>ی</w:t>
      </w:r>
      <w:r w:rsidRPr="00FE433F">
        <w:rPr>
          <w:rFonts w:eastAsia="Calibri" w:hint="eastAsia"/>
          <w:i/>
          <w:sz w:val="23"/>
          <w:szCs w:val="23"/>
          <w:rtl/>
        </w:rPr>
        <w:t>دار</w:t>
      </w:r>
      <w:r w:rsidRPr="00FE433F">
        <w:rPr>
          <w:rFonts w:eastAsia="Calibri" w:hint="cs"/>
          <w:i/>
          <w:sz w:val="23"/>
          <w:szCs w:val="23"/>
          <w:rtl/>
        </w:rPr>
        <w:t>ی</w: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شوند 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مدل </w:t>
      </w:r>
      <w:r w:rsidRPr="00FE433F">
        <w:rPr>
          <w:rFonts w:eastAsia="Calibri"/>
          <w:i/>
          <w:sz w:val="23"/>
          <w:szCs w:val="23"/>
        </w:rPr>
        <w:t>CIA</w:t>
      </w:r>
      <w:r w:rsidRPr="00FE433F">
        <w:rPr>
          <w:rFonts w:eastAsia="Calibri" w:hint="eastAsia"/>
          <w:i/>
          <w:sz w:val="23"/>
          <w:szCs w:val="23"/>
        </w:rPr>
        <w:t>‌</w:t>
      </w:r>
      <w:r w:rsidRPr="00FE433F">
        <w:rPr>
          <w:rFonts w:eastAsia="Calibri"/>
          <w:i/>
          <w:sz w:val="23"/>
          <w:szCs w:val="23"/>
          <w:rtl/>
        </w:rPr>
        <w:t xml:space="preserve"> </w:t>
      </w:r>
      <w:r w:rsidRPr="00FE433F">
        <w:rPr>
          <w:rFonts w:eastAsia="Calibri" w:hint="cs"/>
          <w:i/>
          <w:sz w:val="23"/>
          <w:szCs w:val="23"/>
          <w:rtl/>
        </w:rPr>
        <w:t>ی</w:t>
      </w:r>
      <w:r w:rsidRPr="00FE433F">
        <w:rPr>
          <w:rFonts w:eastAsia="Calibri"/>
          <w:i/>
          <w:sz w:val="23"/>
          <w:szCs w:val="23"/>
          <w:rtl/>
        </w:rPr>
        <w:t>عن</w:t>
      </w:r>
      <w:r w:rsidRPr="00FE433F">
        <w:rPr>
          <w:rFonts w:eastAsia="Calibri" w:hint="cs"/>
          <w:i/>
          <w:sz w:val="23"/>
          <w:szCs w:val="23"/>
          <w:rtl/>
        </w:rPr>
        <w:t>ی</w:t>
      </w:r>
      <w:r w:rsidRPr="00FE433F">
        <w:rPr>
          <w:position w:val="-12"/>
        </w:rPr>
        <w:object w:dxaOrig="840" w:dyaOrig="340" w14:anchorId="02FB7608">
          <v:shape id="_x0000_i4219" type="#_x0000_t75" style="width:41.75pt;height:16.95pt" o:ole="">
            <v:imagedata r:id="rId6425" o:title=""/>
          </v:shape>
          <o:OLEObject Type="Embed" ProgID="Equation.DSMT4" ShapeID="_x0000_i4219" DrawAspect="Content" ObjectID="_1791378163" r:id="rId6426"/>
        </w:object>
      </w:r>
      <w:r w:rsidRPr="00FE433F">
        <w:rPr>
          <w:rFonts w:eastAsia="Calibri"/>
          <w:i/>
          <w:sz w:val="23"/>
          <w:szCs w:val="23"/>
          <w:rtl/>
        </w:rPr>
        <w:t xml:space="preserve"> </w:t>
      </w:r>
      <w:r w:rsidRPr="00FE433F">
        <w:rPr>
          <w:rFonts w:eastAsia="Calibri" w:hint="cs"/>
          <w:i/>
          <w:sz w:val="23"/>
          <w:szCs w:val="23"/>
          <w:rtl/>
        </w:rPr>
        <w:t>وجود دارد</w:t>
      </w:r>
      <w:r w:rsidRPr="00FE433F">
        <w:rPr>
          <w:rFonts w:eastAsia="Calibri"/>
          <w:i/>
          <w:sz w:val="23"/>
          <w:szCs w:val="23"/>
          <w:rtl/>
        </w:rPr>
        <w:t xml:space="preserve">، </w:t>
      </w:r>
      <w:r w:rsidRPr="00FE433F">
        <w:rPr>
          <w:rFonts w:eastAsia="Calibri" w:hint="cs"/>
          <w:i/>
          <w:sz w:val="23"/>
          <w:szCs w:val="23"/>
          <w:rtl/>
        </w:rPr>
        <w:t>و فرض می</w:t>
      </w:r>
      <w:r w:rsidRPr="00FE433F">
        <w:rPr>
          <w:rFonts w:eastAsia="Calibri"/>
          <w:i/>
          <w:sz w:val="23"/>
          <w:szCs w:val="23"/>
          <w:rtl/>
        </w:rPr>
        <w:softHyphen/>
      </w:r>
      <w:r w:rsidRPr="00FE433F">
        <w:rPr>
          <w:rFonts w:eastAsia="Calibri" w:hint="cs"/>
          <w:i/>
          <w:sz w:val="23"/>
          <w:szCs w:val="23"/>
          <w:rtl/>
        </w:rPr>
        <w:t xml:space="preserve">کنیم </w:t>
      </w:r>
      <w:r w:rsidRPr="00FE433F">
        <w:rPr>
          <w:rFonts w:eastAsia="Calibri"/>
          <w:i/>
          <w:sz w:val="23"/>
          <w:szCs w:val="23"/>
          <w:rtl/>
        </w:rPr>
        <w:t>برا</w:t>
      </w:r>
      <w:r w:rsidRPr="00FE433F">
        <w:rPr>
          <w:rFonts w:eastAsia="Calibri" w:hint="cs"/>
          <w:i/>
          <w:sz w:val="23"/>
          <w:szCs w:val="23"/>
          <w:rtl/>
        </w:rPr>
        <w:t>ی</w:t>
      </w:r>
      <w:r w:rsidRPr="00FE433F">
        <w:rPr>
          <w:rFonts w:eastAsia="Calibri"/>
          <w:i/>
          <w:sz w:val="23"/>
          <w:szCs w:val="23"/>
          <w:rtl/>
        </w:rPr>
        <w:t xml:space="preserve"> د</w:t>
      </w:r>
      <w:r w:rsidRPr="00FE433F">
        <w:rPr>
          <w:rFonts w:eastAsia="Calibri" w:hint="cs"/>
          <w:i/>
          <w:sz w:val="23"/>
          <w:szCs w:val="23"/>
          <w:rtl/>
        </w:rPr>
        <w:t>ی</w:t>
      </w:r>
      <w:r w:rsidRPr="00FE433F">
        <w:rPr>
          <w:rFonts w:eastAsia="Calibri" w:hint="eastAsia"/>
          <w:i/>
          <w:sz w:val="23"/>
          <w:szCs w:val="23"/>
          <w:rtl/>
        </w:rPr>
        <w:t>گر</w:t>
      </w:r>
      <w:r w:rsidRPr="00FE433F">
        <w:rPr>
          <w:rFonts w:eastAsia="Calibri"/>
          <w:i/>
          <w:sz w:val="23"/>
          <w:szCs w:val="23"/>
          <w:rtl/>
        </w:rPr>
        <w:t xml:space="preserve"> </w:t>
      </w:r>
      <w:r w:rsidRPr="00FE433F">
        <w:rPr>
          <w:rFonts w:eastAsia="Calibri" w:hint="eastAsia"/>
          <w:i/>
          <w:sz w:val="23"/>
          <w:szCs w:val="23"/>
          <w:rtl/>
        </w:rPr>
        <w:t>کالاها</w:t>
      </w:r>
      <w:r w:rsidRPr="00FE433F">
        <w:rPr>
          <w:rFonts w:hint="cs"/>
          <w:i/>
          <w:sz w:val="23"/>
          <w:szCs w:val="23"/>
          <w:rtl/>
        </w:rPr>
        <w:t xml:space="preserve"> که بصورت</w:t>
      </w:r>
      <w:r w:rsidRPr="00FE433F">
        <w:rPr>
          <w:rFonts w:eastAsia="Calibri"/>
          <w:i/>
          <w:sz w:val="23"/>
          <w:szCs w:val="23"/>
          <w:rtl/>
        </w:rPr>
        <w:t xml:space="preserve"> اعتبار</w:t>
      </w:r>
      <w:r w:rsidRPr="00FE433F">
        <w:rPr>
          <w:rFonts w:eastAsia="Calibri" w:hint="cs"/>
          <w:i/>
          <w:sz w:val="23"/>
          <w:szCs w:val="23"/>
          <w:rtl/>
        </w:rPr>
        <w:t>ی خریداری می</w:t>
      </w:r>
      <w:r w:rsidRPr="00FE433F">
        <w:rPr>
          <w:rFonts w:eastAsia="Calibri"/>
          <w:i/>
          <w:sz w:val="23"/>
          <w:szCs w:val="23"/>
          <w:rtl/>
        </w:rPr>
        <w:softHyphen/>
      </w:r>
      <w:r w:rsidRPr="00FE433F">
        <w:rPr>
          <w:rFonts w:eastAsia="Calibri" w:hint="cs"/>
          <w:i/>
          <w:sz w:val="23"/>
          <w:szCs w:val="23"/>
          <w:rtl/>
        </w:rPr>
        <w:t>شوند</w:t>
      </w:r>
      <w:r w:rsidRPr="00FE433F">
        <w:rPr>
          <w:rFonts w:hint="cs"/>
          <w:i/>
          <w:sz w:val="23"/>
          <w:szCs w:val="23"/>
          <w:rtl/>
        </w:rPr>
        <w:t>،</w:t>
      </w:r>
      <w:r w:rsidRPr="00FE433F">
        <w:rPr>
          <w:rFonts w:eastAsia="Calibri"/>
          <w:i/>
          <w:sz w:val="23"/>
          <w:szCs w:val="23"/>
          <w:rtl/>
        </w:rPr>
        <w:t xml:space="preserve"> </w:t>
      </w:r>
      <w:r w:rsidRPr="00FE433F">
        <w:rPr>
          <w:rFonts w:eastAsia="Calibri" w:hint="cs"/>
          <w:i/>
          <w:sz w:val="23"/>
          <w:szCs w:val="23"/>
          <w:rtl/>
        </w:rPr>
        <w:t>قرض یک دوره</w:t>
      </w:r>
      <w:r w:rsidRPr="00FE433F">
        <w:rPr>
          <w:rFonts w:eastAsia="Calibri"/>
          <w:i/>
          <w:sz w:val="23"/>
          <w:szCs w:val="23"/>
          <w:rtl/>
        </w:rPr>
        <w:softHyphen/>
      </w:r>
      <w:r w:rsidRPr="00FE433F">
        <w:rPr>
          <w:rFonts w:eastAsia="Calibri" w:hint="cs"/>
          <w:i/>
          <w:sz w:val="23"/>
          <w:szCs w:val="23"/>
          <w:rtl/>
        </w:rPr>
        <w:t>ای و بازپرداخت آن در شروع دوره</w:t>
      </w:r>
      <w:r w:rsidRPr="00FE433F">
        <w:rPr>
          <w:rFonts w:eastAsia="Calibri"/>
          <w:i/>
          <w:sz w:val="23"/>
          <w:szCs w:val="23"/>
          <w:rtl/>
        </w:rPr>
        <w:softHyphen/>
      </w:r>
      <w:r w:rsidRPr="00FE433F">
        <w:rPr>
          <w:rFonts w:eastAsia="Calibri" w:hint="cs"/>
          <w:i/>
          <w:sz w:val="23"/>
          <w:szCs w:val="23"/>
          <w:rtl/>
        </w:rPr>
        <w:t>ی بعد با نرخ بهره</w:t>
      </w:r>
      <w:r w:rsidRPr="00FE433F">
        <w:rPr>
          <w:rFonts w:eastAsia="Calibri"/>
          <w:i/>
          <w:sz w:val="23"/>
          <w:szCs w:val="23"/>
          <w:rtl/>
        </w:rPr>
        <w:softHyphen/>
      </w:r>
      <w:r w:rsidRPr="00FE433F">
        <w:rPr>
          <w:rFonts w:eastAsia="Calibri" w:hint="cs"/>
          <w:i/>
          <w:sz w:val="23"/>
          <w:szCs w:val="23"/>
          <w:rtl/>
        </w:rPr>
        <w:t xml:space="preserve">ی اسمی </w:t>
      </w:r>
      <w:r w:rsidRPr="00FE433F">
        <w:rPr>
          <w:position w:val="-10"/>
        </w:rPr>
        <w:object w:dxaOrig="580" w:dyaOrig="300" w14:anchorId="03EBBBD8">
          <v:shape id="_x0000_i4220" type="#_x0000_t75" style="width:29.05pt;height:15.15pt" o:ole="">
            <v:imagedata r:id="rId6427" o:title=""/>
          </v:shape>
          <o:OLEObject Type="Embed" ProgID="Equation.DSMT4" ShapeID="_x0000_i4220" DrawAspect="Content" ObjectID="_1791378164" r:id="rId6428"/>
        </w:object>
      </w:r>
      <w:r w:rsidRPr="00FE433F">
        <w:rPr>
          <w:rFonts w:hint="cs"/>
          <w:i/>
          <w:sz w:val="23"/>
          <w:szCs w:val="23"/>
          <w:rtl/>
        </w:rPr>
        <w:t xml:space="preserve"> وجود دارد، </w:t>
      </w:r>
      <w:r w:rsidRPr="00FE433F">
        <w:rPr>
          <w:rFonts w:eastAsia="Calibri"/>
          <w:i/>
          <w:sz w:val="23"/>
          <w:szCs w:val="23"/>
          <w:rtl/>
        </w:rPr>
        <w:t xml:space="preserve">که در </w:t>
      </w:r>
      <w:r w:rsidRPr="00FE433F">
        <w:rPr>
          <w:rFonts w:eastAsia="Calibri" w:hint="cs"/>
          <w:i/>
          <w:sz w:val="23"/>
          <w:szCs w:val="23"/>
          <w:rtl/>
        </w:rPr>
        <w:t xml:space="preserve">آن </w:t>
      </w:r>
      <w:r w:rsidRPr="00FE433F">
        <w:rPr>
          <w:position w:val="-6"/>
        </w:rPr>
        <w:object w:dxaOrig="240" w:dyaOrig="260" w14:anchorId="05920406">
          <v:shape id="_x0000_i4221" type="#_x0000_t75" style="width:12.1pt;height:13.3pt" o:ole="">
            <v:imagedata r:id="rId6429" o:title=""/>
          </v:shape>
          <o:OLEObject Type="Embed" ProgID="Equation.DSMT4" ShapeID="_x0000_i4221" DrawAspect="Content" ObjectID="_1791378165" r:id="rId6430"/>
        </w:object>
      </w:r>
      <w:r w:rsidRPr="00FE433F">
        <w:rPr>
          <w:rFonts w:eastAsia="Calibri" w:hint="cs"/>
          <w:i/>
          <w:sz w:val="23"/>
          <w:szCs w:val="23"/>
          <w:rtl/>
        </w:rPr>
        <w:t xml:space="preserve"> نرخ بهره</w:t>
      </w:r>
      <w:r w:rsidRPr="00FE433F">
        <w:rPr>
          <w:rFonts w:eastAsia="Calibri"/>
          <w:i/>
          <w:sz w:val="23"/>
          <w:szCs w:val="23"/>
          <w:rtl/>
        </w:rPr>
        <w:softHyphen/>
      </w:r>
      <w:r w:rsidRPr="00FE433F">
        <w:rPr>
          <w:rFonts w:eastAsia="Calibri" w:hint="cs"/>
          <w:i/>
          <w:sz w:val="23"/>
          <w:szCs w:val="23"/>
          <w:rtl/>
        </w:rPr>
        <w:t>ی یک دوره</w:t>
      </w:r>
      <w:r w:rsidRPr="00FE433F">
        <w:rPr>
          <w:rFonts w:eastAsia="Calibri"/>
          <w:i/>
          <w:sz w:val="23"/>
          <w:szCs w:val="23"/>
          <w:rtl/>
        </w:rPr>
        <w:softHyphen/>
      </w:r>
      <w:r w:rsidRPr="00FE433F">
        <w:rPr>
          <w:rFonts w:eastAsia="Calibri" w:hint="cs"/>
          <w:i/>
          <w:sz w:val="23"/>
          <w:szCs w:val="23"/>
          <w:rtl/>
        </w:rPr>
        <w:t xml:space="preserve">ای اوراق قرضه و </w:t>
      </w:r>
      <w:r w:rsidRPr="00FE433F">
        <w:rPr>
          <w:position w:val="-10"/>
        </w:rPr>
        <w:object w:dxaOrig="220" w:dyaOrig="240" w14:anchorId="4DB10747">
          <v:shape id="_x0000_i4222" type="#_x0000_t75" style="width:10.9pt;height:12.1pt" o:ole="">
            <v:imagedata r:id="rId6431" o:title=""/>
          </v:shape>
          <o:OLEObject Type="Embed" ProgID="Equation.DSMT4" ShapeID="_x0000_i4222" DrawAspect="Content" ObjectID="_1791378166" r:id="rId6432"/>
        </w:object>
      </w:r>
      <w:r w:rsidRPr="00FE433F">
        <w:rPr>
          <w:rFonts w:eastAsia="Calibri"/>
          <w:i/>
          <w:sz w:val="23"/>
          <w:szCs w:val="23"/>
          <w:rtl/>
        </w:rPr>
        <w:t xml:space="preserve"> </w:t>
      </w:r>
      <w:r w:rsidRPr="00FE433F">
        <w:rPr>
          <w:rFonts w:eastAsia="Calibri" w:hint="cs"/>
          <w:i/>
          <w:sz w:val="23"/>
          <w:szCs w:val="23"/>
          <w:rtl/>
        </w:rPr>
        <w:t>هزینه</w:t>
      </w:r>
      <w:r w:rsidRPr="00FE433F">
        <w:rPr>
          <w:rFonts w:eastAsia="Calibri"/>
          <w:i/>
          <w:sz w:val="23"/>
          <w:szCs w:val="23"/>
          <w:rtl/>
        </w:rPr>
        <w:softHyphen/>
      </w:r>
      <w:r w:rsidRPr="00FE433F">
        <w:rPr>
          <w:rFonts w:eastAsia="Calibri" w:hint="cs"/>
          <w:i/>
          <w:sz w:val="23"/>
          <w:szCs w:val="23"/>
          <w:rtl/>
        </w:rPr>
        <w:t xml:space="preserve">ی اضافی اعتبار است. </w:t>
      </w:r>
    </w:p>
    <w:p w14:paraId="38478F76"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lastRenderedPageBreak/>
        <w:t xml:space="preserve">فرض </w:t>
      </w:r>
      <w:r w:rsidRPr="00FE433F">
        <w:rPr>
          <w:rFonts w:eastAsia="Calibri" w:hint="cs"/>
          <w:i/>
          <w:sz w:val="23"/>
          <w:szCs w:val="23"/>
          <w:rtl/>
        </w:rPr>
        <w:t>می</w:t>
      </w:r>
      <w:r w:rsidRPr="00FE433F">
        <w:rPr>
          <w:rFonts w:eastAsia="Calibri"/>
          <w:i/>
          <w:sz w:val="23"/>
          <w:szCs w:val="23"/>
          <w:rtl/>
        </w:rPr>
        <w:softHyphen/>
      </w:r>
      <w:r w:rsidRPr="00FE433F">
        <w:rPr>
          <w:rFonts w:eastAsia="Calibri" w:hint="cs"/>
          <w:i/>
          <w:sz w:val="23"/>
          <w:szCs w:val="23"/>
          <w:rtl/>
        </w:rPr>
        <w:t>شود خانوار بدنبال حداکثر کردن مطلوبیت بین</w:t>
      </w:r>
      <w:r w:rsidRPr="00FE433F">
        <w:rPr>
          <w:rFonts w:eastAsia="Calibri"/>
          <w:i/>
          <w:sz w:val="23"/>
          <w:szCs w:val="23"/>
          <w:rtl/>
        </w:rPr>
        <w:softHyphen/>
      </w:r>
      <w:r w:rsidRPr="00FE433F">
        <w:rPr>
          <w:rFonts w:eastAsia="Calibri" w:hint="cs"/>
          <w:i/>
          <w:sz w:val="23"/>
          <w:szCs w:val="23"/>
          <w:rtl/>
        </w:rPr>
        <w:t>دوره</w:t>
      </w:r>
      <w:r w:rsidRPr="00FE433F">
        <w:rPr>
          <w:rFonts w:eastAsia="Calibri"/>
          <w:i/>
          <w:sz w:val="23"/>
          <w:szCs w:val="23"/>
          <w:rtl/>
        </w:rPr>
        <w:softHyphen/>
      </w:r>
      <w:r w:rsidRPr="00FE433F">
        <w:rPr>
          <w:rFonts w:eastAsia="Calibri" w:hint="cs"/>
          <w:i/>
          <w:sz w:val="23"/>
          <w:szCs w:val="23"/>
          <w:rtl/>
        </w:rPr>
        <w:t xml:space="preserve">ای </w:t>
      </w:r>
      <w:r w:rsidRPr="00FE433F">
        <w:rPr>
          <w:position w:val="-26"/>
        </w:rPr>
        <w:object w:dxaOrig="1180" w:dyaOrig="620" w14:anchorId="1B7106B7">
          <v:shape id="_x0000_i4223" type="#_x0000_t75" style="width:58.7pt;height:30.85pt" o:ole="">
            <v:imagedata r:id="rId6433" o:title=""/>
          </v:shape>
          <o:OLEObject Type="Embed" ProgID="Equation.DSMT4" ShapeID="_x0000_i4223" DrawAspect="Content" ObjectID="_1791378167" r:id="rId6434"/>
        </w:object>
      </w:r>
      <w:r w:rsidRPr="00FE433F">
        <w:rPr>
          <w:rFonts w:eastAsia="Calibri" w:hint="cs"/>
          <w:i/>
          <w:sz w:val="23"/>
          <w:szCs w:val="23"/>
          <w:rtl/>
        </w:rPr>
        <w:t xml:space="preserve"> نسبت به قید بودجه</w:t>
      </w:r>
      <w:r w:rsidRPr="00FE433F">
        <w:rPr>
          <w:rFonts w:eastAsia="Calibri"/>
          <w:i/>
          <w:sz w:val="23"/>
          <w:szCs w:val="23"/>
          <w:rtl/>
        </w:rPr>
        <w:softHyphen/>
      </w:r>
      <w:r w:rsidRPr="00FE433F">
        <w:rPr>
          <w:rFonts w:eastAsia="Calibri" w:hint="cs"/>
          <w:i/>
          <w:sz w:val="23"/>
          <w:szCs w:val="23"/>
          <w:rtl/>
        </w:rPr>
        <w:t xml:space="preserve">ی اسمی </w:t>
      </w:r>
    </w:p>
    <w:p w14:paraId="2C5761EF" w14:textId="77777777" w:rsidR="00411620" w:rsidRPr="00FE433F" w:rsidRDefault="00411620" w:rsidP="00411620">
      <w:pPr>
        <w:bidi w:val="0"/>
        <w:spacing w:line="216" w:lineRule="auto"/>
        <w:rPr>
          <w:rFonts w:eastAsia="Calibri"/>
          <w:i/>
          <w:sz w:val="23"/>
          <w:szCs w:val="23"/>
          <w:rtl/>
        </w:rPr>
      </w:pPr>
      <w:r w:rsidRPr="00FE433F">
        <w:rPr>
          <w:position w:val="-12"/>
        </w:rPr>
        <w:object w:dxaOrig="4860" w:dyaOrig="360" w14:anchorId="5A1B57D8">
          <v:shape id="_x0000_i4224" type="#_x0000_t75" style="width:243.25pt;height:18.15pt" o:ole="">
            <v:imagedata r:id="rId6435" o:title=""/>
          </v:shape>
          <o:OLEObject Type="Embed" ProgID="Equation.DSMT4" ShapeID="_x0000_i4224" DrawAspect="Content" ObjectID="_1791378168" r:id="rId6436"/>
        </w:object>
      </w:r>
      <w:r>
        <w:rPr>
          <w:rtl/>
        </w:rPr>
        <w:tab/>
      </w:r>
      <w:r w:rsidRPr="00FE433F">
        <w:rPr>
          <w:i/>
          <w:sz w:val="23"/>
          <w:szCs w:val="23"/>
          <w:rtl/>
        </w:rPr>
        <w:tab/>
      </w:r>
      <w:r w:rsidRPr="00FE433F">
        <w:rPr>
          <w:i/>
          <w:sz w:val="23"/>
          <w:szCs w:val="23"/>
          <w:rtl/>
        </w:rPr>
        <w:tab/>
      </w:r>
      <w:r w:rsidRPr="00FE433F">
        <w:rPr>
          <w:i/>
          <w:sz w:val="23"/>
          <w:szCs w:val="23"/>
          <w:rtl/>
        </w:rPr>
        <w:tab/>
      </w:r>
      <w:r w:rsidRPr="00FE433F">
        <w:rPr>
          <w:rFonts w:hint="cs"/>
          <w:i/>
          <w:sz w:val="23"/>
          <w:szCs w:val="23"/>
          <w:rtl/>
        </w:rPr>
        <w:t>(۸. ۱۷)</w:t>
      </w:r>
      <w:r w:rsidRPr="00FE433F">
        <w:rPr>
          <w:rFonts w:hint="cs"/>
          <w:i/>
          <w:sz w:val="23"/>
          <w:szCs w:val="23"/>
          <w:rtl/>
        </w:rPr>
        <w:tab/>
      </w:r>
    </w:p>
    <w:p w14:paraId="2F54CCEA"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است. که در آن</w:t>
      </w:r>
      <w:r w:rsidRPr="00FE433F">
        <w:rPr>
          <w:position w:val="-12"/>
        </w:rPr>
        <w:object w:dxaOrig="1120" w:dyaOrig="360" w14:anchorId="6605F09A">
          <v:shape id="_x0000_i4225" type="#_x0000_t75" style="width:55.65pt;height:18.15pt" o:ole="">
            <v:imagedata r:id="rId6437" o:title=""/>
          </v:shape>
          <o:OLEObject Type="Embed" ProgID="Equation.DSMT4" ShapeID="_x0000_i4225" DrawAspect="Content" ObjectID="_1791378169" r:id="rId6438"/>
        </w:object>
      </w:r>
      <w:r w:rsidRPr="00FE433F">
        <w:rPr>
          <w:rFonts w:eastAsia="Calibri" w:hint="cs"/>
          <w:i/>
          <w:sz w:val="23"/>
          <w:szCs w:val="23"/>
          <w:rtl/>
        </w:rPr>
        <w:t xml:space="preserve"> است و مخارج کل برابر است با </w:t>
      </w:r>
    </w:p>
    <w:p w14:paraId="63460499" w14:textId="77777777" w:rsidR="00411620" w:rsidRPr="00FE433F" w:rsidRDefault="00411620" w:rsidP="00411620">
      <w:pPr>
        <w:bidi w:val="0"/>
        <w:spacing w:line="216" w:lineRule="auto"/>
        <w:rPr>
          <w:rFonts w:eastAsia="Calibri"/>
          <w:i/>
          <w:sz w:val="23"/>
          <w:szCs w:val="23"/>
          <w:rtl/>
        </w:rPr>
      </w:pPr>
      <w:r w:rsidRPr="00FE433F">
        <w:rPr>
          <w:position w:val="-12"/>
        </w:rPr>
        <w:object w:dxaOrig="1960" w:dyaOrig="340" w14:anchorId="0CEC3CCF">
          <v:shape id="_x0000_i4226" type="#_x0000_t75" style="width:98pt;height:16.95pt" o:ole="">
            <v:imagedata r:id="rId6439" o:title=""/>
          </v:shape>
          <o:OLEObject Type="Embed" ProgID="Equation.DSMT4" ShapeID="_x0000_i4226" DrawAspect="Content" ObjectID="_1791378170" r:id="rId6440"/>
        </w:object>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Pr>
          <w:i/>
          <w:sz w:val="23"/>
          <w:szCs w:val="23"/>
          <w:rtl/>
        </w:rPr>
        <w:tab/>
      </w:r>
      <w:r w:rsidRPr="00FE433F">
        <w:rPr>
          <w:i/>
          <w:sz w:val="23"/>
          <w:szCs w:val="23"/>
          <w:rtl/>
        </w:rPr>
        <w:tab/>
      </w:r>
      <w:r w:rsidRPr="00FE433F">
        <w:rPr>
          <w:i/>
          <w:sz w:val="23"/>
          <w:szCs w:val="23"/>
          <w:rtl/>
        </w:rPr>
        <w:tab/>
      </w:r>
      <w:r w:rsidRPr="00FE433F">
        <w:rPr>
          <w:rFonts w:hint="cs"/>
          <w:i/>
          <w:sz w:val="23"/>
          <w:szCs w:val="23"/>
          <w:rtl/>
        </w:rPr>
        <w:t>(۸. ۱۸)</w:t>
      </w:r>
    </w:p>
    <w:p w14:paraId="102B4863"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همچن</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فرض م</w:t>
      </w:r>
      <w:r w:rsidRPr="00FE433F">
        <w:rPr>
          <w:rFonts w:eastAsia="Calibri" w:hint="cs"/>
          <w:i/>
          <w:sz w:val="23"/>
          <w:szCs w:val="23"/>
          <w:rtl/>
        </w:rPr>
        <w:t>ی‌</w:t>
      </w:r>
      <w:r w:rsidRPr="00FE433F">
        <w:rPr>
          <w:rFonts w:eastAsia="Calibri"/>
          <w:i/>
          <w:sz w:val="23"/>
          <w:szCs w:val="23"/>
          <w:rtl/>
        </w:rPr>
        <w:t>شود مصرف کل از رابطه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با کشش جانش</w:t>
      </w:r>
      <w:r w:rsidRPr="00FE433F">
        <w:rPr>
          <w:rFonts w:eastAsia="Calibri" w:hint="cs"/>
          <w:i/>
          <w:sz w:val="23"/>
          <w:szCs w:val="23"/>
          <w:rtl/>
        </w:rPr>
        <w:t>ی</w:t>
      </w:r>
      <w:r w:rsidRPr="00FE433F">
        <w:rPr>
          <w:rFonts w:eastAsia="Calibri" w:hint="eastAsia"/>
          <w:i/>
          <w:sz w:val="23"/>
          <w:szCs w:val="23"/>
          <w:rtl/>
        </w:rPr>
        <w:t>ن</w:t>
      </w:r>
      <w:r w:rsidRPr="00FE433F">
        <w:rPr>
          <w:rFonts w:eastAsia="Calibri" w:hint="cs"/>
          <w:i/>
          <w:sz w:val="23"/>
          <w:szCs w:val="23"/>
          <w:rtl/>
        </w:rPr>
        <w:t>ی</w:t>
      </w:r>
      <w:r w:rsidRPr="00FE433F">
        <w:rPr>
          <w:rFonts w:eastAsia="Calibri"/>
          <w:i/>
          <w:sz w:val="23"/>
          <w:szCs w:val="23"/>
          <w:rtl/>
        </w:rPr>
        <w:t xml:space="preserve"> ثابت ب</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کالاها</w:t>
      </w:r>
      <w:r w:rsidRPr="00FE433F">
        <w:rPr>
          <w:rFonts w:eastAsia="Calibri" w:hint="cs"/>
          <w:i/>
          <w:sz w:val="23"/>
          <w:szCs w:val="23"/>
          <w:rtl/>
        </w:rPr>
        <w:t>ی</w:t>
      </w:r>
      <w:r w:rsidRPr="00FE433F">
        <w:rPr>
          <w:rFonts w:eastAsia="Calibri"/>
          <w:i/>
          <w:sz w:val="23"/>
          <w:szCs w:val="23"/>
          <w:rtl/>
        </w:rPr>
        <w:t xml:space="preserve"> نقد</w:t>
      </w:r>
      <w:r w:rsidRPr="00FE433F">
        <w:rPr>
          <w:rFonts w:eastAsia="Calibri" w:hint="cs"/>
          <w:i/>
          <w:sz w:val="23"/>
          <w:szCs w:val="23"/>
          <w:rtl/>
        </w:rPr>
        <w:t>ی</w:t>
      </w:r>
      <w:r w:rsidRPr="00FE433F">
        <w:rPr>
          <w:rFonts w:eastAsia="Calibri"/>
          <w:i/>
          <w:sz w:val="23"/>
          <w:szCs w:val="23"/>
          <w:rtl/>
        </w:rPr>
        <w:t xml:space="preserve"> و اعتبار</w:t>
      </w:r>
      <w:r w:rsidRPr="00FE433F">
        <w:rPr>
          <w:rFonts w:eastAsia="Calibri" w:hint="cs"/>
          <w:i/>
          <w:sz w:val="23"/>
          <w:szCs w:val="23"/>
          <w:rtl/>
        </w:rPr>
        <w:t>ی</w:t>
      </w:r>
      <w:r w:rsidRPr="00FE433F">
        <w:rPr>
          <w:rFonts w:eastAsia="Calibri"/>
          <w:i/>
          <w:sz w:val="23"/>
          <w:szCs w:val="23"/>
          <w:rtl/>
        </w:rPr>
        <w:t xml:space="preserve"> بدست م</w:t>
      </w:r>
      <w:r w:rsidRPr="00FE433F">
        <w:rPr>
          <w:rFonts w:eastAsia="Calibri" w:hint="cs"/>
          <w:i/>
          <w:sz w:val="23"/>
          <w:szCs w:val="23"/>
          <w:rtl/>
        </w:rPr>
        <w:t>ی‌</w:t>
      </w:r>
      <w:r w:rsidRPr="00FE433F">
        <w:rPr>
          <w:rFonts w:eastAsia="Calibri"/>
          <w:i/>
          <w:sz w:val="23"/>
          <w:szCs w:val="23"/>
          <w:rtl/>
        </w:rPr>
        <w:t>آ</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و برابر است با</w:t>
      </w:r>
    </w:p>
    <w:p w14:paraId="6784B988" w14:textId="77777777" w:rsidR="00411620" w:rsidRPr="00FE433F" w:rsidRDefault="00411620" w:rsidP="00411620">
      <w:pPr>
        <w:pStyle w:val="MTDisplayEquation"/>
        <w:tabs>
          <w:tab w:val="clear" w:pos="6660"/>
          <w:tab w:val="right" w:pos="0"/>
        </w:tabs>
        <w:spacing w:line="216" w:lineRule="auto"/>
        <w:rPr>
          <w:rFonts w:ascii="Times New Roman" w:hAnsi="Times New Roman" w:cs="B Nazanin"/>
          <w:i/>
          <w:sz w:val="23"/>
          <w:szCs w:val="23"/>
          <w:rtl/>
          <w:lang w:bidi="fa-IR"/>
        </w:rPr>
      </w:pPr>
      <w:r w:rsidRPr="00FE433F">
        <w:rPr>
          <w:position w:val="-34"/>
        </w:rPr>
        <w:object w:dxaOrig="1680" w:dyaOrig="740" w14:anchorId="5DE58426">
          <v:shape id="_x0000_i4227" type="#_x0000_t75" style="width:84.1pt;height:36.9pt" o:ole="">
            <v:imagedata r:id="rId6441" o:title=""/>
          </v:shape>
          <o:OLEObject Type="Embed" ProgID="Equation.DSMT4" ShapeID="_x0000_i4227" DrawAspect="Content" ObjectID="_1791378171" r:id="rId6442"/>
        </w:object>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hint="cs"/>
          <w:i/>
          <w:sz w:val="23"/>
          <w:szCs w:val="23"/>
          <w:rtl/>
        </w:rPr>
        <w:t>(۸. ۱۹)</w:t>
      </w:r>
      <w:r w:rsidRPr="00FE433F">
        <w:rPr>
          <w:rFonts w:ascii="Times New Roman" w:hAnsi="Times New Roman" w:cs="B Nazanin"/>
          <w:i/>
          <w:sz w:val="23"/>
          <w:szCs w:val="23"/>
          <w:rtl/>
        </w:rPr>
        <w:tab/>
      </w:r>
    </w:p>
    <w:p w14:paraId="69CE7FC1" w14:textId="77777777" w:rsidR="00411620" w:rsidRPr="00FE433F" w:rsidRDefault="00411620" w:rsidP="00411620">
      <w:pPr>
        <w:spacing w:line="216" w:lineRule="auto"/>
        <w:rPr>
          <w:i/>
          <w:sz w:val="23"/>
          <w:szCs w:val="23"/>
          <w:rtl/>
        </w:rPr>
      </w:pPr>
      <w:r w:rsidRPr="00FE433F">
        <w:rPr>
          <w:rFonts w:eastAsia="Calibri" w:hint="cs"/>
          <w:i/>
          <w:sz w:val="23"/>
          <w:szCs w:val="23"/>
          <w:rtl/>
        </w:rPr>
        <w:t>اعتبار جدید در دوره</w:t>
      </w:r>
      <w:r w:rsidRPr="00FE433F">
        <w:rPr>
          <w:rFonts w:eastAsia="Calibri"/>
          <w:i/>
          <w:sz w:val="23"/>
          <w:szCs w:val="23"/>
          <w:rtl/>
        </w:rPr>
        <w:softHyphen/>
      </w:r>
      <w:r w:rsidRPr="00FE433F">
        <w:rPr>
          <w:rFonts w:eastAsia="Calibri" w:hint="cs"/>
          <w:i/>
          <w:sz w:val="23"/>
          <w:szCs w:val="23"/>
          <w:rtl/>
        </w:rPr>
        <w:t xml:space="preserve">ی </w:t>
      </w:r>
      <w:r w:rsidRPr="00FE433F">
        <w:rPr>
          <w:position w:val="-6"/>
        </w:rPr>
        <w:object w:dxaOrig="139" w:dyaOrig="240" w14:anchorId="490B936D">
          <v:shape id="_x0000_i4228" type="#_x0000_t75" style="width:7.25pt;height:12.1pt" o:ole="">
            <v:imagedata r:id="rId6443" o:title=""/>
          </v:shape>
          <o:OLEObject Type="Embed" ProgID="Equation.DSMT4" ShapeID="_x0000_i4228" DrawAspect="Content" ObjectID="_1791378172" r:id="rId6444"/>
        </w:object>
      </w:r>
      <w:r w:rsidRPr="00FE433F">
        <w:rPr>
          <w:i/>
          <w:sz w:val="23"/>
          <w:szCs w:val="23"/>
        </w:rPr>
        <w:t xml:space="preserve"> </w:t>
      </w:r>
      <w:r w:rsidRPr="00FE433F">
        <w:rPr>
          <w:rFonts w:hint="cs"/>
          <w:i/>
          <w:sz w:val="23"/>
          <w:szCs w:val="23"/>
          <w:rtl/>
        </w:rPr>
        <w:t>که در شروع دوره</w:t>
      </w:r>
      <w:r w:rsidRPr="00FE433F">
        <w:rPr>
          <w:i/>
          <w:sz w:val="23"/>
          <w:szCs w:val="23"/>
          <w:rtl/>
        </w:rPr>
        <w:softHyphen/>
      </w:r>
      <w:r w:rsidRPr="00FE433F">
        <w:rPr>
          <w:rFonts w:hint="cs"/>
          <w:i/>
          <w:sz w:val="23"/>
          <w:szCs w:val="23"/>
          <w:rtl/>
        </w:rPr>
        <w:t xml:space="preserve">ی </w:t>
      </w:r>
      <w:r w:rsidRPr="00FE433F">
        <w:rPr>
          <w:position w:val="-6"/>
        </w:rPr>
        <w:object w:dxaOrig="440" w:dyaOrig="260" w14:anchorId="5C238C78">
          <v:shape id="_x0000_i4229" type="#_x0000_t75" style="width:21.8pt;height:13.3pt" o:ole="">
            <v:imagedata r:id="rId6445" o:title=""/>
          </v:shape>
          <o:OLEObject Type="Embed" ProgID="Equation.DSMT4" ShapeID="_x0000_i4229" DrawAspect="Content" ObjectID="_1791378173" r:id="rId6446"/>
        </w:object>
      </w:r>
      <w:r w:rsidRPr="00FE433F">
        <w:rPr>
          <w:i/>
          <w:sz w:val="23"/>
          <w:szCs w:val="23"/>
        </w:rPr>
        <w:t xml:space="preserve"> </w:t>
      </w:r>
      <w:r w:rsidRPr="00FE433F">
        <w:rPr>
          <w:rFonts w:hint="cs"/>
          <w:i/>
          <w:sz w:val="23"/>
          <w:szCs w:val="23"/>
          <w:rtl/>
        </w:rPr>
        <w:t>بازپرداخت می</w:t>
      </w:r>
      <w:r w:rsidRPr="00FE433F">
        <w:rPr>
          <w:i/>
          <w:sz w:val="23"/>
          <w:szCs w:val="23"/>
          <w:rtl/>
        </w:rPr>
        <w:softHyphen/>
      </w:r>
      <w:r w:rsidRPr="00FE433F">
        <w:rPr>
          <w:rFonts w:hint="cs"/>
          <w:i/>
          <w:sz w:val="23"/>
          <w:szCs w:val="23"/>
          <w:rtl/>
        </w:rPr>
        <w:t xml:space="preserve">شود برابر است با </w:t>
      </w:r>
      <w:r w:rsidRPr="00FE433F">
        <w:rPr>
          <w:position w:val="-12"/>
        </w:rPr>
        <w:object w:dxaOrig="1160" w:dyaOrig="340" w14:anchorId="5AD0C98F">
          <v:shape id="_x0000_i4230" type="#_x0000_t75" style="width:58.1pt;height:16.95pt" o:ole="">
            <v:imagedata r:id="rId6447" o:title=""/>
          </v:shape>
          <o:OLEObject Type="Embed" ProgID="Equation.DSMT4" ShapeID="_x0000_i4230" DrawAspect="Content" ObjectID="_1791378174" r:id="rId6448"/>
        </w:object>
      </w:r>
      <w:r w:rsidRPr="00FE433F">
        <w:rPr>
          <w:rFonts w:hint="cs"/>
          <w:i/>
          <w:sz w:val="23"/>
          <w:szCs w:val="23"/>
          <w:rtl/>
        </w:rPr>
        <w:t xml:space="preserve"> و </w:t>
      </w:r>
      <w:r w:rsidRPr="00FE433F">
        <w:rPr>
          <w:position w:val="-12"/>
        </w:rPr>
        <w:object w:dxaOrig="940" w:dyaOrig="360" w14:anchorId="16D1575B">
          <v:shape id="_x0000_i4231" type="#_x0000_t75" style="width:47.2pt;height:18.15pt" o:ole="">
            <v:imagedata r:id="rId6449" o:title=""/>
          </v:shape>
          <o:OLEObject Type="Embed" ProgID="Equation.DSMT4" ShapeID="_x0000_i4231" DrawAspect="Content" ObjectID="_1791378175" r:id="rId6450"/>
        </w:object>
      </w:r>
      <w:r w:rsidRPr="00FE433F">
        <w:rPr>
          <w:rFonts w:hint="cs"/>
          <w:i/>
          <w:sz w:val="23"/>
          <w:szCs w:val="23"/>
          <w:rtl/>
        </w:rPr>
        <w:t xml:space="preserve"> هزینه</w:t>
      </w:r>
      <w:r w:rsidRPr="00FE433F">
        <w:rPr>
          <w:i/>
          <w:sz w:val="23"/>
          <w:szCs w:val="23"/>
          <w:rtl/>
        </w:rPr>
        <w:softHyphen/>
      </w:r>
      <w:r w:rsidRPr="00FE433F">
        <w:rPr>
          <w:rFonts w:hint="cs"/>
          <w:i/>
          <w:sz w:val="23"/>
          <w:szCs w:val="23"/>
          <w:rtl/>
        </w:rPr>
        <w:t>ی دوره</w:t>
      </w:r>
      <w:r w:rsidRPr="00FE433F">
        <w:rPr>
          <w:i/>
          <w:sz w:val="23"/>
          <w:szCs w:val="23"/>
          <w:rtl/>
        </w:rPr>
        <w:softHyphen/>
      </w:r>
      <w:r w:rsidRPr="00FE433F">
        <w:rPr>
          <w:rFonts w:hint="cs"/>
          <w:i/>
          <w:sz w:val="23"/>
          <w:szCs w:val="23"/>
          <w:rtl/>
        </w:rPr>
        <w:t xml:space="preserve">ی </w:t>
      </w:r>
      <w:r w:rsidRPr="00FE433F">
        <w:rPr>
          <w:position w:val="-6"/>
        </w:rPr>
        <w:object w:dxaOrig="139" w:dyaOrig="240" w14:anchorId="781100D1">
          <v:shape id="_x0000_i4232" type="#_x0000_t75" style="width:7.25pt;height:12.1pt" o:ole="">
            <v:imagedata r:id="rId6451" o:title=""/>
          </v:shape>
          <o:OLEObject Type="Embed" ProgID="Equation.DSMT4" ShapeID="_x0000_i4232" DrawAspect="Content" ObjectID="_1791378176" r:id="rId6452"/>
        </w:object>
      </w:r>
      <w:r w:rsidRPr="00FE433F">
        <w:rPr>
          <w:rFonts w:hint="cs"/>
          <w:i/>
          <w:sz w:val="23"/>
          <w:szCs w:val="23"/>
          <w:rtl/>
        </w:rPr>
        <w:t xml:space="preserve"> اعتبار در دوره</w:t>
      </w:r>
      <w:r w:rsidRPr="00FE433F">
        <w:rPr>
          <w:i/>
          <w:sz w:val="23"/>
          <w:szCs w:val="23"/>
          <w:rtl/>
        </w:rPr>
        <w:softHyphen/>
      </w:r>
      <w:r w:rsidRPr="00FE433F">
        <w:rPr>
          <w:rFonts w:hint="cs"/>
          <w:i/>
          <w:sz w:val="23"/>
          <w:szCs w:val="23"/>
          <w:rtl/>
        </w:rPr>
        <w:t xml:space="preserve">ی </w:t>
      </w:r>
      <w:r w:rsidRPr="00FE433F">
        <w:rPr>
          <w:position w:val="-6"/>
        </w:rPr>
        <w:object w:dxaOrig="420" w:dyaOrig="260" w14:anchorId="3F594C0F">
          <v:shape id="_x0000_i4233" type="#_x0000_t75" style="width:20.55pt;height:13.3pt" o:ole="">
            <v:imagedata r:id="rId6453" o:title=""/>
          </v:shape>
          <o:OLEObject Type="Embed" ProgID="Equation.DSMT4" ShapeID="_x0000_i4233" DrawAspect="Content" ObjectID="_1791378177" r:id="rId6454"/>
        </w:object>
      </w:r>
      <w:r w:rsidRPr="00FE433F">
        <w:rPr>
          <w:i/>
          <w:sz w:val="23"/>
          <w:szCs w:val="23"/>
        </w:rPr>
        <w:t xml:space="preserve"> </w:t>
      </w:r>
      <w:r w:rsidRPr="00FE433F">
        <w:rPr>
          <w:rFonts w:hint="cs"/>
          <w:i/>
          <w:sz w:val="23"/>
          <w:szCs w:val="23"/>
          <w:rtl/>
        </w:rPr>
        <w:t xml:space="preserve">است. باید توجه داشته باشیم که نرخ وام دادن و وام گرفتن یکسان است، آنگاه </w:t>
      </w:r>
      <w:r w:rsidRPr="00FE433F">
        <w:rPr>
          <w:position w:val="-10"/>
        </w:rPr>
        <w:object w:dxaOrig="279" w:dyaOrig="320" w14:anchorId="5FC7B849">
          <v:shape id="_x0000_i4234" type="#_x0000_t75" style="width:13.9pt;height:16.35pt" o:ole="">
            <v:imagedata r:id="rId6455" o:title=""/>
          </v:shape>
          <o:OLEObject Type="Embed" ProgID="Equation.DSMT4" ShapeID="_x0000_i4234" DrawAspect="Content" ObjectID="_1791378178" r:id="rId6456"/>
        </w:object>
      </w:r>
      <w:r w:rsidRPr="00FE433F">
        <w:rPr>
          <w:rFonts w:hint="cs"/>
          <w:i/>
          <w:sz w:val="23"/>
          <w:szCs w:val="23"/>
          <w:rtl/>
        </w:rPr>
        <w:t>در قید بودجه</w:t>
      </w:r>
      <w:r w:rsidRPr="00FE433F">
        <w:rPr>
          <w:i/>
          <w:sz w:val="23"/>
          <w:szCs w:val="23"/>
          <w:rtl/>
        </w:rPr>
        <w:softHyphen/>
      </w:r>
      <w:r w:rsidRPr="00FE433F">
        <w:rPr>
          <w:rFonts w:hint="cs"/>
          <w:i/>
          <w:sz w:val="23"/>
          <w:szCs w:val="23"/>
          <w:rtl/>
        </w:rPr>
        <w:t>ی خانوار برابر با خالص موجودی اوراق قرضه خواهد بود. اکنون قید بودجه</w:t>
      </w:r>
      <w:r w:rsidRPr="00FE433F">
        <w:rPr>
          <w:i/>
          <w:sz w:val="23"/>
          <w:szCs w:val="23"/>
          <w:rtl/>
        </w:rPr>
        <w:softHyphen/>
      </w:r>
      <w:r w:rsidRPr="00FE433F">
        <w:rPr>
          <w:rFonts w:hint="cs"/>
          <w:i/>
          <w:sz w:val="23"/>
          <w:szCs w:val="23"/>
          <w:rtl/>
        </w:rPr>
        <w:t>ی خانوار را می</w:t>
      </w:r>
      <w:r w:rsidRPr="00FE433F">
        <w:rPr>
          <w:i/>
          <w:sz w:val="23"/>
          <w:szCs w:val="23"/>
          <w:rtl/>
        </w:rPr>
        <w:softHyphen/>
      </w:r>
      <w:r w:rsidRPr="00FE433F">
        <w:rPr>
          <w:rFonts w:hint="cs"/>
          <w:i/>
          <w:sz w:val="23"/>
          <w:szCs w:val="23"/>
          <w:rtl/>
        </w:rPr>
        <w:t>توان به صورت زیر بازنویسی کرد</w:t>
      </w:r>
    </w:p>
    <w:p w14:paraId="3207F7CA" w14:textId="77777777" w:rsidR="00411620" w:rsidRPr="00FE433F" w:rsidRDefault="00411620" w:rsidP="00411620">
      <w:pPr>
        <w:bidi w:val="0"/>
        <w:spacing w:line="216" w:lineRule="auto"/>
        <w:rPr>
          <w:i/>
          <w:sz w:val="23"/>
          <w:szCs w:val="23"/>
          <w:rtl/>
        </w:rPr>
      </w:pPr>
      <w:r w:rsidRPr="00FE433F">
        <w:rPr>
          <w:position w:val="-12"/>
        </w:rPr>
        <w:object w:dxaOrig="4980" w:dyaOrig="360" w14:anchorId="0BF5A463">
          <v:shape id="_x0000_i4235" type="#_x0000_t75" style="width:249.3pt;height:18.15pt" o:ole="">
            <v:imagedata r:id="rId6457" o:title=""/>
          </v:shape>
          <o:OLEObject Type="Embed" ProgID="Equation.DSMT4" ShapeID="_x0000_i4235" DrawAspect="Content" ObjectID="_1791378179" r:id="rId6458"/>
        </w:object>
      </w:r>
      <w:r w:rsidRPr="00FE433F">
        <w:rPr>
          <w:i/>
          <w:sz w:val="23"/>
          <w:szCs w:val="23"/>
        </w:rPr>
        <w:t xml:space="preserve"> </w:t>
      </w:r>
      <w:r w:rsidRPr="00FE433F">
        <w:rPr>
          <w:i/>
          <w:sz w:val="23"/>
          <w:szCs w:val="23"/>
        </w:rPr>
        <w:tab/>
      </w:r>
      <w:r w:rsidRPr="00FE433F">
        <w:rPr>
          <w:i/>
          <w:sz w:val="23"/>
          <w:szCs w:val="23"/>
          <w:rtl/>
        </w:rPr>
        <w:tab/>
      </w:r>
      <w:r>
        <w:rPr>
          <w:i/>
          <w:sz w:val="23"/>
          <w:szCs w:val="23"/>
          <w:rtl/>
        </w:rPr>
        <w:tab/>
      </w:r>
      <w:r w:rsidRPr="00FE433F">
        <w:rPr>
          <w:i/>
          <w:sz w:val="23"/>
          <w:szCs w:val="23"/>
          <w:rtl/>
        </w:rPr>
        <w:tab/>
      </w:r>
      <w:r w:rsidRPr="00FE433F">
        <w:rPr>
          <w:rFonts w:hint="cs"/>
          <w:i/>
          <w:sz w:val="23"/>
          <w:szCs w:val="23"/>
          <w:rtl/>
        </w:rPr>
        <w:t xml:space="preserve">(۸. ۲۰) </w:t>
      </w:r>
    </w:p>
    <w:p w14:paraId="76B9D0B4"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لاگرانژ</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hint="cs"/>
          <w:i/>
          <w:sz w:val="23"/>
          <w:szCs w:val="23"/>
          <w:rtl/>
        </w:rPr>
        <w:t xml:space="preserve">این مسئله </w:t>
      </w:r>
      <w:r w:rsidRPr="00FE433F">
        <w:rPr>
          <w:i/>
          <w:sz w:val="23"/>
          <w:szCs w:val="23"/>
          <w:rtl/>
        </w:rPr>
        <w:t>)</w:t>
      </w:r>
      <w:r w:rsidRPr="00FE433F">
        <w:rPr>
          <w:rFonts w:eastAsia="Calibri"/>
          <w:i/>
          <w:sz w:val="23"/>
          <w:szCs w:val="23"/>
          <w:rtl/>
        </w:rPr>
        <w:t xml:space="preserve"> بر حسب متغ</w:t>
      </w:r>
      <w:r w:rsidRPr="00FE433F">
        <w:rPr>
          <w:rFonts w:eastAsia="Calibri" w:hint="cs"/>
          <w:i/>
          <w:sz w:val="23"/>
          <w:szCs w:val="23"/>
          <w:rtl/>
        </w:rPr>
        <w:t>ی</w:t>
      </w:r>
      <w:r w:rsidRPr="00FE433F">
        <w:rPr>
          <w:rFonts w:eastAsia="Calibri" w:hint="eastAsia"/>
          <w:i/>
          <w:sz w:val="23"/>
          <w:szCs w:val="23"/>
          <w:rtl/>
        </w:rPr>
        <w:t>رها</w:t>
      </w:r>
      <w:r w:rsidRPr="00FE433F">
        <w:rPr>
          <w:rFonts w:eastAsia="Calibri" w:hint="cs"/>
          <w:i/>
          <w:sz w:val="23"/>
          <w:szCs w:val="23"/>
          <w:rtl/>
        </w:rPr>
        <w:t>ی</w:t>
      </w:r>
      <w:r w:rsidRPr="00FE433F">
        <w:rPr>
          <w:position w:val="-12"/>
        </w:rPr>
        <w:object w:dxaOrig="440" w:dyaOrig="340" w14:anchorId="69B0119A">
          <v:shape id="_x0000_i4236" type="#_x0000_t75" style="width:21.8pt;height:16.95pt" o:ole="">
            <v:imagedata r:id="rId6459" o:title=""/>
          </v:shape>
          <o:OLEObject Type="Embed" ProgID="Equation.DSMT4" ShapeID="_x0000_i4236" DrawAspect="Content" ObjectID="_1791378180" r:id="rId6460"/>
        </w:object>
      </w:r>
      <w:r w:rsidRPr="00FE433F">
        <w:rPr>
          <w:rFonts w:eastAsia="Calibri"/>
          <w:i/>
          <w:sz w:val="23"/>
          <w:szCs w:val="23"/>
          <w:rtl/>
        </w:rPr>
        <w:t>،</w:t>
      </w:r>
      <w:r w:rsidRPr="00FE433F">
        <w:rPr>
          <w:position w:val="-12"/>
        </w:rPr>
        <w:object w:dxaOrig="440" w:dyaOrig="340" w14:anchorId="22A01E29">
          <v:shape id="_x0000_i4237" type="#_x0000_t75" style="width:21.8pt;height:16.95pt" o:ole="">
            <v:imagedata r:id="rId6461" o:title=""/>
          </v:shape>
          <o:OLEObject Type="Embed" ProgID="Equation.DSMT4" ShapeID="_x0000_i4237" DrawAspect="Content" ObjectID="_1791378181" r:id="rId6462"/>
        </w:object>
      </w:r>
      <w:r w:rsidRPr="00FE433F">
        <w:rPr>
          <w:rFonts w:eastAsia="Calibri"/>
          <w:i/>
          <w:sz w:val="23"/>
          <w:szCs w:val="23"/>
          <w:rtl/>
        </w:rPr>
        <w:t xml:space="preserve"> و</w:t>
      </w:r>
      <w:r w:rsidRPr="00FE433F">
        <w:rPr>
          <w:position w:val="-10"/>
        </w:rPr>
        <w:object w:dxaOrig="540" w:dyaOrig="320" w14:anchorId="73B1BCDE">
          <v:shape id="_x0000_i4238" type="#_x0000_t75" style="width:26.6pt;height:16.35pt" o:ole="">
            <v:imagedata r:id="rId6463" o:title=""/>
          </v:shape>
          <o:OLEObject Type="Embed" ProgID="Equation.DSMT4" ShapeID="_x0000_i4238" DrawAspect="Content" ObjectID="_1791378182" r:id="rId6464"/>
        </w:object>
      </w:r>
      <w:r w:rsidRPr="00FE433F">
        <w:rPr>
          <w:rFonts w:eastAsia="Calibri"/>
          <w:i/>
          <w:sz w:val="23"/>
          <w:szCs w:val="23"/>
          <w:rtl/>
        </w:rPr>
        <w:t xml:space="preserve"> برا</w:t>
      </w:r>
      <w:r w:rsidRPr="00FE433F">
        <w:rPr>
          <w:rFonts w:eastAsia="Calibri" w:hint="cs"/>
          <w:i/>
          <w:sz w:val="23"/>
          <w:szCs w:val="23"/>
          <w:rtl/>
        </w:rPr>
        <w:t>ی</w:t>
      </w:r>
      <w:r w:rsidRPr="00FE433F">
        <w:rPr>
          <w:rFonts w:eastAsia="Calibri"/>
          <w:i/>
          <w:sz w:val="23"/>
          <w:szCs w:val="23"/>
          <w:rtl/>
        </w:rPr>
        <w:t xml:space="preserve"> هر </w:t>
      </w:r>
      <w:r w:rsidRPr="00FE433F">
        <w:rPr>
          <w:position w:val="-6"/>
        </w:rPr>
        <w:object w:dxaOrig="499" w:dyaOrig="260" w14:anchorId="04A796C6">
          <v:shape id="_x0000_i4239" type="#_x0000_t75" style="width:24.8pt;height:13.3pt" o:ole="">
            <v:imagedata r:id="rId6465" o:title=""/>
          </v:shape>
          <o:OLEObject Type="Embed" ProgID="Equation.DSMT4" ShapeID="_x0000_i4239" DrawAspect="Content" ObjectID="_1791378183" r:id="rId6466"/>
        </w:object>
      </w:r>
      <w:r w:rsidRPr="00FE433F">
        <w:rPr>
          <w:rFonts w:hint="cs"/>
          <w:i/>
          <w:sz w:val="23"/>
          <w:szCs w:val="23"/>
          <w:rtl/>
        </w:rPr>
        <w:t xml:space="preserve"> </w:t>
      </w:r>
      <w:r w:rsidRPr="00FE433F">
        <w:rPr>
          <w:rFonts w:eastAsia="Calibri"/>
          <w:i/>
          <w:sz w:val="23"/>
          <w:szCs w:val="23"/>
          <w:rtl/>
        </w:rPr>
        <w:t>عبارت است از؛</w:t>
      </w:r>
    </w:p>
    <w:p w14:paraId="51887ECD"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70"/>
        </w:rPr>
        <w:object w:dxaOrig="5679" w:dyaOrig="1520" w14:anchorId="2C4FE2CD">
          <v:shape id="_x0000_i4240" type="#_x0000_t75" style="width:283.75pt;height:76.25pt" o:ole="">
            <v:imagedata r:id="rId6467" o:title=""/>
          </v:shape>
          <o:OLEObject Type="Embed" ProgID="Equation.DSMT4" ShapeID="_x0000_i4240" DrawAspect="Content" ObjectID="_1791378184" r:id="rId6468"/>
        </w:object>
      </w:r>
    </w:p>
    <w:p w14:paraId="7C757096"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شرا</w:t>
      </w:r>
      <w:r w:rsidRPr="00FE433F">
        <w:rPr>
          <w:rFonts w:eastAsia="Calibri" w:hint="cs"/>
          <w:i/>
          <w:sz w:val="23"/>
          <w:szCs w:val="23"/>
          <w:rtl/>
        </w:rPr>
        <w:t>ی</w:t>
      </w:r>
      <w:r w:rsidRPr="00FE433F">
        <w:rPr>
          <w:rFonts w:eastAsia="Calibri" w:hint="eastAsia"/>
          <w:i/>
          <w:sz w:val="23"/>
          <w:szCs w:val="23"/>
          <w:rtl/>
        </w:rPr>
        <w:t>ط</w:t>
      </w:r>
      <w:r w:rsidRPr="00FE433F">
        <w:rPr>
          <w:rFonts w:eastAsia="Calibri"/>
          <w:i/>
          <w:sz w:val="23"/>
          <w:szCs w:val="23"/>
          <w:rtl/>
        </w:rPr>
        <w:t xml:space="preserve"> </w:t>
      </w:r>
      <w:r w:rsidRPr="00FE433F">
        <w:rPr>
          <w:rFonts w:eastAsia="Calibri" w:hint="eastAsia"/>
          <w:i/>
          <w:sz w:val="23"/>
          <w:szCs w:val="23"/>
          <w:rtl/>
        </w:rPr>
        <w:t>مرتبه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اول </w:t>
      </w:r>
      <w:r w:rsidRPr="00FE433F">
        <w:rPr>
          <w:rFonts w:eastAsia="Calibri" w:hint="cs"/>
          <w:i/>
          <w:sz w:val="23"/>
          <w:szCs w:val="23"/>
          <w:rtl/>
        </w:rPr>
        <w:t>داریم</w:t>
      </w:r>
      <w:r w:rsidRPr="00FE433F">
        <w:rPr>
          <w:rFonts w:eastAsia="Calibri"/>
          <w:i/>
          <w:sz w:val="23"/>
          <w:szCs w:val="23"/>
          <w:rtl/>
        </w:rPr>
        <w:t>؛</w:t>
      </w:r>
    </w:p>
    <w:p w14:paraId="406D1CD5"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30"/>
        </w:rPr>
        <w:object w:dxaOrig="5840" w:dyaOrig="660" w14:anchorId="0FBCA725">
          <v:shape id="_x0000_i4241" type="#_x0000_t75" style="width:292.25pt;height:32.65pt" o:ole="">
            <v:imagedata r:id="rId6469" o:title=""/>
          </v:shape>
          <o:OLEObject Type="Embed" ProgID="Equation.DSMT4" ShapeID="_x0000_i4241" DrawAspect="Content" ObjectID="_1791378185" r:id="rId6470"/>
        </w:object>
      </w:r>
    </w:p>
    <w:p w14:paraId="34F7F869"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30"/>
        </w:rPr>
        <w:object w:dxaOrig="5880" w:dyaOrig="700" w14:anchorId="5364F3A8">
          <v:shape id="_x0000_i4242" type="#_x0000_t75" style="width:294.05pt;height:35.1pt" o:ole="">
            <v:imagedata r:id="rId6471" o:title=""/>
          </v:shape>
          <o:OLEObject Type="Embed" ProgID="Equation.DSMT4" ShapeID="_x0000_i4242" DrawAspect="Content" ObjectID="_1791378186" r:id="rId6472"/>
        </w:object>
      </w:r>
    </w:p>
    <w:p w14:paraId="2801B69A"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5860" w:dyaOrig="620" w14:anchorId="62E45D3B">
          <v:shape id="_x0000_i4243" type="#_x0000_t75" style="width:292.85pt;height:30.85pt" o:ole="">
            <v:imagedata r:id="rId6473" o:title=""/>
          </v:shape>
          <o:OLEObject Type="Embed" ProgID="Equation.DSMT4" ShapeID="_x0000_i4243" DrawAspect="Content" ObjectID="_1791378187" r:id="rId6474"/>
        </w:object>
      </w:r>
    </w:p>
    <w:p w14:paraId="64C6FF58"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 xml:space="preserve">از روابط فوق </w:t>
      </w:r>
      <w:r w:rsidRPr="00FE433F">
        <w:rPr>
          <w:rFonts w:eastAsia="Calibri"/>
          <w:i/>
          <w:sz w:val="23"/>
          <w:szCs w:val="23"/>
          <w:rtl/>
        </w:rPr>
        <w:t>به راحت</w:t>
      </w:r>
      <w:r w:rsidRPr="00FE433F">
        <w:rPr>
          <w:rFonts w:eastAsia="Calibri" w:hint="cs"/>
          <w:i/>
          <w:sz w:val="23"/>
          <w:szCs w:val="23"/>
          <w:rtl/>
        </w:rPr>
        <w:t>ی</w: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 xml:space="preserve">توان نشان داد که </w:t>
      </w:r>
      <w:r w:rsidRPr="00FE433F">
        <w:rPr>
          <w:rFonts w:eastAsia="Calibri" w:hint="cs"/>
          <w:i/>
          <w:sz w:val="23"/>
          <w:szCs w:val="23"/>
          <w:rtl/>
        </w:rPr>
        <w:t>معادله</w:t>
      </w:r>
      <w:r w:rsidRPr="00FE433F">
        <w:rPr>
          <w:rFonts w:eastAsia="Calibri"/>
          <w:i/>
          <w:sz w:val="23"/>
          <w:szCs w:val="23"/>
          <w:rtl/>
        </w:rPr>
        <w:softHyphen/>
      </w:r>
      <w:r w:rsidRPr="00FE433F">
        <w:rPr>
          <w:rFonts w:eastAsia="Calibri" w:hint="cs"/>
          <w:i/>
          <w:sz w:val="23"/>
          <w:szCs w:val="23"/>
          <w:rtl/>
        </w:rPr>
        <w:t xml:space="preserve">ی اویلر برای خریدهای نقدی برابر است با </w:t>
      </w:r>
    </w:p>
    <w:p w14:paraId="413EC529" w14:textId="77777777" w:rsidR="00411620" w:rsidRPr="00FE433F" w:rsidRDefault="00411620" w:rsidP="00411620">
      <w:pPr>
        <w:bidi w:val="0"/>
        <w:spacing w:line="216" w:lineRule="auto"/>
        <w:rPr>
          <w:rFonts w:eastAsia="Calibri"/>
          <w:i/>
          <w:sz w:val="23"/>
          <w:szCs w:val="23"/>
          <w:rtl/>
        </w:rPr>
      </w:pPr>
      <w:r w:rsidRPr="00FE433F">
        <w:rPr>
          <w:position w:val="-30"/>
        </w:rPr>
        <w:object w:dxaOrig="2180" w:dyaOrig="680" w14:anchorId="6DD97B2B">
          <v:shape id="_x0000_i4244" type="#_x0000_t75" style="width:108.9pt;height:33.9pt" o:ole="">
            <v:imagedata r:id="rId6475" o:title=""/>
          </v:shape>
          <o:OLEObject Type="Embed" ProgID="Equation.DSMT4" ShapeID="_x0000_i4244" DrawAspect="Content" ObjectID="_1791378188" r:id="rId6476"/>
        </w:object>
      </w:r>
    </w:p>
    <w:p w14:paraId="201E88D8"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 xml:space="preserve">بنابراین در وضعیت یکنواخت، </w:t>
      </w:r>
      <w:r w:rsidRPr="00FE433F">
        <w:rPr>
          <w:position w:val="-12"/>
        </w:rPr>
        <w:object w:dxaOrig="1300" w:dyaOrig="360" w14:anchorId="4B571F8D">
          <v:shape id="_x0000_i4245" type="#_x0000_t75" style="width:64.75pt;height:18.15pt" o:ole="">
            <v:imagedata r:id="rId6477" o:title=""/>
          </v:shape>
          <o:OLEObject Type="Embed" ProgID="Equation.DSMT4" ShapeID="_x0000_i4245" DrawAspect="Content" ObjectID="_1791378189" r:id="rId6478"/>
        </w:object>
      </w:r>
      <w:r w:rsidRPr="00FE433F">
        <w:rPr>
          <w:rFonts w:hint="cs"/>
          <w:i/>
          <w:sz w:val="23"/>
          <w:szCs w:val="23"/>
          <w:rtl/>
        </w:rPr>
        <w:t>. نسبت خریدهای نقدی به اعتباری برابر است با</w:t>
      </w:r>
    </w:p>
    <w:p w14:paraId="4E747CDE" w14:textId="77777777" w:rsidR="00411620" w:rsidRPr="00FE433F" w:rsidRDefault="00411620" w:rsidP="00411620">
      <w:pPr>
        <w:pStyle w:val="MTDisplayEquation"/>
        <w:tabs>
          <w:tab w:val="clear" w:pos="6660"/>
        </w:tabs>
        <w:spacing w:line="216" w:lineRule="auto"/>
        <w:rPr>
          <w:rFonts w:ascii="Times New Roman" w:eastAsia="Times New Roman" w:hAnsi="Times New Roman" w:cs="B Nazanin"/>
          <w:i/>
          <w:sz w:val="23"/>
          <w:szCs w:val="23"/>
          <w:lang w:bidi="fa-IR"/>
        </w:rPr>
      </w:pPr>
      <w:r w:rsidRPr="00FE433F">
        <w:rPr>
          <w:position w:val="-34"/>
        </w:rPr>
        <w:object w:dxaOrig="3240" w:dyaOrig="720" w14:anchorId="686232AC">
          <v:shape id="_x0000_i4246" type="#_x0000_t75" style="width:162.15pt;height:36.3pt" o:ole="">
            <v:imagedata r:id="rId6479" o:title=""/>
          </v:shape>
          <o:OLEObject Type="Embed" ProgID="Equation.DSMT4" ShapeID="_x0000_i4246" DrawAspect="Content" ObjectID="_1791378190" r:id="rId6480"/>
        </w:object>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Pr>
          <w:rFonts w:ascii="Times New Roman" w:hAnsi="Times New Roman"/>
          <w:i/>
          <w:sz w:val="23"/>
          <w:szCs w:val="23"/>
          <w:rtl/>
        </w:rPr>
        <w:tab/>
      </w:r>
      <w:r w:rsidRPr="00FE433F">
        <w:rPr>
          <w:rFonts w:ascii="Times New Roman" w:hAnsi="Times New Roman"/>
          <w:i/>
          <w:sz w:val="23"/>
          <w:szCs w:val="23"/>
        </w:rPr>
        <w:tab/>
      </w:r>
      <w:r w:rsidRPr="00FE433F">
        <w:rPr>
          <w:rFonts w:ascii="Times New Roman" w:hAnsi="Times New Roman"/>
          <w:i/>
          <w:sz w:val="23"/>
          <w:szCs w:val="23"/>
          <w:rtl/>
        </w:rPr>
        <w:tab/>
      </w:r>
      <w:r w:rsidRPr="00FE433F">
        <w:rPr>
          <w:rFonts w:ascii="Times New Roman" w:hAnsi="Times New Roman" w:cs="B Nazanin"/>
          <w:i/>
          <w:sz w:val="23"/>
          <w:szCs w:val="23"/>
          <w:rtl/>
        </w:rPr>
        <w:tab/>
        <w:t>(</w:t>
      </w:r>
      <w:r w:rsidRPr="00FE433F">
        <w:rPr>
          <w:rFonts w:ascii="Times New Roman" w:hAnsi="Times New Roman" w:cs="B Nazanin"/>
          <w:i/>
          <w:sz w:val="23"/>
          <w:szCs w:val="23"/>
          <w:rtl/>
          <w:lang w:bidi="fa-IR"/>
        </w:rPr>
        <w:t>۸.</w:t>
      </w:r>
      <w:r w:rsidRPr="00FE433F">
        <w:rPr>
          <w:rFonts w:ascii="Times New Roman" w:hAnsi="Times New Roman" w:cs="B Nazanin" w:hint="cs"/>
          <w:i/>
          <w:sz w:val="23"/>
          <w:szCs w:val="23"/>
          <w:rtl/>
        </w:rPr>
        <w:t>۲۱</w:t>
      </w:r>
      <w:r w:rsidRPr="00FE433F">
        <w:rPr>
          <w:rFonts w:ascii="Times New Roman" w:hAnsi="Times New Roman" w:cs="B Nazanin"/>
          <w:i/>
          <w:sz w:val="23"/>
          <w:szCs w:val="23"/>
          <w:rtl/>
          <w:lang w:bidi="fa-IR"/>
        </w:rPr>
        <w:t>)</w:t>
      </w:r>
    </w:p>
    <w:p w14:paraId="65E7258A" w14:textId="77777777" w:rsidR="00411620" w:rsidRPr="00FE433F" w:rsidRDefault="00411620" w:rsidP="00411620">
      <w:pPr>
        <w:spacing w:line="216" w:lineRule="auto"/>
        <w:rPr>
          <w:i/>
          <w:sz w:val="23"/>
          <w:szCs w:val="23"/>
          <w:rtl/>
        </w:rPr>
      </w:pPr>
      <w:r w:rsidRPr="00FE433F">
        <w:rPr>
          <w:rFonts w:eastAsia="Calibri" w:hint="cs"/>
          <w:i/>
          <w:sz w:val="23"/>
          <w:szCs w:val="23"/>
          <w:rtl/>
        </w:rPr>
        <w:t xml:space="preserve">با افزایش </w:t>
      </w:r>
      <w:r w:rsidRPr="00FE433F">
        <w:rPr>
          <w:rFonts w:hint="cs"/>
          <w:i/>
          <w:sz w:val="23"/>
          <w:szCs w:val="23"/>
          <w:rtl/>
        </w:rPr>
        <w:t>حق</w:t>
      </w:r>
      <w:r w:rsidRPr="00FE433F">
        <w:rPr>
          <w:i/>
          <w:sz w:val="23"/>
          <w:szCs w:val="23"/>
          <w:rtl/>
        </w:rPr>
        <w:softHyphen/>
      </w:r>
      <w:r w:rsidRPr="00FE433F">
        <w:rPr>
          <w:rFonts w:hint="cs"/>
          <w:i/>
          <w:sz w:val="23"/>
          <w:szCs w:val="23"/>
          <w:rtl/>
        </w:rPr>
        <w:t>العمل اعتبار</w:t>
      </w:r>
      <w:r w:rsidRPr="00FE433F">
        <w:rPr>
          <w:position w:val="-10"/>
        </w:rPr>
        <w:object w:dxaOrig="220" w:dyaOrig="240" w14:anchorId="1A3ED125">
          <v:shape id="_x0000_i4247" type="#_x0000_t75" style="width:10.9pt;height:12.1pt" o:ole="">
            <v:imagedata r:id="rId6481" o:title=""/>
          </v:shape>
          <o:OLEObject Type="Embed" ProgID="Equation.DSMT4" ShapeID="_x0000_i4247" DrawAspect="Content" ObjectID="_1791378191" r:id="rId6482"/>
        </w:object>
      </w:r>
      <w:r w:rsidRPr="00FE433F">
        <w:rPr>
          <w:i/>
          <w:sz w:val="23"/>
          <w:szCs w:val="23"/>
        </w:rPr>
        <w:t xml:space="preserve"> </w:t>
      </w:r>
      <w:r w:rsidRPr="00FE433F">
        <w:rPr>
          <w:rFonts w:hint="cs"/>
          <w:i/>
          <w:sz w:val="23"/>
          <w:szCs w:val="23"/>
          <w:rtl/>
        </w:rPr>
        <w:t>و یا کاهش نرخ بهره</w:t>
      </w:r>
      <w:r w:rsidRPr="00FE433F">
        <w:rPr>
          <w:i/>
          <w:sz w:val="23"/>
          <w:szCs w:val="23"/>
          <w:rtl/>
        </w:rPr>
        <w:softHyphen/>
      </w:r>
      <w:r w:rsidRPr="00FE433F">
        <w:rPr>
          <w:rFonts w:hint="cs"/>
          <w:i/>
          <w:sz w:val="23"/>
          <w:szCs w:val="23"/>
          <w:rtl/>
        </w:rPr>
        <w:t>ی</w:t>
      </w:r>
      <w:r w:rsidRPr="00FE433F">
        <w:rPr>
          <w:position w:val="-6"/>
        </w:rPr>
        <w:object w:dxaOrig="240" w:dyaOrig="260" w14:anchorId="76EA380D">
          <v:shape id="_x0000_i4248" type="#_x0000_t75" style="width:12.1pt;height:13.3pt" o:ole="">
            <v:imagedata r:id="rId6483" o:title=""/>
          </v:shape>
          <o:OLEObject Type="Embed" ProgID="Equation.DSMT4" ShapeID="_x0000_i4248" DrawAspect="Content" ObjectID="_1791378192" r:id="rId6484"/>
        </w:object>
      </w:r>
      <w:r w:rsidRPr="00FE433F">
        <w:rPr>
          <w:rFonts w:hint="cs"/>
          <w:i/>
          <w:sz w:val="23"/>
          <w:szCs w:val="23"/>
          <w:rtl/>
        </w:rPr>
        <w:t xml:space="preserve"> نسبت خریدهای نقدی به اعتباری افزایش می</w:t>
      </w:r>
      <w:r w:rsidRPr="00FE433F">
        <w:rPr>
          <w:i/>
          <w:sz w:val="23"/>
          <w:szCs w:val="23"/>
          <w:rtl/>
        </w:rPr>
        <w:softHyphen/>
      </w:r>
      <w:r w:rsidRPr="00FE433F">
        <w:rPr>
          <w:rFonts w:hint="cs"/>
          <w:i/>
          <w:sz w:val="23"/>
          <w:szCs w:val="23"/>
          <w:rtl/>
        </w:rPr>
        <w:t>یابد. اگر حق</w:t>
      </w:r>
      <w:r w:rsidRPr="00FE433F">
        <w:rPr>
          <w:i/>
          <w:sz w:val="23"/>
          <w:szCs w:val="23"/>
          <w:rtl/>
        </w:rPr>
        <w:softHyphen/>
      </w:r>
      <w:r w:rsidRPr="00FE433F">
        <w:rPr>
          <w:rFonts w:hint="cs"/>
          <w:i/>
          <w:sz w:val="23"/>
          <w:szCs w:val="23"/>
          <w:rtl/>
        </w:rPr>
        <w:t>العمل اعتبار وجود نداشته باشد، آنگاه</w:t>
      </w:r>
    </w:p>
    <w:p w14:paraId="6F98179D" w14:textId="77777777" w:rsidR="00411620" w:rsidRPr="00FE433F" w:rsidRDefault="00411620" w:rsidP="00411620">
      <w:pPr>
        <w:bidi w:val="0"/>
        <w:spacing w:line="216" w:lineRule="auto"/>
        <w:rPr>
          <w:rFonts w:eastAsia="Calibri"/>
          <w:i/>
          <w:sz w:val="23"/>
          <w:szCs w:val="23"/>
          <w:rtl/>
        </w:rPr>
      </w:pPr>
      <w:r w:rsidRPr="00FE433F">
        <w:rPr>
          <w:position w:val="-30"/>
        </w:rPr>
        <w:object w:dxaOrig="1880" w:dyaOrig="680" w14:anchorId="12755318">
          <v:shape id="_x0000_i4249" type="#_x0000_t75" style="width:93.8pt;height:33.9pt" o:ole="">
            <v:imagedata r:id="rId6485" o:title=""/>
          </v:shape>
          <o:OLEObject Type="Embed" ProgID="Equation.DSMT4" ShapeID="_x0000_i4249" DrawAspect="Content" ObjectID="_1791378193" r:id="rId6486"/>
        </w:object>
      </w:r>
      <w:r w:rsidRPr="00FE433F">
        <w:rPr>
          <w:i/>
          <w:sz w:val="23"/>
          <w:szCs w:val="23"/>
        </w:rPr>
        <w:tab/>
      </w:r>
      <w:r w:rsidRPr="00FE433F">
        <w:rPr>
          <w:i/>
          <w:sz w:val="23"/>
          <w:szCs w:val="23"/>
        </w:rPr>
        <w:tab/>
      </w:r>
      <w:r w:rsidRPr="00FE433F">
        <w:rPr>
          <w:i/>
          <w:sz w:val="23"/>
          <w:szCs w:val="23"/>
        </w:rPr>
        <w:tab/>
      </w:r>
      <w:r w:rsidRPr="00FE433F">
        <w:rPr>
          <w:i/>
          <w:sz w:val="23"/>
          <w:szCs w:val="23"/>
        </w:rPr>
        <w:tab/>
      </w:r>
      <w:r w:rsidRPr="00FE433F">
        <w:rPr>
          <w:i/>
          <w:sz w:val="23"/>
          <w:szCs w:val="23"/>
        </w:rPr>
        <w:tab/>
      </w:r>
      <w:r w:rsidRPr="00FE433F">
        <w:rPr>
          <w:i/>
          <w:sz w:val="23"/>
          <w:szCs w:val="23"/>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Pr>
          <w:i/>
          <w:sz w:val="23"/>
          <w:szCs w:val="23"/>
          <w:rtl/>
        </w:rPr>
        <w:tab/>
      </w:r>
      <w:r w:rsidRPr="00FE433F">
        <w:rPr>
          <w:i/>
          <w:sz w:val="23"/>
          <w:szCs w:val="23"/>
          <w:rtl/>
        </w:rPr>
        <w:tab/>
      </w:r>
      <w:r w:rsidRPr="00FE433F">
        <w:rPr>
          <w:rFonts w:hint="cs"/>
          <w:i/>
          <w:sz w:val="23"/>
          <w:szCs w:val="23"/>
          <w:rtl/>
        </w:rPr>
        <w:t xml:space="preserve"> </w:t>
      </w:r>
      <w:r w:rsidRPr="00FE433F">
        <w:rPr>
          <w:i/>
          <w:sz w:val="23"/>
          <w:szCs w:val="23"/>
          <w:rtl/>
        </w:rPr>
        <w:tab/>
      </w:r>
      <w:r w:rsidRPr="00FE433F">
        <w:rPr>
          <w:rFonts w:hint="cs"/>
          <w:i/>
          <w:sz w:val="23"/>
          <w:szCs w:val="23"/>
          <w:rtl/>
        </w:rPr>
        <w:t>(۸. ۲۲)</w:t>
      </w:r>
    </w:p>
    <w:p w14:paraId="38CEE53C"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که نشان می</w:t>
      </w:r>
      <w:r w:rsidRPr="00FE433F">
        <w:rPr>
          <w:rFonts w:eastAsia="Calibri"/>
          <w:i/>
          <w:sz w:val="23"/>
          <w:szCs w:val="23"/>
          <w:rtl/>
        </w:rPr>
        <w:softHyphen/>
      </w:r>
      <w:r w:rsidRPr="00FE433F">
        <w:rPr>
          <w:rFonts w:eastAsia="Calibri" w:hint="cs"/>
          <w:i/>
          <w:sz w:val="23"/>
          <w:szCs w:val="23"/>
          <w:rtl/>
        </w:rPr>
        <w:t>دهد نسبت نقدی به هزینه</w:t>
      </w:r>
      <w:r w:rsidRPr="00FE433F">
        <w:rPr>
          <w:rFonts w:eastAsia="Calibri"/>
          <w:i/>
          <w:sz w:val="23"/>
          <w:szCs w:val="23"/>
          <w:rtl/>
        </w:rPr>
        <w:softHyphen/>
      </w:r>
      <w:r w:rsidRPr="00FE433F">
        <w:rPr>
          <w:rFonts w:eastAsia="Calibri" w:hint="cs"/>
          <w:i/>
          <w:sz w:val="23"/>
          <w:szCs w:val="23"/>
          <w:rtl/>
        </w:rPr>
        <w:t>ی استقراض تنزیل شده با شاخص مصرف تعیین می</w:t>
      </w:r>
      <w:r w:rsidRPr="00FE433F">
        <w:rPr>
          <w:rFonts w:eastAsia="Calibri"/>
          <w:i/>
          <w:sz w:val="23"/>
          <w:szCs w:val="23"/>
          <w:rtl/>
        </w:rPr>
        <w:softHyphen/>
      </w:r>
      <w:r w:rsidRPr="00FE433F">
        <w:rPr>
          <w:rFonts w:eastAsia="Calibri" w:hint="cs"/>
          <w:i/>
          <w:sz w:val="23"/>
          <w:szCs w:val="23"/>
          <w:rtl/>
        </w:rPr>
        <w:t xml:space="preserve">شود. </w:t>
      </w:r>
    </w:p>
    <w:p w14:paraId="743D0ABB"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در وضعیت یکنواخت قید بودجه</w:t>
      </w:r>
      <w:r w:rsidRPr="00FE433F">
        <w:rPr>
          <w:rFonts w:eastAsia="Calibri"/>
          <w:i/>
          <w:sz w:val="23"/>
          <w:szCs w:val="23"/>
          <w:rtl/>
        </w:rPr>
        <w:softHyphen/>
      </w:r>
      <w:r w:rsidRPr="00FE433F">
        <w:rPr>
          <w:rFonts w:eastAsia="Calibri" w:hint="cs"/>
          <w:i/>
          <w:sz w:val="23"/>
          <w:szCs w:val="23"/>
          <w:rtl/>
        </w:rPr>
        <w:t>ی (۸. ۲۰) نشان می</w:t>
      </w:r>
      <w:r w:rsidRPr="00FE433F">
        <w:rPr>
          <w:rFonts w:eastAsia="Calibri"/>
          <w:i/>
          <w:sz w:val="23"/>
          <w:szCs w:val="23"/>
          <w:rtl/>
        </w:rPr>
        <w:softHyphen/>
      </w:r>
      <w:r w:rsidRPr="00FE433F">
        <w:rPr>
          <w:rFonts w:eastAsia="Calibri" w:hint="cs"/>
          <w:i/>
          <w:sz w:val="23"/>
          <w:szCs w:val="23"/>
          <w:rtl/>
        </w:rPr>
        <w:t xml:space="preserve">دهد که </w:t>
      </w:r>
    </w:p>
    <w:p w14:paraId="64D1A343" w14:textId="77777777" w:rsidR="00411620" w:rsidRPr="00FE433F" w:rsidRDefault="00411620" w:rsidP="00411620">
      <w:pPr>
        <w:bidi w:val="0"/>
        <w:spacing w:line="216" w:lineRule="auto"/>
        <w:rPr>
          <w:rFonts w:eastAsia="Calibri"/>
          <w:i/>
          <w:sz w:val="23"/>
          <w:szCs w:val="23"/>
          <w:rtl/>
        </w:rPr>
      </w:pPr>
      <w:r w:rsidRPr="00FE433F">
        <w:rPr>
          <w:position w:val="-64"/>
        </w:rPr>
        <w:object w:dxaOrig="3900" w:dyaOrig="1380" w14:anchorId="3A0189AC">
          <v:shape id="_x0000_i4250" type="#_x0000_t75" style="width:195.45pt;height:68.95pt" o:ole="">
            <v:imagedata r:id="rId6487" o:title=""/>
          </v:shape>
          <o:OLEObject Type="Embed" ProgID="Equation.DSMT4" ShapeID="_x0000_i4250" DrawAspect="Content" ObjectID="_1791378194" r:id="rId6488"/>
        </w:object>
      </w:r>
    </w:p>
    <w:p w14:paraId="597140F1"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در نتیجه مخارج اسمی بلندمدت برابر است با</w:t>
      </w:r>
    </w:p>
    <w:p w14:paraId="68D54433" w14:textId="77777777" w:rsidR="00411620" w:rsidRPr="00FE433F" w:rsidRDefault="00411620" w:rsidP="00411620">
      <w:pPr>
        <w:bidi w:val="0"/>
        <w:spacing w:line="216" w:lineRule="auto"/>
        <w:rPr>
          <w:rFonts w:eastAsia="Calibri"/>
          <w:i/>
          <w:sz w:val="23"/>
          <w:szCs w:val="23"/>
        </w:rPr>
      </w:pPr>
      <w:r w:rsidRPr="00FE433F">
        <w:rPr>
          <w:position w:val="-34"/>
        </w:rPr>
        <w:object w:dxaOrig="3480" w:dyaOrig="680" w14:anchorId="680B7009">
          <v:shape id="_x0000_i4251" type="#_x0000_t75" style="width:174.25pt;height:33.9pt" o:ole="">
            <v:imagedata r:id="rId6489" o:title=""/>
          </v:shape>
          <o:OLEObject Type="Embed" ProgID="Equation.DSMT4" ShapeID="_x0000_i4251" DrawAspect="Content" ObjectID="_1791378195" r:id="rId6490"/>
        </w:object>
      </w:r>
    </w:p>
    <w:p w14:paraId="58A652E2" w14:textId="77777777" w:rsidR="00411620" w:rsidRPr="00FE433F" w:rsidRDefault="00411620" w:rsidP="00411620">
      <w:pPr>
        <w:bidi w:val="0"/>
        <w:spacing w:line="216" w:lineRule="auto"/>
        <w:rPr>
          <w:rFonts w:eastAsia="Calibri"/>
          <w:i/>
          <w:sz w:val="23"/>
          <w:szCs w:val="23"/>
          <w:rtl/>
        </w:rPr>
      </w:pPr>
      <w:r w:rsidRPr="00FE433F">
        <w:rPr>
          <w:position w:val="-40"/>
        </w:rPr>
        <w:object w:dxaOrig="4680" w:dyaOrig="840" w14:anchorId="19D60055">
          <v:shape id="_x0000_i4252" type="#_x0000_t75" style="width:234.15pt;height:41.75pt" o:ole="">
            <v:imagedata r:id="rId6491" o:title=""/>
          </v:shape>
          <o:OLEObject Type="Embed" ProgID="Equation.DSMT4" ShapeID="_x0000_i4252" DrawAspect="Content" ObjectID="_1791378196" r:id="rId6492"/>
        </w:object>
      </w:r>
    </w:p>
    <w:p w14:paraId="7FC699B0"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معادله</w:t>
      </w:r>
      <w:r w:rsidRPr="00FE433F">
        <w:rPr>
          <w:rFonts w:eastAsia="Calibri"/>
          <w:i/>
          <w:sz w:val="23"/>
          <w:szCs w:val="23"/>
          <w:rtl/>
        </w:rPr>
        <w:softHyphen/>
      </w:r>
      <w:r w:rsidRPr="00FE433F">
        <w:rPr>
          <w:rFonts w:eastAsia="Calibri" w:hint="cs"/>
          <w:i/>
          <w:sz w:val="23"/>
          <w:szCs w:val="23"/>
          <w:rtl/>
        </w:rPr>
        <w:t>ی (۸. ۲۲) نشان می</w:t>
      </w:r>
      <w:r w:rsidRPr="00FE433F">
        <w:rPr>
          <w:rFonts w:eastAsia="Calibri"/>
          <w:i/>
          <w:sz w:val="23"/>
          <w:szCs w:val="23"/>
          <w:rtl/>
        </w:rPr>
        <w:softHyphen/>
      </w:r>
      <w:r w:rsidRPr="00FE433F">
        <w:rPr>
          <w:rFonts w:eastAsia="Calibri" w:hint="cs"/>
          <w:i/>
          <w:sz w:val="23"/>
          <w:szCs w:val="23"/>
          <w:rtl/>
        </w:rPr>
        <w:t>دهد چنانچه حق</w:t>
      </w:r>
      <w:r w:rsidRPr="00FE433F">
        <w:rPr>
          <w:rFonts w:eastAsia="Calibri"/>
          <w:i/>
          <w:sz w:val="23"/>
          <w:szCs w:val="23"/>
          <w:rtl/>
        </w:rPr>
        <w:softHyphen/>
      </w:r>
      <w:r w:rsidRPr="00FE433F">
        <w:rPr>
          <w:rFonts w:eastAsia="Calibri" w:hint="cs"/>
          <w:i/>
          <w:sz w:val="23"/>
          <w:szCs w:val="23"/>
          <w:rtl/>
        </w:rPr>
        <w:t>العمل اعتبار وجود نداشته باشد آنگاه خانوار بین استفاده از پول نقد و اعتبار بی</w:t>
      </w:r>
      <w:r w:rsidRPr="00FE433F">
        <w:rPr>
          <w:rFonts w:eastAsia="Calibri"/>
          <w:i/>
          <w:sz w:val="23"/>
          <w:szCs w:val="23"/>
          <w:rtl/>
        </w:rPr>
        <w:softHyphen/>
      </w:r>
      <w:r w:rsidRPr="00FE433F">
        <w:rPr>
          <w:rFonts w:eastAsia="Calibri" w:hint="cs"/>
          <w:i/>
          <w:sz w:val="23"/>
          <w:szCs w:val="23"/>
          <w:rtl/>
        </w:rPr>
        <w:t>تفاوت خواهند بود. اگر حق</w:t>
      </w:r>
      <w:r w:rsidRPr="00FE433F">
        <w:rPr>
          <w:rFonts w:eastAsia="Calibri"/>
          <w:i/>
          <w:sz w:val="23"/>
          <w:szCs w:val="23"/>
          <w:rtl/>
        </w:rPr>
        <w:softHyphen/>
      </w:r>
      <w:r w:rsidRPr="00FE433F">
        <w:rPr>
          <w:rFonts w:eastAsia="Calibri" w:hint="cs"/>
          <w:i/>
          <w:sz w:val="23"/>
          <w:szCs w:val="23"/>
          <w:rtl/>
        </w:rPr>
        <w:t>العمل اعتبار وجود داشته باشد، و خانوار بتواند بین استفاده از پول نقد و اعتبار انتخاب کند، آنگاه آن‌ها ترجیح می</w:t>
      </w:r>
      <w:r w:rsidRPr="00FE433F">
        <w:rPr>
          <w:rFonts w:eastAsia="Calibri"/>
          <w:i/>
          <w:sz w:val="23"/>
          <w:szCs w:val="23"/>
          <w:rtl/>
        </w:rPr>
        <w:softHyphen/>
      </w:r>
      <w:r w:rsidRPr="00FE433F">
        <w:rPr>
          <w:rFonts w:eastAsia="Calibri" w:hint="cs"/>
          <w:i/>
          <w:sz w:val="23"/>
          <w:szCs w:val="23"/>
          <w:rtl/>
        </w:rPr>
        <w:t xml:space="preserve">دهند تا از پول نقد استفاده کنند. با استفاده از تنها پول نقد خواهیم داشت </w:t>
      </w:r>
      <w:r w:rsidRPr="00FE433F">
        <w:rPr>
          <w:position w:val="-12"/>
        </w:rPr>
        <w:object w:dxaOrig="680" w:dyaOrig="340" w14:anchorId="41D78868">
          <v:shape id="_x0000_i4253" type="#_x0000_t75" style="width:33.9pt;height:16.95pt" o:ole="">
            <v:imagedata r:id="rId6493" o:title=""/>
          </v:shape>
          <o:OLEObject Type="Embed" ProgID="Equation.DSMT4" ShapeID="_x0000_i4253" DrawAspect="Content" ObjectID="_1791378197" r:id="rId6494"/>
        </w:object>
      </w:r>
      <w:r w:rsidRPr="00FE433F">
        <w:rPr>
          <w:rFonts w:eastAsia="Calibri" w:hint="cs"/>
          <w:i/>
          <w:sz w:val="23"/>
          <w:szCs w:val="23"/>
          <w:rtl/>
        </w:rPr>
        <w:t xml:space="preserve"> و </w:t>
      </w:r>
      <w:r w:rsidRPr="00FE433F">
        <w:rPr>
          <w:position w:val="-12"/>
        </w:rPr>
        <w:object w:dxaOrig="680" w:dyaOrig="340" w14:anchorId="0498DB39">
          <v:shape id="_x0000_i4254" type="#_x0000_t75" style="width:33.9pt;height:16.95pt" o:ole="">
            <v:imagedata r:id="rId6495" o:title=""/>
          </v:shape>
          <o:OLEObject Type="Embed" ProgID="Equation.DSMT4" ShapeID="_x0000_i4254" DrawAspect="Content" ObjectID="_1791378198" r:id="rId6496"/>
        </w:object>
      </w:r>
      <w:r w:rsidRPr="00FE433F">
        <w:rPr>
          <w:rFonts w:eastAsia="Calibri" w:hint="cs"/>
          <w:i/>
          <w:sz w:val="23"/>
          <w:szCs w:val="23"/>
          <w:rtl/>
        </w:rPr>
        <w:t>. در این صورت قید بودجه برابر خواهد شد با</w:t>
      </w:r>
    </w:p>
    <w:p w14:paraId="0103033B" w14:textId="77777777" w:rsidR="00411620" w:rsidRPr="00FE433F" w:rsidRDefault="00411620" w:rsidP="00411620">
      <w:pPr>
        <w:bidi w:val="0"/>
        <w:spacing w:line="216" w:lineRule="auto"/>
        <w:rPr>
          <w:rFonts w:eastAsia="Calibri"/>
          <w:i/>
          <w:sz w:val="23"/>
          <w:szCs w:val="23"/>
          <w:rtl/>
        </w:rPr>
      </w:pPr>
      <w:r w:rsidRPr="00FE433F">
        <w:rPr>
          <w:position w:val="-12"/>
        </w:rPr>
        <w:object w:dxaOrig="2840" w:dyaOrig="360" w14:anchorId="771EBA39">
          <v:shape id="_x0000_i4255" type="#_x0000_t75" style="width:142.2pt;height:18.15pt" o:ole="">
            <v:imagedata r:id="rId6497" o:title=""/>
          </v:shape>
          <o:OLEObject Type="Embed" ProgID="Equation.DSMT4" ShapeID="_x0000_i4255" DrawAspect="Content" ObjectID="_1791378199" r:id="rId6498"/>
        </w:object>
      </w:r>
    </w:p>
    <w:p w14:paraId="6B9F9F82"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در این صورت لاگرانژین برابر خواهد بود با</w:t>
      </w:r>
    </w:p>
    <w:p w14:paraId="65B73D74" w14:textId="77777777" w:rsidR="00411620" w:rsidRPr="00FE433F" w:rsidRDefault="00411620" w:rsidP="00411620">
      <w:pPr>
        <w:bidi w:val="0"/>
        <w:spacing w:line="216" w:lineRule="auto"/>
        <w:rPr>
          <w:rFonts w:eastAsia="Calibri"/>
          <w:i/>
          <w:sz w:val="23"/>
          <w:szCs w:val="23"/>
          <w:rtl/>
        </w:rPr>
      </w:pPr>
      <w:r w:rsidRPr="00FE433F">
        <w:rPr>
          <w:position w:val="-26"/>
        </w:rPr>
        <w:object w:dxaOrig="5960" w:dyaOrig="620" w14:anchorId="70DB1676">
          <v:shape id="_x0000_i4256" type="#_x0000_t75" style="width:298.3pt;height:30.85pt" o:ole="">
            <v:imagedata r:id="rId6499" o:title=""/>
          </v:shape>
          <o:OLEObject Type="Embed" ProgID="Equation.DSMT4" ShapeID="_x0000_i4256" DrawAspect="Content" ObjectID="_1791378200" r:id="rId6500"/>
        </w:object>
      </w:r>
    </w:p>
    <w:p w14:paraId="41BD80DA" w14:textId="77777777" w:rsidR="00411620" w:rsidRPr="00FE433F" w:rsidRDefault="00411620" w:rsidP="00411620">
      <w:pPr>
        <w:pStyle w:val="MTDisplayEquation"/>
        <w:bidi/>
        <w:spacing w:line="216" w:lineRule="auto"/>
        <w:rPr>
          <w:rFonts w:ascii="Times New Roman" w:eastAsia="Times New Roman" w:hAnsi="Times New Roman" w:cs="B Nazanin"/>
          <w:i/>
          <w:sz w:val="23"/>
          <w:szCs w:val="23"/>
          <w:rtl/>
          <w:lang w:bidi="fa-IR"/>
        </w:rPr>
      </w:pPr>
      <w:r w:rsidRPr="00FE433F">
        <w:rPr>
          <w:rFonts w:ascii="Times New Roman" w:hAnsi="Times New Roman" w:cs="B Nazanin"/>
          <w:i/>
          <w:sz w:val="23"/>
          <w:szCs w:val="23"/>
          <w:rtl/>
          <w:lang w:bidi="fa-IR"/>
        </w:rPr>
        <w:t>شرا</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ط</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مرتبه</w:t>
      </w:r>
      <w:r w:rsidRPr="00FE433F">
        <w:rPr>
          <w:rFonts w:ascii="Times New Roman" w:hAnsi="Times New Roman" w:cs="B Nazanin" w:hint="eastAsia"/>
          <w:i/>
          <w:sz w:val="23"/>
          <w:szCs w:val="23"/>
          <w:lang w:bidi="fa-IR"/>
        </w:rPr>
        <w:t>‌</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اول عبارتند از؛</w:t>
      </w:r>
    </w:p>
    <w:p w14:paraId="1E0512C0"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5179" w:dyaOrig="620" w14:anchorId="1FF9B384">
          <v:shape id="_x0000_i4257" type="#_x0000_t75" style="width:258.95pt;height:30.85pt" o:ole="">
            <v:imagedata r:id="rId6501" o:title=""/>
          </v:shape>
          <o:OLEObject Type="Embed" ProgID="Equation.DSMT4" ShapeID="_x0000_i4257" DrawAspect="Content" ObjectID="_1791378201" r:id="rId6502"/>
        </w:object>
      </w:r>
    </w:p>
    <w:p w14:paraId="43AD0446"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5140" w:dyaOrig="620" w14:anchorId="4968922A">
          <v:shape id="_x0000_i4258" type="#_x0000_t75" style="width:257.15pt;height:30.85pt" o:ole="">
            <v:imagedata r:id="rId6503" o:title=""/>
          </v:shape>
          <o:OLEObject Type="Embed" ProgID="Equation.DSMT4" ShapeID="_x0000_i4258" DrawAspect="Content" ObjectID="_1791378202" r:id="rId6504"/>
        </w:object>
      </w:r>
    </w:p>
    <w:p w14:paraId="5F89D7EE"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 xml:space="preserve">از روابط فوق </w:t>
      </w:r>
      <w:r w:rsidRPr="00FE433F">
        <w:rPr>
          <w:rFonts w:eastAsia="Calibri"/>
          <w:i/>
          <w:sz w:val="23"/>
          <w:szCs w:val="23"/>
          <w:rtl/>
        </w:rPr>
        <w:t>به راحت</w:t>
      </w:r>
      <w:r w:rsidRPr="00FE433F">
        <w:rPr>
          <w:rFonts w:eastAsia="Calibri" w:hint="cs"/>
          <w:i/>
          <w:sz w:val="23"/>
          <w:szCs w:val="23"/>
          <w:rtl/>
        </w:rPr>
        <w:t>ی</w: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 xml:space="preserve">توان نشان داد که </w:t>
      </w:r>
      <w:r w:rsidRPr="00FE433F">
        <w:rPr>
          <w:rFonts w:eastAsia="Calibri" w:hint="cs"/>
          <w:i/>
          <w:sz w:val="23"/>
          <w:szCs w:val="23"/>
          <w:rtl/>
        </w:rPr>
        <w:t>معادله</w:t>
      </w:r>
      <w:r w:rsidRPr="00FE433F">
        <w:rPr>
          <w:rFonts w:eastAsia="Calibri"/>
          <w:i/>
          <w:sz w:val="23"/>
          <w:szCs w:val="23"/>
          <w:rtl/>
        </w:rPr>
        <w:softHyphen/>
      </w:r>
      <w:r w:rsidRPr="00FE433F">
        <w:rPr>
          <w:rFonts w:eastAsia="Calibri" w:hint="cs"/>
          <w:i/>
          <w:sz w:val="23"/>
          <w:szCs w:val="23"/>
          <w:rtl/>
        </w:rPr>
        <w:t xml:space="preserve">ی اویلر برابر است با </w:t>
      </w:r>
    </w:p>
    <w:p w14:paraId="462DB1E2" w14:textId="77777777" w:rsidR="00411620" w:rsidRPr="00FE433F" w:rsidRDefault="00411620" w:rsidP="00411620">
      <w:pPr>
        <w:bidi w:val="0"/>
        <w:spacing w:line="216" w:lineRule="auto"/>
        <w:rPr>
          <w:i/>
          <w:sz w:val="23"/>
          <w:szCs w:val="23"/>
          <w:rtl/>
        </w:rPr>
      </w:pPr>
      <w:r w:rsidRPr="00FE433F">
        <w:rPr>
          <w:position w:val="-28"/>
        </w:rPr>
        <w:object w:dxaOrig="1880" w:dyaOrig="639" w14:anchorId="4BBC2C79">
          <v:shape id="_x0000_i4259" type="#_x0000_t75" style="width:93.8pt;height:32.05pt" o:ole="">
            <v:imagedata r:id="rId6505" o:title=""/>
          </v:shape>
          <o:OLEObject Type="Embed" ProgID="Equation.DSMT4" ShapeID="_x0000_i4259" DrawAspect="Content" ObjectID="_1791378203" r:id="rId6506"/>
        </w:object>
      </w:r>
    </w:p>
    <w:p w14:paraId="620DFE92" w14:textId="77777777" w:rsidR="00411620" w:rsidRPr="00FE433F" w:rsidRDefault="00411620" w:rsidP="00411620">
      <w:pPr>
        <w:spacing w:line="216" w:lineRule="auto"/>
        <w:rPr>
          <w:i/>
          <w:sz w:val="23"/>
          <w:szCs w:val="23"/>
          <w:rtl/>
        </w:rPr>
      </w:pPr>
      <w:r w:rsidRPr="00FE433F">
        <w:rPr>
          <w:rFonts w:eastAsia="Calibri" w:hint="cs"/>
          <w:i/>
          <w:sz w:val="23"/>
          <w:szCs w:val="23"/>
          <w:rtl/>
        </w:rPr>
        <w:t xml:space="preserve">بنابراین در وضعیت یکنواخت، </w:t>
      </w:r>
      <w:r w:rsidRPr="00FE433F">
        <w:rPr>
          <w:position w:val="-12"/>
        </w:rPr>
        <w:object w:dxaOrig="1300" w:dyaOrig="360" w14:anchorId="0D030849">
          <v:shape id="_x0000_i4260" type="#_x0000_t75" style="width:64.75pt;height:18.15pt" o:ole="">
            <v:imagedata r:id="rId6507" o:title=""/>
          </v:shape>
          <o:OLEObject Type="Embed" ProgID="Equation.DSMT4" ShapeID="_x0000_i4260" DrawAspect="Content" ObjectID="_1791378204" r:id="rId6508"/>
        </w:object>
      </w:r>
      <w:r w:rsidRPr="00FE433F">
        <w:rPr>
          <w:rFonts w:hint="cs"/>
          <w:i/>
          <w:sz w:val="23"/>
          <w:szCs w:val="23"/>
          <w:rtl/>
        </w:rPr>
        <w:t>. از قید بودجه</w:t>
      </w:r>
      <w:r w:rsidRPr="00FE433F">
        <w:rPr>
          <w:i/>
          <w:sz w:val="23"/>
          <w:szCs w:val="23"/>
          <w:rtl/>
        </w:rPr>
        <w:softHyphen/>
      </w:r>
      <w:r w:rsidRPr="00FE433F">
        <w:rPr>
          <w:rFonts w:hint="cs"/>
          <w:i/>
          <w:sz w:val="23"/>
          <w:szCs w:val="23"/>
          <w:rtl/>
        </w:rPr>
        <w:t xml:space="preserve">ی خانوار سطح مصرف بلندمدت برابر است با </w:t>
      </w:r>
    </w:p>
    <w:p w14:paraId="4DEC0E37" w14:textId="77777777" w:rsidR="00411620" w:rsidRPr="00FE433F" w:rsidRDefault="00411620" w:rsidP="00411620">
      <w:pPr>
        <w:pStyle w:val="MTDisplayEquation"/>
        <w:tabs>
          <w:tab w:val="clear" w:pos="6660"/>
          <w:tab w:val="right" w:pos="0"/>
        </w:tabs>
        <w:spacing w:line="216" w:lineRule="auto"/>
        <w:rPr>
          <w:rFonts w:ascii="Times New Roman" w:eastAsia="Times New Roman" w:hAnsi="Times New Roman" w:cs="B Nazanin"/>
          <w:i/>
          <w:sz w:val="23"/>
          <w:szCs w:val="23"/>
          <w:lang w:bidi="fa-IR"/>
        </w:rPr>
      </w:pPr>
      <w:r w:rsidRPr="00FE433F">
        <w:rPr>
          <w:position w:val="-22"/>
        </w:rPr>
        <w:object w:dxaOrig="1100" w:dyaOrig="560" w14:anchorId="48618254">
          <v:shape id="_x0000_i4261" type="#_x0000_t75" style="width:55.05pt;height:27.85pt" o:ole="">
            <v:imagedata r:id="rId6509" o:title=""/>
          </v:shape>
          <o:OLEObject Type="Embed" ProgID="Equation.DSMT4" ShapeID="_x0000_i4261" DrawAspect="Content" ObjectID="_1791378205" r:id="rId6510"/>
        </w:object>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i/>
          <w:sz w:val="23"/>
          <w:szCs w:val="23"/>
          <w:rtl/>
        </w:rPr>
        <w:tab/>
      </w:r>
      <w:r w:rsidRPr="00FE433F">
        <w:rPr>
          <w:rFonts w:ascii="Times New Roman" w:hAnsi="Times New Roman" w:cs="B Nazanin" w:hint="cs"/>
          <w:i/>
          <w:sz w:val="23"/>
          <w:szCs w:val="23"/>
          <w:rtl/>
        </w:rPr>
        <w:t xml:space="preserve"> </w:t>
      </w:r>
      <w:r w:rsidRPr="00FE433F">
        <w:rPr>
          <w:rFonts w:ascii="Times New Roman" w:hAnsi="Times New Roman" w:cs="B Nazanin"/>
          <w:i/>
          <w:sz w:val="23"/>
          <w:szCs w:val="23"/>
          <w:rtl/>
        </w:rPr>
        <w:t>(</w:t>
      </w:r>
      <w:r w:rsidRPr="00FE433F">
        <w:rPr>
          <w:rFonts w:ascii="Times New Roman" w:hAnsi="Times New Roman" w:cs="B Nazanin"/>
          <w:i/>
          <w:sz w:val="23"/>
          <w:szCs w:val="23"/>
          <w:rtl/>
          <w:lang w:bidi="fa-IR"/>
        </w:rPr>
        <w:t>۸.</w:t>
      </w:r>
      <w:r w:rsidRPr="00FE433F">
        <w:rPr>
          <w:rFonts w:ascii="Times New Roman" w:hAnsi="Times New Roman" w:cs="B Nazanin" w:hint="cs"/>
          <w:i/>
          <w:sz w:val="23"/>
          <w:szCs w:val="23"/>
          <w:rtl/>
          <w:lang w:bidi="fa-IR"/>
        </w:rPr>
        <w:t xml:space="preserve"> </w:t>
      </w:r>
      <w:r w:rsidRPr="00FE433F">
        <w:rPr>
          <w:rFonts w:ascii="Times New Roman" w:hAnsi="Times New Roman" w:cs="B Nazanin" w:hint="cs"/>
          <w:i/>
          <w:sz w:val="23"/>
          <w:szCs w:val="23"/>
          <w:rtl/>
        </w:rPr>
        <w:t>۲۳</w:t>
      </w:r>
      <w:r w:rsidRPr="00FE433F">
        <w:rPr>
          <w:rFonts w:ascii="Times New Roman" w:hAnsi="Times New Roman" w:cs="B Nazanin"/>
          <w:i/>
          <w:sz w:val="23"/>
          <w:szCs w:val="23"/>
          <w:rtl/>
          <w:lang w:bidi="fa-IR"/>
        </w:rPr>
        <w:t>)</w:t>
      </w:r>
    </w:p>
    <w:p w14:paraId="73EA3263"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 xml:space="preserve">با استفاده از تنها اعتبار خواهیم داشت </w:t>
      </w:r>
      <w:r w:rsidRPr="00FE433F">
        <w:rPr>
          <w:position w:val="-12"/>
        </w:rPr>
        <w:object w:dxaOrig="660" w:dyaOrig="340" w14:anchorId="5FD1B7FD">
          <v:shape id="_x0000_i4262" type="#_x0000_t75" style="width:32.65pt;height:16.95pt" o:ole="">
            <v:imagedata r:id="rId6511" o:title=""/>
          </v:shape>
          <o:OLEObject Type="Embed" ProgID="Equation.DSMT4" ShapeID="_x0000_i4262" DrawAspect="Content" ObjectID="_1791378206" r:id="rId6512"/>
        </w:object>
      </w:r>
      <w:r w:rsidRPr="00FE433F">
        <w:rPr>
          <w:rFonts w:eastAsia="Calibri" w:hint="cs"/>
          <w:i/>
          <w:sz w:val="23"/>
          <w:szCs w:val="23"/>
          <w:rtl/>
        </w:rPr>
        <w:t xml:space="preserve"> و </w:t>
      </w:r>
      <w:r w:rsidRPr="00FE433F">
        <w:rPr>
          <w:position w:val="-12"/>
        </w:rPr>
        <w:object w:dxaOrig="680" w:dyaOrig="340" w14:anchorId="0B8C5F32">
          <v:shape id="_x0000_i4263" type="#_x0000_t75" style="width:33.9pt;height:16.95pt" o:ole="">
            <v:imagedata r:id="rId6513" o:title=""/>
          </v:shape>
          <o:OLEObject Type="Embed" ProgID="Equation.DSMT4" ShapeID="_x0000_i4263" DrawAspect="Content" ObjectID="_1791378207" r:id="rId6514"/>
        </w:object>
      </w:r>
      <w:r w:rsidRPr="00FE433F">
        <w:rPr>
          <w:rFonts w:eastAsia="Calibri" w:hint="cs"/>
          <w:i/>
          <w:sz w:val="23"/>
          <w:szCs w:val="23"/>
          <w:rtl/>
        </w:rPr>
        <w:t>. در این صورت قید بودجه برابر خواهد شد با</w:t>
      </w:r>
    </w:p>
    <w:p w14:paraId="7A9BFB12" w14:textId="77777777" w:rsidR="00411620" w:rsidRPr="00FE433F" w:rsidRDefault="00411620" w:rsidP="00411620">
      <w:pPr>
        <w:bidi w:val="0"/>
        <w:spacing w:line="216" w:lineRule="auto"/>
        <w:rPr>
          <w:rFonts w:eastAsia="Calibri"/>
          <w:i/>
          <w:sz w:val="23"/>
          <w:szCs w:val="23"/>
          <w:rtl/>
        </w:rPr>
      </w:pPr>
      <w:r w:rsidRPr="00FE433F">
        <w:rPr>
          <w:position w:val="-12"/>
        </w:rPr>
        <w:object w:dxaOrig="3800" w:dyaOrig="360" w14:anchorId="232CC56D">
          <v:shape id="_x0000_i4264" type="#_x0000_t75" style="width:190pt;height:18.15pt" o:ole="">
            <v:imagedata r:id="rId6515" o:title=""/>
          </v:shape>
          <o:OLEObject Type="Embed" ProgID="Equation.DSMT4" ShapeID="_x0000_i4264" DrawAspect="Content" ObjectID="_1791378208" r:id="rId6516"/>
        </w:object>
      </w:r>
    </w:p>
    <w:p w14:paraId="4CFBCC29"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و لاگرانژین برابر خواهد بود با</w:t>
      </w:r>
    </w:p>
    <w:p w14:paraId="72D42D03" w14:textId="77777777" w:rsidR="00411620" w:rsidRPr="00FE433F" w:rsidRDefault="00411620" w:rsidP="00411620">
      <w:pPr>
        <w:bidi w:val="0"/>
        <w:spacing w:line="216" w:lineRule="auto"/>
        <w:rPr>
          <w:rFonts w:eastAsia="Calibri"/>
          <w:i/>
          <w:sz w:val="23"/>
          <w:szCs w:val="23"/>
          <w:rtl/>
        </w:rPr>
      </w:pPr>
      <w:r w:rsidRPr="00FE433F">
        <w:rPr>
          <w:position w:val="-34"/>
        </w:rPr>
        <w:object w:dxaOrig="4900" w:dyaOrig="780" w14:anchorId="079EAC49">
          <v:shape id="_x0000_i4265" type="#_x0000_t75" style="width:245.05pt;height:39.35pt" o:ole="">
            <v:imagedata r:id="rId6517" o:title=""/>
          </v:shape>
          <o:OLEObject Type="Embed" ProgID="Equation.DSMT4" ShapeID="_x0000_i4265" DrawAspect="Content" ObjectID="_1791378209" r:id="rId6518"/>
        </w:object>
      </w:r>
    </w:p>
    <w:p w14:paraId="50CFD06A" w14:textId="77777777" w:rsidR="00411620" w:rsidRPr="00FE433F" w:rsidRDefault="00411620" w:rsidP="00411620">
      <w:pPr>
        <w:pStyle w:val="MTDisplayEquation"/>
        <w:bidi/>
        <w:spacing w:line="216" w:lineRule="auto"/>
        <w:rPr>
          <w:rFonts w:ascii="Times New Roman" w:eastAsia="Times New Roman" w:hAnsi="Times New Roman" w:cs="B Nazanin"/>
          <w:i/>
          <w:sz w:val="23"/>
          <w:szCs w:val="23"/>
          <w:rtl/>
          <w:lang w:bidi="fa-IR"/>
        </w:rPr>
      </w:pPr>
      <w:r w:rsidRPr="00FE433F">
        <w:rPr>
          <w:rFonts w:ascii="Times New Roman" w:hAnsi="Times New Roman" w:cs="B Nazanin" w:hint="cs"/>
          <w:i/>
          <w:sz w:val="23"/>
          <w:szCs w:val="23"/>
          <w:rtl/>
          <w:lang w:bidi="fa-IR"/>
        </w:rPr>
        <w:t xml:space="preserve">و </w:t>
      </w:r>
      <w:r w:rsidRPr="00FE433F">
        <w:rPr>
          <w:rFonts w:ascii="Times New Roman" w:hAnsi="Times New Roman" w:cs="B Nazanin"/>
          <w:i/>
          <w:sz w:val="23"/>
          <w:szCs w:val="23"/>
          <w:rtl/>
          <w:lang w:bidi="fa-IR"/>
        </w:rPr>
        <w:t>شرا</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ط</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مرتبه</w:t>
      </w:r>
      <w:r w:rsidRPr="00FE433F">
        <w:rPr>
          <w:rFonts w:ascii="Times New Roman" w:hAnsi="Times New Roman" w:cs="B Nazanin" w:hint="eastAsia"/>
          <w:i/>
          <w:sz w:val="23"/>
          <w:szCs w:val="23"/>
          <w:lang w:bidi="fa-IR"/>
        </w:rPr>
        <w:t>‌</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اول عبارتند از؛</w:t>
      </w:r>
    </w:p>
    <w:p w14:paraId="4F7B43F4"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5260" w:dyaOrig="620" w14:anchorId="6D441D25">
          <v:shape id="_x0000_i4266" type="#_x0000_t75" style="width:263.2pt;height:30.85pt" o:ole="">
            <v:imagedata r:id="rId6519" o:title=""/>
          </v:shape>
          <o:OLEObject Type="Embed" ProgID="Equation.DSMT4" ShapeID="_x0000_i4266" DrawAspect="Content" ObjectID="_1791378210" r:id="rId6520"/>
        </w:object>
      </w:r>
    </w:p>
    <w:p w14:paraId="46EAD27D"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5200" w:dyaOrig="620" w14:anchorId="691F1039">
          <v:shape id="_x0000_i4267" type="#_x0000_t75" style="width:260.15pt;height:30.85pt" o:ole="">
            <v:imagedata r:id="rId6521" o:title=""/>
          </v:shape>
          <o:OLEObject Type="Embed" ProgID="Equation.DSMT4" ShapeID="_x0000_i4267" DrawAspect="Content" ObjectID="_1791378211" r:id="rId6522"/>
        </w:object>
      </w:r>
    </w:p>
    <w:p w14:paraId="3999E000"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معادله</w:t>
      </w:r>
      <w:r w:rsidRPr="00FE433F">
        <w:rPr>
          <w:rFonts w:eastAsia="Calibri"/>
          <w:i/>
          <w:sz w:val="23"/>
          <w:szCs w:val="23"/>
          <w:rtl/>
        </w:rPr>
        <w:softHyphen/>
      </w:r>
      <w:r w:rsidRPr="00FE433F">
        <w:rPr>
          <w:rFonts w:eastAsia="Calibri" w:hint="cs"/>
          <w:i/>
          <w:sz w:val="23"/>
          <w:szCs w:val="23"/>
          <w:rtl/>
        </w:rPr>
        <w:t>ی اویلر بدون تغییر باقی می</w:t>
      </w:r>
      <w:r w:rsidRPr="00FE433F">
        <w:rPr>
          <w:rFonts w:eastAsia="Calibri"/>
          <w:i/>
          <w:sz w:val="23"/>
          <w:szCs w:val="23"/>
          <w:rtl/>
        </w:rPr>
        <w:softHyphen/>
      </w:r>
      <w:r w:rsidRPr="00FE433F">
        <w:rPr>
          <w:rFonts w:eastAsia="Calibri" w:hint="cs"/>
          <w:i/>
          <w:sz w:val="23"/>
          <w:szCs w:val="23"/>
          <w:rtl/>
        </w:rPr>
        <w:t xml:space="preserve">ماند و سطح مصرف بلندمدت برابر خواهد بود با </w:t>
      </w:r>
    </w:p>
    <w:p w14:paraId="5F332AA1" w14:textId="77777777" w:rsidR="00411620" w:rsidRPr="00FE433F" w:rsidRDefault="00411620" w:rsidP="00411620">
      <w:pPr>
        <w:bidi w:val="0"/>
        <w:spacing w:line="216" w:lineRule="auto"/>
        <w:rPr>
          <w:rFonts w:eastAsia="Calibri"/>
          <w:i/>
          <w:sz w:val="23"/>
          <w:szCs w:val="23"/>
          <w:rtl/>
        </w:rPr>
      </w:pPr>
      <w:r w:rsidRPr="00FE433F">
        <w:rPr>
          <w:position w:val="-26"/>
        </w:rPr>
        <w:object w:dxaOrig="2500" w:dyaOrig="660" w14:anchorId="67BE373E">
          <v:shape id="_x0000_i4268" type="#_x0000_t75" style="width:125.25pt;height:32.65pt" o:ole="">
            <v:imagedata r:id="rId6523" o:title=""/>
          </v:shape>
          <o:OLEObject Type="Embed" ProgID="Equation.DSMT4" ShapeID="_x0000_i4268" DrawAspect="Content" ObjectID="_1791378212" r:id="rId6524"/>
        </w:object>
      </w:r>
      <w:r w:rsidRPr="00FE433F">
        <w:rPr>
          <w:i/>
          <w:sz w:val="23"/>
          <w:szCs w:val="23"/>
          <w:rtl/>
        </w:rPr>
        <w:tab/>
      </w:r>
      <w:r w:rsidRPr="00FE433F">
        <w:rPr>
          <w:i/>
          <w:sz w:val="23"/>
          <w:szCs w:val="23"/>
          <w:rtl/>
        </w:rPr>
        <w:tab/>
      </w:r>
      <w:r w:rsidRPr="00FE433F">
        <w:rPr>
          <w:i/>
          <w:sz w:val="23"/>
          <w:szCs w:val="23"/>
          <w:rtl/>
        </w:rPr>
        <w:tab/>
      </w:r>
      <w:r w:rsidRPr="00FE433F">
        <w:rPr>
          <w:i/>
          <w:sz w:val="23"/>
          <w:szCs w:val="23"/>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Pr>
          <w:i/>
          <w:sz w:val="23"/>
          <w:szCs w:val="23"/>
          <w:rtl/>
        </w:rPr>
        <w:tab/>
      </w:r>
      <w:r w:rsidRPr="00FE433F">
        <w:rPr>
          <w:i/>
          <w:sz w:val="23"/>
          <w:szCs w:val="23"/>
        </w:rPr>
        <w:tab/>
      </w:r>
      <w:r w:rsidRPr="00FE433F">
        <w:rPr>
          <w:i/>
          <w:sz w:val="23"/>
          <w:szCs w:val="23"/>
          <w:rtl/>
        </w:rPr>
        <w:tab/>
      </w:r>
      <w:r w:rsidRPr="00FE433F">
        <w:rPr>
          <w:rFonts w:hint="cs"/>
          <w:i/>
          <w:sz w:val="23"/>
          <w:szCs w:val="23"/>
          <w:rtl/>
        </w:rPr>
        <w:t>(۸. ۲۴)</w:t>
      </w:r>
    </w:p>
    <w:p w14:paraId="48F73908"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با توجه به انتخاب استفاده از اعتبار و پول نقد،‌ چرا خانوار ممکن است اعتبار را مورد استفاده قرا می</w:t>
      </w:r>
      <w:r w:rsidRPr="00FE433F">
        <w:rPr>
          <w:rFonts w:eastAsia="Calibri"/>
          <w:i/>
          <w:sz w:val="23"/>
          <w:szCs w:val="23"/>
          <w:rtl/>
        </w:rPr>
        <w:softHyphen/>
      </w:r>
      <w:r w:rsidRPr="00FE433F">
        <w:rPr>
          <w:rFonts w:eastAsia="Calibri" w:hint="cs"/>
          <w:i/>
          <w:sz w:val="23"/>
          <w:szCs w:val="23"/>
          <w:rtl/>
        </w:rPr>
        <w:t>دهد درحالی</w:t>
      </w:r>
      <w:r w:rsidRPr="00FE433F">
        <w:rPr>
          <w:rFonts w:eastAsia="Calibri"/>
          <w:i/>
          <w:sz w:val="23"/>
          <w:szCs w:val="23"/>
          <w:rtl/>
        </w:rPr>
        <w:softHyphen/>
      </w:r>
      <w:r w:rsidRPr="00FE433F">
        <w:rPr>
          <w:rFonts w:eastAsia="Calibri" w:hint="cs"/>
          <w:i/>
          <w:sz w:val="23"/>
          <w:szCs w:val="23"/>
          <w:rtl/>
        </w:rPr>
        <w:t>که اعتبار گران</w:t>
      </w:r>
      <w:r w:rsidRPr="00FE433F">
        <w:rPr>
          <w:rFonts w:eastAsia="Calibri"/>
          <w:i/>
          <w:sz w:val="23"/>
          <w:szCs w:val="23"/>
          <w:rtl/>
        </w:rPr>
        <w:softHyphen/>
      </w:r>
      <w:r w:rsidRPr="00FE433F">
        <w:rPr>
          <w:rFonts w:eastAsia="Calibri" w:hint="cs"/>
          <w:i/>
          <w:sz w:val="23"/>
          <w:szCs w:val="23"/>
          <w:rtl/>
        </w:rPr>
        <w:t>تر است و مصرف را کاهش می</w:t>
      </w:r>
      <w:r w:rsidRPr="00FE433F">
        <w:rPr>
          <w:rFonts w:eastAsia="Calibri"/>
          <w:i/>
          <w:sz w:val="23"/>
          <w:szCs w:val="23"/>
          <w:rtl/>
        </w:rPr>
        <w:softHyphen/>
      </w:r>
      <w:r w:rsidRPr="00FE433F">
        <w:rPr>
          <w:rFonts w:eastAsia="Calibri" w:hint="cs"/>
          <w:i/>
          <w:sz w:val="23"/>
          <w:szCs w:val="23"/>
          <w:rtl/>
        </w:rPr>
        <w:t>دهد؟ یک دلیلی محتمل آن است که خانوار پول نقد کافی در اختیار ندارد و تمایلی به تأخیر به خرید ندارد. این نکته معمولاً در مخارج بالا همانند خرید خودرو و منازل مسکونی اتفاق می</w:t>
      </w:r>
      <w:r w:rsidRPr="00FE433F">
        <w:rPr>
          <w:rFonts w:eastAsia="Calibri"/>
          <w:i/>
          <w:sz w:val="23"/>
          <w:szCs w:val="23"/>
          <w:rtl/>
        </w:rPr>
        <w:softHyphen/>
      </w:r>
      <w:r w:rsidRPr="00FE433F">
        <w:rPr>
          <w:rFonts w:eastAsia="Calibri" w:hint="cs"/>
          <w:i/>
          <w:sz w:val="23"/>
          <w:szCs w:val="23"/>
          <w:rtl/>
        </w:rPr>
        <w:t>افتد. افراد تمایل به خدمات آنی این نوع از کالاها داشته و تمایل به پرداخت حق</w:t>
      </w:r>
      <w:r w:rsidRPr="00FE433F">
        <w:rPr>
          <w:rFonts w:eastAsia="Calibri"/>
          <w:i/>
          <w:sz w:val="23"/>
          <w:szCs w:val="23"/>
          <w:rtl/>
        </w:rPr>
        <w:softHyphen/>
      </w:r>
      <w:r w:rsidRPr="00FE433F">
        <w:rPr>
          <w:rFonts w:eastAsia="Calibri" w:hint="cs"/>
          <w:i/>
          <w:sz w:val="23"/>
          <w:szCs w:val="23"/>
          <w:rtl/>
        </w:rPr>
        <w:t>العمل آن برای دست یافتن به آن ها را دارند.</w:t>
      </w:r>
    </w:p>
    <w:p w14:paraId="4F53B9E1"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در فصل پانزدهم موضوع اعتبار را با جزئیات بیشتر و تحت شرایط عمومی</w:t>
      </w:r>
      <w:r w:rsidRPr="00FE433F">
        <w:rPr>
          <w:rFonts w:eastAsia="Calibri"/>
          <w:i/>
          <w:sz w:val="23"/>
          <w:szCs w:val="23"/>
          <w:rtl/>
        </w:rPr>
        <w:softHyphen/>
      </w:r>
      <w:r w:rsidRPr="00FE433F">
        <w:rPr>
          <w:rFonts w:eastAsia="Calibri" w:hint="cs"/>
          <w:i/>
          <w:sz w:val="23"/>
          <w:szCs w:val="23"/>
          <w:rtl/>
        </w:rPr>
        <w:t>تر همانند وجود اطلاعات ناقصِ وام</w:t>
      </w:r>
      <w:r w:rsidRPr="00FE433F">
        <w:rPr>
          <w:rFonts w:eastAsia="Calibri"/>
          <w:i/>
          <w:sz w:val="23"/>
          <w:szCs w:val="23"/>
          <w:rtl/>
        </w:rPr>
        <w:softHyphen/>
      </w:r>
      <w:r w:rsidRPr="00FE433F">
        <w:rPr>
          <w:rFonts w:eastAsia="Calibri" w:hint="cs"/>
          <w:i/>
          <w:sz w:val="23"/>
          <w:szCs w:val="23"/>
          <w:rtl/>
        </w:rPr>
        <w:t>گیرندگان و قرض</w:t>
      </w:r>
      <w:r w:rsidRPr="00FE433F">
        <w:rPr>
          <w:rFonts w:eastAsia="Calibri"/>
          <w:i/>
          <w:sz w:val="23"/>
          <w:szCs w:val="23"/>
          <w:rtl/>
        </w:rPr>
        <w:softHyphen/>
      </w:r>
      <w:r w:rsidRPr="00FE433F">
        <w:rPr>
          <w:rFonts w:eastAsia="Calibri" w:hint="cs"/>
          <w:i/>
          <w:sz w:val="23"/>
          <w:szCs w:val="23"/>
          <w:rtl/>
        </w:rPr>
        <w:t>دهندگان مورد بررسی قرار می</w:t>
      </w:r>
      <w:r w:rsidRPr="00FE433F">
        <w:rPr>
          <w:rFonts w:eastAsia="Calibri"/>
          <w:i/>
          <w:sz w:val="23"/>
          <w:szCs w:val="23"/>
          <w:rtl/>
        </w:rPr>
        <w:softHyphen/>
      </w:r>
      <w:r w:rsidRPr="00FE433F">
        <w:rPr>
          <w:rFonts w:eastAsia="Calibri" w:hint="cs"/>
          <w:i/>
          <w:sz w:val="23"/>
          <w:szCs w:val="23"/>
          <w:rtl/>
        </w:rPr>
        <w:t xml:space="preserve">دهیم. </w:t>
      </w:r>
    </w:p>
    <w:p w14:paraId="5A0EBBA3"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در ا</w:t>
      </w:r>
      <w:r w:rsidRPr="00FE433F">
        <w:rPr>
          <w:rFonts w:eastAsia="Calibri" w:hint="cs"/>
          <w:i/>
          <w:sz w:val="23"/>
          <w:szCs w:val="23"/>
          <w:rtl/>
        </w:rPr>
        <w:t>ی</w:t>
      </w:r>
      <w:r w:rsidRPr="00FE433F">
        <w:rPr>
          <w:rFonts w:eastAsia="Calibri" w:hint="eastAsia"/>
          <w:i/>
          <w:sz w:val="23"/>
          <w:szCs w:val="23"/>
          <w:rtl/>
        </w:rPr>
        <w:t>نجا</w:t>
      </w:r>
      <w:r w:rsidRPr="00FE433F">
        <w:rPr>
          <w:rFonts w:eastAsia="Calibri"/>
          <w:i/>
          <w:sz w:val="23"/>
          <w:szCs w:val="23"/>
          <w:rtl/>
        </w:rPr>
        <w:t xml:space="preserve"> اعتبار را </w:t>
      </w:r>
      <w:r w:rsidRPr="00FE433F">
        <w:rPr>
          <w:rFonts w:eastAsia="Calibri" w:hint="eastAsia"/>
          <w:i/>
          <w:sz w:val="23"/>
          <w:szCs w:val="23"/>
          <w:rtl/>
        </w:rPr>
        <w:t>تقر</w:t>
      </w:r>
      <w:r w:rsidRPr="00FE433F">
        <w:rPr>
          <w:rFonts w:eastAsia="Calibri" w:hint="cs"/>
          <w:i/>
          <w:sz w:val="23"/>
          <w:szCs w:val="23"/>
          <w:rtl/>
        </w:rPr>
        <w:t>ی</w:t>
      </w:r>
      <w:r w:rsidRPr="00FE433F">
        <w:rPr>
          <w:rFonts w:eastAsia="Calibri" w:hint="eastAsia"/>
          <w:i/>
          <w:sz w:val="23"/>
          <w:szCs w:val="23"/>
          <w:rtl/>
        </w:rPr>
        <w:t>باً</w:t>
      </w:r>
      <w:r w:rsidRPr="00FE433F">
        <w:rPr>
          <w:rFonts w:eastAsia="Calibri"/>
          <w:i/>
          <w:sz w:val="23"/>
          <w:szCs w:val="23"/>
          <w:rtl/>
        </w:rPr>
        <w:t xml:space="preserve"> شب</w:t>
      </w:r>
      <w:r w:rsidRPr="00FE433F">
        <w:rPr>
          <w:rFonts w:eastAsia="Calibri" w:hint="cs"/>
          <w:i/>
          <w:sz w:val="23"/>
          <w:szCs w:val="23"/>
          <w:rtl/>
        </w:rPr>
        <w:t>ی</w:t>
      </w:r>
      <w:r w:rsidRPr="00FE433F">
        <w:rPr>
          <w:rFonts w:eastAsia="Calibri" w:hint="eastAsia"/>
          <w:i/>
          <w:sz w:val="23"/>
          <w:szCs w:val="23"/>
          <w:rtl/>
        </w:rPr>
        <w:t>ه</w:t>
      </w:r>
      <w:r w:rsidRPr="00FE433F">
        <w:rPr>
          <w:rFonts w:eastAsia="Calibri"/>
          <w:i/>
          <w:sz w:val="23"/>
          <w:szCs w:val="23"/>
          <w:rtl/>
        </w:rPr>
        <w:t xml:space="preserve"> اوراق </w:t>
      </w:r>
      <w:r w:rsidRPr="00FE433F">
        <w:rPr>
          <w:i/>
          <w:sz w:val="23"/>
          <w:szCs w:val="23"/>
          <w:rtl/>
        </w:rPr>
        <w:t>قرضه</w:t>
      </w:r>
      <w:r w:rsidRPr="00FE433F">
        <w:rPr>
          <w:i/>
          <w:sz w:val="23"/>
          <w:szCs w:val="23"/>
          <w:rtl/>
        </w:rPr>
        <w:softHyphen/>
      </w:r>
      <w:r w:rsidRPr="00FE433F">
        <w:rPr>
          <w:rFonts w:eastAsia="Calibri"/>
          <w:i/>
          <w:sz w:val="23"/>
          <w:szCs w:val="23"/>
          <w:rtl/>
        </w:rPr>
        <w:t xml:space="preserve"> در نظر گرفت</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w:t>
      </w:r>
      <w:r w:rsidRPr="00FE433F">
        <w:rPr>
          <w:rFonts w:eastAsia="Calibri" w:hint="eastAsia"/>
          <w:i/>
          <w:sz w:val="23"/>
          <w:szCs w:val="23"/>
          <w:rtl/>
        </w:rPr>
        <w:t>با</w:t>
      </w:r>
      <w:r w:rsidRPr="00FE433F">
        <w:rPr>
          <w:rFonts w:eastAsia="Calibri"/>
          <w:i/>
          <w:sz w:val="23"/>
          <w:szCs w:val="23"/>
          <w:rtl/>
        </w:rPr>
        <w:t xml:space="preserve">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تفاوت که اعتبار </w:t>
      </w:r>
      <w:r w:rsidRPr="00FE433F">
        <w:rPr>
          <w:rFonts w:eastAsia="Calibri" w:hint="cs"/>
          <w:i/>
          <w:sz w:val="23"/>
          <w:szCs w:val="23"/>
          <w:rtl/>
        </w:rPr>
        <w:t>اوراق قرضه</w:t>
      </w:r>
      <w:r w:rsidRPr="00FE433F">
        <w:rPr>
          <w:rFonts w:eastAsia="Calibri"/>
          <w:i/>
          <w:sz w:val="23"/>
          <w:szCs w:val="23"/>
          <w:rtl/>
        </w:rPr>
        <w:softHyphen/>
      </w:r>
      <w:r w:rsidRPr="00FE433F">
        <w:rPr>
          <w:rFonts w:eastAsia="Calibri" w:hint="cs"/>
          <w:i/>
          <w:sz w:val="23"/>
          <w:szCs w:val="23"/>
          <w:rtl/>
        </w:rPr>
        <w:t xml:space="preserve">ای است که </w:t>
      </w:r>
      <w:r w:rsidRPr="00FE433F">
        <w:rPr>
          <w:rFonts w:eastAsia="Calibri"/>
          <w:i/>
          <w:sz w:val="23"/>
          <w:szCs w:val="23"/>
          <w:rtl/>
        </w:rPr>
        <w:t>توسط خانوار منتشر م</w:t>
      </w:r>
      <w:r w:rsidRPr="00FE433F">
        <w:rPr>
          <w:rFonts w:eastAsia="Calibri" w:hint="cs"/>
          <w:i/>
          <w:sz w:val="23"/>
          <w:szCs w:val="23"/>
          <w:rtl/>
        </w:rPr>
        <w:t>ی‌</w:t>
      </w:r>
      <w:r w:rsidRPr="00FE433F">
        <w:rPr>
          <w:rFonts w:eastAsia="Calibri"/>
          <w:i/>
          <w:sz w:val="23"/>
          <w:szCs w:val="23"/>
          <w:rtl/>
        </w:rPr>
        <w:t>شود نه بنگاه و</w:t>
      </w:r>
      <w:r w:rsidRPr="00FE433F">
        <w:rPr>
          <w:rFonts w:hint="cs"/>
          <w:i/>
          <w:sz w:val="23"/>
          <w:szCs w:val="23"/>
          <w:rtl/>
        </w:rPr>
        <w:t xml:space="preserve"> </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ا دولت. هرچند با</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توجه داشت که بدل</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اطلاعات ناقص</w:t>
      </w:r>
      <w:r w:rsidRPr="00FE433F">
        <w:rPr>
          <w:rFonts w:hint="cs"/>
          <w:i/>
          <w:sz w:val="23"/>
          <w:szCs w:val="23"/>
          <w:rtl/>
        </w:rPr>
        <w:t>،</w:t>
      </w:r>
      <w:r w:rsidRPr="00FE433F">
        <w:rPr>
          <w:rFonts w:eastAsia="Calibri"/>
          <w:i/>
          <w:sz w:val="23"/>
          <w:szCs w:val="23"/>
          <w:rtl/>
        </w:rPr>
        <w:t xml:space="preserve"> ل</w:t>
      </w:r>
      <w:r w:rsidRPr="00FE433F">
        <w:rPr>
          <w:rFonts w:eastAsia="Calibri" w:hint="cs"/>
          <w:i/>
          <w:sz w:val="23"/>
          <w:szCs w:val="23"/>
          <w:rtl/>
        </w:rPr>
        <w:t>ی</w:t>
      </w:r>
      <w:r w:rsidRPr="00FE433F">
        <w:rPr>
          <w:rFonts w:hint="eastAsia"/>
          <w:i/>
          <w:sz w:val="23"/>
          <w:szCs w:val="23"/>
          <w:rtl/>
        </w:rPr>
        <w:t>اقت</w:t>
      </w:r>
      <w:r w:rsidRPr="00FE433F">
        <w:rPr>
          <w:rFonts w:hint="cs"/>
          <w:i/>
          <w:sz w:val="23"/>
          <w:szCs w:val="23"/>
          <w:rtl/>
        </w:rPr>
        <w:t xml:space="preserve"> و</w:t>
      </w:r>
      <w:r w:rsidRPr="00FE433F">
        <w:rPr>
          <w:rFonts w:eastAsia="Calibri"/>
          <w:i/>
          <w:sz w:val="23"/>
          <w:szCs w:val="23"/>
          <w:rtl/>
        </w:rPr>
        <w:t xml:space="preserve"> </w:t>
      </w:r>
      <w:r w:rsidRPr="00FE433F">
        <w:rPr>
          <w:rFonts w:eastAsia="Calibri" w:hint="eastAsia"/>
          <w:i/>
          <w:sz w:val="23"/>
          <w:szCs w:val="23"/>
          <w:rtl/>
        </w:rPr>
        <w:t>شا</w:t>
      </w:r>
      <w:r w:rsidRPr="00FE433F">
        <w:rPr>
          <w:rFonts w:eastAsia="Calibri" w:hint="cs"/>
          <w:i/>
          <w:sz w:val="23"/>
          <w:szCs w:val="23"/>
          <w:rtl/>
        </w:rPr>
        <w:t>ی</w:t>
      </w:r>
      <w:r w:rsidRPr="00FE433F">
        <w:rPr>
          <w:rFonts w:eastAsia="Calibri" w:hint="eastAsia"/>
          <w:i/>
          <w:sz w:val="23"/>
          <w:szCs w:val="23"/>
          <w:rtl/>
        </w:rPr>
        <w:t>ستگ</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و</w:t>
      </w:r>
      <w:r w:rsidRPr="00FE433F">
        <w:rPr>
          <w:rFonts w:eastAsia="Calibri"/>
          <w:i/>
          <w:sz w:val="23"/>
          <w:szCs w:val="23"/>
          <w:rtl/>
        </w:rPr>
        <w:t xml:space="preserve"> </w:t>
      </w:r>
      <w:r w:rsidRPr="00FE433F">
        <w:rPr>
          <w:rFonts w:eastAsia="Calibri" w:hint="eastAsia"/>
          <w:i/>
          <w:sz w:val="23"/>
          <w:szCs w:val="23"/>
          <w:rtl/>
        </w:rPr>
        <w:t>اعتبار</w:t>
      </w:r>
      <w:r w:rsidRPr="00FE433F">
        <w:rPr>
          <w:rFonts w:eastAsia="Calibri"/>
          <w:i/>
          <w:sz w:val="23"/>
          <w:szCs w:val="23"/>
          <w:rtl/>
        </w:rPr>
        <w:t xml:space="preserve"> </w:t>
      </w:r>
      <w:r w:rsidRPr="00FE433F">
        <w:rPr>
          <w:rFonts w:eastAsia="Calibri" w:hint="eastAsia"/>
          <w:i/>
          <w:sz w:val="23"/>
          <w:szCs w:val="23"/>
          <w:rtl/>
        </w:rPr>
        <w:t>خانوار</w:t>
      </w:r>
      <w:r w:rsidRPr="00FE433F">
        <w:rPr>
          <w:rFonts w:eastAsia="Calibri" w:hint="cs"/>
          <w:i/>
          <w:sz w:val="23"/>
          <w:szCs w:val="23"/>
          <w:rtl/>
        </w:rPr>
        <w:t>،</w:t>
      </w:r>
      <w:r w:rsidRPr="00FE433F">
        <w:rPr>
          <w:rFonts w:eastAsia="Calibri"/>
          <w:i/>
          <w:sz w:val="23"/>
          <w:szCs w:val="23"/>
          <w:rtl/>
        </w:rPr>
        <w:t xml:space="preserve"> ر</w:t>
      </w:r>
      <w:r w:rsidRPr="00FE433F">
        <w:rPr>
          <w:rFonts w:eastAsia="Calibri" w:hint="cs"/>
          <w:i/>
          <w:sz w:val="23"/>
          <w:szCs w:val="23"/>
          <w:rtl/>
        </w:rPr>
        <w:t>ی</w:t>
      </w:r>
      <w:r w:rsidRPr="00FE433F">
        <w:rPr>
          <w:rFonts w:eastAsia="Calibri" w:hint="eastAsia"/>
          <w:i/>
          <w:sz w:val="23"/>
          <w:szCs w:val="23"/>
          <w:rtl/>
        </w:rPr>
        <w:t>سک</w:t>
      </w:r>
      <w:r w:rsidRPr="00FE433F">
        <w:rPr>
          <w:rFonts w:eastAsia="Calibri"/>
          <w:i/>
          <w:sz w:val="23"/>
          <w:szCs w:val="23"/>
          <w:rtl/>
        </w:rPr>
        <w:t xml:space="preserve"> قرض به خانوار به مراتب بالاتر از ر</w:t>
      </w:r>
      <w:r w:rsidRPr="00FE433F">
        <w:rPr>
          <w:rFonts w:eastAsia="Calibri" w:hint="cs"/>
          <w:i/>
          <w:sz w:val="23"/>
          <w:szCs w:val="23"/>
          <w:rtl/>
        </w:rPr>
        <w:t>ی</w:t>
      </w:r>
      <w:r w:rsidRPr="00FE433F">
        <w:rPr>
          <w:rFonts w:eastAsia="Calibri" w:hint="eastAsia"/>
          <w:i/>
          <w:sz w:val="23"/>
          <w:szCs w:val="23"/>
          <w:rtl/>
        </w:rPr>
        <w:t>سک</w:t>
      </w:r>
      <w:r w:rsidRPr="00FE433F">
        <w:rPr>
          <w:rFonts w:eastAsia="Calibri"/>
          <w:i/>
          <w:sz w:val="23"/>
          <w:szCs w:val="23"/>
          <w:rtl/>
        </w:rPr>
        <w:t xml:space="preserve"> قرض به دولت است. نکته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فوق ب</w:t>
      </w:r>
      <w:r w:rsidRPr="00FE433F">
        <w:rPr>
          <w:rFonts w:eastAsia="Calibri" w:hint="eastAsia"/>
          <w:i/>
          <w:sz w:val="23"/>
          <w:szCs w:val="23"/>
          <w:rtl/>
        </w:rPr>
        <w:t>ر</w:t>
      </w:r>
      <w:r w:rsidRPr="00FE433F">
        <w:rPr>
          <w:rFonts w:eastAsia="Calibri"/>
          <w:i/>
          <w:sz w:val="23"/>
          <w:szCs w:val="23"/>
          <w:rtl/>
        </w:rPr>
        <w:t>ا</w:t>
      </w:r>
      <w:r w:rsidRPr="00FE433F">
        <w:rPr>
          <w:rFonts w:eastAsia="Calibri" w:hint="cs"/>
          <w:i/>
          <w:sz w:val="23"/>
          <w:szCs w:val="23"/>
          <w:rtl/>
        </w:rPr>
        <w:t>ی</w:t>
      </w:r>
      <w:r w:rsidRPr="00FE433F">
        <w:rPr>
          <w:rFonts w:eastAsia="Calibri"/>
          <w:i/>
          <w:sz w:val="23"/>
          <w:szCs w:val="23"/>
          <w:rtl/>
        </w:rPr>
        <w:t xml:space="preserve"> بنگاه‌ها بخصوص بنگاه‌ها</w:t>
      </w:r>
      <w:r w:rsidRPr="00FE433F">
        <w:rPr>
          <w:rFonts w:eastAsia="Calibri" w:hint="cs"/>
          <w:i/>
          <w:sz w:val="23"/>
          <w:szCs w:val="23"/>
          <w:rtl/>
        </w:rPr>
        <w:t>ی</w:t>
      </w:r>
      <w:r w:rsidRPr="00FE433F">
        <w:rPr>
          <w:rFonts w:eastAsia="Calibri"/>
          <w:i/>
          <w:sz w:val="23"/>
          <w:szCs w:val="23"/>
          <w:rtl/>
        </w:rPr>
        <w:t xml:space="preserve"> جد</w:t>
      </w:r>
      <w:r w:rsidRPr="00FE433F">
        <w:rPr>
          <w:rFonts w:eastAsia="Calibri" w:hint="cs"/>
          <w:i/>
          <w:sz w:val="23"/>
          <w:szCs w:val="23"/>
          <w:rtl/>
        </w:rPr>
        <w:t>ی</w:t>
      </w:r>
      <w:r w:rsidRPr="00FE433F">
        <w:rPr>
          <w:rFonts w:eastAsia="Calibri" w:hint="eastAsia"/>
          <w:i/>
          <w:sz w:val="23"/>
          <w:szCs w:val="23"/>
          <w:rtl/>
        </w:rPr>
        <w:t>دالاحداث</w:t>
      </w:r>
      <w:r w:rsidRPr="00FE433F">
        <w:rPr>
          <w:rFonts w:eastAsia="Calibri"/>
          <w:i/>
          <w:sz w:val="23"/>
          <w:szCs w:val="23"/>
          <w:rtl/>
        </w:rPr>
        <w:t xml:space="preserve"> </w:t>
      </w:r>
      <w:r w:rsidRPr="00FE433F">
        <w:rPr>
          <w:rFonts w:eastAsia="Calibri" w:hint="eastAsia"/>
          <w:i/>
          <w:sz w:val="23"/>
          <w:szCs w:val="23"/>
          <w:rtl/>
        </w:rPr>
        <w:t>ن</w:t>
      </w:r>
      <w:r w:rsidRPr="00FE433F">
        <w:rPr>
          <w:rFonts w:eastAsia="Calibri" w:hint="cs"/>
          <w:i/>
          <w:sz w:val="23"/>
          <w:szCs w:val="23"/>
          <w:rtl/>
        </w:rPr>
        <w:t>ی</w:t>
      </w:r>
      <w:r w:rsidRPr="00FE433F">
        <w:rPr>
          <w:rFonts w:eastAsia="Calibri" w:hint="eastAsia"/>
          <w:i/>
          <w:sz w:val="23"/>
          <w:szCs w:val="23"/>
          <w:rtl/>
        </w:rPr>
        <w:t>ز</w:t>
      </w:r>
      <w:r w:rsidRPr="00FE433F">
        <w:rPr>
          <w:rFonts w:eastAsia="Calibri"/>
          <w:i/>
          <w:sz w:val="23"/>
          <w:szCs w:val="23"/>
          <w:rtl/>
        </w:rPr>
        <w:t xml:space="preserve"> </w:t>
      </w:r>
      <w:r w:rsidRPr="00FE433F">
        <w:rPr>
          <w:rFonts w:eastAsia="Calibri" w:hint="eastAsia"/>
          <w:i/>
          <w:sz w:val="23"/>
          <w:szCs w:val="23"/>
          <w:rtl/>
        </w:rPr>
        <w:t>صادق</w:t>
      </w:r>
      <w:r w:rsidRPr="00FE433F">
        <w:rPr>
          <w:rFonts w:eastAsia="Calibri"/>
          <w:i/>
          <w:sz w:val="23"/>
          <w:szCs w:val="23"/>
          <w:rtl/>
        </w:rPr>
        <w:t xml:space="preserve"> </w:t>
      </w:r>
      <w:r w:rsidRPr="00FE433F">
        <w:rPr>
          <w:rFonts w:eastAsia="Calibri" w:hint="eastAsia"/>
          <w:i/>
          <w:sz w:val="23"/>
          <w:szCs w:val="23"/>
          <w:rtl/>
        </w:rPr>
        <w:t>است</w:t>
      </w:r>
      <w:r w:rsidRPr="00FE433F">
        <w:rPr>
          <w:rFonts w:eastAsia="Calibri"/>
          <w:i/>
          <w:sz w:val="23"/>
          <w:szCs w:val="23"/>
          <w:rtl/>
        </w:rPr>
        <w:t xml:space="preserve">. </w:t>
      </w:r>
      <w:r w:rsidRPr="00FE433F">
        <w:rPr>
          <w:rFonts w:eastAsia="Calibri" w:hint="eastAsia"/>
          <w:i/>
          <w:sz w:val="23"/>
          <w:szCs w:val="23"/>
          <w:rtl/>
        </w:rPr>
        <w:t>در</w:t>
      </w:r>
      <w:r w:rsidRPr="00FE433F">
        <w:rPr>
          <w:rFonts w:eastAsia="Calibri"/>
          <w:i/>
          <w:sz w:val="23"/>
          <w:szCs w:val="23"/>
          <w:rtl/>
        </w:rPr>
        <w:t xml:space="preserve"> </w:t>
      </w:r>
      <w:r w:rsidRPr="00FE433F">
        <w:rPr>
          <w:rFonts w:eastAsia="Calibri" w:hint="eastAsia"/>
          <w:i/>
          <w:sz w:val="23"/>
          <w:szCs w:val="23"/>
          <w:rtl/>
        </w:rPr>
        <w:t>ادب</w:t>
      </w:r>
      <w:r w:rsidRPr="00FE433F">
        <w:rPr>
          <w:rFonts w:eastAsia="Calibri" w:hint="cs"/>
          <w:i/>
          <w:sz w:val="23"/>
          <w:szCs w:val="23"/>
          <w:rtl/>
        </w:rPr>
        <w:t>ی</w:t>
      </w:r>
      <w:r w:rsidRPr="00FE433F">
        <w:rPr>
          <w:rFonts w:eastAsia="Calibri" w:hint="eastAsia"/>
          <w:i/>
          <w:sz w:val="23"/>
          <w:szCs w:val="23"/>
          <w:rtl/>
        </w:rPr>
        <w:t>ات</w:t>
      </w:r>
      <w:r w:rsidRPr="00FE433F">
        <w:rPr>
          <w:rFonts w:eastAsia="Calibri"/>
          <w:i/>
          <w:sz w:val="23"/>
          <w:szCs w:val="23"/>
          <w:rtl/>
        </w:rPr>
        <w:t xml:space="preserve"> </w:t>
      </w:r>
      <w:r w:rsidRPr="00FE433F">
        <w:rPr>
          <w:rFonts w:eastAsia="Calibri" w:hint="eastAsia"/>
          <w:i/>
          <w:sz w:val="23"/>
          <w:szCs w:val="23"/>
          <w:rtl/>
        </w:rPr>
        <w:t>اقتصاد</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نظریه</w:t>
      </w:r>
      <w:r w:rsidRPr="00FE433F">
        <w:rPr>
          <w:rFonts w:eastAsia="Calibri"/>
          <w:i/>
          <w:sz w:val="23"/>
          <w:szCs w:val="23"/>
          <w:rtl/>
        </w:rPr>
        <w:t>‌ها</w:t>
      </w:r>
      <w:r w:rsidRPr="00FE433F">
        <w:rPr>
          <w:rFonts w:eastAsia="Calibri" w:hint="cs"/>
          <w:i/>
          <w:sz w:val="23"/>
          <w:szCs w:val="23"/>
          <w:rtl/>
        </w:rPr>
        <w:t>ی</w:t>
      </w:r>
      <w:r w:rsidRPr="00FE433F">
        <w:rPr>
          <w:rFonts w:eastAsia="Calibri"/>
          <w:i/>
          <w:sz w:val="23"/>
          <w:szCs w:val="23"/>
          <w:rtl/>
        </w:rPr>
        <w:t xml:space="preserve"> ز</w:t>
      </w:r>
      <w:r w:rsidRPr="00FE433F">
        <w:rPr>
          <w:rFonts w:eastAsia="Calibri" w:hint="cs"/>
          <w:i/>
          <w:sz w:val="23"/>
          <w:szCs w:val="23"/>
          <w:rtl/>
        </w:rPr>
        <w:t>ی</w:t>
      </w:r>
      <w:r w:rsidRPr="00FE433F">
        <w:rPr>
          <w:rFonts w:eastAsia="Calibri" w:hint="eastAsia"/>
          <w:i/>
          <w:sz w:val="23"/>
          <w:szCs w:val="23"/>
          <w:rtl/>
        </w:rPr>
        <w:t>اد</w:t>
      </w:r>
      <w:r w:rsidRPr="00FE433F">
        <w:rPr>
          <w:rFonts w:eastAsia="Calibri" w:hint="cs"/>
          <w:i/>
          <w:sz w:val="23"/>
          <w:szCs w:val="23"/>
          <w:rtl/>
        </w:rPr>
        <w:t>ی</w:t>
      </w:r>
      <w:r w:rsidRPr="00FE433F">
        <w:rPr>
          <w:rFonts w:eastAsia="Calibri"/>
          <w:i/>
          <w:sz w:val="23"/>
          <w:szCs w:val="23"/>
          <w:rtl/>
        </w:rPr>
        <w:t xml:space="preserve"> در خصوص </w:t>
      </w:r>
      <w:r w:rsidRPr="00FE433F">
        <w:rPr>
          <w:rFonts w:eastAsia="Calibri" w:hint="eastAsia"/>
          <w:i/>
          <w:sz w:val="23"/>
          <w:szCs w:val="23"/>
          <w:rtl/>
        </w:rPr>
        <w:t>ق</w:t>
      </w:r>
      <w:r w:rsidRPr="00FE433F">
        <w:rPr>
          <w:rFonts w:eastAsia="Calibri" w:hint="cs"/>
          <w:i/>
          <w:sz w:val="23"/>
          <w:szCs w:val="23"/>
          <w:rtl/>
        </w:rPr>
        <w:t>ی</w:t>
      </w:r>
      <w:r w:rsidRPr="00FE433F">
        <w:rPr>
          <w:rFonts w:eastAsia="Calibri" w:hint="eastAsia"/>
          <w:i/>
          <w:sz w:val="23"/>
          <w:szCs w:val="23"/>
          <w:rtl/>
        </w:rPr>
        <w:t>ود</w:t>
      </w:r>
      <w:r w:rsidRPr="00FE433F">
        <w:rPr>
          <w:rFonts w:eastAsia="Calibri"/>
          <w:i/>
          <w:sz w:val="23"/>
          <w:szCs w:val="23"/>
          <w:rtl/>
        </w:rPr>
        <w:t xml:space="preserve"> اعتبار</w:t>
      </w:r>
      <w:r w:rsidRPr="00FE433F">
        <w:rPr>
          <w:rFonts w:eastAsia="Calibri" w:hint="cs"/>
          <w:i/>
          <w:sz w:val="23"/>
          <w:szCs w:val="23"/>
          <w:rtl/>
        </w:rPr>
        <w:t>ی</w:t>
      </w:r>
      <w:r w:rsidRPr="00FE433F">
        <w:rPr>
          <w:rFonts w:eastAsia="Calibri" w:hint="eastAsia"/>
          <w:i/>
          <w:sz w:val="23"/>
          <w:szCs w:val="23"/>
          <w:rtl/>
        </w:rPr>
        <w:t>،</w:t>
      </w:r>
      <w:r w:rsidRPr="00FE433F">
        <w:rPr>
          <w:rFonts w:eastAsia="Calibri"/>
          <w:i/>
          <w:sz w:val="23"/>
          <w:szCs w:val="23"/>
          <w:rtl/>
        </w:rPr>
        <w:t xml:space="preserve"> محدود</w:t>
      </w:r>
      <w:r w:rsidRPr="00FE433F">
        <w:rPr>
          <w:rFonts w:eastAsia="Calibri" w:hint="cs"/>
          <w:i/>
          <w:sz w:val="23"/>
          <w:szCs w:val="23"/>
          <w:rtl/>
        </w:rPr>
        <w:t>ی</w:t>
      </w:r>
      <w:r w:rsidRPr="00FE433F">
        <w:rPr>
          <w:rFonts w:eastAsia="Calibri" w:hint="eastAsia"/>
          <w:i/>
          <w:sz w:val="23"/>
          <w:szCs w:val="23"/>
          <w:rtl/>
        </w:rPr>
        <w:t>ت‌ها</w:t>
      </w:r>
      <w:r w:rsidRPr="00FE433F">
        <w:rPr>
          <w:rFonts w:eastAsia="Calibri" w:hint="cs"/>
          <w:i/>
          <w:sz w:val="23"/>
          <w:szCs w:val="23"/>
          <w:rtl/>
        </w:rPr>
        <w:t>ی</w:t>
      </w:r>
      <w:r w:rsidRPr="00FE433F">
        <w:rPr>
          <w:rFonts w:eastAsia="Calibri"/>
          <w:i/>
          <w:sz w:val="23"/>
          <w:szCs w:val="23"/>
          <w:rtl/>
        </w:rPr>
        <w:t xml:space="preserve"> تعدد استقراض</w:t>
      </w:r>
      <w:r w:rsidRPr="00FE433F">
        <w:rPr>
          <w:rFonts w:eastAsia="Calibri" w:hint="eastAsia"/>
          <w:i/>
          <w:sz w:val="23"/>
          <w:szCs w:val="23"/>
          <w:rtl/>
        </w:rPr>
        <w:t>،</w:t>
      </w:r>
      <w:r w:rsidRPr="00FE433F">
        <w:rPr>
          <w:rFonts w:eastAsia="Calibri"/>
          <w:i/>
          <w:sz w:val="23"/>
          <w:szCs w:val="23"/>
          <w:rtl/>
        </w:rPr>
        <w:t xml:space="preserve"> انتخاب نامناسب قرض</w:t>
      </w:r>
      <w:r w:rsidRPr="00FE433F">
        <w:rPr>
          <w:rFonts w:eastAsia="Calibri"/>
          <w:i/>
          <w:sz w:val="23"/>
          <w:szCs w:val="23"/>
          <w:rtl/>
        </w:rPr>
        <w:softHyphen/>
        <w:t xml:space="preserve">کننده، </w:t>
      </w:r>
      <w:r w:rsidRPr="00FE433F">
        <w:rPr>
          <w:rFonts w:eastAsia="Calibri" w:hint="eastAsia"/>
          <w:i/>
          <w:sz w:val="23"/>
          <w:szCs w:val="23"/>
          <w:rtl/>
        </w:rPr>
        <w:t>قرض</w:t>
      </w:r>
      <w:r w:rsidRPr="00FE433F">
        <w:rPr>
          <w:rFonts w:eastAsia="Calibri"/>
          <w:i/>
          <w:sz w:val="23"/>
          <w:szCs w:val="23"/>
          <w:rtl/>
        </w:rPr>
        <w:softHyphen/>
      </w:r>
      <w:r w:rsidRPr="00FE433F">
        <w:rPr>
          <w:rFonts w:eastAsia="Calibri" w:hint="eastAsia"/>
          <w:i/>
          <w:sz w:val="23"/>
          <w:szCs w:val="23"/>
          <w:rtl/>
        </w:rPr>
        <w:t>کنندگان</w:t>
      </w:r>
      <w:r w:rsidRPr="00FE433F">
        <w:rPr>
          <w:rFonts w:eastAsia="Calibri"/>
          <w:i/>
          <w:sz w:val="23"/>
          <w:szCs w:val="23"/>
          <w:rtl/>
        </w:rPr>
        <w:t xml:space="preserve"> </w:t>
      </w:r>
      <w:r w:rsidRPr="00FE433F">
        <w:rPr>
          <w:rFonts w:eastAsia="Calibri" w:hint="eastAsia"/>
          <w:i/>
          <w:sz w:val="23"/>
          <w:szCs w:val="23"/>
          <w:rtl/>
        </w:rPr>
        <w:t>صادق</w:t>
      </w:r>
      <w:r w:rsidRPr="00FE433F">
        <w:rPr>
          <w:rFonts w:eastAsia="Calibri"/>
          <w:i/>
          <w:sz w:val="23"/>
          <w:szCs w:val="23"/>
          <w:rtl/>
        </w:rPr>
        <w:t xml:space="preserve"> </w:t>
      </w:r>
      <w:r w:rsidRPr="00FE433F">
        <w:rPr>
          <w:rFonts w:eastAsia="Calibri" w:hint="eastAsia"/>
          <w:i/>
          <w:sz w:val="23"/>
          <w:szCs w:val="23"/>
          <w:rtl/>
        </w:rPr>
        <w:t>و</w:t>
      </w:r>
      <w:r w:rsidRPr="00FE433F">
        <w:rPr>
          <w:rFonts w:eastAsia="Calibri"/>
          <w:i/>
          <w:sz w:val="23"/>
          <w:szCs w:val="23"/>
          <w:rtl/>
        </w:rPr>
        <w:t xml:space="preserve"> </w:t>
      </w:r>
      <w:r w:rsidRPr="00FE433F">
        <w:rPr>
          <w:rFonts w:eastAsia="Calibri" w:hint="eastAsia"/>
          <w:i/>
          <w:sz w:val="23"/>
          <w:szCs w:val="23"/>
          <w:rtl/>
        </w:rPr>
        <w:t>غ</w:t>
      </w:r>
      <w:r w:rsidRPr="00FE433F">
        <w:rPr>
          <w:rFonts w:eastAsia="Calibri" w:hint="cs"/>
          <w:i/>
          <w:sz w:val="23"/>
          <w:szCs w:val="23"/>
          <w:rtl/>
        </w:rPr>
        <w:t>ی</w:t>
      </w:r>
      <w:r w:rsidRPr="00FE433F">
        <w:rPr>
          <w:rFonts w:eastAsia="Calibri" w:hint="eastAsia"/>
          <w:i/>
          <w:sz w:val="23"/>
          <w:szCs w:val="23"/>
          <w:rtl/>
        </w:rPr>
        <w:t>رصادق،</w:t>
      </w:r>
      <w:r w:rsidRPr="00FE433F">
        <w:rPr>
          <w:rFonts w:eastAsia="Calibri"/>
          <w:i/>
          <w:sz w:val="23"/>
          <w:szCs w:val="23"/>
          <w:rtl/>
        </w:rPr>
        <w:t xml:space="preserve"> خطر اخلاق</w:t>
      </w:r>
      <w:r w:rsidRPr="00FE433F">
        <w:rPr>
          <w:rFonts w:eastAsia="Calibri" w:hint="cs"/>
          <w:i/>
          <w:sz w:val="23"/>
          <w:szCs w:val="23"/>
          <w:rtl/>
        </w:rPr>
        <w:t>ی</w:t>
      </w:r>
      <w:r w:rsidRPr="00FE433F">
        <w:rPr>
          <w:rFonts w:eastAsia="Calibri" w:hint="eastAsia"/>
          <w:i/>
          <w:sz w:val="23"/>
          <w:szCs w:val="23"/>
          <w:rtl/>
        </w:rPr>
        <w:t>،</w:t>
      </w:r>
      <w:r w:rsidRPr="00FE433F">
        <w:rPr>
          <w:i/>
          <w:sz w:val="23"/>
          <w:szCs w:val="23"/>
          <w:rtl/>
        </w:rPr>
        <w:t xml:space="preserve"> رفتار وام</w:t>
      </w:r>
      <w:r w:rsidRPr="00FE433F">
        <w:rPr>
          <w:i/>
          <w:sz w:val="23"/>
          <w:szCs w:val="23"/>
          <w:rtl/>
        </w:rPr>
        <w:softHyphen/>
      </w:r>
      <w:r w:rsidRPr="00FE433F">
        <w:rPr>
          <w:rFonts w:eastAsia="Calibri"/>
          <w:i/>
          <w:sz w:val="23"/>
          <w:szCs w:val="23"/>
          <w:rtl/>
        </w:rPr>
        <w:t>گ</w:t>
      </w:r>
      <w:r w:rsidRPr="00FE433F">
        <w:rPr>
          <w:rFonts w:eastAsia="Calibri" w:hint="cs"/>
          <w:i/>
          <w:sz w:val="23"/>
          <w:szCs w:val="23"/>
          <w:rtl/>
        </w:rPr>
        <w:t>ی</w:t>
      </w:r>
      <w:r w:rsidRPr="00FE433F">
        <w:rPr>
          <w:rFonts w:eastAsia="Calibri" w:hint="eastAsia"/>
          <w:i/>
          <w:sz w:val="23"/>
          <w:szCs w:val="23"/>
          <w:rtl/>
        </w:rPr>
        <w:t>رندگان</w:t>
      </w:r>
      <w:r w:rsidRPr="00FE433F">
        <w:rPr>
          <w:rFonts w:eastAsia="Calibri"/>
          <w:i/>
          <w:sz w:val="23"/>
          <w:szCs w:val="23"/>
          <w:rtl/>
        </w:rPr>
        <w:t xml:space="preserve"> متأثر از شرا</w:t>
      </w:r>
      <w:r w:rsidRPr="00FE433F">
        <w:rPr>
          <w:rFonts w:eastAsia="Calibri" w:hint="cs"/>
          <w:i/>
          <w:sz w:val="23"/>
          <w:szCs w:val="23"/>
          <w:rtl/>
        </w:rPr>
        <w:t>ی</w:t>
      </w:r>
      <w:r w:rsidRPr="00FE433F">
        <w:rPr>
          <w:rFonts w:eastAsia="Calibri" w:hint="eastAsia"/>
          <w:i/>
          <w:sz w:val="23"/>
          <w:szCs w:val="23"/>
          <w:rtl/>
        </w:rPr>
        <w:t>ط</w:t>
      </w:r>
      <w:r w:rsidRPr="00FE433F">
        <w:rPr>
          <w:rFonts w:eastAsia="Calibri"/>
          <w:i/>
          <w:sz w:val="23"/>
          <w:szCs w:val="23"/>
          <w:rtl/>
        </w:rPr>
        <w:t xml:space="preserve"> </w:t>
      </w:r>
      <w:r w:rsidRPr="00FE433F">
        <w:rPr>
          <w:rFonts w:eastAsia="Calibri"/>
          <w:i/>
          <w:sz w:val="23"/>
          <w:szCs w:val="23"/>
          <w:rtl/>
        </w:rPr>
        <w:lastRenderedPageBreak/>
        <w:t>قرارداد</w:t>
      </w:r>
      <w:r w:rsidRPr="00FE433F">
        <w:rPr>
          <w:rFonts w:eastAsia="Calibri" w:hint="eastAsia"/>
          <w:i/>
          <w:sz w:val="23"/>
          <w:szCs w:val="23"/>
          <w:rtl/>
        </w:rPr>
        <w:t>،</w:t>
      </w:r>
      <w:r w:rsidRPr="00FE433F">
        <w:rPr>
          <w:rFonts w:eastAsia="Calibri"/>
          <w:i/>
          <w:sz w:val="23"/>
          <w:szCs w:val="23"/>
          <w:rtl/>
        </w:rPr>
        <w:t xml:space="preserve"> هز</w:t>
      </w:r>
      <w:r w:rsidRPr="00FE433F">
        <w:rPr>
          <w:rFonts w:eastAsia="Calibri" w:hint="cs"/>
          <w:i/>
          <w:sz w:val="23"/>
          <w:szCs w:val="23"/>
          <w:rtl/>
        </w:rPr>
        <w:t>ی</w:t>
      </w:r>
      <w:r w:rsidRPr="00FE433F">
        <w:rPr>
          <w:rFonts w:eastAsia="Calibri" w:hint="eastAsia"/>
          <w:i/>
          <w:sz w:val="23"/>
          <w:szCs w:val="23"/>
          <w:rtl/>
        </w:rPr>
        <w:t>نه</w:t>
      </w:r>
      <w:r w:rsidRPr="00FE433F">
        <w:rPr>
          <w:rFonts w:eastAsia="Calibri"/>
          <w:i/>
          <w:sz w:val="23"/>
          <w:szCs w:val="23"/>
          <w:rtl/>
        </w:rPr>
        <w:t>‌ها</w:t>
      </w:r>
      <w:r w:rsidRPr="00FE433F">
        <w:rPr>
          <w:rFonts w:eastAsia="Calibri" w:hint="cs"/>
          <w:i/>
          <w:sz w:val="23"/>
          <w:szCs w:val="23"/>
          <w:rtl/>
        </w:rPr>
        <w:t>ی</w:t>
      </w:r>
      <w:r w:rsidRPr="00FE433F">
        <w:rPr>
          <w:rFonts w:eastAsia="Calibri"/>
          <w:i/>
          <w:sz w:val="23"/>
          <w:szCs w:val="23"/>
          <w:rtl/>
        </w:rPr>
        <w:t xml:space="preserve"> نظارت و مراقبت</w:t>
      </w:r>
      <w:r w:rsidRPr="00FE433F">
        <w:rPr>
          <w:rFonts w:eastAsia="Calibri" w:hint="eastAsia"/>
          <w:i/>
          <w:sz w:val="23"/>
          <w:szCs w:val="23"/>
          <w:rtl/>
        </w:rPr>
        <w:t>،</w:t>
      </w:r>
      <w:r w:rsidRPr="00FE433F">
        <w:rPr>
          <w:rFonts w:eastAsia="Calibri"/>
          <w:i/>
          <w:sz w:val="23"/>
          <w:szCs w:val="23"/>
          <w:rtl/>
        </w:rPr>
        <w:t xml:space="preserve"> </w:t>
      </w:r>
      <w:r w:rsidRPr="00FE433F">
        <w:rPr>
          <w:rFonts w:eastAsia="Calibri" w:hint="eastAsia"/>
          <w:i/>
          <w:sz w:val="23"/>
          <w:szCs w:val="23"/>
          <w:rtl/>
        </w:rPr>
        <w:t>هز</w:t>
      </w:r>
      <w:r w:rsidRPr="00FE433F">
        <w:rPr>
          <w:rFonts w:eastAsia="Calibri" w:hint="cs"/>
          <w:i/>
          <w:sz w:val="23"/>
          <w:szCs w:val="23"/>
          <w:rtl/>
        </w:rPr>
        <w:t>ی</w:t>
      </w:r>
      <w:r w:rsidRPr="00FE433F">
        <w:rPr>
          <w:rFonts w:eastAsia="Calibri" w:hint="eastAsia"/>
          <w:i/>
          <w:sz w:val="23"/>
          <w:szCs w:val="23"/>
          <w:rtl/>
        </w:rPr>
        <w:t>نه</w:t>
      </w:r>
      <w:r w:rsidRPr="00FE433F">
        <w:rPr>
          <w:rFonts w:eastAsia="Calibri" w:hint="eastAsia"/>
          <w:i/>
          <w:sz w:val="23"/>
          <w:szCs w:val="23"/>
        </w:rPr>
        <w:t>‌</w:t>
      </w:r>
      <w:r w:rsidRPr="00FE433F">
        <w:rPr>
          <w:rFonts w:eastAsia="Calibri"/>
          <w:i/>
          <w:sz w:val="23"/>
          <w:szCs w:val="23"/>
          <w:rtl/>
        </w:rPr>
        <w:t>ها</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منبع</w:t>
      </w:r>
      <w:r w:rsidRPr="00FE433F">
        <w:rPr>
          <w:rFonts w:eastAsia="Calibri"/>
          <w:i/>
          <w:sz w:val="23"/>
          <w:szCs w:val="23"/>
          <w:rtl/>
        </w:rPr>
        <w:t xml:space="preserve"> مربوط به توانا</w:t>
      </w:r>
      <w:r w:rsidRPr="00FE433F">
        <w:rPr>
          <w:rFonts w:eastAsia="Calibri" w:hint="cs"/>
          <w:i/>
          <w:sz w:val="23"/>
          <w:szCs w:val="23"/>
          <w:rtl/>
        </w:rPr>
        <w:t>یی</w:t>
      </w:r>
      <w:r w:rsidRPr="00FE433F">
        <w:rPr>
          <w:rFonts w:eastAsia="Calibri"/>
          <w:i/>
          <w:sz w:val="23"/>
          <w:szCs w:val="23"/>
          <w:rtl/>
        </w:rPr>
        <w:t xml:space="preserve"> قرض</w:t>
      </w:r>
      <w:r w:rsidRPr="00FE433F">
        <w:rPr>
          <w:rFonts w:eastAsia="Calibri"/>
          <w:i/>
          <w:sz w:val="23"/>
          <w:szCs w:val="23"/>
          <w:rtl/>
        </w:rPr>
        <w:softHyphen/>
        <w:t>کننده و ... که منجر به 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i/>
          <w:sz w:val="23"/>
          <w:szCs w:val="23"/>
          <w:rtl/>
        </w:rPr>
        <w:t xml:space="preserve"> هز</w:t>
      </w:r>
      <w:r w:rsidRPr="00FE433F">
        <w:rPr>
          <w:rFonts w:eastAsia="Calibri" w:hint="cs"/>
          <w:i/>
          <w:sz w:val="23"/>
          <w:szCs w:val="23"/>
          <w:rtl/>
        </w:rPr>
        <w:t>ی</w:t>
      </w:r>
      <w:r w:rsidRPr="00FE433F">
        <w:rPr>
          <w:rFonts w:eastAsia="Calibri" w:hint="eastAsia"/>
          <w:i/>
          <w:sz w:val="23"/>
          <w:szCs w:val="23"/>
          <w:rtl/>
        </w:rPr>
        <w:t>نه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اعتبار شده و استفاده از پول را در معاملات توج</w:t>
      </w:r>
      <w:r w:rsidRPr="00FE433F">
        <w:rPr>
          <w:rFonts w:eastAsia="Calibri" w:hint="cs"/>
          <w:i/>
          <w:sz w:val="23"/>
          <w:szCs w:val="23"/>
          <w:rtl/>
        </w:rPr>
        <w:t>ی</w:t>
      </w:r>
      <w:r w:rsidRPr="00FE433F">
        <w:rPr>
          <w:rFonts w:eastAsia="Calibri" w:hint="eastAsia"/>
          <w:i/>
          <w:sz w:val="23"/>
          <w:szCs w:val="23"/>
          <w:rtl/>
        </w:rPr>
        <w:t>ه</w:t>
      </w:r>
      <w:r w:rsidRPr="00FE433F">
        <w:rPr>
          <w:rFonts w:eastAsia="Calibri"/>
          <w:i/>
          <w:sz w:val="23"/>
          <w:szCs w:val="23"/>
          <w:rtl/>
        </w:rPr>
        <w:t xml:space="preserve"> م</w:t>
      </w:r>
      <w:r w:rsidRPr="00FE433F">
        <w:rPr>
          <w:rFonts w:eastAsia="Calibri" w:hint="cs"/>
          <w:i/>
          <w:sz w:val="23"/>
          <w:szCs w:val="23"/>
          <w:rtl/>
        </w:rPr>
        <w:t>ی‌</w:t>
      </w:r>
      <w:r w:rsidRPr="00FE433F">
        <w:rPr>
          <w:rFonts w:eastAsia="Calibri"/>
          <w:i/>
          <w:sz w:val="23"/>
          <w:szCs w:val="23"/>
          <w:rtl/>
        </w:rPr>
        <w:t>کند وجود دارد. برا</w:t>
      </w:r>
      <w:r w:rsidRPr="00FE433F">
        <w:rPr>
          <w:rFonts w:eastAsia="Calibri" w:hint="cs"/>
          <w:i/>
          <w:sz w:val="23"/>
          <w:szCs w:val="23"/>
          <w:rtl/>
        </w:rPr>
        <w:t>ی</w:t>
      </w:r>
      <w:r w:rsidRPr="00FE433F">
        <w:rPr>
          <w:rFonts w:eastAsia="Calibri"/>
          <w:i/>
          <w:sz w:val="23"/>
          <w:szCs w:val="23"/>
          <w:rtl/>
        </w:rPr>
        <w:t xml:space="preserve"> اطلاع ب</w:t>
      </w:r>
      <w:r w:rsidRPr="00FE433F">
        <w:rPr>
          <w:rFonts w:eastAsia="Calibri" w:hint="cs"/>
          <w:i/>
          <w:sz w:val="23"/>
          <w:szCs w:val="23"/>
          <w:rtl/>
        </w:rPr>
        <w:t>ی</w:t>
      </w:r>
      <w:r w:rsidRPr="00FE433F">
        <w:rPr>
          <w:rFonts w:eastAsia="Calibri" w:hint="eastAsia"/>
          <w:i/>
          <w:sz w:val="23"/>
          <w:szCs w:val="23"/>
          <w:rtl/>
        </w:rPr>
        <w:t>شتر</w:t>
      </w:r>
      <w:r w:rsidRPr="00FE433F">
        <w:rPr>
          <w:rFonts w:eastAsia="Calibri"/>
          <w:i/>
          <w:sz w:val="23"/>
          <w:szCs w:val="23"/>
          <w:rtl/>
        </w:rPr>
        <w:t xml:space="preserve"> </w:t>
      </w:r>
      <w:r w:rsidRPr="00FE433F">
        <w:rPr>
          <w:rFonts w:eastAsia="Calibri" w:hint="eastAsia"/>
          <w:i/>
          <w:sz w:val="23"/>
          <w:szCs w:val="23"/>
          <w:rtl/>
        </w:rPr>
        <w:t>به</w:t>
      </w:r>
      <w:r w:rsidRPr="00FE433F">
        <w:rPr>
          <w:rFonts w:eastAsia="Calibri"/>
          <w:i/>
          <w:sz w:val="23"/>
          <w:szCs w:val="23"/>
          <w:rtl/>
        </w:rPr>
        <w:t xml:space="preserve"> </w:t>
      </w:r>
      <w:r w:rsidRPr="00FE433F">
        <w:rPr>
          <w:rFonts w:eastAsia="Calibri" w:hint="eastAsia"/>
          <w:i/>
          <w:sz w:val="23"/>
          <w:szCs w:val="23"/>
          <w:rtl/>
        </w:rPr>
        <w:t>لوکاس</w:t>
      </w:r>
      <w:r w:rsidRPr="00FE433F">
        <w:rPr>
          <w:rFonts w:eastAsia="Calibri"/>
          <w:i/>
          <w:sz w:val="23"/>
          <w:szCs w:val="23"/>
          <w:rtl/>
        </w:rPr>
        <w:t xml:space="preserve"> </w:t>
      </w:r>
      <w:r w:rsidRPr="00FE433F">
        <w:rPr>
          <w:rFonts w:eastAsia="Calibri" w:hint="eastAsia"/>
          <w:i/>
          <w:sz w:val="23"/>
          <w:szCs w:val="23"/>
          <w:rtl/>
        </w:rPr>
        <w:t>و</w:t>
      </w:r>
      <w:r w:rsidRPr="00FE433F">
        <w:rPr>
          <w:rFonts w:eastAsia="Calibri"/>
          <w:i/>
          <w:sz w:val="23"/>
          <w:szCs w:val="23"/>
          <w:rtl/>
        </w:rPr>
        <w:t xml:space="preserve"> </w:t>
      </w:r>
      <w:r w:rsidRPr="00FE433F">
        <w:rPr>
          <w:rFonts w:eastAsia="Calibri" w:hint="eastAsia"/>
          <w:i/>
          <w:sz w:val="23"/>
          <w:szCs w:val="23"/>
          <w:rtl/>
        </w:rPr>
        <w:t>استوک</w:t>
      </w:r>
      <w:r w:rsidRPr="00FE433F">
        <w:rPr>
          <w:rFonts w:eastAsia="Calibri" w:hint="cs"/>
          <w:i/>
          <w:sz w:val="23"/>
          <w:szCs w:val="23"/>
          <w:rtl/>
        </w:rPr>
        <w:t>ی</w:t>
      </w:r>
      <w:r w:rsidRPr="00FE433F">
        <w:rPr>
          <w:rStyle w:val="FootnoteReference"/>
          <w:rFonts w:eastAsiaTheme="majorEastAsia"/>
          <w:i/>
          <w:sz w:val="23"/>
          <w:szCs w:val="23"/>
          <w:rtl/>
        </w:rPr>
        <w:footnoteReference w:id="203"/>
      </w:r>
      <w:r w:rsidRPr="00FE433F">
        <w:rPr>
          <w:rFonts w:eastAsia="Calibri"/>
          <w:i/>
          <w:sz w:val="23"/>
          <w:szCs w:val="23"/>
          <w:rtl/>
        </w:rPr>
        <w:t xml:space="preserve"> و همچن</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فصل هفتم از کتاب والش</w:t>
      </w:r>
      <w:r w:rsidRPr="00FE433F">
        <w:rPr>
          <w:rStyle w:val="FootnoteReference"/>
          <w:rFonts w:eastAsiaTheme="majorEastAsia"/>
          <w:i/>
          <w:sz w:val="23"/>
          <w:szCs w:val="23"/>
          <w:rtl/>
        </w:rPr>
        <w:footnoteReference w:id="204"/>
      </w:r>
      <w:r w:rsidRPr="00FE433F">
        <w:rPr>
          <w:rFonts w:eastAsia="Calibri"/>
          <w:i/>
          <w:sz w:val="23"/>
          <w:szCs w:val="23"/>
          <w:rtl/>
        </w:rPr>
        <w:t xml:space="preserve"> مراجعه شود.</w:t>
      </w:r>
    </w:p>
    <w:p w14:paraId="02414053" w14:textId="77777777" w:rsidR="00411620" w:rsidRPr="00FE433F" w:rsidRDefault="00411620" w:rsidP="00411620">
      <w:pPr>
        <w:spacing w:line="216" w:lineRule="auto"/>
        <w:rPr>
          <w:rFonts w:eastAsia="Calibri"/>
          <w:i/>
          <w:sz w:val="23"/>
          <w:szCs w:val="23"/>
        </w:rPr>
      </w:pPr>
    </w:p>
    <w:p w14:paraId="1C4D570B" w14:textId="77777777" w:rsidR="00411620" w:rsidRPr="00FE433F" w:rsidRDefault="00411620" w:rsidP="00411620">
      <w:pPr>
        <w:pStyle w:val="Heading1"/>
        <w:spacing w:before="0" w:after="0" w:line="216" w:lineRule="auto"/>
        <w:rPr>
          <w:rFonts w:ascii="Times New Roman" w:hAnsi="Times New Roman" w:cs="B Nazanin"/>
          <w:b w:val="0"/>
          <w:i/>
          <w:sz w:val="23"/>
          <w:szCs w:val="23"/>
          <w:rtl/>
        </w:rPr>
      </w:pPr>
      <w:r w:rsidRPr="00FE433F">
        <w:rPr>
          <w:rFonts w:ascii="Times New Roman" w:hAnsi="Times New Roman" w:cs="B Nazanin"/>
          <w:b w:val="0"/>
          <w:i/>
          <w:sz w:val="23"/>
          <w:szCs w:val="23"/>
          <w:rtl/>
        </w:rPr>
        <w:t>۸. ۹ برخ</w:t>
      </w:r>
      <w:r w:rsidRPr="00FE433F">
        <w:rPr>
          <w:rFonts w:ascii="Times New Roman" w:hAnsi="Times New Roman" w:cs="B Nazanin" w:hint="cs"/>
          <w:b w:val="0"/>
          <w:i/>
          <w:sz w:val="23"/>
          <w:szCs w:val="23"/>
          <w:rtl/>
        </w:rPr>
        <w:t>ی</w:t>
      </w:r>
      <w:r w:rsidRPr="00FE433F">
        <w:rPr>
          <w:rFonts w:ascii="Times New Roman" w:hAnsi="Times New Roman" w:cs="B Nazanin"/>
          <w:b w:val="0"/>
          <w:i/>
          <w:sz w:val="23"/>
          <w:szCs w:val="23"/>
          <w:rtl/>
        </w:rPr>
        <w:t xml:space="preserve"> شواهد تجرب</w:t>
      </w:r>
      <w:r w:rsidRPr="00FE433F">
        <w:rPr>
          <w:rFonts w:ascii="Times New Roman" w:hAnsi="Times New Roman" w:cs="B Nazanin" w:hint="cs"/>
          <w:b w:val="0"/>
          <w:i/>
          <w:sz w:val="23"/>
          <w:szCs w:val="23"/>
          <w:rtl/>
        </w:rPr>
        <w:t>ی</w:t>
      </w:r>
    </w:p>
    <w:p w14:paraId="5E10FEE3" w14:textId="77777777" w:rsidR="00411620" w:rsidRPr="00FE433F" w:rsidRDefault="00411620" w:rsidP="00411620">
      <w:pPr>
        <w:spacing w:line="216" w:lineRule="auto"/>
        <w:rPr>
          <w:rFonts w:eastAsia="Calibri"/>
          <w:i/>
          <w:sz w:val="23"/>
          <w:szCs w:val="23"/>
          <w:rtl/>
        </w:rPr>
      </w:pPr>
      <w:r w:rsidRPr="00FE433F">
        <w:rPr>
          <w:rFonts w:eastAsia="Calibri" w:hint="eastAsia"/>
          <w:i/>
          <w:sz w:val="23"/>
          <w:szCs w:val="23"/>
          <w:rtl/>
        </w:rPr>
        <w:t>شواهد</w:t>
      </w:r>
      <w:r w:rsidRPr="00FE433F">
        <w:rPr>
          <w:rFonts w:eastAsia="Calibri"/>
          <w:i/>
          <w:sz w:val="23"/>
          <w:szCs w:val="23"/>
          <w:rtl/>
        </w:rPr>
        <w:t xml:space="preserve"> </w:t>
      </w:r>
      <w:r w:rsidRPr="00FE433F">
        <w:rPr>
          <w:rFonts w:eastAsia="Calibri" w:hint="eastAsia"/>
          <w:i/>
          <w:sz w:val="23"/>
          <w:szCs w:val="23"/>
          <w:rtl/>
        </w:rPr>
        <w:t>تجرب</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در</w:t>
      </w:r>
      <w:r w:rsidRPr="00FE433F">
        <w:rPr>
          <w:rFonts w:eastAsia="Calibri"/>
          <w:i/>
          <w:sz w:val="23"/>
          <w:szCs w:val="23"/>
          <w:rtl/>
        </w:rPr>
        <w:t xml:space="preserve"> خصوص پول و مخارج اسم</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چه</w:t>
      </w:r>
      <w:r w:rsidRPr="00FE433F">
        <w:rPr>
          <w:rFonts w:eastAsia="Calibri"/>
          <w:i/>
          <w:sz w:val="23"/>
          <w:szCs w:val="23"/>
          <w:rtl/>
        </w:rPr>
        <w:t xml:space="preserve"> چ</w:t>
      </w:r>
      <w:r w:rsidRPr="00FE433F">
        <w:rPr>
          <w:rFonts w:eastAsia="Calibri" w:hint="cs"/>
          <w:i/>
          <w:sz w:val="23"/>
          <w:szCs w:val="23"/>
          <w:rtl/>
        </w:rPr>
        <w:t>ی</w:t>
      </w:r>
      <w:r w:rsidRPr="00FE433F">
        <w:rPr>
          <w:rFonts w:eastAsia="Calibri" w:hint="eastAsia"/>
          <w:i/>
          <w:sz w:val="23"/>
          <w:szCs w:val="23"/>
          <w:rtl/>
        </w:rPr>
        <w:t>ز</w:t>
      </w:r>
      <w:r w:rsidRPr="00FE433F">
        <w:rPr>
          <w:rFonts w:eastAsia="Calibri" w:hint="cs"/>
          <w:i/>
          <w:sz w:val="23"/>
          <w:szCs w:val="23"/>
          <w:rtl/>
        </w:rPr>
        <w:t>ی</w:t>
      </w:r>
      <w:r w:rsidRPr="00FE433F">
        <w:rPr>
          <w:rFonts w:eastAsia="Calibri"/>
          <w:i/>
          <w:sz w:val="23"/>
          <w:szCs w:val="23"/>
          <w:rtl/>
        </w:rPr>
        <w:t xml:space="preserve"> را</w:t>
      </w:r>
      <w:r w:rsidRPr="00FE433F">
        <w:rPr>
          <w:rFonts w:eastAsia="Calibri" w:hint="cs"/>
          <w:i/>
          <w:sz w:val="23"/>
          <w:szCs w:val="23"/>
          <w:rtl/>
        </w:rPr>
        <w:t xml:space="preserve"> </w:t>
      </w:r>
      <w:r w:rsidRPr="00FE433F">
        <w:rPr>
          <w:rFonts w:eastAsia="Calibri" w:hint="eastAsia"/>
          <w:i/>
          <w:sz w:val="23"/>
          <w:szCs w:val="23"/>
          <w:rtl/>
        </w:rPr>
        <w:t>به</w:t>
      </w:r>
      <w:r w:rsidRPr="00FE433F">
        <w:rPr>
          <w:rFonts w:eastAsia="Calibri"/>
          <w:i/>
          <w:sz w:val="23"/>
          <w:szCs w:val="23"/>
          <w:rtl/>
        </w:rPr>
        <w:t xml:space="preserve"> ما </w:t>
      </w:r>
      <w:r w:rsidRPr="00FE433F">
        <w:rPr>
          <w:rFonts w:eastAsia="Calibri" w:hint="eastAsia"/>
          <w:i/>
          <w:sz w:val="23"/>
          <w:szCs w:val="23"/>
          <w:rtl/>
        </w:rPr>
        <w:t>نشان</w:t>
      </w:r>
      <w:r w:rsidRPr="00FE433F">
        <w:rPr>
          <w:rFonts w:eastAsia="Calibri"/>
          <w:i/>
          <w:sz w:val="23"/>
          <w:szCs w:val="23"/>
          <w:rtl/>
        </w:rPr>
        <w:t xml:space="preserve"> م</w:t>
      </w:r>
      <w:r w:rsidRPr="00FE433F">
        <w:rPr>
          <w:rFonts w:eastAsia="Calibri" w:hint="cs"/>
          <w:i/>
          <w:sz w:val="23"/>
          <w:szCs w:val="23"/>
          <w:rtl/>
        </w:rPr>
        <w:t>ی</w:t>
      </w:r>
      <w:r w:rsidRPr="00FE433F">
        <w:rPr>
          <w:rFonts w:eastAsia="Calibri" w:hint="eastAsia"/>
          <w:i/>
          <w:sz w:val="23"/>
          <w:szCs w:val="23"/>
        </w:rPr>
        <w:t>‌</w:t>
      </w:r>
      <w:r w:rsidRPr="00FE433F">
        <w:rPr>
          <w:rFonts w:eastAsia="Calibri"/>
          <w:i/>
          <w:sz w:val="23"/>
          <w:szCs w:val="23"/>
          <w:rtl/>
        </w:rPr>
        <w:t>ده</w:t>
      </w:r>
      <w:r w:rsidRPr="00FE433F">
        <w:rPr>
          <w:rFonts w:eastAsia="Calibri" w:hint="cs"/>
          <w:i/>
          <w:sz w:val="23"/>
          <w:szCs w:val="23"/>
          <w:rtl/>
        </w:rPr>
        <w:t>ن</w:t>
      </w:r>
      <w:r w:rsidRPr="00FE433F">
        <w:rPr>
          <w:rFonts w:eastAsia="Calibri"/>
          <w:i/>
          <w:sz w:val="23"/>
          <w:szCs w:val="23"/>
          <w:rtl/>
        </w:rPr>
        <w:t>د. نمودارها</w:t>
      </w:r>
      <w:r w:rsidRPr="00FE433F">
        <w:rPr>
          <w:rFonts w:eastAsia="Calibri" w:hint="cs"/>
          <w:i/>
          <w:sz w:val="23"/>
          <w:szCs w:val="23"/>
          <w:rtl/>
        </w:rPr>
        <w:t xml:space="preserve">ی </w:t>
      </w:r>
      <w:r w:rsidRPr="00FE433F">
        <w:rPr>
          <w:rFonts w:eastAsia="Calibri"/>
          <w:i/>
          <w:sz w:val="23"/>
          <w:szCs w:val="23"/>
          <w:rtl/>
        </w:rPr>
        <w:t xml:space="preserve"> ۸. ۱ و ۸. ۲ مبتن</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است</w:t>
      </w:r>
      <w:r w:rsidRPr="00FE433F">
        <w:rPr>
          <w:rFonts w:eastAsia="Calibri"/>
          <w:i/>
          <w:sz w:val="23"/>
          <w:szCs w:val="23"/>
          <w:rtl/>
        </w:rPr>
        <w:t xml:space="preserve"> بر داده</w:t>
      </w:r>
      <w:r w:rsidRPr="00FE433F">
        <w:rPr>
          <w:rFonts w:eastAsia="Calibri" w:hint="eastAsia"/>
          <w:i/>
          <w:sz w:val="23"/>
          <w:szCs w:val="23"/>
        </w:rPr>
        <w:t>‌</w:t>
      </w:r>
      <w:r w:rsidRPr="00FE433F">
        <w:rPr>
          <w:rFonts w:eastAsia="Calibri"/>
          <w:i/>
          <w:sz w:val="23"/>
          <w:szCs w:val="23"/>
          <w:rtl/>
        </w:rPr>
        <w:t>ها</w:t>
      </w:r>
      <w:r w:rsidRPr="00FE433F">
        <w:rPr>
          <w:rFonts w:eastAsia="Calibri" w:hint="cs"/>
          <w:i/>
          <w:sz w:val="23"/>
          <w:szCs w:val="23"/>
          <w:rtl/>
        </w:rPr>
        <w:t>ی اقتصادی سال</w:t>
      </w:r>
      <w:r w:rsidRPr="00FE433F">
        <w:rPr>
          <w:rFonts w:eastAsia="Calibri"/>
          <w:i/>
          <w:sz w:val="23"/>
          <w:szCs w:val="23"/>
          <w:rtl/>
        </w:rPr>
        <w:softHyphen/>
      </w:r>
      <w:r w:rsidRPr="00FE433F">
        <w:rPr>
          <w:rFonts w:eastAsia="Calibri" w:hint="cs"/>
          <w:i/>
          <w:sz w:val="23"/>
          <w:szCs w:val="23"/>
          <w:rtl/>
        </w:rPr>
        <w:t>های</w:t>
      </w:r>
      <w:r w:rsidRPr="00FE433F">
        <w:rPr>
          <w:rFonts w:eastAsia="Calibri"/>
          <w:i/>
          <w:sz w:val="23"/>
          <w:szCs w:val="23"/>
          <w:rtl/>
        </w:rPr>
        <w:t xml:space="preserve"> ۲۰۰۴-۱۹۸۰ </w:t>
      </w:r>
      <w:r w:rsidRPr="00FE433F">
        <w:rPr>
          <w:rFonts w:eastAsia="Calibri" w:hint="eastAsia"/>
          <w:i/>
          <w:sz w:val="23"/>
          <w:szCs w:val="23"/>
          <w:rtl/>
        </w:rPr>
        <w:t>کشور</w:t>
      </w:r>
      <w:r w:rsidRPr="00FE433F">
        <w:rPr>
          <w:rFonts w:eastAsia="Calibri"/>
          <w:i/>
          <w:sz w:val="23"/>
          <w:szCs w:val="23"/>
          <w:rtl/>
        </w:rPr>
        <w:t xml:space="preserve"> </w:t>
      </w:r>
      <w:r w:rsidRPr="00FE433F">
        <w:rPr>
          <w:rFonts w:eastAsia="Calibri" w:hint="eastAsia"/>
          <w:i/>
          <w:sz w:val="23"/>
          <w:szCs w:val="23"/>
          <w:rtl/>
        </w:rPr>
        <w:t>انگلستان</w:t>
      </w:r>
      <w:r w:rsidRPr="00FE433F">
        <w:rPr>
          <w:rFonts w:eastAsia="Calibri"/>
          <w:i/>
          <w:sz w:val="23"/>
          <w:szCs w:val="23"/>
          <w:rtl/>
        </w:rPr>
        <w:t xml:space="preserve"> </w:t>
      </w:r>
      <w:r w:rsidRPr="00FE433F">
        <w:rPr>
          <w:rFonts w:eastAsia="Calibri" w:hint="eastAsia"/>
          <w:i/>
          <w:sz w:val="23"/>
          <w:szCs w:val="23"/>
          <w:rtl/>
        </w:rPr>
        <w:t>و</w:t>
      </w:r>
      <w:r w:rsidRPr="00FE433F">
        <w:rPr>
          <w:rFonts w:eastAsia="Calibri"/>
          <w:i/>
          <w:sz w:val="23"/>
          <w:szCs w:val="23"/>
          <w:rtl/>
        </w:rPr>
        <w:t xml:space="preserve"> نمودار ۸. ۳ ن</w:t>
      </w:r>
      <w:r w:rsidRPr="00FE433F">
        <w:rPr>
          <w:rFonts w:eastAsia="Calibri" w:hint="cs"/>
          <w:i/>
          <w:sz w:val="23"/>
          <w:szCs w:val="23"/>
          <w:rtl/>
        </w:rPr>
        <w:t>ی</w:t>
      </w:r>
      <w:r w:rsidRPr="00FE433F">
        <w:rPr>
          <w:rFonts w:eastAsia="Calibri" w:hint="eastAsia"/>
          <w:i/>
          <w:sz w:val="23"/>
          <w:szCs w:val="23"/>
          <w:rtl/>
        </w:rPr>
        <w:t>ز</w:t>
      </w:r>
      <w:r w:rsidRPr="00FE433F">
        <w:rPr>
          <w:rFonts w:eastAsia="Calibri"/>
          <w:i/>
          <w:sz w:val="23"/>
          <w:szCs w:val="23"/>
          <w:rtl/>
        </w:rPr>
        <w:t xml:space="preserve"> مبتن</w:t>
      </w:r>
      <w:r w:rsidRPr="00FE433F">
        <w:rPr>
          <w:rFonts w:eastAsia="Calibri" w:hint="cs"/>
          <w:i/>
          <w:sz w:val="23"/>
          <w:szCs w:val="23"/>
          <w:rtl/>
        </w:rPr>
        <w:t>ی</w:t>
      </w:r>
      <w:r w:rsidRPr="00FE433F">
        <w:rPr>
          <w:rFonts w:eastAsia="Calibri"/>
          <w:i/>
          <w:sz w:val="23"/>
          <w:szCs w:val="23"/>
          <w:rtl/>
        </w:rPr>
        <w:t xml:space="preserve"> است بر داده</w:t>
      </w:r>
      <w:r w:rsidRPr="00FE433F">
        <w:rPr>
          <w:rFonts w:eastAsia="Calibri" w:hint="eastAsia"/>
          <w:i/>
          <w:sz w:val="23"/>
          <w:szCs w:val="23"/>
        </w:rPr>
        <w:t>‌</w:t>
      </w:r>
      <w:r w:rsidRPr="00FE433F">
        <w:rPr>
          <w:rFonts w:eastAsia="Calibri"/>
          <w:i/>
          <w:sz w:val="23"/>
          <w:szCs w:val="23"/>
          <w:rtl/>
        </w:rPr>
        <w:t>ها</w:t>
      </w:r>
      <w:r w:rsidRPr="00FE433F">
        <w:rPr>
          <w:rFonts w:eastAsia="Calibri" w:hint="cs"/>
          <w:i/>
          <w:sz w:val="23"/>
          <w:szCs w:val="23"/>
          <w:rtl/>
        </w:rPr>
        <w:t>ی اقتصادی سال</w:t>
      </w:r>
      <w:r w:rsidRPr="00FE433F">
        <w:rPr>
          <w:rFonts w:eastAsia="Calibri"/>
          <w:i/>
          <w:sz w:val="23"/>
          <w:szCs w:val="23"/>
          <w:rtl/>
        </w:rPr>
        <w:softHyphen/>
      </w:r>
      <w:r w:rsidRPr="00FE433F">
        <w:rPr>
          <w:rFonts w:eastAsia="Calibri" w:hint="cs"/>
          <w:i/>
          <w:sz w:val="23"/>
          <w:szCs w:val="23"/>
          <w:rtl/>
        </w:rPr>
        <w:t>های</w:t>
      </w:r>
      <w:r w:rsidRPr="00FE433F">
        <w:rPr>
          <w:rFonts w:eastAsia="Calibri"/>
          <w:i/>
          <w:sz w:val="23"/>
          <w:szCs w:val="23"/>
          <w:rtl/>
        </w:rPr>
        <w:t xml:space="preserve"> ۲۰۰۶-۱۹۵۹ کشور آمر</w:t>
      </w:r>
      <w:r w:rsidRPr="00FE433F">
        <w:rPr>
          <w:rFonts w:eastAsia="Calibri" w:hint="cs"/>
          <w:i/>
          <w:sz w:val="23"/>
          <w:szCs w:val="23"/>
          <w:rtl/>
        </w:rPr>
        <w:t>ی</w:t>
      </w:r>
      <w:r w:rsidRPr="00FE433F">
        <w:rPr>
          <w:rFonts w:eastAsia="Calibri" w:hint="eastAsia"/>
          <w:i/>
          <w:sz w:val="23"/>
          <w:szCs w:val="23"/>
          <w:rtl/>
        </w:rPr>
        <w:t>کا</w:t>
      </w:r>
      <w:r w:rsidRPr="00FE433F">
        <w:rPr>
          <w:rFonts w:eastAsia="Calibri"/>
          <w:i/>
          <w:sz w:val="23"/>
          <w:szCs w:val="23"/>
          <w:rtl/>
        </w:rPr>
        <w:t>.</w:t>
      </w:r>
      <w:r w:rsidRPr="00FE433F">
        <w:rPr>
          <w:rFonts w:eastAsia="Calibri" w:hint="cs"/>
          <w:i/>
          <w:sz w:val="23"/>
          <w:szCs w:val="23"/>
          <w:rtl/>
        </w:rPr>
        <w:t xml:space="preserve"> در این سه نمودار</w:t>
      </w:r>
      <w:r w:rsidRPr="00FE433F">
        <w:rPr>
          <w:rFonts w:eastAsia="Calibri"/>
          <w:i/>
          <w:sz w:val="23"/>
          <w:szCs w:val="23"/>
          <w:rtl/>
        </w:rPr>
        <w:t xml:space="preserve"> </w:t>
      </w:r>
      <w:r w:rsidRPr="00FE433F">
        <w:rPr>
          <w:rFonts w:eastAsia="Calibri"/>
          <w:i/>
          <w:sz w:val="23"/>
          <w:szCs w:val="23"/>
        </w:rPr>
        <w:t>M0</w:t>
      </w:r>
      <w:r w:rsidRPr="00FE433F">
        <w:rPr>
          <w:rFonts w:eastAsia="Calibri"/>
          <w:i/>
          <w:sz w:val="23"/>
          <w:szCs w:val="23"/>
          <w:rtl/>
        </w:rPr>
        <w:t xml:space="preserve"> پا</w:t>
      </w:r>
      <w:r w:rsidRPr="00FE433F">
        <w:rPr>
          <w:rFonts w:eastAsia="Calibri" w:hint="cs"/>
          <w:i/>
          <w:sz w:val="23"/>
          <w:szCs w:val="23"/>
          <w:rtl/>
        </w:rPr>
        <w:t>ی</w:t>
      </w:r>
      <w:r w:rsidRPr="00FE433F">
        <w:rPr>
          <w:rFonts w:eastAsia="Calibri" w:hint="eastAsia"/>
          <w:i/>
          <w:sz w:val="23"/>
          <w:szCs w:val="23"/>
          <w:rtl/>
        </w:rPr>
        <w:t>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پول</w:t>
      </w:r>
      <w:r w:rsidRPr="00FE433F">
        <w:rPr>
          <w:rFonts w:eastAsia="Calibri" w:hint="cs"/>
          <w:i/>
          <w:sz w:val="23"/>
          <w:szCs w:val="23"/>
          <w:rtl/>
        </w:rPr>
        <w:t>ی</w:t>
      </w:r>
      <w:r w:rsidRPr="00FE433F">
        <w:rPr>
          <w:rFonts w:eastAsia="Calibri"/>
          <w:i/>
          <w:sz w:val="23"/>
          <w:szCs w:val="23"/>
          <w:rtl/>
        </w:rPr>
        <w:t xml:space="preserve"> (پول </w:t>
      </w:r>
      <w:r w:rsidRPr="00FE433F">
        <w:rPr>
          <w:rFonts w:eastAsia="Calibri" w:hint="eastAsia"/>
          <w:i/>
          <w:sz w:val="23"/>
          <w:szCs w:val="23"/>
          <w:rtl/>
        </w:rPr>
        <w:t>محدود</w:t>
      </w:r>
      <w:r w:rsidRPr="00FE433F">
        <w:rPr>
          <w:rFonts w:eastAsia="Calibri"/>
          <w:i/>
          <w:sz w:val="23"/>
          <w:szCs w:val="23"/>
          <w:rtl/>
        </w:rPr>
        <w:t xml:space="preserve"> که در 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بودجه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دولت ظاهر م</w:t>
      </w:r>
      <w:r w:rsidRPr="00FE433F">
        <w:rPr>
          <w:rFonts w:eastAsia="Calibri" w:hint="cs"/>
          <w:i/>
          <w:sz w:val="23"/>
          <w:szCs w:val="23"/>
          <w:rtl/>
        </w:rPr>
        <w:t>ی</w:t>
      </w:r>
      <w:r w:rsidRPr="00FE433F">
        <w:rPr>
          <w:rFonts w:eastAsia="Calibri" w:hint="eastAsia"/>
          <w:i/>
          <w:sz w:val="23"/>
          <w:szCs w:val="23"/>
        </w:rPr>
        <w:t>‌</w:t>
      </w:r>
      <w:r w:rsidRPr="00FE433F">
        <w:rPr>
          <w:rFonts w:eastAsia="Calibri"/>
          <w:i/>
          <w:sz w:val="23"/>
          <w:szCs w:val="23"/>
          <w:rtl/>
        </w:rPr>
        <w:t xml:space="preserve">شود و عمدتاً شامل اسکناس و مسکوک است) و </w:t>
      </w:r>
      <w:r w:rsidRPr="00FE433F">
        <w:rPr>
          <w:rFonts w:eastAsia="Calibri"/>
          <w:i/>
          <w:sz w:val="23"/>
          <w:szCs w:val="23"/>
        </w:rPr>
        <w:t>M4</w:t>
      </w:r>
      <w:r w:rsidRPr="00FE433F">
        <w:rPr>
          <w:rFonts w:eastAsia="Calibri"/>
          <w:i/>
          <w:sz w:val="23"/>
          <w:szCs w:val="23"/>
          <w:rtl/>
        </w:rPr>
        <w:t xml:space="preserve"> مع</w:t>
      </w:r>
      <w:r w:rsidRPr="00FE433F">
        <w:rPr>
          <w:rFonts w:eastAsia="Calibri" w:hint="cs"/>
          <w:i/>
          <w:sz w:val="23"/>
          <w:szCs w:val="23"/>
          <w:rtl/>
        </w:rPr>
        <w:t>ی</w:t>
      </w:r>
      <w:r w:rsidRPr="00FE433F">
        <w:rPr>
          <w:rFonts w:eastAsia="Calibri" w:hint="eastAsia"/>
          <w:i/>
          <w:sz w:val="23"/>
          <w:szCs w:val="23"/>
          <w:rtl/>
        </w:rPr>
        <w:t>ار</w:t>
      </w:r>
      <w:r w:rsidRPr="00FE433F">
        <w:rPr>
          <w:rFonts w:eastAsia="Calibri"/>
          <w:i/>
          <w:sz w:val="23"/>
          <w:szCs w:val="23"/>
          <w:rtl/>
        </w:rPr>
        <w:t xml:space="preserve"> </w:t>
      </w:r>
      <w:r w:rsidRPr="00FE433F">
        <w:rPr>
          <w:rFonts w:eastAsia="Calibri" w:hint="eastAsia"/>
          <w:i/>
          <w:sz w:val="23"/>
          <w:szCs w:val="23"/>
          <w:rtl/>
        </w:rPr>
        <w:t>اندازه</w:t>
      </w:r>
      <w:r w:rsidRPr="00FE433F">
        <w:rPr>
          <w:i/>
          <w:sz w:val="23"/>
          <w:szCs w:val="23"/>
          <w:rtl/>
        </w:rPr>
        <w:softHyphen/>
      </w:r>
      <w:r w:rsidRPr="00FE433F">
        <w:rPr>
          <w:rFonts w:eastAsia="Calibri"/>
          <w:i/>
          <w:sz w:val="23"/>
          <w:szCs w:val="23"/>
          <w:rtl/>
        </w:rPr>
        <w:t>گ</w:t>
      </w:r>
      <w:r w:rsidRPr="00FE433F">
        <w:rPr>
          <w:rFonts w:eastAsia="Calibri" w:hint="cs"/>
          <w:i/>
          <w:sz w:val="23"/>
          <w:szCs w:val="23"/>
          <w:rtl/>
        </w:rPr>
        <w:t>ی</w:t>
      </w:r>
      <w:r w:rsidRPr="00FE433F">
        <w:rPr>
          <w:rFonts w:eastAsia="Calibri" w:hint="eastAsia"/>
          <w:i/>
          <w:sz w:val="23"/>
          <w:szCs w:val="23"/>
          <w:rtl/>
        </w:rPr>
        <w:t>ر</w:t>
      </w:r>
      <w:r w:rsidRPr="00FE433F">
        <w:rPr>
          <w:rFonts w:eastAsia="Calibri" w:hint="cs"/>
          <w:i/>
          <w:sz w:val="23"/>
          <w:szCs w:val="23"/>
          <w:rtl/>
        </w:rPr>
        <w:t>ی</w:t>
      </w:r>
      <w:r w:rsidRPr="00FE433F">
        <w:rPr>
          <w:rFonts w:eastAsia="Calibri"/>
          <w:i/>
          <w:sz w:val="23"/>
          <w:szCs w:val="23"/>
          <w:rtl/>
        </w:rPr>
        <w:t xml:space="preserve"> پول </w:t>
      </w:r>
      <w:r w:rsidRPr="00FE433F">
        <w:rPr>
          <w:rFonts w:eastAsia="Calibri" w:hint="eastAsia"/>
          <w:i/>
          <w:sz w:val="23"/>
          <w:szCs w:val="23"/>
          <w:rtl/>
        </w:rPr>
        <w:t>گسترده</w:t>
      </w:r>
      <w:r w:rsidRPr="00FE433F">
        <w:rPr>
          <w:rFonts w:hint="cs"/>
          <w:i/>
          <w:sz w:val="23"/>
          <w:szCs w:val="23"/>
          <w:rtl/>
        </w:rPr>
        <w:t xml:space="preserve"> </w:t>
      </w:r>
      <w:r w:rsidRPr="00FE433F">
        <w:rPr>
          <w:rFonts w:eastAsia="Calibri" w:hint="eastAsia"/>
          <w:i/>
          <w:sz w:val="23"/>
          <w:szCs w:val="23"/>
          <w:rtl/>
        </w:rPr>
        <w:t>که</w:t>
      </w:r>
      <w:r w:rsidRPr="00FE433F">
        <w:rPr>
          <w:rFonts w:eastAsia="Calibri"/>
          <w:i/>
          <w:sz w:val="23"/>
          <w:szCs w:val="23"/>
          <w:rtl/>
        </w:rPr>
        <w:t xml:space="preserve"> مشمول پول درون</w:t>
      </w:r>
      <w:r w:rsidRPr="00FE433F">
        <w:rPr>
          <w:rFonts w:eastAsia="Calibri" w:hint="cs"/>
          <w:i/>
          <w:sz w:val="23"/>
          <w:szCs w:val="23"/>
          <w:rtl/>
        </w:rPr>
        <w:t>ی</w:t>
      </w:r>
      <w:r w:rsidRPr="00FE433F">
        <w:rPr>
          <w:i/>
          <w:sz w:val="23"/>
          <w:szCs w:val="23"/>
          <w:rtl/>
        </w:rPr>
        <w:t xml:space="preserve"> (</w:t>
      </w:r>
      <w:r w:rsidRPr="00FE433F">
        <w:rPr>
          <w:rFonts w:eastAsia="Calibri"/>
          <w:i/>
          <w:sz w:val="23"/>
          <w:szCs w:val="23"/>
          <w:rtl/>
        </w:rPr>
        <w:t>پول</w:t>
      </w:r>
      <w:r w:rsidRPr="00FE433F">
        <w:rPr>
          <w:rFonts w:eastAsia="Calibri" w:hint="cs"/>
          <w:i/>
          <w:sz w:val="23"/>
          <w:szCs w:val="23"/>
          <w:rtl/>
        </w:rPr>
        <w:t>ی</w:t>
      </w:r>
      <w:r w:rsidRPr="00FE433F">
        <w:rPr>
          <w:rFonts w:eastAsia="Calibri"/>
          <w:i/>
          <w:sz w:val="23"/>
          <w:szCs w:val="23"/>
          <w:rtl/>
        </w:rPr>
        <w:t xml:space="preserve"> که بوس</w:t>
      </w:r>
      <w:r w:rsidRPr="00FE433F">
        <w:rPr>
          <w:rFonts w:eastAsia="Calibri" w:hint="cs"/>
          <w:i/>
          <w:sz w:val="23"/>
          <w:szCs w:val="23"/>
          <w:rtl/>
        </w:rPr>
        <w:t>ی</w:t>
      </w:r>
      <w:r w:rsidRPr="00FE433F">
        <w:rPr>
          <w:rFonts w:eastAsia="Calibri" w:hint="eastAsia"/>
          <w:i/>
          <w:sz w:val="23"/>
          <w:szCs w:val="23"/>
          <w:rtl/>
        </w:rPr>
        <w:t>له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س</w:t>
      </w:r>
      <w:r w:rsidRPr="00FE433F">
        <w:rPr>
          <w:rFonts w:eastAsia="Calibri" w:hint="cs"/>
          <w:i/>
          <w:sz w:val="23"/>
          <w:szCs w:val="23"/>
          <w:rtl/>
        </w:rPr>
        <w:t>ی</w:t>
      </w:r>
      <w:r w:rsidRPr="00FE433F">
        <w:rPr>
          <w:rFonts w:eastAsia="Calibri" w:hint="eastAsia"/>
          <w:i/>
          <w:sz w:val="23"/>
          <w:szCs w:val="23"/>
          <w:rtl/>
        </w:rPr>
        <w:t>ستم</w:t>
      </w:r>
      <w:r w:rsidRPr="00FE433F">
        <w:rPr>
          <w:rFonts w:eastAsia="Calibri"/>
          <w:i/>
          <w:sz w:val="23"/>
          <w:szCs w:val="23"/>
          <w:rtl/>
        </w:rPr>
        <w:t xml:space="preserve"> بانک</w:t>
      </w:r>
      <w:r w:rsidRPr="00FE433F">
        <w:rPr>
          <w:rFonts w:eastAsia="Calibri" w:hint="cs"/>
          <w:i/>
          <w:sz w:val="23"/>
          <w:szCs w:val="23"/>
          <w:rtl/>
        </w:rPr>
        <w:t>ی</w:t>
      </w:r>
      <w:r w:rsidRPr="00FE433F">
        <w:rPr>
          <w:rFonts w:eastAsia="Calibri"/>
          <w:i/>
          <w:sz w:val="23"/>
          <w:szCs w:val="23"/>
          <w:rtl/>
        </w:rPr>
        <w:t xml:space="preserve"> </w:t>
      </w:r>
      <w:r w:rsidRPr="00FE433F">
        <w:rPr>
          <w:rFonts w:eastAsia="Calibri" w:hint="cs"/>
          <w:i/>
          <w:sz w:val="23"/>
          <w:szCs w:val="23"/>
          <w:rtl/>
        </w:rPr>
        <w:t>خلق</w:t>
      </w:r>
      <w:r w:rsidRPr="00FE433F">
        <w:rPr>
          <w:rFonts w:eastAsia="Calibri"/>
          <w:i/>
          <w:sz w:val="23"/>
          <w:szCs w:val="23"/>
          <w:rtl/>
        </w:rPr>
        <w:t xml:space="preserve"> م</w:t>
      </w:r>
      <w:r w:rsidRPr="00FE433F">
        <w:rPr>
          <w:rFonts w:eastAsia="Calibri" w:hint="cs"/>
          <w:i/>
          <w:sz w:val="23"/>
          <w:szCs w:val="23"/>
          <w:rtl/>
        </w:rPr>
        <w:t>ی</w:t>
      </w:r>
      <w:r w:rsidRPr="00FE433F">
        <w:rPr>
          <w:i/>
          <w:sz w:val="23"/>
          <w:szCs w:val="23"/>
          <w:rtl/>
        </w:rPr>
        <w:softHyphen/>
        <w:t>شود</w:t>
      </w:r>
      <w:r w:rsidRPr="00FE433F">
        <w:rPr>
          <w:rFonts w:eastAsia="Calibri"/>
          <w:i/>
          <w:sz w:val="23"/>
          <w:szCs w:val="23"/>
          <w:rtl/>
        </w:rPr>
        <w:t xml:space="preserve">) و پول </w:t>
      </w:r>
      <w:r w:rsidRPr="00FE433F">
        <w:rPr>
          <w:rFonts w:eastAsia="Calibri" w:hint="eastAsia"/>
          <w:i/>
          <w:sz w:val="23"/>
          <w:szCs w:val="23"/>
          <w:rtl/>
        </w:rPr>
        <w:t>محدود</w:t>
      </w:r>
      <w:r w:rsidRPr="00FE433F">
        <w:rPr>
          <w:rFonts w:eastAsia="Calibri"/>
          <w:i/>
          <w:sz w:val="23"/>
          <w:szCs w:val="23"/>
          <w:rtl/>
        </w:rPr>
        <w:t xml:space="preserve"> است. </w:t>
      </w:r>
      <w:r w:rsidRPr="00FE433F">
        <w:rPr>
          <w:rFonts w:eastAsia="Calibri"/>
          <w:i/>
          <w:sz w:val="23"/>
          <w:szCs w:val="23"/>
        </w:rPr>
        <w:t>Currency</w:t>
      </w:r>
      <w:r w:rsidRPr="00FE433F">
        <w:rPr>
          <w:rFonts w:eastAsia="Calibri"/>
          <w:i/>
          <w:sz w:val="23"/>
          <w:szCs w:val="23"/>
          <w:rtl/>
        </w:rPr>
        <w:t xml:space="preserve"> </w:t>
      </w:r>
      <w:r w:rsidRPr="00FE433F">
        <w:rPr>
          <w:rFonts w:eastAsia="Calibri" w:hint="cs"/>
          <w:i/>
          <w:sz w:val="23"/>
          <w:szCs w:val="23"/>
          <w:rtl/>
        </w:rPr>
        <w:t>ی</w:t>
      </w:r>
      <w:r w:rsidRPr="00FE433F">
        <w:rPr>
          <w:rFonts w:eastAsia="Calibri" w:hint="eastAsia"/>
          <w:i/>
          <w:sz w:val="23"/>
          <w:szCs w:val="23"/>
          <w:rtl/>
        </w:rPr>
        <w:t>ا</w:t>
      </w:r>
      <w:r w:rsidRPr="00FE433F">
        <w:rPr>
          <w:rFonts w:eastAsia="Calibri"/>
          <w:i/>
          <w:sz w:val="23"/>
          <w:szCs w:val="23"/>
          <w:rtl/>
        </w:rPr>
        <w:t xml:space="preserve"> </w:t>
      </w:r>
      <w:r w:rsidRPr="00FE433F">
        <w:rPr>
          <w:rFonts w:eastAsia="Calibri" w:hint="eastAsia"/>
          <w:i/>
          <w:sz w:val="23"/>
          <w:szCs w:val="23"/>
          <w:rtl/>
        </w:rPr>
        <w:t>پول</w:t>
      </w:r>
      <w:r w:rsidRPr="00FE433F">
        <w:rPr>
          <w:rFonts w:eastAsia="Calibri"/>
          <w:i/>
          <w:sz w:val="23"/>
          <w:szCs w:val="23"/>
          <w:rtl/>
        </w:rPr>
        <w:t xml:space="preserve"> </w:t>
      </w:r>
      <w:r w:rsidRPr="00FE433F">
        <w:rPr>
          <w:rFonts w:eastAsia="Calibri" w:hint="eastAsia"/>
          <w:i/>
          <w:sz w:val="23"/>
          <w:szCs w:val="23"/>
          <w:rtl/>
        </w:rPr>
        <w:t>را</w:t>
      </w:r>
      <w:r w:rsidRPr="00FE433F">
        <w:rPr>
          <w:rFonts w:eastAsia="Calibri" w:hint="cs"/>
          <w:i/>
          <w:sz w:val="23"/>
          <w:szCs w:val="23"/>
          <w:rtl/>
        </w:rPr>
        <w:t>ی</w:t>
      </w:r>
      <w:r w:rsidRPr="00FE433F">
        <w:rPr>
          <w:rFonts w:eastAsia="Calibri" w:hint="eastAsia"/>
          <w:i/>
          <w:sz w:val="23"/>
          <w:szCs w:val="23"/>
          <w:rtl/>
        </w:rPr>
        <w:t>ج</w:t>
      </w:r>
      <w:r w:rsidRPr="00FE433F">
        <w:rPr>
          <w:rFonts w:eastAsia="Calibri"/>
          <w:i/>
          <w:sz w:val="23"/>
          <w:szCs w:val="23"/>
          <w:rtl/>
        </w:rPr>
        <w:t xml:space="preserve"> همان اسکناس و مسکوک است و </w:t>
      </w:r>
      <w:r w:rsidRPr="00FE433F">
        <w:rPr>
          <w:rFonts w:eastAsia="Calibri"/>
          <w:i/>
          <w:sz w:val="23"/>
          <w:szCs w:val="23"/>
        </w:rPr>
        <w:t>M3</w:t>
      </w:r>
      <w:r w:rsidRPr="00FE433F">
        <w:rPr>
          <w:rFonts w:eastAsia="Calibri"/>
          <w:i/>
          <w:sz w:val="23"/>
          <w:szCs w:val="23"/>
          <w:rtl/>
        </w:rPr>
        <w:t xml:space="preserve"> مع</w:t>
      </w:r>
      <w:r w:rsidRPr="00FE433F">
        <w:rPr>
          <w:rFonts w:eastAsia="Calibri" w:hint="cs"/>
          <w:i/>
          <w:sz w:val="23"/>
          <w:szCs w:val="23"/>
          <w:rtl/>
        </w:rPr>
        <w:t>ی</w:t>
      </w:r>
      <w:r w:rsidRPr="00FE433F">
        <w:rPr>
          <w:rFonts w:eastAsia="Calibri" w:hint="eastAsia"/>
          <w:i/>
          <w:sz w:val="23"/>
          <w:szCs w:val="23"/>
          <w:rtl/>
        </w:rPr>
        <w:t>ار</w:t>
      </w:r>
      <w:r w:rsidRPr="00FE433F">
        <w:rPr>
          <w:i/>
          <w:sz w:val="23"/>
          <w:szCs w:val="23"/>
          <w:rtl/>
        </w:rPr>
        <w:t xml:space="preserve"> اندازه</w:t>
      </w:r>
      <w:r w:rsidRPr="00FE433F">
        <w:rPr>
          <w:i/>
          <w:sz w:val="23"/>
          <w:szCs w:val="23"/>
          <w:rtl/>
        </w:rPr>
        <w:softHyphen/>
      </w:r>
      <w:r w:rsidRPr="00FE433F">
        <w:rPr>
          <w:rFonts w:eastAsia="Calibri"/>
          <w:i/>
          <w:sz w:val="23"/>
          <w:szCs w:val="23"/>
          <w:rtl/>
        </w:rPr>
        <w:t>گ</w:t>
      </w:r>
      <w:r w:rsidRPr="00FE433F">
        <w:rPr>
          <w:rFonts w:eastAsia="Calibri" w:hint="cs"/>
          <w:i/>
          <w:sz w:val="23"/>
          <w:szCs w:val="23"/>
          <w:rtl/>
        </w:rPr>
        <w:t>ی</w:t>
      </w:r>
      <w:r w:rsidRPr="00FE433F">
        <w:rPr>
          <w:rFonts w:eastAsia="Calibri" w:hint="eastAsia"/>
          <w:i/>
          <w:sz w:val="23"/>
          <w:szCs w:val="23"/>
          <w:rtl/>
        </w:rPr>
        <w:t>ر</w:t>
      </w:r>
      <w:r w:rsidRPr="00FE433F">
        <w:rPr>
          <w:rFonts w:eastAsia="Calibri" w:hint="cs"/>
          <w:i/>
          <w:sz w:val="23"/>
          <w:szCs w:val="23"/>
          <w:rtl/>
        </w:rPr>
        <w:t>ی</w:t>
      </w:r>
      <w:r w:rsidRPr="00FE433F">
        <w:rPr>
          <w:rFonts w:eastAsia="Calibri"/>
          <w:i/>
          <w:sz w:val="23"/>
          <w:szCs w:val="23"/>
          <w:rtl/>
        </w:rPr>
        <w:t xml:space="preserve"> پول گسترده م</w:t>
      </w:r>
      <w:r w:rsidRPr="00FE433F">
        <w:rPr>
          <w:rFonts w:eastAsia="Calibri" w:hint="cs"/>
          <w:i/>
          <w:sz w:val="23"/>
          <w:szCs w:val="23"/>
          <w:rtl/>
        </w:rPr>
        <w:t>ی</w:t>
      </w:r>
      <w:r w:rsidRPr="00FE433F">
        <w:rPr>
          <w:rFonts w:eastAsia="Calibri" w:hint="eastAsia"/>
          <w:i/>
          <w:sz w:val="23"/>
          <w:szCs w:val="23"/>
        </w:rPr>
        <w:t>‌</w:t>
      </w:r>
      <w:r w:rsidRPr="00FE433F">
        <w:rPr>
          <w:rFonts w:eastAsia="Calibri" w:hint="eastAsia"/>
          <w:i/>
          <w:sz w:val="23"/>
          <w:szCs w:val="23"/>
          <w:rtl/>
        </w:rPr>
        <w:t>باشد</w:t>
      </w:r>
      <w:r w:rsidRPr="00FE433F">
        <w:rPr>
          <w:rFonts w:eastAsia="Calibri"/>
          <w:i/>
          <w:sz w:val="23"/>
          <w:szCs w:val="23"/>
          <w:rtl/>
        </w:rPr>
        <w:t>.</w:t>
      </w:r>
    </w:p>
    <w:p w14:paraId="4D0F3CA8" w14:textId="77777777" w:rsidR="00411620" w:rsidRPr="00FE433F" w:rsidRDefault="00411620" w:rsidP="00411620">
      <w:pPr>
        <w:spacing w:line="216" w:lineRule="auto"/>
        <w:rPr>
          <w:i/>
          <w:sz w:val="23"/>
          <w:szCs w:val="23"/>
          <w:rtl/>
        </w:rPr>
      </w:pPr>
      <w:r w:rsidRPr="00FE433F">
        <w:rPr>
          <w:rFonts w:eastAsia="Calibri" w:hint="eastAsia"/>
          <w:i/>
          <w:sz w:val="23"/>
          <w:szCs w:val="23"/>
          <w:rtl/>
        </w:rPr>
        <w:t>در</w:t>
      </w:r>
      <w:r w:rsidRPr="00FE433F">
        <w:rPr>
          <w:rFonts w:eastAsia="Calibri"/>
          <w:i/>
          <w:sz w:val="23"/>
          <w:szCs w:val="23"/>
          <w:rtl/>
        </w:rPr>
        <w:t xml:space="preserve"> نمودار 8. 1</w:t>
      </w:r>
      <w:r w:rsidRPr="00FE433F">
        <w:rPr>
          <w:rFonts w:hint="cs"/>
          <w:i/>
          <w:sz w:val="23"/>
          <w:szCs w:val="23"/>
          <w:rtl/>
        </w:rPr>
        <w:t>،</w:t>
      </w:r>
      <w:r w:rsidRPr="00FE433F">
        <w:rPr>
          <w:rFonts w:eastAsia="Calibri"/>
          <w:i/>
          <w:sz w:val="23"/>
          <w:szCs w:val="23"/>
          <w:rtl/>
        </w:rPr>
        <w:t xml:space="preserve"> </w:t>
      </w:r>
      <w:r w:rsidRPr="00FE433F">
        <w:rPr>
          <w:rFonts w:eastAsia="Calibri"/>
          <w:i/>
          <w:sz w:val="23"/>
          <w:szCs w:val="23"/>
        </w:rPr>
        <w:t>M0</w:t>
      </w:r>
      <w:r w:rsidRPr="00FE433F">
        <w:rPr>
          <w:rFonts w:eastAsia="Calibri"/>
          <w:i/>
          <w:sz w:val="23"/>
          <w:szCs w:val="23"/>
          <w:rtl/>
        </w:rPr>
        <w:t xml:space="preserve"> و </w:t>
      </w:r>
      <w:r w:rsidRPr="00FE433F">
        <w:rPr>
          <w:rFonts w:eastAsia="Calibri"/>
          <w:i/>
          <w:sz w:val="23"/>
          <w:szCs w:val="23"/>
        </w:rPr>
        <w:t>M4</w:t>
      </w:r>
      <w:r w:rsidRPr="00FE433F">
        <w:rPr>
          <w:rFonts w:eastAsia="Calibri"/>
          <w:i/>
          <w:sz w:val="23"/>
          <w:szCs w:val="23"/>
          <w:rtl/>
        </w:rPr>
        <w:t xml:space="preserve"> و </w:t>
      </w:r>
      <w:r w:rsidRPr="00FE433F">
        <w:rPr>
          <w:rFonts w:eastAsia="Calibri" w:hint="eastAsia"/>
          <w:i/>
          <w:sz w:val="23"/>
          <w:szCs w:val="23"/>
          <w:rtl/>
        </w:rPr>
        <w:t>نرخ</w:t>
      </w:r>
      <w:r w:rsidRPr="00FE433F">
        <w:rPr>
          <w:rFonts w:eastAsia="Calibri"/>
          <w:i/>
          <w:sz w:val="23"/>
          <w:szCs w:val="23"/>
          <w:rtl/>
        </w:rPr>
        <w:t xml:space="preserve"> رشد </w:t>
      </w:r>
      <w:r w:rsidRPr="00FE433F">
        <w:rPr>
          <w:rFonts w:eastAsia="Calibri"/>
          <w:i/>
          <w:sz w:val="23"/>
          <w:szCs w:val="23"/>
        </w:rPr>
        <w:t>GDP</w:t>
      </w:r>
      <w:r w:rsidRPr="00FE433F">
        <w:rPr>
          <w:rFonts w:eastAsia="Calibri"/>
          <w:i/>
          <w:sz w:val="23"/>
          <w:szCs w:val="23"/>
          <w:rtl/>
        </w:rPr>
        <w:t xml:space="preserve"> اسم</w:t>
      </w:r>
      <w:r w:rsidRPr="00FE433F">
        <w:rPr>
          <w:rFonts w:eastAsia="Calibri" w:hint="cs"/>
          <w:i/>
          <w:sz w:val="23"/>
          <w:szCs w:val="23"/>
          <w:rtl/>
        </w:rPr>
        <w:t>ی</w:t>
      </w:r>
      <w:r w:rsidRPr="00FE433F">
        <w:rPr>
          <w:rFonts w:eastAsia="Calibri"/>
          <w:i/>
          <w:sz w:val="23"/>
          <w:szCs w:val="23"/>
          <w:rtl/>
        </w:rPr>
        <w:t xml:space="preserve"> کشور انگلستان نشان داده م</w:t>
      </w:r>
      <w:r w:rsidRPr="00FE433F">
        <w:rPr>
          <w:rFonts w:eastAsia="Calibri" w:hint="cs"/>
          <w:i/>
          <w:sz w:val="23"/>
          <w:szCs w:val="23"/>
          <w:rtl/>
        </w:rPr>
        <w:t>ی</w:t>
      </w:r>
      <w:r w:rsidRPr="00FE433F">
        <w:rPr>
          <w:rFonts w:eastAsia="Calibri" w:hint="eastAsia"/>
          <w:i/>
          <w:sz w:val="23"/>
          <w:szCs w:val="23"/>
        </w:rPr>
        <w:t>‌</w:t>
      </w:r>
      <w:r w:rsidRPr="00FE433F">
        <w:rPr>
          <w:rFonts w:eastAsia="Calibri"/>
          <w:i/>
          <w:sz w:val="23"/>
          <w:szCs w:val="23"/>
          <w:rtl/>
        </w:rPr>
        <w:t>شود. هم</w:t>
      </w:r>
      <w:r w:rsidRPr="00FE433F">
        <w:rPr>
          <w:i/>
          <w:sz w:val="23"/>
          <w:szCs w:val="23"/>
          <w:rtl/>
        </w:rPr>
        <w:t>ان</w:t>
      </w:r>
      <w:r w:rsidRPr="00FE433F">
        <w:rPr>
          <w:i/>
          <w:sz w:val="23"/>
          <w:szCs w:val="23"/>
          <w:rtl/>
        </w:rPr>
        <w:softHyphen/>
      </w:r>
      <w:r w:rsidRPr="00FE433F">
        <w:rPr>
          <w:rFonts w:eastAsia="Calibri"/>
          <w:i/>
          <w:sz w:val="23"/>
          <w:szCs w:val="23"/>
          <w:rtl/>
        </w:rPr>
        <w:t>گونه که ملاحظه م</w:t>
      </w:r>
      <w:r w:rsidRPr="00FE433F">
        <w:rPr>
          <w:rFonts w:eastAsia="Calibri" w:hint="cs"/>
          <w:i/>
          <w:sz w:val="23"/>
          <w:szCs w:val="23"/>
          <w:rtl/>
        </w:rPr>
        <w:t>ی</w:t>
      </w:r>
      <w:r w:rsidRPr="00FE433F">
        <w:rPr>
          <w:rFonts w:eastAsia="Calibri" w:hint="eastAsia"/>
          <w:i/>
          <w:sz w:val="23"/>
          <w:szCs w:val="23"/>
        </w:rPr>
        <w:t>‌</w:t>
      </w:r>
      <w:r w:rsidRPr="00FE433F">
        <w:rPr>
          <w:rFonts w:eastAsia="Calibri"/>
          <w:i/>
          <w:sz w:val="23"/>
          <w:szCs w:val="23"/>
          <w:rtl/>
        </w:rPr>
        <w:t>شود رابطه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نزد</w:t>
      </w:r>
      <w:r w:rsidRPr="00FE433F">
        <w:rPr>
          <w:rFonts w:eastAsia="Calibri" w:hint="cs"/>
          <w:i/>
          <w:sz w:val="23"/>
          <w:szCs w:val="23"/>
          <w:rtl/>
        </w:rPr>
        <w:t>ی</w:t>
      </w:r>
      <w:r w:rsidRPr="00FE433F">
        <w:rPr>
          <w:rFonts w:eastAsia="Calibri" w:hint="eastAsia"/>
          <w:i/>
          <w:sz w:val="23"/>
          <w:szCs w:val="23"/>
          <w:rtl/>
        </w:rPr>
        <w:t>ک</w:t>
      </w:r>
      <w:r w:rsidRPr="00FE433F">
        <w:rPr>
          <w:rFonts w:eastAsia="Calibri" w:hint="cs"/>
          <w:i/>
          <w:sz w:val="23"/>
          <w:szCs w:val="23"/>
          <w:rtl/>
        </w:rPr>
        <w:t>ی</w:t>
      </w:r>
      <w:r w:rsidRPr="00FE433F">
        <w:rPr>
          <w:rFonts w:eastAsia="Calibri"/>
          <w:i/>
          <w:sz w:val="23"/>
          <w:szCs w:val="23"/>
          <w:rtl/>
        </w:rPr>
        <w:t xml:space="preserve"> ب</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پول و مخ</w:t>
      </w:r>
      <w:r w:rsidRPr="00FE433F">
        <w:rPr>
          <w:rFonts w:eastAsia="Calibri" w:hint="eastAsia"/>
          <w:i/>
          <w:sz w:val="23"/>
          <w:szCs w:val="23"/>
          <w:rtl/>
        </w:rPr>
        <w:t>ارج</w:t>
      </w:r>
      <w:r w:rsidRPr="00FE433F">
        <w:rPr>
          <w:rFonts w:eastAsia="Calibri"/>
          <w:i/>
          <w:sz w:val="23"/>
          <w:szCs w:val="23"/>
          <w:rtl/>
        </w:rPr>
        <w:t xml:space="preserve"> در کوتاه</w:t>
      </w:r>
      <w:r w:rsidRPr="00FE433F">
        <w:rPr>
          <w:rFonts w:hint="cs"/>
          <w:i/>
          <w:sz w:val="23"/>
          <w:szCs w:val="23"/>
          <w:rtl/>
        </w:rPr>
        <w:t>‌</w:t>
      </w:r>
      <w:r w:rsidRPr="00FE433F">
        <w:rPr>
          <w:i/>
          <w:sz w:val="23"/>
          <w:szCs w:val="23"/>
          <w:rtl/>
        </w:rPr>
        <w:t>مدت</w:t>
      </w:r>
      <w:r w:rsidRPr="00FE433F">
        <w:rPr>
          <w:rFonts w:eastAsia="Calibri"/>
          <w:i/>
          <w:sz w:val="23"/>
          <w:szCs w:val="23"/>
          <w:rtl/>
        </w:rPr>
        <w:t xml:space="preserve"> وجود ندارد. </w:t>
      </w:r>
      <w:r w:rsidRPr="00FE433F">
        <w:rPr>
          <w:rFonts w:eastAsia="Calibri" w:hint="eastAsia"/>
          <w:i/>
          <w:sz w:val="23"/>
          <w:szCs w:val="23"/>
          <w:rtl/>
        </w:rPr>
        <w:t>نمودار</w:t>
      </w:r>
      <w:r w:rsidRPr="00FE433F">
        <w:rPr>
          <w:rFonts w:eastAsia="Calibri"/>
          <w:i/>
          <w:sz w:val="23"/>
          <w:szCs w:val="23"/>
          <w:rtl/>
        </w:rPr>
        <w:t xml:space="preserve"> ۸. ۲ </w:t>
      </w:r>
      <w:r w:rsidRPr="00FE433F">
        <w:rPr>
          <w:rFonts w:eastAsia="Calibri" w:hint="eastAsia"/>
          <w:i/>
          <w:sz w:val="23"/>
          <w:szCs w:val="23"/>
          <w:rtl/>
        </w:rPr>
        <w:t>و</w:t>
      </w:r>
      <w:r w:rsidRPr="00FE433F">
        <w:rPr>
          <w:rFonts w:eastAsia="Calibri"/>
          <w:i/>
          <w:sz w:val="23"/>
          <w:szCs w:val="23"/>
          <w:rtl/>
        </w:rPr>
        <w:t xml:space="preserve"> ۸. ۳ </w:t>
      </w:r>
      <w:r w:rsidRPr="00FE433F">
        <w:rPr>
          <w:rFonts w:eastAsia="Calibri" w:hint="eastAsia"/>
          <w:i/>
          <w:sz w:val="23"/>
          <w:szCs w:val="23"/>
          <w:rtl/>
        </w:rPr>
        <w:t>سرعت</w:t>
      </w:r>
      <w:r w:rsidRPr="00FE433F">
        <w:rPr>
          <w:rFonts w:eastAsia="Calibri"/>
          <w:i/>
          <w:sz w:val="23"/>
          <w:szCs w:val="23"/>
          <w:rtl/>
        </w:rPr>
        <w:t xml:space="preserve"> گردش پول </w:t>
      </w:r>
      <w:r w:rsidRPr="00FE433F">
        <w:rPr>
          <w:rFonts w:eastAsia="Calibri" w:hint="eastAsia"/>
          <w:i/>
          <w:sz w:val="23"/>
          <w:szCs w:val="23"/>
          <w:rtl/>
        </w:rPr>
        <w:t>محدود</w:t>
      </w:r>
      <w:r w:rsidRPr="00FE433F">
        <w:rPr>
          <w:rFonts w:eastAsia="Calibri"/>
          <w:i/>
          <w:sz w:val="23"/>
          <w:szCs w:val="23"/>
          <w:rtl/>
        </w:rPr>
        <w:t xml:space="preserve"> و گسترده را در کشور انگلستان و آمر</w:t>
      </w:r>
      <w:r w:rsidRPr="00FE433F">
        <w:rPr>
          <w:rFonts w:eastAsia="Calibri" w:hint="cs"/>
          <w:i/>
          <w:sz w:val="23"/>
          <w:szCs w:val="23"/>
          <w:rtl/>
        </w:rPr>
        <w:t>ی</w:t>
      </w:r>
      <w:r w:rsidRPr="00FE433F">
        <w:rPr>
          <w:rFonts w:eastAsia="Calibri" w:hint="eastAsia"/>
          <w:i/>
          <w:sz w:val="23"/>
          <w:szCs w:val="23"/>
          <w:rtl/>
        </w:rPr>
        <w:t>کا</w:t>
      </w:r>
      <w:r w:rsidRPr="00FE433F">
        <w:rPr>
          <w:rFonts w:eastAsia="Calibri"/>
          <w:i/>
          <w:sz w:val="23"/>
          <w:szCs w:val="23"/>
          <w:rtl/>
        </w:rPr>
        <w:t xml:space="preserve"> </w:t>
      </w:r>
      <w:r w:rsidRPr="00FE433F">
        <w:rPr>
          <w:rFonts w:eastAsia="Calibri" w:hint="eastAsia"/>
          <w:i/>
          <w:sz w:val="23"/>
          <w:szCs w:val="23"/>
          <w:rtl/>
        </w:rPr>
        <w:t>نشان</w:t>
      </w:r>
      <w:r w:rsidRPr="00FE433F">
        <w:rPr>
          <w:rFonts w:eastAsia="Calibri"/>
          <w:i/>
          <w:sz w:val="23"/>
          <w:szCs w:val="23"/>
          <w:rtl/>
        </w:rPr>
        <w:t xml:space="preserve"> م</w:t>
      </w:r>
      <w:r w:rsidRPr="00FE433F">
        <w:rPr>
          <w:rFonts w:eastAsia="Calibri" w:hint="cs"/>
          <w:i/>
          <w:sz w:val="23"/>
          <w:szCs w:val="23"/>
          <w:rtl/>
        </w:rPr>
        <w:t>ی</w:t>
      </w:r>
      <w:r w:rsidRPr="00FE433F">
        <w:rPr>
          <w:rFonts w:eastAsia="Calibri" w:hint="eastAsia"/>
          <w:i/>
          <w:sz w:val="23"/>
          <w:szCs w:val="23"/>
        </w:rPr>
        <w:t>‌</w:t>
      </w:r>
      <w:r w:rsidRPr="00FE433F">
        <w:rPr>
          <w:rFonts w:eastAsia="Calibri" w:hint="eastAsia"/>
          <w:i/>
          <w:sz w:val="23"/>
          <w:szCs w:val="23"/>
          <w:rtl/>
        </w:rPr>
        <w:t>دهد</w:t>
      </w:r>
      <w:r w:rsidRPr="00FE433F">
        <w:rPr>
          <w:rFonts w:eastAsia="Calibri"/>
          <w:i/>
          <w:sz w:val="23"/>
          <w:szCs w:val="23"/>
          <w:rtl/>
        </w:rPr>
        <w:t xml:space="preserve">. </w:t>
      </w:r>
      <w:r w:rsidRPr="00FE433F">
        <w:rPr>
          <w:rFonts w:eastAsia="Calibri" w:hint="eastAsia"/>
          <w:i/>
          <w:sz w:val="23"/>
          <w:szCs w:val="23"/>
          <w:rtl/>
        </w:rPr>
        <w:t>تعر</w:t>
      </w:r>
      <w:r w:rsidRPr="00FE433F">
        <w:rPr>
          <w:rFonts w:eastAsia="Calibri" w:hint="cs"/>
          <w:i/>
          <w:sz w:val="23"/>
          <w:szCs w:val="23"/>
          <w:rtl/>
        </w:rPr>
        <w:t>ی</w:t>
      </w:r>
      <w:r w:rsidRPr="00FE433F">
        <w:rPr>
          <w:rFonts w:eastAsia="Calibri" w:hint="eastAsia"/>
          <w:i/>
          <w:sz w:val="23"/>
          <w:szCs w:val="23"/>
          <w:rtl/>
        </w:rPr>
        <w:t>ف</w:t>
      </w:r>
      <w:r w:rsidRPr="00FE433F">
        <w:rPr>
          <w:rFonts w:eastAsia="Calibri"/>
          <w:i/>
          <w:sz w:val="23"/>
          <w:szCs w:val="23"/>
          <w:rtl/>
        </w:rPr>
        <w:t xml:space="preserve"> </w:t>
      </w:r>
      <w:r w:rsidRPr="00FE433F">
        <w:rPr>
          <w:rFonts w:eastAsia="Calibri" w:hint="eastAsia"/>
          <w:i/>
          <w:sz w:val="23"/>
          <w:szCs w:val="23"/>
          <w:rtl/>
        </w:rPr>
        <w:t>سرعت</w:t>
      </w:r>
      <w:r w:rsidRPr="00FE433F">
        <w:rPr>
          <w:rFonts w:eastAsia="Calibri" w:hint="cs"/>
          <w:i/>
          <w:sz w:val="23"/>
          <w:szCs w:val="23"/>
          <w:rtl/>
        </w:rPr>
        <w:t xml:space="preserve"> گردش پول</w:t>
      </w:r>
      <w:r w:rsidRPr="00FE433F">
        <w:rPr>
          <w:position w:val="-10"/>
        </w:rPr>
        <w:object w:dxaOrig="240" w:dyaOrig="320" w14:anchorId="075A2BE1">
          <v:shape id="_x0000_i4269" type="#_x0000_t75" style="width:12.1pt;height:16.35pt" o:ole="">
            <v:imagedata r:id="rId6525" o:title=""/>
          </v:shape>
          <o:OLEObject Type="Embed" ProgID="Equation.DSMT4" ShapeID="_x0000_i4269" DrawAspect="Content" ObjectID="_1791378213" r:id="rId6526"/>
        </w:object>
      </w:r>
      <w:r w:rsidRPr="00FE433F">
        <w:rPr>
          <w:i/>
          <w:sz w:val="23"/>
          <w:szCs w:val="23"/>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نظریه</w:t>
      </w:r>
      <w:r w:rsidRPr="00FE433F">
        <w:rPr>
          <w:i/>
          <w:sz w:val="23"/>
          <w:szCs w:val="23"/>
          <w:rtl/>
        </w:rPr>
        <w:t xml:space="preserve"> </w:t>
      </w:r>
      <w:r w:rsidRPr="00FE433F">
        <w:rPr>
          <w:rFonts w:hint="eastAsia"/>
          <w:i/>
          <w:sz w:val="23"/>
          <w:szCs w:val="23"/>
          <w:rtl/>
        </w:rPr>
        <w:t>مقدار</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استخراج</w:t>
      </w:r>
      <w:r w:rsidRPr="00FE433F">
        <w:rPr>
          <w:i/>
          <w:sz w:val="23"/>
          <w:szCs w:val="23"/>
          <w:rtl/>
        </w:rPr>
        <w:t xml:space="preserve"> </w:t>
      </w:r>
      <w:r w:rsidRPr="00FE433F">
        <w:rPr>
          <w:rFonts w:hint="eastAsia"/>
          <w:i/>
          <w:sz w:val="23"/>
          <w:szCs w:val="23"/>
          <w:rtl/>
        </w:rPr>
        <w:t>شده</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آن</w:t>
      </w:r>
    </w:p>
    <w:p w14:paraId="5C96CBFA" w14:textId="77777777" w:rsidR="00411620" w:rsidRPr="00FE433F" w:rsidRDefault="00411620" w:rsidP="00411620">
      <w:pPr>
        <w:bidi w:val="0"/>
        <w:spacing w:line="216" w:lineRule="auto"/>
        <w:rPr>
          <w:rFonts w:eastAsia="Calibri"/>
          <w:i/>
          <w:sz w:val="23"/>
          <w:szCs w:val="23"/>
          <w:rtl/>
        </w:rPr>
      </w:pPr>
      <w:r w:rsidRPr="00FE433F">
        <w:rPr>
          <w:rFonts w:eastAsia="Calibri"/>
          <w:i/>
          <w:sz w:val="23"/>
          <w:szCs w:val="23"/>
          <w:rtl/>
        </w:rPr>
        <w:t xml:space="preserve"> </w:t>
      </w:r>
      <w:r w:rsidRPr="00FE433F">
        <w:rPr>
          <w:position w:val="-10"/>
        </w:rPr>
        <w:object w:dxaOrig="1120" w:dyaOrig="320" w14:anchorId="29520EDC">
          <v:shape id="_x0000_i4270" type="#_x0000_t75" style="width:55.65pt;height:16.35pt" o:ole="">
            <v:imagedata r:id="rId6527" o:title=""/>
          </v:shape>
          <o:OLEObject Type="Embed" ProgID="Equation.DSMT4" ShapeID="_x0000_i4270" DrawAspect="Content" ObjectID="_1791378214" r:id="rId6528"/>
        </w:object>
      </w:r>
    </w:p>
    <w:p w14:paraId="201C1295" w14:textId="77777777" w:rsidR="00411620" w:rsidRPr="00FE433F" w:rsidRDefault="00411620" w:rsidP="00411620">
      <w:pPr>
        <w:spacing w:line="216" w:lineRule="auto"/>
        <w:rPr>
          <w:i/>
          <w:sz w:val="23"/>
          <w:szCs w:val="23"/>
          <w:rtl/>
        </w:rPr>
      </w:pPr>
      <w:r w:rsidRPr="00FE433F">
        <w:rPr>
          <w:i/>
          <w:sz w:val="23"/>
          <w:szCs w:val="23"/>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واقع</w:t>
      </w:r>
      <w:r w:rsidRPr="00FE433F">
        <w:rPr>
          <w:i/>
          <w:sz w:val="23"/>
          <w:szCs w:val="23"/>
          <w:rtl/>
        </w:rPr>
        <w:t xml:space="preserve"> </w:t>
      </w:r>
      <w:r w:rsidRPr="00FE433F">
        <w:rPr>
          <w:rFonts w:hint="eastAsia"/>
          <w:i/>
          <w:sz w:val="23"/>
          <w:szCs w:val="23"/>
          <w:rtl/>
        </w:rPr>
        <w:t>سرعت</w:t>
      </w:r>
      <w:r w:rsidRPr="00FE433F">
        <w:rPr>
          <w:i/>
          <w:sz w:val="23"/>
          <w:szCs w:val="23"/>
          <w:rtl/>
        </w:rPr>
        <w:t xml:space="preserve"> </w:t>
      </w:r>
      <w:r w:rsidRPr="00FE433F">
        <w:rPr>
          <w:rFonts w:hint="eastAsia"/>
          <w:i/>
          <w:sz w:val="23"/>
          <w:szCs w:val="23"/>
          <w:rtl/>
        </w:rPr>
        <w:t>گردش</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تعداد</w:t>
      </w:r>
      <w:r w:rsidRPr="00FE433F">
        <w:rPr>
          <w:i/>
          <w:sz w:val="23"/>
          <w:szCs w:val="23"/>
          <w:rtl/>
        </w:rPr>
        <w:t xml:space="preserve"> </w:t>
      </w:r>
      <w:r w:rsidRPr="00FE433F">
        <w:rPr>
          <w:rFonts w:hint="eastAsia"/>
          <w:i/>
          <w:sz w:val="23"/>
          <w:szCs w:val="23"/>
          <w:rtl/>
        </w:rPr>
        <w:t>دفعات</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هر</w:t>
      </w:r>
      <w:r w:rsidRPr="00FE433F">
        <w:rPr>
          <w:i/>
          <w:sz w:val="23"/>
          <w:szCs w:val="23"/>
          <w:rtl/>
        </w:rPr>
        <w:t xml:space="preserve"> </w:t>
      </w:r>
      <w:r w:rsidRPr="00FE433F">
        <w:rPr>
          <w:rFonts w:hint="eastAsia"/>
          <w:i/>
          <w:sz w:val="23"/>
          <w:szCs w:val="23"/>
          <w:rtl/>
        </w:rPr>
        <w:t>دوره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زمان</w:t>
      </w:r>
      <w:r w:rsidRPr="00FE433F">
        <w:rPr>
          <w:rFonts w:hint="cs"/>
          <w:i/>
          <w:sz w:val="23"/>
          <w:szCs w:val="23"/>
          <w:rtl/>
        </w:rPr>
        <w:t>ی</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هر</w:t>
      </w:r>
      <w:r w:rsidRPr="00FE433F">
        <w:rPr>
          <w:i/>
          <w:sz w:val="23"/>
          <w:szCs w:val="23"/>
          <w:rtl/>
        </w:rPr>
        <w:t xml:space="preserve"> </w:t>
      </w:r>
      <w:r w:rsidRPr="00FE433F">
        <w:rPr>
          <w:rFonts w:hint="eastAsia"/>
          <w:i/>
          <w:sz w:val="23"/>
          <w:szCs w:val="23"/>
          <w:rtl/>
        </w:rPr>
        <w:t>واحد</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معاملات</w:t>
      </w:r>
      <w:r w:rsidRPr="00FE433F">
        <w:rPr>
          <w:i/>
          <w:sz w:val="23"/>
          <w:szCs w:val="23"/>
          <w:rtl/>
        </w:rPr>
        <w:t xml:space="preserve"> </w:t>
      </w:r>
      <w:r w:rsidRPr="00FE433F">
        <w:rPr>
          <w:rFonts w:hint="eastAsia"/>
          <w:i/>
          <w:sz w:val="23"/>
          <w:szCs w:val="23"/>
          <w:rtl/>
        </w:rPr>
        <w:t>مورد</w:t>
      </w:r>
      <w:r w:rsidRPr="00FE433F">
        <w:rPr>
          <w:i/>
          <w:sz w:val="23"/>
          <w:szCs w:val="23"/>
          <w:rtl/>
        </w:rPr>
        <w:t xml:space="preserve"> </w:t>
      </w:r>
      <w:r w:rsidRPr="00FE433F">
        <w:rPr>
          <w:rFonts w:hint="eastAsia"/>
          <w:i/>
          <w:sz w:val="23"/>
          <w:szCs w:val="23"/>
          <w:rtl/>
        </w:rPr>
        <w:t>مبادله</w:t>
      </w:r>
      <w:r w:rsidRPr="00FE433F">
        <w:rPr>
          <w:i/>
          <w:sz w:val="23"/>
          <w:szCs w:val="23"/>
          <w:rtl/>
        </w:rPr>
        <w:t xml:space="preserve"> </w:t>
      </w:r>
      <w:r w:rsidRPr="00FE433F">
        <w:rPr>
          <w:rFonts w:hint="eastAsia"/>
          <w:i/>
          <w:sz w:val="23"/>
          <w:szCs w:val="23"/>
          <w:rtl/>
        </w:rPr>
        <w:t>قرار</w:t>
      </w:r>
      <w:r w:rsidRPr="00FE433F">
        <w:rPr>
          <w:i/>
          <w:sz w:val="23"/>
          <w:szCs w:val="23"/>
          <w:rtl/>
        </w:rPr>
        <w:t xml:space="preserve"> م</w:t>
      </w:r>
      <w:r w:rsidRPr="00FE433F">
        <w:rPr>
          <w:rFonts w:hint="cs"/>
          <w:i/>
          <w:sz w:val="23"/>
          <w:szCs w:val="23"/>
          <w:rtl/>
        </w:rPr>
        <w:t>ی</w:t>
      </w:r>
      <w:r w:rsidRPr="00FE433F">
        <w:rPr>
          <w:rFonts w:hint="eastAsia"/>
          <w:i/>
          <w:sz w:val="23"/>
          <w:szCs w:val="23"/>
        </w:rPr>
        <w:t>‌</w:t>
      </w:r>
      <w:r w:rsidRPr="00FE433F">
        <w:rPr>
          <w:rFonts w:hint="eastAsia"/>
          <w:i/>
          <w:sz w:val="23"/>
          <w:szCs w:val="23"/>
          <w:rtl/>
        </w:rPr>
        <w:t>گ</w:t>
      </w:r>
      <w:r w:rsidRPr="00FE433F">
        <w:rPr>
          <w:rFonts w:hint="cs"/>
          <w:i/>
          <w:sz w:val="23"/>
          <w:szCs w:val="23"/>
          <w:rtl/>
        </w:rPr>
        <w:t>ی</w:t>
      </w:r>
      <w:r w:rsidRPr="00FE433F">
        <w:rPr>
          <w:rFonts w:hint="eastAsia"/>
          <w:i/>
          <w:sz w:val="23"/>
          <w:szCs w:val="23"/>
          <w:rtl/>
        </w:rPr>
        <w:t>رد</w:t>
      </w:r>
      <w:r w:rsidRPr="00FE433F">
        <w:rPr>
          <w:i/>
          <w:sz w:val="23"/>
          <w:szCs w:val="23"/>
          <w:rtl/>
        </w:rPr>
        <w:t xml:space="preserve">. </w:t>
      </w:r>
      <w:r w:rsidRPr="00FE433F">
        <w:rPr>
          <w:rFonts w:hint="eastAsia"/>
          <w:i/>
          <w:sz w:val="23"/>
          <w:szCs w:val="23"/>
          <w:rtl/>
        </w:rPr>
        <w:t>هر</w:t>
      </w:r>
      <w:r w:rsidRPr="00FE433F">
        <w:rPr>
          <w:i/>
          <w:sz w:val="23"/>
          <w:szCs w:val="23"/>
          <w:rtl/>
        </w:rPr>
        <w:t xml:space="preserve"> </w:t>
      </w:r>
      <w:r w:rsidRPr="00FE433F">
        <w:rPr>
          <w:rFonts w:hint="cs"/>
          <w:i/>
          <w:sz w:val="23"/>
          <w:szCs w:val="23"/>
          <w:rtl/>
        </w:rPr>
        <w:t>ی</w:t>
      </w:r>
      <w:r w:rsidRPr="00FE433F">
        <w:rPr>
          <w:rFonts w:hint="eastAsia"/>
          <w:i/>
          <w:sz w:val="23"/>
          <w:szCs w:val="23"/>
          <w:rtl/>
        </w:rPr>
        <w:t>ک</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اقسام</w:t>
      </w:r>
      <w:r w:rsidRPr="00FE433F">
        <w:rPr>
          <w:i/>
          <w:sz w:val="23"/>
          <w:szCs w:val="23"/>
          <w:rtl/>
        </w:rPr>
        <w:t xml:space="preserve"> </w:t>
      </w:r>
      <w:r w:rsidRPr="00FE433F">
        <w:rPr>
          <w:rFonts w:hint="eastAsia"/>
          <w:i/>
          <w:sz w:val="23"/>
          <w:szCs w:val="23"/>
          <w:rtl/>
        </w:rPr>
        <w:t>پول</w:t>
      </w:r>
      <w:r w:rsidRPr="00FE433F">
        <w:rPr>
          <w:rFonts w:hint="cs"/>
          <w:i/>
          <w:sz w:val="23"/>
          <w:szCs w:val="23"/>
          <w:rtl/>
        </w:rPr>
        <w:t>،</w:t>
      </w:r>
      <w:r w:rsidRPr="00FE433F">
        <w:rPr>
          <w:i/>
          <w:sz w:val="23"/>
          <w:szCs w:val="23"/>
          <w:rtl/>
        </w:rPr>
        <w:t xml:space="preserve"> </w:t>
      </w:r>
      <w:r w:rsidRPr="00FE433F">
        <w:rPr>
          <w:rFonts w:hint="eastAsia"/>
          <w:i/>
          <w:sz w:val="23"/>
          <w:szCs w:val="23"/>
          <w:rtl/>
        </w:rPr>
        <w:t>سرعت</w:t>
      </w:r>
      <w:r w:rsidRPr="00FE433F">
        <w:rPr>
          <w:i/>
          <w:sz w:val="23"/>
          <w:szCs w:val="23"/>
          <w:rtl/>
        </w:rPr>
        <w:t xml:space="preserve"> </w:t>
      </w:r>
      <w:r w:rsidRPr="00FE433F">
        <w:rPr>
          <w:rFonts w:hint="eastAsia"/>
          <w:i/>
          <w:sz w:val="23"/>
          <w:szCs w:val="23"/>
          <w:rtl/>
        </w:rPr>
        <w:t>گردش</w:t>
      </w:r>
      <w:r w:rsidRPr="00FE433F">
        <w:rPr>
          <w:i/>
          <w:sz w:val="23"/>
          <w:szCs w:val="23"/>
          <w:rtl/>
        </w:rPr>
        <w:t xml:space="preserve"> </w:t>
      </w:r>
      <w:r w:rsidRPr="00FE433F">
        <w:rPr>
          <w:rFonts w:hint="eastAsia"/>
          <w:i/>
          <w:sz w:val="23"/>
          <w:szCs w:val="23"/>
          <w:rtl/>
        </w:rPr>
        <w:t>مخصوص</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خود</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دارا</w:t>
      </w:r>
      <w:r w:rsidRPr="00FE433F">
        <w:rPr>
          <w:rFonts w:hint="cs"/>
          <w:i/>
          <w:sz w:val="23"/>
          <w:szCs w:val="23"/>
          <w:rtl/>
        </w:rPr>
        <w:t>ست</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توابع</w:t>
      </w:r>
      <w:r w:rsidRPr="00FE433F">
        <w:rPr>
          <w:i/>
          <w:sz w:val="23"/>
          <w:szCs w:val="23"/>
          <w:rtl/>
        </w:rPr>
        <w:t xml:space="preserve"> </w:t>
      </w:r>
      <w:r w:rsidRPr="00FE433F">
        <w:rPr>
          <w:rFonts w:hint="eastAsia"/>
          <w:i/>
          <w:sz w:val="23"/>
          <w:szCs w:val="23"/>
          <w:rtl/>
        </w:rPr>
        <w:t>تقاضا</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i/>
          <w:sz w:val="23"/>
          <w:szCs w:val="23"/>
        </w:rPr>
        <w:t>MIU</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i/>
          <w:sz w:val="23"/>
          <w:szCs w:val="23"/>
        </w:rPr>
        <w:t>MIG</w:t>
      </w:r>
      <w:r w:rsidRPr="00FE433F">
        <w:rPr>
          <w:rFonts w:hint="cs"/>
          <w:i/>
          <w:sz w:val="23"/>
          <w:szCs w:val="23"/>
          <w:rtl/>
        </w:rPr>
        <w:t>،</w:t>
      </w:r>
      <w:r w:rsidRPr="00FE433F">
        <w:rPr>
          <w:i/>
          <w:sz w:val="23"/>
          <w:szCs w:val="23"/>
          <w:rtl/>
        </w:rPr>
        <w:t xml:space="preserve"> </w:t>
      </w:r>
      <w:r w:rsidRPr="00FE433F">
        <w:rPr>
          <w:rFonts w:hint="eastAsia"/>
          <w:i/>
          <w:sz w:val="23"/>
          <w:szCs w:val="23"/>
          <w:rtl/>
        </w:rPr>
        <w:t>سرعت</w:t>
      </w:r>
      <w:r w:rsidRPr="00FE433F">
        <w:rPr>
          <w:i/>
          <w:sz w:val="23"/>
          <w:szCs w:val="23"/>
          <w:rtl/>
        </w:rPr>
        <w:t xml:space="preserve"> </w:t>
      </w:r>
      <w:r w:rsidRPr="00FE433F">
        <w:rPr>
          <w:rFonts w:hint="eastAsia"/>
          <w:i/>
          <w:sz w:val="23"/>
          <w:szCs w:val="23"/>
          <w:rtl/>
        </w:rPr>
        <w:t>گردش</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تابع</w:t>
      </w:r>
      <w:r w:rsidRPr="00FE433F">
        <w:rPr>
          <w:rFonts w:hint="cs"/>
          <w:i/>
          <w:sz w:val="23"/>
          <w:szCs w:val="23"/>
          <w:rtl/>
        </w:rPr>
        <w:t>ی</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نرخ</w:t>
      </w:r>
      <w:r w:rsidRPr="00FE433F">
        <w:rPr>
          <w:i/>
          <w:sz w:val="23"/>
          <w:szCs w:val="23"/>
          <w:rtl/>
        </w:rPr>
        <w:t xml:space="preserve"> </w:t>
      </w:r>
      <w:r w:rsidRPr="00FE433F">
        <w:rPr>
          <w:rFonts w:hint="eastAsia"/>
          <w:i/>
          <w:sz w:val="23"/>
          <w:szCs w:val="23"/>
          <w:rtl/>
        </w:rPr>
        <w:t>بهره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اسم</w:t>
      </w:r>
      <w:r w:rsidRPr="00FE433F">
        <w:rPr>
          <w:rFonts w:hint="cs"/>
          <w:i/>
          <w:sz w:val="23"/>
          <w:szCs w:val="23"/>
          <w:rtl/>
        </w:rPr>
        <w:t>ی</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p>
    <w:p w14:paraId="7001B305" w14:textId="77777777" w:rsidR="00411620" w:rsidRPr="00FE433F" w:rsidRDefault="00411620" w:rsidP="00411620">
      <w:pPr>
        <w:spacing w:line="216" w:lineRule="auto"/>
        <w:rPr>
          <w:i/>
          <w:sz w:val="23"/>
          <w:szCs w:val="23"/>
          <w:rtl/>
        </w:rPr>
      </w:pPr>
      <w:r w:rsidRPr="00FE433F">
        <w:rPr>
          <w:rFonts w:hint="eastAsia"/>
          <w:i/>
          <w:sz w:val="23"/>
          <w:szCs w:val="23"/>
          <w:rtl/>
        </w:rPr>
        <w:t>نم</w:t>
      </w:r>
      <w:r w:rsidRPr="00FE433F">
        <w:rPr>
          <w:rFonts w:hint="cs"/>
          <w:i/>
          <w:sz w:val="23"/>
          <w:szCs w:val="23"/>
          <w:rtl/>
        </w:rPr>
        <w:t>و</w:t>
      </w:r>
      <w:r w:rsidRPr="00FE433F">
        <w:rPr>
          <w:rFonts w:hint="eastAsia"/>
          <w:i/>
          <w:sz w:val="23"/>
          <w:szCs w:val="23"/>
          <w:rtl/>
        </w:rPr>
        <w:t>دار</w:t>
      </w:r>
      <w:r w:rsidRPr="00FE433F">
        <w:rPr>
          <w:i/>
          <w:sz w:val="23"/>
          <w:szCs w:val="23"/>
          <w:rtl/>
        </w:rPr>
        <w:t xml:space="preserve"> ۸. ۲ </w:t>
      </w:r>
      <w:r w:rsidRPr="00FE433F">
        <w:rPr>
          <w:rFonts w:hint="eastAsia"/>
          <w:i/>
          <w:sz w:val="23"/>
          <w:szCs w:val="23"/>
          <w:rtl/>
        </w:rPr>
        <w:t>نشان</w:t>
      </w:r>
      <w:r w:rsidRPr="00FE433F">
        <w:rPr>
          <w:i/>
          <w:sz w:val="23"/>
          <w:szCs w:val="23"/>
          <w:rtl/>
        </w:rPr>
        <w:t xml:space="preserve"> م</w:t>
      </w:r>
      <w:r w:rsidRPr="00FE433F">
        <w:rPr>
          <w:rFonts w:hint="cs"/>
          <w:i/>
          <w:sz w:val="23"/>
          <w:szCs w:val="23"/>
          <w:rtl/>
        </w:rPr>
        <w:t>ی</w:t>
      </w:r>
      <w:r w:rsidRPr="00FE433F">
        <w:rPr>
          <w:rFonts w:hint="eastAsia"/>
          <w:i/>
          <w:sz w:val="23"/>
          <w:szCs w:val="23"/>
        </w:rPr>
        <w:t>‌</w:t>
      </w:r>
      <w:r w:rsidRPr="00FE433F">
        <w:rPr>
          <w:rFonts w:hint="eastAsia"/>
          <w:i/>
          <w:sz w:val="23"/>
          <w:szCs w:val="23"/>
          <w:rtl/>
        </w:rPr>
        <w:t>دهد</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نقد</w:t>
      </w:r>
      <w:r w:rsidRPr="00FE433F">
        <w:rPr>
          <w:i/>
          <w:sz w:val="23"/>
          <w:szCs w:val="23"/>
          <w:rtl/>
        </w:rPr>
        <w:t xml:space="preserve"> </w:t>
      </w:r>
      <w:r w:rsidRPr="00FE433F">
        <w:rPr>
          <w:rFonts w:hint="cs"/>
          <w:i/>
          <w:sz w:val="23"/>
          <w:szCs w:val="23"/>
          <w:rtl/>
        </w:rPr>
        <w:t>ی</w:t>
      </w:r>
      <w:r w:rsidRPr="00FE433F">
        <w:rPr>
          <w:rFonts w:hint="eastAsia"/>
          <w:i/>
          <w:sz w:val="23"/>
          <w:szCs w:val="23"/>
          <w:rtl/>
        </w:rPr>
        <w:t>ا</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محدود</w:t>
      </w:r>
      <w:r w:rsidRPr="00FE433F">
        <w:rPr>
          <w:i/>
          <w:sz w:val="23"/>
          <w:szCs w:val="23"/>
          <w:rtl/>
        </w:rPr>
        <w:t xml:space="preserve"> </w:t>
      </w:r>
      <w:r w:rsidRPr="00FE433F">
        <w:rPr>
          <w:rFonts w:hint="eastAsia"/>
          <w:i/>
          <w:sz w:val="23"/>
          <w:szCs w:val="23"/>
          <w:rtl/>
        </w:rPr>
        <w:t>رفتار</w:t>
      </w:r>
      <w:r w:rsidRPr="00FE433F">
        <w:rPr>
          <w:i/>
          <w:sz w:val="23"/>
          <w:szCs w:val="23"/>
          <w:rtl/>
        </w:rPr>
        <w:t xml:space="preserve"> </w:t>
      </w:r>
      <w:r w:rsidRPr="00FE433F">
        <w:rPr>
          <w:rFonts w:hint="eastAsia"/>
          <w:i/>
          <w:sz w:val="23"/>
          <w:szCs w:val="23"/>
          <w:rtl/>
        </w:rPr>
        <w:t>کاملاً</w:t>
      </w:r>
      <w:r w:rsidRPr="00FE433F">
        <w:rPr>
          <w:i/>
          <w:sz w:val="23"/>
          <w:szCs w:val="23"/>
          <w:rtl/>
        </w:rPr>
        <w:t xml:space="preserve"> </w:t>
      </w:r>
      <w:r w:rsidRPr="00FE433F">
        <w:rPr>
          <w:rFonts w:hint="eastAsia"/>
          <w:i/>
          <w:sz w:val="23"/>
          <w:szCs w:val="23"/>
          <w:rtl/>
        </w:rPr>
        <w:t>متفاوت</w:t>
      </w:r>
      <w:r w:rsidRPr="00FE433F">
        <w:rPr>
          <w:rFonts w:hint="cs"/>
          <w:i/>
          <w:sz w:val="23"/>
          <w:szCs w:val="23"/>
          <w:rtl/>
        </w:rPr>
        <w:t>ی</w:t>
      </w:r>
      <w:r w:rsidRPr="00FE433F">
        <w:rPr>
          <w:i/>
          <w:sz w:val="23"/>
          <w:szCs w:val="23"/>
          <w:rtl/>
        </w:rPr>
        <w:t xml:space="preserve"> </w:t>
      </w:r>
      <w:r w:rsidRPr="00FE433F">
        <w:rPr>
          <w:rFonts w:hint="eastAsia"/>
          <w:i/>
          <w:sz w:val="23"/>
          <w:szCs w:val="23"/>
          <w:rtl/>
        </w:rPr>
        <w:t>نسبت</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cs"/>
          <w:i/>
          <w:sz w:val="23"/>
          <w:szCs w:val="23"/>
          <w:rtl/>
        </w:rPr>
        <w:t>گ</w:t>
      </w:r>
      <w:r w:rsidRPr="00FE433F">
        <w:rPr>
          <w:rFonts w:hint="eastAsia"/>
          <w:i/>
          <w:sz w:val="23"/>
          <w:szCs w:val="23"/>
          <w:rtl/>
        </w:rPr>
        <w:t>سترده</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انگلستان</w:t>
      </w:r>
      <w:r w:rsidRPr="00FE433F">
        <w:rPr>
          <w:i/>
          <w:sz w:val="23"/>
          <w:szCs w:val="23"/>
          <w:rtl/>
        </w:rPr>
        <w:t xml:space="preserve"> </w:t>
      </w:r>
      <w:r w:rsidRPr="00FE433F">
        <w:rPr>
          <w:rFonts w:hint="eastAsia"/>
          <w:i/>
          <w:sz w:val="23"/>
          <w:szCs w:val="23"/>
          <w:rtl/>
        </w:rPr>
        <w:t>دارد</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آنجا</w:t>
      </w:r>
      <w:r w:rsidRPr="00FE433F">
        <w:rPr>
          <w:i/>
          <w:sz w:val="23"/>
          <w:szCs w:val="23"/>
          <w:rtl/>
        </w:rPr>
        <w:t xml:space="preserve"> </w:t>
      </w:r>
      <w:r w:rsidRPr="00FE433F">
        <w:rPr>
          <w:rFonts w:hint="eastAsia"/>
          <w:i/>
          <w:sz w:val="23"/>
          <w:szCs w:val="23"/>
          <w:rtl/>
        </w:rPr>
        <w:t>که</w:t>
      </w:r>
      <w:r w:rsidRPr="00FE433F">
        <w:rPr>
          <w:position w:val="-10"/>
        </w:rPr>
        <w:object w:dxaOrig="360" w:dyaOrig="320" w14:anchorId="4C10E9A2">
          <v:shape id="_x0000_i4271" type="#_x0000_t75" style="width:18.15pt;height:16.35pt" o:ole="">
            <v:imagedata r:id="rId6529" o:title=""/>
          </v:shape>
          <o:OLEObject Type="Embed" ProgID="Equation.DSMT4" ShapeID="_x0000_i4271" DrawAspect="Content" ObjectID="_1791378215" r:id="rId6530"/>
        </w:object>
      </w:r>
      <w:r w:rsidRPr="00FE433F">
        <w:rPr>
          <w:i/>
          <w:sz w:val="23"/>
          <w:szCs w:val="23"/>
        </w:rPr>
        <w:t xml:space="preserve"> </w:t>
      </w:r>
      <w:r w:rsidRPr="00FE433F">
        <w:rPr>
          <w:i/>
          <w:sz w:val="23"/>
          <w:szCs w:val="23"/>
          <w:rtl/>
        </w:rPr>
        <w:t>(</w:t>
      </w:r>
      <w:r w:rsidRPr="00FE433F">
        <w:rPr>
          <w:rFonts w:hint="eastAsia"/>
          <w:i/>
          <w:sz w:val="23"/>
          <w:szCs w:val="23"/>
          <w:rtl/>
        </w:rPr>
        <w:t>مق</w:t>
      </w:r>
      <w:r w:rsidRPr="00FE433F">
        <w:rPr>
          <w:rFonts w:hint="cs"/>
          <w:i/>
          <w:sz w:val="23"/>
          <w:szCs w:val="23"/>
          <w:rtl/>
        </w:rPr>
        <w:t>ی</w:t>
      </w:r>
      <w:r w:rsidRPr="00FE433F">
        <w:rPr>
          <w:rFonts w:hint="eastAsia"/>
          <w:i/>
          <w:sz w:val="23"/>
          <w:szCs w:val="23"/>
          <w:rtl/>
        </w:rPr>
        <w:t>اس</w:t>
      </w:r>
      <w:r w:rsidRPr="00FE433F">
        <w:rPr>
          <w:i/>
          <w:sz w:val="23"/>
          <w:szCs w:val="23"/>
          <w:rtl/>
        </w:rPr>
        <w:t xml:space="preserve"> </w:t>
      </w:r>
      <w:r w:rsidRPr="00FE433F">
        <w:rPr>
          <w:rFonts w:hint="eastAsia"/>
          <w:i/>
          <w:sz w:val="23"/>
          <w:szCs w:val="23"/>
          <w:rtl/>
        </w:rPr>
        <w:t>سمت</w:t>
      </w:r>
      <w:r w:rsidRPr="00FE433F">
        <w:rPr>
          <w:i/>
          <w:sz w:val="23"/>
          <w:szCs w:val="23"/>
          <w:rtl/>
        </w:rPr>
        <w:t xml:space="preserve"> </w:t>
      </w:r>
      <w:r w:rsidRPr="00FE433F">
        <w:rPr>
          <w:rFonts w:hint="eastAsia"/>
          <w:i/>
          <w:sz w:val="23"/>
          <w:szCs w:val="23"/>
          <w:rtl/>
        </w:rPr>
        <w:t>چپ</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سرعت</w:t>
      </w:r>
      <w:r w:rsidRPr="00FE433F">
        <w:rPr>
          <w:i/>
          <w:sz w:val="23"/>
          <w:szCs w:val="23"/>
          <w:rtl/>
        </w:rPr>
        <w:t xml:space="preserve"> </w:t>
      </w:r>
      <w:r w:rsidRPr="00FE433F">
        <w:rPr>
          <w:rFonts w:hint="eastAsia"/>
          <w:i/>
          <w:sz w:val="23"/>
          <w:szCs w:val="23"/>
          <w:rtl/>
        </w:rPr>
        <w:t>کمتر</w:t>
      </w:r>
      <w:r w:rsidRPr="00FE433F">
        <w:rPr>
          <w:rFonts w:hint="cs"/>
          <w:i/>
          <w:sz w:val="23"/>
          <w:szCs w:val="23"/>
          <w:rtl/>
        </w:rPr>
        <w:t>ی</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مخارج</w:t>
      </w:r>
      <w:r w:rsidRPr="00FE433F">
        <w:rPr>
          <w:i/>
          <w:sz w:val="23"/>
          <w:szCs w:val="23"/>
          <w:rtl/>
        </w:rPr>
        <w:t xml:space="preserve"> </w:t>
      </w:r>
      <w:r w:rsidRPr="00FE433F">
        <w:rPr>
          <w:rFonts w:hint="eastAsia"/>
          <w:i/>
          <w:sz w:val="23"/>
          <w:szCs w:val="23"/>
          <w:rtl/>
        </w:rPr>
        <w:t>اسم</w:t>
      </w:r>
      <w:r w:rsidRPr="00FE433F">
        <w:rPr>
          <w:rFonts w:hint="cs"/>
          <w:i/>
          <w:sz w:val="23"/>
          <w:szCs w:val="23"/>
          <w:rtl/>
        </w:rPr>
        <w:t>ی</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سال</w:t>
      </w:r>
      <w:r w:rsidRPr="00FE433F">
        <w:rPr>
          <w:rFonts w:hint="eastAsia"/>
          <w:i/>
          <w:sz w:val="23"/>
          <w:szCs w:val="23"/>
        </w:rPr>
        <w:t>‌</w:t>
      </w:r>
      <w:r w:rsidRPr="00FE433F">
        <w:rPr>
          <w:i/>
          <w:sz w:val="23"/>
          <w:szCs w:val="23"/>
          <w:rtl/>
        </w:rPr>
        <w:t>ها</w:t>
      </w:r>
      <w:r w:rsidRPr="00FE433F">
        <w:rPr>
          <w:rFonts w:hint="cs"/>
          <w:i/>
          <w:sz w:val="23"/>
          <w:szCs w:val="23"/>
          <w:rtl/>
        </w:rPr>
        <w:t>ی</w:t>
      </w:r>
      <w:r w:rsidRPr="00FE433F">
        <w:rPr>
          <w:i/>
          <w:sz w:val="23"/>
          <w:szCs w:val="23"/>
          <w:rtl/>
        </w:rPr>
        <w:t xml:space="preserve"> ۱۹۸۰ </w:t>
      </w:r>
      <w:r w:rsidRPr="00FE433F">
        <w:rPr>
          <w:rFonts w:hint="eastAsia"/>
          <w:i/>
          <w:sz w:val="23"/>
          <w:szCs w:val="23"/>
          <w:rtl/>
        </w:rPr>
        <w:t>افزا</w:t>
      </w:r>
      <w:r w:rsidRPr="00FE433F">
        <w:rPr>
          <w:rFonts w:hint="cs"/>
          <w:i/>
          <w:sz w:val="23"/>
          <w:szCs w:val="23"/>
          <w:rtl/>
        </w:rPr>
        <w:t>ی</w:t>
      </w:r>
      <w:r w:rsidRPr="00FE433F">
        <w:rPr>
          <w:rFonts w:hint="eastAsia"/>
          <w:i/>
          <w:sz w:val="23"/>
          <w:szCs w:val="23"/>
          <w:rtl/>
        </w:rPr>
        <w:t>ش</w:t>
      </w:r>
      <w:r w:rsidRPr="00FE433F">
        <w:rPr>
          <w:i/>
          <w:sz w:val="23"/>
          <w:szCs w:val="23"/>
          <w:rtl/>
        </w:rPr>
        <w:t xml:space="preserve"> م</w:t>
      </w:r>
      <w:r w:rsidRPr="00FE433F">
        <w:rPr>
          <w:rFonts w:hint="cs"/>
          <w:i/>
          <w:sz w:val="23"/>
          <w:szCs w:val="23"/>
          <w:rtl/>
        </w:rPr>
        <w:t>ی</w:t>
      </w:r>
      <w:r w:rsidRPr="00FE433F">
        <w:rPr>
          <w:rFonts w:hint="eastAsia"/>
          <w:i/>
          <w:sz w:val="23"/>
          <w:szCs w:val="23"/>
        </w:rPr>
        <w:t>‌</w:t>
      </w:r>
      <w:r w:rsidRPr="00FE433F">
        <w:rPr>
          <w:rFonts w:hint="cs"/>
          <w:i/>
          <w:sz w:val="23"/>
          <w:szCs w:val="23"/>
          <w:rtl/>
        </w:rPr>
        <w:t>ی</w:t>
      </w:r>
      <w:r w:rsidRPr="00FE433F">
        <w:rPr>
          <w:rFonts w:hint="eastAsia"/>
          <w:i/>
          <w:sz w:val="23"/>
          <w:szCs w:val="23"/>
          <w:rtl/>
        </w:rPr>
        <w:t>ابد،</w:t>
      </w:r>
      <w:r w:rsidRPr="00FE433F">
        <w:rPr>
          <w:position w:val="-10"/>
        </w:rPr>
        <w:object w:dxaOrig="380" w:dyaOrig="320" w14:anchorId="3FDFD247">
          <v:shape id="_x0000_i4272" type="#_x0000_t75" style="width:18.75pt;height:16.35pt" o:ole="">
            <v:imagedata r:id="rId6531" o:title=""/>
          </v:shape>
          <o:OLEObject Type="Embed" ProgID="Equation.DSMT4" ShapeID="_x0000_i4272" DrawAspect="Content" ObjectID="_1791378216" r:id="rId6532"/>
        </w:object>
      </w:r>
      <w:r w:rsidRPr="00FE433F">
        <w:rPr>
          <w:i/>
          <w:sz w:val="23"/>
          <w:szCs w:val="23"/>
        </w:rPr>
        <w:t xml:space="preserve"> </w:t>
      </w:r>
      <w:r w:rsidRPr="00FE433F">
        <w:rPr>
          <w:i/>
          <w:sz w:val="23"/>
          <w:szCs w:val="23"/>
          <w:rtl/>
        </w:rPr>
        <w:t>(</w:t>
      </w:r>
      <w:r w:rsidRPr="00FE433F">
        <w:rPr>
          <w:rFonts w:hint="eastAsia"/>
          <w:i/>
          <w:sz w:val="23"/>
          <w:szCs w:val="23"/>
          <w:rtl/>
        </w:rPr>
        <w:t>مق</w:t>
      </w:r>
      <w:r w:rsidRPr="00FE433F">
        <w:rPr>
          <w:rFonts w:hint="cs"/>
          <w:i/>
          <w:sz w:val="23"/>
          <w:szCs w:val="23"/>
          <w:rtl/>
        </w:rPr>
        <w:t>ی</w:t>
      </w:r>
      <w:r w:rsidRPr="00FE433F">
        <w:rPr>
          <w:rFonts w:hint="eastAsia"/>
          <w:i/>
          <w:sz w:val="23"/>
          <w:szCs w:val="23"/>
          <w:rtl/>
        </w:rPr>
        <w:t>اس</w:t>
      </w:r>
      <w:r w:rsidRPr="00FE433F">
        <w:rPr>
          <w:i/>
          <w:sz w:val="23"/>
          <w:szCs w:val="23"/>
          <w:rtl/>
        </w:rPr>
        <w:t xml:space="preserve"> </w:t>
      </w:r>
      <w:r w:rsidRPr="00FE433F">
        <w:rPr>
          <w:rFonts w:hint="eastAsia"/>
          <w:i/>
          <w:sz w:val="23"/>
          <w:szCs w:val="23"/>
          <w:rtl/>
        </w:rPr>
        <w:t>سمت</w:t>
      </w:r>
      <w:r w:rsidRPr="00FE433F">
        <w:rPr>
          <w:i/>
          <w:sz w:val="23"/>
          <w:szCs w:val="23"/>
          <w:rtl/>
        </w:rPr>
        <w:t xml:space="preserve"> </w:t>
      </w:r>
      <w:r w:rsidRPr="00FE433F">
        <w:rPr>
          <w:rFonts w:hint="eastAsia"/>
          <w:i/>
          <w:sz w:val="23"/>
          <w:szCs w:val="23"/>
          <w:rtl/>
        </w:rPr>
        <w:t>راست</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سرعت</w:t>
      </w:r>
      <w:r w:rsidRPr="00FE433F">
        <w:rPr>
          <w:i/>
          <w:sz w:val="23"/>
          <w:szCs w:val="23"/>
          <w:rtl/>
        </w:rPr>
        <w:t xml:space="preserve"> </w:t>
      </w:r>
      <w:r w:rsidRPr="00FE433F">
        <w:rPr>
          <w:rFonts w:hint="eastAsia"/>
          <w:i/>
          <w:sz w:val="23"/>
          <w:szCs w:val="23"/>
          <w:rtl/>
        </w:rPr>
        <w:t>ب</w:t>
      </w:r>
      <w:r w:rsidRPr="00FE433F">
        <w:rPr>
          <w:rFonts w:hint="cs"/>
          <w:i/>
          <w:sz w:val="23"/>
          <w:szCs w:val="23"/>
          <w:rtl/>
        </w:rPr>
        <w:t>ی</w:t>
      </w:r>
      <w:r w:rsidRPr="00FE433F">
        <w:rPr>
          <w:rFonts w:hint="eastAsia"/>
          <w:i/>
          <w:sz w:val="23"/>
          <w:szCs w:val="23"/>
          <w:rtl/>
        </w:rPr>
        <w:t>شتر</w:t>
      </w:r>
      <w:r w:rsidRPr="00FE433F">
        <w:rPr>
          <w:rFonts w:hint="cs"/>
          <w:i/>
          <w:sz w:val="23"/>
          <w:szCs w:val="23"/>
          <w:rtl/>
        </w:rPr>
        <w:t>ی</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کل</w:t>
      </w:r>
      <w:r w:rsidRPr="00FE433F">
        <w:rPr>
          <w:i/>
          <w:sz w:val="23"/>
          <w:szCs w:val="23"/>
          <w:rtl/>
        </w:rPr>
        <w:t xml:space="preserve"> </w:t>
      </w:r>
      <w:r w:rsidRPr="00FE433F">
        <w:rPr>
          <w:rFonts w:hint="eastAsia"/>
          <w:i/>
          <w:sz w:val="23"/>
          <w:szCs w:val="23"/>
          <w:rtl/>
        </w:rPr>
        <w:t>دوره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مورد</w:t>
      </w:r>
      <w:r w:rsidRPr="00FE433F">
        <w:rPr>
          <w:i/>
          <w:sz w:val="23"/>
          <w:szCs w:val="23"/>
          <w:rtl/>
        </w:rPr>
        <w:t xml:space="preserve"> </w:t>
      </w:r>
      <w:r w:rsidRPr="00FE433F">
        <w:rPr>
          <w:rFonts w:hint="eastAsia"/>
          <w:i/>
          <w:sz w:val="23"/>
          <w:szCs w:val="23"/>
          <w:rtl/>
        </w:rPr>
        <w:t>بررس</w:t>
      </w:r>
      <w:r w:rsidRPr="00FE433F">
        <w:rPr>
          <w:rFonts w:hint="cs"/>
          <w:i/>
          <w:sz w:val="23"/>
          <w:szCs w:val="23"/>
          <w:rtl/>
        </w:rPr>
        <w:t>ی</w:t>
      </w:r>
      <w:r w:rsidRPr="00FE433F">
        <w:rPr>
          <w:i/>
          <w:sz w:val="23"/>
          <w:szCs w:val="23"/>
          <w:rtl/>
        </w:rPr>
        <w:t xml:space="preserve"> </w:t>
      </w:r>
      <w:r w:rsidRPr="00FE433F">
        <w:rPr>
          <w:rFonts w:hint="eastAsia"/>
          <w:i/>
          <w:sz w:val="23"/>
          <w:szCs w:val="23"/>
          <w:rtl/>
        </w:rPr>
        <w:t>افزا</w:t>
      </w:r>
      <w:r w:rsidRPr="00FE433F">
        <w:rPr>
          <w:rFonts w:hint="cs"/>
          <w:i/>
          <w:sz w:val="23"/>
          <w:szCs w:val="23"/>
          <w:rtl/>
        </w:rPr>
        <w:t>ی</w:t>
      </w:r>
      <w:r w:rsidRPr="00FE433F">
        <w:rPr>
          <w:rFonts w:hint="eastAsia"/>
          <w:i/>
          <w:sz w:val="23"/>
          <w:szCs w:val="23"/>
          <w:rtl/>
        </w:rPr>
        <w:t>ش</w:t>
      </w:r>
      <w:r w:rsidRPr="00FE433F">
        <w:rPr>
          <w:i/>
          <w:sz w:val="23"/>
          <w:szCs w:val="23"/>
          <w:rtl/>
        </w:rPr>
        <w:t xml:space="preserve"> م</w:t>
      </w:r>
      <w:r w:rsidRPr="00FE433F">
        <w:rPr>
          <w:rFonts w:hint="cs"/>
          <w:i/>
          <w:sz w:val="23"/>
          <w:szCs w:val="23"/>
          <w:rtl/>
        </w:rPr>
        <w:t>ی</w:t>
      </w:r>
      <w:r w:rsidRPr="00FE433F">
        <w:rPr>
          <w:rFonts w:hint="eastAsia"/>
          <w:i/>
          <w:sz w:val="23"/>
          <w:szCs w:val="23"/>
        </w:rPr>
        <w:t>‌</w:t>
      </w:r>
      <w:r w:rsidRPr="00FE433F">
        <w:rPr>
          <w:rFonts w:hint="cs"/>
          <w:i/>
          <w:sz w:val="23"/>
          <w:szCs w:val="23"/>
          <w:rtl/>
        </w:rPr>
        <w:t>ی</w:t>
      </w:r>
      <w:r w:rsidRPr="00FE433F">
        <w:rPr>
          <w:rFonts w:hint="eastAsia"/>
          <w:i/>
          <w:sz w:val="23"/>
          <w:szCs w:val="23"/>
          <w:rtl/>
        </w:rPr>
        <w:t>ابد</w:t>
      </w:r>
      <w:r w:rsidRPr="00FE433F">
        <w:rPr>
          <w:i/>
          <w:sz w:val="23"/>
          <w:szCs w:val="23"/>
          <w:rtl/>
        </w:rPr>
        <w:t xml:space="preserve">. </w:t>
      </w:r>
      <w:r w:rsidRPr="00FE433F">
        <w:rPr>
          <w:rFonts w:hint="eastAsia"/>
          <w:i/>
          <w:sz w:val="23"/>
          <w:szCs w:val="23"/>
          <w:rtl/>
        </w:rPr>
        <w:t>نمودار</w:t>
      </w:r>
      <w:r w:rsidRPr="00FE433F">
        <w:rPr>
          <w:i/>
          <w:sz w:val="23"/>
          <w:szCs w:val="23"/>
          <w:rtl/>
        </w:rPr>
        <w:t xml:space="preserve"> ۸. ۳ </w:t>
      </w:r>
      <w:r w:rsidRPr="00FE433F">
        <w:rPr>
          <w:rFonts w:hint="eastAsia"/>
          <w:i/>
          <w:sz w:val="23"/>
          <w:szCs w:val="23"/>
          <w:rtl/>
        </w:rPr>
        <w:t>نشان</w:t>
      </w:r>
      <w:r w:rsidRPr="00FE433F">
        <w:rPr>
          <w:i/>
          <w:sz w:val="23"/>
          <w:szCs w:val="23"/>
          <w:rtl/>
        </w:rPr>
        <w:t xml:space="preserve"> م</w:t>
      </w:r>
      <w:r w:rsidRPr="00FE433F">
        <w:rPr>
          <w:rFonts w:hint="cs"/>
          <w:i/>
          <w:sz w:val="23"/>
          <w:szCs w:val="23"/>
          <w:rtl/>
        </w:rPr>
        <w:t>ی</w:t>
      </w:r>
      <w:r w:rsidRPr="00FE433F">
        <w:rPr>
          <w:rFonts w:hint="eastAsia"/>
          <w:i/>
          <w:sz w:val="23"/>
          <w:szCs w:val="23"/>
        </w:rPr>
        <w:t>‌</w:t>
      </w:r>
      <w:r w:rsidRPr="00FE433F">
        <w:rPr>
          <w:rFonts w:hint="eastAsia"/>
          <w:i/>
          <w:sz w:val="23"/>
          <w:szCs w:val="23"/>
          <w:rtl/>
        </w:rPr>
        <w:t>دهد</w:t>
      </w:r>
      <w:r w:rsidRPr="00FE433F">
        <w:rPr>
          <w:i/>
          <w:sz w:val="23"/>
          <w:szCs w:val="23"/>
          <w:rtl/>
        </w:rPr>
        <w:t xml:space="preserve"> </w:t>
      </w:r>
      <w:r w:rsidRPr="00FE433F">
        <w:rPr>
          <w:rFonts w:hint="eastAsia"/>
          <w:i/>
          <w:sz w:val="23"/>
          <w:szCs w:val="23"/>
          <w:rtl/>
        </w:rPr>
        <w:t>سرعت</w:t>
      </w:r>
      <w:r w:rsidRPr="00FE433F">
        <w:rPr>
          <w:i/>
          <w:sz w:val="23"/>
          <w:szCs w:val="23"/>
          <w:rtl/>
        </w:rPr>
        <w:t xml:space="preserve"> </w:t>
      </w:r>
      <w:r w:rsidRPr="00FE433F">
        <w:rPr>
          <w:rFonts w:hint="eastAsia"/>
          <w:i/>
          <w:sz w:val="23"/>
          <w:szCs w:val="23"/>
          <w:rtl/>
        </w:rPr>
        <w:t>گردش</w:t>
      </w:r>
      <w:r w:rsidRPr="00FE433F">
        <w:rPr>
          <w:position w:val="-10"/>
        </w:rPr>
        <w:object w:dxaOrig="360" w:dyaOrig="320" w14:anchorId="0892D340">
          <v:shape id="_x0000_i4273" type="#_x0000_t75" style="width:18.15pt;height:16.35pt" o:ole="">
            <v:imagedata r:id="rId6533" o:title=""/>
          </v:shape>
          <o:OLEObject Type="Embed" ProgID="Equation.DSMT4" ShapeID="_x0000_i4273" DrawAspect="Content" ObjectID="_1791378217" r:id="rId6534"/>
        </w:object>
      </w:r>
      <w:r w:rsidRPr="00FE433F">
        <w:rPr>
          <w:i/>
          <w:sz w:val="23"/>
          <w:szCs w:val="23"/>
          <w:rtl/>
        </w:rPr>
        <w:t>(</w:t>
      </w:r>
      <w:r w:rsidRPr="00FE433F">
        <w:rPr>
          <w:rFonts w:hint="eastAsia"/>
          <w:i/>
          <w:sz w:val="23"/>
          <w:szCs w:val="23"/>
          <w:rtl/>
        </w:rPr>
        <w:t>مق</w:t>
      </w:r>
      <w:r w:rsidRPr="00FE433F">
        <w:rPr>
          <w:rFonts w:hint="cs"/>
          <w:i/>
          <w:sz w:val="23"/>
          <w:szCs w:val="23"/>
          <w:rtl/>
        </w:rPr>
        <w:t>ی</w:t>
      </w:r>
      <w:r w:rsidRPr="00FE433F">
        <w:rPr>
          <w:rFonts w:hint="eastAsia"/>
          <w:i/>
          <w:sz w:val="23"/>
          <w:szCs w:val="23"/>
          <w:rtl/>
        </w:rPr>
        <w:t>اس</w:t>
      </w:r>
      <w:r w:rsidRPr="00FE433F">
        <w:rPr>
          <w:i/>
          <w:sz w:val="23"/>
          <w:szCs w:val="23"/>
          <w:rtl/>
        </w:rPr>
        <w:t xml:space="preserve"> </w:t>
      </w:r>
      <w:r w:rsidRPr="00FE433F">
        <w:rPr>
          <w:rFonts w:hint="eastAsia"/>
          <w:i/>
          <w:sz w:val="23"/>
          <w:szCs w:val="23"/>
          <w:rtl/>
        </w:rPr>
        <w:t>سمت</w:t>
      </w:r>
      <w:r w:rsidRPr="00FE433F">
        <w:rPr>
          <w:i/>
          <w:sz w:val="23"/>
          <w:szCs w:val="23"/>
          <w:rtl/>
        </w:rPr>
        <w:t xml:space="preserve"> </w:t>
      </w:r>
      <w:r w:rsidRPr="00FE433F">
        <w:rPr>
          <w:rFonts w:hint="eastAsia"/>
          <w:i/>
          <w:sz w:val="23"/>
          <w:szCs w:val="23"/>
          <w:rtl/>
        </w:rPr>
        <w:t>چپ</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سرعت</w:t>
      </w:r>
      <w:r w:rsidRPr="00FE433F">
        <w:rPr>
          <w:i/>
          <w:sz w:val="23"/>
          <w:szCs w:val="23"/>
          <w:rtl/>
        </w:rPr>
        <w:t xml:space="preserve"> </w:t>
      </w:r>
      <w:r w:rsidRPr="00FE433F">
        <w:rPr>
          <w:rFonts w:hint="eastAsia"/>
          <w:i/>
          <w:sz w:val="23"/>
          <w:szCs w:val="23"/>
          <w:rtl/>
        </w:rPr>
        <w:t>گردش</w:t>
      </w:r>
      <w:r w:rsidRPr="00FE433F">
        <w:rPr>
          <w:position w:val="-10"/>
        </w:rPr>
        <w:object w:dxaOrig="360" w:dyaOrig="320" w14:anchorId="03BEEF7B">
          <v:shape id="_x0000_i4274" type="#_x0000_t75" style="width:18.15pt;height:16.35pt" o:ole="">
            <v:imagedata r:id="rId6535" o:title=""/>
          </v:shape>
          <o:OLEObject Type="Embed" ProgID="Equation.DSMT4" ShapeID="_x0000_i4274" DrawAspect="Content" ObjectID="_1791378218" r:id="rId6536"/>
        </w:object>
      </w:r>
      <w:r w:rsidRPr="00FE433F">
        <w:rPr>
          <w:i/>
          <w:sz w:val="23"/>
          <w:szCs w:val="23"/>
          <w:rtl/>
        </w:rPr>
        <w:t>(</w:t>
      </w:r>
      <w:r w:rsidRPr="00FE433F">
        <w:rPr>
          <w:rFonts w:hint="eastAsia"/>
          <w:i/>
          <w:sz w:val="23"/>
          <w:szCs w:val="23"/>
          <w:rtl/>
        </w:rPr>
        <w:t>مق</w:t>
      </w:r>
      <w:r w:rsidRPr="00FE433F">
        <w:rPr>
          <w:rFonts w:hint="cs"/>
          <w:i/>
          <w:sz w:val="23"/>
          <w:szCs w:val="23"/>
          <w:rtl/>
        </w:rPr>
        <w:t>ی</w:t>
      </w:r>
      <w:r w:rsidRPr="00FE433F">
        <w:rPr>
          <w:rFonts w:hint="eastAsia"/>
          <w:i/>
          <w:sz w:val="23"/>
          <w:szCs w:val="23"/>
          <w:rtl/>
        </w:rPr>
        <w:t>اس</w:t>
      </w:r>
      <w:r w:rsidRPr="00FE433F">
        <w:rPr>
          <w:i/>
          <w:sz w:val="23"/>
          <w:szCs w:val="23"/>
          <w:rtl/>
        </w:rPr>
        <w:t xml:space="preserve"> </w:t>
      </w:r>
      <w:r w:rsidRPr="00FE433F">
        <w:rPr>
          <w:rFonts w:hint="eastAsia"/>
          <w:i/>
          <w:sz w:val="23"/>
          <w:szCs w:val="23"/>
          <w:rtl/>
        </w:rPr>
        <w:t>سمت</w:t>
      </w:r>
      <w:r w:rsidRPr="00FE433F">
        <w:rPr>
          <w:i/>
          <w:sz w:val="23"/>
          <w:szCs w:val="23"/>
          <w:rtl/>
        </w:rPr>
        <w:t xml:space="preserve"> </w:t>
      </w:r>
      <w:r w:rsidRPr="00FE433F">
        <w:rPr>
          <w:rFonts w:hint="eastAsia"/>
          <w:i/>
          <w:sz w:val="23"/>
          <w:szCs w:val="23"/>
          <w:rtl/>
        </w:rPr>
        <w:t>راست</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سال</w:t>
      </w:r>
      <w:r w:rsidRPr="00FE433F">
        <w:rPr>
          <w:i/>
          <w:sz w:val="23"/>
          <w:szCs w:val="23"/>
          <w:rtl/>
        </w:rPr>
        <w:t xml:space="preserve"> ۱۹۶۶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اقتصاد</w:t>
      </w:r>
      <w:r w:rsidRPr="00FE433F">
        <w:rPr>
          <w:i/>
          <w:sz w:val="23"/>
          <w:szCs w:val="23"/>
          <w:rtl/>
        </w:rPr>
        <w:t xml:space="preserve"> </w:t>
      </w:r>
      <w:r w:rsidRPr="00FE433F">
        <w:rPr>
          <w:rFonts w:hint="eastAsia"/>
          <w:i/>
          <w:sz w:val="23"/>
          <w:szCs w:val="23"/>
          <w:rtl/>
        </w:rPr>
        <w:t>آمر</w:t>
      </w:r>
      <w:r w:rsidRPr="00FE433F">
        <w:rPr>
          <w:rFonts w:hint="cs"/>
          <w:i/>
          <w:sz w:val="23"/>
          <w:szCs w:val="23"/>
          <w:rtl/>
        </w:rPr>
        <w:t>ی</w:t>
      </w:r>
      <w:r w:rsidRPr="00FE433F">
        <w:rPr>
          <w:rFonts w:hint="eastAsia"/>
          <w:i/>
          <w:sz w:val="23"/>
          <w:szCs w:val="23"/>
          <w:rtl/>
        </w:rPr>
        <w:t>کا</w:t>
      </w:r>
      <w:r w:rsidRPr="00FE433F">
        <w:rPr>
          <w:i/>
          <w:sz w:val="23"/>
          <w:szCs w:val="23"/>
          <w:rtl/>
        </w:rPr>
        <w:t xml:space="preserve"> </w:t>
      </w:r>
      <w:r w:rsidRPr="00FE433F">
        <w:rPr>
          <w:rFonts w:hint="eastAsia"/>
          <w:i/>
          <w:sz w:val="23"/>
          <w:szCs w:val="23"/>
          <w:rtl/>
        </w:rPr>
        <w:t>کاهش</w:t>
      </w:r>
      <w:r w:rsidRPr="00FE433F">
        <w:rPr>
          <w:i/>
          <w:sz w:val="23"/>
          <w:szCs w:val="23"/>
          <w:rtl/>
        </w:rPr>
        <w:t xml:space="preserve"> </w:t>
      </w:r>
      <w:r w:rsidRPr="00FE433F">
        <w:rPr>
          <w:rFonts w:hint="cs"/>
          <w:i/>
          <w:sz w:val="23"/>
          <w:szCs w:val="23"/>
          <w:rtl/>
        </w:rPr>
        <w:t>ی</w:t>
      </w:r>
      <w:r w:rsidRPr="00FE433F">
        <w:rPr>
          <w:rFonts w:hint="eastAsia"/>
          <w:i/>
          <w:sz w:val="23"/>
          <w:szCs w:val="23"/>
          <w:rtl/>
        </w:rPr>
        <w:t>افته</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داده</w:t>
      </w:r>
      <w:r w:rsidRPr="00FE433F">
        <w:rPr>
          <w:rFonts w:hint="eastAsia"/>
          <w:i/>
          <w:sz w:val="23"/>
          <w:szCs w:val="23"/>
        </w:rPr>
        <w:t>‌</w:t>
      </w:r>
      <w:r w:rsidRPr="00FE433F">
        <w:rPr>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انگلستان</w:t>
      </w:r>
      <w:r w:rsidRPr="00FE433F">
        <w:rPr>
          <w:i/>
          <w:sz w:val="23"/>
          <w:szCs w:val="23"/>
          <w:rtl/>
        </w:rPr>
        <w:t xml:space="preserve"> </w:t>
      </w:r>
      <w:r w:rsidRPr="00FE433F">
        <w:rPr>
          <w:rFonts w:hint="eastAsia"/>
          <w:i/>
          <w:sz w:val="23"/>
          <w:szCs w:val="23"/>
          <w:rtl/>
        </w:rPr>
        <w:t>نشان</w:t>
      </w:r>
      <w:r w:rsidRPr="00FE433F">
        <w:rPr>
          <w:i/>
          <w:sz w:val="23"/>
          <w:szCs w:val="23"/>
          <w:rtl/>
        </w:rPr>
        <w:t xml:space="preserve"> م</w:t>
      </w:r>
      <w:r w:rsidRPr="00FE433F">
        <w:rPr>
          <w:rFonts w:hint="cs"/>
          <w:i/>
          <w:sz w:val="23"/>
          <w:szCs w:val="23"/>
          <w:rtl/>
        </w:rPr>
        <w:t>ی</w:t>
      </w:r>
      <w:r w:rsidRPr="00FE433F">
        <w:rPr>
          <w:rFonts w:hint="eastAsia"/>
          <w:i/>
          <w:sz w:val="23"/>
          <w:szCs w:val="23"/>
        </w:rPr>
        <w:t>‌</w:t>
      </w:r>
      <w:r w:rsidRPr="00FE433F">
        <w:rPr>
          <w:rFonts w:hint="eastAsia"/>
          <w:i/>
          <w:sz w:val="23"/>
          <w:szCs w:val="23"/>
          <w:rtl/>
        </w:rPr>
        <w:t>دهد</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خر</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بجا</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نقد</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کار</w:t>
      </w:r>
      <w:r w:rsidRPr="00FE433F">
        <w:rPr>
          <w:rFonts w:hint="cs"/>
          <w:i/>
          <w:sz w:val="23"/>
          <w:szCs w:val="23"/>
          <w:rtl/>
        </w:rPr>
        <w:t>ت</w:t>
      </w:r>
      <w:r w:rsidRPr="00FE433F">
        <w:rPr>
          <w:i/>
          <w:sz w:val="23"/>
          <w:szCs w:val="23"/>
          <w:rtl/>
        </w:rPr>
        <w:softHyphen/>
      </w:r>
      <w:r w:rsidRPr="00FE433F">
        <w:rPr>
          <w:rFonts w:hint="cs"/>
          <w:i/>
          <w:sz w:val="23"/>
          <w:szCs w:val="23"/>
          <w:rtl/>
        </w:rPr>
        <w:t>ه</w:t>
      </w:r>
      <w:r w:rsidRPr="00FE433F">
        <w:rPr>
          <w:rFonts w:hint="eastAsia"/>
          <w:i/>
          <w:sz w:val="23"/>
          <w:szCs w:val="23"/>
          <w:rtl/>
        </w:rPr>
        <w:t>ا</w:t>
      </w:r>
      <w:r w:rsidRPr="00FE433F">
        <w:rPr>
          <w:rFonts w:hint="cs"/>
          <w:i/>
          <w:sz w:val="23"/>
          <w:szCs w:val="23"/>
          <w:rtl/>
        </w:rPr>
        <w:t>ی</w:t>
      </w:r>
      <w:r w:rsidRPr="00FE433F">
        <w:rPr>
          <w:i/>
          <w:sz w:val="23"/>
          <w:szCs w:val="23"/>
          <w:rtl/>
        </w:rPr>
        <w:t xml:space="preserve"> </w:t>
      </w:r>
      <w:r w:rsidRPr="00FE433F">
        <w:rPr>
          <w:rFonts w:hint="eastAsia"/>
          <w:i/>
          <w:sz w:val="23"/>
          <w:szCs w:val="23"/>
          <w:rtl/>
        </w:rPr>
        <w:t>اعتبار</w:t>
      </w:r>
      <w:r w:rsidRPr="00FE433F">
        <w:rPr>
          <w:rFonts w:hint="cs"/>
          <w:i/>
          <w:sz w:val="23"/>
          <w:szCs w:val="23"/>
          <w:rtl/>
        </w:rPr>
        <w:t>ی</w:t>
      </w:r>
      <w:r w:rsidRPr="00FE433F">
        <w:rPr>
          <w:i/>
          <w:sz w:val="23"/>
          <w:szCs w:val="23"/>
          <w:rtl/>
        </w:rPr>
        <w:t xml:space="preserve"> </w:t>
      </w:r>
      <w:r w:rsidRPr="00FE433F">
        <w:rPr>
          <w:rFonts w:hint="eastAsia"/>
          <w:i/>
          <w:sz w:val="23"/>
          <w:szCs w:val="23"/>
          <w:rtl/>
        </w:rPr>
        <w:t>استفاده</w:t>
      </w:r>
      <w:r w:rsidRPr="00FE433F">
        <w:rPr>
          <w:i/>
          <w:sz w:val="23"/>
          <w:szCs w:val="23"/>
          <w:rtl/>
        </w:rPr>
        <w:t xml:space="preserve"> </w:t>
      </w:r>
      <w:r w:rsidRPr="00FE433F">
        <w:rPr>
          <w:rFonts w:hint="eastAsia"/>
          <w:i/>
          <w:sz w:val="23"/>
          <w:szCs w:val="23"/>
          <w:rtl/>
        </w:rPr>
        <w:t>شده</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عامل</w:t>
      </w:r>
      <w:r w:rsidRPr="00FE433F">
        <w:rPr>
          <w:i/>
          <w:sz w:val="23"/>
          <w:szCs w:val="23"/>
          <w:rtl/>
        </w:rPr>
        <w:t xml:space="preserve"> </w:t>
      </w:r>
      <w:r w:rsidRPr="00FE433F">
        <w:rPr>
          <w:rFonts w:hint="eastAsia"/>
          <w:i/>
          <w:sz w:val="23"/>
          <w:szCs w:val="23"/>
          <w:rtl/>
        </w:rPr>
        <w:t>د</w:t>
      </w:r>
      <w:r w:rsidRPr="00FE433F">
        <w:rPr>
          <w:rFonts w:hint="cs"/>
          <w:i/>
          <w:sz w:val="23"/>
          <w:szCs w:val="23"/>
          <w:rtl/>
        </w:rPr>
        <w:t>ی</w:t>
      </w:r>
      <w:r w:rsidRPr="00FE433F">
        <w:rPr>
          <w:rFonts w:hint="eastAsia"/>
          <w:i/>
          <w:sz w:val="23"/>
          <w:szCs w:val="23"/>
          <w:rtl/>
        </w:rPr>
        <w:t>گر</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رشد</w:t>
      </w:r>
      <w:r w:rsidRPr="00FE433F">
        <w:rPr>
          <w:position w:val="-10"/>
        </w:rPr>
        <w:object w:dxaOrig="380" w:dyaOrig="320" w14:anchorId="4EF6021F">
          <v:shape id="_x0000_i4275" type="#_x0000_t75" style="width:18.75pt;height:16.35pt" o:ole="">
            <v:imagedata r:id="rId6537" o:title=""/>
          </v:shape>
          <o:OLEObject Type="Embed" ProgID="Equation.DSMT4" ShapeID="_x0000_i4275" DrawAspect="Content" ObjectID="_1791378219" r:id="rId6538"/>
        </w:object>
      </w:r>
      <w:r w:rsidRPr="00FE433F">
        <w:rPr>
          <w:rFonts w:hint="eastAsia"/>
          <w:i/>
          <w:sz w:val="23"/>
          <w:szCs w:val="23"/>
          <w:rtl/>
        </w:rPr>
        <w:t>افزا</w:t>
      </w:r>
      <w:r w:rsidRPr="00FE433F">
        <w:rPr>
          <w:rFonts w:hint="cs"/>
          <w:i/>
          <w:sz w:val="23"/>
          <w:szCs w:val="23"/>
          <w:rtl/>
        </w:rPr>
        <w:t>ی</w:t>
      </w:r>
      <w:r w:rsidRPr="00FE433F">
        <w:rPr>
          <w:rFonts w:hint="eastAsia"/>
          <w:i/>
          <w:sz w:val="23"/>
          <w:szCs w:val="23"/>
          <w:rtl/>
        </w:rPr>
        <w:t>ش</w:t>
      </w:r>
      <w:r w:rsidRPr="00FE433F">
        <w:rPr>
          <w:rFonts w:hint="cs"/>
          <w:i/>
          <w:sz w:val="23"/>
          <w:szCs w:val="23"/>
          <w:rtl/>
        </w:rPr>
        <w:t xml:space="preserve"> سپرده</w:t>
      </w:r>
      <w:r w:rsidRPr="00FE433F">
        <w:rPr>
          <w:i/>
          <w:sz w:val="23"/>
          <w:szCs w:val="23"/>
          <w:rtl/>
        </w:rPr>
        <w:softHyphen/>
      </w:r>
      <w:r w:rsidRPr="00FE433F">
        <w:rPr>
          <w:rFonts w:hint="cs"/>
          <w:i/>
          <w:sz w:val="23"/>
          <w:szCs w:val="23"/>
          <w:rtl/>
        </w:rPr>
        <w:t>ی مدت</w:t>
      </w:r>
      <w:r w:rsidRPr="00FE433F">
        <w:rPr>
          <w:i/>
          <w:sz w:val="23"/>
          <w:szCs w:val="23"/>
        </w:rPr>
        <w:softHyphen/>
      </w:r>
      <w:r w:rsidRPr="00FE433F">
        <w:rPr>
          <w:rFonts w:hint="cs"/>
          <w:i/>
          <w:sz w:val="23"/>
          <w:szCs w:val="23"/>
          <w:rtl/>
        </w:rPr>
        <w:t>دار بهره</w:t>
      </w:r>
      <w:r w:rsidRPr="00FE433F">
        <w:rPr>
          <w:i/>
          <w:sz w:val="23"/>
          <w:szCs w:val="23"/>
          <w:rtl/>
        </w:rPr>
        <w:softHyphen/>
      </w:r>
      <w:r w:rsidRPr="00FE433F">
        <w:rPr>
          <w:rFonts w:hint="cs"/>
          <w:i/>
          <w:sz w:val="23"/>
          <w:szCs w:val="23"/>
          <w:rtl/>
        </w:rPr>
        <w:t>زا</w:t>
      </w:r>
      <w:r w:rsidRPr="00FE433F">
        <w:rPr>
          <w:rStyle w:val="FootnoteReference"/>
          <w:rFonts w:eastAsiaTheme="majorEastAsia"/>
          <w:i/>
          <w:sz w:val="23"/>
          <w:szCs w:val="23"/>
          <w:rtl/>
        </w:rPr>
        <w:footnoteReference w:id="205"/>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پس</w:t>
      </w:r>
      <w:r w:rsidRPr="00FE433F">
        <w:rPr>
          <w:i/>
          <w:sz w:val="23"/>
          <w:szCs w:val="23"/>
          <w:rtl/>
        </w:rPr>
        <w:softHyphen/>
      </w:r>
      <w:r w:rsidRPr="00FE433F">
        <w:rPr>
          <w:rFonts w:hint="eastAsia"/>
          <w:i/>
          <w:sz w:val="23"/>
          <w:szCs w:val="23"/>
          <w:rtl/>
        </w:rPr>
        <w:t>انداز</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شواهد</w:t>
      </w:r>
      <w:r w:rsidRPr="00FE433F">
        <w:rPr>
          <w:i/>
          <w:sz w:val="23"/>
          <w:szCs w:val="23"/>
          <w:rtl/>
        </w:rPr>
        <w:t xml:space="preserve"> </w:t>
      </w:r>
      <w:r w:rsidRPr="00FE433F">
        <w:rPr>
          <w:rFonts w:hint="eastAsia"/>
          <w:i/>
          <w:sz w:val="23"/>
          <w:szCs w:val="23"/>
          <w:rtl/>
        </w:rPr>
        <w:t>تما</w:t>
      </w:r>
      <w:r w:rsidRPr="00FE433F">
        <w:rPr>
          <w:rFonts w:hint="cs"/>
          <w:i/>
          <w:sz w:val="23"/>
          <w:szCs w:val="23"/>
          <w:rtl/>
        </w:rPr>
        <w:t>ی</w:t>
      </w:r>
      <w:r w:rsidRPr="00FE433F">
        <w:rPr>
          <w:rFonts w:hint="eastAsia"/>
          <w:i/>
          <w:sz w:val="23"/>
          <w:szCs w:val="23"/>
          <w:rtl/>
        </w:rPr>
        <w:t>ز</w:t>
      </w:r>
      <w:r w:rsidRPr="00FE433F">
        <w:rPr>
          <w:i/>
          <w:sz w:val="23"/>
          <w:szCs w:val="23"/>
          <w:rtl/>
        </w:rPr>
        <w:t xml:space="preserve"> </w:t>
      </w:r>
      <w:r w:rsidRPr="00FE433F">
        <w:rPr>
          <w:rFonts w:hint="eastAsia"/>
          <w:i/>
          <w:sz w:val="23"/>
          <w:szCs w:val="23"/>
          <w:rtl/>
        </w:rPr>
        <w:t>ب</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تقاضا</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م</w:t>
      </w:r>
      <w:r w:rsidRPr="00FE433F">
        <w:rPr>
          <w:rFonts w:hint="cs"/>
          <w:i/>
          <w:sz w:val="23"/>
          <w:szCs w:val="23"/>
          <w:rtl/>
        </w:rPr>
        <w:t>انده</w:t>
      </w:r>
      <w:r w:rsidRPr="00FE433F">
        <w:rPr>
          <w:i/>
          <w:sz w:val="23"/>
          <w:szCs w:val="23"/>
          <w:rtl/>
        </w:rPr>
        <w:softHyphen/>
      </w:r>
      <w:r w:rsidRPr="00FE433F">
        <w:rPr>
          <w:rFonts w:hint="cs"/>
          <w:i/>
          <w:sz w:val="23"/>
          <w:szCs w:val="23"/>
          <w:rtl/>
        </w:rPr>
        <w:t>های</w:t>
      </w:r>
      <w:r w:rsidRPr="00FE433F">
        <w:rPr>
          <w:i/>
          <w:sz w:val="23"/>
          <w:szCs w:val="23"/>
          <w:rtl/>
        </w:rPr>
        <w:t xml:space="preserve"> </w:t>
      </w:r>
      <w:r w:rsidRPr="00FE433F">
        <w:rPr>
          <w:rFonts w:hint="eastAsia"/>
          <w:i/>
          <w:sz w:val="23"/>
          <w:szCs w:val="23"/>
          <w:rtl/>
        </w:rPr>
        <w:t>معاملات</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اعتبار</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بررس</w:t>
      </w:r>
      <w:r w:rsidRPr="00FE433F">
        <w:rPr>
          <w:rFonts w:hint="cs"/>
          <w:i/>
          <w:sz w:val="23"/>
          <w:szCs w:val="23"/>
          <w:rtl/>
        </w:rPr>
        <w:t>ی</w:t>
      </w:r>
      <w:r w:rsidRPr="00FE433F">
        <w:rPr>
          <w:i/>
          <w:sz w:val="23"/>
          <w:szCs w:val="23"/>
          <w:rtl/>
        </w:rPr>
        <w:t xml:space="preserve"> </w:t>
      </w:r>
      <w:r w:rsidRPr="00FE433F">
        <w:rPr>
          <w:rFonts w:hint="eastAsia"/>
          <w:i/>
          <w:sz w:val="23"/>
          <w:szCs w:val="23"/>
          <w:rtl/>
        </w:rPr>
        <w:t>تقاضا</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تقو</w:t>
      </w:r>
      <w:r w:rsidRPr="00FE433F">
        <w:rPr>
          <w:rFonts w:hint="cs"/>
          <w:i/>
          <w:sz w:val="23"/>
          <w:szCs w:val="23"/>
          <w:rtl/>
        </w:rPr>
        <w:t>ی</w:t>
      </w:r>
      <w:r w:rsidRPr="00FE433F">
        <w:rPr>
          <w:rFonts w:hint="eastAsia"/>
          <w:i/>
          <w:sz w:val="23"/>
          <w:szCs w:val="23"/>
          <w:rtl/>
        </w:rPr>
        <w:t>ت</w:t>
      </w:r>
      <w:r w:rsidRPr="00FE433F">
        <w:rPr>
          <w:i/>
          <w:sz w:val="23"/>
          <w:szCs w:val="23"/>
          <w:rtl/>
        </w:rPr>
        <w:t xml:space="preserve"> م</w:t>
      </w:r>
      <w:r w:rsidRPr="00FE433F">
        <w:rPr>
          <w:rFonts w:hint="cs"/>
          <w:i/>
          <w:sz w:val="23"/>
          <w:szCs w:val="23"/>
          <w:rtl/>
        </w:rPr>
        <w:t>ی</w:t>
      </w:r>
      <w:r w:rsidRPr="00FE433F">
        <w:rPr>
          <w:rFonts w:hint="eastAsia"/>
          <w:i/>
          <w:sz w:val="23"/>
          <w:szCs w:val="23"/>
        </w:rPr>
        <w:t>‌</w:t>
      </w:r>
      <w:r w:rsidRPr="00FE433F">
        <w:rPr>
          <w:rFonts w:hint="eastAsia"/>
          <w:i/>
          <w:sz w:val="23"/>
          <w:szCs w:val="23"/>
          <w:rtl/>
        </w:rPr>
        <w:t>کند</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مقابل</w:t>
      </w:r>
      <w:r w:rsidRPr="00FE433F">
        <w:rPr>
          <w:i/>
          <w:sz w:val="23"/>
          <w:szCs w:val="23"/>
          <w:rtl/>
        </w:rPr>
        <w:t xml:space="preserve"> </w:t>
      </w:r>
      <w:r w:rsidRPr="00FE433F">
        <w:rPr>
          <w:rFonts w:hint="eastAsia"/>
          <w:i/>
          <w:sz w:val="23"/>
          <w:szCs w:val="23"/>
          <w:rtl/>
        </w:rPr>
        <w:t>داده</w:t>
      </w:r>
      <w:r w:rsidRPr="00FE433F">
        <w:rPr>
          <w:rFonts w:hint="eastAsia"/>
          <w:i/>
          <w:sz w:val="23"/>
          <w:szCs w:val="23"/>
        </w:rPr>
        <w:t>‌</w:t>
      </w:r>
      <w:r w:rsidRPr="00FE433F">
        <w:rPr>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آمر</w:t>
      </w:r>
      <w:r w:rsidRPr="00FE433F">
        <w:rPr>
          <w:rFonts w:hint="cs"/>
          <w:i/>
          <w:sz w:val="23"/>
          <w:szCs w:val="23"/>
          <w:rtl/>
        </w:rPr>
        <w:t>ی</w:t>
      </w:r>
      <w:r w:rsidRPr="00FE433F">
        <w:rPr>
          <w:rFonts w:hint="eastAsia"/>
          <w:i/>
          <w:sz w:val="23"/>
          <w:szCs w:val="23"/>
          <w:rtl/>
        </w:rPr>
        <w:t>کا</w:t>
      </w:r>
      <w:r w:rsidRPr="00FE433F">
        <w:rPr>
          <w:i/>
          <w:sz w:val="23"/>
          <w:szCs w:val="23"/>
          <w:rtl/>
        </w:rPr>
        <w:t xml:space="preserve"> </w:t>
      </w:r>
      <w:r w:rsidRPr="00FE433F">
        <w:rPr>
          <w:rFonts w:hint="eastAsia"/>
          <w:i/>
          <w:sz w:val="23"/>
          <w:szCs w:val="23"/>
          <w:rtl/>
        </w:rPr>
        <w:t>نشان</w:t>
      </w:r>
      <w:r w:rsidRPr="00FE433F">
        <w:rPr>
          <w:i/>
          <w:sz w:val="23"/>
          <w:szCs w:val="23"/>
          <w:rtl/>
        </w:rPr>
        <w:t xml:space="preserve"> م</w:t>
      </w:r>
      <w:r w:rsidRPr="00FE433F">
        <w:rPr>
          <w:rFonts w:hint="cs"/>
          <w:i/>
          <w:sz w:val="23"/>
          <w:szCs w:val="23"/>
          <w:rtl/>
        </w:rPr>
        <w:t>ی</w:t>
      </w:r>
      <w:r w:rsidRPr="00FE433F">
        <w:rPr>
          <w:rFonts w:hint="eastAsia"/>
          <w:i/>
          <w:sz w:val="23"/>
          <w:szCs w:val="23"/>
        </w:rPr>
        <w:t>‌</w:t>
      </w:r>
      <w:r w:rsidRPr="00FE433F">
        <w:rPr>
          <w:rFonts w:hint="eastAsia"/>
          <w:i/>
          <w:sz w:val="23"/>
          <w:szCs w:val="23"/>
          <w:rtl/>
        </w:rPr>
        <w:t>دهد</w:t>
      </w:r>
      <w:r w:rsidRPr="00FE433F">
        <w:rPr>
          <w:i/>
          <w:sz w:val="23"/>
          <w:szCs w:val="23"/>
          <w:rtl/>
        </w:rPr>
        <w:t xml:space="preserve"> </w:t>
      </w:r>
      <w:r w:rsidRPr="00FE433F">
        <w:rPr>
          <w:rFonts w:hint="eastAsia"/>
          <w:i/>
          <w:sz w:val="23"/>
          <w:szCs w:val="23"/>
          <w:rtl/>
        </w:rPr>
        <w:t>که</w:t>
      </w:r>
      <w:r w:rsidRPr="00FE433F">
        <w:rPr>
          <w:i/>
          <w:sz w:val="23"/>
          <w:szCs w:val="23"/>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گردش</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گسترده</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سرعت</w:t>
      </w:r>
      <w:r w:rsidRPr="00FE433F">
        <w:rPr>
          <w:i/>
          <w:sz w:val="23"/>
          <w:szCs w:val="23"/>
          <w:rtl/>
        </w:rPr>
        <w:t xml:space="preserve"> </w:t>
      </w:r>
      <w:r w:rsidRPr="00FE433F">
        <w:rPr>
          <w:rFonts w:hint="eastAsia"/>
          <w:i/>
          <w:sz w:val="23"/>
          <w:szCs w:val="23"/>
          <w:rtl/>
        </w:rPr>
        <w:t>ب</w:t>
      </w:r>
      <w:r w:rsidRPr="00FE433F">
        <w:rPr>
          <w:rFonts w:hint="cs"/>
          <w:i/>
          <w:sz w:val="23"/>
          <w:szCs w:val="23"/>
          <w:rtl/>
        </w:rPr>
        <w:t>ی</w:t>
      </w:r>
      <w:r w:rsidRPr="00FE433F">
        <w:rPr>
          <w:rFonts w:hint="eastAsia"/>
          <w:i/>
          <w:sz w:val="23"/>
          <w:szCs w:val="23"/>
          <w:rtl/>
        </w:rPr>
        <w:t>شتر</w:t>
      </w:r>
      <w:r w:rsidRPr="00FE433F">
        <w:rPr>
          <w:rFonts w:hint="cs"/>
          <w:i/>
          <w:sz w:val="23"/>
          <w:szCs w:val="23"/>
          <w:rtl/>
        </w:rPr>
        <w:t>ی</w:t>
      </w:r>
      <w:r w:rsidRPr="00FE433F">
        <w:rPr>
          <w:i/>
          <w:sz w:val="23"/>
          <w:szCs w:val="23"/>
          <w:rtl/>
        </w:rPr>
        <w:t xml:space="preserve"> </w:t>
      </w:r>
      <w:r w:rsidRPr="00FE433F">
        <w:rPr>
          <w:rFonts w:hint="eastAsia"/>
          <w:i/>
          <w:sz w:val="23"/>
          <w:szCs w:val="23"/>
          <w:rtl/>
        </w:rPr>
        <w:t>نسبت</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مخارج</w:t>
      </w:r>
      <w:r w:rsidRPr="00FE433F">
        <w:rPr>
          <w:i/>
          <w:sz w:val="23"/>
          <w:szCs w:val="23"/>
          <w:rtl/>
        </w:rPr>
        <w:t xml:space="preserve"> </w:t>
      </w:r>
      <w:r w:rsidRPr="00FE433F">
        <w:rPr>
          <w:rFonts w:hint="eastAsia"/>
          <w:i/>
          <w:sz w:val="23"/>
          <w:szCs w:val="23"/>
          <w:rtl/>
        </w:rPr>
        <w:t>اسم</w:t>
      </w:r>
      <w:r w:rsidRPr="00FE433F">
        <w:rPr>
          <w:rFonts w:hint="cs"/>
          <w:i/>
          <w:sz w:val="23"/>
          <w:szCs w:val="23"/>
          <w:rtl/>
        </w:rPr>
        <w:t>ی</w:t>
      </w:r>
      <w:r w:rsidRPr="00FE433F">
        <w:rPr>
          <w:i/>
          <w:sz w:val="23"/>
          <w:szCs w:val="23"/>
          <w:rtl/>
        </w:rPr>
        <w:t xml:space="preserve"> </w:t>
      </w:r>
      <w:r w:rsidRPr="00FE433F">
        <w:rPr>
          <w:rFonts w:hint="eastAsia"/>
          <w:i/>
          <w:sz w:val="23"/>
          <w:szCs w:val="23"/>
          <w:rtl/>
        </w:rPr>
        <w:t>رشد</w:t>
      </w:r>
      <w:r w:rsidRPr="00FE433F">
        <w:rPr>
          <w:i/>
          <w:sz w:val="23"/>
          <w:szCs w:val="23"/>
          <w:rtl/>
        </w:rPr>
        <w:t xml:space="preserve"> </w:t>
      </w:r>
      <w:r w:rsidRPr="00FE433F">
        <w:rPr>
          <w:rFonts w:hint="eastAsia"/>
          <w:i/>
          <w:sz w:val="23"/>
          <w:szCs w:val="23"/>
          <w:rtl/>
        </w:rPr>
        <w:t>داشته</w:t>
      </w:r>
      <w:r w:rsidRPr="00FE433F">
        <w:rPr>
          <w:i/>
          <w:sz w:val="23"/>
          <w:szCs w:val="23"/>
          <w:rtl/>
        </w:rPr>
        <w:softHyphen/>
      </w:r>
      <w:r w:rsidRPr="00FE433F">
        <w:rPr>
          <w:rFonts w:hint="eastAsia"/>
          <w:i/>
          <w:sz w:val="23"/>
          <w:szCs w:val="23"/>
          <w:rtl/>
        </w:rPr>
        <w:t>اند</w:t>
      </w:r>
      <w:r w:rsidRPr="00FE433F">
        <w:rPr>
          <w:i/>
          <w:sz w:val="23"/>
          <w:szCs w:val="23"/>
          <w:rtl/>
        </w:rPr>
        <w:t xml:space="preserve">. </w:t>
      </w:r>
      <w:r w:rsidRPr="00FE433F">
        <w:rPr>
          <w:rFonts w:hint="eastAsia"/>
          <w:i/>
          <w:sz w:val="23"/>
          <w:szCs w:val="23"/>
          <w:rtl/>
        </w:rPr>
        <w:t>رشد</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lastRenderedPageBreak/>
        <w:t>گسترده</w:t>
      </w:r>
      <w:r w:rsidRPr="00FE433F">
        <w:rPr>
          <w:rFonts w:hint="cs"/>
          <w:i/>
          <w:sz w:val="23"/>
          <w:szCs w:val="23"/>
          <w:rtl/>
        </w:rPr>
        <w:t>،</w:t>
      </w:r>
      <w:r w:rsidRPr="00FE433F">
        <w:rPr>
          <w:i/>
          <w:sz w:val="23"/>
          <w:szCs w:val="23"/>
          <w:rtl/>
        </w:rPr>
        <w:t xml:space="preserve"> </w:t>
      </w:r>
      <w:r w:rsidRPr="00FE433F">
        <w:rPr>
          <w:rFonts w:hint="eastAsia"/>
          <w:i/>
          <w:sz w:val="23"/>
          <w:szCs w:val="23"/>
          <w:rtl/>
        </w:rPr>
        <w:t>اهم</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eastAsia"/>
          <w:i/>
          <w:sz w:val="23"/>
          <w:szCs w:val="23"/>
          <w:rtl/>
        </w:rPr>
        <w:t>فزا</w:t>
      </w:r>
      <w:r w:rsidRPr="00FE433F">
        <w:rPr>
          <w:rFonts w:hint="cs"/>
          <w:i/>
          <w:sz w:val="23"/>
          <w:szCs w:val="23"/>
          <w:rtl/>
        </w:rPr>
        <w:t>ی</w:t>
      </w:r>
      <w:r w:rsidRPr="00FE433F">
        <w:rPr>
          <w:rFonts w:hint="eastAsia"/>
          <w:i/>
          <w:sz w:val="23"/>
          <w:szCs w:val="23"/>
          <w:rtl/>
        </w:rPr>
        <w:t>نده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اعتبار</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تقو</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eastAsia"/>
          <w:i/>
          <w:sz w:val="23"/>
          <w:szCs w:val="23"/>
          <w:rtl/>
        </w:rPr>
        <w:t>نموده،</w:t>
      </w:r>
      <w:r w:rsidRPr="00FE433F">
        <w:rPr>
          <w:i/>
          <w:sz w:val="23"/>
          <w:szCs w:val="23"/>
          <w:rtl/>
        </w:rPr>
        <w:t xml:space="preserve"> </w:t>
      </w:r>
      <w:r w:rsidRPr="00FE433F">
        <w:rPr>
          <w:rFonts w:hint="eastAsia"/>
          <w:i/>
          <w:sz w:val="23"/>
          <w:szCs w:val="23"/>
          <w:rtl/>
        </w:rPr>
        <w:t>ول</w:t>
      </w:r>
      <w:r w:rsidRPr="00FE433F">
        <w:rPr>
          <w:rFonts w:hint="cs"/>
          <w:i/>
          <w:sz w:val="23"/>
          <w:szCs w:val="23"/>
          <w:rtl/>
        </w:rPr>
        <w:t>ی</w:t>
      </w:r>
      <w:r w:rsidRPr="00FE433F">
        <w:rPr>
          <w:i/>
          <w:sz w:val="23"/>
          <w:szCs w:val="23"/>
          <w:rtl/>
        </w:rPr>
        <w:t xml:space="preserve"> </w:t>
      </w:r>
      <w:r w:rsidRPr="00FE433F">
        <w:rPr>
          <w:rFonts w:hint="eastAsia"/>
          <w:i/>
          <w:sz w:val="23"/>
          <w:szCs w:val="23"/>
          <w:rtl/>
        </w:rPr>
        <w:t>سرعت</w:t>
      </w:r>
      <w:r w:rsidRPr="00FE433F">
        <w:rPr>
          <w:i/>
          <w:sz w:val="23"/>
          <w:szCs w:val="23"/>
          <w:rtl/>
        </w:rPr>
        <w:t xml:space="preserve"> </w:t>
      </w:r>
      <w:r w:rsidRPr="00FE433F">
        <w:rPr>
          <w:rFonts w:hint="eastAsia"/>
          <w:i/>
          <w:sz w:val="23"/>
          <w:szCs w:val="23"/>
          <w:rtl/>
        </w:rPr>
        <w:t>رشد</w:t>
      </w:r>
      <w:r w:rsidRPr="00FE433F">
        <w:rPr>
          <w:i/>
          <w:sz w:val="23"/>
          <w:szCs w:val="23"/>
          <w:rtl/>
        </w:rPr>
        <w:t xml:space="preserve"> </w:t>
      </w:r>
      <w:r w:rsidRPr="00FE433F">
        <w:rPr>
          <w:rFonts w:hint="eastAsia"/>
          <w:i/>
          <w:sz w:val="23"/>
          <w:szCs w:val="23"/>
          <w:rtl/>
        </w:rPr>
        <w:t>ب</w:t>
      </w:r>
      <w:r w:rsidRPr="00FE433F">
        <w:rPr>
          <w:rFonts w:hint="cs"/>
          <w:i/>
          <w:sz w:val="23"/>
          <w:szCs w:val="23"/>
          <w:rtl/>
        </w:rPr>
        <w:t>ی</w:t>
      </w:r>
      <w:r w:rsidRPr="00FE433F">
        <w:rPr>
          <w:rFonts w:hint="eastAsia"/>
          <w:i/>
          <w:sz w:val="23"/>
          <w:szCs w:val="23"/>
          <w:rtl/>
        </w:rPr>
        <w:t>شتر</w:t>
      </w:r>
      <w:r w:rsidRPr="00FE433F">
        <w:rPr>
          <w:i/>
          <w:sz w:val="23"/>
          <w:szCs w:val="23"/>
          <w:rtl/>
        </w:rPr>
        <w:t xml:space="preserve"> </w:t>
      </w:r>
      <w:r w:rsidRPr="00FE433F">
        <w:rPr>
          <w:rFonts w:hint="eastAsia"/>
          <w:i/>
          <w:sz w:val="23"/>
          <w:szCs w:val="23"/>
          <w:rtl/>
        </w:rPr>
        <w:t>پول</w:t>
      </w:r>
      <w:r w:rsidRPr="00FE433F">
        <w:rPr>
          <w:rFonts w:hint="cs"/>
          <w:i/>
          <w:sz w:val="23"/>
          <w:szCs w:val="23"/>
          <w:rtl/>
        </w:rPr>
        <w:t>ِ</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گردش</w:t>
      </w:r>
      <w:r w:rsidRPr="00FE433F">
        <w:rPr>
          <w:i/>
          <w:sz w:val="23"/>
          <w:szCs w:val="23"/>
          <w:rtl/>
        </w:rPr>
        <w:t xml:space="preserve"> </w:t>
      </w:r>
      <w:r w:rsidRPr="00FE433F">
        <w:rPr>
          <w:rFonts w:hint="eastAsia"/>
          <w:i/>
          <w:sz w:val="23"/>
          <w:szCs w:val="23"/>
          <w:rtl/>
        </w:rPr>
        <w:t>مب</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استمرار</w:t>
      </w:r>
      <w:r w:rsidRPr="00FE433F">
        <w:rPr>
          <w:i/>
          <w:sz w:val="23"/>
          <w:szCs w:val="23"/>
          <w:rtl/>
        </w:rPr>
        <w:t xml:space="preserve"> </w:t>
      </w:r>
      <w:r w:rsidRPr="00FE433F">
        <w:rPr>
          <w:rFonts w:hint="eastAsia"/>
          <w:i/>
          <w:sz w:val="23"/>
          <w:szCs w:val="23"/>
          <w:rtl/>
        </w:rPr>
        <w:t>اهم</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نقد</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اقتصاد</w:t>
      </w:r>
      <w:r w:rsidRPr="00FE433F">
        <w:rPr>
          <w:i/>
          <w:sz w:val="23"/>
          <w:szCs w:val="23"/>
          <w:rtl/>
        </w:rPr>
        <w:t xml:space="preserve"> </w:t>
      </w:r>
      <w:r w:rsidRPr="00FE433F">
        <w:rPr>
          <w:rFonts w:hint="eastAsia"/>
          <w:i/>
          <w:sz w:val="23"/>
          <w:szCs w:val="23"/>
          <w:rtl/>
        </w:rPr>
        <w:t>آمر</w:t>
      </w:r>
      <w:r w:rsidRPr="00FE433F">
        <w:rPr>
          <w:rFonts w:hint="cs"/>
          <w:i/>
          <w:sz w:val="23"/>
          <w:szCs w:val="23"/>
          <w:rtl/>
        </w:rPr>
        <w:t>ی</w:t>
      </w:r>
      <w:r w:rsidRPr="00FE433F">
        <w:rPr>
          <w:rFonts w:hint="eastAsia"/>
          <w:i/>
          <w:sz w:val="23"/>
          <w:szCs w:val="23"/>
          <w:rtl/>
        </w:rPr>
        <w:t>کاست</w:t>
      </w:r>
      <w:r w:rsidRPr="00FE433F">
        <w:rPr>
          <w:i/>
          <w:sz w:val="23"/>
          <w:szCs w:val="23"/>
          <w:rtl/>
        </w:rPr>
        <w:t>.</w:t>
      </w:r>
    </w:p>
    <w:p w14:paraId="0C3DBF4E" w14:textId="77777777" w:rsidR="00411620" w:rsidRPr="00FE433F" w:rsidRDefault="00411620" w:rsidP="00411620">
      <w:pPr>
        <w:spacing w:line="216" w:lineRule="auto"/>
        <w:jc w:val="center"/>
        <w:rPr>
          <w:i/>
          <w:sz w:val="23"/>
          <w:szCs w:val="23"/>
          <w:rtl/>
        </w:rPr>
      </w:pPr>
      <w:r w:rsidRPr="00FE433F">
        <w:rPr>
          <w:rFonts w:hint="eastAsia"/>
          <w:i/>
          <w:sz w:val="23"/>
          <w:szCs w:val="23"/>
          <w:rtl/>
        </w:rPr>
        <w:t>نمودار</w:t>
      </w:r>
      <w:r w:rsidRPr="00FE433F">
        <w:rPr>
          <w:i/>
          <w:sz w:val="23"/>
          <w:szCs w:val="23"/>
          <w:rtl/>
        </w:rPr>
        <w:t xml:space="preserve"> ۸. ۱</w:t>
      </w:r>
      <w:r w:rsidRPr="00FE433F">
        <w:rPr>
          <w:rFonts w:hint="cs"/>
          <w:i/>
          <w:sz w:val="23"/>
          <w:szCs w:val="23"/>
          <w:rtl/>
        </w:rPr>
        <w:t xml:space="preserve">: </w:t>
      </w:r>
      <w:r w:rsidRPr="00FE433F">
        <w:rPr>
          <w:rFonts w:hint="eastAsia"/>
          <w:i/>
          <w:sz w:val="23"/>
          <w:szCs w:val="23"/>
          <w:rtl/>
        </w:rPr>
        <w:t>نرخ</w:t>
      </w:r>
      <w:r w:rsidRPr="00FE433F">
        <w:rPr>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رشد</w:t>
      </w:r>
      <w:r w:rsidRPr="00FE433F">
        <w:rPr>
          <w:i/>
          <w:sz w:val="23"/>
          <w:szCs w:val="23"/>
          <w:rtl/>
        </w:rPr>
        <w:t xml:space="preserve"> </w:t>
      </w:r>
      <w:r w:rsidRPr="00FE433F">
        <w:rPr>
          <w:i/>
          <w:sz w:val="23"/>
          <w:szCs w:val="23"/>
        </w:rPr>
        <w:t>GDP</w:t>
      </w:r>
      <w:r w:rsidRPr="00FE433F">
        <w:rPr>
          <w:i/>
          <w:sz w:val="23"/>
          <w:szCs w:val="23"/>
          <w:rtl/>
        </w:rPr>
        <w:t xml:space="preserve"> </w:t>
      </w:r>
      <w:r w:rsidRPr="00FE433F">
        <w:rPr>
          <w:rFonts w:hint="eastAsia"/>
          <w:i/>
          <w:sz w:val="23"/>
          <w:szCs w:val="23"/>
          <w:rtl/>
        </w:rPr>
        <w:t>اسم</w:t>
      </w:r>
      <w:r w:rsidRPr="00FE433F">
        <w:rPr>
          <w:rFonts w:hint="cs"/>
          <w:i/>
          <w:sz w:val="23"/>
          <w:szCs w:val="23"/>
          <w:rtl/>
        </w:rPr>
        <w:t>ی</w:t>
      </w:r>
      <w:r w:rsidRPr="00FE433F">
        <w:rPr>
          <w:rFonts w:hint="eastAsia"/>
          <w:i/>
          <w:sz w:val="23"/>
          <w:szCs w:val="23"/>
          <w:rtl/>
        </w:rPr>
        <w:t>،</w:t>
      </w:r>
      <w:r w:rsidRPr="00FE433F">
        <w:rPr>
          <w:i/>
          <w:sz w:val="23"/>
          <w:szCs w:val="23"/>
          <w:rtl/>
        </w:rPr>
        <w:t xml:space="preserve"> </w:t>
      </w:r>
      <w:r w:rsidRPr="00FE433F">
        <w:rPr>
          <w:i/>
          <w:sz w:val="23"/>
          <w:szCs w:val="23"/>
        </w:rPr>
        <w:t>M</w:t>
      </w:r>
      <w:r w:rsidRPr="00FE433F">
        <w:rPr>
          <w:i/>
          <w:sz w:val="23"/>
          <w:szCs w:val="23"/>
        </w:rPr>
        <w:softHyphen/>
        <w:t>0</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i/>
          <w:sz w:val="23"/>
          <w:szCs w:val="23"/>
        </w:rPr>
        <w:t>M4</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انگلستان</w:t>
      </w:r>
    </w:p>
    <w:p w14:paraId="37E0C9CF" w14:textId="77777777" w:rsidR="00411620" w:rsidRPr="00FE433F" w:rsidRDefault="00411620" w:rsidP="00411620">
      <w:pPr>
        <w:spacing w:line="216" w:lineRule="auto"/>
        <w:jc w:val="center"/>
        <w:rPr>
          <w:i/>
          <w:sz w:val="23"/>
          <w:szCs w:val="23"/>
          <w:rtl/>
        </w:rPr>
      </w:pPr>
      <w:r w:rsidRPr="00FE433F">
        <w:rPr>
          <w:i/>
          <w:noProof/>
          <w:sz w:val="23"/>
          <w:szCs w:val="23"/>
          <w:u w:val="single"/>
          <w:lang w:bidi="ar-SA"/>
        </w:rPr>
        <w:drawing>
          <wp:inline distT="0" distB="0" distL="0" distR="0" wp14:anchorId="6E5125C8" wp14:editId="3A235674">
            <wp:extent cx="3651708" cy="1828800"/>
            <wp:effectExtent l="38100" t="38100" r="44450" b="38100"/>
            <wp:docPr id="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39" cstate="print">
                      <a:extLst>
                        <a:ext uri="{BEBA8EAE-BF5A-486C-A8C5-ECC9F3942E4B}">
                          <a14:imgProps xmlns:a14="http://schemas.microsoft.com/office/drawing/2010/main">
                            <a14:imgLayer r:embed="rId654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68174" cy="1837046"/>
                    </a:xfrm>
                    <a:prstGeom prst="rect">
                      <a:avLst/>
                    </a:prstGeom>
                    <a:ln w="28575">
                      <a:solidFill>
                        <a:schemeClr val="tx1"/>
                      </a:solidFill>
                    </a:ln>
                  </pic:spPr>
                </pic:pic>
              </a:graphicData>
            </a:graphic>
          </wp:inline>
        </w:drawing>
      </w:r>
    </w:p>
    <w:p w14:paraId="45AAE610" w14:textId="77777777" w:rsidR="00411620" w:rsidRPr="00FE433F" w:rsidRDefault="00411620" w:rsidP="00411620">
      <w:pPr>
        <w:spacing w:line="216" w:lineRule="auto"/>
        <w:jc w:val="center"/>
        <w:rPr>
          <w:i/>
          <w:sz w:val="23"/>
          <w:szCs w:val="23"/>
          <w:rtl/>
        </w:rPr>
      </w:pPr>
      <w:r w:rsidRPr="00FE433F">
        <w:rPr>
          <w:rFonts w:hint="eastAsia"/>
          <w:i/>
          <w:sz w:val="23"/>
          <w:szCs w:val="23"/>
          <w:rtl/>
        </w:rPr>
        <w:t>نمودار</w:t>
      </w:r>
      <w:r w:rsidRPr="00FE433F">
        <w:rPr>
          <w:i/>
          <w:sz w:val="23"/>
          <w:szCs w:val="23"/>
          <w:rtl/>
        </w:rPr>
        <w:t xml:space="preserve"> ۸. ۲</w:t>
      </w:r>
      <w:r w:rsidRPr="00FE433F">
        <w:rPr>
          <w:rFonts w:hint="cs"/>
          <w:i/>
          <w:sz w:val="23"/>
          <w:szCs w:val="23"/>
          <w:rtl/>
        </w:rPr>
        <w:t xml:space="preserve">: </w:t>
      </w:r>
      <w:r w:rsidRPr="00FE433F">
        <w:rPr>
          <w:rFonts w:hint="eastAsia"/>
          <w:i/>
          <w:sz w:val="23"/>
          <w:szCs w:val="23"/>
          <w:rtl/>
        </w:rPr>
        <w:t>سرعت</w:t>
      </w:r>
      <w:r w:rsidRPr="00FE433F">
        <w:rPr>
          <w:i/>
          <w:sz w:val="23"/>
          <w:szCs w:val="23"/>
          <w:rtl/>
        </w:rPr>
        <w:t xml:space="preserve"> </w:t>
      </w:r>
      <w:r w:rsidRPr="00FE433F">
        <w:rPr>
          <w:rFonts w:hint="eastAsia"/>
          <w:i/>
          <w:sz w:val="23"/>
          <w:szCs w:val="23"/>
          <w:rtl/>
        </w:rPr>
        <w:t>گردش</w:t>
      </w:r>
      <w:r w:rsidRPr="00FE433F">
        <w:rPr>
          <w:i/>
          <w:sz w:val="23"/>
          <w:szCs w:val="23"/>
        </w:rPr>
        <w:t>M</w:t>
      </w:r>
      <w:r w:rsidRPr="00FE433F">
        <w:rPr>
          <w:i/>
          <w:sz w:val="23"/>
          <w:szCs w:val="23"/>
        </w:rPr>
        <w:softHyphen/>
        <w:t>0</w:t>
      </w:r>
      <w:r w:rsidRPr="00FE433F">
        <w:rPr>
          <w:i/>
          <w:sz w:val="23"/>
          <w:szCs w:val="23"/>
          <w:rtl/>
        </w:rPr>
        <w:t xml:space="preserve"> </w:t>
      </w:r>
      <w:r w:rsidRPr="00FE433F">
        <w:rPr>
          <w:rFonts w:hint="eastAsia"/>
          <w:i/>
          <w:sz w:val="23"/>
          <w:szCs w:val="23"/>
          <w:rtl/>
        </w:rPr>
        <w:t>خط</w:t>
      </w:r>
      <w:r w:rsidRPr="00FE433F">
        <w:rPr>
          <w:i/>
          <w:sz w:val="23"/>
          <w:szCs w:val="23"/>
          <w:rtl/>
        </w:rPr>
        <w:t xml:space="preserve"> </w:t>
      </w:r>
      <w:r w:rsidRPr="00FE433F">
        <w:rPr>
          <w:rFonts w:hint="eastAsia"/>
          <w:i/>
          <w:sz w:val="23"/>
          <w:szCs w:val="23"/>
          <w:rtl/>
        </w:rPr>
        <w:t>پ</w:t>
      </w:r>
      <w:r w:rsidRPr="00FE433F">
        <w:rPr>
          <w:rFonts w:hint="cs"/>
          <w:i/>
          <w:sz w:val="23"/>
          <w:szCs w:val="23"/>
          <w:rtl/>
        </w:rPr>
        <w:t>ی</w:t>
      </w:r>
      <w:r w:rsidRPr="00FE433F">
        <w:rPr>
          <w:rFonts w:hint="eastAsia"/>
          <w:i/>
          <w:sz w:val="23"/>
          <w:szCs w:val="23"/>
          <w:rtl/>
        </w:rPr>
        <w:t>وسته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i/>
          <w:sz w:val="23"/>
          <w:szCs w:val="23"/>
        </w:rPr>
        <w:t>M4</w:t>
      </w:r>
      <w:r w:rsidRPr="00FE433F">
        <w:rPr>
          <w:i/>
          <w:sz w:val="23"/>
          <w:szCs w:val="23"/>
          <w:rtl/>
        </w:rPr>
        <w:t xml:space="preserve"> </w:t>
      </w:r>
      <w:r w:rsidRPr="00FE433F">
        <w:rPr>
          <w:rFonts w:hint="eastAsia"/>
          <w:i/>
          <w:sz w:val="23"/>
          <w:szCs w:val="23"/>
          <w:rtl/>
        </w:rPr>
        <w:t>خط</w:t>
      </w:r>
      <w:r w:rsidRPr="00FE433F">
        <w:rPr>
          <w:i/>
          <w:sz w:val="23"/>
          <w:szCs w:val="23"/>
          <w:rtl/>
        </w:rPr>
        <w:t xml:space="preserve"> </w:t>
      </w:r>
      <w:r w:rsidRPr="00FE433F">
        <w:rPr>
          <w:rFonts w:hint="eastAsia"/>
          <w:i/>
          <w:sz w:val="23"/>
          <w:szCs w:val="23"/>
          <w:rtl/>
        </w:rPr>
        <w:t>گسسته</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انگلستان</w:t>
      </w:r>
    </w:p>
    <w:p w14:paraId="4848C1D0" w14:textId="77777777" w:rsidR="00411620" w:rsidRPr="00FE433F" w:rsidRDefault="00411620" w:rsidP="00411620">
      <w:pPr>
        <w:spacing w:line="216" w:lineRule="auto"/>
        <w:jc w:val="center"/>
        <w:rPr>
          <w:i/>
          <w:sz w:val="23"/>
          <w:szCs w:val="23"/>
          <w:rtl/>
        </w:rPr>
      </w:pPr>
      <w:r w:rsidRPr="00FE433F">
        <w:rPr>
          <w:i/>
          <w:noProof/>
          <w:sz w:val="23"/>
          <w:szCs w:val="23"/>
          <w:u w:val="single"/>
          <w:lang w:bidi="ar-SA"/>
        </w:rPr>
        <w:drawing>
          <wp:inline distT="0" distB="0" distL="0" distR="0" wp14:anchorId="78B87016" wp14:editId="56B0F4ED">
            <wp:extent cx="3655096" cy="1779105"/>
            <wp:effectExtent l="38100" t="38100" r="40640" b="31115"/>
            <wp:docPr id="2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41" cstate="print">
                      <a:extLst>
                        <a:ext uri="{BEBA8EAE-BF5A-486C-A8C5-ECC9F3942E4B}">
                          <a14:imgProps xmlns:a14="http://schemas.microsoft.com/office/drawing/2010/main">
                            <a14:imgLayer r:embed="rId654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78585" cy="1790538"/>
                    </a:xfrm>
                    <a:prstGeom prst="rect">
                      <a:avLst/>
                    </a:prstGeom>
                    <a:ln w="28575">
                      <a:solidFill>
                        <a:schemeClr val="tx1"/>
                      </a:solidFill>
                    </a:ln>
                  </pic:spPr>
                </pic:pic>
              </a:graphicData>
            </a:graphic>
          </wp:inline>
        </w:drawing>
      </w:r>
    </w:p>
    <w:p w14:paraId="2A4025C6" w14:textId="77777777" w:rsidR="00411620" w:rsidRPr="00FE433F" w:rsidRDefault="00411620" w:rsidP="00411620">
      <w:pPr>
        <w:spacing w:line="216" w:lineRule="auto"/>
        <w:jc w:val="center"/>
        <w:rPr>
          <w:i/>
          <w:sz w:val="23"/>
          <w:szCs w:val="23"/>
          <w:rtl/>
        </w:rPr>
      </w:pPr>
      <w:r w:rsidRPr="00FE433F">
        <w:rPr>
          <w:rFonts w:hint="eastAsia"/>
          <w:i/>
          <w:sz w:val="23"/>
          <w:szCs w:val="23"/>
          <w:rtl/>
        </w:rPr>
        <w:t>نمودار</w:t>
      </w:r>
      <w:r w:rsidRPr="00FE433F">
        <w:rPr>
          <w:i/>
          <w:sz w:val="23"/>
          <w:szCs w:val="23"/>
          <w:rtl/>
        </w:rPr>
        <w:t xml:space="preserve"> ۸. ۳</w:t>
      </w:r>
      <w:r w:rsidRPr="00FE433F">
        <w:rPr>
          <w:rFonts w:hint="cs"/>
          <w:i/>
          <w:sz w:val="23"/>
          <w:szCs w:val="23"/>
          <w:rtl/>
        </w:rPr>
        <w:t xml:space="preserve">: </w:t>
      </w:r>
      <w:r w:rsidRPr="00FE433F">
        <w:rPr>
          <w:rFonts w:hint="eastAsia"/>
          <w:i/>
          <w:sz w:val="23"/>
          <w:szCs w:val="23"/>
          <w:rtl/>
        </w:rPr>
        <w:t>سرعت</w:t>
      </w:r>
      <w:r w:rsidRPr="00FE433F">
        <w:rPr>
          <w:i/>
          <w:sz w:val="23"/>
          <w:szCs w:val="23"/>
          <w:rtl/>
        </w:rPr>
        <w:t xml:space="preserve"> </w:t>
      </w:r>
      <w:r w:rsidRPr="00FE433F">
        <w:rPr>
          <w:rFonts w:hint="eastAsia"/>
          <w:i/>
          <w:sz w:val="23"/>
          <w:szCs w:val="23"/>
          <w:rtl/>
        </w:rPr>
        <w:t>گردش</w:t>
      </w:r>
      <w:r w:rsidRPr="00FE433F">
        <w:rPr>
          <w:position w:val="-10"/>
        </w:rPr>
        <w:object w:dxaOrig="360" w:dyaOrig="320" w14:anchorId="4EBC4131">
          <v:shape id="_x0000_i4276" type="#_x0000_t75" style="width:18.15pt;height:16.35pt" o:ole="">
            <v:imagedata r:id="rId6543" o:title=""/>
          </v:shape>
          <o:OLEObject Type="Embed" ProgID="Equation.DSMT4" ShapeID="_x0000_i4276" DrawAspect="Content" ObjectID="_1791378220" r:id="rId6544"/>
        </w:object>
      </w:r>
      <w:r w:rsidRPr="00FE433F">
        <w:rPr>
          <w:rFonts w:hint="cs"/>
          <w:i/>
          <w:sz w:val="23"/>
          <w:szCs w:val="23"/>
          <w:rtl/>
        </w:rPr>
        <w:t xml:space="preserve"> </w:t>
      </w:r>
      <w:r w:rsidRPr="00FE433F">
        <w:rPr>
          <w:rFonts w:hint="eastAsia"/>
          <w:i/>
          <w:sz w:val="23"/>
          <w:szCs w:val="23"/>
          <w:rtl/>
        </w:rPr>
        <w:t>خط</w:t>
      </w:r>
      <w:r w:rsidRPr="00FE433F">
        <w:rPr>
          <w:i/>
          <w:sz w:val="23"/>
          <w:szCs w:val="23"/>
          <w:rtl/>
        </w:rPr>
        <w:t xml:space="preserve"> </w:t>
      </w:r>
      <w:r w:rsidRPr="00FE433F">
        <w:rPr>
          <w:rFonts w:hint="eastAsia"/>
          <w:i/>
          <w:sz w:val="23"/>
          <w:szCs w:val="23"/>
          <w:rtl/>
        </w:rPr>
        <w:t>پ</w:t>
      </w:r>
      <w:r w:rsidRPr="00FE433F">
        <w:rPr>
          <w:rFonts w:hint="cs"/>
          <w:i/>
          <w:sz w:val="23"/>
          <w:szCs w:val="23"/>
          <w:rtl/>
        </w:rPr>
        <w:t>ی</w:t>
      </w:r>
      <w:r w:rsidRPr="00FE433F">
        <w:rPr>
          <w:rFonts w:hint="eastAsia"/>
          <w:i/>
          <w:sz w:val="23"/>
          <w:szCs w:val="23"/>
          <w:rtl/>
        </w:rPr>
        <w:t>وسته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i/>
          <w:sz w:val="23"/>
          <w:szCs w:val="23"/>
        </w:rPr>
        <w:t>M3</w:t>
      </w:r>
      <w:r w:rsidRPr="00FE433F">
        <w:rPr>
          <w:i/>
          <w:sz w:val="23"/>
          <w:szCs w:val="23"/>
          <w:rtl/>
        </w:rPr>
        <w:t xml:space="preserve"> </w:t>
      </w:r>
      <w:r w:rsidRPr="00FE433F">
        <w:rPr>
          <w:rFonts w:hint="eastAsia"/>
          <w:i/>
          <w:sz w:val="23"/>
          <w:szCs w:val="23"/>
          <w:rtl/>
        </w:rPr>
        <w:t>خط</w:t>
      </w:r>
      <w:r w:rsidRPr="00FE433F">
        <w:rPr>
          <w:i/>
          <w:sz w:val="23"/>
          <w:szCs w:val="23"/>
          <w:rtl/>
        </w:rPr>
        <w:t xml:space="preserve"> </w:t>
      </w:r>
      <w:r w:rsidRPr="00FE433F">
        <w:rPr>
          <w:rFonts w:hint="eastAsia"/>
          <w:i/>
          <w:sz w:val="23"/>
          <w:szCs w:val="23"/>
          <w:rtl/>
        </w:rPr>
        <w:t>گسسته</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انگلستان</w:t>
      </w:r>
    </w:p>
    <w:p w14:paraId="79F5F544" w14:textId="77777777" w:rsidR="00411620" w:rsidRPr="00FE433F" w:rsidRDefault="00411620" w:rsidP="00411620">
      <w:pPr>
        <w:spacing w:line="216" w:lineRule="auto"/>
        <w:jc w:val="center"/>
        <w:rPr>
          <w:rFonts w:eastAsia="Calibri"/>
          <w:i/>
          <w:sz w:val="23"/>
          <w:szCs w:val="23"/>
          <w:rtl/>
        </w:rPr>
      </w:pPr>
      <w:r w:rsidRPr="00FE433F">
        <w:rPr>
          <w:i/>
          <w:noProof/>
          <w:sz w:val="23"/>
          <w:szCs w:val="23"/>
          <w:u w:val="single"/>
          <w:lang w:bidi="ar-SA"/>
        </w:rPr>
        <w:lastRenderedPageBreak/>
        <w:drawing>
          <wp:inline distT="0" distB="0" distL="0" distR="0" wp14:anchorId="5DB10887" wp14:editId="6BA11A7A">
            <wp:extent cx="3653901" cy="1855304"/>
            <wp:effectExtent l="38100" t="38100" r="41910" b="31115"/>
            <wp:docPr id="2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45" cstate="print">
                      <a:extLst>
                        <a:ext uri="{BEBA8EAE-BF5A-486C-A8C5-ECC9F3942E4B}">
                          <a14:imgProps xmlns:a14="http://schemas.microsoft.com/office/drawing/2010/main">
                            <a14:imgLayer r:embed="rId654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64091" cy="1860478"/>
                    </a:xfrm>
                    <a:prstGeom prst="rect">
                      <a:avLst/>
                    </a:prstGeom>
                    <a:ln w="28575">
                      <a:solidFill>
                        <a:schemeClr val="tx1"/>
                      </a:solidFill>
                    </a:ln>
                  </pic:spPr>
                </pic:pic>
              </a:graphicData>
            </a:graphic>
          </wp:inline>
        </w:drawing>
      </w:r>
    </w:p>
    <w:p w14:paraId="6BCF37D3"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p>
    <w:p w14:paraId="079D78E4" w14:textId="77777777" w:rsidR="00411620" w:rsidRPr="00FE433F" w:rsidRDefault="00411620" w:rsidP="00411620">
      <w:pPr>
        <w:pStyle w:val="Heading1"/>
        <w:spacing w:before="0" w:after="0" w:line="216" w:lineRule="auto"/>
        <w:rPr>
          <w:rFonts w:ascii="Times New Roman" w:hAnsi="Times New Roman" w:cs="B Nazanin"/>
          <w:b w:val="0"/>
          <w:i/>
          <w:sz w:val="23"/>
          <w:szCs w:val="23"/>
          <w:rtl/>
        </w:rPr>
      </w:pPr>
      <w:r w:rsidRPr="00FE433F">
        <w:rPr>
          <w:rFonts w:ascii="Times New Roman" w:hAnsi="Times New Roman" w:cs="B Nazanin"/>
          <w:b w:val="0"/>
          <w:i/>
          <w:sz w:val="23"/>
          <w:szCs w:val="23"/>
          <w:rtl/>
        </w:rPr>
        <w:t>۸. ۱۰ تورم حاد و مدل تقاضا برا</w:t>
      </w:r>
      <w:r w:rsidRPr="00FE433F">
        <w:rPr>
          <w:rFonts w:ascii="Times New Roman" w:hAnsi="Times New Roman" w:cs="B Nazanin" w:hint="cs"/>
          <w:b w:val="0"/>
          <w:i/>
          <w:sz w:val="23"/>
          <w:szCs w:val="23"/>
          <w:rtl/>
        </w:rPr>
        <w:t>ی</w:t>
      </w:r>
      <w:r w:rsidRPr="00FE433F">
        <w:rPr>
          <w:rFonts w:ascii="Times New Roman" w:hAnsi="Times New Roman" w:cs="B Nazanin"/>
          <w:b w:val="0"/>
          <w:i/>
          <w:sz w:val="23"/>
          <w:szCs w:val="23"/>
          <w:rtl/>
        </w:rPr>
        <w:t xml:space="preserve"> پول کاگان</w:t>
      </w:r>
      <w:r w:rsidRPr="00FE433F">
        <w:rPr>
          <w:rStyle w:val="FootnoteReference"/>
          <w:rFonts w:ascii="Times New Roman" w:eastAsiaTheme="majorEastAsia" w:hAnsi="Times New Roman" w:cs="B Nazanin"/>
          <w:b w:val="0"/>
          <w:i/>
          <w:sz w:val="23"/>
          <w:szCs w:val="23"/>
          <w:rtl/>
        </w:rPr>
        <w:footnoteReference w:id="206"/>
      </w:r>
    </w:p>
    <w:p w14:paraId="3F337136"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در شرا</w:t>
      </w:r>
      <w:r w:rsidRPr="00FE433F">
        <w:rPr>
          <w:rFonts w:eastAsia="Calibri" w:hint="cs"/>
          <w:i/>
          <w:sz w:val="23"/>
          <w:szCs w:val="23"/>
          <w:rtl/>
        </w:rPr>
        <w:t>ی</w:t>
      </w:r>
      <w:r w:rsidRPr="00FE433F">
        <w:rPr>
          <w:rFonts w:eastAsia="Calibri" w:hint="eastAsia"/>
          <w:i/>
          <w:sz w:val="23"/>
          <w:szCs w:val="23"/>
          <w:rtl/>
        </w:rPr>
        <w:t>ط</w:t>
      </w:r>
      <w:r w:rsidRPr="00FE433F">
        <w:rPr>
          <w:rFonts w:eastAsia="Calibri"/>
          <w:i/>
          <w:sz w:val="23"/>
          <w:szCs w:val="23"/>
          <w:rtl/>
        </w:rPr>
        <w:t xml:space="preserve"> </w:t>
      </w:r>
      <w:r w:rsidRPr="00FE433F">
        <w:rPr>
          <w:rFonts w:eastAsia="Calibri" w:hint="eastAsia"/>
          <w:i/>
          <w:sz w:val="23"/>
          <w:szCs w:val="23"/>
          <w:rtl/>
        </w:rPr>
        <w:t>تورم</w:t>
      </w:r>
      <w:r w:rsidRPr="00FE433F">
        <w:rPr>
          <w:rFonts w:eastAsia="Calibri"/>
          <w:i/>
          <w:sz w:val="23"/>
          <w:szCs w:val="23"/>
          <w:rtl/>
        </w:rPr>
        <w:t xml:space="preserve"> </w:t>
      </w:r>
      <w:r w:rsidRPr="00FE433F">
        <w:rPr>
          <w:rFonts w:eastAsia="Calibri" w:hint="eastAsia"/>
          <w:i/>
          <w:sz w:val="23"/>
          <w:szCs w:val="23"/>
          <w:rtl/>
        </w:rPr>
        <w:t>حاد</w:t>
      </w:r>
      <w:r w:rsidRPr="00FE433F">
        <w:rPr>
          <w:rFonts w:eastAsia="Calibri"/>
          <w:i/>
          <w:sz w:val="23"/>
          <w:szCs w:val="23"/>
          <w:rtl/>
        </w:rPr>
        <w:t xml:space="preserve"> </w:t>
      </w:r>
      <w:r w:rsidRPr="00FE433F">
        <w:rPr>
          <w:rFonts w:eastAsia="Calibri" w:hint="cs"/>
          <w:i/>
          <w:sz w:val="23"/>
          <w:szCs w:val="23"/>
          <w:rtl/>
        </w:rPr>
        <w:t xml:space="preserve">تابع </w:t>
      </w:r>
      <w:r w:rsidRPr="00FE433F">
        <w:rPr>
          <w:rFonts w:eastAsia="Calibri" w:hint="eastAsia"/>
          <w:i/>
          <w:sz w:val="23"/>
          <w:szCs w:val="23"/>
          <w:rtl/>
        </w:rPr>
        <w:t>تقاضا</w:t>
      </w:r>
      <w:r w:rsidRPr="00FE433F">
        <w:rPr>
          <w:rFonts w:eastAsia="Calibri"/>
          <w:i/>
          <w:sz w:val="23"/>
          <w:szCs w:val="23"/>
          <w:rtl/>
        </w:rPr>
        <w:t xml:space="preserve"> </w:t>
      </w:r>
      <w:r w:rsidRPr="00FE433F">
        <w:rPr>
          <w:rFonts w:eastAsia="Calibri" w:hint="eastAsia"/>
          <w:i/>
          <w:sz w:val="23"/>
          <w:szCs w:val="23"/>
          <w:rtl/>
        </w:rPr>
        <w:t>برا</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پول</w:t>
      </w:r>
      <w:r w:rsidRPr="00FE433F">
        <w:rPr>
          <w:rFonts w:eastAsia="Calibri"/>
          <w:i/>
          <w:sz w:val="23"/>
          <w:szCs w:val="23"/>
          <w:rtl/>
        </w:rPr>
        <w:t xml:space="preserve"> </w:t>
      </w:r>
      <w:r w:rsidRPr="00FE433F">
        <w:rPr>
          <w:rFonts w:eastAsia="Calibri" w:hint="eastAsia"/>
          <w:i/>
          <w:sz w:val="23"/>
          <w:szCs w:val="23"/>
          <w:rtl/>
        </w:rPr>
        <w:t>اسم</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بطور</w:t>
      </w:r>
      <w:r w:rsidRPr="00FE433F">
        <w:rPr>
          <w:rFonts w:eastAsia="Calibri"/>
          <w:i/>
          <w:sz w:val="23"/>
          <w:szCs w:val="23"/>
          <w:rtl/>
        </w:rPr>
        <w:t xml:space="preserve"> </w:t>
      </w:r>
      <w:r w:rsidRPr="00FE433F">
        <w:rPr>
          <w:rFonts w:eastAsia="Calibri" w:hint="eastAsia"/>
          <w:i/>
          <w:sz w:val="23"/>
          <w:szCs w:val="23"/>
          <w:rtl/>
        </w:rPr>
        <w:t>قابل</w:t>
      </w:r>
      <w:r w:rsidRPr="00FE433F">
        <w:rPr>
          <w:rFonts w:eastAsia="Calibri"/>
          <w:i/>
          <w:sz w:val="23"/>
          <w:szCs w:val="23"/>
          <w:rtl/>
        </w:rPr>
        <w:t xml:space="preserve"> </w:t>
      </w:r>
      <w:r w:rsidRPr="00FE433F">
        <w:rPr>
          <w:rFonts w:eastAsia="Calibri" w:hint="eastAsia"/>
          <w:i/>
          <w:sz w:val="23"/>
          <w:szCs w:val="23"/>
          <w:rtl/>
        </w:rPr>
        <w:t>ملاحظه</w:t>
      </w:r>
      <w:r w:rsidRPr="00FE433F">
        <w:rPr>
          <w:rFonts w:eastAsia="Calibri"/>
          <w:i/>
          <w:sz w:val="23"/>
          <w:szCs w:val="23"/>
          <w:rtl/>
        </w:rPr>
        <w:softHyphen/>
        <w:t>ا</w:t>
      </w:r>
      <w:r w:rsidRPr="00FE433F">
        <w:rPr>
          <w:rFonts w:eastAsia="Calibri" w:hint="cs"/>
          <w:i/>
          <w:sz w:val="23"/>
          <w:szCs w:val="23"/>
          <w:rtl/>
        </w:rPr>
        <w:t>ی</w:t>
      </w:r>
      <w:r w:rsidRPr="00FE433F">
        <w:rPr>
          <w:rFonts w:eastAsia="Calibri"/>
          <w:i/>
          <w:sz w:val="23"/>
          <w:szCs w:val="23"/>
          <w:rtl/>
        </w:rPr>
        <w:t xml:space="preserve"> ساده م</w:t>
      </w:r>
      <w:r w:rsidRPr="00FE433F">
        <w:rPr>
          <w:rFonts w:eastAsia="Calibri" w:hint="cs"/>
          <w:i/>
          <w:sz w:val="23"/>
          <w:szCs w:val="23"/>
          <w:rtl/>
        </w:rPr>
        <w:t>ی</w:t>
      </w:r>
      <w:r w:rsidRPr="00FE433F">
        <w:rPr>
          <w:rFonts w:eastAsia="Calibri"/>
          <w:i/>
          <w:sz w:val="23"/>
          <w:szCs w:val="23"/>
          <w:rtl/>
        </w:rPr>
        <w:softHyphen/>
        <w:t>شود</w:t>
      </w:r>
      <w:r w:rsidRPr="00FE433F">
        <w:rPr>
          <w:rFonts w:eastAsia="Calibri" w:hint="cs"/>
          <w:i/>
          <w:sz w:val="23"/>
          <w:szCs w:val="23"/>
          <w:rtl/>
        </w:rPr>
        <w:t xml:space="preserve"> و</w:t>
      </w:r>
      <w:r w:rsidRPr="00FE433F">
        <w:rPr>
          <w:rFonts w:eastAsia="Calibri"/>
          <w:i/>
          <w:sz w:val="23"/>
          <w:szCs w:val="23"/>
          <w:rtl/>
        </w:rPr>
        <w:t xml:space="preserve"> متغ</w:t>
      </w:r>
      <w:r w:rsidRPr="00FE433F">
        <w:rPr>
          <w:rFonts w:eastAsia="Calibri" w:hint="cs"/>
          <w:i/>
          <w:sz w:val="23"/>
          <w:szCs w:val="23"/>
          <w:rtl/>
        </w:rPr>
        <w:t>ی</w:t>
      </w:r>
      <w:r w:rsidRPr="00FE433F">
        <w:rPr>
          <w:rFonts w:eastAsia="Calibri" w:hint="eastAsia"/>
          <w:i/>
          <w:sz w:val="23"/>
          <w:szCs w:val="23"/>
          <w:rtl/>
        </w:rPr>
        <w:t>رها</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بدل</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w:t>
      </w:r>
      <w:r w:rsidRPr="00FE433F">
        <w:rPr>
          <w:rFonts w:eastAsia="Calibri" w:hint="eastAsia"/>
          <w:i/>
          <w:sz w:val="23"/>
          <w:szCs w:val="23"/>
          <w:rtl/>
        </w:rPr>
        <w:t>نرخ</w:t>
      </w:r>
      <w:r w:rsidRPr="00FE433F">
        <w:rPr>
          <w:rFonts w:eastAsia="Calibri"/>
          <w:i/>
          <w:sz w:val="23"/>
          <w:szCs w:val="23"/>
          <w:rtl/>
        </w:rPr>
        <w:t xml:space="preserve"> </w:t>
      </w:r>
      <w:r w:rsidRPr="00FE433F">
        <w:rPr>
          <w:rFonts w:eastAsia="Calibri" w:hint="eastAsia"/>
          <w:i/>
          <w:sz w:val="23"/>
          <w:szCs w:val="23"/>
          <w:rtl/>
        </w:rPr>
        <w:t>رشد</w:t>
      </w:r>
      <w:r w:rsidRPr="00FE433F">
        <w:rPr>
          <w:rFonts w:eastAsia="Calibri"/>
          <w:i/>
          <w:sz w:val="23"/>
          <w:szCs w:val="23"/>
          <w:rtl/>
        </w:rPr>
        <w:t xml:space="preserve"> </w:t>
      </w:r>
      <w:r w:rsidRPr="00FE433F">
        <w:rPr>
          <w:rFonts w:eastAsia="Calibri" w:hint="eastAsia"/>
          <w:i/>
          <w:sz w:val="23"/>
          <w:szCs w:val="23"/>
          <w:rtl/>
        </w:rPr>
        <w:t>کاملاً</w:t>
      </w:r>
      <w:r w:rsidRPr="00FE433F">
        <w:rPr>
          <w:rFonts w:eastAsia="Calibri"/>
          <w:i/>
          <w:sz w:val="23"/>
          <w:szCs w:val="23"/>
          <w:rtl/>
        </w:rPr>
        <w:t xml:space="preserve"> </w:t>
      </w:r>
      <w:r w:rsidRPr="00FE433F">
        <w:rPr>
          <w:rFonts w:eastAsia="Calibri" w:hint="eastAsia"/>
          <w:i/>
          <w:sz w:val="23"/>
          <w:szCs w:val="23"/>
          <w:rtl/>
        </w:rPr>
        <w:t>متفاوت</w:t>
      </w:r>
      <w:r w:rsidRPr="00FE433F">
        <w:rPr>
          <w:rFonts w:eastAsia="Calibri" w:hint="cs"/>
          <w:i/>
          <w:sz w:val="23"/>
          <w:szCs w:val="23"/>
          <w:rtl/>
        </w:rPr>
        <w:t>،</w:t>
      </w:r>
      <w:r w:rsidRPr="00FE433F">
        <w:rPr>
          <w:rFonts w:eastAsia="Calibri"/>
          <w:i/>
          <w:sz w:val="23"/>
          <w:szCs w:val="23"/>
          <w:rtl/>
        </w:rPr>
        <w:t xml:space="preserve"> </w:t>
      </w:r>
      <w:r w:rsidRPr="00FE433F">
        <w:rPr>
          <w:rFonts w:eastAsia="Calibri" w:hint="eastAsia"/>
          <w:i/>
          <w:sz w:val="23"/>
          <w:szCs w:val="23"/>
          <w:rtl/>
        </w:rPr>
        <w:t>ت</w:t>
      </w:r>
      <w:r w:rsidRPr="00FE433F">
        <w:rPr>
          <w:rFonts w:eastAsia="Calibri" w:hint="cs"/>
          <w:i/>
          <w:sz w:val="23"/>
          <w:szCs w:val="23"/>
          <w:rtl/>
        </w:rPr>
        <w:t>أثیرات</w:t>
      </w:r>
      <w:r w:rsidRPr="00FE433F">
        <w:rPr>
          <w:rFonts w:eastAsia="Calibri"/>
          <w:i/>
          <w:sz w:val="23"/>
          <w:szCs w:val="23"/>
          <w:rtl/>
        </w:rPr>
        <w:t xml:space="preserve"> </w:t>
      </w:r>
      <w:r w:rsidRPr="00FE433F">
        <w:rPr>
          <w:rFonts w:eastAsia="Calibri" w:hint="eastAsia"/>
          <w:i/>
          <w:sz w:val="23"/>
          <w:szCs w:val="23"/>
          <w:rtl/>
        </w:rPr>
        <w:t>بس</w:t>
      </w:r>
      <w:r w:rsidRPr="00FE433F">
        <w:rPr>
          <w:rFonts w:eastAsia="Calibri" w:hint="cs"/>
          <w:i/>
          <w:sz w:val="23"/>
          <w:szCs w:val="23"/>
          <w:rtl/>
        </w:rPr>
        <w:t>ی</w:t>
      </w:r>
      <w:r w:rsidRPr="00FE433F">
        <w:rPr>
          <w:rFonts w:eastAsia="Calibri" w:hint="eastAsia"/>
          <w:i/>
          <w:sz w:val="23"/>
          <w:szCs w:val="23"/>
          <w:rtl/>
        </w:rPr>
        <w:t>ار</w:t>
      </w:r>
      <w:r w:rsidRPr="00FE433F">
        <w:rPr>
          <w:rFonts w:eastAsia="Calibri"/>
          <w:i/>
          <w:sz w:val="23"/>
          <w:szCs w:val="23"/>
          <w:rtl/>
        </w:rPr>
        <w:t xml:space="preserve"> </w:t>
      </w:r>
      <w:r w:rsidRPr="00FE433F">
        <w:rPr>
          <w:rFonts w:eastAsia="Calibri" w:hint="eastAsia"/>
          <w:i/>
          <w:sz w:val="23"/>
          <w:szCs w:val="23"/>
          <w:rtl/>
        </w:rPr>
        <w:t>ناچ</w:t>
      </w:r>
      <w:r w:rsidRPr="00FE433F">
        <w:rPr>
          <w:rFonts w:eastAsia="Calibri" w:hint="cs"/>
          <w:i/>
          <w:sz w:val="23"/>
          <w:szCs w:val="23"/>
          <w:rtl/>
        </w:rPr>
        <w:t>ی</w:t>
      </w:r>
      <w:r w:rsidRPr="00FE433F">
        <w:rPr>
          <w:rFonts w:eastAsia="Calibri" w:hint="eastAsia"/>
          <w:i/>
          <w:sz w:val="23"/>
          <w:szCs w:val="23"/>
          <w:rtl/>
        </w:rPr>
        <w:t>ز</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بر</w:t>
      </w:r>
      <w:r w:rsidRPr="00FE433F">
        <w:rPr>
          <w:rFonts w:eastAsia="Calibri"/>
          <w:i/>
          <w:sz w:val="23"/>
          <w:szCs w:val="23"/>
          <w:rtl/>
        </w:rPr>
        <w:t xml:space="preserve"> </w:t>
      </w:r>
      <w:r w:rsidRPr="00FE433F">
        <w:rPr>
          <w:rFonts w:eastAsia="Calibri" w:hint="eastAsia"/>
          <w:i/>
          <w:sz w:val="23"/>
          <w:szCs w:val="23"/>
          <w:rtl/>
        </w:rPr>
        <w:t>متغ</w:t>
      </w:r>
      <w:r w:rsidRPr="00FE433F">
        <w:rPr>
          <w:rFonts w:eastAsia="Calibri" w:hint="cs"/>
          <w:i/>
          <w:sz w:val="23"/>
          <w:szCs w:val="23"/>
          <w:rtl/>
        </w:rPr>
        <w:t>ی</w:t>
      </w:r>
      <w:r w:rsidRPr="00FE433F">
        <w:rPr>
          <w:rFonts w:eastAsia="Calibri" w:hint="eastAsia"/>
          <w:i/>
          <w:sz w:val="23"/>
          <w:szCs w:val="23"/>
          <w:rtl/>
        </w:rPr>
        <w:t>رها</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اسم</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خواهند</w:t>
      </w:r>
      <w:r w:rsidRPr="00FE433F">
        <w:rPr>
          <w:rFonts w:eastAsia="Calibri"/>
          <w:i/>
          <w:sz w:val="23"/>
          <w:szCs w:val="23"/>
          <w:rtl/>
        </w:rPr>
        <w:t xml:space="preserve"> </w:t>
      </w:r>
      <w:r w:rsidRPr="00FE433F">
        <w:rPr>
          <w:rFonts w:eastAsia="Calibri" w:hint="eastAsia"/>
          <w:i/>
          <w:sz w:val="23"/>
          <w:szCs w:val="23"/>
          <w:rtl/>
        </w:rPr>
        <w:t>گذاشت</w:t>
      </w:r>
      <w:r w:rsidRPr="00FE433F">
        <w:rPr>
          <w:rFonts w:eastAsia="Calibri"/>
          <w:i/>
          <w:sz w:val="23"/>
          <w:szCs w:val="23"/>
          <w:rtl/>
        </w:rPr>
        <w:t xml:space="preserve">. </w:t>
      </w:r>
      <w:r w:rsidRPr="00FE433F">
        <w:rPr>
          <w:rFonts w:eastAsia="Calibri" w:hint="eastAsia"/>
          <w:i/>
          <w:sz w:val="23"/>
          <w:szCs w:val="23"/>
          <w:rtl/>
        </w:rPr>
        <w:t>تابع</w:t>
      </w:r>
      <w:r w:rsidRPr="00FE433F">
        <w:rPr>
          <w:rFonts w:eastAsia="Calibri"/>
          <w:i/>
          <w:sz w:val="23"/>
          <w:szCs w:val="23"/>
          <w:rtl/>
        </w:rPr>
        <w:t xml:space="preserve"> </w:t>
      </w:r>
      <w:r w:rsidRPr="00FE433F">
        <w:rPr>
          <w:rFonts w:eastAsia="Calibri" w:hint="eastAsia"/>
          <w:i/>
          <w:sz w:val="23"/>
          <w:szCs w:val="23"/>
          <w:rtl/>
        </w:rPr>
        <w:t>تقاضا</w:t>
      </w:r>
      <w:r w:rsidRPr="00FE433F">
        <w:rPr>
          <w:rFonts w:eastAsia="Calibri"/>
          <w:i/>
          <w:sz w:val="23"/>
          <w:szCs w:val="23"/>
          <w:rtl/>
        </w:rPr>
        <w:t xml:space="preserve"> برا</w:t>
      </w:r>
      <w:r w:rsidRPr="00FE433F">
        <w:rPr>
          <w:rFonts w:eastAsia="Calibri" w:hint="cs"/>
          <w:i/>
          <w:sz w:val="23"/>
          <w:szCs w:val="23"/>
          <w:rtl/>
        </w:rPr>
        <w:t>ی</w:t>
      </w:r>
      <w:r w:rsidRPr="00FE433F">
        <w:rPr>
          <w:rFonts w:eastAsia="Calibri"/>
          <w:i/>
          <w:sz w:val="23"/>
          <w:szCs w:val="23"/>
          <w:rtl/>
        </w:rPr>
        <w:t xml:space="preserve"> پول اسم</w:t>
      </w:r>
      <w:r w:rsidRPr="00FE433F">
        <w:rPr>
          <w:rFonts w:eastAsia="Calibri" w:hint="cs"/>
          <w:i/>
          <w:sz w:val="23"/>
          <w:szCs w:val="23"/>
          <w:rtl/>
        </w:rPr>
        <w:t>ی</w:t>
      </w:r>
      <w:r w:rsidRPr="00FE433F">
        <w:rPr>
          <w:rFonts w:eastAsia="Calibri"/>
          <w:i/>
          <w:sz w:val="23"/>
          <w:szCs w:val="23"/>
          <w:rtl/>
        </w:rPr>
        <w:t xml:space="preserve"> ز</w:t>
      </w:r>
      <w:r w:rsidRPr="00FE433F">
        <w:rPr>
          <w:rFonts w:eastAsia="Calibri" w:hint="cs"/>
          <w:i/>
          <w:sz w:val="23"/>
          <w:szCs w:val="23"/>
          <w:rtl/>
        </w:rPr>
        <w:t>ی</w:t>
      </w:r>
      <w:r w:rsidRPr="00FE433F">
        <w:rPr>
          <w:rFonts w:eastAsia="Calibri" w:hint="eastAsia"/>
          <w:i/>
          <w:sz w:val="23"/>
          <w:szCs w:val="23"/>
          <w:rtl/>
        </w:rPr>
        <w:t>ر</w:t>
      </w:r>
      <w:r w:rsidRPr="00FE433F">
        <w:rPr>
          <w:rFonts w:eastAsia="Calibri"/>
          <w:i/>
          <w:sz w:val="23"/>
          <w:szCs w:val="23"/>
          <w:rtl/>
        </w:rPr>
        <w:t xml:space="preserve"> را در نظر </w:t>
      </w:r>
      <w:r w:rsidRPr="00FE433F">
        <w:rPr>
          <w:rFonts w:eastAsia="Calibri" w:hint="eastAsia"/>
          <w:i/>
          <w:sz w:val="23"/>
          <w:szCs w:val="23"/>
          <w:rtl/>
        </w:rPr>
        <w:t>ب</w:t>
      </w:r>
      <w:r w:rsidRPr="00FE433F">
        <w:rPr>
          <w:rFonts w:eastAsia="Calibri"/>
          <w:i/>
          <w:sz w:val="23"/>
          <w:szCs w:val="23"/>
          <w:rtl/>
        </w:rPr>
        <w:t>گ</w:t>
      </w:r>
      <w:r w:rsidRPr="00FE433F">
        <w:rPr>
          <w:rFonts w:eastAsia="Calibri" w:hint="cs"/>
          <w:i/>
          <w:sz w:val="23"/>
          <w:szCs w:val="23"/>
          <w:rtl/>
        </w:rPr>
        <w:t>ی</w:t>
      </w:r>
      <w:r w:rsidRPr="00FE433F">
        <w:rPr>
          <w:rFonts w:eastAsia="Calibri" w:hint="eastAsia"/>
          <w:i/>
          <w:sz w:val="23"/>
          <w:szCs w:val="23"/>
          <w:rtl/>
        </w:rPr>
        <w:t>ر</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w:t>
      </w:r>
    </w:p>
    <w:p w14:paraId="338AE8CE" w14:textId="77777777" w:rsidR="00411620" w:rsidRDefault="00411620" w:rsidP="00411620">
      <w:pPr>
        <w:bidi w:val="0"/>
        <w:spacing w:line="216" w:lineRule="auto"/>
        <w:rPr>
          <w:rtl/>
        </w:rPr>
      </w:pPr>
      <w:r w:rsidRPr="00FE433F">
        <w:rPr>
          <w:position w:val="-12"/>
        </w:rPr>
        <w:object w:dxaOrig="2700" w:dyaOrig="400" w14:anchorId="271DDE27">
          <v:shape id="_x0000_i4277" type="#_x0000_t75" style="width:134.9pt;height:19.95pt" o:ole="">
            <v:imagedata r:id="rId6547" o:title=""/>
          </v:shape>
          <o:OLEObject Type="Embed" ProgID="Equation.DSMT4" ShapeID="_x0000_i4277" DrawAspect="Content" ObjectID="_1791378221" r:id="rId6548"/>
        </w:object>
      </w:r>
    </w:p>
    <w:p w14:paraId="7311E58C"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اگر</w:t>
      </w:r>
      <w:r w:rsidRPr="00FE433F">
        <w:rPr>
          <w:rFonts w:eastAsia="Calibri"/>
          <w:i/>
          <w:sz w:val="23"/>
          <w:szCs w:val="23"/>
          <w:rtl/>
        </w:rPr>
        <w:t xml:space="preserve"> </w:t>
      </w:r>
      <w:r w:rsidRPr="00FE433F">
        <w:rPr>
          <w:rFonts w:eastAsia="Calibri" w:hint="eastAsia"/>
          <w:i/>
          <w:sz w:val="23"/>
          <w:szCs w:val="23"/>
          <w:rtl/>
        </w:rPr>
        <w:t>مصرف</w:t>
      </w:r>
      <w:r w:rsidRPr="00FE433F">
        <w:rPr>
          <w:rFonts w:eastAsia="Calibri"/>
          <w:i/>
          <w:sz w:val="23"/>
          <w:szCs w:val="23"/>
          <w:rtl/>
        </w:rPr>
        <w:t xml:space="preserve"> </w:t>
      </w:r>
      <w:r w:rsidRPr="00FE433F">
        <w:rPr>
          <w:rFonts w:eastAsia="Calibri" w:hint="eastAsia"/>
          <w:i/>
          <w:sz w:val="23"/>
          <w:szCs w:val="23"/>
          <w:rtl/>
        </w:rPr>
        <w:t>و</w:t>
      </w:r>
      <w:r w:rsidRPr="00FE433F">
        <w:rPr>
          <w:rFonts w:eastAsia="Calibri"/>
          <w:i/>
          <w:sz w:val="23"/>
          <w:szCs w:val="23"/>
          <w:rtl/>
        </w:rPr>
        <w:t xml:space="preserve"> </w:t>
      </w:r>
      <w:r w:rsidRPr="00FE433F">
        <w:rPr>
          <w:rFonts w:eastAsia="Calibri" w:hint="eastAsia"/>
          <w:i/>
          <w:sz w:val="23"/>
          <w:szCs w:val="23"/>
          <w:rtl/>
        </w:rPr>
        <w:t>نرخ</w:t>
      </w:r>
      <w:r w:rsidRPr="00FE433F">
        <w:rPr>
          <w:rFonts w:eastAsia="Calibri"/>
          <w:i/>
          <w:sz w:val="23"/>
          <w:szCs w:val="23"/>
          <w:rtl/>
        </w:rPr>
        <w:t xml:space="preserve"> </w:t>
      </w:r>
      <w:r w:rsidRPr="00FE433F">
        <w:rPr>
          <w:rFonts w:eastAsia="Calibri" w:hint="eastAsia"/>
          <w:i/>
          <w:sz w:val="23"/>
          <w:szCs w:val="23"/>
          <w:rtl/>
        </w:rPr>
        <w:t>بهره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تغ</w:t>
      </w:r>
      <w:r w:rsidRPr="00FE433F">
        <w:rPr>
          <w:rFonts w:eastAsia="Calibri" w:hint="cs"/>
          <w:i/>
          <w:sz w:val="23"/>
          <w:szCs w:val="23"/>
          <w:rtl/>
        </w:rPr>
        <w:t>یی</w:t>
      </w:r>
      <w:r w:rsidRPr="00FE433F">
        <w:rPr>
          <w:rFonts w:eastAsia="Calibri"/>
          <w:i/>
          <w:sz w:val="23"/>
          <w:szCs w:val="23"/>
          <w:rtl/>
        </w:rPr>
        <w:t>رات اندک</w:t>
      </w:r>
      <w:r w:rsidRPr="00FE433F">
        <w:rPr>
          <w:rFonts w:eastAsia="Calibri" w:hint="cs"/>
          <w:i/>
          <w:sz w:val="23"/>
          <w:szCs w:val="23"/>
          <w:rtl/>
        </w:rPr>
        <w:t>ی</w:t>
      </w:r>
      <w:r w:rsidRPr="00FE433F">
        <w:rPr>
          <w:rFonts w:eastAsia="Calibri"/>
          <w:i/>
          <w:sz w:val="23"/>
          <w:szCs w:val="23"/>
          <w:rtl/>
        </w:rPr>
        <w:t xml:space="preserve"> دا</w:t>
      </w:r>
      <w:r w:rsidRPr="00FE433F">
        <w:rPr>
          <w:rFonts w:eastAsia="Calibri" w:hint="cs"/>
          <w:i/>
          <w:sz w:val="23"/>
          <w:szCs w:val="23"/>
          <w:rtl/>
        </w:rPr>
        <w:t>شته باشند،</w:t>
      </w:r>
      <w:r w:rsidRPr="00FE433F">
        <w:rPr>
          <w:rFonts w:eastAsia="Calibri"/>
          <w:i/>
          <w:sz w:val="23"/>
          <w:szCs w:val="23"/>
          <w:rtl/>
        </w:rPr>
        <w:t xml:space="preserve"> آنگاه بطور تقر</w:t>
      </w:r>
      <w:r w:rsidRPr="00FE433F">
        <w:rPr>
          <w:rFonts w:eastAsia="Calibri" w:hint="cs"/>
          <w:i/>
          <w:sz w:val="23"/>
          <w:szCs w:val="23"/>
          <w:rtl/>
        </w:rPr>
        <w:t>ی</w:t>
      </w:r>
      <w:r w:rsidRPr="00FE433F">
        <w:rPr>
          <w:rFonts w:eastAsia="Calibri" w:hint="eastAsia"/>
          <w:i/>
          <w:sz w:val="23"/>
          <w:szCs w:val="23"/>
          <w:rtl/>
        </w:rPr>
        <w:t>ب</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م</w:t>
      </w:r>
      <w:r w:rsidRPr="00FE433F">
        <w:rPr>
          <w:rFonts w:eastAsia="Calibri" w:hint="cs"/>
          <w:i/>
          <w:sz w:val="23"/>
          <w:szCs w:val="23"/>
          <w:rtl/>
        </w:rPr>
        <w:t>ی</w:t>
      </w:r>
      <w:r w:rsidRPr="00FE433F">
        <w:rPr>
          <w:rFonts w:eastAsia="Calibri"/>
          <w:i/>
          <w:sz w:val="23"/>
          <w:szCs w:val="23"/>
          <w:rtl/>
        </w:rPr>
        <w:softHyphen/>
        <w:t>توان نوشت؛</w:t>
      </w:r>
    </w:p>
    <w:p w14:paraId="10A02D57" w14:textId="77777777" w:rsidR="00411620" w:rsidRPr="00FE433F" w:rsidRDefault="00411620" w:rsidP="00411620">
      <w:pPr>
        <w:pStyle w:val="MTDisplayEquation"/>
        <w:tabs>
          <w:tab w:val="clear" w:pos="6660"/>
        </w:tabs>
        <w:spacing w:line="216" w:lineRule="auto"/>
        <w:rPr>
          <w:rFonts w:ascii="Times New Roman" w:hAnsi="Times New Roman" w:cs="B Nazanin"/>
          <w:i/>
          <w:sz w:val="23"/>
          <w:szCs w:val="23"/>
          <w:rtl/>
          <w:lang w:bidi="fa-IR"/>
        </w:rPr>
      </w:pPr>
      <w:r w:rsidRPr="00FE433F">
        <w:rPr>
          <w:position w:val="-10"/>
        </w:rPr>
        <w:object w:dxaOrig="3540" w:dyaOrig="340" w14:anchorId="3FE0407B">
          <v:shape id="_x0000_i4278" type="#_x0000_t75" style="width:177.3pt;height:16.95pt" o:ole="">
            <v:imagedata r:id="rId6549" o:title=""/>
          </v:shape>
          <o:OLEObject Type="Embed" ProgID="Equation.DSMT4" ShapeID="_x0000_i4278" DrawAspect="Content" ObjectID="_1791378222" r:id="rId6550"/>
        </w:object>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cs="B Nazanin"/>
          <w:i/>
          <w:sz w:val="23"/>
          <w:szCs w:val="23"/>
          <w:rtl/>
        </w:rPr>
        <w:t>(</w:t>
      </w:r>
      <w:r w:rsidRPr="00FE433F">
        <w:rPr>
          <w:rFonts w:ascii="Times New Roman" w:hAnsi="Times New Roman" w:cs="B Nazanin"/>
          <w:i/>
          <w:sz w:val="23"/>
          <w:szCs w:val="23"/>
          <w:rtl/>
          <w:lang w:bidi="fa-IR"/>
        </w:rPr>
        <w:t>۸.</w:t>
      </w:r>
      <w:r w:rsidRPr="00FE433F">
        <w:rPr>
          <w:rFonts w:ascii="Times New Roman" w:hAnsi="Times New Roman" w:cs="B Nazanin" w:hint="cs"/>
          <w:i/>
          <w:sz w:val="23"/>
          <w:szCs w:val="23"/>
          <w:rtl/>
          <w:lang w:bidi="fa-IR"/>
        </w:rPr>
        <w:t xml:space="preserve"> ۲۵</w:t>
      </w:r>
      <w:r w:rsidRPr="00FE433F">
        <w:rPr>
          <w:rFonts w:ascii="Times New Roman" w:hAnsi="Times New Roman" w:cs="B Nazanin"/>
          <w:i/>
          <w:sz w:val="23"/>
          <w:szCs w:val="23"/>
          <w:rtl/>
          <w:lang w:bidi="fa-IR"/>
        </w:rPr>
        <w:t xml:space="preserve">) </w:t>
      </w:r>
    </w:p>
    <w:p w14:paraId="6BF81149" w14:textId="77777777" w:rsidR="00411620" w:rsidRPr="00FE433F" w:rsidRDefault="00411620" w:rsidP="00411620">
      <w:pPr>
        <w:pStyle w:val="MTDisplayEquation"/>
        <w:bidi/>
        <w:spacing w:line="216" w:lineRule="auto"/>
        <w:rPr>
          <w:rFonts w:ascii="Times New Roman" w:hAnsi="Times New Roman" w:cs="B Nazanin"/>
          <w:i/>
          <w:sz w:val="23"/>
          <w:szCs w:val="23"/>
          <w:lang w:bidi="fa-IR"/>
        </w:rPr>
      </w:pPr>
      <w:r w:rsidRPr="00FE433F">
        <w:rPr>
          <w:rFonts w:ascii="Times New Roman" w:hAnsi="Times New Roman" w:cs="B Nazanin"/>
          <w:i/>
          <w:sz w:val="23"/>
          <w:szCs w:val="23"/>
          <w:rtl/>
          <w:lang w:bidi="fa-IR"/>
        </w:rPr>
        <w:t>کاگان در سال ۱۹۵۶ نوع د</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گر</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از</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معادله</w:t>
      </w:r>
      <w:r w:rsidRPr="00FE433F">
        <w:rPr>
          <w:rFonts w:ascii="Times New Roman" w:hAnsi="Times New Roman" w:cs="B Nazanin"/>
          <w:i/>
          <w:sz w:val="23"/>
          <w:szCs w:val="23"/>
          <w:rtl/>
          <w:lang w:bidi="fa-IR"/>
        </w:rPr>
        <w:softHyphen/>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w:t>
      </w:r>
      <w:r w:rsidRPr="00FE433F">
        <w:rPr>
          <w:rFonts w:ascii="Times New Roman" w:hAnsi="Times New Roman" w:cs="B Nazanin"/>
          <w:i/>
          <w:sz w:val="23"/>
          <w:szCs w:val="23"/>
          <w:rtl/>
        </w:rPr>
        <w:t>(</w:t>
      </w:r>
      <w:r w:rsidRPr="00FE433F">
        <w:rPr>
          <w:rFonts w:ascii="Times New Roman" w:hAnsi="Times New Roman" w:cs="B Nazanin"/>
          <w:i/>
          <w:sz w:val="23"/>
          <w:szCs w:val="23"/>
          <w:rtl/>
          <w:lang w:bidi="fa-IR"/>
        </w:rPr>
        <w:t>۸.</w:t>
      </w:r>
      <w:r w:rsidRPr="00FE433F">
        <w:rPr>
          <w:rFonts w:ascii="Times New Roman" w:hAnsi="Times New Roman" w:cs="B Nazanin"/>
          <w:i/>
          <w:sz w:val="23"/>
          <w:szCs w:val="23"/>
          <w:rtl/>
        </w:rPr>
        <w:t xml:space="preserve"> </w:t>
      </w:r>
      <w:r w:rsidRPr="00FE433F">
        <w:rPr>
          <w:rFonts w:ascii="Times New Roman" w:hAnsi="Times New Roman" w:cs="B Nazanin" w:hint="cs"/>
          <w:i/>
          <w:sz w:val="23"/>
          <w:szCs w:val="23"/>
          <w:rtl/>
          <w:lang w:bidi="fa-IR"/>
        </w:rPr>
        <w:t>۲۵)</w:t>
      </w:r>
      <w:r w:rsidRPr="00FE433F">
        <w:rPr>
          <w:rFonts w:ascii="Times New Roman" w:hAnsi="Times New Roman" w:cs="B Nazanin"/>
          <w:i/>
          <w:sz w:val="23"/>
          <w:szCs w:val="23"/>
          <w:rtl/>
          <w:lang w:bidi="fa-IR"/>
        </w:rPr>
        <w:t xml:space="preserve"> را پ</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شنهاد کرد که در آن لگار</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تم</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موجود</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پول حق</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ق</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فقط به تورم آت</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انتظار</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وابسته است.</w:t>
      </w:r>
      <w:r w:rsidRPr="00FE433F">
        <w:rPr>
          <w:rFonts w:ascii="Times New Roman" w:hAnsi="Times New Roman" w:cs="B Nazanin" w:hint="eastAsia"/>
          <w:i/>
          <w:sz w:val="23"/>
          <w:szCs w:val="23"/>
          <w:lang w:bidi="fa-IR"/>
        </w:rPr>
        <w:t>‌</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عن</w:t>
      </w:r>
      <w:r w:rsidRPr="00FE433F">
        <w:rPr>
          <w:rFonts w:ascii="Times New Roman" w:hAnsi="Times New Roman" w:cs="B Nazanin" w:hint="cs"/>
          <w:i/>
          <w:sz w:val="23"/>
          <w:szCs w:val="23"/>
          <w:rtl/>
          <w:lang w:bidi="fa-IR"/>
        </w:rPr>
        <w:t>ی</w:t>
      </w:r>
    </w:p>
    <w:p w14:paraId="26BBFD94" w14:textId="77777777" w:rsidR="00411620" w:rsidRPr="00FE433F" w:rsidRDefault="00411620" w:rsidP="00411620">
      <w:pPr>
        <w:pStyle w:val="MTDisplayEquation"/>
        <w:tabs>
          <w:tab w:val="clear" w:pos="3320"/>
          <w:tab w:val="clear" w:pos="6660"/>
          <w:tab w:val="left" w:pos="0"/>
        </w:tabs>
        <w:spacing w:line="216" w:lineRule="auto"/>
        <w:rPr>
          <w:rFonts w:ascii="Times New Roman" w:hAnsi="Times New Roman" w:cs="B Nazanin"/>
          <w:i/>
          <w:sz w:val="23"/>
          <w:szCs w:val="23"/>
          <w:rtl/>
          <w:lang w:bidi="fa-IR"/>
        </w:rPr>
      </w:pPr>
      <w:r w:rsidRPr="00FE433F">
        <w:rPr>
          <w:position w:val="-12"/>
        </w:rPr>
        <w:object w:dxaOrig="3080" w:dyaOrig="360" w14:anchorId="19167F02">
          <v:shape id="_x0000_i4279" type="#_x0000_t75" style="width:154.3pt;height:18.15pt" o:ole="">
            <v:imagedata r:id="rId6551" o:title=""/>
          </v:shape>
          <o:OLEObject Type="Embed" ProgID="Equation.DSMT4" ShapeID="_x0000_i4279" DrawAspect="Content" ObjectID="_1791378223" r:id="rId6552"/>
        </w:object>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cs="B Nazanin"/>
          <w:i/>
          <w:sz w:val="23"/>
          <w:szCs w:val="23"/>
          <w:rtl/>
        </w:rPr>
        <w:tab/>
      </w:r>
      <w:r w:rsidRPr="00FE433F">
        <w:rPr>
          <w:rFonts w:ascii="Times New Roman" w:hAnsi="Times New Roman" w:cs="B Nazanin" w:hint="cs"/>
          <w:i/>
          <w:sz w:val="23"/>
          <w:szCs w:val="23"/>
          <w:rtl/>
        </w:rPr>
        <w:t>(۸. ۲۶)</w:t>
      </w:r>
      <w:r w:rsidRPr="00FE433F">
        <w:rPr>
          <w:rFonts w:ascii="Times New Roman" w:hAnsi="Times New Roman" w:cs="B Nazanin" w:hint="cs"/>
          <w:i/>
          <w:sz w:val="23"/>
          <w:szCs w:val="23"/>
          <w:rtl/>
          <w:lang w:bidi="fa-IR"/>
        </w:rPr>
        <w:t xml:space="preserve"> </w:t>
      </w:r>
    </w:p>
    <w:p w14:paraId="14FBEB83" w14:textId="77777777" w:rsidR="00411620" w:rsidRPr="00FE433F" w:rsidRDefault="00411620" w:rsidP="00411620">
      <w:pPr>
        <w:pStyle w:val="MTDisplayEquation"/>
        <w:tabs>
          <w:tab w:val="clear" w:pos="3320"/>
          <w:tab w:val="clear" w:pos="6660"/>
          <w:tab w:val="left" w:pos="0"/>
          <w:tab w:val="left" w:pos="7110"/>
          <w:tab w:val="right" w:pos="7157"/>
        </w:tabs>
        <w:bidi/>
        <w:spacing w:line="216" w:lineRule="auto"/>
        <w:rPr>
          <w:rFonts w:ascii="Times New Roman" w:hAnsi="Times New Roman" w:cs="B Nazanin"/>
          <w:i/>
          <w:sz w:val="23"/>
          <w:szCs w:val="23"/>
          <w:rtl/>
          <w:lang w:bidi="fa-IR"/>
        </w:rPr>
      </w:pPr>
      <w:r w:rsidRPr="00FE433F">
        <w:rPr>
          <w:rFonts w:ascii="Times New Roman" w:hAnsi="Times New Roman" w:cs="B Nazanin" w:hint="cs"/>
          <w:i/>
          <w:sz w:val="23"/>
          <w:szCs w:val="23"/>
          <w:rtl/>
          <w:lang w:bidi="fa-IR"/>
        </w:rPr>
        <w:t>و یا</w:t>
      </w:r>
    </w:p>
    <w:p w14:paraId="1F86C4C7" w14:textId="77777777" w:rsidR="00411620" w:rsidRPr="00FE433F" w:rsidRDefault="00411620" w:rsidP="00411620">
      <w:pPr>
        <w:pStyle w:val="MTDisplayEquation"/>
        <w:tabs>
          <w:tab w:val="clear" w:pos="3320"/>
          <w:tab w:val="clear" w:pos="6660"/>
          <w:tab w:val="left" w:pos="720"/>
          <w:tab w:val="left" w:pos="1440"/>
          <w:tab w:val="left" w:pos="2160"/>
          <w:tab w:val="left" w:pos="2880"/>
          <w:tab w:val="left" w:pos="3600"/>
          <w:tab w:val="left" w:pos="4320"/>
          <w:tab w:val="left" w:pos="5040"/>
          <w:tab w:val="left" w:pos="5760"/>
          <w:tab w:val="left" w:pos="6480"/>
          <w:tab w:val="right" w:pos="7157"/>
        </w:tabs>
        <w:spacing w:line="216" w:lineRule="auto"/>
        <w:rPr>
          <w:rFonts w:ascii="Times New Roman" w:eastAsia="Times New Roman" w:hAnsi="Times New Roman" w:cs="B Nazanin"/>
          <w:i/>
          <w:sz w:val="23"/>
          <w:szCs w:val="23"/>
          <w:lang w:bidi="fa-IR"/>
        </w:rPr>
      </w:pPr>
      <w:r w:rsidRPr="00FE433F">
        <w:rPr>
          <w:position w:val="-22"/>
        </w:rPr>
        <w:object w:dxaOrig="3000" w:dyaOrig="560" w14:anchorId="0F133EC7">
          <v:shape id="_x0000_i4280" type="#_x0000_t75" style="width:150.05pt;height:27.85pt" o:ole="">
            <v:imagedata r:id="rId6553" o:title=""/>
          </v:shape>
          <o:OLEObject Type="Embed" ProgID="Equation.DSMT4" ShapeID="_x0000_i4280" DrawAspect="Content" ObjectID="_1791378224" r:id="rId6554"/>
        </w:object>
      </w:r>
      <w:r w:rsidRPr="00FE433F">
        <w:rPr>
          <w:rFonts w:ascii="Times New Roman" w:hAnsi="Times New Roman" w:cs="B Nazanin"/>
          <w:i/>
          <w:sz w:val="23"/>
          <w:szCs w:val="23"/>
          <w:rtl/>
        </w:rPr>
        <w:tab/>
      </w:r>
      <w:r w:rsidRPr="00FE433F">
        <w:rPr>
          <w:rFonts w:ascii="Times New Roman" w:hAnsi="Times New Roman" w:cs="B Nazanin"/>
          <w:i/>
          <w:sz w:val="23"/>
          <w:szCs w:val="23"/>
          <w:rtl/>
        </w:rPr>
        <w:tab/>
      </w:r>
    </w:p>
    <w:p w14:paraId="1037C503"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برا</w:t>
      </w:r>
      <w:r w:rsidRPr="00FE433F">
        <w:rPr>
          <w:rFonts w:eastAsia="Calibri" w:hint="cs"/>
          <w:i/>
          <w:sz w:val="23"/>
          <w:szCs w:val="23"/>
          <w:rtl/>
        </w:rPr>
        <w:t>ی</w:t>
      </w:r>
      <w:r w:rsidRPr="00FE433F">
        <w:rPr>
          <w:rFonts w:eastAsia="Calibri"/>
          <w:i/>
          <w:sz w:val="23"/>
          <w:szCs w:val="23"/>
          <w:rtl/>
        </w:rPr>
        <w:t xml:space="preserve"> سهولت در رابطه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w:t>
      </w:r>
      <w:r w:rsidRPr="00FE433F">
        <w:rPr>
          <w:rFonts w:hint="cs"/>
          <w:i/>
          <w:sz w:val="23"/>
          <w:szCs w:val="23"/>
          <w:rtl/>
        </w:rPr>
        <w:t>فوق عرض از</w:t>
      </w:r>
      <w:r w:rsidRPr="00FE433F">
        <w:rPr>
          <w:rFonts w:eastAsia="Calibri"/>
          <w:i/>
          <w:sz w:val="23"/>
          <w:szCs w:val="23"/>
          <w:rtl/>
        </w:rPr>
        <w:t xml:space="preserve"> مبداء </w:t>
      </w:r>
      <w:r w:rsidRPr="00FE433F">
        <w:rPr>
          <w:rFonts w:eastAsia="Calibri" w:hint="cs"/>
          <w:i/>
          <w:sz w:val="23"/>
          <w:szCs w:val="23"/>
          <w:rtl/>
        </w:rPr>
        <w:t xml:space="preserve">وجود ندارد. </w:t>
      </w:r>
      <w:r w:rsidRPr="00FE433F">
        <w:rPr>
          <w:rFonts w:eastAsia="Calibri"/>
          <w:i/>
          <w:sz w:val="23"/>
          <w:szCs w:val="23"/>
          <w:rtl/>
        </w:rPr>
        <w:t>اگر عرضه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پول برون</w:t>
      </w:r>
      <w:r w:rsidRPr="00FE433F">
        <w:rPr>
          <w:rFonts w:eastAsia="Calibri"/>
          <w:i/>
          <w:sz w:val="23"/>
          <w:szCs w:val="23"/>
          <w:rtl/>
        </w:rPr>
        <w:softHyphen/>
        <w:t>زا باشد آنگاه با جا</w:t>
      </w:r>
      <w:r w:rsidRPr="00FE433F">
        <w:rPr>
          <w:rFonts w:eastAsia="Calibri" w:hint="cs"/>
          <w:i/>
          <w:sz w:val="23"/>
          <w:szCs w:val="23"/>
          <w:rtl/>
        </w:rPr>
        <w:t>ی</w:t>
      </w:r>
      <w:r w:rsidRPr="00FE433F">
        <w:rPr>
          <w:rFonts w:eastAsia="Calibri" w:hint="eastAsia"/>
          <w:i/>
          <w:sz w:val="23"/>
          <w:szCs w:val="23"/>
          <w:rtl/>
        </w:rPr>
        <w:t>گزار</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تکرار</w:t>
      </w:r>
      <w:r w:rsidRPr="00FE433F">
        <w:rPr>
          <w:rFonts w:eastAsia="Calibri" w:hint="cs"/>
          <w:i/>
          <w:sz w:val="23"/>
          <w:szCs w:val="23"/>
          <w:rtl/>
        </w:rPr>
        <w:t xml:space="preserve">یِ این </w:t>
      </w:r>
      <w:r w:rsidRPr="00FE433F">
        <w:rPr>
          <w:rFonts w:eastAsia="Calibri"/>
          <w:i/>
          <w:sz w:val="23"/>
          <w:szCs w:val="23"/>
          <w:rtl/>
        </w:rPr>
        <w:t>رابطه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و فرض </w:t>
      </w:r>
      <w:r w:rsidRPr="00FE433F">
        <w:rPr>
          <w:position w:val="-26"/>
        </w:rPr>
        <w:object w:dxaOrig="2280" w:dyaOrig="680" w14:anchorId="705C23F8">
          <v:shape id="_x0000_i4281" type="#_x0000_t75" style="width:113.75pt;height:33.9pt" o:ole="">
            <v:imagedata r:id="rId6555" o:title=""/>
          </v:shape>
          <o:OLEObject Type="Embed" ProgID="Equation.DSMT4" ShapeID="_x0000_i4281" DrawAspect="Content" ObjectID="_1791378225" r:id="rId6556"/>
        </w:object>
      </w:r>
      <w:r w:rsidRPr="00FE433F">
        <w:rPr>
          <w:rFonts w:eastAsia="Calibri"/>
          <w:i/>
          <w:sz w:val="23"/>
          <w:szCs w:val="23"/>
          <w:rtl/>
        </w:rPr>
        <w:t xml:space="preserve"> خواه</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داشت؛</w:t>
      </w:r>
    </w:p>
    <w:p w14:paraId="468DB8D7" w14:textId="77777777" w:rsidR="00411620" w:rsidRPr="00FE433F" w:rsidRDefault="00411620" w:rsidP="00411620">
      <w:pPr>
        <w:pStyle w:val="MTDisplayEquation"/>
        <w:tabs>
          <w:tab w:val="clear" w:pos="6660"/>
        </w:tabs>
        <w:spacing w:line="216" w:lineRule="auto"/>
        <w:rPr>
          <w:rFonts w:ascii="Times New Roman" w:eastAsia="Times New Roman" w:hAnsi="Times New Roman" w:cs="B Nazanin"/>
          <w:i/>
          <w:sz w:val="23"/>
          <w:szCs w:val="23"/>
          <w:lang w:bidi="fa-IR"/>
        </w:rPr>
      </w:pPr>
      <w:r w:rsidRPr="00FE433F">
        <w:rPr>
          <w:position w:val="-26"/>
        </w:rPr>
        <w:object w:dxaOrig="4020" w:dyaOrig="680" w14:anchorId="19DCCC78">
          <v:shape id="_x0000_i4282" type="#_x0000_t75" style="width:200.85pt;height:33.9pt" o:ole="">
            <v:imagedata r:id="rId6557" o:title=""/>
          </v:shape>
          <o:OLEObject Type="Embed" ProgID="Equation.DSMT4" ShapeID="_x0000_i4282" DrawAspect="Content" ObjectID="_1791378226" r:id="rId6558"/>
        </w:object>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cs="B Nazanin"/>
          <w:i/>
          <w:sz w:val="23"/>
          <w:szCs w:val="23"/>
          <w:rtl/>
        </w:rPr>
        <w:tab/>
        <w:t>(</w:t>
      </w:r>
      <w:r w:rsidRPr="00FE433F">
        <w:rPr>
          <w:rFonts w:ascii="Times New Roman" w:hAnsi="Times New Roman" w:cs="B Nazanin"/>
          <w:i/>
          <w:sz w:val="23"/>
          <w:szCs w:val="23"/>
          <w:rtl/>
          <w:lang w:bidi="fa-IR"/>
        </w:rPr>
        <w:t>۸.</w:t>
      </w:r>
      <w:r w:rsidRPr="00FE433F">
        <w:rPr>
          <w:rFonts w:ascii="Times New Roman" w:hAnsi="Times New Roman" w:cs="B Nazanin"/>
          <w:i/>
          <w:sz w:val="23"/>
          <w:szCs w:val="23"/>
          <w:rtl/>
        </w:rPr>
        <w:t xml:space="preserve"> </w:t>
      </w:r>
      <w:r w:rsidRPr="00FE433F">
        <w:rPr>
          <w:rFonts w:ascii="Times New Roman" w:hAnsi="Times New Roman" w:cs="B Nazanin" w:hint="cs"/>
          <w:i/>
          <w:sz w:val="23"/>
          <w:szCs w:val="23"/>
          <w:rtl/>
        </w:rPr>
        <w:t>۲۷</w:t>
      </w:r>
      <w:r w:rsidRPr="00FE433F">
        <w:rPr>
          <w:rFonts w:ascii="Times New Roman" w:hAnsi="Times New Roman" w:cs="B Nazanin"/>
          <w:i/>
          <w:sz w:val="23"/>
          <w:szCs w:val="23"/>
          <w:rtl/>
          <w:lang w:bidi="fa-IR"/>
        </w:rPr>
        <w:t>)</w:t>
      </w:r>
    </w:p>
    <w:p w14:paraId="45F8E526"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برا</w:t>
      </w:r>
      <w:r w:rsidRPr="00FE433F">
        <w:rPr>
          <w:rFonts w:eastAsia="Calibri" w:hint="cs"/>
          <w:i/>
          <w:sz w:val="23"/>
          <w:szCs w:val="23"/>
          <w:rtl/>
        </w:rPr>
        <w:t>ی</w:t>
      </w:r>
      <w:r w:rsidRPr="00FE433F">
        <w:rPr>
          <w:rFonts w:eastAsia="Calibri"/>
          <w:i/>
          <w:sz w:val="23"/>
          <w:szCs w:val="23"/>
          <w:rtl/>
        </w:rPr>
        <w:t xml:space="preserve"> مثال</w:t>
      </w:r>
      <w:r w:rsidRPr="00FE433F">
        <w:rPr>
          <w:rFonts w:eastAsia="Calibri" w:hint="cs"/>
          <w:i/>
          <w:sz w:val="23"/>
          <w:szCs w:val="23"/>
          <w:rtl/>
        </w:rPr>
        <w:t>،</w:t>
      </w:r>
      <w:r w:rsidRPr="00FE433F">
        <w:rPr>
          <w:rFonts w:hint="cs"/>
          <w:i/>
          <w:sz w:val="23"/>
          <w:szCs w:val="23"/>
          <w:rtl/>
        </w:rPr>
        <w:t xml:space="preserve"> چنانچه</w:t>
      </w:r>
      <w:r w:rsidRPr="00FE433F">
        <w:rPr>
          <w:rFonts w:eastAsia="Calibri"/>
          <w:i/>
          <w:sz w:val="23"/>
          <w:szCs w:val="23"/>
          <w:rtl/>
        </w:rPr>
        <w:t xml:space="preserve"> عرضه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پول با نرخ ثابت </w:t>
      </w:r>
      <w:r w:rsidRPr="00FE433F">
        <w:rPr>
          <w:position w:val="-10"/>
        </w:rPr>
        <w:object w:dxaOrig="220" w:dyaOrig="240" w14:anchorId="469CD64F">
          <v:shape id="_x0000_i4283" type="#_x0000_t75" style="width:10.9pt;height:12.1pt" o:ole="">
            <v:imagedata r:id="rId6559" o:title=""/>
          </v:shape>
          <o:OLEObject Type="Embed" ProgID="Equation.DSMT4" ShapeID="_x0000_i4283" DrawAspect="Content" ObjectID="_1791378227" r:id="rId6560"/>
        </w:object>
      </w:r>
      <w:r w:rsidRPr="00FE433F">
        <w:rPr>
          <w:rFonts w:eastAsia="Calibri"/>
          <w:i/>
          <w:sz w:val="23"/>
          <w:szCs w:val="23"/>
        </w:rPr>
        <w:t xml:space="preserve"> </w:t>
      </w:r>
      <w:r w:rsidRPr="00FE433F">
        <w:rPr>
          <w:rFonts w:eastAsia="Calibri"/>
          <w:i/>
          <w:sz w:val="23"/>
          <w:szCs w:val="23"/>
          <w:rtl/>
        </w:rPr>
        <w:t xml:space="preserve">رشد </w:t>
      </w:r>
      <w:r w:rsidRPr="00FE433F">
        <w:rPr>
          <w:rFonts w:eastAsia="Calibri" w:hint="eastAsia"/>
          <w:i/>
          <w:sz w:val="23"/>
          <w:szCs w:val="23"/>
          <w:rtl/>
        </w:rPr>
        <w:t>کن</w:t>
      </w:r>
      <w:r w:rsidRPr="00FE433F">
        <w:rPr>
          <w:rFonts w:eastAsia="Calibri"/>
          <w:i/>
          <w:sz w:val="23"/>
          <w:szCs w:val="23"/>
          <w:rtl/>
        </w:rPr>
        <w:t>د</w:t>
      </w:r>
      <w:r w:rsidRPr="00FE433F">
        <w:rPr>
          <w:rFonts w:eastAsia="Calibri" w:hint="cs"/>
          <w:i/>
          <w:sz w:val="23"/>
          <w:szCs w:val="23"/>
          <w:rtl/>
        </w:rPr>
        <w:t>،</w:t>
      </w:r>
      <w:r w:rsidRPr="00FE433F">
        <w:rPr>
          <w:rFonts w:eastAsia="Calibri"/>
          <w:i/>
          <w:sz w:val="23"/>
          <w:szCs w:val="23"/>
          <w:rtl/>
        </w:rPr>
        <w:t xml:space="preserve"> آنگاه</w:t>
      </w:r>
    </w:p>
    <w:p w14:paraId="787BC2DC"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0"/>
        </w:rPr>
        <w:object w:dxaOrig="3840" w:dyaOrig="320" w14:anchorId="09D66FD1">
          <v:shape id="_x0000_i4284" type="#_x0000_t75" style="width:192.4pt;height:16.35pt" o:ole="">
            <v:imagedata r:id="rId6561" o:title=""/>
          </v:shape>
          <o:OLEObject Type="Embed" ProgID="Equation.DSMT4" ShapeID="_x0000_i4284" DrawAspect="Content" ObjectID="_1791378228" r:id="rId6562"/>
        </w:object>
      </w:r>
    </w:p>
    <w:p w14:paraId="3EEF6CE1"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lastRenderedPageBreak/>
        <w:t>به راحتی می</w:t>
      </w:r>
      <w:r w:rsidRPr="00FE433F">
        <w:rPr>
          <w:rFonts w:eastAsia="Calibri"/>
          <w:i/>
          <w:sz w:val="23"/>
          <w:szCs w:val="23"/>
          <w:rtl/>
        </w:rPr>
        <w:softHyphen/>
      </w:r>
      <w:r w:rsidRPr="00FE433F">
        <w:rPr>
          <w:rFonts w:eastAsia="Calibri" w:hint="cs"/>
          <w:i/>
          <w:sz w:val="23"/>
          <w:szCs w:val="23"/>
          <w:rtl/>
        </w:rPr>
        <w:t xml:space="preserve">توان </w:t>
      </w:r>
      <w:r w:rsidRPr="00FE433F">
        <w:rPr>
          <w:rFonts w:eastAsia="Calibri"/>
          <w:i/>
          <w:sz w:val="23"/>
          <w:szCs w:val="23"/>
          <w:rtl/>
        </w:rPr>
        <w:t>نشان داد</w:t>
      </w:r>
      <w:r w:rsidRPr="00FE433F">
        <w:rPr>
          <w:rFonts w:eastAsia="Calibri" w:hint="cs"/>
          <w:i/>
          <w:sz w:val="23"/>
          <w:szCs w:val="23"/>
          <w:rtl/>
        </w:rPr>
        <w:t xml:space="preserve"> که</w:t>
      </w:r>
    </w:p>
    <w:p w14:paraId="0230D06E"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6"/>
        </w:rPr>
        <w:object w:dxaOrig="2480" w:dyaOrig="620" w14:anchorId="028C539C">
          <v:shape id="_x0000_i4285" type="#_x0000_t75" style="width:124.05pt;height:30.85pt" o:ole="">
            <v:imagedata r:id="rId6563" o:title=""/>
          </v:shape>
          <o:OLEObject Type="Embed" ProgID="Equation.DSMT4" ShapeID="_x0000_i4285" DrawAspect="Content" ObjectID="_1791378229" r:id="rId6564"/>
        </w:object>
      </w:r>
    </w:p>
    <w:p w14:paraId="25B8B386"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و با توجه به ا</w:t>
      </w:r>
      <w:r w:rsidRPr="00FE433F">
        <w:rPr>
          <w:rFonts w:eastAsia="Calibri" w:hint="cs"/>
          <w:i/>
          <w:sz w:val="23"/>
          <w:szCs w:val="23"/>
          <w:rtl/>
        </w:rPr>
        <w:t>ی</w:t>
      </w:r>
      <w:r w:rsidRPr="00FE433F">
        <w:rPr>
          <w:rFonts w:eastAsia="Calibri" w:hint="eastAsia"/>
          <w:i/>
          <w:sz w:val="23"/>
          <w:szCs w:val="23"/>
          <w:rtl/>
        </w:rPr>
        <w:t>نکه</w:t>
      </w:r>
      <w:r w:rsidRPr="00FE433F">
        <w:rPr>
          <w:rFonts w:eastAsia="Calibri"/>
          <w:i/>
          <w:sz w:val="23"/>
          <w:szCs w:val="23"/>
          <w:rtl/>
        </w:rPr>
        <w:t xml:space="preserve"> </w:t>
      </w:r>
      <w:r w:rsidRPr="00FE433F">
        <w:rPr>
          <w:position w:val="-10"/>
        </w:rPr>
        <w:object w:dxaOrig="920" w:dyaOrig="320" w14:anchorId="5C70415E">
          <v:shape id="_x0000_i4286" type="#_x0000_t75" style="width:46pt;height:16.35pt" o:ole="">
            <v:imagedata r:id="rId6565" o:title=""/>
          </v:shape>
          <o:OLEObject Type="Embed" ProgID="Equation.DSMT4" ShapeID="_x0000_i4286" DrawAspect="Content" ObjectID="_1791378230" r:id="rId6566"/>
        </w:object>
      </w:r>
      <w:r w:rsidRPr="00FE433F">
        <w:rPr>
          <w:rFonts w:eastAsia="Calibri"/>
          <w:i/>
          <w:sz w:val="23"/>
          <w:szCs w:val="23"/>
        </w:rPr>
        <w:t xml:space="preserve"> </w:t>
      </w:r>
      <w:r w:rsidRPr="00FE433F">
        <w:rPr>
          <w:rFonts w:hint="cs"/>
          <w:i/>
          <w:sz w:val="23"/>
          <w:szCs w:val="23"/>
          <w:rtl/>
        </w:rPr>
        <w:t xml:space="preserve">است، </w:t>
      </w:r>
      <w:r w:rsidRPr="00FE433F">
        <w:rPr>
          <w:rFonts w:eastAsia="Calibri"/>
          <w:i/>
          <w:sz w:val="23"/>
          <w:szCs w:val="23"/>
          <w:rtl/>
        </w:rPr>
        <w:t>آنگاه</w:t>
      </w:r>
    </w:p>
    <w:p w14:paraId="39CBF1ED" w14:textId="77777777" w:rsidR="00411620" w:rsidRPr="00FE433F" w:rsidRDefault="00411620" w:rsidP="00411620">
      <w:pPr>
        <w:bidi w:val="0"/>
        <w:spacing w:line="216" w:lineRule="auto"/>
        <w:rPr>
          <w:i/>
          <w:sz w:val="23"/>
          <w:szCs w:val="23"/>
          <w:rtl/>
        </w:rPr>
      </w:pPr>
      <w:r w:rsidRPr="00FE433F">
        <w:rPr>
          <w:position w:val="-10"/>
        </w:rPr>
        <w:object w:dxaOrig="2020" w:dyaOrig="320" w14:anchorId="598887BE">
          <v:shape id="_x0000_i4287" type="#_x0000_t75" style="width:101.05pt;height:16.35pt" o:ole="">
            <v:imagedata r:id="rId6567" o:title=""/>
          </v:shape>
          <o:OLEObject Type="Embed" ProgID="Equation.DSMT4" ShapeID="_x0000_i4287" DrawAspect="Content" ObjectID="_1791378231" r:id="rId6568"/>
        </w:object>
      </w:r>
    </w:p>
    <w:p w14:paraId="600CDE32" w14:textId="77777777" w:rsidR="00411620" w:rsidRPr="00FE433F" w:rsidRDefault="00411620" w:rsidP="00411620">
      <w:pPr>
        <w:spacing w:line="216" w:lineRule="auto"/>
        <w:rPr>
          <w:rFonts w:eastAsia="Calibri"/>
          <w:i/>
          <w:sz w:val="23"/>
          <w:szCs w:val="23"/>
        </w:rPr>
      </w:pPr>
      <w:r w:rsidRPr="00FE433F">
        <w:rPr>
          <w:rFonts w:eastAsia="Calibri"/>
          <w:i/>
          <w:sz w:val="23"/>
          <w:szCs w:val="23"/>
          <w:rtl/>
        </w:rPr>
        <w:t>و با جا</w:t>
      </w:r>
      <w:r w:rsidRPr="00FE433F">
        <w:rPr>
          <w:rFonts w:eastAsia="Calibri" w:hint="cs"/>
          <w:i/>
          <w:sz w:val="23"/>
          <w:szCs w:val="23"/>
          <w:rtl/>
        </w:rPr>
        <w:t>ی</w:t>
      </w:r>
      <w:r w:rsidRPr="00FE433F">
        <w:rPr>
          <w:rFonts w:eastAsia="Calibri" w:hint="eastAsia"/>
          <w:i/>
          <w:sz w:val="23"/>
          <w:szCs w:val="23"/>
          <w:rtl/>
        </w:rPr>
        <w:t>گ</w:t>
      </w:r>
      <w:r w:rsidRPr="00FE433F">
        <w:rPr>
          <w:rFonts w:eastAsia="Calibri" w:hint="cs"/>
          <w:i/>
          <w:sz w:val="23"/>
          <w:szCs w:val="23"/>
          <w:rtl/>
        </w:rPr>
        <w:t>ز</w:t>
      </w:r>
      <w:r w:rsidRPr="00FE433F">
        <w:rPr>
          <w:rFonts w:eastAsia="Calibri" w:hint="eastAsia"/>
          <w:i/>
          <w:sz w:val="23"/>
          <w:szCs w:val="23"/>
          <w:rtl/>
        </w:rPr>
        <w:t>ار</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آن</w:t>
      </w:r>
      <w:r w:rsidRPr="00FE433F">
        <w:rPr>
          <w:rFonts w:eastAsia="Calibri"/>
          <w:i/>
          <w:sz w:val="23"/>
          <w:szCs w:val="23"/>
          <w:rtl/>
        </w:rPr>
        <w:t xml:space="preserve"> </w:t>
      </w:r>
      <w:r w:rsidRPr="00FE433F">
        <w:rPr>
          <w:rFonts w:eastAsia="Calibri" w:hint="eastAsia"/>
          <w:i/>
          <w:sz w:val="23"/>
          <w:szCs w:val="23"/>
          <w:rtl/>
        </w:rPr>
        <w:t>در</w:t>
      </w:r>
      <w:r w:rsidRPr="00FE433F">
        <w:rPr>
          <w:rFonts w:eastAsia="Calibri"/>
          <w:i/>
          <w:sz w:val="23"/>
          <w:szCs w:val="23"/>
          <w:rtl/>
        </w:rPr>
        <w:t xml:space="preserve"> </w:t>
      </w:r>
      <w:r w:rsidRPr="00FE433F">
        <w:rPr>
          <w:rFonts w:eastAsia="Calibri" w:hint="eastAsia"/>
          <w:i/>
          <w:sz w:val="23"/>
          <w:szCs w:val="23"/>
          <w:rtl/>
        </w:rPr>
        <w:t>رابطه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w:t>
      </w:r>
      <w:r w:rsidRPr="00FE433F">
        <w:rPr>
          <w:i/>
          <w:sz w:val="23"/>
          <w:szCs w:val="23"/>
          <w:rtl/>
        </w:rPr>
        <w:t xml:space="preserve">(۸. </w:t>
      </w:r>
      <w:r w:rsidRPr="00FE433F">
        <w:rPr>
          <w:rFonts w:hint="cs"/>
          <w:i/>
          <w:sz w:val="23"/>
          <w:szCs w:val="23"/>
          <w:rtl/>
        </w:rPr>
        <w:t>۲۷</w:t>
      </w:r>
      <w:r w:rsidRPr="00FE433F">
        <w:rPr>
          <w:i/>
          <w:sz w:val="23"/>
          <w:szCs w:val="23"/>
          <w:rtl/>
        </w:rPr>
        <w:t>)</w:t>
      </w:r>
      <w:r w:rsidRPr="00FE433F">
        <w:rPr>
          <w:rFonts w:eastAsia="Calibri"/>
          <w:i/>
          <w:sz w:val="23"/>
          <w:szCs w:val="23"/>
          <w:rtl/>
        </w:rPr>
        <w:t xml:space="preserve"> خواه</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داشت</w:t>
      </w:r>
    </w:p>
    <w:p w14:paraId="68B520D8"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0"/>
        </w:rPr>
        <w:object w:dxaOrig="1579" w:dyaOrig="320" w14:anchorId="65CC77A3">
          <v:shape id="_x0000_i4288" type="#_x0000_t75" style="width:79.25pt;height:16.35pt" o:ole="">
            <v:imagedata r:id="rId6569" o:title=""/>
          </v:shape>
          <o:OLEObject Type="Embed" ProgID="Equation.DSMT4" ShapeID="_x0000_i4288" DrawAspect="Content" ObjectID="_1791378232" r:id="rId6570"/>
        </w:object>
      </w:r>
    </w:p>
    <w:p w14:paraId="07B9E1E7"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 xml:space="preserve">و </w:t>
      </w:r>
    </w:p>
    <w:p w14:paraId="011C0FD2"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0"/>
        </w:rPr>
        <w:object w:dxaOrig="2260" w:dyaOrig="320" w14:anchorId="70168C77">
          <v:shape id="_x0000_i4289" type="#_x0000_t75" style="width:113.15pt;height:16.35pt" o:ole="">
            <v:imagedata r:id="rId6571" o:title=""/>
          </v:shape>
          <o:OLEObject Type="Embed" ProgID="Equation.DSMT4" ShapeID="_x0000_i4289" DrawAspect="Content" ObjectID="_1791378233" r:id="rId6572"/>
        </w:object>
      </w:r>
    </w:p>
    <w:p w14:paraId="2C97A7E8"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و</w:t>
      </w:r>
      <w:r w:rsidRPr="00FE433F">
        <w:rPr>
          <w:rFonts w:eastAsia="Calibri" w:hint="eastAsia"/>
          <w:i/>
          <w:sz w:val="23"/>
          <w:szCs w:val="23"/>
        </w:rPr>
        <w:t>‌</w:t>
      </w:r>
      <w:r w:rsidRPr="00FE433F">
        <w:rPr>
          <w:rFonts w:hint="cs"/>
          <w:i/>
          <w:sz w:val="23"/>
          <w:szCs w:val="23"/>
          <w:rtl/>
        </w:rPr>
        <w:t xml:space="preserve"> </w:t>
      </w:r>
      <w:r w:rsidRPr="00FE433F">
        <w:rPr>
          <w:rFonts w:eastAsia="Calibri" w:hint="cs"/>
          <w:i/>
          <w:sz w:val="23"/>
          <w:szCs w:val="23"/>
          <w:rtl/>
        </w:rPr>
        <w:t>ی</w:t>
      </w:r>
      <w:r w:rsidRPr="00FE433F">
        <w:rPr>
          <w:rFonts w:eastAsia="Calibri"/>
          <w:i/>
          <w:sz w:val="23"/>
          <w:szCs w:val="23"/>
          <w:rtl/>
        </w:rPr>
        <w:t>ا</w:t>
      </w:r>
    </w:p>
    <w:p w14:paraId="51114719"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0"/>
        </w:rPr>
        <w:object w:dxaOrig="3440" w:dyaOrig="320" w14:anchorId="2C17B2C8">
          <v:shape id="_x0000_i4290" type="#_x0000_t75" style="width:171.85pt;height:16.35pt" o:ole="">
            <v:imagedata r:id="rId6573" o:title=""/>
          </v:shape>
          <o:OLEObject Type="Embed" ProgID="Equation.DSMT4" ShapeID="_x0000_i4290" DrawAspect="Content" ObjectID="_1791378234" r:id="rId6574"/>
        </w:object>
      </w:r>
    </w:p>
    <w:p w14:paraId="1EE16AEE" w14:textId="77777777" w:rsidR="00411620" w:rsidRPr="00FE433F" w:rsidRDefault="00411620" w:rsidP="00411620">
      <w:pPr>
        <w:spacing w:line="216" w:lineRule="auto"/>
        <w:rPr>
          <w:rFonts w:eastAsia="Calibri"/>
          <w:i/>
          <w:sz w:val="23"/>
          <w:szCs w:val="23"/>
        </w:rPr>
      </w:pPr>
      <w:r w:rsidRPr="00FE433F">
        <w:rPr>
          <w:rFonts w:eastAsia="Calibri" w:hint="cs"/>
          <w:i/>
          <w:sz w:val="23"/>
          <w:szCs w:val="23"/>
          <w:rtl/>
        </w:rPr>
        <w:t>ی</w:t>
      </w:r>
      <w:r w:rsidRPr="00FE433F">
        <w:rPr>
          <w:rFonts w:eastAsia="Calibri"/>
          <w:i/>
          <w:sz w:val="23"/>
          <w:szCs w:val="23"/>
          <w:rtl/>
        </w:rPr>
        <w:t xml:space="preserve">ا </w:t>
      </w:r>
    </w:p>
    <w:p w14:paraId="48CFEA5A"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0"/>
        </w:rPr>
        <w:object w:dxaOrig="2160" w:dyaOrig="320" w14:anchorId="24327EBF">
          <v:shape id="_x0000_i4291" type="#_x0000_t75" style="width:108.3pt;height:16.35pt" o:ole="">
            <v:imagedata r:id="rId6575" o:title=""/>
          </v:shape>
          <o:OLEObject Type="Embed" ProgID="Equation.DSMT4" ShapeID="_x0000_i4291" DrawAspect="Content" ObjectID="_1791378235" r:id="rId6576"/>
        </w:object>
      </w:r>
    </w:p>
    <w:p w14:paraId="6B5E59E1"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که نشان م</w:t>
      </w:r>
      <w:r w:rsidRPr="00FE433F">
        <w:rPr>
          <w:rFonts w:eastAsia="Calibri" w:hint="cs"/>
          <w:i/>
          <w:sz w:val="23"/>
          <w:szCs w:val="23"/>
          <w:rtl/>
        </w:rPr>
        <w:t>ی</w:t>
      </w:r>
      <w:r w:rsidRPr="00FE433F">
        <w:rPr>
          <w:rFonts w:eastAsia="Calibri"/>
          <w:i/>
          <w:sz w:val="23"/>
          <w:szCs w:val="23"/>
          <w:rtl/>
        </w:rPr>
        <w:softHyphen/>
        <w:t>دهد در دوره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تورم حاد، نرخ نجوم</w:t>
      </w:r>
      <w:r w:rsidRPr="00FE433F">
        <w:rPr>
          <w:rFonts w:eastAsia="Calibri" w:hint="cs"/>
          <w:i/>
          <w:sz w:val="23"/>
          <w:szCs w:val="23"/>
          <w:rtl/>
        </w:rPr>
        <w:t>ی</w:t>
      </w:r>
      <w:r w:rsidRPr="00FE433F">
        <w:rPr>
          <w:rFonts w:eastAsia="Calibri"/>
          <w:i/>
          <w:sz w:val="23"/>
          <w:szCs w:val="23"/>
          <w:rtl/>
        </w:rPr>
        <w:t xml:space="preserve"> تورم م</w:t>
      </w:r>
      <w:r w:rsidRPr="00FE433F">
        <w:rPr>
          <w:rFonts w:eastAsia="Calibri" w:hint="cs"/>
          <w:i/>
          <w:sz w:val="23"/>
          <w:szCs w:val="23"/>
          <w:rtl/>
        </w:rPr>
        <w:t xml:space="preserve">ستلزم </w:t>
      </w:r>
      <w:r w:rsidRPr="00FE433F">
        <w:rPr>
          <w:rFonts w:eastAsia="Calibri"/>
          <w:i/>
          <w:sz w:val="23"/>
          <w:szCs w:val="23"/>
          <w:rtl/>
        </w:rPr>
        <w:t>نرخ</w:t>
      </w:r>
      <w:r w:rsidRPr="00FE433F">
        <w:rPr>
          <w:rFonts w:eastAsia="Calibri"/>
          <w:i/>
          <w:sz w:val="23"/>
          <w:szCs w:val="23"/>
          <w:rtl/>
        </w:rPr>
        <w:softHyphen/>
        <w:t xml:space="preserve"> رشد بالا</w:t>
      </w:r>
      <w:r w:rsidRPr="00FE433F">
        <w:rPr>
          <w:rFonts w:eastAsia="Calibri" w:hint="cs"/>
          <w:i/>
          <w:sz w:val="23"/>
          <w:szCs w:val="23"/>
          <w:rtl/>
        </w:rPr>
        <w:t>ی</w:t>
      </w:r>
      <w:r w:rsidRPr="00FE433F">
        <w:rPr>
          <w:rFonts w:eastAsia="Calibri"/>
          <w:i/>
          <w:sz w:val="23"/>
          <w:szCs w:val="23"/>
          <w:rtl/>
        </w:rPr>
        <w:t xml:space="preserve"> عرضه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پول</w:t>
      </w:r>
      <w:r w:rsidRPr="00FE433F">
        <w:rPr>
          <w:rFonts w:eastAsia="Calibri" w:hint="cs"/>
          <w:i/>
          <w:sz w:val="23"/>
          <w:szCs w:val="23"/>
          <w:rtl/>
        </w:rPr>
        <w:t xml:space="preserve"> است</w:t>
      </w:r>
      <w:r w:rsidRPr="00FE433F">
        <w:rPr>
          <w:rFonts w:eastAsia="Calibri"/>
          <w:i/>
          <w:sz w:val="23"/>
          <w:szCs w:val="23"/>
          <w:rtl/>
        </w:rPr>
        <w:t>. برا</w:t>
      </w:r>
      <w:r w:rsidRPr="00FE433F">
        <w:rPr>
          <w:rFonts w:eastAsia="Calibri" w:hint="cs"/>
          <w:i/>
          <w:sz w:val="23"/>
          <w:szCs w:val="23"/>
          <w:rtl/>
        </w:rPr>
        <w:t>ی</w:t>
      </w:r>
      <w:r w:rsidRPr="00FE433F">
        <w:rPr>
          <w:rFonts w:eastAsia="Calibri"/>
          <w:i/>
          <w:sz w:val="23"/>
          <w:szCs w:val="23"/>
          <w:rtl/>
        </w:rPr>
        <w:t xml:space="preserve"> مثال در ب</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ژانو</w:t>
      </w:r>
      <w:r w:rsidRPr="00FE433F">
        <w:rPr>
          <w:rFonts w:eastAsia="Calibri" w:hint="cs"/>
          <w:i/>
          <w:sz w:val="23"/>
          <w:szCs w:val="23"/>
          <w:rtl/>
        </w:rPr>
        <w:t>ی</w:t>
      </w:r>
      <w:r w:rsidRPr="00FE433F">
        <w:rPr>
          <w:rFonts w:eastAsia="Calibri" w:hint="eastAsia"/>
          <w:i/>
          <w:sz w:val="23"/>
          <w:szCs w:val="23"/>
          <w:rtl/>
        </w:rPr>
        <w:t>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۱۹۲۲ تا اکتبر ۱۹۲۳ سطح ق</w:t>
      </w:r>
      <w:r w:rsidRPr="00FE433F">
        <w:rPr>
          <w:rFonts w:eastAsia="Calibri" w:hint="cs"/>
          <w:i/>
          <w:sz w:val="23"/>
          <w:szCs w:val="23"/>
          <w:rtl/>
        </w:rPr>
        <w:t>ی</w:t>
      </w:r>
      <w:r w:rsidRPr="00FE433F">
        <w:rPr>
          <w:rFonts w:eastAsia="Calibri" w:hint="eastAsia"/>
          <w:i/>
          <w:sz w:val="23"/>
          <w:szCs w:val="23"/>
          <w:rtl/>
        </w:rPr>
        <w:t>مت</w:t>
      </w:r>
      <w:r w:rsidRPr="00FE433F">
        <w:rPr>
          <w:rFonts w:eastAsia="Calibri"/>
          <w:i/>
          <w:sz w:val="23"/>
          <w:szCs w:val="23"/>
          <w:rtl/>
        </w:rPr>
        <w:t>‌ها در آلمان ۱۹.۲ م</w:t>
      </w:r>
      <w:r w:rsidRPr="00FE433F">
        <w:rPr>
          <w:rFonts w:eastAsia="Calibri" w:hint="cs"/>
          <w:i/>
          <w:sz w:val="23"/>
          <w:szCs w:val="23"/>
          <w:rtl/>
        </w:rPr>
        <w:t>ی</w:t>
      </w:r>
      <w:r w:rsidRPr="00FE433F">
        <w:rPr>
          <w:rFonts w:eastAsia="Calibri" w:hint="eastAsia"/>
          <w:i/>
          <w:sz w:val="23"/>
          <w:szCs w:val="23"/>
          <w:rtl/>
        </w:rPr>
        <w:t>ل</w:t>
      </w:r>
      <w:r w:rsidRPr="00FE433F">
        <w:rPr>
          <w:rFonts w:eastAsia="Calibri" w:hint="cs"/>
          <w:i/>
          <w:sz w:val="23"/>
          <w:szCs w:val="23"/>
          <w:rtl/>
        </w:rPr>
        <w:t>ی</w:t>
      </w:r>
      <w:r w:rsidRPr="00FE433F">
        <w:rPr>
          <w:rFonts w:eastAsia="Calibri" w:hint="eastAsia"/>
          <w:i/>
          <w:sz w:val="23"/>
          <w:szCs w:val="23"/>
          <w:rtl/>
        </w:rPr>
        <w:t>ارد</w:t>
      </w:r>
      <w:r w:rsidRPr="00FE433F">
        <w:rPr>
          <w:rFonts w:eastAsia="Calibri"/>
          <w:i/>
          <w:sz w:val="23"/>
          <w:szCs w:val="23"/>
          <w:rtl/>
        </w:rPr>
        <w:t xml:space="preserve"> و پول را</w:t>
      </w:r>
      <w:r w:rsidRPr="00FE433F">
        <w:rPr>
          <w:rFonts w:eastAsia="Calibri" w:hint="cs"/>
          <w:i/>
          <w:sz w:val="23"/>
          <w:szCs w:val="23"/>
          <w:rtl/>
        </w:rPr>
        <w:t>ی</w:t>
      </w:r>
      <w:r w:rsidRPr="00FE433F">
        <w:rPr>
          <w:rFonts w:eastAsia="Calibri" w:hint="eastAsia"/>
          <w:i/>
          <w:sz w:val="23"/>
          <w:szCs w:val="23"/>
          <w:rtl/>
        </w:rPr>
        <w:t>ج</w:t>
      </w:r>
      <w:r w:rsidRPr="00FE433F">
        <w:rPr>
          <w:rFonts w:eastAsia="Calibri"/>
          <w:i/>
          <w:sz w:val="23"/>
          <w:szCs w:val="23"/>
          <w:rtl/>
        </w:rPr>
        <w:t xml:space="preserve"> ۲۰.۲ م</w:t>
      </w:r>
      <w:r w:rsidRPr="00FE433F">
        <w:rPr>
          <w:rFonts w:eastAsia="Calibri" w:hint="cs"/>
          <w:i/>
          <w:sz w:val="23"/>
          <w:szCs w:val="23"/>
          <w:rtl/>
        </w:rPr>
        <w:t>ی</w:t>
      </w:r>
      <w:r w:rsidRPr="00FE433F">
        <w:rPr>
          <w:rFonts w:eastAsia="Calibri" w:hint="eastAsia"/>
          <w:i/>
          <w:sz w:val="23"/>
          <w:szCs w:val="23"/>
          <w:rtl/>
        </w:rPr>
        <w:t>ل</w:t>
      </w:r>
      <w:r w:rsidRPr="00FE433F">
        <w:rPr>
          <w:rFonts w:eastAsia="Calibri" w:hint="cs"/>
          <w:i/>
          <w:sz w:val="23"/>
          <w:szCs w:val="23"/>
          <w:rtl/>
        </w:rPr>
        <w:t>ی</w:t>
      </w:r>
      <w:r w:rsidRPr="00FE433F">
        <w:rPr>
          <w:rFonts w:eastAsia="Calibri" w:hint="eastAsia"/>
          <w:i/>
          <w:sz w:val="23"/>
          <w:szCs w:val="23"/>
          <w:rtl/>
        </w:rPr>
        <w:t>ارد</w:t>
      </w:r>
      <w:r w:rsidRPr="00FE433F">
        <w:rPr>
          <w:rFonts w:eastAsia="Calibri"/>
          <w:i/>
          <w:sz w:val="23"/>
          <w:szCs w:val="23"/>
          <w:rtl/>
        </w:rPr>
        <w:t xml:space="preserve"> برابر افزا</w:t>
      </w:r>
      <w:r w:rsidRPr="00FE433F">
        <w:rPr>
          <w:rFonts w:eastAsia="Calibri" w:hint="cs"/>
          <w:i/>
          <w:sz w:val="23"/>
          <w:szCs w:val="23"/>
          <w:rtl/>
        </w:rPr>
        <w:t>ی</w:t>
      </w:r>
      <w:r w:rsidRPr="00FE433F">
        <w:rPr>
          <w:rFonts w:eastAsia="Calibri" w:hint="eastAsia"/>
          <w:i/>
          <w:sz w:val="23"/>
          <w:szCs w:val="23"/>
          <w:rtl/>
        </w:rPr>
        <w:t>ش</w:t>
      </w:r>
      <w:r w:rsidRPr="00FE433F">
        <w:rPr>
          <w:rFonts w:eastAsia="Calibri" w:hint="eastAsia"/>
          <w:i/>
          <w:sz w:val="23"/>
          <w:szCs w:val="23"/>
        </w:rPr>
        <w:t>‌</w:t>
      </w:r>
      <w:r w:rsidRPr="00FE433F">
        <w:rPr>
          <w:rFonts w:hint="cs"/>
          <w:i/>
          <w:sz w:val="23"/>
          <w:szCs w:val="23"/>
          <w:rtl/>
        </w:rPr>
        <w:t xml:space="preserve"> </w:t>
      </w:r>
      <w:r w:rsidRPr="00FE433F">
        <w:rPr>
          <w:rFonts w:eastAsia="Calibri" w:hint="cs"/>
          <w:i/>
          <w:sz w:val="23"/>
          <w:szCs w:val="23"/>
          <w:rtl/>
        </w:rPr>
        <w:t>ی</w:t>
      </w:r>
      <w:r w:rsidRPr="00FE433F">
        <w:rPr>
          <w:rFonts w:eastAsia="Calibri"/>
          <w:i/>
          <w:sz w:val="23"/>
          <w:szCs w:val="23"/>
          <w:rtl/>
        </w:rPr>
        <w:t>افت</w:t>
      </w:r>
      <w:r w:rsidRPr="00FE433F">
        <w:rPr>
          <w:rFonts w:eastAsia="Calibri" w:hint="cs"/>
          <w:i/>
          <w:sz w:val="23"/>
          <w:szCs w:val="23"/>
          <w:rtl/>
        </w:rPr>
        <w:t>ه</w:t>
      </w:r>
      <w:r w:rsidRPr="00FE433F">
        <w:rPr>
          <w:rFonts w:hint="cs"/>
          <w:i/>
          <w:sz w:val="23"/>
          <w:szCs w:val="23"/>
          <w:rtl/>
        </w:rPr>
        <w:t>،</w:t>
      </w:r>
      <w:r w:rsidRPr="00FE433F">
        <w:rPr>
          <w:rFonts w:eastAsia="Calibri"/>
          <w:i/>
          <w:sz w:val="23"/>
          <w:szCs w:val="23"/>
          <w:rtl/>
        </w:rPr>
        <w:t xml:space="preserve"> و نرخ تورم ماهانه در اکتبر ۱۹۲۳</w:t>
      </w:r>
      <w:r w:rsidRPr="00FE433F">
        <w:rPr>
          <w:rFonts w:hint="cs"/>
          <w:i/>
          <w:sz w:val="23"/>
          <w:szCs w:val="23"/>
          <w:rtl/>
        </w:rPr>
        <w:t xml:space="preserve"> </w:t>
      </w:r>
      <w:r w:rsidRPr="00FE433F">
        <w:rPr>
          <w:rFonts w:eastAsia="Calibri"/>
          <w:i/>
          <w:sz w:val="23"/>
          <w:szCs w:val="23"/>
          <w:rtl/>
        </w:rPr>
        <w:t>برابر با ۲۹۷۲۰</w:t>
      </w:r>
      <w:r w:rsidRPr="00FE433F">
        <w:rPr>
          <w:rFonts w:hint="cs"/>
          <w:i/>
          <w:sz w:val="23"/>
          <w:szCs w:val="23"/>
          <w:rtl/>
        </w:rPr>
        <w:t xml:space="preserve"> </w:t>
      </w:r>
      <w:r w:rsidRPr="00FE433F">
        <w:rPr>
          <w:rFonts w:eastAsia="Calibri"/>
          <w:i/>
          <w:sz w:val="23"/>
          <w:szCs w:val="23"/>
          <w:rtl/>
        </w:rPr>
        <w:t>درصد بود. در اواخر سال ۱۹۸۰</w:t>
      </w:r>
      <w:r w:rsidRPr="00FE433F">
        <w:rPr>
          <w:rFonts w:hint="cs"/>
          <w:i/>
          <w:sz w:val="23"/>
          <w:szCs w:val="23"/>
          <w:rtl/>
        </w:rPr>
        <w:t xml:space="preserve"> </w:t>
      </w:r>
      <w:r w:rsidRPr="00FE433F">
        <w:rPr>
          <w:rFonts w:eastAsia="Calibri"/>
          <w:i/>
          <w:sz w:val="23"/>
          <w:szCs w:val="23"/>
          <w:rtl/>
        </w:rPr>
        <w:t>تا اوا</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سال ۱۹۹۰</w:t>
      </w:r>
      <w:r w:rsidRPr="00FE433F">
        <w:rPr>
          <w:rFonts w:hint="cs"/>
          <w:i/>
          <w:sz w:val="23"/>
          <w:szCs w:val="23"/>
          <w:rtl/>
        </w:rPr>
        <w:t xml:space="preserve"> </w:t>
      </w:r>
      <w:r w:rsidRPr="00FE433F">
        <w:rPr>
          <w:rFonts w:eastAsia="Calibri"/>
          <w:i/>
          <w:sz w:val="23"/>
          <w:szCs w:val="23"/>
          <w:rtl/>
        </w:rPr>
        <w:t>در کشورها</w:t>
      </w:r>
      <w:r w:rsidRPr="00FE433F">
        <w:rPr>
          <w:rFonts w:eastAsia="Calibri" w:hint="cs"/>
          <w:i/>
          <w:sz w:val="23"/>
          <w:szCs w:val="23"/>
          <w:rtl/>
        </w:rPr>
        <w:t>ی</w:t>
      </w:r>
      <w:r w:rsidRPr="00FE433F">
        <w:rPr>
          <w:rFonts w:eastAsia="Calibri"/>
          <w:i/>
          <w:sz w:val="23"/>
          <w:szCs w:val="23"/>
          <w:rtl/>
        </w:rPr>
        <w:t xml:space="preserve"> اتحاد جماه</w:t>
      </w:r>
      <w:r w:rsidRPr="00FE433F">
        <w:rPr>
          <w:rFonts w:eastAsia="Calibri" w:hint="cs"/>
          <w:i/>
          <w:sz w:val="23"/>
          <w:szCs w:val="23"/>
          <w:rtl/>
        </w:rPr>
        <w:t>ی</w:t>
      </w:r>
      <w:r w:rsidRPr="00FE433F">
        <w:rPr>
          <w:rFonts w:eastAsia="Calibri" w:hint="eastAsia"/>
          <w:i/>
          <w:sz w:val="23"/>
          <w:szCs w:val="23"/>
          <w:rtl/>
        </w:rPr>
        <w:t>ر</w:t>
      </w:r>
      <w:r w:rsidRPr="00FE433F">
        <w:rPr>
          <w:rFonts w:eastAsia="Calibri"/>
          <w:i/>
          <w:sz w:val="23"/>
          <w:szCs w:val="23"/>
          <w:rtl/>
        </w:rPr>
        <w:t xml:space="preserve"> </w:t>
      </w:r>
      <w:r w:rsidRPr="00FE433F">
        <w:rPr>
          <w:rFonts w:eastAsia="Calibri" w:hint="eastAsia"/>
          <w:i/>
          <w:sz w:val="23"/>
          <w:szCs w:val="23"/>
          <w:rtl/>
        </w:rPr>
        <w:t>شورو</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سابق،</w:t>
      </w:r>
      <w:r w:rsidRPr="00FE433F">
        <w:rPr>
          <w:rFonts w:eastAsia="Calibri"/>
          <w:i/>
          <w:sz w:val="23"/>
          <w:szCs w:val="23"/>
          <w:rtl/>
        </w:rPr>
        <w:t xml:space="preserve"> </w:t>
      </w:r>
      <w:r w:rsidRPr="00FE433F">
        <w:rPr>
          <w:rFonts w:eastAsia="Calibri" w:hint="eastAsia"/>
          <w:i/>
          <w:sz w:val="23"/>
          <w:szCs w:val="23"/>
          <w:rtl/>
        </w:rPr>
        <w:t>در</w:t>
      </w:r>
      <w:r w:rsidRPr="00FE433F">
        <w:rPr>
          <w:rFonts w:eastAsia="Calibri"/>
          <w:i/>
          <w:sz w:val="23"/>
          <w:szCs w:val="23"/>
          <w:rtl/>
        </w:rPr>
        <w:t xml:space="preserve"> </w:t>
      </w:r>
      <w:r w:rsidRPr="00FE433F">
        <w:rPr>
          <w:rFonts w:eastAsia="Calibri" w:hint="eastAsia"/>
          <w:i/>
          <w:sz w:val="23"/>
          <w:szCs w:val="23"/>
          <w:rtl/>
        </w:rPr>
        <w:t>اواسط</w:t>
      </w:r>
      <w:r w:rsidRPr="00FE433F">
        <w:rPr>
          <w:rFonts w:eastAsia="Calibri"/>
          <w:i/>
          <w:sz w:val="23"/>
          <w:szCs w:val="23"/>
          <w:rtl/>
        </w:rPr>
        <w:t xml:space="preserve"> </w:t>
      </w:r>
      <w:r w:rsidRPr="00FE433F">
        <w:rPr>
          <w:rFonts w:eastAsia="Calibri" w:hint="eastAsia"/>
          <w:i/>
          <w:sz w:val="23"/>
          <w:szCs w:val="23"/>
          <w:rtl/>
        </w:rPr>
        <w:t>دهه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۹۰</w:t>
      </w:r>
      <w:r w:rsidRPr="00FE433F">
        <w:rPr>
          <w:rFonts w:hint="cs"/>
          <w:i/>
          <w:sz w:val="23"/>
          <w:szCs w:val="23"/>
          <w:rtl/>
        </w:rPr>
        <w:t xml:space="preserve"> </w:t>
      </w:r>
      <w:r w:rsidRPr="00FE433F">
        <w:rPr>
          <w:rFonts w:eastAsia="Calibri"/>
          <w:i/>
          <w:sz w:val="23"/>
          <w:szCs w:val="23"/>
          <w:rtl/>
        </w:rPr>
        <w:t>م</w:t>
      </w:r>
      <w:r w:rsidRPr="00FE433F">
        <w:rPr>
          <w:rFonts w:eastAsia="Calibri" w:hint="cs"/>
          <w:i/>
          <w:sz w:val="23"/>
          <w:szCs w:val="23"/>
          <w:rtl/>
        </w:rPr>
        <w:t>ی</w:t>
      </w:r>
      <w:r w:rsidRPr="00FE433F">
        <w:rPr>
          <w:rFonts w:eastAsia="Calibri" w:hint="eastAsia"/>
          <w:i/>
          <w:sz w:val="23"/>
          <w:szCs w:val="23"/>
          <w:rtl/>
        </w:rPr>
        <w:t>لاد</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در</w:t>
      </w:r>
      <w:r w:rsidRPr="00FE433F">
        <w:rPr>
          <w:rFonts w:eastAsia="Calibri"/>
          <w:i/>
          <w:sz w:val="23"/>
          <w:szCs w:val="23"/>
          <w:rtl/>
        </w:rPr>
        <w:t xml:space="preserve"> </w:t>
      </w:r>
      <w:r w:rsidRPr="00FE433F">
        <w:rPr>
          <w:rFonts w:eastAsia="Calibri" w:hint="eastAsia"/>
          <w:i/>
          <w:sz w:val="23"/>
          <w:szCs w:val="23"/>
          <w:rtl/>
        </w:rPr>
        <w:t>آمر</w:t>
      </w:r>
      <w:r w:rsidRPr="00FE433F">
        <w:rPr>
          <w:rFonts w:eastAsia="Calibri" w:hint="cs"/>
          <w:i/>
          <w:sz w:val="23"/>
          <w:szCs w:val="23"/>
          <w:rtl/>
        </w:rPr>
        <w:t>ی</w:t>
      </w:r>
      <w:r w:rsidRPr="00FE433F">
        <w:rPr>
          <w:rFonts w:eastAsia="Calibri" w:hint="eastAsia"/>
          <w:i/>
          <w:sz w:val="23"/>
          <w:szCs w:val="23"/>
          <w:rtl/>
        </w:rPr>
        <w:t>کا</w:t>
      </w:r>
      <w:r w:rsidRPr="00FE433F">
        <w:rPr>
          <w:rFonts w:eastAsia="Calibri" w:hint="cs"/>
          <w:i/>
          <w:sz w:val="23"/>
          <w:szCs w:val="23"/>
          <w:rtl/>
        </w:rPr>
        <w:t>ی</w:t>
      </w:r>
      <w:r w:rsidRPr="00FE433F">
        <w:rPr>
          <w:rFonts w:eastAsia="Calibri"/>
          <w:i/>
          <w:sz w:val="23"/>
          <w:szCs w:val="23"/>
          <w:rtl/>
        </w:rPr>
        <w:t xml:space="preserve"> </w:t>
      </w:r>
      <w:r w:rsidRPr="00FE433F">
        <w:rPr>
          <w:rFonts w:eastAsia="Calibri" w:hint="cs"/>
          <w:i/>
          <w:sz w:val="23"/>
          <w:szCs w:val="23"/>
          <w:rtl/>
        </w:rPr>
        <w:t>جنوبی</w:t>
      </w:r>
      <w:r w:rsidRPr="00FE433F">
        <w:rPr>
          <w:rFonts w:eastAsia="Calibri"/>
          <w:i/>
          <w:sz w:val="23"/>
          <w:szCs w:val="23"/>
          <w:rtl/>
        </w:rPr>
        <w:t xml:space="preserve"> </w:t>
      </w:r>
      <w:r w:rsidRPr="00FE433F">
        <w:rPr>
          <w:rFonts w:eastAsia="Calibri" w:hint="eastAsia"/>
          <w:i/>
          <w:sz w:val="23"/>
          <w:szCs w:val="23"/>
          <w:rtl/>
        </w:rPr>
        <w:t>و</w:t>
      </w:r>
      <w:r w:rsidRPr="00FE433F">
        <w:rPr>
          <w:rFonts w:eastAsia="Calibri"/>
          <w:i/>
          <w:sz w:val="23"/>
          <w:szCs w:val="23"/>
          <w:rtl/>
        </w:rPr>
        <w:t xml:space="preserve"> </w:t>
      </w:r>
      <w:r w:rsidRPr="00FE433F">
        <w:rPr>
          <w:rFonts w:eastAsia="Calibri" w:hint="eastAsia"/>
          <w:i/>
          <w:sz w:val="23"/>
          <w:szCs w:val="23"/>
          <w:rtl/>
        </w:rPr>
        <w:t>اخ</w:t>
      </w:r>
      <w:r w:rsidRPr="00FE433F">
        <w:rPr>
          <w:rFonts w:eastAsia="Calibri" w:hint="cs"/>
          <w:i/>
          <w:sz w:val="23"/>
          <w:szCs w:val="23"/>
          <w:rtl/>
        </w:rPr>
        <w:t>ی</w:t>
      </w:r>
      <w:r w:rsidRPr="00FE433F">
        <w:rPr>
          <w:rFonts w:eastAsia="Calibri" w:hint="eastAsia"/>
          <w:i/>
          <w:sz w:val="23"/>
          <w:szCs w:val="23"/>
          <w:rtl/>
        </w:rPr>
        <w:t>را</w:t>
      </w:r>
      <w:r w:rsidRPr="00FE433F">
        <w:rPr>
          <w:rFonts w:eastAsia="Calibri" w:hint="cs"/>
          <w:i/>
          <w:sz w:val="23"/>
          <w:szCs w:val="23"/>
          <w:rtl/>
        </w:rPr>
        <w:t>ً</w:t>
      </w:r>
      <w:r w:rsidRPr="00FE433F">
        <w:rPr>
          <w:rFonts w:eastAsia="Calibri"/>
          <w:i/>
          <w:sz w:val="23"/>
          <w:szCs w:val="23"/>
          <w:rtl/>
        </w:rPr>
        <w:t xml:space="preserve"> </w:t>
      </w:r>
      <w:r w:rsidRPr="00FE433F">
        <w:rPr>
          <w:rFonts w:eastAsia="Calibri" w:hint="eastAsia"/>
          <w:i/>
          <w:sz w:val="23"/>
          <w:szCs w:val="23"/>
          <w:rtl/>
        </w:rPr>
        <w:t>در</w:t>
      </w:r>
      <w:r w:rsidRPr="00FE433F">
        <w:rPr>
          <w:rFonts w:eastAsia="Calibri"/>
          <w:i/>
          <w:sz w:val="23"/>
          <w:szCs w:val="23"/>
          <w:rtl/>
        </w:rPr>
        <w:t xml:space="preserve"> </w:t>
      </w:r>
      <w:r w:rsidRPr="00FE433F">
        <w:rPr>
          <w:rFonts w:eastAsia="Calibri" w:hint="eastAsia"/>
          <w:i/>
          <w:sz w:val="23"/>
          <w:szCs w:val="23"/>
          <w:rtl/>
        </w:rPr>
        <w:t>ز</w:t>
      </w:r>
      <w:r w:rsidRPr="00FE433F">
        <w:rPr>
          <w:rFonts w:eastAsia="Calibri" w:hint="cs"/>
          <w:i/>
          <w:sz w:val="23"/>
          <w:szCs w:val="23"/>
          <w:rtl/>
        </w:rPr>
        <w:t>ی</w:t>
      </w:r>
      <w:r w:rsidRPr="00FE433F">
        <w:rPr>
          <w:rFonts w:eastAsia="Calibri" w:hint="eastAsia"/>
          <w:i/>
          <w:sz w:val="23"/>
          <w:szCs w:val="23"/>
          <w:rtl/>
        </w:rPr>
        <w:t>مبابو</w:t>
      </w:r>
      <w:r w:rsidRPr="00FE433F">
        <w:rPr>
          <w:rFonts w:eastAsia="Calibri" w:hint="cs"/>
          <w:i/>
          <w:sz w:val="23"/>
          <w:szCs w:val="23"/>
          <w:rtl/>
        </w:rPr>
        <w:t xml:space="preserve">ه </w:t>
      </w:r>
      <w:r w:rsidRPr="00FE433F">
        <w:rPr>
          <w:rFonts w:eastAsia="Calibri" w:hint="eastAsia"/>
          <w:i/>
          <w:sz w:val="23"/>
          <w:szCs w:val="23"/>
          <w:rtl/>
        </w:rPr>
        <w:t>شاهد</w:t>
      </w:r>
      <w:r w:rsidRPr="00FE433F">
        <w:rPr>
          <w:rFonts w:eastAsia="Calibri"/>
          <w:i/>
          <w:sz w:val="23"/>
          <w:szCs w:val="23"/>
          <w:rtl/>
        </w:rPr>
        <w:t xml:space="preserve"> </w:t>
      </w:r>
      <w:r w:rsidRPr="00FE433F">
        <w:rPr>
          <w:rFonts w:eastAsia="Calibri" w:hint="eastAsia"/>
          <w:i/>
          <w:sz w:val="23"/>
          <w:szCs w:val="23"/>
          <w:rtl/>
        </w:rPr>
        <w:t>تورم</w:t>
      </w:r>
      <w:r w:rsidRPr="00FE433F">
        <w:rPr>
          <w:rFonts w:eastAsia="Calibri"/>
          <w:i/>
          <w:sz w:val="23"/>
          <w:szCs w:val="23"/>
          <w:rtl/>
        </w:rPr>
        <w:t xml:space="preserve"> </w:t>
      </w:r>
      <w:r w:rsidRPr="00FE433F">
        <w:rPr>
          <w:rFonts w:eastAsia="Calibri" w:hint="eastAsia"/>
          <w:i/>
          <w:sz w:val="23"/>
          <w:szCs w:val="23"/>
          <w:rtl/>
        </w:rPr>
        <w:t>حاد</w:t>
      </w:r>
      <w:r w:rsidRPr="00FE433F">
        <w:rPr>
          <w:rFonts w:eastAsia="Calibri"/>
          <w:i/>
          <w:sz w:val="23"/>
          <w:szCs w:val="23"/>
          <w:rtl/>
        </w:rPr>
        <w:t xml:space="preserve"> </w:t>
      </w:r>
      <w:r w:rsidRPr="00FE433F">
        <w:rPr>
          <w:rFonts w:eastAsia="Calibri" w:hint="eastAsia"/>
          <w:i/>
          <w:sz w:val="23"/>
          <w:szCs w:val="23"/>
          <w:rtl/>
        </w:rPr>
        <w:t>بوده</w:t>
      </w:r>
      <w:r w:rsidRPr="00FE433F">
        <w:rPr>
          <w:rFonts w:eastAsia="Calibri"/>
          <w:i/>
          <w:sz w:val="23"/>
          <w:szCs w:val="23"/>
          <w:rtl/>
        </w:rPr>
        <w:softHyphen/>
        <w:t>ا</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در ط</w:t>
      </w:r>
      <w:r w:rsidRPr="00FE433F">
        <w:rPr>
          <w:rFonts w:eastAsia="Calibri" w:hint="cs"/>
          <w:i/>
          <w:sz w:val="23"/>
          <w:szCs w:val="23"/>
          <w:rtl/>
        </w:rPr>
        <w:t>ی</w:t>
      </w:r>
      <w:r w:rsidRPr="00FE433F">
        <w:rPr>
          <w:rFonts w:eastAsia="Calibri"/>
          <w:i/>
          <w:sz w:val="23"/>
          <w:szCs w:val="23"/>
          <w:rtl/>
        </w:rPr>
        <w:t xml:space="preserve"> سه ال</w:t>
      </w:r>
      <w:r w:rsidRPr="00FE433F">
        <w:rPr>
          <w:rFonts w:eastAsia="Calibri" w:hint="cs"/>
          <w:i/>
          <w:sz w:val="23"/>
          <w:szCs w:val="23"/>
          <w:rtl/>
        </w:rPr>
        <w:t>ی</w:t>
      </w:r>
      <w:r w:rsidRPr="00FE433F">
        <w:rPr>
          <w:rFonts w:eastAsia="Calibri"/>
          <w:i/>
          <w:sz w:val="23"/>
          <w:szCs w:val="23"/>
          <w:rtl/>
        </w:rPr>
        <w:t xml:space="preserve"> چها</w:t>
      </w:r>
      <w:r w:rsidRPr="00FE433F">
        <w:rPr>
          <w:rFonts w:hint="cs"/>
          <w:i/>
          <w:sz w:val="23"/>
          <w:szCs w:val="23"/>
          <w:rtl/>
        </w:rPr>
        <w:t>ر</w:t>
      </w:r>
      <w:r w:rsidRPr="00FE433F">
        <w:rPr>
          <w:rFonts w:eastAsia="Calibri"/>
          <w:i/>
          <w:sz w:val="23"/>
          <w:szCs w:val="23"/>
          <w:rtl/>
        </w:rPr>
        <w:t xml:space="preserve"> سال تمام</w:t>
      </w:r>
      <w:r w:rsidRPr="00FE433F">
        <w:rPr>
          <w:rFonts w:eastAsia="Calibri" w:hint="cs"/>
          <w:i/>
          <w:sz w:val="23"/>
          <w:szCs w:val="23"/>
          <w:rtl/>
        </w:rPr>
        <w:t>ی</w:t>
      </w:r>
      <w:r w:rsidRPr="00FE433F">
        <w:rPr>
          <w:rFonts w:eastAsia="Calibri"/>
          <w:i/>
          <w:sz w:val="23"/>
          <w:szCs w:val="23"/>
          <w:rtl/>
        </w:rPr>
        <w:t xml:space="preserve">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کشورها توانستند تورم خود را به شدت کاهش ده</w:t>
      </w:r>
      <w:r w:rsidRPr="00FE433F">
        <w:rPr>
          <w:rFonts w:eastAsia="Calibri" w:hint="cs"/>
          <w:i/>
          <w:sz w:val="23"/>
          <w:szCs w:val="23"/>
          <w:rtl/>
        </w:rPr>
        <w:t>ن</w:t>
      </w:r>
      <w:r w:rsidRPr="00FE433F">
        <w:rPr>
          <w:rFonts w:eastAsia="Calibri"/>
          <w:i/>
          <w:sz w:val="23"/>
          <w:szCs w:val="23"/>
          <w:rtl/>
        </w:rPr>
        <w:t>د و دو رقم</w:t>
      </w:r>
      <w:r w:rsidRPr="00FE433F">
        <w:rPr>
          <w:rFonts w:eastAsia="Calibri" w:hint="cs"/>
          <w:i/>
          <w:sz w:val="23"/>
          <w:szCs w:val="23"/>
          <w:rtl/>
        </w:rPr>
        <w:t>ی</w:t>
      </w:r>
      <w:r w:rsidRPr="00FE433F">
        <w:rPr>
          <w:rFonts w:eastAsia="Calibri"/>
          <w:i/>
          <w:sz w:val="23"/>
          <w:szCs w:val="23"/>
          <w:rtl/>
        </w:rPr>
        <w:t xml:space="preserve"> کنند. </w:t>
      </w:r>
    </w:p>
    <w:p w14:paraId="1DAB0F1E"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همان</w:t>
      </w:r>
      <w:r w:rsidRPr="00FE433F">
        <w:rPr>
          <w:i/>
          <w:sz w:val="23"/>
          <w:szCs w:val="23"/>
          <w:rtl/>
        </w:rPr>
        <w:softHyphen/>
      </w:r>
      <w:r w:rsidRPr="00FE433F">
        <w:rPr>
          <w:rFonts w:eastAsia="Calibri"/>
          <w:i/>
          <w:sz w:val="23"/>
          <w:szCs w:val="23"/>
          <w:rtl/>
        </w:rPr>
        <w:t>گونه که در فصل پنجم اشاره شد</w:t>
      </w:r>
      <w:r w:rsidRPr="00FE433F">
        <w:rPr>
          <w:rFonts w:eastAsia="Calibri" w:hint="cs"/>
          <w:i/>
          <w:sz w:val="23"/>
          <w:szCs w:val="23"/>
          <w:rtl/>
        </w:rPr>
        <w:t>،</w:t>
      </w:r>
      <w:r w:rsidRPr="00FE433F">
        <w:rPr>
          <w:rFonts w:eastAsia="Calibri"/>
          <w:i/>
          <w:sz w:val="23"/>
          <w:szCs w:val="23"/>
          <w:rtl/>
        </w:rPr>
        <w:t xml:space="preserve"> تورم حاد در </w:t>
      </w:r>
      <w:r w:rsidRPr="00FE433F">
        <w:rPr>
          <w:rFonts w:eastAsia="Calibri" w:hint="cs"/>
          <w:i/>
          <w:sz w:val="23"/>
          <w:szCs w:val="23"/>
          <w:rtl/>
        </w:rPr>
        <w:t xml:space="preserve">هر </w:t>
      </w:r>
      <w:r w:rsidRPr="00FE433F">
        <w:rPr>
          <w:rFonts w:eastAsia="Calibri"/>
          <w:i/>
          <w:sz w:val="23"/>
          <w:szCs w:val="23"/>
          <w:rtl/>
        </w:rPr>
        <w:t>کشور</w:t>
      </w:r>
      <w:r w:rsidRPr="00FE433F">
        <w:rPr>
          <w:rFonts w:eastAsia="Calibri" w:hint="cs"/>
          <w:i/>
          <w:sz w:val="23"/>
          <w:szCs w:val="23"/>
          <w:rtl/>
        </w:rPr>
        <w:t>ی</w:t>
      </w:r>
      <w:r w:rsidRPr="00FE433F">
        <w:rPr>
          <w:rFonts w:eastAsia="Calibri"/>
          <w:i/>
          <w:sz w:val="23"/>
          <w:szCs w:val="23"/>
          <w:rtl/>
        </w:rPr>
        <w:t xml:space="preserve"> بدل</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عدم توانا</w:t>
      </w:r>
      <w:r w:rsidRPr="00FE433F">
        <w:rPr>
          <w:rFonts w:eastAsia="Calibri" w:hint="cs"/>
          <w:i/>
          <w:sz w:val="23"/>
          <w:szCs w:val="23"/>
          <w:rtl/>
        </w:rPr>
        <w:t>یی</w:t>
      </w:r>
      <w:r w:rsidRPr="00FE433F">
        <w:rPr>
          <w:rFonts w:eastAsia="Calibri"/>
          <w:i/>
          <w:sz w:val="23"/>
          <w:szCs w:val="23"/>
          <w:rtl/>
        </w:rPr>
        <w:t xml:space="preserve"> دولت جهت تأم</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مخارج</w:t>
      </w:r>
      <w:r w:rsidRPr="00FE433F">
        <w:rPr>
          <w:rFonts w:eastAsia="Calibri"/>
          <w:i/>
          <w:sz w:val="23"/>
          <w:szCs w:val="23"/>
          <w:rtl/>
        </w:rPr>
        <w:t xml:space="preserve"> </w:t>
      </w:r>
      <w:r w:rsidRPr="00FE433F">
        <w:rPr>
          <w:rFonts w:eastAsia="Calibri" w:hint="eastAsia"/>
          <w:i/>
          <w:sz w:val="23"/>
          <w:szCs w:val="23"/>
          <w:rtl/>
        </w:rPr>
        <w:t>خود</w:t>
      </w:r>
      <w:r w:rsidRPr="00FE433F">
        <w:rPr>
          <w:rFonts w:eastAsia="Calibri"/>
          <w:i/>
          <w:sz w:val="23"/>
          <w:szCs w:val="23"/>
          <w:rtl/>
        </w:rPr>
        <w:t xml:space="preserve"> </w:t>
      </w:r>
      <w:r w:rsidRPr="00FE433F">
        <w:rPr>
          <w:rFonts w:eastAsia="Calibri" w:hint="eastAsia"/>
          <w:i/>
          <w:sz w:val="23"/>
          <w:szCs w:val="23"/>
          <w:rtl/>
        </w:rPr>
        <w:t>از</w:t>
      </w:r>
      <w:r w:rsidRPr="00FE433F">
        <w:rPr>
          <w:rFonts w:eastAsia="Calibri"/>
          <w:i/>
          <w:sz w:val="23"/>
          <w:szCs w:val="23"/>
          <w:rtl/>
        </w:rPr>
        <w:t xml:space="preserve"> </w:t>
      </w:r>
      <w:r w:rsidRPr="00FE433F">
        <w:rPr>
          <w:rFonts w:eastAsia="Calibri" w:hint="eastAsia"/>
          <w:i/>
          <w:sz w:val="23"/>
          <w:szCs w:val="23"/>
          <w:rtl/>
        </w:rPr>
        <w:t>طر</w:t>
      </w:r>
      <w:r w:rsidRPr="00FE433F">
        <w:rPr>
          <w:rFonts w:eastAsia="Calibri" w:hint="cs"/>
          <w:i/>
          <w:sz w:val="23"/>
          <w:szCs w:val="23"/>
          <w:rtl/>
        </w:rPr>
        <w:t>ی</w:t>
      </w:r>
      <w:r w:rsidRPr="00FE433F">
        <w:rPr>
          <w:rFonts w:eastAsia="Calibri" w:hint="eastAsia"/>
          <w:i/>
          <w:sz w:val="23"/>
          <w:szCs w:val="23"/>
          <w:rtl/>
        </w:rPr>
        <w:t>ق</w:t>
      </w:r>
      <w:r w:rsidRPr="00FE433F">
        <w:rPr>
          <w:rFonts w:eastAsia="Calibri"/>
          <w:i/>
          <w:sz w:val="23"/>
          <w:szCs w:val="23"/>
          <w:rtl/>
        </w:rPr>
        <w:t xml:space="preserve"> </w:t>
      </w:r>
      <w:r w:rsidRPr="00FE433F">
        <w:rPr>
          <w:rFonts w:eastAsia="Calibri" w:hint="eastAsia"/>
          <w:i/>
          <w:sz w:val="23"/>
          <w:szCs w:val="23"/>
          <w:rtl/>
        </w:rPr>
        <w:t>مال</w:t>
      </w:r>
      <w:r w:rsidRPr="00FE433F">
        <w:rPr>
          <w:rFonts w:eastAsia="Calibri" w:hint="cs"/>
          <w:i/>
          <w:sz w:val="23"/>
          <w:szCs w:val="23"/>
          <w:rtl/>
        </w:rPr>
        <w:t>ی</w:t>
      </w:r>
      <w:r w:rsidRPr="00FE433F">
        <w:rPr>
          <w:rFonts w:eastAsia="Calibri" w:hint="eastAsia"/>
          <w:i/>
          <w:sz w:val="23"/>
          <w:szCs w:val="23"/>
          <w:rtl/>
        </w:rPr>
        <w:t>ات</w:t>
      </w:r>
      <w:r w:rsidRPr="00FE433F">
        <w:rPr>
          <w:rFonts w:eastAsia="Calibri"/>
          <w:i/>
          <w:sz w:val="23"/>
          <w:szCs w:val="23"/>
          <w:rtl/>
        </w:rPr>
        <w:t>‌ها م</w:t>
      </w:r>
      <w:r w:rsidRPr="00FE433F">
        <w:rPr>
          <w:rFonts w:eastAsia="Calibri" w:hint="cs"/>
          <w:i/>
          <w:sz w:val="23"/>
          <w:szCs w:val="23"/>
          <w:rtl/>
        </w:rPr>
        <w:t>ی</w:t>
      </w:r>
      <w:r w:rsidRPr="00FE433F">
        <w:rPr>
          <w:rFonts w:eastAsia="Calibri"/>
          <w:i/>
          <w:sz w:val="23"/>
          <w:szCs w:val="23"/>
          <w:rtl/>
        </w:rPr>
        <w:softHyphen/>
        <w:t>باشد. کشورها</w:t>
      </w:r>
      <w:r w:rsidRPr="00FE433F">
        <w:rPr>
          <w:rFonts w:eastAsia="Calibri" w:hint="cs"/>
          <w:i/>
          <w:sz w:val="23"/>
          <w:szCs w:val="23"/>
          <w:rtl/>
        </w:rPr>
        <w:t>ی</w:t>
      </w:r>
      <w:r w:rsidRPr="00FE433F">
        <w:rPr>
          <w:rFonts w:eastAsia="Calibri"/>
          <w:i/>
          <w:sz w:val="23"/>
          <w:szCs w:val="23"/>
          <w:rtl/>
        </w:rPr>
        <w:t xml:space="preserve"> اتحاد جماه</w:t>
      </w:r>
      <w:r w:rsidRPr="00FE433F">
        <w:rPr>
          <w:rFonts w:eastAsia="Calibri" w:hint="cs"/>
          <w:i/>
          <w:sz w:val="23"/>
          <w:szCs w:val="23"/>
          <w:rtl/>
        </w:rPr>
        <w:t>ی</w:t>
      </w:r>
      <w:r w:rsidRPr="00FE433F">
        <w:rPr>
          <w:rFonts w:eastAsia="Calibri" w:hint="eastAsia"/>
          <w:i/>
          <w:sz w:val="23"/>
          <w:szCs w:val="23"/>
          <w:rtl/>
        </w:rPr>
        <w:t>ر</w:t>
      </w:r>
      <w:r w:rsidRPr="00FE433F">
        <w:rPr>
          <w:rFonts w:eastAsia="Calibri"/>
          <w:i/>
          <w:sz w:val="23"/>
          <w:szCs w:val="23"/>
          <w:rtl/>
        </w:rPr>
        <w:t xml:space="preserve"> شورو</w:t>
      </w:r>
      <w:r w:rsidRPr="00FE433F">
        <w:rPr>
          <w:rFonts w:eastAsia="Calibri" w:hint="cs"/>
          <w:i/>
          <w:sz w:val="23"/>
          <w:szCs w:val="23"/>
          <w:rtl/>
        </w:rPr>
        <w:t>ی</w:t>
      </w:r>
      <w:r w:rsidRPr="00FE433F">
        <w:rPr>
          <w:rFonts w:eastAsia="Calibri"/>
          <w:i/>
          <w:sz w:val="23"/>
          <w:szCs w:val="23"/>
          <w:rtl/>
        </w:rPr>
        <w:t xml:space="preserve"> سابق وارث نظام مال</w:t>
      </w:r>
      <w:r w:rsidRPr="00FE433F">
        <w:rPr>
          <w:rFonts w:eastAsia="Calibri" w:hint="cs"/>
          <w:i/>
          <w:sz w:val="23"/>
          <w:szCs w:val="23"/>
          <w:rtl/>
        </w:rPr>
        <w:t>ی</w:t>
      </w:r>
      <w:r w:rsidRPr="00FE433F">
        <w:rPr>
          <w:rFonts w:eastAsia="Calibri" w:hint="eastAsia"/>
          <w:i/>
          <w:sz w:val="23"/>
          <w:szCs w:val="23"/>
          <w:rtl/>
        </w:rPr>
        <w:t>ات</w:t>
      </w:r>
      <w:r w:rsidRPr="00FE433F">
        <w:rPr>
          <w:rFonts w:eastAsia="Calibri"/>
          <w:i/>
          <w:sz w:val="23"/>
          <w:szCs w:val="23"/>
          <w:rtl/>
        </w:rPr>
        <w:t xml:space="preserve"> </w:t>
      </w:r>
      <w:r w:rsidRPr="00FE433F">
        <w:rPr>
          <w:rFonts w:eastAsia="Calibri" w:hint="eastAsia"/>
          <w:i/>
          <w:sz w:val="23"/>
          <w:szCs w:val="23"/>
          <w:rtl/>
        </w:rPr>
        <w:t>بر</w:t>
      </w:r>
      <w:r w:rsidRPr="00FE433F">
        <w:rPr>
          <w:rFonts w:eastAsia="Calibri"/>
          <w:i/>
          <w:sz w:val="23"/>
          <w:szCs w:val="23"/>
          <w:rtl/>
        </w:rPr>
        <w:t xml:space="preserve"> </w:t>
      </w:r>
      <w:r w:rsidRPr="00FE433F">
        <w:rPr>
          <w:rFonts w:eastAsia="Calibri" w:hint="eastAsia"/>
          <w:i/>
          <w:sz w:val="23"/>
          <w:szCs w:val="23"/>
          <w:rtl/>
        </w:rPr>
        <w:t>درآمد</w:t>
      </w:r>
      <w:r w:rsidRPr="00FE433F">
        <w:rPr>
          <w:rFonts w:eastAsia="Calibri"/>
          <w:i/>
          <w:sz w:val="23"/>
          <w:szCs w:val="23"/>
          <w:rtl/>
        </w:rPr>
        <w:t xml:space="preserve"> </w:t>
      </w:r>
      <w:r w:rsidRPr="00FE433F">
        <w:rPr>
          <w:rFonts w:eastAsia="Calibri" w:hint="eastAsia"/>
          <w:i/>
          <w:sz w:val="23"/>
          <w:szCs w:val="23"/>
          <w:rtl/>
        </w:rPr>
        <w:t>و</w:t>
      </w:r>
      <w:r w:rsidRPr="00FE433F">
        <w:rPr>
          <w:rFonts w:eastAsia="Calibri"/>
          <w:i/>
          <w:sz w:val="23"/>
          <w:szCs w:val="23"/>
          <w:rtl/>
        </w:rPr>
        <w:t xml:space="preserve"> </w:t>
      </w:r>
      <w:r w:rsidRPr="00FE433F">
        <w:rPr>
          <w:rFonts w:eastAsia="Calibri" w:hint="eastAsia"/>
          <w:i/>
          <w:sz w:val="23"/>
          <w:szCs w:val="23"/>
          <w:rtl/>
        </w:rPr>
        <w:t>مصرف</w:t>
      </w:r>
      <w:r w:rsidRPr="00FE433F">
        <w:rPr>
          <w:rFonts w:eastAsia="Calibri"/>
          <w:i/>
          <w:sz w:val="23"/>
          <w:szCs w:val="23"/>
          <w:rtl/>
        </w:rPr>
        <w:t xml:space="preserve"> </w:t>
      </w:r>
      <w:r w:rsidRPr="00FE433F">
        <w:rPr>
          <w:rFonts w:eastAsia="Calibri" w:hint="cs"/>
          <w:i/>
          <w:sz w:val="23"/>
          <w:szCs w:val="23"/>
          <w:rtl/>
        </w:rPr>
        <w:t>نا</w:t>
      </w:r>
      <w:r w:rsidRPr="00FE433F">
        <w:rPr>
          <w:rFonts w:eastAsia="Calibri"/>
          <w:i/>
          <w:sz w:val="23"/>
          <w:szCs w:val="23"/>
          <w:rtl/>
        </w:rPr>
        <w:t>مناسب بودند. تا زمان تغ</w:t>
      </w:r>
      <w:r w:rsidRPr="00FE433F">
        <w:rPr>
          <w:rFonts w:eastAsia="Calibri" w:hint="cs"/>
          <w:i/>
          <w:sz w:val="23"/>
          <w:szCs w:val="23"/>
          <w:rtl/>
        </w:rPr>
        <w:t>یی</w:t>
      </w:r>
      <w:r w:rsidRPr="00FE433F">
        <w:rPr>
          <w:rFonts w:eastAsia="Calibri" w:hint="eastAsia"/>
          <w:i/>
          <w:sz w:val="23"/>
          <w:szCs w:val="23"/>
          <w:rtl/>
        </w:rPr>
        <w:t>ر</w:t>
      </w:r>
      <w:r w:rsidRPr="00FE433F">
        <w:rPr>
          <w:rFonts w:eastAsia="Calibri"/>
          <w:i/>
          <w:sz w:val="23"/>
          <w:szCs w:val="23"/>
          <w:rtl/>
        </w:rPr>
        <w:t xml:space="preserve"> </w:t>
      </w:r>
      <w:r w:rsidRPr="00FE433F">
        <w:rPr>
          <w:rFonts w:eastAsia="Calibri" w:hint="eastAsia"/>
          <w:i/>
          <w:sz w:val="23"/>
          <w:szCs w:val="23"/>
          <w:rtl/>
        </w:rPr>
        <w:t>نظام</w:t>
      </w:r>
      <w:r w:rsidRPr="00FE433F">
        <w:rPr>
          <w:rFonts w:eastAsia="Calibri"/>
          <w:i/>
          <w:sz w:val="23"/>
          <w:szCs w:val="23"/>
          <w:rtl/>
        </w:rPr>
        <w:t xml:space="preserve"> </w:t>
      </w:r>
      <w:r w:rsidRPr="00FE433F">
        <w:rPr>
          <w:rFonts w:eastAsia="Calibri" w:hint="eastAsia"/>
          <w:i/>
          <w:sz w:val="23"/>
          <w:szCs w:val="23"/>
          <w:rtl/>
        </w:rPr>
        <w:t>مال</w:t>
      </w:r>
      <w:r w:rsidRPr="00FE433F">
        <w:rPr>
          <w:rFonts w:eastAsia="Calibri" w:hint="cs"/>
          <w:i/>
          <w:sz w:val="23"/>
          <w:szCs w:val="23"/>
          <w:rtl/>
        </w:rPr>
        <w:t>ی</w:t>
      </w:r>
      <w:r w:rsidRPr="00FE433F">
        <w:rPr>
          <w:rFonts w:eastAsia="Calibri" w:hint="eastAsia"/>
          <w:i/>
          <w:sz w:val="23"/>
          <w:szCs w:val="23"/>
          <w:rtl/>
        </w:rPr>
        <w:t>ات</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و</w:t>
      </w:r>
      <w:r w:rsidRPr="00FE433F">
        <w:rPr>
          <w:rFonts w:eastAsia="Calibri"/>
          <w:i/>
          <w:sz w:val="23"/>
          <w:szCs w:val="23"/>
          <w:rtl/>
        </w:rPr>
        <w:t xml:space="preserve"> </w:t>
      </w:r>
      <w:r w:rsidRPr="00FE433F">
        <w:rPr>
          <w:rFonts w:eastAsia="Calibri" w:hint="eastAsia"/>
          <w:i/>
          <w:sz w:val="23"/>
          <w:szCs w:val="23"/>
          <w:rtl/>
        </w:rPr>
        <w:t>همچن</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عدم</w:t>
      </w:r>
      <w:r w:rsidRPr="00FE433F">
        <w:rPr>
          <w:rFonts w:eastAsia="Calibri"/>
          <w:i/>
          <w:sz w:val="23"/>
          <w:szCs w:val="23"/>
          <w:rtl/>
        </w:rPr>
        <w:t xml:space="preserve"> </w:t>
      </w:r>
      <w:r w:rsidRPr="00FE433F">
        <w:rPr>
          <w:rFonts w:eastAsia="Calibri" w:hint="eastAsia"/>
          <w:i/>
          <w:sz w:val="23"/>
          <w:szCs w:val="23"/>
          <w:rtl/>
        </w:rPr>
        <w:t>امکان</w:t>
      </w:r>
      <w:r w:rsidRPr="00FE433F">
        <w:rPr>
          <w:rFonts w:eastAsia="Calibri"/>
          <w:i/>
          <w:sz w:val="23"/>
          <w:szCs w:val="23"/>
          <w:rtl/>
        </w:rPr>
        <w:t xml:space="preserve"> </w:t>
      </w:r>
      <w:r w:rsidRPr="00FE433F">
        <w:rPr>
          <w:rFonts w:eastAsia="Calibri" w:hint="eastAsia"/>
          <w:i/>
          <w:sz w:val="23"/>
          <w:szCs w:val="23"/>
          <w:rtl/>
        </w:rPr>
        <w:t>استقراض</w:t>
      </w:r>
      <w:r w:rsidRPr="00FE433F">
        <w:rPr>
          <w:rFonts w:eastAsia="Calibri"/>
          <w:i/>
          <w:sz w:val="23"/>
          <w:szCs w:val="23"/>
          <w:rtl/>
        </w:rPr>
        <w:t xml:space="preserve"> </w:t>
      </w:r>
      <w:r w:rsidRPr="00FE433F">
        <w:rPr>
          <w:rFonts w:eastAsia="Calibri" w:hint="eastAsia"/>
          <w:i/>
          <w:sz w:val="23"/>
          <w:szCs w:val="23"/>
          <w:rtl/>
        </w:rPr>
        <w:t>از</w:t>
      </w:r>
      <w:r w:rsidRPr="00FE433F">
        <w:rPr>
          <w:rFonts w:eastAsia="Calibri"/>
          <w:i/>
          <w:sz w:val="23"/>
          <w:szCs w:val="23"/>
          <w:rtl/>
        </w:rPr>
        <w:t xml:space="preserve"> </w:t>
      </w:r>
      <w:r w:rsidRPr="00FE433F">
        <w:rPr>
          <w:rFonts w:eastAsia="Calibri" w:hint="eastAsia"/>
          <w:i/>
          <w:sz w:val="23"/>
          <w:szCs w:val="23"/>
          <w:rtl/>
        </w:rPr>
        <w:t>خارج،</w:t>
      </w:r>
      <w:r w:rsidRPr="00FE433F">
        <w:rPr>
          <w:rFonts w:eastAsia="Calibri"/>
          <w:i/>
          <w:sz w:val="23"/>
          <w:szCs w:val="23"/>
          <w:rtl/>
        </w:rPr>
        <w:t xml:space="preserve"> </w:t>
      </w:r>
      <w:r w:rsidRPr="00FE433F">
        <w:rPr>
          <w:rFonts w:eastAsia="Calibri" w:hint="eastAsia"/>
          <w:i/>
          <w:sz w:val="23"/>
          <w:szCs w:val="23"/>
          <w:rtl/>
        </w:rPr>
        <w:t>آن</w:t>
      </w:r>
      <w:r w:rsidRPr="00FE433F">
        <w:rPr>
          <w:rFonts w:eastAsia="Calibri"/>
          <w:i/>
          <w:sz w:val="23"/>
          <w:szCs w:val="23"/>
          <w:rtl/>
        </w:rPr>
        <w:t xml:space="preserve"> </w:t>
      </w:r>
      <w:r w:rsidRPr="00FE433F">
        <w:rPr>
          <w:rFonts w:eastAsia="Calibri" w:hint="eastAsia"/>
          <w:i/>
          <w:sz w:val="23"/>
          <w:szCs w:val="23"/>
          <w:rtl/>
        </w:rPr>
        <w:t>کشورها</w:t>
      </w:r>
      <w:r w:rsidRPr="00FE433F">
        <w:rPr>
          <w:rFonts w:eastAsia="Calibri"/>
          <w:i/>
          <w:sz w:val="23"/>
          <w:szCs w:val="23"/>
          <w:rtl/>
        </w:rPr>
        <w:t xml:space="preserve"> </w:t>
      </w:r>
      <w:r w:rsidRPr="00FE433F">
        <w:rPr>
          <w:rFonts w:eastAsia="Calibri" w:hint="cs"/>
          <w:i/>
          <w:sz w:val="23"/>
          <w:szCs w:val="23"/>
          <w:rtl/>
        </w:rPr>
        <w:t xml:space="preserve">برای تأمین مالی مخارج دولت خود </w:t>
      </w:r>
      <w:r w:rsidRPr="00FE433F">
        <w:rPr>
          <w:rFonts w:eastAsia="Calibri" w:hint="eastAsia"/>
          <w:i/>
          <w:sz w:val="23"/>
          <w:szCs w:val="23"/>
          <w:rtl/>
        </w:rPr>
        <w:t>مجبور</w:t>
      </w:r>
      <w:r w:rsidRPr="00FE433F">
        <w:rPr>
          <w:rFonts w:eastAsia="Calibri"/>
          <w:i/>
          <w:sz w:val="23"/>
          <w:szCs w:val="23"/>
          <w:rtl/>
        </w:rPr>
        <w:t xml:space="preserve"> </w:t>
      </w:r>
      <w:r w:rsidRPr="00FE433F">
        <w:rPr>
          <w:rFonts w:eastAsia="Calibri" w:hint="eastAsia"/>
          <w:i/>
          <w:sz w:val="23"/>
          <w:szCs w:val="23"/>
          <w:rtl/>
        </w:rPr>
        <w:t>به</w:t>
      </w:r>
      <w:r w:rsidRPr="00FE433F">
        <w:rPr>
          <w:rFonts w:eastAsia="Calibri"/>
          <w:i/>
          <w:sz w:val="23"/>
          <w:szCs w:val="23"/>
          <w:rtl/>
        </w:rPr>
        <w:t xml:space="preserve"> </w:t>
      </w:r>
      <w:r w:rsidRPr="00FE433F">
        <w:rPr>
          <w:rFonts w:eastAsia="Calibri" w:hint="eastAsia"/>
          <w:i/>
          <w:sz w:val="23"/>
          <w:szCs w:val="23"/>
          <w:rtl/>
        </w:rPr>
        <w:t>استفاده</w:t>
      </w:r>
      <w:r w:rsidRPr="00FE433F">
        <w:rPr>
          <w:rFonts w:eastAsia="Calibri"/>
          <w:i/>
          <w:sz w:val="23"/>
          <w:szCs w:val="23"/>
          <w:rtl/>
        </w:rPr>
        <w:t xml:space="preserve"> </w:t>
      </w:r>
      <w:r w:rsidRPr="00FE433F">
        <w:rPr>
          <w:rFonts w:eastAsia="Calibri" w:hint="eastAsia"/>
          <w:i/>
          <w:sz w:val="23"/>
          <w:szCs w:val="23"/>
          <w:rtl/>
        </w:rPr>
        <w:t>از</w:t>
      </w:r>
      <w:r w:rsidRPr="00FE433F">
        <w:rPr>
          <w:rFonts w:eastAsia="Calibri"/>
          <w:i/>
          <w:sz w:val="23"/>
          <w:szCs w:val="23"/>
          <w:rtl/>
        </w:rPr>
        <w:t xml:space="preserve"> </w:t>
      </w:r>
      <w:r w:rsidRPr="00FE433F">
        <w:rPr>
          <w:rFonts w:eastAsia="Calibri" w:hint="eastAsia"/>
          <w:i/>
          <w:sz w:val="23"/>
          <w:szCs w:val="23"/>
          <w:rtl/>
        </w:rPr>
        <w:t>مال</w:t>
      </w:r>
      <w:r w:rsidRPr="00FE433F">
        <w:rPr>
          <w:rFonts w:eastAsia="Calibri" w:hint="cs"/>
          <w:i/>
          <w:sz w:val="23"/>
          <w:szCs w:val="23"/>
          <w:rtl/>
        </w:rPr>
        <w:t>ی</w:t>
      </w:r>
      <w:r w:rsidRPr="00FE433F">
        <w:rPr>
          <w:rFonts w:eastAsia="Calibri" w:hint="eastAsia"/>
          <w:i/>
          <w:sz w:val="23"/>
          <w:szCs w:val="23"/>
          <w:rtl/>
        </w:rPr>
        <w:t>ات</w:t>
      </w:r>
      <w:r w:rsidRPr="00FE433F">
        <w:rPr>
          <w:rFonts w:eastAsia="Calibri"/>
          <w:i/>
          <w:sz w:val="23"/>
          <w:szCs w:val="23"/>
          <w:rtl/>
        </w:rPr>
        <w:t xml:space="preserve"> </w:t>
      </w:r>
      <w:r w:rsidRPr="00FE433F">
        <w:rPr>
          <w:rFonts w:eastAsia="Calibri" w:hint="eastAsia"/>
          <w:i/>
          <w:sz w:val="23"/>
          <w:szCs w:val="23"/>
          <w:rtl/>
        </w:rPr>
        <w:t>تورم</w:t>
      </w:r>
      <w:r w:rsidRPr="00FE433F">
        <w:rPr>
          <w:rFonts w:eastAsia="Calibri" w:hint="cs"/>
          <w:i/>
          <w:sz w:val="23"/>
          <w:szCs w:val="23"/>
          <w:rtl/>
        </w:rPr>
        <w:t>ی</w:t>
      </w:r>
      <w:r w:rsidRPr="00FE433F">
        <w:rPr>
          <w:rFonts w:eastAsia="Calibri" w:hint="eastAsia"/>
          <w:i/>
          <w:sz w:val="23"/>
          <w:szCs w:val="23"/>
        </w:rPr>
        <w:t>‌</w:t>
      </w:r>
      <w:r w:rsidRPr="00FE433F">
        <w:rPr>
          <w:rFonts w:hint="cs"/>
          <w:i/>
          <w:sz w:val="23"/>
          <w:szCs w:val="23"/>
          <w:rtl/>
        </w:rPr>
        <w:t xml:space="preserve"> </w:t>
      </w:r>
      <w:r w:rsidRPr="00FE433F">
        <w:rPr>
          <w:rFonts w:eastAsia="Calibri" w:hint="cs"/>
          <w:i/>
          <w:sz w:val="23"/>
          <w:szCs w:val="23"/>
          <w:rtl/>
        </w:rPr>
        <w:t>ی</w:t>
      </w:r>
      <w:r w:rsidRPr="00FE433F">
        <w:rPr>
          <w:rFonts w:eastAsia="Calibri"/>
          <w:i/>
          <w:sz w:val="23"/>
          <w:szCs w:val="23"/>
          <w:rtl/>
        </w:rPr>
        <w:t>ا مال</w:t>
      </w:r>
      <w:r w:rsidRPr="00FE433F">
        <w:rPr>
          <w:rFonts w:eastAsia="Calibri" w:hint="cs"/>
          <w:i/>
          <w:sz w:val="23"/>
          <w:szCs w:val="23"/>
          <w:rtl/>
        </w:rPr>
        <w:t>ی</w:t>
      </w:r>
      <w:r w:rsidRPr="00FE433F">
        <w:rPr>
          <w:rFonts w:eastAsia="Calibri" w:hint="eastAsia"/>
          <w:i/>
          <w:sz w:val="23"/>
          <w:szCs w:val="23"/>
          <w:rtl/>
        </w:rPr>
        <w:t>ات</w:t>
      </w:r>
      <w:r w:rsidRPr="00FE433F">
        <w:rPr>
          <w:rFonts w:eastAsia="Calibri"/>
          <w:i/>
          <w:sz w:val="23"/>
          <w:szCs w:val="23"/>
          <w:rtl/>
        </w:rPr>
        <w:t xml:space="preserve"> </w:t>
      </w:r>
      <w:r w:rsidRPr="00FE433F">
        <w:rPr>
          <w:rFonts w:eastAsia="Calibri" w:hint="eastAsia"/>
          <w:i/>
          <w:sz w:val="23"/>
          <w:szCs w:val="23"/>
          <w:rtl/>
        </w:rPr>
        <w:t>حق</w:t>
      </w:r>
      <w:r w:rsidRPr="00FE433F">
        <w:rPr>
          <w:rFonts w:eastAsia="Calibri"/>
          <w:i/>
          <w:sz w:val="23"/>
          <w:szCs w:val="23"/>
          <w:rtl/>
        </w:rPr>
        <w:softHyphen/>
        <w:t>الضرب بودند که از طر</w:t>
      </w:r>
      <w:r w:rsidRPr="00FE433F">
        <w:rPr>
          <w:rFonts w:eastAsia="Calibri" w:hint="cs"/>
          <w:i/>
          <w:sz w:val="23"/>
          <w:szCs w:val="23"/>
          <w:rtl/>
        </w:rPr>
        <w:t>ی</w:t>
      </w:r>
      <w:r w:rsidRPr="00FE433F">
        <w:rPr>
          <w:rFonts w:eastAsia="Calibri" w:hint="eastAsia"/>
          <w:i/>
          <w:sz w:val="23"/>
          <w:szCs w:val="23"/>
          <w:rtl/>
        </w:rPr>
        <w:t>ق</w:t>
      </w:r>
      <w:r w:rsidRPr="00FE433F">
        <w:rPr>
          <w:rFonts w:eastAsia="Calibri"/>
          <w:i/>
          <w:sz w:val="23"/>
          <w:szCs w:val="23"/>
          <w:rtl/>
        </w:rPr>
        <w:t xml:space="preserve"> </w:t>
      </w:r>
      <w:r w:rsidRPr="00FE433F">
        <w:rPr>
          <w:rFonts w:eastAsia="Calibri" w:hint="eastAsia"/>
          <w:i/>
          <w:sz w:val="23"/>
          <w:szCs w:val="23"/>
          <w:rtl/>
        </w:rPr>
        <w:t>انتشار</w:t>
      </w:r>
      <w:r w:rsidRPr="00FE433F">
        <w:rPr>
          <w:rFonts w:eastAsia="Calibri"/>
          <w:i/>
          <w:sz w:val="23"/>
          <w:szCs w:val="23"/>
          <w:rtl/>
        </w:rPr>
        <w:t xml:space="preserve"> </w:t>
      </w:r>
      <w:r w:rsidRPr="00FE433F">
        <w:rPr>
          <w:rFonts w:eastAsia="Calibri" w:hint="eastAsia"/>
          <w:i/>
          <w:sz w:val="23"/>
          <w:szCs w:val="23"/>
          <w:rtl/>
        </w:rPr>
        <w:t>پول</w:t>
      </w:r>
      <w:r w:rsidRPr="00FE433F">
        <w:rPr>
          <w:rFonts w:eastAsia="Calibri"/>
          <w:i/>
          <w:sz w:val="23"/>
          <w:szCs w:val="23"/>
          <w:rtl/>
        </w:rPr>
        <w:t xml:space="preserve"> </w:t>
      </w:r>
      <w:r w:rsidRPr="00FE433F">
        <w:rPr>
          <w:rFonts w:eastAsia="Calibri" w:hint="eastAsia"/>
          <w:i/>
          <w:sz w:val="23"/>
          <w:szCs w:val="23"/>
          <w:rtl/>
        </w:rPr>
        <w:t>صورت</w:t>
      </w:r>
      <w:r w:rsidRPr="00FE433F">
        <w:rPr>
          <w:rFonts w:eastAsia="Calibri"/>
          <w:i/>
          <w:sz w:val="23"/>
          <w:szCs w:val="23"/>
          <w:rtl/>
        </w:rPr>
        <w:t xml:space="preserve"> </w:t>
      </w:r>
      <w:r w:rsidRPr="00FE433F">
        <w:rPr>
          <w:rFonts w:eastAsia="Calibri" w:hint="eastAsia"/>
          <w:i/>
          <w:sz w:val="23"/>
          <w:szCs w:val="23"/>
          <w:rtl/>
        </w:rPr>
        <w:t>م</w:t>
      </w:r>
      <w:r w:rsidRPr="00FE433F">
        <w:rPr>
          <w:rFonts w:eastAsia="Calibri" w:hint="cs"/>
          <w:i/>
          <w:sz w:val="23"/>
          <w:szCs w:val="23"/>
          <w:rtl/>
        </w:rPr>
        <w:t>ی</w:t>
      </w:r>
      <w:r w:rsidRPr="00FE433F">
        <w:rPr>
          <w:rFonts w:eastAsia="Calibri"/>
          <w:i/>
          <w:sz w:val="23"/>
          <w:szCs w:val="23"/>
          <w:rtl/>
        </w:rPr>
        <w:softHyphen/>
        <w:t>گ</w:t>
      </w:r>
      <w:r w:rsidRPr="00FE433F">
        <w:rPr>
          <w:rFonts w:eastAsia="Calibri" w:hint="cs"/>
          <w:i/>
          <w:sz w:val="23"/>
          <w:szCs w:val="23"/>
          <w:rtl/>
        </w:rPr>
        <w:t>ی</w:t>
      </w:r>
      <w:r w:rsidRPr="00FE433F">
        <w:rPr>
          <w:rFonts w:eastAsia="Calibri" w:hint="eastAsia"/>
          <w:i/>
          <w:sz w:val="23"/>
          <w:szCs w:val="23"/>
          <w:rtl/>
        </w:rPr>
        <w:t>رد</w:t>
      </w:r>
      <w:r w:rsidRPr="00FE433F">
        <w:rPr>
          <w:rFonts w:eastAsia="Calibri"/>
          <w:i/>
          <w:sz w:val="23"/>
          <w:szCs w:val="23"/>
          <w:rtl/>
        </w:rPr>
        <w:t xml:space="preserve">. </w:t>
      </w:r>
    </w:p>
    <w:p w14:paraId="466FA779"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جهت تبیین اهمیت نرخ تورم در تأمین مالی مخارج دولت، فرض کنید که مخارج دولت نسبت</w:t>
      </w:r>
      <w:r w:rsidRPr="00FE433F">
        <w:rPr>
          <w:position w:val="-6"/>
        </w:rPr>
        <w:object w:dxaOrig="220" w:dyaOrig="200" w14:anchorId="403521EE">
          <v:shape id="_x0000_i4292" type="#_x0000_t75" style="width:10.9pt;height:10.3pt" o:ole="">
            <v:imagedata r:id="rId6577" o:title=""/>
          </v:shape>
          <o:OLEObject Type="Embed" ProgID="Equation.DSMT4" ShapeID="_x0000_i4292" DrawAspect="Content" ObjectID="_1791378236" r:id="rId6578"/>
        </w:object>
      </w:r>
      <w:r w:rsidRPr="00FE433F">
        <w:rPr>
          <w:rFonts w:hint="cs"/>
          <w:i/>
          <w:sz w:val="23"/>
          <w:szCs w:val="23"/>
          <w:rtl/>
        </w:rPr>
        <w:t xml:space="preserve"> از</w:t>
      </w:r>
      <w:r w:rsidRPr="00FE433F">
        <w:rPr>
          <w:position w:val="-6"/>
        </w:rPr>
        <w:object w:dxaOrig="560" w:dyaOrig="260" w14:anchorId="5163784F">
          <v:shape id="_x0000_i4293" type="#_x0000_t75" style="width:27.85pt;height:13.3pt" o:ole="">
            <v:imagedata r:id="rId6579" o:title=""/>
          </v:shape>
          <o:OLEObject Type="Embed" ProgID="Equation.DSMT4" ShapeID="_x0000_i4293" DrawAspect="Content" ObjectID="_1791378237" r:id="rId6580"/>
        </w:object>
      </w:r>
      <w:r w:rsidRPr="00FE433F">
        <w:rPr>
          <w:rFonts w:hint="cs"/>
          <w:i/>
          <w:sz w:val="23"/>
          <w:szCs w:val="23"/>
          <w:rtl/>
        </w:rPr>
        <w:t>، درآمدهای مالیاتی</w:t>
      </w:r>
      <w:r w:rsidRPr="00FE433F">
        <w:rPr>
          <w:rFonts w:eastAsia="Calibri" w:hint="cs"/>
          <w:i/>
          <w:sz w:val="23"/>
          <w:szCs w:val="23"/>
          <w:rtl/>
        </w:rPr>
        <w:t xml:space="preserve"> نسبت</w:t>
      </w:r>
      <w:r w:rsidRPr="00FE433F">
        <w:rPr>
          <w:position w:val="-10"/>
        </w:rPr>
        <w:object w:dxaOrig="220" w:dyaOrig="300" w14:anchorId="700B4829">
          <v:shape id="_x0000_i4294" type="#_x0000_t75" style="width:10.9pt;height:15.15pt" o:ole="">
            <v:imagedata r:id="rId6581" o:title=""/>
          </v:shape>
          <o:OLEObject Type="Embed" ProgID="Equation.DSMT4" ShapeID="_x0000_i4294" DrawAspect="Content" ObjectID="_1791378238" r:id="rId6582"/>
        </w:object>
      </w:r>
      <w:r w:rsidRPr="00FE433F">
        <w:rPr>
          <w:rFonts w:hint="cs"/>
          <w:i/>
          <w:sz w:val="23"/>
          <w:szCs w:val="23"/>
          <w:rtl/>
        </w:rPr>
        <w:t xml:space="preserve"> از مخارج دولتی، موجودی پول نسبت</w:t>
      </w:r>
      <w:r w:rsidRPr="00FE433F">
        <w:rPr>
          <w:position w:val="-10"/>
        </w:rPr>
        <w:object w:dxaOrig="200" w:dyaOrig="240" w14:anchorId="7BDC4873">
          <v:shape id="_x0000_i4295" type="#_x0000_t75" style="width:10.3pt;height:12.1pt" o:ole="">
            <v:imagedata r:id="rId6583" o:title=""/>
          </v:shape>
          <o:OLEObject Type="Embed" ProgID="Equation.DSMT4" ShapeID="_x0000_i4295" DrawAspect="Content" ObjectID="_1791378239" r:id="rId6584"/>
        </w:object>
      </w:r>
      <w:r w:rsidRPr="00FE433F">
        <w:rPr>
          <w:rFonts w:hint="cs"/>
          <w:i/>
          <w:sz w:val="23"/>
          <w:szCs w:val="23"/>
          <w:rtl/>
        </w:rPr>
        <w:t xml:space="preserve"> از مخارج خصوصی است. </w:t>
      </w:r>
      <w:r w:rsidRPr="00FE433F">
        <w:rPr>
          <w:rFonts w:eastAsia="Calibri"/>
          <w:i/>
          <w:sz w:val="23"/>
          <w:szCs w:val="23"/>
          <w:rtl/>
        </w:rPr>
        <w:t>از 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بودجه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دولت</w:t>
      </w:r>
      <w:r w:rsidRPr="00FE433F">
        <w:rPr>
          <w:rFonts w:eastAsia="Calibri" w:hint="cs"/>
          <w:i/>
          <w:sz w:val="23"/>
          <w:szCs w:val="23"/>
          <w:rtl/>
        </w:rPr>
        <w:t>،</w:t>
      </w:r>
      <w:r w:rsidRPr="00FE433F">
        <w:rPr>
          <w:rFonts w:eastAsia="Calibri"/>
          <w:i/>
          <w:sz w:val="23"/>
          <w:szCs w:val="23"/>
          <w:rtl/>
        </w:rPr>
        <w:t xml:space="preserve"> نسبت درآمد حق</w:t>
      </w:r>
      <w:r w:rsidRPr="00FE433F">
        <w:rPr>
          <w:rFonts w:eastAsia="Calibri"/>
          <w:i/>
          <w:sz w:val="23"/>
          <w:szCs w:val="23"/>
          <w:rtl/>
        </w:rPr>
        <w:softHyphen/>
        <w:t xml:space="preserve">الضرب به </w:t>
      </w:r>
      <w:r w:rsidRPr="00FE433F">
        <w:rPr>
          <w:rFonts w:eastAsia="Calibri"/>
          <w:i/>
          <w:sz w:val="23"/>
          <w:szCs w:val="23"/>
        </w:rPr>
        <w:t>GDP</w:t>
      </w:r>
      <w:r w:rsidRPr="00FE433F">
        <w:rPr>
          <w:rFonts w:eastAsia="Calibri"/>
          <w:i/>
          <w:sz w:val="23"/>
          <w:szCs w:val="23"/>
          <w:rtl/>
        </w:rPr>
        <w:t xml:space="preserve"> با</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برابر باشد با</w:t>
      </w:r>
    </w:p>
    <w:p w14:paraId="4478A1ED" w14:textId="77777777" w:rsidR="00411620" w:rsidRPr="00FE433F" w:rsidRDefault="00411620" w:rsidP="00411620">
      <w:pPr>
        <w:pStyle w:val="MTDisplayEquation"/>
        <w:tabs>
          <w:tab w:val="clear" w:pos="6660"/>
        </w:tabs>
        <w:spacing w:line="216" w:lineRule="auto"/>
        <w:rPr>
          <w:rFonts w:ascii="Times New Roman" w:eastAsia="Times New Roman" w:hAnsi="Times New Roman" w:cs="B Nazanin"/>
          <w:i/>
          <w:sz w:val="23"/>
          <w:szCs w:val="23"/>
          <w:lang w:bidi="fa-IR"/>
        </w:rPr>
      </w:pPr>
      <w:r w:rsidRPr="00FE433F">
        <w:rPr>
          <w:position w:val="-26"/>
        </w:rPr>
        <w:object w:dxaOrig="1160" w:dyaOrig="600" w14:anchorId="4CD451D9">
          <v:shape id="_x0000_i4296" type="#_x0000_t75" style="width:58.1pt;height:29.65pt" o:ole="">
            <v:imagedata r:id="rId6585" o:title=""/>
          </v:shape>
          <o:OLEObject Type="Embed" ProgID="Equation.DSMT4" ShapeID="_x0000_i4296" DrawAspect="Content" ObjectID="_1791378240" r:id="rId6586"/>
        </w:object>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i/>
          <w:sz w:val="23"/>
          <w:szCs w:val="23"/>
          <w:rtl/>
        </w:rPr>
        <w:tab/>
      </w:r>
      <w:r w:rsidRPr="00FE433F">
        <w:rPr>
          <w:rFonts w:ascii="Times New Roman" w:hAnsi="Times New Roman" w:cs="B Nazanin"/>
          <w:i/>
          <w:sz w:val="23"/>
          <w:szCs w:val="23"/>
          <w:rtl/>
        </w:rPr>
        <w:tab/>
        <w:t>(</w:t>
      </w:r>
      <w:r w:rsidRPr="00FE433F">
        <w:rPr>
          <w:rFonts w:ascii="Times New Roman" w:hAnsi="Times New Roman" w:cs="B Nazanin"/>
          <w:i/>
          <w:sz w:val="23"/>
          <w:szCs w:val="23"/>
          <w:rtl/>
          <w:lang w:bidi="fa-IR"/>
        </w:rPr>
        <w:t>۸.</w:t>
      </w:r>
      <w:r w:rsidRPr="00FE433F">
        <w:rPr>
          <w:rFonts w:ascii="Times New Roman" w:hAnsi="Times New Roman" w:cs="B Nazanin"/>
          <w:i/>
          <w:sz w:val="23"/>
          <w:szCs w:val="23"/>
          <w:rtl/>
        </w:rPr>
        <w:t xml:space="preserve"> </w:t>
      </w:r>
      <w:r w:rsidRPr="00FE433F">
        <w:rPr>
          <w:rFonts w:ascii="Times New Roman" w:hAnsi="Times New Roman" w:cs="B Nazanin" w:hint="cs"/>
          <w:i/>
          <w:sz w:val="23"/>
          <w:szCs w:val="23"/>
          <w:rtl/>
        </w:rPr>
        <w:t>۲۸</w:t>
      </w:r>
      <w:r w:rsidRPr="00FE433F">
        <w:rPr>
          <w:rFonts w:ascii="Times New Roman" w:hAnsi="Times New Roman" w:cs="B Nazanin"/>
          <w:i/>
          <w:sz w:val="23"/>
          <w:szCs w:val="23"/>
          <w:rtl/>
          <w:lang w:bidi="fa-IR"/>
        </w:rPr>
        <w:t>)</w:t>
      </w:r>
    </w:p>
    <w:p w14:paraId="62E8DA30"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 xml:space="preserve">که در آن </w:t>
      </w:r>
      <w:r w:rsidRPr="00FE433F">
        <w:rPr>
          <w:rFonts w:eastAsia="Calibri"/>
          <w:i/>
          <w:sz w:val="23"/>
          <w:szCs w:val="23"/>
        </w:rPr>
        <w:t>y</w:t>
      </w:r>
      <w:r w:rsidRPr="00FE433F">
        <w:rPr>
          <w:rFonts w:eastAsia="Calibri"/>
          <w:i/>
          <w:sz w:val="23"/>
          <w:szCs w:val="23"/>
          <w:rtl/>
        </w:rPr>
        <w:t xml:space="preserve"> تول</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ناخالص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hint="eastAsia"/>
          <w:i/>
          <w:sz w:val="23"/>
          <w:szCs w:val="23"/>
          <w:rtl/>
        </w:rPr>
        <w:t>،</w:t>
      </w:r>
      <w:r w:rsidRPr="00FE433F">
        <w:rPr>
          <w:rFonts w:eastAsia="Calibri"/>
          <w:i/>
          <w:sz w:val="23"/>
          <w:szCs w:val="23"/>
          <w:rtl/>
        </w:rPr>
        <w:t xml:space="preserve"> </w:t>
      </w:r>
      <w:r w:rsidRPr="00FE433F">
        <w:rPr>
          <w:rFonts w:eastAsia="Calibri"/>
          <w:i/>
          <w:sz w:val="23"/>
          <w:szCs w:val="23"/>
        </w:rPr>
        <w:t>g</w:t>
      </w:r>
      <w:r w:rsidRPr="00FE433F">
        <w:rPr>
          <w:rFonts w:eastAsia="Calibri"/>
          <w:i/>
          <w:sz w:val="23"/>
          <w:szCs w:val="23"/>
          <w:rtl/>
        </w:rPr>
        <w:t xml:space="preserve"> مخارج </w:t>
      </w:r>
      <w:r w:rsidRPr="00FE433F">
        <w:rPr>
          <w:rFonts w:eastAsia="Calibri" w:hint="cs"/>
          <w:i/>
          <w:sz w:val="23"/>
          <w:szCs w:val="23"/>
          <w:rtl/>
        </w:rPr>
        <w:t xml:space="preserve">حقیقی </w:t>
      </w:r>
      <w:r w:rsidRPr="00FE433F">
        <w:rPr>
          <w:rFonts w:eastAsia="Calibri"/>
          <w:i/>
          <w:sz w:val="23"/>
          <w:szCs w:val="23"/>
          <w:rtl/>
        </w:rPr>
        <w:t xml:space="preserve">دولت و </w:t>
      </w:r>
      <w:r w:rsidRPr="00FE433F">
        <w:rPr>
          <w:rFonts w:eastAsia="Calibri"/>
          <w:i/>
          <w:sz w:val="23"/>
          <w:szCs w:val="23"/>
        </w:rPr>
        <w:t>T</w:t>
      </w:r>
      <w:r w:rsidRPr="00FE433F">
        <w:rPr>
          <w:rFonts w:eastAsia="Calibri"/>
          <w:i/>
          <w:sz w:val="23"/>
          <w:szCs w:val="23"/>
          <w:rtl/>
        </w:rPr>
        <w:t xml:space="preserve"> مال</w:t>
      </w:r>
      <w:r w:rsidRPr="00FE433F">
        <w:rPr>
          <w:rFonts w:eastAsia="Calibri" w:hint="cs"/>
          <w:i/>
          <w:sz w:val="23"/>
          <w:szCs w:val="23"/>
          <w:rtl/>
        </w:rPr>
        <w:t>ی</w:t>
      </w:r>
      <w:r w:rsidRPr="00FE433F">
        <w:rPr>
          <w:rFonts w:eastAsia="Calibri" w:hint="eastAsia"/>
          <w:i/>
          <w:sz w:val="23"/>
          <w:szCs w:val="23"/>
          <w:rtl/>
        </w:rPr>
        <w:t>ات</w:t>
      </w:r>
      <w:r w:rsidRPr="00FE433F">
        <w:rPr>
          <w:rFonts w:eastAsia="Calibri"/>
          <w:i/>
          <w:sz w:val="23"/>
          <w:szCs w:val="23"/>
          <w:rtl/>
        </w:rPr>
        <w:t>‌ها</w:t>
      </w:r>
      <w:r w:rsidRPr="00FE433F">
        <w:rPr>
          <w:rFonts w:eastAsia="Calibri" w:hint="cs"/>
          <w:i/>
          <w:sz w:val="23"/>
          <w:szCs w:val="23"/>
          <w:rtl/>
        </w:rPr>
        <w:t>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 xml:space="preserve">ی </w:t>
      </w:r>
      <w:r w:rsidRPr="00FE433F">
        <w:rPr>
          <w:rFonts w:eastAsia="Calibri"/>
          <w:i/>
          <w:sz w:val="23"/>
          <w:szCs w:val="23"/>
          <w:rtl/>
        </w:rPr>
        <w:t>و</w:t>
      </w:r>
      <w:r w:rsidRPr="00FE433F">
        <w:rPr>
          <w:position w:val="-8"/>
        </w:rPr>
        <w:object w:dxaOrig="900" w:dyaOrig="240" w14:anchorId="0854C53B">
          <v:shape id="_x0000_i4297" type="#_x0000_t75" style="width:45.4pt;height:12.1pt" o:ole="">
            <v:imagedata r:id="rId6587" o:title=""/>
          </v:shape>
          <o:OLEObject Type="Embed" ProgID="Equation.DSMT4" ShapeID="_x0000_i4297" DrawAspect="Content" ObjectID="_1791378241" r:id="rId6588"/>
        </w:object>
      </w:r>
      <w:r w:rsidRPr="00FE433F">
        <w:rPr>
          <w:rFonts w:hint="cs"/>
          <w:i/>
          <w:sz w:val="23"/>
          <w:szCs w:val="23"/>
          <w:rtl/>
        </w:rPr>
        <w:t>است</w:t>
      </w:r>
      <w:r w:rsidRPr="00FE433F">
        <w:rPr>
          <w:rFonts w:eastAsia="Calibri"/>
          <w:i/>
          <w:sz w:val="23"/>
          <w:szCs w:val="23"/>
          <w:rtl/>
        </w:rPr>
        <w:t>. با حل رابطه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فوق بر حسب تورم خواه</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w:t>
      </w:r>
      <w:r w:rsidRPr="00FE433F">
        <w:rPr>
          <w:rFonts w:eastAsia="Calibri" w:hint="eastAsia"/>
          <w:i/>
          <w:sz w:val="23"/>
          <w:szCs w:val="23"/>
          <w:rtl/>
        </w:rPr>
        <w:t>داشت</w:t>
      </w:r>
    </w:p>
    <w:p w14:paraId="1A073C28" w14:textId="77777777" w:rsidR="00411620" w:rsidRPr="00FE433F" w:rsidRDefault="00411620" w:rsidP="00411620">
      <w:pPr>
        <w:pStyle w:val="MTDisplayEquation"/>
        <w:spacing w:line="216" w:lineRule="auto"/>
        <w:rPr>
          <w:rFonts w:ascii="Times New Roman" w:hAnsi="Times New Roman" w:cs="B Nazanin"/>
          <w:i/>
          <w:sz w:val="23"/>
          <w:szCs w:val="23"/>
          <w:rtl/>
        </w:rPr>
      </w:pPr>
      <w:r w:rsidRPr="00FE433F">
        <w:rPr>
          <w:position w:val="-52"/>
        </w:rPr>
        <w:object w:dxaOrig="5460" w:dyaOrig="1140" w14:anchorId="371F2247">
          <v:shape id="_x0000_i4298" type="#_x0000_t75" style="width:272.85pt;height:56.85pt" o:ole="">
            <v:imagedata r:id="rId6589" o:title=""/>
          </v:shape>
          <o:OLEObject Type="Embed" ProgID="Equation.DSMT4" ShapeID="_x0000_i4298" DrawAspect="Content" ObjectID="_1791378242" r:id="rId6590"/>
        </w:object>
      </w:r>
    </w:p>
    <w:p w14:paraId="229B8068" w14:textId="77777777" w:rsidR="00411620" w:rsidRPr="00FE433F" w:rsidRDefault="00411620" w:rsidP="00411620">
      <w:pPr>
        <w:pStyle w:val="MTDisplayEquation"/>
        <w:bidi/>
        <w:spacing w:line="216" w:lineRule="auto"/>
        <w:rPr>
          <w:rFonts w:ascii="Times New Roman" w:hAnsi="Times New Roman" w:cs="B Nazanin"/>
          <w:i/>
          <w:sz w:val="23"/>
          <w:szCs w:val="23"/>
          <w:rtl/>
          <w:lang w:bidi="fa-IR"/>
        </w:rPr>
      </w:pPr>
      <w:r w:rsidRPr="00FE433F">
        <w:rPr>
          <w:rFonts w:ascii="Times New Roman" w:hAnsi="Times New Roman" w:cs="B Nazanin" w:hint="eastAsia"/>
          <w:i/>
          <w:sz w:val="23"/>
          <w:szCs w:val="23"/>
          <w:rtl/>
          <w:lang w:bidi="fa-IR"/>
        </w:rPr>
        <w:t>که</w:t>
      </w:r>
      <w:r w:rsidRPr="00FE433F">
        <w:rPr>
          <w:rFonts w:ascii="Times New Roman" w:hAnsi="Times New Roman" w:cs="B Nazanin"/>
          <w:i/>
          <w:sz w:val="23"/>
          <w:szCs w:val="23"/>
          <w:rtl/>
          <w:lang w:bidi="fa-IR"/>
        </w:rPr>
        <w:t xml:space="preserve"> در آن مقدار نرخ تورم مورد ن</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از</w:t>
      </w:r>
      <w:r w:rsidRPr="00FE433F">
        <w:rPr>
          <w:rFonts w:ascii="Times New Roman" w:hAnsi="Times New Roman" w:cs="B Nazanin"/>
          <w:i/>
          <w:sz w:val="23"/>
          <w:szCs w:val="23"/>
          <w:rtl/>
          <w:lang w:bidi="fa-IR"/>
        </w:rPr>
        <w:t xml:space="preserve"> جهت تأم</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ن</w:t>
      </w:r>
      <w:r w:rsidRPr="00FE433F">
        <w:rPr>
          <w:rFonts w:ascii="Times New Roman" w:hAnsi="Times New Roman" w:cs="B Nazanin"/>
          <w:i/>
          <w:sz w:val="23"/>
          <w:szCs w:val="23"/>
          <w:rtl/>
          <w:lang w:bidi="fa-IR"/>
        </w:rPr>
        <w:t xml:space="preserve"> مخارج دولت </w:t>
      </w:r>
      <w:r w:rsidRPr="00FE433F">
        <w:rPr>
          <w:rFonts w:ascii="Times New Roman" w:hAnsi="Times New Roman" w:cs="B Nazanin" w:hint="eastAsia"/>
          <w:i/>
          <w:sz w:val="23"/>
          <w:szCs w:val="23"/>
          <w:rtl/>
          <w:lang w:bidi="fa-IR"/>
        </w:rPr>
        <w:t>ب</w:t>
      </w:r>
      <w:r w:rsidRPr="00FE433F">
        <w:rPr>
          <w:rFonts w:ascii="Times New Roman" w:hAnsi="Times New Roman" w:cs="B Nazanin" w:hint="cs"/>
          <w:i/>
          <w:sz w:val="23"/>
          <w:szCs w:val="23"/>
          <w:rtl/>
          <w:lang w:bidi="fa-IR"/>
        </w:rPr>
        <w:t>د</w:t>
      </w:r>
      <w:r w:rsidRPr="00FE433F">
        <w:rPr>
          <w:rFonts w:ascii="Times New Roman" w:hAnsi="Times New Roman" w:cs="B Nazanin" w:hint="eastAsia"/>
          <w:i/>
          <w:sz w:val="23"/>
          <w:szCs w:val="23"/>
          <w:rtl/>
          <w:lang w:bidi="fa-IR"/>
        </w:rPr>
        <w:t>ست</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م</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softHyphen/>
      </w:r>
      <w:r w:rsidRPr="00FE433F">
        <w:rPr>
          <w:rFonts w:ascii="Times New Roman" w:hAnsi="Times New Roman" w:cs="B Nazanin" w:hint="eastAsia"/>
          <w:i/>
          <w:sz w:val="23"/>
          <w:szCs w:val="23"/>
          <w:rtl/>
          <w:lang w:bidi="fa-IR"/>
        </w:rPr>
        <w:t>آ</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د</w:t>
      </w:r>
      <w:r w:rsidRPr="00FE433F">
        <w:rPr>
          <w:rFonts w:ascii="Times New Roman" w:hAnsi="Times New Roman" w:cs="B Nazanin"/>
          <w:i/>
          <w:sz w:val="23"/>
          <w:szCs w:val="23"/>
          <w:rtl/>
          <w:lang w:bidi="fa-IR"/>
        </w:rPr>
        <w:t>. در ا</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ن</w:t>
      </w:r>
      <w:r w:rsidRPr="00FE433F">
        <w:rPr>
          <w:rFonts w:ascii="Times New Roman" w:hAnsi="Times New Roman" w:cs="B Nazanin"/>
          <w:i/>
          <w:sz w:val="23"/>
          <w:szCs w:val="23"/>
          <w:rtl/>
          <w:lang w:bidi="fa-IR"/>
        </w:rPr>
        <w:t xml:space="preserve"> رابطه نسبت مخارج دولت به </w:t>
      </w:r>
      <w:r w:rsidRPr="00FE433F">
        <w:rPr>
          <w:rFonts w:ascii="Times New Roman" w:hAnsi="Times New Roman" w:cs="B Nazanin"/>
          <w:i/>
          <w:sz w:val="23"/>
          <w:szCs w:val="23"/>
          <w:lang w:bidi="fa-IR"/>
        </w:rPr>
        <w:t>GDP</w:t>
      </w:r>
      <w:r w:rsidRPr="00FE433F">
        <w:rPr>
          <w:rFonts w:ascii="Times New Roman" w:hAnsi="Times New Roman" w:cs="B Nazanin"/>
          <w:i/>
          <w:sz w:val="23"/>
          <w:szCs w:val="23"/>
          <w:rtl/>
          <w:lang w:bidi="fa-IR"/>
        </w:rPr>
        <w:t xml:space="preserve"> برابر است با</w:t>
      </w:r>
      <w:r w:rsidRPr="00FE433F">
        <w:rPr>
          <w:position w:val="-6"/>
        </w:rPr>
        <w:object w:dxaOrig="220" w:dyaOrig="200" w14:anchorId="4072E053">
          <v:shape id="_x0000_i4299" type="#_x0000_t75" style="width:10.9pt;height:10.3pt" o:ole="">
            <v:imagedata r:id="rId6591" o:title=""/>
          </v:shape>
          <o:OLEObject Type="Embed" ProgID="Equation.DSMT4" ShapeID="_x0000_i4299" DrawAspect="Content" ObjectID="_1791378243" r:id="rId6592"/>
        </w:object>
      </w:r>
      <w:r w:rsidRPr="00FE433F">
        <w:rPr>
          <w:rFonts w:ascii="Times New Roman" w:hAnsi="Times New Roman" w:cs="B Nazanin"/>
          <w:i/>
          <w:sz w:val="23"/>
          <w:szCs w:val="23"/>
          <w:rtl/>
          <w:lang w:bidi="fa-IR"/>
        </w:rPr>
        <w:t>، نسبت درآمد مال</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ات</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به مخارج دولت برابر است با </w:t>
      </w:r>
      <w:r w:rsidRPr="00FE433F">
        <w:rPr>
          <w:position w:val="-10"/>
        </w:rPr>
        <w:object w:dxaOrig="220" w:dyaOrig="300" w14:anchorId="1214A486">
          <v:shape id="_x0000_i4300" type="#_x0000_t75" style="width:10.9pt;height:15.15pt" o:ole="">
            <v:imagedata r:id="rId6593" o:title=""/>
          </v:shape>
          <o:OLEObject Type="Embed" ProgID="Equation.DSMT4" ShapeID="_x0000_i4300" DrawAspect="Content" ObjectID="_1791378244" r:id="rId6594"/>
        </w:object>
      </w:r>
      <w:r w:rsidRPr="00FE433F">
        <w:rPr>
          <w:rFonts w:ascii="Times New Roman" w:hAnsi="Times New Roman" w:cs="B Nazanin"/>
          <w:i/>
          <w:sz w:val="23"/>
          <w:szCs w:val="23"/>
          <w:rtl/>
          <w:lang w:bidi="fa-IR"/>
        </w:rPr>
        <w:t xml:space="preserve"> و </w:t>
      </w:r>
      <w:r w:rsidRPr="00FE433F">
        <w:rPr>
          <w:rFonts w:ascii="Times New Roman" w:hAnsi="Times New Roman" w:cs="B Nazanin" w:hint="cs"/>
          <w:i/>
          <w:sz w:val="23"/>
          <w:szCs w:val="23"/>
          <w:rtl/>
          <w:lang w:bidi="fa-IR"/>
        </w:rPr>
        <w:t xml:space="preserve">نسبت </w:t>
      </w:r>
      <w:r w:rsidRPr="00FE433F">
        <w:rPr>
          <w:rFonts w:ascii="Times New Roman" w:hAnsi="Times New Roman" w:cs="B Nazanin"/>
          <w:i/>
          <w:sz w:val="23"/>
          <w:szCs w:val="23"/>
          <w:rtl/>
          <w:lang w:bidi="fa-IR"/>
        </w:rPr>
        <w:t>موجود</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پول به مخارج بخش خصوص</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برابر است با</w:t>
      </w:r>
      <w:r w:rsidRPr="00FE433F">
        <w:rPr>
          <w:position w:val="-10"/>
        </w:rPr>
        <w:object w:dxaOrig="200" w:dyaOrig="240" w14:anchorId="3CF87063">
          <v:shape id="_x0000_i4301" type="#_x0000_t75" style="width:10.3pt;height:12.1pt" o:ole="">
            <v:imagedata r:id="rId6595" o:title=""/>
          </v:shape>
          <o:OLEObject Type="Embed" ProgID="Equation.DSMT4" ShapeID="_x0000_i4301" DrawAspect="Content" ObjectID="_1791378245" r:id="rId6596"/>
        </w:object>
      </w:r>
      <w:r w:rsidRPr="00FE433F">
        <w:rPr>
          <w:rFonts w:ascii="Times New Roman" w:hAnsi="Times New Roman" w:cs="B Nazanin"/>
          <w:i/>
          <w:sz w:val="23"/>
          <w:szCs w:val="23"/>
          <w:rtl/>
          <w:lang w:bidi="fa-IR"/>
        </w:rPr>
        <w:t>. برا</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مثال</w:t>
      </w:r>
      <w:r w:rsidRPr="00FE433F">
        <w:rPr>
          <w:rFonts w:ascii="Times New Roman" w:hAnsi="Times New Roman" w:cs="B Nazanin" w:hint="cs"/>
          <w:i/>
          <w:sz w:val="23"/>
          <w:szCs w:val="23"/>
          <w:rtl/>
          <w:lang w:bidi="fa-IR"/>
        </w:rPr>
        <w:t>، اگر</w:t>
      </w:r>
      <w:r w:rsidRPr="00FE433F">
        <w:rPr>
          <w:rFonts w:ascii="Times New Roman" w:hAnsi="Times New Roman" w:cs="B Nazanin"/>
          <w:i/>
          <w:sz w:val="23"/>
          <w:szCs w:val="23"/>
          <w:rtl/>
          <w:lang w:bidi="fa-IR"/>
        </w:rPr>
        <w:t xml:space="preserve"> </w:t>
      </w:r>
      <w:r w:rsidRPr="00FE433F">
        <w:rPr>
          <w:position w:val="-6"/>
        </w:rPr>
        <w:object w:dxaOrig="740" w:dyaOrig="260" w14:anchorId="21FC594A">
          <v:shape id="_x0000_i4302" type="#_x0000_t75" style="width:36.9pt;height:13.3pt" o:ole="">
            <v:imagedata r:id="rId6597" o:title=""/>
          </v:shape>
          <o:OLEObject Type="Embed" ProgID="Equation.DSMT4" ShapeID="_x0000_i4302" DrawAspect="Content" ObjectID="_1791378246" r:id="rId6598"/>
        </w:object>
      </w:r>
      <w:r w:rsidRPr="00FE433F">
        <w:rPr>
          <w:rFonts w:ascii="Times New Roman" w:hAnsi="Times New Roman" w:cs="B Nazanin"/>
          <w:i/>
          <w:sz w:val="23"/>
          <w:szCs w:val="23"/>
          <w:rtl/>
          <w:lang w:bidi="fa-IR"/>
        </w:rPr>
        <w:t xml:space="preserve">، </w:t>
      </w:r>
      <w:r w:rsidRPr="00FE433F">
        <w:rPr>
          <w:position w:val="-10"/>
        </w:rPr>
        <w:object w:dxaOrig="740" w:dyaOrig="300" w14:anchorId="68FA1EC2">
          <v:shape id="_x0000_i4303" type="#_x0000_t75" style="width:36.9pt;height:15.15pt" o:ole="">
            <v:imagedata r:id="rId6599" o:title=""/>
          </v:shape>
          <o:OLEObject Type="Embed" ProgID="Equation.DSMT4" ShapeID="_x0000_i4303" DrawAspect="Content" ObjectID="_1791378247" r:id="rId6600"/>
        </w:object>
      </w:r>
      <w:r w:rsidRPr="00FE433F">
        <w:rPr>
          <w:rFonts w:ascii="Times New Roman" w:hAnsi="Times New Roman" w:cs="B Nazanin"/>
          <w:i/>
          <w:sz w:val="23"/>
          <w:szCs w:val="23"/>
          <w:rtl/>
          <w:lang w:bidi="fa-IR"/>
        </w:rPr>
        <w:t xml:space="preserve"> و </w:t>
      </w:r>
      <w:r w:rsidRPr="00FE433F">
        <w:rPr>
          <w:position w:val="-10"/>
        </w:rPr>
        <w:object w:dxaOrig="700" w:dyaOrig="300" w14:anchorId="5E7ADF20">
          <v:shape id="_x0000_i4304" type="#_x0000_t75" style="width:35.1pt;height:15.15pt" o:ole="">
            <v:imagedata r:id="rId6601" o:title=""/>
          </v:shape>
          <o:OLEObject Type="Embed" ProgID="Equation.DSMT4" ShapeID="_x0000_i4304" DrawAspect="Content" ObjectID="_1791378248" r:id="rId6602"/>
        </w:object>
      </w:r>
      <w:r w:rsidRPr="00FE433F">
        <w:rPr>
          <w:rFonts w:ascii="Times New Roman" w:hAnsi="Times New Roman" w:cs="B Nazanin"/>
          <w:i/>
          <w:sz w:val="23"/>
          <w:szCs w:val="23"/>
          <w:rtl/>
          <w:lang w:bidi="fa-IR"/>
        </w:rPr>
        <w:t xml:space="preserve"> باشد</w:t>
      </w:r>
      <w:r w:rsidRPr="00FE433F">
        <w:rPr>
          <w:rFonts w:ascii="Times New Roman" w:hAnsi="Times New Roman" w:cs="B Nazanin" w:hint="cs"/>
          <w:i/>
          <w:sz w:val="23"/>
          <w:szCs w:val="23"/>
          <w:rtl/>
          <w:lang w:bidi="fa-IR"/>
        </w:rPr>
        <w:t>،</w:t>
      </w:r>
      <w:r w:rsidRPr="00FE433F">
        <w:rPr>
          <w:rFonts w:ascii="Times New Roman" w:hAnsi="Times New Roman" w:cs="B Nazanin"/>
          <w:i/>
          <w:sz w:val="23"/>
          <w:szCs w:val="23"/>
          <w:rtl/>
          <w:lang w:bidi="fa-IR"/>
        </w:rPr>
        <w:t xml:space="preserve"> آنگاه </w:t>
      </w:r>
      <w:r w:rsidRPr="00FE433F">
        <w:rPr>
          <w:position w:val="-6"/>
        </w:rPr>
        <w:object w:dxaOrig="960" w:dyaOrig="260" w14:anchorId="2ACEC8FC">
          <v:shape id="_x0000_i4305" type="#_x0000_t75" style="width:47.8pt;height:13.3pt" o:ole="">
            <v:imagedata r:id="rId6603" o:title=""/>
          </v:shape>
          <o:OLEObject Type="Embed" ProgID="Equation.DSMT4" ShapeID="_x0000_i4305" DrawAspect="Content" ObjectID="_1791378249" r:id="rId6604"/>
        </w:object>
      </w:r>
      <w:r w:rsidRPr="00FE433F">
        <w:rPr>
          <w:rFonts w:ascii="Times New Roman" w:hAnsi="Times New Roman" w:cs="B Nazanin"/>
          <w:i/>
          <w:sz w:val="23"/>
          <w:szCs w:val="23"/>
          <w:rtl/>
          <w:lang w:bidi="fa-IR"/>
        </w:rPr>
        <w:t xml:space="preserve"> خواهد بود. در کشور</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که</w:t>
      </w:r>
      <w:r w:rsidRPr="00FE433F">
        <w:rPr>
          <w:rFonts w:ascii="Times New Roman" w:hAnsi="Times New Roman" w:cs="B Nazanin"/>
          <w:i/>
          <w:sz w:val="23"/>
          <w:szCs w:val="23"/>
          <w:rtl/>
          <w:lang w:bidi="fa-IR"/>
        </w:rPr>
        <w:t xml:space="preserve"> سهم دولت از </w:t>
      </w:r>
      <w:r w:rsidRPr="00FE433F">
        <w:rPr>
          <w:rFonts w:ascii="Times New Roman" w:hAnsi="Times New Roman" w:cs="B Nazanin"/>
          <w:i/>
          <w:sz w:val="23"/>
          <w:szCs w:val="23"/>
          <w:lang w:bidi="fa-IR"/>
        </w:rPr>
        <w:t>GDP</w:t>
      </w:r>
      <w:r w:rsidRPr="00FE433F">
        <w:rPr>
          <w:rFonts w:ascii="Times New Roman" w:hAnsi="Times New Roman" w:cs="B Nazanin"/>
          <w:i/>
          <w:sz w:val="23"/>
          <w:szCs w:val="23"/>
          <w:rtl/>
          <w:lang w:bidi="fa-IR"/>
        </w:rPr>
        <w:t xml:space="preserve"> ز</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اد</w:t>
      </w:r>
      <w:r w:rsidRPr="00FE433F">
        <w:rPr>
          <w:rFonts w:ascii="Times New Roman" w:hAnsi="Times New Roman" w:cs="B Nazanin"/>
          <w:i/>
          <w:sz w:val="23"/>
          <w:szCs w:val="23"/>
          <w:rtl/>
          <w:lang w:bidi="fa-IR"/>
        </w:rPr>
        <w:t xml:space="preserve"> باش</w:t>
      </w:r>
      <w:r w:rsidRPr="00FE433F">
        <w:rPr>
          <w:rFonts w:ascii="Times New Roman" w:hAnsi="Times New Roman" w:cs="B Nazanin" w:hint="cs"/>
          <w:i/>
          <w:sz w:val="23"/>
          <w:szCs w:val="23"/>
          <w:rtl/>
          <w:lang w:bidi="fa-IR"/>
        </w:rPr>
        <w:t xml:space="preserve">د </w:t>
      </w:r>
      <w:r w:rsidRPr="00FE433F">
        <w:rPr>
          <w:rFonts w:ascii="Times New Roman" w:hAnsi="Times New Roman" w:cs="B Nazanin"/>
          <w:i/>
          <w:sz w:val="23"/>
          <w:szCs w:val="23"/>
          <w:rtl/>
          <w:lang w:bidi="fa-IR"/>
        </w:rPr>
        <w:t>(</w:t>
      </w:r>
      <w:r w:rsidRPr="00FE433F">
        <w:rPr>
          <w:position w:val="-6"/>
        </w:rPr>
        <w:object w:dxaOrig="840" w:dyaOrig="260" w14:anchorId="5A0136C6">
          <v:shape id="_x0000_i4306" type="#_x0000_t75" style="width:41.75pt;height:13.3pt" o:ole="">
            <v:imagedata r:id="rId6605" o:title=""/>
          </v:shape>
          <o:OLEObject Type="Embed" ProgID="Equation.DSMT4" ShapeID="_x0000_i4306" DrawAspect="Content" ObjectID="_1791378250" r:id="rId6606"/>
        </w:object>
      </w:r>
      <w:r w:rsidRPr="00FE433F">
        <w:rPr>
          <w:rFonts w:ascii="Times New Roman" w:hAnsi="Times New Roman" w:cs="B Nazanin"/>
          <w:i/>
          <w:sz w:val="23"/>
          <w:szCs w:val="23"/>
          <w:rtl/>
          <w:lang w:bidi="fa-IR"/>
        </w:rPr>
        <w:t>) و شکاف ب</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ن</w:t>
      </w:r>
      <w:r w:rsidRPr="00FE433F">
        <w:rPr>
          <w:rFonts w:ascii="Times New Roman" w:hAnsi="Times New Roman" w:cs="B Nazanin"/>
          <w:i/>
          <w:sz w:val="23"/>
          <w:szCs w:val="23"/>
          <w:rtl/>
          <w:lang w:bidi="fa-IR"/>
        </w:rPr>
        <w:t xml:space="preserve"> مخارج دولت و درآمدها</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مال</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ات</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ب</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شتر</w:t>
      </w:r>
      <w:r w:rsidRPr="00FE433F">
        <w:rPr>
          <w:rFonts w:ascii="Times New Roman" w:hAnsi="Times New Roman" w:cs="B Nazanin"/>
          <w:i/>
          <w:sz w:val="23"/>
          <w:szCs w:val="23"/>
          <w:rtl/>
          <w:lang w:bidi="fa-IR"/>
        </w:rPr>
        <w:t xml:space="preserve"> باشد (</w:t>
      </w:r>
      <w:r w:rsidRPr="00FE433F">
        <w:rPr>
          <w:position w:val="-10"/>
        </w:rPr>
        <w:object w:dxaOrig="740" w:dyaOrig="300" w14:anchorId="7B9F31DA">
          <v:shape id="_x0000_i4307" type="#_x0000_t75" style="width:36.9pt;height:15.15pt" o:ole="">
            <v:imagedata r:id="rId6607" o:title=""/>
          </v:shape>
          <o:OLEObject Type="Embed" ProgID="Equation.DSMT4" ShapeID="_x0000_i4307" DrawAspect="Content" ObjectID="_1791378251" r:id="rId6608"/>
        </w:object>
      </w:r>
      <w:r w:rsidRPr="00FE433F">
        <w:rPr>
          <w:rFonts w:ascii="Times New Roman" w:hAnsi="Times New Roman" w:cs="B Nazanin"/>
          <w:i/>
          <w:sz w:val="23"/>
          <w:szCs w:val="23"/>
          <w:rtl/>
          <w:lang w:bidi="fa-IR"/>
        </w:rPr>
        <w:t>) آنگاه نرخ تورم مورد ن</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از</w:t>
      </w:r>
      <w:r w:rsidRPr="00FE433F">
        <w:rPr>
          <w:rFonts w:ascii="Times New Roman" w:hAnsi="Times New Roman" w:cs="B Nazanin"/>
          <w:i/>
          <w:sz w:val="23"/>
          <w:szCs w:val="23"/>
          <w:rtl/>
          <w:lang w:bidi="fa-IR"/>
        </w:rPr>
        <w:t xml:space="preserve"> برا</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تأم</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ن</w:t>
      </w:r>
      <w:r w:rsidRPr="00FE433F">
        <w:rPr>
          <w:rFonts w:ascii="Times New Roman" w:hAnsi="Times New Roman" w:cs="B Nazanin"/>
          <w:i/>
          <w:sz w:val="23"/>
          <w:szCs w:val="23"/>
          <w:rtl/>
          <w:lang w:bidi="fa-IR"/>
        </w:rPr>
        <w:t xml:space="preserve"> ق</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د</w:t>
      </w:r>
      <w:r w:rsidRPr="00FE433F">
        <w:rPr>
          <w:rFonts w:ascii="Times New Roman" w:hAnsi="Times New Roman" w:cs="B Nazanin"/>
          <w:i/>
          <w:sz w:val="23"/>
          <w:szCs w:val="23"/>
          <w:rtl/>
          <w:lang w:bidi="fa-IR"/>
        </w:rPr>
        <w:t xml:space="preserve"> بودجه</w:t>
      </w:r>
      <w:r w:rsidRPr="00FE433F">
        <w:rPr>
          <w:rFonts w:ascii="Times New Roman" w:hAnsi="Times New Roman" w:cs="B Nazanin"/>
          <w:i/>
          <w:sz w:val="23"/>
          <w:szCs w:val="23"/>
          <w:rtl/>
          <w:lang w:bidi="fa-IR"/>
        </w:rPr>
        <w:softHyphen/>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دولت </w:t>
      </w:r>
      <w:r w:rsidRPr="00FE433F">
        <w:rPr>
          <w:rFonts w:ascii="Times New Roman" w:hAnsi="Times New Roman" w:cs="B Nazanin" w:hint="eastAsia"/>
          <w:i/>
          <w:sz w:val="23"/>
          <w:szCs w:val="23"/>
          <w:rtl/>
          <w:lang w:bidi="fa-IR"/>
        </w:rPr>
        <w:t>افزا</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ش</w:t>
      </w:r>
      <w:r w:rsidRPr="00FE433F">
        <w:rPr>
          <w:rFonts w:ascii="Times New Roman" w:hAnsi="Times New Roman" w:cs="B Nazanin"/>
          <w:i/>
          <w:sz w:val="23"/>
          <w:szCs w:val="23"/>
          <w:rtl/>
          <w:lang w:bidi="fa-IR"/>
        </w:rPr>
        <w:t xml:space="preserve"> </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افته</w:t>
      </w:r>
      <w:r w:rsidRPr="00FE433F">
        <w:rPr>
          <w:rFonts w:ascii="Times New Roman" w:hAnsi="Times New Roman" w:cs="B Nazanin"/>
          <w:i/>
          <w:sz w:val="23"/>
          <w:szCs w:val="23"/>
          <w:rtl/>
          <w:lang w:bidi="fa-IR"/>
        </w:rPr>
        <w:t xml:space="preserve"> و برابر با </w:t>
      </w:r>
      <w:r w:rsidRPr="00FE433F">
        <w:rPr>
          <w:position w:val="-6"/>
        </w:rPr>
        <w:object w:dxaOrig="720" w:dyaOrig="260" w14:anchorId="254875ED">
          <v:shape id="_x0000_i4308" type="#_x0000_t75" style="width:36.3pt;height:13.3pt" o:ole="">
            <v:imagedata r:id="rId6609" o:title=""/>
          </v:shape>
          <o:OLEObject Type="Embed" ProgID="Equation.DSMT4" ShapeID="_x0000_i4308" DrawAspect="Content" ObjectID="_1791378252" r:id="rId6610"/>
        </w:object>
      </w:r>
      <w:r w:rsidRPr="00FE433F">
        <w:rPr>
          <w:rFonts w:ascii="Times New Roman" w:hAnsi="Times New Roman" w:cs="B Nazanin"/>
          <w:i/>
          <w:sz w:val="23"/>
          <w:szCs w:val="23"/>
          <w:rtl/>
          <w:lang w:bidi="fa-IR"/>
        </w:rPr>
        <w:t xml:space="preserve"> خواهد بود.</w:t>
      </w:r>
    </w:p>
    <w:p w14:paraId="4299E043" w14:textId="77777777" w:rsidR="00411620" w:rsidRPr="00FE433F" w:rsidRDefault="00411620" w:rsidP="00411620">
      <w:pPr>
        <w:spacing w:line="216" w:lineRule="auto"/>
        <w:rPr>
          <w:i/>
          <w:sz w:val="23"/>
          <w:szCs w:val="23"/>
        </w:rPr>
      </w:pPr>
    </w:p>
    <w:p w14:paraId="243D32F3" w14:textId="77777777" w:rsidR="00411620" w:rsidRPr="00FE433F" w:rsidRDefault="00411620" w:rsidP="00411620">
      <w:pPr>
        <w:pStyle w:val="Heading1"/>
        <w:spacing w:before="0" w:after="0" w:line="216" w:lineRule="auto"/>
        <w:rPr>
          <w:rFonts w:ascii="Times New Roman" w:hAnsi="Times New Roman" w:cs="B Nazanin"/>
          <w:b w:val="0"/>
          <w:i/>
          <w:sz w:val="23"/>
          <w:szCs w:val="23"/>
          <w:rtl/>
        </w:rPr>
      </w:pPr>
      <w:r w:rsidRPr="00FE433F">
        <w:rPr>
          <w:rFonts w:ascii="Times New Roman" w:hAnsi="Times New Roman" w:cs="B Nazanin"/>
          <w:b w:val="0"/>
          <w:i/>
          <w:sz w:val="23"/>
          <w:szCs w:val="23"/>
          <w:rtl/>
        </w:rPr>
        <w:t>۸. ۱۱ نرخ تورم به</w:t>
      </w:r>
      <w:r w:rsidRPr="00FE433F">
        <w:rPr>
          <w:rFonts w:ascii="Times New Roman" w:hAnsi="Times New Roman" w:cs="B Nazanin" w:hint="cs"/>
          <w:b w:val="0"/>
          <w:i/>
          <w:sz w:val="23"/>
          <w:szCs w:val="23"/>
          <w:rtl/>
        </w:rPr>
        <w:t>ی</w:t>
      </w:r>
      <w:r w:rsidRPr="00FE433F">
        <w:rPr>
          <w:rFonts w:ascii="Times New Roman" w:hAnsi="Times New Roman" w:cs="B Nazanin" w:hint="eastAsia"/>
          <w:b w:val="0"/>
          <w:i/>
          <w:sz w:val="23"/>
          <w:szCs w:val="23"/>
          <w:rtl/>
        </w:rPr>
        <w:t>نه</w:t>
      </w:r>
    </w:p>
    <w:p w14:paraId="5AD84820"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ی</w:t>
      </w:r>
      <w:r w:rsidRPr="00FE433F">
        <w:rPr>
          <w:rFonts w:eastAsia="Calibri"/>
          <w:i/>
          <w:sz w:val="23"/>
          <w:szCs w:val="23"/>
          <w:rtl/>
        </w:rPr>
        <w:t>ک</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از</w:t>
      </w:r>
      <w:r w:rsidRPr="00FE433F">
        <w:rPr>
          <w:rFonts w:eastAsia="Calibri"/>
          <w:i/>
          <w:sz w:val="23"/>
          <w:szCs w:val="23"/>
          <w:rtl/>
        </w:rPr>
        <w:t xml:space="preserve"> </w:t>
      </w:r>
      <w:r w:rsidRPr="00FE433F">
        <w:rPr>
          <w:rFonts w:eastAsia="Calibri" w:hint="cs"/>
          <w:i/>
          <w:sz w:val="23"/>
          <w:szCs w:val="23"/>
          <w:rtl/>
        </w:rPr>
        <w:t>اولویت</w:t>
      </w:r>
      <w:r w:rsidRPr="00FE433F">
        <w:rPr>
          <w:rFonts w:eastAsia="Calibri"/>
          <w:i/>
          <w:sz w:val="23"/>
          <w:szCs w:val="23"/>
          <w:rtl/>
        </w:rPr>
        <w:softHyphen/>
      </w:r>
      <w:r w:rsidRPr="00FE433F">
        <w:rPr>
          <w:rFonts w:eastAsia="Calibri" w:hint="cs"/>
          <w:i/>
          <w:sz w:val="23"/>
          <w:szCs w:val="23"/>
          <w:rtl/>
        </w:rPr>
        <w:t>های</w:t>
      </w:r>
      <w:r w:rsidRPr="00FE433F">
        <w:rPr>
          <w:rFonts w:eastAsia="Calibri"/>
          <w:i/>
          <w:sz w:val="23"/>
          <w:szCs w:val="23"/>
          <w:rtl/>
        </w:rPr>
        <w:t xml:space="preserve"> </w:t>
      </w:r>
      <w:r w:rsidRPr="00FE433F">
        <w:rPr>
          <w:rFonts w:eastAsia="Calibri" w:hint="cs"/>
          <w:i/>
          <w:sz w:val="23"/>
          <w:szCs w:val="23"/>
          <w:rtl/>
        </w:rPr>
        <w:t xml:space="preserve">مهم </w:t>
      </w:r>
      <w:r w:rsidRPr="00FE433F">
        <w:rPr>
          <w:rFonts w:eastAsia="Calibri"/>
          <w:i/>
          <w:sz w:val="23"/>
          <w:szCs w:val="23"/>
          <w:rtl/>
        </w:rPr>
        <w:t>دولت</w:t>
      </w:r>
      <w:r w:rsidRPr="00FE433F">
        <w:rPr>
          <w:rFonts w:eastAsia="Calibri"/>
          <w:i/>
          <w:sz w:val="23"/>
          <w:szCs w:val="23"/>
          <w:rtl/>
        </w:rPr>
        <w:softHyphen/>
      </w:r>
      <w:r w:rsidRPr="00FE433F">
        <w:rPr>
          <w:rFonts w:eastAsia="Calibri" w:hint="cs"/>
          <w:i/>
          <w:sz w:val="23"/>
          <w:szCs w:val="23"/>
          <w:rtl/>
        </w:rPr>
        <w:t xml:space="preserve">ها </w:t>
      </w:r>
      <w:r w:rsidRPr="00FE433F">
        <w:rPr>
          <w:rFonts w:eastAsia="Calibri"/>
          <w:i/>
          <w:sz w:val="23"/>
          <w:szCs w:val="23"/>
          <w:rtl/>
        </w:rPr>
        <w:t xml:space="preserve">انتخاب نرخ تورم </w:t>
      </w:r>
      <w:r w:rsidRPr="00FE433F">
        <w:rPr>
          <w:rFonts w:eastAsia="Calibri" w:hint="eastAsia"/>
          <w:i/>
          <w:sz w:val="23"/>
          <w:szCs w:val="23"/>
        </w:rPr>
        <w:t>‌</w:t>
      </w:r>
      <w:r w:rsidRPr="00FE433F">
        <w:rPr>
          <w:rFonts w:eastAsia="Calibri" w:hint="cs"/>
          <w:i/>
          <w:sz w:val="23"/>
          <w:szCs w:val="23"/>
          <w:rtl/>
        </w:rPr>
        <w:t xml:space="preserve">در اقتصاد </w:t>
      </w:r>
      <w:r w:rsidRPr="00FE433F">
        <w:rPr>
          <w:rFonts w:eastAsia="Calibri"/>
          <w:i/>
          <w:sz w:val="23"/>
          <w:szCs w:val="23"/>
          <w:rtl/>
        </w:rPr>
        <w:t>است. چنانچه دولت نرخ رشد عرضه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پول را انتخاب کند</w:t>
      </w:r>
      <w:r w:rsidRPr="00FE433F">
        <w:rPr>
          <w:rFonts w:eastAsia="Calibri" w:hint="cs"/>
          <w:i/>
          <w:sz w:val="23"/>
          <w:szCs w:val="23"/>
          <w:rtl/>
        </w:rPr>
        <w:t>،</w:t>
      </w:r>
      <w:r w:rsidRPr="00FE433F">
        <w:rPr>
          <w:rFonts w:eastAsia="Calibri"/>
          <w:i/>
          <w:sz w:val="23"/>
          <w:szCs w:val="23"/>
          <w:rtl/>
        </w:rPr>
        <w:t xml:space="preserve"> آنگاه در بلند</w:t>
      </w:r>
      <w:r w:rsidRPr="00FE433F">
        <w:rPr>
          <w:rFonts w:hint="cs"/>
          <w:i/>
          <w:sz w:val="23"/>
          <w:szCs w:val="23"/>
          <w:rtl/>
        </w:rPr>
        <w:t>‌</w:t>
      </w:r>
      <w:r w:rsidRPr="00FE433F">
        <w:rPr>
          <w:i/>
          <w:sz w:val="23"/>
          <w:szCs w:val="23"/>
          <w:rtl/>
        </w:rPr>
        <w:t>مدت</w:t>
      </w:r>
      <w:r w:rsidRPr="00FE433F">
        <w:rPr>
          <w:rFonts w:eastAsia="Calibri"/>
          <w:i/>
          <w:sz w:val="23"/>
          <w:szCs w:val="23"/>
          <w:rtl/>
        </w:rPr>
        <w:t xml:space="preserve"> نرخ تورم بدست خواهد آمد</w:t>
      </w:r>
      <w:r w:rsidRPr="00FE433F">
        <w:rPr>
          <w:rFonts w:eastAsia="Calibri" w:hint="cs"/>
          <w:i/>
          <w:sz w:val="23"/>
          <w:szCs w:val="23"/>
          <w:rtl/>
        </w:rPr>
        <w:t xml:space="preserve"> و</w:t>
      </w:r>
      <w:r w:rsidRPr="00FE433F">
        <w:rPr>
          <w:rFonts w:eastAsia="Calibri"/>
          <w:i/>
          <w:sz w:val="23"/>
          <w:szCs w:val="23"/>
          <w:rtl/>
        </w:rPr>
        <w:t xml:space="preserve"> بهم</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صورت اگر نرخ تورم را انتخاب کند</w:t>
      </w:r>
      <w:r w:rsidRPr="00FE433F">
        <w:rPr>
          <w:rFonts w:eastAsia="Calibri" w:hint="cs"/>
          <w:i/>
          <w:sz w:val="23"/>
          <w:szCs w:val="23"/>
          <w:rtl/>
        </w:rPr>
        <w:t>،</w:t>
      </w:r>
      <w:r w:rsidRPr="00FE433F">
        <w:rPr>
          <w:rFonts w:eastAsia="Calibri"/>
          <w:i/>
          <w:sz w:val="23"/>
          <w:szCs w:val="23"/>
          <w:rtl/>
        </w:rPr>
        <w:t xml:space="preserve"> آنگاه در بلند</w:t>
      </w:r>
      <w:r w:rsidRPr="00FE433F">
        <w:rPr>
          <w:rFonts w:hint="cs"/>
          <w:i/>
          <w:sz w:val="23"/>
          <w:szCs w:val="23"/>
          <w:rtl/>
        </w:rPr>
        <w:t>‌</w:t>
      </w:r>
      <w:r w:rsidRPr="00FE433F">
        <w:rPr>
          <w:i/>
          <w:sz w:val="23"/>
          <w:szCs w:val="23"/>
          <w:rtl/>
        </w:rPr>
        <w:t>مدت</w:t>
      </w:r>
      <w:r w:rsidRPr="00FE433F">
        <w:rPr>
          <w:rFonts w:eastAsia="Calibri"/>
          <w:i/>
          <w:sz w:val="23"/>
          <w:szCs w:val="23"/>
          <w:rtl/>
        </w:rPr>
        <w:t xml:space="preserve"> نرخ رشد عرضه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پول را خواه</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w:t>
      </w:r>
      <w:r w:rsidRPr="00FE433F">
        <w:rPr>
          <w:rFonts w:eastAsia="Calibri" w:hint="eastAsia"/>
          <w:i/>
          <w:sz w:val="23"/>
          <w:szCs w:val="23"/>
          <w:rtl/>
        </w:rPr>
        <w:t>داشت</w:t>
      </w:r>
      <w:r w:rsidRPr="00FE433F">
        <w:rPr>
          <w:rFonts w:eastAsia="Calibri"/>
          <w:i/>
          <w:sz w:val="23"/>
          <w:szCs w:val="23"/>
          <w:rtl/>
        </w:rPr>
        <w:t xml:space="preserve">. </w:t>
      </w:r>
      <w:r w:rsidRPr="00FE433F">
        <w:rPr>
          <w:rFonts w:eastAsia="Calibri" w:hint="eastAsia"/>
          <w:i/>
          <w:sz w:val="23"/>
          <w:szCs w:val="23"/>
          <w:rtl/>
        </w:rPr>
        <w:t>حالت</w:t>
      </w:r>
      <w:r w:rsidRPr="00FE433F">
        <w:rPr>
          <w:rFonts w:eastAsia="Calibri"/>
          <w:i/>
          <w:sz w:val="23"/>
          <w:szCs w:val="23"/>
          <w:rtl/>
        </w:rPr>
        <w:t xml:space="preserve"> </w:t>
      </w:r>
      <w:r w:rsidRPr="00FE433F">
        <w:rPr>
          <w:rFonts w:eastAsia="Calibri" w:hint="eastAsia"/>
          <w:i/>
          <w:sz w:val="23"/>
          <w:szCs w:val="23"/>
          <w:rtl/>
        </w:rPr>
        <w:t>د</w:t>
      </w:r>
      <w:r w:rsidRPr="00FE433F">
        <w:rPr>
          <w:rFonts w:eastAsia="Calibri" w:hint="cs"/>
          <w:i/>
          <w:sz w:val="23"/>
          <w:szCs w:val="23"/>
          <w:rtl/>
        </w:rPr>
        <w:t>ی</w:t>
      </w:r>
      <w:r w:rsidRPr="00FE433F">
        <w:rPr>
          <w:rFonts w:eastAsia="Calibri" w:hint="eastAsia"/>
          <w:i/>
          <w:sz w:val="23"/>
          <w:szCs w:val="23"/>
          <w:rtl/>
        </w:rPr>
        <w:t>گر</w:t>
      </w:r>
      <w:r w:rsidRPr="00FE433F">
        <w:rPr>
          <w:rFonts w:eastAsia="Calibri"/>
          <w:i/>
          <w:sz w:val="23"/>
          <w:szCs w:val="23"/>
          <w:rtl/>
        </w:rPr>
        <w:t xml:space="preserve"> </w:t>
      </w:r>
      <w:r w:rsidRPr="00FE433F">
        <w:rPr>
          <w:rFonts w:eastAsia="Calibri" w:hint="eastAsia"/>
          <w:i/>
          <w:sz w:val="23"/>
          <w:szCs w:val="23"/>
          <w:rtl/>
        </w:rPr>
        <w:t>ارتباط</w:t>
      </w:r>
      <w:r w:rsidRPr="00FE433F">
        <w:rPr>
          <w:rFonts w:eastAsia="Calibri"/>
          <w:i/>
          <w:sz w:val="23"/>
          <w:szCs w:val="23"/>
          <w:rtl/>
        </w:rPr>
        <w:t xml:space="preserve"> </w:t>
      </w:r>
      <w:r w:rsidRPr="00FE433F">
        <w:rPr>
          <w:rFonts w:eastAsia="Calibri" w:hint="eastAsia"/>
          <w:i/>
          <w:sz w:val="23"/>
          <w:szCs w:val="23"/>
          <w:rtl/>
        </w:rPr>
        <w:t>ب</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نرخ</w:t>
      </w:r>
      <w:r w:rsidRPr="00FE433F">
        <w:rPr>
          <w:rFonts w:eastAsia="Calibri"/>
          <w:i/>
          <w:sz w:val="23"/>
          <w:szCs w:val="23"/>
          <w:rtl/>
        </w:rPr>
        <w:t xml:space="preserve"> </w:t>
      </w:r>
      <w:r w:rsidRPr="00FE433F">
        <w:rPr>
          <w:rFonts w:eastAsia="Calibri" w:hint="eastAsia"/>
          <w:i/>
          <w:sz w:val="23"/>
          <w:szCs w:val="23"/>
          <w:rtl/>
        </w:rPr>
        <w:t>تورم</w:t>
      </w:r>
      <w:r w:rsidRPr="00FE433F">
        <w:rPr>
          <w:rFonts w:eastAsia="Calibri"/>
          <w:i/>
          <w:sz w:val="23"/>
          <w:szCs w:val="23"/>
          <w:rtl/>
        </w:rPr>
        <w:t xml:space="preserve"> </w:t>
      </w:r>
      <w:r w:rsidRPr="00FE433F">
        <w:rPr>
          <w:rFonts w:eastAsia="Calibri" w:hint="eastAsia"/>
          <w:i/>
          <w:sz w:val="23"/>
          <w:szCs w:val="23"/>
          <w:rtl/>
        </w:rPr>
        <w:t>داخل</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با</w:t>
      </w:r>
      <w:r w:rsidRPr="00FE433F">
        <w:rPr>
          <w:rFonts w:eastAsia="Calibri"/>
          <w:i/>
          <w:sz w:val="23"/>
          <w:szCs w:val="23"/>
          <w:rtl/>
        </w:rPr>
        <w:t xml:space="preserve"> </w:t>
      </w:r>
      <w:r w:rsidRPr="00FE433F">
        <w:rPr>
          <w:rFonts w:eastAsia="Calibri" w:hint="eastAsia"/>
          <w:i/>
          <w:sz w:val="23"/>
          <w:szCs w:val="23"/>
          <w:rtl/>
        </w:rPr>
        <w:t>نرخ</w:t>
      </w:r>
      <w:r w:rsidRPr="00FE433F">
        <w:rPr>
          <w:rFonts w:eastAsia="Calibri"/>
          <w:i/>
          <w:sz w:val="23"/>
          <w:szCs w:val="23"/>
          <w:rtl/>
        </w:rPr>
        <w:t xml:space="preserve"> </w:t>
      </w:r>
      <w:r w:rsidRPr="00FE433F">
        <w:rPr>
          <w:rFonts w:eastAsia="Calibri" w:hint="eastAsia"/>
          <w:i/>
          <w:sz w:val="23"/>
          <w:szCs w:val="23"/>
          <w:rtl/>
        </w:rPr>
        <w:t>تورم</w:t>
      </w:r>
      <w:r w:rsidRPr="00FE433F">
        <w:rPr>
          <w:rFonts w:eastAsia="Calibri"/>
          <w:i/>
          <w:sz w:val="23"/>
          <w:szCs w:val="23"/>
          <w:rtl/>
        </w:rPr>
        <w:t xml:space="preserve"> </w:t>
      </w:r>
      <w:r w:rsidRPr="00FE433F">
        <w:rPr>
          <w:rFonts w:eastAsia="Calibri" w:hint="eastAsia"/>
          <w:i/>
          <w:sz w:val="23"/>
          <w:szCs w:val="23"/>
          <w:rtl/>
        </w:rPr>
        <w:t>کشورها</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مهم</w:t>
      </w:r>
      <w:r w:rsidRPr="00FE433F">
        <w:rPr>
          <w:rFonts w:eastAsia="Calibri"/>
          <w:i/>
          <w:sz w:val="23"/>
          <w:szCs w:val="23"/>
          <w:rtl/>
        </w:rPr>
        <w:t xml:space="preserve"> </w:t>
      </w:r>
      <w:r w:rsidRPr="00FE433F">
        <w:rPr>
          <w:rFonts w:eastAsia="Calibri" w:hint="eastAsia"/>
          <w:i/>
          <w:sz w:val="23"/>
          <w:szCs w:val="23"/>
          <w:rtl/>
        </w:rPr>
        <w:t>طرف</w:t>
      </w:r>
      <w:r w:rsidRPr="00FE433F">
        <w:rPr>
          <w:rFonts w:eastAsia="Calibri" w:hint="cs"/>
          <w:i/>
          <w:sz w:val="23"/>
          <w:szCs w:val="23"/>
          <w:rtl/>
        </w:rPr>
        <w:t>ِ</w:t>
      </w:r>
      <w:r w:rsidRPr="00FE433F">
        <w:rPr>
          <w:rFonts w:eastAsia="Calibri"/>
          <w:i/>
          <w:sz w:val="23"/>
          <w:szCs w:val="23"/>
          <w:rtl/>
        </w:rPr>
        <w:t xml:space="preserve"> </w:t>
      </w:r>
      <w:r w:rsidRPr="00FE433F">
        <w:rPr>
          <w:rFonts w:eastAsia="Calibri" w:hint="eastAsia"/>
          <w:i/>
          <w:sz w:val="23"/>
          <w:szCs w:val="23"/>
          <w:rtl/>
        </w:rPr>
        <w:t>تجار</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با</w:t>
      </w:r>
      <w:r w:rsidRPr="00FE433F">
        <w:rPr>
          <w:rFonts w:eastAsia="Calibri"/>
          <w:i/>
          <w:sz w:val="23"/>
          <w:szCs w:val="23"/>
          <w:rtl/>
        </w:rPr>
        <w:t xml:space="preserve"> فرض ثابت بودن نرخ ارز اسم</w:t>
      </w:r>
      <w:r w:rsidRPr="00FE433F">
        <w:rPr>
          <w:rFonts w:eastAsia="Calibri" w:hint="cs"/>
          <w:i/>
          <w:sz w:val="23"/>
          <w:szCs w:val="23"/>
          <w:rtl/>
        </w:rPr>
        <w:t>ی</w:t>
      </w:r>
      <w:r w:rsidRPr="00FE433F">
        <w:rPr>
          <w:rFonts w:eastAsia="Calibri"/>
          <w:i/>
          <w:sz w:val="23"/>
          <w:szCs w:val="23"/>
          <w:rtl/>
        </w:rPr>
        <w:t xml:space="preserve"> است. در عمل مشکلات قابل توجه</w:t>
      </w:r>
      <w:r w:rsidRPr="00FE433F">
        <w:rPr>
          <w:rFonts w:eastAsia="Calibri" w:hint="cs"/>
          <w:i/>
          <w:sz w:val="23"/>
          <w:szCs w:val="23"/>
          <w:rtl/>
        </w:rPr>
        <w:t>ی</w:t>
      </w:r>
      <w:r w:rsidRPr="00FE433F">
        <w:rPr>
          <w:rFonts w:eastAsia="Calibri"/>
          <w:i/>
          <w:sz w:val="23"/>
          <w:szCs w:val="23"/>
          <w:rtl/>
        </w:rPr>
        <w:t xml:space="preserve"> جهت رس</w:t>
      </w:r>
      <w:r w:rsidRPr="00FE433F">
        <w:rPr>
          <w:rFonts w:eastAsia="Calibri" w:hint="cs"/>
          <w:i/>
          <w:sz w:val="23"/>
          <w:szCs w:val="23"/>
          <w:rtl/>
        </w:rPr>
        <w:t>ی</w:t>
      </w:r>
      <w:r w:rsidRPr="00FE433F">
        <w:rPr>
          <w:rFonts w:eastAsia="Calibri" w:hint="eastAsia"/>
          <w:i/>
          <w:sz w:val="23"/>
          <w:szCs w:val="23"/>
          <w:rtl/>
        </w:rPr>
        <w:t>دن</w:t>
      </w:r>
      <w:r w:rsidRPr="00FE433F">
        <w:rPr>
          <w:rFonts w:eastAsia="Calibri"/>
          <w:i/>
          <w:sz w:val="23"/>
          <w:szCs w:val="23"/>
          <w:rtl/>
        </w:rPr>
        <w:t xml:space="preserve"> </w:t>
      </w:r>
      <w:r w:rsidRPr="00FE433F">
        <w:rPr>
          <w:rFonts w:eastAsia="Calibri" w:hint="eastAsia"/>
          <w:i/>
          <w:sz w:val="23"/>
          <w:szCs w:val="23"/>
          <w:rtl/>
        </w:rPr>
        <w:t>به</w:t>
      </w:r>
      <w:r w:rsidRPr="00FE433F">
        <w:rPr>
          <w:rFonts w:eastAsia="Calibri"/>
          <w:i/>
          <w:sz w:val="23"/>
          <w:szCs w:val="23"/>
          <w:rtl/>
        </w:rPr>
        <w:t xml:space="preserve"> </w:t>
      </w:r>
      <w:r w:rsidRPr="00FE433F">
        <w:rPr>
          <w:rFonts w:eastAsia="Calibri" w:hint="eastAsia"/>
          <w:i/>
          <w:sz w:val="23"/>
          <w:szCs w:val="23"/>
          <w:rtl/>
        </w:rPr>
        <w:t>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اهداف</w:t>
      </w:r>
      <w:r w:rsidRPr="00FE433F">
        <w:rPr>
          <w:rFonts w:eastAsia="Calibri"/>
          <w:i/>
          <w:sz w:val="23"/>
          <w:szCs w:val="23"/>
          <w:rtl/>
        </w:rPr>
        <w:t xml:space="preserve"> </w:t>
      </w:r>
      <w:r w:rsidRPr="00FE433F">
        <w:rPr>
          <w:rFonts w:eastAsia="Calibri" w:hint="eastAsia"/>
          <w:i/>
          <w:sz w:val="23"/>
          <w:szCs w:val="23"/>
          <w:rtl/>
        </w:rPr>
        <w:t>از</w:t>
      </w:r>
      <w:r w:rsidRPr="00FE433F">
        <w:rPr>
          <w:rFonts w:eastAsia="Calibri"/>
          <w:i/>
          <w:sz w:val="23"/>
          <w:szCs w:val="23"/>
          <w:rtl/>
        </w:rPr>
        <w:t xml:space="preserve"> </w:t>
      </w:r>
      <w:r w:rsidRPr="00FE433F">
        <w:rPr>
          <w:rFonts w:eastAsia="Calibri" w:hint="eastAsia"/>
          <w:i/>
          <w:sz w:val="23"/>
          <w:szCs w:val="23"/>
          <w:rtl/>
        </w:rPr>
        <w:t>طر</w:t>
      </w:r>
      <w:r w:rsidRPr="00FE433F">
        <w:rPr>
          <w:rFonts w:eastAsia="Calibri" w:hint="cs"/>
          <w:i/>
          <w:sz w:val="23"/>
          <w:szCs w:val="23"/>
          <w:rtl/>
        </w:rPr>
        <w:t>ی</w:t>
      </w:r>
      <w:r w:rsidRPr="00FE433F">
        <w:rPr>
          <w:rFonts w:eastAsia="Calibri" w:hint="eastAsia"/>
          <w:i/>
          <w:sz w:val="23"/>
          <w:szCs w:val="23"/>
          <w:rtl/>
        </w:rPr>
        <w:t>ق</w:t>
      </w:r>
      <w:r w:rsidRPr="00FE433F">
        <w:rPr>
          <w:rFonts w:eastAsia="Calibri"/>
          <w:i/>
          <w:sz w:val="23"/>
          <w:szCs w:val="23"/>
          <w:rtl/>
        </w:rPr>
        <w:t xml:space="preserve"> </w:t>
      </w:r>
      <w:r w:rsidRPr="00FE433F">
        <w:rPr>
          <w:rFonts w:eastAsia="Calibri" w:hint="eastAsia"/>
          <w:i/>
          <w:sz w:val="23"/>
          <w:szCs w:val="23"/>
          <w:rtl/>
        </w:rPr>
        <w:t>س</w:t>
      </w:r>
      <w:r w:rsidRPr="00FE433F">
        <w:rPr>
          <w:rFonts w:eastAsia="Calibri" w:hint="cs"/>
          <w:i/>
          <w:sz w:val="23"/>
          <w:szCs w:val="23"/>
          <w:rtl/>
        </w:rPr>
        <w:t>ی</w:t>
      </w:r>
      <w:r w:rsidRPr="00FE433F">
        <w:rPr>
          <w:rFonts w:eastAsia="Calibri" w:hint="eastAsia"/>
          <w:i/>
          <w:sz w:val="23"/>
          <w:szCs w:val="23"/>
          <w:rtl/>
        </w:rPr>
        <w:t>است</w:t>
      </w:r>
      <w:r w:rsidRPr="00FE433F">
        <w:rPr>
          <w:rFonts w:eastAsia="Calibri"/>
          <w:i/>
          <w:sz w:val="23"/>
          <w:szCs w:val="23"/>
          <w:rtl/>
        </w:rPr>
        <w:t>‌ها</w:t>
      </w:r>
      <w:r w:rsidRPr="00FE433F">
        <w:rPr>
          <w:rFonts w:eastAsia="Calibri" w:hint="cs"/>
          <w:i/>
          <w:sz w:val="23"/>
          <w:szCs w:val="23"/>
          <w:rtl/>
        </w:rPr>
        <w:t>ی</w:t>
      </w:r>
      <w:r w:rsidRPr="00FE433F">
        <w:rPr>
          <w:rFonts w:eastAsia="Calibri"/>
          <w:i/>
          <w:sz w:val="23"/>
          <w:szCs w:val="23"/>
          <w:rtl/>
        </w:rPr>
        <w:t xml:space="preserve"> پول</w:t>
      </w:r>
      <w:r w:rsidRPr="00FE433F">
        <w:rPr>
          <w:rFonts w:eastAsia="Calibri" w:hint="cs"/>
          <w:i/>
          <w:sz w:val="23"/>
          <w:szCs w:val="23"/>
          <w:rtl/>
        </w:rPr>
        <w:t>ی</w:t>
      </w:r>
      <w:r w:rsidRPr="00FE433F">
        <w:rPr>
          <w:rFonts w:eastAsia="Calibri"/>
          <w:i/>
          <w:sz w:val="23"/>
          <w:szCs w:val="23"/>
          <w:rtl/>
        </w:rPr>
        <w:t xml:space="preserve"> وجود دارد. جز</w:t>
      </w:r>
      <w:r w:rsidRPr="00FE433F">
        <w:rPr>
          <w:rFonts w:eastAsia="Calibri" w:hint="cs"/>
          <w:i/>
          <w:sz w:val="23"/>
          <w:szCs w:val="23"/>
          <w:rtl/>
        </w:rPr>
        <w:t>ئی</w:t>
      </w:r>
      <w:r w:rsidRPr="00FE433F">
        <w:rPr>
          <w:rFonts w:eastAsia="Calibri" w:hint="eastAsia"/>
          <w:i/>
          <w:sz w:val="23"/>
          <w:szCs w:val="23"/>
          <w:rtl/>
        </w:rPr>
        <w:t>ات</w:t>
      </w:r>
      <w:r w:rsidRPr="00FE433F">
        <w:rPr>
          <w:rFonts w:eastAsia="Calibri"/>
          <w:i/>
          <w:sz w:val="23"/>
          <w:szCs w:val="23"/>
          <w:rtl/>
        </w:rPr>
        <w:t xml:space="preserve"> ب</w:t>
      </w:r>
      <w:r w:rsidRPr="00FE433F">
        <w:rPr>
          <w:rFonts w:eastAsia="Calibri" w:hint="cs"/>
          <w:i/>
          <w:sz w:val="23"/>
          <w:szCs w:val="23"/>
          <w:rtl/>
        </w:rPr>
        <w:t>ی</w:t>
      </w:r>
      <w:r w:rsidRPr="00FE433F">
        <w:rPr>
          <w:rFonts w:eastAsia="Calibri" w:hint="eastAsia"/>
          <w:i/>
          <w:sz w:val="23"/>
          <w:szCs w:val="23"/>
          <w:rtl/>
        </w:rPr>
        <w:t>شتر</w:t>
      </w:r>
      <w:r w:rsidRPr="00FE433F">
        <w:rPr>
          <w:rFonts w:eastAsia="Calibri"/>
          <w:i/>
          <w:sz w:val="23"/>
          <w:szCs w:val="23"/>
          <w:rtl/>
        </w:rPr>
        <w:t xml:space="preserve">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مباحث در فصول</w:t>
      </w:r>
      <w:r w:rsidRPr="00FE433F">
        <w:rPr>
          <w:rFonts w:hint="cs"/>
          <w:i/>
          <w:sz w:val="23"/>
          <w:szCs w:val="23"/>
          <w:rtl/>
        </w:rPr>
        <w:t xml:space="preserve"> </w:t>
      </w:r>
      <w:r w:rsidRPr="00FE433F">
        <w:rPr>
          <w:rFonts w:eastAsia="Calibri" w:hint="cs"/>
          <w:i/>
          <w:sz w:val="23"/>
          <w:szCs w:val="23"/>
          <w:rtl/>
        </w:rPr>
        <w:t>۱۳</w:t>
      </w:r>
      <w:r w:rsidRPr="00FE433F">
        <w:rPr>
          <w:rFonts w:eastAsia="Calibri"/>
          <w:i/>
          <w:sz w:val="23"/>
          <w:szCs w:val="23"/>
          <w:rtl/>
        </w:rPr>
        <w:t xml:space="preserve"> </w:t>
      </w:r>
      <w:r w:rsidRPr="00FE433F">
        <w:rPr>
          <w:rFonts w:hint="cs"/>
          <w:i/>
          <w:sz w:val="23"/>
          <w:szCs w:val="23"/>
          <w:rtl/>
        </w:rPr>
        <w:t xml:space="preserve">و </w:t>
      </w:r>
      <w:r w:rsidRPr="00FE433F">
        <w:rPr>
          <w:rFonts w:eastAsia="Calibri" w:hint="cs"/>
          <w:i/>
          <w:sz w:val="23"/>
          <w:szCs w:val="23"/>
          <w:rtl/>
        </w:rPr>
        <w:t>۱۴</w:t>
      </w:r>
      <w:r w:rsidRPr="00FE433F">
        <w:rPr>
          <w:rFonts w:eastAsia="Calibri"/>
          <w:i/>
          <w:sz w:val="23"/>
          <w:szCs w:val="23"/>
          <w:rtl/>
        </w:rPr>
        <w:t xml:space="preserve"> ارائه خواهد شد. در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فصل فرض م</w:t>
      </w:r>
      <w:r w:rsidRPr="00FE433F">
        <w:rPr>
          <w:rFonts w:eastAsia="Calibri" w:hint="cs"/>
          <w:i/>
          <w:sz w:val="23"/>
          <w:szCs w:val="23"/>
          <w:rtl/>
        </w:rPr>
        <w:t>ی</w:t>
      </w:r>
      <w:r w:rsidRPr="00FE433F">
        <w:rPr>
          <w:rFonts w:eastAsia="Calibri"/>
          <w:i/>
          <w:sz w:val="23"/>
          <w:szCs w:val="23"/>
          <w:rtl/>
        </w:rPr>
        <w:softHyphen/>
        <w:t>کن</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دولت به دنبال انتخاب نرخ تورم و سپس نرخ به</w:t>
      </w:r>
      <w:r w:rsidRPr="00FE433F">
        <w:rPr>
          <w:rFonts w:eastAsia="Calibri" w:hint="cs"/>
          <w:i/>
          <w:sz w:val="23"/>
          <w:szCs w:val="23"/>
          <w:rtl/>
        </w:rPr>
        <w:t>ی</w:t>
      </w:r>
      <w:r w:rsidRPr="00FE433F">
        <w:rPr>
          <w:rFonts w:eastAsia="Calibri" w:hint="eastAsia"/>
          <w:i/>
          <w:sz w:val="23"/>
          <w:szCs w:val="23"/>
          <w:rtl/>
        </w:rPr>
        <w:t>نه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تورم است</w:t>
      </w:r>
      <w:r w:rsidRPr="00FE433F">
        <w:rPr>
          <w:rFonts w:eastAsia="Calibri" w:hint="cs"/>
          <w:i/>
          <w:sz w:val="23"/>
          <w:szCs w:val="23"/>
          <w:rtl/>
        </w:rPr>
        <w:t>، و</w:t>
      </w:r>
      <w:r w:rsidRPr="00FE433F">
        <w:rPr>
          <w:rFonts w:eastAsia="Calibri"/>
          <w:i/>
          <w:sz w:val="23"/>
          <w:szCs w:val="23"/>
          <w:rtl/>
        </w:rPr>
        <w:t xml:space="preserve"> </w:t>
      </w:r>
      <w:r w:rsidRPr="00FE433F">
        <w:rPr>
          <w:rFonts w:eastAsia="Calibri" w:hint="eastAsia"/>
          <w:i/>
          <w:sz w:val="23"/>
          <w:szCs w:val="23"/>
          <w:rtl/>
        </w:rPr>
        <w:t>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بودجه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دولت بدون مال</w:t>
      </w:r>
      <w:r w:rsidRPr="00FE433F">
        <w:rPr>
          <w:rFonts w:eastAsia="Calibri" w:hint="cs"/>
          <w:i/>
          <w:sz w:val="23"/>
          <w:szCs w:val="23"/>
          <w:rtl/>
        </w:rPr>
        <w:t>ی</w:t>
      </w:r>
      <w:r w:rsidRPr="00FE433F">
        <w:rPr>
          <w:rFonts w:eastAsia="Calibri" w:hint="eastAsia"/>
          <w:i/>
          <w:sz w:val="23"/>
          <w:szCs w:val="23"/>
          <w:rtl/>
        </w:rPr>
        <w:t>ات</w:t>
      </w:r>
      <w:r w:rsidRPr="00FE433F">
        <w:rPr>
          <w:rFonts w:eastAsia="Calibri"/>
          <w:i/>
          <w:sz w:val="23"/>
          <w:szCs w:val="23"/>
          <w:rtl/>
        </w:rPr>
        <w:t xml:space="preserve"> </w:t>
      </w:r>
      <w:r w:rsidRPr="00FE433F">
        <w:rPr>
          <w:rFonts w:eastAsia="Calibri" w:hint="eastAsia"/>
          <w:i/>
          <w:sz w:val="23"/>
          <w:szCs w:val="23"/>
          <w:rtl/>
        </w:rPr>
        <w:t>حق</w:t>
      </w:r>
      <w:r w:rsidRPr="00FE433F">
        <w:rPr>
          <w:rFonts w:eastAsia="Calibri"/>
          <w:i/>
          <w:sz w:val="23"/>
          <w:szCs w:val="23"/>
          <w:rtl/>
        </w:rPr>
        <w:softHyphen/>
        <w:t>الضرب و تورم بالا برقرار است. ابتدا قاعده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فر</w:t>
      </w:r>
      <w:r w:rsidRPr="00FE433F">
        <w:rPr>
          <w:rFonts w:eastAsia="Calibri" w:hint="cs"/>
          <w:i/>
          <w:sz w:val="23"/>
          <w:szCs w:val="23"/>
          <w:rtl/>
        </w:rPr>
        <w:t>ی</w:t>
      </w:r>
      <w:r w:rsidRPr="00FE433F">
        <w:rPr>
          <w:rFonts w:eastAsia="Calibri" w:hint="eastAsia"/>
          <w:i/>
          <w:sz w:val="23"/>
          <w:szCs w:val="23"/>
          <w:rtl/>
        </w:rPr>
        <w:t>دمن</w:t>
      </w:r>
      <w:r w:rsidRPr="00FE433F">
        <w:rPr>
          <w:rStyle w:val="FootnoteReference"/>
          <w:rFonts w:eastAsia="Calibri"/>
          <w:i/>
          <w:sz w:val="23"/>
          <w:szCs w:val="23"/>
          <w:rtl/>
        </w:rPr>
        <w:footnoteReference w:id="207"/>
      </w:r>
      <w:r w:rsidRPr="00FE433F">
        <w:rPr>
          <w:rFonts w:eastAsia="Calibri"/>
          <w:i/>
          <w:sz w:val="23"/>
          <w:szCs w:val="23"/>
          <w:rtl/>
        </w:rPr>
        <w:t xml:space="preserve"> </w:t>
      </w:r>
      <w:r w:rsidRPr="00FE433F">
        <w:rPr>
          <w:rFonts w:eastAsia="Calibri" w:hint="eastAsia"/>
          <w:i/>
          <w:sz w:val="23"/>
          <w:szCs w:val="23"/>
          <w:rtl/>
        </w:rPr>
        <w:t>که</w:t>
      </w:r>
      <w:r w:rsidRPr="00FE433F">
        <w:rPr>
          <w:rFonts w:eastAsia="Calibri"/>
          <w:i/>
          <w:sz w:val="23"/>
          <w:szCs w:val="23"/>
          <w:rtl/>
        </w:rPr>
        <w:t xml:space="preserve"> </w:t>
      </w:r>
      <w:r w:rsidRPr="00FE433F">
        <w:rPr>
          <w:rFonts w:eastAsia="Calibri" w:hint="eastAsia"/>
          <w:i/>
          <w:sz w:val="23"/>
          <w:szCs w:val="23"/>
          <w:rtl/>
        </w:rPr>
        <w:t>در</w:t>
      </w:r>
      <w:r w:rsidRPr="00FE433F">
        <w:rPr>
          <w:rFonts w:eastAsia="Calibri"/>
          <w:i/>
          <w:sz w:val="23"/>
          <w:szCs w:val="23"/>
          <w:rtl/>
        </w:rPr>
        <w:t xml:space="preserve"> </w:t>
      </w:r>
      <w:r w:rsidRPr="00FE433F">
        <w:rPr>
          <w:rFonts w:eastAsia="Calibri" w:hint="eastAsia"/>
          <w:i/>
          <w:sz w:val="23"/>
          <w:szCs w:val="23"/>
          <w:rtl/>
        </w:rPr>
        <w:t>آن</w:t>
      </w:r>
      <w:r w:rsidRPr="00FE433F">
        <w:rPr>
          <w:rFonts w:eastAsia="Calibri"/>
          <w:i/>
          <w:sz w:val="23"/>
          <w:szCs w:val="23"/>
          <w:rtl/>
        </w:rPr>
        <w:t xml:space="preserve"> </w:t>
      </w:r>
      <w:r w:rsidRPr="00FE433F">
        <w:rPr>
          <w:rFonts w:eastAsia="Calibri" w:hint="eastAsia"/>
          <w:i/>
          <w:sz w:val="23"/>
          <w:szCs w:val="23"/>
          <w:rtl/>
        </w:rPr>
        <w:t>دولت</w:t>
      </w:r>
      <w:r w:rsidRPr="00FE433F">
        <w:rPr>
          <w:rFonts w:eastAsia="Calibri"/>
          <w:i/>
          <w:sz w:val="23"/>
          <w:szCs w:val="23"/>
          <w:rtl/>
        </w:rPr>
        <w:t xml:space="preserve"> </w:t>
      </w:r>
      <w:r w:rsidRPr="00FE433F">
        <w:rPr>
          <w:rFonts w:eastAsia="Calibri" w:hint="eastAsia"/>
          <w:i/>
          <w:sz w:val="23"/>
          <w:szCs w:val="23"/>
          <w:rtl/>
        </w:rPr>
        <w:t>نرخ</w:t>
      </w:r>
      <w:r w:rsidRPr="00FE433F">
        <w:rPr>
          <w:rFonts w:eastAsia="Calibri"/>
          <w:i/>
          <w:sz w:val="23"/>
          <w:szCs w:val="23"/>
          <w:rtl/>
        </w:rPr>
        <w:t xml:space="preserve"> </w:t>
      </w:r>
      <w:r w:rsidRPr="00FE433F">
        <w:rPr>
          <w:rFonts w:eastAsia="Calibri" w:hint="eastAsia"/>
          <w:i/>
          <w:sz w:val="23"/>
          <w:szCs w:val="23"/>
          <w:rtl/>
        </w:rPr>
        <w:t>بهره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اسم</w:t>
      </w:r>
      <w:r w:rsidRPr="00FE433F">
        <w:rPr>
          <w:rFonts w:eastAsia="Calibri" w:hint="cs"/>
          <w:i/>
          <w:sz w:val="23"/>
          <w:szCs w:val="23"/>
          <w:rtl/>
        </w:rPr>
        <w:t>ی</w:t>
      </w:r>
      <w:r w:rsidRPr="00FE433F">
        <w:rPr>
          <w:rFonts w:eastAsia="Calibri"/>
          <w:i/>
          <w:sz w:val="23"/>
          <w:szCs w:val="23"/>
          <w:rtl/>
        </w:rPr>
        <w:t xml:space="preserve"> به</w:t>
      </w:r>
      <w:r w:rsidRPr="00FE433F">
        <w:rPr>
          <w:rFonts w:eastAsia="Calibri" w:hint="cs"/>
          <w:i/>
          <w:sz w:val="23"/>
          <w:szCs w:val="23"/>
          <w:rtl/>
        </w:rPr>
        <w:t>ی</w:t>
      </w:r>
      <w:r w:rsidRPr="00FE433F">
        <w:rPr>
          <w:rFonts w:eastAsia="Calibri" w:hint="eastAsia"/>
          <w:i/>
          <w:sz w:val="23"/>
          <w:szCs w:val="23"/>
          <w:rtl/>
        </w:rPr>
        <w:t>نه</w:t>
      </w:r>
      <w:r w:rsidRPr="00FE433F">
        <w:rPr>
          <w:rFonts w:eastAsia="Calibri"/>
          <w:i/>
          <w:sz w:val="23"/>
          <w:szCs w:val="23"/>
          <w:rtl/>
        </w:rPr>
        <w:t xml:space="preserve"> </w:t>
      </w:r>
      <w:r w:rsidRPr="00FE433F">
        <w:rPr>
          <w:rFonts w:eastAsia="Calibri" w:hint="eastAsia"/>
          <w:i/>
          <w:sz w:val="23"/>
          <w:szCs w:val="23"/>
          <w:rtl/>
        </w:rPr>
        <w:t>را</w:t>
      </w:r>
      <w:r w:rsidRPr="00FE433F">
        <w:rPr>
          <w:rFonts w:eastAsia="Calibri"/>
          <w:i/>
          <w:sz w:val="23"/>
          <w:szCs w:val="23"/>
          <w:rtl/>
        </w:rPr>
        <w:t xml:space="preserve"> </w:t>
      </w:r>
      <w:r w:rsidRPr="00FE433F">
        <w:rPr>
          <w:rFonts w:eastAsia="Calibri" w:hint="eastAsia"/>
          <w:i/>
          <w:sz w:val="23"/>
          <w:szCs w:val="23"/>
          <w:rtl/>
        </w:rPr>
        <w:t>انتخاب</w:t>
      </w:r>
      <w:r w:rsidRPr="00FE433F">
        <w:rPr>
          <w:rFonts w:eastAsia="Calibri"/>
          <w:i/>
          <w:sz w:val="23"/>
          <w:szCs w:val="23"/>
          <w:rtl/>
        </w:rPr>
        <w:t xml:space="preserve"> </w:t>
      </w:r>
      <w:r w:rsidRPr="00FE433F">
        <w:rPr>
          <w:rFonts w:eastAsia="Calibri" w:hint="eastAsia"/>
          <w:i/>
          <w:sz w:val="23"/>
          <w:szCs w:val="23"/>
          <w:rtl/>
        </w:rPr>
        <w:t>م</w:t>
      </w:r>
      <w:r w:rsidRPr="00FE433F">
        <w:rPr>
          <w:rFonts w:eastAsia="Calibri" w:hint="cs"/>
          <w:i/>
          <w:sz w:val="23"/>
          <w:szCs w:val="23"/>
          <w:rtl/>
        </w:rPr>
        <w:t>ی</w:t>
      </w:r>
      <w:r w:rsidRPr="00FE433F">
        <w:rPr>
          <w:rFonts w:eastAsia="Calibri"/>
          <w:i/>
          <w:sz w:val="23"/>
          <w:szCs w:val="23"/>
          <w:rtl/>
        </w:rPr>
        <w:softHyphen/>
        <w:t>کند در نظر گرفته و سپس به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موضوع</w:t>
      </w:r>
      <w:r w:rsidRPr="00FE433F">
        <w:rPr>
          <w:rFonts w:eastAsia="Calibri"/>
          <w:i/>
          <w:sz w:val="23"/>
          <w:szCs w:val="23"/>
          <w:rtl/>
        </w:rPr>
        <w:t xml:space="preserve"> </w:t>
      </w:r>
      <w:r w:rsidRPr="00FE433F">
        <w:rPr>
          <w:rFonts w:eastAsia="Calibri" w:hint="eastAsia"/>
          <w:i/>
          <w:sz w:val="23"/>
          <w:szCs w:val="23"/>
          <w:rtl/>
        </w:rPr>
        <w:t>م</w:t>
      </w:r>
      <w:r w:rsidRPr="00FE433F">
        <w:rPr>
          <w:rFonts w:eastAsia="Calibri" w:hint="cs"/>
          <w:i/>
          <w:sz w:val="23"/>
          <w:szCs w:val="23"/>
          <w:rtl/>
        </w:rPr>
        <w:t>ی</w:t>
      </w:r>
      <w:r w:rsidRPr="00FE433F">
        <w:rPr>
          <w:rFonts w:eastAsia="Calibri"/>
          <w:i/>
          <w:sz w:val="23"/>
          <w:szCs w:val="23"/>
          <w:rtl/>
        </w:rPr>
        <w:softHyphen/>
        <w:t>پرداز</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w:t>
      </w:r>
      <w:r w:rsidRPr="00FE433F">
        <w:rPr>
          <w:rFonts w:eastAsia="Calibri" w:hint="eastAsia"/>
          <w:i/>
          <w:sz w:val="23"/>
          <w:szCs w:val="23"/>
          <w:rtl/>
        </w:rPr>
        <w:t>که</w:t>
      </w:r>
      <w:r w:rsidRPr="00FE433F">
        <w:rPr>
          <w:rFonts w:eastAsia="Calibri"/>
          <w:i/>
          <w:sz w:val="23"/>
          <w:szCs w:val="23"/>
          <w:rtl/>
        </w:rPr>
        <w:t xml:space="preserve"> </w:t>
      </w:r>
      <w:r w:rsidRPr="00FE433F">
        <w:rPr>
          <w:rFonts w:eastAsia="Calibri" w:hint="eastAsia"/>
          <w:i/>
          <w:sz w:val="23"/>
          <w:szCs w:val="23"/>
          <w:rtl/>
        </w:rPr>
        <w:t>آ</w:t>
      </w:r>
      <w:r w:rsidRPr="00FE433F">
        <w:rPr>
          <w:rFonts w:eastAsia="Calibri" w:hint="cs"/>
          <w:i/>
          <w:sz w:val="23"/>
          <w:szCs w:val="23"/>
          <w:rtl/>
        </w:rPr>
        <w:t>ی</w:t>
      </w:r>
      <w:r w:rsidRPr="00FE433F">
        <w:rPr>
          <w:rFonts w:eastAsia="Calibri" w:hint="eastAsia"/>
          <w:i/>
          <w:sz w:val="23"/>
          <w:szCs w:val="23"/>
          <w:rtl/>
        </w:rPr>
        <w:t>ا</w:t>
      </w:r>
      <w:r w:rsidRPr="00FE433F">
        <w:rPr>
          <w:rFonts w:eastAsia="Calibri"/>
          <w:i/>
          <w:sz w:val="23"/>
          <w:szCs w:val="23"/>
          <w:rtl/>
        </w:rPr>
        <w:t xml:space="preserve"> </w:t>
      </w:r>
      <w:r w:rsidRPr="00FE433F">
        <w:rPr>
          <w:rFonts w:eastAsia="Calibri" w:hint="eastAsia"/>
          <w:i/>
          <w:sz w:val="23"/>
          <w:szCs w:val="23"/>
          <w:rtl/>
        </w:rPr>
        <w:t>قاعده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فر</w:t>
      </w:r>
      <w:r w:rsidRPr="00FE433F">
        <w:rPr>
          <w:rFonts w:eastAsia="Calibri" w:hint="cs"/>
          <w:i/>
          <w:sz w:val="23"/>
          <w:szCs w:val="23"/>
          <w:rtl/>
        </w:rPr>
        <w:t>ی</w:t>
      </w:r>
      <w:r w:rsidRPr="00FE433F">
        <w:rPr>
          <w:rFonts w:eastAsia="Calibri" w:hint="eastAsia"/>
          <w:i/>
          <w:sz w:val="23"/>
          <w:szCs w:val="23"/>
          <w:rtl/>
        </w:rPr>
        <w:t>دمن</w:t>
      </w:r>
      <w:r w:rsidRPr="00FE433F">
        <w:rPr>
          <w:rFonts w:eastAsia="Calibri"/>
          <w:i/>
          <w:sz w:val="23"/>
          <w:szCs w:val="23"/>
          <w:rtl/>
        </w:rPr>
        <w:t xml:space="preserve"> </w:t>
      </w:r>
      <w:r w:rsidRPr="00FE433F">
        <w:rPr>
          <w:rFonts w:eastAsia="Calibri" w:hint="eastAsia"/>
          <w:i/>
          <w:sz w:val="23"/>
          <w:szCs w:val="23"/>
          <w:rtl/>
        </w:rPr>
        <w:t>به</w:t>
      </w:r>
      <w:r w:rsidRPr="00FE433F">
        <w:rPr>
          <w:rFonts w:eastAsia="Calibri" w:hint="cs"/>
          <w:i/>
          <w:sz w:val="23"/>
          <w:szCs w:val="23"/>
          <w:rtl/>
        </w:rPr>
        <w:t>ی</w:t>
      </w:r>
      <w:r w:rsidRPr="00FE433F">
        <w:rPr>
          <w:rFonts w:eastAsia="Calibri" w:hint="eastAsia"/>
          <w:i/>
          <w:sz w:val="23"/>
          <w:szCs w:val="23"/>
          <w:rtl/>
        </w:rPr>
        <w:t>نه</w:t>
      </w:r>
      <w:r w:rsidRPr="00FE433F">
        <w:rPr>
          <w:rFonts w:eastAsia="Calibri"/>
          <w:i/>
          <w:sz w:val="23"/>
          <w:szCs w:val="23"/>
          <w:rtl/>
        </w:rPr>
        <w:t xml:space="preserve"> </w:t>
      </w:r>
      <w:r w:rsidRPr="00FE433F">
        <w:rPr>
          <w:rFonts w:eastAsia="Calibri" w:hint="eastAsia"/>
          <w:i/>
          <w:sz w:val="23"/>
          <w:szCs w:val="23"/>
          <w:rtl/>
        </w:rPr>
        <w:t>هست</w:t>
      </w:r>
      <w:r w:rsidRPr="00FE433F">
        <w:rPr>
          <w:rFonts w:hint="cs"/>
          <w:i/>
          <w:sz w:val="23"/>
          <w:szCs w:val="23"/>
          <w:rtl/>
        </w:rPr>
        <w:t xml:space="preserve"> </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ا خ</w:t>
      </w:r>
      <w:r w:rsidRPr="00FE433F">
        <w:rPr>
          <w:rFonts w:eastAsia="Calibri" w:hint="cs"/>
          <w:i/>
          <w:sz w:val="23"/>
          <w:szCs w:val="23"/>
          <w:rtl/>
        </w:rPr>
        <w:t>ی</w:t>
      </w:r>
      <w:r w:rsidRPr="00FE433F">
        <w:rPr>
          <w:rFonts w:eastAsia="Calibri" w:hint="eastAsia"/>
          <w:i/>
          <w:sz w:val="23"/>
          <w:szCs w:val="23"/>
          <w:rtl/>
        </w:rPr>
        <w:t>ر</w:t>
      </w:r>
      <w:r w:rsidRPr="00FE433F">
        <w:rPr>
          <w:rFonts w:eastAsia="Calibri" w:hint="cs"/>
          <w:i/>
          <w:sz w:val="23"/>
          <w:szCs w:val="23"/>
          <w:rtl/>
        </w:rPr>
        <w:t>،</w:t>
      </w:r>
      <w:r w:rsidRPr="00FE433F">
        <w:rPr>
          <w:rFonts w:eastAsia="Calibri"/>
          <w:i/>
          <w:sz w:val="23"/>
          <w:szCs w:val="23"/>
          <w:rtl/>
        </w:rPr>
        <w:t xml:space="preserve"> و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نت</w:t>
      </w:r>
      <w:r w:rsidRPr="00FE433F">
        <w:rPr>
          <w:rFonts w:eastAsia="Calibri" w:hint="cs"/>
          <w:i/>
          <w:sz w:val="23"/>
          <w:szCs w:val="23"/>
          <w:rtl/>
        </w:rPr>
        <w:t>ی</w:t>
      </w:r>
      <w:r w:rsidRPr="00FE433F">
        <w:rPr>
          <w:rFonts w:eastAsia="Calibri" w:hint="eastAsia"/>
          <w:i/>
          <w:sz w:val="23"/>
          <w:szCs w:val="23"/>
          <w:rtl/>
        </w:rPr>
        <w:t>جه</w:t>
      </w:r>
      <w:r w:rsidRPr="00FE433F">
        <w:rPr>
          <w:rFonts w:eastAsia="Calibri"/>
          <w:i/>
          <w:sz w:val="23"/>
          <w:szCs w:val="23"/>
          <w:rtl/>
        </w:rPr>
        <w:t xml:space="preserve"> چه نقش</w:t>
      </w:r>
      <w:r w:rsidRPr="00FE433F">
        <w:rPr>
          <w:rFonts w:eastAsia="Calibri" w:hint="cs"/>
          <w:i/>
          <w:sz w:val="23"/>
          <w:szCs w:val="23"/>
          <w:rtl/>
        </w:rPr>
        <w:t>ی</w:t>
      </w:r>
      <w:r w:rsidRPr="00FE433F">
        <w:rPr>
          <w:rFonts w:eastAsia="Calibri"/>
          <w:i/>
          <w:sz w:val="23"/>
          <w:szCs w:val="23"/>
          <w:rtl/>
        </w:rPr>
        <w:t xml:space="preserve"> در نرخ تورم به</w:t>
      </w:r>
      <w:r w:rsidRPr="00FE433F">
        <w:rPr>
          <w:rFonts w:eastAsia="Calibri" w:hint="cs"/>
          <w:i/>
          <w:sz w:val="23"/>
          <w:szCs w:val="23"/>
          <w:rtl/>
        </w:rPr>
        <w:t>ی</w:t>
      </w:r>
      <w:r w:rsidRPr="00FE433F">
        <w:rPr>
          <w:rFonts w:eastAsia="Calibri" w:hint="eastAsia"/>
          <w:i/>
          <w:sz w:val="23"/>
          <w:szCs w:val="23"/>
          <w:rtl/>
        </w:rPr>
        <w:t>نه</w:t>
      </w:r>
      <w:r w:rsidRPr="00FE433F">
        <w:rPr>
          <w:rFonts w:eastAsia="Calibri"/>
          <w:i/>
          <w:sz w:val="23"/>
          <w:szCs w:val="23"/>
          <w:rtl/>
        </w:rPr>
        <w:t xml:space="preserve"> خواهد داشت. </w:t>
      </w:r>
    </w:p>
    <w:p w14:paraId="3653E824" w14:textId="77777777" w:rsidR="00411620" w:rsidRPr="00FE433F" w:rsidRDefault="00411620" w:rsidP="00411620">
      <w:pPr>
        <w:spacing w:line="216" w:lineRule="auto"/>
        <w:rPr>
          <w:rFonts w:eastAsia="Calibri"/>
          <w:i/>
          <w:sz w:val="23"/>
          <w:szCs w:val="23"/>
          <w:rtl/>
        </w:rPr>
      </w:pPr>
    </w:p>
    <w:p w14:paraId="4BFD71DD" w14:textId="77777777" w:rsidR="00411620" w:rsidRPr="00FE433F" w:rsidRDefault="00411620" w:rsidP="00411620">
      <w:pPr>
        <w:spacing w:line="216" w:lineRule="auto"/>
        <w:rPr>
          <w:rFonts w:eastAsia="Calibri"/>
          <w:bCs/>
          <w:i/>
          <w:sz w:val="23"/>
          <w:szCs w:val="23"/>
          <w:rtl/>
        </w:rPr>
      </w:pPr>
      <w:r w:rsidRPr="00FE433F">
        <w:rPr>
          <w:rFonts w:eastAsia="Calibri"/>
          <w:bCs/>
          <w:i/>
          <w:sz w:val="23"/>
          <w:szCs w:val="23"/>
          <w:rtl/>
        </w:rPr>
        <w:t>قاعده</w:t>
      </w:r>
      <w:r w:rsidRPr="00FE433F">
        <w:rPr>
          <w:rFonts w:eastAsia="Calibri"/>
          <w:bCs/>
          <w:i/>
          <w:sz w:val="23"/>
          <w:szCs w:val="23"/>
          <w:rtl/>
        </w:rPr>
        <w:softHyphen/>
      </w:r>
      <w:r w:rsidRPr="00FE433F">
        <w:rPr>
          <w:rFonts w:eastAsia="Calibri" w:hint="cs"/>
          <w:bCs/>
          <w:i/>
          <w:sz w:val="23"/>
          <w:szCs w:val="23"/>
          <w:rtl/>
        </w:rPr>
        <w:t>ی</w:t>
      </w:r>
      <w:r w:rsidRPr="00FE433F">
        <w:rPr>
          <w:rFonts w:eastAsia="Calibri"/>
          <w:bCs/>
          <w:i/>
          <w:sz w:val="23"/>
          <w:szCs w:val="23"/>
          <w:rtl/>
        </w:rPr>
        <w:t xml:space="preserve"> فر</w:t>
      </w:r>
      <w:r w:rsidRPr="00FE433F">
        <w:rPr>
          <w:rFonts w:eastAsia="Calibri" w:hint="cs"/>
          <w:bCs/>
          <w:i/>
          <w:sz w:val="23"/>
          <w:szCs w:val="23"/>
          <w:rtl/>
        </w:rPr>
        <w:t>ی</w:t>
      </w:r>
      <w:r w:rsidRPr="00FE433F">
        <w:rPr>
          <w:rFonts w:eastAsia="Calibri" w:hint="eastAsia"/>
          <w:bCs/>
          <w:i/>
          <w:sz w:val="23"/>
          <w:szCs w:val="23"/>
          <w:rtl/>
        </w:rPr>
        <w:t>دمن</w:t>
      </w:r>
    </w:p>
    <w:p w14:paraId="5505FB62"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فر</w:t>
      </w:r>
      <w:r w:rsidRPr="00FE433F">
        <w:rPr>
          <w:rFonts w:eastAsia="Calibri" w:hint="cs"/>
          <w:i/>
          <w:sz w:val="23"/>
          <w:szCs w:val="23"/>
          <w:rtl/>
        </w:rPr>
        <w:t>ی</w:t>
      </w:r>
      <w:r w:rsidRPr="00FE433F">
        <w:rPr>
          <w:rFonts w:eastAsia="Calibri" w:hint="eastAsia"/>
          <w:i/>
          <w:sz w:val="23"/>
          <w:szCs w:val="23"/>
          <w:rtl/>
        </w:rPr>
        <w:t>دمن</w:t>
      </w:r>
      <w:r w:rsidRPr="00FE433F">
        <w:rPr>
          <w:rFonts w:eastAsia="Calibri"/>
          <w:i/>
          <w:sz w:val="23"/>
          <w:szCs w:val="23"/>
          <w:rtl/>
        </w:rPr>
        <w:t xml:space="preserve"> </w:t>
      </w:r>
      <w:r w:rsidRPr="00FE433F">
        <w:rPr>
          <w:rFonts w:eastAsia="Calibri" w:hint="eastAsia"/>
          <w:i/>
          <w:sz w:val="23"/>
          <w:szCs w:val="23"/>
          <w:rtl/>
        </w:rPr>
        <w:t>قاعده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نقد</w:t>
      </w:r>
      <w:r w:rsidRPr="00FE433F">
        <w:rPr>
          <w:rFonts w:eastAsia="Calibri" w:hint="cs"/>
          <w:i/>
          <w:sz w:val="23"/>
          <w:szCs w:val="23"/>
          <w:rtl/>
        </w:rPr>
        <w:t>ی</w:t>
      </w:r>
      <w:r w:rsidRPr="00FE433F">
        <w:rPr>
          <w:rFonts w:eastAsia="Calibri" w:hint="eastAsia"/>
          <w:i/>
          <w:sz w:val="23"/>
          <w:szCs w:val="23"/>
          <w:rtl/>
        </w:rPr>
        <w:t>نگ</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کامل</w:t>
      </w:r>
      <w:r w:rsidRPr="00FE433F">
        <w:rPr>
          <w:rFonts w:eastAsia="Calibri"/>
          <w:i/>
          <w:sz w:val="23"/>
          <w:szCs w:val="23"/>
          <w:rtl/>
        </w:rPr>
        <w:t xml:space="preserve"> </w:t>
      </w:r>
      <w:r w:rsidRPr="00FE433F">
        <w:rPr>
          <w:rFonts w:eastAsia="Calibri" w:hint="eastAsia"/>
          <w:i/>
          <w:sz w:val="23"/>
          <w:szCs w:val="23"/>
          <w:rtl/>
        </w:rPr>
        <w:t>را</w:t>
      </w:r>
      <w:r w:rsidRPr="00FE433F">
        <w:rPr>
          <w:rFonts w:eastAsia="Calibri"/>
          <w:i/>
          <w:sz w:val="23"/>
          <w:szCs w:val="23"/>
          <w:rtl/>
        </w:rPr>
        <w:t xml:space="preserve"> در سال ۱۹۶۵ </w:t>
      </w:r>
      <w:r w:rsidRPr="00FE433F">
        <w:rPr>
          <w:rFonts w:eastAsia="Calibri" w:hint="eastAsia"/>
          <w:i/>
          <w:sz w:val="23"/>
          <w:szCs w:val="23"/>
          <w:rtl/>
        </w:rPr>
        <w:t>مطرح</w:t>
      </w:r>
      <w:r w:rsidRPr="00FE433F">
        <w:rPr>
          <w:rFonts w:eastAsia="Calibri"/>
          <w:i/>
          <w:sz w:val="23"/>
          <w:szCs w:val="23"/>
          <w:rtl/>
        </w:rPr>
        <w:t xml:space="preserve"> </w:t>
      </w:r>
      <w:r w:rsidRPr="00FE433F">
        <w:rPr>
          <w:rFonts w:eastAsia="Calibri" w:hint="eastAsia"/>
          <w:i/>
          <w:sz w:val="23"/>
          <w:szCs w:val="23"/>
          <w:rtl/>
        </w:rPr>
        <w:t>کرد</w:t>
      </w:r>
      <w:r w:rsidRPr="00FE433F">
        <w:rPr>
          <w:rFonts w:eastAsia="Calibri"/>
          <w:i/>
          <w:sz w:val="23"/>
          <w:szCs w:val="23"/>
          <w:rtl/>
        </w:rPr>
        <w:t>. توجه کن</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که باز</w:t>
      </w:r>
      <w:r w:rsidRPr="00FE433F">
        <w:rPr>
          <w:rFonts w:eastAsia="Calibri" w:hint="eastAsia"/>
          <w:i/>
          <w:sz w:val="23"/>
          <w:szCs w:val="23"/>
          <w:rtl/>
        </w:rPr>
        <w:t>ده</w:t>
      </w:r>
      <w:r w:rsidRPr="00FE433F">
        <w:rPr>
          <w:rFonts w:eastAsia="Calibri" w:hint="cs"/>
          <w:i/>
          <w:sz w:val="23"/>
          <w:szCs w:val="23"/>
          <w:rtl/>
        </w:rPr>
        <w:t>ی</w:t>
      </w:r>
      <w:r w:rsidRPr="00FE433F">
        <w:rPr>
          <w:rFonts w:eastAsia="Calibri"/>
          <w:i/>
          <w:sz w:val="23"/>
          <w:szCs w:val="23"/>
          <w:rtl/>
        </w:rPr>
        <w:t xml:space="preserve"> نها</w:t>
      </w:r>
      <w:r w:rsidRPr="00FE433F">
        <w:rPr>
          <w:rFonts w:eastAsia="Calibri" w:hint="cs"/>
          <w:i/>
          <w:sz w:val="23"/>
          <w:szCs w:val="23"/>
          <w:rtl/>
        </w:rPr>
        <w:t>یی</w:t>
      </w:r>
      <w:r w:rsidRPr="00FE433F">
        <w:rPr>
          <w:rFonts w:eastAsia="Calibri"/>
          <w:i/>
          <w:sz w:val="23"/>
          <w:szCs w:val="23"/>
          <w:rtl/>
        </w:rPr>
        <w:t xml:space="preserve"> نگهدار</w:t>
      </w:r>
      <w:r w:rsidRPr="00FE433F">
        <w:rPr>
          <w:rFonts w:eastAsia="Calibri" w:hint="cs"/>
          <w:i/>
          <w:sz w:val="23"/>
          <w:szCs w:val="23"/>
          <w:rtl/>
        </w:rPr>
        <w:t>ی</w:t>
      </w:r>
      <w:r w:rsidRPr="00FE433F">
        <w:rPr>
          <w:rFonts w:eastAsia="Calibri"/>
          <w:i/>
          <w:sz w:val="23"/>
          <w:szCs w:val="23"/>
          <w:rtl/>
        </w:rPr>
        <w:t xml:space="preserve"> پول بدون بهره</w:t>
      </w:r>
      <w:r w:rsidRPr="00FE433F">
        <w:rPr>
          <w:rFonts w:eastAsia="Calibri" w:hint="cs"/>
          <w:i/>
          <w:sz w:val="23"/>
          <w:szCs w:val="23"/>
          <w:rtl/>
        </w:rPr>
        <w:t>،</w:t>
      </w:r>
      <w:r w:rsidRPr="00FE433F">
        <w:rPr>
          <w:rFonts w:eastAsia="Calibri"/>
          <w:i/>
          <w:sz w:val="23"/>
          <w:szCs w:val="23"/>
          <w:rtl/>
        </w:rPr>
        <w:t xml:space="preserve"> برابر با</w:t>
      </w:r>
      <w:r w:rsidRPr="00FE433F">
        <w:rPr>
          <w:position w:val="-6"/>
        </w:rPr>
        <w:object w:dxaOrig="340" w:dyaOrig="200" w14:anchorId="67E0D724">
          <v:shape id="_x0000_i4309" type="#_x0000_t75" style="width:16.95pt;height:10.3pt" o:ole="">
            <v:imagedata r:id="rId6611" o:title=""/>
          </v:shape>
          <o:OLEObject Type="Embed" ProgID="Equation.DSMT4" ShapeID="_x0000_i4309" DrawAspect="Content" ObjectID="_1791378253" r:id="rId6612"/>
        </w:object>
      </w:r>
      <w:r w:rsidRPr="00FE433F">
        <w:rPr>
          <w:rFonts w:hint="cs"/>
          <w:i/>
          <w:sz w:val="23"/>
          <w:szCs w:val="23"/>
          <w:rtl/>
        </w:rPr>
        <w:t>،</w:t>
      </w:r>
      <w:r w:rsidRPr="00FE433F">
        <w:rPr>
          <w:rFonts w:eastAsia="Calibri"/>
          <w:i/>
          <w:sz w:val="23"/>
          <w:szCs w:val="23"/>
          <w:rtl/>
        </w:rPr>
        <w:t xml:space="preserve"> و کل هز</w:t>
      </w:r>
      <w:r w:rsidRPr="00FE433F">
        <w:rPr>
          <w:rFonts w:eastAsia="Calibri" w:hint="cs"/>
          <w:i/>
          <w:sz w:val="23"/>
          <w:szCs w:val="23"/>
          <w:rtl/>
        </w:rPr>
        <w:t>ی</w:t>
      </w:r>
      <w:r w:rsidRPr="00FE433F">
        <w:rPr>
          <w:rFonts w:eastAsia="Calibri" w:hint="eastAsia"/>
          <w:i/>
          <w:sz w:val="23"/>
          <w:szCs w:val="23"/>
          <w:rtl/>
        </w:rPr>
        <w:t>نه</w:t>
      </w:r>
      <w:r w:rsidRPr="00FE433F">
        <w:rPr>
          <w:rFonts w:eastAsia="Calibri"/>
          <w:i/>
          <w:sz w:val="23"/>
          <w:szCs w:val="23"/>
          <w:rtl/>
        </w:rPr>
        <w:softHyphen/>
      </w:r>
      <w:r w:rsidRPr="00FE433F">
        <w:rPr>
          <w:rFonts w:eastAsia="Calibri" w:hint="cs"/>
          <w:i/>
          <w:sz w:val="23"/>
          <w:szCs w:val="23"/>
          <w:rtl/>
        </w:rPr>
        <w:t xml:space="preserve">ی نگهداری پول </w:t>
      </w:r>
      <w:r w:rsidRPr="00FE433F">
        <w:rPr>
          <w:rFonts w:eastAsia="Calibri"/>
          <w:i/>
          <w:sz w:val="23"/>
          <w:szCs w:val="23"/>
          <w:rtl/>
        </w:rPr>
        <w:t>برابر است با</w:t>
      </w:r>
      <w:r w:rsidRPr="00FE433F">
        <w:rPr>
          <w:position w:val="-6"/>
        </w:rPr>
        <w:object w:dxaOrig="380" w:dyaOrig="200" w14:anchorId="37AA7C4F">
          <v:shape id="_x0000_i4310" type="#_x0000_t75" style="width:18.75pt;height:10.3pt" o:ole="">
            <v:imagedata r:id="rId6613" o:title=""/>
          </v:shape>
          <o:OLEObject Type="Embed" ProgID="Equation.DSMT4" ShapeID="_x0000_i4310" DrawAspect="Content" ObjectID="_1791378254" r:id="rId6614"/>
        </w:object>
      </w:r>
      <w:r w:rsidRPr="00FE433F">
        <w:rPr>
          <w:rFonts w:eastAsia="Calibri" w:hint="cs"/>
          <w:i/>
          <w:sz w:val="23"/>
          <w:szCs w:val="23"/>
          <w:rtl/>
        </w:rPr>
        <w:t>،</w:t>
      </w:r>
      <w:r w:rsidRPr="00FE433F">
        <w:rPr>
          <w:i/>
          <w:sz w:val="23"/>
          <w:szCs w:val="23"/>
          <w:rtl/>
        </w:rPr>
        <w:t xml:space="preserve"> در</w:t>
      </w:r>
      <w:r w:rsidRPr="00FE433F">
        <w:rPr>
          <w:rFonts w:eastAsia="Calibri"/>
          <w:i/>
          <w:sz w:val="23"/>
          <w:szCs w:val="23"/>
          <w:rtl/>
        </w:rPr>
        <w:t>حال</w:t>
      </w:r>
      <w:r w:rsidRPr="00FE433F">
        <w:rPr>
          <w:rFonts w:eastAsia="Calibri" w:hint="cs"/>
          <w:i/>
          <w:sz w:val="23"/>
          <w:szCs w:val="23"/>
          <w:rtl/>
        </w:rPr>
        <w:t>ی</w:t>
      </w:r>
      <w:r w:rsidRPr="00FE433F">
        <w:rPr>
          <w:i/>
          <w:sz w:val="23"/>
          <w:szCs w:val="23"/>
          <w:rtl/>
        </w:rPr>
        <w:softHyphen/>
      </w:r>
      <w:r w:rsidRPr="00FE433F">
        <w:rPr>
          <w:rFonts w:eastAsia="Calibri"/>
          <w:i/>
          <w:sz w:val="23"/>
          <w:szCs w:val="23"/>
          <w:rtl/>
        </w:rPr>
        <w:t>که هز</w:t>
      </w:r>
      <w:r w:rsidRPr="00FE433F">
        <w:rPr>
          <w:rFonts w:eastAsia="Calibri" w:hint="cs"/>
          <w:i/>
          <w:sz w:val="23"/>
          <w:szCs w:val="23"/>
          <w:rtl/>
        </w:rPr>
        <w:t>ی</w:t>
      </w:r>
      <w:r w:rsidRPr="00FE433F">
        <w:rPr>
          <w:rFonts w:eastAsia="Calibri" w:hint="eastAsia"/>
          <w:i/>
          <w:sz w:val="23"/>
          <w:szCs w:val="23"/>
          <w:rtl/>
        </w:rPr>
        <w:t>نه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نها</w:t>
      </w:r>
      <w:r w:rsidRPr="00FE433F">
        <w:rPr>
          <w:rFonts w:eastAsia="Calibri" w:hint="cs"/>
          <w:i/>
          <w:sz w:val="23"/>
          <w:szCs w:val="23"/>
          <w:rtl/>
        </w:rPr>
        <w:t>یی</w:t>
      </w:r>
      <w:r w:rsidRPr="00FE433F">
        <w:rPr>
          <w:rFonts w:eastAsia="Calibri"/>
          <w:i/>
          <w:sz w:val="23"/>
          <w:szCs w:val="23"/>
          <w:rtl/>
        </w:rPr>
        <w:t xml:space="preserve"> اجتماع</w:t>
      </w:r>
      <w:r w:rsidRPr="00FE433F">
        <w:rPr>
          <w:rFonts w:eastAsia="Calibri" w:hint="cs"/>
          <w:i/>
          <w:sz w:val="23"/>
          <w:szCs w:val="23"/>
          <w:rtl/>
        </w:rPr>
        <w:t>ی</w:t>
      </w:r>
      <w:r w:rsidRPr="00FE433F">
        <w:rPr>
          <w:rFonts w:eastAsia="Calibri"/>
          <w:i/>
          <w:sz w:val="23"/>
          <w:szCs w:val="23"/>
          <w:rtl/>
        </w:rPr>
        <w:t xml:space="preserve"> تول</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پول</w:t>
      </w:r>
      <w:r w:rsidRPr="00FE433F">
        <w:rPr>
          <w:rFonts w:eastAsia="Calibri"/>
          <w:i/>
          <w:sz w:val="23"/>
          <w:szCs w:val="23"/>
          <w:rtl/>
        </w:rPr>
        <w:t xml:space="preserve"> </w:t>
      </w:r>
      <w:r w:rsidRPr="00FE433F">
        <w:rPr>
          <w:rFonts w:eastAsia="Calibri" w:hint="eastAsia"/>
          <w:i/>
          <w:sz w:val="23"/>
          <w:szCs w:val="23"/>
          <w:rtl/>
        </w:rPr>
        <w:t>برابر</w:t>
      </w:r>
      <w:r w:rsidRPr="00FE433F">
        <w:rPr>
          <w:rFonts w:eastAsia="Calibri"/>
          <w:i/>
          <w:sz w:val="23"/>
          <w:szCs w:val="23"/>
          <w:rtl/>
        </w:rPr>
        <w:t xml:space="preserve"> </w:t>
      </w:r>
      <w:r w:rsidRPr="00FE433F">
        <w:rPr>
          <w:rFonts w:eastAsia="Calibri" w:hint="eastAsia"/>
          <w:i/>
          <w:sz w:val="23"/>
          <w:szCs w:val="23"/>
          <w:rtl/>
        </w:rPr>
        <w:t>است</w:t>
      </w:r>
      <w:r w:rsidRPr="00FE433F">
        <w:rPr>
          <w:rFonts w:eastAsia="Calibri"/>
          <w:i/>
          <w:sz w:val="23"/>
          <w:szCs w:val="23"/>
          <w:rtl/>
        </w:rPr>
        <w:t xml:space="preserve"> </w:t>
      </w:r>
      <w:r w:rsidRPr="00FE433F">
        <w:rPr>
          <w:rFonts w:eastAsia="Calibri" w:hint="eastAsia"/>
          <w:i/>
          <w:sz w:val="23"/>
          <w:szCs w:val="23"/>
          <w:rtl/>
        </w:rPr>
        <w:t>با</w:t>
      </w:r>
      <w:r w:rsidRPr="00FE433F">
        <w:rPr>
          <w:rFonts w:eastAsia="Calibri"/>
          <w:i/>
          <w:sz w:val="23"/>
          <w:szCs w:val="23"/>
          <w:rtl/>
        </w:rPr>
        <w:t xml:space="preserve"> </w:t>
      </w:r>
      <w:r w:rsidRPr="00FE433F">
        <w:rPr>
          <w:rFonts w:eastAsia="Calibri" w:hint="eastAsia"/>
          <w:i/>
          <w:sz w:val="23"/>
          <w:szCs w:val="23"/>
          <w:rtl/>
        </w:rPr>
        <w:t>صفر</w:t>
      </w:r>
      <w:r w:rsidRPr="00FE433F">
        <w:rPr>
          <w:rFonts w:eastAsia="Calibri"/>
          <w:i/>
          <w:sz w:val="23"/>
          <w:szCs w:val="23"/>
          <w:rtl/>
        </w:rPr>
        <w:t xml:space="preserve">. </w:t>
      </w:r>
      <w:r w:rsidRPr="00FE433F">
        <w:rPr>
          <w:rFonts w:eastAsia="Calibri" w:hint="eastAsia"/>
          <w:i/>
          <w:sz w:val="23"/>
          <w:szCs w:val="23"/>
          <w:rtl/>
        </w:rPr>
        <w:t>فر</w:t>
      </w:r>
      <w:r w:rsidRPr="00FE433F">
        <w:rPr>
          <w:rFonts w:eastAsia="Calibri" w:hint="cs"/>
          <w:i/>
          <w:sz w:val="23"/>
          <w:szCs w:val="23"/>
          <w:rtl/>
        </w:rPr>
        <w:t>ی</w:t>
      </w:r>
      <w:r w:rsidRPr="00FE433F">
        <w:rPr>
          <w:rFonts w:eastAsia="Calibri" w:hint="eastAsia"/>
          <w:i/>
          <w:sz w:val="23"/>
          <w:szCs w:val="23"/>
          <w:rtl/>
        </w:rPr>
        <w:t>دمن</w:t>
      </w:r>
      <w:r w:rsidRPr="00FE433F">
        <w:rPr>
          <w:rFonts w:eastAsia="Calibri"/>
          <w:i/>
          <w:sz w:val="23"/>
          <w:szCs w:val="23"/>
          <w:rtl/>
        </w:rPr>
        <w:t xml:space="preserve"> </w:t>
      </w:r>
      <w:r w:rsidRPr="00FE433F">
        <w:rPr>
          <w:rFonts w:eastAsia="Calibri" w:hint="eastAsia"/>
          <w:i/>
          <w:sz w:val="23"/>
          <w:szCs w:val="23"/>
          <w:rtl/>
        </w:rPr>
        <w:t>حذف</w:t>
      </w:r>
      <w:r w:rsidRPr="00FE433F">
        <w:rPr>
          <w:rFonts w:eastAsia="Calibri"/>
          <w:i/>
          <w:sz w:val="23"/>
          <w:szCs w:val="23"/>
          <w:rtl/>
        </w:rPr>
        <w:t xml:space="preserve"> </w:t>
      </w:r>
      <w:r w:rsidRPr="00FE433F">
        <w:rPr>
          <w:rFonts w:eastAsia="Calibri" w:hint="eastAsia"/>
          <w:i/>
          <w:sz w:val="23"/>
          <w:szCs w:val="23"/>
          <w:rtl/>
        </w:rPr>
        <w:t>هز</w:t>
      </w:r>
      <w:r w:rsidRPr="00FE433F">
        <w:rPr>
          <w:rFonts w:eastAsia="Calibri" w:hint="cs"/>
          <w:i/>
          <w:sz w:val="23"/>
          <w:szCs w:val="23"/>
          <w:rtl/>
        </w:rPr>
        <w:t>ی</w:t>
      </w:r>
      <w:r w:rsidRPr="00FE433F">
        <w:rPr>
          <w:rFonts w:eastAsia="Calibri" w:hint="eastAsia"/>
          <w:i/>
          <w:sz w:val="23"/>
          <w:szCs w:val="23"/>
          <w:rtl/>
        </w:rPr>
        <w:t>نه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نگهدار</w:t>
      </w:r>
      <w:r w:rsidRPr="00FE433F">
        <w:rPr>
          <w:rFonts w:eastAsia="Calibri" w:hint="cs"/>
          <w:i/>
          <w:sz w:val="23"/>
          <w:szCs w:val="23"/>
          <w:rtl/>
        </w:rPr>
        <w:t>ی</w:t>
      </w:r>
      <w:r w:rsidRPr="00FE433F">
        <w:rPr>
          <w:rFonts w:eastAsia="Calibri"/>
          <w:i/>
          <w:sz w:val="23"/>
          <w:szCs w:val="23"/>
          <w:rtl/>
        </w:rPr>
        <w:t xml:space="preserve"> پول</w:t>
      </w:r>
      <w:r w:rsidRPr="00FE433F">
        <w:rPr>
          <w:rFonts w:eastAsia="Calibri" w:hint="cs"/>
          <w:i/>
          <w:sz w:val="23"/>
          <w:szCs w:val="23"/>
          <w:rtl/>
        </w:rPr>
        <w:t xml:space="preserve"> را برابر</w:t>
      </w:r>
      <w:r w:rsidRPr="00FE433F">
        <w:rPr>
          <w:rFonts w:eastAsia="Calibri"/>
          <w:i/>
          <w:sz w:val="23"/>
          <w:szCs w:val="23"/>
          <w:rtl/>
        </w:rPr>
        <w:t xml:space="preserve"> منف</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نرخ</w:t>
      </w:r>
      <w:r w:rsidRPr="00FE433F">
        <w:rPr>
          <w:rFonts w:eastAsia="Calibri"/>
          <w:i/>
          <w:sz w:val="23"/>
          <w:szCs w:val="23"/>
          <w:rtl/>
        </w:rPr>
        <w:t xml:space="preserve"> تورم با نرخ ترج</w:t>
      </w:r>
      <w:r w:rsidRPr="00FE433F">
        <w:rPr>
          <w:rFonts w:eastAsia="Calibri" w:hint="cs"/>
          <w:i/>
          <w:sz w:val="23"/>
          <w:szCs w:val="23"/>
          <w:rtl/>
        </w:rPr>
        <w:t>ی</w:t>
      </w:r>
      <w:r w:rsidRPr="00FE433F">
        <w:rPr>
          <w:rFonts w:eastAsia="Calibri" w:hint="eastAsia"/>
          <w:i/>
          <w:sz w:val="23"/>
          <w:szCs w:val="23"/>
          <w:rtl/>
        </w:rPr>
        <w:t>حات</w:t>
      </w:r>
      <w:r w:rsidRPr="00FE433F">
        <w:rPr>
          <w:rFonts w:eastAsia="Calibri"/>
          <w:i/>
          <w:sz w:val="23"/>
          <w:szCs w:val="23"/>
          <w:rtl/>
        </w:rPr>
        <w:t xml:space="preserve"> زمان</w:t>
      </w:r>
      <w:r w:rsidRPr="00FE433F">
        <w:rPr>
          <w:rFonts w:eastAsia="Calibri" w:hint="cs"/>
          <w:i/>
          <w:sz w:val="23"/>
          <w:szCs w:val="23"/>
          <w:rtl/>
        </w:rPr>
        <w:t xml:space="preserve"> پیشنهاد کرده</w:t>
      </w:r>
      <w:r w:rsidRPr="00FE433F">
        <w:rPr>
          <w:rFonts w:hint="cs"/>
          <w:i/>
          <w:sz w:val="23"/>
          <w:szCs w:val="23"/>
          <w:rtl/>
        </w:rPr>
        <w:t>،</w:t>
      </w:r>
      <w:r w:rsidRPr="00FE433F">
        <w:rPr>
          <w:rFonts w:eastAsia="Calibri"/>
          <w:i/>
          <w:sz w:val="23"/>
          <w:szCs w:val="23"/>
          <w:rtl/>
        </w:rPr>
        <w:t xml:space="preserve"> </w:t>
      </w:r>
      <w:r w:rsidRPr="00FE433F">
        <w:rPr>
          <w:rFonts w:eastAsia="Calibri" w:hint="cs"/>
          <w:i/>
          <w:sz w:val="23"/>
          <w:szCs w:val="23"/>
          <w:rtl/>
        </w:rPr>
        <w:t>که</w:t>
      </w:r>
      <w:r w:rsidRPr="00FE433F">
        <w:rPr>
          <w:rFonts w:eastAsia="Calibri"/>
          <w:i/>
          <w:sz w:val="23"/>
          <w:szCs w:val="23"/>
          <w:rtl/>
        </w:rPr>
        <w:t xml:space="preserve"> در </w:t>
      </w:r>
      <w:r w:rsidRPr="00FE433F">
        <w:rPr>
          <w:rFonts w:eastAsia="Calibri" w:hint="cs"/>
          <w:i/>
          <w:sz w:val="23"/>
          <w:szCs w:val="23"/>
          <w:rtl/>
        </w:rPr>
        <w:t xml:space="preserve">مدل </w:t>
      </w:r>
      <w:r w:rsidRPr="00FE433F">
        <w:rPr>
          <w:rFonts w:eastAsia="Calibri"/>
          <w:i/>
          <w:sz w:val="23"/>
          <w:szCs w:val="23"/>
          <w:rtl/>
        </w:rPr>
        <w:t>تعادل عموم</w:t>
      </w:r>
      <w:r w:rsidRPr="00FE433F">
        <w:rPr>
          <w:rFonts w:eastAsia="Calibri" w:hint="cs"/>
          <w:i/>
          <w:sz w:val="23"/>
          <w:szCs w:val="23"/>
          <w:rtl/>
        </w:rPr>
        <w:t>ی</w:t>
      </w:r>
      <w:r w:rsidRPr="00FE433F">
        <w:rPr>
          <w:rFonts w:eastAsia="Calibri"/>
          <w:i/>
          <w:sz w:val="23"/>
          <w:szCs w:val="23"/>
          <w:rtl/>
        </w:rPr>
        <w:t xml:space="preserve"> بلند</w:t>
      </w:r>
      <w:r w:rsidRPr="00FE433F">
        <w:rPr>
          <w:rFonts w:hint="cs"/>
          <w:i/>
          <w:sz w:val="23"/>
          <w:szCs w:val="23"/>
          <w:rtl/>
        </w:rPr>
        <w:t>‌</w:t>
      </w:r>
      <w:r w:rsidRPr="00FE433F">
        <w:rPr>
          <w:i/>
          <w:sz w:val="23"/>
          <w:szCs w:val="23"/>
          <w:rtl/>
        </w:rPr>
        <w:t>مدت</w:t>
      </w:r>
      <w:r w:rsidRPr="00FE433F">
        <w:rPr>
          <w:rFonts w:eastAsia="Calibri"/>
          <w:i/>
          <w:sz w:val="23"/>
          <w:szCs w:val="23"/>
          <w:rtl/>
        </w:rPr>
        <w:t xml:space="preserve"> برابر است با نرخ بهره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w:t>
      </w:r>
      <w:r w:rsidRPr="00FE433F">
        <w:rPr>
          <w:rFonts w:eastAsia="Calibri" w:hint="cs"/>
          <w:i/>
          <w:sz w:val="23"/>
          <w:szCs w:val="23"/>
          <w:rtl/>
        </w:rPr>
        <w:t>ی</w:t>
      </w:r>
      <w:r w:rsidRPr="00FE433F">
        <w:rPr>
          <w:rFonts w:eastAsia="Calibri" w:hint="eastAsia"/>
          <w:i/>
          <w:sz w:val="23"/>
          <w:szCs w:val="23"/>
          <w:rtl/>
        </w:rPr>
        <w:t>عن</w:t>
      </w:r>
      <w:r w:rsidRPr="00FE433F">
        <w:rPr>
          <w:rFonts w:eastAsia="Calibri" w:hint="cs"/>
          <w:i/>
          <w:sz w:val="23"/>
          <w:szCs w:val="23"/>
          <w:rtl/>
        </w:rPr>
        <w:t>ی</w:t>
      </w:r>
      <w:r w:rsidRPr="00FE433F">
        <w:rPr>
          <w:position w:val="-6"/>
        </w:rPr>
        <w:object w:dxaOrig="999" w:dyaOrig="260" w14:anchorId="226FC2AF">
          <v:shape id="_x0000_i4311" type="#_x0000_t75" style="width:50.2pt;height:13.3pt" o:ole="">
            <v:imagedata r:id="rId6615" o:title=""/>
          </v:shape>
          <o:OLEObject Type="Embed" ProgID="Equation.DSMT4" ShapeID="_x0000_i4311" DrawAspect="Content" ObjectID="_1791378255" r:id="rId6616"/>
        </w:object>
      </w:r>
      <w:r w:rsidRPr="00FE433F">
        <w:rPr>
          <w:rFonts w:eastAsia="Calibri"/>
          <w:i/>
          <w:sz w:val="23"/>
          <w:szCs w:val="23"/>
          <w:rtl/>
        </w:rPr>
        <w:t>. از آنجا که نرخ بهره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غ</w:t>
      </w:r>
      <w:r w:rsidRPr="00FE433F">
        <w:rPr>
          <w:rFonts w:eastAsia="Calibri" w:hint="cs"/>
          <w:i/>
          <w:sz w:val="23"/>
          <w:szCs w:val="23"/>
          <w:rtl/>
        </w:rPr>
        <w:t>ی</w:t>
      </w:r>
      <w:r w:rsidRPr="00FE433F">
        <w:rPr>
          <w:rFonts w:eastAsia="Calibri" w:hint="eastAsia"/>
          <w:i/>
          <w:sz w:val="23"/>
          <w:szCs w:val="23"/>
          <w:rtl/>
        </w:rPr>
        <w:t>ر</w:t>
      </w:r>
      <w:r w:rsidRPr="00FE433F">
        <w:rPr>
          <w:rFonts w:eastAsia="Calibri"/>
          <w:i/>
          <w:sz w:val="23"/>
          <w:szCs w:val="23"/>
          <w:rtl/>
        </w:rPr>
        <w:t>منف</w:t>
      </w:r>
      <w:r w:rsidRPr="00FE433F">
        <w:rPr>
          <w:rFonts w:eastAsia="Calibri" w:hint="cs"/>
          <w:i/>
          <w:sz w:val="23"/>
          <w:szCs w:val="23"/>
          <w:rtl/>
        </w:rPr>
        <w:t>ی</w:t>
      </w:r>
      <w:r w:rsidRPr="00FE433F">
        <w:rPr>
          <w:rFonts w:eastAsia="Calibri"/>
          <w:i/>
          <w:sz w:val="23"/>
          <w:szCs w:val="23"/>
          <w:rtl/>
        </w:rPr>
        <w:t xml:space="preserve"> است</w:t>
      </w:r>
      <w:r w:rsidRPr="00FE433F">
        <w:rPr>
          <w:rFonts w:eastAsia="Calibri" w:hint="cs"/>
          <w:i/>
          <w:sz w:val="23"/>
          <w:szCs w:val="23"/>
          <w:rtl/>
        </w:rPr>
        <w:t>،</w:t>
      </w:r>
      <w:r w:rsidRPr="00FE433F">
        <w:rPr>
          <w:rFonts w:eastAsia="Calibri"/>
          <w:i/>
          <w:sz w:val="23"/>
          <w:szCs w:val="23"/>
          <w:rtl/>
        </w:rPr>
        <w:t xml:space="preserve"> لذا نرخ به</w:t>
      </w:r>
      <w:r w:rsidRPr="00FE433F">
        <w:rPr>
          <w:rFonts w:eastAsia="Calibri" w:hint="cs"/>
          <w:i/>
          <w:sz w:val="23"/>
          <w:szCs w:val="23"/>
          <w:rtl/>
        </w:rPr>
        <w:t>ی</w:t>
      </w:r>
      <w:r w:rsidRPr="00FE433F">
        <w:rPr>
          <w:rFonts w:eastAsia="Calibri" w:hint="eastAsia"/>
          <w:i/>
          <w:sz w:val="23"/>
          <w:szCs w:val="23"/>
          <w:rtl/>
        </w:rPr>
        <w:t>نه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تورم</w:t>
      </w:r>
      <w:r w:rsidRPr="00FE433F">
        <w:rPr>
          <w:rFonts w:eastAsia="Calibri" w:hint="cs"/>
          <w:i/>
          <w:sz w:val="23"/>
          <w:szCs w:val="23"/>
          <w:rtl/>
        </w:rPr>
        <w:t>،</w:t>
      </w:r>
      <w:r w:rsidRPr="00FE433F">
        <w:rPr>
          <w:rFonts w:eastAsia="Calibri"/>
          <w:i/>
          <w:sz w:val="23"/>
          <w:szCs w:val="23"/>
          <w:rtl/>
        </w:rPr>
        <w:t xml:space="preserve"> و سپس نرخ به</w:t>
      </w:r>
      <w:r w:rsidRPr="00FE433F">
        <w:rPr>
          <w:rFonts w:eastAsia="Calibri" w:hint="cs"/>
          <w:i/>
          <w:sz w:val="23"/>
          <w:szCs w:val="23"/>
          <w:rtl/>
        </w:rPr>
        <w:t>ی</w:t>
      </w:r>
      <w:r w:rsidRPr="00FE433F">
        <w:rPr>
          <w:rFonts w:eastAsia="Calibri" w:hint="eastAsia"/>
          <w:i/>
          <w:sz w:val="23"/>
          <w:szCs w:val="23"/>
          <w:rtl/>
        </w:rPr>
        <w:t>نه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رشد پول اسم</w:t>
      </w:r>
      <w:r w:rsidRPr="00FE433F">
        <w:rPr>
          <w:rFonts w:eastAsia="Calibri" w:hint="cs"/>
          <w:i/>
          <w:sz w:val="23"/>
          <w:szCs w:val="23"/>
          <w:rtl/>
        </w:rPr>
        <w:t>ی،</w:t>
      </w:r>
      <w:r w:rsidRPr="00FE433F">
        <w:rPr>
          <w:rFonts w:eastAsia="Calibri"/>
          <w:i/>
          <w:sz w:val="23"/>
          <w:szCs w:val="23"/>
          <w:rtl/>
        </w:rPr>
        <w:t xml:space="preserve"> غ</w:t>
      </w:r>
      <w:r w:rsidRPr="00FE433F">
        <w:rPr>
          <w:rFonts w:eastAsia="Calibri" w:hint="cs"/>
          <w:i/>
          <w:sz w:val="23"/>
          <w:szCs w:val="23"/>
          <w:rtl/>
        </w:rPr>
        <w:t>ی</w:t>
      </w:r>
      <w:r w:rsidRPr="00FE433F">
        <w:rPr>
          <w:rFonts w:eastAsia="Calibri" w:hint="eastAsia"/>
          <w:i/>
          <w:sz w:val="23"/>
          <w:szCs w:val="23"/>
          <w:rtl/>
        </w:rPr>
        <w:t>رمثبت</w:t>
      </w:r>
      <w:r w:rsidRPr="00FE433F">
        <w:rPr>
          <w:rFonts w:eastAsia="Calibri"/>
          <w:i/>
          <w:sz w:val="23"/>
          <w:szCs w:val="23"/>
          <w:rtl/>
        </w:rPr>
        <w:t xml:space="preserve"> </w:t>
      </w:r>
      <w:r w:rsidRPr="00FE433F">
        <w:rPr>
          <w:rFonts w:eastAsia="Calibri" w:hint="cs"/>
          <w:i/>
          <w:sz w:val="23"/>
          <w:szCs w:val="23"/>
          <w:rtl/>
        </w:rPr>
        <w:t>خواهد بود</w:t>
      </w:r>
      <w:r w:rsidRPr="00FE433F">
        <w:rPr>
          <w:rFonts w:eastAsia="Calibri"/>
          <w:i/>
          <w:sz w:val="23"/>
          <w:szCs w:val="23"/>
          <w:rtl/>
        </w:rPr>
        <w:t>. بنابرا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بر اساس قاعده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فر</w:t>
      </w:r>
      <w:r w:rsidRPr="00FE433F">
        <w:rPr>
          <w:rFonts w:eastAsia="Calibri" w:hint="cs"/>
          <w:i/>
          <w:sz w:val="23"/>
          <w:szCs w:val="23"/>
          <w:rtl/>
        </w:rPr>
        <w:t>ی</w:t>
      </w:r>
      <w:r w:rsidRPr="00FE433F">
        <w:rPr>
          <w:rFonts w:eastAsia="Calibri" w:hint="eastAsia"/>
          <w:i/>
          <w:sz w:val="23"/>
          <w:szCs w:val="23"/>
          <w:rtl/>
        </w:rPr>
        <w:t>دمن</w:t>
      </w:r>
      <w:r w:rsidRPr="00FE433F">
        <w:rPr>
          <w:rFonts w:eastAsia="Calibri"/>
          <w:i/>
          <w:sz w:val="23"/>
          <w:szCs w:val="23"/>
          <w:rtl/>
        </w:rPr>
        <w:t xml:space="preserve"> </w:t>
      </w:r>
      <w:r w:rsidRPr="00FE433F">
        <w:rPr>
          <w:rFonts w:eastAsia="Calibri" w:hint="eastAsia"/>
          <w:i/>
          <w:sz w:val="23"/>
          <w:szCs w:val="23"/>
          <w:rtl/>
        </w:rPr>
        <w:t>نرخ</w:t>
      </w:r>
      <w:r w:rsidRPr="00FE433F">
        <w:rPr>
          <w:rFonts w:eastAsia="Calibri"/>
          <w:i/>
          <w:sz w:val="23"/>
          <w:szCs w:val="23"/>
          <w:rtl/>
        </w:rPr>
        <w:t xml:space="preserve"> </w:t>
      </w:r>
      <w:r w:rsidRPr="00FE433F">
        <w:rPr>
          <w:rFonts w:eastAsia="Calibri" w:hint="eastAsia"/>
          <w:i/>
          <w:sz w:val="23"/>
          <w:szCs w:val="23"/>
          <w:rtl/>
        </w:rPr>
        <w:t>بهره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اسم</w:t>
      </w:r>
      <w:r w:rsidRPr="00FE433F">
        <w:rPr>
          <w:rFonts w:eastAsia="Calibri" w:hint="cs"/>
          <w:i/>
          <w:sz w:val="23"/>
          <w:szCs w:val="23"/>
          <w:rtl/>
        </w:rPr>
        <w:t>ی</w:t>
      </w:r>
      <w:r w:rsidRPr="00FE433F">
        <w:rPr>
          <w:rFonts w:eastAsia="Calibri"/>
          <w:i/>
          <w:sz w:val="23"/>
          <w:szCs w:val="23"/>
          <w:rtl/>
        </w:rPr>
        <w:t xml:space="preserve"> برابر</w:t>
      </w:r>
      <w:r w:rsidRPr="00FE433F">
        <w:rPr>
          <w:rFonts w:eastAsia="Calibri" w:hint="cs"/>
          <w:i/>
          <w:sz w:val="23"/>
          <w:szCs w:val="23"/>
          <w:rtl/>
        </w:rPr>
        <w:t xml:space="preserve"> است با </w:t>
      </w:r>
      <w:r w:rsidRPr="00FE433F">
        <w:rPr>
          <w:rFonts w:eastAsia="Calibri"/>
          <w:i/>
          <w:sz w:val="23"/>
          <w:szCs w:val="23"/>
          <w:rtl/>
        </w:rPr>
        <w:t>صفر</w:t>
      </w:r>
      <w:r w:rsidRPr="00FE433F">
        <w:rPr>
          <w:rFonts w:eastAsia="Calibri" w:hint="cs"/>
          <w:i/>
          <w:sz w:val="23"/>
          <w:szCs w:val="23"/>
          <w:rtl/>
        </w:rPr>
        <w:t>، یا</w:t>
      </w:r>
      <w:r w:rsidRPr="00FE433F">
        <w:rPr>
          <w:rFonts w:eastAsia="Calibri"/>
          <w:i/>
          <w:sz w:val="23"/>
          <w:szCs w:val="23"/>
          <w:rtl/>
        </w:rPr>
        <w:t xml:space="preserve"> </w:t>
      </w:r>
      <w:r w:rsidRPr="00FE433F">
        <w:rPr>
          <w:position w:val="-6"/>
        </w:rPr>
        <w:object w:dxaOrig="1240" w:dyaOrig="260" w14:anchorId="348C8133">
          <v:shape id="_x0000_i4312" type="#_x0000_t75" style="width:61.7pt;height:13.3pt" o:ole="">
            <v:imagedata r:id="rId6617" o:title=""/>
          </v:shape>
          <o:OLEObject Type="Embed" ProgID="Equation.DSMT4" ShapeID="_x0000_i4312" DrawAspect="Content" ObjectID="_1791378256" r:id="rId6618"/>
        </w:object>
      </w:r>
      <w:r w:rsidRPr="00FE433F">
        <w:rPr>
          <w:rFonts w:hint="cs"/>
          <w:i/>
          <w:sz w:val="23"/>
          <w:szCs w:val="23"/>
          <w:rtl/>
        </w:rPr>
        <w:t xml:space="preserve">، </w:t>
      </w:r>
      <w:r w:rsidRPr="00FE433F">
        <w:rPr>
          <w:rFonts w:eastAsia="Calibri"/>
          <w:i/>
          <w:sz w:val="23"/>
          <w:szCs w:val="23"/>
          <w:rtl/>
        </w:rPr>
        <w:t>و</w:t>
      </w:r>
      <w:r w:rsidRPr="00FE433F">
        <w:rPr>
          <w:rFonts w:eastAsia="Calibri" w:hint="eastAsia"/>
          <w:i/>
          <w:sz w:val="23"/>
          <w:szCs w:val="23"/>
        </w:rPr>
        <w:t>‌</w:t>
      </w:r>
      <w:r w:rsidRPr="00FE433F">
        <w:rPr>
          <w:rFonts w:hint="cs"/>
          <w:i/>
          <w:sz w:val="23"/>
          <w:szCs w:val="23"/>
          <w:rtl/>
        </w:rPr>
        <w:t xml:space="preserve"> </w:t>
      </w:r>
      <w:r w:rsidRPr="00FE433F">
        <w:rPr>
          <w:rFonts w:eastAsia="Calibri" w:hint="cs"/>
          <w:i/>
          <w:sz w:val="23"/>
          <w:szCs w:val="23"/>
          <w:rtl/>
        </w:rPr>
        <w:t>ی</w:t>
      </w:r>
      <w:r w:rsidRPr="00FE433F">
        <w:rPr>
          <w:rFonts w:eastAsia="Calibri"/>
          <w:i/>
          <w:sz w:val="23"/>
          <w:szCs w:val="23"/>
          <w:rtl/>
        </w:rPr>
        <w:t>ا به تعب</w:t>
      </w:r>
      <w:r w:rsidRPr="00FE433F">
        <w:rPr>
          <w:rFonts w:eastAsia="Calibri" w:hint="cs"/>
          <w:i/>
          <w:sz w:val="23"/>
          <w:szCs w:val="23"/>
          <w:rtl/>
        </w:rPr>
        <w:t>ی</w:t>
      </w:r>
      <w:r w:rsidRPr="00FE433F">
        <w:rPr>
          <w:rFonts w:eastAsia="Calibri" w:hint="eastAsia"/>
          <w:i/>
          <w:sz w:val="23"/>
          <w:szCs w:val="23"/>
          <w:rtl/>
        </w:rPr>
        <w:t>ر</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هز</w:t>
      </w:r>
      <w:r w:rsidRPr="00FE433F">
        <w:rPr>
          <w:rFonts w:eastAsia="Calibri" w:hint="cs"/>
          <w:i/>
          <w:sz w:val="23"/>
          <w:szCs w:val="23"/>
          <w:rtl/>
        </w:rPr>
        <w:t>ی</w:t>
      </w:r>
      <w:r w:rsidRPr="00FE433F">
        <w:rPr>
          <w:rFonts w:eastAsia="Calibri" w:hint="eastAsia"/>
          <w:i/>
          <w:sz w:val="23"/>
          <w:szCs w:val="23"/>
          <w:rtl/>
        </w:rPr>
        <w:t>نه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فرصت نگهدار</w:t>
      </w:r>
      <w:r w:rsidRPr="00FE433F">
        <w:rPr>
          <w:rFonts w:eastAsia="Calibri" w:hint="cs"/>
          <w:i/>
          <w:sz w:val="23"/>
          <w:szCs w:val="23"/>
          <w:rtl/>
        </w:rPr>
        <w:t>ی</w:t>
      </w:r>
      <w:r w:rsidRPr="00FE433F">
        <w:rPr>
          <w:rFonts w:eastAsia="Calibri"/>
          <w:i/>
          <w:sz w:val="23"/>
          <w:szCs w:val="23"/>
          <w:rtl/>
        </w:rPr>
        <w:t xml:space="preserve"> </w:t>
      </w:r>
      <w:r w:rsidRPr="00FE433F">
        <w:rPr>
          <w:rFonts w:eastAsia="Calibri" w:hint="cs"/>
          <w:i/>
          <w:sz w:val="23"/>
          <w:szCs w:val="23"/>
          <w:rtl/>
        </w:rPr>
        <w:t>موجودی</w:t>
      </w:r>
      <w:r w:rsidRPr="00FE433F">
        <w:rPr>
          <w:rFonts w:eastAsia="Calibri"/>
          <w:i/>
          <w:sz w:val="23"/>
          <w:szCs w:val="23"/>
          <w:rtl/>
        </w:rPr>
        <w:t xml:space="preserve"> </w:t>
      </w:r>
      <w:r w:rsidRPr="00FE433F">
        <w:rPr>
          <w:rFonts w:eastAsia="Calibri" w:hint="cs"/>
          <w:i/>
          <w:sz w:val="23"/>
          <w:szCs w:val="23"/>
          <w:rtl/>
        </w:rPr>
        <w:t xml:space="preserve">پول </w:t>
      </w:r>
      <w:r w:rsidRPr="00FE433F">
        <w:rPr>
          <w:rFonts w:eastAsia="Calibri"/>
          <w:i/>
          <w:sz w:val="23"/>
          <w:szCs w:val="23"/>
          <w:rtl/>
        </w:rPr>
        <w:t>اسم</w:t>
      </w:r>
      <w:r w:rsidRPr="00FE433F">
        <w:rPr>
          <w:rFonts w:eastAsia="Calibri" w:hint="cs"/>
          <w:i/>
          <w:sz w:val="23"/>
          <w:szCs w:val="23"/>
          <w:rtl/>
        </w:rPr>
        <w:t xml:space="preserve">ی </w:t>
      </w:r>
      <w:r w:rsidRPr="00FE433F">
        <w:rPr>
          <w:rFonts w:eastAsia="Calibri"/>
          <w:i/>
          <w:sz w:val="23"/>
          <w:szCs w:val="23"/>
          <w:rtl/>
        </w:rPr>
        <w:t xml:space="preserve">برابر صفر </w:t>
      </w:r>
      <w:r w:rsidRPr="00FE433F">
        <w:rPr>
          <w:rFonts w:eastAsia="Calibri" w:hint="cs"/>
          <w:i/>
          <w:sz w:val="23"/>
          <w:szCs w:val="23"/>
          <w:rtl/>
        </w:rPr>
        <w:t>و</w:t>
      </w:r>
      <w:r w:rsidRPr="00FE433F">
        <w:rPr>
          <w:position w:val="-10"/>
        </w:rPr>
        <w:object w:dxaOrig="340" w:dyaOrig="320" w14:anchorId="0D456243">
          <v:shape id="_x0000_i4313" type="#_x0000_t75" style="width:16.95pt;height:16.35pt" o:ole="">
            <v:imagedata r:id="rId6619" o:title=""/>
          </v:shape>
          <o:OLEObject Type="Embed" ProgID="Equation.DSMT4" ShapeID="_x0000_i4313" DrawAspect="Content" ObjectID="_1791378257" r:id="rId6620"/>
        </w:object>
      </w:r>
      <w:r w:rsidRPr="00FE433F">
        <w:rPr>
          <w:rFonts w:eastAsia="Calibri" w:hint="eastAsia"/>
          <w:i/>
          <w:sz w:val="23"/>
          <w:szCs w:val="23"/>
        </w:rPr>
        <w:t>‌</w:t>
      </w:r>
      <w:r w:rsidRPr="00FE433F">
        <w:rPr>
          <w:rFonts w:eastAsia="Calibri"/>
          <w:i/>
          <w:sz w:val="23"/>
          <w:szCs w:val="23"/>
          <w:rtl/>
        </w:rPr>
        <w:t xml:space="preserve"> </w:t>
      </w:r>
      <w:r w:rsidRPr="00FE433F">
        <w:rPr>
          <w:rFonts w:eastAsia="Calibri" w:hint="cs"/>
          <w:i/>
          <w:sz w:val="23"/>
          <w:szCs w:val="23"/>
          <w:rtl/>
        </w:rPr>
        <w:t>ی</w:t>
      </w:r>
      <w:r w:rsidRPr="00FE433F">
        <w:rPr>
          <w:rFonts w:eastAsia="Calibri"/>
          <w:i/>
          <w:sz w:val="23"/>
          <w:szCs w:val="23"/>
          <w:rtl/>
        </w:rPr>
        <w:t>ا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نها</w:t>
      </w:r>
      <w:r w:rsidRPr="00FE433F">
        <w:rPr>
          <w:rFonts w:eastAsia="Calibri" w:hint="cs"/>
          <w:i/>
          <w:sz w:val="23"/>
          <w:szCs w:val="23"/>
          <w:rtl/>
        </w:rPr>
        <w:t>یی</w:t>
      </w:r>
      <w:r w:rsidRPr="00FE433F">
        <w:rPr>
          <w:rFonts w:eastAsia="Calibri"/>
          <w:i/>
          <w:sz w:val="23"/>
          <w:szCs w:val="23"/>
          <w:rtl/>
        </w:rPr>
        <w:t xml:space="preserve"> پول ن</w:t>
      </w:r>
      <w:r w:rsidRPr="00FE433F">
        <w:rPr>
          <w:rFonts w:eastAsia="Calibri" w:hint="cs"/>
          <w:i/>
          <w:sz w:val="23"/>
          <w:szCs w:val="23"/>
          <w:rtl/>
        </w:rPr>
        <w:t>ی</w:t>
      </w:r>
      <w:r w:rsidRPr="00FE433F">
        <w:rPr>
          <w:rFonts w:eastAsia="Calibri" w:hint="eastAsia"/>
          <w:i/>
          <w:sz w:val="23"/>
          <w:szCs w:val="23"/>
          <w:rtl/>
        </w:rPr>
        <w:t>ز</w:t>
      </w:r>
      <w:r w:rsidRPr="00FE433F">
        <w:rPr>
          <w:rFonts w:eastAsia="Calibri"/>
          <w:i/>
          <w:sz w:val="23"/>
          <w:szCs w:val="23"/>
          <w:rtl/>
        </w:rPr>
        <w:t xml:space="preserve"> برابر صفر است. برا</w:t>
      </w:r>
      <w:r w:rsidRPr="00FE433F">
        <w:rPr>
          <w:rFonts w:eastAsia="Calibri" w:hint="cs"/>
          <w:i/>
          <w:sz w:val="23"/>
          <w:szCs w:val="23"/>
          <w:rtl/>
        </w:rPr>
        <w:t>ی</w:t>
      </w:r>
      <w:r w:rsidRPr="00FE433F">
        <w:rPr>
          <w:rFonts w:eastAsia="Calibri"/>
          <w:i/>
          <w:sz w:val="23"/>
          <w:szCs w:val="23"/>
          <w:rtl/>
        </w:rPr>
        <w:t xml:space="preserve">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softHyphen/>
      </w:r>
      <w:r w:rsidRPr="00FE433F">
        <w:rPr>
          <w:rFonts w:eastAsia="Calibri" w:hint="eastAsia"/>
          <w:i/>
          <w:sz w:val="23"/>
          <w:szCs w:val="23"/>
          <w:rtl/>
        </w:rPr>
        <w:t>که</w:t>
      </w:r>
      <w:r w:rsidRPr="00FE433F">
        <w:rPr>
          <w:rFonts w:eastAsia="Calibri"/>
          <w:i/>
          <w:sz w:val="23"/>
          <w:szCs w:val="23"/>
          <w:rtl/>
        </w:rPr>
        <w:t xml:space="preserve">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i/>
          <w:sz w:val="23"/>
          <w:szCs w:val="23"/>
          <w:rtl/>
        </w:rPr>
        <w:lastRenderedPageBreak/>
        <w:t>نتا</w:t>
      </w:r>
      <w:r w:rsidRPr="00FE433F">
        <w:rPr>
          <w:rFonts w:eastAsia="Calibri" w:hint="cs"/>
          <w:i/>
          <w:sz w:val="23"/>
          <w:szCs w:val="23"/>
          <w:rtl/>
        </w:rPr>
        <w:t>ی</w:t>
      </w:r>
      <w:r w:rsidRPr="00FE433F">
        <w:rPr>
          <w:rFonts w:eastAsia="Calibri" w:hint="eastAsia"/>
          <w:i/>
          <w:sz w:val="23"/>
          <w:szCs w:val="23"/>
          <w:rtl/>
        </w:rPr>
        <w:t>ج</w:t>
      </w:r>
      <w:r w:rsidRPr="00FE433F">
        <w:rPr>
          <w:rFonts w:eastAsia="Calibri"/>
          <w:i/>
          <w:sz w:val="23"/>
          <w:szCs w:val="23"/>
          <w:rtl/>
        </w:rPr>
        <w:t xml:space="preserve"> بدست آ</w:t>
      </w:r>
      <w:r w:rsidRPr="00FE433F">
        <w:rPr>
          <w:rFonts w:eastAsia="Calibri" w:hint="cs"/>
          <w:i/>
          <w:sz w:val="23"/>
          <w:szCs w:val="23"/>
          <w:rtl/>
        </w:rPr>
        <w:t>ی</w:t>
      </w:r>
      <w:r w:rsidRPr="00FE433F">
        <w:rPr>
          <w:rFonts w:eastAsia="Calibri" w:hint="eastAsia"/>
          <w:i/>
          <w:sz w:val="23"/>
          <w:szCs w:val="23"/>
          <w:rtl/>
        </w:rPr>
        <w:t>د</w:t>
      </w:r>
      <w:r w:rsidRPr="00FE433F">
        <w:rPr>
          <w:rFonts w:eastAsia="Calibri" w:hint="cs"/>
          <w:i/>
          <w:sz w:val="23"/>
          <w:szCs w:val="23"/>
          <w:rtl/>
        </w:rPr>
        <w:t>،</w:t>
      </w:r>
      <w:r w:rsidRPr="00FE433F">
        <w:rPr>
          <w:rFonts w:eastAsia="Calibri"/>
          <w:i/>
          <w:sz w:val="23"/>
          <w:szCs w:val="23"/>
          <w:rtl/>
        </w:rPr>
        <w:t xml:space="preserve"> با</w:t>
      </w:r>
      <w:r w:rsidRPr="00FE433F">
        <w:rPr>
          <w:rFonts w:eastAsia="Calibri" w:hint="cs"/>
          <w:i/>
          <w:sz w:val="23"/>
          <w:szCs w:val="23"/>
          <w:rtl/>
        </w:rPr>
        <w:t>ی</w:t>
      </w:r>
      <w:r w:rsidRPr="00FE433F">
        <w:rPr>
          <w:rFonts w:eastAsia="Calibri" w:hint="eastAsia"/>
          <w:i/>
          <w:sz w:val="23"/>
          <w:szCs w:val="23"/>
          <w:rtl/>
        </w:rPr>
        <w:t>ست</w:t>
      </w:r>
      <w:r w:rsidRPr="00FE433F">
        <w:rPr>
          <w:rFonts w:eastAsia="Calibri" w:hint="cs"/>
          <w:i/>
          <w:sz w:val="23"/>
          <w:szCs w:val="23"/>
          <w:rtl/>
        </w:rPr>
        <w:t>ی</w:t>
      </w:r>
      <w:r w:rsidRPr="00FE433F">
        <w:rPr>
          <w:rFonts w:eastAsia="Calibri"/>
          <w:i/>
          <w:sz w:val="23"/>
          <w:szCs w:val="23"/>
          <w:rtl/>
        </w:rPr>
        <w:t xml:space="preserve"> نگهدار</w:t>
      </w:r>
      <w:r w:rsidRPr="00FE433F">
        <w:rPr>
          <w:rFonts w:eastAsia="Calibri" w:hint="cs"/>
          <w:i/>
          <w:sz w:val="23"/>
          <w:szCs w:val="23"/>
          <w:rtl/>
        </w:rPr>
        <w:t>ی</w:t>
      </w:r>
      <w:r w:rsidRPr="00FE433F">
        <w:rPr>
          <w:rFonts w:eastAsia="Calibri"/>
          <w:i/>
          <w:sz w:val="23"/>
          <w:szCs w:val="23"/>
          <w:rtl/>
        </w:rPr>
        <w:t xml:space="preserve"> پول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به سطح اشباع رس</w:t>
      </w:r>
      <w:r w:rsidRPr="00FE433F">
        <w:rPr>
          <w:rFonts w:eastAsia="Calibri" w:hint="cs"/>
          <w:i/>
          <w:sz w:val="23"/>
          <w:szCs w:val="23"/>
          <w:rtl/>
        </w:rPr>
        <w:t>ی</w:t>
      </w:r>
      <w:r w:rsidRPr="00FE433F">
        <w:rPr>
          <w:rFonts w:eastAsia="Calibri" w:hint="eastAsia"/>
          <w:i/>
          <w:sz w:val="23"/>
          <w:szCs w:val="23"/>
          <w:rtl/>
        </w:rPr>
        <w:t>ده</w:t>
      </w:r>
      <w:r w:rsidRPr="00FE433F">
        <w:rPr>
          <w:rFonts w:eastAsia="Calibri"/>
          <w:i/>
          <w:sz w:val="23"/>
          <w:szCs w:val="23"/>
          <w:rtl/>
        </w:rPr>
        <w:t xml:space="preserve"> باشد. همچن</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توجه دار</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که نرخ تورم غ</w:t>
      </w:r>
      <w:r w:rsidRPr="00FE433F">
        <w:rPr>
          <w:rFonts w:eastAsia="Calibri" w:hint="cs"/>
          <w:i/>
          <w:sz w:val="23"/>
          <w:szCs w:val="23"/>
          <w:rtl/>
        </w:rPr>
        <w:t>ی</w:t>
      </w:r>
      <w:r w:rsidRPr="00FE433F">
        <w:rPr>
          <w:rFonts w:eastAsia="Calibri" w:hint="eastAsia"/>
          <w:i/>
          <w:sz w:val="23"/>
          <w:szCs w:val="23"/>
          <w:rtl/>
        </w:rPr>
        <w:t>ر</w:t>
      </w:r>
      <w:r w:rsidRPr="00FE433F">
        <w:rPr>
          <w:rFonts w:eastAsia="Calibri"/>
          <w:i/>
          <w:sz w:val="23"/>
          <w:szCs w:val="23"/>
          <w:rtl/>
        </w:rPr>
        <w:t>مثبت مب</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غ</w:t>
      </w:r>
      <w:r w:rsidRPr="00FE433F">
        <w:rPr>
          <w:rFonts w:eastAsia="Calibri" w:hint="cs"/>
          <w:i/>
          <w:sz w:val="23"/>
          <w:szCs w:val="23"/>
          <w:rtl/>
        </w:rPr>
        <w:t>ی</w:t>
      </w:r>
      <w:r w:rsidRPr="00FE433F">
        <w:rPr>
          <w:rFonts w:eastAsia="Calibri" w:hint="eastAsia"/>
          <w:i/>
          <w:sz w:val="23"/>
          <w:szCs w:val="23"/>
          <w:rtl/>
        </w:rPr>
        <w:t>ر</w:t>
      </w:r>
      <w:r w:rsidRPr="00FE433F">
        <w:rPr>
          <w:rFonts w:eastAsia="Calibri"/>
          <w:i/>
          <w:sz w:val="23"/>
          <w:szCs w:val="23"/>
          <w:rtl/>
        </w:rPr>
        <w:t>منف</w:t>
      </w:r>
      <w:r w:rsidRPr="00FE433F">
        <w:rPr>
          <w:rFonts w:eastAsia="Calibri" w:hint="cs"/>
          <w:i/>
          <w:sz w:val="23"/>
          <w:szCs w:val="23"/>
          <w:rtl/>
        </w:rPr>
        <w:t>ی</w:t>
      </w:r>
      <w:r w:rsidRPr="00FE433F">
        <w:rPr>
          <w:rFonts w:eastAsia="Calibri"/>
          <w:i/>
          <w:sz w:val="23"/>
          <w:szCs w:val="23"/>
          <w:rtl/>
        </w:rPr>
        <w:t xml:space="preserve"> بودن </w:t>
      </w:r>
      <w:r w:rsidRPr="00FE433F">
        <w:rPr>
          <w:rFonts w:eastAsia="Calibri" w:hint="eastAsia"/>
          <w:i/>
          <w:sz w:val="23"/>
          <w:szCs w:val="23"/>
          <w:rtl/>
        </w:rPr>
        <w:t>بازده</w:t>
      </w:r>
      <w:r w:rsidRPr="00FE433F">
        <w:rPr>
          <w:rFonts w:eastAsia="Calibri"/>
          <w:i/>
          <w:sz w:val="23"/>
          <w:szCs w:val="23"/>
          <w:rtl/>
        </w:rPr>
        <w:t xml:space="preserve"> </w:t>
      </w:r>
      <w:r w:rsidRPr="00FE433F">
        <w:rPr>
          <w:rFonts w:eastAsia="Calibri" w:hint="eastAsia"/>
          <w:i/>
          <w:sz w:val="23"/>
          <w:szCs w:val="23"/>
          <w:rtl/>
        </w:rPr>
        <w:t>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پول</w:t>
      </w:r>
      <w:r w:rsidRPr="00FE433F">
        <w:rPr>
          <w:rStyle w:val="FootnoteReference"/>
          <w:rFonts w:eastAsiaTheme="majorEastAsia"/>
          <w:i/>
          <w:sz w:val="23"/>
          <w:szCs w:val="23"/>
          <w:rtl/>
        </w:rPr>
        <w:footnoteReference w:id="208"/>
      </w:r>
      <w:r w:rsidRPr="00FE433F">
        <w:rPr>
          <w:rFonts w:eastAsia="Calibri"/>
          <w:i/>
          <w:sz w:val="23"/>
          <w:szCs w:val="23"/>
          <w:rtl/>
        </w:rPr>
        <w:t xml:space="preserve"> </w:t>
      </w:r>
      <w:r w:rsidRPr="00FE433F">
        <w:rPr>
          <w:rFonts w:eastAsia="Calibri" w:hint="cs"/>
          <w:i/>
          <w:sz w:val="23"/>
          <w:szCs w:val="23"/>
          <w:rtl/>
        </w:rPr>
        <w:t xml:space="preserve">است </w:t>
      </w:r>
      <w:r w:rsidRPr="00FE433F">
        <w:rPr>
          <w:rFonts w:eastAsia="Calibri"/>
          <w:i/>
          <w:sz w:val="23"/>
          <w:szCs w:val="23"/>
          <w:rtl/>
        </w:rPr>
        <w:t>که برابر با بازده</w:t>
      </w:r>
      <w:r w:rsidRPr="00FE433F">
        <w:rPr>
          <w:rFonts w:eastAsia="Calibri" w:hint="cs"/>
          <w:i/>
          <w:sz w:val="23"/>
          <w:szCs w:val="23"/>
          <w:rtl/>
        </w:rPr>
        <w:t>ی</w:t>
      </w:r>
      <w:r w:rsidRPr="00FE433F">
        <w:rPr>
          <w:rFonts w:eastAsia="Calibri"/>
          <w:i/>
          <w:sz w:val="23"/>
          <w:szCs w:val="23"/>
          <w:rtl/>
        </w:rPr>
        <w:t xml:space="preserve"> د</w:t>
      </w:r>
      <w:r w:rsidRPr="00FE433F">
        <w:rPr>
          <w:rFonts w:eastAsia="Calibri" w:hint="cs"/>
          <w:i/>
          <w:sz w:val="23"/>
          <w:szCs w:val="23"/>
          <w:rtl/>
        </w:rPr>
        <w:t>ی</w:t>
      </w:r>
      <w:r w:rsidRPr="00FE433F">
        <w:rPr>
          <w:rFonts w:eastAsia="Calibri" w:hint="eastAsia"/>
          <w:i/>
          <w:sz w:val="23"/>
          <w:szCs w:val="23"/>
          <w:rtl/>
        </w:rPr>
        <w:t>گر</w:t>
      </w:r>
      <w:r w:rsidRPr="00FE433F">
        <w:rPr>
          <w:rFonts w:eastAsia="Calibri"/>
          <w:i/>
          <w:sz w:val="23"/>
          <w:szCs w:val="23"/>
          <w:rtl/>
        </w:rPr>
        <w:t xml:space="preserve"> </w:t>
      </w:r>
      <w:r w:rsidRPr="00FE433F">
        <w:rPr>
          <w:rFonts w:eastAsia="Calibri" w:hint="eastAsia"/>
          <w:i/>
          <w:sz w:val="23"/>
          <w:szCs w:val="23"/>
          <w:rtl/>
        </w:rPr>
        <w:t>دارا</w:t>
      </w:r>
      <w:r w:rsidRPr="00FE433F">
        <w:rPr>
          <w:rFonts w:eastAsia="Calibri" w:hint="cs"/>
          <w:i/>
          <w:sz w:val="23"/>
          <w:szCs w:val="23"/>
          <w:rtl/>
        </w:rPr>
        <w:t>یی</w:t>
      </w:r>
      <w:r w:rsidRPr="00FE433F">
        <w:rPr>
          <w:rFonts w:eastAsia="Calibri"/>
          <w:i/>
          <w:sz w:val="23"/>
          <w:szCs w:val="23"/>
          <w:rtl/>
        </w:rPr>
        <w:t>‌ها از جمله اوراق قرضه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دولت</w:t>
      </w:r>
      <w:r w:rsidRPr="00FE433F">
        <w:rPr>
          <w:rFonts w:eastAsia="Calibri" w:hint="cs"/>
          <w:i/>
          <w:sz w:val="23"/>
          <w:szCs w:val="23"/>
          <w:rtl/>
        </w:rPr>
        <w:t>ی</w:t>
      </w:r>
      <w:r w:rsidRPr="00FE433F">
        <w:rPr>
          <w:rFonts w:eastAsia="Calibri"/>
          <w:i/>
          <w:sz w:val="23"/>
          <w:szCs w:val="23"/>
          <w:rtl/>
        </w:rPr>
        <w:t xml:space="preserve"> </w:t>
      </w:r>
      <w:r w:rsidRPr="00FE433F">
        <w:rPr>
          <w:rFonts w:eastAsia="Calibri" w:hint="cs"/>
          <w:i/>
          <w:sz w:val="23"/>
          <w:szCs w:val="23"/>
          <w:rtl/>
        </w:rPr>
        <w:t>خواهد بود</w:t>
      </w:r>
      <w:r w:rsidRPr="00FE433F">
        <w:rPr>
          <w:rFonts w:eastAsia="Calibri"/>
          <w:i/>
          <w:sz w:val="23"/>
          <w:szCs w:val="23"/>
          <w:rtl/>
        </w:rPr>
        <w:t>.</w:t>
      </w:r>
      <w:r w:rsidRPr="00FE433F">
        <w:rPr>
          <w:rFonts w:eastAsia="Calibri" w:hint="cs"/>
          <w:i/>
          <w:sz w:val="23"/>
          <w:szCs w:val="23"/>
          <w:rtl/>
        </w:rPr>
        <w:t xml:space="preserve"> </w:t>
      </w:r>
      <w:r w:rsidRPr="00FE433F">
        <w:rPr>
          <w:rFonts w:eastAsia="Calibri"/>
          <w:i/>
          <w:sz w:val="23"/>
          <w:szCs w:val="23"/>
          <w:rtl/>
        </w:rPr>
        <w:t>مشکل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روش حل</w:t>
      </w:r>
      <w:r w:rsidRPr="00FE433F">
        <w:rPr>
          <w:rFonts w:hint="cs"/>
          <w:i/>
          <w:sz w:val="23"/>
          <w:szCs w:val="23"/>
          <w:rtl/>
        </w:rPr>
        <w:t>،</w:t>
      </w:r>
      <w:r w:rsidRPr="00FE433F">
        <w:rPr>
          <w:rFonts w:eastAsia="Calibri"/>
          <w:i/>
          <w:sz w:val="23"/>
          <w:szCs w:val="23"/>
          <w:rtl/>
        </w:rPr>
        <w:t xml:space="preserve"> </w:t>
      </w:r>
      <w:r w:rsidRPr="00FE433F">
        <w:rPr>
          <w:rFonts w:eastAsia="Calibri" w:hint="cs"/>
          <w:i/>
          <w:sz w:val="23"/>
          <w:szCs w:val="23"/>
          <w:rtl/>
        </w:rPr>
        <w:t>همان</w:t>
      </w:r>
      <w:r w:rsidRPr="00FE433F">
        <w:rPr>
          <w:rFonts w:eastAsia="Calibri"/>
          <w:i/>
          <w:sz w:val="23"/>
          <w:szCs w:val="23"/>
          <w:rtl/>
        </w:rPr>
        <w:softHyphen/>
      </w:r>
      <w:r w:rsidRPr="00FE433F">
        <w:rPr>
          <w:rFonts w:eastAsia="Calibri" w:hint="cs"/>
          <w:i/>
          <w:sz w:val="23"/>
          <w:szCs w:val="23"/>
          <w:rtl/>
        </w:rPr>
        <w:t>طور که</w:t>
      </w:r>
      <w:r w:rsidRPr="00FE433F">
        <w:rPr>
          <w:rFonts w:eastAsia="Calibri"/>
          <w:i/>
          <w:sz w:val="23"/>
          <w:szCs w:val="23"/>
          <w:rtl/>
        </w:rPr>
        <w:t xml:space="preserve"> توسط فلپس در سال ۱۹۷۳ ارائه</w:t>
      </w:r>
      <w:r w:rsidRPr="00FE433F">
        <w:rPr>
          <w:i/>
          <w:sz w:val="23"/>
          <w:szCs w:val="23"/>
          <w:rtl/>
        </w:rPr>
        <w:t xml:space="preserve"> شد</w:t>
      </w:r>
      <w:r w:rsidRPr="00FE433F">
        <w:rPr>
          <w:rFonts w:hint="cs"/>
          <w:i/>
          <w:sz w:val="23"/>
          <w:szCs w:val="23"/>
          <w:rtl/>
        </w:rPr>
        <w:t>،</w:t>
      </w:r>
      <w:r w:rsidRPr="00FE433F">
        <w:rPr>
          <w:rFonts w:eastAsia="Calibri"/>
          <w:i/>
          <w:sz w:val="23"/>
          <w:szCs w:val="23"/>
          <w:rtl/>
        </w:rPr>
        <w:t xml:space="preserve">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است</w:t>
      </w:r>
      <w:r w:rsidRPr="00FE433F">
        <w:rPr>
          <w:rFonts w:eastAsia="Calibri"/>
          <w:i/>
          <w:sz w:val="23"/>
          <w:szCs w:val="23"/>
          <w:rtl/>
        </w:rPr>
        <w:t xml:space="preserve"> </w:t>
      </w:r>
      <w:r w:rsidRPr="00FE433F">
        <w:rPr>
          <w:rFonts w:eastAsia="Calibri" w:hint="eastAsia"/>
          <w:i/>
          <w:sz w:val="23"/>
          <w:szCs w:val="23"/>
          <w:rtl/>
        </w:rPr>
        <w:t>که</w:t>
      </w:r>
      <w:r w:rsidRPr="00FE433F">
        <w:rPr>
          <w:rFonts w:eastAsia="Calibri" w:hint="cs"/>
          <w:i/>
          <w:sz w:val="23"/>
          <w:szCs w:val="23"/>
          <w:rtl/>
        </w:rPr>
        <w:t xml:space="preserve"> </w:t>
      </w:r>
      <w:r w:rsidRPr="00FE433F">
        <w:rPr>
          <w:rFonts w:eastAsia="Calibri" w:hint="eastAsia"/>
          <w:i/>
          <w:sz w:val="23"/>
          <w:szCs w:val="23"/>
          <w:rtl/>
        </w:rPr>
        <w:t>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بودجه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دولت و منافع رفاه</w:t>
      </w:r>
      <w:r w:rsidRPr="00FE433F">
        <w:rPr>
          <w:rFonts w:eastAsia="Calibri" w:hint="cs"/>
          <w:i/>
          <w:sz w:val="23"/>
          <w:szCs w:val="23"/>
          <w:rtl/>
        </w:rPr>
        <w:t>ی</w:t>
      </w:r>
      <w:r w:rsidRPr="00FE433F">
        <w:rPr>
          <w:rFonts w:eastAsia="Calibri"/>
          <w:i/>
          <w:sz w:val="23"/>
          <w:szCs w:val="23"/>
          <w:rtl/>
        </w:rPr>
        <w:t xml:space="preserve"> خانوار که </w:t>
      </w:r>
      <w:r w:rsidRPr="00FE433F">
        <w:rPr>
          <w:rFonts w:eastAsia="Calibri" w:hint="cs"/>
          <w:i/>
          <w:sz w:val="23"/>
          <w:szCs w:val="23"/>
          <w:rtl/>
        </w:rPr>
        <w:t>بواسطه</w:t>
      </w:r>
      <w:r w:rsidRPr="00FE433F">
        <w:rPr>
          <w:rFonts w:eastAsia="Calibri"/>
          <w:i/>
          <w:sz w:val="23"/>
          <w:szCs w:val="23"/>
          <w:rtl/>
        </w:rPr>
        <w:softHyphen/>
      </w:r>
      <w:r w:rsidRPr="00FE433F">
        <w:rPr>
          <w:rFonts w:eastAsia="Calibri" w:hint="cs"/>
          <w:i/>
          <w:sz w:val="23"/>
          <w:szCs w:val="23"/>
          <w:rtl/>
        </w:rPr>
        <w:t>ی کاهش مالیات</w:t>
      </w:r>
      <w:r w:rsidRPr="00FE433F">
        <w:rPr>
          <w:rFonts w:eastAsia="Calibri"/>
          <w:i/>
          <w:sz w:val="23"/>
          <w:szCs w:val="23"/>
          <w:rtl/>
        </w:rPr>
        <w:softHyphen/>
      </w:r>
      <w:r w:rsidRPr="00FE433F">
        <w:rPr>
          <w:rFonts w:eastAsia="Calibri" w:hint="cs"/>
          <w:i/>
          <w:sz w:val="23"/>
          <w:szCs w:val="23"/>
          <w:rtl/>
        </w:rPr>
        <w:t xml:space="preserve">ها از طریق </w:t>
      </w:r>
      <w:r w:rsidRPr="00FE433F">
        <w:rPr>
          <w:rFonts w:eastAsia="Calibri"/>
          <w:i/>
          <w:sz w:val="23"/>
          <w:szCs w:val="23"/>
          <w:rtl/>
        </w:rPr>
        <w:t>مال</w:t>
      </w:r>
      <w:r w:rsidRPr="00FE433F">
        <w:rPr>
          <w:rFonts w:eastAsia="Calibri" w:hint="cs"/>
          <w:i/>
          <w:sz w:val="23"/>
          <w:szCs w:val="23"/>
          <w:rtl/>
        </w:rPr>
        <w:t>ی</w:t>
      </w:r>
      <w:r w:rsidRPr="00FE433F">
        <w:rPr>
          <w:rFonts w:eastAsia="Calibri"/>
          <w:i/>
          <w:sz w:val="23"/>
          <w:szCs w:val="23"/>
          <w:rtl/>
        </w:rPr>
        <w:t>ات حق</w:t>
      </w:r>
      <w:r w:rsidRPr="00FE433F">
        <w:rPr>
          <w:rFonts w:eastAsia="Calibri"/>
          <w:i/>
          <w:sz w:val="23"/>
          <w:szCs w:val="23"/>
          <w:rtl/>
        </w:rPr>
        <w:softHyphen/>
        <w:t xml:space="preserve">الضرب </w:t>
      </w:r>
      <w:r w:rsidRPr="00FE433F">
        <w:rPr>
          <w:rFonts w:eastAsia="Calibri" w:hint="cs"/>
          <w:i/>
          <w:sz w:val="23"/>
          <w:szCs w:val="23"/>
          <w:rtl/>
        </w:rPr>
        <w:t>صورت می</w:t>
      </w:r>
      <w:r w:rsidRPr="00FE433F">
        <w:rPr>
          <w:rFonts w:eastAsia="Calibri"/>
          <w:i/>
          <w:sz w:val="23"/>
          <w:szCs w:val="23"/>
          <w:rtl/>
        </w:rPr>
        <w:softHyphen/>
      </w:r>
      <w:r w:rsidRPr="00FE433F">
        <w:rPr>
          <w:rFonts w:eastAsia="Calibri" w:hint="cs"/>
          <w:i/>
          <w:sz w:val="23"/>
          <w:szCs w:val="23"/>
          <w:rtl/>
        </w:rPr>
        <w:t>گیرد را</w:t>
      </w:r>
      <w:r w:rsidRPr="00FE433F">
        <w:rPr>
          <w:rFonts w:eastAsia="Calibri"/>
          <w:i/>
          <w:sz w:val="23"/>
          <w:szCs w:val="23"/>
          <w:rtl/>
        </w:rPr>
        <w:t xml:space="preserve"> در نظر </w:t>
      </w:r>
      <w:r w:rsidRPr="00FE433F">
        <w:rPr>
          <w:rFonts w:eastAsia="Calibri" w:hint="cs"/>
          <w:i/>
          <w:sz w:val="23"/>
          <w:szCs w:val="23"/>
          <w:rtl/>
        </w:rPr>
        <w:t>نمی</w:t>
      </w:r>
      <w:r w:rsidRPr="00FE433F">
        <w:rPr>
          <w:rFonts w:eastAsia="Calibri"/>
          <w:i/>
          <w:sz w:val="23"/>
          <w:szCs w:val="23"/>
          <w:rtl/>
        </w:rPr>
        <w:softHyphen/>
      </w:r>
      <w:r w:rsidRPr="00FE433F">
        <w:rPr>
          <w:rFonts w:eastAsia="Calibri" w:hint="cs"/>
          <w:i/>
          <w:sz w:val="23"/>
          <w:szCs w:val="23"/>
          <w:rtl/>
        </w:rPr>
        <w:t>گیرد</w:t>
      </w:r>
      <w:r w:rsidRPr="00FE433F">
        <w:rPr>
          <w:rFonts w:eastAsia="Calibri"/>
          <w:i/>
          <w:sz w:val="23"/>
          <w:szCs w:val="23"/>
          <w:rtl/>
        </w:rPr>
        <w:t>. حل کامل نرخ تورم به</w:t>
      </w:r>
      <w:r w:rsidRPr="00FE433F">
        <w:rPr>
          <w:rFonts w:eastAsia="Calibri" w:hint="cs"/>
          <w:i/>
          <w:sz w:val="23"/>
          <w:szCs w:val="23"/>
          <w:rtl/>
        </w:rPr>
        <w:t>ی</w:t>
      </w:r>
      <w:r w:rsidRPr="00FE433F">
        <w:rPr>
          <w:rFonts w:eastAsia="Calibri" w:hint="eastAsia"/>
          <w:i/>
          <w:sz w:val="23"/>
          <w:szCs w:val="23"/>
          <w:rtl/>
        </w:rPr>
        <w:t>نه</w:t>
      </w:r>
      <w:r w:rsidRPr="00FE433F">
        <w:rPr>
          <w:rFonts w:eastAsia="Calibri"/>
          <w:i/>
          <w:sz w:val="23"/>
          <w:szCs w:val="23"/>
          <w:rtl/>
        </w:rPr>
        <w:t xml:space="preserve"> ن</w:t>
      </w:r>
      <w:r w:rsidRPr="00FE433F">
        <w:rPr>
          <w:rFonts w:eastAsia="Calibri" w:hint="cs"/>
          <w:i/>
          <w:sz w:val="23"/>
          <w:szCs w:val="23"/>
          <w:rtl/>
        </w:rPr>
        <w:t>ی</w:t>
      </w:r>
      <w:r w:rsidRPr="00FE433F">
        <w:rPr>
          <w:rFonts w:eastAsia="Calibri" w:hint="eastAsia"/>
          <w:i/>
          <w:sz w:val="23"/>
          <w:szCs w:val="23"/>
          <w:rtl/>
        </w:rPr>
        <w:t>ازمند</w:t>
      </w:r>
      <w:r w:rsidRPr="00FE433F">
        <w:rPr>
          <w:rFonts w:eastAsia="Calibri"/>
          <w:i/>
          <w:sz w:val="23"/>
          <w:szCs w:val="23"/>
          <w:rtl/>
        </w:rPr>
        <w:t xml:space="preserve"> انتخاب</w:t>
      </w:r>
      <w:r w:rsidRPr="00FE433F">
        <w:rPr>
          <w:position w:val="-6"/>
        </w:rPr>
        <w:object w:dxaOrig="220" w:dyaOrig="200" w14:anchorId="39D76AEC">
          <v:shape id="_x0000_i4314" type="#_x0000_t75" style="width:10.9pt;height:10.3pt" o:ole="">
            <v:imagedata r:id="rId6621" o:title=""/>
          </v:shape>
          <o:OLEObject Type="Embed" ProgID="Equation.DSMT4" ShapeID="_x0000_i4314" DrawAspect="Content" ObjectID="_1791378258" r:id="rId6622"/>
        </w:object>
      </w:r>
      <w:r w:rsidRPr="00FE433F">
        <w:rPr>
          <w:rFonts w:eastAsia="Calibri"/>
          <w:i/>
          <w:sz w:val="23"/>
          <w:szCs w:val="23"/>
          <w:rtl/>
        </w:rPr>
        <w:t xml:space="preserve"> </w:t>
      </w:r>
      <w:r w:rsidRPr="00FE433F">
        <w:rPr>
          <w:i/>
          <w:sz w:val="23"/>
          <w:szCs w:val="23"/>
          <w:rtl/>
        </w:rPr>
        <w:t>نسبت به حداکثر</w:t>
      </w:r>
      <w:r w:rsidRPr="00FE433F">
        <w:rPr>
          <w:rFonts w:eastAsia="Calibri"/>
          <w:i/>
          <w:sz w:val="23"/>
          <w:szCs w:val="23"/>
          <w:rtl/>
        </w:rPr>
        <w:t>ساز</w:t>
      </w:r>
      <w:r w:rsidRPr="00FE433F">
        <w:rPr>
          <w:rFonts w:eastAsia="Calibri" w:hint="cs"/>
          <w:i/>
          <w:sz w:val="23"/>
          <w:szCs w:val="23"/>
          <w:rtl/>
        </w:rPr>
        <w:t>ی</w:t>
      </w:r>
      <w:r w:rsidRPr="00FE433F">
        <w:rPr>
          <w:rFonts w:eastAsia="Calibri"/>
          <w:i/>
          <w:sz w:val="23"/>
          <w:szCs w:val="23"/>
          <w:rtl/>
        </w:rPr>
        <w:t xml:space="preserve"> تصم</w:t>
      </w:r>
      <w:r w:rsidRPr="00FE433F">
        <w:rPr>
          <w:rFonts w:eastAsia="Calibri" w:hint="cs"/>
          <w:i/>
          <w:sz w:val="23"/>
          <w:szCs w:val="23"/>
          <w:rtl/>
        </w:rPr>
        <w:t>ی</w:t>
      </w:r>
      <w:r w:rsidRPr="00FE433F">
        <w:rPr>
          <w:rFonts w:eastAsia="Calibri" w:hint="eastAsia"/>
          <w:i/>
          <w:sz w:val="23"/>
          <w:szCs w:val="23"/>
          <w:rtl/>
        </w:rPr>
        <w:t>مات</w:t>
      </w:r>
      <w:r w:rsidRPr="00FE433F">
        <w:rPr>
          <w:rFonts w:eastAsia="Calibri"/>
          <w:i/>
          <w:sz w:val="23"/>
          <w:szCs w:val="23"/>
          <w:rtl/>
        </w:rPr>
        <w:t xml:space="preserve"> </w:t>
      </w:r>
      <w:r w:rsidRPr="00FE433F">
        <w:rPr>
          <w:rFonts w:eastAsia="Calibri" w:hint="eastAsia"/>
          <w:i/>
          <w:sz w:val="23"/>
          <w:szCs w:val="23"/>
          <w:rtl/>
        </w:rPr>
        <w:t>خانوار</w:t>
      </w:r>
      <w:r w:rsidRPr="00FE433F">
        <w:rPr>
          <w:rFonts w:eastAsia="Calibri"/>
          <w:i/>
          <w:sz w:val="23"/>
          <w:szCs w:val="23"/>
          <w:rtl/>
        </w:rPr>
        <w:t xml:space="preserve"> </w:t>
      </w:r>
      <w:r w:rsidRPr="00FE433F">
        <w:rPr>
          <w:rFonts w:eastAsia="Calibri" w:hint="eastAsia"/>
          <w:i/>
          <w:sz w:val="23"/>
          <w:szCs w:val="23"/>
          <w:rtl/>
        </w:rPr>
        <w:t>و</w:t>
      </w:r>
      <w:r w:rsidRPr="00FE433F">
        <w:rPr>
          <w:rFonts w:eastAsia="Calibri"/>
          <w:i/>
          <w:sz w:val="23"/>
          <w:szCs w:val="23"/>
          <w:rtl/>
        </w:rPr>
        <w:t xml:space="preserve"> </w:t>
      </w:r>
      <w:r w:rsidRPr="00FE433F">
        <w:rPr>
          <w:rFonts w:eastAsia="Calibri" w:hint="eastAsia"/>
          <w:i/>
          <w:sz w:val="23"/>
          <w:szCs w:val="23"/>
          <w:rtl/>
        </w:rPr>
        <w:t>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بودجه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دولت است. </w:t>
      </w:r>
      <w:r w:rsidRPr="00FE433F">
        <w:rPr>
          <w:rFonts w:eastAsia="Calibri" w:hint="cs"/>
          <w:i/>
          <w:sz w:val="23"/>
          <w:szCs w:val="23"/>
          <w:rtl/>
        </w:rPr>
        <w:t xml:space="preserve">بنابراین، </w:t>
      </w:r>
      <w:r w:rsidRPr="00FE433F">
        <w:rPr>
          <w:rFonts w:eastAsia="Calibri"/>
          <w:i/>
          <w:sz w:val="23"/>
          <w:szCs w:val="23"/>
          <w:rtl/>
        </w:rPr>
        <w:t xml:space="preserve">در واقع </w:t>
      </w:r>
      <w:r w:rsidRPr="00FE433F">
        <w:rPr>
          <w:rFonts w:eastAsia="Calibri" w:hint="cs"/>
          <w:i/>
          <w:sz w:val="23"/>
          <w:szCs w:val="23"/>
          <w:rtl/>
        </w:rPr>
        <w:t>نرخ تورم نوعی نرخ مالیات است، و نشان می</w:t>
      </w:r>
      <w:r w:rsidRPr="00FE433F">
        <w:rPr>
          <w:rFonts w:eastAsia="Calibri"/>
          <w:i/>
          <w:sz w:val="23"/>
          <w:szCs w:val="23"/>
          <w:rtl/>
        </w:rPr>
        <w:softHyphen/>
      </w:r>
      <w:r w:rsidRPr="00FE433F">
        <w:rPr>
          <w:rFonts w:eastAsia="Calibri" w:hint="cs"/>
          <w:i/>
          <w:sz w:val="23"/>
          <w:szCs w:val="23"/>
          <w:rtl/>
        </w:rPr>
        <w:t xml:space="preserve">دهد </w:t>
      </w:r>
      <w:r w:rsidRPr="00FE433F">
        <w:rPr>
          <w:rFonts w:eastAsia="Calibri"/>
          <w:i/>
          <w:sz w:val="23"/>
          <w:szCs w:val="23"/>
          <w:rtl/>
        </w:rPr>
        <w:t>انتخاب نرخ تورم به</w:t>
      </w:r>
      <w:r w:rsidRPr="00FE433F">
        <w:rPr>
          <w:rFonts w:eastAsia="Calibri" w:hint="cs"/>
          <w:i/>
          <w:sz w:val="23"/>
          <w:szCs w:val="23"/>
          <w:rtl/>
        </w:rPr>
        <w:t>ی</w:t>
      </w:r>
      <w:r w:rsidRPr="00FE433F">
        <w:rPr>
          <w:rFonts w:eastAsia="Calibri" w:hint="eastAsia"/>
          <w:i/>
          <w:sz w:val="23"/>
          <w:szCs w:val="23"/>
          <w:rtl/>
        </w:rPr>
        <w:t>نه</w:t>
      </w:r>
      <w:r w:rsidRPr="00FE433F">
        <w:rPr>
          <w:rFonts w:eastAsia="Calibri"/>
          <w:i/>
          <w:sz w:val="23"/>
          <w:szCs w:val="23"/>
          <w:rtl/>
        </w:rPr>
        <w:t xml:space="preserve"> </w:t>
      </w:r>
      <w:r w:rsidRPr="00FE433F">
        <w:rPr>
          <w:rFonts w:eastAsia="Calibri" w:hint="cs"/>
          <w:i/>
          <w:sz w:val="23"/>
          <w:szCs w:val="23"/>
          <w:rtl/>
        </w:rPr>
        <w:t>مسئله</w:t>
      </w:r>
      <w:r w:rsidRPr="00FE433F">
        <w:rPr>
          <w:rFonts w:eastAsia="Calibri"/>
          <w:i/>
          <w:sz w:val="23"/>
          <w:szCs w:val="23"/>
          <w:rtl/>
        </w:rPr>
        <w:softHyphen/>
      </w:r>
      <w:r w:rsidRPr="00FE433F">
        <w:rPr>
          <w:rFonts w:eastAsia="Calibri" w:hint="cs"/>
          <w:i/>
          <w:sz w:val="23"/>
          <w:szCs w:val="23"/>
          <w:rtl/>
        </w:rPr>
        <w:t>ی دیگری را همراه با دسترسی به نرخ</w:t>
      </w:r>
      <w:r w:rsidRPr="00FE433F">
        <w:rPr>
          <w:rFonts w:eastAsia="Calibri"/>
          <w:i/>
          <w:sz w:val="23"/>
          <w:szCs w:val="23"/>
          <w:rtl/>
        </w:rPr>
        <w:softHyphen/>
      </w:r>
      <w:r w:rsidRPr="00FE433F">
        <w:rPr>
          <w:rFonts w:eastAsia="Calibri" w:hint="cs"/>
          <w:i/>
          <w:sz w:val="23"/>
          <w:szCs w:val="23"/>
          <w:rtl/>
        </w:rPr>
        <w:t>های</w:t>
      </w:r>
      <w:r w:rsidRPr="00FE433F">
        <w:rPr>
          <w:rFonts w:eastAsia="Calibri"/>
          <w:i/>
          <w:sz w:val="23"/>
          <w:szCs w:val="23"/>
          <w:rtl/>
        </w:rPr>
        <w:t xml:space="preserve"> مال</w:t>
      </w:r>
      <w:r w:rsidRPr="00FE433F">
        <w:rPr>
          <w:rFonts w:eastAsia="Calibri" w:hint="cs"/>
          <w:i/>
          <w:sz w:val="23"/>
          <w:szCs w:val="23"/>
          <w:rtl/>
        </w:rPr>
        <w:t>ی</w:t>
      </w:r>
      <w:r w:rsidRPr="00FE433F">
        <w:rPr>
          <w:rFonts w:eastAsia="Calibri" w:hint="eastAsia"/>
          <w:i/>
          <w:sz w:val="23"/>
          <w:szCs w:val="23"/>
          <w:rtl/>
        </w:rPr>
        <w:t>ات</w:t>
      </w:r>
      <w:r w:rsidRPr="00FE433F">
        <w:rPr>
          <w:rFonts w:eastAsia="Calibri"/>
          <w:i/>
          <w:sz w:val="23"/>
          <w:szCs w:val="23"/>
          <w:rtl/>
        </w:rPr>
        <w:t xml:space="preserve"> </w:t>
      </w:r>
      <w:r w:rsidRPr="00FE433F">
        <w:rPr>
          <w:rFonts w:eastAsia="Calibri" w:hint="eastAsia"/>
          <w:i/>
          <w:sz w:val="23"/>
          <w:szCs w:val="23"/>
          <w:rtl/>
        </w:rPr>
        <w:t>به</w:t>
      </w:r>
      <w:r w:rsidRPr="00FE433F">
        <w:rPr>
          <w:rFonts w:eastAsia="Calibri" w:hint="cs"/>
          <w:i/>
          <w:sz w:val="23"/>
          <w:szCs w:val="23"/>
          <w:rtl/>
        </w:rPr>
        <w:t>ی</w:t>
      </w:r>
      <w:r w:rsidRPr="00FE433F">
        <w:rPr>
          <w:rFonts w:eastAsia="Calibri" w:hint="eastAsia"/>
          <w:i/>
          <w:sz w:val="23"/>
          <w:szCs w:val="23"/>
          <w:rtl/>
        </w:rPr>
        <w:t>نه</w:t>
      </w:r>
      <w:r w:rsidRPr="00FE433F">
        <w:rPr>
          <w:rFonts w:eastAsia="Calibri"/>
          <w:i/>
          <w:sz w:val="23"/>
          <w:szCs w:val="23"/>
          <w:rtl/>
        </w:rPr>
        <w:t xml:space="preserve"> </w:t>
      </w:r>
      <w:r w:rsidRPr="00FE433F">
        <w:rPr>
          <w:rFonts w:eastAsia="Calibri" w:hint="cs"/>
          <w:i/>
          <w:sz w:val="23"/>
          <w:szCs w:val="23"/>
          <w:rtl/>
        </w:rPr>
        <w:t>برای دولت ایجاد می</w:t>
      </w:r>
      <w:r w:rsidRPr="00FE433F">
        <w:rPr>
          <w:rFonts w:eastAsia="Calibri"/>
          <w:i/>
          <w:sz w:val="23"/>
          <w:szCs w:val="23"/>
          <w:rtl/>
        </w:rPr>
        <w:softHyphen/>
      </w:r>
      <w:r w:rsidRPr="00FE433F">
        <w:rPr>
          <w:rFonts w:eastAsia="Calibri" w:hint="cs"/>
          <w:i/>
          <w:sz w:val="23"/>
          <w:szCs w:val="23"/>
          <w:rtl/>
        </w:rPr>
        <w:t>کند</w:t>
      </w:r>
      <w:r w:rsidRPr="00FE433F">
        <w:rPr>
          <w:rFonts w:eastAsia="Calibri"/>
          <w:i/>
          <w:sz w:val="23"/>
          <w:szCs w:val="23"/>
          <w:rtl/>
        </w:rPr>
        <w:t xml:space="preserve">. </w:t>
      </w:r>
    </w:p>
    <w:p w14:paraId="6189BF1C" w14:textId="77777777" w:rsidR="00411620" w:rsidRPr="00FE433F" w:rsidRDefault="00411620" w:rsidP="00411620">
      <w:pPr>
        <w:spacing w:line="216" w:lineRule="auto"/>
        <w:rPr>
          <w:rFonts w:eastAsia="Calibri"/>
          <w:i/>
          <w:sz w:val="23"/>
          <w:szCs w:val="23"/>
          <w:rtl/>
        </w:rPr>
      </w:pPr>
    </w:p>
    <w:p w14:paraId="7C756D36" w14:textId="77777777" w:rsidR="00411620" w:rsidRPr="00FE433F" w:rsidRDefault="00411620" w:rsidP="00411620">
      <w:pPr>
        <w:spacing w:line="216" w:lineRule="auto"/>
        <w:rPr>
          <w:rFonts w:eastAsia="Calibri"/>
          <w:bCs/>
          <w:i/>
          <w:sz w:val="23"/>
          <w:szCs w:val="23"/>
          <w:rtl/>
        </w:rPr>
      </w:pPr>
      <w:r w:rsidRPr="00FE433F">
        <w:rPr>
          <w:rFonts w:eastAsia="Calibri" w:hint="eastAsia"/>
          <w:bCs/>
          <w:i/>
          <w:sz w:val="23"/>
          <w:szCs w:val="23"/>
          <w:rtl/>
        </w:rPr>
        <w:t>راه</w:t>
      </w:r>
      <w:r w:rsidRPr="00FE433F">
        <w:rPr>
          <w:rFonts w:eastAsia="Calibri"/>
          <w:bCs/>
          <w:i/>
          <w:sz w:val="23"/>
          <w:szCs w:val="23"/>
          <w:rtl/>
        </w:rPr>
        <w:t xml:space="preserve"> حل تعادل عموم</w:t>
      </w:r>
      <w:r w:rsidRPr="00FE433F">
        <w:rPr>
          <w:rFonts w:eastAsia="Calibri" w:hint="cs"/>
          <w:bCs/>
          <w:i/>
          <w:sz w:val="23"/>
          <w:szCs w:val="23"/>
          <w:rtl/>
        </w:rPr>
        <w:t>ی</w:t>
      </w:r>
    </w:p>
    <w:p w14:paraId="3FEB9ADE" w14:textId="77777777" w:rsidR="00411620" w:rsidRPr="00FE433F" w:rsidRDefault="00411620" w:rsidP="00411620">
      <w:pPr>
        <w:spacing w:line="216" w:lineRule="auto"/>
        <w:rPr>
          <w:rFonts w:eastAsia="Calibri"/>
          <w:bCs/>
          <w:i/>
          <w:sz w:val="23"/>
          <w:szCs w:val="23"/>
          <w:rtl/>
        </w:rPr>
      </w:pPr>
      <w:r w:rsidRPr="00FE433F">
        <w:rPr>
          <w:rFonts w:eastAsia="Calibri"/>
          <w:bCs/>
          <w:i/>
          <w:sz w:val="23"/>
          <w:szCs w:val="23"/>
          <w:rtl/>
        </w:rPr>
        <w:t>مسئله</w:t>
      </w:r>
      <w:r w:rsidRPr="00FE433F">
        <w:rPr>
          <w:rFonts w:eastAsia="Calibri"/>
          <w:bCs/>
          <w:i/>
          <w:sz w:val="23"/>
          <w:szCs w:val="23"/>
          <w:rtl/>
        </w:rPr>
        <w:softHyphen/>
      </w:r>
      <w:r w:rsidRPr="00FE433F">
        <w:rPr>
          <w:rFonts w:eastAsia="Calibri" w:hint="cs"/>
          <w:bCs/>
          <w:i/>
          <w:sz w:val="23"/>
          <w:szCs w:val="23"/>
          <w:rtl/>
        </w:rPr>
        <w:t>ی</w:t>
      </w:r>
      <w:r w:rsidRPr="00FE433F">
        <w:rPr>
          <w:rFonts w:eastAsia="Calibri"/>
          <w:bCs/>
          <w:i/>
          <w:sz w:val="23"/>
          <w:szCs w:val="23"/>
          <w:rtl/>
        </w:rPr>
        <w:t xml:space="preserve"> خانوار</w:t>
      </w:r>
    </w:p>
    <w:p w14:paraId="4CA10001"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بر خلاف تجز</w:t>
      </w:r>
      <w:r w:rsidRPr="00FE433F">
        <w:rPr>
          <w:rFonts w:eastAsia="Calibri" w:hint="cs"/>
          <w:i/>
          <w:sz w:val="23"/>
          <w:szCs w:val="23"/>
          <w:rtl/>
        </w:rPr>
        <w:t>ی</w:t>
      </w:r>
      <w:r w:rsidRPr="00FE433F">
        <w:rPr>
          <w:rFonts w:eastAsia="Calibri" w:hint="eastAsia"/>
          <w:i/>
          <w:sz w:val="23"/>
          <w:szCs w:val="23"/>
          <w:rtl/>
        </w:rPr>
        <w:t>ه</w:t>
      </w:r>
      <w:r w:rsidRPr="00FE433F">
        <w:rPr>
          <w:rFonts w:eastAsia="Calibri"/>
          <w:i/>
          <w:sz w:val="23"/>
          <w:szCs w:val="23"/>
          <w:rtl/>
        </w:rPr>
        <w:t xml:space="preserve"> </w:t>
      </w:r>
      <w:r w:rsidRPr="00FE433F">
        <w:rPr>
          <w:rFonts w:eastAsia="Calibri" w:hint="eastAsia"/>
          <w:i/>
          <w:sz w:val="23"/>
          <w:szCs w:val="23"/>
          <w:rtl/>
        </w:rPr>
        <w:t>و</w:t>
      </w:r>
      <w:r w:rsidRPr="00FE433F">
        <w:rPr>
          <w:rFonts w:eastAsia="Calibri"/>
          <w:i/>
          <w:sz w:val="23"/>
          <w:szCs w:val="23"/>
          <w:rtl/>
        </w:rPr>
        <w:t xml:space="preserve"> </w:t>
      </w:r>
      <w:r w:rsidRPr="00FE433F">
        <w:rPr>
          <w:rFonts w:eastAsia="Calibri" w:hint="eastAsia"/>
          <w:i/>
          <w:sz w:val="23"/>
          <w:szCs w:val="23"/>
          <w:rtl/>
        </w:rPr>
        <w:t>تحل</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w:t>
      </w:r>
      <w:r w:rsidRPr="00FE433F">
        <w:rPr>
          <w:rFonts w:eastAsia="Calibri" w:hint="eastAsia"/>
          <w:i/>
          <w:sz w:val="23"/>
          <w:szCs w:val="23"/>
          <w:rtl/>
        </w:rPr>
        <w:t>قبل</w:t>
      </w:r>
      <w:r w:rsidRPr="00FE433F">
        <w:rPr>
          <w:rFonts w:eastAsia="Calibri" w:hint="cs"/>
          <w:i/>
          <w:sz w:val="23"/>
          <w:szCs w:val="23"/>
          <w:rtl/>
        </w:rPr>
        <w:t>ی</w:t>
      </w:r>
      <w:r w:rsidRPr="00FE433F">
        <w:rPr>
          <w:rFonts w:eastAsia="Calibri"/>
          <w:i/>
          <w:sz w:val="23"/>
          <w:szCs w:val="23"/>
          <w:rtl/>
        </w:rPr>
        <w:t xml:space="preserve"> </w:t>
      </w:r>
      <w:r w:rsidRPr="00FE433F">
        <w:rPr>
          <w:rFonts w:eastAsia="Calibri" w:hint="cs"/>
          <w:i/>
          <w:sz w:val="23"/>
          <w:szCs w:val="23"/>
          <w:rtl/>
        </w:rPr>
        <w:t xml:space="preserve">در خصوص </w:t>
      </w:r>
      <w:r w:rsidRPr="00FE433F">
        <w:rPr>
          <w:rFonts w:eastAsia="Calibri" w:hint="eastAsia"/>
          <w:i/>
          <w:sz w:val="23"/>
          <w:szCs w:val="23"/>
          <w:rtl/>
        </w:rPr>
        <w:t>مال</w:t>
      </w:r>
      <w:r w:rsidRPr="00FE433F">
        <w:rPr>
          <w:rFonts w:eastAsia="Calibri" w:hint="cs"/>
          <w:i/>
          <w:sz w:val="23"/>
          <w:szCs w:val="23"/>
          <w:rtl/>
        </w:rPr>
        <w:t>ی</w:t>
      </w:r>
      <w:r w:rsidRPr="00FE433F">
        <w:rPr>
          <w:rFonts w:eastAsia="Calibri" w:hint="eastAsia"/>
          <w:i/>
          <w:sz w:val="23"/>
          <w:szCs w:val="23"/>
          <w:rtl/>
        </w:rPr>
        <w:t>ات</w:t>
      </w:r>
      <w:r w:rsidRPr="00FE433F">
        <w:rPr>
          <w:rFonts w:eastAsia="Calibri"/>
          <w:i/>
          <w:sz w:val="23"/>
          <w:szCs w:val="23"/>
          <w:rtl/>
        </w:rPr>
        <w:t xml:space="preserve"> </w:t>
      </w:r>
      <w:r w:rsidRPr="00FE433F">
        <w:rPr>
          <w:rFonts w:eastAsia="Calibri" w:hint="eastAsia"/>
          <w:i/>
          <w:sz w:val="23"/>
          <w:szCs w:val="23"/>
          <w:rtl/>
        </w:rPr>
        <w:t>به</w:t>
      </w:r>
      <w:r w:rsidRPr="00FE433F">
        <w:rPr>
          <w:rFonts w:eastAsia="Calibri" w:hint="cs"/>
          <w:i/>
          <w:sz w:val="23"/>
          <w:szCs w:val="23"/>
          <w:rtl/>
        </w:rPr>
        <w:t>ی</w:t>
      </w:r>
      <w:r w:rsidRPr="00FE433F">
        <w:rPr>
          <w:rFonts w:eastAsia="Calibri" w:hint="eastAsia"/>
          <w:i/>
          <w:sz w:val="23"/>
          <w:szCs w:val="23"/>
          <w:rtl/>
        </w:rPr>
        <w:t>نه،</w:t>
      </w:r>
      <w:r w:rsidRPr="00FE433F">
        <w:rPr>
          <w:rFonts w:eastAsia="Calibri"/>
          <w:i/>
          <w:sz w:val="23"/>
          <w:szCs w:val="23"/>
          <w:rtl/>
        </w:rPr>
        <w:t xml:space="preserve"> </w:t>
      </w:r>
      <w:r w:rsidRPr="00FE433F">
        <w:rPr>
          <w:rFonts w:eastAsia="Calibri" w:hint="cs"/>
          <w:i/>
          <w:sz w:val="23"/>
          <w:szCs w:val="23"/>
          <w:rtl/>
        </w:rPr>
        <w:t xml:space="preserve">در مدل کنونی پول </w:t>
      </w:r>
      <w:r w:rsidRPr="00FE433F">
        <w:rPr>
          <w:rFonts w:eastAsia="Calibri" w:hint="eastAsia"/>
          <w:i/>
          <w:sz w:val="23"/>
          <w:szCs w:val="23"/>
          <w:rtl/>
        </w:rPr>
        <w:t>در</w:t>
      </w:r>
      <w:r w:rsidRPr="00FE433F">
        <w:rPr>
          <w:rFonts w:eastAsia="Calibri"/>
          <w:i/>
          <w:sz w:val="23"/>
          <w:szCs w:val="23"/>
          <w:rtl/>
        </w:rPr>
        <w:t xml:space="preserve"> </w:t>
      </w:r>
      <w:r w:rsidRPr="00FE433F">
        <w:rPr>
          <w:rFonts w:eastAsia="Calibri" w:hint="eastAsia"/>
          <w:i/>
          <w:sz w:val="23"/>
          <w:szCs w:val="23"/>
          <w:rtl/>
        </w:rPr>
        <w:t>تابع</w:t>
      </w:r>
      <w:r w:rsidRPr="00FE433F">
        <w:rPr>
          <w:rFonts w:eastAsia="Calibri"/>
          <w:i/>
          <w:sz w:val="23"/>
          <w:szCs w:val="23"/>
          <w:rtl/>
        </w:rPr>
        <w:t xml:space="preserve"> </w:t>
      </w:r>
      <w:r w:rsidRPr="00FE433F">
        <w:rPr>
          <w:rFonts w:eastAsia="Calibri" w:hint="eastAsia"/>
          <w:i/>
          <w:sz w:val="23"/>
          <w:szCs w:val="23"/>
          <w:rtl/>
        </w:rPr>
        <w:t>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w:t>
      </w:r>
      <w:r w:rsidRPr="00FE433F">
        <w:rPr>
          <w:rFonts w:eastAsia="Calibri" w:hint="eastAsia"/>
          <w:i/>
          <w:sz w:val="23"/>
          <w:szCs w:val="23"/>
          <w:rtl/>
        </w:rPr>
        <w:t>خانوار</w:t>
      </w:r>
      <w:r w:rsidRPr="00FE433F">
        <w:rPr>
          <w:rFonts w:eastAsia="Calibri"/>
          <w:i/>
          <w:sz w:val="23"/>
          <w:szCs w:val="23"/>
          <w:rtl/>
        </w:rPr>
        <w:t xml:space="preserve"> </w:t>
      </w:r>
      <w:r w:rsidRPr="00FE433F">
        <w:rPr>
          <w:rFonts w:eastAsia="Calibri" w:hint="eastAsia"/>
          <w:i/>
          <w:sz w:val="23"/>
          <w:szCs w:val="23"/>
          <w:rtl/>
        </w:rPr>
        <w:t>قرار</w:t>
      </w:r>
      <w:r w:rsidRPr="00FE433F">
        <w:rPr>
          <w:rFonts w:eastAsia="Calibri"/>
          <w:i/>
          <w:sz w:val="23"/>
          <w:szCs w:val="23"/>
          <w:rtl/>
        </w:rPr>
        <w:t xml:space="preserve"> </w:t>
      </w:r>
      <w:r w:rsidRPr="00FE433F">
        <w:rPr>
          <w:rFonts w:eastAsia="Calibri" w:hint="eastAsia"/>
          <w:i/>
          <w:sz w:val="23"/>
          <w:szCs w:val="23"/>
          <w:rtl/>
        </w:rPr>
        <w:t>دارد</w:t>
      </w:r>
      <w:r w:rsidRPr="00FE433F">
        <w:rPr>
          <w:rFonts w:eastAsia="Calibri" w:hint="cs"/>
          <w:i/>
          <w:sz w:val="23"/>
          <w:szCs w:val="23"/>
          <w:rtl/>
        </w:rPr>
        <w:t>، و</w:t>
      </w:r>
      <w:r w:rsidRPr="00FE433F">
        <w:rPr>
          <w:rFonts w:eastAsia="Calibri"/>
          <w:i/>
          <w:sz w:val="23"/>
          <w:szCs w:val="23"/>
          <w:rtl/>
        </w:rPr>
        <w:t xml:space="preserve"> </w:t>
      </w:r>
      <w:r w:rsidRPr="00FE433F">
        <w:rPr>
          <w:rFonts w:eastAsia="Calibri" w:hint="eastAsia"/>
          <w:i/>
          <w:sz w:val="23"/>
          <w:szCs w:val="23"/>
          <w:rtl/>
        </w:rPr>
        <w:t>مشمول</w:t>
      </w:r>
      <w:r w:rsidRPr="00FE433F">
        <w:rPr>
          <w:rFonts w:eastAsia="Calibri"/>
          <w:i/>
          <w:sz w:val="23"/>
          <w:szCs w:val="23"/>
          <w:rtl/>
        </w:rPr>
        <w:t xml:space="preserve"> </w:t>
      </w:r>
      <w:r w:rsidRPr="00FE433F">
        <w:rPr>
          <w:rFonts w:eastAsia="Calibri" w:hint="eastAsia"/>
          <w:i/>
          <w:sz w:val="23"/>
          <w:szCs w:val="23"/>
          <w:rtl/>
        </w:rPr>
        <w:t>تورم</w:t>
      </w:r>
      <w:r w:rsidRPr="00FE433F">
        <w:rPr>
          <w:rFonts w:eastAsia="Calibri"/>
          <w:i/>
          <w:sz w:val="23"/>
          <w:szCs w:val="23"/>
          <w:rtl/>
        </w:rPr>
        <w:t xml:space="preserve"> </w:t>
      </w:r>
      <w:r w:rsidRPr="00FE433F">
        <w:rPr>
          <w:rFonts w:eastAsia="Calibri" w:hint="eastAsia"/>
          <w:i/>
          <w:sz w:val="23"/>
          <w:szCs w:val="23"/>
          <w:rtl/>
        </w:rPr>
        <w:t>با</w:t>
      </w:r>
      <w:r w:rsidRPr="00FE433F">
        <w:rPr>
          <w:rFonts w:eastAsia="Calibri"/>
          <w:i/>
          <w:sz w:val="23"/>
          <w:szCs w:val="23"/>
          <w:rtl/>
        </w:rPr>
        <w:t xml:space="preserve"> </w:t>
      </w:r>
      <w:r w:rsidRPr="00FE433F">
        <w:rPr>
          <w:rFonts w:eastAsia="Calibri" w:hint="eastAsia"/>
          <w:i/>
          <w:sz w:val="23"/>
          <w:szCs w:val="23"/>
          <w:rtl/>
        </w:rPr>
        <w:t>توجه</w:t>
      </w:r>
      <w:r w:rsidRPr="00FE433F">
        <w:rPr>
          <w:rFonts w:eastAsia="Calibri"/>
          <w:i/>
          <w:sz w:val="23"/>
          <w:szCs w:val="23"/>
          <w:rtl/>
        </w:rPr>
        <w:t xml:space="preserve"> </w:t>
      </w:r>
      <w:r w:rsidRPr="00FE433F">
        <w:rPr>
          <w:rFonts w:eastAsia="Calibri" w:hint="eastAsia"/>
          <w:i/>
          <w:sz w:val="23"/>
          <w:szCs w:val="23"/>
          <w:rtl/>
        </w:rPr>
        <w:t>به</w:t>
      </w:r>
      <w:r w:rsidRPr="00FE433F">
        <w:rPr>
          <w:rFonts w:eastAsia="Calibri"/>
          <w:i/>
          <w:sz w:val="23"/>
          <w:szCs w:val="23"/>
          <w:rtl/>
        </w:rPr>
        <w:t xml:space="preserve"> </w:t>
      </w:r>
      <w:r w:rsidRPr="00FE433F">
        <w:rPr>
          <w:rFonts w:eastAsia="Calibri" w:hint="eastAsia"/>
          <w:i/>
          <w:sz w:val="23"/>
          <w:szCs w:val="23"/>
          <w:rtl/>
        </w:rPr>
        <w:t>تغ</w:t>
      </w:r>
      <w:r w:rsidRPr="00FE433F">
        <w:rPr>
          <w:rFonts w:eastAsia="Calibri" w:hint="cs"/>
          <w:i/>
          <w:sz w:val="23"/>
          <w:szCs w:val="23"/>
          <w:rtl/>
        </w:rPr>
        <w:t>یی</w:t>
      </w:r>
      <w:r w:rsidRPr="00FE433F">
        <w:rPr>
          <w:rFonts w:eastAsia="Calibri" w:hint="eastAsia"/>
          <w:i/>
          <w:sz w:val="23"/>
          <w:szCs w:val="23"/>
          <w:rtl/>
        </w:rPr>
        <w:t>ر</w:t>
      </w:r>
      <w:r w:rsidRPr="00FE433F">
        <w:rPr>
          <w:rFonts w:eastAsia="Calibri"/>
          <w:i/>
          <w:sz w:val="23"/>
          <w:szCs w:val="23"/>
          <w:rtl/>
        </w:rPr>
        <w:t xml:space="preserve"> سطح عموم</w:t>
      </w:r>
      <w:r w:rsidRPr="00FE433F">
        <w:rPr>
          <w:rFonts w:eastAsia="Calibri" w:hint="cs"/>
          <w:i/>
          <w:sz w:val="23"/>
          <w:szCs w:val="23"/>
          <w:rtl/>
        </w:rPr>
        <w:t>ی</w:t>
      </w:r>
      <w:r w:rsidRPr="00FE433F">
        <w:rPr>
          <w:rFonts w:eastAsia="Calibri"/>
          <w:i/>
          <w:sz w:val="23"/>
          <w:szCs w:val="23"/>
          <w:rtl/>
        </w:rPr>
        <w:t xml:space="preserve"> ق</w:t>
      </w:r>
      <w:r w:rsidRPr="00FE433F">
        <w:rPr>
          <w:rFonts w:eastAsia="Calibri" w:hint="cs"/>
          <w:i/>
          <w:sz w:val="23"/>
          <w:szCs w:val="23"/>
          <w:rtl/>
        </w:rPr>
        <w:t>ی</w:t>
      </w:r>
      <w:r w:rsidRPr="00FE433F">
        <w:rPr>
          <w:rFonts w:eastAsia="Calibri" w:hint="eastAsia"/>
          <w:i/>
          <w:sz w:val="23"/>
          <w:szCs w:val="23"/>
          <w:rtl/>
        </w:rPr>
        <w:t>مت</w:t>
      </w:r>
      <w:r w:rsidRPr="00FE433F">
        <w:rPr>
          <w:rFonts w:eastAsia="Calibri"/>
          <w:i/>
          <w:sz w:val="23"/>
          <w:szCs w:val="23"/>
        </w:rPr>
        <w:softHyphen/>
      </w:r>
      <w:r w:rsidRPr="00FE433F">
        <w:rPr>
          <w:rFonts w:eastAsia="Calibri"/>
          <w:i/>
          <w:sz w:val="23"/>
          <w:szCs w:val="23"/>
          <w:rtl/>
        </w:rPr>
        <w:t>ها</w:t>
      </w:r>
      <w:r w:rsidRPr="00FE433F">
        <w:rPr>
          <w:rFonts w:eastAsia="Calibri" w:hint="cs"/>
          <w:i/>
          <w:sz w:val="23"/>
          <w:szCs w:val="23"/>
          <w:rtl/>
        </w:rPr>
        <w:t>ست</w:t>
      </w:r>
      <w:r w:rsidRPr="00FE433F">
        <w:rPr>
          <w:rFonts w:eastAsia="Calibri"/>
          <w:i/>
          <w:sz w:val="23"/>
          <w:szCs w:val="23"/>
          <w:rtl/>
        </w:rPr>
        <w:t>. همچن</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فرض م</w:t>
      </w:r>
      <w:r w:rsidRPr="00FE433F">
        <w:rPr>
          <w:rFonts w:eastAsia="Calibri" w:hint="cs"/>
          <w:i/>
          <w:sz w:val="23"/>
          <w:szCs w:val="23"/>
          <w:rtl/>
        </w:rPr>
        <w:t>ی</w:t>
      </w:r>
      <w:r w:rsidRPr="00FE433F">
        <w:rPr>
          <w:rFonts w:eastAsia="Calibri"/>
          <w:i/>
          <w:sz w:val="23"/>
          <w:szCs w:val="23"/>
          <w:rtl/>
        </w:rPr>
        <w:softHyphen/>
        <w:t>کن</w:t>
      </w:r>
      <w:r w:rsidRPr="00FE433F">
        <w:rPr>
          <w:rFonts w:eastAsia="Calibri" w:hint="cs"/>
          <w:i/>
          <w:sz w:val="23"/>
          <w:szCs w:val="23"/>
          <w:rtl/>
        </w:rPr>
        <w:t>ی</w:t>
      </w:r>
      <w:r w:rsidRPr="00FE433F">
        <w:rPr>
          <w:rFonts w:eastAsia="Calibri" w:hint="eastAsia"/>
          <w:i/>
          <w:sz w:val="23"/>
          <w:szCs w:val="23"/>
          <w:rtl/>
        </w:rPr>
        <w:t>م</w:t>
      </w:r>
      <w:r w:rsidRPr="00FE433F">
        <w:rPr>
          <w:rFonts w:eastAsia="Calibri"/>
          <w:i/>
          <w:sz w:val="23"/>
          <w:szCs w:val="23"/>
          <w:rtl/>
        </w:rPr>
        <w:t xml:space="preserve"> تابع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خانوار </w:t>
      </w:r>
      <w:r w:rsidRPr="00FE433F">
        <w:rPr>
          <w:rFonts w:eastAsia="Calibri" w:hint="cs"/>
          <w:i/>
          <w:sz w:val="23"/>
          <w:szCs w:val="23"/>
          <w:rtl/>
        </w:rPr>
        <w:t>برابر</w:t>
      </w:r>
      <w:r w:rsidRPr="00FE433F">
        <w:rPr>
          <w:rFonts w:eastAsia="Calibri"/>
          <w:i/>
          <w:sz w:val="23"/>
          <w:szCs w:val="23"/>
          <w:rtl/>
        </w:rPr>
        <w:t xml:space="preserve"> است </w:t>
      </w:r>
      <w:r w:rsidRPr="00FE433F">
        <w:rPr>
          <w:rFonts w:eastAsia="Calibri" w:hint="cs"/>
          <w:i/>
          <w:sz w:val="23"/>
          <w:szCs w:val="23"/>
          <w:rtl/>
        </w:rPr>
        <w:t>با</w:t>
      </w:r>
      <w:r w:rsidRPr="00FE433F">
        <w:rPr>
          <w:position w:val="-12"/>
        </w:rPr>
        <w:object w:dxaOrig="1080" w:dyaOrig="360" w14:anchorId="182DBD9F">
          <v:shape id="_x0000_i4315" type="#_x0000_t75" style="width:54.45pt;height:18.15pt" o:ole="">
            <v:imagedata r:id="rId6623" o:title=""/>
          </v:shape>
          <o:OLEObject Type="Embed" ProgID="Equation.DSMT4" ShapeID="_x0000_i4315" DrawAspect="Content" ObjectID="_1791378259" r:id="rId6624"/>
        </w:object>
      </w:r>
      <w:r w:rsidRPr="00FE433F">
        <w:rPr>
          <w:rFonts w:hint="cs"/>
          <w:i/>
          <w:sz w:val="23"/>
          <w:szCs w:val="23"/>
          <w:rtl/>
        </w:rPr>
        <w:t>،</w:t>
      </w:r>
      <w:r w:rsidRPr="00FE433F">
        <w:rPr>
          <w:rFonts w:eastAsia="Calibri"/>
          <w:i/>
          <w:sz w:val="23"/>
          <w:szCs w:val="23"/>
          <w:rtl/>
        </w:rPr>
        <w:t xml:space="preserve"> که در آن</w:t>
      </w:r>
      <w:r w:rsidRPr="00FE433F">
        <w:rPr>
          <w:position w:val="-10"/>
        </w:rPr>
        <w:object w:dxaOrig="200" w:dyaOrig="320" w14:anchorId="2DD04718">
          <v:shape id="_x0000_i4316" type="#_x0000_t75" style="width:10.3pt;height:16.35pt" o:ole="">
            <v:imagedata r:id="rId6625" o:title=""/>
          </v:shape>
          <o:OLEObject Type="Embed" ProgID="Equation.DSMT4" ShapeID="_x0000_i4316" DrawAspect="Content" ObjectID="_1791378260" r:id="rId6626"/>
        </w:object>
      </w:r>
      <w:r w:rsidRPr="00FE433F">
        <w:rPr>
          <w:rFonts w:eastAsia="Calibri"/>
          <w:i/>
          <w:sz w:val="23"/>
          <w:szCs w:val="23"/>
          <w:rtl/>
        </w:rPr>
        <w:t xml:space="preserve"> مصرف،</w:t>
      </w:r>
      <w:r w:rsidRPr="00FE433F">
        <w:rPr>
          <w:position w:val="-10"/>
        </w:rPr>
        <w:object w:dxaOrig="859" w:dyaOrig="320" w14:anchorId="2A441E64">
          <v:shape id="_x0000_i4317" type="#_x0000_t75" style="width:42.95pt;height:16.35pt" o:ole="">
            <v:imagedata r:id="rId6627" o:title=""/>
          </v:shape>
          <o:OLEObject Type="Embed" ProgID="Equation.DSMT4" ShapeID="_x0000_i4317" DrawAspect="Content" ObjectID="_1791378261" r:id="rId6628"/>
        </w:object>
      </w:r>
      <w:r w:rsidRPr="00FE433F">
        <w:rPr>
          <w:rFonts w:eastAsia="Calibri"/>
          <w:i/>
          <w:sz w:val="23"/>
          <w:szCs w:val="23"/>
        </w:rPr>
        <w:t xml:space="preserve"> </w:t>
      </w:r>
      <w:r w:rsidRPr="00FE433F">
        <w:rPr>
          <w:rFonts w:eastAsia="Calibri"/>
          <w:i/>
          <w:sz w:val="23"/>
          <w:szCs w:val="23"/>
          <w:rtl/>
        </w:rPr>
        <w:t>فراغت،</w:t>
      </w:r>
      <w:r w:rsidRPr="00FE433F">
        <w:rPr>
          <w:rFonts w:eastAsia="Calibri" w:hint="cs"/>
          <w:i/>
          <w:sz w:val="23"/>
          <w:szCs w:val="23"/>
          <w:rtl/>
        </w:rPr>
        <w:t xml:space="preserve"> </w:t>
      </w:r>
      <w:r w:rsidRPr="00FE433F">
        <w:rPr>
          <w:position w:val="-10"/>
        </w:rPr>
        <w:object w:dxaOrig="240" w:dyaOrig="320" w14:anchorId="124E9E6C">
          <v:shape id="_x0000_i4318" type="#_x0000_t75" style="width:12.1pt;height:16.35pt" o:ole="">
            <v:imagedata r:id="rId6629" o:title=""/>
          </v:shape>
          <o:OLEObject Type="Embed" ProgID="Equation.DSMT4" ShapeID="_x0000_i4318" DrawAspect="Content" ObjectID="_1791378262" r:id="rId6630"/>
        </w:object>
      </w:r>
      <w:r w:rsidRPr="00FE433F">
        <w:rPr>
          <w:rFonts w:eastAsia="Calibri"/>
          <w:i/>
          <w:sz w:val="23"/>
          <w:szCs w:val="23"/>
        </w:rPr>
        <w:t xml:space="preserve"> </w:t>
      </w:r>
      <w:r w:rsidRPr="00FE433F">
        <w:rPr>
          <w:rFonts w:eastAsia="Calibri" w:hint="cs"/>
          <w:i/>
          <w:sz w:val="23"/>
          <w:szCs w:val="23"/>
          <w:rtl/>
        </w:rPr>
        <w:t xml:space="preserve"> ا</w:t>
      </w:r>
      <w:r w:rsidRPr="00FE433F">
        <w:rPr>
          <w:rFonts w:eastAsia="Calibri"/>
          <w:i/>
          <w:sz w:val="23"/>
          <w:szCs w:val="23"/>
          <w:rtl/>
        </w:rPr>
        <w:t>شتغال و</w:t>
      </w:r>
      <w:r w:rsidRPr="00FE433F">
        <w:rPr>
          <w:rFonts w:eastAsia="Calibri" w:hint="cs"/>
          <w:i/>
          <w:sz w:val="23"/>
          <w:szCs w:val="23"/>
          <w:rtl/>
        </w:rPr>
        <w:t xml:space="preserve"> </w:t>
      </w:r>
      <w:r w:rsidRPr="00FE433F">
        <w:rPr>
          <w:position w:val="-10"/>
        </w:rPr>
        <w:object w:dxaOrig="300" w:dyaOrig="320" w14:anchorId="6D2062A2">
          <v:shape id="_x0000_i4319" type="#_x0000_t75" style="width:15.15pt;height:16.35pt" o:ole="">
            <v:imagedata r:id="rId6631" o:title=""/>
          </v:shape>
          <o:OLEObject Type="Embed" ProgID="Equation.DSMT4" ShapeID="_x0000_i4319" DrawAspect="Content" ObjectID="_1791378263" r:id="rId6632"/>
        </w:object>
      </w:r>
      <w:r w:rsidRPr="00FE433F">
        <w:rPr>
          <w:rFonts w:eastAsia="Calibri"/>
          <w:i/>
          <w:sz w:val="23"/>
          <w:szCs w:val="23"/>
          <w:rtl/>
        </w:rPr>
        <w:t xml:space="preserve"> </w:t>
      </w:r>
      <w:r w:rsidRPr="00FE433F">
        <w:rPr>
          <w:rFonts w:eastAsia="Calibri" w:hint="cs"/>
          <w:i/>
          <w:sz w:val="23"/>
          <w:szCs w:val="23"/>
          <w:rtl/>
        </w:rPr>
        <w:t>موجودی پول</w:t>
      </w:r>
      <w:r w:rsidRPr="00FE433F">
        <w:rPr>
          <w:rFonts w:eastAsia="Calibri"/>
          <w:i/>
          <w:sz w:val="23"/>
          <w:szCs w:val="23"/>
          <w:rtl/>
        </w:rPr>
        <w:t xml:space="preserve"> </w:t>
      </w:r>
      <w:r w:rsidRPr="00FE433F">
        <w:rPr>
          <w:rFonts w:eastAsia="Calibri" w:hint="cs"/>
          <w:i/>
          <w:sz w:val="23"/>
          <w:szCs w:val="23"/>
          <w:rtl/>
        </w:rPr>
        <w:t xml:space="preserve">حقیقی </w:t>
      </w:r>
      <w:r w:rsidRPr="00FE433F">
        <w:rPr>
          <w:rFonts w:eastAsia="Calibri"/>
          <w:i/>
          <w:sz w:val="23"/>
          <w:szCs w:val="23"/>
          <w:rtl/>
        </w:rPr>
        <w:t>است. در ا</w:t>
      </w:r>
      <w:r w:rsidRPr="00FE433F">
        <w:rPr>
          <w:rFonts w:eastAsia="Calibri" w:hint="cs"/>
          <w:i/>
          <w:sz w:val="23"/>
          <w:szCs w:val="23"/>
          <w:rtl/>
        </w:rPr>
        <w:t>ی</w:t>
      </w:r>
      <w:r w:rsidRPr="00FE433F">
        <w:rPr>
          <w:rFonts w:eastAsia="Calibri" w:hint="eastAsia"/>
          <w:i/>
          <w:sz w:val="23"/>
          <w:szCs w:val="23"/>
          <w:rtl/>
        </w:rPr>
        <w:t>ن</w:t>
      </w:r>
      <w:r w:rsidRPr="00FE433F">
        <w:rPr>
          <w:i/>
          <w:sz w:val="23"/>
          <w:szCs w:val="23"/>
          <w:rtl/>
        </w:rPr>
        <w:softHyphen/>
      </w:r>
      <w:r w:rsidRPr="00FE433F">
        <w:rPr>
          <w:rFonts w:hint="cs"/>
          <w:i/>
          <w:sz w:val="23"/>
          <w:szCs w:val="23"/>
          <w:rtl/>
        </w:rPr>
        <w:t>جا،</w:t>
      </w:r>
      <w:r w:rsidRPr="00FE433F">
        <w:rPr>
          <w:rFonts w:eastAsia="Calibri"/>
          <w:i/>
          <w:sz w:val="23"/>
          <w:szCs w:val="23"/>
          <w:rtl/>
        </w:rPr>
        <w:t xml:space="preserve"> </w:t>
      </w:r>
      <w:r w:rsidRPr="00FE433F">
        <w:rPr>
          <w:rFonts w:eastAsia="Calibri" w:hint="eastAsia"/>
          <w:i/>
          <w:sz w:val="23"/>
          <w:szCs w:val="23"/>
          <w:rtl/>
        </w:rPr>
        <w:t>برا</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سهولت</w:t>
      </w:r>
      <w:r w:rsidRPr="00FE433F">
        <w:rPr>
          <w:rFonts w:eastAsia="Calibri"/>
          <w:i/>
          <w:sz w:val="23"/>
          <w:szCs w:val="23"/>
          <w:rtl/>
        </w:rPr>
        <w:t xml:space="preserve"> </w:t>
      </w:r>
      <w:r w:rsidRPr="00FE433F">
        <w:rPr>
          <w:position w:val="-10"/>
        </w:rPr>
        <w:object w:dxaOrig="1300" w:dyaOrig="320" w14:anchorId="0E74D30C">
          <v:shape id="_x0000_i4320" type="#_x0000_t75" style="width:64.75pt;height:16.35pt" o:ole="">
            <v:imagedata r:id="rId6633" o:title=""/>
          </v:shape>
          <o:OLEObject Type="Embed" ProgID="Equation.DSMT4" ShapeID="_x0000_i4320" DrawAspect="Content" ObjectID="_1791378264" r:id="rId6634"/>
        </w:object>
      </w:r>
      <w:r w:rsidRPr="00FE433F">
        <w:rPr>
          <w:rFonts w:eastAsia="Calibri"/>
          <w:i/>
          <w:sz w:val="23"/>
          <w:szCs w:val="23"/>
          <w:rtl/>
        </w:rPr>
        <w:t xml:space="preserve"> و </w:t>
      </w:r>
      <w:r w:rsidRPr="00FE433F">
        <w:rPr>
          <w:position w:val="-10"/>
        </w:rPr>
        <w:object w:dxaOrig="1500" w:dyaOrig="320" w14:anchorId="32D11FF1">
          <v:shape id="_x0000_i4321" type="#_x0000_t75" style="width:75.05pt;height:16.35pt" o:ole="">
            <v:imagedata r:id="rId6635" o:title=""/>
          </v:shape>
          <o:OLEObject Type="Embed" ProgID="Equation.DSMT4" ShapeID="_x0000_i4321" DrawAspect="Content" ObjectID="_1791378265" r:id="rId6636"/>
        </w:object>
      </w:r>
      <w:r w:rsidRPr="00FE433F">
        <w:rPr>
          <w:rFonts w:eastAsia="Calibri"/>
          <w:i/>
          <w:sz w:val="23"/>
          <w:szCs w:val="23"/>
        </w:rPr>
        <w:t xml:space="preserve"> </w:t>
      </w:r>
      <w:r w:rsidRPr="00FE433F">
        <w:rPr>
          <w:rFonts w:eastAsia="Calibri"/>
          <w:i/>
          <w:sz w:val="23"/>
          <w:szCs w:val="23"/>
          <w:rtl/>
        </w:rPr>
        <w:t>م</w:t>
      </w:r>
      <w:r w:rsidRPr="00FE433F">
        <w:rPr>
          <w:rFonts w:eastAsia="Calibri" w:hint="cs"/>
          <w:i/>
          <w:sz w:val="23"/>
          <w:szCs w:val="23"/>
          <w:rtl/>
        </w:rPr>
        <w:t>ی‌</w:t>
      </w:r>
      <w:r w:rsidRPr="00FE433F">
        <w:rPr>
          <w:rFonts w:eastAsia="Calibri"/>
          <w:i/>
          <w:sz w:val="23"/>
          <w:szCs w:val="23"/>
          <w:rtl/>
        </w:rPr>
        <w:t>باشد.</w:t>
      </w:r>
      <w:r w:rsidRPr="00FE433F">
        <w:rPr>
          <w:rFonts w:eastAsia="Calibri" w:hint="cs"/>
          <w:i/>
          <w:sz w:val="23"/>
          <w:szCs w:val="23"/>
          <w:rtl/>
        </w:rPr>
        <w:t xml:space="preserve"> همچنین</w:t>
      </w:r>
      <w:r w:rsidRPr="00FE433F">
        <w:rPr>
          <w:rFonts w:eastAsia="Calibri"/>
          <w:i/>
          <w:sz w:val="23"/>
          <w:szCs w:val="23"/>
          <w:rtl/>
        </w:rPr>
        <w:t xml:space="preserve"> خانوار به دنبال حاکثر کردن 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w:t>
      </w:r>
      <w:r w:rsidRPr="00FE433F">
        <w:rPr>
          <w:rFonts w:eastAsia="Calibri" w:hint="eastAsia"/>
          <w:i/>
          <w:sz w:val="23"/>
          <w:szCs w:val="23"/>
          <w:rtl/>
        </w:rPr>
        <w:t>تنز</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w:t>
      </w:r>
      <w:r w:rsidRPr="00FE433F">
        <w:rPr>
          <w:rFonts w:eastAsia="Calibri" w:hint="eastAsia"/>
          <w:i/>
          <w:sz w:val="23"/>
          <w:szCs w:val="23"/>
          <w:rtl/>
        </w:rPr>
        <w:t>شده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ب</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softHyphen/>
      </w:r>
      <w:r w:rsidRPr="00FE433F">
        <w:rPr>
          <w:i/>
          <w:sz w:val="23"/>
          <w:szCs w:val="23"/>
          <w:rtl/>
        </w:rPr>
        <w:t>دوره</w:t>
      </w:r>
      <w:r w:rsidRPr="00FE433F">
        <w:rPr>
          <w:rFonts w:hint="cs"/>
          <w:i/>
          <w:sz w:val="23"/>
          <w:szCs w:val="23"/>
          <w:rtl/>
        </w:rPr>
        <w:t>‌</w:t>
      </w:r>
      <w:r w:rsidRPr="00FE433F">
        <w:rPr>
          <w:i/>
          <w:sz w:val="23"/>
          <w:szCs w:val="23"/>
          <w:rtl/>
        </w:rPr>
        <w:t>ای</w:t>
      </w:r>
      <w:r w:rsidRPr="00FE433F">
        <w:rPr>
          <w:rFonts w:hint="cs"/>
          <w:i/>
          <w:sz w:val="23"/>
          <w:szCs w:val="23"/>
          <w:rtl/>
        </w:rPr>
        <w:t xml:space="preserve"> </w:t>
      </w:r>
      <w:r w:rsidRPr="00FE433F">
        <w:rPr>
          <w:rFonts w:eastAsia="Calibri"/>
          <w:i/>
          <w:sz w:val="23"/>
          <w:szCs w:val="23"/>
          <w:rtl/>
        </w:rPr>
        <w:t>نسبت به ق</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بودجه</w:t>
      </w:r>
      <w:r w:rsidRPr="00FE433F">
        <w:rPr>
          <w:rFonts w:eastAsia="Calibri"/>
          <w:i/>
          <w:sz w:val="23"/>
          <w:szCs w:val="23"/>
          <w:rtl/>
        </w:rPr>
        <w:softHyphen/>
      </w:r>
      <w:r w:rsidRPr="00FE433F">
        <w:rPr>
          <w:rFonts w:eastAsia="Calibri" w:hint="cs"/>
          <w:i/>
          <w:sz w:val="23"/>
          <w:szCs w:val="23"/>
          <w:rtl/>
        </w:rPr>
        <w:t>ی</w:t>
      </w:r>
      <w:r w:rsidRPr="00FE433F">
        <w:rPr>
          <w:rFonts w:eastAsia="Calibri"/>
          <w:i/>
          <w:sz w:val="23"/>
          <w:szCs w:val="23"/>
          <w:rtl/>
        </w:rPr>
        <w:t xml:space="preserve"> حق</w:t>
      </w:r>
      <w:r w:rsidRPr="00FE433F">
        <w:rPr>
          <w:rFonts w:eastAsia="Calibri" w:hint="cs"/>
          <w:i/>
          <w:sz w:val="23"/>
          <w:szCs w:val="23"/>
          <w:rtl/>
        </w:rPr>
        <w:t>ی</w:t>
      </w:r>
      <w:r w:rsidRPr="00FE433F">
        <w:rPr>
          <w:rFonts w:eastAsia="Calibri" w:hint="eastAsia"/>
          <w:i/>
          <w:sz w:val="23"/>
          <w:szCs w:val="23"/>
          <w:rtl/>
        </w:rPr>
        <w:t>ق</w:t>
      </w:r>
      <w:r w:rsidRPr="00FE433F">
        <w:rPr>
          <w:rFonts w:eastAsia="Calibri" w:hint="cs"/>
          <w:i/>
          <w:sz w:val="23"/>
          <w:szCs w:val="23"/>
          <w:rtl/>
        </w:rPr>
        <w:t>ی</w:t>
      </w:r>
      <w:r w:rsidRPr="00FE433F">
        <w:rPr>
          <w:i/>
          <w:sz w:val="23"/>
          <w:szCs w:val="23"/>
          <w:rtl/>
        </w:rPr>
        <w:t xml:space="preserve"> </w:t>
      </w:r>
      <w:r w:rsidRPr="00FE433F">
        <w:rPr>
          <w:rFonts w:hint="cs"/>
          <w:i/>
          <w:sz w:val="23"/>
          <w:szCs w:val="23"/>
          <w:rtl/>
        </w:rPr>
        <w:t>و</w:t>
      </w:r>
      <w:r w:rsidRPr="00FE433F">
        <w:rPr>
          <w:rFonts w:eastAsia="Calibri"/>
          <w:i/>
          <w:sz w:val="23"/>
          <w:szCs w:val="23"/>
          <w:rtl/>
        </w:rPr>
        <w:t xml:space="preserve"> بر حسب متغ</w:t>
      </w:r>
      <w:r w:rsidRPr="00FE433F">
        <w:rPr>
          <w:rFonts w:eastAsia="Calibri" w:hint="cs"/>
          <w:i/>
          <w:sz w:val="23"/>
          <w:szCs w:val="23"/>
          <w:rtl/>
        </w:rPr>
        <w:t>ی</w:t>
      </w:r>
      <w:r w:rsidRPr="00FE433F">
        <w:rPr>
          <w:rFonts w:eastAsia="Calibri" w:hint="eastAsia"/>
          <w:i/>
          <w:sz w:val="23"/>
          <w:szCs w:val="23"/>
          <w:rtl/>
        </w:rPr>
        <w:t>رها</w:t>
      </w:r>
      <w:r w:rsidRPr="00FE433F">
        <w:rPr>
          <w:rFonts w:eastAsia="Calibri" w:hint="cs"/>
          <w:i/>
          <w:sz w:val="23"/>
          <w:szCs w:val="23"/>
          <w:rtl/>
        </w:rPr>
        <w:t>ی</w:t>
      </w:r>
      <w:r w:rsidRPr="00FE433F">
        <w:rPr>
          <w:rFonts w:eastAsia="Calibri"/>
          <w:i/>
          <w:sz w:val="23"/>
          <w:szCs w:val="23"/>
          <w:rtl/>
        </w:rPr>
        <w:t xml:space="preserve"> </w:t>
      </w:r>
      <w:r w:rsidRPr="00FE433F">
        <w:rPr>
          <w:position w:val="-12"/>
        </w:rPr>
        <w:object w:dxaOrig="3519" w:dyaOrig="360" w14:anchorId="1BC33D51">
          <v:shape id="_x0000_i4322" type="#_x0000_t75" style="width:176.05pt;height:18.15pt" o:ole="">
            <v:imagedata r:id="rId6637" o:title=""/>
          </v:shape>
          <o:OLEObject Type="Embed" ProgID="Equation.DSMT4" ShapeID="_x0000_i4322" DrawAspect="Content" ObjectID="_1791378266" r:id="rId6638"/>
        </w:object>
      </w:r>
      <w:r w:rsidRPr="00FE433F">
        <w:rPr>
          <w:rFonts w:eastAsia="Calibri"/>
          <w:i/>
          <w:sz w:val="23"/>
          <w:szCs w:val="23"/>
        </w:rPr>
        <w:t xml:space="preserve"> </w:t>
      </w:r>
      <w:r w:rsidRPr="00FE433F">
        <w:rPr>
          <w:rFonts w:hint="cs"/>
          <w:i/>
          <w:sz w:val="23"/>
          <w:szCs w:val="23"/>
          <w:rtl/>
        </w:rPr>
        <w:t>است</w:t>
      </w:r>
      <w:r w:rsidRPr="00FE433F">
        <w:rPr>
          <w:rFonts w:eastAsia="Calibri"/>
          <w:i/>
          <w:sz w:val="23"/>
          <w:szCs w:val="23"/>
          <w:rtl/>
        </w:rPr>
        <w:t xml:space="preserve">. لذا </w:t>
      </w:r>
    </w:p>
    <w:p w14:paraId="5789F988"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6"/>
        </w:rPr>
        <w:object w:dxaOrig="3379" w:dyaOrig="620" w14:anchorId="2C13FAF5">
          <v:shape id="_x0000_i4323" type="#_x0000_t75" style="width:168.8pt;height:30.85pt" o:ole="">
            <v:imagedata r:id="rId6639" o:title=""/>
          </v:shape>
          <o:OLEObject Type="Embed" ProgID="Equation.DSMT4" ShapeID="_x0000_i4323" DrawAspect="Content" ObjectID="_1791378267" r:id="rId6640"/>
        </w:object>
      </w:r>
    </w:p>
    <w:p w14:paraId="6336C812"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2"/>
        </w:rPr>
        <w:object w:dxaOrig="4260" w:dyaOrig="360" w14:anchorId="158F5B21">
          <v:shape id="_x0000_i4324" type="#_x0000_t75" style="width:212.95pt;height:18.15pt" o:ole="">
            <v:imagedata r:id="rId6641" o:title=""/>
          </v:shape>
          <o:OLEObject Type="Embed" ProgID="Equation.DSMT4" ShapeID="_x0000_i4324" DrawAspect="Content" ObjectID="_1791378268" r:id="rId6642"/>
        </w:object>
      </w:r>
    </w:p>
    <w:p w14:paraId="47A6496F"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16"/>
        </w:rPr>
        <w:object w:dxaOrig="5760" w:dyaOrig="420" w14:anchorId="37A7B776">
          <v:shape id="_x0000_i4325" type="#_x0000_t75" style="width:4in;height:20.55pt" o:ole="">
            <v:imagedata r:id="rId6643" o:title=""/>
          </v:shape>
          <o:OLEObject Type="Embed" ProgID="Equation.DSMT4" ShapeID="_x0000_i4325" DrawAspect="Content" ObjectID="_1791378269" r:id="rId6644"/>
        </w:object>
      </w:r>
    </w:p>
    <w:p w14:paraId="515BFA92" w14:textId="77777777" w:rsidR="00411620" w:rsidRPr="00FE433F" w:rsidRDefault="00411620" w:rsidP="00411620">
      <w:pPr>
        <w:spacing w:line="216" w:lineRule="auto"/>
        <w:rPr>
          <w:i/>
          <w:sz w:val="23"/>
          <w:szCs w:val="23"/>
          <w:rtl/>
        </w:rPr>
      </w:pPr>
      <w:r w:rsidRPr="00FE433F">
        <w:rPr>
          <w:i/>
          <w:sz w:val="23"/>
          <w:szCs w:val="23"/>
          <w:rtl/>
        </w:rPr>
        <w:t>که در آن</w:t>
      </w:r>
      <w:r w:rsidRPr="00FE433F">
        <w:rPr>
          <w:rFonts w:hint="cs"/>
          <w:i/>
          <w:sz w:val="23"/>
          <w:szCs w:val="23"/>
          <w:rtl/>
        </w:rPr>
        <w:t xml:space="preserve"> </w:t>
      </w:r>
      <w:r w:rsidRPr="00FE433F">
        <w:rPr>
          <w:position w:val="-10"/>
        </w:rPr>
        <w:object w:dxaOrig="220" w:dyaOrig="320" w14:anchorId="383605BB">
          <v:shape id="_x0000_i4326" type="#_x0000_t75" style="width:10.9pt;height:16.35pt" o:ole="">
            <v:imagedata r:id="rId6645" o:title=""/>
          </v:shape>
          <o:OLEObject Type="Embed" ProgID="Equation.DSMT4" ShapeID="_x0000_i4326" DrawAspect="Content" ObjectID="_1791378270" r:id="rId6646"/>
        </w:object>
      </w:r>
      <w:r w:rsidRPr="00FE433F">
        <w:rPr>
          <w:i/>
          <w:sz w:val="23"/>
          <w:szCs w:val="23"/>
          <w:rtl/>
        </w:rPr>
        <w:t xml:space="preserve"> سرما</w:t>
      </w:r>
      <w:r w:rsidRPr="00FE433F">
        <w:rPr>
          <w:rFonts w:hint="cs"/>
          <w:i/>
          <w:sz w:val="23"/>
          <w:szCs w:val="23"/>
          <w:rtl/>
        </w:rPr>
        <w:t>ی</w:t>
      </w:r>
      <w:r w:rsidRPr="00FE433F">
        <w:rPr>
          <w:rFonts w:hint="eastAsia"/>
          <w:i/>
          <w:sz w:val="23"/>
          <w:szCs w:val="23"/>
          <w:rtl/>
        </w:rPr>
        <w:t>ه،</w:t>
      </w:r>
      <w:r w:rsidRPr="00FE433F">
        <w:rPr>
          <w:rFonts w:hint="cs"/>
          <w:i/>
          <w:sz w:val="23"/>
          <w:szCs w:val="23"/>
          <w:rtl/>
        </w:rPr>
        <w:t xml:space="preserve"> </w:t>
      </w:r>
      <w:r w:rsidRPr="00FE433F">
        <w:rPr>
          <w:position w:val="-10"/>
        </w:rPr>
        <w:object w:dxaOrig="220" w:dyaOrig="320" w14:anchorId="0B86A4F0">
          <v:shape id="_x0000_i4327" type="#_x0000_t75" style="width:10.9pt;height:16.35pt" o:ole="">
            <v:imagedata r:id="rId6647" o:title=""/>
          </v:shape>
          <o:OLEObject Type="Embed" ProgID="Equation.DSMT4" ShapeID="_x0000_i4327" DrawAspect="Content" ObjectID="_1791378271" r:id="rId6648"/>
        </w:object>
      </w:r>
      <w:r w:rsidRPr="00FE433F">
        <w:rPr>
          <w:i/>
          <w:sz w:val="23"/>
          <w:szCs w:val="23"/>
        </w:rPr>
        <w:t xml:space="preserve"> </w:t>
      </w:r>
      <w:r w:rsidRPr="00FE433F">
        <w:rPr>
          <w:i/>
          <w:sz w:val="23"/>
          <w:szCs w:val="23"/>
          <w:rtl/>
        </w:rPr>
        <w:t>بده</w:t>
      </w:r>
      <w:r w:rsidRPr="00FE433F">
        <w:rPr>
          <w:rFonts w:hint="cs"/>
          <w:i/>
          <w:sz w:val="23"/>
          <w:szCs w:val="23"/>
          <w:rtl/>
        </w:rPr>
        <w:t>ی</w:t>
      </w:r>
      <w:r w:rsidRPr="00FE433F">
        <w:rPr>
          <w:i/>
          <w:sz w:val="23"/>
          <w:szCs w:val="23"/>
          <w:rtl/>
        </w:rPr>
        <w:t xml:space="preserve"> دولت،</w:t>
      </w:r>
      <w:r w:rsidRPr="00FE433F">
        <w:rPr>
          <w:position w:val="-10"/>
        </w:rPr>
        <w:object w:dxaOrig="260" w:dyaOrig="320" w14:anchorId="47724209">
          <v:shape id="_x0000_i4328" type="#_x0000_t75" style="width:13.3pt;height:16.35pt" o:ole="">
            <v:imagedata r:id="rId6649" o:title=""/>
          </v:shape>
          <o:OLEObject Type="Embed" ProgID="Equation.DSMT4" ShapeID="_x0000_i4328" DrawAspect="Content" ObjectID="_1791378272" r:id="rId6650"/>
        </w:object>
      </w:r>
      <w:r w:rsidRPr="00FE433F">
        <w:rPr>
          <w:i/>
          <w:sz w:val="23"/>
          <w:szCs w:val="23"/>
        </w:rPr>
        <w:t xml:space="preserve"> </w:t>
      </w:r>
      <w:r w:rsidRPr="00FE433F">
        <w:rPr>
          <w:i/>
          <w:sz w:val="23"/>
          <w:szCs w:val="23"/>
          <w:rtl/>
        </w:rPr>
        <w:t>متوسط نرخ دستمزد 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rFonts w:hint="eastAsia"/>
          <w:i/>
          <w:sz w:val="23"/>
          <w:szCs w:val="23"/>
          <w:rtl/>
        </w:rPr>
        <w:t>،</w:t>
      </w:r>
      <w:r w:rsidRPr="00FE433F">
        <w:rPr>
          <w:position w:val="-10"/>
        </w:rPr>
        <w:object w:dxaOrig="320" w:dyaOrig="340" w14:anchorId="055C2B9D">
          <v:shape id="_x0000_i4329" type="#_x0000_t75" style="width:16.35pt;height:16.95pt" o:ole="">
            <v:imagedata r:id="rId6651" o:title=""/>
          </v:shape>
          <o:OLEObject Type="Embed" ProgID="Equation.DSMT4" ShapeID="_x0000_i4329" DrawAspect="Content" ObjectID="_1791378273" r:id="rId6652"/>
        </w:object>
      </w:r>
      <w:r w:rsidRPr="00FE433F">
        <w:rPr>
          <w:i/>
          <w:sz w:val="23"/>
          <w:szCs w:val="23"/>
          <w:rtl/>
        </w:rPr>
        <w:t xml:space="preserve"> نرخ بازده</w:t>
      </w:r>
      <w:r w:rsidRPr="00FE433F">
        <w:rPr>
          <w:rFonts w:hint="cs"/>
          <w:i/>
          <w:sz w:val="23"/>
          <w:szCs w:val="23"/>
          <w:rtl/>
        </w:rPr>
        <w:t>ی</w:t>
      </w:r>
      <w:r w:rsidRPr="00FE433F">
        <w:rPr>
          <w:i/>
          <w:sz w:val="23"/>
          <w:szCs w:val="23"/>
          <w:rtl/>
        </w:rPr>
        <w:t xml:space="preserve"> اسم</w:t>
      </w:r>
      <w:r w:rsidRPr="00FE433F">
        <w:rPr>
          <w:rFonts w:hint="cs"/>
          <w:i/>
          <w:sz w:val="23"/>
          <w:szCs w:val="23"/>
          <w:rtl/>
        </w:rPr>
        <w:t>ی</w:t>
      </w:r>
      <w:r w:rsidRPr="00FE433F">
        <w:rPr>
          <w:i/>
          <w:sz w:val="23"/>
          <w:szCs w:val="23"/>
          <w:rtl/>
        </w:rPr>
        <w:t xml:space="preserve"> سرما</w:t>
      </w:r>
      <w:r w:rsidRPr="00FE433F">
        <w:rPr>
          <w:rFonts w:hint="cs"/>
          <w:i/>
          <w:sz w:val="23"/>
          <w:szCs w:val="23"/>
          <w:rtl/>
        </w:rPr>
        <w:t>ی</w:t>
      </w:r>
      <w:r w:rsidRPr="00FE433F">
        <w:rPr>
          <w:rFonts w:hint="eastAsia"/>
          <w:i/>
          <w:sz w:val="23"/>
          <w:szCs w:val="23"/>
          <w:rtl/>
        </w:rPr>
        <w:t>ه</w:t>
      </w:r>
      <w:r w:rsidRPr="00FE433F">
        <w:rPr>
          <w:i/>
          <w:sz w:val="23"/>
          <w:szCs w:val="23"/>
          <w:rtl/>
        </w:rPr>
        <w:t xml:space="preserve"> و</w:t>
      </w:r>
      <w:r w:rsidRPr="00FE433F">
        <w:rPr>
          <w:position w:val="-10"/>
        </w:rPr>
        <w:object w:dxaOrig="300" w:dyaOrig="340" w14:anchorId="3C01DF6E">
          <v:shape id="_x0000_i4330" type="#_x0000_t75" style="width:15.15pt;height:16.95pt" o:ole="">
            <v:imagedata r:id="rId6653" o:title=""/>
          </v:shape>
          <o:OLEObject Type="Embed" ProgID="Equation.DSMT4" ShapeID="_x0000_i4330" DrawAspect="Content" ObjectID="_1791378274" r:id="rId6654"/>
        </w:object>
      </w:r>
      <w:r w:rsidRPr="00FE433F">
        <w:rPr>
          <w:i/>
          <w:sz w:val="23"/>
          <w:szCs w:val="23"/>
          <w:rtl/>
        </w:rPr>
        <w:t xml:space="preserve"> نرخ بازده</w:t>
      </w:r>
      <w:r w:rsidRPr="00FE433F">
        <w:rPr>
          <w:rFonts w:hint="cs"/>
          <w:i/>
          <w:sz w:val="23"/>
          <w:szCs w:val="23"/>
          <w:rtl/>
        </w:rPr>
        <w:t>ی</w:t>
      </w:r>
      <w:r w:rsidRPr="00FE433F">
        <w:rPr>
          <w:i/>
          <w:sz w:val="23"/>
          <w:szCs w:val="23"/>
          <w:rtl/>
        </w:rPr>
        <w:t xml:space="preserve"> اسم</w:t>
      </w:r>
      <w:r w:rsidRPr="00FE433F">
        <w:rPr>
          <w:rFonts w:hint="cs"/>
          <w:i/>
          <w:sz w:val="23"/>
          <w:szCs w:val="23"/>
          <w:rtl/>
        </w:rPr>
        <w:t>ی</w:t>
      </w:r>
      <w:r w:rsidRPr="00FE433F">
        <w:rPr>
          <w:i/>
          <w:sz w:val="23"/>
          <w:szCs w:val="23"/>
          <w:rtl/>
        </w:rPr>
        <w:t xml:space="preserve"> بده</w:t>
      </w:r>
      <w:r w:rsidRPr="00FE433F">
        <w:rPr>
          <w:rFonts w:hint="cs"/>
          <w:i/>
          <w:sz w:val="23"/>
          <w:szCs w:val="23"/>
          <w:rtl/>
        </w:rPr>
        <w:t>ی</w:t>
      </w:r>
      <w:r w:rsidRPr="00FE433F">
        <w:rPr>
          <w:i/>
          <w:sz w:val="23"/>
          <w:szCs w:val="23"/>
          <w:rtl/>
        </w:rPr>
        <w:t xml:space="preserve"> دولت است. همچن</w:t>
      </w:r>
      <w:r w:rsidRPr="00FE433F">
        <w:rPr>
          <w:rFonts w:hint="cs"/>
          <w:i/>
          <w:sz w:val="23"/>
          <w:szCs w:val="23"/>
          <w:rtl/>
        </w:rPr>
        <w:t>ی</w:t>
      </w:r>
      <w:r w:rsidRPr="00FE433F">
        <w:rPr>
          <w:rFonts w:hint="eastAsia"/>
          <w:i/>
          <w:sz w:val="23"/>
          <w:szCs w:val="23"/>
          <w:rtl/>
        </w:rPr>
        <w:t>ن</w:t>
      </w:r>
      <w:r w:rsidRPr="00FE433F">
        <w:rPr>
          <w:i/>
          <w:sz w:val="23"/>
          <w:szCs w:val="23"/>
          <w:rtl/>
        </w:rPr>
        <w:t xml:space="preserve"> دو نوع مال</w:t>
      </w:r>
      <w:r w:rsidRPr="00FE433F">
        <w:rPr>
          <w:rFonts w:hint="cs"/>
          <w:i/>
          <w:sz w:val="23"/>
          <w:szCs w:val="23"/>
          <w:rtl/>
        </w:rPr>
        <w:t>ی</w:t>
      </w:r>
      <w:r w:rsidRPr="00FE433F">
        <w:rPr>
          <w:rFonts w:hint="eastAsia"/>
          <w:i/>
          <w:sz w:val="23"/>
          <w:szCs w:val="23"/>
          <w:rtl/>
        </w:rPr>
        <w:t>ات</w:t>
      </w:r>
      <w:r w:rsidRPr="00FE433F">
        <w:rPr>
          <w:i/>
          <w:sz w:val="23"/>
          <w:szCs w:val="23"/>
          <w:rtl/>
        </w:rPr>
        <w:t xml:space="preserve"> ن</w:t>
      </w:r>
      <w:r w:rsidRPr="00FE433F">
        <w:rPr>
          <w:rFonts w:hint="cs"/>
          <w:i/>
          <w:sz w:val="23"/>
          <w:szCs w:val="23"/>
          <w:rtl/>
        </w:rPr>
        <w:t>ی</w:t>
      </w:r>
      <w:r w:rsidRPr="00FE433F">
        <w:rPr>
          <w:rFonts w:hint="eastAsia"/>
          <w:i/>
          <w:sz w:val="23"/>
          <w:szCs w:val="23"/>
          <w:rtl/>
        </w:rPr>
        <w:t>رو</w:t>
      </w:r>
      <w:r w:rsidRPr="00FE433F">
        <w:rPr>
          <w:rFonts w:hint="cs"/>
          <w:i/>
          <w:sz w:val="23"/>
          <w:szCs w:val="23"/>
          <w:rtl/>
        </w:rPr>
        <w:t>ی</w:t>
      </w:r>
      <w:r w:rsidRPr="00FE433F">
        <w:rPr>
          <w:i/>
          <w:sz w:val="23"/>
          <w:szCs w:val="23"/>
          <w:rtl/>
        </w:rPr>
        <w:t xml:space="preserve"> کار</w:t>
      </w:r>
      <w:r w:rsidRPr="00FE433F">
        <w:rPr>
          <w:position w:val="-10"/>
        </w:rPr>
        <w:object w:dxaOrig="220" w:dyaOrig="320" w14:anchorId="2EE55E0C">
          <v:shape id="_x0000_i4331" type="#_x0000_t75" style="width:10.9pt;height:16.35pt" o:ole="">
            <v:imagedata r:id="rId6655" o:title=""/>
          </v:shape>
          <o:OLEObject Type="Embed" ProgID="Equation.DSMT4" ShapeID="_x0000_i4331" DrawAspect="Content" ObjectID="_1791378275" r:id="rId6656"/>
        </w:object>
      </w:r>
      <w:r w:rsidRPr="00FE433F">
        <w:rPr>
          <w:i/>
          <w:sz w:val="23"/>
          <w:szCs w:val="23"/>
          <w:rtl/>
        </w:rPr>
        <w:t xml:space="preserve"> و مال</w:t>
      </w:r>
      <w:r w:rsidRPr="00FE433F">
        <w:rPr>
          <w:rFonts w:hint="cs"/>
          <w:i/>
          <w:sz w:val="23"/>
          <w:szCs w:val="23"/>
          <w:rtl/>
        </w:rPr>
        <w:t>ی</w:t>
      </w:r>
      <w:r w:rsidRPr="00FE433F">
        <w:rPr>
          <w:rFonts w:hint="eastAsia"/>
          <w:i/>
          <w:sz w:val="23"/>
          <w:szCs w:val="23"/>
          <w:rtl/>
        </w:rPr>
        <w:t>ات</w:t>
      </w:r>
      <w:r w:rsidRPr="00FE433F">
        <w:rPr>
          <w:i/>
          <w:sz w:val="23"/>
          <w:szCs w:val="23"/>
          <w:rtl/>
        </w:rPr>
        <w:t xml:space="preserve"> </w:t>
      </w:r>
      <w:r w:rsidRPr="00FE433F">
        <w:rPr>
          <w:rFonts w:hint="eastAsia"/>
          <w:i/>
          <w:sz w:val="23"/>
          <w:szCs w:val="23"/>
          <w:rtl/>
        </w:rPr>
        <w:t>حق</w:t>
      </w:r>
      <w:r w:rsidRPr="00FE433F">
        <w:rPr>
          <w:i/>
          <w:sz w:val="23"/>
          <w:szCs w:val="23"/>
          <w:rtl/>
        </w:rPr>
        <w:softHyphen/>
        <w:t>الضرب</w:t>
      </w:r>
      <w:r w:rsidRPr="00FE433F">
        <w:rPr>
          <w:position w:val="-10"/>
        </w:rPr>
        <w:object w:dxaOrig="600" w:dyaOrig="320" w14:anchorId="3055B918">
          <v:shape id="_x0000_i4332" type="#_x0000_t75" style="width:29.65pt;height:16.35pt" o:ole="">
            <v:imagedata r:id="rId6657" o:title=""/>
          </v:shape>
          <o:OLEObject Type="Embed" ProgID="Equation.DSMT4" ShapeID="_x0000_i4332" DrawAspect="Content" ObjectID="_1791378276" r:id="rId6658"/>
        </w:object>
      </w:r>
      <w:r w:rsidRPr="00FE433F">
        <w:rPr>
          <w:i/>
          <w:sz w:val="23"/>
          <w:szCs w:val="23"/>
          <w:rtl/>
        </w:rPr>
        <w:t xml:space="preserve"> وجود دارد. لاگرانژ</w:t>
      </w:r>
      <w:r w:rsidRPr="00FE433F">
        <w:rPr>
          <w:rFonts w:hint="cs"/>
          <w:i/>
          <w:sz w:val="23"/>
          <w:szCs w:val="23"/>
          <w:rtl/>
        </w:rPr>
        <w:t>ی</w:t>
      </w:r>
      <w:r w:rsidRPr="00FE433F">
        <w:rPr>
          <w:rFonts w:hint="eastAsia"/>
          <w:i/>
          <w:sz w:val="23"/>
          <w:szCs w:val="23"/>
          <w:rtl/>
        </w:rPr>
        <w:t>ن</w:t>
      </w:r>
      <w:r w:rsidRPr="00FE433F">
        <w:rPr>
          <w:i/>
          <w:sz w:val="23"/>
          <w:szCs w:val="23"/>
          <w:rtl/>
        </w:rPr>
        <w:t xml:space="preserve"> ا</w:t>
      </w:r>
      <w:r w:rsidRPr="00FE433F">
        <w:rPr>
          <w:rFonts w:hint="cs"/>
          <w:i/>
          <w:sz w:val="23"/>
          <w:szCs w:val="23"/>
          <w:rtl/>
        </w:rPr>
        <w:t>ی</w:t>
      </w:r>
      <w:r w:rsidRPr="00FE433F">
        <w:rPr>
          <w:rFonts w:hint="eastAsia"/>
          <w:i/>
          <w:sz w:val="23"/>
          <w:szCs w:val="23"/>
          <w:rtl/>
        </w:rPr>
        <w:t>ن</w:t>
      </w:r>
      <w:r w:rsidRPr="00FE433F">
        <w:rPr>
          <w:i/>
          <w:sz w:val="23"/>
          <w:szCs w:val="23"/>
          <w:rtl/>
        </w:rPr>
        <w:t xml:space="preserve"> مسئله را م</w:t>
      </w:r>
      <w:r w:rsidRPr="00FE433F">
        <w:rPr>
          <w:rFonts w:hint="cs"/>
          <w:i/>
          <w:sz w:val="23"/>
          <w:szCs w:val="23"/>
          <w:rtl/>
        </w:rPr>
        <w:t>ی‌</w:t>
      </w:r>
      <w:r w:rsidRPr="00FE433F">
        <w:rPr>
          <w:i/>
          <w:sz w:val="23"/>
          <w:szCs w:val="23"/>
          <w:rtl/>
        </w:rPr>
        <w:t>توان به صورت ز</w:t>
      </w:r>
      <w:r w:rsidRPr="00FE433F">
        <w:rPr>
          <w:rFonts w:hint="cs"/>
          <w:i/>
          <w:sz w:val="23"/>
          <w:szCs w:val="23"/>
          <w:rtl/>
        </w:rPr>
        <w:t>ی</w:t>
      </w:r>
      <w:r w:rsidRPr="00FE433F">
        <w:rPr>
          <w:rFonts w:hint="eastAsia"/>
          <w:i/>
          <w:sz w:val="23"/>
          <w:szCs w:val="23"/>
          <w:rtl/>
        </w:rPr>
        <w:t>ر</w:t>
      </w:r>
      <w:r w:rsidRPr="00FE433F">
        <w:rPr>
          <w:i/>
          <w:sz w:val="23"/>
          <w:szCs w:val="23"/>
          <w:rtl/>
        </w:rPr>
        <w:t xml:space="preserve"> </w:t>
      </w:r>
      <w:r w:rsidRPr="00FE433F">
        <w:rPr>
          <w:rFonts w:hint="eastAsia"/>
          <w:i/>
          <w:sz w:val="23"/>
          <w:szCs w:val="23"/>
          <w:rtl/>
        </w:rPr>
        <w:t>نوشت،</w:t>
      </w:r>
    </w:p>
    <w:p w14:paraId="50A8854F"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56"/>
        </w:rPr>
        <w:object w:dxaOrig="5640" w:dyaOrig="1219" w14:anchorId="63AA932D">
          <v:shape id="_x0000_i4333" type="#_x0000_t75" style="width:281.95pt;height:61.1pt" o:ole="">
            <v:imagedata r:id="rId6659" o:title=""/>
          </v:shape>
          <o:OLEObject Type="Embed" ProgID="Equation.DSMT4" ShapeID="_x0000_i4333" DrawAspect="Content" ObjectID="_1791378277" r:id="rId6660"/>
        </w:object>
      </w:r>
    </w:p>
    <w:p w14:paraId="6C0F1278" w14:textId="77777777" w:rsidR="00411620" w:rsidRPr="00FE433F" w:rsidRDefault="00411620" w:rsidP="00411620">
      <w:pPr>
        <w:spacing w:line="216" w:lineRule="auto"/>
        <w:rPr>
          <w:rFonts w:eastAsia="Calibri"/>
          <w:i/>
          <w:sz w:val="23"/>
          <w:szCs w:val="23"/>
          <w:rtl/>
        </w:rPr>
      </w:pPr>
      <w:r w:rsidRPr="00FE433F">
        <w:rPr>
          <w:rFonts w:eastAsia="Calibri" w:hint="cs"/>
          <w:i/>
          <w:sz w:val="23"/>
          <w:szCs w:val="23"/>
          <w:rtl/>
        </w:rPr>
        <w:t xml:space="preserve">و </w:t>
      </w:r>
      <w:r w:rsidRPr="00FE433F">
        <w:rPr>
          <w:rFonts w:eastAsia="Calibri"/>
          <w:i/>
          <w:sz w:val="23"/>
          <w:szCs w:val="23"/>
          <w:rtl/>
        </w:rPr>
        <w:t>شرا</w:t>
      </w:r>
      <w:r w:rsidRPr="00FE433F">
        <w:rPr>
          <w:rFonts w:eastAsia="Calibri" w:hint="cs"/>
          <w:i/>
          <w:sz w:val="23"/>
          <w:szCs w:val="23"/>
          <w:rtl/>
        </w:rPr>
        <w:t>ی</w:t>
      </w:r>
      <w:r w:rsidRPr="00FE433F">
        <w:rPr>
          <w:rFonts w:eastAsia="Calibri" w:hint="eastAsia"/>
          <w:i/>
          <w:sz w:val="23"/>
          <w:szCs w:val="23"/>
          <w:rtl/>
        </w:rPr>
        <w:t>ط</w:t>
      </w:r>
      <w:r w:rsidRPr="00FE433F">
        <w:rPr>
          <w:rFonts w:eastAsia="Calibri"/>
          <w:i/>
          <w:sz w:val="23"/>
          <w:szCs w:val="23"/>
          <w:rtl/>
        </w:rPr>
        <w:t xml:space="preserve"> </w:t>
      </w:r>
      <w:r w:rsidRPr="00FE433F">
        <w:rPr>
          <w:rFonts w:eastAsia="Calibri" w:hint="eastAsia"/>
          <w:i/>
          <w:sz w:val="23"/>
          <w:szCs w:val="23"/>
          <w:rtl/>
        </w:rPr>
        <w:t>مرتبه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اول عبارتند از؛</w:t>
      </w:r>
    </w:p>
    <w:p w14:paraId="19447F94"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5040" w:dyaOrig="620" w14:anchorId="21DD0DCD">
          <v:shape id="_x0000_i4334" type="#_x0000_t75" style="width:252.3pt;height:30.85pt" o:ole="">
            <v:imagedata r:id="rId6661" o:title=""/>
          </v:shape>
          <o:OLEObject Type="Embed" ProgID="Equation.DSMT4" ShapeID="_x0000_i4334" DrawAspect="Content" ObjectID="_1791378278" r:id="rId6662"/>
        </w:object>
      </w:r>
    </w:p>
    <w:p w14:paraId="73DF1F83"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5020" w:dyaOrig="620" w14:anchorId="38672CE4">
          <v:shape id="_x0000_i4335" type="#_x0000_t75" style="width:251.1pt;height:30.85pt" o:ole="">
            <v:imagedata r:id="rId6663" o:title=""/>
          </v:shape>
          <o:OLEObject Type="Embed" ProgID="Equation.DSMT4" ShapeID="_x0000_i4335" DrawAspect="Content" ObjectID="_1791378279" r:id="rId6664"/>
        </w:object>
      </w:r>
    </w:p>
    <w:p w14:paraId="51C8E11F"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5000" w:dyaOrig="620" w14:anchorId="6932023D">
          <v:shape id="_x0000_i4336" type="#_x0000_t75" style="width:249.9pt;height:30.85pt" o:ole="">
            <v:imagedata r:id="rId6665" o:title=""/>
          </v:shape>
          <o:OLEObject Type="Embed" ProgID="Equation.DSMT4" ShapeID="_x0000_i4336" DrawAspect="Content" ObjectID="_1791378280" r:id="rId6666"/>
        </w:object>
      </w:r>
    </w:p>
    <w:p w14:paraId="227137E8"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5000" w:dyaOrig="620" w14:anchorId="3E8CCF14">
          <v:shape id="_x0000_i4337" type="#_x0000_t75" style="width:249.9pt;height:30.85pt" o:ole="">
            <v:imagedata r:id="rId6667" o:title=""/>
          </v:shape>
          <o:OLEObject Type="Embed" ProgID="Equation.DSMT4" ShapeID="_x0000_i4337" DrawAspect="Content" ObjectID="_1791378281" r:id="rId6668"/>
        </w:object>
      </w:r>
    </w:p>
    <w:p w14:paraId="6C7A8A5B" w14:textId="77777777" w:rsidR="00411620" w:rsidRPr="00FE433F" w:rsidRDefault="00411620" w:rsidP="00411620">
      <w:pPr>
        <w:pStyle w:val="MTDisplayEquation"/>
        <w:spacing w:line="216" w:lineRule="auto"/>
        <w:rPr>
          <w:rFonts w:ascii="Times New Roman" w:eastAsia="Times New Roman" w:hAnsi="Times New Roman" w:cs="B Nazanin"/>
          <w:i/>
          <w:sz w:val="23"/>
          <w:szCs w:val="23"/>
          <w:lang w:bidi="fa-IR"/>
        </w:rPr>
      </w:pPr>
      <w:r w:rsidRPr="00FE433F">
        <w:rPr>
          <w:position w:val="-28"/>
        </w:rPr>
        <w:object w:dxaOrig="5040" w:dyaOrig="620" w14:anchorId="3AF101D7">
          <v:shape id="_x0000_i4338" type="#_x0000_t75" style="width:252.3pt;height:30.85pt" o:ole="">
            <v:imagedata r:id="rId6669" o:title=""/>
          </v:shape>
          <o:OLEObject Type="Embed" ProgID="Equation.DSMT4" ShapeID="_x0000_i4338" DrawAspect="Content" ObjectID="_1791378282" r:id="rId6670"/>
        </w:object>
      </w:r>
    </w:p>
    <w:p w14:paraId="341AC569" w14:textId="77777777" w:rsidR="00411620" w:rsidRPr="00FE433F" w:rsidRDefault="00411620" w:rsidP="00411620">
      <w:pPr>
        <w:spacing w:line="216" w:lineRule="auto"/>
        <w:rPr>
          <w:rFonts w:eastAsia="Calibri"/>
          <w:i/>
          <w:sz w:val="23"/>
          <w:szCs w:val="23"/>
          <w:rtl/>
        </w:rPr>
      </w:pPr>
      <w:r w:rsidRPr="00FE433F">
        <w:rPr>
          <w:rFonts w:eastAsia="Calibri"/>
          <w:i/>
          <w:sz w:val="23"/>
          <w:szCs w:val="23"/>
          <w:rtl/>
        </w:rPr>
        <w:t>از شرا</w:t>
      </w:r>
      <w:r w:rsidRPr="00FE433F">
        <w:rPr>
          <w:rFonts w:eastAsia="Calibri" w:hint="cs"/>
          <w:i/>
          <w:sz w:val="23"/>
          <w:szCs w:val="23"/>
          <w:rtl/>
        </w:rPr>
        <w:t>ی</w:t>
      </w:r>
      <w:r w:rsidRPr="00FE433F">
        <w:rPr>
          <w:rFonts w:eastAsia="Calibri" w:hint="eastAsia"/>
          <w:i/>
          <w:sz w:val="23"/>
          <w:szCs w:val="23"/>
          <w:rtl/>
        </w:rPr>
        <w:t>ط</w:t>
      </w:r>
      <w:r w:rsidRPr="00FE433F">
        <w:rPr>
          <w:rFonts w:eastAsia="Calibri"/>
          <w:i/>
          <w:sz w:val="23"/>
          <w:szCs w:val="23"/>
          <w:rtl/>
        </w:rPr>
        <w:t xml:space="preserve"> </w:t>
      </w:r>
      <w:r w:rsidRPr="00FE433F">
        <w:rPr>
          <w:rFonts w:eastAsia="Calibri" w:hint="eastAsia"/>
          <w:i/>
          <w:sz w:val="23"/>
          <w:szCs w:val="23"/>
          <w:rtl/>
        </w:rPr>
        <w:t>مرتبه</w:t>
      </w:r>
      <w:r w:rsidRPr="00FE433F">
        <w:rPr>
          <w:rFonts w:eastAsia="Calibri"/>
          <w:i/>
          <w:sz w:val="23"/>
          <w:szCs w:val="23"/>
          <w:rtl/>
        </w:rPr>
        <w:t xml:space="preserve"> </w:t>
      </w:r>
      <w:r w:rsidRPr="00FE433F">
        <w:rPr>
          <w:rFonts w:eastAsia="Calibri" w:hint="eastAsia"/>
          <w:i/>
          <w:sz w:val="23"/>
          <w:szCs w:val="23"/>
          <w:rtl/>
        </w:rPr>
        <w:t>اول</w:t>
      </w:r>
      <w:r w:rsidRPr="00FE433F">
        <w:rPr>
          <w:rFonts w:eastAsia="Calibri"/>
          <w:i/>
          <w:sz w:val="23"/>
          <w:szCs w:val="23"/>
          <w:rtl/>
        </w:rPr>
        <w:t xml:space="preserve"> </w:t>
      </w:r>
      <w:r w:rsidRPr="00FE433F">
        <w:rPr>
          <w:rFonts w:eastAsia="Calibri" w:hint="eastAsia"/>
          <w:i/>
          <w:sz w:val="23"/>
          <w:szCs w:val="23"/>
          <w:rtl/>
        </w:rPr>
        <w:t>مصرف</w:t>
      </w:r>
      <w:r w:rsidRPr="00FE433F">
        <w:rPr>
          <w:rFonts w:eastAsia="Calibri"/>
          <w:i/>
          <w:sz w:val="23"/>
          <w:szCs w:val="23"/>
          <w:rtl/>
        </w:rPr>
        <w:t xml:space="preserve"> </w:t>
      </w:r>
      <w:r w:rsidRPr="00FE433F">
        <w:rPr>
          <w:rFonts w:eastAsia="Calibri" w:hint="eastAsia"/>
          <w:i/>
          <w:sz w:val="23"/>
          <w:szCs w:val="23"/>
          <w:rtl/>
        </w:rPr>
        <w:t>و</w:t>
      </w:r>
      <w:r w:rsidRPr="00FE433F">
        <w:rPr>
          <w:rFonts w:eastAsia="Calibri"/>
          <w:i/>
          <w:sz w:val="23"/>
          <w:szCs w:val="23"/>
          <w:rtl/>
        </w:rPr>
        <w:t xml:space="preserve"> </w:t>
      </w:r>
      <w:r w:rsidRPr="00FE433F">
        <w:rPr>
          <w:rFonts w:eastAsia="Calibri" w:hint="eastAsia"/>
          <w:i/>
          <w:sz w:val="23"/>
          <w:szCs w:val="23"/>
          <w:rtl/>
        </w:rPr>
        <w:t>فراغت</w:t>
      </w:r>
      <w:r w:rsidRPr="00FE433F">
        <w:rPr>
          <w:rFonts w:eastAsia="Calibri"/>
          <w:i/>
          <w:sz w:val="23"/>
          <w:szCs w:val="23"/>
          <w:rtl/>
        </w:rPr>
        <w:t xml:space="preserve"> </w:t>
      </w:r>
      <w:r w:rsidRPr="00FE433F">
        <w:rPr>
          <w:rFonts w:eastAsia="Calibri" w:hint="eastAsia"/>
          <w:i/>
          <w:sz w:val="23"/>
          <w:szCs w:val="23"/>
          <w:rtl/>
        </w:rPr>
        <w:t>دار</w:t>
      </w:r>
      <w:r w:rsidRPr="00FE433F">
        <w:rPr>
          <w:rFonts w:eastAsia="Calibri" w:hint="cs"/>
          <w:i/>
          <w:sz w:val="23"/>
          <w:szCs w:val="23"/>
          <w:rtl/>
        </w:rPr>
        <w:t>یم</w:t>
      </w:r>
    </w:p>
    <w:p w14:paraId="02142CD5" w14:textId="77777777" w:rsidR="00411620" w:rsidRPr="00FE433F" w:rsidRDefault="00411620" w:rsidP="00411620">
      <w:pPr>
        <w:bidi w:val="0"/>
        <w:spacing w:line="216" w:lineRule="auto"/>
        <w:rPr>
          <w:rFonts w:eastAsia="Calibri"/>
          <w:i/>
          <w:sz w:val="23"/>
          <w:szCs w:val="23"/>
          <w:rtl/>
        </w:rPr>
      </w:pPr>
      <w:r w:rsidRPr="00FE433F">
        <w:rPr>
          <w:position w:val="-30"/>
        </w:rPr>
        <w:object w:dxaOrig="1460" w:dyaOrig="680" w14:anchorId="4AE06B33">
          <v:shape id="_x0000_i4339" type="#_x0000_t75" style="width:73.2pt;height:33.9pt" o:ole="">
            <v:imagedata r:id="rId6671" o:title=""/>
          </v:shape>
          <o:OLEObject Type="Embed" ProgID="Equation.DSMT4" ShapeID="_x0000_i4339" DrawAspect="Content" ObjectID="_1791378283" r:id="rId6672"/>
        </w:object>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Pr>
          <w:i/>
          <w:sz w:val="23"/>
          <w:szCs w:val="23"/>
          <w:rtl/>
        </w:rPr>
        <w:tab/>
      </w:r>
      <w:r w:rsidRPr="00FE433F">
        <w:rPr>
          <w:i/>
          <w:sz w:val="23"/>
          <w:szCs w:val="23"/>
          <w:rtl/>
        </w:rPr>
        <w:tab/>
      </w:r>
      <w:r w:rsidRPr="00FE433F">
        <w:rPr>
          <w:i/>
          <w:sz w:val="23"/>
          <w:szCs w:val="23"/>
        </w:rPr>
        <w:tab/>
      </w:r>
      <w:r w:rsidRPr="00FE433F">
        <w:rPr>
          <w:i/>
          <w:sz w:val="23"/>
          <w:szCs w:val="23"/>
          <w:rtl/>
        </w:rPr>
        <w:tab/>
      </w:r>
      <w:r w:rsidRPr="00FE433F">
        <w:rPr>
          <w:i/>
          <w:sz w:val="23"/>
          <w:szCs w:val="23"/>
          <w:rtl/>
        </w:rPr>
        <w:tab/>
      </w:r>
      <w:r w:rsidRPr="00FE433F">
        <w:rPr>
          <w:i/>
          <w:sz w:val="23"/>
          <w:szCs w:val="23"/>
        </w:rPr>
        <w:tab/>
      </w:r>
      <w:r w:rsidRPr="00FE433F">
        <w:rPr>
          <w:i/>
          <w:sz w:val="23"/>
          <w:szCs w:val="23"/>
          <w:rtl/>
        </w:rPr>
        <w:tab/>
        <w:t xml:space="preserve">(۸. </w:t>
      </w:r>
      <w:r w:rsidRPr="00FE433F">
        <w:rPr>
          <w:rFonts w:hint="cs"/>
          <w:i/>
          <w:sz w:val="23"/>
          <w:szCs w:val="23"/>
          <w:rtl/>
        </w:rPr>
        <w:t>۲۹</w:t>
      </w:r>
      <w:r w:rsidRPr="00FE433F">
        <w:rPr>
          <w:i/>
          <w:sz w:val="23"/>
          <w:szCs w:val="23"/>
          <w:rtl/>
        </w:rPr>
        <w:t>)</w:t>
      </w:r>
    </w:p>
    <w:p w14:paraId="5B089921" w14:textId="77777777" w:rsidR="00411620" w:rsidRPr="00FE433F" w:rsidRDefault="00411620" w:rsidP="00411620">
      <w:pPr>
        <w:spacing w:line="216" w:lineRule="auto"/>
        <w:rPr>
          <w:i/>
          <w:sz w:val="23"/>
          <w:szCs w:val="23"/>
          <w:rtl/>
        </w:rPr>
      </w:pPr>
      <w:r w:rsidRPr="00FE433F">
        <w:rPr>
          <w:rFonts w:hint="eastAsia"/>
          <w:i/>
          <w:sz w:val="23"/>
          <w:szCs w:val="23"/>
          <w:rtl/>
        </w:rPr>
        <w:t>بنابرا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مال</w:t>
      </w:r>
      <w:r w:rsidRPr="00FE433F">
        <w:rPr>
          <w:rFonts w:hint="cs"/>
          <w:i/>
          <w:sz w:val="23"/>
          <w:szCs w:val="23"/>
          <w:rtl/>
        </w:rPr>
        <w:t>ی</w:t>
      </w:r>
      <w:r w:rsidRPr="00FE433F">
        <w:rPr>
          <w:rFonts w:hint="eastAsia"/>
          <w:i/>
          <w:sz w:val="23"/>
          <w:szCs w:val="23"/>
          <w:rtl/>
        </w:rPr>
        <w:t>ات</w:t>
      </w:r>
      <w:r w:rsidRPr="00FE433F">
        <w:rPr>
          <w:i/>
          <w:sz w:val="23"/>
          <w:szCs w:val="23"/>
          <w:rtl/>
        </w:rPr>
        <w:softHyphen/>
        <w:t xml:space="preserve"> </w:t>
      </w:r>
      <w:r w:rsidRPr="00FE433F">
        <w:rPr>
          <w:rFonts w:hint="eastAsia"/>
          <w:i/>
          <w:sz w:val="23"/>
          <w:szCs w:val="23"/>
          <w:rtl/>
        </w:rPr>
        <w:t>بر</w:t>
      </w:r>
      <w:r w:rsidRPr="00FE433F">
        <w:rPr>
          <w:i/>
          <w:sz w:val="23"/>
          <w:szCs w:val="23"/>
          <w:rtl/>
        </w:rPr>
        <w:t xml:space="preserve"> </w:t>
      </w:r>
      <w:r w:rsidRPr="00FE433F">
        <w:rPr>
          <w:rFonts w:hint="eastAsia"/>
          <w:i/>
          <w:sz w:val="23"/>
          <w:szCs w:val="23"/>
          <w:rtl/>
        </w:rPr>
        <w:t>ن</w:t>
      </w:r>
      <w:r w:rsidRPr="00FE433F">
        <w:rPr>
          <w:rFonts w:hint="cs"/>
          <w:i/>
          <w:sz w:val="23"/>
          <w:szCs w:val="23"/>
          <w:rtl/>
        </w:rPr>
        <w:t>ی</w:t>
      </w:r>
      <w:r w:rsidRPr="00FE433F">
        <w:rPr>
          <w:rFonts w:hint="eastAsia"/>
          <w:i/>
          <w:sz w:val="23"/>
          <w:szCs w:val="23"/>
          <w:rtl/>
        </w:rPr>
        <w:t>رو</w:t>
      </w:r>
      <w:r w:rsidRPr="00FE433F">
        <w:rPr>
          <w:rFonts w:hint="cs"/>
          <w:i/>
          <w:sz w:val="23"/>
          <w:szCs w:val="23"/>
          <w:rtl/>
        </w:rPr>
        <w:t>ی</w:t>
      </w:r>
      <w:r w:rsidRPr="00FE433F">
        <w:rPr>
          <w:i/>
          <w:sz w:val="23"/>
          <w:szCs w:val="23"/>
          <w:rtl/>
        </w:rPr>
        <w:t xml:space="preserve"> </w:t>
      </w:r>
      <w:r w:rsidRPr="00FE433F">
        <w:rPr>
          <w:rFonts w:hint="eastAsia"/>
          <w:i/>
          <w:sz w:val="23"/>
          <w:szCs w:val="23"/>
          <w:rtl/>
        </w:rPr>
        <w:t>کار</w:t>
      </w:r>
      <w:r w:rsidRPr="00FE433F">
        <w:rPr>
          <w:i/>
          <w:sz w:val="23"/>
          <w:szCs w:val="23"/>
          <w:rtl/>
        </w:rPr>
        <w:t xml:space="preserve"> </w:t>
      </w:r>
      <w:r w:rsidRPr="00FE433F">
        <w:rPr>
          <w:rFonts w:hint="cs"/>
          <w:i/>
          <w:sz w:val="23"/>
          <w:szCs w:val="23"/>
          <w:rtl/>
        </w:rPr>
        <w:t xml:space="preserve">شکافی بین </w:t>
      </w:r>
      <w:r w:rsidRPr="00FE433F">
        <w:rPr>
          <w:rFonts w:hint="eastAsia"/>
          <w:i/>
          <w:sz w:val="23"/>
          <w:szCs w:val="23"/>
          <w:rtl/>
        </w:rPr>
        <w:t>نسبت</w:t>
      </w:r>
      <w:r w:rsidRPr="00FE433F">
        <w:rPr>
          <w:i/>
          <w:sz w:val="23"/>
          <w:szCs w:val="23"/>
          <w:rtl/>
        </w:rPr>
        <w:t xml:space="preserve"> </w:t>
      </w:r>
      <w:r w:rsidRPr="00FE433F">
        <w:rPr>
          <w:rFonts w:hint="eastAsia"/>
          <w:i/>
          <w:sz w:val="23"/>
          <w:szCs w:val="23"/>
          <w:rtl/>
        </w:rPr>
        <w:t>مطلوب</w:t>
      </w:r>
      <w:r w:rsidRPr="00FE433F">
        <w:rPr>
          <w:rFonts w:hint="cs"/>
          <w:i/>
          <w:sz w:val="23"/>
          <w:szCs w:val="23"/>
          <w:rtl/>
        </w:rPr>
        <w:t>ی</w:t>
      </w:r>
      <w:r w:rsidRPr="00FE433F">
        <w:rPr>
          <w:rFonts w:hint="eastAsia"/>
          <w:i/>
          <w:sz w:val="23"/>
          <w:szCs w:val="23"/>
          <w:rtl/>
        </w:rPr>
        <w:t>ت</w:t>
      </w:r>
      <w:r w:rsidRPr="00FE433F">
        <w:rPr>
          <w:i/>
          <w:sz w:val="23"/>
          <w:szCs w:val="23"/>
          <w:rtl/>
        </w:rPr>
        <w:softHyphen/>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نها</w:t>
      </w:r>
      <w:r w:rsidRPr="00FE433F">
        <w:rPr>
          <w:rFonts w:hint="cs"/>
          <w:i/>
          <w:sz w:val="23"/>
          <w:szCs w:val="23"/>
          <w:rtl/>
        </w:rPr>
        <w:t>یی</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نرخ</w:t>
      </w:r>
      <w:r w:rsidRPr="00FE433F">
        <w:rPr>
          <w:i/>
          <w:sz w:val="23"/>
          <w:szCs w:val="23"/>
          <w:rtl/>
        </w:rPr>
        <w:t xml:space="preserve"> </w:t>
      </w:r>
      <w:r w:rsidRPr="00FE433F">
        <w:rPr>
          <w:rFonts w:hint="eastAsia"/>
          <w:i/>
          <w:sz w:val="23"/>
          <w:szCs w:val="23"/>
          <w:rtl/>
        </w:rPr>
        <w:t>دستمزد</w:t>
      </w:r>
      <w:r w:rsidRPr="00FE433F">
        <w:rPr>
          <w:rFonts w:hint="cs"/>
          <w:i/>
          <w:sz w:val="23"/>
          <w:szCs w:val="23"/>
          <w:rtl/>
        </w:rPr>
        <w:t xml:space="preserve"> ایجاد می</w:t>
      </w:r>
      <w:r w:rsidRPr="00FE433F">
        <w:rPr>
          <w:i/>
          <w:sz w:val="23"/>
          <w:szCs w:val="23"/>
          <w:rtl/>
        </w:rPr>
        <w:softHyphen/>
      </w:r>
      <w:r w:rsidRPr="00FE433F">
        <w:rPr>
          <w:rFonts w:hint="cs"/>
          <w:i/>
          <w:sz w:val="23"/>
          <w:szCs w:val="23"/>
          <w:rtl/>
        </w:rPr>
        <w:t>کند</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شرا</w:t>
      </w:r>
      <w:r w:rsidRPr="00FE433F">
        <w:rPr>
          <w:rFonts w:hint="cs"/>
          <w:i/>
          <w:sz w:val="23"/>
          <w:szCs w:val="23"/>
          <w:rtl/>
        </w:rPr>
        <w:t>یط</w:t>
      </w:r>
      <w:r w:rsidRPr="00FE433F">
        <w:rPr>
          <w:i/>
          <w:sz w:val="23"/>
          <w:szCs w:val="23"/>
          <w:rtl/>
        </w:rPr>
        <w:t xml:space="preserve"> </w:t>
      </w:r>
      <w:r w:rsidRPr="00FE433F">
        <w:rPr>
          <w:rFonts w:hint="eastAsia"/>
          <w:i/>
          <w:sz w:val="23"/>
          <w:szCs w:val="23"/>
          <w:rtl/>
        </w:rPr>
        <w:t>مرتبه</w:t>
      </w:r>
      <w:r w:rsidRPr="00FE433F">
        <w:rPr>
          <w:i/>
          <w:sz w:val="23"/>
          <w:szCs w:val="23"/>
          <w:rtl/>
        </w:rPr>
        <w:t xml:space="preserve"> </w:t>
      </w:r>
      <w:r w:rsidRPr="00FE433F">
        <w:rPr>
          <w:rFonts w:hint="eastAsia"/>
          <w:i/>
          <w:sz w:val="23"/>
          <w:szCs w:val="23"/>
          <w:rtl/>
        </w:rPr>
        <w:t>اول</w:t>
      </w:r>
      <w:r w:rsidRPr="00FE433F">
        <w:rPr>
          <w:i/>
          <w:sz w:val="23"/>
          <w:szCs w:val="23"/>
          <w:rtl/>
        </w:rPr>
        <w:t xml:space="preserve"> </w:t>
      </w:r>
      <w:r w:rsidRPr="00FE433F">
        <w:rPr>
          <w:rFonts w:hint="eastAsia"/>
          <w:i/>
          <w:sz w:val="23"/>
          <w:szCs w:val="23"/>
          <w:rtl/>
        </w:rPr>
        <w:t>سرما</w:t>
      </w:r>
      <w:r w:rsidRPr="00FE433F">
        <w:rPr>
          <w:rFonts w:hint="cs"/>
          <w:i/>
          <w:sz w:val="23"/>
          <w:szCs w:val="23"/>
          <w:rtl/>
        </w:rPr>
        <w:t>ی</w:t>
      </w:r>
      <w:r w:rsidRPr="00FE433F">
        <w:rPr>
          <w:rFonts w:hint="eastAsia"/>
          <w:i/>
          <w:sz w:val="23"/>
          <w:szCs w:val="23"/>
          <w:rtl/>
        </w:rPr>
        <w:t>ه</w:t>
      </w:r>
      <w:r w:rsidRPr="00FE433F">
        <w:rPr>
          <w:i/>
          <w:sz w:val="23"/>
          <w:szCs w:val="23"/>
          <w:rtl/>
        </w:rPr>
        <w:t xml:space="preserve"> </w:t>
      </w:r>
      <w:r w:rsidRPr="00FE433F">
        <w:rPr>
          <w:rFonts w:hint="cs"/>
          <w:i/>
          <w:sz w:val="23"/>
          <w:szCs w:val="23"/>
          <w:rtl/>
        </w:rPr>
        <w:t>و</w:t>
      </w:r>
      <w:r w:rsidRPr="00FE433F">
        <w:rPr>
          <w:i/>
          <w:sz w:val="23"/>
          <w:szCs w:val="23"/>
          <w:rtl/>
        </w:rPr>
        <w:t xml:space="preserve"> </w:t>
      </w:r>
      <w:r w:rsidRPr="00FE433F">
        <w:rPr>
          <w:rFonts w:hint="eastAsia"/>
          <w:i/>
          <w:sz w:val="23"/>
          <w:szCs w:val="23"/>
          <w:rtl/>
        </w:rPr>
        <w:t>اوراق</w:t>
      </w:r>
      <w:r w:rsidRPr="00FE433F">
        <w:rPr>
          <w:i/>
          <w:sz w:val="23"/>
          <w:szCs w:val="23"/>
          <w:rtl/>
        </w:rPr>
        <w:t xml:space="preserve"> </w:t>
      </w:r>
      <w:r w:rsidRPr="00FE433F">
        <w:rPr>
          <w:rFonts w:hint="eastAsia"/>
          <w:i/>
          <w:sz w:val="23"/>
          <w:szCs w:val="23"/>
          <w:rtl/>
        </w:rPr>
        <w:t>قرضه</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توان</w:t>
      </w:r>
      <w:r w:rsidRPr="00FE433F">
        <w:rPr>
          <w:i/>
          <w:sz w:val="23"/>
          <w:szCs w:val="23"/>
          <w:rtl/>
        </w:rPr>
        <w:t xml:space="preserve"> </w:t>
      </w:r>
      <w:r w:rsidRPr="00FE433F">
        <w:rPr>
          <w:rFonts w:hint="eastAsia"/>
          <w:i/>
          <w:sz w:val="23"/>
          <w:szCs w:val="23"/>
          <w:rtl/>
        </w:rPr>
        <w:t>نشان</w:t>
      </w:r>
      <w:r w:rsidRPr="00FE433F">
        <w:rPr>
          <w:i/>
          <w:sz w:val="23"/>
          <w:szCs w:val="23"/>
          <w:rtl/>
        </w:rPr>
        <w:t xml:space="preserve"> </w:t>
      </w:r>
      <w:r w:rsidRPr="00FE433F">
        <w:rPr>
          <w:rFonts w:hint="eastAsia"/>
          <w:i/>
          <w:sz w:val="23"/>
          <w:szCs w:val="23"/>
          <w:rtl/>
        </w:rPr>
        <w:t>داد</w:t>
      </w:r>
      <w:r w:rsidRPr="00FE433F">
        <w:rPr>
          <w:i/>
          <w:sz w:val="23"/>
          <w:szCs w:val="23"/>
          <w:rtl/>
        </w:rPr>
        <w:t xml:space="preserve"> </w:t>
      </w:r>
      <w:r w:rsidRPr="00FE433F">
        <w:rPr>
          <w:rFonts w:hint="eastAsia"/>
          <w:i/>
          <w:sz w:val="23"/>
          <w:szCs w:val="23"/>
          <w:rtl/>
        </w:rPr>
        <w:t>که</w:t>
      </w:r>
    </w:p>
    <w:p w14:paraId="73E77834" w14:textId="77777777" w:rsidR="00411620" w:rsidRPr="00FE433F" w:rsidRDefault="00411620" w:rsidP="00411620">
      <w:pPr>
        <w:bidi w:val="0"/>
        <w:spacing w:line="216" w:lineRule="auto"/>
        <w:jc w:val="left"/>
        <w:rPr>
          <w:i/>
          <w:sz w:val="23"/>
          <w:szCs w:val="23"/>
        </w:rPr>
      </w:pPr>
      <w:r w:rsidRPr="00FE433F">
        <w:rPr>
          <w:position w:val="-28"/>
        </w:rPr>
        <w:object w:dxaOrig="2320" w:dyaOrig="660" w14:anchorId="1E7D520E">
          <v:shape id="_x0000_i4340" type="#_x0000_t75" style="width:116.15pt;height:32.65pt" o:ole="">
            <v:imagedata r:id="rId6673" o:title=""/>
          </v:shape>
          <o:OLEObject Type="Embed" ProgID="Equation.DSMT4" ShapeID="_x0000_i4340" DrawAspect="Content" ObjectID="_1791378284" r:id="rId6674"/>
        </w:object>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Pr>
        <w:tab/>
      </w:r>
      <w:r w:rsidRPr="00FE433F">
        <w:rPr>
          <w:i/>
          <w:sz w:val="23"/>
          <w:szCs w:val="23"/>
        </w:rPr>
        <w:tab/>
      </w:r>
      <w:r w:rsidRPr="00FE433F">
        <w:rPr>
          <w:i/>
          <w:sz w:val="23"/>
          <w:szCs w:val="23"/>
        </w:rPr>
        <w:tab/>
      </w:r>
      <w:r w:rsidRPr="00FE433F">
        <w:rPr>
          <w:i/>
          <w:sz w:val="23"/>
          <w:szCs w:val="23"/>
        </w:rPr>
        <w:tab/>
      </w:r>
      <w:r>
        <w:rPr>
          <w:i/>
          <w:sz w:val="23"/>
          <w:szCs w:val="23"/>
          <w:rtl/>
        </w:rPr>
        <w:tab/>
      </w:r>
      <w:r w:rsidRPr="00FE433F">
        <w:rPr>
          <w:i/>
          <w:sz w:val="23"/>
          <w:szCs w:val="23"/>
        </w:rPr>
        <w:tab/>
      </w:r>
      <w:r w:rsidRPr="00FE433F">
        <w:rPr>
          <w:rFonts w:hint="cs"/>
          <w:i/>
          <w:sz w:val="23"/>
          <w:szCs w:val="23"/>
          <w:rtl/>
        </w:rPr>
        <w:t xml:space="preserve"> </w:t>
      </w:r>
      <w:r w:rsidRPr="00FE433F">
        <w:rPr>
          <w:rFonts w:hint="cs"/>
          <w:i/>
          <w:sz w:val="23"/>
          <w:szCs w:val="23"/>
          <w:rtl/>
        </w:rPr>
        <w:tab/>
      </w:r>
      <w:r w:rsidRPr="00FE433F">
        <w:rPr>
          <w:i/>
          <w:sz w:val="23"/>
          <w:szCs w:val="23"/>
        </w:rPr>
        <w:tab/>
      </w:r>
      <w:r w:rsidRPr="00FE433F">
        <w:rPr>
          <w:rFonts w:hint="cs"/>
          <w:i/>
          <w:sz w:val="23"/>
          <w:szCs w:val="23"/>
          <w:rtl/>
        </w:rPr>
        <w:t xml:space="preserve">     </w:t>
      </w:r>
      <w:r w:rsidRPr="00FE433F">
        <w:rPr>
          <w:i/>
          <w:sz w:val="23"/>
          <w:szCs w:val="23"/>
          <w:rtl/>
        </w:rPr>
        <w:tab/>
      </w:r>
      <w:r w:rsidRPr="00FE433F">
        <w:rPr>
          <w:rFonts w:hint="cs"/>
          <w:i/>
          <w:sz w:val="23"/>
          <w:szCs w:val="23"/>
          <w:rtl/>
        </w:rPr>
        <w:t>(۸. ۳۰)</w:t>
      </w:r>
      <w:r w:rsidRPr="00FE433F">
        <w:rPr>
          <w:position w:val="-28"/>
        </w:rPr>
        <w:object w:dxaOrig="2340" w:dyaOrig="660" w14:anchorId="48C1A459">
          <v:shape id="_x0000_i4341" type="#_x0000_t75" style="width:117.4pt;height:32.65pt" o:ole="">
            <v:imagedata r:id="rId6675" o:title=""/>
          </v:shape>
          <o:OLEObject Type="Embed" ProgID="Equation.DSMT4" ShapeID="_x0000_i4341" DrawAspect="Content" ObjectID="_1791378285" r:id="rId6676"/>
        </w:object>
      </w:r>
      <w:r w:rsidRPr="00FE433F">
        <w:rPr>
          <w:i/>
          <w:sz w:val="23"/>
          <w:szCs w:val="23"/>
          <w:rtl/>
        </w:rPr>
        <w:tab/>
      </w:r>
      <w:r w:rsidRPr="00FE433F">
        <w:rPr>
          <w:i/>
          <w:sz w:val="23"/>
          <w:szCs w:val="23"/>
        </w:rPr>
        <w:tab/>
      </w:r>
      <w:r w:rsidRPr="00FE433F">
        <w:rPr>
          <w:i/>
          <w:sz w:val="23"/>
          <w:szCs w:val="23"/>
        </w:rPr>
        <w:tab/>
      </w:r>
      <w:r w:rsidRPr="00FE433F">
        <w:rPr>
          <w:i/>
          <w:sz w:val="23"/>
          <w:szCs w:val="23"/>
        </w:rPr>
        <w:tab/>
      </w:r>
      <w:r w:rsidRPr="00FE433F">
        <w:rPr>
          <w:i/>
          <w:sz w:val="23"/>
          <w:szCs w:val="23"/>
        </w:rPr>
        <w:tab/>
      </w:r>
      <w:r w:rsidRPr="00FE433F">
        <w:rPr>
          <w:i/>
          <w:sz w:val="23"/>
          <w:szCs w:val="23"/>
        </w:rPr>
        <w:tab/>
      </w:r>
      <w:r w:rsidRPr="00FE433F">
        <w:rPr>
          <w:i/>
          <w:sz w:val="23"/>
          <w:szCs w:val="23"/>
        </w:rPr>
        <w:tab/>
      </w:r>
      <w:r w:rsidRPr="00FE433F">
        <w:rPr>
          <w:i/>
          <w:sz w:val="23"/>
          <w:szCs w:val="23"/>
        </w:rPr>
        <w:tab/>
      </w:r>
      <w:r w:rsidRPr="00FE433F">
        <w:rPr>
          <w:i/>
          <w:sz w:val="23"/>
          <w:szCs w:val="23"/>
        </w:rPr>
        <w:tab/>
      </w:r>
      <w:r>
        <w:rPr>
          <w:i/>
          <w:sz w:val="23"/>
          <w:szCs w:val="23"/>
          <w:rtl/>
        </w:rPr>
        <w:tab/>
      </w:r>
      <w:r w:rsidRPr="00FE433F">
        <w:rPr>
          <w:i/>
          <w:sz w:val="23"/>
          <w:szCs w:val="23"/>
        </w:rPr>
        <w:tab/>
      </w:r>
      <w:r w:rsidRPr="00FE433F">
        <w:rPr>
          <w:i/>
          <w:sz w:val="23"/>
          <w:szCs w:val="23"/>
        </w:rPr>
        <w:tab/>
      </w:r>
      <w:r w:rsidRPr="00FE433F">
        <w:rPr>
          <w:rFonts w:hint="cs"/>
          <w:i/>
          <w:sz w:val="23"/>
          <w:szCs w:val="23"/>
          <w:rtl/>
        </w:rPr>
        <w:t xml:space="preserve">(۸. ۳۱)     </w:t>
      </w:r>
    </w:p>
    <w:p w14:paraId="11FB6558" w14:textId="77777777" w:rsidR="00411620" w:rsidRPr="00FE433F" w:rsidRDefault="00411620" w:rsidP="00411620">
      <w:pPr>
        <w:spacing w:line="216" w:lineRule="auto"/>
        <w:rPr>
          <w:i/>
          <w:sz w:val="23"/>
          <w:szCs w:val="23"/>
          <w:rtl/>
        </w:rPr>
      </w:pPr>
      <w:r w:rsidRPr="00FE433F">
        <w:rPr>
          <w:rFonts w:hint="eastAsia"/>
          <w:i/>
          <w:sz w:val="23"/>
          <w:szCs w:val="23"/>
          <w:rtl/>
        </w:rPr>
        <w:t>که</w:t>
      </w:r>
      <w:r w:rsidRPr="00FE433F">
        <w:rPr>
          <w:i/>
          <w:sz w:val="23"/>
          <w:szCs w:val="23"/>
          <w:rtl/>
        </w:rPr>
        <w:t xml:space="preserve"> </w:t>
      </w:r>
      <w:r w:rsidRPr="00FE433F">
        <w:rPr>
          <w:rFonts w:hint="eastAsia"/>
          <w:i/>
          <w:sz w:val="23"/>
          <w:szCs w:val="23"/>
          <w:rtl/>
        </w:rPr>
        <w:t>نشان</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i/>
          <w:sz w:val="23"/>
          <w:szCs w:val="23"/>
          <w:rtl/>
        </w:rPr>
        <w:softHyphen/>
      </w:r>
      <w:r w:rsidRPr="00FE433F">
        <w:rPr>
          <w:rFonts w:hint="eastAsia"/>
          <w:i/>
          <w:sz w:val="23"/>
          <w:szCs w:val="23"/>
          <w:rtl/>
        </w:rPr>
        <w:t>دهد</w:t>
      </w:r>
      <w:r w:rsidRPr="00FE433F">
        <w:rPr>
          <w:i/>
          <w:sz w:val="23"/>
          <w:szCs w:val="23"/>
          <w:rtl/>
        </w:rPr>
        <w:t xml:space="preserve"> </w:t>
      </w:r>
      <w:r w:rsidRPr="00FE433F">
        <w:rPr>
          <w:rFonts w:hint="eastAsia"/>
          <w:i/>
          <w:sz w:val="23"/>
          <w:szCs w:val="23"/>
          <w:rtl/>
        </w:rPr>
        <w:t>نرخ</w:t>
      </w:r>
      <w:r w:rsidRPr="00FE433F">
        <w:rPr>
          <w:i/>
          <w:sz w:val="23"/>
          <w:szCs w:val="23"/>
          <w:rtl/>
        </w:rPr>
        <w:t xml:space="preserve"> </w:t>
      </w:r>
      <w:r w:rsidRPr="00FE433F">
        <w:rPr>
          <w:rFonts w:hint="eastAsia"/>
          <w:i/>
          <w:sz w:val="23"/>
          <w:szCs w:val="23"/>
          <w:rtl/>
        </w:rPr>
        <w:t>بازده</w:t>
      </w:r>
      <w:r w:rsidRPr="00FE433F">
        <w:rPr>
          <w:rFonts w:hint="cs"/>
          <w:i/>
          <w:sz w:val="23"/>
          <w:szCs w:val="23"/>
          <w:rtl/>
        </w:rPr>
        <w:t>ی</w:t>
      </w:r>
      <w:r w:rsidRPr="00FE433F">
        <w:rPr>
          <w:i/>
          <w:sz w:val="23"/>
          <w:szCs w:val="23"/>
          <w:rtl/>
        </w:rPr>
        <w:t xml:space="preserve">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eastAsia"/>
          <w:i/>
          <w:sz w:val="23"/>
          <w:szCs w:val="23"/>
          <w:rtl/>
        </w:rPr>
        <w:t>سرما</w:t>
      </w:r>
      <w:r w:rsidRPr="00FE433F">
        <w:rPr>
          <w:rFonts w:hint="cs"/>
          <w:i/>
          <w:sz w:val="23"/>
          <w:szCs w:val="23"/>
          <w:rtl/>
        </w:rPr>
        <w:t>ی</w:t>
      </w:r>
      <w:r w:rsidRPr="00FE433F">
        <w:rPr>
          <w:rFonts w:hint="eastAsia"/>
          <w:i/>
          <w:sz w:val="23"/>
          <w:szCs w:val="23"/>
          <w:rtl/>
        </w:rPr>
        <w:t>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اوراق</w:t>
      </w:r>
      <w:r w:rsidRPr="00FE433F">
        <w:rPr>
          <w:i/>
          <w:sz w:val="23"/>
          <w:szCs w:val="23"/>
          <w:rtl/>
        </w:rPr>
        <w:t xml:space="preserve"> </w:t>
      </w:r>
      <w:r w:rsidRPr="00FE433F">
        <w:rPr>
          <w:rFonts w:hint="eastAsia"/>
          <w:i/>
          <w:sz w:val="23"/>
          <w:szCs w:val="23"/>
          <w:rtl/>
        </w:rPr>
        <w:t>قرضه</w:t>
      </w:r>
      <w:r w:rsidRPr="00FE433F">
        <w:rPr>
          <w:i/>
          <w:sz w:val="23"/>
          <w:szCs w:val="23"/>
          <w:rtl/>
        </w:rPr>
        <w:t xml:space="preserve"> </w:t>
      </w:r>
      <w:r w:rsidRPr="00FE433F">
        <w:rPr>
          <w:rFonts w:hint="eastAsia"/>
          <w:i/>
          <w:sz w:val="23"/>
          <w:szCs w:val="23"/>
          <w:rtl/>
        </w:rPr>
        <w:t>برابرند</w:t>
      </w:r>
      <w:r w:rsidRPr="00FE433F">
        <w:rPr>
          <w:i/>
          <w:sz w:val="23"/>
          <w:szCs w:val="23"/>
          <w:rtl/>
        </w:rPr>
        <w:t xml:space="preserve">. </w:t>
      </w:r>
      <w:r w:rsidRPr="00FE433F">
        <w:rPr>
          <w:rFonts w:hint="cs"/>
          <w:i/>
          <w:sz w:val="23"/>
          <w:szCs w:val="23"/>
          <w:rtl/>
        </w:rPr>
        <w:t>ی</w:t>
      </w:r>
      <w:r w:rsidRPr="00FE433F">
        <w:rPr>
          <w:rFonts w:hint="eastAsia"/>
          <w:i/>
          <w:sz w:val="23"/>
          <w:szCs w:val="23"/>
          <w:rtl/>
        </w:rPr>
        <w:t>عن</w:t>
      </w:r>
      <w:r w:rsidRPr="00FE433F">
        <w:rPr>
          <w:rFonts w:hint="cs"/>
          <w:i/>
          <w:sz w:val="23"/>
          <w:szCs w:val="23"/>
          <w:rtl/>
        </w:rPr>
        <w:t>ی</w:t>
      </w:r>
    </w:p>
    <w:p w14:paraId="746B9D95" w14:textId="77777777" w:rsidR="00411620" w:rsidRPr="00FE433F" w:rsidRDefault="00411620" w:rsidP="00411620">
      <w:pPr>
        <w:bidi w:val="0"/>
        <w:spacing w:line="216" w:lineRule="auto"/>
        <w:rPr>
          <w:i/>
          <w:sz w:val="23"/>
          <w:szCs w:val="23"/>
        </w:rPr>
      </w:pPr>
      <w:r w:rsidRPr="00FE433F">
        <w:rPr>
          <w:position w:val="-10"/>
        </w:rPr>
        <w:object w:dxaOrig="1920" w:dyaOrig="340" w14:anchorId="47CACC30">
          <v:shape id="_x0000_i4342" type="#_x0000_t75" style="width:96.2pt;height:16.95pt" o:ole="">
            <v:imagedata r:id="rId6677" o:title=""/>
          </v:shape>
          <o:OLEObject Type="Embed" ProgID="Equation.DSMT4" ShapeID="_x0000_i4342" DrawAspect="Content" ObjectID="_1791378286" r:id="rId6678"/>
        </w:object>
      </w:r>
      <w:r w:rsidRPr="00FE433F">
        <w:rPr>
          <w:i/>
          <w:sz w:val="23"/>
          <w:szCs w:val="23"/>
          <w:rtl/>
        </w:rPr>
        <w:t xml:space="preserve"> </w:t>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Pr>
        <w:tab/>
      </w:r>
      <w:r w:rsidRPr="00FE433F">
        <w:rPr>
          <w:i/>
          <w:sz w:val="23"/>
          <w:szCs w:val="23"/>
          <w:rtl/>
        </w:rPr>
        <w:tab/>
      </w:r>
      <w:r>
        <w:rPr>
          <w:i/>
          <w:sz w:val="23"/>
          <w:szCs w:val="23"/>
          <w:rtl/>
        </w:rPr>
        <w:tab/>
      </w:r>
      <w:r>
        <w:rPr>
          <w:i/>
          <w:sz w:val="23"/>
          <w:szCs w:val="23"/>
          <w:rtl/>
        </w:rPr>
        <w:tab/>
      </w:r>
      <w:r w:rsidRPr="00FE433F">
        <w:rPr>
          <w:i/>
          <w:sz w:val="23"/>
          <w:szCs w:val="23"/>
          <w:rtl/>
        </w:rPr>
        <w:tab/>
      </w:r>
      <w:r w:rsidRPr="00FE433F">
        <w:rPr>
          <w:rFonts w:hint="cs"/>
          <w:i/>
          <w:sz w:val="23"/>
          <w:szCs w:val="23"/>
          <w:rtl/>
        </w:rPr>
        <w:t xml:space="preserve">   (۸. ۳۲)</w:t>
      </w:r>
    </w:p>
    <w:p w14:paraId="5F895B4E" w14:textId="77777777" w:rsidR="00411620" w:rsidRPr="00FE433F" w:rsidRDefault="00411620" w:rsidP="00411620">
      <w:pPr>
        <w:spacing w:line="216" w:lineRule="auto"/>
        <w:rPr>
          <w:i/>
          <w:sz w:val="23"/>
          <w:szCs w:val="23"/>
          <w:rtl/>
        </w:rPr>
      </w:pPr>
      <w:r w:rsidRPr="00FE433F">
        <w:rPr>
          <w:rFonts w:hint="eastAsia"/>
          <w:i/>
          <w:sz w:val="23"/>
          <w:szCs w:val="23"/>
          <w:rtl/>
        </w:rPr>
        <w:t>معادله</w:t>
      </w:r>
      <w:r w:rsidRPr="00FE433F">
        <w:rPr>
          <w:i/>
          <w:sz w:val="23"/>
          <w:szCs w:val="23"/>
          <w:rtl/>
        </w:rPr>
        <w:softHyphen/>
      </w:r>
      <w:r w:rsidRPr="00FE433F">
        <w:rPr>
          <w:rFonts w:hint="cs"/>
          <w:i/>
          <w:sz w:val="23"/>
          <w:szCs w:val="23"/>
          <w:rtl/>
        </w:rPr>
        <w:t>ی</w:t>
      </w:r>
      <w:r w:rsidRPr="00FE433F">
        <w:rPr>
          <w:i/>
          <w:sz w:val="23"/>
          <w:szCs w:val="23"/>
          <w:rtl/>
        </w:rPr>
        <w:t xml:space="preserve"> </w:t>
      </w:r>
      <w:r w:rsidRPr="00FE433F">
        <w:rPr>
          <w:rFonts w:hint="eastAsia"/>
          <w:i/>
          <w:sz w:val="23"/>
          <w:szCs w:val="23"/>
          <w:rtl/>
        </w:rPr>
        <w:t>او</w:t>
      </w:r>
      <w:r w:rsidRPr="00FE433F">
        <w:rPr>
          <w:rFonts w:hint="cs"/>
          <w:i/>
          <w:sz w:val="23"/>
          <w:szCs w:val="23"/>
          <w:rtl/>
        </w:rPr>
        <w:t>ی</w:t>
      </w:r>
      <w:r w:rsidRPr="00FE433F">
        <w:rPr>
          <w:rFonts w:hint="eastAsia"/>
          <w:i/>
          <w:sz w:val="23"/>
          <w:szCs w:val="23"/>
          <w:rtl/>
        </w:rPr>
        <w:t>لر</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توان</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شرا</w:t>
      </w:r>
      <w:r w:rsidRPr="00FE433F">
        <w:rPr>
          <w:rFonts w:hint="cs"/>
          <w:i/>
          <w:sz w:val="23"/>
          <w:szCs w:val="23"/>
          <w:rtl/>
        </w:rPr>
        <w:t>ی</w:t>
      </w:r>
      <w:r w:rsidRPr="00FE433F">
        <w:rPr>
          <w:rFonts w:hint="eastAsia"/>
          <w:i/>
          <w:sz w:val="23"/>
          <w:szCs w:val="23"/>
          <w:rtl/>
        </w:rPr>
        <w:t>ط</w:t>
      </w:r>
      <w:r w:rsidRPr="00FE433F">
        <w:rPr>
          <w:i/>
          <w:sz w:val="23"/>
          <w:szCs w:val="23"/>
          <w:rtl/>
        </w:rPr>
        <w:t xml:space="preserve"> </w:t>
      </w:r>
      <w:r w:rsidRPr="00FE433F">
        <w:rPr>
          <w:rFonts w:hint="eastAsia"/>
          <w:i/>
          <w:sz w:val="23"/>
          <w:szCs w:val="23"/>
          <w:rtl/>
        </w:rPr>
        <w:t>مرتبه</w:t>
      </w:r>
      <w:r w:rsidRPr="00FE433F">
        <w:rPr>
          <w:i/>
          <w:sz w:val="23"/>
          <w:szCs w:val="23"/>
          <w:rtl/>
        </w:rPr>
        <w:t xml:space="preserve"> </w:t>
      </w:r>
      <w:r w:rsidRPr="00FE433F">
        <w:rPr>
          <w:rFonts w:hint="eastAsia"/>
          <w:i/>
          <w:sz w:val="23"/>
          <w:szCs w:val="23"/>
          <w:rtl/>
        </w:rPr>
        <w:t>اول</w:t>
      </w:r>
      <w:r w:rsidRPr="00FE433F">
        <w:rPr>
          <w:i/>
          <w:sz w:val="23"/>
          <w:szCs w:val="23"/>
          <w:rtl/>
        </w:rPr>
        <w:t xml:space="preserve"> </w:t>
      </w:r>
      <w:r w:rsidRPr="00FE433F">
        <w:rPr>
          <w:rFonts w:hint="eastAsia"/>
          <w:i/>
          <w:sz w:val="23"/>
          <w:szCs w:val="23"/>
          <w:rtl/>
        </w:rPr>
        <w:t>مصرف</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سرما</w:t>
      </w:r>
      <w:r w:rsidRPr="00FE433F">
        <w:rPr>
          <w:rFonts w:hint="cs"/>
          <w:i/>
          <w:sz w:val="23"/>
          <w:szCs w:val="23"/>
          <w:rtl/>
        </w:rPr>
        <w:t>ی</w:t>
      </w:r>
      <w:r w:rsidRPr="00FE433F">
        <w:rPr>
          <w:rFonts w:hint="eastAsia"/>
          <w:i/>
          <w:sz w:val="23"/>
          <w:szCs w:val="23"/>
          <w:rtl/>
        </w:rPr>
        <w:t>ه</w:t>
      </w:r>
      <w:r w:rsidRPr="00FE433F">
        <w:rPr>
          <w:i/>
          <w:sz w:val="23"/>
          <w:szCs w:val="23"/>
          <w:rtl/>
        </w:rPr>
        <w:t xml:space="preserve"> </w:t>
      </w:r>
      <w:r w:rsidRPr="00FE433F">
        <w:rPr>
          <w:rFonts w:hint="eastAsia"/>
          <w:i/>
          <w:sz w:val="23"/>
          <w:szCs w:val="23"/>
          <w:rtl/>
        </w:rPr>
        <w:t>بدست</w:t>
      </w:r>
      <w:r w:rsidRPr="00FE433F">
        <w:rPr>
          <w:i/>
          <w:sz w:val="23"/>
          <w:szCs w:val="23"/>
          <w:rtl/>
        </w:rPr>
        <w:t xml:space="preserve"> </w:t>
      </w:r>
      <w:r w:rsidRPr="00FE433F">
        <w:rPr>
          <w:rFonts w:hint="eastAsia"/>
          <w:i/>
          <w:sz w:val="23"/>
          <w:szCs w:val="23"/>
          <w:rtl/>
        </w:rPr>
        <w:t>آورد</w:t>
      </w:r>
      <w:r w:rsidRPr="00FE433F">
        <w:rPr>
          <w:i/>
          <w:sz w:val="23"/>
          <w:szCs w:val="23"/>
          <w:rtl/>
        </w:rPr>
        <w:t xml:space="preserve">. </w:t>
      </w:r>
      <w:r w:rsidRPr="00FE433F">
        <w:rPr>
          <w:rFonts w:hint="eastAsia"/>
          <w:i/>
          <w:sz w:val="23"/>
          <w:szCs w:val="23"/>
          <w:rtl/>
        </w:rPr>
        <w:t>بنابرا</w:t>
      </w:r>
      <w:r w:rsidRPr="00FE433F">
        <w:rPr>
          <w:rFonts w:hint="cs"/>
          <w:i/>
          <w:sz w:val="23"/>
          <w:szCs w:val="23"/>
          <w:rtl/>
        </w:rPr>
        <w:t>ی</w:t>
      </w:r>
      <w:r w:rsidRPr="00FE433F">
        <w:rPr>
          <w:rFonts w:hint="eastAsia"/>
          <w:i/>
          <w:sz w:val="23"/>
          <w:szCs w:val="23"/>
          <w:rtl/>
        </w:rPr>
        <w:t>ن</w:t>
      </w:r>
    </w:p>
    <w:p w14:paraId="3380BB0B" w14:textId="77777777" w:rsidR="00411620" w:rsidRPr="00FE433F" w:rsidRDefault="00411620" w:rsidP="00411620">
      <w:pPr>
        <w:bidi w:val="0"/>
        <w:spacing w:line="216" w:lineRule="auto"/>
        <w:rPr>
          <w:i/>
          <w:sz w:val="23"/>
          <w:szCs w:val="23"/>
        </w:rPr>
      </w:pPr>
      <w:r w:rsidRPr="00FE433F">
        <w:rPr>
          <w:position w:val="-30"/>
        </w:rPr>
        <w:object w:dxaOrig="1740" w:dyaOrig="680" w14:anchorId="4A082FD1">
          <v:shape id="_x0000_i4343" type="#_x0000_t75" style="width:87.15pt;height:33.9pt" o:ole="">
            <v:imagedata r:id="rId6679" o:title=""/>
          </v:shape>
          <o:OLEObject Type="Embed" ProgID="Equation.DSMT4" ShapeID="_x0000_i4343" DrawAspect="Content" ObjectID="_1791378287" r:id="rId6680"/>
        </w:object>
      </w:r>
      <w:r w:rsidRPr="00FE433F">
        <w:rPr>
          <w:i/>
          <w:sz w:val="23"/>
          <w:szCs w:val="23"/>
          <w:rtl/>
        </w:rPr>
        <w:t xml:space="preserve"> </w:t>
      </w:r>
    </w:p>
    <w:p w14:paraId="6C946A90" w14:textId="77777777" w:rsidR="00411620" w:rsidRPr="00FE433F" w:rsidRDefault="00411620" w:rsidP="00411620">
      <w:pPr>
        <w:spacing w:line="216" w:lineRule="auto"/>
        <w:rPr>
          <w:i/>
          <w:sz w:val="23"/>
          <w:szCs w:val="23"/>
          <w:rtl/>
        </w:rPr>
      </w:pPr>
      <w:r w:rsidRPr="00FE433F">
        <w:rPr>
          <w:rFonts w:hint="eastAsia"/>
          <w:i/>
          <w:sz w:val="23"/>
          <w:szCs w:val="23"/>
          <w:rtl/>
        </w:rPr>
        <w:t>و</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بلندمدت</w:t>
      </w:r>
      <w:r w:rsidRPr="00FE433F">
        <w:rPr>
          <w:i/>
          <w:sz w:val="23"/>
          <w:szCs w:val="23"/>
          <w:rtl/>
        </w:rPr>
        <w:t xml:space="preserve"> </w:t>
      </w:r>
      <w:r w:rsidRPr="00FE433F">
        <w:rPr>
          <w:position w:val="-10"/>
        </w:rPr>
        <w:object w:dxaOrig="1160" w:dyaOrig="340" w14:anchorId="371F51B9">
          <v:shape id="_x0000_i4344" type="#_x0000_t75" style="width:58.1pt;height:16.95pt" o:ole="">
            <v:imagedata r:id="rId6681" o:title=""/>
          </v:shape>
          <o:OLEObject Type="Embed" ProgID="Equation.DSMT4" ShapeID="_x0000_i4344" DrawAspect="Content" ObjectID="_1791378288" r:id="rId6682"/>
        </w:object>
      </w:r>
      <w:r w:rsidRPr="00FE433F">
        <w:rPr>
          <w:i/>
          <w:sz w:val="23"/>
          <w:szCs w:val="23"/>
        </w:rPr>
        <w:t xml:space="preserve"> </w:t>
      </w:r>
      <w:r w:rsidRPr="00FE433F">
        <w:rPr>
          <w:rFonts w:hint="eastAsia"/>
          <w:i/>
          <w:sz w:val="23"/>
          <w:szCs w:val="23"/>
          <w:rtl/>
        </w:rPr>
        <w:t>و</w:t>
      </w:r>
      <w:r w:rsidRPr="00FE433F">
        <w:rPr>
          <w:i/>
          <w:sz w:val="23"/>
          <w:szCs w:val="23"/>
          <w:rtl/>
        </w:rPr>
        <w:t xml:space="preserve"> </w:t>
      </w:r>
      <w:r w:rsidRPr="00FE433F">
        <w:rPr>
          <w:rFonts w:hint="cs"/>
          <w:i/>
          <w:sz w:val="23"/>
          <w:szCs w:val="23"/>
          <w:rtl/>
        </w:rPr>
        <w:t>ی</w:t>
      </w:r>
      <w:r w:rsidRPr="00FE433F">
        <w:rPr>
          <w:rFonts w:hint="eastAsia"/>
          <w:i/>
          <w:sz w:val="23"/>
          <w:szCs w:val="23"/>
          <w:rtl/>
        </w:rPr>
        <w:t>ا</w:t>
      </w:r>
      <w:r w:rsidRPr="00FE433F">
        <w:rPr>
          <w:i/>
          <w:sz w:val="23"/>
          <w:szCs w:val="23"/>
          <w:rtl/>
        </w:rPr>
        <w:t xml:space="preserve"> </w:t>
      </w:r>
      <w:r w:rsidRPr="00FE433F">
        <w:rPr>
          <w:position w:val="-6"/>
        </w:rPr>
        <w:object w:dxaOrig="999" w:dyaOrig="300" w14:anchorId="478EF628">
          <v:shape id="_x0000_i4345" type="#_x0000_t75" style="width:50.2pt;height:15.15pt" o:ole="">
            <v:imagedata r:id="rId6683" o:title=""/>
          </v:shape>
          <o:OLEObject Type="Embed" ProgID="Equation.DSMT4" ShapeID="_x0000_i4345" DrawAspect="Content" ObjectID="_1791378289" r:id="rId6684"/>
        </w:object>
      </w:r>
      <w:r w:rsidRPr="00FE433F">
        <w:rPr>
          <w:i/>
          <w:sz w:val="23"/>
          <w:szCs w:val="23"/>
        </w:rPr>
        <w:t>.</w:t>
      </w:r>
    </w:p>
    <w:p w14:paraId="14C900CA" w14:textId="77777777" w:rsidR="00411620" w:rsidRPr="00FE433F" w:rsidRDefault="00411620" w:rsidP="00411620">
      <w:pPr>
        <w:spacing w:line="216" w:lineRule="auto"/>
        <w:rPr>
          <w:i/>
          <w:sz w:val="23"/>
          <w:szCs w:val="23"/>
          <w:rtl/>
        </w:rPr>
      </w:pPr>
      <w:r w:rsidRPr="00FE433F">
        <w:rPr>
          <w:rFonts w:hint="cs"/>
          <w:i/>
          <w:sz w:val="23"/>
          <w:szCs w:val="23"/>
          <w:rtl/>
        </w:rPr>
        <w:t xml:space="preserve">همچنین </w:t>
      </w:r>
      <w:r w:rsidRPr="00FE433F">
        <w:rPr>
          <w:rFonts w:hint="eastAsia"/>
          <w:i/>
          <w:sz w:val="23"/>
          <w:szCs w:val="23"/>
          <w:rtl/>
        </w:rPr>
        <w:t>از</w:t>
      </w:r>
      <w:r w:rsidRPr="00FE433F">
        <w:rPr>
          <w:i/>
          <w:sz w:val="23"/>
          <w:szCs w:val="23"/>
          <w:rtl/>
        </w:rPr>
        <w:t xml:space="preserve"> </w:t>
      </w:r>
      <w:r w:rsidRPr="00FE433F">
        <w:rPr>
          <w:rFonts w:hint="eastAsia"/>
          <w:i/>
          <w:sz w:val="23"/>
          <w:szCs w:val="23"/>
          <w:rtl/>
        </w:rPr>
        <w:t>شرا</w:t>
      </w:r>
      <w:r w:rsidRPr="00FE433F">
        <w:rPr>
          <w:rFonts w:hint="cs"/>
          <w:i/>
          <w:sz w:val="23"/>
          <w:szCs w:val="23"/>
          <w:rtl/>
        </w:rPr>
        <w:t>ی</w:t>
      </w:r>
      <w:r w:rsidRPr="00FE433F">
        <w:rPr>
          <w:rFonts w:hint="eastAsia"/>
          <w:i/>
          <w:sz w:val="23"/>
          <w:szCs w:val="23"/>
          <w:rtl/>
        </w:rPr>
        <w:t>ط</w:t>
      </w:r>
      <w:r w:rsidRPr="00FE433F">
        <w:rPr>
          <w:i/>
          <w:sz w:val="23"/>
          <w:szCs w:val="23"/>
          <w:rtl/>
        </w:rPr>
        <w:t xml:space="preserve"> </w:t>
      </w:r>
      <w:r w:rsidRPr="00FE433F">
        <w:rPr>
          <w:rFonts w:hint="eastAsia"/>
          <w:i/>
          <w:sz w:val="23"/>
          <w:szCs w:val="23"/>
          <w:rtl/>
        </w:rPr>
        <w:t>مرتبه</w:t>
      </w:r>
      <w:r w:rsidRPr="00FE433F">
        <w:rPr>
          <w:i/>
          <w:sz w:val="23"/>
          <w:szCs w:val="23"/>
          <w:rtl/>
        </w:rPr>
        <w:t xml:space="preserve"> </w:t>
      </w:r>
      <w:r w:rsidRPr="00FE433F">
        <w:rPr>
          <w:rFonts w:hint="eastAsia"/>
          <w:i/>
          <w:sz w:val="23"/>
          <w:szCs w:val="23"/>
          <w:rtl/>
        </w:rPr>
        <w:t>اول</w:t>
      </w:r>
      <w:r w:rsidRPr="00FE433F">
        <w:rPr>
          <w:i/>
          <w:sz w:val="23"/>
          <w:szCs w:val="23"/>
          <w:rtl/>
        </w:rPr>
        <w:t xml:space="preserve"> </w:t>
      </w:r>
      <w:r w:rsidRPr="00FE433F">
        <w:rPr>
          <w:rFonts w:hint="eastAsia"/>
          <w:i/>
          <w:sz w:val="23"/>
          <w:szCs w:val="23"/>
          <w:rtl/>
        </w:rPr>
        <w:t>مربوط</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مصرف،</w:t>
      </w:r>
      <w:r w:rsidRPr="00FE433F">
        <w:rPr>
          <w:i/>
          <w:sz w:val="23"/>
          <w:szCs w:val="23"/>
          <w:rtl/>
        </w:rPr>
        <w:t xml:space="preserve"> </w:t>
      </w:r>
      <w:r w:rsidRPr="00FE433F">
        <w:rPr>
          <w:rFonts w:hint="eastAsia"/>
          <w:i/>
          <w:sz w:val="23"/>
          <w:szCs w:val="23"/>
          <w:rtl/>
        </w:rPr>
        <w:t>اوراق</w:t>
      </w:r>
      <w:r w:rsidRPr="00FE433F">
        <w:rPr>
          <w:i/>
          <w:sz w:val="23"/>
          <w:szCs w:val="23"/>
          <w:rtl/>
        </w:rPr>
        <w:t xml:space="preserve"> </w:t>
      </w:r>
      <w:r w:rsidRPr="00FE433F">
        <w:rPr>
          <w:rFonts w:hint="eastAsia"/>
          <w:i/>
          <w:sz w:val="23"/>
          <w:szCs w:val="23"/>
          <w:rtl/>
        </w:rPr>
        <w:t>قرضه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خواه</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داشت</w:t>
      </w:r>
    </w:p>
    <w:p w14:paraId="7E2FFD33" w14:textId="77777777" w:rsidR="00411620" w:rsidRPr="00FE433F" w:rsidRDefault="00411620" w:rsidP="00411620">
      <w:pPr>
        <w:bidi w:val="0"/>
        <w:spacing w:line="216" w:lineRule="auto"/>
        <w:rPr>
          <w:i/>
          <w:sz w:val="23"/>
          <w:szCs w:val="23"/>
        </w:rPr>
      </w:pPr>
      <w:r w:rsidRPr="00FE433F">
        <w:rPr>
          <w:position w:val="-30"/>
        </w:rPr>
        <w:object w:dxaOrig="2280" w:dyaOrig="680" w14:anchorId="52862F1A">
          <v:shape id="_x0000_i4346" type="#_x0000_t75" style="width:113.75pt;height:33.9pt" o:ole="">
            <v:imagedata r:id="rId6685" o:title=""/>
          </v:shape>
          <o:OLEObject Type="Embed" ProgID="Equation.DSMT4" ShapeID="_x0000_i4346" DrawAspect="Content" ObjectID="_1791378290" r:id="rId6686"/>
        </w:object>
      </w:r>
      <w:r w:rsidRPr="00FE433F">
        <w:rPr>
          <w:i/>
          <w:sz w:val="23"/>
          <w:szCs w:val="23"/>
          <w:rtl/>
        </w:rPr>
        <w:tab/>
      </w:r>
      <w:r w:rsidRPr="00FE433F">
        <w:rPr>
          <w:i/>
          <w:sz w:val="23"/>
          <w:szCs w:val="23"/>
          <w:rtl/>
        </w:rPr>
        <w:tab/>
      </w:r>
      <w:r w:rsidRPr="00FE433F">
        <w:rPr>
          <w:i/>
          <w:sz w:val="23"/>
          <w:szCs w:val="23"/>
        </w:rPr>
        <w:tab/>
      </w:r>
      <w:r>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t>(۸. ۳</w:t>
      </w:r>
      <w:r w:rsidRPr="00FE433F">
        <w:rPr>
          <w:rFonts w:hint="cs"/>
          <w:i/>
          <w:sz w:val="23"/>
          <w:szCs w:val="23"/>
          <w:rtl/>
        </w:rPr>
        <w:t>۳)</w:t>
      </w:r>
    </w:p>
    <w:p w14:paraId="12119A19" w14:textId="77777777" w:rsidR="00411620" w:rsidRPr="00FE433F" w:rsidRDefault="00411620" w:rsidP="00411620">
      <w:pPr>
        <w:spacing w:line="216" w:lineRule="auto"/>
        <w:rPr>
          <w:i/>
          <w:sz w:val="23"/>
          <w:szCs w:val="23"/>
          <w:rtl/>
        </w:rPr>
      </w:pPr>
      <w:r w:rsidRPr="00FE433F">
        <w:rPr>
          <w:rFonts w:hint="eastAsia"/>
          <w:i/>
          <w:sz w:val="23"/>
          <w:szCs w:val="23"/>
          <w:rtl/>
        </w:rPr>
        <w:t>چنانچه</w:t>
      </w:r>
      <w:r w:rsidRPr="00FE433F">
        <w:rPr>
          <w:i/>
          <w:sz w:val="23"/>
          <w:szCs w:val="23"/>
          <w:rtl/>
        </w:rPr>
        <w:t xml:space="preserve"> </w:t>
      </w:r>
      <w:r w:rsidRPr="00FE433F">
        <w:rPr>
          <w:rFonts w:hint="eastAsia"/>
          <w:i/>
          <w:sz w:val="23"/>
          <w:szCs w:val="23"/>
          <w:rtl/>
        </w:rPr>
        <w:t>قاعده</w:t>
      </w:r>
      <w:r w:rsidRPr="00FE433F">
        <w:rPr>
          <w:i/>
          <w:sz w:val="23"/>
          <w:szCs w:val="23"/>
          <w:rtl/>
        </w:rPr>
        <w:softHyphen/>
      </w:r>
      <w:r w:rsidRPr="00FE433F">
        <w:rPr>
          <w:rFonts w:hint="cs"/>
          <w:i/>
          <w:sz w:val="23"/>
          <w:szCs w:val="23"/>
          <w:rtl/>
        </w:rPr>
        <w:t>ی</w:t>
      </w:r>
      <w:r w:rsidRPr="00FE433F">
        <w:rPr>
          <w:i/>
          <w:sz w:val="23"/>
          <w:szCs w:val="23"/>
          <w:rtl/>
        </w:rPr>
        <w:t xml:space="preserve"> </w:t>
      </w:r>
      <w:r w:rsidRPr="00FE433F">
        <w:rPr>
          <w:rFonts w:hint="eastAsia"/>
          <w:i/>
          <w:sz w:val="23"/>
          <w:szCs w:val="23"/>
          <w:rtl/>
        </w:rPr>
        <w:t>فر</w:t>
      </w:r>
      <w:r w:rsidRPr="00FE433F">
        <w:rPr>
          <w:rFonts w:hint="cs"/>
          <w:i/>
          <w:sz w:val="23"/>
          <w:szCs w:val="23"/>
          <w:rtl/>
        </w:rPr>
        <w:t>ی</w:t>
      </w:r>
      <w:r w:rsidRPr="00FE433F">
        <w:rPr>
          <w:rFonts w:hint="eastAsia"/>
          <w:i/>
          <w:sz w:val="23"/>
          <w:szCs w:val="23"/>
          <w:rtl/>
        </w:rPr>
        <w:t>دمن</w:t>
      </w:r>
      <w:r w:rsidRPr="00FE433F">
        <w:rPr>
          <w:i/>
          <w:sz w:val="23"/>
          <w:szCs w:val="23"/>
          <w:rtl/>
        </w:rPr>
        <w:t xml:space="preserve"> </w:t>
      </w:r>
      <w:r w:rsidRPr="00FE433F">
        <w:rPr>
          <w:rFonts w:hint="eastAsia"/>
          <w:i/>
          <w:sz w:val="23"/>
          <w:szCs w:val="23"/>
          <w:rtl/>
        </w:rPr>
        <w:t>برقرار</w:t>
      </w:r>
      <w:r w:rsidRPr="00FE433F">
        <w:rPr>
          <w:i/>
          <w:sz w:val="23"/>
          <w:szCs w:val="23"/>
          <w:rtl/>
        </w:rPr>
        <w:t xml:space="preserve"> </w:t>
      </w:r>
      <w:r w:rsidRPr="00FE433F">
        <w:rPr>
          <w:rFonts w:hint="eastAsia"/>
          <w:i/>
          <w:sz w:val="23"/>
          <w:szCs w:val="23"/>
          <w:rtl/>
        </w:rPr>
        <w:t>باشد</w:t>
      </w:r>
      <w:r w:rsidRPr="00FE433F">
        <w:rPr>
          <w:rFonts w:hint="cs"/>
          <w:i/>
          <w:sz w:val="23"/>
          <w:szCs w:val="23"/>
          <w:rtl/>
        </w:rPr>
        <w:t>،</w:t>
      </w:r>
      <w:r w:rsidRPr="00FE433F">
        <w:rPr>
          <w:i/>
          <w:sz w:val="23"/>
          <w:szCs w:val="23"/>
          <w:rtl/>
        </w:rPr>
        <w:t xml:space="preserve"> </w:t>
      </w:r>
      <w:r w:rsidRPr="00FE433F">
        <w:rPr>
          <w:rFonts w:hint="eastAsia"/>
          <w:i/>
          <w:sz w:val="23"/>
          <w:szCs w:val="23"/>
          <w:rtl/>
        </w:rPr>
        <w:t>آنگاه</w:t>
      </w:r>
      <w:r w:rsidRPr="00FE433F">
        <w:rPr>
          <w:i/>
          <w:sz w:val="23"/>
          <w:szCs w:val="23"/>
          <w:rtl/>
        </w:rPr>
        <w:t xml:space="preserve"> </w:t>
      </w:r>
      <w:r w:rsidRPr="00FE433F">
        <w:rPr>
          <w:position w:val="-10"/>
        </w:rPr>
        <w:object w:dxaOrig="780" w:dyaOrig="340" w14:anchorId="00C9D8BB">
          <v:shape id="_x0000_i4347" type="#_x0000_t75" style="width:39.35pt;height:16.95pt" o:ole="">
            <v:imagedata r:id="rId6687" o:title=""/>
          </v:shape>
          <o:OLEObject Type="Embed" ProgID="Equation.DSMT4" ShapeID="_x0000_i4347" DrawAspect="Content" ObjectID="_1791378291" r:id="rId6688"/>
        </w:object>
      </w:r>
      <w:r w:rsidRPr="00FE433F">
        <w:rPr>
          <w:rFonts w:hint="eastAsia"/>
          <w:i/>
          <w:sz w:val="23"/>
          <w:szCs w:val="23"/>
          <w:rtl/>
        </w:rPr>
        <w:t>خواهد</w:t>
      </w:r>
      <w:r w:rsidRPr="00FE433F">
        <w:rPr>
          <w:i/>
          <w:sz w:val="23"/>
          <w:szCs w:val="23"/>
          <w:rtl/>
        </w:rPr>
        <w:t xml:space="preserve"> </w:t>
      </w:r>
      <w:r w:rsidRPr="00FE433F">
        <w:rPr>
          <w:rFonts w:hint="eastAsia"/>
          <w:i/>
          <w:sz w:val="23"/>
          <w:szCs w:val="23"/>
          <w:rtl/>
        </w:rPr>
        <w:t>بود</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صورت</w:t>
      </w:r>
      <w:r w:rsidRPr="00FE433F">
        <w:rPr>
          <w:i/>
          <w:sz w:val="23"/>
          <w:szCs w:val="23"/>
          <w:rtl/>
        </w:rPr>
        <w:t xml:space="preserve"> </w:t>
      </w:r>
      <w:r w:rsidRPr="00FE433F">
        <w:rPr>
          <w:position w:val="-12"/>
        </w:rPr>
        <w:object w:dxaOrig="920" w:dyaOrig="340" w14:anchorId="5A8C4111">
          <v:shape id="_x0000_i4348" type="#_x0000_t75" style="width:46pt;height:16.95pt" o:ole="">
            <v:imagedata r:id="rId6689" o:title=""/>
          </v:shape>
          <o:OLEObject Type="Embed" ProgID="Equation.DSMT4" ShapeID="_x0000_i4348" DrawAspect="Content" ObjectID="_1791378292" r:id="rId6690"/>
        </w:object>
      </w:r>
      <w:r w:rsidRPr="00FE433F">
        <w:rPr>
          <w:rFonts w:hint="eastAsia"/>
          <w:i/>
          <w:sz w:val="23"/>
          <w:szCs w:val="23"/>
          <w:rtl/>
        </w:rPr>
        <w:t>و</w:t>
      </w:r>
      <w:r w:rsidRPr="00FE433F">
        <w:rPr>
          <w:i/>
          <w:sz w:val="23"/>
          <w:szCs w:val="23"/>
          <w:rtl/>
        </w:rPr>
        <w:t xml:space="preserve"> </w:t>
      </w:r>
      <w:r w:rsidRPr="00FE433F">
        <w:rPr>
          <w:rFonts w:hint="cs"/>
          <w:i/>
          <w:sz w:val="23"/>
          <w:szCs w:val="23"/>
          <w:rtl/>
        </w:rPr>
        <w:t>ی</w:t>
      </w:r>
      <w:r w:rsidRPr="00FE433F">
        <w:rPr>
          <w:rFonts w:hint="eastAsia"/>
          <w:i/>
          <w:sz w:val="23"/>
          <w:szCs w:val="23"/>
          <w:rtl/>
        </w:rPr>
        <w:t>ا</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عبارت</w:t>
      </w:r>
      <w:r w:rsidRPr="00FE433F">
        <w:rPr>
          <w:rFonts w:hint="cs"/>
          <w:i/>
          <w:sz w:val="23"/>
          <w:szCs w:val="23"/>
          <w:rtl/>
        </w:rPr>
        <w:t>ی</w:t>
      </w:r>
      <w:r w:rsidRPr="00FE433F">
        <w:rPr>
          <w:i/>
          <w:sz w:val="23"/>
          <w:szCs w:val="23"/>
          <w:rtl/>
        </w:rPr>
        <w:t xml:space="preserve"> </w:t>
      </w:r>
      <w:r w:rsidRPr="00FE433F">
        <w:rPr>
          <w:rFonts w:hint="eastAsia"/>
          <w:i/>
          <w:sz w:val="23"/>
          <w:szCs w:val="23"/>
          <w:rtl/>
        </w:rPr>
        <w:t>د</w:t>
      </w:r>
      <w:r w:rsidRPr="00FE433F">
        <w:rPr>
          <w:rFonts w:hint="cs"/>
          <w:i/>
          <w:sz w:val="23"/>
          <w:szCs w:val="23"/>
          <w:rtl/>
        </w:rPr>
        <w:t>ی</w:t>
      </w:r>
      <w:r w:rsidRPr="00FE433F">
        <w:rPr>
          <w:rFonts w:hint="eastAsia"/>
          <w:i/>
          <w:sz w:val="23"/>
          <w:szCs w:val="23"/>
          <w:rtl/>
        </w:rPr>
        <w:t>گر</w:t>
      </w:r>
      <w:r w:rsidRPr="00FE433F">
        <w:rPr>
          <w:i/>
          <w:sz w:val="23"/>
          <w:szCs w:val="23"/>
          <w:rtl/>
        </w:rPr>
        <w:t xml:space="preserve"> </w:t>
      </w:r>
      <w:r w:rsidRPr="00FE433F">
        <w:rPr>
          <w:rFonts w:hint="cs"/>
          <w:i/>
          <w:sz w:val="23"/>
          <w:szCs w:val="23"/>
          <w:rtl/>
        </w:rPr>
        <w:t>می</w:t>
      </w:r>
      <w:r w:rsidRPr="00FE433F">
        <w:rPr>
          <w:i/>
          <w:sz w:val="23"/>
          <w:szCs w:val="23"/>
          <w:rtl/>
        </w:rPr>
        <w:softHyphen/>
      </w:r>
      <w:r w:rsidRPr="00FE433F">
        <w:rPr>
          <w:rFonts w:hint="cs"/>
          <w:i/>
          <w:sz w:val="23"/>
          <w:szCs w:val="23"/>
          <w:rtl/>
        </w:rPr>
        <w:t xml:space="preserve">بایست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اندازه</w:t>
      </w:r>
      <w:r w:rsidRPr="00FE433F">
        <w:rPr>
          <w:i/>
          <w:sz w:val="23"/>
          <w:szCs w:val="23"/>
          <w:rtl/>
        </w:rPr>
        <w:softHyphen/>
      </w:r>
      <w:r w:rsidRPr="00FE433F">
        <w:rPr>
          <w:rFonts w:hint="cs"/>
          <w:i/>
          <w:sz w:val="23"/>
          <w:szCs w:val="23"/>
          <w:rtl/>
        </w:rPr>
        <w:t>ی</w:t>
      </w:r>
      <w:r w:rsidRPr="00FE433F">
        <w:rPr>
          <w:i/>
          <w:sz w:val="23"/>
          <w:szCs w:val="23"/>
          <w:rtl/>
        </w:rPr>
        <w:t xml:space="preserve"> </w:t>
      </w:r>
      <w:r w:rsidRPr="00FE433F">
        <w:rPr>
          <w:rFonts w:hint="eastAsia"/>
          <w:i/>
          <w:sz w:val="23"/>
          <w:szCs w:val="23"/>
          <w:rtl/>
        </w:rPr>
        <w:t>کاف</w:t>
      </w:r>
      <w:r w:rsidRPr="00FE433F">
        <w:rPr>
          <w:rFonts w:hint="cs"/>
          <w:i/>
          <w:sz w:val="23"/>
          <w:szCs w:val="23"/>
          <w:rtl/>
        </w:rPr>
        <w:t>ی</w:t>
      </w:r>
      <w:r w:rsidRPr="00FE433F">
        <w:rPr>
          <w:i/>
          <w:sz w:val="23"/>
          <w:szCs w:val="23"/>
          <w:rtl/>
        </w:rPr>
        <w:t xml:space="preserve"> </w:t>
      </w:r>
      <w:r w:rsidRPr="00FE433F">
        <w:rPr>
          <w:rFonts w:hint="eastAsia"/>
          <w:i/>
          <w:sz w:val="23"/>
          <w:szCs w:val="23"/>
          <w:rtl/>
        </w:rPr>
        <w:t>نگهدار</w:t>
      </w:r>
      <w:r w:rsidRPr="00FE433F">
        <w:rPr>
          <w:rFonts w:hint="cs"/>
          <w:i/>
          <w:sz w:val="23"/>
          <w:szCs w:val="23"/>
          <w:rtl/>
        </w:rPr>
        <w:t>ی</w:t>
      </w:r>
      <w:r w:rsidRPr="00FE433F">
        <w:rPr>
          <w:i/>
          <w:sz w:val="23"/>
          <w:szCs w:val="23"/>
          <w:rtl/>
        </w:rPr>
        <w:t xml:space="preserve"> </w:t>
      </w:r>
      <w:r w:rsidRPr="00FE433F">
        <w:rPr>
          <w:rFonts w:hint="eastAsia"/>
          <w:i/>
          <w:sz w:val="23"/>
          <w:szCs w:val="23"/>
          <w:rtl/>
        </w:rPr>
        <w:t>شود</w:t>
      </w:r>
      <w:r w:rsidRPr="00FE433F">
        <w:rPr>
          <w:i/>
          <w:sz w:val="23"/>
          <w:szCs w:val="23"/>
          <w:rtl/>
        </w:rPr>
        <w:t xml:space="preserve"> </w:t>
      </w:r>
      <w:r w:rsidRPr="00FE433F">
        <w:rPr>
          <w:rFonts w:hint="eastAsia"/>
          <w:i/>
          <w:sz w:val="23"/>
          <w:szCs w:val="23"/>
          <w:rtl/>
        </w:rPr>
        <w:t>تا</w:t>
      </w:r>
      <w:r w:rsidRPr="00FE433F">
        <w:rPr>
          <w:i/>
          <w:sz w:val="23"/>
          <w:szCs w:val="23"/>
          <w:rtl/>
        </w:rPr>
        <w:t xml:space="preserve"> </w:t>
      </w:r>
      <w:r w:rsidRPr="00FE433F">
        <w:rPr>
          <w:rFonts w:hint="eastAsia"/>
          <w:i/>
          <w:sz w:val="23"/>
          <w:szCs w:val="23"/>
          <w:rtl/>
        </w:rPr>
        <w:t>مطلوب</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eastAsia"/>
          <w:i/>
          <w:sz w:val="23"/>
          <w:szCs w:val="23"/>
          <w:rtl/>
        </w:rPr>
        <w:t>نها</w:t>
      </w:r>
      <w:r w:rsidRPr="00FE433F">
        <w:rPr>
          <w:rFonts w:hint="cs"/>
          <w:i/>
          <w:sz w:val="23"/>
          <w:szCs w:val="23"/>
          <w:rtl/>
        </w:rPr>
        <w:t>یی</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برابر</w:t>
      </w:r>
      <w:r w:rsidRPr="00FE433F">
        <w:rPr>
          <w:i/>
          <w:sz w:val="23"/>
          <w:szCs w:val="23"/>
          <w:rtl/>
        </w:rPr>
        <w:t xml:space="preserve"> </w:t>
      </w:r>
      <w:r w:rsidRPr="00FE433F">
        <w:rPr>
          <w:rFonts w:hint="eastAsia"/>
          <w:i/>
          <w:sz w:val="23"/>
          <w:szCs w:val="23"/>
          <w:rtl/>
        </w:rPr>
        <w:t>صفر</w:t>
      </w:r>
      <w:r w:rsidRPr="00FE433F">
        <w:rPr>
          <w:i/>
          <w:sz w:val="23"/>
          <w:szCs w:val="23"/>
          <w:rtl/>
        </w:rPr>
        <w:t xml:space="preserve"> </w:t>
      </w:r>
      <w:r w:rsidRPr="00FE433F">
        <w:rPr>
          <w:rFonts w:hint="eastAsia"/>
          <w:i/>
          <w:sz w:val="23"/>
          <w:szCs w:val="23"/>
          <w:rtl/>
        </w:rPr>
        <w:t>باشد</w:t>
      </w:r>
      <w:r w:rsidRPr="00FE433F">
        <w:rPr>
          <w:i/>
          <w:sz w:val="23"/>
          <w:szCs w:val="23"/>
          <w:rtl/>
        </w:rPr>
        <w:t>.</w:t>
      </w:r>
    </w:p>
    <w:p w14:paraId="48515B44" w14:textId="77777777" w:rsidR="00411620" w:rsidRPr="00FE433F" w:rsidRDefault="00411620" w:rsidP="00411620">
      <w:pPr>
        <w:spacing w:line="216" w:lineRule="auto"/>
        <w:rPr>
          <w:i/>
          <w:sz w:val="23"/>
          <w:szCs w:val="23"/>
          <w:rtl/>
        </w:rPr>
      </w:pPr>
      <w:r w:rsidRPr="00FE433F">
        <w:rPr>
          <w:rFonts w:hint="eastAsia"/>
          <w:i/>
          <w:sz w:val="23"/>
          <w:szCs w:val="23"/>
          <w:rtl/>
        </w:rPr>
        <w:t>همان</w:t>
      </w:r>
      <w:r w:rsidRPr="00FE433F">
        <w:rPr>
          <w:i/>
          <w:sz w:val="23"/>
          <w:szCs w:val="23"/>
          <w:rtl/>
        </w:rPr>
        <w:softHyphen/>
      </w:r>
      <w:r w:rsidRPr="00FE433F">
        <w:rPr>
          <w:rFonts w:hint="eastAsia"/>
          <w:i/>
          <w:sz w:val="23"/>
          <w:szCs w:val="23"/>
          <w:rtl/>
        </w:rPr>
        <w:t>گونه</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نرخ</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اسم</w:t>
      </w:r>
      <w:r w:rsidRPr="00FE433F">
        <w:rPr>
          <w:rFonts w:hint="cs"/>
          <w:i/>
          <w:sz w:val="23"/>
          <w:szCs w:val="23"/>
          <w:rtl/>
        </w:rPr>
        <w:t>ی</w:t>
      </w:r>
      <w:r w:rsidRPr="00FE433F">
        <w:rPr>
          <w:i/>
          <w:sz w:val="23"/>
          <w:szCs w:val="23"/>
          <w:rtl/>
        </w:rPr>
        <w:t xml:space="preserve"> </w:t>
      </w:r>
      <w:r w:rsidRPr="00FE433F">
        <w:rPr>
          <w:rFonts w:hint="eastAsia"/>
          <w:i/>
          <w:sz w:val="23"/>
          <w:szCs w:val="23"/>
          <w:rtl/>
        </w:rPr>
        <w:t>بر</w:t>
      </w:r>
      <w:r w:rsidRPr="00FE433F">
        <w:rPr>
          <w:i/>
          <w:sz w:val="23"/>
          <w:szCs w:val="23"/>
          <w:rtl/>
        </w:rPr>
        <w:t xml:space="preserve"> </w:t>
      </w:r>
      <w:r w:rsidRPr="00FE433F">
        <w:rPr>
          <w:rFonts w:hint="eastAsia"/>
          <w:i/>
          <w:sz w:val="23"/>
          <w:szCs w:val="23"/>
          <w:rtl/>
        </w:rPr>
        <w:t>اساس</w:t>
      </w:r>
      <w:r w:rsidRPr="00FE433F">
        <w:rPr>
          <w:i/>
          <w:sz w:val="23"/>
          <w:szCs w:val="23"/>
          <w:rtl/>
        </w:rPr>
        <w:t xml:space="preserve"> </w:t>
      </w:r>
      <w:r w:rsidRPr="00FE433F">
        <w:rPr>
          <w:rFonts w:hint="eastAsia"/>
          <w:i/>
          <w:sz w:val="23"/>
          <w:szCs w:val="23"/>
          <w:rtl/>
        </w:rPr>
        <w:t>قاعده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فر</w:t>
      </w:r>
      <w:r w:rsidRPr="00FE433F">
        <w:rPr>
          <w:rFonts w:hint="cs"/>
          <w:i/>
          <w:sz w:val="23"/>
          <w:szCs w:val="23"/>
          <w:rtl/>
        </w:rPr>
        <w:t>ی</w:t>
      </w:r>
      <w:r w:rsidRPr="00FE433F">
        <w:rPr>
          <w:rFonts w:hint="eastAsia"/>
          <w:i/>
          <w:sz w:val="23"/>
          <w:szCs w:val="23"/>
          <w:rtl/>
        </w:rPr>
        <w:t>دمن</w:t>
      </w:r>
      <w:r w:rsidRPr="00FE433F">
        <w:rPr>
          <w:i/>
          <w:sz w:val="23"/>
          <w:szCs w:val="23"/>
          <w:rtl/>
        </w:rPr>
        <w:t xml:space="preserve"> </w:t>
      </w:r>
      <w:r w:rsidRPr="00FE433F">
        <w:rPr>
          <w:rFonts w:hint="eastAsia"/>
          <w:i/>
          <w:sz w:val="23"/>
          <w:szCs w:val="23"/>
          <w:rtl/>
        </w:rPr>
        <w:t>برابر</w:t>
      </w:r>
      <w:r w:rsidRPr="00FE433F">
        <w:rPr>
          <w:i/>
          <w:sz w:val="23"/>
          <w:szCs w:val="23"/>
          <w:rtl/>
        </w:rPr>
        <w:t xml:space="preserve"> </w:t>
      </w:r>
      <w:r w:rsidRPr="00FE433F">
        <w:rPr>
          <w:rFonts w:hint="eastAsia"/>
          <w:i/>
          <w:sz w:val="23"/>
          <w:szCs w:val="23"/>
          <w:rtl/>
        </w:rPr>
        <w:t>صفر</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باشند</w:t>
      </w:r>
      <w:r w:rsidRPr="00FE433F">
        <w:rPr>
          <w:rFonts w:hint="cs"/>
          <w:i/>
          <w:sz w:val="23"/>
          <w:szCs w:val="23"/>
          <w:rtl/>
        </w:rPr>
        <w:t xml:space="preserve">، </w:t>
      </w:r>
      <w:r w:rsidRPr="00FE433F">
        <w:rPr>
          <w:rFonts w:hint="eastAsia"/>
          <w:i/>
          <w:sz w:val="23"/>
          <w:szCs w:val="23"/>
          <w:rtl/>
        </w:rPr>
        <w:t>نرخ</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با</w:t>
      </w:r>
      <w:r w:rsidRPr="00FE433F">
        <w:rPr>
          <w:rFonts w:hint="cs"/>
          <w:i/>
          <w:sz w:val="23"/>
          <w:szCs w:val="23"/>
          <w:rtl/>
        </w:rPr>
        <w:t>ی</w:t>
      </w:r>
      <w:r w:rsidRPr="00FE433F">
        <w:rPr>
          <w:rFonts w:hint="eastAsia"/>
          <w:i/>
          <w:sz w:val="23"/>
          <w:szCs w:val="23"/>
          <w:rtl/>
        </w:rPr>
        <w:t>ست</w:t>
      </w:r>
      <w:r w:rsidRPr="00FE433F">
        <w:rPr>
          <w:i/>
          <w:sz w:val="23"/>
          <w:szCs w:val="23"/>
          <w:rtl/>
        </w:rPr>
        <w:t xml:space="preserve"> </w:t>
      </w:r>
      <w:r w:rsidRPr="00FE433F">
        <w:rPr>
          <w:rFonts w:hint="eastAsia"/>
          <w:i/>
          <w:sz w:val="23"/>
          <w:szCs w:val="23"/>
          <w:rtl/>
        </w:rPr>
        <w:t>برابر</w:t>
      </w:r>
      <w:r w:rsidRPr="00FE433F">
        <w:rPr>
          <w:i/>
          <w:sz w:val="23"/>
          <w:szCs w:val="23"/>
          <w:rtl/>
        </w:rPr>
        <w:t xml:space="preserve"> </w:t>
      </w:r>
      <w:r w:rsidRPr="00FE433F">
        <w:rPr>
          <w:rFonts w:hint="eastAsia"/>
          <w:i/>
          <w:sz w:val="23"/>
          <w:szCs w:val="23"/>
          <w:rtl/>
        </w:rPr>
        <w:t>باشند</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position w:val="-6"/>
        </w:rPr>
        <w:object w:dxaOrig="1520" w:dyaOrig="300" w14:anchorId="51A91FCA">
          <v:shape id="_x0000_i4349" type="#_x0000_t75" style="width:76.25pt;height:15.15pt" o:ole="">
            <v:imagedata r:id="rId6691" o:title=""/>
          </v:shape>
          <o:OLEObject Type="Embed" ProgID="Equation.DSMT4" ShapeID="_x0000_i4349" DrawAspect="Content" ObjectID="_1791378293" r:id="rId6692"/>
        </w:object>
      </w:r>
      <w:r w:rsidRPr="00FE433F">
        <w:rPr>
          <w:i/>
          <w:sz w:val="23"/>
          <w:szCs w:val="23"/>
        </w:rPr>
        <w:t>.</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هنگام</w:t>
      </w:r>
      <w:r w:rsidRPr="00FE433F">
        <w:rPr>
          <w:rFonts w:hint="cs"/>
          <w:i/>
          <w:sz w:val="23"/>
          <w:szCs w:val="23"/>
          <w:rtl/>
        </w:rPr>
        <w:t>ی</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نرخ</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بازده</w:t>
      </w:r>
      <w:r w:rsidRPr="00FE433F">
        <w:rPr>
          <w:rFonts w:hint="cs"/>
          <w:i/>
          <w:sz w:val="23"/>
          <w:szCs w:val="23"/>
          <w:rtl/>
        </w:rPr>
        <w:t>ی</w:t>
      </w:r>
      <w:r w:rsidRPr="00FE433F">
        <w:rPr>
          <w:i/>
          <w:sz w:val="23"/>
          <w:szCs w:val="23"/>
          <w:rtl/>
        </w:rPr>
        <w:t xml:space="preserve">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eastAsia"/>
          <w:i/>
          <w:sz w:val="23"/>
          <w:szCs w:val="23"/>
          <w:rtl/>
        </w:rPr>
        <w:t>غ</w:t>
      </w:r>
      <w:r w:rsidRPr="00FE433F">
        <w:rPr>
          <w:rFonts w:hint="cs"/>
          <w:i/>
          <w:sz w:val="23"/>
          <w:szCs w:val="23"/>
          <w:rtl/>
        </w:rPr>
        <w:t>ی</w:t>
      </w:r>
      <w:r w:rsidRPr="00FE433F">
        <w:rPr>
          <w:rFonts w:hint="eastAsia"/>
          <w:i/>
          <w:sz w:val="23"/>
          <w:szCs w:val="23"/>
          <w:rtl/>
        </w:rPr>
        <w:t>رمنف</w:t>
      </w:r>
      <w:r w:rsidRPr="00FE433F">
        <w:rPr>
          <w:rFonts w:hint="cs"/>
          <w:i/>
          <w:sz w:val="23"/>
          <w:szCs w:val="23"/>
          <w:rtl/>
        </w:rPr>
        <w:t>ی</w:t>
      </w:r>
      <w:r w:rsidRPr="00FE433F">
        <w:rPr>
          <w:i/>
          <w:sz w:val="23"/>
          <w:szCs w:val="23"/>
          <w:rtl/>
        </w:rPr>
        <w:t xml:space="preserve"> </w:t>
      </w:r>
      <w:r w:rsidRPr="00FE433F">
        <w:rPr>
          <w:rFonts w:hint="cs"/>
          <w:i/>
          <w:sz w:val="23"/>
          <w:szCs w:val="23"/>
          <w:rtl/>
        </w:rPr>
        <w:t>است</w:t>
      </w:r>
      <w:r w:rsidRPr="00FE433F">
        <w:rPr>
          <w:rFonts w:hint="eastAsia"/>
          <w:i/>
          <w:sz w:val="23"/>
          <w:szCs w:val="23"/>
          <w:rtl/>
        </w:rPr>
        <w:t>،</w:t>
      </w:r>
      <w:r w:rsidRPr="00FE433F">
        <w:rPr>
          <w:i/>
          <w:sz w:val="23"/>
          <w:szCs w:val="23"/>
          <w:rtl/>
        </w:rPr>
        <w:t xml:space="preserve"> </w:t>
      </w:r>
      <w:r w:rsidRPr="00FE433F">
        <w:rPr>
          <w:rFonts w:hint="eastAsia"/>
          <w:i/>
          <w:sz w:val="23"/>
          <w:szCs w:val="23"/>
          <w:rtl/>
        </w:rPr>
        <w:t>تورم</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با</w:t>
      </w:r>
      <w:r w:rsidRPr="00FE433F">
        <w:rPr>
          <w:rFonts w:hint="cs"/>
          <w:i/>
          <w:sz w:val="23"/>
          <w:szCs w:val="23"/>
          <w:rtl/>
        </w:rPr>
        <w:t>ی</w:t>
      </w:r>
      <w:r w:rsidRPr="00FE433F">
        <w:rPr>
          <w:rFonts w:hint="eastAsia"/>
          <w:i/>
          <w:sz w:val="23"/>
          <w:szCs w:val="23"/>
          <w:rtl/>
        </w:rPr>
        <w:t>ست</w:t>
      </w:r>
      <w:r w:rsidRPr="00FE433F">
        <w:rPr>
          <w:i/>
          <w:sz w:val="23"/>
          <w:szCs w:val="23"/>
          <w:rtl/>
        </w:rPr>
        <w:t xml:space="preserve"> </w:t>
      </w:r>
      <w:r w:rsidRPr="00FE433F">
        <w:rPr>
          <w:rFonts w:hint="eastAsia"/>
          <w:i/>
          <w:sz w:val="23"/>
          <w:szCs w:val="23"/>
          <w:rtl/>
        </w:rPr>
        <w:t>غ</w:t>
      </w:r>
      <w:r w:rsidRPr="00FE433F">
        <w:rPr>
          <w:rFonts w:hint="cs"/>
          <w:i/>
          <w:sz w:val="23"/>
          <w:szCs w:val="23"/>
          <w:rtl/>
        </w:rPr>
        <w:t>ی</w:t>
      </w:r>
      <w:r w:rsidRPr="00FE433F">
        <w:rPr>
          <w:rFonts w:hint="eastAsia"/>
          <w:i/>
          <w:sz w:val="23"/>
          <w:szCs w:val="23"/>
          <w:rtl/>
        </w:rPr>
        <w:t>رمثبت</w:t>
      </w:r>
      <w:r w:rsidRPr="00FE433F">
        <w:rPr>
          <w:i/>
          <w:sz w:val="23"/>
          <w:szCs w:val="23"/>
          <w:rtl/>
        </w:rPr>
        <w:t xml:space="preserve"> </w:t>
      </w:r>
      <w:r w:rsidRPr="00FE433F">
        <w:rPr>
          <w:rFonts w:hint="eastAsia"/>
          <w:i/>
          <w:sz w:val="23"/>
          <w:szCs w:val="23"/>
          <w:rtl/>
        </w:rPr>
        <w:t>باشد</w:t>
      </w:r>
      <w:r w:rsidRPr="00FE433F">
        <w:rPr>
          <w:i/>
          <w:sz w:val="23"/>
          <w:szCs w:val="23"/>
          <w:rtl/>
        </w:rPr>
        <w:t xml:space="preserve">. </w:t>
      </w:r>
      <w:r w:rsidRPr="00FE433F">
        <w:rPr>
          <w:rFonts w:hint="eastAsia"/>
          <w:i/>
          <w:sz w:val="23"/>
          <w:szCs w:val="23"/>
          <w:rtl/>
        </w:rPr>
        <w:t>موضوع</w:t>
      </w:r>
      <w:r w:rsidRPr="00FE433F">
        <w:rPr>
          <w:i/>
          <w:sz w:val="23"/>
          <w:szCs w:val="23"/>
          <w:rtl/>
        </w:rPr>
        <w:t xml:space="preserve"> </w:t>
      </w:r>
      <w:r w:rsidRPr="00FE433F">
        <w:rPr>
          <w:rFonts w:hint="eastAsia"/>
          <w:i/>
          <w:sz w:val="23"/>
          <w:szCs w:val="23"/>
          <w:rtl/>
        </w:rPr>
        <w:t>به</w:t>
      </w:r>
      <w:r w:rsidRPr="00FE433F">
        <w:rPr>
          <w:rFonts w:hint="cs"/>
          <w:i/>
          <w:sz w:val="23"/>
          <w:szCs w:val="23"/>
          <w:rtl/>
        </w:rPr>
        <w:t>ی</w:t>
      </w:r>
      <w:r w:rsidRPr="00FE433F">
        <w:rPr>
          <w:rFonts w:hint="eastAsia"/>
          <w:i/>
          <w:sz w:val="23"/>
          <w:szCs w:val="23"/>
          <w:rtl/>
        </w:rPr>
        <w:t>نه</w:t>
      </w:r>
      <w:r w:rsidRPr="00FE433F">
        <w:rPr>
          <w:i/>
          <w:sz w:val="23"/>
          <w:szCs w:val="23"/>
          <w:rtl/>
        </w:rPr>
        <w:t xml:space="preserve"> </w:t>
      </w:r>
      <w:r w:rsidRPr="00FE433F">
        <w:rPr>
          <w:rFonts w:hint="eastAsia"/>
          <w:i/>
          <w:sz w:val="23"/>
          <w:szCs w:val="23"/>
          <w:rtl/>
        </w:rPr>
        <w:t>بودن</w:t>
      </w:r>
      <w:r w:rsidRPr="00FE433F">
        <w:rPr>
          <w:i/>
          <w:sz w:val="23"/>
          <w:szCs w:val="23"/>
          <w:rtl/>
        </w:rPr>
        <w:t xml:space="preserve"> </w:t>
      </w:r>
      <w:r w:rsidRPr="00FE433F">
        <w:rPr>
          <w:rFonts w:hint="eastAsia"/>
          <w:i/>
          <w:sz w:val="23"/>
          <w:szCs w:val="23"/>
          <w:rtl/>
        </w:rPr>
        <w:t>قاعده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فر</w:t>
      </w:r>
      <w:r w:rsidRPr="00FE433F">
        <w:rPr>
          <w:rFonts w:hint="cs"/>
          <w:i/>
          <w:sz w:val="23"/>
          <w:szCs w:val="23"/>
          <w:rtl/>
        </w:rPr>
        <w:t>ی</w:t>
      </w:r>
      <w:r w:rsidRPr="00FE433F">
        <w:rPr>
          <w:rFonts w:hint="eastAsia"/>
          <w:i/>
          <w:sz w:val="23"/>
          <w:szCs w:val="23"/>
          <w:rtl/>
        </w:rPr>
        <w:t>دمن</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قسمت</w:t>
      </w:r>
      <w:r w:rsidRPr="00FE433F">
        <w:rPr>
          <w:i/>
          <w:sz w:val="23"/>
          <w:szCs w:val="23"/>
          <w:rtl/>
        </w:rPr>
        <w:t xml:space="preserve"> </w:t>
      </w:r>
      <w:r w:rsidRPr="00FE433F">
        <w:rPr>
          <w:rFonts w:hint="eastAsia"/>
          <w:i/>
          <w:sz w:val="23"/>
          <w:szCs w:val="23"/>
          <w:rtl/>
        </w:rPr>
        <w:t>بعد</w:t>
      </w:r>
      <w:r w:rsidRPr="00FE433F">
        <w:rPr>
          <w:rFonts w:hint="cs"/>
          <w:i/>
          <w:sz w:val="23"/>
          <w:szCs w:val="23"/>
          <w:rtl/>
        </w:rPr>
        <w:t>ی</w:t>
      </w:r>
      <w:r w:rsidRPr="00FE433F">
        <w:rPr>
          <w:i/>
          <w:sz w:val="23"/>
          <w:szCs w:val="23"/>
          <w:rtl/>
        </w:rPr>
        <w:t xml:space="preserve"> </w:t>
      </w:r>
      <w:r w:rsidRPr="00FE433F">
        <w:rPr>
          <w:rFonts w:hint="eastAsia"/>
          <w:i/>
          <w:sz w:val="23"/>
          <w:szCs w:val="23"/>
          <w:rtl/>
        </w:rPr>
        <w:t>بررس</w:t>
      </w:r>
      <w:r w:rsidRPr="00FE433F">
        <w:rPr>
          <w:rFonts w:hint="cs"/>
          <w:i/>
          <w:sz w:val="23"/>
          <w:szCs w:val="23"/>
          <w:rtl/>
        </w:rPr>
        <w:t>ی</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شود</w:t>
      </w:r>
      <w:r w:rsidRPr="00FE433F">
        <w:rPr>
          <w:i/>
          <w:sz w:val="23"/>
          <w:szCs w:val="23"/>
          <w:rtl/>
        </w:rPr>
        <w:t>.</w:t>
      </w:r>
    </w:p>
    <w:p w14:paraId="742723A8" w14:textId="77777777" w:rsidR="00411620" w:rsidRPr="00FE433F" w:rsidRDefault="00411620" w:rsidP="00411620">
      <w:pPr>
        <w:spacing w:line="216" w:lineRule="auto"/>
        <w:rPr>
          <w:i/>
          <w:sz w:val="23"/>
          <w:szCs w:val="23"/>
          <w:rtl/>
        </w:rPr>
      </w:pPr>
    </w:p>
    <w:p w14:paraId="1C8FC9B6" w14:textId="77777777" w:rsidR="00411620" w:rsidRPr="00FE433F" w:rsidRDefault="00411620" w:rsidP="00411620">
      <w:pPr>
        <w:spacing w:line="216" w:lineRule="auto"/>
        <w:rPr>
          <w:bCs/>
          <w:i/>
          <w:sz w:val="23"/>
          <w:szCs w:val="23"/>
          <w:rtl/>
        </w:rPr>
      </w:pPr>
      <w:r w:rsidRPr="00FE433F">
        <w:rPr>
          <w:rFonts w:hint="eastAsia"/>
          <w:bCs/>
          <w:i/>
          <w:sz w:val="23"/>
          <w:szCs w:val="23"/>
          <w:rtl/>
        </w:rPr>
        <w:t>به</w:t>
      </w:r>
      <w:r w:rsidRPr="00FE433F">
        <w:rPr>
          <w:rFonts w:hint="cs"/>
          <w:bCs/>
          <w:i/>
          <w:sz w:val="23"/>
          <w:szCs w:val="23"/>
          <w:rtl/>
        </w:rPr>
        <w:t>ی</w:t>
      </w:r>
      <w:r w:rsidRPr="00FE433F">
        <w:rPr>
          <w:rFonts w:hint="eastAsia"/>
          <w:bCs/>
          <w:i/>
          <w:sz w:val="23"/>
          <w:szCs w:val="23"/>
          <w:rtl/>
        </w:rPr>
        <w:t>نگ</w:t>
      </w:r>
      <w:r w:rsidRPr="00FE433F">
        <w:rPr>
          <w:rFonts w:hint="cs"/>
          <w:bCs/>
          <w:i/>
          <w:sz w:val="23"/>
          <w:szCs w:val="23"/>
          <w:rtl/>
        </w:rPr>
        <w:t>ی</w:t>
      </w:r>
      <w:r w:rsidRPr="00FE433F">
        <w:rPr>
          <w:bCs/>
          <w:i/>
          <w:sz w:val="23"/>
          <w:szCs w:val="23"/>
          <w:rtl/>
        </w:rPr>
        <w:t xml:space="preserve"> </w:t>
      </w:r>
      <w:r w:rsidRPr="00FE433F">
        <w:rPr>
          <w:rFonts w:hint="eastAsia"/>
          <w:bCs/>
          <w:i/>
          <w:sz w:val="23"/>
          <w:szCs w:val="23"/>
          <w:rtl/>
        </w:rPr>
        <w:t>قاعده</w:t>
      </w:r>
      <w:r w:rsidRPr="00FE433F">
        <w:rPr>
          <w:rFonts w:hint="eastAsia"/>
          <w:bCs/>
          <w:i/>
          <w:sz w:val="23"/>
          <w:szCs w:val="23"/>
        </w:rPr>
        <w:t>‌</w:t>
      </w:r>
      <w:r w:rsidRPr="00FE433F">
        <w:rPr>
          <w:rFonts w:hint="cs"/>
          <w:bCs/>
          <w:i/>
          <w:sz w:val="23"/>
          <w:szCs w:val="23"/>
          <w:rtl/>
        </w:rPr>
        <w:t>ی</w:t>
      </w:r>
      <w:r w:rsidRPr="00FE433F">
        <w:rPr>
          <w:bCs/>
          <w:i/>
          <w:sz w:val="23"/>
          <w:szCs w:val="23"/>
          <w:rtl/>
        </w:rPr>
        <w:t xml:space="preserve"> </w:t>
      </w:r>
      <w:r w:rsidRPr="00FE433F">
        <w:rPr>
          <w:rFonts w:hint="eastAsia"/>
          <w:bCs/>
          <w:i/>
          <w:sz w:val="23"/>
          <w:szCs w:val="23"/>
          <w:rtl/>
        </w:rPr>
        <w:t>فر</w:t>
      </w:r>
      <w:r w:rsidRPr="00FE433F">
        <w:rPr>
          <w:rFonts w:hint="cs"/>
          <w:bCs/>
          <w:i/>
          <w:sz w:val="23"/>
          <w:szCs w:val="23"/>
          <w:rtl/>
        </w:rPr>
        <w:t>ی</w:t>
      </w:r>
      <w:r w:rsidRPr="00FE433F">
        <w:rPr>
          <w:rFonts w:hint="eastAsia"/>
          <w:bCs/>
          <w:i/>
          <w:sz w:val="23"/>
          <w:szCs w:val="23"/>
          <w:rtl/>
        </w:rPr>
        <w:t>دمن</w:t>
      </w:r>
    </w:p>
    <w:p w14:paraId="533A1153" w14:textId="77777777" w:rsidR="00411620" w:rsidRPr="00FE433F" w:rsidRDefault="00411620" w:rsidP="00411620">
      <w:pPr>
        <w:spacing w:line="216" w:lineRule="auto"/>
        <w:rPr>
          <w:i/>
          <w:sz w:val="23"/>
          <w:szCs w:val="23"/>
          <w:rtl/>
        </w:rPr>
      </w:pPr>
      <w:r w:rsidRPr="00FE433F">
        <w:rPr>
          <w:rFonts w:hint="eastAsia"/>
          <w:i/>
          <w:sz w:val="23"/>
          <w:szCs w:val="23"/>
          <w:rtl/>
        </w:rPr>
        <w:t>فرض</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شود</w:t>
      </w:r>
      <w:r w:rsidRPr="00FE433F">
        <w:rPr>
          <w:i/>
          <w:sz w:val="23"/>
          <w:szCs w:val="23"/>
          <w:rtl/>
        </w:rPr>
        <w:t xml:space="preserve"> </w:t>
      </w:r>
      <w:r w:rsidRPr="00FE433F">
        <w:rPr>
          <w:rFonts w:hint="eastAsia"/>
          <w:i/>
          <w:sz w:val="23"/>
          <w:szCs w:val="23"/>
          <w:rtl/>
        </w:rPr>
        <w:t>دولت</w:t>
      </w:r>
      <w:r w:rsidRPr="00FE433F">
        <w:rPr>
          <w:i/>
          <w:sz w:val="23"/>
          <w:szCs w:val="23"/>
          <w:rtl/>
        </w:rPr>
        <w:t xml:space="preserve"> </w:t>
      </w:r>
      <w:r w:rsidRPr="00FE433F">
        <w:rPr>
          <w:rFonts w:hint="eastAsia"/>
          <w:i/>
          <w:sz w:val="23"/>
          <w:szCs w:val="23"/>
          <w:rtl/>
        </w:rPr>
        <w:t>م</w:t>
      </w:r>
      <w:r w:rsidRPr="00FE433F">
        <w:rPr>
          <w:rFonts w:hint="cs"/>
          <w:i/>
          <w:sz w:val="23"/>
          <w:szCs w:val="23"/>
          <w:rtl/>
        </w:rPr>
        <w:t>طلوبی</w:t>
      </w:r>
      <w:r w:rsidRPr="00FE433F">
        <w:rPr>
          <w:rFonts w:hint="eastAsia"/>
          <w:i/>
          <w:sz w:val="23"/>
          <w:szCs w:val="23"/>
          <w:rtl/>
        </w:rPr>
        <w:t>ت</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نسبت</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منابع</w:t>
      </w:r>
      <w:r w:rsidRPr="00FE433F">
        <w:rPr>
          <w:i/>
          <w:sz w:val="23"/>
          <w:szCs w:val="23"/>
          <w:rtl/>
        </w:rPr>
        <w:t xml:space="preserve"> </w:t>
      </w:r>
      <w:r w:rsidRPr="00FE433F">
        <w:rPr>
          <w:rFonts w:hint="eastAsia"/>
          <w:i/>
          <w:sz w:val="23"/>
          <w:szCs w:val="23"/>
          <w:rtl/>
        </w:rPr>
        <w:t>اقتصاد</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شرط</w:t>
      </w:r>
      <w:r w:rsidRPr="00FE433F">
        <w:rPr>
          <w:i/>
          <w:sz w:val="23"/>
          <w:szCs w:val="23"/>
          <w:rtl/>
        </w:rPr>
        <w:t xml:space="preserve"> </w:t>
      </w:r>
      <w:r w:rsidRPr="00FE433F">
        <w:rPr>
          <w:rFonts w:hint="eastAsia"/>
          <w:i/>
          <w:sz w:val="23"/>
          <w:szCs w:val="23"/>
          <w:rtl/>
        </w:rPr>
        <w:t>به</w:t>
      </w:r>
      <w:r w:rsidRPr="00FE433F">
        <w:rPr>
          <w:rFonts w:hint="cs"/>
          <w:i/>
          <w:sz w:val="23"/>
          <w:szCs w:val="23"/>
          <w:rtl/>
        </w:rPr>
        <w:t>ی</w:t>
      </w:r>
      <w:r w:rsidRPr="00FE433F">
        <w:rPr>
          <w:rFonts w:hint="eastAsia"/>
          <w:i/>
          <w:sz w:val="23"/>
          <w:szCs w:val="23"/>
          <w:rtl/>
        </w:rPr>
        <w:t>نگ</w:t>
      </w:r>
      <w:r w:rsidRPr="00FE433F">
        <w:rPr>
          <w:rFonts w:hint="cs"/>
          <w:i/>
          <w:sz w:val="23"/>
          <w:szCs w:val="23"/>
          <w:rtl/>
        </w:rPr>
        <w:t>ی</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طر</w:t>
      </w:r>
      <w:r w:rsidRPr="00FE433F">
        <w:rPr>
          <w:rFonts w:hint="cs"/>
          <w:i/>
          <w:sz w:val="23"/>
          <w:szCs w:val="23"/>
          <w:rtl/>
        </w:rPr>
        <w:t>ی</w:t>
      </w:r>
      <w:r w:rsidRPr="00FE433F">
        <w:rPr>
          <w:rFonts w:hint="eastAsia"/>
          <w:i/>
          <w:sz w:val="23"/>
          <w:szCs w:val="23"/>
          <w:rtl/>
        </w:rPr>
        <w:t>ق</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اعمال</w:t>
      </w:r>
      <w:r w:rsidRPr="00FE433F">
        <w:rPr>
          <w:rFonts w:hint="cs"/>
          <w:i/>
          <w:sz w:val="23"/>
          <w:szCs w:val="23"/>
          <w:rtl/>
        </w:rPr>
        <w:t>ی</w:t>
      </w:r>
      <w:r w:rsidRPr="00FE433F">
        <w:rPr>
          <w:i/>
          <w:sz w:val="23"/>
          <w:szCs w:val="23"/>
          <w:rtl/>
        </w:rPr>
        <w:t xml:space="preserve"> </w:t>
      </w:r>
      <w:r w:rsidRPr="00FE433F">
        <w:rPr>
          <w:rFonts w:hint="eastAsia"/>
          <w:i/>
          <w:sz w:val="23"/>
          <w:szCs w:val="23"/>
          <w:rtl/>
        </w:rPr>
        <w:t>ز</w:t>
      </w:r>
      <w:r w:rsidRPr="00FE433F">
        <w:rPr>
          <w:rFonts w:hint="cs"/>
          <w:i/>
          <w:sz w:val="23"/>
          <w:szCs w:val="23"/>
          <w:rtl/>
        </w:rPr>
        <w:t>ی</w:t>
      </w:r>
      <w:r w:rsidRPr="00FE433F">
        <w:rPr>
          <w:rFonts w:hint="eastAsia"/>
          <w:i/>
          <w:sz w:val="23"/>
          <w:szCs w:val="23"/>
          <w:rtl/>
        </w:rPr>
        <w:t>ر</w:t>
      </w:r>
      <w:r w:rsidRPr="00FE433F">
        <w:rPr>
          <w:i/>
          <w:sz w:val="23"/>
          <w:szCs w:val="23"/>
          <w:rtl/>
        </w:rPr>
        <w:t xml:space="preserve"> </w:t>
      </w:r>
      <w:r w:rsidRPr="00FE433F">
        <w:rPr>
          <w:rFonts w:hint="eastAsia"/>
          <w:i/>
          <w:sz w:val="23"/>
          <w:szCs w:val="23"/>
          <w:rtl/>
        </w:rPr>
        <w:t>حداکثر</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کند</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اعمال</w:t>
      </w:r>
      <w:r w:rsidRPr="00FE433F">
        <w:rPr>
          <w:rFonts w:hint="cs"/>
          <w:i/>
          <w:sz w:val="23"/>
          <w:szCs w:val="23"/>
          <w:rtl/>
        </w:rPr>
        <w:t>ی</w:t>
      </w:r>
      <w:r w:rsidRPr="00FE433F">
        <w:rPr>
          <w:i/>
          <w:sz w:val="23"/>
          <w:szCs w:val="23"/>
          <w:rtl/>
        </w:rPr>
        <w:t xml:space="preserve"> </w:t>
      </w:r>
      <w:r w:rsidRPr="00FE433F">
        <w:rPr>
          <w:rFonts w:hint="eastAsia"/>
          <w:i/>
          <w:sz w:val="23"/>
          <w:szCs w:val="23"/>
          <w:rtl/>
        </w:rPr>
        <w:t>شب</w:t>
      </w:r>
      <w:r w:rsidRPr="00FE433F">
        <w:rPr>
          <w:rFonts w:hint="cs"/>
          <w:i/>
          <w:sz w:val="23"/>
          <w:szCs w:val="23"/>
          <w:rtl/>
        </w:rPr>
        <w:t>ی</w:t>
      </w:r>
      <w:r w:rsidRPr="00FE433F">
        <w:rPr>
          <w:rFonts w:hint="eastAsia"/>
          <w:i/>
          <w:sz w:val="23"/>
          <w:szCs w:val="23"/>
          <w:rtl/>
        </w:rPr>
        <w:t>ه</w:t>
      </w:r>
      <w:r w:rsidRPr="00FE433F">
        <w:rPr>
          <w:i/>
          <w:sz w:val="23"/>
          <w:szCs w:val="23"/>
          <w:rtl/>
        </w:rPr>
        <w:t xml:space="preserve"> </w:t>
      </w:r>
      <w:r w:rsidRPr="00FE433F">
        <w:rPr>
          <w:rFonts w:hint="eastAsia"/>
          <w:i/>
          <w:sz w:val="23"/>
          <w:szCs w:val="23"/>
          <w:rtl/>
        </w:rPr>
        <w:t>تجز</w:t>
      </w:r>
      <w:r w:rsidRPr="00FE433F">
        <w:rPr>
          <w:rFonts w:hint="cs"/>
          <w:i/>
          <w:sz w:val="23"/>
          <w:szCs w:val="23"/>
          <w:rtl/>
        </w:rPr>
        <w:t>ی</w:t>
      </w:r>
      <w:r w:rsidRPr="00FE433F">
        <w:rPr>
          <w:rFonts w:hint="eastAsia"/>
          <w:i/>
          <w:sz w:val="23"/>
          <w:szCs w:val="23"/>
          <w:rtl/>
        </w:rPr>
        <w:t>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تحل</w:t>
      </w:r>
      <w:r w:rsidRPr="00FE433F">
        <w:rPr>
          <w:rFonts w:hint="cs"/>
          <w:i/>
          <w:sz w:val="23"/>
          <w:szCs w:val="23"/>
          <w:rtl/>
        </w:rPr>
        <w:t>ی</w:t>
      </w:r>
      <w:r w:rsidRPr="00FE433F">
        <w:rPr>
          <w:rFonts w:hint="eastAsia"/>
          <w:i/>
          <w:sz w:val="23"/>
          <w:szCs w:val="23"/>
          <w:rtl/>
        </w:rPr>
        <w:t>ل</w:t>
      </w:r>
      <w:r w:rsidRPr="00FE433F">
        <w:rPr>
          <w:i/>
          <w:sz w:val="23"/>
          <w:szCs w:val="23"/>
          <w:rtl/>
        </w:rPr>
        <w:t xml:space="preserve"> </w:t>
      </w:r>
      <w:r w:rsidRPr="00FE433F">
        <w:rPr>
          <w:rFonts w:hint="eastAsia"/>
          <w:i/>
          <w:sz w:val="23"/>
          <w:szCs w:val="23"/>
          <w:rtl/>
        </w:rPr>
        <w:t>س</w:t>
      </w:r>
      <w:r w:rsidRPr="00FE433F">
        <w:rPr>
          <w:rFonts w:hint="cs"/>
          <w:i/>
          <w:sz w:val="23"/>
          <w:szCs w:val="23"/>
          <w:rtl/>
        </w:rPr>
        <w:t>ی</w:t>
      </w:r>
      <w:r w:rsidRPr="00FE433F">
        <w:rPr>
          <w:rFonts w:hint="eastAsia"/>
          <w:i/>
          <w:sz w:val="23"/>
          <w:szCs w:val="23"/>
          <w:rtl/>
        </w:rPr>
        <w:t>است</w:t>
      </w:r>
      <w:r w:rsidRPr="00FE433F">
        <w:rPr>
          <w:i/>
          <w:sz w:val="23"/>
          <w:szCs w:val="23"/>
          <w:rtl/>
        </w:rPr>
        <w:t xml:space="preserve"> </w:t>
      </w:r>
      <w:r w:rsidRPr="00FE433F">
        <w:rPr>
          <w:rFonts w:hint="eastAsia"/>
          <w:i/>
          <w:sz w:val="23"/>
          <w:szCs w:val="23"/>
          <w:rtl/>
        </w:rPr>
        <w:t>مال</w:t>
      </w:r>
      <w:r w:rsidRPr="00FE433F">
        <w:rPr>
          <w:rFonts w:hint="cs"/>
          <w:i/>
          <w:sz w:val="23"/>
          <w:szCs w:val="23"/>
          <w:rtl/>
        </w:rPr>
        <w:t>ی</w:t>
      </w:r>
      <w:r w:rsidRPr="00FE433F">
        <w:rPr>
          <w:rFonts w:hint="eastAsia"/>
          <w:i/>
          <w:sz w:val="23"/>
          <w:szCs w:val="23"/>
          <w:rtl/>
        </w:rPr>
        <w:t>ات</w:t>
      </w:r>
      <w:r w:rsidRPr="00FE433F">
        <w:rPr>
          <w:rFonts w:hint="cs"/>
          <w:i/>
          <w:sz w:val="23"/>
          <w:szCs w:val="23"/>
          <w:rtl/>
        </w:rPr>
        <w:t>ی</w:t>
      </w:r>
      <w:r w:rsidRPr="00FE433F">
        <w:rPr>
          <w:i/>
          <w:sz w:val="23"/>
          <w:szCs w:val="23"/>
          <w:rtl/>
        </w:rPr>
        <w:t xml:space="preserve"> </w:t>
      </w:r>
      <w:r w:rsidRPr="00FE433F">
        <w:rPr>
          <w:rFonts w:hint="eastAsia"/>
          <w:i/>
          <w:sz w:val="23"/>
          <w:szCs w:val="23"/>
          <w:rtl/>
        </w:rPr>
        <w:t>فصل</w:t>
      </w:r>
      <w:r w:rsidRPr="00FE433F">
        <w:rPr>
          <w:i/>
          <w:sz w:val="23"/>
          <w:szCs w:val="23"/>
          <w:rtl/>
        </w:rPr>
        <w:t xml:space="preserve"> </w:t>
      </w:r>
      <w:r w:rsidRPr="00FE433F">
        <w:rPr>
          <w:rFonts w:hint="eastAsia"/>
          <w:i/>
          <w:sz w:val="23"/>
          <w:szCs w:val="23"/>
          <w:rtl/>
        </w:rPr>
        <w:t>پنجم</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باشد</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جا</w:t>
      </w:r>
      <w:r w:rsidRPr="00FE433F">
        <w:rPr>
          <w:rFonts w:hint="cs"/>
          <w:i/>
          <w:sz w:val="23"/>
          <w:szCs w:val="23"/>
          <w:rtl/>
        </w:rPr>
        <w:t>یگذ</w:t>
      </w:r>
      <w:r w:rsidRPr="00FE433F">
        <w:rPr>
          <w:rFonts w:hint="eastAsia"/>
          <w:i/>
          <w:sz w:val="23"/>
          <w:szCs w:val="23"/>
          <w:rtl/>
        </w:rPr>
        <w:t>ار</w:t>
      </w:r>
      <w:r w:rsidRPr="00FE433F">
        <w:rPr>
          <w:rFonts w:hint="cs"/>
          <w:i/>
          <w:sz w:val="23"/>
          <w:szCs w:val="23"/>
          <w:rtl/>
        </w:rPr>
        <w:t>ی</w:t>
      </w:r>
      <w:r w:rsidRPr="00FE433F">
        <w:rPr>
          <w:i/>
          <w:sz w:val="23"/>
          <w:szCs w:val="23"/>
          <w:rtl/>
        </w:rPr>
        <w:t xml:space="preserve"> </w:t>
      </w:r>
      <w:r w:rsidRPr="00FE433F">
        <w:rPr>
          <w:rFonts w:hint="eastAsia"/>
          <w:i/>
          <w:sz w:val="23"/>
          <w:szCs w:val="23"/>
          <w:rtl/>
        </w:rPr>
        <w:t>نرخ</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بازده</w:t>
      </w:r>
      <w:r w:rsidRPr="00FE433F">
        <w:rPr>
          <w:rFonts w:hint="cs"/>
          <w:i/>
          <w:sz w:val="23"/>
          <w:szCs w:val="23"/>
          <w:rtl/>
        </w:rPr>
        <w:t>ی</w:t>
      </w:r>
      <w:r w:rsidRPr="00FE433F">
        <w:rPr>
          <w:i/>
          <w:sz w:val="23"/>
          <w:szCs w:val="23"/>
          <w:rtl/>
        </w:rPr>
        <w:t xml:space="preserve"> </w:t>
      </w:r>
      <w:r w:rsidRPr="00FE433F">
        <w:rPr>
          <w:rFonts w:hint="eastAsia"/>
          <w:i/>
          <w:sz w:val="23"/>
          <w:szCs w:val="23"/>
          <w:rtl/>
        </w:rPr>
        <w:t>سرما</w:t>
      </w:r>
      <w:r w:rsidRPr="00FE433F">
        <w:rPr>
          <w:rFonts w:hint="cs"/>
          <w:i/>
          <w:sz w:val="23"/>
          <w:szCs w:val="23"/>
          <w:rtl/>
        </w:rPr>
        <w:t>ی</w:t>
      </w:r>
      <w:r w:rsidRPr="00FE433F">
        <w:rPr>
          <w:rFonts w:hint="eastAsia"/>
          <w:i/>
          <w:sz w:val="23"/>
          <w:szCs w:val="23"/>
          <w:rtl/>
        </w:rPr>
        <w:t>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اوراق</w:t>
      </w:r>
      <w:r w:rsidRPr="00FE433F">
        <w:rPr>
          <w:i/>
          <w:sz w:val="23"/>
          <w:szCs w:val="23"/>
          <w:rtl/>
        </w:rPr>
        <w:t xml:space="preserve"> </w:t>
      </w:r>
      <w:r w:rsidRPr="00FE433F">
        <w:rPr>
          <w:rFonts w:hint="eastAsia"/>
          <w:i/>
          <w:sz w:val="23"/>
          <w:szCs w:val="23"/>
          <w:rtl/>
        </w:rPr>
        <w:t>قرضه</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خانوار</w:t>
      </w:r>
      <w:r w:rsidRPr="00FE433F">
        <w:rPr>
          <w:rFonts w:hint="cs"/>
          <w:i/>
          <w:sz w:val="23"/>
          <w:szCs w:val="23"/>
          <w:rtl/>
        </w:rPr>
        <w:t>،</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بکارگ</w:t>
      </w:r>
      <w:r w:rsidRPr="00FE433F">
        <w:rPr>
          <w:rFonts w:hint="cs"/>
          <w:i/>
          <w:sz w:val="23"/>
          <w:szCs w:val="23"/>
          <w:rtl/>
        </w:rPr>
        <w:t>ی</w:t>
      </w:r>
      <w:r w:rsidRPr="00FE433F">
        <w:rPr>
          <w:rFonts w:hint="eastAsia"/>
          <w:i/>
          <w:sz w:val="23"/>
          <w:szCs w:val="23"/>
          <w:rtl/>
        </w:rPr>
        <w:t>ر</w:t>
      </w:r>
      <w:r w:rsidRPr="00FE433F">
        <w:rPr>
          <w:rFonts w:hint="cs"/>
          <w:i/>
          <w:sz w:val="23"/>
          <w:szCs w:val="23"/>
          <w:rtl/>
        </w:rPr>
        <w:t>ی</w:t>
      </w:r>
      <w:r w:rsidRPr="00FE433F">
        <w:rPr>
          <w:i/>
          <w:sz w:val="23"/>
          <w:szCs w:val="23"/>
          <w:rtl/>
        </w:rPr>
        <w:t xml:space="preserve"> </w:t>
      </w:r>
      <w:r w:rsidRPr="00FE433F">
        <w:rPr>
          <w:rFonts w:hint="eastAsia"/>
          <w:i/>
          <w:sz w:val="23"/>
          <w:szCs w:val="23"/>
          <w:rtl/>
        </w:rPr>
        <w:t>شرط</w:t>
      </w:r>
      <w:r w:rsidRPr="00FE433F">
        <w:rPr>
          <w:i/>
          <w:sz w:val="23"/>
          <w:szCs w:val="23"/>
          <w:rtl/>
        </w:rPr>
        <w:t xml:space="preserve"> </w:t>
      </w:r>
      <w:r w:rsidRPr="00FE433F">
        <w:rPr>
          <w:rFonts w:hint="eastAsia"/>
          <w:i/>
          <w:sz w:val="23"/>
          <w:szCs w:val="23"/>
          <w:rtl/>
        </w:rPr>
        <w:t>مرتبه</w:t>
      </w:r>
      <w:r w:rsidRPr="00FE433F">
        <w:rPr>
          <w:i/>
          <w:sz w:val="23"/>
          <w:szCs w:val="23"/>
          <w:rtl/>
        </w:rPr>
        <w:t xml:space="preserve"> </w:t>
      </w:r>
      <w:r w:rsidRPr="00FE433F">
        <w:rPr>
          <w:rFonts w:hint="eastAsia"/>
          <w:i/>
          <w:sz w:val="23"/>
          <w:szCs w:val="23"/>
          <w:rtl/>
        </w:rPr>
        <w:t>اول</w:t>
      </w:r>
      <w:r w:rsidRPr="00FE433F">
        <w:rPr>
          <w:i/>
          <w:sz w:val="23"/>
          <w:szCs w:val="23"/>
          <w:rtl/>
        </w:rPr>
        <w:t xml:space="preserve"> </w:t>
      </w:r>
      <w:r w:rsidRPr="00FE433F">
        <w:rPr>
          <w:rFonts w:hint="eastAsia"/>
          <w:i/>
          <w:sz w:val="23"/>
          <w:szCs w:val="23"/>
          <w:rtl/>
        </w:rPr>
        <w:t>اوراق</w:t>
      </w:r>
      <w:r w:rsidRPr="00FE433F">
        <w:rPr>
          <w:i/>
          <w:sz w:val="23"/>
          <w:szCs w:val="23"/>
          <w:rtl/>
        </w:rPr>
        <w:t xml:space="preserve"> </w:t>
      </w:r>
      <w:r w:rsidRPr="00FE433F">
        <w:rPr>
          <w:rFonts w:hint="eastAsia"/>
          <w:i/>
          <w:sz w:val="23"/>
          <w:szCs w:val="23"/>
          <w:rtl/>
        </w:rPr>
        <w:t>قرضه</w:t>
      </w:r>
      <w:r w:rsidRPr="00FE433F">
        <w:rPr>
          <w:i/>
          <w:sz w:val="23"/>
          <w:szCs w:val="23"/>
          <w:rtl/>
        </w:rPr>
        <w:t xml:space="preserve"> </w:t>
      </w:r>
      <w:r w:rsidRPr="00FE433F">
        <w:rPr>
          <w:rFonts w:hint="eastAsia"/>
          <w:i/>
          <w:sz w:val="23"/>
          <w:szCs w:val="23"/>
          <w:rtl/>
        </w:rPr>
        <w:t>خواه</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داشت</w:t>
      </w:r>
    </w:p>
    <w:p w14:paraId="75B77E8E" w14:textId="77777777" w:rsidR="00411620" w:rsidRPr="00FE433F" w:rsidRDefault="00411620" w:rsidP="00411620">
      <w:pPr>
        <w:pStyle w:val="MTDisplayEquation"/>
        <w:spacing w:line="216" w:lineRule="auto"/>
        <w:rPr>
          <w:rFonts w:ascii="Times New Roman" w:hAnsi="Times New Roman" w:cs="B Nazanin"/>
          <w:i/>
          <w:sz w:val="23"/>
          <w:szCs w:val="23"/>
        </w:rPr>
      </w:pPr>
      <w:r w:rsidRPr="00FE433F">
        <w:rPr>
          <w:rFonts w:ascii="Times New Roman" w:hAnsi="Times New Roman" w:cs="B Nazanin"/>
          <w:i/>
          <w:sz w:val="23"/>
          <w:szCs w:val="23"/>
          <w:lang w:bidi="fa-IR"/>
        </w:rPr>
        <w:t xml:space="preserve"> </w:t>
      </w:r>
      <w:r w:rsidRPr="00FE433F">
        <w:rPr>
          <w:position w:val="-44"/>
        </w:rPr>
        <w:object w:dxaOrig="6060" w:dyaOrig="980" w14:anchorId="60355BED">
          <v:shape id="_x0000_i4350" type="#_x0000_t75" style="width:303.15pt;height:49pt" o:ole="">
            <v:imagedata r:id="rId6693" o:title=""/>
          </v:shape>
          <o:OLEObject Type="Embed" ProgID="Equation.DSMT4" ShapeID="_x0000_i4350" DrawAspect="Content" ObjectID="_1791378294" r:id="rId6694"/>
        </w:object>
      </w:r>
    </w:p>
    <w:p w14:paraId="1B7F12E3" w14:textId="77777777" w:rsidR="00411620" w:rsidRPr="00FE433F" w:rsidRDefault="00411620" w:rsidP="00411620">
      <w:pPr>
        <w:spacing w:line="216" w:lineRule="auto"/>
        <w:rPr>
          <w:i/>
          <w:sz w:val="23"/>
          <w:szCs w:val="23"/>
          <w:rtl/>
        </w:rPr>
      </w:pPr>
      <w:r w:rsidRPr="00FE433F">
        <w:rPr>
          <w:rFonts w:hint="eastAsia"/>
          <w:i/>
          <w:sz w:val="23"/>
          <w:szCs w:val="23"/>
          <w:rtl/>
        </w:rPr>
        <w:t>چنانچه</w:t>
      </w:r>
      <w:r w:rsidRPr="00FE433F">
        <w:rPr>
          <w:i/>
          <w:sz w:val="23"/>
          <w:szCs w:val="23"/>
          <w:rtl/>
        </w:rPr>
        <w:t xml:space="preserve"> </w:t>
      </w:r>
      <w:r w:rsidRPr="00FE433F">
        <w:rPr>
          <w:rFonts w:hint="eastAsia"/>
          <w:i/>
          <w:sz w:val="23"/>
          <w:szCs w:val="23"/>
          <w:rtl/>
        </w:rPr>
        <w:t>شروط</w:t>
      </w:r>
      <w:r w:rsidRPr="00FE433F">
        <w:rPr>
          <w:i/>
          <w:sz w:val="23"/>
          <w:szCs w:val="23"/>
          <w:rtl/>
        </w:rPr>
        <w:t xml:space="preserve"> </w:t>
      </w:r>
      <w:r w:rsidRPr="00FE433F">
        <w:rPr>
          <w:rFonts w:hint="eastAsia"/>
          <w:i/>
          <w:sz w:val="23"/>
          <w:szCs w:val="23"/>
          <w:rtl/>
        </w:rPr>
        <w:t>ز</w:t>
      </w:r>
      <w:r w:rsidRPr="00FE433F">
        <w:rPr>
          <w:rFonts w:hint="cs"/>
          <w:i/>
          <w:sz w:val="23"/>
          <w:szCs w:val="23"/>
          <w:rtl/>
        </w:rPr>
        <w:t>ی</w:t>
      </w:r>
      <w:r w:rsidRPr="00FE433F">
        <w:rPr>
          <w:rFonts w:hint="eastAsia"/>
          <w:i/>
          <w:sz w:val="23"/>
          <w:szCs w:val="23"/>
          <w:rtl/>
        </w:rPr>
        <w:t>ر</w:t>
      </w:r>
      <w:r w:rsidRPr="00FE433F">
        <w:rPr>
          <w:i/>
          <w:sz w:val="23"/>
          <w:szCs w:val="23"/>
          <w:rtl/>
        </w:rPr>
        <w:t xml:space="preserve"> </w:t>
      </w:r>
      <w:r w:rsidRPr="00FE433F">
        <w:rPr>
          <w:rFonts w:hint="eastAsia"/>
          <w:i/>
          <w:sz w:val="23"/>
          <w:szCs w:val="23"/>
          <w:rtl/>
        </w:rPr>
        <w:t>برقرار</w:t>
      </w:r>
      <w:r w:rsidRPr="00FE433F">
        <w:rPr>
          <w:i/>
          <w:sz w:val="23"/>
          <w:szCs w:val="23"/>
          <w:rtl/>
        </w:rPr>
        <w:t xml:space="preserve"> </w:t>
      </w:r>
      <w:r w:rsidRPr="00FE433F">
        <w:rPr>
          <w:rFonts w:hint="eastAsia"/>
          <w:i/>
          <w:sz w:val="23"/>
          <w:szCs w:val="23"/>
          <w:rtl/>
        </w:rPr>
        <w:t>باشد</w:t>
      </w:r>
    </w:p>
    <w:p w14:paraId="75044755" w14:textId="77777777" w:rsidR="00411620" w:rsidRPr="00FE433F" w:rsidRDefault="00411620" w:rsidP="00411620">
      <w:pPr>
        <w:bidi w:val="0"/>
        <w:spacing w:line="216" w:lineRule="auto"/>
        <w:rPr>
          <w:i/>
          <w:sz w:val="23"/>
          <w:szCs w:val="23"/>
        </w:rPr>
      </w:pPr>
      <w:r w:rsidRPr="00FE433F">
        <w:rPr>
          <w:position w:val="-18"/>
        </w:rPr>
        <w:object w:dxaOrig="5539" w:dyaOrig="420" w14:anchorId="7A14813D">
          <v:shape id="_x0000_i4351" type="#_x0000_t75" style="width:277.1pt;height:20.55pt" o:ole="">
            <v:imagedata r:id="rId6695" o:title=""/>
          </v:shape>
          <o:OLEObject Type="Embed" ProgID="Equation.DSMT4" ShapeID="_x0000_i4351" DrawAspect="Content" ObjectID="_1791378295" r:id="rId6696"/>
        </w:object>
      </w:r>
    </w:p>
    <w:p w14:paraId="403182E9" w14:textId="77777777" w:rsidR="00411620" w:rsidRPr="00FE433F" w:rsidRDefault="00411620" w:rsidP="00411620">
      <w:pPr>
        <w:spacing w:line="216" w:lineRule="auto"/>
        <w:rPr>
          <w:i/>
          <w:sz w:val="23"/>
          <w:szCs w:val="23"/>
          <w:rtl/>
        </w:rPr>
      </w:pP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توان</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صورت</w:t>
      </w:r>
      <w:r w:rsidRPr="00FE433F">
        <w:rPr>
          <w:rFonts w:hint="cs"/>
          <w:i/>
          <w:sz w:val="23"/>
          <w:szCs w:val="23"/>
          <w:rtl/>
        </w:rPr>
        <w:t xml:space="preserve"> پیش</w:t>
      </w:r>
      <w:r w:rsidRPr="00FE433F">
        <w:rPr>
          <w:i/>
          <w:sz w:val="23"/>
          <w:szCs w:val="23"/>
          <w:rtl/>
        </w:rPr>
        <w:softHyphen/>
      </w:r>
      <w:r w:rsidRPr="00FE433F">
        <w:rPr>
          <w:rFonts w:hint="cs"/>
          <w:i/>
          <w:sz w:val="23"/>
          <w:szCs w:val="23"/>
          <w:rtl/>
        </w:rPr>
        <w:t>رو</w:t>
      </w:r>
      <w:r w:rsidRPr="00FE433F">
        <w:rPr>
          <w:i/>
          <w:sz w:val="23"/>
          <w:szCs w:val="23"/>
          <w:rtl/>
        </w:rPr>
        <w:t xml:space="preserve"> </w:t>
      </w:r>
      <w:r w:rsidRPr="00FE433F">
        <w:rPr>
          <w:rFonts w:hint="eastAsia"/>
          <w:i/>
          <w:sz w:val="23"/>
          <w:szCs w:val="23"/>
          <w:rtl/>
        </w:rPr>
        <w:t>حل</w:t>
      </w:r>
      <w:r w:rsidRPr="00FE433F">
        <w:rPr>
          <w:i/>
          <w:sz w:val="23"/>
          <w:szCs w:val="23"/>
          <w:rtl/>
        </w:rPr>
        <w:t xml:space="preserve"> </w:t>
      </w:r>
      <w:r w:rsidRPr="00FE433F">
        <w:rPr>
          <w:rFonts w:hint="eastAsia"/>
          <w:i/>
          <w:sz w:val="23"/>
          <w:szCs w:val="23"/>
          <w:rtl/>
        </w:rPr>
        <w:t>کرد</w:t>
      </w:r>
      <w:r w:rsidRPr="00FE433F">
        <w:rPr>
          <w:i/>
          <w:sz w:val="23"/>
          <w:szCs w:val="23"/>
          <w:rtl/>
        </w:rPr>
        <w:t xml:space="preserve"> </w:t>
      </w:r>
      <w:r w:rsidRPr="00FE433F">
        <w:rPr>
          <w:rFonts w:hint="cs"/>
          <w:i/>
          <w:sz w:val="23"/>
          <w:szCs w:val="23"/>
          <w:rtl/>
        </w:rPr>
        <w:t>تا</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ب</w:t>
      </w:r>
      <w:r w:rsidRPr="00FE433F">
        <w:rPr>
          <w:rFonts w:hint="cs"/>
          <w:i/>
          <w:sz w:val="23"/>
          <w:szCs w:val="23"/>
          <w:rtl/>
        </w:rPr>
        <w:t>ی</w:t>
      </w:r>
      <w:r w:rsidRPr="00FE433F">
        <w:rPr>
          <w:rFonts w:hint="eastAsia"/>
          <w:i/>
          <w:sz w:val="23"/>
          <w:szCs w:val="23"/>
          <w:rtl/>
        </w:rPr>
        <w:t>ن</w:t>
      </w:r>
      <w:r w:rsidRPr="00FE433F">
        <w:rPr>
          <w:i/>
          <w:sz w:val="23"/>
          <w:szCs w:val="23"/>
          <w:rtl/>
        </w:rPr>
        <w:softHyphen/>
      </w:r>
      <w:r w:rsidRPr="00FE433F">
        <w:rPr>
          <w:rFonts w:hint="eastAsia"/>
          <w:i/>
          <w:sz w:val="23"/>
          <w:szCs w:val="23"/>
          <w:rtl/>
        </w:rPr>
        <w:t>دوره</w:t>
      </w:r>
      <w:r w:rsidRPr="00FE433F">
        <w:rPr>
          <w:rFonts w:hint="cs"/>
          <w:i/>
          <w:sz w:val="23"/>
          <w:szCs w:val="23"/>
          <w:rtl/>
        </w:rPr>
        <w:t>‌</w:t>
      </w:r>
      <w:r w:rsidRPr="00FE433F">
        <w:rPr>
          <w:rFonts w:hint="eastAsia"/>
          <w:i/>
          <w:sz w:val="23"/>
          <w:szCs w:val="23"/>
          <w:rtl/>
        </w:rPr>
        <w:t>ای</w:t>
      </w:r>
      <w:r w:rsidRPr="00FE433F">
        <w:rPr>
          <w:i/>
          <w:sz w:val="23"/>
          <w:szCs w:val="23"/>
          <w:rtl/>
        </w:rPr>
        <w:t xml:space="preserve"> </w:t>
      </w:r>
      <w:r w:rsidRPr="00FE433F">
        <w:rPr>
          <w:rFonts w:hint="eastAsia"/>
          <w:i/>
          <w:sz w:val="23"/>
          <w:szCs w:val="23"/>
          <w:rtl/>
        </w:rPr>
        <w:t>ز</w:t>
      </w:r>
      <w:r w:rsidRPr="00FE433F">
        <w:rPr>
          <w:rFonts w:hint="cs"/>
          <w:i/>
          <w:sz w:val="23"/>
          <w:szCs w:val="23"/>
          <w:rtl/>
        </w:rPr>
        <w:t>ی</w:t>
      </w:r>
      <w:r w:rsidRPr="00FE433F">
        <w:rPr>
          <w:rFonts w:hint="eastAsia"/>
          <w:i/>
          <w:sz w:val="23"/>
          <w:szCs w:val="23"/>
          <w:rtl/>
        </w:rPr>
        <w:t>ر</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بدست</w:t>
      </w:r>
      <w:r w:rsidRPr="00FE433F">
        <w:rPr>
          <w:i/>
          <w:sz w:val="23"/>
          <w:szCs w:val="23"/>
          <w:rtl/>
        </w:rPr>
        <w:t xml:space="preserve"> </w:t>
      </w:r>
      <w:r w:rsidRPr="00FE433F">
        <w:rPr>
          <w:rFonts w:hint="eastAsia"/>
          <w:i/>
          <w:sz w:val="23"/>
          <w:szCs w:val="23"/>
          <w:rtl/>
        </w:rPr>
        <w:t>آورد</w:t>
      </w:r>
    </w:p>
    <w:p w14:paraId="46780860" w14:textId="77777777" w:rsidR="00411620" w:rsidRPr="00FE433F" w:rsidRDefault="00411620" w:rsidP="00411620">
      <w:pPr>
        <w:bidi w:val="0"/>
        <w:spacing w:line="216" w:lineRule="auto"/>
        <w:rPr>
          <w:i/>
          <w:sz w:val="23"/>
          <w:szCs w:val="23"/>
        </w:rPr>
      </w:pPr>
      <w:r w:rsidRPr="00FE433F">
        <w:rPr>
          <w:position w:val="-26"/>
        </w:rPr>
        <w:object w:dxaOrig="5899" w:dyaOrig="620" w14:anchorId="7FAF01CF">
          <v:shape id="_x0000_i4352" type="#_x0000_t75" style="width:294.65pt;height:30.85pt" o:ole="">
            <v:imagedata r:id="rId6697" o:title=""/>
          </v:shape>
          <o:OLEObject Type="Embed" ProgID="Equation.DSMT4" ShapeID="_x0000_i4352" DrawAspect="Content" ObjectID="_1791378296" r:id="rId6698"/>
        </w:object>
      </w:r>
    </w:p>
    <w:p w14:paraId="05E61BA7" w14:textId="77777777" w:rsidR="00411620" w:rsidRPr="00FE433F" w:rsidRDefault="00411620" w:rsidP="00411620">
      <w:pPr>
        <w:spacing w:line="216" w:lineRule="auto"/>
        <w:rPr>
          <w:i/>
          <w:sz w:val="23"/>
          <w:szCs w:val="23"/>
          <w:rtl/>
        </w:rPr>
      </w:pPr>
      <w:r w:rsidRPr="00FE433F">
        <w:rPr>
          <w:rFonts w:hint="eastAsia"/>
          <w:i/>
          <w:sz w:val="23"/>
          <w:szCs w:val="23"/>
          <w:rtl/>
        </w:rPr>
        <w:t>با</w:t>
      </w:r>
      <w:r w:rsidRPr="00FE433F">
        <w:rPr>
          <w:i/>
          <w:sz w:val="23"/>
          <w:szCs w:val="23"/>
          <w:rtl/>
        </w:rPr>
        <w:t xml:space="preserve"> </w:t>
      </w:r>
      <w:r w:rsidRPr="00FE433F">
        <w:rPr>
          <w:rFonts w:hint="eastAsia"/>
          <w:i/>
          <w:sz w:val="23"/>
          <w:szCs w:val="23"/>
          <w:rtl/>
        </w:rPr>
        <w:t>استفاده</w:t>
      </w:r>
      <w:r w:rsidRPr="00FE433F">
        <w:rPr>
          <w:i/>
          <w:sz w:val="23"/>
          <w:szCs w:val="23"/>
          <w:rtl/>
        </w:rPr>
        <w:t xml:space="preserve"> </w:t>
      </w:r>
      <w:r w:rsidRPr="00FE433F">
        <w:rPr>
          <w:rFonts w:hint="eastAsia"/>
          <w:i/>
          <w:sz w:val="23"/>
          <w:szCs w:val="23"/>
          <w:rtl/>
        </w:rPr>
        <w:t>شرا</w:t>
      </w:r>
      <w:r w:rsidRPr="00FE433F">
        <w:rPr>
          <w:rFonts w:hint="cs"/>
          <w:i/>
          <w:sz w:val="23"/>
          <w:szCs w:val="23"/>
          <w:rtl/>
        </w:rPr>
        <w:t>ی</w:t>
      </w:r>
      <w:r w:rsidRPr="00FE433F">
        <w:rPr>
          <w:rFonts w:hint="eastAsia"/>
          <w:i/>
          <w:sz w:val="23"/>
          <w:szCs w:val="23"/>
          <w:rtl/>
        </w:rPr>
        <w:t>ط</w:t>
      </w:r>
      <w:r w:rsidRPr="00FE433F">
        <w:rPr>
          <w:i/>
          <w:sz w:val="23"/>
          <w:szCs w:val="23"/>
          <w:rtl/>
        </w:rPr>
        <w:t xml:space="preserve"> </w:t>
      </w:r>
      <w:r w:rsidRPr="00FE433F">
        <w:rPr>
          <w:rFonts w:hint="eastAsia"/>
          <w:i/>
          <w:sz w:val="23"/>
          <w:szCs w:val="23"/>
          <w:rtl/>
        </w:rPr>
        <w:t>مرتبه</w:t>
      </w:r>
      <w:r w:rsidRPr="00FE433F">
        <w:rPr>
          <w:i/>
          <w:sz w:val="23"/>
          <w:szCs w:val="23"/>
          <w:rtl/>
        </w:rPr>
        <w:t xml:space="preserve"> </w:t>
      </w:r>
      <w:r w:rsidRPr="00FE433F">
        <w:rPr>
          <w:rFonts w:hint="eastAsia"/>
          <w:i/>
          <w:sz w:val="23"/>
          <w:szCs w:val="23"/>
          <w:rtl/>
        </w:rPr>
        <w:t>اول</w:t>
      </w:r>
      <w:r w:rsidRPr="00FE433F">
        <w:rPr>
          <w:i/>
          <w:sz w:val="23"/>
          <w:szCs w:val="23"/>
          <w:rtl/>
        </w:rPr>
        <w:t xml:space="preserve"> </w:t>
      </w:r>
      <w:r w:rsidRPr="00FE433F">
        <w:rPr>
          <w:rFonts w:hint="eastAsia"/>
          <w:i/>
          <w:sz w:val="23"/>
          <w:szCs w:val="23"/>
          <w:rtl/>
        </w:rPr>
        <w:t>مصرف،</w:t>
      </w:r>
      <w:r w:rsidRPr="00FE433F">
        <w:rPr>
          <w:i/>
          <w:sz w:val="23"/>
          <w:szCs w:val="23"/>
          <w:rtl/>
        </w:rPr>
        <w:t xml:space="preserve"> </w:t>
      </w:r>
      <w:r w:rsidRPr="00FE433F">
        <w:rPr>
          <w:rFonts w:hint="eastAsia"/>
          <w:i/>
          <w:sz w:val="23"/>
          <w:szCs w:val="23"/>
          <w:rtl/>
        </w:rPr>
        <w:t>کار</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ب</w:t>
      </w:r>
      <w:r w:rsidRPr="00FE433F">
        <w:rPr>
          <w:rFonts w:hint="cs"/>
          <w:i/>
          <w:sz w:val="23"/>
          <w:szCs w:val="23"/>
          <w:rtl/>
        </w:rPr>
        <w:t>ی</w:t>
      </w:r>
      <w:r w:rsidRPr="00FE433F">
        <w:rPr>
          <w:rFonts w:hint="eastAsia"/>
          <w:i/>
          <w:sz w:val="23"/>
          <w:szCs w:val="23"/>
          <w:rtl/>
        </w:rPr>
        <w:t>ن</w:t>
      </w:r>
      <w:r w:rsidRPr="00FE433F">
        <w:rPr>
          <w:i/>
          <w:sz w:val="23"/>
          <w:szCs w:val="23"/>
          <w:rtl/>
        </w:rPr>
        <w:softHyphen/>
      </w:r>
      <w:r w:rsidRPr="00FE433F">
        <w:rPr>
          <w:rFonts w:hint="eastAsia"/>
          <w:i/>
          <w:sz w:val="23"/>
          <w:szCs w:val="23"/>
          <w:rtl/>
        </w:rPr>
        <w:t>دوره</w:t>
      </w:r>
      <w:r w:rsidRPr="00FE433F">
        <w:rPr>
          <w:rFonts w:hint="cs"/>
          <w:i/>
          <w:sz w:val="23"/>
          <w:szCs w:val="23"/>
          <w:rtl/>
        </w:rPr>
        <w:t>‌</w:t>
      </w:r>
      <w:r w:rsidRPr="00FE433F">
        <w:rPr>
          <w:rFonts w:hint="eastAsia"/>
          <w:i/>
          <w:sz w:val="23"/>
          <w:szCs w:val="23"/>
          <w:rtl/>
        </w:rPr>
        <w:t>ای</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توان</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صورت</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اعمال</w:t>
      </w:r>
      <w:r w:rsidRPr="00FE433F">
        <w:rPr>
          <w:rFonts w:hint="cs"/>
          <w:i/>
          <w:sz w:val="23"/>
          <w:szCs w:val="23"/>
          <w:rtl/>
        </w:rPr>
        <w:t>ی</w:t>
      </w:r>
      <w:r w:rsidRPr="00FE433F">
        <w:rPr>
          <w:i/>
          <w:sz w:val="23"/>
          <w:szCs w:val="23"/>
          <w:rtl/>
        </w:rPr>
        <w:t xml:space="preserve"> </w:t>
      </w:r>
      <w:r w:rsidRPr="00FE433F">
        <w:rPr>
          <w:rFonts w:hint="eastAsia"/>
          <w:i/>
          <w:sz w:val="23"/>
          <w:szCs w:val="23"/>
          <w:rtl/>
        </w:rPr>
        <w:t>ز</w:t>
      </w:r>
      <w:r w:rsidRPr="00FE433F">
        <w:rPr>
          <w:rFonts w:hint="cs"/>
          <w:i/>
          <w:sz w:val="23"/>
          <w:szCs w:val="23"/>
          <w:rtl/>
        </w:rPr>
        <w:t>ی</w:t>
      </w:r>
      <w:r w:rsidRPr="00FE433F">
        <w:rPr>
          <w:rFonts w:hint="eastAsia"/>
          <w:i/>
          <w:sz w:val="23"/>
          <w:szCs w:val="23"/>
          <w:rtl/>
        </w:rPr>
        <w:t>ر</w:t>
      </w:r>
      <w:r w:rsidRPr="00FE433F">
        <w:rPr>
          <w:i/>
          <w:sz w:val="23"/>
          <w:szCs w:val="23"/>
          <w:rtl/>
        </w:rPr>
        <w:t xml:space="preserve"> </w:t>
      </w:r>
      <w:r w:rsidRPr="00FE433F">
        <w:rPr>
          <w:rFonts w:hint="eastAsia"/>
          <w:i/>
          <w:sz w:val="23"/>
          <w:szCs w:val="23"/>
          <w:rtl/>
        </w:rPr>
        <w:t>نوشت</w:t>
      </w:r>
    </w:p>
    <w:p w14:paraId="67BF81CC" w14:textId="77777777" w:rsidR="00411620" w:rsidRPr="00FE433F" w:rsidRDefault="00411620" w:rsidP="00411620">
      <w:pPr>
        <w:bidi w:val="0"/>
        <w:spacing w:line="216" w:lineRule="auto"/>
        <w:rPr>
          <w:i/>
          <w:sz w:val="23"/>
          <w:szCs w:val="23"/>
          <w:rtl/>
        </w:rPr>
      </w:pPr>
      <w:r w:rsidRPr="00FE433F">
        <w:rPr>
          <w:position w:val="-26"/>
        </w:rPr>
        <w:object w:dxaOrig="5100" w:dyaOrig="620" w14:anchorId="77E55DC1">
          <v:shape id="_x0000_i4353" type="#_x0000_t75" style="width:254.7pt;height:30.85pt" o:ole="">
            <v:imagedata r:id="rId6699" o:title=""/>
          </v:shape>
          <o:OLEObject Type="Embed" ProgID="Equation.DSMT4" ShapeID="_x0000_i4353" DrawAspect="Content" ObjectID="_1791378297" r:id="rId6700"/>
        </w:object>
      </w:r>
      <w:r>
        <w:rPr>
          <w:rtl/>
        </w:rPr>
        <w:tab/>
      </w:r>
      <w:r>
        <w:rPr>
          <w:rtl/>
        </w:rPr>
        <w:tab/>
      </w:r>
      <w:r>
        <w:rPr>
          <w:rtl/>
        </w:rPr>
        <w:tab/>
      </w:r>
      <w:r w:rsidRPr="00FE433F">
        <w:rPr>
          <w:i/>
          <w:sz w:val="23"/>
          <w:szCs w:val="23"/>
          <w:rtl/>
        </w:rPr>
        <w:tab/>
      </w:r>
      <w:r w:rsidRPr="00FE433F">
        <w:rPr>
          <w:rFonts w:hint="cs"/>
          <w:i/>
          <w:sz w:val="23"/>
          <w:szCs w:val="23"/>
          <w:rtl/>
        </w:rPr>
        <w:t>(۸. ۳۴)</w:t>
      </w:r>
    </w:p>
    <w:p w14:paraId="38E36ECA" w14:textId="77777777" w:rsidR="00411620" w:rsidRPr="00FE433F" w:rsidRDefault="00411620" w:rsidP="00411620">
      <w:pPr>
        <w:spacing w:line="216" w:lineRule="auto"/>
        <w:rPr>
          <w:i/>
          <w:sz w:val="23"/>
          <w:szCs w:val="23"/>
          <w:rtl/>
        </w:rPr>
      </w:pPr>
      <w:r w:rsidRPr="00FE433F">
        <w:rPr>
          <w:rFonts w:hint="eastAsia"/>
          <w:i/>
          <w:sz w:val="23"/>
          <w:szCs w:val="23"/>
          <w:rtl/>
        </w:rPr>
        <w:t>سمت</w:t>
      </w:r>
      <w:r w:rsidRPr="00FE433F">
        <w:rPr>
          <w:i/>
          <w:sz w:val="23"/>
          <w:szCs w:val="23"/>
          <w:rtl/>
        </w:rPr>
        <w:t xml:space="preserve"> </w:t>
      </w:r>
      <w:r w:rsidRPr="00FE433F">
        <w:rPr>
          <w:rFonts w:hint="eastAsia"/>
          <w:i/>
          <w:sz w:val="23"/>
          <w:szCs w:val="23"/>
          <w:rtl/>
        </w:rPr>
        <w:t>چپ</w:t>
      </w:r>
      <w:r w:rsidRPr="00FE433F">
        <w:rPr>
          <w:i/>
          <w:sz w:val="23"/>
          <w:szCs w:val="23"/>
          <w:rtl/>
        </w:rPr>
        <w:t xml:space="preserve"> </w:t>
      </w:r>
      <w:r w:rsidRPr="00FE433F">
        <w:rPr>
          <w:rFonts w:hint="eastAsia"/>
          <w:i/>
          <w:sz w:val="23"/>
          <w:szCs w:val="23"/>
          <w:rtl/>
        </w:rPr>
        <w:t>رابطه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فوق</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قبل</w:t>
      </w:r>
      <w:r w:rsidRPr="00FE433F">
        <w:rPr>
          <w:i/>
          <w:sz w:val="23"/>
          <w:szCs w:val="23"/>
          <w:rtl/>
        </w:rPr>
        <w:t xml:space="preserve"> </w:t>
      </w:r>
      <w:r w:rsidRPr="00FE433F">
        <w:rPr>
          <w:rFonts w:hint="eastAsia"/>
          <w:i/>
          <w:sz w:val="23"/>
          <w:szCs w:val="23"/>
          <w:rtl/>
        </w:rPr>
        <w:t>مشخص</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تع</w:t>
      </w:r>
      <w:r w:rsidRPr="00FE433F">
        <w:rPr>
          <w:rFonts w:hint="cs"/>
          <w:i/>
          <w:sz w:val="23"/>
          <w:szCs w:val="23"/>
          <w:rtl/>
        </w:rPr>
        <w:t>یی</w:t>
      </w:r>
      <w:r w:rsidRPr="00FE433F">
        <w:rPr>
          <w:rFonts w:hint="eastAsia"/>
          <w:i/>
          <w:sz w:val="23"/>
          <w:szCs w:val="23"/>
          <w:rtl/>
        </w:rPr>
        <w:t>ن</w:t>
      </w:r>
      <w:r w:rsidRPr="00FE433F">
        <w:rPr>
          <w:i/>
          <w:sz w:val="23"/>
          <w:szCs w:val="23"/>
          <w:rtl/>
        </w:rPr>
        <w:t xml:space="preserve"> </w:t>
      </w:r>
      <w:r w:rsidRPr="00FE433F">
        <w:rPr>
          <w:rFonts w:hint="eastAsia"/>
          <w:i/>
          <w:sz w:val="23"/>
          <w:szCs w:val="23"/>
          <w:rtl/>
        </w:rPr>
        <w:t>شده</w:t>
      </w:r>
      <w:r w:rsidRPr="00FE433F">
        <w:rPr>
          <w:i/>
          <w:sz w:val="23"/>
          <w:szCs w:val="23"/>
          <w:rtl/>
        </w:rPr>
        <w:t xml:space="preserve"> </w:t>
      </w:r>
      <w:r w:rsidRPr="00FE433F">
        <w:rPr>
          <w:rFonts w:hint="eastAsia"/>
          <w:i/>
          <w:sz w:val="23"/>
          <w:szCs w:val="23"/>
          <w:rtl/>
        </w:rPr>
        <w:t>است</w:t>
      </w:r>
      <w:r w:rsidRPr="00FE433F">
        <w:rPr>
          <w:i/>
          <w:sz w:val="23"/>
          <w:szCs w:val="23"/>
          <w:rtl/>
        </w:rPr>
        <w:t>.</w:t>
      </w:r>
    </w:p>
    <w:p w14:paraId="081E02A5" w14:textId="77777777" w:rsidR="00411620" w:rsidRPr="00FE433F" w:rsidRDefault="00411620" w:rsidP="00411620">
      <w:pPr>
        <w:spacing w:line="216" w:lineRule="auto"/>
        <w:rPr>
          <w:i/>
          <w:sz w:val="23"/>
          <w:szCs w:val="23"/>
          <w:rtl/>
        </w:rPr>
      </w:pP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دولت</w:t>
      </w:r>
      <w:r w:rsidRPr="00FE433F">
        <w:rPr>
          <w:i/>
          <w:sz w:val="23"/>
          <w:szCs w:val="23"/>
          <w:rtl/>
        </w:rPr>
        <w:t xml:space="preserve"> </w:t>
      </w:r>
      <w:r w:rsidRPr="00FE433F">
        <w:rPr>
          <w:rFonts w:hint="eastAsia"/>
          <w:i/>
          <w:sz w:val="23"/>
          <w:szCs w:val="23"/>
          <w:rtl/>
        </w:rPr>
        <w:t>برابر</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با</w:t>
      </w:r>
    </w:p>
    <w:p w14:paraId="02581D75" w14:textId="77777777" w:rsidR="00411620" w:rsidRPr="00FE433F" w:rsidRDefault="00411620" w:rsidP="00411620">
      <w:pPr>
        <w:bidi w:val="0"/>
        <w:spacing w:line="216" w:lineRule="auto"/>
        <w:rPr>
          <w:i/>
          <w:sz w:val="23"/>
          <w:szCs w:val="23"/>
        </w:rPr>
      </w:pPr>
      <w:r w:rsidRPr="00FE433F">
        <w:rPr>
          <w:position w:val="-12"/>
        </w:rPr>
        <w:object w:dxaOrig="4580" w:dyaOrig="360" w14:anchorId="354AA32F">
          <v:shape id="_x0000_i4354" type="#_x0000_t75" style="width:228.7pt;height:18.15pt" o:ole="">
            <v:imagedata r:id="rId6701" o:title=""/>
          </v:shape>
          <o:OLEObject Type="Embed" ProgID="Equation.DSMT4" ShapeID="_x0000_i4354" DrawAspect="Content" ObjectID="_1791378298" r:id="rId6702"/>
        </w:object>
      </w:r>
    </w:p>
    <w:p w14:paraId="096EB6BF" w14:textId="77777777" w:rsidR="00411620" w:rsidRPr="00FE433F" w:rsidRDefault="00411620" w:rsidP="00411620">
      <w:pPr>
        <w:spacing w:line="216" w:lineRule="auto"/>
        <w:rPr>
          <w:i/>
          <w:sz w:val="23"/>
          <w:szCs w:val="23"/>
          <w:rtl/>
        </w:rPr>
      </w:pP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من</w:t>
      </w:r>
      <w:r w:rsidRPr="00FE433F">
        <w:rPr>
          <w:rFonts w:hint="cs"/>
          <w:i/>
          <w:sz w:val="23"/>
          <w:szCs w:val="23"/>
          <w:rtl/>
        </w:rPr>
        <w:t>ب</w:t>
      </w:r>
      <w:r w:rsidRPr="00FE433F">
        <w:rPr>
          <w:rFonts w:hint="eastAsia"/>
          <w:i/>
          <w:sz w:val="23"/>
          <w:szCs w:val="23"/>
          <w:rtl/>
        </w:rPr>
        <w:t>ع</w:t>
      </w:r>
      <w:r w:rsidRPr="00FE433F">
        <w:rPr>
          <w:i/>
          <w:sz w:val="23"/>
          <w:szCs w:val="23"/>
          <w:rtl/>
        </w:rPr>
        <w:t xml:space="preserve"> </w:t>
      </w:r>
      <w:r w:rsidRPr="00FE433F">
        <w:rPr>
          <w:rFonts w:hint="eastAsia"/>
          <w:i/>
          <w:sz w:val="23"/>
          <w:szCs w:val="23"/>
          <w:rtl/>
        </w:rPr>
        <w:t>اقتصاد</w:t>
      </w:r>
      <w:r w:rsidRPr="00FE433F">
        <w:rPr>
          <w:i/>
          <w:sz w:val="23"/>
          <w:szCs w:val="23"/>
          <w:rtl/>
        </w:rPr>
        <w:t xml:space="preserve"> </w:t>
      </w:r>
      <w:r w:rsidRPr="00FE433F">
        <w:rPr>
          <w:rFonts w:hint="eastAsia"/>
          <w:i/>
          <w:sz w:val="23"/>
          <w:szCs w:val="23"/>
          <w:rtl/>
        </w:rPr>
        <w:t>ن</w:t>
      </w:r>
      <w:r w:rsidRPr="00FE433F">
        <w:rPr>
          <w:rFonts w:hint="cs"/>
          <w:i/>
          <w:sz w:val="23"/>
          <w:szCs w:val="23"/>
          <w:rtl/>
        </w:rPr>
        <w:t>ی</w:t>
      </w:r>
      <w:r w:rsidRPr="00FE433F">
        <w:rPr>
          <w:rFonts w:hint="eastAsia"/>
          <w:i/>
          <w:sz w:val="23"/>
          <w:szCs w:val="23"/>
          <w:rtl/>
        </w:rPr>
        <w:t>ز</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cs"/>
          <w:i/>
          <w:sz w:val="23"/>
          <w:szCs w:val="23"/>
          <w:rtl/>
        </w:rPr>
        <w:t xml:space="preserve">تجمیع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دولت</w:t>
      </w:r>
      <w:r w:rsidRPr="00FE433F">
        <w:rPr>
          <w:i/>
          <w:sz w:val="23"/>
          <w:szCs w:val="23"/>
          <w:rtl/>
        </w:rPr>
        <w:t xml:space="preserve"> </w:t>
      </w:r>
      <w:r w:rsidRPr="00FE433F">
        <w:rPr>
          <w:rFonts w:hint="eastAsia"/>
          <w:i/>
          <w:sz w:val="23"/>
          <w:szCs w:val="23"/>
          <w:rtl/>
        </w:rPr>
        <w:t>بدست</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آ</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بنابرا</w:t>
      </w:r>
      <w:r w:rsidRPr="00FE433F">
        <w:rPr>
          <w:rFonts w:hint="cs"/>
          <w:i/>
          <w:sz w:val="23"/>
          <w:szCs w:val="23"/>
          <w:rtl/>
        </w:rPr>
        <w:t>ی</w:t>
      </w:r>
      <w:r w:rsidRPr="00FE433F">
        <w:rPr>
          <w:rFonts w:hint="eastAsia"/>
          <w:i/>
          <w:sz w:val="23"/>
          <w:szCs w:val="23"/>
          <w:rtl/>
        </w:rPr>
        <w:t>ن</w:t>
      </w:r>
    </w:p>
    <w:p w14:paraId="77657B6D" w14:textId="77777777" w:rsidR="00411620" w:rsidRPr="00FE433F" w:rsidRDefault="00411620" w:rsidP="00411620">
      <w:pPr>
        <w:bidi w:val="0"/>
        <w:spacing w:line="216" w:lineRule="auto"/>
        <w:rPr>
          <w:i/>
          <w:sz w:val="23"/>
          <w:szCs w:val="23"/>
        </w:rPr>
      </w:pPr>
      <w:r w:rsidRPr="00FE433F">
        <w:rPr>
          <w:position w:val="-12"/>
        </w:rPr>
        <w:object w:dxaOrig="3120" w:dyaOrig="360" w14:anchorId="0B631579">
          <v:shape id="_x0000_i4355" type="#_x0000_t75" style="width:156.1pt;height:18.15pt" o:ole="">
            <v:imagedata r:id="rId6703" o:title=""/>
          </v:shape>
          <o:OLEObject Type="Embed" ProgID="Equation.DSMT4" ShapeID="_x0000_i4355" DrawAspect="Content" ObjectID="_1791378299" r:id="rId6704"/>
        </w:object>
      </w:r>
    </w:p>
    <w:p w14:paraId="0B3D04B8" w14:textId="77777777" w:rsidR="00411620" w:rsidRPr="00FE433F" w:rsidRDefault="00411620" w:rsidP="00411620">
      <w:pPr>
        <w:spacing w:line="216" w:lineRule="auto"/>
        <w:rPr>
          <w:i/>
          <w:sz w:val="23"/>
          <w:szCs w:val="23"/>
          <w:rtl/>
        </w:rPr>
      </w:pPr>
      <w:r w:rsidRPr="00FE433F">
        <w:rPr>
          <w:rFonts w:hint="eastAsia"/>
          <w:i/>
          <w:sz w:val="23"/>
          <w:szCs w:val="23"/>
          <w:rtl/>
        </w:rPr>
        <w:t>اگر</w:t>
      </w:r>
      <w:r w:rsidRPr="00FE433F">
        <w:rPr>
          <w:i/>
          <w:sz w:val="23"/>
          <w:szCs w:val="23"/>
          <w:rtl/>
        </w:rPr>
        <w:t xml:space="preserve"> </w:t>
      </w:r>
      <w:r w:rsidRPr="00FE433F">
        <w:rPr>
          <w:rFonts w:hint="eastAsia"/>
          <w:i/>
          <w:sz w:val="23"/>
          <w:szCs w:val="23"/>
          <w:rtl/>
        </w:rPr>
        <w:t>فرض</w:t>
      </w:r>
      <w:r w:rsidRPr="00FE433F">
        <w:rPr>
          <w:i/>
          <w:sz w:val="23"/>
          <w:szCs w:val="23"/>
          <w:rtl/>
        </w:rPr>
        <w:t xml:space="preserve"> </w:t>
      </w:r>
      <w:r w:rsidRPr="00FE433F">
        <w:rPr>
          <w:rFonts w:hint="eastAsia"/>
          <w:i/>
          <w:sz w:val="23"/>
          <w:szCs w:val="23"/>
          <w:rtl/>
        </w:rPr>
        <w:t>کن</w:t>
      </w:r>
      <w:r w:rsidRPr="00FE433F">
        <w:rPr>
          <w:rFonts w:hint="cs"/>
          <w:i/>
          <w:sz w:val="23"/>
          <w:szCs w:val="23"/>
          <w:rtl/>
        </w:rPr>
        <w:t>ی</w:t>
      </w:r>
      <w:r w:rsidRPr="00FE433F">
        <w:rPr>
          <w:rFonts w:hint="eastAsia"/>
          <w:i/>
          <w:sz w:val="23"/>
          <w:szCs w:val="23"/>
          <w:rtl/>
        </w:rPr>
        <w:t>م</w:t>
      </w:r>
      <w:r w:rsidRPr="00FE433F">
        <w:rPr>
          <w:rFonts w:hint="cs"/>
          <w:i/>
          <w:sz w:val="23"/>
          <w:szCs w:val="23"/>
          <w:rtl/>
        </w:rPr>
        <w:t xml:space="preserve"> </w:t>
      </w:r>
      <w:r w:rsidRPr="00FE433F">
        <w:rPr>
          <w:rFonts w:hint="eastAsia"/>
          <w:i/>
          <w:sz w:val="23"/>
          <w:szCs w:val="23"/>
          <w:rtl/>
        </w:rPr>
        <w:t>تابع</w:t>
      </w:r>
      <w:r w:rsidRPr="00FE433F">
        <w:rPr>
          <w:i/>
          <w:sz w:val="23"/>
          <w:szCs w:val="23"/>
          <w:rtl/>
        </w:rPr>
        <w:t xml:space="preserve"> </w:t>
      </w:r>
      <w:r w:rsidRPr="00FE433F">
        <w:rPr>
          <w:rFonts w:hint="eastAsia"/>
          <w:i/>
          <w:sz w:val="23"/>
          <w:szCs w:val="23"/>
          <w:rtl/>
        </w:rPr>
        <w:t>تول</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بازده</w:t>
      </w:r>
      <w:r w:rsidRPr="00FE433F">
        <w:rPr>
          <w:i/>
          <w:sz w:val="23"/>
          <w:szCs w:val="23"/>
          <w:rtl/>
        </w:rPr>
        <w:t xml:space="preserve"> </w:t>
      </w:r>
      <w:r w:rsidRPr="00FE433F">
        <w:rPr>
          <w:rFonts w:hint="eastAsia"/>
          <w:i/>
          <w:sz w:val="23"/>
          <w:szCs w:val="23"/>
          <w:rtl/>
        </w:rPr>
        <w:t>ثابت</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مق</w:t>
      </w:r>
      <w:r w:rsidRPr="00FE433F">
        <w:rPr>
          <w:rFonts w:hint="cs"/>
          <w:i/>
          <w:sz w:val="23"/>
          <w:szCs w:val="23"/>
          <w:rtl/>
        </w:rPr>
        <w:t>ی</w:t>
      </w:r>
      <w:r w:rsidRPr="00FE433F">
        <w:rPr>
          <w:rFonts w:hint="eastAsia"/>
          <w:i/>
          <w:sz w:val="23"/>
          <w:szCs w:val="23"/>
          <w:rtl/>
        </w:rPr>
        <w:t>اس</w:t>
      </w:r>
      <w:r w:rsidRPr="00FE433F">
        <w:rPr>
          <w:i/>
          <w:sz w:val="23"/>
          <w:szCs w:val="23"/>
          <w:rtl/>
        </w:rPr>
        <w:t xml:space="preserve"> </w:t>
      </w:r>
      <w:r w:rsidRPr="00FE433F">
        <w:rPr>
          <w:rFonts w:hint="eastAsia"/>
          <w:i/>
          <w:sz w:val="23"/>
          <w:szCs w:val="23"/>
          <w:rtl/>
        </w:rPr>
        <w:t>دارد</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بنابرا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همگن</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درجه</w:t>
      </w:r>
      <w:r w:rsidRPr="00FE433F">
        <w:rPr>
          <w:i/>
          <w:sz w:val="23"/>
          <w:szCs w:val="23"/>
          <w:rtl/>
        </w:rPr>
        <w:softHyphen/>
      </w:r>
      <w:r w:rsidRPr="00FE433F">
        <w:rPr>
          <w:rFonts w:hint="cs"/>
          <w:i/>
          <w:sz w:val="23"/>
          <w:szCs w:val="23"/>
          <w:rtl/>
        </w:rPr>
        <w:t>ی</w:t>
      </w:r>
      <w:r w:rsidRPr="00FE433F">
        <w:rPr>
          <w:i/>
          <w:sz w:val="23"/>
          <w:szCs w:val="23"/>
          <w:rtl/>
        </w:rPr>
        <w:t xml:space="preserve"> </w:t>
      </w:r>
      <w:r w:rsidRPr="00FE433F">
        <w:rPr>
          <w:rFonts w:hint="cs"/>
          <w:i/>
          <w:sz w:val="23"/>
          <w:szCs w:val="23"/>
          <w:rtl/>
        </w:rPr>
        <w:t>ی</w:t>
      </w:r>
      <w:r w:rsidRPr="00FE433F">
        <w:rPr>
          <w:rFonts w:hint="eastAsia"/>
          <w:i/>
          <w:sz w:val="23"/>
          <w:szCs w:val="23"/>
          <w:rtl/>
        </w:rPr>
        <w:t>ک</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softHyphen/>
      </w:r>
      <w:r w:rsidRPr="00FE433F">
        <w:rPr>
          <w:rFonts w:hint="eastAsia"/>
          <w:i/>
          <w:sz w:val="23"/>
          <w:szCs w:val="23"/>
          <w:rtl/>
        </w:rPr>
        <w:t>که</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نهاده</w:t>
      </w:r>
      <w:r w:rsidRPr="00FE433F">
        <w:rPr>
          <w:i/>
          <w:sz w:val="23"/>
          <w:szCs w:val="23"/>
          <w:rtl/>
        </w:rPr>
        <w:softHyphen/>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تول</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tl/>
        </w:rPr>
        <w:t>زان</w:t>
      </w:r>
      <w:r w:rsidRPr="00FE433F">
        <w:rPr>
          <w:i/>
          <w:sz w:val="23"/>
          <w:szCs w:val="23"/>
          <w:rtl/>
        </w:rPr>
        <w:t xml:space="preserve"> </w:t>
      </w:r>
      <w:r w:rsidRPr="00FE433F">
        <w:rPr>
          <w:rFonts w:hint="eastAsia"/>
          <w:i/>
          <w:sz w:val="23"/>
          <w:szCs w:val="23"/>
          <w:rtl/>
        </w:rPr>
        <w:t>تول</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نها</w:t>
      </w:r>
      <w:r w:rsidRPr="00FE433F">
        <w:rPr>
          <w:rFonts w:hint="cs"/>
          <w:i/>
          <w:sz w:val="23"/>
          <w:szCs w:val="23"/>
          <w:rtl/>
        </w:rPr>
        <w:t>یی</w:t>
      </w:r>
      <w:r w:rsidRPr="00FE433F">
        <w:rPr>
          <w:i/>
          <w:sz w:val="23"/>
          <w:szCs w:val="23"/>
          <w:rtl/>
        </w:rPr>
        <w:t xml:space="preserve"> </w:t>
      </w:r>
      <w:r w:rsidRPr="00FE433F">
        <w:rPr>
          <w:rFonts w:hint="eastAsia"/>
          <w:i/>
          <w:sz w:val="23"/>
          <w:szCs w:val="23"/>
          <w:rtl/>
        </w:rPr>
        <w:t>آن</w:t>
      </w:r>
      <w:r w:rsidRPr="00FE433F">
        <w:rPr>
          <w:rFonts w:hint="cs"/>
          <w:i/>
          <w:sz w:val="23"/>
          <w:szCs w:val="23"/>
          <w:rtl/>
        </w:rPr>
        <w:t>‌</w:t>
      </w:r>
      <w:r w:rsidRPr="00FE433F">
        <w:rPr>
          <w:rFonts w:hint="eastAsia"/>
          <w:i/>
          <w:sz w:val="23"/>
          <w:szCs w:val="23"/>
          <w:rtl/>
        </w:rPr>
        <w:t>ها</w:t>
      </w:r>
      <w:r w:rsidRPr="00FE433F">
        <w:rPr>
          <w:i/>
          <w:sz w:val="23"/>
          <w:szCs w:val="23"/>
          <w:rtl/>
        </w:rPr>
        <w:t xml:space="preserve"> </w:t>
      </w:r>
      <w:r w:rsidRPr="00FE433F">
        <w:rPr>
          <w:rFonts w:hint="eastAsia"/>
          <w:i/>
          <w:sz w:val="23"/>
          <w:szCs w:val="23"/>
          <w:rtl/>
        </w:rPr>
        <w:t>پرداخت</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i/>
          <w:sz w:val="23"/>
          <w:szCs w:val="23"/>
          <w:rtl/>
        </w:rPr>
        <w:softHyphen/>
      </w:r>
      <w:r w:rsidRPr="00FE433F">
        <w:rPr>
          <w:rFonts w:hint="eastAsia"/>
          <w:i/>
          <w:sz w:val="23"/>
          <w:szCs w:val="23"/>
          <w:rtl/>
        </w:rPr>
        <w:t>شود</w:t>
      </w:r>
      <w:r w:rsidRPr="00FE433F">
        <w:rPr>
          <w:rFonts w:hint="cs"/>
          <w:i/>
          <w:sz w:val="23"/>
          <w:szCs w:val="23"/>
          <w:rtl/>
        </w:rPr>
        <w:t>،</w:t>
      </w:r>
      <w:r w:rsidRPr="00FE433F">
        <w:rPr>
          <w:i/>
          <w:sz w:val="23"/>
          <w:szCs w:val="23"/>
          <w:rtl/>
        </w:rPr>
        <w:t xml:space="preserve"> </w:t>
      </w:r>
      <w:r w:rsidRPr="00FE433F">
        <w:rPr>
          <w:rFonts w:hint="eastAsia"/>
          <w:i/>
          <w:sz w:val="23"/>
          <w:szCs w:val="23"/>
          <w:rtl/>
        </w:rPr>
        <w:t>آنگاه</w:t>
      </w:r>
      <w:r w:rsidRPr="00FE433F">
        <w:rPr>
          <w:position w:val="-12"/>
        </w:rPr>
        <w:object w:dxaOrig="820" w:dyaOrig="340" w14:anchorId="733B7CCD">
          <v:shape id="_x0000_i4356" type="#_x0000_t75" style="width:41.15pt;height:16.95pt" o:ole="">
            <v:imagedata r:id="rId6705" o:title=""/>
          </v:shape>
          <o:OLEObject Type="Embed" ProgID="Equation.DSMT4" ShapeID="_x0000_i4356" DrawAspect="Content" ObjectID="_1791378300" r:id="rId6706"/>
        </w:object>
      </w:r>
      <w:r w:rsidRPr="00FE433F">
        <w:rPr>
          <w:i/>
          <w:sz w:val="23"/>
          <w:szCs w:val="23"/>
          <w:rtl/>
        </w:rPr>
        <w:t xml:space="preserve"> </w:t>
      </w:r>
      <w:r w:rsidRPr="00FE433F">
        <w:rPr>
          <w:rFonts w:hint="eastAsia"/>
          <w:i/>
          <w:sz w:val="23"/>
          <w:szCs w:val="23"/>
          <w:rtl/>
        </w:rPr>
        <w:t>و</w:t>
      </w:r>
      <w:r w:rsidRPr="00FE433F">
        <w:rPr>
          <w:position w:val="-12"/>
        </w:rPr>
        <w:object w:dxaOrig="1120" w:dyaOrig="360" w14:anchorId="4C2FA701">
          <v:shape id="_x0000_i4357" type="#_x0000_t75" style="width:55.65pt;height:18.15pt" o:ole="">
            <v:imagedata r:id="rId6707" o:title=""/>
          </v:shape>
          <o:OLEObject Type="Embed" ProgID="Equation.DSMT4" ShapeID="_x0000_i4357" DrawAspect="Content" ObjectID="_1791378301" r:id="rId6708"/>
        </w:object>
      </w:r>
      <w:r w:rsidRPr="00FE433F">
        <w:rPr>
          <w:i/>
          <w:sz w:val="23"/>
          <w:szCs w:val="23"/>
          <w:rtl/>
        </w:rPr>
        <w:t xml:space="preserve">. </w:t>
      </w:r>
      <w:r w:rsidRPr="00FE433F">
        <w:rPr>
          <w:rFonts w:hint="cs"/>
          <w:i/>
          <w:sz w:val="23"/>
          <w:szCs w:val="23"/>
          <w:rtl/>
        </w:rPr>
        <w:t>لذا</w:t>
      </w:r>
    </w:p>
    <w:p w14:paraId="3EEAC26A" w14:textId="77777777" w:rsidR="00411620" w:rsidRPr="00FE433F" w:rsidRDefault="00411620" w:rsidP="00411620">
      <w:pPr>
        <w:bidi w:val="0"/>
        <w:spacing w:line="216" w:lineRule="auto"/>
        <w:rPr>
          <w:i/>
          <w:sz w:val="23"/>
          <w:szCs w:val="23"/>
        </w:rPr>
      </w:pPr>
      <w:r w:rsidRPr="00FE433F">
        <w:rPr>
          <w:i/>
          <w:sz w:val="23"/>
          <w:szCs w:val="23"/>
          <w:rtl/>
        </w:rPr>
        <w:t xml:space="preserve"> </w:t>
      </w:r>
      <w:r w:rsidRPr="00FE433F">
        <w:rPr>
          <w:position w:val="-16"/>
        </w:rPr>
        <w:object w:dxaOrig="3980" w:dyaOrig="420" w14:anchorId="5B26A5CE">
          <v:shape id="_x0000_i4358" type="#_x0000_t75" style="width:199.05pt;height:20.55pt" o:ole="">
            <v:imagedata r:id="rId6709" o:title=""/>
          </v:shape>
          <o:OLEObject Type="Embed" ProgID="Equation.DSMT4" ShapeID="_x0000_i4358" DrawAspect="Content" ObjectID="_1791378302" r:id="rId6710"/>
        </w:object>
      </w:r>
    </w:p>
    <w:p w14:paraId="4F311F7E" w14:textId="77777777" w:rsidR="00411620" w:rsidRPr="00FE433F" w:rsidRDefault="00411620" w:rsidP="00411620">
      <w:pPr>
        <w:spacing w:line="216" w:lineRule="auto"/>
        <w:rPr>
          <w:i/>
          <w:sz w:val="23"/>
          <w:szCs w:val="23"/>
          <w:rtl/>
        </w:rPr>
      </w:pPr>
      <w:r w:rsidRPr="00FE433F">
        <w:rPr>
          <w:rFonts w:hint="cs"/>
          <w:i/>
          <w:sz w:val="23"/>
          <w:szCs w:val="23"/>
          <w:rtl/>
        </w:rPr>
        <w:t xml:space="preserve">در این صورت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منبع</w:t>
      </w:r>
      <w:r w:rsidRPr="00FE433F">
        <w:rPr>
          <w:i/>
          <w:sz w:val="23"/>
          <w:szCs w:val="23"/>
          <w:rtl/>
        </w:rPr>
        <w:t xml:space="preserve"> </w:t>
      </w:r>
      <w:r w:rsidRPr="00FE433F">
        <w:rPr>
          <w:rFonts w:hint="eastAsia"/>
          <w:i/>
          <w:sz w:val="23"/>
          <w:szCs w:val="23"/>
          <w:rtl/>
        </w:rPr>
        <w:t>اقتصاد</w:t>
      </w:r>
      <w:r w:rsidRPr="00FE433F">
        <w:rPr>
          <w:i/>
          <w:sz w:val="23"/>
          <w:szCs w:val="23"/>
          <w:rtl/>
        </w:rPr>
        <w:t xml:space="preserve"> </w:t>
      </w:r>
      <w:r w:rsidRPr="00FE433F">
        <w:rPr>
          <w:rFonts w:hint="eastAsia"/>
          <w:i/>
          <w:sz w:val="23"/>
          <w:szCs w:val="23"/>
          <w:rtl/>
        </w:rPr>
        <w:t>برابر</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با</w:t>
      </w:r>
    </w:p>
    <w:p w14:paraId="2A920D73" w14:textId="77777777" w:rsidR="00411620" w:rsidRPr="00FE433F" w:rsidRDefault="00411620" w:rsidP="00411620">
      <w:pPr>
        <w:bidi w:val="0"/>
        <w:spacing w:line="216" w:lineRule="auto"/>
        <w:rPr>
          <w:i/>
          <w:sz w:val="23"/>
          <w:szCs w:val="23"/>
        </w:rPr>
      </w:pPr>
      <w:r w:rsidRPr="00FE433F">
        <w:rPr>
          <w:position w:val="-10"/>
        </w:rPr>
        <w:object w:dxaOrig="2720" w:dyaOrig="340" w14:anchorId="74B3C4DF">
          <v:shape id="_x0000_i4359" type="#_x0000_t75" style="width:136.15pt;height:16.95pt" o:ole="">
            <v:imagedata r:id="rId6711" o:title=""/>
          </v:shape>
          <o:OLEObject Type="Embed" ProgID="Equation.DSMT4" ShapeID="_x0000_i4359" DrawAspect="Content" ObjectID="_1791378303" r:id="rId6712"/>
        </w:object>
      </w:r>
    </w:p>
    <w:p w14:paraId="401AC51A" w14:textId="77777777" w:rsidR="00411620" w:rsidRPr="00FE433F" w:rsidRDefault="00411620" w:rsidP="00411620">
      <w:pPr>
        <w:spacing w:line="216" w:lineRule="auto"/>
        <w:rPr>
          <w:i/>
          <w:sz w:val="23"/>
          <w:szCs w:val="23"/>
          <w:rtl/>
        </w:rPr>
      </w:pPr>
      <w:r w:rsidRPr="00FE433F">
        <w:rPr>
          <w:rFonts w:hint="eastAsia"/>
          <w:i/>
          <w:sz w:val="23"/>
          <w:szCs w:val="23"/>
          <w:rtl/>
        </w:rPr>
        <w:t>اکنون</w:t>
      </w:r>
      <w:r w:rsidRPr="00FE433F">
        <w:rPr>
          <w:i/>
          <w:sz w:val="23"/>
          <w:szCs w:val="23"/>
          <w:rtl/>
        </w:rPr>
        <w:t xml:space="preserve"> </w:t>
      </w:r>
      <w:r w:rsidRPr="00FE433F">
        <w:rPr>
          <w:rFonts w:hint="eastAsia"/>
          <w:i/>
          <w:sz w:val="23"/>
          <w:szCs w:val="23"/>
          <w:rtl/>
        </w:rPr>
        <w:t>مسئله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دولت</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توان</w:t>
      </w:r>
      <w:r w:rsidRPr="00FE433F">
        <w:rPr>
          <w:i/>
          <w:sz w:val="23"/>
          <w:szCs w:val="23"/>
          <w:rtl/>
        </w:rPr>
        <w:t xml:space="preserve"> </w:t>
      </w:r>
      <w:r w:rsidRPr="00FE433F">
        <w:rPr>
          <w:rFonts w:hint="eastAsia"/>
          <w:i/>
          <w:sz w:val="23"/>
          <w:szCs w:val="23"/>
          <w:rtl/>
        </w:rPr>
        <w:t>بر</w:t>
      </w:r>
      <w:r w:rsidRPr="00FE433F">
        <w:rPr>
          <w:i/>
          <w:sz w:val="23"/>
          <w:szCs w:val="23"/>
          <w:rtl/>
        </w:rPr>
        <w:t xml:space="preserve"> </w:t>
      </w:r>
      <w:r w:rsidRPr="00FE433F">
        <w:rPr>
          <w:rFonts w:hint="eastAsia"/>
          <w:i/>
          <w:sz w:val="23"/>
          <w:szCs w:val="23"/>
          <w:rtl/>
        </w:rPr>
        <w:t>اساس</w:t>
      </w:r>
      <w:r w:rsidRPr="00FE433F">
        <w:rPr>
          <w:i/>
          <w:sz w:val="23"/>
          <w:szCs w:val="23"/>
          <w:rtl/>
        </w:rPr>
        <w:t xml:space="preserve"> </w:t>
      </w:r>
      <w:r w:rsidRPr="00FE433F">
        <w:rPr>
          <w:rFonts w:hint="eastAsia"/>
          <w:i/>
          <w:sz w:val="23"/>
          <w:szCs w:val="23"/>
          <w:rtl/>
        </w:rPr>
        <w:t>ح</w:t>
      </w:r>
      <w:r w:rsidRPr="00FE433F">
        <w:rPr>
          <w:rFonts w:hint="cs"/>
          <w:i/>
          <w:sz w:val="23"/>
          <w:szCs w:val="23"/>
          <w:rtl/>
        </w:rPr>
        <w:t>د</w:t>
      </w:r>
      <w:r w:rsidRPr="00FE433F">
        <w:rPr>
          <w:rFonts w:hint="eastAsia"/>
          <w:i/>
          <w:sz w:val="23"/>
          <w:szCs w:val="23"/>
          <w:rtl/>
        </w:rPr>
        <w:t>اکثر</w:t>
      </w:r>
      <w:r w:rsidRPr="00FE433F">
        <w:rPr>
          <w:i/>
          <w:sz w:val="23"/>
          <w:szCs w:val="23"/>
          <w:rtl/>
        </w:rPr>
        <w:t xml:space="preserve"> </w:t>
      </w:r>
      <w:r w:rsidRPr="00FE433F">
        <w:rPr>
          <w:rFonts w:hint="eastAsia"/>
          <w:i/>
          <w:sz w:val="23"/>
          <w:szCs w:val="23"/>
          <w:rtl/>
        </w:rPr>
        <w:t>کردن</w:t>
      </w:r>
      <w:r w:rsidRPr="00FE433F">
        <w:rPr>
          <w:i/>
          <w:sz w:val="23"/>
          <w:szCs w:val="23"/>
          <w:rtl/>
        </w:rPr>
        <w:t xml:space="preserve"> </w:t>
      </w:r>
      <w:r w:rsidRPr="00FE433F">
        <w:rPr>
          <w:rFonts w:hint="eastAsia"/>
          <w:i/>
          <w:sz w:val="23"/>
          <w:szCs w:val="23"/>
          <w:rtl/>
        </w:rPr>
        <w:t>مطلوب</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eastAsia"/>
          <w:i/>
          <w:sz w:val="23"/>
          <w:szCs w:val="23"/>
          <w:rtl/>
        </w:rPr>
        <w:t>ب</w:t>
      </w:r>
      <w:r w:rsidRPr="00FE433F">
        <w:rPr>
          <w:rFonts w:hint="cs"/>
          <w:i/>
          <w:sz w:val="23"/>
          <w:szCs w:val="23"/>
          <w:rtl/>
        </w:rPr>
        <w:t>ی</w:t>
      </w:r>
      <w:r w:rsidRPr="00FE433F">
        <w:rPr>
          <w:rFonts w:hint="eastAsia"/>
          <w:i/>
          <w:sz w:val="23"/>
          <w:szCs w:val="23"/>
          <w:rtl/>
        </w:rPr>
        <w:t>ن</w:t>
      </w:r>
      <w:r w:rsidRPr="00FE433F">
        <w:rPr>
          <w:i/>
          <w:sz w:val="23"/>
          <w:szCs w:val="23"/>
          <w:rtl/>
        </w:rPr>
        <w:softHyphen/>
      </w:r>
      <w:r w:rsidRPr="00FE433F">
        <w:rPr>
          <w:rFonts w:hint="eastAsia"/>
          <w:i/>
          <w:sz w:val="23"/>
          <w:szCs w:val="23"/>
          <w:rtl/>
        </w:rPr>
        <w:t>دوره</w:t>
      </w:r>
      <w:r w:rsidRPr="00FE433F">
        <w:rPr>
          <w:rFonts w:hint="cs"/>
          <w:i/>
          <w:sz w:val="23"/>
          <w:szCs w:val="23"/>
          <w:rtl/>
        </w:rPr>
        <w:t>‌</w:t>
      </w:r>
      <w:r w:rsidRPr="00FE433F">
        <w:rPr>
          <w:rFonts w:hint="eastAsia"/>
          <w:i/>
          <w:sz w:val="23"/>
          <w:szCs w:val="23"/>
          <w:rtl/>
        </w:rPr>
        <w:t>ای</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نسبت</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منبع</w:t>
      </w:r>
      <w:r w:rsidRPr="00FE433F">
        <w:rPr>
          <w:i/>
          <w:sz w:val="23"/>
          <w:szCs w:val="23"/>
          <w:rtl/>
        </w:rPr>
        <w:t xml:space="preserve"> </w:t>
      </w:r>
      <w:r w:rsidRPr="00FE433F">
        <w:rPr>
          <w:rFonts w:hint="eastAsia"/>
          <w:i/>
          <w:sz w:val="23"/>
          <w:szCs w:val="23"/>
          <w:rtl/>
        </w:rPr>
        <w:t>اقتصاد</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اعمال</w:t>
      </w:r>
      <w:r w:rsidRPr="00FE433F">
        <w:rPr>
          <w:rFonts w:hint="cs"/>
          <w:i/>
          <w:sz w:val="23"/>
          <w:szCs w:val="23"/>
          <w:rtl/>
        </w:rPr>
        <w:t>ی</w:t>
      </w:r>
      <w:r w:rsidRPr="00FE433F">
        <w:rPr>
          <w:i/>
          <w:sz w:val="23"/>
          <w:szCs w:val="23"/>
          <w:rtl/>
        </w:rPr>
        <w:t xml:space="preserve"> </w:t>
      </w:r>
      <w:r w:rsidRPr="00FE433F">
        <w:rPr>
          <w:rFonts w:hint="cs"/>
          <w:i/>
          <w:sz w:val="23"/>
          <w:szCs w:val="23"/>
          <w:rtl/>
        </w:rPr>
        <w:t xml:space="preserve">فوق </w:t>
      </w:r>
      <w:r w:rsidRPr="00FE433F">
        <w:rPr>
          <w:rFonts w:hint="eastAsia"/>
          <w:i/>
          <w:sz w:val="23"/>
          <w:szCs w:val="23"/>
          <w:rtl/>
        </w:rPr>
        <w:t>فرمول</w:t>
      </w:r>
      <w:r w:rsidRPr="00FE433F">
        <w:rPr>
          <w:i/>
          <w:sz w:val="23"/>
          <w:szCs w:val="23"/>
          <w:rtl/>
        </w:rPr>
        <w:softHyphen/>
      </w:r>
      <w:r w:rsidRPr="00FE433F">
        <w:rPr>
          <w:rFonts w:hint="eastAsia"/>
          <w:i/>
          <w:sz w:val="23"/>
          <w:szCs w:val="23"/>
          <w:rtl/>
        </w:rPr>
        <w:t>بند</w:t>
      </w:r>
      <w:r w:rsidRPr="00FE433F">
        <w:rPr>
          <w:rFonts w:hint="cs"/>
          <w:i/>
          <w:sz w:val="23"/>
          <w:szCs w:val="23"/>
          <w:rtl/>
        </w:rPr>
        <w:t>ی</w:t>
      </w:r>
      <w:r w:rsidRPr="00FE433F">
        <w:rPr>
          <w:i/>
          <w:sz w:val="23"/>
          <w:szCs w:val="23"/>
          <w:rtl/>
        </w:rPr>
        <w:t xml:space="preserve"> </w:t>
      </w:r>
      <w:r w:rsidRPr="00FE433F">
        <w:rPr>
          <w:rFonts w:hint="eastAsia"/>
          <w:i/>
          <w:sz w:val="23"/>
          <w:szCs w:val="23"/>
          <w:rtl/>
        </w:rPr>
        <w:t>کرد</w:t>
      </w:r>
      <w:r w:rsidRPr="00FE433F">
        <w:rPr>
          <w:i/>
          <w:sz w:val="23"/>
          <w:szCs w:val="23"/>
          <w:rtl/>
        </w:rPr>
        <w:t xml:space="preserve">. </w:t>
      </w:r>
      <w:r w:rsidRPr="00FE433F">
        <w:rPr>
          <w:rFonts w:hint="eastAsia"/>
          <w:i/>
          <w:sz w:val="23"/>
          <w:szCs w:val="23"/>
          <w:rtl/>
        </w:rPr>
        <w:t>لاگرانژ</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مسئله</w:t>
      </w:r>
      <w:r w:rsidRPr="00FE433F">
        <w:rPr>
          <w:i/>
          <w:sz w:val="23"/>
          <w:szCs w:val="23"/>
          <w:rtl/>
        </w:rPr>
        <w:t xml:space="preserve"> </w:t>
      </w:r>
      <w:r w:rsidRPr="00FE433F">
        <w:rPr>
          <w:rFonts w:hint="eastAsia"/>
          <w:i/>
          <w:sz w:val="23"/>
          <w:szCs w:val="23"/>
          <w:rtl/>
        </w:rPr>
        <w:t>عبارت</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از</w:t>
      </w:r>
    </w:p>
    <w:p w14:paraId="5E08457E" w14:textId="77777777" w:rsidR="00411620" w:rsidRPr="00FE433F" w:rsidRDefault="00411620" w:rsidP="00411620">
      <w:pPr>
        <w:bidi w:val="0"/>
        <w:spacing w:line="216" w:lineRule="auto"/>
        <w:rPr>
          <w:i/>
          <w:sz w:val="23"/>
          <w:szCs w:val="23"/>
          <w:rtl/>
        </w:rPr>
      </w:pPr>
      <w:r w:rsidRPr="00FE433F">
        <w:rPr>
          <w:position w:val="-68"/>
        </w:rPr>
        <w:object w:dxaOrig="6140" w:dyaOrig="1460" w14:anchorId="2F949493">
          <v:shape id="_x0000_i4360" type="#_x0000_t75" style="width:306.75pt;height:73.2pt" o:ole="">
            <v:imagedata r:id="rId6713" o:title=""/>
          </v:shape>
          <o:OLEObject Type="Embed" ProgID="Equation.DSMT4" ShapeID="_x0000_i4360" DrawAspect="Content" ObjectID="_1791378304" r:id="rId6714"/>
        </w:object>
      </w:r>
    </w:p>
    <w:p w14:paraId="7E5EE4D0" w14:textId="77777777" w:rsidR="00411620" w:rsidRPr="00FE433F" w:rsidRDefault="00411620" w:rsidP="00411620">
      <w:pPr>
        <w:spacing w:line="216" w:lineRule="auto"/>
        <w:rPr>
          <w:i/>
          <w:sz w:val="23"/>
          <w:szCs w:val="23"/>
          <w:rtl/>
        </w:rPr>
      </w:pPr>
      <w:r w:rsidRPr="00FE433F">
        <w:rPr>
          <w:rFonts w:hint="eastAsia"/>
          <w:i/>
          <w:sz w:val="23"/>
          <w:szCs w:val="23"/>
          <w:rtl/>
        </w:rPr>
        <w:t>و</w:t>
      </w:r>
      <w:r w:rsidRPr="00FE433F">
        <w:rPr>
          <w:i/>
          <w:sz w:val="23"/>
          <w:szCs w:val="23"/>
          <w:rtl/>
        </w:rPr>
        <w:t xml:space="preserve"> </w:t>
      </w:r>
      <w:r w:rsidRPr="00FE433F">
        <w:rPr>
          <w:rFonts w:hint="cs"/>
          <w:i/>
          <w:sz w:val="23"/>
          <w:szCs w:val="23"/>
          <w:rtl/>
        </w:rPr>
        <w:t>ی</w:t>
      </w:r>
      <w:r w:rsidRPr="00FE433F">
        <w:rPr>
          <w:rFonts w:hint="eastAsia"/>
          <w:i/>
          <w:sz w:val="23"/>
          <w:szCs w:val="23"/>
          <w:rtl/>
        </w:rPr>
        <w:t>ا</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معرف</w:t>
      </w:r>
      <w:r w:rsidRPr="00FE433F">
        <w:rPr>
          <w:rFonts w:hint="cs"/>
          <w:i/>
          <w:sz w:val="23"/>
          <w:szCs w:val="23"/>
          <w:rtl/>
        </w:rPr>
        <w:t>ی</w:t>
      </w:r>
      <w:r w:rsidRPr="00FE433F">
        <w:rPr>
          <w:i/>
          <w:sz w:val="23"/>
          <w:szCs w:val="23"/>
          <w:rtl/>
        </w:rPr>
        <w:t xml:space="preserve"> </w:t>
      </w:r>
      <w:r w:rsidRPr="00FE433F">
        <w:rPr>
          <w:rFonts w:hint="eastAsia"/>
          <w:i/>
          <w:sz w:val="23"/>
          <w:szCs w:val="23"/>
          <w:rtl/>
        </w:rPr>
        <w:t>تابع</w:t>
      </w:r>
      <w:r w:rsidRPr="00FE433F">
        <w:rPr>
          <w:i/>
          <w:sz w:val="23"/>
          <w:szCs w:val="23"/>
          <w:rtl/>
        </w:rPr>
        <w:t xml:space="preserve"> </w:t>
      </w:r>
      <w:r w:rsidRPr="00FE433F">
        <w:rPr>
          <w:rFonts w:hint="eastAsia"/>
          <w:i/>
          <w:sz w:val="23"/>
          <w:szCs w:val="23"/>
          <w:rtl/>
        </w:rPr>
        <w:t>مطلوب</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cs"/>
          <w:i/>
          <w:sz w:val="23"/>
          <w:szCs w:val="23"/>
          <w:rtl/>
        </w:rPr>
        <w:t xml:space="preserve">زیر </w:t>
      </w:r>
      <w:r w:rsidRPr="00FE433F">
        <w:rPr>
          <w:rFonts w:hint="eastAsia"/>
          <w:i/>
          <w:sz w:val="23"/>
          <w:szCs w:val="23"/>
          <w:rtl/>
        </w:rPr>
        <w:t>خواه</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داشت</w:t>
      </w:r>
    </w:p>
    <w:p w14:paraId="197CEAF0" w14:textId="77777777" w:rsidR="00411620" w:rsidRPr="00FE433F" w:rsidRDefault="00411620" w:rsidP="00411620">
      <w:pPr>
        <w:bidi w:val="0"/>
        <w:spacing w:line="216" w:lineRule="auto"/>
        <w:rPr>
          <w:i/>
          <w:sz w:val="23"/>
          <w:szCs w:val="23"/>
          <w:rtl/>
        </w:rPr>
      </w:pPr>
      <w:r w:rsidRPr="00FE433F">
        <w:rPr>
          <w:position w:val="-18"/>
        </w:rPr>
        <w:object w:dxaOrig="6600" w:dyaOrig="460" w14:anchorId="7214A517">
          <v:shape id="_x0000_i4361" type="#_x0000_t75" style="width:329.75pt;height:23pt" o:ole="">
            <v:imagedata r:id="rId6715" o:title=""/>
          </v:shape>
          <o:OLEObject Type="Embed" ProgID="Equation.DSMT4" ShapeID="_x0000_i4361" DrawAspect="Content" ObjectID="_1791378305" r:id="rId6716"/>
        </w:object>
      </w:r>
    </w:p>
    <w:p w14:paraId="684DB7E6" w14:textId="77777777" w:rsidR="00411620" w:rsidRPr="00FE433F" w:rsidRDefault="00411620" w:rsidP="00411620">
      <w:pPr>
        <w:spacing w:line="216" w:lineRule="auto"/>
        <w:rPr>
          <w:i/>
          <w:sz w:val="23"/>
          <w:szCs w:val="23"/>
          <w:rtl/>
        </w:rPr>
      </w:pPr>
      <w:r w:rsidRPr="00FE433F">
        <w:rPr>
          <w:rFonts w:hint="cs"/>
          <w:i/>
          <w:sz w:val="23"/>
          <w:szCs w:val="23"/>
          <w:rtl/>
        </w:rPr>
        <w:t xml:space="preserve">که </w:t>
      </w:r>
      <w:r w:rsidRPr="00FE433F">
        <w:rPr>
          <w:rFonts w:hint="eastAsia"/>
          <w:i/>
          <w:sz w:val="23"/>
          <w:szCs w:val="23"/>
          <w:rtl/>
        </w:rPr>
        <w:t>لاگرانژ</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cs"/>
          <w:i/>
          <w:sz w:val="23"/>
          <w:szCs w:val="23"/>
          <w:rtl/>
        </w:rPr>
        <w:t xml:space="preserve">آن </w:t>
      </w:r>
      <w:r w:rsidRPr="00FE433F">
        <w:rPr>
          <w:rFonts w:hint="eastAsia"/>
          <w:i/>
          <w:sz w:val="23"/>
          <w:szCs w:val="23"/>
          <w:rtl/>
        </w:rPr>
        <w:t>برابر</w:t>
      </w:r>
      <w:r w:rsidRPr="00FE433F">
        <w:rPr>
          <w:i/>
          <w:sz w:val="23"/>
          <w:szCs w:val="23"/>
          <w:rtl/>
        </w:rPr>
        <w:t xml:space="preserve"> </w:t>
      </w:r>
      <w:r w:rsidRPr="00FE433F">
        <w:rPr>
          <w:rFonts w:hint="eastAsia"/>
          <w:i/>
          <w:sz w:val="23"/>
          <w:szCs w:val="23"/>
          <w:rtl/>
        </w:rPr>
        <w:t>خواهد</w:t>
      </w:r>
      <w:r w:rsidRPr="00FE433F">
        <w:rPr>
          <w:i/>
          <w:sz w:val="23"/>
          <w:szCs w:val="23"/>
          <w:rtl/>
        </w:rPr>
        <w:t xml:space="preserve"> </w:t>
      </w:r>
      <w:r w:rsidRPr="00FE433F">
        <w:rPr>
          <w:rFonts w:hint="eastAsia"/>
          <w:i/>
          <w:sz w:val="23"/>
          <w:szCs w:val="23"/>
          <w:rtl/>
        </w:rPr>
        <w:t>شد</w:t>
      </w:r>
      <w:r w:rsidRPr="00FE433F">
        <w:rPr>
          <w:i/>
          <w:sz w:val="23"/>
          <w:szCs w:val="23"/>
          <w:rtl/>
        </w:rPr>
        <w:t xml:space="preserve"> </w:t>
      </w:r>
      <w:r w:rsidRPr="00FE433F">
        <w:rPr>
          <w:rFonts w:hint="eastAsia"/>
          <w:i/>
          <w:sz w:val="23"/>
          <w:szCs w:val="23"/>
          <w:rtl/>
        </w:rPr>
        <w:t>با</w:t>
      </w:r>
    </w:p>
    <w:p w14:paraId="0894F409" w14:textId="77777777" w:rsidR="00411620" w:rsidRPr="00FE433F" w:rsidRDefault="00411620" w:rsidP="00411620">
      <w:pPr>
        <w:bidi w:val="0"/>
        <w:spacing w:line="216" w:lineRule="auto"/>
        <w:rPr>
          <w:sz w:val="23"/>
          <w:szCs w:val="23"/>
          <w:rtl/>
        </w:rPr>
      </w:pPr>
      <w:r w:rsidRPr="00FE433F">
        <w:rPr>
          <w:position w:val="-36"/>
        </w:rPr>
        <w:object w:dxaOrig="6480" w:dyaOrig="820" w14:anchorId="1D0E4D75">
          <v:shape id="_x0000_i4362" type="#_x0000_t75" style="width:324.3pt;height:41.15pt" o:ole="">
            <v:imagedata r:id="rId6717" o:title=""/>
          </v:shape>
          <o:OLEObject Type="Embed" ProgID="Equation.DSMT4" ShapeID="_x0000_i4362" DrawAspect="Content" ObjectID="_1791378306" r:id="rId6718"/>
        </w:object>
      </w:r>
    </w:p>
    <w:p w14:paraId="5562ABF3" w14:textId="77777777" w:rsidR="00411620" w:rsidRPr="00FE433F" w:rsidRDefault="00411620" w:rsidP="00411620">
      <w:pPr>
        <w:spacing w:line="216" w:lineRule="auto"/>
        <w:rPr>
          <w:i/>
          <w:sz w:val="23"/>
          <w:szCs w:val="23"/>
          <w:rtl/>
        </w:rPr>
      </w:pPr>
      <w:r w:rsidRPr="00FE433F">
        <w:rPr>
          <w:rFonts w:hint="eastAsia"/>
          <w:i/>
          <w:sz w:val="23"/>
          <w:szCs w:val="23"/>
          <w:rtl/>
        </w:rPr>
        <w:t>شرا</w:t>
      </w:r>
      <w:r w:rsidRPr="00FE433F">
        <w:rPr>
          <w:rFonts w:hint="cs"/>
          <w:i/>
          <w:sz w:val="23"/>
          <w:szCs w:val="23"/>
          <w:rtl/>
        </w:rPr>
        <w:t>ی</w:t>
      </w:r>
      <w:r w:rsidRPr="00FE433F">
        <w:rPr>
          <w:rFonts w:hint="eastAsia"/>
          <w:i/>
          <w:sz w:val="23"/>
          <w:szCs w:val="23"/>
          <w:rtl/>
        </w:rPr>
        <w:t>ط</w:t>
      </w:r>
      <w:r w:rsidRPr="00FE433F">
        <w:rPr>
          <w:i/>
          <w:sz w:val="23"/>
          <w:szCs w:val="23"/>
          <w:rtl/>
        </w:rPr>
        <w:t xml:space="preserve"> </w:t>
      </w:r>
      <w:r w:rsidRPr="00FE433F">
        <w:rPr>
          <w:rFonts w:hint="eastAsia"/>
          <w:i/>
          <w:sz w:val="23"/>
          <w:szCs w:val="23"/>
          <w:rtl/>
        </w:rPr>
        <w:t>مرتبه</w:t>
      </w:r>
      <w:r w:rsidRPr="00FE433F">
        <w:rPr>
          <w:i/>
          <w:sz w:val="23"/>
          <w:szCs w:val="23"/>
          <w:rtl/>
        </w:rPr>
        <w:t xml:space="preserve"> </w:t>
      </w:r>
      <w:r w:rsidRPr="00FE433F">
        <w:rPr>
          <w:rFonts w:hint="eastAsia"/>
          <w:i/>
          <w:sz w:val="23"/>
          <w:szCs w:val="23"/>
          <w:rtl/>
        </w:rPr>
        <w:t>اول</w:t>
      </w:r>
      <w:r w:rsidRPr="00FE433F">
        <w:rPr>
          <w:i/>
          <w:sz w:val="23"/>
          <w:szCs w:val="23"/>
          <w:rtl/>
        </w:rPr>
        <w:t xml:space="preserve"> </w:t>
      </w:r>
      <w:r w:rsidRPr="00FE433F">
        <w:rPr>
          <w:rFonts w:hint="eastAsia"/>
          <w:i/>
          <w:sz w:val="23"/>
          <w:szCs w:val="23"/>
          <w:rtl/>
        </w:rPr>
        <w:t>مصرف،</w:t>
      </w:r>
      <w:r w:rsidRPr="00FE433F">
        <w:rPr>
          <w:i/>
          <w:sz w:val="23"/>
          <w:szCs w:val="23"/>
          <w:rtl/>
        </w:rPr>
        <w:t xml:space="preserve"> </w:t>
      </w:r>
      <w:r w:rsidRPr="00FE433F">
        <w:rPr>
          <w:rFonts w:hint="eastAsia"/>
          <w:i/>
          <w:sz w:val="23"/>
          <w:szCs w:val="23"/>
          <w:rtl/>
        </w:rPr>
        <w:t>ن</w:t>
      </w:r>
      <w:r w:rsidRPr="00FE433F">
        <w:rPr>
          <w:rFonts w:hint="cs"/>
          <w:i/>
          <w:sz w:val="23"/>
          <w:szCs w:val="23"/>
          <w:rtl/>
        </w:rPr>
        <w:t>ی</w:t>
      </w:r>
      <w:r w:rsidRPr="00FE433F">
        <w:rPr>
          <w:rFonts w:hint="eastAsia"/>
          <w:i/>
          <w:sz w:val="23"/>
          <w:szCs w:val="23"/>
          <w:rtl/>
        </w:rPr>
        <w:t>رو</w:t>
      </w:r>
      <w:r w:rsidRPr="00FE433F">
        <w:rPr>
          <w:rFonts w:hint="cs"/>
          <w:i/>
          <w:sz w:val="23"/>
          <w:szCs w:val="23"/>
          <w:rtl/>
        </w:rPr>
        <w:t>ی</w:t>
      </w:r>
      <w:r w:rsidRPr="00FE433F">
        <w:rPr>
          <w:i/>
          <w:sz w:val="23"/>
          <w:szCs w:val="23"/>
          <w:rtl/>
        </w:rPr>
        <w:t xml:space="preserve"> </w:t>
      </w:r>
      <w:r w:rsidRPr="00FE433F">
        <w:rPr>
          <w:rFonts w:hint="eastAsia"/>
          <w:i/>
          <w:sz w:val="23"/>
          <w:szCs w:val="23"/>
          <w:rtl/>
        </w:rPr>
        <w:t>کار</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سرما</w:t>
      </w:r>
      <w:r w:rsidRPr="00FE433F">
        <w:rPr>
          <w:rFonts w:hint="cs"/>
          <w:i/>
          <w:sz w:val="23"/>
          <w:szCs w:val="23"/>
          <w:rtl/>
        </w:rPr>
        <w:t>ی</w:t>
      </w:r>
      <w:r w:rsidRPr="00FE433F">
        <w:rPr>
          <w:rFonts w:hint="eastAsia"/>
          <w:i/>
          <w:sz w:val="23"/>
          <w:szCs w:val="23"/>
          <w:rtl/>
        </w:rPr>
        <w:t>ه</w:t>
      </w:r>
      <w:r w:rsidRPr="00FE433F">
        <w:rPr>
          <w:i/>
          <w:sz w:val="23"/>
          <w:szCs w:val="23"/>
          <w:rtl/>
        </w:rPr>
        <w:t xml:space="preserve"> </w:t>
      </w:r>
      <w:r w:rsidRPr="00FE433F">
        <w:rPr>
          <w:rFonts w:hint="eastAsia"/>
          <w:i/>
          <w:sz w:val="23"/>
          <w:szCs w:val="23"/>
          <w:rtl/>
        </w:rPr>
        <w:t>برابر</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با</w:t>
      </w:r>
    </w:p>
    <w:p w14:paraId="456B6956" w14:textId="77777777" w:rsidR="00411620" w:rsidRPr="00FE433F" w:rsidRDefault="00411620" w:rsidP="00411620">
      <w:pPr>
        <w:pStyle w:val="MTDisplayEquation"/>
        <w:spacing w:line="216" w:lineRule="auto"/>
        <w:rPr>
          <w:rFonts w:ascii="Times New Roman" w:hAnsi="Times New Roman" w:cs="B Nazanin"/>
          <w:i/>
          <w:sz w:val="23"/>
          <w:szCs w:val="23"/>
          <w:rtl/>
        </w:rPr>
      </w:pPr>
      <w:r w:rsidRPr="00FE433F">
        <w:rPr>
          <w:position w:val="-28"/>
        </w:rPr>
        <w:object w:dxaOrig="4660" w:dyaOrig="620" w14:anchorId="48BE3CC6">
          <v:shape id="_x0000_i4363" type="#_x0000_t75" style="width:232.95pt;height:30.85pt" o:ole="">
            <v:imagedata r:id="rId6719" o:title=""/>
          </v:shape>
          <o:OLEObject Type="Embed" ProgID="Equation.DSMT4" ShapeID="_x0000_i4363" DrawAspect="Content" ObjectID="_1791378307" r:id="rId6720"/>
        </w:object>
      </w:r>
    </w:p>
    <w:p w14:paraId="44B4DCD6" w14:textId="77777777" w:rsidR="00411620" w:rsidRPr="00FE433F" w:rsidRDefault="00411620" w:rsidP="00411620">
      <w:pPr>
        <w:bidi w:val="0"/>
        <w:spacing w:line="216" w:lineRule="auto"/>
        <w:rPr>
          <w:i/>
          <w:sz w:val="23"/>
          <w:szCs w:val="23"/>
          <w:rtl/>
        </w:rPr>
      </w:pPr>
      <w:r w:rsidRPr="00FE433F">
        <w:rPr>
          <w:position w:val="-28"/>
        </w:rPr>
        <w:object w:dxaOrig="4520" w:dyaOrig="620" w14:anchorId="452E4568">
          <v:shape id="_x0000_i4364" type="#_x0000_t75" style="width:226.3pt;height:30.85pt" o:ole="">
            <v:imagedata r:id="rId6721" o:title=""/>
          </v:shape>
          <o:OLEObject Type="Embed" ProgID="Equation.DSMT4" ShapeID="_x0000_i4364" DrawAspect="Content" ObjectID="_1791378308" r:id="rId6722"/>
        </w:object>
      </w:r>
    </w:p>
    <w:p w14:paraId="6988DA5A" w14:textId="77777777" w:rsidR="00411620" w:rsidRPr="00FE433F" w:rsidRDefault="00411620" w:rsidP="00411620">
      <w:pPr>
        <w:bidi w:val="0"/>
        <w:spacing w:line="216" w:lineRule="auto"/>
        <w:rPr>
          <w:i/>
          <w:sz w:val="23"/>
          <w:szCs w:val="23"/>
          <w:rtl/>
        </w:rPr>
      </w:pPr>
      <w:r w:rsidRPr="00FE433F">
        <w:rPr>
          <w:position w:val="-28"/>
        </w:rPr>
        <w:object w:dxaOrig="4380" w:dyaOrig="620" w14:anchorId="1B297994">
          <v:shape id="_x0000_i4365" type="#_x0000_t75" style="width:219.05pt;height:30.85pt" o:ole="">
            <v:imagedata r:id="rId6723" o:title=""/>
          </v:shape>
          <o:OLEObject Type="Embed" ProgID="Equation.DSMT4" ShapeID="_x0000_i4365" DrawAspect="Content" ObjectID="_1791378309" r:id="rId6724"/>
        </w:object>
      </w:r>
    </w:p>
    <w:p w14:paraId="422D9C04" w14:textId="77777777" w:rsidR="00411620" w:rsidRPr="00FE433F" w:rsidRDefault="00411620" w:rsidP="00411620">
      <w:pPr>
        <w:bidi w:val="0"/>
        <w:spacing w:line="216" w:lineRule="auto"/>
        <w:rPr>
          <w:i/>
          <w:sz w:val="23"/>
          <w:szCs w:val="23"/>
        </w:rPr>
      </w:pPr>
      <w:r w:rsidRPr="00FE433F">
        <w:rPr>
          <w:position w:val="-28"/>
        </w:rPr>
        <w:object w:dxaOrig="4480" w:dyaOrig="620" w14:anchorId="2129F198">
          <v:shape id="_x0000_i4366" type="#_x0000_t75" style="width:223.85pt;height:30.85pt" o:ole="">
            <v:imagedata r:id="rId6725" o:title=""/>
          </v:shape>
          <o:OLEObject Type="Embed" ProgID="Equation.DSMT4" ShapeID="_x0000_i4366" DrawAspect="Content" ObjectID="_1791378310" r:id="rId6726"/>
        </w:object>
      </w:r>
    </w:p>
    <w:p w14:paraId="6AC71FD0" w14:textId="77777777" w:rsidR="00411620" w:rsidRPr="00FE433F" w:rsidRDefault="00411620" w:rsidP="00411620">
      <w:pPr>
        <w:pStyle w:val="MTDisplayEquation"/>
        <w:bidi/>
        <w:spacing w:line="216" w:lineRule="auto"/>
        <w:rPr>
          <w:rFonts w:ascii="Times New Roman" w:hAnsi="Times New Roman" w:cs="B Nazanin"/>
          <w:i/>
          <w:sz w:val="23"/>
          <w:szCs w:val="23"/>
          <w:rtl/>
          <w:lang w:bidi="fa-IR"/>
        </w:rPr>
      </w:pPr>
      <w:r w:rsidRPr="00FE433F">
        <w:rPr>
          <w:rFonts w:ascii="Times New Roman" w:hAnsi="Times New Roman" w:cs="B Nazanin" w:hint="eastAsia"/>
          <w:i/>
          <w:sz w:val="23"/>
          <w:szCs w:val="23"/>
          <w:rtl/>
          <w:lang w:bidi="fa-IR"/>
        </w:rPr>
        <w:t>سه</w:t>
      </w:r>
      <w:r w:rsidRPr="00FE433F">
        <w:rPr>
          <w:rFonts w:ascii="Times New Roman" w:hAnsi="Times New Roman" w:cs="B Nazanin"/>
          <w:i/>
          <w:sz w:val="23"/>
          <w:szCs w:val="23"/>
          <w:rtl/>
          <w:lang w:bidi="fa-IR"/>
        </w:rPr>
        <w:t xml:space="preserve"> معادله</w:t>
      </w:r>
      <w:r w:rsidRPr="00FE433F">
        <w:rPr>
          <w:rFonts w:ascii="Times New Roman" w:hAnsi="Times New Roman" w:cs="B Nazanin" w:hint="eastAsia"/>
          <w:i/>
          <w:sz w:val="23"/>
          <w:szCs w:val="23"/>
          <w:lang w:bidi="fa-IR"/>
        </w:rPr>
        <w:t>‌</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اول از شرا</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ط</w:t>
      </w:r>
      <w:r w:rsidRPr="00FE433F">
        <w:rPr>
          <w:rFonts w:ascii="Times New Roman" w:hAnsi="Times New Roman" w:cs="B Nazanin"/>
          <w:i/>
          <w:sz w:val="23"/>
          <w:szCs w:val="23"/>
          <w:rtl/>
          <w:lang w:bidi="fa-IR"/>
        </w:rPr>
        <w:t xml:space="preserve"> مرتبه اول فوق همانند قبل است و نتا</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ج</w:t>
      </w:r>
      <w:r w:rsidRPr="00FE433F">
        <w:rPr>
          <w:rFonts w:ascii="Times New Roman" w:hAnsi="Times New Roman" w:cs="B Nazanin"/>
          <w:i/>
          <w:sz w:val="23"/>
          <w:szCs w:val="23"/>
          <w:rtl/>
          <w:lang w:bidi="fa-IR"/>
        </w:rPr>
        <w:t xml:space="preserve"> </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کسان</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خواهد داشت. </w:t>
      </w:r>
      <w:r w:rsidRPr="00FE433F">
        <w:rPr>
          <w:rFonts w:ascii="Times New Roman" w:hAnsi="Times New Roman" w:cs="B Nazanin" w:hint="eastAsia"/>
          <w:i/>
          <w:sz w:val="23"/>
          <w:szCs w:val="23"/>
          <w:rtl/>
          <w:lang w:bidi="fa-IR"/>
        </w:rPr>
        <w:t>آخر</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ن</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شرط</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نشان</w:t>
      </w:r>
      <w:r w:rsidRPr="00FE433F">
        <w:rPr>
          <w:rFonts w:ascii="Times New Roman" w:hAnsi="Times New Roman" w:cs="B Nazanin"/>
          <w:i/>
          <w:sz w:val="23"/>
          <w:szCs w:val="23"/>
          <w:rtl/>
          <w:lang w:bidi="fa-IR"/>
        </w:rPr>
        <w:t xml:space="preserve"> م</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lang w:bidi="fa-IR"/>
        </w:rPr>
        <w:t>‌</w:t>
      </w:r>
      <w:r w:rsidRPr="00FE433F">
        <w:rPr>
          <w:rFonts w:ascii="Times New Roman" w:hAnsi="Times New Roman" w:cs="B Nazanin" w:hint="eastAsia"/>
          <w:i/>
          <w:sz w:val="23"/>
          <w:szCs w:val="23"/>
          <w:rtl/>
          <w:lang w:bidi="fa-IR"/>
        </w:rPr>
        <w:t>دهد</w:t>
      </w:r>
    </w:p>
    <w:p w14:paraId="741C7103" w14:textId="77777777" w:rsidR="00411620" w:rsidRPr="00FE433F" w:rsidRDefault="00411620" w:rsidP="00411620">
      <w:pPr>
        <w:pStyle w:val="MTDisplayEquation"/>
        <w:spacing w:line="216" w:lineRule="auto"/>
        <w:rPr>
          <w:rFonts w:ascii="Times New Roman" w:hAnsi="Times New Roman" w:cs="B Nazanin"/>
          <w:i/>
          <w:sz w:val="23"/>
          <w:szCs w:val="23"/>
          <w:rtl/>
          <w:lang w:bidi="fa-IR"/>
        </w:rPr>
      </w:pPr>
      <w:r w:rsidRPr="00FE433F">
        <w:rPr>
          <w:rFonts w:ascii="Times New Roman" w:hAnsi="Times New Roman" w:cs="B Nazanin"/>
          <w:i/>
          <w:sz w:val="23"/>
          <w:szCs w:val="23"/>
          <w:rtl/>
          <w:lang w:bidi="fa-IR"/>
        </w:rPr>
        <w:t xml:space="preserve"> </w:t>
      </w:r>
      <w:r w:rsidRPr="00FE433F">
        <w:rPr>
          <w:position w:val="-14"/>
        </w:rPr>
        <w:object w:dxaOrig="5800" w:dyaOrig="380" w14:anchorId="61260AFD">
          <v:shape id="_x0000_i4367" type="#_x0000_t75" style="width:289.8pt;height:18.75pt" o:ole="">
            <v:imagedata r:id="rId6727" o:title=""/>
          </v:shape>
          <o:OLEObject Type="Embed" ProgID="Equation.DSMT4" ShapeID="_x0000_i4367" DrawAspect="Content" ObjectID="_1791378311" r:id="rId6728"/>
        </w:object>
      </w:r>
    </w:p>
    <w:p w14:paraId="02286313" w14:textId="77777777" w:rsidR="00411620" w:rsidRPr="00FE433F" w:rsidRDefault="00411620" w:rsidP="00411620">
      <w:pPr>
        <w:pStyle w:val="MTDisplayEquation"/>
        <w:bidi/>
        <w:spacing w:line="216" w:lineRule="auto"/>
        <w:rPr>
          <w:rFonts w:ascii="Times New Roman" w:hAnsi="Times New Roman" w:cs="B Nazanin"/>
          <w:i/>
          <w:sz w:val="23"/>
          <w:szCs w:val="23"/>
          <w:rtl/>
          <w:lang w:bidi="fa-IR"/>
        </w:rPr>
      </w:pPr>
      <w:r w:rsidRPr="00FE433F">
        <w:rPr>
          <w:rFonts w:ascii="Times New Roman" w:hAnsi="Times New Roman" w:cs="B Nazanin" w:hint="eastAsia"/>
          <w:i/>
          <w:sz w:val="23"/>
          <w:szCs w:val="23"/>
          <w:rtl/>
          <w:lang w:bidi="fa-IR"/>
        </w:rPr>
        <w:t>بنابرا</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ن</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شکل</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تابع</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مطلوب</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ت</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در</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را</w:t>
      </w:r>
      <w:r w:rsidRPr="00FE433F">
        <w:rPr>
          <w:rFonts w:ascii="Times New Roman" w:hAnsi="Times New Roman" w:cs="B Nazanin" w:hint="cs"/>
          <w:i/>
          <w:sz w:val="23"/>
          <w:szCs w:val="23"/>
          <w:rtl/>
          <w:lang w:bidi="fa-IR"/>
        </w:rPr>
        <w:t>ه</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حل</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مسئله</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نقش</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اساس</w:t>
      </w:r>
      <w:r w:rsidRPr="00FE433F">
        <w:rPr>
          <w:rFonts w:ascii="Times New Roman" w:hAnsi="Times New Roman" w:cs="B Nazanin" w:hint="cs"/>
          <w:i/>
          <w:sz w:val="23"/>
          <w:szCs w:val="23"/>
          <w:rtl/>
          <w:lang w:bidi="fa-IR"/>
        </w:rPr>
        <w:t>ی</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دارد</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اکنون</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تابع</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مطلوب</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ت</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تفک</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ک</w:t>
      </w:r>
      <w:r w:rsidRPr="00FE433F">
        <w:rPr>
          <w:rFonts w:ascii="Times New Roman" w:hAnsi="Times New Roman" w:cs="B Nazanin"/>
          <w:i/>
          <w:sz w:val="23"/>
          <w:szCs w:val="23"/>
          <w:rtl/>
          <w:lang w:bidi="fa-IR"/>
        </w:rPr>
        <w:softHyphen/>
      </w:r>
      <w:r w:rsidRPr="00FE433F">
        <w:rPr>
          <w:rFonts w:ascii="Times New Roman" w:hAnsi="Times New Roman" w:cs="B Nazanin" w:hint="eastAsia"/>
          <w:i/>
          <w:sz w:val="23"/>
          <w:szCs w:val="23"/>
          <w:rtl/>
          <w:lang w:bidi="fa-IR"/>
        </w:rPr>
        <w:t>پذ</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ر</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ز</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ر</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را</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در</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نظر</w:t>
      </w:r>
      <w:r w:rsidRPr="00FE433F">
        <w:rPr>
          <w:rFonts w:ascii="Times New Roman" w:hAnsi="Times New Roman" w:cs="B Nazanin"/>
          <w:i/>
          <w:sz w:val="23"/>
          <w:szCs w:val="23"/>
          <w:rtl/>
          <w:lang w:bidi="fa-IR"/>
        </w:rPr>
        <w:t xml:space="preserve"> </w:t>
      </w:r>
      <w:r w:rsidRPr="00FE433F">
        <w:rPr>
          <w:rFonts w:ascii="Times New Roman" w:hAnsi="Times New Roman" w:cs="B Nazanin" w:hint="eastAsia"/>
          <w:i/>
          <w:sz w:val="23"/>
          <w:szCs w:val="23"/>
          <w:rtl/>
          <w:lang w:bidi="fa-IR"/>
        </w:rPr>
        <w:t>بگ</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ر</w:t>
      </w:r>
      <w:r w:rsidRPr="00FE433F">
        <w:rPr>
          <w:rFonts w:ascii="Times New Roman" w:hAnsi="Times New Roman" w:cs="B Nazanin" w:hint="cs"/>
          <w:i/>
          <w:sz w:val="23"/>
          <w:szCs w:val="23"/>
          <w:rtl/>
          <w:lang w:bidi="fa-IR"/>
        </w:rPr>
        <w:t>ی</w:t>
      </w:r>
      <w:r w:rsidRPr="00FE433F">
        <w:rPr>
          <w:rFonts w:ascii="Times New Roman" w:hAnsi="Times New Roman" w:cs="B Nazanin" w:hint="eastAsia"/>
          <w:i/>
          <w:sz w:val="23"/>
          <w:szCs w:val="23"/>
          <w:rtl/>
          <w:lang w:bidi="fa-IR"/>
        </w:rPr>
        <w:t>د</w:t>
      </w:r>
    </w:p>
    <w:p w14:paraId="626D816E" w14:textId="77777777" w:rsidR="00411620" w:rsidRPr="00FE433F" w:rsidRDefault="00411620" w:rsidP="00411620">
      <w:pPr>
        <w:bidi w:val="0"/>
        <w:spacing w:line="216" w:lineRule="auto"/>
        <w:rPr>
          <w:i/>
          <w:sz w:val="23"/>
          <w:szCs w:val="23"/>
          <w:rtl/>
        </w:rPr>
      </w:pPr>
      <w:r w:rsidRPr="00FE433F">
        <w:rPr>
          <w:position w:val="-26"/>
        </w:rPr>
        <w:object w:dxaOrig="2940" w:dyaOrig="639" w14:anchorId="0B8083A6">
          <v:shape id="_x0000_i4368" type="#_x0000_t75" style="width:147.05pt;height:32.05pt" o:ole="">
            <v:imagedata r:id="rId6729" o:title=""/>
          </v:shape>
          <o:OLEObject Type="Embed" ProgID="Equation.DSMT4" ShapeID="_x0000_i4368" DrawAspect="Content" ObjectID="_1791378312" r:id="rId6730"/>
        </w:object>
      </w:r>
    </w:p>
    <w:p w14:paraId="1E0B3547" w14:textId="77777777" w:rsidR="00411620" w:rsidRPr="00FE433F" w:rsidRDefault="00411620" w:rsidP="00411620">
      <w:pPr>
        <w:spacing w:line="216" w:lineRule="auto"/>
        <w:rPr>
          <w:rFonts w:eastAsia="Calibri"/>
          <w:i/>
          <w:sz w:val="23"/>
          <w:szCs w:val="23"/>
          <w:rtl/>
        </w:rPr>
      </w:pPr>
      <w:r w:rsidRPr="00FE433F">
        <w:rPr>
          <w:rFonts w:eastAsia="Calibri" w:hint="eastAsia"/>
          <w:i/>
          <w:sz w:val="23"/>
          <w:szCs w:val="23"/>
          <w:rtl/>
        </w:rPr>
        <w:t>در</w:t>
      </w:r>
      <w:r w:rsidRPr="00FE433F">
        <w:rPr>
          <w:rFonts w:eastAsia="Calibri"/>
          <w:i/>
          <w:sz w:val="23"/>
          <w:szCs w:val="23"/>
          <w:rtl/>
        </w:rPr>
        <w:t xml:space="preserve"> 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صورت شرط مرتبه اول </w:t>
      </w:r>
      <w:r w:rsidRPr="00FE433F">
        <w:rPr>
          <w:rFonts w:eastAsia="Calibri" w:hint="eastAsia"/>
          <w:i/>
          <w:sz w:val="23"/>
          <w:szCs w:val="23"/>
          <w:rtl/>
        </w:rPr>
        <w:t>پول</w:t>
      </w:r>
      <w:r w:rsidRPr="00FE433F">
        <w:rPr>
          <w:rFonts w:eastAsia="Calibri"/>
          <w:i/>
          <w:sz w:val="23"/>
          <w:szCs w:val="23"/>
          <w:rtl/>
        </w:rPr>
        <w:t xml:space="preserve"> </w:t>
      </w:r>
      <w:r w:rsidRPr="00FE433F">
        <w:rPr>
          <w:rFonts w:eastAsia="Calibri" w:hint="eastAsia"/>
          <w:i/>
          <w:sz w:val="23"/>
          <w:szCs w:val="23"/>
          <w:rtl/>
        </w:rPr>
        <w:t>برابر</w:t>
      </w:r>
      <w:r w:rsidRPr="00FE433F">
        <w:rPr>
          <w:rFonts w:eastAsia="Calibri"/>
          <w:i/>
          <w:sz w:val="23"/>
          <w:szCs w:val="23"/>
          <w:rtl/>
        </w:rPr>
        <w:t xml:space="preserve"> </w:t>
      </w:r>
      <w:r w:rsidRPr="00FE433F">
        <w:rPr>
          <w:rFonts w:eastAsia="Calibri" w:hint="eastAsia"/>
          <w:i/>
          <w:sz w:val="23"/>
          <w:szCs w:val="23"/>
          <w:rtl/>
        </w:rPr>
        <w:t>است</w:t>
      </w:r>
      <w:r w:rsidRPr="00FE433F">
        <w:rPr>
          <w:rFonts w:eastAsia="Calibri"/>
          <w:i/>
          <w:sz w:val="23"/>
          <w:szCs w:val="23"/>
          <w:rtl/>
        </w:rPr>
        <w:t xml:space="preserve"> </w:t>
      </w:r>
      <w:r w:rsidRPr="00FE433F">
        <w:rPr>
          <w:rFonts w:eastAsia="Calibri" w:hint="eastAsia"/>
          <w:i/>
          <w:sz w:val="23"/>
          <w:szCs w:val="23"/>
          <w:rtl/>
        </w:rPr>
        <w:t>با</w:t>
      </w:r>
    </w:p>
    <w:p w14:paraId="2F07A6E2" w14:textId="77777777" w:rsidR="00411620" w:rsidRPr="00FE433F" w:rsidRDefault="00411620" w:rsidP="00411620">
      <w:pPr>
        <w:bidi w:val="0"/>
        <w:spacing w:line="216" w:lineRule="auto"/>
        <w:rPr>
          <w:rFonts w:eastAsia="Calibri"/>
          <w:i/>
          <w:sz w:val="23"/>
          <w:szCs w:val="23"/>
          <w:rtl/>
        </w:rPr>
      </w:pPr>
      <w:r w:rsidRPr="00FE433F">
        <w:rPr>
          <w:position w:val="-12"/>
        </w:rPr>
        <w:object w:dxaOrig="2000" w:dyaOrig="360" w14:anchorId="5C4734D2">
          <v:shape id="_x0000_i4369" type="#_x0000_t75" style="width:99.85pt;height:18.15pt" o:ole="">
            <v:imagedata r:id="rId6731" o:title=""/>
          </v:shape>
          <o:OLEObject Type="Embed" ProgID="Equation.DSMT4" ShapeID="_x0000_i4369" DrawAspect="Content" ObjectID="_1791378313" r:id="rId6732"/>
        </w:object>
      </w:r>
    </w:p>
    <w:p w14:paraId="5399E785" w14:textId="77777777" w:rsidR="00411620" w:rsidRPr="00FE433F" w:rsidRDefault="00411620" w:rsidP="00411620">
      <w:pPr>
        <w:spacing w:line="216" w:lineRule="auto"/>
        <w:rPr>
          <w:i/>
          <w:sz w:val="23"/>
          <w:szCs w:val="23"/>
          <w:rtl/>
        </w:rPr>
      </w:pPr>
      <w:r w:rsidRPr="00FE433F">
        <w:rPr>
          <w:rFonts w:hint="eastAsia"/>
          <w:i/>
          <w:sz w:val="23"/>
          <w:szCs w:val="23"/>
          <w:rtl/>
        </w:rPr>
        <w:t>بنابرا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اگر</w:t>
      </w:r>
      <w:r w:rsidRPr="00FE433F">
        <w:rPr>
          <w:i/>
          <w:sz w:val="23"/>
          <w:szCs w:val="23"/>
          <w:rtl/>
        </w:rPr>
        <w:t xml:space="preserve"> </w:t>
      </w:r>
      <w:r w:rsidRPr="00FE433F">
        <w:rPr>
          <w:position w:val="-10"/>
        </w:rPr>
        <w:object w:dxaOrig="1240" w:dyaOrig="300" w14:anchorId="32C23B00">
          <v:shape id="_x0000_i4370" type="#_x0000_t75" style="width:61.7pt;height:15.15pt" o:ole="">
            <v:imagedata r:id="rId6733" o:title=""/>
          </v:shape>
          <o:OLEObject Type="Embed" ProgID="Equation.DSMT4" ShapeID="_x0000_i4370" DrawAspect="Content" ObjectID="_1791378314" r:id="rId6734"/>
        </w:object>
      </w:r>
      <w:r w:rsidRPr="00FE433F">
        <w:rPr>
          <w:rFonts w:eastAsia="Calibri"/>
          <w:i/>
          <w:sz w:val="23"/>
          <w:szCs w:val="23"/>
        </w:rPr>
        <w:t xml:space="preserve"> </w:t>
      </w:r>
      <w:r w:rsidRPr="00FE433F">
        <w:rPr>
          <w:rFonts w:eastAsia="Calibri" w:hint="cs"/>
          <w:i/>
          <w:sz w:val="23"/>
          <w:szCs w:val="23"/>
          <w:rtl/>
        </w:rPr>
        <w:t>ی</w:t>
      </w:r>
      <w:r w:rsidRPr="00FE433F">
        <w:rPr>
          <w:rFonts w:eastAsia="Calibri" w:hint="eastAsia"/>
          <w:i/>
          <w:sz w:val="23"/>
          <w:szCs w:val="23"/>
          <w:rtl/>
        </w:rPr>
        <w:t>ا</w:t>
      </w:r>
      <w:r w:rsidRPr="00FE433F">
        <w:rPr>
          <w:rFonts w:eastAsia="Calibri"/>
          <w:i/>
          <w:sz w:val="23"/>
          <w:szCs w:val="23"/>
          <w:rtl/>
        </w:rPr>
        <w:t xml:space="preserve"> </w:t>
      </w:r>
      <w:r w:rsidRPr="00FE433F">
        <w:rPr>
          <w:position w:val="-10"/>
        </w:rPr>
        <w:object w:dxaOrig="540" w:dyaOrig="300" w14:anchorId="605E3941">
          <v:shape id="_x0000_i4371" type="#_x0000_t75" style="width:26.6pt;height:15.15pt" o:ole="">
            <v:imagedata r:id="rId6735" o:title=""/>
          </v:shape>
          <o:OLEObject Type="Embed" ProgID="Equation.DSMT4" ShapeID="_x0000_i4371" DrawAspect="Content" ObjectID="_1791378315" r:id="rId6736"/>
        </w:object>
      </w:r>
      <w:r w:rsidRPr="00FE433F">
        <w:rPr>
          <w:rFonts w:eastAsia="Calibri"/>
          <w:i/>
          <w:sz w:val="23"/>
          <w:szCs w:val="23"/>
          <w:rtl/>
        </w:rPr>
        <w:t xml:space="preserve"> </w:t>
      </w:r>
      <w:r w:rsidRPr="00FE433F">
        <w:rPr>
          <w:rFonts w:eastAsia="Calibri" w:hint="eastAsia"/>
          <w:i/>
          <w:sz w:val="23"/>
          <w:szCs w:val="23"/>
          <w:rtl/>
        </w:rPr>
        <w:t>نباشد،</w:t>
      </w:r>
      <w:r w:rsidRPr="00FE433F">
        <w:rPr>
          <w:rFonts w:eastAsia="Calibri"/>
          <w:i/>
          <w:sz w:val="23"/>
          <w:szCs w:val="23"/>
          <w:rtl/>
        </w:rPr>
        <w:t xml:space="preserve"> </w:t>
      </w:r>
      <w:r w:rsidRPr="00FE433F">
        <w:rPr>
          <w:rFonts w:eastAsia="Calibri" w:hint="eastAsia"/>
          <w:i/>
          <w:sz w:val="23"/>
          <w:szCs w:val="23"/>
          <w:rtl/>
        </w:rPr>
        <w:t>آنگاه</w:t>
      </w:r>
      <w:r w:rsidRPr="00FE433F">
        <w:rPr>
          <w:rFonts w:eastAsia="Calibri"/>
          <w:i/>
          <w:sz w:val="23"/>
          <w:szCs w:val="23"/>
          <w:rtl/>
        </w:rPr>
        <w:t xml:space="preserve"> </w:t>
      </w:r>
      <w:r w:rsidRPr="00FE433F">
        <w:rPr>
          <w:rFonts w:eastAsia="Calibri" w:hint="eastAsia"/>
          <w:i/>
          <w:sz w:val="23"/>
          <w:szCs w:val="23"/>
          <w:rtl/>
        </w:rPr>
        <w:t>برا</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پارامتر</w:t>
      </w:r>
      <w:r w:rsidRPr="00FE433F">
        <w:rPr>
          <w:rFonts w:eastAsia="Calibri"/>
          <w:i/>
          <w:sz w:val="23"/>
          <w:szCs w:val="23"/>
          <w:rtl/>
        </w:rPr>
        <w:t xml:space="preserve"> </w:t>
      </w:r>
      <w:r w:rsidRPr="00FE433F">
        <w:rPr>
          <w:position w:val="-10"/>
        </w:rPr>
        <w:object w:dxaOrig="520" w:dyaOrig="300" w14:anchorId="19C74CAE">
          <v:shape id="_x0000_i4372" type="#_x0000_t75" style="width:26pt;height:15.15pt" o:ole="">
            <v:imagedata r:id="rId6737" o:title=""/>
          </v:shape>
          <o:OLEObject Type="Embed" ProgID="Equation.DSMT4" ShapeID="_x0000_i4372" DrawAspect="Content" ObjectID="_1791378316" r:id="rId6738"/>
        </w:object>
      </w:r>
      <w:r w:rsidRPr="00FE433F">
        <w:rPr>
          <w:rFonts w:eastAsia="Calibri"/>
          <w:i/>
          <w:sz w:val="23"/>
          <w:szCs w:val="23"/>
        </w:rPr>
        <w:t xml:space="preserve"> </w:t>
      </w:r>
      <w:r w:rsidRPr="00FE433F">
        <w:rPr>
          <w:rFonts w:eastAsia="Calibri" w:hint="eastAsia"/>
          <w:i/>
          <w:sz w:val="23"/>
          <w:szCs w:val="23"/>
          <w:rtl/>
        </w:rPr>
        <w:t>لزوماً</w:t>
      </w:r>
      <w:r w:rsidRPr="00FE433F">
        <w:rPr>
          <w:rFonts w:eastAsia="Calibri"/>
          <w:i/>
          <w:sz w:val="23"/>
          <w:szCs w:val="23"/>
          <w:rtl/>
        </w:rPr>
        <w:t xml:space="preserve"> </w:t>
      </w:r>
      <w:r w:rsidRPr="00FE433F">
        <w:rPr>
          <w:rFonts w:eastAsia="Calibri" w:hint="eastAsia"/>
          <w:i/>
          <w:sz w:val="23"/>
          <w:szCs w:val="23"/>
          <w:rtl/>
        </w:rPr>
        <w:t>حجم</w:t>
      </w:r>
      <w:r w:rsidRPr="00FE433F">
        <w:rPr>
          <w:rFonts w:eastAsia="Calibri"/>
          <w:i/>
          <w:sz w:val="23"/>
          <w:szCs w:val="23"/>
          <w:rtl/>
        </w:rPr>
        <w:t xml:space="preserve"> </w:t>
      </w:r>
      <w:r w:rsidRPr="00FE433F">
        <w:rPr>
          <w:rFonts w:eastAsia="Calibri" w:hint="eastAsia"/>
          <w:i/>
          <w:sz w:val="23"/>
          <w:szCs w:val="23"/>
          <w:rtl/>
        </w:rPr>
        <w:t>پول</w:t>
      </w:r>
      <w:r w:rsidRPr="00FE433F">
        <w:rPr>
          <w:rFonts w:eastAsia="Calibri"/>
          <w:i/>
          <w:sz w:val="23"/>
          <w:szCs w:val="23"/>
          <w:rtl/>
        </w:rPr>
        <w:t xml:space="preserve"> </w:t>
      </w:r>
      <w:r w:rsidRPr="00FE433F">
        <w:rPr>
          <w:rFonts w:eastAsia="Calibri" w:hint="eastAsia"/>
          <w:i/>
          <w:sz w:val="23"/>
          <w:szCs w:val="23"/>
          <w:rtl/>
        </w:rPr>
        <w:t>در</w:t>
      </w:r>
      <w:r w:rsidRPr="00FE433F">
        <w:rPr>
          <w:rFonts w:eastAsia="Calibri"/>
          <w:i/>
          <w:sz w:val="23"/>
          <w:szCs w:val="23"/>
          <w:rtl/>
        </w:rPr>
        <w:t xml:space="preserve"> </w:t>
      </w:r>
      <w:r w:rsidRPr="00FE433F">
        <w:rPr>
          <w:rFonts w:eastAsia="Calibri" w:hint="eastAsia"/>
          <w:i/>
          <w:sz w:val="23"/>
          <w:szCs w:val="23"/>
          <w:rtl/>
        </w:rPr>
        <w:t>زمان</w:t>
      </w:r>
      <w:r w:rsidRPr="00FE433F">
        <w:rPr>
          <w:rFonts w:eastAsia="Calibri"/>
          <w:i/>
          <w:sz w:val="23"/>
          <w:szCs w:val="23"/>
          <w:rtl/>
        </w:rPr>
        <w:t xml:space="preserve"> </w:t>
      </w:r>
      <w:proofErr w:type="spellStart"/>
      <w:r w:rsidRPr="00FE433F">
        <w:rPr>
          <w:rFonts w:eastAsia="Calibri"/>
          <w:i/>
          <w:sz w:val="23"/>
          <w:szCs w:val="23"/>
        </w:rPr>
        <w:t>t+s</w:t>
      </w:r>
      <w:proofErr w:type="spellEnd"/>
      <w:r w:rsidRPr="00FE433F">
        <w:rPr>
          <w:rFonts w:eastAsia="Calibri"/>
          <w:i/>
          <w:sz w:val="23"/>
          <w:szCs w:val="23"/>
          <w:rtl/>
        </w:rPr>
        <w:t xml:space="preserve"> </w:t>
      </w:r>
      <w:r w:rsidRPr="00FE433F">
        <w:rPr>
          <w:rFonts w:eastAsia="Calibri" w:hint="eastAsia"/>
          <w:i/>
          <w:sz w:val="23"/>
          <w:szCs w:val="23"/>
          <w:rtl/>
        </w:rPr>
        <w:t>م</w:t>
      </w:r>
      <w:r w:rsidRPr="00FE433F">
        <w:rPr>
          <w:rFonts w:eastAsia="Calibri" w:hint="cs"/>
          <w:i/>
          <w:sz w:val="23"/>
          <w:szCs w:val="23"/>
          <w:rtl/>
        </w:rPr>
        <w:t>ی</w:t>
      </w:r>
      <w:r w:rsidRPr="00FE433F">
        <w:rPr>
          <w:rFonts w:eastAsia="Calibri" w:hint="eastAsia"/>
          <w:i/>
          <w:sz w:val="23"/>
          <w:szCs w:val="23"/>
        </w:rPr>
        <w:t>‌</w:t>
      </w:r>
      <w:r w:rsidRPr="00FE433F">
        <w:rPr>
          <w:rFonts w:eastAsia="Calibri" w:hint="eastAsia"/>
          <w:i/>
          <w:sz w:val="23"/>
          <w:szCs w:val="23"/>
          <w:rtl/>
        </w:rPr>
        <w:t>با</w:t>
      </w:r>
      <w:r w:rsidRPr="00FE433F">
        <w:rPr>
          <w:rFonts w:eastAsia="Calibri" w:hint="cs"/>
          <w:i/>
          <w:sz w:val="23"/>
          <w:szCs w:val="23"/>
          <w:rtl/>
        </w:rPr>
        <w:t>ی</w:t>
      </w:r>
      <w:r w:rsidRPr="00FE433F">
        <w:rPr>
          <w:rFonts w:eastAsia="Calibri" w:hint="eastAsia"/>
          <w:i/>
          <w:sz w:val="23"/>
          <w:szCs w:val="23"/>
          <w:rtl/>
        </w:rPr>
        <w:t>ست</w:t>
      </w:r>
      <w:r w:rsidRPr="00FE433F">
        <w:rPr>
          <w:rFonts w:eastAsia="Calibri"/>
          <w:i/>
          <w:sz w:val="23"/>
          <w:szCs w:val="23"/>
          <w:rtl/>
        </w:rPr>
        <w:t xml:space="preserve"> </w:t>
      </w:r>
      <w:r w:rsidRPr="00FE433F">
        <w:rPr>
          <w:rFonts w:eastAsia="Calibri" w:hint="eastAsia"/>
          <w:i/>
          <w:sz w:val="23"/>
          <w:szCs w:val="23"/>
          <w:rtl/>
        </w:rPr>
        <w:t>به</w:t>
      </w:r>
      <w:r w:rsidRPr="00FE433F">
        <w:rPr>
          <w:rFonts w:eastAsia="Calibri"/>
          <w:i/>
          <w:sz w:val="23"/>
          <w:szCs w:val="23"/>
          <w:rtl/>
        </w:rPr>
        <w:t xml:space="preserve"> </w:t>
      </w:r>
      <w:r w:rsidRPr="00FE433F">
        <w:rPr>
          <w:rFonts w:eastAsia="Calibri" w:hint="eastAsia"/>
          <w:i/>
          <w:sz w:val="23"/>
          <w:szCs w:val="23"/>
          <w:rtl/>
        </w:rPr>
        <w:t>سمت</w:t>
      </w:r>
      <w:r w:rsidRPr="00FE433F">
        <w:rPr>
          <w:rFonts w:eastAsia="Calibri"/>
          <w:i/>
          <w:sz w:val="23"/>
          <w:szCs w:val="23"/>
          <w:rtl/>
        </w:rPr>
        <w:t xml:space="preserve"> </w:t>
      </w:r>
      <w:r w:rsidRPr="00FE433F">
        <w:rPr>
          <w:rFonts w:eastAsia="Calibri" w:hint="eastAsia"/>
          <w:i/>
          <w:sz w:val="23"/>
          <w:szCs w:val="23"/>
          <w:rtl/>
        </w:rPr>
        <w:t>ب</w:t>
      </w:r>
      <w:r w:rsidRPr="00FE433F">
        <w:rPr>
          <w:rFonts w:eastAsia="Calibri" w:hint="cs"/>
          <w:i/>
          <w:sz w:val="23"/>
          <w:szCs w:val="23"/>
          <w:rtl/>
        </w:rPr>
        <w:t>ی</w:t>
      </w:r>
      <w:r w:rsidRPr="00FE433F">
        <w:rPr>
          <w:i/>
          <w:sz w:val="23"/>
          <w:szCs w:val="23"/>
          <w:rtl/>
        </w:rPr>
        <w:softHyphen/>
      </w:r>
      <w:r w:rsidRPr="00FE433F">
        <w:rPr>
          <w:rFonts w:eastAsia="Calibri" w:hint="eastAsia"/>
          <w:i/>
          <w:sz w:val="23"/>
          <w:szCs w:val="23"/>
          <w:rtl/>
        </w:rPr>
        <w:t>نها</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w:t>
      </w:r>
      <w:r w:rsidRPr="00FE433F">
        <w:rPr>
          <w:rFonts w:eastAsia="Calibri" w:hint="eastAsia"/>
          <w:i/>
          <w:sz w:val="23"/>
          <w:szCs w:val="23"/>
          <w:rtl/>
        </w:rPr>
        <w:t>م</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w:t>
      </w:r>
      <w:r w:rsidRPr="00FE433F">
        <w:rPr>
          <w:rFonts w:eastAsia="Calibri" w:hint="eastAsia"/>
          <w:i/>
          <w:sz w:val="23"/>
          <w:szCs w:val="23"/>
          <w:rtl/>
        </w:rPr>
        <w:t>کند</w:t>
      </w:r>
      <w:r w:rsidRPr="00FE433F">
        <w:rPr>
          <w:rFonts w:eastAsia="Calibri"/>
          <w:i/>
          <w:sz w:val="23"/>
          <w:szCs w:val="23"/>
          <w:rtl/>
        </w:rPr>
        <w:t xml:space="preserve"> </w:t>
      </w:r>
      <w:r w:rsidRPr="00FE433F">
        <w:rPr>
          <w:rFonts w:eastAsia="Calibri" w:hint="cs"/>
          <w:i/>
          <w:sz w:val="23"/>
          <w:szCs w:val="23"/>
          <w:rtl/>
        </w:rPr>
        <w:t>ی</w:t>
      </w:r>
      <w:r w:rsidRPr="00FE433F">
        <w:rPr>
          <w:rFonts w:eastAsia="Calibri" w:hint="eastAsia"/>
          <w:i/>
          <w:sz w:val="23"/>
          <w:szCs w:val="23"/>
          <w:rtl/>
        </w:rPr>
        <w:t>عن</w:t>
      </w:r>
      <w:r w:rsidRPr="00FE433F">
        <w:rPr>
          <w:rFonts w:eastAsia="Calibri" w:hint="cs"/>
          <w:i/>
          <w:sz w:val="23"/>
          <w:szCs w:val="23"/>
          <w:rtl/>
        </w:rPr>
        <w:t>ی</w:t>
      </w:r>
      <w:r w:rsidRPr="00FE433F">
        <w:rPr>
          <w:position w:val="-10"/>
        </w:rPr>
        <w:object w:dxaOrig="920" w:dyaOrig="320" w14:anchorId="0DD56F6E">
          <v:shape id="_x0000_i4373" type="#_x0000_t75" style="width:46pt;height:16.35pt" o:ole="">
            <v:imagedata r:id="rId6739" o:title=""/>
          </v:shape>
          <o:OLEObject Type="Embed" ProgID="Equation.DSMT4" ShapeID="_x0000_i4373" DrawAspect="Content" ObjectID="_1791378317" r:id="rId6740"/>
        </w:object>
      </w:r>
      <w:r w:rsidRPr="00FE433F">
        <w:rPr>
          <w:rFonts w:eastAsia="Calibri"/>
          <w:i/>
          <w:sz w:val="23"/>
          <w:szCs w:val="23"/>
          <w:rtl/>
        </w:rPr>
        <w:t xml:space="preserve">. </w:t>
      </w:r>
      <w:r w:rsidRPr="00FE433F">
        <w:rPr>
          <w:rFonts w:eastAsia="Calibri" w:hint="eastAsia"/>
          <w:i/>
          <w:sz w:val="23"/>
          <w:szCs w:val="23"/>
          <w:rtl/>
        </w:rPr>
        <w:t>درحال</w:t>
      </w:r>
      <w:r w:rsidRPr="00FE433F">
        <w:rPr>
          <w:rFonts w:eastAsia="Calibri" w:hint="cs"/>
          <w:i/>
          <w:sz w:val="23"/>
          <w:szCs w:val="23"/>
          <w:rtl/>
        </w:rPr>
        <w:t>ی</w:t>
      </w:r>
      <w:r w:rsidRPr="00FE433F">
        <w:rPr>
          <w:i/>
          <w:sz w:val="23"/>
          <w:szCs w:val="23"/>
          <w:rtl/>
        </w:rPr>
        <w:softHyphen/>
      </w:r>
      <w:r w:rsidRPr="00FE433F">
        <w:rPr>
          <w:rFonts w:eastAsia="Calibri" w:hint="eastAsia"/>
          <w:i/>
          <w:sz w:val="23"/>
          <w:szCs w:val="23"/>
          <w:rtl/>
        </w:rPr>
        <w:t>که</w:t>
      </w:r>
      <w:r w:rsidRPr="00FE433F">
        <w:rPr>
          <w:rFonts w:eastAsia="Calibri"/>
          <w:i/>
          <w:sz w:val="23"/>
          <w:szCs w:val="23"/>
          <w:rtl/>
        </w:rPr>
        <w:t xml:space="preserve"> </w:t>
      </w:r>
      <w:r w:rsidRPr="00FE433F">
        <w:rPr>
          <w:rFonts w:eastAsia="Calibri" w:hint="eastAsia"/>
          <w:i/>
          <w:sz w:val="23"/>
          <w:szCs w:val="23"/>
          <w:rtl/>
        </w:rPr>
        <w:t>در</w:t>
      </w:r>
      <w:r w:rsidRPr="00FE433F">
        <w:rPr>
          <w:rFonts w:eastAsia="Calibri"/>
          <w:i/>
          <w:sz w:val="23"/>
          <w:szCs w:val="23"/>
          <w:rtl/>
        </w:rPr>
        <w:t xml:space="preserve"> </w:t>
      </w:r>
      <w:r w:rsidRPr="00FE433F">
        <w:rPr>
          <w:rFonts w:eastAsia="Calibri" w:hint="eastAsia"/>
          <w:i/>
          <w:sz w:val="23"/>
          <w:szCs w:val="23"/>
          <w:rtl/>
        </w:rPr>
        <w:t>راه</w:t>
      </w:r>
      <w:r w:rsidRPr="00FE433F">
        <w:rPr>
          <w:rFonts w:eastAsia="Calibri"/>
          <w:i/>
          <w:sz w:val="23"/>
          <w:szCs w:val="23"/>
          <w:rtl/>
        </w:rPr>
        <w:t xml:space="preserve"> </w:t>
      </w:r>
      <w:r w:rsidRPr="00FE433F">
        <w:rPr>
          <w:rFonts w:eastAsia="Calibri" w:hint="eastAsia"/>
          <w:i/>
          <w:sz w:val="23"/>
          <w:szCs w:val="23"/>
          <w:rtl/>
        </w:rPr>
        <w:t>حل</w:t>
      </w:r>
      <w:r w:rsidRPr="00FE433F">
        <w:rPr>
          <w:rFonts w:eastAsia="Calibri"/>
          <w:i/>
          <w:sz w:val="23"/>
          <w:szCs w:val="23"/>
          <w:rtl/>
        </w:rPr>
        <w:t xml:space="preserve"> </w:t>
      </w:r>
      <w:r w:rsidRPr="00FE433F">
        <w:rPr>
          <w:rFonts w:eastAsia="Calibri" w:hint="eastAsia"/>
          <w:i/>
          <w:sz w:val="23"/>
          <w:szCs w:val="23"/>
          <w:rtl/>
        </w:rPr>
        <w:t>مسئله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خانوار</w:t>
      </w:r>
      <w:r w:rsidRPr="00FE433F">
        <w:rPr>
          <w:rFonts w:eastAsia="Calibri"/>
          <w:i/>
          <w:sz w:val="23"/>
          <w:szCs w:val="23"/>
          <w:rtl/>
        </w:rPr>
        <w:t xml:space="preserve"> </w:t>
      </w:r>
      <w:r w:rsidRPr="00FE433F">
        <w:rPr>
          <w:rFonts w:eastAsia="Calibri" w:hint="eastAsia"/>
          <w:i/>
          <w:sz w:val="23"/>
          <w:szCs w:val="23"/>
          <w:rtl/>
        </w:rPr>
        <w:t>معادله</w:t>
      </w:r>
      <w:r w:rsidRPr="00FE433F">
        <w:rPr>
          <w:rFonts w:eastAsia="Calibri" w:hint="eastAsia"/>
          <w:i/>
          <w:sz w:val="23"/>
          <w:szCs w:val="23"/>
        </w:rPr>
        <w:t>‌</w:t>
      </w:r>
      <w:r w:rsidRPr="00FE433F">
        <w:rPr>
          <w:rFonts w:eastAsia="Calibri" w:hint="cs"/>
          <w:i/>
          <w:sz w:val="23"/>
          <w:szCs w:val="23"/>
          <w:rtl/>
        </w:rPr>
        <w:t>ی</w:t>
      </w:r>
      <w:r w:rsidRPr="00FE433F">
        <w:rPr>
          <w:rFonts w:eastAsia="Calibri"/>
          <w:i/>
          <w:sz w:val="23"/>
          <w:szCs w:val="23"/>
          <w:rtl/>
        </w:rPr>
        <w:t xml:space="preserve"> </w:t>
      </w:r>
      <w:r w:rsidRPr="00FE433F">
        <w:rPr>
          <w:i/>
          <w:sz w:val="23"/>
          <w:szCs w:val="23"/>
          <w:rtl/>
        </w:rPr>
        <w:t xml:space="preserve">(۸. ۳۴) </w:t>
      </w:r>
      <w:r w:rsidRPr="00FE433F">
        <w:rPr>
          <w:rFonts w:hint="eastAsia"/>
          <w:i/>
          <w:sz w:val="23"/>
          <w:szCs w:val="23"/>
          <w:rtl/>
        </w:rPr>
        <w:t>دار</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position w:val="-30"/>
        </w:rPr>
        <w:object w:dxaOrig="1180" w:dyaOrig="680" w14:anchorId="502075A0">
          <v:shape id="_x0000_i4374" type="#_x0000_t75" style="width:58.7pt;height:33.9pt" o:ole="">
            <v:imagedata r:id="rId6741" o:title=""/>
          </v:shape>
          <o:OLEObject Type="Embed" ProgID="Equation.DSMT4" ShapeID="_x0000_i4374" DrawAspect="Content" ObjectID="_1791378318" r:id="rId6742"/>
        </w:objec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اگر</w:t>
      </w:r>
      <w:r w:rsidRPr="00FE433F">
        <w:rPr>
          <w:i/>
          <w:sz w:val="23"/>
          <w:szCs w:val="23"/>
          <w:rtl/>
        </w:rPr>
        <w:t xml:space="preserve"> </w:t>
      </w:r>
      <w:r w:rsidRPr="00FE433F">
        <w:rPr>
          <w:position w:val="-10"/>
        </w:rPr>
        <w:object w:dxaOrig="920" w:dyaOrig="320" w14:anchorId="084D4A7A">
          <v:shape id="_x0000_i4375" type="#_x0000_t75" style="width:46pt;height:16.35pt" o:ole="">
            <v:imagedata r:id="rId6743" o:title=""/>
          </v:shape>
          <o:OLEObject Type="Embed" ProgID="Equation.DSMT4" ShapeID="_x0000_i4375" DrawAspect="Content" ObjectID="_1791378319" r:id="rId6744"/>
        </w:object>
      </w:r>
      <w:r w:rsidRPr="00FE433F">
        <w:rPr>
          <w:rFonts w:eastAsia="Calibri"/>
          <w:i/>
          <w:sz w:val="23"/>
          <w:szCs w:val="23"/>
          <w:rtl/>
        </w:rPr>
        <w:t xml:space="preserve"> </w:t>
      </w:r>
      <w:r w:rsidRPr="00FE433F">
        <w:rPr>
          <w:rFonts w:eastAsia="Calibri" w:hint="eastAsia"/>
          <w:i/>
          <w:sz w:val="23"/>
          <w:szCs w:val="23"/>
          <w:rtl/>
        </w:rPr>
        <w:t>م</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w:t>
      </w:r>
      <w:r w:rsidRPr="00FE433F">
        <w:rPr>
          <w:rFonts w:eastAsia="Calibri" w:hint="eastAsia"/>
          <w:i/>
          <w:sz w:val="23"/>
          <w:szCs w:val="23"/>
          <w:rtl/>
        </w:rPr>
        <w:t>کند</w:t>
      </w:r>
      <w:r w:rsidRPr="00FE433F">
        <w:rPr>
          <w:rFonts w:eastAsia="Calibri"/>
          <w:i/>
          <w:sz w:val="23"/>
          <w:szCs w:val="23"/>
          <w:rtl/>
        </w:rPr>
        <w:t xml:space="preserve"> </w:t>
      </w:r>
      <w:r w:rsidRPr="00FE433F">
        <w:rPr>
          <w:rFonts w:eastAsia="Calibri" w:hint="eastAsia"/>
          <w:i/>
          <w:sz w:val="23"/>
          <w:szCs w:val="23"/>
          <w:rtl/>
        </w:rPr>
        <w:t>آنگاه</w:t>
      </w:r>
      <w:r w:rsidRPr="00FE433F">
        <w:rPr>
          <w:rFonts w:eastAsia="Calibri"/>
          <w:i/>
          <w:sz w:val="23"/>
          <w:szCs w:val="23"/>
          <w:rtl/>
        </w:rPr>
        <w:t xml:space="preserve"> </w:t>
      </w:r>
      <w:r w:rsidRPr="00FE433F">
        <w:rPr>
          <w:rFonts w:eastAsia="Calibri" w:hint="eastAsia"/>
          <w:i/>
          <w:sz w:val="23"/>
          <w:szCs w:val="23"/>
          <w:rtl/>
        </w:rPr>
        <w:t>مطلوب</w:t>
      </w:r>
      <w:r w:rsidRPr="00FE433F">
        <w:rPr>
          <w:rFonts w:eastAsia="Calibri" w:hint="cs"/>
          <w:i/>
          <w:sz w:val="23"/>
          <w:szCs w:val="23"/>
          <w:rtl/>
        </w:rPr>
        <w:t>ی</w:t>
      </w:r>
      <w:r w:rsidRPr="00FE433F">
        <w:rPr>
          <w:rFonts w:eastAsia="Calibri" w:hint="eastAsia"/>
          <w:i/>
          <w:sz w:val="23"/>
          <w:szCs w:val="23"/>
          <w:rtl/>
        </w:rPr>
        <w:t>ت</w:t>
      </w:r>
      <w:r w:rsidRPr="00FE433F">
        <w:rPr>
          <w:rFonts w:eastAsia="Calibri"/>
          <w:i/>
          <w:sz w:val="23"/>
          <w:szCs w:val="23"/>
          <w:rtl/>
        </w:rPr>
        <w:t xml:space="preserve"> </w:t>
      </w:r>
      <w:r w:rsidRPr="00FE433F">
        <w:rPr>
          <w:rFonts w:eastAsia="Calibri" w:hint="eastAsia"/>
          <w:i/>
          <w:sz w:val="23"/>
          <w:szCs w:val="23"/>
          <w:rtl/>
        </w:rPr>
        <w:t>نها</w:t>
      </w:r>
      <w:r w:rsidRPr="00FE433F">
        <w:rPr>
          <w:rFonts w:eastAsia="Calibri" w:hint="cs"/>
          <w:i/>
          <w:sz w:val="23"/>
          <w:szCs w:val="23"/>
          <w:rtl/>
        </w:rPr>
        <w:t>یی</w:t>
      </w:r>
      <w:r w:rsidRPr="00FE433F">
        <w:rPr>
          <w:rFonts w:eastAsia="Calibri"/>
          <w:i/>
          <w:sz w:val="23"/>
          <w:szCs w:val="23"/>
          <w:rtl/>
        </w:rPr>
        <w:t xml:space="preserve"> </w:t>
      </w:r>
      <w:r w:rsidRPr="00FE433F">
        <w:rPr>
          <w:rFonts w:eastAsia="Calibri" w:hint="eastAsia"/>
          <w:i/>
          <w:sz w:val="23"/>
          <w:szCs w:val="23"/>
          <w:rtl/>
        </w:rPr>
        <w:t>حاصل</w:t>
      </w:r>
      <w:r w:rsidRPr="00FE433F">
        <w:rPr>
          <w:rFonts w:eastAsia="Calibri"/>
          <w:i/>
          <w:sz w:val="23"/>
          <w:szCs w:val="23"/>
          <w:rtl/>
        </w:rPr>
        <w:t xml:space="preserve"> </w:t>
      </w:r>
      <w:r w:rsidRPr="00FE433F">
        <w:rPr>
          <w:rFonts w:eastAsia="Calibri" w:hint="eastAsia"/>
          <w:i/>
          <w:sz w:val="23"/>
          <w:szCs w:val="23"/>
          <w:rtl/>
        </w:rPr>
        <w:lastRenderedPageBreak/>
        <w:t>از</w:t>
      </w:r>
      <w:r w:rsidRPr="00FE433F">
        <w:rPr>
          <w:rFonts w:eastAsia="Calibri"/>
          <w:i/>
          <w:sz w:val="23"/>
          <w:szCs w:val="23"/>
          <w:rtl/>
        </w:rPr>
        <w:t xml:space="preserve"> </w:t>
      </w:r>
      <w:r w:rsidRPr="00FE433F">
        <w:rPr>
          <w:rFonts w:eastAsia="Calibri" w:hint="eastAsia"/>
          <w:i/>
          <w:sz w:val="23"/>
          <w:szCs w:val="23"/>
          <w:rtl/>
        </w:rPr>
        <w:t>نگهدار</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پول</w:t>
      </w:r>
      <w:r w:rsidRPr="00FE433F">
        <w:rPr>
          <w:rFonts w:eastAsia="Calibri"/>
          <w:i/>
          <w:sz w:val="23"/>
          <w:szCs w:val="23"/>
          <w:rtl/>
        </w:rPr>
        <w:t xml:space="preserve"> </w:t>
      </w:r>
      <w:r w:rsidRPr="00FE433F">
        <w:rPr>
          <w:rFonts w:eastAsia="Calibri" w:hint="eastAsia"/>
          <w:i/>
          <w:sz w:val="23"/>
          <w:szCs w:val="23"/>
          <w:rtl/>
        </w:rPr>
        <w:t>به</w:t>
      </w:r>
      <w:r w:rsidRPr="00FE433F">
        <w:rPr>
          <w:rFonts w:eastAsia="Calibri"/>
          <w:i/>
          <w:sz w:val="23"/>
          <w:szCs w:val="23"/>
          <w:rtl/>
        </w:rPr>
        <w:t xml:space="preserve"> </w:t>
      </w:r>
      <w:r w:rsidRPr="00FE433F">
        <w:rPr>
          <w:rFonts w:eastAsia="Calibri" w:hint="eastAsia"/>
          <w:i/>
          <w:sz w:val="23"/>
          <w:szCs w:val="23"/>
          <w:rtl/>
        </w:rPr>
        <w:t>سمت</w:t>
      </w:r>
      <w:r w:rsidRPr="00FE433F">
        <w:rPr>
          <w:rFonts w:eastAsia="Calibri"/>
          <w:i/>
          <w:sz w:val="23"/>
          <w:szCs w:val="23"/>
          <w:rtl/>
        </w:rPr>
        <w:t xml:space="preserve"> </w:t>
      </w:r>
      <w:r w:rsidRPr="00FE433F">
        <w:rPr>
          <w:rFonts w:eastAsia="Calibri" w:hint="eastAsia"/>
          <w:i/>
          <w:sz w:val="23"/>
          <w:szCs w:val="23"/>
          <w:rtl/>
        </w:rPr>
        <w:t>صفر</w:t>
      </w:r>
      <w:r w:rsidRPr="00FE433F">
        <w:rPr>
          <w:rFonts w:eastAsia="Calibri"/>
          <w:i/>
          <w:sz w:val="23"/>
          <w:szCs w:val="23"/>
          <w:rtl/>
        </w:rPr>
        <w:t xml:space="preserve"> </w:t>
      </w:r>
      <w:r w:rsidRPr="00FE433F">
        <w:rPr>
          <w:rFonts w:eastAsia="Calibri" w:hint="eastAsia"/>
          <w:i/>
          <w:sz w:val="23"/>
          <w:szCs w:val="23"/>
          <w:rtl/>
        </w:rPr>
        <w:t>م</w:t>
      </w:r>
      <w:r w:rsidRPr="00FE433F">
        <w:rPr>
          <w:rFonts w:eastAsia="Calibri" w:hint="cs"/>
          <w:i/>
          <w:sz w:val="23"/>
          <w:szCs w:val="23"/>
          <w:rtl/>
        </w:rPr>
        <w:t>ی</w:t>
      </w:r>
      <w:r w:rsidRPr="00FE433F">
        <w:rPr>
          <w:rFonts w:eastAsia="Calibri" w:hint="eastAsia"/>
          <w:i/>
          <w:sz w:val="23"/>
          <w:szCs w:val="23"/>
          <w:rtl/>
        </w:rPr>
        <w:t>ل</w:t>
      </w:r>
      <w:r w:rsidRPr="00FE433F">
        <w:rPr>
          <w:rFonts w:eastAsia="Calibri"/>
          <w:i/>
          <w:sz w:val="23"/>
          <w:szCs w:val="23"/>
          <w:rtl/>
        </w:rPr>
        <w:t xml:space="preserve"> </w:t>
      </w:r>
      <w:r w:rsidRPr="00FE433F">
        <w:rPr>
          <w:rFonts w:eastAsia="Calibri" w:hint="eastAsia"/>
          <w:i/>
          <w:sz w:val="23"/>
          <w:szCs w:val="23"/>
          <w:rtl/>
        </w:rPr>
        <w:t>م</w:t>
      </w:r>
      <w:r w:rsidRPr="00FE433F">
        <w:rPr>
          <w:rFonts w:eastAsia="Calibri" w:hint="cs"/>
          <w:i/>
          <w:sz w:val="23"/>
          <w:szCs w:val="23"/>
          <w:rtl/>
        </w:rPr>
        <w:t>ی</w:t>
      </w:r>
      <w:r w:rsidRPr="00FE433F">
        <w:rPr>
          <w:rFonts w:eastAsia="Calibri" w:hint="eastAsia"/>
          <w:i/>
          <w:sz w:val="23"/>
          <w:szCs w:val="23"/>
        </w:rPr>
        <w:t>‌</w:t>
      </w:r>
      <w:r w:rsidRPr="00FE433F">
        <w:rPr>
          <w:rFonts w:eastAsia="Calibri" w:hint="eastAsia"/>
          <w:i/>
          <w:sz w:val="23"/>
          <w:szCs w:val="23"/>
          <w:rtl/>
        </w:rPr>
        <w:t>کند</w:t>
      </w:r>
      <w:r w:rsidRPr="00FE433F">
        <w:rPr>
          <w:rFonts w:eastAsia="Calibri"/>
          <w:i/>
          <w:sz w:val="23"/>
          <w:szCs w:val="23"/>
          <w:rtl/>
        </w:rPr>
        <w:t xml:space="preserve"> </w:t>
      </w:r>
      <w:r w:rsidRPr="00FE433F">
        <w:rPr>
          <w:rFonts w:eastAsia="Calibri" w:hint="cs"/>
          <w:i/>
          <w:sz w:val="23"/>
          <w:szCs w:val="23"/>
          <w:rtl/>
        </w:rPr>
        <w:t>ی</w:t>
      </w:r>
      <w:r w:rsidRPr="00FE433F">
        <w:rPr>
          <w:rFonts w:eastAsia="Calibri" w:hint="eastAsia"/>
          <w:i/>
          <w:sz w:val="23"/>
          <w:szCs w:val="23"/>
          <w:rtl/>
        </w:rPr>
        <w:t>عن</w:t>
      </w:r>
      <w:r w:rsidRPr="00FE433F">
        <w:rPr>
          <w:rFonts w:eastAsia="Calibri" w:hint="cs"/>
          <w:i/>
          <w:sz w:val="23"/>
          <w:szCs w:val="23"/>
          <w:rtl/>
        </w:rPr>
        <w:t>ی</w:t>
      </w:r>
      <w:r w:rsidRPr="00FE433F">
        <w:rPr>
          <w:rFonts w:eastAsia="Calibri"/>
          <w:i/>
          <w:sz w:val="23"/>
          <w:szCs w:val="23"/>
          <w:rtl/>
        </w:rPr>
        <w:t xml:space="preserve"> </w:t>
      </w:r>
      <w:r w:rsidRPr="00FE433F">
        <w:rPr>
          <w:position w:val="-12"/>
        </w:rPr>
        <w:object w:dxaOrig="999" w:dyaOrig="340" w14:anchorId="182EEB83">
          <v:shape id="_x0000_i4376" type="#_x0000_t75" style="width:50.2pt;height:16.95pt" o:ole="">
            <v:imagedata r:id="rId6745" o:title=""/>
          </v:shape>
          <o:OLEObject Type="Embed" ProgID="Equation.DSMT4" ShapeID="_x0000_i4376" DrawAspect="Content" ObjectID="_1791378320" r:id="rId6746"/>
        </w:object>
      </w:r>
      <w:r w:rsidRPr="00FE433F">
        <w:rPr>
          <w:rFonts w:eastAsia="Calibri"/>
          <w:i/>
          <w:sz w:val="23"/>
          <w:szCs w:val="23"/>
          <w:rtl/>
        </w:rPr>
        <w:t xml:space="preserve">. </w:t>
      </w:r>
      <w:r w:rsidRPr="00FE433F">
        <w:rPr>
          <w:rFonts w:eastAsia="Calibri" w:hint="eastAsia"/>
          <w:i/>
          <w:sz w:val="23"/>
          <w:szCs w:val="23"/>
          <w:rtl/>
        </w:rPr>
        <w:t>ا</w:t>
      </w:r>
      <w:r w:rsidRPr="00FE433F">
        <w:rPr>
          <w:rFonts w:eastAsia="Calibri" w:hint="cs"/>
          <w:i/>
          <w:sz w:val="23"/>
          <w:szCs w:val="23"/>
          <w:rtl/>
        </w:rPr>
        <w:t>ی</w:t>
      </w:r>
      <w:r w:rsidRPr="00FE433F">
        <w:rPr>
          <w:rFonts w:eastAsia="Calibri" w:hint="eastAsia"/>
          <w:i/>
          <w:sz w:val="23"/>
          <w:szCs w:val="23"/>
          <w:rtl/>
        </w:rPr>
        <w:t>ن</w:t>
      </w:r>
      <w:r w:rsidRPr="00FE433F">
        <w:rPr>
          <w:rFonts w:eastAsia="Calibri"/>
          <w:i/>
          <w:sz w:val="23"/>
          <w:szCs w:val="23"/>
          <w:rtl/>
        </w:rPr>
        <w:t xml:space="preserve"> </w:t>
      </w:r>
      <w:r w:rsidRPr="00FE433F">
        <w:rPr>
          <w:rFonts w:eastAsia="Calibri" w:hint="eastAsia"/>
          <w:i/>
          <w:sz w:val="23"/>
          <w:szCs w:val="23"/>
          <w:rtl/>
        </w:rPr>
        <w:t>نت</w:t>
      </w:r>
      <w:r w:rsidRPr="00FE433F">
        <w:rPr>
          <w:rFonts w:eastAsia="Calibri" w:hint="cs"/>
          <w:i/>
          <w:sz w:val="23"/>
          <w:szCs w:val="23"/>
          <w:rtl/>
        </w:rPr>
        <w:t>ی</w:t>
      </w:r>
      <w:r w:rsidRPr="00FE433F">
        <w:rPr>
          <w:rFonts w:eastAsia="Calibri" w:hint="eastAsia"/>
          <w:i/>
          <w:sz w:val="23"/>
          <w:szCs w:val="23"/>
          <w:rtl/>
        </w:rPr>
        <w:t>جه</w:t>
      </w:r>
      <w:r w:rsidRPr="00FE433F">
        <w:rPr>
          <w:rFonts w:eastAsia="Calibri"/>
          <w:i/>
          <w:sz w:val="23"/>
          <w:szCs w:val="23"/>
          <w:rtl/>
        </w:rPr>
        <w:t xml:space="preserve"> </w:t>
      </w:r>
      <w:r w:rsidRPr="00FE433F">
        <w:rPr>
          <w:rFonts w:eastAsia="Calibri" w:hint="eastAsia"/>
          <w:i/>
          <w:sz w:val="23"/>
          <w:szCs w:val="23"/>
          <w:rtl/>
        </w:rPr>
        <w:t>زمان</w:t>
      </w:r>
      <w:r w:rsidRPr="00FE433F">
        <w:rPr>
          <w:rFonts w:eastAsia="Calibri" w:hint="cs"/>
          <w:i/>
          <w:sz w:val="23"/>
          <w:szCs w:val="23"/>
          <w:rtl/>
        </w:rPr>
        <w:t>ی</w:t>
      </w:r>
      <w:r w:rsidRPr="00FE433F">
        <w:rPr>
          <w:rFonts w:eastAsia="Calibri"/>
          <w:i/>
          <w:sz w:val="23"/>
          <w:szCs w:val="23"/>
          <w:rtl/>
        </w:rPr>
        <w:t xml:space="preserve"> </w:t>
      </w:r>
      <w:r w:rsidRPr="00FE433F">
        <w:rPr>
          <w:rFonts w:eastAsia="Calibri" w:hint="eastAsia"/>
          <w:i/>
          <w:sz w:val="23"/>
          <w:szCs w:val="23"/>
          <w:rtl/>
        </w:rPr>
        <w:t>بدست</w:t>
      </w:r>
      <w:r w:rsidRPr="00FE433F">
        <w:rPr>
          <w:rFonts w:eastAsia="Calibri"/>
          <w:i/>
          <w:sz w:val="23"/>
          <w:szCs w:val="23"/>
          <w:rtl/>
        </w:rPr>
        <w:t xml:space="preserve"> </w:t>
      </w:r>
      <w:r w:rsidRPr="00FE433F">
        <w:rPr>
          <w:rFonts w:eastAsia="Calibri" w:hint="eastAsia"/>
          <w:i/>
          <w:sz w:val="23"/>
          <w:szCs w:val="23"/>
          <w:rtl/>
        </w:rPr>
        <w:t>م</w:t>
      </w:r>
      <w:r w:rsidRPr="00FE433F">
        <w:rPr>
          <w:rFonts w:eastAsia="Calibri" w:hint="cs"/>
          <w:i/>
          <w:sz w:val="23"/>
          <w:szCs w:val="23"/>
          <w:rtl/>
        </w:rPr>
        <w:t>ی</w:t>
      </w:r>
      <w:r w:rsidRPr="00FE433F">
        <w:rPr>
          <w:rFonts w:eastAsia="Calibri" w:hint="eastAsia"/>
          <w:i/>
          <w:sz w:val="23"/>
          <w:szCs w:val="23"/>
        </w:rPr>
        <w:t>‌</w:t>
      </w:r>
      <w:r w:rsidRPr="00FE433F">
        <w:rPr>
          <w:rFonts w:eastAsia="Calibri" w:hint="eastAsia"/>
          <w:i/>
          <w:sz w:val="23"/>
          <w:szCs w:val="23"/>
          <w:rtl/>
        </w:rPr>
        <w:t>آ</w:t>
      </w:r>
      <w:r w:rsidRPr="00FE433F">
        <w:rPr>
          <w:rFonts w:eastAsia="Calibri" w:hint="cs"/>
          <w:i/>
          <w:sz w:val="23"/>
          <w:szCs w:val="23"/>
          <w:rtl/>
        </w:rPr>
        <w:t>ی</w:t>
      </w:r>
      <w:r w:rsidRPr="00FE433F">
        <w:rPr>
          <w:rFonts w:eastAsia="Calibri" w:hint="eastAsia"/>
          <w:i/>
          <w:sz w:val="23"/>
          <w:szCs w:val="23"/>
          <w:rtl/>
        </w:rPr>
        <w:t>د</w:t>
      </w:r>
      <w:r w:rsidRPr="00FE433F">
        <w:rPr>
          <w:rFonts w:eastAsia="Calibri"/>
          <w:i/>
          <w:sz w:val="23"/>
          <w:szCs w:val="23"/>
          <w:rtl/>
        </w:rPr>
        <w:t xml:space="preserve"> </w:t>
      </w:r>
      <w:r w:rsidRPr="00FE433F">
        <w:rPr>
          <w:rFonts w:eastAsia="Calibri" w:hint="eastAsia"/>
          <w:i/>
          <w:sz w:val="23"/>
          <w:szCs w:val="23"/>
          <w:rtl/>
        </w:rPr>
        <w:t>که</w:t>
      </w:r>
      <w:r w:rsidRPr="00FE433F">
        <w:rPr>
          <w:rFonts w:eastAsia="Calibri"/>
          <w:i/>
          <w:sz w:val="23"/>
          <w:szCs w:val="23"/>
          <w:rtl/>
        </w:rPr>
        <w:t xml:space="preserve"> </w:t>
      </w:r>
      <w:r w:rsidRPr="00FE433F">
        <w:rPr>
          <w:position w:val="-10"/>
        </w:rPr>
        <w:object w:dxaOrig="859" w:dyaOrig="340" w14:anchorId="5B0DB51D">
          <v:shape id="_x0000_i4377" type="#_x0000_t75" style="width:42.95pt;height:16.95pt" o:ole="">
            <v:imagedata r:id="rId6747" o:title=""/>
          </v:shape>
          <o:OLEObject Type="Embed" ProgID="Equation.DSMT4" ShapeID="_x0000_i4377" DrawAspect="Content" ObjectID="_1791378321" r:id="rId6748"/>
        </w:objec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tl/>
        </w:rPr>
        <w:t>ل</w:t>
      </w:r>
      <w:r w:rsidRPr="00FE433F">
        <w:rPr>
          <w:i/>
          <w:sz w:val="23"/>
          <w:szCs w:val="23"/>
          <w:rtl/>
        </w:rPr>
        <w:t xml:space="preserve"> </w:t>
      </w:r>
      <w:r w:rsidRPr="00FE433F">
        <w:rPr>
          <w:rFonts w:hint="eastAsia"/>
          <w:i/>
          <w:sz w:val="23"/>
          <w:szCs w:val="23"/>
          <w:rtl/>
        </w:rPr>
        <w:t>کند</w:t>
      </w:r>
      <w:r w:rsidRPr="00FE433F">
        <w:rPr>
          <w:i/>
          <w:sz w:val="23"/>
          <w:szCs w:val="23"/>
          <w:rtl/>
        </w:rPr>
        <w:t xml:space="preserve">. </w:t>
      </w:r>
      <w:r w:rsidRPr="00FE433F">
        <w:rPr>
          <w:rFonts w:hint="eastAsia"/>
          <w:i/>
          <w:sz w:val="23"/>
          <w:szCs w:val="23"/>
          <w:rtl/>
        </w:rPr>
        <w:t>بنابرا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قاعده</w:t>
      </w:r>
      <w:r w:rsidRPr="00FE433F">
        <w:rPr>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فر</w:t>
      </w:r>
      <w:r w:rsidRPr="00FE433F">
        <w:rPr>
          <w:rFonts w:hint="cs"/>
          <w:i/>
          <w:sz w:val="23"/>
          <w:szCs w:val="23"/>
          <w:rtl/>
        </w:rPr>
        <w:t>ی</w:t>
      </w:r>
      <w:r w:rsidRPr="00FE433F">
        <w:rPr>
          <w:rFonts w:hint="eastAsia"/>
          <w:i/>
          <w:sz w:val="23"/>
          <w:szCs w:val="23"/>
          <w:rtl/>
        </w:rPr>
        <w:t>دمن</w:t>
      </w:r>
      <w:r w:rsidRPr="00FE433F">
        <w:rPr>
          <w:i/>
          <w:sz w:val="23"/>
          <w:szCs w:val="23"/>
          <w:rtl/>
        </w:rPr>
        <w:t xml:space="preserve"> </w:t>
      </w:r>
      <w:r w:rsidRPr="00FE433F">
        <w:rPr>
          <w:rFonts w:hint="eastAsia"/>
          <w:i/>
          <w:sz w:val="23"/>
          <w:szCs w:val="23"/>
          <w:rtl/>
        </w:rPr>
        <w:t>س</w:t>
      </w:r>
      <w:r w:rsidRPr="00FE433F">
        <w:rPr>
          <w:rFonts w:hint="cs"/>
          <w:i/>
          <w:sz w:val="23"/>
          <w:szCs w:val="23"/>
          <w:rtl/>
        </w:rPr>
        <w:t>ی</w:t>
      </w:r>
      <w:r w:rsidRPr="00FE433F">
        <w:rPr>
          <w:rFonts w:hint="eastAsia"/>
          <w:i/>
          <w:sz w:val="23"/>
          <w:szCs w:val="23"/>
          <w:rtl/>
        </w:rPr>
        <w:t>است</w:t>
      </w:r>
      <w:r w:rsidRPr="00FE433F">
        <w:rPr>
          <w:i/>
          <w:sz w:val="23"/>
          <w:szCs w:val="23"/>
          <w:rtl/>
        </w:rPr>
        <w:t xml:space="preserve"> </w:t>
      </w:r>
      <w:r w:rsidRPr="00FE433F">
        <w:rPr>
          <w:rFonts w:hint="eastAsia"/>
          <w:i/>
          <w:sz w:val="23"/>
          <w:szCs w:val="23"/>
          <w:rtl/>
        </w:rPr>
        <w:t>به</w:t>
      </w:r>
      <w:r w:rsidRPr="00FE433F">
        <w:rPr>
          <w:rFonts w:hint="cs"/>
          <w:i/>
          <w:sz w:val="23"/>
          <w:szCs w:val="23"/>
          <w:rtl/>
        </w:rPr>
        <w:t>ی</w:t>
      </w:r>
      <w:r w:rsidRPr="00FE433F">
        <w:rPr>
          <w:rFonts w:hint="eastAsia"/>
          <w:i/>
          <w:sz w:val="23"/>
          <w:szCs w:val="23"/>
          <w:rtl/>
        </w:rPr>
        <w:t>نه</w:t>
      </w:r>
      <w:r w:rsidRPr="00FE433F">
        <w:rPr>
          <w:i/>
          <w:sz w:val="23"/>
          <w:szCs w:val="23"/>
          <w:rtl/>
        </w:rPr>
        <w:t xml:space="preserve"> </w:t>
      </w:r>
      <w:r w:rsidRPr="00FE433F">
        <w:rPr>
          <w:rFonts w:hint="eastAsia"/>
          <w:i/>
          <w:sz w:val="23"/>
          <w:szCs w:val="23"/>
          <w:rtl/>
        </w:rPr>
        <w:t>خواهد</w:t>
      </w:r>
      <w:r w:rsidRPr="00FE433F">
        <w:rPr>
          <w:i/>
          <w:sz w:val="23"/>
          <w:szCs w:val="23"/>
          <w:rtl/>
        </w:rPr>
        <w:t xml:space="preserve"> </w:t>
      </w:r>
      <w:r w:rsidRPr="00FE433F">
        <w:rPr>
          <w:rFonts w:hint="eastAsia"/>
          <w:i/>
          <w:sz w:val="23"/>
          <w:szCs w:val="23"/>
          <w:rtl/>
        </w:rPr>
        <w:t>بود</w:t>
      </w:r>
      <w:r w:rsidRPr="00FE433F">
        <w:rPr>
          <w:i/>
          <w:sz w:val="23"/>
          <w:szCs w:val="23"/>
          <w:rtl/>
        </w:rPr>
        <w:t>.</w:t>
      </w:r>
    </w:p>
    <w:p w14:paraId="5253B4BA" w14:textId="77777777" w:rsidR="00411620" w:rsidRPr="00FE433F" w:rsidRDefault="00411620" w:rsidP="00411620">
      <w:pPr>
        <w:spacing w:line="216" w:lineRule="auto"/>
        <w:rPr>
          <w:i/>
          <w:sz w:val="23"/>
          <w:szCs w:val="23"/>
          <w:rtl/>
        </w:rPr>
      </w:pP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نت</w:t>
      </w:r>
      <w:r w:rsidRPr="00FE433F">
        <w:rPr>
          <w:rFonts w:hint="cs"/>
          <w:i/>
          <w:sz w:val="23"/>
          <w:szCs w:val="23"/>
          <w:rtl/>
        </w:rPr>
        <w:t>ی</w:t>
      </w:r>
      <w:r w:rsidRPr="00FE433F">
        <w:rPr>
          <w:rFonts w:hint="eastAsia"/>
          <w:i/>
          <w:sz w:val="23"/>
          <w:szCs w:val="23"/>
          <w:rtl/>
        </w:rPr>
        <w:t>جه</w:t>
      </w:r>
      <w:r w:rsidRPr="00FE433F">
        <w:rPr>
          <w:i/>
          <w:sz w:val="23"/>
          <w:szCs w:val="23"/>
          <w:rtl/>
        </w:rPr>
        <w:t xml:space="preserve"> </w:t>
      </w:r>
      <w:r w:rsidRPr="00FE433F">
        <w:rPr>
          <w:rFonts w:hint="eastAsia"/>
          <w:i/>
          <w:sz w:val="23"/>
          <w:szCs w:val="23"/>
          <w:rtl/>
        </w:rPr>
        <w:t>ممکن</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توابع</w:t>
      </w:r>
      <w:r w:rsidRPr="00FE433F">
        <w:rPr>
          <w:i/>
          <w:sz w:val="23"/>
          <w:szCs w:val="23"/>
          <w:rtl/>
        </w:rPr>
        <w:t xml:space="preserve"> </w:t>
      </w:r>
      <w:r w:rsidRPr="00FE433F">
        <w:rPr>
          <w:rFonts w:hint="eastAsia"/>
          <w:i/>
          <w:sz w:val="23"/>
          <w:szCs w:val="23"/>
          <w:rtl/>
        </w:rPr>
        <w:t>مطلوب</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eastAsia"/>
          <w:i/>
          <w:sz w:val="23"/>
          <w:szCs w:val="23"/>
          <w:rtl/>
        </w:rPr>
        <w:t>عموم</w:t>
      </w:r>
      <w:r w:rsidRPr="00FE433F">
        <w:rPr>
          <w:rFonts w:hint="cs"/>
          <w:i/>
          <w:sz w:val="23"/>
          <w:szCs w:val="23"/>
          <w:rtl/>
        </w:rPr>
        <w:t>ی</w:t>
      </w:r>
      <w:r w:rsidRPr="00FE433F">
        <w:rPr>
          <w:i/>
          <w:sz w:val="23"/>
          <w:szCs w:val="23"/>
          <w:rtl/>
        </w:rPr>
        <w:softHyphen/>
      </w:r>
      <w:r w:rsidRPr="00FE433F">
        <w:rPr>
          <w:rFonts w:hint="eastAsia"/>
          <w:i/>
          <w:sz w:val="23"/>
          <w:szCs w:val="23"/>
          <w:rtl/>
        </w:rPr>
        <w:t>تر</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تفک</w:t>
      </w:r>
      <w:r w:rsidRPr="00FE433F">
        <w:rPr>
          <w:rFonts w:hint="cs"/>
          <w:i/>
          <w:sz w:val="23"/>
          <w:szCs w:val="23"/>
          <w:rtl/>
        </w:rPr>
        <w:t>ی</w:t>
      </w:r>
      <w:r w:rsidRPr="00FE433F">
        <w:rPr>
          <w:rFonts w:hint="eastAsia"/>
          <w:i/>
          <w:sz w:val="23"/>
          <w:szCs w:val="23"/>
          <w:rtl/>
        </w:rPr>
        <w:t>ک</w:t>
      </w:r>
      <w:r w:rsidRPr="00FE433F">
        <w:rPr>
          <w:i/>
          <w:sz w:val="23"/>
          <w:szCs w:val="23"/>
          <w:rtl/>
        </w:rPr>
        <w:softHyphen/>
      </w:r>
      <w:r w:rsidRPr="00FE433F">
        <w:rPr>
          <w:rFonts w:hint="eastAsia"/>
          <w:i/>
          <w:sz w:val="23"/>
          <w:szCs w:val="23"/>
          <w:rtl/>
        </w:rPr>
        <w:t>پذ</w:t>
      </w:r>
      <w:r w:rsidRPr="00FE433F">
        <w:rPr>
          <w:rFonts w:hint="cs"/>
          <w:i/>
          <w:sz w:val="23"/>
          <w:szCs w:val="23"/>
          <w:rtl/>
        </w:rPr>
        <w:t>ی</w:t>
      </w:r>
      <w:r w:rsidRPr="00FE433F">
        <w:rPr>
          <w:rFonts w:hint="eastAsia"/>
          <w:i/>
          <w:sz w:val="23"/>
          <w:szCs w:val="23"/>
          <w:rtl/>
        </w:rPr>
        <w:t>ر</w:t>
      </w:r>
      <w:r w:rsidRPr="00FE433F">
        <w:rPr>
          <w:i/>
          <w:sz w:val="23"/>
          <w:szCs w:val="23"/>
          <w:rtl/>
        </w:rPr>
        <w:t xml:space="preserve"> </w:t>
      </w:r>
      <w:r w:rsidRPr="00FE433F">
        <w:rPr>
          <w:rFonts w:hint="eastAsia"/>
          <w:i/>
          <w:sz w:val="23"/>
          <w:szCs w:val="23"/>
          <w:rtl/>
        </w:rPr>
        <w:t>ن</w:t>
      </w:r>
      <w:r w:rsidRPr="00FE433F">
        <w:rPr>
          <w:rFonts w:hint="cs"/>
          <w:i/>
          <w:sz w:val="23"/>
          <w:szCs w:val="23"/>
          <w:rtl/>
        </w:rPr>
        <w:t>ی</w:t>
      </w:r>
      <w:r w:rsidRPr="00FE433F">
        <w:rPr>
          <w:rFonts w:hint="eastAsia"/>
          <w:i/>
          <w:sz w:val="23"/>
          <w:szCs w:val="23"/>
          <w:rtl/>
        </w:rPr>
        <w:t>ستند</w:t>
      </w:r>
      <w:r w:rsidRPr="00FE433F">
        <w:rPr>
          <w:i/>
          <w:sz w:val="23"/>
          <w:szCs w:val="23"/>
          <w:rtl/>
        </w:rPr>
        <w:t xml:space="preserve"> </w:t>
      </w:r>
      <w:r w:rsidRPr="00FE433F">
        <w:rPr>
          <w:rFonts w:hint="eastAsia"/>
          <w:i/>
          <w:sz w:val="23"/>
          <w:szCs w:val="23"/>
          <w:rtl/>
        </w:rPr>
        <w:t>ن</w:t>
      </w:r>
      <w:r w:rsidRPr="00FE433F">
        <w:rPr>
          <w:rFonts w:hint="cs"/>
          <w:i/>
          <w:sz w:val="23"/>
          <w:szCs w:val="23"/>
          <w:rtl/>
        </w:rPr>
        <w:t>ی</w:t>
      </w:r>
      <w:r w:rsidRPr="00FE433F">
        <w:rPr>
          <w:rFonts w:hint="eastAsia"/>
          <w:i/>
          <w:sz w:val="23"/>
          <w:szCs w:val="23"/>
          <w:rtl/>
        </w:rPr>
        <w:t>ز</w:t>
      </w:r>
      <w:r w:rsidRPr="00FE433F">
        <w:rPr>
          <w:i/>
          <w:sz w:val="23"/>
          <w:szCs w:val="23"/>
          <w:rtl/>
        </w:rPr>
        <w:t xml:space="preserve"> </w:t>
      </w:r>
      <w:r w:rsidRPr="00FE433F">
        <w:rPr>
          <w:rFonts w:hint="eastAsia"/>
          <w:i/>
          <w:sz w:val="23"/>
          <w:szCs w:val="23"/>
          <w:rtl/>
        </w:rPr>
        <w:t>بدست</w:t>
      </w:r>
      <w:r w:rsidRPr="00FE433F">
        <w:rPr>
          <w:i/>
          <w:sz w:val="23"/>
          <w:szCs w:val="23"/>
          <w:rtl/>
        </w:rPr>
        <w:t xml:space="preserve"> </w:t>
      </w:r>
      <w:r w:rsidRPr="00FE433F">
        <w:rPr>
          <w:rFonts w:hint="eastAsia"/>
          <w:i/>
          <w:sz w:val="23"/>
          <w:szCs w:val="23"/>
          <w:rtl/>
        </w:rPr>
        <w:t>آ</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و</w:t>
      </w:r>
      <w:r w:rsidRPr="00FE433F">
        <w:rPr>
          <w:rFonts w:hint="cs"/>
          <w:i/>
          <w:sz w:val="23"/>
          <w:szCs w:val="23"/>
          <w:rtl/>
        </w:rPr>
        <w:t>ی</w:t>
      </w:r>
      <w:r w:rsidRPr="00FE433F">
        <w:rPr>
          <w:rFonts w:hint="eastAsia"/>
          <w:i/>
          <w:sz w:val="23"/>
          <w:szCs w:val="23"/>
          <w:rtl/>
        </w:rPr>
        <w:t>ژگ</w:t>
      </w:r>
      <w:r w:rsidRPr="00FE433F">
        <w:rPr>
          <w:rFonts w:hint="cs"/>
          <w:i/>
          <w:sz w:val="23"/>
          <w:szCs w:val="23"/>
          <w:rtl/>
        </w:rPr>
        <w:t>ی</w:t>
      </w:r>
      <w:r w:rsidRPr="00FE433F">
        <w:rPr>
          <w:i/>
          <w:sz w:val="23"/>
          <w:szCs w:val="23"/>
          <w:rtl/>
        </w:rPr>
        <w:t xml:space="preserve"> </w:t>
      </w:r>
      <w:r w:rsidRPr="00FE433F">
        <w:rPr>
          <w:rFonts w:hint="eastAsia"/>
          <w:i/>
          <w:sz w:val="23"/>
          <w:szCs w:val="23"/>
          <w:rtl/>
        </w:rPr>
        <w:t>مهم</w:t>
      </w:r>
      <w:r w:rsidRPr="00FE433F">
        <w:rPr>
          <w:rFonts w:hint="cs"/>
          <w:i/>
          <w:sz w:val="23"/>
          <w:szCs w:val="23"/>
          <w:rtl/>
        </w:rPr>
        <w:t>ی</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تابع</w:t>
      </w:r>
      <w:r w:rsidRPr="00FE433F">
        <w:rPr>
          <w:i/>
          <w:sz w:val="23"/>
          <w:szCs w:val="23"/>
          <w:rtl/>
        </w:rPr>
        <w:t xml:space="preserve"> </w:t>
      </w:r>
      <w:r w:rsidRPr="00FE433F">
        <w:rPr>
          <w:rFonts w:hint="eastAsia"/>
          <w:i/>
          <w:sz w:val="23"/>
          <w:szCs w:val="23"/>
          <w:rtl/>
        </w:rPr>
        <w:t>مطلوب</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با</w:t>
      </w:r>
      <w:r w:rsidRPr="00FE433F">
        <w:rPr>
          <w:rFonts w:hint="cs"/>
          <w:i/>
          <w:sz w:val="23"/>
          <w:szCs w:val="23"/>
          <w:rtl/>
        </w:rPr>
        <w:t>ی</w:t>
      </w:r>
      <w:r w:rsidRPr="00FE433F">
        <w:rPr>
          <w:rFonts w:hint="eastAsia"/>
          <w:i/>
          <w:sz w:val="23"/>
          <w:szCs w:val="23"/>
          <w:rtl/>
        </w:rPr>
        <w:t>ست</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برخوردار</w:t>
      </w:r>
      <w:r w:rsidRPr="00FE433F">
        <w:rPr>
          <w:i/>
          <w:sz w:val="23"/>
          <w:szCs w:val="23"/>
          <w:rtl/>
        </w:rPr>
        <w:t xml:space="preserve"> </w:t>
      </w:r>
      <w:r w:rsidRPr="00FE433F">
        <w:rPr>
          <w:rFonts w:hint="eastAsia"/>
          <w:i/>
          <w:sz w:val="23"/>
          <w:szCs w:val="23"/>
          <w:rtl/>
        </w:rPr>
        <w:t>باشد</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شکل</w:t>
      </w:r>
      <w:r w:rsidRPr="00FE433F">
        <w:rPr>
          <w:i/>
          <w:sz w:val="23"/>
          <w:szCs w:val="23"/>
          <w:rtl/>
        </w:rPr>
        <w:t xml:space="preserve"> </w:t>
      </w:r>
      <w:r w:rsidRPr="00FE433F">
        <w:rPr>
          <w:rFonts w:hint="eastAsia"/>
          <w:i/>
          <w:sz w:val="23"/>
          <w:szCs w:val="23"/>
          <w:rtl/>
        </w:rPr>
        <w:t>ز</w:t>
      </w:r>
      <w:r w:rsidRPr="00FE433F">
        <w:rPr>
          <w:rFonts w:hint="cs"/>
          <w:i/>
          <w:sz w:val="23"/>
          <w:szCs w:val="23"/>
          <w:rtl/>
        </w:rPr>
        <w:t>ی</w:t>
      </w:r>
      <w:r w:rsidRPr="00FE433F">
        <w:rPr>
          <w:rFonts w:hint="eastAsia"/>
          <w:i/>
          <w:sz w:val="23"/>
          <w:szCs w:val="23"/>
          <w:rtl/>
        </w:rPr>
        <w:t>ر</w:t>
      </w:r>
      <w:r w:rsidRPr="00FE433F">
        <w:rPr>
          <w:i/>
          <w:sz w:val="23"/>
          <w:szCs w:val="23"/>
          <w:rtl/>
        </w:rPr>
        <w:t xml:space="preserve"> </w:t>
      </w:r>
      <w:r w:rsidRPr="00FE433F">
        <w:rPr>
          <w:rFonts w:hint="eastAsia"/>
          <w:i/>
          <w:sz w:val="23"/>
          <w:szCs w:val="23"/>
          <w:rtl/>
        </w:rPr>
        <w:t>نوشته</w:t>
      </w:r>
      <w:r w:rsidRPr="00FE433F">
        <w:rPr>
          <w:i/>
          <w:sz w:val="23"/>
          <w:szCs w:val="23"/>
          <w:rtl/>
        </w:rPr>
        <w:t xml:space="preserve"> </w:t>
      </w:r>
      <w:r w:rsidRPr="00FE433F">
        <w:rPr>
          <w:rFonts w:hint="eastAsia"/>
          <w:i/>
          <w:sz w:val="23"/>
          <w:szCs w:val="23"/>
          <w:rtl/>
        </w:rPr>
        <w:t>شود</w:t>
      </w:r>
    </w:p>
    <w:p w14:paraId="7049347C" w14:textId="77777777" w:rsidR="00411620" w:rsidRPr="00FE433F" w:rsidRDefault="00411620" w:rsidP="00411620">
      <w:pPr>
        <w:bidi w:val="0"/>
        <w:spacing w:line="216" w:lineRule="auto"/>
        <w:rPr>
          <w:i/>
          <w:sz w:val="23"/>
          <w:szCs w:val="23"/>
        </w:rPr>
      </w:pPr>
      <w:r w:rsidRPr="00FE433F">
        <w:rPr>
          <w:position w:val="-12"/>
        </w:rPr>
        <w:object w:dxaOrig="2220" w:dyaOrig="360" w14:anchorId="37EA000A">
          <v:shape id="_x0000_i4378" type="#_x0000_t75" style="width:110.7pt;height:18.15pt" o:ole="">
            <v:imagedata r:id="rId6749" o:title=""/>
          </v:shape>
          <o:OLEObject Type="Embed" ProgID="Equation.DSMT4" ShapeID="_x0000_i4378" DrawAspect="Content" ObjectID="_1791378322" r:id="rId6750"/>
        </w:object>
      </w:r>
    </w:p>
    <w:p w14:paraId="436F6EFC" w14:textId="77777777" w:rsidR="00411620" w:rsidRPr="00FE433F" w:rsidRDefault="00411620" w:rsidP="00411620">
      <w:pPr>
        <w:spacing w:line="216" w:lineRule="auto"/>
        <w:rPr>
          <w:i/>
          <w:sz w:val="23"/>
          <w:szCs w:val="23"/>
          <w:rtl/>
        </w:rPr>
      </w:pPr>
      <w:r w:rsidRPr="00FE433F">
        <w:rPr>
          <w:rFonts w:hint="eastAsia"/>
          <w:i/>
          <w:sz w:val="23"/>
          <w:szCs w:val="23"/>
          <w:rtl/>
        </w:rPr>
        <w:t>که</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آن</w:t>
      </w:r>
      <w:r w:rsidRPr="00FE433F">
        <w:rPr>
          <w:position w:val="-8"/>
        </w:rPr>
        <w:object w:dxaOrig="680" w:dyaOrig="279" w14:anchorId="271045B1">
          <v:shape id="_x0000_i4379" type="#_x0000_t75" style="width:33.9pt;height:13.9pt" o:ole="">
            <v:imagedata r:id="rId6751" o:title=""/>
          </v:shape>
          <o:OLEObject Type="Embed" ProgID="Equation.DSMT4" ShapeID="_x0000_i4379" DrawAspect="Content" ObjectID="_1791378323" r:id="rId6752"/>
        </w:object>
      </w:r>
      <w:r w:rsidRPr="00FE433F">
        <w:rPr>
          <w:i/>
          <w:sz w:val="23"/>
          <w:szCs w:val="23"/>
          <w:rtl/>
        </w:rPr>
        <w:t xml:space="preserve"> </w:t>
      </w:r>
      <w:r w:rsidRPr="00FE433F">
        <w:rPr>
          <w:rFonts w:hint="eastAsia"/>
          <w:i/>
          <w:sz w:val="23"/>
          <w:szCs w:val="23"/>
          <w:rtl/>
        </w:rPr>
        <w:t>تابع</w:t>
      </w:r>
      <w:r w:rsidRPr="00FE433F">
        <w:rPr>
          <w:i/>
          <w:sz w:val="23"/>
          <w:szCs w:val="23"/>
          <w:rtl/>
        </w:rPr>
        <w:t xml:space="preserve"> </w:t>
      </w:r>
      <w:r w:rsidRPr="00FE433F">
        <w:rPr>
          <w:rFonts w:hint="eastAsia"/>
          <w:i/>
          <w:sz w:val="23"/>
          <w:szCs w:val="23"/>
          <w:rtl/>
        </w:rPr>
        <w:t>متجانس</w:t>
      </w:r>
      <w:r w:rsidRPr="00FE433F">
        <w:rPr>
          <w:rStyle w:val="FootnoteReference"/>
          <w:rFonts w:eastAsiaTheme="majorEastAsia"/>
          <w:i/>
          <w:sz w:val="23"/>
          <w:szCs w:val="23"/>
          <w:rtl/>
        </w:rPr>
        <w:footnoteReference w:id="209"/>
      </w:r>
      <w:r w:rsidRPr="00FE433F">
        <w:rPr>
          <w:i/>
          <w:sz w:val="23"/>
          <w:szCs w:val="23"/>
          <w:rtl/>
        </w:rPr>
        <w:t xml:space="preserve"> </w:t>
      </w:r>
      <w:r w:rsidRPr="00FE433F">
        <w:rPr>
          <w:rFonts w:hint="eastAsia"/>
          <w:i/>
          <w:sz w:val="23"/>
          <w:szCs w:val="23"/>
          <w:rtl/>
        </w:rPr>
        <w:t>باشد</w:t>
      </w:r>
      <w:r w:rsidRPr="00FE433F">
        <w:rPr>
          <w:i/>
          <w:sz w:val="23"/>
          <w:szCs w:val="23"/>
          <w:rtl/>
        </w:rPr>
        <w:t xml:space="preserve"> </w:t>
      </w:r>
      <w:r w:rsidRPr="00FE433F">
        <w:rPr>
          <w:rFonts w:hint="eastAsia"/>
          <w:i/>
          <w:sz w:val="23"/>
          <w:szCs w:val="23"/>
          <w:rtl/>
        </w:rPr>
        <w:t>بطور</w:t>
      </w:r>
      <w:r w:rsidRPr="00FE433F">
        <w:rPr>
          <w:rFonts w:hint="cs"/>
          <w:i/>
          <w:sz w:val="23"/>
          <w:szCs w:val="23"/>
          <w:rtl/>
        </w:rPr>
        <w:t>ی</w:t>
      </w:r>
      <w:r w:rsidRPr="00FE433F">
        <w:rPr>
          <w:i/>
          <w:sz w:val="23"/>
          <w:szCs w:val="23"/>
          <w:rtl/>
        </w:rPr>
        <w:softHyphen/>
      </w:r>
      <w:r w:rsidRPr="00FE433F">
        <w:rPr>
          <w:rFonts w:hint="eastAsia"/>
          <w:i/>
          <w:sz w:val="23"/>
          <w:szCs w:val="23"/>
          <w:rtl/>
        </w:rPr>
        <w:t>که</w:t>
      </w:r>
      <w:r w:rsidRPr="00FE433F">
        <w:rPr>
          <w:position w:val="-10"/>
        </w:rPr>
        <w:object w:dxaOrig="720" w:dyaOrig="320" w14:anchorId="364E6AC6">
          <v:shape id="_x0000_i4380" type="#_x0000_t75" style="width:36.3pt;height:16.35pt" o:ole="">
            <v:imagedata r:id="rId6753" o:title=""/>
          </v:shape>
          <o:OLEObject Type="Embed" ProgID="Equation.DSMT4" ShapeID="_x0000_i4380" DrawAspect="Content" ObjectID="_1791378324" r:id="rId6754"/>
        </w:object>
      </w:r>
      <w:r w:rsidRPr="00FE433F">
        <w:rPr>
          <w:i/>
          <w:sz w:val="23"/>
          <w:szCs w:val="23"/>
        </w:rPr>
        <w:t>.</w:t>
      </w:r>
      <w:r w:rsidRPr="00FE433F">
        <w:rPr>
          <w:i/>
          <w:sz w:val="23"/>
          <w:szCs w:val="23"/>
          <w:rtl/>
        </w:rPr>
        <w:t xml:space="preserve"> </w:t>
      </w:r>
      <w:r w:rsidRPr="00FE433F">
        <w:rPr>
          <w:rFonts w:hint="cs"/>
          <w:i/>
          <w:sz w:val="23"/>
          <w:szCs w:val="23"/>
          <w:rtl/>
        </w:rPr>
        <w:t>می</w:t>
      </w:r>
      <w:r w:rsidRPr="00FE433F">
        <w:rPr>
          <w:i/>
          <w:sz w:val="23"/>
          <w:szCs w:val="23"/>
          <w:rtl/>
        </w:rPr>
        <w:softHyphen/>
      </w:r>
      <w:r w:rsidRPr="00FE433F">
        <w:rPr>
          <w:rFonts w:hint="cs"/>
          <w:i/>
          <w:sz w:val="23"/>
          <w:szCs w:val="23"/>
          <w:rtl/>
        </w:rPr>
        <w:t xml:space="preserve">توان نشان داد </w:t>
      </w:r>
      <w:r w:rsidRPr="00FE433F">
        <w:rPr>
          <w:rFonts w:hint="eastAsia"/>
          <w:i/>
          <w:sz w:val="23"/>
          <w:szCs w:val="23"/>
          <w:rtl/>
        </w:rPr>
        <w:t>قاعده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فر</w:t>
      </w:r>
      <w:r w:rsidRPr="00FE433F">
        <w:rPr>
          <w:rFonts w:hint="cs"/>
          <w:i/>
          <w:sz w:val="23"/>
          <w:szCs w:val="23"/>
          <w:rtl/>
        </w:rPr>
        <w:t>ی</w:t>
      </w:r>
      <w:r w:rsidRPr="00FE433F">
        <w:rPr>
          <w:rFonts w:hint="eastAsia"/>
          <w:i/>
          <w:sz w:val="23"/>
          <w:szCs w:val="23"/>
          <w:rtl/>
        </w:rPr>
        <w:t>دمن</w:t>
      </w:r>
      <w:r w:rsidRPr="00FE433F">
        <w:rPr>
          <w:i/>
          <w:sz w:val="23"/>
          <w:szCs w:val="23"/>
          <w:rtl/>
        </w:rPr>
        <w:t xml:space="preserve"> </w:t>
      </w:r>
      <w:r w:rsidRPr="00FE433F">
        <w:rPr>
          <w:rFonts w:hint="eastAsia"/>
          <w:i/>
          <w:sz w:val="23"/>
          <w:szCs w:val="23"/>
          <w:rtl/>
        </w:rPr>
        <w:t>هنگام</w:t>
      </w:r>
      <w:r w:rsidRPr="00FE433F">
        <w:rPr>
          <w:rFonts w:hint="cs"/>
          <w:i/>
          <w:sz w:val="23"/>
          <w:szCs w:val="23"/>
          <w:rtl/>
        </w:rPr>
        <w:t>ی</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کالا</w:t>
      </w:r>
      <w:r w:rsidRPr="00FE433F">
        <w:rPr>
          <w:rFonts w:hint="cs"/>
          <w:i/>
          <w:sz w:val="23"/>
          <w:szCs w:val="23"/>
          <w:rtl/>
        </w:rPr>
        <w:t>ی</w:t>
      </w:r>
      <w:r w:rsidRPr="00FE433F">
        <w:rPr>
          <w:i/>
          <w:sz w:val="23"/>
          <w:szCs w:val="23"/>
          <w:rtl/>
        </w:rPr>
        <w:t xml:space="preserve"> </w:t>
      </w:r>
      <w:r w:rsidRPr="00FE433F">
        <w:rPr>
          <w:rFonts w:hint="eastAsia"/>
          <w:i/>
          <w:sz w:val="23"/>
          <w:szCs w:val="23"/>
          <w:rtl/>
        </w:rPr>
        <w:t>واسطه</w:t>
      </w:r>
      <w:r w:rsidRPr="00FE433F">
        <w:rPr>
          <w:i/>
          <w:sz w:val="23"/>
          <w:szCs w:val="23"/>
          <w:rtl/>
        </w:rPr>
        <w:t xml:space="preserve"> </w:t>
      </w:r>
      <w:r w:rsidRPr="00FE433F">
        <w:rPr>
          <w:rFonts w:hint="eastAsia"/>
          <w:i/>
          <w:sz w:val="23"/>
          <w:szCs w:val="23"/>
          <w:rtl/>
        </w:rPr>
        <w:t>همانند</w:t>
      </w:r>
      <w:r w:rsidRPr="00FE433F">
        <w:rPr>
          <w:i/>
          <w:sz w:val="23"/>
          <w:szCs w:val="23"/>
          <w:rtl/>
        </w:rPr>
        <w:t xml:space="preserve"> </w:t>
      </w:r>
      <w:r w:rsidRPr="00FE433F">
        <w:rPr>
          <w:rFonts w:hint="eastAsia"/>
          <w:i/>
          <w:sz w:val="23"/>
          <w:szCs w:val="23"/>
          <w:rtl/>
        </w:rPr>
        <w:t>مدل</w:t>
      </w:r>
      <w:r w:rsidRPr="00FE433F">
        <w:rPr>
          <w:i/>
          <w:sz w:val="23"/>
          <w:szCs w:val="23"/>
          <w:rtl/>
        </w:rPr>
        <w:t xml:space="preserve"> </w:t>
      </w:r>
      <w:r w:rsidRPr="00FE433F">
        <w:rPr>
          <w:rFonts w:hint="eastAsia"/>
          <w:i/>
          <w:sz w:val="23"/>
          <w:szCs w:val="23"/>
          <w:rtl/>
        </w:rPr>
        <w:t>زمان</w:t>
      </w:r>
      <w:r w:rsidRPr="00FE433F">
        <w:rPr>
          <w:i/>
          <w:sz w:val="23"/>
          <w:szCs w:val="23"/>
          <w:rtl/>
        </w:rPr>
        <w:t>-</w:t>
      </w:r>
      <w:r w:rsidRPr="00FE433F">
        <w:rPr>
          <w:rFonts w:hint="eastAsia"/>
          <w:i/>
          <w:sz w:val="23"/>
          <w:szCs w:val="23"/>
          <w:rtl/>
        </w:rPr>
        <w:t>خر</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است</w:t>
      </w:r>
      <w:r w:rsidRPr="00FE433F">
        <w:rPr>
          <w:rFonts w:hint="cs"/>
          <w:i/>
          <w:sz w:val="23"/>
          <w:szCs w:val="23"/>
          <w:rtl/>
        </w:rPr>
        <w:t xml:space="preserve"> بهینه خواهد بود.</w:t>
      </w:r>
    </w:p>
    <w:p w14:paraId="25018FCB" w14:textId="77777777" w:rsidR="00411620" w:rsidRPr="00FE433F" w:rsidRDefault="00411620" w:rsidP="00411620">
      <w:pPr>
        <w:spacing w:line="216" w:lineRule="auto"/>
        <w:rPr>
          <w:i/>
          <w:sz w:val="23"/>
          <w:szCs w:val="23"/>
          <w:rtl/>
        </w:rPr>
      </w:pPr>
      <w:r w:rsidRPr="00FE433F">
        <w:rPr>
          <w:rFonts w:hint="eastAsia"/>
          <w:i/>
          <w:sz w:val="23"/>
          <w:szCs w:val="23"/>
          <w:rtl/>
        </w:rPr>
        <w:t>نتا</w:t>
      </w:r>
      <w:r w:rsidRPr="00FE433F">
        <w:rPr>
          <w:rFonts w:hint="cs"/>
          <w:i/>
          <w:sz w:val="23"/>
          <w:szCs w:val="23"/>
          <w:rtl/>
        </w:rPr>
        <w:t>ی</w:t>
      </w:r>
      <w:r w:rsidRPr="00FE433F">
        <w:rPr>
          <w:rFonts w:hint="eastAsia"/>
          <w:i/>
          <w:sz w:val="23"/>
          <w:szCs w:val="23"/>
          <w:rtl/>
        </w:rPr>
        <w:t>ج</w:t>
      </w:r>
      <w:r w:rsidRPr="00FE433F">
        <w:rPr>
          <w:i/>
          <w:sz w:val="23"/>
          <w:szCs w:val="23"/>
          <w:rtl/>
        </w:rPr>
        <w:t xml:space="preserve"> </w:t>
      </w:r>
      <w:r w:rsidRPr="00FE433F">
        <w:rPr>
          <w:rFonts w:hint="eastAsia"/>
          <w:i/>
          <w:sz w:val="23"/>
          <w:szCs w:val="23"/>
          <w:rtl/>
        </w:rPr>
        <w:t>فوق</w:t>
      </w:r>
      <w:r w:rsidRPr="00FE433F">
        <w:rPr>
          <w:i/>
          <w:sz w:val="23"/>
          <w:szCs w:val="23"/>
          <w:rtl/>
        </w:rPr>
        <w:t xml:space="preserve"> </w:t>
      </w:r>
      <w:r w:rsidRPr="00FE433F">
        <w:rPr>
          <w:rFonts w:hint="eastAsia"/>
          <w:i/>
          <w:sz w:val="23"/>
          <w:szCs w:val="23"/>
          <w:rtl/>
        </w:rPr>
        <w:t>بوس</w:t>
      </w:r>
      <w:r w:rsidRPr="00FE433F">
        <w:rPr>
          <w:rFonts w:hint="cs"/>
          <w:i/>
          <w:sz w:val="23"/>
          <w:szCs w:val="23"/>
          <w:rtl/>
        </w:rPr>
        <w:t>ی</w:t>
      </w:r>
      <w:r w:rsidRPr="00FE433F">
        <w:rPr>
          <w:rFonts w:hint="eastAsia"/>
          <w:i/>
          <w:sz w:val="23"/>
          <w:szCs w:val="23"/>
          <w:rtl/>
        </w:rPr>
        <w:t>له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مول</w:t>
      </w:r>
      <w:r w:rsidRPr="00FE433F">
        <w:rPr>
          <w:rFonts w:hint="cs"/>
          <w:i/>
          <w:sz w:val="23"/>
          <w:szCs w:val="23"/>
          <w:rtl/>
        </w:rPr>
        <w:t>ی</w:t>
      </w:r>
      <w:r w:rsidRPr="00FE433F">
        <w:rPr>
          <w:rFonts w:hint="eastAsia"/>
          <w:i/>
          <w:sz w:val="23"/>
          <w:szCs w:val="23"/>
          <w:rtl/>
        </w:rPr>
        <w:t>گان</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سالا</w:t>
      </w:r>
      <w:r w:rsidRPr="00FE433F">
        <w:rPr>
          <w:rFonts w:hint="cs"/>
          <w:i/>
          <w:sz w:val="23"/>
          <w:szCs w:val="23"/>
          <w:rtl/>
        </w:rPr>
        <w:t>یی</w:t>
      </w:r>
      <w:r w:rsidRPr="00FE433F">
        <w:rPr>
          <w:i/>
          <w:sz w:val="23"/>
          <w:szCs w:val="23"/>
          <w:rtl/>
        </w:rPr>
        <w:t xml:space="preserve"> </w:t>
      </w:r>
      <w:r w:rsidRPr="00FE433F">
        <w:rPr>
          <w:rFonts w:hint="eastAsia"/>
          <w:i/>
          <w:sz w:val="23"/>
          <w:szCs w:val="23"/>
          <w:rtl/>
        </w:rPr>
        <w:t>مارت</w:t>
      </w:r>
      <w:r w:rsidRPr="00FE433F">
        <w:rPr>
          <w:rFonts w:hint="cs"/>
          <w:i/>
          <w:sz w:val="23"/>
          <w:szCs w:val="23"/>
          <w:rtl/>
        </w:rPr>
        <w:t>ی</w:t>
      </w:r>
      <w:r w:rsidRPr="00FE433F">
        <w:rPr>
          <w:rFonts w:hint="eastAsia"/>
          <w:i/>
          <w:sz w:val="23"/>
          <w:szCs w:val="23"/>
          <w:rtl/>
        </w:rPr>
        <w:t>ن</w:t>
      </w:r>
      <w:r w:rsidRPr="00FE433F">
        <w:rPr>
          <w:rStyle w:val="FootnoteReference"/>
          <w:rFonts w:eastAsiaTheme="majorEastAsia"/>
          <w:i/>
          <w:sz w:val="23"/>
          <w:szCs w:val="23"/>
          <w:rtl/>
        </w:rPr>
        <w:footnoteReference w:id="210"/>
      </w:r>
      <w:r w:rsidRPr="00FE433F">
        <w:rPr>
          <w:i/>
          <w:sz w:val="23"/>
          <w:szCs w:val="23"/>
          <w:rtl/>
        </w:rPr>
        <w:t xml:space="preserve"> </w:t>
      </w:r>
      <w:r w:rsidRPr="00FE433F">
        <w:rPr>
          <w:rFonts w:hint="eastAsia"/>
          <w:i/>
          <w:sz w:val="23"/>
          <w:szCs w:val="23"/>
          <w:rtl/>
        </w:rPr>
        <w:t>مورد</w:t>
      </w:r>
      <w:r w:rsidRPr="00FE433F">
        <w:rPr>
          <w:i/>
          <w:sz w:val="23"/>
          <w:szCs w:val="23"/>
          <w:rtl/>
        </w:rPr>
        <w:t xml:space="preserve"> </w:t>
      </w:r>
      <w:r w:rsidRPr="00FE433F">
        <w:rPr>
          <w:rFonts w:hint="eastAsia"/>
          <w:i/>
          <w:sz w:val="23"/>
          <w:szCs w:val="23"/>
          <w:rtl/>
        </w:rPr>
        <w:t>پرسش</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ترد</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قرار</w:t>
      </w:r>
      <w:r w:rsidRPr="00FE433F">
        <w:rPr>
          <w:i/>
          <w:sz w:val="23"/>
          <w:szCs w:val="23"/>
          <w:rtl/>
        </w:rPr>
        <w:t xml:space="preserve"> </w:t>
      </w:r>
      <w:r w:rsidRPr="00FE433F">
        <w:rPr>
          <w:rFonts w:hint="eastAsia"/>
          <w:i/>
          <w:sz w:val="23"/>
          <w:szCs w:val="23"/>
          <w:rtl/>
        </w:rPr>
        <w:t>گرفت</w:t>
      </w:r>
      <w:r w:rsidRPr="00FE433F">
        <w:rPr>
          <w:i/>
          <w:sz w:val="23"/>
          <w:szCs w:val="23"/>
          <w:rtl/>
        </w:rPr>
        <w:t xml:space="preserve">. </w:t>
      </w:r>
      <w:r w:rsidRPr="00FE433F">
        <w:rPr>
          <w:rFonts w:hint="eastAsia"/>
          <w:i/>
          <w:sz w:val="23"/>
          <w:szCs w:val="23"/>
          <w:rtl/>
        </w:rPr>
        <w:t>آن</w:t>
      </w:r>
      <w:r w:rsidRPr="00FE433F">
        <w:rPr>
          <w:rFonts w:hint="cs"/>
          <w:i/>
          <w:sz w:val="23"/>
          <w:szCs w:val="23"/>
          <w:rtl/>
        </w:rPr>
        <w:t>‌</w:t>
      </w:r>
      <w:r w:rsidRPr="00FE433F">
        <w:rPr>
          <w:rFonts w:hint="eastAsia"/>
          <w:i/>
          <w:sz w:val="23"/>
          <w:szCs w:val="23"/>
          <w:rtl/>
        </w:rPr>
        <w:t>ها</w:t>
      </w:r>
      <w:r w:rsidRPr="00FE433F">
        <w:rPr>
          <w:i/>
          <w:sz w:val="23"/>
          <w:szCs w:val="23"/>
          <w:rtl/>
        </w:rPr>
        <w:t xml:space="preserve"> </w:t>
      </w:r>
      <w:r w:rsidRPr="00FE433F">
        <w:rPr>
          <w:rFonts w:hint="eastAsia"/>
          <w:i/>
          <w:sz w:val="23"/>
          <w:szCs w:val="23"/>
          <w:rtl/>
        </w:rPr>
        <w:t>معتقدند</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به</w:t>
      </w:r>
      <w:r w:rsidRPr="00FE433F">
        <w:rPr>
          <w:rFonts w:hint="cs"/>
          <w:i/>
          <w:sz w:val="23"/>
          <w:szCs w:val="23"/>
          <w:rtl/>
        </w:rPr>
        <w:t>ی</w:t>
      </w:r>
      <w:r w:rsidRPr="00FE433F">
        <w:rPr>
          <w:rFonts w:hint="eastAsia"/>
          <w:i/>
          <w:sz w:val="23"/>
          <w:szCs w:val="23"/>
          <w:rtl/>
        </w:rPr>
        <w:t>نگ</w:t>
      </w:r>
      <w:r w:rsidRPr="00FE433F">
        <w:rPr>
          <w:rFonts w:hint="cs"/>
          <w:i/>
          <w:sz w:val="23"/>
          <w:szCs w:val="23"/>
          <w:rtl/>
        </w:rPr>
        <w:t>ی</w:t>
      </w:r>
      <w:r w:rsidRPr="00FE433F">
        <w:rPr>
          <w:i/>
          <w:sz w:val="23"/>
          <w:szCs w:val="23"/>
          <w:rtl/>
        </w:rPr>
        <w:t xml:space="preserve"> </w:t>
      </w:r>
      <w:r w:rsidRPr="00FE433F">
        <w:rPr>
          <w:rFonts w:hint="eastAsia"/>
          <w:i/>
          <w:sz w:val="23"/>
          <w:szCs w:val="23"/>
          <w:rtl/>
        </w:rPr>
        <w:t>قاعده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فر</w:t>
      </w:r>
      <w:r w:rsidRPr="00FE433F">
        <w:rPr>
          <w:rFonts w:hint="cs"/>
          <w:i/>
          <w:sz w:val="23"/>
          <w:szCs w:val="23"/>
          <w:rtl/>
        </w:rPr>
        <w:t>ی</w:t>
      </w:r>
      <w:r w:rsidRPr="00FE433F">
        <w:rPr>
          <w:rFonts w:hint="eastAsia"/>
          <w:i/>
          <w:sz w:val="23"/>
          <w:szCs w:val="23"/>
          <w:rtl/>
        </w:rPr>
        <w:t>دمن</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مال</w:t>
      </w:r>
      <w:r w:rsidRPr="00FE433F">
        <w:rPr>
          <w:rFonts w:hint="cs"/>
          <w:i/>
          <w:sz w:val="23"/>
          <w:szCs w:val="23"/>
          <w:rtl/>
        </w:rPr>
        <w:t>ی</w:t>
      </w:r>
      <w:r w:rsidRPr="00FE433F">
        <w:rPr>
          <w:rFonts w:hint="eastAsia"/>
          <w:i/>
          <w:sz w:val="23"/>
          <w:szCs w:val="23"/>
          <w:rtl/>
        </w:rPr>
        <w:t>ات</w:t>
      </w:r>
      <w:r w:rsidRPr="00FE433F">
        <w:rPr>
          <w:i/>
          <w:sz w:val="23"/>
          <w:szCs w:val="23"/>
          <w:rtl/>
        </w:rPr>
        <w:softHyphen/>
      </w:r>
      <w:r w:rsidRPr="00FE433F">
        <w:rPr>
          <w:rFonts w:hint="eastAsia"/>
          <w:i/>
          <w:sz w:val="23"/>
          <w:szCs w:val="23"/>
          <w:rtl/>
        </w:rPr>
        <w:t>ها</w:t>
      </w:r>
      <w:r w:rsidRPr="00FE433F">
        <w:rPr>
          <w:rFonts w:hint="cs"/>
          <w:i/>
          <w:sz w:val="23"/>
          <w:szCs w:val="23"/>
          <w:rtl/>
        </w:rPr>
        <w:t>یی</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بوس</w:t>
      </w:r>
      <w:r w:rsidRPr="00FE433F">
        <w:rPr>
          <w:rFonts w:hint="cs"/>
          <w:i/>
          <w:sz w:val="23"/>
          <w:szCs w:val="23"/>
          <w:rtl/>
        </w:rPr>
        <w:t>ی</w:t>
      </w:r>
      <w:r w:rsidRPr="00FE433F">
        <w:rPr>
          <w:rFonts w:hint="eastAsia"/>
          <w:i/>
          <w:sz w:val="23"/>
          <w:szCs w:val="23"/>
          <w:rtl/>
        </w:rPr>
        <w:t>له</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پرداخت</w:t>
      </w:r>
      <w:r w:rsidRPr="00FE433F">
        <w:rPr>
          <w:i/>
          <w:sz w:val="23"/>
          <w:szCs w:val="23"/>
          <w:rtl/>
        </w:rPr>
        <w:t xml:space="preserve"> </w:t>
      </w:r>
      <w:r w:rsidRPr="00FE433F">
        <w:rPr>
          <w:rFonts w:hint="eastAsia"/>
          <w:i/>
          <w:sz w:val="23"/>
          <w:szCs w:val="23"/>
          <w:rtl/>
        </w:rPr>
        <w:t>نم</w:t>
      </w:r>
      <w:r w:rsidRPr="00FE433F">
        <w:rPr>
          <w:rFonts w:hint="cs"/>
          <w:i/>
          <w:sz w:val="23"/>
          <w:szCs w:val="23"/>
          <w:rtl/>
        </w:rPr>
        <w:t>ی</w:t>
      </w:r>
      <w:r w:rsidRPr="00FE433F">
        <w:rPr>
          <w:i/>
          <w:sz w:val="23"/>
          <w:szCs w:val="23"/>
          <w:rtl/>
        </w:rPr>
        <w:softHyphen/>
      </w:r>
      <w:r w:rsidRPr="00FE433F">
        <w:rPr>
          <w:rFonts w:hint="eastAsia"/>
          <w:i/>
          <w:sz w:val="23"/>
          <w:szCs w:val="23"/>
          <w:rtl/>
        </w:rPr>
        <w:t>شوند</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همچن</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فروض</w:t>
      </w:r>
      <w:r w:rsidRPr="00FE433F">
        <w:rPr>
          <w:i/>
          <w:sz w:val="23"/>
          <w:szCs w:val="23"/>
          <w:rtl/>
        </w:rPr>
        <w:t xml:space="preserve"> </w:t>
      </w:r>
      <w:r w:rsidRPr="00FE433F">
        <w:rPr>
          <w:rFonts w:hint="eastAsia"/>
          <w:i/>
          <w:sz w:val="23"/>
          <w:szCs w:val="23"/>
          <w:rtl/>
        </w:rPr>
        <w:t>تابع</w:t>
      </w:r>
      <w:r w:rsidRPr="00FE433F">
        <w:rPr>
          <w:i/>
          <w:sz w:val="23"/>
          <w:szCs w:val="23"/>
          <w:rtl/>
        </w:rPr>
        <w:t xml:space="preserve"> </w:t>
      </w:r>
      <w:r w:rsidRPr="00FE433F">
        <w:rPr>
          <w:rFonts w:hint="eastAsia"/>
          <w:i/>
          <w:sz w:val="23"/>
          <w:szCs w:val="23"/>
          <w:rtl/>
        </w:rPr>
        <w:t>مطلوب</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cs"/>
          <w:i/>
          <w:sz w:val="23"/>
          <w:szCs w:val="23"/>
          <w:rtl/>
        </w:rPr>
        <w:t>ی</w:t>
      </w:r>
      <w:r w:rsidRPr="00FE433F">
        <w:rPr>
          <w:rFonts w:hint="eastAsia"/>
          <w:i/>
          <w:sz w:val="23"/>
          <w:szCs w:val="23"/>
          <w:rtl/>
        </w:rPr>
        <w:t>ا</w:t>
      </w:r>
      <w:r w:rsidRPr="00FE433F">
        <w:rPr>
          <w:i/>
          <w:sz w:val="23"/>
          <w:szCs w:val="23"/>
          <w:rtl/>
        </w:rPr>
        <w:t xml:space="preserve"> </w:t>
      </w:r>
      <w:r w:rsidRPr="00FE433F">
        <w:rPr>
          <w:rFonts w:hint="eastAsia"/>
          <w:i/>
          <w:sz w:val="23"/>
          <w:szCs w:val="23"/>
          <w:rtl/>
        </w:rPr>
        <w:t>تکنولو</w:t>
      </w:r>
      <w:r w:rsidRPr="00FE433F">
        <w:rPr>
          <w:rFonts w:hint="cs"/>
          <w:i/>
          <w:sz w:val="23"/>
          <w:szCs w:val="23"/>
          <w:rtl/>
        </w:rPr>
        <w:t>ژی</w:t>
      </w:r>
      <w:r w:rsidRPr="00FE433F">
        <w:rPr>
          <w:i/>
          <w:sz w:val="23"/>
          <w:szCs w:val="23"/>
          <w:rtl/>
        </w:rPr>
        <w:softHyphen/>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زمان</w:t>
      </w:r>
      <w:r w:rsidRPr="00FE433F">
        <w:rPr>
          <w:i/>
          <w:sz w:val="23"/>
          <w:szCs w:val="23"/>
          <w:rtl/>
        </w:rPr>
        <w:t>-</w:t>
      </w:r>
      <w:r w:rsidRPr="00FE433F">
        <w:rPr>
          <w:rFonts w:hint="eastAsia"/>
          <w:i/>
          <w:sz w:val="23"/>
          <w:szCs w:val="23"/>
          <w:rtl/>
        </w:rPr>
        <w:t>خر</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بستگ</w:t>
      </w:r>
      <w:r w:rsidRPr="00FE433F">
        <w:rPr>
          <w:rFonts w:hint="cs"/>
          <w:i/>
          <w:sz w:val="23"/>
          <w:szCs w:val="23"/>
          <w:rtl/>
        </w:rPr>
        <w:t>ی</w:t>
      </w:r>
      <w:r w:rsidRPr="00FE433F">
        <w:rPr>
          <w:i/>
          <w:sz w:val="23"/>
          <w:szCs w:val="23"/>
          <w:rtl/>
        </w:rPr>
        <w:t xml:space="preserve"> </w:t>
      </w:r>
      <w:r w:rsidRPr="00FE433F">
        <w:rPr>
          <w:rFonts w:hint="eastAsia"/>
          <w:i/>
          <w:sz w:val="23"/>
          <w:szCs w:val="23"/>
          <w:rtl/>
        </w:rPr>
        <w:t>دارد</w:t>
      </w:r>
      <w:r w:rsidRPr="00FE433F">
        <w:rPr>
          <w:i/>
          <w:sz w:val="23"/>
          <w:szCs w:val="23"/>
          <w:rtl/>
        </w:rPr>
        <w:t xml:space="preserve">. </w:t>
      </w:r>
    </w:p>
    <w:p w14:paraId="47F614D8" w14:textId="77777777" w:rsidR="00411620" w:rsidRPr="00FE433F" w:rsidRDefault="00411620" w:rsidP="00411620">
      <w:pPr>
        <w:spacing w:line="216" w:lineRule="auto"/>
        <w:rPr>
          <w:i/>
          <w:sz w:val="23"/>
          <w:szCs w:val="23"/>
          <w:rtl/>
        </w:rPr>
      </w:pPr>
      <w:r w:rsidRPr="00FE433F">
        <w:rPr>
          <w:rFonts w:hint="eastAsia"/>
          <w:i/>
          <w:sz w:val="23"/>
          <w:szCs w:val="23"/>
          <w:rtl/>
        </w:rPr>
        <w:t>به</w:t>
      </w:r>
      <w:r w:rsidRPr="00FE433F">
        <w:rPr>
          <w:rFonts w:hint="cs"/>
          <w:i/>
          <w:sz w:val="23"/>
          <w:szCs w:val="23"/>
          <w:rtl/>
        </w:rPr>
        <w:t>ی</w:t>
      </w:r>
      <w:r w:rsidRPr="00FE433F">
        <w:rPr>
          <w:rFonts w:hint="eastAsia"/>
          <w:i/>
          <w:sz w:val="23"/>
          <w:szCs w:val="23"/>
          <w:rtl/>
        </w:rPr>
        <w:t>نگ</w:t>
      </w:r>
      <w:r w:rsidRPr="00FE433F">
        <w:rPr>
          <w:rFonts w:hint="cs"/>
          <w:i/>
          <w:sz w:val="23"/>
          <w:szCs w:val="23"/>
          <w:rtl/>
        </w:rPr>
        <w:t>ی</w:t>
      </w:r>
      <w:r w:rsidRPr="00FE433F">
        <w:rPr>
          <w:i/>
          <w:sz w:val="23"/>
          <w:szCs w:val="23"/>
          <w:rtl/>
        </w:rPr>
        <w:t xml:space="preserve"> </w:t>
      </w:r>
      <w:r w:rsidRPr="00FE433F">
        <w:rPr>
          <w:rFonts w:hint="eastAsia"/>
          <w:i/>
          <w:sz w:val="23"/>
          <w:szCs w:val="23"/>
          <w:rtl/>
        </w:rPr>
        <w:t>قاعده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فر</w:t>
      </w:r>
      <w:r w:rsidRPr="00FE433F">
        <w:rPr>
          <w:rFonts w:hint="cs"/>
          <w:i/>
          <w:sz w:val="23"/>
          <w:szCs w:val="23"/>
          <w:rtl/>
        </w:rPr>
        <w:t>ی</w:t>
      </w:r>
      <w:r w:rsidRPr="00FE433F">
        <w:rPr>
          <w:rFonts w:hint="eastAsia"/>
          <w:i/>
          <w:sz w:val="23"/>
          <w:szCs w:val="23"/>
          <w:rtl/>
        </w:rPr>
        <w:t>دمن</w:t>
      </w:r>
      <w:r w:rsidRPr="00FE433F">
        <w:rPr>
          <w:i/>
          <w:sz w:val="23"/>
          <w:szCs w:val="23"/>
          <w:rtl/>
        </w:rPr>
        <w:t xml:space="preserve"> </w:t>
      </w:r>
      <w:r w:rsidRPr="00FE433F">
        <w:rPr>
          <w:rFonts w:hint="eastAsia"/>
          <w:i/>
          <w:sz w:val="23"/>
          <w:szCs w:val="23"/>
          <w:rtl/>
        </w:rPr>
        <w:t>همچن</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عدم</w:t>
      </w:r>
      <w:r w:rsidRPr="00FE433F">
        <w:rPr>
          <w:i/>
          <w:sz w:val="23"/>
          <w:szCs w:val="23"/>
          <w:rtl/>
        </w:rPr>
        <w:t xml:space="preserve"> </w:t>
      </w:r>
      <w:r w:rsidRPr="00FE433F">
        <w:rPr>
          <w:rFonts w:hint="eastAsia"/>
          <w:i/>
          <w:sz w:val="23"/>
          <w:szCs w:val="23"/>
          <w:rtl/>
        </w:rPr>
        <w:t>نقا</w:t>
      </w:r>
      <w:r w:rsidRPr="00FE433F">
        <w:rPr>
          <w:rFonts w:hint="cs"/>
          <w:i/>
          <w:sz w:val="23"/>
          <w:szCs w:val="23"/>
          <w:rtl/>
        </w:rPr>
        <w:t>ی</w:t>
      </w:r>
      <w:r w:rsidRPr="00FE433F">
        <w:rPr>
          <w:rFonts w:hint="eastAsia"/>
          <w:i/>
          <w:sz w:val="23"/>
          <w:szCs w:val="23"/>
          <w:rtl/>
        </w:rPr>
        <w:t>ص</w:t>
      </w:r>
      <w:r w:rsidRPr="00FE433F">
        <w:rPr>
          <w:i/>
          <w:sz w:val="23"/>
          <w:szCs w:val="23"/>
          <w:rtl/>
        </w:rPr>
        <w:t xml:space="preserve"> </w:t>
      </w:r>
      <w:r w:rsidRPr="00FE433F">
        <w:rPr>
          <w:rFonts w:hint="eastAsia"/>
          <w:i/>
          <w:sz w:val="23"/>
          <w:szCs w:val="23"/>
          <w:rtl/>
        </w:rPr>
        <w:t>بازار</w:t>
      </w:r>
      <w:r w:rsidRPr="00FE433F">
        <w:rPr>
          <w:i/>
          <w:sz w:val="23"/>
          <w:szCs w:val="23"/>
          <w:rtl/>
        </w:rPr>
        <w:t xml:space="preserve"> </w:t>
      </w:r>
      <w:r w:rsidRPr="00FE433F">
        <w:rPr>
          <w:rFonts w:hint="eastAsia"/>
          <w:i/>
          <w:sz w:val="23"/>
          <w:szCs w:val="23"/>
          <w:rtl/>
        </w:rPr>
        <w:t>وابسته</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نرخ</w:t>
      </w:r>
      <w:r w:rsidRPr="00FE433F">
        <w:rPr>
          <w:i/>
          <w:sz w:val="23"/>
          <w:szCs w:val="23"/>
          <w:rtl/>
        </w:rPr>
        <w:t xml:space="preserve"> </w:t>
      </w:r>
      <w:r w:rsidRPr="00FE433F">
        <w:rPr>
          <w:rFonts w:hint="eastAsia"/>
          <w:i/>
          <w:sz w:val="23"/>
          <w:szCs w:val="23"/>
          <w:rtl/>
        </w:rPr>
        <w:t>تورم</w:t>
      </w:r>
      <w:r w:rsidRPr="00FE433F">
        <w:rPr>
          <w:i/>
          <w:sz w:val="23"/>
          <w:szCs w:val="23"/>
          <w:rtl/>
        </w:rPr>
        <w:t xml:space="preserve"> </w:t>
      </w:r>
      <w:r w:rsidRPr="00FE433F">
        <w:rPr>
          <w:rFonts w:hint="eastAsia"/>
          <w:i/>
          <w:sz w:val="23"/>
          <w:szCs w:val="23"/>
          <w:rtl/>
        </w:rPr>
        <w:t>منف</w:t>
      </w:r>
      <w:r w:rsidRPr="00FE433F">
        <w:rPr>
          <w:rFonts w:hint="cs"/>
          <w:i/>
          <w:sz w:val="23"/>
          <w:szCs w:val="23"/>
          <w:rtl/>
        </w:rPr>
        <w:t>ی</w:t>
      </w:r>
      <w:r w:rsidRPr="00FE433F">
        <w:rPr>
          <w:i/>
          <w:sz w:val="23"/>
          <w:szCs w:val="23"/>
          <w:rtl/>
        </w:rPr>
        <w:t xml:space="preserve"> </w:t>
      </w:r>
      <w:r w:rsidRPr="00FE433F">
        <w:rPr>
          <w:rFonts w:hint="eastAsia"/>
          <w:i/>
          <w:sz w:val="23"/>
          <w:szCs w:val="23"/>
          <w:rtl/>
        </w:rPr>
        <w:t>مب</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مت</w:t>
      </w:r>
      <w:r w:rsidRPr="00FE433F">
        <w:rPr>
          <w:rFonts w:hint="eastAsia"/>
          <w:i/>
          <w:sz w:val="23"/>
          <w:szCs w:val="23"/>
        </w:rPr>
        <w:t>‌</w:t>
      </w:r>
      <w:r w:rsidRPr="00FE433F">
        <w:rPr>
          <w:rFonts w:hint="eastAsia"/>
          <w:i/>
          <w:sz w:val="23"/>
          <w:szCs w:val="23"/>
          <w:rtl/>
        </w:rPr>
        <w:t>ها</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با</w:t>
      </w:r>
      <w:r w:rsidRPr="00FE433F">
        <w:rPr>
          <w:rFonts w:hint="cs"/>
          <w:i/>
          <w:sz w:val="23"/>
          <w:szCs w:val="23"/>
          <w:rtl/>
        </w:rPr>
        <w:t>ی</w:t>
      </w:r>
      <w:r w:rsidRPr="00FE433F">
        <w:rPr>
          <w:rFonts w:hint="eastAsia"/>
          <w:i/>
          <w:sz w:val="23"/>
          <w:szCs w:val="23"/>
          <w:rtl/>
        </w:rPr>
        <w:t>ست</w:t>
      </w:r>
      <w:r w:rsidRPr="00FE433F">
        <w:rPr>
          <w:i/>
          <w:sz w:val="23"/>
          <w:szCs w:val="23"/>
          <w:rtl/>
        </w:rPr>
        <w:t xml:space="preserve"> </w:t>
      </w:r>
      <w:r w:rsidRPr="00FE433F">
        <w:rPr>
          <w:rFonts w:hint="eastAsia"/>
          <w:i/>
          <w:sz w:val="23"/>
          <w:szCs w:val="23"/>
          <w:rtl/>
        </w:rPr>
        <w:t>بطور</w:t>
      </w:r>
      <w:r w:rsidRPr="00FE433F">
        <w:rPr>
          <w:i/>
          <w:sz w:val="23"/>
          <w:szCs w:val="23"/>
          <w:rtl/>
        </w:rPr>
        <w:t xml:space="preserve"> </w:t>
      </w:r>
      <w:r w:rsidRPr="00FE433F">
        <w:rPr>
          <w:rFonts w:hint="eastAsia"/>
          <w:i/>
          <w:sz w:val="23"/>
          <w:szCs w:val="23"/>
          <w:rtl/>
        </w:rPr>
        <w:t>کاهش</w:t>
      </w:r>
      <w:r w:rsidRPr="00FE433F">
        <w:rPr>
          <w:rFonts w:hint="cs"/>
          <w:i/>
          <w:sz w:val="23"/>
          <w:szCs w:val="23"/>
          <w:rtl/>
        </w:rPr>
        <w:t>ی</w:t>
      </w:r>
      <w:r w:rsidRPr="00FE433F">
        <w:rPr>
          <w:i/>
          <w:sz w:val="23"/>
          <w:szCs w:val="23"/>
          <w:rtl/>
        </w:rPr>
        <w:t xml:space="preserve"> </w:t>
      </w:r>
      <w:r w:rsidRPr="00FE433F">
        <w:rPr>
          <w:rFonts w:hint="eastAsia"/>
          <w:i/>
          <w:sz w:val="23"/>
          <w:szCs w:val="23"/>
          <w:rtl/>
        </w:rPr>
        <w:t>انعطاف</w:t>
      </w:r>
      <w:r w:rsidRPr="00FE433F">
        <w:rPr>
          <w:i/>
          <w:sz w:val="23"/>
          <w:szCs w:val="23"/>
          <w:rtl/>
        </w:rPr>
        <w:softHyphen/>
      </w:r>
      <w:r w:rsidRPr="00FE433F">
        <w:rPr>
          <w:rFonts w:hint="eastAsia"/>
          <w:i/>
          <w:sz w:val="23"/>
          <w:szCs w:val="23"/>
          <w:rtl/>
        </w:rPr>
        <w:t>پذ</w:t>
      </w:r>
      <w:r w:rsidRPr="00FE433F">
        <w:rPr>
          <w:rFonts w:hint="cs"/>
          <w:i/>
          <w:sz w:val="23"/>
          <w:szCs w:val="23"/>
          <w:rtl/>
        </w:rPr>
        <w:t>ی</w:t>
      </w:r>
      <w:r w:rsidRPr="00FE433F">
        <w:rPr>
          <w:rFonts w:hint="eastAsia"/>
          <w:i/>
          <w:sz w:val="23"/>
          <w:szCs w:val="23"/>
          <w:rtl/>
        </w:rPr>
        <w:t>ر</w:t>
      </w:r>
      <w:r w:rsidRPr="00FE433F">
        <w:rPr>
          <w:i/>
          <w:sz w:val="23"/>
          <w:szCs w:val="23"/>
          <w:rtl/>
        </w:rPr>
        <w:t xml:space="preserve"> </w:t>
      </w:r>
      <w:r w:rsidRPr="00FE433F">
        <w:rPr>
          <w:rFonts w:hint="eastAsia"/>
          <w:i/>
          <w:sz w:val="23"/>
          <w:szCs w:val="23"/>
          <w:rtl/>
        </w:rPr>
        <w:t>باشند،</w:t>
      </w:r>
      <w:r w:rsidRPr="00FE433F">
        <w:rPr>
          <w:i/>
          <w:sz w:val="23"/>
          <w:szCs w:val="23"/>
          <w:rtl/>
        </w:rPr>
        <w:t xml:space="preserve"> </w:t>
      </w:r>
      <w:r w:rsidRPr="00FE433F">
        <w:rPr>
          <w:rFonts w:hint="eastAsia"/>
          <w:i/>
          <w:sz w:val="23"/>
          <w:szCs w:val="23"/>
          <w:rtl/>
        </w:rPr>
        <w:t>درحال</w:t>
      </w:r>
      <w:r w:rsidRPr="00FE433F">
        <w:rPr>
          <w:rFonts w:hint="cs"/>
          <w:i/>
          <w:sz w:val="23"/>
          <w:szCs w:val="23"/>
          <w:rtl/>
        </w:rPr>
        <w:t>ی</w:t>
      </w:r>
      <w:r w:rsidRPr="00FE433F">
        <w:rPr>
          <w:i/>
          <w:sz w:val="23"/>
          <w:szCs w:val="23"/>
          <w:rtl/>
        </w:rPr>
        <w:softHyphen/>
      </w:r>
      <w:r w:rsidRPr="00FE433F">
        <w:rPr>
          <w:rFonts w:hint="eastAsia"/>
          <w:i/>
          <w:sz w:val="23"/>
          <w:szCs w:val="23"/>
          <w:rtl/>
        </w:rPr>
        <w:t>که</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مت</w:t>
      </w:r>
      <w:r w:rsidRPr="00FE433F">
        <w:rPr>
          <w:i/>
          <w:sz w:val="23"/>
          <w:szCs w:val="23"/>
          <w:rtl/>
        </w:rPr>
        <w:softHyphen/>
      </w:r>
      <w:r w:rsidRPr="00FE433F">
        <w:rPr>
          <w:rFonts w:hint="eastAsia"/>
          <w:i/>
          <w:sz w:val="23"/>
          <w:szCs w:val="23"/>
          <w:rtl/>
        </w:rPr>
        <w:t>ها</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واقع</w:t>
      </w:r>
      <w:r w:rsidRPr="00FE433F">
        <w:rPr>
          <w:i/>
          <w:sz w:val="23"/>
          <w:szCs w:val="23"/>
          <w:rtl/>
        </w:rPr>
        <w:t xml:space="preserve"> </w:t>
      </w:r>
      <w:r w:rsidRPr="00FE433F">
        <w:rPr>
          <w:rFonts w:hint="eastAsia"/>
          <w:i/>
          <w:sz w:val="23"/>
          <w:szCs w:val="23"/>
          <w:rtl/>
        </w:rPr>
        <w:t>چسبنده</w:t>
      </w:r>
      <w:r w:rsidRPr="00FE433F">
        <w:rPr>
          <w:i/>
          <w:sz w:val="23"/>
          <w:szCs w:val="23"/>
          <w:rtl/>
        </w:rPr>
        <w:t xml:space="preserve"> </w:t>
      </w:r>
      <w:r w:rsidRPr="00FE433F">
        <w:rPr>
          <w:rFonts w:hint="eastAsia"/>
          <w:i/>
          <w:sz w:val="23"/>
          <w:szCs w:val="23"/>
          <w:rtl/>
        </w:rPr>
        <w:t>خواهند</w:t>
      </w:r>
      <w:r w:rsidRPr="00FE433F">
        <w:rPr>
          <w:i/>
          <w:sz w:val="23"/>
          <w:szCs w:val="23"/>
          <w:rtl/>
        </w:rPr>
        <w:t xml:space="preserve"> </w:t>
      </w:r>
      <w:r w:rsidRPr="00FE433F">
        <w:rPr>
          <w:rFonts w:hint="eastAsia"/>
          <w:i/>
          <w:sz w:val="23"/>
          <w:szCs w:val="23"/>
          <w:rtl/>
        </w:rPr>
        <w:t>بود</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نت</w:t>
      </w:r>
      <w:r w:rsidRPr="00FE433F">
        <w:rPr>
          <w:rFonts w:hint="cs"/>
          <w:i/>
          <w:sz w:val="23"/>
          <w:szCs w:val="23"/>
          <w:rtl/>
        </w:rPr>
        <w:t>ی</w:t>
      </w:r>
      <w:r w:rsidRPr="00FE433F">
        <w:rPr>
          <w:rFonts w:hint="eastAsia"/>
          <w:i/>
          <w:sz w:val="23"/>
          <w:szCs w:val="23"/>
          <w:rtl/>
        </w:rPr>
        <w:t>جه</w:t>
      </w:r>
      <w:r w:rsidRPr="00FE433F">
        <w:rPr>
          <w:i/>
          <w:sz w:val="23"/>
          <w:szCs w:val="23"/>
          <w:rtl/>
        </w:rPr>
        <w:t xml:space="preserve"> </w:t>
      </w:r>
      <w:r w:rsidRPr="00FE433F">
        <w:rPr>
          <w:rFonts w:hint="eastAsia"/>
          <w:i/>
          <w:sz w:val="23"/>
          <w:szCs w:val="23"/>
          <w:rtl/>
        </w:rPr>
        <w:t>تقل</w:t>
      </w:r>
      <w:r w:rsidRPr="00FE433F">
        <w:rPr>
          <w:rFonts w:hint="cs"/>
          <w:i/>
          <w:sz w:val="23"/>
          <w:szCs w:val="23"/>
          <w:rtl/>
        </w:rPr>
        <w:t>ی</w:t>
      </w:r>
      <w:r w:rsidRPr="00FE433F">
        <w:rPr>
          <w:rFonts w:hint="eastAsia"/>
          <w:i/>
          <w:sz w:val="23"/>
          <w:szCs w:val="23"/>
          <w:rtl/>
        </w:rPr>
        <w:t>ل</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مت</w:t>
      </w:r>
      <w:r w:rsidRPr="00FE433F">
        <w:rPr>
          <w:rFonts w:hint="eastAsia"/>
          <w:i/>
          <w:sz w:val="23"/>
          <w:szCs w:val="23"/>
        </w:rPr>
        <w:t>‌</w:t>
      </w:r>
      <w:r w:rsidRPr="00FE433F">
        <w:rPr>
          <w:rFonts w:hint="eastAsia"/>
          <w:i/>
          <w:sz w:val="23"/>
          <w:szCs w:val="23"/>
          <w:rtl/>
        </w:rPr>
        <w:t>ها</w:t>
      </w:r>
      <w:r w:rsidRPr="00FE433F">
        <w:rPr>
          <w:i/>
          <w:sz w:val="23"/>
          <w:szCs w:val="23"/>
          <w:rtl/>
        </w:rPr>
        <w:t xml:space="preserve"> </w:t>
      </w:r>
      <w:r w:rsidRPr="00FE433F">
        <w:rPr>
          <w:rFonts w:hint="eastAsia"/>
          <w:i/>
          <w:sz w:val="23"/>
          <w:szCs w:val="23"/>
          <w:rtl/>
        </w:rPr>
        <w:t>محتملا</w:t>
      </w:r>
      <w:r w:rsidRPr="00FE433F">
        <w:rPr>
          <w:rFonts w:hint="cs"/>
          <w:i/>
          <w:sz w:val="23"/>
          <w:szCs w:val="23"/>
          <w:rtl/>
        </w:rPr>
        <w:t>ً</w:t>
      </w:r>
      <w:r w:rsidRPr="00FE433F">
        <w:rPr>
          <w:i/>
          <w:sz w:val="23"/>
          <w:szCs w:val="23"/>
          <w:rtl/>
        </w:rPr>
        <w:t xml:space="preserve"> </w:t>
      </w:r>
      <w:r w:rsidRPr="00FE433F">
        <w:rPr>
          <w:rFonts w:hint="eastAsia"/>
          <w:i/>
          <w:sz w:val="23"/>
          <w:szCs w:val="23"/>
          <w:rtl/>
        </w:rPr>
        <w:t>هز</w:t>
      </w:r>
      <w:r w:rsidRPr="00FE433F">
        <w:rPr>
          <w:rFonts w:hint="cs"/>
          <w:i/>
          <w:sz w:val="23"/>
          <w:szCs w:val="23"/>
          <w:rtl/>
        </w:rPr>
        <w:t>ی</w:t>
      </w:r>
      <w:r w:rsidRPr="00FE433F">
        <w:rPr>
          <w:rFonts w:hint="eastAsia"/>
          <w:i/>
          <w:sz w:val="23"/>
          <w:szCs w:val="23"/>
          <w:rtl/>
        </w:rPr>
        <w:t>نه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واقع</w:t>
      </w:r>
      <w:r w:rsidRPr="00FE433F">
        <w:rPr>
          <w:rFonts w:hint="cs"/>
          <w:i/>
          <w:sz w:val="23"/>
          <w:szCs w:val="23"/>
          <w:rtl/>
        </w:rPr>
        <w:t>ی</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تحم</w:t>
      </w:r>
      <w:r w:rsidRPr="00FE433F">
        <w:rPr>
          <w:rFonts w:hint="cs"/>
          <w:i/>
          <w:sz w:val="23"/>
          <w:szCs w:val="23"/>
          <w:rtl/>
        </w:rPr>
        <w:t>ی</w:t>
      </w:r>
      <w:r w:rsidRPr="00FE433F">
        <w:rPr>
          <w:rFonts w:hint="eastAsia"/>
          <w:i/>
          <w:sz w:val="23"/>
          <w:szCs w:val="23"/>
          <w:rtl/>
        </w:rPr>
        <w:t>ل</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کند</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عمل</w:t>
      </w:r>
      <w:r w:rsidRPr="00FE433F">
        <w:rPr>
          <w:i/>
          <w:sz w:val="23"/>
          <w:szCs w:val="23"/>
          <w:rtl/>
        </w:rPr>
        <w:t xml:space="preserve"> </w:t>
      </w:r>
      <w:r w:rsidRPr="00FE433F">
        <w:rPr>
          <w:rFonts w:hint="eastAsia"/>
          <w:i/>
          <w:sz w:val="23"/>
          <w:szCs w:val="23"/>
          <w:rtl/>
        </w:rPr>
        <w:t>س</w:t>
      </w:r>
      <w:r w:rsidRPr="00FE433F">
        <w:rPr>
          <w:rFonts w:hint="cs"/>
          <w:i/>
          <w:sz w:val="23"/>
          <w:szCs w:val="23"/>
          <w:rtl/>
        </w:rPr>
        <w:t>ی</w:t>
      </w:r>
      <w:r w:rsidRPr="00FE433F">
        <w:rPr>
          <w:rFonts w:hint="eastAsia"/>
          <w:i/>
          <w:sz w:val="23"/>
          <w:szCs w:val="23"/>
          <w:rtl/>
        </w:rPr>
        <w:t>است</w:t>
      </w:r>
      <w:r w:rsidRPr="00FE433F">
        <w:rPr>
          <w:i/>
          <w:sz w:val="23"/>
          <w:szCs w:val="23"/>
          <w:rtl/>
        </w:rPr>
        <w:t xml:space="preserve"> </w:t>
      </w:r>
      <w:r w:rsidRPr="00FE433F">
        <w:rPr>
          <w:rFonts w:hint="eastAsia"/>
          <w:i/>
          <w:sz w:val="23"/>
          <w:szCs w:val="23"/>
          <w:rtl/>
        </w:rPr>
        <w:t>اقتصاد</w:t>
      </w:r>
      <w:r w:rsidRPr="00FE433F">
        <w:rPr>
          <w:rFonts w:hint="cs"/>
          <w:i/>
          <w:sz w:val="23"/>
          <w:szCs w:val="23"/>
          <w:rtl/>
        </w:rPr>
        <w:t>ی</w:t>
      </w:r>
      <w:r w:rsidRPr="00FE433F">
        <w:rPr>
          <w:i/>
          <w:sz w:val="23"/>
          <w:szCs w:val="23"/>
          <w:rtl/>
        </w:rPr>
        <w:t xml:space="preserve"> </w:t>
      </w:r>
      <w:r w:rsidRPr="00FE433F">
        <w:rPr>
          <w:rFonts w:hint="eastAsia"/>
          <w:i/>
          <w:sz w:val="23"/>
          <w:szCs w:val="23"/>
          <w:rtl/>
        </w:rPr>
        <w:t>قابل</w:t>
      </w:r>
      <w:r w:rsidRPr="00FE433F">
        <w:rPr>
          <w:i/>
          <w:sz w:val="23"/>
          <w:szCs w:val="23"/>
          <w:rtl/>
        </w:rPr>
        <w:t xml:space="preserve"> </w:t>
      </w:r>
      <w:r w:rsidRPr="00FE433F">
        <w:rPr>
          <w:rFonts w:hint="eastAsia"/>
          <w:i/>
          <w:sz w:val="23"/>
          <w:szCs w:val="23"/>
          <w:rtl/>
        </w:rPr>
        <w:t>دوام</w:t>
      </w:r>
      <w:r w:rsidRPr="00FE433F">
        <w:rPr>
          <w:i/>
          <w:sz w:val="23"/>
          <w:szCs w:val="23"/>
          <w:rtl/>
        </w:rPr>
        <w:t xml:space="preserve"> </w:t>
      </w:r>
      <w:r w:rsidRPr="00FE433F">
        <w:rPr>
          <w:rFonts w:hint="eastAsia"/>
          <w:i/>
          <w:sz w:val="23"/>
          <w:szCs w:val="23"/>
          <w:rtl/>
        </w:rPr>
        <w:t>نخواهد</w:t>
      </w:r>
      <w:r w:rsidRPr="00FE433F">
        <w:rPr>
          <w:i/>
          <w:sz w:val="23"/>
          <w:szCs w:val="23"/>
          <w:rtl/>
        </w:rPr>
        <w:t xml:space="preserve"> </w:t>
      </w:r>
      <w:r w:rsidRPr="00FE433F">
        <w:rPr>
          <w:rFonts w:hint="eastAsia"/>
          <w:i/>
          <w:sz w:val="23"/>
          <w:szCs w:val="23"/>
          <w:rtl/>
        </w:rPr>
        <w:t>بود</w:t>
      </w:r>
      <w:r w:rsidRPr="00FE433F">
        <w:rPr>
          <w:i/>
          <w:sz w:val="23"/>
          <w:szCs w:val="23"/>
          <w:rtl/>
        </w:rPr>
        <w:t xml:space="preserve">. </w:t>
      </w:r>
      <w:r w:rsidRPr="00FE433F">
        <w:rPr>
          <w:rFonts w:hint="eastAsia"/>
          <w:i/>
          <w:sz w:val="23"/>
          <w:szCs w:val="23"/>
          <w:rtl/>
        </w:rPr>
        <w:t>بنابرا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عمل</w:t>
      </w:r>
      <w:r w:rsidRPr="00FE433F">
        <w:rPr>
          <w:i/>
          <w:sz w:val="23"/>
          <w:szCs w:val="23"/>
          <w:rtl/>
        </w:rPr>
        <w:t xml:space="preserve"> </w:t>
      </w:r>
      <w:r w:rsidRPr="00FE433F">
        <w:rPr>
          <w:rFonts w:hint="eastAsia"/>
          <w:i/>
          <w:sz w:val="23"/>
          <w:szCs w:val="23"/>
          <w:rtl/>
        </w:rPr>
        <w:t>س</w:t>
      </w:r>
      <w:r w:rsidRPr="00FE433F">
        <w:rPr>
          <w:rFonts w:hint="cs"/>
          <w:i/>
          <w:sz w:val="23"/>
          <w:szCs w:val="23"/>
          <w:rtl/>
        </w:rPr>
        <w:t>ی</w:t>
      </w:r>
      <w:r w:rsidRPr="00FE433F">
        <w:rPr>
          <w:rFonts w:hint="eastAsia"/>
          <w:i/>
          <w:sz w:val="23"/>
          <w:szCs w:val="23"/>
          <w:rtl/>
        </w:rPr>
        <w:t>است</w:t>
      </w:r>
      <w:r w:rsidRPr="00FE433F">
        <w:rPr>
          <w:i/>
          <w:sz w:val="23"/>
          <w:szCs w:val="23"/>
          <w:rtl/>
        </w:rPr>
        <w:t xml:space="preserve"> </w:t>
      </w:r>
      <w:r w:rsidRPr="00FE433F">
        <w:rPr>
          <w:rFonts w:hint="eastAsia"/>
          <w:i/>
          <w:sz w:val="23"/>
          <w:szCs w:val="23"/>
          <w:rtl/>
        </w:rPr>
        <w:t>پول</w:t>
      </w:r>
      <w:r w:rsidRPr="00FE433F">
        <w:rPr>
          <w:rFonts w:hint="cs"/>
          <w:i/>
          <w:sz w:val="23"/>
          <w:szCs w:val="23"/>
          <w:rtl/>
        </w:rPr>
        <w:t>ی</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ه</w:t>
      </w:r>
      <w:r w:rsidRPr="00FE433F">
        <w:rPr>
          <w:rFonts w:hint="cs"/>
          <w:i/>
          <w:sz w:val="23"/>
          <w:szCs w:val="23"/>
          <w:rtl/>
        </w:rPr>
        <w:t>ی</w:t>
      </w:r>
      <w:r w:rsidRPr="00FE433F">
        <w:rPr>
          <w:rFonts w:hint="eastAsia"/>
          <w:i/>
          <w:sz w:val="23"/>
          <w:szCs w:val="23"/>
          <w:rtl/>
        </w:rPr>
        <w:t>چ</w:t>
      </w:r>
      <w:r w:rsidRPr="00FE433F">
        <w:rPr>
          <w:i/>
          <w:sz w:val="23"/>
          <w:szCs w:val="23"/>
          <w:rtl/>
        </w:rPr>
        <w:t xml:space="preserve"> </w:t>
      </w:r>
      <w:r w:rsidRPr="00FE433F">
        <w:rPr>
          <w:rFonts w:hint="eastAsia"/>
          <w:i/>
          <w:sz w:val="23"/>
          <w:szCs w:val="23"/>
          <w:rtl/>
        </w:rPr>
        <w:t>کشور</w:t>
      </w:r>
      <w:r w:rsidRPr="00FE433F">
        <w:rPr>
          <w:rFonts w:hint="cs"/>
          <w:i/>
          <w:sz w:val="23"/>
          <w:szCs w:val="23"/>
          <w:rtl/>
        </w:rPr>
        <w:t>ی</w:t>
      </w:r>
      <w:r w:rsidRPr="00FE433F">
        <w:rPr>
          <w:i/>
          <w:sz w:val="23"/>
          <w:szCs w:val="23"/>
          <w:rtl/>
        </w:rPr>
        <w:t xml:space="preserve"> </w:t>
      </w:r>
      <w:r w:rsidRPr="00FE433F">
        <w:rPr>
          <w:rFonts w:hint="eastAsia"/>
          <w:i/>
          <w:sz w:val="23"/>
          <w:szCs w:val="23"/>
          <w:rtl/>
        </w:rPr>
        <w:t>بر</w:t>
      </w:r>
      <w:r w:rsidRPr="00FE433F">
        <w:rPr>
          <w:i/>
          <w:sz w:val="23"/>
          <w:szCs w:val="23"/>
          <w:rtl/>
        </w:rPr>
        <w:t xml:space="preserve"> </w:t>
      </w:r>
      <w:r w:rsidRPr="00FE433F">
        <w:rPr>
          <w:rFonts w:hint="eastAsia"/>
          <w:i/>
          <w:sz w:val="23"/>
          <w:szCs w:val="23"/>
          <w:rtl/>
        </w:rPr>
        <w:t>مبنا</w:t>
      </w:r>
      <w:r w:rsidRPr="00FE433F">
        <w:rPr>
          <w:rFonts w:hint="cs"/>
          <w:i/>
          <w:sz w:val="23"/>
          <w:szCs w:val="23"/>
          <w:rtl/>
        </w:rPr>
        <w:t>ی</w:t>
      </w:r>
      <w:r w:rsidRPr="00FE433F">
        <w:rPr>
          <w:i/>
          <w:sz w:val="23"/>
          <w:szCs w:val="23"/>
          <w:rtl/>
        </w:rPr>
        <w:t xml:space="preserve"> </w:t>
      </w:r>
      <w:r w:rsidRPr="00FE433F">
        <w:rPr>
          <w:rFonts w:hint="eastAsia"/>
          <w:i/>
          <w:sz w:val="23"/>
          <w:szCs w:val="23"/>
          <w:rtl/>
        </w:rPr>
        <w:t>قاعده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فر</w:t>
      </w:r>
      <w:r w:rsidRPr="00FE433F">
        <w:rPr>
          <w:rFonts w:hint="cs"/>
          <w:i/>
          <w:sz w:val="23"/>
          <w:szCs w:val="23"/>
          <w:rtl/>
        </w:rPr>
        <w:t>ی</w:t>
      </w:r>
      <w:r w:rsidRPr="00FE433F">
        <w:rPr>
          <w:rFonts w:hint="eastAsia"/>
          <w:i/>
          <w:sz w:val="23"/>
          <w:szCs w:val="23"/>
          <w:rtl/>
        </w:rPr>
        <w:t>دمن</w:t>
      </w:r>
      <w:r w:rsidRPr="00FE433F">
        <w:rPr>
          <w:i/>
          <w:sz w:val="23"/>
          <w:szCs w:val="23"/>
          <w:rtl/>
        </w:rPr>
        <w:t xml:space="preserve"> </w:t>
      </w:r>
      <w:r w:rsidRPr="00FE433F">
        <w:rPr>
          <w:rFonts w:hint="eastAsia"/>
          <w:i/>
          <w:sz w:val="23"/>
          <w:szCs w:val="23"/>
          <w:rtl/>
        </w:rPr>
        <w:t>هدا</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eastAsia"/>
          <w:i/>
          <w:sz w:val="23"/>
          <w:szCs w:val="23"/>
          <w:rtl/>
        </w:rPr>
        <w:t>نم</w:t>
      </w:r>
      <w:r w:rsidRPr="00FE433F">
        <w:rPr>
          <w:rFonts w:hint="cs"/>
          <w:i/>
          <w:sz w:val="23"/>
          <w:szCs w:val="23"/>
          <w:rtl/>
        </w:rPr>
        <w:t>ی</w:t>
      </w:r>
      <w:r w:rsidRPr="00FE433F">
        <w:rPr>
          <w:i/>
          <w:sz w:val="23"/>
          <w:szCs w:val="23"/>
          <w:rtl/>
        </w:rPr>
        <w:softHyphen/>
      </w:r>
      <w:r w:rsidRPr="00FE433F">
        <w:rPr>
          <w:rFonts w:hint="eastAsia"/>
          <w:i/>
          <w:sz w:val="23"/>
          <w:szCs w:val="23"/>
          <w:rtl/>
        </w:rPr>
        <w:t>شود،</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تورم</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رشد</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تقر</w:t>
      </w:r>
      <w:r w:rsidRPr="00FE433F">
        <w:rPr>
          <w:rFonts w:hint="cs"/>
          <w:i/>
          <w:sz w:val="23"/>
          <w:szCs w:val="23"/>
          <w:rtl/>
        </w:rPr>
        <w:t>ی</w:t>
      </w:r>
      <w:r w:rsidRPr="00FE433F">
        <w:rPr>
          <w:rFonts w:hint="eastAsia"/>
          <w:i/>
          <w:sz w:val="23"/>
          <w:szCs w:val="23"/>
          <w:rtl/>
        </w:rPr>
        <w:t>باً</w:t>
      </w:r>
      <w:r w:rsidRPr="00FE433F">
        <w:rPr>
          <w:i/>
          <w:sz w:val="23"/>
          <w:szCs w:val="23"/>
          <w:rtl/>
        </w:rPr>
        <w:t xml:space="preserve"> </w:t>
      </w:r>
      <w:r w:rsidRPr="00FE433F">
        <w:rPr>
          <w:rFonts w:hint="eastAsia"/>
          <w:i/>
          <w:sz w:val="23"/>
          <w:szCs w:val="23"/>
          <w:rtl/>
        </w:rPr>
        <w:t>مثبت</w:t>
      </w:r>
      <w:r w:rsidRPr="00FE433F">
        <w:rPr>
          <w:i/>
          <w:sz w:val="23"/>
          <w:szCs w:val="23"/>
          <w:rtl/>
        </w:rPr>
        <w:t xml:space="preserve"> </w:t>
      </w:r>
      <w:r w:rsidRPr="00FE433F">
        <w:rPr>
          <w:rFonts w:hint="cs"/>
          <w:i/>
          <w:sz w:val="23"/>
          <w:szCs w:val="23"/>
          <w:rtl/>
        </w:rPr>
        <w:t>هستند</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نه</w:t>
      </w:r>
      <w:r w:rsidRPr="00FE433F">
        <w:rPr>
          <w:i/>
          <w:sz w:val="23"/>
          <w:szCs w:val="23"/>
          <w:rtl/>
        </w:rPr>
        <w:t xml:space="preserve"> </w:t>
      </w:r>
      <w:r w:rsidRPr="00FE433F">
        <w:rPr>
          <w:rFonts w:hint="eastAsia"/>
          <w:i/>
          <w:sz w:val="23"/>
          <w:szCs w:val="23"/>
          <w:rtl/>
        </w:rPr>
        <w:t>منف</w:t>
      </w:r>
      <w:r w:rsidRPr="00FE433F">
        <w:rPr>
          <w:rFonts w:hint="cs"/>
          <w:i/>
          <w:sz w:val="23"/>
          <w:szCs w:val="23"/>
          <w:rtl/>
        </w:rPr>
        <w:t>ی</w:t>
      </w:r>
      <w:r w:rsidRPr="00FE433F">
        <w:rPr>
          <w:i/>
          <w:sz w:val="23"/>
          <w:szCs w:val="23"/>
          <w:rtl/>
        </w:rPr>
        <w:t>.</w:t>
      </w:r>
    </w:p>
    <w:p w14:paraId="468A81DA" w14:textId="77777777" w:rsidR="00411620" w:rsidRPr="00FE433F" w:rsidRDefault="00411620" w:rsidP="00411620">
      <w:pPr>
        <w:spacing w:line="216" w:lineRule="auto"/>
        <w:rPr>
          <w:i/>
          <w:sz w:val="23"/>
          <w:szCs w:val="23"/>
          <w:rtl/>
        </w:rPr>
      </w:pPr>
    </w:p>
    <w:p w14:paraId="4AA46ACD" w14:textId="77777777" w:rsidR="00411620" w:rsidRPr="00FE433F" w:rsidRDefault="00411620" w:rsidP="00411620">
      <w:pPr>
        <w:pStyle w:val="Heading1"/>
        <w:spacing w:before="0" w:after="0" w:line="216" w:lineRule="auto"/>
        <w:rPr>
          <w:rFonts w:ascii="Times New Roman" w:hAnsi="Times New Roman" w:cs="B Nazanin"/>
          <w:b w:val="0"/>
          <w:i/>
          <w:sz w:val="23"/>
          <w:szCs w:val="23"/>
          <w:rtl/>
        </w:rPr>
      </w:pPr>
      <w:r w:rsidRPr="00FE433F">
        <w:rPr>
          <w:rFonts w:ascii="Times New Roman" w:hAnsi="Times New Roman" w:cs="B Nazanin"/>
          <w:b w:val="0"/>
          <w:i/>
          <w:sz w:val="23"/>
          <w:szCs w:val="23"/>
          <w:rtl/>
        </w:rPr>
        <w:t xml:space="preserve">۸. ۱۲ </w:t>
      </w:r>
      <w:r w:rsidRPr="00FE433F">
        <w:rPr>
          <w:rFonts w:ascii="Times New Roman" w:hAnsi="Times New Roman" w:cs="B Nazanin" w:hint="eastAsia"/>
          <w:b w:val="0"/>
          <w:i/>
          <w:sz w:val="23"/>
          <w:szCs w:val="23"/>
          <w:rtl/>
        </w:rPr>
        <w:t>اَبَر</w:t>
      </w:r>
      <w:r w:rsidRPr="00FE433F">
        <w:rPr>
          <w:rFonts w:ascii="Times New Roman" w:hAnsi="Times New Roman" w:cs="B Nazanin"/>
          <w:b w:val="0"/>
          <w:i/>
          <w:sz w:val="23"/>
          <w:szCs w:val="23"/>
          <w:rtl/>
        </w:rPr>
        <w:t>-</w:t>
      </w:r>
      <w:r w:rsidRPr="00FE433F">
        <w:rPr>
          <w:rFonts w:ascii="Times New Roman" w:hAnsi="Times New Roman" w:cs="B Nazanin" w:hint="eastAsia"/>
          <w:b w:val="0"/>
          <w:i/>
          <w:sz w:val="23"/>
          <w:szCs w:val="23"/>
          <w:rtl/>
        </w:rPr>
        <w:t>خنث</w:t>
      </w:r>
      <w:r w:rsidRPr="00FE433F">
        <w:rPr>
          <w:rFonts w:ascii="Times New Roman" w:hAnsi="Times New Roman" w:cs="B Nazanin" w:hint="cs"/>
          <w:b w:val="0"/>
          <w:i/>
          <w:sz w:val="23"/>
          <w:szCs w:val="23"/>
          <w:rtl/>
        </w:rPr>
        <w:t>ایی</w:t>
      </w:r>
      <w:r w:rsidRPr="00FE433F">
        <w:rPr>
          <w:rFonts w:ascii="Times New Roman" w:hAnsi="Times New Roman" w:cs="B Nazanin"/>
          <w:b w:val="0"/>
          <w:i/>
          <w:sz w:val="23"/>
          <w:szCs w:val="23"/>
          <w:rtl/>
        </w:rPr>
        <w:t xml:space="preserve"> پول </w:t>
      </w:r>
    </w:p>
    <w:p w14:paraId="20A215D0" w14:textId="77777777" w:rsidR="00411620" w:rsidRPr="00FE433F" w:rsidRDefault="00411620" w:rsidP="00411620">
      <w:pPr>
        <w:spacing w:line="216" w:lineRule="auto"/>
        <w:rPr>
          <w:i/>
          <w:sz w:val="23"/>
          <w:szCs w:val="23"/>
          <w:rtl/>
        </w:rPr>
      </w:pPr>
      <w:r w:rsidRPr="00FE433F">
        <w:rPr>
          <w:rFonts w:hint="eastAsia"/>
          <w:i/>
          <w:sz w:val="23"/>
          <w:szCs w:val="23"/>
          <w:rtl/>
        </w:rPr>
        <w:t>اگر</w:t>
      </w:r>
      <w:r w:rsidRPr="00FE433F">
        <w:rPr>
          <w:i/>
          <w:sz w:val="23"/>
          <w:szCs w:val="23"/>
          <w:rtl/>
        </w:rPr>
        <w:t xml:space="preserve"> </w:t>
      </w:r>
      <w:r w:rsidRPr="00FE433F">
        <w:rPr>
          <w:rFonts w:hint="eastAsia"/>
          <w:i/>
          <w:sz w:val="23"/>
          <w:szCs w:val="23"/>
          <w:rtl/>
        </w:rPr>
        <w:t>شوک</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اسم</w:t>
      </w:r>
      <w:r w:rsidRPr="00FE433F">
        <w:rPr>
          <w:rFonts w:hint="cs"/>
          <w:i/>
          <w:sz w:val="23"/>
          <w:szCs w:val="23"/>
          <w:rtl/>
        </w:rPr>
        <w:t>ی</w:t>
      </w:r>
      <w:r w:rsidRPr="00FE433F">
        <w:rPr>
          <w:i/>
          <w:sz w:val="23"/>
          <w:szCs w:val="23"/>
          <w:rtl/>
        </w:rPr>
        <w:t xml:space="preserve"> </w:t>
      </w:r>
      <w:r w:rsidRPr="00FE433F">
        <w:rPr>
          <w:rFonts w:hint="eastAsia"/>
          <w:i/>
          <w:sz w:val="23"/>
          <w:szCs w:val="23"/>
          <w:rtl/>
        </w:rPr>
        <w:t>همان</w:t>
      </w:r>
      <w:r w:rsidRPr="00FE433F">
        <w:rPr>
          <w:i/>
          <w:sz w:val="23"/>
          <w:szCs w:val="23"/>
          <w:rtl/>
        </w:rPr>
        <w:t xml:space="preserve"> </w:t>
      </w:r>
      <w:r w:rsidRPr="00FE433F">
        <w:rPr>
          <w:rFonts w:hint="eastAsia"/>
          <w:i/>
          <w:sz w:val="23"/>
          <w:szCs w:val="23"/>
          <w:rtl/>
        </w:rPr>
        <w:t>شوک</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rFonts w:hint="cs"/>
          <w:i/>
          <w:sz w:val="23"/>
          <w:szCs w:val="23"/>
          <w:rtl/>
        </w:rPr>
        <w:t>ی</w:t>
      </w:r>
      <w:r w:rsidRPr="00FE433F">
        <w:rPr>
          <w:i/>
          <w:sz w:val="23"/>
          <w:szCs w:val="23"/>
          <w:rtl/>
        </w:rPr>
        <w:t xml:space="preserve"> </w:t>
      </w:r>
      <w:r w:rsidRPr="00FE433F">
        <w:rPr>
          <w:rFonts w:hint="eastAsia"/>
          <w:i/>
          <w:sz w:val="23"/>
          <w:szCs w:val="23"/>
          <w:rtl/>
        </w:rPr>
        <w:t>باشند</w:t>
      </w:r>
      <w:r w:rsidRPr="00FE433F">
        <w:rPr>
          <w:rFonts w:hint="cs"/>
          <w:i/>
          <w:sz w:val="23"/>
          <w:szCs w:val="23"/>
          <w:rtl/>
        </w:rPr>
        <w:t xml:space="preserve"> و این شوک</w:t>
      </w:r>
      <w:r w:rsidRPr="00FE433F">
        <w:rPr>
          <w:i/>
          <w:sz w:val="23"/>
          <w:szCs w:val="23"/>
          <w:rtl/>
        </w:rPr>
        <w:softHyphen/>
      </w:r>
      <w:r w:rsidRPr="00FE433F">
        <w:rPr>
          <w:rFonts w:hint="cs"/>
          <w:i/>
          <w:sz w:val="23"/>
          <w:szCs w:val="23"/>
          <w:rtl/>
        </w:rPr>
        <w:t xml:space="preserve">ها </w:t>
      </w:r>
      <w:r w:rsidRPr="00FE433F">
        <w:rPr>
          <w:rFonts w:hint="eastAsia"/>
          <w:i/>
          <w:sz w:val="23"/>
          <w:szCs w:val="23"/>
          <w:rtl/>
        </w:rPr>
        <w:t>تأث</w:t>
      </w:r>
      <w:r w:rsidRPr="00FE433F">
        <w:rPr>
          <w:rFonts w:hint="cs"/>
          <w:i/>
          <w:sz w:val="23"/>
          <w:szCs w:val="23"/>
          <w:rtl/>
        </w:rPr>
        <w:t>ی</w:t>
      </w:r>
      <w:r w:rsidRPr="00FE433F">
        <w:rPr>
          <w:rFonts w:hint="eastAsia"/>
          <w:i/>
          <w:sz w:val="23"/>
          <w:szCs w:val="23"/>
          <w:rtl/>
        </w:rPr>
        <w:t>ر</w:t>
      </w:r>
      <w:r w:rsidRPr="00FE433F">
        <w:rPr>
          <w:rFonts w:hint="cs"/>
          <w:i/>
          <w:sz w:val="23"/>
          <w:szCs w:val="23"/>
          <w:rtl/>
        </w:rPr>
        <w:t>ی</w:t>
      </w:r>
      <w:r w:rsidRPr="00FE433F">
        <w:rPr>
          <w:i/>
          <w:sz w:val="23"/>
          <w:szCs w:val="23"/>
          <w:rtl/>
        </w:rPr>
        <w:t xml:space="preserve"> </w:t>
      </w:r>
      <w:r w:rsidRPr="00FE433F">
        <w:rPr>
          <w:rFonts w:hint="eastAsia"/>
          <w:i/>
          <w:sz w:val="23"/>
          <w:szCs w:val="23"/>
          <w:rtl/>
        </w:rPr>
        <w:t>بر</w:t>
      </w:r>
      <w:r w:rsidRPr="00FE433F">
        <w:rPr>
          <w:i/>
          <w:sz w:val="23"/>
          <w:szCs w:val="23"/>
          <w:rtl/>
        </w:rPr>
        <w:t xml:space="preserve"> </w:t>
      </w:r>
      <w:r w:rsidRPr="00FE433F">
        <w:rPr>
          <w:rFonts w:hint="eastAsia"/>
          <w:i/>
          <w:sz w:val="23"/>
          <w:szCs w:val="23"/>
          <w:rtl/>
        </w:rPr>
        <w:t>متغ</w:t>
      </w:r>
      <w:r w:rsidRPr="00FE433F">
        <w:rPr>
          <w:rFonts w:hint="cs"/>
          <w:i/>
          <w:sz w:val="23"/>
          <w:szCs w:val="23"/>
          <w:rtl/>
        </w:rPr>
        <w:t>ی</w:t>
      </w:r>
      <w:r w:rsidRPr="00FE433F">
        <w:rPr>
          <w:rFonts w:hint="eastAsia"/>
          <w:i/>
          <w:sz w:val="23"/>
          <w:szCs w:val="23"/>
          <w:rtl/>
        </w:rPr>
        <w:t>رها</w:t>
      </w:r>
      <w:r w:rsidRPr="00FE433F">
        <w:rPr>
          <w:rFonts w:hint="cs"/>
          <w:i/>
          <w:sz w:val="23"/>
          <w:szCs w:val="23"/>
          <w:rtl/>
        </w:rPr>
        <w:t>ی</w:t>
      </w:r>
      <w:r w:rsidRPr="00FE433F">
        <w:rPr>
          <w:i/>
          <w:sz w:val="23"/>
          <w:szCs w:val="23"/>
          <w:rtl/>
        </w:rPr>
        <w:t xml:space="preserve">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cs"/>
          <w:i/>
          <w:sz w:val="23"/>
          <w:szCs w:val="23"/>
          <w:rtl/>
        </w:rPr>
        <w:t xml:space="preserve">در بلندمدت </w:t>
      </w:r>
      <w:r w:rsidRPr="00FE433F">
        <w:rPr>
          <w:rFonts w:hint="eastAsia"/>
          <w:i/>
          <w:sz w:val="23"/>
          <w:szCs w:val="23"/>
          <w:rtl/>
        </w:rPr>
        <w:t>نگذارد</w:t>
      </w:r>
      <w:r w:rsidRPr="00FE433F">
        <w:rPr>
          <w:rFonts w:hint="cs"/>
          <w:i/>
          <w:sz w:val="23"/>
          <w:szCs w:val="23"/>
          <w:rtl/>
        </w:rPr>
        <w:t xml:space="preserve"> ب</w:t>
      </w:r>
      <w:r w:rsidRPr="00FE433F">
        <w:rPr>
          <w:rFonts w:hint="eastAsia"/>
          <w:i/>
          <w:sz w:val="23"/>
          <w:szCs w:val="23"/>
          <w:rtl/>
        </w:rPr>
        <w:t>دان</w:t>
      </w:r>
      <w:r w:rsidRPr="00FE433F">
        <w:rPr>
          <w:i/>
          <w:sz w:val="23"/>
          <w:szCs w:val="23"/>
          <w:rtl/>
        </w:rPr>
        <w:t xml:space="preserve"> </w:t>
      </w:r>
      <w:r w:rsidRPr="00FE433F">
        <w:rPr>
          <w:rFonts w:hint="eastAsia"/>
          <w:i/>
          <w:sz w:val="23"/>
          <w:szCs w:val="23"/>
          <w:rtl/>
        </w:rPr>
        <w:t>ابر</w:t>
      </w:r>
      <w:r w:rsidRPr="00FE433F">
        <w:rPr>
          <w:i/>
          <w:sz w:val="23"/>
          <w:szCs w:val="23"/>
          <w:rtl/>
        </w:rPr>
        <w:t xml:space="preserve"> </w:t>
      </w:r>
      <w:r w:rsidRPr="00FE433F">
        <w:rPr>
          <w:rFonts w:hint="eastAsia"/>
          <w:i/>
          <w:sz w:val="23"/>
          <w:szCs w:val="23"/>
          <w:rtl/>
        </w:rPr>
        <w:t>خنثا</w:t>
      </w:r>
      <w:r w:rsidRPr="00FE433F">
        <w:rPr>
          <w:rFonts w:hint="cs"/>
          <w:i/>
          <w:sz w:val="23"/>
          <w:szCs w:val="23"/>
          <w:rtl/>
        </w:rPr>
        <w:t>یی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گو</w:t>
      </w:r>
      <w:r w:rsidRPr="00FE433F">
        <w:rPr>
          <w:rFonts w:hint="cs"/>
          <w:i/>
          <w:sz w:val="23"/>
          <w:szCs w:val="23"/>
          <w:rtl/>
        </w:rPr>
        <w:t>ی</w:t>
      </w:r>
      <w:r w:rsidRPr="00FE433F">
        <w:rPr>
          <w:rFonts w:hint="eastAsia"/>
          <w:i/>
          <w:sz w:val="23"/>
          <w:szCs w:val="23"/>
          <w:rtl/>
        </w:rPr>
        <w:t>ند</w:t>
      </w:r>
      <w:r w:rsidRPr="00FE433F">
        <w:rPr>
          <w:rFonts w:hint="cs"/>
          <w:i/>
          <w:sz w:val="23"/>
          <w:szCs w:val="23"/>
          <w:rtl/>
        </w:rPr>
        <w:t>،</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نشان</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دهد</w:t>
      </w:r>
      <w:r w:rsidRPr="00FE433F">
        <w:rPr>
          <w:i/>
          <w:sz w:val="23"/>
          <w:szCs w:val="23"/>
          <w:rtl/>
        </w:rPr>
        <w:t xml:space="preserve"> </w:t>
      </w:r>
      <w:r w:rsidRPr="00FE433F">
        <w:rPr>
          <w:rFonts w:hint="eastAsia"/>
          <w:i/>
          <w:sz w:val="23"/>
          <w:szCs w:val="23"/>
          <w:rtl/>
        </w:rPr>
        <w:t>تغ</w:t>
      </w:r>
      <w:r w:rsidRPr="00FE433F">
        <w:rPr>
          <w:rFonts w:hint="cs"/>
          <w:i/>
          <w:sz w:val="23"/>
          <w:szCs w:val="23"/>
          <w:rtl/>
        </w:rPr>
        <w:t>یی</w:t>
      </w:r>
      <w:r w:rsidRPr="00FE433F">
        <w:rPr>
          <w:rFonts w:hint="eastAsia"/>
          <w:i/>
          <w:sz w:val="23"/>
          <w:szCs w:val="23"/>
          <w:rtl/>
        </w:rPr>
        <w:t>رات</w:t>
      </w:r>
      <w:r w:rsidRPr="00FE433F">
        <w:rPr>
          <w:i/>
          <w:sz w:val="23"/>
          <w:szCs w:val="23"/>
          <w:rtl/>
        </w:rPr>
        <w:t xml:space="preserve"> </w:t>
      </w:r>
      <w:r w:rsidRPr="00FE433F">
        <w:rPr>
          <w:rFonts w:hint="eastAsia"/>
          <w:i/>
          <w:sz w:val="23"/>
          <w:szCs w:val="23"/>
          <w:rtl/>
        </w:rPr>
        <w:t>متناسب</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موجود</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اسم</w:t>
      </w:r>
      <w:r w:rsidRPr="00FE433F">
        <w:rPr>
          <w:rFonts w:hint="cs"/>
          <w:i/>
          <w:sz w:val="23"/>
          <w:szCs w:val="23"/>
          <w:rtl/>
        </w:rPr>
        <w:t>ی</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بنابرا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تورم،</w:t>
      </w:r>
      <w:r w:rsidRPr="00FE433F">
        <w:rPr>
          <w:i/>
          <w:sz w:val="23"/>
          <w:szCs w:val="23"/>
          <w:rtl/>
        </w:rPr>
        <w:t xml:space="preserve"> </w:t>
      </w:r>
      <w:r w:rsidRPr="00FE433F">
        <w:rPr>
          <w:rFonts w:hint="cs"/>
          <w:i/>
          <w:sz w:val="23"/>
          <w:szCs w:val="23"/>
          <w:rtl/>
        </w:rPr>
        <w:t xml:space="preserve">بر </w:t>
      </w:r>
      <w:r w:rsidRPr="00FE433F">
        <w:rPr>
          <w:rFonts w:hint="eastAsia"/>
          <w:i/>
          <w:sz w:val="23"/>
          <w:szCs w:val="23"/>
          <w:rtl/>
        </w:rPr>
        <w:t>متغ</w:t>
      </w:r>
      <w:r w:rsidRPr="00FE433F">
        <w:rPr>
          <w:rFonts w:hint="cs"/>
          <w:i/>
          <w:sz w:val="23"/>
          <w:szCs w:val="23"/>
          <w:rtl/>
        </w:rPr>
        <w:t>ی</w:t>
      </w:r>
      <w:r w:rsidRPr="00FE433F">
        <w:rPr>
          <w:rFonts w:hint="eastAsia"/>
          <w:i/>
          <w:sz w:val="23"/>
          <w:szCs w:val="23"/>
          <w:rtl/>
        </w:rPr>
        <w:t>رها</w:t>
      </w:r>
      <w:r w:rsidRPr="00FE433F">
        <w:rPr>
          <w:rFonts w:hint="cs"/>
          <w:i/>
          <w:sz w:val="23"/>
          <w:szCs w:val="23"/>
          <w:rtl/>
        </w:rPr>
        <w:t>ی</w:t>
      </w:r>
      <w:r w:rsidRPr="00FE433F">
        <w:rPr>
          <w:i/>
          <w:sz w:val="23"/>
          <w:szCs w:val="23"/>
          <w:rtl/>
        </w:rPr>
        <w:t xml:space="preserve">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eastAsia"/>
          <w:i/>
          <w:sz w:val="23"/>
          <w:szCs w:val="23"/>
          <w:rtl/>
        </w:rPr>
        <w:t>همانند</w:t>
      </w:r>
      <w:r w:rsidRPr="00FE433F">
        <w:rPr>
          <w:i/>
          <w:sz w:val="23"/>
          <w:szCs w:val="23"/>
          <w:rtl/>
        </w:rPr>
        <w:t xml:space="preserve"> </w:t>
      </w:r>
      <w:r w:rsidRPr="00FE433F">
        <w:rPr>
          <w:rFonts w:hint="eastAsia"/>
          <w:i/>
          <w:sz w:val="23"/>
          <w:szCs w:val="23"/>
          <w:rtl/>
        </w:rPr>
        <w:t>مصرف،</w:t>
      </w:r>
      <w:r w:rsidRPr="00FE433F">
        <w:rPr>
          <w:i/>
          <w:sz w:val="23"/>
          <w:szCs w:val="23"/>
          <w:rtl/>
        </w:rPr>
        <w:t xml:space="preserve"> </w:t>
      </w:r>
      <w:r w:rsidRPr="00FE433F">
        <w:rPr>
          <w:rFonts w:hint="eastAsia"/>
          <w:i/>
          <w:sz w:val="23"/>
          <w:szCs w:val="23"/>
          <w:rtl/>
        </w:rPr>
        <w:t>تول</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موجود</w:t>
      </w:r>
      <w:r w:rsidRPr="00FE433F">
        <w:rPr>
          <w:rFonts w:hint="cs"/>
          <w:i/>
          <w:sz w:val="23"/>
          <w:szCs w:val="23"/>
          <w:rtl/>
        </w:rPr>
        <w:t>ی</w:t>
      </w:r>
      <w:r w:rsidRPr="00FE433F">
        <w:rPr>
          <w:i/>
          <w:sz w:val="23"/>
          <w:szCs w:val="23"/>
          <w:rtl/>
        </w:rPr>
        <w:t xml:space="preserve"> </w:t>
      </w:r>
      <w:r w:rsidRPr="00FE433F">
        <w:rPr>
          <w:rFonts w:hint="eastAsia"/>
          <w:i/>
          <w:sz w:val="23"/>
          <w:szCs w:val="23"/>
          <w:rtl/>
        </w:rPr>
        <w:t>سرما</w:t>
      </w:r>
      <w:r w:rsidRPr="00FE433F">
        <w:rPr>
          <w:rFonts w:hint="cs"/>
          <w:i/>
          <w:sz w:val="23"/>
          <w:szCs w:val="23"/>
          <w:rtl/>
        </w:rPr>
        <w:t>ی</w:t>
      </w:r>
      <w:r w:rsidRPr="00FE433F">
        <w:rPr>
          <w:rFonts w:hint="eastAsia"/>
          <w:i/>
          <w:sz w:val="23"/>
          <w:szCs w:val="23"/>
          <w:rtl/>
        </w:rPr>
        <w:t>ه</w:t>
      </w:r>
      <w:r w:rsidRPr="00FE433F">
        <w:rPr>
          <w:i/>
          <w:sz w:val="23"/>
          <w:szCs w:val="23"/>
          <w:rtl/>
        </w:rPr>
        <w:t xml:space="preserve"> </w:t>
      </w:r>
      <w:r w:rsidRPr="00FE433F">
        <w:rPr>
          <w:rFonts w:hint="cs"/>
          <w:i/>
          <w:sz w:val="23"/>
          <w:szCs w:val="23"/>
          <w:rtl/>
        </w:rPr>
        <w:t>بی</w:t>
      </w:r>
      <w:r w:rsidRPr="00FE433F">
        <w:rPr>
          <w:i/>
          <w:sz w:val="23"/>
          <w:szCs w:val="23"/>
          <w:rtl/>
        </w:rPr>
        <w:softHyphen/>
      </w:r>
      <w:r w:rsidRPr="00FE433F">
        <w:rPr>
          <w:rFonts w:hint="cs"/>
          <w:i/>
          <w:sz w:val="23"/>
          <w:szCs w:val="23"/>
          <w:rtl/>
        </w:rPr>
        <w:t xml:space="preserve">تأثیر است. </w:t>
      </w:r>
      <w:r w:rsidRPr="00FE433F">
        <w:rPr>
          <w:rFonts w:hint="eastAsia"/>
          <w:i/>
          <w:sz w:val="23"/>
          <w:szCs w:val="23"/>
          <w:rtl/>
        </w:rPr>
        <w:t>در</w:t>
      </w:r>
      <w:r w:rsidRPr="00FE433F">
        <w:rPr>
          <w:i/>
          <w:sz w:val="23"/>
          <w:szCs w:val="23"/>
          <w:rtl/>
        </w:rPr>
        <w:t xml:space="preserve"> </w:t>
      </w:r>
      <w:r w:rsidRPr="00FE433F">
        <w:rPr>
          <w:rFonts w:hint="eastAsia"/>
          <w:i/>
          <w:sz w:val="23"/>
          <w:szCs w:val="23"/>
          <w:rtl/>
        </w:rPr>
        <w:t>مباحث</w:t>
      </w:r>
      <w:r w:rsidRPr="00FE433F">
        <w:rPr>
          <w:i/>
          <w:sz w:val="23"/>
          <w:szCs w:val="23"/>
          <w:rtl/>
        </w:rPr>
        <w:t xml:space="preserve"> </w:t>
      </w:r>
      <w:r w:rsidRPr="00FE433F">
        <w:rPr>
          <w:rFonts w:hint="eastAsia"/>
          <w:i/>
          <w:sz w:val="23"/>
          <w:szCs w:val="23"/>
          <w:rtl/>
        </w:rPr>
        <w:t>مربوط</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تقاضا</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rFonts w:hint="cs"/>
          <w:i/>
          <w:sz w:val="23"/>
          <w:szCs w:val="23"/>
          <w:rtl/>
        </w:rPr>
        <w:t>،</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اسم</w:t>
      </w:r>
      <w:r w:rsidRPr="00FE433F">
        <w:rPr>
          <w:rFonts w:hint="cs"/>
          <w:i/>
          <w:sz w:val="23"/>
          <w:szCs w:val="23"/>
          <w:rtl/>
        </w:rPr>
        <w:t>ی</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لحاظ</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شود</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بنظر</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رسد</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نگهدار</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اسم</w:t>
      </w:r>
      <w:r w:rsidRPr="00FE433F">
        <w:rPr>
          <w:rFonts w:hint="cs"/>
          <w:i/>
          <w:sz w:val="23"/>
          <w:szCs w:val="23"/>
          <w:rtl/>
        </w:rPr>
        <w:t>ی</w:t>
      </w:r>
      <w:r w:rsidRPr="00FE433F">
        <w:rPr>
          <w:i/>
          <w:sz w:val="23"/>
          <w:szCs w:val="23"/>
          <w:rtl/>
        </w:rPr>
        <w:t xml:space="preserve"> </w:t>
      </w:r>
      <w:r w:rsidRPr="00FE433F">
        <w:rPr>
          <w:rFonts w:hint="eastAsia"/>
          <w:i/>
          <w:sz w:val="23"/>
          <w:szCs w:val="23"/>
          <w:rtl/>
        </w:rPr>
        <w:t>منجر</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هز</w:t>
      </w:r>
      <w:r w:rsidRPr="00FE433F">
        <w:rPr>
          <w:rFonts w:hint="cs"/>
          <w:i/>
          <w:sz w:val="23"/>
          <w:szCs w:val="23"/>
          <w:rtl/>
        </w:rPr>
        <w:t>ی</w:t>
      </w:r>
      <w:r w:rsidRPr="00FE433F">
        <w:rPr>
          <w:rFonts w:hint="eastAsia"/>
          <w:i/>
          <w:sz w:val="23"/>
          <w:szCs w:val="23"/>
          <w:rtl/>
        </w:rPr>
        <w:t>نه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اقتصاد</w:t>
      </w:r>
      <w:r w:rsidRPr="00FE433F">
        <w:rPr>
          <w:i/>
          <w:sz w:val="23"/>
          <w:szCs w:val="23"/>
          <w:rtl/>
        </w:rPr>
        <w:t xml:space="preserve"> </w:t>
      </w:r>
      <w:r w:rsidRPr="00FE433F">
        <w:rPr>
          <w:rFonts w:hint="eastAsia"/>
          <w:i/>
          <w:sz w:val="23"/>
          <w:szCs w:val="23"/>
          <w:rtl/>
        </w:rPr>
        <w:t>شده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لذا</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اَبَر</w:t>
      </w:r>
      <w:r w:rsidRPr="00FE433F">
        <w:rPr>
          <w:i/>
          <w:sz w:val="23"/>
          <w:szCs w:val="23"/>
          <w:rtl/>
        </w:rPr>
        <w:t>-</w:t>
      </w:r>
      <w:r w:rsidRPr="00FE433F">
        <w:rPr>
          <w:rFonts w:hint="eastAsia"/>
          <w:i/>
          <w:sz w:val="23"/>
          <w:szCs w:val="23"/>
          <w:rtl/>
        </w:rPr>
        <w:t>خنث</w:t>
      </w:r>
      <w:r w:rsidRPr="00FE433F">
        <w:rPr>
          <w:rFonts w:hint="cs"/>
          <w:i/>
          <w:sz w:val="23"/>
          <w:szCs w:val="23"/>
          <w:rtl/>
        </w:rPr>
        <w:t>ی</w:t>
      </w:r>
      <w:r w:rsidRPr="00FE433F">
        <w:rPr>
          <w:i/>
          <w:sz w:val="23"/>
          <w:szCs w:val="23"/>
          <w:rtl/>
        </w:rPr>
        <w:t xml:space="preserve"> </w:t>
      </w:r>
      <w:r w:rsidRPr="00FE433F">
        <w:rPr>
          <w:rFonts w:hint="eastAsia"/>
          <w:i/>
          <w:sz w:val="23"/>
          <w:szCs w:val="23"/>
          <w:rtl/>
        </w:rPr>
        <w:t>ن</w:t>
      </w:r>
      <w:r w:rsidRPr="00FE433F">
        <w:rPr>
          <w:rFonts w:hint="cs"/>
          <w:i/>
          <w:sz w:val="23"/>
          <w:szCs w:val="23"/>
          <w:rtl/>
        </w:rPr>
        <w:t>ی</w:t>
      </w:r>
      <w:r w:rsidRPr="00FE433F">
        <w:rPr>
          <w:rFonts w:hint="eastAsia"/>
          <w:i/>
          <w:sz w:val="23"/>
          <w:szCs w:val="23"/>
          <w:rtl/>
        </w:rPr>
        <w:t>ست</w:t>
      </w:r>
      <w:r w:rsidRPr="00FE433F">
        <w:rPr>
          <w:i/>
          <w:sz w:val="23"/>
          <w:szCs w:val="23"/>
          <w:rtl/>
        </w:rPr>
        <w:t xml:space="preserve">. </w:t>
      </w:r>
      <w:r w:rsidRPr="00FE433F">
        <w:rPr>
          <w:rFonts w:hint="eastAsia"/>
          <w:i/>
          <w:sz w:val="23"/>
          <w:szCs w:val="23"/>
          <w:rtl/>
        </w:rPr>
        <w:t>مشکل</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ت</w:t>
      </w:r>
      <w:r w:rsidRPr="00FE433F">
        <w:rPr>
          <w:rFonts w:hint="cs"/>
          <w:i/>
          <w:sz w:val="23"/>
          <w:szCs w:val="23"/>
          <w:rtl/>
        </w:rPr>
        <w:t>حلیل</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مسئله</w:t>
      </w:r>
      <w:r w:rsidRPr="00FE433F">
        <w:rPr>
          <w:i/>
          <w:sz w:val="23"/>
          <w:szCs w:val="23"/>
          <w:rtl/>
        </w:rPr>
        <w:t xml:space="preserve"> </w:t>
      </w:r>
      <w:r w:rsidRPr="00FE433F">
        <w:rPr>
          <w:rFonts w:hint="eastAsia"/>
          <w:i/>
          <w:sz w:val="23"/>
          <w:szCs w:val="23"/>
          <w:rtl/>
        </w:rPr>
        <w:t>فقط</w:t>
      </w:r>
      <w:r w:rsidRPr="00FE433F">
        <w:rPr>
          <w:i/>
          <w:sz w:val="23"/>
          <w:szCs w:val="23"/>
          <w:rtl/>
        </w:rPr>
        <w:t xml:space="preserve"> </w:t>
      </w:r>
      <w:r w:rsidRPr="00FE433F">
        <w:rPr>
          <w:rFonts w:hint="eastAsia"/>
          <w:i/>
          <w:sz w:val="23"/>
          <w:szCs w:val="23"/>
          <w:rtl/>
        </w:rPr>
        <w:t>بر</w:t>
      </w:r>
      <w:r w:rsidRPr="00FE433F">
        <w:rPr>
          <w:i/>
          <w:sz w:val="23"/>
          <w:szCs w:val="23"/>
          <w:rtl/>
        </w:rPr>
        <w:t xml:space="preserve"> </w:t>
      </w:r>
      <w:r w:rsidRPr="00FE433F">
        <w:rPr>
          <w:rFonts w:hint="eastAsia"/>
          <w:i/>
          <w:sz w:val="23"/>
          <w:szCs w:val="23"/>
          <w:rtl/>
        </w:rPr>
        <w:t>مبنا</w:t>
      </w:r>
      <w:r w:rsidRPr="00FE433F">
        <w:rPr>
          <w:rFonts w:hint="cs"/>
          <w:i/>
          <w:sz w:val="23"/>
          <w:szCs w:val="23"/>
          <w:rtl/>
        </w:rPr>
        <w:t>ی</w:t>
      </w:r>
      <w:r w:rsidRPr="00FE433F">
        <w:rPr>
          <w:i/>
          <w:sz w:val="23"/>
          <w:szCs w:val="23"/>
          <w:rtl/>
        </w:rPr>
        <w:t xml:space="preserve"> </w:t>
      </w:r>
      <w:r w:rsidRPr="00FE433F">
        <w:rPr>
          <w:rFonts w:hint="eastAsia"/>
          <w:i/>
          <w:sz w:val="23"/>
          <w:szCs w:val="23"/>
          <w:rtl/>
        </w:rPr>
        <w:t>تصم</w:t>
      </w:r>
      <w:r w:rsidRPr="00FE433F">
        <w:rPr>
          <w:rFonts w:hint="cs"/>
          <w:i/>
          <w:sz w:val="23"/>
          <w:szCs w:val="23"/>
          <w:rtl/>
        </w:rPr>
        <w:t>ی</w:t>
      </w:r>
      <w:r w:rsidRPr="00FE433F">
        <w:rPr>
          <w:rFonts w:hint="eastAsia"/>
          <w:i/>
          <w:sz w:val="23"/>
          <w:szCs w:val="23"/>
          <w:rtl/>
        </w:rPr>
        <w:t>مات</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منجر</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تعادل</w:t>
      </w:r>
      <w:r w:rsidRPr="00FE433F">
        <w:rPr>
          <w:i/>
          <w:sz w:val="23"/>
          <w:szCs w:val="23"/>
          <w:rtl/>
        </w:rPr>
        <w:t xml:space="preserve"> </w:t>
      </w:r>
      <w:r w:rsidRPr="00FE433F">
        <w:rPr>
          <w:rFonts w:hint="eastAsia"/>
          <w:i/>
          <w:sz w:val="23"/>
          <w:szCs w:val="23"/>
          <w:rtl/>
        </w:rPr>
        <w:t>جز</w:t>
      </w:r>
      <w:r w:rsidRPr="00FE433F">
        <w:rPr>
          <w:rFonts w:hint="cs"/>
          <w:i/>
          <w:sz w:val="23"/>
          <w:szCs w:val="23"/>
          <w:rtl/>
        </w:rPr>
        <w:t>یی</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نه</w:t>
      </w:r>
      <w:r w:rsidRPr="00FE433F">
        <w:rPr>
          <w:i/>
          <w:sz w:val="23"/>
          <w:szCs w:val="23"/>
          <w:rtl/>
        </w:rPr>
        <w:t xml:space="preserve"> </w:t>
      </w:r>
      <w:r w:rsidRPr="00FE433F">
        <w:rPr>
          <w:rFonts w:hint="eastAsia"/>
          <w:i/>
          <w:sz w:val="23"/>
          <w:szCs w:val="23"/>
          <w:rtl/>
        </w:rPr>
        <w:t>تعادل</w:t>
      </w:r>
      <w:r w:rsidRPr="00FE433F">
        <w:rPr>
          <w:i/>
          <w:sz w:val="23"/>
          <w:szCs w:val="23"/>
          <w:rtl/>
        </w:rPr>
        <w:t xml:space="preserve"> </w:t>
      </w:r>
      <w:r w:rsidRPr="00FE433F">
        <w:rPr>
          <w:rFonts w:hint="eastAsia"/>
          <w:i/>
          <w:sz w:val="23"/>
          <w:szCs w:val="23"/>
          <w:rtl/>
        </w:rPr>
        <w:t>عموم</w:t>
      </w:r>
      <w:r w:rsidRPr="00FE433F">
        <w:rPr>
          <w:rFonts w:hint="cs"/>
          <w:i/>
          <w:sz w:val="23"/>
          <w:szCs w:val="23"/>
          <w:rtl/>
        </w:rPr>
        <w:t>ی</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کل</w:t>
      </w:r>
      <w:r w:rsidRPr="00FE433F">
        <w:rPr>
          <w:i/>
          <w:sz w:val="23"/>
          <w:szCs w:val="23"/>
          <w:rtl/>
        </w:rPr>
        <w:t xml:space="preserve"> </w:t>
      </w:r>
      <w:r w:rsidRPr="00FE433F">
        <w:rPr>
          <w:rFonts w:hint="eastAsia"/>
          <w:i/>
          <w:sz w:val="23"/>
          <w:szCs w:val="23"/>
          <w:rtl/>
        </w:rPr>
        <w:t>اقتصاد</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شود</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بررس</w:t>
      </w:r>
      <w:r w:rsidRPr="00FE433F">
        <w:rPr>
          <w:rFonts w:hint="cs"/>
          <w:i/>
          <w:sz w:val="23"/>
          <w:szCs w:val="23"/>
          <w:rtl/>
        </w:rPr>
        <w:t>ی</w:t>
      </w:r>
      <w:r w:rsidRPr="00FE433F">
        <w:rPr>
          <w:i/>
          <w:sz w:val="23"/>
          <w:szCs w:val="23"/>
          <w:rtl/>
        </w:rPr>
        <w:t xml:space="preserve"> </w:t>
      </w:r>
      <w:r w:rsidRPr="00FE433F">
        <w:rPr>
          <w:rFonts w:hint="eastAsia"/>
          <w:i/>
          <w:sz w:val="23"/>
          <w:szCs w:val="23"/>
          <w:rtl/>
        </w:rPr>
        <w:t>اَبَر</w:t>
      </w:r>
      <w:r w:rsidRPr="00FE433F">
        <w:rPr>
          <w:i/>
          <w:sz w:val="23"/>
          <w:szCs w:val="23"/>
          <w:rtl/>
        </w:rPr>
        <w:t xml:space="preserve"> </w:t>
      </w:r>
      <w:r w:rsidRPr="00FE433F">
        <w:rPr>
          <w:rFonts w:hint="eastAsia"/>
          <w:i/>
          <w:sz w:val="23"/>
          <w:szCs w:val="23"/>
          <w:rtl/>
        </w:rPr>
        <w:t>خنث</w:t>
      </w:r>
      <w:r w:rsidRPr="00FE433F">
        <w:rPr>
          <w:rFonts w:hint="cs"/>
          <w:i/>
          <w:sz w:val="23"/>
          <w:szCs w:val="23"/>
          <w:rtl/>
        </w:rPr>
        <w:t>ی</w:t>
      </w:r>
      <w:r w:rsidRPr="00FE433F">
        <w:rPr>
          <w:i/>
          <w:sz w:val="23"/>
          <w:szCs w:val="23"/>
          <w:rtl/>
        </w:rPr>
        <w:t xml:space="preserve"> </w:t>
      </w:r>
      <w:r w:rsidRPr="00FE433F">
        <w:rPr>
          <w:rFonts w:hint="eastAsia"/>
          <w:i/>
          <w:sz w:val="23"/>
          <w:szCs w:val="23"/>
          <w:rtl/>
        </w:rPr>
        <w:t>بودن</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با</w:t>
      </w:r>
      <w:r w:rsidRPr="00FE433F">
        <w:rPr>
          <w:rFonts w:hint="cs"/>
          <w:i/>
          <w:sz w:val="23"/>
          <w:szCs w:val="23"/>
          <w:rtl/>
        </w:rPr>
        <w:t>ی</w:t>
      </w:r>
      <w:r w:rsidRPr="00FE433F">
        <w:rPr>
          <w:rFonts w:hint="eastAsia"/>
          <w:i/>
          <w:sz w:val="23"/>
          <w:szCs w:val="23"/>
          <w:rtl/>
        </w:rPr>
        <w:t>ست</w:t>
      </w:r>
      <w:r w:rsidRPr="00FE433F">
        <w:rPr>
          <w:i/>
          <w:sz w:val="23"/>
          <w:szCs w:val="23"/>
          <w:rtl/>
        </w:rPr>
        <w:t xml:space="preserve"> </w:t>
      </w:r>
      <w:r w:rsidRPr="00FE433F">
        <w:rPr>
          <w:rFonts w:hint="eastAsia"/>
          <w:i/>
          <w:sz w:val="23"/>
          <w:szCs w:val="23"/>
          <w:rtl/>
        </w:rPr>
        <w:t>مدل</w:t>
      </w:r>
      <w:r w:rsidRPr="00FE433F">
        <w:rPr>
          <w:i/>
          <w:sz w:val="23"/>
          <w:szCs w:val="23"/>
          <w:rtl/>
        </w:rPr>
        <w:t xml:space="preserve"> </w:t>
      </w:r>
      <w:r w:rsidRPr="00FE433F">
        <w:rPr>
          <w:rFonts w:hint="eastAsia"/>
          <w:i/>
          <w:sz w:val="23"/>
          <w:szCs w:val="23"/>
          <w:rtl/>
        </w:rPr>
        <w:t>کامل</w:t>
      </w:r>
      <w:r w:rsidRPr="00FE433F">
        <w:rPr>
          <w:i/>
          <w:sz w:val="23"/>
          <w:szCs w:val="23"/>
          <w:rtl/>
        </w:rPr>
        <w:t xml:space="preserve"> </w:t>
      </w:r>
      <w:r w:rsidRPr="00FE433F">
        <w:rPr>
          <w:rFonts w:hint="eastAsia"/>
          <w:i/>
          <w:sz w:val="23"/>
          <w:szCs w:val="23"/>
          <w:rtl/>
        </w:rPr>
        <w:t>اقتصاد</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مورد</w:t>
      </w:r>
      <w:r w:rsidRPr="00FE433F">
        <w:rPr>
          <w:i/>
          <w:sz w:val="23"/>
          <w:szCs w:val="23"/>
          <w:rtl/>
        </w:rPr>
        <w:t xml:space="preserve"> </w:t>
      </w:r>
      <w:r w:rsidRPr="00FE433F">
        <w:rPr>
          <w:rFonts w:hint="eastAsia"/>
          <w:i/>
          <w:sz w:val="23"/>
          <w:szCs w:val="23"/>
          <w:rtl/>
        </w:rPr>
        <w:t>بررس</w:t>
      </w:r>
      <w:r w:rsidRPr="00FE433F">
        <w:rPr>
          <w:rFonts w:hint="cs"/>
          <w:i/>
          <w:sz w:val="23"/>
          <w:szCs w:val="23"/>
          <w:rtl/>
        </w:rPr>
        <w:t>ی</w:t>
      </w:r>
      <w:r w:rsidRPr="00FE433F">
        <w:rPr>
          <w:i/>
          <w:sz w:val="23"/>
          <w:szCs w:val="23"/>
          <w:rtl/>
        </w:rPr>
        <w:t xml:space="preserve"> </w:t>
      </w:r>
      <w:r w:rsidRPr="00FE433F">
        <w:rPr>
          <w:rFonts w:hint="eastAsia"/>
          <w:i/>
          <w:sz w:val="23"/>
          <w:szCs w:val="23"/>
          <w:rtl/>
        </w:rPr>
        <w:t>قرار</w:t>
      </w:r>
      <w:r w:rsidRPr="00FE433F">
        <w:rPr>
          <w:i/>
          <w:sz w:val="23"/>
          <w:szCs w:val="23"/>
          <w:rtl/>
        </w:rPr>
        <w:t xml:space="preserve"> </w:t>
      </w:r>
      <w:r w:rsidRPr="00FE433F">
        <w:rPr>
          <w:rFonts w:hint="eastAsia"/>
          <w:i/>
          <w:sz w:val="23"/>
          <w:szCs w:val="23"/>
          <w:rtl/>
        </w:rPr>
        <w:t>ده</w:t>
      </w:r>
      <w:r w:rsidRPr="00FE433F">
        <w:rPr>
          <w:rFonts w:hint="cs"/>
          <w:i/>
          <w:sz w:val="23"/>
          <w:szCs w:val="23"/>
          <w:rtl/>
        </w:rPr>
        <w:t>ی</w:t>
      </w:r>
      <w:r w:rsidRPr="00FE433F">
        <w:rPr>
          <w:rFonts w:hint="eastAsia"/>
          <w:i/>
          <w:sz w:val="23"/>
          <w:szCs w:val="23"/>
          <w:rtl/>
        </w:rPr>
        <w:t>م</w:t>
      </w:r>
      <w:r w:rsidRPr="00FE433F">
        <w:rPr>
          <w:i/>
          <w:sz w:val="23"/>
          <w:szCs w:val="23"/>
          <w:rtl/>
        </w:rPr>
        <w:t xml:space="preserve">. </w:t>
      </w:r>
    </w:p>
    <w:p w14:paraId="052B9027" w14:textId="77777777" w:rsidR="00411620" w:rsidRPr="00FE433F" w:rsidRDefault="00411620" w:rsidP="00411620">
      <w:pPr>
        <w:spacing w:line="216" w:lineRule="auto"/>
        <w:rPr>
          <w:i/>
          <w:sz w:val="23"/>
          <w:szCs w:val="23"/>
          <w:rtl/>
        </w:rPr>
      </w:pP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i/>
          <w:sz w:val="23"/>
          <w:szCs w:val="23"/>
          <w:rtl/>
        </w:rPr>
        <w:softHyphen/>
      </w:r>
      <w:r w:rsidRPr="00FE433F">
        <w:rPr>
          <w:rFonts w:hint="cs"/>
          <w:i/>
          <w:sz w:val="23"/>
          <w:szCs w:val="23"/>
          <w:rtl/>
        </w:rPr>
        <w:t>ی</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نشان</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دهد</w:t>
      </w:r>
      <w:r w:rsidRPr="00FE433F">
        <w:rPr>
          <w:i/>
          <w:sz w:val="23"/>
          <w:szCs w:val="23"/>
          <w:rtl/>
        </w:rPr>
        <w:t xml:space="preserve"> </w:t>
      </w:r>
      <w:r w:rsidRPr="00FE433F">
        <w:rPr>
          <w:rFonts w:hint="eastAsia"/>
          <w:i/>
          <w:sz w:val="23"/>
          <w:szCs w:val="23"/>
          <w:rtl/>
        </w:rPr>
        <w:t>وقت</w:t>
      </w:r>
      <w:r w:rsidRPr="00FE433F">
        <w:rPr>
          <w:rFonts w:hint="cs"/>
          <w:i/>
          <w:sz w:val="23"/>
          <w:szCs w:val="23"/>
          <w:rtl/>
        </w:rPr>
        <w:t>ی</w:t>
      </w:r>
      <w:r w:rsidRPr="00FE433F">
        <w:rPr>
          <w:i/>
          <w:sz w:val="23"/>
          <w:szCs w:val="23"/>
          <w:rtl/>
        </w:rPr>
        <w:t xml:space="preserve"> </w:t>
      </w:r>
      <w:r w:rsidRPr="00FE433F">
        <w:rPr>
          <w:rFonts w:hint="eastAsia"/>
          <w:i/>
          <w:sz w:val="23"/>
          <w:szCs w:val="23"/>
          <w:rtl/>
        </w:rPr>
        <w:t>تورم</w:t>
      </w:r>
      <w:r w:rsidRPr="00FE433F">
        <w:rPr>
          <w:i/>
          <w:sz w:val="23"/>
          <w:szCs w:val="23"/>
          <w:rtl/>
        </w:rPr>
        <w:t xml:space="preserve"> </w:t>
      </w:r>
      <w:r w:rsidRPr="00FE433F">
        <w:rPr>
          <w:rFonts w:hint="eastAsia"/>
          <w:i/>
          <w:sz w:val="23"/>
          <w:szCs w:val="23"/>
          <w:rtl/>
        </w:rPr>
        <w:t>مثبت</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نگهدار</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cs"/>
          <w:i/>
          <w:sz w:val="23"/>
          <w:szCs w:val="23"/>
          <w:rtl/>
        </w:rPr>
        <w:t>باعث</w:t>
      </w:r>
      <w:r w:rsidRPr="00FE433F">
        <w:rPr>
          <w:i/>
          <w:sz w:val="23"/>
          <w:szCs w:val="23"/>
          <w:rtl/>
        </w:rPr>
        <w:t xml:space="preserve"> </w:t>
      </w:r>
      <w:r w:rsidRPr="00FE433F">
        <w:rPr>
          <w:rFonts w:hint="eastAsia"/>
          <w:i/>
          <w:sz w:val="23"/>
          <w:szCs w:val="23"/>
          <w:rtl/>
        </w:rPr>
        <w:t>کاهش</w:t>
      </w:r>
      <w:r w:rsidRPr="00FE433F">
        <w:rPr>
          <w:i/>
          <w:sz w:val="23"/>
          <w:szCs w:val="23"/>
          <w:rtl/>
        </w:rPr>
        <w:t xml:space="preserve"> </w:t>
      </w:r>
      <w:r w:rsidRPr="00FE433F">
        <w:rPr>
          <w:rFonts w:hint="eastAsia"/>
          <w:i/>
          <w:sz w:val="23"/>
          <w:szCs w:val="23"/>
          <w:rtl/>
        </w:rPr>
        <w:t>ثروت</w:t>
      </w:r>
      <w:r w:rsidRPr="00FE433F">
        <w:rPr>
          <w:i/>
          <w:sz w:val="23"/>
          <w:szCs w:val="23"/>
          <w:rtl/>
        </w:rPr>
        <w:t xml:space="preserve"> </w:t>
      </w:r>
      <w:r w:rsidRPr="00FE433F">
        <w:rPr>
          <w:rFonts w:hint="eastAsia"/>
          <w:i/>
          <w:sz w:val="23"/>
          <w:szCs w:val="23"/>
          <w:rtl/>
        </w:rPr>
        <w:t>مال</w:t>
      </w:r>
      <w:r w:rsidRPr="00FE433F">
        <w:rPr>
          <w:rFonts w:hint="cs"/>
          <w:i/>
          <w:sz w:val="23"/>
          <w:szCs w:val="23"/>
          <w:rtl/>
        </w:rPr>
        <w:t>ی</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شده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هز</w:t>
      </w:r>
      <w:r w:rsidRPr="00FE433F">
        <w:rPr>
          <w:rFonts w:hint="cs"/>
          <w:i/>
          <w:sz w:val="23"/>
          <w:szCs w:val="23"/>
          <w:rtl/>
        </w:rPr>
        <w:t>ی</w:t>
      </w:r>
      <w:r w:rsidRPr="00FE433F">
        <w:rPr>
          <w:rFonts w:hint="eastAsia"/>
          <w:i/>
          <w:sz w:val="23"/>
          <w:szCs w:val="23"/>
          <w:rtl/>
        </w:rPr>
        <w:t>نه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افزا</w:t>
      </w:r>
      <w:r w:rsidRPr="00FE433F">
        <w:rPr>
          <w:rFonts w:hint="cs"/>
          <w:i/>
          <w:sz w:val="23"/>
          <w:szCs w:val="23"/>
          <w:rtl/>
        </w:rPr>
        <w:t>ی</w:t>
      </w:r>
      <w:r w:rsidRPr="00FE433F">
        <w:rPr>
          <w:rFonts w:hint="eastAsia"/>
          <w:i/>
          <w:sz w:val="23"/>
          <w:szCs w:val="23"/>
          <w:rtl/>
        </w:rPr>
        <w:t>ش</w:t>
      </w:r>
      <w:r w:rsidRPr="00FE433F">
        <w:rPr>
          <w:i/>
          <w:sz w:val="23"/>
          <w:szCs w:val="23"/>
          <w:rtl/>
        </w:rPr>
        <w:t xml:space="preserve"> </w:t>
      </w:r>
      <w:r w:rsidRPr="00FE433F">
        <w:rPr>
          <w:rFonts w:hint="eastAsia"/>
          <w:i/>
          <w:sz w:val="23"/>
          <w:szCs w:val="23"/>
          <w:rtl/>
        </w:rPr>
        <w:t>خواهد</w:t>
      </w:r>
      <w:r w:rsidRPr="00FE433F">
        <w:rPr>
          <w:i/>
          <w:sz w:val="23"/>
          <w:szCs w:val="23"/>
          <w:rtl/>
        </w:rPr>
        <w:t xml:space="preserve"> </w:t>
      </w:r>
      <w:r w:rsidRPr="00FE433F">
        <w:rPr>
          <w:rFonts w:hint="eastAsia"/>
          <w:i/>
          <w:sz w:val="23"/>
          <w:szCs w:val="23"/>
          <w:rtl/>
        </w:rPr>
        <w:t>داد</w:t>
      </w:r>
      <w:r w:rsidRPr="00FE433F">
        <w:rPr>
          <w:i/>
          <w:sz w:val="23"/>
          <w:szCs w:val="23"/>
          <w:rtl/>
        </w:rPr>
        <w:t xml:space="preserve">. </w:t>
      </w:r>
      <w:r w:rsidRPr="00FE433F">
        <w:rPr>
          <w:rFonts w:hint="eastAsia"/>
          <w:i/>
          <w:sz w:val="23"/>
          <w:szCs w:val="23"/>
          <w:rtl/>
        </w:rPr>
        <w:t>صرفه</w:t>
      </w:r>
      <w:r w:rsidRPr="00FE433F">
        <w:rPr>
          <w:i/>
          <w:sz w:val="23"/>
          <w:szCs w:val="23"/>
          <w:rtl/>
        </w:rPr>
        <w:softHyphen/>
      </w:r>
      <w:r w:rsidRPr="00FE433F">
        <w:rPr>
          <w:rFonts w:hint="eastAsia"/>
          <w:i/>
          <w:sz w:val="23"/>
          <w:szCs w:val="23"/>
          <w:rtl/>
        </w:rPr>
        <w:t>جو</w:t>
      </w:r>
      <w:r w:rsidRPr="00FE433F">
        <w:rPr>
          <w:rFonts w:hint="cs"/>
          <w:i/>
          <w:sz w:val="23"/>
          <w:szCs w:val="23"/>
          <w:rtl/>
        </w:rPr>
        <w:t>یی</w:t>
      </w:r>
      <w:r w:rsidRPr="00FE433F">
        <w:rPr>
          <w:i/>
          <w:sz w:val="23"/>
          <w:szCs w:val="23"/>
          <w:rtl/>
        </w:rPr>
        <w:t xml:space="preserve"> </w:t>
      </w:r>
      <w:r w:rsidRPr="00FE433F">
        <w:rPr>
          <w:rFonts w:hint="cs"/>
          <w:i/>
          <w:sz w:val="23"/>
          <w:szCs w:val="23"/>
          <w:rtl/>
        </w:rPr>
        <w:t xml:space="preserve">خانوار </w:t>
      </w:r>
      <w:r w:rsidRPr="00FE433F">
        <w:rPr>
          <w:rFonts w:hint="eastAsia"/>
          <w:i/>
          <w:sz w:val="23"/>
          <w:szCs w:val="23"/>
          <w:rtl/>
        </w:rPr>
        <w:t>در</w:t>
      </w:r>
      <w:r w:rsidRPr="00FE433F">
        <w:rPr>
          <w:i/>
          <w:sz w:val="23"/>
          <w:szCs w:val="23"/>
          <w:rtl/>
        </w:rPr>
        <w:t xml:space="preserve"> </w:t>
      </w:r>
      <w:r w:rsidRPr="00FE433F">
        <w:rPr>
          <w:rFonts w:hint="cs"/>
          <w:i/>
          <w:sz w:val="23"/>
          <w:szCs w:val="23"/>
          <w:rtl/>
        </w:rPr>
        <w:t>نگهداری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نظر</w:t>
      </w:r>
      <w:r w:rsidRPr="00FE433F">
        <w:rPr>
          <w:i/>
          <w:sz w:val="23"/>
          <w:szCs w:val="23"/>
          <w:rtl/>
        </w:rPr>
        <w:t xml:space="preserve"> </w:t>
      </w:r>
      <w:r w:rsidRPr="00FE433F">
        <w:rPr>
          <w:rFonts w:hint="eastAsia"/>
          <w:i/>
          <w:sz w:val="23"/>
          <w:szCs w:val="23"/>
          <w:rtl/>
        </w:rPr>
        <w:t>گرفتن</w:t>
      </w:r>
      <w:r w:rsidRPr="00FE433F">
        <w:rPr>
          <w:i/>
          <w:sz w:val="23"/>
          <w:szCs w:val="23"/>
          <w:rtl/>
        </w:rPr>
        <w:t xml:space="preserve"> </w:t>
      </w:r>
      <w:r w:rsidRPr="00FE433F">
        <w:rPr>
          <w:rFonts w:hint="eastAsia"/>
          <w:i/>
          <w:sz w:val="23"/>
          <w:szCs w:val="23"/>
          <w:rtl/>
        </w:rPr>
        <w:t>ز</w:t>
      </w:r>
      <w:r w:rsidRPr="00FE433F">
        <w:rPr>
          <w:rFonts w:hint="cs"/>
          <w:i/>
          <w:sz w:val="23"/>
          <w:szCs w:val="23"/>
          <w:rtl/>
        </w:rPr>
        <w:t>ی</w:t>
      </w:r>
      <w:r w:rsidRPr="00FE433F">
        <w:rPr>
          <w:rFonts w:hint="eastAsia"/>
          <w:i/>
          <w:sz w:val="23"/>
          <w:szCs w:val="23"/>
          <w:rtl/>
        </w:rPr>
        <w:t>ان</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دست</w:t>
      </w:r>
      <w:r w:rsidRPr="00FE433F">
        <w:rPr>
          <w:i/>
          <w:sz w:val="23"/>
          <w:szCs w:val="23"/>
          <w:rtl/>
        </w:rPr>
        <w:t xml:space="preserve"> </w:t>
      </w:r>
      <w:r w:rsidRPr="00FE433F">
        <w:rPr>
          <w:rFonts w:hint="eastAsia"/>
          <w:i/>
          <w:sz w:val="23"/>
          <w:szCs w:val="23"/>
          <w:rtl/>
        </w:rPr>
        <w:t>دادن</w:t>
      </w:r>
      <w:r w:rsidRPr="00FE433F">
        <w:rPr>
          <w:i/>
          <w:sz w:val="23"/>
          <w:szCs w:val="23"/>
          <w:rtl/>
        </w:rPr>
        <w:t xml:space="preserve"> </w:t>
      </w:r>
      <w:r w:rsidRPr="00FE433F">
        <w:rPr>
          <w:rFonts w:hint="eastAsia"/>
          <w:i/>
          <w:sz w:val="23"/>
          <w:szCs w:val="23"/>
          <w:rtl/>
        </w:rPr>
        <w:t>بهره</w:t>
      </w:r>
      <w:r w:rsidRPr="00FE433F">
        <w:rPr>
          <w:rFonts w:hint="cs"/>
          <w:i/>
          <w:sz w:val="23"/>
          <w:szCs w:val="23"/>
          <w:rtl/>
        </w:rPr>
        <w:t>،</w:t>
      </w:r>
      <w:r w:rsidRPr="00FE433F">
        <w:rPr>
          <w:i/>
          <w:sz w:val="23"/>
          <w:szCs w:val="23"/>
          <w:rtl/>
        </w:rPr>
        <w:t xml:space="preserve"> </w:t>
      </w:r>
      <w:r w:rsidRPr="00FE433F">
        <w:rPr>
          <w:rFonts w:hint="eastAsia"/>
          <w:i/>
          <w:sz w:val="23"/>
          <w:szCs w:val="23"/>
          <w:rtl/>
        </w:rPr>
        <w:t>باعث</w:t>
      </w:r>
      <w:r w:rsidRPr="00FE433F">
        <w:rPr>
          <w:i/>
          <w:sz w:val="23"/>
          <w:szCs w:val="23"/>
          <w:rtl/>
        </w:rPr>
        <w:t xml:space="preserve"> </w:t>
      </w:r>
      <w:r w:rsidRPr="00FE433F">
        <w:rPr>
          <w:rFonts w:hint="eastAsia"/>
          <w:i/>
          <w:sz w:val="23"/>
          <w:szCs w:val="23"/>
          <w:rtl/>
        </w:rPr>
        <w:t>کاهش</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ز</w:t>
      </w:r>
      <w:r w:rsidRPr="00FE433F">
        <w:rPr>
          <w:rFonts w:hint="cs"/>
          <w:i/>
          <w:sz w:val="23"/>
          <w:szCs w:val="23"/>
          <w:rtl/>
        </w:rPr>
        <w:t>ی</w:t>
      </w:r>
      <w:r w:rsidRPr="00FE433F">
        <w:rPr>
          <w:rFonts w:hint="eastAsia"/>
          <w:i/>
          <w:sz w:val="23"/>
          <w:szCs w:val="23"/>
          <w:rtl/>
        </w:rPr>
        <w:t>ان</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نه</w:t>
      </w:r>
      <w:r w:rsidRPr="00FE433F">
        <w:rPr>
          <w:i/>
          <w:sz w:val="23"/>
          <w:szCs w:val="23"/>
          <w:rtl/>
        </w:rPr>
        <w:t xml:space="preserve"> </w:t>
      </w:r>
      <w:r w:rsidRPr="00FE433F">
        <w:rPr>
          <w:rFonts w:hint="eastAsia"/>
          <w:i/>
          <w:sz w:val="23"/>
          <w:szCs w:val="23"/>
          <w:rtl/>
        </w:rPr>
        <w:t>حذف</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خواهد</w:t>
      </w:r>
      <w:r w:rsidRPr="00FE433F">
        <w:rPr>
          <w:i/>
          <w:sz w:val="23"/>
          <w:szCs w:val="23"/>
          <w:rtl/>
        </w:rPr>
        <w:t xml:space="preserve"> </w:t>
      </w:r>
      <w:r w:rsidRPr="00FE433F">
        <w:rPr>
          <w:rFonts w:hint="eastAsia"/>
          <w:i/>
          <w:sz w:val="23"/>
          <w:szCs w:val="23"/>
          <w:rtl/>
        </w:rPr>
        <w:t>شد</w:t>
      </w:r>
      <w:r w:rsidRPr="00FE433F">
        <w:rPr>
          <w:i/>
          <w:sz w:val="23"/>
          <w:szCs w:val="23"/>
          <w:rtl/>
        </w:rPr>
        <w:t>.</w:t>
      </w:r>
      <w:r w:rsidRPr="00FE433F">
        <w:rPr>
          <w:rFonts w:hint="cs"/>
          <w:i/>
          <w:sz w:val="23"/>
          <w:szCs w:val="23"/>
          <w:rtl/>
        </w:rPr>
        <w:t xml:space="preserve"> از طرفی دیگر </w:t>
      </w:r>
      <w:r w:rsidRPr="00FE433F">
        <w:rPr>
          <w:rFonts w:hint="eastAsia"/>
          <w:i/>
          <w:sz w:val="23"/>
          <w:szCs w:val="23"/>
          <w:rtl/>
        </w:rPr>
        <w:t>درآمدها</w:t>
      </w:r>
      <w:r w:rsidRPr="00FE433F">
        <w:rPr>
          <w:rFonts w:hint="cs"/>
          <w:i/>
          <w:sz w:val="23"/>
          <w:szCs w:val="23"/>
          <w:rtl/>
        </w:rPr>
        <w:t>ی</w:t>
      </w:r>
      <w:r w:rsidRPr="00FE433F">
        <w:rPr>
          <w:i/>
          <w:sz w:val="23"/>
          <w:szCs w:val="23"/>
          <w:rtl/>
        </w:rPr>
        <w:t xml:space="preserve"> </w:t>
      </w:r>
      <w:r w:rsidRPr="00FE433F">
        <w:rPr>
          <w:rFonts w:hint="eastAsia"/>
          <w:i/>
          <w:sz w:val="23"/>
          <w:szCs w:val="23"/>
          <w:rtl/>
        </w:rPr>
        <w:t>حق</w:t>
      </w:r>
      <w:r w:rsidRPr="00FE433F">
        <w:rPr>
          <w:i/>
          <w:sz w:val="23"/>
          <w:szCs w:val="23"/>
          <w:rtl/>
        </w:rPr>
        <w:softHyphen/>
      </w:r>
      <w:r w:rsidRPr="00FE433F">
        <w:rPr>
          <w:rFonts w:hint="eastAsia"/>
          <w:i/>
          <w:sz w:val="23"/>
          <w:szCs w:val="23"/>
          <w:rtl/>
        </w:rPr>
        <w:t>الضرب</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cs"/>
          <w:i/>
          <w:sz w:val="23"/>
          <w:szCs w:val="23"/>
          <w:rtl/>
        </w:rPr>
        <w:t xml:space="preserve">با تورم افزایش یافته و </w:t>
      </w:r>
      <w:r w:rsidRPr="00FE433F">
        <w:rPr>
          <w:rFonts w:hint="eastAsia"/>
          <w:i/>
          <w:sz w:val="23"/>
          <w:szCs w:val="23"/>
          <w:rtl/>
        </w:rPr>
        <w:t>عا</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دولت</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شود</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cs"/>
          <w:i/>
          <w:sz w:val="23"/>
          <w:szCs w:val="23"/>
          <w:rtl/>
        </w:rPr>
        <w:t xml:space="preserve">بخشی از </w:t>
      </w:r>
      <w:r w:rsidRPr="00FE433F">
        <w:rPr>
          <w:i/>
          <w:sz w:val="23"/>
          <w:szCs w:val="23"/>
          <w:rtl/>
        </w:rPr>
        <w:t xml:space="preserve"> </w:t>
      </w:r>
      <w:r w:rsidRPr="00FE433F">
        <w:rPr>
          <w:rFonts w:hint="eastAsia"/>
          <w:i/>
          <w:sz w:val="23"/>
          <w:szCs w:val="23"/>
          <w:rtl/>
        </w:rPr>
        <w:t>بودجه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دولت</w:t>
      </w:r>
      <w:r w:rsidRPr="00FE433F">
        <w:rPr>
          <w:i/>
          <w:sz w:val="23"/>
          <w:szCs w:val="23"/>
          <w:rtl/>
        </w:rPr>
        <w:t xml:space="preserve"> </w:t>
      </w:r>
      <w:r w:rsidRPr="00FE433F">
        <w:rPr>
          <w:rFonts w:hint="cs"/>
          <w:i/>
          <w:sz w:val="23"/>
          <w:szCs w:val="23"/>
          <w:rtl/>
        </w:rPr>
        <w:t>را تأمین مالی می</w:t>
      </w:r>
      <w:r w:rsidRPr="00FE433F">
        <w:rPr>
          <w:i/>
          <w:sz w:val="23"/>
          <w:szCs w:val="23"/>
          <w:rtl/>
        </w:rPr>
        <w:softHyphen/>
      </w:r>
      <w:r w:rsidRPr="00FE433F">
        <w:rPr>
          <w:rFonts w:hint="cs"/>
          <w:i/>
          <w:sz w:val="23"/>
          <w:szCs w:val="23"/>
          <w:rtl/>
        </w:rPr>
        <w:t>کند.</w:t>
      </w:r>
      <w:r w:rsidRPr="00FE433F">
        <w:rPr>
          <w:i/>
          <w:sz w:val="23"/>
          <w:szCs w:val="23"/>
          <w:rtl/>
        </w:rPr>
        <w:t xml:space="preserve"> </w:t>
      </w:r>
      <w:r w:rsidRPr="00FE433F">
        <w:rPr>
          <w:rFonts w:hint="eastAsia"/>
          <w:i/>
          <w:sz w:val="23"/>
          <w:szCs w:val="23"/>
          <w:rtl/>
        </w:rPr>
        <w:t>لذا</w:t>
      </w:r>
      <w:r w:rsidRPr="00FE433F">
        <w:rPr>
          <w:i/>
          <w:sz w:val="23"/>
          <w:szCs w:val="23"/>
          <w:rtl/>
        </w:rPr>
        <w:t xml:space="preserve"> </w:t>
      </w:r>
      <w:r w:rsidRPr="00FE433F">
        <w:rPr>
          <w:rFonts w:hint="cs"/>
          <w:i/>
          <w:sz w:val="23"/>
          <w:szCs w:val="23"/>
          <w:rtl/>
        </w:rPr>
        <w:t>به نظر می</w:t>
      </w:r>
      <w:r w:rsidRPr="00FE433F">
        <w:rPr>
          <w:i/>
          <w:sz w:val="23"/>
          <w:szCs w:val="23"/>
          <w:rtl/>
        </w:rPr>
        <w:softHyphen/>
      </w:r>
      <w:r w:rsidRPr="00FE433F">
        <w:rPr>
          <w:rFonts w:hint="cs"/>
          <w:i/>
          <w:sz w:val="23"/>
          <w:szCs w:val="23"/>
          <w:rtl/>
        </w:rPr>
        <w:t xml:space="preserve">رسد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با</w:t>
      </w:r>
      <w:r w:rsidRPr="00FE433F">
        <w:rPr>
          <w:rFonts w:hint="cs"/>
          <w:i/>
          <w:sz w:val="23"/>
          <w:szCs w:val="23"/>
          <w:rtl/>
        </w:rPr>
        <w:t>ی</w:t>
      </w:r>
      <w:r w:rsidRPr="00FE433F">
        <w:rPr>
          <w:rFonts w:hint="eastAsia"/>
          <w:i/>
          <w:sz w:val="23"/>
          <w:szCs w:val="23"/>
          <w:rtl/>
        </w:rPr>
        <w:t>ست</w:t>
      </w:r>
      <w:r w:rsidRPr="00FE433F">
        <w:rPr>
          <w:i/>
          <w:sz w:val="23"/>
          <w:szCs w:val="23"/>
          <w:rtl/>
        </w:rPr>
        <w:t xml:space="preserve"> </w:t>
      </w:r>
      <w:r w:rsidRPr="00FE433F">
        <w:rPr>
          <w:rFonts w:hint="eastAsia"/>
          <w:i/>
          <w:sz w:val="23"/>
          <w:szCs w:val="23"/>
          <w:rtl/>
        </w:rPr>
        <w:t>تعادل</w:t>
      </w:r>
      <w:r w:rsidRPr="00FE433F">
        <w:rPr>
          <w:i/>
          <w:sz w:val="23"/>
          <w:szCs w:val="23"/>
          <w:rtl/>
        </w:rPr>
        <w:t xml:space="preserve"> </w:t>
      </w:r>
      <w:r w:rsidRPr="00FE433F">
        <w:rPr>
          <w:rFonts w:hint="eastAsia"/>
          <w:i/>
          <w:sz w:val="23"/>
          <w:szCs w:val="23"/>
          <w:rtl/>
        </w:rPr>
        <w:t>عموم</w:t>
      </w:r>
      <w:r w:rsidRPr="00FE433F">
        <w:rPr>
          <w:rFonts w:hint="cs"/>
          <w:i/>
          <w:sz w:val="23"/>
          <w:szCs w:val="23"/>
          <w:rtl/>
        </w:rPr>
        <w:t>ی</w:t>
      </w:r>
      <w:r w:rsidRPr="00FE433F">
        <w:rPr>
          <w:i/>
          <w:sz w:val="23"/>
          <w:szCs w:val="23"/>
          <w:rtl/>
        </w:rPr>
        <w:t xml:space="preserve"> </w:t>
      </w:r>
      <w:r w:rsidRPr="00FE433F">
        <w:rPr>
          <w:rFonts w:hint="cs"/>
          <w:i/>
          <w:sz w:val="23"/>
          <w:szCs w:val="23"/>
          <w:rtl/>
        </w:rPr>
        <w:t xml:space="preserve">را </w:t>
      </w:r>
      <w:r w:rsidRPr="00FE433F">
        <w:rPr>
          <w:rFonts w:hint="eastAsia"/>
          <w:i/>
          <w:sz w:val="23"/>
          <w:szCs w:val="23"/>
          <w:rtl/>
        </w:rPr>
        <w:t>بجا</w:t>
      </w:r>
      <w:r w:rsidRPr="00FE433F">
        <w:rPr>
          <w:rFonts w:hint="cs"/>
          <w:i/>
          <w:sz w:val="23"/>
          <w:szCs w:val="23"/>
          <w:rtl/>
        </w:rPr>
        <w:t>ی</w:t>
      </w:r>
      <w:r w:rsidRPr="00FE433F">
        <w:rPr>
          <w:i/>
          <w:sz w:val="23"/>
          <w:szCs w:val="23"/>
          <w:rtl/>
        </w:rPr>
        <w:t xml:space="preserve"> </w:t>
      </w:r>
      <w:r w:rsidRPr="00FE433F">
        <w:rPr>
          <w:rFonts w:hint="eastAsia"/>
          <w:i/>
          <w:sz w:val="23"/>
          <w:szCs w:val="23"/>
          <w:rtl/>
        </w:rPr>
        <w:t>تعادل</w:t>
      </w:r>
      <w:r w:rsidRPr="00FE433F">
        <w:rPr>
          <w:i/>
          <w:sz w:val="23"/>
          <w:szCs w:val="23"/>
          <w:rtl/>
        </w:rPr>
        <w:t xml:space="preserve"> </w:t>
      </w:r>
      <w:r w:rsidRPr="00FE433F">
        <w:rPr>
          <w:rFonts w:hint="eastAsia"/>
          <w:i/>
          <w:sz w:val="23"/>
          <w:szCs w:val="23"/>
          <w:rtl/>
        </w:rPr>
        <w:t>جز</w:t>
      </w:r>
      <w:r w:rsidRPr="00FE433F">
        <w:rPr>
          <w:rFonts w:hint="cs"/>
          <w:i/>
          <w:sz w:val="23"/>
          <w:szCs w:val="23"/>
          <w:rtl/>
        </w:rPr>
        <w:t>یی</w:t>
      </w:r>
      <w:r w:rsidRPr="00FE433F">
        <w:rPr>
          <w:i/>
          <w:sz w:val="23"/>
          <w:szCs w:val="23"/>
          <w:rtl/>
        </w:rPr>
        <w:t xml:space="preserve"> </w:t>
      </w:r>
      <w:r w:rsidRPr="00FE433F">
        <w:rPr>
          <w:rFonts w:hint="eastAsia"/>
          <w:i/>
          <w:sz w:val="23"/>
          <w:szCs w:val="23"/>
          <w:rtl/>
        </w:rPr>
        <w:t>مورد</w:t>
      </w:r>
      <w:r w:rsidRPr="00FE433F">
        <w:rPr>
          <w:i/>
          <w:sz w:val="23"/>
          <w:szCs w:val="23"/>
          <w:rtl/>
        </w:rPr>
        <w:t xml:space="preserve"> </w:t>
      </w:r>
      <w:r w:rsidRPr="00FE433F">
        <w:rPr>
          <w:rFonts w:hint="eastAsia"/>
          <w:i/>
          <w:sz w:val="23"/>
          <w:szCs w:val="23"/>
          <w:rtl/>
        </w:rPr>
        <w:t>توجه</w:t>
      </w:r>
      <w:r w:rsidRPr="00FE433F">
        <w:rPr>
          <w:i/>
          <w:sz w:val="23"/>
          <w:szCs w:val="23"/>
          <w:rtl/>
        </w:rPr>
        <w:t xml:space="preserve"> </w:t>
      </w:r>
      <w:r w:rsidRPr="00FE433F">
        <w:rPr>
          <w:rFonts w:hint="eastAsia"/>
          <w:i/>
          <w:sz w:val="23"/>
          <w:szCs w:val="23"/>
          <w:rtl/>
        </w:rPr>
        <w:lastRenderedPageBreak/>
        <w:t>قرار</w:t>
      </w:r>
      <w:r w:rsidRPr="00FE433F">
        <w:rPr>
          <w:i/>
          <w:sz w:val="23"/>
          <w:szCs w:val="23"/>
          <w:rtl/>
        </w:rPr>
        <w:t xml:space="preserve"> </w:t>
      </w:r>
      <w:r w:rsidRPr="00FE433F">
        <w:rPr>
          <w:rFonts w:hint="cs"/>
          <w:i/>
          <w:sz w:val="23"/>
          <w:szCs w:val="23"/>
          <w:rtl/>
        </w:rPr>
        <w:t>داد،</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مسئله</w:t>
      </w:r>
      <w:r w:rsidRPr="00FE433F">
        <w:rPr>
          <w:i/>
          <w:sz w:val="23"/>
          <w:szCs w:val="23"/>
          <w:rtl/>
        </w:rPr>
        <w:t xml:space="preserve"> </w:t>
      </w:r>
      <w:r w:rsidRPr="00FE433F">
        <w:rPr>
          <w:rFonts w:hint="eastAsia"/>
          <w:i/>
          <w:sz w:val="23"/>
          <w:szCs w:val="23"/>
          <w:rtl/>
        </w:rPr>
        <w:t>مستلزم</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کل</w:t>
      </w:r>
      <w:r w:rsidRPr="00FE433F">
        <w:rPr>
          <w:i/>
          <w:sz w:val="23"/>
          <w:szCs w:val="23"/>
          <w:rtl/>
        </w:rPr>
        <w:t xml:space="preserve"> </w:t>
      </w:r>
      <w:r w:rsidRPr="00FE433F">
        <w:rPr>
          <w:rFonts w:hint="eastAsia"/>
          <w:i/>
          <w:sz w:val="23"/>
          <w:szCs w:val="23"/>
          <w:rtl/>
        </w:rPr>
        <w:t>اقتصاد</w:t>
      </w:r>
      <w:r w:rsidRPr="00FE433F">
        <w:rPr>
          <w:i/>
          <w:sz w:val="23"/>
          <w:szCs w:val="23"/>
          <w:rtl/>
        </w:rPr>
        <w:t xml:space="preserve"> </w:t>
      </w:r>
      <w:r w:rsidRPr="00FE433F">
        <w:rPr>
          <w:rFonts w:hint="eastAsia"/>
          <w:i/>
          <w:sz w:val="23"/>
          <w:szCs w:val="23"/>
          <w:rtl/>
        </w:rPr>
        <w:t>بجا</w:t>
      </w:r>
      <w:r w:rsidRPr="00FE433F">
        <w:rPr>
          <w:rFonts w:hint="cs"/>
          <w:i/>
          <w:sz w:val="23"/>
          <w:szCs w:val="23"/>
          <w:rtl/>
        </w:rPr>
        <w:t>ی</w:t>
      </w:r>
      <w:r w:rsidRPr="00FE433F">
        <w:rPr>
          <w:i/>
          <w:sz w:val="23"/>
          <w:szCs w:val="23"/>
          <w:rtl/>
        </w:rPr>
        <w:t xml:space="preserve"> </w:t>
      </w:r>
      <w:r w:rsidRPr="00FE433F">
        <w:rPr>
          <w:rFonts w:hint="eastAsia"/>
          <w:i/>
          <w:sz w:val="23"/>
          <w:szCs w:val="23"/>
          <w:rtl/>
        </w:rPr>
        <w:t>صرفاً</w:t>
      </w:r>
      <w:r w:rsidRPr="00FE433F">
        <w:rPr>
          <w:i/>
          <w:sz w:val="23"/>
          <w:szCs w:val="23"/>
          <w:rtl/>
        </w:rPr>
        <w:t xml:space="preserve"> </w:t>
      </w:r>
      <w:r w:rsidRPr="00FE433F">
        <w:rPr>
          <w:rFonts w:hint="eastAsia"/>
          <w:i/>
          <w:sz w:val="23"/>
          <w:szCs w:val="23"/>
          <w:rtl/>
        </w:rPr>
        <w:t>بخش</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مورد</w:t>
      </w:r>
      <w:r w:rsidRPr="00FE433F">
        <w:rPr>
          <w:i/>
          <w:sz w:val="23"/>
          <w:szCs w:val="23"/>
          <w:rtl/>
        </w:rPr>
        <w:t xml:space="preserve"> </w:t>
      </w:r>
      <w:r w:rsidRPr="00FE433F">
        <w:rPr>
          <w:rFonts w:hint="eastAsia"/>
          <w:i/>
          <w:sz w:val="23"/>
          <w:szCs w:val="23"/>
          <w:rtl/>
        </w:rPr>
        <w:t>بررس</w:t>
      </w:r>
      <w:r w:rsidRPr="00FE433F">
        <w:rPr>
          <w:rFonts w:hint="cs"/>
          <w:i/>
          <w:sz w:val="23"/>
          <w:szCs w:val="23"/>
          <w:rtl/>
        </w:rPr>
        <w:t>ی</w:t>
      </w:r>
      <w:r w:rsidRPr="00FE433F">
        <w:rPr>
          <w:i/>
          <w:sz w:val="23"/>
          <w:szCs w:val="23"/>
          <w:rtl/>
        </w:rPr>
        <w:t xml:space="preserve"> </w:t>
      </w:r>
      <w:r w:rsidRPr="00FE433F">
        <w:rPr>
          <w:rFonts w:hint="eastAsia"/>
          <w:i/>
          <w:sz w:val="23"/>
          <w:szCs w:val="23"/>
          <w:rtl/>
        </w:rPr>
        <w:t>قرار</w:t>
      </w:r>
      <w:r w:rsidRPr="00FE433F">
        <w:rPr>
          <w:i/>
          <w:sz w:val="23"/>
          <w:szCs w:val="23"/>
          <w:rtl/>
        </w:rPr>
        <w:t xml:space="preserve"> </w:t>
      </w:r>
      <w:r w:rsidRPr="00FE433F">
        <w:rPr>
          <w:rFonts w:hint="eastAsia"/>
          <w:i/>
          <w:sz w:val="23"/>
          <w:szCs w:val="23"/>
          <w:rtl/>
        </w:rPr>
        <w:t>گ</w:t>
      </w:r>
      <w:r w:rsidRPr="00FE433F">
        <w:rPr>
          <w:rFonts w:hint="cs"/>
          <w:i/>
          <w:sz w:val="23"/>
          <w:szCs w:val="23"/>
          <w:rtl/>
        </w:rPr>
        <w:t>ی</w:t>
      </w:r>
      <w:r w:rsidRPr="00FE433F">
        <w:rPr>
          <w:rFonts w:hint="eastAsia"/>
          <w:i/>
          <w:sz w:val="23"/>
          <w:szCs w:val="23"/>
          <w:rtl/>
        </w:rPr>
        <w:t>رد</w:t>
      </w:r>
      <w:r w:rsidRPr="00FE433F">
        <w:rPr>
          <w:i/>
          <w:sz w:val="23"/>
          <w:szCs w:val="23"/>
          <w:rtl/>
        </w:rPr>
        <w:t>.</w:t>
      </w:r>
    </w:p>
    <w:p w14:paraId="7345D57F" w14:textId="77777777" w:rsidR="00411620" w:rsidRPr="00FE433F" w:rsidRDefault="00411620" w:rsidP="00411620">
      <w:pPr>
        <w:spacing w:line="216" w:lineRule="auto"/>
        <w:rPr>
          <w:i/>
          <w:sz w:val="23"/>
          <w:szCs w:val="23"/>
          <w:rtl/>
        </w:rPr>
      </w:pPr>
      <w:r w:rsidRPr="00FE433F">
        <w:rPr>
          <w:rFonts w:hint="eastAsia"/>
          <w:i/>
          <w:sz w:val="23"/>
          <w:szCs w:val="23"/>
          <w:rtl/>
        </w:rPr>
        <w:t>اقتصاد</w:t>
      </w:r>
      <w:r w:rsidRPr="00FE433F">
        <w:rPr>
          <w:rFonts w:hint="cs"/>
          <w:i/>
          <w:sz w:val="23"/>
          <w:szCs w:val="23"/>
          <w:rtl/>
        </w:rPr>
        <w:t>ی</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نظر</w:t>
      </w:r>
      <w:r w:rsidRPr="00FE433F">
        <w:rPr>
          <w:i/>
          <w:sz w:val="23"/>
          <w:szCs w:val="23"/>
          <w:rtl/>
        </w:rPr>
        <w:t xml:space="preserve"> </w:t>
      </w:r>
      <w:r w:rsidRPr="00FE433F">
        <w:rPr>
          <w:rFonts w:hint="eastAsia"/>
          <w:i/>
          <w:sz w:val="23"/>
          <w:szCs w:val="23"/>
          <w:rtl/>
        </w:rPr>
        <w:t>بگ</w:t>
      </w:r>
      <w:r w:rsidRPr="00FE433F">
        <w:rPr>
          <w:rFonts w:hint="cs"/>
          <w:i/>
          <w:sz w:val="23"/>
          <w:szCs w:val="23"/>
          <w:rtl/>
        </w:rPr>
        <w:t>ی</w:t>
      </w:r>
      <w:r w:rsidRPr="00FE433F">
        <w:rPr>
          <w:rFonts w:hint="eastAsia"/>
          <w:i/>
          <w:sz w:val="23"/>
          <w:szCs w:val="23"/>
          <w:rtl/>
        </w:rPr>
        <w:t>ر</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تمام</w:t>
      </w:r>
      <w:r w:rsidRPr="00FE433F">
        <w:rPr>
          <w:rFonts w:hint="cs"/>
          <w:i/>
          <w:sz w:val="23"/>
          <w:szCs w:val="23"/>
          <w:rtl/>
        </w:rPr>
        <w:t>ی</w:t>
      </w:r>
      <w:r w:rsidRPr="00FE433F">
        <w:rPr>
          <w:i/>
          <w:sz w:val="23"/>
          <w:szCs w:val="23"/>
          <w:rtl/>
        </w:rPr>
        <w:t xml:space="preserve"> </w:t>
      </w:r>
      <w:r w:rsidRPr="00FE433F">
        <w:rPr>
          <w:rFonts w:hint="eastAsia"/>
          <w:i/>
          <w:sz w:val="23"/>
          <w:szCs w:val="23"/>
          <w:rtl/>
        </w:rPr>
        <w:t>موجود</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توسط</w:t>
      </w:r>
      <w:r w:rsidRPr="00FE433F">
        <w:rPr>
          <w:i/>
          <w:sz w:val="23"/>
          <w:szCs w:val="23"/>
          <w:rtl/>
        </w:rPr>
        <w:t xml:space="preserve"> </w:t>
      </w:r>
      <w:r w:rsidRPr="00FE433F">
        <w:rPr>
          <w:rFonts w:hint="eastAsia"/>
          <w:i/>
          <w:sz w:val="23"/>
          <w:szCs w:val="23"/>
          <w:rtl/>
        </w:rPr>
        <w:t>دولت</w:t>
      </w:r>
      <w:r w:rsidRPr="00FE433F">
        <w:rPr>
          <w:i/>
          <w:sz w:val="23"/>
          <w:szCs w:val="23"/>
          <w:rtl/>
        </w:rPr>
        <w:t xml:space="preserve"> </w:t>
      </w:r>
      <w:r w:rsidRPr="00FE433F">
        <w:rPr>
          <w:rFonts w:hint="eastAsia"/>
          <w:i/>
          <w:sz w:val="23"/>
          <w:szCs w:val="23"/>
          <w:rtl/>
        </w:rPr>
        <w:t>ته</w:t>
      </w:r>
      <w:r w:rsidRPr="00FE433F">
        <w:rPr>
          <w:rFonts w:hint="cs"/>
          <w:i/>
          <w:sz w:val="23"/>
          <w:szCs w:val="23"/>
          <w:rtl/>
        </w:rPr>
        <w:t>ی</w:t>
      </w:r>
      <w:r w:rsidRPr="00FE433F">
        <w:rPr>
          <w:rFonts w:hint="eastAsia"/>
          <w:i/>
          <w:sz w:val="23"/>
          <w:szCs w:val="23"/>
          <w:rtl/>
        </w:rPr>
        <w:t>ه</w:t>
      </w:r>
      <w:r w:rsidRPr="00FE433F">
        <w:rPr>
          <w:i/>
          <w:sz w:val="23"/>
          <w:szCs w:val="23"/>
          <w:rtl/>
        </w:rPr>
        <w:t xml:space="preserve"> </w:t>
      </w:r>
      <w:r w:rsidRPr="00FE433F">
        <w:rPr>
          <w:rFonts w:hint="eastAsia"/>
          <w:i/>
          <w:sz w:val="23"/>
          <w:szCs w:val="23"/>
          <w:rtl/>
        </w:rPr>
        <w:t>شده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درآمدها</w:t>
      </w:r>
      <w:r w:rsidRPr="00FE433F">
        <w:rPr>
          <w:rFonts w:hint="cs"/>
          <w:i/>
          <w:sz w:val="23"/>
          <w:szCs w:val="23"/>
          <w:rtl/>
        </w:rPr>
        <w:t>ی</w:t>
      </w:r>
      <w:r w:rsidRPr="00FE433F">
        <w:rPr>
          <w:i/>
          <w:sz w:val="23"/>
          <w:szCs w:val="23"/>
          <w:rtl/>
        </w:rPr>
        <w:t xml:space="preserve"> </w:t>
      </w:r>
      <w:r w:rsidRPr="00FE433F">
        <w:rPr>
          <w:rFonts w:hint="eastAsia"/>
          <w:i/>
          <w:sz w:val="23"/>
          <w:szCs w:val="23"/>
          <w:rtl/>
        </w:rPr>
        <w:t>حق</w:t>
      </w:r>
      <w:r w:rsidRPr="00FE433F">
        <w:rPr>
          <w:i/>
          <w:sz w:val="23"/>
          <w:szCs w:val="23"/>
          <w:rtl/>
        </w:rPr>
        <w:softHyphen/>
      </w:r>
      <w:r w:rsidRPr="00FE433F">
        <w:rPr>
          <w:rFonts w:hint="eastAsia"/>
          <w:i/>
          <w:sz w:val="23"/>
          <w:szCs w:val="23"/>
          <w:rtl/>
        </w:rPr>
        <w:t>الضرب</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طر</w:t>
      </w:r>
      <w:r w:rsidRPr="00FE433F">
        <w:rPr>
          <w:rFonts w:hint="cs"/>
          <w:i/>
          <w:sz w:val="23"/>
          <w:szCs w:val="23"/>
          <w:rtl/>
        </w:rPr>
        <w:t>ی</w:t>
      </w:r>
      <w:r w:rsidRPr="00FE433F">
        <w:rPr>
          <w:rFonts w:hint="eastAsia"/>
          <w:i/>
          <w:sz w:val="23"/>
          <w:szCs w:val="23"/>
          <w:rtl/>
        </w:rPr>
        <w:t>ق</w:t>
      </w:r>
      <w:r w:rsidRPr="00FE433F">
        <w:rPr>
          <w:i/>
          <w:sz w:val="23"/>
          <w:szCs w:val="23"/>
          <w:rtl/>
        </w:rPr>
        <w:t xml:space="preserve"> </w:t>
      </w:r>
      <w:r w:rsidRPr="00FE433F">
        <w:rPr>
          <w:rFonts w:hint="eastAsia"/>
          <w:i/>
          <w:sz w:val="23"/>
          <w:szCs w:val="23"/>
          <w:rtl/>
        </w:rPr>
        <w:t>پرداخت</w:t>
      </w:r>
      <w:r w:rsidRPr="00FE433F">
        <w:rPr>
          <w:i/>
          <w:sz w:val="23"/>
          <w:szCs w:val="23"/>
          <w:rtl/>
        </w:rPr>
        <w:softHyphen/>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انتقال</w:t>
      </w:r>
      <w:r w:rsidRPr="00FE433F">
        <w:rPr>
          <w:rFonts w:hint="cs"/>
          <w:i/>
          <w:sz w:val="23"/>
          <w:szCs w:val="23"/>
          <w:rtl/>
        </w:rPr>
        <w:t>ی</w:t>
      </w:r>
      <w:r w:rsidRPr="00FE433F">
        <w:rPr>
          <w:i/>
          <w:sz w:val="23"/>
          <w:szCs w:val="23"/>
          <w:rtl/>
        </w:rPr>
        <w:t xml:space="preserve"> </w:t>
      </w:r>
      <w:r w:rsidRPr="00FE433F">
        <w:rPr>
          <w:rFonts w:hint="eastAsia"/>
          <w:i/>
          <w:sz w:val="23"/>
          <w:szCs w:val="23"/>
          <w:rtl/>
        </w:rPr>
        <w:t>بازگردانده</w:t>
      </w:r>
      <w:r w:rsidRPr="00FE433F">
        <w:rPr>
          <w:i/>
          <w:sz w:val="23"/>
          <w:szCs w:val="23"/>
          <w:rtl/>
        </w:rPr>
        <w:t xml:space="preserve"> </w:t>
      </w:r>
      <w:r w:rsidRPr="00FE433F">
        <w:rPr>
          <w:rFonts w:hint="eastAsia"/>
          <w:i/>
          <w:sz w:val="23"/>
          <w:szCs w:val="23"/>
          <w:rtl/>
        </w:rPr>
        <w:t>شود</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صورت</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توان</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صورت</w:t>
      </w:r>
      <w:r w:rsidRPr="00FE433F">
        <w:rPr>
          <w:i/>
          <w:sz w:val="23"/>
          <w:szCs w:val="23"/>
          <w:rtl/>
        </w:rPr>
        <w:t xml:space="preserve"> </w:t>
      </w:r>
      <w:r w:rsidRPr="00FE433F">
        <w:rPr>
          <w:rFonts w:hint="eastAsia"/>
          <w:i/>
          <w:sz w:val="23"/>
          <w:szCs w:val="23"/>
          <w:rtl/>
        </w:rPr>
        <w:t>ز</w:t>
      </w:r>
      <w:r w:rsidRPr="00FE433F">
        <w:rPr>
          <w:rFonts w:hint="cs"/>
          <w:i/>
          <w:sz w:val="23"/>
          <w:szCs w:val="23"/>
          <w:rtl/>
        </w:rPr>
        <w:t>ی</w:t>
      </w:r>
      <w:r w:rsidRPr="00FE433F">
        <w:rPr>
          <w:rFonts w:hint="eastAsia"/>
          <w:i/>
          <w:sz w:val="23"/>
          <w:szCs w:val="23"/>
          <w:rtl/>
        </w:rPr>
        <w:t>ر</w:t>
      </w:r>
      <w:r w:rsidRPr="00FE433F">
        <w:rPr>
          <w:i/>
          <w:sz w:val="23"/>
          <w:szCs w:val="23"/>
          <w:rtl/>
        </w:rPr>
        <w:t xml:space="preserve"> </w:t>
      </w:r>
      <w:r w:rsidRPr="00FE433F">
        <w:rPr>
          <w:rFonts w:hint="eastAsia"/>
          <w:i/>
          <w:sz w:val="23"/>
          <w:szCs w:val="23"/>
          <w:rtl/>
        </w:rPr>
        <w:t>بازنو</w:t>
      </w:r>
      <w:r w:rsidRPr="00FE433F">
        <w:rPr>
          <w:rFonts w:hint="cs"/>
          <w:i/>
          <w:sz w:val="23"/>
          <w:szCs w:val="23"/>
          <w:rtl/>
        </w:rPr>
        <w:t>ی</w:t>
      </w:r>
      <w:r w:rsidRPr="00FE433F">
        <w:rPr>
          <w:rFonts w:hint="eastAsia"/>
          <w:i/>
          <w:sz w:val="23"/>
          <w:szCs w:val="23"/>
          <w:rtl/>
        </w:rPr>
        <w:t>س</w:t>
      </w:r>
      <w:r w:rsidRPr="00FE433F">
        <w:rPr>
          <w:rFonts w:hint="cs"/>
          <w:i/>
          <w:sz w:val="23"/>
          <w:szCs w:val="23"/>
          <w:rtl/>
        </w:rPr>
        <w:t>ی</w:t>
      </w:r>
      <w:r w:rsidRPr="00FE433F">
        <w:rPr>
          <w:i/>
          <w:sz w:val="23"/>
          <w:szCs w:val="23"/>
          <w:rtl/>
        </w:rPr>
        <w:t xml:space="preserve"> </w:t>
      </w:r>
      <w:r w:rsidRPr="00FE433F">
        <w:rPr>
          <w:rFonts w:hint="eastAsia"/>
          <w:i/>
          <w:sz w:val="23"/>
          <w:szCs w:val="23"/>
          <w:rtl/>
        </w:rPr>
        <w:t>کرد</w:t>
      </w:r>
    </w:p>
    <w:p w14:paraId="591C6537" w14:textId="77777777" w:rsidR="00411620" w:rsidRPr="00FE433F" w:rsidRDefault="00411620" w:rsidP="00411620">
      <w:pPr>
        <w:bidi w:val="0"/>
        <w:spacing w:line="216" w:lineRule="auto"/>
        <w:rPr>
          <w:i/>
          <w:sz w:val="23"/>
          <w:szCs w:val="23"/>
        </w:rPr>
      </w:pPr>
      <w:r w:rsidRPr="00FE433F">
        <w:rPr>
          <w:position w:val="-12"/>
        </w:rPr>
        <w:object w:dxaOrig="4740" w:dyaOrig="360" w14:anchorId="7962EEBD">
          <v:shape id="_x0000_i4381" type="#_x0000_t75" style="width:236.55pt;height:18.15pt" o:ole="">
            <v:imagedata r:id="rId6755" o:title=""/>
          </v:shape>
          <o:OLEObject Type="Embed" ProgID="Equation.DSMT4" ShapeID="_x0000_i4381" DrawAspect="Content" ObjectID="_1791378325" r:id="rId6756"/>
        </w:object>
      </w:r>
      <w:r>
        <w:rPr>
          <w:rtl/>
        </w:rPr>
        <w:tab/>
      </w:r>
      <w:r>
        <w:rPr>
          <w:rtl/>
        </w:rPr>
        <w:tab/>
      </w:r>
      <w:r w:rsidRPr="00FE433F">
        <w:rPr>
          <w:i/>
          <w:sz w:val="23"/>
          <w:szCs w:val="23"/>
          <w:rtl/>
        </w:rPr>
        <w:tab/>
      </w:r>
      <w:r w:rsidRPr="00FE433F">
        <w:rPr>
          <w:i/>
          <w:sz w:val="23"/>
          <w:szCs w:val="23"/>
          <w:rtl/>
        </w:rPr>
        <w:tab/>
      </w:r>
      <w:r w:rsidRPr="00FE433F">
        <w:rPr>
          <w:i/>
          <w:sz w:val="23"/>
          <w:szCs w:val="23"/>
        </w:rPr>
        <w:tab/>
        <w:t xml:space="preserve"> </w:t>
      </w:r>
      <w:r w:rsidRPr="00FE433F">
        <w:rPr>
          <w:i/>
          <w:sz w:val="23"/>
          <w:szCs w:val="23"/>
          <w:rtl/>
        </w:rPr>
        <w:t>(۸. ۳۵)</w:t>
      </w:r>
      <w:r w:rsidRPr="00FE433F">
        <w:rPr>
          <w:rFonts w:hint="cs"/>
          <w:i/>
          <w:sz w:val="23"/>
          <w:szCs w:val="23"/>
        </w:rPr>
        <w:t xml:space="preserve"> </w:t>
      </w:r>
    </w:p>
    <w:p w14:paraId="3163E764" w14:textId="77777777" w:rsidR="00411620" w:rsidRPr="00FE433F" w:rsidRDefault="00411620" w:rsidP="00411620">
      <w:pPr>
        <w:spacing w:line="216" w:lineRule="auto"/>
        <w:rPr>
          <w:i/>
          <w:sz w:val="23"/>
          <w:szCs w:val="23"/>
          <w:rtl/>
        </w:rPr>
      </w:pP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position w:val="-10"/>
        </w:rPr>
        <w:object w:dxaOrig="600" w:dyaOrig="320" w14:anchorId="636DCD6E">
          <v:shape id="_x0000_i4382" type="#_x0000_t75" style="width:29.65pt;height:16.35pt" o:ole="">
            <v:imagedata r:id="rId6757" o:title=""/>
          </v:shape>
          <o:OLEObject Type="Embed" ProgID="Equation.DSMT4" ShapeID="_x0000_i4382" DrawAspect="Content" ObjectID="_1791378326" r:id="rId6758"/>
        </w:object>
      </w:r>
      <w:r w:rsidRPr="00FE433F">
        <w:rPr>
          <w:i/>
          <w:sz w:val="23"/>
          <w:szCs w:val="23"/>
        </w:rPr>
        <w:t xml:space="preserve"> </w:t>
      </w:r>
      <w:r w:rsidRPr="00FE433F">
        <w:rPr>
          <w:rFonts w:hint="eastAsia"/>
          <w:i/>
          <w:sz w:val="23"/>
          <w:szCs w:val="23"/>
          <w:rtl/>
        </w:rPr>
        <w:t>مب</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پرداخت</w:t>
      </w:r>
      <w:r w:rsidRPr="00FE433F">
        <w:rPr>
          <w:i/>
          <w:sz w:val="23"/>
          <w:szCs w:val="23"/>
          <w:rtl/>
        </w:rPr>
        <w:softHyphen/>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انتقال</w:t>
      </w:r>
      <w:r w:rsidRPr="00FE433F">
        <w:rPr>
          <w:rFonts w:hint="cs"/>
          <w:i/>
          <w:sz w:val="23"/>
          <w:szCs w:val="23"/>
          <w:rtl/>
        </w:rPr>
        <w:t>ی</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cs"/>
          <w:i/>
          <w:sz w:val="23"/>
          <w:szCs w:val="23"/>
          <w:rtl/>
        </w:rPr>
        <w:t>است</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دولت</w:t>
      </w:r>
      <w:r w:rsidRPr="00FE433F">
        <w:rPr>
          <w:i/>
          <w:sz w:val="23"/>
          <w:szCs w:val="23"/>
          <w:rtl/>
        </w:rPr>
        <w:t xml:space="preserve"> </w:t>
      </w:r>
      <w:r w:rsidRPr="00FE433F">
        <w:rPr>
          <w:rFonts w:hint="eastAsia"/>
          <w:i/>
          <w:sz w:val="23"/>
          <w:szCs w:val="23"/>
          <w:rtl/>
        </w:rPr>
        <w:t>درآمدها</w:t>
      </w:r>
      <w:r w:rsidRPr="00FE433F">
        <w:rPr>
          <w:rFonts w:hint="cs"/>
          <w:i/>
          <w:sz w:val="23"/>
          <w:szCs w:val="23"/>
          <w:rtl/>
        </w:rPr>
        <w:t>ی</w:t>
      </w:r>
      <w:r w:rsidRPr="00FE433F">
        <w:rPr>
          <w:i/>
          <w:sz w:val="23"/>
          <w:szCs w:val="23"/>
          <w:rtl/>
        </w:rPr>
        <w:t xml:space="preserve"> </w:t>
      </w:r>
      <w:r w:rsidRPr="00FE433F">
        <w:rPr>
          <w:rFonts w:hint="eastAsia"/>
          <w:i/>
          <w:sz w:val="23"/>
          <w:szCs w:val="23"/>
          <w:rtl/>
        </w:rPr>
        <w:t>مال</w:t>
      </w:r>
      <w:r w:rsidRPr="00FE433F">
        <w:rPr>
          <w:rFonts w:hint="cs"/>
          <w:i/>
          <w:sz w:val="23"/>
          <w:szCs w:val="23"/>
          <w:rtl/>
        </w:rPr>
        <w:t>ی</w:t>
      </w:r>
      <w:r w:rsidRPr="00FE433F">
        <w:rPr>
          <w:rFonts w:hint="eastAsia"/>
          <w:i/>
          <w:sz w:val="23"/>
          <w:szCs w:val="23"/>
          <w:rtl/>
        </w:rPr>
        <w:t>ات</w:t>
      </w:r>
      <w:r w:rsidRPr="00FE433F">
        <w:rPr>
          <w:rFonts w:hint="cs"/>
          <w:i/>
          <w:sz w:val="23"/>
          <w:szCs w:val="23"/>
          <w:rtl/>
        </w:rPr>
        <w:t>ی</w:t>
      </w:r>
      <w:r w:rsidRPr="00FE433F">
        <w:rPr>
          <w:i/>
          <w:sz w:val="23"/>
          <w:szCs w:val="23"/>
          <w:rtl/>
        </w:rPr>
        <w:t xml:space="preserve"> </w:t>
      </w:r>
      <w:r w:rsidRPr="00FE433F">
        <w:rPr>
          <w:rFonts w:hint="eastAsia"/>
          <w:i/>
          <w:sz w:val="23"/>
          <w:szCs w:val="23"/>
          <w:rtl/>
        </w:rPr>
        <w:t>برابر</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با</w:t>
      </w:r>
    </w:p>
    <w:p w14:paraId="60B0BD32" w14:textId="77777777" w:rsidR="00411620" w:rsidRPr="00FE433F" w:rsidRDefault="00411620" w:rsidP="00411620">
      <w:pPr>
        <w:bidi w:val="0"/>
        <w:spacing w:line="216" w:lineRule="auto"/>
        <w:rPr>
          <w:i/>
          <w:sz w:val="23"/>
          <w:szCs w:val="23"/>
        </w:rPr>
      </w:pPr>
      <w:r w:rsidRPr="00FE433F">
        <w:rPr>
          <w:position w:val="-12"/>
        </w:rPr>
        <w:object w:dxaOrig="2060" w:dyaOrig="360" w14:anchorId="066EF012">
          <v:shape id="_x0000_i4383" type="#_x0000_t75" style="width:102.85pt;height:18.15pt" o:ole="">
            <v:imagedata r:id="rId6759" o:title=""/>
          </v:shape>
          <o:OLEObject Type="Embed" ProgID="Equation.DSMT4" ShapeID="_x0000_i4383" DrawAspect="Content" ObjectID="_1791378327" r:id="rId6760"/>
        </w:object>
      </w:r>
      <w:r w:rsidRPr="00FE433F">
        <w:rPr>
          <w:rFonts w:hint="cs"/>
          <w:i/>
          <w:sz w:val="23"/>
          <w:szCs w:val="23"/>
          <w:rtl/>
        </w:rPr>
        <w:t xml:space="preserve"> </w:t>
      </w:r>
      <w:r w:rsidRPr="00FE433F">
        <w:rPr>
          <w:rFonts w:hint="cs"/>
          <w:i/>
          <w:sz w:val="23"/>
          <w:szCs w:val="23"/>
          <w:rtl/>
        </w:rPr>
        <w:tab/>
      </w:r>
      <w:r w:rsidRPr="00FE433F">
        <w:rPr>
          <w:rFonts w:hint="cs"/>
          <w:i/>
          <w:sz w:val="23"/>
          <w:szCs w:val="23"/>
          <w:rtl/>
        </w:rPr>
        <w:tab/>
      </w:r>
      <w:r w:rsidRPr="00FE433F">
        <w:rPr>
          <w:rFonts w:hint="cs"/>
          <w:i/>
          <w:sz w:val="23"/>
          <w:szCs w:val="23"/>
          <w:rtl/>
        </w:rPr>
        <w:tab/>
      </w:r>
      <w:r w:rsidRPr="00FE433F">
        <w:rPr>
          <w:rFonts w:hint="cs"/>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Pr>
        <w:tab/>
      </w:r>
      <w:r w:rsidRPr="00FE433F">
        <w:rPr>
          <w:i/>
          <w:sz w:val="23"/>
          <w:szCs w:val="23"/>
          <w:rtl/>
        </w:rPr>
        <w:tab/>
      </w:r>
      <w:r>
        <w:rPr>
          <w:i/>
          <w:sz w:val="23"/>
          <w:szCs w:val="23"/>
          <w:rtl/>
        </w:rPr>
        <w:tab/>
      </w:r>
      <w:r w:rsidRPr="00FE433F">
        <w:rPr>
          <w:i/>
          <w:sz w:val="23"/>
          <w:szCs w:val="23"/>
          <w:rtl/>
        </w:rPr>
        <w:tab/>
      </w:r>
      <w:r w:rsidRPr="00FE433F">
        <w:rPr>
          <w:i/>
          <w:sz w:val="23"/>
          <w:szCs w:val="23"/>
          <w:rtl/>
        </w:rPr>
        <w:tab/>
      </w:r>
      <w:r w:rsidRPr="00FE433F">
        <w:rPr>
          <w:rFonts w:hint="cs"/>
          <w:i/>
          <w:sz w:val="23"/>
          <w:szCs w:val="23"/>
          <w:rtl/>
        </w:rPr>
        <w:t>(۸. ۳۶)</w:t>
      </w:r>
    </w:p>
    <w:p w14:paraId="77570725" w14:textId="77777777" w:rsidR="00411620" w:rsidRPr="00FE433F" w:rsidRDefault="00411620" w:rsidP="00411620">
      <w:pPr>
        <w:spacing w:line="216" w:lineRule="auto"/>
        <w:rPr>
          <w:i/>
          <w:sz w:val="23"/>
          <w:szCs w:val="23"/>
          <w:rtl/>
        </w:rPr>
      </w:pPr>
      <w:r w:rsidRPr="00FE433F">
        <w:rPr>
          <w:rFonts w:hint="eastAsia"/>
          <w:i/>
          <w:sz w:val="23"/>
          <w:szCs w:val="23"/>
          <w:rtl/>
        </w:rPr>
        <w:t>با</w:t>
      </w:r>
      <w:r w:rsidRPr="00FE433F">
        <w:rPr>
          <w:i/>
          <w:sz w:val="23"/>
          <w:szCs w:val="23"/>
          <w:rtl/>
        </w:rPr>
        <w:t xml:space="preserve"> </w:t>
      </w:r>
      <w:r w:rsidRPr="00FE433F">
        <w:rPr>
          <w:rFonts w:hint="eastAsia"/>
          <w:i/>
          <w:sz w:val="23"/>
          <w:szCs w:val="23"/>
          <w:rtl/>
        </w:rPr>
        <w:t>ترک</w:t>
      </w:r>
      <w:r w:rsidRPr="00FE433F">
        <w:rPr>
          <w:rFonts w:hint="cs"/>
          <w:i/>
          <w:sz w:val="23"/>
          <w:szCs w:val="23"/>
          <w:rtl/>
        </w:rPr>
        <w:t>ی</w:t>
      </w:r>
      <w:r w:rsidRPr="00FE433F">
        <w:rPr>
          <w:rFonts w:hint="eastAsia"/>
          <w:i/>
          <w:sz w:val="23"/>
          <w:szCs w:val="23"/>
          <w:rtl/>
        </w:rPr>
        <w:t>ب</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cs"/>
          <w:i/>
          <w:sz w:val="23"/>
          <w:szCs w:val="23"/>
          <w:rtl/>
        </w:rPr>
        <w:t>قید بودجه</w:t>
      </w:r>
      <w:r w:rsidRPr="00FE433F">
        <w:rPr>
          <w:i/>
          <w:sz w:val="23"/>
          <w:szCs w:val="23"/>
          <w:rtl/>
        </w:rPr>
        <w:softHyphen/>
      </w:r>
      <w:r w:rsidRPr="00FE433F">
        <w:rPr>
          <w:rFonts w:hint="cs"/>
          <w:i/>
          <w:sz w:val="23"/>
          <w:szCs w:val="23"/>
          <w:rtl/>
        </w:rPr>
        <w:t xml:space="preserve">ی </w:t>
      </w:r>
      <w:r w:rsidRPr="00FE433F">
        <w:rPr>
          <w:rFonts w:hint="eastAsia"/>
          <w:i/>
          <w:sz w:val="23"/>
          <w:szCs w:val="23"/>
          <w:rtl/>
        </w:rPr>
        <w:t>دولت</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مشترک</w:t>
      </w:r>
      <w:r w:rsidRPr="00FE433F">
        <w:rPr>
          <w:rFonts w:hint="cs"/>
          <w:i/>
          <w:sz w:val="23"/>
          <w:szCs w:val="23"/>
          <w:rtl/>
        </w:rPr>
        <w:t>ی</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بدست</w:t>
      </w:r>
      <w:r w:rsidRPr="00FE433F">
        <w:rPr>
          <w:i/>
          <w:sz w:val="23"/>
          <w:szCs w:val="23"/>
          <w:rtl/>
        </w:rPr>
        <w:t xml:space="preserve"> </w:t>
      </w:r>
      <w:r w:rsidRPr="00FE433F">
        <w:rPr>
          <w:rFonts w:hint="eastAsia"/>
          <w:i/>
          <w:sz w:val="23"/>
          <w:szCs w:val="23"/>
          <w:rtl/>
        </w:rPr>
        <w:t>خواه</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آورد</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cs"/>
          <w:i/>
          <w:sz w:val="23"/>
          <w:szCs w:val="23"/>
          <w:rtl/>
        </w:rPr>
        <w:t>پ</w:t>
      </w:r>
      <w:r w:rsidRPr="00FE433F">
        <w:rPr>
          <w:rFonts w:hint="eastAsia"/>
          <w:i/>
          <w:sz w:val="23"/>
          <w:szCs w:val="23"/>
          <w:rtl/>
        </w:rPr>
        <w:t>ول</w:t>
      </w:r>
      <w:r w:rsidRPr="00FE433F">
        <w:rPr>
          <w:i/>
          <w:sz w:val="23"/>
          <w:szCs w:val="23"/>
          <w:rtl/>
        </w:rPr>
        <w:t xml:space="preserve">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eastAsia"/>
          <w:i/>
          <w:sz w:val="23"/>
          <w:szCs w:val="23"/>
          <w:rtl/>
        </w:rPr>
        <w:t>وجود</w:t>
      </w:r>
      <w:r w:rsidRPr="00FE433F">
        <w:rPr>
          <w:i/>
          <w:sz w:val="23"/>
          <w:szCs w:val="23"/>
          <w:rtl/>
        </w:rPr>
        <w:t xml:space="preserve"> </w:t>
      </w:r>
      <w:r w:rsidRPr="00FE433F">
        <w:rPr>
          <w:rFonts w:hint="eastAsia"/>
          <w:i/>
          <w:sz w:val="23"/>
          <w:szCs w:val="23"/>
          <w:rtl/>
        </w:rPr>
        <w:t>ندارد</w:t>
      </w:r>
      <w:r w:rsidRPr="00FE433F">
        <w:rPr>
          <w:i/>
          <w:sz w:val="23"/>
          <w:szCs w:val="23"/>
          <w:rtl/>
        </w:rPr>
        <w:t xml:space="preserve">. </w:t>
      </w:r>
      <w:r w:rsidRPr="00FE433F">
        <w:rPr>
          <w:rFonts w:hint="eastAsia"/>
          <w:i/>
          <w:sz w:val="23"/>
          <w:szCs w:val="23"/>
          <w:rtl/>
        </w:rPr>
        <w:t>بنابرا</w:t>
      </w:r>
      <w:r w:rsidRPr="00FE433F">
        <w:rPr>
          <w:rFonts w:hint="cs"/>
          <w:i/>
          <w:sz w:val="23"/>
          <w:szCs w:val="23"/>
          <w:rtl/>
        </w:rPr>
        <w:t>ی</w:t>
      </w:r>
      <w:r w:rsidRPr="00FE433F">
        <w:rPr>
          <w:rFonts w:hint="eastAsia"/>
          <w:i/>
          <w:sz w:val="23"/>
          <w:szCs w:val="23"/>
          <w:rtl/>
        </w:rPr>
        <w:t>ن</w:t>
      </w:r>
    </w:p>
    <w:p w14:paraId="60BA0A6E" w14:textId="77777777" w:rsidR="00411620" w:rsidRPr="00FE433F" w:rsidRDefault="00411620" w:rsidP="00411620">
      <w:pPr>
        <w:bidi w:val="0"/>
        <w:spacing w:line="216" w:lineRule="auto"/>
        <w:rPr>
          <w:i/>
          <w:sz w:val="23"/>
          <w:szCs w:val="23"/>
        </w:rPr>
      </w:pPr>
      <w:r w:rsidRPr="00FE433F">
        <w:rPr>
          <w:i/>
          <w:sz w:val="23"/>
          <w:szCs w:val="23"/>
          <w:rtl/>
        </w:rPr>
        <w:t xml:space="preserve"> </w:t>
      </w:r>
      <w:r w:rsidRPr="00FE433F">
        <w:rPr>
          <w:position w:val="-12"/>
        </w:rPr>
        <w:object w:dxaOrig="3180" w:dyaOrig="360" w14:anchorId="68FCA6B9">
          <v:shape id="_x0000_i4384" type="#_x0000_t75" style="width:159.15pt;height:18.15pt" o:ole="">
            <v:imagedata r:id="rId6761" o:title=""/>
          </v:shape>
          <o:OLEObject Type="Embed" ProgID="Equation.DSMT4" ShapeID="_x0000_i4384" DrawAspect="Content" ObjectID="_1791378328" r:id="rId6762"/>
        </w:object>
      </w:r>
    </w:p>
    <w:p w14:paraId="5C2EFEB1" w14:textId="77777777" w:rsidR="00411620" w:rsidRPr="00FE433F" w:rsidRDefault="00411620" w:rsidP="00411620">
      <w:pPr>
        <w:spacing w:line="216" w:lineRule="auto"/>
        <w:rPr>
          <w:i/>
          <w:sz w:val="23"/>
          <w:szCs w:val="23"/>
          <w:rtl/>
        </w:rPr>
      </w:pPr>
      <w:r w:rsidRPr="00FE433F">
        <w:rPr>
          <w:rFonts w:hint="eastAsia"/>
          <w:i/>
          <w:sz w:val="23"/>
          <w:szCs w:val="23"/>
          <w:rtl/>
        </w:rPr>
        <w:t>اگر</w:t>
      </w:r>
      <w:r w:rsidRPr="00FE433F">
        <w:rPr>
          <w:i/>
          <w:sz w:val="23"/>
          <w:szCs w:val="23"/>
          <w:rtl/>
        </w:rPr>
        <w:t xml:space="preserve"> </w:t>
      </w:r>
      <w:r w:rsidRPr="00FE433F">
        <w:rPr>
          <w:rFonts w:hint="eastAsia"/>
          <w:i/>
          <w:sz w:val="23"/>
          <w:szCs w:val="23"/>
          <w:rtl/>
        </w:rPr>
        <w:t>تابع</w:t>
      </w:r>
      <w:r w:rsidRPr="00FE433F">
        <w:rPr>
          <w:i/>
          <w:sz w:val="23"/>
          <w:szCs w:val="23"/>
          <w:rtl/>
        </w:rPr>
        <w:t xml:space="preserve"> </w:t>
      </w:r>
      <w:r w:rsidRPr="00FE433F">
        <w:rPr>
          <w:rFonts w:hint="eastAsia"/>
          <w:i/>
          <w:sz w:val="23"/>
          <w:szCs w:val="23"/>
          <w:rtl/>
        </w:rPr>
        <w:t>تول</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همگن</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درجه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cs"/>
          <w:i/>
          <w:sz w:val="23"/>
          <w:szCs w:val="23"/>
          <w:rtl/>
        </w:rPr>
        <w:t>ی</w:t>
      </w:r>
      <w:r w:rsidRPr="00FE433F">
        <w:rPr>
          <w:rFonts w:hint="eastAsia"/>
          <w:i/>
          <w:sz w:val="23"/>
          <w:szCs w:val="23"/>
          <w:rtl/>
        </w:rPr>
        <w:t>ک</w:t>
      </w:r>
      <w:r w:rsidRPr="00FE433F">
        <w:rPr>
          <w:i/>
          <w:sz w:val="23"/>
          <w:szCs w:val="23"/>
          <w:rtl/>
        </w:rPr>
        <w:t xml:space="preserve"> </w:t>
      </w:r>
      <w:r w:rsidRPr="00FE433F">
        <w:rPr>
          <w:rFonts w:hint="eastAsia"/>
          <w:i/>
          <w:sz w:val="23"/>
          <w:szCs w:val="23"/>
          <w:rtl/>
        </w:rPr>
        <w:t>باشد</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نهاد</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تول</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اندازه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تول</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نها</w:t>
      </w:r>
      <w:r w:rsidRPr="00FE433F">
        <w:rPr>
          <w:rFonts w:hint="cs"/>
          <w:i/>
          <w:sz w:val="23"/>
          <w:szCs w:val="23"/>
          <w:rtl/>
        </w:rPr>
        <w:t>یی</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پرداخت</w:t>
      </w:r>
      <w:r w:rsidRPr="00FE433F">
        <w:rPr>
          <w:i/>
          <w:sz w:val="23"/>
          <w:szCs w:val="23"/>
          <w:rtl/>
        </w:rPr>
        <w:t xml:space="preserve"> </w:t>
      </w:r>
      <w:r w:rsidRPr="00FE433F">
        <w:rPr>
          <w:rFonts w:hint="eastAsia"/>
          <w:i/>
          <w:sz w:val="23"/>
          <w:szCs w:val="23"/>
          <w:rtl/>
        </w:rPr>
        <w:t>شود</w:t>
      </w:r>
      <w:r w:rsidRPr="00FE433F">
        <w:rPr>
          <w:rFonts w:hint="cs"/>
          <w:i/>
          <w:sz w:val="23"/>
          <w:szCs w:val="23"/>
          <w:rtl/>
        </w:rPr>
        <w:t>،</w:t>
      </w:r>
      <w:r w:rsidRPr="00FE433F">
        <w:rPr>
          <w:i/>
          <w:sz w:val="23"/>
          <w:szCs w:val="23"/>
          <w:rtl/>
        </w:rPr>
        <w:t xml:space="preserve"> </w:t>
      </w:r>
    </w:p>
    <w:p w14:paraId="11EDB940" w14:textId="77777777" w:rsidR="00411620" w:rsidRPr="00FE433F" w:rsidRDefault="00411620" w:rsidP="00411620">
      <w:pPr>
        <w:spacing w:line="216" w:lineRule="auto"/>
        <w:rPr>
          <w:i/>
          <w:sz w:val="23"/>
          <w:szCs w:val="23"/>
          <w:rtl/>
        </w:rPr>
      </w:pPr>
      <w:r w:rsidRPr="00FE433F">
        <w:rPr>
          <w:rFonts w:hint="cs"/>
          <w:i/>
          <w:sz w:val="23"/>
          <w:szCs w:val="23"/>
          <w:rtl/>
        </w:rPr>
        <w:t>ی</w:t>
      </w:r>
      <w:r w:rsidRPr="00FE433F">
        <w:rPr>
          <w:rFonts w:hint="eastAsia"/>
          <w:i/>
          <w:sz w:val="23"/>
          <w:szCs w:val="23"/>
          <w:rtl/>
        </w:rPr>
        <w:t>عن</w:t>
      </w:r>
      <w:r w:rsidRPr="00FE433F">
        <w:rPr>
          <w:rFonts w:hint="cs"/>
          <w:i/>
          <w:sz w:val="23"/>
          <w:szCs w:val="23"/>
          <w:rtl/>
        </w:rPr>
        <w:t xml:space="preserve">ی </w:t>
      </w:r>
      <w:r w:rsidRPr="00FE433F">
        <w:rPr>
          <w:position w:val="-12"/>
        </w:rPr>
        <w:object w:dxaOrig="1040" w:dyaOrig="340" w14:anchorId="3F94EC49">
          <v:shape id="_x0000_i4385" type="#_x0000_t75" style="width:52.05pt;height:16.95pt" o:ole="">
            <v:imagedata r:id="rId6763" o:title=""/>
          </v:shape>
          <o:OLEObject Type="Embed" ProgID="Equation.DSMT4" ShapeID="_x0000_i4385" DrawAspect="Content" ObjectID="_1791378329" r:id="rId6764"/>
        </w:object>
      </w:r>
      <w:r w:rsidRPr="00FE433F">
        <w:rPr>
          <w:i/>
          <w:sz w:val="23"/>
          <w:szCs w:val="23"/>
          <w:rtl/>
        </w:rPr>
        <w:t xml:space="preserve"> </w:t>
      </w:r>
      <w:r w:rsidRPr="00FE433F">
        <w:rPr>
          <w:rFonts w:hint="eastAsia"/>
          <w:i/>
          <w:sz w:val="23"/>
          <w:szCs w:val="23"/>
          <w:rtl/>
        </w:rPr>
        <w:t>و</w:t>
      </w:r>
      <w:r w:rsidRPr="00FE433F">
        <w:rPr>
          <w:position w:val="-12"/>
        </w:rPr>
        <w:object w:dxaOrig="820" w:dyaOrig="340" w14:anchorId="4F3987A2">
          <v:shape id="_x0000_i4386" type="#_x0000_t75" style="width:41.15pt;height:16.95pt" o:ole="">
            <v:imagedata r:id="rId6765" o:title=""/>
          </v:shape>
          <o:OLEObject Type="Embed" ProgID="Equation.DSMT4" ShapeID="_x0000_i4386" DrawAspect="Content" ObjectID="_1791378330" r:id="rId6766"/>
        </w:object>
      </w:r>
      <w:r w:rsidRPr="00FE433F">
        <w:rPr>
          <w:rFonts w:hint="cs"/>
          <w:i/>
          <w:sz w:val="23"/>
          <w:szCs w:val="23"/>
          <w:rtl/>
        </w:rPr>
        <w:t xml:space="preserve">، </w:t>
      </w:r>
      <w:r w:rsidRPr="00FE433F">
        <w:rPr>
          <w:rFonts w:hint="eastAsia"/>
          <w:i/>
          <w:sz w:val="23"/>
          <w:szCs w:val="23"/>
          <w:rtl/>
        </w:rPr>
        <w:t>آنگاه</w:t>
      </w:r>
      <w:r w:rsidRPr="00FE433F">
        <w:rPr>
          <w:i/>
          <w:sz w:val="23"/>
          <w:szCs w:val="23"/>
          <w:rtl/>
        </w:rPr>
        <w:t xml:space="preserve"> </w:t>
      </w:r>
      <w:r w:rsidRPr="00FE433F">
        <w:rPr>
          <w:rFonts w:hint="eastAsia"/>
          <w:i/>
          <w:sz w:val="23"/>
          <w:szCs w:val="23"/>
          <w:rtl/>
        </w:rPr>
        <w:t>خواه</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داشت</w:t>
      </w:r>
    </w:p>
    <w:p w14:paraId="67E883C5" w14:textId="77777777" w:rsidR="00411620" w:rsidRPr="00FE433F" w:rsidRDefault="00411620" w:rsidP="00411620">
      <w:pPr>
        <w:bidi w:val="0"/>
        <w:spacing w:line="216" w:lineRule="auto"/>
        <w:rPr>
          <w:i/>
          <w:sz w:val="23"/>
          <w:szCs w:val="23"/>
        </w:rPr>
      </w:pPr>
      <w:r w:rsidRPr="00FE433F">
        <w:rPr>
          <w:position w:val="-12"/>
        </w:rPr>
        <w:object w:dxaOrig="3780" w:dyaOrig="340" w14:anchorId="6D1526E5">
          <v:shape id="_x0000_i4387" type="#_x0000_t75" style="width:189.4pt;height:16.95pt" o:ole="">
            <v:imagedata r:id="rId6767" o:title=""/>
          </v:shape>
          <o:OLEObject Type="Embed" ProgID="Equation.DSMT4" ShapeID="_x0000_i4387" DrawAspect="Content" ObjectID="_1791378331" r:id="rId6768"/>
        </w:object>
      </w:r>
      <w:r w:rsidRPr="00FE433F">
        <w:rPr>
          <w:i/>
          <w:sz w:val="23"/>
          <w:szCs w:val="23"/>
        </w:rPr>
        <w:tab/>
      </w:r>
      <w:r w:rsidRPr="00FE433F">
        <w:rPr>
          <w:i/>
          <w:sz w:val="23"/>
          <w:szCs w:val="23"/>
        </w:rPr>
        <w:tab/>
      </w:r>
      <w:r w:rsidRPr="00FE433F">
        <w:rPr>
          <w:i/>
          <w:sz w:val="23"/>
          <w:szCs w:val="23"/>
          <w:rtl/>
        </w:rPr>
        <w:tab/>
      </w:r>
      <w:r w:rsidRPr="00FE433F">
        <w:rPr>
          <w:i/>
          <w:sz w:val="23"/>
          <w:szCs w:val="23"/>
        </w:rPr>
        <w:tab/>
      </w:r>
      <w:r>
        <w:rPr>
          <w:i/>
          <w:sz w:val="23"/>
          <w:szCs w:val="23"/>
          <w:rtl/>
        </w:rPr>
        <w:tab/>
      </w:r>
      <w:r w:rsidRPr="00FE433F">
        <w:rPr>
          <w:i/>
          <w:sz w:val="23"/>
          <w:szCs w:val="23"/>
          <w:rtl/>
        </w:rPr>
        <w:tab/>
      </w:r>
      <w:r w:rsidRPr="00FE433F">
        <w:rPr>
          <w:i/>
          <w:sz w:val="23"/>
          <w:szCs w:val="23"/>
          <w:rtl/>
        </w:rPr>
        <w:tab/>
      </w:r>
      <w:r w:rsidRPr="00FE433F">
        <w:rPr>
          <w:i/>
          <w:sz w:val="23"/>
          <w:szCs w:val="23"/>
          <w:rtl/>
        </w:rPr>
        <w:tab/>
        <w:t>(۸. ۳</w:t>
      </w:r>
      <w:r w:rsidRPr="00FE433F">
        <w:rPr>
          <w:rFonts w:hint="cs"/>
          <w:i/>
          <w:sz w:val="23"/>
          <w:szCs w:val="23"/>
          <w:rtl/>
        </w:rPr>
        <w:t>۷</w:t>
      </w:r>
      <w:r w:rsidRPr="00FE433F">
        <w:rPr>
          <w:i/>
          <w:sz w:val="23"/>
          <w:szCs w:val="23"/>
          <w:rtl/>
        </w:rPr>
        <w:t>)</w:t>
      </w:r>
    </w:p>
    <w:p w14:paraId="5E140D42" w14:textId="77777777" w:rsidR="00411620" w:rsidRPr="00FE433F" w:rsidRDefault="00411620" w:rsidP="00411620">
      <w:pPr>
        <w:spacing w:line="216" w:lineRule="auto"/>
        <w:rPr>
          <w:i/>
          <w:sz w:val="23"/>
          <w:szCs w:val="23"/>
          <w:rtl/>
        </w:rPr>
      </w:pPr>
      <w:r w:rsidRPr="00FE433F">
        <w:rPr>
          <w:rFonts w:hint="cs"/>
          <w:i/>
          <w:sz w:val="23"/>
          <w:szCs w:val="23"/>
          <w:rtl/>
        </w:rPr>
        <w:t>چنانچه</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تابع</w:t>
      </w:r>
      <w:r w:rsidRPr="00FE433F">
        <w:rPr>
          <w:i/>
          <w:sz w:val="23"/>
          <w:szCs w:val="23"/>
          <w:rtl/>
        </w:rPr>
        <w:t xml:space="preserve"> </w:t>
      </w:r>
      <w:r w:rsidRPr="00FE433F">
        <w:rPr>
          <w:rFonts w:hint="eastAsia"/>
          <w:i/>
          <w:sz w:val="23"/>
          <w:szCs w:val="23"/>
          <w:rtl/>
        </w:rPr>
        <w:t>مطلوب</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موجود</w:t>
      </w:r>
      <w:r w:rsidRPr="00FE433F">
        <w:rPr>
          <w:rFonts w:hint="cs"/>
          <w:i/>
          <w:sz w:val="23"/>
          <w:szCs w:val="23"/>
          <w:rtl/>
        </w:rPr>
        <w:t>ی</w:t>
      </w:r>
      <w:r w:rsidRPr="00FE433F">
        <w:rPr>
          <w:i/>
          <w:sz w:val="23"/>
          <w:szCs w:val="23"/>
          <w:rtl/>
        </w:rPr>
        <w:t xml:space="preserve"> </w:t>
      </w:r>
      <w:r w:rsidRPr="00FE433F">
        <w:rPr>
          <w:rFonts w:hint="cs"/>
          <w:i/>
          <w:sz w:val="23"/>
          <w:szCs w:val="23"/>
          <w:rtl/>
        </w:rPr>
        <w:t xml:space="preserve">پول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cs"/>
          <w:i/>
          <w:sz w:val="23"/>
          <w:szCs w:val="23"/>
          <w:rtl/>
        </w:rPr>
        <w:t>(</w:t>
      </w:r>
      <w:r w:rsidRPr="00FE433F">
        <w:rPr>
          <w:rFonts w:hint="eastAsia"/>
          <w:i/>
          <w:sz w:val="23"/>
          <w:szCs w:val="23"/>
          <w:rtl/>
        </w:rPr>
        <w:t>همانند</w:t>
      </w:r>
      <w:r w:rsidRPr="00FE433F">
        <w:rPr>
          <w:i/>
          <w:sz w:val="23"/>
          <w:szCs w:val="23"/>
          <w:rtl/>
        </w:rPr>
        <w:t xml:space="preserve"> </w:t>
      </w:r>
      <w:r w:rsidRPr="00FE433F">
        <w:rPr>
          <w:rFonts w:hint="eastAsia"/>
          <w:i/>
          <w:sz w:val="23"/>
          <w:szCs w:val="23"/>
          <w:rtl/>
        </w:rPr>
        <w:t>تابع</w:t>
      </w:r>
      <w:r w:rsidRPr="00FE433F">
        <w:rPr>
          <w:i/>
          <w:sz w:val="23"/>
          <w:szCs w:val="23"/>
          <w:rtl/>
        </w:rPr>
        <w:t xml:space="preserve"> </w:t>
      </w:r>
      <w:r w:rsidRPr="00FE433F">
        <w:rPr>
          <w:i/>
          <w:sz w:val="23"/>
          <w:szCs w:val="23"/>
        </w:rPr>
        <w:t>MIU</w:t>
      </w:r>
      <w:r w:rsidRPr="00FE433F">
        <w:rPr>
          <w:rFonts w:hint="cs"/>
          <w:i/>
          <w:sz w:val="23"/>
          <w:szCs w:val="23"/>
          <w:rtl/>
        </w:rPr>
        <w:t>)</w:t>
      </w:r>
      <w:r w:rsidRPr="00FE433F">
        <w:rPr>
          <w:i/>
          <w:sz w:val="23"/>
          <w:szCs w:val="23"/>
          <w:rtl/>
        </w:rPr>
        <w:t xml:space="preserve"> </w:t>
      </w:r>
      <w:r w:rsidRPr="00FE433F">
        <w:rPr>
          <w:rFonts w:hint="eastAsia"/>
          <w:i/>
          <w:sz w:val="23"/>
          <w:szCs w:val="23"/>
          <w:rtl/>
        </w:rPr>
        <w:t>وجود</w:t>
      </w:r>
      <w:r w:rsidRPr="00FE433F">
        <w:rPr>
          <w:i/>
          <w:sz w:val="23"/>
          <w:szCs w:val="23"/>
          <w:rtl/>
        </w:rPr>
        <w:t xml:space="preserve"> </w:t>
      </w:r>
      <w:r w:rsidRPr="00FE433F">
        <w:rPr>
          <w:rFonts w:hint="eastAsia"/>
          <w:i/>
          <w:sz w:val="23"/>
          <w:szCs w:val="23"/>
          <w:rtl/>
        </w:rPr>
        <w:t>داشته</w:t>
      </w:r>
      <w:r w:rsidRPr="00FE433F">
        <w:rPr>
          <w:i/>
          <w:sz w:val="23"/>
          <w:szCs w:val="23"/>
          <w:rtl/>
        </w:rPr>
        <w:t xml:space="preserve"> </w:t>
      </w:r>
      <w:r w:rsidRPr="00FE433F">
        <w:rPr>
          <w:rFonts w:hint="eastAsia"/>
          <w:i/>
          <w:sz w:val="23"/>
          <w:szCs w:val="23"/>
          <w:rtl/>
        </w:rPr>
        <w:t>باشد</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تابع</w:t>
      </w:r>
      <w:r w:rsidRPr="00FE433F">
        <w:rPr>
          <w:i/>
          <w:sz w:val="23"/>
          <w:szCs w:val="23"/>
          <w:rtl/>
        </w:rPr>
        <w:t xml:space="preserve"> </w:t>
      </w:r>
      <w:r w:rsidRPr="00FE433F">
        <w:rPr>
          <w:rFonts w:hint="eastAsia"/>
          <w:i/>
          <w:sz w:val="23"/>
          <w:szCs w:val="23"/>
          <w:rtl/>
        </w:rPr>
        <w:t>مطلوب</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eastAsia"/>
          <w:i/>
          <w:sz w:val="23"/>
          <w:szCs w:val="23"/>
          <w:rtl/>
        </w:rPr>
        <w:t>تنز</w:t>
      </w:r>
      <w:r w:rsidRPr="00FE433F">
        <w:rPr>
          <w:rFonts w:hint="cs"/>
          <w:i/>
          <w:sz w:val="23"/>
          <w:szCs w:val="23"/>
          <w:rtl/>
        </w:rPr>
        <w:t>ی</w:t>
      </w:r>
      <w:r w:rsidRPr="00FE433F">
        <w:rPr>
          <w:rFonts w:hint="eastAsia"/>
          <w:i/>
          <w:sz w:val="23"/>
          <w:szCs w:val="23"/>
          <w:rtl/>
        </w:rPr>
        <w:t>ل</w:t>
      </w:r>
      <w:r w:rsidRPr="00FE433F">
        <w:rPr>
          <w:i/>
          <w:sz w:val="23"/>
          <w:szCs w:val="23"/>
          <w:rtl/>
        </w:rPr>
        <w:t xml:space="preserve"> </w:t>
      </w:r>
      <w:r w:rsidRPr="00FE433F">
        <w:rPr>
          <w:rFonts w:hint="eastAsia"/>
          <w:i/>
          <w:sz w:val="23"/>
          <w:szCs w:val="23"/>
          <w:rtl/>
        </w:rPr>
        <w:t>شده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خود</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نسبت</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خود</w:t>
      </w:r>
      <w:r w:rsidRPr="00FE433F">
        <w:rPr>
          <w:i/>
          <w:sz w:val="23"/>
          <w:szCs w:val="23"/>
          <w:rtl/>
        </w:rPr>
        <w:t xml:space="preserve"> </w:t>
      </w:r>
      <w:r w:rsidRPr="00FE433F">
        <w:rPr>
          <w:rFonts w:hint="eastAsia"/>
          <w:i/>
          <w:sz w:val="23"/>
          <w:szCs w:val="23"/>
          <w:rtl/>
        </w:rPr>
        <w:t>و</w:t>
      </w:r>
      <w:r w:rsidRPr="00FE433F">
        <w:rPr>
          <w:position w:val="-10"/>
        </w:rPr>
        <w:object w:dxaOrig="900" w:dyaOrig="320" w14:anchorId="5F81FF3F">
          <v:shape id="_x0000_i4388" type="#_x0000_t75" style="width:45.4pt;height:16.35pt" o:ole="">
            <v:imagedata r:id="rId6769" o:title=""/>
          </v:shape>
          <o:OLEObject Type="Embed" ProgID="Equation.DSMT4" ShapeID="_x0000_i4388" DrawAspect="Content" ObjectID="_1791378332" r:id="rId6770"/>
        </w:object>
      </w:r>
      <w:r w:rsidRPr="00FE433F">
        <w:rPr>
          <w:i/>
          <w:sz w:val="23"/>
          <w:szCs w:val="23"/>
        </w:rPr>
        <w:t xml:space="preserve"> </w:t>
      </w:r>
      <w:r w:rsidRPr="00FE433F">
        <w:rPr>
          <w:rFonts w:hint="eastAsia"/>
          <w:i/>
          <w:sz w:val="23"/>
          <w:szCs w:val="23"/>
          <w:rtl/>
        </w:rPr>
        <w:t>حداکثر</w:t>
      </w:r>
      <w:r w:rsidRPr="00FE433F">
        <w:rPr>
          <w:i/>
          <w:sz w:val="23"/>
          <w:szCs w:val="23"/>
          <w:rtl/>
        </w:rPr>
        <w:t xml:space="preserve"> </w:t>
      </w:r>
      <w:r w:rsidRPr="00FE433F">
        <w:rPr>
          <w:rFonts w:hint="eastAsia"/>
          <w:i/>
          <w:sz w:val="23"/>
          <w:szCs w:val="23"/>
          <w:rtl/>
        </w:rPr>
        <w:t>کند</w:t>
      </w:r>
      <w:r w:rsidRPr="00FE433F">
        <w:rPr>
          <w:rFonts w:hint="cs"/>
          <w:i/>
          <w:sz w:val="23"/>
          <w:szCs w:val="23"/>
          <w:rtl/>
        </w:rPr>
        <w:t>،</w:t>
      </w:r>
      <w:r w:rsidRPr="00FE433F">
        <w:rPr>
          <w:i/>
          <w:sz w:val="23"/>
          <w:szCs w:val="23"/>
          <w:rtl/>
        </w:rPr>
        <w:t xml:space="preserve"> </w:t>
      </w:r>
      <w:r w:rsidRPr="00FE433F">
        <w:rPr>
          <w:rFonts w:hint="eastAsia"/>
          <w:i/>
          <w:sz w:val="23"/>
          <w:szCs w:val="23"/>
          <w:rtl/>
        </w:rPr>
        <w:t>آنگاه</w:t>
      </w:r>
      <w:r w:rsidRPr="00FE433F">
        <w:rPr>
          <w:i/>
          <w:sz w:val="23"/>
          <w:szCs w:val="23"/>
          <w:rtl/>
        </w:rPr>
        <w:t xml:space="preserve"> </w:t>
      </w:r>
      <w:r w:rsidRPr="00FE433F">
        <w:rPr>
          <w:rFonts w:hint="eastAsia"/>
          <w:i/>
          <w:sz w:val="23"/>
          <w:szCs w:val="23"/>
          <w:rtl/>
        </w:rPr>
        <w:t>لاگرانژ</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مسئله</w:t>
      </w:r>
      <w:r w:rsidRPr="00FE433F">
        <w:rPr>
          <w:i/>
          <w:sz w:val="23"/>
          <w:szCs w:val="23"/>
          <w:rtl/>
        </w:rPr>
        <w:t xml:space="preserve"> </w:t>
      </w:r>
      <w:r w:rsidRPr="00FE433F">
        <w:rPr>
          <w:rFonts w:hint="eastAsia"/>
          <w:i/>
          <w:sz w:val="23"/>
          <w:szCs w:val="23"/>
          <w:rtl/>
        </w:rPr>
        <w:t>عبارت</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از</w:t>
      </w:r>
    </w:p>
    <w:p w14:paraId="424D7E02" w14:textId="77777777" w:rsidR="00411620" w:rsidRPr="00FE433F" w:rsidRDefault="00411620" w:rsidP="00411620">
      <w:pPr>
        <w:spacing w:line="216" w:lineRule="auto"/>
        <w:rPr>
          <w:i/>
          <w:sz w:val="23"/>
          <w:szCs w:val="23"/>
          <w:rtl/>
        </w:rPr>
      </w:pPr>
      <w:r w:rsidRPr="00FE433F">
        <w:rPr>
          <w:position w:val="-50"/>
        </w:rPr>
        <w:object w:dxaOrig="6580" w:dyaOrig="1120" w14:anchorId="192A0EFF">
          <v:shape id="_x0000_i4389" type="#_x0000_t75" style="width:329.15pt;height:55.65pt" o:ole="">
            <v:imagedata r:id="rId6771" o:title=""/>
          </v:shape>
          <o:OLEObject Type="Embed" ProgID="Equation.DSMT4" ShapeID="_x0000_i4389" DrawAspect="Content" ObjectID="_1791378333" r:id="rId6772"/>
        </w:object>
      </w:r>
      <w:r w:rsidRPr="00FE433F">
        <w:rPr>
          <w:rFonts w:hint="eastAsia"/>
          <w:i/>
          <w:sz w:val="23"/>
          <w:szCs w:val="23"/>
          <w:rtl/>
        </w:rPr>
        <w:t>شرا</w:t>
      </w:r>
      <w:r w:rsidRPr="00FE433F">
        <w:rPr>
          <w:rFonts w:hint="cs"/>
          <w:i/>
          <w:sz w:val="23"/>
          <w:szCs w:val="23"/>
          <w:rtl/>
        </w:rPr>
        <w:t>ی</w:t>
      </w:r>
      <w:r w:rsidRPr="00FE433F">
        <w:rPr>
          <w:rFonts w:hint="eastAsia"/>
          <w:i/>
          <w:sz w:val="23"/>
          <w:szCs w:val="23"/>
          <w:rtl/>
        </w:rPr>
        <w:t>ط</w:t>
      </w:r>
      <w:r w:rsidRPr="00FE433F">
        <w:rPr>
          <w:i/>
          <w:sz w:val="23"/>
          <w:szCs w:val="23"/>
          <w:rtl/>
        </w:rPr>
        <w:t xml:space="preserve"> </w:t>
      </w:r>
      <w:r w:rsidRPr="00FE433F">
        <w:rPr>
          <w:rFonts w:hint="eastAsia"/>
          <w:i/>
          <w:sz w:val="23"/>
          <w:szCs w:val="23"/>
          <w:rtl/>
        </w:rPr>
        <w:t>مرتبه</w:t>
      </w:r>
      <w:r w:rsidRPr="00FE433F">
        <w:rPr>
          <w:i/>
          <w:sz w:val="23"/>
          <w:szCs w:val="23"/>
          <w:rtl/>
        </w:rPr>
        <w:t xml:space="preserve"> </w:t>
      </w:r>
      <w:r w:rsidRPr="00FE433F">
        <w:rPr>
          <w:rFonts w:hint="eastAsia"/>
          <w:i/>
          <w:sz w:val="23"/>
          <w:szCs w:val="23"/>
          <w:rtl/>
        </w:rPr>
        <w:t>اول</w:t>
      </w:r>
      <w:r w:rsidRPr="00FE433F">
        <w:rPr>
          <w:i/>
          <w:sz w:val="23"/>
          <w:szCs w:val="23"/>
          <w:rtl/>
        </w:rPr>
        <w:t xml:space="preserve"> </w:t>
      </w:r>
      <w:r w:rsidRPr="00FE433F">
        <w:rPr>
          <w:rFonts w:hint="eastAsia"/>
          <w:i/>
          <w:sz w:val="23"/>
          <w:szCs w:val="23"/>
          <w:rtl/>
        </w:rPr>
        <w:t>برابر</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با</w:t>
      </w:r>
    </w:p>
    <w:p w14:paraId="31E7F52F" w14:textId="77777777" w:rsidR="00411620" w:rsidRPr="00FE433F" w:rsidRDefault="00411620" w:rsidP="00411620">
      <w:pPr>
        <w:bidi w:val="0"/>
        <w:spacing w:line="216" w:lineRule="auto"/>
        <w:rPr>
          <w:i/>
          <w:sz w:val="23"/>
          <w:szCs w:val="23"/>
          <w:rtl/>
        </w:rPr>
      </w:pPr>
      <w:r w:rsidRPr="00FE433F">
        <w:rPr>
          <w:position w:val="-28"/>
        </w:rPr>
        <w:object w:dxaOrig="5580" w:dyaOrig="620" w14:anchorId="7D8E10D1">
          <v:shape id="_x0000_i4390" type="#_x0000_t75" style="width:278.9pt;height:30.85pt" o:ole="">
            <v:imagedata r:id="rId6773" o:title=""/>
          </v:shape>
          <o:OLEObject Type="Embed" ProgID="Equation.DSMT4" ShapeID="_x0000_i4390" DrawAspect="Content" ObjectID="_1791378334" r:id="rId6774"/>
        </w:object>
      </w:r>
    </w:p>
    <w:p w14:paraId="2AB5D97A" w14:textId="77777777" w:rsidR="00411620" w:rsidRPr="00FE433F" w:rsidRDefault="00411620" w:rsidP="00411620">
      <w:pPr>
        <w:bidi w:val="0"/>
        <w:spacing w:line="216" w:lineRule="auto"/>
        <w:rPr>
          <w:i/>
          <w:sz w:val="23"/>
          <w:szCs w:val="23"/>
          <w:rtl/>
        </w:rPr>
      </w:pPr>
      <w:r w:rsidRPr="00FE433F">
        <w:rPr>
          <w:position w:val="-28"/>
        </w:rPr>
        <w:object w:dxaOrig="5560" w:dyaOrig="620" w14:anchorId="4E282D5E">
          <v:shape id="_x0000_i4391" type="#_x0000_t75" style="width:277.7pt;height:30.85pt" o:ole="">
            <v:imagedata r:id="rId6775" o:title=""/>
          </v:shape>
          <o:OLEObject Type="Embed" ProgID="Equation.DSMT4" ShapeID="_x0000_i4391" DrawAspect="Content" ObjectID="_1791378335" r:id="rId6776"/>
        </w:object>
      </w:r>
      <w:r w:rsidRPr="00FE433F">
        <w:rPr>
          <w:position w:val="-28"/>
        </w:rPr>
        <w:object w:dxaOrig="5539" w:dyaOrig="620" w14:anchorId="76614A55">
          <v:shape id="_x0000_i4392" type="#_x0000_t75" style="width:277.1pt;height:30.85pt" o:ole="">
            <v:imagedata r:id="rId6777" o:title=""/>
          </v:shape>
          <o:OLEObject Type="Embed" ProgID="Equation.DSMT4" ShapeID="_x0000_i4392" DrawAspect="Content" ObjectID="_1791378336" r:id="rId6778"/>
        </w:object>
      </w:r>
    </w:p>
    <w:p w14:paraId="1D64E926" w14:textId="77777777" w:rsidR="00411620" w:rsidRPr="00FE433F" w:rsidRDefault="00411620" w:rsidP="00411620">
      <w:pPr>
        <w:bidi w:val="0"/>
        <w:spacing w:line="216" w:lineRule="auto"/>
        <w:rPr>
          <w:i/>
          <w:sz w:val="23"/>
          <w:szCs w:val="23"/>
        </w:rPr>
      </w:pPr>
      <w:r w:rsidRPr="00FE433F">
        <w:rPr>
          <w:position w:val="-28"/>
        </w:rPr>
        <w:object w:dxaOrig="5620" w:dyaOrig="620" w14:anchorId="0D6DA142">
          <v:shape id="_x0000_i4393" type="#_x0000_t75" style="width:280.75pt;height:30.85pt" o:ole="">
            <v:imagedata r:id="rId6779" o:title=""/>
          </v:shape>
          <o:OLEObject Type="Embed" ProgID="Equation.DSMT4" ShapeID="_x0000_i4393" DrawAspect="Content" ObjectID="_1791378337" r:id="rId6780"/>
        </w:object>
      </w:r>
    </w:p>
    <w:p w14:paraId="435129C0" w14:textId="77777777" w:rsidR="00411620" w:rsidRPr="00FE433F" w:rsidRDefault="00411620" w:rsidP="00411620">
      <w:pPr>
        <w:spacing w:line="216" w:lineRule="auto"/>
        <w:rPr>
          <w:i/>
          <w:sz w:val="23"/>
          <w:szCs w:val="23"/>
          <w:rtl/>
        </w:rPr>
      </w:pPr>
      <w:r w:rsidRPr="00FE433F">
        <w:rPr>
          <w:rFonts w:hint="eastAsia"/>
          <w:i/>
          <w:sz w:val="23"/>
          <w:szCs w:val="23"/>
          <w:rtl/>
        </w:rPr>
        <w:lastRenderedPageBreak/>
        <w:t>از</w:t>
      </w:r>
      <w:r w:rsidRPr="00FE433F">
        <w:rPr>
          <w:i/>
          <w:sz w:val="23"/>
          <w:szCs w:val="23"/>
          <w:rtl/>
        </w:rPr>
        <w:t xml:space="preserve"> </w:t>
      </w:r>
      <w:r w:rsidRPr="00FE433F">
        <w:rPr>
          <w:rFonts w:hint="eastAsia"/>
          <w:i/>
          <w:sz w:val="23"/>
          <w:szCs w:val="23"/>
          <w:rtl/>
        </w:rPr>
        <w:t>آنجا</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نرخ</w:t>
      </w:r>
      <w:r w:rsidRPr="00FE433F">
        <w:rPr>
          <w:i/>
          <w:sz w:val="23"/>
          <w:szCs w:val="23"/>
          <w:rtl/>
        </w:rPr>
        <w:t xml:space="preserve"> </w:t>
      </w:r>
      <w:r w:rsidRPr="00FE433F">
        <w:rPr>
          <w:rFonts w:hint="eastAsia"/>
          <w:i/>
          <w:sz w:val="23"/>
          <w:szCs w:val="23"/>
          <w:rtl/>
        </w:rPr>
        <w:t>بازده</w:t>
      </w:r>
      <w:r w:rsidRPr="00FE433F">
        <w:rPr>
          <w:rFonts w:hint="cs"/>
          <w:i/>
          <w:sz w:val="23"/>
          <w:szCs w:val="23"/>
          <w:rtl/>
        </w:rPr>
        <w:t>ی</w:t>
      </w:r>
      <w:r w:rsidRPr="00FE433F">
        <w:rPr>
          <w:i/>
          <w:sz w:val="23"/>
          <w:szCs w:val="23"/>
          <w:rtl/>
        </w:rPr>
        <w:t xml:space="preserve">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eastAsia"/>
          <w:i/>
          <w:sz w:val="23"/>
          <w:szCs w:val="23"/>
          <w:rtl/>
        </w:rPr>
        <w:t>برابر</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position w:val="-12"/>
        </w:rPr>
        <w:object w:dxaOrig="2700" w:dyaOrig="360" w14:anchorId="41D0168D">
          <v:shape id="_x0000_i4394" type="#_x0000_t75" style="width:134.9pt;height:18.15pt" o:ole="">
            <v:imagedata r:id="rId6781" o:title=""/>
          </v:shape>
          <o:OLEObject Type="Embed" ProgID="Equation.DSMT4" ShapeID="_x0000_i4394" DrawAspect="Content" ObjectID="_1791378338" r:id="rId6782"/>
        </w:object>
      </w:r>
      <w:r w:rsidRPr="00FE433F">
        <w:rPr>
          <w:i/>
          <w:sz w:val="23"/>
          <w:szCs w:val="23"/>
        </w:rPr>
        <w:t xml:space="preserve"> </w:t>
      </w:r>
      <w:r w:rsidRPr="00FE433F">
        <w:rPr>
          <w:rFonts w:hint="eastAsia"/>
          <w:i/>
          <w:sz w:val="23"/>
          <w:szCs w:val="23"/>
          <w:rtl/>
        </w:rPr>
        <w:t>لذا</w:t>
      </w:r>
      <w:r w:rsidRPr="00FE433F">
        <w:rPr>
          <w:i/>
          <w:sz w:val="23"/>
          <w:szCs w:val="23"/>
          <w:rtl/>
        </w:rPr>
        <w:t xml:space="preserve"> </w:t>
      </w:r>
      <w:r w:rsidRPr="00FE433F">
        <w:rPr>
          <w:rFonts w:hint="eastAsia"/>
          <w:i/>
          <w:sz w:val="23"/>
          <w:szCs w:val="23"/>
          <w:rtl/>
        </w:rPr>
        <w:t>سه</w:t>
      </w:r>
      <w:r w:rsidRPr="00FE433F">
        <w:rPr>
          <w:i/>
          <w:sz w:val="23"/>
          <w:szCs w:val="23"/>
          <w:rtl/>
        </w:rPr>
        <w:t xml:space="preserve"> </w:t>
      </w:r>
      <w:r w:rsidRPr="00FE433F">
        <w:rPr>
          <w:rFonts w:hint="eastAsia"/>
          <w:i/>
          <w:sz w:val="23"/>
          <w:szCs w:val="23"/>
          <w:rtl/>
        </w:rPr>
        <w:t>شرط</w:t>
      </w:r>
      <w:r w:rsidRPr="00FE433F">
        <w:rPr>
          <w:i/>
          <w:sz w:val="23"/>
          <w:szCs w:val="23"/>
          <w:rtl/>
        </w:rPr>
        <w:t xml:space="preserve"> </w:t>
      </w:r>
      <w:r w:rsidRPr="00FE433F">
        <w:rPr>
          <w:rFonts w:hint="eastAsia"/>
          <w:i/>
          <w:sz w:val="23"/>
          <w:szCs w:val="23"/>
          <w:rtl/>
        </w:rPr>
        <w:t>مرتبه</w:t>
      </w:r>
      <w:r w:rsidRPr="00FE433F">
        <w:rPr>
          <w:i/>
          <w:sz w:val="23"/>
          <w:szCs w:val="23"/>
          <w:rtl/>
        </w:rPr>
        <w:t xml:space="preserve"> </w:t>
      </w:r>
      <w:r w:rsidRPr="00FE433F">
        <w:rPr>
          <w:rFonts w:hint="eastAsia"/>
          <w:i/>
          <w:sz w:val="23"/>
          <w:szCs w:val="23"/>
          <w:rtl/>
        </w:rPr>
        <w:t>اول</w:t>
      </w:r>
      <w:r w:rsidRPr="00FE433F">
        <w:rPr>
          <w:i/>
          <w:sz w:val="23"/>
          <w:szCs w:val="23"/>
          <w:rtl/>
        </w:rPr>
        <w:t xml:space="preserve"> </w:t>
      </w:r>
      <w:r w:rsidRPr="00FE433F">
        <w:rPr>
          <w:rFonts w:hint="eastAsia"/>
          <w:i/>
          <w:sz w:val="23"/>
          <w:szCs w:val="23"/>
          <w:rtl/>
        </w:rPr>
        <w:t>فوق</w:t>
      </w:r>
      <w:r w:rsidRPr="00FE433F">
        <w:rPr>
          <w:i/>
          <w:sz w:val="23"/>
          <w:szCs w:val="23"/>
          <w:rtl/>
        </w:rPr>
        <w:t xml:space="preserve"> </w:t>
      </w:r>
      <w:r w:rsidRPr="00FE433F">
        <w:rPr>
          <w:rFonts w:hint="eastAsia"/>
          <w:i/>
          <w:sz w:val="23"/>
          <w:szCs w:val="23"/>
          <w:rtl/>
        </w:rPr>
        <w:t>همانند</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شروط</w:t>
      </w:r>
      <w:r w:rsidRPr="00FE433F">
        <w:rPr>
          <w:rFonts w:hint="cs"/>
          <w:i/>
          <w:sz w:val="23"/>
          <w:szCs w:val="23"/>
          <w:rtl/>
        </w:rPr>
        <w:t>ی</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مدل</w:t>
      </w:r>
      <w:r w:rsidRPr="00FE433F">
        <w:rPr>
          <w:i/>
          <w:sz w:val="23"/>
          <w:szCs w:val="23"/>
          <w:rtl/>
        </w:rPr>
        <w:t xml:space="preserve"> </w:t>
      </w:r>
      <w:r w:rsidRPr="00FE433F">
        <w:rPr>
          <w:rFonts w:hint="eastAsia"/>
          <w:i/>
          <w:sz w:val="23"/>
          <w:szCs w:val="23"/>
          <w:rtl/>
        </w:rPr>
        <w:t>اول</w:t>
      </w:r>
      <w:r w:rsidRPr="00FE433F">
        <w:rPr>
          <w:rFonts w:hint="cs"/>
          <w:i/>
          <w:sz w:val="23"/>
          <w:szCs w:val="23"/>
          <w:rtl/>
        </w:rPr>
        <w:t>ی</w:t>
      </w:r>
      <w:r w:rsidRPr="00FE433F">
        <w:rPr>
          <w:rFonts w:hint="eastAsia"/>
          <w:i/>
          <w:sz w:val="23"/>
          <w:szCs w:val="23"/>
          <w:rtl/>
        </w:rPr>
        <w:t>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بدون</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بدست</w:t>
      </w:r>
      <w:r w:rsidRPr="00FE433F">
        <w:rPr>
          <w:i/>
          <w:sz w:val="23"/>
          <w:szCs w:val="23"/>
          <w:rtl/>
        </w:rPr>
        <w:t xml:space="preserve"> </w:t>
      </w:r>
      <w:r w:rsidRPr="00FE433F">
        <w:rPr>
          <w:rFonts w:hint="eastAsia"/>
          <w:i/>
          <w:sz w:val="23"/>
          <w:szCs w:val="23"/>
          <w:rtl/>
        </w:rPr>
        <w:t>آمد</w:t>
      </w:r>
      <w:r w:rsidRPr="00FE433F">
        <w:rPr>
          <w:i/>
          <w:sz w:val="23"/>
          <w:szCs w:val="23"/>
          <w:rtl/>
        </w:rPr>
        <w:t xml:space="preserve">. </w:t>
      </w:r>
    </w:p>
    <w:p w14:paraId="1BBB8784" w14:textId="77777777" w:rsidR="00411620" w:rsidRPr="00FE433F" w:rsidRDefault="00411620" w:rsidP="00411620">
      <w:pPr>
        <w:spacing w:line="216" w:lineRule="auto"/>
        <w:rPr>
          <w:i/>
          <w:sz w:val="23"/>
          <w:szCs w:val="23"/>
          <w:rtl/>
        </w:rPr>
      </w:pPr>
      <w:r w:rsidRPr="00FE433F">
        <w:rPr>
          <w:rFonts w:hint="eastAsia"/>
          <w:i/>
          <w:sz w:val="23"/>
          <w:szCs w:val="23"/>
          <w:rtl/>
        </w:rPr>
        <w:t>اکنون</w:t>
      </w:r>
      <w:r w:rsidRPr="00FE433F">
        <w:rPr>
          <w:i/>
          <w:sz w:val="23"/>
          <w:szCs w:val="23"/>
          <w:rtl/>
        </w:rPr>
        <w:t xml:space="preserve"> </w:t>
      </w:r>
      <w:r w:rsidRPr="00FE433F">
        <w:rPr>
          <w:rFonts w:hint="eastAsia"/>
          <w:i/>
          <w:sz w:val="23"/>
          <w:szCs w:val="23"/>
          <w:rtl/>
        </w:rPr>
        <w:t>راه</w:t>
      </w:r>
      <w:r w:rsidRPr="00FE433F">
        <w:rPr>
          <w:i/>
          <w:sz w:val="23"/>
          <w:szCs w:val="23"/>
          <w:rtl/>
        </w:rPr>
        <w:t xml:space="preserve"> </w:t>
      </w:r>
      <w:r w:rsidRPr="00FE433F">
        <w:rPr>
          <w:rFonts w:hint="eastAsia"/>
          <w:i/>
          <w:sz w:val="23"/>
          <w:szCs w:val="23"/>
          <w:rtl/>
        </w:rPr>
        <w:t>حل</w:t>
      </w:r>
      <w:r w:rsidRPr="00FE433F">
        <w:rPr>
          <w:i/>
          <w:sz w:val="23"/>
          <w:szCs w:val="23"/>
          <w:rtl/>
        </w:rPr>
        <w:t xml:space="preserve"> </w:t>
      </w:r>
      <w:r w:rsidRPr="00FE433F">
        <w:rPr>
          <w:rFonts w:hint="eastAsia"/>
          <w:i/>
          <w:sz w:val="23"/>
          <w:szCs w:val="23"/>
          <w:rtl/>
        </w:rPr>
        <w:t>بلندمدت</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مورد</w:t>
      </w:r>
      <w:r w:rsidRPr="00FE433F">
        <w:rPr>
          <w:i/>
          <w:sz w:val="23"/>
          <w:szCs w:val="23"/>
          <w:rtl/>
        </w:rPr>
        <w:t xml:space="preserve"> </w:t>
      </w:r>
      <w:r w:rsidRPr="00FE433F">
        <w:rPr>
          <w:rFonts w:hint="eastAsia"/>
          <w:i/>
          <w:sz w:val="23"/>
          <w:szCs w:val="23"/>
          <w:rtl/>
        </w:rPr>
        <w:t>بررس</w:t>
      </w:r>
      <w:r w:rsidRPr="00FE433F">
        <w:rPr>
          <w:rFonts w:hint="cs"/>
          <w:i/>
          <w:sz w:val="23"/>
          <w:szCs w:val="23"/>
          <w:rtl/>
        </w:rPr>
        <w:t>ی</w:t>
      </w:r>
      <w:r w:rsidRPr="00FE433F">
        <w:rPr>
          <w:i/>
          <w:sz w:val="23"/>
          <w:szCs w:val="23"/>
          <w:rtl/>
        </w:rPr>
        <w:t xml:space="preserve"> </w:t>
      </w:r>
      <w:r w:rsidRPr="00FE433F">
        <w:rPr>
          <w:rFonts w:hint="eastAsia"/>
          <w:i/>
          <w:sz w:val="23"/>
          <w:szCs w:val="23"/>
          <w:rtl/>
        </w:rPr>
        <w:t>قرار</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ده</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معادله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او</w:t>
      </w:r>
      <w:r w:rsidRPr="00FE433F">
        <w:rPr>
          <w:rFonts w:hint="cs"/>
          <w:i/>
          <w:sz w:val="23"/>
          <w:szCs w:val="23"/>
          <w:rtl/>
        </w:rPr>
        <w:t>ی</w:t>
      </w:r>
      <w:r w:rsidRPr="00FE433F">
        <w:rPr>
          <w:rFonts w:hint="eastAsia"/>
          <w:i/>
          <w:sz w:val="23"/>
          <w:szCs w:val="23"/>
          <w:rtl/>
        </w:rPr>
        <w:t>لر</w:t>
      </w:r>
      <w:r w:rsidRPr="00FE433F">
        <w:rPr>
          <w:i/>
          <w:sz w:val="23"/>
          <w:szCs w:val="23"/>
          <w:rtl/>
        </w:rPr>
        <w:t xml:space="preserve"> </w:t>
      </w:r>
      <w:r w:rsidRPr="00FE433F">
        <w:rPr>
          <w:rFonts w:hint="eastAsia"/>
          <w:i/>
          <w:sz w:val="23"/>
          <w:szCs w:val="23"/>
          <w:rtl/>
        </w:rPr>
        <w:t>مصرف</w:t>
      </w:r>
      <w:r w:rsidRPr="00FE433F">
        <w:rPr>
          <w:i/>
          <w:sz w:val="23"/>
          <w:szCs w:val="23"/>
          <w:rtl/>
        </w:rPr>
        <w:t xml:space="preserve"> </w:t>
      </w:r>
      <w:r w:rsidRPr="00FE433F">
        <w:rPr>
          <w:rFonts w:hint="eastAsia"/>
          <w:i/>
          <w:sz w:val="23"/>
          <w:szCs w:val="23"/>
          <w:rtl/>
        </w:rPr>
        <w:t>دار</w:t>
      </w:r>
      <w:r w:rsidRPr="00FE433F">
        <w:rPr>
          <w:rFonts w:hint="cs"/>
          <w:i/>
          <w:sz w:val="23"/>
          <w:szCs w:val="23"/>
          <w:rtl/>
        </w:rPr>
        <w:t>ی</w:t>
      </w:r>
      <w:r w:rsidRPr="00FE433F">
        <w:rPr>
          <w:rFonts w:hint="eastAsia"/>
          <w:i/>
          <w:sz w:val="23"/>
          <w:szCs w:val="23"/>
          <w:rtl/>
        </w:rPr>
        <w:t>م</w:t>
      </w:r>
    </w:p>
    <w:p w14:paraId="044A817D" w14:textId="77777777" w:rsidR="00411620" w:rsidRPr="00FE433F" w:rsidRDefault="00411620" w:rsidP="00411620">
      <w:pPr>
        <w:bidi w:val="0"/>
        <w:spacing w:line="216" w:lineRule="auto"/>
        <w:rPr>
          <w:i/>
          <w:sz w:val="23"/>
          <w:szCs w:val="23"/>
        </w:rPr>
      </w:pPr>
      <w:r w:rsidRPr="00FE433F">
        <w:rPr>
          <w:i/>
          <w:sz w:val="23"/>
          <w:szCs w:val="23"/>
          <w:rtl/>
        </w:rPr>
        <w:t xml:space="preserve"> </w:t>
      </w:r>
      <w:r w:rsidRPr="00FE433F">
        <w:rPr>
          <w:position w:val="-30"/>
        </w:rPr>
        <w:object w:dxaOrig="1740" w:dyaOrig="680" w14:anchorId="66FDF430">
          <v:shape id="_x0000_i4395" type="#_x0000_t75" style="width:87.15pt;height:33.9pt" o:ole="">
            <v:imagedata r:id="rId6783" o:title=""/>
          </v:shape>
          <o:OLEObject Type="Embed" ProgID="Equation.DSMT4" ShapeID="_x0000_i4395" DrawAspect="Content" ObjectID="_1791378339" r:id="rId6784"/>
        </w:object>
      </w:r>
    </w:p>
    <w:p w14:paraId="3956442B" w14:textId="77777777" w:rsidR="00411620" w:rsidRPr="00FE433F" w:rsidRDefault="00411620" w:rsidP="00411620">
      <w:pPr>
        <w:spacing w:line="216" w:lineRule="auto"/>
        <w:rPr>
          <w:i/>
          <w:sz w:val="23"/>
          <w:szCs w:val="23"/>
          <w:rtl/>
        </w:rPr>
      </w:pPr>
      <w:r w:rsidRPr="00FE433F">
        <w:rPr>
          <w:rFonts w:hint="cs"/>
          <w:i/>
          <w:sz w:val="23"/>
          <w:szCs w:val="23"/>
          <w:rtl/>
        </w:rPr>
        <w:t xml:space="preserve">و </w:t>
      </w:r>
      <w:r w:rsidRPr="00FE433F">
        <w:rPr>
          <w:rFonts w:hint="eastAsia"/>
          <w:i/>
          <w:sz w:val="23"/>
          <w:szCs w:val="23"/>
          <w:rtl/>
        </w:rPr>
        <w:t>در</w:t>
      </w:r>
      <w:r w:rsidRPr="00FE433F">
        <w:rPr>
          <w:i/>
          <w:sz w:val="23"/>
          <w:szCs w:val="23"/>
          <w:rtl/>
        </w:rPr>
        <w:t xml:space="preserve"> </w:t>
      </w:r>
      <w:r w:rsidRPr="00FE433F">
        <w:rPr>
          <w:rFonts w:hint="eastAsia"/>
          <w:i/>
          <w:sz w:val="23"/>
          <w:szCs w:val="23"/>
          <w:rtl/>
        </w:rPr>
        <w:t>بلندمدت</w:t>
      </w:r>
      <w:r w:rsidRPr="00FE433F">
        <w:rPr>
          <w:i/>
          <w:sz w:val="23"/>
          <w:szCs w:val="23"/>
        </w:rPr>
        <w:t xml:space="preserve"> </w:t>
      </w:r>
      <w:r w:rsidRPr="00FE433F">
        <w:rPr>
          <w:rFonts w:hint="eastAsia"/>
          <w:i/>
          <w:sz w:val="23"/>
          <w:szCs w:val="23"/>
          <w:rtl/>
        </w:rPr>
        <w:t>خواه</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داشت</w:t>
      </w:r>
      <w:r w:rsidRPr="00FE433F">
        <w:rPr>
          <w:i/>
          <w:sz w:val="23"/>
          <w:szCs w:val="23"/>
          <w:rtl/>
        </w:rPr>
        <w:t xml:space="preserve"> </w:t>
      </w:r>
      <w:r w:rsidRPr="00FE433F">
        <w:rPr>
          <w:position w:val="-6"/>
        </w:rPr>
        <w:object w:dxaOrig="520" w:dyaOrig="260" w14:anchorId="378DD4E4">
          <v:shape id="_x0000_i4396" type="#_x0000_t75" style="width:26pt;height:13.3pt" o:ole="">
            <v:imagedata r:id="rId6785" o:title=""/>
          </v:shape>
          <o:OLEObject Type="Embed" ProgID="Equation.DSMT4" ShapeID="_x0000_i4396" DrawAspect="Content" ObjectID="_1791378340" r:id="rId6786"/>
        </w:object>
      </w:r>
      <w:r w:rsidRPr="00FE433F">
        <w:rPr>
          <w:i/>
          <w:sz w:val="23"/>
          <w:szCs w:val="23"/>
        </w:rPr>
        <w:t xml:space="preserve"> </w:t>
      </w:r>
      <w:r w:rsidRPr="00FE433F">
        <w:rPr>
          <w:rFonts w:hint="eastAsia"/>
          <w:i/>
          <w:sz w:val="23"/>
          <w:szCs w:val="23"/>
          <w:rtl/>
        </w:rPr>
        <w:t>و</w:t>
      </w:r>
      <w:r w:rsidRPr="00FE433F">
        <w:rPr>
          <w:position w:val="-10"/>
        </w:rPr>
        <w:object w:dxaOrig="1140" w:dyaOrig="320" w14:anchorId="572D078B">
          <v:shape id="_x0000_i4397" type="#_x0000_t75" style="width:56.85pt;height:16.35pt" o:ole="">
            <v:imagedata r:id="rId6787" o:title=""/>
          </v:shape>
          <o:OLEObject Type="Embed" ProgID="Equation.DSMT4" ShapeID="_x0000_i4397" DrawAspect="Content" ObjectID="_1791378341" r:id="rId6788"/>
        </w:object>
      </w:r>
      <w:r w:rsidRPr="00FE433F">
        <w:rPr>
          <w:rFonts w:hint="cs"/>
          <w:i/>
          <w:sz w:val="23"/>
          <w:szCs w:val="23"/>
          <w:rtl/>
        </w:rPr>
        <w:t xml:space="preserve">. </w:t>
      </w:r>
      <w:r w:rsidRPr="00FE433F">
        <w:rPr>
          <w:rFonts w:hint="eastAsia"/>
          <w:i/>
          <w:sz w:val="23"/>
          <w:szCs w:val="23"/>
          <w:rtl/>
        </w:rPr>
        <w:t>مقدار</w:t>
      </w:r>
      <w:r w:rsidRPr="00FE433F">
        <w:rPr>
          <w:i/>
          <w:sz w:val="23"/>
          <w:szCs w:val="23"/>
          <w:rtl/>
        </w:rPr>
        <w:t xml:space="preserve"> </w:t>
      </w:r>
      <w:r w:rsidRPr="00FE433F">
        <w:rPr>
          <w:rFonts w:hint="eastAsia"/>
          <w:i/>
          <w:sz w:val="23"/>
          <w:szCs w:val="23"/>
          <w:rtl/>
        </w:rPr>
        <w:t>مصرف</w:t>
      </w:r>
      <w:r w:rsidRPr="00FE433F">
        <w:rPr>
          <w:i/>
          <w:sz w:val="23"/>
          <w:szCs w:val="23"/>
          <w:rtl/>
        </w:rPr>
        <w:t xml:space="preserve"> </w:t>
      </w:r>
      <w:r w:rsidRPr="00FE433F">
        <w:rPr>
          <w:rFonts w:hint="eastAsia"/>
          <w:i/>
          <w:sz w:val="23"/>
          <w:szCs w:val="23"/>
          <w:rtl/>
        </w:rPr>
        <w:t>بلندمدت</w:t>
      </w:r>
      <w:r w:rsidRPr="00FE433F">
        <w:rPr>
          <w:i/>
          <w:sz w:val="23"/>
          <w:szCs w:val="23"/>
          <w:rtl/>
        </w:rPr>
        <w:t xml:space="preserve"> </w:t>
      </w:r>
      <w:r w:rsidRPr="00FE433F">
        <w:rPr>
          <w:rFonts w:hint="eastAsia"/>
          <w:i/>
          <w:sz w:val="23"/>
          <w:szCs w:val="23"/>
          <w:rtl/>
        </w:rPr>
        <w:t>ن</w:t>
      </w:r>
      <w:r w:rsidRPr="00FE433F">
        <w:rPr>
          <w:rFonts w:hint="cs"/>
          <w:i/>
          <w:sz w:val="23"/>
          <w:szCs w:val="23"/>
          <w:rtl/>
        </w:rPr>
        <w:t>ی</w:t>
      </w:r>
      <w:r w:rsidRPr="00FE433F">
        <w:rPr>
          <w:rFonts w:hint="eastAsia"/>
          <w:i/>
          <w:sz w:val="23"/>
          <w:szCs w:val="23"/>
          <w:rtl/>
        </w:rPr>
        <w:t>ز</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مشترک</w:t>
      </w:r>
      <w:r w:rsidRPr="00FE433F">
        <w:rPr>
          <w:i/>
          <w:sz w:val="23"/>
          <w:szCs w:val="23"/>
          <w:rtl/>
        </w:rPr>
        <w:t xml:space="preserve"> </w:t>
      </w:r>
      <w:r w:rsidRPr="00FE433F">
        <w:rPr>
          <w:rFonts w:hint="eastAsia"/>
          <w:i/>
          <w:sz w:val="23"/>
          <w:szCs w:val="23"/>
          <w:rtl/>
        </w:rPr>
        <w:t>بدست</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آ</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برابر</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با</w:t>
      </w:r>
    </w:p>
    <w:p w14:paraId="3D820275" w14:textId="77777777" w:rsidR="00411620" w:rsidRPr="00FE433F" w:rsidRDefault="00411620" w:rsidP="00411620">
      <w:pPr>
        <w:bidi w:val="0"/>
        <w:spacing w:line="216" w:lineRule="auto"/>
        <w:rPr>
          <w:i/>
          <w:sz w:val="23"/>
          <w:szCs w:val="23"/>
        </w:rPr>
      </w:pPr>
      <w:r w:rsidRPr="00FE433F">
        <w:rPr>
          <w:position w:val="-6"/>
        </w:rPr>
        <w:object w:dxaOrig="1080" w:dyaOrig="260" w14:anchorId="75873BBB">
          <v:shape id="_x0000_i4398" type="#_x0000_t75" style="width:54.45pt;height:13.3pt" o:ole="">
            <v:imagedata r:id="rId6789" o:title=""/>
          </v:shape>
          <o:OLEObject Type="Embed" ProgID="Equation.DSMT4" ShapeID="_x0000_i4398" DrawAspect="Content" ObjectID="_1791378342" r:id="rId6790"/>
        </w:object>
      </w:r>
    </w:p>
    <w:p w14:paraId="3FA51E5E" w14:textId="77777777" w:rsidR="00411620" w:rsidRPr="00FE433F" w:rsidRDefault="00411620" w:rsidP="00411620">
      <w:pPr>
        <w:spacing w:line="216" w:lineRule="auto"/>
        <w:rPr>
          <w:i/>
          <w:sz w:val="23"/>
          <w:szCs w:val="23"/>
          <w:rtl/>
        </w:rPr>
      </w:pPr>
      <w:r w:rsidRPr="00FE433F">
        <w:rPr>
          <w:rFonts w:hint="eastAsia"/>
          <w:i/>
          <w:sz w:val="23"/>
          <w:szCs w:val="23"/>
          <w:rtl/>
        </w:rPr>
        <w:t>در</w:t>
      </w:r>
      <w:r w:rsidRPr="00FE433F">
        <w:rPr>
          <w:i/>
          <w:sz w:val="23"/>
          <w:szCs w:val="23"/>
          <w:rtl/>
        </w:rPr>
        <w:t xml:space="preserve"> </w:t>
      </w:r>
      <w:r w:rsidRPr="00FE433F">
        <w:rPr>
          <w:rFonts w:hint="eastAsia"/>
          <w:i/>
          <w:sz w:val="23"/>
          <w:szCs w:val="23"/>
          <w:rtl/>
        </w:rPr>
        <w:t>نت</w:t>
      </w:r>
      <w:r w:rsidRPr="00FE433F">
        <w:rPr>
          <w:rFonts w:hint="cs"/>
          <w:i/>
          <w:sz w:val="23"/>
          <w:szCs w:val="23"/>
          <w:rtl/>
        </w:rPr>
        <w:t>ی</w:t>
      </w:r>
      <w:r w:rsidRPr="00FE433F">
        <w:rPr>
          <w:rFonts w:hint="eastAsia"/>
          <w:i/>
          <w:sz w:val="23"/>
          <w:szCs w:val="23"/>
          <w:rtl/>
        </w:rPr>
        <w:t>جه</w:t>
      </w:r>
      <w:r w:rsidRPr="00FE433F">
        <w:rPr>
          <w:i/>
          <w:sz w:val="23"/>
          <w:szCs w:val="23"/>
          <w:rtl/>
        </w:rPr>
        <w:t xml:space="preserve"> </w:t>
      </w:r>
      <w:r w:rsidRPr="00FE433F">
        <w:rPr>
          <w:rFonts w:hint="eastAsia"/>
          <w:i/>
          <w:sz w:val="23"/>
          <w:szCs w:val="23"/>
          <w:rtl/>
        </w:rPr>
        <w:t>نه</w:t>
      </w:r>
      <w:r w:rsidRPr="00FE433F">
        <w:rPr>
          <w:i/>
          <w:sz w:val="23"/>
          <w:szCs w:val="23"/>
          <w:rtl/>
        </w:rPr>
        <w:t xml:space="preserve"> </w:t>
      </w:r>
      <w:r w:rsidRPr="00FE433F">
        <w:rPr>
          <w:rFonts w:hint="eastAsia"/>
          <w:i/>
          <w:sz w:val="23"/>
          <w:szCs w:val="23"/>
          <w:rtl/>
        </w:rPr>
        <w:t>تنها</w:t>
      </w:r>
      <w:r w:rsidRPr="00FE433F">
        <w:rPr>
          <w:i/>
          <w:sz w:val="23"/>
          <w:szCs w:val="23"/>
          <w:rtl/>
        </w:rPr>
        <w:t xml:space="preserve"> </w:t>
      </w:r>
      <w:r w:rsidRPr="00FE433F">
        <w:rPr>
          <w:rFonts w:hint="eastAsia"/>
          <w:i/>
          <w:sz w:val="23"/>
          <w:szCs w:val="23"/>
          <w:rtl/>
        </w:rPr>
        <w:t>مصرف</w:t>
      </w:r>
      <w:r w:rsidRPr="00FE433F">
        <w:rPr>
          <w:i/>
          <w:sz w:val="23"/>
          <w:szCs w:val="23"/>
          <w:rtl/>
        </w:rPr>
        <w:t xml:space="preserve"> </w:t>
      </w:r>
      <w:r w:rsidRPr="00FE433F">
        <w:rPr>
          <w:rFonts w:hint="eastAsia"/>
          <w:i/>
          <w:sz w:val="23"/>
          <w:szCs w:val="23"/>
          <w:rtl/>
        </w:rPr>
        <w:t>بلکه</w:t>
      </w:r>
      <w:r w:rsidRPr="00FE433F">
        <w:rPr>
          <w:i/>
          <w:sz w:val="23"/>
          <w:szCs w:val="23"/>
          <w:rtl/>
        </w:rPr>
        <w:t xml:space="preserve"> </w:t>
      </w:r>
      <w:r w:rsidRPr="00FE433F">
        <w:rPr>
          <w:rFonts w:hint="eastAsia"/>
          <w:i/>
          <w:sz w:val="23"/>
          <w:szCs w:val="23"/>
          <w:rtl/>
        </w:rPr>
        <w:t>سطوح</w:t>
      </w:r>
      <w:r w:rsidRPr="00FE433F">
        <w:rPr>
          <w:i/>
          <w:sz w:val="23"/>
          <w:szCs w:val="23"/>
          <w:rtl/>
        </w:rPr>
        <w:t xml:space="preserve"> </w:t>
      </w:r>
      <w:r w:rsidRPr="00FE433F">
        <w:rPr>
          <w:rFonts w:hint="eastAsia"/>
          <w:i/>
          <w:sz w:val="23"/>
          <w:szCs w:val="23"/>
          <w:rtl/>
        </w:rPr>
        <w:t>بلند</w:t>
      </w:r>
      <w:r w:rsidRPr="00FE433F">
        <w:rPr>
          <w:rFonts w:hint="cs"/>
          <w:i/>
          <w:sz w:val="23"/>
          <w:szCs w:val="23"/>
          <w:rtl/>
        </w:rPr>
        <w:t>‌</w:t>
      </w:r>
      <w:r w:rsidRPr="00FE433F">
        <w:rPr>
          <w:i/>
          <w:sz w:val="23"/>
          <w:szCs w:val="23"/>
          <w:rtl/>
        </w:rPr>
        <w:t xml:space="preserve">مدت </w:t>
      </w:r>
      <w:r w:rsidRPr="00FE433F">
        <w:rPr>
          <w:rFonts w:hint="eastAsia"/>
          <w:i/>
          <w:sz w:val="23"/>
          <w:szCs w:val="23"/>
          <w:rtl/>
        </w:rPr>
        <w:t>موجود</w:t>
      </w:r>
      <w:r w:rsidRPr="00FE433F">
        <w:rPr>
          <w:rFonts w:hint="cs"/>
          <w:i/>
          <w:sz w:val="23"/>
          <w:szCs w:val="23"/>
          <w:rtl/>
        </w:rPr>
        <w:t>ی</w:t>
      </w:r>
      <w:r w:rsidRPr="00FE433F">
        <w:rPr>
          <w:i/>
          <w:sz w:val="23"/>
          <w:szCs w:val="23"/>
          <w:rtl/>
        </w:rPr>
        <w:t xml:space="preserve"> </w:t>
      </w:r>
      <w:r w:rsidRPr="00FE433F">
        <w:rPr>
          <w:rFonts w:hint="eastAsia"/>
          <w:i/>
          <w:sz w:val="23"/>
          <w:szCs w:val="23"/>
          <w:rtl/>
        </w:rPr>
        <w:t>سرما</w:t>
      </w:r>
      <w:r w:rsidRPr="00FE433F">
        <w:rPr>
          <w:rFonts w:hint="cs"/>
          <w:i/>
          <w:sz w:val="23"/>
          <w:szCs w:val="23"/>
          <w:rtl/>
        </w:rPr>
        <w:t>ی</w:t>
      </w:r>
      <w:r w:rsidRPr="00FE433F">
        <w:rPr>
          <w:rFonts w:hint="eastAsia"/>
          <w:i/>
          <w:sz w:val="23"/>
          <w:szCs w:val="23"/>
          <w:rtl/>
        </w:rPr>
        <w:t>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w:t>
      </w:r>
      <w:r w:rsidRPr="00FE433F">
        <w:rPr>
          <w:rFonts w:hint="cs"/>
          <w:i/>
          <w:sz w:val="23"/>
          <w:szCs w:val="23"/>
          <w:rtl/>
        </w:rPr>
        <w:t>ی</w:t>
      </w:r>
      <w:r w:rsidRPr="00FE433F">
        <w:rPr>
          <w:rFonts w:hint="eastAsia"/>
          <w:i/>
          <w:sz w:val="23"/>
          <w:szCs w:val="23"/>
          <w:rtl/>
        </w:rPr>
        <w:t>رو</w:t>
      </w:r>
      <w:r w:rsidRPr="00FE433F">
        <w:rPr>
          <w:rFonts w:hint="cs"/>
          <w:i/>
          <w:sz w:val="23"/>
          <w:szCs w:val="23"/>
          <w:rtl/>
        </w:rPr>
        <w:t>ی</w:t>
      </w:r>
      <w:r w:rsidRPr="00FE433F">
        <w:rPr>
          <w:i/>
          <w:sz w:val="23"/>
          <w:szCs w:val="23"/>
          <w:rtl/>
        </w:rPr>
        <w:t xml:space="preserve"> </w:t>
      </w:r>
      <w:r w:rsidRPr="00FE433F">
        <w:rPr>
          <w:rFonts w:hint="eastAsia"/>
          <w:i/>
          <w:sz w:val="23"/>
          <w:szCs w:val="23"/>
          <w:rtl/>
        </w:rPr>
        <w:t>کار</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وضع</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cs"/>
          <w:i/>
          <w:sz w:val="23"/>
          <w:szCs w:val="23"/>
          <w:rtl/>
        </w:rPr>
        <w:t>ی</w:t>
      </w:r>
      <w:r w:rsidRPr="00FE433F">
        <w:rPr>
          <w:rFonts w:hint="eastAsia"/>
          <w:i/>
          <w:sz w:val="23"/>
          <w:szCs w:val="23"/>
          <w:rtl/>
        </w:rPr>
        <w:t>کنواخت</w:t>
      </w:r>
      <w:r w:rsidRPr="00FE433F">
        <w:rPr>
          <w:rFonts w:hint="cs"/>
          <w:i/>
          <w:sz w:val="23"/>
          <w:szCs w:val="23"/>
          <w:rtl/>
        </w:rPr>
        <w:t>،</w:t>
      </w:r>
      <w:r w:rsidRPr="00FE433F">
        <w:rPr>
          <w:i/>
          <w:sz w:val="23"/>
          <w:szCs w:val="23"/>
          <w:rtl/>
        </w:rPr>
        <w:t xml:space="preserve"> </w:t>
      </w:r>
      <w:r w:rsidRPr="00FE433F">
        <w:rPr>
          <w:rFonts w:hint="eastAsia"/>
          <w:i/>
          <w:sz w:val="23"/>
          <w:szCs w:val="23"/>
          <w:rtl/>
        </w:rPr>
        <w:t>متأثر</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eastAsia"/>
          <w:i/>
          <w:sz w:val="23"/>
          <w:szCs w:val="23"/>
          <w:rtl/>
        </w:rPr>
        <w:t>ن</w:t>
      </w:r>
      <w:r w:rsidRPr="00FE433F">
        <w:rPr>
          <w:rFonts w:hint="cs"/>
          <w:i/>
          <w:sz w:val="23"/>
          <w:szCs w:val="23"/>
          <w:rtl/>
        </w:rPr>
        <w:t>خواهد بود</w:t>
      </w:r>
      <w:r w:rsidRPr="00FE433F">
        <w:rPr>
          <w:i/>
          <w:sz w:val="23"/>
          <w:szCs w:val="23"/>
          <w:rtl/>
        </w:rPr>
        <w:t xml:space="preserve">. </w:t>
      </w:r>
      <w:r w:rsidRPr="00FE433F">
        <w:rPr>
          <w:rFonts w:hint="eastAsia"/>
          <w:i/>
          <w:sz w:val="23"/>
          <w:szCs w:val="23"/>
          <w:rtl/>
        </w:rPr>
        <w:t>بنابرا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اگر</w:t>
      </w:r>
      <w:r w:rsidRPr="00FE433F">
        <w:rPr>
          <w:i/>
          <w:sz w:val="23"/>
          <w:szCs w:val="23"/>
          <w:rtl/>
        </w:rPr>
        <w:t xml:space="preserve"> </w:t>
      </w:r>
      <w:r w:rsidRPr="00FE433F">
        <w:rPr>
          <w:rFonts w:hint="eastAsia"/>
          <w:i/>
          <w:sz w:val="23"/>
          <w:szCs w:val="23"/>
          <w:rtl/>
        </w:rPr>
        <w:t>درآمدها</w:t>
      </w:r>
      <w:r w:rsidRPr="00FE433F">
        <w:rPr>
          <w:rFonts w:hint="cs"/>
          <w:i/>
          <w:sz w:val="23"/>
          <w:szCs w:val="23"/>
          <w:rtl/>
        </w:rPr>
        <w:t>ی</w:t>
      </w:r>
      <w:r w:rsidRPr="00FE433F">
        <w:rPr>
          <w:i/>
          <w:sz w:val="23"/>
          <w:szCs w:val="23"/>
          <w:rtl/>
        </w:rPr>
        <w:t xml:space="preserve"> </w:t>
      </w:r>
      <w:r w:rsidRPr="00FE433F">
        <w:rPr>
          <w:rFonts w:hint="eastAsia"/>
          <w:i/>
          <w:sz w:val="23"/>
          <w:szCs w:val="23"/>
          <w:rtl/>
        </w:rPr>
        <w:t>حق</w:t>
      </w:r>
      <w:r w:rsidRPr="00FE433F">
        <w:rPr>
          <w:i/>
          <w:sz w:val="23"/>
          <w:szCs w:val="23"/>
          <w:rtl/>
        </w:rPr>
        <w:softHyphen/>
      </w:r>
      <w:r w:rsidRPr="00FE433F">
        <w:rPr>
          <w:rFonts w:hint="eastAsia"/>
          <w:i/>
          <w:sz w:val="23"/>
          <w:szCs w:val="23"/>
          <w:rtl/>
        </w:rPr>
        <w:t>الضرب</w:t>
      </w:r>
      <w:r w:rsidRPr="00FE433F">
        <w:rPr>
          <w:i/>
          <w:sz w:val="23"/>
          <w:szCs w:val="23"/>
          <w:rtl/>
        </w:rPr>
        <w:t xml:space="preserve"> </w:t>
      </w:r>
      <w:r w:rsidRPr="00FE433F">
        <w:rPr>
          <w:rFonts w:hint="eastAsia"/>
          <w:i/>
          <w:sz w:val="23"/>
          <w:szCs w:val="23"/>
          <w:rtl/>
        </w:rPr>
        <w:t>بواسطه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پرداخت</w:t>
      </w:r>
      <w:r w:rsidRPr="00FE433F">
        <w:rPr>
          <w:i/>
          <w:sz w:val="23"/>
          <w:szCs w:val="23"/>
          <w:rtl/>
        </w:rPr>
        <w:softHyphen/>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انتقال</w:t>
      </w:r>
      <w:r w:rsidRPr="00FE433F">
        <w:rPr>
          <w:rFonts w:hint="cs"/>
          <w:i/>
          <w:sz w:val="23"/>
          <w:szCs w:val="23"/>
          <w:rtl/>
        </w:rPr>
        <w:t>ی</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بازگردانده</w:t>
      </w:r>
      <w:r w:rsidRPr="00FE433F">
        <w:rPr>
          <w:i/>
          <w:sz w:val="23"/>
          <w:szCs w:val="23"/>
          <w:rtl/>
        </w:rPr>
        <w:t xml:space="preserve"> </w:t>
      </w:r>
      <w:r w:rsidRPr="00FE433F">
        <w:rPr>
          <w:rFonts w:hint="eastAsia"/>
          <w:i/>
          <w:sz w:val="23"/>
          <w:szCs w:val="23"/>
          <w:rtl/>
        </w:rPr>
        <w:t>شود</w:t>
      </w:r>
      <w:r w:rsidRPr="00FE433F">
        <w:rPr>
          <w:rFonts w:hint="cs"/>
          <w:i/>
          <w:sz w:val="23"/>
          <w:szCs w:val="23"/>
          <w:rtl/>
        </w:rPr>
        <w:t>،</w:t>
      </w:r>
      <w:r w:rsidRPr="00FE433F">
        <w:rPr>
          <w:i/>
          <w:sz w:val="23"/>
          <w:szCs w:val="23"/>
          <w:rtl/>
        </w:rPr>
        <w:t xml:space="preserve"> </w:t>
      </w:r>
      <w:r w:rsidRPr="00FE433F">
        <w:rPr>
          <w:rFonts w:hint="eastAsia"/>
          <w:i/>
          <w:sz w:val="23"/>
          <w:szCs w:val="23"/>
          <w:rtl/>
        </w:rPr>
        <w:t>آنگاه</w:t>
      </w:r>
      <w:r w:rsidRPr="00FE433F">
        <w:rPr>
          <w:i/>
          <w:sz w:val="23"/>
          <w:szCs w:val="23"/>
          <w:rtl/>
        </w:rPr>
        <w:t xml:space="preserve"> </w:t>
      </w:r>
      <w:r w:rsidRPr="00FE433F">
        <w:rPr>
          <w:rFonts w:hint="eastAsia"/>
          <w:i/>
          <w:sz w:val="23"/>
          <w:szCs w:val="23"/>
          <w:rtl/>
        </w:rPr>
        <w:t>اقتصاد</w:t>
      </w:r>
      <w:r w:rsidRPr="00FE433F">
        <w:rPr>
          <w:i/>
          <w:sz w:val="23"/>
          <w:szCs w:val="23"/>
          <w:rtl/>
        </w:rPr>
        <w:t xml:space="preserve"> </w:t>
      </w:r>
      <w:r w:rsidRPr="00FE433F">
        <w:rPr>
          <w:rFonts w:hint="eastAsia"/>
          <w:i/>
          <w:sz w:val="23"/>
          <w:szCs w:val="23"/>
          <w:rtl/>
        </w:rPr>
        <w:t>نسبت</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cs"/>
          <w:i/>
          <w:sz w:val="23"/>
          <w:szCs w:val="23"/>
          <w:rtl/>
        </w:rPr>
        <w:t>پ</w:t>
      </w:r>
      <w:r w:rsidRPr="00FE433F">
        <w:rPr>
          <w:rFonts w:hint="eastAsia"/>
          <w:i/>
          <w:sz w:val="23"/>
          <w:szCs w:val="23"/>
          <w:rtl/>
        </w:rPr>
        <w:t>ول</w:t>
      </w:r>
      <w:r w:rsidRPr="00FE433F">
        <w:rPr>
          <w:i/>
          <w:sz w:val="23"/>
          <w:szCs w:val="23"/>
          <w:rtl/>
        </w:rPr>
        <w:t xml:space="preserve"> </w:t>
      </w:r>
      <w:r w:rsidRPr="00FE433F">
        <w:rPr>
          <w:rFonts w:hint="eastAsia"/>
          <w:i/>
          <w:sz w:val="23"/>
          <w:szCs w:val="23"/>
          <w:rtl/>
        </w:rPr>
        <w:t>ابر</w:t>
      </w:r>
      <w:r w:rsidRPr="00FE433F">
        <w:rPr>
          <w:i/>
          <w:sz w:val="23"/>
          <w:szCs w:val="23"/>
          <w:rtl/>
        </w:rPr>
        <w:t xml:space="preserve"> </w:t>
      </w:r>
      <w:r w:rsidRPr="00FE433F">
        <w:rPr>
          <w:rFonts w:hint="eastAsia"/>
          <w:i/>
          <w:sz w:val="23"/>
          <w:szCs w:val="23"/>
          <w:rtl/>
        </w:rPr>
        <w:t>خنث</w:t>
      </w:r>
      <w:r w:rsidRPr="00FE433F">
        <w:rPr>
          <w:rFonts w:hint="cs"/>
          <w:i/>
          <w:sz w:val="23"/>
          <w:szCs w:val="23"/>
          <w:rtl/>
        </w:rPr>
        <w:t>ی</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p>
    <w:p w14:paraId="3C8ACA26" w14:textId="77777777" w:rsidR="00411620" w:rsidRPr="00FE433F" w:rsidRDefault="00411620" w:rsidP="00411620">
      <w:pPr>
        <w:spacing w:line="216" w:lineRule="auto"/>
        <w:rPr>
          <w:i/>
          <w:sz w:val="23"/>
          <w:szCs w:val="23"/>
          <w:rtl/>
        </w:rPr>
      </w:pPr>
      <w:r w:rsidRPr="00FE433F">
        <w:rPr>
          <w:rFonts w:hint="eastAsia"/>
          <w:i/>
          <w:sz w:val="23"/>
          <w:szCs w:val="23"/>
          <w:rtl/>
        </w:rPr>
        <w:t>اگر</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ده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انتقال</w:t>
      </w:r>
      <w:r w:rsidRPr="00FE433F">
        <w:rPr>
          <w:i/>
          <w:sz w:val="23"/>
          <w:szCs w:val="23"/>
          <w:rtl/>
        </w:rPr>
        <w:t xml:space="preserve"> </w:t>
      </w:r>
      <w:r w:rsidRPr="00FE433F">
        <w:rPr>
          <w:rFonts w:hint="eastAsia"/>
          <w:i/>
          <w:sz w:val="23"/>
          <w:szCs w:val="23"/>
          <w:rtl/>
        </w:rPr>
        <w:t>درآمدها</w:t>
      </w:r>
      <w:r w:rsidRPr="00FE433F">
        <w:rPr>
          <w:rFonts w:hint="cs"/>
          <w:i/>
          <w:sz w:val="23"/>
          <w:szCs w:val="23"/>
          <w:rtl/>
        </w:rPr>
        <w:t>ی</w:t>
      </w:r>
      <w:r w:rsidRPr="00FE433F">
        <w:rPr>
          <w:i/>
          <w:sz w:val="23"/>
          <w:szCs w:val="23"/>
          <w:rtl/>
        </w:rPr>
        <w:t xml:space="preserve"> </w:t>
      </w:r>
      <w:r w:rsidRPr="00FE433F">
        <w:rPr>
          <w:rFonts w:hint="eastAsia"/>
          <w:i/>
          <w:sz w:val="23"/>
          <w:szCs w:val="23"/>
          <w:rtl/>
        </w:rPr>
        <w:t>حق</w:t>
      </w:r>
      <w:r w:rsidRPr="00FE433F">
        <w:rPr>
          <w:i/>
          <w:sz w:val="23"/>
          <w:szCs w:val="23"/>
          <w:rtl/>
        </w:rPr>
        <w:softHyphen/>
      </w:r>
      <w:r w:rsidRPr="00FE433F">
        <w:rPr>
          <w:rFonts w:hint="eastAsia"/>
          <w:i/>
          <w:sz w:val="23"/>
          <w:szCs w:val="23"/>
          <w:rtl/>
        </w:rPr>
        <w:t>الضرب</w:t>
      </w:r>
      <w:r w:rsidRPr="00FE433F">
        <w:rPr>
          <w:i/>
          <w:sz w:val="23"/>
          <w:szCs w:val="23"/>
          <w:rtl/>
        </w:rPr>
        <w:t xml:space="preserve"> </w:t>
      </w:r>
      <w:r w:rsidRPr="00FE433F">
        <w:rPr>
          <w:rFonts w:hint="eastAsia"/>
          <w:i/>
          <w:sz w:val="23"/>
          <w:szCs w:val="23"/>
          <w:rtl/>
        </w:rPr>
        <w:t>توسط</w:t>
      </w:r>
      <w:r w:rsidRPr="00FE433F">
        <w:rPr>
          <w:i/>
          <w:sz w:val="23"/>
          <w:szCs w:val="23"/>
          <w:rtl/>
        </w:rPr>
        <w:t xml:space="preserve"> </w:t>
      </w:r>
      <w:r w:rsidRPr="00FE433F">
        <w:rPr>
          <w:rFonts w:hint="eastAsia"/>
          <w:i/>
          <w:sz w:val="23"/>
          <w:szCs w:val="23"/>
          <w:rtl/>
        </w:rPr>
        <w:t>دولت</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غ</w:t>
      </w:r>
      <w:r w:rsidRPr="00FE433F">
        <w:rPr>
          <w:rFonts w:hint="cs"/>
          <w:i/>
          <w:sz w:val="23"/>
          <w:szCs w:val="23"/>
          <w:rtl/>
        </w:rPr>
        <w:t>ی</w:t>
      </w:r>
      <w:r w:rsidRPr="00FE433F">
        <w:rPr>
          <w:rFonts w:hint="eastAsia"/>
          <w:i/>
          <w:sz w:val="23"/>
          <w:szCs w:val="23"/>
          <w:rtl/>
        </w:rPr>
        <w:t>رمحتمل</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نامعقول</w:t>
      </w:r>
      <w:r w:rsidRPr="00FE433F">
        <w:rPr>
          <w:i/>
          <w:sz w:val="23"/>
          <w:szCs w:val="23"/>
          <w:rtl/>
        </w:rPr>
        <w:t xml:space="preserve"> </w:t>
      </w:r>
      <w:r w:rsidRPr="00FE433F">
        <w:rPr>
          <w:rFonts w:hint="eastAsia"/>
          <w:i/>
          <w:sz w:val="23"/>
          <w:szCs w:val="23"/>
          <w:rtl/>
        </w:rPr>
        <w:t>باشد</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توان</w:t>
      </w:r>
      <w:r w:rsidRPr="00FE433F">
        <w:rPr>
          <w:i/>
          <w:sz w:val="23"/>
          <w:szCs w:val="23"/>
          <w:rtl/>
        </w:rPr>
        <w:t xml:space="preserve"> </w:t>
      </w:r>
      <w:r w:rsidRPr="00FE433F">
        <w:rPr>
          <w:rFonts w:hint="eastAsia"/>
          <w:i/>
          <w:sz w:val="23"/>
          <w:szCs w:val="23"/>
          <w:rtl/>
        </w:rPr>
        <w:t>حالت</w:t>
      </w:r>
      <w:r w:rsidRPr="00FE433F">
        <w:rPr>
          <w:i/>
          <w:sz w:val="23"/>
          <w:szCs w:val="23"/>
          <w:rtl/>
        </w:rPr>
        <w:t xml:space="preserve"> </w:t>
      </w:r>
      <w:r w:rsidRPr="00FE433F">
        <w:rPr>
          <w:rFonts w:hint="eastAsia"/>
          <w:i/>
          <w:sz w:val="23"/>
          <w:szCs w:val="23"/>
          <w:rtl/>
        </w:rPr>
        <w:t>د</w:t>
      </w:r>
      <w:r w:rsidRPr="00FE433F">
        <w:rPr>
          <w:rFonts w:hint="cs"/>
          <w:i/>
          <w:sz w:val="23"/>
          <w:szCs w:val="23"/>
          <w:rtl/>
        </w:rPr>
        <w:t>ی</w:t>
      </w:r>
      <w:r w:rsidRPr="00FE433F">
        <w:rPr>
          <w:rFonts w:hint="eastAsia"/>
          <w:i/>
          <w:sz w:val="23"/>
          <w:szCs w:val="23"/>
          <w:rtl/>
        </w:rPr>
        <w:t>گر</w:t>
      </w:r>
      <w:r w:rsidRPr="00FE433F">
        <w:rPr>
          <w:rFonts w:hint="cs"/>
          <w:i/>
          <w:sz w:val="23"/>
          <w:szCs w:val="23"/>
          <w:rtl/>
        </w:rPr>
        <w:t>ی</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نظر</w:t>
      </w:r>
      <w:r w:rsidRPr="00FE433F">
        <w:rPr>
          <w:i/>
          <w:sz w:val="23"/>
          <w:szCs w:val="23"/>
          <w:rtl/>
        </w:rPr>
        <w:t xml:space="preserve"> </w:t>
      </w:r>
      <w:r w:rsidRPr="00FE433F">
        <w:rPr>
          <w:rFonts w:hint="eastAsia"/>
          <w:i/>
          <w:sz w:val="23"/>
          <w:szCs w:val="23"/>
          <w:rtl/>
        </w:rPr>
        <w:t>گرفت</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دولت</w:t>
      </w:r>
      <w:r w:rsidRPr="00FE433F">
        <w:rPr>
          <w:i/>
          <w:sz w:val="23"/>
          <w:szCs w:val="23"/>
          <w:rtl/>
        </w:rPr>
        <w:t xml:space="preserve"> </w:t>
      </w:r>
      <w:r w:rsidRPr="00FE433F">
        <w:rPr>
          <w:rFonts w:hint="eastAsia"/>
          <w:i/>
          <w:sz w:val="23"/>
          <w:szCs w:val="23"/>
          <w:rtl/>
        </w:rPr>
        <w:t>ابتدا</w:t>
      </w:r>
      <w:r w:rsidRPr="00FE433F">
        <w:rPr>
          <w:i/>
          <w:sz w:val="23"/>
          <w:szCs w:val="23"/>
          <w:rtl/>
        </w:rPr>
        <w:t xml:space="preserve"> </w:t>
      </w:r>
      <w:r w:rsidRPr="00FE433F">
        <w:rPr>
          <w:rFonts w:hint="eastAsia"/>
          <w:i/>
          <w:sz w:val="23"/>
          <w:szCs w:val="23"/>
          <w:rtl/>
        </w:rPr>
        <w:t>مخارج</w:t>
      </w:r>
      <w:r w:rsidRPr="00FE433F">
        <w:rPr>
          <w:i/>
          <w:sz w:val="23"/>
          <w:szCs w:val="23"/>
          <w:rtl/>
        </w:rPr>
        <w:t xml:space="preserve"> </w:t>
      </w:r>
      <w:r w:rsidRPr="00FE433F">
        <w:rPr>
          <w:rFonts w:hint="eastAsia"/>
          <w:i/>
          <w:sz w:val="23"/>
          <w:szCs w:val="23"/>
          <w:rtl/>
        </w:rPr>
        <w:t>خود</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مع</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سپس</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مخارج</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طر</w:t>
      </w:r>
      <w:r w:rsidRPr="00FE433F">
        <w:rPr>
          <w:rFonts w:hint="cs"/>
          <w:i/>
          <w:sz w:val="23"/>
          <w:szCs w:val="23"/>
          <w:rtl/>
        </w:rPr>
        <w:t>ی</w:t>
      </w:r>
      <w:r w:rsidRPr="00FE433F">
        <w:rPr>
          <w:rFonts w:hint="eastAsia"/>
          <w:i/>
          <w:sz w:val="23"/>
          <w:szCs w:val="23"/>
          <w:rtl/>
        </w:rPr>
        <w:t>ق</w:t>
      </w:r>
      <w:r w:rsidRPr="00FE433F">
        <w:rPr>
          <w:i/>
          <w:sz w:val="23"/>
          <w:szCs w:val="23"/>
          <w:rtl/>
        </w:rPr>
        <w:t xml:space="preserve"> </w:t>
      </w:r>
      <w:r w:rsidRPr="00FE433F">
        <w:rPr>
          <w:rFonts w:hint="eastAsia"/>
          <w:i/>
          <w:sz w:val="23"/>
          <w:szCs w:val="23"/>
          <w:rtl/>
        </w:rPr>
        <w:t>ترک</w:t>
      </w:r>
      <w:r w:rsidRPr="00FE433F">
        <w:rPr>
          <w:rFonts w:hint="cs"/>
          <w:i/>
          <w:sz w:val="23"/>
          <w:szCs w:val="23"/>
          <w:rtl/>
        </w:rPr>
        <w:t>ی</w:t>
      </w:r>
      <w:r w:rsidRPr="00FE433F">
        <w:rPr>
          <w:rFonts w:hint="eastAsia"/>
          <w:i/>
          <w:sz w:val="23"/>
          <w:szCs w:val="23"/>
          <w:rtl/>
        </w:rPr>
        <w:t>ب</w:t>
      </w:r>
      <w:r w:rsidRPr="00FE433F">
        <w:rPr>
          <w:i/>
          <w:sz w:val="23"/>
          <w:szCs w:val="23"/>
          <w:rtl/>
        </w:rPr>
        <w:t xml:space="preserve"> </w:t>
      </w:r>
      <w:r w:rsidRPr="00FE433F">
        <w:rPr>
          <w:rFonts w:hint="eastAsia"/>
          <w:i/>
          <w:sz w:val="23"/>
          <w:szCs w:val="23"/>
          <w:rtl/>
        </w:rPr>
        <w:t>مال</w:t>
      </w:r>
      <w:r w:rsidRPr="00FE433F">
        <w:rPr>
          <w:rFonts w:hint="cs"/>
          <w:i/>
          <w:sz w:val="23"/>
          <w:szCs w:val="23"/>
          <w:rtl/>
        </w:rPr>
        <w:t>ی</w:t>
      </w:r>
      <w:r w:rsidRPr="00FE433F">
        <w:rPr>
          <w:rFonts w:hint="eastAsia"/>
          <w:i/>
          <w:sz w:val="23"/>
          <w:szCs w:val="23"/>
          <w:rtl/>
        </w:rPr>
        <w:t>ات</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cs"/>
          <w:i/>
          <w:sz w:val="23"/>
          <w:szCs w:val="23"/>
          <w:rtl/>
        </w:rPr>
        <w:t>مقطوع</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حق</w:t>
      </w:r>
      <w:r w:rsidRPr="00FE433F">
        <w:rPr>
          <w:i/>
          <w:sz w:val="23"/>
          <w:szCs w:val="23"/>
          <w:rtl/>
        </w:rPr>
        <w:softHyphen/>
      </w:r>
      <w:r w:rsidRPr="00FE433F">
        <w:rPr>
          <w:rFonts w:hint="eastAsia"/>
          <w:i/>
          <w:sz w:val="23"/>
          <w:szCs w:val="23"/>
          <w:rtl/>
        </w:rPr>
        <w:t>الضرب</w:t>
      </w:r>
      <w:r w:rsidRPr="00FE433F">
        <w:rPr>
          <w:i/>
          <w:sz w:val="23"/>
          <w:szCs w:val="23"/>
          <w:rtl/>
        </w:rPr>
        <w:t xml:space="preserve"> </w:t>
      </w:r>
      <w:r w:rsidRPr="00FE433F">
        <w:rPr>
          <w:rFonts w:hint="eastAsia"/>
          <w:i/>
          <w:sz w:val="23"/>
          <w:szCs w:val="23"/>
          <w:rtl/>
        </w:rPr>
        <w:t>تأم</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مال</w:t>
      </w:r>
      <w:r w:rsidRPr="00FE433F">
        <w:rPr>
          <w:rFonts w:hint="cs"/>
          <w:i/>
          <w:sz w:val="23"/>
          <w:szCs w:val="23"/>
          <w:rtl/>
        </w:rPr>
        <w:t>ی</w:t>
      </w:r>
      <w:r w:rsidRPr="00FE433F">
        <w:rPr>
          <w:i/>
          <w:sz w:val="23"/>
          <w:szCs w:val="23"/>
          <w:rtl/>
        </w:rPr>
        <w:t xml:space="preserve"> </w:t>
      </w:r>
      <w:r w:rsidRPr="00FE433F">
        <w:rPr>
          <w:rFonts w:hint="eastAsia"/>
          <w:i/>
          <w:sz w:val="23"/>
          <w:szCs w:val="23"/>
          <w:rtl/>
        </w:rPr>
        <w:t>کند</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صورت</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دولت</w:t>
      </w:r>
      <w:r w:rsidRPr="00FE433F">
        <w:rPr>
          <w:i/>
          <w:sz w:val="23"/>
          <w:szCs w:val="23"/>
          <w:rtl/>
        </w:rPr>
        <w:t xml:space="preserve"> </w:t>
      </w:r>
      <w:r w:rsidRPr="00FE433F">
        <w:rPr>
          <w:rFonts w:hint="eastAsia"/>
          <w:i/>
          <w:sz w:val="23"/>
          <w:szCs w:val="23"/>
          <w:rtl/>
        </w:rPr>
        <w:t>برابر</w:t>
      </w:r>
      <w:r w:rsidRPr="00FE433F">
        <w:rPr>
          <w:i/>
          <w:sz w:val="23"/>
          <w:szCs w:val="23"/>
          <w:rtl/>
        </w:rPr>
        <w:t xml:space="preserve"> </w:t>
      </w:r>
      <w:r w:rsidRPr="00FE433F">
        <w:rPr>
          <w:rFonts w:hint="cs"/>
          <w:i/>
          <w:sz w:val="23"/>
          <w:szCs w:val="23"/>
          <w:rtl/>
        </w:rPr>
        <w:t>خواهد بود با</w:t>
      </w:r>
    </w:p>
    <w:p w14:paraId="3379F104" w14:textId="77777777" w:rsidR="00411620" w:rsidRPr="00FE433F" w:rsidRDefault="00411620" w:rsidP="00411620">
      <w:pPr>
        <w:bidi w:val="0"/>
        <w:spacing w:line="216" w:lineRule="auto"/>
        <w:rPr>
          <w:i/>
          <w:sz w:val="23"/>
          <w:szCs w:val="23"/>
        </w:rPr>
      </w:pPr>
      <w:r w:rsidRPr="00FE433F">
        <w:rPr>
          <w:position w:val="-12"/>
        </w:rPr>
        <w:object w:dxaOrig="2460" w:dyaOrig="360" w14:anchorId="600B65C6">
          <v:shape id="_x0000_i4399" type="#_x0000_t75" style="width:122.8pt;height:18.15pt" o:ole="">
            <v:imagedata r:id="rId6791" o:title=""/>
          </v:shape>
          <o:OLEObject Type="Embed" ProgID="Equation.DSMT4" ShapeID="_x0000_i4399" DrawAspect="Content" ObjectID="_1791378343" r:id="rId6792"/>
        </w:object>
      </w:r>
      <w:r w:rsidRPr="00FE433F">
        <w:rPr>
          <w:i/>
          <w:sz w:val="23"/>
          <w:szCs w:val="23"/>
        </w:rPr>
        <w:tab/>
      </w:r>
      <w:r w:rsidRPr="00FE433F">
        <w:rPr>
          <w:i/>
          <w:sz w:val="23"/>
          <w:szCs w:val="23"/>
        </w:rPr>
        <w:tab/>
      </w:r>
      <w:r w:rsidRPr="00FE433F">
        <w:rPr>
          <w:i/>
          <w:sz w:val="23"/>
          <w:szCs w:val="23"/>
        </w:rPr>
        <w:tab/>
      </w:r>
      <w:r w:rsidRPr="00FE433F">
        <w:rPr>
          <w:i/>
          <w:sz w:val="23"/>
          <w:szCs w:val="23"/>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sidRPr="00FE433F">
        <w:rPr>
          <w:i/>
          <w:sz w:val="23"/>
          <w:szCs w:val="23"/>
          <w:rtl/>
        </w:rPr>
        <w:tab/>
      </w:r>
      <w:r>
        <w:rPr>
          <w:rFonts w:hint="cs"/>
          <w:i/>
          <w:sz w:val="23"/>
          <w:szCs w:val="23"/>
          <w:rtl/>
        </w:rPr>
        <w:t xml:space="preserve"> </w:t>
      </w:r>
      <w:r>
        <w:rPr>
          <w:rFonts w:hint="cs"/>
          <w:i/>
          <w:sz w:val="23"/>
          <w:szCs w:val="23"/>
          <w:rtl/>
        </w:rPr>
        <w:tab/>
      </w:r>
      <w:r w:rsidRPr="00FE433F">
        <w:rPr>
          <w:i/>
          <w:sz w:val="23"/>
          <w:szCs w:val="23"/>
          <w:rtl/>
        </w:rPr>
        <w:tab/>
      </w:r>
      <w:r w:rsidRPr="00FE433F">
        <w:rPr>
          <w:i/>
          <w:sz w:val="23"/>
          <w:szCs w:val="23"/>
        </w:rPr>
        <w:tab/>
      </w:r>
      <w:r w:rsidRPr="00FE433F">
        <w:rPr>
          <w:i/>
          <w:sz w:val="23"/>
          <w:szCs w:val="23"/>
          <w:rtl/>
        </w:rPr>
        <w:t xml:space="preserve"> </w:t>
      </w:r>
      <w:r w:rsidRPr="00FE433F">
        <w:rPr>
          <w:i/>
          <w:sz w:val="23"/>
          <w:szCs w:val="23"/>
          <w:rtl/>
        </w:rPr>
        <w:tab/>
      </w:r>
      <w:r w:rsidRPr="00FE433F">
        <w:rPr>
          <w:rFonts w:hint="cs"/>
          <w:i/>
          <w:sz w:val="23"/>
          <w:szCs w:val="23"/>
          <w:rtl/>
        </w:rPr>
        <w:t>(۸. ۳۸)</w:t>
      </w:r>
    </w:p>
    <w:p w14:paraId="681FFECB" w14:textId="77777777" w:rsidR="00411620" w:rsidRPr="00FE433F" w:rsidRDefault="00411620" w:rsidP="00411620">
      <w:pPr>
        <w:spacing w:line="216" w:lineRule="auto"/>
        <w:rPr>
          <w:i/>
          <w:sz w:val="23"/>
          <w:szCs w:val="23"/>
          <w:rtl/>
        </w:rPr>
      </w:pPr>
      <w:r w:rsidRPr="00FE433F">
        <w:rPr>
          <w:rFonts w:hint="eastAsia"/>
          <w:i/>
          <w:sz w:val="23"/>
          <w:szCs w:val="23"/>
          <w:rtl/>
        </w:rPr>
        <w:t>بودجه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همانند</w:t>
      </w:r>
      <w:r w:rsidRPr="00FE433F">
        <w:rPr>
          <w:i/>
          <w:sz w:val="23"/>
          <w:szCs w:val="23"/>
          <w:rtl/>
        </w:rPr>
        <w:t xml:space="preserve"> </w:t>
      </w:r>
      <w:r w:rsidRPr="00FE433F">
        <w:rPr>
          <w:rFonts w:hint="eastAsia"/>
          <w:i/>
          <w:sz w:val="23"/>
          <w:szCs w:val="23"/>
          <w:rtl/>
        </w:rPr>
        <w:t>قبل</w:t>
      </w:r>
      <w:r w:rsidRPr="00FE433F">
        <w:rPr>
          <w:i/>
          <w:sz w:val="23"/>
          <w:szCs w:val="23"/>
          <w:rtl/>
        </w:rPr>
        <w:t xml:space="preserve"> </w:t>
      </w:r>
      <w:r w:rsidRPr="00FE433F">
        <w:rPr>
          <w:rFonts w:hint="cs"/>
          <w:i/>
          <w:sz w:val="23"/>
          <w:szCs w:val="23"/>
          <w:rtl/>
        </w:rPr>
        <w:t>بوده</w:t>
      </w:r>
      <w:r w:rsidRPr="00FE433F">
        <w:rPr>
          <w:i/>
          <w:sz w:val="23"/>
          <w:szCs w:val="23"/>
          <w:rtl/>
        </w:rPr>
        <w:t xml:space="preserve"> </w:t>
      </w:r>
      <w:r w:rsidRPr="00FE433F">
        <w:rPr>
          <w:rFonts w:hint="cs"/>
          <w:i/>
          <w:sz w:val="23"/>
          <w:szCs w:val="23"/>
          <w:rtl/>
        </w:rPr>
        <w:t>و به</w:t>
      </w:r>
      <w:r w:rsidRPr="00FE433F">
        <w:rPr>
          <w:i/>
          <w:sz w:val="23"/>
          <w:szCs w:val="23"/>
          <w:rtl/>
        </w:rPr>
        <w:t xml:space="preserve"> </w:t>
      </w:r>
      <w:r w:rsidRPr="00FE433F">
        <w:rPr>
          <w:position w:val="-14"/>
        </w:rPr>
        <w:object w:dxaOrig="620" w:dyaOrig="380" w14:anchorId="304C4C0D">
          <v:shape id="_x0000_i4400" type="#_x0000_t75" style="width:30.85pt;height:18.75pt" o:ole="">
            <v:imagedata r:id="rId6793" o:title=""/>
          </v:shape>
          <o:OLEObject Type="Embed" ProgID="Equation.DSMT4" ShapeID="_x0000_i4400" DrawAspect="Content" ObjectID="_1791378344" r:id="rId6794"/>
        </w:object>
      </w:r>
      <w:r w:rsidRPr="00FE433F">
        <w:rPr>
          <w:i/>
          <w:sz w:val="23"/>
          <w:szCs w:val="23"/>
          <w:rtl/>
        </w:rPr>
        <w:t xml:space="preserve"> </w:t>
      </w:r>
      <w:r w:rsidRPr="00FE433F">
        <w:rPr>
          <w:rFonts w:hint="eastAsia"/>
          <w:i/>
          <w:sz w:val="23"/>
          <w:szCs w:val="23"/>
          <w:rtl/>
        </w:rPr>
        <w:t>وابسته</w:t>
      </w:r>
      <w:r w:rsidRPr="00FE433F">
        <w:rPr>
          <w:i/>
          <w:sz w:val="23"/>
          <w:szCs w:val="23"/>
          <w:rtl/>
        </w:rPr>
        <w:t xml:space="preserve"> </w:t>
      </w:r>
      <w:r w:rsidRPr="00FE433F">
        <w:rPr>
          <w:rFonts w:hint="eastAsia"/>
          <w:i/>
          <w:sz w:val="23"/>
          <w:szCs w:val="23"/>
          <w:rtl/>
        </w:rPr>
        <w:t>است</w:t>
      </w:r>
      <w:r w:rsidRPr="00FE433F">
        <w:rPr>
          <w:rFonts w:hint="cs"/>
          <w:i/>
          <w:sz w:val="23"/>
          <w:szCs w:val="23"/>
          <w:rtl/>
        </w:rPr>
        <w:t xml:space="preserve">. اگر </w:t>
      </w:r>
      <w:r w:rsidRPr="00FE433F">
        <w:rPr>
          <w:rFonts w:hint="eastAsia"/>
          <w:i/>
          <w:sz w:val="23"/>
          <w:szCs w:val="23"/>
          <w:rtl/>
        </w:rPr>
        <w:t>دولت</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cs"/>
          <w:i/>
          <w:sz w:val="23"/>
          <w:szCs w:val="23"/>
          <w:rtl/>
        </w:rPr>
        <w:t xml:space="preserve">را </w:t>
      </w:r>
      <w:r w:rsidRPr="00FE433F">
        <w:rPr>
          <w:rFonts w:hint="eastAsia"/>
          <w:i/>
          <w:sz w:val="23"/>
          <w:szCs w:val="23"/>
          <w:rtl/>
        </w:rPr>
        <w:t>به</w:t>
      </w:r>
      <w:r w:rsidRPr="00FE433F">
        <w:rPr>
          <w:i/>
          <w:sz w:val="23"/>
          <w:szCs w:val="23"/>
          <w:rtl/>
        </w:rPr>
        <w:t xml:space="preserve"> </w:t>
      </w:r>
      <w:r w:rsidRPr="00FE433F">
        <w:rPr>
          <w:rFonts w:hint="eastAsia"/>
          <w:i/>
          <w:sz w:val="23"/>
          <w:szCs w:val="23"/>
          <w:rtl/>
        </w:rPr>
        <w:t>صورت</w:t>
      </w:r>
      <w:r w:rsidRPr="00FE433F">
        <w:rPr>
          <w:i/>
          <w:sz w:val="23"/>
          <w:szCs w:val="23"/>
          <w:rtl/>
        </w:rPr>
        <w:t xml:space="preserve"> </w:t>
      </w:r>
      <w:r w:rsidRPr="00FE433F">
        <w:rPr>
          <w:rFonts w:hint="eastAsia"/>
          <w:i/>
          <w:sz w:val="23"/>
          <w:szCs w:val="23"/>
          <w:rtl/>
        </w:rPr>
        <w:t>پرداخت</w:t>
      </w:r>
      <w:r w:rsidRPr="00FE433F">
        <w:rPr>
          <w:i/>
          <w:sz w:val="23"/>
          <w:szCs w:val="23"/>
          <w:rtl/>
        </w:rPr>
        <w:t xml:space="preserve"> </w:t>
      </w:r>
      <w:r w:rsidRPr="00FE433F">
        <w:rPr>
          <w:rFonts w:hint="eastAsia"/>
          <w:i/>
          <w:sz w:val="23"/>
          <w:szCs w:val="23"/>
          <w:rtl/>
        </w:rPr>
        <w:t>انتقال</w:t>
      </w:r>
      <w:r w:rsidRPr="00FE433F">
        <w:rPr>
          <w:rFonts w:hint="cs"/>
          <w:i/>
          <w:sz w:val="23"/>
          <w:szCs w:val="23"/>
          <w:rtl/>
        </w:rPr>
        <w:t>ی</w:t>
      </w:r>
      <w:r w:rsidRPr="00FE433F">
        <w:rPr>
          <w:i/>
          <w:sz w:val="23"/>
          <w:szCs w:val="23"/>
          <w:rtl/>
        </w:rPr>
        <w:t xml:space="preserve"> </w:t>
      </w:r>
      <w:r w:rsidRPr="00FE433F">
        <w:rPr>
          <w:rFonts w:hint="cs"/>
          <w:i/>
          <w:sz w:val="23"/>
          <w:szCs w:val="23"/>
          <w:rtl/>
        </w:rPr>
        <w:t>مقطوع</w:t>
      </w:r>
      <w:r w:rsidRPr="00FE433F">
        <w:rPr>
          <w:i/>
          <w:sz w:val="23"/>
          <w:szCs w:val="23"/>
          <w:rtl/>
        </w:rPr>
        <w:t xml:space="preserve"> </w:t>
      </w:r>
      <w:r w:rsidRPr="00FE433F">
        <w:rPr>
          <w:rFonts w:hint="eastAsia"/>
          <w:i/>
          <w:sz w:val="23"/>
          <w:szCs w:val="23"/>
          <w:rtl/>
        </w:rPr>
        <w:t>پرداخت</w:t>
      </w:r>
      <w:r w:rsidRPr="00FE433F">
        <w:rPr>
          <w:i/>
          <w:sz w:val="23"/>
          <w:szCs w:val="23"/>
          <w:rtl/>
        </w:rPr>
        <w:t xml:space="preserve"> </w:t>
      </w:r>
      <w:r w:rsidRPr="00FE433F">
        <w:rPr>
          <w:rFonts w:hint="eastAsia"/>
          <w:i/>
          <w:sz w:val="23"/>
          <w:szCs w:val="23"/>
          <w:rtl/>
        </w:rPr>
        <w:t>کند</w:t>
      </w:r>
      <w:r w:rsidRPr="00FE433F">
        <w:rPr>
          <w:i/>
          <w:sz w:val="23"/>
          <w:szCs w:val="23"/>
          <w:rtl/>
        </w:rPr>
        <w:t xml:space="preserve"> </w:t>
      </w:r>
      <w:r w:rsidRPr="00FE433F">
        <w:rPr>
          <w:rFonts w:hint="cs"/>
          <w:i/>
          <w:sz w:val="23"/>
          <w:szCs w:val="23"/>
          <w:rtl/>
        </w:rPr>
        <w:t>آنگاه</w:t>
      </w:r>
      <w:r w:rsidRPr="00FE433F">
        <w:rPr>
          <w:position w:val="-12"/>
        </w:rPr>
        <w:object w:dxaOrig="760" w:dyaOrig="360" w14:anchorId="7A0E5082">
          <v:shape id="_x0000_i4401" type="#_x0000_t75" style="width:38.1pt;height:18.15pt" o:ole="">
            <v:imagedata r:id="rId6795" o:title=""/>
          </v:shape>
          <o:OLEObject Type="Embed" ProgID="Equation.DSMT4" ShapeID="_x0000_i4401" DrawAspect="Content" ObjectID="_1791378345" r:id="rId6796"/>
        </w:object>
      </w:r>
      <w:r w:rsidRPr="00FE433F">
        <w:rPr>
          <w:rFonts w:hint="eastAsia"/>
          <w:i/>
          <w:sz w:val="23"/>
          <w:szCs w:val="23"/>
          <w:rtl/>
        </w:rPr>
        <w:t>،</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cs"/>
          <w:i/>
          <w:sz w:val="23"/>
          <w:szCs w:val="23"/>
          <w:rtl/>
        </w:rPr>
        <w:t xml:space="preserve">اگر </w:t>
      </w:r>
      <w:r w:rsidRPr="00FE433F">
        <w:rPr>
          <w:rFonts w:hint="eastAsia"/>
          <w:i/>
          <w:sz w:val="23"/>
          <w:szCs w:val="23"/>
          <w:rtl/>
        </w:rPr>
        <w:t>از</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مال</w:t>
      </w:r>
      <w:r w:rsidRPr="00FE433F">
        <w:rPr>
          <w:rFonts w:hint="cs"/>
          <w:i/>
          <w:sz w:val="23"/>
          <w:szCs w:val="23"/>
          <w:rtl/>
        </w:rPr>
        <w:t>ی</w:t>
      </w:r>
      <w:r w:rsidRPr="00FE433F">
        <w:rPr>
          <w:rFonts w:hint="eastAsia"/>
          <w:i/>
          <w:sz w:val="23"/>
          <w:szCs w:val="23"/>
          <w:rtl/>
        </w:rPr>
        <w:t>ات</w:t>
      </w:r>
      <w:r w:rsidRPr="00FE433F">
        <w:rPr>
          <w:i/>
          <w:sz w:val="23"/>
          <w:szCs w:val="23"/>
          <w:rtl/>
        </w:rPr>
        <w:t xml:space="preserve"> </w:t>
      </w:r>
      <w:r w:rsidRPr="00FE433F">
        <w:rPr>
          <w:rFonts w:hint="cs"/>
          <w:i/>
          <w:sz w:val="23"/>
          <w:szCs w:val="23"/>
          <w:rtl/>
        </w:rPr>
        <w:t>مقطوع</w:t>
      </w:r>
      <w:r w:rsidRPr="00FE433F">
        <w:rPr>
          <w:i/>
          <w:sz w:val="23"/>
          <w:szCs w:val="23"/>
          <w:rtl/>
        </w:rPr>
        <w:t xml:space="preserve"> </w:t>
      </w:r>
      <w:r w:rsidRPr="00FE433F">
        <w:rPr>
          <w:rFonts w:hint="eastAsia"/>
          <w:i/>
          <w:sz w:val="23"/>
          <w:szCs w:val="23"/>
          <w:rtl/>
        </w:rPr>
        <w:t>در</w:t>
      </w:r>
      <w:r w:rsidRPr="00FE433F">
        <w:rPr>
          <w:rFonts w:hint="cs"/>
          <w:i/>
          <w:sz w:val="23"/>
          <w:szCs w:val="23"/>
          <w:rtl/>
        </w:rPr>
        <w:t>ی</w:t>
      </w:r>
      <w:r w:rsidRPr="00FE433F">
        <w:rPr>
          <w:rFonts w:hint="eastAsia"/>
          <w:i/>
          <w:sz w:val="23"/>
          <w:szCs w:val="23"/>
          <w:rtl/>
        </w:rPr>
        <w:t>افت</w:t>
      </w:r>
      <w:r w:rsidRPr="00FE433F">
        <w:rPr>
          <w:i/>
          <w:sz w:val="23"/>
          <w:szCs w:val="23"/>
          <w:rtl/>
        </w:rPr>
        <w:t xml:space="preserve"> </w:t>
      </w:r>
      <w:r w:rsidRPr="00FE433F">
        <w:rPr>
          <w:rFonts w:hint="eastAsia"/>
          <w:i/>
          <w:sz w:val="23"/>
          <w:szCs w:val="23"/>
          <w:rtl/>
        </w:rPr>
        <w:t>کند</w:t>
      </w:r>
      <w:r w:rsidRPr="00FE433F">
        <w:rPr>
          <w:rFonts w:hint="cs"/>
          <w:i/>
          <w:sz w:val="23"/>
          <w:szCs w:val="23"/>
          <w:rtl/>
        </w:rPr>
        <w:t xml:space="preserve"> آنگاه</w:t>
      </w:r>
      <w:r w:rsidRPr="00FE433F">
        <w:rPr>
          <w:position w:val="-12"/>
        </w:rPr>
        <w:object w:dxaOrig="760" w:dyaOrig="360" w14:anchorId="12337780">
          <v:shape id="_x0000_i4402" type="#_x0000_t75" style="width:38.1pt;height:18.15pt" o:ole="">
            <v:imagedata r:id="rId6797" o:title=""/>
          </v:shape>
          <o:OLEObject Type="Embed" ProgID="Equation.DSMT4" ShapeID="_x0000_i4402" DrawAspect="Content" ObjectID="_1791378346" r:id="rId6798"/>
        </w:object>
      </w:r>
      <w:r w:rsidRPr="00FE433F">
        <w:rPr>
          <w:rFonts w:hint="cs"/>
          <w:i/>
          <w:sz w:val="23"/>
          <w:szCs w:val="23"/>
          <w:rtl/>
        </w:rPr>
        <w:t xml:space="preserve"> است</w:t>
      </w:r>
      <w:r w:rsidRPr="00FE433F">
        <w:rPr>
          <w:i/>
          <w:sz w:val="23"/>
          <w:szCs w:val="23"/>
          <w:rtl/>
        </w:rPr>
        <w:t xml:space="preserve">. </w:t>
      </w:r>
      <w:r w:rsidRPr="00FE433F">
        <w:rPr>
          <w:rFonts w:hint="eastAsia"/>
          <w:i/>
          <w:sz w:val="23"/>
          <w:szCs w:val="23"/>
          <w:rtl/>
        </w:rPr>
        <w:t>بنابرا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مسئله</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حل</w:t>
      </w:r>
      <w:r w:rsidRPr="00FE433F">
        <w:rPr>
          <w:i/>
          <w:sz w:val="23"/>
          <w:szCs w:val="23"/>
          <w:rtl/>
        </w:rPr>
        <w:t xml:space="preserve"> </w:t>
      </w:r>
      <w:r w:rsidRPr="00FE433F">
        <w:rPr>
          <w:rFonts w:hint="cs"/>
          <w:i/>
          <w:sz w:val="23"/>
          <w:szCs w:val="23"/>
          <w:rtl/>
        </w:rPr>
        <w:t xml:space="preserve">این </w:t>
      </w:r>
      <w:r w:rsidRPr="00FE433F">
        <w:rPr>
          <w:rFonts w:hint="eastAsia"/>
          <w:i/>
          <w:sz w:val="23"/>
          <w:szCs w:val="23"/>
          <w:rtl/>
        </w:rPr>
        <w:t>مدل</w:t>
      </w:r>
      <w:r w:rsidRPr="00FE433F">
        <w:rPr>
          <w:i/>
          <w:sz w:val="23"/>
          <w:szCs w:val="23"/>
          <w:rtl/>
        </w:rPr>
        <w:t xml:space="preserve"> </w:t>
      </w:r>
      <w:r w:rsidRPr="00FE433F">
        <w:rPr>
          <w:rFonts w:hint="eastAsia"/>
          <w:i/>
          <w:sz w:val="23"/>
          <w:szCs w:val="23"/>
          <w:rtl/>
        </w:rPr>
        <w:t>بدون</w:t>
      </w:r>
      <w:r w:rsidRPr="00FE433F">
        <w:rPr>
          <w:i/>
          <w:sz w:val="23"/>
          <w:szCs w:val="23"/>
          <w:rtl/>
        </w:rPr>
        <w:t xml:space="preserve"> </w:t>
      </w:r>
      <w:r w:rsidRPr="00FE433F">
        <w:rPr>
          <w:rFonts w:hint="eastAsia"/>
          <w:i/>
          <w:sz w:val="23"/>
          <w:szCs w:val="23"/>
          <w:rtl/>
        </w:rPr>
        <w:t>تغ</w:t>
      </w:r>
      <w:r w:rsidRPr="00FE433F">
        <w:rPr>
          <w:rFonts w:hint="cs"/>
          <w:i/>
          <w:sz w:val="23"/>
          <w:szCs w:val="23"/>
          <w:rtl/>
        </w:rPr>
        <w:t>یی</w:t>
      </w:r>
      <w:r w:rsidRPr="00FE433F">
        <w:rPr>
          <w:rFonts w:hint="eastAsia"/>
          <w:i/>
          <w:sz w:val="23"/>
          <w:szCs w:val="23"/>
          <w:rtl/>
        </w:rPr>
        <w:t>ر</w:t>
      </w:r>
      <w:r w:rsidRPr="00FE433F">
        <w:rPr>
          <w:i/>
          <w:sz w:val="23"/>
          <w:szCs w:val="23"/>
          <w:rtl/>
        </w:rPr>
        <w:t xml:space="preserve"> </w:t>
      </w:r>
      <w:r w:rsidRPr="00FE433F">
        <w:rPr>
          <w:rFonts w:hint="eastAsia"/>
          <w:i/>
          <w:sz w:val="23"/>
          <w:szCs w:val="23"/>
          <w:rtl/>
        </w:rPr>
        <w:t>باق</w:t>
      </w:r>
      <w:r w:rsidRPr="00FE433F">
        <w:rPr>
          <w:rFonts w:hint="cs"/>
          <w:i/>
          <w:sz w:val="23"/>
          <w:szCs w:val="23"/>
          <w:rtl/>
        </w:rPr>
        <w:t>ی</w:t>
      </w:r>
      <w:r w:rsidRPr="00FE433F">
        <w:rPr>
          <w:i/>
          <w:sz w:val="23"/>
          <w:szCs w:val="23"/>
          <w:rtl/>
        </w:rPr>
        <w:t xml:space="preserve"> </w:t>
      </w:r>
      <w:r w:rsidRPr="00FE433F">
        <w:rPr>
          <w:rFonts w:hint="cs"/>
          <w:i/>
          <w:sz w:val="23"/>
          <w:szCs w:val="23"/>
          <w:rtl/>
        </w:rPr>
        <w:t>خواهد ماند</w:t>
      </w:r>
      <w:r w:rsidRPr="00FE433F">
        <w:rPr>
          <w:i/>
          <w:sz w:val="23"/>
          <w:szCs w:val="23"/>
          <w:rtl/>
        </w:rPr>
        <w:t xml:space="preserve">. </w:t>
      </w:r>
    </w:p>
    <w:p w14:paraId="2E7E9181" w14:textId="77777777" w:rsidR="00411620" w:rsidRPr="00FE433F" w:rsidRDefault="00411620" w:rsidP="00411620">
      <w:pPr>
        <w:spacing w:line="216" w:lineRule="auto"/>
        <w:rPr>
          <w:i/>
          <w:sz w:val="23"/>
          <w:szCs w:val="23"/>
          <w:rtl/>
        </w:rPr>
      </w:pPr>
      <w:r w:rsidRPr="00FE433F">
        <w:rPr>
          <w:rFonts w:hint="eastAsia"/>
          <w:i/>
          <w:sz w:val="23"/>
          <w:szCs w:val="23"/>
          <w:rtl/>
        </w:rPr>
        <w:t>سطح</w:t>
      </w:r>
      <w:r w:rsidRPr="00FE433F">
        <w:rPr>
          <w:i/>
          <w:sz w:val="23"/>
          <w:szCs w:val="23"/>
          <w:rtl/>
        </w:rPr>
        <w:t xml:space="preserve"> </w:t>
      </w:r>
      <w:r w:rsidRPr="00FE433F">
        <w:rPr>
          <w:rFonts w:hint="eastAsia"/>
          <w:i/>
          <w:sz w:val="23"/>
          <w:szCs w:val="23"/>
          <w:rtl/>
        </w:rPr>
        <w:t>مصرف</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وضع</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cs"/>
          <w:i/>
          <w:sz w:val="23"/>
          <w:szCs w:val="23"/>
          <w:rtl/>
        </w:rPr>
        <w:t>ی</w:t>
      </w:r>
      <w:r w:rsidRPr="00FE433F">
        <w:rPr>
          <w:rFonts w:hint="eastAsia"/>
          <w:i/>
          <w:sz w:val="23"/>
          <w:szCs w:val="23"/>
          <w:rtl/>
        </w:rPr>
        <w:t>کنواخت</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معادلات</w:t>
      </w:r>
      <w:r w:rsidRPr="00FE433F">
        <w:rPr>
          <w:i/>
          <w:sz w:val="23"/>
          <w:szCs w:val="23"/>
          <w:rtl/>
        </w:rPr>
        <w:t xml:space="preserve"> (۸. ۳۵) </w:t>
      </w:r>
      <w:r w:rsidRPr="00FE433F">
        <w:rPr>
          <w:rFonts w:hint="eastAsia"/>
          <w:i/>
          <w:sz w:val="23"/>
          <w:szCs w:val="23"/>
          <w:rtl/>
        </w:rPr>
        <w:t>و</w:t>
      </w:r>
      <w:r w:rsidRPr="00FE433F">
        <w:rPr>
          <w:i/>
          <w:sz w:val="23"/>
          <w:szCs w:val="23"/>
          <w:rtl/>
        </w:rPr>
        <w:t xml:space="preserve"> (۸. </w:t>
      </w:r>
      <w:r w:rsidRPr="00FE433F">
        <w:rPr>
          <w:rFonts w:hint="cs"/>
          <w:i/>
          <w:sz w:val="23"/>
          <w:szCs w:val="23"/>
          <w:rtl/>
        </w:rPr>
        <w:t>۳۷</w:t>
      </w:r>
      <w:r w:rsidRPr="00FE433F">
        <w:rPr>
          <w:i/>
          <w:sz w:val="23"/>
          <w:szCs w:val="23"/>
          <w:rtl/>
        </w:rPr>
        <w:t xml:space="preserve">) </w:t>
      </w:r>
      <w:r w:rsidRPr="00FE433F">
        <w:rPr>
          <w:rFonts w:hint="cs"/>
          <w:i/>
          <w:sz w:val="23"/>
          <w:szCs w:val="23"/>
          <w:rtl/>
        </w:rPr>
        <w:t xml:space="preserve">و (۸. ۳۸) </w:t>
      </w:r>
      <w:r w:rsidRPr="00FE433F">
        <w:rPr>
          <w:rFonts w:hint="eastAsia"/>
          <w:i/>
          <w:sz w:val="23"/>
          <w:szCs w:val="23"/>
          <w:rtl/>
        </w:rPr>
        <w:t>بدست</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آ</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برابر</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با</w:t>
      </w:r>
    </w:p>
    <w:p w14:paraId="48A0E0F2" w14:textId="77777777" w:rsidR="00411620" w:rsidRPr="00FE433F" w:rsidRDefault="00411620" w:rsidP="00411620">
      <w:pPr>
        <w:bidi w:val="0"/>
        <w:spacing w:line="216" w:lineRule="auto"/>
        <w:rPr>
          <w:i/>
          <w:sz w:val="23"/>
          <w:szCs w:val="23"/>
        </w:rPr>
      </w:pPr>
      <w:r w:rsidRPr="00FE433F">
        <w:rPr>
          <w:position w:val="-8"/>
        </w:rPr>
        <w:object w:dxaOrig="1420" w:dyaOrig="279" w14:anchorId="5B7C2F1B">
          <v:shape id="_x0000_i4403" type="#_x0000_t75" style="width:70.8pt;height:13.9pt" o:ole="">
            <v:imagedata r:id="rId6799" o:title=""/>
          </v:shape>
          <o:OLEObject Type="Embed" ProgID="Equation.DSMT4" ShapeID="_x0000_i4403" DrawAspect="Content" ObjectID="_1791378347" r:id="rId6800"/>
        </w:object>
      </w:r>
    </w:p>
    <w:p w14:paraId="5EE29102" w14:textId="77777777" w:rsidR="00411620" w:rsidRPr="00FE433F" w:rsidRDefault="00411620" w:rsidP="00411620">
      <w:pPr>
        <w:spacing w:line="216" w:lineRule="auto"/>
        <w:rPr>
          <w:i/>
          <w:sz w:val="23"/>
          <w:szCs w:val="23"/>
          <w:rtl/>
        </w:rPr>
      </w:pPr>
      <w:r w:rsidRPr="00FE433F">
        <w:rPr>
          <w:rFonts w:hint="cs"/>
          <w:i/>
          <w:sz w:val="23"/>
          <w:szCs w:val="23"/>
          <w:rtl/>
        </w:rPr>
        <w:t xml:space="preserve">و </w:t>
      </w:r>
      <w:r w:rsidRPr="00FE433F">
        <w:rPr>
          <w:rFonts w:hint="eastAsia"/>
          <w:i/>
          <w:sz w:val="23"/>
          <w:szCs w:val="23"/>
          <w:rtl/>
        </w:rPr>
        <w:t>همان</w:t>
      </w:r>
      <w:r w:rsidRPr="00FE433F">
        <w:rPr>
          <w:i/>
          <w:sz w:val="23"/>
          <w:szCs w:val="23"/>
          <w:rtl/>
        </w:rPr>
        <w:softHyphen/>
      </w:r>
      <w:r w:rsidRPr="00FE433F">
        <w:rPr>
          <w:rFonts w:hint="eastAsia"/>
          <w:i/>
          <w:sz w:val="23"/>
          <w:szCs w:val="23"/>
          <w:rtl/>
        </w:rPr>
        <w:t>گونه</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ملاحظه</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شود</w:t>
      </w:r>
      <w:r w:rsidRPr="00FE433F">
        <w:rPr>
          <w:i/>
          <w:sz w:val="23"/>
          <w:szCs w:val="23"/>
          <w:rtl/>
        </w:rPr>
        <w:t xml:space="preserve"> </w:t>
      </w:r>
      <w:r w:rsidRPr="00FE433F">
        <w:rPr>
          <w:rFonts w:hint="eastAsia"/>
          <w:i/>
          <w:sz w:val="23"/>
          <w:szCs w:val="23"/>
          <w:rtl/>
        </w:rPr>
        <w:t>سطح</w:t>
      </w:r>
      <w:r w:rsidRPr="00FE433F">
        <w:rPr>
          <w:i/>
          <w:sz w:val="23"/>
          <w:szCs w:val="23"/>
          <w:rtl/>
        </w:rPr>
        <w:t xml:space="preserve"> </w:t>
      </w:r>
      <w:r w:rsidRPr="00FE433F">
        <w:rPr>
          <w:rFonts w:hint="eastAsia"/>
          <w:i/>
          <w:sz w:val="23"/>
          <w:szCs w:val="23"/>
          <w:rtl/>
        </w:rPr>
        <w:t>مصرف</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کم</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eastAsia"/>
          <w:i/>
          <w:sz w:val="23"/>
          <w:szCs w:val="23"/>
          <w:rtl/>
        </w:rPr>
        <w:t>وابسته</w:t>
      </w:r>
      <w:r w:rsidRPr="00FE433F">
        <w:rPr>
          <w:i/>
          <w:sz w:val="23"/>
          <w:szCs w:val="23"/>
          <w:rtl/>
        </w:rPr>
        <w:t xml:space="preserve"> </w:t>
      </w:r>
      <w:r w:rsidRPr="00FE433F">
        <w:rPr>
          <w:rFonts w:hint="eastAsia"/>
          <w:i/>
          <w:sz w:val="23"/>
          <w:szCs w:val="23"/>
          <w:rtl/>
        </w:rPr>
        <w:t>ن</w:t>
      </w:r>
      <w:r w:rsidRPr="00FE433F">
        <w:rPr>
          <w:rFonts w:hint="cs"/>
          <w:i/>
          <w:sz w:val="23"/>
          <w:szCs w:val="23"/>
          <w:rtl/>
        </w:rPr>
        <w:t>ی</w:t>
      </w:r>
      <w:r w:rsidRPr="00FE433F">
        <w:rPr>
          <w:rFonts w:hint="eastAsia"/>
          <w:i/>
          <w:sz w:val="23"/>
          <w:szCs w:val="23"/>
          <w:rtl/>
        </w:rPr>
        <w:t>ست</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وضع</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cs"/>
          <w:i/>
          <w:sz w:val="23"/>
          <w:szCs w:val="23"/>
          <w:rtl/>
        </w:rPr>
        <w:t>ی</w:t>
      </w:r>
      <w:r w:rsidRPr="00FE433F">
        <w:rPr>
          <w:rFonts w:hint="eastAsia"/>
          <w:i/>
          <w:sz w:val="23"/>
          <w:szCs w:val="23"/>
          <w:rtl/>
        </w:rPr>
        <w:t>کنواخت</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دولت</w:t>
      </w:r>
      <w:r w:rsidRPr="00FE433F">
        <w:rPr>
          <w:i/>
          <w:sz w:val="23"/>
          <w:szCs w:val="23"/>
          <w:rtl/>
        </w:rPr>
        <w:t xml:space="preserve"> </w:t>
      </w:r>
      <w:r w:rsidRPr="00FE433F">
        <w:rPr>
          <w:rFonts w:hint="eastAsia"/>
          <w:i/>
          <w:sz w:val="23"/>
          <w:szCs w:val="23"/>
          <w:rtl/>
        </w:rPr>
        <w:t>برابر</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با</w:t>
      </w:r>
    </w:p>
    <w:p w14:paraId="34E1E58D" w14:textId="77777777" w:rsidR="00411620" w:rsidRPr="00FE433F" w:rsidRDefault="00411620" w:rsidP="00411620">
      <w:pPr>
        <w:bidi w:val="0"/>
        <w:spacing w:line="216" w:lineRule="auto"/>
        <w:rPr>
          <w:i/>
          <w:sz w:val="23"/>
          <w:szCs w:val="23"/>
        </w:rPr>
      </w:pPr>
      <w:r w:rsidRPr="00FE433F">
        <w:rPr>
          <w:position w:val="-8"/>
        </w:rPr>
        <w:object w:dxaOrig="1100" w:dyaOrig="279" w14:anchorId="46281532">
          <v:shape id="_x0000_i4404" type="#_x0000_t75" style="width:55.05pt;height:13.9pt" o:ole="">
            <v:imagedata r:id="rId6801" o:title=""/>
          </v:shape>
          <o:OLEObject Type="Embed" ProgID="Equation.DSMT4" ShapeID="_x0000_i4404" DrawAspect="Content" ObjectID="_1791378348" r:id="rId6802"/>
        </w:object>
      </w:r>
    </w:p>
    <w:p w14:paraId="5930144F" w14:textId="77777777" w:rsidR="00411620" w:rsidRPr="00FE433F" w:rsidRDefault="00411620" w:rsidP="00411620">
      <w:pPr>
        <w:spacing w:line="216" w:lineRule="auto"/>
        <w:rPr>
          <w:i/>
          <w:sz w:val="23"/>
          <w:szCs w:val="23"/>
          <w:rtl/>
        </w:rPr>
      </w:pPr>
      <w:r w:rsidRPr="00FE433F">
        <w:rPr>
          <w:rFonts w:hint="eastAsia"/>
          <w:i/>
          <w:sz w:val="23"/>
          <w:szCs w:val="23"/>
          <w:rtl/>
        </w:rPr>
        <w:t>که</w:t>
      </w:r>
      <w:r w:rsidRPr="00FE433F">
        <w:rPr>
          <w:i/>
          <w:sz w:val="23"/>
          <w:szCs w:val="23"/>
          <w:rtl/>
        </w:rPr>
        <w:t xml:space="preserve"> </w:t>
      </w:r>
      <w:r w:rsidRPr="00FE433F">
        <w:rPr>
          <w:rFonts w:hint="eastAsia"/>
          <w:i/>
          <w:sz w:val="23"/>
          <w:szCs w:val="23"/>
          <w:rtl/>
        </w:rPr>
        <w:t>نشان</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دهد</w:t>
      </w:r>
      <w:r w:rsidRPr="00FE433F">
        <w:rPr>
          <w:i/>
          <w:sz w:val="23"/>
          <w:szCs w:val="23"/>
          <w:rtl/>
        </w:rPr>
        <w:t xml:space="preserve"> </w:t>
      </w:r>
      <w:r w:rsidRPr="00FE433F">
        <w:rPr>
          <w:rFonts w:hint="eastAsia"/>
          <w:i/>
          <w:sz w:val="23"/>
          <w:szCs w:val="23"/>
          <w:rtl/>
        </w:rPr>
        <w:t>دولت</w:t>
      </w:r>
      <w:r w:rsidRPr="00FE433F">
        <w:rPr>
          <w:i/>
          <w:sz w:val="23"/>
          <w:szCs w:val="23"/>
          <w:rtl/>
        </w:rPr>
        <w:t xml:space="preserve"> </w:t>
      </w:r>
      <w:r w:rsidRPr="00FE433F">
        <w:rPr>
          <w:rFonts w:hint="eastAsia"/>
          <w:i/>
          <w:sz w:val="23"/>
          <w:szCs w:val="23"/>
          <w:rtl/>
        </w:rPr>
        <w:t>نسبت</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تأم</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مال</w:t>
      </w:r>
      <w:r w:rsidRPr="00FE433F">
        <w:rPr>
          <w:rFonts w:hint="cs"/>
          <w:i/>
          <w:sz w:val="23"/>
          <w:szCs w:val="23"/>
          <w:rtl/>
        </w:rPr>
        <w:t>ی</w:t>
      </w:r>
      <w:r w:rsidRPr="00FE433F">
        <w:rPr>
          <w:i/>
          <w:sz w:val="23"/>
          <w:szCs w:val="23"/>
          <w:rtl/>
        </w:rPr>
        <w:t xml:space="preserve"> </w:t>
      </w:r>
      <w:r w:rsidRPr="00FE433F">
        <w:rPr>
          <w:rFonts w:hint="eastAsia"/>
          <w:i/>
          <w:sz w:val="23"/>
          <w:szCs w:val="23"/>
          <w:rtl/>
        </w:rPr>
        <w:t>مخار</w:t>
      </w:r>
      <w:r w:rsidRPr="00FE433F">
        <w:rPr>
          <w:rFonts w:hint="cs"/>
          <w:i/>
          <w:sz w:val="23"/>
          <w:szCs w:val="23"/>
          <w:rtl/>
        </w:rPr>
        <w:t>ج</w:t>
      </w:r>
      <w:r w:rsidRPr="00FE433F">
        <w:rPr>
          <w:i/>
          <w:sz w:val="23"/>
          <w:szCs w:val="23"/>
          <w:rtl/>
        </w:rPr>
        <w:t xml:space="preserve"> </w:t>
      </w:r>
      <w:r w:rsidRPr="00FE433F">
        <w:rPr>
          <w:rFonts w:hint="eastAsia"/>
          <w:i/>
          <w:sz w:val="23"/>
          <w:szCs w:val="23"/>
          <w:rtl/>
        </w:rPr>
        <w:t>خود</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طر</w:t>
      </w:r>
      <w:r w:rsidRPr="00FE433F">
        <w:rPr>
          <w:rFonts w:hint="cs"/>
          <w:i/>
          <w:sz w:val="23"/>
          <w:szCs w:val="23"/>
          <w:rtl/>
        </w:rPr>
        <w:t>ی</w:t>
      </w:r>
      <w:r w:rsidRPr="00FE433F">
        <w:rPr>
          <w:rFonts w:hint="eastAsia"/>
          <w:i/>
          <w:sz w:val="23"/>
          <w:szCs w:val="23"/>
          <w:rtl/>
        </w:rPr>
        <w:t>ق</w:t>
      </w:r>
      <w:r w:rsidRPr="00FE433F">
        <w:rPr>
          <w:i/>
          <w:sz w:val="23"/>
          <w:szCs w:val="23"/>
          <w:rtl/>
        </w:rPr>
        <w:t xml:space="preserve"> </w:t>
      </w:r>
      <w:r w:rsidRPr="00FE433F">
        <w:rPr>
          <w:rFonts w:hint="eastAsia"/>
          <w:i/>
          <w:sz w:val="23"/>
          <w:szCs w:val="23"/>
          <w:rtl/>
        </w:rPr>
        <w:t>مال</w:t>
      </w:r>
      <w:r w:rsidRPr="00FE433F">
        <w:rPr>
          <w:rFonts w:hint="cs"/>
          <w:i/>
          <w:sz w:val="23"/>
          <w:szCs w:val="23"/>
          <w:rtl/>
        </w:rPr>
        <w:t>ی</w:t>
      </w:r>
      <w:r w:rsidRPr="00FE433F">
        <w:rPr>
          <w:rFonts w:hint="eastAsia"/>
          <w:i/>
          <w:sz w:val="23"/>
          <w:szCs w:val="23"/>
          <w:rtl/>
        </w:rPr>
        <w:t>ات</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cs"/>
          <w:i/>
          <w:sz w:val="23"/>
          <w:szCs w:val="23"/>
          <w:rtl/>
        </w:rPr>
        <w:t>ی</w:t>
      </w:r>
      <w:r w:rsidRPr="00FE433F">
        <w:rPr>
          <w:rFonts w:hint="eastAsia"/>
          <w:i/>
          <w:sz w:val="23"/>
          <w:szCs w:val="23"/>
          <w:rtl/>
        </w:rPr>
        <w:t>ا</w:t>
      </w:r>
      <w:r w:rsidRPr="00FE433F">
        <w:rPr>
          <w:i/>
          <w:sz w:val="23"/>
          <w:szCs w:val="23"/>
          <w:rtl/>
        </w:rPr>
        <w:t xml:space="preserve"> </w:t>
      </w:r>
      <w:r w:rsidRPr="00FE433F">
        <w:rPr>
          <w:rFonts w:hint="cs"/>
          <w:i/>
          <w:sz w:val="23"/>
          <w:szCs w:val="23"/>
          <w:rtl/>
        </w:rPr>
        <w:t>تورم حق</w:t>
      </w:r>
      <w:r w:rsidRPr="00FE433F">
        <w:rPr>
          <w:i/>
          <w:sz w:val="23"/>
          <w:szCs w:val="23"/>
          <w:rtl/>
        </w:rPr>
        <w:softHyphen/>
      </w:r>
      <w:r w:rsidRPr="00FE433F">
        <w:rPr>
          <w:rFonts w:hint="cs"/>
          <w:i/>
          <w:sz w:val="23"/>
          <w:szCs w:val="23"/>
          <w:rtl/>
        </w:rPr>
        <w:t>الضرب</w:t>
      </w:r>
      <w:r w:rsidRPr="00FE433F">
        <w:rPr>
          <w:i/>
          <w:sz w:val="23"/>
          <w:szCs w:val="23"/>
          <w:rtl/>
        </w:rPr>
        <w:t xml:space="preserve"> </w:t>
      </w:r>
      <w:r w:rsidRPr="00FE433F">
        <w:rPr>
          <w:rFonts w:hint="eastAsia"/>
          <w:i/>
          <w:sz w:val="23"/>
          <w:szCs w:val="23"/>
          <w:rtl/>
        </w:rPr>
        <w:t>ب</w:t>
      </w:r>
      <w:r w:rsidRPr="00FE433F">
        <w:rPr>
          <w:rFonts w:hint="cs"/>
          <w:i/>
          <w:sz w:val="23"/>
          <w:szCs w:val="23"/>
          <w:rtl/>
        </w:rPr>
        <w:t>ی</w:t>
      </w:r>
      <w:r w:rsidRPr="00FE433F">
        <w:rPr>
          <w:i/>
          <w:sz w:val="23"/>
          <w:szCs w:val="23"/>
          <w:rtl/>
        </w:rPr>
        <w:softHyphen/>
      </w:r>
      <w:r w:rsidRPr="00FE433F">
        <w:rPr>
          <w:rFonts w:hint="eastAsia"/>
          <w:i/>
          <w:sz w:val="23"/>
          <w:szCs w:val="23"/>
          <w:rtl/>
        </w:rPr>
        <w:t>تفاوت</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اگر</w:t>
      </w:r>
      <w:r w:rsidRPr="00FE433F">
        <w:rPr>
          <w:position w:val="-8"/>
        </w:rPr>
        <w:object w:dxaOrig="560" w:dyaOrig="279" w14:anchorId="0AC1F8B5">
          <v:shape id="_x0000_i4405" type="#_x0000_t75" style="width:27.85pt;height:13.9pt" o:ole="">
            <v:imagedata r:id="rId6803" o:title=""/>
          </v:shape>
          <o:OLEObject Type="Embed" ProgID="Equation.DSMT4" ShapeID="_x0000_i4405" DrawAspect="Content" ObjectID="_1791378349" r:id="rId6804"/>
        </w:object>
      </w:r>
      <w:r w:rsidRPr="00FE433F">
        <w:rPr>
          <w:rFonts w:hint="cs"/>
          <w:i/>
          <w:sz w:val="23"/>
          <w:szCs w:val="23"/>
          <w:rtl/>
        </w:rPr>
        <w:t xml:space="preserve"> </w:t>
      </w:r>
      <w:r w:rsidRPr="00FE433F">
        <w:rPr>
          <w:rFonts w:hint="eastAsia"/>
          <w:i/>
          <w:sz w:val="23"/>
          <w:szCs w:val="23"/>
          <w:rtl/>
        </w:rPr>
        <w:t>ب</w:t>
      </w:r>
      <w:r w:rsidRPr="00FE433F">
        <w:rPr>
          <w:rFonts w:hint="cs"/>
          <w:i/>
          <w:sz w:val="23"/>
          <w:szCs w:val="23"/>
          <w:rtl/>
        </w:rPr>
        <w:t>ا</w:t>
      </w:r>
      <w:r w:rsidRPr="00FE433F">
        <w:rPr>
          <w:rFonts w:hint="eastAsia"/>
          <w:i/>
          <w:sz w:val="23"/>
          <w:szCs w:val="23"/>
          <w:rtl/>
        </w:rPr>
        <w:t>شد</w:t>
      </w:r>
      <w:r w:rsidRPr="00FE433F">
        <w:rPr>
          <w:i/>
          <w:sz w:val="23"/>
          <w:szCs w:val="23"/>
          <w:rtl/>
        </w:rPr>
        <w:t xml:space="preserve"> </w:t>
      </w:r>
      <w:r w:rsidRPr="00FE433F">
        <w:rPr>
          <w:rFonts w:hint="eastAsia"/>
          <w:i/>
          <w:sz w:val="23"/>
          <w:szCs w:val="23"/>
          <w:rtl/>
        </w:rPr>
        <w:t>آنگاه</w:t>
      </w:r>
      <w:r w:rsidRPr="00FE433F">
        <w:rPr>
          <w:i/>
          <w:sz w:val="23"/>
          <w:szCs w:val="23"/>
          <w:rtl/>
        </w:rPr>
        <w:t xml:space="preserve"> </w:t>
      </w:r>
      <w:r w:rsidRPr="00FE433F">
        <w:rPr>
          <w:rFonts w:hint="eastAsia"/>
          <w:i/>
          <w:sz w:val="23"/>
          <w:szCs w:val="23"/>
          <w:rtl/>
        </w:rPr>
        <w:t>فرمول</w:t>
      </w:r>
      <w:r w:rsidRPr="00FE433F">
        <w:rPr>
          <w:i/>
          <w:sz w:val="23"/>
          <w:szCs w:val="23"/>
          <w:rtl/>
        </w:rPr>
        <w:softHyphen/>
      </w:r>
      <w:r w:rsidRPr="00FE433F">
        <w:rPr>
          <w:rFonts w:hint="eastAsia"/>
          <w:i/>
          <w:sz w:val="23"/>
          <w:szCs w:val="23"/>
          <w:rtl/>
        </w:rPr>
        <w:t>بند</w:t>
      </w:r>
      <w:r w:rsidRPr="00FE433F">
        <w:rPr>
          <w:rFonts w:hint="cs"/>
          <w:i/>
          <w:sz w:val="23"/>
          <w:szCs w:val="23"/>
          <w:rtl/>
        </w:rPr>
        <w:t>ی</w:t>
      </w:r>
      <w:r w:rsidRPr="00FE433F">
        <w:rPr>
          <w:i/>
          <w:sz w:val="23"/>
          <w:szCs w:val="23"/>
          <w:rtl/>
        </w:rPr>
        <w:t xml:space="preserve"> </w:t>
      </w:r>
      <w:r w:rsidRPr="00FE433F">
        <w:rPr>
          <w:rFonts w:hint="eastAsia"/>
          <w:i/>
          <w:sz w:val="23"/>
          <w:szCs w:val="23"/>
          <w:rtl/>
        </w:rPr>
        <w:t>قبل</w:t>
      </w:r>
      <w:r w:rsidRPr="00FE433F">
        <w:rPr>
          <w:rFonts w:hint="cs"/>
          <w:i/>
          <w:sz w:val="23"/>
          <w:szCs w:val="23"/>
          <w:rtl/>
        </w:rPr>
        <w:t>ی</w:t>
      </w:r>
      <w:r w:rsidRPr="00FE433F">
        <w:rPr>
          <w:i/>
          <w:sz w:val="23"/>
          <w:szCs w:val="23"/>
          <w:rtl/>
        </w:rPr>
        <w:t xml:space="preserve"> </w:t>
      </w:r>
      <w:r w:rsidRPr="00FE433F">
        <w:rPr>
          <w:rFonts w:hint="cs"/>
          <w:i/>
          <w:sz w:val="23"/>
          <w:szCs w:val="23"/>
          <w:rtl/>
        </w:rPr>
        <w:t xml:space="preserve">را مورد استفاه قرار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ده</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مال</w:t>
      </w:r>
      <w:r w:rsidRPr="00FE433F">
        <w:rPr>
          <w:rFonts w:hint="cs"/>
          <w:i/>
          <w:sz w:val="23"/>
          <w:szCs w:val="23"/>
          <w:rtl/>
        </w:rPr>
        <w:t>ی</w:t>
      </w:r>
      <w:r w:rsidRPr="00FE433F">
        <w:rPr>
          <w:rFonts w:hint="eastAsia"/>
          <w:i/>
          <w:sz w:val="23"/>
          <w:szCs w:val="23"/>
          <w:rtl/>
        </w:rPr>
        <w:t>ات</w:t>
      </w:r>
      <w:r w:rsidRPr="00FE433F">
        <w:rPr>
          <w:i/>
          <w:sz w:val="23"/>
          <w:szCs w:val="23"/>
          <w:rtl/>
        </w:rPr>
        <w:t xml:space="preserve"> </w:t>
      </w:r>
      <w:r w:rsidRPr="00FE433F">
        <w:rPr>
          <w:rFonts w:hint="eastAsia"/>
          <w:i/>
          <w:sz w:val="23"/>
          <w:szCs w:val="23"/>
          <w:rtl/>
        </w:rPr>
        <w:t>حق</w:t>
      </w:r>
      <w:r w:rsidRPr="00FE433F">
        <w:rPr>
          <w:i/>
          <w:sz w:val="23"/>
          <w:szCs w:val="23"/>
          <w:rtl/>
        </w:rPr>
        <w:softHyphen/>
      </w:r>
      <w:r w:rsidRPr="00FE433F">
        <w:rPr>
          <w:rFonts w:hint="eastAsia"/>
          <w:i/>
          <w:sz w:val="23"/>
          <w:szCs w:val="23"/>
          <w:rtl/>
        </w:rPr>
        <w:t>الضرب</w:t>
      </w:r>
      <w:r w:rsidRPr="00FE433F">
        <w:rPr>
          <w:i/>
          <w:sz w:val="23"/>
          <w:szCs w:val="23"/>
          <w:rtl/>
        </w:rPr>
        <w:t xml:space="preserve"> </w:t>
      </w:r>
      <w:r w:rsidRPr="00FE433F">
        <w:rPr>
          <w:rFonts w:hint="eastAsia"/>
          <w:i/>
          <w:sz w:val="23"/>
          <w:szCs w:val="23"/>
          <w:rtl/>
        </w:rPr>
        <w:t>ب</w:t>
      </w:r>
      <w:r w:rsidRPr="00FE433F">
        <w:rPr>
          <w:rFonts w:hint="cs"/>
          <w:i/>
          <w:sz w:val="23"/>
          <w:szCs w:val="23"/>
          <w:rtl/>
        </w:rPr>
        <w:t>ی</w:t>
      </w:r>
      <w:r w:rsidRPr="00FE433F">
        <w:rPr>
          <w:rFonts w:hint="eastAsia"/>
          <w:i/>
          <w:sz w:val="23"/>
          <w:szCs w:val="23"/>
          <w:rtl/>
        </w:rPr>
        <w:t>شتر</w:t>
      </w:r>
      <w:r w:rsidRPr="00FE433F">
        <w:rPr>
          <w:rFonts w:hint="cs"/>
          <w:i/>
          <w:sz w:val="23"/>
          <w:szCs w:val="23"/>
          <w:rtl/>
        </w:rPr>
        <w:t>،</w:t>
      </w:r>
      <w:r w:rsidRPr="00FE433F">
        <w:rPr>
          <w:i/>
          <w:sz w:val="23"/>
          <w:szCs w:val="23"/>
          <w:rtl/>
        </w:rPr>
        <w:t xml:space="preserve"> </w:t>
      </w:r>
      <w:r w:rsidRPr="00FE433F">
        <w:rPr>
          <w:rFonts w:hint="eastAsia"/>
          <w:i/>
          <w:sz w:val="23"/>
          <w:szCs w:val="23"/>
          <w:rtl/>
        </w:rPr>
        <w:t>مستلزم</w:t>
      </w:r>
      <w:r w:rsidRPr="00FE433F">
        <w:rPr>
          <w:i/>
          <w:sz w:val="23"/>
          <w:szCs w:val="23"/>
          <w:rtl/>
        </w:rPr>
        <w:t xml:space="preserve"> </w:t>
      </w:r>
      <w:r w:rsidRPr="00FE433F">
        <w:rPr>
          <w:rFonts w:hint="eastAsia"/>
          <w:i/>
          <w:sz w:val="23"/>
          <w:szCs w:val="23"/>
          <w:rtl/>
        </w:rPr>
        <w:t>مال</w:t>
      </w:r>
      <w:r w:rsidRPr="00FE433F">
        <w:rPr>
          <w:rFonts w:hint="cs"/>
          <w:i/>
          <w:sz w:val="23"/>
          <w:szCs w:val="23"/>
          <w:rtl/>
        </w:rPr>
        <w:t>ی</w:t>
      </w:r>
      <w:r w:rsidRPr="00FE433F">
        <w:rPr>
          <w:rFonts w:hint="eastAsia"/>
          <w:i/>
          <w:sz w:val="23"/>
          <w:szCs w:val="23"/>
          <w:rtl/>
        </w:rPr>
        <w:t>ات</w:t>
      </w:r>
      <w:r w:rsidRPr="00FE433F">
        <w:rPr>
          <w:rFonts w:hint="cs"/>
          <w:i/>
          <w:sz w:val="23"/>
          <w:szCs w:val="23"/>
          <w:rtl/>
        </w:rPr>
        <w:t xml:space="preserve"> مقطوع</w:t>
      </w:r>
      <w:r w:rsidRPr="00FE433F">
        <w:rPr>
          <w:i/>
          <w:sz w:val="23"/>
          <w:szCs w:val="23"/>
          <w:rtl/>
        </w:rPr>
        <w:t xml:space="preserve"> </w:t>
      </w:r>
      <w:r w:rsidRPr="00FE433F">
        <w:rPr>
          <w:rFonts w:hint="eastAsia"/>
          <w:i/>
          <w:sz w:val="23"/>
          <w:szCs w:val="23"/>
          <w:rtl/>
        </w:rPr>
        <w:t>کمتر</w:t>
      </w:r>
      <w:r w:rsidRPr="00FE433F">
        <w:rPr>
          <w:rFonts w:hint="cs"/>
          <w:i/>
          <w:sz w:val="23"/>
          <w:szCs w:val="23"/>
          <w:rtl/>
        </w:rPr>
        <w:t xml:space="preserve"> است،</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cs"/>
          <w:i/>
          <w:sz w:val="23"/>
          <w:szCs w:val="23"/>
          <w:rtl/>
        </w:rPr>
        <w:t xml:space="preserve">بنابراین </w:t>
      </w:r>
      <w:r w:rsidRPr="00FE433F">
        <w:rPr>
          <w:rFonts w:hint="eastAsia"/>
          <w:i/>
          <w:sz w:val="23"/>
          <w:szCs w:val="23"/>
          <w:rtl/>
        </w:rPr>
        <w:t>بر</w:t>
      </w:r>
      <w:r w:rsidRPr="00FE433F">
        <w:rPr>
          <w:i/>
          <w:sz w:val="23"/>
          <w:szCs w:val="23"/>
          <w:rtl/>
        </w:rPr>
        <w:t xml:space="preserve"> </w:t>
      </w:r>
      <w:r w:rsidRPr="00FE433F">
        <w:rPr>
          <w:rFonts w:hint="eastAsia"/>
          <w:i/>
          <w:sz w:val="23"/>
          <w:szCs w:val="23"/>
          <w:rtl/>
        </w:rPr>
        <w:t>درآمد</w:t>
      </w:r>
      <w:r w:rsidRPr="00FE433F">
        <w:rPr>
          <w:i/>
          <w:sz w:val="23"/>
          <w:szCs w:val="23"/>
          <w:rtl/>
        </w:rPr>
        <w:t xml:space="preserve"> </w:t>
      </w:r>
      <w:r w:rsidRPr="00FE433F">
        <w:rPr>
          <w:rFonts w:hint="eastAsia"/>
          <w:i/>
          <w:sz w:val="23"/>
          <w:szCs w:val="23"/>
          <w:rtl/>
        </w:rPr>
        <w:t>بعد</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مال</w:t>
      </w:r>
      <w:r w:rsidRPr="00FE433F">
        <w:rPr>
          <w:rFonts w:hint="cs"/>
          <w:i/>
          <w:sz w:val="23"/>
          <w:szCs w:val="23"/>
          <w:rtl/>
        </w:rPr>
        <w:t>ی</w:t>
      </w:r>
      <w:r w:rsidRPr="00FE433F">
        <w:rPr>
          <w:rFonts w:hint="eastAsia"/>
          <w:i/>
          <w:sz w:val="23"/>
          <w:szCs w:val="23"/>
          <w:rtl/>
        </w:rPr>
        <w:t>ات</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ب</w:t>
      </w:r>
      <w:r w:rsidRPr="00FE433F">
        <w:rPr>
          <w:rFonts w:hint="cs"/>
          <w:i/>
          <w:sz w:val="23"/>
          <w:szCs w:val="23"/>
          <w:rtl/>
        </w:rPr>
        <w:t>ی</w:t>
      </w:r>
      <w:r w:rsidRPr="00FE433F">
        <w:rPr>
          <w:i/>
          <w:sz w:val="23"/>
          <w:szCs w:val="23"/>
          <w:rtl/>
        </w:rPr>
        <w:softHyphen/>
      </w:r>
      <w:r w:rsidRPr="00FE433F">
        <w:rPr>
          <w:rFonts w:hint="eastAsia"/>
          <w:i/>
          <w:sz w:val="23"/>
          <w:szCs w:val="23"/>
          <w:rtl/>
        </w:rPr>
        <w:t>تأث</w:t>
      </w:r>
      <w:r w:rsidRPr="00FE433F">
        <w:rPr>
          <w:rFonts w:hint="cs"/>
          <w:i/>
          <w:sz w:val="23"/>
          <w:szCs w:val="23"/>
          <w:rtl/>
        </w:rPr>
        <w:t>ی</w:t>
      </w:r>
      <w:r w:rsidRPr="00FE433F">
        <w:rPr>
          <w:rFonts w:hint="eastAsia"/>
          <w:i/>
          <w:sz w:val="23"/>
          <w:szCs w:val="23"/>
          <w:rtl/>
        </w:rPr>
        <w:t>ر</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هر</w:t>
      </w:r>
      <w:r w:rsidRPr="00FE433F">
        <w:rPr>
          <w:i/>
          <w:sz w:val="23"/>
          <w:szCs w:val="23"/>
          <w:rtl/>
        </w:rPr>
        <w:t xml:space="preserve"> </w:t>
      </w:r>
      <w:r w:rsidRPr="00FE433F">
        <w:rPr>
          <w:rFonts w:hint="eastAsia"/>
          <w:i/>
          <w:sz w:val="23"/>
          <w:szCs w:val="23"/>
          <w:rtl/>
        </w:rPr>
        <w:t>تابع</w:t>
      </w:r>
      <w:r w:rsidRPr="00FE433F">
        <w:rPr>
          <w:i/>
          <w:sz w:val="23"/>
          <w:szCs w:val="23"/>
          <w:rtl/>
        </w:rPr>
        <w:t xml:space="preserve"> </w:t>
      </w:r>
      <w:r w:rsidRPr="00FE433F">
        <w:rPr>
          <w:rFonts w:hint="eastAsia"/>
          <w:i/>
          <w:sz w:val="23"/>
          <w:szCs w:val="23"/>
          <w:rtl/>
        </w:rPr>
        <w:t>تقاضا</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eastAsia"/>
          <w:i/>
          <w:sz w:val="23"/>
          <w:szCs w:val="23"/>
          <w:rtl/>
        </w:rPr>
        <w:t>انتخاب</w:t>
      </w:r>
      <w:r w:rsidRPr="00FE433F">
        <w:rPr>
          <w:i/>
          <w:sz w:val="23"/>
          <w:szCs w:val="23"/>
          <w:rtl/>
        </w:rPr>
        <w:t xml:space="preserve"> </w:t>
      </w:r>
      <w:r w:rsidRPr="00FE433F">
        <w:rPr>
          <w:rFonts w:hint="eastAsia"/>
          <w:i/>
          <w:sz w:val="23"/>
          <w:szCs w:val="23"/>
          <w:rtl/>
        </w:rPr>
        <w:t>ب</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حق</w:t>
      </w:r>
      <w:r w:rsidRPr="00FE433F">
        <w:rPr>
          <w:i/>
          <w:sz w:val="23"/>
          <w:szCs w:val="23"/>
          <w:rtl/>
        </w:rPr>
        <w:softHyphen/>
      </w:r>
      <w:r w:rsidRPr="00FE433F">
        <w:rPr>
          <w:rFonts w:hint="eastAsia"/>
          <w:i/>
          <w:sz w:val="23"/>
          <w:szCs w:val="23"/>
          <w:rtl/>
        </w:rPr>
        <w:t>الضرب</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مال</w:t>
      </w:r>
      <w:r w:rsidRPr="00FE433F">
        <w:rPr>
          <w:rFonts w:hint="cs"/>
          <w:i/>
          <w:sz w:val="23"/>
          <w:szCs w:val="23"/>
          <w:rtl/>
        </w:rPr>
        <w:t>ی</w:t>
      </w:r>
      <w:r w:rsidRPr="00FE433F">
        <w:rPr>
          <w:rFonts w:hint="eastAsia"/>
          <w:i/>
          <w:sz w:val="23"/>
          <w:szCs w:val="23"/>
          <w:rtl/>
        </w:rPr>
        <w:t>ات</w:t>
      </w:r>
      <w:r w:rsidRPr="00FE433F">
        <w:rPr>
          <w:rFonts w:hint="cs"/>
          <w:i/>
          <w:sz w:val="23"/>
          <w:szCs w:val="23"/>
          <w:rtl/>
        </w:rPr>
        <w:t xml:space="preserve"> مقطوع</w:t>
      </w:r>
      <w:r w:rsidRPr="00FE433F">
        <w:rPr>
          <w:i/>
          <w:sz w:val="23"/>
          <w:szCs w:val="23"/>
          <w:rtl/>
        </w:rPr>
        <w:t xml:space="preserve"> </w:t>
      </w:r>
      <w:r w:rsidRPr="00FE433F">
        <w:rPr>
          <w:rFonts w:hint="eastAsia"/>
          <w:i/>
          <w:sz w:val="23"/>
          <w:szCs w:val="23"/>
          <w:rtl/>
        </w:rPr>
        <w:t>ممکن</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تع</w:t>
      </w:r>
      <w:r w:rsidRPr="00FE433F">
        <w:rPr>
          <w:rFonts w:hint="cs"/>
          <w:i/>
          <w:sz w:val="23"/>
          <w:szCs w:val="23"/>
          <w:rtl/>
        </w:rPr>
        <w:t>یی</w:t>
      </w:r>
      <w:r w:rsidRPr="00FE433F">
        <w:rPr>
          <w:rFonts w:hint="eastAsia"/>
          <w:i/>
          <w:sz w:val="23"/>
          <w:szCs w:val="23"/>
          <w:rtl/>
        </w:rPr>
        <w:t>ن</w:t>
      </w:r>
      <w:r w:rsidRPr="00FE433F">
        <w:rPr>
          <w:i/>
          <w:sz w:val="23"/>
          <w:szCs w:val="23"/>
          <w:rtl/>
        </w:rPr>
        <w:t xml:space="preserve"> </w:t>
      </w:r>
      <w:r w:rsidRPr="00FE433F">
        <w:rPr>
          <w:rFonts w:hint="cs"/>
          <w:i/>
          <w:sz w:val="23"/>
          <w:szCs w:val="23"/>
          <w:rtl/>
        </w:rPr>
        <w:t xml:space="preserve">قبلی </w:t>
      </w:r>
      <w:r w:rsidRPr="00FE433F">
        <w:rPr>
          <w:rFonts w:hint="eastAsia"/>
          <w:i/>
          <w:sz w:val="23"/>
          <w:szCs w:val="23"/>
          <w:rtl/>
        </w:rPr>
        <w:t>نرخ</w:t>
      </w:r>
      <w:r w:rsidRPr="00FE433F">
        <w:rPr>
          <w:i/>
          <w:sz w:val="23"/>
          <w:szCs w:val="23"/>
          <w:rtl/>
        </w:rPr>
        <w:t xml:space="preserve"> </w:t>
      </w:r>
      <w:r w:rsidRPr="00FE433F">
        <w:rPr>
          <w:rFonts w:hint="eastAsia"/>
          <w:i/>
          <w:sz w:val="23"/>
          <w:szCs w:val="23"/>
          <w:rtl/>
        </w:rPr>
        <w:t>تورم</w:t>
      </w:r>
      <w:r w:rsidRPr="00FE433F">
        <w:rPr>
          <w:i/>
          <w:sz w:val="23"/>
          <w:szCs w:val="23"/>
          <w:rtl/>
        </w:rPr>
        <w:t xml:space="preserve"> </w:t>
      </w:r>
      <w:r w:rsidRPr="00FE433F">
        <w:rPr>
          <w:rFonts w:hint="eastAsia"/>
          <w:i/>
          <w:sz w:val="23"/>
          <w:szCs w:val="23"/>
          <w:rtl/>
        </w:rPr>
        <w:t>به</w:t>
      </w:r>
      <w:r w:rsidRPr="00FE433F">
        <w:rPr>
          <w:rFonts w:hint="cs"/>
          <w:i/>
          <w:sz w:val="23"/>
          <w:szCs w:val="23"/>
          <w:rtl/>
        </w:rPr>
        <w:t>ی</w:t>
      </w:r>
      <w:r w:rsidRPr="00FE433F">
        <w:rPr>
          <w:rFonts w:hint="eastAsia"/>
          <w:i/>
          <w:sz w:val="23"/>
          <w:szCs w:val="23"/>
          <w:rtl/>
        </w:rPr>
        <w:t>نه</w:t>
      </w:r>
      <w:r w:rsidRPr="00FE433F">
        <w:rPr>
          <w:i/>
          <w:sz w:val="23"/>
          <w:szCs w:val="23"/>
          <w:rtl/>
        </w:rPr>
        <w:t xml:space="preserve"> </w:t>
      </w:r>
      <w:r w:rsidRPr="00FE433F">
        <w:rPr>
          <w:rFonts w:hint="eastAsia"/>
          <w:i/>
          <w:sz w:val="23"/>
          <w:szCs w:val="23"/>
          <w:rtl/>
        </w:rPr>
        <w:t>مجدداً</w:t>
      </w:r>
      <w:r w:rsidRPr="00FE433F">
        <w:rPr>
          <w:i/>
          <w:sz w:val="23"/>
          <w:szCs w:val="23"/>
          <w:rtl/>
        </w:rPr>
        <w:t xml:space="preserve"> </w:t>
      </w:r>
      <w:r w:rsidRPr="00FE433F">
        <w:rPr>
          <w:rFonts w:hint="eastAsia"/>
          <w:i/>
          <w:sz w:val="23"/>
          <w:szCs w:val="23"/>
          <w:rtl/>
        </w:rPr>
        <w:t>حل</w:t>
      </w:r>
      <w:r w:rsidRPr="00FE433F">
        <w:rPr>
          <w:i/>
          <w:sz w:val="23"/>
          <w:szCs w:val="23"/>
          <w:rtl/>
        </w:rPr>
        <w:t xml:space="preserve"> </w:t>
      </w:r>
      <w:r w:rsidRPr="00FE433F">
        <w:rPr>
          <w:rFonts w:hint="eastAsia"/>
          <w:i/>
          <w:sz w:val="23"/>
          <w:szCs w:val="23"/>
          <w:rtl/>
        </w:rPr>
        <w:t>شود</w:t>
      </w:r>
      <w:r w:rsidRPr="00FE433F">
        <w:rPr>
          <w:i/>
          <w:sz w:val="23"/>
          <w:szCs w:val="23"/>
          <w:rtl/>
        </w:rPr>
        <w:t>.</w:t>
      </w:r>
    </w:p>
    <w:p w14:paraId="2487FC7C" w14:textId="77777777" w:rsidR="00411620" w:rsidRPr="00FE433F" w:rsidRDefault="00411620" w:rsidP="00411620">
      <w:pPr>
        <w:spacing w:line="216" w:lineRule="auto"/>
        <w:rPr>
          <w:i/>
          <w:sz w:val="23"/>
          <w:szCs w:val="23"/>
          <w:rtl/>
        </w:rPr>
      </w:pPr>
    </w:p>
    <w:p w14:paraId="0FEDD619" w14:textId="77777777" w:rsidR="00411620" w:rsidRPr="00FE433F" w:rsidRDefault="00411620" w:rsidP="00411620">
      <w:pPr>
        <w:pStyle w:val="Heading1"/>
        <w:spacing w:before="0" w:after="0" w:line="216" w:lineRule="auto"/>
        <w:rPr>
          <w:rFonts w:ascii="Times New Roman" w:hAnsi="Times New Roman" w:cs="B Nazanin"/>
          <w:b w:val="0"/>
          <w:i/>
          <w:sz w:val="23"/>
          <w:szCs w:val="23"/>
          <w:rtl/>
        </w:rPr>
      </w:pPr>
      <w:r w:rsidRPr="00FE433F">
        <w:rPr>
          <w:rFonts w:ascii="Times New Roman" w:hAnsi="Times New Roman" w:cs="B Nazanin"/>
          <w:b w:val="0"/>
          <w:i/>
          <w:sz w:val="23"/>
          <w:szCs w:val="23"/>
          <w:rtl/>
        </w:rPr>
        <w:lastRenderedPageBreak/>
        <w:t xml:space="preserve">۸. </w:t>
      </w:r>
      <w:r w:rsidRPr="00FE433F">
        <w:rPr>
          <w:rFonts w:ascii="Times New Roman" w:hAnsi="Times New Roman" w:cs="B Nazanin" w:hint="cs"/>
          <w:b w:val="0"/>
          <w:i/>
          <w:sz w:val="23"/>
          <w:szCs w:val="23"/>
          <w:rtl/>
        </w:rPr>
        <w:t xml:space="preserve">۱۳ </w:t>
      </w:r>
      <w:r w:rsidRPr="00FE433F">
        <w:rPr>
          <w:rFonts w:ascii="Times New Roman" w:hAnsi="Times New Roman" w:cs="B Nazanin" w:hint="eastAsia"/>
          <w:b w:val="0"/>
          <w:i/>
          <w:sz w:val="23"/>
          <w:szCs w:val="23"/>
          <w:rtl/>
        </w:rPr>
        <w:t>نتا</w:t>
      </w:r>
      <w:r w:rsidRPr="00FE433F">
        <w:rPr>
          <w:rFonts w:ascii="Times New Roman" w:hAnsi="Times New Roman" w:cs="B Nazanin" w:hint="cs"/>
          <w:b w:val="0"/>
          <w:i/>
          <w:sz w:val="23"/>
          <w:szCs w:val="23"/>
          <w:rtl/>
        </w:rPr>
        <w:t>ی</w:t>
      </w:r>
      <w:r w:rsidRPr="00FE433F">
        <w:rPr>
          <w:rFonts w:ascii="Times New Roman" w:hAnsi="Times New Roman" w:cs="B Nazanin" w:hint="eastAsia"/>
          <w:b w:val="0"/>
          <w:i/>
          <w:sz w:val="23"/>
          <w:szCs w:val="23"/>
          <w:rtl/>
        </w:rPr>
        <w:t>ج</w:t>
      </w:r>
    </w:p>
    <w:p w14:paraId="323B47A3" w14:textId="77777777" w:rsidR="00411620" w:rsidRPr="00FE433F" w:rsidRDefault="00411620" w:rsidP="00411620">
      <w:pPr>
        <w:spacing w:line="216" w:lineRule="auto"/>
        <w:rPr>
          <w:i/>
          <w:sz w:val="23"/>
          <w:szCs w:val="23"/>
          <w:rtl/>
        </w:rPr>
      </w:pPr>
      <w:r w:rsidRPr="00FE433F">
        <w:rPr>
          <w:rFonts w:hint="cs"/>
          <w:i/>
          <w:sz w:val="23"/>
          <w:szCs w:val="23"/>
          <w:rtl/>
        </w:rPr>
        <w:t xml:space="preserve">در این فصل </w:t>
      </w:r>
      <w:r w:rsidRPr="00FE433F">
        <w:rPr>
          <w:rFonts w:hint="eastAsia"/>
          <w:i/>
          <w:sz w:val="23"/>
          <w:szCs w:val="23"/>
          <w:rtl/>
        </w:rPr>
        <w:t>نشان</w:t>
      </w:r>
      <w:r w:rsidRPr="00FE433F">
        <w:rPr>
          <w:i/>
          <w:sz w:val="23"/>
          <w:szCs w:val="23"/>
          <w:rtl/>
        </w:rPr>
        <w:t xml:space="preserve"> </w:t>
      </w:r>
      <w:r w:rsidRPr="00FE433F">
        <w:rPr>
          <w:rFonts w:hint="eastAsia"/>
          <w:i/>
          <w:sz w:val="23"/>
          <w:szCs w:val="23"/>
          <w:rtl/>
        </w:rPr>
        <w:t>داد</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چگونه</w:t>
      </w:r>
      <w:r w:rsidRPr="00FE433F">
        <w:rPr>
          <w:i/>
          <w:sz w:val="23"/>
          <w:szCs w:val="23"/>
          <w:rtl/>
        </w:rPr>
        <w:t xml:space="preserve"> </w:t>
      </w:r>
      <w:r w:rsidRPr="00FE433F">
        <w:rPr>
          <w:rFonts w:hint="eastAsia"/>
          <w:i/>
          <w:sz w:val="23"/>
          <w:szCs w:val="23"/>
          <w:rtl/>
        </w:rPr>
        <w:t>اقتصاد</w:t>
      </w:r>
      <w:r w:rsidRPr="00FE433F">
        <w:rPr>
          <w:i/>
          <w:sz w:val="23"/>
          <w:szCs w:val="23"/>
          <w:rtl/>
        </w:rPr>
        <w:t xml:space="preserve"> </w:t>
      </w:r>
      <w:r w:rsidRPr="00FE433F">
        <w:rPr>
          <w:rFonts w:hint="eastAsia"/>
          <w:i/>
          <w:sz w:val="23"/>
          <w:szCs w:val="23"/>
          <w:rtl/>
        </w:rPr>
        <w:t>بسته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متغ</w:t>
      </w:r>
      <w:r w:rsidRPr="00FE433F">
        <w:rPr>
          <w:rFonts w:hint="cs"/>
          <w:i/>
          <w:sz w:val="23"/>
          <w:szCs w:val="23"/>
          <w:rtl/>
        </w:rPr>
        <w:t>ی</w:t>
      </w:r>
      <w:r w:rsidRPr="00FE433F">
        <w:rPr>
          <w:rFonts w:hint="eastAsia"/>
          <w:i/>
          <w:sz w:val="23"/>
          <w:szCs w:val="23"/>
          <w:rtl/>
        </w:rPr>
        <w:t>رها</w:t>
      </w:r>
      <w:r w:rsidRPr="00FE433F">
        <w:rPr>
          <w:rFonts w:hint="cs"/>
          <w:i/>
          <w:sz w:val="23"/>
          <w:szCs w:val="23"/>
          <w:rtl/>
        </w:rPr>
        <w:t>ی</w:t>
      </w:r>
      <w:r w:rsidRPr="00FE433F">
        <w:rPr>
          <w:i/>
          <w:sz w:val="23"/>
          <w:szCs w:val="23"/>
          <w:rtl/>
        </w:rPr>
        <w:t xml:space="preserve"> </w:t>
      </w:r>
      <w:r w:rsidRPr="00FE433F">
        <w:rPr>
          <w:rFonts w:hint="eastAsia"/>
          <w:i/>
          <w:sz w:val="23"/>
          <w:szCs w:val="23"/>
          <w:rtl/>
        </w:rPr>
        <w:t>اسم</w:t>
      </w:r>
      <w:r w:rsidRPr="00FE433F">
        <w:rPr>
          <w:rFonts w:hint="cs"/>
          <w:i/>
          <w:sz w:val="23"/>
          <w:szCs w:val="23"/>
          <w:rtl/>
        </w:rPr>
        <w:t>ی</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توان</w:t>
      </w:r>
      <w:r w:rsidRPr="00FE433F">
        <w:rPr>
          <w:i/>
          <w:sz w:val="23"/>
          <w:szCs w:val="23"/>
          <w:rtl/>
        </w:rPr>
        <w:t xml:space="preserve"> </w:t>
      </w:r>
      <w:r w:rsidRPr="00FE433F">
        <w:rPr>
          <w:rFonts w:hint="eastAsia"/>
          <w:i/>
          <w:sz w:val="23"/>
          <w:szCs w:val="23"/>
          <w:rtl/>
        </w:rPr>
        <w:t>بازفرمولبند</w:t>
      </w:r>
      <w:r w:rsidRPr="00FE433F">
        <w:rPr>
          <w:rFonts w:hint="cs"/>
          <w:i/>
          <w:sz w:val="23"/>
          <w:szCs w:val="23"/>
          <w:rtl/>
        </w:rPr>
        <w:t>ی</w:t>
      </w:r>
      <w:r w:rsidRPr="00FE433F">
        <w:rPr>
          <w:i/>
          <w:sz w:val="23"/>
          <w:szCs w:val="23"/>
          <w:rtl/>
        </w:rPr>
        <w:t xml:space="preserve"> </w:t>
      </w:r>
      <w:r w:rsidRPr="00FE433F">
        <w:rPr>
          <w:rFonts w:hint="eastAsia"/>
          <w:i/>
          <w:sz w:val="23"/>
          <w:szCs w:val="23"/>
          <w:rtl/>
        </w:rPr>
        <w:t>کرد</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کار</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سطح</w:t>
      </w:r>
      <w:r w:rsidRPr="00FE433F">
        <w:rPr>
          <w:i/>
          <w:sz w:val="23"/>
          <w:szCs w:val="23"/>
          <w:rtl/>
        </w:rPr>
        <w:t xml:space="preserve"> </w:t>
      </w:r>
      <w:r w:rsidRPr="00FE433F">
        <w:rPr>
          <w:rFonts w:hint="eastAsia"/>
          <w:i/>
          <w:sz w:val="23"/>
          <w:szCs w:val="23"/>
          <w:rtl/>
        </w:rPr>
        <w:t>عموم</w:t>
      </w:r>
      <w:r w:rsidRPr="00FE433F">
        <w:rPr>
          <w:rFonts w:hint="cs"/>
          <w:i/>
          <w:sz w:val="23"/>
          <w:szCs w:val="23"/>
          <w:rtl/>
        </w:rPr>
        <w:t>ی</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مت</w:t>
      </w:r>
      <w:r w:rsidRPr="00FE433F">
        <w:rPr>
          <w:rFonts w:hint="eastAsia"/>
          <w:i/>
          <w:sz w:val="23"/>
          <w:szCs w:val="23"/>
        </w:rPr>
        <w:t>‌</w:t>
      </w:r>
      <w:r w:rsidRPr="00FE433F">
        <w:rPr>
          <w:rFonts w:hint="eastAsia"/>
          <w:i/>
          <w:sz w:val="23"/>
          <w:szCs w:val="23"/>
          <w:rtl/>
        </w:rPr>
        <w:t>ها</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معرف</w:t>
      </w:r>
      <w:r w:rsidRPr="00FE433F">
        <w:rPr>
          <w:rFonts w:hint="cs"/>
          <w:i/>
          <w:sz w:val="23"/>
          <w:szCs w:val="23"/>
          <w:rtl/>
        </w:rPr>
        <w:t>ی</w:t>
      </w:r>
      <w:r w:rsidRPr="00FE433F">
        <w:rPr>
          <w:i/>
          <w:sz w:val="23"/>
          <w:szCs w:val="23"/>
          <w:rtl/>
        </w:rPr>
        <w:t xml:space="preserve"> </w:t>
      </w:r>
      <w:r w:rsidRPr="00FE433F">
        <w:rPr>
          <w:rFonts w:hint="eastAsia"/>
          <w:i/>
          <w:sz w:val="23"/>
          <w:szCs w:val="23"/>
          <w:rtl/>
        </w:rPr>
        <w:t>کرد</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بازنگر</w:t>
      </w:r>
      <w:r w:rsidRPr="00FE433F">
        <w:rPr>
          <w:rFonts w:hint="cs"/>
          <w:i/>
          <w:sz w:val="23"/>
          <w:szCs w:val="23"/>
          <w:rtl/>
        </w:rPr>
        <w:t>ی</w:t>
      </w:r>
      <w:r w:rsidRPr="00FE433F">
        <w:rPr>
          <w:i/>
          <w:sz w:val="23"/>
          <w:szCs w:val="23"/>
          <w:rtl/>
        </w:rPr>
        <w:t xml:space="preserve"> </w:t>
      </w:r>
      <w:r w:rsidRPr="00FE433F">
        <w:rPr>
          <w:rFonts w:hint="eastAsia"/>
          <w:i/>
          <w:sz w:val="23"/>
          <w:szCs w:val="23"/>
          <w:rtl/>
        </w:rPr>
        <w:t>مختصر</w:t>
      </w:r>
      <w:r w:rsidRPr="00FE433F">
        <w:rPr>
          <w:rFonts w:hint="cs"/>
          <w:i/>
          <w:sz w:val="23"/>
          <w:szCs w:val="23"/>
          <w:rtl/>
        </w:rPr>
        <w:t>ی</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تار</w:t>
      </w:r>
      <w:r w:rsidRPr="00FE433F">
        <w:rPr>
          <w:rFonts w:hint="cs"/>
          <w:i/>
          <w:sz w:val="23"/>
          <w:szCs w:val="23"/>
          <w:rtl/>
        </w:rPr>
        <w:t>ی</w:t>
      </w:r>
      <w:r w:rsidRPr="00FE433F">
        <w:rPr>
          <w:rFonts w:hint="eastAsia"/>
          <w:i/>
          <w:sz w:val="23"/>
          <w:szCs w:val="23"/>
          <w:rtl/>
        </w:rPr>
        <w:t>خچه</w:t>
      </w:r>
      <w:r w:rsidRPr="00FE433F">
        <w:rPr>
          <w:i/>
          <w:sz w:val="23"/>
          <w:szCs w:val="23"/>
          <w:rtl/>
        </w:rPr>
        <w:softHyphen/>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برخ</w:t>
      </w:r>
      <w:r w:rsidRPr="00FE433F">
        <w:rPr>
          <w:rFonts w:hint="cs"/>
          <w:i/>
          <w:sz w:val="23"/>
          <w:szCs w:val="23"/>
          <w:rtl/>
        </w:rPr>
        <w:t>ی</w:t>
      </w:r>
      <w:r w:rsidRPr="00FE433F">
        <w:rPr>
          <w:i/>
          <w:sz w:val="23"/>
          <w:szCs w:val="23"/>
          <w:rtl/>
        </w:rPr>
        <w:t xml:space="preserve"> </w:t>
      </w:r>
      <w:r w:rsidRPr="00FE433F">
        <w:rPr>
          <w:rFonts w:hint="eastAsia"/>
          <w:i/>
          <w:sz w:val="23"/>
          <w:szCs w:val="23"/>
          <w:rtl/>
        </w:rPr>
        <w:t>مشکلات</w:t>
      </w:r>
      <w:r w:rsidRPr="00FE433F">
        <w:rPr>
          <w:rFonts w:hint="cs"/>
          <w:i/>
          <w:sz w:val="23"/>
          <w:szCs w:val="23"/>
          <w:rtl/>
        </w:rPr>
        <w:t>ی</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چرا</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با</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cs"/>
          <w:i/>
          <w:sz w:val="23"/>
          <w:szCs w:val="23"/>
          <w:rtl/>
        </w:rPr>
        <w:t xml:space="preserve">در </w:t>
      </w:r>
      <w:r w:rsidRPr="00FE433F">
        <w:rPr>
          <w:rFonts w:hint="eastAsia"/>
          <w:i/>
          <w:sz w:val="23"/>
          <w:szCs w:val="23"/>
          <w:rtl/>
        </w:rPr>
        <w:t>اقتصاد</w:t>
      </w:r>
      <w:r w:rsidRPr="00FE433F">
        <w:rPr>
          <w:i/>
          <w:sz w:val="23"/>
          <w:szCs w:val="23"/>
          <w:rtl/>
        </w:rPr>
        <w:t xml:space="preserve"> </w:t>
      </w:r>
      <w:r w:rsidRPr="00FE433F">
        <w:rPr>
          <w:rFonts w:hint="eastAsia"/>
          <w:i/>
          <w:sz w:val="23"/>
          <w:szCs w:val="23"/>
          <w:rtl/>
        </w:rPr>
        <w:t>وجود</w:t>
      </w:r>
      <w:r w:rsidRPr="00FE433F">
        <w:rPr>
          <w:i/>
          <w:sz w:val="23"/>
          <w:szCs w:val="23"/>
          <w:rtl/>
        </w:rPr>
        <w:t xml:space="preserve"> </w:t>
      </w:r>
      <w:r w:rsidRPr="00FE433F">
        <w:rPr>
          <w:rFonts w:hint="eastAsia"/>
          <w:i/>
          <w:sz w:val="23"/>
          <w:szCs w:val="23"/>
          <w:rtl/>
        </w:rPr>
        <w:t>داشته</w:t>
      </w:r>
      <w:r w:rsidRPr="00FE433F">
        <w:rPr>
          <w:i/>
          <w:sz w:val="23"/>
          <w:szCs w:val="23"/>
          <w:rtl/>
        </w:rPr>
        <w:t xml:space="preserve"> </w:t>
      </w:r>
      <w:r w:rsidRPr="00FE433F">
        <w:rPr>
          <w:rFonts w:hint="eastAsia"/>
          <w:i/>
          <w:sz w:val="23"/>
          <w:szCs w:val="23"/>
          <w:rtl/>
        </w:rPr>
        <w:t>باشد</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چگون</w:t>
      </w:r>
      <w:r w:rsidRPr="00FE433F">
        <w:rPr>
          <w:rFonts w:hint="cs"/>
          <w:i/>
          <w:sz w:val="23"/>
          <w:szCs w:val="23"/>
          <w:rtl/>
        </w:rPr>
        <w:t>ه</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اقتصاد</w:t>
      </w:r>
      <w:r w:rsidRPr="00FE433F">
        <w:rPr>
          <w:i/>
          <w:sz w:val="23"/>
          <w:szCs w:val="23"/>
          <w:rtl/>
        </w:rPr>
        <w:t xml:space="preserve"> </w:t>
      </w:r>
      <w:r w:rsidRPr="00FE433F">
        <w:rPr>
          <w:rFonts w:hint="eastAsia"/>
          <w:i/>
          <w:sz w:val="23"/>
          <w:szCs w:val="23"/>
          <w:rtl/>
        </w:rPr>
        <w:t>اندازه</w:t>
      </w:r>
      <w:r w:rsidRPr="00FE433F">
        <w:rPr>
          <w:i/>
          <w:sz w:val="23"/>
          <w:szCs w:val="23"/>
          <w:rtl/>
        </w:rPr>
        <w:softHyphen/>
      </w:r>
      <w:r w:rsidRPr="00FE433F">
        <w:rPr>
          <w:rFonts w:hint="eastAsia"/>
          <w:i/>
          <w:sz w:val="23"/>
          <w:szCs w:val="23"/>
          <w:rtl/>
        </w:rPr>
        <w:t>گ</w:t>
      </w:r>
      <w:r w:rsidRPr="00FE433F">
        <w:rPr>
          <w:rFonts w:hint="cs"/>
          <w:i/>
          <w:sz w:val="23"/>
          <w:szCs w:val="23"/>
          <w:rtl/>
        </w:rPr>
        <w:t>ی</w:t>
      </w:r>
      <w:r w:rsidRPr="00FE433F">
        <w:rPr>
          <w:rFonts w:hint="eastAsia"/>
          <w:i/>
          <w:sz w:val="23"/>
          <w:szCs w:val="23"/>
          <w:rtl/>
        </w:rPr>
        <w:t>ر</w:t>
      </w:r>
      <w:r w:rsidRPr="00FE433F">
        <w:rPr>
          <w:rFonts w:hint="cs"/>
          <w:i/>
          <w:sz w:val="23"/>
          <w:szCs w:val="23"/>
          <w:rtl/>
        </w:rPr>
        <w:t>ی</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شود</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توض</w:t>
      </w:r>
      <w:r w:rsidRPr="00FE433F">
        <w:rPr>
          <w:rFonts w:hint="cs"/>
          <w:i/>
          <w:sz w:val="23"/>
          <w:szCs w:val="23"/>
          <w:rtl/>
        </w:rPr>
        <w:t>ی</w:t>
      </w:r>
      <w:r w:rsidRPr="00FE433F">
        <w:rPr>
          <w:rFonts w:hint="eastAsia"/>
          <w:i/>
          <w:sz w:val="23"/>
          <w:szCs w:val="23"/>
          <w:rtl/>
        </w:rPr>
        <w:t>ح</w:t>
      </w:r>
      <w:r w:rsidRPr="00FE433F">
        <w:rPr>
          <w:i/>
          <w:sz w:val="23"/>
          <w:szCs w:val="23"/>
          <w:rtl/>
        </w:rPr>
        <w:t xml:space="preserve"> </w:t>
      </w:r>
      <w:r w:rsidRPr="00FE433F">
        <w:rPr>
          <w:rFonts w:hint="eastAsia"/>
          <w:i/>
          <w:sz w:val="23"/>
          <w:szCs w:val="23"/>
          <w:rtl/>
        </w:rPr>
        <w:t>داد</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هر</w:t>
      </w:r>
      <w:r w:rsidRPr="00FE433F">
        <w:rPr>
          <w:i/>
          <w:sz w:val="23"/>
          <w:szCs w:val="23"/>
          <w:rtl/>
        </w:rPr>
        <w:t xml:space="preserve"> </w:t>
      </w:r>
      <w:r w:rsidRPr="00FE433F">
        <w:rPr>
          <w:rFonts w:hint="eastAsia"/>
          <w:i/>
          <w:sz w:val="23"/>
          <w:szCs w:val="23"/>
          <w:rtl/>
        </w:rPr>
        <w:t>چند</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جا</w:t>
      </w:r>
      <w:r w:rsidRPr="00FE433F">
        <w:rPr>
          <w:rFonts w:hint="cs"/>
          <w:i/>
          <w:sz w:val="23"/>
          <w:szCs w:val="23"/>
          <w:rtl/>
        </w:rPr>
        <w:t>ی</w:t>
      </w:r>
      <w:r w:rsidRPr="00FE433F">
        <w:rPr>
          <w:rFonts w:hint="eastAsia"/>
          <w:i/>
          <w:sz w:val="23"/>
          <w:szCs w:val="23"/>
          <w:rtl/>
        </w:rPr>
        <w:t>گز</w:t>
      </w:r>
      <w:r w:rsidRPr="00FE433F">
        <w:rPr>
          <w:rFonts w:hint="cs"/>
          <w:i/>
          <w:sz w:val="23"/>
          <w:szCs w:val="23"/>
          <w:rtl/>
        </w:rPr>
        <w:t>ی</w:t>
      </w:r>
      <w:r w:rsidRPr="00FE433F">
        <w:rPr>
          <w:rFonts w:hint="eastAsia"/>
          <w:i/>
          <w:sz w:val="23"/>
          <w:szCs w:val="23"/>
          <w:rtl/>
        </w:rPr>
        <w:t>ن</w:t>
      </w:r>
      <w:r w:rsidRPr="00FE433F">
        <w:rPr>
          <w:rFonts w:hint="cs"/>
          <w:i/>
          <w:sz w:val="23"/>
          <w:szCs w:val="23"/>
          <w:rtl/>
        </w:rPr>
        <w:t>ی</w:t>
      </w:r>
      <w:r w:rsidRPr="00FE433F">
        <w:rPr>
          <w:i/>
          <w:sz w:val="23"/>
          <w:szCs w:val="23"/>
          <w:rtl/>
        </w:rPr>
        <w:t xml:space="preserve"> </w:t>
      </w:r>
      <w:r w:rsidRPr="00FE433F">
        <w:rPr>
          <w:rFonts w:hint="eastAsia"/>
          <w:i/>
          <w:sz w:val="23"/>
          <w:szCs w:val="23"/>
          <w:rtl/>
        </w:rPr>
        <w:t>اعتبار</w:t>
      </w:r>
      <w:r w:rsidRPr="00FE433F">
        <w:rPr>
          <w:i/>
          <w:sz w:val="23"/>
          <w:szCs w:val="23"/>
          <w:rtl/>
        </w:rPr>
        <w:t xml:space="preserve"> </w:t>
      </w:r>
      <w:r w:rsidRPr="00FE433F">
        <w:rPr>
          <w:rFonts w:hint="eastAsia"/>
          <w:i/>
          <w:sz w:val="23"/>
          <w:szCs w:val="23"/>
          <w:rtl/>
        </w:rPr>
        <w:t>بجا</w:t>
      </w:r>
      <w:r w:rsidRPr="00FE433F">
        <w:rPr>
          <w:rFonts w:hint="cs"/>
          <w:i/>
          <w:sz w:val="23"/>
          <w:szCs w:val="23"/>
          <w:rtl/>
        </w:rPr>
        <w:t>ی</w:t>
      </w:r>
      <w:r w:rsidRPr="00FE433F">
        <w:rPr>
          <w:i/>
          <w:sz w:val="23"/>
          <w:szCs w:val="23"/>
          <w:rtl/>
        </w:rPr>
        <w:t xml:space="preserve"> </w:t>
      </w:r>
      <w:r w:rsidRPr="00FE433F">
        <w:rPr>
          <w:rFonts w:hint="eastAsia"/>
          <w:i/>
          <w:sz w:val="23"/>
          <w:szCs w:val="23"/>
          <w:rtl/>
        </w:rPr>
        <w:t>نگهدار</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نقد</w:t>
      </w:r>
      <w:r w:rsidRPr="00FE433F">
        <w:rPr>
          <w:rFonts w:hint="cs"/>
          <w:i/>
          <w:sz w:val="23"/>
          <w:szCs w:val="23"/>
          <w:rtl/>
        </w:rPr>
        <w:t xml:space="preserve"> و کاردکردهای آن</w:t>
      </w:r>
      <w:r w:rsidRPr="00FE433F">
        <w:rPr>
          <w:rFonts w:hint="eastAsia"/>
          <w:i/>
          <w:sz w:val="23"/>
          <w:szCs w:val="23"/>
          <w:rtl/>
        </w:rPr>
        <w:t>،</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وس</w:t>
      </w:r>
      <w:r w:rsidRPr="00FE433F">
        <w:rPr>
          <w:rFonts w:hint="cs"/>
          <w:i/>
          <w:sz w:val="23"/>
          <w:szCs w:val="23"/>
          <w:rtl/>
        </w:rPr>
        <w:t>ی</w:t>
      </w:r>
      <w:r w:rsidRPr="00FE433F">
        <w:rPr>
          <w:rFonts w:hint="eastAsia"/>
          <w:i/>
          <w:sz w:val="23"/>
          <w:szCs w:val="23"/>
          <w:rtl/>
        </w:rPr>
        <w:t>له</w:t>
      </w:r>
      <w:r w:rsidRPr="00FE433F">
        <w:rPr>
          <w:i/>
          <w:sz w:val="23"/>
          <w:szCs w:val="23"/>
          <w:rtl/>
        </w:rPr>
        <w:softHyphen/>
      </w:r>
      <w:r w:rsidRPr="00FE433F">
        <w:rPr>
          <w:rFonts w:hint="eastAsia"/>
          <w:i/>
          <w:sz w:val="23"/>
          <w:szCs w:val="23"/>
          <w:rtl/>
        </w:rPr>
        <w:t>ا</w:t>
      </w:r>
      <w:r w:rsidRPr="00FE433F">
        <w:rPr>
          <w:rFonts w:hint="cs"/>
          <w:i/>
          <w:sz w:val="23"/>
          <w:szCs w:val="23"/>
          <w:rtl/>
        </w:rPr>
        <w:t>ی</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پس</w:t>
      </w:r>
      <w:r w:rsidRPr="00FE433F">
        <w:rPr>
          <w:i/>
          <w:sz w:val="23"/>
          <w:szCs w:val="23"/>
          <w:rtl/>
        </w:rPr>
        <w:softHyphen/>
      </w:r>
      <w:r w:rsidRPr="00FE433F">
        <w:rPr>
          <w:rFonts w:hint="eastAsia"/>
          <w:i/>
          <w:sz w:val="23"/>
          <w:szCs w:val="23"/>
          <w:rtl/>
        </w:rPr>
        <w:t>انداز</w:t>
      </w:r>
      <w:r w:rsidRPr="00FE433F">
        <w:rPr>
          <w:i/>
          <w:sz w:val="23"/>
          <w:szCs w:val="23"/>
          <w:rtl/>
        </w:rPr>
        <w:t xml:space="preserve"> </w:t>
      </w:r>
      <w:r w:rsidRPr="00FE433F">
        <w:rPr>
          <w:rFonts w:hint="eastAsia"/>
          <w:i/>
          <w:sz w:val="23"/>
          <w:szCs w:val="23"/>
          <w:rtl/>
        </w:rPr>
        <w:t>شده</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p>
    <w:p w14:paraId="273807CA" w14:textId="77777777" w:rsidR="00411620" w:rsidRPr="00FE433F" w:rsidRDefault="00411620" w:rsidP="00411620">
      <w:pPr>
        <w:spacing w:line="216" w:lineRule="auto"/>
        <w:rPr>
          <w:i/>
          <w:sz w:val="23"/>
          <w:szCs w:val="23"/>
          <w:highlight w:val="yellow"/>
          <w:rtl/>
        </w:rPr>
      </w:pPr>
      <w:r w:rsidRPr="00FE433F">
        <w:rPr>
          <w:rFonts w:hint="eastAsia"/>
          <w:i/>
          <w:sz w:val="23"/>
          <w:szCs w:val="23"/>
          <w:rtl/>
        </w:rPr>
        <w:t>اثربخش</w:t>
      </w:r>
      <w:r w:rsidRPr="00FE433F">
        <w:rPr>
          <w:rFonts w:hint="cs"/>
          <w:i/>
          <w:sz w:val="23"/>
          <w:szCs w:val="23"/>
          <w:rtl/>
        </w:rPr>
        <w:t>ی</w:t>
      </w:r>
      <w:r w:rsidRPr="00FE433F">
        <w:rPr>
          <w:i/>
          <w:sz w:val="23"/>
          <w:szCs w:val="23"/>
          <w:rtl/>
        </w:rPr>
        <w:t xml:space="preserve"> </w:t>
      </w:r>
      <w:r w:rsidRPr="00FE433F">
        <w:rPr>
          <w:rFonts w:hint="eastAsia"/>
          <w:i/>
          <w:sz w:val="23"/>
          <w:szCs w:val="23"/>
          <w:rtl/>
        </w:rPr>
        <w:t>س</w:t>
      </w:r>
      <w:r w:rsidRPr="00FE433F">
        <w:rPr>
          <w:rFonts w:hint="cs"/>
          <w:i/>
          <w:sz w:val="23"/>
          <w:szCs w:val="23"/>
          <w:rtl/>
        </w:rPr>
        <w:t>ی</w:t>
      </w:r>
      <w:r w:rsidRPr="00FE433F">
        <w:rPr>
          <w:rFonts w:hint="eastAsia"/>
          <w:i/>
          <w:sz w:val="23"/>
          <w:szCs w:val="23"/>
          <w:rtl/>
        </w:rPr>
        <w:t>است</w:t>
      </w:r>
      <w:r w:rsidRPr="00FE433F">
        <w:rPr>
          <w:i/>
          <w:sz w:val="23"/>
          <w:szCs w:val="23"/>
          <w:rtl/>
        </w:rPr>
        <w:t xml:space="preserve"> </w:t>
      </w:r>
      <w:r w:rsidRPr="00FE433F">
        <w:rPr>
          <w:rFonts w:hint="eastAsia"/>
          <w:i/>
          <w:sz w:val="23"/>
          <w:szCs w:val="23"/>
          <w:rtl/>
        </w:rPr>
        <w:t>پول</w:t>
      </w:r>
      <w:r w:rsidRPr="00FE433F">
        <w:rPr>
          <w:rFonts w:hint="cs"/>
          <w:i/>
          <w:sz w:val="23"/>
          <w:szCs w:val="23"/>
          <w:rtl/>
        </w:rPr>
        <w:t>ی</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وجود</w:t>
      </w:r>
      <w:r w:rsidRPr="00FE433F">
        <w:rPr>
          <w:i/>
          <w:sz w:val="23"/>
          <w:szCs w:val="23"/>
          <w:rtl/>
        </w:rPr>
        <w:t xml:space="preserve"> </w:t>
      </w:r>
      <w:r w:rsidRPr="00FE433F">
        <w:rPr>
          <w:rFonts w:hint="eastAsia"/>
          <w:i/>
          <w:sz w:val="23"/>
          <w:szCs w:val="23"/>
          <w:rtl/>
        </w:rPr>
        <w:t>تابع</w:t>
      </w:r>
      <w:r w:rsidRPr="00FE433F">
        <w:rPr>
          <w:i/>
          <w:sz w:val="23"/>
          <w:szCs w:val="23"/>
          <w:rtl/>
        </w:rPr>
        <w:t xml:space="preserve"> </w:t>
      </w:r>
      <w:r w:rsidRPr="00FE433F">
        <w:rPr>
          <w:rFonts w:hint="eastAsia"/>
          <w:i/>
          <w:sz w:val="23"/>
          <w:szCs w:val="23"/>
          <w:rtl/>
        </w:rPr>
        <w:t>تقاضا</w:t>
      </w:r>
      <w:r w:rsidRPr="00FE433F">
        <w:rPr>
          <w:rFonts w:hint="cs"/>
          <w:i/>
          <w:sz w:val="23"/>
          <w:szCs w:val="23"/>
          <w:rtl/>
        </w:rPr>
        <w:t>ی</w:t>
      </w:r>
      <w:r w:rsidRPr="00FE433F">
        <w:rPr>
          <w:i/>
          <w:sz w:val="23"/>
          <w:szCs w:val="23"/>
          <w:rtl/>
        </w:rPr>
        <w:t xml:space="preserve"> </w:t>
      </w:r>
      <w:r w:rsidRPr="00FE433F">
        <w:rPr>
          <w:rFonts w:hint="eastAsia"/>
          <w:i/>
          <w:sz w:val="23"/>
          <w:szCs w:val="23"/>
          <w:rtl/>
        </w:rPr>
        <w:t>باثبات</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بستگ</w:t>
      </w:r>
      <w:r w:rsidRPr="00FE433F">
        <w:rPr>
          <w:rFonts w:hint="cs"/>
          <w:i/>
          <w:sz w:val="23"/>
          <w:szCs w:val="23"/>
          <w:rtl/>
        </w:rPr>
        <w:t>ی</w:t>
      </w:r>
      <w:r w:rsidRPr="00FE433F">
        <w:rPr>
          <w:i/>
          <w:sz w:val="23"/>
          <w:szCs w:val="23"/>
          <w:rtl/>
        </w:rPr>
        <w:t xml:space="preserve"> </w:t>
      </w:r>
      <w:r w:rsidRPr="00FE433F">
        <w:rPr>
          <w:rFonts w:hint="eastAsia"/>
          <w:i/>
          <w:sz w:val="23"/>
          <w:szCs w:val="23"/>
          <w:rtl/>
        </w:rPr>
        <w:t>دا</w:t>
      </w:r>
      <w:r w:rsidRPr="00FE433F">
        <w:rPr>
          <w:rFonts w:hint="cs"/>
          <w:i/>
          <w:sz w:val="23"/>
          <w:szCs w:val="23"/>
          <w:rtl/>
        </w:rPr>
        <w:t>رد</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فصل</w:t>
      </w:r>
      <w:r w:rsidRPr="00FE433F">
        <w:rPr>
          <w:i/>
          <w:sz w:val="23"/>
          <w:szCs w:val="23"/>
          <w:rtl/>
        </w:rPr>
        <w:t xml:space="preserve"> </w:t>
      </w:r>
      <w:r w:rsidRPr="00FE433F">
        <w:rPr>
          <w:rFonts w:hint="eastAsia"/>
          <w:i/>
          <w:sz w:val="23"/>
          <w:szCs w:val="23"/>
          <w:rtl/>
        </w:rPr>
        <w:t>سه</w:t>
      </w:r>
      <w:r w:rsidRPr="00FE433F">
        <w:rPr>
          <w:i/>
          <w:sz w:val="23"/>
          <w:szCs w:val="23"/>
          <w:rtl/>
        </w:rPr>
        <w:t xml:space="preserve"> </w:t>
      </w:r>
      <w:r w:rsidRPr="00FE433F">
        <w:rPr>
          <w:rFonts w:hint="eastAsia"/>
          <w:i/>
          <w:sz w:val="23"/>
          <w:szCs w:val="23"/>
          <w:rtl/>
        </w:rPr>
        <w:t>نظریه</w:t>
      </w:r>
      <w:r w:rsidRPr="00FE433F">
        <w:rPr>
          <w:i/>
          <w:sz w:val="23"/>
          <w:szCs w:val="23"/>
          <w:rtl/>
        </w:rPr>
        <w:t xml:space="preserve"> </w:t>
      </w:r>
      <w:r w:rsidRPr="00FE433F">
        <w:rPr>
          <w:rFonts w:hint="eastAsia"/>
          <w:i/>
          <w:sz w:val="23"/>
          <w:szCs w:val="23"/>
          <w:rtl/>
        </w:rPr>
        <w:t>مهم</w:t>
      </w:r>
      <w:r w:rsidRPr="00FE433F">
        <w:rPr>
          <w:i/>
          <w:sz w:val="23"/>
          <w:szCs w:val="23"/>
          <w:rtl/>
        </w:rPr>
        <w:t xml:space="preserve"> </w:t>
      </w:r>
      <w:r w:rsidRPr="00FE433F">
        <w:rPr>
          <w:rFonts w:hint="eastAsia"/>
          <w:i/>
          <w:sz w:val="23"/>
          <w:szCs w:val="23"/>
          <w:rtl/>
        </w:rPr>
        <w:t>نگهدار</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cs"/>
          <w:i/>
          <w:sz w:val="23"/>
          <w:szCs w:val="23"/>
          <w:rtl/>
        </w:rPr>
        <w:t>ی</w:t>
      </w:r>
      <w:r w:rsidRPr="00FE433F">
        <w:rPr>
          <w:rFonts w:hint="eastAsia"/>
          <w:i/>
          <w:sz w:val="23"/>
          <w:szCs w:val="23"/>
          <w:rtl/>
        </w:rPr>
        <w:t>عن</w:t>
      </w:r>
      <w:r w:rsidRPr="00FE433F">
        <w:rPr>
          <w:rFonts w:hint="cs"/>
          <w:i/>
          <w:sz w:val="23"/>
          <w:szCs w:val="23"/>
          <w:rtl/>
        </w:rPr>
        <w:t>ی</w:t>
      </w:r>
      <w:r w:rsidRPr="00FE433F">
        <w:rPr>
          <w:i/>
          <w:sz w:val="23"/>
          <w:szCs w:val="23"/>
          <w:rtl/>
        </w:rPr>
        <w:t xml:space="preserve"> </w:t>
      </w:r>
      <w:r w:rsidRPr="00FE433F">
        <w:rPr>
          <w:rFonts w:hint="eastAsia"/>
          <w:i/>
          <w:sz w:val="23"/>
          <w:szCs w:val="23"/>
          <w:rtl/>
        </w:rPr>
        <w:t>مدل</w:t>
      </w:r>
      <w:r w:rsidRPr="00FE433F">
        <w:rPr>
          <w:i/>
          <w:sz w:val="23"/>
          <w:szCs w:val="23"/>
          <w:rtl/>
        </w:rPr>
        <w:t xml:space="preserve"> </w:t>
      </w:r>
      <w:r w:rsidRPr="00FE433F">
        <w:rPr>
          <w:i/>
          <w:sz w:val="23"/>
          <w:szCs w:val="23"/>
        </w:rPr>
        <w:t>CIA</w:t>
      </w:r>
      <w:r w:rsidRPr="00FE433F">
        <w:rPr>
          <w:rFonts w:hint="eastAsia"/>
          <w:i/>
          <w:sz w:val="23"/>
          <w:szCs w:val="23"/>
          <w:rtl/>
        </w:rPr>
        <w:t>،</w:t>
      </w:r>
      <w:r w:rsidRPr="00FE433F">
        <w:rPr>
          <w:i/>
          <w:sz w:val="23"/>
          <w:szCs w:val="23"/>
          <w:rtl/>
        </w:rPr>
        <w:t xml:space="preserve"> </w:t>
      </w:r>
      <w:r w:rsidRPr="00FE433F">
        <w:rPr>
          <w:rFonts w:hint="eastAsia"/>
          <w:i/>
          <w:sz w:val="23"/>
          <w:szCs w:val="23"/>
          <w:rtl/>
        </w:rPr>
        <w:t>مدل</w:t>
      </w:r>
      <w:r w:rsidRPr="00FE433F">
        <w:rPr>
          <w:i/>
          <w:sz w:val="23"/>
          <w:szCs w:val="23"/>
          <w:rtl/>
        </w:rPr>
        <w:t xml:space="preserve"> </w:t>
      </w:r>
      <w:r w:rsidRPr="00FE433F">
        <w:rPr>
          <w:i/>
          <w:sz w:val="23"/>
          <w:szCs w:val="23"/>
        </w:rPr>
        <w:t>MIU</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مدل</w:t>
      </w:r>
      <w:r w:rsidRPr="00FE433F">
        <w:rPr>
          <w:i/>
          <w:sz w:val="23"/>
          <w:szCs w:val="23"/>
          <w:rtl/>
        </w:rPr>
        <w:t xml:space="preserve"> </w:t>
      </w:r>
      <w:r w:rsidRPr="00FE433F">
        <w:rPr>
          <w:i/>
          <w:sz w:val="23"/>
          <w:szCs w:val="23"/>
        </w:rPr>
        <w:t>MIG</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مورد</w:t>
      </w:r>
      <w:r w:rsidRPr="00FE433F">
        <w:rPr>
          <w:i/>
          <w:sz w:val="23"/>
          <w:szCs w:val="23"/>
          <w:rtl/>
        </w:rPr>
        <w:t xml:space="preserve"> </w:t>
      </w:r>
      <w:r w:rsidRPr="00FE433F">
        <w:rPr>
          <w:rFonts w:hint="eastAsia"/>
          <w:i/>
          <w:sz w:val="23"/>
          <w:szCs w:val="23"/>
          <w:rtl/>
        </w:rPr>
        <w:t>بررس</w:t>
      </w:r>
      <w:r w:rsidRPr="00FE433F">
        <w:rPr>
          <w:rFonts w:hint="cs"/>
          <w:i/>
          <w:sz w:val="23"/>
          <w:szCs w:val="23"/>
          <w:rtl/>
        </w:rPr>
        <w:t>ی</w:t>
      </w:r>
      <w:r w:rsidRPr="00FE433F">
        <w:rPr>
          <w:i/>
          <w:sz w:val="23"/>
          <w:szCs w:val="23"/>
          <w:rtl/>
        </w:rPr>
        <w:t xml:space="preserve"> </w:t>
      </w:r>
      <w:r w:rsidRPr="00FE433F">
        <w:rPr>
          <w:rFonts w:hint="eastAsia"/>
          <w:i/>
          <w:sz w:val="23"/>
          <w:szCs w:val="23"/>
          <w:rtl/>
        </w:rPr>
        <w:t>قرار</w:t>
      </w:r>
      <w:r w:rsidRPr="00FE433F">
        <w:rPr>
          <w:i/>
          <w:sz w:val="23"/>
          <w:szCs w:val="23"/>
          <w:rtl/>
        </w:rPr>
        <w:t xml:space="preserve"> </w:t>
      </w:r>
      <w:r w:rsidRPr="00FE433F">
        <w:rPr>
          <w:rFonts w:hint="eastAsia"/>
          <w:i/>
          <w:sz w:val="23"/>
          <w:szCs w:val="23"/>
          <w:rtl/>
        </w:rPr>
        <w:t>داد</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مدل</w:t>
      </w:r>
      <w:r w:rsidRPr="00FE433F">
        <w:rPr>
          <w:i/>
          <w:sz w:val="23"/>
          <w:szCs w:val="23"/>
          <w:rtl/>
        </w:rPr>
        <w:t xml:space="preserve"> </w:t>
      </w:r>
      <w:r w:rsidRPr="00FE433F">
        <w:rPr>
          <w:rFonts w:hint="eastAsia"/>
          <w:i/>
          <w:sz w:val="23"/>
          <w:szCs w:val="23"/>
          <w:rtl/>
        </w:rPr>
        <w:t>اول</w:t>
      </w:r>
      <w:r w:rsidRPr="00FE433F">
        <w:rPr>
          <w:i/>
          <w:sz w:val="23"/>
          <w:szCs w:val="23"/>
          <w:rtl/>
        </w:rPr>
        <w:t xml:space="preserve"> </w:t>
      </w:r>
      <w:r w:rsidRPr="00FE433F">
        <w:rPr>
          <w:rFonts w:hint="eastAsia"/>
          <w:i/>
          <w:sz w:val="23"/>
          <w:szCs w:val="23"/>
          <w:rtl/>
        </w:rPr>
        <w:t>تقاضا</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فقط</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معاملات</w:t>
      </w:r>
      <w:r w:rsidRPr="00FE433F">
        <w:rPr>
          <w:rFonts w:hint="cs"/>
          <w:i/>
          <w:sz w:val="23"/>
          <w:szCs w:val="23"/>
          <w:rtl/>
        </w:rPr>
        <w:t xml:space="preserve"> کالاها و خدمات</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دو</w:t>
      </w:r>
      <w:r w:rsidRPr="00FE433F">
        <w:rPr>
          <w:i/>
          <w:sz w:val="23"/>
          <w:szCs w:val="23"/>
          <w:rtl/>
        </w:rPr>
        <w:t xml:space="preserve"> </w:t>
      </w:r>
      <w:r w:rsidRPr="00FE433F">
        <w:rPr>
          <w:rFonts w:hint="eastAsia"/>
          <w:i/>
          <w:sz w:val="23"/>
          <w:szCs w:val="23"/>
          <w:rtl/>
        </w:rPr>
        <w:t>نظریه</w:t>
      </w:r>
      <w:r w:rsidRPr="00FE433F">
        <w:rPr>
          <w:i/>
          <w:sz w:val="23"/>
          <w:szCs w:val="23"/>
          <w:rtl/>
        </w:rPr>
        <w:t xml:space="preserve"> </w:t>
      </w:r>
      <w:r w:rsidRPr="00FE433F">
        <w:rPr>
          <w:rFonts w:hint="eastAsia"/>
          <w:i/>
          <w:sz w:val="23"/>
          <w:szCs w:val="23"/>
          <w:rtl/>
        </w:rPr>
        <w:t>د</w:t>
      </w:r>
      <w:r w:rsidRPr="00FE433F">
        <w:rPr>
          <w:rFonts w:hint="cs"/>
          <w:i/>
          <w:sz w:val="23"/>
          <w:szCs w:val="23"/>
          <w:rtl/>
        </w:rPr>
        <w:t>ی</w:t>
      </w:r>
      <w:r w:rsidRPr="00FE433F">
        <w:rPr>
          <w:rFonts w:hint="eastAsia"/>
          <w:i/>
          <w:sz w:val="23"/>
          <w:szCs w:val="23"/>
          <w:rtl/>
        </w:rPr>
        <w:t>گر</w:t>
      </w:r>
      <w:r w:rsidRPr="00FE433F">
        <w:rPr>
          <w:rFonts w:hint="cs"/>
          <w:i/>
          <w:sz w:val="23"/>
          <w:szCs w:val="23"/>
          <w:rtl/>
        </w:rPr>
        <w:t>،</w:t>
      </w:r>
      <w:r w:rsidRPr="00FE433F">
        <w:rPr>
          <w:i/>
          <w:sz w:val="23"/>
          <w:szCs w:val="23"/>
          <w:rtl/>
        </w:rPr>
        <w:t xml:space="preserve"> </w:t>
      </w:r>
      <w:r w:rsidRPr="00FE433F">
        <w:rPr>
          <w:rFonts w:hint="eastAsia"/>
          <w:i/>
          <w:sz w:val="23"/>
          <w:szCs w:val="23"/>
          <w:rtl/>
        </w:rPr>
        <w:t>تقاضا</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با</w:t>
      </w:r>
      <w:r w:rsidRPr="00FE433F">
        <w:rPr>
          <w:i/>
          <w:sz w:val="23"/>
          <w:szCs w:val="23"/>
          <w:rtl/>
        </w:rPr>
        <w:t xml:space="preserve"> </w:t>
      </w:r>
      <w:r w:rsidRPr="00FE433F">
        <w:rPr>
          <w:rFonts w:hint="eastAsia"/>
          <w:i/>
          <w:sz w:val="23"/>
          <w:szCs w:val="23"/>
          <w:rtl/>
        </w:rPr>
        <w:t>نرخ</w:t>
      </w:r>
      <w:r w:rsidRPr="00FE433F">
        <w:rPr>
          <w:i/>
          <w:sz w:val="23"/>
          <w:szCs w:val="23"/>
          <w:rtl/>
        </w:rPr>
        <w:t xml:space="preserve"> </w:t>
      </w:r>
      <w:r w:rsidRPr="00FE433F">
        <w:rPr>
          <w:rFonts w:hint="eastAsia"/>
          <w:i/>
          <w:sz w:val="23"/>
          <w:szCs w:val="23"/>
          <w:rtl/>
        </w:rPr>
        <w:t>بهره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اسم</w:t>
      </w:r>
      <w:r w:rsidRPr="00FE433F">
        <w:rPr>
          <w:rFonts w:hint="cs"/>
          <w:i/>
          <w:sz w:val="23"/>
          <w:szCs w:val="23"/>
          <w:rtl/>
        </w:rPr>
        <w:t>ی</w:t>
      </w:r>
      <w:r w:rsidRPr="00FE433F">
        <w:rPr>
          <w:i/>
          <w:sz w:val="23"/>
          <w:szCs w:val="23"/>
          <w:rtl/>
        </w:rPr>
        <w:t xml:space="preserve"> </w:t>
      </w:r>
      <w:r w:rsidRPr="00FE433F">
        <w:rPr>
          <w:rFonts w:hint="eastAsia"/>
          <w:i/>
          <w:sz w:val="23"/>
          <w:szCs w:val="23"/>
          <w:rtl/>
        </w:rPr>
        <w:t>بواسطه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صرفه</w:t>
      </w:r>
      <w:r w:rsidRPr="00FE433F">
        <w:rPr>
          <w:i/>
          <w:sz w:val="23"/>
          <w:szCs w:val="23"/>
          <w:rtl/>
        </w:rPr>
        <w:softHyphen/>
      </w:r>
      <w:r w:rsidRPr="00FE433F">
        <w:rPr>
          <w:rFonts w:hint="cs"/>
          <w:i/>
          <w:sz w:val="23"/>
          <w:szCs w:val="23"/>
          <w:rtl/>
        </w:rPr>
        <w:t>ج</w:t>
      </w:r>
      <w:r w:rsidRPr="00FE433F">
        <w:rPr>
          <w:rFonts w:hint="eastAsia"/>
          <w:i/>
          <w:sz w:val="23"/>
          <w:szCs w:val="23"/>
          <w:rtl/>
        </w:rPr>
        <w:t>و</w:t>
      </w:r>
      <w:r w:rsidRPr="00FE433F">
        <w:rPr>
          <w:rFonts w:hint="cs"/>
          <w:i/>
          <w:sz w:val="23"/>
          <w:szCs w:val="23"/>
          <w:rtl/>
        </w:rPr>
        <w:t>یی</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نگهدار</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بخاطر</w:t>
      </w:r>
      <w:r w:rsidRPr="00FE433F">
        <w:rPr>
          <w:i/>
          <w:sz w:val="23"/>
          <w:szCs w:val="23"/>
          <w:rtl/>
        </w:rPr>
        <w:t xml:space="preserve"> </w:t>
      </w:r>
      <w:r w:rsidRPr="00FE433F">
        <w:rPr>
          <w:rFonts w:hint="cs"/>
          <w:i/>
          <w:sz w:val="23"/>
          <w:szCs w:val="23"/>
          <w:rtl/>
        </w:rPr>
        <w:t>عدم</w:t>
      </w:r>
      <w:r w:rsidRPr="00FE433F">
        <w:rPr>
          <w:i/>
          <w:sz w:val="23"/>
          <w:szCs w:val="23"/>
          <w:rtl/>
        </w:rPr>
        <w:t xml:space="preserve"> </w:t>
      </w:r>
      <w:r w:rsidRPr="00FE433F">
        <w:rPr>
          <w:rFonts w:hint="eastAsia"/>
          <w:i/>
          <w:sz w:val="23"/>
          <w:szCs w:val="23"/>
          <w:rtl/>
        </w:rPr>
        <w:t>چشم</w:t>
      </w:r>
      <w:r w:rsidRPr="00FE433F">
        <w:rPr>
          <w:i/>
          <w:sz w:val="23"/>
          <w:szCs w:val="23"/>
          <w:rtl/>
        </w:rPr>
        <w:t xml:space="preserve"> </w:t>
      </w:r>
      <w:r w:rsidRPr="00FE433F">
        <w:rPr>
          <w:rFonts w:hint="eastAsia"/>
          <w:i/>
          <w:sz w:val="23"/>
          <w:szCs w:val="23"/>
          <w:rtl/>
        </w:rPr>
        <w:t>پوش</w:t>
      </w:r>
      <w:r w:rsidRPr="00FE433F">
        <w:rPr>
          <w:rFonts w:hint="cs"/>
          <w:i/>
          <w:sz w:val="23"/>
          <w:szCs w:val="23"/>
          <w:rtl/>
        </w:rPr>
        <w:t>ی</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درآمد</w:t>
      </w:r>
      <w:r w:rsidRPr="00FE433F">
        <w:rPr>
          <w:i/>
          <w:sz w:val="23"/>
          <w:szCs w:val="23"/>
          <w:rtl/>
        </w:rPr>
        <w:t xml:space="preserve"> </w:t>
      </w:r>
      <w:r w:rsidRPr="00FE433F">
        <w:rPr>
          <w:rFonts w:hint="eastAsia"/>
          <w:i/>
          <w:sz w:val="23"/>
          <w:szCs w:val="23"/>
          <w:rtl/>
        </w:rPr>
        <w:t>حاصل</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بهره</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رابطه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معکوس</w:t>
      </w:r>
      <w:r w:rsidRPr="00FE433F">
        <w:rPr>
          <w:i/>
          <w:sz w:val="23"/>
          <w:szCs w:val="23"/>
          <w:rtl/>
        </w:rPr>
        <w:t xml:space="preserve"> </w:t>
      </w:r>
      <w:r w:rsidRPr="00FE433F">
        <w:rPr>
          <w:rFonts w:hint="eastAsia"/>
          <w:i/>
          <w:sz w:val="23"/>
          <w:szCs w:val="23"/>
          <w:rtl/>
        </w:rPr>
        <w:t>دارد</w:t>
      </w:r>
      <w:r w:rsidRPr="00FE433F">
        <w:rPr>
          <w:i/>
          <w:sz w:val="23"/>
          <w:szCs w:val="23"/>
          <w:rtl/>
        </w:rPr>
        <w:t xml:space="preserve">. </w:t>
      </w:r>
    </w:p>
    <w:p w14:paraId="2B8FA67A" w14:textId="77777777" w:rsidR="00411620" w:rsidRPr="00FE433F" w:rsidRDefault="00411620" w:rsidP="00411620">
      <w:pPr>
        <w:spacing w:line="216" w:lineRule="auto"/>
        <w:rPr>
          <w:i/>
          <w:sz w:val="23"/>
          <w:szCs w:val="23"/>
          <w:rtl/>
        </w:rPr>
      </w:pPr>
      <w:r w:rsidRPr="00FE433F">
        <w:rPr>
          <w:rFonts w:hint="eastAsia"/>
          <w:i/>
          <w:sz w:val="23"/>
          <w:szCs w:val="23"/>
          <w:rtl/>
        </w:rPr>
        <w:t>از</w:t>
      </w:r>
      <w:r w:rsidRPr="00FE433F">
        <w:rPr>
          <w:i/>
          <w:sz w:val="23"/>
          <w:szCs w:val="23"/>
          <w:rtl/>
        </w:rPr>
        <w:t xml:space="preserve"> </w:t>
      </w:r>
      <w:r w:rsidRPr="00FE433F">
        <w:rPr>
          <w:rFonts w:hint="eastAsia"/>
          <w:i/>
          <w:sz w:val="23"/>
          <w:szCs w:val="23"/>
          <w:rtl/>
        </w:rPr>
        <w:t>آنجا</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نرخ</w:t>
      </w:r>
      <w:r w:rsidRPr="00FE433F">
        <w:rPr>
          <w:i/>
          <w:sz w:val="23"/>
          <w:szCs w:val="23"/>
          <w:rtl/>
        </w:rPr>
        <w:t xml:space="preserve"> </w:t>
      </w:r>
      <w:r w:rsidRPr="00FE433F">
        <w:rPr>
          <w:rFonts w:hint="eastAsia"/>
          <w:i/>
          <w:sz w:val="23"/>
          <w:szCs w:val="23"/>
          <w:rtl/>
        </w:rPr>
        <w:t>تورم</w:t>
      </w:r>
      <w:r w:rsidRPr="00FE433F">
        <w:rPr>
          <w:rFonts w:hint="cs"/>
          <w:i/>
          <w:sz w:val="23"/>
          <w:szCs w:val="23"/>
          <w:rtl/>
        </w:rPr>
        <w:t>ِ</w:t>
      </w:r>
      <w:r w:rsidRPr="00FE433F">
        <w:rPr>
          <w:i/>
          <w:sz w:val="23"/>
          <w:szCs w:val="23"/>
          <w:rtl/>
        </w:rPr>
        <w:t xml:space="preserve"> </w:t>
      </w:r>
      <w:r w:rsidRPr="00FE433F">
        <w:rPr>
          <w:rFonts w:hint="eastAsia"/>
          <w:i/>
          <w:sz w:val="23"/>
          <w:szCs w:val="23"/>
          <w:rtl/>
        </w:rPr>
        <w:t>مثبت</w:t>
      </w:r>
      <w:r w:rsidRPr="00FE433F">
        <w:rPr>
          <w:i/>
          <w:sz w:val="23"/>
          <w:szCs w:val="23"/>
          <w:rtl/>
        </w:rPr>
        <w:t xml:space="preserve"> </w:t>
      </w:r>
      <w:r w:rsidRPr="00FE433F">
        <w:rPr>
          <w:rFonts w:hint="eastAsia"/>
          <w:i/>
          <w:sz w:val="23"/>
          <w:szCs w:val="23"/>
          <w:rtl/>
        </w:rPr>
        <w:t>ارزش</w:t>
      </w:r>
      <w:r w:rsidRPr="00FE433F">
        <w:rPr>
          <w:i/>
          <w:sz w:val="23"/>
          <w:szCs w:val="23"/>
          <w:rtl/>
        </w:rPr>
        <w:t xml:space="preserve">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اسم</w:t>
      </w:r>
      <w:r w:rsidRPr="00FE433F">
        <w:rPr>
          <w:rFonts w:hint="cs"/>
          <w:i/>
          <w:sz w:val="23"/>
          <w:szCs w:val="23"/>
          <w:rtl/>
        </w:rPr>
        <w:t>ی</w:t>
      </w:r>
      <w:r w:rsidRPr="00FE433F">
        <w:rPr>
          <w:i/>
          <w:sz w:val="23"/>
          <w:szCs w:val="23"/>
          <w:rtl/>
        </w:rPr>
        <w:t xml:space="preserve"> </w:t>
      </w:r>
      <w:r w:rsidRPr="00FE433F">
        <w:rPr>
          <w:rFonts w:hint="eastAsia"/>
          <w:i/>
          <w:sz w:val="23"/>
          <w:szCs w:val="23"/>
          <w:rtl/>
        </w:rPr>
        <w:t>نگهدار</w:t>
      </w:r>
      <w:r w:rsidRPr="00FE433F">
        <w:rPr>
          <w:rFonts w:hint="cs"/>
          <w:i/>
          <w:sz w:val="23"/>
          <w:szCs w:val="23"/>
          <w:rtl/>
        </w:rPr>
        <w:t>ی</w:t>
      </w:r>
      <w:r w:rsidRPr="00FE433F">
        <w:rPr>
          <w:rFonts w:hint="eastAsia"/>
          <w:i/>
          <w:sz w:val="23"/>
          <w:szCs w:val="23"/>
          <w:rtl/>
        </w:rPr>
        <w:t xml:space="preserve"> </w:t>
      </w:r>
      <w:r w:rsidRPr="00FE433F">
        <w:rPr>
          <w:rFonts w:hint="cs"/>
          <w:i/>
          <w:sz w:val="23"/>
          <w:szCs w:val="23"/>
          <w:rtl/>
        </w:rPr>
        <w:t xml:space="preserve">شده </w:t>
      </w:r>
      <w:r w:rsidRPr="00FE433F">
        <w:rPr>
          <w:rFonts w:hint="eastAsia"/>
          <w:i/>
          <w:sz w:val="23"/>
          <w:szCs w:val="23"/>
          <w:rtl/>
        </w:rPr>
        <w:t>را</w:t>
      </w:r>
      <w:r w:rsidRPr="00FE433F">
        <w:rPr>
          <w:i/>
          <w:sz w:val="23"/>
          <w:szCs w:val="23"/>
          <w:rtl/>
        </w:rPr>
        <w:t xml:space="preserve"> </w:t>
      </w:r>
      <w:r w:rsidRPr="00FE433F">
        <w:rPr>
          <w:rFonts w:hint="eastAsia"/>
          <w:i/>
          <w:sz w:val="23"/>
          <w:szCs w:val="23"/>
          <w:rtl/>
        </w:rPr>
        <w:t>کاهش</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دهد،</w:t>
      </w:r>
      <w:r w:rsidRPr="00FE433F">
        <w:rPr>
          <w:i/>
          <w:sz w:val="23"/>
          <w:szCs w:val="23"/>
          <w:rtl/>
        </w:rPr>
        <w:t xml:space="preserve"> </w:t>
      </w:r>
      <w:r w:rsidRPr="00FE433F">
        <w:rPr>
          <w:rFonts w:hint="eastAsia"/>
          <w:i/>
          <w:sz w:val="23"/>
          <w:szCs w:val="23"/>
          <w:rtl/>
        </w:rPr>
        <w:t>لذا</w:t>
      </w:r>
      <w:r w:rsidRPr="00FE433F">
        <w:rPr>
          <w:i/>
          <w:sz w:val="23"/>
          <w:szCs w:val="23"/>
          <w:rtl/>
        </w:rPr>
        <w:t xml:space="preserve"> </w:t>
      </w:r>
      <w:r w:rsidRPr="00FE433F">
        <w:rPr>
          <w:rFonts w:hint="eastAsia"/>
          <w:i/>
          <w:sz w:val="23"/>
          <w:szCs w:val="23"/>
          <w:rtl/>
        </w:rPr>
        <w:t>ممکن</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i/>
          <w:sz w:val="23"/>
          <w:szCs w:val="23"/>
          <w:rtl/>
        </w:rPr>
        <w:softHyphen/>
      </w:r>
      <w:r w:rsidRPr="00FE433F">
        <w:rPr>
          <w:rFonts w:hint="cs"/>
          <w:i/>
          <w:sz w:val="23"/>
          <w:szCs w:val="23"/>
          <w:rtl/>
        </w:rPr>
        <w:t>ی</w:t>
      </w:r>
      <w:r w:rsidRPr="00FE433F">
        <w:rPr>
          <w:i/>
          <w:sz w:val="23"/>
          <w:szCs w:val="23"/>
          <w:rtl/>
        </w:rPr>
        <w:t xml:space="preserve"> </w:t>
      </w:r>
      <w:r w:rsidRPr="00FE433F">
        <w:rPr>
          <w:rFonts w:hint="eastAsia"/>
          <w:i/>
          <w:sz w:val="23"/>
          <w:szCs w:val="23"/>
          <w:rtl/>
        </w:rPr>
        <w:t>خانوار</w:t>
      </w:r>
      <w:r w:rsidRPr="00FE433F">
        <w:rPr>
          <w:i/>
          <w:sz w:val="23"/>
          <w:szCs w:val="23"/>
          <w:rtl/>
        </w:rPr>
        <w:t xml:space="preserve"> </w:t>
      </w:r>
      <w:r w:rsidRPr="00FE433F">
        <w:rPr>
          <w:rFonts w:hint="eastAsia"/>
          <w:i/>
          <w:sz w:val="23"/>
          <w:szCs w:val="23"/>
          <w:rtl/>
        </w:rPr>
        <w:t>استنباط</w:t>
      </w:r>
      <w:r w:rsidRPr="00FE433F">
        <w:rPr>
          <w:i/>
          <w:sz w:val="23"/>
          <w:szCs w:val="23"/>
          <w:rtl/>
        </w:rPr>
        <w:t xml:space="preserve"> </w:t>
      </w:r>
      <w:r w:rsidRPr="00FE433F">
        <w:rPr>
          <w:rFonts w:hint="eastAsia"/>
          <w:i/>
          <w:sz w:val="23"/>
          <w:szCs w:val="23"/>
          <w:rtl/>
        </w:rPr>
        <w:t>شود</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مدل</w:t>
      </w:r>
      <w:r w:rsidRPr="00FE433F">
        <w:rPr>
          <w:i/>
          <w:sz w:val="23"/>
          <w:szCs w:val="23"/>
          <w:rtl/>
        </w:rPr>
        <w:t xml:space="preserve"> </w:t>
      </w:r>
      <w:r w:rsidRPr="00FE433F">
        <w:rPr>
          <w:rFonts w:hint="eastAsia"/>
          <w:i/>
          <w:sz w:val="23"/>
          <w:szCs w:val="23"/>
          <w:rtl/>
        </w:rPr>
        <w:t>اقتصاد</w:t>
      </w:r>
      <w:r w:rsidRPr="00FE433F">
        <w:rPr>
          <w:rFonts w:hint="cs"/>
          <w:i/>
          <w:sz w:val="23"/>
          <w:szCs w:val="23"/>
          <w:rtl/>
        </w:rPr>
        <w:t xml:space="preserve">ی </w:t>
      </w:r>
      <w:r w:rsidRPr="00FE433F">
        <w:rPr>
          <w:rFonts w:hint="eastAsia"/>
          <w:i/>
          <w:sz w:val="23"/>
          <w:szCs w:val="23"/>
          <w:rtl/>
        </w:rPr>
        <w:t>خنث</w:t>
      </w:r>
      <w:r w:rsidRPr="00FE433F">
        <w:rPr>
          <w:rFonts w:hint="cs"/>
          <w:i/>
          <w:sz w:val="23"/>
          <w:szCs w:val="23"/>
          <w:rtl/>
        </w:rPr>
        <w:t>ی</w:t>
      </w:r>
      <w:r w:rsidRPr="00FE433F">
        <w:rPr>
          <w:i/>
          <w:sz w:val="23"/>
          <w:szCs w:val="23"/>
          <w:rtl/>
        </w:rPr>
        <w:t xml:space="preserve"> </w:t>
      </w:r>
      <w:r w:rsidRPr="00FE433F">
        <w:rPr>
          <w:rFonts w:hint="eastAsia"/>
          <w:i/>
          <w:sz w:val="23"/>
          <w:szCs w:val="23"/>
          <w:rtl/>
        </w:rPr>
        <w:t>بودن</w:t>
      </w:r>
      <w:r w:rsidRPr="00FE433F">
        <w:rPr>
          <w:i/>
          <w:sz w:val="23"/>
          <w:szCs w:val="23"/>
          <w:rtl/>
        </w:rPr>
        <w:t xml:space="preserve"> </w:t>
      </w:r>
      <w:r w:rsidRPr="00FE433F">
        <w:rPr>
          <w:rFonts w:hint="cs"/>
          <w:i/>
          <w:sz w:val="23"/>
          <w:szCs w:val="23"/>
          <w:rtl/>
        </w:rPr>
        <w:t xml:space="preserve">پول </w:t>
      </w:r>
      <w:r w:rsidRPr="00FE433F">
        <w:rPr>
          <w:rFonts w:hint="eastAsia"/>
          <w:i/>
          <w:sz w:val="23"/>
          <w:szCs w:val="23"/>
          <w:rtl/>
        </w:rPr>
        <w:t>وجود</w:t>
      </w:r>
      <w:r w:rsidRPr="00FE433F">
        <w:rPr>
          <w:i/>
          <w:sz w:val="23"/>
          <w:szCs w:val="23"/>
          <w:rtl/>
        </w:rPr>
        <w:t xml:space="preserve"> </w:t>
      </w:r>
      <w:r w:rsidRPr="00FE433F">
        <w:rPr>
          <w:rFonts w:hint="eastAsia"/>
          <w:i/>
          <w:sz w:val="23"/>
          <w:szCs w:val="23"/>
          <w:rtl/>
        </w:rPr>
        <w:t>ندارد</w:t>
      </w:r>
      <w:r w:rsidRPr="00FE433F">
        <w:rPr>
          <w:rFonts w:hint="cs"/>
          <w:i/>
          <w:sz w:val="23"/>
          <w:szCs w:val="23"/>
          <w:rtl/>
        </w:rPr>
        <w:t>،</w:t>
      </w:r>
      <w:r w:rsidRPr="00FE433F">
        <w:rPr>
          <w:i/>
          <w:sz w:val="23"/>
          <w:szCs w:val="23"/>
          <w:rtl/>
        </w:rPr>
        <w:t xml:space="preserve"> </w:t>
      </w:r>
      <w:r w:rsidRPr="00FE433F">
        <w:rPr>
          <w:rFonts w:hint="cs"/>
          <w:i/>
          <w:sz w:val="23"/>
          <w:szCs w:val="23"/>
          <w:rtl/>
        </w:rPr>
        <w:t>زیرا</w:t>
      </w:r>
      <w:r w:rsidRPr="00FE433F">
        <w:rPr>
          <w:i/>
          <w:sz w:val="23"/>
          <w:szCs w:val="23"/>
          <w:rtl/>
        </w:rPr>
        <w:t xml:space="preserve"> </w:t>
      </w:r>
      <w:r w:rsidRPr="00FE433F">
        <w:rPr>
          <w:rFonts w:hint="eastAsia"/>
          <w:i/>
          <w:sz w:val="23"/>
          <w:szCs w:val="23"/>
          <w:rtl/>
        </w:rPr>
        <w:t>متغ</w:t>
      </w:r>
      <w:r w:rsidRPr="00FE433F">
        <w:rPr>
          <w:rFonts w:hint="cs"/>
          <w:i/>
          <w:sz w:val="23"/>
          <w:szCs w:val="23"/>
          <w:rtl/>
        </w:rPr>
        <w:t>ی</w:t>
      </w:r>
      <w:r w:rsidRPr="00FE433F">
        <w:rPr>
          <w:rFonts w:hint="eastAsia"/>
          <w:i/>
          <w:sz w:val="23"/>
          <w:szCs w:val="23"/>
          <w:rtl/>
        </w:rPr>
        <w:t>ر</w:t>
      </w:r>
      <w:r w:rsidRPr="00FE433F">
        <w:rPr>
          <w:i/>
          <w:sz w:val="23"/>
          <w:szCs w:val="23"/>
          <w:rtl/>
        </w:rPr>
        <w:t xml:space="preserve"> </w:t>
      </w:r>
      <w:r w:rsidRPr="00FE433F">
        <w:rPr>
          <w:rFonts w:hint="eastAsia"/>
          <w:i/>
          <w:sz w:val="23"/>
          <w:szCs w:val="23"/>
          <w:rtl/>
        </w:rPr>
        <w:t>اسم</w:t>
      </w:r>
      <w:r w:rsidRPr="00FE433F">
        <w:rPr>
          <w:rFonts w:hint="cs"/>
          <w:i/>
          <w:sz w:val="23"/>
          <w:szCs w:val="23"/>
          <w:rtl/>
        </w:rPr>
        <w:t>ی</w:t>
      </w:r>
      <w:r w:rsidRPr="00FE433F">
        <w:rPr>
          <w:i/>
          <w:sz w:val="23"/>
          <w:szCs w:val="23"/>
          <w:rtl/>
        </w:rPr>
        <w:t xml:space="preserve"> </w:t>
      </w:r>
      <w:r w:rsidRPr="00FE433F">
        <w:rPr>
          <w:rFonts w:hint="eastAsia"/>
          <w:i/>
          <w:sz w:val="23"/>
          <w:szCs w:val="23"/>
          <w:rtl/>
        </w:rPr>
        <w:t>بر</w:t>
      </w:r>
      <w:r w:rsidRPr="00FE433F">
        <w:rPr>
          <w:i/>
          <w:sz w:val="23"/>
          <w:szCs w:val="23"/>
          <w:rtl/>
        </w:rPr>
        <w:t xml:space="preserve"> </w:t>
      </w:r>
      <w:r w:rsidRPr="00FE433F">
        <w:rPr>
          <w:rFonts w:hint="eastAsia"/>
          <w:i/>
          <w:sz w:val="23"/>
          <w:szCs w:val="23"/>
          <w:rtl/>
        </w:rPr>
        <w:t>متغ</w:t>
      </w:r>
      <w:r w:rsidRPr="00FE433F">
        <w:rPr>
          <w:rFonts w:hint="cs"/>
          <w:i/>
          <w:sz w:val="23"/>
          <w:szCs w:val="23"/>
          <w:rtl/>
        </w:rPr>
        <w:t>ی</w:t>
      </w:r>
      <w:r w:rsidRPr="00FE433F">
        <w:rPr>
          <w:rFonts w:hint="eastAsia"/>
          <w:i/>
          <w:sz w:val="23"/>
          <w:szCs w:val="23"/>
          <w:rtl/>
        </w:rPr>
        <w:t>رها</w:t>
      </w:r>
      <w:r w:rsidRPr="00FE433F">
        <w:rPr>
          <w:rFonts w:hint="cs"/>
          <w:i/>
          <w:sz w:val="23"/>
          <w:szCs w:val="23"/>
          <w:rtl/>
        </w:rPr>
        <w:t>ی</w:t>
      </w:r>
      <w:r w:rsidRPr="00FE433F">
        <w:rPr>
          <w:i/>
          <w:sz w:val="23"/>
          <w:szCs w:val="23"/>
          <w:rtl/>
        </w:rPr>
        <w:t xml:space="preserve">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cs"/>
          <w:i/>
          <w:sz w:val="23"/>
          <w:szCs w:val="23"/>
          <w:rtl/>
        </w:rPr>
        <w:t xml:space="preserve">حتی در وضعیت ایستا </w:t>
      </w:r>
      <w:r w:rsidRPr="00FE433F">
        <w:rPr>
          <w:rFonts w:hint="eastAsia"/>
          <w:i/>
          <w:sz w:val="23"/>
          <w:szCs w:val="23"/>
          <w:rtl/>
        </w:rPr>
        <w:t>تأث</w:t>
      </w:r>
      <w:r w:rsidRPr="00FE433F">
        <w:rPr>
          <w:rFonts w:hint="cs"/>
          <w:i/>
          <w:sz w:val="23"/>
          <w:szCs w:val="23"/>
          <w:rtl/>
        </w:rPr>
        <w:t>ی</w:t>
      </w:r>
      <w:r w:rsidRPr="00FE433F">
        <w:rPr>
          <w:rFonts w:hint="eastAsia"/>
          <w:i/>
          <w:sz w:val="23"/>
          <w:szCs w:val="23"/>
          <w:rtl/>
        </w:rPr>
        <w:t>ر</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i/>
          <w:sz w:val="23"/>
          <w:szCs w:val="23"/>
          <w:rtl/>
        </w:rPr>
        <w:softHyphen/>
      </w:r>
      <w:r w:rsidRPr="00FE433F">
        <w:rPr>
          <w:rFonts w:hint="eastAsia"/>
          <w:i/>
          <w:sz w:val="23"/>
          <w:szCs w:val="23"/>
          <w:rtl/>
        </w:rPr>
        <w:t>گذارد</w:t>
      </w:r>
      <w:r w:rsidRPr="00FE433F">
        <w:rPr>
          <w:rFonts w:hint="cs"/>
          <w:i/>
          <w:sz w:val="23"/>
          <w:szCs w:val="23"/>
          <w:rtl/>
        </w:rPr>
        <w:t xml:space="preserve">. این نکته مورد بررسی قرار گرفت که </w:t>
      </w:r>
      <w:r w:rsidRPr="00FE433F">
        <w:rPr>
          <w:rFonts w:hint="eastAsia"/>
          <w:i/>
          <w:sz w:val="23"/>
          <w:szCs w:val="23"/>
          <w:rtl/>
        </w:rPr>
        <w:t>نت</w:t>
      </w:r>
      <w:r w:rsidRPr="00FE433F">
        <w:rPr>
          <w:rFonts w:hint="cs"/>
          <w:i/>
          <w:sz w:val="23"/>
          <w:szCs w:val="23"/>
          <w:rtl/>
        </w:rPr>
        <w:t>ای</w:t>
      </w:r>
      <w:r w:rsidRPr="00FE433F">
        <w:rPr>
          <w:rFonts w:hint="eastAsia"/>
          <w:i/>
          <w:sz w:val="23"/>
          <w:szCs w:val="23"/>
          <w:rtl/>
        </w:rPr>
        <w:t>ج</w:t>
      </w:r>
      <w:r w:rsidRPr="00FE433F">
        <w:rPr>
          <w:i/>
          <w:sz w:val="23"/>
          <w:szCs w:val="23"/>
          <w:rtl/>
        </w:rPr>
        <w:t xml:space="preserve"> </w:t>
      </w:r>
      <w:r w:rsidRPr="00FE433F">
        <w:rPr>
          <w:rFonts w:hint="eastAsia"/>
          <w:i/>
          <w:sz w:val="23"/>
          <w:szCs w:val="23"/>
          <w:rtl/>
        </w:rPr>
        <w:t>بر</w:t>
      </w:r>
      <w:r w:rsidRPr="00FE433F">
        <w:rPr>
          <w:i/>
          <w:sz w:val="23"/>
          <w:szCs w:val="23"/>
          <w:rtl/>
        </w:rPr>
        <w:t xml:space="preserve"> </w:t>
      </w:r>
      <w:r w:rsidRPr="00FE433F">
        <w:rPr>
          <w:rFonts w:hint="eastAsia"/>
          <w:i/>
          <w:sz w:val="23"/>
          <w:szCs w:val="23"/>
          <w:rtl/>
        </w:rPr>
        <w:t>اساس</w:t>
      </w:r>
      <w:r w:rsidRPr="00FE433F">
        <w:rPr>
          <w:i/>
          <w:sz w:val="23"/>
          <w:szCs w:val="23"/>
          <w:rtl/>
        </w:rPr>
        <w:t xml:space="preserve"> </w:t>
      </w:r>
      <w:r w:rsidRPr="00FE433F">
        <w:rPr>
          <w:rFonts w:hint="eastAsia"/>
          <w:i/>
          <w:sz w:val="23"/>
          <w:szCs w:val="23"/>
          <w:rtl/>
        </w:rPr>
        <w:t>تعادل</w:t>
      </w:r>
      <w:r w:rsidRPr="00FE433F">
        <w:rPr>
          <w:i/>
          <w:sz w:val="23"/>
          <w:szCs w:val="23"/>
          <w:rtl/>
        </w:rPr>
        <w:t xml:space="preserve"> </w:t>
      </w:r>
      <w:r w:rsidRPr="00FE433F">
        <w:rPr>
          <w:rFonts w:hint="eastAsia"/>
          <w:i/>
          <w:sz w:val="23"/>
          <w:szCs w:val="23"/>
          <w:rtl/>
        </w:rPr>
        <w:t>جزئ</w:t>
      </w:r>
      <w:r w:rsidRPr="00FE433F">
        <w:rPr>
          <w:rFonts w:hint="cs"/>
          <w:i/>
          <w:sz w:val="23"/>
          <w:szCs w:val="23"/>
          <w:rtl/>
        </w:rPr>
        <w:t>ی</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نه</w:t>
      </w:r>
      <w:r w:rsidRPr="00FE433F">
        <w:rPr>
          <w:i/>
          <w:sz w:val="23"/>
          <w:szCs w:val="23"/>
          <w:rtl/>
        </w:rPr>
        <w:t xml:space="preserve"> </w:t>
      </w:r>
      <w:r w:rsidRPr="00FE433F">
        <w:rPr>
          <w:rFonts w:hint="eastAsia"/>
          <w:i/>
          <w:sz w:val="23"/>
          <w:szCs w:val="23"/>
          <w:rtl/>
        </w:rPr>
        <w:t>عموم</w:t>
      </w:r>
      <w:r w:rsidRPr="00FE433F">
        <w:rPr>
          <w:rFonts w:hint="cs"/>
          <w:i/>
          <w:sz w:val="23"/>
          <w:szCs w:val="23"/>
          <w:rtl/>
        </w:rPr>
        <w:t>ی.</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تعادل</w:t>
      </w:r>
      <w:r w:rsidRPr="00FE433F">
        <w:rPr>
          <w:i/>
          <w:sz w:val="23"/>
          <w:szCs w:val="23"/>
          <w:rtl/>
        </w:rPr>
        <w:t xml:space="preserve"> </w:t>
      </w:r>
      <w:r w:rsidRPr="00FE433F">
        <w:rPr>
          <w:rFonts w:hint="eastAsia"/>
          <w:i/>
          <w:sz w:val="23"/>
          <w:szCs w:val="23"/>
          <w:rtl/>
        </w:rPr>
        <w:t>عموم</w:t>
      </w:r>
      <w:r w:rsidRPr="00FE433F">
        <w:rPr>
          <w:rFonts w:hint="cs"/>
          <w:i/>
          <w:sz w:val="23"/>
          <w:szCs w:val="23"/>
          <w:rtl/>
        </w:rPr>
        <w:t>ی</w:t>
      </w:r>
      <w:r w:rsidRPr="00FE433F">
        <w:rPr>
          <w:i/>
          <w:sz w:val="23"/>
          <w:szCs w:val="23"/>
          <w:rtl/>
        </w:rPr>
        <w:t xml:space="preserve"> </w:t>
      </w:r>
      <w:r w:rsidRPr="00FE433F">
        <w:rPr>
          <w:rFonts w:hint="eastAsia"/>
          <w:i/>
          <w:sz w:val="23"/>
          <w:szCs w:val="23"/>
          <w:rtl/>
        </w:rPr>
        <w:t>کامل،</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بودجه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دولت</w:t>
      </w:r>
      <w:r w:rsidRPr="00FE433F">
        <w:rPr>
          <w:i/>
          <w:sz w:val="23"/>
          <w:szCs w:val="23"/>
          <w:rtl/>
        </w:rPr>
        <w:t xml:space="preserve"> </w:t>
      </w:r>
      <w:r w:rsidRPr="00FE433F">
        <w:rPr>
          <w:rFonts w:hint="eastAsia"/>
          <w:i/>
          <w:sz w:val="23"/>
          <w:szCs w:val="23"/>
          <w:rtl/>
        </w:rPr>
        <w:t>نشان</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دهد</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د</w:t>
      </w:r>
      <w:r w:rsidRPr="00FE433F">
        <w:rPr>
          <w:rFonts w:hint="cs"/>
          <w:i/>
          <w:sz w:val="23"/>
          <w:szCs w:val="23"/>
          <w:rtl/>
        </w:rPr>
        <w:t>ی</w:t>
      </w:r>
      <w:r w:rsidRPr="00FE433F">
        <w:rPr>
          <w:rFonts w:hint="eastAsia"/>
          <w:i/>
          <w:sz w:val="23"/>
          <w:szCs w:val="23"/>
          <w:rtl/>
        </w:rPr>
        <w:t>گر</w:t>
      </w:r>
      <w:r w:rsidRPr="00FE433F">
        <w:rPr>
          <w:i/>
          <w:sz w:val="23"/>
          <w:szCs w:val="23"/>
          <w:rtl/>
        </w:rPr>
        <w:t xml:space="preserve"> </w:t>
      </w:r>
      <w:r w:rsidRPr="00FE433F">
        <w:rPr>
          <w:rFonts w:hint="eastAsia"/>
          <w:i/>
          <w:sz w:val="23"/>
          <w:szCs w:val="23"/>
          <w:rtl/>
        </w:rPr>
        <w:t>اشکال</w:t>
      </w:r>
      <w:r w:rsidRPr="00FE433F">
        <w:rPr>
          <w:i/>
          <w:sz w:val="23"/>
          <w:szCs w:val="23"/>
          <w:rtl/>
        </w:rPr>
        <w:t xml:space="preserve"> </w:t>
      </w:r>
      <w:r w:rsidRPr="00FE433F">
        <w:rPr>
          <w:rFonts w:hint="eastAsia"/>
          <w:i/>
          <w:sz w:val="23"/>
          <w:szCs w:val="23"/>
          <w:rtl/>
        </w:rPr>
        <w:t>مال</w:t>
      </w:r>
      <w:r w:rsidRPr="00FE433F">
        <w:rPr>
          <w:rFonts w:hint="cs"/>
          <w:i/>
          <w:sz w:val="23"/>
          <w:szCs w:val="23"/>
          <w:rtl/>
        </w:rPr>
        <w:t>ی</w:t>
      </w:r>
      <w:r w:rsidRPr="00FE433F">
        <w:rPr>
          <w:rFonts w:hint="eastAsia"/>
          <w:i/>
          <w:sz w:val="23"/>
          <w:szCs w:val="23"/>
          <w:rtl/>
        </w:rPr>
        <w:t>ات</w:t>
      </w:r>
      <w:r w:rsidRPr="00FE433F">
        <w:rPr>
          <w:i/>
          <w:sz w:val="23"/>
          <w:szCs w:val="23"/>
          <w:rtl/>
        </w:rPr>
        <w:t xml:space="preserve"> </w:t>
      </w:r>
      <w:r w:rsidRPr="00FE433F">
        <w:rPr>
          <w:rFonts w:hint="cs"/>
          <w:i/>
          <w:sz w:val="23"/>
          <w:szCs w:val="23"/>
          <w:rtl/>
        </w:rPr>
        <w:t xml:space="preserve">کمتر خواهند بود و </w:t>
      </w:r>
      <w:r w:rsidRPr="00FE433F">
        <w:rPr>
          <w:rFonts w:hint="eastAsia"/>
          <w:i/>
          <w:sz w:val="23"/>
          <w:szCs w:val="23"/>
          <w:rtl/>
        </w:rPr>
        <w:t>مال</w:t>
      </w:r>
      <w:r w:rsidRPr="00FE433F">
        <w:rPr>
          <w:rFonts w:hint="cs"/>
          <w:i/>
          <w:sz w:val="23"/>
          <w:szCs w:val="23"/>
          <w:rtl/>
        </w:rPr>
        <w:t>ی</w:t>
      </w:r>
      <w:r w:rsidRPr="00FE433F">
        <w:rPr>
          <w:rFonts w:hint="eastAsia"/>
          <w:i/>
          <w:sz w:val="23"/>
          <w:szCs w:val="23"/>
          <w:rtl/>
        </w:rPr>
        <w:t>ات</w:t>
      </w:r>
      <w:r w:rsidRPr="00FE433F">
        <w:rPr>
          <w:i/>
          <w:sz w:val="23"/>
          <w:szCs w:val="23"/>
          <w:rtl/>
        </w:rPr>
        <w:t xml:space="preserve"> </w:t>
      </w:r>
      <w:r w:rsidRPr="00FE433F">
        <w:rPr>
          <w:rFonts w:hint="eastAsia"/>
          <w:i/>
          <w:sz w:val="23"/>
          <w:szCs w:val="23"/>
          <w:rtl/>
        </w:rPr>
        <w:t>حق</w:t>
      </w:r>
      <w:r w:rsidRPr="00FE433F">
        <w:rPr>
          <w:i/>
          <w:sz w:val="23"/>
          <w:szCs w:val="23"/>
          <w:rtl/>
        </w:rPr>
        <w:softHyphen/>
      </w:r>
      <w:r w:rsidRPr="00FE433F">
        <w:rPr>
          <w:rFonts w:hint="eastAsia"/>
          <w:i/>
          <w:sz w:val="23"/>
          <w:szCs w:val="23"/>
          <w:rtl/>
        </w:rPr>
        <w:t>الضرب</w:t>
      </w:r>
      <w:r w:rsidRPr="00FE433F">
        <w:rPr>
          <w:i/>
          <w:sz w:val="23"/>
          <w:szCs w:val="23"/>
          <w:rtl/>
        </w:rPr>
        <w:t xml:space="preserve"> </w:t>
      </w:r>
      <w:r w:rsidRPr="00FE433F">
        <w:rPr>
          <w:rFonts w:hint="cs"/>
          <w:i/>
          <w:sz w:val="23"/>
          <w:szCs w:val="23"/>
          <w:rtl/>
        </w:rPr>
        <w:t xml:space="preserve">را </w:t>
      </w:r>
      <w:r w:rsidRPr="00FE433F">
        <w:rPr>
          <w:rFonts w:hint="eastAsia"/>
          <w:i/>
          <w:sz w:val="23"/>
          <w:szCs w:val="23"/>
          <w:rtl/>
        </w:rPr>
        <w:t>جبران</w:t>
      </w:r>
      <w:r w:rsidRPr="00FE433F">
        <w:rPr>
          <w:i/>
          <w:sz w:val="23"/>
          <w:szCs w:val="23"/>
          <w:rtl/>
        </w:rPr>
        <w:t xml:space="preserve"> </w:t>
      </w:r>
      <w:r w:rsidRPr="00FE433F">
        <w:rPr>
          <w:rFonts w:hint="cs"/>
          <w:i/>
          <w:sz w:val="23"/>
          <w:szCs w:val="23"/>
          <w:rtl/>
        </w:rPr>
        <w:t>می</w:t>
      </w:r>
      <w:r w:rsidRPr="00FE433F">
        <w:rPr>
          <w:i/>
          <w:sz w:val="23"/>
          <w:szCs w:val="23"/>
          <w:rtl/>
        </w:rPr>
        <w:softHyphen/>
      </w:r>
      <w:r w:rsidRPr="00FE433F">
        <w:rPr>
          <w:i/>
          <w:sz w:val="23"/>
          <w:szCs w:val="23"/>
          <w:rtl/>
        </w:rPr>
        <w:softHyphen/>
      </w:r>
      <w:r w:rsidRPr="00FE433F">
        <w:rPr>
          <w:rFonts w:hint="cs"/>
          <w:i/>
          <w:sz w:val="23"/>
          <w:szCs w:val="23"/>
          <w:rtl/>
        </w:rPr>
        <w:t>کنند،</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لذا</w:t>
      </w:r>
      <w:r w:rsidRPr="00FE433F">
        <w:rPr>
          <w:i/>
          <w:sz w:val="23"/>
          <w:szCs w:val="23"/>
          <w:rtl/>
        </w:rPr>
        <w:t xml:space="preserve"> </w:t>
      </w:r>
      <w:r w:rsidRPr="00FE433F">
        <w:rPr>
          <w:rFonts w:hint="eastAsia"/>
          <w:i/>
          <w:sz w:val="23"/>
          <w:szCs w:val="23"/>
          <w:rtl/>
        </w:rPr>
        <w:t>بر</w:t>
      </w:r>
      <w:r w:rsidRPr="00FE433F">
        <w:rPr>
          <w:i/>
          <w:sz w:val="23"/>
          <w:szCs w:val="23"/>
          <w:rtl/>
        </w:rPr>
        <w:t xml:space="preserve"> </w:t>
      </w:r>
      <w:r w:rsidRPr="00FE433F">
        <w:rPr>
          <w:rFonts w:hint="eastAsia"/>
          <w:i/>
          <w:sz w:val="23"/>
          <w:szCs w:val="23"/>
          <w:rtl/>
        </w:rPr>
        <w:t>مصرف</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بلندمدت</w:t>
      </w:r>
      <w:r w:rsidRPr="00FE433F">
        <w:rPr>
          <w:i/>
          <w:sz w:val="23"/>
          <w:szCs w:val="23"/>
          <w:rtl/>
        </w:rPr>
        <w:t xml:space="preserve"> </w:t>
      </w:r>
      <w:r w:rsidRPr="00FE433F">
        <w:rPr>
          <w:rFonts w:hint="eastAsia"/>
          <w:i/>
          <w:sz w:val="23"/>
          <w:szCs w:val="23"/>
          <w:rtl/>
        </w:rPr>
        <w:t>بواسطه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مقاد</w:t>
      </w:r>
      <w:r w:rsidRPr="00FE433F">
        <w:rPr>
          <w:rFonts w:hint="cs"/>
          <w:i/>
          <w:sz w:val="23"/>
          <w:szCs w:val="23"/>
          <w:rtl/>
        </w:rPr>
        <w:t>ی</w:t>
      </w:r>
      <w:r w:rsidRPr="00FE433F">
        <w:rPr>
          <w:rFonts w:hint="eastAsia"/>
          <w:i/>
          <w:sz w:val="23"/>
          <w:szCs w:val="23"/>
          <w:rtl/>
        </w:rPr>
        <w:t>ر</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اقتصاد</w:t>
      </w:r>
      <w:r w:rsidRPr="00FE433F">
        <w:rPr>
          <w:i/>
          <w:sz w:val="23"/>
          <w:szCs w:val="23"/>
          <w:rtl/>
        </w:rPr>
        <w:t xml:space="preserve"> </w:t>
      </w:r>
      <w:r w:rsidRPr="00FE433F">
        <w:rPr>
          <w:rFonts w:hint="cs"/>
          <w:i/>
          <w:sz w:val="23"/>
          <w:szCs w:val="23"/>
          <w:rtl/>
        </w:rPr>
        <w:t>بی</w:t>
      </w:r>
      <w:r w:rsidRPr="00FE433F">
        <w:rPr>
          <w:i/>
          <w:sz w:val="23"/>
          <w:szCs w:val="23"/>
          <w:rtl/>
        </w:rPr>
        <w:softHyphen/>
      </w:r>
      <w:r w:rsidRPr="00FE433F">
        <w:rPr>
          <w:rFonts w:hint="cs"/>
          <w:i/>
          <w:sz w:val="23"/>
          <w:szCs w:val="23"/>
          <w:rtl/>
        </w:rPr>
        <w:t>تأثیر است</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مثال</w:t>
      </w:r>
      <w:r w:rsidRPr="00FE433F">
        <w:rPr>
          <w:i/>
          <w:sz w:val="23"/>
          <w:szCs w:val="23"/>
          <w:rtl/>
        </w:rPr>
        <w:t xml:space="preserve"> </w:t>
      </w:r>
      <w:r w:rsidRPr="00FE433F">
        <w:rPr>
          <w:rFonts w:hint="eastAsia"/>
          <w:i/>
          <w:sz w:val="23"/>
          <w:szCs w:val="23"/>
          <w:rtl/>
        </w:rPr>
        <w:t>خوب</w:t>
      </w:r>
      <w:r w:rsidRPr="00FE433F">
        <w:rPr>
          <w:rFonts w:hint="cs"/>
          <w:i/>
          <w:sz w:val="23"/>
          <w:szCs w:val="23"/>
          <w:rtl/>
        </w:rPr>
        <w:t>ی</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چرا</w:t>
      </w:r>
      <w:r w:rsidRPr="00FE433F">
        <w:rPr>
          <w:i/>
          <w:sz w:val="23"/>
          <w:szCs w:val="23"/>
          <w:rtl/>
        </w:rPr>
        <w:t xml:space="preserve"> </w:t>
      </w:r>
      <w:r w:rsidRPr="00FE433F">
        <w:rPr>
          <w:rFonts w:hint="eastAsia"/>
          <w:i/>
          <w:sz w:val="23"/>
          <w:szCs w:val="23"/>
          <w:rtl/>
        </w:rPr>
        <w:t>اقتصادکلان</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با</w:t>
      </w:r>
      <w:r w:rsidRPr="00FE433F">
        <w:rPr>
          <w:rFonts w:hint="cs"/>
          <w:i/>
          <w:sz w:val="23"/>
          <w:szCs w:val="23"/>
          <w:rtl/>
        </w:rPr>
        <w:t>ی</w:t>
      </w:r>
      <w:r w:rsidRPr="00FE433F">
        <w:rPr>
          <w:rFonts w:hint="eastAsia"/>
          <w:i/>
          <w:sz w:val="23"/>
          <w:szCs w:val="23"/>
          <w:rtl/>
        </w:rPr>
        <w:t>ست</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صورت</w:t>
      </w:r>
      <w:r w:rsidRPr="00FE433F">
        <w:rPr>
          <w:i/>
          <w:sz w:val="23"/>
          <w:szCs w:val="23"/>
          <w:rtl/>
        </w:rPr>
        <w:t xml:space="preserve"> </w:t>
      </w:r>
      <w:r w:rsidRPr="00FE433F">
        <w:rPr>
          <w:rFonts w:hint="eastAsia"/>
          <w:i/>
          <w:sz w:val="23"/>
          <w:szCs w:val="23"/>
          <w:rtl/>
        </w:rPr>
        <w:t>تعادل</w:t>
      </w:r>
      <w:r w:rsidRPr="00FE433F">
        <w:rPr>
          <w:i/>
          <w:sz w:val="23"/>
          <w:szCs w:val="23"/>
          <w:rtl/>
        </w:rPr>
        <w:t xml:space="preserve"> </w:t>
      </w:r>
      <w:r w:rsidRPr="00FE433F">
        <w:rPr>
          <w:rFonts w:hint="eastAsia"/>
          <w:i/>
          <w:sz w:val="23"/>
          <w:szCs w:val="23"/>
          <w:rtl/>
        </w:rPr>
        <w:t>عموم</w:t>
      </w:r>
      <w:r w:rsidRPr="00FE433F">
        <w:rPr>
          <w:rFonts w:hint="cs"/>
          <w:i/>
          <w:sz w:val="23"/>
          <w:szCs w:val="23"/>
          <w:rtl/>
        </w:rPr>
        <w:t>ی</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نه</w:t>
      </w:r>
      <w:r w:rsidRPr="00FE433F">
        <w:rPr>
          <w:i/>
          <w:sz w:val="23"/>
          <w:szCs w:val="23"/>
          <w:rtl/>
        </w:rPr>
        <w:t xml:space="preserve"> </w:t>
      </w:r>
      <w:r w:rsidRPr="00FE433F">
        <w:rPr>
          <w:rFonts w:hint="eastAsia"/>
          <w:i/>
          <w:sz w:val="23"/>
          <w:szCs w:val="23"/>
          <w:rtl/>
        </w:rPr>
        <w:t>تعادل</w:t>
      </w:r>
      <w:r w:rsidRPr="00FE433F">
        <w:rPr>
          <w:i/>
          <w:sz w:val="23"/>
          <w:szCs w:val="23"/>
          <w:rtl/>
        </w:rPr>
        <w:t xml:space="preserve"> </w:t>
      </w:r>
      <w:r w:rsidRPr="00FE433F">
        <w:rPr>
          <w:rFonts w:hint="eastAsia"/>
          <w:i/>
          <w:sz w:val="23"/>
          <w:szCs w:val="23"/>
          <w:rtl/>
        </w:rPr>
        <w:t>جزئ</w:t>
      </w:r>
      <w:r w:rsidRPr="00FE433F">
        <w:rPr>
          <w:rFonts w:hint="cs"/>
          <w:i/>
          <w:sz w:val="23"/>
          <w:szCs w:val="23"/>
          <w:rtl/>
        </w:rPr>
        <w:t>ی</w:t>
      </w:r>
      <w:r w:rsidRPr="00FE433F">
        <w:rPr>
          <w:i/>
          <w:sz w:val="23"/>
          <w:szCs w:val="23"/>
          <w:rtl/>
        </w:rPr>
        <w:t xml:space="preserve"> </w:t>
      </w:r>
      <w:r w:rsidRPr="00FE433F">
        <w:rPr>
          <w:rFonts w:hint="eastAsia"/>
          <w:i/>
          <w:sz w:val="23"/>
          <w:szCs w:val="23"/>
          <w:rtl/>
        </w:rPr>
        <w:t>مورد</w:t>
      </w:r>
      <w:r w:rsidRPr="00FE433F">
        <w:rPr>
          <w:i/>
          <w:sz w:val="23"/>
          <w:szCs w:val="23"/>
          <w:rtl/>
        </w:rPr>
        <w:t xml:space="preserve"> </w:t>
      </w:r>
      <w:r w:rsidRPr="00FE433F">
        <w:rPr>
          <w:rFonts w:hint="eastAsia"/>
          <w:i/>
          <w:sz w:val="23"/>
          <w:szCs w:val="23"/>
          <w:rtl/>
        </w:rPr>
        <w:t>بررس</w:t>
      </w:r>
      <w:r w:rsidRPr="00FE433F">
        <w:rPr>
          <w:rFonts w:hint="cs"/>
          <w:i/>
          <w:sz w:val="23"/>
          <w:szCs w:val="23"/>
          <w:rtl/>
        </w:rPr>
        <w:t>ی</w:t>
      </w:r>
      <w:r w:rsidRPr="00FE433F">
        <w:rPr>
          <w:i/>
          <w:sz w:val="23"/>
          <w:szCs w:val="23"/>
          <w:rtl/>
        </w:rPr>
        <w:t xml:space="preserve"> </w:t>
      </w:r>
      <w:r w:rsidRPr="00FE433F">
        <w:rPr>
          <w:rFonts w:hint="eastAsia"/>
          <w:i/>
          <w:sz w:val="23"/>
          <w:szCs w:val="23"/>
          <w:rtl/>
        </w:rPr>
        <w:t>قرار</w:t>
      </w:r>
      <w:r w:rsidRPr="00FE433F">
        <w:rPr>
          <w:i/>
          <w:sz w:val="23"/>
          <w:szCs w:val="23"/>
          <w:rtl/>
        </w:rPr>
        <w:t xml:space="preserve"> </w:t>
      </w:r>
      <w:r w:rsidRPr="00FE433F">
        <w:rPr>
          <w:rFonts w:hint="eastAsia"/>
          <w:i/>
          <w:sz w:val="23"/>
          <w:szCs w:val="23"/>
          <w:rtl/>
        </w:rPr>
        <w:t>ده</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نت</w:t>
      </w:r>
      <w:r w:rsidRPr="00FE433F">
        <w:rPr>
          <w:rFonts w:hint="cs"/>
          <w:i/>
          <w:sz w:val="23"/>
          <w:szCs w:val="23"/>
          <w:rtl/>
        </w:rPr>
        <w:t>ی</w:t>
      </w:r>
      <w:r w:rsidRPr="00FE433F">
        <w:rPr>
          <w:rFonts w:hint="eastAsia"/>
          <w:i/>
          <w:sz w:val="23"/>
          <w:szCs w:val="23"/>
          <w:rtl/>
        </w:rPr>
        <w:t>جه</w:t>
      </w:r>
      <w:r w:rsidRPr="00FE433F">
        <w:rPr>
          <w:i/>
          <w:sz w:val="23"/>
          <w:szCs w:val="23"/>
          <w:rtl/>
        </w:rPr>
        <w:t xml:space="preserve"> </w:t>
      </w:r>
      <w:r w:rsidRPr="00FE433F">
        <w:rPr>
          <w:rFonts w:hint="eastAsia"/>
          <w:i/>
          <w:sz w:val="23"/>
          <w:szCs w:val="23"/>
          <w:rtl/>
        </w:rPr>
        <w:t>گرفت</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cs"/>
          <w:i/>
          <w:sz w:val="23"/>
          <w:szCs w:val="23"/>
          <w:rtl/>
        </w:rPr>
        <w:t>ی</w:t>
      </w:r>
      <w:r w:rsidRPr="00FE433F">
        <w:rPr>
          <w:rFonts w:hint="eastAsia"/>
          <w:i/>
          <w:sz w:val="23"/>
          <w:szCs w:val="23"/>
          <w:rtl/>
        </w:rPr>
        <w:t>ک</w:t>
      </w:r>
      <w:r w:rsidRPr="00FE433F">
        <w:rPr>
          <w:i/>
          <w:sz w:val="23"/>
          <w:szCs w:val="23"/>
          <w:rtl/>
        </w:rPr>
        <w:t xml:space="preserve"> </w:t>
      </w:r>
      <w:r w:rsidRPr="00FE433F">
        <w:rPr>
          <w:rFonts w:hint="eastAsia"/>
          <w:i/>
          <w:sz w:val="23"/>
          <w:szCs w:val="23"/>
          <w:rtl/>
        </w:rPr>
        <w:t>راه</w:t>
      </w:r>
      <w:r w:rsidRPr="00FE433F">
        <w:rPr>
          <w:i/>
          <w:sz w:val="23"/>
          <w:szCs w:val="23"/>
          <w:rtl/>
        </w:rPr>
        <w:t xml:space="preserve"> </w:t>
      </w:r>
      <w:r w:rsidRPr="00FE433F">
        <w:rPr>
          <w:rFonts w:hint="eastAsia"/>
          <w:i/>
          <w:sz w:val="23"/>
          <w:szCs w:val="23"/>
          <w:rtl/>
        </w:rPr>
        <w:t>حل</w:t>
      </w:r>
      <w:r w:rsidRPr="00FE433F">
        <w:rPr>
          <w:i/>
          <w:sz w:val="23"/>
          <w:szCs w:val="23"/>
          <w:rtl/>
        </w:rPr>
        <w:t xml:space="preserve"> </w:t>
      </w:r>
      <w:r w:rsidRPr="00FE433F">
        <w:rPr>
          <w:rFonts w:hint="eastAsia"/>
          <w:i/>
          <w:sz w:val="23"/>
          <w:szCs w:val="23"/>
          <w:rtl/>
        </w:rPr>
        <w:t>مسئله</w:t>
      </w:r>
      <w:r w:rsidRPr="00FE433F">
        <w:rPr>
          <w:i/>
          <w:sz w:val="23"/>
          <w:szCs w:val="23"/>
          <w:rtl/>
        </w:rPr>
        <w:t xml:space="preserve"> </w:t>
      </w:r>
      <w:r w:rsidRPr="00FE433F">
        <w:rPr>
          <w:rFonts w:hint="eastAsia"/>
          <w:i/>
          <w:sz w:val="23"/>
          <w:szCs w:val="23"/>
          <w:rtl/>
        </w:rPr>
        <w:t>انتخاب</w:t>
      </w:r>
      <w:r w:rsidRPr="00FE433F">
        <w:rPr>
          <w:i/>
          <w:sz w:val="23"/>
          <w:szCs w:val="23"/>
          <w:rtl/>
        </w:rPr>
        <w:t xml:space="preserve"> </w:t>
      </w:r>
      <w:r w:rsidRPr="00FE433F">
        <w:rPr>
          <w:rFonts w:hint="eastAsia"/>
          <w:i/>
          <w:sz w:val="23"/>
          <w:szCs w:val="23"/>
          <w:rtl/>
        </w:rPr>
        <w:t>ب</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بکارگ</w:t>
      </w:r>
      <w:r w:rsidRPr="00FE433F">
        <w:rPr>
          <w:rFonts w:hint="cs"/>
          <w:i/>
          <w:sz w:val="23"/>
          <w:szCs w:val="23"/>
          <w:rtl/>
        </w:rPr>
        <w:t>ی</w:t>
      </w:r>
      <w:r w:rsidRPr="00FE433F">
        <w:rPr>
          <w:rFonts w:hint="eastAsia"/>
          <w:i/>
          <w:sz w:val="23"/>
          <w:szCs w:val="23"/>
          <w:rtl/>
        </w:rPr>
        <w:t>ر</w:t>
      </w:r>
      <w:r w:rsidRPr="00FE433F">
        <w:rPr>
          <w:rFonts w:hint="cs"/>
          <w:i/>
          <w:sz w:val="23"/>
          <w:szCs w:val="23"/>
          <w:rtl/>
        </w:rPr>
        <w:t>ی</w:t>
      </w:r>
      <w:r w:rsidRPr="00FE433F">
        <w:rPr>
          <w:i/>
          <w:sz w:val="23"/>
          <w:szCs w:val="23"/>
          <w:rtl/>
        </w:rPr>
        <w:t xml:space="preserve"> </w:t>
      </w:r>
      <w:r w:rsidRPr="00FE433F">
        <w:rPr>
          <w:rFonts w:hint="eastAsia"/>
          <w:i/>
          <w:sz w:val="23"/>
          <w:szCs w:val="23"/>
          <w:rtl/>
        </w:rPr>
        <w:t>حق</w:t>
      </w:r>
      <w:r w:rsidRPr="00FE433F">
        <w:rPr>
          <w:i/>
          <w:sz w:val="23"/>
          <w:szCs w:val="23"/>
          <w:rtl/>
        </w:rPr>
        <w:softHyphen/>
      </w:r>
      <w:r w:rsidRPr="00FE433F">
        <w:rPr>
          <w:rFonts w:hint="eastAsia"/>
          <w:i/>
          <w:sz w:val="23"/>
          <w:szCs w:val="23"/>
          <w:rtl/>
        </w:rPr>
        <w:t>الضرب</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د</w:t>
      </w:r>
      <w:r w:rsidRPr="00FE433F">
        <w:rPr>
          <w:rFonts w:hint="cs"/>
          <w:i/>
          <w:sz w:val="23"/>
          <w:szCs w:val="23"/>
          <w:rtl/>
        </w:rPr>
        <w:t>ی</w:t>
      </w:r>
      <w:r w:rsidRPr="00FE433F">
        <w:rPr>
          <w:rFonts w:hint="eastAsia"/>
          <w:i/>
          <w:sz w:val="23"/>
          <w:szCs w:val="23"/>
          <w:rtl/>
        </w:rPr>
        <w:t>گر</w:t>
      </w:r>
      <w:r w:rsidRPr="00FE433F">
        <w:rPr>
          <w:i/>
          <w:sz w:val="23"/>
          <w:szCs w:val="23"/>
          <w:rtl/>
        </w:rPr>
        <w:t xml:space="preserve"> </w:t>
      </w:r>
      <w:r w:rsidRPr="00FE433F">
        <w:rPr>
          <w:rFonts w:hint="eastAsia"/>
          <w:i/>
          <w:sz w:val="23"/>
          <w:szCs w:val="23"/>
          <w:rtl/>
        </w:rPr>
        <w:t>اشکال</w:t>
      </w:r>
      <w:r w:rsidRPr="00FE433F">
        <w:rPr>
          <w:i/>
          <w:sz w:val="23"/>
          <w:szCs w:val="23"/>
          <w:rtl/>
        </w:rPr>
        <w:t xml:space="preserve"> </w:t>
      </w:r>
      <w:r w:rsidRPr="00FE433F">
        <w:rPr>
          <w:rFonts w:hint="eastAsia"/>
          <w:i/>
          <w:sz w:val="23"/>
          <w:szCs w:val="23"/>
          <w:rtl/>
        </w:rPr>
        <w:t>مال</w:t>
      </w:r>
      <w:r w:rsidRPr="00FE433F">
        <w:rPr>
          <w:rFonts w:hint="cs"/>
          <w:i/>
          <w:sz w:val="23"/>
          <w:szCs w:val="23"/>
          <w:rtl/>
        </w:rPr>
        <w:t>ی</w:t>
      </w:r>
      <w:r w:rsidRPr="00FE433F">
        <w:rPr>
          <w:rFonts w:hint="eastAsia"/>
          <w:i/>
          <w:sz w:val="23"/>
          <w:szCs w:val="23"/>
          <w:rtl/>
        </w:rPr>
        <w:t>ات</w:t>
      </w:r>
      <w:r w:rsidRPr="00FE433F">
        <w:rPr>
          <w:rFonts w:hint="cs"/>
          <w:i/>
          <w:sz w:val="23"/>
          <w:szCs w:val="23"/>
          <w:rtl/>
        </w:rPr>
        <w:t>،</w:t>
      </w:r>
      <w:r w:rsidRPr="00FE433F">
        <w:rPr>
          <w:i/>
          <w:sz w:val="23"/>
          <w:szCs w:val="23"/>
          <w:rtl/>
        </w:rPr>
        <w:t xml:space="preserve"> </w:t>
      </w:r>
      <w:r w:rsidRPr="00FE433F">
        <w:rPr>
          <w:rFonts w:hint="eastAsia"/>
          <w:i/>
          <w:sz w:val="23"/>
          <w:szCs w:val="23"/>
          <w:rtl/>
        </w:rPr>
        <w:t>تع</w:t>
      </w:r>
      <w:r w:rsidRPr="00FE433F">
        <w:rPr>
          <w:rFonts w:hint="cs"/>
          <w:i/>
          <w:sz w:val="23"/>
          <w:szCs w:val="23"/>
          <w:rtl/>
        </w:rPr>
        <w:t>یی</w:t>
      </w:r>
      <w:r w:rsidRPr="00FE433F">
        <w:rPr>
          <w:rFonts w:hint="eastAsia"/>
          <w:i/>
          <w:sz w:val="23"/>
          <w:szCs w:val="23"/>
          <w:rtl/>
        </w:rPr>
        <w:t>ن</w:t>
      </w:r>
      <w:r w:rsidRPr="00FE433F">
        <w:rPr>
          <w:i/>
          <w:sz w:val="23"/>
          <w:szCs w:val="23"/>
          <w:rtl/>
        </w:rPr>
        <w:t xml:space="preserve"> </w:t>
      </w:r>
      <w:r w:rsidRPr="00FE433F">
        <w:rPr>
          <w:rFonts w:hint="eastAsia"/>
          <w:i/>
          <w:sz w:val="23"/>
          <w:szCs w:val="23"/>
          <w:rtl/>
        </w:rPr>
        <w:t>نرخ</w:t>
      </w:r>
      <w:r w:rsidRPr="00FE433F">
        <w:rPr>
          <w:i/>
          <w:sz w:val="23"/>
          <w:szCs w:val="23"/>
          <w:rtl/>
        </w:rPr>
        <w:t xml:space="preserve"> </w:t>
      </w:r>
      <w:r w:rsidRPr="00FE433F">
        <w:rPr>
          <w:rFonts w:hint="eastAsia"/>
          <w:i/>
          <w:sz w:val="23"/>
          <w:szCs w:val="23"/>
          <w:rtl/>
        </w:rPr>
        <w:t>تورم</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قبل</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p>
    <w:p w14:paraId="40F264D8" w14:textId="77777777" w:rsidR="00411620" w:rsidRPr="00FE433F" w:rsidRDefault="00411620" w:rsidP="00411620">
      <w:pPr>
        <w:spacing w:line="216" w:lineRule="auto"/>
        <w:rPr>
          <w:i/>
          <w:sz w:val="23"/>
          <w:szCs w:val="23"/>
          <w:rtl/>
        </w:rPr>
      </w:pPr>
      <w:r w:rsidRPr="00FE433F">
        <w:rPr>
          <w:rFonts w:hint="eastAsia"/>
          <w:i/>
          <w:sz w:val="23"/>
          <w:szCs w:val="23"/>
          <w:rtl/>
        </w:rPr>
        <w:t>ملاحظه</w:t>
      </w:r>
      <w:r w:rsidRPr="00FE433F">
        <w:rPr>
          <w:i/>
          <w:sz w:val="23"/>
          <w:szCs w:val="23"/>
          <w:rtl/>
        </w:rPr>
        <w:t xml:space="preserve"> </w:t>
      </w:r>
      <w:r w:rsidRPr="00FE433F">
        <w:rPr>
          <w:rFonts w:hint="eastAsia"/>
          <w:i/>
          <w:sz w:val="23"/>
          <w:szCs w:val="23"/>
          <w:rtl/>
        </w:rPr>
        <w:t>کرد</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تقاضا</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نقد</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ط</w:t>
      </w:r>
      <w:r w:rsidRPr="00FE433F">
        <w:rPr>
          <w:rFonts w:hint="cs"/>
          <w:i/>
          <w:sz w:val="23"/>
          <w:szCs w:val="23"/>
          <w:rtl/>
        </w:rPr>
        <w:t>ی</w:t>
      </w:r>
      <w:r w:rsidRPr="00FE433F">
        <w:rPr>
          <w:i/>
          <w:sz w:val="23"/>
          <w:szCs w:val="23"/>
          <w:rtl/>
        </w:rPr>
        <w:t xml:space="preserve"> </w:t>
      </w:r>
      <w:r w:rsidRPr="00FE433F">
        <w:rPr>
          <w:rFonts w:hint="eastAsia"/>
          <w:i/>
          <w:sz w:val="23"/>
          <w:szCs w:val="23"/>
          <w:rtl/>
        </w:rPr>
        <w:t>زمان</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حال</w:t>
      </w:r>
      <w:r w:rsidRPr="00FE433F">
        <w:rPr>
          <w:i/>
          <w:sz w:val="23"/>
          <w:szCs w:val="23"/>
          <w:rtl/>
        </w:rPr>
        <w:t xml:space="preserve"> </w:t>
      </w:r>
      <w:r w:rsidRPr="00FE433F">
        <w:rPr>
          <w:rFonts w:hint="eastAsia"/>
          <w:i/>
          <w:sz w:val="23"/>
          <w:szCs w:val="23"/>
          <w:rtl/>
        </w:rPr>
        <w:t>کاهش</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اقبال</w:t>
      </w:r>
      <w:r w:rsidRPr="00FE433F">
        <w:rPr>
          <w:i/>
          <w:sz w:val="23"/>
          <w:szCs w:val="23"/>
          <w:rtl/>
        </w:rPr>
        <w:t xml:space="preserve"> </w:t>
      </w:r>
      <w:r w:rsidRPr="00FE433F">
        <w:rPr>
          <w:rFonts w:hint="eastAsia"/>
          <w:i/>
          <w:sz w:val="23"/>
          <w:szCs w:val="23"/>
          <w:rtl/>
        </w:rPr>
        <w:t>عموم</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استفاده</w:t>
      </w:r>
      <w:r w:rsidRPr="00FE433F">
        <w:rPr>
          <w:i/>
          <w:sz w:val="23"/>
          <w:szCs w:val="23"/>
          <w:rtl/>
        </w:rPr>
        <w:softHyphen/>
      </w:r>
      <w:r w:rsidRPr="00FE433F">
        <w:rPr>
          <w:rFonts w:hint="cs"/>
          <w:i/>
          <w:sz w:val="23"/>
          <w:szCs w:val="23"/>
          <w:rtl/>
        </w:rPr>
        <w:t>ی</w:t>
      </w:r>
      <w:r w:rsidRPr="00FE433F">
        <w:rPr>
          <w:i/>
          <w:sz w:val="23"/>
          <w:szCs w:val="23"/>
          <w:rtl/>
        </w:rPr>
        <w:t xml:space="preserve"> </w:t>
      </w:r>
      <w:r w:rsidRPr="00FE433F">
        <w:rPr>
          <w:rFonts w:hint="eastAsia"/>
          <w:i/>
          <w:sz w:val="23"/>
          <w:szCs w:val="23"/>
          <w:rtl/>
        </w:rPr>
        <w:t>ب</w:t>
      </w:r>
      <w:r w:rsidRPr="00FE433F">
        <w:rPr>
          <w:rFonts w:hint="cs"/>
          <w:i/>
          <w:sz w:val="23"/>
          <w:szCs w:val="23"/>
          <w:rtl/>
        </w:rPr>
        <w:t>ی</w:t>
      </w:r>
      <w:r w:rsidRPr="00FE433F">
        <w:rPr>
          <w:rFonts w:hint="eastAsia"/>
          <w:i/>
          <w:sz w:val="23"/>
          <w:szCs w:val="23"/>
          <w:rtl/>
        </w:rPr>
        <w:t>شتر</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اعتبار</w:t>
      </w:r>
      <w:r w:rsidRPr="00FE433F">
        <w:rPr>
          <w:i/>
          <w:sz w:val="23"/>
          <w:szCs w:val="23"/>
          <w:rtl/>
        </w:rPr>
        <w:t xml:space="preserve"> </w:t>
      </w:r>
      <w:r w:rsidRPr="00FE433F">
        <w:rPr>
          <w:rFonts w:hint="cs"/>
          <w:i/>
          <w:sz w:val="23"/>
          <w:szCs w:val="23"/>
          <w:rtl/>
        </w:rPr>
        <w:t>است</w:t>
      </w:r>
      <w:r w:rsidRPr="00FE433F">
        <w:rPr>
          <w:i/>
          <w:sz w:val="23"/>
          <w:szCs w:val="23"/>
          <w:rtl/>
        </w:rPr>
        <w:t xml:space="preserve">. </w:t>
      </w:r>
      <w:r w:rsidRPr="00FE433F">
        <w:rPr>
          <w:rFonts w:hint="eastAsia"/>
          <w:i/>
          <w:sz w:val="23"/>
          <w:szCs w:val="23"/>
          <w:rtl/>
        </w:rPr>
        <w:t>هنگام</w:t>
      </w:r>
      <w:r w:rsidRPr="00FE433F">
        <w:rPr>
          <w:rFonts w:hint="cs"/>
          <w:i/>
          <w:sz w:val="23"/>
          <w:szCs w:val="23"/>
          <w:rtl/>
        </w:rPr>
        <w:t>ی</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تابع</w:t>
      </w:r>
      <w:r w:rsidRPr="00FE433F">
        <w:rPr>
          <w:i/>
          <w:sz w:val="23"/>
          <w:szCs w:val="23"/>
          <w:rtl/>
        </w:rPr>
        <w:t xml:space="preserve"> </w:t>
      </w:r>
      <w:r w:rsidRPr="00FE433F">
        <w:rPr>
          <w:rFonts w:hint="eastAsia"/>
          <w:i/>
          <w:sz w:val="23"/>
          <w:szCs w:val="23"/>
          <w:rtl/>
        </w:rPr>
        <w:t>مطلوب</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موجود</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نقد</w:t>
      </w:r>
      <w:r w:rsidRPr="00FE433F">
        <w:rPr>
          <w:i/>
          <w:sz w:val="23"/>
          <w:szCs w:val="23"/>
          <w:rtl/>
        </w:rPr>
        <w:t xml:space="preserve"> </w:t>
      </w:r>
      <w:r w:rsidRPr="00FE433F">
        <w:rPr>
          <w:rFonts w:hint="eastAsia"/>
          <w:i/>
          <w:sz w:val="23"/>
          <w:szCs w:val="23"/>
          <w:rtl/>
        </w:rPr>
        <w:t>وابسته</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نقد</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اعتبار</w:t>
      </w:r>
      <w:r w:rsidRPr="00FE433F">
        <w:rPr>
          <w:i/>
          <w:sz w:val="23"/>
          <w:szCs w:val="23"/>
          <w:rtl/>
        </w:rPr>
        <w:t xml:space="preserve"> </w:t>
      </w:r>
      <w:r w:rsidRPr="00FE433F">
        <w:rPr>
          <w:rFonts w:hint="eastAsia"/>
          <w:i/>
          <w:sz w:val="23"/>
          <w:szCs w:val="23"/>
          <w:rtl/>
        </w:rPr>
        <w:t>هر</w:t>
      </w:r>
      <w:r w:rsidRPr="00FE433F">
        <w:rPr>
          <w:i/>
          <w:sz w:val="23"/>
          <w:szCs w:val="23"/>
          <w:rtl/>
        </w:rPr>
        <w:t xml:space="preserve"> </w:t>
      </w:r>
      <w:r w:rsidRPr="00FE433F">
        <w:rPr>
          <w:rFonts w:hint="eastAsia"/>
          <w:i/>
          <w:sz w:val="23"/>
          <w:szCs w:val="23"/>
          <w:rtl/>
        </w:rPr>
        <w:t>دو</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نرخ</w:t>
      </w:r>
      <w:r w:rsidRPr="00FE433F">
        <w:rPr>
          <w:i/>
          <w:sz w:val="23"/>
          <w:szCs w:val="23"/>
          <w:rtl/>
        </w:rPr>
        <w:t xml:space="preserve"> </w:t>
      </w:r>
      <w:r w:rsidRPr="00FE433F">
        <w:rPr>
          <w:rFonts w:hint="eastAsia"/>
          <w:i/>
          <w:sz w:val="23"/>
          <w:szCs w:val="23"/>
          <w:rtl/>
        </w:rPr>
        <w:t>بهره</w:t>
      </w:r>
      <w:r w:rsidRPr="00FE433F">
        <w:rPr>
          <w:i/>
          <w:sz w:val="23"/>
          <w:szCs w:val="23"/>
          <w:rtl/>
        </w:rPr>
        <w:t xml:space="preserve"> </w:t>
      </w:r>
      <w:r w:rsidRPr="00FE433F">
        <w:rPr>
          <w:rFonts w:hint="eastAsia"/>
          <w:i/>
          <w:sz w:val="23"/>
          <w:szCs w:val="23"/>
          <w:rtl/>
        </w:rPr>
        <w:t>حساس</w:t>
      </w:r>
      <w:r w:rsidRPr="00FE433F">
        <w:rPr>
          <w:i/>
          <w:sz w:val="23"/>
          <w:szCs w:val="23"/>
          <w:rtl/>
        </w:rPr>
        <w:t xml:space="preserve"> </w:t>
      </w:r>
      <w:r w:rsidRPr="00FE433F">
        <w:rPr>
          <w:rFonts w:hint="eastAsia"/>
          <w:i/>
          <w:sz w:val="23"/>
          <w:szCs w:val="23"/>
          <w:rtl/>
        </w:rPr>
        <w:t>اند</w:t>
      </w:r>
      <w:r w:rsidRPr="00FE433F">
        <w:rPr>
          <w:i/>
          <w:sz w:val="23"/>
          <w:szCs w:val="23"/>
          <w:rtl/>
        </w:rPr>
        <w:t xml:space="preserve">. </w:t>
      </w:r>
      <w:r w:rsidRPr="00FE433F">
        <w:rPr>
          <w:rFonts w:hint="eastAsia"/>
          <w:i/>
          <w:sz w:val="23"/>
          <w:szCs w:val="23"/>
          <w:rtl/>
        </w:rPr>
        <w:t>اما</w:t>
      </w:r>
      <w:r w:rsidRPr="00FE433F">
        <w:rPr>
          <w:i/>
          <w:sz w:val="23"/>
          <w:szCs w:val="23"/>
          <w:rtl/>
        </w:rPr>
        <w:t xml:space="preserve"> </w:t>
      </w:r>
      <w:r w:rsidRPr="00FE433F">
        <w:rPr>
          <w:rFonts w:hint="eastAsia"/>
          <w:i/>
          <w:sz w:val="23"/>
          <w:szCs w:val="23"/>
          <w:rtl/>
        </w:rPr>
        <w:t>هنگام</w:t>
      </w:r>
      <w:r w:rsidRPr="00FE433F">
        <w:rPr>
          <w:rFonts w:hint="cs"/>
          <w:i/>
          <w:sz w:val="23"/>
          <w:szCs w:val="23"/>
          <w:rtl/>
        </w:rPr>
        <w:t>ی</w:t>
      </w:r>
      <w:r w:rsidRPr="00FE433F">
        <w:rPr>
          <w:i/>
          <w:sz w:val="23"/>
          <w:szCs w:val="23"/>
          <w:rtl/>
        </w:rPr>
        <w:softHyphen/>
      </w:r>
      <w:r w:rsidRPr="00FE433F">
        <w:rPr>
          <w:rFonts w:hint="eastAsia"/>
          <w:i/>
          <w:sz w:val="23"/>
          <w:szCs w:val="23"/>
          <w:rtl/>
        </w:rPr>
        <w:t>که</w:t>
      </w:r>
      <w:r w:rsidRPr="00FE433F">
        <w:rPr>
          <w:i/>
          <w:sz w:val="23"/>
          <w:szCs w:val="23"/>
          <w:rtl/>
        </w:rPr>
        <w:t xml:space="preserve"> </w:t>
      </w:r>
      <w:r w:rsidRPr="00FE433F">
        <w:rPr>
          <w:rFonts w:hint="cs"/>
          <w:i/>
          <w:sz w:val="23"/>
          <w:szCs w:val="23"/>
          <w:rtl/>
        </w:rPr>
        <w:t>ی</w:t>
      </w:r>
      <w:r w:rsidRPr="00FE433F">
        <w:rPr>
          <w:rFonts w:hint="eastAsia"/>
          <w:i/>
          <w:sz w:val="23"/>
          <w:szCs w:val="23"/>
          <w:rtl/>
        </w:rPr>
        <w:t>ک</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i/>
          <w:sz w:val="23"/>
          <w:szCs w:val="23"/>
        </w:rPr>
        <w:t>CIA</w:t>
      </w:r>
      <w:r w:rsidRPr="00FE433F">
        <w:rPr>
          <w:i/>
          <w:sz w:val="23"/>
          <w:szCs w:val="23"/>
          <w:rtl/>
        </w:rPr>
        <w:t xml:space="preserve"> </w:t>
      </w:r>
      <w:r w:rsidRPr="00FE433F">
        <w:rPr>
          <w:rFonts w:hint="eastAsia"/>
          <w:i/>
          <w:sz w:val="23"/>
          <w:szCs w:val="23"/>
          <w:rtl/>
        </w:rPr>
        <w:t>بکار</w:t>
      </w:r>
      <w:r w:rsidRPr="00FE433F">
        <w:rPr>
          <w:i/>
          <w:sz w:val="23"/>
          <w:szCs w:val="23"/>
          <w:rtl/>
        </w:rPr>
        <w:t xml:space="preserve"> </w:t>
      </w:r>
      <w:r w:rsidRPr="00FE433F">
        <w:rPr>
          <w:rFonts w:hint="eastAsia"/>
          <w:i/>
          <w:sz w:val="23"/>
          <w:szCs w:val="23"/>
          <w:rtl/>
        </w:rPr>
        <w:t>گرفته</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شود</w:t>
      </w:r>
      <w:r w:rsidRPr="00FE433F">
        <w:rPr>
          <w:i/>
          <w:sz w:val="23"/>
          <w:szCs w:val="23"/>
          <w:rtl/>
        </w:rPr>
        <w:t xml:space="preserve"> </w:t>
      </w:r>
      <w:r w:rsidRPr="00FE433F">
        <w:rPr>
          <w:rFonts w:hint="eastAsia"/>
          <w:i/>
          <w:sz w:val="23"/>
          <w:szCs w:val="23"/>
          <w:rtl/>
        </w:rPr>
        <w:t>ه</w:t>
      </w:r>
      <w:r w:rsidRPr="00FE433F">
        <w:rPr>
          <w:rFonts w:hint="cs"/>
          <w:i/>
          <w:sz w:val="23"/>
          <w:szCs w:val="23"/>
          <w:rtl/>
        </w:rPr>
        <w:t>ی</w:t>
      </w:r>
      <w:r w:rsidRPr="00FE433F">
        <w:rPr>
          <w:rFonts w:hint="eastAsia"/>
          <w:i/>
          <w:sz w:val="23"/>
          <w:szCs w:val="23"/>
          <w:rtl/>
        </w:rPr>
        <w:t>چ</w:t>
      </w:r>
      <w:r w:rsidRPr="00FE433F">
        <w:rPr>
          <w:i/>
          <w:sz w:val="23"/>
          <w:szCs w:val="23"/>
          <w:rtl/>
        </w:rPr>
        <w:softHyphen/>
      </w:r>
      <w:r w:rsidRPr="00FE433F">
        <w:rPr>
          <w:rFonts w:hint="eastAsia"/>
          <w:i/>
          <w:sz w:val="23"/>
          <w:szCs w:val="23"/>
          <w:rtl/>
        </w:rPr>
        <w:t>کدام</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بهره</w:t>
      </w:r>
      <w:r w:rsidRPr="00FE433F">
        <w:rPr>
          <w:i/>
          <w:sz w:val="23"/>
          <w:szCs w:val="23"/>
          <w:rtl/>
        </w:rPr>
        <w:t xml:space="preserve"> </w:t>
      </w:r>
      <w:r w:rsidRPr="00FE433F">
        <w:rPr>
          <w:rFonts w:hint="eastAsia"/>
          <w:i/>
          <w:sz w:val="23"/>
          <w:szCs w:val="23"/>
          <w:rtl/>
        </w:rPr>
        <w:t>حساس</w:t>
      </w:r>
      <w:r w:rsidRPr="00FE433F">
        <w:rPr>
          <w:i/>
          <w:sz w:val="23"/>
          <w:szCs w:val="23"/>
          <w:rtl/>
        </w:rPr>
        <w:t xml:space="preserve"> </w:t>
      </w:r>
      <w:r w:rsidRPr="00FE433F">
        <w:rPr>
          <w:rFonts w:hint="eastAsia"/>
          <w:i/>
          <w:sz w:val="23"/>
          <w:szCs w:val="23"/>
          <w:rtl/>
        </w:rPr>
        <w:t>ن</w:t>
      </w:r>
      <w:r w:rsidRPr="00FE433F">
        <w:rPr>
          <w:rFonts w:hint="cs"/>
          <w:i/>
          <w:sz w:val="23"/>
          <w:szCs w:val="23"/>
          <w:rtl/>
        </w:rPr>
        <w:t>یست</w:t>
      </w:r>
      <w:r w:rsidRPr="00FE433F">
        <w:rPr>
          <w:rFonts w:hint="eastAsia"/>
          <w:i/>
          <w:sz w:val="23"/>
          <w:szCs w:val="23"/>
          <w:rtl/>
        </w:rPr>
        <w:t>ند</w:t>
      </w:r>
      <w:r w:rsidRPr="00FE433F">
        <w:rPr>
          <w:i/>
          <w:sz w:val="23"/>
          <w:szCs w:val="23"/>
          <w:rtl/>
        </w:rPr>
        <w:t>.</w:t>
      </w:r>
    </w:p>
    <w:p w14:paraId="2E139A19" w14:textId="77777777" w:rsidR="00411620" w:rsidRPr="00FE433F" w:rsidRDefault="00411620" w:rsidP="00411620">
      <w:pPr>
        <w:spacing w:line="216" w:lineRule="auto"/>
        <w:rPr>
          <w:i/>
          <w:sz w:val="23"/>
          <w:szCs w:val="23"/>
          <w:rtl/>
        </w:rPr>
      </w:pPr>
      <w:r w:rsidRPr="00FE433F">
        <w:rPr>
          <w:rFonts w:hint="eastAsia"/>
          <w:i/>
          <w:sz w:val="23"/>
          <w:szCs w:val="23"/>
          <w:rtl/>
        </w:rPr>
        <w:t>نرخ</w:t>
      </w:r>
      <w:r w:rsidRPr="00FE433F">
        <w:rPr>
          <w:i/>
          <w:sz w:val="23"/>
          <w:szCs w:val="23"/>
          <w:rtl/>
        </w:rPr>
        <w:t xml:space="preserve"> </w:t>
      </w:r>
      <w:r w:rsidRPr="00FE433F">
        <w:rPr>
          <w:rFonts w:hint="eastAsia"/>
          <w:i/>
          <w:sz w:val="23"/>
          <w:szCs w:val="23"/>
          <w:rtl/>
        </w:rPr>
        <w:t>تورم</w:t>
      </w:r>
      <w:r w:rsidRPr="00FE433F">
        <w:rPr>
          <w:i/>
          <w:sz w:val="23"/>
          <w:szCs w:val="23"/>
          <w:rtl/>
        </w:rPr>
        <w:t xml:space="preserve"> </w:t>
      </w:r>
      <w:r w:rsidRPr="00FE433F">
        <w:rPr>
          <w:rFonts w:hint="eastAsia"/>
          <w:i/>
          <w:sz w:val="23"/>
          <w:szCs w:val="23"/>
          <w:rtl/>
        </w:rPr>
        <w:t>به</w:t>
      </w:r>
      <w:r w:rsidRPr="00FE433F">
        <w:rPr>
          <w:rFonts w:hint="cs"/>
          <w:i/>
          <w:sz w:val="23"/>
          <w:szCs w:val="23"/>
          <w:rtl/>
        </w:rPr>
        <w:t>ی</w:t>
      </w:r>
      <w:r w:rsidRPr="00FE433F">
        <w:rPr>
          <w:rFonts w:hint="eastAsia"/>
          <w:i/>
          <w:sz w:val="23"/>
          <w:szCs w:val="23"/>
          <w:rtl/>
        </w:rPr>
        <w:t>نه</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مورد</w:t>
      </w:r>
      <w:r w:rsidRPr="00FE433F">
        <w:rPr>
          <w:i/>
          <w:sz w:val="23"/>
          <w:szCs w:val="23"/>
          <w:rtl/>
        </w:rPr>
        <w:t xml:space="preserve"> </w:t>
      </w:r>
      <w:r w:rsidRPr="00FE433F">
        <w:rPr>
          <w:rFonts w:hint="eastAsia"/>
          <w:i/>
          <w:sz w:val="23"/>
          <w:szCs w:val="23"/>
          <w:rtl/>
        </w:rPr>
        <w:t>بررس</w:t>
      </w:r>
      <w:r w:rsidRPr="00FE433F">
        <w:rPr>
          <w:rFonts w:hint="cs"/>
          <w:i/>
          <w:sz w:val="23"/>
          <w:szCs w:val="23"/>
          <w:rtl/>
        </w:rPr>
        <w:t>ی</w:t>
      </w:r>
      <w:r w:rsidRPr="00FE433F">
        <w:rPr>
          <w:i/>
          <w:sz w:val="23"/>
          <w:szCs w:val="23"/>
          <w:rtl/>
        </w:rPr>
        <w:t xml:space="preserve"> </w:t>
      </w:r>
      <w:r w:rsidRPr="00FE433F">
        <w:rPr>
          <w:rFonts w:hint="eastAsia"/>
          <w:i/>
          <w:sz w:val="23"/>
          <w:szCs w:val="23"/>
          <w:rtl/>
        </w:rPr>
        <w:t>قرار</w:t>
      </w:r>
      <w:r w:rsidRPr="00FE433F">
        <w:rPr>
          <w:i/>
          <w:sz w:val="23"/>
          <w:szCs w:val="23"/>
          <w:rtl/>
        </w:rPr>
        <w:t xml:space="preserve"> </w:t>
      </w:r>
      <w:r w:rsidRPr="00FE433F">
        <w:rPr>
          <w:rFonts w:hint="eastAsia"/>
          <w:i/>
          <w:sz w:val="23"/>
          <w:szCs w:val="23"/>
          <w:rtl/>
        </w:rPr>
        <w:t>داده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نشان</w:t>
      </w:r>
      <w:r w:rsidRPr="00FE433F">
        <w:rPr>
          <w:i/>
          <w:sz w:val="23"/>
          <w:szCs w:val="23"/>
          <w:rtl/>
        </w:rPr>
        <w:t xml:space="preserve"> </w:t>
      </w:r>
      <w:r w:rsidRPr="00FE433F">
        <w:rPr>
          <w:rFonts w:hint="eastAsia"/>
          <w:i/>
          <w:sz w:val="23"/>
          <w:szCs w:val="23"/>
          <w:rtl/>
        </w:rPr>
        <w:t>داد</w:t>
      </w:r>
      <w:r w:rsidRPr="00FE433F">
        <w:rPr>
          <w:rFonts w:hint="cs"/>
          <w:i/>
          <w:sz w:val="23"/>
          <w:szCs w:val="23"/>
          <w:rtl/>
        </w:rPr>
        <w:t>ه شد</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نرخ</w:t>
      </w:r>
      <w:r w:rsidRPr="00FE433F">
        <w:rPr>
          <w:i/>
          <w:sz w:val="23"/>
          <w:szCs w:val="23"/>
          <w:rtl/>
        </w:rPr>
        <w:t xml:space="preserve"> </w:t>
      </w:r>
      <w:r w:rsidRPr="00FE433F">
        <w:rPr>
          <w:rFonts w:hint="eastAsia"/>
          <w:i/>
          <w:sz w:val="23"/>
          <w:szCs w:val="23"/>
          <w:rtl/>
        </w:rPr>
        <w:t>تورم</w:t>
      </w:r>
      <w:r w:rsidRPr="00FE433F">
        <w:rPr>
          <w:i/>
          <w:sz w:val="23"/>
          <w:szCs w:val="23"/>
          <w:rtl/>
        </w:rPr>
        <w:t xml:space="preserve"> </w:t>
      </w:r>
      <w:r w:rsidRPr="00FE433F">
        <w:rPr>
          <w:rFonts w:hint="eastAsia"/>
          <w:i/>
          <w:sz w:val="23"/>
          <w:szCs w:val="23"/>
          <w:rtl/>
        </w:rPr>
        <w:t>به</w:t>
      </w:r>
      <w:r w:rsidRPr="00FE433F">
        <w:rPr>
          <w:rFonts w:hint="cs"/>
          <w:i/>
          <w:sz w:val="23"/>
          <w:szCs w:val="23"/>
          <w:rtl/>
        </w:rPr>
        <w:t>ی</w:t>
      </w:r>
      <w:r w:rsidRPr="00FE433F">
        <w:rPr>
          <w:rFonts w:hint="eastAsia"/>
          <w:i/>
          <w:sz w:val="23"/>
          <w:szCs w:val="23"/>
          <w:rtl/>
        </w:rPr>
        <w:t>نه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فر</w:t>
      </w:r>
      <w:r w:rsidRPr="00FE433F">
        <w:rPr>
          <w:rFonts w:hint="cs"/>
          <w:i/>
          <w:sz w:val="23"/>
          <w:szCs w:val="23"/>
          <w:rtl/>
        </w:rPr>
        <w:t>ی</w:t>
      </w:r>
      <w:r w:rsidRPr="00FE433F">
        <w:rPr>
          <w:rFonts w:hint="eastAsia"/>
          <w:i/>
          <w:sz w:val="23"/>
          <w:szCs w:val="23"/>
          <w:rtl/>
        </w:rPr>
        <w:t>دمن</w:t>
      </w:r>
      <w:r w:rsidRPr="00FE433F">
        <w:rPr>
          <w:i/>
          <w:sz w:val="23"/>
          <w:szCs w:val="23"/>
          <w:rtl/>
        </w:rPr>
        <w:t xml:space="preserve"> </w:t>
      </w:r>
      <w:r w:rsidRPr="00FE433F">
        <w:rPr>
          <w:rFonts w:hint="eastAsia"/>
          <w:i/>
          <w:sz w:val="23"/>
          <w:szCs w:val="23"/>
          <w:rtl/>
        </w:rPr>
        <w:t>بخاطر</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softHyphen/>
      </w:r>
      <w:r w:rsidRPr="00FE433F">
        <w:rPr>
          <w:rFonts w:hint="eastAsia"/>
          <w:i/>
          <w:sz w:val="23"/>
          <w:szCs w:val="23"/>
          <w:rtl/>
        </w:rPr>
        <w:t>که</w:t>
      </w:r>
      <w:r w:rsidRPr="00FE433F">
        <w:rPr>
          <w:i/>
          <w:sz w:val="23"/>
          <w:szCs w:val="23"/>
          <w:rtl/>
        </w:rPr>
        <w:t xml:space="preserve"> </w:t>
      </w:r>
      <w:r w:rsidRPr="00FE433F">
        <w:rPr>
          <w:rFonts w:hint="eastAsia"/>
          <w:i/>
          <w:sz w:val="23"/>
          <w:szCs w:val="23"/>
          <w:rtl/>
        </w:rPr>
        <w:t>نرخ</w:t>
      </w:r>
      <w:r w:rsidRPr="00FE433F">
        <w:rPr>
          <w:i/>
          <w:sz w:val="23"/>
          <w:szCs w:val="23"/>
          <w:rtl/>
        </w:rPr>
        <w:t xml:space="preserve"> </w:t>
      </w:r>
      <w:r w:rsidRPr="00FE433F">
        <w:rPr>
          <w:rFonts w:hint="eastAsia"/>
          <w:i/>
          <w:sz w:val="23"/>
          <w:szCs w:val="23"/>
          <w:rtl/>
        </w:rPr>
        <w:t>بهره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اسم</w:t>
      </w:r>
      <w:r w:rsidRPr="00FE433F">
        <w:rPr>
          <w:rFonts w:hint="cs"/>
          <w:i/>
          <w:sz w:val="23"/>
          <w:szCs w:val="23"/>
          <w:rtl/>
        </w:rPr>
        <w:t>ی</w:t>
      </w:r>
      <w:r w:rsidRPr="00FE433F">
        <w:rPr>
          <w:i/>
          <w:sz w:val="23"/>
          <w:szCs w:val="23"/>
          <w:rtl/>
        </w:rPr>
        <w:t xml:space="preserve"> </w:t>
      </w:r>
      <w:r w:rsidRPr="00FE433F">
        <w:rPr>
          <w:rFonts w:hint="eastAsia"/>
          <w:i/>
          <w:sz w:val="23"/>
          <w:szCs w:val="23"/>
          <w:rtl/>
        </w:rPr>
        <w:t>برابر</w:t>
      </w:r>
      <w:r w:rsidRPr="00FE433F">
        <w:rPr>
          <w:i/>
          <w:sz w:val="23"/>
          <w:szCs w:val="23"/>
          <w:rtl/>
        </w:rPr>
        <w:t xml:space="preserve"> </w:t>
      </w:r>
      <w:r w:rsidRPr="00FE433F">
        <w:rPr>
          <w:rFonts w:hint="eastAsia"/>
          <w:i/>
          <w:sz w:val="23"/>
          <w:szCs w:val="23"/>
          <w:rtl/>
        </w:rPr>
        <w:t>صفر</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با</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منف</w:t>
      </w:r>
      <w:r w:rsidRPr="00FE433F">
        <w:rPr>
          <w:rFonts w:hint="cs"/>
          <w:i/>
          <w:sz w:val="23"/>
          <w:szCs w:val="23"/>
          <w:rtl/>
        </w:rPr>
        <w:t>ی</w:t>
      </w:r>
      <w:r w:rsidRPr="00FE433F">
        <w:rPr>
          <w:i/>
          <w:sz w:val="23"/>
          <w:szCs w:val="23"/>
          <w:rtl/>
        </w:rPr>
        <w:t xml:space="preserve"> </w:t>
      </w:r>
      <w:r w:rsidRPr="00FE433F">
        <w:rPr>
          <w:rFonts w:hint="eastAsia"/>
          <w:i/>
          <w:sz w:val="23"/>
          <w:szCs w:val="23"/>
          <w:rtl/>
        </w:rPr>
        <w:t>باشد</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صورت</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مت</w:t>
      </w:r>
      <w:r w:rsidRPr="00FE433F">
        <w:rPr>
          <w:rFonts w:hint="eastAsia"/>
          <w:i/>
          <w:sz w:val="23"/>
          <w:szCs w:val="23"/>
        </w:rPr>
        <w:t>‌</w:t>
      </w:r>
      <w:r w:rsidRPr="00FE433F">
        <w:rPr>
          <w:rFonts w:hint="eastAsia"/>
          <w:i/>
          <w:sz w:val="23"/>
          <w:szCs w:val="23"/>
          <w:rtl/>
        </w:rPr>
        <w:t>ها</w:t>
      </w:r>
      <w:r w:rsidRPr="00FE433F">
        <w:rPr>
          <w:i/>
          <w:sz w:val="23"/>
          <w:szCs w:val="23"/>
          <w:rtl/>
        </w:rPr>
        <w:t xml:space="preserve"> </w:t>
      </w:r>
      <w:r w:rsidRPr="00FE433F">
        <w:rPr>
          <w:rFonts w:hint="eastAsia"/>
          <w:i/>
          <w:sz w:val="23"/>
          <w:szCs w:val="23"/>
          <w:rtl/>
        </w:rPr>
        <w:t>بطور</w:t>
      </w:r>
      <w:r w:rsidRPr="00FE433F">
        <w:rPr>
          <w:i/>
          <w:sz w:val="23"/>
          <w:szCs w:val="23"/>
          <w:rtl/>
        </w:rPr>
        <w:t xml:space="preserve"> </w:t>
      </w:r>
      <w:r w:rsidRPr="00FE433F">
        <w:rPr>
          <w:rFonts w:hint="eastAsia"/>
          <w:i/>
          <w:sz w:val="23"/>
          <w:szCs w:val="23"/>
          <w:rtl/>
        </w:rPr>
        <w:t>پ</w:t>
      </w:r>
      <w:r w:rsidRPr="00FE433F">
        <w:rPr>
          <w:rFonts w:hint="cs"/>
          <w:i/>
          <w:sz w:val="23"/>
          <w:szCs w:val="23"/>
          <w:rtl/>
        </w:rPr>
        <w:t>ی</w:t>
      </w:r>
      <w:r w:rsidRPr="00FE433F">
        <w:rPr>
          <w:rFonts w:hint="eastAsia"/>
          <w:i/>
          <w:sz w:val="23"/>
          <w:szCs w:val="23"/>
          <w:rtl/>
        </w:rPr>
        <w:t>وسته</w:t>
      </w:r>
      <w:r w:rsidRPr="00FE433F">
        <w:rPr>
          <w:i/>
          <w:sz w:val="23"/>
          <w:szCs w:val="23"/>
          <w:rtl/>
        </w:rPr>
        <w:t xml:space="preserve"> </w:t>
      </w:r>
      <w:r w:rsidRPr="00FE433F">
        <w:rPr>
          <w:rFonts w:hint="eastAsia"/>
          <w:i/>
          <w:sz w:val="23"/>
          <w:szCs w:val="23"/>
          <w:rtl/>
        </w:rPr>
        <w:t>کاهش</w:t>
      </w:r>
      <w:r w:rsidRPr="00FE433F">
        <w:rPr>
          <w:i/>
          <w:sz w:val="23"/>
          <w:szCs w:val="23"/>
          <w:rtl/>
        </w:rPr>
        <w:t xml:space="preserve"> </w:t>
      </w:r>
      <w:r w:rsidRPr="00FE433F">
        <w:rPr>
          <w:rFonts w:hint="cs"/>
          <w:i/>
          <w:sz w:val="23"/>
          <w:szCs w:val="23"/>
          <w:rtl/>
        </w:rPr>
        <w:t>ی</w:t>
      </w:r>
      <w:r w:rsidRPr="00FE433F">
        <w:rPr>
          <w:rFonts w:hint="eastAsia"/>
          <w:i/>
          <w:sz w:val="23"/>
          <w:szCs w:val="23"/>
          <w:rtl/>
        </w:rPr>
        <w:t>افته</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نت</w:t>
      </w:r>
      <w:r w:rsidRPr="00FE433F">
        <w:rPr>
          <w:rFonts w:hint="cs"/>
          <w:i/>
          <w:sz w:val="23"/>
          <w:szCs w:val="23"/>
          <w:rtl/>
        </w:rPr>
        <w:t>ی</w:t>
      </w:r>
      <w:r w:rsidRPr="00FE433F">
        <w:rPr>
          <w:rFonts w:hint="eastAsia"/>
          <w:i/>
          <w:sz w:val="23"/>
          <w:szCs w:val="23"/>
          <w:rtl/>
        </w:rPr>
        <w:t>جه</w:t>
      </w:r>
      <w:r w:rsidRPr="00FE433F">
        <w:rPr>
          <w:i/>
          <w:sz w:val="23"/>
          <w:szCs w:val="23"/>
          <w:rtl/>
        </w:rPr>
        <w:t xml:space="preserve"> </w:t>
      </w:r>
      <w:r w:rsidRPr="00FE433F">
        <w:rPr>
          <w:rFonts w:hint="cs"/>
          <w:i/>
          <w:sz w:val="23"/>
          <w:szCs w:val="23"/>
          <w:rtl/>
        </w:rPr>
        <w:t>سبب</w:t>
      </w:r>
      <w:r w:rsidRPr="00FE433F">
        <w:rPr>
          <w:i/>
          <w:sz w:val="23"/>
          <w:szCs w:val="23"/>
          <w:rtl/>
        </w:rPr>
        <w:t xml:space="preserve"> </w:t>
      </w:r>
      <w:r w:rsidRPr="00FE433F">
        <w:rPr>
          <w:rFonts w:hint="eastAsia"/>
          <w:i/>
          <w:sz w:val="23"/>
          <w:szCs w:val="23"/>
          <w:rtl/>
        </w:rPr>
        <w:t>افت</w:t>
      </w:r>
      <w:r w:rsidRPr="00FE433F">
        <w:rPr>
          <w:i/>
          <w:sz w:val="23"/>
          <w:szCs w:val="23"/>
          <w:rtl/>
        </w:rPr>
        <w:t xml:space="preserve"> </w:t>
      </w:r>
      <w:r w:rsidRPr="00FE433F">
        <w:rPr>
          <w:rFonts w:hint="eastAsia"/>
          <w:i/>
          <w:sz w:val="23"/>
          <w:szCs w:val="23"/>
          <w:rtl/>
        </w:rPr>
        <w:t>تول</w:t>
      </w:r>
      <w:r w:rsidRPr="00FE433F">
        <w:rPr>
          <w:rFonts w:hint="cs"/>
          <w:i/>
          <w:sz w:val="23"/>
          <w:szCs w:val="23"/>
          <w:rtl/>
        </w:rPr>
        <w:t>ی</w:t>
      </w:r>
      <w:r w:rsidRPr="00FE433F">
        <w:rPr>
          <w:rFonts w:hint="eastAsia"/>
          <w:i/>
          <w:sz w:val="23"/>
          <w:szCs w:val="23"/>
          <w:rtl/>
        </w:rPr>
        <w:t>د</w:t>
      </w:r>
      <w:r w:rsidRPr="00FE433F">
        <w:rPr>
          <w:i/>
          <w:sz w:val="23"/>
          <w:szCs w:val="23"/>
          <w:rtl/>
        </w:rPr>
        <w:t xml:space="preserve"> </w:t>
      </w:r>
      <w:r w:rsidRPr="00FE433F">
        <w:rPr>
          <w:rFonts w:hint="eastAsia"/>
          <w:i/>
          <w:sz w:val="23"/>
          <w:szCs w:val="23"/>
          <w:rtl/>
        </w:rPr>
        <w:t>حق</w:t>
      </w:r>
      <w:r w:rsidRPr="00FE433F">
        <w:rPr>
          <w:rFonts w:hint="cs"/>
          <w:i/>
          <w:sz w:val="23"/>
          <w:szCs w:val="23"/>
          <w:rtl/>
        </w:rPr>
        <w:t>ی</w:t>
      </w:r>
      <w:r w:rsidRPr="00FE433F">
        <w:rPr>
          <w:rFonts w:hint="eastAsia"/>
          <w:i/>
          <w:sz w:val="23"/>
          <w:szCs w:val="23"/>
          <w:rtl/>
        </w:rPr>
        <w:t>ق</w:t>
      </w:r>
      <w:r w:rsidRPr="00FE433F">
        <w:rPr>
          <w:rFonts w:hint="cs"/>
          <w:i/>
          <w:sz w:val="23"/>
          <w:szCs w:val="23"/>
          <w:rtl/>
        </w:rPr>
        <w:t>ی</w:t>
      </w:r>
      <w:r w:rsidRPr="00FE433F">
        <w:rPr>
          <w:i/>
          <w:sz w:val="23"/>
          <w:szCs w:val="23"/>
          <w:rtl/>
        </w:rPr>
        <w:t xml:space="preserve"> </w:t>
      </w:r>
      <w:r w:rsidRPr="00FE433F">
        <w:rPr>
          <w:rFonts w:hint="eastAsia"/>
          <w:i/>
          <w:sz w:val="23"/>
          <w:szCs w:val="23"/>
          <w:rtl/>
        </w:rPr>
        <w:t>خواهد</w:t>
      </w:r>
      <w:r w:rsidRPr="00FE433F">
        <w:rPr>
          <w:i/>
          <w:sz w:val="23"/>
          <w:szCs w:val="23"/>
          <w:rtl/>
        </w:rPr>
        <w:t xml:space="preserve"> </w:t>
      </w:r>
      <w:r w:rsidRPr="00FE433F">
        <w:rPr>
          <w:rFonts w:hint="eastAsia"/>
          <w:i/>
          <w:sz w:val="23"/>
          <w:szCs w:val="23"/>
          <w:rtl/>
        </w:rPr>
        <w:t>شد</w:t>
      </w:r>
      <w:r w:rsidRPr="00FE433F">
        <w:rPr>
          <w:i/>
          <w:sz w:val="23"/>
          <w:szCs w:val="23"/>
          <w:rtl/>
        </w:rPr>
        <w:t xml:space="preserve">. </w:t>
      </w:r>
      <w:r w:rsidRPr="00FE433F">
        <w:rPr>
          <w:rFonts w:hint="eastAsia"/>
          <w:i/>
          <w:sz w:val="23"/>
          <w:szCs w:val="23"/>
          <w:rtl/>
        </w:rPr>
        <w:t>اگر</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مت</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دستمزد</w:t>
      </w:r>
      <w:r w:rsidRPr="00FE433F">
        <w:rPr>
          <w:i/>
          <w:sz w:val="23"/>
          <w:szCs w:val="23"/>
          <w:rtl/>
        </w:rPr>
        <w:t xml:space="preserve"> </w:t>
      </w:r>
      <w:r w:rsidRPr="00FE433F">
        <w:rPr>
          <w:rFonts w:hint="eastAsia"/>
          <w:i/>
          <w:sz w:val="23"/>
          <w:szCs w:val="23"/>
          <w:rtl/>
        </w:rPr>
        <w:t>انعطاف</w:t>
      </w:r>
      <w:r w:rsidRPr="00FE433F">
        <w:rPr>
          <w:i/>
          <w:sz w:val="23"/>
          <w:szCs w:val="23"/>
          <w:rtl/>
        </w:rPr>
        <w:softHyphen/>
      </w:r>
      <w:r w:rsidRPr="00FE433F">
        <w:rPr>
          <w:rFonts w:hint="eastAsia"/>
          <w:i/>
          <w:sz w:val="23"/>
          <w:szCs w:val="23"/>
          <w:rtl/>
        </w:rPr>
        <w:t>پذ</w:t>
      </w:r>
      <w:r w:rsidRPr="00FE433F">
        <w:rPr>
          <w:rFonts w:hint="cs"/>
          <w:i/>
          <w:sz w:val="23"/>
          <w:szCs w:val="23"/>
          <w:rtl/>
        </w:rPr>
        <w:t>ی</w:t>
      </w:r>
      <w:r w:rsidRPr="00FE433F">
        <w:rPr>
          <w:rFonts w:hint="eastAsia"/>
          <w:i/>
          <w:sz w:val="23"/>
          <w:szCs w:val="23"/>
          <w:rtl/>
        </w:rPr>
        <w:t>ر</w:t>
      </w:r>
      <w:r w:rsidRPr="00FE433F">
        <w:rPr>
          <w:i/>
          <w:sz w:val="23"/>
          <w:szCs w:val="23"/>
          <w:rtl/>
        </w:rPr>
        <w:t xml:space="preserve"> </w:t>
      </w:r>
      <w:r w:rsidRPr="00FE433F">
        <w:rPr>
          <w:rFonts w:hint="eastAsia"/>
          <w:i/>
          <w:sz w:val="23"/>
          <w:szCs w:val="23"/>
          <w:rtl/>
        </w:rPr>
        <w:t>نباشند،</w:t>
      </w:r>
      <w:r w:rsidRPr="00FE433F">
        <w:rPr>
          <w:i/>
          <w:sz w:val="23"/>
          <w:szCs w:val="23"/>
          <w:rtl/>
        </w:rPr>
        <w:t xml:space="preserve"> </w:t>
      </w:r>
      <w:r w:rsidRPr="00FE433F">
        <w:rPr>
          <w:rFonts w:hint="eastAsia"/>
          <w:i/>
          <w:sz w:val="23"/>
          <w:szCs w:val="23"/>
          <w:rtl/>
        </w:rPr>
        <w:t>آنگاه</w:t>
      </w:r>
      <w:r w:rsidRPr="00FE433F">
        <w:rPr>
          <w:i/>
          <w:sz w:val="23"/>
          <w:szCs w:val="23"/>
          <w:rtl/>
        </w:rPr>
        <w:t xml:space="preserve"> </w:t>
      </w:r>
      <w:r w:rsidRPr="00FE433F">
        <w:rPr>
          <w:rFonts w:hint="eastAsia"/>
          <w:i/>
          <w:sz w:val="23"/>
          <w:szCs w:val="23"/>
          <w:rtl/>
        </w:rPr>
        <w:t>نرخ</w:t>
      </w:r>
      <w:r w:rsidRPr="00FE433F">
        <w:rPr>
          <w:i/>
          <w:sz w:val="23"/>
          <w:szCs w:val="23"/>
          <w:rtl/>
        </w:rPr>
        <w:t xml:space="preserve"> </w:t>
      </w:r>
      <w:r w:rsidRPr="00FE433F">
        <w:rPr>
          <w:rFonts w:hint="eastAsia"/>
          <w:i/>
          <w:sz w:val="23"/>
          <w:szCs w:val="23"/>
          <w:rtl/>
        </w:rPr>
        <w:t>تورم</w:t>
      </w:r>
      <w:r w:rsidRPr="00FE433F">
        <w:rPr>
          <w:i/>
          <w:sz w:val="23"/>
          <w:szCs w:val="23"/>
          <w:rtl/>
        </w:rPr>
        <w:t xml:space="preserve"> </w:t>
      </w:r>
      <w:r w:rsidRPr="00FE433F">
        <w:rPr>
          <w:rFonts w:hint="cs"/>
          <w:i/>
          <w:sz w:val="23"/>
          <w:szCs w:val="23"/>
          <w:rtl/>
        </w:rPr>
        <w:t xml:space="preserve">بهینه </w:t>
      </w:r>
      <w:r w:rsidRPr="00FE433F">
        <w:rPr>
          <w:rFonts w:hint="eastAsia"/>
          <w:i/>
          <w:sz w:val="23"/>
          <w:szCs w:val="23"/>
          <w:rtl/>
        </w:rPr>
        <w:t>مثبت</w:t>
      </w:r>
      <w:r w:rsidRPr="00FE433F">
        <w:rPr>
          <w:i/>
          <w:sz w:val="23"/>
          <w:szCs w:val="23"/>
          <w:rtl/>
        </w:rPr>
        <w:t xml:space="preserve"> </w:t>
      </w:r>
      <w:r w:rsidRPr="00FE433F">
        <w:rPr>
          <w:rFonts w:hint="eastAsia"/>
          <w:i/>
          <w:sz w:val="23"/>
          <w:szCs w:val="23"/>
          <w:rtl/>
        </w:rPr>
        <w:t>خواهد</w:t>
      </w:r>
      <w:r w:rsidRPr="00FE433F">
        <w:rPr>
          <w:i/>
          <w:sz w:val="23"/>
          <w:szCs w:val="23"/>
          <w:rtl/>
        </w:rPr>
        <w:t xml:space="preserve"> </w:t>
      </w:r>
      <w:r w:rsidRPr="00FE433F">
        <w:rPr>
          <w:rFonts w:hint="eastAsia"/>
          <w:i/>
          <w:sz w:val="23"/>
          <w:szCs w:val="23"/>
          <w:rtl/>
        </w:rPr>
        <w:t>بود</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cs"/>
          <w:i/>
          <w:sz w:val="23"/>
          <w:szCs w:val="23"/>
          <w:rtl/>
        </w:rPr>
        <w:t>نکته ا</w:t>
      </w:r>
      <w:r w:rsidRPr="00FE433F">
        <w:rPr>
          <w:rFonts w:hint="eastAsia"/>
          <w:i/>
          <w:sz w:val="23"/>
          <w:szCs w:val="23"/>
          <w:rtl/>
        </w:rPr>
        <w:t>حتمالاً</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نکه</w:t>
      </w:r>
      <w:r w:rsidRPr="00FE433F">
        <w:rPr>
          <w:i/>
          <w:sz w:val="23"/>
          <w:szCs w:val="23"/>
          <w:rtl/>
        </w:rPr>
        <w:t xml:space="preserve"> </w:t>
      </w:r>
      <w:r w:rsidRPr="00FE433F">
        <w:rPr>
          <w:rFonts w:hint="eastAsia"/>
          <w:i/>
          <w:sz w:val="23"/>
          <w:szCs w:val="23"/>
          <w:rtl/>
        </w:rPr>
        <w:t>چرا</w:t>
      </w:r>
      <w:r w:rsidRPr="00FE433F">
        <w:rPr>
          <w:i/>
          <w:sz w:val="23"/>
          <w:szCs w:val="23"/>
          <w:rtl/>
        </w:rPr>
        <w:t xml:space="preserve"> </w:t>
      </w:r>
      <w:r w:rsidRPr="00FE433F">
        <w:rPr>
          <w:rFonts w:hint="eastAsia"/>
          <w:i/>
          <w:sz w:val="23"/>
          <w:szCs w:val="23"/>
          <w:rtl/>
        </w:rPr>
        <w:t>نرخ</w:t>
      </w:r>
      <w:r w:rsidRPr="00FE433F">
        <w:rPr>
          <w:i/>
          <w:sz w:val="23"/>
          <w:szCs w:val="23"/>
          <w:rtl/>
        </w:rPr>
        <w:t xml:space="preserve"> </w:t>
      </w:r>
      <w:r w:rsidRPr="00FE433F">
        <w:rPr>
          <w:rFonts w:hint="eastAsia"/>
          <w:i/>
          <w:sz w:val="23"/>
          <w:szCs w:val="23"/>
          <w:rtl/>
        </w:rPr>
        <w:t>تورم</w:t>
      </w:r>
      <w:r w:rsidRPr="00FE433F">
        <w:rPr>
          <w:i/>
          <w:sz w:val="23"/>
          <w:szCs w:val="23"/>
          <w:rtl/>
        </w:rPr>
        <w:t xml:space="preserve"> </w:t>
      </w:r>
      <w:r w:rsidRPr="00FE433F">
        <w:rPr>
          <w:rFonts w:hint="eastAsia"/>
          <w:i/>
          <w:sz w:val="23"/>
          <w:szCs w:val="23"/>
          <w:rtl/>
        </w:rPr>
        <w:t>هدف</w:t>
      </w:r>
      <w:r w:rsidRPr="00FE433F">
        <w:rPr>
          <w:i/>
          <w:sz w:val="23"/>
          <w:szCs w:val="23"/>
          <w:rtl/>
        </w:rPr>
        <w:softHyphen/>
      </w:r>
      <w:r w:rsidRPr="00FE433F">
        <w:rPr>
          <w:rFonts w:hint="eastAsia"/>
          <w:i/>
          <w:sz w:val="23"/>
          <w:szCs w:val="23"/>
          <w:rtl/>
        </w:rPr>
        <w:t>گذار</w:t>
      </w:r>
      <w:r w:rsidRPr="00FE433F">
        <w:rPr>
          <w:rFonts w:hint="cs"/>
          <w:i/>
          <w:sz w:val="23"/>
          <w:szCs w:val="23"/>
          <w:rtl/>
        </w:rPr>
        <w:t>ی</w:t>
      </w:r>
      <w:r w:rsidRPr="00FE433F">
        <w:rPr>
          <w:i/>
          <w:sz w:val="23"/>
          <w:szCs w:val="23"/>
          <w:rtl/>
        </w:rPr>
        <w:t xml:space="preserve"> </w:t>
      </w:r>
      <w:r w:rsidRPr="00FE433F">
        <w:rPr>
          <w:rFonts w:hint="eastAsia"/>
          <w:i/>
          <w:sz w:val="23"/>
          <w:szCs w:val="23"/>
          <w:rtl/>
        </w:rPr>
        <w:t>شده</w:t>
      </w:r>
      <w:r w:rsidRPr="00FE433F">
        <w:rPr>
          <w:i/>
          <w:sz w:val="23"/>
          <w:szCs w:val="23"/>
          <w:rtl/>
        </w:rPr>
        <w:t xml:space="preserve"> </w:t>
      </w:r>
      <w:r w:rsidRPr="00FE433F">
        <w:rPr>
          <w:rFonts w:hint="eastAsia"/>
          <w:i/>
          <w:sz w:val="23"/>
          <w:szCs w:val="23"/>
          <w:rtl/>
        </w:rPr>
        <w:t>تقر</w:t>
      </w:r>
      <w:r w:rsidRPr="00FE433F">
        <w:rPr>
          <w:rFonts w:hint="cs"/>
          <w:i/>
          <w:sz w:val="23"/>
          <w:szCs w:val="23"/>
          <w:rtl/>
        </w:rPr>
        <w:t>ی</w:t>
      </w:r>
      <w:r w:rsidRPr="00FE433F">
        <w:rPr>
          <w:rFonts w:hint="eastAsia"/>
          <w:i/>
          <w:sz w:val="23"/>
          <w:szCs w:val="23"/>
          <w:rtl/>
        </w:rPr>
        <w:t>باً</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تمام</w:t>
      </w:r>
      <w:r w:rsidRPr="00FE433F">
        <w:rPr>
          <w:rFonts w:hint="cs"/>
          <w:i/>
          <w:sz w:val="23"/>
          <w:szCs w:val="23"/>
          <w:rtl/>
        </w:rPr>
        <w:t>ی</w:t>
      </w:r>
      <w:r w:rsidRPr="00FE433F">
        <w:rPr>
          <w:i/>
          <w:sz w:val="23"/>
          <w:szCs w:val="23"/>
          <w:rtl/>
        </w:rPr>
        <w:t xml:space="preserve"> </w:t>
      </w:r>
      <w:r w:rsidRPr="00FE433F">
        <w:rPr>
          <w:rFonts w:hint="eastAsia"/>
          <w:i/>
          <w:sz w:val="23"/>
          <w:szCs w:val="23"/>
          <w:rtl/>
        </w:rPr>
        <w:t>کشورها</w:t>
      </w:r>
      <w:r w:rsidRPr="00FE433F">
        <w:rPr>
          <w:i/>
          <w:sz w:val="23"/>
          <w:szCs w:val="23"/>
          <w:rtl/>
        </w:rPr>
        <w:t xml:space="preserve"> </w:t>
      </w:r>
      <w:r w:rsidRPr="00FE433F">
        <w:rPr>
          <w:rFonts w:hint="eastAsia"/>
          <w:i/>
          <w:sz w:val="23"/>
          <w:szCs w:val="23"/>
          <w:rtl/>
        </w:rPr>
        <w:t>مثبت</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توض</w:t>
      </w:r>
      <w:r w:rsidRPr="00FE433F">
        <w:rPr>
          <w:rFonts w:hint="cs"/>
          <w:i/>
          <w:sz w:val="23"/>
          <w:szCs w:val="23"/>
          <w:rtl/>
        </w:rPr>
        <w:t>ی</w:t>
      </w:r>
      <w:r w:rsidRPr="00FE433F">
        <w:rPr>
          <w:rFonts w:hint="eastAsia"/>
          <w:i/>
          <w:sz w:val="23"/>
          <w:szCs w:val="23"/>
          <w:rtl/>
        </w:rPr>
        <w:t>ح</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دهد</w:t>
      </w:r>
      <w:r w:rsidRPr="00FE433F">
        <w:rPr>
          <w:i/>
          <w:sz w:val="23"/>
          <w:szCs w:val="23"/>
          <w:rtl/>
        </w:rPr>
        <w:t>.</w:t>
      </w:r>
    </w:p>
    <w:p w14:paraId="410B6C93" w14:textId="77777777" w:rsidR="00411620" w:rsidRPr="00FE433F" w:rsidRDefault="00411620" w:rsidP="00411620">
      <w:pPr>
        <w:spacing w:line="216" w:lineRule="auto"/>
        <w:rPr>
          <w:rFonts w:eastAsiaTheme="minorEastAsia"/>
          <w:i/>
          <w:sz w:val="23"/>
          <w:szCs w:val="23"/>
          <w:rtl/>
        </w:rPr>
      </w:pPr>
      <w:r w:rsidRPr="00FE433F">
        <w:rPr>
          <w:rFonts w:hint="eastAsia"/>
          <w:i/>
          <w:sz w:val="23"/>
          <w:szCs w:val="23"/>
          <w:rtl/>
        </w:rPr>
        <w:t>س</w:t>
      </w:r>
      <w:r w:rsidRPr="00FE433F">
        <w:rPr>
          <w:rFonts w:hint="cs"/>
          <w:i/>
          <w:sz w:val="23"/>
          <w:szCs w:val="23"/>
          <w:rtl/>
        </w:rPr>
        <w:t>ی</w:t>
      </w:r>
      <w:r w:rsidRPr="00FE433F">
        <w:rPr>
          <w:rFonts w:hint="eastAsia"/>
          <w:i/>
          <w:sz w:val="23"/>
          <w:szCs w:val="23"/>
          <w:rtl/>
        </w:rPr>
        <w:t>است</w:t>
      </w:r>
      <w:r w:rsidRPr="00FE433F">
        <w:rPr>
          <w:i/>
          <w:sz w:val="23"/>
          <w:szCs w:val="23"/>
          <w:rtl/>
        </w:rPr>
        <w:t xml:space="preserve"> </w:t>
      </w:r>
      <w:r w:rsidRPr="00FE433F">
        <w:rPr>
          <w:rFonts w:hint="eastAsia"/>
          <w:i/>
          <w:sz w:val="23"/>
          <w:szCs w:val="23"/>
          <w:rtl/>
        </w:rPr>
        <w:t>پول</w:t>
      </w:r>
      <w:r w:rsidRPr="00FE433F">
        <w:rPr>
          <w:rFonts w:hint="cs"/>
          <w:i/>
          <w:sz w:val="23"/>
          <w:szCs w:val="23"/>
          <w:rtl/>
        </w:rPr>
        <w:t>ی</w:t>
      </w:r>
      <w:r w:rsidRPr="00FE433F">
        <w:rPr>
          <w:i/>
          <w:sz w:val="23"/>
          <w:szCs w:val="23"/>
          <w:rtl/>
        </w:rPr>
        <w:t xml:space="preserve"> </w:t>
      </w:r>
      <w:r w:rsidRPr="00FE433F">
        <w:rPr>
          <w:rFonts w:hint="eastAsia"/>
          <w:i/>
          <w:sz w:val="23"/>
          <w:szCs w:val="23"/>
          <w:rtl/>
        </w:rPr>
        <w:t>بطور</w:t>
      </w:r>
      <w:r w:rsidRPr="00FE433F">
        <w:rPr>
          <w:i/>
          <w:sz w:val="23"/>
          <w:szCs w:val="23"/>
          <w:rtl/>
        </w:rPr>
        <w:t xml:space="preserve"> </w:t>
      </w:r>
      <w:r w:rsidRPr="00FE433F">
        <w:rPr>
          <w:rFonts w:hint="eastAsia"/>
          <w:i/>
          <w:sz w:val="23"/>
          <w:szCs w:val="23"/>
          <w:rtl/>
        </w:rPr>
        <w:t>فزا</w:t>
      </w:r>
      <w:r w:rsidRPr="00FE433F">
        <w:rPr>
          <w:rFonts w:hint="cs"/>
          <w:i/>
          <w:sz w:val="23"/>
          <w:szCs w:val="23"/>
          <w:rtl/>
        </w:rPr>
        <w:t>ی</w:t>
      </w:r>
      <w:r w:rsidRPr="00FE433F">
        <w:rPr>
          <w:rFonts w:hint="eastAsia"/>
          <w:i/>
          <w:sz w:val="23"/>
          <w:szCs w:val="23"/>
          <w:rtl/>
        </w:rPr>
        <w:t>نده</w:t>
      </w:r>
      <w:r w:rsidRPr="00FE433F">
        <w:rPr>
          <w:i/>
          <w:sz w:val="23"/>
          <w:szCs w:val="23"/>
          <w:rtl/>
        </w:rPr>
        <w:softHyphen/>
      </w:r>
      <w:r w:rsidRPr="00FE433F">
        <w:rPr>
          <w:rFonts w:hint="eastAsia"/>
          <w:i/>
          <w:sz w:val="23"/>
          <w:szCs w:val="23"/>
          <w:rtl/>
        </w:rPr>
        <w:t>ا</w:t>
      </w:r>
      <w:r w:rsidRPr="00FE433F">
        <w:rPr>
          <w:rFonts w:hint="cs"/>
          <w:i/>
          <w:sz w:val="23"/>
          <w:szCs w:val="23"/>
          <w:rtl/>
        </w:rPr>
        <w:t>ی</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طر</w:t>
      </w:r>
      <w:r w:rsidRPr="00FE433F">
        <w:rPr>
          <w:rFonts w:hint="cs"/>
          <w:i/>
          <w:sz w:val="23"/>
          <w:szCs w:val="23"/>
          <w:rtl/>
        </w:rPr>
        <w:t>ی</w:t>
      </w:r>
      <w:r w:rsidRPr="00FE433F">
        <w:rPr>
          <w:rFonts w:hint="eastAsia"/>
          <w:i/>
          <w:sz w:val="23"/>
          <w:szCs w:val="23"/>
          <w:rtl/>
        </w:rPr>
        <w:t>ق</w:t>
      </w:r>
      <w:r w:rsidRPr="00FE433F">
        <w:rPr>
          <w:i/>
          <w:sz w:val="23"/>
          <w:szCs w:val="23"/>
          <w:rtl/>
        </w:rPr>
        <w:t xml:space="preserve"> </w:t>
      </w:r>
      <w:r w:rsidRPr="00FE433F">
        <w:rPr>
          <w:rFonts w:hint="eastAsia"/>
          <w:i/>
          <w:sz w:val="23"/>
          <w:szCs w:val="23"/>
          <w:rtl/>
        </w:rPr>
        <w:t>کار</w:t>
      </w:r>
      <w:r w:rsidRPr="00FE433F">
        <w:rPr>
          <w:rFonts w:hint="cs"/>
          <w:i/>
          <w:sz w:val="23"/>
          <w:szCs w:val="23"/>
          <w:rtl/>
        </w:rPr>
        <w:t>کردهای</w:t>
      </w:r>
      <w:r w:rsidRPr="00FE433F">
        <w:rPr>
          <w:i/>
          <w:sz w:val="23"/>
          <w:szCs w:val="23"/>
          <w:rtl/>
        </w:rPr>
        <w:t xml:space="preserve"> </w:t>
      </w:r>
      <w:r w:rsidRPr="00FE433F">
        <w:rPr>
          <w:rFonts w:hint="eastAsia"/>
          <w:i/>
          <w:sz w:val="23"/>
          <w:szCs w:val="23"/>
          <w:rtl/>
        </w:rPr>
        <w:t>نرخ</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بهره</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هدف</w:t>
      </w:r>
      <w:r w:rsidRPr="00FE433F">
        <w:rPr>
          <w:i/>
          <w:sz w:val="23"/>
          <w:szCs w:val="23"/>
          <w:rtl/>
        </w:rPr>
        <w:softHyphen/>
      </w:r>
      <w:r w:rsidRPr="00FE433F">
        <w:rPr>
          <w:rFonts w:hint="eastAsia"/>
          <w:i/>
          <w:sz w:val="23"/>
          <w:szCs w:val="23"/>
          <w:rtl/>
        </w:rPr>
        <w:t>گذار</w:t>
      </w:r>
      <w:r w:rsidRPr="00FE433F">
        <w:rPr>
          <w:rFonts w:hint="cs"/>
          <w:i/>
          <w:sz w:val="23"/>
          <w:szCs w:val="23"/>
          <w:rtl/>
        </w:rPr>
        <w:t>ی</w:t>
      </w:r>
      <w:r w:rsidRPr="00FE433F">
        <w:rPr>
          <w:i/>
          <w:sz w:val="23"/>
          <w:szCs w:val="23"/>
          <w:rtl/>
        </w:rPr>
        <w:t xml:space="preserve"> </w:t>
      </w:r>
      <w:r w:rsidRPr="00FE433F">
        <w:rPr>
          <w:rFonts w:hint="eastAsia"/>
          <w:i/>
          <w:sz w:val="23"/>
          <w:szCs w:val="23"/>
          <w:rtl/>
        </w:rPr>
        <w:t>تورم</w:t>
      </w:r>
      <w:r w:rsidRPr="00FE433F">
        <w:rPr>
          <w:i/>
          <w:sz w:val="23"/>
          <w:szCs w:val="23"/>
          <w:rtl/>
        </w:rPr>
        <w:t xml:space="preserve"> </w:t>
      </w:r>
      <w:r w:rsidRPr="00FE433F">
        <w:rPr>
          <w:rFonts w:hint="eastAsia"/>
          <w:i/>
          <w:sz w:val="23"/>
          <w:szCs w:val="23"/>
          <w:rtl/>
        </w:rPr>
        <w:t>بجا</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i/>
          <w:sz w:val="23"/>
          <w:szCs w:val="23"/>
          <w:rtl/>
        </w:rPr>
        <w:t xml:space="preserve"> </w:t>
      </w:r>
      <w:r w:rsidRPr="00FE433F">
        <w:rPr>
          <w:rFonts w:hint="eastAsia"/>
          <w:i/>
          <w:sz w:val="23"/>
          <w:szCs w:val="23"/>
          <w:rtl/>
        </w:rPr>
        <w:t>تجم</w:t>
      </w:r>
      <w:r w:rsidRPr="00FE433F">
        <w:rPr>
          <w:rFonts w:hint="cs"/>
          <w:i/>
          <w:sz w:val="23"/>
          <w:szCs w:val="23"/>
          <w:rtl/>
        </w:rPr>
        <w:t>ی</w:t>
      </w:r>
      <w:r w:rsidRPr="00FE433F">
        <w:rPr>
          <w:rFonts w:hint="eastAsia"/>
          <w:i/>
          <w:sz w:val="23"/>
          <w:szCs w:val="23"/>
          <w:rtl/>
        </w:rPr>
        <w:t>ع</w:t>
      </w:r>
      <w:r w:rsidRPr="00FE433F">
        <w:rPr>
          <w:i/>
          <w:sz w:val="23"/>
          <w:szCs w:val="23"/>
          <w:rtl/>
        </w:rPr>
        <w:t xml:space="preserve"> </w:t>
      </w:r>
      <w:r w:rsidRPr="00FE433F">
        <w:rPr>
          <w:rFonts w:hint="eastAsia"/>
          <w:i/>
          <w:sz w:val="23"/>
          <w:szCs w:val="23"/>
          <w:rtl/>
        </w:rPr>
        <w:t>شده</w:t>
      </w:r>
      <w:r w:rsidRPr="00FE433F">
        <w:rPr>
          <w:i/>
          <w:sz w:val="23"/>
          <w:szCs w:val="23"/>
          <w:rtl/>
        </w:rPr>
        <w:t xml:space="preserve"> </w:t>
      </w:r>
      <w:r w:rsidRPr="00FE433F">
        <w:rPr>
          <w:rFonts w:hint="eastAsia"/>
          <w:i/>
          <w:sz w:val="23"/>
          <w:szCs w:val="23"/>
          <w:rtl/>
        </w:rPr>
        <w:t>هدا</w:t>
      </w:r>
      <w:r w:rsidRPr="00FE433F">
        <w:rPr>
          <w:rFonts w:hint="cs"/>
          <w:i/>
          <w:sz w:val="23"/>
          <w:szCs w:val="23"/>
          <w:rtl/>
        </w:rPr>
        <w:t>ی</w:t>
      </w:r>
      <w:r w:rsidRPr="00FE433F">
        <w:rPr>
          <w:rFonts w:hint="eastAsia"/>
          <w:i/>
          <w:sz w:val="23"/>
          <w:szCs w:val="23"/>
          <w:rtl/>
        </w:rPr>
        <w:t>ت</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شود</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نکته</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خاطر</w:t>
      </w:r>
      <w:r w:rsidRPr="00FE433F">
        <w:rPr>
          <w:i/>
          <w:sz w:val="23"/>
          <w:szCs w:val="23"/>
          <w:rtl/>
        </w:rPr>
        <w:t xml:space="preserve"> </w:t>
      </w:r>
      <w:r w:rsidRPr="00FE433F">
        <w:rPr>
          <w:rFonts w:hint="eastAsia"/>
          <w:i/>
          <w:sz w:val="23"/>
          <w:szCs w:val="23"/>
          <w:rtl/>
        </w:rPr>
        <w:t>ب</w:t>
      </w:r>
      <w:r w:rsidRPr="00FE433F">
        <w:rPr>
          <w:rFonts w:hint="cs"/>
          <w:i/>
          <w:sz w:val="23"/>
          <w:szCs w:val="23"/>
          <w:rtl/>
        </w:rPr>
        <w:t>ی</w:t>
      </w:r>
      <w:r w:rsidRPr="00FE433F">
        <w:rPr>
          <w:i/>
          <w:sz w:val="23"/>
          <w:szCs w:val="23"/>
          <w:rtl/>
        </w:rPr>
        <w:softHyphen/>
      </w:r>
      <w:r w:rsidRPr="00FE433F">
        <w:rPr>
          <w:rFonts w:hint="eastAsia"/>
          <w:i/>
          <w:sz w:val="23"/>
          <w:szCs w:val="23"/>
          <w:rtl/>
        </w:rPr>
        <w:t>ثبات</w:t>
      </w:r>
      <w:r w:rsidRPr="00FE433F">
        <w:rPr>
          <w:rFonts w:hint="cs"/>
          <w:i/>
          <w:sz w:val="23"/>
          <w:szCs w:val="23"/>
          <w:rtl/>
        </w:rPr>
        <w:t>ی</w:t>
      </w:r>
      <w:r w:rsidRPr="00FE433F">
        <w:rPr>
          <w:i/>
          <w:sz w:val="23"/>
          <w:szCs w:val="23"/>
          <w:rtl/>
        </w:rPr>
        <w:t xml:space="preserve"> </w:t>
      </w:r>
      <w:r w:rsidRPr="00FE433F">
        <w:rPr>
          <w:rFonts w:hint="eastAsia"/>
          <w:i/>
          <w:sz w:val="23"/>
          <w:szCs w:val="23"/>
          <w:rtl/>
        </w:rPr>
        <w:t>مشاهده</w:t>
      </w:r>
      <w:r w:rsidRPr="00FE433F">
        <w:rPr>
          <w:i/>
          <w:sz w:val="23"/>
          <w:szCs w:val="23"/>
          <w:rtl/>
        </w:rPr>
        <w:t xml:space="preserve"> </w:t>
      </w:r>
      <w:r w:rsidRPr="00FE433F">
        <w:rPr>
          <w:rFonts w:hint="eastAsia"/>
          <w:i/>
          <w:sz w:val="23"/>
          <w:szCs w:val="23"/>
          <w:rtl/>
        </w:rPr>
        <w:t>شده</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توابع</w:t>
      </w:r>
      <w:r w:rsidRPr="00FE433F">
        <w:rPr>
          <w:i/>
          <w:sz w:val="23"/>
          <w:szCs w:val="23"/>
          <w:rtl/>
        </w:rPr>
        <w:t xml:space="preserve"> </w:t>
      </w:r>
      <w:r w:rsidRPr="00FE433F">
        <w:rPr>
          <w:rFonts w:hint="eastAsia"/>
          <w:i/>
          <w:sz w:val="23"/>
          <w:szCs w:val="23"/>
          <w:rtl/>
        </w:rPr>
        <w:t>تقاضا</w:t>
      </w:r>
      <w:r w:rsidRPr="00FE433F">
        <w:rPr>
          <w:rFonts w:hint="cs"/>
          <w:i/>
          <w:sz w:val="23"/>
          <w:szCs w:val="23"/>
          <w:rtl/>
        </w:rPr>
        <w:t>ی</w:t>
      </w:r>
      <w:r w:rsidRPr="00FE433F">
        <w:rPr>
          <w:i/>
          <w:sz w:val="23"/>
          <w:szCs w:val="23"/>
          <w:rtl/>
        </w:rPr>
        <w:t xml:space="preserve"> </w:t>
      </w:r>
      <w:r w:rsidRPr="00FE433F">
        <w:rPr>
          <w:rFonts w:hint="eastAsia"/>
          <w:i/>
          <w:sz w:val="23"/>
          <w:szCs w:val="23"/>
          <w:rtl/>
        </w:rPr>
        <w:t>بس</w:t>
      </w:r>
      <w:r w:rsidRPr="00FE433F">
        <w:rPr>
          <w:rFonts w:hint="cs"/>
          <w:i/>
          <w:sz w:val="23"/>
          <w:szCs w:val="23"/>
          <w:rtl/>
        </w:rPr>
        <w:t>ی</w:t>
      </w:r>
      <w:r w:rsidRPr="00FE433F">
        <w:rPr>
          <w:rFonts w:hint="eastAsia"/>
          <w:i/>
          <w:sz w:val="23"/>
          <w:szCs w:val="23"/>
          <w:rtl/>
        </w:rPr>
        <w:t>ار</w:t>
      </w:r>
      <w:r w:rsidRPr="00FE433F">
        <w:rPr>
          <w:rFonts w:hint="cs"/>
          <w:i/>
          <w:sz w:val="23"/>
          <w:szCs w:val="23"/>
          <w:rtl/>
        </w:rPr>
        <w:t>ی</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پول</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تجم</w:t>
      </w:r>
      <w:r w:rsidRPr="00FE433F">
        <w:rPr>
          <w:rFonts w:hint="cs"/>
          <w:i/>
          <w:sz w:val="23"/>
          <w:szCs w:val="23"/>
          <w:rtl/>
        </w:rPr>
        <w:t>ی</w:t>
      </w:r>
      <w:r w:rsidRPr="00FE433F">
        <w:rPr>
          <w:rFonts w:hint="eastAsia"/>
          <w:i/>
          <w:sz w:val="23"/>
          <w:szCs w:val="23"/>
          <w:rtl/>
        </w:rPr>
        <w:t>ع</w:t>
      </w:r>
      <w:r w:rsidRPr="00FE433F">
        <w:rPr>
          <w:i/>
          <w:sz w:val="23"/>
          <w:szCs w:val="23"/>
          <w:rtl/>
        </w:rPr>
        <w:t xml:space="preserve"> </w:t>
      </w:r>
      <w:r w:rsidRPr="00FE433F">
        <w:rPr>
          <w:rFonts w:hint="eastAsia"/>
          <w:i/>
          <w:sz w:val="23"/>
          <w:szCs w:val="23"/>
          <w:rtl/>
        </w:rPr>
        <w:t>شده</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cs"/>
          <w:i/>
          <w:sz w:val="23"/>
          <w:szCs w:val="23"/>
          <w:rtl/>
        </w:rPr>
        <w:t xml:space="preserve">به </w:t>
      </w:r>
      <w:r w:rsidRPr="00FE433F">
        <w:rPr>
          <w:rFonts w:hint="eastAsia"/>
          <w:i/>
          <w:sz w:val="23"/>
          <w:szCs w:val="23"/>
          <w:rtl/>
        </w:rPr>
        <w:t>علت</w:t>
      </w:r>
      <w:r w:rsidRPr="00FE433F">
        <w:rPr>
          <w:i/>
          <w:sz w:val="23"/>
          <w:szCs w:val="23"/>
          <w:rtl/>
        </w:rPr>
        <w:t xml:space="preserve"> </w:t>
      </w:r>
      <w:r w:rsidRPr="00FE433F">
        <w:rPr>
          <w:rFonts w:hint="eastAsia"/>
          <w:i/>
          <w:sz w:val="23"/>
          <w:szCs w:val="23"/>
          <w:rtl/>
        </w:rPr>
        <w:t>افزا</w:t>
      </w:r>
      <w:r w:rsidRPr="00FE433F">
        <w:rPr>
          <w:rFonts w:hint="cs"/>
          <w:i/>
          <w:sz w:val="23"/>
          <w:szCs w:val="23"/>
          <w:rtl/>
        </w:rPr>
        <w:t>ی</w:t>
      </w:r>
      <w:r w:rsidRPr="00FE433F">
        <w:rPr>
          <w:rFonts w:hint="eastAsia"/>
          <w:i/>
          <w:sz w:val="23"/>
          <w:szCs w:val="23"/>
          <w:rtl/>
        </w:rPr>
        <w:t>ش</w:t>
      </w:r>
      <w:r w:rsidRPr="00FE433F">
        <w:rPr>
          <w:i/>
          <w:sz w:val="23"/>
          <w:szCs w:val="23"/>
          <w:rtl/>
        </w:rPr>
        <w:t xml:space="preserve"> </w:t>
      </w:r>
      <w:r w:rsidRPr="00FE433F">
        <w:rPr>
          <w:rFonts w:hint="eastAsia"/>
          <w:i/>
          <w:sz w:val="23"/>
          <w:szCs w:val="23"/>
          <w:rtl/>
        </w:rPr>
        <w:t>استفاده</w:t>
      </w:r>
      <w:r w:rsidRPr="00FE433F">
        <w:rPr>
          <w:i/>
          <w:sz w:val="23"/>
          <w:szCs w:val="23"/>
          <w:rtl/>
        </w:rPr>
        <w:t xml:space="preserve"> </w:t>
      </w:r>
      <w:r w:rsidRPr="00FE433F">
        <w:rPr>
          <w:rFonts w:hint="eastAsia"/>
          <w:i/>
          <w:sz w:val="23"/>
          <w:szCs w:val="23"/>
          <w:rtl/>
        </w:rPr>
        <w:t>از</w:t>
      </w:r>
      <w:r w:rsidRPr="00FE433F">
        <w:rPr>
          <w:i/>
          <w:sz w:val="23"/>
          <w:szCs w:val="23"/>
          <w:rtl/>
        </w:rPr>
        <w:t xml:space="preserve"> </w:t>
      </w:r>
      <w:r w:rsidRPr="00FE433F">
        <w:rPr>
          <w:rFonts w:hint="eastAsia"/>
          <w:i/>
          <w:sz w:val="23"/>
          <w:szCs w:val="23"/>
          <w:rtl/>
        </w:rPr>
        <w:t>اعتبار</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نگهدار</w:t>
      </w:r>
      <w:r w:rsidRPr="00FE433F">
        <w:rPr>
          <w:rFonts w:hint="cs"/>
          <w:i/>
          <w:sz w:val="23"/>
          <w:szCs w:val="23"/>
          <w:rtl/>
        </w:rPr>
        <w:t>ی</w:t>
      </w:r>
      <w:r w:rsidRPr="00FE433F">
        <w:rPr>
          <w:i/>
          <w:sz w:val="23"/>
          <w:szCs w:val="23"/>
          <w:rtl/>
        </w:rPr>
        <w:t xml:space="preserve"> </w:t>
      </w:r>
      <w:r w:rsidRPr="00FE433F">
        <w:rPr>
          <w:rFonts w:hint="eastAsia"/>
          <w:i/>
          <w:sz w:val="23"/>
          <w:szCs w:val="23"/>
          <w:rtl/>
        </w:rPr>
        <w:t>پس</w:t>
      </w:r>
      <w:r w:rsidRPr="00FE433F">
        <w:rPr>
          <w:i/>
          <w:sz w:val="23"/>
          <w:szCs w:val="23"/>
          <w:rtl/>
        </w:rPr>
        <w:t xml:space="preserve"> </w:t>
      </w:r>
      <w:r w:rsidRPr="00FE433F">
        <w:rPr>
          <w:rFonts w:hint="eastAsia"/>
          <w:i/>
          <w:sz w:val="23"/>
          <w:szCs w:val="23"/>
          <w:rtl/>
        </w:rPr>
        <w:t>انداز</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شکل</w:t>
      </w:r>
      <w:r w:rsidRPr="00FE433F">
        <w:rPr>
          <w:i/>
          <w:sz w:val="23"/>
          <w:szCs w:val="23"/>
          <w:rtl/>
        </w:rPr>
        <w:t xml:space="preserve"> </w:t>
      </w:r>
      <w:r w:rsidRPr="00FE433F">
        <w:rPr>
          <w:rFonts w:hint="eastAsia"/>
          <w:i/>
          <w:sz w:val="23"/>
          <w:szCs w:val="23"/>
          <w:rtl/>
        </w:rPr>
        <w:t>مانده</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lastRenderedPageBreak/>
        <w:t>پول</w:t>
      </w:r>
      <w:r w:rsidRPr="00FE433F">
        <w:rPr>
          <w:rFonts w:hint="cs"/>
          <w:i/>
          <w:sz w:val="23"/>
          <w:szCs w:val="23"/>
          <w:rtl/>
        </w:rPr>
        <w:t>ی</w:t>
      </w:r>
      <w:r w:rsidRPr="00FE433F">
        <w:rPr>
          <w:rStyle w:val="FootnoteReference"/>
          <w:rFonts w:eastAsiaTheme="majorEastAsia"/>
          <w:i/>
          <w:sz w:val="23"/>
          <w:szCs w:val="23"/>
          <w:rtl/>
        </w:rPr>
        <w:footnoteReference w:id="211"/>
      </w:r>
      <w:r w:rsidRPr="00FE433F">
        <w:rPr>
          <w:rFonts w:hint="eastAsia"/>
          <w:i/>
          <w:sz w:val="23"/>
          <w:szCs w:val="23"/>
          <w:rtl/>
        </w:rPr>
        <w:t>،</w:t>
      </w:r>
      <w:r w:rsidRPr="00FE433F">
        <w:rPr>
          <w:i/>
          <w:sz w:val="23"/>
          <w:szCs w:val="23"/>
          <w:rtl/>
        </w:rPr>
        <w:t xml:space="preserve"> </w:t>
      </w:r>
      <w:r w:rsidRPr="00FE433F">
        <w:rPr>
          <w:rFonts w:hint="eastAsia"/>
          <w:i/>
          <w:sz w:val="23"/>
          <w:szCs w:val="23"/>
          <w:rtl/>
        </w:rPr>
        <w:t>به</w:t>
      </w:r>
      <w:r w:rsidRPr="00FE433F">
        <w:rPr>
          <w:i/>
          <w:sz w:val="23"/>
          <w:szCs w:val="23"/>
          <w:rtl/>
        </w:rPr>
        <w:t xml:space="preserve"> </w:t>
      </w:r>
      <w:r w:rsidRPr="00FE433F">
        <w:rPr>
          <w:rFonts w:hint="eastAsia"/>
          <w:i/>
          <w:sz w:val="23"/>
          <w:szCs w:val="23"/>
          <w:rtl/>
        </w:rPr>
        <w:t>انضمام</w:t>
      </w:r>
      <w:r w:rsidRPr="00FE433F">
        <w:rPr>
          <w:i/>
          <w:sz w:val="23"/>
          <w:szCs w:val="23"/>
          <w:rtl/>
        </w:rPr>
        <w:t xml:space="preserve"> </w:t>
      </w:r>
      <w:r w:rsidRPr="00FE433F">
        <w:rPr>
          <w:rFonts w:hint="eastAsia"/>
          <w:i/>
          <w:sz w:val="23"/>
          <w:szCs w:val="23"/>
          <w:rtl/>
        </w:rPr>
        <w:t>سهولت</w:t>
      </w:r>
      <w:r w:rsidRPr="00FE433F">
        <w:rPr>
          <w:i/>
          <w:sz w:val="23"/>
          <w:szCs w:val="23"/>
          <w:rtl/>
        </w:rPr>
        <w:t xml:space="preserve"> </w:t>
      </w:r>
      <w:r w:rsidRPr="00FE433F">
        <w:rPr>
          <w:rFonts w:hint="eastAsia"/>
          <w:i/>
          <w:sz w:val="23"/>
          <w:szCs w:val="23"/>
          <w:rtl/>
        </w:rPr>
        <w:t>استقراض</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مقابل</w:t>
      </w:r>
      <w:r w:rsidRPr="00FE433F">
        <w:rPr>
          <w:i/>
          <w:sz w:val="23"/>
          <w:szCs w:val="23"/>
          <w:rtl/>
        </w:rPr>
        <w:t xml:space="preserve"> </w:t>
      </w:r>
      <w:r w:rsidRPr="00FE433F">
        <w:rPr>
          <w:rFonts w:hint="eastAsia"/>
          <w:i/>
          <w:sz w:val="23"/>
          <w:szCs w:val="23"/>
          <w:rtl/>
        </w:rPr>
        <w:t>دارا</w:t>
      </w:r>
      <w:r w:rsidRPr="00FE433F">
        <w:rPr>
          <w:rFonts w:hint="cs"/>
          <w:i/>
          <w:sz w:val="23"/>
          <w:szCs w:val="23"/>
          <w:rtl/>
        </w:rPr>
        <w:t>یی</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cs"/>
          <w:i/>
          <w:sz w:val="23"/>
          <w:szCs w:val="23"/>
          <w:rtl/>
        </w:rPr>
        <w:t xml:space="preserve">امن یا </w:t>
      </w:r>
      <w:r w:rsidRPr="00FE433F">
        <w:rPr>
          <w:rFonts w:hint="eastAsia"/>
          <w:i/>
          <w:sz w:val="23"/>
          <w:szCs w:val="23"/>
          <w:rtl/>
        </w:rPr>
        <w:t>وث</w:t>
      </w:r>
      <w:r w:rsidRPr="00FE433F">
        <w:rPr>
          <w:rFonts w:hint="cs"/>
          <w:i/>
          <w:sz w:val="23"/>
          <w:szCs w:val="23"/>
          <w:rtl/>
        </w:rPr>
        <w:t>ی</w:t>
      </w:r>
      <w:r w:rsidRPr="00FE433F">
        <w:rPr>
          <w:rFonts w:hint="eastAsia"/>
          <w:i/>
          <w:sz w:val="23"/>
          <w:szCs w:val="23"/>
          <w:rtl/>
        </w:rPr>
        <w:t>قه</w:t>
      </w:r>
      <w:r w:rsidRPr="00FE433F">
        <w:rPr>
          <w:i/>
          <w:sz w:val="23"/>
          <w:szCs w:val="23"/>
          <w:rtl/>
        </w:rPr>
        <w:softHyphen/>
      </w:r>
      <w:r w:rsidRPr="00FE433F">
        <w:rPr>
          <w:rFonts w:hint="eastAsia"/>
          <w:i/>
          <w:sz w:val="23"/>
          <w:szCs w:val="23"/>
          <w:rtl/>
        </w:rPr>
        <w:t>دار</w:t>
      </w:r>
      <w:r w:rsidRPr="00FE433F">
        <w:rPr>
          <w:rStyle w:val="FootnoteReference"/>
          <w:rFonts w:eastAsiaTheme="majorEastAsia"/>
          <w:i/>
          <w:sz w:val="23"/>
          <w:szCs w:val="23"/>
          <w:rtl/>
        </w:rPr>
        <w:footnoteReference w:id="212"/>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باشد</w:t>
      </w:r>
      <w:r w:rsidRPr="00FE433F">
        <w:rPr>
          <w:i/>
          <w:sz w:val="23"/>
          <w:szCs w:val="23"/>
          <w:rtl/>
        </w:rPr>
        <w:t>.</w:t>
      </w:r>
      <w:r w:rsidRPr="00FE433F">
        <w:rPr>
          <w:i/>
          <w:sz w:val="23"/>
          <w:szCs w:val="23"/>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ن</w:t>
      </w:r>
      <w:r w:rsidRPr="00FE433F">
        <w:rPr>
          <w:i/>
          <w:sz w:val="23"/>
          <w:szCs w:val="23"/>
          <w:rtl/>
        </w:rPr>
        <w:t xml:space="preserve"> </w:t>
      </w:r>
      <w:r w:rsidRPr="00FE433F">
        <w:rPr>
          <w:rFonts w:hint="eastAsia"/>
          <w:i/>
          <w:sz w:val="23"/>
          <w:szCs w:val="23"/>
          <w:rtl/>
        </w:rPr>
        <w:t>مسئله</w:t>
      </w:r>
      <w:r w:rsidRPr="00FE433F">
        <w:rPr>
          <w:i/>
          <w:sz w:val="23"/>
          <w:szCs w:val="23"/>
          <w:rtl/>
        </w:rPr>
        <w:t xml:space="preserve"> </w:t>
      </w:r>
      <w:r w:rsidRPr="00FE433F">
        <w:rPr>
          <w:rFonts w:hint="eastAsia"/>
          <w:i/>
          <w:sz w:val="23"/>
          <w:szCs w:val="23"/>
          <w:rtl/>
        </w:rPr>
        <w:t>مشکل</w:t>
      </w:r>
      <w:r w:rsidRPr="00FE433F">
        <w:rPr>
          <w:i/>
          <w:sz w:val="23"/>
          <w:szCs w:val="23"/>
          <w:rtl/>
        </w:rPr>
        <w:t xml:space="preserve"> </w:t>
      </w:r>
      <w:r w:rsidRPr="00FE433F">
        <w:rPr>
          <w:rFonts w:hint="eastAsia"/>
          <w:i/>
          <w:sz w:val="23"/>
          <w:szCs w:val="23"/>
          <w:rtl/>
        </w:rPr>
        <w:t>جد</w:t>
      </w:r>
      <w:r w:rsidRPr="00FE433F">
        <w:rPr>
          <w:rFonts w:hint="cs"/>
          <w:i/>
          <w:sz w:val="23"/>
          <w:szCs w:val="23"/>
          <w:rtl/>
        </w:rPr>
        <w:t>ی</w:t>
      </w:r>
      <w:r w:rsidRPr="00FE433F">
        <w:rPr>
          <w:rFonts w:hint="eastAsia"/>
          <w:i/>
          <w:sz w:val="23"/>
          <w:szCs w:val="23"/>
          <w:rtl/>
        </w:rPr>
        <w:t>د</w:t>
      </w:r>
      <w:r w:rsidRPr="00FE433F">
        <w:rPr>
          <w:rFonts w:hint="cs"/>
          <w:i/>
          <w:sz w:val="23"/>
          <w:szCs w:val="23"/>
          <w:rtl/>
        </w:rPr>
        <w:t>ی</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برا</w:t>
      </w:r>
      <w:r w:rsidRPr="00FE433F">
        <w:rPr>
          <w:rFonts w:hint="cs"/>
          <w:i/>
          <w:sz w:val="23"/>
          <w:szCs w:val="23"/>
          <w:rtl/>
        </w:rPr>
        <w:t>ی</w:t>
      </w:r>
      <w:r w:rsidRPr="00FE433F">
        <w:rPr>
          <w:i/>
          <w:sz w:val="23"/>
          <w:szCs w:val="23"/>
          <w:rtl/>
        </w:rPr>
        <w:t xml:space="preserve"> </w:t>
      </w:r>
      <w:r w:rsidRPr="00FE433F">
        <w:rPr>
          <w:rFonts w:hint="eastAsia"/>
          <w:i/>
          <w:sz w:val="23"/>
          <w:szCs w:val="23"/>
          <w:rtl/>
        </w:rPr>
        <w:t>مقامات</w:t>
      </w:r>
      <w:r w:rsidRPr="00FE433F">
        <w:rPr>
          <w:i/>
          <w:sz w:val="23"/>
          <w:szCs w:val="23"/>
          <w:rtl/>
        </w:rPr>
        <w:t xml:space="preserve"> </w:t>
      </w:r>
      <w:r w:rsidRPr="00FE433F">
        <w:rPr>
          <w:rFonts w:hint="eastAsia"/>
          <w:i/>
          <w:sz w:val="23"/>
          <w:szCs w:val="23"/>
          <w:rtl/>
        </w:rPr>
        <w:t>پول</w:t>
      </w:r>
      <w:r w:rsidRPr="00FE433F">
        <w:rPr>
          <w:rFonts w:hint="cs"/>
          <w:i/>
          <w:sz w:val="23"/>
          <w:szCs w:val="23"/>
          <w:rtl/>
        </w:rPr>
        <w:t>ی</w:t>
      </w:r>
      <w:r w:rsidRPr="00FE433F">
        <w:rPr>
          <w:rFonts w:hint="eastAsia"/>
          <w:i/>
          <w:sz w:val="23"/>
          <w:szCs w:val="23"/>
          <w:rtl/>
        </w:rPr>
        <w:t>،</w:t>
      </w:r>
      <w:r w:rsidRPr="00FE433F">
        <w:rPr>
          <w:i/>
          <w:sz w:val="23"/>
          <w:szCs w:val="23"/>
          <w:rtl/>
        </w:rPr>
        <w:t xml:space="preserve"> </w:t>
      </w:r>
      <w:r w:rsidRPr="00FE433F">
        <w:rPr>
          <w:rFonts w:hint="eastAsia"/>
          <w:i/>
          <w:sz w:val="23"/>
          <w:szCs w:val="23"/>
          <w:rtl/>
        </w:rPr>
        <w:t>مثلاً،</w:t>
      </w:r>
      <w:r w:rsidRPr="00FE433F">
        <w:rPr>
          <w:i/>
          <w:sz w:val="23"/>
          <w:szCs w:val="23"/>
          <w:rtl/>
        </w:rPr>
        <w:t xml:space="preserve"> </w:t>
      </w:r>
      <w:r w:rsidRPr="00FE433F">
        <w:rPr>
          <w:rFonts w:hint="eastAsia"/>
          <w:i/>
          <w:sz w:val="23"/>
          <w:szCs w:val="23"/>
          <w:rtl/>
        </w:rPr>
        <w:t>درک</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فهم</w:t>
      </w:r>
      <w:r w:rsidRPr="00FE433F">
        <w:rPr>
          <w:i/>
          <w:sz w:val="23"/>
          <w:szCs w:val="23"/>
          <w:rtl/>
        </w:rPr>
        <w:t xml:space="preserve"> </w:t>
      </w:r>
      <w:r w:rsidRPr="00FE433F">
        <w:rPr>
          <w:rFonts w:hint="eastAsia"/>
          <w:i/>
          <w:sz w:val="23"/>
          <w:szCs w:val="23"/>
          <w:rtl/>
        </w:rPr>
        <w:t>مکان</w:t>
      </w:r>
      <w:r w:rsidRPr="00FE433F">
        <w:rPr>
          <w:rFonts w:hint="cs"/>
          <w:i/>
          <w:sz w:val="23"/>
          <w:szCs w:val="23"/>
          <w:rtl/>
        </w:rPr>
        <w:t>ی</w:t>
      </w:r>
      <w:r w:rsidRPr="00FE433F">
        <w:rPr>
          <w:rFonts w:hint="eastAsia"/>
          <w:i/>
          <w:sz w:val="23"/>
          <w:szCs w:val="23"/>
          <w:rtl/>
        </w:rPr>
        <w:t>سم</w:t>
      </w:r>
      <w:r w:rsidRPr="00FE433F">
        <w:rPr>
          <w:i/>
          <w:sz w:val="23"/>
          <w:szCs w:val="23"/>
          <w:rtl/>
        </w:rPr>
        <w:t xml:space="preserve"> </w:t>
      </w:r>
      <w:r w:rsidRPr="00FE433F">
        <w:rPr>
          <w:rFonts w:hint="eastAsia"/>
          <w:i/>
          <w:sz w:val="23"/>
          <w:szCs w:val="23"/>
          <w:rtl/>
        </w:rPr>
        <w:t>انتقال</w:t>
      </w:r>
      <w:r w:rsidRPr="00FE433F">
        <w:rPr>
          <w:i/>
          <w:sz w:val="23"/>
          <w:szCs w:val="23"/>
          <w:rtl/>
        </w:rPr>
        <w:t xml:space="preserve"> </w:t>
      </w:r>
      <w:r w:rsidRPr="00FE433F">
        <w:rPr>
          <w:rFonts w:hint="eastAsia"/>
          <w:i/>
          <w:sz w:val="23"/>
          <w:szCs w:val="23"/>
          <w:rtl/>
        </w:rPr>
        <w:t>که</w:t>
      </w:r>
      <w:r w:rsidRPr="00FE433F">
        <w:rPr>
          <w:i/>
          <w:sz w:val="23"/>
          <w:szCs w:val="23"/>
          <w:rtl/>
        </w:rPr>
        <w:t xml:space="preserve"> </w:t>
      </w:r>
      <w:r w:rsidRPr="00FE433F">
        <w:rPr>
          <w:rFonts w:hint="eastAsia"/>
          <w:i/>
          <w:sz w:val="23"/>
          <w:szCs w:val="23"/>
          <w:rtl/>
        </w:rPr>
        <w:t>بوس</w:t>
      </w:r>
      <w:r w:rsidRPr="00FE433F">
        <w:rPr>
          <w:rFonts w:hint="cs"/>
          <w:i/>
          <w:sz w:val="23"/>
          <w:szCs w:val="23"/>
          <w:rtl/>
        </w:rPr>
        <w:t>ی</w:t>
      </w:r>
      <w:r w:rsidRPr="00FE433F">
        <w:rPr>
          <w:rFonts w:hint="eastAsia"/>
          <w:i/>
          <w:sz w:val="23"/>
          <w:szCs w:val="23"/>
          <w:rtl/>
        </w:rPr>
        <w:t>له</w:t>
      </w:r>
      <w:r w:rsidRPr="00FE433F">
        <w:rPr>
          <w:rFonts w:hint="eastAsia"/>
          <w:i/>
          <w:sz w:val="23"/>
          <w:szCs w:val="23"/>
        </w:rPr>
        <w:t>‌</w:t>
      </w:r>
      <w:r w:rsidRPr="00FE433F">
        <w:rPr>
          <w:rFonts w:hint="cs"/>
          <w:i/>
          <w:sz w:val="23"/>
          <w:szCs w:val="23"/>
          <w:rtl/>
        </w:rPr>
        <w:t>ی</w:t>
      </w:r>
      <w:r w:rsidRPr="00FE433F">
        <w:rPr>
          <w:i/>
          <w:sz w:val="23"/>
          <w:szCs w:val="23"/>
          <w:rtl/>
        </w:rPr>
        <w:t xml:space="preserve"> </w:t>
      </w:r>
      <w:r w:rsidRPr="00FE433F">
        <w:rPr>
          <w:rFonts w:hint="eastAsia"/>
          <w:i/>
          <w:sz w:val="23"/>
          <w:szCs w:val="23"/>
          <w:rtl/>
        </w:rPr>
        <w:t>آن</w:t>
      </w:r>
      <w:r w:rsidRPr="00FE433F">
        <w:rPr>
          <w:i/>
          <w:sz w:val="23"/>
          <w:szCs w:val="23"/>
          <w:rtl/>
        </w:rPr>
        <w:t xml:space="preserve"> </w:t>
      </w:r>
      <w:r w:rsidRPr="00FE433F">
        <w:rPr>
          <w:rFonts w:hint="eastAsia"/>
          <w:i/>
          <w:sz w:val="23"/>
          <w:szCs w:val="23"/>
          <w:rtl/>
        </w:rPr>
        <w:t>نرخ</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بهره</w:t>
      </w:r>
      <w:r w:rsidRPr="00FE433F">
        <w:rPr>
          <w:i/>
          <w:sz w:val="23"/>
          <w:szCs w:val="23"/>
          <w:rtl/>
        </w:rPr>
        <w:t xml:space="preserve"> </w:t>
      </w:r>
      <w:r w:rsidRPr="00FE433F">
        <w:rPr>
          <w:rFonts w:hint="eastAsia"/>
          <w:i/>
          <w:sz w:val="23"/>
          <w:szCs w:val="23"/>
          <w:rtl/>
        </w:rPr>
        <w:t>مخارج</w:t>
      </w:r>
      <w:r w:rsidRPr="00FE433F">
        <w:rPr>
          <w:i/>
          <w:sz w:val="23"/>
          <w:szCs w:val="23"/>
          <w:rtl/>
        </w:rPr>
        <w:t xml:space="preserve"> </w:t>
      </w:r>
      <w:r w:rsidRPr="00FE433F">
        <w:rPr>
          <w:rFonts w:hint="eastAsia"/>
          <w:i/>
          <w:sz w:val="23"/>
          <w:szCs w:val="23"/>
          <w:rtl/>
        </w:rPr>
        <w:t>کالاها</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خدمات</w:t>
      </w:r>
      <w:r w:rsidRPr="00FE433F">
        <w:rPr>
          <w:i/>
          <w:sz w:val="23"/>
          <w:szCs w:val="23"/>
          <w:rtl/>
        </w:rPr>
        <w:t xml:space="preserve"> </w:t>
      </w:r>
      <w:r w:rsidRPr="00FE433F">
        <w:rPr>
          <w:rFonts w:hint="eastAsia"/>
          <w:i/>
          <w:sz w:val="23"/>
          <w:szCs w:val="23"/>
          <w:rtl/>
        </w:rPr>
        <w:t>را</w:t>
      </w:r>
      <w:r w:rsidRPr="00FE433F">
        <w:rPr>
          <w:i/>
          <w:sz w:val="23"/>
          <w:szCs w:val="23"/>
          <w:rtl/>
        </w:rPr>
        <w:t xml:space="preserve"> </w:t>
      </w:r>
      <w:r w:rsidRPr="00FE433F">
        <w:rPr>
          <w:rFonts w:hint="eastAsia"/>
          <w:i/>
          <w:sz w:val="23"/>
          <w:szCs w:val="23"/>
          <w:rtl/>
        </w:rPr>
        <w:t>تحت</w:t>
      </w:r>
      <w:r w:rsidRPr="00FE433F">
        <w:rPr>
          <w:i/>
          <w:sz w:val="23"/>
          <w:szCs w:val="23"/>
          <w:rtl/>
        </w:rPr>
        <w:t xml:space="preserve"> </w:t>
      </w:r>
      <w:r w:rsidRPr="00FE433F">
        <w:rPr>
          <w:rFonts w:hint="eastAsia"/>
          <w:i/>
          <w:sz w:val="23"/>
          <w:szCs w:val="23"/>
          <w:rtl/>
        </w:rPr>
        <w:t>تأث</w:t>
      </w:r>
      <w:r w:rsidRPr="00FE433F">
        <w:rPr>
          <w:rFonts w:hint="cs"/>
          <w:i/>
          <w:sz w:val="23"/>
          <w:szCs w:val="23"/>
          <w:rtl/>
        </w:rPr>
        <w:t>ی</w:t>
      </w:r>
      <w:r w:rsidRPr="00FE433F">
        <w:rPr>
          <w:rFonts w:hint="eastAsia"/>
          <w:i/>
          <w:sz w:val="23"/>
          <w:szCs w:val="23"/>
          <w:rtl/>
        </w:rPr>
        <w:t>ر</w:t>
      </w:r>
      <w:r w:rsidRPr="00FE433F">
        <w:rPr>
          <w:i/>
          <w:sz w:val="23"/>
          <w:szCs w:val="23"/>
          <w:rtl/>
        </w:rPr>
        <w:t xml:space="preserve"> </w:t>
      </w:r>
      <w:r w:rsidRPr="00FE433F">
        <w:rPr>
          <w:rFonts w:hint="eastAsia"/>
          <w:i/>
          <w:sz w:val="23"/>
          <w:szCs w:val="23"/>
          <w:rtl/>
        </w:rPr>
        <w:t>قرار</w:t>
      </w:r>
      <w:r w:rsidRPr="00FE433F">
        <w:rPr>
          <w:i/>
          <w:sz w:val="23"/>
          <w:szCs w:val="23"/>
          <w:rtl/>
        </w:rPr>
        <w:t xml:space="preserve"> </w:t>
      </w:r>
      <w:r w:rsidRPr="00FE433F">
        <w:rPr>
          <w:rFonts w:hint="eastAsia"/>
          <w:i/>
          <w:sz w:val="23"/>
          <w:szCs w:val="23"/>
          <w:rtl/>
        </w:rPr>
        <w:t>م</w:t>
      </w:r>
      <w:r w:rsidRPr="00FE433F">
        <w:rPr>
          <w:rFonts w:hint="cs"/>
          <w:i/>
          <w:sz w:val="23"/>
          <w:szCs w:val="23"/>
          <w:rtl/>
        </w:rPr>
        <w:t>ی</w:t>
      </w:r>
      <w:r w:rsidRPr="00FE433F">
        <w:rPr>
          <w:rFonts w:hint="eastAsia"/>
          <w:i/>
          <w:sz w:val="23"/>
          <w:szCs w:val="23"/>
        </w:rPr>
        <w:t>‌</w:t>
      </w:r>
      <w:r w:rsidRPr="00FE433F">
        <w:rPr>
          <w:rFonts w:hint="eastAsia"/>
          <w:i/>
          <w:sz w:val="23"/>
          <w:szCs w:val="23"/>
          <w:rtl/>
        </w:rPr>
        <w:t>دهد</w:t>
      </w:r>
      <w:r w:rsidRPr="00FE433F">
        <w:rPr>
          <w:i/>
          <w:sz w:val="23"/>
          <w:szCs w:val="23"/>
          <w:rtl/>
        </w:rPr>
        <w:t xml:space="preserve"> </w:t>
      </w:r>
      <w:r w:rsidRPr="00FE433F">
        <w:rPr>
          <w:rFonts w:hint="eastAsia"/>
          <w:i/>
          <w:sz w:val="23"/>
          <w:szCs w:val="23"/>
          <w:rtl/>
        </w:rPr>
        <w:t>ا</w:t>
      </w:r>
      <w:r w:rsidRPr="00FE433F">
        <w:rPr>
          <w:rFonts w:hint="cs"/>
          <w:i/>
          <w:sz w:val="23"/>
          <w:szCs w:val="23"/>
          <w:rtl/>
        </w:rPr>
        <w:t>ی</w:t>
      </w:r>
      <w:r w:rsidRPr="00FE433F">
        <w:rPr>
          <w:rFonts w:hint="eastAsia"/>
          <w:i/>
          <w:sz w:val="23"/>
          <w:szCs w:val="23"/>
          <w:rtl/>
        </w:rPr>
        <w:t>جاد</w:t>
      </w:r>
      <w:r w:rsidRPr="00FE433F">
        <w:rPr>
          <w:i/>
          <w:sz w:val="23"/>
          <w:szCs w:val="23"/>
          <w:rtl/>
        </w:rPr>
        <w:t xml:space="preserve"> </w:t>
      </w:r>
      <w:r w:rsidRPr="00FE433F">
        <w:rPr>
          <w:rFonts w:hint="eastAsia"/>
          <w:i/>
          <w:sz w:val="23"/>
          <w:szCs w:val="23"/>
          <w:rtl/>
        </w:rPr>
        <w:t>کرده</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cs"/>
          <w:i/>
          <w:sz w:val="23"/>
          <w:szCs w:val="23"/>
          <w:rtl/>
        </w:rPr>
        <w:t>ی</w:t>
      </w:r>
      <w:r w:rsidRPr="00FE433F">
        <w:rPr>
          <w:rFonts w:hint="eastAsia"/>
          <w:i/>
          <w:sz w:val="23"/>
          <w:szCs w:val="23"/>
          <w:rtl/>
        </w:rPr>
        <w:t>ک</w:t>
      </w:r>
      <w:r w:rsidRPr="00FE433F">
        <w:rPr>
          <w:i/>
          <w:sz w:val="23"/>
          <w:szCs w:val="23"/>
          <w:rtl/>
        </w:rPr>
        <w:t xml:space="preserve"> </w:t>
      </w:r>
      <w:r w:rsidRPr="00FE433F">
        <w:rPr>
          <w:rFonts w:hint="eastAsia"/>
          <w:i/>
          <w:sz w:val="23"/>
          <w:szCs w:val="23"/>
          <w:rtl/>
        </w:rPr>
        <w:t>مس</w:t>
      </w:r>
      <w:r w:rsidRPr="00FE433F">
        <w:rPr>
          <w:rFonts w:hint="cs"/>
          <w:i/>
          <w:sz w:val="23"/>
          <w:szCs w:val="23"/>
          <w:rtl/>
        </w:rPr>
        <w:t>ی</w:t>
      </w:r>
      <w:r w:rsidRPr="00FE433F">
        <w:rPr>
          <w:rFonts w:hint="eastAsia"/>
          <w:i/>
          <w:sz w:val="23"/>
          <w:szCs w:val="23"/>
          <w:rtl/>
        </w:rPr>
        <w:t>ر</w:t>
      </w:r>
      <w:r w:rsidRPr="00FE433F">
        <w:rPr>
          <w:rFonts w:hint="cs"/>
          <w:i/>
          <w:sz w:val="23"/>
          <w:szCs w:val="23"/>
          <w:rtl/>
        </w:rPr>
        <w:t>،</w:t>
      </w:r>
      <w:r w:rsidRPr="00FE433F">
        <w:rPr>
          <w:i/>
          <w:sz w:val="23"/>
          <w:szCs w:val="23"/>
          <w:rtl/>
        </w:rPr>
        <w:t xml:space="preserve"> </w:t>
      </w:r>
      <w:r w:rsidRPr="00FE433F">
        <w:rPr>
          <w:rFonts w:hint="eastAsia"/>
          <w:i/>
          <w:sz w:val="23"/>
          <w:szCs w:val="23"/>
          <w:rtl/>
        </w:rPr>
        <w:t>اثرات</w:t>
      </w:r>
      <w:r w:rsidRPr="00FE433F">
        <w:rPr>
          <w:i/>
          <w:sz w:val="23"/>
          <w:szCs w:val="23"/>
          <w:rtl/>
        </w:rPr>
        <w:t xml:space="preserve"> </w:t>
      </w:r>
      <w:r w:rsidRPr="00FE433F">
        <w:rPr>
          <w:rFonts w:hint="eastAsia"/>
          <w:i/>
          <w:sz w:val="23"/>
          <w:szCs w:val="23"/>
          <w:rtl/>
        </w:rPr>
        <w:t>ثروت</w:t>
      </w:r>
      <w:r w:rsidRPr="00FE433F">
        <w:rPr>
          <w:i/>
          <w:sz w:val="23"/>
          <w:szCs w:val="23"/>
          <w:rtl/>
        </w:rPr>
        <w:t xml:space="preserve"> </w:t>
      </w:r>
      <w:r w:rsidRPr="00FE433F">
        <w:rPr>
          <w:rFonts w:hint="cs"/>
          <w:i/>
          <w:sz w:val="23"/>
          <w:szCs w:val="23"/>
          <w:rtl/>
        </w:rPr>
        <w:t xml:space="preserve">است </w:t>
      </w:r>
      <w:r w:rsidRPr="00FE433F">
        <w:rPr>
          <w:rFonts w:hint="eastAsia"/>
          <w:i/>
          <w:sz w:val="23"/>
          <w:szCs w:val="23"/>
          <w:rtl/>
        </w:rPr>
        <w:t>که</w:t>
      </w:r>
      <w:r w:rsidRPr="00FE433F">
        <w:rPr>
          <w:i/>
          <w:sz w:val="23"/>
          <w:szCs w:val="23"/>
          <w:rtl/>
        </w:rPr>
        <w:t xml:space="preserve"> </w:t>
      </w:r>
      <w:r w:rsidRPr="00FE433F">
        <w:rPr>
          <w:rFonts w:hint="cs"/>
          <w:i/>
          <w:sz w:val="23"/>
          <w:szCs w:val="23"/>
          <w:rtl/>
        </w:rPr>
        <w:t xml:space="preserve">متأثر از </w:t>
      </w:r>
      <w:r w:rsidRPr="00FE433F">
        <w:rPr>
          <w:rFonts w:hint="eastAsia"/>
          <w:i/>
          <w:sz w:val="23"/>
          <w:szCs w:val="23"/>
          <w:rtl/>
        </w:rPr>
        <w:t>تغ</w:t>
      </w:r>
      <w:r w:rsidRPr="00FE433F">
        <w:rPr>
          <w:rFonts w:hint="cs"/>
          <w:i/>
          <w:sz w:val="23"/>
          <w:szCs w:val="23"/>
          <w:rtl/>
        </w:rPr>
        <w:t>یی</w:t>
      </w:r>
      <w:r w:rsidRPr="00FE433F">
        <w:rPr>
          <w:rFonts w:hint="eastAsia"/>
          <w:i/>
          <w:sz w:val="23"/>
          <w:szCs w:val="23"/>
          <w:rtl/>
        </w:rPr>
        <w:t>رات</w:t>
      </w:r>
      <w:r w:rsidRPr="00FE433F">
        <w:rPr>
          <w:i/>
          <w:sz w:val="23"/>
          <w:szCs w:val="23"/>
          <w:rtl/>
        </w:rPr>
        <w:t xml:space="preserve"> </w:t>
      </w:r>
      <w:r w:rsidRPr="00FE433F">
        <w:rPr>
          <w:rFonts w:hint="eastAsia"/>
          <w:i/>
          <w:sz w:val="23"/>
          <w:szCs w:val="23"/>
          <w:rtl/>
        </w:rPr>
        <w:t>نرخ</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بهره</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مس</w:t>
      </w:r>
      <w:r w:rsidRPr="00FE433F">
        <w:rPr>
          <w:rFonts w:hint="cs"/>
          <w:i/>
          <w:sz w:val="23"/>
          <w:szCs w:val="23"/>
          <w:rtl/>
        </w:rPr>
        <w:t>ی</w:t>
      </w:r>
      <w:r w:rsidRPr="00FE433F">
        <w:rPr>
          <w:rFonts w:hint="eastAsia"/>
          <w:i/>
          <w:sz w:val="23"/>
          <w:szCs w:val="23"/>
          <w:rtl/>
        </w:rPr>
        <w:t>ر</w:t>
      </w:r>
      <w:r w:rsidRPr="00FE433F">
        <w:rPr>
          <w:i/>
          <w:sz w:val="23"/>
          <w:szCs w:val="23"/>
          <w:rtl/>
        </w:rPr>
        <w:t xml:space="preserve"> </w:t>
      </w:r>
      <w:r w:rsidRPr="00FE433F">
        <w:rPr>
          <w:rFonts w:hint="eastAsia"/>
          <w:i/>
          <w:sz w:val="23"/>
          <w:szCs w:val="23"/>
          <w:rtl/>
        </w:rPr>
        <w:t>د</w:t>
      </w:r>
      <w:r w:rsidRPr="00FE433F">
        <w:rPr>
          <w:rFonts w:hint="cs"/>
          <w:i/>
          <w:sz w:val="23"/>
          <w:szCs w:val="23"/>
          <w:rtl/>
        </w:rPr>
        <w:t>ی</w:t>
      </w:r>
      <w:r w:rsidRPr="00FE433F">
        <w:rPr>
          <w:rFonts w:hint="eastAsia"/>
          <w:i/>
          <w:sz w:val="23"/>
          <w:szCs w:val="23"/>
          <w:rtl/>
        </w:rPr>
        <w:t>گر</w:t>
      </w:r>
      <w:r w:rsidRPr="00FE433F">
        <w:rPr>
          <w:i/>
          <w:sz w:val="23"/>
          <w:szCs w:val="23"/>
          <w:rtl/>
        </w:rPr>
        <w:t xml:space="preserve"> </w:t>
      </w:r>
      <w:r w:rsidRPr="00FE433F">
        <w:rPr>
          <w:rFonts w:hint="eastAsia"/>
          <w:i/>
          <w:sz w:val="23"/>
          <w:szCs w:val="23"/>
          <w:rtl/>
        </w:rPr>
        <w:t>اثرات</w:t>
      </w:r>
      <w:r w:rsidRPr="00FE433F">
        <w:rPr>
          <w:i/>
          <w:sz w:val="23"/>
          <w:szCs w:val="23"/>
          <w:rtl/>
        </w:rPr>
        <w:t xml:space="preserve"> </w:t>
      </w:r>
      <w:r w:rsidRPr="00FE433F">
        <w:rPr>
          <w:rFonts w:hint="eastAsia"/>
          <w:i/>
          <w:sz w:val="23"/>
          <w:szCs w:val="23"/>
          <w:rtl/>
        </w:rPr>
        <w:t>ق</w:t>
      </w:r>
      <w:r w:rsidRPr="00FE433F">
        <w:rPr>
          <w:rFonts w:hint="cs"/>
          <w:i/>
          <w:sz w:val="23"/>
          <w:szCs w:val="23"/>
          <w:rtl/>
        </w:rPr>
        <w:t>ی</w:t>
      </w:r>
      <w:r w:rsidRPr="00FE433F">
        <w:rPr>
          <w:rFonts w:hint="eastAsia"/>
          <w:i/>
          <w:sz w:val="23"/>
          <w:szCs w:val="23"/>
          <w:rtl/>
        </w:rPr>
        <w:t>مت</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نسب</w:t>
      </w:r>
      <w:r w:rsidRPr="00FE433F">
        <w:rPr>
          <w:rFonts w:hint="cs"/>
          <w:i/>
          <w:sz w:val="23"/>
          <w:szCs w:val="23"/>
          <w:rtl/>
        </w:rPr>
        <w:t>ی</w:t>
      </w:r>
      <w:r w:rsidRPr="00FE433F">
        <w:rPr>
          <w:i/>
          <w:sz w:val="23"/>
          <w:szCs w:val="23"/>
          <w:rtl/>
        </w:rPr>
        <w:t xml:space="preserve"> </w:t>
      </w:r>
      <w:r w:rsidRPr="00FE433F">
        <w:rPr>
          <w:rFonts w:hint="eastAsia"/>
          <w:i/>
          <w:sz w:val="23"/>
          <w:szCs w:val="23"/>
          <w:rtl/>
        </w:rPr>
        <w:t>بر</w:t>
      </w:r>
      <w:r w:rsidRPr="00FE433F">
        <w:rPr>
          <w:i/>
          <w:sz w:val="23"/>
          <w:szCs w:val="23"/>
          <w:rtl/>
        </w:rPr>
        <w:t xml:space="preserve"> </w:t>
      </w:r>
      <w:r w:rsidRPr="00FE433F">
        <w:rPr>
          <w:rFonts w:hint="eastAsia"/>
          <w:i/>
          <w:sz w:val="23"/>
          <w:szCs w:val="23"/>
          <w:rtl/>
        </w:rPr>
        <w:t>هز</w:t>
      </w:r>
      <w:r w:rsidRPr="00FE433F">
        <w:rPr>
          <w:rFonts w:hint="cs"/>
          <w:i/>
          <w:sz w:val="23"/>
          <w:szCs w:val="23"/>
          <w:rtl/>
        </w:rPr>
        <w:t>ی</w:t>
      </w:r>
      <w:r w:rsidRPr="00FE433F">
        <w:rPr>
          <w:rFonts w:hint="eastAsia"/>
          <w:i/>
          <w:sz w:val="23"/>
          <w:szCs w:val="23"/>
          <w:rtl/>
        </w:rPr>
        <w:t>نه</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استقراض</w:t>
      </w:r>
      <w:r w:rsidRPr="00FE433F">
        <w:rPr>
          <w:i/>
          <w:sz w:val="23"/>
          <w:szCs w:val="23"/>
          <w:rtl/>
        </w:rPr>
        <w:t xml:space="preserve"> </w:t>
      </w:r>
      <w:r w:rsidRPr="00FE433F">
        <w:rPr>
          <w:rFonts w:hint="eastAsia"/>
          <w:i/>
          <w:sz w:val="23"/>
          <w:szCs w:val="23"/>
          <w:rtl/>
        </w:rPr>
        <w:t>و</w:t>
      </w:r>
      <w:r w:rsidRPr="00FE433F">
        <w:rPr>
          <w:i/>
          <w:sz w:val="23"/>
          <w:szCs w:val="23"/>
          <w:rtl/>
        </w:rPr>
        <w:t xml:space="preserve"> </w:t>
      </w:r>
      <w:r w:rsidRPr="00FE433F">
        <w:rPr>
          <w:rFonts w:hint="eastAsia"/>
          <w:i/>
          <w:sz w:val="23"/>
          <w:szCs w:val="23"/>
          <w:rtl/>
        </w:rPr>
        <w:t>سرما</w:t>
      </w:r>
      <w:r w:rsidRPr="00FE433F">
        <w:rPr>
          <w:rFonts w:hint="cs"/>
          <w:i/>
          <w:sz w:val="23"/>
          <w:szCs w:val="23"/>
          <w:rtl/>
        </w:rPr>
        <w:t>ی</w:t>
      </w:r>
      <w:r w:rsidRPr="00FE433F">
        <w:rPr>
          <w:rFonts w:hint="eastAsia"/>
          <w:i/>
          <w:sz w:val="23"/>
          <w:szCs w:val="23"/>
          <w:rtl/>
        </w:rPr>
        <w:t>ه</w:t>
      </w:r>
      <w:r w:rsidRPr="00FE433F">
        <w:rPr>
          <w:i/>
          <w:sz w:val="23"/>
          <w:szCs w:val="23"/>
          <w:rtl/>
        </w:rPr>
        <w:t xml:space="preserve"> </w:t>
      </w:r>
      <w:r w:rsidRPr="00FE433F">
        <w:rPr>
          <w:rFonts w:hint="cs"/>
          <w:i/>
          <w:sz w:val="23"/>
          <w:szCs w:val="23"/>
          <w:rtl/>
        </w:rPr>
        <w:t xml:space="preserve">است </w:t>
      </w:r>
      <w:r w:rsidRPr="00FE433F">
        <w:rPr>
          <w:rFonts w:hint="eastAsia"/>
          <w:i/>
          <w:sz w:val="23"/>
          <w:szCs w:val="23"/>
          <w:rtl/>
        </w:rPr>
        <w:t>که</w:t>
      </w:r>
      <w:r w:rsidRPr="00FE433F">
        <w:rPr>
          <w:i/>
          <w:sz w:val="23"/>
          <w:szCs w:val="23"/>
          <w:rtl/>
        </w:rPr>
        <w:t xml:space="preserve"> </w:t>
      </w:r>
      <w:r w:rsidRPr="00FE433F">
        <w:rPr>
          <w:rFonts w:hint="eastAsia"/>
          <w:i/>
          <w:sz w:val="23"/>
          <w:szCs w:val="23"/>
          <w:rtl/>
        </w:rPr>
        <w:t>مستق</w:t>
      </w:r>
      <w:r w:rsidRPr="00FE433F">
        <w:rPr>
          <w:rFonts w:hint="cs"/>
          <w:i/>
          <w:sz w:val="23"/>
          <w:szCs w:val="23"/>
          <w:rtl/>
        </w:rPr>
        <w:t>ی</w:t>
      </w:r>
      <w:r w:rsidRPr="00FE433F">
        <w:rPr>
          <w:rFonts w:hint="eastAsia"/>
          <w:i/>
          <w:sz w:val="23"/>
          <w:szCs w:val="23"/>
          <w:rtl/>
        </w:rPr>
        <w:t>ماً</w:t>
      </w:r>
      <w:r w:rsidRPr="00FE433F">
        <w:rPr>
          <w:i/>
          <w:sz w:val="23"/>
          <w:szCs w:val="23"/>
          <w:rtl/>
        </w:rPr>
        <w:t xml:space="preserve"> </w:t>
      </w:r>
      <w:r w:rsidRPr="00FE433F">
        <w:rPr>
          <w:rFonts w:hint="eastAsia"/>
          <w:i/>
          <w:sz w:val="23"/>
          <w:szCs w:val="23"/>
          <w:rtl/>
        </w:rPr>
        <w:t>علت</w:t>
      </w:r>
      <w:r w:rsidRPr="00FE433F">
        <w:rPr>
          <w:i/>
          <w:sz w:val="23"/>
          <w:szCs w:val="23"/>
          <w:rtl/>
        </w:rPr>
        <w:t xml:space="preserve"> </w:t>
      </w:r>
      <w:r w:rsidRPr="00FE433F">
        <w:rPr>
          <w:rFonts w:hint="eastAsia"/>
          <w:i/>
          <w:sz w:val="23"/>
          <w:szCs w:val="23"/>
          <w:rtl/>
        </w:rPr>
        <w:t>تغ</w:t>
      </w:r>
      <w:r w:rsidRPr="00FE433F">
        <w:rPr>
          <w:rFonts w:hint="cs"/>
          <w:i/>
          <w:sz w:val="23"/>
          <w:szCs w:val="23"/>
          <w:rtl/>
        </w:rPr>
        <w:t>یی</w:t>
      </w:r>
      <w:r w:rsidRPr="00FE433F">
        <w:rPr>
          <w:rFonts w:hint="eastAsia"/>
          <w:i/>
          <w:sz w:val="23"/>
          <w:szCs w:val="23"/>
          <w:rtl/>
        </w:rPr>
        <w:t>رات</w:t>
      </w:r>
      <w:r w:rsidRPr="00FE433F">
        <w:rPr>
          <w:i/>
          <w:sz w:val="23"/>
          <w:szCs w:val="23"/>
          <w:rtl/>
        </w:rPr>
        <w:t xml:space="preserve"> </w:t>
      </w:r>
      <w:r w:rsidRPr="00FE433F">
        <w:rPr>
          <w:rFonts w:hint="eastAsia"/>
          <w:i/>
          <w:sz w:val="23"/>
          <w:szCs w:val="23"/>
          <w:rtl/>
        </w:rPr>
        <w:t>نرخ</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بهره</w:t>
      </w:r>
      <w:r w:rsidRPr="00FE433F">
        <w:rPr>
          <w:i/>
          <w:sz w:val="23"/>
          <w:szCs w:val="23"/>
          <w:rtl/>
        </w:rPr>
        <w:t xml:space="preserve"> </w:t>
      </w:r>
      <w:r w:rsidRPr="00FE433F">
        <w:rPr>
          <w:rFonts w:hint="eastAsia"/>
          <w:i/>
          <w:sz w:val="23"/>
          <w:szCs w:val="23"/>
          <w:rtl/>
        </w:rPr>
        <w:t>است</w:t>
      </w:r>
      <w:r w:rsidRPr="00FE433F">
        <w:rPr>
          <w:i/>
          <w:sz w:val="23"/>
          <w:szCs w:val="23"/>
          <w:rtl/>
        </w:rPr>
        <w:t xml:space="preserve">. </w:t>
      </w:r>
      <w:r w:rsidRPr="00FE433F">
        <w:rPr>
          <w:rFonts w:hint="eastAsia"/>
          <w:i/>
          <w:sz w:val="23"/>
          <w:szCs w:val="23"/>
          <w:rtl/>
        </w:rPr>
        <w:t>در</w:t>
      </w:r>
      <w:r w:rsidRPr="00FE433F">
        <w:rPr>
          <w:i/>
          <w:sz w:val="23"/>
          <w:szCs w:val="23"/>
          <w:rtl/>
        </w:rPr>
        <w:t xml:space="preserve"> </w:t>
      </w:r>
      <w:r w:rsidRPr="00FE433F">
        <w:rPr>
          <w:rFonts w:hint="eastAsia"/>
          <w:i/>
          <w:sz w:val="23"/>
          <w:szCs w:val="23"/>
          <w:rtl/>
        </w:rPr>
        <w:t>فصل</w:t>
      </w:r>
      <w:r w:rsidRPr="00FE433F">
        <w:rPr>
          <w:i/>
          <w:sz w:val="23"/>
          <w:szCs w:val="23"/>
          <w:rtl/>
        </w:rPr>
        <w:t xml:space="preserve"> </w:t>
      </w:r>
      <w:r w:rsidRPr="00FE433F">
        <w:rPr>
          <w:rFonts w:hint="cs"/>
          <w:i/>
          <w:sz w:val="23"/>
          <w:szCs w:val="23"/>
          <w:rtl/>
        </w:rPr>
        <w:t xml:space="preserve">چهاردهم، </w:t>
      </w:r>
      <w:r w:rsidRPr="00FE433F">
        <w:rPr>
          <w:rFonts w:hint="eastAsia"/>
          <w:i/>
          <w:sz w:val="23"/>
          <w:szCs w:val="23"/>
          <w:rtl/>
        </w:rPr>
        <w:t>برخ</w:t>
      </w:r>
      <w:r w:rsidRPr="00FE433F">
        <w:rPr>
          <w:rFonts w:hint="cs"/>
          <w:i/>
          <w:sz w:val="23"/>
          <w:szCs w:val="23"/>
          <w:rtl/>
        </w:rPr>
        <w:t>ی</w:t>
      </w:r>
      <w:r w:rsidRPr="00FE433F">
        <w:rPr>
          <w:i/>
          <w:sz w:val="23"/>
          <w:szCs w:val="23"/>
          <w:rtl/>
        </w:rPr>
        <w:t xml:space="preserve"> </w:t>
      </w:r>
      <w:r w:rsidRPr="00FE433F">
        <w:rPr>
          <w:rFonts w:hint="cs"/>
          <w:i/>
          <w:sz w:val="23"/>
          <w:szCs w:val="23"/>
          <w:rtl/>
        </w:rPr>
        <w:t xml:space="preserve">از </w:t>
      </w:r>
      <w:r w:rsidRPr="00FE433F">
        <w:rPr>
          <w:rFonts w:hint="eastAsia"/>
          <w:i/>
          <w:sz w:val="23"/>
          <w:szCs w:val="23"/>
          <w:rtl/>
        </w:rPr>
        <w:t>موضوعات</w:t>
      </w:r>
      <w:r w:rsidRPr="00FE433F">
        <w:rPr>
          <w:i/>
          <w:sz w:val="23"/>
          <w:szCs w:val="23"/>
          <w:rtl/>
        </w:rPr>
        <w:t xml:space="preserve"> </w:t>
      </w:r>
      <w:r w:rsidRPr="00FE433F">
        <w:rPr>
          <w:rFonts w:hint="eastAsia"/>
          <w:i/>
          <w:sz w:val="23"/>
          <w:szCs w:val="23"/>
          <w:rtl/>
        </w:rPr>
        <w:t>س</w:t>
      </w:r>
      <w:r w:rsidRPr="00FE433F">
        <w:rPr>
          <w:rFonts w:hint="cs"/>
          <w:i/>
          <w:sz w:val="23"/>
          <w:szCs w:val="23"/>
          <w:rtl/>
        </w:rPr>
        <w:t>ی</w:t>
      </w:r>
      <w:r w:rsidRPr="00FE433F">
        <w:rPr>
          <w:rFonts w:hint="eastAsia"/>
          <w:i/>
          <w:sz w:val="23"/>
          <w:szCs w:val="23"/>
          <w:rtl/>
        </w:rPr>
        <w:t>است</w:t>
      </w:r>
      <w:r w:rsidRPr="00FE433F">
        <w:rPr>
          <w:rFonts w:hint="eastAsia"/>
          <w:i/>
          <w:sz w:val="23"/>
          <w:szCs w:val="23"/>
        </w:rPr>
        <w:t>‌</w:t>
      </w:r>
      <w:r w:rsidRPr="00FE433F">
        <w:rPr>
          <w:rFonts w:hint="eastAsia"/>
          <w:i/>
          <w:sz w:val="23"/>
          <w:szCs w:val="23"/>
          <w:rtl/>
        </w:rPr>
        <w:t>ها</w:t>
      </w:r>
      <w:r w:rsidRPr="00FE433F">
        <w:rPr>
          <w:rFonts w:hint="cs"/>
          <w:i/>
          <w:sz w:val="23"/>
          <w:szCs w:val="23"/>
          <w:rtl/>
        </w:rPr>
        <w:t>ی</w:t>
      </w:r>
      <w:r w:rsidRPr="00FE433F">
        <w:rPr>
          <w:i/>
          <w:sz w:val="23"/>
          <w:szCs w:val="23"/>
          <w:rtl/>
        </w:rPr>
        <w:t xml:space="preserve"> </w:t>
      </w:r>
      <w:r w:rsidRPr="00FE433F">
        <w:rPr>
          <w:rFonts w:hint="eastAsia"/>
          <w:i/>
          <w:sz w:val="23"/>
          <w:szCs w:val="23"/>
          <w:rtl/>
        </w:rPr>
        <w:t>پول</w:t>
      </w:r>
      <w:r w:rsidRPr="00FE433F">
        <w:rPr>
          <w:rFonts w:hint="cs"/>
          <w:i/>
          <w:sz w:val="23"/>
          <w:szCs w:val="23"/>
          <w:rtl/>
        </w:rPr>
        <w:t>ی</w:t>
      </w:r>
      <w:r w:rsidRPr="00FE433F">
        <w:rPr>
          <w:i/>
          <w:sz w:val="23"/>
          <w:szCs w:val="23"/>
          <w:rtl/>
        </w:rPr>
        <w:t xml:space="preserve"> </w:t>
      </w:r>
      <w:r w:rsidRPr="00FE433F">
        <w:rPr>
          <w:rFonts w:hint="cs"/>
          <w:i/>
          <w:sz w:val="23"/>
          <w:szCs w:val="23"/>
          <w:rtl/>
        </w:rPr>
        <w:t>را</w:t>
      </w:r>
      <w:r w:rsidRPr="00FE433F">
        <w:rPr>
          <w:i/>
          <w:sz w:val="23"/>
          <w:szCs w:val="23"/>
          <w:rtl/>
        </w:rPr>
        <w:t xml:space="preserve"> </w:t>
      </w:r>
      <w:r w:rsidRPr="00FE433F">
        <w:rPr>
          <w:rFonts w:hint="eastAsia"/>
          <w:i/>
          <w:sz w:val="23"/>
          <w:szCs w:val="23"/>
          <w:rtl/>
        </w:rPr>
        <w:t>مورد</w:t>
      </w:r>
      <w:r w:rsidRPr="00FE433F">
        <w:rPr>
          <w:i/>
          <w:sz w:val="23"/>
          <w:szCs w:val="23"/>
          <w:rtl/>
        </w:rPr>
        <w:t xml:space="preserve"> </w:t>
      </w:r>
      <w:r w:rsidRPr="00FE433F">
        <w:rPr>
          <w:rFonts w:hint="eastAsia"/>
          <w:i/>
          <w:sz w:val="23"/>
          <w:szCs w:val="23"/>
          <w:rtl/>
        </w:rPr>
        <w:t>بررس</w:t>
      </w:r>
      <w:r w:rsidRPr="00FE433F">
        <w:rPr>
          <w:rFonts w:hint="cs"/>
          <w:i/>
          <w:sz w:val="23"/>
          <w:szCs w:val="23"/>
          <w:rtl/>
        </w:rPr>
        <w:t>ی</w:t>
      </w:r>
      <w:r w:rsidRPr="00FE433F">
        <w:rPr>
          <w:i/>
          <w:sz w:val="23"/>
          <w:szCs w:val="23"/>
          <w:rtl/>
        </w:rPr>
        <w:t xml:space="preserve"> </w:t>
      </w:r>
      <w:r w:rsidRPr="00FE433F">
        <w:rPr>
          <w:rFonts w:hint="eastAsia"/>
          <w:i/>
          <w:sz w:val="23"/>
          <w:szCs w:val="23"/>
          <w:rtl/>
        </w:rPr>
        <w:t>قرار</w:t>
      </w:r>
      <w:r w:rsidRPr="00FE433F">
        <w:rPr>
          <w:i/>
          <w:sz w:val="23"/>
          <w:szCs w:val="23"/>
          <w:rtl/>
        </w:rPr>
        <w:t xml:space="preserve"> </w:t>
      </w:r>
      <w:r w:rsidRPr="00FE433F">
        <w:rPr>
          <w:rFonts w:hint="eastAsia"/>
          <w:i/>
          <w:sz w:val="23"/>
          <w:szCs w:val="23"/>
          <w:rtl/>
        </w:rPr>
        <w:t>خواه</w:t>
      </w:r>
      <w:r w:rsidRPr="00FE433F">
        <w:rPr>
          <w:rFonts w:hint="cs"/>
          <w:i/>
          <w:sz w:val="23"/>
          <w:szCs w:val="23"/>
          <w:rtl/>
        </w:rPr>
        <w:t>ی</w:t>
      </w:r>
      <w:r w:rsidRPr="00FE433F">
        <w:rPr>
          <w:rFonts w:hint="eastAsia"/>
          <w:i/>
          <w:sz w:val="23"/>
          <w:szCs w:val="23"/>
          <w:rtl/>
        </w:rPr>
        <w:t>م</w:t>
      </w:r>
      <w:r w:rsidRPr="00FE433F">
        <w:rPr>
          <w:i/>
          <w:sz w:val="23"/>
          <w:szCs w:val="23"/>
          <w:rtl/>
        </w:rPr>
        <w:t xml:space="preserve"> </w:t>
      </w:r>
      <w:r w:rsidRPr="00FE433F">
        <w:rPr>
          <w:rFonts w:hint="eastAsia"/>
          <w:i/>
          <w:sz w:val="23"/>
          <w:szCs w:val="23"/>
          <w:rtl/>
        </w:rPr>
        <w:t>داد</w:t>
      </w:r>
      <w:r w:rsidRPr="00FE433F">
        <w:rPr>
          <w:i/>
          <w:sz w:val="23"/>
          <w:szCs w:val="23"/>
          <w:rtl/>
        </w:rPr>
        <w:t xml:space="preserve">. </w:t>
      </w:r>
    </w:p>
    <w:p w14:paraId="74AE9711" w14:textId="372731F3" w:rsidR="00411620" w:rsidRDefault="00411620" w:rsidP="009015D3">
      <w:pPr>
        <w:tabs>
          <w:tab w:val="left" w:pos="90"/>
        </w:tabs>
        <w:spacing w:line="216" w:lineRule="auto"/>
        <w:rPr>
          <w:i/>
          <w:sz w:val="23"/>
          <w:szCs w:val="23"/>
          <w:rtl/>
        </w:rPr>
      </w:pPr>
    </w:p>
    <w:p w14:paraId="75B3FD8F" w14:textId="15133F54" w:rsidR="00411620" w:rsidRDefault="00411620" w:rsidP="009015D3">
      <w:pPr>
        <w:tabs>
          <w:tab w:val="left" w:pos="90"/>
        </w:tabs>
        <w:spacing w:line="216" w:lineRule="auto"/>
        <w:rPr>
          <w:i/>
          <w:sz w:val="23"/>
          <w:szCs w:val="23"/>
          <w:rtl/>
        </w:rPr>
      </w:pPr>
    </w:p>
    <w:p w14:paraId="1E712E0B" w14:textId="77001C22" w:rsidR="00411620" w:rsidRDefault="00411620" w:rsidP="009015D3">
      <w:pPr>
        <w:tabs>
          <w:tab w:val="left" w:pos="90"/>
        </w:tabs>
        <w:spacing w:line="216" w:lineRule="auto"/>
        <w:rPr>
          <w:i/>
          <w:sz w:val="23"/>
          <w:szCs w:val="23"/>
          <w:rtl/>
        </w:rPr>
      </w:pPr>
    </w:p>
    <w:p w14:paraId="5A4430C6" w14:textId="050FEF7B" w:rsidR="00411620" w:rsidRDefault="00411620" w:rsidP="009015D3">
      <w:pPr>
        <w:tabs>
          <w:tab w:val="left" w:pos="90"/>
        </w:tabs>
        <w:spacing w:line="216" w:lineRule="auto"/>
        <w:rPr>
          <w:i/>
          <w:sz w:val="23"/>
          <w:szCs w:val="23"/>
          <w:rtl/>
        </w:rPr>
      </w:pPr>
    </w:p>
    <w:p w14:paraId="4F62E31A" w14:textId="1FAF36BC" w:rsidR="00411620" w:rsidRDefault="00411620" w:rsidP="009015D3">
      <w:pPr>
        <w:tabs>
          <w:tab w:val="left" w:pos="90"/>
        </w:tabs>
        <w:spacing w:line="216" w:lineRule="auto"/>
        <w:rPr>
          <w:i/>
          <w:sz w:val="23"/>
          <w:szCs w:val="23"/>
          <w:rtl/>
        </w:rPr>
      </w:pPr>
    </w:p>
    <w:p w14:paraId="1FD39F6B" w14:textId="14978C8A" w:rsidR="00411620" w:rsidRDefault="00411620" w:rsidP="009015D3">
      <w:pPr>
        <w:tabs>
          <w:tab w:val="left" w:pos="90"/>
        </w:tabs>
        <w:spacing w:line="216" w:lineRule="auto"/>
        <w:rPr>
          <w:i/>
          <w:sz w:val="23"/>
          <w:szCs w:val="23"/>
          <w:rtl/>
        </w:rPr>
      </w:pPr>
    </w:p>
    <w:p w14:paraId="14F7343F" w14:textId="6A9C0B82" w:rsidR="00411620" w:rsidRDefault="00411620" w:rsidP="009015D3">
      <w:pPr>
        <w:tabs>
          <w:tab w:val="left" w:pos="90"/>
        </w:tabs>
        <w:spacing w:line="216" w:lineRule="auto"/>
        <w:rPr>
          <w:i/>
          <w:sz w:val="23"/>
          <w:szCs w:val="23"/>
          <w:rtl/>
        </w:rPr>
      </w:pPr>
    </w:p>
    <w:p w14:paraId="7F726406" w14:textId="6274264D" w:rsidR="00411620" w:rsidRDefault="00411620" w:rsidP="009015D3">
      <w:pPr>
        <w:tabs>
          <w:tab w:val="left" w:pos="90"/>
        </w:tabs>
        <w:spacing w:line="216" w:lineRule="auto"/>
        <w:rPr>
          <w:i/>
          <w:sz w:val="23"/>
          <w:szCs w:val="23"/>
          <w:rtl/>
        </w:rPr>
      </w:pPr>
    </w:p>
    <w:p w14:paraId="1CEE3603" w14:textId="799AC2FD" w:rsidR="00411620" w:rsidRDefault="00411620" w:rsidP="009015D3">
      <w:pPr>
        <w:tabs>
          <w:tab w:val="left" w:pos="90"/>
        </w:tabs>
        <w:spacing w:line="216" w:lineRule="auto"/>
        <w:rPr>
          <w:i/>
          <w:sz w:val="23"/>
          <w:szCs w:val="23"/>
          <w:rtl/>
        </w:rPr>
      </w:pPr>
    </w:p>
    <w:p w14:paraId="41376310" w14:textId="04E04019" w:rsidR="00411620" w:rsidRDefault="00411620" w:rsidP="009015D3">
      <w:pPr>
        <w:tabs>
          <w:tab w:val="left" w:pos="90"/>
        </w:tabs>
        <w:spacing w:line="216" w:lineRule="auto"/>
        <w:rPr>
          <w:i/>
          <w:sz w:val="23"/>
          <w:szCs w:val="23"/>
          <w:rtl/>
        </w:rPr>
      </w:pPr>
    </w:p>
    <w:p w14:paraId="2A07A60C" w14:textId="0279DF39" w:rsidR="00411620" w:rsidRDefault="00411620" w:rsidP="009015D3">
      <w:pPr>
        <w:tabs>
          <w:tab w:val="left" w:pos="90"/>
        </w:tabs>
        <w:spacing w:line="216" w:lineRule="auto"/>
        <w:rPr>
          <w:i/>
          <w:sz w:val="23"/>
          <w:szCs w:val="23"/>
          <w:rtl/>
        </w:rPr>
      </w:pPr>
    </w:p>
    <w:p w14:paraId="18753E6A" w14:textId="64E81E88" w:rsidR="00411620" w:rsidRDefault="00411620" w:rsidP="009015D3">
      <w:pPr>
        <w:tabs>
          <w:tab w:val="left" w:pos="90"/>
        </w:tabs>
        <w:spacing w:line="216" w:lineRule="auto"/>
        <w:rPr>
          <w:i/>
          <w:sz w:val="23"/>
          <w:szCs w:val="23"/>
          <w:rtl/>
        </w:rPr>
      </w:pPr>
    </w:p>
    <w:p w14:paraId="37E836D3" w14:textId="628C1A50" w:rsidR="00411620" w:rsidRDefault="00411620" w:rsidP="009015D3">
      <w:pPr>
        <w:tabs>
          <w:tab w:val="left" w:pos="90"/>
        </w:tabs>
        <w:spacing w:line="216" w:lineRule="auto"/>
        <w:rPr>
          <w:i/>
          <w:sz w:val="23"/>
          <w:szCs w:val="23"/>
          <w:rtl/>
        </w:rPr>
      </w:pPr>
    </w:p>
    <w:p w14:paraId="33DA4ADA" w14:textId="5876543A" w:rsidR="00411620" w:rsidRDefault="00411620" w:rsidP="009015D3">
      <w:pPr>
        <w:tabs>
          <w:tab w:val="left" w:pos="90"/>
        </w:tabs>
        <w:spacing w:line="216" w:lineRule="auto"/>
        <w:rPr>
          <w:i/>
          <w:sz w:val="23"/>
          <w:szCs w:val="23"/>
          <w:rtl/>
        </w:rPr>
      </w:pPr>
    </w:p>
    <w:p w14:paraId="4E8A1667" w14:textId="228A4563" w:rsidR="00411620" w:rsidRDefault="00411620" w:rsidP="009015D3">
      <w:pPr>
        <w:tabs>
          <w:tab w:val="left" w:pos="90"/>
        </w:tabs>
        <w:spacing w:line="216" w:lineRule="auto"/>
        <w:rPr>
          <w:i/>
          <w:sz w:val="23"/>
          <w:szCs w:val="23"/>
          <w:rtl/>
        </w:rPr>
      </w:pPr>
    </w:p>
    <w:p w14:paraId="2D94A3E2" w14:textId="3A5FE26E" w:rsidR="00411620" w:rsidRDefault="00411620" w:rsidP="009015D3">
      <w:pPr>
        <w:tabs>
          <w:tab w:val="left" w:pos="90"/>
        </w:tabs>
        <w:spacing w:line="216" w:lineRule="auto"/>
        <w:rPr>
          <w:i/>
          <w:sz w:val="23"/>
          <w:szCs w:val="23"/>
          <w:rtl/>
        </w:rPr>
      </w:pPr>
    </w:p>
    <w:p w14:paraId="0B7E5AD3" w14:textId="096F015C" w:rsidR="00411620" w:rsidRDefault="00411620" w:rsidP="009015D3">
      <w:pPr>
        <w:tabs>
          <w:tab w:val="left" w:pos="90"/>
        </w:tabs>
        <w:spacing w:line="216" w:lineRule="auto"/>
        <w:rPr>
          <w:i/>
          <w:sz w:val="23"/>
          <w:szCs w:val="23"/>
          <w:rtl/>
        </w:rPr>
      </w:pPr>
    </w:p>
    <w:p w14:paraId="0293DC73" w14:textId="7D7CD9D3" w:rsidR="00411620" w:rsidRDefault="00411620" w:rsidP="009015D3">
      <w:pPr>
        <w:tabs>
          <w:tab w:val="left" w:pos="90"/>
        </w:tabs>
        <w:spacing w:line="216" w:lineRule="auto"/>
        <w:rPr>
          <w:i/>
          <w:sz w:val="23"/>
          <w:szCs w:val="23"/>
          <w:rtl/>
        </w:rPr>
      </w:pPr>
    </w:p>
    <w:p w14:paraId="39BD80BF" w14:textId="3600EAFE" w:rsidR="00411620" w:rsidRDefault="00411620" w:rsidP="009015D3">
      <w:pPr>
        <w:tabs>
          <w:tab w:val="left" w:pos="90"/>
        </w:tabs>
        <w:spacing w:line="216" w:lineRule="auto"/>
        <w:rPr>
          <w:i/>
          <w:sz w:val="23"/>
          <w:szCs w:val="23"/>
          <w:rtl/>
        </w:rPr>
      </w:pPr>
    </w:p>
    <w:p w14:paraId="5C43D050" w14:textId="309B7630" w:rsidR="00411620" w:rsidRDefault="00411620" w:rsidP="009015D3">
      <w:pPr>
        <w:tabs>
          <w:tab w:val="left" w:pos="90"/>
        </w:tabs>
        <w:spacing w:line="216" w:lineRule="auto"/>
        <w:rPr>
          <w:i/>
          <w:sz w:val="23"/>
          <w:szCs w:val="23"/>
          <w:rtl/>
        </w:rPr>
      </w:pPr>
    </w:p>
    <w:p w14:paraId="5711E335" w14:textId="644644F0" w:rsidR="00411620" w:rsidRDefault="00411620" w:rsidP="009015D3">
      <w:pPr>
        <w:tabs>
          <w:tab w:val="left" w:pos="90"/>
        </w:tabs>
        <w:spacing w:line="216" w:lineRule="auto"/>
        <w:rPr>
          <w:i/>
          <w:sz w:val="23"/>
          <w:szCs w:val="23"/>
          <w:rtl/>
        </w:rPr>
      </w:pPr>
    </w:p>
    <w:p w14:paraId="76CF9F79" w14:textId="1625E191" w:rsidR="00411620" w:rsidRDefault="00411620" w:rsidP="009015D3">
      <w:pPr>
        <w:tabs>
          <w:tab w:val="left" w:pos="90"/>
        </w:tabs>
        <w:spacing w:line="216" w:lineRule="auto"/>
        <w:rPr>
          <w:i/>
          <w:sz w:val="23"/>
          <w:szCs w:val="23"/>
          <w:rtl/>
        </w:rPr>
      </w:pPr>
    </w:p>
    <w:p w14:paraId="464B2DD9" w14:textId="4D2AC42F" w:rsidR="00411620" w:rsidRDefault="00411620" w:rsidP="009015D3">
      <w:pPr>
        <w:tabs>
          <w:tab w:val="left" w:pos="90"/>
        </w:tabs>
        <w:spacing w:line="216" w:lineRule="auto"/>
        <w:rPr>
          <w:i/>
          <w:sz w:val="23"/>
          <w:szCs w:val="23"/>
          <w:rtl/>
        </w:rPr>
      </w:pPr>
    </w:p>
    <w:p w14:paraId="7CB51D8E" w14:textId="4B3BD2A9" w:rsidR="00411620" w:rsidRDefault="00411620" w:rsidP="009015D3">
      <w:pPr>
        <w:tabs>
          <w:tab w:val="left" w:pos="90"/>
        </w:tabs>
        <w:spacing w:line="216" w:lineRule="auto"/>
        <w:rPr>
          <w:i/>
          <w:sz w:val="23"/>
          <w:szCs w:val="23"/>
          <w:rtl/>
        </w:rPr>
      </w:pPr>
    </w:p>
    <w:p w14:paraId="510D83D2" w14:textId="0E86F4BF" w:rsidR="00411620" w:rsidRDefault="00411620" w:rsidP="009015D3">
      <w:pPr>
        <w:tabs>
          <w:tab w:val="left" w:pos="90"/>
        </w:tabs>
        <w:spacing w:line="216" w:lineRule="auto"/>
        <w:rPr>
          <w:i/>
          <w:sz w:val="23"/>
          <w:szCs w:val="23"/>
          <w:rtl/>
        </w:rPr>
      </w:pPr>
    </w:p>
    <w:p w14:paraId="6A67F49D" w14:textId="312011D7" w:rsidR="00411620" w:rsidRDefault="00411620" w:rsidP="009015D3">
      <w:pPr>
        <w:tabs>
          <w:tab w:val="left" w:pos="90"/>
        </w:tabs>
        <w:spacing w:line="216" w:lineRule="auto"/>
        <w:rPr>
          <w:i/>
          <w:sz w:val="23"/>
          <w:szCs w:val="23"/>
          <w:rtl/>
        </w:rPr>
      </w:pPr>
    </w:p>
    <w:p w14:paraId="365920AD" w14:textId="14474FD6" w:rsidR="00411620" w:rsidRDefault="00411620" w:rsidP="009015D3">
      <w:pPr>
        <w:tabs>
          <w:tab w:val="left" w:pos="90"/>
        </w:tabs>
        <w:spacing w:line="216" w:lineRule="auto"/>
        <w:rPr>
          <w:i/>
          <w:sz w:val="23"/>
          <w:szCs w:val="23"/>
          <w:rtl/>
        </w:rPr>
      </w:pPr>
    </w:p>
    <w:p w14:paraId="7D9FF9D1" w14:textId="77777777" w:rsidR="00411620" w:rsidRPr="006B3D33" w:rsidRDefault="00411620" w:rsidP="00411620">
      <w:pPr>
        <w:pStyle w:val="a3"/>
        <w:spacing w:before="1080" w:after="720"/>
        <w:ind w:left="57"/>
        <w:rPr>
          <w:b w:val="0"/>
          <w:i/>
          <w:color w:val="auto"/>
          <w:sz w:val="40"/>
          <w:szCs w:val="40"/>
        </w:rPr>
      </w:pPr>
      <w:r w:rsidRPr="006B3D33">
        <w:rPr>
          <w:rFonts w:hint="cs"/>
          <w:b w:val="0"/>
          <w:i/>
          <w:color w:val="auto"/>
          <w:sz w:val="40"/>
          <w:szCs w:val="40"/>
          <w:rtl/>
        </w:rPr>
        <w:t>فصل دهم</w:t>
      </w:r>
    </w:p>
    <w:p w14:paraId="7D3FCE2B" w14:textId="77777777" w:rsidR="00411620" w:rsidRPr="006B3D33" w:rsidRDefault="00411620" w:rsidP="00411620">
      <w:pPr>
        <w:pStyle w:val="a4"/>
        <w:pBdr>
          <w:top w:val="none" w:sz="0" w:space="0" w:color="auto"/>
          <w:bottom w:val="none" w:sz="0" w:space="0" w:color="auto"/>
        </w:pBdr>
        <w:shd w:val="clear" w:color="auto" w:fill="auto"/>
        <w:spacing w:after="720"/>
        <w:rPr>
          <w:rFonts w:ascii="Times New Roman" w:eastAsia="Yu Gothic UI" w:hAnsi="Times New Roman"/>
          <w:b w:val="0"/>
          <w:bCs w:val="0"/>
          <w:i/>
          <w:sz w:val="40"/>
          <w:szCs w:val="40"/>
          <w:rtl/>
          <w14:glow w14:rad="0">
            <w14:srgbClr w14:val="000000">
              <w14:alpha w14:val="91000"/>
            </w14:srgbClr>
          </w14:glow>
          <w14:shadow w14:blurRad="63500" w14:dist="0" w14:dir="0" w14:sx="1000" w14:sy="1000" w14:kx="0" w14:ky="0" w14:algn="ctr">
            <w14:srgbClr w14:val="000000">
              <w14:alpha w14:val="16000"/>
            </w14:srgbClr>
          </w14:shadow>
        </w:rPr>
      </w:pPr>
      <w:r w:rsidRPr="006B3D33">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t>اشتغال و بیکاری</w:t>
      </w:r>
    </w:p>
    <w:p w14:paraId="13D54295" w14:textId="77777777" w:rsidR="00411620" w:rsidRPr="006B3D33" w:rsidRDefault="00411620" w:rsidP="00411620">
      <w:pPr>
        <w:pStyle w:val="Heading1"/>
        <w:spacing w:before="0" w:after="0" w:line="216" w:lineRule="auto"/>
        <w:rPr>
          <w:rFonts w:ascii="Times New Roman" w:hAnsi="Times New Roman" w:cs="B Nazanin"/>
          <w:b w:val="0"/>
          <w:i/>
          <w:sz w:val="23"/>
          <w:szCs w:val="23"/>
          <w:rtl/>
        </w:rPr>
      </w:pPr>
      <w:r w:rsidRPr="006B3D33">
        <w:rPr>
          <w:rFonts w:ascii="Times New Roman" w:hAnsi="Times New Roman" w:cs="B Nazanin" w:hint="cs"/>
          <w:b w:val="0"/>
          <w:i/>
          <w:sz w:val="23"/>
          <w:szCs w:val="23"/>
          <w:rtl/>
        </w:rPr>
        <w:t xml:space="preserve"> ۱۰. ۱</w:t>
      </w:r>
      <w:r w:rsidRPr="006B3D33">
        <w:rPr>
          <w:rFonts w:ascii="Times New Roman" w:hAnsi="Times New Roman" w:cs="B Nazanin"/>
          <w:b w:val="0"/>
          <w:i/>
          <w:sz w:val="23"/>
          <w:szCs w:val="23"/>
        </w:rPr>
        <w:t xml:space="preserve"> </w:t>
      </w:r>
      <w:r w:rsidRPr="006B3D33">
        <w:rPr>
          <w:rFonts w:ascii="Times New Roman" w:hAnsi="Times New Roman" w:cs="B Nazanin" w:hint="cs"/>
          <w:b w:val="0"/>
          <w:i/>
          <w:sz w:val="23"/>
          <w:szCs w:val="23"/>
          <w:rtl/>
        </w:rPr>
        <w:t>مقدمه</w:t>
      </w:r>
    </w:p>
    <w:p w14:paraId="77680473" w14:textId="77777777" w:rsidR="00411620" w:rsidRPr="006B3D33" w:rsidRDefault="00411620" w:rsidP="00411620">
      <w:pPr>
        <w:spacing w:line="216" w:lineRule="auto"/>
        <w:rPr>
          <w:i/>
          <w:sz w:val="23"/>
          <w:szCs w:val="23"/>
          <w:rtl/>
        </w:rPr>
      </w:pPr>
      <w:r w:rsidRPr="006B3D33">
        <w:rPr>
          <w:rFonts w:hint="cs"/>
          <w:i/>
          <w:sz w:val="23"/>
          <w:szCs w:val="23"/>
          <w:rtl/>
        </w:rPr>
        <w:t xml:space="preserve">سیر تکاملی مباحث اقتصاد کلان با بررسی نرخ </w:t>
      </w:r>
      <w:r w:rsidRPr="006B3D33">
        <w:rPr>
          <w:i/>
          <w:sz w:val="23"/>
          <w:szCs w:val="23"/>
          <w:rtl/>
        </w:rPr>
        <w:softHyphen/>
      </w:r>
      <w:r w:rsidRPr="006B3D33">
        <w:rPr>
          <w:rFonts w:hint="cs"/>
          <w:i/>
          <w:sz w:val="23"/>
          <w:szCs w:val="23"/>
          <w:rtl/>
        </w:rPr>
        <w:t>های بیکاری بالا و پیوسته در دهه</w:t>
      </w:r>
      <w:r w:rsidRPr="006B3D33">
        <w:rPr>
          <w:i/>
          <w:sz w:val="23"/>
          <w:szCs w:val="23"/>
          <w:rtl/>
        </w:rPr>
        <w:softHyphen/>
      </w:r>
      <w:r w:rsidRPr="006B3D33">
        <w:rPr>
          <w:rFonts w:hint="cs"/>
          <w:i/>
          <w:sz w:val="23"/>
          <w:szCs w:val="23"/>
          <w:rtl/>
        </w:rPr>
        <w:t>ی ۱۹۳۰ میلادی آغاز شد. در این راستا نظریه عمومی اشتغال، بهره و پول که در سال ۱۹۳۶ توسط کینز نگاشته شده بود موضوع اشتغال را بدقت مورد بررسی قرار داد. در رویکرد تعادل عمومی پویای تصادفی در اقتصاد کلان، موضوع بیکاری تا سال‌های اخیر مورد توجه نبوده و صرفاً مباحث اشتغال و تعیین دستمزد حقیقی بررسی می</w:t>
      </w:r>
      <w:r w:rsidRPr="006B3D33">
        <w:rPr>
          <w:i/>
          <w:sz w:val="23"/>
          <w:szCs w:val="23"/>
          <w:rtl/>
        </w:rPr>
        <w:softHyphen/>
      </w:r>
      <w:r w:rsidRPr="006B3D33">
        <w:rPr>
          <w:rFonts w:hint="cs"/>
          <w:i/>
          <w:sz w:val="23"/>
          <w:szCs w:val="23"/>
          <w:rtl/>
        </w:rPr>
        <w:t>شد. مدل‌های تعادل عمومی تصادفی پویا که تاکنون در این کتاب مورد بررسی قرار گرفته فرض می‌کند که بازار کار همواره در کوتاه</w:t>
      </w:r>
      <w:r w:rsidRPr="006B3D33">
        <w:rPr>
          <w:i/>
          <w:sz w:val="23"/>
          <w:szCs w:val="23"/>
          <w:rtl/>
        </w:rPr>
        <w:softHyphen/>
      </w:r>
      <w:r w:rsidRPr="006B3D33">
        <w:rPr>
          <w:rFonts w:hint="cs"/>
          <w:i/>
          <w:sz w:val="23"/>
          <w:szCs w:val="23"/>
          <w:rtl/>
        </w:rPr>
        <w:t>مدت و بلند‌مدت در تعادل است. در نتیجه، بیکاری یک عارضه و یا اثر طبیعی تعادلی است که به صورت اختیاری و داوطلبانه بواسطه</w:t>
      </w:r>
      <w:r w:rsidRPr="006B3D33">
        <w:rPr>
          <w:i/>
          <w:sz w:val="23"/>
          <w:szCs w:val="23"/>
          <w:rtl/>
        </w:rPr>
        <w:softHyphen/>
      </w:r>
      <w:r w:rsidRPr="006B3D33">
        <w:rPr>
          <w:rFonts w:hint="cs"/>
          <w:i/>
          <w:sz w:val="23"/>
          <w:szCs w:val="23"/>
          <w:rtl/>
        </w:rPr>
        <w:t>ی نیروی کار در اقتصاد ایجاد می‌شود، و همان</w:t>
      </w:r>
      <w:r w:rsidRPr="006B3D33">
        <w:rPr>
          <w:i/>
          <w:sz w:val="23"/>
          <w:szCs w:val="23"/>
          <w:rtl/>
        </w:rPr>
        <w:softHyphen/>
      </w:r>
      <w:r w:rsidRPr="006B3D33">
        <w:rPr>
          <w:rFonts w:hint="cs"/>
          <w:i/>
          <w:sz w:val="23"/>
          <w:szCs w:val="23"/>
          <w:rtl/>
        </w:rPr>
        <w:t>گونه که در تجزیه و تحلیل مدل</w:t>
      </w:r>
      <w:r w:rsidRPr="006B3D33">
        <w:rPr>
          <w:i/>
          <w:sz w:val="23"/>
          <w:szCs w:val="23"/>
          <w:rtl/>
        </w:rPr>
        <w:softHyphen/>
      </w:r>
      <w:r w:rsidRPr="006B3D33">
        <w:rPr>
          <w:rFonts w:hint="cs"/>
          <w:i/>
          <w:sz w:val="23"/>
          <w:szCs w:val="23"/>
          <w:rtl/>
        </w:rPr>
        <w:t xml:space="preserve">های کینزین ارائه شد، بیکاری به صورت غیرداوطلبانه و غیراختیاری نیست. </w:t>
      </w:r>
    </w:p>
    <w:p w14:paraId="6C7FA410" w14:textId="77777777" w:rsidR="00411620" w:rsidRPr="006B3D33" w:rsidRDefault="00411620" w:rsidP="00411620">
      <w:pPr>
        <w:spacing w:line="216" w:lineRule="auto"/>
        <w:rPr>
          <w:i/>
          <w:sz w:val="23"/>
          <w:szCs w:val="23"/>
          <w:rtl/>
        </w:rPr>
      </w:pPr>
      <w:r w:rsidRPr="006B3D33">
        <w:rPr>
          <w:rFonts w:hint="cs"/>
          <w:i/>
          <w:sz w:val="23"/>
          <w:szCs w:val="23"/>
          <w:rtl/>
        </w:rPr>
        <w:t>علی</w:t>
      </w:r>
      <w:r w:rsidRPr="006B3D33">
        <w:rPr>
          <w:i/>
          <w:sz w:val="23"/>
          <w:szCs w:val="23"/>
          <w:rtl/>
        </w:rPr>
        <w:softHyphen/>
      </w:r>
      <w:r w:rsidRPr="006B3D33">
        <w:rPr>
          <w:rFonts w:hint="cs"/>
          <w:i/>
          <w:sz w:val="23"/>
          <w:szCs w:val="23"/>
          <w:rtl/>
        </w:rPr>
        <w:t>رغم این</w:t>
      </w:r>
      <w:r w:rsidRPr="006B3D33">
        <w:rPr>
          <w:i/>
          <w:sz w:val="23"/>
          <w:szCs w:val="23"/>
          <w:rtl/>
        </w:rPr>
        <w:softHyphen/>
      </w:r>
      <w:r w:rsidRPr="006B3D33">
        <w:rPr>
          <w:rFonts w:hint="cs"/>
          <w:i/>
          <w:sz w:val="23"/>
          <w:szCs w:val="23"/>
          <w:rtl/>
        </w:rPr>
        <w:t>که تاکنون در خصوص بیکاری تبیین جامع و کاملی با رویکرد مدل‌های تعادل عمومی پویای تصادفی ارائه نشده و اجماع و وفاق در رابطه با بیکاری داوطلبانه</w:t>
      </w:r>
      <w:r w:rsidRPr="006B3D33">
        <w:rPr>
          <w:rStyle w:val="FootnoteReference"/>
          <w:rFonts w:eastAsiaTheme="majorEastAsia"/>
          <w:i/>
          <w:sz w:val="23"/>
          <w:szCs w:val="23"/>
          <w:rtl/>
        </w:rPr>
        <w:footnoteReference w:id="213"/>
      </w:r>
      <w:r w:rsidRPr="006B3D33">
        <w:rPr>
          <w:rFonts w:hint="cs"/>
          <w:i/>
          <w:sz w:val="23"/>
          <w:szCs w:val="23"/>
          <w:rtl/>
        </w:rPr>
        <w:t xml:space="preserve"> و بیکاری غیرداوطلبانه</w:t>
      </w:r>
      <w:r w:rsidRPr="006B3D33">
        <w:rPr>
          <w:rStyle w:val="FootnoteReference"/>
          <w:rFonts w:eastAsiaTheme="majorEastAsia"/>
          <w:i/>
          <w:sz w:val="23"/>
          <w:szCs w:val="23"/>
          <w:rtl/>
        </w:rPr>
        <w:footnoteReference w:id="214"/>
      </w:r>
      <w:r w:rsidRPr="006B3D33">
        <w:rPr>
          <w:rFonts w:hint="cs"/>
          <w:i/>
          <w:sz w:val="23"/>
          <w:szCs w:val="23"/>
          <w:rtl/>
        </w:rPr>
        <w:t xml:space="preserve"> وجود ندارد، ما در این فصل مسئله</w:t>
      </w:r>
      <w:r w:rsidRPr="006B3D33">
        <w:rPr>
          <w:i/>
          <w:sz w:val="23"/>
          <w:szCs w:val="23"/>
          <w:rtl/>
        </w:rPr>
        <w:softHyphen/>
      </w:r>
      <w:r w:rsidRPr="006B3D33">
        <w:rPr>
          <w:rFonts w:hint="cs"/>
          <w:i/>
          <w:sz w:val="23"/>
          <w:szCs w:val="23"/>
          <w:rtl/>
        </w:rPr>
        <w:t>ی بیکاری را در چارچوب دو نظریه جستجو</w:t>
      </w:r>
      <w:r w:rsidRPr="006B3D33">
        <w:rPr>
          <w:rStyle w:val="FootnoteReference"/>
          <w:rFonts w:eastAsiaTheme="majorEastAsia"/>
          <w:i/>
          <w:sz w:val="23"/>
          <w:szCs w:val="23"/>
          <w:rtl/>
        </w:rPr>
        <w:footnoteReference w:id="215"/>
      </w:r>
      <w:r w:rsidRPr="006B3D33">
        <w:rPr>
          <w:rFonts w:hint="cs"/>
          <w:i/>
          <w:sz w:val="23"/>
          <w:szCs w:val="23"/>
          <w:rtl/>
        </w:rPr>
        <w:t xml:space="preserve"> و نظریه کارایی-دستمزد</w:t>
      </w:r>
      <w:r w:rsidRPr="006B3D33">
        <w:rPr>
          <w:rStyle w:val="FootnoteReference"/>
          <w:rFonts w:eastAsiaTheme="majorEastAsia"/>
          <w:i/>
          <w:sz w:val="23"/>
          <w:szCs w:val="23"/>
          <w:rtl/>
        </w:rPr>
        <w:footnoteReference w:id="216"/>
      </w:r>
      <w:r w:rsidRPr="006B3D33">
        <w:rPr>
          <w:rFonts w:hint="cs"/>
          <w:i/>
          <w:sz w:val="23"/>
          <w:szCs w:val="23"/>
          <w:rtl/>
        </w:rPr>
        <w:t xml:space="preserve"> و همچنین بصورت تجربی مورد بررسی قرار می‌دهیم. در این فصل موضوع مورد بررسی در </w:t>
      </w:r>
      <w:r w:rsidRPr="006B3D33">
        <w:rPr>
          <w:rFonts w:hint="cs"/>
          <w:i/>
          <w:sz w:val="23"/>
          <w:szCs w:val="23"/>
          <w:rtl/>
        </w:rPr>
        <w:lastRenderedPageBreak/>
        <w:t xml:space="preserve">فصل نهم، که بیکاری غیرداوطلبانه ممکن است بدلیل چسبندگی دستمزدها ایجاد شود نیز مورد بررسی قرار خواهد گرفت. </w:t>
      </w:r>
    </w:p>
    <w:p w14:paraId="77C5F66A" w14:textId="77777777" w:rsidR="00411620" w:rsidRPr="006B3D33" w:rsidRDefault="00411620" w:rsidP="00411620">
      <w:pPr>
        <w:spacing w:line="216" w:lineRule="auto"/>
        <w:rPr>
          <w:i/>
          <w:sz w:val="23"/>
          <w:szCs w:val="23"/>
          <w:rtl/>
        </w:rPr>
      </w:pPr>
      <w:r w:rsidRPr="006B3D33">
        <w:rPr>
          <w:rFonts w:hint="cs"/>
          <w:i/>
          <w:sz w:val="23"/>
          <w:szCs w:val="23"/>
          <w:rtl/>
        </w:rPr>
        <w:t>جهت روشن شدن این موضوع بهتر است که بین انواع بیکاری تمایز قائل شویم. در بیکاری غیرداوطلبانه و یا غیراختیاری نیروی کار با دستمزد مشخص حاضر به انجام کار می</w:t>
      </w:r>
      <w:r w:rsidRPr="006B3D33">
        <w:rPr>
          <w:i/>
          <w:sz w:val="23"/>
          <w:szCs w:val="23"/>
          <w:rtl/>
        </w:rPr>
        <w:softHyphen/>
      </w:r>
      <w:r w:rsidRPr="006B3D33">
        <w:rPr>
          <w:rFonts w:hint="cs"/>
          <w:i/>
          <w:sz w:val="23"/>
          <w:szCs w:val="23"/>
          <w:rtl/>
        </w:rPr>
        <w:t>باشد اما شغل مربوطه موجود نیست. این نوع از بیکاری که اغلب موقتی و زودگذر است و با چرخه‌های تجاری تغییر می‌کند، و مورد توجه اقتصاددانان کینزین سنتی است به رکود نسبت داده می</w:t>
      </w:r>
      <w:r w:rsidRPr="006B3D33">
        <w:rPr>
          <w:i/>
          <w:sz w:val="23"/>
          <w:szCs w:val="23"/>
          <w:rtl/>
        </w:rPr>
        <w:softHyphen/>
      </w:r>
      <w:r w:rsidRPr="006B3D33">
        <w:rPr>
          <w:rFonts w:hint="cs"/>
          <w:i/>
          <w:sz w:val="23"/>
          <w:szCs w:val="23"/>
          <w:rtl/>
        </w:rPr>
        <w:t xml:space="preserve">شود و در شرایط رونق وجود ندارد. </w:t>
      </w:r>
    </w:p>
    <w:p w14:paraId="008B4369" w14:textId="77777777" w:rsidR="00411620" w:rsidRPr="006B3D33" w:rsidRDefault="00411620" w:rsidP="00411620">
      <w:pPr>
        <w:spacing w:line="216" w:lineRule="auto"/>
        <w:rPr>
          <w:i/>
          <w:sz w:val="23"/>
          <w:szCs w:val="23"/>
          <w:rtl/>
        </w:rPr>
      </w:pPr>
      <w:r w:rsidRPr="006B3D33">
        <w:rPr>
          <w:rFonts w:hint="cs"/>
          <w:i/>
          <w:sz w:val="23"/>
          <w:szCs w:val="23"/>
          <w:rtl/>
        </w:rPr>
        <w:t>نوع دیگری از بیکاری، بیکاری عارضی یا اصککاکی</w:t>
      </w:r>
      <w:r w:rsidRPr="006B3D33">
        <w:rPr>
          <w:rStyle w:val="FootnoteReference"/>
          <w:rFonts w:eastAsiaTheme="majorEastAsia"/>
          <w:i/>
          <w:sz w:val="23"/>
          <w:szCs w:val="23"/>
          <w:rtl/>
        </w:rPr>
        <w:footnoteReference w:id="217"/>
      </w:r>
      <w:r w:rsidRPr="006B3D33">
        <w:rPr>
          <w:rFonts w:hint="cs"/>
          <w:i/>
          <w:sz w:val="23"/>
          <w:szCs w:val="23"/>
          <w:rtl/>
        </w:rPr>
        <w:t xml:space="preserve"> است که زائیده</w:t>
      </w:r>
      <w:r w:rsidRPr="006B3D33">
        <w:rPr>
          <w:i/>
          <w:sz w:val="23"/>
          <w:szCs w:val="23"/>
          <w:rtl/>
        </w:rPr>
        <w:softHyphen/>
      </w:r>
      <w:r w:rsidRPr="006B3D33">
        <w:rPr>
          <w:rFonts w:hint="cs"/>
          <w:i/>
          <w:sz w:val="23"/>
          <w:szCs w:val="23"/>
          <w:rtl/>
        </w:rPr>
        <w:t>ی نواقص فنی بازار کار می</w:t>
      </w:r>
      <w:r w:rsidRPr="006B3D33">
        <w:rPr>
          <w:i/>
          <w:sz w:val="23"/>
          <w:szCs w:val="23"/>
          <w:rtl/>
        </w:rPr>
        <w:softHyphen/>
      </w:r>
      <w:r w:rsidRPr="006B3D33">
        <w:rPr>
          <w:rFonts w:hint="cs"/>
          <w:i/>
          <w:sz w:val="23"/>
          <w:szCs w:val="23"/>
          <w:rtl/>
        </w:rPr>
        <w:t>باشد. فقدان دانش و معلومات در خصوص مکانی که کار در آن میسر است، ناتوانی در رسیدن به محل کار و یا مدت زمانی که در ضمن تغییر شغل صرف می</w:t>
      </w:r>
      <w:r w:rsidRPr="006B3D33">
        <w:rPr>
          <w:i/>
          <w:sz w:val="23"/>
          <w:szCs w:val="23"/>
          <w:rtl/>
        </w:rPr>
        <w:softHyphen/>
      </w:r>
      <w:r w:rsidRPr="006B3D33">
        <w:rPr>
          <w:rFonts w:hint="cs"/>
          <w:i/>
          <w:sz w:val="23"/>
          <w:szCs w:val="23"/>
          <w:rtl/>
        </w:rPr>
        <w:t xml:space="preserve">شود، علل بیکاری عارضی یا بیکاری اصطکاکی است. این نوع از بیکاری بخاطر جریان تغییر شغل کارکنان، بین مشاغل مختلف، و مسائل و مشکلات مربوط به تطابق‌ فرصت‌هایِ شغلیِ خالی با جستجو برای کار بوجود می‌آید. در این صورت بیکاری به معنای شکست و عدم تطابق جستجو برای کار با فرصت شغلی خالی است. این نوع از بیکاری اگر چه در طی زمان تغییر می‌کند، اما جهت تبیین وجود بیکاری پیوسته و دائمی، ضروری است و در ادبیات اقتصاد کلان تعادل عمومی پویای تصادفی این رویکرد مورد توجه است. </w:t>
      </w:r>
    </w:p>
    <w:p w14:paraId="79A5D334" w14:textId="77777777" w:rsidR="00411620" w:rsidRPr="006B3D33" w:rsidRDefault="00411620" w:rsidP="00411620">
      <w:pPr>
        <w:spacing w:line="216" w:lineRule="auto"/>
        <w:rPr>
          <w:i/>
          <w:sz w:val="23"/>
          <w:szCs w:val="23"/>
          <w:rtl/>
        </w:rPr>
      </w:pPr>
      <w:r w:rsidRPr="006B3D33">
        <w:rPr>
          <w:rFonts w:hint="cs"/>
          <w:i/>
          <w:sz w:val="23"/>
          <w:szCs w:val="23"/>
          <w:rtl/>
        </w:rPr>
        <w:t>بیکاری داوطلبانه و اختیاری نوع دیگری از بیکاری است، که در آن فردِ بیکار با استفاده از مزایای بیکاری و حمایت‌های مالی دولت از وی، بدنبال شغل نمی‌گردد. در واقع این افرادِ بیکار خود را به عنوان نیروی کار ارائه نکرده و در بازار کار مشارکت نمی‌کنند. این افراد ممکن است بدنبال کار باشند اما قادر به یافتن شغلی که دستمزد بالاتر از مزایای بیکاری به آن‌ها پرداخت کند نیستند. بنابراین، این افراد با قبول شغل و دریافت دستمزد حاصل از کار در شرایط بدتری قرار می‌گیرند. در ایالات متحده آمریکا مزایای بیکاری بمراتب پایین</w:t>
      </w:r>
      <w:r w:rsidRPr="006B3D33">
        <w:rPr>
          <w:i/>
          <w:sz w:val="23"/>
          <w:szCs w:val="23"/>
          <w:rtl/>
        </w:rPr>
        <w:softHyphen/>
      </w:r>
      <w:r w:rsidRPr="006B3D33">
        <w:rPr>
          <w:rFonts w:hint="cs"/>
          <w:i/>
          <w:sz w:val="23"/>
          <w:szCs w:val="23"/>
          <w:rtl/>
        </w:rPr>
        <w:t>تر از اروپا است لذا بیکاری داوطلبانه و اختیاری معمولاً در اروپا رایج</w:t>
      </w:r>
      <w:r w:rsidRPr="006B3D33">
        <w:rPr>
          <w:i/>
          <w:sz w:val="23"/>
          <w:szCs w:val="23"/>
          <w:rtl/>
        </w:rPr>
        <w:softHyphen/>
      </w:r>
      <w:r w:rsidRPr="006B3D33">
        <w:rPr>
          <w:rFonts w:hint="cs"/>
          <w:i/>
          <w:sz w:val="23"/>
          <w:szCs w:val="23"/>
          <w:rtl/>
        </w:rPr>
        <w:t xml:space="preserve">تر است. </w:t>
      </w:r>
    </w:p>
    <w:p w14:paraId="69A47DB5" w14:textId="77777777" w:rsidR="00411620" w:rsidRPr="006B3D33" w:rsidRDefault="00411620" w:rsidP="00411620">
      <w:pPr>
        <w:spacing w:line="216" w:lineRule="auto"/>
        <w:rPr>
          <w:i/>
          <w:sz w:val="23"/>
          <w:szCs w:val="23"/>
          <w:rtl/>
        </w:rPr>
      </w:pPr>
      <w:r w:rsidRPr="006B3D33">
        <w:rPr>
          <w:rFonts w:hint="cs"/>
          <w:i/>
          <w:sz w:val="23"/>
          <w:szCs w:val="23"/>
          <w:rtl/>
        </w:rPr>
        <w:t>در بازار کار، تسویه</w:t>
      </w:r>
      <w:r w:rsidRPr="006B3D33">
        <w:rPr>
          <w:i/>
          <w:sz w:val="23"/>
          <w:szCs w:val="23"/>
          <w:rtl/>
        </w:rPr>
        <w:softHyphen/>
      </w:r>
      <w:r w:rsidRPr="006B3D33">
        <w:rPr>
          <w:rFonts w:hint="cs"/>
          <w:i/>
          <w:sz w:val="23"/>
          <w:szCs w:val="23"/>
          <w:rtl/>
        </w:rPr>
        <w:t>ی عرضه و تقاضا و تعادل، و بنابراین عدم وجود بیکاری غیرداوطلبانه مستلزم وجود دستمزد حقیقی کاملاً انعطاف</w:t>
      </w:r>
      <w:r w:rsidRPr="006B3D33">
        <w:rPr>
          <w:i/>
          <w:sz w:val="23"/>
          <w:szCs w:val="23"/>
          <w:rtl/>
        </w:rPr>
        <w:softHyphen/>
      </w:r>
      <w:r w:rsidRPr="006B3D33">
        <w:rPr>
          <w:rFonts w:hint="cs"/>
          <w:i/>
          <w:sz w:val="23"/>
          <w:szCs w:val="23"/>
          <w:rtl/>
        </w:rPr>
        <w:t>پذیر است. در فصل نهم اشاره شد که قیمت‌ها کاملاً انعطاف‌پذیر نبوده و چسبنده می‌باشند. همچنین دستمزدهای اسمی نیز کاملاً انعطاف‌پذیر نبوده و لذا دستمزد‌های حقیقی ممکن است بطور ناقص انعطاف</w:t>
      </w:r>
      <w:r w:rsidRPr="006B3D33">
        <w:rPr>
          <w:i/>
          <w:sz w:val="23"/>
          <w:szCs w:val="23"/>
          <w:rtl/>
        </w:rPr>
        <w:softHyphen/>
      </w:r>
      <w:r w:rsidRPr="006B3D33">
        <w:rPr>
          <w:rFonts w:hint="cs"/>
          <w:i/>
          <w:sz w:val="23"/>
          <w:szCs w:val="23"/>
          <w:rtl/>
        </w:rPr>
        <w:t>پذیر باشند. اگر تعدیل دستمزدهای حقیقی زمان</w:t>
      </w:r>
      <w:r w:rsidRPr="006B3D33">
        <w:rPr>
          <w:i/>
          <w:sz w:val="23"/>
          <w:szCs w:val="23"/>
          <w:rtl/>
        </w:rPr>
        <w:softHyphen/>
      </w:r>
      <w:r w:rsidRPr="006B3D33">
        <w:rPr>
          <w:rFonts w:hint="cs"/>
          <w:i/>
          <w:sz w:val="23"/>
          <w:szCs w:val="23"/>
          <w:rtl/>
        </w:rPr>
        <w:t>بر باشد، آنگاه شوک منفی تقاضا برای نیروی کار، منتج به بیکاری موقتی خواهد شد. اگر تغییرات قیمت و دستمزد در نتیجه</w:t>
      </w:r>
      <w:r w:rsidRPr="006B3D33">
        <w:rPr>
          <w:i/>
          <w:sz w:val="23"/>
          <w:szCs w:val="23"/>
          <w:rtl/>
        </w:rPr>
        <w:softHyphen/>
      </w:r>
      <w:r w:rsidRPr="006B3D33">
        <w:rPr>
          <w:rFonts w:hint="cs"/>
          <w:i/>
          <w:sz w:val="23"/>
          <w:szCs w:val="23"/>
          <w:rtl/>
        </w:rPr>
        <w:t>ی رفتار بهینه</w:t>
      </w:r>
      <w:r w:rsidRPr="006B3D33">
        <w:rPr>
          <w:i/>
          <w:sz w:val="23"/>
          <w:szCs w:val="23"/>
          <w:rtl/>
        </w:rPr>
        <w:softHyphen/>
      </w:r>
      <w:r w:rsidRPr="006B3D33">
        <w:rPr>
          <w:rFonts w:hint="cs"/>
          <w:i/>
          <w:sz w:val="23"/>
          <w:szCs w:val="23"/>
          <w:rtl/>
        </w:rPr>
        <w:t>ی بخشی از بنگاه‌ها و کارکنان باشد، آنگاه بیکاری حاصل از آن، نتیجه</w:t>
      </w:r>
      <w:r w:rsidRPr="006B3D33">
        <w:rPr>
          <w:i/>
          <w:sz w:val="23"/>
          <w:szCs w:val="23"/>
          <w:rtl/>
        </w:rPr>
        <w:softHyphen/>
      </w:r>
      <w:r w:rsidRPr="006B3D33">
        <w:rPr>
          <w:rFonts w:hint="cs"/>
          <w:i/>
          <w:sz w:val="23"/>
          <w:szCs w:val="23"/>
          <w:rtl/>
        </w:rPr>
        <w:t xml:space="preserve">ی یک پیامد تعادلی است و در مدل‌های تعادل عمومی پویای تصادفی بکار گرفته می‌شود. </w:t>
      </w:r>
    </w:p>
    <w:p w14:paraId="66776BE2" w14:textId="77777777" w:rsidR="00411620" w:rsidRPr="006B3D33" w:rsidRDefault="00411620" w:rsidP="00411620">
      <w:pPr>
        <w:spacing w:line="216" w:lineRule="auto"/>
        <w:rPr>
          <w:i/>
          <w:sz w:val="23"/>
          <w:szCs w:val="23"/>
          <w:rtl/>
        </w:rPr>
      </w:pPr>
      <w:r w:rsidRPr="006B3D33">
        <w:rPr>
          <w:rFonts w:hint="cs"/>
          <w:i/>
          <w:sz w:val="23"/>
          <w:szCs w:val="23"/>
          <w:rtl/>
        </w:rPr>
        <w:t>اگرچه بیکاری معمولاً بواسطه</w:t>
      </w:r>
      <w:r w:rsidRPr="006B3D33">
        <w:rPr>
          <w:i/>
          <w:sz w:val="23"/>
          <w:szCs w:val="23"/>
          <w:rtl/>
        </w:rPr>
        <w:softHyphen/>
      </w:r>
      <w:r w:rsidRPr="006B3D33">
        <w:rPr>
          <w:rFonts w:hint="cs"/>
          <w:i/>
          <w:sz w:val="23"/>
          <w:szCs w:val="23"/>
          <w:rtl/>
        </w:rPr>
        <w:t>ی تعداد افراد بیکار اندازه</w:t>
      </w:r>
      <w:r w:rsidRPr="006B3D33">
        <w:rPr>
          <w:i/>
          <w:sz w:val="23"/>
          <w:szCs w:val="23"/>
          <w:rtl/>
        </w:rPr>
        <w:softHyphen/>
      </w:r>
      <w:r w:rsidRPr="006B3D33">
        <w:rPr>
          <w:rFonts w:hint="cs"/>
          <w:i/>
          <w:sz w:val="23"/>
          <w:szCs w:val="23"/>
          <w:rtl/>
        </w:rPr>
        <w:t>گیری می‌شود، امّا خدمات نیروی کار اغلب بوسیله‌ی کل ساعات کار، یعنی تعداد افراد شاغل ضرب</w:t>
      </w:r>
      <w:r w:rsidRPr="006B3D33">
        <w:rPr>
          <w:i/>
          <w:sz w:val="23"/>
          <w:szCs w:val="23"/>
          <w:rtl/>
        </w:rPr>
        <w:softHyphen/>
      </w:r>
      <w:r w:rsidRPr="006B3D33">
        <w:rPr>
          <w:rFonts w:hint="cs"/>
          <w:i/>
          <w:sz w:val="23"/>
          <w:szCs w:val="23"/>
          <w:rtl/>
        </w:rPr>
        <w:t>در مقدار ساعات کار آن‌ها اندازه</w:t>
      </w:r>
      <w:r w:rsidRPr="006B3D33">
        <w:rPr>
          <w:i/>
          <w:sz w:val="23"/>
          <w:szCs w:val="23"/>
          <w:rtl/>
        </w:rPr>
        <w:softHyphen/>
      </w:r>
      <w:r w:rsidRPr="006B3D33">
        <w:rPr>
          <w:rFonts w:hint="cs"/>
          <w:i/>
          <w:sz w:val="23"/>
          <w:szCs w:val="23"/>
          <w:rtl/>
        </w:rPr>
        <w:t xml:space="preserve">گیری خواهد </w:t>
      </w:r>
      <w:r w:rsidRPr="006B3D33">
        <w:rPr>
          <w:rFonts w:hint="cs"/>
          <w:i/>
          <w:sz w:val="23"/>
          <w:szCs w:val="23"/>
          <w:rtl/>
        </w:rPr>
        <w:lastRenderedPageBreak/>
        <w:t>شد. گاهی اوقات تعداد افراد شاغل به حاشیه</w:t>
      </w:r>
      <w:r w:rsidRPr="006B3D33">
        <w:rPr>
          <w:i/>
          <w:sz w:val="23"/>
          <w:szCs w:val="23"/>
          <w:rtl/>
        </w:rPr>
        <w:softHyphen/>
      </w:r>
      <w:r w:rsidRPr="006B3D33">
        <w:rPr>
          <w:rFonts w:hint="cs"/>
          <w:i/>
          <w:sz w:val="23"/>
          <w:szCs w:val="23"/>
          <w:rtl/>
        </w:rPr>
        <w:t>ی سطحی</w:t>
      </w:r>
      <w:r w:rsidRPr="006B3D33">
        <w:rPr>
          <w:rStyle w:val="FootnoteReference"/>
          <w:rFonts w:eastAsiaTheme="majorEastAsia"/>
          <w:i/>
          <w:sz w:val="23"/>
          <w:szCs w:val="23"/>
          <w:rtl/>
        </w:rPr>
        <w:footnoteReference w:id="218"/>
      </w:r>
      <w:r w:rsidRPr="006B3D33">
        <w:rPr>
          <w:rFonts w:hint="cs"/>
          <w:i/>
          <w:sz w:val="23"/>
          <w:szCs w:val="23"/>
          <w:rtl/>
        </w:rPr>
        <w:t xml:space="preserve"> و مقدار ساعات کار آن‌ها به حاشیه</w:t>
      </w:r>
      <w:r w:rsidRPr="006B3D33">
        <w:rPr>
          <w:i/>
          <w:sz w:val="23"/>
          <w:szCs w:val="23"/>
          <w:rtl/>
        </w:rPr>
        <w:softHyphen/>
      </w:r>
      <w:r w:rsidRPr="006B3D33">
        <w:rPr>
          <w:rFonts w:hint="cs"/>
          <w:i/>
          <w:sz w:val="23"/>
          <w:szCs w:val="23"/>
          <w:rtl/>
        </w:rPr>
        <w:t>ی عمقی</w:t>
      </w:r>
      <w:r w:rsidRPr="006B3D33">
        <w:rPr>
          <w:rStyle w:val="FootnoteReference"/>
          <w:rFonts w:eastAsiaTheme="majorEastAsia"/>
          <w:i/>
          <w:sz w:val="23"/>
          <w:szCs w:val="23"/>
          <w:rtl/>
        </w:rPr>
        <w:footnoteReference w:id="219"/>
      </w:r>
      <w:r w:rsidRPr="006B3D33">
        <w:rPr>
          <w:rFonts w:hint="cs"/>
          <w:i/>
          <w:sz w:val="23"/>
          <w:szCs w:val="23"/>
          <w:rtl/>
        </w:rPr>
        <w:t xml:space="preserve"> نسبت داده می‌شوند. گاهی اوقات نوسانات کل ساعات کار را می‌توان به نوسانات تعداد شاغلین و متوسط ساعات کار آن‌ها تجزیه کرد. در این صورت افزایش نوسانات متوسط ساعات کار احتمالاً اثر کم‌تری بر بیکاری خواهد گذاشت.</w:t>
      </w:r>
    </w:p>
    <w:p w14:paraId="0E72A2DC" w14:textId="77777777" w:rsidR="00411620" w:rsidRPr="006B3D33" w:rsidRDefault="00411620" w:rsidP="00411620">
      <w:pPr>
        <w:spacing w:line="216" w:lineRule="auto"/>
        <w:rPr>
          <w:i/>
          <w:sz w:val="23"/>
          <w:szCs w:val="23"/>
          <w:rtl/>
        </w:rPr>
      </w:pPr>
    </w:p>
    <w:p w14:paraId="5EDE78A9" w14:textId="77777777" w:rsidR="00411620" w:rsidRPr="006B3D33" w:rsidRDefault="00411620" w:rsidP="00411620">
      <w:pPr>
        <w:pStyle w:val="Heading1"/>
        <w:spacing w:before="0" w:after="0" w:line="216" w:lineRule="auto"/>
        <w:rPr>
          <w:rFonts w:ascii="Times New Roman" w:hAnsi="Times New Roman" w:cs="B Nazanin"/>
          <w:b w:val="0"/>
          <w:i/>
          <w:sz w:val="23"/>
          <w:szCs w:val="23"/>
          <w:rtl/>
        </w:rPr>
      </w:pPr>
      <w:r w:rsidRPr="006B3D33">
        <w:rPr>
          <w:rFonts w:ascii="Times New Roman" w:hAnsi="Times New Roman" w:cs="B Nazanin" w:hint="cs"/>
          <w:b w:val="0"/>
          <w:i/>
          <w:sz w:val="23"/>
          <w:szCs w:val="23"/>
          <w:rtl/>
        </w:rPr>
        <w:t>۱۰. ۲ داده‌های مربوط به بازار کار</w:t>
      </w:r>
    </w:p>
    <w:p w14:paraId="17C7C1B7" w14:textId="77777777" w:rsidR="00411620" w:rsidRPr="006B3D33" w:rsidRDefault="00411620" w:rsidP="00411620">
      <w:pPr>
        <w:spacing w:line="216" w:lineRule="auto"/>
        <w:rPr>
          <w:i/>
          <w:sz w:val="23"/>
          <w:szCs w:val="23"/>
          <w:rtl/>
        </w:rPr>
      </w:pPr>
      <w:r w:rsidRPr="006B3D33">
        <w:rPr>
          <w:rFonts w:hint="cs"/>
          <w:i/>
          <w:sz w:val="23"/>
          <w:szCs w:val="23"/>
          <w:rtl/>
        </w:rPr>
        <w:t>نمودارهای ۱۰. ۱ و ۱۰. ۲ برخی ایده‌های مربوط به اهمیت متغیرهای اشتغال، نرخ بیکاری، و متوسط ساعات کار و روابط آن‌ها را با تغییرات تولید و دستمزد حقیقی در ایالات متحده‌ی آمریکا نشان می‌دهد. متغیرهای اشتغال، متوسط ساعات کار، تولید و دستمزدهای حقیقی بصورت درصد انحرافات از متغیر روند اندازه</w:t>
      </w:r>
      <w:r w:rsidRPr="006B3D33">
        <w:rPr>
          <w:i/>
          <w:sz w:val="23"/>
          <w:szCs w:val="23"/>
          <w:rtl/>
        </w:rPr>
        <w:softHyphen/>
      </w:r>
      <w:r w:rsidRPr="006B3D33">
        <w:rPr>
          <w:rFonts w:hint="cs"/>
          <w:i/>
          <w:sz w:val="23"/>
          <w:szCs w:val="23"/>
          <w:rtl/>
        </w:rPr>
        <w:t>گیری شده</w:t>
      </w:r>
      <w:r w:rsidRPr="006B3D33">
        <w:rPr>
          <w:i/>
          <w:sz w:val="23"/>
          <w:szCs w:val="23"/>
          <w:rtl/>
        </w:rPr>
        <w:softHyphen/>
      </w:r>
      <w:r w:rsidRPr="006B3D33">
        <w:rPr>
          <w:rFonts w:hint="cs"/>
          <w:i/>
          <w:sz w:val="23"/>
          <w:szCs w:val="23"/>
          <w:rtl/>
        </w:rPr>
        <w:t xml:space="preserve">اند. برای سهولت تجزیه و تحلیل متغیر نرخ بیکاری در منفی یک ضرب و جهت تعدیل آن میانگین ۹/۵ درصد بدان اضافه شده است. در نتیجه افزایش در سری زمانی مبین کاهش نرخ بیکاری است. </w:t>
      </w:r>
    </w:p>
    <w:p w14:paraId="655F468C" w14:textId="77777777" w:rsidR="00411620" w:rsidRPr="006B3D33" w:rsidRDefault="00411620" w:rsidP="00411620">
      <w:pPr>
        <w:spacing w:line="216" w:lineRule="auto"/>
        <w:rPr>
          <w:i/>
          <w:sz w:val="23"/>
          <w:szCs w:val="23"/>
          <w:rtl/>
        </w:rPr>
      </w:pPr>
      <w:r w:rsidRPr="006B3D33">
        <w:rPr>
          <w:rFonts w:hint="cs"/>
          <w:i/>
          <w:sz w:val="23"/>
          <w:szCs w:val="23"/>
          <w:rtl/>
        </w:rPr>
        <w:t>روند تولید و اشتغال افزایشی است و متوسط نرخ‌های رشد سالانه</w:t>
      </w:r>
      <w:r w:rsidRPr="006B3D33">
        <w:rPr>
          <w:i/>
          <w:sz w:val="23"/>
          <w:szCs w:val="23"/>
          <w:rtl/>
        </w:rPr>
        <w:softHyphen/>
      </w:r>
      <w:r w:rsidRPr="006B3D33">
        <w:rPr>
          <w:rFonts w:hint="cs"/>
          <w:i/>
          <w:sz w:val="23"/>
          <w:szCs w:val="23"/>
          <w:rtl/>
        </w:rPr>
        <w:t xml:space="preserve">ی آن‌ها ۷/۲ و ۳/۶ درصد می‌باشد. متوسط ساعات کار در طی دوره‌ی مورد بررسی ۴/۵ ساعت کاهش یافته و دستمزدهای حقیقی که با متوسط درآمد هر ساعت تقسیم بر شاخص تعدیل کننده‌ی </w:t>
      </w:r>
      <w:r w:rsidRPr="006B3D33">
        <w:rPr>
          <w:i/>
          <w:sz w:val="23"/>
          <w:szCs w:val="23"/>
        </w:rPr>
        <w:t>GDP</w:t>
      </w:r>
      <w:r w:rsidRPr="006B3D33">
        <w:rPr>
          <w:rFonts w:hint="cs"/>
          <w:i/>
          <w:sz w:val="23"/>
          <w:szCs w:val="23"/>
          <w:rtl/>
        </w:rPr>
        <w:t xml:space="preserve"> اندازه</w:t>
      </w:r>
      <w:r w:rsidRPr="006B3D33">
        <w:rPr>
          <w:i/>
          <w:sz w:val="23"/>
          <w:szCs w:val="23"/>
          <w:rtl/>
        </w:rPr>
        <w:softHyphen/>
      </w:r>
      <w:r w:rsidRPr="006B3D33">
        <w:rPr>
          <w:rFonts w:hint="cs"/>
          <w:i/>
          <w:sz w:val="23"/>
          <w:szCs w:val="23"/>
          <w:rtl/>
        </w:rPr>
        <w:t>گیری می‌شود، تا سال ۱۹۷۲ و از سال ۱۹۹۵ افزایش، ولی در بین این سال‌ها تغییرات کمی داشته است. نمودار ۱۰. ۱ نشان می‌دهد که تغییرات در اشتغال بسیار شبیه تولید است و همبستگی آن‌ها که ممکن است اثرات تغییرات تولید بر اشتغال و یا بالعکس باشد، ۸۴/۰ می‌باشد. هرچند در بحران اقتصادی سال‌های ۲۰۱۰ کاهش تولید و اشتغال با هم صورت گرفته است. در مقابل، تغییرات در متوسط ساعات کار کمتر و در جهت ادوار تجاری است و همبستگی آن با تولید ۶۱/۰ و با اشتغال ۵۳/۰ می‌باشد. همچنین متوسط ساعات کار در بحران سال‌های ۲۰۱۰ کاهش یافته و به اندازه‌ی تولید و اشتغال نبوده است.</w:t>
      </w:r>
    </w:p>
    <w:p w14:paraId="13224420" w14:textId="77777777" w:rsidR="00411620" w:rsidRPr="006B3D33" w:rsidRDefault="00411620" w:rsidP="00411620">
      <w:pPr>
        <w:spacing w:line="216" w:lineRule="auto"/>
        <w:rPr>
          <w:i/>
          <w:sz w:val="23"/>
          <w:szCs w:val="23"/>
          <w:rtl/>
        </w:rPr>
      </w:pPr>
      <w:r w:rsidRPr="006B3D33">
        <w:rPr>
          <w:rFonts w:hint="cs"/>
          <w:i/>
          <w:sz w:val="23"/>
          <w:szCs w:val="23"/>
          <w:rtl/>
        </w:rPr>
        <w:t>نمودار ۱۰. ۱ نشان می‌دهد که تغییرات در نرخ بیکاری دوره</w:t>
      </w:r>
      <w:r w:rsidRPr="006B3D33">
        <w:rPr>
          <w:i/>
          <w:sz w:val="23"/>
          <w:szCs w:val="23"/>
          <w:rtl/>
        </w:rPr>
        <w:softHyphen/>
      </w:r>
      <w:r w:rsidRPr="006B3D33">
        <w:rPr>
          <w:rFonts w:hint="cs"/>
          <w:i/>
          <w:sz w:val="23"/>
          <w:szCs w:val="23"/>
          <w:rtl/>
        </w:rPr>
        <w:t>ای نیست، و همبستگی آن با شکاف تولید ۶۱/۰- می‌باشد. در بحران سال‌های ۲۰۱۰ با کاهش اشتغال و تولید نرخ بیکاری افزایش یافته است که مبین بیکاری غیرداوطلبانه است. در طی دوره</w:t>
      </w:r>
      <w:r w:rsidRPr="006B3D33">
        <w:rPr>
          <w:i/>
          <w:sz w:val="23"/>
          <w:szCs w:val="23"/>
          <w:rtl/>
        </w:rPr>
        <w:softHyphen/>
      </w:r>
      <w:r w:rsidRPr="006B3D33">
        <w:rPr>
          <w:rFonts w:hint="cs"/>
          <w:i/>
          <w:sz w:val="23"/>
          <w:szCs w:val="23"/>
          <w:rtl/>
        </w:rPr>
        <w:t>ی مورد بررسی نرخ بیکاری مثبت و بعد از سال ۱۹۷۰ هرگز به زیر ۴</w:t>
      </w:r>
      <w:r w:rsidRPr="006B3D33">
        <w:rPr>
          <w:rFonts w:cs="Times New Roman" w:hint="cs"/>
          <w:i/>
          <w:sz w:val="23"/>
          <w:szCs w:val="23"/>
          <w:rtl/>
        </w:rPr>
        <w:t>٪</w:t>
      </w:r>
      <w:r w:rsidRPr="006B3D33">
        <w:rPr>
          <w:rFonts w:hint="cs"/>
          <w:i/>
          <w:sz w:val="23"/>
          <w:szCs w:val="23"/>
          <w:rtl/>
        </w:rPr>
        <w:t xml:space="preserve"> کاهش نیافت که نشان می‌دهد بیکاری دارای مولفه و اجزاء دائمی است.</w:t>
      </w:r>
    </w:p>
    <w:p w14:paraId="249C3C3E" w14:textId="77777777" w:rsidR="00411620" w:rsidRPr="006B3D33" w:rsidRDefault="00411620" w:rsidP="00411620">
      <w:pPr>
        <w:spacing w:line="216" w:lineRule="auto"/>
        <w:rPr>
          <w:i/>
          <w:sz w:val="23"/>
          <w:szCs w:val="23"/>
          <w:rtl/>
        </w:rPr>
      </w:pPr>
      <w:r w:rsidRPr="006B3D33">
        <w:rPr>
          <w:rFonts w:hint="cs"/>
          <w:i/>
          <w:sz w:val="23"/>
          <w:szCs w:val="23"/>
          <w:rtl/>
        </w:rPr>
        <w:t>نمودار ۱۰. ۲ نشان می‌دهد که نرخ دستمزد حقیقی کم و بیش در جهت چرخه</w:t>
      </w:r>
      <w:r w:rsidRPr="006B3D33">
        <w:rPr>
          <w:i/>
          <w:sz w:val="23"/>
          <w:szCs w:val="23"/>
          <w:rtl/>
        </w:rPr>
        <w:softHyphen/>
      </w:r>
      <w:r w:rsidRPr="006B3D33">
        <w:rPr>
          <w:rFonts w:hint="cs"/>
          <w:i/>
          <w:sz w:val="23"/>
          <w:szCs w:val="23"/>
          <w:rtl/>
        </w:rPr>
        <w:t>ی تجاری است، هر چند دارای دامنه</w:t>
      </w:r>
      <w:r w:rsidRPr="006B3D33">
        <w:rPr>
          <w:i/>
          <w:sz w:val="23"/>
          <w:szCs w:val="23"/>
          <w:rtl/>
        </w:rPr>
        <w:softHyphen/>
      </w:r>
      <w:r w:rsidRPr="006B3D33">
        <w:rPr>
          <w:rFonts w:hint="cs"/>
          <w:i/>
          <w:sz w:val="23"/>
          <w:szCs w:val="23"/>
          <w:rtl/>
        </w:rPr>
        <w:t xml:space="preserve">ای مشابه ولی تکرار و فرکانس نوسانات آن کمتر از اشتغال و بیکاری و تولید است. این نتایج شواهد ضعیفی از چسبندگی دستمزد حقیقی است. </w:t>
      </w:r>
    </w:p>
    <w:p w14:paraId="18BFEE58" w14:textId="77777777" w:rsidR="00411620" w:rsidRPr="006B3D33" w:rsidRDefault="00411620" w:rsidP="00411620">
      <w:pPr>
        <w:spacing w:line="216" w:lineRule="auto"/>
        <w:rPr>
          <w:i/>
          <w:sz w:val="23"/>
          <w:szCs w:val="23"/>
          <w:rtl/>
        </w:rPr>
      </w:pPr>
      <w:r w:rsidRPr="006B3D33">
        <w:rPr>
          <w:rFonts w:hint="cs"/>
          <w:i/>
          <w:sz w:val="23"/>
          <w:szCs w:val="23"/>
          <w:rtl/>
        </w:rPr>
        <w:t>همبستگی دستمزد حقیقی با تولید (۶۱/۰)، با اشتغال ( ۴۷/۰) و با ساعات کار ( ۳۶/۰) است. این نتایج نشان می‌دهد که برای بسیاری از دوره‌های مورد بررسی دستمزد‌های حقیقی منتج از شوک‌های مثبت تقاضا و یا شوک‌های مثبت بهره</w:t>
      </w:r>
      <w:r w:rsidRPr="006B3D33">
        <w:rPr>
          <w:i/>
          <w:sz w:val="23"/>
          <w:szCs w:val="23"/>
          <w:rtl/>
        </w:rPr>
        <w:softHyphen/>
      </w:r>
      <w:r w:rsidRPr="006B3D33">
        <w:rPr>
          <w:rFonts w:hint="cs"/>
          <w:i/>
          <w:sz w:val="23"/>
          <w:szCs w:val="23"/>
          <w:rtl/>
        </w:rPr>
        <w:t xml:space="preserve">وری است. در مقابل خصوصیات جالب این داده‌ها آن است که </w:t>
      </w:r>
      <w:r w:rsidRPr="006B3D33">
        <w:rPr>
          <w:rFonts w:hint="cs"/>
          <w:i/>
          <w:sz w:val="23"/>
          <w:szCs w:val="23"/>
          <w:rtl/>
        </w:rPr>
        <w:lastRenderedPageBreak/>
        <w:t xml:space="preserve">دستمزدهای حقیقی با تولید و اشتغال در سال‌های ۲۰۰۵-۲۰۰۳ افزایش نیافته و در طی آن دهه کاهش یافته است. </w:t>
      </w:r>
    </w:p>
    <w:p w14:paraId="162754F4" w14:textId="77777777" w:rsidR="00411620" w:rsidRPr="006B3D33" w:rsidRDefault="00411620" w:rsidP="00411620">
      <w:pPr>
        <w:spacing w:line="216" w:lineRule="auto"/>
        <w:rPr>
          <w:i/>
          <w:sz w:val="23"/>
          <w:szCs w:val="23"/>
        </w:rPr>
      </w:pPr>
    </w:p>
    <w:p w14:paraId="7DF2C3D8" w14:textId="77777777" w:rsidR="00411620" w:rsidRPr="006B3D33" w:rsidRDefault="00411620" w:rsidP="00411620">
      <w:pPr>
        <w:spacing w:line="216" w:lineRule="auto"/>
        <w:jc w:val="center"/>
        <w:rPr>
          <w:i/>
          <w:sz w:val="23"/>
          <w:szCs w:val="23"/>
          <w:rtl/>
        </w:rPr>
      </w:pPr>
      <w:r w:rsidRPr="006B3D33">
        <w:rPr>
          <w:rFonts w:hint="cs"/>
          <w:i/>
          <w:sz w:val="23"/>
          <w:szCs w:val="23"/>
          <w:rtl/>
        </w:rPr>
        <w:t>نمودار ۱۰. ۱: تولید ناخالص داخلی، اشتغال، ساعات کارو بیکاری در ایالات متحده آمریکا</w:t>
      </w:r>
    </w:p>
    <w:p w14:paraId="65501FF1" w14:textId="77777777" w:rsidR="00411620" w:rsidRPr="006B3D33" w:rsidRDefault="00411620" w:rsidP="00411620">
      <w:pPr>
        <w:spacing w:line="216" w:lineRule="auto"/>
        <w:jc w:val="center"/>
        <w:rPr>
          <w:i/>
          <w:sz w:val="23"/>
          <w:szCs w:val="23"/>
          <w:rtl/>
        </w:rPr>
      </w:pPr>
      <w:r w:rsidRPr="006B3D33">
        <w:rPr>
          <w:i/>
          <w:noProof/>
          <w:sz w:val="23"/>
          <w:szCs w:val="23"/>
          <w:u w:val="single"/>
          <w:lang w:bidi="ar-SA"/>
        </w:rPr>
        <w:drawing>
          <wp:inline distT="0" distB="0" distL="0" distR="0" wp14:anchorId="55600987" wp14:editId="605A70CF">
            <wp:extent cx="3654067" cy="2009104"/>
            <wp:effectExtent l="38100" t="38100" r="41910" b="298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5">
                      <a:extLst>
                        <a:ext uri="{BEBA8EAE-BF5A-486C-A8C5-ECC9F3942E4B}">
                          <a14:imgProps xmlns:a14="http://schemas.microsoft.com/office/drawing/2010/main">
                            <a14:imgLayer r:embed="rId6806">
                              <a14:imgEffect>
                                <a14:sharpenSoften amount="50000"/>
                              </a14:imgEffect>
                              <a14:imgEffect>
                                <a14:brightnessContrast contrast="40000"/>
                              </a14:imgEffect>
                            </a14:imgLayer>
                          </a14:imgProps>
                        </a:ext>
                      </a:extLst>
                    </a:blip>
                    <a:stretch>
                      <a:fillRect/>
                    </a:stretch>
                  </pic:blipFill>
                  <pic:spPr>
                    <a:xfrm>
                      <a:off x="0" y="0"/>
                      <a:ext cx="3680941" cy="2023880"/>
                    </a:xfrm>
                    <a:prstGeom prst="rect">
                      <a:avLst/>
                    </a:prstGeom>
                    <a:ln w="28575">
                      <a:solidFill>
                        <a:schemeClr val="tx1"/>
                      </a:solidFill>
                    </a:ln>
                  </pic:spPr>
                </pic:pic>
              </a:graphicData>
            </a:graphic>
          </wp:inline>
        </w:drawing>
      </w:r>
    </w:p>
    <w:p w14:paraId="4DE63EBC" w14:textId="77777777" w:rsidR="00411620" w:rsidRPr="006B3D33" w:rsidRDefault="00411620" w:rsidP="00411620">
      <w:pPr>
        <w:spacing w:line="216" w:lineRule="auto"/>
        <w:jc w:val="center"/>
        <w:rPr>
          <w:i/>
          <w:sz w:val="23"/>
          <w:szCs w:val="23"/>
          <w:rtl/>
        </w:rPr>
      </w:pPr>
    </w:p>
    <w:p w14:paraId="15019881" w14:textId="77777777" w:rsidR="00411620" w:rsidRPr="006B3D33" w:rsidRDefault="00411620" w:rsidP="00411620">
      <w:pPr>
        <w:spacing w:line="216" w:lineRule="auto"/>
        <w:jc w:val="center"/>
        <w:rPr>
          <w:i/>
          <w:sz w:val="23"/>
          <w:szCs w:val="23"/>
          <w:rtl/>
        </w:rPr>
      </w:pPr>
      <w:r w:rsidRPr="006B3D33">
        <w:rPr>
          <w:rFonts w:hint="cs"/>
          <w:i/>
          <w:sz w:val="23"/>
          <w:szCs w:val="23"/>
          <w:rtl/>
        </w:rPr>
        <w:t>نمودار ۱۰. ۲: نرخ دستمزد حقیقی، اشتغال و بیکاری در ایالات متحده‌ی آمریکا</w:t>
      </w:r>
    </w:p>
    <w:p w14:paraId="7944370B" w14:textId="77777777" w:rsidR="00411620" w:rsidRPr="006B3D33" w:rsidRDefault="00411620" w:rsidP="00411620">
      <w:pPr>
        <w:spacing w:line="216" w:lineRule="auto"/>
        <w:jc w:val="center"/>
        <w:rPr>
          <w:i/>
          <w:sz w:val="23"/>
          <w:szCs w:val="23"/>
          <w:rtl/>
        </w:rPr>
      </w:pPr>
      <w:r w:rsidRPr="006B3D33">
        <w:rPr>
          <w:i/>
          <w:noProof/>
          <w:sz w:val="23"/>
          <w:szCs w:val="23"/>
          <w:u w:val="single"/>
          <w:lang w:bidi="ar-SA"/>
        </w:rPr>
        <w:drawing>
          <wp:inline distT="0" distB="0" distL="0" distR="0" wp14:anchorId="08A69D34" wp14:editId="7AE98BDC">
            <wp:extent cx="3653874" cy="2067059"/>
            <wp:effectExtent l="38100" t="38100" r="41910" b="476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7">
                      <a:extLst>
                        <a:ext uri="{BEBA8EAE-BF5A-486C-A8C5-ECC9F3942E4B}">
                          <a14:imgProps xmlns:a14="http://schemas.microsoft.com/office/drawing/2010/main">
                            <a14:imgLayer r:embed="rId6808">
                              <a14:imgEffect>
                                <a14:sharpenSoften amount="50000"/>
                              </a14:imgEffect>
                              <a14:imgEffect>
                                <a14:brightnessContrast contrast="40000"/>
                              </a14:imgEffect>
                            </a14:imgLayer>
                          </a14:imgProps>
                        </a:ext>
                      </a:extLst>
                    </a:blip>
                    <a:stretch>
                      <a:fillRect/>
                    </a:stretch>
                  </pic:blipFill>
                  <pic:spPr>
                    <a:xfrm>
                      <a:off x="0" y="0"/>
                      <a:ext cx="3663658" cy="2072594"/>
                    </a:xfrm>
                    <a:prstGeom prst="rect">
                      <a:avLst/>
                    </a:prstGeom>
                    <a:ln w="28575">
                      <a:solidFill>
                        <a:schemeClr val="tx1"/>
                      </a:solidFill>
                    </a:ln>
                  </pic:spPr>
                </pic:pic>
              </a:graphicData>
            </a:graphic>
          </wp:inline>
        </w:drawing>
      </w:r>
    </w:p>
    <w:p w14:paraId="4900AB50" w14:textId="77777777" w:rsidR="00411620" w:rsidRDefault="00411620" w:rsidP="00411620">
      <w:pPr>
        <w:spacing w:line="216" w:lineRule="auto"/>
        <w:jc w:val="center"/>
        <w:rPr>
          <w:i/>
          <w:sz w:val="23"/>
          <w:szCs w:val="23"/>
          <w:rtl/>
        </w:rPr>
      </w:pPr>
    </w:p>
    <w:p w14:paraId="39B901E4" w14:textId="77777777" w:rsidR="00411620" w:rsidRPr="006B3D33" w:rsidRDefault="00411620" w:rsidP="00411620">
      <w:pPr>
        <w:spacing w:line="216" w:lineRule="auto"/>
        <w:rPr>
          <w:i/>
          <w:sz w:val="23"/>
          <w:szCs w:val="23"/>
          <w:rtl/>
        </w:rPr>
      </w:pPr>
      <w:r w:rsidRPr="006B3D33">
        <w:rPr>
          <w:rFonts w:hint="cs"/>
          <w:i/>
          <w:sz w:val="23"/>
          <w:szCs w:val="23"/>
          <w:rtl/>
        </w:rPr>
        <w:t>با در نظر گرفتن این داده‌ها، سه مدل بیکاری را با یکدیگر مقایسه می‌کنیم. دو مدل مستلزم بازار ناقص نیروی کار است. اولین مدل مبتنی است بر نظریه جستجو و برای بررسی اثر هزینه‌های استخدام بر بیکاری، فرصت</w:t>
      </w:r>
      <w:r w:rsidRPr="006B3D33">
        <w:rPr>
          <w:i/>
          <w:sz w:val="23"/>
          <w:szCs w:val="23"/>
          <w:rtl/>
        </w:rPr>
        <w:softHyphen/>
      </w:r>
      <w:r w:rsidRPr="006B3D33">
        <w:rPr>
          <w:rFonts w:hint="cs"/>
          <w:i/>
          <w:sz w:val="23"/>
          <w:szCs w:val="23"/>
          <w:rtl/>
        </w:rPr>
        <w:t>های خالی شغلی، و تعیین دستمزد از طریق چانه</w:t>
      </w:r>
      <w:r w:rsidRPr="006B3D33">
        <w:rPr>
          <w:i/>
          <w:sz w:val="23"/>
          <w:szCs w:val="23"/>
          <w:rtl/>
        </w:rPr>
        <w:softHyphen/>
      </w:r>
      <w:r w:rsidRPr="006B3D33">
        <w:rPr>
          <w:rFonts w:hint="cs"/>
          <w:i/>
          <w:sz w:val="23"/>
          <w:szCs w:val="23"/>
          <w:rtl/>
        </w:rPr>
        <w:t>زنی بین کارکنان و بنگاه‌ها بکار می‌رود. دومین مدل که بدان اشاره می</w:t>
      </w:r>
      <w:r w:rsidRPr="006B3D33">
        <w:rPr>
          <w:i/>
          <w:sz w:val="23"/>
          <w:szCs w:val="23"/>
          <w:rtl/>
        </w:rPr>
        <w:softHyphen/>
      </w:r>
      <w:r w:rsidRPr="006B3D33">
        <w:rPr>
          <w:rFonts w:hint="cs"/>
          <w:i/>
          <w:sz w:val="23"/>
          <w:szCs w:val="23"/>
          <w:rtl/>
        </w:rPr>
        <w:t>شود نظریه کارایی-دستمزد است که در آن، بنگاه‌ها ترجیح می</w:t>
      </w:r>
      <w:r w:rsidRPr="006B3D33">
        <w:rPr>
          <w:i/>
          <w:sz w:val="23"/>
          <w:szCs w:val="23"/>
          <w:rtl/>
        </w:rPr>
        <w:softHyphen/>
      </w:r>
      <w:r w:rsidRPr="006B3D33">
        <w:rPr>
          <w:rFonts w:hint="cs"/>
          <w:i/>
          <w:sz w:val="23"/>
          <w:szCs w:val="23"/>
          <w:rtl/>
        </w:rPr>
        <w:t>دهند جهت افزایش بهره</w:t>
      </w:r>
      <w:r w:rsidRPr="006B3D33">
        <w:rPr>
          <w:i/>
          <w:sz w:val="23"/>
          <w:szCs w:val="23"/>
          <w:rtl/>
        </w:rPr>
        <w:softHyphen/>
      </w:r>
      <w:r w:rsidRPr="006B3D33">
        <w:rPr>
          <w:rFonts w:hint="cs"/>
          <w:i/>
          <w:sz w:val="23"/>
          <w:szCs w:val="23"/>
          <w:rtl/>
        </w:rPr>
        <w:t xml:space="preserve">وری نیروی کار دستمزد بیشتری را پرداخت کنند. سومین مدل اثر </w:t>
      </w:r>
      <w:r w:rsidRPr="006B3D33">
        <w:rPr>
          <w:rFonts w:hint="cs"/>
          <w:i/>
          <w:sz w:val="23"/>
          <w:szCs w:val="23"/>
          <w:rtl/>
        </w:rPr>
        <w:lastRenderedPageBreak/>
        <w:t>چسبندگی دستمزد بر بیکاری را مورد بررسی قرار می</w:t>
      </w:r>
      <w:r w:rsidRPr="006B3D33">
        <w:rPr>
          <w:i/>
          <w:sz w:val="23"/>
          <w:szCs w:val="23"/>
          <w:rtl/>
        </w:rPr>
        <w:softHyphen/>
      </w:r>
      <w:r w:rsidRPr="006B3D33">
        <w:rPr>
          <w:rFonts w:hint="cs"/>
          <w:i/>
          <w:sz w:val="23"/>
          <w:szCs w:val="23"/>
          <w:rtl/>
        </w:rPr>
        <w:t>دهد. متغیر اشتغال فرّارتر و تغییرپذیرتر، و دستمزد حقیقی و بهره</w:t>
      </w:r>
      <w:r w:rsidRPr="006B3D33">
        <w:rPr>
          <w:i/>
          <w:sz w:val="23"/>
          <w:szCs w:val="23"/>
          <w:rtl/>
        </w:rPr>
        <w:softHyphen/>
      </w:r>
      <w:r w:rsidRPr="006B3D33">
        <w:rPr>
          <w:rFonts w:hint="cs"/>
          <w:i/>
          <w:sz w:val="23"/>
          <w:szCs w:val="23"/>
          <w:rtl/>
        </w:rPr>
        <w:t>وری نیروی کار انعطاف</w:t>
      </w:r>
      <w:r w:rsidRPr="006B3D33">
        <w:rPr>
          <w:i/>
          <w:sz w:val="23"/>
          <w:szCs w:val="23"/>
          <w:rtl/>
        </w:rPr>
        <w:softHyphen/>
      </w:r>
      <w:r w:rsidRPr="006B3D33">
        <w:rPr>
          <w:rFonts w:hint="cs"/>
          <w:i/>
          <w:sz w:val="23"/>
          <w:szCs w:val="23"/>
          <w:rtl/>
        </w:rPr>
        <w:t>پذیری کم</w:t>
      </w:r>
      <w:r w:rsidRPr="006B3D33">
        <w:rPr>
          <w:i/>
          <w:sz w:val="23"/>
          <w:szCs w:val="23"/>
          <w:rtl/>
        </w:rPr>
        <w:softHyphen/>
      </w:r>
      <w:r w:rsidRPr="006B3D33">
        <w:rPr>
          <w:rFonts w:hint="cs"/>
          <w:i/>
          <w:sz w:val="23"/>
          <w:szCs w:val="23"/>
          <w:rtl/>
        </w:rPr>
        <w:t xml:space="preserve">تری دارند، و این نتایج با چسبندگی دستمزد سازگار است. </w:t>
      </w:r>
    </w:p>
    <w:p w14:paraId="098A5BE7" w14:textId="77777777" w:rsidR="00411620" w:rsidRPr="006B3D33" w:rsidRDefault="00411620" w:rsidP="00411620">
      <w:pPr>
        <w:spacing w:line="216" w:lineRule="auto"/>
        <w:jc w:val="center"/>
        <w:rPr>
          <w:i/>
          <w:sz w:val="23"/>
          <w:szCs w:val="23"/>
          <w:rtl/>
        </w:rPr>
      </w:pPr>
    </w:p>
    <w:p w14:paraId="1BF458C1" w14:textId="77777777" w:rsidR="00411620" w:rsidRPr="006B3D33" w:rsidRDefault="00411620" w:rsidP="00411620">
      <w:pPr>
        <w:pStyle w:val="Heading1"/>
        <w:spacing w:before="0" w:after="0" w:line="216" w:lineRule="auto"/>
        <w:rPr>
          <w:rFonts w:ascii="Times New Roman" w:hAnsi="Times New Roman" w:cs="B Nazanin"/>
          <w:b w:val="0"/>
          <w:i/>
          <w:sz w:val="23"/>
          <w:szCs w:val="23"/>
          <w:rtl/>
        </w:rPr>
      </w:pPr>
      <w:r w:rsidRPr="006B3D33">
        <w:rPr>
          <w:rFonts w:ascii="Times New Roman" w:hAnsi="Times New Roman" w:cs="B Nazanin" w:hint="cs"/>
          <w:b w:val="0"/>
          <w:i/>
          <w:sz w:val="23"/>
          <w:szCs w:val="23"/>
          <w:rtl/>
        </w:rPr>
        <w:t xml:space="preserve"> ۱۰. ۳ نظریه جستجو و بیکاری</w:t>
      </w:r>
    </w:p>
    <w:p w14:paraId="07FDA18F" w14:textId="77777777" w:rsidR="00411620" w:rsidRPr="006B3D33" w:rsidRDefault="00411620" w:rsidP="00411620">
      <w:pPr>
        <w:spacing w:line="216" w:lineRule="auto"/>
        <w:rPr>
          <w:i/>
          <w:sz w:val="23"/>
          <w:szCs w:val="23"/>
          <w:rtl/>
        </w:rPr>
      </w:pPr>
      <w:r w:rsidRPr="006B3D33">
        <w:rPr>
          <w:rFonts w:hint="cs"/>
          <w:i/>
          <w:sz w:val="23"/>
          <w:szCs w:val="23"/>
          <w:rtl/>
        </w:rPr>
        <w:t xml:space="preserve"> نقش نظریه جستجو و بیکاری در اقتصاد کلانِ تعادل عمومی پویای تصادفی در حال گسترش است. جایزه‌ی نوبل علم اقتصاد در سال ۲۰۱۰ به سه اقتصاددانِ پیشگام و پیشرو دراین حوزه، یعنی پیتر دیاموند</w:t>
      </w:r>
      <w:r w:rsidRPr="006B3D33">
        <w:rPr>
          <w:rStyle w:val="FootnoteReference"/>
          <w:rFonts w:eastAsiaTheme="majorEastAsia"/>
          <w:i/>
          <w:sz w:val="23"/>
          <w:szCs w:val="23"/>
          <w:rtl/>
        </w:rPr>
        <w:footnoteReference w:id="220"/>
      </w:r>
      <w:r w:rsidRPr="006B3D33">
        <w:rPr>
          <w:rFonts w:hint="cs"/>
          <w:i/>
          <w:sz w:val="23"/>
          <w:szCs w:val="23"/>
          <w:rtl/>
        </w:rPr>
        <w:t>، دیل مورتنسن</w:t>
      </w:r>
      <w:r w:rsidRPr="006B3D33">
        <w:rPr>
          <w:rStyle w:val="FootnoteReference"/>
          <w:rFonts w:eastAsiaTheme="majorEastAsia"/>
          <w:i/>
          <w:sz w:val="23"/>
          <w:szCs w:val="23"/>
          <w:rtl/>
        </w:rPr>
        <w:footnoteReference w:id="221"/>
      </w:r>
      <w:r w:rsidRPr="006B3D33">
        <w:rPr>
          <w:rFonts w:hint="cs"/>
          <w:i/>
          <w:sz w:val="23"/>
          <w:szCs w:val="23"/>
          <w:rtl/>
        </w:rPr>
        <w:t xml:space="preserve"> و کریستوفر پیزاریدس</w:t>
      </w:r>
      <w:r w:rsidRPr="006B3D33">
        <w:rPr>
          <w:rStyle w:val="FootnoteReference"/>
          <w:rFonts w:eastAsiaTheme="majorEastAsia"/>
          <w:i/>
          <w:sz w:val="23"/>
          <w:szCs w:val="23"/>
          <w:rtl/>
        </w:rPr>
        <w:footnoteReference w:id="222"/>
      </w:r>
      <w:r w:rsidRPr="006B3D33">
        <w:rPr>
          <w:rFonts w:hint="cs"/>
          <w:i/>
          <w:sz w:val="23"/>
          <w:szCs w:val="23"/>
          <w:rtl/>
        </w:rPr>
        <w:t xml:space="preserve"> تعلق گرفت. مهمترین جاذبه‌ی این نظریه در آن است که تعیین دستمزد و اشتغال، وجود همزمانی فرصت‌های شغلی خالی و بیکاری، و ایجاد، خلق و همچنین حذف شغل را بخوبی تبیین کرده و با چارچوب بهینه</w:t>
      </w:r>
      <w:r w:rsidRPr="006B3D33">
        <w:rPr>
          <w:i/>
          <w:sz w:val="23"/>
          <w:szCs w:val="23"/>
          <w:rtl/>
        </w:rPr>
        <w:softHyphen/>
      </w:r>
      <w:r w:rsidRPr="006B3D33">
        <w:rPr>
          <w:rFonts w:hint="cs"/>
          <w:i/>
          <w:sz w:val="23"/>
          <w:szCs w:val="23"/>
          <w:rtl/>
        </w:rPr>
        <w:t>یابی بین</w:t>
      </w:r>
      <w:r w:rsidRPr="006B3D33">
        <w:rPr>
          <w:i/>
          <w:sz w:val="23"/>
          <w:szCs w:val="23"/>
          <w:rtl/>
        </w:rPr>
        <w:softHyphen/>
      </w:r>
      <w:r w:rsidRPr="006B3D33">
        <w:rPr>
          <w:rFonts w:hint="cs"/>
          <w:i/>
          <w:sz w:val="23"/>
          <w:szCs w:val="23"/>
          <w:rtl/>
        </w:rPr>
        <w:t>دوره</w:t>
      </w:r>
      <w:r w:rsidRPr="006B3D33">
        <w:rPr>
          <w:i/>
          <w:sz w:val="23"/>
          <w:szCs w:val="23"/>
          <w:rtl/>
        </w:rPr>
        <w:softHyphen/>
      </w:r>
      <w:r w:rsidRPr="006B3D33">
        <w:rPr>
          <w:rFonts w:hint="cs"/>
          <w:i/>
          <w:sz w:val="23"/>
          <w:szCs w:val="23"/>
          <w:rtl/>
        </w:rPr>
        <w:t>ای مدل</w:t>
      </w:r>
      <w:r w:rsidRPr="006B3D33">
        <w:rPr>
          <w:i/>
          <w:sz w:val="23"/>
          <w:szCs w:val="23"/>
          <w:rtl/>
        </w:rPr>
        <w:softHyphen/>
      </w:r>
      <w:r w:rsidRPr="006B3D33">
        <w:rPr>
          <w:rFonts w:hint="cs"/>
          <w:i/>
          <w:sz w:val="23"/>
          <w:szCs w:val="23"/>
          <w:rtl/>
        </w:rPr>
        <w:t>های تعادل عمومی پویای تصادفی منطبق است. این نظریه ابتدا توسط فلپس، مورتنسن و دیاموند، و همچنین مورتنسن و پیزاریدس</w:t>
      </w:r>
      <w:r w:rsidRPr="006B3D33">
        <w:rPr>
          <w:rStyle w:val="FootnoteReference"/>
          <w:rFonts w:eastAsiaTheme="majorEastAsia"/>
          <w:i/>
          <w:sz w:val="23"/>
          <w:szCs w:val="23"/>
          <w:rtl/>
        </w:rPr>
        <w:footnoteReference w:id="223"/>
      </w:r>
      <w:r w:rsidRPr="006B3D33">
        <w:rPr>
          <w:rFonts w:hint="cs"/>
          <w:i/>
          <w:sz w:val="23"/>
          <w:szCs w:val="23"/>
          <w:rtl/>
        </w:rPr>
        <w:t xml:space="preserve"> ارائه و بسط و گسترش یافت. مثال‌هایی از مطالعات مربوط به نظریه جستجو را می‌توان در مِرز، تریگار،‌ هال، بلنچارد و گیل و همچنین کریستیانو و دیگران</w:t>
      </w:r>
      <w:r w:rsidRPr="006B3D33">
        <w:rPr>
          <w:rStyle w:val="FootnoteReference"/>
          <w:rFonts w:eastAsiaTheme="majorEastAsia"/>
          <w:i/>
          <w:sz w:val="23"/>
          <w:szCs w:val="23"/>
          <w:rtl/>
        </w:rPr>
        <w:footnoteReference w:id="224"/>
      </w:r>
      <w:r w:rsidRPr="006B3D33">
        <w:rPr>
          <w:rFonts w:hint="cs"/>
          <w:i/>
          <w:sz w:val="23"/>
          <w:szCs w:val="23"/>
          <w:rtl/>
        </w:rPr>
        <w:t xml:space="preserve"> ملاحظه کرد.</w:t>
      </w:r>
    </w:p>
    <w:p w14:paraId="282B9C54" w14:textId="77777777" w:rsidR="00411620" w:rsidRPr="006B3D33" w:rsidRDefault="00411620" w:rsidP="00411620">
      <w:pPr>
        <w:spacing w:line="216" w:lineRule="auto"/>
        <w:rPr>
          <w:i/>
          <w:sz w:val="23"/>
          <w:szCs w:val="23"/>
          <w:rtl/>
        </w:rPr>
      </w:pPr>
      <w:r w:rsidRPr="006B3D33">
        <w:rPr>
          <w:rFonts w:hint="cs"/>
          <w:i/>
          <w:sz w:val="23"/>
          <w:szCs w:val="23"/>
          <w:rtl/>
        </w:rPr>
        <w:t>ایده</w:t>
      </w:r>
      <w:r w:rsidRPr="006B3D33">
        <w:rPr>
          <w:i/>
          <w:sz w:val="23"/>
          <w:szCs w:val="23"/>
          <w:rtl/>
        </w:rPr>
        <w:softHyphen/>
      </w:r>
      <w:r w:rsidRPr="006B3D33">
        <w:rPr>
          <w:rFonts w:hint="cs"/>
          <w:i/>
          <w:sz w:val="23"/>
          <w:szCs w:val="23"/>
          <w:rtl/>
        </w:rPr>
        <w:t>ی اولیه در این نظریه عبارت است از این</w:t>
      </w:r>
      <w:r w:rsidRPr="006B3D33">
        <w:rPr>
          <w:i/>
          <w:sz w:val="23"/>
          <w:szCs w:val="23"/>
          <w:rtl/>
        </w:rPr>
        <w:softHyphen/>
      </w:r>
      <w:r w:rsidRPr="006B3D33">
        <w:rPr>
          <w:rFonts w:hint="cs"/>
          <w:i/>
          <w:sz w:val="23"/>
          <w:szCs w:val="23"/>
          <w:rtl/>
        </w:rPr>
        <w:t>که شوک‌های منفی باعث تعلیق و بیکاری کارگران شده، و جستجوی شغل جدید را برای آن‌ها فراهم می‌سازد. شوک‌های مثبت نیز فرصت‌های شغلی خالی را فراهم ساخته و در این صورت بنگاه‌ها در جستجوی افراد جدید جهت استخدام خواهند گشت. جستجو برای شغل جدید و یا جستجو برای فرد مناسب جهت استخدام، ممکن است هزینه</w:t>
      </w:r>
      <w:r w:rsidRPr="006B3D33">
        <w:rPr>
          <w:i/>
          <w:sz w:val="23"/>
          <w:szCs w:val="23"/>
          <w:rtl/>
        </w:rPr>
        <w:softHyphen/>
      </w:r>
      <w:r w:rsidRPr="006B3D33">
        <w:rPr>
          <w:rFonts w:hint="cs"/>
          <w:i/>
          <w:sz w:val="23"/>
          <w:szCs w:val="23"/>
          <w:rtl/>
        </w:rPr>
        <w:t>بر باشد. نرخ موفقیت تطبیق فرصت‌های شغلی خالی با افرادی که در جستجوی شغل می‌باشند، به تعداد فرصت</w:t>
      </w:r>
      <w:r w:rsidRPr="006B3D33">
        <w:rPr>
          <w:i/>
          <w:sz w:val="23"/>
          <w:szCs w:val="23"/>
          <w:rtl/>
        </w:rPr>
        <w:softHyphen/>
      </w:r>
      <w:r w:rsidRPr="006B3D33">
        <w:rPr>
          <w:rFonts w:hint="cs"/>
          <w:i/>
          <w:sz w:val="23"/>
          <w:szCs w:val="23"/>
          <w:rtl/>
        </w:rPr>
        <w:t>های شغلی خالی و تعداد افراد بیکار وابسته است، و بر تصمیمات بین</w:t>
      </w:r>
      <w:r w:rsidRPr="006B3D33">
        <w:rPr>
          <w:i/>
          <w:sz w:val="23"/>
          <w:szCs w:val="23"/>
          <w:rtl/>
        </w:rPr>
        <w:softHyphen/>
      </w:r>
      <w:r w:rsidRPr="006B3D33">
        <w:rPr>
          <w:rFonts w:hint="cs"/>
          <w:i/>
          <w:sz w:val="23"/>
          <w:szCs w:val="23"/>
          <w:rtl/>
        </w:rPr>
        <w:t>دوره</w:t>
      </w:r>
      <w:r w:rsidRPr="006B3D33">
        <w:rPr>
          <w:i/>
          <w:sz w:val="23"/>
          <w:szCs w:val="23"/>
          <w:rtl/>
        </w:rPr>
        <w:softHyphen/>
      </w:r>
      <w:r w:rsidRPr="006B3D33">
        <w:rPr>
          <w:rFonts w:hint="cs"/>
          <w:i/>
          <w:sz w:val="23"/>
          <w:szCs w:val="23"/>
          <w:rtl/>
        </w:rPr>
        <w:t>ای خانوار و بنگاه و همچنین رفتار پویای اشتغال، بیکاری و فرصت‌های شغلی خالی تأثیر می‌گذارد.</w:t>
      </w:r>
    </w:p>
    <w:p w14:paraId="2C1910E4" w14:textId="77777777" w:rsidR="00411620" w:rsidRPr="006B3D33" w:rsidRDefault="00411620" w:rsidP="00411620">
      <w:pPr>
        <w:spacing w:line="216" w:lineRule="auto"/>
        <w:rPr>
          <w:i/>
          <w:sz w:val="23"/>
          <w:szCs w:val="23"/>
          <w:rtl/>
        </w:rPr>
      </w:pPr>
      <w:r w:rsidRPr="006B3D33">
        <w:rPr>
          <w:rFonts w:hint="cs"/>
          <w:i/>
          <w:sz w:val="23"/>
          <w:szCs w:val="23"/>
          <w:rtl/>
        </w:rPr>
        <w:t>نظریه جستجو راه را برای دیگر نظریه</w:t>
      </w:r>
      <w:r w:rsidRPr="006B3D33">
        <w:rPr>
          <w:i/>
          <w:sz w:val="23"/>
          <w:szCs w:val="23"/>
          <w:rtl/>
        </w:rPr>
        <w:softHyphen/>
      </w:r>
      <w:r w:rsidRPr="006B3D33">
        <w:rPr>
          <w:rFonts w:hint="cs"/>
          <w:i/>
          <w:sz w:val="23"/>
          <w:szCs w:val="23"/>
          <w:rtl/>
        </w:rPr>
        <w:t>های دستمزد که مبتنی است بر چانه</w:t>
      </w:r>
      <w:r w:rsidRPr="006B3D33">
        <w:rPr>
          <w:i/>
          <w:sz w:val="23"/>
          <w:szCs w:val="23"/>
          <w:rtl/>
        </w:rPr>
        <w:softHyphen/>
      </w:r>
      <w:r w:rsidRPr="006B3D33">
        <w:rPr>
          <w:rFonts w:hint="cs"/>
          <w:i/>
          <w:sz w:val="23"/>
          <w:szCs w:val="23"/>
          <w:rtl/>
        </w:rPr>
        <w:t>زنی دستمزد باز خواهد گذاشت. برای بنگاه‌ها و کارگران، تطبیق شغلی، نرخ بازدهی بالاتری نسبت به عدم تطبیق شغلی دارد. در صورت عدم تطبیق شغلی، فرصت</w:t>
      </w:r>
      <w:r w:rsidRPr="006B3D33">
        <w:rPr>
          <w:i/>
          <w:sz w:val="23"/>
          <w:szCs w:val="23"/>
          <w:rtl/>
        </w:rPr>
        <w:softHyphen/>
      </w:r>
      <w:r w:rsidRPr="006B3D33">
        <w:rPr>
          <w:rFonts w:hint="cs"/>
          <w:i/>
          <w:sz w:val="23"/>
          <w:szCs w:val="23"/>
          <w:rtl/>
        </w:rPr>
        <w:t>های شغلی خالی باز خواهند ماند، بیکاری افزایش یافته و در نتیجه هزینه‌ی جستجوی شغل و استخدام برای کارگران و بنگاه‌ها افزایش خواهد یافت. مجموع مزایا نسبت به هزینه‌های تطبیق شغلی، منافع خالص اقتصادی نامیده می‌شود. چانه</w:t>
      </w:r>
      <w:r w:rsidRPr="006B3D33">
        <w:rPr>
          <w:i/>
          <w:sz w:val="23"/>
          <w:szCs w:val="23"/>
          <w:rtl/>
        </w:rPr>
        <w:softHyphen/>
      </w:r>
      <w:r w:rsidRPr="006B3D33">
        <w:rPr>
          <w:rFonts w:hint="cs"/>
          <w:i/>
          <w:sz w:val="23"/>
          <w:szCs w:val="23"/>
          <w:rtl/>
        </w:rPr>
        <w:t xml:space="preserve">زنیِ دستمزد چگونگی تقسیم این منافع بین بنگاه و کارگران را تبیین، و رابطه‌ی مبادله‌ی بین دستمزدهای بالاتر و یا ساعات کارِ بیشترِ شاغلین را تعیین خواهد کرد. </w:t>
      </w:r>
    </w:p>
    <w:p w14:paraId="58A9D484" w14:textId="77777777" w:rsidR="00411620" w:rsidRPr="006B3D33" w:rsidRDefault="00411620" w:rsidP="00411620">
      <w:pPr>
        <w:spacing w:line="216" w:lineRule="auto"/>
        <w:rPr>
          <w:i/>
          <w:sz w:val="23"/>
          <w:szCs w:val="23"/>
          <w:rtl/>
        </w:rPr>
      </w:pPr>
      <w:r w:rsidRPr="006B3D33">
        <w:rPr>
          <w:rFonts w:hint="cs"/>
          <w:i/>
          <w:sz w:val="23"/>
          <w:szCs w:val="23"/>
          <w:rtl/>
        </w:rPr>
        <w:lastRenderedPageBreak/>
        <w:t>مباحث مربوط به نظریه جستجو و چانه</w:t>
      </w:r>
      <w:r w:rsidRPr="006B3D33">
        <w:rPr>
          <w:i/>
          <w:sz w:val="23"/>
          <w:szCs w:val="23"/>
          <w:rtl/>
        </w:rPr>
        <w:softHyphen/>
      </w:r>
      <w:r w:rsidRPr="006B3D33">
        <w:rPr>
          <w:rFonts w:hint="cs"/>
          <w:i/>
          <w:sz w:val="23"/>
          <w:szCs w:val="23"/>
          <w:rtl/>
        </w:rPr>
        <w:t xml:space="preserve">زنی دستمزد در بازار کار در این بخش مبتنی است بر مطالعات و تحقیقات مِرز در سال ۱۹۹۵ و تریگار در سال ۲۰۰۹. </w:t>
      </w:r>
    </w:p>
    <w:p w14:paraId="064AB60E" w14:textId="77777777" w:rsidR="00411620" w:rsidRPr="006B3D33" w:rsidRDefault="00411620" w:rsidP="00411620">
      <w:pPr>
        <w:pStyle w:val="Heading1"/>
        <w:spacing w:before="0" w:after="0" w:line="216" w:lineRule="auto"/>
        <w:rPr>
          <w:rFonts w:ascii="Times New Roman" w:hAnsi="Times New Roman" w:cs="B Nazanin"/>
          <w:b w:val="0"/>
          <w:i/>
          <w:sz w:val="23"/>
          <w:szCs w:val="23"/>
          <w:rtl/>
        </w:rPr>
      </w:pPr>
      <w:r w:rsidRPr="006B3D33">
        <w:rPr>
          <w:rFonts w:ascii="Times New Roman" w:hAnsi="Times New Roman" w:cs="B Nazanin" w:hint="cs"/>
          <w:b w:val="0"/>
          <w:i/>
          <w:sz w:val="23"/>
          <w:szCs w:val="23"/>
          <w:rtl/>
        </w:rPr>
        <w:t>۱۰. ۳. ۱ تابع تطابق شغلی</w:t>
      </w:r>
    </w:p>
    <w:p w14:paraId="7B36F25A" w14:textId="77777777" w:rsidR="00411620" w:rsidRPr="006B3D33" w:rsidRDefault="00411620" w:rsidP="00411620">
      <w:pPr>
        <w:spacing w:line="216" w:lineRule="auto"/>
        <w:rPr>
          <w:i/>
          <w:sz w:val="23"/>
          <w:szCs w:val="23"/>
          <w:rtl/>
        </w:rPr>
      </w:pPr>
      <w:r w:rsidRPr="006B3D33">
        <w:rPr>
          <w:rFonts w:hint="cs"/>
          <w:i/>
          <w:sz w:val="23"/>
          <w:szCs w:val="23"/>
          <w:rtl/>
        </w:rPr>
        <w:t>در اینجا فرض می‌شود که بنگاه‌ها و بیکاران جهت یافتن یکدیگر متحمل هزینه‌های جستجو شده، و تطبیق بین آن‌ها کاملاً تصادفی است. نقش و وظیفه‌ی تابع تطبیق شغلی عبارت است از معرفی هزینه‌های استخدام بواسطه</w:t>
      </w:r>
      <w:r w:rsidRPr="006B3D33">
        <w:rPr>
          <w:i/>
          <w:sz w:val="23"/>
          <w:szCs w:val="23"/>
          <w:rtl/>
        </w:rPr>
        <w:softHyphen/>
      </w:r>
      <w:r w:rsidRPr="006B3D33">
        <w:rPr>
          <w:rFonts w:hint="cs"/>
          <w:i/>
          <w:sz w:val="23"/>
          <w:szCs w:val="23"/>
          <w:rtl/>
        </w:rPr>
        <w:t>ی این</w:t>
      </w:r>
      <w:r w:rsidRPr="006B3D33">
        <w:rPr>
          <w:i/>
          <w:sz w:val="23"/>
          <w:szCs w:val="23"/>
          <w:rtl/>
        </w:rPr>
        <w:softHyphen/>
      </w:r>
      <w:r w:rsidRPr="006B3D33">
        <w:rPr>
          <w:rFonts w:hint="cs"/>
          <w:i/>
          <w:sz w:val="23"/>
          <w:szCs w:val="23"/>
          <w:rtl/>
        </w:rPr>
        <w:t xml:space="preserve">که هر قراردادی بین بنگاه‌ها و کارگرانِ بالقوه محتمل است و احتمال موفقیت آن کوچکتر از یک است. </w:t>
      </w:r>
    </w:p>
    <w:p w14:paraId="05FC5A8A" w14:textId="77777777" w:rsidR="00411620" w:rsidRPr="006B3D33" w:rsidRDefault="00411620" w:rsidP="00411620">
      <w:pPr>
        <w:spacing w:line="216" w:lineRule="auto"/>
        <w:rPr>
          <w:i/>
          <w:sz w:val="23"/>
          <w:szCs w:val="23"/>
          <w:rtl/>
        </w:rPr>
      </w:pPr>
      <w:r w:rsidRPr="006B3D33">
        <w:rPr>
          <w:rFonts w:hint="cs"/>
          <w:i/>
          <w:sz w:val="23"/>
          <w:szCs w:val="23"/>
          <w:rtl/>
        </w:rPr>
        <w:t>تابع جریان استخدام‌های جدید و یا تطابق‌های موفق عبارت است از</w:t>
      </w:r>
    </w:p>
    <w:p w14:paraId="3D2A0CB7" w14:textId="77777777" w:rsidR="00411620" w:rsidRPr="006B3D33" w:rsidRDefault="00411620" w:rsidP="00411620">
      <w:pPr>
        <w:bidi w:val="0"/>
        <w:spacing w:line="216" w:lineRule="auto"/>
        <w:rPr>
          <w:i/>
          <w:sz w:val="23"/>
          <w:szCs w:val="23"/>
        </w:rPr>
      </w:pPr>
      <w:r w:rsidRPr="006B3D33">
        <w:rPr>
          <w:position w:val="-12"/>
        </w:rPr>
        <w:object w:dxaOrig="1320" w:dyaOrig="360" w14:anchorId="2A3822A6">
          <v:shape id="_x0000_i4406" type="#_x0000_t75" style="width:65.95pt;height:18.15pt" o:ole="">
            <v:imagedata r:id="rId6809" o:title=""/>
          </v:shape>
          <o:OLEObject Type="Embed" ProgID="Equation.DSMT4" ShapeID="_x0000_i4406" DrawAspect="Content" ObjectID="_1791378350" r:id="rId6810"/>
        </w:object>
      </w:r>
      <w:r w:rsidRPr="006B3D33">
        <w:rPr>
          <w:rFonts w:hint="cs"/>
          <w:i/>
          <w:sz w:val="23"/>
          <w:szCs w:val="23"/>
        </w:rPr>
        <w:t xml:space="preserve"> </w:t>
      </w:r>
      <w:r w:rsidRPr="006B3D33">
        <w:rPr>
          <w:i/>
          <w:sz w:val="23"/>
          <w:szCs w:val="23"/>
          <w:rtl/>
        </w:rPr>
        <w:tab/>
      </w:r>
      <w:r w:rsidRPr="006B3D33">
        <w:rPr>
          <w:i/>
          <w:sz w:val="23"/>
          <w:szCs w:val="23"/>
          <w:rtl/>
        </w:rPr>
        <w:tab/>
      </w:r>
      <w:r w:rsidRPr="006B3D33">
        <w:rPr>
          <w:i/>
          <w:sz w:val="23"/>
          <w:szCs w:val="23"/>
          <w:rtl/>
        </w:rPr>
        <w:tab/>
      </w:r>
      <w:r w:rsidRPr="006B3D33">
        <w:rPr>
          <w:i/>
          <w:sz w:val="23"/>
          <w:szCs w:val="23"/>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Pr>
          <w:i/>
          <w:sz w:val="23"/>
          <w:szCs w:val="23"/>
          <w:rtl/>
        </w:rPr>
        <w:tab/>
      </w:r>
      <w:r>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rFonts w:hint="cs"/>
          <w:i/>
          <w:sz w:val="23"/>
          <w:szCs w:val="23"/>
          <w:rtl/>
        </w:rPr>
        <w:t>(۱۰ .۱)</w:t>
      </w:r>
      <w:r w:rsidRPr="006B3D33">
        <w:rPr>
          <w:rFonts w:hint="cs"/>
          <w:i/>
          <w:sz w:val="23"/>
          <w:szCs w:val="23"/>
        </w:rPr>
        <w:t xml:space="preserve"> </w:t>
      </w:r>
    </w:p>
    <w:p w14:paraId="1136A53F" w14:textId="77777777" w:rsidR="00411620" w:rsidRPr="006B3D33" w:rsidRDefault="00411620" w:rsidP="00411620">
      <w:pPr>
        <w:spacing w:line="216" w:lineRule="auto"/>
        <w:rPr>
          <w:i/>
          <w:sz w:val="23"/>
          <w:szCs w:val="23"/>
        </w:rPr>
      </w:pPr>
      <w:r w:rsidRPr="006B3D33">
        <w:rPr>
          <w:rFonts w:hint="cs"/>
          <w:i/>
          <w:sz w:val="23"/>
          <w:szCs w:val="23"/>
          <w:rtl/>
        </w:rPr>
        <w:t>که در آن</w:t>
      </w:r>
      <w:r w:rsidRPr="006B3D33">
        <w:rPr>
          <w:position w:val="-10"/>
        </w:rPr>
        <w:object w:dxaOrig="300" w:dyaOrig="320" w14:anchorId="4695FF17">
          <v:shape id="_x0000_i4407" type="#_x0000_t75" style="width:14.5pt;height:15.75pt" o:ole="">
            <v:imagedata r:id="rId6811" o:title=""/>
          </v:shape>
          <o:OLEObject Type="Embed" ProgID="Equation.DSMT4" ShapeID="_x0000_i4407" DrawAspect="Content" ObjectID="_1791378351" r:id="rId6812"/>
        </w:object>
      </w:r>
      <w:r w:rsidRPr="006B3D33">
        <w:rPr>
          <w:rFonts w:hint="cs"/>
          <w:i/>
          <w:sz w:val="23"/>
          <w:szCs w:val="23"/>
          <w:rtl/>
        </w:rPr>
        <w:t xml:space="preserve"> تعداد تطابق</w:t>
      </w:r>
      <w:r w:rsidRPr="006B3D33">
        <w:rPr>
          <w:i/>
          <w:sz w:val="23"/>
          <w:szCs w:val="23"/>
          <w:rtl/>
        </w:rPr>
        <w:softHyphen/>
      </w:r>
      <w:r w:rsidRPr="006B3D33">
        <w:rPr>
          <w:rFonts w:hint="cs"/>
          <w:i/>
          <w:sz w:val="23"/>
          <w:szCs w:val="23"/>
          <w:rtl/>
        </w:rPr>
        <w:t>های شغلی یا استخدام</w:t>
      </w:r>
      <w:r w:rsidRPr="006B3D33">
        <w:rPr>
          <w:i/>
          <w:sz w:val="23"/>
          <w:szCs w:val="23"/>
          <w:rtl/>
        </w:rPr>
        <w:softHyphen/>
      </w:r>
      <w:r w:rsidRPr="006B3D33">
        <w:rPr>
          <w:rFonts w:hint="cs"/>
          <w:i/>
          <w:sz w:val="23"/>
          <w:szCs w:val="23"/>
          <w:rtl/>
        </w:rPr>
        <w:t>های جدید،</w:t>
      </w:r>
      <w:r w:rsidRPr="006B3D33">
        <w:rPr>
          <w:position w:val="-10"/>
        </w:rPr>
        <w:object w:dxaOrig="240" w:dyaOrig="320" w14:anchorId="0367E575">
          <v:shape id="_x0000_i4408" type="#_x0000_t75" style="width:12.1pt;height:15.75pt" o:ole="">
            <v:imagedata r:id="rId6813" o:title=""/>
          </v:shape>
          <o:OLEObject Type="Embed" ProgID="Equation.DSMT4" ShapeID="_x0000_i4408" DrawAspect="Content" ObjectID="_1791378352" r:id="rId6814"/>
        </w:object>
      </w:r>
      <w:r w:rsidRPr="006B3D33">
        <w:rPr>
          <w:rFonts w:hint="cs"/>
          <w:i/>
          <w:sz w:val="23"/>
          <w:szCs w:val="23"/>
          <w:rtl/>
        </w:rPr>
        <w:t xml:space="preserve"> سطح بیکاری و</w:t>
      </w:r>
      <w:r w:rsidRPr="006B3D33">
        <w:rPr>
          <w:position w:val="-10"/>
        </w:rPr>
        <w:object w:dxaOrig="220" w:dyaOrig="320" w14:anchorId="43DA73A6">
          <v:shape id="_x0000_i4409" type="#_x0000_t75" style="width:10.9pt;height:15.75pt" o:ole="">
            <v:imagedata r:id="rId6815" o:title=""/>
          </v:shape>
          <o:OLEObject Type="Embed" ProgID="Equation.DSMT4" ShapeID="_x0000_i4409" DrawAspect="Content" ObjectID="_1791378353" r:id="rId6816"/>
        </w:object>
      </w:r>
      <w:r w:rsidRPr="006B3D33">
        <w:rPr>
          <w:rFonts w:hint="cs"/>
          <w:i/>
          <w:sz w:val="23"/>
          <w:szCs w:val="23"/>
          <w:rtl/>
        </w:rPr>
        <w:t xml:space="preserve"> تعداد فرصت‌های شغلی خالی است. در این مدل فرض شده است که تابع تطبیق شغلی، پیوسته، غیرمنفی، مقعر و همگن از درجه</w:t>
      </w:r>
      <w:r w:rsidRPr="006B3D33">
        <w:rPr>
          <w:i/>
          <w:sz w:val="23"/>
          <w:szCs w:val="23"/>
          <w:rtl/>
        </w:rPr>
        <w:softHyphen/>
      </w:r>
      <w:r w:rsidRPr="006B3D33">
        <w:rPr>
          <w:rFonts w:hint="cs"/>
          <w:i/>
          <w:sz w:val="23"/>
          <w:szCs w:val="23"/>
          <w:rtl/>
        </w:rPr>
        <w:t>ی یک است، و با افزایش سطح بیکاری و تعداد فرصت‌های شغلی خالی افزایش می‌یابد. تابع تطابقِ با ویژگی‌های فوق را می</w:t>
      </w:r>
      <w:r w:rsidRPr="006B3D33">
        <w:rPr>
          <w:i/>
          <w:sz w:val="23"/>
          <w:szCs w:val="23"/>
          <w:rtl/>
        </w:rPr>
        <w:softHyphen/>
      </w:r>
      <w:r w:rsidRPr="006B3D33">
        <w:rPr>
          <w:rFonts w:hint="cs"/>
          <w:i/>
          <w:sz w:val="23"/>
          <w:szCs w:val="23"/>
          <w:rtl/>
        </w:rPr>
        <w:t>توان به صورت زیر نوشت</w:t>
      </w:r>
    </w:p>
    <w:p w14:paraId="786E106A" w14:textId="77777777" w:rsidR="00411620" w:rsidRPr="006B3D33" w:rsidRDefault="00411620" w:rsidP="00411620">
      <w:pPr>
        <w:bidi w:val="0"/>
        <w:spacing w:line="216" w:lineRule="auto"/>
        <w:rPr>
          <w:i/>
          <w:sz w:val="23"/>
          <w:szCs w:val="23"/>
        </w:rPr>
      </w:pPr>
      <w:r w:rsidRPr="006B3D33">
        <w:rPr>
          <w:position w:val="-10"/>
        </w:rPr>
        <w:object w:dxaOrig="1200" w:dyaOrig="340" w14:anchorId="2E937F59">
          <v:shape id="_x0000_i4410" type="#_x0000_t75" style="width:59.9pt;height:16.95pt" o:ole="">
            <v:imagedata r:id="rId6817" o:title=""/>
          </v:shape>
          <o:OLEObject Type="Embed" ProgID="Equation.DSMT4" ShapeID="_x0000_i4410" DrawAspect="Content" ObjectID="_1791378354" r:id="rId6818"/>
        </w:object>
      </w:r>
      <w:r w:rsidRPr="006B3D33">
        <w:rPr>
          <w:rFonts w:hint="cs"/>
          <w:i/>
          <w:sz w:val="23"/>
          <w:szCs w:val="23"/>
        </w:rPr>
        <w:t xml:space="preserve"> </w:t>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Pr>
        <w:tab/>
      </w:r>
      <w:r w:rsidRPr="006B3D33">
        <w:rPr>
          <w:i/>
          <w:sz w:val="23"/>
          <w:szCs w:val="23"/>
          <w:rtl/>
        </w:rPr>
        <w:tab/>
      </w:r>
      <w:r w:rsidRPr="006B3D33">
        <w:rPr>
          <w:i/>
          <w:sz w:val="23"/>
          <w:szCs w:val="23"/>
          <w:rtl/>
        </w:rPr>
        <w:tab/>
      </w:r>
      <w:r w:rsidRPr="006B3D33">
        <w:rPr>
          <w:i/>
          <w:sz w:val="23"/>
          <w:szCs w:val="23"/>
        </w:rPr>
        <w:tab/>
      </w:r>
      <w:r w:rsidRPr="006B3D33">
        <w:rPr>
          <w:i/>
          <w:sz w:val="23"/>
          <w:szCs w:val="23"/>
          <w:rtl/>
        </w:rPr>
        <w:tab/>
      </w:r>
      <w:r>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rFonts w:hint="cs"/>
          <w:i/>
          <w:sz w:val="23"/>
          <w:szCs w:val="23"/>
          <w:rtl/>
        </w:rPr>
        <w:t>(۱۰. ۲)</w:t>
      </w:r>
      <w:r w:rsidRPr="006B3D33">
        <w:rPr>
          <w:rFonts w:hint="cs"/>
          <w:i/>
          <w:sz w:val="23"/>
          <w:szCs w:val="23"/>
        </w:rPr>
        <w:t xml:space="preserve"> </w:t>
      </w:r>
    </w:p>
    <w:p w14:paraId="3178AAFE" w14:textId="77777777" w:rsidR="00411620" w:rsidRPr="006B3D33" w:rsidRDefault="00411620" w:rsidP="00411620">
      <w:pPr>
        <w:spacing w:line="216" w:lineRule="auto"/>
        <w:rPr>
          <w:rFonts w:eastAsiaTheme="minorEastAsia"/>
          <w:i/>
          <w:sz w:val="23"/>
          <w:szCs w:val="23"/>
          <w:rtl/>
        </w:rPr>
      </w:pPr>
      <w:r w:rsidRPr="006B3D33">
        <w:rPr>
          <w:rFonts w:hint="cs"/>
          <w:i/>
          <w:sz w:val="23"/>
          <w:szCs w:val="23"/>
          <w:rtl/>
        </w:rPr>
        <w:t xml:space="preserve">که در آن </w:t>
      </w:r>
      <w:r w:rsidRPr="006B3D33">
        <w:rPr>
          <w:position w:val="-10"/>
        </w:rPr>
        <w:object w:dxaOrig="840" w:dyaOrig="300" w14:anchorId="6B893D37">
          <v:shape id="_x0000_i4411" type="#_x0000_t75" style="width:41.75pt;height:14.5pt" o:ole="">
            <v:imagedata r:id="rId6819" o:title=""/>
          </v:shape>
          <o:OLEObject Type="Embed" ProgID="Equation.DSMT4" ShapeID="_x0000_i4411" DrawAspect="Content" ObjectID="_1791378355" r:id="rId6820"/>
        </w:object>
      </w:r>
      <w:r w:rsidRPr="006B3D33">
        <w:rPr>
          <w:rFonts w:eastAsiaTheme="minorEastAsia" w:hint="cs"/>
          <w:i/>
          <w:sz w:val="23"/>
          <w:szCs w:val="23"/>
          <w:rtl/>
        </w:rPr>
        <w:t xml:space="preserve"> و </w:t>
      </w:r>
      <w:r w:rsidRPr="006B3D33">
        <w:rPr>
          <w:position w:val="-10"/>
        </w:rPr>
        <w:object w:dxaOrig="859" w:dyaOrig="300" w14:anchorId="0AFE568D">
          <v:shape id="_x0000_i4412" type="#_x0000_t75" style="width:42.95pt;height:14.5pt" o:ole="">
            <v:imagedata r:id="rId6821" o:title=""/>
          </v:shape>
          <o:OLEObject Type="Embed" ProgID="Equation.DSMT4" ShapeID="_x0000_i4412" DrawAspect="Content" ObjectID="_1791378356" r:id="rId6822"/>
        </w:object>
      </w:r>
      <w:r w:rsidRPr="006B3D33">
        <w:rPr>
          <w:rFonts w:eastAsiaTheme="minorEastAsia" w:hint="cs"/>
          <w:i/>
          <w:sz w:val="23"/>
          <w:szCs w:val="23"/>
          <w:rtl/>
        </w:rPr>
        <w:t xml:space="preserve"> می‌باشد، و ضریب </w:t>
      </w:r>
      <w:r w:rsidRPr="006B3D33">
        <w:rPr>
          <w:position w:val="-10"/>
        </w:rPr>
        <w:object w:dxaOrig="220" w:dyaOrig="240" w14:anchorId="5A4B2488">
          <v:shape id="_x0000_i4413" type="#_x0000_t75" style="width:10.9pt;height:12.1pt" o:ole="">
            <v:imagedata r:id="rId6823" o:title=""/>
          </v:shape>
          <o:OLEObject Type="Embed" ProgID="Equation.DSMT4" ShapeID="_x0000_i4413" DrawAspect="Content" ObjectID="_1791378357" r:id="rId6824"/>
        </w:object>
      </w:r>
      <w:r w:rsidRPr="006B3D33">
        <w:rPr>
          <w:rFonts w:eastAsiaTheme="minorEastAsia" w:hint="cs"/>
          <w:i/>
          <w:sz w:val="23"/>
          <w:szCs w:val="23"/>
          <w:rtl/>
        </w:rPr>
        <w:t xml:space="preserve"> مبین کارایی فرایند تطبیق است. از معایب مهم روابط </w:t>
      </w:r>
      <w:r w:rsidRPr="006B3D33">
        <w:rPr>
          <w:rFonts w:hint="cs"/>
          <w:i/>
          <w:sz w:val="23"/>
          <w:szCs w:val="23"/>
          <w:rtl/>
        </w:rPr>
        <w:t>(۱۰. ۱)</w:t>
      </w:r>
      <w:r w:rsidRPr="006B3D33">
        <w:rPr>
          <w:rFonts w:eastAsiaTheme="minorEastAsia" w:hint="cs"/>
          <w:i/>
          <w:sz w:val="23"/>
          <w:szCs w:val="23"/>
          <w:rtl/>
        </w:rPr>
        <w:t xml:space="preserve"> و یا </w:t>
      </w:r>
      <w:r w:rsidRPr="006B3D33">
        <w:rPr>
          <w:rFonts w:hint="cs"/>
          <w:i/>
          <w:sz w:val="23"/>
          <w:szCs w:val="23"/>
          <w:rtl/>
        </w:rPr>
        <w:t>(۱۰. ۲)</w:t>
      </w:r>
      <w:r w:rsidRPr="006B3D33">
        <w:rPr>
          <w:rFonts w:eastAsiaTheme="minorEastAsia" w:hint="cs"/>
          <w:i/>
          <w:sz w:val="23"/>
          <w:szCs w:val="23"/>
          <w:rtl/>
        </w:rPr>
        <w:t xml:space="preserve"> آن است که در هر سطح از فرصت‌های شغلی خالیِ داده شده، چنانچه بیکاری افزایش یابد (حتی اگر این افزایش بیکاری بخاطر از بین رفتن شغل و رکود اقتصادی باشد) استخدام‌های جدید نیز افزایش خواهد یافت.</w:t>
      </w:r>
    </w:p>
    <w:p w14:paraId="7D44AF1B"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برای هر</w:t>
      </w:r>
      <w:r w:rsidRPr="006B3D33">
        <w:rPr>
          <w:position w:val="-10"/>
        </w:rPr>
        <w:object w:dxaOrig="300" w:dyaOrig="320" w14:anchorId="0FC54FEC">
          <v:shape id="_x0000_i4414" type="#_x0000_t75" style="width:14.5pt;height:15.75pt" o:ole="">
            <v:imagedata r:id="rId6825" o:title=""/>
          </v:shape>
          <o:OLEObject Type="Embed" ProgID="Equation.DSMT4" ShapeID="_x0000_i4414" DrawAspect="Content" ObjectID="_1791378358" r:id="rId6826"/>
        </w:object>
      </w:r>
      <w:r w:rsidRPr="006B3D33">
        <w:rPr>
          <w:rFonts w:eastAsiaTheme="minorEastAsia" w:hint="cs"/>
          <w:i/>
          <w:sz w:val="23"/>
          <w:szCs w:val="23"/>
          <w:rtl/>
        </w:rPr>
        <w:t xml:space="preserve"> داده شده مثلاً</w:t>
      </w:r>
      <w:r w:rsidRPr="006B3D33">
        <w:rPr>
          <w:position w:val="-6"/>
        </w:rPr>
        <w:object w:dxaOrig="260" w:dyaOrig="200" w14:anchorId="1F97D466">
          <v:shape id="_x0000_i4415" type="#_x0000_t75" style="width:12.7pt;height:10.3pt" o:ole="">
            <v:imagedata r:id="rId6827" o:title=""/>
          </v:shape>
          <o:OLEObject Type="Embed" ProgID="Equation.DSMT4" ShapeID="_x0000_i4415" DrawAspect="Content" ObjectID="_1791378359" r:id="rId6828"/>
        </w:object>
      </w:r>
      <w:r w:rsidRPr="006B3D33">
        <w:rPr>
          <w:rFonts w:eastAsiaTheme="minorEastAsia" w:hint="cs"/>
          <w:i/>
          <w:sz w:val="23"/>
          <w:szCs w:val="23"/>
          <w:rtl/>
        </w:rPr>
        <w:t>، معادله</w:t>
      </w:r>
      <w:r w:rsidRPr="006B3D33">
        <w:rPr>
          <w:rFonts w:eastAsiaTheme="minorEastAsia"/>
          <w:i/>
          <w:sz w:val="23"/>
          <w:szCs w:val="23"/>
          <w:rtl/>
        </w:rPr>
        <w:softHyphen/>
      </w:r>
      <w:r w:rsidRPr="006B3D33">
        <w:rPr>
          <w:rFonts w:eastAsiaTheme="minorEastAsia" w:hint="cs"/>
          <w:i/>
          <w:sz w:val="23"/>
          <w:szCs w:val="23"/>
          <w:rtl/>
        </w:rPr>
        <w:t xml:space="preserve">ی </w:t>
      </w:r>
      <w:r w:rsidRPr="006B3D33">
        <w:rPr>
          <w:rFonts w:hint="cs"/>
          <w:i/>
          <w:sz w:val="23"/>
          <w:szCs w:val="23"/>
          <w:rtl/>
        </w:rPr>
        <w:t>زیر</w:t>
      </w:r>
      <w:r w:rsidRPr="006B3D33">
        <w:rPr>
          <w:rFonts w:eastAsiaTheme="minorEastAsia" w:hint="cs"/>
          <w:i/>
          <w:sz w:val="23"/>
          <w:szCs w:val="23"/>
          <w:rtl/>
        </w:rPr>
        <w:t xml:space="preserve"> رابطه</w:t>
      </w:r>
      <w:r w:rsidRPr="006B3D33">
        <w:rPr>
          <w:rFonts w:eastAsiaTheme="minorEastAsia"/>
          <w:i/>
          <w:sz w:val="23"/>
          <w:szCs w:val="23"/>
          <w:rtl/>
        </w:rPr>
        <w:softHyphen/>
      </w:r>
      <w:r w:rsidRPr="006B3D33">
        <w:rPr>
          <w:rFonts w:eastAsiaTheme="minorEastAsia" w:hint="cs"/>
          <w:i/>
          <w:sz w:val="23"/>
          <w:szCs w:val="23"/>
          <w:rtl/>
        </w:rPr>
        <w:t>ی جایگزینی بین بیکاری و فرصت‌های شغلی خالی را نشان می‌دهد و با عنوان منحنی بوریج</w:t>
      </w:r>
      <w:r w:rsidRPr="006B3D33">
        <w:rPr>
          <w:rStyle w:val="FootnoteReference"/>
          <w:rFonts w:eastAsiaTheme="minorEastAsia"/>
          <w:i/>
          <w:sz w:val="23"/>
          <w:szCs w:val="23"/>
          <w:rtl/>
        </w:rPr>
        <w:footnoteReference w:id="225"/>
      </w:r>
      <w:r w:rsidRPr="006B3D33">
        <w:rPr>
          <w:rFonts w:eastAsiaTheme="minorEastAsia" w:hint="cs"/>
          <w:i/>
          <w:sz w:val="23"/>
          <w:szCs w:val="23"/>
          <w:rtl/>
        </w:rPr>
        <w:t xml:space="preserve"> شناخته می‌شود. بنابراین</w:t>
      </w:r>
    </w:p>
    <w:p w14:paraId="4EFEA109"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tl/>
        </w:rPr>
      </w:pPr>
      <w:r w:rsidRPr="006B3D33">
        <w:rPr>
          <w:position w:val="-28"/>
        </w:rPr>
        <w:object w:dxaOrig="1939" w:dyaOrig="720" w14:anchorId="1EBC015B">
          <v:shape id="_x0000_i4416" type="#_x0000_t75" style="width:97.4pt;height:36.3pt" o:ole="">
            <v:imagedata r:id="rId6829" o:title=""/>
          </v:shape>
          <o:OLEObject Type="Embed" ProgID="Equation.DSMT4" ShapeID="_x0000_i4416" DrawAspect="Content" ObjectID="_1791378360" r:id="rId6830"/>
        </w:object>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 xml:space="preserve"> </w:t>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۳)</w:t>
      </w:r>
      <w:r w:rsidRPr="006B3D33">
        <w:rPr>
          <w:rFonts w:ascii="Times New Roman" w:hAnsi="Times New Roman" w:cs="B Nazanin" w:hint="cs"/>
          <w:i/>
          <w:sz w:val="23"/>
          <w:szCs w:val="23"/>
        </w:rPr>
        <w:t xml:space="preserve"> </w:t>
      </w:r>
    </w:p>
    <w:p w14:paraId="1974A46C" w14:textId="77777777" w:rsidR="00411620" w:rsidRPr="006B3D33" w:rsidRDefault="00411620" w:rsidP="00411620">
      <w:pPr>
        <w:spacing w:line="216" w:lineRule="auto"/>
        <w:rPr>
          <w:rFonts w:eastAsiaTheme="minorEastAsia"/>
          <w:i/>
          <w:sz w:val="23"/>
          <w:szCs w:val="23"/>
          <w:rtl/>
        </w:rPr>
      </w:pPr>
      <w:r w:rsidRPr="006B3D33">
        <w:rPr>
          <w:rFonts w:hint="cs"/>
          <w:i/>
          <w:sz w:val="23"/>
          <w:szCs w:val="23"/>
          <w:rtl/>
        </w:rPr>
        <w:t>این رابطه</w:t>
      </w:r>
      <w:r w:rsidRPr="006B3D33">
        <w:rPr>
          <w:i/>
          <w:sz w:val="23"/>
          <w:szCs w:val="23"/>
          <w:rtl/>
        </w:rPr>
        <w:softHyphen/>
      </w:r>
      <w:r w:rsidRPr="006B3D33">
        <w:rPr>
          <w:rFonts w:hint="cs"/>
          <w:i/>
          <w:sz w:val="23"/>
          <w:szCs w:val="23"/>
          <w:rtl/>
        </w:rPr>
        <w:t xml:space="preserve"> نشان می‌دهد که هر چه بیکاری بیشتر باشد، فرصت‌های شغلی خالی کمتر خواهد شد. در این رابطه نسبت </w:t>
      </w:r>
      <w:r w:rsidRPr="006B3D33">
        <w:rPr>
          <w:position w:val="-26"/>
        </w:rPr>
        <w:object w:dxaOrig="279" w:dyaOrig="600" w14:anchorId="2D8CD1A8">
          <v:shape id="_x0000_i4417" type="#_x0000_t75" style="width:13.9pt;height:29.65pt" o:ole="">
            <v:imagedata r:id="rId6831" o:title=""/>
          </v:shape>
          <o:OLEObject Type="Embed" ProgID="Equation.DSMT4" ShapeID="_x0000_i4417" DrawAspect="Content" ObjectID="_1791378361" r:id="rId6832"/>
        </w:object>
      </w:r>
      <w:r w:rsidRPr="006B3D33">
        <w:rPr>
          <w:rFonts w:hint="cs"/>
          <w:i/>
          <w:sz w:val="23"/>
          <w:szCs w:val="23"/>
          <w:rtl/>
        </w:rPr>
        <w:t xml:space="preserve"> سطح اصطکاک بازار کار را نشان می‌دهد، که در آن با افزایش</w:t>
      </w:r>
      <w:r w:rsidRPr="006B3D33">
        <w:rPr>
          <w:position w:val="-6"/>
        </w:rPr>
        <w:object w:dxaOrig="260" w:dyaOrig="200" w14:anchorId="0E53EC75">
          <v:shape id="_x0000_i4418" type="#_x0000_t75" style="width:12.7pt;height:10.3pt" o:ole="">
            <v:imagedata r:id="rId6833" o:title=""/>
          </v:shape>
          <o:OLEObject Type="Embed" ProgID="Equation.DSMT4" ShapeID="_x0000_i4418" DrawAspect="Content" ObjectID="_1791378362" r:id="rId6834"/>
        </w:object>
      </w:r>
      <w:r w:rsidRPr="006B3D33">
        <w:rPr>
          <w:rFonts w:eastAsiaTheme="minorEastAsia" w:hint="cs"/>
          <w:i/>
          <w:sz w:val="23"/>
          <w:szCs w:val="23"/>
          <w:rtl/>
        </w:rPr>
        <w:t xml:space="preserve"> زیان خدمات کار بخاطر اصطکاک افزایش می‌یابد. بنابراین جهت کاهش زیان خدمات کار، </w:t>
      </w:r>
      <w:r w:rsidRPr="006B3D33">
        <w:rPr>
          <w:position w:val="-6"/>
        </w:rPr>
        <w:object w:dxaOrig="260" w:dyaOrig="200" w14:anchorId="44A2F07D">
          <v:shape id="_x0000_i4419" type="#_x0000_t75" style="width:12.7pt;height:10.3pt" o:ole="">
            <v:imagedata r:id="rId6835" o:title=""/>
          </v:shape>
          <o:OLEObject Type="Embed" ProgID="Equation.DSMT4" ShapeID="_x0000_i4419" DrawAspect="Content" ObjectID="_1791378363" r:id="rId6836"/>
        </w:object>
      </w:r>
      <w:r w:rsidRPr="006B3D33">
        <w:rPr>
          <w:rFonts w:eastAsiaTheme="minorEastAsia" w:hint="cs"/>
          <w:i/>
          <w:sz w:val="23"/>
          <w:szCs w:val="23"/>
          <w:rtl/>
        </w:rPr>
        <w:t xml:space="preserve"> می‌بایست کاهش یابد. فشردگی بازار کار بوسیله‌ی نسبت </w:t>
      </w:r>
      <w:r w:rsidRPr="006B3D33">
        <w:rPr>
          <w:position w:val="-10"/>
        </w:rPr>
        <w:object w:dxaOrig="540" w:dyaOrig="320" w14:anchorId="39F0B6CA">
          <v:shape id="_x0000_i4420" type="#_x0000_t75" style="width:26.6pt;height:15.75pt" o:ole="">
            <v:imagedata r:id="rId6837" o:title=""/>
          </v:shape>
          <o:OLEObject Type="Embed" ProgID="Equation.DSMT4" ShapeID="_x0000_i4420" DrawAspect="Content" ObjectID="_1791378364" r:id="rId6838"/>
        </w:object>
      </w:r>
      <w:r w:rsidRPr="006B3D33">
        <w:rPr>
          <w:rFonts w:eastAsiaTheme="minorEastAsia" w:hint="cs"/>
          <w:i/>
          <w:sz w:val="23"/>
          <w:szCs w:val="23"/>
          <w:rtl/>
        </w:rPr>
        <w:t xml:space="preserve"> </w:t>
      </w:r>
      <w:r w:rsidRPr="006B3D33">
        <w:rPr>
          <w:rFonts w:hint="cs"/>
          <w:i/>
          <w:sz w:val="23"/>
          <w:szCs w:val="23"/>
          <w:rtl/>
        </w:rPr>
        <w:t>یا نسبت تعداد فرصت‌های شغلی خالی به ازای افراد بیکار اندازه</w:t>
      </w:r>
      <w:r w:rsidRPr="006B3D33">
        <w:rPr>
          <w:i/>
          <w:sz w:val="23"/>
          <w:szCs w:val="23"/>
          <w:rtl/>
        </w:rPr>
        <w:softHyphen/>
      </w:r>
      <w:r w:rsidRPr="006B3D33">
        <w:rPr>
          <w:rFonts w:hint="cs"/>
          <w:i/>
          <w:sz w:val="23"/>
          <w:szCs w:val="23"/>
          <w:rtl/>
        </w:rPr>
        <w:t>گیری می‌شود. نرخ تطبیق فرصت</w:t>
      </w:r>
      <w:r w:rsidRPr="006B3D33">
        <w:rPr>
          <w:i/>
          <w:sz w:val="23"/>
          <w:szCs w:val="23"/>
          <w:rtl/>
        </w:rPr>
        <w:softHyphen/>
      </w:r>
      <w:r w:rsidRPr="006B3D33">
        <w:rPr>
          <w:rFonts w:hint="cs"/>
          <w:i/>
          <w:sz w:val="23"/>
          <w:szCs w:val="23"/>
          <w:rtl/>
        </w:rPr>
        <w:t>های شغلی خالی</w:t>
      </w:r>
      <w:r w:rsidRPr="006B3D33">
        <w:rPr>
          <w:position w:val="-10"/>
        </w:rPr>
        <w:object w:dxaOrig="240" w:dyaOrig="320" w14:anchorId="62A132E1">
          <v:shape id="_x0000_i4421" type="#_x0000_t75" style="width:12.1pt;height:15.75pt" o:ole="">
            <v:imagedata r:id="rId6839" o:title=""/>
          </v:shape>
          <o:OLEObject Type="Embed" ProgID="Equation.DSMT4" ShapeID="_x0000_i4421" DrawAspect="Content" ObjectID="_1791378365" r:id="rId6840"/>
        </w:object>
      </w:r>
      <w:r w:rsidRPr="006B3D33">
        <w:rPr>
          <w:rFonts w:hint="cs"/>
          <w:i/>
          <w:sz w:val="23"/>
          <w:szCs w:val="23"/>
          <w:rtl/>
        </w:rPr>
        <w:t xml:space="preserve"> عبارت است از تعداد تطبیق‌ها به ازای فرصت‌های شغلی خالی، و یا احتمال اشغال فرصت‌های شغلی خالی</w:t>
      </w:r>
      <w:r w:rsidRPr="006B3D33">
        <w:rPr>
          <w:position w:val="-10"/>
        </w:rPr>
        <w:object w:dxaOrig="999" w:dyaOrig="320" w14:anchorId="5D29D739">
          <v:shape id="_x0000_i4422" type="#_x0000_t75" style="width:50.2pt;height:15.75pt" o:ole="">
            <v:imagedata r:id="rId6841" o:title=""/>
          </v:shape>
          <o:OLEObject Type="Embed" ProgID="Equation.DSMT4" ShapeID="_x0000_i4422" DrawAspect="Content" ObjectID="_1791378366" r:id="rId6842"/>
        </w:object>
      </w:r>
      <w:r w:rsidRPr="006B3D33">
        <w:rPr>
          <w:rFonts w:eastAsiaTheme="minorEastAsia" w:hint="cs"/>
          <w:i/>
          <w:sz w:val="23"/>
          <w:szCs w:val="23"/>
          <w:rtl/>
        </w:rPr>
        <w:t>. نرخ تطبیق شغلی</w:t>
      </w:r>
      <w:r w:rsidRPr="006B3D33">
        <w:rPr>
          <w:position w:val="-10"/>
        </w:rPr>
        <w:object w:dxaOrig="260" w:dyaOrig="320" w14:anchorId="29329EB8">
          <v:shape id="_x0000_i4423" type="#_x0000_t75" style="width:12.7pt;height:15.75pt" o:ole="">
            <v:imagedata r:id="rId6843" o:title=""/>
          </v:shape>
          <o:OLEObject Type="Embed" ProgID="Equation.DSMT4" ShapeID="_x0000_i4423" DrawAspect="Content" ObjectID="_1791378367" r:id="rId6844"/>
        </w:object>
      </w:r>
      <w:r w:rsidRPr="006B3D33">
        <w:rPr>
          <w:i/>
          <w:sz w:val="23"/>
          <w:szCs w:val="23"/>
        </w:rPr>
        <w:t xml:space="preserve"> </w:t>
      </w:r>
      <w:r w:rsidRPr="006B3D33">
        <w:rPr>
          <w:rFonts w:eastAsiaTheme="minorEastAsia" w:hint="cs"/>
          <w:i/>
          <w:sz w:val="23"/>
          <w:szCs w:val="23"/>
          <w:rtl/>
        </w:rPr>
        <w:t>نیز بوسیله</w:t>
      </w:r>
      <w:r w:rsidRPr="006B3D33">
        <w:rPr>
          <w:rFonts w:eastAsiaTheme="minorEastAsia"/>
          <w:i/>
          <w:sz w:val="23"/>
          <w:szCs w:val="23"/>
          <w:rtl/>
        </w:rPr>
        <w:softHyphen/>
      </w:r>
      <w:r w:rsidRPr="006B3D33">
        <w:rPr>
          <w:rFonts w:eastAsiaTheme="minorEastAsia" w:hint="cs"/>
          <w:i/>
          <w:sz w:val="23"/>
          <w:szCs w:val="23"/>
          <w:rtl/>
        </w:rPr>
        <w:t xml:space="preserve">ی نسبت تعداد تطبیق‌ها به ازای افراد بیکار یا </w:t>
      </w:r>
      <w:r w:rsidRPr="006B3D33">
        <w:rPr>
          <w:position w:val="-10"/>
        </w:rPr>
        <w:object w:dxaOrig="1040" w:dyaOrig="320" w14:anchorId="15FFB9BC">
          <v:shape id="_x0000_i4424" type="#_x0000_t75" style="width:52.05pt;height:15.75pt" o:ole="">
            <v:imagedata r:id="rId6845" o:title=""/>
          </v:shape>
          <o:OLEObject Type="Embed" ProgID="Equation.DSMT4" ShapeID="_x0000_i4424" DrawAspect="Content" ObjectID="_1791378368" r:id="rId6846"/>
        </w:object>
      </w:r>
      <w:r w:rsidRPr="006B3D33">
        <w:rPr>
          <w:rFonts w:eastAsiaTheme="minorEastAsia" w:hint="cs"/>
          <w:i/>
          <w:sz w:val="23"/>
          <w:szCs w:val="23"/>
          <w:rtl/>
        </w:rPr>
        <w:t xml:space="preserve"> اندازه</w:t>
      </w:r>
      <w:r w:rsidRPr="006B3D33">
        <w:rPr>
          <w:rFonts w:eastAsiaTheme="minorEastAsia"/>
          <w:i/>
          <w:sz w:val="23"/>
          <w:szCs w:val="23"/>
          <w:rtl/>
        </w:rPr>
        <w:softHyphen/>
      </w:r>
      <w:r w:rsidRPr="006B3D33">
        <w:rPr>
          <w:rFonts w:eastAsiaTheme="minorEastAsia" w:hint="cs"/>
          <w:i/>
          <w:sz w:val="23"/>
          <w:szCs w:val="23"/>
          <w:rtl/>
        </w:rPr>
        <w:t>گیری می</w:t>
      </w:r>
      <w:r w:rsidRPr="006B3D33">
        <w:rPr>
          <w:rFonts w:eastAsiaTheme="minorEastAsia"/>
          <w:i/>
          <w:sz w:val="23"/>
          <w:szCs w:val="23"/>
          <w:rtl/>
        </w:rPr>
        <w:softHyphen/>
      </w:r>
      <w:r w:rsidRPr="006B3D33">
        <w:rPr>
          <w:rFonts w:eastAsiaTheme="minorEastAsia" w:hint="cs"/>
          <w:i/>
          <w:sz w:val="23"/>
          <w:szCs w:val="23"/>
          <w:rtl/>
        </w:rPr>
        <w:t>شود. حداکثر نرخ‌های</w:t>
      </w:r>
      <w:r w:rsidRPr="006B3D33">
        <w:rPr>
          <w:position w:val="-10"/>
        </w:rPr>
        <w:object w:dxaOrig="240" w:dyaOrig="320" w14:anchorId="0E852051">
          <v:shape id="_x0000_i4425" type="#_x0000_t75" style="width:12.1pt;height:15.75pt" o:ole="">
            <v:imagedata r:id="rId6847" o:title=""/>
          </v:shape>
          <o:OLEObject Type="Embed" ProgID="Equation.DSMT4" ShapeID="_x0000_i4425" DrawAspect="Content" ObjectID="_1791378369" r:id="rId6848"/>
        </w:object>
      </w:r>
      <w:r w:rsidRPr="006B3D33">
        <w:rPr>
          <w:rFonts w:eastAsiaTheme="minorEastAsia" w:hint="cs"/>
          <w:i/>
          <w:sz w:val="23"/>
          <w:szCs w:val="23"/>
          <w:rtl/>
        </w:rPr>
        <w:t xml:space="preserve"> و</w:t>
      </w:r>
      <w:r w:rsidRPr="006B3D33">
        <w:rPr>
          <w:position w:val="-10"/>
        </w:rPr>
        <w:object w:dxaOrig="260" w:dyaOrig="320" w14:anchorId="24356DB0">
          <v:shape id="_x0000_i4426" type="#_x0000_t75" style="width:12.7pt;height:15.75pt" o:ole="">
            <v:imagedata r:id="rId6849" o:title=""/>
          </v:shape>
          <o:OLEObject Type="Embed" ProgID="Equation.DSMT4" ShapeID="_x0000_i4426" DrawAspect="Content" ObjectID="_1791378370" r:id="rId6850"/>
        </w:object>
      </w:r>
      <w:r w:rsidRPr="006B3D33">
        <w:rPr>
          <w:rFonts w:eastAsiaTheme="minorEastAsia" w:hint="cs"/>
          <w:i/>
          <w:sz w:val="23"/>
          <w:szCs w:val="23"/>
          <w:rtl/>
        </w:rPr>
        <w:t xml:space="preserve"> برابر با یک می‌باشد، که از رابطه</w:t>
      </w:r>
      <w:r w:rsidRPr="006B3D33">
        <w:rPr>
          <w:rFonts w:eastAsiaTheme="minorEastAsia"/>
          <w:i/>
          <w:sz w:val="23"/>
          <w:szCs w:val="23"/>
          <w:rtl/>
        </w:rPr>
        <w:softHyphen/>
      </w:r>
      <w:r w:rsidRPr="006B3D33">
        <w:rPr>
          <w:rFonts w:eastAsiaTheme="minorEastAsia" w:hint="cs"/>
          <w:i/>
          <w:sz w:val="23"/>
          <w:szCs w:val="23"/>
          <w:rtl/>
        </w:rPr>
        <w:t xml:space="preserve">ی </w:t>
      </w:r>
      <w:r w:rsidRPr="006B3D33">
        <w:rPr>
          <w:rFonts w:hint="cs"/>
          <w:i/>
          <w:sz w:val="23"/>
          <w:szCs w:val="23"/>
          <w:rtl/>
        </w:rPr>
        <w:t>(۱۰. ۳)</w:t>
      </w:r>
      <w:r w:rsidRPr="006B3D33">
        <w:rPr>
          <w:rFonts w:eastAsiaTheme="minorEastAsia" w:hint="cs"/>
          <w:i/>
          <w:sz w:val="23"/>
          <w:szCs w:val="23"/>
          <w:rtl/>
        </w:rPr>
        <w:t xml:space="preserve"> برابر خواهند بود با؛</w:t>
      </w:r>
    </w:p>
    <w:p w14:paraId="2AD48805"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r w:rsidRPr="006B3D33">
        <w:rPr>
          <w:position w:val="-30"/>
        </w:rPr>
        <w:object w:dxaOrig="5340" w:dyaOrig="740" w14:anchorId="30BDBD80">
          <v:shape id="_x0000_i4427" type="#_x0000_t75" style="width:267.45pt;height:36.9pt" o:ole="">
            <v:imagedata r:id="rId6851" o:title=""/>
          </v:shape>
          <o:OLEObject Type="Embed" ProgID="Equation.DSMT4" ShapeID="_x0000_i4427" DrawAspect="Content" ObjectID="_1791378371" r:id="rId6852"/>
        </w:object>
      </w:r>
    </w:p>
    <w:p w14:paraId="3672F7EA"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و یا </w:t>
      </w:r>
    </w:p>
    <w:p w14:paraId="739DAC83"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r w:rsidRPr="006B3D33">
        <w:rPr>
          <w:position w:val="-30"/>
        </w:rPr>
        <w:object w:dxaOrig="2940" w:dyaOrig="740" w14:anchorId="7A1B92B1">
          <v:shape id="_x0000_i4428" type="#_x0000_t75" style="width:147.05pt;height:36.9pt" o:ole="">
            <v:imagedata r:id="rId6853" o:title=""/>
          </v:shape>
          <o:OLEObject Type="Embed" ProgID="Equation.DSMT4" ShapeID="_x0000_i4428" DrawAspect="Content" ObjectID="_1791378372" r:id="rId6854"/>
        </w:object>
      </w:r>
    </w:p>
    <w:p w14:paraId="02F01BFF"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بنابراین حداکثر </w:t>
      </w:r>
      <w:r w:rsidRPr="006B3D33">
        <w:rPr>
          <w:rFonts w:hint="cs"/>
          <w:i/>
          <w:sz w:val="23"/>
          <w:szCs w:val="23"/>
          <w:rtl/>
        </w:rPr>
        <w:t>نرخ تطبیق فرصت‌های شغلی خالی</w:t>
      </w:r>
      <w:r w:rsidRPr="006B3D33">
        <w:rPr>
          <w:position w:val="-10"/>
        </w:rPr>
        <w:object w:dxaOrig="240" w:dyaOrig="320" w14:anchorId="0ED77D2D">
          <v:shape id="_x0000_i4429" type="#_x0000_t75" style="width:12.1pt;height:15.75pt" o:ole="">
            <v:imagedata r:id="rId6855" o:title=""/>
          </v:shape>
          <o:OLEObject Type="Embed" ProgID="Equation.DSMT4" ShapeID="_x0000_i4429" DrawAspect="Content" ObjectID="_1791378373" r:id="rId6856"/>
        </w:object>
      </w:r>
      <w:r w:rsidRPr="006B3D33">
        <w:rPr>
          <w:rFonts w:hint="cs"/>
          <w:i/>
          <w:sz w:val="23"/>
          <w:szCs w:val="23"/>
          <w:rtl/>
        </w:rPr>
        <w:t xml:space="preserve"> و </w:t>
      </w:r>
      <w:r w:rsidRPr="006B3D33">
        <w:rPr>
          <w:rFonts w:eastAsiaTheme="minorEastAsia" w:hint="cs"/>
          <w:i/>
          <w:sz w:val="23"/>
          <w:szCs w:val="23"/>
          <w:rtl/>
        </w:rPr>
        <w:t>نرخ تطبیق شغلی</w:t>
      </w:r>
      <w:r w:rsidRPr="006B3D33">
        <w:rPr>
          <w:position w:val="-10"/>
        </w:rPr>
        <w:object w:dxaOrig="260" w:dyaOrig="320" w14:anchorId="7BE9D7F9">
          <v:shape id="_x0000_i4430" type="#_x0000_t75" style="width:12.7pt;height:15.75pt" o:ole="">
            <v:imagedata r:id="rId6857" o:title=""/>
          </v:shape>
          <o:OLEObject Type="Embed" ProgID="Equation.DSMT4" ShapeID="_x0000_i4430" DrawAspect="Content" ObjectID="_1791378374" r:id="rId6858"/>
        </w:object>
      </w:r>
      <w:r w:rsidRPr="006B3D33">
        <w:rPr>
          <w:rFonts w:eastAsiaTheme="minorEastAsia" w:hint="cs"/>
          <w:i/>
          <w:sz w:val="23"/>
          <w:szCs w:val="23"/>
          <w:rtl/>
        </w:rPr>
        <w:t>، زمانی بدست می</w:t>
      </w:r>
      <w:r w:rsidRPr="006B3D33">
        <w:rPr>
          <w:rFonts w:eastAsiaTheme="minorEastAsia"/>
          <w:i/>
          <w:sz w:val="23"/>
          <w:szCs w:val="23"/>
          <w:rtl/>
        </w:rPr>
        <w:softHyphen/>
      </w:r>
      <w:r w:rsidRPr="006B3D33">
        <w:rPr>
          <w:rFonts w:eastAsiaTheme="minorEastAsia" w:hint="cs"/>
          <w:i/>
          <w:sz w:val="23"/>
          <w:szCs w:val="23"/>
          <w:rtl/>
        </w:rPr>
        <w:t>آید که</w:t>
      </w:r>
      <w:r w:rsidRPr="006B3D33">
        <w:rPr>
          <w:position w:val="-10"/>
        </w:rPr>
        <w:object w:dxaOrig="620" w:dyaOrig="320" w14:anchorId="550F673D">
          <v:shape id="_x0000_i4431" type="#_x0000_t75" style="width:30.85pt;height:15.75pt" o:ole="">
            <v:imagedata r:id="rId6859" o:title=""/>
          </v:shape>
          <o:OLEObject Type="Embed" ProgID="Equation.DSMT4" ShapeID="_x0000_i4431" DrawAspect="Content" ObjectID="_1791378375" r:id="rId6860"/>
        </w:object>
      </w:r>
      <w:r w:rsidRPr="006B3D33">
        <w:rPr>
          <w:rFonts w:eastAsiaTheme="minorEastAsia" w:hint="cs"/>
          <w:i/>
          <w:sz w:val="23"/>
          <w:szCs w:val="23"/>
          <w:rtl/>
        </w:rPr>
        <w:t xml:space="preserve"> و </w:t>
      </w:r>
      <w:r w:rsidRPr="006B3D33">
        <w:rPr>
          <w:position w:val="-10"/>
        </w:rPr>
        <w:object w:dxaOrig="520" w:dyaOrig="300" w14:anchorId="4AF86BB2">
          <v:shape id="_x0000_i4432" type="#_x0000_t75" style="width:26pt;height:14.5pt" o:ole="">
            <v:imagedata r:id="rId6861" o:title=""/>
          </v:shape>
          <o:OLEObject Type="Embed" ProgID="Equation.DSMT4" ShapeID="_x0000_i4432" DrawAspect="Content" ObjectID="_1791378376" r:id="rId6862"/>
        </w:object>
      </w:r>
      <w:r w:rsidRPr="006B3D33">
        <w:rPr>
          <w:rFonts w:eastAsiaTheme="minorEastAsia" w:hint="cs"/>
          <w:i/>
          <w:sz w:val="23"/>
          <w:szCs w:val="23"/>
          <w:rtl/>
        </w:rPr>
        <w:t xml:space="preserve"> باشد. </w:t>
      </w:r>
    </w:p>
    <w:p w14:paraId="506EC999"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تغییر در اشتغال عبارت است از استخدام جدید</w:t>
      </w:r>
      <w:r w:rsidRPr="006B3D33">
        <w:rPr>
          <w:position w:val="-10"/>
        </w:rPr>
        <w:object w:dxaOrig="840" w:dyaOrig="320" w14:anchorId="37487204">
          <v:shape id="_x0000_i4433" type="#_x0000_t75" style="width:41.75pt;height:15.75pt" o:ole="">
            <v:imagedata r:id="rId6863" o:title=""/>
          </v:shape>
          <o:OLEObject Type="Embed" ProgID="Equation.DSMT4" ShapeID="_x0000_i4433" DrawAspect="Content" ObjectID="_1791378377" r:id="rId6864"/>
        </w:object>
      </w:r>
      <w:r w:rsidRPr="006B3D33">
        <w:rPr>
          <w:rFonts w:eastAsiaTheme="minorEastAsia" w:hint="cs"/>
          <w:i/>
          <w:sz w:val="23"/>
          <w:szCs w:val="23"/>
          <w:rtl/>
        </w:rPr>
        <w:t>، منهای انفصال از خدمت</w:t>
      </w:r>
      <w:r w:rsidRPr="006B3D33">
        <w:rPr>
          <w:position w:val="-10"/>
        </w:rPr>
        <w:object w:dxaOrig="340" w:dyaOrig="320" w14:anchorId="714AE1EF">
          <v:shape id="_x0000_i4434" type="#_x0000_t75" style="width:16.95pt;height:15.75pt" o:ole="">
            <v:imagedata r:id="rId6865" o:title=""/>
          </v:shape>
          <o:OLEObject Type="Embed" ProgID="Equation.DSMT4" ShapeID="_x0000_i4434" DrawAspect="Content" ObjectID="_1791378378" r:id="rId6866"/>
        </w:object>
      </w:r>
      <w:r w:rsidRPr="006B3D33">
        <w:rPr>
          <w:rFonts w:eastAsiaTheme="minorEastAsia" w:hint="cs"/>
          <w:i/>
          <w:sz w:val="23"/>
          <w:szCs w:val="23"/>
          <w:rtl/>
        </w:rPr>
        <w:t xml:space="preserve">(جایگزینی شغلی بعلاوه‌ی اخراج). که در آن </w:t>
      </w:r>
      <w:r w:rsidRPr="006B3D33">
        <w:rPr>
          <w:position w:val="-10"/>
        </w:rPr>
        <w:object w:dxaOrig="180" w:dyaOrig="300" w14:anchorId="60CA8FE6">
          <v:shape id="_x0000_i4435" type="#_x0000_t75" style="width:9.1pt;height:14.5pt" o:ole="">
            <v:imagedata r:id="rId6867" o:title=""/>
          </v:shape>
          <o:OLEObject Type="Embed" ProgID="Equation.DSMT4" ShapeID="_x0000_i4435" DrawAspect="Content" ObjectID="_1791378379" r:id="rId6868"/>
        </w:object>
      </w:r>
      <w:r w:rsidRPr="006B3D33">
        <w:rPr>
          <w:rFonts w:eastAsiaTheme="minorEastAsia" w:hint="cs"/>
          <w:i/>
          <w:sz w:val="23"/>
          <w:szCs w:val="23"/>
          <w:rtl/>
        </w:rPr>
        <w:t xml:space="preserve"> نرخ جریان اشتغال</w:t>
      </w:r>
      <w:r w:rsidRPr="006B3D33">
        <w:rPr>
          <w:position w:val="-10"/>
        </w:rPr>
        <w:object w:dxaOrig="240" w:dyaOrig="320" w14:anchorId="55FF50FB">
          <v:shape id="_x0000_i4436" type="#_x0000_t75" style="width:12.1pt;height:15.75pt" o:ole="">
            <v:imagedata r:id="rId6869" o:title=""/>
          </v:shape>
          <o:OLEObject Type="Embed" ProgID="Equation.DSMT4" ShapeID="_x0000_i4436" DrawAspect="Content" ObjectID="_1791378380" r:id="rId6870"/>
        </w:object>
      </w:r>
      <w:r w:rsidRPr="006B3D33">
        <w:rPr>
          <w:rFonts w:eastAsiaTheme="minorEastAsia" w:hint="cs"/>
          <w:i/>
          <w:sz w:val="23"/>
          <w:szCs w:val="23"/>
          <w:rtl/>
        </w:rPr>
        <w:t xml:space="preserve"> به بیکاری</w:t>
      </w:r>
      <w:r w:rsidRPr="006B3D33">
        <w:rPr>
          <w:position w:val="-10"/>
        </w:rPr>
        <w:object w:dxaOrig="240" w:dyaOrig="320" w14:anchorId="3ED292A3">
          <v:shape id="_x0000_i4437" type="#_x0000_t75" style="width:12.1pt;height:15.75pt" o:ole="">
            <v:imagedata r:id="rId6871" o:title=""/>
          </v:shape>
          <o:OLEObject Type="Embed" ProgID="Equation.DSMT4" ShapeID="_x0000_i4437" DrawAspect="Content" ObjectID="_1791378381" r:id="rId6872"/>
        </w:object>
      </w:r>
      <w:r w:rsidRPr="006B3D33">
        <w:rPr>
          <w:rFonts w:eastAsiaTheme="minorEastAsia" w:hint="cs"/>
          <w:i/>
          <w:sz w:val="23"/>
          <w:szCs w:val="23"/>
          <w:rtl/>
        </w:rPr>
        <w:t xml:space="preserve"> ( اخراج و تعلیق کارگر) می</w:t>
      </w:r>
      <w:r w:rsidRPr="006B3D33">
        <w:rPr>
          <w:rFonts w:eastAsiaTheme="minorEastAsia"/>
          <w:i/>
          <w:sz w:val="23"/>
          <w:szCs w:val="23"/>
          <w:rtl/>
        </w:rPr>
        <w:softHyphen/>
      </w:r>
      <w:r w:rsidRPr="006B3D33">
        <w:rPr>
          <w:rFonts w:eastAsiaTheme="minorEastAsia" w:hint="cs"/>
          <w:i/>
          <w:sz w:val="23"/>
          <w:szCs w:val="23"/>
          <w:rtl/>
        </w:rPr>
        <w:t>باشد. برای سهولت فرض می‌شود</w:t>
      </w:r>
      <w:r w:rsidRPr="006B3D33">
        <w:rPr>
          <w:position w:val="-10"/>
        </w:rPr>
        <w:object w:dxaOrig="240" w:dyaOrig="320" w14:anchorId="2F504ECF">
          <v:shape id="_x0000_i4438" type="#_x0000_t75" style="width:12.1pt;height:15.75pt" o:ole="">
            <v:imagedata r:id="rId6873" o:title=""/>
          </v:shape>
          <o:OLEObject Type="Embed" ProgID="Equation.DSMT4" ShapeID="_x0000_i4438" DrawAspect="Content" ObjectID="_1791378382" r:id="rId6874"/>
        </w:object>
      </w:r>
      <w:r w:rsidRPr="006B3D33">
        <w:rPr>
          <w:rFonts w:eastAsiaTheme="minorEastAsia" w:hint="cs"/>
          <w:i/>
          <w:sz w:val="23"/>
          <w:szCs w:val="23"/>
          <w:rtl/>
        </w:rPr>
        <w:t xml:space="preserve"> برون</w:t>
      </w:r>
      <w:r w:rsidRPr="006B3D33">
        <w:rPr>
          <w:rFonts w:eastAsiaTheme="minorEastAsia"/>
          <w:i/>
          <w:sz w:val="23"/>
          <w:szCs w:val="23"/>
          <w:rtl/>
        </w:rPr>
        <w:softHyphen/>
      </w:r>
      <w:r w:rsidRPr="006B3D33">
        <w:rPr>
          <w:rFonts w:eastAsiaTheme="minorEastAsia" w:hint="cs"/>
          <w:i/>
          <w:sz w:val="23"/>
          <w:szCs w:val="23"/>
          <w:rtl/>
        </w:rPr>
        <w:t>زاست، هر چند ممکن است</w:t>
      </w:r>
      <w:r w:rsidRPr="006B3D33">
        <w:rPr>
          <w:position w:val="-10"/>
        </w:rPr>
        <w:object w:dxaOrig="240" w:dyaOrig="320" w14:anchorId="36EC1BA3">
          <v:shape id="_x0000_i4439" type="#_x0000_t75" style="width:12.1pt;height:15.75pt" o:ole="">
            <v:imagedata r:id="rId6875" o:title=""/>
          </v:shape>
          <o:OLEObject Type="Embed" ProgID="Equation.DSMT4" ShapeID="_x0000_i4439" DrawAspect="Content" ObjectID="_1791378383" r:id="rId6876"/>
        </w:object>
      </w:r>
      <w:r w:rsidRPr="006B3D33">
        <w:rPr>
          <w:rFonts w:hint="cs"/>
          <w:i/>
          <w:sz w:val="23"/>
          <w:szCs w:val="23"/>
          <w:rtl/>
        </w:rPr>
        <w:t xml:space="preserve"> </w:t>
      </w:r>
      <w:r w:rsidRPr="006B3D33">
        <w:rPr>
          <w:rFonts w:eastAsiaTheme="minorEastAsia" w:hint="cs"/>
          <w:i/>
          <w:sz w:val="23"/>
          <w:szCs w:val="23"/>
          <w:rtl/>
        </w:rPr>
        <w:t>به چرخه</w:t>
      </w:r>
      <w:r w:rsidRPr="006B3D33">
        <w:rPr>
          <w:rFonts w:eastAsiaTheme="minorEastAsia"/>
          <w:i/>
          <w:sz w:val="23"/>
          <w:szCs w:val="23"/>
          <w:rtl/>
        </w:rPr>
        <w:softHyphen/>
      </w:r>
      <w:r w:rsidRPr="006B3D33">
        <w:rPr>
          <w:rFonts w:eastAsiaTheme="minorEastAsia" w:hint="cs"/>
          <w:i/>
          <w:sz w:val="23"/>
          <w:szCs w:val="23"/>
          <w:rtl/>
        </w:rPr>
        <w:t>های تجاری وابسته باشد. بنابراین</w:t>
      </w:r>
    </w:p>
    <w:p w14:paraId="4538C2C2" w14:textId="77777777" w:rsidR="00411620" w:rsidRPr="006B3D33" w:rsidRDefault="00411620" w:rsidP="00411620">
      <w:pPr>
        <w:bidi w:val="0"/>
        <w:spacing w:line="216" w:lineRule="auto"/>
        <w:rPr>
          <w:rFonts w:eastAsiaTheme="minorEastAsia"/>
          <w:i/>
          <w:sz w:val="23"/>
          <w:szCs w:val="23"/>
          <w:rtl/>
        </w:rPr>
      </w:pPr>
      <w:r w:rsidRPr="006B3D33">
        <w:rPr>
          <w:position w:val="-10"/>
        </w:rPr>
        <w:object w:dxaOrig="1560" w:dyaOrig="320" w14:anchorId="1AED1E26">
          <v:shape id="_x0000_i4440" type="#_x0000_t75" style="width:78.05pt;height:15.75pt" o:ole="">
            <v:imagedata r:id="rId6877" o:title=""/>
          </v:shape>
          <o:OLEObject Type="Embed" ProgID="Equation.DSMT4" ShapeID="_x0000_i4440" DrawAspect="Content" ObjectID="_1791378384" r:id="rId6878"/>
        </w:object>
      </w:r>
      <w:r w:rsidRPr="006B3D33">
        <w:rPr>
          <w:i/>
          <w:sz w:val="23"/>
          <w:szCs w:val="23"/>
        </w:rPr>
        <w:tab/>
      </w:r>
      <w:r w:rsidRPr="006B3D33">
        <w:rPr>
          <w:i/>
          <w:sz w:val="23"/>
          <w:szCs w:val="23"/>
          <w:rtl/>
        </w:rPr>
        <w:tab/>
      </w:r>
      <w:r w:rsidRPr="006B3D33">
        <w:rPr>
          <w:i/>
          <w:sz w:val="23"/>
          <w:szCs w:val="23"/>
        </w:rPr>
        <w:tab/>
      </w:r>
      <w:r w:rsidRPr="006B3D33">
        <w:rPr>
          <w:i/>
          <w:sz w:val="23"/>
          <w:szCs w:val="23"/>
          <w:rtl/>
        </w:rPr>
        <w:tab/>
      </w:r>
      <w:r w:rsidRPr="006B3D33">
        <w:rPr>
          <w:i/>
          <w:sz w:val="23"/>
          <w:szCs w:val="23"/>
        </w:rPr>
        <w:tab/>
      </w:r>
      <w:r w:rsidRPr="006B3D33">
        <w:rPr>
          <w:rFonts w:hint="cs"/>
          <w:i/>
          <w:sz w:val="23"/>
          <w:szCs w:val="23"/>
          <w:rtl/>
        </w:rPr>
        <w:t xml:space="preserve"> </w:t>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Pr>
        <w:tab/>
      </w:r>
      <w:r>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rFonts w:hint="cs"/>
          <w:i/>
          <w:sz w:val="23"/>
          <w:szCs w:val="23"/>
          <w:rtl/>
        </w:rPr>
        <w:t>(۱۰. ۴)</w:t>
      </w:r>
      <w:r w:rsidRPr="006B3D33">
        <w:rPr>
          <w:rFonts w:eastAsiaTheme="minorEastAsia" w:hint="cs"/>
          <w:i/>
          <w:sz w:val="23"/>
          <w:szCs w:val="23"/>
        </w:rPr>
        <w:t xml:space="preserve"> </w:t>
      </w:r>
    </w:p>
    <w:p w14:paraId="2D946498" w14:textId="77777777" w:rsidR="00411620" w:rsidRPr="006B3D33" w:rsidRDefault="00411620" w:rsidP="00411620">
      <w:pPr>
        <w:spacing w:line="216" w:lineRule="auto"/>
        <w:rPr>
          <w:rFonts w:eastAsiaTheme="minorEastAsia"/>
          <w:i/>
          <w:sz w:val="23"/>
          <w:szCs w:val="23"/>
          <w:rtl/>
        </w:rPr>
      </w:pPr>
      <w:r w:rsidRPr="006B3D33">
        <w:rPr>
          <w:rFonts w:hint="cs"/>
          <w:i/>
          <w:sz w:val="23"/>
          <w:szCs w:val="23"/>
          <w:rtl/>
        </w:rPr>
        <w:t>باید توجه داشت که</w:t>
      </w:r>
      <w:r w:rsidRPr="006B3D33">
        <w:rPr>
          <w:position w:val="-12"/>
        </w:rPr>
        <w:object w:dxaOrig="820" w:dyaOrig="360" w14:anchorId="15AA5ACB">
          <v:shape id="_x0000_i4441" type="#_x0000_t75" style="width:41.15pt;height:18.15pt" o:ole="">
            <v:imagedata r:id="rId6879" o:title=""/>
          </v:shape>
          <o:OLEObject Type="Embed" ProgID="Equation.DSMT4" ShapeID="_x0000_i4441" DrawAspect="Content" ObjectID="_1791378385" r:id="rId6880"/>
        </w:object>
      </w:r>
      <w:r w:rsidRPr="006B3D33">
        <w:rPr>
          <w:rFonts w:eastAsiaTheme="minorEastAsia" w:hint="cs"/>
          <w:i/>
          <w:sz w:val="23"/>
          <w:szCs w:val="23"/>
          <w:rtl/>
        </w:rPr>
        <w:t xml:space="preserve"> نسبتی از استخدام</w:t>
      </w:r>
      <w:r w:rsidRPr="006B3D33">
        <w:rPr>
          <w:rFonts w:eastAsiaTheme="minorEastAsia"/>
          <w:i/>
          <w:sz w:val="23"/>
          <w:szCs w:val="23"/>
          <w:rtl/>
        </w:rPr>
        <w:softHyphen/>
      </w:r>
      <w:r w:rsidRPr="006B3D33">
        <w:rPr>
          <w:rFonts w:eastAsiaTheme="minorEastAsia" w:hint="cs"/>
          <w:i/>
          <w:sz w:val="23"/>
          <w:szCs w:val="23"/>
          <w:rtl/>
        </w:rPr>
        <w:t>های جدید در دوره</w:t>
      </w:r>
      <w:r w:rsidRPr="006B3D33">
        <w:rPr>
          <w:rFonts w:eastAsiaTheme="minorEastAsia"/>
          <w:i/>
          <w:sz w:val="23"/>
          <w:szCs w:val="23"/>
          <w:rtl/>
        </w:rPr>
        <w:softHyphen/>
      </w:r>
      <w:r w:rsidRPr="006B3D33">
        <w:rPr>
          <w:rFonts w:eastAsiaTheme="minorEastAsia" w:hint="cs"/>
          <w:i/>
          <w:sz w:val="23"/>
          <w:szCs w:val="23"/>
          <w:rtl/>
        </w:rPr>
        <w:t>ی</w:t>
      </w:r>
      <w:r w:rsidRPr="006B3D33">
        <w:rPr>
          <w:position w:val="-6"/>
        </w:rPr>
        <w:object w:dxaOrig="220" w:dyaOrig="240" w14:anchorId="4369E00F">
          <v:shape id="_x0000_i4442" type="#_x0000_t75" style="width:10.9pt;height:12.1pt" o:ole="">
            <v:imagedata r:id="rId6881" o:title=""/>
          </v:shape>
          <o:OLEObject Type="Embed" ProgID="Equation.DSMT4" ShapeID="_x0000_i4442" DrawAspect="Content" ObjectID="_1791378386" r:id="rId6882"/>
        </w:object>
      </w:r>
      <w:r w:rsidRPr="006B3D33">
        <w:rPr>
          <w:rFonts w:eastAsiaTheme="minorEastAsia" w:hint="cs"/>
          <w:i/>
          <w:sz w:val="23"/>
          <w:szCs w:val="23"/>
          <w:rtl/>
        </w:rPr>
        <w:t>است که تا دوره</w:t>
      </w:r>
      <w:r w:rsidRPr="006B3D33">
        <w:rPr>
          <w:rFonts w:eastAsiaTheme="minorEastAsia"/>
          <w:i/>
          <w:sz w:val="23"/>
          <w:szCs w:val="23"/>
          <w:rtl/>
        </w:rPr>
        <w:softHyphen/>
      </w:r>
      <w:r w:rsidRPr="006B3D33">
        <w:rPr>
          <w:rFonts w:eastAsiaTheme="minorEastAsia" w:hint="cs"/>
          <w:i/>
          <w:sz w:val="23"/>
          <w:szCs w:val="23"/>
          <w:rtl/>
        </w:rPr>
        <w:t>ی</w:t>
      </w:r>
      <w:r w:rsidRPr="006B3D33">
        <w:rPr>
          <w:position w:val="-6"/>
        </w:rPr>
        <w:object w:dxaOrig="440" w:dyaOrig="260" w14:anchorId="4FC56FC6">
          <v:shape id="_x0000_i4443" type="#_x0000_t75" style="width:21.8pt;height:12.7pt" o:ole="">
            <v:imagedata r:id="rId6883" o:title=""/>
          </v:shape>
          <o:OLEObject Type="Embed" ProgID="Equation.DSMT4" ShapeID="_x0000_i4443" DrawAspect="Content" ObjectID="_1791378387" r:id="rId6884"/>
        </w:object>
      </w:r>
      <w:r w:rsidRPr="006B3D33">
        <w:rPr>
          <w:rFonts w:eastAsiaTheme="minorEastAsia" w:hint="cs"/>
          <w:i/>
          <w:sz w:val="23"/>
          <w:szCs w:val="23"/>
          <w:rtl/>
        </w:rPr>
        <w:t xml:space="preserve"> شاغل هستند. در وضعیت یکنواخت که </w:t>
      </w:r>
      <w:r w:rsidRPr="006B3D33">
        <w:rPr>
          <w:position w:val="-10"/>
        </w:rPr>
        <w:object w:dxaOrig="880" w:dyaOrig="320" w14:anchorId="645DCDFA">
          <v:shape id="_x0000_i4444" type="#_x0000_t75" style="width:44.15pt;height:15.75pt" o:ole="">
            <v:imagedata r:id="rId6885" o:title=""/>
          </v:shape>
          <o:OLEObject Type="Embed" ProgID="Equation.DSMT4" ShapeID="_x0000_i4444" DrawAspect="Content" ObjectID="_1791378388" r:id="rId6886"/>
        </w:object>
      </w:r>
      <w:r w:rsidRPr="006B3D33">
        <w:rPr>
          <w:rFonts w:hint="cs"/>
          <w:i/>
          <w:sz w:val="23"/>
          <w:szCs w:val="23"/>
          <w:rtl/>
        </w:rPr>
        <w:t xml:space="preserve">، </w:t>
      </w:r>
      <w:r w:rsidRPr="006B3D33">
        <w:rPr>
          <w:rFonts w:eastAsiaTheme="minorEastAsia" w:hint="cs"/>
          <w:i/>
          <w:sz w:val="23"/>
          <w:szCs w:val="23"/>
          <w:rtl/>
        </w:rPr>
        <w:t>سطح تعادلی فرصت‌های شغلی خالی برابر است با،</w:t>
      </w:r>
    </w:p>
    <w:p w14:paraId="30E3E613"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6B3D33">
        <w:rPr>
          <w:position w:val="-28"/>
        </w:rPr>
        <w:object w:dxaOrig="800" w:dyaOrig="639" w14:anchorId="7DB3E1DC">
          <v:shape id="_x0000_i4445" type="#_x0000_t75" style="width:39.95pt;height:32.05pt" o:ole="">
            <v:imagedata r:id="rId6887" o:title=""/>
          </v:shape>
          <o:OLEObject Type="Embed" ProgID="Equation.DSMT4" ShapeID="_x0000_i4445" DrawAspect="Content" ObjectID="_1791378389" r:id="rId6888"/>
        </w:object>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۵)</w:t>
      </w:r>
    </w:p>
    <w:p w14:paraId="31FE2BFD"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جهت سهولت بحث، عرضه</w:t>
      </w:r>
      <w:r w:rsidRPr="006B3D33">
        <w:rPr>
          <w:rFonts w:eastAsiaTheme="minorEastAsia"/>
          <w:i/>
          <w:sz w:val="23"/>
          <w:szCs w:val="23"/>
          <w:rtl/>
        </w:rPr>
        <w:softHyphen/>
      </w:r>
      <w:r w:rsidRPr="006B3D33">
        <w:rPr>
          <w:rFonts w:eastAsiaTheme="minorEastAsia" w:hint="cs"/>
          <w:i/>
          <w:sz w:val="23"/>
          <w:szCs w:val="23"/>
          <w:rtl/>
        </w:rPr>
        <w:t xml:space="preserve">ی نیروی کار را به یک نرمالیز کرده، در نتیجه، مشارکت جدید در نیروی کار که ممکن است شاغل و یا بیکار باشند در نظر گرفته نمی‌شود. بطور مشابه، خروج نیروی کار نیز درنظر گرفته نخواهد شد. لذا سطح اشتغال و بیکاری برابر خواهد شد با نرخ اشتغال و نرخ بیکاری. در این صورت بیکاری برابر خواهد بود با </w:t>
      </w:r>
      <w:r w:rsidRPr="006B3D33">
        <w:rPr>
          <w:position w:val="-10"/>
        </w:rPr>
        <w:object w:dxaOrig="940" w:dyaOrig="320" w14:anchorId="78ECA04A">
          <v:shape id="_x0000_i4446" type="#_x0000_t75" style="width:46.6pt;height:15.75pt" o:ole="">
            <v:imagedata r:id="rId6889" o:title=""/>
          </v:shape>
          <o:OLEObject Type="Embed" ProgID="Equation.DSMT4" ShapeID="_x0000_i4446" DrawAspect="Content" ObjectID="_1791378390" r:id="rId6890"/>
        </w:object>
      </w:r>
      <w:r w:rsidRPr="006B3D33">
        <w:rPr>
          <w:rFonts w:eastAsiaTheme="minorEastAsia" w:hint="cs"/>
          <w:i/>
          <w:sz w:val="23"/>
          <w:szCs w:val="23"/>
          <w:rtl/>
        </w:rPr>
        <w:t xml:space="preserve">. از معادله‌ی    </w:t>
      </w:r>
      <w:r w:rsidRPr="006B3D33">
        <w:rPr>
          <w:rFonts w:hint="cs"/>
          <w:i/>
          <w:sz w:val="23"/>
          <w:szCs w:val="23"/>
          <w:rtl/>
        </w:rPr>
        <w:t xml:space="preserve">(۱۰. ۴) </w:t>
      </w:r>
      <w:r w:rsidRPr="006B3D33">
        <w:rPr>
          <w:rFonts w:eastAsiaTheme="minorEastAsia" w:hint="cs"/>
          <w:i/>
          <w:sz w:val="23"/>
          <w:szCs w:val="23"/>
          <w:rtl/>
        </w:rPr>
        <w:t>و با توجه به این</w:t>
      </w:r>
      <w:r w:rsidRPr="006B3D33">
        <w:rPr>
          <w:rFonts w:eastAsiaTheme="minorEastAsia"/>
          <w:i/>
          <w:sz w:val="23"/>
          <w:szCs w:val="23"/>
          <w:rtl/>
        </w:rPr>
        <w:softHyphen/>
      </w:r>
      <w:r w:rsidRPr="006B3D33">
        <w:rPr>
          <w:rFonts w:eastAsiaTheme="minorEastAsia" w:hint="cs"/>
          <w:i/>
          <w:sz w:val="23"/>
          <w:szCs w:val="23"/>
          <w:rtl/>
        </w:rPr>
        <w:t xml:space="preserve">که </w:t>
      </w:r>
      <w:r w:rsidRPr="006B3D33">
        <w:rPr>
          <w:position w:val="-10"/>
        </w:rPr>
        <w:object w:dxaOrig="1340" w:dyaOrig="320" w14:anchorId="28CE4253">
          <v:shape id="_x0000_i4447" type="#_x0000_t75" style="width:67.15pt;height:15.75pt" o:ole="">
            <v:imagedata r:id="rId6891" o:title=""/>
          </v:shape>
          <o:OLEObject Type="Embed" ProgID="Equation.DSMT4" ShapeID="_x0000_i4447" DrawAspect="Content" ObjectID="_1791378391" r:id="rId6892"/>
        </w:object>
      </w:r>
      <w:r w:rsidRPr="006B3D33">
        <w:rPr>
          <w:rFonts w:eastAsiaTheme="minorEastAsia"/>
          <w:i/>
          <w:sz w:val="23"/>
          <w:szCs w:val="23"/>
        </w:rPr>
        <w:t xml:space="preserve"> </w:t>
      </w:r>
      <w:r w:rsidRPr="006B3D33">
        <w:rPr>
          <w:rFonts w:eastAsiaTheme="minorEastAsia" w:hint="cs"/>
          <w:i/>
          <w:sz w:val="23"/>
          <w:szCs w:val="23"/>
          <w:rtl/>
        </w:rPr>
        <w:t>و</w:t>
      </w:r>
      <w:r w:rsidRPr="006B3D33">
        <w:rPr>
          <w:position w:val="-10"/>
        </w:rPr>
        <w:object w:dxaOrig="1440" w:dyaOrig="320" w14:anchorId="0BD34558">
          <v:shape id="_x0000_i4448" type="#_x0000_t75" style="width:1in;height:15.75pt" o:ole="">
            <v:imagedata r:id="rId6893" o:title=""/>
          </v:shape>
          <o:OLEObject Type="Embed" ProgID="Equation.DSMT4" ShapeID="_x0000_i4448" DrawAspect="Content" ObjectID="_1791378392" r:id="rId6894"/>
        </w:object>
      </w:r>
      <w:r w:rsidRPr="006B3D33">
        <w:rPr>
          <w:i/>
          <w:sz w:val="23"/>
          <w:szCs w:val="23"/>
        </w:rPr>
        <w:t xml:space="preserve"> </w:t>
      </w:r>
      <w:r w:rsidRPr="006B3D33">
        <w:rPr>
          <w:rFonts w:hint="cs"/>
          <w:i/>
          <w:sz w:val="23"/>
          <w:szCs w:val="23"/>
          <w:rtl/>
        </w:rPr>
        <w:t>است،</w:t>
      </w:r>
      <w:r w:rsidRPr="006B3D33">
        <w:rPr>
          <w:rFonts w:eastAsiaTheme="minorEastAsia" w:hint="cs"/>
          <w:i/>
          <w:sz w:val="23"/>
          <w:szCs w:val="23"/>
          <w:rtl/>
        </w:rPr>
        <w:t xml:space="preserve"> آنگاه</w:t>
      </w:r>
    </w:p>
    <w:p w14:paraId="7EEA4E84" w14:textId="77777777" w:rsidR="00411620" w:rsidRPr="006B3D33" w:rsidRDefault="00411620" w:rsidP="00411620">
      <w:pPr>
        <w:bidi w:val="0"/>
        <w:spacing w:line="216" w:lineRule="auto"/>
        <w:rPr>
          <w:rFonts w:eastAsiaTheme="minorEastAsia"/>
          <w:i/>
          <w:sz w:val="23"/>
          <w:szCs w:val="23"/>
        </w:rPr>
      </w:pPr>
      <w:r w:rsidRPr="006B3D33">
        <w:rPr>
          <w:position w:val="-12"/>
        </w:rPr>
        <w:object w:dxaOrig="1960" w:dyaOrig="360" w14:anchorId="4317F69E">
          <v:shape id="_x0000_i4449" type="#_x0000_t75" style="width:98pt;height:18.15pt" o:ole="">
            <v:imagedata r:id="rId6895" o:title=""/>
          </v:shape>
          <o:OLEObject Type="Embed" ProgID="Equation.DSMT4" ShapeID="_x0000_i4449" DrawAspect="Content" ObjectID="_1791378393" r:id="rId6896"/>
        </w:object>
      </w:r>
      <w:r w:rsidRPr="006B3D33">
        <w:rPr>
          <w:rFonts w:eastAsiaTheme="minorEastAsia" w:hint="cs"/>
          <w:i/>
          <w:sz w:val="23"/>
          <w:szCs w:val="23"/>
          <w:rtl/>
        </w:rPr>
        <w:t xml:space="preserve"> </w:t>
      </w:r>
      <w:r w:rsidRPr="006B3D33">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Pr>
        <w:tab/>
      </w:r>
      <w:r>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tl/>
        </w:rPr>
        <w:tab/>
      </w:r>
      <w:r w:rsidRPr="006B3D33">
        <w:rPr>
          <w:rFonts w:eastAsiaTheme="minorEastAsia" w:hint="cs"/>
          <w:i/>
          <w:sz w:val="23"/>
          <w:szCs w:val="23"/>
          <w:rtl/>
        </w:rPr>
        <w:t>(۱۰. ۶)</w:t>
      </w:r>
    </w:p>
    <w:p w14:paraId="7DD31456"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بنابراین در وضعیت یکنواخت که در آن</w:t>
      </w:r>
      <w:r w:rsidRPr="006B3D33">
        <w:rPr>
          <w:position w:val="-10"/>
        </w:rPr>
        <w:object w:dxaOrig="880" w:dyaOrig="320" w14:anchorId="095CE757">
          <v:shape id="_x0000_i4450" type="#_x0000_t75" style="width:44.15pt;height:15.75pt" o:ole="">
            <v:imagedata r:id="rId6897" o:title=""/>
          </v:shape>
          <o:OLEObject Type="Embed" ProgID="Equation.DSMT4" ShapeID="_x0000_i4450" DrawAspect="Content" ObjectID="_1791378394" r:id="rId6898"/>
        </w:object>
      </w:r>
      <w:r w:rsidRPr="006B3D33">
        <w:rPr>
          <w:rFonts w:eastAsiaTheme="minorEastAsia" w:hint="cs"/>
          <w:i/>
          <w:sz w:val="23"/>
          <w:szCs w:val="23"/>
          <w:rtl/>
        </w:rPr>
        <w:t xml:space="preserve"> است، بیکاری برابر خواهد بود با</w:t>
      </w:r>
    </w:p>
    <w:p w14:paraId="25C02726" w14:textId="77777777" w:rsidR="00411620" w:rsidRPr="006B3D33" w:rsidRDefault="00411620" w:rsidP="00411620">
      <w:pPr>
        <w:pStyle w:val="MTDisplayEquation"/>
        <w:spacing w:line="216" w:lineRule="auto"/>
        <w:rPr>
          <w:rFonts w:ascii="Times New Roman" w:hAnsi="Times New Roman" w:cs="B Nazanin"/>
          <w:i/>
          <w:sz w:val="23"/>
          <w:szCs w:val="23"/>
          <w:rtl/>
        </w:rPr>
      </w:pPr>
      <w:r w:rsidRPr="006B3D33">
        <w:rPr>
          <w:position w:val="-28"/>
        </w:rPr>
        <w:object w:dxaOrig="1840" w:dyaOrig="639" w14:anchorId="4C23A336">
          <v:shape id="_x0000_i4451" type="#_x0000_t75" style="width:91.95pt;height:32.05pt" o:ole="">
            <v:imagedata r:id="rId6899" o:title=""/>
          </v:shape>
          <o:OLEObject Type="Embed" ProgID="Equation.DSMT4" ShapeID="_x0000_i4451" DrawAspect="Content" ObjectID="_1791378395" r:id="rId6900"/>
        </w:object>
      </w:r>
    </w:p>
    <w:p w14:paraId="57AA92AD" w14:textId="77777777" w:rsidR="00411620" w:rsidRPr="006B3D33" w:rsidRDefault="00411620" w:rsidP="00411620">
      <w:pPr>
        <w:bidi w:val="0"/>
        <w:spacing w:line="216" w:lineRule="auto"/>
        <w:rPr>
          <w:i/>
          <w:sz w:val="23"/>
          <w:szCs w:val="23"/>
        </w:rPr>
      </w:pPr>
    </w:p>
    <w:p w14:paraId="45C9E7B1" w14:textId="77777777" w:rsidR="00411620" w:rsidRPr="006B3D33" w:rsidRDefault="00411620" w:rsidP="00411620">
      <w:pPr>
        <w:pStyle w:val="Heading1"/>
        <w:spacing w:before="0" w:after="0" w:line="216" w:lineRule="auto"/>
        <w:rPr>
          <w:rFonts w:ascii="Times New Roman" w:eastAsiaTheme="minorEastAsia" w:hAnsi="Times New Roman" w:cs="B Nazanin"/>
          <w:b w:val="0"/>
          <w:i/>
          <w:sz w:val="23"/>
          <w:szCs w:val="23"/>
          <w:rtl/>
        </w:rPr>
      </w:pPr>
      <w:r w:rsidRPr="006B3D33">
        <w:rPr>
          <w:rFonts w:ascii="Times New Roman" w:eastAsiaTheme="minorEastAsia" w:hAnsi="Times New Roman" w:cs="B Nazanin" w:hint="cs"/>
          <w:b w:val="0"/>
          <w:i/>
          <w:sz w:val="23"/>
          <w:szCs w:val="23"/>
          <w:rtl/>
        </w:rPr>
        <w:t>۱۰. ۳. ۲ تقاضای کار</w:t>
      </w:r>
    </w:p>
    <w:p w14:paraId="6DCA39E7"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در تجزیه و تحلیل تقاضای نیروی کار در این نظریه، بر دو جریان تصمیم</w:t>
      </w:r>
      <w:r w:rsidRPr="006B3D33">
        <w:rPr>
          <w:rFonts w:eastAsiaTheme="minorEastAsia"/>
          <w:i/>
          <w:sz w:val="23"/>
          <w:szCs w:val="23"/>
          <w:rtl/>
        </w:rPr>
        <w:softHyphen/>
      </w:r>
      <w:r w:rsidRPr="006B3D33">
        <w:rPr>
          <w:rFonts w:eastAsiaTheme="minorEastAsia" w:hint="cs"/>
          <w:i/>
          <w:sz w:val="23"/>
          <w:szCs w:val="23"/>
          <w:rtl/>
        </w:rPr>
        <w:t xml:space="preserve"> در خصوص استخدام و تصمیم</w:t>
      </w:r>
      <w:r w:rsidRPr="006B3D33">
        <w:rPr>
          <w:rFonts w:eastAsiaTheme="minorEastAsia"/>
          <w:i/>
          <w:sz w:val="23"/>
          <w:szCs w:val="23"/>
          <w:rtl/>
        </w:rPr>
        <w:softHyphen/>
      </w:r>
      <w:r w:rsidRPr="006B3D33">
        <w:rPr>
          <w:rFonts w:eastAsiaTheme="minorEastAsia" w:hint="cs"/>
          <w:i/>
          <w:sz w:val="23"/>
          <w:szCs w:val="23"/>
          <w:rtl/>
        </w:rPr>
        <w:t>گیری برای ایجاد فرصت</w:t>
      </w:r>
      <w:r w:rsidRPr="006B3D33">
        <w:rPr>
          <w:rFonts w:eastAsiaTheme="minorEastAsia"/>
          <w:i/>
          <w:sz w:val="23"/>
          <w:szCs w:val="23"/>
          <w:rtl/>
        </w:rPr>
        <w:softHyphen/>
      </w:r>
      <w:r w:rsidRPr="006B3D33">
        <w:rPr>
          <w:rFonts w:eastAsiaTheme="minorEastAsia" w:hint="cs"/>
          <w:i/>
          <w:sz w:val="23"/>
          <w:szCs w:val="23"/>
          <w:rtl/>
        </w:rPr>
        <w:t>های شغلی خالی افراد توجه می‌شود نه بر کل اشتغال. اگر</w:t>
      </w:r>
      <w:r w:rsidRPr="006B3D33">
        <w:rPr>
          <w:position w:val="-10"/>
        </w:rPr>
        <w:object w:dxaOrig="340" w:dyaOrig="340" w14:anchorId="0E3927B6">
          <v:shape id="_x0000_i4452" type="#_x0000_t75" style="width:16.95pt;height:16.95pt" o:ole="">
            <v:imagedata r:id="rId6901" o:title=""/>
          </v:shape>
          <o:OLEObject Type="Embed" ProgID="Equation.DSMT4" ShapeID="_x0000_i4452" DrawAspect="Content" ObjectID="_1791378396" r:id="rId6902"/>
        </w:object>
      </w:r>
      <w:r w:rsidRPr="006B3D33">
        <w:rPr>
          <w:rFonts w:eastAsiaTheme="minorEastAsia" w:hint="cs"/>
          <w:i/>
          <w:sz w:val="23"/>
          <w:szCs w:val="23"/>
          <w:rtl/>
        </w:rPr>
        <w:t xml:space="preserve"> ارزش پر کردن یک شغل برای بنگاه باشد، آنگاه بهینه</w:t>
      </w:r>
      <w:r w:rsidRPr="006B3D33">
        <w:rPr>
          <w:rFonts w:eastAsiaTheme="minorEastAsia"/>
          <w:i/>
          <w:sz w:val="23"/>
          <w:szCs w:val="23"/>
          <w:rtl/>
        </w:rPr>
        <w:softHyphen/>
      </w:r>
      <w:r w:rsidRPr="006B3D33">
        <w:rPr>
          <w:rFonts w:eastAsiaTheme="minorEastAsia" w:hint="cs"/>
          <w:i/>
          <w:sz w:val="23"/>
          <w:szCs w:val="23"/>
          <w:rtl/>
        </w:rPr>
        <w:t>یابی بین</w:t>
      </w:r>
      <w:r w:rsidRPr="006B3D33">
        <w:rPr>
          <w:rFonts w:eastAsiaTheme="minorEastAsia"/>
          <w:i/>
          <w:sz w:val="23"/>
          <w:szCs w:val="23"/>
          <w:rtl/>
        </w:rPr>
        <w:softHyphen/>
      </w:r>
      <w:r w:rsidRPr="006B3D33">
        <w:rPr>
          <w:rFonts w:eastAsiaTheme="minorEastAsia" w:hint="cs"/>
          <w:i/>
          <w:sz w:val="23"/>
          <w:szCs w:val="23"/>
          <w:rtl/>
        </w:rPr>
        <w:t>دوره</w:t>
      </w:r>
      <w:r w:rsidRPr="006B3D33">
        <w:rPr>
          <w:rFonts w:eastAsiaTheme="minorEastAsia"/>
          <w:i/>
          <w:sz w:val="23"/>
          <w:szCs w:val="23"/>
          <w:rtl/>
        </w:rPr>
        <w:softHyphen/>
      </w:r>
      <w:r w:rsidRPr="006B3D33">
        <w:rPr>
          <w:rFonts w:eastAsiaTheme="minorEastAsia" w:hint="cs"/>
          <w:i/>
          <w:sz w:val="23"/>
          <w:szCs w:val="23"/>
          <w:rtl/>
        </w:rPr>
        <w:t xml:space="preserve">ای بنگاه مرتبط است با حداکثر کردن تابع </w:t>
      </w:r>
    </w:p>
    <w:p w14:paraId="021C5380" w14:textId="77777777" w:rsidR="00411620" w:rsidRPr="006B3D33" w:rsidRDefault="00411620" w:rsidP="00411620">
      <w:pPr>
        <w:bidi w:val="0"/>
        <w:spacing w:line="216" w:lineRule="auto"/>
        <w:rPr>
          <w:rFonts w:eastAsiaTheme="minorEastAsia"/>
          <w:i/>
          <w:sz w:val="23"/>
          <w:szCs w:val="23"/>
        </w:rPr>
      </w:pPr>
      <w:r w:rsidRPr="006B3D33">
        <w:rPr>
          <w:position w:val="-12"/>
        </w:rPr>
        <w:object w:dxaOrig="3340" w:dyaOrig="360" w14:anchorId="41B52378">
          <v:shape id="_x0000_i4453" type="#_x0000_t75" style="width:167pt;height:18.15pt" o:ole="">
            <v:imagedata r:id="rId6903" o:title=""/>
          </v:shape>
          <o:OLEObject Type="Embed" ProgID="Equation.DSMT4" ShapeID="_x0000_i4453" DrawAspect="Content" ObjectID="_1791378397" r:id="rId6904"/>
        </w:object>
      </w:r>
      <w:r w:rsidRPr="006B3D33">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Pr>
        <w:tab/>
      </w:r>
      <w:r w:rsidRPr="006B3D33">
        <w:rPr>
          <w:rFonts w:eastAsiaTheme="minorEastAsia"/>
          <w:i/>
          <w:sz w:val="23"/>
          <w:szCs w:val="23"/>
          <w:rtl/>
        </w:rPr>
        <w:tab/>
      </w:r>
      <w:r w:rsidRPr="006B3D33">
        <w:rPr>
          <w:rFonts w:eastAsiaTheme="minorEastAsia"/>
          <w:i/>
          <w:sz w:val="23"/>
          <w:szCs w:val="23"/>
        </w:rPr>
        <w:tab/>
      </w:r>
      <w:r w:rsidRPr="006B3D33">
        <w:rPr>
          <w:rFonts w:eastAsiaTheme="minorEastAsia"/>
          <w:i/>
          <w:sz w:val="23"/>
          <w:szCs w:val="23"/>
          <w:rtl/>
        </w:rPr>
        <w:tab/>
      </w:r>
      <w:r w:rsidRPr="006B3D33">
        <w:rPr>
          <w:rFonts w:eastAsiaTheme="minorEastAsia"/>
          <w:i/>
          <w:sz w:val="23"/>
          <w:szCs w:val="23"/>
          <w:rtl/>
        </w:rPr>
        <w:tab/>
      </w:r>
      <w:r>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tl/>
        </w:rPr>
        <w:tab/>
      </w:r>
      <w:r w:rsidRPr="006B3D33">
        <w:rPr>
          <w:rFonts w:eastAsiaTheme="minorEastAsia" w:hint="cs"/>
          <w:i/>
          <w:sz w:val="23"/>
          <w:szCs w:val="23"/>
          <w:rtl/>
        </w:rPr>
        <w:t>(۱۰. ۷)</w:t>
      </w:r>
    </w:p>
    <w:p w14:paraId="13BBFD4A"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که در آن</w:t>
      </w:r>
      <w:r w:rsidRPr="006B3D33">
        <w:rPr>
          <w:position w:val="-12"/>
        </w:rPr>
        <w:object w:dxaOrig="620" w:dyaOrig="360" w14:anchorId="5D1E8ED4">
          <v:shape id="_x0000_i4454" type="#_x0000_t75" style="width:30.85pt;height:18.15pt" o:ole="">
            <v:imagedata r:id="rId6905" o:title=""/>
          </v:shape>
          <o:OLEObject Type="Embed" ProgID="Equation.DSMT4" ShapeID="_x0000_i4454" DrawAspect="Content" ObjectID="_1791378398" r:id="rId6906"/>
        </w:object>
      </w:r>
      <w:r w:rsidRPr="006B3D33">
        <w:rPr>
          <w:rFonts w:eastAsiaTheme="minorEastAsia" w:hint="cs"/>
          <w:i/>
          <w:sz w:val="23"/>
          <w:szCs w:val="23"/>
          <w:rtl/>
        </w:rPr>
        <w:t xml:space="preserve"> تابع تولید هر فرد،</w:t>
      </w:r>
      <w:r w:rsidRPr="006B3D33">
        <w:rPr>
          <w:position w:val="-10"/>
        </w:rPr>
        <w:object w:dxaOrig="240" w:dyaOrig="320" w14:anchorId="785A4BDB">
          <v:shape id="_x0000_i4455" type="#_x0000_t75" style="width:12.1pt;height:15.75pt" o:ole="">
            <v:imagedata r:id="rId6907" o:title=""/>
          </v:shape>
          <o:OLEObject Type="Embed" ProgID="Equation.DSMT4" ShapeID="_x0000_i4455" DrawAspect="Content" ObjectID="_1791378399" r:id="rId6908"/>
        </w:object>
      </w:r>
      <w:r w:rsidRPr="006B3D33">
        <w:rPr>
          <w:rFonts w:eastAsiaTheme="minorEastAsia" w:hint="cs"/>
          <w:i/>
          <w:sz w:val="23"/>
          <w:szCs w:val="23"/>
          <w:rtl/>
        </w:rPr>
        <w:t xml:space="preserve"> ساعات کار انجام شده‌ی هر فرد و</w:t>
      </w:r>
      <w:r w:rsidRPr="006B3D33">
        <w:rPr>
          <w:position w:val="-10"/>
        </w:rPr>
        <w:object w:dxaOrig="260" w:dyaOrig="320" w14:anchorId="3B1CFF87">
          <v:shape id="_x0000_i4456" type="#_x0000_t75" style="width:12.7pt;height:15.75pt" o:ole="">
            <v:imagedata r:id="rId6909" o:title=""/>
          </v:shape>
          <o:OLEObject Type="Embed" ProgID="Equation.DSMT4" ShapeID="_x0000_i4456" DrawAspect="Content" ObjectID="_1791378400" r:id="rId6910"/>
        </w:object>
      </w:r>
      <w:r w:rsidRPr="006B3D33">
        <w:rPr>
          <w:rFonts w:eastAsiaTheme="minorEastAsia" w:hint="cs"/>
          <w:i/>
          <w:sz w:val="23"/>
          <w:szCs w:val="23"/>
          <w:rtl/>
        </w:rPr>
        <w:t xml:space="preserve"> نرخ دستمزد هر ساعت، و لذا</w:t>
      </w:r>
      <w:r w:rsidRPr="006B3D33">
        <w:rPr>
          <w:position w:val="-12"/>
        </w:rPr>
        <w:object w:dxaOrig="1180" w:dyaOrig="360" w14:anchorId="6283B854">
          <v:shape id="_x0000_i4457" type="#_x0000_t75" style="width:59.3pt;height:18.15pt" o:ole="">
            <v:imagedata r:id="rId6911" o:title=""/>
          </v:shape>
          <o:OLEObject Type="Embed" ProgID="Equation.DSMT4" ShapeID="_x0000_i4457" DrawAspect="Content" ObjectID="_1791378401" r:id="rId6912"/>
        </w:object>
      </w:r>
      <w:r w:rsidRPr="006B3D33">
        <w:rPr>
          <w:rFonts w:eastAsiaTheme="minorEastAsia" w:hint="cs"/>
          <w:i/>
          <w:sz w:val="23"/>
          <w:szCs w:val="23"/>
          <w:rtl/>
        </w:rPr>
        <w:t xml:space="preserve"> سود جاری حاصل از اشتغال آن فرد،</w:t>
      </w:r>
      <w:r w:rsidRPr="006B3D33">
        <w:rPr>
          <w:position w:val="-12"/>
        </w:rPr>
        <w:object w:dxaOrig="1480" w:dyaOrig="360" w14:anchorId="724369FF">
          <v:shape id="_x0000_i4458" type="#_x0000_t75" style="width:73.8pt;height:18.15pt" o:ole="">
            <v:imagedata r:id="rId6913" o:title=""/>
          </v:shape>
          <o:OLEObject Type="Embed" ProgID="Equation.DSMT4" ShapeID="_x0000_i4458" DrawAspect="Content" ObjectID="_1791378402" r:id="rId6914"/>
        </w:object>
      </w:r>
      <w:r w:rsidRPr="006B3D33">
        <w:rPr>
          <w:rFonts w:eastAsiaTheme="minorEastAsia" w:hint="cs"/>
          <w:i/>
          <w:sz w:val="23"/>
          <w:szCs w:val="23"/>
          <w:rtl/>
        </w:rPr>
        <w:t xml:space="preserve"> ارزش انتظاری تنزیل شده</w:t>
      </w:r>
      <w:r w:rsidRPr="006B3D33">
        <w:rPr>
          <w:rFonts w:eastAsiaTheme="minorEastAsia"/>
          <w:i/>
          <w:sz w:val="23"/>
          <w:szCs w:val="23"/>
          <w:rtl/>
        </w:rPr>
        <w:softHyphen/>
      </w:r>
      <w:r w:rsidRPr="006B3D33">
        <w:rPr>
          <w:rFonts w:eastAsiaTheme="minorEastAsia" w:hint="cs"/>
          <w:i/>
          <w:sz w:val="23"/>
          <w:szCs w:val="23"/>
          <w:rtl/>
        </w:rPr>
        <w:t xml:space="preserve"> تداوم اشتغال،</w:t>
      </w:r>
      <w:r w:rsidRPr="006B3D33">
        <w:rPr>
          <w:position w:val="-12"/>
        </w:rPr>
        <w:object w:dxaOrig="1219" w:dyaOrig="360" w14:anchorId="1F4642AA">
          <v:shape id="_x0000_i4459" type="#_x0000_t75" style="width:61.1pt;height:18.15pt" o:ole="">
            <v:imagedata r:id="rId6915" o:title=""/>
          </v:shape>
          <o:OLEObject Type="Embed" ProgID="Equation.DSMT4" ShapeID="_x0000_i4459" DrawAspect="Content" ObjectID="_1791378403" r:id="rId6916"/>
        </w:object>
      </w:r>
      <w:r w:rsidRPr="006B3D33">
        <w:rPr>
          <w:rFonts w:eastAsiaTheme="minorEastAsia" w:hint="cs"/>
          <w:i/>
          <w:sz w:val="23"/>
          <w:szCs w:val="23"/>
          <w:rtl/>
        </w:rPr>
        <w:t xml:space="preserve"> و</w:t>
      </w:r>
      <w:r w:rsidRPr="00025957">
        <w:rPr>
          <w:position w:val="-4"/>
        </w:rPr>
        <w:object w:dxaOrig="180" w:dyaOrig="180" w14:anchorId="6578444E">
          <v:shape id="_x0000_i4460" type="#_x0000_t75" style="width:9.1pt;height:9.1pt" o:ole="">
            <v:imagedata r:id="rId6917" o:title=""/>
          </v:shape>
          <o:OLEObject Type="Embed" ProgID="Equation.DSMT4" ShapeID="_x0000_i4460" DrawAspect="Content" ObjectID="_1791378404" r:id="rId6918"/>
        </w:object>
      </w:r>
      <w:r w:rsidRPr="006B3D33">
        <w:rPr>
          <w:rFonts w:eastAsiaTheme="minorEastAsia" w:hint="cs"/>
          <w:i/>
          <w:sz w:val="23"/>
          <w:szCs w:val="23"/>
          <w:rtl/>
        </w:rPr>
        <w:t xml:space="preserve"> نرخ بهره‌ی حقیقی، و</w:t>
      </w:r>
      <w:r w:rsidRPr="006B3D33">
        <w:rPr>
          <w:position w:val="-12"/>
        </w:rPr>
        <w:object w:dxaOrig="639" w:dyaOrig="360" w14:anchorId="51E1484A">
          <v:shape id="_x0000_i4461" type="#_x0000_t75" style="width:32.05pt;height:18.15pt" o:ole="">
            <v:imagedata r:id="rId6919" o:title=""/>
          </v:shape>
          <o:OLEObject Type="Embed" ProgID="Equation.DSMT4" ShapeID="_x0000_i4461" DrawAspect="Content" ObjectID="_1791378405" r:id="rId6920"/>
        </w:object>
      </w:r>
      <w:r w:rsidRPr="006B3D33">
        <w:rPr>
          <w:rFonts w:eastAsiaTheme="minorEastAsia" w:hint="cs"/>
          <w:i/>
          <w:sz w:val="23"/>
          <w:szCs w:val="23"/>
          <w:rtl/>
        </w:rPr>
        <w:t xml:space="preserve"> احتمال استخدام فرد جدید است که آن فرد به شغل خود ادامه دهد. </w:t>
      </w:r>
    </w:p>
    <w:p w14:paraId="2DF0C4AC"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اگر</w:t>
      </w:r>
      <w:r w:rsidRPr="006B3D33">
        <w:rPr>
          <w:position w:val="-10"/>
        </w:rPr>
        <w:object w:dxaOrig="240" w:dyaOrig="320" w14:anchorId="4A9F248F">
          <v:shape id="_x0000_i4462" type="#_x0000_t75" style="width:12.1pt;height:15.75pt" o:ole="">
            <v:imagedata r:id="rId6921" o:title=""/>
          </v:shape>
          <o:OLEObject Type="Embed" ProgID="Equation.DSMT4" ShapeID="_x0000_i4462" DrawAspect="Content" ObjectID="_1791378406" r:id="rId6922"/>
        </w:object>
      </w:r>
      <w:r w:rsidRPr="006B3D33">
        <w:rPr>
          <w:rFonts w:eastAsiaTheme="minorEastAsia" w:hint="cs"/>
          <w:i/>
          <w:sz w:val="23"/>
          <w:szCs w:val="23"/>
          <w:rtl/>
        </w:rPr>
        <w:t xml:space="preserve"> ارزش ایجاد فرصت شغلی خالی برای بنگاه باشد، آنگاه بهینه</w:t>
      </w:r>
      <w:r w:rsidRPr="006B3D33">
        <w:rPr>
          <w:rFonts w:eastAsiaTheme="minorEastAsia"/>
          <w:i/>
          <w:sz w:val="23"/>
          <w:szCs w:val="23"/>
          <w:rtl/>
        </w:rPr>
        <w:softHyphen/>
      </w:r>
      <w:r w:rsidRPr="006B3D33">
        <w:rPr>
          <w:rFonts w:eastAsiaTheme="minorEastAsia" w:hint="cs"/>
          <w:i/>
          <w:sz w:val="23"/>
          <w:szCs w:val="23"/>
          <w:rtl/>
        </w:rPr>
        <w:t>یابی بین</w:t>
      </w:r>
      <w:r w:rsidRPr="006B3D33">
        <w:rPr>
          <w:rFonts w:eastAsiaTheme="minorEastAsia"/>
          <w:i/>
          <w:sz w:val="23"/>
          <w:szCs w:val="23"/>
          <w:rtl/>
        </w:rPr>
        <w:softHyphen/>
      </w:r>
      <w:r w:rsidRPr="006B3D33">
        <w:rPr>
          <w:rFonts w:eastAsiaTheme="minorEastAsia" w:hint="cs"/>
          <w:i/>
          <w:sz w:val="23"/>
          <w:szCs w:val="23"/>
          <w:rtl/>
        </w:rPr>
        <w:t>دوره</w:t>
      </w:r>
      <w:r w:rsidRPr="006B3D33">
        <w:rPr>
          <w:rFonts w:eastAsiaTheme="minorEastAsia"/>
          <w:i/>
          <w:sz w:val="23"/>
          <w:szCs w:val="23"/>
          <w:rtl/>
        </w:rPr>
        <w:softHyphen/>
      </w:r>
      <w:r w:rsidRPr="006B3D33">
        <w:rPr>
          <w:rFonts w:eastAsiaTheme="minorEastAsia" w:hint="cs"/>
          <w:i/>
          <w:sz w:val="23"/>
          <w:szCs w:val="23"/>
          <w:rtl/>
        </w:rPr>
        <w:t xml:space="preserve">ای مرتبط است با حداکثر کردن </w:t>
      </w:r>
    </w:p>
    <w:p w14:paraId="08B5BB3A" w14:textId="77777777" w:rsidR="00411620" w:rsidRPr="006B3D33"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Pr>
      </w:pPr>
      <w:r w:rsidRPr="006B3D33">
        <w:rPr>
          <w:position w:val="-16"/>
        </w:rPr>
        <w:object w:dxaOrig="4060" w:dyaOrig="420" w14:anchorId="564A6E72">
          <v:shape id="_x0000_i4463" type="#_x0000_t75" style="width:203.3pt;height:20.55pt" o:ole="">
            <v:imagedata r:id="rId6923" o:title=""/>
          </v:shape>
          <o:OLEObject Type="Embed" ProgID="Equation.DSMT4" ShapeID="_x0000_i4463" DrawAspect="Content" ObjectID="_1791378407" r:id="rId6924"/>
        </w:object>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۸)</w:t>
      </w:r>
    </w:p>
    <w:p w14:paraId="3EDC5126"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که در آن</w:t>
      </w:r>
      <w:r w:rsidRPr="006B3D33">
        <w:rPr>
          <w:position w:val="-10"/>
        </w:rPr>
        <w:object w:dxaOrig="200" w:dyaOrig="320" w14:anchorId="007BE5DB">
          <v:shape id="_x0000_i4464" type="#_x0000_t75" style="width:10.3pt;height:15.75pt" o:ole="">
            <v:imagedata r:id="rId6925" o:title=""/>
          </v:shape>
          <o:OLEObject Type="Embed" ProgID="Equation.DSMT4" ShapeID="_x0000_i4464" DrawAspect="Content" ObjectID="_1791378408" r:id="rId6926"/>
        </w:object>
      </w:r>
      <w:r w:rsidRPr="006B3D33">
        <w:rPr>
          <w:rFonts w:eastAsiaTheme="minorEastAsia" w:hint="cs"/>
          <w:i/>
          <w:sz w:val="23"/>
          <w:szCs w:val="23"/>
          <w:rtl/>
        </w:rPr>
        <w:t xml:space="preserve"> هزینه‌ی جاری باز گذاشتن فرصت شغلی خالی و </w:t>
      </w:r>
      <w:r w:rsidRPr="006B3D33">
        <w:rPr>
          <w:position w:val="-10"/>
        </w:rPr>
        <w:object w:dxaOrig="360" w:dyaOrig="320" w14:anchorId="2C2DBF41">
          <v:shape id="_x0000_i4465" type="#_x0000_t75" style="width:18.15pt;height:15.75pt" o:ole="">
            <v:imagedata r:id="rId6927" o:title=""/>
          </v:shape>
          <o:OLEObject Type="Embed" ProgID="Equation.DSMT4" ShapeID="_x0000_i4465" DrawAspect="Content" ObjectID="_1791378409" r:id="rId6928"/>
        </w:object>
      </w:r>
      <w:r w:rsidRPr="006B3D33">
        <w:rPr>
          <w:rFonts w:eastAsiaTheme="minorEastAsia" w:hint="cs"/>
          <w:i/>
          <w:sz w:val="23"/>
          <w:szCs w:val="23"/>
          <w:rtl/>
        </w:rPr>
        <w:t xml:space="preserve"> احتمال تطبیق یک فرد بیکار با شغل مورد نظر در دوره‌ی بعدی است. بنابراین عبارت</w:t>
      </w:r>
      <w:r w:rsidRPr="006B3D33">
        <w:rPr>
          <w:position w:val="-16"/>
        </w:rPr>
        <w:object w:dxaOrig="1480" w:dyaOrig="420" w14:anchorId="720ED908">
          <v:shape id="_x0000_i4466" type="#_x0000_t75" style="width:73.8pt;height:20.55pt" o:ole="">
            <v:imagedata r:id="rId6929" o:title=""/>
          </v:shape>
          <o:OLEObject Type="Embed" ProgID="Equation.DSMT4" ShapeID="_x0000_i4466" DrawAspect="Content" ObjectID="_1791378410" r:id="rId6930"/>
        </w:object>
      </w:r>
      <w:r w:rsidRPr="006B3D33">
        <w:rPr>
          <w:rFonts w:eastAsiaTheme="minorEastAsia" w:hint="cs"/>
          <w:i/>
          <w:sz w:val="23"/>
          <w:szCs w:val="23"/>
          <w:rtl/>
        </w:rPr>
        <w:t xml:space="preserve"> منفعت حاصل از پرکردن فرصت شغلی خالی دوره</w:t>
      </w:r>
      <w:r w:rsidRPr="006B3D33">
        <w:rPr>
          <w:rFonts w:eastAsiaTheme="minorEastAsia"/>
          <w:i/>
          <w:sz w:val="23"/>
          <w:szCs w:val="23"/>
          <w:rtl/>
        </w:rPr>
        <w:softHyphen/>
      </w:r>
      <w:r w:rsidRPr="006B3D33">
        <w:rPr>
          <w:rFonts w:eastAsiaTheme="minorEastAsia" w:hint="cs"/>
          <w:i/>
          <w:sz w:val="23"/>
          <w:szCs w:val="23"/>
          <w:rtl/>
        </w:rPr>
        <w:t>ی بعد، درحالی</w:t>
      </w:r>
      <w:r w:rsidRPr="006B3D33">
        <w:rPr>
          <w:rFonts w:eastAsiaTheme="minorEastAsia"/>
          <w:i/>
          <w:sz w:val="23"/>
          <w:szCs w:val="23"/>
          <w:rtl/>
        </w:rPr>
        <w:softHyphen/>
      </w:r>
      <w:r w:rsidRPr="006B3D33">
        <w:rPr>
          <w:rFonts w:eastAsiaTheme="minorEastAsia" w:hint="cs"/>
          <w:i/>
          <w:sz w:val="23"/>
          <w:szCs w:val="23"/>
          <w:rtl/>
        </w:rPr>
        <w:t>که</w:t>
      </w:r>
      <w:r w:rsidRPr="006B3D33">
        <w:rPr>
          <w:position w:val="-12"/>
        </w:rPr>
        <w:object w:dxaOrig="1160" w:dyaOrig="360" w14:anchorId="3EA90AFE">
          <v:shape id="_x0000_i4467" type="#_x0000_t75" style="width:58.1pt;height:18.15pt" o:ole="">
            <v:imagedata r:id="rId6931" o:title=""/>
          </v:shape>
          <o:OLEObject Type="Embed" ProgID="Equation.DSMT4" ShapeID="_x0000_i4467" DrawAspect="Content" ObjectID="_1791378411" r:id="rId6932"/>
        </w:object>
      </w:r>
      <w:r w:rsidRPr="006B3D33">
        <w:rPr>
          <w:rFonts w:eastAsiaTheme="minorEastAsia" w:hint="cs"/>
          <w:i/>
          <w:sz w:val="23"/>
          <w:szCs w:val="23"/>
          <w:rtl/>
        </w:rPr>
        <w:t xml:space="preserve"> منفعت عدم پرکردن فرصت شغلی خالی را اندازه</w:t>
      </w:r>
      <w:r w:rsidRPr="006B3D33">
        <w:rPr>
          <w:rFonts w:eastAsiaTheme="minorEastAsia"/>
          <w:i/>
          <w:sz w:val="23"/>
          <w:szCs w:val="23"/>
          <w:rtl/>
        </w:rPr>
        <w:softHyphen/>
      </w:r>
      <w:r w:rsidRPr="006B3D33">
        <w:rPr>
          <w:rFonts w:eastAsiaTheme="minorEastAsia" w:hint="cs"/>
          <w:i/>
          <w:sz w:val="23"/>
          <w:szCs w:val="23"/>
          <w:rtl/>
        </w:rPr>
        <w:t>گیری می</w:t>
      </w:r>
      <w:r w:rsidRPr="006B3D33">
        <w:rPr>
          <w:rFonts w:eastAsiaTheme="minorEastAsia"/>
          <w:i/>
          <w:sz w:val="23"/>
          <w:szCs w:val="23"/>
          <w:rtl/>
        </w:rPr>
        <w:softHyphen/>
      </w:r>
      <w:r w:rsidRPr="006B3D33">
        <w:rPr>
          <w:rFonts w:eastAsiaTheme="minorEastAsia" w:hint="cs"/>
          <w:i/>
          <w:sz w:val="23"/>
          <w:szCs w:val="23"/>
          <w:rtl/>
        </w:rPr>
        <w:t xml:space="preserve">کند. </w:t>
      </w:r>
    </w:p>
    <w:p w14:paraId="2521F7AC"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تا زمانی که </w:t>
      </w:r>
      <w:r w:rsidRPr="006B3D33">
        <w:rPr>
          <w:position w:val="-10"/>
        </w:rPr>
        <w:object w:dxaOrig="620" w:dyaOrig="320" w14:anchorId="761796E6">
          <v:shape id="_x0000_i4468" type="#_x0000_t75" style="width:30.85pt;height:15.75pt" o:ole="">
            <v:imagedata r:id="rId6933" o:title=""/>
          </v:shape>
          <o:OLEObject Type="Embed" ProgID="Equation.DSMT4" ShapeID="_x0000_i4468" DrawAspect="Content" ObjectID="_1791378412" r:id="rId6934"/>
        </w:object>
      </w:r>
      <w:r w:rsidRPr="006B3D33">
        <w:rPr>
          <w:rFonts w:eastAsiaTheme="minorEastAsia" w:hint="cs"/>
          <w:i/>
          <w:sz w:val="23"/>
          <w:szCs w:val="23"/>
          <w:rtl/>
        </w:rPr>
        <w:t xml:space="preserve"> باشد بنگاه</w:t>
      </w:r>
      <w:r w:rsidRPr="006B3D33">
        <w:rPr>
          <w:rFonts w:eastAsiaTheme="minorEastAsia"/>
          <w:i/>
          <w:sz w:val="23"/>
          <w:szCs w:val="23"/>
          <w:rtl/>
        </w:rPr>
        <w:softHyphen/>
      </w:r>
      <w:r w:rsidRPr="006B3D33">
        <w:rPr>
          <w:rFonts w:eastAsiaTheme="minorEastAsia" w:hint="cs"/>
          <w:i/>
          <w:sz w:val="23"/>
          <w:szCs w:val="23"/>
          <w:rtl/>
        </w:rPr>
        <w:t>ها فرصت</w:t>
      </w:r>
      <w:r w:rsidRPr="006B3D33">
        <w:rPr>
          <w:rFonts w:eastAsiaTheme="minorEastAsia"/>
          <w:i/>
          <w:sz w:val="23"/>
          <w:szCs w:val="23"/>
          <w:rtl/>
        </w:rPr>
        <w:softHyphen/>
      </w:r>
      <w:r w:rsidRPr="006B3D33">
        <w:rPr>
          <w:rFonts w:eastAsiaTheme="minorEastAsia" w:hint="cs"/>
          <w:i/>
          <w:sz w:val="23"/>
          <w:szCs w:val="23"/>
          <w:rtl/>
        </w:rPr>
        <w:t>های شغلی خالی را ایجاد خواهند کرد. در تعادل بلند‌مدت از آن</w:t>
      </w:r>
      <w:r w:rsidRPr="006B3D33">
        <w:rPr>
          <w:rFonts w:eastAsiaTheme="minorEastAsia"/>
          <w:i/>
          <w:sz w:val="23"/>
          <w:szCs w:val="23"/>
          <w:rtl/>
        </w:rPr>
        <w:softHyphen/>
      </w:r>
      <w:r w:rsidRPr="006B3D33">
        <w:rPr>
          <w:rFonts w:eastAsiaTheme="minorEastAsia" w:hint="cs"/>
          <w:i/>
          <w:sz w:val="23"/>
          <w:szCs w:val="23"/>
          <w:rtl/>
        </w:rPr>
        <w:t xml:space="preserve">جاکه </w:t>
      </w:r>
      <w:r w:rsidRPr="006B3D33">
        <w:rPr>
          <w:position w:val="-10"/>
        </w:rPr>
        <w:object w:dxaOrig="620" w:dyaOrig="320" w14:anchorId="0204F397">
          <v:shape id="_x0000_i4469" type="#_x0000_t75" style="width:30.85pt;height:15.75pt" o:ole="">
            <v:imagedata r:id="rId6935" o:title=""/>
          </v:shape>
          <o:OLEObject Type="Embed" ProgID="Equation.DSMT4" ShapeID="_x0000_i4469" DrawAspect="Content" ObjectID="_1791378413" r:id="rId6936"/>
        </w:object>
      </w:r>
      <w:r w:rsidRPr="006B3D33">
        <w:rPr>
          <w:rFonts w:eastAsiaTheme="minorEastAsia" w:hint="cs"/>
          <w:i/>
          <w:sz w:val="23"/>
          <w:szCs w:val="23"/>
          <w:rtl/>
        </w:rPr>
        <w:t xml:space="preserve"> است لذا از رابطه‌ی </w:t>
      </w:r>
      <w:r w:rsidRPr="006B3D33">
        <w:rPr>
          <w:rFonts w:hint="cs"/>
          <w:i/>
          <w:sz w:val="23"/>
          <w:szCs w:val="23"/>
          <w:rtl/>
        </w:rPr>
        <w:t>(۱۰. ۸)</w:t>
      </w:r>
      <w:r w:rsidRPr="006B3D33">
        <w:rPr>
          <w:rFonts w:eastAsiaTheme="minorEastAsia" w:hint="cs"/>
          <w:i/>
          <w:sz w:val="23"/>
          <w:szCs w:val="23"/>
          <w:rtl/>
        </w:rPr>
        <w:t xml:space="preserve"> داریم؛</w:t>
      </w:r>
    </w:p>
    <w:p w14:paraId="2327454C"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6B3D33">
        <w:rPr>
          <w:position w:val="-28"/>
        </w:rPr>
        <w:object w:dxaOrig="1540" w:dyaOrig="639" w14:anchorId="1301890D">
          <v:shape id="_x0000_i4470" type="#_x0000_t75" style="width:76.85pt;height:32.05pt" o:ole="">
            <v:imagedata r:id="rId6937" o:title=""/>
          </v:shape>
          <o:OLEObject Type="Embed" ProgID="Equation.DSMT4" ShapeID="_x0000_i4470" DrawAspect="Content" ObjectID="_1791378414" r:id="rId6938"/>
        </w:object>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 xml:space="preserve"> </w:t>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۹)</w:t>
      </w:r>
      <w:r w:rsidRPr="006B3D33">
        <w:rPr>
          <w:rFonts w:ascii="Times New Roman" w:hAnsi="Times New Roman" w:cs="B Nazanin" w:hint="cs"/>
          <w:i/>
          <w:sz w:val="23"/>
          <w:szCs w:val="23"/>
        </w:rPr>
        <w:t xml:space="preserve"> </w:t>
      </w:r>
    </w:p>
    <w:p w14:paraId="349A36D9"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که نشان می‌دهد هزینه‌ی استخدام یک کارگر برابر است با ارزش انتظاری یک استخدام. از رابطه‌ی </w:t>
      </w:r>
      <w:r w:rsidRPr="006B3D33">
        <w:rPr>
          <w:rFonts w:hint="cs"/>
          <w:i/>
          <w:sz w:val="23"/>
          <w:szCs w:val="23"/>
          <w:rtl/>
        </w:rPr>
        <w:t>(۱۰. ۷)</w:t>
      </w:r>
      <w:r w:rsidRPr="006B3D33">
        <w:rPr>
          <w:rFonts w:eastAsiaTheme="minorEastAsia" w:hint="cs"/>
          <w:i/>
          <w:sz w:val="23"/>
          <w:szCs w:val="23"/>
          <w:rtl/>
        </w:rPr>
        <w:t xml:space="preserve"> در تعادل داریم</w:t>
      </w:r>
    </w:p>
    <w:p w14:paraId="1B36EC30"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tl/>
        </w:rPr>
      </w:pPr>
      <w:r w:rsidRPr="006B3D33">
        <w:rPr>
          <w:position w:val="-26"/>
        </w:rPr>
        <w:object w:dxaOrig="2500" w:dyaOrig="680" w14:anchorId="3CF37D1C">
          <v:shape id="_x0000_i4471" type="#_x0000_t75" style="width:124.65pt;height:33.9pt" o:ole="">
            <v:imagedata r:id="rId6939" o:title=""/>
          </v:shape>
          <o:OLEObject Type="Embed" ProgID="Equation.DSMT4" ShapeID="_x0000_i4471" DrawAspect="Content" ObjectID="_1791378415" r:id="rId6940"/>
        </w:object>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cs="B Nazanin"/>
          <w:i/>
          <w:sz w:val="23"/>
          <w:szCs w:val="23"/>
          <w:rtl/>
        </w:rPr>
        <w:tab/>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۱۰)</w:t>
      </w:r>
    </w:p>
    <w:p w14:paraId="250FC09C" w14:textId="77777777" w:rsidR="00411620" w:rsidRPr="006B3D33" w:rsidRDefault="00411620" w:rsidP="00411620">
      <w:pPr>
        <w:spacing w:line="216" w:lineRule="auto"/>
        <w:rPr>
          <w:i/>
          <w:sz w:val="23"/>
          <w:szCs w:val="23"/>
          <w:rtl/>
        </w:rPr>
      </w:pPr>
      <w:r w:rsidRPr="006B3D33">
        <w:rPr>
          <w:rFonts w:eastAsiaTheme="minorEastAsia" w:hint="cs"/>
          <w:i/>
          <w:sz w:val="23"/>
          <w:szCs w:val="23"/>
          <w:rtl/>
        </w:rPr>
        <w:t>بنابراین با افزایش سود جاری بنگاه حاصل از اشتغال، تعداد فرصت‌های شغلی خالی افزایش خواهد یافت. با توجه به این</w:t>
      </w:r>
      <w:r w:rsidRPr="006B3D33">
        <w:rPr>
          <w:rFonts w:eastAsiaTheme="minorEastAsia"/>
          <w:i/>
          <w:sz w:val="23"/>
          <w:szCs w:val="23"/>
          <w:rtl/>
        </w:rPr>
        <w:softHyphen/>
      </w:r>
      <w:r w:rsidRPr="006B3D33">
        <w:rPr>
          <w:rFonts w:eastAsiaTheme="minorEastAsia" w:hint="cs"/>
          <w:i/>
          <w:sz w:val="23"/>
          <w:szCs w:val="23"/>
          <w:rtl/>
        </w:rPr>
        <w:t xml:space="preserve">که در تعادل بلندمدت داریم </w:t>
      </w:r>
      <w:r w:rsidRPr="006B3D33">
        <w:rPr>
          <w:position w:val="-10"/>
        </w:rPr>
        <w:object w:dxaOrig="620" w:dyaOrig="320" w14:anchorId="64136D4B">
          <v:shape id="_x0000_i4472" type="#_x0000_t75" style="width:30.85pt;height:15.75pt" o:ole="">
            <v:imagedata r:id="rId6941" o:title=""/>
          </v:shape>
          <o:OLEObject Type="Embed" ProgID="Equation.DSMT4" ShapeID="_x0000_i4472" DrawAspect="Content" ObjectID="_1791378416" r:id="rId6942"/>
        </w:object>
      </w:r>
      <w:r w:rsidRPr="006B3D33">
        <w:rPr>
          <w:rFonts w:hint="cs"/>
          <w:i/>
          <w:sz w:val="23"/>
          <w:szCs w:val="23"/>
          <w:rtl/>
        </w:rPr>
        <w:t>، لذا</w:t>
      </w:r>
    </w:p>
    <w:p w14:paraId="685CEBF9" w14:textId="77777777" w:rsidR="00411620" w:rsidRPr="006B3D33" w:rsidRDefault="00411620" w:rsidP="00411620">
      <w:pPr>
        <w:bidi w:val="0"/>
        <w:spacing w:line="216" w:lineRule="auto"/>
        <w:rPr>
          <w:rFonts w:eastAsiaTheme="minorEastAsia"/>
          <w:i/>
          <w:sz w:val="23"/>
          <w:szCs w:val="23"/>
          <w:rtl/>
        </w:rPr>
      </w:pPr>
      <w:r w:rsidRPr="006B3D33">
        <w:rPr>
          <w:position w:val="-26"/>
        </w:rPr>
        <w:object w:dxaOrig="2900" w:dyaOrig="680" w14:anchorId="5854B315">
          <v:shape id="_x0000_i4473" type="#_x0000_t75" style="width:145.2pt;height:33.9pt" o:ole="">
            <v:imagedata r:id="rId6943" o:title=""/>
          </v:shape>
          <o:OLEObject Type="Embed" ProgID="Equation.DSMT4" ShapeID="_x0000_i4473" DrawAspect="Content" ObjectID="_1791378417" r:id="rId6944"/>
        </w:object>
      </w:r>
      <w:r w:rsidRPr="006B3D33">
        <w:rPr>
          <w:rFonts w:eastAsiaTheme="minorEastAsia"/>
          <w:i/>
          <w:sz w:val="23"/>
          <w:szCs w:val="23"/>
          <w:rtl/>
        </w:rPr>
        <w:br w:type="textWrapping" w:clear="all"/>
      </w:r>
    </w:p>
    <w:p w14:paraId="4FD59E5A" w14:textId="77777777" w:rsidR="00411620" w:rsidRPr="006B3D33" w:rsidRDefault="00411620" w:rsidP="00411620">
      <w:pPr>
        <w:pStyle w:val="Heading1"/>
        <w:spacing w:before="0" w:after="0" w:line="216" w:lineRule="auto"/>
        <w:rPr>
          <w:rFonts w:ascii="Times New Roman" w:eastAsiaTheme="minorEastAsia" w:hAnsi="Times New Roman" w:cs="B Nazanin"/>
          <w:b w:val="0"/>
          <w:i/>
          <w:sz w:val="23"/>
          <w:szCs w:val="23"/>
          <w:rtl/>
        </w:rPr>
      </w:pPr>
      <w:r w:rsidRPr="006B3D33">
        <w:rPr>
          <w:rFonts w:ascii="Times New Roman" w:eastAsiaTheme="minorEastAsia" w:hAnsi="Times New Roman" w:cs="B Nazanin" w:hint="cs"/>
          <w:b w:val="0"/>
          <w:i/>
          <w:sz w:val="23"/>
          <w:szCs w:val="23"/>
          <w:rtl/>
        </w:rPr>
        <w:t>۱۰. ۳. ۳ عرضه‌ی نیروی کار</w:t>
      </w:r>
    </w:p>
    <w:p w14:paraId="5128B5F1"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فرض کنید هر یک از اعضای خانوار مطلوبیت بین</w:t>
      </w:r>
      <w:r w:rsidRPr="006B3D33">
        <w:rPr>
          <w:rFonts w:eastAsiaTheme="minorEastAsia"/>
          <w:i/>
          <w:sz w:val="23"/>
          <w:szCs w:val="23"/>
          <w:rtl/>
        </w:rPr>
        <w:softHyphen/>
      </w:r>
      <w:r w:rsidRPr="006B3D33">
        <w:rPr>
          <w:rFonts w:eastAsiaTheme="minorEastAsia" w:hint="cs"/>
          <w:i/>
          <w:sz w:val="23"/>
          <w:szCs w:val="23"/>
          <w:rtl/>
        </w:rPr>
        <w:t>دوره</w:t>
      </w:r>
      <w:r w:rsidRPr="006B3D33">
        <w:rPr>
          <w:rFonts w:eastAsiaTheme="minorEastAsia"/>
          <w:i/>
          <w:sz w:val="23"/>
          <w:szCs w:val="23"/>
          <w:rtl/>
        </w:rPr>
        <w:softHyphen/>
      </w:r>
      <w:r w:rsidRPr="006B3D33">
        <w:rPr>
          <w:rFonts w:eastAsiaTheme="minorEastAsia" w:hint="cs"/>
          <w:i/>
          <w:sz w:val="23"/>
          <w:szCs w:val="23"/>
          <w:rtl/>
        </w:rPr>
        <w:t>ای خود را که از رابطه</w:t>
      </w:r>
      <w:r w:rsidRPr="006B3D33">
        <w:rPr>
          <w:rFonts w:eastAsiaTheme="minorEastAsia"/>
          <w:i/>
          <w:sz w:val="23"/>
          <w:szCs w:val="23"/>
          <w:rtl/>
        </w:rPr>
        <w:softHyphen/>
      </w:r>
      <w:r w:rsidRPr="006B3D33">
        <w:rPr>
          <w:rFonts w:eastAsiaTheme="minorEastAsia" w:hint="cs"/>
          <w:i/>
          <w:sz w:val="23"/>
          <w:szCs w:val="23"/>
          <w:rtl/>
        </w:rPr>
        <w:t>ی زیر بدست می</w:t>
      </w:r>
      <w:r w:rsidRPr="006B3D33">
        <w:rPr>
          <w:rFonts w:eastAsiaTheme="minorEastAsia"/>
          <w:i/>
          <w:sz w:val="23"/>
          <w:szCs w:val="23"/>
          <w:rtl/>
        </w:rPr>
        <w:softHyphen/>
      </w:r>
      <w:r w:rsidRPr="006B3D33">
        <w:rPr>
          <w:rFonts w:eastAsiaTheme="minorEastAsia" w:hint="cs"/>
          <w:i/>
          <w:sz w:val="23"/>
          <w:szCs w:val="23"/>
          <w:rtl/>
        </w:rPr>
        <w:t>آید حداکثر می</w:t>
      </w:r>
      <w:r w:rsidRPr="006B3D33">
        <w:rPr>
          <w:rFonts w:eastAsiaTheme="minorEastAsia"/>
          <w:i/>
          <w:sz w:val="23"/>
          <w:szCs w:val="23"/>
          <w:rtl/>
        </w:rPr>
        <w:softHyphen/>
      </w:r>
      <w:r w:rsidRPr="006B3D33">
        <w:rPr>
          <w:rFonts w:eastAsiaTheme="minorEastAsia" w:hint="cs"/>
          <w:i/>
          <w:sz w:val="23"/>
          <w:szCs w:val="23"/>
          <w:rtl/>
        </w:rPr>
        <w:t>‌کند. در این صورت خواهیم داشت</w:t>
      </w:r>
    </w:p>
    <w:p w14:paraId="21D8B0D3" w14:textId="77777777" w:rsidR="00411620" w:rsidRPr="006B3D33"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Pr>
      </w:pPr>
      <w:r w:rsidRPr="006B3D33">
        <w:rPr>
          <w:position w:val="-30"/>
        </w:rPr>
        <w:object w:dxaOrig="2980" w:dyaOrig="700" w14:anchorId="4467087E">
          <v:shape id="_x0000_i4474" type="#_x0000_t75" style="width:148.85pt;height:35.1pt" o:ole="">
            <v:imagedata r:id="rId6945" o:title=""/>
          </v:shape>
          <o:OLEObject Type="Embed" ProgID="Equation.DSMT4" ShapeID="_x0000_i4474" DrawAspect="Content" ObjectID="_1791378418" r:id="rId6946"/>
        </w:object>
      </w:r>
      <w:r w:rsidRPr="006B3D33">
        <w:rPr>
          <w:rFonts w:ascii="Times New Roman" w:hAnsi="Times New Roman" w:cs="B Nazanin"/>
          <w:i/>
          <w:sz w:val="23"/>
          <w:szCs w:val="23"/>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۱۱)</w:t>
      </w:r>
    </w:p>
    <w:p w14:paraId="11045311"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و قید بودجه‌ی خانوار نیز برابر است با </w:t>
      </w:r>
    </w:p>
    <w:p w14:paraId="6DF3606E"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r w:rsidRPr="006B3D33">
        <w:rPr>
          <w:position w:val="-10"/>
        </w:rPr>
        <w:object w:dxaOrig="1680" w:dyaOrig="320" w14:anchorId="3FBD97C6">
          <v:shape id="_x0000_i4475" type="#_x0000_t75" style="width:84.1pt;height:15.75pt" o:ole="">
            <v:imagedata r:id="rId6947" o:title=""/>
          </v:shape>
          <o:OLEObject Type="Embed" ProgID="Equation.DSMT4" ShapeID="_x0000_i4475" DrawAspect="Content" ObjectID="_1791378419" r:id="rId6948"/>
        </w:object>
      </w:r>
    </w:p>
    <w:p w14:paraId="2CC75113"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lastRenderedPageBreak/>
        <w:t>که در آن</w:t>
      </w:r>
      <w:r w:rsidRPr="006B3D33">
        <w:rPr>
          <w:position w:val="-10"/>
        </w:rPr>
        <w:object w:dxaOrig="220" w:dyaOrig="320" w14:anchorId="67746423">
          <v:shape id="_x0000_i4476" type="#_x0000_t75" style="width:10.9pt;height:15.75pt" o:ole="">
            <v:imagedata r:id="rId6949" o:title=""/>
          </v:shape>
          <o:OLEObject Type="Embed" ProgID="Equation.DSMT4" ShapeID="_x0000_i4476" DrawAspect="Content" ObjectID="_1791378420" r:id="rId6950"/>
        </w:object>
      </w:r>
      <w:r w:rsidRPr="006B3D33">
        <w:rPr>
          <w:rFonts w:eastAsiaTheme="minorEastAsia" w:hint="cs"/>
          <w:i/>
          <w:sz w:val="23"/>
          <w:szCs w:val="23"/>
          <w:rtl/>
        </w:rPr>
        <w:t xml:space="preserve"> اوراق قرضه‌ی حقیقی نگهداری شده توسط خانوار، و</w:t>
      </w:r>
      <w:r w:rsidRPr="006B3D33">
        <w:rPr>
          <w:position w:val="-10"/>
        </w:rPr>
        <w:object w:dxaOrig="220" w:dyaOrig="320" w14:anchorId="7732916A">
          <v:shape id="_x0000_i4477" type="#_x0000_t75" style="width:10.9pt;height:15.75pt" o:ole="">
            <v:imagedata r:id="rId6951" o:title=""/>
          </v:shape>
          <o:OLEObject Type="Embed" ProgID="Equation.DSMT4" ShapeID="_x0000_i4477" DrawAspect="Content" ObjectID="_1791378421" r:id="rId6952"/>
        </w:object>
      </w:r>
      <w:r w:rsidRPr="006B3D33">
        <w:rPr>
          <w:rFonts w:eastAsiaTheme="minorEastAsia" w:hint="cs"/>
          <w:i/>
          <w:sz w:val="23"/>
          <w:szCs w:val="23"/>
          <w:rtl/>
        </w:rPr>
        <w:t xml:space="preserve"> کل درآمد خانوار حاصل از افراد شاغل بعلاوه‌ی مزایای بیکاری افراد غیرشاغل در خانوار است. با استفاده از لاگرانژین این مسئله و شرایط مرتبه اول، مطلوبیت نهایی حاصل از مصرف برابر خواهد بود با</w:t>
      </w:r>
    </w:p>
    <w:p w14:paraId="757E1C24"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tl/>
        </w:rPr>
      </w:pPr>
      <w:r w:rsidRPr="006B3D33">
        <w:rPr>
          <w:position w:val="-28"/>
        </w:rPr>
        <w:object w:dxaOrig="1460" w:dyaOrig="639" w14:anchorId="6A0195A1">
          <v:shape id="_x0000_i4478" type="#_x0000_t75" style="width:73.2pt;height:32.05pt" o:ole="">
            <v:imagedata r:id="rId6953" o:title=""/>
          </v:shape>
          <o:OLEObject Type="Embed" ProgID="Equation.DSMT4" ShapeID="_x0000_i4478" DrawAspect="Content" ObjectID="_1791378422" r:id="rId6954"/>
        </w:object>
      </w:r>
    </w:p>
    <w:p w14:paraId="020A93E8"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بنابراین ارزش اشتغال را می‌توان به صورت زیر نوشت</w:t>
      </w:r>
    </w:p>
    <w:p w14:paraId="6AD8E473"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6B3D33">
        <w:rPr>
          <w:position w:val="-30"/>
        </w:rPr>
        <w:object w:dxaOrig="4900" w:dyaOrig="680" w14:anchorId="59D620B9">
          <v:shape id="_x0000_i4479" type="#_x0000_t75" style="width:244.45pt;height:33.9pt" o:ole="">
            <v:imagedata r:id="rId6955" o:title=""/>
          </v:shape>
          <o:OLEObject Type="Embed" ProgID="Equation.DSMT4" ShapeID="_x0000_i4479" DrawAspect="Content" ObjectID="_1791378423" r:id="rId6956"/>
        </w:object>
      </w:r>
      <w:r w:rsidRPr="006B3D33">
        <w:rPr>
          <w:rFonts w:ascii="Times New Roman" w:hAnsi="Times New Roman"/>
          <w:i/>
          <w:sz w:val="23"/>
          <w:szCs w:val="23"/>
        </w:rPr>
        <w:tab/>
      </w:r>
      <w:r w:rsidRPr="006B3D33">
        <w:rPr>
          <w:rFonts w:ascii="Times New Roman" w:hAnsi="Times New Roman"/>
          <w:i/>
          <w:sz w:val="23"/>
          <w:szCs w:val="23"/>
          <w:rtl/>
        </w:rPr>
        <w:tab/>
      </w:r>
      <w:r>
        <w:rPr>
          <w:rFonts w:ascii="Times New Roman" w:hAnsi="Times New Roma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۱۲)</w:t>
      </w:r>
    </w:p>
    <w:p w14:paraId="1DC10053"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که در آن</w:t>
      </w:r>
      <w:r w:rsidRPr="006B3D33">
        <w:rPr>
          <w:position w:val="-10"/>
        </w:rPr>
        <w:object w:dxaOrig="440" w:dyaOrig="320" w14:anchorId="06B22DE1">
          <v:shape id="_x0000_i4480" type="#_x0000_t75" style="width:21.8pt;height:15.75pt" o:ole="">
            <v:imagedata r:id="rId6957" o:title=""/>
          </v:shape>
          <o:OLEObject Type="Embed" ProgID="Equation.DSMT4" ShapeID="_x0000_i4480" DrawAspect="Content" ObjectID="_1791378424" r:id="rId6958"/>
        </w:object>
      </w:r>
      <w:r w:rsidRPr="006B3D33">
        <w:rPr>
          <w:rFonts w:eastAsiaTheme="minorEastAsia" w:hint="cs"/>
          <w:i/>
          <w:sz w:val="23"/>
          <w:szCs w:val="23"/>
          <w:rtl/>
        </w:rPr>
        <w:t xml:space="preserve"> برابر است با درآمد هر فرد از اشتغال. عبارت</w:t>
      </w:r>
      <w:r w:rsidRPr="006B3D33">
        <w:rPr>
          <w:position w:val="-30"/>
        </w:rPr>
        <w:object w:dxaOrig="859" w:dyaOrig="680" w14:anchorId="7C96CDF4">
          <v:shape id="_x0000_i4481" type="#_x0000_t75" style="width:42.95pt;height:33.9pt" o:ole="">
            <v:imagedata r:id="rId6959" o:title=""/>
          </v:shape>
          <o:OLEObject Type="Embed" ProgID="Equation.DSMT4" ShapeID="_x0000_i4481" DrawAspect="Content" ObjectID="_1791378425" r:id="rId6960"/>
        </w:object>
      </w:r>
      <w:r w:rsidRPr="006B3D33">
        <w:rPr>
          <w:rFonts w:hint="cs"/>
          <w:i/>
          <w:sz w:val="23"/>
          <w:szCs w:val="23"/>
          <w:rtl/>
        </w:rPr>
        <w:t xml:space="preserve"> همچنین</w:t>
      </w:r>
      <w:r w:rsidRPr="006B3D33">
        <w:rPr>
          <w:rFonts w:eastAsiaTheme="minorEastAsia" w:hint="cs"/>
          <w:i/>
          <w:sz w:val="23"/>
          <w:szCs w:val="23"/>
          <w:rtl/>
        </w:rPr>
        <w:t xml:space="preserve"> ارزش تنزیل شده‌ی شغل جدید در دوره‌ی بعد و یا بیکاری را اندازه</w:t>
      </w:r>
      <w:r w:rsidRPr="006B3D33">
        <w:rPr>
          <w:rFonts w:eastAsiaTheme="minorEastAsia"/>
          <w:i/>
          <w:sz w:val="23"/>
          <w:szCs w:val="23"/>
          <w:rtl/>
        </w:rPr>
        <w:softHyphen/>
      </w:r>
      <w:r w:rsidRPr="006B3D33">
        <w:rPr>
          <w:rFonts w:eastAsiaTheme="minorEastAsia" w:hint="cs"/>
          <w:i/>
          <w:sz w:val="23"/>
          <w:szCs w:val="23"/>
          <w:rtl/>
        </w:rPr>
        <w:t>گیری می‌کند.</w:t>
      </w:r>
    </w:p>
    <w:p w14:paraId="103633F7"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در تعادل وضعیت یکنواخت، رابطه‌ی </w:t>
      </w:r>
      <w:r w:rsidRPr="006B3D33">
        <w:rPr>
          <w:rFonts w:hint="cs"/>
          <w:i/>
          <w:sz w:val="23"/>
          <w:szCs w:val="23"/>
          <w:rtl/>
        </w:rPr>
        <w:t>(۱۰. ۱۲)</w:t>
      </w:r>
      <w:r w:rsidRPr="006B3D33">
        <w:rPr>
          <w:rFonts w:eastAsiaTheme="minorEastAsia" w:hint="cs"/>
          <w:i/>
          <w:sz w:val="23"/>
          <w:szCs w:val="23"/>
          <w:rtl/>
        </w:rPr>
        <w:t xml:space="preserve"> برابر خواهد بود با</w:t>
      </w:r>
    </w:p>
    <w:p w14:paraId="0A744CF8" w14:textId="77777777" w:rsidR="00411620" w:rsidRPr="006B3D33" w:rsidRDefault="00411620" w:rsidP="00411620">
      <w:pPr>
        <w:bidi w:val="0"/>
        <w:spacing w:line="216" w:lineRule="auto"/>
        <w:rPr>
          <w:rFonts w:eastAsiaTheme="minorEastAsia"/>
          <w:i/>
          <w:sz w:val="23"/>
          <w:szCs w:val="23"/>
          <w:rtl/>
        </w:rPr>
      </w:pPr>
      <w:r w:rsidRPr="006B3D33">
        <w:rPr>
          <w:position w:val="-26"/>
        </w:rPr>
        <w:object w:dxaOrig="3700" w:dyaOrig="999" w14:anchorId="4067F2D7">
          <v:shape id="_x0000_i4482" type="#_x0000_t75" style="width:184.55pt;height:50.2pt" o:ole="">
            <v:imagedata r:id="rId6961" o:title=""/>
          </v:shape>
          <o:OLEObject Type="Embed" ProgID="Equation.DSMT4" ShapeID="_x0000_i4482" DrawAspect="Content" ObjectID="_1791378426" r:id="rId6962"/>
        </w:object>
      </w:r>
    </w:p>
    <w:p w14:paraId="2AB98F73"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 ارزش بیکاری برابر است با</w:t>
      </w:r>
    </w:p>
    <w:p w14:paraId="2BC101F3"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6B3D33">
        <w:rPr>
          <w:position w:val="-14"/>
        </w:rPr>
        <w:object w:dxaOrig="3980" w:dyaOrig="380" w14:anchorId="6EDBFCD7">
          <v:shape id="_x0000_i4483" type="#_x0000_t75" style="width:199.05pt;height:19.35pt" o:ole="">
            <v:imagedata r:id="rId6963" o:title=""/>
          </v:shape>
          <o:OLEObject Type="Embed" ProgID="Equation.DSMT4" ShapeID="_x0000_i4483" DrawAspect="Content" ObjectID="_1791378427" r:id="rId6964"/>
        </w:object>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Pr>
        <w:tab/>
      </w:r>
      <w:r>
        <w:rPr>
          <w:rFonts w:ascii="Times New Roman" w:hAnsi="Times New Roma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۱۳)</w:t>
      </w:r>
    </w:p>
    <w:p w14:paraId="26749295"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در رابطه‌ی فوق</w:t>
      </w:r>
      <w:r w:rsidRPr="006B3D33">
        <w:rPr>
          <w:position w:val="-6"/>
        </w:rPr>
        <w:object w:dxaOrig="180" w:dyaOrig="260" w14:anchorId="087FC30A">
          <v:shape id="_x0000_i4484" type="#_x0000_t75" style="width:9.1pt;height:12.7pt" o:ole="">
            <v:imagedata r:id="rId6965" o:title=""/>
          </v:shape>
          <o:OLEObject Type="Embed" ProgID="Equation.DSMT4" ShapeID="_x0000_i4484" DrawAspect="Content" ObjectID="_1791378428" r:id="rId6966"/>
        </w:object>
      </w:r>
      <w:r w:rsidRPr="006B3D33">
        <w:rPr>
          <w:rFonts w:eastAsiaTheme="minorEastAsia" w:hint="cs"/>
          <w:i/>
          <w:sz w:val="23"/>
          <w:szCs w:val="23"/>
          <w:rtl/>
        </w:rPr>
        <w:t xml:space="preserve"> برابر است با منافع بیکاری و</w:t>
      </w:r>
      <w:r w:rsidRPr="006B3D33">
        <w:rPr>
          <w:position w:val="-10"/>
        </w:rPr>
        <w:object w:dxaOrig="380" w:dyaOrig="320" w14:anchorId="2869FEB9">
          <v:shape id="_x0000_i4485" type="#_x0000_t75" style="width:19.35pt;height:15.75pt" o:ole="">
            <v:imagedata r:id="rId6967" o:title=""/>
          </v:shape>
          <o:OLEObject Type="Embed" ProgID="Equation.DSMT4" ShapeID="_x0000_i4485" DrawAspect="Content" ObjectID="_1791378429" r:id="rId6968"/>
        </w:object>
      </w:r>
      <w:r w:rsidRPr="006B3D33">
        <w:rPr>
          <w:rFonts w:eastAsiaTheme="minorEastAsia" w:hint="cs"/>
          <w:i/>
          <w:sz w:val="23"/>
          <w:szCs w:val="23"/>
          <w:rtl/>
        </w:rPr>
        <w:t xml:space="preserve"> احتمال یک تطبیق شغلی است. در تعادل وضعیت یکنواخت، رابطه‌ی </w:t>
      </w:r>
      <w:r w:rsidRPr="006B3D33">
        <w:rPr>
          <w:rFonts w:hint="cs"/>
          <w:i/>
          <w:sz w:val="23"/>
          <w:szCs w:val="23"/>
          <w:rtl/>
        </w:rPr>
        <w:t>(۱۰. ۱۳)</w:t>
      </w:r>
      <w:r w:rsidRPr="006B3D33">
        <w:rPr>
          <w:rFonts w:eastAsiaTheme="minorEastAsia" w:hint="cs"/>
          <w:i/>
          <w:sz w:val="23"/>
          <w:szCs w:val="23"/>
          <w:rtl/>
        </w:rPr>
        <w:t xml:space="preserve"> برابر خواهد بود با</w:t>
      </w:r>
    </w:p>
    <w:p w14:paraId="612826A8"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r w:rsidRPr="006B3D33">
        <w:rPr>
          <w:position w:val="-30"/>
        </w:rPr>
        <w:object w:dxaOrig="2460" w:dyaOrig="700" w14:anchorId="055DB981">
          <v:shape id="_x0000_i4486" type="#_x0000_t75" style="width:122.8pt;height:35.1pt" o:ole="">
            <v:imagedata r:id="rId6969" o:title=""/>
          </v:shape>
          <o:OLEObject Type="Embed" ProgID="Equation.DSMT4" ShapeID="_x0000_i4486" DrawAspect="Content" ObjectID="_1791378430" r:id="rId6970"/>
        </w:object>
      </w:r>
    </w:p>
    <w:p w14:paraId="5C5FF4A3"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تفاوت بین ارزش اشتغال از ارزش ماندن در بیکاری از رابطه</w:t>
      </w:r>
      <w:r w:rsidRPr="006B3D33">
        <w:rPr>
          <w:rFonts w:eastAsiaTheme="minorEastAsia"/>
          <w:i/>
          <w:sz w:val="23"/>
          <w:szCs w:val="23"/>
          <w:rtl/>
        </w:rPr>
        <w:softHyphen/>
      </w:r>
      <w:r w:rsidRPr="006B3D33">
        <w:rPr>
          <w:rFonts w:eastAsiaTheme="minorEastAsia" w:hint="cs"/>
          <w:i/>
          <w:sz w:val="23"/>
          <w:szCs w:val="23"/>
          <w:rtl/>
        </w:rPr>
        <w:t>ی زیر بدست می</w:t>
      </w:r>
      <w:r w:rsidRPr="006B3D33">
        <w:rPr>
          <w:rFonts w:eastAsiaTheme="minorEastAsia"/>
          <w:i/>
          <w:sz w:val="23"/>
          <w:szCs w:val="23"/>
          <w:rtl/>
        </w:rPr>
        <w:softHyphen/>
      </w:r>
      <w:r w:rsidRPr="006B3D33">
        <w:rPr>
          <w:rFonts w:eastAsiaTheme="minorEastAsia" w:hint="cs"/>
          <w:i/>
          <w:sz w:val="23"/>
          <w:szCs w:val="23"/>
          <w:rtl/>
        </w:rPr>
        <w:t>آید و برابر است با</w:t>
      </w:r>
    </w:p>
    <w:p w14:paraId="683909D9"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r w:rsidRPr="006B3D33">
        <w:rPr>
          <w:position w:val="-30"/>
        </w:rPr>
        <w:object w:dxaOrig="3120" w:dyaOrig="1040" w14:anchorId="77A24979">
          <v:shape id="_x0000_i4487" type="#_x0000_t75" style="width:156.1pt;height:52.05pt" o:ole="">
            <v:imagedata r:id="rId6971" o:title=""/>
          </v:shape>
          <o:OLEObject Type="Embed" ProgID="Equation.DSMT4" ShapeID="_x0000_i4487" DrawAspect="Content" ObjectID="_1791378431" r:id="rId6972"/>
        </w:object>
      </w:r>
    </w:p>
    <w:p w14:paraId="6F3BB49A" w14:textId="77777777" w:rsidR="00411620" w:rsidRPr="006B3D33" w:rsidRDefault="00411620" w:rsidP="00411620">
      <w:pPr>
        <w:pStyle w:val="Heading1"/>
        <w:spacing w:before="0" w:after="0" w:line="216" w:lineRule="auto"/>
        <w:rPr>
          <w:rFonts w:ascii="Times New Roman" w:eastAsiaTheme="minorEastAsia" w:hAnsi="Times New Roman" w:cs="B Nazanin"/>
          <w:b w:val="0"/>
          <w:i/>
          <w:sz w:val="23"/>
          <w:szCs w:val="23"/>
          <w:rtl/>
        </w:rPr>
      </w:pPr>
      <w:r w:rsidRPr="006B3D33">
        <w:rPr>
          <w:rFonts w:ascii="Times New Roman" w:eastAsiaTheme="minorEastAsia" w:hAnsi="Times New Roman" w:cs="B Nazanin" w:hint="cs"/>
          <w:b w:val="0"/>
          <w:i/>
          <w:sz w:val="23"/>
          <w:szCs w:val="23"/>
          <w:rtl/>
        </w:rPr>
        <w:t>۱۰. ۳. ۴ چانه</w:t>
      </w:r>
      <w:r w:rsidRPr="006B3D33">
        <w:rPr>
          <w:rFonts w:ascii="Times New Roman" w:eastAsiaTheme="minorEastAsia" w:hAnsi="Times New Roman" w:cs="B Nazanin"/>
          <w:b w:val="0"/>
          <w:i/>
          <w:sz w:val="23"/>
          <w:szCs w:val="23"/>
          <w:rtl/>
        </w:rPr>
        <w:softHyphen/>
      </w:r>
      <w:r w:rsidRPr="006B3D33">
        <w:rPr>
          <w:rFonts w:ascii="Times New Roman" w:eastAsiaTheme="minorEastAsia" w:hAnsi="Times New Roman" w:cs="B Nazanin" w:hint="cs"/>
          <w:b w:val="0"/>
          <w:i/>
          <w:sz w:val="23"/>
          <w:szCs w:val="23"/>
          <w:rtl/>
        </w:rPr>
        <w:t>زنی دستمزد</w:t>
      </w:r>
    </w:p>
    <w:p w14:paraId="608C71ED"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در نظریه چانه</w:t>
      </w:r>
      <w:r w:rsidRPr="006B3D33">
        <w:rPr>
          <w:rFonts w:eastAsiaTheme="minorEastAsia"/>
          <w:i/>
          <w:sz w:val="23"/>
          <w:szCs w:val="23"/>
          <w:rtl/>
        </w:rPr>
        <w:softHyphen/>
      </w:r>
      <w:r w:rsidRPr="006B3D33">
        <w:rPr>
          <w:rFonts w:eastAsiaTheme="minorEastAsia" w:hint="cs"/>
          <w:i/>
          <w:sz w:val="23"/>
          <w:szCs w:val="23"/>
          <w:rtl/>
        </w:rPr>
        <w:t>زنی دستمزد فرض می‌شود بنگاه</w:t>
      </w:r>
      <w:r w:rsidRPr="006B3D33">
        <w:rPr>
          <w:rFonts w:eastAsiaTheme="minorEastAsia"/>
          <w:i/>
          <w:sz w:val="23"/>
          <w:szCs w:val="23"/>
          <w:rtl/>
        </w:rPr>
        <w:softHyphen/>
      </w:r>
      <w:r w:rsidRPr="006B3D33">
        <w:rPr>
          <w:rFonts w:eastAsiaTheme="minorEastAsia" w:hint="cs"/>
          <w:i/>
          <w:sz w:val="23"/>
          <w:szCs w:val="23"/>
          <w:rtl/>
        </w:rPr>
        <w:t>ها و کارگران جهت تقسیم هرگونه مازادی که از طریق همکاری با یکدیگر بدست می‌آورند مذاکره می‌کنند. این دو گروه ممکن است سهم ثابتی از ترکیب مازاد را بدست آورده، و یا همان</w:t>
      </w:r>
      <w:r w:rsidRPr="006B3D33">
        <w:rPr>
          <w:rFonts w:eastAsiaTheme="minorEastAsia"/>
          <w:i/>
          <w:sz w:val="23"/>
          <w:szCs w:val="23"/>
          <w:rtl/>
        </w:rPr>
        <w:softHyphen/>
      </w:r>
      <w:r w:rsidRPr="006B3D33">
        <w:rPr>
          <w:rFonts w:eastAsiaTheme="minorEastAsia" w:hint="cs"/>
          <w:i/>
          <w:sz w:val="23"/>
          <w:szCs w:val="23"/>
          <w:rtl/>
        </w:rPr>
        <w:t>گونه که فرض شد ممکن است بر مبنای چانه زنی نَش</w:t>
      </w:r>
      <w:r w:rsidRPr="006B3D33">
        <w:rPr>
          <w:rStyle w:val="FootnoteReference"/>
          <w:rFonts w:eastAsiaTheme="minorEastAsia"/>
          <w:i/>
          <w:sz w:val="23"/>
          <w:szCs w:val="23"/>
          <w:rtl/>
        </w:rPr>
        <w:footnoteReference w:id="226"/>
      </w:r>
      <w:r w:rsidRPr="006B3D33">
        <w:rPr>
          <w:rFonts w:eastAsiaTheme="minorEastAsia" w:hint="cs"/>
          <w:i/>
          <w:sz w:val="23"/>
          <w:szCs w:val="23"/>
          <w:rtl/>
        </w:rPr>
        <w:t xml:space="preserve"> مذاکره کرده تا تابع هر دو مازاد را نسبت به نرخ دستمزد</w:t>
      </w:r>
      <w:r w:rsidRPr="006B3D33">
        <w:rPr>
          <w:position w:val="-10"/>
        </w:rPr>
        <w:object w:dxaOrig="260" w:dyaOrig="320" w14:anchorId="27E9AF54">
          <v:shape id="_x0000_i4488" type="#_x0000_t75" style="width:12.7pt;height:15.75pt" o:ole="">
            <v:imagedata r:id="rId6973" o:title=""/>
          </v:shape>
          <o:OLEObject Type="Embed" ProgID="Equation.DSMT4" ShapeID="_x0000_i4488" DrawAspect="Content" ObjectID="_1791378432" r:id="rId6974"/>
        </w:object>
      </w:r>
      <w:r w:rsidRPr="006B3D33">
        <w:rPr>
          <w:rFonts w:eastAsiaTheme="minorEastAsia" w:hint="cs"/>
          <w:i/>
          <w:sz w:val="23"/>
          <w:szCs w:val="23"/>
          <w:rtl/>
        </w:rPr>
        <w:t xml:space="preserve"> و ساعات کار</w:t>
      </w:r>
      <w:r w:rsidRPr="006B3D33">
        <w:rPr>
          <w:position w:val="-10"/>
        </w:rPr>
        <w:object w:dxaOrig="240" w:dyaOrig="320" w14:anchorId="4AF7F378">
          <v:shape id="_x0000_i4489" type="#_x0000_t75" style="width:12.1pt;height:15.75pt" o:ole="">
            <v:imagedata r:id="rId6975" o:title=""/>
          </v:shape>
          <o:OLEObject Type="Embed" ProgID="Equation.DSMT4" ShapeID="_x0000_i4489" DrawAspect="Content" ObjectID="_1791378433" r:id="rId6976"/>
        </w:object>
      </w:r>
      <w:r w:rsidRPr="006B3D33">
        <w:rPr>
          <w:rFonts w:eastAsiaTheme="minorEastAsia" w:hint="cs"/>
          <w:i/>
          <w:sz w:val="23"/>
          <w:szCs w:val="23"/>
          <w:rtl/>
        </w:rPr>
        <w:t xml:space="preserve"> حداکثر ‌کنند. قبلاً در تعادل والراسی </w:t>
      </w:r>
      <w:r w:rsidRPr="006B3D33">
        <w:rPr>
          <w:rFonts w:eastAsiaTheme="minorEastAsia" w:hint="cs"/>
          <w:i/>
          <w:sz w:val="23"/>
          <w:szCs w:val="23"/>
          <w:rtl/>
        </w:rPr>
        <w:lastRenderedPageBreak/>
        <w:t xml:space="preserve">فرض کردیم که دستمزد با تعادل عرضه و تقاضای نیروی کار تعیین می‌شود. یکی از دستاوردهای تعیین دستمزد بر مبنای چانه زنی نَش عدم لزوم برابری عرضه و تقاضای نیروی کار است که منجر به بیکاری داوطلبانه و اختیاری می‌شود. </w:t>
      </w:r>
    </w:p>
    <w:p w14:paraId="06FB8637"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مازادی که به کارگر بواسطه‌ی تقبل شغل تعلق می‌گیرد از تفاوت بین ارزش اشتغال از ارزش باقی ماندن در وضعیت بیکاری، یعنی</w:t>
      </w:r>
      <w:r w:rsidRPr="006B3D33">
        <w:rPr>
          <w:position w:val="-10"/>
        </w:rPr>
        <w:object w:dxaOrig="700" w:dyaOrig="320" w14:anchorId="25442726">
          <v:shape id="_x0000_i4490" type="#_x0000_t75" style="width:35.1pt;height:15.75pt" o:ole="">
            <v:imagedata r:id="rId6977" o:title=""/>
          </v:shape>
          <o:OLEObject Type="Embed" ProgID="Equation.DSMT4" ShapeID="_x0000_i4490" DrawAspect="Content" ObjectID="_1791378434" r:id="rId6978"/>
        </w:object>
      </w:r>
      <w:r w:rsidRPr="006B3D33">
        <w:rPr>
          <w:rFonts w:hint="cs"/>
          <w:i/>
          <w:sz w:val="23"/>
          <w:szCs w:val="23"/>
          <w:rtl/>
        </w:rPr>
        <w:t xml:space="preserve"> </w:t>
      </w:r>
      <w:r w:rsidRPr="006B3D33">
        <w:rPr>
          <w:rFonts w:eastAsiaTheme="minorEastAsia" w:hint="cs"/>
          <w:i/>
          <w:sz w:val="23"/>
          <w:szCs w:val="23"/>
          <w:rtl/>
        </w:rPr>
        <w:t>بدست می‌آید. به همین صورت مازاد بنگاه نیز از تفاوت بین ارزش پر کردن یک فرصت شغلی خالی از ابقاء آن فرصت شغلی خالی (و یا ایجاد فرصت شغلی خالی جدید) یعنی</w:t>
      </w:r>
      <w:r w:rsidRPr="006B3D33">
        <w:rPr>
          <w:position w:val="-10"/>
        </w:rPr>
        <w:object w:dxaOrig="740" w:dyaOrig="340" w14:anchorId="429EAD81">
          <v:shape id="_x0000_i4491" type="#_x0000_t75" style="width:36.9pt;height:16.95pt" o:ole="">
            <v:imagedata r:id="rId6979" o:title=""/>
          </v:shape>
          <o:OLEObject Type="Embed" ProgID="Equation.DSMT4" ShapeID="_x0000_i4491" DrawAspect="Content" ObjectID="_1791378435" r:id="rId6980"/>
        </w:object>
      </w:r>
      <w:r w:rsidRPr="006B3D33">
        <w:rPr>
          <w:rFonts w:eastAsiaTheme="minorEastAsia" w:hint="cs"/>
          <w:i/>
          <w:sz w:val="23"/>
          <w:szCs w:val="23"/>
          <w:rtl/>
        </w:rPr>
        <w:t xml:space="preserve"> بدست خواهد آمد. در فرایند چانه</w:t>
      </w:r>
      <w:r w:rsidRPr="006B3D33">
        <w:rPr>
          <w:rFonts w:eastAsiaTheme="minorEastAsia"/>
          <w:i/>
          <w:sz w:val="23"/>
          <w:szCs w:val="23"/>
          <w:rtl/>
        </w:rPr>
        <w:softHyphen/>
      </w:r>
      <w:r w:rsidRPr="006B3D33">
        <w:rPr>
          <w:rFonts w:eastAsiaTheme="minorEastAsia" w:hint="cs"/>
          <w:i/>
          <w:sz w:val="23"/>
          <w:szCs w:val="23"/>
          <w:rtl/>
        </w:rPr>
        <w:t>زنی نَش رابطه‌ی زیر حداکثر می‌شود؛</w:t>
      </w:r>
    </w:p>
    <w:p w14:paraId="7A589BC8"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6B3D33">
        <w:rPr>
          <w:position w:val="-16"/>
        </w:rPr>
        <w:object w:dxaOrig="2560" w:dyaOrig="460" w14:anchorId="5C72F964">
          <v:shape id="_x0000_i4492" type="#_x0000_t75" style="width:127.65pt;height:23pt" o:ole="">
            <v:imagedata r:id="rId6981" o:title=""/>
          </v:shape>
          <o:OLEObject Type="Embed" ProgID="Equation.DSMT4" ShapeID="_x0000_i4492" DrawAspect="Content" ObjectID="_1791378436" r:id="rId6982"/>
        </w:object>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۱۴)</w:t>
      </w:r>
    </w:p>
    <w:p w14:paraId="345D4384"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که در آن ضریب</w:t>
      </w:r>
      <w:r w:rsidRPr="006B3D33">
        <w:rPr>
          <w:position w:val="-10"/>
        </w:rPr>
        <w:object w:dxaOrig="200" w:dyaOrig="240" w14:anchorId="41D64EC4">
          <v:shape id="_x0000_i4493" type="#_x0000_t75" style="width:10.3pt;height:12.1pt" o:ole="">
            <v:imagedata r:id="rId6983" o:title=""/>
          </v:shape>
          <o:OLEObject Type="Embed" ProgID="Equation.DSMT4" ShapeID="_x0000_i4493" DrawAspect="Content" ObjectID="_1791378437" r:id="rId6984"/>
        </w:object>
      </w:r>
      <w:r w:rsidRPr="006B3D33">
        <w:rPr>
          <w:rFonts w:eastAsiaTheme="minorEastAsia" w:hint="cs"/>
          <w:i/>
          <w:sz w:val="23"/>
          <w:szCs w:val="23"/>
          <w:rtl/>
        </w:rPr>
        <w:t xml:space="preserve"> مبین قدرت چانه زنی نسبی کارگران و بنگاه است. با توجه به این</w:t>
      </w:r>
      <w:r w:rsidRPr="006B3D33">
        <w:rPr>
          <w:rFonts w:eastAsiaTheme="minorEastAsia"/>
          <w:i/>
          <w:sz w:val="23"/>
          <w:szCs w:val="23"/>
          <w:rtl/>
        </w:rPr>
        <w:softHyphen/>
      </w:r>
      <w:r w:rsidRPr="006B3D33">
        <w:rPr>
          <w:rFonts w:eastAsiaTheme="minorEastAsia" w:hint="cs"/>
          <w:i/>
          <w:sz w:val="23"/>
          <w:szCs w:val="23"/>
          <w:rtl/>
        </w:rPr>
        <w:t xml:space="preserve">که در تعادل </w:t>
      </w:r>
      <w:r w:rsidRPr="006B3D33">
        <w:rPr>
          <w:position w:val="-10"/>
        </w:rPr>
        <w:object w:dxaOrig="620" w:dyaOrig="320" w14:anchorId="55987C16">
          <v:shape id="_x0000_i4494" type="#_x0000_t75" style="width:30.85pt;height:15.75pt" o:ole="">
            <v:imagedata r:id="rId6985" o:title=""/>
          </v:shape>
          <o:OLEObject Type="Embed" ProgID="Equation.DSMT4" ShapeID="_x0000_i4494" DrawAspect="Content" ObjectID="_1791378438" r:id="rId6986"/>
        </w:object>
      </w:r>
      <w:r w:rsidRPr="006B3D33">
        <w:rPr>
          <w:rFonts w:eastAsiaTheme="minorEastAsia" w:hint="cs"/>
          <w:i/>
          <w:sz w:val="23"/>
          <w:szCs w:val="23"/>
          <w:rtl/>
        </w:rPr>
        <w:t>، و با فرض این</w:t>
      </w:r>
      <w:r w:rsidRPr="006B3D33">
        <w:rPr>
          <w:rFonts w:eastAsiaTheme="minorEastAsia"/>
          <w:i/>
          <w:sz w:val="23"/>
          <w:szCs w:val="23"/>
          <w:rtl/>
        </w:rPr>
        <w:softHyphen/>
      </w:r>
      <w:r w:rsidRPr="006B3D33">
        <w:rPr>
          <w:rFonts w:eastAsiaTheme="minorEastAsia" w:hint="cs"/>
          <w:i/>
          <w:sz w:val="23"/>
          <w:szCs w:val="23"/>
          <w:rtl/>
        </w:rPr>
        <w:t>که</w:t>
      </w:r>
      <w:r w:rsidRPr="006B3D33">
        <w:rPr>
          <w:position w:val="-12"/>
        </w:rPr>
        <w:object w:dxaOrig="1219" w:dyaOrig="360" w14:anchorId="55DD2B63">
          <v:shape id="_x0000_i4495" type="#_x0000_t75" style="width:61.1pt;height:18.15pt" o:ole="">
            <v:imagedata r:id="rId6987" o:title=""/>
          </v:shape>
          <o:OLEObject Type="Embed" ProgID="Equation.DSMT4" ShapeID="_x0000_i4495" DrawAspect="Content" ObjectID="_1791378439" r:id="rId6988"/>
        </w:object>
      </w:r>
      <w:r w:rsidRPr="006B3D33">
        <w:rPr>
          <w:rFonts w:eastAsiaTheme="minorEastAsia" w:hint="cs"/>
          <w:i/>
          <w:sz w:val="23"/>
          <w:szCs w:val="23"/>
          <w:rtl/>
        </w:rPr>
        <w:t>، آنگاه خواهیم داشت</w:t>
      </w:r>
    </w:p>
    <w:p w14:paraId="78F3DC2B" w14:textId="77777777" w:rsidR="00411620" w:rsidRPr="006B3D33" w:rsidRDefault="00411620" w:rsidP="00411620">
      <w:pPr>
        <w:bidi w:val="0"/>
        <w:spacing w:line="216" w:lineRule="auto"/>
        <w:rPr>
          <w:rFonts w:eastAsiaTheme="minorEastAsia"/>
          <w:i/>
          <w:sz w:val="23"/>
          <w:szCs w:val="23"/>
        </w:rPr>
      </w:pPr>
      <w:r w:rsidRPr="006B3D33">
        <w:rPr>
          <w:position w:val="-30"/>
        </w:rPr>
        <w:object w:dxaOrig="3940" w:dyaOrig="740" w14:anchorId="20D6552D">
          <v:shape id="_x0000_i4496" type="#_x0000_t75" style="width:196.65pt;height:36.9pt" o:ole="">
            <v:imagedata r:id="rId6989" o:title=""/>
          </v:shape>
          <o:OLEObject Type="Embed" ProgID="Equation.DSMT4" ShapeID="_x0000_i4496" DrawAspect="Content" ObjectID="_1791378440" r:id="rId6990"/>
        </w:object>
      </w:r>
      <w:r w:rsidRPr="006B3D33">
        <w:rPr>
          <w:rFonts w:eastAsiaTheme="minorEastAsia" w:hint="cs"/>
          <w:i/>
          <w:sz w:val="23"/>
          <w:szCs w:val="23"/>
          <w:rtl/>
        </w:rPr>
        <w:t xml:space="preserve"> </w:t>
      </w:r>
      <w:r w:rsidRPr="006B3D33">
        <w:rPr>
          <w:rFonts w:eastAsiaTheme="minorEastAsia" w:hint="cs"/>
          <w:i/>
          <w:sz w:val="23"/>
          <w:szCs w:val="23"/>
          <w:rtl/>
        </w:rPr>
        <w:tab/>
        <w:t xml:space="preserve"> </w:t>
      </w:r>
      <w:r w:rsidRPr="006B3D33">
        <w:rPr>
          <w:rFonts w:eastAsiaTheme="minorEastAsia"/>
          <w:i/>
          <w:sz w:val="23"/>
          <w:szCs w:val="23"/>
        </w:rPr>
        <w:tab/>
      </w:r>
      <w:r w:rsidRPr="006B3D33">
        <w:rPr>
          <w:rFonts w:eastAsiaTheme="minorEastAsia"/>
          <w:i/>
          <w:sz w:val="23"/>
          <w:szCs w:val="23"/>
        </w:rPr>
        <w:tab/>
      </w:r>
      <w:r w:rsidRPr="006B3D33">
        <w:rPr>
          <w:rFonts w:eastAsiaTheme="minorEastAsia"/>
          <w:i/>
          <w:sz w:val="23"/>
          <w:szCs w:val="23"/>
          <w:rtl/>
        </w:rPr>
        <w:tab/>
      </w:r>
      <w:r w:rsidRPr="006B3D33">
        <w:rPr>
          <w:rFonts w:eastAsiaTheme="minorEastAsia"/>
          <w:i/>
          <w:sz w:val="23"/>
          <w:szCs w:val="23"/>
        </w:rPr>
        <w:tab/>
      </w:r>
      <w:r>
        <w:rPr>
          <w:rFonts w:eastAsiaTheme="minorEastAsia"/>
          <w:i/>
          <w:sz w:val="23"/>
          <w:szCs w:val="23"/>
          <w:rtl/>
        </w:rPr>
        <w:tab/>
      </w:r>
      <w:r w:rsidRPr="006B3D33">
        <w:rPr>
          <w:rFonts w:eastAsiaTheme="minorEastAsia" w:hint="cs"/>
          <w:i/>
          <w:sz w:val="23"/>
          <w:szCs w:val="23"/>
          <w:rtl/>
        </w:rPr>
        <w:tab/>
        <w:t>(۱۰. ۱۵)</w:t>
      </w:r>
    </w:p>
    <w:p w14:paraId="3E5246D2"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با حداکثر کردن تابع فوق نسبت به</w:t>
      </w:r>
      <w:r w:rsidRPr="006B3D33">
        <w:rPr>
          <w:position w:val="-10"/>
        </w:rPr>
        <w:object w:dxaOrig="440" w:dyaOrig="320" w14:anchorId="598E5B84">
          <v:shape id="_x0000_i4497" type="#_x0000_t75" style="width:21.8pt;height:15.75pt" o:ole="">
            <v:imagedata r:id="rId6991" o:title=""/>
          </v:shape>
          <o:OLEObject Type="Embed" ProgID="Equation.DSMT4" ShapeID="_x0000_i4497" DrawAspect="Content" ObjectID="_1791378441" r:id="rId6992"/>
        </w:object>
      </w:r>
      <w:r w:rsidRPr="006B3D33">
        <w:rPr>
          <w:rFonts w:eastAsiaTheme="minorEastAsia" w:hint="cs"/>
          <w:i/>
          <w:sz w:val="23"/>
          <w:szCs w:val="23"/>
          <w:rtl/>
        </w:rPr>
        <w:t xml:space="preserve"> و</w:t>
      </w:r>
      <w:r w:rsidRPr="006B3D33">
        <w:rPr>
          <w:position w:val="-10"/>
        </w:rPr>
        <w:object w:dxaOrig="240" w:dyaOrig="320" w14:anchorId="4559AB53">
          <v:shape id="_x0000_i4498" type="#_x0000_t75" style="width:12.1pt;height:15.75pt" o:ole="">
            <v:imagedata r:id="rId6993" o:title=""/>
          </v:shape>
          <o:OLEObject Type="Embed" ProgID="Equation.DSMT4" ShapeID="_x0000_i4498" DrawAspect="Content" ObjectID="_1791378442" r:id="rId6994"/>
        </w:object>
      </w:r>
      <w:r w:rsidRPr="006B3D33">
        <w:rPr>
          <w:rFonts w:hint="cs"/>
          <w:i/>
          <w:sz w:val="23"/>
          <w:szCs w:val="23"/>
          <w:rtl/>
        </w:rPr>
        <w:t>،</w:t>
      </w:r>
      <w:r w:rsidRPr="006B3D33">
        <w:rPr>
          <w:rFonts w:eastAsiaTheme="minorEastAsia" w:hint="cs"/>
          <w:i/>
          <w:sz w:val="23"/>
          <w:szCs w:val="23"/>
          <w:rtl/>
        </w:rPr>
        <w:t xml:space="preserve"> شرایط مرتبه اول زیر بدست خواهد آمد؛</w:t>
      </w:r>
    </w:p>
    <w:p w14:paraId="7573C106"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6B3D33">
        <w:rPr>
          <w:position w:val="-56"/>
        </w:rPr>
        <w:object w:dxaOrig="3820" w:dyaOrig="960" w14:anchorId="1C0E56DC">
          <v:shape id="_x0000_i4499" type="#_x0000_t75" style="width:191.2pt;height:47.8pt" o:ole="">
            <v:imagedata r:id="rId6995" o:title=""/>
          </v:shape>
          <o:OLEObject Type="Embed" ProgID="Equation.DSMT4" ShapeID="_x0000_i4499" DrawAspect="Content" ObjectID="_1791378443" r:id="rId6996"/>
        </w:object>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Pr>
        <w:tab/>
      </w:r>
      <w:r>
        <w:rPr>
          <w:rFonts w:ascii="Times New Roman" w:hAnsi="Times New Roman"/>
          <w:i/>
          <w:sz w:val="23"/>
          <w:szCs w:val="23"/>
          <w:rtl/>
        </w:rPr>
        <w:tab/>
      </w:r>
      <w:r>
        <w:rPr>
          <w:rFonts w:ascii="Times New Roman" w:hAnsi="Times New Roma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۱۶)</w:t>
      </w:r>
    </w:p>
    <w:p w14:paraId="74C1021B" w14:textId="77777777" w:rsidR="00411620" w:rsidRPr="006B3D33"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Pr>
      </w:pPr>
      <w:r w:rsidRPr="006B3D33">
        <w:rPr>
          <w:position w:val="-56"/>
        </w:rPr>
        <w:object w:dxaOrig="4480" w:dyaOrig="980" w14:anchorId="6D27093D">
          <v:shape id="_x0000_i4500" type="#_x0000_t75" style="width:223.85pt;height:49pt" o:ole="">
            <v:imagedata r:id="rId6997" o:title=""/>
          </v:shape>
          <o:OLEObject Type="Embed" ProgID="Equation.DSMT4" ShapeID="_x0000_i4500" DrawAspect="Content" ObjectID="_1791378444" r:id="rId6998"/>
        </w:object>
      </w:r>
      <w:r w:rsidRPr="006B3D33">
        <w:rPr>
          <w:rFonts w:ascii="Times New Roman" w:hAnsi="Times New Roman"/>
          <w:i/>
          <w:sz w:val="23"/>
          <w:szCs w:val="23"/>
          <w:rtl/>
        </w:rPr>
        <w:tab/>
      </w:r>
      <w:r w:rsidRPr="006B3D33">
        <w:rPr>
          <w:rFonts w:ascii="Times New Roman" w:hAnsi="Times New Roman"/>
          <w:i/>
          <w:sz w:val="23"/>
          <w:szCs w:val="23"/>
        </w:rPr>
        <w:tab/>
      </w:r>
      <w:r w:rsidRPr="006B3D33">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۱۷)</w:t>
      </w:r>
    </w:p>
    <w:p w14:paraId="2B7ABAA0"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از معادله‌ی </w:t>
      </w:r>
      <w:r w:rsidRPr="006B3D33">
        <w:rPr>
          <w:rFonts w:hint="cs"/>
          <w:i/>
          <w:sz w:val="23"/>
          <w:szCs w:val="23"/>
          <w:rtl/>
        </w:rPr>
        <w:t>(۱۰. ۱۶)</w:t>
      </w:r>
      <w:r w:rsidRPr="006B3D33">
        <w:rPr>
          <w:rFonts w:eastAsiaTheme="minorEastAsia" w:hint="cs"/>
          <w:i/>
          <w:sz w:val="23"/>
          <w:szCs w:val="23"/>
          <w:rtl/>
        </w:rPr>
        <w:t xml:space="preserve"> داریم،</w:t>
      </w:r>
    </w:p>
    <w:p w14:paraId="1E56467F"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tl/>
        </w:rPr>
      </w:pPr>
      <w:r w:rsidRPr="006B3D33">
        <w:rPr>
          <w:position w:val="-30"/>
        </w:rPr>
        <w:object w:dxaOrig="4200" w:dyaOrig="700" w14:anchorId="0D9A68C4">
          <v:shape id="_x0000_i4501" type="#_x0000_t75" style="width:209.95pt;height:35.1pt" o:ole="">
            <v:imagedata r:id="rId6999" o:title=""/>
          </v:shape>
          <o:OLEObject Type="Embed" ProgID="Equation.DSMT4" ShapeID="_x0000_i4501" DrawAspect="Content" ObjectID="_1791378445" r:id="rId7000"/>
        </w:object>
      </w:r>
      <w:r w:rsidRPr="006B3D33">
        <w:rPr>
          <w:rFonts w:ascii="Times New Roman" w:hAnsi="Times New Roman" w:cs="B Nazanin" w:hint="cs"/>
          <w:i/>
          <w:sz w:val="23"/>
          <w:szCs w:val="23"/>
          <w:rtl/>
        </w:rPr>
        <w:t xml:space="preserve"> </w:t>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Pr>
        <w:tab/>
      </w:r>
      <w:r>
        <w:rPr>
          <w:rFonts w:ascii="Times New Roman" w:hAnsi="Times New Roman" w:cs="B Nazanin"/>
          <w:i/>
          <w:sz w:val="23"/>
          <w:szCs w:val="23"/>
          <w:rtl/>
        </w:rPr>
        <w:tab/>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۱۸)</w:t>
      </w:r>
    </w:p>
    <w:p w14:paraId="6EDB3CB7"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یعنی کل درآمد شاغلین برابر است با متوسط وزنی سودهای بنگاه و مطلوبیت خانوار در هر دوره، بنابراین دو مازاد بنگاه و خانوار بر اساس قدرت چانه</w:t>
      </w:r>
      <w:r w:rsidRPr="006B3D33">
        <w:rPr>
          <w:rFonts w:eastAsiaTheme="minorEastAsia"/>
          <w:i/>
          <w:sz w:val="23"/>
          <w:szCs w:val="23"/>
          <w:rtl/>
        </w:rPr>
        <w:softHyphen/>
      </w:r>
      <w:r w:rsidRPr="006B3D33">
        <w:rPr>
          <w:rFonts w:eastAsiaTheme="minorEastAsia" w:hint="cs"/>
          <w:i/>
          <w:sz w:val="23"/>
          <w:szCs w:val="23"/>
          <w:rtl/>
        </w:rPr>
        <w:t xml:space="preserve">زنی نسبی تقسیم می‌شود. در نتیجه، در تعادل بلند‌مدت و وضعیت یکنواخت بیکاری حذف نخواهد شد. بر اساس معادله‌ی </w:t>
      </w:r>
      <w:r w:rsidRPr="006B3D33">
        <w:rPr>
          <w:rFonts w:hint="cs"/>
          <w:i/>
          <w:sz w:val="23"/>
          <w:szCs w:val="23"/>
          <w:rtl/>
        </w:rPr>
        <w:t>(۱۰. ۱۷)</w:t>
      </w:r>
      <w:r w:rsidRPr="006B3D33">
        <w:rPr>
          <w:rFonts w:eastAsiaTheme="minorEastAsia" w:hint="cs"/>
          <w:i/>
          <w:sz w:val="23"/>
          <w:szCs w:val="23"/>
          <w:rtl/>
        </w:rPr>
        <w:t xml:space="preserve"> حل فرم بسته</w:t>
      </w:r>
      <w:r w:rsidRPr="006B3D33">
        <w:rPr>
          <w:rFonts w:eastAsiaTheme="minorEastAsia"/>
          <w:i/>
          <w:sz w:val="23"/>
          <w:szCs w:val="23"/>
          <w:rtl/>
        </w:rPr>
        <w:softHyphen/>
      </w:r>
      <w:r w:rsidRPr="006B3D33">
        <w:rPr>
          <w:rFonts w:eastAsiaTheme="minorEastAsia" w:hint="cs"/>
          <w:i/>
          <w:sz w:val="23"/>
          <w:szCs w:val="23"/>
          <w:rtl/>
        </w:rPr>
        <w:t>ی</w:t>
      </w:r>
      <w:r w:rsidRPr="006B3D33">
        <w:rPr>
          <w:rStyle w:val="FootnoteReference"/>
          <w:rFonts w:eastAsiaTheme="minorEastAsia"/>
          <w:i/>
          <w:sz w:val="23"/>
          <w:szCs w:val="23"/>
          <w:rtl/>
        </w:rPr>
        <w:footnoteReference w:id="227"/>
      </w:r>
      <w:r w:rsidRPr="006B3D33">
        <w:rPr>
          <w:rFonts w:eastAsiaTheme="minorEastAsia" w:hint="cs"/>
          <w:i/>
          <w:sz w:val="23"/>
          <w:szCs w:val="23"/>
          <w:rtl/>
        </w:rPr>
        <w:t xml:space="preserve"> قابل دسترس نیست. در تعادل والراسی مازاد بنگاه و کارگران برابر صفر خواهد شد هنگامی که داشته باشیم، </w:t>
      </w:r>
    </w:p>
    <w:p w14:paraId="6BB53CBA"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tl/>
        </w:rPr>
      </w:pPr>
      <w:r w:rsidRPr="006B3D33">
        <w:rPr>
          <w:position w:val="-26"/>
        </w:rPr>
        <w:object w:dxaOrig="1960" w:dyaOrig="639" w14:anchorId="77B1E790">
          <v:shape id="_x0000_i4502" type="#_x0000_t75" style="width:98pt;height:32.05pt" o:ole="">
            <v:imagedata r:id="rId7001" o:title=""/>
          </v:shape>
          <o:OLEObject Type="Embed" ProgID="Equation.DSMT4" ShapeID="_x0000_i4502" DrawAspect="Content" ObjectID="_1791378446" r:id="rId7002"/>
        </w:object>
      </w:r>
    </w:p>
    <w:p w14:paraId="22E79C57"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lastRenderedPageBreak/>
        <w:t xml:space="preserve">که در آن </w:t>
      </w:r>
      <w:r w:rsidRPr="006B3D33">
        <w:rPr>
          <w:position w:val="-10"/>
        </w:rPr>
        <w:object w:dxaOrig="260" w:dyaOrig="320" w14:anchorId="7F0D80A3">
          <v:shape id="_x0000_i4503" type="#_x0000_t75" style="width:12.7pt;height:15.75pt" o:ole="">
            <v:imagedata r:id="rId7003" o:title=""/>
          </v:shape>
          <o:OLEObject Type="Embed" ProgID="Equation.DSMT4" ShapeID="_x0000_i4503" DrawAspect="Content" ObjectID="_1791378447" r:id="rId7004"/>
        </w:object>
      </w:r>
      <w:r w:rsidRPr="006B3D33">
        <w:rPr>
          <w:rFonts w:eastAsiaTheme="minorEastAsia" w:hint="cs"/>
          <w:i/>
          <w:sz w:val="23"/>
          <w:szCs w:val="23"/>
          <w:rtl/>
        </w:rPr>
        <w:t xml:space="preserve"> و </w:t>
      </w:r>
      <w:r w:rsidRPr="006B3D33">
        <w:rPr>
          <w:position w:val="-10"/>
        </w:rPr>
        <w:object w:dxaOrig="240" w:dyaOrig="320" w14:anchorId="440CDAD6">
          <v:shape id="_x0000_i4504" type="#_x0000_t75" style="width:12.1pt;height:15.75pt" o:ole="">
            <v:imagedata r:id="rId7005" o:title=""/>
          </v:shape>
          <o:OLEObject Type="Embed" ProgID="Equation.DSMT4" ShapeID="_x0000_i4504" DrawAspect="Content" ObjectID="_1791378448" r:id="rId7006"/>
        </w:object>
      </w:r>
      <w:r w:rsidRPr="006B3D33">
        <w:rPr>
          <w:rFonts w:eastAsiaTheme="minorEastAsia" w:hint="cs"/>
          <w:i/>
          <w:sz w:val="23"/>
          <w:szCs w:val="23"/>
          <w:rtl/>
        </w:rPr>
        <w:t xml:space="preserve"> ممکن است حل شوند. در این صورت بیکاری در بلندمدت و وضعیت یکنواخت حذف خواهد شد.</w:t>
      </w:r>
    </w:p>
    <w:p w14:paraId="2A657752" w14:textId="77777777" w:rsidR="00411620" w:rsidRPr="006B3D33" w:rsidRDefault="00411620" w:rsidP="00411620">
      <w:pPr>
        <w:spacing w:line="216" w:lineRule="auto"/>
        <w:rPr>
          <w:rFonts w:eastAsiaTheme="minorEastAsia"/>
          <w:i/>
          <w:sz w:val="23"/>
          <w:szCs w:val="23"/>
          <w:rtl/>
        </w:rPr>
      </w:pPr>
    </w:p>
    <w:p w14:paraId="119F43BB" w14:textId="77777777" w:rsidR="00411620" w:rsidRPr="006B3D33" w:rsidRDefault="00411620" w:rsidP="00411620">
      <w:pPr>
        <w:pStyle w:val="Heading1"/>
        <w:spacing w:before="0" w:after="0" w:line="216" w:lineRule="auto"/>
        <w:rPr>
          <w:rFonts w:ascii="Times New Roman" w:eastAsiaTheme="minorEastAsia" w:hAnsi="Times New Roman" w:cs="B Nazanin"/>
          <w:b w:val="0"/>
          <w:i/>
          <w:sz w:val="23"/>
          <w:szCs w:val="23"/>
          <w:rtl/>
        </w:rPr>
      </w:pPr>
      <w:r w:rsidRPr="006B3D33">
        <w:rPr>
          <w:rFonts w:ascii="Times New Roman" w:eastAsiaTheme="minorEastAsia" w:hAnsi="Times New Roman" w:cs="B Nazanin" w:hint="cs"/>
          <w:b w:val="0"/>
          <w:i/>
          <w:sz w:val="23"/>
          <w:szCs w:val="23"/>
          <w:rtl/>
        </w:rPr>
        <w:t>۱۰. ۳. ۵ توضیحات</w:t>
      </w:r>
    </w:p>
    <w:p w14:paraId="25F62697"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با ترکیب نظریه جستجو و مدل چانه زنی دستمزد در بازار کار به این نتیجه رسیدیم که سطح بیکاری در وضعیت یکنواخت برابر با صفر نیست. بیکاری بدست آمده در وضعیت یکنواخت، بیکاری داوطلبانه و اختیاری است، زیرا این بیکاری محصول چانه</w:t>
      </w:r>
      <w:r w:rsidRPr="006B3D33">
        <w:rPr>
          <w:rFonts w:eastAsiaTheme="minorEastAsia"/>
          <w:i/>
          <w:sz w:val="23"/>
          <w:szCs w:val="23"/>
          <w:rtl/>
        </w:rPr>
        <w:softHyphen/>
      </w:r>
      <w:r w:rsidRPr="006B3D33">
        <w:rPr>
          <w:rFonts w:eastAsiaTheme="minorEastAsia" w:hint="cs"/>
          <w:i/>
          <w:sz w:val="23"/>
          <w:szCs w:val="23"/>
          <w:rtl/>
        </w:rPr>
        <w:t xml:space="preserve">زنی دستمزد کارگران و رابطه‌ی جانشینی نرخ دستمزد ساعتی با متوسط ساعات کار انجام شده است. شوک تقاضا و یا عرضه‌ی کار که در کوتاه‌مدت تعادل بازار کار را مختل می‌سازد، بواسطه‌ی فرایند تعدیل پویا و حذف تدریجی بیکاری در طی زمان، و نه بصورت ناگهانی، منتج به بیکاری داوطلبانه خواهد شد. این فرایند پویا وضعیت فرصت‌های شغلی خالی را مشخص خواهد کرد. </w:t>
      </w:r>
    </w:p>
    <w:p w14:paraId="6F333789"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سئوال اساسی هنوز باقی مانده است. آیا این نظریه توضیحات لازم و کافی در خصوص بیکاری مشاهده شده را ارائه می‌کند؟ آیا نوسانات مشاهده شده‌ی بیکاری به پویایی‌های جستجو نسبت داده می‌شود؟ راجرسون و شیمر</w:t>
      </w:r>
      <w:r w:rsidRPr="006B3D33">
        <w:rPr>
          <w:rStyle w:val="FootnoteReference"/>
          <w:rFonts w:eastAsiaTheme="minorEastAsia"/>
          <w:i/>
          <w:sz w:val="23"/>
          <w:szCs w:val="23"/>
          <w:rtl/>
        </w:rPr>
        <w:footnoteReference w:id="228"/>
      </w:r>
      <w:r w:rsidRPr="006B3D33">
        <w:rPr>
          <w:rFonts w:eastAsiaTheme="minorEastAsia" w:hint="cs"/>
          <w:i/>
          <w:sz w:val="23"/>
          <w:szCs w:val="23"/>
          <w:rtl/>
        </w:rPr>
        <w:t xml:space="preserve"> با بررسی نظریه جستجو و مشاهدات تجربی به این نتیجه رسیدند که رفتار جستجو به تنهایی جهت تجزیه و تحلیل‌ چرخه</w:t>
      </w:r>
      <w:r w:rsidRPr="006B3D33">
        <w:rPr>
          <w:rFonts w:eastAsiaTheme="minorEastAsia"/>
          <w:i/>
          <w:sz w:val="23"/>
          <w:szCs w:val="23"/>
          <w:rtl/>
        </w:rPr>
        <w:softHyphen/>
      </w:r>
      <w:r w:rsidRPr="006B3D33">
        <w:rPr>
          <w:rFonts w:eastAsiaTheme="minorEastAsia" w:hint="cs"/>
          <w:i/>
          <w:sz w:val="23"/>
          <w:szCs w:val="23"/>
          <w:rtl/>
        </w:rPr>
        <w:t xml:space="preserve">های تجاری کافی نیست. </w:t>
      </w:r>
    </w:p>
    <w:p w14:paraId="1AE663F4"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یکی از نقاط ضعف نظریه جستجو محاسبه‌ی بیکاری بر مبنای اندازه</w:t>
      </w:r>
      <w:r w:rsidRPr="006B3D33">
        <w:rPr>
          <w:rFonts w:eastAsiaTheme="minorEastAsia"/>
          <w:i/>
          <w:sz w:val="23"/>
          <w:szCs w:val="23"/>
          <w:rtl/>
        </w:rPr>
        <w:softHyphen/>
      </w:r>
      <w:r w:rsidRPr="006B3D33">
        <w:rPr>
          <w:rFonts w:eastAsiaTheme="minorEastAsia" w:hint="cs"/>
          <w:i/>
          <w:sz w:val="23"/>
          <w:szCs w:val="23"/>
          <w:rtl/>
        </w:rPr>
        <w:t>گیری ساعات کار انجام شده نسبت به کل ساعات در اشتغال کامل است و نه بر حسب تعداد افراد. نمودار ۱۰. ۱ نشان می‌دهد که نوسانات ساعات کار بمراتب کمتر از نوسانات تعداد افراد بیکار یا صفر ساعت کار است. در این نظریه افرادی که صفر ساعت کار می‌کنند در نظر گرفته نشده و فرض می‌شود که آن‌ها در بازار نیروی کار مشارکت ندارند. لذا بیکاری غیرداوطلبانه از مدل حذف شده و وجود ندارد. در واقع در این نظریه بیکاری به مفهوم کار کوتاه‌مدت است نه عدم حضور نیروی کار در بازار کار. بنابراین، این نظریه ممکن است جهت تبین بیکاری در بلند‌مدت یا در وضعیت یکنواخت، و در کوتاه‌مدت در شرایط نوسانات ملایمِ چرخه</w:t>
      </w:r>
      <w:r w:rsidRPr="006B3D33">
        <w:rPr>
          <w:rFonts w:eastAsiaTheme="minorEastAsia"/>
          <w:i/>
          <w:sz w:val="23"/>
          <w:szCs w:val="23"/>
          <w:rtl/>
        </w:rPr>
        <w:softHyphen/>
      </w:r>
      <w:r w:rsidRPr="006B3D33">
        <w:rPr>
          <w:rFonts w:eastAsiaTheme="minorEastAsia" w:hint="cs"/>
          <w:i/>
          <w:sz w:val="23"/>
          <w:szCs w:val="23"/>
          <w:rtl/>
        </w:rPr>
        <w:t>های تجاری، و همچنین عدم وجود نوسانات شدید بیکاری در شرایط رکود مناسب باشد.</w:t>
      </w:r>
    </w:p>
    <w:p w14:paraId="139551BF"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 xml:space="preserve"> دومین نقطه ضعف این نظریه ثابت بودن نیروی کار می</w:t>
      </w:r>
      <w:r w:rsidRPr="006B3D33">
        <w:rPr>
          <w:rFonts w:eastAsiaTheme="minorEastAsia"/>
          <w:i/>
          <w:sz w:val="23"/>
          <w:szCs w:val="23"/>
          <w:rtl/>
        </w:rPr>
        <w:softHyphen/>
      </w:r>
      <w:r w:rsidRPr="006B3D33">
        <w:rPr>
          <w:rFonts w:eastAsiaTheme="minorEastAsia" w:hint="cs"/>
          <w:i/>
          <w:sz w:val="23"/>
          <w:szCs w:val="23"/>
          <w:rtl/>
        </w:rPr>
        <w:t>باشد. در عمل ممکن است سطح نیروی کار در طی زمان تغییر کند. با افزایش احتمال اشتغال نیروی کار، مشارکت آن‌ها در بازار کار افزایش یافته، و با کاهش احتمال اشتغال، خروج آن‌ها از بازار کار ادامه خواهد یافت. ضمناً در بسیاری ازکشورها فرد بیکار پس از دوره</w:t>
      </w:r>
      <w:r w:rsidRPr="006B3D33">
        <w:rPr>
          <w:rFonts w:eastAsiaTheme="minorEastAsia"/>
          <w:i/>
          <w:sz w:val="23"/>
          <w:szCs w:val="23"/>
          <w:rtl/>
        </w:rPr>
        <w:softHyphen/>
      </w:r>
      <w:r w:rsidRPr="006B3D33">
        <w:rPr>
          <w:rFonts w:eastAsiaTheme="minorEastAsia" w:hint="cs"/>
          <w:i/>
          <w:sz w:val="23"/>
          <w:szCs w:val="23"/>
          <w:rtl/>
        </w:rPr>
        <w:t>ای از بیکاری، میل به دریافت منافع بیکاری نداشته تا به</w:t>
      </w:r>
      <w:r w:rsidRPr="006B3D33">
        <w:rPr>
          <w:rFonts w:eastAsiaTheme="minorEastAsia"/>
          <w:i/>
          <w:sz w:val="23"/>
          <w:szCs w:val="23"/>
          <w:rtl/>
        </w:rPr>
        <w:softHyphen/>
      </w:r>
      <w:r w:rsidRPr="006B3D33">
        <w:rPr>
          <w:rFonts w:eastAsiaTheme="minorEastAsia" w:hint="cs"/>
          <w:i/>
          <w:sz w:val="23"/>
          <w:szCs w:val="23"/>
          <w:rtl/>
        </w:rPr>
        <w:t>عنوان فرد بیکار محسوب شود. بنابراین مشارکت نیروی کار با چرخه</w:t>
      </w:r>
      <w:r w:rsidRPr="006B3D33">
        <w:rPr>
          <w:rFonts w:eastAsiaTheme="minorEastAsia"/>
          <w:i/>
          <w:sz w:val="23"/>
          <w:szCs w:val="23"/>
          <w:rtl/>
        </w:rPr>
        <w:softHyphen/>
      </w:r>
      <w:r w:rsidRPr="006B3D33">
        <w:rPr>
          <w:rFonts w:eastAsiaTheme="minorEastAsia" w:hint="cs"/>
          <w:i/>
          <w:sz w:val="23"/>
          <w:szCs w:val="23"/>
          <w:rtl/>
        </w:rPr>
        <w:t xml:space="preserve">های تجاری تغییر خواهد کرد و لذا نظریه جستجو ممکن است </w:t>
      </w:r>
      <w:r w:rsidRPr="006B3D33">
        <w:rPr>
          <w:position w:val="-10"/>
        </w:rPr>
        <w:object w:dxaOrig="240" w:dyaOrig="320" w14:anchorId="3C3413B1">
          <v:shape id="_x0000_i4505" type="#_x0000_t75" style="width:12.1pt;height:15.75pt" o:ole="">
            <v:imagedata r:id="rId7007" o:title=""/>
          </v:shape>
          <o:OLEObject Type="Embed" ProgID="Equation.DSMT4" ShapeID="_x0000_i4505" DrawAspect="Content" ObjectID="_1791378449" r:id="rId7008"/>
        </w:object>
      </w:r>
      <w:r w:rsidRPr="006B3D33">
        <w:rPr>
          <w:rFonts w:eastAsiaTheme="minorEastAsia" w:hint="cs"/>
          <w:i/>
          <w:sz w:val="23"/>
          <w:szCs w:val="23"/>
          <w:rtl/>
        </w:rPr>
        <w:t>جهت توضیح و تبیین بیکاری در شرایط چرخه</w:t>
      </w:r>
      <w:r w:rsidRPr="006B3D33">
        <w:rPr>
          <w:rFonts w:eastAsiaTheme="minorEastAsia"/>
          <w:i/>
          <w:sz w:val="23"/>
          <w:szCs w:val="23"/>
          <w:rtl/>
        </w:rPr>
        <w:softHyphen/>
      </w:r>
      <w:r w:rsidRPr="006B3D33">
        <w:rPr>
          <w:rFonts w:eastAsiaTheme="minorEastAsia" w:hint="cs"/>
          <w:i/>
          <w:sz w:val="23"/>
          <w:szCs w:val="23"/>
          <w:rtl/>
        </w:rPr>
        <w:t xml:space="preserve">ی تجاری ملایم بسیار مناسب، و در شرایط رکود با نرخ بیکاری بالا نامناسب باشد. </w:t>
      </w:r>
    </w:p>
    <w:p w14:paraId="626DD883"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lastRenderedPageBreak/>
        <w:t>راجرسون و شیمر با استفاده از داده‌های ایالات متحده‌ی آمریکا در طی دوره‌ی زمانی ۲۰۰۹- ۱۹۷۶ به این نتیجه رسیدند که نیروی کار کمتر از اشتغال تغییر می‌کند. آن‌ها همچنین شواهدی از جریان‌های بازار کار را ارائه کردند. جدول ۱۰. ۱ خلاصه</w:t>
      </w:r>
      <w:r w:rsidRPr="006B3D33">
        <w:rPr>
          <w:rFonts w:eastAsiaTheme="minorEastAsia"/>
          <w:i/>
          <w:sz w:val="23"/>
          <w:szCs w:val="23"/>
          <w:rtl/>
        </w:rPr>
        <w:softHyphen/>
      </w:r>
      <w:r w:rsidRPr="006B3D33">
        <w:rPr>
          <w:rFonts w:eastAsiaTheme="minorEastAsia" w:hint="cs"/>
          <w:i/>
          <w:sz w:val="23"/>
          <w:szCs w:val="23"/>
          <w:rtl/>
        </w:rPr>
        <w:t>ای از نتایج بدست آمده توسط آن دو را در قالب تغییرات در وضعیت ماهانه</w:t>
      </w:r>
      <w:r w:rsidRPr="006B3D33">
        <w:rPr>
          <w:rFonts w:eastAsiaTheme="minorEastAsia"/>
          <w:i/>
          <w:sz w:val="23"/>
          <w:szCs w:val="23"/>
          <w:rtl/>
        </w:rPr>
        <w:softHyphen/>
      </w:r>
      <w:r w:rsidRPr="006B3D33">
        <w:rPr>
          <w:rFonts w:eastAsiaTheme="minorEastAsia" w:hint="cs"/>
          <w:i/>
          <w:sz w:val="23"/>
          <w:szCs w:val="23"/>
          <w:rtl/>
        </w:rPr>
        <w:t>ی بازار کار ایالات متحده‌ی آمریکا نشان می‌دهد.</w:t>
      </w:r>
    </w:p>
    <w:p w14:paraId="2B180869" w14:textId="77777777" w:rsidR="00411620" w:rsidRDefault="00411620" w:rsidP="00411620">
      <w:pPr>
        <w:spacing w:line="216" w:lineRule="auto"/>
        <w:jc w:val="center"/>
        <w:rPr>
          <w:rFonts w:eastAsiaTheme="minorEastAsia"/>
          <w:i/>
          <w:sz w:val="23"/>
          <w:szCs w:val="23"/>
          <w:rtl/>
        </w:rPr>
      </w:pPr>
    </w:p>
    <w:p w14:paraId="5407706C" w14:textId="77777777" w:rsidR="00411620" w:rsidRPr="006B3D33" w:rsidRDefault="00411620" w:rsidP="00411620">
      <w:pPr>
        <w:spacing w:line="216" w:lineRule="auto"/>
        <w:jc w:val="center"/>
        <w:rPr>
          <w:rFonts w:eastAsiaTheme="minorEastAsia"/>
          <w:i/>
          <w:sz w:val="23"/>
          <w:szCs w:val="23"/>
          <w:rtl/>
        </w:rPr>
      </w:pPr>
      <w:r w:rsidRPr="006B3D33">
        <w:rPr>
          <w:rFonts w:eastAsiaTheme="minorEastAsia" w:hint="cs"/>
          <w:i/>
          <w:sz w:val="23"/>
          <w:szCs w:val="23"/>
          <w:rtl/>
        </w:rPr>
        <w:t>جدول۱۰. ۱</w:t>
      </w:r>
    </w:p>
    <w:p w14:paraId="3C70B5A1" w14:textId="77777777" w:rsidR="00411620" w:rsidRPr="006B3D33" w:rsidRDefault="00411620" w:rsidP="00411620">
      <w:pPr>
        <w:spacing w:line="216" w:lineRule="auto"/>
        <w:jc w:val="center"/>
        <w:rPr>
          <w:rFonts w:eastAsiaTheme="minorEastAsia"/>
          <w:i/>
          <w:sz w:val="23"/>
          <w:szCs w:val="23"/>
          <w:u w:val="single"/>
          <w:rtl/>
        </w:rPr>
      </w:pPr>
      <w:r w:rsidRPr="006B3D33">
        <w:rPr>
          <w:rFonts w:eastAsiaTheme="minorEastAsia" w:hint="cs"/>
          <w:i/>
          <w:sz w:val="23"/>
          <w:szCs w:val="23"/>
          <w:u w:val="single"/>
          <w:rtl/>
        </w:rPr>
        <w:t>درصدهای تغییر وضعیت ماهانه</w:t>
      </w:r>
    </w:p>
    <w:tbl>
      <w:tblPr>
        <w:tblStyle w:val="TableGrid"/>
        <w:bidiVisual/>
        <w:tblW w:w="0" w:type="auto"/>
        <w:tblLook w:val="04A0" w:firstRow="1" w:lastRow="0" w:firstColumn="1" w:lastColumn="0" w:noHBand="0" w:noVBand="1"/>
      </w:tblPr>
      <w:tblGrid>
        <w:gridCol w:w="1355"/>
        <w:gridCol w:w="1365"/>
        <w:gridCol w:w="1364"/>
        <w:gridCol w:w="1365"/>
        <w:gridCol w:w="1343"/>
      </w:tblGrid>
      <w:tr w:rsidR="00411620" w:rsidRPr="006B3D33" w14:paraId="565BE3DE" w14:textId="77777777" w:rsidTr="00450AC0">
        <w:tc>
          <w:tcPr>
            <w:tcW w:w="1404" w:type="dxa"/>
            <w:tcBorders>
              <w:top w:val="single" w:sz="4" w:space="0" w:color="auto"/>
              <w:left w:val="single" w:sz="4" w:space="0" w:color="auto"/>
              <w:bottom w:val="single" w:sz="4" w:space="0" w:color="auto"/>
              <w:right w:val="nil"/>
            </w:tcBorders>
          </w:tcPr>
          <w:p w14:paraId="4AF4A586" w14:textId="77777777" w:rsidR="00411620" w:rsidRPr="006B3D33" w:rsidRDefault="00411620" w:rsidP="00450AC0">
            <w:pPr>
              <w:spacing w:line="216" w:lineRule="auto"/>
              <w:jc w:val="center"/>
              <w:rPr>
                <w:rFonts w:eastAsiaTheme="minorEastAsia"/>
                <w:i/>
                <w:sz w:val="23"/>
                <w:szCs w:val="23"/>
                <w:rtl/>
              </w:rPr>
            </w:pPr>
          </w:p>
        </w:tc>
        <w:tc>
          <w:tcPr>
            <w:tcW w:w="1404" w:type="dxa"/>
            <w:tcBorders>
              <w:top w:val="single" w:sz="4" w:space="0" w:color="auto"/>
              <w:left w:val="nil"/>
              <w:bottom w:val="single" w:sz="4" w:space="0" w:color="auto"/>
              <w:right w:val="nil"/>
            </w:tcBorders>
          </w:tcPr>
          <w:p w14:paraId="267EDCD3" w14:textId="77777777" w:rsidR="00411620" w:rsidRPr="006B3D33" w:rsidRDefault="00411620" w:rsidP="00450AC0">
            <w:pPr>
              <w:spacing w:line="216" w:lineRule="auto"/>
              <w:jc w:val="center"/>
              <w:rPr>
                <w:rFonts w:eastAsiaTheme="minorEastAsia"/>
                <w:i/>
                <w:sz w:val="23"/>
                <w:szCs w:val="23"/>
                <w:rtl/>
              </w:rPr>
            </w:pPr>
          </w:p>
        </w:tc>
        <w:tc>
          <w:tcPr>
            <w:tcW w:w="1404" w:type="dxa"/>
            <w:tcBorders>
              <w:top w:val="single" w:sz="4" w:space="0" w:color="auto"/>
              <w:left w:val="nil"/>
              <w:bottom w:val="single" w:sz="4" w:space="0" w:color="auto"/>
              <w:right w:val="nil"/>
            </w:tcBorders>
          </w:tcPr>
          <w:p w14:paraId="6BEA47A4" w14:textId="77777777" w:rsidR="00411620" w:rsidRPr="006B3D33" w:rsidRDefault="00411620" w:rsidP="00450AC0">
            <w:pPr>
              <w:spacing w:line="216" w:lineRule="auto"/>
              <w:jc w:val="center"/>
              <w:rPr>
                <w:rFonts w:eastAsiaTheme="minorEastAsia"/>
                <w:i/>
                <w:sz w:val="23"/>
                <w:szCs w:val="23"/>
                <w:rtl/>
              </w:rPr>
            </w:pPr>
            <w:r w:rsidRPr="006B3D33">
              <w:rPr>
                <w:rFonts w:eastAsiaTheme="minorEastAsia" w:hint="cs"/>
                <w:i/>
                <w:sz w:val="23"/>
                <w:szCs w:val="23"/>
                <w:rtl/>
              </w:rPr>
              <w:t>به</w:t>
            </w:r>
          </w:p>
        </w:tc>
        <w:tc>
          <w:tcPr>
            <w:tcW w:w="1404" w:type="dxa"/>
            <w:tcBorders>
              <w:top w:val="single" w:sz="4" w:space="0" w:color="auto"/>
              <w:left w:val="nil"/>
              <w:bottom w:val="single" w:sz="4" w:space="0" w:color="auto"/>
              <w:right w:val="single" w:sz="4" w:space="0" w:color="auto"/>
            </w:tcBorders>
          </w:tcPr>
          <w:p w14:paraId="15CB593D" w14:textId="77777777" w:rsidR="00411620" w:rsidRPr="006B3D33" w:rsidRDefault="00411620" w:rsidP="00450AC0">
            <w:pPr>
              <w:spacing w:line="216" w:lineRule="auto"/>
              <w:jc w:val="center"/>
              <w:rPr>
                <w:rFonts w:eastAsiaTheme="minorEastAsia"/>
                <w:i/>
                <w:sz w:val="23"/>
                <w:szCs w:val="23"/>
                <w:u w:val="single"/>
                <w:rtl/>
              </w:rPr>
            </w:pPr>
          </w:p>
        </w:tc>
        <w:tc>
          <w:tcPr>
            <w:tcW w:w="1404" w:type="dxa"/>
            <w:tcBorders>
              <w:top w:val="single" w:sz="4" w:space="0" w:color="auto"/>
              <w:left w:val="single" w:sz="4" w:space="0" w:color="auto"/>
              <w:bottom w:val="nil"/>
              <w:right w:val="single" w:sz="4" w:space="0" w:color="auto"/>
            </w:tcBorders>
          </w:tcPr>
          <w:p w14:paraId="352B39F9" w14:textId="77777777" w:rsidR="00411620" w:rsidRPr="006B3D33" w:rsidRDefault="00411620" w:rsidP="00450AC0">
            <w:pPr>
              <w:spacing w:line="216" w:lineRule="auto"/>
              <w:jc w:val="center"/>
              <w:rPr>
                <w:rFonts w:eastAsiaTheme="minorEastAsia"/>
                <w:i/>
                <w:sz w:val="23"/>
                <w:szCs w:val="23"/>
                <w:u w:val="single"/>
                <w:rtl/>
              </w:rPr>
            </w:pPr>
          </w:p>
        </w:tc>
      </w:tr>
      <w:tr w:rsidR="00411620" w:rsidRPr="006B3D33" w14:paraId="26A76017" w14:textId="77777777" w:rsidTr="00450AC0">
        <w:tc>
          <w:tcPr>
            <w:tcW w:w="1404" w:type="dxa"/>
            <w:tcBorders>
              <w:top w:val="single" w:sz="4" w:space="0" w:color="auto"/>
            </w:tcBorders>
          </w:tcPr>
          <w:p w14:paraId="1E419065" w14:textId="77777777" w:rsidR="00411620" w:rsidRPr="006B3D33" w:rsidRDefault="00411620" w:rsidP="00450AC0">
            <w:pPr>
              <w:spacing w:line="216" w:lineRule="auto"/>
              <w:jc w:val="center"/>
              <w:rPr>
                <w:rFonts w:eastAsiaTheme="minorEastAsia"/>
                <w:i/>
                <w:sz w:val="23"/>
                <w:szCs w:val="23"/>
                <w:rtl/>
              </w:rPr>
            </w:pPr>
            <w:r w:rsidRPr="006B3D33">
              <w:rPr>
                <w:rFonts w:eastAsiaTheme="minorEastAsia" w:hint="cs"/>
                <w:i/>
                <w:sz w:val="23"/>
                <w:szCs w:val="23"/>
                <w:rtl/>
              </w:rPr>
              <w:t>فعال</w:t>
            </w:r>
          </w:p>
        </w:tc>
        <w:tc>
          <w:tcPr>
            <w:tcW w:w="1404" w:type="dxa"/>
            <w:tcBorders>
              <w:top w:val="single" w:sz="4" w:space="0" w:color="auto"/>
            </w:tcBorders>
          </w:tcPr>
          <w:p w14:paraId="544D36E0" w14:textId="77777777" w:rsidR="00411620" w:rsidRPr="006B3D33" w:rsidRDefault="00411620" w:rsidP="00450AC0">
            <w:pPr>
              <w:spacing w:line="216" w:lineRule="auto"/>
              <w:jc w:val="center"/>
              <w:rPr>
                <w:rFonts w:eastAsiaTheme="minorEastAsia"/>
                <w:i/>
                <w:sz w:val="23"/>
                <w:szCs w:val="23"/>
                <w:rtl/>
              </w:rPr>
            </w:pPr>
            <w:r w:rsidRPr="006B3D33">
              <w:rPr>
                <w:rFonts w:eastAsiaTheme="minorEastAsia" w:hint="cs"/>
                <w:i/>
                <w:sz w:val="23"/>
                <w:szCs w:val="23"/>
                <w:rtl/>
              </w:rPr>
              <w:t>بیکاری</w:t>
            </w:r>
          </w:p>
        </w:tc>
        <w:tc>
          <w:tcPr>
            <w:tcW w:w="1404" w:type="dxa"/>
            <w:tcBorders>
              <w:top w:val="single" w:sz="4" w:space="0" w:color="auto"/>
            </w:tcBorders>
          </w:tcPr>
          <w:p w14:paraId="313F1474" w14:textId="77777777" w:rsidR="00411620" w:rsidRPr="006B3D33" w:rsidRDefault="00411620" w:rsidP="00450AC0">
            <w:pPr>
              <w:spacing w:line="216" w:lineRule="auto"/>
              <w:jc w:val="center"/>
              <w:rPr>
                <w:rFonts w:eastAsiaTheme="minorEastAsia"/>
                <w:i/>
                <w:sz w:val="23"/>
                <w:szCs w:val="23"/>
                <w:rtl/>
              </w:rPr>
            </w:pPr>
            <w:r w:rsidRPr="006B3D33">
              <w:rPr>
                <w:rFonts w:eastAsiaTheme="minorEastAsia" w:hint="cs"/>
                <w:i/>
                <w:sz w:val="23"/>
                <w:szCs w:val="23"/>
                <w:rtl/>
              </w:rPr>
              <w:t>اشتغال</w:t>
            </w:r>
          </w:p>
        </w:tc>
        <w:tc>
          <w:tcPr>
            <w:tcW w:w="1404" w:type="dxa"/>
            <w:tcBorders>
              <w:top w:val="single" w:sz="4" w:space="0" w:color="auto"/>
              <w:right w:val="single" w:sz="4" w:space="0" w:color="auto"/>
            </w:tcBorders>
          </w:tcPr>
          <w:p w14:paraId="5C008141" w14:textId="77777777" w:rsidR="00411620" w:rsidRPr="006B3D33" w:rsidRDefault="00411620" w:rsidP="00450AC0">
            <w:pPr>
              <w:spacing w:line="216" w:lineRule="auto"/>
              <w:jc w:val="center"/>
              <w:rPr>
                <w:rFonts w:eastAsiaTheme="minorEastAsia"/>
                <w:i/>
                <w:sz w:val="23"/>
                <w:szCs w:val="23"/>
                <w:u w:val="single"/>
                <w:rtl/>
              </w:rPr>
            </w:pPr>
          </w:p>
        </w:tc>
        <w:tc>
          <w:tcPr>
            <w:tcW w:w="1404" w:type="dxa"/>
            <w:tcBorders>
              <w:top w:val="nil"/>
              <w:left w:val="single" w:sz="4" w:space="0" w:color="auto"/>
              <w:bottom w:val="nil"/>
              <w:right w:val="single" w:sz="4" w:space="0" w:color="auto"/>
            </w:tcBorders>
          </w:tcPr>
          <w:p w14:paraId="1A6B6FA9" w14:textId="77777777" w:rsidR="00411620" w:rsidRPr="006B3D33" w:rsidRDefault="00411620" w:rsidP="00450AC0">
            <w:pPr>
              <w:spacing w:line="216" w:lineRule="auto"/>
              <w:jc w:val="center"/>
              <w:rPr>
                <w:rFonts w:eastAsiaTheme="minorEastAsia"/>
                <w:i/>
                <w:sz w:val="23"/>
                <w:szCs w:val="23"/>
                <w:u w:val="single"/>
                <w:rtl/>
              </w:rPr>
            </w:pPr>
          </w:p>
        </w:tc>
      </w:tr>
      <w:tr w:rsidR="00411620" w:rsidRPr="006B3D33" w14:paraId="37CB0B96" w14:textId="77777777" w:rsidTr="00450AC0">
        <w:tc>
          <w:tcPr>
            <w:tcW w:w="1404" w:type="dxa"/>
          </w:tcPr>
          <w:p w14:paraId="7E1E26F2" w14:textId="77777777" w:rsidR="00411620" w:rsidRPr="006B3D33" w:rsidRDefault="00411620" w:rsidP="00450AC0">
            <w:pPr>
              <w:spacing w:line="216" w:lineRule="auto"/>
              <w:jc w:val="center"/>
              <w:rPr>
                <w:rFonts w:eastAsiaTheme="minorEastAsia"/>
                <w:i/>
                <w:sz w:val="23"/>
                <w:szCs w:val="23"/>
                <w:rtl/>
              </w:rPr>
            </w:pPr>
            <w:r w:rsidRPr="006B3D33">
              <w:rPr>
                <w:rFonts w:eastAsiaTheme="minorEastAsia" w:hint="cs"/>
                <w:i/>
                <w:sz w:val="23"/>
                <w:szCs w:val="23"/>
                <w:rtl/>
              </w:rPr>
              <w:t>۳</w:t>
            </w:r>
          </w:p>
        </w:tc>
        <w:tc>
          <w:tcPr>
            <w:tcW w:w="1404" w:type="dxa"/>
          </w:tcPr>
          <w:p w14:paraId="65C914E3" w14:textId="77777777" w:rsidR="00411620" w:rsidRPr="006B3D33" w:rsidRDefault="00411620" w:rsidP="00450AC0">
            <w:pPr>
              <w:spacing w:line="216" w:lineRule="auto"/>
              <w:jc w:val="center"/>
              <w:rPr>
                <w:rFonts w:eastAsiaTheme="minorEastAsia"/>
                <w:i/>
                <w:sz w:val="23"/>
                <w:szCs w:val="23"/>
                <w:rtl/>
              </w:rPr>
            </w:pPr>
            <w:r w:rsidRPr="006B3D33">
              <w:rPr>
                <w:rFonts w:eastAsiaTheme="minorEastAsia" w:hint="cs"/>
                <w:i/>
                <w:sz w:val="23"/>
                <w:szCs w:val="23"/>
                <w:rtl/>
              </w:rPr>
              <w:t>۱.۵</w:t>
            </w:r>
          </w:p>
        </w:tc>
        <w:tc>
          <w:tcPr>
            <w:tcW w:w="1404" w:type="dxa"/>
          </w:tcPr>
          <w:p w14:paraId="6E3335C8" w14:textId="77777777" w:rsidR="00411620" w:rsidRPr="006B3D33" w:rsidRDefault="00411620" w:rsidP="00450AC0">
            <w:pPr>
              <w:spacing w:line="216" w:lineRule="auto"/>
              <w:jc w:val="center"/>
              <w:rPr>
                <w:rFonts w:eastAsiaTheme="minorEastAsia"/>
                <w:i/>
                <w:sz w:val="23"/>
                <w:szCs w:val="23"/>
                <w:rtl/>
              </w:rPr>
            </w:pPr>
            <w:r w:rsidRPr="006B3D33">
              <w:rPr>
                <w:rFonts w:eastAsiaTheme="minorEastAsia" w:hint="cs"/>
                <w:i/>
                <w:sz w:val="23"/>
                <w:szCs w:val="23"/>
                <w:rtl/>
              </w:rPr>
              <w:t>-</w:t>
            </w:r>
          </w:p>
        </w:tc>
        <w:tc>
          <w:tcPr>
            <w:tcW w:w="1404" w:type="dxa"/>
            <w:tcBorders>
              <w:right w:val="single" w:sz="4" w:space="0" w:color="auto"/>
            </w:tcBorders>
          </w:tcPr>
          <w:p w14:paraId="3DA33A62" w14:textId="77777777" w:rsidR="00411620" w:rsidRPr="006B3D33" w:rsidRDefault="00411620" w:rsidP="00450AC0">
            <w:pPr>
              <w:spacing w:line="216" w:lineRule="auto"/>
              <w:jc w:val="center"/>
              <w:rPr>
                <w:rFonts w:eastAsiaTheme="minorEastAsia"/>
                <w:i/>
                <w:sz w:val="23"/>
                <w:szCs w:val="23"/>
                <w:rtl/>
              </w:rPr>
            </w:pPr>
            <w:r w:rsidRPr="006B3D33">
              <w:rPr>
                <w:rFonts w:eastAsiaTheme="minorEastAsia" w:hint="cs"/>
                <w:i/>
                <w:sz w:val="23"/>
                <w:szCs w:val="23"/>
                <w:rtl/>
              </w:rPr>
              <w:t>اشتغال</w:t>
            </w:r>
          </w:p>
        </w:tc>
        <w:tc>
          <w:tcPr>
            <w:tcW w:w="1404" w:type="dxa"/>
            <w:tcBorders>
              <w:top w:val="nil"/>
              <w:left w:val="single" w:sz="4" w:space="0" w:color="auto"/>
              <w:bottom w:val="nil"/>
              <w:right w:val="single" w:sz="4" w:space="0" w:color="auto"/>
            </w:tcBorders>
          </w:tcPr>
          <w:p w14:paraId="3A039DD7" w14:textId="77777777" w:rsidR="00411620" w:rsidRPr="006B3D33" w:rsidRDefault="00411620" w:rsidP="00450AC0">
            <w:pPr>
              <w:spacing w:line="216" w:lineRule="auto"/>
              <w:jc w:val="center"/>
              <w:rPr>
                <w:rFonts w:eastAsiaTheme="minorEastAsia"/>
                <w:i/>
                <w:sz w:val="23"/>
                <w:szCs w:val="23"/>
                <w:rtl/>
              </w:rPr>
            </w:pPr>
            <w:r w:rsidRPr="006B3D33">
              <w:rPr>
                <w:rFonts w:eastAsiaTheme="minorEastAsia" w:hint="cs"/>
                <w:i/>
                <w:sz w:val="23"/>
                <w:szCs w:val="23"/>
                <w:rtl/>
              </w:rPr>
              <w:t>از</w:t>
            </w:r>
          </w:p>
        </w:tc>
      </w:tr>
      <w:tr w:rsidR="00411620" w:rsidRPr="006B3D33" w14:paraId="6CA96A36" w14:textId="77777777" w:rsidTr="00450AC0">
        <w:tc>
          <w:tcPr>
            <w:tcW w:w="1404" w:type="dxa"/>
          </w:tcPr>
          <w:p w14:paraId="0388421A" w14:textId="77777777" w:rsidR="00411620" w:rsidRPr="006B3D33" w:rsidRDefault="00411620" w:rsidP="00450AC0">
            <w:pPr>
              <w:spacing w:line="216" w:lineRule="auto"/>
              <w:jc w:val="center"/>
              <w:rPr>
                <w:rFonts w:eastAsiaTheme="minorEastAsia"/>
                <w:i/>
                <w:sz w:val="23"/>
                <w:szCs w:val="23"/>
                <w:rtl/>
              </w:rPr>
            </w:pPr>
            <w:r w:rsidRPr="006B3D33">
              <w:rPr>
                <w:rFonts w:eastAsiaTheme="minorEastAsia" w:hint="cs"/>
                <w:i/>
                <w:sz w:val="23"/>
                <w:szCs w:val="23"/>
                <w:rtl/>
              </w:rPr>
              <w:t>۲۲</w:t>
            </w:r>
          </w:p>
        </w:tc>
        <w:tc>
          <w:tcPr>
            <w:tcW w:w="1404" w:type="dxa"/>
          </w:tcPr>
          <w:p w14:paraId="1D5C934C" w14:textId="77777777" w:rsidR="00411620" w:rsidRPr="006B3D33" w:rsidRDefault="00411620" w:rsidP="00450AC0">
            <w:pPr>
              <w:spacing w:line="216" w:lineRule="auto"/>
              <w:jc w:val="center"/>
              <w:rPr>
                <w:rFonts w:eastAsiaTheme="minorEastAsia"/>
                <w:i/>
                <w:sz w:val="23"/>
                <w:szCs w:val="23"/>
                <w:rtl/>
              </w:rPr>
            </w:pPr>
            <w:r w:rsidRPr="006B3D33">
              <w:rPr>
                <w:rFonts w:eastAsiaTheme="minorEastAsia" w:hint="cs"/>
                <w:i/>
                <w:sz w:val="23"/>
                <w:szCs w:val="23"/>
                <w:rtl/>
              </w:rPr>
              <w:t>-</w:t>
            </w:r>
          </w:p>
        </w:tc>
        <w:tc>
          <w:tcPr>
            <w:tcW w:w="1404" w:type="dxa"/>
          </w:tcPr>
          <w:p w14:paraId="038B98C3" w14:textId="77777777" w:rsidR="00411620" w:rsidRPr="006B3D33" w:rsidRDefault="00411620" w:rsidP="00450AC0">
            <w:pPr>
              <w:spacing w:line="216" w:lineRule="auto"/>
              <w:jc w:val="center"/>
              <w:rPr>
                <w:rFonts w:eastAsiaTheme="minorEastAsia"/>
                <w:i/>
                <w:sz w:val="23"/>
                <w:szCs w:val="23"/>
                <w:rtl/>
              </w:rPr>
            </w:pPr>
            <w:r w:rsidRPr="006B3D33">
              <w:rPr>
                <w:rFonts w:eastAsiaTheme="minorEastAsia" w:hint="cs"/>
                <w:i/>
                <w:sz w:val="23"/>
                <w:szCs w:val="23"/>
                <w:rtl/>
              </w:rPr>
              <w:t>۲.۵</w:t>
            </w:r>
          </w:p>
        </w:tc>
        <w:tc>
          <w:tcPr>
            <w:tcW w:w="1404" w:type="dxa"/>
            <w:tcBorders>
              <w:right w:val="single" w:sz="4" w:space="0" w:color="auto"/>
            </w:tcBorders>
          </w:tcPr>
          <w:p w14:paraId="1D7035A0" w14:textId="77777777" w:rsidR="00411620" w:rsidRPr="006B3D33" w:rsidRDefault="00411620" w:rsidP="00450AC0">
            <w:pPr>
              <w:spacing w:line="216" w:lineRule="auto"/>
              <w:jc w:val="center"/>
              <w:rPr>
                <w:rFonts w:eastAsiaTheme="minorEastAsia"/>
                <w:i/>
                <w:sz w:val="23"/>
                <w:szCs w:val="23"/>
                <w:rtl/>
              </w:rPr>
            </w:pPr>
            <w:r w:rsidRPr="006B3D33">
              <w:rPr>
                <w:rFonts w:eastAsiaTheme="minorEastAsia" w:hint="cs"/>
                <w:i/>
                <w:sz w:val="23"/>
                <w:szCs w:val="23"/>
                <w:rtl/>
              </w:rPr>
              <w:t>بیکاری</w:t>
            </w:r>
          </w:p>
        </w:tc>
        <w:tc>
          <w:tcPr>
            <w:tcW w:w="1404" w:type="dxa"/>
            <w:tcBorders>
              <w:top w:val="nil"/>
              <w:left w:val="single" w:sz="4" w:space="0" w:color="auto"/>
              <w:bottom w:val="nil"/>
              <w:right w:val="single" w:sz="4" w:space="0" w:color="auto"/>
            </w:tcBorders>
          </w:tcPr>
          <w:p w14:paraId="74C60B38" w14:textId="77777777" w:rsidR="00411620" w:rsidRPr="006B3D33" w:rsidRDefault="00411620" w:rsidP="00450AC0">
            <w:pPr>
              <w:spacing w:line="216" w:lineRule="auto"/>
              <w:jc w:val="center"/>
              <w:rPr>
                <w:rFonts w:eastAsiaTheme="minorEastAsia"/>
                <w:i/>
                <w:sz w:val="23"/>
                <w:szCs w:val="23"/>
                <w:u w:val="single"/>
                <w:rtl/>
              </w:rPr>
            </w:pPr>
          </w:p>
        </w:tc>
      </w:tr>
      <w:tr w:rsidR="00411620" w:rsidRPr="006B3D33" w14:paraId="01D3260A" w14:textId="77777777" w:rsidTr="00450AC0">
        <w:tc>
          <w:tcPr>
            <w:tcW w:w="1404" w:type="dxa"/>
          </w:tcPr>
          <w:p w14:paraId="3A5C9806" w14:textId="77777777" w:rsidR="00411620" w:rsidRPr="006B3D33" w:rsidRDefault="00411620" w:rsidP="00450AC0">
            <w:pPr>
              <w:spacing w:line="216" w:lineRule="auto"/>
              <w:jc w:val="center"/>
              <w:rPr>
                <w:rFonts w:eastAsiaTheme="minorEastAsia"/>
                <w:i/>
                <w:sz w:val="23"/>
                <w:szCs w:val="23"/>
                <w:rtl/>
              </w:rPr>
            </w:pPr>
            <w:r w:rsidRPr="006B3D33">
              <w:rPr>
                <w:rFonts w:eastAsiaTheme="minorEastAsia" w:hint="cs"/>
                <w:i/>
                <w:sz w:val="23"/>
                <w:szCs w:val="23"/>
                <w:rtl/>
              </w:rPr>
              <w:t>-</w:t>
            </w:r>
          </w:p>
        </w:tc>
        <w:tc>
          <w:tcPr>
            <w:tcW w:w="1404" w:type="dxa"/>
          </w:tcPr>
          <w:p w14:paraId="0D40E225" w14:textId="77777777" w:rsidR="00411620" w:rsidRPr="006B3D33" w:rsidRDefault="00411620" w:rsidP="00450AC0">
            <w:pPr>
              <w:spacing w:line="216" w:lineRule="auto"/>
              <w:jc w:val="center"/>
              <w:rPr>
                <w:rFonts w:eastAsiaTheme="minorEastAsia"/>
                <w:i/>
                <w:sz w:val="23"/>
                <w:szCs w:val="23"/>
                <w:rtl/>
              </w:rPr>
            </w:pPr>
            <w:r w:rsidRPr="006B3D33">
              <w:rPr>
                <w:rFonts w:eastAsiaTheme="minorEastAsia" w:hint="cs"/>
                <w:i/>
                <w:sz w:val="23"/>
                <w:szCs w:val="23"/>
                <w:rtl/>
              </w:rPr>
              <w:t>۲.۵</w:t>
            </w:r>
          </w:p>
        </w:tc>
        <w:tc>
          <w:tcPr>
            <w:tcW w:w="1404" w:type="dxa"/>
          </w:tcPr>
          <w:p w14:paraId="0D304F41" w14:textId="77777777" w:rsidR="00411620" w:rsidRPr="006B3D33" w:rsidRDefault="00411620" w:rsidP="00450AC0">
            <w:pPr>
              <w:spacing w:line="216" w:lineRule="auto"/>
              <w:jc w:val="center"/>
              <w:rPr>
                <w:rFonts w:eastAsiaTheme="minorEastAsia"/>
                <w:i/>
                <w:sz w:val="23"/>
                <w:szCs w:val="23"/>
                <w:rtl/>
              </w:rPr>
            </w:pPr>
            <w:r w:rsidRPr="006B3D33">
              <w:rPr>
                <w:rFonts w:eastAsiaTheme="minorEastAsia" w:hint="cs"/>
                <w:i/>
                <w:sz w:val="23"/>
                <w:szCs w:val="23"/>
                <w:rtl/>
              </w:rPr>
              <w:t>۴.۵</w:t>
            </w:r>
          </w:p>
        </w:tc>
        <w:tc>
          <w:tcPr>
            <w:tcW w:w="1404" w:type="dxa"/>
            <w:tcBorders>
              <w:right w:val="single" w:sz="4" w:space="0" w:color="auto"/>
            </w:tcBorders>
          </w:tcPr>
          <w:p w14:paraId="115D31BB" w14:textId="77777777" w:rsidR="00411620" w:rsidRPr="006B3D33" w:rsidRDefault="00411620" w:rsidP="00450AC0">
            <w:pPr>
              <w:spacing w:line="216" w:lineRule="auto"/>
              <w:jc w:val="center"/>
              <w:rPr>
                <w:rFonts w:eastAsiaTheme="minorEastAsia"/>
                <w:i/>
                <w:sz w:val="23"/>
                <w:szCs w:val="23"/>
                <w:rtl/>
              </w:rPr>
            </w:pPr>
            <w:r w:rsidRPr="006B3D33">
              <w:rPr>
                <w:rFonts w:eastAsiaTheme="minorEastAsia" w:hint="cs"/>
                <w:i/>
                <w:sz w:val="23"/>
                <w:szCs w:val="23"/>
                <w:rtl/>
              </w:rPr>
              <w:t>فعال</w:t>
            </w:r>
          </w:p>
        </w:tc>
        <w:tc>
          <w:tcPr>
            <w:tcW w:w="1404" w:type="dxa"/>
            <w:tcBorders>
              <w:top w:val="nil"/>
              <w:left w:val="single" w:sz="4" w:space="0" w:color="auto"/>
              <w:bottom w:val="single" w:sz="4" w:space="0" w:color="auto"/>
              <w:right w:val="single" w:sz="4" w:space="0" w:color="auto"/>
            </w:tcBorders>
          </w:tcPr>
          <w:p w14:paraId="3F49807E" w14:textId="77777777" w:rsidR="00411620" w:rsidRPr="006B3D33" w:rsidRDefault="00411620" w:rsidP="00450AC0">
            <w:pPr>
              <w:spacing w:line="216" w:lineRule="auto"/>
              <w:jc w:val="center"/>
              <w:rPr>
                <w:rFonts w:eastAsiaTheme="minorEastAsia"/>
                <w:i/>
                <w:sz w:val="23"/>
                <w:szCs w:val="23"/>
                <w:u w:val="single"/>
                <w:rtl/>
              </w:rPr>
            </w:pPr>
          </w:p>
        </w:tc>
      </w:tr>
    </w:tbl>
    <w:p w14:paraId="1C66ECF5" w14:textId="77777777" w:rsidR="00411620" w:rsidRPr="006B3D33" w:rsidRDefault="00411620" w:rsidP="00411620">
      <w:pPr>
        <w:spacing w:line="216" w:lineRule="auto"/>
        <w:jc w:val="center"/>
        <w:rPr>
          <w:rFonts w:eastAsiaTheme="minorEastAsia"/>
          <w:i/>
          <w:sz w:val="23"/>
          <w:szCs w:val="23"/>
          <w:highlight w:val="yellow"/>
          <w:u w:val="single"/>
          <w:rtl/>
        </w:rPr>
      </w:pPr>
    </w:p>
    <w:p w14:paraId="339D23A3"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بر اساس شواهد تجربی بدست آمده توسط آن</w:t>
      </w:r>
      <w:r w:rsidRPr="006B3D33">
        <w:rPr>
          <w:rFonts w:eastAsiaTheme="minorEastAsia"/>
          <w:i/>
          <w:sz w:val="23"/>
          <w:szCs w:val="23"/>
          <w:rtl/>
        </w:rPr>
        <w:softHyphen/>
      </w:r>
      <w:r w:rsidRPr="006B3D33">
        <w:rPr>
          <w:rFonts w:eastAsiaTheme="minorEastAsia" w:hint="cs"/>
          <w:i/>
          <w:sz w:val="23"/>
          <w:szCs w:val="23"/>
          <w:rtl/>
        </w:rPr>
        <w:t>دو تقریباً در هر ماه ۵/۱ درصد از شاغلین بیکار خواهند شد، حدود ۳ درصد از شاغلین نیروی کار را ترک خواهند کرد، ۲۵درصد از بیکاران شغل خود را پیدا خواهند کرد، ۲۲درصد از آن‌ها بازار نیروی کار را ترک خواهند کرد، و بالاخره ۷درصد از غیرفعالان وارد بازار نیروی کار شده که ۵/۴ درصد از آن‌ها مستقیماً شغل خود را یافته و ۵/۲ درصد از آن‌ها قادر به پیدا کردن شغل نمی‌باشند. آمارهای فوق نشان می‌دهد که حرکت به درون نیروی کار و خروج از آن به همان اندازه</w:t>
      </w:r>
      <w:r w:rsidRPr="006B3D33">
        <w:rPr>
          <w:rFonts w:eastAsiaTheme="minorEastAsia"/>
          <w:i/>
          <w:sz w:val="23"/>
          <w:szCs w:val="23"/>
          <w:rtl/>
        </w:rPr>
        <w:softHyphen/>
      </w:r>
      <w:r w:rsidRPr="006B3D33">
        <w:rPr>
          <w:rFonts w:eastAsiaTheme="minorEastAsia" w:hint="cs"/>
          <w:i/>
          <w:sz w:val="23"/>
          <w:szCs w:val="23"/>
          <w:rtl/>
        </w:rPr>
        <w:t>ی اشتغال و بیکاری مهم است.</w:t>
      </w:r>
    </w:p>
    <w:p w14:paraId="2E6CEA46" w14:textId="77777777" w:rsidR="00411620" w:rsidRPr="006B3D33" w:rsidRDefault="00411620" w:rsidP="00411620">
      <w:pPr>
        <w:spacing w:line="216" w:lineRule="auto"/>
        <w:rPr>
          <w:rFonts w:eastAsiaTheme="minorEastAsia"/>
          <w:i/>
          <w:sz w:val="23"/>
          <w:szCs w:val="23"/>
          <w:rtl/>
        </w:rPr>
      </w:pPr>
    </w:p>
    <w:p w14:paraId="236452E7" w14:textId="77777777" w:rsidR="00411620" w:rsidRPr="006B3D33" w:rsidRDefault="00411620" w:rsidP="00411620">
      <w:pPr>
        <w:pStyle w:val="Heading1"/>
        <w:spacing w:before="0" w:after="0" w:line="216" w:lineRule="auto"/>
        <w:rPr>
          <w:rFonts w:ascii="Times New Roman" w:eastAsiaTheme="minorEastAsia" w:hAnsi="Times New Roman" w:cs="B Nazanin"/>
          <w:b w:val="0"/>
          <w:i/>
          <w:sz w:val="23"/>
          <w:szCs w:val="23"/>
        </w:rPr>
      </w:pPr>
      <w:r w:rsidRPr="006B3D33">
        <w:rPr>
          <w:rFonts w:ascii="Times New Roman" w:eastAsiaTheme="minorEastAsia" w:hAnsi="Times New Roman" w:cs="B Nazanin" w:hint="cs"/>
          <w:b w:val="0"/>
          <w:i/>
          <w:sz w:val="23"/>
          <w:szCs w:val="23"/>
          <w:rtl/>
        </w:rPr>
        <w:t>۱۰. ۴ نظریه کارایی- دستمزد</w:t>
      </w:r>
    </w:p>
    <w:p w14:paraId="5ACD28BB"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جهت توضیح بیکاری غیرداوطلبانه و احتمال ماندگاری آن، معمایی وجود دارد بدین مضمون که چرا هنگامی که بیکاران جهت انجام کاری تمایل به دریافت دستمزد حقیقی کمتر دارند، بنگاه‌ها دستمزد حقیقی را کاهش نمی‌دهند؟ در نظریه کارایی </w:t>
      </w:r>
      <w:r w:rsidRPr="006B3D33">
        <w:rPr>
          <w:rFonts w:eastAsiaTheme="minorEastAsia" w:cs="Times New Roman" w:hint="cs"/>
          <w:i/>
          <w:sz w:val="23"/>
          <w:szCs w:val="23"/>
          <w:rtl/>
        </w:rPr>
        <w:t>–</w:t>
      </w:r>
      <w:r w:rsidRPr="006B3D33">
        <w:rPr>
          <w:rFonts w:eastAsiaTheme="minorEastAsia" w:hint="cs"/>
          <w:i/>
          <w:sz w:val="23"/>
          <w:szCs w:val="23"/>
          <w:rtl/>
        </w:rPr>
        <w:t xml:space="preserve"> دستمزد از آن جا که بهره</w:t>
      </w:r>
      <w:r w:rsidRPr="006B3D33">
        <w:rPr>
          <w:rFonts w:eastAsiaTheme="minorEastAsia"/>
          <w:i/>
          <w:sz w:val="23"/>
          <w:szCs w:val="23"/>
          <w:rtl/>
        </w:rPr>
        <w:softHyphen/>
      </w:r>
      <w:r w:rsidRPr="006B3D33">
        <w:rPr>
          <w:rFonts w:eastAsiaTheme="minorEastAsia" w:hint="cs"/>
          <w:i/>
          <w:sz w:val="23"/>
          <w:szCs w:val="23"/>
          <w:rtl/>
        </w:rPr>
        <w:t>وری نیروی کار با دستمزد حقیقی رابطه‌ی مثبت دارد، این موضوع بررسی شده است. با افزایش دستمزد حقیقی، بهره</w:t>
      </w:r>
      <w:r w:rsidRPr="006B3D33">
        <w:rPr>
          <w:rFonts w:eastAsiaTheme="minorEastAsia"/>
          <w:i/>
          <w:sz w:val="23"/>
          <w:szCs w:val="23"/>
          <w:rtl/>
        </w:rPr>
        <w:softHyphen/>
      </w:r>
      <w:r w:rsidRPr="006B3D33">
        <w:rPr>
          <w:rFonts w:eastAsiaTheme="minorEastAsia" w:hint="cs"/>
          <w:i/>
          <w:sz w:val="23"/>
          <w:szCs w:val="23"/>
          <w:rtl/>
        </w:rPr>
        <w:t>وری کار افزایش و متوسط هزینه‌ی کار کاهش می‌یابد. و بالعکس، با کاهش دستمزد حقیقی بهره</w:t>
      </w:r>
      <w:r w:rsidRPr="006B3D33">
        <w:rPr>
          <w:rFonts w:eastAsiaTheme="minorEastAsia"/>
          <w:i/>
          <w:sz w:val="23"/>
          <w:szCs w:val="23"/>
          <w:rtl/>
        </w:rPr>
        <w:softHyphen/>
      </w:r>
      <w:r w:rsidRPr="006B3D33">
        <w:rPr>
          <w:rFonts w:eastAsiaTheme="minorEastAsia" w:hint="cs"/>
          <w:i/>
          <w:sz w:val="23"/>
          <w:szCs w:val="23"/>
          <w:rtl/>
        </w:rPr>
        <w:t>وری کار کاهش، و بنابراین متوسط هزینه‌ی کار افزایش خواهد یافت. این مسئله ممکن است انگیزه‌ی بنگاه جهت کاهش دستمزد حقیقی را کاهش داده و به تبع آن، در دستمزد حقیقی تعادلی بیکاری غیرداوطلبانه بوجود آید.</w:t>
      </w:r>
    </w:p>
    <w:p w14:paraId="0BA06C59"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نسخه‌های متفاوتی از نظریه کارایی-دستمزد وجود دارد که هر یک مبتنی بر منطقی متفاوت از رابطه‌ی بین بهره</w:t>
      </w:r>
      <w:r w:rsidRPr="006B3D33">
        <w:rPr>
          <w:rFonts w:eastAsiaTheme="minorEastAsia"/>
          <w:i/>
          <w:sz w:val="23"/>
          <w:szCs w:val="23"/>
          <w:rtl/>
        </w:rPr>
        <w:softHyphen/>
      </w:r>
      <w:r w:rsidRPr="006B3D33">
        <w:rPr>
          <w:rFonts w:eastAsiaTheme="minorEastAsia" w:hint="cs"/>
          <w:i/>
          <w:sz w:val="23"/>
          <w:szCs w:val="23"/>
          <w:rtl/>
        </w:rPr>
        <w:t>وری کار و دستمزد حقیقی است.</w:t>
      </w:r>
      <w:r w:rsidRPr="006B3D33">
        <w:rPr>
          <w:rStyle w:val="FootnoteReference"/>
          <w:rFonts w:eastAsiaTheme="minorEastAsia"/>
          <w:i/>
          <w:sz w:val="23"/>
          <w:szCs w:val="23"/>
          <w:rtl/>
        </w:rPr>
        <w:footnoteReference w:id="229"/>
      </w:r>
      <w:r w:rsidRPr="006B3D33">
        <w:rPr>
          <w:rFonts w:eastAsiaTheme="minorEastAsia" w:hint="cs"/>
          <w:i/>
          <w:sz w:val="23"/>
          <w:szCs w:val="23"/>
          <w:rtl/>
        </w:rPr>
        <w:t xml:space="preserve"> سه مورد از معروفترین آن‌ها عبارتند از مدل کم </w:t>
      </w:r>
      <w:r w:rsidRPr="006B3D33">
        <w:rPr>
          <w:rFonts w:eastAsiaTheme="minorEastAsia" w:hint="cs"/>
          <w:i/>
          <w:sz w:val="23"/>
          <w:szCs w:val="23"/>
          <w:rtl/>
        </w:rPr>
        <w:lastRenderedPageBreak/>
        <w:t>کاری نیروی کار توسط شاپیرو و استیگلیتز،</w:t>
      </w:r>
      <w:r w:rsidRPr="006B3D33">
        <w:rPr>
          <w:rStyle w:val="FootnoteReference"/>
          <w:rFonts w:eastAsiaTheme="minorEastAsia"/>
          <w:i/>
          <w:sz w:val="23"/>
          <w:szCs w:val="23"/>
          <w:rtl/>
        </w:rPr>
        <w:footnoteReference w:id="230"/>
      </w:r>
      <w:r w:rsidRPr="006B3D33">
        <w:rPr>
          <w:rFonts w:eastAsiaTheme="minorEastAsia" w:hint="cs"/>
          <w:i/>
          <w:sz w:val="23"/>
          <w:szCs w:val="23"/>
          <w:rtl/>
        </w:rPr>
        <w:t xml:space="preserve"> مدل کار-عملکرد سالوپ،</w:t>
      </w:r>
      <w:r w:rsidRPr="006B3D33">
        <w:rPr>
          <w:rStyle w:val="FootnoteReference"/>
          <w:rFonts w:eastAsiaTheme="minorEastAsia"/>
          <w:i/>
          <w:sz w:val="23"/>
          <w:szCs w:val="23"/>
          <w:rtl/>
        </w:rPr>
        <w:footnoteReference w:id="231"/>
      </w:r>
      <w:r w:rsidRPr="006B3D33">
        <w:rPr>
          <w:rFonts w:eastAsiaTheme="minorEastAsia" w:hint="cs"/>
          <w:i/>
          <w:sz w:val="23"/>
          <w:szCs w:val="23"/>
          <w:rtl/>
        </w:rPr>
        <w:t xml:space="preserve"> و مدل گزینش معکوس توسط استیگلیتز و ویس.</w:t>
      </w:r>
      <w:r w:rsidRPr="006B3D33">
        <w:rPr>
          <w:rStyle w:val="FootnoteReference"/>
          <w:rFonts w:eastAsiaTheme="minorEastAsia"/>
          <w:i/>
          <w:sz w:val="23"/>
          <w:szCs w:val="23"/>
          <w:rtl/>
        </w:rPr>
        <w:footnoteReference w:id="232"/>
      </w:r>
      <w:r w:rsidRPr="006B3D33">
        <w:rPr>
          <w:rFonts w:eastAsiaTheme="minorEastAsia" w:hint="cs"/>
          <w:i/>
          <w:sz w:val="23"/>
          <w:szCs w:val="23"/>
          <w:rtl/>
        </w:rPr>
        <w:t xml:space="preserve"> </w:t>
      </w:r>
    </w:p>
    <w:p w14:paraId="246940B7"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در مدل کم</w:t>
      </w:r>
      <w:r w:rsidRPr="006B3D33">
        <w:rPr>
          <w:rFonts w:eastAsiaTheme="minorEastAsia"/>
          <w:i/>
          <w:sz w:val="23"/>
          <w:szCs w:val="23"/>
          <w:rtl/>
        </w:rPr>
        <w:softHyphen/>
      </w:r>
      <w:r w:rsidRPr="006B3D33">
        <w:rPr>
          <w:rFonts w:eastAsiaTheme="minorEastAsia" w:hint="cs"/>
          <w:i/>
          <w:sz w:val="23"/>
          <w:szCs w:val="23"/>
          <w:rtl/>
        </w:rPr>
        <w:t>کاری نیروی کار، کارگران بین کار و کم</w:t>
      </w:r>
      <w:r w:rsidRPr="006B3D33">
        <w:rPr>
          <w:rFonts w:eastAsiaTheme="minorEastAsia"/>
          <w:i/>
          <w:sz w:val="23"/>
          <w:szCs w:val="23"/>
          <w:rtl/>
        </w:rPr>
        <w:softHyphen/>
      </w:r>
      <w:r w:rsidRPr="006B3D33">
        <w:rPr>
          <w:rFonts w:eastAsiaTheme="minorEastAsia" w:hint="cs"/>
          <w:i/>
          <w:sz w:val="23"/>
          <w:szCs w:val="23"/>
          <w:rtl/>
        </w:rPr>
        <w:t>کاری، و یا بین کار و کاهش تلاش خود برای انجام کار انتخاب می</w:t>
      </w:r>
      <w:r w:rsidRPr="006B3D33">
        <w:rPr>
          <w:rFonts w:eastAsiaTheme="minorEastAsia"/>
          <w:i/>
          <w:sz w:val="23"/>
          <w:szCs w:val="23"/>
          <w:rtl/>
        </w:rPr>
        <w:softHyphen/>
      </w:r>
      <w:r w:rsidRPr="006B3D33">
        <w:rPr>
          <w:rFonts w:eastAsiaTheme="minorEastAsia" w:hint="cs"/>
          <w:i/>
          <w:sz w:val="23"/>
          <w:szCs w:val="23"/>
          <w:rtl/>
        </w:rPr>
        <w:t>کنند. اگر بنگاه‌ها دستمزد یکسانی را پرداخت کنند، و اشتغال کامل وجود داشته باشد، آنگاه هزینه</w:t>
      </w:r>
      <w:r w:rsidRPr="006B3D33">
        <w:rPr>
          <w:rFonts w:eastAsiaTheme="minorEastAsia"/>
          <w:i/>
          <w:sz w:val="23"/>
          <w:szCs w:val="23"/>
          <w:rtl/>
        </w:rPr>
        <w:softHyphen/>
      </w:r>
      <w:r w:rsidRPr="006B3D33">
        <w:rPr>
          <w:rFonts w:eastAsiaTheme="minorEastAsia" w:hint="cs"/>
          <w:i/>
          <w:sz w:val="23"/>
          <w:szCs w:val="23"/>
          <w:rtl/>
        </w:rPr>
        <w:t>ای برای کم</w:t>
      </w:r>
      <w:r w:rsidRPr="006B3D33">
        <w:rPr>
          <w:rFonts w:eastAsiaTheme="minorEastAsia"/>
          <w:i/>
          <w:sz w:val="23"/>
          <w:szCs w:val="23"/>
          <w:rtl/>
        </w:rPr>
        <w:softHyphen/>
      </w:r>
      <w:r w:rsidRPr="006B3D33">
        <w:rPr>
          <w:rFonts w:eastAsiaTheme="minorEastAsia" w:hint="cs"/>
          <w:i/>
          <w:sz w:val="23"/>
          <w:szCs w:val="23"/>
          <w:rtl/>
        </w:rPr>
        <w:t>کاری وجود نخواهد داشت. زیرا کارگران با کم کار کردن اخراج شده و سریعاً شغل دیگری را می‌یابند. بنابراین بنگاه‌ها جهت دلسرد کردن کارگران از کم</w:t>
      </w:r>
      <w:r w:rsidRPr="006B3D33">
        <w:rPr>
          <w:rFonts w:eastAsiaTheme="minorEastAsia"/>
          <w:i/>
          <w:sz w:val="23"/>
          <w:szCs w:val="23"/>
          <w:rtl/>
        </w:rPr>
        <w:softHyphen/>
      </w:r>
      <w:r w:rsidRPr="006B3D33">
        <w:rPr>
          <w:rFonts w:eastAsiaTheme="minorEastAsia" w:hint="cs"/>
          <w:i/>
          <w:sz w:val="23"/>
          <w:szCs w:val="23"/>
          <w:rtl/>
        </w:rPr>
        <w:t xml:space="preserve">کاری، علاوه بر دستمزد، مازادی را نیز پرداخت خواهند کرد که باعث افزایش متوسط دستمزد، کاهش اشتغال و افزایش بیکاری خواهد شد. حتی اگر در بازار کار بیکار هم وجود داشته باشد، بنگاه‌ها تمایلی به کاهش دستمزد برای ترس و هراس از ترغیب و تشویق نیروی کار برای کم کاری ندارند. بنابراین تعادل در بازار کار متضمن و مستلزم وجود دستمزد کارای دائمی بیش از نرخی است که در آن بیکاری و بیکاری دائمی وجود ندارد. </w:t>
      </w:r>
    </w:p>
    <w:p w14:paraId="74E470AA"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در نسخه‌ی کار- عملکرد فرض می‌شود همانند هزینه‌های جستجو، هزینه‌ی استخدام نیز وجود دارد. اگر بنگاه‌ها متوسط دستمزد را پرداخت کنند، آنگاه کارگران انگیزه</w:t>
      </w:r>
      <w:r w:rsidRPr="006B3D33">
        <w:rPr>
          <w:rFonts w:eastAsiaTheme="minorEastAsia"/>
          <w:i/>
          <w:sz w:val="23"/>
          <w:szCs w:val="23"/>
          <w:rtl/>
        </w:rPr>
        <w:softHyphen/>
      </w:r>
      <w:r w:rsidRPr="006B3D33">
        <w:rPr>
          <w:rFonts w:eastAsiaTheme="minorEastAsia" w:hint="cs"/>
          <w:i/>
          <w:sz w:val="23"/>
          <w:szCs w:val="23"/>
          <w:rtl/>
        </w:rPr>
        <w:t>ی بیشتری برای ترک شغل و یافتن شغلی جدید با پرداختی بیشتر، نسبت به زمانی که پرداختی بنگاه</w:t>
      </w:r>
      <w:r w:rsidRPr="006B3D33">
        <w:rPr>
          <w:rFonts w:eastAsiaTheme="minorEastAsia"/>
          <w:i/>
          <w:sz w:val="23"/>
          <w:szCs w:val="23"/>
          <w:rtl/>
        </w:rPr>
        <w:softHyphen/>
      </w:r>
      <w:r w:rsidRPr="006B3D33">
        <w:rPr>
          <w:rFonts w:eastAsiaTheme="minorEastAsia" w:hint="cs"/>
          <w:i/>
          <w:sz w:val="23"/>
          <w:szCs w:val="23"/>
          <w:rtl/>
        </w:rPr>
        <w:t>ها بالاتر از متوسط دستمزد است دارند. برای اجتناب از این هزینه</w:t>
      </w:r>
      <w:r w:rsidRPr="006B3D33">
        <w:rPr>
          <w:rFonts w:eastAsiaTheme="minorEastAsia"/>
          <w:i/>
          <w:sz w:val="23"/>
          <w:szCs w:val="23"/>
          <w:rtl/>
        </w:rPr>
        <w:softHyphen/>
      </w:r>
      <w:r w:rsidRPr="006B3D33">
        <w:rPr>
          <w:rFonts w:eastAsiaTheme="minorEastAsia" w:hint="cs"/>
          <w:i/>
          <w:sz w:val="23"/>
          <w:szCs w:val="23"/>
          <w:rtl/>
        </w:rPr>
        <w:t>ها و دلسرد کردن کارگران از ترک شغل، بنگاه</w:t>
      </w:r>
      <w:r w:rsidRPr="006B3D33">
        <w:rPr>
          <w:rFonts w:eastAsiaTheme="minorEastAsia"/>
          <w:i/>
          <w:sz w:val="23"/>
          <w:szCs w:val="23"/>
          <w:rtl/>
        </w:rPr>
        <w:softHyphen/>
      </w:r>
      <w:r w:rsidRPr="006B3D33">
        <w:rPr>
          <w:rFonts w:eastAsiaTheme="minorEastAsia" w:hint="cs"/>
          <w:i/>
          <w:sz w:val="23"/>
          <w:szCs w:val="23"/>
          <w:rtl/>
        </w:rPr>
        <w:t>ها مازادی بر متوسط دستمزد را نیز پرداخت می</w:t>
      </w:r>
      <w:r w:rsidRPr="006B3D33">
        <w:rPr>
          <w:rFonts w:eastAsiaTheme="minorEastAsia"/>
          <w:i/>
          <w:sz w:val="23"/>
          <w:szCs w:val="23"/>
          <w:rtl/>
        </w:rPr>
        <w:softHyphen/>
      </w:r>
      <w:r w:rsidRPr="006B3D33">
        <w:rPr>
          <w:rFonts w:eastAsiaTheme="minorEastAsia" w:hint="cs"/>
          <w:i/>
          <w:sz w:val="23"/>
          <w:szCs w:val="23"/>
          <w:rtl/>
        </w:rPr>
        <w:t xml:space="preserve">کنند. </w:t>
      </w:r>
    </w:p>
    <w:p w14:paraId="7AC30ED5"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 در مدل گزینش معکوس فرض می‌شود توانایی و به تبع آن بهره</w:t>
      </w:r>
      <w:r w:rsidRPr="006B3D33">
        <w:rPr>
          <w:rFonts w:eastAsiaTheme="minorEastAsia"/>
          <w:i/>
          <w:sz w:val="23"/>
          <w:szCs w:val="23"/>
          <w:rtl/>
        </w:rPr>
        <w:softHyphen/>
      </w:r>
      <w:r w:rsidRPr="006B3D33">
        <w:rPr>
          <w:rFonts w:eastAsiaTheme="minorEastAsia" w:hint="cs"/>
          <w:i/>
          <w:sz w:val="23"/>
          <w:szCs w:val="23"/>
          <w:rtl/>
        </w:rPr>
        <w:t>وری کارگران متفاوت است. بنگاه‌ها از بهره</w:t>
      </w:r>
      <w:r w:rsidRPr="006B3D33">
        <w:rPr>
          <w:rFonts w:eastAsiaTheme="minorEastAsia"/>
          <w:i/>
          <w:sz w:val="23"/>
          <w:szCs w:val="23"/>
          <w:rtl/>
        </w:rPr>
        <w:softHyphen/>
      </w:r>
      <w:r w:rsidRPr="006B3D33">
        <w:rPr>
          <w:rFonts w:eastAsiaTheme="minorEastAsia" w:hint="cs"/>
          <w:i/>
          <w:sz w:val="23"/>
          <w:szCs w:val="23"/>
          <w:rtl/>
        </w:rPr>
        <w:t>وری کارگران جدید آگاه نیستند، ولی تصور می‌کنند که تمایل کارگران به دریافت متوسط دستمزدِ کمتر، بدلیل بهره</w:t>
      </w:r>
      <w:r w:rsidRPr="006B3D33">
        <w:rPr>
          <w:rFonts w:eastAsiaTheme="minorEastAsia"/>
          <w:i/>
          <w:sz w:val="23"/>
          <w:szCs w:val="23"/>
          <w:rtl/>
        </w:rPr>
        <w:softHyphen/>
      </w:r>
      <w:r w:rsidRPr="006B3D33">
        <w:rPr>
          <w:rFonts w:eastAsiaTheme="minorEastAsia" w:hint="cs"/>
          <w:i/>
          <w:sz w:val="23"/>
          <w:szCs w:val="23"/>
          <w:rtl/>
        </w:rPr>
        <w:t>وری پایین</w:t>
      </w:r>
      <w:r w:rsidRPr="006B3D33">
        <w:rPr>
          <w:rFonts w:eastAsiaTheme="minorEastAsia"/>
          <w:i/>
          <w:sz w:val="23"/>
          <w:szCs w:val="23"/>
          <w:rtl/>
        </w:rPr>
        <w:softHyphen/>
      </w:r>
      <w:r w:rsidRPr="006B3D33">
        <w:rPr>
          <w:rFonts w:eastAsiaTheme="minorEastAsia" w:hint="cs"/>
          <w:i/>
          <w:sz w:val="23"/>
          <w:szCs w:val="23"/>
          <w:rtl/>
        </w:rPr>
        <w:t>تر آن‌ها نسبت به متوسط بهره</w:t>
      </w:r>
      <w:r w:rsidRPr="006B3D33">
        <w:rPr>
          <w:rFonts w:eastAsiaTheme="minorEastAsia"/>
          <w:i/>
          <w:sz w:val="23"/>
          <w:szCs w:val="23"/>
          <w:rtl/>
        </w:rPr>
        <w:softHyphen/>
      </w:r>
      <w:r w:rsidRPr="006B3D33">
        <w:rPr>
          <w:rFonts w:eastAsiaTheme="minorEastAsia" w:hint="cs"/>
          <w:i/>
          <w:sz w:val="23"/>
          <w:szCs w:val="23"/>
          <w:rtl/>
        </w:rPr>
        <w:t>وری کارگران است. بنابراین برای بنگاه</w:t>
      </w:r>
      <w:r w:rsidRPr="006B3D33">
        <w:rPr>
          <w:rFonts w:eastAsiaTheme="minorEastAsia"/>
          <w:i/>
          <w:sz w:val="23"/>
          <w:szCs w:val="23"/>
          <w:rtl/>
        </w:rPr>
        <w:softHyphen/>
      </w:r>
      <w:r w:rsidRPr="006B3D33">
        <w:rPr>
          <w:rFonts w:eastAsiaTheme="minorEastAsia" w:hint="cs"/>
          <w:i/>
          <w:sz w:val="23"/>
          <w:szCs w:val="23"/>
          <w:rtl/>
        </w:rPr>
        <w:t>ها حتی با وجود کارگران بیکار انگیزه</w:t>
      </w:r>
      <w:r w:rsidRPr="006B3D33">
        <w:rPr>
          <w:rFonts w:eastAsiaTheme="minorEastAsia"/>
          <w:i/>
          <w:sz w:val="23"/>
          <w:szCs w:val="23"/>
          <w:rtl/>
        </w:rPr>
        <w:softHyphen/>
      </w:r>
      <w:r w:rsidRPr="006B3D33">
        <w:rPr>
          <w:rFonts w:eastAsiaTheme="minorEastAsia" w:hint="cs"/>
          <w:i/>
          <w:sz w:val="23"/>
          <w:szCs w:val="23"/>
          <w:rtl/>
        </w:rPr>
        <w:t>ای وجود ندارد تا دستمزد پایین‌تری را پیشنهاد کنند.</w:t>
      </w:r>
    </w:p>
    <w:p w14:paraId="281D02EF"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دلیل دیگری که چرا بنگاه‌ها تمایل به از دست دادن کارگران خود نداشته و حتی به پرداخت مبلغی اضافه بر دستمزد جهت حفظ کارگران خود رغبت دارند، آن است که با آموزش و کارآموزیِ نیروی کار متوسط بهره</w:t>
      </w:r>
      <w:r w:rsidRPr="006B3D33">
        <w:rPr>
          <w:rFonts w:eastAsiaTheme="minorEastAsia"/>
          <w:i/>
          <w:sz w:val="23"/>
          <w:szCs w:val="23"/>
          <w:rtl/>
        </w:rPr>
        <w:softHyphen/>
      </w:r>
      <w:r w:rsidRPr="006B3D33">
        <w:rPr>
          <w:rFonts w:eastAsiaTheme="minorEastAsia" w:hint="cs"/>
          <w:i/>
          <w:sz w:val="23"/>
          <w:szCs w:val="23"/>
          <w:rtl/>
        </w:rPr>
        <w:t>وری آن‌ها افزایش یافته و چون کارآموزی هزینه</w:t>
      </w:r>
      <w:r w:rsidRPr="006B3D33">
        <w:rPr>
          <w:rFonts w:eastAsiaTheme="minorEastAsia"/>
          <w:i/>
          <w:sz w:val="23"/>
          <w:szCs w:val="23"/>
          <w:rtl/>
        </w:rPr>
        <w:softHyphen/>
      </w:r>
      <w:r w:rsidRPr="006B3D33">
        <w:rPr>
          <w:rFonts w:eastAsiaTheme="minorEastAsia" w:hint="cs"/>
          <w:i/>
          <w:sz w:val="23"/>
          <w:szCs w:val="23"/>
          <w:rtl/>
        </w:rPr>
        <w:t>بر است، لذا احتمالاً افزایش عایدی فعالیت آن‌ها هزینه</w:t>
      </w:r>
      <w:r w:rsidRPr="006B3D33">
        <w:rPr>
          <w:rFonts w:eastAsiaTheme="minorEastAsia"/>
          <w:i/>
          <w:sz w:val="23"/>
          <w:szCs w:val="23"/>
          <w:rtl/>
        </w:rPr>
        <w:softHyphen/>
      </w:r>
      <w:r w:rsidRPr="006B3D33">
        <w:rPr>
          <w:rFonts w:eastAsiaTheme="minorEastAsia" w:hint="cs"/>
          <w:i/>
          <w:sz w:val="23"/>
          <w:szCs w:val="23"/>
          <w:rtl/>
        </w:rPr>
        <w:t xml:space="preserve">ی بیشتری خواهد داشت. تفسیر و توضیح دستمزد کارا با شواهد تجربی بیکاری غیرداوطلبانه کارگران غیرماهر نسبت به بیکاری غیرداوطلبانه کارگران ماهر سازگارتر است. اکنون این نظریه‌ها را به تفصیل و با دقت بیشتری مورد بررسی قرار می‌دهیم. </w:t>
      </w:r>
    </w:p>
    <w:p w14:paraId="7C06408B"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نسخه‌های متفاوت نظریه کارایی-دستمزد در این فرض مشترک</w:t>
      </w:r>
      <w:r w:rsidRPr="006B3D33">
        <w:rPr>
          <w:rFonts w:eastAsiaTheme="minorEastAsia"/>
          <w:i/>
          <w:sz w:val="23"/>
          <w:szCs w:val="23"/>
          <w:rtl/>
        </w:rPr>
        <w:softHyphen/>
      </w:r>
      <w:r w:rsidRPr="006B3D33">
        <w:rPr>
          <w:rFonts w:eastAsiaTheme="minorEastAsia" w:hint="cs"/>
          <w:i/>
          <w:sz w:val="23"/>
          <w:szCs w:val="23"/>
          <w:rtl/>
        </w:rPr>
        <w:t>اند که بهره</w:t>
      </w:r>
      <w:r w:rsidRPr="006B3D33">
        <w:rPr>
          <w:rFonts w:eastAsiaTheme="minorEastAsia"/>
          <w:i/>
          <w:sz w:val="23"/>
          <w:szCs w:val="23"/>
          <w:rtl/>
        </w:rPr>
        <w:softHyphen/>
      </w:r>
      <w:r w:rsidRPr="006B3D33">
        <w:rPr>
          <w:rFonts w:eastAsiaTheme="minorEastAsia" w:hint="cs"/>
          <w:i/>
          <w:sz w:val="23"/>
          <w:szCs w:val="23"/>
          <w:rtl/>
        </w:rPr>
        <w:t xml:space="preserve">وری کارگران </w:t>
      </w:r>
      <w:r w:rsidRPr="006B3D33">
        <w:rPr>
          <w:rFonts w:eastAsiaTheme="minorEastAsia"/>
          <w:i/>
          <w:sz w:val="23"/>
          <w:szCs w:val="23"/>
        </w:rPr>
        <w:t>e</w:t>
      </w:r>
      <w:r w:rsidRPr="006B3D33">
        <w:rPr>
          <w:rFonts w:eastAsiaTheme="minorEastAsia" w:hint="cs"/>
          <w:i/>
          <w:sz w:val="23"/>
          <w:szCs w:val="23"/>
          <w:rtl/>
        </w:rPr>
        <w:t>، به دستمزد کارا</w:t>
      </w:r>
      <w:r w:rsidRPr="006B3D33">
        <w:rPr>
          <w:position w:val="-6"/>
        </w:rPr>
        <w:object w:dxaOrig="240" w:dyaOrig="200" w14:anchorId="34E43FDF">
          <v:shape id="_x0000_i4506" type="#_x0000_t75" style="width:12.1pt;height:10.3pt" o:ole="">
            <v:imagedata r:id="rId7009" o:title=""/>
          </v:shape>
          <o:OLEObject Type="Embed" ProgID="Equation.DSMT4" ShapeID="_x0000_i4506" DrawAspect="Content" ObjectID="_1791378450" r:id="rId7010"/>
        </w:object>
      </w:r>
      <w:r w:rsidRPr="006B3D33">
        <w:rPr>
          <w:rFonts w:hint="cs"/>
          <w:i/>
          <w:sz w:val="23"/>
          <w:szCs w:val="23"/>
          <w:rtl/>
        </w:rPr>
        <w:t xml:space="preserve"> وابسته است، و دستمزد کارا از تجمیع</w:t>
      </w:r>
      <w:r w:rsidRPr="006B3D33">
        <w:rPr>
          <w:rFonts w:eastAsiaTheme="minorEastAsia" w:hint="cs"/>
          <w:i/>
          <w:sz w:val="23"/>
          <w:szCs w:val="23"/>
          <w:rtl/>
        </w:rPr>
        <w:t xml:space="preserve"> پرداخت مبلغی اضافه بر دستمزد</w:t>
      </w:r>
      <w:r w:rsidRPr="006B3D33">
        <w:rPr>
          <w:position w:val="-10"/>
        </w:rPr>
        <w:object w:dxaOrig="180" w:dyaOrig="240" w14:anchorId="33732E4C">
          <v:shape id="_x0000_i4507" type="#_x0000_t75" style="width:9.1pt;height:12.1pt" o:ole="">
            <v:imagedata r:id="rId7011" o:title=""/>
          </v:shape>
          <o:OLEObject Type="Embed" ProgID="Equation.DSMT4" ShapeID="_x0000_i4507" DrawAspect="Content" ObjectID="_1791378451" r:id="rId7012"/>
        </w:object>
      </w:r>
      <w:r w:rsidRPr="006B3D33">
        <w:rPr>
          <w:rFonts w:eastAsiaTheme="minorEastAsia" w:hint="cs"/>
          <w:i/>
          <w:sz w:val="23"/>
          <w:szCs w:val="23"/>
          <w:rtl/>
        </w:rPr>
        <w:t>، و دستمزد عمومی</w:t>
      </w:r>
      <w:r w:rsidRPr="006B3D33">
        <w:rPr>
          <w:position w:val="-6"/>
        </w:rPr>
        <w:object w:dxaOrig="279" w:dyaOrig="260" w14:anchorId="64C3DCBE">
          <v:shape id="_x0000_i4508" type="#_x0000_t75" style="width:13.9pt;height:12.7pt" o:ole="">
            <v:imagedata r:id="rId7013" o:title=""/>
          </v:shape>
          <o:OLEObject Type="Embed" ProgID="Equation.DSMT4" ShapeID="_x0000_i4508" DrawAspect="Content" ObjectID="_1791378452" r:id="rId7014"/>
        </w:object>
      </w:r>
      <w:r w:rsidRPr="006B3D33">
        <w:rPr>
          <w:rFonts w:eastAsiaTheme="minorEastAsia" w:hint="cs"/>
          <w:i/>
          <w:sz w:val="23"/>
          <w:szCs w:val="23"/>
          <w:rtl/>
        </w:rPr>
        <w:t xml:space="preserve"> بدست می</w:t>
      </w:r>
      <w:r w:rsidRPr="006B3D33">
        <w:rPr>
          <w:rFonts w:eastAsiaTheme="minorEastAsia"/>
          <w:i/>
          <w:sz w:val="23"/>
          <w:szCs w:val="23"/>
          <w:rtl/>
        </w:rPr>
        <w:softHyphen/>
      </w:r>
      <w:r w:rsidRPr="006B3D33">
        <w:rPr>
          <w:rFonts w:eastAsiaTheme="minorEastAsia" w:hint="cs"/>
          <w:i/>
          <w:sz w:val="23"/>
          <w:szCs w:val="23"/>
          <w:rtl/>
        </w:rPr>
        <w:t xml:space="preserve">آید. بنابراین دستمزد کارا برابر است با </w:t>
      </w:r>
      <w:r w:rsidRPr="006B3D33">
        <w:rPr>
          <w:position w:val="-10"/>
        </w:rPr>
        <w:object w:dxaOrig="999" w:dyaOrig="300" w14:anchorId="48F85BA2">
          <v:shape id="_x0000_i4509" type="#_x0000_t75" style="width:50.2pt;height:14.5pt" o:ole="">
            <v:imagedata r:id="rId7015" o:title=""/>
          </v:shape>
          <o:OLEObject Type="Embed" ProgID="Equation.DSMT4" ShapeID="_x0000_i4509" DrawAspect="Content" ObjectID="_1791378453" r:id="rId7016"/>
        </w:object>
      </w:r>
      <w:r w:rsidRPr="006B3D33">
        <w:rPr>
          <w:rFonts w:hint="cs"/>
          <w:i/>
          <w:sz w:val="23"/>
          <w:szCs w:val="23"/>
          <w:rtl/>
        </w:rPr>
        <w:t>.</w:t>
      </w:r>
      <w:r w:rsidRPr="006B3D33">
        <w:rPr>
          <w:rFonts w:eastAsiaTheme="minorEastAsia" w:hint="cs"/>
          <w:i/>
          <w:sz w:val="23"/>
          <w:szCs w:val="23"/>
          <w:rtl/>
        </w:rPr>
        <w:t xml:space="preserve"> همچنین فرض می</w:t>
      </w:r>
      <w:r w:rsidRPr="006B3D33">
        <w:rPr>
          <w:rFonts w:eastAsiaTheme="minorEastAsia"/>
          <w:i/>
          <w:sz w:val="23"/>
          <w:szCs w:val="23"/>
          <w:rtl/>
        </w:rPr>
        <w:softHyphen/>
      </w:r>
      <w:r w:rsidRPr="006B3D33">
        <w:rPr>
          <w:rFonts w:eastAsiaTheme="minorEastAsia" w:hint="cs"/>
          <w:i/>
          <w:sz w:val="23"/>
          <w:szCs w:val="23"/>
          <w:rtl/>
        </w:rPr>
        <w:t>شود تابع بهره</w:t>
      </w:r>
      <w:r w:rsidRPr="006B3D33">
        <w:rPr>
          <w:rFonts w:eastAsiaTheme="minorEastAsia"/>
          <w:i/>
          <w:sz w:val="23"/>
          <w:szCs w:val="23"/>
          <w:rtl/>
        </w:rPr>
        <w:softHyphen/>
      </w:r>
      <w:r w:rsidRPr="006B3D33">
        <w:rPr>
          <w:rFonts w:eastAsiaTheme="minorEastAsia" w:hint="cs"/>
          <w:i/>
          <w:sz w:val="23"/>
          <w:szCs w:val="23"/>
          <w:rtl/>
        </w:rPr>
        <w:t>وری نیروی کار به صورت زیر می</w:t>
      </w:r>
      <w:r w:rsidRPr="006B3D33">
        <w:rPr>
          <w:rFonts w:eastAsiaTheme="minorEastAsia"/>
          <w:i/>
          <w:sz w:val="23"/>
          <w:szCs w:val="23"/>
          <w:rtl/>
        </w:rPr>
        <w:softHyphen/>
      </w:r>
      <w:r w:rsidRPr="006B3D33">
        <w:rPr>
          <w:rFonts w:eastAsiaTheme="minorEastAsia" w:hint="cs"/>
          <w:i/>
          <w:sz w:val="23"/>
          <w:szCs w:val="23"/>
          <w:rtl/>
        </w:rPr>
        <w:t>باشد</w:t>
      </w:r>
    </w:p>
    <w:p w14:paraId="16E71DC4" w14:textId="77777777" w:rsidR="00411620" w:rsidRPr="006B3D33" w:rsidRDefault="00411620" w:rsidP="00411620">
      <w:pPr>
        <w:bidi w:val="0"/>
        <w:spacing w:line="216" w:lineRule="auto"/>
        <w:rPr>
          <w:rFonts w:eastAsiaTheme="minorEastAsia"/>
          <w:i/>
          <w:sz w:val="23"/>
          <w:szCs w:val="23"/>
          <w:rtl/>
        </w:rPr>
      </w:pPr>
      <w:r w:rsidRPr="006B3D33">
        <w:rPr>
          <w:position w:val="-12"/>
        </w:rPr>
        <w:object w:dxaOrig="2820" w:dyaOrig="360" w14:anchorId="7AE0444B">
          <v:shape id="_x0000_i4510" type="#_x0000_t75" style="width:140.95pt;height:18.15pt" o:ole="">
            <v:imagedata r:id="rId7017" o:title=""/>
          </v:shape>
          <o:OLEObject Type="Embed" ProgID="Equation.DSMT4" ShapeID="_x0000_i4510" DrawAspect="Content" ObjectID="_1791378454" r:id="rId7018"/>
        </w:object>
      </w:r>
      <w:r w:rsidRPr="006B3D33">
        <w:rPr>
          <w:rFonts w:eastAsiaTheme="minorEastAsia" w:hint="cs"/>
          <w:i/>
          <w:sz w:val="23"/>
          <w:szCs w:val="23"/>
        </w:rPr>
        <w:t xml:space="preserve"> </w:t>
      </w:r>
    </w:p>
    <w:p w14:paraId="3B6DB90D"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 در نتیجه برای</w:t>
      </w:r>
      <w:r w:rsidRPr="006B3D33">
        <w:rPr>
          <w:position w:val="-6"/>
        </w:rPr>
        <w:object w:dxaOrig="660" w:dyaOrig="260" w14:anchorId="08A8E769">
          <v:shape id="_x0000_i4511" type="#_x0000_t75" style="width:32.65pt;height:12.7pt" o:ole="">
            <v:imagedata r:id="rId7019" o:title=""/>
          </v:shape>
          <o:OLEObject Type="Embed" ProgID="Equation.DSMT4" ShapeID="_x0000_i4511" DrawAspect="Content" ObjectID="_1791378455" r:id="rId7020"/>
        </w:object>
      </w:r>
      <w:r w:rsidRPr="006B3D33">
        <w:rPr>
          <w:rFonts w:eastAsiaTheme="minorEastAsia" w:hint="cs"/>
          <w:i/>
          <w:sz w:val="23"/>
          <w:szCs w:val="23"/>
          <w:rtl/>
        </w:rPr>
        <w:t xml:space="preserve"> خواهیم داشت</w:t>
      </w:r>
      <w:r w:rsidRPr="006B3D33">
        <w:rPr>
          <w:position w:val="-12"/>
        </w:rPr>
        <w:object w:dxaOrig="1540" w:dyaOrig="360" w14:anchorId="52C26BDA">
          <v:shape id="_x0000_i4512" type="#_x0000_t75" style="width:76.85pt;height:18.15pt" o:ole="">
            <v:imagedata r:id="rId7021" o:title=""/>
          </v:shape>
          <o:OLEObject Type="Embed" ProgID="Equation.DSMT4" ShapeID="_x0000_i4512" DrawAspect="Content" ObjectID="_1791378456" r:id="rId7022"/>
        </w:object>
      </w:r>
      <w:r w:rsidRPr="006B3D33">
        <w:rPr>
          <w:rFonts w:eastAsiaTheme="minorEastAsia" w:hint="cs"/>
          <w:i/>
          <w:sz w:val="23"/>
          <w:szCs w:val="23"/>
          <w:rtl/>
        </w:rPr>
        <w:t>. سود بنگاه نیز در هر دوره برابر است با</w:t>
      </w:r>
    </w:p>
    <w:p w14:paraId="7B61012F" w14:textId="77777777" w:rsidR="00411620" w:rsidRPr="006B3D33" w:rsidRDefault="00411620" w:rsidP="00411620">
      <w:pPr>
        <w:bidi w:val="0"/>
        <w:spacing w:line="216" w:lineRule="auto"/>
        <w:rPr>
          <w:rFonts w:eastAsiaTheme="minorEastAsia"/>
          <w:i/>
          <w:sz w:val="23"/>
          <w:szCs w:val="23"/>
          <w:rtl/>
        </w:rPr>
      </w:pPr>
      <w:r w:rsidRPr="006B3D33">
        <w:rPr>
          <w:position w:val="-14"/>
        </w:rPr>
        <w:object w:dxaOrig="1880" w:dyaOrig="380" w14:anchorId="07B079B1">
          <v:shape id="_x0000_i4513" type="#_x0000_t75" style="width:93.8pt;height:19.35pt" o:ole="">
            <v:imagedata r:id="rId7023" o:title=""/>
          </v:shape>
          <o:OLEObject Type="Embed" ProgID="Equation.DSMT4" ShapeID="_x0000_i4513" DrawAspect="Content" ObjectID="_1791378457" r:id="rId7024"/>
        </w:object>
      </w:r>
      <w:r w:rsidRPr="006B3D33">
        <w:rPr>
          <w:rFonts w:eastAsiaTheme="minorEastAsia" w:hint="cs"/>
          <w:i/>
          <w:sz w:val="23"/>
          <w:szCs w:val="23"/>
        </w:rPr>
        <w:t xml:space="preserve"> </w:t>
      </w:r>
      <w:r w:rsidRPr="006B3D33">
        <w:rPr>
          <w:rFonts w:eastAsiaTheme="minorEastAsia"/>
          <w:i/>
          <w:sz w:val="23"/>
          <w:szCs w:val="23"/>
          <w:rtl/>
        </w:rPr>
        <w:tab/>
      </w:r>
      <w:r w:rsidRPr="006B3D33">
        <w:rPr>
          <w:rFonts w:eastAsiaTheme="minorEastAsia" w:hint="cs"/>
          <w:i/>
          <w:sz w:val="23"/>
          <w:szCs w:val="23"/>
          <w:rtl/>
        </w:rPr>
        <w:t xml:space="preserve"> </w:t>
      </w:r>
      <w:r w:rsidRPr="006B3D33">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tl/>
        </w:rPr>
        <w:tab/>
      </w:r>
      <w:r w:rsidRPr="006B3D33">
        <w:rPr>
          <w:rFonts w:eastAsiaTheme="minorEastAsia"/>
          <w:i/>
          <w:sz w:val="23"/>
          <w:szCs w:val="23"/>
        </w:rPr>
        <w:tab/>
      </w:r>
      <w:r>
        <w:rPr>
          <w:rFonts w:eastAsiaTheme="minorEastAsia"/>
          <w:i/>
          <w:sz w:val="23"/>
          <w:szCs w:val="23"/>
          <w:rtl/>
        </w:rPr>
        <w:tab/>
      </w:r>
      <w:r>
        <w:rPr>
          <w:rFonts w:eastAsiaTheme="minorEastAsia"/>
          <w:i/>
          <w:sz w:val="23"/>
          <w:szCs w:val="23"/>
          <w:rtl/>
        </w:rPr>
        <w:tab/>
      </w:r>
      <w:r w:rsidRPr="006B3D33">
        <w:rPr>
          <w:rFonts w:eastAsiaTheme="minorEastAsia"/>
          <w:i/>
          <w:sz w:val="23"/>
          <w:szCs w:val="23"/>
          <w:rtl/>
        </w:rPr>
        <w:tab/>
      </w:r>
      <w:r w:rsidRPr="006B3D33">
        <w:rPr>
          <w:rFonts w:eastAsiaTheme="minorEastAsia" w:hint="cs"/>
          <w:i/>
          <w:sz w:val="23"/>
          <w:szCs w:val="23"/>
          <w:rtl/>
        </w:rPr>
        <w:t>(۱۰. ۱۹)</w:t>
      </w:r>
      <w:r w:rsidRPr="006B3D33">
        <w:rPr>
          <w:rFonts w:eastAsiaTheme="minorEastAsia" w:hint="cs"/>
          <w:i/>
          <w:sz w:val="23"/>
          <w:szCs w:val="23"/>
        </w:rPr>
        <w:t xml:space="preserve"> </w:t>
      </w:r>
    </w:p>
    <w:p w14:paraId="537763A1"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که در آن</w:t>
      </w:r>
      <w:r w:rsidRPr="006B3D33">
        <w:rPr>
          <w:position w:val="-6"/>
        </w:rPr>
        <w:object w:dxaOrig="200" w:dyaOrig="200" w14:anchorId="18393992">
          <v:shape id="_x0000_i4514" type="#_x0000_t75" style="width:10.3pt;height:10.3pt" o:ole="">
            <v:imagedata r:id="rId7025" o:title=""/>
          </v:shape>
          <o:OLEObject Type="Embed" ProgID="Equation.DSMT4" ShapeID="_x0000_i4514" DrawAspect="Content" ObjectID="_1791378458" r:id="rId7026"/>
        </w:object>
      </w:r>
      <w:r w:rsidRPr="006B3D33">
        <w:rPr>
          <w:rFonts w:eastAsiaTheme="minorEastAsia" w:hint="cs"/>
          <w:i/>
          <w:sz w:val="23"/>
          <w:szCs w:val="23"/>
          <w:rtl/>
        </w:rPr>
        <w:t xml:space="preserve"> تعداد شاغلین</w:t>
      </w:r>
      <w:r w:rsidRPr="006B3D33">
        <w:rPr>
          <w:rFonts w:eastAsiaTheme="minorEastAsia"/>
          <w:i/>
          <w:sz w:val="23"/>
          <w:szCs w:val="23"/>
        </w:rPr>
        <w:t xml:space="preserve"> </w:t>
      </w:r>
      <w:r w:rsidRPr="006B3D33">
        <w:rPr>
          <w:rFonts w:eastAsiaTheme="minorEastAsia" w:hint="cs"/>
          <w:i/>
          <w:sz w:val="23"/>
          <w:szCs w:val="23"/>
          <w:rtl/>
        </w:rPr>
        <w:t>می</w:t>
      </w:r>
      <w:r w:rsidRPr="006B3D33">
        <w:rPr>
          <w:rFonts w:eastAsiaTheme="minorEastAsia"/>
          <w:i/>
          <w:sz w:val="23"/>
          <w:szCs w:val="23"/>
          <w:rtl/>
        </w:rPr>
        <w:softHyphen/>
      </w:r>
      <w:r w:rsidRPr="006B3D33">
        <w:rPr>
          <w:rFonts w:eastAsiaTheme="minorEastAsia" w:hint="cs"/>
          <w:i/>
          <w:sz w:val="23"/>
          <w:szCs w:val="23"/>
          <w:rtl/>
        </w:rPr>
        <w:t>باشد. با حداکثر کردن سود بنگاه نسبت به</w:t>
      </w:r>
      <w:r w:rsidRPr="006B3D33">
        <w:rPr>
          <w:position w:val="-6"/>
        </w:rPr>
        <w:object w:dxaOrig="200" w:dyaOrig="200" w14:anchorId="66624757">
          <v:shape id="_x0000_i4515" type="#_x0000_t75" style="width:10.3pt;height:10.3pt" o:ole="">
            <v:imagedata r:id="rId7027" o:title=""/>
          </v:shape>
          <o:OLEObject Type="Embed" ProgID="Equation.DSMT4" ShapeID="_x0000_i4515" DrawAspect="Content" ObjectID="_1791378459" r:id="rId7028"/>
        </w:object>
      </w:r>
      <w:r w:rsidRPr="006B3D33">
        <w:rPr>
          <w:rFonts w:eastAsiaTheme="minorEastAsia" w:hint="cs"/>
          <w:i/>
          <w:sz w:val="23"/>
          <w:szCs w:val="23"/>
          <w:rtl/>
        </w:rPr>
        <w:t xml:space="preserve"> و</w:t>
      </w:r>
      <w:r w:rsidRPr="006B3D33">
        <w:rPr>
          <w:position w:val="-6"/>
        </w:rPr>
        <w:object w:dxaOrig="240" w:dyaOrig="200" w14:anchorId="6357C260">
          <v:shape id="_x0000_i4516" type="#_x0000_t75" style="width:12.1pt;height:10.3pt" o:ole="">
            <v:imagedata r:id="rId7029" o:title=""/>
          </v:shape>
          <o:OLEObject Type="Embed" ProgID="Equation.DSMT4" ShapeID="_x0000_i4516" DrawAspect="Content" ObjectID="_1791378460" r:id="rId7030"/>
        </w:object>
      </w:r>
      <w:r w:rsidRPr="006B3D33">
        <w:rPr>
          <w:rFonts w:eastAsiaTheme="minorEastAsia" w:hint="cs"/>
          <w:i/>
          <w:sz w:val="23"/>
          <w:szCs w:val="23"/>
          <w:rtl/>
        </w:rPr>
        <w:t xml:space="preserve"> و با فرض این</w:t>
      </w:r>
      <w:r w:rsidRPr="006B3D33">
        <w:rPr>
          <w:rFonts w:eastAsiaTheme="minorEastAsia"/>
          <w:i/>
          <w:sz w:val="23"/>
          <w:szCs w:val="23"/>
          <w:rtl/>
        </w:rPr>
        <w:softHyphen/>
      </w:r>
      <w:r w:rsidRPr="006B3D33">
        <w:rPr>
          <w:rFonts w:eastAsiaTheme="minorEastAsia" w:hint="cs"/>
          <w:i/>
          <w:sz w:val="23"/>
          <w:szCs w:val="23"/>
          <w:rtl/>
        </w:rPr>
        <w:t>که دستمزد عمومی</w:t>
      </w:r>
      <w:r w:rsidRPr="006B3D33">
        <w:rPr>
          <w:position w:val="-6"/>
        </w:rPr>
        <w:object w:dxaOrig="279" w:dyaOrig="260" w14:anchorId="38C8BAB0">
          <v:shape id="_x0000_i4517" type="#_x0000_t75" style="width:13.9pt;height:12.7pt" o:ole="">
            <v:imagedata r:id="rId7031" o:title=""/>
          </v:shape>
          <o:OLEObject Type="Embed" ProgID="Equation.DSMT4" ShapeID="_x0000_i4517" DrawAspect="Content" ObjectID="_1791378461" r:id="rId7032"/>
        </w:object>
      </w:r>
      <w:r w:rsidRPr="006B3D33">
        <w:rPr>
          <w:i/>
          <w:sz w:val="23"/>
          <w:szCs w:val="23"/>
        </w:rPr>
        <w:t xml:space="preserve"> </w:t>
      </w:r>
      <w:r w:rsidRPr="006B3D33">
        <w:rPr>
          <w:rFonts w:eastAsiaTheme="minorEastAsia" w:hint="cs"/>
          <w:i/>
          <w:sz w:val="23"/>
          <w:szCs w:val="23"/>
          <w:rtl/>
        </w:rPr>
        <w:t>داده شده است، شرایط مرتبه اول عبارت خواهد بود از</w:t>
      </w:r>
    </w:p>
    <w:p w14:paraId="2636058F"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6B3D33">
        <w:rPr>
          <w:position w:val="-30"/>
        </w:rPr>
        <w:object w:dxaOrig="3760" w:dyaOrig="639" w14:anchorId="07AEB54D">
          <v:shape id="_x0000_i4518" type="#_x0000_t75" style="width:188.15pt;height:32.05pt" o:ole="">
            <v:imagedata r:id="rId7033" o:title=""/>
          </v:shape>
          <o:OLEObject Type="Embed" ProgID="Equation.DSMT4" ShapeID="_x0000_i4518" DrawAspect="Content" ObjectID="_1791378462" r:id="rId7034"/>
        </w:object>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Pr>
          <w:rFonts w:ascii="Times New Roman" w:hAnsi="Times New Roman" w:cs="B Nazanin"/>
          <w:i/>
          <w:sz w:val="23"/>
          <w:szCs w:val="23"/>
          <w:rtl/>
        </w:rPr>
        <w:tab/>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۲۰)</w:t>
      </w:r>
    </w:p>
    <w:p w14:paraId="01801246" w14:textId="77777777" w:rsidR="00411620" w:rsidRPr="006B3D33"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tl/>
        </w:rPr>
      </w:pPr>
      <w:r w:rsidRPr="006B3D33">
        <w:rPr>
          <w:position w:val="-22"/>
        </w:rPr>
        <w:object w:dxaOrig="3879" w:dyaOrig="560" w14:anchorId="546E09C3">
          <v:shape id="_x0000_i4519" type="#_x0000_t75" style="width:194.2pt;height:28.45pt" o:ole="">
            <v:imagedata r:id="rId7035" o:title=""/>
          </v:shape>
          <o:OLEObject Type="Embed" ProgID="Equation.DSMT4" ShapeID="_x0000_i4519" DrawAspect="Content" ObjectID="_1791378463" r:id="rId7036"/>
        </w:object>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Pr>
          <w:rFonts w:ascii="Times New Roman" w:hAnsi="Times New Roman" w:cs="B Nazanin"/>
          <w:i/>
          <w:sz w:val="23"/>
          <w:szCs w:val="23"/>
          <w:rtl/>
        </w:rPr>
        <w:tab/>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۲۱)</w:t>
      </w:r>
    </w:p>
    <w:p w14:paraId="2949BA4F"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بنابراین دستمزد کارای حقیقی تعادلی برابر خواهد بود با</w:t>
      </w:r>
    </w:p>
    <w:p w14:paraId="0C7D28FE"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tl/>
        </w:rPr>
      </w:pPr>
      <w:r w:rsidRPr="006B3D33">
        <w:rPr>
          <w:position w:val="-12"/>
        </w:rPr>
        <w:object w:dxaOrig="1500" w:dyaOrig="360" w14:anchorId="1C795FEC">
          <v:shape id="_x0000_i4520" type="#_x0000_t75" style="width:75.65pt;height:18.15pt" o:ole="">
            <v:imagedata r:id="rId7037" o:title=""/>
          </v:shape>
          <o:OLEObject Type="Embed" ProgID="Equation.DSMT4" ShapeID="_x0000_i4520" DrawAspect="Content" ObjectID="_1791378464" r:id="rId7038"/>
        </w:object>
      </w:r>
    </w:p>
    <w:p w14:paraId="389A5168"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در نتیجه، دستمزد حقیقی به</w:t>
      </w:r>
      <w:r w:rsidRPr="006B3D33">
        <w:rPr>
          <w:rFonts w:eastAsiaTheme="minorEastAsia"/>
          <w:i/>
          <w:sz w:val="23"/>
          <w:szCs w:val="23"/>
          <w:rtl/>
        </w:rPr>
        <w:softHyphen/>
      </w:r>
      <w:r w:rsidRPr="006B3D33">
        <w:rPr>
          <w:rFonts w:eastAsiaTheme="minorEastAsia" w:hint="cs"/>
          <w:i/>
          <w:sz w:val="23"/>
          <w:szCs w:val="23"/>
          <w:rtl/>
        </w:rPr>
        <w:t>گونه</w:t>
      </w:r>
      <w:r w:rsidRPr="006B3D33">
        <w:rPr>
          <w:rFonts w:eastAsiaTheme="minorEastAsia"/>
          <w:i/>
          <w:sz w:val="23"/>
          <w:szCs w:val="23"/>
          <w:rtl/>
        </w:rPr>
        <w:softHyphen/>
      </w:r>
      <w:r w:rsidRPr="006B3D33">
        <w:rPr>
          <w:rFonts w:eastAsiaTheme="minorEastAsia" w:hint="cs"/>
          <w:i/>
          <w:sz w:val="23"/>
          <w:szCs w:val="23"/>
          <w:rtl/>
        </w:rPr>
        <w:t>ای است که کشش بهره</w:t>
      </w:r>
      <w:r w:rsidRPr="006B3D33">
        <w:rPr>
          <w:rFonts w:eastAsiaTheme="minorEastAsia"/>
          <w:i/>
          <w:sz w:val="23"/>
          <w:szCs w:val="23"/>
          <w:rtl/>
        </w:rPr>
        <w:softHyphen/>
      </w:r>
      <w:r w:rsidRPr="006B3D33">
        <w:rPr>
          <w:rFonts w:eastAsiaTheme="minorEastAsia" w:hint="cs"/>
          <w:i/>
          <w:sz w:val="23"/>
          <w:szCs w:val="23"/>
          <w:rtl/>
        </w:rPr>
        <w:t xml:space="preserve">وری نیروی کار نسبت به دستمزد کار، یا </w:t>
      </w:r>
      <w:r w:rsidRPr="006B3D33">
        <w:rPr>
          <w:position w:val="-12"/>
        </w:rPr>
        <w:object w:dxaOrig="520" w:dyaOrig="360" w14:anchorId="7761B1A7">
          <v:shape id="_x0000_i4521" type="#_x0000_t75" style="width:26pt;height:18.15pt" o:ole="">
            <v:imagedata r:id="rId7039" o:title=""/>
          </v:shape>
          <o:OLEObject Type="Embed" ProgID="Equation.DSMT4" ShapeID="_x0000_i4521" DrawAspect="Content" ObjectID="_1791378465" r:id="rId7040"/>
        </w:object>
      </w:r>
      <w:r w:rsidRPr="006B3D33">
        <w:rPr>
          <w:rFonts w:eastAsiaTheme="minorEastAsia" w:hint="cs"/>
          <w:i/>
          <w:sz w:val="23"/>
          <w:szCs w:val="23"/>
          <w:rtl/>
        </w:rPr>
        <w:t xml:space="preserve"> برابر باشد با</w:t>
      </w:r>
    </w:p>
    <w:p w14:paraId="1331DCA9" w14:textId="77777777" w:rsidR="00411620" w:rsidRPr="006B3D33" w:rsidRDefault="00411620" w:rsidP="00411620">
      <w:pPr>
        <w:pStyle w:val="MTDisplayEquation"/>
        <w:tabs>
          <w:tab w:val="clear" w:pos="6660"/>
        </w:tabs>
        <w:spacing w:line="216" w:lineRule="auto"/>
        <w:jc w:val="left"/>
        <w:rPr>
          <w:rFonts w:ascii="Times New Roman" w:eastAsiaTheme="minorEastAsia" w:hAnsi="Times New Roman" w:cs="B Nazanin"/>
          <w:i/>
          <w:sz w:val="23"/>
          <w:szCs w:val="23"/>
        </w:rPr>
      </w:pPr>
      <w:r w:rsidRPr="006B3D33">
        <w:rPr>
          <w:position w:val="-30"/>
        </w:rPr>
        <w:object w:dxaOrig="3240" w:dyaOrig="720" w14:anchorId="79E95A76">
          <v:shape id="_x0000_i4522" type="#_x0000_t75" style="width:162.15pt;height:36.3pt" o:ole="">
            <v:imagedata r:id="rId7041" o:title=""/>
          </v:shape>
          <o:OLEObject Type="Embed" ProgID="Equation.DSMT4" ShapeID="_x0000_i4522" DrawAspect="Content" ObjectID="_1791378466" r:id="rId7042"/>
        </w:object>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Pr>
          <w:rFonts w:ascii="Times New Roman" w:hAnsi="Times New Roman" w:cs="B Nazanin"/>
          <w:i/>
          <w:sz w:val="23"/>
          <w:szCs w:val="23"/>
          <w:rtl/>
        </w:rPr>
        <w:tab/>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۲۲)</w:t>
      </w:r>
    </w:p>
    <w:p w14:paraId="7AEB0154"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از رابطه</w:t>
      </w:r>
      <w:r w:rsidRPr="006B3D33">
        <w:rPr>
          <w:rFonts w:eastAsiaTheme="minorEastAsia"/>
          <w:i/>
          <w:sz w:val="23"/>
          <w:szCs w:val="23"/>
          <w:rtl/>
        </w:rPr>
        <w:softHyphen/>
      </w:r>
      <w:r w:rsidRPr="006B3D33">
        <w:rPr>
          <w:rFonts w:eastAsiaTheme="minorEastAsia" w:hint="cs"/>
          <w:i/>
          <w:sz w:val="23"/>
          <w:szCs w:val="23"/>
          <w:rtl/>
        </w:rPr>
        <w:t xml:space="preserve">ی (۱۰. ۲۰) تقاضا برای نیروی کار برابر است با </w:t>
      </w:r>
    </w:p>
    <w:p w14:paraId="249EEDBA" w14:textId="77777777" w:rsidR="00411620" w:rsidRPr="006B3D33" w:rsidRDefault="00411620" w:rsidP="00411620">
      <w:pPr>
        <w:bidi w:val="0"/>
        <w:spacing w:line="216" w:lineRule="auto"/>
        <w:rPr>
          <w:i/>
          <w:sz w:val="23"/>
          <w:szCs w:val="23"/>
          <w:rtl/>
        </w:rPr>
      </w:pPr>
      <w:r w:rsidRPr="006B3D33">
        <w:rPr>
          <w:rFonts w:eastAsiaTheme="minorEastAsia"/>
          <w:i/>
          <w:sz w:val="23"/>
          <w:szCs w:val="23"/>
        </w:rPr>
        <w:t xml:space="preserve"> </w:t>
      </w:r>
      <w:r w:rsidRPr="006B3D33">
        <w:rPr>
          <w:position w:val="-30"/>
        </w:rPr>
        <w:object w:dxaOrig="1900" w:dyaOrig="639" w14:anchorId="08405862">
          <v:shape id="_x0000_i4523" type="#_x0000_t75" style="width:95pt;height:32.05pt" o:ole="">
            <v:imagedata r:id="rId7043" o:title=""/>
          </v:shape>
          <o:OLEObject Type="Embed" ProgID="Equation.DSMT4" ShapeID="_x0000_i4523" DrawAspect="Content" ObjectID="_1791378467" r:id="rId7044"/>
        </w:object>
      </w:r>
      <w:r w:rsidRPr="006B3D33">
        <w:rPr>
          <w:i/>
          <w:sz w:val="23"/>
          <w:szCs w:val="23"/>
          <w:rtl/>
        </w:rPr>
        <w:tab/>
      </w:r>
      <w:r w:rsidRPr="006B3D33">
        <w:rPr>
          <w:i/>
          <w:sz w:val="23"/>
          <w:szCs w:val="23"/>
          <w:rtl/>
        </w:rPr>
        <w:tab/>
      </w:r>
      <w:r w:rsidRPr="006B3D33">
        <w:rPr>
          <w:i/>
          <w:sz w:val="23"/>
          <w:szCs w:val="23"/>
        </w:rPr>
        <w:tab/>
      </w:r>
      <w:r w:rsidRPr="006B3D33">
        <w:rPr>
          <w:i/>
          <w:sz w:val="23"/>
          <w:szCs w:val="23"/>
        </w:rPr>
        <w:tab/>
      </w:r>
      <w:r w:rsidRPr="006B3D33">
        <w:rPr>
          <w:i/>
          <w:sz w:val="23"/>
          <w:szCs w:val="23"/>
          <w:rtl/>
        </w:rPr>
        <w:tab/>
      </w:r>
      <w:r w:rsidRPr="006B3D33">
        <w:rPr>
          <w:i/>
          <w:sz w:val="23"/>
          <w:szCs w:val="23"/>
          <w:rtl/>
        </w:rPr>
        <w:tab/>
      </w:r>
      <w:r w:rsidRPr="006B3D33">
        <w:rPr>
          <w:rFonts w:hint="cs"/>
          <w:i/>
          <w:sz w:val="23"/>
          <w:szCs w:val="23"/>
          <w:rtl/>
        </w:rPr>
        <w:t xml:space="preserve"> </w:t>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Pr>
          <w:i/>
          <w:sz w:val="23"/>
          <w:szCs w:val="23"/>
          <w:rtl/>
        </w:rPr>
        <w:tab/>
      </w:r>
      <w:r>
        <w:rPr>
          <w:i/>
          <w:sz w:val="23"/>
          <w:szCs w:val="23"/>
          <w:rtl/>
        </w:rPr>
        <w:tab/>
      </w:r>
      <w:r w:rsidRPr="006B3D33">
        <w:rPr>
          <w:i/>
          <w:sz w:val="23"/>
          <w:szCs w:val="23"/>
          <w:rtl/>
        </w:rPr>
        <w:tab/>
      </w:r>
      <w:r w:rsidRPr="006B3D33">
        <w:rPr>
          <w:i/>
          <w:sz w:val="23"/>
          <w:szCs w:val="23"/>
          <w:rtl/>
        </w:rPr>
        <w:tab/>
      </w:r>
      <w:r w:rsidRPr="006B3D33">
        <w:rPr>
          <w:rFonts w:hint="cs"/>
          <w:i/>
          <w:sz w:val="23"/>
          <w:szCs w:val="23"/>
          <w:rtl/>
        </w:rPr>
        <w:t>(۱۰. ۲۳)</w:t>
      </w:r>
      <w:r w:rsidRPr="006B3D33">
        <w:rPr>
          <w:rFonts w:hint="cs"/>
          <w:i/>
          <w:sz w:val="23"/>
          <w:szCs w:val="23"/>
        </w:rPr>
        <w:t xml:space="preserve"> </w:t>
      </w:r>
    </w:p>
    <w:p w14:paraId="0012B5F1"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و مبین آن است که نیروی کار تا جایی به کار گرفته می</w:t>
      </w:r>
      <w:r w:rsidRPr="006B3D33">
        <w:rPr>
          <w:rFonts w:eastAsiaTheme="minorEastAsia"/>
          <w:i/>
          <w:sz w:val="23"/>
          <w:szCs w:val="23"/>
          <w:rtl/>
        </w:rPr>
        <w:softHyphen/>
      </w:r>
      <w:r w:rsidRPr="006B3D33">
        <w:rPr>
          <w:rFonts w:eastAsiaTheme="minorEastAsia" w:hint="cs"/>
          <w:i/>
          <w:sz w:val="23"/>
          <w:szCs w:val="23"/>
          <w:rtl/>
        </w:rPr>
        <w:t>شود که تولید نهایی آن برابر با</w:t>
      </w:r>
      <w:r w:rsidRPr="006B3D33">
        <w:rPr>
          <w:position w:val="-30"/>
        </w:rPr>
        <w:object w:dxaOrig="580" w:dyaOrig="639" w14:anchorId="278B504A">
          <v:shape id="_x0000_i4524" type="#_x0000_t75" style="width:29.05pt;height:32.05pt" o:ole="">
            <v:imagedata r:id="rId7045" o:title=""/>
          </v:shape>
          <o:OLEObject Type="Embed" ProgID="Equation.DSMT4" ShapeID="_x0000_i4524" DrawAspect="Content" ObjectID="_1791378468" r:id="rId7046"/>
        </w:object>
      </w:r>
      <w:r w:rsidRPr="006B3D33">
        <w:rPr>
          <w:rFonts w:hint="cs"/>
          <w:i/>
          <w:sz w:val="23"/>
          <w:szCs w:val="23"/>
          <w:rtl/>
        </w:rPr>
        <w:t xml:space="preserve"> باشد.</w:t>
      </w:r>
      <w:r w:rsidRPr="006B3D33">
        <w:rPr>
          <w:i/>
          <w:sz w:val="23"/>
          <w:szCs w:val="23"/>
        </w:rPr>
        <w:t xml:space="preserve">  </w:t>
      </w:r>
      <w:r w:rsidRPr="006B3D33">
        <w:rPr>
          <w:rFonts w:eastAsiaTheme="minorEastAsia" w:hint="cs"/>
          <w:i/>
          <w:sz w:val="23"/>
          <w:szCs w:val="23"/>
          <w:rtl/>
        </w:rPr>
        <w:t xml:space="preserve">بنابراین از معادلات </w:t>
      </w:r>
      <w:r w:rsidRPr="006B3D33">
        <w:rPr>
          <w:rFonts w:hint="cs"/>
          <w:i/>
          <w:sz w:val="23"/>
          <w:szCs w:val="23"/>
          <w:rtl/>
        </w:rPr>
        <w:t>(۱۰. ۲۲)</w:t>
      </w:r>
      <w:r w:rsidRPr="006B3D33">
        <w:rPr>
          <w:rFonts w:eastAsiaTheme="minorEastAsia" w:hint="cs"/>
          <w:i/>
          <w:sz w:val="23"/>
          <w:szCs w:val="23"/>
          <w:rtl/>
        </w:rPr>
        <w:t xml:space="preserve"> و </w:t>
      </w:r>
      <w:r w:rsidRPr="006B3D33">
        <w:rPr>
          <w:rFonts w:hint="cs"/>
          <w:i/>
          <w:sz w:val="23"/>
          <w:szCs w:val="23"/>
          <w:rtl/>
        </w:rPr>
        <w:t>(۱۰. ۲۳)</w:t>
      </w:r>
      <w:r w:rsidRPr="006B3D33">
        <w:rPr>
          <w:rFonts w:eastAsiaTheme="minorEastAsia" w:hint="cs"/>
          <w:i/>
          <w:sz w:val="23"/>
          <w:szCs w:val="23"/>
          <w:rtl/>
        </w:rPr>
        <w:t xml:space="preserve"> داریم</w:t>
      </w:r>
    </w:p>
    <w:p w14:paraId="68DA88F5"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6B3D33">
        <w:rPr>
          <w:position w:val="-30"/>
        </w:rPr>
        <w:object w:dxaOrig="3980" w:dyaOrig="700" w14:anchorId="2693F290">
          <v:shape id="_x0000_i4525" type="#_x0000_t75" style="width:199.05pt;height:35.1pt" o:ole="">
            <v:imagedata r:id="rId7047" o:title=""/>
          </v:shape>
          <o:OLEObject Type="Embed" ProgID="Equation.DSMT4" ShapeID="_x0000_i4525" DrawAspect="Content" ObjectID="_1791378469" r:id="rId7048"/>
        </w:object>
      </w:r>
      <w:r>
        <w:rPr>
          <w:rtl/>
        </w:rPr>
        <w:tab/>
      </w:r>
      <w:r>
        <w:rPr>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۲۴)</w:t>
      </w:r>
    </w:p>
    <w:p w14:paraId="22C517DE"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لذا با افزایش دستمزد کارا، تقاضا برای نیروی کار کاهش می‌یابد.</w:t>
      </w:r>
    </w:p>
    <w:p w14:paraId="7E31603C"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برای بنگاه‌هایی که بیش از دستمزد عمومی پرداخت می‌کنند، سود می‌بایست بیشتر از زمانی باشد که فقط دستمزد عمومی را پرداخت می‌کردند. برای آن که بتوان سود بنگاه با دستمزد کارا را با سود بنگاهی که متوسط دستمزد را پرداخت می</w:t>
      </w:r>
      <w:r w:rsidRPr="006B3D33">
        <w:rPr>
          <w:rFonts w:eastAsiaTheme="minorEastAsia"/>
          <w:i/>
          <w:sz w:val="23"/>
          <w:szCs w:val="23"/>
          <w:rtl/>
        </w:rPr>
        <w:softHyphen/>
      </w:r>
      <w:r w:rsidRPr="006B3D33">
        <w:rPr>
          <w:rFonts w:eastAsiaTheme="minorEastAsia" w:hint="cs"/>
          <w:i/>
          <w:sz w:val="23"/>
          <w:szCs w:val="23"/>
          <w:rtl/>
        </w:rPr>
        <w:t>کند (وقتی که تقاضا برای کار برابر است با</w:t>
      </w:r>
      <w:r w:rsidRPr="00025957">
        <w:rPr>
          <w:position w:val="-4"/>
        </w:rPr>
        <w:object w:dxaOrig="279" w:dyaOrig="240" w14:anchorId="14CD4353">
          <v:shape id="_x0000_i4526" type="#_x0000_t75" style="width:13.9pt;height:12.1pt" o:ole="">
            <v:imagedata r:id="rId7049" o:title=""/>
          </v:shape>
          <o:OLEObject Type="Embed" ProgID="Equation.DSMT4" ShapeID="_x0000_i4526" DrawAspect="Content" ObjectID="_1791378470" r:id="rId7050"/>
        </w:object>
      </w:r>
      <w:r w:rsidRPr="006B3D33">
        <w:rPr>
          <w:rFonts w:eastAsiaTheme="minorEastAsia" w:hint="cs"/>
          <w:i/>
          <w:sz w:val="23"/>
          <w:szCs w:val="23"/>
          <w:rtl/>
        </w:rPr>
        <w:t xml:space="preserve"> و </w:t>
      </w:r>
      <w:r w:rsidRPr="006B3D33">
        <w:rPr>
          <w:position w:val="-8"/>
        </w:rPr>
        <w:object w:dxaOrig="1080" w:dyaOrig="279" w14:anchorId="219C85CB">
          <v:shape id="_x0000_i4527" type="#_x0000_t75" style="width:53.85pt;height:13.9pt" o:ole="">
            <v:imagedata r:id="rId7051" o:title=""/>
          </v:shape>
          <o:OLEObject Type="Embed" ProgID="Equation.DSMT4" ShapeID="_x0000_i4527" DrawAspect="Content" ObjectID="_1791378471" r:id="rId7052"/>
        </w:object>
      </w:r>
      <w:r w:rsidRPr="006B3D33">
        <w:rPr>
          <w:rFonts w:eastAsiaTheme="minorEastAsia" w:hint="cs"/>
          <w:i/>
          <w:sz w:val="23"/>
          <w:szCs w:val="23"/>
          <w:rtl/>
        </w:rPr>
        <w:t xml:space="preserve"> است) مقایسه کرد، تفاوت در سودها را در اطراف </w:t>
      </w:r>
      <w:r w:rsidRPr="006B3D33">
        <w:rPr>
          <w:rFonts w:eastAsiaTheme="minorEastAsia"/>
          <w:i/>
          <w:sz w:val="23"/>
          <w:szCs w:val="23"/>
        </w:rPr>
        <w:t>n=N</w:t>
      </w:r>
      <w:r w:rsidRPr="006B3D33">
        <w:rPr>
          <w:rFonts w:eastAsiaTheme="minorEastAsia" w:hint="cs"/>
          <w:i/>
          <w:sz w:val="23"/>
          <w:szCs w:val="23"/>
          <w:rtl/>
        </w:rPr>
        <w:t xml:space="preserve"> و </w:t>
      </w:r>
      <w:r w:rsidRPr="006B3D33">
        <w:rPr>
          <w:rFonts w:eastAsiaTheme="minorEastAsia"/>
          <w:i/>
          <w:sz w:val="23"/>
          <w:szCs w:val="23"/>
        </w:rPr>
        <w:t>w=W</w:t>
      </w:r>
      <w:r w:rsidRPr="006B3D33">
        <w:rPr>
          <w:rFonts w:eastAsiaTheme="minorEastAsia" w:hint="cs"/>
          <w:i/>
          <w:sz w:val="23"/>
          <w:szCs w:val="23"/>
          <w:rtl/>
        </w:rPr>
        <w:t xml:space="preserve"> بسط می</w:t>
      </w:r>
      <w:r w:rsidRPr="006B3D33">
        <w:rPr>
          <w:rFonts w:eastAsiaTheme="minorEastAsia"/>
          <w:i/>
          <w:sz w:val="23"/>
          <w:szCs w:val="23"/>
          <w:rtl/>
        </w:rPr>
        <w:softHyphen/>
      </w:r>
      <w:r w:rsidRPr="006B3D33">
        <w:rPr>
          <w:rFonts w:eastAsiaTheme="minorEastAsia" w:hint="cs"/>
          <w:i/>
          <w:sz w:val="23"/>
          <w:szCs w:val="23"/>
          <w:rtl/>
        </w:rPr>
        <w:t xml:space="preserve">دهیم. تفاوت در سود برابر است با </w:t>
      </w:r>
    </w:p>
    <w:p w14:paraId="4745CDAA"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r w:rsidRPr="006B3D33">
        <w:rPr>
          <w:position w:val="-16"/>
        </w:rPr>
        <w:object w:dxaOrig="4660" w:dyaOrig="420" w14:anchorId="0CC590E5">
          <v:shape id="_x0000_i4528" type="#_x0000_t75" style="width:232.95pt;height:20.55pt" o:ole="">
            <v:imagedata r:id="rId7053" o:title=""/>
          </v:shape>
          <o:OLEObject Type="Embed" ProgID="Equation.DSMT4" ShapeID="_x0000_i4528" DrawAspect="Content" ObjectID="_1791378472" r:id="rId7054"/>
        </w:object>
      </w:r>
    </w:p>
    <w:p w14:paraId="5BEFD3F0"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r w:rsidRPr="006B3D33">
        <w:rPr>
          <w:position w:val="-14"/>
        </w:rPr>
        <w:object w:dxaOrig="5880" w:dyaOrig="380" w14:anchorId="125453FF">
          <v:shape id="_x0000_i4529" type="#_x0000_t75" style="width:294.05pt;height:19.35pt" o:ole="">
            <v:imagedata r:id="rId7055" o:title=""/>
          </v:shape>
          <o:OLEObject Type="Embed" ProgID="Equation.DSMT4" ShapeID="_x0000_i4529" DrawAspect="Content" ObjectID="_1791378473" r:id="rId7056"/>
        </w:object>
      </w:r>
    </w:p>
    <w:p w14:paraId="1AA28E95" w14:textId="77777777" w:rsidR="00411620" w:rsidRPr="006B3D33" w:rsidRDefault="00411620" w:rsidP="00411620">
      <w:pPr>
        <w:bidi w:val="0"/>
        <w:spacing w:line="216" w:lineRule="auto"/>
        <w:rPr>
          <w:rFonts w:eastAsiaTheme="minorEastAsia"/>
          <w:i/>
          <w:sz w:val="23"/>
          <w:szCs w:val="23"/>
          <w:rtl/>
        </w:rPr>
      </w:pPr>
      <w:r w:rsidRPr="006B3D33">
        <w:rPr>
          <w:rFonts w:hint="cs"/>
          <w:i/>
          <w:sz w:val="23"/>
          <w:szCs w:val="23"/>
        </w:rPr>
        <w:lastRenderedPageBreak/>
        <w:t xml:space="preserve"> </w:t>
      </w:r>
      <w:r w:rsidRPr="006B3D33">
        <w:rPr>
          <w:position w:val="-14"/>
        </w:rPr>
        <w:object w:dxaOrig="3660" w:dyaOrig="380" w14:anchorId="482716F5">
          <v:shape id="_x0000_i4530" type="#_x0000_t75" style="width:182.7pt;height:19.35pt" o:ole="">
            <v:imagedata r:id="rId7057" o:title=""/>
          </v:shape>
          <o:OLEObject Type="Embed" ProgID="Equation.DSMT4" ShapeID="_x0000_i4530" DrawAspect="Content" ObjectID="_1791378474" r:id="rId7058"/>
        </w:object>
      </w:r>
    </w:p>
    <w:p w14:paraId="6944AF49"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بنابراین اگر </w:t>
      </w:r>
      <w:r w:rsidRPr="006B3D33">
        <w:rPr>
          <w:position w:val="-12"/>
        </w:rPr>
        <w:object w:dxaOrig="940" w:dyaOrig="360" w14:anchorId="1EA88D1F">
          <v:shape id="_x0000_i4531" type="#_x0000_t75" style="width:46.6pt;height:18.15pt" o:ole="">
            <v:imagedata r:id="rId7059" o:title=""/>
          </v:shape>
          <o:OLEObject Type="Embed" ProgID="Equation.DSMT4" ShapeID="_x0000_i4531" DrawAspect="Content" ObjectID="_1791378475" r:id="rId7060"/>
        </w:object>
      </w:r>
      <w:r w:rsidRPr="006B3D33">
        <w:rPr>
          <w:rFonts w:eastAsiaTheme="minorEastAsia" w:hint="cs"/>
          <w:i/>
          <w:sz w:val="23"/>
          <w:szCs w:val="23"/>
          <w:rtl/>
        </w:rPr>
        <w:t xml:space="preserve"> و یا </w:t>
      </w:r>
      <w:r w:rsidRPr="006B3D33">
        <w:rPr>
          <w:position w:val="-6"/>
        </w:rPr>
        <w:object w:dxaOrig="980" w:dyaOrig="260" w14:anchorId="433AA91D">
          <v:shape id="_x0000_i4532" type="#_x0000_t75" style="width:49pt;height:12.7pt" o:ole="">
            <v:imagedata r:id="rId7061" o:title=""/>
          </v:shape>
          <o:OLEObject Type="Embed" ProgID="Equation.DSMT4" ShapeID="_x0000_i4532" DrawAspect="Content" ObjectID="_1791378476" r:id="rId7062"/>
        </w:object>
      </w:r>
      <w:r w:rsidRPr="006B3D33">
        <w:rPr>
          <w:rFonts w:eastAsiaTheme="minorEastAsia" w:hint="cs"/>
          <w:i/>
          <w:sz w:val="23"/>
          <w:szCs w:val="23"/>
          <w:rtl/>
        </w:rPr>
        <w:t xml:space="preserve"> باشد، آنگاه تفاوت در سودها مثبت خواهد بود.</w:t>
      </w:r>
    </w:p>
    <w:p w14:paraId="0B057677"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در بخش عرضه‌ی نیروی کار فرض می‌شود مطلوبیت نیروی کار با افزایش تلاش آن‌ها جهت افزایش بهره</w:t>
      </w:r>
      <w:r w:rsidRPr="006B3D33">
        <w:rPr>
          <w:rFonts w:eastAsiaTheme="minorEastAsia"/>
          <w:i/>
          <w:sz w:val="23"/>
          <w:szCs w:val="23"/>
          <w:rtl/>
        </w:rPr>
        <w:softHyphen/>
      </w:r>
      <w:r w:rsidRPr="006B3D33">
        <w:rPr>
          <w:rFonts w:eastAsiaTheme="minorEastAsia" w:hint="cs"/>
          <w:i/>
          <w:sz w:val="23"/>
          <w:szCs w:val="23"/>
          <w:rtl/>
        </w:rPr>
        <w:t xml:space="preserve">وری کاهش می‌یابد. شاپیرو و استیگلیتز در سال ۱۹۸۴ تابع مطلوبیت غیرمستقیم ریسک-خنثی که بر مبنای نرخ دستمزد و سطح تلاش است یعنی </w:t>
      </w:r>
      <w:r w:rsidRPr="006B3D33">
        <w:rPr>
          <w:position w:val="-14"/>
        </w:rPr>
        <w:object w:dxaOrig="1780" w:dyaOrig="380" w14:anchorId="3C76A8FC">
          <v:shape id="_x0000_i4533" type="#_x0000_t75" style="width:88.95pt;height:19.35pt" o:ole="">
            <v:imagedata r:id="rId7063" o:title=""/>
          </v:shape>
          <o:OLEObject Type="Embed" ProgID="Equation.DSMT4" ShapeID="_x0000_i4533" DrawAspect="Content" ObjectID="_1791378477" r:id="rId7064"/>
        </w:object>
      </w:r>
      <w:r w:rsidRPr="006B3D33">
        <w:rPr>
          <w:rFonts w:eastAsiaTheme="minorEastAsia" w:hint="cs"/>
          <w:i/>
          <w:sz w:val="23"/>
          <w:szCs w:val="23"/>
          <w:rtl/>
        </w:rPr>
        <w:t xml:space="preserve"> را مورد استفاده قرار دادند. آن‌ها فرض کردند که کارگران سطح تلاش خود را جهت حداکثر کردن مطلوبیت بین</w:t>
      </w:r>
      <w:r w:rsidRPr="006B3D33">
        <w:rPr>
          <w:rFonts w:eastAsiaTheme="minorEastAsia"/>
          <w:i/>
          <w:sz w:val="23"/>
          <w:szCs w:val="23"/>
          <w:rtl/>
        </w:rPr>
        <w:softHyphen/>
      </w:r>
      <w:r w:rsidRPr="006B3D33">
        <w:rPr>
          <w:rFonts w:eastAsiaTheme="minorEastAsia" w:hint="cs"/>
          <w:i/>
          <w:sz w:val="23"/>
          <w:szCs w:val="23"/>
          <w:rtl/>
        </w:rPr>
        <w:t>دوره</w:t>
      </w:r>
      <w:r w:rsidRPr="006B3D33">
        <w:rPr>
          <w:rFonts w:eastAsiaTheme="minorEastAsia"/>
          <w:i/>
          <w:sz w:val="23"/>
          <w:szCs w:val="23"/>
          <w:rtl/>
        </w:rPr>
        <w:softHyphen/>
      </w:r>
      <w:r w:rsidRPr="006B3D33">
        <w:rPr>
          <w:rFonts w:eastAsiaTheme="minorEastAsia" w:hint="cs"/>
          <w:i/>
          <w:sz w:val="23"/>
          <w:szCs w:val="23"/>
          <w:rtl/>
        </w:rPr>
        <w:t>ای تنزیل شده انتخاب می‌کنند. در هر دوره احتمال ثابت</w:t>
      </w:r>
      <w:r w:rsidRPr="006B3D33">
        <w:rPr>
          <w:position w:val="-6"/>
        </w:rPr>
        <w:object w:dxaOrig="200" w:dyaOrig="200" w14:anchorId="2F3D9128">
          <v:shape id="_x0000_i4534" type="#_x0000_t75" style="width:10.3pt;height:10.3pt" o:ole="">
            <v:imagedata r:id="rId7065" o:title=""/>
          </v:shape>
          <o:OLEObject Type="Embed" ProgID="Equation.DSMT4" ShapeID="_x0000_i4534" DrawAspect="Content" ObjectID="_1791378478" r:id="rId7066"/>
        </w:object>
      </w:r>
      <w:r w:rsidRPr="006B3D33">
        <w:rPr>
          <w:rFonts w:eastAsiaTheme="minorEastAsia" w:hint="cs"/>
          <w:i/>
          <w:sz w:val="23"/>
          <w:szCs w:val="23"/>
          <w:rtl/>
        </w:rPr>
        <w:t xml:space="preserve"> برای از دست دادن شغل و بیکار شدن فرد، و احتمال ثابت</w:t>
      </w:r>
      <w:r w:rsidRPr="006B3D33">
        <w:rPr>
          <w:position w:val="-10"/>
        </w:rPr>
        <w:object w:dxaOrig="220" w:dyaOrig="240" w14:anchorId="67F67B8D">
          <v:shape id="_x0000_i4535" type="#_x0000_t75" style="width:10.9pt;height:12.1pt" o:ole="">
            <v:imagedata r:id="rId7067" o:title=""/>
          </v:shape>
          <o:OLEObject Type="Embed" ProgID="Equation.DSMT4" ShapeID="_x0000_i4535" DrawAspect="Content" ObjectID="_1791378479" r:id="rId7068"/>
        </w:object>
      </w:r>
      <w:r w:rsidRPr="006B3D33">
        <w:rPr>
          <w:rFonts w:eastAsiaTheme="minorEastAsia" w:hint="cs"/>
          <w:i/>
          <w:sz w:val="23"/>
          <w:szCs w:val="23"/>
          <w:rtl/>
        </w:rPr>
        <w:t xml:space="preserve"> جهت بیرون کردن شاغل بخاطر کم کاری وجود دارد. مطلوبیت‌های تنزیل شده‌ی کارگرانی که کم</w:t>
      </w:r>
      <w:r w:rsidRPr="006B3D33">
        <w:rPr>
          <w:rFonts w:eastAsiaTheme="minorEastAsia"/>
          <w:i/>
          <w:sz w:val="23"/>
          <w:szCs w:val="23"/>
          <w:rtl/>
        </w:rPr>
        <w:softHyphen/>
      </w:r>
      <w:r w:rsidRPr="006B3D33">
        <w:rPr>
          <w:rFonts w:eastAsiaTheme="minorEastAsia" w:hint="cs"/>
          <w:i/>
          <w:sz w:val="23"/>
          <w:szCs w:val="23"/>
          <w:rtl/>
        </w:rPr>
        <w:t>کاری نمی‌کنند و شاغل</w:t>
      </w:r>
      <w:r w:rsidRPr="006B3D33">
        <w:rPr>
          <w:rFonts w:eastAsiaTheme="minorEastAsia"/>
          <w:i/>
          <w:sz w:val="23"/>
          <w:szCs w:val="23"/>
          <w:rtl/>
        </w:rPr>
        <w:softHyphen/>
      </w:r>
      <w:r w:rsidRPr="006B3D33">
        <w:rPr>
          <w:rFonts w:eastAsiaTheme="minorEastAsia" w:hint="cs"/>
          <w:i/>
          <w:sz w:val="23"/>
          <w:szCs w:val="23"/>
          <w:rtl/>
        </w:rPr>
        <w:t>اند</w:t>
      </w:r>
      <w:r w:rsidRPr="006B3D33">
        <w:rPr>
          <w:position w:val="-10"/>
        </w:rPr>
        <w:object w:dxaOrig="340" w:dyaOrig="320" w14:anchorId="75EED01F">
          <v:shape id="_x0000_i4536" type="#_x0000_t75" style="width:16.95pt;height:15.75pt" o:ole="">
            <v:imagedata r:id="rId7069" o:title=""/>
          </v:shape>
          <o:OLEObject Type="Embed" ProgID="Equation.DSMT4" ShapeID="_x0000_i4536" DrawAspect="Content" ObjectID="_1791378480" r:id="rId7070"/>
        </w:object>
      </w:r>
      <w:r w:rsidRPr="006B3D33">
        <w:rPr>
          <w:rFonts w:eastAsiaTheme="minorEastAsia" w:hint="cs"/>
          <w:i/>
          <w:sz w:val="23"/>
          <w:szCs w:val="23"/>
          <w:rtl/>
        </w:rPr>
        <w:t>، و کارگرانی که کم</w:t>
      </w:r>
      <w:r w:rsidRPr="006B3D33">
        <w:rPr>
          <w:rFonts w:eastAsiaTheme="minorEastAsia"/>
          <w:i/>
          <w:sz w:val="23"/>
          <w:szCs w:val="23"/>
          <w:rtl/>
        </w:rPr>
        <w:softHyphen/>
      </w:r>
      <w:r w:rsidRPr="006B3D33">
        <w:rPr>
          <w:rFonts w:eastAsiaTheme="minorEastAsia" w:hint="cs"/>
          <w:i/>
          <w:sz w:val="23"/>
          <w:szCs w:val="23"/>
          <w:rtl/>
        </w:rPr>
        <w:t>کاری می</w:t>
      </w:r>
      <w:r w:rsidRPr="006B3D33">
        <w:rPr>
          <w:rFonts w:eastAsiaTheme="minorEastAsia"/>
          <w:i/>
          <w:sz w:val="23"/>
          <w:szCs w:val="23"/>
          <w:rtl/>
        </w:rPr>
        <w:softHyphen/>
      </w:r>
      <w:r w:rsidRPr="006B3D33">
        <w:rPr>
          <w:rFonts w:eastAsiaTheme="minorEastAsia" w:hint="cs"/>
          <w:i/>
          <w:sz w:val="23"/>
          <w:szCs w:val="23"/>
          <w:rtl/>
        </w:rPr>
        <w:t>کنند و هنوز شاغل</w:t>
      </w:r>
      <w:r w:rsidRPr="006B3D33">
        <w:rPr>
          <w:rFonts w:eastAsiaTheme="minorEastAsia"/>
          <w:i/>
          <w:sz w:val="23"/>
          <w:szCs w:val="23"/>
          <w:rtl/>
        </w:rPr>
        <w:softHyphen/>
      </w:r>
      <w:r w:rsidRPr="006B3D33">
        <w:rPr>
          <w:rFonts w:eastAsiaTheme="minorEastAsia" w:hint="cs"/>
          <w:i/>
          <w:sz w:val="23"/>
          <w:szCs w:val="23"/>
          <w:rtl/>
        </w:rPr>
        <w:t xml:space="preserve">اند </w:t>
      </w:r>
      <w:r w:rsidRPr="006B3D33">
        <w:rPr>
          <w:position w:val="-10"/>
        </w:rPr>
        <w:object w:dxaOrig="320" w:dyaOrig="320" w14:anchorId="65B337C9">
          <v:shape id="_x0000_i4537" type="#_x0000_t75" style="width:15.75pt;height:15.75pt" o:ole="">
            <v:imagedata r:id="rId7071" o:title=""/>
          </v:shape>
          <o:OLEObject Type="Embed" ProgID="Equation.DSMT4" ShapeID="_x0000_i4537" DrawAspect="Content" ObjectID="_1791378481" r:id="rId7072"/>
        </w:object>
      </w:r>
      <w:r w:rsidRPr="006B3D33">
        <w:rPr>
          <w:rFonts w:eastAsiaTheme="minorEastAsia" w:hint="cs"/>
          <w:i/>
          <w:sz w:val="23"/>
          <w:szCs w:val="23"/>
          <w:rtl/>
        </w:rPr>
        <w:t>، و کارگرانی که بیکارند و از منافع بیکاری</w:t>
      </w:r>
      <w:r w:rsidRPr="006B3D33">
        <w:rPr>
          <w:position w:val="-10"/>
        </w:rPr>
        <w:object w:dxaOrig="300" w:dyaOrig="320" w14:anchorId="2770040B">
          <v:shape id="_x0000_i4538" type="#_x0000_t75" style="width:14.5pt;height:15.75pt" o:ole="">
            <v:imagedata r:id="rId7073" o:title=""/>
          </v:shape>
          <o:OLEObject Type="Embed" ProgID="Equation.DSMT4" ShapeID="_x0000_i4538" DrawAspect="Content" ObjectID="_1791378482" r:id="rId7074"/>
        </w:object>
      </w:r>
      <w:r w:rsidRPr="006B3D33">
        <w:rPr>
          <w:rFonts w:eastAsiaTheme="minorEastAsia" w:hint="cs"/>
          <w:i/>
          <w:sz w:val="23"/>
          <w:szCs w:val="23"/>
          <w:rtl/>
        </w:rPr>
        <w:t xml:space="preserve"> استفاده می‌کنند</w:t>
      </w:r>
      <w:r w:rsidRPr="006B3D33">
        <w:rPr>
          <w:position w:val="-10"/>
        </w:rPr>
        <w:object w:dxaOrig="340" w:dyaOrig="320" w14:anchorId="0F57F4AA">
          <v:shape id="_x0000_i4539" type="#_x0000_t75" style="width:16.95pt;height:15.75pt" o:ole="">
            <v:imagedata r:id="rId7075" o:title=""/>
          </v:shape>
          <o:OLEObject Type="Embed" ProgID="Equation.DSMT4" ShapeID="_x0000_i4539" DrawAspect="Content" ObjectID="_1791378483" r:id="rId7076"/>
        </w:object>
      </w:r>
      <w:r w:rsidRPr="006B3D33">
        <w:rPr>
          <w:rFonts w:hint="cs"/>
          <w:i/>
          <w:sz w:val="23"/>
          <w:szCs w:val="23"/>
          <w:rtl/>
        </w:rPr>
        <w:t xml:space="preserve"> </w:t>
      </w:r>
      <w:r w:rsidRPr="006B3D33">
        <w:rPr>
          <w:rFonts w:eastAsiaTheme="minorEastAsia" w:hint="cs"/>
          <w:i/>
          <w:sz w:val="23"/>
          <w:szCs w:val="23"/>
          <w:rtl/>
        </w:rPr>
        <w:t>ممکن است مقایسه شوند. اگر این مطلوبیت‌ها را با</w:t>
      </w:r>
      <w:r w:rsidRPr="006B3D33">
        <w:rPr>
          <w:position w:val="-10"/>
        </w:rPr>
        <w:object w:dxaOrig="360" w:dyaOrig="320" w14:anchorId="3C51C8FE">
          <v:shape id="_x0000_i4540" type="#_x0000_t75" style="width:18.15pt;height:15.75pt" o:ole="">
            <v:imagedata r:id="rId7077" o:title=""/>
          </v:shape>
          <o:OLEObject Type="Embed" ProgID="Equation.DSMT4" ShapeID="_x0000_i4540" DrawAspect="Content" ObjectID="_1791378484" r:id="rId7078"/>
        </w:object>
      </w:r>
      <w:r w:rsidRPr="006B3D33">
        <w:rPr>
          <w:rFonts w:eastAsiaTheme="minorEastAsia" w:hint="cs"/>
          <w:i/>
          <w:sz w:val="23"/>
          <w:szCs w:val="23"/>
          <w:rtl/>
        </w:rPr>
        <w:t>،</w:t>
      </w:r>
      <w:r w:rsidRPr="006B3D33">
        <w:rPr>
          <w:position w:val="-10"/>
        </w:rPr>
        <w:object w:dxaOrig="320" w:dyaOrig="320" w14:anchorId="28988AB2">
          <v:shape id="_x0000_i4541" type="#_x0000_t75" style="width:15.75pt;height:15.75pt" o:ole="">
            <v:imagedata r:id="rId7079" o:title=""/>
          </v:shape>
          <o:OLEObject Type="Embed" ProgID="Equation.DSMT4" ShapeID="_x0000_i4541" DrawAspect="Content" ObjectID="_1791378485" r:id="rId7080"/>
        </w:object>
      </w:r>
      <w:r w:rsidRPr="006B3D33">
        <w:rPr>
          <w:rFonts w:eastAsiaTheme="minorEastAsia" w:hint="cs"/>
          <w:i/>
          <w:sz w:val="23"/>
          <w:szCs w:val="23"/>
          <w:rtl/>
        </w:rPr>
        <w:t xml:space="preserve"> و</w:t>
      </w:r>
      <w:r w:rsidRPr="006B3D33">
        <w:rPr>
          <w:position w:val="-10"/>
        </w:rPr>
        <w:object w:dxaOrig="340" w:dyaOrig="320" w14:anchorId="7F0DA102">
          <v:shape id="_x0000_i4542" type="#_x0000_t75" style="width:16.95pt;height:15.75pt" o:ole="">
            <v:imagedata r:id="rId7081" o:title=""/>
          </v:shape>
          <o:OLEObject Type="Embed" ProgID="Equation.DSMT4" ShapeID="_x0000_i4542" DrawAspect="Content" ObjectID="_1791378486" r:id="rId7082"/>
        </w:object>
      </w:r>
      <w:r w:rsidRPr="006B3D33">
        <w:rPr>
          <w:rFonts w:eastAsiaTheme="minorEastAsia" w:hint="cs"/>
          <w:i/>
          <w:sz w:val="23"/>
          <w:szCs w:val="23"/>
          <w:rtl/>
        </w:rPr>
        <w:t xml:space="preserve"> نشان دهیم، و نرخ بهره</w:t>
      </w:r>
      <w:r w:rsidRPr="006B3D33">
        <w:rPr>
          <w:rFonts w:eastAsiaTheme="minorEastAsia"/>
          <w:i/>
          <w:sz w:val="23"/>
          <w:szCs w:val="23"/>
          <w:rtl/>
        </w:rPr>
        <w:softHyphen/>
      </w:r>
      <w:r w:rsidRPr="006B3D33">
        <w:rPr>
          <w:rFonts w:eastAsiaTheme="minorEastAsia" w:hint="cs"/>
          <w:i/>
          <w:sz w:val="23"/>
          <w:szCs w:val="23"/>
          <w:rtl/>
        </w:rPr>
        <w:t>ی حقیقی</w:t>
      </w:r>
      <w:r w:rsidRPr="00025957">
        <w:rPr>
          <w:position w:val="-4"/>
        </w:rPr>
        <w:object w:dxaOrig="180" w:dyaOrig="180" w14:anchorId="48E6BB78">
          <v:shape id="_x0000_i4543" type="#_x0000_t75" style="width:9.1pt;height:9.1pt" o:ole="">
            <v:imagedata r:id="rId7083" o:title=""/>
          </v:shape>
          <o:OLEObject Type="Embed" ProgID="Equation.DSMT4" ShapeID="_x0000_i4543" DrawAspect="Content" ObjectID="_1791378487" r:id="rId7084"/>
        </w:object>
      </w:r>
      <w:r w:rsidRPr="006B3D33">
        <w:rPr>
          <w:rFonts w:hint="cs"/>
          <w:i/>
          <w:sz w:val="23"/>
          <w:szCs w:val="23"/>
          <w:rtl/>
        </w:rPr>
        <w:t xml:space="preserve"> </w:t>
      </w:r>
      <w:r w:rsidRPr="006B3D33">
        <w:rPr>
          <w:rFonts w:eastAsiaTheme="minorEastAsia" w:hint="cs"/>
          <w:i/>
          <w:sz w:val="23"/>
          <w:szCs w:val="23"/>
          <w:rtl/>
        </w:rPr>
        <w:t xml:space="preserve">باشد، آنگاه مطلوبیت‌های تنزیل شده‌ی کارگران شاغل و بیکار برابر خواهد بود با </w:t>
      </w:r>
    </w:p>
    <w:p w14:paraId="6B9E58C4"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r w:rsidRPr="006B3D33">
        <w:rPr>
          <w:position w:val="-26"/>
        </w:rPr>
        <w:object w:dxaOrig="4420" w:dyaOrig="620" w14:anchorId="56B2BA3E">
          <v:shape id="_x0000_i4544" type="#_x0000_t75" style="width:220.85pt;height:30.85pt" o:ole="">
            <v:imagedata r:id="rId7085" o:title=""/>
          </v:shape>
          <o:OLEObject Type="Embed" ProgID="Equation.DSMT4" ShapeID="_x0000_i4544" DrawAspect="Content" ObjectID="_1791378488" r:id="rId7086"/>
        </w:object>
      </w:r>
    </w:p>
    <w:p w14:paraId="34C0577B"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r w:rsidRPr="006B3D33">
        <w:rPr>
          <w:position w:val="-26"/>
        </w:rPr>
        <w:object w:dxaOrig="1800" w:dyaOrig="620" w14:anchorId="219FB996">
          <v:shape id="_x0000_i4545" type="#_x0000_t75" style="width:90.15pt;height:30.85pt" o:ole="">
            <v:imagedata r:id="rId7087" o:title=""/>
          </v:shape>
          <o:OLEObject Type="Embed" ProgID="Equation.DSMT4" ShapeID="_x0000_i4545" DrawAspect="Content" ObjectID="_1791378489" r:id="rId7088"/>
        </w:object>
      </w:r>
    </w:p>
    <w:p w14:paraId="51E8E253"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مطلوبیت شاغلین را می‌توان بر مبنای معادله‌ی جریان زیر بازنویسی کرد</w:t>
      </w:r>
    </w:p>
    <w:p w14:paraId="6E3F5F6B" w14:textId="77777777" w:rsidR="00411620" w:rsidRPr="006B3D33"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tl/>
        </w:rPr>
      </w:pPr>
      <w:r w:rsidRPr="006B3D33">
        <w:rPr>
          <w:position w:val="-12"/>
        </w:rPr>
        <w:object w:dxaOrig="2460" w:dyaOrig="360" w14:anchorId="079F79E6">
          <v:shape id="_x0000_i4546" type="#_x0000_t75" style="width:122.8pt;height:18.15pt" o:ole="">
            <v:imagedata r:id="rId7089" o:title=""/>
          </v:shape>
          <o:OLEObject Type="Embed" ProgID="Equation.DSMT4" ShapeID="_x0000_i4546" DrawAspect="Content" ObjectID="_1791378490" r:id="rId7090"/>
        </w:object>
      </w:r>
      <w:r w:rsidRPr="006B3D33">
        <w:rPr>
          <w:rFonts w:ascii="Times New Roman" w:hAnsi="Times New Roman" w:cs="B Nazanin"/>
          <w:i/>
          <w:sz w:val="23"/>
          <w:szCs w:val="23"/>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Pr>
        <w:tab/>
      </w:r>
      <w:r w:rsidRPr="006B3D33">
        <w:rPr>
          <w:rFonts w:ascii="Times New Roman" w:hAnsi="Times New Roman" w:cs="B Nazanin" w:hint="cs"/>
          <w:i/>
          <w:sz w:val="23"/>
          <w:szCs w:val="23"/>
          <w:rtl/>
        </w:rPr>
        <w:t>(۲۵. ۱۰)</w:t>
      </w:r>
    </w:p>
    <w:p w14:paraId="103C80D6"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که در آن</w:t>
      </w:r>
      <w:r w:rsidRPr="006B3D33">
        <w:rPr>
          <w:position w:val="-10"/>
        </w:rPr>
        <w:object w:dxaOrig="460" w:dyaOrig="320" w14:anchorId="0C142E32">
          <v:shape id="_x0000_i4547" type="#_x0000_t75" style="width:23pt;height:15.75pt" o:ole="">
            <v:imagedata r:id="rId7091" o:title=""/>
          </v:shape>
          <o:OLEObject Type="Embed" ProgID="Equation.DSMT4" ShapeID="_x0000_i4547" DrawAspect="Content" ObjectID="_1791378491" r:id="rId7092"/>
        </w:object>
      </w:r>
      <w:r w:rsidRPr="006B3D33">
        <w:rPr>
          <w:rFonts w:eastAsiaTheme="minorEastAsia" w:hint="cs"/>
          <w:i/>
          <w:sz w:val="23"/>
          <w:szCs w:val="23"/>
          <w:rtl/>
        </w:rPr>
        <w:t xml:space="preserve"> برابر است با مطلوبیت دائمی، و جمله</w:t>
      </w:r>
      <w:r w:rsidRPr="006B3D33">
        <w:rPr>
          <w:rFonts w:eastAsiaTheme="minorEastAsia"/>
          <w:i/>
          <w:sz w:val="23"/>
          <w:szCs w:val="23"/>
          <w:rtl/>
        </w:rPr>
        <w:softHyphen/>
      </w:r>
      <w:r w:rsidRPr="006B3D33">
        <w:rPr>
          <w:rFonts w:eastAsiaTheme="minorEastAsia" w:hint="cs"/>
          <w:i/>
          <w:sz w:val="23"/>
          <w:szCs w:val="23"/>
          <w:rtl/>
        </w:rPr>
        <w:t>ی آخر برابر است با زیان سرمایه‌ی انتظاری بدلیل از دست دادن شغل. بنابر این</w:t>
      </w:r>
    </w:p>
    <w:p w14:paraId="7C275A0B" w14:textId="77777777" w:rsidR="00411620" w:rsidRPr="006B3D33" w:rsidRDefault="00411620" w:rsidP="00411620">
      <w:pPr>
        <w:pStyle w:val="MTDisplayEquation"/>
        <w:tabs>
          <w:tab w:val="clear" w:pos="6660"/>
        </w:tabs>
        <w:spacing w:line="216" w:lineRule="auto"/>
        <w:jc w:val="left"/>
        <w:rPr>
          <w:rFonts w:ascii="Times New Roman" w:eastAsiaTheme="minorEastAsia" w:hAnsi="Times New Roman" w:cs="B Nazanin"/>
          <w:i/>
          <w:sz w:val="23"/>
          <w:szCs w:val="23"/>
        </w:rPr>
      </w:pPr>
      <w:r w:rsidRPr="006B3D33">
        <w:rPr>
          <w:position w:val="-22"/>
        </w:rPr>
        <w:object w:dxaOrig="1700" w:dyaOrig="580" w14:anchorId="7D3CEC22">
          <v:shape id="_x0000_i4548" type="#_x0000_t75" style="width:84.7pt;height:29.05pt" o:ole="">
            <v:imagedata r:id="rId7093" o:title=""/>
          </v:shape>
          <o:OLEObject Type="Embed" ProgID="Equation.DSMT4" ShapeID="_x0000_i4548" DrawAspect="Content" ObjectID="_1791378492" r:id="rId7094"/>
        </w:object>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(۲۶. ۱۰)</w:t>
      </w:r>
    </w:p>
    <w:p w14:paraId="0CB66311"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برای کارگری که کم</w:t>
      </w:r>
      <w:r w:rsidRPr="006B3D33">
        <w:rPr>
          <w:rFonts w:eastAsiaTheme="minorEastAsia"/>
          <w:i/>
          <w:sz w:val="23"/>
          <w:szCs w:val="23"/>
          <w:rtl/>
        </w:rPr>
        <w:softHyphen/>
      </w:r>
      <w:r w:rsidRPr="006B3D33">
        <w:rPr>
          <w:rFonts w:eastAsiaTheme="minorEastAsia" w:hint="cs"/>
          <w:i/>
          <w:sz w:val="23"/>
          <w:szCs w:val="23"/>
          <w:rtl/>
        </w:rPr>
        <w:t>کاری</w:t>
      </w:r>
      <w:r w:rsidRPr="006B3D33">
        <w:rPr>
          <w:rFonts w:eastAsiaTheme="minorEastAsia"/>
          <w:i/>
          <w:sz w:val="23"/>
          <w:szCs w:val="23"/>
        </w:rPr>
        <w:t xml:space="preserve"> </w:t>
      </w:r>
      <w:r w:rsidRPr="006B3D33">
        <w:rPr>
          <w:rFonts w:eastAsiaTheme="minorEastAsia" w:hint="cs"/>
          <w:i/>
          <w:sz w:val="23"/>
          <w:szCs w:val="23"/>
          <w:rtl/>
        </w:rPr>
        <w:t>می</w:t>
      </w:r>
      <w:r w:rsidRPr="006B3D33">
        <w:rPr>
          <w:rFonts w:eastAsiaTheme="minorEastAsia"/>
          <w:i/>
          <w:sz w:val="23"/>
          <w:szCs w:val="23"/>
          <w:rtl/>
        </w:rPr>
        <w:softHyphen/>
      </w:r>
      <w:r w:rsidRPr="006B3D33">
        <w:rPr>
          <w:rFonts w:eastAsiaTheme="minorEastAsia" w:hint="cs"/>
          <w:i/>
          <w:sz w:val="23"/>
          <w:szCs w:val="23"/>
          <w:rtl/>
        </w:rPr>
        <w:t>کند معادله‌ی جریان عبارت است از</w:t>
      </w:r>
    </w:p>
    <w:p w14:paraId="4C033B72"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r w:rsidRPr="006B3D33">
        <w:rPr>
          <w:position w:val="-12"/>
        </w:rPr>
        <w:object w:dxaOrig="2600" w:dyaOrig="360" w14:anchorId="253BC87E">
          <v:shape id="_x0000_i4549" type="#_x0000_t75" style="width:130.1pt;height:18.15pt" o:ole="">
            <v:imagedata r:id="rId7095" o:title=""/>
          </v:shape>
          <o:OLEObject Type="Embed" ProgID="Equation.DSMT4" ShapeID="_x0000_i4549" DrawAspect="Content" ObjectID="_1791378493" r:id="rId7096"/>
        </w:object>
      </w:r>
    </w:p>
    <w:p w14:paraId="330C6E10"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که نشان می‌دهد</w:t>
      </w:r>
    </w:p>
    <w:p w14:paraId="7EE739FE"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6B3D33">
        <w:rPr>
          <w:position w:val="-26"/>
        </w:rPr>
        <w:object w:dxaOrig="1900" w:dyaOrig="660" w14:anchorId="0187523C">
          <v:shape id="_x0000_i4550" type="#_x0000_t75" style="width:95pt;height:32.65pt" o:ole="">
            <v:imagedata r:id="rId7097" o:title=""/>
          </v:shape>
          <o:OLEObject Type="Embed" ProgID="Equation.DSMT4" ShapeID="_x0000_i4550" DrawAspect="Content" ObjectID="_1791378494" r:id="rId7098"/>
        </w:object>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۲۷)</w:t>
      </w:r>
    </w:p>
    <w:p w14:paraId="07A8D1D8"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اگر باشد کارگران کم</w:t>
      </w:r>
      <w:r w:rsidRPr="006B3D33">
        <w:rPr>
          <w:rFonts w:eastAsiaTheme="minorEastAsia"/>
          <w:i/>
          <w:sz w:val="23"/>
          <w:szCs w:val="23"/>
          <w:rtl/>
        </w:rPr>
        <w:softHyphen/>
      </w:r>
      <w:r w:rsidRPr="006B3D33">
        <w:rPr>
          <w:rFonts w:eastAsiaTheme="minorEastAsia" w:hint="cs"/>
          <w:i/>
          <w:sz w:val="23"/>
          <w:szCs w:val="23"/>
          <w:rtl/>
        </w:rPr>
        <w:t xml:space="preserve">کاری نخواهند کرد. از معادلات </w:t>
      </w:r>
      <w:r w:rsidRPr="006B3D33">
        <w:rPr>
          <w:rFonts w:hint="cs"/>
          <w:i/>
          <w:sz w:val="23"/>
          <w:szCs w:val="23"/>
          <w:rtl/>
        </w:rPr>
        <w:t>(۱۰. ۲۶)</w:t>
      </w:r>
      <w:r w:rsidRPr="006B3D33">
        <w:rPr>
          <w:rFonts w:eastAsiaTheme="minorEastAsia" w:hint="cs"/>
          <w:i/>
          <w:sz w:val="23"/>
          <w:szCs w:val="23"/>
          <w:rtl/>
        </w:rPr>
        <w:t xml:space="preserve"> و </w:t>
      </w:r>
      <w:r w:rsidRPr="006B3D33">
        <w:rPr>
          <w:rFonts w:hint="cs"/>
          <w:i/>
          <w:sz w:val="23"/>
          <w:szCs w:val="23"/>
          <w:rtl/>
        </w:rPr>
        <w:t>(۱۰. ۲۷)</w:t>
      </w:r>
      <w:r w:rsidRPr="006B3D33">
        <w:rPr>
          <w:rFonts w:eastAsiaTheme="minorEastAsia" w:hint="cs"/>
          <w:i/>
          <w:sz w:val="23"/>
          <w:szCs w:val="23"/>
          <w:rtl/>
        </w:rPr>
        <w:t xml:space="preserve"> دستمزد کارا برابر است با</w:t>
      </w:r>
    </w:p>
    <w:p w14:paraId="7286F5A7" w14:textId="77777777" w:rsidR="00411620" w:rsidRPr="006B3D33"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Pr>
      </w:pPr>
      <w:r w:rsidRPr="006B3D33">
        <w:rPr>
          <w:position w:val="-26"/>
        </w:rPr>
        <w:object w:dxaOrig="1960" w:dyaOrig="660" w14:anchorId="3F6A6DB6">
          <v:shape id="_x0000_i4551" type="#_x0000_t75" style="width:98pt;height:32.65pt" o:ole="">
            <v:imagedata r:id="rId7099" o:title=""/>
          </v:shape>
          <o:OLEObject Type="Embed" ProgID="Equation.DSMT4" ShapeID="_x0000_i4551" DrawAspect="Content" ObjectID="_1791378495" r:id="rId7100"/>
        </w:object>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Pr>
          <w:rFonts w:ascii="Times New Roman" w:hAnsi="Times New Roma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۲۸)</w:t>
      </w:r>
    </w:p>
    <w:p w14:paraId="3E8AEB9F"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lastRenderedPageBreak/>
        <w:t xml:space="preserve">شاپیرو و استیگلیتز معادله‌ی </w:t>
      </w:r>
      <w:r w:rsidRPr="006B3D33">
        <w:rPr>
          <w:rFonts w:hint="cs"/>
          <w:i/>
          <w:sz w:val="23"/>
          <w:szCs w:val="23"/>
          <w:rtl/>
        </w:rPr>
        <w:t>(۱۰. ۲۸)</w:t>
      </w:r>
      <w:r w:rsidRPr="006B3D33">
        <w:rPr>
          <w:rFonts w:eastAsiaTheme="minorEastAsia" w:hint="cs"/>
          <w:i/>
          <w:sz w:val="23"/>
          <w:szCs w:val="23"/>
          <w:rtl/>
        </w:rPr>
        <w:t xml:space="preserve"> را شرط عدم کم</w:t>
      </w:r>
      <w:r w:rsidRPr="006B3D33">
        <w:rPr>
          <w:rFonts w:eastAsiaTheme="minorEastAsia"/>
          <w:i/>
          <w:sz w:val="23"/>
          <w:szCs w:val="23"/>
          <w:rtl/>
        </w:rPr>
        <w:softHyphen/>
      </w:r>
      <w:r w:rsidRPr="006B3D33">
        <w:rPr>
          <w:rFonts w:eastAsiaTheme="minorEastAsia" w:hint="cs"/>
          <w:i/>
          <w:sz w:val="23"/>
          <w:szCs w:val="23"/>
          <w:rtl/>
        </w:rPr>
        <w:t>کاری نامیده</w:t>
      </w:r>
      <w:r w:rsidRPr="006B3D33">
        <w:rPr>
          <w:rFonts w:eastAsiaTheme="minorEastAsia"/>
          <w:i/>
          <w:sz w:val="23"/>
          <w:szCs w:val="23"/>
          <w:rtl/>
        </w:rPr>
        <w:softHyphen/>
      </w:r>
      <w:r w:rsidRPr="006B3D33">
        <w:rPr>
          <w:rFonts w:eastAsiaTheme="minorEastAsia" w:hint="cs"/>
          <w:i/>
          <w:sz w:val="23"/>
          <w:szCs w:val="23"/>
          <w:rtl/>
        </w:rPr>
        <w:t xml:space="preserve">اند. این شرط نشان می‌دهد کران </w:t>
      </w:r>
      <w:r w:rsidRPr="006B3D33">
        <w:rPr>
          <w:position w:val="-22"/>
        </w:rPr>
        <w:object w:dxaOrig="3320" w:dyaOrig="620" w14:anchorId="70FFB582">
          <v:shape id="_x0000_i4552" type="#_x0000_t75" style="width:165.8pt;height:30.85pt" o:ole="">
            <v:imagedata r:id="rId7101" o:title=""/>
          </v:shape>
          <o:OLEObject Type="Embed" ProgID="Equation.DSMT4" ShapeID="_x0000_i4552" DrawAspect="Content" ObjectID="_1791378496" r:id="rId7102"/>
        </w:object>
      </w:r>
      <w:r w:rsidRPr="006B3D33">
        <w:rPr>
          <w:rFonts w:eastAsiaTheme="minorEastAsia" w:hint="cs"/>
          <w:i/>
          <w:sz w:val="23"/>
          <w:szCs w:val="23"/>
          <w:rtl/>
        </w:rPr>
        <w:t xml:space="preserve">بالا برای تلاش عبارت است از </w:t>
      </w:r>
      <w:r w:rsidRPr="006B3D33">
        <w:rPr>
          <w:position w:val="-12"/>
        </w:rPr>
        <w:object w:dxaOrig="1420" w:dyaOrig="360" w14:anchorId="1CE33217">
          <v:shape id="_x0000_i4553" type="#_x0000_t75" style="width:70.8pt;height:18.15pt" o:ole="">
            <v:imagedata r:id="rId7103" o:title=""/>
          </v:shape>
          <o:OLEObject Type="Embed" ProgID="Equation.DSMT4" ShapeID="_x0000_i4553" DrawAspect="Content" ObjectID="_1791378497" r:id="rId7104"/>
        </w:object>
      </w:r>
      <w:r w:rsidRPr="006B3D33">
        <w:rPr>
          <w:rFonts w:eastAsiaTheme="minorEastAsia" w:hint="cs"/>
          <w:i/>
          <w:sz w:val="23"/>
          <w:szCs w:val="23"/>
          <w:rtl/>
        </w:rPr>
        <w:t xml:space="preserve"> . رابطه‌ی </w:t>
      </w:r>
      <w:r w:rsidRPr="006B3D33">
        <w:rPr>
          <w:rFonts w:hint="cs"/>
          <w:i/>
          <w:sz w:val="23"/>
          <w:szCs w:val="23"/>
          <w:rtl/>
        </w:rPr>
        <w:t>(۱۰. ۲۸)</w:t>
      </w:r>
      <w:r w:rsidRPr="006B3D33">
        <w:rPr>
          <w:rFonts w:eastAsiaTheme="minorEastAsia" w:hint="cs"/>
          <w:i/>
          <w:sz w:val="23"/>
          <w:szCs w:val="23"/>
          <w:rtl/>
        </w:rPr>
        <w:t xml:space="preserve"> نشان می‌دهد که تلاش بیشتر، احتمال بالاتر از دست دادن شغل، احتمال کم</w:t>
      </w:r>
      <w:r w:rsidRPr="006B3D33">
        <w:rPr>
          <w:rFonts w:eastAsiaTheme="minorEastAsia"/>
          <w:i/>
          <w:sz w:val="23"/>
          <w:szCs w:val="23"/>
          <w:rtl/>
        </w:rPr>
        <w:softHyphen/>
      </w:r>
      <w:r w:rsidRPr="006B3D33">
        <w:rPr>
          <w:rFonts w:eastAsiaTheme="minorEastAsia" w:hint="cs"/>
          <w:i/>
          <w:sz w:val="23"/>
          <w:szCs w:val="23"/>
          <w:rtl/>
        </w:rPr>
        <w:t>کاری و همچنین سطح بالاتری از غرامت بیکاری باعث افزایش دستمزد کارا خواهد شد که مانع کم</w:t>
      </w:r>
      <w:r w:rsidRPr="006B3D33">
        <w:rPr>
          <w:rFonts w:eastAsiaTheme="minorEastAsia"/>
          <w:i/>
          <w:sz w:val="23"/>
          <w:szCs w:val="23"/>
          <w:rtl/>
        </w:rPr>
        <w:softHyphen/>
      </w:r>
      <w:r w:rsidRPr="006B3D33">
        <w:rPr>
          <w:rFonts w:eastAsiaTheme="minorEastAsia" w:hint="cs"/>
          <w:i/>
          <w:sz w:val="23"/>
          <w:szCs w:val="23"/>
          <w:rtl/>
        </w:rPr>
        <w:t>کاری از شغل می‌شود.</w:t>
      </w:r>
    </w:p>
    <w:p w14:paraId="727E1896"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تعادل بازار در مدل کم</w:t>
      </w:r>
      <w:r w:rsidRPr="006B3D33">
        <w:rPr>
          <w:rFonts w:eastAsiaTheme="minorEastAsia"/>
          <w:i/>
          <w:sz w:val="23"/>
          <w:szCs w:val="23"/>
          <w:rtl/>
        </w:rPr>
        <w:softHyphen/>
      </w:r>
      <w:r w:rsidRPr="006B3D33">
        <w:rPr>
          <w:rFonts w:eastAsiaTheme="minorEastAsia" w:hint="cs"/>
          <w:i/>
          <w:sz w:val="23"/>
          <w:szCs w:val="23"/>
          <w:rtl/>
        </w:rPr>
        <w:t>کاری کارایی-دستمزد شاپیرو و استیگلیتز زمانی است که دستمزد کارا بوسیله‌ی بنگاه‌ها ارائه شود و شرط عدم کم</w:t>
      </w:r>
      <w:r w:rsidRPr="006B3D33">
        <w:rPr>
          <w:rFonts w:eastAsiaTheme="minorEastAsia"/>
          <w:i/>
          <w:sz w:val="23"/>
          <w:szCs w:val="23"/>
          <w:rtl/>
        </w:rPr>
        <w:softHyphen/>
      </w:r>
      <w:r w:rsidRPr="006B3D33">
        <w:rPr>
          <w:rFonts w:eastAsiaTheme="minorEastAsia" w:hint="cs"/>
          <w:i/>
          <w:sz w:val="23"/>
          <w:szCs w:val="23"/>
          <w:rtl/>
        </w:rPr>
        <w:t>کاری را تأمین ‌کند و ممکن است متضمن سطح بیکاری غیر صفر باشد. متغیر مهم و کلیدی در شرط عدم کم</w:t>
      </w:r>
      <w:r w:rsidRPr="006B3D33">
        <w:rPr>
          <w:rFonts w:eastAsiaTheme="minorEastAsia"/>
          <w:i/>
          <w:sz w:val="23"/>
          <w:szCs w:val="23"/>
          <w:rtl/>
        </w:rPr>
        <w:softHyphen/>
      </w:r>
      <w:r w:rsidRPr="006B3D33">
        <w:rPr>
          <w:rFonts w:eastAsiaTheme="minorEastAsia" w:hint="cs"/>
          <w:i/>
          <w:sz w:val="23"/>
          <w:szCs w:val="23"/>
          <w:rtl/>
        </w:rPr>
        <w:t>کاری عبارت است از</w:t>
      </w:r>
      <w:r w:rsidRPr="006B3D33">
        <w:rPr>
          <w:position w:val="-10"/>
        </w:rPr>
        <w:object w:dxaOrig="340" w:dyaOrig="320" w14:anchorId="53056B8E">
          <v:shape id="_x0000_i4554" type="#_x0000_t75" style="width:16.95pt;height:15.75pt" o:ole="">
            <v:imagedata r:id="rId7105" o:title=""/>
          </v:shape>
          <o:OLEObject Type="Embed" ProgID="Equation.DSMT4" ShapeID="_x0000_i4554" DrawAspect="Content" ObjectID="_1791378498" r:id="rId7106"/>
        </w:object>
      </w:r>
      <w:r w:rsidRPr="006B3D33">
        <w:rPr>
          <w:rFonts w:eastAsiaTheme="minorEastAsia" w:hint="cs"/>
          <w:i/>
          <w:sz w:val="23"/>
          <w:szCs w:val="23"/>
          <w:rtl/>
        </w:rPr>
        <w:t xml:space="preserve"> و بوسیله‌ی رابطه‌ی زیر تعیین می‌شود.</w:t>
      </w:r>
    </w:p>
    <w:p w14:paraId="6A822CEC" w14:textId="77777777" w:rsidR="00411620" w:rsidRPr="006B3D33" w:rsidRDefault="00411620" w:rsidP="00411620">
      <w:pPr>
        <w:bidi w:val="0"/>
        <w:spacing w:line="216" w:lineRule="auto"/>
        <w:rPr>
          <w:rFonts w:eastAsiaTheme="minorEastAsia"/>
          <w:i/>
          <w:sz w:val="23"/>
          <w:szCs w:val="23"/>
        </w:rPr>
      </w:pPr>
      <w:r w:rsidRPr="006B3D33">
        <w:rPr>
          <w:position w:val="-12"/>
        </w:rPr>
        <w:object w:dxaOrig="2240" w:dyaOrig="360" w14:anchorId="11FC0034">
          <v:shape id="_x0000_i4555" type="#_x0000_t75" style="width:111.95pt;height:18.15pt" o:ole="">
            <v:imagedata r:id="rId7107" o:title=""/>
          </v:shape>
          <o:OLEObject Type="Embed" ProgID="Equation.DSMT4" ShapeID="_x0000_i4555" DrawAspect="Content" ObjectID="_1791378499" r:id="rId7108"/>
        </w:object>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Pr>
        <w:tab/>
      </w:r>
      <w:r w:rsidRPr="006B3D33">
        <w:rPr>
          <w:i/>
          <w:sz w:val="23"/>
          <w:szCs w:val="23"/>
        </w:rPr>
        <w:tab/>
      </w:r>
      <w:r w:rsidRPr="006B3D33">
        <w:rPr>
          <w:i/>
          <w:sz w:val="23"/>
          <w:szCs w:val="23"/>
        </w:rPr>
        <w:tab/>
      </w:r>
      <w:r w:rsidRPr="006B3D33">
        <w:rPr>
          <w:i/>
          <w:sz w:val="23"/>
          <w:szCs w:val="23"/>
        </w:rPr>
        <w:tab/>
      </w:r>
      <w:r w:rsidRPr="006B3D33">
        <w:rPr>
          <w:i/>
          <w:sz w:val="23"/>
          <w:szCs w:val="23"/>
        </w:rPr>
        <w:tab/>
        <w:t xml:space="preserve">     </w:t>
      </w:r>
      <w:r>
        <w:rPr>
          <w:i/>
          <w:sz w:val="23"/>
          <w:szCs w:val="23"/>
          <w:rtl/>
        </w:rPr>
        <w:tab/>
      </w:r>
      <w:r>
        <w:rPr>
          <w:i/>
          <w:sz w:val="23"/>
          <w:szCs w:val="23"/>
          <w:rtl/>
        </w:rPr>
        <w:tab/>
      </w:r>
      <w:r w:rsidRPr="006B3D33">
        <w:rPr>
          <w:i/>
          <w:sz w:val="23"/>
          <w:szCs w:val="23"/>
        </w:rPr>
        <w:t xml:space="preserve">     </w:t>
      </w:r>
      <w:r w:rsidRPr="006B3D33">
        <w:rPr>
          <w:rFonts w:hint="cs"/>
          <w:i/>
          <w:sz w:val="23"/>
          <w:szCs w:val="23"/>
          <w:rtl/>
        </w:rPr>
        <w:t>(۱۰. ۲۹)</w:t>
      </w:r>
      <w:r w:rsidRPr="006B3D33">
        <w:rPr>
          <w:rFonts w:eastAsiaTheme="minorEastAsia" w:hint="cs"/>
          <w:i/>
          <w:sz w:val="23"/>
          <w:szCs w:val="23"/>
          <w:rtl/>
        </w:rPr>
        <w:t xml:space="preserve"> </w:t>
      </w:r>
    </w:p>
    <w:p w14:paraId="1F025272"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که در آن ضریب</w:t>
      </w:r>
      <w:r w:rsidRPr="006B3D33">
        <w:rPr>
          <w:position w:val="-6"/>
        </w:rPr>
        <w:object w:dxaOrig="200" w:dyaOrig="260" w14:anchorId="0BA087A9">
          <v:shape id="_x0000_i4556" type="#_x0000_t75" style="width:10.3pt;height:12.7pt" o:ole="">
            <v:imagedata r:id="rId7109" o:title=""/>
          </v:shape>
          <o:OLEObject Type="Embed" ProgID="Equation.DSMT4" ShapeID="_x0000_i4556" DrawAspect="Content" ObjectID="_1791378500" r:id="rId7110"/>
        </w:object>
      </w:r>
      <w:r w:rsidRPr="006B3D33">
        <w:rPr>
          <w:rFonts w:eastAsiaTheme="minorEastAsia" w:hint="cs"/>
          <w:i/>
          <w:sz w:val="23"/>
          <w:szCs w:val="23"/>
          <w:rtl/>
        </w:rPr>
        <w:t xml:space="preserve"> نرخ اکتساب شغل است. اگر</w:t>
      </w:r>
      <w:r w:rsidRPr="006B3D33">
        <w:rPr>
          <w:position w:val="-6"/>
        </w:rPr>
        <w:object w:dxaOrig="200" w:dyaOrig="200" w14:anchorId="28811DC9">
          <v:shape id="_x0000_i4557" type="#_x0000_t75" style="width:10.3pt;height:10.3pt" o:ole="">
            <v:imagedata r:id="rId7111" o:title=""/>
          </v:shape>
          <o:OLEObject Type="Embed" ProgID="Equation.DSMT4" ShapeID="_x0000_i4557" DrawAspect="Content" ObjectID="_1791378501" r:id="rId7112"/>
        </w:object>
      </w:r>
      <w:r w:rsidRPr="006B3D33">
        <w:rPr>
          <w:rFonts w:eastAsiaTheme="minorEastAsia" w:hint="cs"/>
          <w:i/>
          <w:sz w:val="23"/>
          <w:szCs w:val="23"/>
          <w:rtl/>
        </w:rPr>
        <w:t xml:space="preserve"> اشتغال و</w:t>
      </w:r>
      <w:r w:rsidRPr="006B3D33">
        <w:rPr>
          <w:position w:val="-6"/>
        </w:rPr>
        <w:object w:dxaOrig="300" w:dyaOrig="300" w14:anchorId="7C60751E">
          <v:shape id="_x0000_i4558" type="#_x0000_t75" style="width:14.5pt;height:14.5pt" o:ole="">
            <v:imagedata r:id="rId7113" o:title=""/>
          </v:shape>
          <o:OLEObject Type="Embed" ProgID="Equation.DSMT4" ShapeID="_x0000_i4558" DrawAspect="Content" ObjectID="_1791378502" r:id="rId7114"/>
        </w:object>
      </w:r>
      <w:r w:rsidRPr="006B3D33">
        <w:rPr>
          <w:rFonts w:eastAsiaTheme="minorEastAsia" w:hint="cs"/>
          <w:i/>
          <w:sz w:val="23"/>
          <w:szCs w:val="23"/>
          <w:rtl/>
        </w:rPr>
        <w:t xml:space="preserve"> عرضه‌ی کار باشند، آنگاه جریان ورود به بیکاری در هر دوره برابر است با</w:t>
      </w:r>
      <w:r w:rsidRPr="006B3D33">
        <w:rPr>
          <w:position w:val="-6"/>
        </w:rPr>
        <w:object w:dxaOrig="320" w:dyaOrig="200" w14:anchorId="1B79FC95">
          <v:shape id="_x0000_i4559" type="#_x0000_t75" style="width:15.75pt;height:10.3pt" o:ole="">
            <v:imagedata r:id="rId7115" o:title=""/>
          </v:shape>
          <o:OLEObject Type="Embed" ProgID="Equation.DSMT4" ShapeID="_x0000_i4559" DrawAspect="Content" ObjectID="_1791378503" r:id="rId7116"/>
        </w:object>
      </w:r>
      <w:r w:rsidRPr="006B3D33">
        <w:rPr>
          <w:rFonts w:hint="cs"/>
          <w:i/>
          <w:sz w:val="23"/>
          <w:szCs w:val="23"/>
          <w:rtl/>
        </w:rPr>
        <w:t>،</w:t>
      </w:r>
      <w:r w:rsidRPr="006B3D33">
        <w:rPr>
          <w:rFonts w:eastAsiaTheme="minorEastAsia" w:hint="cs"/>
          <w:i/>
          <w:sz w:val="23"/>
          <w:szCs w:val="23"/>
          <w:rtl/>
        </w:rPr>
        <w:t xml:space="preserve"> و جریان خروج از بیکاری برابر خواهد بود با </w:t>
      </w:r>
      <w:r w:rsidRPr="006B3D33">
        <w:rPr>
          <w:position w:val="-16"/>
        </w:rPr>
        <w:object w:dxaOrig="920" w:dyaOrig="420" w14:anchorId="31DB9D32">
          <v:shape id="_x0000_i4560" type="#_x0000_t75" style="width:46pt;height:20.55pt" o:ole="">
            <v:imagedata r:id="rId7117" o:title=""/>
          </v:shape>
          <o:OLEObject Type="Embed" ProgID="Equation.DSMT4" ShapeID="_x0000_i4560" DrawAspect="Content" ObjectID="_1791378504" r:id="rId7118"/>
        </w:object>
      </w:r>
      <w:r w:rsidRPr="006B3D33">
        <w:rPr>
          <w:rFonts w:eastAsiaTheme="minorEastAsia" w:hint="cs"/>
          <w:i/>
          <w:sz w:val="23"/>
          <w:szCs w:val="23"/>
          <w:rtl/>
        </w:rPr>
        <w:t>. بنابراین در تعادل</w:t>
      </w:r>
    </w:p>
    <w:p w14:paraId="3721AACB"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r w:rsidRPr="006B3D33">
        <w:rPr>
          <w:position w:val="-22"/>
        </w:rPr>
        <w:object w:dxaOrig="1620" w:dyaOrig="560" w14:anchorId="512A626D">
          <v:shape id="_x0000_i4561" type="#_x0000_t75" style="width:81.1pt;height:28.45pt" o:ole="">
            <v:imagedata r:id="rId7119" o:title=""/>
          </v:shape>
          <o:OLEObject Type="Embed" ProgID="Equation.DSMT4" ShapeID="_x0000_i4561" DrawAspect="Content" ObjectID="_1791378505" r:id="rId7120"/>
        </w:object>
      </w:r>
    </w:p>
    <w:p w14:paraId="21A1FD3F"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که در آن نرخ بیکاری برابر است با</w:t>
      </w:r>
      <w:r w:rsidRPr="006B3D33">
        <w:rPr>
          <w:position w:val="-22"/>
        </w:rPr>
        <w:object w:dxaOrig="1180" w:dyaOrig="660" w14:anchorId="620ED294">
          <v:shape id="_x0000_i4562" type="#_x0000_t75" style="width:59.3pt;height:32.65pt" o:ole="">
            <v:imagedata r:id="rId7121" o:title=""/>
          </v:shape>
          <o:OLEObject Type="Embed" ProgID="Equation.DSMT4" ShapeID="_x0000_i4562" DrawAspect="Content" ObjectID="_1791378506" r:id="rId7122"/>
        </w:object>
      </w:r>
      <w:r w:rsidRPr="006B3D33">
        <w:rPr>
          <w:rFonts w:eastAsiaTheme="minorEastAsia" w:hint="cs"/>
          <w:i/>
          <w:sz w:val="23"/>
          <w:szCs w:val="23"/>
          <w:rtl/>
        </w:rPr>
        <w:t xml:space="preserve">. درنتیجه، معادلات </w:t>
      </w:r>
      <w:r w:rsidRPr="006B3D33">
        <w:rPr>
          <w:rFonts w:hint="cs"/>
          <w:i/>
          <w:sz w:val="23"/>
          <w:szCs w:val="23"/>
          <w:rtl/>
        </w:rPr>
        <w:t>(۱۰. ۲۵)</w:t>
      </w:r>
      <w:r w:rsidRPr="006B3D33">
        <w:rPr>
          <w:rFonts w:eastAsiaTheme="minorEastAsia" w:hint="cs"/>
          <w:i/>
          <w:sz w:val="23"/>
          <w:szCs w:val="23"/>
          <w:rtl/>
        </w:rPr>
        <w:t xml:space="preserve">، </w:t>
      </w:r>
      <w:r w:rsidRPr="006B3D33">
        <w:rPr>
          <w:rFonts w:hint="cs"/>
          <w:i/>
          <w:sz w:val="23"/>
          <w:szCs w:val="23"/>
          <w:rtl/>
        </w:rPr>
        <w:t>(۱۰. ۲۸)</w:t>
      </w:r>
      <w:r w:rsidRPr="006B3D33">
        <w:rPr>
          <w:rFonts w:eastAsiaTheme="minorEastAsia" w:hint="cs"/>
          <w:i/>
          <w:sz w:val="23"/>
          <w:szCs w:val="23"/>
          <w:rtl/>
        </w:rPr>
        <w:t xml:space="preserve"> و       </w:t>
      </w:r>
      <w:r w:rsidRPr="006B3D33">
        <w:rPr>
          <w:rFonts w:hint="cs"/>
          <w:i/>
          <w:sz w:val="23"/>
          <w:szCs w:val="23"/>
          <w:rtl/>
        </w:rPr>
        <w:t>(۱۰. ۲۹)</w:t>
      </w:r>
      <w:r w:rsidRPr="006B3D33">
        <w:rPr>
          <w:rFonts w:eastAsiaTheme="minorEastAsia" w:hint="cs"/>
          <w:i/>
          <w:sz w:val="23"/>
          <w:szCs w:val="23"/>
          <w:rtl/>
        </w:rPr>
        <w:t xml:space="preserve"> برابر خواهند بود با</w:t>
      </w:r>
    </w:p>
    <w:p w14:paraId="5E7D2902" w14:textId="77777777" w:rsidR="00411620" w:rsidRPr="006B3D33"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Pr>
      </w:pPr>
      <w:r w:rsidRPr="00025957">
        <w:rPr>
          <w:position w:val="-4"/>
        </w:rPr>
        <w:object w:dxaOrig="180" w:dyaOrig="260" w14:anchorId="6DB14F94">
          <v:shape id="_x0000_i4563" type="#_x0000_t75" style="width:9.1pt;height:12.7pt" o:ole="">
            <v:imagedata r:id="rId1079" o:title=""/>
          </v:shape>
          <o:OLEObject Type="Embed" ProgID="Equation.DSMT4" ShapeID="_x0000_i4563" DrawAspect="Content" ObjectID="_1791378507" r:id="rId7123"/>
        </w:object>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۳۰)</w:t>
      </w:r>
    </w:p>
    <w:p w14:paraId="029B2ABD"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6B3D33">
        <w:rPr>
          <w:position w:val="-22"/>
        </w:rPr>
        <w:object w:dxaOrig="2560" w:dyaOrig="620" w14:anchorId="4646DC79">
          <v:shape id="_x0000_i4564" type="#_x0000_t75" style="width:127.65pt;height:30.85pt" o:ole="">
            <v:imagedata r:id="rId7124" o:title=""/>
          </v:shape>
          <o:OLEObject Type="Embed" ProgID="Equation.DSMT4" ShapeID="_x0000_i4564" DrawAspect="Content" ObjectID="_1791378508" r:id="rId7125"/>
        </w:object>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۳۱)</w:t>
      </w:r>
    </w:p>
    <w:p w14:paraId="15C3558D" w14:textId="77777777" w:rsidR="00411620" w:rsidRPr="006B3D33" w:rsidRDefault="00411620" w:rsidP="00411620">
      <w:pPr>
        <w:pStyle w:val="MTDisplayEquation"/>
        <w:spacing w:line="216" w:lineRule="auto"/>
        <w:rPr>
          <w:rFonts w:ascii="Times New Roman" w:hAnsi="Times New Roman"/>
          <w:i/>
          <w:sz w:val="23"/>
          <w:szCs w:val="23"/>
          <w:rtl/>
        </w:rPr>
      </w:pPr>
      <w:r w:rsidRPr="006B3D33">
        <w:rPr>
          <w:position w:val="-28"/>
        </w:rPr>
        <w:object w:dxaOrig="4560" w:dyaOrig="680" w14:anchorId="2784E39A">
          <v:shape id="_x0000_i4565" type="#_x0000_t75" style="width:228.1pt;height:33.9pt" o:ole="">
            <v:imagedata r:id="rId7126" o:title=""/>
          </v:shape>
          <o:OLEObject Type="Embed" ProgID="Equation.DSMT4" ShapeID="_x0000_i4565" DrawAspect="Content" ObjectID="_1791378509" r:id="rId7127"/>
        </w:object>
      </w:r>
    </w:p>
    <w:p w14:paraId="01B5C13E"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6B3D33">
        <w:rPr>
          <w:position w:val="-26"/>
        </w:rPr>
        <w:object w:dxaOrig="2280" w:dyaOrig="620" w14:anchorId="301C5606">
          <v:shape id="_x0000_i4566" type="#_x0000_t75" style="width:114.35pt;height:30.85pt" o:ole="">
            <v:imagedata r:id="rId7128" o:title=""/>
          </v:shape>
          <o:OLEObject Type="Embed" ProgID="Equation.DSMT4" ShapeID="_x0000_i4566" DrawAspect="Content" ObjectID="_1791378510" r:id="rId7129"/>
        </w:object>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۳۲)</w:t>
      </w:r>
    </w:p>
    <w:p w14:paraId="34C328C9"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 xml:space="preserve">سطح تعادلی اشتغال ممکن است از معادلات </w:t>
      </w:r>
      <w:r w:rsidRPr="006B3D33">
        <w:rPr>
          <w:rFonts w:hint="cs"/>
          <w:i/>
          <w:sz w:val="23"/>
          <w:szCs w:val="23"/>
          <w:rtl/>
        </w:rPr>
        <w:t>(۱۰. ۲۳)</w:t>
      </w:r>
      <w:r w:rsidRPr="006B3D33">
        <w:rPr>
          <w:rFonts w:eastAsiaTheme="minorEastAsia" w:hint="cs"/>
          <w:i/>
          <w:sz w:val="23"/>
          <w:szCs w:val="23"/>
          <w:rtl/>
        </w:rPr>
        <w:t xml:space="preserve"> و یا (۱۰. ۳۲) بدست آید. لذا</w:t>
      </w:r>
    </w:p>
    <w:p w14:paraId="3E0088E1" w14:textId="77777777" w:rsidR="00411620" w:rsidRPr="006B3D33" w:rsidRDefault="00411620" w:rsidP="00411620">
      <w:pPr>
        <w:bidi w:val="0"/>
        <w:spacing w:line="216" w:lineRule="auto"/>
        <w:rPr>
          <w:rFonts w:eastAsiaTheme="minorEastAsia"/>
          <w:i/>
          <w:sz w:val="23"/>
          <w:szCs w:val="23"/>
          <w:rtl/>
        </w:rPr>
      </w:pPr>
      <w:r w:rsidRPr="006B3D33">
        <w:rPr>
          <w:position w:val="-22"/>
        </w:rPr>
        <w:object w:dxaOrig="2840" w:dyaOrig="900" w14:anchorId="4A1CFE2B">
          <v:shape id="_x0000_i4567" type="#_x0000_t75" style="width:142.2pt;height:45.4pt" o:ole="">
            <v:imagedata r:id="rId7130" o:title=""/>
          </v:shape>
          <o:OLEObject Type="Embed" ProgID="Equation.DSMT4" ShapeID="_x0000_i4567" DrawAspect="Content" ObjectID="_1791378511" r:id="rId7131"/>
        </w:object>
      </w:r>
      <w:r w:rsidRPr="006B3D33">
        <w:rPr>
          <w:i/>
          <w:sz w:val="23"/>
          <w:szCs w:val="23"/>
        </w:rPr>
        <w:tab/>
      </w:r>
      <w:r w:rsidRPr="006B3D33">
        <w:rPr>
          <w:i/>
          <w:sz w:val="23"/>
          <w:szCs w:val="23"/>
        </w:rPr>
        <w:tab/>
      </w:r>
      <w:r w:rsidRPr="006B3D33">
        <w:rPr>
          <w:i/>
          <w:sz w:val="23"/>
          <w:szCs w:val="23"/>
        </w:rPr>
        <w:tab/>
      </w:r>
      <w:r w:rsidRPr="006B3D33">
        <w:rPr>
          <w:i/>
          <w:sz w:val="23"/>
          <w:szCs w:val="23"/>
        </w:rPr>
        <w:tab/>
      </w:r>
      <w:r w:rsidRPr="006B3D33">
        <w:rPr>
          <w:i/>
          <w:sz w:val="23"/>
          <w:szCs w:val="23"/>
        </w:rPr>
        <w:tab/>
      </w:r>
      <w:r w:rsidRPr="006B3D33">
        <w:rPr>
          <w:i/>
          <w:sz w:val="23"/>
          <w:szCs w:val="23"/>
        </w:rPr>
        <w:tab/>
      </w:r>
      <w:r w:rsidRPr="006B3D33">
        <w:rPr>
          <w:i/>
          <w:sz w:val="23"/>
          <w:szCs w:val="23"/>
          <w:rtl/>
        </w:rPr>
        <w:tab/>
      </w:r>
      <w:r w:rsidRPr="006B3D33">
        <w:rPr>
          <w:i/>
          <w:sz w:val="23"/>
          <w:szCs w:val="23"/>
          <w:rtl/>
        </w:rPr>
        <w:tab/>
      </w:r>
      <w:r w:rsidRPr="006B3D33">
        <w:rPr>
          <w:i/>
          <w:sz w:val="23"/>
          <w:szCs w:val="23"/>
          <w:rtl/>
        </w:rPr>
        <w:tab/>
      </w:r>
      <w:r>
        <w:rPr>
          <w:i/>
          <w:sz w:val="23"/>
          <w:szCs w:val="23"/>
          <w:rtl/>
        </w:rPr>
        <w:tab/>
      </w:r>
      <w:r>
        <w:rPr>
          <w:i/>
          <w:sz w:val="23"/>
          <w:szCs w:val="23"/>
          <w:rtl/>
        </w:rPr>
        <w:tab/>
      </w:r>
      <w:r w:rsidRPr="006B3D33">
        <w:rPr>
          <w:i/>
          <w:sz w:val="23"/>
          <w:szCs w:val="23"/>
        </w:rPr>
        <w:tab/>
      </w:r>
      <w:r w:rsidRPr="006B3D33">
        <w:rPr>
          <w:rFonts w:eastAsiaTheme="minorEastAsia" w:hint="cs"/>
          <w:i/>
          <w:sz w:val="23"/>
          <w:szCs w:val="23"/>
          <w:rtl/>
        </w:rPr>
        <w:t>(۱۰. ۳۳)</w:t>
      </w:r>
      <w:r w:rsidRPr="006B3D33">
        <w:rPr>
          <w:rFonts w:eastAsiaTheme="minorEastAsia" w:hint="cs"/>
          <w:i/>
          <w:sz w:val="23"/>
          <w:szCs w:val="23"/>
        </w:rPr>
        <w:t xml:space="preserve"> </w:t>
      </w:r>
    </w:p>
    <w:p w14:paraId="358FF2C3"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 اگرچه مدل عدم کم</w:t>
      </w:r>
      <w:r w:rsidRPr="006B3D33">
        <w:rPr>
          <w:rFonts w:eastAsiaTheme="minorEastAsia"/>
          <w:i/>
          <w:sz w:val="23"/>
          <w:szCs w:val="23"/>
          <w:rtl/>
        </w:rPr>
        <w:softHyphen/>
      </w:r>
      <w:r w:rsidRPr="006B3D33">
        <w:rPr>
          <w:rFonts w:eastAsiaTheme="minorEastAsia" w:hint="cs"/>
          <w:i/>
          <w:sz w:val="23"/>
          <w:szCs w:val="23"/>
          <w:rtl/>
        </w:rPr>
        <w:t>کاری شاپیرو و استیگلیتز که مبتنی بر چارچوب اقتصاد خرد است را می</w:t>
      </w:r>
      <w:r w:rsidRPr="006B3D33">
        <w:rPr>
          <w:rFonts w:eastAsiaTheme="minorEastAsia"/>
          <w:i/>
          <w:sz w:val="23"/>
          <w:szCs w:val="23"/>
          <w:rtl/>
        </w:rPr>
        <w:softHyphen/>
      </w:r>
      <w:r w:rsidRPr="006B3D33">
        <w:rPr>
          <w:rFonts w:eastAsiaTheme="minorEastAsia" w:hint="cs"/>
          <w:i/>
          <w:sz w:val="23"/>
          <w:szCs w:val="23"/>
          <w:rtl/>
        </w:rPr>
        <w:t>توان برای بخش عرضه در بازار کار مورد استفاده قرار داد، اما براحتی نتایج مشابه را می‌توان با فرض این</w:t>
      </w:r>
      <w:r w:rsidRPr="006B3D33">
        <w:rPr>
          <w:rFonts w:eastAsiaTheme="minorEastAsia"/>
          <w:i/>
          <w:sz w:val="23"/>
          <w:szCs w:val="23"/>
          <w:rtl/>
        </w:rPr>
        <w:softHyphen/>
      </w:r>
      <w:r w:rsidRPr="006B3D33">
        <w:rPr>
          <w:rFonts w:eastAsiaTheme="minorEastAsia" w:hint="cs"/>
          <w:i/>
          <w:sz w:val="23"/>
          <w:szCs w:val="23"/>
          <w:rtl/>
        </w:rPr>
        <w:t xml:space="preserve">که </w:t>
      </w:r>
      <w:r w:rsidRPr="006B3D33">
        <w:rPr>
          <w:rFonts w:eastAsiaTheme="minorEastAsia" w:hint="cs"/>
          <w:i/>
          <w:sz w:val="23"/>
          <w:szCs w:val="23"/>
          <w:rtl/>
        </w:rPr>
        <w:lastRenderedPageBreak/>
        <w:t>بیکاری بیشتر نتیجه‌ی دستمزد کمتر کارگران علیرغم تلاش برای دریافت غرامت است را استخراج نمود. در این صورت می‌توان نوشت</w:t>
      </w:r>
    </w:p>
    <w:p w14:paraId="6E60E034" w14:textId="77777777" w:rsidR="00411620" w:rsidRPr="006B3D33" w:rsidRDefault="00411620" w:rsidP="00411620">
      <w:pPr>
        <w:bidi w:val="0"/>
        <w:spacing w:line="216" w:lineRule="auto"/>
        <w:jc w:val="left"/>
        <w:rPr>
          <w:rFonts w:eastAsiaTheme="minorEastAsia"/>
          <w:i/>
          <w:sz w:val="23"/>
          <w:szCs w:val="23"/>
        </w:rPr>
      </w:pPr>
      <w:r w:rsidRPr="006B3D33">
        <w:rPr>
          <w:position w:val="-12"/>
        </w:rPr>
        <w:object w:dxaOrig="1680" w:dyaOrig="360" w14:anchorId="554F973B">
          <v:shape id="_x0000_i4568" type="#_x0000_t75" style="width:84.1pt;height:18.15pt" o:ole="">
            <v:imagedata r:id="rId7132" o:title=""/>
          </v:shape>
          <o:OLEObject Type="Embed" ProgID="Equation.DSMT4" ShapeID="_x0000_i4568" DrawAspect="Content" ObjectID="_1791378512" r:id="rId7133"/>
        </w:object>
      </w:r>
      <w:r w:rsidRPr="006B3D33">
        <w:rPr>
          <w:i/>
          <w:sz w:val="23"/>
          <w:szCs w:val="23"/>
          <w:rtl/>
        </w:rPr>
        <w:tab/>
      </w:r>
      <w:r w:rsidRPr="006B3D33">
        <w:rPr>
          <w:i/>
          <w:sz w:val="23"/>
          <w:szCs w:val="23"/>
          <w:rtl/>
        </w:rPr>
        <w:tab/>
      </w:r>
      <w:r w:rsidRPr="006B3D33">
        <w:rPr>
          <w:i/>
          <w:sz w:val="23"/>
          <w:szCs w:val="23"/>
          <w:rtl/>
        </w:rPr>
        <w:tab/>
      </w:r>
      <w:r w:rsidRPr="006B3D33">
        <w:rPr>
          <w:i/>
          <w:sz w:val="23"/>
          <w:szCs w:val="23"/>
        </w:rPr>
        <w:tab/>
      </w:r>
      <w:r w:rsidRPr="006B3D33">
        <w:rPr>
          <w:i/>
          <w:sz w:val="23"/>
          <w:szCs w:val="23"/>
        </w:rPr>
        <w:tab/>
      </w:r>
      <w:r w:rsidRPr="006B3D33">
        <w:rPr>
          <w:i/>
          <w:sz w:val="23"/>
          <w:szCs w:val="23"/>
        </w:rPr>
        <w:tab/>
      </w:r>
      <w:r w:rsidRPr="006B3D33">
        <w:rPr>
          <w:i/>
          <w:sz w:val="23"/>
          <w:szCs w:val="23"/>
        </w:rPr>
        <w:tab/>
      </w:r>
      <w:r w:rsidRPr="006B3D33">
        <w:rPr>
          <w:i/>
          <w:sz w:val="23"/>
          <w:szCs w:val="23"/>
        </w:rPr>
        <w:tab/>
      </w:r>
      <w:r w:rsidRPr="006B3D33">
        <w:rPr>
          <w:i/>
          <w:sz w:val="23"/>
          <w:szCs w:val="23"/>
        </w:rPr>
        <w:tab/>
      </w:r>
      <w:r>
        <w:rPr>
          <w:i/>
          <w:sz w:val="23"/>
          <w:szCs w:val="23"/>
          <w:rtl/>
        </w:rPr>
        <w:tab/>
      </w:r>
      <w:r w:rsidRPr="006B3D33">
        <w:rPr>
          <w:i/>
          <w:sz w:val="23"/>
          <w:szCs w:val="23"/>
        </w:rPr>
        <w:tab/>
      </w:r>
      <w:r w:rsidRPr="006B3D33">
        <w:rPr>
          <w:i/>
          <w:sz w:val="23"/>
          <w:szCs w:val="23"/>
        </w:rPr>
        <w:tab/>
      </w:r>
      <w:r w:rsidRPr="006B3D33">
        <w:rPr>
          <w:i/>
          <w:sz w:val="23"/>
          <w:szCs w:val="23"/>
        </w:rPr>
        <w:tab/>
      </w:r>
      <w:r w:rsidRPr="006B3D33">
        <w:rPr>
          <w:i/>
          <w:sz w:val="23"/>
          <w:szCs w:val="23"/>
        </w:rPr>
        <w:tab/>
      </w:r>
      <w:r w:rsidRPr="006B3D33">
        <w:rPr>
          <w:i/>
          <w:sz w:val="23"/>
          <w:szCs w:val="23"/>
          <w:rtl/>
        </w:rPr>
        <w:tab/>
      </w:r>
      <w:r w:rsidRPr="006B3D33">
        <w:rPr>
          <w:i/>
          <w:sz w:val="23"/>
          <w:szCs w:val="23"/>
          <w:rtl/>
        </w:rPr>
        <w:tab/>
      </w:r>
      <w:r w:rsidRPr="006B3D33">
        <w:rPr>
          <w:rFonts w:hint="cs"/>
          <w:i/>
          <w:sz w:val="23"/>
          <w:szCs w:val="23"/>
          <w:rtl/>
        </w:rPr>
        <w:t>(۱۰. ۳۴)</w:t>
      </w:r>
      <w:r w:rsidRPr="006B3D33">
        <w:rPr>
          <w:rFonts w:hint="cs"/>
          <w:i/>
          <w:sz w:val="23"/>
          <w:szCs w:val="23"/>
        </w:rPr>
        <w:t xml:space="preserve"> </w:t>
      </w:r>
    </w:p>
    <w:p w14:paraId="15862208"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که در آن </w:t>
      </w:r>
      <w:r w:rsidRPr="006B3D33">
        <w:rPr>
          <w:position w:val="-12"/>
        </w:rPr>
        <w:object w:dxaOrig="880" w:dyaOrig="360" w14:anchorId="69698394">
          <v:shape id="_x0000_i4569" type="#_x0000_t75" style="width:44.15pt;height:18.15pt" o:ole="">
            <v:imagedata r:id="rId7134" o:title=""/>
          </v:shape>
          <o:OLEObject Type="Embed" ProgID="Equation.DSMT4" ShapeID="_x0000_i4569" DrawAspect="Content" ObjectID="_1791378513" r:id="rId7135"/>
        </w:object>
      </w:r>
      <w:r w:rsidRPr="006B3D33">
        <w:rPr>
          <w:rFonts w:eastAsiaTheme="minorEastAsia" w:hint="cs"/>
          <w:i/>
          <w:sz w:val="23"/>
          <w:szCs w:val="23"/>
          <w:rtl/>
        </w:rPr>
        <w:t xml:space="preserve"> و</w:t>
      </w:r>
      <w:r w:rsidRPr="006B3D33">
        <w:rPr>
          <w:position w:val="-6"/>
        </w:rPr>
        <w:object w:dxaOrig="200" w:dyaOrig="200" w14:anchorId="0FE9BA1B">
          <v:shape id="_x0000_i4570" type="#_x0000_t75" style="width:10.3pt;height:10.3pt" o:ole="">
            <v:imagedata r:id="rId7136" o:title=""/>
          </v:shape>
          <o:OLEObject Type="Embed" ProgID="Equation.DSMT4" ShapeID="_x0000_i4570" DrawAspect="Content" ObjectID="_1791378514" r:id="rId7137"/>
        </w:object>
      </w:r>
      <w:r w:rsidRPr="006B3D33">
        <w:rPr>
          <w:rFonts w:eastAsiaTheme="minorEastAsia" w:hint="cs"/>
          <w:i/>
          <w:sz w:val="23"/>
          <w:szCs w:val="23"/>
          <w:rtl/>
        </w:rPr>
        <w:t xml:space="preserve"> نرخ بیکاری است. این فرض ممکن است هنگامی که اتحادیه‌ی کارگری وجود داشته باشد و قدرت کمتر اتحادیه در تأثیر بر دستمزد منجر به بیکاری بیشتر شود مناسب باشد.</w:t>
      </w:r>
    </w:p>
    <w:p w14:paraId="55D43930"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 تعادل در بازار کار را می‌توان در نمودار ۱۰. ۳ و بر مبنای مدل شاپیرو-استیگلیتز و یا معادله‌ی ویژه‌ی (۱۰. ۳۴) نشان داد. مازاد نرخ دستمزد از برخورد تقاضا برای کار</w:t>
      </w:r>
      <w:r w:rsidRPr="00025957">
        <w:rPr>
          <w:position w:val="-4"/>
        </w:rPr>
        <w:object w:dxaOrig="260" w:dyaOrig="240" w14:anchorId="14956285">
          <v:shape id="_x0000_i4571" type="#_x0000_t75" style="width:12.7pt;height:12.1pt" o:ole="">
            <v:imagedata r:id="rId7138" o:title=""/>
          </v:shape>
          <o:OLEObject Type="Embed" ProgID="Equation.DSMT4" ShapeID="_x0000_i4571" DrawAspect="Content" ObjectID="_1791378515" r:id="rId7139"/>
        </w:object>
      </w:r>
      <w:r w:rsidRPr="006B3D33">
        <w:rPr>
          <w:rFonts w:eastAsiaTheme="minorEastAsia" w:hint="cs"/>
          <w:i/>
          <w:sz w:val="23"/>
          <w:szCs w:val="23"/>
          <w:rtl/>
        </w:rPr>
        <w:t xml:space="preserve"> و تابع تلاش</w:t>
      </w:r>
      <w:r w:rsidRPr="006B3D33">
        <w:rPr>
          <w:position w:val="-6"/>
        </w:rPr>
        <w:object w:dxaOrig="240" w:dyaOrig="260" w14:anchorId="41F15172">
          <v:shape id="_x0000_i4572" type="#_x0000_t75" style="width:12.1pt;height:12.7pt" o:ole="">
            <v:imagedata r:id="rId7140" o:title=""/>
          </v:shape>
          <o:OLEObject Type="Embed" ProgID="Equation.DSMT4" ShapeID="_x0000_i4572" DrawAspect="Content" ObjectID="_1791378516" r:id="rId7141"/>
        </w:object>
      </w:r>
      <w:r w:rsidRPr="006B3D33">
        <w:rPr>
          <w:rFonts w:eastAsiaTheme="minorEastAsia" w:hint="cs"/>
          <w:i/>
          <w:sz w:val="23"/>
          <w:szCs w:val="23"/>
          <w:rtl/>
        </w:rPr>
        <w:t xml:space="preserve"> بدست می‌آید. با نرمالایز کردن اشتغال، این برخورد، نرخ اشتغال</w:t>
      </w:r>
      <w:r w:rsidRPr="006B3D33">
        <w:rPr>
          <w:position w:val="-6"/>
        </w:rPr>
        <w:object w:dxaOrig="200" w:dyaOrig="200" w14:anchorId="61CE670B">
          <v:shape id="_x0000_i4573" type="#_x0000_t75" style="width:10.3pt;height:10.3pt" o:ole="">
            <v:imagedata r:id="rId7142" o:title=""/>
          </v:shape>
          <o:OLEObject Type="Embed" ProgID="Equation.DSMT4" ShapeID="_x0000_i4573" DrawAspect="Content" ObjectID="_1791378517" r:id="rId7143"/>
        </w:object>
      </w:r>
      <w:r w:rsidRPr="006B3D33">
        <w:rPr>
          <w:rFonts w:eastAsiaTheme="minorEastAsia" w:hint="cs"/>
          <w:i/>
          <w:sz w:val="23"/>
          <w:szCs w:val="23"/>
          <w:rtl/>
        </w:rPr>
        <w:t xml:space="preserve"> و نرخ بیکاری</w:t>
      </w:r>
      <w:r w:rsidRPr="006B3D33">
        <w:rPr>
          <w:position w:val="-6"/>
        </w:rPr>
        <w:object w:dxaOrig="200" w:dyaOrig="200" w14:anchorId="4653E8AA">
          <v:shape id="_x0000_i4574" type="#_x0000_t75" style="width:10.3pt;height:10.3pt" o:ole="">
            <v:imagedata r:id="rId7144" o:title=""/>
          </v:shape>
          <o:OLEObject Type="Embed" ProgID="Equation.DSMT4" ShapeID="_x0000_i4574" DrawAspect="Content" ObjectID="_1791378518" r:id="rId7145"/>
        </w:object>
      </w:r>
      <w:r w:rsidRPr="006B3D33">
        <w:rPr>
          <w:rFonts w:eastAsiaTheme="minorEastAsia" w:hint="cs"/>
          <w:i/>
          <w:sz w:val="23"/>
          <w:szCs w:val="23"/>
          <w:rtl/>
        </w:rPr>
        <w:t xml:space="preserve"> را مشخص خواهد کرد. بنابراین پرداخت دستمزد کارا متضمن وجود نرخ بیکاری مثبت دائمی خواهد بود. </w:t>
      </w:r>
    </w:p>
    <w:p w14:paraId="49A2CDB0" w14:textId="77777777" w:rsidR="00411620" w:rsidRPr="006B3D33" w:rsidRDefault="00411620" w:rsidP="00411620">
      <w:pPr>
        <w:rPr>
          <w:rFonts w:eastAsiaTheme="minorEastAsia"/>
          <w:i/>
          <w:sz w:val="23"/>
          <w:szCs w:val="23"/>
          <w:rtl/>
        </w:rPr>
      </w:pPr>
      <w:r w:rsidRPr="006B3D33">
        <w:rPr>
          <w:rFonts w:eastAsiaTheme="minorEastAsia" w:hint="cs"/>
          <w:i/>
          <w:sz w:val="23"/>
          <w:szCs w:val="23"/>
          <w:rtl/>
        </w:rPr>
        <w:t>بیکاران با دستمزد تعادلی</w:t>
      </w:r>
      <w:r w:rsidRPr="006B3D33">
        <w:rPr>
          <w:position w:val="-6"/>
        </w:rPr>
        <w:object w:dxaOrig="240" w:dyaOrig="200" w14:anchorId="1C11892B">
          <v:shape id="_x0000_i4575" type="#_x0000_t75" style="width:12.1pt;height:10.3pt" o:ole="">
            <v:imagedata r:id="rId7146" o:title=""/>
          </v:shape>
          <o:OLEObject Type="Embed" ProgID="Equation.DSMT4" ShapeID="_x0000_i4575" DrawAspect="Content" ObjectID="_1791378519" r:id="rId7147"/>
        </w:object>
      </w:r>
      <w:r w:rsidRPr="006B3D33">
        <w:rPr>
          <w:rFonts w:eastAsiaTheme="minorEastAsia" w:hint="cs"/>
          <w:i/>
          <w:sz w:val="23"/>
          <w:szCs w:val="23"/>
          <w:rtl/>
        </w:rPr>
        <w:t xml:space="preserve"> تمایل به کار خواهند داشت، اما نمی</w:t>
      </w:r>
      <w:r w:rsidRPr="006B3D33">
        <w:rPr>
          <w:rFonts w:eastAsiaTheme="minorEastAsia"/>
          <w:i/>
          <w:sz w:val="23"/>
          <w:szCs w:val="23"/>
          <w:rtl/>
        </w:rPr>
        <w:softHyphen/>
      </w:r>
      <w:r w:rsidRPr="006B3D33">
        <w:rPr>
          <w:rFonts w:eastAsiaTheme="minorEastAsia" w:hint="cs"/>
          <w:i/>
          <w:sz w:val="23"/>
          <w:szCs w:val="23"/>
          <w:rtl/>
        </w:rPr>
        <w:t>توانند پیشنهاد دستمزد پایین</w:t>
      </w:r>
      <w:r w:rsidRPr="006B3D33">
        <w:rPr>
          <w:rFonts w:eastAsiaTheme="minorEastAsia"/>
          <w:i/>
          <w:sz w:val="23"/>
          <w:szCs w:val="23"/>
          <w:rtl/>
        </w:rPr>
        <w:softHyphen/>
      </w:r>
      <w:r w:rsidRPr="006B3D33">
        <w:rPr>
          <w:rFonts w:eastAsiaTheme="minorEastAsia" w:hint="cs"/>
          <w:i/>
          <w:sz w:val="23"/>
          <w:szCs w:val="23"/>
          <w:rtl/>
        </w:rPr>
        <w:t>تر را از طریق کاهش مازاد دستمزد کمتر داشته باشند. زیرا بنگاه‌ها می‌دانند که این عمل تلاش کارگران و سپس بهره</w:t>
      </w:r>
      <w:r w:rsidRPr="006B3D33">
        <w:rPr>
          <w:rFonts w:eastAsiaTheme="minorEastAsia"/>
          <w:i/>
          <w:sz w:val="23"/>
          <w:szCs w:val="23"/>
          <w:rtl/>
        </w:rPr>
        <w:softHyphen/>
      </w:r>
      <w:r w:rsidRPr="006B3D33">
        <w:rPr>
          <w:rFonts w:eastAsiaTheme="minorEastAsia" w:hint="cs"/>
          <w:i/>
          <w:sz w:val="23"/>
          <w:szCs w:val="23"/>
          <w:rtl/>
        </w:rPr>
        <w:t xml:space="preserve">وری آن‌ها را کاهش خواهد داد. </w:t>
      </w:r>
    </w:p>
    <w:p w14:paraId="05B9BE52" w14:textId="77777777" w:rsidR="00411620" w:rsidRPr="006B3D33" w:rsidRDefault="00411620" w:rsidP="00411620">
      <w:pPr>
        <w:rPr>
          <w:rFonts w:eastAsiaTheme="minorEastAsia"/>
          <w:i/>
          <w:sz w:val="23"/>
          <w:szCs w:val="23"/>
          <w:rtl/>
        </w:rPr>
      </w:pPr>
      <w:r w:rsidRPr="006B3D33">
        <w:rPr>
          <w:rFonts w:eastAsiaTheme="minorEastAsia" w:hint="cs"/>
          <w:i/>
          <w:sz w:val="23"/>
          <w:szCs w:val="23"/>
          <w:rtl/>
        </w:rPr>
        <w:t>دستمزد عمومی</w:t>
      </w:r>
      <w:r w:rsidRPr="006B3D33">
        <w:rPr>
          <w:position w:val="-6"/>
        </w:rPr>
        <w:object w:dxaOrig="279" w:dyaOrig="260" w14:anchorId="67C7EE11">
          <v:shape id="_x0000_i4576" type="#_x0000_t75" style="width:13.9pt;height:12.7pt" o:ole="">
            <v:imagedata r:id="rId7148" o:title=""/>
          </v:shape>
          <o:OLEObject Type="Embed" ProgID="Equation.DSMT4" ShapeID="_x0000_i4576" DrawAspect="Content" ObjectID="_1791378520" r:id="rId7149"/>
        </w:object>
      </w:r>
      <w:r w:rsidRPr="006B3D33">
        <w:rPr>
          <w:rFonts w:eastAsiaTheme="minorEastAsia" w:hint="cs"/>
          <w:i/>
          <w:sz w:val="23"/>
          <w:szCs w:val="23"/>
          <w:rtl/>
        </w:rPr>
        <w:t xml:space="preserve"> ممکن است از برابری عرضه و تقاضای کار در بیکاری صفر بدست آید. برای حذف بیکاری ضروری است تا تقاضا برای کار افزایش یابد در این صورت تابع تقاضا برای کار به اندازه‌ی کافی به سمت راست منتقل می</w:t>
      </w:r>
      <w:r w:rsidRPr="006B3D33">
        <w:rPr>
          <w:rFonts w:eastAsiaTheme="minorEastAsia"/>
          <w:i/>
          <w:sz w:val="23"/>
          <w:szCs w:val="23"/>
          <w:rtl/>
        </w:rPr>
        <w:softHyphen/>
      </w:r>
      <w:r w:rsidRPr="006B3D33">
        <w:rPr>
          <w:rFonts w:eastAsiaTheme="minorEastAsia" w:hint="cs"/>
          <w:i/>
          <w:sz w:val="23"/>
          <w:szCs w:val="23"/>
          <w:rtl/>
        </w:rPr>
        <w:t>شود تا تابع تلاش در اشتغال کامل افزایش یابد. در این نقطه</w:t>
      </w:r>
      <w:r w:rsidRPr="006B3D33">
        <w:rPr>
          <w:position w:val="-6"/>
        </w:rPr>
        <w:object w:dxaOrig="660" w:dyaOrig="260" w14:anchorId="7C04EBE5">
          <v:shape id="_x0000_i4577" type="#_x0000_t75" style="width:32.65pt;height:12.7pt" o:ole="">
            <v:imagedata r:id="rId7150" o:title=""/>
          </v:shape>
          <o:OLEObject Type="Embed" ProgID="Equation.DSMT4" ShapeID="_x0000_i4577" DrawAspect="Content" ObjectID="_1791378521" r:id="rId7151"/>
        </w:object>
      </w:r>
      <w:r w:rsidRPr="006B3D33">
        <w:rPr>
          <w:rFonts w:eastAsiaTheme="minorEastAsia" w:hint="cs"/>
          <w:i/>
          <w:sz w:val="23"/>
          <w:szCs w:val="23"/>
          <w:rtl/>
        </w:rPr>
        <w:t xml:space="preserve"> است. هر چند در نظریه کارایی-دستمزد از اتخاذ این سیاست جلوگیری و ممانعت شده است. متناوباً بیکاری کاهش خواهد یافت اگر تابع تلاش به سمت راست و پایین منتقل شود. تابع تلاش افقی مبین آن است که تلاش متأثر از نرخ بیکاری نیست و در</w:t>
      </w:r>
      <w:r w:rsidRPr="006B3D33">
        <w:rPr>
          <w:position w:val="-6"/>
        </w:rPr>
        <w:object w:dxaOrig="279" w:dyaOrig="260" w14:anchorId="63DABBB5">
          <v:shape id="_x0000_i4578" type="#_x0000_t75" style="width:13.9pt;height:12.7pt" o:ole="">
            <v:imagedata r:id="rId7152" o:title=""/>
          </v:shape>
          <o:OLEObject Type="Embed" ProgID="Equation.DSMT4" ShapeID="_x0000_i4578" DrawAspect="Content" ObjectID="_1791378522" r:id="rId7153"/>
        </w:object>
      </w:r>
      <w:r w:rsidRPr="006B3D33">
        <w:rPr>
          <w:i/>
          <w:sz w:val="23"/>
          <w:szCs w:val="23"/>
        </w:rPr>
        <w:t xml:space="preserve"> </w:t>
      </w:r>
      <w:r w:rsidRPr="006B3D33">
        <w:rPr>
          <w:rFonts w:eastAsiaTheme="minorEastAsia" w:hint="cs"/>
          <w:i/>
          <w:sz w:val="23"/>
          <w:szCs w:val="23"/>
          <w:rtl/>
        </w:rPr>
        <w:t xml:space="preserve">تعیین شده و بیکاری در آن جا وجود ندارد. نوسانات در تقاضا برای کار یا تابع تلاش باعث تغییر در بیکاری خواهد شد. </w:t>
      </w:r>
    </w:p>
    <w:p w14:paraId="41C6FA0D" w14:textId="77777777" w:rsidR="00411620" w:rsidRPr="006B3D33" w:rsidRDefault="00411620" w:rsidP="00411620">
      <w:pPr>
        <w:spacing w:line="216" w:lineRule="auto"/>
        <w:rPr>
          <w:rFonts w:eastAsiaTheme="minorEastAsia"/>
          <w:i/>
          <w:sz w:val="23"/>
          <w:szCs w:val="23"/>
        </w:rPr>
      </w:pPr>
    </w:p>
    <w:p w14:paraId="09738949" w14:textId="77777777" w:rsidR="00411620" w:rsidRPr="006B3D33" w:rsidRDefault="00411620" w:rsidP="00411620">
      <w:pPr>
        <w:pStyle w:val="Heading1"/>
        <w:spacing w:before="0" w:after="0" w:line="216" w:lineRule="auto"/>
        <w:rPr>
          <w:rFonts w:ascii="Times New Roman" w:eastAsiaTheme="minorEastAsia" w:hAnsi="Times New Roman" w:cs="B Nazanin"/>
          <w:b w:val="0"/>
          <w:i/>
          <w:sz w:val="23"/>
          <w:szCs w:val="23"/>
          <w:rtl/>
        </w:rPr>
      </w:pPr>
      <w:r w:rsidRPr="006B3D33">
        <w:rPr>
          <w:rFonts w:ascii="Times New Roman" w:eastAsiaTheme="minorEastAsia" w:hAnsi="Times New Roman" w:cs="B Nazanin" w:hint="cs"/>
          <w:b w:val="0"/>
          <w:i/>
          <w:sz w:val="23"/>
          <w:szCs w:val="23"/>
          <w:rtl/>
        </w:rPr>
        <w:t>۱۰. ۴. ۱ توضیحات</w:t>
      </w:r>
    </w:p>
    <w:p w14:paraId="306670B7"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نظریه کارایی-دستمزد توضیحات مربوط به تسویه‌ی غیربازاری بیکاری و نظریه جستجو را با هم ترکیب می‌کند. این نظریه بیکاری را به یک مازاد عرضه‌ی کار در دستمزد متعارف و پرداخت مازاد بر دستمزد جهت سعی و کوشش جهت کاهش هزینه‌های جستجو که از عملکرد کار بوجود می‌آید نسبت می‌دهد. ضعف این نظریه در عدم در نظر گرفتن احتمال قراردادهای دستمزد است که ممکن است ممانعت از کم</w:t>
      </w:r>
      <w:r w:rsidRPr="006B3D33">
        <w:rPr>
          <w:rFonts w:eastAsiaTheme="minorEastAsia"/>
          <w:i/>
          <w:sz w:val="23"/>
          <w:szCs w:val="23"/>
          <w:rtl/>
        </w:rPr>
        <w:softHyphen/>
      </w:r>
      <w:r w:rsidRPr="006B3D33">
        <w:rPr>
          <w:rFonts w:eastAsiaTheme="minorEastAsia" w:hint="cs"/>
          <w:i/>
          <w:sz w:val="23"/>
          <w:szCs w:val="23"/>
          <w:rtl/>
        </w:rPr>
        <w:t>کاری کند.</w:t>
      </w:r>
    </w:p>
    <w:p w14:paraId="64FEE2FC" w14:textId="77777777" w:rsidR="00411620" w:rsidRDefault="00411620" w:rsidP="00411620">
      <w:pPr>
        <w:spacing w:line="216" w:lineRule="auto"/>
        <w:rPr>
          <w:rFonts w:eastAsiaTheme="minorEastAsia"/>
          <w:i/>
          <w:sz w:val="23"/>
          <w:szCs w:val="23"/>
          <w:rtl/>
        </w:rPr>
      </w:pPr>
      <w:r w:rsidRPr="006B3D33">
        <w:rPr>
          <w:rFonts w:eastAsiaTheme="minorEastAsia" w:hint="cs"/>
          <w:i/>
          <w:sz w:val="23"/>
          <w:szCs w:val="23"/>
          <w:rtl/>
        </w:rPr>
        <w:t>دلیل دیگری که مربوط به بهره</w:t>
      </w:r>
      <w:r w:rsidRPr="006B3D33">
        <w:rPr>
          <w:rFonts w:eastAsiaTheme="minorEastAsia"/>
          <w:i/>
          <w:sz w:val="23"/>
          <w:szCs w:val="23"/>
          <w:rtl/>
        </w:rPr>
        <w:softHyphen/>
      </w:r>
      <w:r w:rsidRPr="006B3D33">
        <w:rPr>
          <w:rFonts w:eastAsiaTheme="minorEastAsia" w:hint="cs"/>
          <w:i/>
          <w:sz w:val="23"/>
          <w:szCs w:val="23"/>
          <w:rtl/>
        </w:rPr>
        <w:t>وری نیروی کار با پرداخت بیش از دستمزد عمومی است آن است که کارگر دارای مهارت خاص و ویژه</w:t>
      </w:r>
      <w:r w:rsidRPr="006B3D33">
        <w:rPr>
          <w:rFonts w:eastAsiaTheme="minorEastAsia"/>
          <w:i/>
          <w:sz w:val="23"/>
          <w:szCs w:val="23"/>
          <w:rtl/>
        </w:rPr>
        <w:softHyphen/>
      </w:r>
      <w:r w:rsidRPr="006B3D33">
        <w:rPr>
          <w:rFonts w:eastAsiaTheme="minorEastAsia" w:hint="cs"/>
          <w:i/>
          <w:sz w:val="23"/>
          <w:szCs w:val="23"/>
          <w:rtl/>
        </w:rPr>
        <w:t>ای است که بسیاری فاقد آن می‌باشند. نظریه کارایی-دستمزد بیکاری</w:t>
      </w:r>
      <w:r w:rsidRPr="006B3D33">
        <w:rPr>
          <w:rFonts w:eastAsiaTheme="minorEastAsia"/>
          <w:i/>
          <w:sz w:val="23"/>
          <w:szCs w:val="23"/>
          <w:rtl/>
        </w:rPr>
        <w:softHyphen/>
      </w:r>
      <w:r w:rsidRPr="006B3D33">
        <w:rPr>
          <w:rFonts w:eastAsiaTheme="minorEastAsia" w:hint="cs"/>
          <w:i/>
          <w:sz w:val="23"/>
          <w:szCs w:val="23"/>
          <w:rtl/>
        </w:rPr>
        <w:t>ای را توضیح می‌دهد که در آن افراد بیشتری تمایل به عرضه‌ی بیشتر مهارت خود نسبت به تقاضا در مازاد دستمزد دارند. بنابراین بیکاری بیش</w:t>
      </w:r>
      <w:r w:rsidRPr="006B3D33">
        <w:rPr>
          <w:rFonts w:eastAsiaTheme="minorEastAsia"/>
          <w:i/>
          <w:sz w:val="23"/>
          <w:szCs w:val="23"/>
          <w:rtl/>
        </w:rPr>
        <w:softHyphen/>
      </w:r>
      <w:r w:rsidRPr="006B3D33">
        <w:rPr>
          <w:rFonts w:eastAsiaTheme="minorEastAsia" w:hint="cs"/>
          <w:i/>
          <w:sz w:val="23"/>
          <w:szCs w:val="23"/>
          <w:rtl/>
        </w:rPr>
        <w:t xml:space="preserve">تر بوسیله‌ی کارگران بسیار ماهر نسبت به کارگران معمولی توضیح داده می‌شود. هرچند شواهد تجربی این را نشان نمی‌دهد. ائتلاف کارگران غیرماهر </w:t>
      </w:r>
      <w:r w:rsidRPr="006B3D33">
        <w:rPr>
          <w:rFonts w:eastAsiaTheme="minorEastAsia" w:hint="cs"/>
          <w:i/>
          <w:sz w:val="23"/>
          <w:szCs w:val="23"/>
          <w:rtl/>
        </w:rPr>
        <w:lastRenderedPageBreak/>
        <w:t>بسیار بیشتر از کارگران ماهر است. بنابراین در شرایط رکود، بنگاه‌ها تمایل بیشتری به اخراج کارگران غیرماهر دارند زیرا بعد از رکود، استخدام کارگران غیرماهر به مراتب آسان</w:t>
      </w:r>
      <w:r w:rsidRPr="006B3D33">
        <w:rPr>
          <w:rFonts w:eastAsiaTheme="minorEastAsia"/>
          <w:i/>
          <w:sz w:val="23"/>
          <w:szCs w:val="23"/>
          <w:rtl/>
        </w:rPr>
        <w:softHyphen/>
      </w:r>
      <w:r w:rsidRPr="006B3D33">
        <w:rPr>
          <w:rFonts w:eastAsiaTheme="minorEastAsia" w:hint="cs"/>
          <w:i/>
          <w:sz w:val="23"/>
          <w:szCs w:val="23"/>
          <w:rtl/>
        </w:rPr>
        <w:t>تر از کارگران ماهر است. همچنین هزینه‌ی کارآموزی کارگران غیرماهر به مراتب کمتر است. لذا به نظر می‌رسد نظریه کارایی-دستمزد توضیح معتبر و موثقی را برای بیکاری غیرداوطلبانه ارائه نمی‌کند.</w:t>
      </w:r>
    </w:p>
    <w:p w14:paraId="2156DAD4" w14:textId="77777777" w:rsidR="00411620" w:rsidRDefault="00411620" w:rsidP="00411620">
      <w:pPr>
        <w:spacing w:line="216" w:lineRule="auto"/>
        <w:rPr>
          <w:rFonts w:eastAsiaTheme="minorEastAsia"/>
          <w:i/>
          <w:sz w:val="23"/>
          <w:szCs w:val="23"/>
          <w:rtl/>
        </w:rPr>
      </w:pPr>
    </w:p>
    <w:p w14:paraId="1C15C578" w14:textId="77777777" w:rsidR="00411620" w:rsidRDefault="00411620" w:rsidP="00411620">
      <w:pPr>
        <w:spacing w:line="216" w:lineRule="auto"/>
        <w:rPr>
          <w:rFonts w:eastAsiaTheme="minorEastAsia"/>
          <w:i/>
          <w:sz w:val="23"/>
          <w:szCs w:val="23"/>
          <w:rtl/>
        </w:rPr>
      </w:pPr>
    </w:p>
    <w:p w14:paraId="0A4546E4" w14:textId="77777777" w:rsidR="00411620" w:rsidRPr="006B3D33" w:rsidRDefault="00411620" w:rsidP="00411620">
      <w:pPr>
        <w:spacing w:line="216" w:lineRule="auto"/>
        <w:jc w:val="center"/>
        <w:rPr>
          <w:rFonts w:eastAsiaTheme="minorEastAsia"/>
          <w:i/>
          <w:sz w:val="23"/>
          <w:szCs w:val="23"/>
          <w:rtl/>
        </w:rPr>
      </w:pPr>
      <w:r w:rsidRPr="006B3D33">
        <w:rPr>
          <w:rFonts w:eastAsiaTheme="minorEastAsia" w:hint="cs"/>
          <w:i/>
          <w:sz w:val="23"/>
          <w:szCs w:val="23"/>
          <w:rtl/>
        </w:rPr>
        <w:t>نمودار ۱۰. ۳</w:t>
      </w:r>
    </w:p>
    <w:p w14:paraId="1EBD5872" w14:textId="77777777" w:rsidR="00411620" w:rsidRPr="006B3D33" w:rsidRDefault="00411620" w:rsidP="00411620">
      <w:pPr>
        <w:spacing w:line="216" w:lineRule="auto"/>
        <w:jc w:val="center"/>
        <w:rPr>
          <w:rFonts w:eastAsiaTheme="minorEastAsia"/>
          <w:i/>
          <w:sz w:val="23"/>
          <w:szCs w:val="23"/>
        </w:rPr>
      </w:pPr>
      <w:r w:rsidRPr="006B3D33">
        <w:rPr>
          <w:i/>
          <w:noProof/>
          <w:sz w:val="23"/>
          <w:szCs w:val="23"/>
          <w:u w:val="single"/>
          <w:lang w:bidi="ar-SA"/>
        </w:rPr>
        <w:drawing>
          <wp:inline distT="0" distB="0" distL="0" distR="0" wp14:anchorId="6CA76B0F" wp14:editId="6DC30D44">
            <wp:extent cx="3655695" cy="2203679"/>
            <wp:effectExtent l="38100" t="38100" r="40005" b="444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4">
                      <a:extLst>
                        <a:ext uri="{BEBA8EAE-BF5A-486C-A8C5-ECC9F3942E4B}">
                          <a14:imgProps xmlns:a14="http://schemas.microsoft.com/office/drawing/2010/main">
                            <a14:imgLayer r:embed="rId7155">
                              <a14:imgEffect>
                                <a14:sharpenSoften amount="50000"/>
                              </a14:imgEffect>
                              <a14:imgEffect>
                                <a14:brightnessContrast contrast="40000"/>
                              </a14:imgEffect>
                            </a14:imgLayer>
                          </a14:imgProps>
                        </a:ext>
                      </a:extLst>
                    </a:blip>
                    <a:stretch>
                      <a:fillRect/>
                    </a:stretch>
                  </pic:blipFill>
                  <pic:spPr>
                    <a:xfrm>
                      <a:off x="0" y="0"/>
                      <a:ext cx="3665678" cy="2209697"/>
                    </a:xfrm>
                    <a:prstGeom prst="rect">
                      <a:avLst/>
                    </a:prstGeom>
                    <a:ln w="28575">
                      <a:solidFill>
                        <a:schemeClr val="tx1"/>
                      </a:solidFill>
                    </a:ln>
                  </pic:spPr>
                </pic:pic>
              </a:graphicData>
            </a:graphic>
          </wp:inline>
        </w:drawing>
      </w:r>
    </w:p>
    <w:p w14:paraId="60F6C90E" w14:textId="77777777" w:rsidR="00411620" w:rsidRPr="006B3D33" w:rsidRDefault="00411620" w:rsidP="00411620">
      <w:pPr>
        <w:spacing w:line="216" w:lineRule="auto"/>
        <w:rPr>
          <w:rFonts w:eastAsiaTheme="minorEastAsia"/>
          <w:i/>
          <w:sz w:val="23"/>
          <w:szCs w:val="23"/>
          <w:rtl/>
        </w:rPr>
      </w:pPr>
    </w:p>
    <w:p w14:paraId="768C0E67" w14:textId="77777777" w:rsidR="00411620" w:rsidRPr="006B3D33" w:rsidRDefault="00411620" w:rsidP="00411620">
      <w:pPr>
        <w:pStyle w:val="Heading1"/>
        <w:spacing w:before="0" w:after="0" w:line="216" w:lineRule="auto"/>
        <w:rPr>
          <w:rFonts w:ascii="Times New Roman" w:eastAsiaTheme="minorEastAsia" w:hAnsi="Times New Roman" w:cs="B Nazanin"/>
          <w:b w:val="0"/>
          <w:i/>
          <w:sz w:val="23"/>
          <w:szCs w:val="23"/>
          <w:rtl/>
        </w:rPr>
      </w:pPr>
      <w:r w:rsidRPr="006B3D33">
        <w:rPr>
          <w:rFonts w:ascii="Times New Roman" w:eastAsiaTheme="minorEastAsia" w:hAnsi="Times New Roman" w:cs="B Nazanin" w:hint="cs"/>
          <w:b w:val="0"/>
          <w:i/>
          <w:sz w:val="23"/>
          <w:szCs w:val="23"/>
          <w:rtl/>
        </w:rPr>
        <w:t xml:space="preserve">۱۰. ۵ چسبندگی دستمزد و بیکاری </w:t>
      </w:r>
    </w:p>
    <w:p w14:paraId="761169F8"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در فصل نهم به این نکته اشاره کردیم که قیمت‌ها و دستمزد‌ها چسبنده بوده و کاملاً انعطاف‌پذیر نیستند. شواهد تجربی در خصوص تعدیل قیمت</w:t>
      </w:r>
      <w:r w:rsidRPr="006B3D33">
        <w:rPr>
          <w:rFonts w:eastAsiaTheme="minorEastAsia"/>
          <w:i/>
          <w:sz w:val="23"/>
          <w:szCs w:val="23"/>
          <w:rtl/>
        </w:rPr>
        <w:softHyphen/>
      </w:r>
      <w:r w:rsidRPr="006B3D33">
        <w:rPr>
          <w:rFonts w:eastAsiaTheme="minorEastAsia" w:hint="cs"/>
          <w:i/>
          <w:sz w:val="23"/>
          <w:szCs w:val="23"/>
          <w:rtl/>
        </w:rPr>
        <w:t>ها نشان می‌دهد که این چسبندگی در بین فعالیت‌های اقتصادی متفاوت است. برخی قیمت‌ها پیوسته در حال تغییر و برخی دیگر ممکن است بعد از یک سال تغییر کنند. دستمزدها بوسیله‌ی قراردادهایی که معمولاً سالانه است استمرار دارند و ممکن است در طی سال نیز تغییر کنند. این ویژگی‌های نهادی، پایه‌های اساسی نظریه قرارداد هم پوش تیلور در خصوص انعطاف‌پذیری ناقص دستمزد را تشکیل می‌دهد. با کاربرد مدل مرسوم تقاضا و عرضه‌ی کار می‌توان اثر انعطاف‌پذیری ناقص دستمزد را در رفتار بهینه‌ی اشتغال و بیکاری بررسی کرد. بطور شهودی اگر شوک منفی بر تقاضای کار وجود داشته باشد، آنگاه دستمزد حقیقی باید کاهش یابد تا تعادل در بازار کار برقرار شده و از بیکاری اجتناب شود. در تعادل جدید دستمزدهای حقیقی و اشتغال در سطح پایین‌تری قرار دارند. اما اگر دستمزد حقیقی به آهستگی و کندی کاهش یابد، آنگاه عرضه‌ی کار به سرعت کاهش نمی</w:t>
      </w:r>
      <w:r w:rsidRPr="006B3D33">
        <w:rPr>
          <w:rFonts w:eastAsiaTheme="minorEastAsia"/>
          <w:i/>
          <w:sz w:val="23"/>
          <w:szCs w:val="23"/>
          <w:rtl/>
        </w:rPr>
        <w:softHyphen/>
      </w:r>
      <w:r w:rsidRPr="006B3D33">
        <w:rPr>
          <w:rFonts w:eastAsiaTheme="minorEastAsia" w:hint="cs"/>
          <w:i/>
          <w:sz w:val="23"/>
          <w:szCs w:val="23"/>
          <w:rtl/>
        </w:rPr>
        <w:t xml:space="preserve">یابد تا مانع مازاد عرضه‌ی کار نسبت به تقاضا برای کار </w:t>
      </w:r>
      <w:r w:rsidRPr="006B3D33">
        <w:rPr>
          <w:rFonts w:eastAsiaTheme="minorEastAsia" w:hint="cs"/>
          <w:i/>
          <w:sz w:val="23"/>
          <w:szCs w:val="23"/>
          <w:rtl/>
        </w:rPr>
        <w:lastRenderedPageBreak/>
        <w:t>و اشتغال شود. تفاوت دستمزد حقیقی در عرضه‌ی نیروی کار و تقاضا برای نیروی کار باعث بیکاری می‌شود.</w:t>
      </w:r>
    </w:p>
    <w:p w14:paraId="151B464F" w14:textId="77777777" w:rsidR="00411620" w:rsidRPr="006B3D33" w:rsidRDefault="00411620" w:rsidP="00411620">
      <w:pPr>
        <w:spacing w:line="216" w:lineRule="auto"/>
        <w:rPr>
          <w:rFonts w:eastAsiaTheme="minorEastAsia"/>
          <w:i/>
          <w:sz w:val="23"/>
          <w:szCs w:val="23"/>
          <w:rtl/>
        </w:rPr>
      </w:pPr>
    </w:p>
    <w:p w14:paraId="5264F7E0" w14:textId="77777777" w:rsidR="00411620" w:rsidRPr="006B3D33" w:rsidRDefault="00411620" w:rsidP="00411620">
      <w:pPr>
        <w:pStyle w:val="Heading1"/>
        <w:spacing w:before="0" w:after="0" w:line="216" w:lineRule="auto"/>
        <w:rPr>
          <w:rFonts w:ascii="Times New Roman" w:eastAsiaTheme="minorEastAsia" w:hAnsi="Times New Roman" w:cs="B Nazanin"/>
          <w:b w:val="0"/>
          <w:i/>
          <w:sz w:val="23"/>
          <w:szCs w:val="23"/>
          <w:rtl/>
        </w:rPr>
      </w:pPr>
      <w:r w:rsidRPr="006B3D33">
        <w:rPr>
          <w:rFonts w:ascii="Times New Roman" w:eastAsiaTheme="minorEastAsia" w:hAnsi="Times New Roman" w:cs="B Nazanin" w:hint="cs"/>
          <w:b w:val="0"/>
          <w:i/>
          <w:sz w:val="23"/>
          <w:szCs w:val="23"/>
          <w:rtl/>
        </w:rPr>
        <w:t>۱۰. ۵. ۱ تقاضای کار</w:t>
      </w:r>
    </w:p>
    <w:p w14:paraId="0686288A"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 فرض می‌شود بنگاه‌ها ارزش حال سود انتظاری خود را حداکثر می‌کنند. بنابراین</w:t>
      </w:r>
    </w:p>
    <w:p w14:paraId="63CDF9A4"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tl/>
        </w:rPr>
      </w:pPr>
      <w:r w:rsidRPr="006B3D33">
        <w:rPr>
          <w:position w:val="-34"/>
        </w:rPr>
        <w:object w:dxaOrig="1840" w:dyaOrig="800" w14:anchorId="595FF0FC">
          <v:shape id="_x0000_i4579" type="#_x0000_t75" style="width:91.95pt;height:39.95pt" o:ole="">
            <v:imagedata r:id="rId7156" o:title=""/>
          </v:shape>
          <o:OLEObject Type="Embed" ProgID="Equation.DSMT4" ShapeID="_x0000_i4579" DrawAspect="Content" ObjectID="_1791378523" r:id="rId7157"/>
        </w:object>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۳۵)</w:t>
      </w:r>
    </w:p>
    <w:p w14:paraId="6FEEFBAA"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سود و یا درآمدهای خالص بنگاه در زمان</w:t>
      </w:r>
      <w:r w:rsidRPr="006B3D33">
        <w:rPr>
          <w:position w:val="-6"/>
        </w:rPr>
        <w:object w:dxaOrig="139" w:dyaOrig="240" w14:anchorId="50ACD268">
          <v:shape id="_x0000_i4580" type="#_x0000_t75" style="width:7.25pt;height:12.1pt" o:ole="">
            <v:imagedata r:id="rId7158" o:title=""/>
          </v:shape>
          <o:OLEObject Type="Embed" ProgID="Equation.DSMT4" ShapeID="_x0000_i4580" DrawAspect="Content" ObjectID="_1791378524" r:id="rId7159"/>
        </w:object>
      </w:r>
      <w:r w:rsidRPr="006B3D33">
        <w:rPr>
          <w:rFonts w:eastAsiaTheme="minorEastAsia" w:hint="cs"/>
          <w:i/>
          <w:sz w:val="23"/>
          <w:szCs w:val="23"/>
          <w:rtl/>
        </w:rPr>
        <w:t xml:space="preserve"> برابر است با</w:t>
      </w:r>
    </w:p>
    <w:p w14:paraId="3E39A8F6"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tl/>
        </w:rPr>
      </w:pPr>
      <w:r w:rsidRPr="006B3D33">
        <w:rPr>
          <w:position w:val="-12"/>
        </w:rPr>
        <w:object w:dxaOrig="1640" w:dyaOrig="360" w14:anchorId="1110B7FA">
          <v:shape id="_x0000_i4581" type="#_x0000_t75" style="width:82.3pt;height:18.15pt" o:ole="">
            <v:imagedata r:id="rId7160" o:title=""/>
          </v:shape>
          <o:OLEObject Type="Embed" ProgID="Equation.DSMT4" ShapeID="_x0000_i4581" DrawAspect="Content" ObjectID="_1791378525" r:id="rId7161"/>
        </w:object>
      </w:r>
    </w:p>
    <w:p w14:paraId="4513B71D"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که در آن</w:t>
      </w:r>
      <w:r w:rsidRPr="006B3D33">
        <w:rPr>
          <w:position w:val="-10"/>
        </w:rPr>
        <w:object w:dxaOrig="240" w:dyaOrig="320" w14:anchorId="496E9D47">
          <v:shape id="_x0000_i4582" type="#_x0000_t75" style="width:12.1pt;height:15.75pt" o:ole="">
            <v:imagedata r:id="rId7162" o:title=""/>
          </v:shape>
          <o:OLEObject Type="Embed" ProgID="Equation.DSMT4" ShapeID="_x0000_i4582" DrawAspect="Content" ObjectID="_1791378526" r:id="rId7163"/>
        </w:object>
      </w:r>
      <w:r w:rsidRPr="006B3D33">
        <w:rPr>
          <w:rFonts w:eastAsiaTheme="minorEastAsia" w:hint="cs"/>
          <w:i/>
          <w:sz w:val="23"/>
          <w:szCs w:val="23"/>
          <w:rtl/>
        </w:rPr>
        <w:t xml:space="preserve"> اشتغال می‌باشد و بوسیله‌ی نفر-ساعت اندازه</w:t>
      </w:r>
      <w:r w:rsidRPr="006B3D33">
        <w:rPr>
          <w:rFonts w:eastAsiaTheme="minorEastAsia"/>
          <w:i/>
          <w:sz w:val="23"/>
          <w:szCs w:val="23"/>
          <w:rtl/>
        </w:rPr>
        <w:softHyphen/>
      </w:r>
      <w:r w:rsidRPr="006B3D33">
        <w:rPr>
          <w:rFonts w:eastAsiaTheme="minorEastAsia" w:hint="cs"/>
          <w:i/>
          <w:sz w:val="23"/>
          <w:szCs w:val="23"/>
          <w:rtl/>
        </w:rPr>
        <w:t>گیری می‌شود،</w:t>
      </w:r>
      <w:r w:rsidRPr="006B3D33">
        <w:rPr>
          <w:position w:val="-10"/>
        </w:rPr>
        <w:object w:dxaOrig="260" w:dyaOrig="320" w14:anchorId="3394941F">
          <v:shape id="_x0000_i4583" type="#_x0000_t75" style="width:12.7pt;height:15.75pt" o:ole="">
            <v:imagedata r:id="rId7164" o:title=""/>
          </v:shape>
          <o:OLEObject Type="Embed" ProgID="Equation.DSMT4" ShapeID="_x0000_i4583" DrawAspect="Content" ObjectID="_1791378527" r:id="rId7165"/>
        </w:object>
      </w:r>
      <w:r w:rsidRPr="006B3D33">
        <w:rPr>
          <w:rFonts w:eastAsiaTheme="minorEastAsia" w:hint="cs"/>
          <w:i/>
          <w:sz w:val="23"/>
          <w:szCs w:val="23"/>
          <w:rtl/>
        </w:rPr>
        <w:t xml:space="preserve"> نرخ دستمزد حقیقی ساعتی و</w:t>
      </w:r>
      <w:r w:rsidRPr="00025957">
        <w:rPr>
          <w:position w:val="-4"/>
        </w:rPr>
        <w:object w:dxaOrig="180" w:dyaOrig="180" w14:anchorId="66032F3E">
          <v:shape id="_x0000_i4584" type="#_x0000_t75" style="width:9.1pt;height:9.1pt" o:ole="">
            <v:imagedata r:id="rId7166" o:title=""/>
          </v:shape>
          <o:OLEObject Type="Embed" ProgID="Equation.DSMT4" ShapeID="_x0000_i4584" DrawAspect="Content" ObjectID="_1791378528" r:id="rId7167"/>
        </w:object>
      </w:r>
      <w:r w:rsidRPr="006B3D33">
        <w:rPr>
          <w:rFonts w:eastAsiaTheme="minorEastAsia" w:hint="cs"/>
          <w:i/>
          <w:sz w:val="23"/>
          <w:szCs w:val="23"/>
          <w:rtl/>
        </w:rPr>
        <w:t xml:space="preserve"> نرخ حقیقی بازدهی اوراق قرضه یک</w:t>
      </w:r>
      <w:r w:rsidRPr="006B3D33">
        <w:rPr>
          <w:rFonts w:eastAsiaTheme="minorEastAsia"/>
          <w:i/>
          <w:sz w:val="23"/>
          <w:szCs w:val="23"/>
          <w:rtl/>
        </w:rPr>
        <w:softHyphen/>
      </w:r>
      <w:r w:rsidRPr="006B3D33">
        <w:rPr>
          <w:rFonts w:eastAsiaTheme="minorEastAsia" w:hint="cs"/>
          <w:i/>
          <w:sz w:val="23"/>
          <w:szCs w:val="23"/>
          <w:rtl/>
        </w:rPr>
        <w:t>دوره</w:t>
      </w:r>
      <w:r w:rsidRPr="006B3D33">
        <w:rPr>
          <w:rFonts w:eastAsiaTheme="minorEastAsia"/>
          <w:i/>
          <w:sz w:val="23"/>
          <w:szCs w:val="23"/>
          <w:rtl/>
        </w:rPr>
        <w:softHyphen/>
      </w:r>
      <w:r w:rsidRPr="006B3D33">
        <w:rPr>
          <w:rFonts w:eastAsiaTheme="minorEastAsia" w:hint="cs"/>
          <w:i/>
          <w:sz w:val="23"/>
          <w:szCs w:val="23"/>
          <w:rtl/>
        </w:rPr>
        <w:t>ای است. با فرض این</w:t>
      </w:r>
      <w:r w:rsidRPr="006B3D33">
        <w:rPr>
          <w:rFonts w:eastAsiaTheme="minorEastAsia"/>
          <w:i/>
          <w:sz w:val="23"/>
          <w:szCs w:val="23"/>
          <w:rtl/>
        </w:rPr>
        <w:softHyphen/>
      </w:r>
      <w:r w:rsidRPr="006B3D33">
        <w:rPr>
          <w:rFonts w:eastAsiaTheme="minorEastAsia" w:hint="cs"/>
          <w:i/>
          <w:sz w:val="23"/>
          <w:szCs w:val="23"/>
          <w:rtl/>
        </w:rPr>
        <w:t>که در کوتاه‌مدت موجودی سرمایه ثابت است، تابع تولید عبارت خواهد بود از</w:t>
      </w:r>
    </w:p>
    <w:p w14:paraId="2064B3E5" w14:textId="77777777" w:rsidR="00411620" w:rsidRPr="006B3D33" w:rsidRDefault="00411620" w:rsidP="00411620">
      <w:pPr>
        <w:bidi w:val="0"/>
        <w:spacing w:line="216" w:lineRule="auto"/>
        <w:rPr>
          <w:rFonts w:eastAsiaTheme="minorEastAsia"/>
          <w:i/>
          <w:sz w:val="23"/>
          <w:szCs w:val="23"/>
          <w:rtl/>
        </w:rPr>
      </w:pPr>
      <w:r w:rsidRPr="006B3D33">
        <w:rPr>
          <w:rFonts w:eastAsiaTheme="minorEastAsia" w:hint="cs"/>
          <w:i/>
          <w:sz w:val="23"/>
          <w:szCs w:val="23"/>
          <w:rtl/>
        </w:rPr>
        <w:t xml:space="preserve"> </w:t>
      </w:r>
      <w:r w:rsidRPr="006B3D33">
        <w:rPr>
          <w:position w:val="-12"/>
        </w:rPr>
        <w:object w:dxaOrig="1280" w:dyaOrig="360" w14:anchorId="23385064">
          <v:shape id="_x0000_i4585" type="#_x0000_t75" style="width:64.15pt;height:18.15pt" o:ole="">
            <v:imagedata r:id="rId7168" o:title=""/>
          </v:shape>
          <o:OLEObject Type="Embed" ProgID="Equation.DSMT4" ShapeID="_x0000_i4585" DrawAspect="Content" ObjectID="_1791378529" r:id="rId7169"/>
        </w:object>
      </w:r>
    </w:p>
    <w:p w14:paraId="5256224B"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و لذا</w:t>
      </w:r>
    </w:p>
    <w:p w14:paraId="4D6E89BC"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r w:rsidRPr="006B3D33">
        <w:rPr>
          <w:position w:val="-34"/>
        </w:rPr>
        <w:object w:dxaOrig="2880" w:dyaOrig="800" w14:anchorId="4270D143">
          <v:shape id="_x0000_i4586" type="#_x0000_t75" style="width:2in;height:39.95pt" o:ole="">
            <v:imagedata r:id="rId7170" o:title=""/>
          </v:shape>
          <o:OLEObject Type="Embed" ProgID="Equation.DSMT4" ShapeID="_x0000_i4586" DrawAspect="Content" ObjectID="_1791378530" r:id="rId7171"/>
        </w:object>
      </w:r>
    </w:p>
    <w:p w14:paraId="24A6E01E"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با حداکثر کردن</w:t>
      </w:r>
      <w:r w:rsidRPr="006B3D33">
        <w:rPr>
          <w:position w:val="-10"/>
        </w:rPr>
        <w:object w:dxaOrig="240" w:dyaOrig="320" w14:anchorId="7D18D55F">
          <v:shape id="_x0000_i4587" type="#_x0000_t75" style="width:12.1pt;height:15.75pt" o:ole="">
            <v:imagedata r:id="rId7172" o:title=""/>
          </v:shape>
          <o:OLEObject Type="Embed" ProgID="Equation.DSMT4" ShapeID="_x0000_i4587" DrawAspect="Content" ObjectID="_1791378531" r:id="rId7173"/>
        </w:object>
      </w:r>
      <w:r w:rsidRPr="006B3D33">
        <w:rPr>
          <w:rFonts w:eastAsiaTheme="minorEastAsia" w:hint="cs"/>
          <w:i/>
          <w:sz w:val="23"/>
          <w:szCs w:val="23"/>
          <w:rtl/>
        </w:rPr>
        <w:t xml:space="preserve"> نسبت به</w:t>
      </w:r>
      <w:r w:rsidRPr="006B3D33">
        <w:rPr>
          <w:position w:val="-10"/>
        </w:rPr>
        <w:object w:dxaOrig="380" w:dyaOrig="320" w14:anchorId="3CBE9C24">
          <v:shape id="_x0000_i4588" type="#_x0000_t75" style="width:19.35pt;height:15.75pt" o:ole="">
            <v:imagedata r:id="rId7174" o:title=""/>
          </v:shape>
          <o:OLEObject Type="Embed" ProgID="Equation.DSMT4" ShapeID="_x0000_i4588" DrawAspect="Content" ObjectID="_1791378532" r:id="rId7175"/>
        </w:object>
      </w:r>
      <w:r w:rsidRPr="006B3D33">
        <w:rPr>
          <w:rFonts w:eastAsiaTheme="minorEastAsia" w:hint="cs"/>
          <w:i/>
          <w:sz w:val="23"/>
          <w:szCs w:val="23"/>
          <w:rtl/>
        </w:rPr>
        <w:t xml:space="preserve"> شرط مرتبه اول زیر را خواهیم داشت</w:t>
      </w:r>
    </w:p>
    <w:p w14:paraId="30F0AB2D"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p>
    <w:p w14:paraId="1BE3B3BE"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و یا</w:t>
      </w:r>
    </w:p>
    <w:p w14:paraId="09734410"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r w:rsidRPr="006B3D33">
        <w:rPr>
          <w:position w:val="-22"/>
        </w:rPr>
        <w:object w:dxaOrig="2960" w:dyaOrig="660" w14:anchorId="7778EA04">
          <v:shape id="_x0000_i4589" type="#_x0000_t75" style="width:148.25pt;height:32.65pt" o:ole="">
            <v:imagedata r:id="rId7176" o:title=""/>
          </v:shape>
          <o:OLEObject Type="Embed" ProgID="Equation.DSMT4" ShapeID="_x0000_i4589" DrawAspect="Content" ObjectID="_1791378533" r:id="rId7177"/>
        </w:object>
      </w:r>
    </w:p>
    <w:p w14:paraId="2606CA98"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بنابراین </w:t>
      </w:r>
      <w:r w:rsidRPr="006B3D33">
        <w:rPr>
          <w:rFonts w:hint="cs"/>
          <w:i/>
          <w:sz w:val="23"/>
          <w:szCs w:val="23"/>
          <w:rtl/>
        </w:rPr>
        <w:t>تقا</w:t>
      </w:r>
      <w:r w:rsidRPr="006B3D33">
        <w:rPr>
          <w:rFonts w:eastAsiaTheme="minorEastAsia" w:hint="cs"/>
          <w:i/>
          <w:sz w:val="23"/>
          <w:szCs w:val="23"/>
          <w:rtl/>
        </w:rPr>
        <w:t>ضا برای کار در زمان</w:t>
      </w:r>
      <w:r w:rsidRPr="006B3D33">
        <w:rPr>
          <w:position w:val="-6"/>
        </w:rPr>
        <w:object w:dxaOrig="139" w:dyaOrig="240" w14:anchorId="74B68C98">
          <v:shape id="_x0000_i4590" type="#_x0000_t75" style="width:7.25pt;height:12.1pt" o:ole="">
            <v:imagedata r:id="rId7178" o:title=""/>
          </v:shape>
          <o:OLEObject Type="Embed" ProgID="Equation.DSMT4" ShapeID="_x0000_i4590" DrawAspect="Content" ObjectID="_1791378534" r:id="rId7179"/>
        </w:object>
      </w:r>
      <w:r w:rsidRPr="006B3D33">
        <w:rPr>
          <w:rFonts w:hint="cs"/>
          <w:i/>
          <w:sz w:val="23"/>
          <w:szCs w:val="23"/>
          <w:rtl/>
        </w:rPr>
        <w:t xml:space="preserve"> </w:t>
      </w:r>
      <w:r w:rsidRPr="006B3D33">
        <w:rPr>
          <w:rFonts w:eastAsiaTheme="minorEastAsia" w:hint="cs"/>
          <w:i/>
          <w:sz w:val="23"/>
          <w:szCs w:val="23"/>
          <w:rtl/>
        </w:rPr>
        <w:t>برابر است با</w:t>
      </w:r>
    </w:p>
    <w:p w14:paraId="6D96E635" w14:textId="77777777" w:rsidR="00411620" w:rsidRPr="006B3D33" w:rsidRDefault="00411620" w:rsidP="00411620">
      <w:pPr>
        <w:tabs>
          <w:tab w:val="left" w:pos="720"/>
          <w:tab w:val="left" w:pos="1440"/>
          <w:tab w:val="left" w:pos="2160"/>
          <w:tab w:val="left" w:pos="2880"/>
          <w:tab w:val="left" w:pos="3600"/>
          <w:tab w:val="left" w:pos="4320"/>
          <w:tab w:val="left" w:pos="5040"/>
        </w:tabs>
        <w:bidi w:val="0"/>
        <w:spacing w:line="216" w:lineRule="auto"/>
        <w:rPr>
          <w:rFonts w:eastAsiaTheme="minorEastAsia"/>
          <w:i/>
          <w:sz w:val="23"/>
          <w:szCs w:val="23"/>
        </w:rPr>
      </w:pPr>
      <w:r w:rsidRPr="006B3D33">
        <w:rPr>
          <w:position w:val="-30"/>
        </w:rPr>
        <w:object w:dxaOrig="1660" w:dyaOrig="760" w14:anchorId="1A3C87DA">
          <v:shape id="_x0000_i4591" type="#_x0000_t75" style="width:82.9pt;height:38.1pt" o:ole="">
            <v:imagedata r:id="rId7180" o:title=""/>
          </v:shape>
          <o:OLEObject Type="Embed" ProgID="Equation.DSMT4" ShapeID="_x0000_i4591" DrawAspect="Content" ObjectID="_1791378535" r:id="rId7181"/>
        </w:object>
      </w:r>
      <w:r w:rsidRPr="006B3D33">
        <w:rPr>
          <w:i/>
          <w:sz w:val="23"/>
          <w:szCs w:val="23"/>
        </w:rPr>
        <w:tab/>
      </w:r>
      <w:r w:rsidRPr="006B3D33">
        <w:rPr>
          <w:i/>
          <w:sz w:val="23"/>
          <w:szCs w:val="23"/>
        </w:rPr>
        <w:tab/>
      </w:r>
      <w:r w:rsidRPr="006B3D33">
        <w:rPr>
          <w:i/>
          <w:sz w:val="23"/>
          <w:szCs w:val="23"/>
        </w:rPr>
        <w:tab/>
      </w:r>
      <w:r w:rsidRPr="006B3D33">
        <w:rPr>
          <w:i/>
          <w:sz w:val="23"/>
          <w:szCs w:val="23"/>
        </w:rPr>
        <w:tab/>
      </w:r>
      <w:r>
        <w:rPr>
          <w:i/>
          <w:sz w:val="23"/>
          <w:szCs w:val="23"/>
          <w:rtl/>
        </w:rPr>
        <w:tab/>
      </w:r>
      <w:r w:rsidRPr="006B3D33">
        <w:rPr>
          <w:i/>
          <w:sz w:val="23"/>
          <w:szCs w:val="23"/>
        </w:rPr>
        <w:tab/>
      </w:r>
      <w:r w:rsidRPr="006B3D33">
        <w:rPr>
          <w:i/>
          <w:sz w:val="23"/>
          <w:szCs w:val="23"/>
          <w:rtl/>
        </w:rPr>
        <w:tab/>
      </w:r>
      <w:r w:rsidRPr="006B3D33">
        <w:rPr>
          <w:i/>
          <w:sz w:val="23"/>
          <w:szCs w:val="23"/>
          <w:rtl/>
        </w:rPr>
        <w:tab/>
      </w:r>
      <w:r w:rsidRPr="006B3D33">
        <w:rPr>
          <w:i/>
          <w:sz w:val="23"/>
          <w:szCs w:val="23"/>
        </w:rPr>
        <w:tab/>
      </w:r>
      <w:r w:rsidRPr="006B3D33">
        <w:rPr>
          <w:rFonts w:eastAsiaTheme="minorEastAsia" w:hint="cs"/>
          <w:i/>
          <w:sz w:val="23"/>
          <w:szCs w:val="23"/>
        </w:rPr>
        <w:t xml:space="preserve"> </w:t>
      </w:r>
      <w:r w:rsidRPr="006B3D33">
        <w:rPr>
          <w:rFonts w:eastAsiaTheme="minorEastAsia" w:hint="cs"/>
          <w:i/>
          <w:sz w:val="23"/>
          <w:szCs w:val="23"/>
          <w:rtl/>
        </w:rPr>
        <w:t>(۱۰. ۳۶)</w:t>
      </w:r>
    </w:p>
    <w:p w14:paraId="510A79E9" w14:textId="77777777" w:rsidR="00411620" w:rsidRPr="009D630D" w:rsidRDefault="00411620" w:rsidP="00411620">
      <w:pPr>
        <w:pStyle w:val="Heading2"/>
        <w:rPr>
          <w:rFonts w:ascii="Times New Roman" w:eastAsiaTheme="minorEastAsia" w:hAnsi="Times New Roman" w:cs="B Nazanin"/>
          <w:b w:val="0"/>
          <w:i/>
          <w:color w:val="000000" w:themeColor="text1"/>
          <w:sz w:val="23"/>
          <w:szCs w:val="23"/>
          <w:rtl/>
        </w:rPr>
      </w:pPr>
      <w:r w:rsidRPr="009D630D">
        <w:rPr>
          <w:rFonts w:ascii="Times New Roman" w:eastAsiaTheme="minorEastAsia" w:hAnsi="Times New Roman" w:cs="B Nazanin" w:hint="cs"/>
          <w:b w:val="0"/>
          <w:i/>
          <w:color w:val="000000" w:themeColor="text1"/>
          <w:sz w:val="23"/>
          <w:szCs w:val="23"/>
          <w:rtl/>
        </w:rPr>
        <w:t>۱۰. ۵. ۲ عرضه‌ی کار</w:t>
      </w:r>
    </w:p>
    <w:p w14:paraId="19F3C6D3"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تابع مطلوبیت بین</w:t>
      </w:r>
      <w:r w:rsidRPr="006B3D33">
        <w:rPr>
          <w:rFonts w:eastAsiaTheme="minorEastAsia"/>
          <w:i/>
          <w:sz w:val="23"/>
          <w:szCs w:val="23"/>
          <w:rtl/>
        </w:rPr>
        <w:softHyphen/>
      </w:r>
      <w:r w:rsidRPr="006B3D33">
        <w:rPr>
          <w:rFonts w:eastAsiaTheme="minorEastAsia" w:hint="cs"/>
          <w:i/>
          <w:sz w:val="23"/>
          <w:szCs w:val="23"/>
          <w:rtl/>
        </w:rPr>
        <w:t>دوره</w:t>
      </w:r>
      <w:r w:rsidRPr="006B3D33">
        <w:rPr>
          <w:rFonts w:eastAsiaTheme="minorEastAsia"/>
          <w:i/>
          <w:sz w:val="23"/>
          <w:szCs w:val="23"/>
          <w:rtl/>
        </w:rPr>
        <w:softHyphen/>
      </w:r>
      <w:r w:rsidRPr="006B3D33">
        <w:rPr>
          <w:rFonts w:eastAsiaTheme="minorEastAsia" w:hint="cs"/>
          <w:i/>
          <w:sz w:val="23"/>
          <w:szCs w:val="23"/>
          <w:rtl/>
        </w:rPr>
        <w:t>ای زیر را در نظر بگیرید</w:t>
      </w:r>
    </w:p>
    <w:p w14:paraId="381F44B3"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r w:rsidRPr="006B3D33">
        <w:rPr>
          <w:position w:val="-32"/>
        </w:rPr>
        <w:object w:dxaOrig="2880" w:dyaOrig="740" w14:anchorId="1F346793">
          <v:shape id="_x0000_i4592" type="#_x0000_t75" style="width:2in;height:36.9pt" o:ole="">
            <v:imagedata r:id="rId7182" o:title=""/>
          </v:shape>
          <o:OLEObject Type="Embed" ProgID="Equation.DSMT4" ShapeID="_x0000_i4592" DrawAspect="Content" ObjectID="_1791378536" r:id="rId7183"/>
        </w:object>
      </w:r>
    </w:p>
    <w:p w14:paraId="229B5BC6"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که در آن</w:t>
      </w:r>
      <w:r w:rsidRPr="006B3D33">
        <w:rPr>
          <w:position w:val="-10"/>
        </w:rPr>
        <w:object w:dxaOrig="200" w:dyaOrig="320" w14:anchorId="387640C7">
          <v:shape id="_x0000_i4593" type="#_x0000_t75" style="width:10.3pt;height:15.75pt" o:ole="">
            <v:imagedata r:id="rId7184" o:title=""/>
          </v:shape>
          <o:OLEObject Type="Embed" ProgID="Equation.DSMT4" ShapeID="_x0000_i4593" DrawAspect="Content" ObjectID="_1791378537" r:id="rId7185"/>
        </w:object>
      </w:r>
      <w:r w:rsidRPr="006B3D33">
        <w:rPr>
          <w:rFonts w:eastAsiaTheme="minorEastAsia" w:hint="cs"/>
          <w:i/>
          <w:sz w:val="23"/>
          <w:szCs w:val="23"/>
          <w:rtl/>
        </w:rPr>
        <w:t xml:space="preserve"> مخارج مصرفی خانوار است. قید بودجه‌ی حقیقی خانوار عبارت است از</w:t>
      </w:r>
    </w:p>
    <w:p w14:paraId="3D1C7F1D"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r w:rsidRPr="006B3D33">
        <w:rPr>
          <w:position w:val="-10"/>
        </w:rPr>
        <w:object w:dxaOrig="2280" w:dyaOrig="320" w14:anchorId="2B9FEBFC">
          <v:shape id="_x0000_i4594" type="#_x0000_t75" style="width:114.35pt;height:15.75pt" o:ole="">
            <v:imagedata r:id="rId7186" o:title=""/>
          </v:shape>
          <o:OLEObject Type="Embed" ProgID="Equation.DSMT4" ShapeID="_x0000_i4594" DrawAspect="Content" ObjectID="_1791378538" r:id="rId7187"/>
        </w:object>
      </w:r>
    </w:p>
    <w:p w14:paraId="0945609E"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که در آن</w:t>
      </w:r>
      <w:r w:rsidRPr="006B3D33">
        <w:rPr>
          <w:position w:val="-10"/>
        </w:rPr>
        <w:object w:dxaOrig="240" w:dyaOrig="320" w14:anchorId="312CE649">
          <v:shape id="_x0000_i4595" type="#_x0000_t75" style="width:12.1pt;height:15.75pt" o:ole="">
            <v:imagedata r:id="rId7188" o:title=""/>
          </v:shape>
          <o:OLEObject Type="Embed" ProgID="Equation.DSMT4" ShapeID="_x0000_i4595" DrawAspect="Content" ObjectID="_1791378539" r:id="rId7189"/>
        </w:object>
      </w:r>
      <w:r w:rsidRPr="006B3D33">
        <w:rPr>
          <w:rFonts w:eastAsiaTheme="minorEastAsia" w:hint="cs"/>
          <w:i/>
          <w:sz w:val="23"/>
          <w:szCs w:val="23"/>
          <w:rtl/>
        </w:rPr>
        <w:t xml:space="preserve"> سود سهام و</w:t>
      </w:r>
      <w:r w:rsidRPr="006B3D33">
        <w:rPr>
          <w:position w:val="-10"/>
        </w:rPr>
        <w:object w:dxaOrig="220" w:dyaOrig="320" w14:anchorId="228B39CA">
          <v:shape id="_x0000_i4596" type="#_x0000_t75" style="width:10.9pt;height:15.75pt" o:ole="">
            <v:imagedata r:id="rId7190" o:title=""/>
          </v:shape>
          <o:OLEObject Type="Embed" ProgID="Equation.DSMT4" ShapeID="_x0000_i4596" DrawAspect="Content" ObjectID="_1791378540" r:id="rId7191"/>
        </w:object>
      </w:r>
      <w:r w:rsidRPr="006B3D33">
        <w:rPr>
          <w:rFonts w:hint="cs"/>
          <w:i/>
          <w:sz w:val="23"/>
          <w:szCs w:val="23"/>
          <w:rtl/>
        </w:rPr>
        <w:t xml:space="preserve"> </w:t>
      </w:r>
      <w:r w:rsidRPr="006B3D33">
        <w:rPr>
          <w:rFonts w:eastAsiaTheme="minorEastAsia" w:hint="cs"/>
          <w:i/>
          <w:sz w:val="23"/>
          <w:szCs w:val="23"/>
          <w:rtl/>
        </w:rPr>
        <w:t>اوراق قرضه</w:t>
      </w:r>
      <w:r w:rsidRPr="006B3D33">
        <w:rPr>
          <w:rFonts w:eastAsiaTheme="minorEastAsia"/>
          <w:i/>
          <w:sz w:val="23"/>
          <w:szCs w:val="23"/>
          <w:rtl/>
        </w:rPr>
        <w:softHyphen/>
      </w:r>
      <w:r w:rsidRPr="006B3D33">
        <w:rPr>
          <w:rFonts w:eastAsiaTheme="minorEastAsia" w:hint="cs"/>
          <w:i/>
          <w:sz w:val="23"/>
          <w:szCs w:val="23"/>
          <w:rtl/>
        </w:rPr>
        <w:t>ی نزد خانوار است. لاگرانژین این مسئله عبارت است از</w:t>
      </w:r>
    </w:p>
    <w:p w14:paraId="45984226"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r w:rsidRPr="006B3D33">
        <w:rPr>
          <w:position w:val="-34"/>
        </w:rPr>
        <w:object w:dxaOrig="4320" w:dyaOrig="800" w14:anchorId="5234C7DC">
          <v:shape id="_x0000_i4597" type="#_x0000_t75" style="width:3in;height:39.95pt" o:ole="">
            <v:imagedata r:id="rId7192" o:title=""/>
          </v:shape>
          <o:OLEObject Type="Embed" ProgID="Equation.DSMT4" ShapeID="_x0000_i4597" DrawAspect="Content" ObjectID="_1791378541" r:id="rId7193"/>
        </w:object>
      </w:r>
      <w:r w:rsidRPr="006B3D33">
        <w:rPr>
          <w:position w:val="-52"/>
        </w:rPr>
        <w:object w:dxaOrig="4920" w:dyaOrig="1140" w14:anchorId="4DE415B8">
          <v:shape id="_x0000_i4598" type="#_x0000_t75" style="width:246.25pt;height:57.5pt" o:ole="">
            <v:imagedata r:id="rId7194" o:title=""/>
          </v:shape>
          <o:OLEObject Type="Embed" ProgID="Equation.DSMT4" ShapeID="_x0000_i4598" DrawAspect="Content" ObjectID="_1791378542" r:id="rId7195"/>
        </w:object>
      </w:r>
    </w:p>
    <w:p w14:paraId="7D2E80D8"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شرایط مرتبه اول برابر است با</w:t>
      </w:r>
    </w:p>
    <w:p w14:paraId="7C11E4E3" w14:textId="77777777" w:rsidR="00411620" w:rsidRPr="006B3D33" w:rsidRDefault="00411620" w:rsidP="00411620">
      <w:pPr>
        <w:bidi w:val="0"/>
        <w:spacing w:line="216" w:lineRule="auto"/>
        <w:rPr>
          <w:rFonts w:eastAsiaTheme="minorEastAsia"/>
          <w:i/>
          <w:sz w:val="23"/>
          <w:szCs w:val="23"/>
          <w:rtl/>
        </w:rPr>
      </w:pPr>
      <w:r w:rsidRPr="006B3D33">
        <w:rPr>
          <w:position w:val="-30"/>
        </w:rPr>
        <w:object w:dxaOrig="4640" w:dyaOrig="700" w14:anchorId="422202AB">
          <v:shape id="_x0000_i4599" type="#_x0000_t75" style="width:231.75pt;height:35.1pt" o:ole="">
            <v:imagedata r:id="rId7196" o:title=""/>
          </v:shape>
          <o:OLEObject Type="Embed" ProgID="Equation.DSMT4" ShapeID="_x0000_i4599" DrawAspect="Content" ObjectID="_1791378543" r:id="rId7197"/>
        </w:object>
      </w:r>
      <w:r w:rsidRPr="006B3D33">
        <w:rPr>
          <w:rFonts w:eastAsiaTheme="minorEastAsia" w:hint="cs"/>
          <w:i/>
          <w:sz w:val="23"/>
          <w:szCs w:val="23"/>
          <w:rtl/>
        </w:rPr>
        <w:t xml:space="preserve"> </w:t>
      </w:r>
    </w:p>
    <w:p w14:paraId="5586D392" w14:textId="77777777" w:rsidR="00411620" w:rsidRPr="006B3D33" w:rsidRDefault="00411620" w:rsidP="00411620">
      <w:pPr>
        <w:bidi w:val="0"/>
        <w:spacing w:line="216" w:lineRule="auto"/>
        <w:rPr>
          <w:rFonts w:eastAsiaTheme="minorEastAsia"/>
          <w:i/>
          <w:sz w:val="23"/>
          <w:szCs w:val="23"/>
          <w:rtl/>
        </w:rPr>
      </w:pPr>
      <w:r w:rsidRPr="006B3D33">
        <w:rPr>
          <w:position w:val="-28"/>
        </w:rPr>
        <w:object w:dxaOrig="4620" w:dyaOrig="620" w14:anchorId="2DCD3742">
          <v:shape id="_x0000_i4600" type="#_x0000_t75" style="width:231.15pt;height:30.85pt" o:ole="">
            <v:imagedata r:id="rId7198" o:title=""/>
          </v:shape>
          <o:OLEObject Type="Embed" ProgID="Equation.DSMT4" ShapeID="_x0000_i4600" DrawAspect="Content" ObjectID="_1791378544" r:id="rId7199"/>
        </w:object>
      </w:r>
      <w:r w:rsidRPr="006B3D33">
        <w:rPr>
          <w:rFonts w:eastAsiaTheme="minorEastAsia" w:hint="cs"/>
          <w:i/>
          <w:sz w:val="23"/>
          <w:szCs w:val="23"/>
          <w:rtl/>
        </w:rPr>
        <w:t xml:space="preserve"> </w:t>
      </w:r>
    </w:p>
    <w:p w14:paraId="306F72AA" w14:textId="77777777" w:rsidR="00411620" w:rsidRPr="006B3D33" w:rsidRDefault="00411620" w:rsidP="00411620">
      <w:pPr>
        <w:bidi w:val="0"/>
        <w:spacing w:line="216" w:lineRule="auto"/>
        <w:rPr>
          <w:rFonts w:eastAsiaTheme="minorEastAsia"/>
          <w:i/>
          <w:sz w:val="23"/>
          <w:szCs w:val="23"/>
          <w:rtl/>
        </w:rPr>
      </w:pPr>
      <w:r w:rsidRPr="006B3D33">
        <w:rPr>
          <w:position w:val="-28"/>
        </w:rPr>
        <w:object w:dxaOrig="4700" w:dyaOrig="620" w14:anchorId="34CDB05A">
          <v:shape id="_x0000_i4601" type="#_x0000_t75" style="width:235.35pt;height:30.85pt" o:ole="">
            <v:imagedata r:id="rId7200" o:title=""/>
          </v:shape>
          <o:OLEObject Type="Embed" ProgID="Equation.DSMT4" ShapeID="_x0000_i4601" DrawAspect="Content" ObjectID="_1791378545" r:id="rId7201"/>
        </w:object>
      </w:r>
      <w:r w:rsidRPr="006B3D33">
        <w:rPr>
          <w:rFonts w:eastAsiaTheme="minorEastAsia" w:hint="cs"/>
          <w:i/>
          <w:sz w:val="23"/>
          <w:szCs w:val="23"/>
          <w:rtl/>
        </w:rPr>
        <w:t xml:space="preserve"> </w:t>
      </w:r>
    </w:p>
    <w:p w14:paraId="3E8EA971"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برای</w:t>
      </w:r>
      <w:r w:rsidRPr="006B3D33">
        <w:rPr>
          <w:position w:val="-10"/>
        </w:rPr>
        <w:object w:dxaOrig="400" w:dyaOrig="320" w14:anchorId="51F32A36">
          <v:shape id="_x0000_i4602" type="#_x0000_t75" style="width:19.95pt;height:15.75pt" o:ole="">
            <v:imagedata r:id="rId7202" o:title=""/>
          </v:shape>
          <o:OLEObject Type="Embed" ProgID="Equation.DSMT4" ShapeID="_x0000_i4602" DrawAspect="Content" ObjectID="_1791378546" r:id="rId7203"/>
        </w:object>
      </w:r>
      <w:r w:rsidRPr="006B3D33">
        <w:rPr>
          <w:rFonts w:eastAsiaTheme="minorEastAsia" w:hint="cs"/>
          <w:i/>
          <w:sz w:val="23"/>
          <w:szCs w:val="23"/>
          <w:rtl/>
        </w:rPr>
        <w:t xml:space="preserve"> داده شده، عرضه‌ی کار از معادله‌ی زیر بدست می‌آید،</w:t>
      </w:r>
    </w:p>
    <w:p w14:paraId="02072B0C"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r w:rsidRPr="006B3D33">
        <w:rPr>
          <w:position w:val="-30"/>
        </w:rPr>
        <w:object w:dxaOrig="2480" w:dyaOrig="700" w14:anchorId="78A73853">
          <v:shape id="_x0000_i4603" type="#_x0000_t75" style="width:124.05pt;height:35.1pt" o:ole="">
            <v:imagedata r:id="rId7204" o:title=""/>
          </v:shape>
          <o:OLEObject Type="Embed" ProgID="Equation.DSMT4" ShapeID="_x0000_i4603" DrawAspect="Content" ObjectID="_1791378547" r:id="rId7205"/>
        </w:object>
      </w:r>
    </w:p>
    <w:p w14:paraId="680B1A6A"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بنابراین عرضه‌ی کار در زمان</w:t>
      </w:r>
      <w:r w:rsidRPr="006B3D33">
        <w:rPr>
          <w:position w:val="-6"/>
        </w:rPr>
        <w:object w:dxaOrig="139" w:dyaOrig="240" w14:anchorId="4228B8C5">
          <v:shape id="_x0000_i4604" type="#_x0000_t75" style="width:7.25pt;height:12.1pt" o:ole="">
            <v:imagedata r:id="rId7206" o:title=""/>
          </v:shape>
          <o:OLEObject Type="Embed" ProgID="Equation.DSMT4" ShapeID="_x0000_i4604" DrawAspect="Content" ObjectID="_1791378548" r:id="rId7207"/>
        </w:object>
      </w:r>
      <w:r w:rsidRPr="006B3D33">
        <w:rPr>
          <w:rFonts w:hint="cs"/>
          <w:i/>
          <w:sz w:val="23"/>
          <w:szCs w:val="23"/>
          <w:rtl/>
        </w:rPr>
        <w:t xml:space="preserve"> </w:t>
      </w:r>
      <w:r w:rsidRPr="006B3D33">
        <w:rPr>
          <w:rFonts w:eastAsiaTheme="minorEastAsia" w:hint="cs"/>
          <w:i/>
          <w:sz w:val="23"/>
          <w:szCs w:val="23"/>
          <w:rtl/>
        </w:rPr>
        <w:t>برابر است با</w:t>
      </w:r>
    </w:p>
    <w:p w14:paraId="0D01310D" w14:textId="77777777" w:rsidR="00411620" w:rsidRPr="006B3D33" w:rsidRDefault="00411620" w:rsidP="00411620">
      <w:pPr>
        <w:bidi w:val="0"/>
        <w:spacing w:line="216" w:lineRule="auto"/>
        <w:rPr>
          <w:i/>
          <w:sz w:val="23"/>
          <w:szCs w:val="23"/>
          <w:rtl/>
        </w:rPr>
      </w:pPr>
      <w:r w:rsidRPr="006B3D33">
        <w:rPr>
          <w:position w:val="-30"/>
        </w:rPr>
        <w:object w:dxaOrig="1200" w:dyaOrig="740" w14:anchorId="2F4537B5">
          <v:shape id="_x0000_i4605" type="#_x0000_t75" style="width:59.9pt;height:36.9pt" o:ole="">
            <v:imagedata r:id="rId7208" o:title=""/>
          </v:shape>
          <o:OLEObject Type="Embed" ProgID="Equation.DSMT4" ShapeID="_x0000_i4605" DrawAspect="Content" ObjectID="_1791378549" r:id="rId7209"/>
        </w:object>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sidRPr="006B3D33">
        <w:rPr>
          <w:i/>
          <w:sz w:val="23"/>
          <w:szCs w:val="23"/>
          <w:rtl/>
        </w:rPr>
        <w:tab/>
      </w:r>
      <w:r>
        <w:rPr>
          <w:i/>
          <w:sz w:val="23"/>
          <w:szCs w:val="23"/>
          <w:rtl/>
        </w:rPr>
        <w:tab/>
      </w:r>
      <w:r>
        <w:rPr>
          <w:i/>
          <w:sz w:val="23"/>
          <w:szCs w:val="23"/>
          <w:rtl/>
        </w:rPr>
        <w:tab/>
      </w:r>
      <w:r w:rsidRPr="006B3D33">
        <w:rPr>
          <w:rFonts w:hint="cs"/>
          <w:i/>
          <w:sz w:val="23"/>
          <w:szCs w:val="23"/>
          <w:rtl/>
        </w:rPr>
        <w:t xml:space="preserve"> </w:t>
      </w:r>
      <w:r w:rsidRPr="006B3D33">
        <w:rPr>
          <w:i/>
          <w:sz w:val="23"/>
          <w:szCs w:val="23"/>
          <w:rtl/>
        </w:rPr>
        <w:tab/>
      </w:r>
      <w:r w:rsidRPr="006B3D33">
        <w:rPr>
          <w:i/>
          <w:sz w:val="23"/>
          <w:szCs w:val="23"/>
        </w:rPr>
        <w:tab/>
      </w:r>
      <w:r w:rsidRPr="006B3D33">
        <w:rPr>
          <w:i/>
          <w:sz w:val="23"/>
          <w:szCs w:val="23"/>
          <w:rtl/>
        </w:rPr>
        <w:tab/>
      </w:r>
      <w:r w:rsidRPr="006B3D33">
        <w:rPr>
          <w:rFonts w:hint="cs"/>
          <w:i/>
          <w:sz w:val="23"/>
          <w:szCs w:val="23"/>
          <w:rtl/>
        </w:rPr>
        <w:t>(۱۰. ۳۷)</w:t>
      </w:r>
      <w:r w:rsidRPr="006B3D33">
        <w:rPr>
          <w:rFonts w:hint="cs"/>
          <w:i/>
          <w:sz w:val="23"/>
          <w:szCs w:val="23"/>
        </w:rPr>
        <w:t xml:space="preserve"> </w:t>
      </w:r>
    </w:p>
    <w:p w14:paraId="01C3705B" w14:textId="77777777" w:rsidR="00411620" w:rsidRPr="006B3D33" w:rsidRDefault="00411620" w:rsidP="00411620">
      <w:pPr>
        <w:pStyle w:val="Heading1"/>
        <w:spacing w:before="0" w:after="0" w:line="216" w:lineRule="auto"/>
        <w:rPr>
          <w:rFonts w:ascii="Times New Roman" w:eastAsiaTheme="minorEastAsia" w:hAnsi="Times New Roman" w:cs="B Nazanin"/>
          <w:b w:val="0"/>
          <w:i/>
          <w:sz w:val="23"/>
          <w:szCs w:val="23"/>
          <w:rtl/>
        </w:rPr>
      </w:pPr>
      <w:r w:rsidRPr="006B3D33">
        <w:rPr>
          <w:rFonts w:ascii="Times New Roman" w:eastAsiaTheme="minorEastAsia" w:hAnsi="Times New Roman" w:cs="B Nazanin" w:hint="cs"/>
          <w:b w:val="0"/>
          <w:i/>
          <w:sz w:val="23"/>
          <w:szCs w:val="23"/>
          <w:rtl/>
        </w:rPr>
        <w:t>۱۰. ۵. ۳ راه حل تعادلی</w:t>
      </w:r>
    </w:p>
    <w:p w14:paraId="41BA021D"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اگر دستمزدهای حقیقی کاملاً انعطاف‌پذیر باشند آنگاه تقاضای نیروی کار برابر عرضه‌ی نیروی کار خواهد شد و لذا بیکاری وجود نخواهد داشت. در این صورت دستمزد حقیقی و سطح اشتغال برابر خواهند بود با</w:t>
      </w:r>
    </w:p>
    <w:p w14:paraId="17EFEF14" w14:textId="77777777" w:rsidR="00411620" w:rsidRPr="006B3D33"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Pr>
      </w:pPr>
      <w:r w:rsidRPr="006B3D33">
        <w:rPr>
          <w:position w:val="-12"/>
        </w:rPr>
        <w:object w:dxaOrig="2480" w:dyaOrig="499" w14:anchorId="0D76E1F0">
          <v:shape id="_x0000_i4606" type="#_x0000_t75" style="width:124.05pt;height:25.4pt" o:ole="">
            <v:imagedata r:id="rId7210" o:title=""/>
          </v:shape>
          <o:OLEObject Type="Embed" ProgID="Equation.DSMT4" ShapeID="_x0000_i4606" DrawAspect="Content" ObjectID="_1791378550" r:id="rId7211"/>
        </w:object>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۳۸)</w:t>
      </w:r>
    </w:p>
    <w:p w14:paraId="6AB382E4"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6B3D33">
        <w:rPr>
          <w:position w:val="-12"/>
        </w:rPr>
        <w:object w:dxaOrig="2439" w:dyaOrig="480" w14:anchorId="24C67D18">
          <v:shape id="_x0000_i4607" type="#_x0000_t75" style="width:122.2pt;height:24.2pt" o:ole="">
            <v:imagedata r:id="rId7212" o:title=""/>
          </v:shape>
          <o:OLEObject Type="Embed" ProgID="Equation.DSMT4" ShapeID="_x0000_i4607" DrawAspect="Content" ObjectID="_1791378551" r:id="rId7213"/>
        </w:object>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۳۹)</w:t>
      </w:r>
    </w:p>
    <w:p w14:paraId="03B1609D"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با عدم وجود نااطمینانی، دستمزد حقیقی تعادلی و اشتغال تعادلی نیز وجود دارد. سطح تعادلی سود سهام برابر است با دارآمد خالص. بنابراین</w:t>
      </w:r>
    </w:p>
    <w:p w14:paraId="46D41D35" w14:textId="77777777" w:rsidR="00411620" w:rsidRPr="006B3D33" w:rsidRDefault="00411620" w:rsidP="00411620">
      <w:pPr>
        <w:bidi w:val="0"/>
        <w:spacing w:line="216" w:lineRule="auto"/>
        <w:rPr>
          <w:rFonts w:eastAsiaTheme="minorEastAsia"/>
          <w:i/>
          <w:sz w:val="23"/>
          <w:szCs w:val="23"/>
        </w:rPr>
      </w:pPr>
      <w:r w:rsidRPr="006B3D33">
        <w:rPr>
          <w:position w:val="-10"/>
        </w:rPr>
        <w:object w:dxaOrig="1860" w:dyaOrig="340" w14:anchorId="6DB9D171">
          <v:shape id="_x0000_i4608" type="#_x0000_t75" style="width:92.55pt;height:16.95pt" o:ole="">
            <v:imagedata r:id="rId7214" o:title=""/>
          </v:shape>
          <o:OLEObject Type="Embed" ProgID="Equation.DSMT4" ShapeID="_x0000_i4608" DrawAspect="Content" ObjectID="_1791378552" r:id="rId7215"/>
        </w:object>
      </w:r>
      <w:r w:rsidRPr="006B3D33">
        <w:rPr>
          <w:rFonts w:eastAsiaTheme="minorEastAsia" w:hint="cs"/>
          <w:i/>
          <w:sz w:val="23"/>
          <w:szCs w:val="23"/>
        </w:rPr>
        <w:t xml:space="preserve"> </w:t>
      </w:r>
    </w:p>
    <w:p w14:paraId="5271609B"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در اقتصاد کلان و با فرض فقدان بدهی دولت، سطح تعادلی مصرف برابر است با</w:t>
      </w:r>
    </w:p>
    <w:p w14:paraId="6293F8CB" w14:textId="77777777" w:rsidR="00411620" w:rsidRPr="006B3D33"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Pr>
      </w:pPr>
      <w:r w:rsidRPr="006B3D33">
        <w:rPr>
          <w:position w:val="-10"/>
        </w:rPr>
        <w:object w:dxaOrig="1280" w:dyaOrig="340" w14:anchorId="0CA4C015">
          <v:shape id="_x0000_i4609" type="#_x0000_t75" style="width:64.15pt;height:16.95pt" o:ole="">
            <v:imagedata r:id="rId7216" o:title=""/>
          </v:shape>
          <o:OLEObject Type="Embed" ProgID="Equation.DSMT4" ShapeID="_x0000_i4609" DrawAspect="Content" ObjectID="_1791378553" r:id="rId7217"/>
        </w:object>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۴۰)</w:t>
      </w:r>
    </w:p>
    <w:p w14:paraId="61BC5F75"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lastRenderedPageBreak/>
        <w:t xml:space="preserve">از معادلات </w:t>
      </w:r>
      <w:r w:rsidRPr="006B3D33">
        <w:rPr>
          <w:rFonts w:hint="cs"/>
          <w:i/>
          <w:sz w:val="23"/>
          <w:szCs w:val="23"/>
          <w:rtl/>
        </w:rPr>
        <w:t>(۱۰. ۳۸)</w:t>
      </w:r>
      <w:r w:rsidRPr="006B3D33">
        <w:rPr>
          <w:rFonts w:eastAsiaTheme="minorEastAsia" w:hint="cs"/>
          <w:i/>
          <w:sz w:val="23"/>
          <w:szCs w:val="23"/>
          <w:rtl/>
        </w:rPr>
        <w:t xml:space="preserve">، </w:t>
      </w:r>
      <w:r w:rsidRPr="006B3D33">
        <w:rPr>
          <w:rFonts w:hint="cs"/>
          <w:i/>
          <w:sz w:val="23"/>
          <w:szCs w:val="23"/>
          <w:rtl/>
        </w:rPr>
        <w:t>(۱۰. ۳۹)</w:t>
      </w:r>
      <w:r w:rsidRPr="006B3D33">
        <w:rPr>
          <w:rFonts w:eastAsiaTheme="minorEastAsia" w:hint="cs"/>
          <w:i/>
          <w:sz w:val="23"/>
          <w:szCs w:val="23"/>
          <w:rtl/>
        </w:rPr>
        <w:t xml:space="preserve"> و </w:t>
      </w:r>
      <w:r w:rsidRPr="006B3D33">
        <w:rPr>
          <w:rFonts w:hint="cs"/>
          <w:i/>
          <w:sz w:val="23"/>
          <w:szCs w:val="23"/>
          <w:rtl/>
        </w:rPr>
        <w:t>(۱۰. ۴۰)</w:t>
      </w:r>
      <w:r w:rsidRPr="006B3D33">
        <w:rPr>
          <w:rFonts w:eastAsiaTheme="minorEastAsia" w:hint="cs"/>
          <w:i/>
          <w:sz w:val="23"/>
          <w:szCs w:val="23"/>
          <w:rtl/>
        </w:rPr>
        <w:t xml:space="preserve"> سطح تعادلی دستمزد حقیقی، اشتغال و مخارج مصرفی خانوار تابعی است از</w:t>
      </w:r>
      <w:r w:rsidRPr="006B3D33">
        <w:rPr>
          <w:position w:val="-10"/>
        </w:rPr>
        <w:object w:dxaOrig="279" w:dyaOrig="320" w14:anchorId="2769ABFD">
          <v:shape id="_x0000_i4610" type="#_x0000_t75" style="width:13.9pt;height:15.75pt" o:ole="">
            <v:imagedata r:id="rId7218" o:title=""/>
          </v:shape>
          <o:OLEObject Type="Embed" ProgID="Equation.DSMT4" ShapeID="_x0000_i4610" DrawAspect="Content" ObjectID="_1791378554" r:id="rId7219"/>
        </w:object>
      </w:r>
      <w:r w:rsidRPr="006B3D33">
        <w:rPr>
          <w:rFonts w:eastAsiaTheme="minorEastAsia" w:hint="cs"/>
          <w:i/>
          <w:sz w:val="23"/>
          <w:szCs w:val="23"/>
          <w:rtl/>
        </w:rPr>
        <w:t xml:space="preserve">. این معادلات براحتی از لگاریتم معادلات </w:t>
      </w:r>
      <w:r w:rsidRPr="006B3D33">
        <w:rPr>
          <w:rFonts w:hint="cs"/>
          <w:i/>
          <w:sz w:val="23"/>
          <w:szCs w:val="23"/>
          <w:rtl/>
        </w:rPr>
        <w:t>(۱۰. ۳۸)</w:t>
      </w:r>
      <w:r w:rsidRPr="006B3D33">
        <w:rPr>
          <w:rFonts w:eastAsiaTheme="minorEastAsia" w:hint="cs"/>
          <w:i/>
          <w:sz w:val="23"/>
          <w:szCs w:val="23"/>
          <w:rtl/>
        </w:rPr>
        <w:t xml:space="preserve"> و </w:t>
      </w:r>
      <w:r w:rsidRPr="006B3D33">
        <w:rPr>
          <w:rFonts w:hint="cs"/>
          <w:i/>
          <w:sz w:val="23"/>
          <w:szCs w:val="23"/>
          <w:rtl/>
        </w:rPr>
        <w:t>(۱۰. ۳۹)</w:t>
      </w:r>
      <w:r w:rsidRPr="006B3D33">
        <w:rPr>
          <w:rFonts w:eastAsiaTheme="minorEastAsia" w:hint="cs"/>
          <w:i/>
          <w:sz w:val="23"/>
          <w:szCs w:val="23"/>
          <w:rtl/>
        </w:rPr>
        <w:t xml:space="preserve"> و تقریب لگاریتم-خطی معادله‌ی </w:t>
      </w:r>
      <w:r w:rsidRPr="006B3D33">
        <w:rPr>
          <w:rFonts w:hint="cs"/>
          <w:i/>
          <w:sz w:val="23"/>
          <w:szCs w:val="23"/>
          <w:rtl/>
        </w:rPr>
        <w:t>(۸. ۱۶)</w:t>
      </w:r>
      <w:r w:rsidRPr="006B3D33">
        <w:rPr>
          <w:rFonts w:eastAsiaTheme="minorEastAsia" w:hint="cs"/>
          <w:i/>
          <w:sz w:val="23"/>
          <w:szCs w:val="23"/>
          <w:rtl/>
        </w:rPr>
        <w:t xml:space="preserve"> بدست می‌آید. می‌توان نشان داد که در تعادل با بهبود بهره</w:t>
      </w:r>
      <w:r w:rsidRPr="006B3D33">
        <w:rPr>
          <w:rFonts w:eastAsiaTheme="minorEastAsia"/>
          <w:i/>
          <w:sz w:val="23"/>
          <w:szCs w:val="23"/>
          <w:rtl/>
        </w:rPr>
        <w:softHyphen/>
      </w:r>
      <w:r w:rsidRPr="006B3D33">
        <w:rPr>
          <w:rFonts w:eastAsiaTheme="minorEastAsia" w:hint="cs"/>
          <w:i/>
          <w:sz w:val="23"/>
          <w:szCs w:val="23"/>
          <w:rtl/>
        </w:rPr>
        <w:t>وری، تولید افزایش خواهد یافت و مصرف و دستمزد حقیقی هیچ تأثیری بر اشتغال نخواهند گذاشت. هرچند افزایش دستمزد حقیقی باعث افزایش عرضه‌ی کار و کاهش تقاضا برای کار شده و لذا بر اشتغال بی تأثیر است.</w:t>
      </w:r>
    </w:p>
    <w:p w14:paraId="12A6F1EF" w14:textId="77777777" w:rsidR="00411620" w:rsidRPr="006B3D33" w:rsidRDefault="00411620" w:rsidP="00411620">
      <w:pPr>
        <w:spacing w:line="216" w:lineRule="auto"/>
        <w:rPr>
          <w:rFonts w:eastAsiaTheme="minorEastAsia"/>
          <w:i/>
          <w:sz w:val="23"/>
          <w:szCs w:val="23"/>
          <w:rtl/>
        </w:rPr>
      </w:pPr>
    </w:p>
    <w:p w14:paraId="299C1CEA" w14:textId="77777777" w:rsidR="00411620" w:rsidRPr="006B3D33" w:rsidRDefault="00411620" w:rsidP="00411620">
      <w:pPr>
        <w:pStyle w:val="Heading1"/>
        <w:spacing w:before="0" w:after="0" w:line="216" w:lineRule="auto"/>
        <w:rPr>
          <w:rFonts w:ascii="Times New Roman" w:eastAsiaTheme="minorEastAsia" w:hAnsi="Times New Roman" w:cs="B Nazanin"/>
          <w:b w:val="0"/>
          <w:i/>
          <w:sz w:val="23"/>
          <w:szCs w:val="23"/>
          <w:rtl/>
        </w:rPr>
      </w:pPr>
      <w:r w:rsidRPr="006B3D33">
        <w:rPr>
          <w:rFonts w:ascii="Times New Roman" w:eastAsiaTheme="minorEastAsia" w:hAnsi="Times New Roman" w:cs="B Nazanin" w:hint="cs"/>
          <w:b w:val="0"/>
          <w:i/>
          <w:sz w:val="23"/>
          <w:szCs w:val="23"/>
          <w:rtl/>
        </w:rPr>
        <w:t>۱۰. ۵. ۴ تعیین دستمزد</w:t>
      </w:r>
    </w:p>
    <w:p w14:paraId="650E1499"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فرض کنید در زمان</w:t>
      </w:r>
      <w:r w:rsidRPr="006B3D33">
        <w:rPr>
          <w:position w:val="-6"/>
        </w:rPr>
        <w:object w:dxaOrig="139" w:dyaOrig="240" w14:anchorId="1BF7D1E5">
          <v:shape id="_x0000_i4611" type="#_x0000_t75" style="width:7.25pt;height:12.1pt" o:ole="">
            <v:imagedata r:id="rId7220" o:title=""/>
          </v:shape>
          <o:OLEObject Type="Embed" ProgID="Equation.DSMT4" ShapeID="_x0000_i4611" DrawAspect="Content" ObjectID="_1791378555" r:id="rId7221"/>
        </w:object>
      </w:r>
      <w:r w:rsidRPr="006B3D33">
        <w:rPr>
          <w:rFonts w:eastAsiaTheme="minorEastAsia" w:hint="cs"/>
          <w:i/>
          <w:sz w:val="23"/>
          <w:szCs w:val="23"/>
          <w:rtl/>
        </w:rPr>
        <w:t xml:space="preserve"> شوک منفی بر تقاضای کار باعث تغییر در نرخ دستمزد حقیقی ساعتی تعادلی </w:t>
      </w:r>
      <w:r w:rsidRPr="006B3D33">
        <w:rPr>
          <w:position w:val="-10"/>
        </w:rPr>
        <w:object w:dxaOrig="300" w:dyaOrig="340" w14:anchorId="0D3BEE86">
          <v:shape id="_x0000_i4612" type="#_x0000_t75" style="width:14.5pt;height:16.95pt" o:ole="">
            <v:imagedata r:id="rId7222" o:title=""/>
          </v:shape>
          <o:OLEObject Type="Embed" ProgID="Equation.DSMT4" ShapeID="_x0000_i4612" DrawAspect="Content" ObjectID="_1791378556" r:id="rId7223"/>
        </w:object>
      </w:r>
      <w:r w:rsidRPr="006B3D33">
        <w:rPr>
          <w:rFonts w:hint="cs"/>
          <w:i/>
          <w:sz w:val="23"/>
          <w:szCs w:val="23"/>
          <w:rtl/>
        </w:rPr>
        <w:t xml:space="preserve"> </w:t>
      </w:r>
      <w:r w:rsidRPr="006B3D33">
        <w:rPr>
          <w:rFonts w:eastAsiaTheme="minorEastAsia" w:hint="cs"/>
          <w:i/>
          <w:sz w:val="23"/>
          <w:szCs w:val="23"/>
          <w:rtl/>
        </w:rPr>
        <w:t>شده، و فقط</w:t>
      </w:r>
      <w:r w:rsidRPr="006B3D33">
        <w:rPr>
          <w:position w:val="-10"/>
        </w:rPr>
        <w:object w:dxaOrig="220" w:dyaOrig="240" w14:anchorId="4F3A4439">
          <v:shape id="_x0000_i4613" type="#_x0000_t75" style="width:10.9pt;height:12.1pt" o:ole="">
            <v:imagedata r:id="rId7224" o:title=""/>
          </v:shape>
          <o:OLEObject Type="Embed" ProgID="Equation.DSMT4" ShapeID="_x0000_i4613" DrawAspect="Content" ObjectID="_1791378557" r:id="rId7225"/>
        </w:object>
      </w:r>
      <w:r w:rsidRPr="006B3D33">
        <w:rPr>
          <w:rFonts w:eastAsiaTheme="minorEastAsia" w:hint="cs"/>
          <w:i/>
          <w:sz w:val="23"/>
          <w:szCs w:val="23"/>
          <w:rtl/>
        </w:rPr>
        <w:t xml:space="preserve"> درصد از نرخ دستمزد در زمان جاری تعدیل و مابقی یعنی </w:t>
      </w:r>
      <w:r w:rsidRPr="006B3D33">
        <w:rPr>
          <w:position w:val="-12"/>
        </w:rPr>
        <w:object w:dxaOrig="660" w:dyaOrig="360" w14:anchorId="09582BBB">
          <v:shape id="_x0000_i4614" type="#_x0000_t75" style="width:32.65pt;height:18.15pt" o:ole="">
            <v:imagedata r:id="rId7226" o:title=""/>
          </v:shape>
          <o:OLEObject Type="Embed" ProgID="Equation.DSMT4" ShapeID="_x0000_i4614" DrawAspect="Content" ObjectID="_1791378558" r:id="rId7227"/>
        </w:object>
      </w:r>
      <w:r w:rsidRPr="006B3D33">
        <w:rPr>
          <w:rFonts w:eastAsiaTheme="minorEastAsia" w:hint="cs"/>
          <w:i/>
          <w:sz w:val="23"/>
          <w:szCs w:val="23"/>
          <w:rtl/>
        </w:rPr>
        <w:t xml:space="preserve"> درصد در دوره‌ی بعد تعدیل شود. این مفروضات نتایج مشابه تعیین دستمزدهای مدل کالوو را ارائه خواهد داد.</w:t>
      </w:r>
      <w:r w:rsidRPr="006B3D33">
        <w:rPr>
          <w:rStyle w:val="FootnoteReference"/>
          <w:rFonts w:eastAsiaTheme="minorEastAsia"/>
          <w:i/>
          <w:sz w:val="23"/>
          <w:szCs w:val="23"/>
          <w:rtl/>
        </w:rPr>
        <w:footnoteReference w:id="233"/>
      </w:r>
      <w:r w:rsidRPr="006B3D33">
        <w:rPr>
          <w:rFonts w:eastAsiaTheme="minorEastAsia" w:hint="cs"/>
          <w:i/>
          <w:sz w:val="23"/>
          <w:szCs w:val="23"/>
          <w:rtl/>
        </w:rPr>
        <w:t xml:space="preserve"> هر دو روش ویژه</w:t>
      </w:r>
      <w:r w:rsidRPr="006B3D33">
        <w:rPr>
          <w:rStyle w:val="FootnoteReference"/>
          <w:rFonts w:eastAsiaTheme="minorEastAsia"/>
          <w:i/>
          <w:sz w:val="23"/>
          <w:szCs w:val="23"/>
          <w:rtl/>
        </w:rPr>
        <w:footnoteReference w:id="234"/>
      </w:r>
      <w:r w:rsidRPr="006B3D33">
        <w:rPr>
          <w:rFonts w:eastAsiaTheme="minorEastAsia" w:hint="cs"/>
          <w:i/>
          <w:sz w:val="23"/>
          <w:szCs w:val="23"/>
          <w:rtl/>
        </w:rPr>
        <w:t xml:space="preserve"> می‌باشند اما روش تعیین دستمزد کالوو تاحدودی پیچیده</w:t>
      </w:r>
      <w:r w:rsidRPr="006B3D33">
        <w:rPr>
          <w:rFonts w:eastAsiaTheme="minorEastAsia"/>
          <w:i/>
          <w:sz w:val="23"/>
          <w:szCs w:val="23"/>
          <w:rtl/>
        </w:rPr>
        <w:softHyphen/>
      </w:r>
      <w:r w:rsidRPr="006B3D33">
        <w:rPr>
          <w:rFonts w:eastAsiaTheme="minorEastAsia" w:hint="cs"/>
          <w:i/>
          <w:sz w:val="23"/>
          <w:szCs w:val="23"/>
          <w:rtl/>
        </w:rPr>
        <w:t>تر است. چنانچه فرض کنیم مقدار میانگین به روش هندسی محاسبه می‌شود لگاریتم نرخ دستمزد ساعتی در زمان</w:t>
      </w:r>
      <w:r w:rsidRPr="006B3D33">
        <w:rPr>
          <w:position w:val="-6"/>
        </w:rPr>
        <w:object w:dxaOrig="139" w:dyaOrig="240" w14:anchorId="1692636D">
          <v:shape id="_x0000_i4615" type="#_x0000_t75" style="width:7.25pt;height:12.1pt" o:ole="">
            <v:imagedata r:id="rId7228" o:title=""/>
          </v:shape>
          <o:OLEObject Type="Embed" ProgID="Equation.DSMT4" ShapeID="_x0000_i4615" DrawAspect="Content" ObjectID="_1791378559" r:id="rId7229"/>
        </w:object>
      </w:r>
      <w:r w:rsidRPr="006B3D33">
        <w:rPr>
          <w:rFonts w:eastAsiaTheme="minorEastAsia" w:hint="cs"/>
          <w:i/>
          <w:sz w:val="23"/>
          <w:szCs w:val="23"/>
          <w:rtl/>
        </w:rPr>
        <w:t xml:space="preserve"> برابر است با</w:t>
      </w:r>
    </w:p>
    <w:p w14:paraId="68391862"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6B3D33">
        <w:rPr>
          <w:position w:val="-12"/>
        </w:rPr>
        <w:object w:dxaOrig="2620" w:dyaOrig="360" w14:anchorId="08FD12CF">
          <v:shape id="_x0000_i4616" type="#_x0000_t75" style="width:130.7pt;height:18.15pt" o:ole="">
            <v:imagedata r:id="rId7230" o:title=""/>
          </v:shape>
          <o:OLEObject Type="Embed" ProgID="Equation.DSMT4" ShapeID="_x0000_i4616" DrawAspect="Content" ObjectID="_1791378560" r:id="rId7231"/>
        </w:object>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۴۱)</w:t>
      </w:r>
    </w:p>
    <w:p w14:paraId="71694988"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6B3D33">
        <w:rPr>
          <w:position w:val="-16"/>
        </w:rPr>
        <w:object w:dxaOrig="2360" w:dyaOrig="420" w14:anchorId="6FC74A3D">
          <v:shape id="_x0000_i4617" type="#_x0000_t75" style="width:118pt;height:20.55pt" o:ole="">
            <v:imagedata r:id="rId7232" o:title=""/>
          </v:shape>
          <o:OLEObject Type="Embed" ProgID="Equation.DSMT4" ShapeID="_x0000_i4617" DrawAspect="Content" ObjectID="_1791378561" r:id="rId7233"/>
        </w:object>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۴۲)</w:t>
      </w:r>
    </w:p>
    <w:p w14:paraId="6F36CFC1"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6B3D33">
        <w:rPr>
          <w:position w:val="-26"/>
        </w:rPr>
        <w:object w:dxaOrig="2720" w:dyaOrig="600" w14:anchorId="4B780B75">
          <v:shape id="_x0000_i4618" type="#_x0000_t75" style="width:136.15pt;height:29.65pt" o:ole="">
            <v:imagedata r:id="rId7234" o:title=""/>
          </v:shape>
          <o:OLEObject Type="Embed" ProgID="Equation.DSMT4" ShapeID="_x0000_i4618" DrawAspect="Content" ObjectID="_1791378562" r:id="rId7235"/>
        </w:object>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۴۳)</w:t>
      </w:r>
    </w:p>
    <w:p w14:paraId="24CD07F1"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6B3D33">
        <w:rPr>
          <w:position w:val="-26"/>
        </w:rPr>
        <w:object w:dxaOrig="2320" w:dyaOrig="620" w14:anchorId="575C66BD">
          <v:shape id="_x0000_i4619" type="#_x0000_t75" style="width:116.15pt;height:30.85pt" o:ole="">
            <v:imagedata r:id="rId7236" o:title=""/>
          </v:shape>
          <o:OLEObject Type="Embed" ProgID="Equation.DSMT4" ShapeID="_x0000_i4619" DrawAspect="Content" ObjectID="_1791378563" r:id="rId7237"/>
        </w:object>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۴۴)</w:t>
      </w:r>
    </w:p>
    <w:p w14:paraId="68B66085"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رابطه‌ی </w:t>
      </w:r>
      <w:r w:rsidRPr="006B3D33">
        <w:rPr>
          <w:rFonts w:hint="cs"/>
          <w:i/>
          <w:sz w:val="23"/>
          <w:szCs w:val="23"/>
          <w:rtl/>
        </w:rPr>
        <w:t>(۱۰. ۴۲)</w:t>
      </w:r>
      <w:r w:rsidRPr="006B3D33">
        <w:rPr>
          <w:rFonts w:eastAsiaTheme="minorEastAsia" w:hint="cs"/>
          <w:i/>
          <w:sz w:val="23"/>
          <w:szCs w:val="23"/>
          <w:rtl/>
        </w:rPr>
        <w:t xml:space="preserve"> نشان می‌دهد که دستمزدها از مکانیسم تعدیل جزئی تبعیت می‌کنند، بگونه</w:t>
      </w:r>
      <w:r w:rsidRPr="006B3D33">
        <w:rPr>
          <w:rFonts w:eastAsiaTheme="minorEastAsia"/>
          <w:i/>
          <w:sz w:val="23"/>
          <w:szCs w:val="23"/>
          <w:rtl/>
        </w:rPr>
        <w:softHyphen/>
      </w:r>
      <w:r w:rsidRPr="006B3D33">
        <w:rPr>
          <w:rFonts w:eastAsiaTheme="minorEastAsia" w:hint="cs"/>
          <w:i/>
          <w:sz w:val="23"/>
          <w:szCs w:val="23"/>
          <w:rtl/>
        </w:rPr>
        <w:t>ای که تغییر دستمزدهای حقیقی در زمان</w:t>
      </w:r>
      <w:r w:rsidRPr="006B3D33">
        <w:rPr>
          <w:position w:val="-6"/>
        </w:rPr>
        <w:object w:dxaOrig="139" w:dyaOrig="240" w14:anchorId="0EDE3555">
          <v:shape id="_x0000_i4620" type="#_x0000_t75" style="width:7.25pt;height:12.1pt" o:ole="">
            <v:imagedata r:id="rId7238" o:title=""/>
          </v:shape>
          <o:OLEObject Type="Embed" ProgID="Equation.DSMT4" ShapeID="_x0000_i4620" DrawAspect="Content" ObjectID="_1791378564" r:id="rId7239"/>
        </w:object>
      </w:r>
      <w:r w:rsidRPr="006B3D33">
        <w:rPr>
          <w:rFonts w:eastAsiaTheme="minorEastAsia" w:hint="cs"/>
          <w:i/>
          <w:sz w:val="23"/>
          <w:szCs w:val="23"/>
          <w:rtl/>
        </w:rPr>
        <w:t xml:space="preserve"> نسبتی است از تغییرات مطلوب. رابطه‌ی </w:t>
      </w:r>
      <w:r w:rsidRPr="006B3D33">
        <w:rPr>
          <w:rFonts w:hint="cs"/>
          <w:i/>
          <w:sz w:val="23"/>
          <w:szCs w:val="23"/>
          <w:rtl/>
        </w:rPr>
        <w:t>(۱۰. ۴۳)</w:t>
      </w:r>
      <w:r w:rsidRPr="006B3D33">
        <w:rPr>
          <w:rFonts w:eastAsiaTheme="minorEastAsia" w:hint="cs"/>
          <w:i/>
          <w:sz w:val="23"/>
          <w:szCs w:val="23"/>
          <w:rtl/>
        </w:rPr>
        <w:t xml:space="preserve"> تفسیر دیگری است که در آن تغییر در دستمزدها به شکاف بین تسویه‌ی بازار یا دستمزد</w:t>
      </w:r>
      <w:r w:rsidRPr="006B3D33">
        <w:rPr>
          <w:position w:val="-10"/>
        </w:rPr>
        <w:object w:dxaOrig="499" w:dyaOrig="340" w14:anchorId="7DB0BB18">
          <v:shape id="_x0000_i4621" type="#_x0000_t75" style="width:25.4pt;height:16.95pt" o:ole="">
            <v:imagedata r:id="rId7240" o:title=""/>
          </v:shape>
          <o:OLEObject Type="Embed" ProgID="Equation.DSMT4" ShapeID="_x0000_i4621" DrawAspect="Content" ObjectID="_1791378565" r:id="rId7241"/>
        </w:object>
      </w:r>
      <w:r w:rsidRPr="006B3D33">
        <w:rPr>
          <w:rFonts w:eastAsiaTheme="minorEastAsia" w:hint="cs"/>
          <w:i/>
          <w:sz w:val="23"/>
          <w:szCs w:val="23"/>
          <w:rtl/>
        </w:rPr>
        <w:t xml:space="preserve"> از دستمزد حقیقی</w:t>
      </w:r>
      <w:r w:rsidRPr="006B3D33">
        <w:rPr>
          <w:position w:val="-10"/>
        </w:rPr>
        <w:object w:dxaOrig="460" w:dyaOrig="320" w14:anchorId="000670EC">
          <v:shape id="_x0000_i4622" type="#_x0000_t75" style="width:23pt;height:15.75pt" o:ole="">
            <v:imagedata r:id="rId7242" o:title=""/>
          </v:shape>
          <o:OLEObject Type="Embed" ProgID="Equation.DSMT4" ShapeID="_x0000_i4622" DrawAspect="Content" ObjectID="_1791378566" r:id="rId7243"/>
        </w:object>
      </w:r>
      <w:r w:rsidRPr="006B3D33">
        <w:rPr>
          <w:rFonts w:eastAsiaTheme="minorEastAsia" w:hint="cs"/>
          <w:i/>
          <w:sz w:val="23"/>
          <w:szCs w:val="23"/>
          <w:rtl/>
        </w:rPr>
        <w:t xml:space="preserve"> بستگی دارد. رابطه‌ی </w:t>
      </w:r>
      <w:r w:rsidRPr="006B3D33">
        <w:rPr>
          <w:rFonts w:hint="cs"/>
          <w:i/>
          <w:sz w:val="23"/>
          <w:szCs w:val="23"/>
          <w:rtl/>
        </w:rPr>
        <w:t>(۱۰. ۴۴)</w:t>
      </w:r>
      <w:r w:rsidRPr="006B3D33">
        <w:rPr>
          <w:rFonts w:eastAsiaTheme="minorEastAsia" w:hint="cs"/>
          <w:i/>
          <w:sz w:val="23"/>
          <w:szCs w:val="23"/>
          <w:rtl/>
        </w:rPr>
        <w:t xml:space="preserve"> نشان می‌دهد که دستمزدهای جاری برابر است با میانگین هندسی وزنی دستمزدهای تعادلی دوره‌های گذشته. </w:t>
      </w:r>
    </w:p>
    <w:p w14:paraId="37A1C275" w14:textId="77777777" w:rsidR="00411620" w:rsidRPr="006B3D33" w:rsidRDefault="00411620" w:rsidP="00411620">
      <w:pPr>
        <w:spacing w:line="216" w:lineRule="auto"/>
        <w:rPr>
          <w:rFonts w:eastAsiaTheme="minorEastAsia"/>
          <w:i/>
          <w:sz w:val="23"/>
          <w:szCs w:val="23"/>
          <w:rtl/>
        </w:rPr>
      </w:pPr>
    </w:p>
    <w:p w14:paraId="53ADCACF" w14:textId="77777777" w:rsidR="00411620" w:rsidRPr="006B3D33" w:rsidRDefault="00411620" w:rsidP="00411620">
      <w:pPr>
        <w:pStyle w:val="Heading1"/>
        <w:spacing w:before="0" w:after="0" w:line="216" w:lineRule="auto"/>
        <w:rPr>
          <w:rFonts w:ascii="Times New Roman" w:eastAsiaTheme="minorEastAsia" w:hAnsi="Times New Roman" w:cs="B Nazanin"/>
          <w:b w:val="0"/>
          <w:i/>
          <w:sz w:val="23"/>
          <w:szCs w:val="23"/>
          <w:rtl/>
        </w:rPr>
      </w:pPr>
      <w:r w:rsidRPr="006B3D33">
        <w:rPr>
          <w:rFonts w:ascii="Times New Roman" w:eastAsiaTheme="minorEastAsia" w:hAnsi="Times New Roman" w:cs="B Nazanin" w:hint="cs"/>
          <w:b w:val="0"/>
          <w:i/>
          <w:sz w:val="23"/>
          <w:szCs w:val="23"/>
          <w:rtl/>
        </w:rPr>
        <w:t xml:space="preserve">۱۰. ۵. ۵ بیکاری </w:t>
      </w:r>
    </w:p>
    <w:p w14:paraId="4D4A4BE7"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سطح بیکاری عبارت است از تفاوت بین تمایل به عرضه‌ی نفر-ساعات کار خانوار از تقاضای آن توسط بنگاه در نرخ دستمزد ساعتی حقیقی</w:t>
      </w:r>
      <w:r w:rsidRPr="006B3D33">
        <w:rPr>
          <w:position w:val="-10"/>
        </w:rPr>
        <w:object w:dxaOrig="260" w:dyaOrig="320" w14:anchorId="1226C21D">
          <v:shape id="_x0000_i4623" type="#_x0000_t75" style="width:12.7pt;height:15.75pt" o:ole="">
            <v:imagedata r:id="rId7244" o:title=""/>
          </v:shape>
          <o:OLEObject Type="Embed" ProgID="Equation.DSMT4" ShapeID="_x0000_i4623" DrawAspect="Content" ObjectID="_1791378567" r:id="rId7245"/>
        </w:object>
      </w:r>
      <w:r w:rsidRPr="006B3D33">
        <w:rPr>
          <w:rFonts w:eastAsiaTheme="minorEastAsia" w:hint="cs"/>
          <w:i/>
          <w:sz w:val="23"/>
          <w:szCs w:val="23"/>
          <w:rtl/>
        </w:rPr>
        <w:t xml:space="preserve"> در زمان</w:t>
      </w:r>
      <w:r w:rsidRPr="006B3D33">
        <w:rPr>
          <w:position w:val="-6"/>
        </w:rPr>
        <w:object w:dxaOrig="139" w:dyaOrig="240" w14:anchorId="73F184BC">
          <v:shape id="_x0000_i4624" type="#_x0000_t75" style="width:7.25pt;height:12.1pt" o:ole="">
            <v:imagedata r:id="rId7246" o:title=""/>
          </v:shape>
          <o:OLEObject Type="Embed" ProgID="Equation.DSMT4" ShapeID="_x0000_i4624" DrawAspect="Content" ObjectID="_1791378568" r:id="rId7247"/>
        </w:object>
      </w:r>
      <w:r w:rsidRPr="006B3D33">
        <w:rPr>
          <w:rFonts w:eastAsiaTheme="minorEastAsia" w:hint="cs"/>
          <w:i/>
          <w:sz w:val="23"/>
          <w:szCs w:val="23"/>
          <w:rtl/>
        </w:rPr>
        <w:t>. یعنی</w:t>
      </w:r>
    </w:p>
    <w:p w14:paraId="364EBB8E"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r w:rsidRPr="006B3D33">
        <w:rPr>
          <w:position w:val="-12"/>
        </w:rPr>
        <w:object w:dxaOrig="2100" w:dyaOrig="360" w14:anchorId="137E229E">
          <v:shape id="_x0000_i4625" type="#_x0000_t75" style="width:105.3pt;height:18.15pt" o:ole="">
            <v:imagedata r:id="rId7248" o:title=""/>
          </v:shape>
          <o:OLEObject Type="Embed" ProgID="Equation.DSMT4" ShapeID="_x0000_i4625" DrawAspect="Content" ObjectID="_1791378569" r:id="rId7249"/>
        </w:object>
      </w:r>
    </w:p>
    <w:p w14:paraId="057DF9E0"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lastRenderedPageBreak/>
        <w:t>بنابراین فرصت‌های شغلی خالی به مفهوم بیکاری منفی است. در این صورت نرخ بیکاری عبارت است از</w:t>
      </w:r>
    </w:p>
    <w:p w14:paraId="4CE7BE32" w14:textId="77777777" w:rsidR="00411620" w:rsidRPr="006B3D33" w:rsidRDefault="00411620" w:rsidP="00411620">
      <w:pPr>
        <w:pStyle w:val="MTDisplayEquation"/>
        <w:spacing w:line="216" w:lineRule="auto"/>
        <w:rPr>
          <w:rFonts w:ascii="Times New Roman" w:hAnsi="Times New Roman" w:cs="B Nazanin"/>
          <w:i/>
          <w:sz w:val="23"/>
          <w:szCs w:val="23"/>
        </w:rPr>
      </w:pPr>
      <w:r w:rsidRPr="006B3D33">
        <w:rPr>
          <w:position w:val="-30"/>
        </w:rPr>
        <w:object w:dxaOrig="3200" w:dyaOrig="700" w14:anchorId="6902D4A6">
          <v:shape id="_x0000_i4626" type="#_x0000_t75" style="width:160.35pt;height:35.1pt" o:ole="">
            <v:imagedata r:id="rId7250" o:title=""/>
          </v:shape>
          <o:OLEObject Type="Embed" ProgID="Equation.DSMT4" ShapeID="_x0000_i4626" DrawAspect="Content" ObjectID="_1791378570" r:id="rId7251"/>
        </w:object>
      </w:r>
    </w:p>
    <w:p w14:paraId="71786A5D" w14:textId="77777777" w:rsidR="00411620" w:rsidRPr="006B3D33" w:rsidRDefault="00411620" w:rsidP="00411620">
      <w:pPr>
        <w:bidi w:val="0"/>
        <w:spacing w:line="216" w:lineRule="auto"/>
        <w:rPr>
          <w:i/>
          <w:sz w:val="23"/>
          <w:szCs w:val="23"/>
        </w:rPr>
      </w:pPr>
      <w:r w:rsidRPr="006B3D33">
        <w:rPr>
          <w:position w:val="-30"/>
        </w:rPr>
        <w:object w:dxaOrig="2000" w:dyaOrig="700" w14:anchorId="2CA4C88F">
          <v:shape id="_x0000_i4627" type="#_x0000_t75" style="width:100.45pt;height:35.1pt" o:ole="">
            <v:imagedata r:id="rId7252" o:title=""/>
          </v:shape>
          <o:OLEObject Type="Embed" ProgID="Equation.DSMT4" ShapeID="_x0000_i4627" DrawAspect="Content" ObjectID="_1791378571" r:id="rId7253"/>
        </w:object>
      </w:r>
    </w:p>
    <w:p w14:paraId="339568B3"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 xml:space="preserve">که در آن </w:t>
      </w:r>
      <w:r w:rsidRPr="006B3D33">
        <w:rPr>
          <w:position w:val="-30"/>
        </w:rPr>
        <w:object w:dxaOrig="1140" w:dyaOrig="700" w14:anchorId="48AEF123">
          <v:shape id="_x0000_i4628" type="#_x0000_t75" style="width:57.5pt;height:35.1pt" o:ole="">
            <v:imagedata r:id="rId7254" o:title=""/>
          </v:shape>
          <o:OLEObject Type="Embed" ProgID="Equation.DSMT4" ShapeID="_x0000_i4628" DrawAspect="Content" ObjectID="_1791378572" r:id="rId7255"/>
        </w:object>
      </w:r>
      <w:r w:rsidRPr="006B3D33">
        <w:rPr>
          <w:rFonts w:eastAsiaTheme="minorEastAsia" w:hint="cs"/>
          <w:i/>
          <w:sz w:val="23"/>
          <w:szCs w:val="23"/>
          <w:rtl/>
        </w:rPr>
        <w:t xml:space="preserve"> برابر است با نرخ اشتغال. بنابراین</w:t>
      </w:r>
    </w:p>
    <w:p w14:paraId="05DE58B2" w14:textId="77777777" w:rsidR="00411620" w:rsidRPr="006B3D33" w:rsidRDefault="00411620" w:rsidP="00411620">
      <w:pPr>
        <w:pStyle w:val="MTDisplayEquation"/>
        <w:spacing w:line="216" w:lineRule="auto"/>
        <w:rPr>
          <w:rFonts w:ascii="Times New Roman" w:eastAsiaTheme="minorEastAsia" w:hAnsi="Times New Roman" w:cs="B Nazanin"/>
          <w:i/>
          <w:sz w:val="23"/>
          <w:szCs w:val="23"/>
        </w:rPr>
      </w:pPr>
      <w:r w:rsidRPr="006B3D33">
        <w:rPr>
          <w:position w:val="-12"/>
        </w:rPr>
        <w:object w:dxaOrig="3420" w:dyaOrig="360" w14:anchorId="7A65A7B9">
          <v:shape id="_x0000_i4629" type="#_x0000_t75" style="width:170.6pt;height:18.15pt" o:ole="">
            <v:imagedata r:id="rId7256" o:title=""/>
          </v:shape>
          <o:OLEObject Type="Embed" ProgID="Equation.DSMT4" ShapeID="_x0000_i4629" DrawAspect="Content" ObjectID="_1791378573" r:id="rId7257"/>
        </w:object>
      </w:r>
    </w:p>
    <w:p w14:paraId="3DFD6AF2" w14:textId="77777777" w:rsidR="00411620" w:rsidRPr="006B3D33" w:rsidRDefault="00411620" w:rsidP="00411620">
      <w:pPr>
        <w:spacing w:line="216" w:lineRule="auto"/>
        <w:rPr>
          <w:rFonts w:eastAsiaTheme="minorEastAsia"/>
          <w:i/>
          <w:sz w:val="23"/>
          <w:szCs w:val="23"/>
        </w:rPr>
      </w:pPr>
    </w:p>
    <w:p w14:paraId="3DFCAE4A"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 xml:space="preserve">از روابط </w:t>
      </w:r>
      <w:r w:rsidRPr="006B3D33">
        <w:rPr>
          <w:rFonts w:hint="cs"/>
          <w:i/>
          <w:sz w:val="23"/>
          <w:szCs w:val="23"/>
          <w:rtl/>
        </w:rPr>
        <w:t>(۱۰. ۳۶)</w:t>
      </w:r>
      <w:r w:rsidRPr="006B3D33">
        <w:rPr>
          <w:rFonts w:eastAsiaTheme="minorEastAsia" w:hint="cs"/>
          <w:i/>
          <w:sz w:val="23"/>
          <w:szCs w:val="23"/>
          <w:rtl/>
        </w:rPr>
        <w:t xml:space="preserve"> و </w:t>
      </w:r>
      <w:r w:rsidRPr="006B3D33">
        <w:rPr>
          <w:rFonts w:hint="cs"/>
          <w:i/>
          <w:sz w:val="23"/>
          <w:szCs w:val="23"/>
          <w:rtl/>
        </w:rPr>
        <w:t>(۱۰. ۳۷)</w:t>
      </w:r>
      <w:r w:rsidRPr="006B3D33">
        <w:rPr>
          <w:rFonts w:eastAsiaTheme="minorEastAsia" w:hint="cs"/>
          <w:i/>
          <w:sz w:val="23"/>
          <w:szCs w:val="23"/>
          <w:rtl/>
        </w:rPr>
        <w:t xml:space="preserve"> خواهیم داشت</w:t>
      </w:r>
    </w:p>
    <w:p w14:paraId="21B727B3" w14:textId="77777777" w:rsidR="00411620" w:rsidRPr="006B3D33" w:rsidRDefault="00411620" w:rsidP="00411620">
      <w:pPr>
        <w:spacing w:line="216" w:lineRule="auto"/>
        <w:rPr>
          <w:rFonts w:eastAsiaTheme="minorEastAsia"/>
          <w:i/>
          <w:sz w:val="23"/>
          <w:szCs w:val="23"/>
          <w:rtl/>
        </w:rPr>
      </w:pPr>
    </w:p>
    <w:p w14:paraId="0A7AB734" w14:textId="77777777" w:rsidR="00411620" w:rsidRPr="006B3D33"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Pr>
      </w:pPr>
      <w:r w:rsidRPr="006B3D33">
        <w:rPr>
          <w:position w:val="-30"/>
        </w:rPr>
        <w:object w:dxaOrig="4060" w:dyaOrig="639" w14:anchorId="28E06682">
          <v:shape id="_x0000_i4630" type="#_x0000_t75" style="width:203.3pt;height:32.05pt" o:ole="">
            <v:imagedata r:id="rId7258" o:title=""/>
          </v:shape>
          <o:OLEObject Type="Embed" ProgID="Equation.DSMT4" ShapeID="_x0000_i4630" DrawAspect="Content" ObjectID="_1791378574" r:id="rId7259"/>
        </w:object>
      </w:r>
      <w:r w:rsidRPr="006B3D33">
        <w:rPr>
          <w:rFonts w:ascii="Times New Roman" w:hAnsi="Times New Roman"/>
          <w:i/>
          <w:sz w:val="23"/>
          <w:szCs w:val="23"/>
          <w:rtl/>
        </w:rPr>
        <w:tab/>
      </w:r>
      <w:r w:rsidRPr="006B3D33">
        <w:rPr>
          <w:rFonts w:ascii="Times New Roman" w:hAnsi="Times New Roman"/>
          <w:i/>
          <w:sz w:val="23"/>
          <w:szCs w:val="23"/>
          <w:rtl/>
        </w:rPr>
        <w:tab/>
      </w:r>
      <w:r>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۴۵)</w:t>
      </w:r>
    </w:p>
    <w:p w14:paraId="20D2E9B5"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در تعادل</w:t>
      </w:r>
      <w:r w:rsidRPr="006B3D33">
        <w:rPr>
          <w:rFonts w:eastAsiaTheme="minorEastAsia"/>
          <w:i/>
          <w:sz w:val="23"/>
          <w:szCs w:val="23"/>
        </w:rPr>
        <w:t xml:space="preserve"> </w:t>
      </w:r>
      <w:r w:rsidRPr="006B3D33">
        <w:rPr>
          <w:rFonts w:eastAsiaTheme="minorEastAsia" w:hint="cs"/>
          <w:i/>
          <w:sz w:val="23"/>
          <w:szCs w:val="23"/>
          <w:rtl/>
        </w:rPr>
        <w:t>نرخ بیکاری برابر با صفر است ،</w:t>
      </w:r>
      <w:r w:rsidRPr="006B3D33">
        <w:rPr>
          <w:rFonts w:eastAsiaTheme="minorEastAsia"/>
          <w:i/>
          <w:sz w:val="23"/>
          <w:szCs w:val="23"/>
        </w:rPr>
        <w:t xml:space="preserve"> </w:t>
      </w:r>
      <w:r w:rsidRPr="006B3D33">
        <w:rPr>
          <w:position w:val="-10"/>
        </w:rPr>
        <w:object w:dxaOrig="600" w:dyaOrig="320" w14:anchorId="43C95E45">
          <v:shape id="_x0000_i4631" type="#_x0000_t75" style="width:29.65pt;height:15.75pt" o:ole="">
            <v:imagedata r:id="rId7260" o:title=""/>
          </v:shape>
          <o:OLEObject Type="Embed" ProgID="Equation.DSMT4" ShapeID="_x0000_i4631" DrawAspect="Content" ObjectID="_1791378575" r:id="rId7261"/>
        </w:object>
      </w:r>
      <w:r w:rsidRPr="006B3D33">
        <w:rPr>
          <w:rFonts w:eastAsiaTheme="minorEastAsia" w:hint="cs"/>
          <w:i/>
          <w:sz w:val="23"/>
          <w:szCs w:val="23"/>
          <w:rtl/>
        </w:rPr>
        <w:t>، و لذا دستمزد حقیقی برابر است با</w:t>
      </w:r>
    </w:p>
    <w:p w14:paraId="565C97D9"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6B3D33">
        <w:rPr>
          <w:position w:val="-30"/>
        </w:rPr>
        <w:object w:dxaOrig="4080" w:dyaOrig="639" w14:anchorId="1F325D20">
          <v:shape id="_x0000_i4632" type="#_x0000_t75" style="width:203.9pt;height:32.05pt" o:ole="">
            <v:imagedata r:id="rId7262" o:title=""/>
          </v:shape>
          <o:OLEObject Type="Embed" ProgID="Equation.DSMT4" ShapeID="_x0000_i4632" DrawAspect="Content" ObjectID="_1791378576" r:id="rId7263"/>
        </w:object>
      </w:r>
      <w:r w:rsidRPr="006B3D33">
        <w:rPr>
          <w:rFonts w:ascii="Times New Roman" w:hAnsi="Times New Roman" w:hint="cs"/>
          <w:i/>
          <w:sz w:val="23"/>
          <w:szCs w:val="23"/>
          <w:rtl/>
        </w:rPr>
        <w:t>‍</w:t>
      </w:r>
      <w:r w:rsidRPr="006B3D33">
        <w:rPr>
          <w:rFonts w:ascii="Times New Roman" w:hAnsi="Times New Roman" w:hint="cs"/>
          <w:i/>
          <w:sz w:val="23"/>
          <w:szCs w:val="23"/>
          <w:rtl/>
        </w:rPr>
        <w:tab/>
      </w:r>
      <w:r w:rsidRPr="006B3D33">
        <w:rPr>
          <w:rFonts w:ascii="Times New Roman" w:hAnsi="Times New Roman" w:hint="cs"/>
          <w:i/>
          <w:sz w:val="23"/>
          <w:szCs w:val="23"/>
          <w:rtl/>
        </w:rPr>
        <w:tab/>
      </w:r>
      <w:r w:rsidRPr="006B3D33">
        <w:rPr>
          <w:rFonts w:ascii="Times New Roman" w:hAnsi="Times New Roman" w:hint="cs"/>
          <w:i/>
          <w:sz w:val="23"/>
          <w:szCs w:val="23"/>
          <w:rtl/>
        </w:rPr>
        <w:tab/>
      </w:r>
      <w:r>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hint="cs"/>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۴۶)</w:t>
      </w:r>
    </w:p>
    <w:p w14:paraId="393A4A88"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که در آن علامت</w:t>
      </w:r>
      <w:r w:rsidRPr="00025957">
        <w:rPr>
          <w:position w:val="-4"/>
        </w:rPr>
        <w:object w:dxaOrig="180" w:dyaOrig="240" w14:anchorId="6A2B6937">
          <v:shape id="_x0000_i4633" type="#_x0000_t75" style="width:9.1pt;height:12.1pt" o:ole="">
            <v:imagedata r:id="rId7264" o:title=""/>
          </v:shape>
          <o:OLEObject Type="Embed" ProgID="Equation.DSMT4" ShapeID="_x0000_i4633" DrawAspect="Content" ObjectID="_1791378577" r:id="rId7265"/>
        </w:object>
      </w:r>
      <w:r w:rsidRPr="006B3D33">
        <w:rPr>
          <w:rFonts w:eastAsiaTheme="minorEastAsia" w:hint="cs"/>
          <w:i/>
          <w:sz w:val="23"/>
          <w:szCs w:val="23"/>
          <w:rtl/>
        </w:rPr>
        <w:t xml:space="preserve"> مقادیر تعادلی را نشان می‌دهد. بنابراین بیکاری را می‌توان به صورت زیر نوشت</w:t>
      </w:r>
    </w:p>
    <w:p w14:paraId="0C4A1010" w14:textId="77777777" w:rsidR="00411620" w:rsidRPr="006B3D33"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Pr>
      </w:pPr>
      <w:r w:rsidRPr="006B3D33">
        <w:rPr>
          <w:position w:val="-30"/>
        </w:rPr>
        <w:object w:dxaOrig="5800" w:dyaOrig="639" w14:anchorId="1E7065F5">
          <v:shape id="_x0000_i4634" type="#_x0000_t75" style="width:289.8pt;height:32.05pt" o:ole="">
            <v:imagedata r:id="rId7266" o:title=""/>
          </v:shape>
          <o:OLEObject Type="Embed" ProgID="Equation.DSMT4" ShapeID="_x0000_i4634" DrawAspect="Content" ObjectID="_1791378578" r:id="rId7267"/>
        </w:object>
      </w:r>
      <w:r>
        <w:rPr>
          <w:rtl/>
        </w:rPr>
        <w:tab/>
      </w:r>
      <w:r w:rsidRPr="006B3D33">
        <w:rPr>
          <w:rFonts w:ascii="Times New Roman" w:hAnsi="Times New Roman" w:cs="B Nazanin" w:hint="cs"/>
          <w:i/>
          <w:sz w:val="23"/>
          <w:szCs w:val="23"/>
          <w:rtl/>
        </w:rPr>
        <w:t>(۱۰. ۴۷)</w:t>
      </w:r>
    </w:p>
    <w:p w14:paraId="1056E253"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از روابط </w:t>
      </w:r>
      <w:r w:rsidRPr="006B3D33">
        <w:rPr>
          <w:rFonts w:hint="cs"/>
          <w:i/>
          <w:sz w:val="23"/>
          <w:szCs w:val="23"/>
          <w:rtl/>
        </w:rPr>
        <w:t>(۱۰. ۴۳)</w:t>
      </w:r>
      <w:r w:rsidRPr="006B3D33">
        <w:rPr>
          <w:rFonts w:eastAsiaTheme="minorEastAsia" w:hint="cs"/>
          <w:i/>
          <w:sz w:val="23"/>
          <w:szCs w:val="23"/>
          <w:rtl/>
        </w:rPr>
        <w:t xml:space="preserve"> و </w:t>
      </w:r>
      <w:r w:rsidRPr="006B3D33">
        <w:rPr>
          <w:rFonts w:hint="cs"/>
          <w:i/>
          <w:sz w:val="23"/>
          <w:szCs w:val="23"/>
          <w:rtl/>
        </w:rPr>
        <w:t>(۱۰. ۴۷)</w:t>
      </w:r>
      <w:r w:rsidRPr="006B3D33">
        <w:rPr>
          <w:rFonts w:eastAsiaTheme="minorEastAsia" w:hint="cs"/>
          <w:i/>
          <w:sz w:val="23"/>
          <w:szCs w:val="23"/>
          <w:rtl/>
        </w:rPr>
        <w:t xml:space="preserve"> رفتار پویای نرخ بیکاری در کوتاه‌مدت عبارت خواهد بود از</w:t>
      </w:r>
    </w:p>
    <w:p w14:paraId="70353994"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6B3D33">
        <w:rPr>
          <w:position w:val="-60"/>
        </w:rPr>
        <w:object w:dxaOrig="4160" w:dyaOrig="1300" w14:anchorId="59042EF6">
          <v:shape id="_x0000_i4635" type="#_x0000_t75" style="width:208.15pt;height:64.75pt" o:ole="">
            <v:imagedata r:id="rId7268" o:title=""/>
          </v:shape>
          <o:OLEObject Type="Embed" ProgID="Equation.DSMT4" ShapeID="_x0000_i4635" DrawAspect="Content" ObjectID="_1791378579" r:id="rId7269"/>
        </w:object>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۴۸)</w:t>
      </w:r>
    </w:p>
    <w:p w14:paraId="44EEE225"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دو عبارت آخر شکاف بین مقادیر تعادلی و سطح واقعی لگاریتم </w:t>
      </w:r>
      <w:r w:rsidRPr="006B3D33">
        <w:rPr>
          <w:position w:val="-10"/>
        </w:rPr>
        <w:object w:dxaOrig="279" w:dyaOrig="320" w14:anchorId="108A6DBC">
          <v:shape id="_x0000_i4636" type="#_x0000_t75" style="width:13.9pt;height:15.75pt" o:ole="">
            <v:imagedata r:id="rId7270" o:title=""/>
          </v:shape>
          <o:OLEObject Type="Embed" ProgID="Equation.DSMT4" ShapeID="_x0000_i4636" DrawAspect="Content" ObjectID="_1791378580" r:id="rId7271"/>
        </w:object>
      </w:r>
      <w:r w:rsidRPr="006B3D33">
        <w:rPr>
          <w:rFonts w:eastAsiaTheme="minorEastAsia" w:hint="cs"/>
          <w:i/>
          <w:sz w:val="23"/>
          <w:szCs w:val="23"/>
          <w:rtl/>
        </w:rPr>
        <w:t xml:space="preserve"> و </w:t>
      </w:r>
      <w:r w:rsidRPr="006B3D33">
        <w:rPr>
          <w:position w:val="-10"/>
        </w:rPr>
        <w:object w:dxaOrig="200" w:dyaOrig="320" w14:anchorId="29A07B06">
          <v:shape id="_x0000_i4637" type="#_x0000_t75" style="width:10.3pt;height:15.75pt" o:ole="">
            <v:imagedata r:id="rId7272" o:title=""/>
          </v:shape>
          <o:OLEObject Type="Embed" ProgID="Equation.DSMT4" ShapeID="_x0000_i4637" DrawAspect="Content" ObjectID="_1791378581" r:id="rId7273"/>
        </w:object>
      </w:r>
      <w:r w:rsidRPr="006B3D33">
        <w:rPr>
          <w:rFonts w:eastAsiaTheme="minorEastAsia" w:hint="cs"/>
          <w:i/>
          <w:sz w:val="23"/>
          <w:szCs w:val="23"/>
          <w:rtl/>
        </w:rPr>
        <w:t xml:space="preserve"> را اندازه گیری می‌کند. با جایگزاری حل</w:t>
      </w:r>
      <w:r w:rsidRPr="006B3D33">
        <w:rPr>
          <w:position w:val="-10"/>
        </w:rPr>
        <w:object w:dxaOrig="400" w:dyaOrig="320" w14:anchorId="0C9C51BA">
          <v:shape id="_x0000_i4638" type="#_x0000_t75" style="width:19.95pt;height:15.75pt" o:ole="">
            <v:imagedata r:id="rId7274" o:title=""/>
          </v:shape>
          <o:OLEObject Type="Embed" ProgID="Equation.DSMT4" ShapeID="_x0000_i4638" DrawAspect="Content" ObjectID="_1791378582" r:id="rId7275"/>
        </w:object>
      </w:r>
      <w:r w:rsidRPr="006B3D33">
        <w:rPr>
          <w:rFonts w:eastAsiaTheme="minorEastAsia" w:hint="cs"/>
          <w:i/>
          <w:sz w:val="23"/>
          <w:szCs w:val="23"/>
          <w:rtl/>
        </w:rPr>
        <w:t xml:space="preserve"> بر مبنای تقریب لگاریتم-خطی</w:t>
      </w:r>
      <w:r w:rsidRPr="006B3D33">
        <w:rPr>
          <w:position w:val="-10"/>
        </w:rPr>
        <w:object w:dxaOrig="200" w:dyaOrig="320" w14:anchorId="63F7F70E">
          <v:shape id="_x0000_i4639" type="#_x0000_t75" style="width:10.3pt;height:15.75pt" o:ole="">
            <v:imagedata r:id="rId7276" o:title=""/>
          </v:shape>
          <o:OLEObject Type="Embed" ProgID="Equation.DSMT4" ShapeID="_x0000_i4639" DrawAspect="Content" ObjectID="_1791378583" r:id="rId7277"/>
        </w:object>
      </w:r>
      <w:r w:rsidRPr="006B3D33">
        <w:rPr>
          <w:rFonts w:eastAsiaTheme="minorEastAsia" w:hint="cs"/>
          <w:i/>
          <w:sz w:val="23"/>
          <w:szCs w:val="23"/>
          <w:rtl/>
        </w:rPr>
        <w:t xml:space="preserve"> که از رابطه‌ی </w:t>
      </w:r>
      <w:r w:rsidRPr="006B3D33">
        <w:rPr>
          <w:rFonts w:hint="cs"/>
          <w:i/>
          <w:sz w:val="23"/>
          <w:szCs w:val="23"/>
          <w:rtl/>
        </w:rPr>
        <w:t>(۱۰. ۴۰)</w:t>
      </w:r>
      <w:r w:rsidRPr="006B3D33">
        <w:rPr>
          <w:rFonts w:eastAsiaTheme="minorEastAsia" w:hint="cs"/>
          <w:i/>
          <w:sz w:val="23"/>
          <w:szCs w:val="23"/>
          <w:rtl/>
        </w:rPr>
        <w:t xml:space="preserve"> بدست می‌آید خواهیم داشت؛</w:t>
      </w:r>
    </w:p>
    <w:p w14:paraId="1B667731" w14:textId="77777777" w:rsidR="00411620" w:rsidRPr="006B3D33" w:rsidRDefault="00411620" w:rsidP="00411620">
      <w:pPr>
        <w:pStyle w:val="MTDisplayEquation"/>
        <w:tabs>
          <w:tab w:val="clear" w:pos="6660"/>
        </w:tabs>
        <w:spacing w:line="216" w:lineRule="auto"/>
        <w:rPr>
          <w:rFonts w:ascii="Times New Roman" w:eastAsiaTheme="minorEastAsia" w:hAnsi="Times New Roman" w:cs="B Nazanin"/>
          <w:i/>
          <w:sz w:val="23"/>
          <w:szCs w:val="23"/>
        </w:rPr>
      </w:pPr>
      <w:r w:rsidRPr="006B3D33">
        <w:rPr>
          <w:position w:val="-66"/>
        </w:rPr>
        <w:object w:dxaOrig="4640" w:dyaOrig="1420" w14:anchorId="3ACDAD8D">
          <v:shape id="_x0000_i4640" type="#_x0000_t75" style="width:232.35pt;height:70.8pt" o:ole="">
            <v:imagedata r:id="rId7278" o:title=""/>
          </v:shape>
          <o:OLEObject Type="Embed" ProgID="Equation.DSMT4" ShapeID="_x0000_i4640" DrawAspect="Content" ObjectID="_1791378584" r:id="rId7279"/>
        </w:object>
      </w:r>
      <w:r w:rsidRPr="006B3D33">
        <w:rPr>
          <w:rFonts w:ascii="Times New Roman" w:hAnsi="Times New Roma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Pr>
          <w:rFonts w:ascii="Times New Roman" w:hAnsi="Times New Roma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۴۹)</w:t>
      </w:r>
    </w:p>
    <w:p w14:paraId="44F74CCC" w14:textId="77777777" w:rsidR="00411620" w:rsidRPr="006B3D33" w:rsidRDefault="00411620" w:rsidP="00411620">
      <w:pPr>
        <w:pStyle w:val="MTDisplayEquation"/>
        <w:bidi/>
        <w:spacing w:line="216" w:lineRule="auto"/>
        <w:rPr>
          <w:rFonts w:ascii="Times New Roman" w:eastAsiaTheme="minorEastAsia" w:hAnsi="Times New Roman" w:cs="B Nazanin"/>
          <w:i/>
          <w:sz w:val="23"/>
          <w:szCs w:val="23"/>
        </w:rPr>
      </w:pPr>
      <w:r w:rsidRPr="006B3D33">
        <w:rPr>
          <w:rFonts w:ascii="Times New Roman" w:hAnsi="Times New Roman" w:cs="B Nazanin"/>
          <w:i/>
          <w:sz w:val="23"/>
          <w:szCs w:val="23"/>
        </w:rPr>
        <w:lastRenderedPageBreak/>
        <w:tab/>
      </w:r>
      <w:r w:rsidRPr="006B3D33">
        <w:rPr>
          <w:rFonts w:ascii="Times New Roman" w:eastAsiaTheme="minorEastAsia" w:hAnsi="Times New Roman" w:cs="B Nazanin" w:hint="cs"/>
          <w:i/>
          <w:sz w:val="23"/>
          <w:szCs w:val="23"/>
          <w:rtl/>
        </w:rPr>
        <w:t>بنابراین در این مدل رفتار پویای بیکاری نهایتاً تابعی است از بهره</w:t>
      </w:r>
      <w:r w:rsidRPr="006B3D33">
        <w:rPr>
          <w:rFonts w:ascii="Times New Roman" w:eastAsiaTheme="minorEastAsia" w:hAnsi="Times New Roman" w:cs="B Nazanin"/>
          <w:i/>
          <w:sz w:val="23"/>
          <w:szCs w:val="23"/>
          <w:rtl/>
        </w:rPr>
        <w:softHyphen/>
      </w:r>
      <w:r w:rsidRPr="006B3D33">
        <w:rPr>
          <w:rFonts w:ascii="Times New Roman" w:eastAsiaTheme="minorEastAsia" w:hAnsi="Times New Roman" w:cs="B Nazanin" w:hint="cs"/>
          <w:i/>
          <w:sz w:val="23"/>
          <w:szCs w:val="23"/>
          <w:rtl/>
        </w:rPr>
        <w:t>وری. شکاف بهره</w:t>
      </w:r>
      <w:r w:rsidRPr="006B3D33">
        <w:rPr>
          <w:rFonts w:ascii="Times New Roman" w:eastAsiaTheme="minorEastAsia" w:hAnsi="Times New Roman" w:cs="B Nazanin"/>
          <w:i/>
          <w:sz w:val="23"/>
          <w:szCs w:val="23"/>
          <w:rtl/>
        </w:rPr>
        <w:softHyphen/>
      </w:r>
      <w:r w:rsidRPr="006B3D33">
        <w:rPr>
          <w:rFonts w:ascii="Times New Roman" w:eastAsiaTheme="minorEastAsia" w:hAnsi="Times New Roman" w:cs="B Nazanin" w:hint="cs"/>
          <w:i/>
          <w:sz w:val="23"/>
          <w:szCs w:val="23"/>
          <w:rtl/>
        </w:rPr>
        <w:t>وری ممکن است شوک غیرمنتظره باشد. برای مثال اگر</w:t>
      </w:r>
      <w:r w:rsidRPr="006B3D33">
        <w:rPr>
          <w:position w:val="-10"/>
        </w:rPr>
        <w:object w:dxaOrig="460" w:dyaOrig="320" w14:anchorId="7F87CF6A">
          <v:shape id="_x0000_i4641" type="#_x0000_t75" style="width:23pt;height:15.75pt" o:ole="">
            <v:imagedata r:id="rId7280" o:title=""/>
          </v:shape>
          <o:OLEObject Type="Embed" ProgID="Equation.DSMT4" ShapeID="_x0000_i4641" DrawAspect="Content" ObjectID="_1791378585" r:id="rId7281"/>
        </w:object>
      </w:r>
      <w:r w:rsidRPr="006B3D33">
        <w:rPr>
          <w:rFonts w:ascii="Times New Roman" w:eastAsiaTheme="minorEastAsia" w:hAnsi="Times New Roman" w:cs="B Nazanin" w:hint="cs"/>
          <w:i/>
          <w:sz w:val="23"/>
          <w:szCs w:val="23"/>
          <w:rtl/>
        </w:rPr>
        <w:t xml:space="preserve"> بوسیله‌ی</w:t>
      </w:r>
      <w:r w:rsidRPr="006B3D33">
        <w:rPr>
          <w:position w:val="-10"/>
        </w:rPr>
        <w:object w:dxaOrig="980" w:dyaOrig="320" w14:anchorId="182D0381">
          <v:shape id="_x0000_i4642" type="#_x0000_t75" style="width:49pt;height:15.75pt" o:ole="">
            <v:imagedata r:id="rId7282" o:title=""/>
          </v:shape>
          <o:OLEObject Type="Embed" ProgID="Equation.DSMT4" ShapeID="_x0000_i4642" DrawAspect="Content" ObjectID="_1791378586" r:id="rId7283"/>
        </w:object>
      </w:r>
      <w:r w:rsidRPr="006B3D33">
        <w:rPr>
          <w:rFonts w:ascii="Times New Roman" w:eastAsiaTheme="minorEastAsia" w:hAnsi="Times New Roman" w:cs="B Nazanin" w:hint="cs"/>
          <w:i/>
          <w:sz w:val="23"/>
          <w:szCs w:val="23"/>
          <w:rtl/>
        </w:rPr>
        <w:t xml:space="preserve"> حاصل شود که در آن</w:t>
      </w:r>
      <w:r w:rsidRPr="006B3D33">
        <w:rPr>
          <w:position w:val="-10"/>
        </w:rPr>
        <w:object w:dxaOrig="220" w:dyaOrig="320" w14:anchorId="11EC3838">
          <v:shape id="_x0000_i4643" type="#_x0000_t75" style="width:10.9pt;height:15.75pt" o:ole="">
            <v:imagedata r:id="rId7284" o:title=""/>
          </v:shape>
          <o:OLEObject Type="Embed" ProgID="Equation.DSMT4" ShapeID="_x0000_i4643" DrawAspect="Content" ObjectID="_1791378587" r:id="rId7285"/>
        </w:object>
      </w:r>
      <w:r w:rsidRPr="006B3D33">
        <w:rPr>
          <w:rFonts w:ascii="Times New Roman" w:eastAsiaTheme="minorEastAsia" w:hAnsi="Times New Roman" w:cs="B Nazanin" w:hint="cs"/>
          <w:i/>
          <w:sz w:val="23"/>
          <w:szCs w:val="23"/>
          <w:rtl/>
        </w:rPr>
        <w:t xml:space="preserve"> متغیر تصادفی مستقل است آنگاه</w:t>
      </w:r>
      <w:r w:rsidRPr="006B3D33">
        <w:rPr>
          <w:position w:val="-10"/>
        </w:rPr>
        <w:object w:dxaOrig="1280" w:dyaOrig="340" w14:anchorId="2E357358">
          <v:shape id="_x0000_i4644" type="#_x0000_t75" style="width:64.15pt;height:16.95pt" o:ole="">
            <v:imagedata r:id="rId7286" o:title=""/>
          </v:shape>
          <o:OLEObject Type="Embed" ProgID="Equation.DSMT4" ShapeID="_x0000_i4644" DrawAspect="Content" ObjectID="_1791378588" r:id="rId7287"/>
        </w:object>
      </w:r>
      <w:r w:rsidRPr="006B3D33">
        <w:rPr>
          <w:rFonts w:ascii="Times New Roman" w:eastAsiaTheme="minorEastAsia" w:hAnsi="Times New Roman" w:cs="B Nazanin" w:hint="cs"/>
          <w:i/>
          <w:sz w:val="23"/>
          <w:szCs w:val="23"/>
          <w:rtl/>
        </w:rPr>
        <w:t xml:space="preserve"> و</w:t>
      </w:r>
      <w:r w:rsidRPr="006B3D33">
        <w:rPr>
          <w:position w:val="-10"/>
        </w:rPr>
        <w:object w:dxaOrig="1480" w:dyaOrig="340" w14:anchorId="5396B6E2">
          <v:shape id="_x0000_i4645" type="#_x0000_t75" style="width:73.8pt;height:16.95pt" o:ole="">
            <v:imagedata r:id="rId7288" o:title=""/>
          </v:shape>
          <o:OLEObject Type="Embed" ProgID="Equation.DSMT4" ShapeID="_x0000_i4645" DrawAspect="Content" ObjectID="_1791378589" r:id="rId7289"/>
        </w:object>
      </w:r>
      <w:r w:rsidRPr="006B3D33">
        <w:rPr>
          <w:rFonts w:ascii="Times New Roman" w:eastAsiaTheme="minorEastAsia" w:hAnsi="Times New Roman" w:cs="B Nazanin" w:hint="cs"/>
          <w:i/>
          <w:sz w:val="23"/>
          <w:szCs w:val="23"/>
          <w:rtl/>
        </w:rPr>
        <w:t xml:space="preserve">. با یک شوک مثبت </w:t>
      </w:r>
      <w:r w:rsidRPr="006B3D33">
        <w:rPr>
          <w:position w:val="-10"/>
        </w:rPr>
        <w:object w:dxaOrig="580" w:dyaOrig="320" w14:anchorId="57F2D39E">
          <v:shape id="_x0000_i4646" type="#_x0000_t75" style="width:29.05pt;height:15.75pt" o:ole="">
            <v:imagedata r:id="rId7290" o:title=""/>
          </v:shape>
          <o:OLEObject Type="Embed" ProgID="Equation.DSMT4" ShapeID="_x0000_i4646" DrawAspect="Content" ObjectID="_1791378590" r:id="rId7291"/>
        </w:object>
      </w:r>
      <w:r w:rsidRPr="006B3D33">
        <w:rPr>
          <w:rFonts w:ascii="Times New Roman" w:eastAsiaTheme="minorEastAsia" w:hAnsi="Times New Roman" w:cs="B Nazanin" w:hint="cs"/>
          <w:i/>
          <w:sz w:val="23"/>
          <w:szCs w:val="23"/>
          <w:rtl/>
        </w:rPr>
        <w:t xml:space="preserve"> بیکاری افزایش یافته و نهایتاً از طریق یک مکانیسم تعدیل جزئی، افزایش بیکاری از بین خواهد رفت. چنانچه دستمزدها کاملاً انعطاف</w:t>
      </w:r>
      <w:r w:rsidRPr="006B3D33">
        <w:rPr>
          <w:rFonts w:ascii="Times New Roman" w:eastAsiaTheme="minorEastAsia" w:hAnsi="Times New Roman" w:cs="B Nazanin"/>
          <w:i/>
          <w:sz w:val="23"/>
          <w:szCs w:val="23"/>
          <w:rtl/>
        </w:rPr>
        <w:softHyphen/>
      </w:r>
      <w:r w:rsidRPr="006B3D33">
        <w:rPr>
          <w:rFonts w:ascii="Times New Roman" w:eastAsiaTheme="minorEastAsia" w:hAnsi="Times New Roman" w:cs="B Nazanin" w:hint="cs"/>
          <w:i/>
          <w:sz w:val="23"/>
          <w:szCs w:val="23"/>
          <w:rtl/>
        </w:rPr>
        <w:t xml:space="preserve">پذیر باشند یعنی </w:t>
      </w:r>
      <w:r w:rsidRPr="006B3D33">
        <w:rPr>
          <w:position w:val="-10"/>
        </w:rPr>
        <w:object w:dxaOrig="620" w:dyaOrig="300" w14:anchorId="19AD343C">
          <v:shape id="_x0000_i4647" type="#_x0000_t75" style="width:30.85pt;height:14.5pt" o:ole="">
            <v:imagedata r:id="rId7292" o:title=""/>
          </v:shape>
          <o:OLEObject Type="Embed" ProgID="Equation.DSMT4" ShapeID="_x0000_i4647" DrawAspect="Content" ObjectID="_1791378591" r:id="rId7293"/>
        </w:object>
      </w:r>
      <w:r w:rsidRPr="006B3D33">
        <w:rPr>
          <w:rFonts w:ascii="Times New Roman" w:eastAsiaTheme="minorEastAsia" w:hAnsi="Times New Roman" w:cs="B Nazanin" w:hint="cs"/>
          <w:i/>
          <w:sz w:val="23"/>
          <w:szCs w:val="23"/>
          <w:rtl/>
        </w:rPr>
        <w:t xml:space="preserve"> میل کند و</w:t>
      </w:r>
      <w:r w:rsidRPr="006B3D33">
        <w:rPr>
          <w:position w:val="-10"/>
        </w:rPr>
        <w:object w:dxaOrig="1140" w:dyaOrig="340" w14:anchorId="24B9A17D">
          <v:shape id="_x0000_i4648" type="#_x0000_t75" style="width:57.5pt;height:16.95pt" o:ole="">
            <v:imagedata r:id="rId7294" o:title=""/>
          </v:shape>
          <o:OLEObject Type="Embed" ProgID="Equation.DSMT4" ShapeID="_x0000_i4648" DrawAspect="Content" ObjectID="_1791378592" r:id="rId7295"/>
        </w:object>
      </w:r>
      <w:r w:rsidRPr="006B3D33">
        <w:rPr>
          <w:rFonts w:ascii="Times New Roman" w:eastAsiaTheme="minorEastAsia" w:hAnsi="Times New Roman" w:cs="B Nazanin" w:hint="cs"/>
          <w:i/>
          <w:sz w:val="23"/>
          <w:szCs w:val="23"/>
          <w:rtl/>
        </w:rPr>
        <w:t xml:space="preserve"> باشد رابطه‌ی </w:t>
      </w:r>
      <w:r w:rsidRPr="006B3D33">
        <w:rPr>
          <w:rFonts w:ascii="Times New Roman" w:hAnsi="Times New Roman" w:cs="B Nazanin" w:hint="cs"/>
          <w:i/>
          <w:sz w:val="23"/>
          <w:szCs w:val="23"/>
          <w:rtl/>
        </w:rPr>
        <w:t>(۱۰. ۴۹)</w:t>
      </w:r>
      <w:r w:rsidRPr="006B3D33">
        <w:rPr>
          <w:rFonts w:ascii="Times New Roman" w:eastAsiaTheme="minorEastAsia" w:hAnsi="Times New Roman" w:cs="B Nazanin" w:hint="cs"/>
          <w:i/>
          <w:sz w:val="23"/>
          <w:szCs w:val="23"/>
          <w:rtl/>
        </w:rPr>
        <w:t xml:space="preserve"> به رابطه‌ی زیر تبدیل می‌شود؛</w:t>
      </w:r>
    </w:p>
    <w:p w14:paraId="5E49F836" w14:textId="77777777" w:rsidR="00411620" w:rsidRPr="006B3D33" w:rsidRDefault="00411620" w:rsidP="00411620">
      <w:pPr>
        <w:pStyle w:val="MTDisplayEquation"/>
        <w:tabs>
          <w:tab w:val="clear" w:pos="6660"/>
          <w:tab w:val="right" w:pos="0"/>
        </w:tabs>
        <w:spacing w:line="216" w:lineRule="auto"/>
        <w:rPr>
          <w:rFonts w:ascii="Times New Roman" w:eastAsiaTheme="minorEastAsia" w:hAnsi="Times New Roman" w:cs="B Nazanin"/>
          <w:i/>
          <w:sz w:val="23"/>
          <w:szCs w:val="23"/>
        </w:rPr>
      </w:pPr>
      <w:r w:rsidRPr="006B3D33">
        <w:rPr>
          <w:position w:val="-30"/>
        </w:rPr>
        <w:object w:dxaOrig="3800" w:dyaOrig="700" w14:anchorId="0074FB07">
          <v:shape id="_x0000_i4649" type="#_x0000_t75" style="width:190pt;height:35.1pt" o:ole="">
            <v:imagedata r:id="rId7296" o:title=""/>
          </v:shape>
          <o:OLEObject Type="Embed" ProgID="Equation.DSMT4" ShapeID="_x0000_i4649" DrawAspect="Content" ObjectID="_1791378593" r:id="rId7297"/>
        </w:object>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cs="B Nazanin"/>
          <w:i/>
          <w:sz w:val="23"/>
          <w:szCs w:val="23"/>
          <w:rtl/>
        </w:rPr>
        <w:tab/>
      </w:r>
      <w:r w:rsidRPr="006B3D33">
        <w:rPr>
          <w:rFonts w:ascii="Times New Roman" w:hAnsi="Times New Roman"/>
          <w:i/>
          <w:sz w:val="23"/>
          <w:szCs w:val="23"/>
          <w:rtl/>
        </w:rPr>
        <w:tab/>
      </w:r>
      <w:r w:rsidRPr="006B3D33">
        <w:rPr>
          <w:rFonts w:ascii="Times New Roman" w:hAnsi="Times New Roman"/>
          <w:i/>
          <w:sz w:val="23"/>
          <w:szCs w:val="23"/>
          <w:rtl/>
        </w:rPr>
        <w:tab/>
      </w:r>
      <w:r>
        <w:rPr>
          <w:rFonts w:ascii="Times New Roman" w:hAnsi="Times New Roman"/>
          <w:i/>
          <w:sz w:val="23"/>
          <w:szCs w:val="23"/>
          <w:rtl/>
        </w:rPr>
        <w:tab/>
      </w:r>
      <w:r w:rsidRPr="006B3D33">
        <w:rPr>
          <w:rFonts w:ascii="Times New Roman" w:hAnsi="Times New Roman" w:cs="B Nazanin"/>
          <w:i/>
          <w:sz w:val="23"/>
          <w:szCs w:val="23"/>
          <w:rtl/>
        </w:rPr>
        <w:tab/>
      </w:r>
      <w:r w:rsidRPr="006B3D33">
        <w:rPr>
          <w:rFonts w:ascii="Times New Roman" w:hAnsi="Times New Roman" w:cs="B Nazanin" w:hint="cs"/>
          <w:i/>
          <w:sz w:val="23"/>
          <w:szCs w:val="23"/>
          <w:rtl/>
        </w:rPr>
        <w:t>(۱۰. ۵۰)</w:t>
      </w:r>
    </w:p>
    <w:p w14:paraId="56C4221B" w14:textId="77777777" w:rsidR="00411620" w:rsidRPr="006B3D33" w:rsidRDefault="00411620" w:rsidP="00411620">
      <w:pPr>
        <w:spacing w:line="216" w:lineRule="auto"/>
        <w:rPr>
          <w:rFonts w:eastAsiaTheme="minorEastAsia"/>
          <w:i/>
          <w:sz w:val="23"/>
          <w:szCs w:val="23"/>
        </w:rPr>
      </w:pPr>
      <w:r w:rsidRPr="006B3D33">
        <w:rPr>
          <w:rFonts w:eastAsiaTheme="minorEastAsia" w:hint="cs"/>
          <w:i/>
          <w:sz w:val="23"/>
          <w:szCs w:val="23"/>
          <w:rtl/>
        </w:rPr>
        <w:t xml:space="preserve">رابطه‌ی فوق نشان می‌دهد که حتی اگر دستمزدها کاملاً انعطاف‌پذیر باشند، بیکاری بواسطه‌ی شوک‌ها بوجود خواهد آمد. در این مدل فقط چسبندگی دستمزدها باعث تداوم بیکاری خواهد شد. </w:t>
      </w:r>
    </w:p>
    <w:p w14:paraId="3D5D54A1" w14:textId="77777777" w:rsidR="00411620" w:rsidRPr="006B3D33" w:rsidRDefault="00411620" w:rsidP="00411620">
      <w:pPr>
        <w:spacing w:line="216" w:lineRule="auto"/>
        <w:rPr>
          <w:rFonts w:eastAsiaTheme="minorEastAsia"/>
          <w:i/>
          <w:sz w:val="23"/>
          <w:szCs w:val="23"/>
          <w:rtl/>
        </w:rPr>
      </w:pPr>
    </w:p>
    <w:p w14:paraId="408470C4" w14:textId="77777777" w:rsidR="00411620" w:rsidRPr="006B3D33" w:rsidRDefault="00411620" w:rsidP="00411620">
      <w:pPr>
        <w:pStyle w:val="Heading1"/>
        <w:spacing w:before="0" w:after="0" w:line="216" w:lineRule="auto"/>
        <w:rPr>
          <w:rFonts w:ascii="Times New Roman" w:eastAsiaTheme="minorEastAsia" w:hAnsi="Times New Roman" w:cs="B Nazanin"/>
          <w:b w:val="0"/>
          <w:i/>
          <w:sz w:val="23"/>
          <w:szCs w:val="23"/>
          <w:rtl/>
        </w:rPr>
      </w:pPr>
      <w:r w:rsidRPr="006B3D33">
        <w:rPr>
          <w:rFonts w:ascii="Times New Roman" w:eastAsiaTheme="minorEastAsia" w:hAnsi="Times New Roman" w:cs="B Nazanin" w:hint="cs"/>
          <w:b w:val="0"/>
          <w:i/>
          <w:sz w:val="23"/>
          <w:szCs w:val="23"/>
          <w:rtl/>
        </w:rPr>
        <w:t xml:space="preserve">۱۰. ۵. ۶ توضیحات </w:t>
      </w:r>
    </w:p>
    <w:p w14:paraId="33E6E599"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در این قسمت مبانی تئوریک بیکاری با هدف توضیح بیکاری غیرداوطلبانه و همچنین تداوم و بقاء آن ارائه شد. در این مدل بیکاری به دلیل شوک‌های مثبت بهره</w:t>
      </w:r>
      <w:r w:rsidRPr="006B3D33">
        <w:rPr>
          <w:rFonts w:eastAsiaTheme="minorEastAsia"/>
          <w:i/>
          <w:sz w:val="23"/>
          <w:szCs w:val="23"/>
          <w:rtl/>
        </w:rPr>
        <w:softHyphen/>
      </w:r>
      <w:r w:rsidRPr="006B3D33">
        <w:rPr>
          <w:rFonts w:eastAsiaTheme="minorEastAsia" w:hint="cs"/>
          <w:i/>
          <w:sz w:val="23"/>
          <w:szCs w:val="23"/>
          <w:rtl/>
        </w:rPr>
        <w:t>وری بوجود می‌آید و به خاطر چسبندگی دستمزدها تداوم خواهد یافت. فرصت‌های شغلی خالی همان بیکاری منفی است. این مدل، حاوی برخی مفروضات قوی غیرواقعی است. اشتغال بر مبنای نفر-ساعت اندازه</w:t>
      </w:r>
      <w:r w:rsidRPr="006B3D33">
        <w:rPr>
          <w:rFonts w:eastAsiaTheme="minorEastAsia"/>
          <w:i/>
          <w:sz w:val="23"/>
          <w:szCs w:val="23"/>
          <w:rtl/>
        </w:rPr>
        <w:softHyphen/>
      </w:r>
      <w:r w:rsidRPr="006B3D33">
        <w:rPr>
          <w:rFonts w:eastAsiaTheme="minorEastAsia" w:hint="cs"/>
          <w:i/>
          <w:sz w:val="23"/>
          <w:szCs w:val="23"/>
          <w:rtl/>
        </w:rPr>
        <w:t xml:space="preserve">گیری شده و بیکاری شکاف بین نفر-ساعات کار عرضه شده و تقاضا شده بر حسب دستمزد حقیقی جاری است. بیکاری می‌تواند به صورت کار کردن اعضاء خانوار به صورت پاره وقت و یا صفر ساعت کار باشد. بیاد آورید که بر مبنای داده‌ها نوسانات متوسط ساعات در یک چرخه، کمتر از تعداد افراد شاغل و یا بیکار است. اگر عضو خانوار صفر ساعت کار کند، آنگاه مدل بطور ضمنی و تلویحی فرض می‌کند که مخارج مصرفی آن فرد در واقع بوسیله‌ی دیگر اعضاء خانوار پرداخت شده است. به عبارتی دیگر، خانوار بیمه‌ی بیکاری را تأمین خواهد کرد. در عمل مرسوم است که دولت بیمه‌ی بیکاری را همانند پرداخت‌های انتقالی از طریق مالیات از شاغلین تأمین کند. </w:t>
      </w:r>
    </w:p>
    <w:p w14:paraId="3C02E29E"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این مدل بیکاری را به بهره</w:t>
      </w:r>
      <w:r w:rsidRPr="006B3D33">
        <w:rPr>
          <w:rFonts w:eastAsiaTheme="minorEastAsia"/>
          <w:i/>
          <w:sz w:val="23"/>
          <w:szCs w:val="23"/>
          <w:rtl/>
        </w:rPr>
        <w:softHyphen/>
      </w:r>
      <w:r w:rsidRPr="006B3D33">
        <w:rPr>
          <w:rFonts w:eastAsiaTheme="minorEastAsia" w:hint="cs"/>
          <w:i/>
          <w:sz w:val="23"/>
          <w:szCs w:val="23"/>
          <w:rtl/>
        </w:rPr>
        <w:t>وری و شوک‌های مصرف نسبت می‌دهد. در مدلِ اقتصادیِ کامل</w:t>
      </w:r>
      <w:r w:rsidRPr="006B3D33">
        <w:rPr>
          <w:rFonts w:eastAsiaTheme="minorEastAsia"/>
          <w:i/>
          <w:sz w:val="23"/>
          <w:szCs w:val="23"/>
          <w:rtl/>
        </w:rPr>
        <w:softHyphen/>
      </w:r>
      <w:r w:rsidRPr="006B3D33">
        <w:rPr>
          <w:rFonts w:eastAsiaTheme="minorEastAsia" w:hint="cs"/>
          <w:i/>
          <w:sz w:val="23"/>
          <w:szCs w:val="23"/>
          <w:rtl/>
        </w:rPr>
        <w:t>تر علت بیکاری را می‌توان به شوک‌های دیگری همانند شوک‌های ترجیحات، شوک‌های مربوط به سیاست‌های پولی و مالی و یا شوک‌های خارجی نیز نسبت داد. در این مدل رفتار پویای بیکاری نتیجه‌ی فرایند تعیین دستمزد است. در مدل کامل‌تر عوامل دیگری نظیر انباشت سرمایه وجود دارد که بر این فرایند تأثیر گذار است. اگر چه تجزیه و تحلیل فوق نوسانات چرخه</w:t>
      </w:r>
      <w:r w:rsidRPr="006B3D33">
        <w:rPr>
          <w:rFonts w:eastAsiaTheme="minorEastAsia"/>
          <w:i/>
          <w:sz w:val="23"/>
          <w:szCs w:val="23"/>
          <w:rtl/>
        </w:rPr>
        <w:softHyphen/>
      </w:r>
      <w:r w:rsidRPr="006B3D33">
        <w:rPr>
          <w:rFonts w:eastAsiaTheme="minorEastAsia" w:hint="cs"/>
          <w:i/>
          <w:sz w:val="23"/>
          <w:szCs w:val="23"/>
          <w:rtl/>
        </w:rPr>
        <w:t>ای بیکاری را توضیح می‌دهد اما وجود بیکاری دائمی و فرصت‌های شغلی خالی دائمی را توضیح نمی‌دهد. همان</w:t>
      </w:r>
      <w:r w:rsidRPr="006B3D33">
        <w:rPr>
          <w:rFonts w:eastAsiaTheme="minorEastAsia"/>
          <w:i/>
          <w:sz w:val="23"/>
          <w:szCs w:val="23"/>
          <w:rtl/>
        </w:rPr>
        <w:softHyphen/>
      </w:r>
      <w:r w:rsidRPr="006B3D33">
        <w:rPr>
          <w:rFonts w:eastAsiaTheme="minorEastAsia" w:hint="cs"/>
          <w:i/>
          <w:sz w:val="23"/>
          <w:szCs w:val="23"/>
          <w:rtl/>
        </w:rPr>
        <w:t>طور که دو نظریه جستجو و نظریه کارایی-دستمزد دلایلی را برای سطح تعادلی بیکاری غیرصفر فراهم می‌سازند، ولی توضیح جامع و کامل بیکاری ممکن است نیازمند ترکیب این نظریه</w:t>
      </w:r>
      <w:r w:rsidRPr="006B3D33">
        <w:rPr>
          <w:rFonts w:eastAsiaTheme="minorEastAsia"/>
          <w:i/>
          <w:sz w:val="23"/>
          <w:szCs w:val="23"/>
          <w:rtl/>
        </w:rPr>
        <w:softHyphen/>
      </w:r>
      <w:r w:rsidRPr="006B3D33">
        <w:rPr>
          <w:rFonts w:eastAsiaTheme="minorEastAsia" w:hint="cs"/>
          <w:i/>
          <w:sz w:val="23"/>
          <w:szCs w:val="23"/>
          <w:rtl/>
        </w:rPr>
        <w:t xml:space="preserve">ها باشد. </w:t>
      </w:r>
    </w:p>
    <w:p w14:paraId="55BC9E8A"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مدل بیکاری غیرداوطلبانه که بر مبنای شکست سرعت تعدیل مناسب دستمزد برای حذف سریع تفاوت بین عرضه و تقاضای کار ارائه شده ممکن است با مدل‌های اقتصاد کلان غیرتعادلی، و مدل‌های </w:t>
      </w:r>
      <w:r w:rsidRPr="006B3D33">
        <w:rPr>
          <w:rFonts w:eastAsiaTheme="minorEastAsia" w:hint="cs"/>
          <w:i/>
          <w:sz w:val="23"/>
          <w:szCs w:val="23"/>
          <w:rtl/>
        </w:rPr>
        <w:lastRenderedPageBreak/>
        <w:t>چرخه</w:t>
      </w:r>
      <w:r w:rsidRPr="006B3D33">
        <w:rPr>
          <w:rFonts w:eastAsiaTheme="minorEastAsia"/>
          <w:i/>
          <w:sz w:val="23"/>
          <w:szCs w:val="23"/>
          <w:rtl/>
        </w:rPr>
        <w:softHyphen/>
      </w:r>
      <w:r w:rsidRPr="006B3D33">
        <w:rPr>
          <w:rFonts w:eastAsiaTheme="minorEastAsia" w:hint="cs"/>
          <w:i/>
          <w:sz w:val="23"/>
          <w:szCs w:val="23"/>
          <w:rtl/>
        </w:rPr>
        <w:t>های تجاری حقیقی با رویکرد تعادل عمومی پویای تصادفی مقایسه شوند. در مدل‌های چرخه</w:t>
      </w:r>
      <w:r w:rsidRPr="006B3D33">
        <w:rPr>
          <w:rFonts w:eastAsiaTheme="minorEastAsia"/>
          <w:i/>
          <w:sz w:val="23"/>
          <w:szCs w:val="23"/>
          <w:rtl/>
        </w:rPr>
        <w:softHyphen/>
      </w:r>
      <w:r w:rsidRPr="006B3D33">
        <w:rPr>
          <w:rFonts w:eastAsiaTheme="minorEastAsia" w:hint="cs"/>
          <w:i/>
          <w:sz w:val="23"/>
          <w:szCs w:val="23"/>
          <w:rtl/>
        </w:rPr>
        <w:t>های تجاری حقیقی فرض می‌شود که قیمت‌ها کاملاً انعطاف‌پذیرند و بازارها سریعاً تسویه شده و پیوسته در تعادل</w:t>
      </w:r>
      <w:r w:rsidRPr="006B3D33">
        <w:rPr>
          <w:rFonts w:eastAsiaTheme="minorEastAsia"/>
          <w:i/>
          <w:sz w:val="23"/>
          <w:szCs w:val="23"/>
          <w:rtl/>
        </w:rPr>
        <w:softHyphen/>
      </w:r>
      <w:r w:rsidRPr="006B3D33">
        <w:rPr>
          <w:rFonts w:eastAsiaTheme="minorEastAsia" w:hint="cs"/>
          <w:i/>
          <w:sz w:val="23"/>
          <w:szCs w:val="23"/>
          <w:rtl/>
        </w:rPr>
        <w:t>اند. فرض قیمت‌های ثابت فقط برای دوره‌ی کوتاه‌مدت ( و بسیار کوتاه‌مدت برای برخی کالاها ) قابل دفاع است. در دوره‌های بلند‌مدت فرض قیمت‌های کاملاً انعطاف</w:t>
      </w:r>
      <w:r w:rsidRPr="006B3D33">
        <w:rPr>
          <w:rFonts w:eastAsiaTheme="minorEastAsia"/>
          <w:i/>
          <w:sz w:val="23"/>
          <w:szCs w:val="23"/>
          <w:rtl/>
        </w:rPr>
        <w:softHyphen/>
      </w:r>
      <w:r w:rsidRPr="006B3D33">
        <w:rPr>
          <w:rFonts w:eastAsiaTheme="minorEastAsia" w:hint="cs"/>
          <w:i/>
          <w:sz w:val="23"/>
          <w:szCs w:val="23"/>
          <w:rtl/>
        </w:rPr>
        <w:t xml:space="preserve">پذیر واقع بینانه‌تر است. در مدل بیکاری فرض می‌شود که متوسط دستمزد در کوتاه‌مدت کاملاً انعطاف‌پذیر نیست. همچنین فرض می‌شود که برای اثرگذاری بر کار و تغییرات در موجودی سرمایه که از آن صرف نظر می‌شود دوره‌ی زمانی به اندازه‌ی کافی کوتاه است. </w:t>
      </w:r>
    </w:p>
    <w:p w14:paraId="401AF77D" w14:textId="77777777" w:rsidR="00411620" w:rsidRPr="006B3D33" w:rsidRDefault="00411620" w:rsidP="00411620">
      <w:pPr>
        <w:spacing w:line="216" w:lineRule="auto"/>
        <w:rPr>
          <w:rFonts w:eastAsiaTheme="minorEastAsia"/>
          <w:i/>
          <w:sz w:val="23"/>
          <w:szCs w:val="23"/>
          <w:rtl/>
        </w:rPr>
      </w:pPr>
    </w:p>
    <w:p w14:paraId="65954AB4" w14:textId="77777777" w:rsidR="00411620" w:rsidRPr="006B3D33" w:rsidRDefault="00411620" w:rsidP="00411620">
      <w:pPr>
        <w:pStyle w:val="Heading1"/>
        <w:spacing w:before="0" w:after="0" w:line="216" w:lineRule="auto"/>
        <w:rPr>
          <w:rFonts w:ascii="Times New Roman" w:eastAsiaTheme="minorEastAsia" w:hAnsi="Times New Roman" w:cs="B Nazanin"/>
          <w:b w:val="0"/>
          <w:i/>
          <w:sz w:val="23"/>
          <w:szCs w:val="23"/>
          <w:rtl/>
        </w:rPr>
      </w:pPr>
      <w:r w:rsidRPr="006B3D33">
        <w:rPr>
          <w:rFonts w:ascii="Times New Roman" w:eastAsiaTheme="minorEastAsia" w:hAnsi="Times New Roman" w:cs="B Nazanin" w:hint="cs"/>
          <w:b w:val="0"/>
          <w:i/>
          <w:sz w:val="23"/>
          <w:szCs w:val="23"/>
          <w:rtl/>
        </w:rPr>
        <w:t xml:space="preserve">۱۰. ۶ بیکاری و اثربخشی سیاست‌های مالی و پولی </w:t>
      </w:r>
    </w:p>
    <w:p w14:paraId="2B5FC27E"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یکی از کاربرهای مهم سیاست‌های مالی تثبیت اقتصاد از طریق محرک‌های مالی در شرایط رکود اقتصادی است. یکی از معیارهای اثر بخشی سیاست</w:t>
      </w:r>
      <w:r w:rsidRPr="006B3D33">
        <w:rPr>
          <w:rFonts w:eastAsiaTheme="minorEastAsia"/>
          <w:i/>
          <w:sz w:val="23"/>
          <w:szCs w:val="23"/>
          <w:rtl/>
        </w:rPr>
        <w:softHyphen/>
      </w:r>
      <w:r w:rsidRPr="006B3D33">
        <w:rPr>
          <w:rFonts w:eastAsiaTheme="minorEastAsia" w:hint="cs"/>
          <w:i/>
          <w:sz w:val="23"/>
          <w:szCs w:val="23"/>
          <w:rtl/>
        </w:rPr>
        <w:t>های مالی اندازه</w:t>
      </w:r>
      <w:r w:rsidRPr="006B3D33">
        <w:rPr>
          <w:rFonts w:eastAsiaTheme="minorEastAsia"/>
          <w:i/>
          <w:sz w:val="23"/>
          <w:szCs w:val="23"/>
          <w:rtl/>
        </w:rPr>
        <w:softHyphen/>
      </w:r>
      <w:r w:rsidRPr="006B3D33">
        <w:rPr>
          <w:rFonts w:eastAsiaTheme="minorEastAsia" w:hint="cs"/>
          <w:i/>
          <w:sz w:val="23"/>
          <w:szCs w:val="23"/>
          <w:rtl/>
        </w:rPr>
        <w:t>گیری ضریب تکاثر مخارج دولت است. در مدل‌های اولیه‌ی اقتصاد کلانِ کینزی که در سال‌های۱۹۴۰ میلادی استفاده می</w:t>
      </w:r>
      <w:r w:rsidRPr="006B3D33">
        <w:rPr>
          <w:rFonts w:eastAsiaTheme="minorEastAsia"/>
          <w:i/>
          <w:sz w:val="23"/>
          <w:szCs w:val="23"/>
          <w:rtl/>
        </w:rPr>
        <w:softHyphen/>
      </w:r>
      <w:r w:rsidRPr="006B3D33">
        <w:rPr>
          <w:rFonts w:eastAsiaTheme="minorEastAsia" w:hint="cs"/>
          <w:i/>
          <w:sz w:val="23"/>
          <w:szCs w:val="23"/>
          <w:rtl/>
        </w:rPr>
        <w:t>شد، ضریب تکاثر مخارج دولت برابر با معکوس میل نهایی به پس</w:t>
      </w:r>
      <w:r w:rsidRPr="006B3D33">
        <w:rPr>
          <w:rFonts w:eastAsiaTheme="minorEastAsia"/>
          <w:i/>
          <w:sz w:val="23"/>
          <w:szCs w:val="23"/>
          <w:rtl/>
        </w:rPr>
        <w:softHyphen/>
      </w:r>
      <w:r w:rsidRPr="006B3D33">
        <w:rPr>
          <w:rFonts w:eastAsiaTheme="minorEastAsia" w:hint="cs"/>
          <w:i/>
          <w:sz w:val="23"/>
          <w:szCs w:val="23"/>
          <w:rtl/>
        </w:rPr>
        <w:t>انداز بود که به طور قابل ملاحظه</w:t>
      </w:r>
      <w:r w:rsidRPr="006B3D33">
        <w:rPr>
          <w:rFonts w:eastAsiaTheme="minorEastAsia"/>
          <w:i/>
          <w:sz w:val="23"/>
          <w:szCs w:val="23"/>
          <w:rtl/>
        </w:rPr>
        <w:softHyphen/>
      </w:r>
      <w:r w:rsidRPr="006B3D33">
        <w:rPr>
          <w:rFonts w:eastAsiaTheme="minorEastAsia" w:hint="cs"/>
          <w:i/>
          <w:sz w:val="23"/>
          <w:szCs w:val="23"/>
          <w:rtl/>
        </w:rPr>
        <w:t>ای بزرگتر از یک است. در تجزیه و تحلیل‌های متعاقب آن نشان داده شد که این ضریب تکاثر به مراتب کمتر از مقدار اولیه است، و اگر افزایش مخارج دولتی، مخارج بخش خصوصی را کاملاً از صحنه بیرون کند حتی ممکن است برابر با صفر باشد. در حال حاضر، بسیاری از کارشناسان اقتصادی با این مشکل که چگونه اقتصاد از شرایط رکود خارج شود، و ضریب تکاثر مالی دولت چقدر است مناظره و مشاجره می‌کنند. در این قسمت مدل دستمزد چسبنده‌ی بخش ۱۰. ۵ را توسعه می‌دهیم.</w:t>
      </w:r>
    </w:p>
    <w:p w14:paraId="13B53338"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اگرچه در نظریه، بیکاری غیرداوطلبانه می‌تواند معلول شوک عرضه باشد، اما در عمل شوک دائمی و منفی تقاضا علت کاهش تقاضا برای کار و نرخ دستمزد تعادلی است. در قسمت‌های قبل به این نکته اشاره شد هنگامی که نرخ دستمزد حقیقی به طرف پایین چسبنده باشد، یک دوره‌ی زمانی تعدیل در طی‌مدت زمانی که نرخ دستمزد حقیقی بیشتر از سطح تعادلی جدید خود است وجود خواهد داشت. بنابراین عرضه‌ی نیروی کار در کوتاه‌مدت بیش از تقاضا برای نیروی کار شده و منجر به بیکاری غیرداوطلبانه تا زمانی می‌شود که دستمزد حقیقی به سطح تعادلی از طریق قراردادهای جدید کاهش یابد، و در بلند‌مدت موجب حذف بیکاری غیرداوطلبانه خواهد شد. اگرچه این مدل نشان می</w:t>
      </w:r>
      <w:r w:rsidRPr="006B3D33">
        <w:rPr>
          <w:rFonts w:eastAsiaTheme="minorEastAsia"/>
          <w:i/>
          <w:sz w:val="23"/>
          <w:szCs w:val="23"/>
          <w:rtl/>
        </w:rPr>
        <w:softHyphen/>
      </w:r>
      <w:r w:rsidRPr="006B3D33">
        <w:rPr>
          <w:rFonts w:eastAsiaTheme="minorEastAsia" w:hint="cs"/>
          <w:i/>
          <w:sz w:val="23"/>
          <w:szCs w:val="23"/>
          <w:rtl/>
        </w:rPr>
        <w:t xml:space="preserve">دهد که بیکاری غیرداوطلبانه بدون دخالت دولت و استفاده از ابزارهای سیاستی نهایتاً از بین می‌رود، ولی اهمیت موضوع سیاست‌های اقتصادی از آن جا ناشی می‌شود که آیا سیاست مالی انبساطی به عنوان محرک اقتصاد می‌تواند تقاضا برای کار را افزایش و بیکاری را سریع‌تر از قبل کاهش دهد؟ </w:t>
      </w:r>
    </w:p>
    <w:p w14:paraId="297A9DD9"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 این موضوع را از طریق ترکیب مدل دستمزد-چسبنده و تأمین مالی مخارج دولت بوسیله‌ی مالیات‌های مقطوع بررسی می‌کنیم. بنابراین ضرورت می‌یابد تا قید بودجه‌ی خانوار را تغییر و اتحاد درآمد ملی را صریحاً در مدل لحاظ کنیم. چنانچه مخارج دولت</w:t>
      </w:r>
      <w:r w:rsidRPr="006B3D33">
        <w:rPr>
          <w:position w:val="-10"/>
        </w:rPr>
        <w:object w:dxaOrig="260" w:dyaOrig="320" w14:anchorId="22CEDB04">
          <v:shape id="_x0000_i4650" type="#_x0000_t75" style="width:12.7pt;height:15.75pt" o:ole="">
            <v:imagedata r:id="rId7298" o:title=""/>
          </v:shape>
          <o:OLEObject Type="Embed" ProgID="Equation.DSMT4" ShapeID="_x0000_i4650" DrawAspect="Content" ObjectID="_1791378594" r:id="rId7299"/>
        </w:object>
      </w:r>
      <w:r w:rsidRPr="006B3D33">
        <w:rPr>
          <w:rFonts w:eastAsiaTheme="minorEastAsia" w:hint="cs"/>
          <w:i/>
          <w:sz w:val="23"/>
          <w:szCs w:val="23"/>
          <w:rtl/>
        </w:rPr>
        <w:t>، مالیات‌های مقطوع</w:t>
      </w:r>
      <w:r w:rsidRPr="006B3D33">
        <w:rPr>
          <w:position w:val="-10"/>
        </w:rPr>
        <w:object w:dxaOrig="240" w:dyaOrig="320" w14:anchorId="74B4E704">
          <v:shape id="_x0000_i4651" type="#_x0000_t75" style="width:12.1pt;height:15.75pt" o:ole="">
            <v:imagedata r:id="rId7300" o:title=""/>
          </v:shape>
          <o:OLEObject Type="Embed" ProgID="Equation.DSMT4" ShapeID="_x0000_i4651" DrawAspect="Content" ObjectID="_1791378595" r:id="rId7301"/>
        </w:object>
      </w:r>
      <w:r w:rsidRPr="006B3D33">
        <w:rPr>
          <w:rFonts w:eastAsiaTheme="minorEastAsia" w:hint="cs"/>
          <w:i/>
          <w:sz w:val="23"/>
          <w:szCs w:val="23"/>
          <w:rtl/>
        </w:rPr>
        <w:t xml:space="preserve"> و</w:t>
      </w:r>
      <w:r w:rsidRPr="006B3D33">
        <w:rPr>
          <w:position w:val="-10"/>
        </w:rPr>
        <w:object w:dxaOrig="660" w:dyaOrig="320" w14:anchorId="5B0F837E">
          <v:shape id="_x0000_i4652" type="#_x0000_t75" style="width:32.65pt;height:15.75pt" o:ole="">
            <v:imagedata r:id="rId7302" o:title=""/>
          </v:shape>
          <o:OLEObject Type="Embed" ProgID="Equation.DSMT4" ShapeID="_x0000_i4652" DrawAspect="Content" ObjectID="_1791378596" r:id="rId7303"/>
        </w:object>
      </w:r>
      <w:r w:rsidRPr="006B3D33">
        <w:rPr>
          <w:rFonts w:eastAsiaTheme="minorEastAsia" w:hint="cs"/>
          <w:i/>
          <w:sz w:val="23"/>
          <w:szCs w:val="23"/>
          <w:rtl/>
        </w:rPr>
        <w:t>و همچنین قید بودجه‌ی خانوار</w:t>
      </w:r>
      <w:r w:rsidRPr="006B3D33">
        <w:rPr>
          <w:position w:val="-10"/>
        </w:rPr>
        <w:object w:dxaOrig="1579" w:dyaOrig="320" w14:anchorId="7D3464BE">
          <v:shape id="_x0000_i4653" type="#_x0000_t75" style="width:79.25pt;height:15.75pt" o:ole="">
            <v:imagedata r:id="rId7304" o:title=""/>
          </v:shape>
          <o:OLEObject Type="Embed" ProgID="Equation.DSMT4" ShapeID="_x0000_i4653" DrawAspect="Content" ObjectID="_1791378597" r:id="rId7305"/>
        </w:object>
      </w:r>
      <w:r w:rsidRPr="006B3D33">
        <w:rPr>
          <w:rFonts w:eastAsiaTheme="minorEastAsia" w:hint="cs"/>
          <w:i/>
          <w:sz w:val="23"/>
          <w:szCs w:val="23"/>
          <w:rtl/>
        </w:rPr>
        <w:t xml:space="preserve"> و اتحاد درآمد ملی برابر با</w:t>
      </w:r>
      <w:r w:rsidRPr="006B3D33">
        <w:rPr>
          <w:position w:val="-10"/>
        </w:rPr>
        <w:object w:dxaOrig="1680" w:dyaOrig="340" w14:anchorId="5E09C369">
          <v:shape id="_x0000_i4654" type="#_x0000_t75" style="width:84.1pt;height:16.95pt" o:ole="">
            <v:imagedata r:id="rId7306" o:title=""/>
          </v:shape>
          <o:OLEObject Type="Embed" ProgID="Equation.DSMT4" ShapeID="_x0000_i4654" DrawAspect="Content" ObjectID="_1791378598" r:id="rId7307"/>
        </w:object>
      </w:r>
      <w:r w:rsidRPr="006B3D33">
        <w:rPr>
          <w:rFonts w:eastAsiaTheme="minorEastAsia" w:hint="cs"/>
          <w:i/>
          <w:sz w:val="23"/>
          <w:szCs w:val="23"/>
          <w:rtl/>
        </w:rPr>
        <w:t xml:space="preserve"> باشد، با تقریب لگاریتم-خطی قید بودجه‌ی خانوار و اتحاد درآمد ملی، سطوح تعادلی نرخ دستمزد حقیقی، اشتغال، مصرف و تولید ازمدل توسعه یافته عبارت خواهند بود از</w:t>
      </w:r>
    </w:p>
    <w:p w14:paraId="600651A4" w14:textId="77777777" w:rsidR="00411620" w:rsidRPr="006B3D33" w:rsidRDefault="00411620" w:rsidP="00411620">
      <w:pPr>
        <w:spacing w:line="216" w:lineRule="auto"/>
        <w:jc w:val="right"/>
        <w:rPr>
          <w:rFonts w:eastAsiaTheme="minorEastAsia"/>
          <w:i/>
          <w:sz w:val="23"/>
          <w:szCs w:val="23"/>
          <w:rtl/>
        </w:rPr>
      </w:pPr>
      <w:r w:rsidRPr="006B3D33">
        <w:rPr>
          <w:position w:val="-26"/>
        </w:rPr>
        <w:object w:dxaOrig="3260" w:dyaOrig="660" w14:anchorId="379A6CAF">
          <v:shape id="_x0000_i4655" type="#_x0000_t75" style="width:163.35pt;height:32.65pt" o:ole="">
            <v:imagedata r:id="rId7308" o:title=""/>
          </v:shape>
          <o:OLEObject Type="Embed" ProgID="Equation.DSMT4" ShapeID="_x0000_i4655" DrawAspect="Content" ObjectID="_1791378599" r:id="rId7309"/>
        </w:object>
      </w:r>
      <w:r w:rsidRPr="006B3D33">
        <w:rPr>
          <w:rFonts w:eastAsiaTheme="minorEastAsia" w:hint="cs"/>
          <w:i/>
          <w:sz w:val="23"/>
          <w:szCs w:val="23"/>
          <w:rtl/>
        </w:rPr>
        <w:t xml:space="preserve"> </w:t>
      </w:r>
    </w:p>
    <w:p w14:paraId="6D76E92D" w14:textId="77777777" w:rsidR="00411620" w:rsidRPr="006B3D33" w:rsidRDefault="00411620" w:rsidP="00411620">
      <w:pPr>
        <w:spacing w:line="216" w:lineRule="auto"/>
        <w:jc w:val="right"/>
        <w:rPr>
          <w:rFonts w:eastAsiaTheme="minorEastAsia"/>
          <w:i/>
          <w:sz w:val="23"/>
          <w:szCs w:val="23"/>
          <w:rtl/>
        </w:rPr>
      </w:pPr>
      <w:r w:rsidRPr="006B3D33">
        <w:rPr>
          <w:rFonts w:eastAsiaTheme="minorEastAsia" w:hint="cs"/>
          <w:i/>
          <w:sz w:val="23"/>
          <w:szCs w:val="23"/>
          <w:rtl/>
        </w:rPr>
        <w:t xml:space="preserve"> </w:t>
      </w:r>
      <w:r w:rsidRPr="006B3D33">
        <w:rPr>
          <w:position w:val="-26"/>
        </w:rPr>
        <w:object w:dxaOrig="2620" w:dyaOrig="600" w14:anchorId="3A4851BD">
          <v:shape id="_x0000_i4656" type="#_x0000_t75" style="width:130.7pt;height:29.65pt" o:ole="">
            <v:imagedata r:id="rId7310" o:title=""/>
          </v:shape>
          <o:OLEObject Type="Embed" ProgID="Equation.DSMT4" ShapeID="_x0000_i4656" DrawAspect="Content" ObjectID="_1791378600" r:id="rId7311"/>
        </w:object>
      </w:r>
      <w:r w:rsidRPr="006B3D33">
        <w:rPr>
          <w:rFonts w:eastAsiaTheme="minorEastAsia" w:hint="cs"/>
          <w:i/>
          <w:sz w:val="23"/>
          <w:szCs w:val="23"/>
          <w:rtl/>
        </w:rPr>
        <w:t xml:space="preserve"> </w:t>
      </w:r>
    </w:p>
    <w:p w14:paraId="05DC5312" w14:textId="77777777" w:rsidR="00411620" w:rsidRPr="006B3D33" w:rsidRDefault="00411620" w:rsidP="00411620">
      <w:pPr>
        <w:spacing w:line="216" w:lineRule="auto"/>
        <w:jc w:val="right"/>
        <w:rPr>
          <w:rFonts w:eastAsiaTheme="minorEastAsia"/>
          <w:i/>
          <w:sz w:val="23"/>
          <w:szCs w:val="23"/>
          <w:rtl/>
        </w:rPr>
      </w:pPr>
      <w:r w:rsidRPr="006B3D33">
        <w:rPr>
          <w:rFonts w:eastAsiaTheme="minorEastAsia" w:hint="cs"/>
          <w:i/>
          <w:sz w:val="23"/>
          <w:szCs w:val="23"/>
          <w:rtl/>
        </w:rPr>
        <w:t xml:space="preserve"> </w:t>
      </w:r>
      <w:r w:rsidRPr="006B3D33">
        <w:rPr>
          <w:position w:val="-26"/>
        </w:rPr>
        <w:object w:dxaOrig="2840" w:dyaOrig="600" w14:anchorId="0374832D">
          <v:shape id="_x0000_i4657" type="#_x0000_t75" style="width:142.2pt;height:29.65pt" o:ole="">
            <v:imagedata r:id="rId7312" o:title=""/>
          </v:shape>
          <o:OLEObject Type="Embed" ProgID="Equation.DSMT4" ShapeID="_x0000_i4657" DrawAspect="Content" ObjectID="_1791378601" r:id="rId7313"/>
        </w:object>
      </w:r>
      <w:r w:rsidRPr="006B3D33">
        <w:rPr>
          <w:rFonts w:eastAsiaTheme="minorEastAsia" w:hint="cs"/>
          <w:i/>
          <w:sz w:val="23"/>
          <w:szCs w:val="23"/>
          <w:rtl/>
        </w:rPr>
        <w:t xml:space="preserve"> </w:t>
      </w:r>
    </w:p>
    <w:p w14:paraId="706B866B"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که در آن </w:t>
      </w:r>
      <w:r w:rsidRPr="006B3D33">
        <w:rPr>
          <w:position w:val="-12"/>
        </w:rPr>
        <w:object w:dxaOrig="2280" w:dyaOrig="360" w14:anchorId="27D8FBB6">
          <v:shape id="_x0000_i4658" type="#_x0000_t75" style="width:114.35pt;height:18.15pt" o:ole="">
            <v:imagedata r:id="rId7314" o:title=""/>
          </v:shape>
          <o:OLEObject Type="Embed" ProgID="Equation.DSMT4" ShapeID="_x0000_i4658" DrawAspect="Content" ObjectID="_1791378602" r:id="rId7315"/>
        </w:object>
      </w:r>
      <w:r w:rsidRPr="006B3D33">
        <w:rPr>
          <w:rFonts w:eastAsiaTheme="minorEastAsia" w:hint="cs"/>
          <w:i/>
          <w:sz w:val="23"/>
          <w:szCs w:val="23"/>
          <w:rtl/>
        </w:rPr>
        <w:t xml:space="preserve">. بنابراین با افزایش دائمی مخارج دولت (با ضریب تکاثر </w:t>
      </w:r>
      <w:r w:rsidRPr="006B3D33">
        <w:rPr>
          <w:position w:val="-26"/>
        </w:rPr>
        <w:object w:dxaOrig="1040" w:dyaOrig="600" w14:anchorId="4A3D4EF5">
          <v:shape id="_x0000_i4659" type="#_x0000_t75" style="width:52.05pt;height:29.65pt" o:ole="">
            <v:imagedata r:id="rId7316" o:title=""/>
          </v:shape>
          <o:OLEObject Type="Embed" ProgID="Equation.DSMT4" ShapeID="_x0000_i4659" DrawAspect="Content" ObjectID="_1791378603" r:id="rId7317"/>
        </w:object>
      </w:r>
      <w:r w:rsidRPr="006B3D33">
        <w:rPr>
          <w:rFonts w:eastAsiaTheme="minorEastAsia" w:hint="cs"/>
          <w:i/>
          <w:sz w:val="23"/>
          <w:szCs w:val="23"/>
          <w:rtl/>
        </w:rPr>
        <w:t xml:space="preserve"> که کمتر از یک است) تولید افزایش می</w:t>
      </w:r>
      <w:r w:rsidRPr="006B3D33">
        <w:rPr>
          <w:rFonts w:eastAsiaTheme="minorEastAsia"/>
          <w:i/>
          <w:sz w:val="23"/>
          <w:szCs w:val="23"/>
          <w:rtl/>
        </w:rPr>
        <w:softHyphen/>
      </w:r>
      <w:r w:rsidRPr="006B3D33">
        <w:rPr>
          <w:rFonts w:eastAsiaTheme="minorEastAsia" w:hint="cs"/>
          <w:i/>
          <w:sz w:val="23"/>
          <w:szCs w:val="23"/>
          <w:rtl/>
        </w:rPr>
        <w:t>یابد. همچنین با افزایش سهم مخارج دولت از تولید کل و همچنین کوچکتر بودن کشش دستمزد عرضه‌ی کار</w:t>
      </w:r>
      <w:r w:rsidRPr="009D630D">
        <w:rPr>
          <w:rFonts w:eastAsiaTheme="minorEastAsia" w:hint="cs"/>
          <w:i/>
          <w:sz w:val="23"/>
          <w:szCs w:val="23"/>
          <w:rtl/>
        </w:rPr>
        <w:t>، (یعنی</w:t>
      </w:r>
      <w:r w:rsidRPr="009D630D">
        <w:rPr>
          <w:position w:val="-10"/>
        </w:rPr>
        <w:object w:dxaOrig="180" w:dyaOrig="300" w14:anchorId="2D0ADEAD">
          <v:shape id="_x0000_i4660" type="#_x0000_t75" style="width:9.1pt;height:14.5pt" o:ole="">
            <v:imagedata r:id="rId7318" o:title=""/>
          </v:shape>
          <o:OLEObject Type="Embed" ProgID="Equation.DSMT4" ShapeID="_x0000_i4660" DrawAspect="Content" ObjectID="_1791378604" r:id="rId7319"/>
        </w:object>
      </w:r>
      <w:r w:rsidRPr="009D630D">
        <w:rPr>
          <w:rFonts w:eastAsiaTheme="minorEastAsia" w:hint="cs"/>
          <w:i/>
          <w:sz w:val="23"/>
          <w:szCs w:val="23"/>
          <w:rtl/>
        </w:rPr>
        <w:t xml:space="preserve"> بزرگتر</w:t>
      </w:r>
      <w:r w:rsidRPr="006B3D33">
        <w:rPr>
          <w:rFonts w:eastAsiaTheme="minorEastAsia" w:hint="cs"/>
          <w:i/>
          <w:sz w:val="23"/>
          <w:szCs w:val="23"/>
          <w:rtl/>
        </w:rPr>
        <w:t>)، ضریب تکاثر بزرگتر خواهد شد. هرچند بخشی از افزایش مخارج دولت بواسطه‌ی مصرف از صحنه بیرون رانده می‌شود. ضمناً بهبود دائمی بهره</w:t>
      </w:r>
      <w:r w:rsidRPr="006B3D33">
        <w:rPr>
          <w:rFonts w:eastAsiaTheme="minorEastAsia"/>
          <w:i/>
          <w:sz w:val="23"/>
          <w:szCs w:val="23"/>
          <w:rtl/>
        </w:rPr>
        <w:softHyphen/>
      </w:r>
      <w:r w:rsidRPr="006B3D33">
        <w:rPr>
          <w:rFonts w:eastAsiaTheme="minorEastAsia" w:hint="cs"/>
          <w:i/>
          <w:sz w:val="23"/>
          <w:szCs w:val="23"/>
          <w:rtl/>
        </w:rPr>
        <w:t xml:space="preserve">وری باعث افزایش تولید، مصرف و نرخ دستمزد حقیقی شده و اشتغال را کاهش می‌دهد. </w:t>
      </w:r>
    </w:p>
    <w:p w14:paraId="6810AF81"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 xml:space="preserve">نتایج فوق نشان می‌دهد سیاست مالی انبساطی باعث کاهش بیکاری خواهد شد. رفتار پویای بیکاری بوسیله‌ی معادله‌ی </w:t>
      </w:r>
      <w:r w:rsidRPr="006B3D33">
        <w:rPr>
          <w:rFonts w:hint="cs"/>
          <w:i/>
          <w:sz w:val="23"/>
          <w:szCs w:val="23"/>
          <w:rtl/>
        </w:rPr>
        <w:t>(۱۰. ۴۹)</w:t>
      </w:r>
      <w:r w:rsidRPr="006B3D33">
        <w:rPr>
          <w:rFonts w:eastAsiaTheme="minorEastAsia" w:hint="cs"/>
          <w:i/>
          <w:sz w:val="23"/>
          <w:szCs w:val="23"/>
          <w:rtl/>
        </w:rPr>
        <w:t xml:space="preserve"> با جایگزاری مخارج دولت به جای بهره</w:t>
      </w:r>
      <w:r w:rsidRPr="006B3D33">
        <w:rPr>
          <w:rFonts w:eastAsiaTheme="minorEastAsia"/>
          <w:i/>
          <w:sz w:val="23"/>
          <w:szCs w:val="23"/>
          <w:rtl/>
        </w:rPr>
        <w:softHyphen/>
      </w:r>
      <w:r w:rsidRPr="006B3D33">
        <w:rPr>
          <w:rFonts w:eastAsiaTheme="minorEastAsia" w:hint="cs"/>
          <w:i/>
          <w:sz w:val="23"/>
          <w:szCs w:val="23"/>
          <w:rtl/>
        </w:rPr>
        <w:t xml:space="preserve">وری بدست می‌آید. انتظار می‌رود ضریب تکاثر مالی بیشتر از هنگامی باشد که بیکاری غیرداوطلبانه بدلیل عرضه‌ی کار وجود دارد. در اشتغال کامل شیب تابع عرضه‌ی کار بوسیله‌ی کشش </w:t>
      </w:r>
      <w:r w:rsidRPr="006B3D33">
        <w:rPr>
          <w:position w:val="-10"/>
        </w:rPr>
        <w:object w:dxaOrig="420" w:dyaOrig="300" w14:anchorId="150D6C3D">
          <v:shape id="_x0000_i4661" type="#_x0000_t75" style="width:20.55pt;height:14.5pt" o:ole="">
            <v:imagedata r:id="rId7320" o:title=""/>
          </v:shape>
          <o:OLEObject Type="Embed" ProgID="Equation.DSMT4" ShapeID="_x0000_i4661" DrawAspect="Content" ObjectID="_1791378605" r:id="rId7321"/>
        </w:object>
      </w:r>
      <w:r w:rsidRPr="006B3D33">
        <w:rPr>
          <w:rFonts w:eastAsiaTheme="minorEastAsia" w:hint="cs"/>
          <w:i/>
          <w:sz w:val="23"/>
          <w:szCs w:val="23"/>
          <w:rtl/>
        </w:rPr>
        <w:t xml:space="preserve"> تعیین می‌شود. هنگامی که بیکاری غیرداوطلبانه وجود دارد تابع عرضه‌ی کار تقریباً افقی است و کشش مؤثر آن بمراتب بیشتر از </w:t>
      </w:r>
      <w:r w:rsidRPr="006B3D33">
        <w:rPr>
          <w:position w:val="-10"/>
        </w:rPr>
        <w:object w:dxaOrig="420" w:dyaOrig="300" w14:anchorId="3EFE2E63">
          <v:shape id="_x0000_i4662" type="#_x0000_t75" style="width:20.55pt;height:14.5pt" o:ole="">
            <v:imagedata r:id="rId7322" o:title=""/>
          </v:shape>
          <o:OLEObject Type="Embed" ProgID="Equation.DSMT4" ShapeID="_x0000_i4662" DrawAspect="Content" ObjectID="_1791378606" r:id="rId7323"/>
        </w:object>
      </w:r>
      <w:r w:rsidRPr="006B3D33">
        <w:rPr>
          <w:rFonts w:eastAsiaTheme="minorEastAsia" w:hint="cs"/>
          <w:i/>
          <w:sz w:val="23"/>
          <w:szCs w:val="23"/>
          <w:rtl/>
        </w:rPr>
        <w:t xml:space="preserve"> خواهد بود. بنابراین محرک مالی اثر زیادی بر تولید از طریق اثر آن بر عرضه‌ی کار خواهد گذاشت. بطور خلاصه اگرچه بیکاری نهایتاً بدون اعمال سیاست اقتصادی از بین خواهد رفت، اما با اعمال سیاست اقتصادی سرعت آن افزایش خواهد یافت. تزریق مالیِ پیوسته و هموار ممکن است بهترین راه باشد. </w:t>
      </w:r>
    </w:p>
    <w:p w14:paraId="6329D2C9"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مشکل عملی سیاست مالی ممکن است تأخیر در اجرا قبل از اثر بخشی آن باشد، بخصوص اگر سیاست مالی از طریق افزایش مخارج دولت و یا کاهش درآمد مالیاتی بجای کاهش مالیات‌</w:t>
      </w:r>
      <w:r w:rsidRPr="006B3D33">
        <w:rPr>
          <w:rFonts w:eastAsiaTheme="minorEastAsia"/>
          <w:i/>
          <w:sz w:val="23"/>
          <w:szCs w:val="23"/>
          <w:rtl/>
        </w:rPr>
        <w:softHyphen/>
      </w:r>
      <w:r w:rsidRPr="006B3D33">
        <w:rPr>
          <w:rFonts w:eastAsiaTheme="minorEastAsia" w:hint="cs"/>
          <w:i/>
          <w:sz w:val="23"/>
          <w:szCs w:val="23"/>
          <w:rtl/>
        </w:rPr>
        <w:t>ها بر مخارج باشد. محرک سیاست</w:t>
      </w:r>
      <w:r w:rsidRPr="006B3D33">
        <w:rPr>
          <w:rFonts w:eastAsiaTheme="minorEastAsia"/>
          <w:i/>
          <w:sz w:val="23"/>
          <w:szCs w:val="23"/>
          <w:rtl/>
        </w:rPr>
        <w:softHyphen/>
      </w:r>
      <w:r w:rsidRPr="006B3D33">
        <w:rPr>
          <w:rFonts w:eastAsiaTheme="minorEastAsia" w:hint="cs"/>
          <w:i/>
          <w:sz w:val="23"/>
          <w:szCs w:val="23"/>
          <w:rtl/>
        </w:rPr>
        <w:t>های پولی ممکن است سریع</w:t>
      </w:r>
      <w:r w:rsidRPr="006B3D33">
        <w:rPr>
          <w:rFonts w:eastAsiaTheme="minorEastAsia"/>
          <w:i/>
          <w:sz w:val="23"/>
          <w:szCs w:val="23"/>
          <w:rtl/>
        </w:rPr>
        <w:softHyphen/>
      </w:r>
      <w:r w:rsidRPr="006B3D33">
        <w:rPr>
          <w:rFonts w:eastAsiaTheme="minorEastAsia" w:hint="cs"/>
          <w:i/>
          <w:sz w:val="23"/>
          <w:szCs w:val="23"/>
          <w:rtl/>
        </w:rPr>
        <w:t>تر بر اشتغال تأثیر بگذارد. در اشتغال کامل ممکن است سیاست پولیِ انبساطی باعث افزایش قیمت‌ها و سطح دستمزدها شده و تغییرات آن بر متغیرهای حقیقی همانند دستمزد حقیقی نامحسوس باشد. افزایش تورم، چسبندگی قیمت‌ها و دستمزدها و احتمالاً چسبندگی دستمزدهای حقیقی را کاهش می</w:t>
      </w:r>
      <w:r w:rsidRPr="006B3D33">
        <w:rPr>
          <w:rFonts w:eastAsiaTheme="minorEastAsia"/>
          <w:i/>
          <w:sz w:val="23"/>
          <w:szCs w:val="23"/>
          <w:rtl/>
        </w:rPr>
        <w:softHyphen/>
      </w:r>
      <w:r w:rsidRPr="006B3D33">
        <w:rPr>
          <w:rFonts w:eastAsiaTheme="minorEastAsia" w:hint="cs"/>
          <w:i/>
          <w:sz w:val="23"/>
          <w:szCs w:val="23"/>
          <w:rtl/>
        </w:rPr>
        <w:t xml:space="preserve">دهد. در نتیجه هنگامی که در اقتصاد بیکاری داوطلبانه وجود دارد محرک پولی ممکن است سرعت تعدیل دستمزدهای حقیقی را افزایش و حرکت بازار کار به سمت تعادل را تسریع بخشیده و بیکاری داوطلبانه را سریعتر از بین </w:t>
      </w:r>
      <w:r w:rsidRPr="006B3D33">
        <w:rPr>
          <w:rFonts w:eastAsiaTheme="minorEastAsia" w:hint="cs"/>
          <w:i/>
          <w:sz w:val="23"/>
          <w:szCs w:val="23"/>
          <w:rtl/>
        </w:rPr>
        <w:lastRenderedPageBreak/>
        <w:t>ببرد. دیکسون و رنکین</w:t>
      </w:r>
      <w:r w:rsidRPr="006B3D33">
        <w:rPr>
          <w:rStyle w:val="FootnoteReference"/>
          <w:rFonts w:eastAsiaTheme="minorEastAsia"/>
          <w:i/>
          <w:sz w:val="23"/>
          <w:szCs w:val="23"/>
          <w:rtl/>
        </w:rPr>
        <w:footnoteReference w:id="235"/>
      </w:r>
      <w:r w:rsidRPr="006B3D33">
        <w:rPr>
          <w:rFonts w:eastAsiaTheme="minorEastAsia" w:hint="cs"/>
          <w:i/>
          <w:sz w:val="23"/>
          <w:szCs w:val="23"/>
          <w:rtl/>
        </w:rPr>
        <w:t xml:space="preserve"> در مشاهدات و مطالعات خود در بازار رقابت ناقص و در سال ۱۹۹۴ به نتایج مشابه و یکسان دست یافتند. بزعم آن دو، هر سیاستی که چسبندگی قیمت</w:t>
      </w:r>
      <w:r w:rsidRPr="006B3D33">
        <w:rPr>
          <w:rFonts w:eastAsiaTheme="minorEastAsia"/>
          <w:i/>
          <w:sz w:val="23"/>
          <w:szCs w:val="23"/>
          <w:rtl/>
        </w:rPr>
        <w:softHyphen/>
      </w:r>
      <w:r w:rsidRPr="006B3D33">
        <w:rPr>
          <w:rFonts w:eastAsiaTheme="minorEastAsia" w:hint="cs"/>
          <w:i/>
          <w:sz w:val="23"/>
          <w:szCs w:val="23"/>
          <w:rtl/>
        </w:rPr>
        <w:t xml:space="preserve">ها و دستمزدها را کاهش دهد سرعت تعدیل را تسریع خواهد کرد. آن‌ها همچنین مسیر دیگری را جهت اثر بخشی سیاست پولی و مالی پیشنهاد </w:t>
      </w:r>
      <w:r w:rsidRPr="006B3D33">
        <w:rPr>
          <w:position w:val="-26"/>
        </w:rPr>
        <w:object w:dxaOrig="3500" w:dyaOrig="660" w14:anchorId="384657B8">
          <v:shape id="_x0000_i4663" type="#_x0000_t75" style="width:175.45pt;height:32.65pt" o:ole="">
            <v:imagedata r:id="rId7324" o:title=""/>
          </v:shape>
          <o:OLEObject Type="Embed" ProgID="Equation.DSMT4" ShapeID="_x0000_i4663" DrawAspect="Content" ObjectID="_1791378607" r:id="rId7325"/>
        </w:object>
      </w:r>
      <w:r w:rsidRPr="006B3D33">
        <w:rPr>
          <w:rFonts w:eastAsiaTheme="minorEastAsia" w:hint="cs"/>
          <w:i/>
          <w:sz w:val="23"/>
          <w:szCs w:val="23"/>
          <w:rtl/>
        </w:rPr>
        <w:t xml:space="preserve">کردند. در مدل رقابت ناقص این مسیر از طریق کشش تقاضا برای کار و نقش برجسته‌ی آن در تأثیر بر سطح اشتغال، بیکاری و تولید معرفی شده است. مباحث بیشتر در خصوص سیاست مالی و پولی در فصل چهاردهم ارائه شده است. </w:t>
      </w:r>
    </w:p>
    <w:p w14:paraId="56884A93"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تجزیه و تحلیل فوق در خصوص اثربخشی سیاست مالی در شرایط وجود بیکاری غیرداوطلبانه مبتنی است بر اقتصاد کارگزار نمونه که در آن از هر فرد مالیات یکسانی دریافت می‌شود، در حالی که بیکاری غیرداوطلبانه بخش کوچکی از جمعیت را در بر می‌گیرد. بیکاران ممکن است از منافع بیکاری استفاده کنند که نوعی پرداخت انتقالی است که منبع تأمین اعتبار آن شاغلین خواهند بود، و همچنین مالیات‌ها تصاعدی است و نه بصورت مقطوع. بنابراین تجزیه و تحلیل فوق نیازمند یک بازنگری است تا در آن فقدان همگنی جمعیت بخوبی نشان داده شود. اثر سیاست مالی انبساطی بر مصرف، به افزایش مصرف افرادی که بیکارند و جبران کاهش مصرف افرادی که شاغل باقی می‌مانند بستگی دارد. آنچه که روشن و بدیهی است این</w:t>
      </w:r>
      <w:r w:rsidRPr="006B3D33">
        <w:rPr>
          <w:rFonts w:eastAsiaTheme="minorEastAsia"/>
          <w:i/>
          <w:sz w:val="23"/>
          <w:szCs w:val="23"/>
          <w:rtl/>
        </w:rPr>
        <w:softHyphen/>
      </w:r>
      <w:r w:rsidRPr="006B3D33">
        <w:rPr>
          <w:rFonts w:eastAsiaTheme="minorEastAsia" w:hint="cs"/>
          <w:i/>
          <w:sz w:val="23"/>
          <w:szCs w:val="23"/>
          <w:rtl/>
        </w:rPr>
        <w:t>که انبساط مالی حتی اگر بر رفاه شاغلین بی</w:t>
      </w:r>
      <w:r w:rsidRPr="006B3D33">
        <w:rPr>
          <w:rFonts w:eastAsiaTheme="minorEastAsia"/>
          <w:i/>
          <w:sz w:val="23"/>
          <w:szCs w:val="23"/>
          <w:rtl/>
        </w:rPr>
        <w:softHyphen/>
      </w:r>
      <w:r w:rsidRPr="006B3D33">
        <w:rPr>
          <w:rFonts w:eastAsiaTheme="minorEastAsia" w:hint="cs"/>
          <w:i/>
          <w:sz w:val="23"/>
          <w:szCs w:val="23"/>
          <w:rtl/>
        </w:rPr>
        <w:t xml:space="preserve">تأثیر باشد احتمالاً رفاه بیکاران را افزایش خواهد داد. </w:t>
      </w:r>
    </w:p>
    <w:p w14:paraId="45A1D646" w14:textId="77777777" w:rsidR="00411620" w:rsidRPr="006B3D33" w:rsidRDefault="00411620" w:rsidP="00411620">
      <w:pPr>
        <w:spacing w:line="216" w:lineRule="auto"/>
        <w:rPr>
          <w:rFonts w:eastAsiaTheme="minorEastAsia"/>
          <w:i/>
          <w:sz w:val="23"/>
          <w:szCs w:val="23"/>
          <w:rtl/>
        </w:rPr>
      </w:pPr>
    </w:p>
    <w:p w14:paraId="6CA61258" w14:textId="77777777" w:rsidR="00411620" w:rsidRPr="006B3D33" w:rsidRDefault="00411620" w:rsidP="00411620">
      <w:pPr>
        <w:pStyle w:val="Heading1"/>
        <w:spacing w:before="0" w:after="0" w:line="216" w:lineRule="auto"/>
        <w:rPr>
          <w:rFonts w:ascii="Times New Roman" w:eastAsiaTheme="minorEastAsia" w:hAnsi="Times New Roman" w:cs="B Nazanin"/>
          <w:b w:val="0"/>
          <w:i/>
          <w:sz w:val="23"/>
          <w:szCs w:val="23"/>
          <w:rtl/>
        </w:rPr>
      </w:pPr>
      <w:r w:rsidRPr="006B3D33">
        <w:rPr>
          <w:rFonts w:ascii="Times New Roman" w:eastAsiaTheme="minorEastAsia" w:hAnsi="Times New Roman" w:cs="B Nazanin" w:hint="cs"/>
          <w:b w:val="0"/>
          <w:i/>
          <w:sz w:val="23"/>
          <w:szCs w:val="23"/>
          <w:rtl/>
        </w:rPr>
        <w:t>۱۰. ۷ نتایج</w:t>
      </w:r>
    </w:p>
    <w:p w14:paraId="3A1AAEC8" w14:textId="77777777" w:rsidR="00411620" w:rsidRPr="006B3D33" w:rsidRDefault="00411620" w:rsidP="00411620">
      <w:pPr>
        <w:spacing w:line="216" w:lineRule="auto"/>
        <w:rPr>
          <w:rFonts w:eastAsiaTheme="minorEastAsia"/>
          <w:i/>
          <w:sz w:val="23"/>
          <w:szCs w:val="23"/>
          <w:rtl/>
        </w:rPr>
      </w:pPr>
      <w:r w:rsidRPr="006B3D33">
        <w:rPr>
          <w:rFonts w:eastAsiaTheme="minorEastAsia" w:hint="cs"/>
          <w:i/>
          <w:sz w:val="23"/>
          <w:szCs w:val="23"/>
          <w:rtl/>
        </w:rPr>
        <w:t>برای توضیح و تبیین بیکاری مدل‌های تعادل عمومی پویای تصادفی</w:t>
      </w:r>
      <w:r w:rsidRPr="006B3D33">
        <w:rPr>
          <w:rFonts w:eastAsiaTheme="minorEastAsia"/>
          <w:i/>
          <w:sz w:val="23"/>
          <w:szCs w:val="23"/>
        </w:rPr>
        <w:t xml:space="preserve"> </w:t>
      </w:r>
      <w:r w:rsidRPr="006B3D33">
        <w:rPr>
          <w:rFonts w:eastAsiaTheme="minorEastAsia" w:hint="cs"/>
          <w:i/>
          <w:sz w:val="23"/>
          <w:szCs w:val="23"/>
          <w:rtl/>
        </w:rPr>
        <w:t>با مشکلاتی روبروست. بیکاری در این مدل‌ها معمولاً غیرداوطلبانه است و مدل‌های تعادل عمومی پویای تصادفی بر مبنای بهینه</w:t>
      </w:r>
      <w:r w:rsidRPr="006B3D33">
        <w:rPr>
          <w:rFonts w:eastAsiaTheme="minorEastAsia"/>
          <w:i/>
          <w:sz w:val="23"/>
          <w:szCs w:val="23"/>
          <w:rtl/>
        </w:rPr>
        <w:softHyphen/>
      </w:r>
      <w:r w:rsidRPr="006B3D33">
        <w:rPr>
          <w:rFonts w:eastAsiaTheme="minorEastAsia" w:hint="cs"/>
          <w:i/>
          <w:sz w:val="23"/>
          <w:szCs w:val="23"/>
          <w:rtl/>
        </w:rPr>
        <w:t>یابی رفتار خانوار و بنگاه است. راه آشکار جهت تطبیق دو مورد فوق آن است بیکاری را محصول بهینه</w:t>
      </w:r>
      <w:r w:rsidRPr="006B3D33">
        <w:rPr>
          <w:rFonts w:eastAsiaTheme="minorEastAsia"/>
          <w:i/>
          <w:sz w:val="23"/>
          <w:szCs w:val="23"/>
          <w:rtl/>
        </w:rPr>
        <w:softHyphen/>
      </w:r>
      <w:r w:rsidRPr="006B3D33">
        <w:rPr>
          <w:rFonts w:eastAsiaTheme="minorEastAsia" w:hint="cs"/>
          <w:i/>
          <w:sz w:val="23"/>
          <w:szCs w:val="23"/>
          <w:rtl/>
        </w:rPr>
        <w:t>یابی تلقی نمود. نظریه جستجو و نظریه کارایی-دستمزد در این خصوص رضایت بخش هستند. در نتیجه این امکان وجود دارد تا بطور همزمان و مداوم بیکاری و فرصت‌های شغلی خالی را در نظر گرفت. مشکل نظریه جستجو و نظریه کارایی-دستمزد عدم کفایت آن‌ها در توضیح مناسب چرخش بزرگ بیکاری مشاهده شده درشرایط رکود اقتصادی است. در نظریه جستجو، بخشی از این مسئله بعلت توجه به متوسط ساعات کار به ازای هر فرد (حاشیه‌ی عمقی) بجای مشارکت در نیروی کار و اشتغال آن‌ها (حاشیه</w:t>
      </w:r>
      <w:r w:rsidRPr="006B3D33">
        <w:rPr>
          <w:rFonts w:eastAsiaTheme="minorEastAsia"/>
          <w:i/>
          <w:sz w:val="23"/>
          <w:szCs w:val="23"/>
          <w:rtl/>
        </w:rPr>
        <w:softHyphen/>
      </w:r>
      <w:r w:rsidRPr="006B3D33">
        <w:rPr>
          <w:rFonts w:eastAsiaTheme="minorEastAsia" w:hint="cs"/>
          <w:i/>
          <w:sz w:val="23"/>
          <w:szCs w:val="23"/>
          <w:rtl/>
        </w:rPr>
        <w:t>ی سطحی</w:t>
      </w:r>
      <w:r w:rsidRPr="006B3D33">
        <w:rPr>
          <w:rFonts w:eastAsiaTheme="minorEastAsia"/>
          <w:i/>
          <w:sz w:val="23"/>
          <w:szCs w:val="23"/>
        </w:rPr>
        <w:t>(</w:t>
      </w:r>
      <w:r w:rsidRPr="006B3D33">
        <w:rPr>
          <w:rFonts w:eastAsiaTheme="minorEastAsia" w:hint="cs"/>
          <w:i/>
          <w:sz w:val="23"/>
          <w:szCs w:val="23"/>
          <w:rtl/>
        </w:rPr>
        <w:t xml:space="preserve"> می‌باشد. نظریه‌های گوناگون دستمزدهای کارا بیکاری را به تلاش تحریک بنگاه‌ها برای بهره</w:t>
      </w:r>
      <w:r w:rsidRPr="006B3D33">
        <w:rPr>
          <w:rFonts w:eastAsiaTheme="minorEastAsia"/>
          <w:i/>
          <w:sz w:val="23"/>
          <w:szCs w:val="23"/>
          <w:rtl/>
        </w:rPr>
        <w:softHyphen/>
      </w:r>
      <w:r w:rsidRPr="006B3D33">
        <w:rPr>
          <w:rFonts w:eastAsiaTheme="minorEastAsia" w:hint="cs"/>
          <w:i/>
          <w:sz w:val="23"/>
          <w:szCs w:val="23"/>
          <w:rtl/>
        </w:rPr>
        <w:t>وری بیشتر کارگران نسبت می‌دهد. در مدل کم</w:t>
      </w:r>
      <w:r w:rsidRPr="006B3D33">
        <w:rPr>
          <w:rFonts w:eastAsiaTheme="minorEastAsia"/>
          <w:i/>
          <w:sz w:val="23"/>
          <w:szCs w:val="23"/>
          <w:rtl/>
        </w:rPr>
        <w:softHyphen/>
      </w:r>
      <w:r w:rsidRPr="006B3D33">
        <w:rPr>
          <w:rFonts w:eastAsiaTheme="minorEastAsia" w:hint="cs"/>
          <w:i/>
          <w:sz w:val="23"/>
          <w:szCs w:val="23"/>
          <w:rtl/>
        </w:rPr>
        <w:t>کاری، بیکاریِ بیشتر همانند عامل بازدارنده‌ی کم</w:t>
      </w:r>
      <w:r w:rsidRPr="006B3D33">
        <w:rPr>
          <w:rFonts w:eastAsiaTheme="minorEastAsia"/>
          <w:i/>
          <w:sz w:val="23"/>
          <w:szCs w:val="23"/>
          <w:rtl/>
        </w:rPr>
        <w:softHyphen/>
      </w:r>
      <w:r w:rsidRPr="006B3D33">
        <w:rPr>
          <w:rFonts w:eastAsiaTheme="minorEastAsia" w:hint="cs"/>
          <w:i/>
          <w:sz w:val="23"/>
          <w:szCs w:val="23"/>
          <w:rtl/>
        </w:rPr>
        <w:t xml:space="preserve">کاری عمل می‌کند. مدل کار-عملکرد به هزینه‌ی تحمیل شده بر بنگاه بدلیل جایگزینی ترک کارگران بخاطر عدم پرداخت پاداش دستمزد تاکید دارد. در مدل گزینش- معکوس محرک و </w:t>
      </w:r>
      <w:r w:rsidRPr="006B3D33">
        <w:rPr>
          <w:rFonts w:eastAsiaTheme="minorEastAsia" w:hint="cs"/>
          <w:i/>
          <w:sz w:val="23"/>
          <w:szCs w:val="23"/>
          <w:rtl/>
        </w:rPr>
        <w:lastRenderedPageBreak/>
        <w:t>مشوقی برای بنگاه وجود ندارد تا دستمزد پایین‌تر حتی در صورت وجود کارگران بیکار پیشنهاد کند که مبین بهره</w:t>
      </w:r>
      <w:r w:rsidRPr="006B3D33">
        <w:rPr>
          <w:rFonts w:eastAsiaTheme="minorEastAsia"/>
          <w:i/>
          <w:sz w:val="23"/>
          <w:szCs w:val="23"/>
          <w:rtl/>
        </w:rPr>
        <w:softHyphen/>
      </w:r>
      <w:r w:rsidRPr="006B3D33">
        <w:rPr>
          <w:rFonts w:eastAsiaTheme="minorEastAsia" w:hint="cs"/>
          <w:i/>
          <w:sz w:val="23"/>
          <w:szCs w:val="23"/>
          <w:rtl/>
        </w:rPr>
        <w:t>وری پایین آن‌هاست. انعطاف‌پذیری دستمزد حقیقی ناقص که معلول چسبندگی قیمت و دستمزد است ممکن است علت اصلی بیکاری غیرداوطلبانه باشد، و نشان داده شد که این استدلال مبتنی است بر نظریه ویژه و فاقد عمومیت چسبندگی دستمزد حقیقی که تسویه‌ی بازارهای کار را به تأخیر می</w:t>
      </w:r>
      <w:r w:rsidRPr="006B3D33">
        <w:rPr>
          <w:rFonts w:eastAsiaTheme="minorEastAsia"/>
          <w:i/>
          <w:sz w:val="23"/>
          <w:szCs w:val="23"/>
          <w:rtl/>
        </w:rPr>
        <w:softHyphen/>
      </w:r>
      <w:r w:rsidRPr="006B3D33">
        <w:rPr>
          <w:rFonts w:eastAsiaTheme="minorEastAsia" w:hint="cs"/>
          <w:i/>
          <w:sz w:val="23"/>
          <w:szCs w:val="23"/>
          <w:rtl/>
        </w:rPr>
        <w:t>اندازد.</w:t>
      </w:r>
    </w:p>
    <w:p w14:paraId="2CB00F64" w14:textId="77777777" w:rsidR="00411620" w:rsidRDefault="00411620" w:rsidP="00411620">
      <w:pPr>
        <w:spacing w:line="216" w:lineRule="auto"/>
        <w:rPr>
          <w:rFonts w:eastAsiaTheme="minorEastAsia"/>
          <w:i/>
          <w:sz w:val="23"/>
          <w:szCs w:val="23"/>
          <w:rtl/>
        </w:rPr>
      </w:pPr>
      <w:r w:rsidRPr="006B3D33">
        <w:rPr>
          <w:rFonts w:eastAsiaTheme="minorEastAsia" w:hint="cs"/>
          <w:i/>
          <w:sz w:val="23"/>
          <w:szCs w:val="23"/>
          <w:rtl/>
        </w:rPr>
        <w:t>این موضوع نیز بررسی شد که وجود بیکاری بخاطر چسبندگی دستمزد حقیقی اهمیت قابل ملاحظه</w:t>
      </w:r>
      <w:r w:rsidRPr="006B3D33">
        <w:rPr>
          <w:rFonts w:eastAsiaTheme="minorEastAsia"/>
          <w:i/>
          <w:sz w:val="23"/>
          <w:szCs w:val="23"/>
          <w:rtl/>
        </w:rPr>
        <w:softHyphen/>
      </w:r>
      <w:r w:rsidRPr="006B3D33">
        <w:rPr>
          <w:rFonts w:eastAsiaTheme="minorEastAsia" w:hint="cs"/>
          <w:i/>
          <w:sz w:val="23"/>
          <w:szCs w:val="23"/>
          <w:rtl/>
        </w:rPr>
        <w:t>ای برای اثربخشی سیاست‌های پولی و مالی در شرایط رکود دارد. در اشتغال کامل، انبساط مالی‌ همانند افزایش مخارج دولت در بودجه‌ی متوازن، اگر چه تولید را افزایش می‌دهد، ولی افزایش مصرف بعید و غیرمحتمل است مگر آن که یک افزایش توأم در بهره</w:t>
      </w:r>
      <w:r w:rsidRPr="006B3D33">
        <w:rPr>
          <w:rFonts w:eastAsiaTheme="minorEastAsia"/>
          <w:i/>
          <w:sz w:val="23"/>
          <w:szCs w:val="23"/>
          <w:rtl/>
        </w:rPr>
        <w:softHyphen/>
      </w:r>
      <w:r w:rsidRPr="006B3D33">
        <w:rPr>
          <w:rFonts w:eastAsiaTheme="minorEastAsia" w:hint="cs"/>
          <w:i/>
          <w:sz w:val="23"/>
          <w:szCs w:val="23"/>
          <w:rtl/>
        </w:rPr>
        <w:t>وری که دستمزد حقیقی را افزایش می‌دهد وجود داشته باشد. اگر بیکاری غیرداوطلبانه وجود داشته باشد، آن گاه یک انبساط مالی در بودجه‌ی متوازن، اشتغال را به سطح قبلی خود باز خواهد گرداند، و لذا تولید افزایش یافته ولی مزایای مصرف نامشخص است. در این راه بیکاری غیرداوطلبانه ممکن است حذف و یا کاهش یابد، و بنابراین اقتصاد سریع‌تر از اقتصادِ بدون مداخله‌ی مالی، تثبیت می‌شود. در اشتغال کامل، انبساط پولی احتمالاً سطح قیمت</w:t>
      </w:r>
      <w:r w:rsidRPr="006B3D33">
        <w:rPr>
          <w:rFonts w:eastAsiaTheme="minorEastAsia"/>
          <w:i/>
          <w:sz w:val="23"/>
          <w:szCs w:val="23"/>
          <w:rtl/>
        </w:rPr>
        <w:softHyphen/>
      </w:r>
      <w:r w:rsidRPr="006B3D33">
        <w:rPr>
          <w:rFonts w:eastAsiaTheme="minorEastAsia" w:hint="cs"/>
          <w:i/>
          <w:sz w:val="23"/>
          <w:szCs w:val="23"/>
          <w:rtl/>
        </w:rPr>
        <w:t>ها و بنابراین دستمزدها و متغیرهای اسمی (و نه متغیرهای حقیقی) را افزایش می‌دهد. در صورت وجود بیکاری غیرداوطلبانه، افزایش قیمت‌ها تعدیل دستمزد حقیقی را تسریع و بنابراین بیکاری را کاهش می‌دهد. به عبارتی دیگر اثربخشی سیاست</w:t>
      </w:r>
      <w:r w:rsidRPr="006B3D33">
        <w:rPr>
          <w:rFonts w:eastAsiaTheme="minorEastAsia"/>
          <w:i/>
          <w:sz w:val="23"/>
          <w:szCs w:val="23"/>
          <w:rtl/>
        </w:rPr>
        <w:softHyphen/>
      </w:r>
      <w:r w:rsidRPr="006B3D33">
        <w:rPr>
          <w:rFonts w:eastAsiaTheme="minorEastAsia" w:hint="cs"/>
          <w:i/>
          <w:sz w:val="23"/>
          <w:szCs w:val="23"/>
          <w:rtl/>
        </w:rPr>
        <w:t>های پولی و مالی در تحریک اقتصاد به شرایط وابسته است، گاهی اوقات ضریب تکاثر قابل اغماض است که در مدل کلاسیک پیش بینی شده، و در زمانی دیگر بسیار بیشتر است ولی نه به اندازه‌ی ضریب تکاثر مدل کینزین ساده، و اندازه‌ی ضریب تکاثر به نزدیکی اقتصاد به وضعیت اشتغال کامل وابسته است.</w:t>
      </w:r>
      <w:r>
        <w:rPr>
          <w:rFonts w:eastAsiaTheme="minorEastAsia"/>
          <w:i/>
          <w:sz w:val="23"/>
          <w:szCs w:val="23"/>
          <w:rtl/>
        </w:rPr>
        <w:br w:type="page"/>
      </w:r>
    </w:p>
    <w:p w14:paraId="2A31A5D0" w14:textId="77777777" w:rsidR="00411620" w:rsidRPr="00D94694" w:rsidRDefault="00411620" w:rsidP="00411620">
      <w:pPr>
        <w:pStyle w:val="a3"/>
        <w:spacing w:before="960" w:after="720"/>
        <w:ind w:left="0"/>
        <w:rPr>
          <w:rFonts w:eastAsia="Yu Gothic UI" w:cs="B Nazanin"/>
          <w:b w:val="0"/>
          <w:i/>
          <w:sz w:val="40"/>
          <w:szCs w:val="40"/>
          <w14:glow w14:rad="0">
            <w14:srgbClr w14:val="000000">
              <w14:alpha w14:val="91000"/>
            </w14:srgbClr>
          </w14:glow>
          <w14:shadow w14:blurRad="63500" w14:dist="0" w14:dir="0" w14:sx="1000" w14:sy="1000" w14:kx="0" w14:ky="0" w14:algn="ctr">
            <w14:srgbClr w14:val="000000">
              <w14:alpha w14:val="16000"/>
            </w14:srgbClr>
          </w14:shadow>
        </w:rPr>
      </w:pPr>
      <w:r w:rsidRPr="00D94694">
        <w:rPr>
          <w:rFonts w:hint="cs"/>
          <w:b w:val="0"/>
          <w:i/>
          <w:color w:val="000000" w:themeColor="text1"/>
          <w:sz w:val="40"/>
          <w:szCs w:val="40"/>
          <w:rtl/>
        </w:rPr>
        <w:lastRenderedPageBreak/>
        <w:t>فصل یازدهم</w:t>
      </w:r>
    </w:p>
    <w:p w14:paraId="4DB2DA87" w14:textId="77777777" w:rsidR="00411620" w:rsidRPr="00D94694" w:rsidRDefault="00411620" w:rsidP="00411620">
      <w:pPr>
        <w:pStyle w:val="a4"/>
        <w:pBdr>
          <w:top w:val="none" w:sz="0" w:space="0" w:color="auto"/>
          <w:bottom w:val="none" w:sz="0" w:space="0" w:color="auto"/>
        </w:pBdr>
        <w:shd w:val="clear" w:color="auto" w:fill="auto"/>
        <w:spacing w:after="720"/>
        <w:rPr>
          <w:rFonts w:ascii="Times New Roman" w:hAnsi="Times New Roman" w:cs="B Nazanin"/>
          <w:b w:val="0"/>
          <w:i/>
          <w:sz w:val="40"/>
          <w:szCs w:val="40"/>
          <w:rtl/>
        </w:rPr>
      </w:pPr>
      <w:r w:rsidRPr="00D94694">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t>قیمت</w:t>
      </w:r>
      <w:r w:rsidRPr="00D94694">
        <w:rPr>
          <w:rFonts w:ascii="Times New Roman" w:eastAsia="Yu Gothic UI" w:hAnsi="Times New Roman" w:cs="B Nazanin"/>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softHyphen/>
      </w:r>
      <w:r w:rsidRPr="00D94694">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t>گذاری دارایی</w:t>
      </w:r>
      <w:r w:rsidRPr="00D94694">
        <w:rPr>
          <w:rFonts w:ascii="Times New Roman" w:eastAsia="Yu Gothic UI" w:hAnsi="Times New Roman" w:cs="B Nazanin"/>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softHyphen/>
      </w:r>
      <w:r w:rsidRPr="00D94694">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t>ها و اقتصاد کلان</w:t>
      </w:r>
    </w:p>
    <w:p w14:paraId="61764F33" w14:textId="77777777" w:rsidR="00411620" w:rsidRPr="00D94694" w:rsidRDefault="00411620" w:rsidP="00411620">
      <w:pPr>
        <w:pStyle w:val="Heading1"/>
        <w:spacing w:before="0" w:after="0" w:line="216" w:lineRule="auto"/>
        <w:rPr>
          <w:rFonts w:ascii="Times New Roman" w:hAnsi="Times New Roman" w:cs="B Nazanin"/>
          <w:b w:val="0"/>
          <w:i/>
          <w:sz w:val="23"/>
          <w:szCs w:val="23"/>
          <w:rtl/>
        </w:rPr>
      </w:pPr>
      <w:r w:rsidRPr="00D94694">
        <w:rPr>
          <w:rFonts w:ascii="Times New Roman" w:hAnsi="Times New Roman" w:cs="B Nazanin" w:hint="cs"/>
          <w:b w:val="0"/>
          <w:i/>
          <w:sz w:val="23"/>
          <w:szCs w:val="23"/>
          <w:rtl/>
        </w:rPr>
        <w:t>۱.۱۱ مقدمه</w:t>
      </w:r>
    </w:p>
    <w:p w14:paraId="12C92F6C" w14:textId="77777777" w:rsidR="00411620" w:rsidRPr="00D94694" w:rsidRDefault="00411620" w:rsidP="00411620">
      <w:pPr>
        <w:spacing w:line="228" w:lineRule="auto"/>
        <w:rPr>
          <w:i/>
          <w:sz w:val="23"/>
          <w:szCs w:val="23"/>
          <w:rtl/>
        </w:rPr>
      </w:pPr>
      <w:r w:rsidRPr="00D94694">
        <w:rPr>
          <w:rFonts w:hint="cs"/>
          <w:i/>
          <w:sz w:val="23"/>
          <w:szCs w:val="23"/>
          <w:rtl/>
        </w:rPr>
        <w:t>دارایی‌ها، اعم از سرمایه</w:t>
      </w:r>
      <w:r w:rsidRPr="00D94694">
        <w:rPr>
          <w:i/>
          <w:sz w:val="23"/>
          <w:szCs w:val="23"/>
        </w:rPr>
        <w:softHyphen/>
      </w:r>
      <w:r w:rsidRPr="00D94694">
        <w:rPr>
          <w:rFonts w:hint="cs"/>
          <w:i/>
          <w:sz w:val="23"/>
          <w:szCs w:val="23"/>
          <w:rtl/>
        </w:rPr>
        <w:t>های فیزیکی، مالی و یا انسانی نقش بسیار مهمی در اقتصاد کلان ایفا می‌کنند. وجود این</w:t>
      </w:r>
      <w:r w:rsidRPr="00D94694">
        <w:rPr>
          <w:i/>
          <w:sz w:val="23"/>
          <w:szCs w:val="23"/>
        </w:rPr>
        <w:t xml:space="preserve"> </w:t>
      </w:r>
      <w:r w:rsidRPr="00D94694">
        <w:rPr>
          <w:rFonts w:hint="cs"/>
          <w:i/>
          <w:sz w:val="23"/>
          <w:szCs w:val="23"/>
          <w:rtl/>
        </w:rPr>
        <w:t>نوع از دارایی‌ها برای تولید و درآمد ضروری است، و در تخصیص بین‌دوره‌ای منابع بواسطه</w:t>
      </w:r>
      <w:r w:rsidRPr="00D94694">
        <w:rPr>
          <w:i/>
          <w:sz w:val="23"/>
          <w:szCs w:val="23"/>
          <w:rtl/>
        </w:rPr>
        <w:softHyphen/>
      </w:r>
      <w:r w:rsidRPr="00D94694">
        <w:rPr>
          <w:rFonts w:hint="cs"/>
          <w:i/>
          <w:sz w:val="23"/>
          <w:szCs w:val="23"/>
          <w:rtl/>
        </w:rPr>
        <w:t>ی فرایند پس‌انداز، وام و استقراض نقش کلیدی ایفا می</w:t>
      </w:r>
      <w:r w:rsidRPr="00D94694">
        <w:rPr>
          <w:i/>
          <w:sz w:val="23"/>
          <w:szCs w:val="23"/>
          <w:rtl/>
        </w:rPr>
        <w:softHyphen/>
      </w:r>
      <w:r w:rsidRPr="00D94694">
        <w:rPr>
          <w:rFonts w:hint="cs"/>
          <w:i/>
          <w:sz w:val="23"/>
          <w:szCs w:val="23"/>
          <w:rtl/>
        </w:rPr>
        <w:t>کنند. در این فصل به این موضوع خواهیم پرداخت که در تعادل عمومی، دارایی‌های مالی چگونه قیمت‌گذاری می‌شوند. در فصل بعد نیز نظریه</w:t>
      </w:r>
      <w:r w:rsidRPr="00D94694">
        <w:rPr>
          <w:i/>
          <w:sz w:val="23"/>
          <w:szCs w:val="23"/>
          <w:rtl/>
        </w:rPr>
        <w:softHyphen/>
      </w:r>
      <w:r w:rsidRPr="00D94694">
        <w:rPr>
          <w:rFonts w:hint="cs"/>
          <w:i/>
          <w:sz w:val="23"/>
          <w:szCs w:val="23"/>
          <w:rtl/>
        </w:rPr>
        <w:t>های قیمت</w:t>
      </w:r>
      <w:r w:rsidRPr="00D94694">
        <w:rPr>
          <w:i/>
          <w:sz w:val="23"/>
          <w:szCs w:val="23"/>
          <w:rtl/>
        </w:rPr>
        <w:softHyphen/>
      </w:r>
      <w:r w:rsidRPr="00D94694">
        <w:rPr>
          <w:rFonts w:hint="cs"/>
          <w:i/>
          <w:sz w:val="23"/>
          <w:szCs w:val="23"/>
          <w:rtl/>
        </w:rPr>
        <w:t>گذاری دارایی‌های مالی همچون، اوراق قرضه، سهام و ارزها را مورد بررسی قرار خواهیم داد. لازم به توضیح است که ویژگی</w:t>
      </w:r>
      <w:r w:rsidRPr="00D94694">
        <w:rPr>
          <w:i/>
          <w:sz w:val="23"/>
          <w:szCs w:val="23"/>
          <w:rtl/>
        </w:rPr>
        <w:softHyphen/>
      </w:r>
      <w:r w:rsidRPr="00D94694">
        <w:rPr>
          <w:rFonts w:hint="cs"/>
          <w:i/>
          <w:sz w:val="23"/>
          <w:szCs w:val="23"/>
          <w:rtl/>
        </w:rPr>
        <w:t xml:space="preserve"> خاص هر یک از این دارایی‌ها مستلزم بکارگیری نظریه مربوط به آن</w:t>
      </w:r>
      <w:r w:rsidRPr="00D94694">
        <w:rPr>
          <w:i/>
          <w:sz w:val="23"/>
          <w:szCs w:val="23"/>
          <w:rtl/>
        </w:rPr>
        <w:softHyphen/>
      </w:r>
      <w:r w:rsidRPr="00D94694">
        <w:rPr>
          <w:rFonts w:hint="cs"/>
          <w:i/>
          <w:sz w:val="23"/>
          <w:szCs w:val="23"/>
          <w:rtl/>
        </w:rPr>
        <w:t xml:space="preserve"> دارایی خواهد بود.</w:t>
      </w:r>
    </w:p>
    <w:p w14:paraId="4B2CF82F" w14:textId="77777777" w:rsidR="00411620" w:rsidRPr="00D94694" w:rsidRDefault="00411620" w:rsidP="00411620">
      <w:pPr>
        <w:spacing w:line="19" w:lineRule="atLeast"/>
        <w:rPr>
          <w:i/>
          <w:sz w:val="23"/>
          <w:szCs w:val="23"/>
          <w:rtl/>
        </w:rPr>
      </w:pPr>
      <w:r w:rsidRPr="00D94694">
        <w:rPr>
          <w:rFonts w:hint="cs"/>
          <w:i/>
          <w:sz w:val="23"/>
          <w:szCs w:val="23"/>
          <w:rtl/>
        </w:rPr>
        <w:t>در فصول اولیه، تجزیه و تحلیل اقتصاد کلان را با تصمیم خانوار در خصوص مصرف امروز و آینده، و بررسی نظریه‌های مربوط به معادلات انباشت سرمایه‌ی فیزیکی و پس‌انداز آغاز کردیم. در آن مبحث به این نکته اشاره شد که خانوارها علی</w:t>
      </w:r>
      <w:r w:rsidRPr="00D94694">
        <w:rPr>
          <w:i/>
          <w:sz w:val="23"/>
          <w:szCs w:val="23"/>
          <w:rtl/>
        </w:rPr>
        <w:softHyphen/>
      </w:r>
      <w:r w:rsidRPr="00D94694">
        <w:rPr>
          <w:rFonts w:hint="cs"/>
          <w:i/>
          <w:sz w:val="23"/>
          <w:szCs w:val="23"/>
          <w:rtl/>
        </w:rPr>
        <w:t>رغم تغییرات درآمد در طی زمان، در خصوص مصرف امروز و آینده، و با هدف ابقاء و حفظ استانداردهای زندگی خود برنامه</w:t>
      </w:r>
      <w:r w:rsidRPr="00D94694">
        <w:rPr>
          <w:i/>
          <w:sz w:val="23"/>
          <w:szCs w:val="23"/>
          <w:rtl/>
        </w:rPr>
        <w:softHyphen/>
      </w:r>
      <w:r w:rsidRPr="00D94694">
        <w:rPr>
          <w:rFonts w:hint="cs"/>
          <w:i/>
          <w:sz w:val="23"/>
          <w:szCs w:val="23"/>
          <w:rtl/>
        </w:rPr>
        <w:t>ریزی می‌کنند. برای مثال با کاهش درآمدِ خانوار بخاطر بازنشستگی و بیکاری، استاندارد زندگی نیز کاهش خواهد یافت، مگر آن</w:t>
      </w:r>
      <w:r w:rsidRPr="00D94694">
        <w:rPr>
          <w:i/>
          <w:sz w:val="23"/>
          <w:szCs w:val="23"/>
          <w:rtl/>
        </w:rPr>
        <w:softHyphen/>
      </w:r>
      <w:r w:rsidRPr="00D94694">
        <w:rPr>
          <w:rFonts w:hint="cs"/>
          <w:i/>
          <w:sz w:val="23"/>
          <w:szCs w:val="23"/>
          <w:rtl/>
        </w:rPr>
        <w:t>که خانوار بخشی از درآمد خود را از قبل پس‌انداز کرده باشد. برای آنکه خانوار بتواند در آینده بیشتر مصرف کند می‌بایست مخارج مصرفی امروز خود را کاهش دهد و مصرف امروز و آتی را بصورت بین‌دوره‌ای جانشین کند. تصمیم در خصوص این</w:t>
      </w:r>
      <w:r w:rsidRPr="00D94694">
        <w:rPr>
          <w:i/>
          <w:sz w:val="23"/>
          <w:szCs w:val="23"/>
          <w:rtl/>
        </w:rPr>
        <w:softHyphen/>
      </w:r>
      <w:r w:rsidRPr="00D94694">
        <w:rPr>
          <w:rFonts w:hint="cs"/>
          <w:i/>
          <w:sz w:val="23"/>
          <w:szCs w:val="23"/>
          <w:rtl/>
        </w:rPr>
        <w:t xml:space="preserve">که خانوار امروز مصرف و یا پس‌انداز کند، به نرخ بازدهی پس‌انداز نسبت به نرخ ترجیح زمانی و یا به تعبیری به قیمت دارایی‌های مالی بستگی دارد. </w:t>
      </w:r>
    </w:p>
    <w:p w14:paraId="1739F486" w14:textId="77777777" w:rsidR="00411620" w:rsidRPr="00D94694" w:rsidRDefault="00411620" w:rsidP="00411620">
      <w:pPr>
        <w:spacing w:line="19" w:lineRule="atLeast"/>
        <w:rPr>
          <w:i/>
          <w:sz w:val="23"/>
          <w:szCs w:val="23"/>
          <w:rtl/>
        </w:rPr>
      </w:pPr>
      <w:r w:rsidRPr="00D94694">
        <w:rPr>
          <w:rFonts w:hint="cs"/>
          <w:i/>
          <w:sz w:val="23"/>
          <w:szCs w:val="23"/>
          <w:rtl/>
        </w:rPr>
        <w:t>مصرف آتی مستلزم سرمایه‌ی فیزیکی و تولید است، و تصمیم در خصوص سرمایه‌گذاری و انباشت سرمایه به نرخ بازدهی سرمایه و هزینه‌ی استقراض آن وابسته است. در تعادل عمومی نرخ بازدهی سرمایه و نرخ بهره‌ی پس‌انداز با هم مرتبط</w:t>
      </w:r>
      <w:r w:rsidRPr="00D94694">
        <w:rPr>
          <w:i/>
          <w:sz w:val="23"/>
          <w:szCs w:val="23"/>
          <w:rtl/>
        </w:rPr>
        <w:softHyphen/>
      </w:r>
      <w:r w:rsidRPr="00D94694">
        <w:rPr>
          <w:rFonts w:hint="cs"/>
          <w:i/>
          <w:sz w:val="23"/>
          <w:szCs w:val="23"/>
          <w:rtl/>
        </w:rPr>
        <w:t>اند. اگر نرخ بازدهی سرمایه کمتر از نرخ بهره</w:t>
      </w:r>
      <w:r w:rsidRPr="00D94694">
        <w:rPr>
          <w:i/>
          <w:sz w:val="23"/>
          <w:szCs w:val="23"/>
          <w:rtl/>
        </w:rPr>
        <w:softHyphen/>
      </w:r>
      <w:r w:rsidRPr="00D94694">
        <w:rPr>
          <w:rFonts w:hint="cs"/>
          <w:i/>
          <w:sz w:val="23"/>
          <w:szCs w:val="23"/>
          <w:rtl/>
        </w:rPr>
        <w:t xml:space="preserve">ی استقراض باشد، بنگاه‌ها تمایلی به استقراض نداشته، و همچنین اگر نرخ بازدهی پس‌انداز کمتر از نرخ ترجیح زمان باشد، خانوار تمایلی به وام دادن به بنگاه‌ها و یا دولت را ندارند. در این فصل مسائل مربوط به </w:t>
      </w:r>
      <w:r w:rsidRPr="00D94694">
        <w:rPr>
          <w:rFonts w:hint="cs"/>
          <w:i/>
          <w:sz w:val="23"/>
          <w:szCs w:val="23"/>
          <w:rtl/>
        </w:rPr>
        <w:lastRenderedPageBreak/>
        <w:t xml:space="preserve">قیمت‌گذاری دارایی‌ها در تعادل عمومیِ بین‌دوره‌ای که مستلزم توجه به نکات فوق است را مورد بررسی قرار خواهیم داد. </w:t>
      </w:r>
    </w:p>
    <w:p w14:paraId="25667D2B" w14:textId="77777777" w:rsidR="00411620" w:rsidRPr="00D94694" w:rsidRDefault="00411620" w:rsidP="00411620">
      <w:pPr>
        <w:spacing w:line="19" w:lineRule="atLeast"/>
        <w:rPr>
          <w:i/>
          <w:sz w:val="23"/>
          <w:szCs w:val="23"/>
          <w:rtl/>
        </w:rPr>
      </w:pPr>
      <w:r w:rsidRPr="00D94694">
        <w:rPr>
          <w:rFonts w:hint="cs"/>
          <w:i/>
          <w:sz w:val="23"/>
          <w:szCs w:val="23"/>
          <w:rtl/>
        </w:rPr>
        <w:t>تاکنون فرض کرده‌ایم که بازدهی دارایی‌ها فاقد ریسک است. هر چند در عمل، تقریباً تمامی دارایی‌ها بازدهی نامطمئنی را در آینده داشته و در معرض ریسک هستند. بنابراین در این فصل نظریه</w:t>
      </w:r>
      <w:r w:rsidRPr="00D94694">
        <w:rPr>
          <w:i/>
          <w:sz w:val="23"/>
          <w:szCs w:val="23"/>
          <w:rtl/>
        </w:rPr>
        <w:softHyphen/>
      </w:r>
      <w:r w:rsidRPr="00D94694">
        <w:rPr>
          <w:rFonts w:hint="cs"/>
          <w:i/>
          <w:sz w:val="23"/>
          <w:szCs w:val="23"/>
          <w:rtl/>
        </w:rPr>
        <w:t>های قیمت</w:t>
      </w:r>
      <w:r w:rsidRPr="00D94694">
        <w:rPr>
          <w:i/>
          <w:sz w:val="23"/>
          <w:szCs w:val="23"/>
          <w:rtl/>
        </w:rPr>
        <w:softHyphen/>
      </w:r>
      <w:r w:rsidRPr="00D94694">
        <w:rPr>
          <w:rFonts w:hint="cs"/>
          <w:i/>
          <w:sz w:val="23"/>
          <w:szCs w:val="23"/>
          <w:rtl/>
        </w:rPr>
        <w:t>گذاری دارایی‌های ریسکی را مورد توجه قرار می</w:t>
      </w:r>
      <w:r w:rsidRPr="00D94694">
        <w:rPr>
          <w:i/>
          <w:sz w:val="23"/>
          <w:szCs w:val="23"/>
          <w:rtl/>
        </w:rPr>
        <w:softHyphen/>
      </w:r>
      <w:r w:rsidRPr="00D94694">
        <w:rPr>
          <w:rFonts w:hint="cs"/>
          <w:i/>
          <w:sz w:val="23"/>
          <w:szCs w:val="23"/>
          <w:rtl/>
        </w:rPr>
        <w:t>دهیم. یک راه برای دسته</w:t>
      </w:r>
      <w:r w:rsidRPr="00D94694">
        <w:rPr>
          <w:i/>
          <w:sz w:val="23"/>
          <w:szCs w:val="23"/>
          <w:rtl/>
        </w:rPr>
        <w:softHyphen/>
      </w:r>
      <w:r w:rsidRPr="00D94694">
        <w:rPr>
          <w:rFonts w:hint="cs"/>
          <w:i/>
          <w:sz w:val="23"/>
          <w:szCs w:val="23"/>
          <w:rtl/>
        </w:rPr>
        <w:t>بندی انواع نظریه‌های قیمت‌گذاری دارایی‌ها روشی است که این نظریه‌ها، ریسک و پاداش ریسک</w:t>
      </w:r>
      <w:r w:rsidRPr="00D94694">
        <w:rPr>
          <w:rStyle w:val="FootnoteReference"/>
          <w:rFonts w:eastAsiaTheme="majorEastAsia"/>
          <w:i/>
          <w:sz w:val="23"/>
          <w:szCs w:val="23"/>
          <w:rtl/>
        </w:rPr>
        <w:footnoteReference w:id="236"/>
      </w:r>
      <w:r w:rsidRPr="00D94694">
        <w:rPr>
          <w:rFonts w:hint="cs"/>
          <w:i/>
          <w:sz w:val="23"/>
          <w:szCs w:val="23"/>
          <w:rtl/>
        </w:rPr>
        <w:t xml:space="preserve"> که مازادِ بر بازدهی معین جهت جبران و غرامت ریسک و نااطمینانی محتمل است را اندازه</w:t>
      </w:r>
      <w:r w:rsidRPr="00D94694">
        <w:rPr>
          <w:i/>
          <w:sz w:val="23"/>
          <w:szCs w:val="23"/>
          <w:rtl/>
        </w:rPr>
        <w:softHyphen/>
      </w:r>
      <w:r w:rsidRPr="00D94694">
        <w:rPr>
          <w:rFonts w:hint="cs"/>
          <w:i/>
          <w:sz w:val="23"/>
          <w:szCs w:val="23"/>
          <w:rtl/>
        </w:rPr>
        <w:t>گیری می‌کنند. در این فصل چهار نظریه تجزیه و تحلیل مطالبات مشروط</w:t>
      </w:r>
      <w:r w:rsidRPr="00D94694">
        <w:rPr>
          <w:rStyle w:val="FootnoteReference"/>
          <w:rFonts w:eastAsiaTheme="majorEastAsia"/>
          <w:i/>
          <w:sz w:val="23"/>
          <w:szCs w:val="23"/>
          <w:rtl/>
        </w:rPr>
        <w:footnoteReference w:id="237"/>
      </w:r>
      <w:r w:rsidRPr="00D94694">
        <w:rPr>
          <w:rFonts w:hint="cs"/>
          <w:i/>
          <w:sz w:val="23"/>
          <w:szCs w:val="23"/>
          <w:rtl/>
        </w:rPr>
        <w:t>، قیمت</w:t>
      </w:r>
      <w:r w:rsidRPr="00D94694">
        <w:rPr>
          <w:i/>
          <w:sz w:val="23"/>
          <w:szCs w:val="23"/>
          <w:rtl/>
        </w:rPr>
        <w:softHyphen/>
      </w:r>
      <w:r w:rsidRPr="00D94694">
        <w:rPr>
          <w:rFonts w:hint="cs"/>
          <w:i/>
          <w:sz w:val="23"/>
          <w:szCs w:val="23"/>
          <w:rtl/>
        </w:rPr>
        <w:t>گذاری دارایی تعادل عمومی، قیمت‌گذاری دارایی سرمایه</w:t>
      </w:r>
      <w:r w:rsidRPr="00D94694">
        <w:rPr>
          <w:i/>
          <w:sz w:val="23"/>
          <w:szCs w:val="23"/>
          <w:rtl/>
        </w:rPr>
        <w:softHyphen/>
      </w:r>
      <w:r w:rsidRPr="00D94694">
        <w:rPr>
          <w:rFonts w:hint="cs"/>
          <w:i/>
          <w:sz w:val="23"/>
          <w:szCs w:val="23"/>
          <w:rtl/>
        </w:rPr>
        <w:t>ای مبتنی بر مصرف و بالاخره قیمت‌گذاری دارایی سرمایه</w:t>
      </w:r>
      <w:r w:rsidRPr="00D94694">
        <w:rPr>
          <w:i/>
          <w:sz w:val="23"/>
          <w:szCs w:val="23"/>
          <w:rtl/>
        </w:rPr>
        <w:softHyphen/>
      </w:r>
      <w:r w:rsidRPr="00D94694">
        <w:rPr>
          <w:rFonts w:hint="cs"/>
          <w:i/>
          <w:sz w:val="23"/>
          <w:szCs w:val="23"/>
          <w:rtl/>
        </w:rPr>
        <w:t>ای سنتی، و روابط بین آن</w:t>
      </w:r>
      <w:r w:rsidRPr="00D94694">
        <w:rPr>
          <w:i/>
          <w:sz w:val="23"/>
          <w:szCs w:val="23"/>
          <w:rtl/>
        </w:rPr>
        <w:softHyphen/>
      </w:r>
      <w:r w:rsidRPr="00D94694">
        <w:rPr>
          <w:rFonts w:hint="cs"/>
          <w:i/>
          <w:sz w:val="23"/>
          <w:szCs w:val="23"/>
          <w:rtl/>
        </w:rPr>
        <w:t>ها را مورد بررسی قرار داده، و نشان خواهیم داد که این چهار نظریه چگونه با یکدیگر مرتبط</w:t>
      </w:r>
      <w:r w:rsidRPr="00D94694">
        <w:rPr>
          <w:i/>
          <w:sz w:val="23"/>
          <w:szCs w:val="23"/>
          <w:rtl/>
        </w:rPr>
        <w:softHyphen/>
      </w:r>
      <w:r w:rsidRPr="00D94694">
        <w:rPr>
          <w:rFonts w:hint="cs"/>
          <w:i/>
          <w:sz w:val="23"/>
          <w:szCs w:val="23"/>
          <w:rtl/>
        </w:rPr>
        <w:t xml:space="preserve"> هستند. </w:t>
      </w:r>
    </w:p>
    <w:p w14:paraId="67DC8ED8" w14:textId="77777777" w:rsidR="00411620" w:rsidRPr="00D94694" w:rsidRDefault="00411620" w:rsidP="00411620">
      <w:pPr>
        <w:spacing w:line="19" w:lineRule="atLeast"/>
        <w:rPr>
          <w:i/>
          <w:sz w:val="23"/>
          <w:szCs w:val="23"/>
          <w:rtl/>
        </w:rPr>
      </w:pPr>
      <w:r w:rsidRPr="00D94694">
        <w:rPr>
          <w:rFonts w:hint="cs"/>
          <w:i/>
          <w:sz w:val="23"/>
          <w:szCs w:val="23"/>
          <w:rtl/>
        </w:rPr>
        <w:t>همان</w:t>
      </w:r>
      <w:r w:rsidRPr="00D94694">
        <w:rPr>
          <w:i/>
          <w:sz w:val="23"/>
          <w:szCs w:val="23"/>
          <w:rtl/>
        </w:rPr>
        <w:softHyphen/>
      </w:r>
      <w:r w:rsidRPr="00D94694">
        <w:rPr>
          <w:rFonts w:hint="cs"/>
          <w:i/>
          <w:sz w:val="23"/>
          <w:szCs w:val="23"/>
          <w:rtl/>
        </w:rPr>
        <w:t>گونه که بازدهی ریسکی متغیری تصادفی است، لذا برنامه</w:t>
      </w:r>
      <w:r w:rsidRPr="00D94694">
        <w:rPr>
          <w:i/>
          <w:sz w:val="23"/>
          <w:szCs w:val="23"/>
          <w:rtl/>
        </w:rPr>
        <w:softHyphen/>
      </w:r>
      <w:r w:rsidRPr="00D94694">
        <w:rPr>
          <w:rFonts w:hint="cs"/>
          <w:i/>
          <w:sz w:val="23"/>
          <w:szCs w:val="23"/>
          <w:rtl/>
        </w:rPr>
        <w:t>ریزی پویای تصادفی را بجای روش ضریب لاگرانژ مورد استفاده قرار خواهیم داد. این فصل را با برخی مفاهیم اولیه همانند مطلوبیت انتظاری و ریسک</w:t>
      </w:r>
      <w:r w:rsidRPr="00D94694">
        <w:rPr>
          <w:i/>
          <w:sz w:val="23"/>
          <w:szCs w:val="23"/>
          <w:rtl/>
        </w:rPr>
        <w:softHyphen/>
      </w:r>
      <w:r w:rsidRPr="00D94694">
        <w:rPr>
          <w:rFonts w:hint="cs"/>
          <w:i/>
          <w:sz w:val="23"/>
          <w:szCs w:val="23"/>
          <w:rtl/>
        </w:rPr>
        <w:t xml:space="preserve">گریزی، پاداش ریسک، آربیتراژ و عدم وجود آربیتراژ، و کاربرد آن‌ها در نظریه بازار کارا آغاز کرده، و سپس نظریه مطالبات مشروط را قبل از قیمت‌گذاری دارایی بین‌دوره‌ای مورد بررسی قرار خواهیم داد. در فصل دوازده نیز این نظریه‌ها را در بازار‌های سهام، اوراق قرضه و ارز مورد استفاده قرار خواهیم داد. </w:t>
      </w:r>
    </w:p>
    <w:p w14:paraId="1360E577" w14:textId="77777777" w:rsidR="00411620" w:rsidRPr="00D94694" w:rsidRDefault="00411620" w:rsidP="00411620">
      <w:pPr>
        <w:spacing w:line="19" w:lineRule="atLeast"/>
        <w:rPr>
          <w:i/>
          <w:sz w:val="23"/>
          <w:szCs w:val="23"/>
          <w:rtl/>
        </w:rPr>
      </w:pPr>
    </w:p>
    <w:p w14:paraId="074FB66A" w14:textId="77777777" w:rsidR="00411620" w:rsidRPr="00D94694" w:rsidRDefault="00411620" w:rsidP="00411620">
      <w:pPr>
        <w:pStyle w:val="Heading1"/>
        <w:spacing w:before="0" w:line="216" w:lineRule="auto"/>
        <w:rPr>
          <w:rFonts w:ascii="Times New Roman" w:hAnsi="Times New Roman" w:cs="B Nazanin"/>
          <w:b w:val="0"/>
          <w:i/>
          <w:sz w:val="23"/>
          <w:szCs w:val="23"/>
          <w:rtl/>
        </w:rPr>
      </w:pPr>
      <w:r w:rsidRPr="00D94694">
        <w:rPr>
          <w:rFonts w:ascii="Times New Roman" w:hAnsi="Times New Roman" w:cs="B Nazanin" w:hint="cs"/>
          <w:b w:val="0"/>
          <w:i/>
          <w:sz w:val="23"/>
          <w:szCs w:val="23"/>
          <w:rtl/>
        </w:rPr>
        <w:t>۲.۱۱ مطلوبیت انتظاری و ریسک</w:t>
      </w:r>
    </w:p>
    <w:p w14:paraId="1815AC1E" w14:textId="77777777" w:rsidR="00411620" w:rsidRPr="00D94694" w:rsidRDefault="00411620" w:rsidP="00411620">
      <w:pPr>
        <w:spacing w:line="216" w:lineRule="auto"/>
        <w:rPr>
          <w:bCs/>
          <w:i/>
          <w:sz w:val="23"/>
          <w:szCs w:val="23"/>
          <w:rtl/>
        </w:rPr>
      </w:pPr>
      <w:r w:rsidRPr="00D94694">
        <w:rPr>
          <w:rFonts w:hint="cs"/>
          <w:bCs/>
          <w:i/>
          <w:sz w:val="23"/>
          <w:szCs w:val="23"/>
          <w:rtl/>
        </w:rPr>
        <w:t>ریسک</w:t>
      </w:r>
      <w:r w:rsidRPr="00D94694">
        <w:rPr>
          <w:bCs/>
          <w:i/>
          <w:sz w:val="23"/>
          <w:szCs w:val="23"/>
          <w:rtl/>
        </w:rPr>
        <w:softHyphen/>
      </w:r>
      <w:r w:rsidRPr="00D94694">
        <w:rPr>
          <w:rFonts w:hint="cs"/>
          <w:bCs/>
          <w:i/>
          <w:sz w:val="23"/>
          <w:szCs w:val="23"/>
          <w:rtl/>
        </w:rPr>
        <w:t>گریزی</w:t>
      </w:r>
    </w:p>
    <w:p w14:paraId="1278C9CD" w14:textId="77777777" w:rsidR="00411620" w:rsidRPr="00D94694" w:rsidRDefault="00411620" w:rsidP="00411620">
      <w:pPr>
        <w:spacing w:line="216" w:lineRule="auto"/>
        <w:rPr>
          <w:i/>
          <w:sz w:val="23"/>
          <w:szCs w:val="23"/>
        </w:rPr>
      </w:pPr>
      <w:r w:rsidRPr="00D94694">
        <w:rPr>
          <w:rFonts w:hint="cs"/>
          <w:i/>
          <w:sz w:val="23"/>
          <w:szCs w:val="23"/>
          <w:rtl/>
        </w:rPr>
        <w:t xml:space="preserve">فرض کنید ثروت اولیه </w:t>
      </w:r>
      <w:r w:rsidRPr="00D94694">
        <w:rPr>
          <w:position w:val="-8"/>
        </w:rPr>
        <w:object w:dxaOrig="960" w:dyaOrig="279" w14:anchorId="02CA8443">
          <v:shape id="_x0000_i4664" type="#_x0000_t75" style="width:47.8pt;height:13.9pt" o:ole="">
            <v:imagedata r:id="rId7326" o:title=""/>
          </v:shape>
          <o:OLEObject Type="Embed" ProgID="Equation.DSMT4" ShapeID="_x0000_i4664" DrawAspect="Content" ObjectID="_1791378608" r:id="rId7327"/>
        </w:object>
      </w:r>
      <w:r w:rsidRPr="00D94694">
        <w:rPr>
          <w:rFonts w:hint="cs"/>
          <w:i/>
          <w:sz w:val="23"/>
          <w:szCs w:val="23"/>
          <w:rtl/>
        </w:rPr>
        <w:t>، و ثروت پس از سرمایه</w:t>
      </w:r>
      <w:r w:rsidRPr="00D94694">
        <w:rPr>
          <w:i/>
          <w:sz w:val="23"/>
          <w:szCs w:val="23"/>
          <w:rtl/>
        </w:rPr>
        <w:softHyphen/>
      </w:r>
      <w:r w:rsidRPr="00D94694">
        <w:rPr>
          <w:rFonts w:hint="cs"/>
          <w:i/>
          <w:sz w:val="23"/>
          <w:szCs w:val="23"/>
          <w:rtl/>
        </w:rPr>
        <w:t>گذاری یک ساله</w:t>
      </w:r>
      <w:r w:rsidRPr="00D94694">
        <w:rPr>
          <w:i/>
          <w:sz w:val="23"/>
          <w:szCs w:val="23"/>
          <w:rtl/>
        </w:rPr>
        <w:softHyphen/>
      </w:r>
      <w:r w:rsidRPr="00D94694">
        <w:rPr>
          <w:rFonts w:hint="cs"/>
          <w:i/>
          <w:sz w:val="23"/>
          <w:szCs w:val="23"/>
          <w:rtl/>
        </w:rPr>
        <w:t>ی در پروژه</w:t>
      </w:r>
      <w:r w:rsidRPr="00D94694">
        <w:rPr>
          <w:i/>
          <w:sz w:val="23"/>
          <w:szCs w:val="23"/>
          <w:rtl/>
        </w:rPr>
        <w:softHyphen/>
      </w:r>
      <w:r w:rsidRPr="00D94694">
        <w:rPr>
          <w:i/>
          <w:sz w:val="23"/>
          <w:szCs w:val="23"/>
          <w:rtl/>
        </w:rPr>
        <w:softHyphen/>
      </w:r>
      <w:r w:rsidRPr="00D94694">
        <w:rPr>
          <w:rFonts w:hint="cs"/>
          <w:i/>
          <w:sz w:val="23"/>
          <w:szCs w:val="23"/>
          <w:rtl/>
        </w:rPr>
        <w:t>ی شماره</w:t>
      </w:r>
      <w:r w:rsidRPr="00D94694">
        <w:rPr>
          <w:i/>
          <w:sz w:val="23"/>
          <w:szCs w:val="23"/>
          <w:rtl/>
        </w:rPr>
        <w:softHyphen/>
      </w:r>
      <w:r w:rsidRPr="00D94694">
        <w:rPr>
          <w:rFonts w:hint="cs"/>
          <w:i/>
          <w:sz w:val="23"/>
          <w:szCs w:val="23"/>
          <w:rtl/>
        </w:rPr>
        <w:t>ی یک با احتمال وقوع</w:t>
      </w:r>
      <w:r w:rsidRPr="00D94694">
        <w:rPr>
          <w:position w:val="-8"/>
        </w:rPr>
        <w:object w:dxaOrig="720" w:dyaOrig="279" w14:anchorId="2E40B809">
          <v:shape id="_x0000_i4665" type="#_x0000_t75" style="width:36.3pt;height:13.9pt" o:ole="">
            <v:imagedata r:id="rId7328" o:title=""/>
          </v:shape>
          <o:OLEObject Type="Embed" ProgID="Equation.DSMT4" ShapeID="_x0000_i4665" DrawAspect="Content" ObjectID="_1791378609" r:id="rId7329"/>
        </w:object>
      </w:r>
      <w:r w:rsidRPr="00D94694">
        <w:rPr>
          <w:rFonts w:hint="cs"/>
          <w:i/>
          <w:sz w:val="23"/>
          <w:szCs w:val="23"/>
          <w:rtl/>
        </w:rPr>
        <w:t xml:space="preserve"> برابر با</w:t>
      </w:r>
      <w:r w:rsidRPr="00D94694">
        <w:rPr>
          <w:position w:val="-10"/>
        </w:rPr>
        <w:object w:dxaOrig="999" w:dyaOrig="320" w14:anchorId="03E105DF">
          <v:shape id="_x0000_i4666" type="#_x0000_t75" style="width:50.2pt;height:15.75pt" o:ole="">
            <v:imagedata r:id="rId7330" o:title=""/>
          </v:shape>
          <o:OLEObject Type="Embed" ProgID="Equation.DSMT4" ShapeID="_x0000_i4666" DrawAspect="Content" ObjectID="_1791378610" r:id="rId7331"/>
        </w:object>
      </w:r>
      <w:r w:rsidRPr="00D94694">
        <w:rPr>
          <w:rFonts w:hint="cs"/>
          <w:i/>
          <w:sz w:val="23"/>
          <w:szCs w:val="23"/>
          <w:rtl/>
        </w:rPr>
        <w:t>، و ثروت پس از سرمایه</w:t>
      </w:r>
      <w:r w:rsidRPr="00D94694">
        <w:rPr>
          <w:i/>
          <w:sz w:val="23"/>
          <w:szCs w:val="23"/>
          <w:rtl/>
        </w:rPr>
        <w:softHyphen/>
      </w:r>
      <w:r w:rsidRPr="00D94694">
        <w:rPr>
          <w:rFonts w:hint="cs"/>
          <w:i/>
          <w:sz w:val="23"/>
          <w:szCs w:val="23"/>
          <w:rtl/>
        </w:rPr>
        <w:t>گذاری یک ساله</w:t>
      </w:r>
      <w:r w:rsidRPr="00D94694">
        <w:rPr>
          <w:i/>
          <w:sz w:val="23"/>
          <w:szCs w:val="23"/>
          <w:rtl/>
        </w:rPr>
        <w:softHyphen/>
      </w:r>
      <w:r w:rsidRPr="00D94694">
        <w:rPr>
          <w:rFonts w:hint="cs"/>
          <w:i/>
          <w:sz w:val="23"/>
          <w:szCs w:val="23"/>
          <w:rtl/>
        </w:rPr>
        <w:t>ی در پروژه</w:t>
      </w:r>
      <w:r w:rsidRPr="00D94694">
        <w:rPr>
          <w:i/>
          <w:sz w:val="23"/>
          <w:szCs w:val="23"/>
          <w:rtl/>
        </w:rPr>
        <w:softHyphen/>
      </w:r>
      <w:r w:rsidRPr="00D94694">
        <w:rPr>
          <w:i/>
          <w:sz w:val="23"/>
          <w:szCs w:val="23"/>
          <w:rtl/>
        </w:rPr>
        <w:softHyphen/>
      </w:r>
      <w:r w:rsidRPr="00D94694">
        <w:rPr>
          <w:rFonts w:hint="cs"/>
          <w:i/>
          <w:sz w:val="23"/>
          <w:szCs w:val="23"/>
          <w:rtl/>
        </w:rPr>
        <w:t>ی</w:t>
      </w:r>
      <w:r w:rsidRPr="00D94694">
        <w:rPr>
          <w:i/>
          <w:sz w:val="23"/>
          <w:szCs w:val="23"/>
        </w:rPr>
        <w:t xml:space="preserve"> </w:t>
      </w:r>
      <w:r w:rsidRPr="00D94694">
        <w:rPr>
          <w:rFonts w:hint="cs"/>
          <w:i/>
          <w:sz w:val="23"/>
          <w:szCs w:val="23"/>
          <w:rtl/>
        </w:rPr>
        <w:t>شماره</w:t>
      </w:r>
      <w:r w:rsidRPr="00D94694">
        <w:rPr>
          <w:i/>
          <w:sz w:val="23"/>
          <w:szCs w:val="23"/>
          <w:rtl/>
        </w:rPr>
        <w:softHyphen/>
      </w:r>
      <w:r w:rsidRPr="00D94694">
        <w:rPr>
          <w:rFonts w:hint="cs"/>
          <w:i/>
          <w:sz w:val="23"/>
          <w:szCs w:val="23"/>
          <w:rtl/>
        </w:rPr>
        <w:t xml:space="preserve">ی دو با احتمال وقوع </w:t>
      </w:r>
      <w:r w:rsidRPr="00D94694">
        <w:rPr>
          <w:position w:val="-8"/>
        </w:rPr>
        <w:object w:dxaOrig="1020" w:dyaOrig="279" w14:anchorId="6AAAE2E6">
          <v:shape id="_x0000_i4667" type="#_x0000_t75" style="width:50.8pt;height:13.9pt" o:ole="">
            <v:imagedata r:id="rId7332" o:title=""/>
          </v:shape>
          <o:OLEObject Type="Embed" ProgID="Equation.DSMT4" ShapeID="_x0000_i4667" DrawAspect="Content" ObjectID="_1791378611" r:id="rId7333"/>
        </w:object>
      </w:r>
      <w:r w:rsidRPr="00D94694">
        <w:rPr>
          <w:rFonts w:hint="cs"/>
          <w:i/>
          <w:sz w:val="23"/>
          <w:szCs w:val="23"/>
          <w:rtl/>
        </w:rPr>
        <w:t xml:space="preserve"> برابر با </w:t>
      </w:r>
      <w:r w:rsidRPr="00D94694">
        <w:rPr>
          <w:position w:val="-10"/>
        </w:rPr>
        <w:object w:dxaOrig="900" w:dyaOrig="320" w14:anchorId="38CF75CF">
          <v:shape id="_x0000_i4668" type="#_x0000_t75" style="width:45.4pt;height:15.75pt" o:ole="">
            <v:imagedata r:id="rId7334" o:title=""/>
          </v:shape>
          <o:OLEObject Type="Embed" ProgID="Equation.DSMT4" ShapeID="_x0000_i4668" DrawAspect="Content" ObjectID="_1791378612" r:id="rId7335"/>
        </w:object>
      </w:r>
      <w:r w:rsidRPr="00D94694">
        <w:rPr>
          <w:rFonts w:hint="cs"/>
          <w:i/>
          <w:sz w:val="23"/>
          <w:szCs w:val="23"/>
          <w:rtl/>
        </w:rPr>
        <w:t xml:space="preserve"> باشد. بنابراین میانگین ثروت و یا ثروت انتظاری یک ساله</w:t>
      </w:r>
      <w:r w:rsidRPr="00D94694">
        <w:rPr>
          <w:i/>
          <w:sz w:val="23"/>
          <w:szCs w:val="23"/>
          <w:rtl/>
        </w:rPr>
        <w:softHyphen/>
      </w:r>
      <w:r w:rsidRPr="00D94694">
        <w:rPr>
          <w:rFonts w:hint="cs"/>
          <w:i/>
          <w:sz w:val="23"/>
          <w:szCs w:val="23"/>
          <w:rtl/>
        </w:rPr>
        <w:t xml:space="preserve">ی این پرتفو برابر خواهد بود با </w:t>
      </w:r>
    </w:p>
    <w:p w14:paraId="3EE27B37" w14:textId="77777777" w:rsidR="00411620" w:rsidRPr="00D94694" w:rsidRDefault="00411620" w:rsidP="00411620">
      <w:pPr>
        <w:bidi w:val="0"/>
        <w:spacing w:line="216" w:lineRule="auto"/>
        <w:rPr>
          <w:i/>
          <w:sz w:val="23"/>
          <w:szCs w:val="23"/>
          <w:rtl/>
        </w:rPr>
      </w:pPr>
      <w:r w:rsidRPr="00D94694">
        <w:rPr>
          <w:rFonts w:hint="cs"/>
          <w:i/>
          <w:sz w:val="23"/>
          <w:szCs w:val="23"/>
          <w:rtl/>
        </w:rPr>
        <w:t xml:space="preserve"> </w:t>
      </w:r>
      <w:r w:rsidRPr="00D94694">
        <w:rPr>
          <w:position w:val="-10"/>
        </w:rPr>
        <w:object w:dxaOrig="4819" w:dyaOrig="320" w14:anchorId="09E76164">
          <v:shape id="_x0000_i4669" type="#_x0000_t75" style="width:240.8pt;height:15.75pt" o:ole="">
            <v:imagedata r:id="rId7336" o:title=""/>
          </v:shape>
          <o:OLEObject Type="Embed" ProgID="Equation.DSMT4" ShapeID="_x0000_i4669" DrawAspect="Content" ObjectID="_1791378613" r:id="rId7337"/>
        </w:object>
      </w:r>
    </w:p>
    <w:p w14:paraId="119DBA3C" w14:textId="77777777" w:rsidR="00411620" w:rsidRPr="00D94694" w:rsidRDefault="00411620" w:rsidP="00411620">
      <w:pPr>
        <w:spacing w:line="216" w:lineRule="auto"/>
        <w:rPr>
          <w:i/>
          <w:sz w:val="23"/>
          <w:szCs w:val="23"/>
        </w:rPr>
      </w:pPr>
      <w:r w:rsidRPr="00D94694">
        <w:rPr>
          <w:rFonts w:hint="cs"/>
          <w:i/>
          <w:sz w:val="23"/>
          <w:szCs w:val="23"/>
          <w:rtl/>
        </w:rPr>
        <w:t>در این مثال سود انتظاری یکصد دلار سرمایه</w:t>
      </w:r>
      <w:r w:rsidRPr="00D94694">
        <w:rPr>
          <w:i/>
          <w:sz w:val="23"/>
          <w:szCs w:val="23"/>
          <w:rtl/>
        </w:rPr>
        <w:softHyphen/>
      </w:r>
      <w:r w:rsidRPr="00D94694">
        <w:rPr>
          <w:rFonts w:hint="cs"/>
          <w:i/>
          <w:sz w:val="23"/>
          <w:szCs w:val="23"/>
          <w:rtl/>
        </w:rPr>
        <w:t>گذاری در پروژه</w:t>
      </w:r>
      <w:r w:rsidRPr="00D94694">
        <w:rPr>
          <w:i/>
          <w:sz w:val="23"/>
          <w:szCs w:val="23"/>
          <w:rtl/>
        </w:rPr>
        <w:softHyphen/>
      </w:r>
      <w:r w:rsidRPr="00D94694">
        <w:rPr>
          <w:rFonts w:hint="cs"/>
          <w:i/>
          <w:sz w:val="23"/>
          <w:szCs w:val="23"/>
          <w:rtl/>
        </w:rPr>
        <w:t>ی یک و دو برابر است با ۲۲ دلار، و انحراف معیار آن که از مجذور مربع انحرافات هر یک از پیامدهای ممکن از میانگین بدست می</w:t>
      </w:r>
      <w:r w:rsidRPr="00D94694">
        <w:rPr>
          <w:i/>
          <w:sz w:val="23"/>
          <w:szCs w:val="23"/>
          <w:rtl/>
        </w:rPr>
        <w:softHyphen/>
      </w:r>
      <w:r w:rsidRPr="00D94694">
        <w:rPr>
          <w:rFonts w:hint="cs"/>
          <w:i/>
          <w:sz w:val="23"/>
          <w:szCs w:val="23"/>
          <w:rtl/>
        </w:rPr>
        <w:t xml:space="preserve">آید برابر </w:t>
      </w:r>
    </w:p>
    <w:p w14:paraId="6AFE4DAF" w14:textId="77777777" w:rsidR="00411620" w:rsidRPr="00D94694" w:rsidRDefault="00411620" w:rsidP="00411620">
      <w:pPr>
        <w:spacing w:line="216" w:lineRule="auto"/>
        <w:rPr>
          <w:i/>
          <w:sz w:val="23"/>
          <w:szCs w:val="23"/>
          <w:rtl/>
        </w:rPr>
      </w:pPr>
      <w:r w:rsidRPr="00D94694">
        <w:rPr>
          <w:rFonts w:hint="cs"/>
          <w:i/>
          <w:sz w:val="23"/>
          <w:szCs w:val="23"/>
          <w:rtl/>
        </w:rPr>
        <w:lastRenderedPageBreak/>
        <w:t>است با</w:t>
      </w:r>
    </w:p>
    <w:p w14:paraId="38F73420" w14:textId="77777777" w:rsidR="00411620" w:rsidRPr="00D94694" w:rsidRDefault="00411620" w:rsidP="00411620">
      <w:pPr>
        <w:bidi w:val="0"/>
        <w:spacing w:line="216" w:lineRule="auto"/>
        <w:rPr>
          <w:i/>
          <w:sz w:val="23"/>
          <w:szCs w:val="23"/>
          <w:rtl/>
        </w:rPr>
      </w:pPr>
      <w:r w:rsidRPr="00D94694">
        <w:rPr>
          <w:rFonts w:hint="cs"/>
          <w:i/>
          <w:sz w:val="23"/>
          <w:szCs w:val="23"/>
          <w:rtl/>
        </w:rPr>
        <w:t xml:space="preserve"> </w:t>
      </w:r>
      <w:r w:rsidRPr="00D94694">
        <w:rPr>
          <w:position w:val="-14"/>
        </w:rPr>
        <w:object w:dxaOrig="4239" w:dyaOrig="460" w14:anchorId="0C8FEEFB">
          <v:shape id="_x0000_i4670" type="#_x0000_t75" style="width:211.75pt;height:23pt" o:ole="">
            <v:imagedata r:id="rId7338" o:title=""/>
          </v:shape>
          <o:OLEObject Type="Embed" ProgID="Equation.DSMT4" ShapeID="_x0000_i4670" DrawAspect="Content" ObjectID="_1791378614" r:id="rId7339"/>
        </w:object>
      </w:r>
    </w:p>
    <w:p w14:paraId="7E978BB5" w14:textId="77777777" w:rsidR="00411620" w:rsidRPr="00D94694" w:rsidRDefault="00411620" w:rsidP="00411620">
      <w:pPr>
        <w:spacing w:line="216" w:lineRule="auto"/>
        <w:rPr>
          <w:i/>
          <w:sz w:val="23"/>
          <w:szCs w:val="23"/>
          <w:rtl/>
        </w:rPr>
      </w:pPr>
      <w:r w:rsidRPr="00D94694">
        <w:rPr>
          <w:rFonts w:hint="cs"/>
          <w:i/>
          <w:sz w:val="23"/>
          <w:szCs w:val="23"/>
          <w:rtl/>
        </w:rPr>
        <w:t>از آنجا که انحراف معیار بازدهی، بزرگ</w:t>
      </w:r>
      <w:r w:rsidRPr="00D94694">
        <w:rPr>
          <w:i/>
          <w:sz w:val="23"/>
          <w:szCs w:val="23"/>
          <w:rtl/>
        </w:rPr>
        <w:softHyphen/>
      </w:r>
      <w:r w:rsidRPr="00D94694">
        <w:rPr>
          <w:rFonts w:hint="cs"/>
          <w:i/>
          <w:sz w:val="23"/>
          <w:szCs w:val="23"/>
          <w:rtl/>
        </w:rPr>
        <w:t>تر از سود انتظاری است، لذا این سرمایه</w:t>
      </w:r>
      <w:r w:rsidRPr="00D94694">
        <w:rPr>
          <w:i/>
          <w:sz w:val="23"/>
          <w:szCs w:val="23"/>
          <w:rtl/>
        </w:rPr>
        <w:softHyphen/>
      </w:r>
      <w:r w:rsidRPr="00D94694">
        <w:rPr>
          <w:rFonts w:hint="cs"/>
          <w:i/>
          <w:sz w:val="23"/>
          <w:szCs w:val="23"/>
          <w:rtl/>
        </w:rPr>
        <w:t xml:space="preserve">گذاری ریسکی است. </w:t>
      </w:r>
    </w:p>
    <w:p w14:paraId="16D7A806" w14:textId="77777777" w:rsidR="00411620" w:rsidRPr="00D94694" w:rsidRDefault="00411620" w:rsidP="00411620">
      <w:pPr>
        <w:spacing w:line="216" w:lineRule="auto"/>
        <w:rPr>
          <w:i/>
          <w:sz w:val="23"/>
          <w:szCs w:val="23"/>
          <w:rtl/>
        </w:rPr>
      </w:pPr>
      <w:r w:rsidRPr="00D94694">
        <w:rPr>
          <w:rFonts w:hint="cs"/>
          <w:i/>
          <w:sz w:val="23"/>
          <w:szCs w:val="23"/>
          <w:rtl/>
        </w:rPr>
        <w:t>پرتفوی دیگر، خرید اسناد خزانه</w:t>
      </w:r>
      <w:r w:rsidRPr="00D94694">
        <w:rPr>
          <w:i/>
          <w:sz w:val="23"/>
          <w:szCs w:val="23"/>
          <w:rtl/>
        </w:rPr>
        <w:softHyphen/>
      </w:r>
      <w:r w:rsidRPr="00D94694">
        <w:rPr>
          <w:rFonts w:hint="cs"/>
          <w:i/>
          <w:sz w:val="23"/>
          <w:szCs w:val="23"/>
          <w:rtl/>
        </w:rPr>
        <w:t>داری یک ساله با نرخ بهره</w:t>
      </w:r>
      <w:r w:rsidRPr="00D94694">
        <w:rPr>
          <w:i/>
          <w:sz w:val="23"/>
          <w:szCs w:val="23"/>
          <w:rtl/>
        </w:rPr>
        <w:softHyphen/>
      </w:r>
      <w:r w:rsidRPr="00D94694">
        <w:rPr>
          <w:rFonts w:hint="cs"/>
          <w:i/>
          <w:sz w:val="23"/>
          <w:szCs w:val="23"/>
          <w:rtl/>
        </w:rPr>
        <w:t>ی ۵ درصد است که سود مطمئن ۵ دلار در سال از آن بدست می</w:t>
      </w:r>
      <w:r w:rsidRPr="00D94694">
        <w:rPr>
          <w:i/>
          <w:sz w:val="23"/>
          <w:szCs w:val="23"/>
          <w:rtl/>
        </w:rPr>
        <w:softHyphen/>
      </w:r>
      <w:r w:rsidRPr="00D94694">
        <w:rPr>
          <w:rFonts w:hint="cs"/>
          <w:i/>
          <w:sz w:val="23"/>
          <w:szCs w:val="23"/>
          <w:rtl/>
        </w:rPr>
        <w:t>آید. بنابراین سود نهایی انتظاری پرتفوی ریسکی در مقابل اسناد خزانه که سرمایه</w:t>
      </w:r>
      <w:r w:rsidRPr="00D94694">
        <w:rPr>
          <w:i/>
          <w:sz w:val="23"/>
          <w:szCs w:val="23"/>
          <w:rtl/>
        </w:rPr>
        <w:softHyphen/>
      </w:r>
      <w:r w:rsidRPr="00D94694">
        <w:rPr>
          <w:rFonts w:hint="cs"/>
          <w:i/>
          <w:sz w:val="23"/>
          <w:szCs w:val="23"/>
          <w:rtl/>
        </w:rPr>
        <w:t>گذاری بدون ریسک و ایمن است، برابر خواهد بود با ۱۷=۵-۲۲ دلار، که نشان می</w:t>
      </w:r>
      <w:r w:rsidRPr="00D94694">
        <w:rPr>
          <w:i/>
          <w:sz w:val="23"/>
          <w:szCs w:val="23"/>
          <w:rtl/>
        </w:rPr>
        <w:softHyphen/>
      </w:r>
      <w:r w:rsidRPr="00D94694">
        <w:rPr>
          <w:rFonts w:hint="cs"/>
          <w:i/>
          <w:sz w:val="23"/>
          <w:szCs w:val="23"/>
          <w:rtl/>
        </w:rPr>
        <w:t>دهد سرمایه</w:t>
      </w:r>
      <w:r w:rsidRPr="00D94694">
        <w:rPr>
          <w:i/>
          <w:sz w:val="23"/>
          <w:szCs w:val="23"/>
          <w:rtl/>
        </w:rPr>
        <w:softHyphen/>
      </w:r>
      <w:r w:rsidRPr="00D94694">
        <w:rPr>
          <w:rFonts w:hint="cs"/>
          <w:i/>
          <w:sz w:val="23"/>
          <w:szCs w:val="23"/>
          <w:rtl/>
        </w:rPr>
        <w:t>گذاری در پروژه</w:t>
      </w:r>
      <w:r w:rsidRPr="00D94694">
        <w:rPr>
          <w:i/>
          <w:sz w:val="23"/>
          <w:szCs w:val="23"/>
          <w:rtl/>
        </w:rPr>
        <w:softHyphen/>
      </w:r>
      <w:r w:rsidRPr="00D94694">
        <w:rPr>
          <w:rFonts w:hint="cs"/>
          <w:i/>
          <w:sz w:val="23"/>
          <w:szCs w:val="23"/>
          <w:rtl/>
        </w:rPr>
        <w:t>ی یک و دو نیازمند ۱۷ دلار پاداش ریسک</w:t>
      </w:r>
      <w:r w:rsidRPr="00D94694">
        <w:rPr>
          <w:rStyle w:val="FootnoteReference"/>
          <w:rFonts w:eastAsiaTheme="majorEastAsia"/>
          <w:i/>
          <w:sz w:val="23"/>
          <w:szCs w:val="23"/>
          <w:rtl/>
        </w:rPr>
        <w:footnoteReference w:id="238"/>
      </w:r>
      <w:r w:rsidRPr="00D94694">
        <w:rPr>
          <w:rFonts w:hint="cs"/>
          <w:i/>
          <w:sz w:val="23"/>
          <w:szCs w:val="23"/>
          <w:rtl/>
        </w:rPr>
        <w:t xml:space="preserve"> و یا غرامت جهت پذیرش ریسک سرمایه</w:t>
      </w:r>
      <w:r w:rsidRPr="00D94694">
        <w:rPr>
          <w:i/>
          <w:sz w:val="23"/>
          <w:szCs w:val="23"/>
          <w:rtl/>
        </w:rPr>
        <w:softHyphen/>
      </w:r>
      <w:r w:rsidRPr="00D94694">
        <w:rPr>
          <w:rFonts w:hint="cs"/>
          <w:i/>
          <w:sz w:val="23"/>
          <w:szCs w:val="23"/>
          <w:rtl/>
        </w:rPr>
        <w:t xml:space="preserve">گذاری است. </w:t>
      </w:r>
    </w:p>
    <w:p w14:paraId="6A55BF06" w14:textId="77777777" w:rsidR="00411620" w:rsidRPr="00D94694" w:rsidRDefault="00411620" w:rsidP="00411620">
      <w:pPr>
        <w:spacing w:line="216" w:lineRule="auto"/>
        <w:rPr>
          <w:i/>
          <w:sz w:val="23"/>
          <w:szCs w:val="23"/>
          <w:rtl/>
        </w:rPr>
      </w:pPr>
      <w:r w:rsidRPr="00D94694">
        <w:rPr>
          <w:rFonts w:hint="cs"/>
          <w:i/>
          <w:sz w:val="23"/>
          <w:szCs w:val="23"/>
          <w:rtl/>
        </w:rPr>
        <w:t>حال چنانچه فرض کنیم ثروت اولیه</w:t>
      </w:r>
      <w:r w:rsidRPr="00D94694">
        <w:rPr>
          <w:position w:val="-8"/>
        </w:rPr>
        <w:object w:dxaOrig="960" w:dyaOrig="279" w14:anchorId="08CFC8C3">
          <v:shape id="_x0000_i4671" type="#_x0000_t75" style="width:47.8pt;height:13.9pt" o:ole="">
            <v:imagedata r:id="rId7340" o:title=""/>
          </v:shape>
          <o:OLEObject Type="Embed" ProgID="Equation.DSMT4" ShapeID="_x0000_i4671" DrawAspect="Content" ObjectID="_1791378615" r:id="rId7341"/>
        </w:object>
      </w:r>
      <w:r w:rsidRPr="00D94694">
        <w:rPr>
          <w:rFonts w:hint="cs"/>
          <w:i/>
          <w:sz w:val="23"/>
          <w:szCs w:val="23"/>
          <w:rtl/>
        </w:rPr>
        <w:t>، و</w:t>
      </w:r>
      <w:r w:rsidRPr="00D94694">
        <w:rPr>
          <w:position w:val="-10"/>
        </w:rPr>
        <w:object w:dxaOrig="999" w:dyaOrig="320" w14:anchorId="26558F72">
          <v:shape id="_x0000_i4672" type="#_x0000_t75" style="width:50.2pt;height:15.75pt" o:ole="">
            <v:imagedata r:id="rId7342" o:title=""/>
          </v:shape>
          <o:OLEObject Type="Embed" ProgID="Equation.DSMT4" ShapeID="_x0000_i4672" DrawAspect="Content" ObjectID="_1791378616" r:id="rId7343"/>
        </w:object>
      </w:r>
      <w:r w:rsidRPr="00D94694">
        <w:rPr>
          <w:rFonts w:hint="cs"/>
          <w:i/>
          <w:sz w:val="23"/>
          <w:szCs w:val="23"/>
          <w:rtl/>
        </w:rPr>
        <w:t xml:space="preserve"> با احتمال وقوع</w:t>
      </w:r>
      <w:r w:rsidRPr="00D94694">
        <w:rPr>
          <w:position w:val="-8"/>
        </w:rPr>
        <w:object w:dxaOrig="720" w:dyaOrig="279" w14:anchorId="3B6CE181">
          <v:shape id="_x0000_i4673" type="#_x0000_t75" style="width:36.3pt;height:13.9pt" o:ole="">
            <v:imagedata r:id="rId7344" o:title=""/>
          </v:shape>
          <o:OLEObject Type="Embed" ProgID="Equation.DSMT4" ShapeID="_x0000_i4673" DrawAspect="Content" ObjectID="_1791378617" r:id="rId7345"/>
        </w:object>
      </w:r>
      <w:r w:rsidRPr="00D94694">
        <w:rPr>
          <w:rFonts w:hint="cs"/>
          <w:i/>
          <w:sz w:val="23"/>
          <w:szCs w:val="23"/>
          <w:rtl/>
        </w:rPr>
        <w:t xml:space="preserve">، و </w:t>
      </w:r>
      <w:r w:rsidRPr="00D94694">
        <w:rPr>
          <w:position w:val="-10"/>
        </w:rPr>
        <w:object w:dxaOrig="900" w:dyaOrig="320" w14:anchorId="5B13EA94">
          <v:shape id="_x0000_i4674" type="#_x0000_t75" style="width:45.4pt;height:15.75pt" o:ole="">
            <v:imagedata r:id="rId7346" o:title=""/>
          </v:shape>
          <o:OLEObject Type="Embed" ProgID="Equation.DSMT4" ShapeID="_x0000_i4674" DrawAspect="Content" ObjectID="_1791378618" r:id="rId7347"/>
        </w:object>
      </w:r>
      <w:r w:rsidRPr="00D94694">
        <w:rPr>
          <w:rFonts w:hint="cs"/>
          <w:i/>
          <w:sz w:val="23"/>
          <w:szCs w:val="23"/>
          <w:rtl/>
        </w:rPr>
        <w:t xml:space="preserve"> با احتمال وقوع آن </w:t>
      </w:r>
      <w:r w:rsidRPr="00D94694">
        <w:rPr>
          <w:position w:val="-8"/>
        </w:rPr>
        <w:object w:dxaOrig="999" w:dyaOrig="279" w14:anchorId="261B0C01">
          <v:shape id="_x0000_i4675" type="#_x0000_t75" style="width:50.2pt;height:13.9pt" o:ole="">
            <v:imagedata r:id="rId7348" o:title=""/>
          </v:shape>
          <o:OLEObject Type="Embed" ProgID="Equation.DSMT4" ShapeID="_x0000_i4675" DrawAspect="Content" ObjectID="_1791378619" r:id="rId7349"/>
        </w:object>
      </w:r>
      <w:r w:rsidRPr="00D94694">
        <w:rPr>
          <w:rFonts w:hint="cs"/>
          <w:i/>
          <w:sz w:val="23"/>
          <w:szCs w:val="23"/>
          <w:rtl/>
        </w:rPr>
        <w:t xml:space="preserve"> باشد، ‌آنگاه میانگین ثروت و یا ثروت انتظاری یک ساله</w:t>
      </w:r>
      <w:r w:rsidRPr="00D94694">
        <w:rPr>
          <w:i/>
          <w:sz w:val="23"/>
          <w:szCs w:val="23"/>
          <w:rtl/>
        </w:rPr>
        <w:softHyphen/>
      </w:r>
      <w:r w:rsidRPr="00D94694">
        <w:rPr>
          <w:rFonts w:hint="cs"/>
          <w:i/>
          <w:sz w:val="23"/>
          <w:szCs w:val="23"/>
          <w:rtl/>
        </w:rPr>
        <w:t>ی این پرتفو برابر است با</w:t>
      </w:r>
      <w:r w:rsidRPr="00D94694">
        <w:rPr>
          <w:i/>
          <w:sz w:val="23"/>
          <w:szCs w:val="23"/>
        </w:rPr>
        <w:t xml:space="preserve"> </w:t>
      </w:r>
      <w:r w:rsidRPr="00D94694">
        <w:rPr>
          <w:rFonts w:hint="cs"/>
          <w:i/>
          <w:sz w:val="23"/>
          <w:szCs w:val="23"/>
          <w:rtl/>
        </w:rPr>
        <w:t>صفر. سود انتظاری این پرتفو برابر صفر است و این سرمایه</w:t>
      </w:r>
      <w:r w:rsidRPr="00D94694">
        <w:rPr>
          <w:i/>
          <w:sz w:val="23"/>
          <w:szCs w:val="23"/>
          <w:rtl/>
        </w:rPr>
        <w:softHyphen/>
      </w:r>
      <w:r w:rsidRPr="00D94694">
        <w:rPr>
          <w:rFonts w:hint="cs"/>
          <w:i/>
          <w:sz w:val="23"/>
          <w:szCs w:val="23"/>
          <w:rtl/>
        </w:rPr>
        <w:t>گذاری نیز ریسکی است. امّا چنانچه ارزش مطلوبیت تغییرات ثروت سرمایه</w:t>
      </w:r>
      <w:r w:rsidRPr="00D94694">
        <w:rPr>
          <w:i/>
          <w:sz w:val="23"/>
          <w:szCs w:val="23"/>
          <w:rtl/>
        </w:rPr>
        <w:softHyphen/>
      </w:r>
      <w:r w:rsidRPr="00D94694">
        <w:rPr>
          <w:rFonts w:hint="cs"/>
          <w:i/>
          <w:sz w:val="23"/>
          <w:szCs w:val="23"/>
          <w:rtl/>
        </w:rPr>
        <w:t>گذار از یک تابع مطلوبیت لگاریتمی بدست آید، آنگاه مطلوبیت افزایش۵۰ دلار در ثروت، برابر با مطلوبیت۵۰ دلار کاهش در ثروت نیست. در این مثال خاص در صورت افزایش ثروت، افزایش مطلوبیت سرمایه</w:t>
      </w:r>
      <w:r w:rsidRPr="00D94694">
        <w:rPr>
          <w:i/>
          <w:sz w:val="23"/>
          <w:szCs w:val="23"/>
          <w:rtl/>
        </w:rPr>
        <w:softHyphen/>
      </w:r>
      <w:r w:rsidRPr="00D94694">
        <w:rPr>
          <w:rFonts w:hint="cs"/>
          <w:i/>
          <w:sz w:val="23"/>
          <w:szCs w:val="23"/>
          <w:rtl/>
        </w:rPr>
        <w:t>گذار برابر است با</w:t>
      </w:r>
    </w:p>
    <w:p w14:paraId="768E4901" w14:textId="77777777" w:rsidR="00411620" w:rsidRPr="00D94694" w:rsidRDefault="00411620" w:rsidP="00411620">
      <w:pPr>
        <w:bidi w:val="0"/>
        <w:spacing w:line="216" w:lineRule="auto"/>
        <w:rPr>
          <w:i/>
          <w:sz w:val="23"/>
          <w:szCs w:val="23"/>
        </w:rPr>
      </w:pPr>
      <w:r w:rsidRPr="00D94694">
        <w:rPr>
          <w:position w:val="-8"/>
        </w:rPr>
        <w:object w:dxaOrig="3739" w:dyaOrig="279" w14:anchorId="76A84CD7">
          <v:shape id="_x0000_i4676" type="#_x0000_t75" style="width:186.95pt;height:13.9pt" o:ole="">
            <v:imagedata r:id="rId7350" o:title=""/>
          </v:shape>
          <o:OLEObject Type="Embed" ProgID="Equation.DSMT4" ShapeID="_x0000_i4676" DrawAspect="Content" ObjectID="_1791378620" r:id="rId7351"/>
        </w:object>
      </w:r>
    </w:p>
    <w:p w14:paraId="4B93A6EB" w14:textId="77777777" w:rsidR="00411620" w:rsidRPr="00D94694" w:rsidRDefault="00411620" w:rsidP="00411620">
      <w:pPr>
        <w:spacing w:line="216" w:lineRule="auto"/>
        <w:rPr>
          <w:i/>
          <w:sz w:val="23"/>
          <w:szCs w:val="23"/>
          <w:rtl/>
        </w:rPr>
      </w:pPr>
      <w:r w:rsidRPr="00D94694">
        <w:rPr>
          <w:rFonts w:hint="cs"/>
          <w:i/>
          <w:sz w:val="23"/>
          <w:szCs w:val="23"/>
          <w:rtl/>
        </w:rPr>
        <w:t>و مطلوبیت انتظاری آن برابر خواهد بود با</w:t>
      </w:r>
      <w:r w:rsidRPr="00D94694">
        <w:rPr>
          <w:position w:val="-10"/>
        </w:rPr>
        <w:object w:dxaOrig="1060" w:dyaOrig="320" w14:anchorId="3198C313">
          <v:shape id="_x0000_i4677" type="#_x0000_t75" style="width:53.25pt;height:15.75pt" o:ole="">
            <v:imagedata r:id="rId7352" o:title=""/>
          </v:shape>
          <o:OLEObject Type="Embed" ProgID="Equation.DSMT4" ShapeID="_x0000_i4677" DrawAspect="Content" ObjectID="_1791378621" r:id="rId7353"/>
        </w:object>
      </w:r>
      <w:r w:rsidRPr="00D94694">
        <w:rPr>
          <w:i/>
          <w:sz w:val="23"/>
          <w:szCs w:val="23"/>
        </w:rPr>
        <w:t>.</w:t>
      </w:r>
      <w:r w:rsidRPr="00D94694">
        <w:rPr>
          <w:rFonts w:hint="cs"/>
          <w:i/>
          <w:sz w:val="23"/>
          <w:szCs w:val="23"/>
          <w:rtl/>
        </w:rPr>
        <w:t xml:space="preserve"> و در صورت کاهش ثروت، کاهش مطلوبیت سرمایه</w:t>
      </w:r>
      <w:r w:rsidRPr="00D94694">
        <w:rPr>
          <w:i/>
          <w:sz w:val="23"/>
          <w:szCs w:val="23"/>
          <w:rtl/>
        </w:rPr>
        <w:softHyphen/>
      </w:r>
      <w:r w:rsidRPr="00D94694">
        <w:rPr>
          <w:rFonts w:hint="cs"/>
          <w:i/>
          <w:sz w:val="23"/>
          <w:szCs w:val="23"/>
          <w:rtl/>
        </w:rPr>
        <w:t>گذار برابر خواهد بود با</w:t>
      </w:r>
    </w:p>
    <w:p w14:paraId="7A777370" w14:textId="77777777" w:rsidR="00411620" w:rsidRPr="00D94694" w:rsidRDefault="00411620" w:rsidP="00411620">
      <w:pPr>
        <w:bidi w:val="0"/>
        <w:spacing w:line="216" w:lineRule="auto"/>
        <w:rPr>
          <w:i/>
          <w:sz w:val="23"/>
          <w:szCs w:val="23"/>
          <w:rtl/>
        </w:rPr>
      </w:pPr>
      <w:r w:rsidRPr="00D94694">
        <w:rPr>
          <w:position w:val="-8"/>
        </w:rPr>
        <w:object w:dxaOrig="3400" w:dyaOrig="279" w14:anchorId="4C808A31">
          <v:shape id="_x0000_i4678" type="#_x0000_t75" style="width:170pt;height:13.9pt" o:ole="">
            <v:imagedata r:id="rId7354" o:title=""/>
          </v:shape>
          <o:OLEObject Type="Embed" ProgID="Equation.DSMT4" ShapeID="_x0000_i4678" DrawAspect="Content" ObjectID="_1791378622" r:id="rId7355"/>
        </w:object>
      </w:r>
    </w:p>
    <w:p w14:paraId="5394895F" w14:textId="77777777" w:rsidR="00411620" w:rsidRPr="00D94694" w:rsidRDefault="00411620" w:rsidP="00411620">
      <w:pPr>
        <w:spacing w:line="216" w:lineRule="auto"/>
        <w:rPr>
          <w:i/>
          <w:sz w:val="23"/>
          <w:szCs w:val="23"/>
          <w:rtl/>
        </w:rPr>
      </w:pPr>
      <w:r w:rsidRPr="00D94694">
        <w:rPr>
          <w:rFonts w:hint="cs"/>
          <w:i/>
          <w:sz w:val="23"/>
          <w:szCs w:val="23"/>
          <w:rtl/>
        </w:rPr>
        <w:t>و مطلوبیت انتظاری آن برابر خواهد بود با</w:t>
      </w:r>
      <w:r w:rsidRPr="00D94694">
        <w:rPr>
          <w:position w:val="-10"/>
        </w:rPr>
        <w:object w:dxaOrig="1060" w:dyaOrig="320" w14:anchorId="7A424EEB">
          <v:shape id="_x0000_i4679" type="#_x0000_t75" style="width:53.25pt;height:15.75pt" o:ole="">
            <v:imagedata r:id="rId7356" o:title=""/>
          </v:shape>
          <o:OLEObject Type="Embed" ProgID="Equation.DSMT4" ShapeID="_x0000_i4679" DrawAspect="Content" ObjectID="_1791378623" r:id="rId7357"/>
        </w:object>
      </w:r>
      <w:r w:rsidRPr="00D94694">
        <w:rPr>
          <w:i/>
          <w:sz w:val="23"/>
          <w:szCs w:val="23"/>
        </w:rPr>
        <w:t>.</w:t>
      </w:r>
      <w:r w:rsidRPr="00D94694">
        <w:rPr>
          <w:rFonts w:hint="cs"/>
          <w:i/>
          <w:sz w:val="23"/>
          <w:szCs w:val="23"/>
          <w:rtl/>
        </w:rPr>
        <w:t xml:space="preserve"> بنابراین مطلوبیت انتظاری این پرتفو برابر است با</w:t>
      </w:r>
    </w:p>
    <w:p w14:paraId="0466DAC1" w14:textId="77777777" w:rsidR="00411620" w:rsidRPr="00D94694" w:rsidRDefault="00411620" w:rsidP="00411620">
      <w:pPr>
        <w:bidi w:val="0"/>
        <w:spacing w:line="216" w:lineRule="auto"/>
        <w:rPr>
          <w:i/>
          <w:sz w:val="23"/>
          <w:szCs w:val="23"/>
        </w:rPr>
      </w:pPr>
      <w:r w:rsidRPr="00D94694">
        <w:rPr>
          <w:position w:val="-22"/>
        </w:rPr>
        <w:object w:dxaOrig="6039" w:dyaOrig="560" w14:anchorId="5CDA7465">
          <v:shape id="_x0000_i4680" type="#_x0000_t75" style="width:301.9pt;height:27.85pt" o:ole="">
            <v:imagedata r:id="rId7358" o:title=""/>
          </v:shape>
          <o:OLEObject Type="Embed" ProgID="Equation.DSMT4" ShapeID="_x0000_i4680" DrawAspect="Content" ObjectID="_1791378624" r:id="rId7359"/>
        </w:object>
      </w:r>
    </w:p>
    <w:p w14:paraId="78E2DE66" w14:textId="77777777" w:rsidR="00411620" w:rsidRPr="00D94694" w:rsidRDefault="00411620" w:rsidP="00411620">
      <w:pPr>
        <w:spacing w:line="216" w:lineRule="auto"/>
        <w:rPr>
          <w:i/>
          <w:sz w:val="23"/>
          <w:szCs w:val="23"/>
          <w:rtl/>
        </w:rPr>
      </w:pPr>
      <w:r w:rsidRPr="00D94694">
        <w:rPr>
          <w:rFonts w:hint="cs"/>
          <w:i/>
          <w:sz w:val="23"/>
          <w:szCs w:val="23"/>
          <w:rtl/>
        </w:rPr>
        <w:t>درحالی</w:t>
      </w:r>
      <w:r w:rsidRPr="00D94694">
        <w:rPr>
          <w:i/>
          <w:sz w:val="23"/>
          <w:szCs w:val="23"/>
          <w:rtl/>
        </w:rPr>
        <w:softHyphen/>
      </w:r>
      <w:r w:rsidRPr="00D94694">
        <w:rPr>
          <w:rFonts w:hint="cs"/>
          <w:i/>
          <w:sz w:val="23"/>
          <w:szCs w:val="23"/>
          <w:rtl/>
        </w:rPr>
        <w:t>که مطلوبیت قطعی حاصل از عدم سرمایه</w:t>
      </w:r>
      <w:r w:rsidRPr="00D94694">
        <w:rPr>
          <w:i/>
          <w:sz w:val="23"/>
          <w:szCs w:val="23"/>
          <w:rtl/>
        </w:rPr>
        <w:softHyphen/>
      </w:r>
      <w:r w:rsidRPr="00D94694">
        <w:rPr>
          <w:rFonts w:hint="cs"/>
          <w:i/>
          <w:sz w:val="23"/>
          <w:szCs w:val="23"/>
          <w:rtl/>
        </w:rPr>
        <w:t xml:space="preserve">گذاری برابر است با </w:t>
      </w:r>
      <w:r w:rsidRPr="00D94694">
        <w:rPr>
          <w:position w:val="-14"/>
        </w:rPr>
        <w:object w:dxaOrig="2420" w:dyaOrig="380" w14:anchorId="43B03D9A">
          <v:shape id="_x0000_i4681" type="#_x0000_t75" style="width:121pt;height:18.75pt" o:ole="">
            <v:imagedata r:id="rId7360" o:title=""/>
          </v:shape>
          <o:OLEObject Type="Embed" ProgID="Equation.DSMT4" ShapeID="_x0000_i4681" DrawAspect="Content" ObjectID="_1791378625" r:id="rId7361"/>
        </w:object>
      </w:r>
      <w:r w:rsidRPr="00D94694">
        <w:rPr>
          <w:rFonts w:hint="cs"/>
          <w:i/>
          <w:sz w:val="23"/>
          <w:szCs w:val="23"/>
          <w:rtl/>
        </w:rPr>
        <w:t xml:space="preserve"> که بزرگتر از مطلوبیت انتظاری پرتفو یا سرمایه</w:t>
      </w:r>
      <w:r w:rsidRPr="00D94694">
        <w:rPr>
          <w:i/>
          <w:sz w:val="23"/>
          <w:szCs w:val="23"/>
          <w:rtl/>
        </w:rPr>
        <w:softHyphen/>
      </w:r>
      <w:r w:rsidRPr="00D94694">
        <w:rPr>
          <w:rFonts w:hint="cs"/>
          <w:i/>
          <w:sz w:val="23"/>
          <w:szCs w:val="23"/>
          <w:rtl/>
        </w:rPr>
        <w:t xml:space="preserve">گذاری با سود انتظاری صفر یا منصفانه با </w:t>
      </w:r>
      <w:r w:rsidRPr="00D94694">
        <w:rPr>
          <w:position w:val="-14"/>
        </w:rPr>
        <w:object w:dxaOrig="1640" w:dyaOrig="380" w14:anchorId="5B3820E6">
          <v:shape id="_x0000_i4682" type="#_x0000_t75" style="width:82.3pt;height:18.75pt" o:ole="">
            <v:imagedata r:id="rId7362" o:title=""/>
          </v:shape>
          <o:OLEObject Type="Embed" ProgID="Equation.DSMT4" ShapeID="_x0000_i4682" DrawAspect="Content" ObjectID="_1791378626" r:id="rId7363"/>
        </w:object>
      </w:r>
      <w:r w:rsidRPr="00D94694">
        <w:rPr>
          <w:i/>
          <w:sz w:val="23"/>
          <w:szCs w:val="23"/>
        </w:rPr>
        <w:t xml:space="preserve"> </w:t>
      </w:r>
      <w:r w:rsidRPr="00D94694">
        <w:rPr>
          <w:rFonts w:hint="cs"/>
          <w:i/>
          <w:sz w:val="23"/>
          <w:szCs w:val="23"/>
          <w:rtl/>
        </w:rPr>
        <w:t>است. بنابراین سرمایه</w:t>
      </w:r>
      <w:r w:rsidRPr="00D94694">
        <w:rPr>
          <w:i/>
          <w:sz w:val="23"/>
          <w:szCs w:val="23"/>
          <w:rtl/>
        </w:rPr>
        <w:softHyphen/>
      </w:r>
      <w:r w:rsidRPr="00D94694">
        <w:rPr>
          <w:rFonts w:hint="cs"/>
          <w:i/>
          <w:sz w:val="23"/>
          <w:szCs w:val="23"/>
          <w:rtl/>
        </w:rPr>
        <w:t>گذار ریسک</w:t>
      </w:r>
      <w:r w:rsidRPr="00D94694">
        <w:rPr>
          <w:i/>
          <w:sz w:val="23"/>
          <w:szCs w:val="23"/>
          <w:rtl/>
        </w:rPr>
        <w:softHyphen/>
      </w:r>
      <w:r w:rsidRPr="00D94694">
        <w:rPr>
          <w:rFonts w:hint="cs"/>
          <w:i/>
          <w:sz w:val="23"/>
          <w:szCs w:val="23"/>
          <w:rtl/>
        </w:rPr>
        <w:t>گریز این سرمایه</w:t>
      </w:r>
      <w:r w:rsidRPr="00D94694">
        <w:rPr>
          <w:i/>
          <w:sz w:val="23"/>
          <w:szCs w:val="23"/>
          <w:rtl/>
        </w:rPr>
        <w:softHyphen/>
      </w:r>
      <w:r w:rsidRPr="00D94694">
        <w:rPr>
          <w:rFonts w:hint="cs"/>
          <w:i/>
          <w:sz w:val="23"/>
          <w:szCs w:val="23"/>
          <w:rtl/>
        </w:rPr>
        <w:t>گذاری منصفانه را رد خواهد کرد.</w:t>
      </w:r>
    </w:p>
    <w:p w14:paraId="327AE96A" w14:textId="77777777" w:rsidR="00411620" w:rsidRPr="00D94694" w:rsidRDefault="00411620" w:rsidP="00411620">
      <w:pPr>
        <w:spacing w:line="216" w:lineRule="auto"/>
        <w:rPr>
          <w:i/>
          <w:sz w:val="23"/>
          <w:szCs w:val="23"/>
          <w:rtl/>
        </w:rPr>
      </w:pPr>
      <w:r w:rsidRPr="00D94694">
        <w:rPr>
          <w:rFonts w:hint="cs"/>
          <w:i/>
          <w:sz w:val="23"/>
          <w:szCs w:val="23"/>
          <w:rtl/>
        </w:rPr>
        <w:t>بطورخلاصه، اگر یک سرمایه</w:t>
      </w:r>
      <w:r w:rsidRPr="00D94694">
        <w:rPr>
          <w:i/>
          <w:sz w:val="23"/>
          <w:szCs w:val="23"/>
          <w:rtl/>
        </w:rPr>
        <w:softHyphen/>
      </w:r>
      <w:r w:rsidRPr="00D94694">
        <w:rPr>
          <w:rFonts w:hint="cs"/>
          <w:i/>
          <w:sz w:val="23"/>
          <w:szCs w:val="23"/>
          <w:rtl/>
        </w:rPr>
        <w:t>گذاریِ با عایدی</w:t>
      </w:r>
      <w:r w:rsidRPr="00D94694">
        <w:rPr>
          <w:rStyle w:val="FootnoteReference"/>
          <w:rFonts w:eastAsiaTheme="majorEastAsia"/>
          <w:i/>
          <w:sz w:val="23"/>
          <w:szCs w:val="23"/>
          <w:rtl/>
        </w:rPr>
        <w:footnoteReference w:id="239"/>
      </w:r>
      <w:r w:rsidRPr="00D94694">
        <w:rPr>
          <w:rFonts w:hint="cs"/>
          <w:i/>
          <w:sz w:val="23"/>
          <w:szCs w:val="23"/>
          <w:rtl/>
        </w:rPr>
        <w:t xml:space="preserve"> (ارزش ثروت</w:t>
      </w:r>
      <w:r w:rsidRPr="00D94694">
        <w:rPr>
          <w:position w:val="-6"/>
        </w:rPr>
        <w:object w:dxaOrig="279" w:dyaOrig="260" w14:anchorId="1352FD3C">
          <v:shape id="_x0000_i4683" type="#_x0000_t75" style="width:13.9pt;height:13.3pt" o:ole="">
            <v:imagedata r:id="rId7364" o:title=""/>
          </v:shape>
          <o:OLEObject Type="Embed" ProgID="Equation.DSMT4" ShapeID="_x0000_i4683" DrawAspect="Content" ObjectID="_1791378627" r:id="rId7365"/>
        </w:object>
      </w:r>
      <w:r w:rsidRPr="00D94694">
        <w:rPr>
          <w:rFonts w:hint="cs"/>
          <w:i/>
          <w:sz w:val="23"/>
          <w:szCs w:val="23"/>
          <w:rtl/>
        </w:rPr>
        <w:t xml:space="preserve"> پس از سرمایه</w:t>
      </w:r>
      <w:r w:rsidRPr="00D94694">
        <w:rPr>
          <w:i/>
          <w:sz w:val="23"/>
          <w:szCs w:val="23"/>
          <w:rtl/>
        </w:rPr>
        <w:softHyphen/>
      </w:r>
      <w:r w:rsidRPr="00D94694">
        <w:rPr>
          <w:rFonts w:hint="cs"/>
          <w:i/>
          <w:sz w:val="23"/>
          <w:szCs w:val="23"/>
          <w:rtl/>
        </w:rPr>
        <w:t>گذاری) تصادفی را در نظر بگیریم،</w:t>
      </w:r>
      <w:r w:rsidRPr="00D94694">
        <w:rPr>
          <w:i/>
          <w:sz w:val="23"/>
          <w:szCs w:val="23"/>
        </w:rPr>
        <w:t xml:space="preserve"> </w:t>
      </w:r>
      <w:r w:rsidRPr="00D94694">
        <w:rPr>
          <w:rFonts w:hint="cs"/>
          <w:i/>
          <w:sz w:val="23"/>
          <w:szCs w:val="23"/>
          <w:rtl/>
        </w:rPr>
        <w:t>که در آن دو امکان وقوع</w:t>
      </w:r>
      <w:r w:rsidRPr="00D94694">
        <w:rPr>
          <w:position w:val="-10"/>
        </w:rPr>
        <w:object w:dxaOrig="300" w:dyaOrig="320" w14:anchorId="71C9ACED">
          <v:shape id="_x0000_i4684" type="#_x0000_t75" style="width:15.15pt;height:15.75pt" o:ole="">
            <v:imagedata r:id="rId7366" o:title=""/>
          </v:shape>
          <o:OLEObject Type="Embed" ProgID="Equation.DSMT4" ShapeID="_x0000_i4684" DrawAspect="Content" ObjectID="_1791378628" r:id="rId7367"/>
        </w:object>
      </w:r>
      <w:r w:rsidRPr="00D94694">
        <w:rPr>
          <w:i/>
          <w:sz w:val="23"/>
          <w:szCs w:val="23"/>
          <w:rtl/>
        </w:rPr>
        <w:t xml:space="preserve"> </w:t>
      </w:r>
      <w:r w:rsidRPr="00D94694">
        <w:rPr>
          <w:rFonts w:hint="cs"/>
          <w:i/>
          <w:sz w:val="23"/>
          <w:szCs w:val="23"/>
          <w:rtl/>
        </w:rPr>
        <w:t>و</w:t>
      </w:r>
      <w:r w:rsidRPr="00D94694">
        <w:rPr>
          <w:position w:val="-10"/>
        </w:rPr>
        <w:object w:dxaOrig="300" w:dyaOrig="320" w14:anchorId="60FC00E6">
          <v:shape id="_x0000_i4685" type="#_x0000_t75" style="width:15.15pt;height:15.75pt" o:ole="">
            <v:imagedata r:id="rId7368" o:title=""/>
          </v:shape>
          <o:OLEObject Type="Embed" ProgID="Equation.DSMT4" ShapeID="_x0000_i4685" DrawAspect="Content" ObjectID="_1791378629" r:id="rId7369"/>
        </w:object>
      </w:r>
      <w:r w:rsidRPr="00D94694">
        <w:rPr>
          <w:rFonts w:hint="cs"/>
          <w:i/>
          <w:sz w:val="23"/>
          <w:szCs w:val="23"/>
          <w:rtl/>
        </w:rPr>
        <w:t>، و دو احتمال وقوع</w:t>
      </w:r>
      <w:r w:rsidRPr="00D94694">
        <w:rPr>
          <w:position w:val="-8"/>
        </w:rPr>
        <w:object w:dxaOrig="220" w:dyaOrig="220" w14:anchorId="3EBB5AAF">
          <v:shape id="_x0000_i4686" type="#_x0000_t75" style="width:10.9pt;height:10.9pt" o:ole="">
            <v:imagedata r:id="rId7370" o:title=""/>
          </v:shape>
          <o:OLEObject Type="Embed" ProgID="Equation.DSMT4" ShapeID="_x0000_i4686" DrawAspect="Content" ObjectID="_1791378630" r:id="rId7371"/>
        </w:object>
      </w:r>
      <w:r w:rsidRPr="00D94694">
        <w:rPr>
          <w:rFonts w:hint="cs"/>
          <w:i/>
          <w:sz w:val="23"/>
          <w:szCs w:val="23"/>
          <w:rtl/>
        </w:rPr>
        <w:t xml:space="preserve"> و</w:t>
      </w:r>
      <w:r w:rsidRPr="00D94694">
        <w:rPr>
          <w:position w:val="-12"/>
        </w:rPr>
        <w:object w:dxaOrig="660" w:dyaOrig="360" w14:anchorId="3492D154">
          <v:shape id="_x0000_i4687" type="#_x0000_t75" style="width:32.65pt;height:18.15pt" o:ole="">
            <v:imagedata r:id="rId7372" o:title=""/>
          </v:shape>
          <o:OLEObject Type="Embed" ProgID="Equation.DSMT4" ShapeID="_x0000_i4687" DrawAspect="Content" ObjectID="_1791378631" r:id="rId7373"/>
        </w:object>
      </w:r>
      <w:r w:rsidRPr="00D94694">
        <w:rPr>
          <w:rFonts w:hint="cs"/>
          <w:i/>
          <w:sz w:val="23"/>
          <w:szCs w:val="23"/>
          <w:rtl/>
        </w:rPr>
        <w:t xml:space="preserve"> وجود داشته باشد، سئوال این است که آیا می‌بایست از این سرمایه</w:t>
      </w:r>
      <w:r w:rsidRPr="00D94694">
        <w:rPr>
          <w:i/>
          <w:sz w:val="23"/>
          <w:szCs w:val="23"/>
          <w:rtl/>
        </w:rPr>
        <w:softHyphen/>
      </w:r>
      <w:r w:rsidRPr="00D94694">
        <w:rPr>
          <w:rFonts w:hint="cs"/>
          <w:i/>
          <w:sz w:val="23"/>
          <w:szCs w:val="23"/>
          <w:rtl/>
        </w:rPr>
        <w:t>گذاری اجتناب کرد و ارزش قطعی آماری آن یعنی متوسط ارزش یا ارزش انتظاری سرمایه</w:t>
      </w:r>
      <w:r w:rsidRPr="00D94694">
        <w:rPr>
          <w:i/>
          <w:sz w:val="23"/>
          <w:szCs w:val="23"/>
          <w:rtl/>
        </w:rPr>
        <w:softHyphen/>
      </w:r>
      <w:r w:rsidRPr="00D94694">
        <w:rPr>
          <w:rFonts w:hint="cs"/>
          <w:i/>
          <w:sz w:val="23"/>
          <w:szCs w:val="23"/>
          <w:rtl/>
        </w:rPr>
        <w:t>گذاری را دریافت کرد، و یا این</w:t>
      </w:r>
      <w:r w:rsidRPr="00D94694">
        <w:rPr>
          <w:i/>
          <w:sz w:val="23"/>
          <w:szCs w:val="23"/>
          <w:rtl/>
        </w:rPr>
        <w:softHyphen/>
      </w:r>
      <w:r w:rsidRPr="00D94694">
        <w:rPr>
          <w:rFonts w:hint="cs"/>
          <w:i/>
          <w:sz w:val="23"/>
          <w:szCs w:val="23"/>
          <w:rtl/>
        </w:rPr>
        <w:t>که سرمایه</w:t>
      </w:r>
      <w:r w:rsidRPr="00D94694">
        <w:rPr>
          <w:i/>
          <w:sz w:val="23"/>
          <w:szCs w:val="23"/>
          <w:rtl/>
        </w:rPr>
        <w:softHyphen/>
      </w:r>
      <w:r w:rsidRPr="00D94694">
        <w:rPr>
          <w:rFonts w:hint="cs"/>
          <w:i/>
          <w:sz w:val="23"/>
          <w:szCs w:val="23"/>
          <w:rtl/>
        </w:rPr>
        <w:t>گذاری را با عنایت به نتایج نامطئن آن پذیرفت. فردی که سرمایه</w:t>
      </w:r>
      <w:r w:rsidRPr="00D94694">
        <w:rPr>
          <w:i/>
          <w:sz w:val="23"/>
          <w:szCs w:val="23"/>
          <w:rtl/>
        </w:rPr>
        <w:softHyphen/>
      </w:r>
      <w:r w:rsidRPr="00D94694">
        <w:rPr>
          <w:rFonts w:hint="cs"/>
          <w:i/>
          <w:sz w:val="23"/>
          <w:szCs w:val="23"/>
          <w:rtl/>
        </w:rPr>
        <w:t>گذاری را می‌پذیرد ریسک</w:t>
      </w:r>
      <w:r w:rsidRPr="00D94694">
        <w:rPr>
          <w:i/>
          <w:sz w:val="23"/>
          <w:szCs w:val="23"/>
          <w:rtl/>
        </w:rPr>
        <w:softHyphen/>
      </w:r>
      <w:r w:rsidRPr="00D94694">
        <w:rPr>
          <w:rFonts w:hint="cs"/>
          <w:i/>
          <w:sz w:val="23"/>
          <w:szCs w:val="23"/>
          <w:rtl/>
        </w:rPr>
        <w:t xml:space="preserve">پذیر، شخصی که نسبت به </w:t>
      </w:r>
      <w:r w:rsidRPr="00D94694">
        <w:rPr>
          <w:rFonts w:hint="cs"/>
          <w:i/>
          <w:sz w:val="23"/>
          <w:szCs w:val="23"/>
          <w:rtl/>
        </w:rPr>
        <w:lastRenderedPageBreak/>
        <w:t>سرمایه</w:t>
      </w:r>
      <w:r w:rsidRPr="00D94694">
        <w:rPr>
          <w:i/>
          <w:sz w:val="23"/>
          <w:szCs w:val="23"/>
          <w:rtl/>
        </w:rPr>
        <w:softHyphen/>
      </w:r>
      <w:r w:rsidRPr="00D94694">
        <w:rPr>
          <w:rFonts w:hint="cs"/>
          <w:i/>
          <w:sz w:val="23"/>
          <w:szCs w:val="23"/>
          <w:rtl/>
        </w:rPr>
        <w:t>گذاری بی</w:t>
      </w:r>
      <w:r w:rsidRPr="00D94694">
        <w:rPr>
          <w:i/>
          <w:sz w:val="23"/>
          <w:szCs w:val="23"/>
          <w:rtl/>
        </w:rPr>
        <w:softHyphen/>
      </w:r>
      <w:r w:rsidRPr="00D94694">
        <w:rPr>
          <w:rFonts w:hint="cs"/>
          <w:i/>
          <w:sz w:val="23"/>
          <w:szCs w:val="23"/>
          <w:rtl/>
        </w:rPr>
        <w:t>تفاوت است را ریسک خنثی و کسی که ارزش آماری سرمایه</w:t>
      </w:r>
      <w:r w:rsidRPr="00D94694">
        <w:rPr>
          <w:i/>
          <w:sz w:val="23"/>
          <w:szCs w:val="23"/>
          <w:rtl/>
        </w:rPr>
        <w:softHyphen/>
      </w:r>
      <w:r w:rsidRPr="00D94694">
        <w:rPr>
          <w:rFonts w:hint="cs"/>
          <w:i/>
          <w:sz w:val="23"/>
          <w:szCs w:val="23"/>
          <w:rtl/>
        </w:rPr>
        <w:t>گذاری را با قطعیت می‌پذیرد ریسک</w:t>
      </w:r>
      <w:r w:rsidRPr="00D94694">
        <w:rPr>
          <w:i/>
          <w:sz w:val="23"/>
          <w:szCs w:val="23"/>
          <w:rtl/>
        </w:rPr>
        <w:softHyphen/>
      </w:r>
      <w:r w:rsidRPr="00D94694">
        <w:rPr>
          <w:rFonts w:hint="cs"/>
          <w:i/>
          <w:sz w:val="23"/>
          <w:szCs w:val="23"/>
          <w:rtl/>
        </w:rPr>
        <w:t>گریز نامند. در این حالت ارزش انتظاری یا ارزش آماری سرمایه</w:t>
      </w:r>
      <w:r w:rsidRPr="00D94694">
        <w:rPr>
          <w:i/>
          <w:sz w:val="23"/>
          <w:szCs w:val="23"/>
          <w:rtl/>
        </w:rPr>
        <w:softHyphen/>
      </w:r>
      <w:r w:rsidRPr="00D94694">
        <w:rPr>
          <w:rFonts w:hint="cs"/>
          <w:i/>
          <w:sz w:val="23"/>
          <w:szCs w:val="23"/>
          <w:rtl/>
        </w:rPr>
        <w:t>گذاری برابر است با؛</w:t>
      </w:r>
    </w:p>
    <w:p w14:paraId="305952D0" w14:textId="77777777" w:rsidR="00411620" w:rsidRPr="00D94694" w:rsidRDefault="00411620" w:rsidP="00411620">
      <w:pPr>
        <w:bidi w:val="0"/>
        <w:spacing w:line="216" w:lineRule="auto"/>
        <w:rPr>
          <w:i/>
          <w:sz w:val="23"/>
          <w:szCs w:val="23"/>
          <w:rtl/>
        </w:rPr>
      </w:pPr>
      <w:r w:rsidRPr="00D94694">
        <w:rPr>
          <w:position w:val="-12"/>
        </w:rPr>
        <w:object w:dxaOrig="2260" w:dyaOrig="360" w14:anchorId="7F75509D">
          <v:shape id="_x0000_i4688" type="#_x0000_t75" style="width:113.15pt;height:18.15pt" o:ole="">
            <v:imagedata r:id="rId7374" o:title=""/>
          </v:shape>
          <o:OLEObject Type="Embed" ProgID="Equation.DSMT4" ShapeID="_x0000_i4688" DrawAspect="Content" ObjectID="_1791378632" r:id="rId7375"/>
        </w:object>
      </w:r>
      <w:r w:rsidRPr="00D94694">
        <w:rPr>
          <w:i/>
          <w:sz w:val="23"/>
          <w:szCs w:val="23"/>
          <w:rtl/>
        </w:rPr>
        <w:t xml:space="preserve"> </w:t>
      </w:r>
    </w:p>
    <w:p w14:paraId="6DCABE17" w14:textId="77777777" w:rsidR="00411620" w:rsidRPr="00D94694" w:rsidRDefault="00411620" w:rsidP="00411620">
      <w:pPr>
        <w:spacing w:line="216" w:lineRule="auto"/>
        <w:rPr>
          <w:i/>
          <w:sz w:val="23"/>
          <w:szCs w:val="23"/>
          <w:rtl/>
        </w:rPr>
      </w:pPr>
      <w:r w:rsidRPr="00D94694">
        <w:rPr>
          <w:rFonts w:hint="cs"/>
          <w:i/>
          <w:sz w:val="23"/>
          <w:szCs w:val="23"/>
          <w:rtl/>
        </w:rPr>
        <w:t>در یک سرمایه</w:t>
      </w:r>
      <w:r w:rsidRPr="00D94694">
        <w:rPr>
          <w:i/>
          <w:sz w:val="23"/>
          <w:szCs w:val="23"/>
          <w:rtl/>
        </w:rPr>
        <w:softHyphen/>
      </w:r>
      <w:r w:rsidRPr="00D94694">
        <w:rPr>
          <w:rFonts w:hint="cs"/>
          <w:i/>
          <w:sz w:val="23"/>
          <w:szCs w:val="23"/>
          <w:rtl/>
        </w:rPr>
        <w:t xml:space="preserve">گذاری منصفانه ارزش انتظاری برابر است با صفر، یعنی </w:t>
      </w:r>
      <w:r w:rsidRPr="00D94694">
        <w:rPr>
          <w:position w:val="-8"/>
        </w:rPr>
        <w:object w:dxaOrig="940" w:dyaOrig="279" w14:anchorId="52A293B7">
          <v:shape id="_x0000_i4689" type="#_x0000_t75" style="width:47.2pt;height:13.9pt" o:ole="">
            <v:imagedata r:id="rId7376" o:title=""/>
          </v:shape>
          <o:OLEObject Type="Embed" ProgID="Equation.DSMT4" ShapeID="_x0000_i4689" DrawAspect="Content" ObjectID="_1791378633" r:id="rId7377"/>
        </w:object>
      </w:r>
      <w:r w:rsidRPr="00D94694">
        <w:rPr>
          <w:i/>
          <w:sz w:val="23"/>
          <w:szCs w:val="23"/>
        </w:rPr>
        <w:t>.</w:t>
      </w:r>
    </w:p>
    <w:p w14:paraId="15EB71F8" w14:textId="77777777" w:rsidR="00411620" w:rsidRPr="00D94694" w:rsidRDefault="00411620" w:rsidP="00411620">
      <w:pPr>
        <w:spacing w:line="216" w:lineRule="auto"/>
        <w:rPr>
          <w:i/>
          <w:sz w:val="23"/>
          <w:szCs w:val="23"/>
          <w:rtl/>
        </w:rPr>
      </w:pPr>
      <w:r w:rsidRPr="00D94694">
        <w:rPr>
          <w:rFonts w:hint="cs"/>
          <w:i/>
          <w:sz w:val="23"/>
          <w:szCs w:val="23"/>
          <w:rtl/>
        </w:rPr>
        <w:t>در تابع مطلوبیت</w:t>
      </w:r>
      <w:r w:rsidRPr="00D94694">
        <w:rPr>
          <w:position w:val="-8"/>
        </w:rPr>
        <w:object w:dxaOrig="600" w:dyaOrig="279" w14:anchorId="4209B6E9">
          <v:shape id="_x0000_i4690" type="#_x0000_t75" style="width:29.65pt;height:13.9pt" o:ole="">
            <v:imagedata r:id="rId7378" o:title=""/>
          </v:shape>
          <o:OLEObject Type="Embed" ProgID="Equation.DSMT4" ShapeID="_x0000_i4690" DrawAspect="Content" ObjectID="_1791378634" r:id="rId7379"/>
        </w:object>
      </w:r>
      <w:r w:rsidRPr="00D94694">
        <w:rPr>
          <w:rFonts w:hint="cs"/>
          <w:i/>
          <w:sz w:val="23"/>
          <w:szCs w:val="23"/>
          <w:rtl/>
        </w:rPr>
        <w:t xml:space="preserve"> که در آن</w:t>
      </w:r>
      <w:r w:rsidRPr="00D94694">
        <w:rPr>
          <w:position w:val="-8"/>
        </w:rPr>
        <w:object w:dxaOrig="980" w:dyaOrig="279" w14:anchorId="09BAE3E9">
          <v:shape id="_x0000_i4691" type="#_x0000_t75" style="width:49pt;height:13.9pt" o:ole="">
            <v:imagedata r:id="rId7380" o:title=""/>
          </v:shape>
          <o:OLEObject Type="Embed" ProgID="Equation.DSMT4" ShapeID="_x0000_i4691" DrawAspect="Content" ObjectID="_1791378635" r:id="rId7381"/>
        </w:object>
      </w:r>
      <w:r w:rsidRPr="00D94694">
        <w:rPr>
          <w:rFonts w:hint="cs"/>
          <w:i/>
          <w:sz w:val="23"/>
          <w:szCs w:val="23"/>
          <w:rtl/>
        </w:rPr>
        <w:t xml:space="preserve"> و </w:t>
      </w:r>
      <w:r w:rsidRPr="00D94694">
        <w:rPr>
          <w:position w:val="-8"/>
        </w:rPr>
        <w:object w:dxaOrig="1020" w:dyaOrig="279" w14:anchorId="61C61E43">
          <v:shape id="_x0000_i4692" type="#_x0000_t75" style="width:50.8pt;height:13.9pt" o:ole="">
            <v:imagedata r:id="rId7382" o:title=""/>
          </v:shape>
          <o:OLEObject Type="Embed" ProgID="Equation.DSMT4" ShapeID="_x0000_i4692" DrawAspect="Content" ObjectID="_1791378636" r:id="rId7383"/>
        </w:object>
      </w:r>
      <w:r w:rsidRPr="00D94694">
        <w:rPr>
          <w:rFonts w:hint="cs"/>
          <w:i/>
          <w:sz w:val="23"/>
          <w:szCs w:val="23"/>
          <w:rtl/>
        </w:rPr>
        <w:t xml:space="preserve"> باشد، می‌توان رفتار سرمایه</w:t>
      </w:r>
      <w:r w:rsidRPr="00D94694">
        <w:rPr>
          <w:i/>
          <w:sz w:val="23"/>
          <w:szCs w:val="23"/>
          <w:rtl/>
        </w:rPr>
        <w:softHyphen/>
      </w:r>
      <w:r w:rsidRPr="00D94694">
        <w:rPr>
          <w:rFonts w:hint="cs"/>
          <w:i/>
          <w:sz w:val="23"/>
          <w:szCs w:val="23"/>
          <w:rtl/>
        </w:rPr>
        <w:t>گذار را نسبت به پذیرش و یا عدم پذیرش ریسک به صورت زیر تعریف کرد</w:t>
      </w:r>
    </w:p>
    <w:p w14:paraId="047FE315" w14:textId="77777777" w:rsidR="00411620" w:rsidRPr="00D94694" w:rsidRDefault="00411620" w:rsidP="00411620">
      <w:pPr>
        <w:spacing w:line="216" w:lineRule="auto"/>
        <w:rPr>
          <w:i/>
          <w:sz w:val="23"/>
          <w:szCs w:val="23"/>
          <w:rtl/>
        </w:rPr>
      </w:pPr>
      <w:r w:rsidRPr="00D94694">
        <w:rPr>
          <w:rFonts w:hint="cs"/>
          <w:i/>
          <w:sz w:val="23"/>
          <w:szCs w:val="23"/>
          <w:rtl/>
        </w:rPr>
        <w:t>فرد ریسک</w:t>
      </w:r>
      <w:r w:rsidRPr="00D94694">
        <w:rPr>
          <w:i/>
          <w:sz w:val="23"/>
          <w:szCs w:val="23"/>
          <w:rtl/>
        </w:rPr>
        <w:softHyphen/>
      </w:r>
      <w:r w:rsidRPr="00D94694">
        <w:rPr>
          <w:rFonts w:hint="cs"/>
          <w:i/>
          <w:sz w:val="23"/>
          <w:szCs w:val="23"/>
          <w:rtl/>
        </w:rPr>
        <w:t>گریز</w:t>
      </w:r>
      <w:r w:rsidRPr="00D94694">
        <w:rPr>
          <w:i/>
          <w:sz w:val="23"/>
          <w:szCs w:val="23"/>
          <w:rtl/>
        </w:rPr>
        <w:tab/>
      </w:r>
      <w:r>
        <w:rPr>
          <w:i/>
          <w:sz w:val="23"/>
          <w:szCs w:val="23"/>
          <w:rtl/>
        </w:rPr>
        <w:tab/>
      </w:r>
      <w:r w:rsidRPr="00D94694">
        <w:rPr>
          <w:i/>
          <w:sz w:val="23"/>
          <w:szCs w:val="23"/>
        </w:rPr>
        <w:tab/>
      </w:r>
      <w:r w:rsidRPr="00D94694">
        <w:rPr>
          <w:position w:val="-12"/>
        </w:rPr>
        <w:object w:dxaOrig="1980" w:dyaOrig="360" w14:anchorId="0883C829">
          <v:shape id="_x0000_i4693" type="#_x0000_t75" style="width:99.25pt;height:18.15pt" o:ole="">
            <v:imagedata r:id="rId7384" o:title=""/>
          </v:shape>
          <o:OLEObject Type="Embed" ProgID="Equation.DSMT4" ShapeID="_x0000_i4693" DrawAspect="Content" ObjectID="_1791378637" r:id="rId7385"/>
        </w:object>
      </w:r>
    </w:p>
    <w:p w14:paraId="393741A5" w14:textId="77777777" w:rsidR="00411620" w:rsidRPr="00D94694" w:rsidRDefault="00411620" w:rsidP="00411620">
      <w:pPr>
        <w:spacing w:line="216" w:lineRule="auto"/>
        <w:rPr>
          <w:i/>
          <w:sz w:val="23"/>
          <w:szCs w:val="23"/>
          <w:rtl/>
        </w:rPr>
      </w:pPr>
      <w:r w:rsidRPr="00D94694">
        <w:rPr>
          <w:rFonts w:hint="cs"/>
          <w:i/>
          <w:sz w:val="23"/>
          <w:szCs w:val="23"/>
          <w:rtl/>
        </w:rPr>
        <w:t>فرد ریسک</w:t>
      </w:r>
      <w:r w:rsidRPr="00D94694">
        <w:rPr>
          <w:i/>
          <w:sz w:val="23"/>
          <w:szCs w:val="23"/>
          <w:rtl/>
        </w:rPr>
        <w:softHyphen/>
      </w:r>
      <w:r w:rsidRPr="00D94694">
        <w:rPr>
          <w:rFonts w:hint="cs"/>
          <w:i/>
          <w:sz w:val="23"/>
          <w:szCs w:val="23"/>
          <w:rtl/>
        </w:rPr>
        <w:t>خنثی</w:t>
      </w:r>
      <w:r w:rsidRPr="00D94694">
        <w:rPr>
          <w:i/>
          <w:sz w:val="23"/>
          <w:szCs w:val="23"/>
        </w:rPr>
        <w:tab/>
      </w:r>
      <w:r w:rsidRPr="00D94694">
        <w:rPr>
          <w:i/>
          <w:sz w:val="23"/>
          <w:szCs w:val="23"/>
        </w:rPr>
        <w:tab/>
      </w:r>
      <w:r w:rsidRPr="00D94694">
        <w:rPr>
          <w:position w:val="-12"/>
        </w:rPr>
        <w:object w:dxaOrig="1980" w:dyaOrig="360" w14:anchorId="42A27BE0">
          <v:shape id="_x0000_i4694" type="#_x0000_t75" style="width:99.25pt;height:18.15pt" o:ole="">
            <v:imagedata r:id="rId7386" o:title=""/>
          </v:shape>
          <o:OLEObject Type="Embed" ProgID="Equation.DSMT4" ShapeID="_x0000_i4694" DrawAspect="Content" ObjectID="_1791378638" r:id="rId7387"/>
        </w:object>
      </w:r>
    </w:p>
    <w:p w14:paraId="17DE2671" w14:textId="77777777" w:rsidR="00411620" w:rsidRPr="00D94694" w:rsidRDefault="00411620" w:rsidP="00411620">
      <w:pPr>
        <w:spacing w:line="216" w:lineRule="auto"/>
        <w:rPr>
          <w:i/>
          <w:sz w:val="23"/>
          <w:szCs w:val="23"/>
          <w:rtl/>
        </w:rPr>
      </w:pPr>
      <w:r w:rsidRPr="00D94694">
        <w:rPr>
          <w:rFonts w:hint="cs"/>
          <w:i/>
          <w:sz w:val="23"/>
          <w:szCs w:val="23"/>
          <w:rtl/>
        </w:rPr>
        <w:t>فرد ریسک</w:t>
      </w:r>
      <w:r w:rsidRPr="00D94694">
        <w:rPr>
          <w:i/>
          <w:sz w:val="23"/>
          <w:szCs w:val="23"/>
          <w:rtl/>
        </w:rPr>
        <w:softHyphen/>
      </w:r>
      <w:r w:rsidRPr="00D94694">
        <w:rPr>
          <w:rFonts w:hint="cs"/>
          <w:i/>
          <w:sz w:val="23"/>
          <w:szCs w:val="23"/>
          <w:rtl/>
        </w:rPr>
        <w:t>پذیر</w:t>
      </w:r>
      <w:r w:rsidRPr="00D94694">
        <w:rPr>
          <w:i/>
          <w:sz w:val="23"/>
          <w:szCs w:val="23"/>
          <w:rtl/>
        </w:rPr>
        <w:tab/>
      </w:r>
      <w:r>
        <w:rPr>
          <w:i/>
          <w:sz w:val="23"/>
          <w:szCs w:val="23"/>
          <w:rtl/>
        </w:rPr>
        <w:tab/>
      </w:r>
      <w:r w:rsidRPr="00D94694">
        <w:rPr>
          <w:i/>
          <w:sz w:val="23"/>
          <w:szCs w:val="23"/>
          <w:rtl/>
        </w:rPr>
        <w:tab/>
      </w:r>
      <w:r w:rsidRPr="00D94694">
        <w:rPr>
          <w:position w:val="-12"/>
        </w:rPr>
        <w:object w:dxaOrig="1980" w:dyaOrig="360" w14:anchorId="6E7715F1">
          <v:shape id="_x0000_i4695" type="#_x0000_t75" style="width:99.25pt;height:18.15pt" o:ole="">
            <v:imagedata r:id="rId7388" o:title=""/>
          </v:shape>
          <o:OLEObject Type="Embed" ProgID="Equation.DSMT4" ShapeID="_x0000_i4695" DrawAspect="Content" ObjectID="_1791378639" r:id="rId7389"/>
        </w:object>
      </w:r>
    </w:p>
    <w:p w14:paraId="40758C2D" w14:textId="77777777" w:rsidR="00411620" w:rsidRPr="00D94694" w:rsidRDefault="00411620" w:rsidP="00411620">
      <w:pPr>
        <w:spacing w:line="216" w:lineRule="auto"/>
        <w:rPr>
          <w:rFonts w:eastAsiaTheme="minorEastAsia"/>
          <w:i/>
          <w:sz w:val="23"/>
          <w:szCs w:val="23"/>
          <w:rtl/>
        </w:rPr>
      </w:pPr>
      <w:r w:rsidRPr="00D94694">
        <w:rPr>
          <w:rFonts w:hint="cs"/>
          <w:i/>
          <w:sz w:val="23"/>
          <w:szCs w:val="23"/>
          <w:rtl/>
        </w:rPr>
        <w:t xml:space="preserve">براحتی می‌توان نشان داد که </w:t>
      </w:r>
      <w:r w:rsidRPr="00D94694">
        <w:rPr>
          <w:position w:val="-14"/>
        </w:rPr>
        <w:object w:dxaOrig="2200" w:dyaOrig="380" w14:anchorId="6991A906">
          <v:shape id="_x0000_i4696" type="#_x0000_t75" style="width:110.1pt;height:18.75pt" o:ole="">
            <v:imagedata r:id="rId7390" o:title=""/>
          </v:shape>
          <o:OLEObject Type="Embed" ProgID="Equation.DSMT4" ShapeID="_x0000_i4696" DrawAspect="Content" ObjectID="_1791378640" r:id="rId7391"/>
        </w:object>
      </w:r>
      <w:r w:rsidRPr="00D94694">
        <w:rPr>
          <w:rFonts w:eastAsiaTheme="minorEastAsia"/>
          <w:i/>
          <w:sz w:val="23"/>
          <w:szCs w:val="23"/>
        </w:rPr>
        <w:t xml:space="preserve"> </w:t>
      </w:r>
      <w:r w:rsidRPr="00D94694">
        <w:rPr>
          <w:rFonts w:eastAsiaTheme="minorEastAsia" w:hint="cs"/>
          <w:i/>
          <w:sz w:val="23"/>
          <w:szCs w:val="23"/>
          <w:rtl/>
        </w:rPr>
        <w:t xml:space="preserve">اگر </w:t>
      </w:r>
      <w:r w:rsidRPr="00D94694">
        <w:rPr>
          <w:position w:val="-14"/>
        </w:rPr>
        <w:object w:dxaOrig="700" w:dyaOrig="380" w14:anchorId="140E295E">
          <v:shape id="_x0000_i4697" type="#_x0000_t75" style="width:35.1pt;height:18.75pt" o:ole="">
            <v:imagedata r:id="rId7392" o:title=""/>
          </v:shape>
          <o:OLEObject Type="Embed" ProgID="Equation.DSMT4" ShapeID="_x0000_i4697" DrawAspect="Content" ObjectID="_1791378641" r:id="rId7393"/>
        </w:object>
      </w:r>
      <w:r w:rsidRPr="00D94694">
        <w:rPr>
          <w:rFonts w:hint="cs"/>
          <w:i/>
          <w:sz w:val="23"/>
          <w:szCs w:val="23"/>
          <w:rtl/>
        </w:rPr>
        <w:t>باشد</w:t>
      </w:r>
      <w:r w:rsidRPr="00D94694">
        <w:rPr>
          <w:rFonts w:eastAsiaTheme="minorEastAsia" w:hint="cs"/>
          <w:i/>
          <w:sz w:val="23"/>
          <w:szCs w:val="23"/>
          <w:rtl/>
        </w:rPr>
        <w:t xml:space="preserve">. این </w:t>
      </w:r>
      <w:r w:rsidRPr="00D94694">
        <w:rPr>
          <w:rFonts w:hint="cs"/>
          <w:i/>
          <w:sz w:val="23"/>
          <w:szCs w:val="23"/>
          <w:rtl/>
        </w:rPr>
        <w:t>رابطه‌ به نابربری ینسن</w:t>
      </w:r>
      <w:r w:rsidRPr="00D94694">
        <w:rPr>
          <w:rStyle w:val="FootnoteReference"/>
          <w:rFonts w:eastAsiaTheme="majorEastAsia"/>
          <w:i/>
          <w:sz w:val="23"/>
          <w:szCs w:val="23"/>
          <w:rtl/>
        </w:rPr>
        <w:footnoteReference w:id="240"/>
      </w:r>
      <w:r w:rsidRPr="00D94694">
        <w:rPr>
          <w:rFonts w:hint="cs"/>
          <w:i/>
          <w:sz w:val="23"/>
          <w:szCs w:val="23"/>
          <w:rtl/>
        </w:rPr>
        <w:t xml:space="preserve"> معروف است و می‌توان با کمک بسط سری تیلور در اطراف</w:t>
      </w:r>
      <w:r w:rsidRPr="00D94694">
        <w:rPr>
          <w:position w:val="-8"/>
        </w:rPr>
        <w:object w:dxaOrig="600" w:dyaOrig="279" w14:anchorId="7E55BAFC">
          <v:shape id="_x0000_i4698" type="#_x0000_t75" style="width:29.65pt;height:13.9pt" o:ole="">
            <v:imagedata r:id="rId7394" o:title=""/>
          </v:shape>
          <o:OLEObject Type="Embed" ProgID="Equation.DSMT4" ShapeID="_x0000_i4698" DrawAspect="Content" ObjectID="_1791378642" r:id="rId7395"/>
        </w:object>
      </w:r>
      <w:r w:rsidRPr="00D94694">
        <w:rPr>
          <w:rFonts w:hint="cs"/>
          <w:i/>
          <w:sz w:val="23"/>
          <w:szCs w:val="23"/>
          <w:rtl/>
        </w:rPr>
        <w:t xml:space="preserve"> آن</w:t>
      </w:r>
      <w:r w:rsidRPr="00D94694">
        <w:rPr>
          <w:i/>
          <w:sz w:val="23"/>
          <w:szCs w:val="23"/>
          <w:rtl/>
        </w:rPr>
        <w:softHyphen/>
      </w:r>
      <w:r w:rsidRPr="00D94694">
        <w:rPr>
          <w:rFonts w:hint="cs"/>
          <w:i/>
          <w:sz w:val="23"/>
          <w:szCs w:val="23"/>
          <w:rtl/>
        </w:rPr>
        <w:t xml:space="preserve">را اثبات نمود. زیرا، اگر </w:t>
      </w:r>
      <w:r w:rsidRPr="00D94694">
        <w:rPr>
          <w:position w:val="-14"/>
        </w:rPr>
        <w:object w:dxaOrig="680" w:dyaOrig="380" w14:anchorId="39F34C75">
          <v:shape id="_x0000_i4699" type="#_x0000_t75" style="width:33.9pt;height:18.75pt" o:ole="">
            <v:imagedata r:id="rId7396" o:title=""/>
          </v:shape>
          <o:OLEObject Type="Embed" ProgID="Equation.DSMT4" ShapeID="_x0000_i4699" DrawAspect="Content" ObjectID="_1791378643" r:id="rId7397"/>
        </w:object>
      </w:r>
      <w:r w:rsidRPr="00D94694">
        <w:rPr>
          <w:rFonts w:hint="cs"/>
          <w:i/>
          <w:sz w:val="23"/>
          <w:szCs w:val="23"/>
          <w:rtl/>
        </w:rPr>
        <w:t xml:space="preserve"> باشد، آنگاه </w:t>
      </w:r>
    </w:p>
    <w:p w14:paraId="788F6CFE" w14:textId="77777777" w:rsidR="00411620" w:rsidRPr="00D94694" w:rsidRDefault="00411620" w:rsidP="00411620">
      <w:pPr>
        <w:pStyle w:val="MTDisplayEquation"/>
        <w:spacing w:line="216" w:lineRule="auto"/>
        <w:rPr>
          <w:rFonts w:ascii="Times New Roman" w:eastAsiaTheme="minorEastAsia" w:hAnsi="Times New Roman" w:cs="B Nazanin"/>
          <w:i/>
          <w:sz w:val="23"/>
          <w:szCs w:val="23"/>
        </w:rPr>
      </w:pPr>
      <w:r w:rsidRPr="00D94694">
        <w:rPr>
          <w:position w:val="-22"/>
        </w:rPr>
        <w:object w:dxaOrig="6320" w:dyaOrig="560" w14:anchorId="45C90888">
          <v:shape id="_x0000_i4700" type="#_x0000_t75" style="width:315.85pt;height:27.85pt" o:ole="">
            <v:imagedata r:id="rId7398" o:title=""/>
          </v:shape>
          <o:OLEObject Type="Embed" ProgID="Equation.DSMT4" ShapeID="_x0000_i4700" DrawAspect="Content" ObjectID="_1791378644" r:id="rId7399"/>
        </w:object>
      </w:r>
    </w:p>
    <w:p w14:paraId="31553387" w14:textId="77777777" w:rsidR="00411620" w:rsidRPr="00D94694" w:rsidRDefault="00411620" w:rsidP="00411620">
      <w:pPr>
        <w:bidi w:val="0"/>
        <w:spacing w:line="216" w:lineRule="auto"/>
        <w:rPr>
          <w:i/>
          <w:sz w:val="23"/>
          <w:szCs w:val="23"/>
        </w:rPr>
      </w:pPr>
      <w:r w:rsidRPr="00D94694">
        <w:rPr>
          <w:position w:val="-22"/>
        </w:rPr>
        <w:object w:dxaOrig="4280" w:dyaOrig="560" w14:anchorId="4C59360D">
          <v:shape id="_x0000_i4701" type="#_x0000_t75" style="width:214.2pt;height:27.85pt" o:ole="">
            <v:imagedata r:id="rId7400" o:title=""/>
          </v:shape>
          <o:OLEObject Type="Embed" ProgID="Equation.DSMT4" ShapeID="_x0000_i4701" DrawAspect="Content" ObjectID="_1791378645" r:id="rId7401"/>
        </w:object>
      </w:r>
    </w:p>
    <w:p w14:paraId="2CA68136" w14:textId="77777777" w:rsidR="00411620" w:rsidRPr="00D94694" w:rsidRDefault="00411620" w:rsidP="00411620">
      <w:pPr>
        <w:bidi w:val="0"/>
        <w:spacing w:line="216" w:lineRule="auto"/>
        <w:rPr>
          <w:i/>
          <w:sz w:val="23"/>
          <w:szCs w:val="23"/>
        </w:rPr>
      </w:pPr>
      <w:r w:rsidRPr="00D94694">
        <w:rPr>
          <w:position w:val="-14"/>
        </w:rPr>
        <w:object w:dxaOrig="2240" w:dyaOrig="380" w14:anchorId="157B791A">
          <v:shape id="_x0000_i4702" type="#_x0000_t75" style="width:111.95pt;height:18.75pt" o:ole="">
            <v:imagedata r:id="rId7402" o:title=""/>
          </v:shape>
          <o:OLEObject Type="Embed" ProgID="Equation.DSMT4" ShapeID="_x0000_i4702" DrawAspect="Content" ObjectID="_1791378646" r:id="rId7403"/>
        </w:object>
      </w:r>
    </w:p>
    <w:p w14:paraId="0AB7ACD1" w14:textId="77777777" w:rsidR="00411620" w:rsidRPr="00D94694" w:rsidRDefault="00411620" w:rsidP="00411620">
      <w:pPr>
        <w:spacing w:line="216" w:lineRule="auto"/>
        <w:rPr>
          <w:i/>
          <w:sz w:val="23"/>
          <w:szCs w:val="23"/>
          <w:rtl/>
        </w:rPr>
      </w:pPr>
      <w:r w:rsidRPr="00D94694">
        <w:rPr>
          <w:rFonts w:hint="cs"/>
          <w:i/>
          <w:sz w:val="23"/>
          <w:szCs w:val="23"/>
          <w:rtl/>
        </w:rPr>
        <w:t>اکنون دو دارایی، که یکی دارایی ریسکی با بازدهی</w:t>
      </w:r>
      <w:r w:rsidRPr="00025957">
        <w:rPr>
          <w:position w:val="-4"/>
        </w:rPr>
        <w:object w:dxaOrig="180" w:dyaOrig="180" w14:anchorId="3CE18EE5">
          <v:shape id="_x0000_i4703" type="#_x0000_t75" style="width:9.1pt;height:9.1pt" o:ole="">
            <v:imagedata r:id="rId7404" o:title=""/>
          </v:shape>
          <o:OLEObject Type="Embed" ProgID="Equation.DSMT4" ShapeID="_x0000_i4703" DrawAspect="Content" ObjectID="_1791378647" r:id="rId7405"/>
        </w:object>
      </w:r>
      <w:r w:rsidRPr="00D94694">
        <w:rPr>
          <w:i/>
          <w:sz w:val="23"/>
          <w:szCs w:val="23"/>
          <w:rtl/>
        </w:rPr>
        <w:t xml:space="preserve"> </w:t>
      </w:r>
      <w:r w:rsidRPr="00D94694">
        <w:rPr>
          <w:rFonts w:hint="cs"/>
          <w:i/>
          <w:sz w:val="23"/>
          <w:szCs w:val="23"/>
          <w:rtl/>
        </w:rPr>
        <w:t>و واریانس</w:t>
      </w:r>
      <w:r w:rsidRPr="00D94694">
        <w:rPr>
          <w:position w:val="-8"/>
        </w:rPr>
        <w:object w:dxaOrig="480" w:dyaOrig="279" w14:anchorId="3433C6BA">
          <v:shape id="_x0000_i4704" type="#_x0000_t75" style="width:24.2pt;height:13.9pt" o:ole="">
            <v:imagedata r:id="rId7406" o:title=""/>
          </v:shape>
          <o:OLEObject Type="Embed" ProgID="Equation.DSMT4" ShapeID="_x0000_i4704" DrawAspect="Content" ObjectID="_1791378648" r:id="rId7407"/>
        </w:object>
      </w:r>
      <w:r w:rsidRPr="00D94694">
        <w:rPr>
          <w:rFonts w:hint="cs"/>
          <w:i/>
          <w:sz w:val="23"/>
          <w:szCs w:val="23"/>
          <w:rtl/>
        </w:rPr>
        <w:t>، و دیگری دارایی بدون ریسک با بازدهی</w:t>
      </w:r>
      <w:r w:rsidRPr="00025957">
        <w:rPr>
          <w:position w:val="-4"/>
        </w:rPr>
        <w:object w:dxaOrig="240" w:dyaOrig="279" w14:anchorId="415B97C0">
          <v:shape id="_x0000_i4705" type="#_x0000_t75" style="width:12.1pt;height:13.9pt" o:ole="">
            <v:imagedata r:id="rId7408" o:title=""/>
          </v:shape>
          <o:OLEObject Type="Embed" ProgID="Equation.DSMT4" ShapeID="_x0000_i4705" DrawAspect="Content" ObjectID="_1791378649" r:id="rId7409"/>
        </w:object>
      </w:r>
      <w:r w:rsidRPr="00D94694">
        <w:rPr>
          <w:rFonts w:hint="cs"/>
          <w:i/>
          <w:sz w:val="23"/>
          <w:szCs w:val="23"/>
          <w:rtl/>
        </w:rPr>
        <w:t xml:space="preserve"> </w:t>
      </w:r>
      <w:r w:rsidRPr="00D94694">
        <w:rPr>
          <w:i/>
          <w:sz w:val="23"/>
          <w:szCs w:val="23"/>
          <w:rtl/>
        </w:rPr>
        <w:t>می</w:t>
      </w:r>
      <w:r w:rsidRPr="00D94694">
        <w:rPr>
          <w:rFonts w:hint="cs"/>
          <w:i/>
          <w:sz w:val="23"/>
          <w:szCs w:val="23"/>
          <w:rtl/>
        </w:rPr>
        <w:t xml:space="preserve">‌باشد را در نظر می‌گیریم. اگر ذخایر اولیه‌ی ثروت برابر با </w:t>
      </w:r>
      <w:r w:rsidRPr="00D94694">
        <w:rPr>
          <w:position w:val="-10"/>
        </w:rPr>
        <w:object w:dxaOrig="320" w:dyaOrig="320" w14:anchorId="71D973D8">
          <v:shape id="_x0000_i4706" type="#_x0000_t75" style="width:15.75pt;height:15.75pt" o:ole="">
            <v:imagedata r:id="rId7410" o:title=""/>
          </v:shape>
          <o:OLEObject Type="Embed" ProgID="Equation.DSMT4" ShapeID="_x0000_i4706" DrawAspect="Content" ObjectID="_1791378650" r:id="rId7411"/>
        </w:object>
      </w:r>
      <w:r w:rsidRPr="00D94694">
        <w:rPr>
          <w:i/>
          <w:sz w:val="23"/>
          <w:szCs w:val="23"/>
          <w:rtl/>
        </w:rPr>
        <w:t xml:space="preserve"> </w:t>
      </w:r>
      <w:r w:rsidRPr="00D94694">
        <w:rPr>
          <w:rFonts w:hint="cs"/>
          <w:i/>
          <w:sz w:val="23"/>
          <w:szCs w:val="23"/>
          <w:rtl/>
        </w:rPr>
        <w:t xml:space="preserve">باشد، آنگاه ثروت پس از سرمایه‌گذاری در دارایی ریسکی برابر با </w:t>
      </w:r>
      <w:r w:rsidRPr="00D94694">
        <w:rPr>
          <w:position w:val="-10"/>
        </w:rPr>
        <w:object w:dxaOrig="1380" w:dyaOrig="340" w14:anchorId="3E3E102B">
          <v:shape id="_x0000_i4707" type="#_x0000_t75" style="width:68.95pt;height:16.95pt" o:ole="">
            <v:imagedata r:id="rId7412" o:title=""/>
          </v:shape>
          <o:OLEObject Type="Embed" ProgID="Equation.DSMT4" ShapeID="_x0000_i4707" DrawAspect="Content" ObjectID="_1791378651" r:id="rId7413"/>
        </w:object>
      </w:r>
      <w:r w:rsidRPr="00D94694">
        <w:rPr>
          <w:rFonts w:hint="cs"/>
          <w:i/>
          <w:sz w:val="23"/>
          <w:szCs w:val="23"/>
          <w:rtl/>
        </w:rPr>
        <w:t>،</w:t>
      </w:r>
      <w:r w:rsidRPr="00D94694">
        <w:rPr>
          <w:i/>
          <w:sz w:val="23"/>
          <w:szCs w:val="23"/>
          <w:rtl/>
        </w:rPr>
        <w:t xml:space="preserve"> </w:t>
      </w:r>
      <w:r w:rsidRPr="00D94694">
        <w:rPr>
          <w:rFonts w:hint="cs"/>
          <w:i/>
          <w:sz w:val="23"/>
          <w:szCs w:val="23"/>
          <w:rtl/>
        </w:rPr>
        <w:t>و پس از سرمایه‌گذاری در دارایی بدون ریسک برابر با</w:t>
      </w:r>
      <w:r w:rsidRPr="00D94694">
        <w:rPr>
          <w:position w:val="-10"/>
        </w:rPr>
        <w:object w:dxaOrig="1480" w:dyaOrig="340" w14:anchorId="6DFF0E45">
          <v:shape id="_x0000_i4708" type="#_x0000_t75" style="width:73.8pt;height:16.95pt" o:ole="">
            <v:imagedata r:id="rId7414" o:title=""/>
          </v:shape>
          <o:OLEObject Type="Embed" ProgID="Equation.DSMT4" ShapeID="_x0000_i4708" DrawAspect="Content" ObjectID="_1791378652" r:id="rId7415"/>
        </w:object>
      </w:r>
      <w:r w:rsidRPr="00D94694">
        <w:rPr>
          <w:i/>
          <w:sz w:val="23"/>
          <w:szCs w:val="23"/>
        </w:rPr>
        <w:t xml:space="preserve"> </w:t>
      </w:r>
      <w:r w:rsidRPr="00D94694">
        <w:rPr>
          <w:rFonts w:hint="cs"/>
          <w:i/>
          <w:sz w:val="23"/>
          <w:szCs w:val="23"/>
          <w:rtl/>
        </w:rPr>
        <w:t>خواهد بود. چنانچه</w:t>
      </w:r>
      <w:r w:rsidRPr="00D94694">
        <w:rPr>
          <w:position w:val="-14"/>
        </w:rPr>
        <w:object w:dxaOrig="680" w:dyaOrig="380" w14:anchorId="6CD3664C">
          <v:shape id="_x0000_i4709" type="#_x0000_t75" style="width:33.9pt;height:18.75pt" o:ole="">
            <v:imagedata r:id="rId7416" o:title=""/>
          </v:shape>
          <o:OLEObject Type="Embed" ProgID="Equation.DSMT4" ShapeID="_x0000_i4709" DrawAspect="Content" ObjectID="_1791378653" r:id="rId7417"/>
        </w:object>
      </w:r>
      <w:r w:rsidRPr="00D94694">
        <w:rPr>
          <w:i/>
          <w:sz w:val="23"/>
          <w:szCs w:val="23"/>
          <w:rtl/>
        </w:rPr>
        <w:t xml:space="preserve"> </w:t>
      </w:r>
      <w:r w:rsidRPr="00D94694">
        <w:rPr>
          <w:rFonts w:hint="cs"/>
          <w:i/>
          <w:sz w:val="23"/>
          <w:szCs w:val="23"/>
          <w:rtl/>
        </w:rPr>
        <w:t>باشد با بسط</w:t>
      </w:r>
      <w:r w:rsidRPr="00D94694">
        <w:rPr>
          <w:position w:val="-16"/>
        </w:rPr>
        <w:object w:dxaOrig="1060" w:dyaOrig="420" w14:anchorId="05086DEB">
          <v:shape id="_x0000_i4710" type="#_x0000_t75" style="width:53.25pt;height:21.2pt" o:ole="">
            <v:imagedata r:id="rId7418" o:title=""/>
          </v:shape>
          <o:OLEObject Type="Embed" ProgID="Equation.DSMT4" ShapeID="_x0000_i4710" DrawAspect="Content" ObjectID="_1791378654" r:id="rId7419"/>
        </w:object>
      </w:r>
      <w:r w:rsidRPr="00D94694">
        <w:rPr>
          <w:i/>
          <w:sz w:val="23"/>
          <w:szCs w:val="23"/>
          <w:rtl/>
        </w:rPr>
        <w:t xml:space="preserve"> </w:t>
      </w:r>
      <w:r w:rsidRPr="00D94694">
        <w:rPr>
          <w:rFonts w:hint="cs"/>
          <w:i/>
          <w:sz w:val="23"/>
          <w:szCs w:val="23"/>
          <w:rtl/>
        </w:rPr>
        <w:t>در اطراف</w:t>
      </w:r>
      <w:r w:rsidRPr="00025957">
        <w:rPr>
          <w:position w:val="-4"/>
        </w:rPr>
        <w:object w:dxaOrig="560" w:dyaOrig="279" w14:anchorId="2F6D9109">
          <v:shape id="_x0000_i4711" type="#_x0000_t75" style="width:27.85pt;height:13.9pt" o:ole="">
            <v:imagedata r:id="rId7420" o:title=""/>
          </v:shape>
          <o:OLEObject Type="Embed" ProgID="Equation.DSMT4" ShapeID="_x0000_i4711" DrawAspect="Content" ObjectID="_1791378655" r:id="rId7421"/>
        </w:object>
      </w:r>
      <w:r w:rsidRPr="00D94694">
        <w:rPr>
          <w:i/>
          <w:sz w:val="23"/>
          <w:szCs w:val="23"/>
          <w:rtl/>
        </w:rPr>
        <w:t xml:space="preserve"> </w:t>
      </w:r>
      <w:r w:rsidRPr="00D94694">
        <w:rPr>
          <w:rFonts w:hint="cs"/>
          <w:i/>
          <w:sz w:val="23"/>
          <w:szCs w:val="23"/>
          <w:rtl/>
        </w:rPr>
        <w:t>خواهیم داشت:</w:t>
      </w:r>
    </w:p>
    <w:p w14:paraId="436D8A3E" w14:textId="77777777" w:rsidR="00411620" w:rsidRPr="00D94694" w:rsidRDefault="00411620" w:rsidP="00411620">
      <w:pPr>
        <w:bidi w:val="0"/>
        <w:spacing w:line="216" w:lineRule="auto"/>
        <w:rPr>
          <w:i/>
          <w:sz w:val="23"/>
          <w:szCs w:val="23"/>
          <w:rtl/>
        </w:rPr>
      </w:pPr>
      <w:r w:rsidRPr="00D94694">
        <w:rPr>
          <w:position w:val="-18"/>
        </w:rPr>
        <w:object w:dxaOrig="2780" w:dyaOrig="480" w14:anchorId="1961D6BF">
          <v:shape id="_x0000_i4712" type="#_x0000_t75" style="width:139.15pt;height:24.2pt" o:ole="">
            <v:imagedata r:id="rId7422" o:title=""/>
          </v:shape>
          <o:OLEObject Type="Embed" ProgID="Equation.DSMT4" ShapeID="_x0000_i4712" DrawAspect="Content" ObjectID="_1791378656" r:id="rId7423"/>
        </w:object>
      </w:r>
    </w:p>
    <w:p w14:paraId="5C5D4ED4" w14:textId="77777777" w:rsidR="00411620" w:rsidRPr="00D94694" w:rsidRDefault="00411620" w:rsidP="00411620">
      <w:pPr>
        <w:bidi w:val="0"/>
        <w:spacing w:line="216" w:lineRule="auto"/>
        <w:rPr>
          <w:i/>
          <w:sz w:val="23"/>
          <w:szCs w:val="23"/>
          <w:rtl/>
        </w:rPr>
      </w:pPr>
      <w:r w:rsidRPr="00D94694">
        <w:rPr>
          <w:position w:val="-22"/>
        </w:rPr>
        <w:object w:dxaOrig="4040" w:dyaOrig="560" w14:anchorId="59781402">
          <v:shape id="_x0000_i4713" type="#_x0000_t75" style="width:202.1pt;height:27.85pt" o:ole="">
            <v:imagedata r:id="rId7424" o:title=""/>
          </v:shape>
          <o:OLEObject Type="Embed" ProgID="Equation.DSMT4" ShapeID="_x0000_i4713" DrawAspect="Content" ObjectID="_1791378657" r:id="rId7425"/>
        </w:object>
      </w:r>
      <w:r w:rsidRPr="00D94694">
        <w:rPr>
          <w:i/>
          <w:sz w:val="23"/>
          <w:szCs w:val="23"/>
          <w:rtl/>
        </w:rPr>
        <w:tab/>
      </w:r>
      <w:r w:rsidRPr="00D94694">
        <w:rPr>
          <w:i/>
          <w:sz w:val="23"/>
          <w:szCs w:val="23"/>
          <w:rtl/>
        </w:rPr>
        <w:tab/>
      </w:r>
      <w:r>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rFonts w:hint="cs"/>
          <w:i/>
          <w:sz w:val="23"/>
          <w:szCs w:val="23"/>
          <w:rtl/>
        </w:rPr>
        <w:t>(۱۱. ۱)</w:t>
      </w:r>
    </w:p>
    <w:p w14:paraId="02A600D9" w14:textId="77777777" w:rsidR="00411620" w:rsidRPr="00D94694" w:rsidRDefault="00411620" w:rsidP="00411620">
      <w:pPr>
        <w:bidi w:val="0"/>
        <w:spacing w:line="216" w:lineRule="auto"/>
        <w:rPr>
          <w:i/>
          <w:sz w:val="23"/>
          <w:szCs w:val="23"/>
          <w:rtl/>
        </w:rPr>
      </w:pPr>
      <w:r w:rsidRPr="00D94694">
        <w:rPr>
          <w:position w:val="-18"/>
        </w:rPr>
        <w:object w:dxaOrig="2640" w:dyaOrig="460" w14:anchorId="6EA47A86">
          <v:shape id="_x0000_i4714" type="#_x0000_t75" style="width:132.5pt;height:23pt" o:ole="">
            <v:imagedata r:id="rId7426" o:title=""/>
          </v:shape>
          <o:OLEObject Type="Embed" ProgID="Equation.DSMT4" ShapeID="_x0000_i4714" DrawAspect="Content" ObjectID="_1791378658" r:id="rId7427"/>
        </w:object>
      </w:r>
      <w:r w:rsidRPr="00D94694">
        <w:rPr>
          <w:i/>
          <w:sz w:val="23"/>
          <w:szCs w:val="23"/>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rFonts w:hint="cs"/>
          <w:i/>
          <w:sz w:val="23"/>
          <w:szCs w:val="23"/>
          <w:rtl/>
        </w:rPr>
        <w:t>(۱۱. ۲)</w:t>
      </w:r>
    </w:p>
    <w:p w14:paraId="357B328A" w14:textId="77777777" w:rsidR="00411620" w:rsidRPr="00D94694" w:rsidRDefault="00411620" w:rsidP="00411620">
      <w:pPr>
        <w:spacing w:line="216" w:lineRule="auto"/>
        <w:rPr>
          <w:i/>
          <w:sz w:val="23"/>
          <w:szCs w:val="23"/>
          <w:rtl/>
        </w:rPr>
      </w:pPr>
      <w:r w:rsidRPr="00D94694">
        <w:rPr>
          <w:i/>
          <w:sz w:val="23"/>
          <w:szCs w:val="23"/>
        </w:rPr>
        <w:t xml:space="preserve"> </w:t>
      </w:r>
      <w:r w:rsidRPr="00D94694">
        <w:rPr>
          <w:rFonts w:hint="cs"/>
          <w:i/>
          <w:sz w:val="23"/>
          <w:szCs w:val="23"/>
          <w:rtl/>
        </w:rPr>
        <w:t>بنابراین</w:t>
      </w:r>
      <w:r w:rsidRPr="00D94694">
        <w:rPr>
          <w:i/>
          <w:sz w:val="23"/>
          <w:szCs w:val="23"/>
        </w:rPr>
        <w:t xml:space="preserve"> </w:t>
      </w:r>
      <w:r w:rsidRPr="00D94694">
        <w:rPr>
          <w:rFonts w:hint="cs"/>
          <w:i/>
          <w:sz w:val="23"/>
          <w:szCs w:val="23"/>
          <w:rtl/>
        </w:rPr>
        <w:t>ازآن</w:t>
      </w:r>
      <w:r w:rsidRPr="00D94694">
        <w:rPr>
          <w:i/>
          <w:sz w:val="23"/>
          <w:szCs w:val="23"/>
          <w:rtl/>
        </w:rPr>
        <w:softHyphen/>
      </w:r>
      <w:r w:rsidRPr="00D94694">
        <w:rPr>
          <w:rFonts w:hint="cs"/>
          <w:i/>
          <w:sz w:val="23"/>
          <w:szCs w:val="23"/>
          <w:rtl/>
        </w:rPr>
        <w:t>جا که برای یک سرمایه‌گذار ریسک</w:t>
      </w:r>
      <w:r w:rsidRPr="00D94694">
        <w:rPr>
          <w:i/>
          <w:sz w:val="23"/>
          <w:szCs w:val="23"/>
          <w:rtl/>
        </w:rPr>
        <w:softHyphen/>
      </w:r>
      <w:r w:rsidRPr="00D94694">
        <w:rPr>
          <w:rFonts w:hint="cs"/>
          <w:i/>
          <w:sz w:val="23"/>
          <w:szCs w:val="23"/>
          <w:rtl/>
        </w:rPr>
        <w:t>گریز</w:t>
      </w:r>
      <w:r w:rsidRPr="00D94694">
        <w:rPr>
          <w:position w:val="-6"/>
        </w:rPr>
        <w:object w:dxaOrig="320" w:dyaOrig="260" w14:anchorId="36FD52CD">
          <v:shape id="_x0000_i4715" type="#_x0000_t75" style="width:15.75pt;height:13.3pt" o:ole="">
            <v:imagedata r:id="rId7428" o:title=""/>
          </v:shape>
          <o:OLEObject Type="Embed" ProgID="Equation.DSMT4" ShapeID="_x0000_i4715" DrawAspect="Content" ObjectID="_1791378659" r:id="rId7429"/>
        </w:object>
      </w:r>
      <w:r w:rsidRPr="00D94694">
        <w:rPr>
          <w:i/>
          <w:sz w:val="23"/>
          <w:szCs w:val="23"/>
          <w:rtl/>
        </w:rPr>
        <w:t xml:space="preserve"> </w:t>
      </w:r>
      <w:r w:rsidRPr="00D94694">
        <w:rPr>
          <w:rFonts w:hint="cs"/>
          <w:i/>
          <w:sz w:val="23"/>
          <w:szCs w:val="23"/>
          <w:rtl/>
        </w:rPr>
        <w:t>منفی است، لذا مطلوبیت انتظاری سرمایه‌گذاری در دارایی ریسکی (یا پذیرش سرمایه</w:t>
      </w:r>
      <w:r w:rsidRPr="00D94694">
        <w:rPr>
          <w:i/>
          <w:sz w:val="23"/>
          <w:szCs w:val="23"/>
          <w:rtl/>
        </w:rPr>
        <w:softHyphen/>
      </w:r>
      <w:r w:rsidRPr="00D94694">
        <w:rPr>
          <w:rFonts w:hint="cs"/>
          <w:i/>
          <w:sz w:val="23"/>
          <w:szCs w:val="23"/>
          <w:rtl/>
        </w:rPr>
        <w:t>گذاری) یعنی</w:t>
      </w:r>
      <w:r w:rsidRPr="00D94694">
        <w:rPr>
          <w:position w:val="-16"/>
        </w:rPr>
        <w:object w:dxaOrig="1060" w:dyaOrig="420" w14:anchorId="2F5E6082">
          <v:shape id="_x0000_i4716" type="#_x0000_t75" style="width:53.25pt;height:21.2pt" o:ole="">
            <v:imagedata r:id="rId7430" o:title=""/>
          </v:shape>
          <o:OLEObject Type="Embed" ProgID="Equation.DSMT4" ShapeID="_x0000_i4716" DrawAspect="Content" ObjectID="_1791378660" r:id="rId7431"/>
        </w:object>
      </w:r>
      <w:r w:rsidRPr="00D94694">
        <w:rPr>
          <w:rFonts w:hint="cs"/>
          <w:i/>
          <w:sz w:val="23"/>
          <w:szCs w:val="23"/>
          <w:rtl/>
        </w:rPr>
        <w:t xml:space="preserve"> کمتر از مطلوبیت قطعی سرمایه‌گذاری در دارایی بدون ریسک</w:t>
      </w:r>
      <w:r w:rsidRPr="00D94694">
        <w:rPr>
          <w:i/>
          <w:sz w:val="23"/>
          <w:szCs w:val="23"/>
        </w:rPr>
        <w:t xml:space="preserve"> </w:t>
      </w:r>
      <w:r w:rsidRPr="00D94694">
        <w:rPr>
          <w:rFonts w:hint="cs"/>
          <w:i/>
          <w:sz w:val="23"/>
          <w:szCs w:val="23"/>
          <w:rtl/>
        </w:rPr>
        <w:t>یعنی</w:t>
      </w:r>
      <w:r w:rsidRPr="00D94694">
        <w:rPr>
          <w:position w:val="-18"/>
        </w:rPr>
        <w:object w:dxaOrig="1100" w:dyaOrig="460" w14:anchorId="52A9337E">
          <v:shape id="_x0000_i4717" type="#_x0000_t75" style="width:55.05pt;height:23pt" o:ole="">
            <v:imagedata r:id="rId7432" o:title=""/>
          </v:shape>
          <o:OLEObject Type="Embed" ProgID="Equation.DSMT4" ShapeID="_x0000_i4717" DrawAspect="Content" ObjectID="_1791378661" r:id="rId7433"/>
        </w:object>
      </w:r>
      <w:r w:rsidRPr="00D94694">
        <w:rPr>
          <w:i/>
          <w:sz w:val="23"/>
          <w:szCs w:val="23"/>
        </w:rPr>
        <w:t xml:space="preserve"> </w:t>
      </w:r>
      <w:r w:rsidRPr="00D94694">
        <w:rPr>
          <w:rFonts w:hint="cs"/>
          <w:i/>
          <w:sz w:val="23"/>
          <w:szCs w:val="23"/>
          <w:rtl/>
        </w:rPr>
        <w:t>است. در نتیجه هنگامی که بازدهی انتظاری یکسان است، سرمایه‌گذار ریسک</w:t>
      </w:r>
      <w:r w:rsidRPr="00D94694">
        <w:rPr>
          <w:i/>
          <w:sz w:val="23"/>
          <w:szCs w:val="23"/>
          <w:rtl/>
        </w:rPr>
        <w:softHyphen/>
      </w:r>
      <w:r w:rsidRPr="00D94694">
        <w:rPr>
          <w:rFonts w:hint="cs"/>
          <w:i/>
          <w:sz w:val="23"/>
          <w:szCs w:val="23"/>
          <w:rtl/>
        </w:rPr>
        <w:t>گریز ترجیح می‌دهد که سرمایه</w:t>
      </w:r>
      <w:r w:rsidRPr="00D94694">
        <w:rPr>
          <w:i/>
          <w:sz w:val="23"/>
          <w:szCs w:val="23"/>
          <w:rtl/>
        </w:rPr>
        <w:softHyphen/>
      </w:r>
      <w:r w:rsidRPr="00D94694">
        <w:rPr>
          <w:rFonts w:hint="cs"/>
          <w:i/>
          <w:sz w:val="23"/>
          <w:szCs w:val="23"/>
          <w:rtl/>
        </w:rPr>
        <w:t xml:space="preserve">گذاری نکند. در مقابل، </w:t>
      </w:r>
      <w:r w:rsidRPr="00D94694">
        <w:rPr>
          <w:rFonts w:hint="cs"/>
          <w:i/>
          <w:sz w:val="23"/>
          <w:szCs w:val="23"/>
          <w:rtl/>
        </w:rPr>
        <w:lastRenderedPageBreak/>
        <w:t>سرمایه‌گذاری که نسبت به ریسک خنثی است و</w:t>
      </w:r>
      <w:r w:rsidRPr="00D94694">
        <w:rPr>
          <w:position w:val="-6"/>
        </w:rPr>
        <w:object w:dxaOrig="320" w:dyaOrig="260" w14:anchorId="40294190">
          <v:shape id="_x0000_i4718" type="#_x0000_t75" style="width:15.75pt;height:13.3pt" o:ole="">
            <v:imagedata r:id="rId7434" o:title=""/>
          </v:shape>
          <o:OLEObject Type="Embed" ProgID="Equation.DSMT4" ShapeID="_x0000_i4718" DrawAspect="Content" ObjectID="_1791378662" r:id="rId7435"/>
        </w:object>
      </w:r>
      <w:r w:rsidRPr="00D94694">
        <w:rPr>
          <w:i/>
          <w:sz w:val="23"/>
          <w:szCs w:val="23"/>
          <w:rtl/>
        </w:rPr>
        <w:t xml:space="preserve"> </w:t>
      </w:r>
      <w:r w:rsidRPr="00D94694">
        <w:rPr>
          <w:rFonts w:hint="cs"/>
          <w:i/>
          <w:sz w:val="23"/>
          <w:szCs w:val="23"/>
          <w:rtl/>
        </w:rPr>
        <w:t>آن برابر با صفر است بین نگهداری دو دارایی بی</w:t>
      </w:r>
      <w:r w:rsidRPr="00D94694">
        <w:rPr>
          <w:i/>
          <w:sz w:val="23"/>
          <w:szCs w:val="23"/>
          <w:rtl/>
        </w:rPr>
        <w:softHyphen/>
      </w:r>
      <w:r w:rsidRPr="00D94694">
        <w:rPr>
          <w:rFonts w:hint="cs"/>
          <w:i/>
          <w:sz w:val="23"/>
          <w:szCs w:val="23"/>
          <w:rtl/>
        </w:rPr>
        <w:t xml:space="preserve">تفاوت خواهد بود. </w:t>
      </w:r>
    </w:p>
    <w:p w14:paraId="524EAA55" w14:textId="77777777" w:rsidR="00411620" w:rsidRPr="00D94694" w:rsidRDefault="00411620" w:rsidP="00411620">
      <w:pPr>
        <w:spacing w:line="216" w:lineRule="auto"/>
        <w:rPr>
          <w:i/>
          <w:sz w:val="23"/>
          <w:szCs w:val="23"/>
          <w:rtl/>
        </w:rPr>
      </w:pPr>
    </w:p>
    <w:p w14:paraId="2EE95353" w14:textId="77777777" w:rsidR="00411620" w:rsidRPr="00D94694" w:rsidRDefault="00411620" w:rsidP="00411620">
      <w:pPr>
        <w:spacing w:line="264" w:lineRule="auto"/>
        <w:rPr>
          <w:bCs/>
          <w:i/>
          <w:sz w:val="23"/>
          <w:szCs w:val="23"/>
          <w:rtl/>
        </w:rPr>
      </w:pPr>
      <w:r w:rsidRPr="00D94694">
        <w:rPr>
          <w:rFonts w:hint="cs"/>
          <w:bCs/>
          <w:i/>
          <w:sz w:val="23"/>
          <w:szCs w:val="23"/>
          <w:rtl/>
        </w:rPr>
        <w:t>پاداش ریسک</w:t>
      </w:r>
      <w:r w:rsidRPr="00D94694">
        <w:rPr>
          <w:rStyle w:val="FootnoteReference"/>
          <w:rFonts w:eastAsiaTheme="majorEastAsia"/>
          <w:bCs/>
          <w:i/>
          <w:sz w:val="23"/>
          <w:szCs w:val="23"/>
          <w:rtl/>
        </w:rPr>
        <w:footnoteReference w:id="241"/>
      </w:r>
    </w:p>
    <w:p w14:paraId="482E65D4" w14:textId="77777777" w:rsidR="00411620" w:rsidRPr="00D94694" w:rsidRDefault="00411620" w:rsidP="00411620">
      <w:pPr>
        <w:spacing w:line="264" w:lineRule="auto"/>
        <w:rPr>
          <w:i/>
          <w:sz w:val="23"/>
          <w:szCs w:val="23"/>
        </w:rPr>
      </w:pPr>
      <w:r w:rsidRPr="00D94694">
        <w:rPr>
          <w:rFonts w:hint="cs"/>
          <w:i/>
          <w:sz w:val="23"/>
          <w:szCs w:val="23"/>
          <w:rtl/>
        </w:rPr>
        <w:t>اکنون این سؤال مطرح می‌شود که یک سرمایه‌گذارِ ریسک</w:t>
      </w:r>
      <w:r w:rsidRPr="00D94694">
        <w:rPr>
          <w:i/>
          <w:sz w:val="23"/>
          <w:szCs w:val="23"/>
          <w:rtl/>
        </w:rPr>
        <w:softHyphen/>
      </w:r>
      <w:r w:rsidRPr="00D94694">
        <w:rPr>
          <w:rFonts w:hint="cs"/>
          <w:i/>
          <w:sz w:val="23"/>
          <w:szCs w:val="23"/>
          <w:rtl/>
        </w:rPr>
        <w:t>گریز مستلزم چه مقدار جبران خسارت و غرامت است تا با سرمایه</w:t>
      </w:r>
      <w:r w:rsidRPr="00D94694">
        <w:rPr>
          <w:i/>
          <w:sz w:val="23"/>
          <w:szCs w:val="23"/>
          <w:rtl/>
        </w:rPr>
        <w:softHyphen/>
      </w:r>
      <w:r w:rsidRPr="00D94694">
        <w:rPr>
          <w:rFonts w:hint="cs"/>
          <w:i/>
          <w:sz w:val="23"/>
          <w:szCs w:val="23"/>
          <w:rtl/>
        </w:rPr>
        <w:t>گذاری، دارایی ریسکی را نگهداری کند. فرض کنید این جبران خسارت همانند وجه پرداختی اضافی و یا بازدهی انتظاری بیشتر نسبت به نرخ بدون ریسک باشد. این مازاد عایدی را پاداش ریسک یا جایزه‌ی پذیرش ریسک نامند.</w:t>
      </w:r>
      <w:r w:rsidRPr="00D94694">
        <w:rPr>
          <w:i/>
          <w:sz w:val="23"/>
          <w:szCs w:val="23"/>
        </w:rPr>
        <w:t xml:space="preserve"> </w:t>
      </w:r>
    </w:p>
    <w:p w14:paraId="37054537" w14:textId="77777777" w:rsidR="00411620" w:rsidRPr="00D94694" w:rsidRDefault="00411620" w:rsidP="00411620">
      <w:pPr>
        <w:spacing w:line="264" w:lineRule="auto"/>
        <w:rPr>
          <w:i/>
          <w:sz w:val="23"/>
          <w:szCs w:val="23"/>
          <w:rtl/>
        </w:rPr>
      </w:pPr>
      <w:r w:rsidRPr="00D94694">
        <w:rPr>
          <w:rFonts w:hint="cs"/>
          <w:i/>
          <w:sz w:val="23"/>
          <w:szCs w:val="23"/>
          <w:rtl/>
        </w:rPr>
        <w:t>حالتی را در نظر بگیرید که دو دارایی ریسکی و دارایی بدون ریسک منفرد وجود دارد. در رابطه</w:t>
      </w:r>
      <w:r w:rsidRPr="00D94694">
        <w:rPr>
          <w:i/>
          <w:sz w:val="23"/>
          <w:szCs w:val="23"/>
          <w:rtl/>
        </w:rPr>
        <w:softHyphen/>
      </w:r>
      <w:r w:rsidRPr="00D94694">
        <w:rPr>
          <w:rFonts w:hint="cs"/>
          <w:i/>
          <w:sz w:val="23"/>
          <w:szCs w:val="23"/>
          <w:rtl/>
        </w:rPr>
        <w:t>ی (۱۱. ۲) نشان دادیم که برای سرمایه‌گذار ریسک</w:t>
      </w:r>
      <w:r w:rsidRPr="00D94694">
        <w:rPr>
          <w:i/>
          <w:sz w:val="23"/>
          <w:szCs w:val="23"/>
          <w:rtl/>
        </w:rPr>
        <w:softHyphen/>
      </w:r>
      <w:r w:rsidRPr="00D94694">
        <w:rPr>
          <w:rFonts w:hint="cs"/>
          <w:i/>
          <w:sz w:val="23"/>
          <w:szCs w:val="23"/>
          <w:rtl/>
        </w:rPr>
        <w:t>گریز</w:t>
      </w:r>
      <w:r w:rsidRPr="00D94694">
        <w:rPr>
          <w:position w:val="-18"/>
        </w:rPr>
        <w:object w:dxaOrig="2320" w:dyaOrig="460" w14:anchorId="09C51485">
          <v:shape id="_x0000_i4719" type="#_x0000_t75" style="width:116.15pt;height:23pt" o:ole="">
            <v:imagedata r:id="rId7436" o:title=""/>
          </v:shape>
          <o:OLEObject Type="Embed" ProgID="Equation.DSMT4" ShapeID="_x0000_i4719" DrawAspect="Content" ObjectID="_1791378663" r:id="rId7437"/>
        </w:object>
      </w:r>
      <w:r w:rsidRPr="00D94694">
        <w:rPr>
          <w:rFonts w:hint="cs"/>
          <w:i/>
          <w:sz w:val="23"/>
          <w:szCs w:val="23"/>
          <w:rtl/>
        </w:rPr>
        <w:t xml:space="preserve"> است. همچنین پاداش ریسک برابر</w:t>
      </w:r>
      <w:r w:rsidRPr="00D94694">
        <w:rPr>
          <w:position w:val="-10"/>
        </w:rPr>
        <w:object w:dxaOrig="220" w:dyaOrig="240" w14:anchorId="68B0F8AC">
          <v:shape id="_x0000_i4720" type="#_x0000_t75" style="width:10.9pt;height:12.1pt" o:ole="">
            <v:imagedata r:id="rId7438" o:title=""/>
          </v:shape>
          <o:OLEObject Type="Embed" ProgID="Equation.DSMT4" ShapeID="_x0000_i4720" DrawAspect="Content" ObjectID="_1791378664" r:id="rId7439"/>
        </w:object>
      </w:r>
      <w:r w:rsidRPr="00D94694">
        <w:rPr>
          <w:i/>
          <w:sz w:val="23"/>
          <w:szCs w:val="23"/>
          <w:rtl/>
        </w:rPr>
        <w:t xml:space="preserve"> </w:t>
      </w:r>
      <w:r w:rsidRPr="00D94694">
        <w:rPr>
          <w:rFonts w:hint="cs"/>
          <w:i/>
          <w:sz w:val="23"/>
          <w:szCs w:val="23"/>
          <w:rtl/>
        </w:rPr>
        <w:t>است که روابط زیر را تضمین کند</w:t>
      </w:r>
    </w:p>
    <w:p w14:paraId="603D2898" w14:textId="77777777" w:rsidR="00411620" w:rsidRPr="00D94694" w:rsidRDefault="00411620" w:rsidP="00411620">
      <w:pPr>
        <w:bidi w:val="0"/>
        <w:spacing w:line="264" w:lineRule="auto"/>
        <w:rPr>
          <w:i/>
          <w:sz w:val="23"/>
          <w:szCs w:val="23"/>
          <w:rtl/>
        </w:rPr>
      </w:pPr>
      <w:r w:rsidRPr="00D94694">
        <w:rPr>
          <w:position w:val="-32"/>
        </w:rPr>
        <w:object w:dxaOrig="1939" w:dyaOrig="740" w14:anchorId="6840CDD3">
          <v:shape id="_x0000_i4721" type="#_x0000_t75" style="width:97.4pt;height:36.9pt" o:ole="">
            <v:imagedata r:id="rId7440" o:title=""/>
          </v:shape>
          <o:OLEObject Type="Embed" ProgID="Equation.DSMT4" ShapeID="_x0000_i4721" DrawAspect="Content" ObjectID="_1791378665" r:id="rId7441"/>
        </w:object>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Pr>
          <w:i/>
          <w:sz w:val="23"/>
          <w:szCs w:val="23"/>
          <w:rtl/>
        </w:rPr>
        <w:tab/>
      </w:r>
      <w:r w:rsidRPr="00D94694">
        <w:rPr>
          <w:i/>
          <w:sz w:val="23"/>
          <w:szCs w:val="23"/>
        </w:rPr>
        <w:tab/>
      </w:r>
      <w:r w:rsidRPr="00D94694">
        <w:rPr>
          <w:i/>
          <w:sz w:val="23"/>
          <w:szCs w:val="23"/>
        </w:rPr>
        <w:tab/>
      </w:r>
      <w:r w:rsidRPr="00D94694">
        <w:rPr>
          <w:i/>
          <w:sz w:val="23"/>
          <w:szCs w:val="23"/>
          <w:rtl/>
        </w:rPr>
        <w:tab/>
      </w:r>
      <w:r w:rsidRPr="00D94694">
        <w:rPr>
          <w:rFonts w:hint="cs"/>
          <w:i/>
          <w:sz w:val="23"/>
          <w:szCs w:val="23"/>
          <w:rtl/>
        </w:rPr>
        <w:t>(۱۱. ۳)</w:t>
      </w:r>
    </w:p>
    <w:p w14:paraId="254B325A" w14:textId="77777777" w:rsidR="00411620" w:rsidRPr="00D94694" w:rsidRDefault="00411620" w:rsidP="00411620">
      <w:pPr>
        <w:spacing w:line="264" w:lineRule="auto"/>
        <w:rPr>
          <w:i/>
          <w:sz w:val="23"/>
          <w:szCs w:val="23"/>
          <w:rtl/>
        </w:rPr>
      </w:pPr>
      <w:r w:rsidRPr="00D94694">
        <w:rPr>
          <w:rFonts w:hint="cs"/>
          <w:i/>
          <w:sz w:val="23"/>
          <w:szCs w:val="23"/>
          <w:rtl/>
        </w:rPr>
        <w:t>با استفاده از بسط سری تیلور</w:t>
      </w:r>
      <w:r w:rsidRPr="00D94694">
        <w:rPr>
          <w:position w:val="-16"/>
        </w:rPr>
        <w:object w:dxaOrig="1060" w:dyaOrig="420" w14:anchorId="192514B6">
          <v:shape id="_x0000_i4722" type="#_x0000_t75" style="width:53.25pt;height:21.2pt" o:ole="">
            <v:imagedata r:id="rId7442" o:title=""/>
          </v:shape>
          <o:OLEObject Type="Embed" ProgID="Equation.DSMT4" ShapeID="_x0000_i4722" DrawAspect="Content" ObjectID="_1791378666" r:id="rId7443"/>
        </w:object>
      </w:r>
      <w:r w:rsidRPr="00D94694">
        <w:rPr>
          <w:rFonts w:hint="cs"/>
          <w:i/>
          <w:sz w:val="23"/>
          <w:szCs w:val="23"/>
          <w:rtl/>
        </w:rPr>
        <w:t xml:space="preserve"> در اطراف</w:t>
      </w:r>
      <w:r w:rsidRPr="00D94694">
        <w:rPr>
          <w:position w:val="-10"/>
        </w:rPr>
        <w:object w:dxaOrig="940" w:dyaOrig="340" w14:anchorId="3E9843AA">
          <v:shape id="_x0000_i4723" type="#_x0000_t75" style="width:47.2pt;height:16.95pt" o:ole="">
            <v:imagedata r:id="rId7444" o:title=""/>
          </v:shape>
          <o:OLEObject Type="Embed" ProgID="Equation.DSMT4" ShapeID="_x0000_i4723" DrawAspect="Content" ObjectID="_1791378667" r:id="rId7445"/>
        </w:object>
      </w:r>
      <w:r w:rsidRPr="00D94694">
        <w:rPr>
          <w:rFonts w:hint="cs"/>
          <w:i/>
          <w:sz w:val="23"/>
          <w:szCs w:val="23"/>
          <w:rtl/>
        </w:rPr>
        <w:t xml:space="preserve"> خواهیم داشت</w:t>
      </w:r>
    </w:p>
    <w:p w14:paraId="50D76615" w14:textId="77777777" w:rsidR="00411620" w:rsidRPr="00D94694" w:rsidRDefault="00411620" w:rsidP="00411620">
      <w:pPr>
        <w:bidi w:val="0"/>
        <w:spacing w:line="264" w:lineRule="auto"/>
        <w:rPr>
          <w:i/>
          <w:sz w:val="23"/>
          <w:szCs w:val="23"/>
          <w:rtl/>
        </w:rPr>
      </w:pPr>
      <w:r w:rsidRPr="00D94694">
        <w:rPr>
          <w:position w:val="-22"/>
        </w:rPr>
        <w:object w:dxaOrig="4920" w:dyaOrig="660" w14:anchorId="7268976A">
          <v:shape id="_x0000_i4724" type="#_x0000_t75" style="width:246.25pt;height:32.65pt" o:ole="">
            <v:imagedata r:id="rId7446" o:title=""/>
          </v:shape>
          <o:OLEObject Type="Embed" ProgID="Equation.DSMT4" ShapeID="_x0000_i4724" DrawAspect="Content" ObjectID="_1791378668" r:id="rId7447"/>
        </w:object>
      </w:r>
      <w:r w:rsidRPr="00D94694">
        <w:rPr>
          <w:i/>
          <w:sz w:val="23"/>
          <w:szCs w:val="23"/>
          <w:rtl/>
        </w:rPr>
        <w:tab/>
      </w:r>
      <w:r>
        <w:rPr>
          <w:i/>
          <w:sz w:val="23"/>
          <w:szCs w:val="23"/>
          <w:rtl/>
        </w:rPr>
        <w:tab/>
      </w:r>
      <w:r w:rsidRPr="00D94694">
        <w:rPr>
          <w:i/>
          <w:sz w:val="23"/>
          <w:szCs w:val="23"/>
        </w:rPr>
        <w:tab/>
      </w:r>
      <w:r w:rsidRPr="00D94694">
        <w:rPr>
          <w:i/>
          <w:sz w:val="23"/>
          <w:szCs w:val="23"/>
          <w:rtl/>
        </w:rPr>
        <w:tab/>
      </w:r>
      <w:r w:rsidRPr="00D94694">
        <w:rPr>
          <w:rFonts w:hint="cs"/>
          <w:i/>
          <w:sz w:val="23"/>
          <w:szCs w:val="23"/>
          <w:rtl/>
        </w:rPr>
        <w:t>(۱۱. ۴)</w:t>
      </w:r>
    </w:p>
    <w:p w14:paraId="72742717" w14:textId="77777777" w:rsidR="00411620" w:rsidRPr="00D94694" w:rsidRDefault="00411620" w:rsidP="00411620">
      <w:pPr>
        <w:pStyle w:val="MTDisplayEquation"/>
        <w:bidi/>
        <w:spacing w:line="264" w:lineRule="auto"/>
        <w:rPr>
          <w:rFonts w:ascii="Times New Roman" w:hAnsi="Times New Roman" w:cs="B Nazanin"/>
          <w:i/>
          <w:sz w:val="23"/>
          <w:szCs w:val="23"/>
          <w:rtl/>
        </w:rPr>
      </w:pPr>
      <w:r w:rsidRPr="00D94694">
        <w:rPr>
          <w:rFonts w:ascii="Times New Roman" w:hAnsi="Times New Roman" w:cs="B Nazanin" w:hint="cs"/>
          <w:i/>
          <w:sz w:val="23"/>
          <w:szCs w:val="23"/>
          <w:rtl/>
        </w:rPr>
        <w:t>و با بسط</w:t>
      </w:r>
      <w:r w:rsidRPr="00D94694">
        <w:rPr>
          <w:position w:val="-18"/>
        </w:rPr>
        <w:object w:dxaOrig="1719" w:dyaOrig="460" w14:anchorId="3185A25D">
          <v:shape id="_x0000_i4725" type="#_x0000_t75" style="width:85.9pt;height:23pt" o:ole="">
            <v:imagedata r:id="rId7448" o:title=""/>
          </v:shape>
          <o:OLEObject Type="Embed" ProgID="Equation.DSMT4" ShapeID="_x0000_i4725" DrawAspect="Content" ObjectID="_1791378669" r:id="rId7449"/>
        </w:object>
      </w:r>
      <w:r w:rsidRPr="00D94694">
        <w:rPr>
          <w:rFonts w:ascii="Times New Roman" w:hAnsi="Times New Roman" w:cs="B Nazanin" w:hint="cs"/>
          <w:i/>
          <w:sz w:val="23"/>
          <w:szCs w:val="23"/>
          <w:rtl/>
        </w:rPr>
        <w:t xml:space="preserve"> در اطراف</w:t>
      </w:r>
      <w:r w:rsidRPr="00D94694">
        <w:rPr>
          <w:position w:val="-10"/>
        </w:rPr>
        <w:object w:dxaOrig="560" w:dyaOrig="300" w14:anchorId="6EB29024">
          <v:shape id="_x0000_i4726" type="#_x0000_t75" style="width:27.85pt;height:15.15pt" o:ole="">
            <v:imagedata r:id="rId7450" o:title=""/>
          </v:shape>
          <o:OLEObject Type="Embed" ProgID="Equation.DSMT4" ShapeID="_x0000_i4726" DrawAspect="Content" ObjectID="_1791378670" r:id="rId7451"/>
        </w:object>
      </w:r>
      <w:r w:rsidRPr="00D94694">
        <w:rPr>
          <w:rFonts w:ascii="Times New Roman" w:hAnsi="Times New Roman" w:cs="B Nazanin"/>
          <w:i/>
          <w:sz w:val="23"/>
          <w:szCs w:val="23"/>
        </w:rPr>
        <w:t xml:space="preserve"> </w:t>
      </w:r>
      <w:r w:rsidRPr="00D94694">
        <w:rPr>
          <w:rFonts w:ascii="Times New Roman" w:hAnsi="Times New Roman" w:cs="B Nazanin" w:hint="cs"/>
          <w:i/>
          <w:sz w:val="23"/>
          <w:szCs w:val="23"/>
          <w:rtl/>
        </w:rPr>
        <w:t>خواهیم داشت</w:t>
      </w:r>
    </w:p>
    <w:p w14:paraId="6D0C9A09" w14:textId="77777777" w:rsidR="00411620" w:rsidRPr="00D94694" w:rsidRDefault="00411620" w:rsidP="00411620">
      <w:pPr>
        <w:bidi w:val="0"/>
        <w:spacing w:line="264" w:lineRule="auto"/>
        <w:rPr>
          <w:i/>
          <w:sz w:val="23"/>
          <w:szCs w:val="23"/>
          <w:rtl/>
        </w:rPr>
      </w:pPr>
      <w:r w:rsidRPr="00D94694">
        <w:rPr>
          <w:position w:val="-18"/>
        </w:rPr>
        <w:object w:dxaOrig="4040" w:dyaOrig="460" w14:anchorId="5350A46C">
          <v:shape id="_x0000_i4727" type="#_x0000_t75" style="width:202.1pt;height:23pt" o:ole="">
            <v:imagedata r:id="rId7452" o:title=""/>
          </v:shape>
          <o:OLEObject Type="Embed" ProgID="Equation.DSMT4" ShapeID="_x0000_i4727" DrawAspect="Content" ObjectID="_1791378671" r:id="rId7453"/>
        </w:object>
      </w:r>
      <w:r w:rsidRPr="00D94694">
        <w:rPr>
          <w:i/>
          <w:sz w:val="23"/>
          <w:szCs w:val="23"/>
          <w:rtl/>
        </w:rPr>
        <w:tab/>
      </w:r>
      <w:r w:rsidRPr="00D94694">
        <w:rPr>
          <w:i/>
          <w:sz w:val="23"/>
          <w:szCs w:val="23"/>
        </w:rPr>
        <w:tab/>
      </w:r>
      <w:r w:rsidRPr="00D94694">
        <w:rPr>
          <w:i/>
          <w:sz w:val="23"/>
          <w:szCs w:val="23"/>
          <w:rtl/>
        </w:rPr>
        <w:tab/>
      </w:r>
      <w:r w:rsidRPr="00D94694">
        <w:rPr>
          <w:i/>
          <w:sz w:val="23"/>
          <w:szCs w:val="23"/>
          <w:rtl/>
        </w:rPr>
        <w:tab/>
      </w:r>
      <w:r w:rsidRPr="00D94694">
        <w:rPr>
          <w:i/>
          <w:sz w:val="23"/>
          <w:szCs w:val="23"/>
        </w:rPr>
        <w:tab/>
      </w:r>
      <w:r>
        <w:rPr>
          <w:i/>
          <w:sz w:val="23"/>
          <w:szCs w:val="23"/>
          <w:rtl/>
        </w:rPr>
        <w:tab/>
      </w:r>
      <w:r w:rsidRPr="00D94694">
        <w:rPr>
          <w:i/>
          <w:sz w:val="23"/>
          <w:szCs w:val="23"/>
          <w:rtl/>
        </w:rPr>
        <w:tab/>
      </w:r>
      <w:r w:rsidRPr="00D94694">
        <w:rPr>
          <w:rFonts w:hint="cs"/>
          <w:i/>
          <w:sz w:val="23"/>
          <w:szCs w:val="23"/>
          <w:rtl/>
        </w:rPr>
        <w:t>(۱۱. ۵)</w:t>
      </w:r>
    </w:p>
    <w:p w14:paraId="177E2EB4" w14:textId="77777777" w:rsidR="00411620" w:rsidRPr="00D94694" w:rsidRDefault="00411620" w:rsidP="00411620">
      <w:pPr>
        <w:spacing w:line="264" w:lineRule="auto"/>
        <w:rPr>
          <w:i/>
          <w:sz w:val="23"/>
          <w:szCs w:val="23"/>
        </w:rPr>
      </w:pPr>
      <w:r w:rsidRPr="00D94694">
        <w:rPr>
          <w:rFonts w:hint="cs"/>
          <w:i/>
          <w:sz w:val="23"/>
          <w:szCs w:val="23"/>
          <w:rtl/>
        </w:rPr>
        <w:t>با ترکیب روابط (۱۱. ۴) و (۱۱. ۵) خواهیم داشت</w:t>
      </w:r>
    </w:p>
    <w:p w14:paraId="5ED2645D" w14:textId="77777777" w:rsidR="00411620" w:rsidRPr="00D94694" w:rsidRDefault="00411620" w:rsidP="00411620">
      <w:pPr>
        <w:bidi w:val="0"/>
        <w:spacing w:line="264" w:lineRule="auto"/>
        <w:rPr>
          <w:i/>
          <w:sz w:val="23"/>
          <w:szCs w:val="23"/>
          <w:rtl/>
        </w:rPr>
      </w:pPr>
      <w:r w:rsidRPr="00D94694">
        <w:rPr>
          <w:position w:val="-22"/>
        </w:rPr>
        <w:object w:dxaOrig="4500" w:dyaOrig="560" w14:anchorId="57C09A13">
          <v:shape id="_x0000_i4728" type="#_x0000_t75" style="width:225.1pt;height:27.85pt" o:ole="">
            <v:imagedata r:id="rId7454" o:title=""/>
          </v:shape>
          <o:OLEObject Type="Embed" ProgID="Equation.DSMT4" ShapeID="_x0000_i4728" DrawAspect="Content" ObjectID="_1791378672" r:id="rId7455"/>
        </w:object>
      </w:r>
      <w:r w:rsidRPr="00D94694">
        <w:rPr>
          <w:i/>
          <w:sz w:val="23"/>
          <w:szCs w:val="23"/>
        </w:rPr>
        <w:tab/>
      </w:r>
      <w:r w:rsidRPr="00D94694">
        <w:rPr>
          <w:i/>
          <w:sz w:val="23"/>
          <w:szCs w:val="23"/>
        </w:rPr>
        <w:tab/>
      </w:r>
      <w:r w:rsidRPr="00D94694">
        <w:rPr>
          <w:i/>
          <w:sz w:val="23"/>
          <w:szCs w:val="23"/>
        </w:rPr>
        <w:tab/>
      </w:r>
      <w:r>
        <w:rPr>
          <w:i/>
          <w:sz w:val="23"/>
          <w:szCs w:val="23"/>
          <w:rtl/>
        </w:rPr>
        <w:tab/>
      </w:r>
      <w:r w:rsidRPr="00D94694">
        <w:rPr>
          <w:i/>
          <w:sz w:val="23"/>
          <w:szCs w:val="23"/>
        </w:rPr>
        <w:tab/>
      </w:r>
      <w:r w:rsidRPr="00D94694">
        <w:rPr>
          <w:i/>
          <w:sz w:val="23"/>
          <w:szCs w:val="23"/>
        </w:rPr>
        <w:tab/>
      </w:r>
      <w:r w:rsidRPr="00D94694">
        <w:rPr>
          <w:rFonts w:hint="cs"/>
          <w:i/>
          <w:sz w:val="23"/>
          <w:szCs w:val="23"/>
          <w:rtl/>
        </w:rPr>
        <w:t>(۱۱. ۶)</w:t>
      </w:r>
    </w:p>
    <w:p w14:paraId="48612DBC" w14:textId="77777777" w:rsidR="00411620" w:rsidRPr="00D94694" w:rsidRDefault="00411620" w:rsidP="00411620">
      <w:pPr>
        <w:spacing w:line="264" w:lineRule="auto"/>
        <w:rPr>
          <w:i/>
          <w:sz w:val="23"/>
          <w:szCs w:val="23"/>
          <w:rtl/>
        </w:rPr>
      </w:pPr>
      <w:r w:rsidRPr="00D94694">
        <w:rPr>
          <w:rFonts w:hint="cs"/>
          <w:i/>
          <w:sz w:val="23"/>
          <w:szCs w:val="23"/>
          <w:rtl/>
        </w:rPr>
        <w:t>اگر رابطه‌ی (۱۱. ۳) برقرار باشد آنگاه</w:t>
      </w:r>
    </w:p>
    <w:p w14:paraId="532458FE" w14:textId="77777777" w:rsidR="00411620" w:rsidRPr="00D94694" w:rsidRDefault="00411620" w:rsidP="00411620">
      <w:pPr>
        <w:bidi w:val="0"/>
        <w:spacing w:line="264" w:lineRule="auto"/>
        <w:rPr>
          <w:i/>
          <w:sz w:val="23"/>
          <w:szCs w:val="23"/>
          <w:rtl/>
        </w:rPr>
      </w:pPr>
      <w:r w:rsidRPr="00D94694">
        <w:rPr>
          <w:position w:val="-22"/>
        </w:rPr>
        <w:object w:dxaOrig="2299" w:dyaOrig="560" w14:anchorId="12E3B8C0">
          <v:shape id="_x0000_i4729" type="#_x0000_t75" style="width:114.95pt;height:27.85pt" o:ole="">
            <v:imagedata r:id="rId7456" o:title=""/>
          </v:shape>
          <o:OLEObject Type="Embed" ProgID="Equation.DSMT4" ShapeID="_x0000_i4729" DrawAspect="Content" ObjectID="_1791378673" r:id="rId7457"/>
        </w:object>
      </w:r>
    </w:p>
    <w:p w14:paraId="3476DDFE" w14:textId="77777777" w:rsidR="00411620" w:rsidRPr="00D94694" w:rsidRDefault="00411620" w:rsidP="00411620">
      <w:pPr>
        <w:bidi w:val="0"/>
        <w:spacing w:line="264" w:lineRule="auto"/>
        <w:rPr>
          <w:i/>
          <w:sz w:val="23"/>
          <w:szCs w:val="23"/>
          <w:rtl/>
        </w:rPr>
      </w:pPr>
      <w:r w:rsidRPr="00D94694">
        <w:rPr>
          <w:position w:val="-22"/>
        </w:rPr>
        <w:object w:dxaOrig="2079" w:dyaOrig="580" w14:anchorId="45335C2A">
          <v:shape id="_x0000_i4730" type="#_x0000_t75" style="width:104.05pt;height:29.05pt" o:ole="">
            <v:imagedata r:id="rId7458" o:title=""/>
          </v:shape>
          <o:OLEObject Type="Embed" ProgID="Equation.DSMT4" ShapeID="_x0000_i4730" DrawAspect="Content" ObjectID="_1791378674" r:id="rId7459"/>
        </w:object>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Pr>
          <w:i/>
          <w:sz w:val="23"/>
          <w:szCs w:val="23"/>
          <w:rtl/>
        </w:rPr>
        <w:tab/>
      </w:r>
      <w:r w:rsidRPr="00D94694">
        <w:rPr>
          <w:i/>
          <w:sz w:val="23"/>
          <w:szCs w:val="23"/>
        </w:rPr>
        <w:tab/>
      </w:r>
      <w:r w:rsidRPr="00D94694">
        <w:rPr>
          <w:i/>
          <w:sz w:val="23"/>
          <w:szCs w:val="23"/>
          <w:rtl/>
        </w:rPr>
        <w:tab/>
      </w:r>
      <w:r w:rsidRPr="00D94694">
        <w:rPr>
          <w:rFonts w:hint="cs"/>
          <w:i/>
          <w:sz w:val="23"/>
          <w:szCs w:val="23"/>
          <w:rtl/>
        </w:rPr>
        <w:t>(۱۱. ۷)</w:t>
      </w:r>
    </w:p>
    <w:p w14:paraId="4F2F2B52" w14:textId="77777777" w:rsidR="00411620" w:rsidRPr="00D94694" w:rsidRDefault="00411620" w:rsidP="00411620">
      <w:pPr>
        <w:spacing w:line="264" w:lineRule="auto"/>
        <w:rPr>
          <w:i/>
          <w:sz w:val="23"/>
          <w:szCs w:val="23"/>
          <w:rtl/>
        </w:rPr>
      </w:pPr>
      <w:r w:rsidRPr="00D94694">
        <w:rPr>
          <w:rFonts w:hint="cs"/>
          <w:i/>
          <w:sz w:val="23"/>
          <w:szCs w:val="23"/>
          <w:rtl/>
        </w:rPr>
        <w:lastRenderedPageBreak/>
        <w:t>لذا ضریب</w:t>
      </w:r>
      <w:r w:rsidRPr="00D94694">
        <w:rPr>
          <w:position w:val="-10"/>
        </w:rPr>
        <w:object w:dxaOrig="220" w:dyaOrig="240" w14:anchorId="5E639CDC">
          <v:shape id="_x0000_i4731" type="#_x0000_t75" style="width:10.9pt;height:12.1pt" o:ole="">
            <v:imagedata r:id="rId7460" o:title=""/>
          </v:shape>
          <o:OLEObject Type="Embed" ProgID="Equation.DSMT4" ShapeID="_x0000_i4731" DrawAspect="Content" ObjectID="_1791378675" r:id="rId7461"/>
        </w:object>
      </w:r>
      <w:r w:rsidRPr="00D94694">
        <w:rPr>
          <w:i/>
          <w:sz w:val="23"/>
          <w:szCs w:val="23"/>
          <w:rtl/>
        </w:rPr>
        <w:t xml:space="preserve"> </w:t>
      </w:r>
      <w:r w:rsidRPr="00D94694">
        <w:rPr>
          <w:rFonts w:hint="cs"/>
          <w:i/>
          <w:sz w:val="23"/>
          <w:szCs w:val="23"/>
          <w:rtl/>
        </w:rPr>
        <w:t>یا پاداش ریسک با افزایش ضریب ریسک</w:t>
      </w:r>
      <w:r w:rsidRPr="00D94694">
        <w:rPr>
          <w:i/>
          <w:sz w:val="23"/>
          <w:szCs w:val="23"/>
          <w:rtl/>
        </w:rPr>
        <w:softHyphen/>
      </w:r>
      <w:r w:rsidRPr="00D94694">
        <w:rPr>
          <w:rFonts w:hint="cs"/>
          <w:i/>
          <w:sz w:val="23"/>
          <w:szCs w:val="23"/>
          <w:rtl/>
        </w:rPr>
        <w:t>گریزی نسبی</w:t>
      </w:r>
      <w:r w:rsidRPr="00D94694">
        <w:rPr>
          <w:position w:val="-28"/>
        </w:rPr>
        <w:object w:dxaOrig="920" w:dyaOrig="660" w14:anchorId="2E858973">
          <v:shape id="_x0000_i4732" type="#_x0000_t75" style="width:46pt;height:32.65pt" o:ole="">
            <v:imagedata r:id="rId7462" o:title=""/>
          </v:shape>
          <o:OLEObject Type="Embed" ProgID="Equation.DSMT4" ShapeID="_x0000_i4732" DrawAspect="Content" ObjectID="_1791378676" r:id="rId7463"/>
        </w:object>
      </w:r>
      <w:r w:rsidRPr="00D94694">
        <w:rPr>
          <w:rFonts w:hint="cs"/>
          <w:i/>
          <w:sz w:val="23"/>
          <w:szCs w:val="23"/>
          <w:rtl/>
        </w:rPr>
        <w:t xml:space="preserve"> یعنی خمیدگی تابع مطلوبیت، و همچنین افزایش واریانس یا نوسانات بازدهی ریسکی</w:t>
      </w:r>
      <w:r w:rsidRPr="00D94694">
        <w:rPr>
          <w:position w:val="-8"/>
        </w:rPr>
        <w:object w:dxaOrig="480" w:dyaOrig="279" w14:anchorId="53F6DF56">
          <v:shape id="_x0000_i4733" type="#_x0000_t75" style="width:24.2pt;height:13.9pt" o:ole="">
            <v:imagedata r:id="rId7464" o:title=""/>
          </v:shape>
          <o:OLEObject Type="Embed" ProgID="Equation.DSMT4" ShapeID="_x0000_i4733" DrawAspect="Content" ObjectID="_1791378677" r:id="rId7465"/>
        </w:object>
      </w:r>
      <w:r w:rsidRPr="00D94694">
        <w:rPr>
          <w:rFonts w:hint="cs"/>
          <w:i/>
          <w:sz w:val="23"/>
          <w:szCs w:val="23"/>
          <w:rtl/>
        </w:rPr>
        <w:t xml:space="preserve"> افزایش خواهد یافت.</w:t>
      </w:r>
    </w:p>
    <w:p w14:paraId="5F9DBEA8" w14:textId="77777777" w:rsidR="00411620" w:rsidRPr="00D94694" w:rsidRDefault="00411620" w:rsidP="00411620">
      <w:pPr>
        <w:spacing w:line="216" w:lineRule="auto"/>
        <w:rPr>
          <w:i/>
          <w:sz w:val="23"/>
          <w:szCs w:val="23"/>
        </w:rPr>
      </w:pPr>
    </w:p>
    <w:p w14:paraId="41A81304" w14:textId="77777777" w:rsidR="00411620" w:rsidRPr="00D94694" w:rsidRDefault="00411620" w:rsidP="00411620">
      <w:pPr>
        <w:pStyle w:val="Heading1"/>
        <w:spacing w:before="0"/>
        <w:rPr>
          <w:rFonts w:ascii="Times New Roman" w:hAnsi="Times New Roman" w:cs="B Nazanin"/>
          <w:b w:val="0"/>
          <w:i/>
          <w:sz w:val="23"/>
          <w:szCs w:val="23"/>
        </w:rPr>
      </w:pPr>
      <w:r w:rsidRPr="00D94694">
        <w:rPr>
          <w:rFonts w:ascii="Times New Roman" w:hAnsi="Times New Roman" w:cs="B Nazanin" w:hint="cs"/>
          <w:b w:val="0"/>
          <w:i/>
          <w:sz w:val="23"/>
          <w:szCs w:val="23"/>
          <w:rtl/>
        </w:rPr>
        <w:t>۱۱. ۳ حق بیمه</w:t>
      </w:r>
      <w:r w:rsidRPr="00D94694">
        <w:rPr>
          <w:rStyle w:val="FootnoteReference"/>
          <w:rFonts w:ascii="Times New Roman" w:eastAsiaTheme="majorEastAsia" w:hAnsi="Times New Roman" w:cs="B Nazanin"/>
          <w:b w:val="0"/>
          <w:i/>
          <w:sz w:val="23"/>
          <w:szCs w:val="23"/>
          <w:rtl/>
        </w:rPr>
        <w:footnoteReference w:id="242"/>
      </w:r>
    </w:p>
    <w:p w14:paraId="67EE4E14" w14:textId="77777777" w:rsidR="00411620" w:rsidRPr="00D94694" w:rsidRDefault="00411620" w:rsidP="00411620">
      <w:pPr>
        <w:rPr>
          <w:i/>
          <w:sz w:val="23"/>
          <w:szCs w:val="23"/>
          <w:rtl/>
        </w:rPr>
      </w:pPr>
      <w:r w:rsidRPr="00D94694">
        <w:rPr>
          <w:rFonts w:hint="cs"/>
          <w:i/>
          <w:sz w:val="23"/>
          <w:szCs w:val="23"/>
          <w:rtl/>
        </w:rPr>
        <w:t>مفهوم و محاسبه‌ی حق بیمه، رابطه‌ی نزدیکی با پاداش ریسک داشته و می</w:t>
      </w:r>
      <w:r w:rsidRPr="00D94694">
        <w:rPr>
          <w:i/>
          <w:sz w:val="23"/>
          <w:szCs w:val="23"/>
          <w:rtl/>
        </w:rPr>
        <w:softHyphen/>
      </w:r>
      <w:r w:rsidRPr="00D94694">
        <w:rPr>
          <w:rFonts w:hint="cs"/>
          <w:i/>
          <w:sz w:val="23"/>
          <w:szCs w:val="23"/>
          <w:rtl/>
        </w:rPr>
        <w:t>توان نشان داد که با روشی یکسان بدست خواهند آمد. هدف از بیمه، دریافت غرامت از بیمه</w:t>
      </w:r>
      <w:r w:rsidRPr="00D94694">
        <w:rPr>
          <w:i/>
          <w:sz w:val="23"/>
          <w:szCs w:val="23"/>
          <w:rtl/>
        </w:rPr>
        <w:softHyphen/>
      </w:r>
      <w:r w:rsidRPr="00D94694">
        <w:rPr>
          <w:rFonts w:hint="cs"/>
          <w:i/>
          <w:sz w:val="23"/>
          <w:szCs w:val="23"/>
          <w:rtl/>
        </w:rPr>
        <w:t>گر در صورت وقوع اتفاقی ناگوار است، و مستلزم آن است که بیمه</w:t>
      </w:r>
      <w:r w:rsidRPr="00D94694">
        <w:rPr>
          <w:i/>
          <w:sz w:val="23"/>
          <w:szCs w:val="23"/>
          <w:rtl/>
        </w:rPr>
        <w:softHyphen/>
      </w:r>
      <w:r w:rsidRPr="00D94694">
        <w:rPr>
          <w:rFonts w:hint="cs"/>
          <w:i/>
          <w:sz w:val="23"/>
          <w:szCs w:val="23"/>
          <w:rtl/>
        </w:rPr>
        <w:t>گذار حق بیمه</w:t>
      </w:r>
      <w:r w:rsidRPr="00D94694">
        <w:rPr>
          <w:i/>
          <w:sz w:val="23"/>
          <w:szCs w:val="23"/>
          <w:rtl/>
        </w:rPr>
        <w:softHyphen/>
      </w:r>
      <w:r w:rsidRPr="00D94694">
        <w:rPr>
          <w:rFonts w:hint="cs"/>
          <w:i/>
          <w:sz w:val="23"/>
          <w:szCs w:val="23"/>
          <w:rtl/>
        </w:rPr>
        <w:t xml:space="preserve"> را به بیمه</w:t>
      </w:r>
      <w:r w:rsidRPr="00D94694">
        <w:rPr>
          <w:i/>
          <w:sz w:val="23"/>
          <w:szCs w:val="23"/>
          <w:rtl/>
        </w:rPr>
        <w:softHyphen/>
      </w:r>
      <w:r w:rsidRPr="00D94694">
        <w:rPr>
          <w:rFonts w:hint="cs"/>
          <w:i/>
          <w:sz w:val="23"/>
          <w:szCs w:val="23"/>
          <w:rtl/>
        </w:rPr>
        <w:t xml:space="preserve">گر پرداخت کند. </w:t>
      </w:r>
    </w:p>
    <w:p w14:paraId="3C363600" w14:textId="77777777" w:rsidR="00411620" w:rsidRPr="00D94694" w:rsidRDefault="00411620" w:rsidP="00411620">
      <w:pPr>
        <w:rPr>
          <w:i/>
          <w:sz w:val="23"/>
          <w:szCs w:val="23"/>
          <w:rtl/>
        </w:rPr>
      </w:pPr>
      <w:r w:rsidRPr="00D94694">
        <w:rPr>
          <w:rFonts w:hint="cs"/>
          <w:i/>
          <w:sz w:val="23"/>
          <w:szCs w:val="23"/>
          <w:rtl/>
        </w:rPr>
        <w:t>اگر ثروت اولیه برابر با</w:t>
      </w:r>
      <w:r w:rsidRPr="00D94694">
        <w:rPr>
          <w:position w:val="-6"/>
        </w:rPr>
        <w:object w:dxaOrig="279" w:dyaOrig="260" w14:anchorId="40E2C8EC">
          <v:shape id="_x0000_i4734" type="#_x0000_t75" style="width:13.9pt;height:13.3pt" o:ole="">
            <v:imagedata r:id="rId7466" o:title=""/>
          </v:shape>
          <o:OLEObject Type="Embed" ProgID="Equation.DSMT4" ShapeID="_x0000_i4734" DrawAspect="Content" ObjectID="_1791378678" r:id="rId7467"/>
        </w:object>
      </w:r>
      <w:r w:rsidRPr="00D94694">
        <w:rPr>
          <w:rFonts w:hint="cs"/>
          <w:i/>
          <w:sz w:val="23"/>
          <w:szCs w:val="23"/>
          <w:rtl/>
        </w:rPr>
        <w:t>،</w:t>
      </w:r>
      <w:r w:rsidRPr="00D94694">
        <w:rPr>
          <w:i/>
          <w:sz w:val="23"/>
          <w:szCs w:val="23"/>
          <w:rtl/>
        </w:rPr>
        <w:t xml:space="preserve"> </w:t>
      </w:r>
      <w:r w:rsidRPr="00D94694">
        <w:rPr>
          <w:rFonts w:hint="cs"/>
          <w:i/>
          <w:sz w:val="23"/>
          <w:szCs w:val="23"/>
          <w:rtl/>
        </w:rPr>
        <w:t>اتفاق ناگوار برای آن ثروت متغیر تصادفی</w:t>
      </w:r>
      <w:r w:rsidRPr="00D94694">
        <w:rPr>
          <w:position w:val="-6"/>
        </w:rPr>
        <w:object w:dxaOrig="200" w:dyaOrig="200" w14:anchorId="5742E80A">
          <v:shape id="_x0000_i4735" type="#_x0000_t75" style="width:10.3pt;height:10.3pt" o:ole="">
            <v:imagedata r:id="rId7468" o:title=""/>
          </v:shape>
          <o:OLEObject Type="Embed" ProgID="Equation.DSMT4" ShapeID="_x0000_i4735" DrawAspect="Content" ObjectID="_1791378679" r:id="rId7469"/>
        </w:object>
      </w:r>
      <w:r w:rsidRPr="00D94694">
        <w:rPr>
          <w:i/>
          <w:sz w:val="23"/>
          <w:szCs w:val="23"/>
          <w:rtl/>
        </w:rPr>
        <w:t xml:space="preserve"> </w:t>
      </w:r>
      <w:r w:rsidRPr="00D94694">
        <w:rPr>
          <w:rFonts w:hint="cs"/>
          <w:i/>
          <w:sz w:val="23"/>
          <w:szCs w:val="23"/>
          <w:rtl/>
        </w:rPr>
        <w:t>و</w:t>
      </w:r>
      <w:r w:rsidRPr="00D94694">
        <w:rPr>
          <w:position w:val="-12"/>
        </w:rPr>
        <w:object w:dxaOrig="880" w:dyaOrig="360" w14:anchorId="3CCCAD76">
          <v:shape id="_x0000_i4736" type="#_x0000_t75" style="width:44.15pt;height:18.15pt" o:ole="">
            <v:imagedata r:id="rId7470" o:title=""/>
          </v:shape>
          <o:OLEObject Type="Embed" ProgID="Equation.DSMT4" ShapeID="_x0000_i4736" DrawAspect="Content" ObjectID="_1791378680" r:id="rId7471"/>
        </w:object>
      </w:r>
      <w:r w:rsidRPr="00D94694">
        <w:rPr>
          <w:rFonts w:hint="cs"/>
          <w:i/>
          <w:sz w:val="23"/>
          <w:szCs w:val="23"/>
          <w:rtl/>
        </w:rPr>
        <w:t>،</w:t>
      </w:r>
      <w:r w:rsidRPr="00D94694">
        <w:rPr>
          <w:i/>
          <w:sz w:val="23"/>
          <w:szCs w:val="23"/>
          <w:rtl/>
        </w:rPr>
        <w:t xml:space="preserve"> </w:t>
      </w:r>
      <w:r w:rsidRPr="00D94694">
        <w:rPr>
          <w:rFonts w:hint="cs"/>
          <w:i/>
          <w:sz w:val="23"/>
          <w:szCs w:val="23"/>
          <w:rtl/>
        </w:rPr>
        <w:t>و حق بیمه برابر با</w:t>
      </w:r>
      <w:r w:rsidRPr="00D94694">
        <w:rPr>
          <w:position w:val="-10"/>
        </w:rPr>
        <w:object w:dxaOrig="220" w:dyaOrig="240" w14:anchorId="13275BF1">
          <v:shape id="_x0000_i4737" type="#_x0000_t75" style="width:10.9pt;height:12.1pt" o:ole="">
            <v:imagedata r:id="rId7472" o:title=""/>
          </v:shape>
          <o:OLEObject Type="Embed" ProgID="Equation.DSMT4" ShapeID="_x0000_i4737" DrawAspect="Content" ObjectID="_1791378681" r:id="rId7473"/>
        </w:object>
      </w:r>
      <w:r w:rsidRPr="00D94694">
        <w:rPr>
          <w:i/>
          <w:sz w:val="23"/>
          <w:szCs w:val="23"/>
          <w:rtl/>
        </w:rPr>
        <w:t xml:space="preserve"> </w:t>
      </w:r>
      <w:r w:rsidRPr="00D94694">
        <w:rPr>
          <w:rFonts w:hint="cs"/>
          <w:i/>
          <w:sz w:val="23"/>
          <w:szCs w:val="23"/>
          <w:rtl/>
        </w:rPr>
        <w:t>باشد، از آنجا که نااطمینانی، مطلوبیت انتظاری را کاهش می‌دهد، لذا خواهیم داشت</w:t>
      </w:r>
    </w:p>
    <w:p w14:paraId="06C26496" w14:textId="77777777" w:rsidR="00411620" w:rsidRPr="00D94694" w:rsidRDefault="00411620" w:rsidP="00411620">
      <w:pPr>
        <w:bidi w:val="0"/>
        <w:rPr>
          <w:i/>
          <w:sz w:val="23"/>
          <w:szCs w:val="23"/>
          <w:rtl/>
        </w:rPr>
      </w:pPr>
      <w:r w:rsidRPr="00D94694">
        <w:rPr>
          <w:position w:val="-14"/>
        </w:rPr>
        <w:object w:dxaOrig="2760" w:dyaOrig="380" w14:anchorId="67FED862">
          <v:shape id="_x0000_i4738" type="#_x0000_t75" style="width:137.95pt;height:18.75pt" o:ole="">
            <v:imagedata r:id="rId7474" o:title=""/>
          </v:shape>
          <o:OLEObject Type="Embed" ProgID="Equation.DSMT4" ShapeID="_x0000_i4738" DrawAspect="Content" ObjectID="_1791378682" r:id="rId7475"/>
        </w:object>
      </w:r>
      <w:r w:rsidRPr="00D94694">
        <w:rPr>
          <w:i/>
          <w:sz w:val="23"/>
          <w:szCs w:val="23"/>
          <w:rtl/>
        </w:rPr>
        <w:tab/>
        <w:t xml:space="preserve"> </w:t>
      </w:r>
    </w:p>
    <w:p w14:paraId="6A998603" w14:textId="77777777" w:rsidR="00411620" w:rsidRPr="00D94694" w:rsidRDefault="00411620" w:rsidP="00411620">
      <w:pPr>
        <w:rPr>
          <w:i/>
          <w:sz w:val="23"/>
          <w:szCs w:val="23"/>
          <w:rtl/>
        </w:rPr>
      </w:pPr>
      <w:r w:rsidRPr="00D94694">
        <w:rPr>
          <w:rFonts w:hint="cs"/>
          <w:i/>
          <w:sz w:val="23"/>
          <w:szCs w:val="23"/>
          <w:rtl/>
        </w:rPr>
        <w:t>اگر قرارداد بیمه منعقد شود، آنگاه خسارت بر ثروت از طریق دریافت بیمه کاملاً جبران شده، ولی ثروت بواسطه‌ی پرداخت حق بیمه کاهش خواهد یافت. بنابراین ثروت انتظاری برابر خواهد بود با</w:t>
      </w:r>
    </w:p>
    <w:p w14:paraId="1EB711C9" w14:textId="77777777" w:rsidR="00411620" w:rsidRPr="00D94694" w:rsidRDefault="00411620" w:rsidP="00411620">
      <w:pPr>
        <w:bidi w:val="0"/>
        <w:rPr>
          <w:i/>
          <w:sz w:val="23"/>
          <w:szCs w:val="23"/>
          <w:rtl/>
        </w:rPr>
      </w:pPr>
      <w:r w:rsidRPr="00D94694">
        <w:rPr>
          <w:position w:val="-14"/>
        </w:rPr>
        <w:object w:dxaOrig="5380" w:dyaOrig="380" w14:anchorId="36C00B68">
          <v:shape id="_x0000_i4739" type="#_x0000_t75" style="width:269.25pt;height:18.75pt" o:ole="">
            <v:imagedata r:id="rId7476" o:title=""/>
          </v:shape>
          <o:OLEObject Type="Embed" ProgID="Equation.DSMT4" ShapeID="_x0000_i4739" DrawAspect="Content" ObjectID="_1791378683" r:id="rId7477"/>
        </w:object>
      </w:r>
    </w:p>
    <w:p w14:paraId="703206B0" w14:textId="77777777" w:rsidR="00411620" w:rsidRPr="00D94694" w:rsidRDefault="00411620" w:rsidP="00411620">
      <w:pPr>
        <w:pStyle w:val="MTDisplayEquation"/>
        <w:bidi/>
        <w:rPr>
          <w:rFonts w:ascii="Times New Roman" w:hAnsi="Times New Roman" w:cs="B Nazanin"/>
          <w:i/>
          <w:sz w:val="23"/>
          <w:szCs w:val="23"/>
          <w:rtl/>
        </w:rPr>
      </w:pPr>
      <w:r w:rsidRPr="00D94694">
        <w:rPr>
          <w:rFonts w:ascii="Times New Roman" w:hAnsi="Times New Roman" w:cs="B Nazanin" w:hint="cs"/>
          <w:i/>
          <w:sz w:val="23"/>
          <w:szCs w:val="23"/>
          <w:rtl/>
        </w:rPr>
        <w:t>بیمه</w:t>
      </w:r>
      <w:r w:rsidRPr="00D94694">
        <w:rPr>
          <w:rFonts w:ascii="Times New Roman" w:hAnsi="Times New Roman" w:cs="B Nazanin"/>
          <w:i/>
          <w:sz w:val="23"/>
          <w:szCs w:val="23"/>
          <w:rtl/>
        </w:rPr>
        <w:softHyphen/>
      </w:r>
      <w:r w:rsidRPr="00D94694">
        <w:rPr>
          <w:rFonts w:ascii="Times New Roman" w:hAnsi="Times New Roman" w:cs="B Nazanin" w:hint="cs"/>
          <w:i/>
          <w:sz w:val="23"/>
          <w:szCs w:val="23"/>
          <w:rtl/>
        </w:rPr>
        <w:t>گذار با خسارت در ثروت خود بین انعقاد قرارداد بیمه و عدم انعقاد آن بی</w:t>
      </w:r>
      <w:r w:rsidRPr="00D94694">
        <w:rPr>
          <w:rFonts w:ascii="Times New Roman" w:hAnsi="Times New Roman" w:cs="B Nazanin"/>
          <w:i/>
          <w:sz w:val="23"/>
          <w:szCs w:val="23"/>
          <w:rtl/>
        </w:rPr>
        <w:softHyphen/>
      </w:r>
      <w:r w:rsidRPr="00D94694">
        <w:rPr>
          <w:rFonts w:ascii="Times New Roman" w:hAnsi="Times New Roman" w:cs="B Nazanin" w:hint="cs"/>
          <w:i/>
          <w:sz w:val="23"/>
          <w:szCs w:val="23"/>
          <w:rtl/>
        </w:rPr>
        <w:t>تفاوت است، اگر</w:t>
      </w:r>
    </w:p>
    <w:p w14:paraId="4A377065" w14:textId="77777777" w:rsidR="00411620" w:rsidRPr="00D94694" w:rsidRDefault="00411620" w:rsidP="00411620">
      <w:pPr>
        <w:pStyle w:val="MTDisplayEquation"/>
        <w:rPr>
          <w:rFonts w:ascii="Times New Roman" w:hAnsi="Times New Roman" w:cs="B Nazanin"/>
          <w:i/>
          <w:sz w:val="23"/>
          <w:szCs w:val="23"/>
          <w:rtl/>
        </w:rPr>
      </w:pPr>
      <w:r w:rsidRPr="00D94694">
        <w:rPr>
          <w:position w:val="-14"/>
        </w:rPr>
        <w:object w:dxaOrig="2439" w:dyaOrig="380" w14:anchorId="00826C87">
          <v:shape id="_x0000_i4740" type="#_x0000_t75" style="width:122.2pt;height:18.75pt" o:ole="">
            <v:imagedata r:id="rId7478" o:title=""/>
          </v:shape>
          <o:OLEObject Type="Embed" ProgID="Equation.DSMT4" ShapeID="_x0000_i4740" DrawAspect="Content" ObjectID="_1791378684" r:id="rId7479"/>
        </w:object>
      </w:r>
    </w:p>
    <w:p w14:paraId="4BDFA03E" w14:textId="77777777" w:rsidR="00411620" w:rsidRPr="00D94694" w:rsidRDefault="00411620" w:rsidP="00411620">
      <w:pPr>
        <w:pStyle w:val="MTDisplayEquation"/>
        <w:bidi/>
        <w:rPr>
          <w:rFonts w:ascii="Times New Roman" w:hAnsi="Times New Roman" w:cs="B Nazanin"/>
          <w:i/>
          <w:sz w:val="23"/>
          <w:szCs w:val="23"/>
          <w:rtl/>
        </w:rPr>
      </w:pPr>
      <w:r w:rsidRPr="00D94694">
        <w:rPr>
          <w:rFonts w:ascii="Times New Roman" w:hAnsi="Times New Roman" w:cs="B Nazanin" w:hint="cs"/>
          <w:i/>
          <w:sz w:val="23"/>
          <w:szCs w:val="23"/>
          <w:rtl/>
        </w:rPr>
        <w:t>باشد. با استفاده از بسط مرتبه دوم سری تیلور در اطراف</w:t>
      </w:r>
      <w:r w:rsidRPr="00D94694">
        <w:rPr>
          <w:position w:val="-12"/>
        </w:rPr>
        <w:object w:dxaOrig="920" w:dyaOrig="360" w14:anchorId="268A1F0E">
          <v:shape id="_x0000_i4741" type="#_x0000_t75" style="width:46pt;height:18.15pt" o:ole="">
            <v:imagedata r:id="rId7480" o:title=""/>
          </v:shape>
          <o:OLEObject Type="Embed" ProgID="Equation.DSMT4" ShapeID="_x0000_i4741" DrawAspect="Content" ObjectID="_1791378685" r:id="rId7481"/>
        </w:object>
      </w:r>
      <w:r w:rsidRPr="00D94694">
        <w:rPr>
          <w:rFonts w:ascii="Times New Roman" w:hAnsi="Times New Roman" w:cs="B Nazanin" w:hint="cs"/>
          <w:i/>
          <w:sz w:val="23"/>
          <w:szCs w:val="23"/>
          <w:rtl/>
        </w:rPr>
        <w:t xml:space="preserve"> خواهیم داشت</w:t>
      </w:r>
    </w:p>
    <w:p w14:paraId="5D134449" w14:textId="77777777" w:rsidR="00411620" w:rsidRPr="00D94694" w:rsidRDefault="00411620" w:rsidP="00411620">
      <w:pPr>
        <w:bidi w:val="0"/>
        <w:rPr>
          <w:i/>
          <w:sz w:val="23"/>
          <w:szCs w:val="23"/>
        </w:rPr>
      </w:pPr>
      <w:r w:rsidRPr="00D94694">
        <w:rPr>
          <w:position w:val="-52"/>
        </w:rPr>
        <w:object w:dxaOrig="5440" w:dyaOrig="1140" w14:anchorId="1BD635C7">
          <v:shape id="_x0000_i4742" type="#_x0000_t75" style="width:271.65pt;height:56.85pt" o:ole="">
            <v:imagedata r:id="rId7482" o:title=""/>
          </v:shape>
          <o:OLEObject Type="Embed" ProgID="Equation.DSMT4" ShapeID="_x0000_i4742" DrawAspect="Content" ObjectID="_1791378686" r:id="rId7483"/>
        </w:object>
      </w:r>
    </w:p>
    <w:p w14:paraId="472F9596" w14:textId="77777777" w:rsidR="00411620" w:rsidRPr="00D94694" w:rsidRDefault="00411620" w:rsidP="00411620">
      <w:pPr>
        <w:rPr>
          <w:i/>
          <w:sz w:val="23"/>
          <w:szCs w:val="23"/>
          <w:rtl/>
        </w:rPr>
      </w:pPr>
      <w:r w:rsidRPr="00D94694">
        <w:rPr>
          <w:rFonts w:hint="cs"/>
          <w:i/>
          <w:sz w:val="23"/>
          <w:szCs w:val="23"/>
          <w:rtl/>
        </w:rPr>
        <w:t>با تفریق این دو تقریب از یکدیگر و حل آن برای بدست آوردن حق بیمه خواهیم داشت</w:t>
      </w:r>
    </w:p>
    <w:p w14:paraId="078A7902" w14:textId="77777777" w:rsidR="00411620" w:rsidRPr="00D94694" w:rsidRDefault="00411620" w:rsidP="00411620">
      <w:pPr>
        <w:bidi w:val="0"/>
        <w:rPr>
          <w:i/>
          <w:sz w:val="23"/>
          <w:szCs w:val="23"/>
        </w:rPr>
      </w:pPr>
      <w:r w:rsidRPr="00D94694">
        <w:rPr>
          <w:position w:val="-48"/>
        </w:rPr>
        <w:object w:dxaOrig="2400" w:dyaOrig="880" w14:anchorId="03D9E289">
          <v:shape id="_x0000_i4743" type="#_x0000_t75" style="width:119.8pt;height:44.15pt" o:ole="">
            <v:imagedata r:id="rId7484" o:title=""/>
          </v:shape>
          <o:OLEObject Type="Embed" ProgID="Equation.DSMT4" ShapeID="_x0000_i4743" DrawAspect="Content" ObjectID="_1791378687" r:id="rId7485"/>
        </w:object>
      </w:r>
      <w:r w:rsidRPr="00D94694">
        <w:rPr>
          <w:i/>
          <w:sz w:val="23"/>
          <w:szCs w:val="23"/>
          <w:rtl/>
        </w:rPr>
        <w:tab/>
        <w:t xml:space="preserve"> </w:t>
      </w:r>
    </w:p>
    <w:p w14:paraId="6650E936" w14:textId="77777777" w:rsidR="00411620" w:rsidRPr="00D94694" w:rsidRDefault="00411620" w:rsidP="00411620">
      <w:pPr>
        <w:rPr>
          <w:i/>
          <w:sz w:val="23"/>
          <w:szCs w:val="23"/>
          <w:rtl/>
        </w:rPr>
      </w:pPr>
      <w:r w:rsidRPr="00D94694">
        <w:rPr>
          <w:rFonts w:hint="cs"/>
          <w:i/>
          <w:sz w:val="23"/>
          <w:szCs w:val="23"/>
          <w:rtl/>
        </w:rPr>
        <w:t>از آنجا که</w:t>
      </w:r>
      <w:r w:rsidRPr="00D94694">
        <w:rPr>
          <w:position w:val="-6"/>
        </w:rPr>
        <w:object w:dxaOrig="320" w:dyaOrig="260" w14:anchorId="58D44552">
          <v:shape id="_x0000_i4744" type="#_x0000_t75" style="width:15.75pt;height:13.3pt" o:ole="">
            <v:imagedata r:id="rId7486" o:title=""/>
          </v:shape>
          <o:OLEObject Type="Embed" ProgID="Equation.DSMT4" ShapeID="_x0000_i4744" DrawAspect="Content" ObjectID="_1791378688" r:id="rId7487"/>
        </w:object>
      </w:r>
      <w:r w:rsidRPr="00D94694">
        <w:rPr>
          <w:rFonts w:hint="cs"/>
          <w:i/>
          <w:sz w:val="23"/>
          <w:szCs w:val="23"/>
          <w:rtl/>
        </w:rPr>
        <w:t xml:space="preserve"> منفی است، لذا </w:t>
      </w:r>
      <w:r w:rsidRPr="00D94694">
        <w:rPr>
          <w:position w:val="-10"/>
        </w:rPr>
        <w:object w:dxaOrig="880" w:dyaOrig="300" w14:anchorId="62744F0A">
          <v:shape id="_x0000_i4745" type="#_x0000_t75" style="width:44.15pt;height:15.15pt" o:ole="">
            <v:imagedata r:id="rId7488" o:title=""/>
          </v:shape>
          <o:OLEObject Type="Embed" ProgID="Equation.DSMT4" ShapeID="_x0000_i4745" DrawAspect="Content" ObjectID="_1791378689" r:id="rId7489"/>
        </w:object>
      </w:r>
      <w:r w:rsidRPr="00D94694">
        <w:rPr>
          <w:i/>
          <w:sz w:val="23"/>
          <w:szCs w:val="23"/>
        </w:rPr>
        <w:t xml:space="preserve"> </w:t>
      </w:r>
      <w:r w:rsidRPr="00D94694">
        <w:rPr>
          <w:rFonts w:hint="cs"/>
          <w:i/>
          <w:sz w:val="23"/>
          <w:szCs w:val="23"/>
          <w:rtl/>
        </w:rPr>
        <w:t>خواهد بود. بنابراین اگر بیمه</w:t>
      </w:r>
      <w:r w:rsidRPr="00D94694">
        <w:rPr>
          <w:i/>
          <w:sz w:val="23"/>
          <w:szCs w:val="23"/>
          <w:rtl/>
        </w:rPr>
        <w:softHyphen/>
      </w:r>
      <w:r w:rsidRPr="00D94694">
        <w:rPr>
          <w:rFonts w:hint="cs"/>
          <w:i/>
          <w:sz w:val="23"/>
          <w:szCs w:val="23"/>
          <w:rtl/>
        </w:rPr>
        <w:t>گذار ریسک</w:t>
      </w:r>
      <w:r w:rsidRPr="00D94694">
        <w:rPr>
          <w:i/>
          <w:sz w:val="23"/>
          <w:szCs w:val="23"/>
          <w:rtl/>
        </w:rPr>
        <w:softHyphen/>
      </w:r>
      <w:r w:rsidRPr="00D94694">
        <w:rPr>
          <w:rFonts w:hint="cs"/>
          <w:i/>
          <w:sz w:val="23"/>
          <w:szCs w:val="23"/>
          <w:rtl/>
        </w:rPr>
        <w:t>گریز باشد، آنگاه حق بیمه بیشتر از زیان انتظاری ثروت هزینه دربر خواهد داشت. با افزایش</w:t>
      </w:r>
      <w:r w:rsidRPr="00D94694">
        <w:rPr>
          <w:position w:val="-8"/>
        </w:rPr>
        <w:object w:dxaOrig="520" w:dyaOrig="279" w14:anchorId="2309188A">
          <v:shape id="_x0000_i4746" type="#_x0000_t75" style="width:26pt;height:13.9pt" o:ole="">
            <v:imagedata r:id="rId7490" o:title=""/>
          </v:shape>
          <o:OLEObject Type="Embed" ProgID="Equation.DSMT4" ShapeID="_x0000_i4746" DrawAspect="Content" ObjectID="_1791378690" r:id="rId7491"/>
        </w:object>
      </w:r>
      <w:r w:rsidRPr="00D94694">
        <w:rPr>
          <w:rFonts w:hint="cs"/>
          <w:i/>
          <w:sz w:val="23"/>
          <w:szCs w:val="23"/>
          <w:rtl/>
        </w:rPr>
        <w:t xml:space="preserve"> و ریسک گریزتر بودن بیمه</w:t>
      </w:r>
      <w:r w:rsidRPr="00D94694">
        <w:rPr>
          <w:i/>
          <w:sz w:val="23"/>
          <w:szCs w:val="23"/>
          <w:rtl/>
        </w:rPr>
        <w:softHyphen/>
      </w:r>
      <w:r w:rsidRPr="00D94694">
        <w:rPr>
          <w:rFonts w:hint="cs"/>
          <w:i/>
          <w:sz w:val="23"/>
          <w:szCs w:val="23"/>
          <w:rtl/>
        </w:rPr>
        <w:t>گذار، حق بیمه نیز افزایش خواهد یافت. چنانچه</w:t>
      </w:r>
      <w:r w:rsidRPr="00D94694">
        <w:rPr>
          <w:position w:val="-8"/>
        </w:rPr>
        <w:object w:dxaOrig="520" w:dyaOrig="279" w14:anchorId="2EFF1ACF">
          <v:shape id="_x0000_i4747" type="#_x0000_t75" style="width:26pt;height:13.9pt" o:ole="">
            <v:imagedata r:id="rId7492" o:title=""/>
          </v:shape>
          <o:OLEObject Type="Embed" ProgID="Equation.DSMT4" ShapeID="_x0000_i4747" DrawAspect="Content" ObjectID="_1791378691" r:id="rId7493"/>
        </w:object>
      </w:r>
      <w:r w:rsidRPr="00D94694">
        <w:rPr>
          <w:rFonts w:hint="cs"/>
          <w:i/>
          <w:sz w:val="23"/>
          <w:szCs w:val="23"/>
          <w:rtl/>
        </w:rPr>
        <w:t xml:space="preserve"> به سمت صفر میل کند، هنگامی که زیان ثروت با قطعیت محقق شود، آنگاه</w:t>
      </w:r>
      <w:r w:rsidRPr="00D94694">
        <w:rPr>
          <w:position w:val="-10"/>
        </w:rPr>
        <w:object w:dxaOrig="220" w:dyaOrig="240" w14:anchorId="0BB44547">
          <v:shape id="_x0000_i4748" type="#_x0000_t75" style="width:10.9pt;height:12.1pt" o:ole="">
            <v:imagedata r:id="rId7494" o:title=""/>
          </v:shape>
          <o:OLEObject Type="Embed" ProgID="Equation.DSMT4" ShapeID="_x0000_i4748" DrawAspect="Content" ObjectID="_1791378692" r:id="rId7495"/>
        </w:object>
      </w:r>
      <w:r w:rsidRPr="00D94694">
        <w:rPr>
          <w:rFonts w:hint="cs"/>
          <w:i/>
          <w:sz w:val="23"/>
          <w:szCs w:val="23"/>
          <w:rtl/>
        </w:rPr>
        <w:t xml:space="preserve"> به سمت</w:t>
      </w:r>
      <w:r w:rsidRPr="00D94694">
        <w:rPr>
          <w:position w:val="-8"/>
        </w:rPr>
        <w:object w:dxaOrig="520" w:dyaOrig="279" w14:anchorId="1DD2729C">
          <v:shape id="_x0000_i4749" type="#_x0000_t75" style="width:26pt;height:13.9pt" o:ole="">
            <v:imagedata r:id="rId7496" o:title=""/>
          </v:shape>
          <o:OLEObject Type="Embed" ProgID="Equation.DSMT4" ShapeID="_x0000_i4749" DrawAspect="Content" ObjectID="_1791378693" r:id="rId7497"/>
        </w:object>
      </w:r>
      <w:r w:rsidRPr="00D94694">
        <w:rPr>
          <w:rFonts w:hint="cs"/>
          <w:i/>
          <w:sz w:val="23"/>
          <w:szCs w:val="23"/>
          <w:rtl/>
        </w:rPr>
        <w:t xml:space="preserve"> میل خواهد کرد. بیمه</w:t>
      </w:r>
      <w:r w:rsidRPr="00D94694">
        <w:rPr>
          <w:i/>
          <w:sz w:val="23"/>
          <w:szCs w:val="23"/>
          <w:rtl/>
        </w:rPr>
        <w:softHyphen/>
      </w:r>
      <w:r w:rsidRPr="00D94694">
        <w:rPr>
          <w:rFonts w:hint="cs"/>
          <w:i/>
          <w:sz w:val="23"/>
          <w:szCs w:val="23"/>
          <w:rtl/>
        </w:rPr>
        <w:t>گذار حق بیمه‌ی</w:t>
      </w:r>
      <w:r w:rsidRPr="00D94694">
        <w:rPr>
          <w:position w:val="-10"/>
        </w:rPr>
        <w:object w:dxaOrig="220" w:dyaOrig="240" w14:anchorId="2D839EE5">
          <v:shape id="_x0000_i4750" type="#_x0000_t75" style="width:10.9pt;height:12.1pt" o:ole="">
            <v:imagedata r:id="rId7498" o:title=""/>
          </v:shape>
          <o:OLEObject Type="Embed" ProgID="Equation.DSMT4" ShapeID="_x0000_i4750" DrawAspect="Content" ObjectID="_1791378694" r:id="rId7499"/>
        </w:object>
      </w:r>
      <w:r w:rsidRPr="00D94694">
        <w:rPr>
          <w:rFonts w:hint="cs"/>
          <w:i/>
          <w:sz w:val="23"/>
          <w:szCs w:val="23"/>
          <w:rtl/>
        </w:rPr>
        <w:t xml:space="preserve"> را دریافت خواهد کرد. چنانچه شوک ثروت اتفاق افتد و پرداختی بیمه</w:t>
      </w:r>
      <w:r w:rsidRPr="00D94694">
        <w:rPr>
          <w:i/>
          <w:sz w:val="23"/>
          <w:szCs w:val="23"/>
          <w:rtl/>
        </w:rPr>
        <w:softHyphen/>
      </w:r>
      <w:r w:rsidRPr="00D94694">
        <w:rPr>
          <w:rFonts w:hint="cs"/>
          <w:i/>
          <w:sz w:val="23"/>
          <w:szCs w:val="23"/>
          <w:rtl/>
        </w:rPr>
        <w:t>گر</w:t>
      </w:r>
      <w:r w:rsidRPr="00D94694">
        <w:rPr>
          <w:position w:val="-6"/>
        </w:rPr>
        <w:object w:dxaOrig="200" w:dyaOrig="200" w14:anchorId="2D7370F6">
          <v:shape id="_x0000_i4751" type="#_x0000_t75" style="width:10.3pt;height:10.3pt" o:ole="">
            <v:imagedata r:id="rId7500" o:title=""/>
          </v:shape>
          <o:OLEObject Type="Embed" ProgID="Equation.DSMT4" ShapeID="_x0000_i4751" DrawAspect="Content" ObjectID="_1791378695" r:id="rId7501"/>
        </w:object>
      </w:r>
      <w:r w:rsidRPr="00D94694">
        <w:rPr>
          <w:rFonts w:hint="cs"/>
          <w:i/>
          <w:sz w:val="23"/>
          <w:szCs w:val="23"/>
          <w:rtl/>
        </w:rPr>
        <w:t xml:space="preserve"> باشد، آنگاه سودهای انتظاری برابر خواهد بود با </w:t>
      </w:r>
      <w:r w:rsidRPr="00D94694">
        <w:rPr>
          <w:position w:val="-12"/>
        </w:rPr>
        <w:object w:dxaOrig="1880" w:dyaOrig="360" w14:anchorId="40C168EE">
          <v:shape id="_x0000_i4752" type="#_x0000_t75" style="width:93.8pt;height:18.15pt" o:ole="">
            <v:imagedata r:id="rId7502" o:title=""/>
          </v:shape>
          <o:OLEObject Type="Embed" ProgID="Equation.DSMT4" ShapeID="_x0000_i4752" DrawAspect="Content" ObjectID="_1791378696" r:id="rId7503"/>
        </w:object>
      </w:r>
      <w:r w:rsidRPr="00D94694">
        <w:rPr>
          <w:i/>
          <w:sz w:val="23"/>
          <w:szCs w:val="23"/>
        </w:rPr>
        <w:t>.</w:t>
      </w:r>
      <w:r w:rsidRPr="00D94694">
        <w:rPr>
          <w:rFonts w:hint="cs"/>
          <w:i/>
          <w:sz w:val="23"/>
          <w:szCs w:val="23"/>
          <w:rtl/>
        </w:rPr>
        <w:t xml:space="preserve"> بنابراین سود بیمه</w:t>
      </w:r>
      <w:r w:rsidRPr="00D94694">
        <w:rPr>
          <w:i/>
          <w:sz w:val="23"/>
          <w:szCs w:val="23"/>
          <w:rtl/>
        </w:rPr>
        <w:softHyphen/>
      </w:r>
      <w:r w:rsidRPr="00D94694">
        <w:rPr>
          <w:rFonts w:hint="cs"/>
          <w:i/>
          <w:sz w:val="23"/>
          <w:szCs w:val="23"/>
          <w:rtl/>
        </w:rPr>
        <w:t>گر برابر است با</w:t>
      </w:r>
    </w:p>
    <w:p w14:paraId="490FB241" w14:textId="77777777" w:rsidR="00411620" w:rsidRPr="00D94694" w:rsidRDefault="00411620" w:rsidP="00411620">
      <w:pPr>
        <w:bidi w:val="0"/>
        <w:rPr>
          <w:i/>
          <w:sz w:val="23"/>
          <w:szCs w:val="23"/>
          <w:rtl/>
        </w:rPr>
      </w:pPr>
      <w:r w:rsidRPr="00D94694">
        <w:rPr>
          <w:position w:val="-22"/>
        </w:rPr>
        <w:object w:dxaOrig="2880" w:dyaOrig="560" w14:anchorId="56E34AF3">
          <v:shape id="_x0000_i4753" type="#_x0000_t75" style="width:2in;height:27.85pt" o:ole="">
            <v:imagedata r:id="rId7504" o:title=""/>
          </v:shape>
          <o:OLEObject Type="Embed" ProgID="Equation.DSMT4" ShapeID="_x0000_i4753" DrawAspect="Content" ObjectID="_1791378697" r:id="rId7505"/>
        </w:object>
      </w:r>
    </w:p>
    <w:p w14:paraId="7A364831" w14:textId="77777777" w:rsidR="00411620" w:rsidRPr="00D94694" w:rsidRDefault="00411620" w:rsidP="00411620">
      <w:pPr>
        <w:pStyle w:val="Heading1"/>
        <w:spacing w:before="0" w:line="216" w:lineRule="auto"/>
        <w:rPr>
          <w:rFonts w:ascii="Times New Roman" w:hAnsi="Times New Roman" w:cs="B Nazanin"/>
          <w:b w:val="0"/>
          <w:i/>
          <w:sz w:val="23"/>
          <w:szCs w:val="23"/>
          <w:rtl/>
        </w:rPr>
      </w:pPr>
      <w:r w:rsidRPr="00D94694">
        <w:rPr>
          <w:rFonts w:ascii="Times New Roman" w:hAnsi="Times New Roman" w:cs="B Nazanin" w:hint="cs"/>
          <w:b w:val="0"/>
          <w:i/>
          <w:sz w:val="23"/>
          <w:szCs w:val="23"/>
          <w:rtl/>
        </w:rPr>
        <w:t>۴.۱۱ کارایی بازار و عدم وجود آربیتراژ</w:t>
      </w:r>
    </w:p>
    <w:p w14:paraId="0F7C852D" w14:textId="77777777" w:rsidR="00411620" w:rsidRPr="00D94694" w:rsidRDefault="00411620" w:rsidP="00411620">
      <w:pPr>
        <w:spacing w:line="216" w:lineRule="auto"/>
        <w:rPr>
          <w:i/>
          <w:sz w:val="23"/>
          <w:szCs w:val="23"/>
          <w:rtl/>
        </w:rPr>
      </w:pPr>
      <w:r w:rsidRPr="00D94694">
        <w:rPr>
          <w:rFonts w:hint="cs"/>
          <w:i/>
          <w:sz w:val="23"/>
          <w:szCs w:val="23"/>
          <w:rtl/>
        </w:rPr>
        <w:t>این</w:t>
      </w:r>
      <w:r w:rsidRPr="00D94694">
        <w:rPr>
          <w:i/>
          <w:sz w:val="23"/>
          <w:szCs w:val="23"/>
          <w:rtl/>
        </w:rPr>
        <w:softHyphen/>
      </w:r>
      <w:r w:rsidRPr="00D94694">
        <w:rPr>
          <w:rFonts w:hint="cs"/>
          <w:i/>
          <w:sz w:val="23"/>
          <w:szCs w:val="23"/>
          <w:rtl/>
        </w:rPr>
        <w:t>که دارایی‌های مالی در بازار بدرستی قیمت‌گذاری شده یا خیر موضوع آربیتراژ و یا عدم وجود آربیتراژ است. پرتفوی آربیتراژ یک پرتفوی خود-تأمین مالی با هزینه‌ی صفر یا منفی است که عایدی مثبت دارد. به تعبیری پرتفوی آربیتراژ چیزی را در مقابل هیچ چیز به سرمایه‌گذار خواهد بخشید. البته این فرصت‌های سرمایه‌گذاری در بازارهای مالی بندرت قابل حصول و دسترسی است. در بازارهای مالی که در آن فرصت‌های آربیتراژ وجود دارد، قیمت دارایی‌های با آربیتراژ، در رقابت با دیگر دارایی‌ها افزایش یافته، و لذا فرصت‌های آربیتراژ به سرعت از بین خواهد رفت. در نظریه قیمت‌گذاری دارایی‌های مالی فرض می‌شود که فرصت‌های آربیتراژ وجود ندارد، و در بازارِ کارا، قیمت‌گذاری دارایی‌های مالی بگونه</w:t>
      </w:r>
      <w:r w:rsidRPr="00D94694">
        <w:rPr>
          <w:i/>
          <w:sz w:val="23"/>
          <w:szCs w:val="23"/>
          <w:rtl/>
        </w:rPr>
        <w:softHyphen/>
      </w:r>
      <w:r w:rsidRPr="00D94694">
        <w:rPr>
          <w:rFonts w:hint="cs"/>
          <w:i/>
          <w:sz w:val="23"/>
          <w:szCs w:val="23"/>
          <w:rtl/>
        </w:rPr>
        <w:t xml:space="preserve">ای است که فرصت‌های آربیتراژ سریعاً از بین می‌رود. همچنین پرتفوی بدون آربیتراژ یک پرتفوی خود-تأمین مالی است که در آن عایدی وجود نداشته باشد. </w:t>
      </w:r>
    </w:p>
    <w:p w14:paraId="370DCF1D" w14:textId="77777777" w:rsidR="00411620" w:rsidRPr="00D94694" w:rsidRDefault="00411620" w:rsidP="00411620">
      <w:pPr>
        <w:spacing w:line="216" w:lineRule="auto"/>
        <w:rPr>
          <w:bCs/>
          <w:i/>
          <w:sz w:val="23"/>
          <w:szCs w:val="23"/>
        </w:rPr>
      </w:pPr>
    </w:p>
    <w:p w14:paraId="27CF551E" w14:textId="77777777" w:rsidR="00411620" w:rsidRPr="00D94694" w:rsidRDefault="00411620" w:rsidP="00411620">
      <w:pPr>
        <w:spacing w:line="216" w:lineRule="auto"/>
        <w:rPr>
          <w:bCs/>
          <w:i/>
          <w:sz w:val="23"/>
          <w:szCs w:val="23"/>
          <w:rtl/>
        </w:rPr>
      </w:pPr>
      <w:r w:rsidRPr="00D94694">
        <w:rPr>
          <w:rFonts w:hint="cs"/>
          <w:bCs/>
          <w:i/>
          <w:sz w:val="23"/>
          <w:szCs w:val="23"/>
          <w:rtl/>
        </w:rPr>
        <w:t>کارایی بازار</w:t>
      </w:r>
    </w:p>
    <w:p w14:paraId="5801219C" w14:textId="77777777" w:rsidR="00411620" w:rsidRPr="00D94694" w:rsidRDefault="00411620" w:rsidP="00411620">
      <w:pPr>
        <w:spacing w:line="216" w:lineRule="auto"/>
        <w:rPr>
          <w:i/>
          <w:sz w:val="23"/>
          <w:szCs w:val="23"/>
          <w:rtl/>
        </w:rPr>
      </w:pPr>
      <w:r w:rsidRPr="00D94694">
        <w:rPr>
          <w:rFonts w:hint="cs"/>
          <w:i/>
          <w:sz w:val="23"/>
          <w:szCs w:val="23"/>
          <w:rtl/>
        </w:rPr>
        <w:t>یک بازار، زمانی کارا است که در آن فرصت‌های آربیتراژ غیرِ توضیحی وجود نداشته و کلیه‌ی اطلاعات جدید، بیدرنگ در قیمت بازار لحاظ شود. در عمل، فرض قویِ وجود بازار کارا غیرقابل حصول است و می‌بایست به</w:t>
      </w:r>
      <w:r w:rsidRPr="00D94694">
        <w:rPr>
          <w:i/>
          <w:sz w:val="23"/>
          <w:szCs w:val="23"/>
          <w:rtl/>
        </w:rPr>
        <w:softHyphen/>
      </w:r>
      <w:r w:rsidRPr="00D94694">
        <w:rPr>
          <w:rFonts w:hint="cs"/>
          <w:i/>
          <w:sz w:val="23"/>
          <w:szCs w:val="23"/>
          <w:rtl/>
        </w:rPr>
        <w:t>عنوان ضابطه</w:t>
      </w:r>
      <w:r w:rsidRPr="00D94694">
        <w:rPr>
          <w:i/>
          <w:sz w:val="23"/>
          <w:szCs w:val="23"/>
          <w:rtl/>
        </w:rPr>
        <w:softHyphen/>
      </w:r>
      <w:r w:rsidRPr="00D94694">
        <w:rPr>
          <w:rFonts w:hint="cs"/>
          <w:i/>
          <w:sz w:val="23"/>
          <w:szCs w:val="23"/>
          <w:rtl/>
        </w:rPr>
        <w:t>ی تعادل عمومی تا حدودی تعدیل شود.</w:t>
      </w:r>
    </w:p>
    <w:p w14:paraId="3E7342FA" w14:textId="77777777" w:rsidR="00411620" w:rsidRPr="00D94694" w:rsidRDefault="00411620" w:rsidP="00411620">
      <w:pPr>
        <w:spacing w:line="216" w:lineRule="auto"/>
        <w:rPr>
          <w:i/>
          <w:sz w:val="23"/>
          <w:szCs w:val="23"/>
          <w:rtl/>
        </w:rPr>
      </w:pPr>
      <w:r w:rsidRPr="00D94694">
        <w:rPr>
          <w:rFonts w:hint="cs"/>
          <w:i/>
          <w:sz w:val="23"/>
          <w:szCs w:val="23"/>
          <w:rtl/>
        </w:rPr>
        <w:t>بازدهی یک دارایی ممکن است به صورت زیر نوشته شود</w:t>
      </w:r>
    </w:p>
    <w:p w14:paraId="66DD3A79" w14:textId="77777777" w:rsidR="00411620" w:rsidRPr="00D94694" w:rsidRDefault="00411620" w:rsidP="00411620">
      <w:pPr>
        <w:bidi w:val="0"/>
        <w:spacing w:line="216" w:lineRule="auto"/>
        <w:rPr>
          <w:i/>
          <w:sz w:val="23"/>
          <w:szCs w:val="23"/>
          <w:rtl/>
        </w:rPr>
      </w:pPr>
      <w:r w:rsidRPr="00D94694">
        <w:rPr>
          <w:position w:val="-28"/>
        </w:rPr>
        <w:object w:dxaOrig="1260" w:dyaOrig="639" w14:anchorId="68BF39F8">
          <v:shape id="_x0000_i4754" type="#_x0000_t75" style="width:62.9pt;height:32.05pt" o:ole="">
            <v:imagedata r:id="rId7506" o:title=""/>
          </v:shape>
          <o:OLEObject Type="Embed" ProgID="Equation.DSMT4" ShapeID="_x0000_i4754" DrawAspect="Content" ObjectID="_1791378698" r:id="rId7507"/>
        </w:object>
      </w:r>
      <w:r w:rsidRPr="00D94694">
        <w:rPr>
          <w:i/>
          <w:sz w:val="23"/>
          <w:szCs w:val="23"/>
          <w:rtl/>
        </w:rPr>
        <w:t xml:space="preserve"> </w:t>
      </w:r>
    </w:p>
    <w:p w14:paraId="50192300" w14:textId="77777777" w:rsidR="00411620" w:rsidRPr="00D94694" w:rsidRDefault="00411620" w:rsidP="00411620">
      <w:pPr>
        <w:spacing w:line="216" w:lineRule="auto"/>
        <w:rPr>
          <w:i/>
          <w:sz w:val="23"/>
          <w:szCs w:val="23"/>
          <w:rtl/>
        </w:rPr>
      </w:pPr>
      <w:r w:rsidRPr="00D94694">
        <w:rPr>
          <w:rFonts w:hint="cs"/>
          <w:i/>
          <w:sz w:val="23"/>
          <w:szCs w:val="23"/>
          <w:rtl/>
        </w:rPr>
        <w:t>که در آن</w:t>
      </w:r>
      <w:r w:rsidRPr="00D94694">
        <w:rPr>
          <w:position w:val="-10"/>
        </w:rPr>
        <w:object w:dxaOrig="240" w:dyaOrig="320" w14:anchorId="0B1FDC4D">
          <v:shape id="_x0000_i4755" type="#_x0000_t75" style="width:12.1pt;height:15.75pt" o:ole="">
            <v:imagedata r:id="rId7508" o:title=""/>
          </v:shape>
          <o:OLEObject Type="Embed" ProgID="Equation.DSMT4" ShapeID="_x0000_i4755" DrawAspect="Content" ObjectID="_1791378699" r:id="rId7509"/>
        </w:object>
      </w:r>
      <w:r w:rsidRPr="00D94694">
        <w:rPr>
          <w:rFonts w:hint="cs"/>
          <w:i/>
          <w:sz w:val="23"/>
          <w:szCs w:val="23"/>
          <w:rtl/>
        </w:rPr>
        <w:t xml:space="preserve"> قیمت دارایی در ابتدای دوره، و</w:t>
      </w:r>
      <w:r w:rsidRPr="00D94694">
        <w:rPr>
          <w:position w:val="-10"/>
        </w:rPr>
        <w:object w:dxaOrig="420" w:dyaOrig="320" w14:anchorId="60533D74">
          <v:shape id="_x0000_i4756" type="#_x0000_t75" style="width:21.2pt;height:15.75pt" o:ole="">
            <v:imagedata r:id="rId7510" o:title=""/>
          </v:shape>
          <o:OLEObject Type="Embed" ProgID="Equation.DSMT4" ShapeID="_x0000_i4756" DrawAspect="Content" ObjectID="_1791378700" r:id="rId7511"/>
        </w:object>
      </w:r>
      <w:r w:rsidRPr="00D94694">
        <w:rPr>
          <w:rFonts w:hint="cs"/>
          <w:i/>
          <w:sz w:val="23"/>
          <w:szCs w:val="23"/>
          <w:rtl/>
        </w:rPr>
        <w:t xml:space="preserve"> ارزش یا عایدی آن دارایی در ابتدای دوره‌ی بعد می‌باشد. بنابراین برای هر دارایی ریسکی</w:t>
      </w:r>
      <w:r w:rsidRPr="00D94694">
        <w:rPr>
          <w:position w:val="-6"/>
        </w:rPr>
        <w:object w:dxaOrig="139" w:dyaOrig="260" w14:anchorId="74696FEB">
          <v:shape id="_x0000_i4757" type="#_x0000_t75" style="width:7.25pt;height:13.3pt" o:ole="">
            <v:imagedata r:id="rId7512" o:title=""/>
          </v:shape>
          <o:OLEObject Type="Embed" ProgID="Equation.DSMT4" ShapeID="_x0000_i4757" DrawAspect="Content" ObjectID="_1791378701" r:id="rId7513"/>
        </w:object>
      </w:r>
      <w:r w:rsidRPr="00D94694">
        <w:rPr>
          <w:i/>
          <w:sz w:val="23"/>
          <w:szCs w:val="23"/>
        </w:rPr>
        <w:t xml:space="preserve"> </w:t>
      </w:r>
      <w:r w:rsidRPr="00D94694">
        <w:rPr>
          <w:rFonts w:hint="cs"/>
          <w:i/>
          <w:sz w:val="23"/>
          <w:szCs w:val="23"/>
          <w:rtl/>
        </w:rPr>
        <w:t>با بازدهی</w:t>
      </w:r>
      <w:r w:rsidRPr="00D94694">
        <w:rPr>
          <w:position w:val="-12"/>
        </w:rPr>
        <w:object w:dxaOrig="400" w:dyaOrig="340" w14:anchorId="0BF76FFA">
          <v:shape id="_x0000_i4758" type="#_x0000_t75" style="width:19.95pt;height:16.95pt" o:ole="">
            <v:imagedata r:id="rId7514" o:title=""/>
          </v:shape>
          <o:OLEObject Type="Embed" ProgID="Equation.DSMT4" ShapeID="_x0000_i4758" DrawAspect="Content" ObjectID="_1791378702" r:id="rId7515"/>
        </w:object>
      </w:r>
      <w:r w:rsidRPr="00D94694">
        <w:rPr>
          <w:rFonts w:hint="cs"/>
          <w:i/>
          <w:sz w:val="23"/>
          <w:szCs w:val="23"/>
          <w:rtl/>
        </w:rPr>
        <w:t>، عدم وجود فرصت‌های آربیتراژ مبین آن است که</w:t>
      </w:r>
    </w:p>
    <w:p w14:paraId="6F60982E" w14:textId="77777777" w:rsidR="00411620" w:rsidRPr="00D94694" w:rsidRDefault="00411620" w:rsidP="00411620">
      <w:pPr>
        <w:bidi w:val="0"/>
        <w:spacing w:line="216" w:lineRule="auto"/>
        <w:rPr>
          <w:i/>
          <w:sz w:val="23"/>
          <w:szCs w:val="23"/>
          <w:rtl/>
        </w:rPr>
      </w:pPr>
      <w:r w:rsidRPr="00D94694">
        <w:rPr>
          <w:position w:val="-12"/>
        </w:rPr>
        <w:object w:dxaOrig="1500" w:dyaOrig="360" w14:anchorId="2E8F88FC">
          <v:shape id="_x0000_i4759" type="#_x0000_t75" style="width:75.05pt;height:18.15pt" o:ole="">
            <v:imagedata r:id="rId7516" o:title=""/>
          </v:shape>
          <o:OLEObject Type="Embed" ProgID="Equation.DSMT4" ShapeID="_x0000_i4759" DrawAspect="Content" ObjectID="_1791378703" r:id="rId7517"/>
        </w:object>
      </w:r>
      <w:r w:rsidRPr="00D94694">
        <w:rPr>
          <w:i/>
          <w:sz w:val="23"/>
          <w:szCs w:val="23"/>
          <w:rtl/>
        </w:rPr>
        <w:tab/>
      </w:r>
      <w:r w:rsidRPr="00D94694">
        <w:rPr>
          <w:i/>
          <w:sz w:val="23"/>
          <w:szCs w:val="23"/>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rFonts w:hint="cs"/>
          <w:i/>
          <w:sz w:val="23"/>
          <w:szCs w:val="23"/>
          <w:rtl/>
        </w:rPr>
        <w:t xml:space="preserve"> </w:t>
      </w:r>
      <w:r w:rsidRPr="00D94694">
        <w:rPr>
          <w:i/>
          <w:sz w:val="23"/>
          <w:szCs w:val="23"/>
          <w:rtl/>
        </w:rPr>
        <w:tab/>
      </w:r>
      <w:r>
        <w:rPr>
          <w:i/>
          <w:sz w:val="23"/>
          <w:szCs w:val="23"/>
          <w:rtl/>
        </w:rPr>
        <w:tab/>
      </w:r>
      <w:r w:rsidRPr="00D94694">
        <w:rPr>
          <w:i/>
          <w:sz w:val="23"/>
          <w:szCs w:val="23"/>
        </w:rPr>
        <w:tab/>
      </w:r>
      <w:r w:rsidRPr="00D94694">
        <w:rPr>
          <w:i/>
          <w:sz w:val="23"/>
          <w:szCs w:val="23"/>
          <w:rtl/>
        </w:rPr>
        <w:tab/>
      </w:r>
      <w:r w:rsidRPr="00D94694">
        <w:rPr>
          <w:rFonts w:hint="cs"/>
          <w:i/>
          <w:sz w:val="23"/>
          <w:szCs w:val="23"/>
          <w:rtl/>
        </w:rPr>
        <w:t xml:space="preserve"> (۱۱. ۸)</w:t>
      </w:r>
    </w:p>
    <w:p w14:paraId="67BB0D1A" w14:textId="77777777" w:rsidR="00411620" w:rsidRPr="00D94694" w:rsidRDefault="00411620" w:rsidP="00411620">
      <w:pPr>
        <w:spacing w:line="216" w:lineRule="auto"/>
        <w:rPr>
          <w:i/>
          <w:sz w:val="23"/>
          <w:szCs w:val="23"/>
          <w:rtl/>
        </w:rPr>
      </w:pPr>
      <w:r w:rsidRPr="00D94694">
        <w:rPr>
          <w:rFonts w:hint="cs"/>
          <w:i/>
          <w:sz w:val="23"/>
          <w:szCs w:val="23"/>
          <w:rtl/>
        </w:rPr>
        <w:t>که درآن</w:t>
      </w:r>
      <w:r w:rsidRPr="00D94694">
        <w:rPr>
          <w:position w:val="-10"/>
        </w:rPr>
        <w:object w:dxaOrig="240" w:dyaOrig="340" w14:anchorId="53870A1B">
          <v:shape id="_x0000_i4760" type="#_x0000_t75" style="width:12.1pt;height:16.95pt" o:ole="">
            <v:imagedata r:id="rId7518" o:title=""/>
          </v:shape>
          <o:OLEObject Type="Embed" ProgID="Equation.DSMT4" ShapeID="_x0000_i4760" DrawAspect="Content" ObjectID="_1791378704" r:id="rId7519"/>
        </w:object>
      </w:r>
      <w:r w:rsidRPr="00D94694">
        <w:rPr>
          <w:rFonts w:hint="cs"/>
          <w:i/>
          <w:sz w:val="23"/>
          <w:szCs w:val="23"/>
          <w:rtl/>
        </w:rPr>
        <w:t xml:space="preserve"> بازدهی دارایی بدون ریسک در ابتدای دوره‌ی </w:t>
      </w:r>
      <w:r w:rsidRPr="00D94694">
        <w:rPr>
          <w:i/>
          <w:sz w:val="23"/>
          <w:szCs w:val="23"/>
        </w:rPr>
        <w:t>t</w:t>
      </w:r>
      <w:r w:rsidRPr="00D94694">
        <w:rPr>
          <w:rFonts w:hint="cs"/>
          <w:i/>
          <w:sz w:val="23"/>
          <w:szCs w:val="23"/>
          <w:rtl/>
        </w:rPr>
        <w:t>، و</w:t>
      </w:r>
      <w:r w:rsidRPr="00D94694">
        <w:rPr>
          <w:position w:val="-12"/>
        </w:rPr>
        <w:object w:dxaOrig="320" w:dyaOrig="340" w14:anchorId="7E9B907C">
          <v:shape id="_x0000_i4761" type="#_x0000_t75" style="width:15.75pt;height:16.95pt" o:ole="">
            <v:imagedata r:id="rId7520" o:title=""/>
          </v:shape>
          <o:OLEObject Type="Embed" ProgID="Equation.DSMT4" ShapeID="_x0000_i4761" DrawAspect="Content" ObjectID="_1791378705" r:id="rId7521"/>
        </w:object>
      </w:r>
      <w:r w:rsidRPr="00D94694">
        <w:rPr>
          <w:rFonts w:hint="cs"/>
          <w:i/>
          <w:sz w:val="23"/>
          <w:szCs w:val="23"/>
          <w:rtl/>
        </w:rPr>
        <w:t xml:space="preserve"> پاداش ریسک دارایی</w:t>
      </w:r>
      <w:r w:rsidRPr="00D94694">
        <w:rPr>
          <w:position w:val="-6"/>
        </w:rPr>
        <w:object w:dxaOrig="139" w:dyaOrig="260" w14:anchorId="3102EDB8">
          <v:shape id="_x0000_i4762" type="#_x0000_t75" style="width:7.25pt;height:13.3pt" o:ole="">
            <v:imagedata r:id="rId7522" o:title=""/>
          </v:shape>
          <o:OLEObject Type="Embed" ProgID="Equation.DSMT4" ShapeID="_x0000_i4762" DrawAspect="Content" ObjectID="_1791378706" r:id="rId7523"/>
        </w:object>
      </w:r>
      <w:r w:rsidRPr="00D94694">
        <w:rPr>
          <w:rFonts w:hint="cs"/>
          <w:i/>
          <w:sz w:val="23"/>
          <w:szCs w:val="23"/>
          <w:rtl/>
        </w:rPr>
        <w:t xml:space="preserve">در ابتدای دوره‌ی </w:t>
      </w:r>
      <w:r w:rsidRPr="00D94694">
        <w:rPr>
          <w:i/>
          <w:sz w:val="23"/>
          <w:szCs w:val="23"/>
        </w:rPr>
        <w:t>t</w:t>
      </w:r>
      <w:r w:rsidRPr="00D94694">
        <w:rPr>
          <w:rFonts w:hint="cs"/>
          <w:i/>
          <w:sz w:val="23"/>
          <w:szCs w:val="23"/>
          <w:rtl/>
        </w:rPr>
        <w:t xml:space="preserve"> است.</w:t>
      </w:r>
    </w:p>
    <w:p w14:paraId="0DF289F9" w14:textId="77777777" w:rsidR="00411620" w:rsidRPr="00D94694" w:rsidRDefault="00411620" w:rsidP="00411620">
      <w:pPr>
        <w:spacing w:line="216" w:lineRule="auto"/>
        <w:rPr>
          <w:i/>
          <w:sz w:val="23"/>
          <w:szCs w:val="23"/>
          <w:rtl/>
        </w:rPr>
      </w:pPr>
      <w:r w:rsidRPr="00D94694">
        <w:rPr>
          <w:rFonts w:hint="cs"/>
          <w:i/>
          <w:sz w:val="23"/>
          <w:szCs w:val="23"/>
          <w:rtl/>
        </w:rPr>
        <w:t>رابطه‌ی (۱۱. ۸) نشان می‌دهد که قیمت‌گذاری دارایی‌ها، مشمول قیمت‌گذاری یک دارایی نسبت به دارایی دیگر مثلاً نرخ بدون ریسک، به انضمام پاداش ریسک است. نظریه‌های مالی سنتی معمولاً پاداش ریسک را به مجموعه عوامل تعیین کننده</w:t>
      </w:r>
      <w:r w:rsidRPr="00D94694">
        <w:rPr>
          <w:i/>
          <w:sz w:val="23"/>
          <w:szCs w:val="23"/>
          <w:rtl/>
        </w:rPr>
        <w:softHyphen/>
      </w:r>
      <w:r w:rsidRPr="00D94694">
        <w:rPr>
          <w:rFonts w:hint="cs"/>
          <w:i/>
          <w:sz w:val="23"/>
          <w:szCs w:val="23"/>
          <w:rtl/>
        </w:rPr>
        <w:t xml:space="preserve">ی رفتار گذشته‌ی قیمت‌های دارایی مرتبط می‌کنند. در مقابل، نظریه تعادل عمومی قیمت‌گذاری دارایی، اصولاً بر مبنای تصریح منابع بنیادین ریسک </w:t>
      </w:r>
      <w:r w:rsidRPr="00D94694">
        <w:rPr>
          <w:rFonts w:hint="cs"/>
          <w:i/>
          <w:sz w:val="23"/>
          <w:szCs w:val="23"/>
          <w:rtl/>
        </w:rPr>
        <w:lastRenderedPageBreak/>
        <w:t xml:space="preserve">است، و این منابع ریسک مبتنی است بر نوسانات متغیرهای اقتصاد کلان و نااطمینانی که عمدتاً از نوسانات غیرمنتظره‌ی تولید و تورم در اقتصاد داخلی و خارجی ناشی می‌شوند. </w:t>
      </w:r>
    </w:p>
    <w:p w14:paraId="2CA3BBAC" w14:textId="77777777" w:rsidR="00411620" w:rsidRPr="00D94694" w:rsidRDefault="00411620" w:rsidP="00411620">
      <w:pPr>
        <w:spacing w:line="216" w:lineRule="auto"/>
        <w:rPr>
          <w:i/>
          <w:sz w:val="23"/>
          <w:szCs w:val="23"/>
          <w:rtl/>
        </w:rPr>
      </w:pPr>
      <w:r w:rsidRPr="00D94694">
        <w:rPr>
          <w:rFonts w:hint="cs"/>
          <w:i/>
          <w:sz w:val="23"/>
          <w:szCs w:val="23"/>
          <w:rtl/>
        </w:rPr>
        <w:t>اگر بازار کارا باشند، آنگاه رابطه‌ی (۱۱. ۸) برقرار خواهد بود. در ادبیات اقتصادی، معمولاً و به اشتباه کارایی بازار در رابطه‌ی (۱۱. ۸) را بدون در نظر گرفتن پاداش ریسک</w:t>
      </w:r>
      <w:r w:rsidRPr="00D94694">
        <w:rPr>
          <w:position w:val="-12"/>
        </w:rPr>
        <w:object w:dxaOrig="320" w:dyaOrig="340" w14:anchorId="58666B4F">
          <v:shape id="_x0000_i4763" type="#_x0000_t75" style="width:15.75pt;height:16.95pt" o:ole="">
            <v:imagedata r:id="rId7524" o:title=""/>
          </v:shape>
          <o:OLEObject Type="Embed" ProgID="Equation.DSMT4" ShapeID="_x0000_i4763" DrawAspect="Content" ObjectID="_1791378707" r:id="rId7525"/>
        </w:object>
      </w:r>
      <w:r w:rsidRPr="00D94694">
        <w:rPr>
          <w:rFonts w:hint="cs"/>
          <w:i/>
          <w:sz w:val="23"/>
          <w:szCs w:val="23"/>
          <w:rtl/>
        </w:rPr>
        <w:t xml:space="preserve"> در نظر می</w:t>
      </w:r>
      <w:r w:rsidRPr="00D94694">
        <w:rPr>
          <w:i/>
          <w:sz w:val="23"/>
          <w:szCs w:val="23"/>
          <w:rtl/>
        </w:rPr>
        <w:softHyphen/>
      </w:r>
      <w:r w:rsidRPr="00D94694">
        <w:rPr>
          <w:rFonts w:hint="cs"/>
          <w:i/>
          <w:sz w:val="23"/>
          <w:szCs w:val="23"/>
          <w:rtl/>
        </w:rPr>
        <w:t>گیرند. به تعبیری دیگر، در بازار کارا، لگاریتم قیمت‌های دارایی، متغیری است با گام</w:t>
      </w:r>
      <w:r w:rsidRPr="00D94694">
        <w:rPr>
          <w:i/>
          <w:sz w:val="23"/>
          <w:szCs w:val="23"/>
          <w:rtl/>
        </w:rPr>
        <w:softHyphen/>
      </w:r>
      <w:r w:rsidRPr="00D94694">
        <w:rPr>
          <w:rFonts w:hint="cs"/>
          <w:i/>
          <w:sz w:val="23"/>
          <w:szCs w:val="23"/>
          <w:rtl/>
        </w:rPr>
        <w:t xml:space="preserve"> تصادفی. در اینجا باید به این نکته اشاره شود که تنها در صورتی پاداش ریسک در رابطه‌ی (۱۱. ۸) لحاظ نمی</w:t>
      </w:r>
      <w:r w:rsidRPr="00D94694">
        <w:rPr>
          <w:i/>
          <w:sz w:val="23"/>
          <w:szCs w:val="23"/>
          <w:rtl/>
        </w:rPr>
        <w:softHyphen/>
      </w:r>
      <w:r w:rsidRPr="00D94694">
        <w:rPr>
          <w:rFonts w:hint="cs"/>
          <w:i/>
          <w:sz w:val="23"/>
          <w:szCs w:val="23"/>
          <w:rtl/>
        </w:rPr>
        <w:t>شود که سرمایه‌گذار نسبت به پذیرش ریسک خنثی باشد. از آن جا که پاداش ریسک به رفتار سرمایه‌گذار نسبت به ریسک وابسته است، و این رفتار مستقیماً قابل مشاهده نیست، لذا آزمون کارایی بازار مستلزم مفروضات بیشتری در خصوص پاداش ریسک خواهد بود. لذا عدم پذیرش و رد کارایی بازار ممکن است بدلیل این مفروضاتِ مکمل، گمراه کننده و غلط باشد.</w:t>
      </w:r>
    </w:p>
    <w:p w14:paraId="20638164" w14:textId="77777777" w:rsidR="00411620" w:rsidRPr="00D94694" w:rsidRDefault="00411620" w:rsidP="00411620">
      <w:pPr>
        <w:spacing w:line="216" w:lineRule="auto"/>
        <w:rPr>
          <w:i/>
          <w:sz w:val="23"/>
          <w:szCs w:val="23"/>
          <w:rtl/>
        </w:rPr>
      </w:pPr>
      <w:r w:rsidRPr="00D94694">
        <w:rPr>
          <w:rFonts w:hint="cs"/>
          <w:i/>
          <w:sz w:val="23"/>
          <w:szCs w:val="23"/>
          <w:rtl/>
        </w:rPr>
        <w:t>اگر بازدهی یک دارایی فقط سود سرمایه باشد،</w:t>
      </w:r>
      <w:r w:rsidRPr="00D94694">
        <w:rPr>
          <w:i/>
          <w:sz w:val="23"/>
          <w:szCs w:val="23"/>
        </w:rPr>
        <w:t xml:space="preserve"> </w:t>
      </w:r>
      <w:r w:rsidRPr="00D94694">
        <w:rPr>
          <w:rFonts w:hint="cs"/>
          <w:i/>
          <w:sz w:val="23"/>
          <w:szCs w:val="23"/>
          <w:rtl/>
        </w:rPr>
        <w:t>آنگاه</w:t>
      </w:r>
      <w:r w:rsidRPr="00D94694">
        <w:rPr>
          <w:position w:val="-12"/>
        </w:rPr>
        <w:object w:dxaOrig="1140" w:dyaOrig="340" w14:anchorId="6C2F89C4">
          <v:shape id="_x0000_i4764" type="#_x0000_t75" style="width:56.85pt;height:16.95pt" o:ole="">
            <v:imagedata r:id="rId7526" o:title=""/>
          </v:shape>
          <o:OLEObject Type="Embed" ProgID="Equation.DSMT4" ShapeID="_x0000_i4764" DrawAspect="Content" ObjectID="_1791378708" r:id="rId7527"/>
        </w:object>
      </w:r>
      <w:r w:rsidRPr="00D94694">
        <w:rPr>
          <w:rFonts w:hint="cs"/>
          <w:i/>
          <w:sz w:val="23"/>
          <w:szCs w:val="23"/>
          <w:rtl/>
        </w:rPr>
        <w:t xml:space="preserve"> است، که در آن</w:t>
      </w:r>
      <w:r w:rsidRPr="00D94694">
        <w:rPr>
          <w:position w:val="-12"/>
        </w:rPr>
        <w:object w:dxaOrig="1140" w:dyaOrig="340" w14:anchorId="76C51CC2">
          <v:shape id="_x0000_i4765" type="#_x0000_t75" style="width:56.85pt;height:16.95pt" o:ole="">
            <v:imagedata r:id="rId7528" o:title=""/>
          </v:shape>
          <o:OLEObject Type="Embed" ProgID="Equation.DSMT4" ShapeID="_x0000_i4765" DrawAspect="Content" ObjectID="_1791378709" r:id="rId7529"/>
        </w:object>
      </w:r>
      <w:r w:rsidRPr="00D94694">
        <w:rPr>
          <w:rFonts w:hint="cs"/>
          <w:i/>
          <w:sz w:val="23"/>
          <w:szCs w:val="23"/>
          <w:rtl/>
        </w:rPr>
        <w:t>می</w:t>
      </w:r>
      <w:r w:rsidRPr="00D94694">
        <w:rPr>
          <w:i/>
          <w:sz w:val="23"/>
          <w:szCs w:val="23"/>
          <w:rtl/>
        </w:rPr>
        <w:softHyphen/>
      </w:r>
      <w:r w:rsidRPr="00D94694">
        <w:rPr>
          <w:rFonts w:hint="cs"/>
          <w:i/>
          <w:sz w:val="23"/>
          <w:szCs w:val="23"/>
          <w:rtl/>
        </w:rPr>
        <w:t>باشد. در این صورت خواهیم داشت</w:t>
      </w:r>
    </w:p>
    <w:p w14:paraId="24678CE1" w14:textId="77777777" w:rsidR="00411620" w:rsidRPr="00D94694" w:rsidRDefault="00411620" w:rsidP="00411620">
      <w:pPr>
        <w:bidi w:val="0"/>
        <w:spacing w:line="216" w:lineRule="auto"/>
        <w:rPr>
          <w:i/>
          <w:sz w:val="23"/>
          <w:szCs w:val="23"/>
        </w:rPr>
      </w:pPr>
      <w:r w:rsidRPr="00D94694">
        <w:rPr>
          <w:position w:val="-12"/>
        </w:rPr>
        <w:object w:dxaOrig="2040" w:dyaOrig="360" w14:anchorId="02ED48B9">
          <v:shape id="_x0000_i4766" type="#_x0000_t75" style="width:102.25pt;height:18.15pt" o:ole="">
            <v:imagedata r:id="rId7530" o:title=""/>
          </v:shape>
          <o:OLEObject Type="Embed" ProgID="Equation.DSMT4" ShapeID="_x0000_i4766" DrawAspect="Content" ObjectID="_1791378710" r:id="rId7531"/>
        </w:object>
      </w:r>
      <w:r w:rsidRPr="00D94694">
        <w:rPr>
          <w:i/>
          <w:sz w:val="23"/>
          <w:szCs w:val="23"/>
          <w:rtl/>
        </w:rPr>
        <w:tab/>
        <w:t xml:space="preserve"> </w:t>
      </w:r>
    </w:p>
    <w:p w14:paraId="33946C61" w14:textId="77777777" w:rsidR="00411620" w:rsidRPr="00D94694" w:rsidRDefault="00411620" w:rsidP="00411620">
      <w:pPr>
        <w:spacing w:line="216" w:lineRule="auto"/>
        <w:rPr>
          <w:i/>
          <w:sz w:val="23"/>
          <w:szCs w:val="23"/>
          <w:rtl/>
        </w:rPr>
      </w:pPr>
      <w:r w:rsidRPr="00D94694">
        <w:rPr>
          <w:rFonts w:hint="cs"/>
          <w:i/>
          <w:sz w:val="23"/>
          <w:szCs w:val="23"/>
          <w:rtl/>
        </w:rPr>
        <w:t>که در آن فرض می‌شود جزء خطا</w:t>
      </w:r>
      <w:r w:rsidRPr="00D94694">
        <w:rPr>
          <w:position w:val="-12"/>
        </w:rPr>
        <w:object w:dxaOrig="300" w:dyaOrig="340" w14:anchorId="640B99A0">
          <v:shape id="_x0000_i4767" type="#_x0000_t75" style="width:15.15pt;height:16.95pt" o:ole="">
            <v:imagedata r:id="rId7532" o:title=""/>
          </v:shape>
          <o:OLEObject Type="Embed" ProgID="Equation.DSMT4" ShapeID="_x0000_i4767" DrawAspect="Content" ObjectID="_1791378711" r:id="rId7533"/>
        </w:object>
      </w:r>
      <w:r w:rsidRPr="00D94694">
        <w:rPr>
          <w:rFonts w:hint="cs"/>
          <w:i/>
          <w:sz w:val="23"/>
          <w:szCs w:val="23"/>
          <w:rtl/>
        </w:rPr>
        <w:t xml:space="preserve"> برابر است با</w:t>
      </w:r>
      <w:r w:rsidRPr="00D94694">
        <w:rPr>
          <w:position w:val="-12"/>
        </w:rPr>
        <w:object w:dxaOrig="1880" w:dyaOrig="340" w14:anchorId="2C1186B7">
          <v:shape id="_x0000_i4768" type="#_x0000_t75" style="width:93.8pt;height:16.95pt" o:ole="">
            <v:imagedata r:id="rId7534" o:title=""/>
          </v:shape>
          <o:OLEObject Type="Embed" ProgID="Equation.DSMT4" ShapeID="_x0000_i4768" DrawAspect="Content" ObjectID="_1791378712" r:id="rId7535"/>
        </w:object>
      </w:r>
      <w:r w:rsidRPr="00D94694">
        <w:rPr>
          <w:i/>
          <w:sz w:val="23"/>
          <w:szCs w:val="23"/>
          <w:rtl/>
        </w:rPr>
        <w:t xml:space="preserve"> </w:t>
      </w:r>
      <w:r w:rsidRPr="00D94694">
        <w:rPr>
          <w:rFonts w:hint="cs"/>
          <w:i/>
          <w:sz w:val="23"/>
          <w:szCs w:val="23"/>
          <w:rtl/>
        </w:rPr>
        <w:t>و متغیری است تصادفی، مستقل، با توزیع یکسان و میانگین صفر. بنابراین قیمت‌ دارایی متغیری است با گام</w:t>
      </w:r>
      <w:r w:rsidRPr="00D94694">
        <w:rPr>
          <w:i/>
          <w:sz w:val="23"/>
          <w:szCs w:val="23"/>
          <w:rtl/>
        </w:rPr>
        <w:softHyphen/>
      </w:r>
      <w:r w:rsidRPr="00D94694">
        <w:rPr>
          <w:rFonts w:hint="cs"/>
          <w:i/>
          <w:sz w:val="23"/>
          <w:szCs w:val="23"/>
          <w:rtl/>
        </w:rPr>
        <w:t>های تصادفی با رانش</w:t>
      </w:r>
      <w:r w:rsidRPr="00D94694">
        <w:rPr>
          <w:rStyle w:val="FootnoteReference"/>
          <w:rFonts w:eastAsiaTheme="majorEastAsia"/>
          <w:i/>
          <w:sz w:val="23"/>
          <w:szCs w:val="23"/>
          <w:rtl/>
        </w:rPr>
        <w:footnoteReference w:id="243"/>
      </w:r>
      <w:r w:rsidRPr="00D94694">
        <w:rPr>
          <w:rFonts w:hint="cs"/>
          <w:i/>
          <w:sz w:val="23"/>
          <w:szCs w:val="23"/>
          <w:rtl/>
        </w:rPr>
        <w:t xml:space="preserve"> و</w:t>
      </w:r>
      <w:r w:rsidRPr="00D94694">
        <w:rPr>
          <w:position w:val="-12"/>
        </w:rPr>
        <w:object w:dxaOrig="320" w:dyaOrig="340" w14:anchorId="3769E110">
          <v:shape id="_x0000_i4769" type="#_x0000_t75" style="width:15.75pt;height:16.95pt" o:ole="">
            <v:imagedata r:id="rId7536" o:title=""/>
          </v:shape>
          <o:OLEObject Type="Embed" ProgID="Equation.DSMT4" ShapeID="_x0000_i4769" DrawAspect="Content" ObjectID="_1791378713" r:id="rId7537"/>
        </w:object>
      </w:r>
      <w:r w:rsidRPr="00D94694">
        <w:rPr>
          <w:rFonts w:hint="cs"/>
          <w:i/>
          <w:sz w:val="23"/>
          <w:szCs w:val="23"/>
          <w:rtl/>
        </w:rPr>
        <w:t xml:space="preserve"> نیز ثابت است. </w:t>
      </w:r>
    </w:p>
    <w:p w14:paraId="600E9A81" w14:textId="77777777" w:rsidR="00411620" w:rsidRPr="00D94694" w:rsidRDefault="00411620" w:rsidP="00411620">
      <w:pPr>
        <w:spacing w:line="216" w:lineRule="auto"/>
        <w:rPr>
          <w:i/>
          <w:sz w:val="23"/>
          <w:szCs w:val="23"/>
          <w:rtl/>
        </w:rPr>
      </w:pPr>
    </w:p>
    <w:p w14:paraId="2B4A3BD4" w14:textId="77777777" w:rsidR="00411620" w:rsidRPr="00D94694" w:rsidRDefault="00411620" w:rsidP="00411620">
      <w:pPr>
        <w:pStyle w:val="Heading1"/>
        <w:spacing w:before="0" w:line="216" w:lineRule="auto"/>
        <w:rPr>
          <w:rFonts w:ascii="Times New Roman" w:hAnsi="Times New Roman" w:cs="B Nazanin"/>
          <w:b w:val="0"/>
          <w:i/>
          <w:sz w:val="23"/>
          <w:szCs w:val="23"/>
          <w:rtl/>
        </w:rPr>
      </w:pPr>
      <w:r w:rsidRPr="00D94694">
        <w:rPr>
          <w:rFonts w:ascii="Times New Roman" w:hAnsi="Times New Roman" w:cs="B Nazanin" w:hint="cs"/>
          <w:b w:val="0"/>
          <w:i/>
          <w:sz w:val="23"/>
          <w:szCs w:val="23"/>
          <w:rtl/>
        </w:rPr>
        <w:t xml:space="preserve"> ۱۱. ۵ قیمت‌گذاری دارایی و مطالبات مشروط</w:t>
      </w:r>
    </w:p>
    <w:p w14:paraId="59E5FC3F" w14:textId="77777777" w:rsidR="00411620" w:rsidRPr="00D94694" w:rsidRDefault="00411620" w:rsidP="00411620">
      <w:pPr>
        <w:spacing w:line="216" w:lineRule="auto"/>
        <w:rPr>
          <w:i/>
          <w:sz w:val="23"/>
          <w:szCs w:val="23"/>
          <w:rtl/>
        </w:rPr>
      </w:pPr>
      <w:r w:rsidRPr="00D94694">
        <w:rPr>
          <w:rFonts w:hint="cs"/>
          <w:i/>
          <w:sz w:val="23"/>
          <w:szCs w:val="23"/>
          <w:rtl/>
        </w:rPr>
        <w:t>تجزیه و تحلیل مطالبات مشروط همانند قراردادهای آتی</w:t>
      </w:r>
      <w:r w:rsidRPr="00D94694">
        <w:rPr>
          <w:rStyle w:val="FootnoteReference"/>
          <w:rFonts w:eastAsiaTheme="majorEastAsia"/>
          <w:i/>
          <w:sz w:val="23"/>
          <w:szCs w:val="23"/>
          <w:rtl/>
        </w:rPr>
        <w:footnoteReference w:id="244"/>
      </w:r>
      <w:r w:rsidRPr="00D94694">
        <w:rPr>
          <w:rFonts w:hint="cs"/>
          <w:i/>
          <w:sz w:val="23"/>
          <w:szCs w:val="23"/>
          <w:rtl/>
        </w:rPr>
        <w:t>، قراردادهای اختیار معامله</w:t>
      </w:r>
      <w:r w:rsidRPr="00D94694">
        <w:rPr>
          <w:rStyle w:val="FootnoteReference"/>
          <w:rFonts w:eastAsiaTheme="majorEastAsia"/>
          <w:i/>
          <w:sz w:val="23"/>
          <w:szCs w:val="23"/>
          <w:rtl/>
        </w:rPr>
        <w:footnoteReference w:id="245"/>
      </w:r>
      <w:r w:rsidRPr="00D94694">
        <w:rPr>
          <w:rFonts w:hint="cs"/>
          <w:i/>
          <w:sz w:val="23"/>
          <w:szCs w:val="23"/>
          <w:rtl/>
        </w:rPr>
        <w:t xml:space="preserve"> و قراردادهای معاوضه</w:t>
      </w:r>
      <w:r w:rsidRPr="00D94694">
        <w:rPr>
          <w:i/>
          <w:sz w:val="23"/>
          <w:szCs w:val="23"/>
          <w:rtl/>
        </w:rPr>
        <w:softHyphen/>
      </w:r>
      <w:r w:rsidRPr="00D94694">
        <w:rPr>
          <w:rFonts w:hint="cs"/>
          <w:i/>
          <w:sz w:val="23"/>
          <w:szCs w:val="23"/>
          <w:rtl/>
        </w:rPr>
        <w:t>ای</w:t>
      </w:r>
      <w:r w:rsidRPr="00D94694">
        <w:rPr>
          <w:rStyle w:val="FootnoteReference"/>
          <w:rFonts w:eastAsiaTheme="majorEastAsia"/>
          <w:i/>
          <w:sz w:val="23"/>
          <w:szCs w:val="23"/>
          <w:rtl/>
        </w:rPr>
        <w:footnoteReference w:id="246"/>
      </w:r>
      <w:r w:rsidRPr="00D94694">
        <w:rPr>
          <w:rFonts w:hint="cs"/>
          <w:i/>
          <w:sz w:val="23"/>
          <w:szCs w:val="23"/>
          <w:rtl/>
        </w:rPr>
        <w:t xml:space="preserve"> بوسیله</w:t>
      </w:r>
      <w:r w:rsidRPr="00D94694">
        <w:rPr>
          <w:i/>
          <w:sz w:val="23"/>
          <w:szCs w:val="23"/>
          <w:rtl/>
        </w:rPr>
        <w:softHyphen/>
      </w:r>
      <w:r w:rsidRPr="00D94694">
        <w:rPr>
          <w:rFonts w:hint="cs"/>
          <w:i/>
          <w:sz w:val="23"/>
          <w:szCs w:val="23"/>
          <w:rtl/>
        </w:rPr>
        <w:t>ی دیگر مشتقات تعیین می</w:t>
      </w:r>
      <w:r w:rsidRPr="00D94694">
        <w:rPr>
          <w:i/>
          <w:sz w:val="23"/>
          <w:szCs w:val="23"/>
          <w:rtl/>
        </w:rPr>
        <w:softHyphen/>
      </w:r>
      <w:r w:rsidRPr="00D94694">
        <w:rPr>
          <w:rFonts w:hint="cs"/>
          <w:i/>
          <w:sz w:val="23"/>
          <w:szCs w:val="23"/>
          <w:rtl/>
        </w:rPr>
        <w:t>شوند. اوراق مشتقه را مطالبات مشروط نیز نامند زیرا بازدهی آن</w:t>
      </w:r>
      <w:r w:rsidRPr="00D94694">
        <w:rPr>
          <w:i/>
          <w:sz w:val="23"/>
          <w:szCs w:val="23"/>
          <w:rtl/>
        </w:rPr>
        <w:softHyphen/>
      </w:r>
      <w:r w:rsidRPr="00D94694">
        <w:rPr>
          <w:rFonts w:hint="cs"/>
          <w:i/>
          <w:sz w:val="23"/>
          <w:szCs w:val="23"/>
          <w:rtl/>
        </w:rPr>
        <w:t>ها به قیمت دیگر مشتقات مشروط است. تجزیه و تحلیل دارایی</w:t>
      </w:r>
      <w:r w:rsidRPr="00D94694">
        <w:rPr>
          <w:i/>
          <w:sz w:val="23"/>
          <w:szCs w:val="23"/>
          <w:rtl/>
        </w:rPr>
        <w:softHyphen/>
      </w:r>
      <w:r w:rsidRPr="00D94694">
        <w:rPr>
          <w:rFonts w:hint="cs"/>
          <w:i/>
          <w:sz w:val="23"/>
          <w:szCs w:val="23"/>
          <w:rtl/>
        </w:rPr>
        <w:t>های مشتقه یکی از نظریه</w:t>
      </w:r>
      <w:r w:rsidRPr="00D94694">
        <w:rPr>
          <w:i/>
          <w:sz w:val="23"/>
          <w:szCs w:val="23"/>
          <w:rtl/>
        </w:rPr>
        <w:softHyphen/>
      </w:r>
      <w:r w:rsidRPr="00D94694">
        <w:rPr>
          <w:rFonts w:hint="cs"/>
          <w:i/>
          <w:sz w:val="23"/>
          <w:szCs w:val="23"/>
          <w:rtl/>
        </w:rPr>
        <w:t>های عمومی قیمت‌گذاری دارایی است که تقریباً کلیه‌ی نظریه</w:t>
      </w:r>
      <w:r w:rsidRPr="00D94694">
        <w:rPr>
          <w:i/>
          <w:sz w:val="23"/>
          <w:szCs w:val="23"/>
          <w:rtl/>
        </w:rPr>
        <w:softHyphen/>
      </w:r>
      <w:r w:rsidRPr="00D94694">
        <w:rPr>
          <w:rFonts w:hint="cs"/>
          <w:i/>
          <w:sz w:val="23"/>
          <w:szCs w:val="23"/>
          <w:rtl/>
        </w:rPr>
        <w:t>های دیگر بدان مرتبط</w:t>
      </w:r>
      <w:r w:rsidRPr="00D94694">
        <w:rPr>
          <w:i/>
          <w:sz w:val="23"/>
          <w:szCs w:val="23"/>
          <w:rtl/>
        </w:rPr>
        <w:softHyphen/>
      </w:r>
      <w:r w:rsidRPr="00D94694">
        <w:rPr>
          <w:rFonts w:hint="cs"/>
          <w:i/>
          <w:sz w:val="23"/>
          <w:szCs w:val="23"/>
          <w:rtl/>
        </w:rPr>
        <w:t xml:space="preserve"> است. یک دارایی نمونه می‌تواند حاوی ترکیبی از دارایی‌های اولیه و نخستین باشد که بدان دارایی مشتقه گویند. به محض آن که قیمت‌ دارایی‌های اولیه را بدانیم، آنگاه می‌توان قیمت هر دارایی دیگری را بدست آورد. اکنون مسئله‌ی قیمت‌گذاری یک دارایی را با استفاده از دارایی مشتقه به صورت زیر بررسی خواهیم کرد.</w:t>
      </w:r>
    </w:p>
    <w:p w14:paraId="670ADA9F" w14:textId="77777777" w:rsidR="00411620" w:rsidRPr="00D94694" w:rsidRDefault="00411620" w:rsidP="00411620">
      <w:pPr>
        <w:spacing w:line="216" w:lineRule="auto"/>
        <w:rPr>
          <w:i/>
          <w:sz w:val="23"/>
          <w:szCs w:val="23"/>
          <w:rtl/>
        </w:rPr>
      </w:pPr>
      <w:r w:rsidRPr="00D94694">
        <w:rPr>
          <w:rFonts w:hint="cs"/>
          <w:i/>
          <w:sz w:val="23"/>
          <w:szCs w:val="23"/>
          <w:rtl/>
        </w:rPr>
        <w:t>- قیمت یک دارایی به عایدی آن وابسته است.</w:t>
      </w:r>
    </w:p>
    <w:p w14:paraId="2671E885" w14:textId="77777777" w:rsidR="00411620" w:rsidRPr="00D94694" w:rsidRDefault="00411620" w:rsidP="00411620">
      <w:pPr>
        <w:spacing w:line="216" w:lineRule="auto"/>
        <w:rPr>
          <w:i/>
          <w:sz w:val="23"/>
          <w:szCs w:val="23"/>
          <w:rtl/>
        </w:rPr>
      </w:pPr>
      <w:r w:rsidRPr="00D94694">
        <w:rPr>
          <w:rFonts w:hint="cs"/>
          <w:i/>
          <w:sz w:val="23"/>
          <w:szCs w:val="23"/>
          <w:rtl/>
        </w:rPr>
        <w:t>- عواید امروز نوعاً ناشناخته</w:t>
      </w:r>
      <w:r w:rsidRPr="00D94694">
        <w:rPr>
          <w:i/>
          <w:sz w:val="23"/>
          <w:szCs w:val="23"/>
          <w:rtl/>
        </w:rPr>
        <w:softHyphen/>
      </w:r>
      <w:r w:rsidRPr="00D94694">
        <w:rPr>
          <w:rFonts w:hint="cs"/>
          <w:i/>
          <w:sz w:val="23"/>
          <w:szCs w:val="23"/>
          <w:rtl/>
        </w:rPr>
        <w:t>اند، و به وضعیت</w:t>
      </w:r>
      <w:r w:rsidRPr="00D94694">
        <w:rPr>
          <w:i/>
          <w:sz w:val="23"/>
          <w:szCs w:val="23"/>
          <w:rtl/>
        </w:rPr>
        <w:softHyphen/>
      </w:r>
      <w:r w:rsidRPr="00D94694">
        <w:rPr>
          <w:rFonts w:hint="cs"/>
          <w:i/>
          <w:sz w:val="23"/>
          <w:szCs w:val="23"/>
          <w:rtl/>
        </w:rPr>
        <w:t xml:space="preserve"> آتی جهان وابسته است. </w:t>
      </w:r>
    </w:p>
    <w:p w14:paraId="7AF1F939" w14:textId="77777777" w:rsidR="00411620" w:rsidRPr="00D94694" w:rsidRDefault="00411620" w:rsidP="00411620">
      <w:pPr>
        <w:spacing w:line="216" w:lineRule="auto"/>
        <w:rPr>
          <w:i/>
          <w:sz w:val="23"/>
          <w:szCs w:val="23"/>
          <w:rtl/>
        </w:rPr>
      </w:pPr>
      <w:r w:rsidRPr="00D94694">
        <w:rPr>
          <w:rFonts w:hint="cs"/>
          <w:i/>
          <w:sz w:val="23"/>
          <w:szCs w:val="23"/>
          <w:rtl/>
        </w:rPr>
        <w:lastRenderedPageBreak/>
        <w:t>- تمامی دارایی‌ها را می‌توان همانند یک دسته</w:t>
      </w:r>
      <w:r w:rsidRPr="00D94694">
        <w:rPr>
          <w:i/>
          <w:sz w:val="23"/>
          <w:szCs w:val="23"/>
          <w:rtl/>
        </w:rPr>
        <w:softHyphen/>
      </w:r>
      <w:r w:rsidRPr="00D94694">
        <w:rPr>
          <w:rFonts w:hint="cs"/>
          <w:i/>
          <w:sz w:val="23"/>
          <w:szCs w:val="23"/>
          <w:rtl/>
        </w:rPr>
        <w:t xml:space="preserve"> از دارایی‌های اولیه که بدان مطالبات مشروط گویند در نظر گرفت.</w:t>
      </w:r>
    </w:p>
    <w:p w14:paraId="2FF307C7" w14:textId="77777777" w:rsidR="00411620" w:rsidRPr="00D94694" w:rsidRDefault="00411620" w:rsidP="00411620">
      <w:pPr>
        <w:spacing w:line="216" w:lineRule="auto"/>
        <w:rPr>
          <w:i/>
          <w:sz w:val="23"/>
          <w:szCs w:val="23"/>
          <w:rtl/>
        </w:rPr>
      </w:pPr>
      <w:r w:rsidRPr="00D94694">
        <w:rPr>
          <w:rFonts w:hint="cs"/>
          <w:i/>
          <w:sz w:val="23"/>
          <w:szCs w:val="23"/>
          <w:rtl/>
        </w:rPr>
        <w:t xml:space="preserve">- تفاوت بین دارایی‌ها بواسطه‌ی روش ترکیب مطالبات مشروط ناشی می‌شود. </w:t>
      </w:r>
    </w:p>
    <w:p w14:paraId="197E31BD" w14:textId="77777777" w:rsidR="00411620" w:rsidRPr="00D94694" w:rsidRDefault="00411620" w:rsidP="00411620">
      <w:pPr>
        <w:spacing w:line="216" w:lineRule="auto"/>
        <w:rPr>
          <w:i/>
          <w:sz w:val="23"/>
          <w:szCs w:val="23"/>
          <w:rtl/>
        </w:rPr>
      </w:pPr>
      <w:r w:rsidRPr="00D94694">
        <w:rPr>
          <w:rFonts w:hint="cs"/>
          <w:i/>
          <w:sz w:val="23"/>
          <w:szCs w:val="23"/>
          <w:rtl/>
        </w:rPr>
        <w:t>- چنانچه بتوان هر مطالبه مشروط را قیمت‌گذاری کرد، آنگاه می‌توان هر ترکیبی از آن</w:t>
      </w:r>
      <w:r w:rsidRPr="00D94694">
        <w:rPr>
          <w:i/>
          <w:sz w:val="23"/>
          <w:szCs w:val="23"/>
          <w:rtl/>
        </w:rPr>
        <w:softHyphen/>
      </w:r>
      <w:r w:rsidRPr="00D94694">
        <w:rPr>
          <w:rFonts w:hint="cs"/>
          <w:i/>
          <w:sz w:val="23"/>
          <w:szCs w:val="23"/>
          <w:rtl/>
        </w:rPr>
        <w:t>ها را، مثلاً، هر نوع دارایی را قیمت‌گذاری کرد.</w:t>
      </w:r>
    </w:p>
    <w:p w14:paraId="1946EE56" w14:textId="77777777" w:rsidR="00411620" w:rsidRPr="00D94694" w:rsidRDefault="00411620" w:rsidP="00411620">
      <w:pPr>
        <w:spacing w:line="216" w:lineRule="auto"/>
        <w:rPr>
          <w:bCs/>
          <w:i/>
          <w:sz w:val="23"/>
          <w:szCs w:val="23"/>
          <w:rtl/>
        </w:rPr>
      </w:pPr>
    </w:p>
    <w:p w14:paraId="51322871" w14:textId="77777777" w:rsidR="00411620" w:rsidRPr="00D94694" w:rsidRDefault="00411620" w:rsidP="00411620">
      <w:pPr>
        <w:spacing w:line="216" w:lineRule="auto"/>
        <w:rPr>
          <w:bCs/>
          <w:i/>
          <w:sz w:val="23"/>
          <w:szCs w:val="23"/>
          <w:rtl/>
        </w:rPr>
      </w:pPr>
      <w:r w:rsidRPr="00D94694">
        <w:rPr>
          <w:rFonts w:hint="cs"/>
          <w:bCs/>
          <w:i/>
          <w:sz w:val="23"/>
          <w:szCs w:val="23"/>
          <w:rtl/>
        </w:rPr>
        <w:t>مطالبه</w:t>
      </w:r>
      <w:r w:rsidRPr="00D94694">
        <w:rPr>
          <w:bCs/>
          <w:i/>
          <w:sz w:val="23"/>
          <w:szCs w:val="23"/>
          <w:rtl/>
        </w:rPr>
        <w:softHyphen/>
      </w:r>
      <w:r w:rsidRPr="00D94694">
        <w:rPr>
          <w:rFonts w:hint="cs"/>
          <w:bCs/>
          <w:i/>
          <w:sz w:val="23"/>
          <w:szCs w:val="23"/>
          <w:rtl/>
        </w:rPr>
        <w:t>ی مشروط</w:t>
      </w:r>
    </w:p>
    <w:p w14:paraId="0C4650AB" w14:textId="77777777" w:rsidR="00411620" w:rsidRPr="00D94694" w:rsidRDefault="00411620" w:rsidP="00411620">
      <w:pPr>
        <w:spacing w:line="216" w:lineRule="auto"/>
        <w:rPr>
          <w:i/>
          <w:sz w:val="23"/>
          <w:szCs w:val="23"/>
          <w:rtl/>
        </w:rPr>
      </w:pPr>
      <w:r w:rsidRPr="00D94694">
        <w:rPr>
          <w:rFonts w:hint="cs"/>
          <w:i/>
          <w:sz w:val="23"/>
          <w:szCs w:val="23"/>
          <w:rtl/>
        </w:rPr>
        <w:t xml:space="preserve"> فرض کنید وضعیت‌های</w:t>
      </w:r>
      <w:r w:rsidRPr="00D94694">
        <w:rPr>
          <w:position w:val="-8"/>
        </w:rPr>
        <w:object w:dxaOrig="940" w:dyaOrig="279" w14:anchorId="73EC00B2">
          <v:shape id="_x0000_i4770" type="#_x0000_t75" style="width:47.2pt;height:13.9pt" o:ole="">
            <v:imagedata r:id="rId7538" o:title=""/>
          </v:shape>
          <o:OLEObject Type="Embed" ProgID="Equation.DSMT4" ShapeID="_x0000_i4770" DrawAspect="Content" ObjectID="_1791378714" r:id="rId7539"/>
        </w:object>
      </w:r>
      <w:r w:rsidRPr="00D94694">
        <w:rPr>
          <w:rFonts w:hint="cs"/>
          <w:i/>
          <w:sz w:val="23"/>
          <w:szCs w:val="23"/>
          <w:rtl/>
        </w:rPr>
        <w:t xml:space="preserve"> در جهان وجود دارد. یک مطالبه</w:t>
      </w:r>
      <w:r w:rsidRPr="00D94694">
        <w:rPr>
          <w:i/>
          <w:sz w:val="23"/>
          <w:szCs w:val="23"/>
          <w:rtl/>
        </w:rPr>
        <w:softHyphen/>
      </w:r>
      <w:r w:rsidRPr="00D94694">
        <w:rPr>
          <w:rFonts w:hint="cs"/>
          <w:i/>
          <w:sz w:val="23"/>
          <w:szCs w:val="23"/>
          <w:rtl/>
        </w:rPr>
        <w:t>ی مشروط یک دارایی است که اگر وضعیت</w:t>
      </w:r>
      <w:r w:rsidRPr="00D94694">
        <w:rPr>
          <w:position w:val="-6"/>
        </w:rPr>
        <w:object w:dxaOrig="160" w:dyaOrig="200" w14:anchorId="3FE39D5B">
          <v:shape id="_x0000_i4771" type="#_x0000_t75" style="width:7.85pt;height:10.3pt" o:ole="">
            <v:imagedata r:id="rId7540" o:title=""/>
          </v:shape>
          <o:OLEObject Type="Embed" ProgID="Equation.DSMT4" ShapeID="_x0000_i4771" DrawAspect="Content" ObjectID="_1791378715" r:id="rId7541"/>
        </w:object>
      </w:r>
      <w:r w:rsidRPr="00D94694">
        <w:rPr>
          <w:i/>
          <w:sz w:val="23"/>
          <w:szCs w:val="23"/>
          <w:rtl/>
        </w:rPr>
        <w:t xml:space="preserve"> </w:t>
      </w:r>
      <w:r w:rsidRPr="00D94694">
        <w:rPr>
          <w:rFonts w:hint="cs"/>
          <w:i/>
          <w:sz w:val="23"/>
          <w:szCs w:val="23"/>
          <w:rtl/>
        </w:rPr>
        <w:t>بوقوع بپیوندد عایدی آن برابر با یک دلار، و در غیر اینصورت برابر با صفر است.</w:t>
      </w:r>
      <w:r w:rsidRPr="00D94694">
        <w:rPr>
          <w:position w:val="-8"/>
        </w:rPr>
        <w:object w:dxaOrig="440" w:dyaOrig="279" w14:anchorId="1A188D18">
          <v:shape id="_x0000_i4772" type="#_x0000_t75" style="width:21.8pt;height:13.9pt" o:ole="">
            <v:imagedata r:id="rId7542" o:title=""/>
          </v:shape>
          <o:OLEObject Type="Embed" ProgID="Equation.DSMT4" ShapeID="_x0000_i4772" DrawAspect="Content" ObjectID="_1791378716" r:id="rId7543"/>
        </w:object>
      </w:r>
      <w:r w:rsidRPr="00D94694">
        <w:rPr>
          <w:rFonts w:hint="cs"/>
          <w:i/>
          <w:sz w:val="23"/>
          <w:szCs w:val="23"/>
          <w:rtl/>
        </w:rPr>
        <w:t xml:space="preserve"> قیمت امروزِ مطالبه</w:t>
      </w:r>
      <w:r w:rsidRPr="00D94694">
        <w:rPr>
          <w:i/>
          <w:sz w:val="23"/>
          <w:szCs w:val="23"/>
          <w:rtl/>
        </w:rPr>
        <w:softHyphen/>
      </w:r>
      <w:r w:rsidRPr="00D94694">
        <w:rPr>
          <w:rFonts w:hint="cs"/>
          <w:i/>
          <w:sz w:val="23"/>
          <w:szCs w:val="23"/>
          <w:rtl/>
        </w:rPr>
        <w:t>ی مشروط با عایدی یک دلار در وضعیت</w:t>
      </w:r>
      <w:r w:rsidRPr="00D94694">
        <w:rPr>
          <w:position w:val="-6"/>
        </w:rPr>
        <w:object w:dxaOrig="160" w:dyaOrig="200" w14:anchorId="3AE98DD0">
          <v:shape id="_x0000_i4773" type="#_x0000_t75" style="width:7.85pt;height:10.3pt" o:ole="">
            <v:imagedata r:id="rId7544" o:title=""/>
          </v:shape>
          <o:OLEObject Type="Embed" ProgID="Equation.DSMT4" ShapeID="_x0000_i4773" DrawAspect="Content" ObjectID="_1791378717" r:id="rId7545"/>
        </w:object>
      </w:r>
      <w:r w:rsidRPr="00D94694">
        <w:rPr>
          <w:rFonts w:hint="cs"/>
          <w:i/>
          <w:sz w:val="23"/>
          <w:szCs w:val="23"/>
          <w:rtl/>
        </w:rPr>
        <w:t>، و</w:t>
      </w:r>
      <w:r w:rsidRPr="00D94694">
        <w:rPr>
          <w:position w:val="-8"/>
        </w:rPr>
        <w:object w:dxaOrig="440" w:dyaOrig="279" w14:anchorId="2CF231F7">
          <v:shape id="_x0000_i4774" type="#_x0000_t75" style="width:21.8pt;height:13.9pt" o:ole="">
            <v:imagedata r:id="rId7546" o:title=""/>
          </v:shape>
          <o:OLEObject Type="Embed" ProgID="Equation.DSMT4" ShapeID="_x0000_i4774" DrawAspect="Content" ObjectID="_1791378718" r:id="rId7547"/>
        </w:object>
      </w:r>
      <w:r w:rsidRPr="00D94694">
        <w:rPr>
          <w:i/>
          <w:sz w:val="23"/>
          <w:szCs w:val="23"/>
        </w:rPr>
        <w:t xml:space="preserve"> </w:t>
      </w:r>
      <w:r w:rsidRPr="00D94694">
        <w:rPr>
          <w:rFonts w:hint="cs"/>
          <w:i/>
          <w:sz w:val="23"/>
          <w:szCs w:val="23"/>
          <w:rtl/>
        </w:rPr>
        <w:t>مقدار خریداری شده‌ی این مطالبه</w:t>
      </w:r>
      <w:r w:rsidRPr="00D94694">
        <w:rPr>
          <w:i/>
          <w:sz w:val="23"/>
          <w:szCs w:val="23"/>
          <w:rtl/>
        </w:rPr>
        <w:softHyphen/>
      </w:r>
      <w:r w:rsidRPr="00D94694">
        <w:rPr>
          <w:rFonts w:hint="cs"/>
          <w:i/>
          <w:sz w:val="23"/>
          <w:szCs w:val="23"/>
          <w:rtl/>
        </w:rPr>
        <w:t>ی مشروط در زمان</w:t>
      </w:r>
      <w:r w:rsidRPr="00D94694">
        <w:rPr>
          <w:position w:val="-6"/>
        </w:rPr>
        <w:object w:dxaOrig="139" w:dyaOrig="240" w14:anchorId="62739C8E">
          <v:shape id="_x0000_i4775" type="#_x0000_t75" style="width:7.25pt;height:12.1pt" o:ole="">
            <v:imagedata r:id="rId7548" o:title=""/>
          </v:shape>
          <o:OLEObject Type="Embed" ProgID="Equation.DSMT4" ShapeID="_x0000_i4775" DrawAspect="Content" ObjectID="_1791378719" r:id="rId7549"/>
        </w:object>
      </w:r>
      <w:r w:rsidRPr="00D94694">
        <w:rPr>
          <w:rFonts w:hint="cs"/>
          <w:i/>
          <w:sz w:val="23"/>
          <w:szCs w:val="23"/>
          <w:rtl/>
        </w:rPr>
        <w:t xml:space="preserve"> باشد. همچنین</w:t>
      </w:r>
      <w:r w:rsidRPr="00D94694">
        <w:rPr>
          <w:position w:val="-8"/>
        </w:rPr>
        <w:object w:dxaOrig="220" w:dyaOrig="220" w14:anchorId="0849ECE6">
          <v:shape id="_x0000_i4776" type="#_x0000_t75" style="width:10.9pt;height:10.9pt" o:ole="">
            <v:imagedata r:id="rId7550" o:title=""/>
          </v:shape>
          <o:OLEObject Type="Embed" ProgID="Equation.DSMT4" ShapeID="_x0000_i4776" DrawAspect="Content" ObjectID="_1791378720" r:id="rId7551"/>
        </w:object>
      </w:r>
      <w:r w:rsidRPr="00D94694">
        <w:rPr>
          <w:rFonts w:hint="cs"/>
          <w:i/>
          <w:sz w:val="23"/>
          <w:szCs w:val="23"/>
          <w:rtl/>
        </w:rPr>
        <w:t xml:space="preserve"> قیمت امروزی یک دارایی است که عایدی آن به وقوع وضعیت جهان در</w:t>
      </w:r>
      <w:r w:rsidRPr="00D94694">
        <w:rPr>
          <w:position w:val="-8"/>
        </w:rPr>
        <w:object w:dxaOrig="940" w:dyaOrig="279" w14:anchorId="1711E9F5">
          <v:shape id="_x0000_i4777" type="#_x0000_t75" style="width:47.2pt;height:13.9pt" o:ole="">
            <v:imagedata r:id="rId7552" o:title=""/>
          </v:shape>
          <o:OLEObject Type="Embed" ProgID="Equation.DSMT4" ShapeID="_x0000_i4777" DrawAspect="Content" ObjectID="_1791378721" r:id="rId7553"/>
        </w:object>
      </w:r>
      <w:r w:rsidRPr="00D94694">
        <w:rPr>
          <w:rFonts w:hint="cs"/>
          <w:i/>
          <w:sz w:val="23"/>
          <w:szCs w:val="23"/>
          <w:rtl/>
        </w:rPr>
        <w:t xml:space="preserve"> وابسته است.</w:t>
      </w:r>
    </w:p>
    <w:p w14:paraId="00916CE4" w14:textId="77777777" w:rsidR="00411620" w:rsidRPr="00D94694" w:rsidRDefault="00411620" w:rsidP="00411620">
      <w:pPr>
        <w:spacing w:line="216" w:lineRule="auto"/>
        <w:rPr>
          <w:i/>
          <w:sz w:val="23"/>
          <w:szCs w:val="23"/>
          <w:rtl/>
        </w:rPr>
      </w:pPr>
    </w:p>
    <w:p w14:paraId="660B2637" w14:textId="77777777" w:rsidR="00411620" w:rsidRPr="00D94694" w:rsidRDefault="00411620" w:rsidP="00411620">
      <w:pPr>
        <w:spacing w:line="216" w:lineRule="auto"/>
        <w:rPr>
          <w:bCs/>
          <w:i/>
          <w:sz w:val="23"/>
          <w:szCs w:val="23"/>
          <w:rtl/>
        </w:rPr>
      </w:pPr>
      <w:r w:rsidRPr="00D94694">
        <w:rPr>
          <w:rFonts w:hint="cs"/>
          <w:bCs/>
          <w:i/>
          <w:sz w:val="23"/>
          <w:szCs w:val="23"/>
          <w:rtl/>
        </w:rPr>
        <w:t>قیمت یک دارایی</w:t>
      </w:r>
    </w:p>
    <w:p w14:paraId="54C5FF72" w14:textId="77777777" w:rsidR="00411620" w:rsidRPr="00D94694" w:rsidRDefault="00411620" w:rsidP="00411620">
      <w:pPr>
        <w:spacing w:line="216" w:lineRule="auto"/>
        <w:rPr>
          <w:i/>
          <w:sz w:val="23"/>
          <w:szCs w:val="23"/>
          <w:rtl/>
        </w:rPr>
      </w:pPr>
      <w:r w:rsidRPr="00D94694">
        <w:rPr>
          <w:rFonts w:hint="cs"/>
          <w:i/>
          <w:sz w:val="23"/>
          <w:szCs w:val="23"/>
          <w:rtl/>
        </w:rPr>
        <w:t>به شرط وجود قیمت‌ها در هروضعیتی، قیمت</w:t>
      </w:r>
      <w:r w:rsidRPr="00D94694">
        <w:rPr>
          <w:position w:val="-8"/>
        </w:rPr>
        <w:object w:dxaOrig="220" w:dyaOrig="220" w14:anchorId="25490A89">
          <v:shape id="_x0000_i4778" type="#_x0000_t75" style="width:10.9pt;height:10.9pt" o:ole="">
            <v:imagedata r:id="rId7554" o:title=""/>
          </v:shape>
          <o:OLEObject Type="Embed" ProgID="Equation.DSMT4" ShapeID="_x0000_i4778" DrawAspect="Content" ObjectID="_1791378722" r:id="rId7555"/>
        </w:object>
      </w:r>
      <w:r w:rsidRPr="00D94694">
        <w:rPr>
          <w:rFonts w:hint="cs"/>
          <w:i/>
          <w:sz w:val="23"/>
          <w:szCs w:val="23"/>
          <w:rtl/>
        </w:rPr>
        <w:t xml:space="preserve"> هر دارایی را می‌توان به صورت زیر نشان داد</w:t>
      </w:r>
    </w:p>
    <w:p w14:paraId="4AE59A32" w14:textId="77777777" w:rsidR="00411620" w:rsidRPr="00D94694" w:rsidRDefault="00411620" w:rsidP="00411620">
      <w:pPr>
        <w:bidi w:val="0"/>
        <w:spacing w:line="216" w:lineRule="auto"/>
        <w:rPr>
          <w:i/>
          <w:sz w:val="23"/>
          <w:szCs w:val="23"/>
          <w:rtl/>
        </w:rPr>
      </w:pPr>
      <w:r w:rsidRPr="00D94694">
        <w:rPr>
          <w:position w:val="-26"/>
        </w:rPr>
        <w:object w:dxaOrig="1420" w:dyaOrig="620" w14:anchorId="7E25FBE3">
          <v:shape id="_x0000_i4779" type="#_x0000_t75" style="width:71.4pt;height:31.45pt" o:ole="">
            <v:imagedata r:id="rId7556" o:title=""/>
          </v:shape>
          <o:OLEObject Type="Embed" ProgID="Equation.DSMT4" ShapeID="_x0000_i4779" DrawAspect="Content" ObjectID="_1791378723" r:id="rId7557"/>
        </w:object>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Pr>
        <w:tab/>
      </w:r>
      <w:r>
        <w:rPr>
          <w:i/>
          <w:sz w:val="23"/>
          <w:szCs w:val="23"/>
          <w:rtl/>
        </w:rPr>
        <w:tab/>
      </w:r>
      <w:r w:rsidRPr="00D94694">
        <w:rPr>
          <w:i/>
          <w:sz w:val="23"/>
          <w:szCs w:val="23"/>
          <w:rtl/>
        </w:rPr>
        <w:tab/>
      </w:r>
      <w:r w:rsidRPr="00D94694">
        <w:rPr>
          <w:rFonts w:hint="cs"/>
          <w:i/>
          <w:sz w:val="23"/>
          <w:szCs w:val="23"/>
          <w:rtl/>
        </w:rPr>
        <w:t>(۱۱. ۹)</w:t>
      </w:r>
    </w:p>
    <w:p w14:paraId="65594B93" w14:textId="77777777" w:rsidR="00411620" w:rsidRPr="00D94694" w:rsidRDefault="00411620" w:rsidP="00411620">
      <w:pPr>
        <w:spacing w:line="216" w:lineRule="auto"/>
        <w:rPr>
          <w:i/>
          <w:sz w:val="23"/>
          <w:szCs w:val="23"/>
          <w:rtl/>
        </w:rPr>
      </w:pPr>
      <w:r w:rsidRPr="00D94694">
        <w:rPr>
          <w:rFonts w:hint="cs"/>
          <w:i/>
          <w:sz w:val="23"/>
          <w:szCs w:val="23"/>
          <w:rtl/>
        </w:rPr>
        <w:t>که در آن بردار</w:t>
      </w:r>
      <w:r w:rsidRPr="00D94694">
        <w:rPr>
          <w:position w:val="-12"/>
        </w:rPr>
        <w:object w:dxaOrig="2120" w:dyaOrig="440" w14:anchorId="123D36AB">
          <v:shape id="_x0000_i4780" type="#_x0000_t75" style="width:105.9pt;height:21.8pt" o:ole="">
            <v:imagedata r:id="rId7558" o:title=""/>
          </v:shape>
          <o:OLEObject Type="Embed" ProgID="Equation.DSMT4" ShapeID="_x0000_i4780" DrawAspect="Content" ObjectID="_1791378724" r:id="rId7559"/>
        </w:object>
      </w:r>
      <w:r w:rsidRPr="00D94694">
        <w:rPr>
          <w:i/>
          <w:sz w:val="23"/>
          <w:szCs w:val="23"/>
        </w:rPr>
        <w:t xml:space="preserve"> </w:t>
      </w:r>
      <w:r w:rsidRPr="00D94694">
        <w:rPr>
          <w:rFonts w:hint="cs"/>
          <w:i/>
          <w:sz w:val="23"/>
          <w:szCs w:val="23"/>
          <w:rtl/>
        </w:rPr>
        <w:t>را بردار وضعیت-قیمت نامند. رابطه‌ی فوق مبین آن است که قیمت دارایی برابر با مجموع قیمت وضعیت داده شده‌ی</w:t>
      </w:r>
      <w:r w:rsidRPr="00D94694">
        <w:rPr>
          <w:position w:val="-6"/>
        </w:rPr>
        <w:object w:dxaOrig="160" w:dyaOrig="200" w14:anchorId="5166F3B2">
          <v:shape id="_x0000_i4781" type="#_x0000_t75" style="width:7.85pt;height:10.3pt" o:ole="">
            <v:imagedata r:id="rId7560" o:title=""/>
          </v:shape>
          <o:OLEObject Type="Embed" ProgID="Equation.DSMT4" ShapeID="_x0000_i4781" DrawAspect="Content" ObjectID="_1791378725" r:id="rId7561"/>
        </w:object>
      </w:r>
      <w:r w:rsidRPr="00D94694">
        <w:rPr>
          <w:rFonts w:hint="cs"/>
          <w:i/>
          <w:sz w:val="23"/>
          <w:szCs w:val="23"/>
          <w:rtl/>
        </w:rPr>
        <w:t xml:space="preserve"> ضرب</w:t>
      </w:r>
      <w:r w:rsidRPr="00D94694">
        <w:rPr>
          <w:i/>
          <w:sz w:val="23"/>
          <w:szCs w:val="23"/>
          <w:rtl/>
        </w:rPr>
        <w:softHyphen/>
      </w:r>
      <w:r w:rsidRPr="00D94694">
        <w:rPr>
          <w:rFonts w:hint="cs"/>
          <w:i/>
          <w:sz w:val="23"/>
          <w:szCs w:val="23"/>
          <w:rtl/>
        </w:rPr>
        <w:t>در مقدار مطالبه</w:t>
      </w:r>
      <w:r w:rsidRPr="00D94694">
        <w:rPr>
          <w:i/>
          <w:sz w:val="23"/>
          <w:szCs w:val="23"/>
          <w:rtl/>
        </w:rPr>
        <w:softHyphen/>
      </w:r>
      <w:r w:rsidRPr="00D94694">
        <w:rPr>
          <w:rFonts w:hint="cs"/>
          <w:i/>
          <w:sz w:val="23"/>
          <w:szCs w:val="23"/>
          <w:rtl/>
        </w:rPr>
        <w:t xml:space="preserve">ی مشروط نگه داشته شده در آن وضعیت است. </w:t>
      </w:r>
    </w:p>
    <w:p w14:paraId="2DB53752" w14:textId="77777777" w:rsidR="00411620" w:rsidRPr="00D94694" w:rsidRDefault="00411620" w:rsidP="00411620">
      <w:pPr>
        <w:spacing w:line="216" w:lineRule="auto"/>
        <w:rPr>
          <w:i/>
          <w:sz w:val="23"/>
          <w:szCs w:val="23"/>
          <w:rtl/>
        </w:rPr>
      </w:pPr>
    </w:p>
    <w:p w14:paraId="1C18145E" w14:textId="77777777" w:rsidR="00411620" w:rsidRPr="00D94694" w:rsidRDefault="00411620" w:rsidP="00411620">
      <w:pPr>
        <w:spacing w:line="216" w:lineRule="auto"/>
        <w:rPr>
          <w:bCs/>
          <w:i/>
          <w:sz w:val="23"/>
          <w:szCs w:val="23"/>
          <w:rtl/>
        </w:rPr>
      </w:pPr>
      <w:r w:rsidRPr="00D94694">
        <w:rPr>
          <w:rFonts w:hint="cs"/>
          <w:bCs/>
          <w:i/>
          <w:sz w:val="23"/>
          <w:szCs w:val="23"/>
          <w:rtl/>
        </w:rPr>
        <w:t>رویکرد عامل تنزیل تصادفی در قیمت‌گذاری دارایی</w:t>
      </w:r>
    </w:p>
    <w:p w14:paraId="62D209E0" w14:textId="77777777" w:rsidR="00411620" w:rsidRPr="00D94694" w:rsidRDefault="00411620" w:rsidP="00411620">
      <w:pPr>
        <w:spacing w:line="216" w:lineRule="auto"/>
        <w:rPr>
          <w:i/>
          <w:sz w:val="23"/>
          <w:szCs w:val="23"/>
          <w:rtl/>
        </w:rPr>
      </w:pPr>
      <w:r w:rsidRPr="00D94694">
        <w:rPr>
          <w:rFonts w:hint="cs"/>
          <w:i/>
          <w:sz w:val="23"/>
          <w:szCs w:val="23"/>
          <w:rtl/>
        </w:rPr>
        <w:t>فرض کنید</w:t>
      </w:r>
      <w:r w:rsidRPr="00D94694">
        <w:rPr>
          <w:position w:val="-12"/>
        </w:rPr>
        <w:object w:dxaOrig="480" w:dyaOrig="360" w14:anchorId="759FC8A1">
          <v:shape id="_x0000_i4782" type="#_x0000_t75" style="width:24.2pt;height:18.15pt" o:ole="">
            <v:imagedata r:id="rId7562" o:title=""/>
          </v:shape>
          <o:OLEObject Type="Embed" ProgID="Equation.DSMT4" ShapeID="_x0000_i4782" DrawAspect="Content" ObjectID="_1791378726" r:id="rId7563"/>
        </w:object>
      </w:r>
      <w:r w:rsidRPr="00D94694">
        <w:rPr>
          <w:i/>
          <w:sz w:val="23"/>
          <w:szCs w:val="23"/>
        </w:rPr>
        <w:t xml:space="preserve"> </w:t>
      </w:r>
      <w:r w:rsidRPr="00D94694">
        <w:rPr>
          <w:rFonts w:hint="cs"/>
          <w:i/>
          <w:sz w:val="23"/>
          <w:szCs w:val="23"/>
          <w:rtl/>
        </w:rPr>
        <w:t>احتمال وقوع وضعیت</w:t>
      </w:r>
      <w:r w:rsidRPr="00D94694">
        <w:rPr>
          <w:position w:val="-6"/>
        </w:rPr>
        <w:object w:dxaOrig="160" w:dyaOrig="200" w14:anchorId="0DE0C7F2">
          <v:shape id="_x0000_i4783" type="#_x0000_t75" style="width:7.85pt;height:10.3pt" o:ole="">
            <v:imagedata r:id="rId7564" o:title=""/>
          </v:shape>
          <o:OLEObject Type="Embed" ProgID="Equation.DSMT4" ShapeID="_x0000_i4783" DrawAspect="Content" ObjectID="_1791378727" r:id="rId7565"/>
        </w:object>
      </w:r>
      <w:r w:rsidRPr="00D94694">
        <w:rPr>
          <w:rFonts w:hint="cs"/>
          <w:i/>
          <w:sz w:val="23"/>
          <w:szCs w:val="23"/>
          <w:rtl/>
        </w:rPr>
        <w:t xml:space="preserve"> باشد. بنابراین</w:t>
      </w:r>
      <w:r w:rsidRPr="00D94694">
        <w:rPr>
          <w:position w:val="-12"/>
        </w:rPr>
        <w:object w:dxaOrig="480" w:dyaOrig="360" w14:anchorId="03634158">
          <v:shape id="_x0000_i4784" type="#_x0000_t75" style="width:24.2pt;height:18.15pt" o:ole="">
            <v:imagedata r:id="rId7566" o:title=""/>
          </v:shape>
          <o:OLEObject Type="Embed" ProgID="Equation.DSMT4" ShapeID="_x0000_i4784" DrawAspect="Content" ObjectID="_1791378728" r:id="rId7567"/>
        </w:object>
      </w:r>
      <w:r w:rsidRPr="00D94694">
        <w:rPr>
          <w:rFonts w:hint="cs"/>
          <w:i/>
          <w:sz w:val="23"/>
          <w:szCs w:val="23"/>
          <w:rtl/>
        </w:rPr>
        <w:t xml:space="preserve"> تابع چگالی وضعیت خواهد بود. چنانچه قیمت در وضعیت</w:t>
      </w:r>
      <w:r w:rsidRPr="00D94694">
        <w:rPr>
          <w:position w:val="-6"/>
        </w:rPr>
        <w:object w:dxaOrig="160" w:dyaOrig="200" w14:anchorId="11CE89D0">
          <v:shape id="_x0000_i4785" type="#_x0000_t75" style="width:7.85pt;height:10.3pt" o:ole="">
            <v:imagedata r:id="rId7568" o:title=""/>
          </v:shape>
          <o:OLEObject Type="Embed" ProgID="Equation.DSMT4" ShapeID="_x0000_i4785" DrawAspect="Content" ObjectID="_1791378729" r:id="rId7569"/>
        </w:object>
      </w:r>
      <w:r w:rsidRPr="00D94694">
        <w:rPr>
          <w:i/>
          <w:sz w:val="23"/>
          <w:szCs w:val="23"/>
        </w:rPr>
        <w:t xml:space="preserve"> </w:t>
      </w:r>
      <w:r w:rsidRPr="00D94694">
        <w:rPr>
          <w:rFonts w:hint="cs"/>
          <w:i/>
          <w:sz w:val="23"/>
          <w:szCs w:val="23"/>
          <w:rtl/>
        </w:rPr>
        <w:t>را بر احتمال وقوع وضعیت</w:t>
      </w:r>
      <w:r w:rsidRPr="00D94694">
        <w:rPr>
          <w:position w:val="-6"/>
        </w:rPr>
        <w:object w:dxaOrig="160" w:dyaOrig="200" w14:anchorId="3B89B6EC">
          <v:shape id="_x0000_i4786" type="#_x0000_t75" style="width:7.85pt;height:10.3pt" o:ole="">
            <v:imagedata r:id="rId7570" o:title=""/>
          </v:shape>
          <o:OLEObject Type="Embed" ProgID="Equation.DSMT4" ShapeID="_x0000_i4786" DrawAspect="Content" ObjectID="_1791378730" r:id="rId7571"/>
        </w:object>
      </w:r>
      <w:r w:rsidRPr="00D94694">
        <w:rPr>
          <w:rFonts w:hint="cs"/>
          <w:i/>
          <w:sz w:val="23"/>
          <w:szCs w:val="23"/>
          <w:rtl/>
        </w:rPr>
        <w:t xml:space="preserve"> تقسیم کنیم خواهیم داشت</w:t>
      </w:r>
    </w:p>
    <w:p w14:paraId="2ED1CB44" w14:textId="77777777" w:rsidR="00411620" w:rsidRPr="00D94694" w:rsidRDefault="00411620" w:rsidP="00411620">
      <w:pPr>
        <w:bidi w:val="0"/>
        <w:spacing w:line="216" w:lineRule="auto"/>
        <w:rPr>
          <w:i/>
          <w:sz w:val="23"/>
          <w:szCs w:val="23"/>
        </w:rPr>
      </w:pPr>
      <w:r w:rsidRPr="00D94694">
        <w:rPr>
          <w:position w:val="-30"/>
        </w:rPr>
        <w:object w:dxaOrig="2439" w:dyaOrig="700" w14:anchorId="2D3B44B7">
          <v:shape id="_x0000_i4787" type="#_x0000_t75" style="width:122.2pt;height:35.1pt" o:ole="">
            <v:imagedata r:id="rId7572" o:title=""/>
          </v:shape>
          <o:OLEObject Type="Embed" ProgID="Equation.DSMT4" ShapeID="_x0000_i4787" DrawAspect="Content" ObjectID="_1791378731" r:id="rId7573"/>
        </w:object>
      </w:r>
      <w:r w:rsidRPr="00D94694">
        <w:rPr>
          <w:i/>
          <w:sz w:val="23"/>
          <w:szCs w:val="23"/>
        </w:rPr>
        <w:tab/>
      </w:r>
      <w:r w:rsidRPr="00D94694">
        <w:rPr>
          <w:i/>
          <w:sz w:val="23"/>
          <w:szCs w:val="23"/>
        </w:rPr>
        <w:tab/>
      </w:r>
      <w:r w:rsidRPr="00D94694">
        <w:rPr>
          <w:i/>
          <w:sz w:val="23"/>
          <w:szCs w:val="23"/>
        </w:rPr>
        <w:tab/>
      </w:r>
      <w:r w:rsidRPr="00D94694">
        <w:rPr>
          <w:i/>
          <w:sz w:val="23"/>
          <w:szCs w:val="23"/>
          <w:rtl/>
        </w:rPr>
        <w:tab/>
      </w:r>
      <w:r w:rsidRPr="00D94694">
        <w:rPr>
          <w:i/>
          <w:sz w:val="23"/>
          <w:szCs w:val="23"/>
        </w:rPr>
        <w:tab/>
      </w:r>
      <w:r w:rsidRPr="00D94694">
        <w:rPr>
          <w:i/>
          <w:sz w:val="23"/>
          <w:szCs w:val="23"/>
          <w:rtl/>
        </w:rPr>
        <w:tab/>
      </w:r>
      <w:r>
        <w:rPr>
          <w:i/>
          <w:sz w:val="23"/>
          <w:szCs w:val="23"/>
          <w:rtl/>
        </w:rPr>
        <w:tab/>
      </w:r>
      <w:r w:rsidRPr="00D94694">
        <w:rPr>
          <w:i/>
          <w:sz w:val="23"/>
          <w:szCs w:val="23"/>
          <w:rtl/>
        </w:rPr>
        <w:tab/>
      </w:r>
      <w:r w:rsidRPr="00D94694">
        <w:rPr>
          <w:i/>
          <w:sz w:val="23"/>
          <w:szCs w:val="23"/>
        </w:rPr>
        <w:tab/>
      </w:r>
      <w:r w:rsidRPr="00D94694">
        <w:rPr>
          <w:i/>
          <w:sz w:val="23"/>
          <w:szCs w:val="23"/>
          <w:rtl/>
        </w:rPr>
        <w:tab/>
      </w:r>
      <w:r w:rsidRPr="00D94694">
        <w:rPr>
          <w:i/>
          <w:sz w:val="23"/>
          <w:szCs w:val="23"/>
          <w:rtl/>
        </w:rPr>
        <w:tab/>
      </w:r>
      <w:r w:rsidRPr="00D94694">
        <w:rPr>
          <w:i/>
          <w:sz w:val="23"/>
          <w:szCs w:val="23"/>
          <w:rtl/>
        </w:rPr>
        <w:tab/>
      </w:r>
      <w:r w:rsidRPr="00D94694">
        <w:rPr>
          <w:rFonts w:hint="cs"/>
          <w:i/>
          <w:sz w:val="23"/>
          <w:szCs w:val="23"/>
          <w:rtl/>
        </w:rPr>
        <w:t xml:space="preserve">(۱۱. ۱۰)  </w:t>
      </w:r>
    </w:p>
    <w:p w14:paraId="416FB0F7" w14:textId="77777777" w:rsidR="00411620" w:rsidRPr="00D94694" w:rsidRDefault="00411620" w:rsidP="00411620">
      <w:pPr>
        <w:spacing w:line="216" w:lineRule="auto"/>
        <w:rPr>
          <w:i/>
          <w:sz w:val="23"/>
          <w:szCs w:val="23"/>
          <w:rtl/>
        </w:rPr>
      </w:pPr>
      <w:r w:rsidRPr="00D94694">
        <w:rPr>
          <w:rFonts w:hint="cs"/>
          <w:i/>
          <w:sz w:val="23"/>
          <w:szCs w:val="23"/>
          <w:rtl/>
        </w:rPr>
        <w:t>که در آن</w:t>
      </w:r>
      <w:r w:rsidRPr="00D94694">
        <w:rPr>
          <w:position w:val="-12"/>
        </w:rPr>
        <w:object w:dxaOrig="520" w:dyaOrig="360" w14:anchorId="55C7F72C">
          <v:shape id="_x0000_i4788" type="#_x0000_t75" style="width:26pt;height:18.15pt" o:ole="">
            <v:imagedata r:id="rId7574" o:title=""/>
          </v:shape>
          <o:OLEObject Type="Embed" ProgID="Equation.DSMT4" ShapeID="_x0000_i4788" DrawAspect="Content" ObjectID="_1791378732" r:id="rId7575"/>
        </w:object>
      </w:r>
      <w:r w:rsidRPr="00D94694">
        <w:rPr>
          <w:rFonts w:hint="cs"/>
          <w:i/>
          <w:sz w:val="23"/>
          <w:szCs w:val="23"/>
          <w:rtl/>
        </w:rPr>
        <w:t xml:space="preserve"> غیرمنفی است، زیرا وضعیت قیمت‌ها و احتمالات آن هر دو غیرمنفی می‌باشند. اکنون می‌توان قیمت دارایی را به صورت زیر بدست آورد</w:t>
      </w:r>
    </w:p>
    <w:p w14:paraId="74E4D595" w14:textId="77777777" w:rsidR="00411620" w:rsidRPr="00D94694" w:rsidRDefault="00411620" w:rsidP="00411620">
      <w:pPr>
        <w:bidi w:val="0"/>
        <w:spacing w:line="216" w:lineRule="auto"/>
        <w:rPr>
          <w:i/>
          <w:sz w:val="23"/>
          <w:szCs w:val="23"/>
          <w:rtl/>
        </w:rPr>
      </w:pPr>
      <w:r w:rsidRPr="00D94694">
        <w:rPr>
          <w:position w:val="-26"/>
        </w:rPr>
        <w:object w:dxaOrig="2880" w:dyaOrig="620" w14:anchorId="736232E4">
          <v:shape id="_x0000_i4789" type="#_x0000_t75" style="width:2in;height:31.45pt" o:ole="">
            <v:imagedata r:id="rId7576" o:title=""/>
          </v:shape>
          <o:OLEObject Type="Embed" ProgID="Equation.DSMT4" ShapeID="_x0000_i4789" DrawAspect="Content" ObjectID="_1791378733" r:id="rId7577"/>
        </w:object>
      </w:r>
      <w:r w:rsidRPr="00D94694">
        <w:rPr>
          <w:i/>
          <w:sz w:val="23"/>
          <w:szCs w:val="23"/>
        </w:rPr>
        <w:tab/>
      </w:r>
      <w:r w:rsidRPr="00D94694">
        <w:rPr>
          <w:i/>
          <w:sz w:val="23"/>
          <w:szCs w:val="23"/>
        </w:rPr>
        <w:tab/>
      </w:r>
      <w:r w:rsidRPr="00D94694">
        <w:rPr>
          <w:rFonts w:hint="cs"/>
          <w:i/>
          <w:sz w:val="23"/>
          <w:szCs w:val="23"/>
          <w:rtl/>
        </w:rPr>
        <w:t xml:space="preserve"> </w:t>
      </w:r>
      <w:r w:rsidRPr="00D94694">
        <w:rPr>
          <w:i/>
          <w:sz w:val="23"/>
          <w:szCs w:val="23"/>
          <w:rtl/>
        </w:rPr>
        <w:tab/>
      </w:r>
      <w:r w:rsidRPr="00D94694">
        <w:rPr>
          <w:i/>
          <w:sz w:val="23"/>
          <w:szCs w:val="23"/>
          <w:rtl/>
        </w:rPr>
        <w:tab/>
      </w:r>
      <w:r w:rsidRPr="00D94694">
        <w:rPr>
          <w:i/>
          <w:sz w:val="23"/>
          <w:szCs w:val="23"/>
        </w:rPr>
        <w:tab/>
        <w:t xml:space="preserve"> </w:t>
      </w:r>
      <w:r w:rsidRPr="00D94694">
        <w:rPr>
          <w:i/>
          <w:sz w:val="23"/>
          <w:szCs w:val="23"/>
          <w:rtl/>
        </w:rPr>
        <w:tab/>
      </w:r>
      <w:r>
        <w:rPr>
          <w:i/>
          <w:sz w:val="23"/>
          <w:szCs w:val="23"/>
          <w:rtl/>
        </w:rPr>
        <w:tab/>
      </w:r>
      <w:r w:rsidRPr="00D94694">
        <w:rPr>
          <w:i/>
          <w:sz w:val="23"/>
          <w:szCs w:val="23"/>
        </w:rPr>
        <w:tab/>
      </w:r>
      <w:r w:rsidRPr="00D94694">
        <w:rPr>
          <w:i/>
          <w:sz w:val="23"/>
          <w:szCs w:val="23"/>
          <w:rtl/>
        </w:rPr>
        <w:tab/>
      </w:r>
      <w:r w:rsidRPr="00D94694">
        <w:rPr>
          <w:rFonts w:hint="cs"/>
          <w:i/>
          <w:sz w:val="23"/>
          <w:szCs w:val="23"/>
          <w:rtl/>
        </w:rPr>
        <w:t xml:space="preserve">(۱۱. ۱۱)           </w:t>
      </w:r>
      <w:r w:rsidRPr="00D94694">
        <w:rPr>
          <w:rFonts w:hint="cs"/>
          <w:i/>
          <w:sz w:val="23"/>
          <w:szCs w:val="23"/>
        </w:rPr>
        <w:t xml:space="preserve"> </w:t>
      </w:r>
    </w:p>
    <w:p w14:paraId="09E2BDE0" w14:textId="77777777" w:rsidR="00411620" w:rsidRPr="00D94694" w:rsidRDefault="00411620" w:rsidP="00411620">
      <w:pPr>
        <w:spacing w:line="216" w:lineRule="auto"/>
        <w:rPr>
          <w:i/>
          <w:sz w:val="23"/>
          <w:szCs w:val="23"/>
          <w:rtl/>
        </w:rPr>
      </w:pPr>
      <w:r w:rsidRPr="00D94694">
        <w:rPr>
          <w:rFonts w:hint="cs"/>
          <w:i/>
          <w:sz w:val="23"/>
          <w:szCs w:val="23"/>
          <w:rtl/>
        </w:rPr>
        <w:t>بنابراین</w:t>
      </w:r>
      <w:r w:rsidRPr="00D94694">
        <w:rPr>
          <w:position w:val="-12"/>
        </w:rPr>
        <w:object w:dxaOrig="520" w:dyaOrig="360" w14:anchorId="194741DA">
          <v:shape id="_x0000_i4790" type="#_x0000_t75" style="width:26pt;height:18.15pt" o:ole="">
            <v:imagedata r:id="rId7578" o:title=""/>
          </v:shape>
          <o:OLEObject Type="Embed" ProgID="Equation.DSMT4" ShapeID="_x0000_i4790" DrawAspect="Content" ObjectID="_1791378734" r:id="rId7579"/>
        </w:object>
      </w:r>
      <w:r w:rsidRPr="00D94694">
        <w:rPr>
          <w:rFonts w:hint="cs"/>
          <w:i/>
          <w:sz w:val="23"/>
          <w:szCs w:val="23"/>
          <w:rtl/>
        </w:rPr>
        <w:t xml:space="preserve"> را می‌توان به عنوان عامل تنزیل تصادفی یک دلار در وضعیت</w:t>
      </w:r>
      <w:r w:rsidRPr="00D94694">
        <w:rPr>
          <w:position w:val="-6"/>
        </w:rPr>
        <w:object w:dxaOrig="160" w:dyaOrig="200" w14:anchorId="5DB606C2">
          <v:shape id="_x0000_i4791" type="#_x0000_t75" style="width:7.85pt;height:10.3pt" o:ole="">
            <v:imagedata r:id="rId7580" o:title=""/>
          </v:shape>
          <o:OLEObject Type="Embed" ProgID="Equation.DSMT4" ShapeID="_x0000_i4791" DrawAspect="Content" ObjectID="_1791378735" r:id="rId7581"/>
        </w:object>
      </w:r>
      <w:r w:rsidRPr="00D94694">
        <w:rPr>
          <w:rFonts w:hint="cs"/>
          <w:i/>
          <w:sz w:val="23"/>
          <w:szCs w:val="23"/>
          <w:rtl/>
        </w:rPr>
        <w:t>،</w:t>
      </w:r>
      <w:r w:rsidRPr="00D94694">
        <w:rPr>
          <w:position w:val="-12"/>
        </w:rPr>
        <w:object w:dxaOrig="480" w:dyaOrig="360" w14:anchorId="2B2E3405">
          <v:shape id="_x0000_i4792" type="#_x0000_t75" style="width:24.2pt;height:18.15pt" o:ole="">
            <v:imagedata r:id="rId7582" o:title=""/>
          </v:shape>
          <o:OLEObject Type="Embed" ProgID="Equation.DSMT4" ShapeID="_x0000_i4792" DrawAspect="Content" ObjectID="_1791378736" r:id="rId7583"/>
        </w:object>
      </w:r>
      <w:r w:rsidRPr="00D94694">
        <w:rPr>
          <w:i/>
          <w:sz w:val="23"/>
          <w:szCs w:val="23"/>
          <w:rtl/>
        </w:rPr>
        <w:t xml:space="preserve"> </w:t>
      </w:r>
      <w:r w:rsidRPr="00D94694">
        <w:rPr>
          <w:rFonts w:hint="cs"/>
          <w:i/>
          <w:sz w:val="23"/>
          <w:szCs w:val="23"/>
          <w:rtl/>
        </w:rPr>
        <w:t>عایدی در وضعیت</w:t>
      </w:r>
      <w:r w:rsidRPr="00D94694">
        <w:rPr>
          <w:position w:val="-6"/>
        </w:rPr>
        <w:object w:dxaOrig="160" w:dyaOrig="200" w14:anchorId="268E5ABE">
          <v:shape id="_x0000_i4793" type="#_x0000_t75" style="width:7.85pt;height:10.3pt" o:ole="">
            <v:imagedata r:id="rId7584" o:title=""/>
          </v:shape>
          <o:OLEObject Type="Embed" ProgID="Equation.DSMT4" ShapeID="_x0000_i4793" DrawAspect="Content" ObjectID="_1791378737" r:id="rId7585"/>
        </w:object>
      </w:r>
      <w:r w:rsidRPr="00D94694">
        <w:rPr>
          <w:rFonts w:hint="cs"/>
          <w:i/>
          <w:sz w:val="23"/>
          <w:szCs w:val="23"/>
          <w:rtl/>
        </w:rPr>
        <w:t xml:space="preserve">، و قیمت دارایی را متوسط یا ارزش تنزیل شده‌ی انتظاری این عواید تفسیر کرد. اگر </w:t>
      </w:r>
      <w:r w:rsidRPr="00D94694">
        <w:rPr>
          <w:position w:val="-12"/>
        </w:rPr>
        <w:object w:dxaOrig="520" w:dyaOrig="360" w14:anchorId="3E3BE3F8">
          <v:shape id="_x0000_i4794" type="#_x0000_t75" style="width:26pt;height:18.15pt" o:ole="">
            <v:imagedata r:id="rId7586" o:title=""/>
          </v:shape>
          <o:OLEObject Type="Embed" ProgID="Equation.DSMT4" ShapeID="_x0000_i4794" DrawAspect="Content" ObjectID="_1791378738" r:id="rId7587"/>
        </w:object>
      </w:r>
      <w:r w:rsidRPr="00D94694">
        <w:rPr>
          <w:rFonts w:hint="cs"/>
          <w:i/>
          <w:sz w:val="23"/>
          <w:szCs w:val="23"/>
          <w:rtl/>
        </w:rPr>
        <w:t xml:space="preserve"> کوچک باشد آنگاه وضعیت</w:t>
      </w:r>
      <w:r w:rsidRPr="00D94694">
        <w:rPr>
          <w:position w:val="-6"/>
        </w:rPr>
        <w:object w:dxaOrig="160" w:dyaOrig="200" w14:anchorId="1AA57CBC">
          <v:shape id="_x0000_i4795" type="#_x0000_t75" style="width:7.85pt;height:10.3pt" o:ole="">
            <v:imagedata r:id="rId7588" o:title=""/>
          </v:shape>
          <o:OLEObject Type="Embed" ProgID="Equation.DSMT4" ShapeID="_x0000_i4795" DrawAspect="Content" ObjectID="_1791378739" r:id="rId7589"/>
        </w:object>
      </w:r>
      <w:r w:rsidRPr="00D94694">
        <w:rPr>
          <w:i/>
          <w:sz w:val="23"/>
          <w:szCs w:val="23"/>
        </w:rPr>
        <w:t xml:space="preserve"> </w:t>
      </w:r>
      <w:r w:rsidRPr="00D94694">
        <w:rPr>
          <w:rFonts w:hint="cs"/>
          <w:i/>
          <w:sz w:val="23"/>
          <w:szCs w:val="23"/>
          <w:rtl/>
        </w:rPr>
        <w:t>ارزان است به</w:t>
      </w:r>
      <w:r w:rsidRPr="00D94694">
        <w:rPr>
          <w:i/>
          <w:sz w:val="23"/>
          <w:szCs w:val="23"/>
          <w:rtl/>
        </w:rPr>
        <w:softHyphen/>
      </w:r>
      <w:r w:rsidRPr="00D94694">
        <w:rPr>
          <w:rFonts w:hint="cs"/>
          <w:i/>
          <w:sz w:val="23"/>
          <w:szCs w:val="23"/>
          <w:rtl/>
        </w:rPr>
        <w:t>طوری</w:t>
      </w:r>
      <w:r w:rsidRPr="00D94694">
        <w:rPr>
          <w:i/>
          <w:sz w:val="23"/>
          <w:szCs w:val="23"/>
          <w:rtl/>
        </w:rPr>
        <w:softHyphen/>
      </w:r>
      <w:r w:rsidRPr="00D94694">
        <w:rPr>
          <w:rFonts w:hint="cs"/>
          <w:i/>
          <w:sz w:val="23"/>
          <w:szCs w:val="23"/>
          <w:rtl/>
        </w:rPr>
        <w:t>که سرمایه‌گذاران تمایلی به پرداخت قیمت بالا برای دریافت عایدی در وضعیت</w:t>
      </w:r>
      <w:r w:rsidRPr="00D94694">
        <w:rPr>
          <w:position w:val="-6"/>
        </w:rPr>
        <w:object w:dxaOrig="160" w:dyaOrig="200" w14:anchorId="59AEF164">
          <v:shape id="_x0000_i4796" type="#_x0000_t75" style="width:7.85pt;height:10.3pt" o:ole="">
            <v:imagedata r:id="rId7590" o:title=""/>
          </v:shape>
          <o:OLEObject Type="Embed" ProgID="Equation.DSMT4" ShapeID="_x0000_i4796" DrawAspect="Content" ObjectID="_1791378740" r:id="rId7591"/>
        </w:object>
      </w:r>
      <w:r w:rsidRPr="00D94694">
        <w:rPr>
          <w:rFonts w:hint="cs"/>
          <w:i/>
          <w:sz w:val="23"/>
          <w:szCs w:val="23"/>
          <w:rtl/>
        </w:rPr>
        <w:t xml:space="preserve"> را نخواهند داشت. یک دارایی که در وضعیت ارزان تحویل داده می‌شود تمایل دارد تا همبستگی عایدی آن با</w:t>
      </w:r>
      <w:r w:rsidRPr="00D94694">
        <w:rPr>
          <w:position w:val="-12"/>
        </w:rPr>
        <w:object w:dxaOrig="520" w:dyaOrig="360" w14:anchorId="276F72E7">
          <v:shape id="_x0000_i4797" type="#_x0000_t75" style="width:26pt;height:18.15pt" o:ole="">
            <v:imagedata r:id="rId7592" o:title=""/>
          </v:shape>
          <o:OLEObject Type="Embed" ProgID="Equation.DSMT4" ShapeID="_x0000_i4797" DrawAspect="Content" ObjectID="_1791378741" r:id="rId7593"/>
        </w:object>
      </w:r>
      <w:r w:rsidRPr="00D94694">
        <w:rPr>
          <w:rFonts w:hint="cs"/>
          <w:i/>
          <w:sz w:val="23"/>
          <w:szCs w:val="23"/>
          <w:rtl/>
        </w:rPr>
        <w:t xml:space="preserve"> منفی باشد، یعنی </w:t>
      </w:r>
      <w:r w:rsidRPr="00D94694">
        <w:rPr>
          <w:position w:val="-12"/>
        </w:rPr>
        <w:object w:dxaOrig="1320" w:dyaOrig="360" w14:anchorId="7997DF22">
          <v:shape id="_x0000_i4798" type="#_x0000_t75" style="width:65.95pt;height:18.15pt" o:ole="">
            <v:imagedata r:id="rId7594" o:title=""/>
          </v:shape>
          <o:OLEObject Type="Embed" ProgID="Equation.DSMT4" ShapeID="_x0000_i4798" DrawAspect="Content" ObjectID="_1791378742" r:id="rId7595"/>
        </w:object>
      </w:r>
      <w:r w:rsidRPr="00D94694">
        <w:rPr>
          <w:i/>
          <w:sz w:val="23"/>
          <w:szCs w:val="23"/>
        </w:rPr>
        <w:t>.</w:t>
      </w:r>
      <w:r w:rsidRPr="00D94694">
        <w:rPr>
          <w:i/>
          <w:sz w:val="23"/>
          <w:szCs w:val="23"/>
          <w:rtl/>
        </w:rPr>
        <w:t xml:space="preserve"> </w:t>
      </w:r>
    </w:p>
    <w:p w14:paraId="5A9B00E2" w14:textId="77777777" w:rsidR="00411620" w:rsidRPr="00D94694" w:rsidRDefault="00411620" w:rsidP="00411620">
      <w:pPr>
        <w:spacing w:line="216" w:lineRule="auto"/>
        <w:rPr>
          <w:i/>
          <w:sz w:val="23"/>
          <w:szCs w:val="23"/>
        </w:rPr>
      </w:pPr>
      <w:r w:rsidRPr="00D94694">
        <w:rPr>
          <w:rFonts w:hint="cs"/>
          <w:i/>
          <w:sz w:val="23"/>
          <w:szCs w:val="23"/>
          <w:rtl/>
        </w:rPr>
        <w:t xml:space="preserve"> معادله‌ی (۱۱. ۱۱) یک فرمول قیمت‌گذاری کامل عمومی است که برای کلیه‌ی دارایی</w:t>
      </w:r>
      <w:r w:rsidRPr="00D94694">
        <w:rPr>
          <w:i/>
          <w:sz w:val="23"/>
          <w:szCs w:val="23"/>
          <w:rtl/>
        </w:rPr>
        <w:softHyphen/>
      </w:r>
      <w:r w:rsidRPr="00D94694">
        <w:rPr>
          <w:rFonts w:hint="cs"/>
          <w:i/>
          <w:sz w:val="23"/>
          <w:szCs w:val="23"/>
          <w:rtl/>
        </w:rPr>
        <w:t>ها و همچنین</w:t>
      </w:r>
    </w:p>
    <w:p w14:paraId="077DB506" w14:textId="77777777" w:rsidR="00411620" w:rsidRPr="00D94694" w:rsidRDefault="00411620" w:rsidP="00411620">
      <w:pPr>
        <w:spacing w:line="216" w:lineRule="auto"/>
        <w:rPr>
          <w:i/>
          <w:sz w:val="23"/>
          <w:szCs w:val="23"/>
          <w:rtl/>
        </w:rPr>
      </w:pPr>
      <w:r w:rsidRPr="00D94694">
        <w:rPr>
          <w:rFonts w:hint="cs"/>
          <w:i/>
          <w:sz w:val="23"/>
          <w:szCs w:val="23"/>
          <w:rtl/>
        </w:rPr>
        <w:t xml:space="preserve"> مشتقات همانند اختیار معامله بکار گرفته می‌شود، و بدان رویکرد عامل تنزیل تصادفی گویند. تمامی نظریه</w:t>
      </w:r>
      <w:r w:rsidRPr="00D94694">
        <w:rPr>
          <w:i/>
          <w:sz w:val="23"/>
          <w:szCs w:val="23"/>
          <w:rtl/>
        </w:rPr>
        <w:softHyphen/>
      </w:r>
      <w:r w:rsidRPr="00D94694">
        <w:rPr>
          <w:rFonts w:hint="cs"/>
          <w:i/>
          <w:sz w:val="23"/>
          <w:szCs w:val="23"/>
          <w:rtl/>
        </w:rPr>
        <w:t>های قیمت‌گذاری دارایی‌ها را می‌توان به این شکل بازنویسی کرد، و تفاوت در آن‌ها فقط به روش تببین عامل تنزیل تصادفی</w:t>
      </w:r>
      <w:r w:rsidRPr="00D94694">
        <w:rPr>
          <w:position w:val="-6"/>
        </w:rPr>
        <w:object w:dxaOrig="260" w:dyaOrig="200" w14:anchorId="525805AD">
          <v:shape id="_x0000_i4799" type="#_x0000_t75" style="width:13.3pt;height:10.3pt" o:ole="">
            <v:imagedata r:id="rId7596" o:title=""/>
          </v:shape>
          <o:OLEObject Type="Embed" ProgID="Equation.DSMT4" ShapeID="_x0000_i4799" DrawAspect="Content" ObjectID="_1791378743" r:id="rId7597"/>
        </w:object>
      </w:r>
      <w:r w:rsidRPr="00D94694">
        <w:rPr>
          <w:rFonts w:hint="cs"/>
          <w:i/>
          <w:sz w:val="23"/>
          <w:szCs w:val="23"/>
          <w:rtl/>
        </w:rPr>
        <w:t xml:space="preserve"> وابسته است.</w:t>
      </w:r>
      <w:r w:rsidRPr="00D94694">
        <w:rPr>
          <w:rStyle w:val="FootnoteReference"/>
          <w:rFonts w:eastAsiaTheme="majorEastAsia"/>
          <w:i/>
          <w:sz w:val="23"/>
          <w:szCs w:val="23"/>
          <w:rtl/>
        </w:rPr>
        <w:footnoteReference w:id="247"/>
      </w:r>
      <w:r w:rsidRPr="00D94694">
        <w:rPr>
          <w:rFonts w:hint="cs"/>
          <w:i/>
          <w:sz w:val="23"/>
          <w:szCs w:val="23"/>
          <w:rtl/>
        </w:rPr>
        <w:t xml:space="preserve"> </w:t>
      </w:r>
    </w:p>
    <w:p w14:paraId="7C964F43" w14:textId="77777777" w:rsidR="00411620" w:rsidRPr="00D94694" w:rsidRDefault="00411620" w:rsidP="00411620">
      <w:pPr>
        <w:spacing w:line="216" w:lineRule="auto"/>
        <w:rPr>
          <w:i/>
          <w:sz w:val="23"/>
          <w:szCs w:val="23"/>
        </w:rPr>
      </w:pPr>
    </w:p>
    <w:p w14:paraId="2D6BC45D" w14:textId="77777777" w:rsidR="00411620" w:rsidRPr="00D94694" w:rsidRDefault="00411620" w:rsidP="00411620">
      <w:pPr>
        <w:spacing w:line="216" w:lineRule="auto"/>
        <w:rPr>
          <w:bCs/>
          <w:i/>
          <w:sz w:val="23"/>
          <w:szCs w:val="23"/>
          <w:rtl/>
        </w:rPr>
      </w:pPr>
      <w:r w:rsidRPr="00D94694">
        <w:rPr>
          <w:rFonts w:hint="cs"/>
          <w:bCs/>
          <w:i/>
          <w:sz w:val="23"/>
          <w:szCs w:val="23"/>
          <w:rtl/>
        </w:rPr>
        <w:t>بازدهی</w:t>
      </w:r>
      <w:r w:rsidRPr="00D94694">
        <w:rPr>
          <w:bCs/>
          <w:i/>
          <w:sz w:val="23"/>
          <w:szCs w:val="23"/>
          <w:rtl/>
        </w:rPr>
        <w:softHyphen/>
      </w:r>
      <w:r w:rsidRPr="00D94694">
        <w:rPr>
          <w:rFonts w:hint="cs"/>
          <w:bCs/>
          <w:i/>
          <w:sz w:val="23"/>
          <w:szCs w:val="23"/>
          <w:rtl/>
        </w:rPr>
        <w:t>های دارایی</w:t>
      </w:r>
    </w:p>
    <w:p w14:paraId="1A58E38D" w14:textId="77777777" w:rsidR="00411620" w:rsidRPr="00D94694" w:rsidRDefault="00411620" w:rsidP="00411620">
      <w:pPr>
        <w:spacing w:line="216" w:lineRule="auto"/>
        <w:rPr>
          <w:i/>
          <w:sz w:val="23"/>
          <w:szCs w:val="23"/>
          <w:rtl/>
        </w:rPr>
      </w:pPr>
      <w:r w:rsidRPr="00D94694">
        <w:rPr>
          <w:rFonts w:hint="cs"/>
          <w:i/>
          <w:sz w:val="23"/>
          <w:szCs w:val="23"/>
          <w:rtl/>
        </w:rPr>
        <w:t>معادله‌ی (۱۱. ۱۱) را می‌توان بر حسب بازدهی دارایی بجای قیمت دارایی بازنویسی کرد. چنانچه معادله‌ی ( ۱۱. ۹) را بر</w:t>
      </w:r>
      <w:r w:rsidRPr="00D94694">
        <w:rPr>
          <w:position w:val="-8"/>
        </w:rPr>
        <w:object w:dxaOrig="220" w:dyaOrig="220" w14:anchorId="15DE8E19">
          <v:shape id="_x0000_i4800" type="#_x0000_t75" style="width:10.9pt;height:10.9pt" o:ole="">
            <v:imagedata r:id="rId7598" o:title=""/>
          </v:shape>
          <o:OLEObject Type="Embed" ProgID="Equation.DSMT4" ShapeID="_x0000_i4800" DrawAspect="Content" ObjectID="_1791378744" r:id="rId7599"/>
        </w:object>
      </w:r>
      <w:r w:rsidRPr="00D94694">
        <w:rPr>
          <w:i/>
          <w:sz w:val="23"/>
          <w:szCs w:val="23"/>
        </w:rPr>
        <w:t xml:space="preserve"> </w:t>
      </w:r>
      <w:r w:rsidRPr="00D94694">
        <w:rPr>
          <w:rFonts w:hint="cs"/>
          <w:i/>
          <w:sz w:val="23"/>
          <w:szCs w:val="23"/>
          <w:rtl/>
        </w:rPr>
        <w:t xml:space="preserve">و از رابطه‌ی </w:t>
      </w:r>
      <w:r w:rsidRPr="00D94694">
        <w:rPr>
          <w:position w:val="-12"/>
        </w:rPr>
        <w:object w:dxaOrig="1640" w:dyaOrig="360" w14:anchorId="15FE1D2A">
          <v:shape id="_x0000_i4801" type="#_x0000_t75" style="width:82.3pt;height:18.15pt" o:ole="">
            <v:imagedata r:id="rId7600" o:title=""/>
          </v:shape>
          <o:OLEObject Type="Embed" ProgID="Equation.DSMT4" ShapeID="_x0000_i4801" DrawAspect="Content" ObjectID="_1791378745" r:id="rId7601"/>
        </w:object>
      </w:r>
      <w:r w:rsidRPr="00D94694">
        <w:rPr>
          <w:i/>
          <w:sz w:val="23"/>
          <w:szCs w:val="23"/>
        </w:rPr>
        <w:t xml:space="preserve"> </w:t>
      </w:r>
      <w:r w:rsidRPr="00D94694">
        <w:rPr>
          <w:rFonts w:hint="cs"/>
          <w:i/>
          <w:sz w:val="23"/>
          <w:szCs w:val="23"/>
          <w:rtl/>
        </w:rPr>
        <w:t>برای</w:t>
      </w:r>
      <w:r w:rsidRPr="00D94694">
        <w:rPr>
          <w:position w:val="-8"/>
        </w:rPr>
        <w:object w:dxaOrig="940" w:dyaOrig="279" w14:anchorId="50B1A40E">
          <v:shape id="_x0000_i4802" type="#_x0000_t75" style="width:47.2pt;height:13.9pt" o:ole="">
            <v:imagedata r:id="rId7602" o:title=""/>
          </v:shape>
          <o:OLEObject Type="Embed" ProgID="Equation.DSMT4" ShapeID="_x0000_i4802" DrawAspect="Content" ObjectID="_1791378746" r:id="rId7603"/>
        </w:object>
      </w:r>
      <w:r w:rsidRPr="00D94694">
        <w:rPr>
          <w:i/>
          <w:sz w:val="23"/>
          <w:szCs w:val="23"/>
        </w:rPr>
        <w:t xml:space="preserve"> </w:t>
      </w:r>
      <w:r w:rsidRPr="00D94694">
        <w:rPr>
          <w:rFonts w:hint="cs"/>
          <w:i/>
          <w:sz w:val="23"/>
          <w:szCs w:val="23"/>
          <w:rtl/>
        </w:rPr>
        <w:t>کمک بگیریم، آنگاه می‌توان معادله‌ی (۱۱. ۹) را به صورت زیر بازنویسی کرد</w:t>
      </w:r>
    </w:p>
    <w:p w14:paraId="5F1E61CD" w14:textId="77777777" w:rsidR="00411620" w:rsidRPr="00D94694" w:rsidRDefault="00411620" w:rsidP="00411620">
      <w:pPr>
        <w:tabs>
          <w:tab w:val="left" w:pos="0"/>
          <w:tab w:val="left" w:pos="720"/>
          <w:tab w:val="left" w:pos="1440"/>
          <w:tab w:val="left" w:pos="2160"/>
          <w:tab w:val="left" w:pos="2250"/>
          <w:tab w:val="left" w:pos="2880"/>
          <w:tab w:val="left" w:pos="3600"/>
          <w:tab w:val="left" w:pos="4320"/>
          <w:tab w:val="left" w:pos="4950"/>
          <w:tab w:val="left" w:pos="5040"/>
          <w:tab w:val="left" w:pos="5760"/>
          <w:tab w:val="left" w:pos="6480"/>
          <w:tab w:val="left" w:pos="7110"/>
          <w:tab w:val="right" w:pos="7157"/>
        </w:tabs>
        <w:bidi w:val="0"/>
        <w:spacing w:line="216" w:lineRule="auto"/>
        <w:rPr>
          <w:i/>
          <w:sz w:val="23"/>
          <w:szCs w:val="23"/>
        </w:rPr>
      </w:pPr>
      <w:r w:rsidRPr="00D94694">
        <w:rPr>
          <w:position w:val="-26"/>
        </w:rPr>
        <w:object w:dxaOrig="1860" w:dyaOrig="620" w14:anchorId="49EF9815">
          <v:shape id="_x0000_i4803" type="#_x0000_t75" style="width:93.2pt;height:31.45pt" o:ole="">
            <v:imagedata r:id="rId7604" o:title=""/>
          </v:shape>
          <o:OLEObject Type="Embed" ProgID="Equation.DSMT4" ShapeID="_x0000_i4803" DrawAspect="Content" ObjectID="_1791378747" r:id="rId7605"/>
        </w:object>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rFonts w:hint="cs"/>
          <w:i/>
          <w:sz w:val="23"/>
          <w:szCs w:val="23"/>
          <w:rtl/>
        </w:rPr>
        <w:t>(۱۱. ۱۲)</w:t>
      </w:r>
      <w:r w:rsidRPr="00D94694">
        <w:rPr>
          <w:rFonts w:hint="cs"/>
          <w:i/>
          <w:sz w:val="23"/>
          <w:szCs w:val="23"/>
        </w:rPr>
        <w:t xml:space="preserve"> </w:t>
      </w:r>
      <w:r w:rsidRPr="00D94694">
        <w:rPr>
          <w:i/>
          <w:sz w:val="23"/>
          <w:szCs w:val="23"/>
        </w:rPr>
        <w:tab/>
      </w:r>
    </w:p>
    <w:p w14:paraId="2B9ADD8D" w14:textId="77777777" w:rsidR="00411620" w:rsidRPr="00D94694" w:rsidRDefault="00411620" w:rsidP="00411620">
      <w:pPr>
        <w:spacing w:line="216" w:lineRule="auto"/>
        <w:rPr>
          <w:i/>
          <w:sz w:val="23"/>
          <w:szCs w:val="23"/>
          <w:rtl/>
        </w:rPr>
      </w:pPr>
      <w:r w:rsidRPr="00D94694">
        <w:rPr>
          <w:rFonts w:hint="cs"/>
          <w:i/>
          <w:sz w:val="23"/>
          <w:szCs w:val="23"/>
          <w:rtl/>
        </w:rPr>
        <w:t>و یا</w:t>
      </w:r>
    </w:p>
    <w:p w14:paraId="6F322929" w14:textId="77777777" w:rsidR="00411620" w:rsidRPr="00D94694" w:rsidRDefault="00411620" w:rsidP="00411620">
      <w:pPr>
        <w:bidi w:val="0"/>
        <w:spacing w:line="216" w:lineRule="auto"/>
        <w:rPr>
          <w:i/>
          <w:sz w:val="23"/>
          <w:szCs w:val="23"/>
          <w:rtl/>
        </w:rPr>
      </w:pPr>
      <w:r w:rsidRPr="00D94694">
        <w:rPr>
          <w:position w:val="-26"/>
        </w:rPr>
        <w:object w:dxaOrig="3680" w:dyaOrig="620" w14:anchorId="07AA4628">
          <v:shape id="_x0000_i4804" type="#_x0000_t75" style="width:183.95pt;height:31.45pt" o:ole="">
            <v:imagedata r:id="rId7606" o:title=""/>
          </v:shape>
          <o:OLEObject Type="Embed" ProgID="Equation.DSMT4" ShapeID="_x0000_i4804" DrawAspect="Content" ObjectID="_1791378748" r:id="rId7607"/>
        </w:object>
      </w:r>
      <w:r w:rsidRPr="00D94694">
        <w:rPr>
          <w:i/>
          <w:sz w:val="23"/>
          <w:szCs w:val="23"/>
          <w:rtl/>
        </w:rPr>
        <w:tab/>
      </w:r>
      <w:r w:rsidRPr="00D94694">
        <w:rPr>
          <w:i/>
          <w:sz w:val="23"/>
          <w:szCs w:val="23"/>
        </w:rPr>
        <w:tab/>
      </w:r>
      <w:r w:rsidRPr="00D94694">
        <w:rPr>
          <w:i/>
          <w:sz w:val="23"/>
          <w:szCs w:val="23"/>
          <w:rtl/>
        </w:rPr>
        <w:tab/>
      </w:r>
      <w:r w:rsidRPr="00D94694">
        <w:rPr>
          <w:i/>
          <w:sz w:val="23"/>
          <w:szCs w:val="23"/>
        </w:rPr>
        <w:tab/>
      </w:r>
      <w:r w:rsidRPr="00D94694">
        <w:rPr>
          <w:i/>
          <w:sz w:val="23"/>
          <w:szCs w:val="23"/>
          <w:rtl/>
        </w:rPr>
        <w:tab/>
      </w:r>
      <w:r w:rsidRPr="00D94694">
        <w:rPr>
          <w:i/>
          <w:sz w:val="23"/>
          <w:szCs w:val="23"/>
          <w:rtl/>
        </w:rPr>
        <w:tab/>
      </w:r>
      <w:r w:rsidRPr="00D94694">
        <w:rPr>
          <w:i/>
          <w:sz w:val="23"/>
          <w:szCs w:val="23"/>
          <w:rtl/>
        </w:rPr>
        <w:tab/>
      </w:r>
      <w:r w:rsidRPr="00D94694">
        <w:rPr>
          <w:i/>
          <w:sz w:val="23"/>
          <w:szCs w:val="23"/>
        </w:rPr>
        <w:tab/>
      </w:r>
      <w:r w:rsidRPr="00D94694">
        <w:rPr>
          <w:rFonts w:hint="cs"/>
          <w:i/>
          <w:sz w:val="23"/>
          <w:szCs w:val="23"/>
          <w:rtl/>
        </w:rPr>
        <w:t xml:space="preserve">(۱۱. ۱۳)  </w:t>
      </w:r>
      <w:r w:rsidRPr="00D94694">
        <w:rPr>
          <w:rFonts w:hint="cs"/>
          <w:i/>
          <w:sz w:val="23"/>
          <w:szCs w:val="23"/>
        </w:rPr>
        <w:t xml:space="preserve"> </w:t>
      </w:r>
    </w:p>
    <w:p w14:paraId="7261F9E9" w14:textId="77777777" w:rsidR="00411620" w:rsidRPr="00D94694" w:rsidRDefault="00411620" w:rsidP="00411620">
      <w:pPr>
        <w:spacing w:line="216" w:lineRule="auto"/>
        <w:rPr>
          <w:i/>
          <w:sz w:val="23"/>
          <w:szCs w:val="23"/>
          <w:rtl/>
        </w:rPr>
      </w:pPr>
      <w:r w:rsidRPr="00D94694">
        <w:rPr>
          <w:rFonts w:hint="cs"/>
          <w:i/>
          <w:sz w:val="23"/>
          <w:szCs w:val="23"/>
          <w:rtl/>
        </w:rPr>
        <w:t>که درآن</w:t>
      </w:r>
      <w:r w:rsidRPr="00025957">
        <w:rPr>
          <w:position w:val="-4"/>
        </w:rPr>
        <w:object w:dxaOrig="180" w:dyaOrig="180" w14:anchorId="2A522EEB">
          <v:shape id="_x0000_i4805" type="#_x0000_t75" style="width:9.1pt;height:9.1pt" o:ole="">
            <v:imagedata r:id="rId7608" o:title=""/>
          </v:shape>
          <o:OLEObject Type="Embed" ProgID="Equation.DSMT4" ShapeID="_x0000_i4805" DrawAspect="Content" ObjectID="_1791378749" r:id="rId7609"/>
        </w:object>
      </w:r>
      <w:r w:rsidRPr="00D94694">
        <w:rPr>
          <w:rFonts w:hint="cs"/>
          <w:i/>
          <w:sz w:val="23"/>
          <w:szCs w:val="23"/>
          <w:rtl/>
        </w:rPr>
        <w:t xml:space="preserve"> بازدهی دارایی است و بازنمای بازدهی دارایی ریسکی و یا بدون ریسک از رویکرد عامل تنزیل تصادفی است.</w:t>
      </w:r>
    </w:p>
    <w:p w14:paraId="33BD4EC4" w14:textId="77777777" w:rsidR="00411620" w:rsidRPr="00D94694" w:rsidRDefault="00411620" w:rsidP="00411620">
      <w:pPr>
        <w:spacing w:line="216" w:lineRule="auto"/>
        <w:rPr>
          <w:i/>
          <w:sz w:val="23"/>
          <w:szCs w:val="23"/>
          <w:rtl/>
        </w:rPr>
      </w:pPr>
    </w:p>
    <w:p w14:paraId="00837712" w14:textId="77777777" w:rsidR="00411620" w:rsidRPr="00D94694" w:rsidRDefault="00411620" w:rsidP="00411620">
      <w:pPr>
        <w:spacing w:line="216" w:lineRule="auto"/>
        <w:rPr>
          <w:bCs/>
          <w:i/>
          <w:sz w:val="23"/>
          <w:szCs w:val="23"/>
          <w:rtl/>
        </w:rPr>
      </w:pPr>
      <w:r w:rsidRPr="00D94694">
        <w:rPr>
          <w:rFonts w:hint="cs"/>
          <w:bCs/>
          <w:i/>
          <w:sz w:val="23"/>
          <w:szCs w:val="23"/>
          <w:rtl/>
        </w:rPr>
        <w:t>بازدهی بدون ریسک</w:t>
      </w:r>
    </w:p>
    <w:p w14:paraId="4E7B940D" w14:textId="77777777" w:rsidR="00411620" w:rsidRPr="00D94694" w:rsidRDefault="00411620" w:rsidP="00411620">
      <w:pPr>
        <w:spacing w:line="216" w:lineRule="auto"/>
        <w:rPr>
          <w:i/>
          <w:sz w:val="23"/>
          <w:szCs w:val="23"/>
          <w:rtl/>
        </w:rPr>
      </w:pPr>
      <w:r w:rsidRPr="00D94694">
        <w:rPr>
          <w:rFonts w:hint="cs"/>
          <w:i/>
          <w:sz w:val="23"/>
          <w:szCs w:val="23"/>
          <w:rtl/>
        </w:rPr>
        <w:t>از آنجا که معادله‌ی (۱۱. ۱۳) برای کلیه‌ی دارایی‌ها بکار گرفته می‌شود، لذا برای دارایی‌های بدون ریسک نیز مورد استفاده قرار می‌گیرد. اگر دارایی بدون ریسک باشد، آنگاه عایدی یکسانی در کلیه‌ی وضعیت</w:t>
      </w:r>
      <w:r w:rsidRPr="00D94694">
        <w:rPr>
          <w:i/>
          <w:sz w:val="23"/>
          <w:szCs w:val="23"/>
          <w:rtl/>
        </w:rPr>
        <w:softHyphen/>
      </w:r>
      <w:r w:rsidRPr="00D94694">
        <w:rPr>
          <w:rFonts w:hint="cs"/>
          <w:i/>
          <w:sz w:val="23"/>
          <w:szCs w:val="23"/>
          <w:rtl/>
        </w:rPr>
        <w:t>ها دارد. بنابراین،</w:t>
      </w:r>
      <w:r w:rsidRPr="00D94694">
        <w:rPr>
          <w:position w:val="-12"/>
        </w:rPr>
        <w:object w:dxaOrig="480" w:dyaOrig="360" w14:anchorId="2DDEC4AA">
          <v:shape id="_x0000_i4806" type="#_x0000_t75" style="width:24.2pt;height:18.15pt" o:ole="">
            <v:imagedata r:id="rId7610" o:title=""/>
          </v:shape>
          <o:OLEObject Type="Embed" ProgID="Equation.DSMT4" ShapeID="_x0000_i4806" DrawAspect="Content" ObjectID="_1791378750" r:id="rId7611"/>
        </w:object>
      </w:r>
      <w:r w:rsidRPr="00D94694">
        <w:rPr>
          <w:i/>
          <w:sz w:val="23"/>
          <w:szCs w:val="23"/>
        </w:rPr>
        <w:t xml:space="preserve"> </w:t>
      </w:r>
      <w:r w:rsidRPr="00D94694">
        <w:rPr>
          <w:rFonts w:hint="cs"/>
          <w:i/>
          <w:sz w:val="23"/>
          <w:szCs w:val="23"/>
          <w:rtl/>
        </w:rPr>
        <w:t>مستقل از</w:t>
      </w:r>
      <w:r w:rsidRPr="00D94694">
        <w:rPr>
          <w:position w:val="-6"/>
        </w:rPr>
        <w:object w:dxaOrig="160" w:dyaOrig="200" w14:anchorId="562B78AF">
          <v:shape id="_x0000_i4807" type="#_x0000_t75" style="width:7.85pt;height:10.3pt" o:ole="">
            <v:imagedata r:id="rId7612" o:title=""/>
          </v:shape>
          <o:OLEObject Type="Embed" ProgID="Equation.DSMT4" ShapeID="_x0000_i4807" DrawAspect="Content" ObjectID="_1791378751" r:id="rId7613"/>
        </w:object>
      </w:r>
      <w:r w:rsidRPr="00D94694">
        <w:rPr>
          <w:rFonts w:hint="cs"/>
          <w:i/>
          <w:sz w:val="23"/>
          <w:szCs w:val="23"/>
          <w:rtl/>
        </w:rPr>
        <w:t xml:space="preserve"> خواهد بود و برای کلیه‌ی</w:t>
      </w:r>
      <w:r w:rsidRPr="00D94694">
        <w:rPr>
          <w:position w:val="-6"/>
        </w:rPr>
        <w:object w:dxaOrig="160" w:dyaOrig="200" w14:anchorId="5CC1C3FD">
          <v:shape id="_x0000_i4808" type="#_x0000_t75" style="width:7.85pt;height:10.3pt" o:ole="">
            <v:imagedata r:id="rId7614" o:title=""/>
          </v:shape>
          <o:OLEObject Type="Embed" ProgID="Equation.DSMT4" ShapeID="_x0000_i4808" DrawAspect="Content" ObjectID="_1791378752" r:id="rId7615"/>
        </w:object>
      </w:r>
      <w:r w:rsidRPr="00D94694">
        <w:rPr>
          <w:rFonts w:hint="cs"/>
          <w:i/>
          <w:sz w:val="23"/>
          <w:szCs w:val="23"/>
          <w:rtl/>
        </w:rPr>
        <w:t>ها می‌توان نوشت</w:t>
      </w:r>
      <w:r w:rsidRPr="00D94694">
        <w:rPr>
          <w:position w:val="-12"/>
        </w:rPr>
        <w:object w:dxaOrig="820" w:dyaOrig="360" w14:anchorId="1088A8C4">
          <v:shape id="_x0000_i4809" type="#_x0000_t75" style="width:40.55pt;height:18.15pt" o:ole="">
            <v:imagedata r:id="rId7616" o:title=""/>
          </v:shape>
          <o:OLEObject Type="Embed" ProgID="Equation.DSMT4" ShapeID="_x0000_i4809" DrawAspect="Content" ObjectID="_1791378753" r:id="rId7617"/>
        </w:object>
      </w:r>
      <w:r w:rsidRPr="00D94694">
        <w:rPr>
          <w:i/>
          <w:sz w:val="23"/>
          <w:szCs w:val="23"/>
        </w:rPr>
        <w:t>.</w:t>
      </w:r>
      <w:r w:rsidRPr="00D94694">
        <w:rPr>
          <w:rFonts w:hint="cs"/>
          <w:i/>
          <w:sz w:val="23"/>
          <w:szCs w:val="23"/>
          <w:rtl/>
        </w:rPr>
        <w:t xml:space="preserve"> بنابراین قیمت دارایی بدون ریسک برابر خواهد شد با</w:t>
      </w:r>
    </w:p>
    <w:p w14:paraId="75EB9E7F" w14:textId="77777777" w:rsidR="00411620" w:rsidRPr="00D94694" w:rsidRDefault="00411620" w:rsidP="00411620">
      <w:pPr>
        <w:bidi w:val="0"/>
        <w:spacing w:line="216" w:lineRule="auto"/>
        <w:rPr>
          <w:i/>
          <w:sz w:val="23"/>
          <w:szCs w:val="23"/>
          <w:rtl/>
        </w:rPr>
      </w:pPr>
      <w:r w:rsidRPr="00D94694">
        <w:rPr>
          <w:position w:val="-12"/>
        </w:rPr>
        <w:object w:dxaOrig="4660" w:dyaOrig="360" w14:anchorId="65BF113C">
          <v:shape id="_x0000_i4810" type="#_x0000_t75" style="width:232.95pt;height:18.15pt" o:ole="">
            <v:imagedata r:id="rId7618" o:title=""/>
          </v:shape>
          <o:OLEObject Type="Embed" ProgID="Equation.DSMT4" ShapeID="_x0000_i4810" DrawAspect="Content" ObjectID="_1791378754" r:id="rId7619"/>
        </w:object>
      </w:r>
      <w:r w:rsidRPr="00D94694">
        <w:rPr>
          <w:i/>
          <w:sz w:val="23"/>
          <w:szCs w:val="23"/>
        </w:rPr>
        <w:tab/>
      </w:r>
      <w:r w:rsidRPr="00D94694">
        <w:rPr>
          <w:rFonts w:hint="cs"/>
          <w:i/>
          <w:sz w:val="23"/>
          <w:szCs w:val="23"/>
          <w:rtl/>
        </w:rPr>
        <w:t xml:space="preserve"> </w:t>
      </w:r>
      <w:r>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rFonts w:hint="cs"/>
          <w:i/>
          <w:sz w:val="23"/>
          <w:szCs w:val="23"/>
          <w:rtl/>
        </w:rPr>
        <w:t>(۱۱. ۱۴)</w:t>
      </w:r>
      <w:r w:rsidRPr="00D94694">
        <w:rPr>
          <w:rFonts w:hint="cs"/>
          <w:i/>
          <w:sz w:val="23"/>
          <w:szCs w:val="23"/>
        </w:rPr>
        <w:t xml:space="preserve"> </w:t>
      </w:r>
    </w:p>
    <w:p w14:paraId="6B2C6964" w14:textId="77777777" w:rsidR="00411620" w:rsidRPr="00D94694" w:rsidRDefault="00411620" w:rsidP="00411620">
      <w:pPr>
        <w:spacing w:line="216" w:lineRule="auto"/>
        <w:rPr>
          <w:i/>
          <w:sz w:val="23"/>
          <w:szCs w:val="23"/>
          <w:rtl/>
        </w:rPr>
      </w:pPr>
      <w:r w:rsidRPr="00D94694">
        <w:rPr>
          <w:rFonts w:hint="cs"/>
          <w:i/>
          <w:sz w:val="23"/>
          <w:szCs w:val="23"/>
          <w:rtl/>
        </w:rPr>
        <w:t>درغیراین صورت فرصت آربیتراژ وجود خواهد داشت.</w:t>
      </w:r>
    </w:p>
    <w:p w14:paraId="21D419E4" w14:textId="77777777" w:rsidR="00411620" w:rsidRPr="00D94694" w:rsidRDefault="00411620" w:rsidP="00411620">
      <w:pPr>
        <w:spacing w:line="216" w:lineRule="auto"/>
        <w:rPr>
          <w:i/>
          <w:sz w:val="23"/>
          <w:szCs w:val="23"/>
          <w:rtl/>
        </w:rPr>
      </w:pPr>
      <w:r w:rsidRPr="00D94694">
        <w:rPr>
          <w:rFonts w:hint="cs"/>
          <w:i/>
          <w:sz w:val="23"/>
          <w:szCs w:val="23"/>
          <w:rtl/>
        </w:rPr>
        <w:t>اگر برای مثال</w:t>
      </w:r>
      <w:r w:rsidRPr="00D94694">
        <w:rPr>
          <w:position w:val="-6"/>
        </w:rPr>
        <w:object w:dxaOrig="499" w:dyaOrig="260" w14:anchorId="6E05272D">
          <v:shape id="_x0000_i4811" type="#_x0000_t75" style="width:24.8pt;height:13.3pt" o:ole="">
            <v:imagedata r:id="rId7620" o:title=""/>
          </v:shape>
          <o:OLEObject Type="Embed" ProgID="Equation.DSMT4" ShapeID="_x0000_i4811" DrawAspect="Content" ObjectID="_1791378755" r:id="rId7621"/>
        </w:object>
      </w:r>
      <w:r w:rsidRPr="00D94694">
        <w:rPr>
          <w:rFonts w:hint="cs"/>
          <w:i/>
          <w:sz w:val="23"/>
          <w:szCs w:val="23"/>
          <w:rtl/>
        </w:rPr>
        <w:t xml:space="preserve"> باشد، آنگاه قیمت یک دارایی در امروز که یک واحد در کلیه‌ی وضعیت</w:t>
      </w:r>
      <w:r w:rsidRPr="00D94694">
        <w:rPr>
          <w:i/>
          <w:sz w:val="23"/>
          <w:szCs w:val="23"/>
          <w:rtl/>
        </w:rPr>
        <w:softHyphen/>
      </w:r>
      <w:r w:rsidRPr="00D94694">
        <w:rPr>
          <w:rFonts w:hint="cs"/>
          <w:i/>
          <w:sz w:val="23"/>
          <w:szCs w:val="23"/>
          <w:rtl/>
        </w:rPr>
        <w:t>ها در دوره‌ی بعد پرداخت می</w:t>
      </w:r>
      <w:r w:rsidRPr="00D94694">
        <w:rPr>
          <w:i/>
          <w:sz w:val="23"/>
          <w:szCs w:val="23"/>
          <w:rtl/>
        </w:rPr>
        <w:softHyphen/>
      </w:r>
      <w:r w:rsidRPr="00D94694">
        <w:rPr>
          <w:rFonts w:hint="cs"/>
          <w:i/>
          <w:sz w:val="23"/>
          <w:szCs w:val="23"/>
          <w:rtl/>
        </w:rPr>
        <w:t>کند برابر است با</w:t>
      </w:r>
    </w:p>
    <w:p w14:paraId="60F1FD58" w14:textId="77777777" w:rsidR="00411620" w:rsidRPr="00D94694" w:rsidRDefault="00411620" w:rsidP="00411620">
      <w:pPr>
        <w:bidi w:val="0"/>
        <w:spacing w:line="216" w:lineRule="auto"/>
        <w:rPr>
          <w:i/>
          <w:sz w:val="23"/>
          <w:szCs w:val="23"/>
        </w:rPr>
      </w:pPr>
      <w:r w:rsidRPr="00D94694">
        <w:rPr>
          <w:position w:val="-12"/>
        </w:rPr>
        <w:object w:dxaOrig="1060" w:dyaOrig="360" w14:anchorId="56BCD744">
          <v:shape id="_x0000_i4812" type="#_x0000_t75" style="width:53.25pt;height:18.15pt" o:ole="">
            <v:imagedata r:id="rId7622" o:title=""/>
          </v:shape>
          <o:OLEObject Type="Embed" ProgID="Equation.DSMT4" ShapeID="_x0000_i4812" DrawAspect="Content" ObjectID="_1791378756" r:id="rId7623"/>
        </w:object>
      </w:r>
      <w:r w:rsidRPr="00D94694">
        <w:rPr>
          <w:rFonts w:hint="cs"/>
          <w:i/>
          <w:sz w:val="23"/>
          <w:szCs w:val="23"/>
          <w:rtl/>
        </w:rPr>
        <w:t xml:space="preserve"> </w:t>
      </w:r>
    </w:p>
    <w:p w14:paraId="3E90F7AE" w14:textId="77777777" w:rsidR="00411620" w:rsidRPr="00D94694" w:rsidRDefault="00411620" w:rsidP="00411620">
      <w:pPr>
        <w:spacing w:line="216" w:lineRule="auto"/>
        <w:rPr>
          <w:i/>
          <w:sz w:val="23"/>
          <w:szCs w:val="23"/>
          <w:rtl/>
        </w:rPr>
      </w:pPr>
      <w:r w:rsidRPr="00D94694">
        <w:rPr>
          <w:rFonts w:hint="cs"/>
          <w:i/>
          <w:sz w:val="23"/>
          <w:szCs w:val="23"/>
          <w:rtl/>
        </w:rPr>
        <w:t>یا</w:t>
      </w:r>
    </w:p>
    <w:p w14:paraId="5A7A9877" w14:textId="77777777" w:rsidR="00411620" w:rsidRPr="00D94694" w:rsidRDefault="00411620" w:rsidP="00411620">
      <w:pPr>
        <w:bidi w:val="0"/>
        <w:spacing w:line="216" w:lineRule="auto"/>
        <w:rPr>
          <w:i/>
          <w:sz w:val="23"/>
          <w:szCs w:val="23"/>
        </w:rPr>
      </w:pPr>
      <w:r w:rsidRPr="00D94694">
        <w:rPr>
          <w:position w:val="-26"/>
        </w:rPr>
        <w:object w:dxaOrig="2620" w:dyaOrig="600" w14:anchorId="259B3787">
          <v:shape id="_x0000_i4813" type="#_x0000_t75" style="width:130.7pt;height:29.65pt" o:ole="">
            <v:imagedata r:id="rId7624" o:title=""/>
          </v:shape>
          <o:OLEObject Type="Embed" ProgID="Equation.DSMT4" ShapeID="_x0000_i4813" DrawAspect="Content" ObjectID="_1791378757" r:id="rId7625"/>
        </w:object>
      </w:r>
    </w:p>
    <w:p w14:paraId="2C37E74C" w14:textId="77777777" w:rsidR="00411620" w:rsidRPr="00D94694" w:rsidRDefault="00411620" w:rsidP="00411620">
      <w:pPr>
        <w:spacing w:line="216" w:lineRule="auto"/>
        <w:rPr>
          <w:i/>
          <w:sz w:val="23"/>
          <w:szCs w:val="23"/>
          <w:rtl/>
        </w:rPr>
      </w:pPr>
      <w:r w:rsidRPr="00D94694">
        <w:rPr>
          <w:rFonts w:hint="cs"/>
          <w:i/>
          <w:sz w:val="23"/>
          <w:szCs w:val="23"/>
          <w:rtl/>
        </w:rPr>
        <w:t>که در آن</w:t>
      </w:r>
      <w:r w:rsidRPr="00025957">
        <w:rPr>
          <w:position w:val="-4"/>
        </w:rPr>
        <w:object w:dxaOrig="240" w:dyaOrig="279" w14:anchorId="4EADF821">
          <v:shape id="_x0000_i4814" type="#_x0000_t75" style="width:12.1pt;height:13.9pt" o:ole="">
            <v:imagedata r:id="rId7626" o:title=""/>
          </v:shape>
          <o:OLEObject Type="Embed" ProgID="Equation.DSMT4" ShapeID="_x0000_i4814" DrawAspect="Content" ObjectID="_1791378758" r:id="rId7627"/>
        </w:object>
      </w:r>
      <w:r w:rsidRPr="00D94694">
        <w:rPr>
          <w:i/>
          <w:sz w:val="23"/>
          <w:szCs w:val="23"/>
        </w:rPr>
        <w:t xml:space="preserve"> </w:t>
      </w:r>
      <w:r w:rsidRPr="00D94694">
        <w:rPr>
          <w:rFonts w:hint="cs"/>
          <w:i/>
          <w:sz w:val="23"/>
          <w:szCs w:val="23"/>
          <w:rtl/>
        </w:rPr>
        <w:t>نرخ بدون ریسک می‌باشد. همچنین</w:t>
      </w:r>
    </w:p>
    <w:p w14:paraId="77B10ED2" w14:textId="77777777" w:rsidR="00411620" w:rsidRPr="00D94694" w:rsidRDefault="00411620" w:rsidP="00411620">
      <w:pPr>
        <w:bidi w:val="0"/>
        <w:spacing w:line="216" w:lineRule="auto"/>
        <w:rPr>
          <w:i/>
          <w:sz w:val="23"/>
          <w:szCs w:val="23"/>
          <w:rtl/>
        </w:rPr>
      </w:pPr>
      <w:r w:rsidRPr="00D94694">
        <w:rPr>
          <w:position w:val="-22"/>
        </w:rPr>
        <w:object w:dxaOrig="1340" w:dyaOrig="560" w14:anchorId="0314EBC6">
          <v:shape id="_x0000_i4815" type="#_x0000_t75" style="width:67.15pt;height:27.85pt" o:ole="">
            <v:imagedata r:id="rId7628" o:title=""/>
          </v:shape>
          <o:OLEObject Type="Embed" ProgID="Equation.DSMT4" ShapeID="_x0000_i4815" DrawAspect="Content" ObjectID="_1791378759" r:id="rId7629"/>
        </w:object>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tl/>
        </w:rPr>
        <w:tab/>
      </w:r>
      <w:r w:rsidRPr="00D94694">
        <w:rPr>
          <w:rFonts w:hint="cs"/>
          <w:i/>
          <w:sz w:val="23"/>
          <w:szCs w:val="23"/>
        </w:rPr>
        <w:t xml:space="preserve"> </w:t>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Pr>
          <w:i/>
          <w:sz w:val="23"/>
          <w:szCs w:val="23"/>
          <w:rtl/>
        </w:rPr>
        <w:tab/>
      </w:r>
      <w:r w:rsidRPr="00D94694">
        <w:rPr>
          <w:i/>
          <w:sz w:val="23"/>
          <w:szCs w:val="23"/>
        </w:rPr>
        <w:tab/>
      </w:r>
      <w:r w:rsidRPr="00D94694">
        <w:rPr>
          <w:i/>
          <w:sz w:val="23"/>
          <w:szCs w:val="23"/>
          <w:rtl/>
        </w:rPr>
        <w:tab/>
      </w:r>
      <w:r w:rsidRPr="00D94694">
        <w:rPr>
          <w:rFonts w:hint="cs"/>
          <w:i/>
          <w:sz w:val="23"/>
          <w:szCs w:val="23"/>
          <w:rtl/>
        </w:rPr>
        <w:t xml:space="preserve">(۱۱. ۱۵)  </w:t>
      </w:r>
    </w:p>
    <w:p w14:paraId="5E9281AD" w14:textId="77777777" w:rsidR="00411620" w:rsidRPr="00D94694" w:rsidRDefault="00411620" w:rsidP="00411620">
      <w:pPr>
        <w:spacing w:line="216" w:lineRule="auto"/>
        <w:rPr>
          <w:i/>
          <w:sz w:val="23"/>
          <w:szCs w:val="23"/>
          <w:rtl/>
        </w:rPr>
      </w:pPr>
      <w:r w:rsidRPr="00D94694">
        <w:rPr>
          <w:rFonts w:hint="cs"/>
          <w:i/>
          <w:sz w:val="23"/>
          <w:szCs w:val="23"/>
          <w:rtl/>
        </w:rPr>
        <w:t>بنابراین، هر مدلی که برای ایجاد آن متعاقباً انتخاب ‌کنیم، عامل تنزیل می‌بایست یک متغیر تصادفی با میانگین داده شده در معادله‌ی (۱۱. ۱۵) باشد.</w:t>
      </w:r>
    </w:p>
    <w:p w14:paraId="3585BF90" w14:textId="77777777" w:rsidR="00411620" w:rsidRPr="00D94694" w:rsidRDefault="00411620" w:rsidP="00411620">
      <w:pPr>
        <w:spacing w:line="216" w:lineRule="auto"/>
        <w:rPr>
          <w:i/>
          <w:sz w:val="23"/>
          <w:szCs w:val="23"/>
        </w:rPr>
      </w:pPr>
    </w:p>
    <w:p w14:paraId="6712B880" w14:textId="77777777" w:rsidR="00411620" w:rsidRPr="00D94694" w:rsidRDefault="00411620" w:rsidP="00411620">
      <w:pPr>
        <w:spacing w:line="216" w:lineRule="auto"/>
        <w:rPr>
          <w:bCs/>
          <w:i/>
          <w:sz w:val="23"/>
          <w:szCs w:val="23"/>
          <w:rtl/>
        </w:rPr>
      </w:pPr>
      <w:r w:rsidRPr="00D94694">
        <w:rPr>
          <w:rFonts w:hint="cs"/>
          <w:bCs/>
          <w:i/>
          <w:sz w:val="23"/>
          <w:szCs w:val="23"/>
          <w:rtl/>
        </w:rPr>
        <w:t xml:space="preserve">رابطه‌ی عدم وجود آربیتراژ </w:t>
      </w:r>
    </w:p>
    <w:p w14:paraId="543CE163" w14:textId="77777777" w:rsidR="00411620" w:rsidRPr="00D94694" w:rsidRDefault="00411620" w:rsidP="00411620">
      <w:pPr>
        <w:spacing w:line="216" w:lineRule="auto"/>
        <w:rPr>
          <w:i/>
          <w:sz w:val="23"/>
          <w:szCs w:val="23"/>
          <w:rtl/>
        </w:rPr>
      </w:pPr>
      <w:r w:rsidRPr="00D94694">
        <w:rPr>
          <w:rFonts w:hint="cs"/>
          <w:i/>
          <w:sz w:val="23"/>
          <w:szCs w:val="23"/>
          <w:rtl/>
        </w:rPr>
        <w:t>رابطه‌ی بدون آربیتراژ (۱۱. ۸) را می‌توان از معادلات (۱۱. ۱۳) و (۱۱. ۱۵) بدست آورد. از فرمول همبستگی بین دو متغیر تصادفی</w:t>
      </w:r>
      <w:r w:rsidRPr="00D94694">
        <w:rPr>
          <w:position w:val="-6"/>
        </w:rPr>
        <w:object w:dxaOrig="200" w:dyaOrig="200" w14:anchorId="54A5BFFA">
          <v:shape id="_x0000_i4816" type="#_x0000_t75" style="width:10.3pt;height:10.3pt" o:ole="">
            <v:imagedata r:id="rId7630" o:title=""/>
          </v:shape>
          <o:OLEObject Type="Embed" ProgID="Equation.DSMT4" ShapeID="_x0000_i4816" DrawAspect="Content" ObjectID="_1791378760" r:id="rId7631"/>
        </w:object>
      </w:r>
      <w:r w:rsidRPr="00D94694">
        <w:rPr>
          <w:rFonts w:hint="cs"/>
          <w:i/>
          <w:sz w:val="23"/>
          <w:szCs w:val="23"/>
          <w:rtl/>
        </w:rPr>
        <w:t xml:space="preserve"> و</w:t>
      </w:r>
      <w:r w:rsidRPr="00D94694">
        <w:rPr>
          <w:position w:val="-8"/>
        </w:rPr>
        <w:object w:dxaOrig="200" w:dyaOrig="220" w14:anchorId="75C2CABD">
          <v:shape id="_x0000_i4817" type="#_x0000_t75" style="width:10.3pt;height:10.9pt" o:ole="">
            <v:imagedata r:id="rId7632" o:title=""/>
          </v:shape>
          <o:OLEObject Type="Embed" ProgID="Equation.DSMT4" ShapeID="_x0000_i4817" DrawAspect="Content" ObjectID="_1791378761" r:id="rId7633"/>
        </w:object>
      </w:r>
      <w:r w:rsidRPr="00D94694">
        <w:rPr>
          <w:rFonts w:hint="cs"/>
          <w:i/>
          <w:sz w:val="23"/>
          <w:szCs w:val="23"/>
          <w:rtl/>
        </w:rPr>
        <w:t xml:space="preserve"> داریم</w:t>
      </w:r>
    </w:p>
    <w:p w14:paraId="3E9F7978" w14:textId="77777777" w:rsidR="00411620" w:rsidRPr="00D94694" w:rsidRDefault="00411620" w:rsidP="00411620">
      <w:pPr>
        <w:bidi w:val="0"/>
        <w:spacing w:line="216" w:lineRule="auto"/>
        <w:rPr>
          <w:i/>
          <w:sz w:val="23"/>
          <w:szCs w:val="23"/>
          <w:rtl/>
        </w:rPr>
      </w:pPr>
      <w:r w:rsidRPr="00D94694">
        <w:rPr>
          <w:position w:val="-12"/>
        </w:rPr>
        <w:object w:dxaOrig="2880" w:dyaOrig="360" w14:anchorId="4CE89B3D">
          <v:shape id="_x0000_i4818" type="#_x0000_t75" style="width:2in;height:18.15pt" o:ole="">
            <v:imagedata r:id="rId7634" o:title=""/>
          </v:shape>
          <o:OLEObject Type="Embed" ProgID="Equation.DSMT4" ShapeID="_x0000_i4818" DrawAspect="Content" ObjectID="_1791378762" r:id="rId7635"/>
        </w:object>
      </w:r>
    </w:p>
    <w:p w14:paraId="0703B6A8" w14:textId="77777777" w:rsidR="00411620" w:rsidRPr="00D94694" w:rsidRDefault="00411620" w:rsidP="00411620">
      <w:pPr>
        <w:spacing w:line="216" w:lineRule="auto"/>
        <w:rPr>
          <w:i/>
          <w:sz w:val="23"/>
          <w:szCs w:val="23"/>
          <w:rtl/>
        </w:rPr>
      </w:pPr>
      <w:r w:rsidRPr="00D94694">
        <w:rPr>
          <w:rFonts w:hint="cs"/>
          <w:i/>
          <w:sz w:val="23"/>
          <w:szCs w:val="23"/>
          <w:rtl/>
        </w:rPr>
        <w:t>با توجه به این</w:t>
      </w:r>
      <w:r w:rsidRPr="00D94694">
        <w:rPr>
          <w:i/>
          <w:sz w:val="23"/>
          <w:szCs w:val="23"/>
          <w:rtl/>
        </w:rPr>
        <w:softHyphen/>
      </w:r>
      <w:r w:rsidRPr="00D94694">
        <w:rPr>
          <w:rFonts w:hint="cs"/>
          <w:i/>
          <w:sz w:val="23"/>
          <w:szCs w:val="23"/>
          <w:rtl/>
        </w:rPr>
        <w:t>که دو متغیر</w:t>
      </w:r>
      <w:r w:rsidRPr="00D94694">
        <w:rPr>
          <w:position w:val="-6"/>
        </w:rPr>
        <w:object w:dxaOrig="260" w:dyaOrig="200" w14:anchorId="12984044">
          <v:shape id="_x0000_i4819" type="#_x0000_t75" style="width:13.3pt;height:10.3pt" o:ole="">
            <v:imagedata r:id="rId7636" o:title=""/>
          </v:shape>
          <o:OLEObject Type="Embed" ProgID="Equation.DSMT4" ShapeID="_x0000_i4819" DrawAspect="Content" ObjectID="_1791378763" r:id="rId7637"/>
        </w:object>
      </w:r>
      <w:r w:rsidRPr="00D94694">
        <w:rPr>
          <w:i/>
          <w:sz w:val="23"/>
          <w:szCs w:val="23"/>
        </w:rPr>
        <w:t xml:space="preserve"> </w:t>
      </w:r>
      <w:r w:rsidRPr="00D94694">
        <w:rPr>
          <w:rFonts w:hint="cs"/>
          <w:i/>
          <w:sz w:val="23"/>
          <w:szCs w:val="23"/>
          <w:rtl/>
        </w:rPr>
        <w:t>و</w:t>
      </w:r>
      <w:r w:rsidRPr="00025957">
        <w:rPr>
          <w:position w:val="-4"/>
        </w:rPr>
        <w:object w:dxaOrig="180" w:dyaOrig="180" w14:anchorId="75E620A7">
          <v:shape id="_x0000_i4820" type="#_x0000_t75" style="width:9.1pt;height:9.1pt" o:ole="">
            <v:imagedata r:id="rId7638" o:title=""/>
          </v:shape>
          <o:OLEObject Type="Embed" ProgID="Equation.DSMT4" ShapeID="_x0000_i4820" DrawAspect="Content" ObjectID="_1791378764" r:id="rId7639"/>
        </w:object>
      </w:r>
      <w:r w:rsidRPr="00D94694">
        <w:rPr>
          <w:rFonts w:hint="cs"/>
          <w:i/>
          <w:sz w:val="23"/>
          <w:szCs w:val="23"/>
          <w:rtl/>
        </w:rPr>
        <w:t xml:space="preserve"> تصادفی</w:t>
      </w:r>
      <w:r w:rsidRPr="00D94694">
        <w:rPr>
          <w:i/>
          <w:sz w:val="23"/>
          <w:szCs w:val="23"/>
          <w:rtl/>
        </w:rPr>
        <w:softHyphen/>
      </w:r>
      <w:r w:rsidRPr="00D94694">
        <w:rPr>
          <w:rFonts w:hint="cs"/>
          <w:i/>
          <w:sz w:val="23"/>
          <w:szCs w:val="23"/>
          <w:rtl/>
        </w:rPr>
        <w:t>اند، می‌توان معادله‌ی (۱۱. ۱۳) را به صورت زیر بازنویسی کرد</w:t>
      </w:r>
    </w:p>
    <w:p w14:paraId="3482F824" w14:textId="77777777" w:rsidR="00411620" w:rsidRPr="00D94694" w:rsidRDefault="00411620" w:rsidP="00411620">
      <w:pPr>
        <w:bidi w:val="0"/>
        <w:spacing w:line="216" w:lineRule="auto"/>
        <w:rPr>
          <w:i/>
          <w:sz w:val="23"/>
          <w:szCs w:val="23"/>
        </w:rPr>
      </w:pPr>
      <w:r w:rsidRPr="00D94694">
        <w:rPr>
          <w:position w:val="-12"/>
        </w:rPr>
        <w:object w:dxaOrig="3040" w:dyaOrig="360" w14:anchorId="187FB077">
          <v:shape id="_x0000_i4821" type="#_x0000_t75" style="width:151.85pt;height:18.15pt" o:ole="">
            <v:imagedata r:id="rId7640" o:title=""/>
          </v:shape>
          <o:OLEObject Type="Embed" ProgID="Equation.DSMT4" ShapeID="_x0000_i4821" DrawAspect="Content" ObjectID="_1791378765" r:id="rId7641"/>
        </w:object>
      </w:r>
    </w:p>
    <w:p w14:paraId="1F763DE5" w14:textId="77777777" w:rsidR="00411620" w:rsidRPr="00D94694" w:rsidRDefault="00411620" w:rsidP="00411620">
      <w:pPr>
        <w:spacing w:line="216" w:lineRule="auto"/>
        <w:rPr>
          <w:i/>
          <w:sz w:val="23"/>
          <w:szCs w:val="23"/>
          <w:rtl/>
        </w:rPr>
      </w:pPr>
      <w:r w:rsidRPr="00D94694">
        <w:rPr>
          <w:rFonts w:hint="cs"/>
          <w:i/>
          <w:sz w:val="23"/>
          <w:szCs w:val="23"/>
          <w:rtl/>
        </w:rPr>
        <w:t>بنابراین</w:t>
      </w:r>
    </w:p>
    <w:p w14:paraId="1631323E" w14:textId="77777777" w:rsidR="00411620" w:rsidRPr="00D94694" w:rsidRDefault="00411620" w:rsidP="00411620">
      <w:pPr>
        <w:bidi w:val="0"/>
        <w:spacing w:line="216" w:lineRule="auto"/>
        <w:rPr>
          <w:i/>
          <w:sz w:val="23"/>
          <w:szCs w:val="23"/>
          <w:rtl/>
        </w:rPr>
      </w:pPr>
      <w:r w:rsidRPr="00D94694">
        <w:rPr>
          <w:position w:val="-30"/>
        </w:rPr>
        <w:object w:dxaOrig="3000" w:dyaOrig="700" w14:anchorId="75A17A34">
          <v:shape id="_x0000_i4822" type="#_x0000_t75" style="width:150.05pt;height:35.1pt" o:ole="">
            <v:imagedata r:id="rId7642" o:title=""/>
          </v:shape>
          <o:OLEObject Type="Embed" ProgID="Equation.DSMT4" ShapeID="_x0000_i4822" DrawAspect="Content" ObjectID="_1791378766" r:id="rId7643"/>
        </w:object>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Pr>
          <w:i/>
          <w:sz w:val="23"/>
          <w:szCs w:val="23"/>
          <w:rtl/>
        </w:rPr>
        <w:tab/>
      </w:r>
      <w:r w:rsidRPr="00D94694">
        <w:rPr>
          <w:i/>
          <w:sz w:val="23"/>
          <w:szCs w:val="23"/>
          <w:rtl/>
        </w:rPr>
        <w:tab/>
      </w:r>
      <w:r w:rsidRPr="00D94694">
        <w:rPr>
          <w:i/>
          <w:sz w:val="23"/>
          <w:szCs w:val="23"/>
          <w:rtl/>
        </w:rPr>
        <w:tab/>
      </w:r>
      <w:r w:rsidRPr="00D94694">
        <w:rPr>
          <w:i/>
          <w:sz w:val="23"/>
          <w:szCs w:val="23"/>
        </w:rPr>
        <w:tab/>
      </w:r>
      <w:r w:rsidRPr="00D94694">
        <w:rPr>
          <w:i/>
          <w:sz w:val="23"/>
          <w:szCs w:val="23"/>
          <w:rtl/>
        </w:rPr>
        <w:tab/>
      </w:r>
      <w:r w:rsidRPr="00D94694">
        <w:rPr>
          <w:i/>
          <w:sz w:val="23"/>
          <w:szCs w:val="23"/>
          <w:rtl/>
        </w:rPr>
        <w:tab/>
      </w:r>
      <w:r w:rsidRPr="00D94694">
        <w:rPr>
          <w:i/>
          <w:sz w:val="23"/>
          <w:szCs w:val="23"/>
          <w:rtl/>
        </w:rPr>
        <w:tab/>
      </w:r>
      <w:r w:rsidRPr="00D94694">
        <w:rPr>
          <w:rFonts w:hint="cs"/>
          <w:i/>
          <w:sz w:val="23"/>
          <w:szCs w:val="23"/>
          <w:rtl/>
        </w:rPr>
        <w:t>(۱۱. ۱۶)</w:t>
      </w:r>
    </w:p>
    <w:p w14:paraId="786122E7" w14:textId="77777777" w:rsidR="00411620" w:rsidRPr="00D94694" w:rsidRDefault="00411620" w:rsidP="00411620">
      <w:pPr>
        <w:spacing w:line="216" w:lineRule="auto"/>
        <w:rPr>
          <w:i/>
          <w:sz w:val="23"/>
          <w:szCs w:val="23"/>
          <w:rtl/>
        </w:rPr>
      </w:pPr>
      <w:r w:rsidRPr="00D94694">
        <w:rPr>
          <w:rFonts w:hint="cs"/>
          <w:i/>
          <w:sz w:val="23"/>
          <w:szCs w:val="23"/>
          <w:rtl/>
        </w:rPr>
        <w:t>از معادلات (۱۱. ۱۵)‌ و (۱۱. ۱۶) می‌توان رابطه‌ی بدون آربیتراژ را بدست آورد</w:t>
      </w:r>
    </w:p>
    <w:p w14:paraId="4184E277" w14:textId="77777777" w:rsidR="00411620" w:rsidRPr="00D94694" w:rsidRDefault="00411620" w:rsidP="00411620">
      <w:pPr>
        <w:bidi w:val="0"/>
        <w:spacing w:line="216" w:lineRule="auto"/>
        <w:rPr>
          <w:i/>
          <w:sz w:val="23"/>
          <w:szCs w:val="23"/>
        </w:rPr>
      </w:pPr>
      <w:r w:rsidRPr="00D94694">
        <w:rPr>
          <w:position w:val="-16"/>
        </w:rPr>
        <w:object w:dxaOrig="2960" w:dyaOrig="420" w14:anchorId="4EDA06D7">
          <v:shape id="_x0000_i4823" type="#_x0000_t75" style="width:148.25pt;height:21.2pt" o:ole="">
            <v:imagedata r:id="rId7644" o:title=""/>
          </v:shape>
          <o:OLEObject Type="Embed" ProgID="Equation.DSMT4" ShapeID="_x0000_i4823" DrawAspect="Content" ObjectID="_1791378767" r:id="rId7645"/>
        </w:object>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Pr>
          <w:i/>
          <w:sz w:val="23"/>
          <w:szCs w:val="23"/>
          <w:rtl/>
        </w:rPr>
        <w:tab/>
      </w:r>
      <w:r w:rsidRPr="00D94694">
        <w:rPr>
          <w:i/>
          <w:sz w:val="23"/>
          <w:szCs w:val="23"/>
          <w:rtl/>
        </w:rPr>
        <w:tab/>
      </w:r>
      <w:r w:rsidRPr="00D94694">
        <w:rPr>
          <w:i/>
          <w:sz w:val="23"/>
          <w:szCs w:val="23"/>
          <w:rtl/>
        </w:rPr>
        <w:tab/>
      </w:r>
      <w:r w:rsidRPr="00D94694">
        <w:rPr>
          <w:i/>
          <w:sz w:val="23"/>
          <w:szCs w:val="23"/>
        </w:rPr>
        <w:tab/>
      </w:r>
      <w:r w:rsidRPr="00D94694">
        <w:rPr>
          <w:i/>
          <w:sz w:val="23"/>
          <w:szCs w:val="23"/>
          <w:rtl/>
        </w:rPr>
        <w:tab/>
      </w:r>
      <w:r w:rsidRPr="00D94694">
        <w:rPr>
          <w:i/>
          <w:sz w:val="23"/>
          <w:szCs w:val="23"/>
          <w:rtl/>
        </w:rPr>
        <w:tab/>
      </w:r>
      <w:r w:rsidRPr="00D94694">
        <w:rPr>
          <w:rFonts w:hint="cs"/>
          <w:i/>
          <w:sz w:val="23"/>
          <w:szCs w:val="23"/>
          <w:rtl/>
        </w:rPr>
        <w:t xml:space="preserve">(۱۱. ۱۷) </w:t>
      </w:r>
      <w:r w:rsidRPr="00D94694">
        <w:rPr>
          <w:rFonts w:hint="cs"/>
          <w:i/>
          <w:sz w:val="23"/>
          <w:szCs w:val="23"/>
        </w:rPr>
        <w:t xml:space="preserve"> </w:t>
      </w:r>
    </w:p>
    <w:p w14:paraId="21F0D476" w14:textId="77777777" w:rsidR="00411620" w:rsidRPr="00D94694" w:rsidRDefault="00411620" w:rsidP="00411620">
      <w:pPr>
        <w:spacing w:line="216" w:lineRule="auto"/>
        <w:rPr>
          <w:i/>
          <w:sz w:val="23"/>
          <w:szCs w:val="23"/>
          <w:rtl/>
        </w:rPr>
      </w:pPr>
      <w:r w:rsidRPr="00D94694">
        <w:rPr>
          <w:rFonts w:hint="cs"/>
          <w:i/>
          <w:sz w:val="23"/>
          <w:szCs w:val="23"/>
          <w:rtl/>
        </w:rPr>
        <w:t>بنابراین پاداش ریسک</w:t>
      </w:r>
      <w:r w:rsidRPr="00D94694">
        <w:rPr>
          <w:position w:val="-10"/>
        </w:rPr>
        <w:object w:dxaOrig="220" w:dyaOrig="240" w14:anchorId="1D4539F4">
          <v:shape id="_x0000_i4824" type="#_x0000_t75" style="width:10.9pt;height:12.1pt" o:ole="">
            <v:imagedata r:id="rId7646" o:title=""/>
          </v:shape>
          <o:OLEObject Type="Embed" ProgID="Equation.DSMT4" ShapeID="_x0000_i4824" DrawAspect="Content" ObjectID="_1791378768" r:id="rId7647"/>
        </w:object>
      </w:r>
      <w:r w:rsidRPr="00D94694">
        <w:rPr>
          <w:rFonts w:hint="cs"/>
          <w:i/>
          <w:sz w:val="23"/>
          <w:szCs w:val="23"/>
          <w:rtl/>
        </w:rPr>
        <w:t xml:space="preserve"> - بازدهی انتظاری در مازاد نرخ بدون ریسک </w:t>
      </w:r>
      <w:r w:rsidRPr="00D94694">
        <w:rPr>
          <w:rFonts w:cs="Times New Roman" w:hint="cs"/>
          <w:i/>
          <w:sz w:val="23"/>
          <w:szCs w:val="23"/>
          <w:rtl/>
        </w:rPr>
        <w:t>–</w:t>
      </w:r>
      <w:r w:rsidRPr="00D94694">
        <w:rPr>
          <w:rFonts w:hint="cs"/>
          <w:i/>
          <w:sz w:val="23"/>
          <w:szCs w:val="23"/>
          <w:rtl/>
        </w:rPr>
        <w:t xml:space="preserve"> برابر است با</w:t>
      </w:r>
    </w:p>
    <w:p w14:paraId="2F13758E" w14:textId="77777777" w:rsidR="00411620" w:rsidRPr="00D94694" w:rsidRDefault="00411620" w:rsidP="00411620">
      <w:pPr>
        <w:bidi w:val="0"/>
        <w:spacing w:line="216" w:lineRule="auto"/>
        <w:rPr>
          <w:i/>
          <w:sz w:val="23"/>
          <w:szCs w:val="23"/>
          <w:rtl/>
        </w:rPr>
      </w:pPr>
      <w:r w:rsidRPr="00D94694">
        <w:rPr>
          <w:position w:val="-16"/>
        </w:rPr>
        <w:object w:dxaOrig="2420" w:dyaOrig="420" w14:anchorId="03CD02F0">
          <v:shape id="_x0000_i4825" type="#_x0000_t75" style="width:121pt;height:21.2pt" o:ole="">
            <v:imagedata r:id="rId7648" o:title=""/>
          </v:shape>
          <o:OLEObject Type="Embed" ProgID="Equation.DSMT4" ShapeID="_x0000_i4825" DrawAspect="Content" ObjectID="_1791378769" r:id="rId7649"/>
        </w:object>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Pr>
          <w:i/>
          <w:sz w:val="23"/>
          <w:szCs w:val="23"/>
          <w:rtl/>
        </w:rPr>
        <w:tab/>
      </w:r>
      <w:r w:rsidRPr="00D94694">
        <w:rPr>
          <w:i/>
          <w:sz w:val="23"/>
          <w:szCs w:val="23"/>
          <w:rtl/>
        </w:rPr>
        <w:tab/>
      </w:r>
      <w:r w:rsidRPr="00D94694">
        <w:rPr>
          <w:i/>
          <w:sz w:val="23"/>
          <w:szCs w:val="23"/>
          <w:rtl/>
        </w:rPr>
        <w:tab/>
      </w:r>
      <w:r w:rsidRPr="00D94694">
        <w:rPr>
          <w:i/>
          <w:sz w:val="23"/>
          <w:szCs w:val="23"/>
        </w:rPr>
        <w:tab/>
      </w:r>
      <w:r w:rsidRPr="00D94694">
        <w:rPr>
          <w:i/>
          <w:sz w:val="23"/>
          <w:szCs w:val="23"/>
          <w:rtl/>
        </w:rPr>
        <w:tab/>
      </w:r>
      <w:r w:rsidRPr="00D94694">
        <w:rPr>
          <w:rFonts w:hint="cs"/>
          <w:i/>
          <w:sz w:val="23"/>
          <w:szCs w:val="23"/>
          <w:rtl/>
        </w:rPr>
        <w:t xml:space="preserve">(۱۱. ۱۸) </w:t>
      </w:r>
      <w:r w:rsidRPr="00D94694">
        <w:rPr>
          <w:rFonts w:hint="cs"/>
          <w:i/>
          <w:sz w:val="23"/>
          <w:szCs w:val="23"/>
        </w:rPr>
        <w:t xml:space="preserve"> </w:t>
      </w:r>
    </w:p>
    <w:p w14:paraId="18919564" w14:textId="77777777" w:rsidR="00411620" w:rsidRPr="00D94694" w:rsidRDefault="00411620" w:rsidP="00411620">
      <w:pPr>
        <w:spacing w:line="216" w:lineRule="auto"/>
        <w:rPr>
          <w:i/>
          <w:sz w:val="23"/>
          <w:szCs w:val="23"/>
          <w:rtl/>
        </w:rPr>
      </w:pPr>
      <w:r w:rsidRPr="00D94694">
        <w:rPr>
          <w:rFonts w:hint="cs"/>
          <w:i/>
          <w:sz w:val="23"/>
          <w:szCs w:val="23"/>
          <w:rtl/>
        </w:rPr>
        <w:t>برای</w:t>
      </w:r>
      <w:r w:rsidRPr="00D94694">
        <w:rPr>
          <w:position w:val="-10"/>
        </w:rPr>
        <w:object w:dxaOrig="560" w:dyaOrig="300" w14:anchorId="6AF654A0">
          <v:shape id="_x0000_i4826" type="#_x0000_t75" style="width:27.85pt;height:15.15pt" o:ole="">
            <v:imagedata r:id="rId7650" o:title=""/>
          </v:shape>
          <o:OLEObject Type="Embed" ProgID="Equation.DSMT4" ShapeID="_x0000_i4826" DrawAspect="Content" ObjectID="_1791378770" r:id="rId7651"/>
        </w:object>
      </w:r>
      <w:r w:rsidRPr="00D94694">
        <w:rPr>
          <w:rFonts w:hint="cs"/>
          <w:i/>
          <w:sz w:val="23"/>
          <w:szCs w:val="23"/>
          <w:rtl/>
        </w:rPr>
        <w:t xml:space="preserve"> می‌بایست</w:t>
      </w:r>
      <w:r w:rsidRPr="00D94694">
        <w:rPr>
          <w:position w:val="-12"/>
        </w:rPr>
        <w:object w:dxaOrig="2680" w:dyaOrig="360" w14:anchorId="07197B1C">
          <v:shape id="_x0000_i4827" type="#_x0000_t75" style="width:133.7pt;height:18.15pt" o:ole="">
            <v:imagedata r:id="rId7652" o:title=""/>
          </v:shape>
          <o:OLEObject Type="Embed" ProgID="Equation.DSMT4" ShapeID="_x0000_i4827" DrawAspect="Content" ObjectID="_1791378771" r:id="rId7653"/>
        </w:object>
      </w:r>
      <w:r w:rsidRPr="00D94694">
        <w:rPr>
          <w:i/>
          <w:sz w:val="23"/>
          <w:szCs w:val="23"/>
        </w:rPr>
        <w:t xml:space="preserve"> </w:t>
      </w:r>
      <w:r w:rsidRPr="00D94694">
        <w:rPr>
          <w:rFonts w:hint="cs"/>
          <w:i/>
          <w:sz w:val="23"/>
          <w:szCs w:val="23"/>
          <w:rtl/>
        </w:rPr>
        <w:t>باشد. به عبارتی دیگر، هنگامی که بازدهی پایین با یک عامل تنزیل بالا در یک زمان اتفاق افتد، آنگاه ریسک بوجود خواهد آمد. چگونگی تعیین عامل تنزیل تصادفی را در زیر نشان خواهیم داد.</w:t>
      </w:r>
    </w:p>
    <w:p w14:paraId="241CD7C6" w14:textId="77777777" w:rsidR="00411620" w:rsidRPr="00D94694" w:rsidRDefault="00411620" w:rsidP="00411620">
      <w:pPr>
        <w:spacing w:line="216" w:lineRule="auto"/>
        <w:rPr>
          <w:i/>
          <w:sz w:val="23"/>
          <w:szCs w:val="23"/>
          <w:rtl/>
        </w:rPr>
      </w:pPr>
      <w:r w:rsidRPr="00D94694">
        <w:rPr>
          <w:rFonts w:hint="cs"/>
          <w:i/>
          <w:sz w:val="23"/>
          <w:szCs w:val="23"/>
          <w:rtl/>
        </w:rPr>
        <w:t>می</w:t>
      </w:r>
      <w:r w:rsidRPr="00D94694">
        <w:rPr>
          <w:i/>
          <w:sz w:val="23"/>
          <w:szCs w:val="23"/>
          <w:rtl/>
        </w:rPr>
        <w:softHyphen/>
      </w:r>
      <w:r w:rsidRPr="00D94694">
        <w:rPr>
          <w:rFonts w:hint="cs"/>
          <w:i/>
          <w:sz w:val="23"/>
          <w:szCs w:val="23"/>
          <w:rtl/>
        </w:rPr>
        <w:t>توان معادله‌ی (۱۱. ۱۷) را به صورت زیر بازنویسی کرد</w:t>
      </w:r>
    </w:p>
    <w:p w14:paraId="018E947C" w14:textId="77777777" w:rsidR="00411620" w:rsidRPr="00D94694" w:rsidRDefault="00411620" w:rsidP="00411620">
      <w:pPr>
        <w:bidi w:val="0"/>
        <w:spacing w:line="216" w:lineRule="auto"/>
        <w:rPr>
          <w:i/>
          <w:sz w:val="23"/>
          <w:szCs w:val="23"/>
          <w:rtl/>
        </w:rPr>
      </w:pPr>
      <w:r w:rsidRPr="00D94694">
        <w:rPr>
          <w:position w:val="-34"/>
        </w:rPr>
        <w:object w:dxaOrig="4140" w:dyaOrig="780" w14:anchorId="779493BF">
          <v:shape id="_x0000_i4828" type="#_x0000_t75" style="width:206.9pt;height:39.35pt" o:ole="">
            <v:imagedata r:id="rId7654" o:title=""/>
          </v:shape>
          <o:OLEObject Type="Embed" ProgID="Equation.DSMT4" ShapeID="_x0000_i4828" DrawAspect="Content" ObjectID="_1791378772" r:id="rId7655"/>
        </w:object>
      </w:r>
      <w:r w:rsidRPr="00D94694">
        <w:rPr>
          <w:i/>
          <w:sz w:val="23"/>
          <w:szCs w:val="23"/>
        </w:rPr>
        <w:t xml:space="preserve">= </w:t>
      </w:r>
      <w:r w:rsidRPr="00D94694">
        <w:rPr>
          <w:rFonts w:hint="cs"/>
          <w:i/>
          <w:sz w:val="23"/>
          <w:szCs w:val="23"/>
          <w:rtl/>
        </w:rPr>
        <w:t>مقدار ریسک × قیمت ریسک</w:t>
      </w:r>
    </w:p>
    <w:p w14:paraId="55E30C72" w14:textId="77777777" w:rsidR="00411620" w:rsidRPr="00D94694" w:rsidRDefault="00411620" w:rsidP="00411620">
      <w:pPr>
        <w:spacing w:line="216" w:lineRule="auto"/>
        <w:rPr>
          <w:i/>
          <w:sz w:val="23"/>
          <w:szCs w:val="23"/>
          <w:rtl/>
        </w:rPr>
      </w:pPr>
      <w:r w:rsidRPr="00D94694">
        <w:rPr>
          <w:rFonts w:hint="cs"/>
          <w:i/>
          <w:sz w:val="23"/>
          <w:szCs w:val="23"/>
          <w:rtl/>
        </w:rPr>
        <w:t xml:space="preserve"> که در آن</w:t>
      </w:r>
      <w:r w:rsidRPr="00D94694">
        <w:rPr>
          <w:position w:val="-6"/>
        </w:rPr>
        <w:object w:dxaOrig="380" w:dyaOrig="260" w14:anchorId="19F4F788">
          <v:shape id="_x0000_i4829" type="#_x0000_t75" style="width:18.75pt;height:13.3pt" o:ole="">
            <v:imagedata r:id="rId7656" o:title=""/>
          </v:shape>
          <o:OLEObject Type="Embed" ProgID="Equation.DSMT4" ShapeID="_x0000_i4829" DrawAspect="Content" ObjectID="_1791378773" r:id="rId7657"/>
        </w:object>
      </w:r>
      <w:r w:rsidRPr="00D94694">
        <w:rPr>
          <w:i/>
          <w:sz w:val="23"/>
          <w:szCs w:val="23"/>
        </w:rPr>
        <w:t xml:space="preserve"> </w:t>
      </w:r>
      <w:r w:rsidRPr="00D94694">
        <w:rPr>
          <w:rFonts w:hint="cs"/>
          <w:i/>
          <w:sz w:val="23"/>
          <w:szCs w:val="23"/>
          <w:rtl/>
        </w:rPr>
        <w:t>مبین انحراف معیار است. بنابراین پاداش ریسک ( یا میزان ریسک) برابر است با قیمت ضربدر مقدار.</w:t>
      </w:r>
    </w:p>
    <w:p w14:paraId="0261627C" w14:textId="77777777" w:rsidR="00411620" w:rsidRPr="00D94694" w:rsidRDefault="00411620" w:rsidP="00411620">
      <w:pPr>
        <w:spacing w:line="216" w:lineRule="auto"/>
        <w:rPr>
          <w:i/>
          <w:sz w:val="23"/>
          <w:szCs w:val="23"/>
          <w:rtl/>
        </w:rPr>
      </w:pPr>
    </w:p>
    <w:p w14:paraId="6D0BF1A8" w14:textId="77777777" w:rsidR="00411620" w:rsidRPr="00D94694" w:rsidRDefault="00411620" w:rsidP="00411620">
      <w:pPr>
        <w:spacing w:line="216" w:lineRule="auto"/>
        <w:rPr>
          <w:bCs/>
          <w:i/>
          <w:sz w:val="23"/>
          <w:szCs w:val="23"/>
          <w:rtl/>
        </w:rPr>
      </w:pPr>
      <w:r w:rsidRPr="00D94694">
        <w:rPr>
          <w:rFonts w:hint="cs"/>
          <w:bCs/>
          <w:i/>
          <w:sz w:val="23"/>
          <w:szCs w:val="23"/>
          <w:rtl/>
        </w:rPr>
        <w:t>ارزش</w:t>
      </w:r>
      <w:r w:rsidRPr="00D94694">
        <w:rPr>
          <w:bCs/>
          <w:i/>
          <w:sz w:val="23"/>
          <w:szCs w:val="23"/>
          <w:rtl/>
        </w:rPr>
        <w:softHyphen/>
      </w:r>
      <w:r w:rsidRPr="00D94694">
        <w:rPr>
          <w:rFonts w:hint="cs"/>
          <w:bCs/>
          <w:i/>
          <w:sz w:val="23"/>
          <w:szCs w:val="23"/>
          <w:rtl/>
        </w:rPr>
        <w:t>گذاری ریسک-خنثی</w:t>
      </w:r>
    </w:p>
    <w:p w14:paraId="7E42A63A" w14:textId="77777777" w:rsidR="00411620" w:rsidRPr="00D94694" w:rsidRDefault="00411620" w:rsidP="00411620">
      <w:pPr>
        <w:spacing w:line="216" w:lineRule="auto"/>
        <w:rPr>
          <w:i/>
          <w:sz w:val="23"/>
          <w:szCs w:val="23"/>
        </w:rPr>
      </w:pPr>
      <w:r w:rsidRPr="00D94694">
        <w:rPr>
          <w:rFonts w:hint="cs"/>
          <w:i/>
          <w:sz w:val="23"/>
          <w:szCs w:val="23"/>
          <w:rtl/>
        </w:rPr>
        <w:lastRenderedPageBreak/>
        <w:t>بررسی موضوع ارزش</w:t>
      </w:r>
      <w:r w:rsidRPr="00D94694">
        <w:rPr>
          <w:i/>
          <w:sz w:val="23"/>
          <w:szCs w:val="23"/>
          <w:rtl/>
        </w:rPr>
        <w:softHyphen/>
      </w:r>
      <w:r w:rsidRPr="00D94694">
        <w:rPr>
          <w:rFonts w:hint="cs"/>
          <w:i/>
          <w:sz w:val="23"/>
          <w:szCs w:val="23"/>
          <w:rtl/>
        </w:rPr>
        <w:t>گذاری‌ ریسک-خنثی مستلزم کاربرد مفهوم احتمال ریسک-خنثی</w:t>
      </w:r>
      <w:r w:rsidRPr="00D94694">
        <w:rPr>
          <w:position w:val="-12"/>
        </w:rPr>
        <w:object w:dxaOrig="639" w:dyaOrig="360" w14:anchorId="65C8DAAB">
          <v:shape id="_x0000_i4830" type="#_x0000_t75" style="width:32.05pt;height:18.15pt" o:ole="">
            <v:imagedata r:id="rId7658" o:title=""/>
          </v:shape>
          <o:OLEObject Type="Embed" ProgID="Equation.DSMT4" ShapeID="_x0000_i4830" DrawAspect="Content" ObjectID="_1791378774" r:id="rId7659"/>
        </w:object>
      </w:r>
      <w:r w:rsidRPr="00D94694">
        <w:rPr>
          <w:rFonts w:hint="cs"/>
          <w:i/>
          <w:sz w:val="23"/>
          <w:szCs w:val="23"/>
          <w:rtl/>
        </w:rPr>
        <w:t xml:space="preserve"> بجای احتمال وضعیت</w:t>
      </w:r>
      <w:r w:rsidRPr="00D94694">
        <w:rPr>
          <w:position w:val="-12"/>
        </w:rPr>
        <w:object w:dxaOrig="480" w:dyaOrig="360" w14:anchorId="6579D026">
          <v:shape id="_x0000_i4831" type="#_x0000_t75" style="width:24.2pt;height:18.15pt" o:ole="">
            <v:imagedata r:id="rId7660" o:title=""/>
          </v:shape>
          <o:OLEObject Type="Embed" ProgID="Equation.DSMT4" ShapeID="_x0000_i4831" DrawAspect="Content" ObjectID="_1791378775" r:id="rId7661"/>
        </w:object>
      </w:r>
      <w:r w:rsidRPr="00D94694">
        <w:rPr>
          <w:rFonts w:hint="cs"/>
          <w:i/>
          <w:sz w:val="23"/>
          <w:szCs w:val="23"/>
          <w:rtl/>
        </w:rPr>
        <w:t xml:space="preserve"> یا احتمال واقعی وقوع وضعیت</w:t>
      </w:r>
      <w:r w:rsidRPr="00D94694">
        <w:rPr>
          <w:position w:val="-6"/>
        </w:rPr>
        <w:object w:dxaOrig="160" w:dyaOrig="200" w14:anchorId="0D332F94">
          <v:shape id="_x0000_i4832" type="#_x0000_t75" style="width:7.85pt;height:10.3pt" o:ole="">
            <v:imagedata r:id="rId7662" o:title=""/>
          </v:shape>
          <o:OLEObject Type="Embed" ProgID="Equation.DSMT4" ShapeID="_x0000_i4832" DrawAspect="Content" ObjectID="_1791378776" r:id="rId7663"/>
        </w:object>
      </w:r>
      <w:r w:rsidRPr="00D94694">
        <w:rPr>
          <w:rFonts w:hint="cs"/>
          <w:i/>
          <w:sz w:val="23"/>
          <w:szCs w:val="23"/>
          <w:rtl/>
        </w:rPr>
        <w:t xml:space="preserve"> می</w:t>
      </w:r>
      <w:r w:rsidRPr="00D94694">
        <w:rPr>
          <w:i/>
          <w:sz w:val="23"/>
          <w:szCs w:val="23"/>
          <w:rtl/>
        </w:rPr>
        <w:softHyphen/>
      </w:r>
      <w:r w:rsidRPr="00D94694">
        <w:rPr>
          <w:rFonts w:hint="cs"/>
          <w:i/>
          <w:sz w:val="23"/>
          <w:szCs w:val="23"/>
          <w:rtl/>
        </w:rPr>
        <w:t>باشد. قیمت هر دارایی را می</w:t>
      </w:r>
      <w:r w:rsidRPr="00D94694">
        <w:rPr>
          <w:i/>
          <w:sz w:val="23"/>
          <w:szCs w:val="23"/>
          <w:rtl/>
        </w:rPr>
        <w:softHyphen/>
      </w:r>
      <w:r w:rsidRPr="00D94694">
        <w:rPr>
          <w:rFonts w:hint="cs"/>
          <w:i/>
          <w:sz w:val="23"/>
          <w:szCs w:val="23"/>
          <w:rtl/>
        </w:rPr>
        <w:t>توان بوسیله‌ی ارزش انتظاری عواید تصادفی آتی با استفاده از احتمالات ریسک-خنثی نشان داد. احتمال ریسک-خنثی یا ریسک-تعدیل شده برای بسیاری از نظریه</w:t>
      </w:r>
      <w:r w:rsidRPr="00D94694">
        <w:rPr>
          <w:i/>
          <w:sz w:val="23"/>
          <w:szCs w:val="23"/>
          <w:rtl/>
        </w:rPr>
        <w:softHyphen/>
      </w:r>
      <w:r w:rsidRPr="00D94694">
        <w:rPr>
          <w:rFonts w:hint="cs"/>
          <w:i/>
          <w:sz w:val="23"/>
          <w:szCs w:val="23"/>
          <w:rtl/>
        </w:rPr>
        <w:t xml:space="preserve">های مالی بخصوص قیمت‌گذاری اختیار معامله حیاتی است. </w:t>
      </w:r>
    </w:p>
    <w:p w14:paraId="5DEFFB13" w14:textId="77777777" w:rsidR="00411620" w:rsidRPr="00D94694" w:rsidRDefault="00411620" w:rsidP="00411620">
      <w:pPr>
        <w:spacing w:line="216" w:lineRule="auto"/>
        <w:rPr>
          <w:i/>
          <w:sz w:val="23"/>
          <w:szCs w:val="23"/>
          <w:rtl/>
        </w:rPr>
      </w:pPr>
      <w:r w:rsidRPr="00D94694">
        <w:rPr>
          <w:rFonts w:hint="cs"/>
          <w:i/>
          <w:sz w:val="23"/>
          <w:szCs w:val="23"/>
          <w:rtl/>
        </w:rPr>
        <w:t>با بردار وضعیت-قیمت مثبت</w:t>
      </w:r>
      <w:r w:rsidRPr="00D94694">
        <w:rPr>
          <w:position w:val="-14"/>
        </w:rPr>
        <w:object w:dxaOrig="1980" w:dyaOrig="480" w14:anchorId="7FB4F836">
          <v:shape id="_x0000_i4833" type="#_x0000_t75" style="width:99.25pt;height:24.2pt" o:ole="">
            <v:imagedata r:id="rId7664" o:title=""/>
          </v:shape>
          <o:OLEObject Type="Embed" ProgID="Equation.DSMT4" ShapeID="_x0000_i4833" DrawAspect="Content" ObjectID="_1791378777" r:id="rId7665"/>
        </w:object>
      </w:r>
      <w:r w:rsidRPr="00D94694">
        <w:rPr>
          <w:rFonts w:hint="cs"/>
          <w:i/>
          <w:sz w:val="23"/>
          <w:szCs w:val="23"/>
          <w:rtl/>
        </w:rPr>
        <w:t>، ممکن است احتمال ریسک-خنثی را به صورت زیر تعریف کنیم.</w:t>
      </w:r>
    </w:p>
    <w:p w14:paraId="5A7FF96B" w14:textId="77777777" w:rsidR="00411620" w:rsidRPr="00D94694" w:rsidRDefault="00411620" w:rsidP="00411620">
      <w:pPr>
        <w:bidi w:val="0"/>
        <w:spacing w:line="216" w:lineRule="auto"/>
        <w:rPr>
          <w:i/>
          <w:sz w:val="23"/>
          <w:szCs w:val="23"/>
          <w:rtl/>
        </w:rPr>
      </w:pPr>
      <w:r w:rsidRPr="00D94694">
        <w:rPr>
          <w:position w:val="-30"/>
        </w:rPr>
        <w:object w:dxaOrig="5319" w:dyaOrig="720" w14:anchorId="5CA31957">
          <v:shape id="_x0000_i4834" type="#_x0000_t75" style="width:266.2pt;height:36.3pt" o:ole="">
            <v:imagedata r:id="rId7666" o:title=""/>
          </v:shape>
          <o:OLEObject Type="Embed" ProgID="Equation.DSMT4" ShapeID="_x0000_i4834" DrawAspect="Content" ObjectID="_1791378778" r:id="rId7667"/>
        </w:object>
      </w:r>
    </w:p>
    <w:p w14:paraId="7A905ED3" w14:textId="77777777" w:rsidR="00411620" w:rsidRPr="00D94694" w:rsidRDefault="00411620" w:rsidP="00411620">
      <w:pPr>
        <w:spacing w:line="216" w:lineRule="auto"/>
        <w:rPr>
          <w:i/>
          <w:sz w:val="23"/>
          <w:szCs w:val="23"/>
          <w:rtl/>
        </w:rPr>
      </w:pPr>
      <w:r w:rsidRPr="00D94694">
        <w:rPr>
          <w:rFonts w:hint="cs"/>
          <w:i/>
          <w:sz w:val="23"/>
          <w:szCs w:val="23"/>
          <w:rtl/>
        </w:rPr>
        <w:t>که در آن</w:t>
      </w:r>
    </w:p>
    <w:p w14:paraId="0F92C682" w14:textId="77777777" w:rsidR="00411620" w:rsidRPr="00D94694" w:rsidRDefault="00411620" w:rsidP="00411620">
      <w:pPr>
        <w:bidi w:val="0"/>
        <w:spacing w:line="216" w:lineRule="auto"/>
        <w:rPr>
          <w:i/>
          <w:sz w:val="23"/>
          <w:szCs w:val="23"/>
        </w:rPr>
      </w:pPr>
      <w:r w:rsidRPr="00D94694">
        <w:rPr>
          <w:position w:val="-26"/>
        </w:rPr>
        <w:object w:dxaOrig="2700" w:dyaOrig="620" w14:anchorId="781003D5">
          <v:shape id="_x0000_i4835" type="#_x0000_t75" style="width:134.9pt;height:31.45pt" o:ole="">
            <v:imagedata r:id="rId7668" o:title=""/>
          </v:shape>
          <o:OLEObject Type="Embed" ProgID="Equation.DSMT4" ShapeID="_x0000_i4835" DrawAspect="Content" ObjectID="_1791378779" r:id="rId7669"/>
        </w:object>
      </w:r>
    </w:p>
    <w:p w14:paraId="0CD61477" w14:textId="77777777" w:rsidR="00411620" w:rsidRPr="00D94694" w:rsidRDefault="00411620" w:rsidP="00411620">
      <w:pPr>
        <w:spacing w:line="216" w:lineRule="auto"/>
        <w:rPr>
          <w:i/>
          <w:sz w:val="23"/>
          <w:szCs w:val="23"/>
          <w:rtl/>
        </w:rPr>
      </w:pPr>
      <w:r w:rsidRPr="00D94694">
        <w:rPr>
          <w:i/>
          <w:sz w:val="23"/>
          <w:szCs w:val="23"/>
          <w:rtl/>
        </w:rPr>
        <w:t xml:space="preserve"> می</w:t>
      </w:r>
      <w:r w:rsidRPr="00D94694">
        <w:rPr>
          <w:rFonts w:hint="cs"/>
          <w:i/>
          <w:sz w:val="23"/>
          <w:szCs w:val="23"/>
          <w:rtl/>
        </w:rPr>
        <w:t>‌توان قیمت یک دارایی که بر حسب احتمالات وضعیت نوشته شده را بر حسب احتمالات ریسک-خنثی بصورت زیر تبدیل نمود.</w:t>
      </w:r>
    </w:p>
    <w:p w14:paraId="0BDBC54B" w14:textId="77777777" w:rsidR="00411620" w:rsidRPr="00D94694" w:rsidRDefault="00411620" w:rsidP="00411620">
      <w:pPr>
        <w:bidi w:val="0"/>
        <w:spacing w:line="216" w:lineRule="auto"/>
        <w:rPr>
          <w:i/>
          <w:sz w:val="23"/>
          <w:szCs w:val="23"/>
        </w:rPr>
      </w:pPr>
      <w:r w:rsidRPr="00D94694">
        <w:rPr>
          <w:position w:val="-52"/>
        </w:rPr>
        <w:object w:dxaOrig="3980" w:dyaOrig="1140" w14:anchorId="196FEB6E">
          <v:shape id="_x0000_i4836" type="#_x0000_t75" style="width:199.05pt;height:56.85pt" o:ole="">
            <v:imagedata r:id="rId7670" o:title=""/>
          </v:shape>
          <o:OLEObject Type="Embed" ProgID="Equation.DSMT4" ShapeID="_x0000_i4836" DrawAspect="Content" ObjectID="_1791378780" r:id="rId7671"/>
        </w:object>
      </w:r>
    </w:p>
    <w:p w14:paraId="092C7A3C" w14:textId="77777777" w:rsidR="00411620" w:rsidRPr="00D94694" w:rsidRDefault="00411620" w:rsidP="00411620">
      <w:pPr>
        <w:spacing w:line="216" w:lineRule="auto"/>
        <w:rPr>
          <w:i/>
          <w:sz w:val="23"/>
          <w:szCs w:val="23"/>
          <w:rtl/>
        </w:rPr>
      </w:pPr>
      <w:r w:rsidRPr="00D94694">
        <w:rPr>
          <w:rFonts w:hint="cs"/>
          <w:i/>
          <w:sz w:val="23"/>
          <w:szCs w:val="23"/>
          <w:rtl/>
        </w:rPr>
        <w:t>که در آن بجای</w:t>
      </w:r>
      <w:r w:rsidRPr="00025957">
        <w:rPr>
          <w:position w:val="-4"/>
        </w:rPr>
        <w:object w:dxaOrig="520" w:dyaOrig="279" w14:anchorId="75A7A7E9">
          <v:shape id="_x0000_i4837" type="#_x0000_t75" style="width:26pt;height:13.9pt" o:ole="">
            <v:imagedata r:id="rId7672" o:title=""/>
          </v:shape>
          <o:OLEObject Type="Embed" ProgID="Equation.DSMT4" ShapeID="_x0000_i4837" DrawAspect="Content" ObjectID="_1791378781" r:id="rId7673"/>
        </w:object>
      </w:r>
      <w:r w:rsidRPr="00D94694">
        <w:rPr>
          <w:rFonts w:hint="cs"/>
          <w:i/>
          <w:sz w:val="23"/>
          <w:szCs w:val="23"/>
          <w:rtl/>
        </w:rPr>
        <w:t xml:space="preserve"> مقدار</w:t>
      </w:r>
      <w:r w:rsidRPr="00D94694">
        <w:rPr>
          <w:position w:val="-12"/>
        </w:rPr>
        <w:object w:dxaOrig="840" w:dyaOrig="360" w14:anchorId="3BE18464">
          <v:shape id="_x0000_i4838" type="#_x0000_t75" style="width:41.75pt;height:18.15pt" o:ole="">
            <v:imagedata r:id="rId7674" o:title=""/>
          </v:shape>
          <o:OLEObject Type="Embed" ProgID="Equation.DSMT4" ShapeID="_x0000_i4838" DrawAspect="Content" ObjectID="_1791378782" r:id="rId7675"/>
        </w:object>
      </w:r>
      <w:r w:rsidRPr="00D94694">
        <w:rPr>
          <w:rFonts w:hint="cs"/>
          <w:i/>
          <w:sz w:val="23"/>
          <w:szCs w:val="23"/>
          <w:rtl/>
        </w:rPr>
        <w:t xml:space="preserve"> را بکار گرفته و</w:t>
      </w:r>
      <w:r w:rsidRPr="00D94694">
        <w:rPr>
          <w:position w:val="-12"/>
        </w:rPr>
        <w:object w:dxaOrig="620" w:dyaOrig="360" w14:anchorId="55A0B5C9">
          <v:shape id="_x0000_i4839" type="#_x0000_t75" style="width:31.45pt;height:18.15pt" o:ole="">
            <v:imagedata r:id="rId7676" o:title=""/>
          </v:shape>
          <o:OLEObject Type="Embed" ProgID="Equation.DSMT4" ShapeID="_x0000_i4839" DrawAspect="Content" ObjectID="_1791378783" r:id="rId7677"/>
        </w:object>
      </w:r>
      <w:r w:rsidRPr="00D94694">
        <w:rPr>
          <w:rFonts w:hint="cs"/>
          <w:i/>
          <w:sz w:val="23"/>
          <w:szCs w:val="23"/>
          <w:rtl/>
        </w:rPr>
        <w:t xml:space="preserve"> مبین انتظارات نسبت به احتمالات ریسک-خنثی است. بنابراین با استفاده از احتمالات ریسک-خنثی می</w:t>
      </w:r>
      <w:r w:rsidRPr="00D94694">
        <w:rPr>
          <w:i/>
          <w:sz w:val="23"/>
          <w:szCs w:val="23"/>
          <w:rtl/>
        </w:rPr>
        <w:softHyphen/>
      </w:r>
      <w:r w:rsidRPr="00D94694">
        <w:rPr>
          <w:rFonts w:hint="cs"/>
          <w:i/>
          <w:sz w:val="23"/>
          <w:szCs w:val="23"/>
          <w:rtl/>
        </w:rPr>
        <w:t>توان قیمت یک دارایی را به صورت زیر بازنویسی کرد</w:t>
      </w:r>
    </w:p>
    <w:p w14:paraId="0A59F4D1" w14:textId="77777777" w:rsidR="00411620" w:rsidRPr="00D94694" w:rsidRDefault="00411620" w:rsidP="00411620">
      <w:pPr>
        <w:bidi w:val="0"/>
        <w:spacing w:line="216" w:lineRule="auto"/>
        <w:rPr>
          <w:i/>
          <w:sz w:val="23"/>
          <w:szCs w:val="23"/>
          <w:rtl/>
        </w:rPr>
      </w:pPr>
      <w:r w:rsidRPr="00D94694">
        <w:rPr>
          <w:position w:val="-12"/>
        </w:rPr>
        <w:object w:dxaOrig="2480" w:dyaOrig="360" w14:anchorId="116AC879">
          <v:shape id="_x0000_i4840" type="#_x0000_t75" style="width:124.05pt;height:18.15pt" o:ole="">
            <v:imagedata r:id="rId7678" o:title=""/>
          </v:shape>
          <o:OLEObject Type="Embed" ProgID="Equation.DSMT4" ShapeID="_x0000_i4840" DrawAspect="Content" ObjectID="_1791378784" r:id="rId7679"/>
        </w:object>
      </w:r>
      <w:r w:rsidRPr="00D94694">
        <w:rPr>
          <w:i/>
          <w:sz w:val="23"/>
          <w:szCs w:val="23"/>
          <w:rtl/>
        </w:rPr>
        <w:tab/>
      </w:r>
      <w:r w:rsidRPr="00D94694">
        <w:rPr>
          <w:i/>
          <w:sz w:val="23"/>
          <w:szCs w:val="23"/>
          <w:rtl/>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tl/>
        </w:rPr>
        <w:tab/>
      </w:r>
      <w:r>
        <w:rPr>
          <w:i/>
          <w:sz w:val="23"/>
          <w:szCs w:val="23"/>
          <w:rtl/>
        </w:rPr>
        <w:tab/>
      </w:r>
      <w:r w:rsidRPr="00D94694">
        <w:rPr>
          <w:i/>
          <w:sz w:val="23"/>
          <w:szCs w:val="23"/>
          <w:rtl/>
        </w:rPr>
        <w:tab/>
      </w:r>
      <w:r w:rsidRPr="00D94694">
        <w:rPr>
          <w:i/>
          <w:sz w:val="23"/>
          <w:szCs w:val="23"/>
          <w:rtl/>
        </w:rPr>
        <w:tab/>
      </w:r>
      <w:r w:rsidRPr="00D94694">
        <w:rPr>
          <w:rFonts w:hint="cs"/>
          <w:i/>
          <w:sz w:val="23"/>
          <w:szCs w:val="23"/>
          <w:rtl/>
        </w:rPr>
        <w:t>(۱۱. ۱۹)</w:t>
      </w:r>
      <w:r w:rsidRPr="00D94694">
        <w:rPr>
          <w:rFonts w:hint="cs"/>
          <w:i/>
          <w:sz w:val="23"/>
          <w:szCs w:val="23"/>
        </w:rPr>
        <w:t xml:space="preserve"> </w:t>
      </w:r>
    </w:p>
    <w:p w14:paraId="38119F10" w14:textId="77777777" w:rsidR="00411620" w:rsidRPr="00D94694" w:rsidRDefault="00411620" w:rsidP="00411620">
      <w:pPr>
        <w:bidi w:val="0"/>
        <w:spacing w:line="216" w:lineRule="auto"/>
        <w:rPr>
          <w:i/>
          <w:sz w:val="23"/>
          <w:szCs w:val="23"/>
          <w:rtl/>
        </w:rPr>
      </w:pPr>
      <w:r w:rsidRPr="00D94694">
        <w:rPr>
          <w:position w:val="-22"/>
        </w:rPr>
        <w:object w:dxaOrig="1840" w:dyaOrig="560" w14:anchorId="48998560">
          <v:shape id="_x0000_i4841" type="#_x0000_t75" style="width:91.95pt;height:27.85pt" o:ole="">
            <v:imagedata r:id="rId7680" o:title=""/>
          </v:shape>
          <o:OLEObject Type="Embed" ProgID="Equation.DSMT4" ShapeID="_x0000_i4841" DrawAspect="Content" ObjectID="_1791378785" r:id="rId7681"/>
        </w:object>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Pr>
          <w:i/>
          <w:sz w:val="23"/>
          <w:szCs w:val="23"/>
          <w:rtl/>
        </w:rPr>
        <w:tab/>
      </w:r>
      <w:r w:rsidRPr="00D94694">
        <w:rPr>
          <w:i/>
          <w:sz w:val="23"/>
          <w:szCs w:val="23"/>
          <w:rtl/>
        </w:rPr>
        <w:tab/>
      </w:r>
      <w:r w:rsidRPr="00D94694">
        <w:rPr>
          <w:rFonts w:hint="cs"/>
          <w:i/>
          <w:sz w:val="23"/>
          <w:szCs w:val="23"/>
          <w:rtl/>
        </w:rPr>
        <w:t>(۱۱. ۲۰)</w:t>
      </w:r>
      <w:r w:rsidRPr="00D94694">
        <w:rPr>
          <w:rFonts w:hint="cs"/>
          <w:i/>
          <w:sz w:val="23"/>
          <w:szCs w:val="23"/>
        </w:rPr>
        <w:t xml:space="preserve"> </w:t>
      </w:r>
    </w:p>
    <w:p w14:paraId="170FF7F1" w14:textId="77777777" w:rsidR="00411620" w:rsidRPr="00D94694" w:rsidRDefault="00411620" w:rsidP="00411620">
      <w:pPr>
        <w:spacing w:line="216" w:lineRule="auto"/>
        <w:rPr>
          <w:i/>
          <w:sz w:val="23"/>
          <w:szCs w:val="23"/>
          <w:rtl/>
        </w:rPr>
      </w:pPr>
      <w:r w:rsidRPr="00D94694">
        <w:rPr>
          <w:rFonts w:hint="cs"/>
          <w:i/>
          <w:sz w:val="23"/>
          <w:szCs w:val="23"/>
          <w:rtl/>
        </w:rPr>
        <w:t>معادله‌ی (۱۱. ۱۹) بر آن دلالت می‌کند که با استفاده از احتمالات ریسک-خنثی،</w:t>
      </w:r>
      <w:r w:rsidRPr="00D94694">
        <w:rPr>
          <w:position w:val="-6"/>
        </w:rPr>
        <w:object w:dxaOrig="260" w:dyaOrig="200" w14:anchorId="449E8F4A">
          <v:shape id="_x0000_i4842" type="#_x0000_t75" style="width:13.3pt;height:10.3pt" o:ole="">
            <v:imagedata r:id="rId7682" o:title=""/>
          </v:shape>
          <o:OLEObject Type="Embed" ProgID="Equation.DSMT4" ShapeID="_x0000_i4842" DrawAspect="Content" ObjectID="_1791378786" r:id="rId7683"/>
        </w:object>
      </w:r>
      <w:r w:rsidRPr="00D94694">
        <w:rPr>
          <w:rFonts w:hint="cs"/>
          <w:i/>
          <w:sz w:val="23"/>
          <w:szCs w:val="23"/>
          <w:rtl/>
        </w:rPr>
        <w:t xml:space="preserve"> و</w:t>
      </w:r>
      <w:r w:rsidRPr="00D94694">
        <w:rPr>
          <w:position w:val="-6"/>
        </w:rPr>
        <w:object w:dxaOrig="200" w:dyaOrig="200" w14:anchorId="11EBD471">
          <v:shape id="_x0000_i4843" type="#_x0000_t75" style="width:10.3pt;height:10.3pt" o:ole="">
            <v:imagedata r:id="rId7684" o:title=""/>
          </v:shape>
          <o:OLEObject Type="Embed" ProgID="Equation.DSMT4" ShapeID="_x0000_i4843" DrawAspect="Content" ObjectID="_1791378787" r:id="rId7685"/>
        </w:object>
      </w:r>
      <w:r w:rsidRPr="00D94694">
        <w:rPr>
          <w:rFonts w:hint="cs"/>
          <w:i/>
          <w:sz w:val="23"/>
          <w:szCs w:val="23"/>
          <w:rtl/>
        </w:rPr>
        <w:t xml:space="preserve"> ناهمبسته می‌باشند. معادله‌ی (۱۱. ۲۰) نشان می‌دهد که قیمت هر دارایی را می‌توان بصورت ارزش تنزیل شده‌ی انتظاری عواید آتی آن بازنویسی کرد، که درآن تنزیل، بوسیله‌ی عامل تنزیل تصادفی </w:t>
      </w:r>
      <w:r w:rsidRPr="00D94694">
        <w:rPr>
          <w:position w:val="-12"/>
        </w:rPr>
        <w:object w:dxaOrig="520" w:dyaOrig="360" w14:anchorId="1F419C43">
          <v:shape id="_x0000_i4844" type="#_x0000_t75" style="width:26pt;height:18.15pt" o:ole="">
            <v:imagedata r:id="rId7686" o:title=""/>
          </v:shape>
          <o:OLEObject Type="Embed" ProgID="Equation.DSMT4" ShapeID="_x0000_i4844" DrawAspect="Content" ObjectID="_1791378788" r:id="rId7687"/>
        </w:object>
      </w:r>
      <w:r w:rsidRPr="00D94694">
        <w:rPr>
          <w:rFonts w:hint="cs"/>
          <w:i/>
          <w:sz w:val="23"/>
          <w:szCs w:val="23"/>
          <w:rtl/>
        </w:rPr>
        <w:t xml:space="preserve"> انجام می‌شود. سپس ملاحظه می‌شود که قیمت دارایی نسبتی از انتظارات ریسک-خنثی به عایدی تصادفی آن است.</w:t>
      </w:r>
    </w:p>
    <w:p w14:paraId="5AA784D5" w14:textId="77777777" w:rsidR="00411620" w:rsidRPr="00D94694" w:rsidRDefault="00411620" w:rsidP="00411620">
      <w:pPr>
        <w:spacing w:line="216" w:lineRule="auto"/>
        <w:rPr>
          <w:i/>
          <w:sz w:val="23"/>
          <w:szCs w:val="23"/>
          <w:rtl/>
        </w:rPr>
      </w:pPr>
      <w:r w:rsidRPr="00D94694">
        <w:rPr>
          <w:rFonts w:hint="cs"/>
          <w:i/>
          <w:sz w:val="23"/>
          <w:szCs w:val="23"/>
          <w:rtl/>
        </w:rPr>
        <w:t>از معادله‌ی (۱۱. ۲۰) معادله‌ی بدون آربیتراژ بازدهی را می‌توان بدون پاداش ریسک به صورت زیر بازنویسی کرد</w:t>
      </w:r>
    </w:p>
    <w:p w14:paraId="679FC6A1" w14:textId="77777777" w:rsidR="00411620" w:rsidRPr="00D94694" w:rsidRDefault="00411620" w:rsidP="00411620">
      <w:pPr>
        <w:bidi w:val="0"/>
        <w:spacing w:line="216" w:lineRule="auto"/>
        <w:rPr>
          <w:i/>
          <w:sz w:val="23"/>
          <w:szCs w:val="23"/>
        </w:rPr>
      </w:pPr>
      <w:r w:rsidRPr="00D94694">
        <w:rPr>
          <w:position w:val="-12"/>
        </w:rPr>
        <w:object w:dxaOrig="1060" w:dyaOrig="360" w14:anchorId="33148C6F">
          <v:shape id="_x0000_i4845" type="#_x0000_t75" style="width:53.25pt;height:18.15pt" o:ole="">
            <v:imagedata r:id="rId7688" o:title=""/>
          </v:shape>
          <o:OLEObject Type="Embed" ProgID="Equation.DSMT4" ShapeID="_x0000_i4845" DrawAspect="Content" ObjectID="_1791378789" r:id="rId7689"/>
        </w:object>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sidRPr="00D94694">
        <w:rPr>
          <w:rFonts w:hint="cs"/>
          <w:i/>
          <w:sz w:val="23"/>
          <w:szCs w:val="23"/>
          <w:rtl/>
        </w:rPr>
        <w:t>(۱۱. ۲۱)</w:t>
      </w:r>
      <w:r w:rsidRPr="00D94694">
        <w:rPr>
          <w:rFonts w:hint="cs"/>
          <w:i/>
          <w:sz w:val="23"/>
          <w:szCs w:val="23"/>
        </w:rPr>
        <w:t xml:space="preserve"> </w:t>
      </w:r>
    </w:p>
    <w:p w14:paraId="7793F3DD" w14:textId="77777777" w:rsidR="00411620" w:rsidRPr="00D94694" w:rsidRDefault="00411620" w:rsidP="00411620">
      <w:pPr>
        <w:spacing w:line="216" w:lineRule="auto"/>
        <w:rPr>
          <w:i/>
          <w:sz w:val="23"/>
          <w:szCs w:val="23"/>
          <w:rtl/>
        </w:rPr>
      </w:pPr>
      <w:r w:rsidRPr="00D94694">
        <w:rPr>
          <w:rFonts w:hint="cs"/>
          <w:i/>
          <w:sz w:val="23"/>
          <w:szCs w:val="23"/>
          <w:rtl/>
        </w:rPr>
        <w:t>با مقایسه‌ی معادله‌ی (۱۱. ۸) یا (۱۱. ۷) با (۱۱. ۲۱) نتیجه خواهیم گرفت که</w:t>
      </w:r>
    </w:p>
    <w:p w14:paraId="01FF5C47" w14:textId="77777777" w:rsidR="00411620" w:rsidRPr="00D94694" w:rsidRDefault="00411620" w:rsidP="00411620">
      <w:pPr>
        <w:bidi w:val="0"/>
        <w:spacing w:line="216" w:lineRule="auto"/>
        <w:rPr>
          <w:i/>
          <w:sz w:val="23"/>
          <w:szCs w:val="23"/>
          <w:rtl/>
        </w:rPr>
      </w:pPr>
      <w:r w:rsidRPr="00D94694">
        <w:rPr>
          <w:position w:val="-12"/>
        </w:rPr>
        <w:object w:dxaOrig="1680" w:dyaOrig="360" w14:anchorId="365C4CDA">
          <v:shape id="_x0000_i4846" type="#_x0000_t75" style="width:84.1pt;height:18.15pt" o:ole="">
            <v:imagedata r:id="rId7690" o:title=""/>
          </v:shape>
          <o:OLEObject Type="Embed" ProgID="Equation.DSMT4" ShapeID="_x0000_i4846" DrawAspect="Content" ObjectID="_1791378790" r:id="rId7691"/>
        </w:object>
      </w:r>
    </w:p>
    <w:p w14:paraId="3C83ADFD" w14:textId="77777777" w:rsidR="00411620" w:rsidRPr="00D94694" w:rsidRDefault="00411620" w:rsidP="00411620">
      <w:pPr>
        <w:spacing w:line="216" w:lineRule="auto"/>
        <w:rPr>
          <w:i/>
          <w:sz w:val="23"/>
          <w:szCs w:val="23"/>
        </w:rPr>
      </w:pPr>
      <w:r w:rsidRPr="00D94694">
        <w:rPr>
          <w:rFonts w:hint="cs"/>
          <w:i/>
          <w:sz w:val="23"/>
          <w:szCs w:val="23"/>
          <w:rtl/>
        </w:rPr>
        <w:t>که در آن</w:t>
      </w:r>
      <w:r w:rsidRPr="00D94694">
        <w:rPr>
          <w:position w:val="-10"/>
        </w:rPr>
        <w:object w:dxaOrig="220" w:dyaOrig="240" w14:anchorId="0DFD0876">
          <v:shape id="_x0000_i4847" type="#_x0000_t75" style="width:10.9pt;height:12.1pt" o:ole="">
            <v:imagedata r:id="rId7692" o:title=""/>
          </v:shape>
          <o:OLEObject Type="Embed" ProgID="Equation.DSMT4" ShapeID="_x0000_i4847" DrawAspect="Content" ObjectID="_1791378791" r:id="rId7693"/>
        </w:object>
      </w:r>
      <w:r w:rsidRPr="00D94694">
        <w:rPr>
          <w:rFonts w:hint="cs"/>
          <w:i/>
          <w:sz w:val="23"/>
          <w:szCs w:val="23"/>
          <w:rtl/>
        </w:rPr>
        <w:t xml:space="preserve"> پاداش ریسک می</w:t>
      </w:r>
      <w:r w:rsidRPr="00D94694">
        <w:rPr>
          <w:i/>
          <w:sz w:val="23"/>
          <w:szCs w:val="23"/>
          <w:rtl/>
        </w:rPr>
        <w:softHyphen/>
      </w:r>
      <w:r w:rsidRPr="00D94694">
        <w:rPr>
          <w:rFonts w:hint="cs"/>
          <w:i/>
          <w:sz w:val="23"/>
          <w:szCs w:val="23"/>
          <w:rtl/>
        </w:rPr>
        <w:t xml:space="preserve">باشد. </w:t>
      </w:r>
    </w:p>
    <w:p w14:paraId="22B6A479" w14:textId="77777777" w:rsidR="00411620" w:rsidRPr="00D94694" w:rsidRDefault="00411620" w:rsidP="00411620">
      <w:pPr>
        <w:spacing w:line="216" w:lineRule="auto"/>
        <w:rPr>
          <w:i/>
          <w:sz w:val="23"/>
          <w:szCs w:val="23"/>
          <w:rtl/>
        </w:rPr>
      </w:pPr>
    </w:p>
    <w:p w14:paraId="53D06D1A" w14:textId="77777777" w:rsidR="00411620" w:rsidRPr="00D94694" w:rsidRDefault="00411620" w:rsidP="00411620">
      <w:pPr>
        <w:pStyle w:val="Heading1"/>
        <w:spacing w:before="0" w:line="216" w:lineRule="auto"/>
        <w:rPr>
          <w:rFonts w:ascii="Times New Roman" w:hAnsi="Times New Roman" w:cs="B Nazanin"/>
          <w:b w:val="0"/>
          <w:i/>
          <w:sz w:val="23"/>
          <w:szCs w:val="23"/>
          <w:rtl/>
        </w:rPr>
      </w:pPr>
      <w:r w:rsidRPr="00D94694">
        <w:rPr>
          <w:rFonts w:ascii="Times New Roman" w:hAnsi="Times New Roman" w:cs="B Nazanin" w:hint="cs"/>
          <w:b w:val="0"/>
          <w:i/>
          <w:sz w:val="23"/>
          <w:szCs w:val="23"/>
          <w:rtl/>
        </w:rPr>
        <w:t>۱۱. ۶ قیمت‌گذاری دارایی تعادل عمومی</w:t>
      </w:r>
    </w:p>
    <w:p w14:paraId="7DF672A8" w14:textId="77777777" w:rsidR="00411620" w:rsidRPr="00D94694" w:rsidRDefault="00411620" w:rsidP="00411620">
      <w:pPr>
        <w:spacing w:line="216" w:lineRule="auto"/>
        <w:rPr>
          <w:i/>
          <w:sz w:val="23"/>
          <w:szCs w:val="23"/>
          <w:rtl/>
        </w:rPr>
      </w:pPr>
      <w:r w:rsidRPr="00D94694">
        <w:rPr>
          <w:rFonts w:hint="cs"/>
          <w:i/>
          <w:sz w:val="23"/>
          <w:szCs w:val="23"/>
          <w:rtl/>
        </w:rPr>
        <w:t>در تعادل عمومی، قیمت‌ دارایی</w:t>
      </w:r>
      <w:r w:rsidRPr="00D94694">
        <w:rPr>
          <w:i/>
          <w:sz w:val="23"/>
          <w:szCs w:val="23"/>
          <w:rtl/>
        </w:rPr>
        <w:softHyphen/>
      </w:r>
      <w:r w:rsidRPr="00D94694">
        <w:rPr>
          <w:rFonts w:hint="cs"/>
          <w:i/>
          <w:sz w:val="23"/>
          <w:szCs w:val="23"/>
          <w:rtl/>
        </w:rPr>
        <w:t xml:space="preserve">ها به همراه دیگر متغیرهای اقتصادی تعیین می‌شوند. بالاخص، در اقتصاد حقیقی، نرخ بازدهی حقیقی سرمایه، با مصرف، سرمایه‌گذاری و موجودی سرمایه تعیین می‌شود. در مباحث مربوط به نظریه مصرفِ سیکل زندگی خانوار، نرخ بازدهی دارایی‌های مالی را داده شده در نظر گرفتیم. اکنون تجزیه و تحلیل رفتار خانواری که سرمایه‌گذار نمونه در بازارهای مالی است را با استفاده از تجزیه و تحلیل مطالبات مشروط مجدداً مورد بررسی قرار داده، و سپس معادلات بدست آمده در اقتصاد کلان که تاکنون مورد استفاده قرار گرفته بود را بسط خواهیم داد. </w:t>
      </w:r>
    </w:p>
    <w:p w14:paraId="72998CAA" w14:textId="77777777" w:rsidR="00411620" w:rsidRPr="00D94694" w:rsidRDefault="00411620" w:rsidP="00411620">
      <w:pPr>
        <w:spacing w:line="216" w:lineRule="auto"/>
        <w:rPr>
          <w:i/>
          <w:sz w:val="23"/>
          <w:szCs w:val="23"/>
          <w:rtl/>
        </w:rPr>
      </w:pPr>
    </w:p>
    <w:p w14:paraId="07B65CDB" w14:textId="77777777" w:rsidR="00411620" w:rsidRPr="00D94694" w:rsidRDefault="00411620" w:rsidP="00411620">
      <w:pPr>
        <w:spacing w:line="216" w:lineRule="auto"/>
        <w:rPr>
          <w:bCs/>
          <w:i/>
          <w:sz w:val="23"/>
          <w:szCs w:val="23"/>
          <w:rtl/>
        </w:rPr>
      </w:pPr>
      <w:r w:rsidRPr="00D94694">
        <w:rPr>
          <w:rFonts w:hint="cs"/>
          <w:bCs/>
          <w:i/>
          <w:sz w:val="23"/>
          <w:szCs w:val="23"/>
          <w:rtl/>
        </w:rPr>
        <w:t>استفاده از تجزیه و تحلیل مطالبات مشروط</w:t>
      </w:r>
    </w:p>
    <w:p w14:paraId="7A150436" w14:textId="77777777" w:rsidR="00411620" w:rsidRPr="00D94694" w:rsidRDefault="00411620" w:rsidP="00411620">
      <w:pPr>
        <w:spacing w:line="216" w:lineRule="auto"/>
        <w:rPr>
          <w:i/>
          <w:sz w:val="23"/>
          <w:szCs w:val="23"/>
          <w:rtl/>
        </w:rPr>
      </w:pPr>
      <w:r w:rsidRPr="00D94694">
        <w:rPr>
          <w:rFonts w:hint="cs"/>
          <w:i/>
          <w:sz w:val="23"/>
          <w:szCs w:val="23"/>
          <w:rtl/>
        </w:rPr>
        <w:t>خانوار نمونه</w:t>
      </w:r>
      <w:r w:rsidRPr="00D94694">
        <w:rPr>
          <w:i/>
          <w:sz w:val="23"/>
          <w:szCs w:val="23"/>
          <w:rtl/>
        </w:rPr>
        <w:softHyphen/>
      </w:r>
      <w:r w:rsidRPr="00D94694">
        <w:rPr>
          <w:rFonts w:hint="cs"/>
          <w:i/>
          <w:sz w:val="23"/>
          <w:szCs w:val="23"/>
          <w:rtl/>
        </w:rPr>
        <w:t>ای را در نظر بگیرید که با درآمد معین امروز ولی درآمد تصادفی و نامطئن فردا، تصمیمات مصرفی امروز و فردای خود را اتخاذ می‌کند. در این</w:t>
      </w:r>
      <w:r w:rsidRPr="00D94694">
        <w:rPr>
          <w:i/>
          <w:sz w:val="23"/>
          <w:szCs w:val="23"/>
          <w:rtl/>
        </w:rPr>
        <w:softHyphen/>
      </w:r>
      <w:r w:rsidRPr="00D94694">
        <w:rPr>
          <w:rFonts w:hint="cs"/>
          <w:i/>
          <w:sz w:val="23"/>
          <w:szCs w:val="23"/>
          <w:rtl/>
        </w:rPr>
        <w:t>جا منابع تأمین درآمد که ممکن است بواسطه</w:t>
      </w:r>
      <w:r w:rsidRPr="00D94694">
        <w:rPr>
          <w:i/>
          <w:sz w:val="23"/>
          <w:szCs w:val="23"/>
          <w:rtl/>
        </w:rPr>
        <w:softHyphen/>
      </w:r>
      <w:r w:rsidRPr="00D94694">
        <w:rPr>
          <w:rFonts w:hint="cs"/>
          <w:i/>
          <w:sz w:val="23"/>
          <w:szCs w:val="23"/>
          <w:rtl/>
        </w:rPr>
        <w:t>ی دستمزدِ حاصل از ارائه‌ی خدمات کار، و یا درآمد دارایی‌ها باشد را مشخص ننمودیم. فرض کنید خانوار ارزش مطلوبیت جاری و مطلوبیت</w:t>
      </w:r>
      <w:r w:rsidRPr="00D94694">
        <w:rPr>
          <w:i/>
          <w:sz w:val="23"/>
          <w:szCs w:val="23"/>
          <w:rtl/>
        </w:rPr>
        <w:softHyphen/>
      </w:r>
      <w:r w:rsidRPr="00D94694">
        <w:rPr>
          <w:rFonts w:hint="cs"/>
          <w:i/>
          <w:sz w:val="23"/>
          <w:szCs w:val="23"/>
          <w:rtl/>
        </w:rPr>
        <w:t>های تنزیل شده‌ی انتظاری آتی مصرف را نسبت به قید بودجه</w:t>
      </w:r>
      <w:r w:rsidRPr="00D94694">
        <w:rPr>
          <w:i/>
          <w:sz w:val="23"/>
          <w:szCs w:val="23"/>
          <w:rtl/>
        </w:rPr>
        <w:softHyphen/>
      </w:r>
      <w:r w:rsidRPr="00D94694">
        <w:rPr>
          <w:rFonts w:hint="cs"/>
          <w:i/>
          <w:sz w:val="23"/>
          <w:szCs w:val="23"/>
          <w:rtl/>
        </w:rPr>
        <w:t>ای که به وضعیت جهان در دوره‌ی دوم وابسته است حداکثر می‌نماید. بنابراین مسئله‌ی خانوار نمونه عبارت است از</w:t>
      </w:r>
    </w:p>
    <w:p w14:paraId="134F96D6" w14:textId="77777777" w:rsidR="00411620" w:rsidRPr="00D94694" w:rsidRDefault="00411620" w:rsidP="00411620">
      <w:pPr>
        <w:pStyle w:val="MTDisplayEquation"/>
        <w:spacing w:line="216" w:lineRule="auto"/>
        <w:rPr>
          <w:rFonts w:ascii="Times New Roman" w:hAnsi="Times New Roman" w:cs="B Nazanin"/>
          <w:i/>
          <w:sz w:val="23"/>
          <w:szCs w:val="23"/>
        </w:rPr>
      </w:pPr>
      <w:r w:rsidRPr="00D94694">
        <w:rPr>
          <w:position w:val="-44"/>
        </w:rPr>
        <w:object w:dxaOrig="5040" w:dyaOrig="980" w14:anchorId="3F3A525C">
          <v:shape id="_x0000_i4848" type="#_x0000_t75" style="width:252.3pt;height:49pt" o:ole="">
            <v:imagedata r:id="rId7694" o:title=""/>
          </v:shape>
          <o:OLEObject Type="Embed" ProgID="Equation.DSMT4" ShapeID="_x0000_i4848" DrawAspect="Content" ObjectID="_1791378792" r:id="rId7695"/>
        </w:object>
      </w:r>
      <w:r w:rsidRPr="00D94694">
        <w:rPr>
          <w:rFonts w:ascii="Times New Roman" w:hAnsi="Times New Roman" w:cs="B Nazanin"/>
          <w:i/>
          <w:sz w:val="23"/>
          <w:szCs w:val="23"/>
          <w:rtl/>
        </w:rPr>
        <w:t xml:space="preserve"> </w:t>
      </w:r>
    </w:p>
    <w:p w14:paraId="6F5A5619" w14:textId="77777777" w:rsidR="00411620" w:rsidRPr="00D94694" w:rsidRDefault="00411620" w:rsidP="00411620">
      <w:pPr>
        <w:spacing w:line="216" w:lineRule="auto"/>
        <w:rPr>
          <w:i/>
          <w:sz w:val="23"/>
          <w:szCs w:val="23"/>
          <w:rtl/>
        </w:rPr>
      </w:pPr>
      <w:r w:rsidRPr="00D94694">
        <w:rPr>
          <w:rFonts w:hint="cs"/>
          <w:i/>
          <w:sz w:val="23"/>
          <w:szCs w:val="23"/>
          <w:rtl/>
        </w:rPr>
        <w:t>که درآن</w:t>
      </w:r>
      <w:r w:rsidRPr="00D94694">
        <w:rPr>
          <w:position w:val="-6"/>
        </w:rPr>
        <w:object w:dxaOrig="160" w:dyaOrig="200" w14:anchorId="3B7675CE">
          <v:shape id="_x0000_i4849" type="#_x0000_t75" style="width:7.85pt;height:10.3pt" o:ole="">
            <v:imagedata r:id="rId7696" o:title=""/>
          </v:shape>
          <o:OLEObject Type="Embed" ProgID="Equation.DSMT4" ShapeID="_x0000_i4849" DrawAspect="Content" ObjectID="_1791378793" r:id="rId7697"/>
        </w:object>
      </w:r>
      <w:r w:rsidRPr="00D94694">
        <w:rPr>
          <w:rFonts w:hint="cs"/>
          <w:i/>
          <w:sz w:val="23"/>
          <w:szCs w:val="23"/>
          <w:rtl/>
        </w:rPr>
        <w:t xml:space="preserve"> مصرف جاری و</w:t>
      </w:r>
      <w:r w:rsidRPr="00D94694">
        <w:rPr>
          <w:position w:val="-8"/>
        </w:rPr>
        <w:object w:dxaOrig="200" w:dyaOrig="220" w14:anchorId="4A922645">
          <v:shape id="_x0000_i4850" type="#_x0000_t75" style="width:10.3pt;height:10.9pt" o:ole="">
            <v:imagedata r:id="rId7698" o:title=""/>
          </v:shape>
          <o:OLEObject Type="Embed" ProgID="Equation.DSMT4" ShapeID="_x0000_i4850" DrawAspect="Content" ObjectID="_1791378794" r:id="rId7699"/>
        </w:object>
      </w:r>
      <w:r w:rsidRPr="00D94694">
        <w:rPr>
          <w:i/>
          <w:sz w:val="23"/>
          <w:szCs w:val="23"/>
        </w:rPr>
        <w:t xml:space="preserve"> </w:t>
      </w:r>
      <w:r w:rsidRPr="00D94694">
        <w:rPr>
          <w:rFonts w:hint="cs"/>
          <w:i/>
          <w:sz w:val="23"/>
          <w:szCs w:val="23"/>
          <w:rtl/>
        </w:rPr>
        <w:t>درآمد جاری است، و هر دو متغیر در زمان جاری معین هستند</w:t>
      </w:r>
      <w:r w:rsidRPr="00D94694">
        <w:rPr>
          <w:i/>
          <w:sz w:val="23"/>
          <w:szCs w:val="23"/>
        </w:rPr>
        <w:t>.</w:t>
      </w:r>
      <w:r w:rsidRPr="00D94694">
        <w:rPr>
          <w:rFonts w:hint="cs"/>
          <w:i/>
          <w:sz w:val="23"/>
          <w:szCs w:val="23"/>
          <w:rtl/>
        </w:rPr>
        <w:t xml:space="preserve"> همچنین</w:t>
      </w:r>
      <w:r w:rsidRPr="00D94694">
        <w:rPr>
          <w:position w:val="-12"/>
        </w:rPr>
        <w:object w:dxaOrig="440" w:dyaOrig="360" w14:anchorId="63D2F503">
          <v:shape id="_x0000_i4851" type="#_x0000_t75" style="width:21.8pt;height:18.15pt" o:ole="">
            <v:imagedata r:id="rId7700" o:title=""/>
          </v:shape>
          <o:OLEObject Type="Embed" ProgID="Equation.DSMT4" ShapeID="_x0000_i4851" DrawAspect="Content" ObjectID="_1791378795" r:id="rId7701"/>
        </w:object>
      </w:r>
      <w:r w:rsidRPr="00D94694">
        <w:rPr>
          <w:rFonts w:hint="cs"/>
          <w:i/>
          <w:sz w:val="23"/>
          <w:szCs w:val="23"/>
          <w:rtl/>
        </w:rPr>
        <w:t xml:space="preserve"> و</w:t>
      </w:r>
      <w:r w:rsidRPr="00D94694">
        <w:rPr>
          <w:position w:val="-12"/>
        </w:rPr>
        <w:object w:dxaOrig="480" w:dyaOrig="360" w14:anchorId="2F0E6D07">
          <v:shape id="_x0000_i4852" type="#_x0000_t75" style="width:24.2pt;height:18.15pt" o:ole="">
            <v:imagedata r:id="rId7702" o:title=""/>
          </v:shape>
          <o:OLEObject Type="Embed" ProgID="Equation.DSMT4" ShapeID="_x0000_i4852" DrawAspect="Content" ObjectID="_1791378796" r:id="rId7703"/>
        </w:object>
      </w:r>
      <w:r w:rsidRPr="00D94694">
        <w:rPr>
          <w:rFonts w:hint="cs"/>
          <w:i/>
          <w:sz w:val="23"/>
          <w:szCs w:val="23"/>
          <w:rtl/>
        </w:rPr>
        <w:t xml:space="preserve"> مصرف و درآمد دوره‌ی بعد می‌باشند و هر دو متغیر در زمان جاری نامعین بوده، زیرا </w:t>
      </w:r>
      <w:r w:rsidRPr="00D94694">
        <w:rPr>
          <w:position w:val="-6"/>
        </w:rPr>
        <w:object w:dxaOrig="160" w:dyaOrig="200" w14:anchorId="57795F76">
          <v:shape id="_x0000_i4853" type="#_x0000_t75" style="width:7.85pt;height:10.3pt" o:ole="">
            <v:imagedata r:id="rId7704" o:title=""/>
          </v:shape>
          <o:OLEObject Type="Embed" ProgID="Equation.DSMT4" ShapeID="_x0000_i4853" DrawAspect="Content" ObjectID="_1791378797" r:id="rId7705"/>
        </w:object>
      </w:r>
      <w:r w:rsidRPr="00D94694">
        <w:rPr>
          <w:rFonts w:hint="cs"/>
          <w:i/>
          <w:sz w:val="23"/>
          <w:szCs w:val="23"/>
          <w:rtl/>
        </w:rPr>
        <w:t xml:space="preserve"> یا وضعیت اقتصاد در دوره بعد ناشناخته است.</w:t>
      </w:r>
      <w:r w:rsidRPr="00D94694">
        <w:rPr>
          <w:position w:val="-12"/>
        </w:rPr>
        <w:object w:dxaOrig="480" w:dyaOrig="360" w14:anchorId="66501B5D">
          <v:shape id="_x0000_i4854" type="#_x0000_t75" style="width:24.2pt;height:18.15pt" o:ole="">
            <v:imagedata r:id="rId7706" o:title=""/>
          </v:shape>
          <o:OLEObject Type="Embed" ProgID="Equation.DSMT4" ShapeID="_x0000_i4854" DrawAspect="Content" ObjectID="_1791378798" r:id="rId7707"/>
        </w:object>
      </w:r>
      <w:r w:rsidRPr="00D94694">
        <w:rPr>
          <w:i/>
          <w:sz w:val="23"/>
          <w:szCs w:val="23"/>
        </w:rPr>
        <w:t xml:space="preserve"> </w:t>
      </w:r>
      <w:r w:rsidRPr="00D94694">
        <w:rPr>
          <w:rFonts w:hint="cs"/>
          <w:i/>
          <w:sz w:val="23"/>
          <w:szCs w:val="23"/>
          <w:rtl/>
        </w:rPr>
        <w:t>قیمت‌های مطالبات مشروط است که برای ارزش‌گذاری جریان درآمد-مصرف آتی تصادفی بکار می‌رود.</w:t>
      </w:r>
    </w:p>
    <w:p w14:paraId="77A5EC6C" w14:textId="77777777" w:rsidR="00411620" w:rsidRPr="00D94694" w:rsidRDefault="00411620" w:rsidP="00411620">
      <w:pPr>
        <w:spacing w:line="216" w:lineRule="auto"/>
        <w:rPr>
          <w:i/>
          <w:sz w:val="23"/>
          <w:szCs w:val="23"/>
          <w:rtl/>
        </w:rPr>
      </w:pPr>
      <w:r w:rsidRPr="00D94694">
        <w:rPr>
          <w:rFonts w:hint="cs"/>
          <w:i/>
          <w:sz w:val="23"/>
          <w:szCs w:val="23"/>
          <w:rtl/>
        </w:rPr>
        <w:t>اگر چه مسئله‌ی فوق تصادفی است، ولی آنرا می‌توان با استفاده از تجزیه و تحلیل ضریب لاگرانژ مورد بررسی قرار داد. لذا لاگرانژین مسئله‌ی مورد بررسی عبارت است از</w:t>
      </w:r>
    </w:p>
    <w:p w14:paraId="336BE871" w14:textId="77777777" w:rsidR="00411620" w:rsidRPr="00D94694" w:rsidRDefault="00411620" w:rsidP="00411620">
      <w:pPr>
        <w:bidi w:val="0"/>
        <w:spacing w:line="216" w:lineRule="auto"/>
        <w:rPr>
          <w:i/>
          <w:sz w:val="23"/>
          <w:szCs w:val="23"/>
          <w:rtl/>
        </w:rPr>
      </w:pPr>
      <w:r w:rsidRPr="00D94694">
        <w:rPr>
          <w:position w:val="-26"/>
        </w:rPr>
        <w:object w:dxaOrig="6120" w:dyaOrig="639" w14:anchorId="2A36B566">
          <v:shape id="_x0000_i4855" type="#_x0000_t75" style="width:306.15pt;height:32.05pt" o:ole="">
            <v:imagedata r:id="rId7708" o:title=""/>
          </v:shape>
          <o:OLEObject Type="Embed" ProgID="Equation.DSMT4" ShapeID="_x0000_i4855" DrawAspect="Content" ObjectID="_1791378799" r:id="rId7709"/>
        </w:object>
      </w:r>
      <w:r w:rsidRPr="00D94694">
        <w:rPr>
          <w:rFonts w:hint="cs"/>
          <w:i/>
          <w:sz w:val="23"/>
          <w:szCs w:val="23"/>
          <w:rtl/>
        </w:rPr>
        <w:t xml:space="preserve"> </w:t>
      </w:r>
    </w:p>
    <w:p w14:paraId="4DC0FE9B" w14:textId="77777777" w:rsidR="00411620" w:rsidRPr="00D94694" w:rsidRDefault="00411620" w:rsidP="00411620">
      <w:pPr>
        <w:spacing w:line="216" w:lineRule="auto"/>
        <w:rPr>
          <w:i/>
          <w:sz w:val="23"/>
          <w:szCs w:val="23"/>
          <w:rtl/>
        </w:rPr>
      </w:pPr>
      <w:r w:rsidRPr="00D94694">
        <w:rPr>
          <w:rFonts w:hint="cs"/>
          <w:i/>
          <w:sz w:val="23"/>
          <w:szCs w:val="23"/>
          <w:rtl/>
        </w:rPr>
        <w:t xml:space="preserve"> که از حداکثر کردن آن شرایط مرتبه اول زیر بدست می</w:t>
      </w:r>
      <w:r w:rsidRPr="00D94694">
        <w:rPr>
          <w:i/>
          <w:sz w:val="23"/>
          <w:szCs w:val="23"/>
          <w:rtl/>
        </w:rPr>
        <w:softHyphen/>
      </w:r>
      <w:r w:rsidRPr="00D94694">
        <w:rPr>
          <w:rFonts w:hint="cs"/>
          <w:i/>
          <w:sz w:val="23"/>
          <w:szCs w:val="23"/>
          <w:rtl/>
        </w:rPr>
        <w:t>آید</w:t>
      </w:r>
    </w:p>
    <w:p w14:paraId="7FF46C0D" w14:textId="77777777" w:rsidR="00411620" w:rsidRPr="00D94694" w:rsidRDefault="00411620" w:rsidP="00411620">
      <w:pPr>
        <w:bidi w:val="0"/>
        <w:spacing w:line="216" w:lineRule="auto"/>
        <w:rPr>
          <w:i/>
          <w:sz w:val="23"/>
          <w:szCs w:val="23"/>
        </w:rPr>
      </w:pPr>
      <w:r w:rsidRPr="00D94694">
        <w:rPr>
          <w:position w:val="-56"/>
        </w:rPr>
        <w:object w:dxaOrig="4740" w:dyaOrig="1219" w14:anchorId="0FD9D224">
          <v:shape id="_x0000_i4856" type="#_x0000_t75" style="width:236.55pt;height:61.1pt" o:ole="">
            <v:imagedata r:id="rId7710" o:title=""/>
          </v:shape>
          <o:OLEObject Type="Embed" ProgID="Equation.DSMT4" ShapeID="_x0000_i4856" DrawAspect="Content" ObjectID="_1791378800" r:id="rId7711"/>
        </w:object>
      </w:r>
    </w:p>
    <w:p w14:paraId="5EE23691" w14:textId="77777777" w:rsidR="00411620" w:rsidRPr="00D94694" w:rsidRDefault="00411620" w:rsidP="00411620">
      <w:pPr>
        <w:spacing w:line="216" w:lineRule="auto"/>
        <w:rPr>
          <w:i/>
          <w:sz w:val="23"/>
          <w:szCs w:val="23"/>
          <w:rtl/>
        </w:rPr>
      </w:pPr>
      <w:r w:rsidRPr="00D94694">
        <w:rPr>
          <w:rFonts w:hint="cs"/>
          <w:i/>
          <w:sz w:val="23"/>
          <w:szCs w:val="23"/>
          <w:rtl/>
        </w:rPr>
        <w:t>با ترکیب شرایط مرتبه اول فوق مجموعه شرایط زیر حاصل می</w:t>
      </w:r>
      <w:r w:rsidRPr="00D94694">
        <w:rPr>
          <w:i/>
          <w:sz w:val="23"/>
          <w:szCs w:val="23"/>
          <w:rtl/>
        </w:rPr>
        <w:softHyphen/>
      </w:r>
      <w:r w:rsidRPr="00D94694">
        <w:rPr>
          <w:rFonts w:hint="cs"/>
          <w:i/>
          <w:sz w:val="23"/>
          <w:szCs w:val="23"/>
          <w:rtl/>
        </w:rPr>
        <w:t>شود</w:t>
      </w:r>
    </w:p>
    <w:p w14:paraId="27543EA8" w14:textId="77777777" w:rsidR="00411620" w:rsidRPr="00D94694" w:rsidRDefault="00411620" w:rsidP="00411620">
      <w:pPr>
        <w:bidi w:val="0"/>
        <w:spacing w:line="216" w:lineRule="auto"/>
        <w:rPr>
          <w:i/>
          <w:sz w:val="23"/>
          <w:szCs w:val="23"/>
        </w:rPr>
      </w:pPr>
      <w:r w:rsidRPr="00D94694">
        <w:rPr>
          <w:position w:val="-30"/>
        </w:rPr>
        <w:object w:dxaOrig="3640" w:dyaOrig="720" w14:anchorId="325F5884">
          <v:shape id="_x0000_i4857" type="#_x0000_t75" style="width:181.5pt;height:36.3pt" o:ole="">
            <v:imagedata r:id="rId7712" o:title=""/>
          </v:shape>
          <o:OLEObject Type="Embed" ProgID="Equation.DSMT4" ShapeID="_x0000_i4857" DrawAspect="Content" ObjectID="_1791378801" r:id="rId7713"/>
        </w:object>
      </w:r>
    </w:p>
    <w:p w14:paraId="65F46EAC" w14:textId="77777777" w:rsidR="00411620" w:rsidRPr="00D94694" w:rsidRDefault="00411620" w:rsidP="00411620">
      <w:pPr>
        <w:spacing w:line="216" w:lineRule="auto"/>
        <w:rPr>
          <w:i/>
          <w:sz w:val="23"/>
          <w:szCs w:val="23"/>
          <w:rtl/>
        </w:rPr>
      </w:pPr>
      <w:r w:rsidRPr="00D94694">
        <w:rPr>
          <w:rFonts w:hint="cs"/>
          <w:i/>
          <w:sz w:val="23"/>
          <w:szCs w:val="23"/>
          <w:rtl/>
        </w:rPr>
        <w:t>از آن جا که از معادله‌ی (۱۱. ۱۰) داریم</w:t>
      </w:r>
    </w:p>
    <w:p w14:paraId="6D46ACCD" w14:textId="77777777" w:rsidR="00411620" w:rsidRPr="00D94694" w:rsidRDefault="00411620" w:rsidP="00411620">
      <w:pPr>
        <w:bidi w:val="0"/>
        <w:spacing w:line="216" w:lineRule="auto"/>
        <w:rPr>
          <w:i/>
          <w:sz w:val="23"/>
          <w:szCs w:val="23"/>
        </w:rPr>
      </w:pPr>
      <w:r w:rsidRPr="00D94694">
        <w:rPr>
          <w:position w:val="-12"/>
        </w:rPr>
        <w:object w:dxaOrig="1579" w:dyaOrig="360" w14:anchorId="0ED38497">
          <v:shape id="_x0000_i4858" type="#_x0000_t75" style="width:79.25pt;height:18.15pt" o:ole="">
            <v:imagedata r:id="rId7714" o:title=""/>
          </v:shape>
          <o:OLEObject Type="Embed" ProgID="Equation.DSMT4" ShapeID="_x0000_i4858" DrawAspect="Content" ObjectID="_1791378802" r:id="rId7715"/>
        </w:object>
      </w:r>
    </w:p>
    <w:p w14:paraId="4B601907" w14:textId="77777777" w:rsidR="00411620" w:rsidRPr="00D94694" w:rsidRDefault="00411620" w:rsidP="00411620">
      <w:pPr>
        <w:spacing w:line="216" w:lineRule="auto"/>
        <w:rPr>
          <w:i/>
          <w:sz w:val="23"/>
          <w:szCs w:val="23"/>
          <w:rtl/>
        </w:rPr>
      </w:pPr>
      <w:r w:rsidRPr="00D94694">
        <w:rPr>
          <w:rFonts w:hint="cs"/>
          <w:i/>
          <w:sz w:val="23"/>
          <w:szCs w:val="23"/>
          <w:rtl/>
        </w:rPr>
        <w:t>و یا</w:t>
      </w:r>
    </w:p>
    <w:p w14:paraId="40ACF264" w14:textId="77777777" w:rsidR="00411620" w:rsidRPr="00D94694" w:rsidRDefault="00411620" w:rsidP="00411620">
      <w:pPr>
        <w:bidi w:val="0"/>
        <w:spacing w:line="216" w:lineRule="auto"/>
        <w:rPr>
          <w:i/>
          <w:sz w:val="23"/>
          <w:szCs w:val="23"/>
          <w:rtl/>
        </w:rPr>
      </w:pPr>
      <w:r w:rsidRPr="00D94694">
        <w:rPr>
          <w:position w:val="-30"/>
        </w:rPr>
        <w:object w:dxaOrig="1740" w:dyaOrig="720" w14:anchorId="63925704">
          <v:shape id="_x0000_i4859" type="#_x0000_t75" style="width:87.15pt;height:36.3pt" o:ole="">
            <v:imagedata r:id="rId7716" o:title=""/>
          </v:shape>
          <o:OLEObject Type="Embed" ProgID="Equation.DSMT4" ShapeID="_x0000_i4859" DrawAspect="Content" ObjectID="_1791378803" r:id="rId7717"/>
        </w:object>
      </w:r>
      <w:r w:rsidRPr="00D94694">
        <w:rPr>
          <w:i/>
          <w:sz w:val="23"/>
          <w:szCs w:val="23"/>
          <w:rtl/>
        </w:rPr>
        <w:tab/>
      </w:r>
      <w:r w:rsidRPr="00D94694">
        <w:rPr>
          <w:i/>
          <w:sz w:val="23"/>
          <w:szCs w:val="23"/>
          <w:rtl/>
        </w:rPr>
        <w:tab/>
      </w:r>
      <w:r w:rsidRPr="00D94694">
        <w:rPr>
          <w:i/>
          <w:sz w:val="23"/>
          <w:szCs w:val="23"/>
          <w:rtl/>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Pr>
          <w:i/>
          <w:sz w:val="23"/>
          <w:szCs w:val="23"/>
          <w:rtl/>
        </w:rPr>
        <w:tab/>
      </w:r>
      <w:r w:rsidRPr="00D94694">
        <w:rPr>
          <w:i/>
          <w:sz w:val="23"/>
          <w:szCs w:val="23"/>
        </w:rPr>
        <w:tab/>
      </w:r>
      <w:r w:rsidRPr="00D94694">
        <w:rPr>
          <w:i/>
          <w:sz w:val="23"/>
          <w:szCs w:val="23"/>
        </w:rPr>
        <w:tab/>
      </w:r>
      <w:r w:rsidRPr="00D94694">
        <w:rPr>
          <w:rFonts w:hint="cs"/>
          <w:i/>
          <w:sz w:val="23"/>
          <w:szCs w:val="23"/>
          <w:rtl/>
        </w:rPr>
        <w:t xml:space="preserve">(۱۱. ۲۲)  </w:t>
      </w:r>
      <w:r w:rsidRPr="00D94694">
        <w:rPr>
          <w:rFonts w:hint="cs"/>
          <w:i/>
          <w:sz w:val="23"/>
          <w:szCs w:val="23"/>
        </w:rPr>
        <w:t xml:space="preserve"> </w:t>
      </w:r>
    </w:p>
    <w:p w14:paraId="45DBBFCB" w14:textId="77777777" w:rsidR="00411620" w:rsidRPr="00D94694" w:rsidRDefault="00411620" w:rsidP="00411620">
      <w:pPr>
        <w:spacing w:line="216" w:lineRule="auto"/>
        <w:rPr>
          <w:i/>
          <w:sz w:val="23"/>
          <w:szCs w:val="23"/>
          <w:rtl/>
        </w:rPr>
      </w:pPr>
      <w:r w:rsidRPr="00D94694">
        <w:rPr>
          <w:rFonts w:hint="cs"/>
          <w:i/>
          <w:sz w:val="23"/>
          <w:szCs w:val="23"/>
          <w:rtl/>
        </w:rPr>
        <w:t>بنابراین، عامل تنزیل تصادفی عبارت است از نرخ نهایی جانشینی بین</w:t>
      </w:r>
      <w:r w:rsidRPr="00D94694">
        <w:rPr>
          <w:i/>
          <w:sz w:val="23"/>
          <w:szCs w:val="23"/>
          <w:rtl/>
        </w:rPr>
        <w:softHyphen/>
      </w:r>
      <w:r w:rsidRPr="00D94694">
        <w:rPr>
          <w:rFonts w:hint="cs"/>
          <w:i/>
          <w:sz w:val="23"/>
          <w:szCs w:val="23"/>
          <w:rtl/>
        </w:rPr>
        <w:t>دوره</w:t>
      </w:r>
      <w:r w:rsidRPr="00D94694">
        <w:rPr>
          <w:i/>
          <w:sz w:val="23"/>
          <w:szCs w:val="23"/>
          <w:rtl/>
        </w:rPr>
        <w:softHyphen/>
      </w:r>
      <w:r w:rsidRPr="00D94694">
        <w:rPr>
          <w:rFonts w:hint="cs"/>
          <w:i/>
          <w:sz w:val="23"/>
          <w:szCs w:val="23"/>
          <w:rtl/>
        </w:rPr>
        <w:t xml:space="preserve">ای مصرف در دو دوره‌ی متوالی. از آن جا که مصرف در دوره‌ی دوم متغیر تصادفی است، بنابراین عامل تنزیل نیز تصادفی است. </w:t>
      </w:r>
    </w:p>
    <w:p w14:paraId="1A59A3F1" w14:textId="77777777" w:rsidR="00411620" w:rsidRPr="00D94694" w:rsidRDefault="00411620" w:rsidP="00411620">
      <w:pPr>
        <w:spacing w:line="216" w:lineRule="auto"/>
        <w:rPr>
          <w:i/>
          <w:sz w:val="23"/>
          <w:szCs w:val="23"/>
          <w:rtl/>
        </w:rPr>
      </w:pPr>
      <w:r w:rsidRPr="00D94694">
        <w:rPr>
          <w:rFonts w:hint="cs"/>
          <w:i/>
          <w:sz w:val="23"/>
          <w:szCs w:val="23"/>
          <w:rtl/>
        </w:rPr>
        <w:t xml:space="preserve"> همچنین قیمت‌های وضعیت</w:t>
      </w:r>
      <w:r w:rsidRPr="00D94694">
        <w:rPr>
          <w:position w:val="-12"/>
        </w:rPr>
        <w:object w:dxaOrig="480" w:dyaOrig="360" w14:anchorId="00211D35">
          <v:shape id="_x0000_i4860" type="#_x0000_t75" style="width:24.2pt;height:18.15pt" o:ole="">
            <v:imagedata r:id="rId7718" o:title=""/>
          </v:shape>
          <o:OLEObject Type="Embed" ProgID="Equation.DSMT4" ShapeID="_x0000_i4860" DrawAspect="Content" ObjectID="_1791378804" r:id="rId7719"/>
        </w:object>
      </w:r>
      <w:r w:rsidRPr="00D94694">
        <w:rPr>
          <w:rFonts w:hint="cs"/>
          <w:i/>
          <w:sz w:val="23"/>
          <w:szCs w:val="23"/>
          <w:rtl/>
        </w:rPr>
        <w:t xml:space="preserve"> بصورت احتمالات وضعیت ضرب</w:t>
      </w:r>
      <w:r w:rsidRPr="00D94694">
        <w:rPr>
          <w:i/>
          <w:sz w:val="23"/>
          <w:szCs w:val="23"/>
          <w:rtl/>
        </w:rPr>
        <w:softHyphen/>
      </w:r>
      <w:r w:rsidRPr="00D94694">
        <w:rPr>
          <w:rFonts w:hint="cs"/>
          <w:i/>
          <w:sz w:val="23"/>
          <w:szCs w:val="23"/>
          <w:rtl/>
        </w:rPr>
        <w:t>در نرخ نهایی جانشینی بین‌دوره‌ای مصرف بین دو دوره‌ی متوالی تعریف می‌شود. چنانچه بخواهیم مدل اقتصادی خوش تعریفی را فرمول بندی کنیم، می‌بایست عبارات صریحی از قیمت‌های وضعیت</w:t>
      </w:r>
      <w:r w:rsidRPr="00D94694">
        <w:rPr>
          <w:position w:val="-12"/>
        </w:rPr>
        <w:object w:dxaOrig="480" w:dyaOrig="360" w14:anchorId="116A2B2F">
          <v:shape id="_x0000_i4861" type="#_x0000_t75" style="width:24.2pt;height:18.15pt" o:ole="">
            <v:imagedata r:id="rId7720" o:title=""/>
          </v:shape>
          <o:OLEObject Type="Embed" ProgID="Equation.DSMT4" ShapeID="_x0000_i4861" DrawAspect="Content" ObjectID="_1791378805" r:id="rId7721"/>
        </w:object>
      </w:r>
      <w:r w:rsidRPr="00D94694">
        <w:rPr>
          <w:rFonts w:hint="cs"/>
          <w:i/>
          <w:sz w:val="23"/>
          <w:szCs w:val="23"/>
          <w:rtl/>
        </w:rPr>
        <w:t xml:space="preserve"> را بدست آوریم. ارزش انتظاری هر جریان مصرفی تصادفی عبارت است از</w:t>
      </w:r>
    </w:p>
    <w:p w14:paraId="7BF31C2E" w14:textId="77777777" w:rsidR="00411620" w:rsidRPr="00D94694" w:rsidRDefault="00411620" w:rsidP="00411620">
      <w:pPr>
        <w:bidi w:val="0"/>
        <w:spacing w:line="216" w:lineRule="auto"/>
        <w:rPr>
          <w:i/>
          <w:sz w:val="23"/>
          <w:szCs w:val="23"/>
        </w:rPr>
      </w:pPr>
      <w:r w:rsidRPr="00D94694">
        <w:rPr>
          <w:position w:val="-26"/>
        </w:rPr>
        <w:object w:dxaOrig="3720" w:dyaOrig="499" w14:anchorId="31077501">
          <v:shape id="_x0000_i4862" type="#_x0000_t75" style="width:185.75pt;height:24.8pt" o:ole="">
            <v:imagedata r:id="rId7722" o:title=""/>
          </v:shape>
          <o:OLEObject Type="Embed" ProgID="Equation.DSMT4" ShapeID="_x0000_i4862" DrawAspect="Content" ObjectID="_1791378806" r:id="rId7723"/>
        </w:object>
      </w:r>
    </w:p>
    <w:p w14:paraId="388D036D" w14:textId="77777777" w:rsidR="00411620" w:rsidRPr="00D94694" w:rsidRDefault="00411620" w:rsidP="00411620">
      <w:pPr>
        <w:spacing w:line="216" w:lineRule="auto"/>
        <w:rPr>
          <w:i/>
          <w:sz w:val="23"/>
          <w:szCs w:val="23"/>
          <w:rtl/>
        </w:rPr>
      </w:pPr>
      <w:r w:rsidRPr="00D94694">
        <w:rPr>
          <w:rFonts w:hint="cs"/>
          <w:i/>
          <w:sz w:val="23"/>
          <w:szCs w:val="23"/>
          <w:rtl/>
        </w:rPr>
        <w:t>با عوامل تنزیل تصادفی تعیین شده‌ی</w:t>
      </w:r>
      <w:r w:rsidRPr="00D94694">
        <w:rPr>
          <w:position w:val="-12"/>
        </w:rPr>
        <w:object w:dxaOrig="520" w:dyaOrig="360" w14:anchorId="062081C9">
          <v:shape id="_x0000_i4863" type="#_x0000_t75" style="width:26pt;height:18.15pt" o:ole="">
            <v:imagedata r:id="rId7724" o:title=""/>
          </v:shape>
          <o:OLEObject Type="Embed" ProgID="Equation.DSMT4" ShapeID="_x0000_i4863" DrawAspect="Content" ObjectID="_1791378807" r:id="rId7725"/>
        </w:object>
      </w:r>
      <w:r w:rsidRPr="00D94694">
        <w:rPr>
          <w:rFonts w:hint="cs"/>
          <w:i/>
          <w:sz w:val="23"/>
          <w:szCs w:val="23"/>
          <w:rtl/>
        </w:rPr>
        <w:t>، می‌توان هر دارایی را در اقتصاد بوسیله‌ی معادله‌ی (۱۱. ۹) قیمت‌گذاری کرد. قیمت بدست آمده برابر است با</w:t>
      </w:r>
    </w:p>
    <w:p w14:paraId="14C94A09" w14:textId="77777777" w:rsidR="00411620" w:rsidRPr="00D94694" w:rsidRDefault="00411620" w:rsidP="00411620">
      <w:pPr>
        <w:bidi w:val="0"/>
        <w:spacing w:line="216" w:lineRule="auto"/>
        <w:rPr>
          <w:i/>
          <w:sz w:val="23"/>
          <w:szCs w:val="23"/>
          <w:rtl/>
        </w:rPr>
      </w:pPr>
      <w:r w:rsidRPr="00D94694">
        <w:rPr>
          <w:position w:val="-30"/>
        </w:rPr>
        <w:object w:dxaOrig="4320" w:dyaOrig="840" w14:anchorId="281FC095">
          <v:shape id="_x0000_i4864" type="#_x0000_t75" style="width:3in;height:41.75pt" o:ole="">
            <v:imagedata r:id="rId7726" o:title=""/>
          </v:shape>
          <o:OLEObject Type="Embed" ProgID="Equation.DSMT4" ShapeID="_x0000_i4864" DrawAspect="Content" ObjectID="_1791378808" r:id="rId7727"/>
        </w:object>
      </w:r>
      <w:r w:rsidRPr="00D94694">
        <w:rPr>
          <w:i/>
          <w:sz w:val="23"/>
          <w:szCs w:val="23"/>
          <w:rtl/>
        </w:rPr>
        <w:tab/>
      </w:r>
      <w:r w:rsidRPr="00D94694">
        <w:rPr>
          <w:i/>
          <w:sz w:val="23"/>
          <w:szCs w:val="23"/>
        </w:rPr>
        <w:tab/>
      </w:r>
      <w:r w:rsidRPr="00D94694">
        <w:rPr>
          <w:i/>
          <w:sz w:val="23"/>
          <w:szCs w:val="23"/>
        </w:rPr>
        <w:tab/>
      </w:r>
      <w:r>
        <w:rPr>
          <w:i/>
          <w:sz w:val="23"/>
          <w:szCs w:val="23"/>
          <w:rtl/>
        </w:rPr>
        <w:tab/>
      </w:r>
      <w:r w:rsidRPr="00D94694">
        <w:rPr>
          <w:i/>
          <w:sz w:val="23"/>
          <w:szCs w:val="23"/>
        </w:rPr>
        <w:tab/>
      </w:r>
      <w:r w:rsidRPr="00D94694">
        <w:rPr>
          <w:i/>
          <w:sz w:val="23"/>
          <w:szCs w:val="23"/>
          <w:rtl/>
        </w:rPr>
        <w:tab/>
      </w:r>
      <w:r w:rsidRPr="00D94694">
        <w:rPr>
          <w:rFonts w:hint="cs"/>
          <w:i/>
          <w:sz w:val="23"/>
          <w:szCs w:val="23"/>
          <w:rtl/>
        </w:rPr>
        <w:t>(۱۱. ۲۳)</w:t>
      </w:r>
    </w:p>
    <w:p w14:paraId="092A0228" w14:textId="77777777" w:rsidR="00411620" w:rsidRPr="00D94694" w:rsidRDefault="00411620" w:rsidP="00411620">
      <w:pPr>
        <w:spacing w:line="216" w:lineRule="auto"/>
        <w:rPr>
          <w:i/>
          <w:sz w:val="23"/>
          <w:szCs w:val="23"/>
          <w:rtl/>
        </w:rPr>
      </w:pPr>
      <w:r w:rsidRPr="00D94694">
        <w:rPr>
          <w:rFonts w:hint="cs"/>
          <w:i/>
          <w:sz w:val="23"/>
          <w:szCs w:val="23"/>
        </w:rPr>
        <w:t xml:space="preserve"> </w:t>
      </w:r>
      <w:r w:rsidRPr="00D94694">
        <w:rPr>
          <w:rFonts w:hint="cs"/>
          <w:i/>
          <w:sz w:val="23"/>
          <w:szCs w:val="23"/>
          <w:rtl/>
        </w:rPr>
        <w:t>در عمل، می‌توان جریان درآمد</w:t>
      </w:r>
      <w:r w:rsidRPr="00D94694">
        <w:rPr>
          <w:position w:val="-12"/>
        </w:rPr>
        <w:object w:dxaOrig="480" w:dyaOrig="360" w14:anchorId="652BCF52">
          <v:shape id="_x0000_i4865" type="#_x0000_t75" style="width:24.2pt;height:18.15pt" o:ole="">
            <v:imagedata r:id="rId7728" o:title=""/>
          </v:shape>
          <o:OLEObject Type="Embed" ProgID="Equation.DSMT4" ShapeID="_x0000_i4865" DrawAspect="Content" ObjectID="_1791378809" r:id="rId7729"/>
        </w:object>
      </w:r>
      <w:r w:rsidRPr="00D94694">
        <w:rPr>
          <w:rFonts w:hint="cs"/>
          <w:i/>
          <w:sz w:val="23"/>
          <w:szCs w:val="23"/>
          <w:rtl/>
        </w:rPr>
        <w:t xml:space="preserve"> را با نشاندن</w:t>
      </w:r>
      <w:r w:rsidRPr="00D94694">
        <w:rPr>
          <w:position w:val="-12"/>
        </w:rPr>
        <w:object w:dxaOrig="1100" w:dyaOrig="360" w14:anchorId="5CBD69A9">
          <v:shape id="_x0000_i4866" type="#_x0000_t75" style="width:55.05pt;height:18.15pt" o:ole="">
            <v:imagedata r:id="rId7730" o:title=""/>
          </v:shape>
          <o:OLEObject Type="Embed" ProgID="Equation.DSMT4" ShapeID="_x0000_i4866" DrawAspect="Content" ObjectID="_1791378810" r:id="rId7731"/>
        </w:object>
      </w:r>
      <w:r w:rsidRPr="00D94694">
        <w:rPr>
          <w:rFonts w:hint="cs"/>
          <w:i/>
          <w:sz w:val="23"/>
          <w:szCs w:val="23"/>
          <w:rtl/>
        </w:rPr>
        <w:t xml:space="preserve"> قیمت‌گذاری کرد</w:t>
      </w:r>
    </w:p>
    <w:p w14:paraId="2BA16591" w14:textId="77777777" w:rsidR="00411620" w:rsidRPr="00D94694" w:rsidRDefault="00411620" w:rsidP="00411620">
      <w:pPr>
        <w:spacing w:line="216" w:lineRule="auto"/>
        <w:rPr>
          <w:i/>
          <w:sz w:val="23"/>
          <w:szCs w:val="23"/>
          <w:rtl/>
        </w:rPr>
      </w:pPr>
      <w:r w:rsidRPr="00D94694">
        <w:rPr>
          <w:rFonts w:hint="cs"/>
          <w:i/>
          <w:sz w:val="23"/>
          <w:szCs w:val="23"/>
          <w:rtl/>
        </w:rPr>
        <w:t>همچنین می</w:t>
      </w:r>
      <w:r w:rsidRPr="00D94694">
        <w:rPr>
          <w:i/>
          <w:sz w:val="23"/>
          <w:szCs w:val="23"/>
          <w:rtl/>
        </w:rPr>
        <w:softHyphen/>
      </w:r>
      <w:r w:rsidRPr="00D94694">
        <w:rPr>
          <w:rFonts w:hint="cs"/>
          <w:i/>
          <w:sz w:val="23"/>
          <w:szCs w:val="23"/>
          <w:rtl/>
        </w:rPr>
        <w:t>توان معادله‌ی (۱۱. ۲۳) را برحسب نرخ تصادفی یا نرخ</w:t>
      </w:r>
      <w:r w:rsidRPr="00D94694">
        <w:rPr>
          <w:position w:val="-12"/>
        </w:rPr>
        <w:object w:dxaOrig="440" w:dyaOrig="360" w14:anchorId="698B4F4F">
          <v:shape id="_x0000_i4867" type="#_x0000_t75" style="width:21.8pt;height:18.15pt" o:ole="">
            <v:imagedata r:id="rId7732" o:title=""/>
          </v:shape>
          <o:OLEObject Type="Embed" ProgID="Equation.DSMT4" ShapeID="_x0000_i4867" DrawAspect="Content" ObjectID="_1791378811" r:id="rId7733"/>
        </w:object>
      </w:r>
      <w:r w:rsidRPr="00D94694">
        <w:rPr>
          <w:rFonts w:hint="cs"/>
          <w:i/>
          <w:sz w:val="23"/>
          <w:szCs w:val="23"/>
          <w:rtl/>
        </w:rPr>
        <w:t xml:space="preserve"> بصورت زیر بازنویسی کرد</w:t>
      </w:r>
    </w:p>
    <w:p w14:paraId="69C22585" w14:textId="77777777" w:rsidR="00411620" w:rsidRPr="00D94694" w:rsidRDefault="00411620" w:rsidP="00411620">
      <w:pPr>
        <w:bidi w:val="0"/>
        <w:spacing w:line="216" w:lineRule="auto"/>
        <w:rPr>
          <w:i/>
          <w:sz w:val="23"/>
          <w:szCs w:val="23"/>
          <w:rtl/>
        </w:rPr>
      </w:pPr>
      <w:r w:rsidRPr="00D94694">
        <w:rPr>
          <w:position w:val="-30"/>
        </w:rPr>
        <w:object w:dxaOrig="2920" w:dyaOrig="720" w14:anchorId="206E7E84">
          <v:shape id="_x0000_i4868" type="#_x0000_t75" style="width:145.8pt;height:36.3pt" o:ole="">
            <v:imagedata r:id="rId7734" o:title=""/>
          </v:shape>
          <o:OLEObject Type="Embed" ProgID="Equation.DSMT4" ShapeID="_x0000_i4868" DrawAspect="Content" ObjectID="_1791378812" r:id="rId7735"/>
        </w:object>
      </w:r>
      <w:r w:rsidRPr="00D94694">
        <w:rPr>
          <w:rFonts w:hint="cs"/>
          <w:i/>
          <w:sz w:val="23"/>
          <w:szCs w:val="23"/>
          <w:rtl/>
        </w:rPr>
        <w:t xml:space="preserve"> </w:t>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Pr>
          <w:i/>
          <w:sz w:val="23"/>
          <w:szCs w:val="23"/>
          <w:rtl/>
        </w:rPr>
        <w:tab/>
      </w:r>
      <w:r w:rsidRPr="00D94694">
        <w:rPr>
          <w:i/>
          <w:sz w:val="23"/>
          <w:szCs w:val="23"/>
        </w:rPr>
        <w:tab/>
      </w:r>
      <w:r w:rsidRPr="00D94694">
        <w:rPr>
          <w:rFonts w:hint="cs"/>
          <w:i/>
          <w:sz w:val="23"/>
          <w:szCs w:val="23"/>
          <w:rtl/>
        </w:rPr>
        <w:t>(۱۱. ۲۴)</w:t>
      </w:r>
      <w:r w:rsidRPr="00D94694">
        <w:rPr>
          <w:rFonts w:hint="cs"/>
          <w:i/>
          <w:sz w:val="23"/>
          <w:szCs w:val="23"/>
        </w:rPr>
        <w:t xml:space="preserve"> </w:t>
      </w:r>
    </w:p>
    <w:p w14:paraId="582641D9" w14:textId="77777777" w:rsidR="00411620" w:rsidRPr="00D94694" w:rsidRDefault="00411620" w:rsidP="00411620">
      <w:pPr>
        <w:spacing w:line="216" w:lineRule="auto"/>
        <w:rPr>
          <w:i/>
          <w:sz w:val="23"/>
          <w:szCs w:val="23"/>
          <w:rtl/>
        </w:rPr>
      </w:pPr>
      <w:r w:rsidRPr="00D94694">
        <w:rPr>
          <w:rFonts w:hint="cs"/>
          <w:i/>
          <w:sz w:val="23"/>
          <w:szCs w:val="23"/>
          <w:rtl/>
        </w:rPr>
        <w:t>که در آن</w:t>
      </w:r>
      <w:r w:rsidRPr="00D94694">
        <w:rPr>
          <w:position w:val="-12"/>
        </w:rPr>
        <w:object w:dxaOrig="1640" w:dyaOrig="360" w14:anchorId="49F8483F">
          <v:shape id="_x0000_i4869" type="#_x0000_t75" style="width:82.3pt;height:18.15pt" o:ole="">
            <v:imagedata r:id="rId7736" o:title=""/>
          </v:shape>
          <o:OLEObject Type="Embed" ProgID="Equation.DSMT4" ShapeID="_x0000_i4869" DrawAspect="Content" ObjectID="_1791378813" r:id="rId7737"/>
        </w:object>
      </w:r>
      <w:r w:rsidRPr="00D94694">
        <w:rPr>
          <w:rFonts w:hint="cs"/>
          <w:i/>
          <w:sz w:val="23"/>
          <w:szCs w:val="23"/>
          <w:rtl/>
        </w:rPr>
        <w:t xml:space="preserve">. معادله‌ی (۱۱. ۲۴) همان معادله‌ی اویلر است که برای بازده‌های تصادفی تعریف شده است. </w:t>
      </w:r>
    </w:p>
    <w:p w14:paraId="4EB8F633" w14:textId="77777777" w:rsidR="00411620" w:rsidRPr="00D94694" w:rsidRDefault="00411620" w:rsidP="00411620">
      <w:pPr>
        <w:spacing w:line="216" w:lineRule="auto"/>
        <w:rPr>
          <w:i/>
          <w:sz w:val="23"/>
          <w:szCs w:val="23"/>
          <w:rtl/>
        </w:rPr>
      </w:pPr>
      <w:r w:rsidRPr="00D94694">
        <w:rPr>
          <w:rFonts w:hint="cs"/>
          <w:i/>
          <w:sz w:val="23"/>
          <w:szCs w:val="23"/>
          <w:rtl/>
        </w:rPr>
        <w:lastRenderedPageBreak/>
        <w:t>اگر زمان جاری را با</w:t>
      </w:r>
      <w:r w:rsidRPr="00D94694">
        <w:rPr>
          <w:position w:val="-6"/>
        </w:rPr>
        <w:object w:dxaOrig="139" w:dyaOrig="240" w14:anchorId="54F87EDD">
          <v:shape id="_x0000_i4870" type="#_x0000_t75" style="width:7.25pt;height:12.1pt" o:ole="">
            <v:imagedata r:id="rId7738" o:title=""/>
          </v:shape>
          <o:OLEObject Type="Embed" ProgID="Equation.DSMT4" ShapeID="_x0000_i4870" DrawAspect="Content" ObjectID="_1791378814" r:id="rId7739"/>
        </w:object>
      </w:r>
      <w:r w:rsidRPr="00D94694">
        <w:rPr>
          <w:rFonts w:hint="cs"/>
          <w:i/>
          <w:sz w:val="23"/>
          <w:szCs w:val="23"/>
          <w:rtl/>
        </w:rPr>
        <w:t xml:space="preserve"> و زمان بعدی را با </w:t>
      </w:r>
      <w:r w:rsidRPr="00D94694">
        <w:rPr>
          <w:position w:val="-6"/>
        </w:rPr>
        <w:object w:dxaOrig="440" w:dyaOrig="260" w14:anchorId="5C27C64A">
          <v:shape id="_x0000_i4871" type="#_x0000_t75" style="width:21.8pt;height:13.3pt" o:ole="">
            <v:imagedata r:id="rId7740" o:title=""/>
          </v:shape>
          <o:OLEObject Type="Embed" ProgID="Equation.DSMT4" ShapeID="_x0000_i4871" DrawAspect="Content" ObjectID="_1791378815" r:id="rId7741"/>
        </w:object>
      </w:r>
      <w:r w:rsidRPr="00D94694">
        <w:rPr>
          <w:rFonts w:hint="cs"/>
          <w:i/>
          <w:sz w:val="23"/>
          <w:szCs w:val="23"/>
          <w:rtl/>
        </w:rPr>
        <w:t>نشان دهیم، آنگاه می‌توان معادله‌ی عدم وجود آربیتراژ (۱۱. ۱۷) را برای بازدهی هر جریان درآمدی ریسکی به صورت زیر بازنویسی کرد.</w:t>
      </w:r>
    </w:p>
    <w:p w14:paraId="28C9F099" w14:textId="77777777" w:rsidR="00411620" w:rsidRPr="00D94694" w:rsidRDefault="00411620" w:rsidP="00411620">
      <w:pPr>
        <w:bidi w:val="0"/>
        <w:spacing w:line="216" w:lineRule="auto"/>
        <w:rPr>
          <w:i/>
          <w:sz w:val="23"/>
          <w:szCs w:val="23"/>
          <w:rtl/>
        </w:rPr>
      </w:pPr>
      <w:r w:rsidRPr="00D94694">
        <w:rPr>
          <w:position w:val="-30"/>
        </w:rPr>
        <w:object w:dxaOrig="3760" w:dyaOrig="720" w14:anchorId="7CEEF532">
          <v:shape id="_x0000_i4872" type="#_x0000_t75" style="width:188.15pt;height:36.3pt" o:ole="">
            <v:imagedata r:id="rId7742" o:title=""/>
          </v:shape>
          <o:OLEObject Type="Embed" ProgID="Equation.DSMT4" ShapeID="_x0000_i4872" DrawAspect="Content" ObjectID="_1791378816" r:id="rId7743"/>
        </w:object>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Pr>
          <w:i/>
          <w:sz w:val="23"/>
          <w:szCs w:val="23"/>
          <w:rtl/>
        </w:rPr>
        <w:tab/>
      </w:r>
      <w:r w:rsidRPr="00D94694">
        <w:rPr>
          <w:i/>
          <w:sz w:val="23"/>
          <w:szCs w:val="23"/>
          <w:rtl/>
        </w:rPr>
        <w:tab/>
      </w:r>
      <w:r w:rsidRPr="00D94694">
        <w:rPr>
          <w:rFonts w:hint="cs"/>
          <w:i/>
          <w:sz w:val="23"/>
          <w:szCs w:val="23"/>
          <w:rtl/>
        </w:rPr>
        <w:t>(۱۱. ۲۵)</w:t>
      </w:r>
    </w:p>
    <w:p w14:paraId="661FF0E6" w14:textId="77777777" w:rsidR="00411620" w:rsidRPr="00D94694" w:rsidRDefault="00411620" w:rsidP="00411620">
      <w:pPr>
        <w:spacing w:line="216" w:lineRule="auto"/>
        <w:rPr>
          <w:i/>
          <w:sz w:val="23"/>
          <w:szCs w:val="23"/>
          <w:rtl/>
        </w:rPr>
      </w:pPr>
      <w:r w:rsidRPr="00D94694">
        <w:rPr>
          <w:rFonts w:hint="cs"/>
          <w:i/>
          <w:sz w:val="23"/>
          <w:szCs w:val="23"/>
          <w:rtl/>
        </w:rPr>
        <w:t>این معادله همچنین معادله‌ی بدون آربیتراژ بازدهی هر دارایی در اقتصاد بوده و عبارت آخر نیز پاداش ریسک می‌باشد.</w:t>
      </w:r>
    </w:p>
    <w:p w14:paraId="7269A728" w14:textId="77777777" w:rsidR="00411620" w:rsidRPr="00D94694" w:rsidRDefault="00411620" w:rsidP="00411620">
      <w:pPr>
        <w:spacing w:line="216" w:lineRule="auto"/>
        <w:rPr>
          <w:i/>
          <w:sz w:val="23"/>
          <w:szCs w:val="23"/>
          <w:rtl/>
        </w:rPr>
      </w:pPr>
    </w:p>
    <w:p w14:paraId="5A3E902F" w14:textId="77777777" w:rsidR="00411620" w:rsidRPr="00D94694" w:rsidRDefault="00411620" w:rsidP="00411620">
      <w:pPr>
        <w:pStyle w:val="Heading1"/>
        <w:spacing w:before="0" w:line="216" w:lineRule="auto"/>
        <w:rPr>
          <w:rFonts w:ascii="Times New Roman" w:hAnsi="Times New Roman" w:cs="B Nazanin"/>
          <w:b w:val="0"/>
          <w:i/>
          <w:sz w:val="23"/>
          <w:szCs w:val="23"/>
        </w:rPr>
      </w:pPr>
      <w:r w:rsidRPr="00D94694">
        <w:rPr>
          <w:rFonts w:ascii="Times New Roman" w:hAnsi="Times New Roman" w:cs="B Nazanin" w:hint="cs"/>
          <w:b w:val="0"/>
          <w:i/>
          <w:sz w:val="23"/>
          <w:szCs w:val="23"/>
          <w:rtl/>
        </w:rPr>
        <w:t>۱۱. ۶. ۱ قیمت‌گذاری دارایی با استفاده از مدل قیمت‌گذاری دارایی سرمایه</w:t>
      </w:r>
      <w:r w:rsidRPr="00D94694">
        <w:rPr>
          <w:rFonts w:ascii="Times New Roman" w:hAnsi="Times New Roman" w:cs="B Nazanin"/>
          <w:b w:val="0"/>
          <w:i/>
          <w:sz w:val="23"/>
          <w:szCs w:val="23"/>
          <w:rtl/>
        </w:rPr>
        <w:softHyphen/>
      </w:r>
      <w:r w:rsidRPr="00D94694">
        <w:rPr>
          <w:rFonts w:ascii="Times New Roman" w:hAnsi="Times New Roman" w:cs="B Nazanin" w:hint="cs"/>
          <w:b w:val="0"/>
          <w:i/>
          <w:sz w:val="23"/>
          <w:szCs w:val="23"/>
          <w:rtl/>
        </w:rPr>
        <w:t>ای</w:t>
      </w:r>
      <w:r w:rsidRPr="00D94694">
        <w:rPr>
          <w:rFonts w:ascii="Times New Roman" w:hAnsi="Times New Roman" w:cs="B Nazanin"/>
          <w:b w:val="0"/>
          <w:i/>
          <w:sz w:val="23"/>
          <w:szCs w:val="23"/>
          <w:rtl/>
        </w:rPr>
        <w:softHyphen/>
      </w:r>
      <w:r w:rsidRPr="00D94694">
        <w:rPr>
          <w:rFonts w:ascii="Times New Roman" w:hAnsi="Times New Roman" w:cs="B Nazanin" w:hint="cs"/>
          <w:b w:val="0"/>
          <w:i/>
          <w:sz w:val="23"/>
          <w:szCs w:val="23"/>
          <w:rtl/>
        </w:rPr>
        <w:t xml:space="preserve"> مبتنی </w:t>
      </w:r>
    </w:p>
    <w:p w14:paraId="2D2E2F38" w14:textId="77777777" w:rsidR="00411620" w:rsidRPr="00D94694" w:rsidRDefault="00411620" w:rsidP="00411620">
      <w:pPr>
        <w:pStyle w:val="Heading1"/>
        <w:spacing w:before="0" w:line="216" w:lineRule="auto"/>
        <w:rPr>
          <w:rFonts w:ascii="Times New Roman" w:hAnsi="Times New Roman" w:cs="B Nazanin"/>
          <w:b w:val="0"/>
          <w:i/>
          <w:sz w:val="23"/>
          <w:szCs w:val="23"/>
          <w:rtl/>
        </w:rPr>
      </w:pPr>
      <w:r w:rsidRPr="00D94694">
        <w:rPr>
          <w:rFonts w:ascii="Times New Roman" w:hAnsi="Times New Roman" w:cs="B Nazanin"/>
          <w:b w:val="0"/>
          <w:i/>
          <w:sz w:val="23"/>
          <w:szCs w:val="23"/>
        </w:rPr>
        <w:t xml:space="preserve">          </w:t>
      </w:r>
      <w:r w:rsidRPr="00D94694">
        <w:rPr>
          <w:rFonts w:ascii="Times New Roman" w:hAnsi="Times New Roman" w:cs="B Nazanin" w:hint="cs"/>
          <w:b w:val="0"/>
          <w:i/>
          <w:sz w:val="23"/>
          <w:szCs w:val="23"/>
          <w:rtl/>
        </w:rPr>
        <w:t xml:space="preserve"> بر</w:t>
      </w:r>
      <w:r w:rsidRPr="00D94694">
        <w:rPr>
          <w:rFonts w:ascii="Times New Roman" w:hAnsi="Times New Roman" w:cs="B Nazanin"/>
          <w:b w:val="0"/>
          <w:i/>
          <w:sz w:val="23"/>
          <w:szCs w:val="23"/>
        </w:rPr>
        <w:t xml:space="preserve"> </w:t>
      </w:r>
      <w:r w:rsidRPr="00D94694">
        <w:rPr>
          <w:rFonts w:ascii="Times New Roman" w:hAnsi="Times New Roman" w:cs="B Nazanin" w:hint="cs"/>
          <w:b w:val="0"/>
          <w:i/>
          <w:sz w:val="23"/>
          <w:szCs w:val="23"/>
          <w:rtl/>
        </w:rPr>
        <w:t xml:space="preserve"> مصرف </w:t>
      </w:r>
      <w:r w:rsidRPr="00D94694">
        <w:rPr>
          <w:rFonts w:ascii="Times New Roman" w:hAnsi="Times New Roman" w:cs="B Nazanin"/>
          <w:b w:val="0"/>
          <w:i/>
          <w:sz w:val="23"/>
          <w:szCs w:val="23"/>
        </w:rPr>
        <w:t>C-CAPM</w:t>
      </w:r>
      <w:r w:rsidRPr="00D94694">
        <w:rPr>
          <w:rStyle w:val="FootnoteReference"/>
          <w:rFonts w:ascii="Times New Roman" w:eastAsiaTheme="majorEastAsia" w:hAnsi="Times New Roman" w:cs="B Nazanin"/>
          <w:b w:val="0"/>
          <w:i/>
          <w:sz w:val="23"/>
          <w:szCs w:val="23"/>
          <w:rtl/>
        </w:rPr>
        <w:footnoteReference w:id="248"/>
      </w:r>
      <w:r w:rsidRPr="00D94694">
        <w:rPr>
          <w:rFonts w:ascii="Times New Roman" w:hAnsi="Times New Roman" w:cs="B Nazanin" w:hint="cs"/>
          <w:b w:val="0"/>
          <w:i/>
          <w:sz w:val="23"/>
          <w:szCs w:val="23"/>
          <w:rtl/>
        </w:rPr>
        <w:t xml:space="preserve">     </w:t>
      </w:r>
    </w:p>
    <w:p w14:paraId="5FD65082" w14:textId="77777777" w:rsidR="00411620" w:rsidRPr="00D94694" w:rsidRDefault="00411620" w:rsidP="00411620">
      <w:pPr>
        <w:spacing w:line="216" w:lineRule="auto"/>
        <w:rPr>
          <w:i/>
          <w:sz w:val="23"/>
          <w:szCs w:val="23"/>
          <w:rtl/>
        </w:rPr>
      </w:pPr>
      <w:r w:rsidRPr="00D94694">
        <w:rPr>
          <w:rFonts w:hint="cs"/>
          <w:i/>
          <w:sz w:val="23"/>
          <w:szCs w:val="23"/>
          <w:rtl/>
        </w:rPr>
        <w:t>معادله‌ی (۱۱. ۲۵) را معادله‌ی قیمت‌گذاری دارایی با استفاده از مدل قیمت‌گذاری دارایی-سرمایه</w:t>
      </w:r>
      <w:r w:rsidRPr="00D94694">
        <w:rPr>
          <w:i/>
          <w:sz w:val="23"/>
          <w:szCs w:val="23"/>
          <w:rtl/>
        </w:rPr>
        <w:softHyphen/>
      </w:r>
      <w:r w:rsidRPr="00D94694">
        <w:rPr>
          <w:rFonts w:hint="cs"/>
          <w:i/>
          <w:sz w:val="23"/>
          <w:szCs w:val="23"/>
          <w:rtl/>
        </w:rPr>
        <w:t xml:space="preserve"> مبتنی بر مصرف نیز نامند که ابتدا توسط بریدون</w:t>
      </w:r>
      <w:r w:rsidRPr="00D94694">
        <w:rPr>
          <w:rStyle w:val="FootnoteReference"/>
          <w:rFonts w:eastAsiaTheme="majorEastAsia"/>
          <w:i/>
          <w:sz w:val="23"/>
          <w:szCs w:val="23"/>
          <w:rtl/>
        </w:rPr>
        <w:footnoteReference w:id="249"/>
      </w:r>
      <w:r w:rsidRPr="00D94694">
        <w:rPr>
          <w:rFonts w:hint="cs"/>
          <w:i/>
          <w:sz w:val="23"/>
          <w:szCs w:val="23"/>
          <w:rtl/>
        </w:rPr>
        <w:t xml:space="preserve"> در سال ۱۹۷۹ معرفی شد. اکنون این معادله را از طریق مباحث اقتصاد کلان که در فصول قبل بدان اشاره شده بدست آورده و نشان خواهیم داد که معادله‌ی اویلر که مسیر بهینه‌ی مصرف را تعیین خواهد کرد، برای قیمت دارایی‌ها نیز بکار گرفته می‌شود. این نتایج نشان می‌دهد که مدل تعادل عمومی پویای تصادفی چارچوب تئوریکی منحصر به فردی را نه تنها برای اقتصاد کلان، بلکه اقتصاد مالی نیز فراهم آورده، و با پیوند این دو موضوع آن</w:t>
      </w:r>
      <w:r w:rsidRPr="00D94694">
        <w:rPr>
          <w:i/>
          <w:sz w:val="23"/>
          <w:szCs w:val="23"/>
          <w:rtl/>
        </w:rPr>
        <w:softHyphen/>
      </w:r>
      <w:r w:rsidRPr="00D94694">
        <w:rPr>
          <w:rFonts w:hint="cs"/>
          <w:i/>
          <w:sz w:val="23"/>
          <w:szCs w:val="23"/>
          <w:rtl/>
        </w:rPr>
        <w:t xml:space="preserve">ها را یکپارچه خواهد ساخت. </w:t>
      </w:r>
    </w:p>
    <w:p w14:paraId="3BDB6AE9" w14:textId="77777777" w:rsidR="00411620" w:rsidRPr="00D94694" w:rsidRDefault="00411620" w:rsidP="00411620">
      <w:pPr>
        <w:spacing w:line="216" w:lineRule="auto"/>
        <w:rPr>
          <w:i/>
          <w:sz w:val="23"/>
          <w:szCs w:val="23"/>
        </w:rPr>
      </w:pPr>
      <w:r w:rsidRPr="00D94694">
        <w:rPr>
          <w:rFonts w:hint="cs"/>
          <w:i/>
          <w:sz w:val="23"/>
          <w:szCs w:val="23"/>
          <w:rtl/>
        </w:rPr>
        <w:t xml:space="preserve">در فصل چهارم مسئله‌ی خانوار را با حداکثر کردن تابع مطلوبیت تنزیل شده‌ی بین‌دوره‌ای </w:t>
      </w:r>
    </w:p>
    <w:p w14:paraId="6BA144C2" w14:textId="77777777" w:rsidR="00411620" w:rsidRPr="00D94694" w:rsidRDefault="00411620" w:rsidP="00411620">
      <w:pPr>
        <w:bidi w:val="0"/>
        <w:spacing w:line="216" w:lineRule="auto"/>
        <w:rPr>
          <w:i/>
          <w:sz w:val="23"/>
          <w:szCs w:val="23"/>
          <w:rtl/>
        </w:rPr>
      </w:pPr>
      <w:r w:rsidRPr="00D94694">
        <w:rPr>
          <w:position w:val="-26"/>
        </w:rPr>
        <w:object w:dxaOrig="1600" w:dyaOrig="620" w14:anchorId="76418A14">
          <v:shape id="_x0000_i4873" type="#_x0000_t75" style="width:79.85pt;height:31.45pt" o:ole="">
            <v:imagedata r:id="rId7744" o:title=""/>
          </v:shape>
          <o:OLEObject Type="Embed" ProgID="Equation.DSMT4" ShapeID="_x0000_i4873" DrawAspect="Content" ObjectID="_1791378817" r:id="rId7745"/>
        </w:object>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Pr>
          <w:i/>
          <w:sz w:val="23"/>
          <w:szCs w:val="23"/>
          <w:rtl/>
        </w:rPr>
        <w:tab/>
      </w:r>
      <w:r w:rsidRPr="00D94694">
        <w:rPr>
          <w:i/>
          <w:sz w:val="23"/>
          <w:szCs w:val="23"/>
        </w:rPr>
        <w:tab/>
      </w:r>
      <w:r w:rsidRPr="00D94694">
        <w:rPr>
          <w:i/>
          <w:sz w:val="23"/>
          <w:szCs w:val="23"/>
        </w:rPr>
        <w:tab/>
      </w:r>
      <w:r w:rsidRPr="00D94694">
        <w:rPr>
          <w:i/>
          <w:sz w:val="23"/>
          <w:szCs w:val="23"/>
        </w:rPr>
        <w:tab/>
      </w:r>
      <w:r w:rsidRPr="00D94694">
        <w:rPr>
          <w:i/>
          <w:sz w:val="23"/>
          <w:szCs w:val="23"/>
          <w:rtl/>
        </w:rPr>
        <w:tab/>
      </w:r>
      <w:r w:rsidRPr="00D94694">
        <w:rPr>
          <w:i/>
          <w:sz w:val="23"/>
          <w:szCs w:val="23"/>
        </w:rPr>
        <w:tab/>
      </w:r>
      <w:r w:rsidRPr="00D94694">
        <w:rPr>
          <w:rFonts w:hint="cs"/>
          <w:i/>
          <w:sz w:val="23"/>
          <w:szCs w:val="23"/>
          <w:rtl/>
        </w:rPr>
        <w:t>(۱۱. ۲۶)</w:t>
      </w:r>
      <w:r w:rsidRPr="00D94694">
        <w:rPr>
          <w:rFonts w:hint="cs"/>
          <w:i/>
          <w:sz w:val="23"/>
          <w:szCs w:val="23"/>
        </w:rPr>
        <w:t xml:space="preserve"> </w:t>
      </w:r>
    </w:p>
    <w:p w14:paraId="24D7B7B2" w14:textId="77777777" w:rsidR="00411620" w:rsidRPr="00D94694" w:rsidRDefault="00411620" w:rsidP="00411620">
      <w:pPr>
        <w:spacing w:line="216" w:lineRule="auto"/>
        <w:rPr>
          <w:i/>
          <w:sz w:val="23"/>
          <w:szCs w:val="23"/>
          <w:rtl/>
        </w:rPr>
      </w:pPr>
      <w:r w:rsidRPr="00D94694">
        <w:rPr>
          <w:rFonts w:hint="cs"/>
          <w:i/>
          <w:sz w:val="23"/>
          <w:szCs w:val="23"/>
          <w:rtl/>
        </w:rPr>
        <w:t xml:space="preserve">بر حسب قید بودجه‌ی </w:t>
      </w:r>
    </w:p>
    <w:p w14:paraId="02AEECD4" w14:textId="77777777" w:rsidR="00411620" w:rsidRPr="00D94694" w:rsidRDefault="00411620" w:rsidP="00411620">
      <w:pPr>
        <w:bidi w:val="0"/>
        <w:spacing w:line="216" w:lineRule="auto"/>
        <w:rPr>
          <w:i/>
          <w:sz w:val="23"/>
          <w:szCs w:val="23"/>
          <w:rtl/>
        </w:rPr>
      </w:pPr>
      <w:r w:rsidRPr="00D94694">
        <w:rPr>
          <w:position w:val="-10"/>
        </w:rPr>
        <w:object w:dxaOrig="1760" w:dyaOrig="320" w14:anchorId="4B5B187A">
          <v:shape id="_x0000_i4874" type="#_x0000_t75" style="width:87.75pt;height:15.75pt" o:ole="">
            <v:imagedata r:id="rId7746" o:title=""/>
          </v:shape>
          <o:OLEObject Type="Embed" ProgID="Equation.DSMT4" ShapeID="_x0000_i4874" DrawAspect="Content" ObjectID="_1791378818" r:id="rId7747"/>
        </w:object>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rFonts w:hint="cs"/>
          <w:i/>
          <w:sz w:val="23"/>
          <w:szCs w:val="23"/>
          <w:rtl/>
        </w:rPr>
        <w:t>(۱۱. ۲۷)</w:t>
      </w:r>
      <w:r w:rsidRPr="00D94694">
        <w:rPr>
          <w:rFonts w:hint="cs"/>
          <w:i/>
          <w:sz w:val="23"/>
          <w:szCs w:val="23"/>
        </w:rPr>
        <w:t xml:space="preserve"> </w:t>
      </w:r>
    </w:p>
    <w:p w14:paraId="0BC0273C" w14:textId="77777777" w:rsidR="00411620" w:rsidRPr="00D94694" w:rsidRDefault="00411620" w:rsidP="00411620">
      <w:pPr>
        <w:spacing w:line="216" w:lineRule="auto"/>
        <w:rPr>
          <w:i/>
          <w:sz w:val="23"/>
          <w:szCs w:val="23"/>
          <w:rtl/>
        </w:rPr>
      </w:pPr>
      <w:r w:rsidRPr="00D94694">
        <w:rPr>
          <w:rFonts w:hint="cs"/>
          <w:i/>
          <w:sz w:val="23"/>
          <w:szCs w:val="23"/>
          <w:rtl/>
        </w:rPr>
        <w:t>بررسی کردیم که در آن</w:t>
      </w:r>
      <w:r w:rsidRPr="00D94694">
        <w:rPr>
          <w:position w:val="-10"/>
        </w:rPr>
        <w:object w:dxaOrig="240" w:dyaOrig="320" w14:anchorId="00C6D9DD">
          <v:shape id="_x0000_i4875" type="#_x0000_t75" style="width:12.1pt;height:15.75pt" o:ole="">
            <v:imagedata r:id="rId7748" o:title=""/>
          </v:shape>
          <o:OLEObject Type="Embed" ProgID="Equation.DSMT4" ShapeID="_x0000_i4875" DrawAspect="Content" ObjectID="_1791378819" r:id="rId7749"/>
        </w:object>
      </w:r>
      <w:r w:rsidRPr="00D94694">
        <w:rPr>
          <w:i/>
          <w:sz w:val="23"/>
          <w:szCs w:val="23"/>
        </w:rPr>
        <w:t xml:space="preserve"> </w:t>
      </w:r>
      <w:r w:rsidRPr="00D94694">
        <w:rPr>
          <w:rFonts w:hint="cs"/>
          <w:i/>
          <w:sz w:val="23"/>
          <w:szCs w:val="23"/>
          <w:rtl/>
        </w:rPr>
        <w:t xml:space="preserve">درآمد و </w:t>
      </w:r>
      <w:r w:rsidRPr="00D94694">
        <w:rPr>
          <w:position w:val="-10"/>
        </w:rPr>
        <w:object w:dxaOrig="240" w:dyaOrig="320" w14:anchorId="67A0A915">
          <v:shape id="_x0000_i4876" type="#_x0000_t75" style="width:12.1pt;height:15.75pt" o:ole="">
            <v:imagedata r:id="rId7750" o:title=""/>
          </v:shape>
          <o:OLEObject Type="Embed" ProgID="Equation.DSMT4" ShapeID="_x0000_i4876" DrawAspect="Content" ObjectID="_1791378820" r:id="rId7751"/>
        </w:object>
      </w:r>
      <w:r w:rsidRPr="00D94694">
        <w:rPr>
          <w:rFonts w:hint="cs"/>
          <w:i/>
          <w:sz w:val="23"/>
          <w:szCs w:val="23"/>
          <w:rtl/>
        </w:rPr>
        <w:t xml:space="preserve"> موجودی دارایی حقیقی بود. درآن فصل فرض شد که شناخت آینده قطعی است، اما اکنون فرض می‌کنیم که آینده ناشناخته است به</w:t>
      </w:r>
      <w:r w:rsidRPr="00D94694">
        <w:rPr>
          <w:i/>
          <w:sz w:val="23"/>
          <w:szCs w:val="23"/>
          <w:rtl/>
        </w:rPr>
        <w:softHyphen/>
      </w:r>
      <w:r w:rsidRPr="00D94694">
        <w:rPr>
          <w:rFonts w:hint="cs"/>
          <w:i/>
          <w:sz w:val="23"/>
          <w:szCs w:val="23"/>
          <w:rtl/>
        </w:rPr>
        <w:t>گونه</w:t>
      </w:r>
      <w:r w:rsidRPr="00D94694">
        <w:rPr>
          <w:i/>
          <w:sz w:val="23"/>
          <w:szCs w:val="23"/>
          <w:rtl/>
        </w:rPr>
        <w:softHyphen/>
      </w:r>
      <w:r w:rsidRPr="00D94694">
        <w:rPr>
          <w:rFonts w:hint="cs"/>
          <w:i/>
          <w:sz w:val="23"/>
          <w:szCs w:val="23"/>
          <w:rtl/>
        </w:rPr>
        <w:t xml:space="preserve">ای که </w:t>
      </w:r>
      <w:r w:rsidRPr="00D94694">
        <w:rPr>
          <w:position w:val="-12"/>
        </w:rPr>
        <w:object w:dxaOrig="1400" w:dyaOrig="360" w14:anchorId="19837482">
          <v:shape id="_x0000_i4877" type="#_x0000_t75" style="width:70.2pt;height:18.15pt" o:ole="">
            <v:imagedata r:id="rId7752" o:title=""/>
          </v:shape>
          <o:OLEObject Type="Embed" ProgID="Equation.DSMT4" ShapeID="_x0000_i4877" DrawAspect="Content" ObjectID="_1791378821" r:id="rId7753"/>
        </w:object>
      </w:r>
      <w:r w:rsidRPr="00D94694">
        <w:rPr>
          <w:rFonts w:hint="cs"/>
          <w:i/>
          <w:sz w:val="23"/>
          <w:szCs w:val="23"/>
          <w:rtl/>
        </w:rPr>
        <w:t xml:space="preserve"> متغیرهای تصادفی می‌باشند. بنابراین معادله‌ی (۱۱. ۲۶) را با انتظارات شرطی بر مبنای اطلاعات در دسترس در زمان</w:t>
      </w:r>
      <w:r w:rsidRPr="00D94694">
        <w:rPr>
          <w:position w:val="-6"/>
        </w:rPr>
        <w:object w:dxaOrig="139" w:dyaOrig="240" w14:anchorId="6319510D">
          <v:shape id="_x0000_i4878" type="#_x0000_t75" style="width:7.25pt;height:12.1pt" o:ole="">
            <v:imagedata r:id="rId7754" o:title=""/>
          </v:shape>
          <o:OLEObject Type="Embed" ProgID="Equation.DSMT4" ShapeID="_x0000_i4878" DrawAspect="Content" ObjectID="_1791378822" r:id="rId7755"/>
        </w:object>
      </w:r>
      <w:r w:rsidRPr="00D94694">
        <w:rPr>
          <w:i/>
          <w:sz w:val="23"/>
          <w:szCs w:val="23"/>
        </w:rPr>
        <w:t xml:space="preserve"> </w:t>
      </w:r>
      <w:r w:rsidRPr="00D94694">
        <w:rPr>
          <w:rFonts w:hint="cs"/>
          <w:i/>
          <w:sz w:val="23"/>
          <w:szCs w:val="23"/>
          <w:rtl/>
        </w:rPr>
        <w:t>جایگذاری می‌کنیم. لذا</w:t>
      </w:r>
    </w:p>
    <w:p w14:paraId="65ADCE56" w14:textId="77777777" w:rsidR="00411620" w:rsidRPr="00D94694" w:rsidRDefault="00411620" w:rsidP="00411620">
      <w:pPr>
        <w:bidi w:val="0"/>
        <w:spacing w:line="216" w:lineRule="auto"/>
        <w:rPr>
          <w:i/>
          <w:sz w:val="23"/>
          <w:szCs w:val="23"/>
          <w:rtl/>
        </w:rPr>
      </w:pPr>
      <w:r w:rsidRPr="00D94694">
        <w:rPr>
          <w:position w:val="-26"/>
        </w:rPr>
        <w:object w:dxaOrig="2040" w:dyaOrig="620" w14:anchorId="5D4757E8">
          <v:shape id="_x0000_i4879" type="#_x0000_t75" style="width:102.25pt;height:31.45pt" o:ole="">
            <v:imagedata r:id="rId7756" o:title=""/>
          </v:shape>
          <o:OLEObject Type="Embed" ProgID="Equation.DSMT4" ShapeID="_x0000_i4879" DrawAspect="Content" ObjectID="_1791378823" r:id="rId7757"/>
        </w:object>
      </w:r>
      <w:r w:rsidRPr="00D94694">
        <w:rPr>
          <w:i/>
          <w:sz w:val="23"/>
          <w:szCs w:val="23"/>
        </w:rPr>
        <w:tab/>
      </w:r>
      <w:r w:rsidRPr="00D94694">
        <w:rPr>
          <w:i/>
          <w:sz w:val="23"/>
          <w:szCs w:val="23"/>
        </w:rPr>
        <w:tab/>
      </w:r>
      <w:r w:rsidRPr="00D94694">
        <w:rPr>
          <w:i/>
          <w:sz w:val="23"/>
          <w:szCs w:val="23"/>
        </w:rPr>
        <w:tab/>
      </w:r>
      <w:r w:rsidRPr="00D94694">
        <w:rPr>
          <w:i/>
          <w:sz w:val="23"/>
          <w:szCs w:val="23"/>
          <w:rtl/>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Pr>
          <w:i/>
          <w:sz w:val="23"/>
          <w:szCs w:val="23"/>
          <w:rtl/>
        </w:rPr>
        <w:tab/>
      </w:r>
      <w:r w:rsidRPr="00D94694">
        <w:rPr>
          <w:i/>
          <w:sz w:val="23"/>
          <w:szCs w:val="23"/>
          <w:rtl/>
        </w:rPr>
        <w:tab/>
      </w:r>
      <w:r w:rsidRPr="00D94694">
        <w:rPr>
          <w:i/>
          <w:sz w:val="23"/>
          <w:szCs w:val="23"/>
          <w:rtl/>
        </w:rPr>
        <w:tab/>
      </w:r>
      <w:r w:rsidRPr="00D94694">
        <w:rPr>
          <w:i/>
          <w:sz w:val="23"/>
          <w:szCs w:val="23"/>
        </w:rPr>
        <w:tab/>
      </w:r>
      <w:r w:rsidRPr="00D94694">
        <w:rPr>
          <w:rFonts w:hint="cs"/>
          <w:i/>
          <w:sz w:val="23"/>
          <w:szCs w:val="23"/>
          <w:rtl/>
        </w:rPr>
        <w:t>(۱۱. ۲۸)</w:t>
      </w:r>
      <w:r w:rsidRPr="00D94694">
        <w:rPr>
          <w:rFonts w:hint="cs"/>
          <w:i/>
          <w:sz w:val="23"/>
          <w:szCs w:val="23"/>
        </w:rPr>
        <w:t xml:space="preserve"> </w:t>
      </w:r>
    </w:p>
    <w:p w14:paraId="57D1AA26" w14:textId="77777777" w:rsidR="00411620" w:rsidRPr="00D94694" w:rsidRDefault="00411620" w:rsidP="00411620">
      <w:pPr>
        <w:spacing w:line="216" w:lineRule="auto"/>
        <w:rPr>
          <w:i/>
          <w:sz w:val="23"/>
          <w:szCs w:val="23"/>
          <w:rtl/>
        </w:rPr>
      </w:pPr>
      <w:r w:rsidRPr="00D94694">
        <w:rPr>
          <w:rFonts w:hint="cs"/>
          <w:i/>
          <w:sz w:val="23"/>
          <w:szCs w:val="23"/>
          <w:rtl/>
        </w:rPr>
        <w:t>قبلاً مسئله</w:t>
      </w:r>
      <w:r w:rsidRPr="00D94694">
        <w:rPr>
          <w:i/>
          <w:sz w:val="23"/>
          <w:szCs w:val="23"/>
          <w:rtl/>
        </w:rPr>
        <w:softHyphen/>
      </w:r>
      <w:r w:rsidRPr="00D94694">
        <w:rPr>
          <w:rFonts w:hint="cs"/>
          <w:i/>
          <w:sz w:val="23"/>
          <w:szCs w:val="23"/>
          <w:rtl/>
        </w:rPr>
        <w:t>ی بهینه</w:t>
      </w:r>
      <w:r w:rsidRPr="00D94694">
        <w:rPr>
          <w:i/>
          <w:sz w:val="23"/>
          <w:szCs w:val="23"/>
          <w:rtl/>
        </w:rPr>
        <w:softHyphen/>
      </w:r>
      <w:r w:rsidRPr="00D94694">
        <w:rPr>
          <w:rFonts w:hint="cs"/>
          <w:i/>
          <w:sz w:val="23"/>
          <w:szCs w:val="23"/>
          <w:rtl/>
        </w:rPr>
        <w:t xml:space="preserve">یابی پویا را با استفاده از ضریب لاگرانژ حل نمودیم. امّا در شرایطی که مسئله‌ی مورد بررسی تصادفی است، ضرایب لاگرانژ نیز متغیرهای تصادفی خواهند بود. در نتیجه معادله‌ی اویلر بر حسب انتظارات شرطی از ضرب نرخ تغییر در ضرایب لاگرانژ و </w:t>
      </w:r>
      <w:r w:rsidRPr="00D94694">
        <w:rPr>
          <w:position w:val="-10"/>
        </w:rPr>
        <w:object w:dxaOrig="320" w:dyaOrig="320" w14:anchorId="1504469C">
          <v:shape id="_x0000_i4880" type="#_x0000_t75" style="width:15.75pt;height:15.75pt" o:ole="">
            <v:imagedata r:id="rId7758" o:title=""/>
          </v:shape>
          <o:OLEObject Type="Embed" ProgID="Equation.DSMT4" ShapeID="_x0000_i4880" DrawAspect="Content" ObjectID="_1791378824" r:id="rId7759"/>
        </w:object>
      </w:r>
      <w:r w:rsidRPr="00D94694">
        <w:rPr>
          <w:rFonts w:hint="cs"/>
          <w:i/>
          <w:sz w:val="23"/>
          <w:szCs w:val="23"/>
          <w:rtl/>
        </w:rPr>
        <w:t xml:space="preserve"> بدست خواهد آمد، و لذا </w:t>
      </w:r>
      <w:r w:rsidRPr="00D94694">
        <w:rPr>
          <w:rFonts w:hint="cs"/>
          <w:i/>
          <w:sz w:val="23"/>
          <w:szCs w:val="23"/>
          <w:rtl/>
        </w:rPr>
        <w:lastRenderedPageBreak/>
        <w:t>قادر نیستیم مطلوبیت نهایی مصرف را در ضریب لاگرانژ جایگزین نموده و آنرا برای مصرف حل کنیم. بنابراین بجای آن روش برنامه</w:t>
      </w:r>
      <w:r w:rsidRPr="00D94694">
        <w:rPr>
          <w:i/>
          <w:sz w:val="23"/>
          <w:szCs w:val="23"/>
          <w:rtl/>
        </w:rPr>
        <w:softHyphen/>
      </w:r>
      <w:r w:rsidRPr="00D94694">
        <w:rPr>
          <w:rFonts w:hint="cs"/>
          <w:i/>
          <w:sz w:val="23"/>
          <w:szCs w:val="23"/>
          <w:rtl/>
        </w:rPr>
        <w:t>ریزی پویای تصادفی را بکار خواهیم گرفت. ابتدا معادله‌ی (۱۱. ۲۸) را برای دو دوره بازنویسی می‌کنیم</w:t>
      </w:r>
    </w:p>
    <w:p w14:paraId="21795A75" w14:textId="77777777" w:rsidR="00411620" w:rsidRPr="00D94694" w:rsidRDefault="00411620" w:rsidP="00411620">
      <w:pPr>
        <w:bidi w:val="0"/>
        <w:spacing w:line="216" w:lineRule="auto"/>
        <w:rPr>
          <w:i/>
          <w:sz w:val="23"/>
          <w:szCs w:val="23"/>
          <w:rtl/>
        </w:rPr>
      </w:pPr>
      <w:r w:rsidRPr="00D94694">
        <w:rPr>
          <w:position w:val="-12"/>
        </w:rPr>
        <w:object w:dxaOrig="2060" w:dyaOrig="360" w14:anchorId="601594A7">
          <v:shape id="_x0000_i4881" type="#_x0000_t75" style="width:102.85pt;height:18.15pt" o:ole="">
            <v:imagedata r:id="rId7760" o:title=""/>
          </v:shape>
          <o:OLEObject Type="Embed" ProgID="Equation.DSMT4" ShapeID="_x0000_i4881" DrawAspect="Content" ObjectID="_1791378825" r:id="rId7761"/>
        </w:object>
      </w:r>
      <w:r w:rsidRPr="00D94694">
        <w:rPr>
          <w:rFonts w:hint="cs"/>
          <w:i/>
          <w:sz w:val="23"/>
          <w:szCs w:val="23"/>
          <w:rtl/>
        </w:rPr>
        <w:t xml:space="preserve"> </w:t>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tl/>
        </w:rPr>
        <w:tab/>
      </w:r>
      <w:r>
        <w:rPr>
          <w:i/>
          <w:sz w:val="23"/>
          <w:szCs w:val="23"/>
          <w:rtl/>
        </w:rPr>
        <w:tab/>
      </w:r>
      <w:r w:rsidRPr="00D94694">
        <w:rPr>
          <w:i/>
          <w:sz w:val="23"/>
          <w:szCs w:val="23"/>
        </w:rPr>
        <w:tab/>
      </w:r>
      <w:r w:rsidRPr="00D94694">
        <w:rPr>
          <w:rFonts w:hint="cs"/>
          <w:i/>
          <w:sz w:val="23"/>
          <w:szCs w:val="23"/>
          <w:rtl/>
        </w:rPr>
        <w:t>(۱۱. ۲۹)</w:t>
      </w:r>
      <w:r w:rsidRPr="00D94694">
        <w:rPr>
          <w:rFonts w:hint="cs"/>
          <w:i/>
          <w:sz w:val="23"/>
          <w:szCs w:val="23"/>
        </w:rPr>
        <w:t xml:space="preserve"> </w:t>
      </w:r>
    </w:p>
    <w:p w14:paraId="47900E80" w14:textId="77777777" w:rsidR="00411620" w:rsidRPr="00D94694" w:rsidRDefault="00411620" w:rsidP="00411620">
      <w:pPr>
        <w:spacing w:line="216" w:lineRule="auto"/>
        <w:rPr>
          <w:i/>
          <w:sz w:val="23"/>
          <w:szCs w:val="23"/>
          <w:rtl/>
        </w:rPr>
      </w:pPr>
      <w:r w:rsidRPr="00D94694">
        <w:rPr>
          <w:rFonts w:hint="cs"/>
          <w:i/>
          <w:sz w:val="23"/>
          <w:szCs w:val="23"/>
          <w:rtl/>
        </w:rPr>
        <w:t>بطورکلی می‌توان از تابع مطلوبیت زمان-تفکیک ناپذیر استفاده نمود که درآن</w:t>
      </w:r>
    </w:p>
    <w:p w14:paraId="7C890FBA" w14:textId="77777777" w:rsidR="00411620" w:rsidRPr="00D94694" w:rsidRDefault="00411620" w:rsidP="00411620">
      <w:pPr>
        <w:bidi w:val="0"/>
        <w:spacing w:line="216" w:lineRule="auto"/>
        <w:rPr>
          <w:i/>
          <w:sz w:val="23"/>
          <w:szCs w:val="23"/>
        </w:rPr>
      </w:pPr>
      <w:r w:rsidRPr="00D94694">
        <w:rPr>
          <w:position w:val="-14"/>
        </w:rPr>
        <w:object w:dxaOrig="2160" w:dyaOrig="380" w14:anchorId="36F4BD89">
          <v:shape id="_x0000_i4882" type="#_x0000_t75" style="width:108.3pt;height:18.75pt" o:ole="">
            <v:imagedata r:id="rId7762" o:title=""/>
          </v:shape>
          <o:OLEObject Type="Embed" ProgID="Equation.DSMT4" ShapeID="_x0000_i4882" DrawAspect="Content" ObjectID="_1791378826" r:id="rId7763"/>
        </w:object>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rFonts w:hint="cs"/>
          <w:i/>
          <w:sz w:val="23"/>
          <w:szCs w:val="23"/>
          <w:rtl/>
        </w:rPr>
        <w:t xml:space="preserve"> </w:t>
      </w:r>
    </w:p>
    <w:p w14:paraId="312D3A7F" w14:textId="77777777" w:rsidR="00411620" w:rsidRPr="00D94694" w:rsidRDefault="00411620" w:rsidP="00411620">
      <w:pPr>
        <w:spacing w:line="216" w:lineRule="auto"/>
        <w:rPr>
          <w:i/>
          <w:sz w:val="23"/>
          <w:szCs w:val="23"/>
          <w:rtl/>
        </w:rPr>
      </w:pPr>
      <w:r w:rsidRPr="00D94694">
        <w:rPr>
          <w:rFonts w:hint="cs"/>
          <w:i/>
          <w:sz w:val="23"/>
          <w:szCs w:val="23"/>
          <w:rtl/>
        </w:rPr>
        <w:t>مزیت استفاده از این تابع متمایز کردن رفتار ریسک از زمان است.</w:t>
      </w:r>
      <w:r w:rsidRPr="00D94694">
        <w:rPr>
          <w:rStyle w:val="FootnoteReference"/>
          <w:rFonts w:eastAsiaTheme="majorEastAsia"/>
          <w:i/>
          <w:sz w:val="23"/>
          <w:szCs w:val="23"/>
          <w:rtl/>
        </w:rPr>
        <w:footnoteReference w:id="250"/>
      </w:r>
      <w:r w:rsidRPr="00D94694">
        <w:rPr>
          <w:rFonts w:hint="cs"/>
          <w:i/>
          <w:sz w:val="23"/>
          <w:szCs w:val="23"/>
          <w:rtl/>
        </w:rPr>
        <w:t xml:space="preserve"> برای سادگی، و در ادامه مطلوبیت زمان- تفکیک</w:t>
      </w:r>
      <w:r w:rsidRPr="00D94694">
        <w:rPr>
          <w:i/>
          <w:sz w:val="23"/>
          <w:szCs w:val="23"/>
          <w:rtl/>
        </w:rPr>
        <w:softHyphen/>
      </w:r>
      <w:r w:rsidRPr="00D94694">
        <w:rPr>
          <w:rFonts w:hint="cs"/>
          <w:i/>
          <w:sz w:val="23"/>
          <w:szCs w:val="23"/>
          <w:rtl/>
        </w:rPr>
        <w:t>پذیر معادله‌ی (۱۱. ۲۹) را در نظر گرفته و فرض می‌کنیم که افق زمانی در معادله‌ی (۱۱. ۲۸) بی</w:t>
      </w:r>
      <w:r w:rsidRPr="00D94694">
        <w:rPr>
          <w:i/>
          <w:sz w:val="23"/>
          <w:szCs w:val="23"/>
          <w:rtl/>
        </w:rPr>
        <w:softHyphen/>
      </w:r>
      <w:r w:rsidRPr="00D94694">
        <w:rPr>
          <w:rFonts w:hint="cs"/>
          <w:i/>
          <w:sz w:val="23"/>
          <w:szCs w:val="23"/>
          <w:rtl/>
        </w:rPr>
        <w:t>نهایت است. تجدید فرمول</w:t>
      </w:r>
      <w:r w:rsidRPr="00D94694">
        <w:rPr>
          <w:i/>
          <w:sz w:val="23"/>
          <w:szCs w:val="23"/>
          <w:rtl/>
        </w:rPr>
        <w:softHyphen/>
      </w:r>
      <w:r w:rsidRPr="00D94694">
        <w:rPr>
          <w:rFonts w:hint="cs"/>
          <w:i/>
          <w:sz w:val="23"/>
          <w:szCs w:val="23"/>
          <w:rtl/>
        </w:rPr>
        <w:t xml:space="preserve">بندی معادله‌ی (۱۱. ۲۸) برای افق زمانی محدود </w:t>
      </w:r>
      <w:r w:rsidRPr="00025957">
        <w:rPr>
          <w:position w:val="-4"/>
        </w:rPr>
        <w:object w:dxaOrig="240" w:dyaOrig="240" w14:anchorId="6617F5B4">
          <v:shape id="_x0000_i4883" type="#_x0000_t75" style="width:12.1pt;height:12.1pt" o:ole="">
            <v:imagedata r:id="rId7764" o:title=""/>
          </v:shape>
          <o:OLEObject Type="Embed" ProgID="Equation.DSMT4" ShapeID="_x0000_i4883" DrawAspect="Content" ObjectID="_1791378827" r:id="rId7765"/>
        </w:object>
      </w:r>
      <w:r w:rsidRPr="00D94694">
        <w:rPr>
          <w:rFonts w:hint="cs"/>
          <w:i/>
          <w:sz w:val="23"/>
          <w:szCs w:val="23"/>
          <w:rtl/>
        </w:rPr>
        <w:t xml:space="preserve"> عبارت است از</w:t>
      </w:r>
    </w:p>
    <w:p w14:paraId="2F29F194" w14:textId="77777777" w:rsidR="00411620" w:rsidRPr="00D94694" w:rsidRDefault="00411620" w:rsidP="00411620">
      <w:pPr>
        <w:bidi w:val="0"/>
        <w:spacing w:line="216" w:lineRule="auto"/>
        <w:rPr>
          <w:i/>
          <w:sz w:val="23"/>
          <w:szCs w:val="23"/>
        </w:rPr>
      </w:pPr>
      <w:r w:rsidRPr="00D94694">
        <w:rPr>
          <w:position w:val="-26"/>
        </w:rPr>
        <w:object w:dxaOrig="3480" w:dyaOrig="620" w14:anchorId="4039D86D">
          <v:shape id="_x0000_i4884" type="#_x0000_t75" style="width:174.25pt;height:31.45pt" o:ole="">
            <v:imagedata r:id="rId7766" o:title=""/>
          </v:shape>
          <o:OLEObject Type="Embed" ProgID="Equation.DSMT4" ShapeID="_x0000_i4884" DrawAspect="Content" ObjectID="_1791378828" r:id="rId7767"/>
        </w:object>
      </w:r>
      <w:r w:rsidRPr="00D94694">
        <w:rPr>
          <w:i/>
          <w:sz w:val="23"/>
          <w:szCs w:val="23"/>
          <w:rtl/>
        </w:rPr>
        <w:tab/>
      </w:r>
      <w:r w:rsidRPr="00D94694">
        <w:rPr>
          <w:i/>
          <w:sz w:val="23"/>
          <w:szCs w:val="23"/>
          <w:rtl/>
        </w:rPr>
        <w:tab/>
      </w:r>
      <w:r w:rsidRPr="00D94694">
        <w:rPr>
          <w:i/>
          <w:sz w:val="23"/>
          <w:szCs w:val="23"/>
          <w:rtl/>
        </w:rPr>
        <w:tab/>
      </w:r>
      <w:r>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rFonts w:hint="cs"/>
          <w:i/>
          <w:sz w:val="23"/>
          <w:szCs w:val="23"/>
          <w:rtl/>
        </w:rPr>
        <w:t>(۱۱. ۳۰)</w:t>
      </w:r>
    </w:p>
    <w:p w14:paraId="772593A1" w14:textId="77777777" w:rsidR="00411620" w:rsidRPr="00D94694" w:rsidRDefault="00411620" w:rsidP="00411620">
      <w:pPr>
        <w:spacing w:line="216" w:lineRule="auto"/>
        <w:rPr>
          <w:i/>
          <w:sz w:val="23"/>
          <w:szCs w:val="23"/>
          <w:rtl/>
        </w:rPr>
      </w:pPr>
      <w:r w:rsidRPr="00D94694">
        <w:rPr>
          <w:rFonts w:hint="cs"/>
          <w:i/>
          <w:sz w:val="23"/>
          <w:szCs w:val="23"/>
          <w:rtl/>
        </w:rPr>
        <w:t>که در آن</w:t>
      </w:r>
      <w:r w:rsidRPr="00D94694">
        <w:rPr>
          <w:position w:val="-12"/>
        </w:rPr>
        <w:object w:dxaOrig="660" w:dyaOrig="360" w14:anchorId="0630A5DE">
          <v:shape id="_x0000_i4885" type="#_x0000_t75" style="width:32.65pt;height:18.15pt" o:ole="">
            <v:imagedata r:id="rId7768" o:title=""/>
          </v:shape>
          <o:OLEObject Type="Embed" ProgID="Equation.DSMT4" ShapeID="_x0000_i4885" DrawAspect="Content" ObjectID="_1791378829" r:id="rId7769"/>
        </w:object>
      </w:r>
      <w:r w:rsidRPr="00D94694">
        <w:rPr>
          <w:rFonts w:hint="cs"/>
          <w:i/>
          <w:sz w:val="23"/>
          <w:szCs w:val="23"/>
          <w:rtl/>
        </w:rPr>
        <w:t xml:space="preserve"> انگیزه‌ی به ارث گذاشتن دارایی است. مدل شناخته شده‌ی قیمت‌گذاری دارایی</w:t>
      </w:r>
      <w:r w:rsidRPr="00D94694">
        <w:rPr>
          <w:i/>
          <w:sz w:val="23"/>
          <w:szCs w:val="23"/>
        </w:rPr>
        <w:t xml:space="preserve">- </w:t>
      </w:r>
    </w:p>
    <w:p w14:paraId="779D71A9" w14:textId="77777777" w:rsidR="00411620" w:rsidRPr="00D94694" w:rsidRDefault="00411620" w:rsidP="00411620">
      <w:pPr>
        <w:spacing w:line="216" w:lineRule="auto"/>
        <w:rPr>
          <w:i/>
          <w:sz w:val="23"/>
          <w:szCs w:val="23"/>
          <w:rtl/>
        </w:rPr>
      </w:pPr>
      <w:r w:rsidRPr="00D94694">
        <w:rPr>
          <w:rFonts w:hint="cs"/>
          <w:i/>
          <w:sz w:val="23"/>
          <w:szCs w:val="23"/>
          <w:rtl/>
        </w:rPr>
        <w:t>سرمایه</w:t>
      </w:r>
      <w:r w:rsidRPr="00D94694">
        <w:rPr>
          <w:i/>
          <w:sz w:val="23"/>
          <w:szCs w:val="23"/>
        </w:rPr>
        <w:softHyphen/>
      </w:r>
      <w:r w:rsidRPr="00D94694">
        <w:rPr>
          <w:rFonts w:hint="cs"/>
          <w:i/>
          <w:sz w:val="23"/>
          <w:szCs w:val="23"/>
          <w:rtl/>
        </w:rPr>
        <w:t>ی شارپ</w:t>
      </w:r>
      <w:r w:rsidRPr="00D94694">
        <w:rPr>
          <w:rStyle w:val="FootnoteReference"/>
          <w:rFonts w:eastAsiaTheme="majorEastAsia"/>
          <w:i/>
          <w:sz w:val="23"/>
          <w:szCs w:val="23"/>
          <w:rtl/>
        </w:rPr>
        <w:footnoteReference w:id="251"/>
      </w:r>
      <w:r w:rsidRPr="00D94694">
        <w:rPr>
          <w:rFonts w:hint="cs"/>
          <w:i/>
          <w:sz w:val="23"/>
          <w:szCs w:val="23"/>
          <w:rtl/>
        </w:rPr>
        <w:t>، لینتنر</w:t>
      </w:r>
      <w:r w:rsidRPr="00D94694">
        <w:rPr>
          <w:rStyle w:val="FootnoteReference"/>
          <w:rFonts w:eastAsiaTheme="majorEastAsia"/>
          <w:i/>
          <w:sz w:val="23"/>
          <w:szCs w:val="23"/>
          <w:rtl/>
        </w:rPr>
        <w:footnoteReference w:id="252"/>
      </w:r>
      <w:r w:rsidRPr="00D94694">
        <w:rPr>
          <w:rFonts w:hint="cs"/>
          <w:i/>
          <w:sz w:val="23"/>
          <w:szCs w:val="23"/>
          <w:rtl/>
        </w:rPr>
        <w:t xml:space="preserve"> و موسین</w:t>
      </w:r>
      <w:r w:rsidRPr="00D94694">
        <w:rPr>
          <w:rStyle w:val="FootnoteReference"/>
          <w:rFonts w:eastAsiaTheme="majorEastAsia"/>
          <w:i/>
          <w:sz w:val="23"/>
          <w:szCs w:val="23"/>
          <w:rtl/>
        </w:rPr>
        <w:footnoteReference w:id="253"/>
      </w:r>
      <w:r w:rsidRPr="00D94694">
        <w:rPr>
          <w:rFonts w:hint="cs"/>
          <w:i/>
          <w:sz w:val="23"/>
          <w:szCs w:val="23"/>
          <w:rtl/>
        </w:rPr>
        <w:t xml:space="preserve"> حالت خاص دیگری از معادله‌ی (۱۱. ۳۰) است. به عبارت دیگر هدف از مدل قیمت‌گذاری دارایی سرمایه</w:t>
      </w:r>
      <w:r w:rsidRPr="00D94694">
        <w:rPr>
          <w:i/>
          <w:sz w:val="23"/>
          <w:szCs w:val="23"/>
          <w:rtl/>
        </w:rPr>
        <w:softHyphen/>
      </w:r>
      <w:r w:rsidRPr="00D94694">
        <w:rPr>
          <w:rFonts w:hint="cs"/>
          <w:i/>
          <w:sz w:val="23"/>
          <w:szCs w:val="23"/>
          <w:rtl/>
        </w:rPr>
        <w:t>ای، حداکثر کردن ارزش موجودی دارایی مالی در دوره‌ی زمانی خاصی در آینده است و لذا از مصرف واسطه چشم پوشی می‌کند.</w:t>
      </w:r>
    </w:p>
    <w:p w14:paraId="6E1E4911" w14:textId="77777777" w:rsidR="00411620" w:rsidRPr="00D94694" w:rsidRDefault="00411620" w:rsidP="00411620">
      <w:pPr>
        <w:spacing w:line="216" w:lineRule="auto"/>
        <w:rPr>
          <w:i/>
          <w:sz w:val="23"/>
          <w:szCs w:val="23"/>
        </w:rPr>
      </w:pPr>
    </w:p>
    <w:p w14:paraId="1AE607F1" w14:textId="77777777" w:rsidR="00411620" w:rsidRPr="00D94694" w:rsidRDefault="00411620" w:rsidP="00411620">
      <w:pPr>
        <w:spacing w:line="216" w:lineRule="auto"/>
        <w:rPr>
          <w:bCs/>
          <w:i/>
          <w:sz w:val="23"/>
          <w:szCs w:val="23"/>
          <w:rtl/>
        </w:rPr>
      </w:pPr>
      <w:r w:rsidRPr="00D94694">
        <w:rPr>
          <w:rFonts w:hint="cs"/>
          <w:bCs/>
          <w:i/>
          <w:sz w:val="23"/>
          <w:szCs w:val="23"/>
          <w:rtl/>
        </w:rPr>
        <w:t>راه حل برنامه</w:t>
      </w:r>
      <w:r w:rsidRPr="00D94694">
        <w:rPr>
          <w:bCs/>
          <w:i/>
          <w:sz w:val="23"/>
          <w:szCs w:val="23"/>
          <w:rtl/>
        </w:rPr>
        <w:softHyphen/>
      </w:r>
      <w:r w:rsidRPr="00D94694">
        <w:rPr>
          <w:rFonts w:hint="cs"/>
          <w:bCs/>
          <w:i/>
          <w:sz w:val="23"/>
          <w:szCs w:val="23"/>
          <w:rtl/>
        </w:rPr>
        <w:t>ریزی پویای تصادفی</w:t>
      </w:r>
    </w:p>
    <w:p w14:paraId="05CB5849" w14:textId="77777777" w:rsidR="00411620" w:rsidRPr="00D94694" w:rsidRDefault="00411620" w:rsidP="00411620">
      <w:pPr>
        <w:spacing w:line="216" w:lineRule="auto"/>
        <w:rPr>
          <w:i/>
          <w:sz w:val="23"/>
          <w:szCs w:val="23"/>
          <w:rtl/>
        </w:rPr>
      </w:pPr>
      <w:r w:rsidRPr="00D94694">
        <w:rPr>
          <w:rFonts w:hint="cs"/>
          <w:i/>
          <w:sz w:val="23"/>
          <w:szCs w:val="23"/>
          <w:rtl/>
        </w:rPr>
        <w:t xml:space="preserve"> مسئله</w:t>
      </w:r>
      <w:r w:rsidRPr="00D94694">
        <w:rPr>
          <w:i/>
          <w:sz w:val="23"/>
          <w:szCs w:val="23"/>
          <w:rtl/>
        </w:rPr>
        <w:softHyphen/>
      </w:r>
      <w:r w:rsidRPr="00D94694">
        <w:rPr>
          <w:rFonts w:hint="cs"/>
          <w:i/>
          <w:sz w:val="23"/>
          <w:szCs w:val="23"/>
          <w:rtl/>
        </w:rPr>
        <w:t>ی مورد بررسی عبارت است از حداکثر کردن معادله‌ی (۱۱. ۲۹) بر حسب قید پویای معادله‌ی (۱۱. ۲۷). شرط مرتبه اول را می‌توان از دیفرانسیل نسبت به</w:t>
      </w:r>
      <w:r w:rsidRPr="00D94694">
        <w:rPr>
          <w:position w:val="-10"/>
        </w:rPr>
        <w:object w:dxaOrig="200" w:dyaOrig="320" w14:anchorId="1357E814">
          <v:shape id="_x0000_i4886" type="#_x0000_t75" style="width:10.3pt;height:15.75pt" o:ole="">
            <v:imagedata r:id="rId7770" o:title=""/>
          </v:shape>
          <o:OLEObject Type="Embed" ProgID="Equation.DSMT4" ShapeID="_x0000_i4886" DrawAspect="Content" ObjectID="_1791378830" r:id="rId7771"/>
        </w:object>
      </w:r>
      <w:r w:rsidRPr="00D94694">
        <w:rPr>
          <w:i/>
          <w:sz w:val="23"/>
          <w:szCs w:val="23"/>
        </w:rPr>
        <w:t xml:space="preserve"> </w:t>
      </w:r>
      <w:r w:rsidRPr="00D94694">
        <w:rPr>
          <w:rFonts w:hint="cs"/>
          <w:i/>
          <w:sz w:val="23"/>
          <w:szCs w:val="23"/>
          <w:rtl/>
        </w:rPr>
        <w:t>بدست آورد. لذا</w:t>
      </w:r>
    </w:p>
    <w:p w14:paraId="650690AE" w14:textId="77777777" w:rsidR="00411620" w:rsidRPr="00D94694" w:rsidRDefault="00411620" w:rsidP="00411620">
      <w:pPr>
        <w:bidi w:val="0"/>
        <w:spacing w:line="216" w:lineRule="auto"/>
        <w:rPr>
          <w:i/>
          <w:sz w:val="23"/>
          <w:szCs w:val="23"/>
          <w:rtl/>
        </w:rPr>
      </w:pPr>
      <w:r w:rsidRPr="00D94694">
        <w:rPr>
          <w:position w:val="-30"/>
        </w:rPr>
        <w:object w:dxaOrig="2640" w:dyaOrig="700" w14:anchorId="2E6F041C">
          <v:shape id="_x0000_i4887" type="#_x0000_t75" style="width:132.5pt;height:35.1pt" o:ole="">
            <v:imagedata r:id="rId7772" o:title=""/>
          </v:shape>
          <o:OLEObject Type="Embed" ProgID="Equation.DSMT4" ShapeID="_x0000_i4887" DrawAspect="Content" ObjectID="_1791378831" r:id="rId7773"/>
        </w:object>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Pr>
          <w:i/>
          <w:sz w:val="23"/>
          <w:szCs w:val="23"/>
          <w:rtl/>
        </w:rPr>
        <w:tab/>
      </w:r>
      <w:r w:rsidRPr="00D94694">
        <w:rPr>
          <w:i/>
          <w:sz w:val="23"/>
          <w:szCs w:val="23"/>
        </w:rPr>
        <w:tab/>
      </w:r>
      <w:r w:rsidRPr="00D94694">
        <w:rPr>
          <w:i/>
          <w:sz w:val="23"/>
          <w:szCs w:val="23"/>
        </w:rPr>
        <w:tab/>
      </w:r>
      <w:r w:rsidRPr="00D94694">
        <w:rPr>
          <w:i/>
          <w:sz w:val="23"/>
          <w:szCs w:val="23"/>
          <w:rtl/>
        </w:rPr>
        <w:tab/>
      </w:r>
      <w:r w:rsidRPr="00D94694">
        <w:rPr>
          <w:i/>
          <w:sz w:val="23"/>
          <w:szCs w:val="23"/>
        </w:rPr>
        <w:tab/>
      </w:r>
      <w:r w:rsidRPr="00D94694">
        <w:rPr>
          <w:rFonts w:hint="cs"/>
          <w:i/>
          <w:sz w:val="23"/>
          <w:szCs w:val="23"/>
          <w:rtl/>
        </w:rPr>
        <w:t>(۱۱. ۳۱)</w:t>
      </w:r>
      <w:r w:rsidRPr="00D94694">
        <w:rPr>
          <w:rFonts w:hint="cs"/>
          <w:i/>
          <w:sz w:val="23"/>
          <w:szCs w:val="23"/>
        </w:rPr>
        <w:t xml:space="preserve"> </w:t>
      </w:r>
    </w:p>
    <w:p w14:paraId="47E94AD6" w14:textId="77777777" w:rsidR="00411620" w:rsidRPr="00D94694" w:rsidRDefault="00411620" w:rsidP="00411620">
      <w:pPr>
        <w:spacing w:line="216" w:lineRule="auto"/>
        <w:rPr>
          <w:i/>
          <w:sz w:val="23"/>
          <w:szCs w:val="23"/>
          <w:rtl/>
        </w:rPr>
      </w:pPr>
      <w:r w:rsidRPr="00D94694">
        <w:rPr>
          <w:rFonts w:hint="cs"/>
          <w:i/>
          <w:sz w:val="23"/>
          <w:szCs w:val="23"/>
          <w:rtl/>
        </w:rPr>
        <w:t>و</w:t>
      </w:r>
    </w:p>
    <w:p w14:paraId="5BE8D599" w14:textId="77777777" w:rsidR="00411620" w:rsidRPr="00D94694" w:rsidRDefault="00411620" w:rsidP="00411620">
      <w:pPr>
        <w:bidi w:val="0"/>
        <w:spacing w:line="216" w:lineRule="auto"/>
        <w:rPr>
          <w:i/>
          <w:sz w:val="23"/>
          <w:szCs w:val="23"/>
        </w:rPr>
      </w:pPr>
      <w:r w:rsidRPr="00D94694">
        <w:rPr>
          <w:position w:val="-28"/>
        </w:rPr>
        <w:object w:dxaOrig="1700" w:dyaOrig="639" w14:anchorId="73FD6C87">
          <v:shape id="_x0000_i4888" type="#_x0000_t75" style="width:85.3pt;height:32.05pt" o:ole="">
            <v:imagedata r:id="rId7774" o:title=""/>
          </v:shape>
          <o:OLEObject Type="Embed" ProgID="Equation.DSMT4" ShapeID="_x0000_i4888" DrawAspect="Content" ObjectID="_1791378832" r:id="rId7775"/>
        </w:object>
      </w:r>
    </w:p>
    <w:p w14:paraId="0E5730F7" w14:textId="77777777" w:rsidR="00411620" w:rsidRPr="00D94694" w:rsidRDefault="00411620" w:rsidP="00411620">
      <w:pPr>
        <w:spacing w:line="216" w:lineRule="auto"/>
        <w:rPr>
          <w:i/>
          <w:sz w:val="23"/>
          <w:szCs w:val="23"/>
          <w:rtl/>
        </w:rPr>
      </w:pPr>
      <w:r w:rsidRPr="00D94694">
        <w:rPr>
          <w:rFonts w:hint="cs"/>
          <w:i/>
          <w:sz w:val="23"/>
          <w:szCs w:val="23"/>
          <w:rtl/>
        </w:rPr>
        <w:t xml:space="preserve">و چون </w:t>
      </w:r>
    </w:p>
    <w:p w14:paraId="41FE3A2A" w14:textId="77777777" w:rsidR="00411620" w:rsidRPr="00D94694" w:rsidRDefault="00411620" w:rsidP="00411620">
      <w:pPr>
        <w:bidi w:val="0"/>
        <w:spacing w:line="216" w:lineRule="auto"/>
        <w:rPr>
          <w:i/>
          <w:sz w:val="23"/>
          <w:szCs w:val="23"/>
        </w:rPr>
      </w:pPr>
      <w:r w:rsidRPr="00D94694">
        <w:rPr>
          <w:position w:val="-12"/>
        </w:rPr>
        <w:object w:dxaOrig="2500" w:dyaOrig="360" w14:anchorId="5C396663">
          <v:shape id="_x0000_i4889" type="#_x0000_t75" style="width:125.25pt;height:18.15pt" o:ole="">
            <v:imagedata r:id="rId7776" o:title=""/>
          </v:shape>
          <o:OLEObject Type="Embed" ProgID="Equation.DSMT4" ShapeID="_x0000_i4889" DrawAspect="Content" ObjectID="_1791378833" r:id="rId7777"/>
        </w:object>
      </w:r>
    </w:p>
    <w:p w14:paraId="510A2D35" w14:textId="77777777" w:rsidR="00411620" w:rsidRPr="00D94694" w:rsidRDefault="00411620" w:rsidP="00411620">
      <w:pPr>
        <w:spacing w:line="216" w:lineRule="auto"/>
        <w:rPr>
          <w:i/>
          <w:sz w:val="23"/>
          <w:szCs w:val="23"/>
          <w:rtl/>
        </w:rPr>
      </w:pPr>
      <w:r w:rsidRPr="00D94694">
        <w:rPr>
          <w:rFonts w:hint="cs"/>
          <w:i/>
          <w:sz w:val="23"/>
          <w:szCs w:val="23"/>
          <w:rtl/>
        </w:rPr>
        <w:t>لذا</w:t>
      </w:r>
    </w:p>
    <w:p w14:paraId="0E751CD4" w14:textId="77777777" w:rsidR="00411620" w:rsidRPr="00D94694" w:rsidRDefault="00411620" w:rsidP="00411620">
      <w:pPr>
        <w:bidi w:val="0"/>
        <w:spacing w:line="216" w:lineRule="auto"/>
        <w:rPr>
          <w:i/>
          <w:sz w:val="23"/>
          <w:szCs w:val="23"/>
          <w:rtl/>
        </w:rPr>
      </w:pPr>
      <w:r w:rsidRPr="00D94694">
        <w:rPr>
          <w:position w:val="-28"/>
        </w:rPr>
        <w:object w:dxaOrig="1300" w:dyaOrig="639" w14:anchorId="2119BACF">
          <v:shape id="_x0000_i4890" type="#_x0000_t75" style="width:64.75pt;height:32.05pt" o:ole="">
            <v:imagedata r:id="rId7778" o:title=""/>
          </v:shape>
          <o:OLEObject Type="Embed" ProgID="Equation.DSMT4" ShapeID="_x0000_i4890" DrawAspect="Content" ObjectID="_1791378834" r:id="rId7779"/>
        </w:object>
      </w:r>
    </w:p>
    <w:p w14:paraId="3DDFAAF0" w14:textId="77777777" w:rsidR="00411620" w:rsidRPr="00D94694" w:rsidRDefault="00411620" w:rsidP="00411620">
      <w:pPr>
        <w:spacing w:line="216" w:lineRule="auto"/>
        <w:rPr>
          <w:i/>
          <w:sz w:val="23"/>
          <w:szCs w:val="23"/>
          <w:rtl/>
        </w:rPr>
      </w:pPr>
      <w:r w:rsidRPr="00D94694">
        <w:rPr>
          <w:rFonts w:hint="cs"/>
          <w:i/>
          <w:sz w:val="23"/>
          <w:szCs w:val="23"/>
          <w:rtl/>
        </w:rPr>
        <w:t>و برای بدست آوردن</w:t>
      </w:r>
      <w:r w:rsidRPr="00D94694">
        <w:rPr>
          <w:position w:val="-28"/>
        </w:rPr>
        <w:object w:dxaOrig="499" w:dyaOrig="639" w14:anchorId="73205EAE">
          <v:shape id="_x0000_i4891" type="#_x0000_t75" style="width:24.8pt;height:32.05pt" o:ole="">
            <v:imagedata r:id="rId7780" o:title=""/>
          </v:shape>
          <o:OLEObject Type="Embed" ProgID="Equation.DSMT4" ShapeID="_x0000_i4891" DrawAspect="Content" ObjectID="_1791378835" r:id="rId7781"/>
        </w:object>
      </w:r>
      <w:r w:rsidRPr="00D94694">
        <w:rPr>
          <w:rFonts w:hint="cs"/>
          <w:i/>
          <w:sz w:val="23"/>
          <w:szCs w:val="23"/>
          <w:rtl/>
        </w:rPr>
        <w:t>،</w:t>
      </w:r>
      <w:r w:rsidRPr="00D94694">
        <w:rPr>
          <w:position w:val="-10"/>
        </w:rPr>
        <w:object w:dxaOrig="340" w:dyaOrig="320" w14:anchorId="3BDD1DFD">
          <v:shape id="_x0000_i4892" type="#_x0000_t75" style="width:16.95pt;height:15.75pt" o:ole="">
            <v:imagedata r:id="rId7782" o:title=""/>
          </v:shape>
          <o:OLEObject Type="Embed" ProgID="Equation.DSMT4" ShapeID="_x0000_i4892" DrawAspect="Content" ObjectID="_1791378836" r:id="rId7783"/>
        </w:object>
      </w:r>
      <w:r w:rsidRPr="00D94694">
        <w:rPr>
          <w:rFonts w:hint="cs"/>
          <w:i/>
          <w:sz w:val="23"/>
          <w:szCs w:val="23"/>
          <w:rtl/>
        </w:rPr>
        <w:t xml:space="preserve"> را می‌بایست بر حسب</w:t>
      </w:r>
      <w:r w:rsidRPr="00D94694">
        <w:rPr>
          <w:position w:val="-10"/>
        </w:rPr>
        <w:object w:dxaOrig="200" w:dyaOrig="320" w14:anchorId="2CD45897">
          <v:shape id="_x0000_i4893" type="#_x0000_t75" style="width:10.3pt;height:15.75pt" o:ole="">
            <v:imagedata r:id="rId7784" o:title=""/>
          </v:shape>
          <o:OLEObject Type="Embed" ProgID="Equation.DSMT4" ShapeID="_x0000_i4893" DrawAspect="Content" ObjectID="_1791378837" r:id="rId7785"/>
        </w:object>
      </w:r>
      <w:r w:rsidRPr="00D94694">
        <w:rPr>
          <w:rFonts w:hint="cs"/>
          <w:i/>
          <w:sz w:val="23"/>
          <w:szCs w:val="23"/>
          <w:rtl/>
        </w:rPr>
        <w:t xml:space="preserve"> نشان دهیم که مستلزم قید بودجه‌ی دو دوره‌ای است که از ترکیب قیود بودجه در زمان</w:t>
      </w:r>
      <w:r w:rsidRPr="00D94694">
        <w:rPr>
          <w:position w:val="-6"/>
        </w:rPr>
        <w:object w:dxaOrig="139" w:dyaOrig="240" w14:anchorId="69575EFC">
          <v:shape id="_x0000_i4894" type="#_x0000_t75" style="width:7.25pt;height:12.1pt" o:ole="">
            <v:imagedata r:id="rId7786" o:title=""/>
          </v:shape>
          <o:OLEObject Type="Embed" ProgID="Equation.DSMT4" ShapeID="_x0000_i4894" DrawAspect="Content" ObjectID="_1791378838" r:id="rId7787"/>
        </w:object>
      </w:r>
      <w:r w:rsidRPr="00D94694">
        <w:rPr>
          <w:i/>
          <w:sz w:val="23"/>
          <w:szCs w:val="23"/>
        </w:rPr>
        <w:t xml:space="preserve"> </w:t>
      </w:r>
      <w:r w:rsidRPr="00D94694">
        <w:rPr>
          <w:rFonts w:hint="cs"/>
          <w:i/>
          <w:sz w:val="23"/>
          <w:szCs w:val="23"/>
          <w:rtl/>
        </w:rPr>
        <w:t xml:space="preserve">و </w:t>
      </w:r>
      <w:r w:rsidRPr="00D94694">
        <w:rPr>
          <w:position w:val="-6"/>
        </w:rPr>
        <w:object w:dxaOrig="440" w:dyaOrig="260" w14:anchorId="57E3EA59">
          <v:shape id="_x0000_i4895" type="#_x0000_t75" style="width:21.8pt;height:13.3pt" o:ole="">
            <v:imagedata r:id="rId7788" o:title=""/>
          </v:shape>
          <o:OLEObject Type="Embed" ProgID="Equation.DSMT4" ShapeID="_x0000_i4895" DrawAspect="Content" ObjectID="_1791378839" r:id="rId7789"/>
        </w:object>
      </w:r>
      <w:r w:rsidRPr="00D94694">
        <w:rPr>
          <w:rFonts w:hint="cs"/>
          <w:i/>
          <w:sz w:val="23"/>
          <w:szCs w:val="23"/>
          <w:rtl/>
        </w:rPr>
        <w:t xml:space="preserve"> و حذف</w:t>
      </w:r>
      <w:r w:rsidRPr="00D94694">
        <w:rPr>
          <w:position w:val="-10"/>
        </w:rPr>
        <w:object w:dxaOrig="380" w:dyaOrig="320" w14:anchorId="5DA23B63">
          <v:shape id="_x0000_i4896" type="#_x0000_t75" style="width:18.75pt;height:15.75pt" o:ole="">
            <v:imagedata r:id="rId7790" o:title=""/>
          </v:shape>
          <o:OLEObject Type="Embed" ProgID="Equation.DSMT4" ShapeID="_x0000_i4896" DrawAspect="Content" ObjectID="_1791378840" r:id="rId7791"/>
        </w:object>
      </w:r>
      <w:r w:rsidRPr="00D94694">
        <w:rPr>
          <w:rFonts w:hint="cs"/>
          <w:i/>
          <w:sz w:val="23"/>
          <w:szCs w:val="23"/>
          <w:rtl/>
        </w:rPr>
        <w:t xml:space="preserve"> بدست می‌آید. لذا</w:t>
      </w:r>
    </w:p>
    <w:p w14:paraId="48AD7C53" w14:textId="77777777" w:rsidR="00411620" w:rsidRPr="00D94694" w:rsidRDefault="00411620" w:rsidP="00411620">
      <w:pPr>
        <w:bidi w:val="0"/>
        <w:spacing w:line="216" w:lineRule="auto"/>
        <w:rPr>
          <w:i/>
          <w:sz w:val="23"/>
          <w:szCs w:val="23"/>
        </w:rPr>
      </w:pPr>
      <w:r w:rsidRPr="00D94694">
        <w:rPr>
          <w:position w:val="-28"/>
        </w:rPr>
        <w:object w:dxaOrig="3960" w:dyaOrig="639" w14:anchorId="33CD23C0">
          <v:shape id="_x0000_i4897" type="#_x0000_t75" style="width:198.45pt;height:32.05pt" o:ole="">
            <v:imagedata r:id="rId7792" o:title=""/>
          </v:shape>
          <o:OLEObject Type="Embed" ProgID="Equation.DSMT4" ShapeID="_x0000_i4897" DrawAspect="Content" ObjectID="_1791378841" r:id="rId7793"/>
        </w:object>
      </w:r>
      <w:r w:rsidRPr="00D94694">
        <w:rPr>
          <w:rFonts w:hint="cs"/>
          <w:i/>
          <w:sz w:val="23"/>
          <w:szCs w:val="23"/>
          <w:rtl/>
        </w:rPr>
        <w:t xml:space="preserve"> </w:t>
      </w:r>
    </w:p>
    <w:p w14:paraId="42874C67" w14:textId="77777777" w:rsidR="00411620" w:rsidRPr="00D94694" w:rsidRDefault="00411620" w:rsidP="00411620">
      <w:pPr>
        <w:spacing w:line="216" w:lineRule="auto"/>
        <w:rPr>
          <w:i/>
          <w:sz w:val="23"/>
          <w:szCs w:val="23"/>
          <w:rtl/>
        </w:rPr>
      </w:pPr>
      <w:r w:rsidRPr="00D94694">
        <w:rPr>
          <w:rFonts w:hint="cs"/>
          <w:i/>
          <w:sz w:val="23"/>
          <w:szCs w:val="23"/>
          <w:rtl/>
        </w:rPr>
        <w:t>بنابراین</w:t>
      </w:r>
    </w:p>
    <w:p w14:paraId="5B8AD37F" w14:textId="77777777" w:rsidR="00411620" w:rsidRPr="00D94694" w:rsidRDefault="00411620" w:rsidP="00411620">
      <w:pPr>
        <w:bidi w:val="0"/>
        <w:spacing w:line="216" w:lineRule="auto"/>
        <w:rPr>
          <w:i/>
          <w:sz w:val="23"/>
          <w:szCs w:val="23"/>
        </w:rPr>
      </w:pPr>
      <w:r w:rsidRPr="00D94694">
        <w:rPr>
          <w:position w:val="-28"/>
        </w:rPr>
        <w:object w:dxaOrig="1579" w:dyaOrig="639" w14:anchorId="5FE14DF8">
          <v:shape id="_x0000_i4898" type="#_x0000_t75" style="width:79.25pt;height:32.05pt" o:ole="">
            <v:imagedata r:id="rId7794" o:title=""/>
          </v:shape>
          <o:OLEObject Type="Embed" ProgID="Equation.DSMT4" ShapeID="_x0000_i4898" DrawAspect="Content" ObjectID="_1791378842" r:id="rId7795"/>
        </w:object>
      </w:r>
    </w:p>
    <w:p w14:paraId="77E0A54C" w14:textId="77777777" w:rsidR="00411620" w:rsidRPr="00D94694" w:rsidRDefault="00411620" w:rsidP="00411620">
      <w:pPr>
        <w:spacing w:line="216" w:lineRule="auto"/>
        <w:rPr>
          <w:i/>
          <w:sz w:val="23"/>
          <w:szCs w:val="23"/>
          <w:rtl/>
        </w:rPr>
      </w:pPr>
      <w:r w:rsidRPr="00D94694">
        <w:rPr>
          <w:rFonts w:hint="cs"/>
          <w:i/>
          <w:sz w:val="23"/>
          <w:szCs w:val="23"/>
          <w:rtl/>
        </w:rPr>
        <w:t>اکنون شرط مرتبه اول (۱۱. ۳۱) را می‌توان به صورت زیر نوشت</w:t>
      </w:r>
    </w:p>
    <w:p w14:paraId="00323F9C" w14:textId="77777777" w:rsidR="00411620" w:rsidRPr="00D94694" w:rsidRDefault="00411620" w:rsidP="00411620">
      <w:pPr>
        <w:bidi w:val="0"/>
        <w:spacing w:line="216" w:lineRule="auto"/>
        <w:rPr>
          <w:i/>
          <w:sz w:val="23"/>
          <w:szCs w:val="23"/>
        </w:rPr>
      </w:pPr>
      <w:r w:rsidRPr="00D94694">
        <w:rPr>
          <w:rFonts w:hint="cs"/>
          <w:i/>
          <w:sz w:val="23"/>
          <w:szCs w:val="23"/>
          <w:rtl/>
        </w:rPr>
        <w:t xml:space="preserve"> </w:t>
      </w:r>
      <w:r w:rsidRPr="00D94694">
        <w:rPr>
          <w:position w:val="-30"/>
        </w:rPr>
        <w:object w:dxaOrig="3400" w:dyaOrig="700" w14:anchorId="61791F66">
          <v:shape id="_x0000_i4899" type="#_x0000_t75" style="width:170pt;height:35.1pt" o:ole="">
            <v:imagedata r:id="rId7796" o:title=""/>
          </v:shape>
          <o:OLEObject Type="Embed" ProgID="Equation.DSMT4" ShapeID="_x0000_i4899" DrawAspect="Content" ObjectID="_1791378843" r:id="rId7797"/>
        </w:object>
      </w:r>
    </w:p>
    <w:p w14:paraId="22BF05D6" w14:textId="77777777" w:rsidR="00411620" w:rsidRPr="00D94694" w:rsidRDefault="00411620" w:rsidP="00411620">
      <w:pPr>
        <w:spacing w:line="216" w:lineRule="auto"/>
        <w:rPr>
          <w:i/>
          <w:sz w:val="23"/>
          <w:szCs w:val="23"/>
          <w:rtl/>
        </w:rPr>
      </w:pPr>
      <w:r w:rsidRPr="00D94694">
        <w:rPr>
          <w:rFonts w:hint="cs"/>
          <w:i/>
          <w:sz w:val="23"/>
          <w:szCs w:val="23"/>
          <w:rtl/>
        </w:rPr>
        <w:t>بنابراین معادله‌ی اویلر تصادفی را بدست خواهیم آورد که عبارت است از</w:t>
      </w:r>
    </w:p>
    <w:p w14:paraId="154FA522" w14:textId="77777777" w:rsidR="00411620" w:rsidRPr="00D94694" w:rsidRDefault="00411620" w:rsidP="00411620">
      <w:pPr>
        <w:bidi w:val="0"/>
        <w:spacing w:line="216" w:lineRule="auto"/>
        <w:rPr>
          <w:i/>
          <w:sz w:val="23"/>
          <w:szCs w:val="23"/>
          <w:rtl/>
        </w:rPr>
      </w:pPr>
      <w:r w:rsidRPr="00D94694">
        <w:rPr>
          <w:position w:val="-30"/>
        </w:rPr>
        <w:object w:dxaOrig="2079" w:dyaOrig="700" w14:anchorId="7EB67301">
          <v:shape id="_x0000_i4900" type="#_x0000_t75" style="width:104.05pt;height:35.1pt" o:ole="">
            <v:imagedata r:id="rId7798" o:title=""/>
          </v:shape>
          <o:OLEObject Type="Embed" ProgID="Equation.DSMT4" ShapeID="_x0000_i4900" DrawAspect="Content" ObjectID="_1791378844" r:id="rId7799"/>
        </w:object>
      </w:r>
      <w:r w:rsidRPr="00D94694">
        <w:rPr>
          <w:i/>
          <w:sz w:val="23"/>
          <w:szCs w:val="23"/>
          <w:rtl/>
        </w:rPr>
        <w:tab/>
      </w:r>
      <w:r w:rsidRPr="00D94694">
        <w:rPr>
          <w:i/>
          <w:sz w:val="23"/>
          <w:szCs w:val="23"/>
        </w:rPr>
        <w:tab/>
      </w:r>
      <w:r w:rsidRPr="00D94694">
        <w:rPr>
          <w:i/>
          <w:sz w:val="23"/>
          <w:szCs w:val="23"/>
          <w:rtl/>
        </w:rPr>
        <w:tab/>
      </w:r>
      <w:r w:rsidRPr="00D94694">
        <w:rPr>
          <w:i/>
          <w:sz w:val="23"/>
          <w:szCs w:val="23"/>
          <w:rtl/>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Pr>
          <w:i/>
          <w:sz w:val="23"/>
          <w:szCs w:val="23"/>
          <w:rtl/>
        </w:rPr>
        <w:tab/>
      </w:r>
      <w:r w:rsidRPr="00D94694">
        <w:rPr>
          <w:i/>
          <w:sz w:val="23"/>
          <w:szCs w:val="23"/>
        </w:rPr>
        <w:tab/>
      </w:r>
      <w:r w:rsidRPr="00D94694">
        <w:rPr>
          <w:i/>
          <w:sz w:val="23"/>
          <w:szCs w:val="23"/>
          <w:rtl/>
        </w:rPr>
        <w:tab/>
      </w:r>
      <w:r w:rsidRPr="00D94694">
        <w:rPr>
          <w:i/>
          <w:sz w:val="23"/>
          <w:szCs w:val="23"/>
        </w:rPr>
        <w:t xml:space="preserve"> </w:t>
      </w:r>
      <w:r w:rsidRPr="00D94694">
        <w:rPr>
          <w:i/>
          <w:sz w:val="23"/>
          <w:szCs w:val="23"/>
        </w:rPr>
        <w:tab/>
      </w:r>
      <w:r w:rsidRPr="00D94694">
        <w:rPr>
          <w:i/>
          <w:sz w:val="23"/>
          <w:szCs w:val="23"/>
        </w:rPr>
        <w:tab/>
      </w:r>
      <w:r w:rsidRPr="00D94694">
        <w:rPr>
          <w:rFonts w:hint="cs"/>
          <w:i/>
          <w:sz w:val="23"/>
          <w:szCs w:val="23"/>
          <w:rtl/>
        </w:rPr>
        <w:t>(۱۱. ۳۲)</w:t>
      </w:r>
      <w:r w:rsidRPr="00D94694">
        <w:rPr>
          <w:rFonts w:hint="cs"/>
          <w:i/>
          <w:sz w:val="23"/>
          <w:szCs w:val="23"/>
        </w:rPr>
        <w:t xml:space="preserve"> </w:t>
      </w:r>
    </w:p>
    <w:p w14:paraId="2B7EC8AB" w14:textId="77777777" w:rsidR="00411620" w:rsidRPr="00D94694" w:rsidRDefault="00411620" w:rsidP="00411620">
      <w:pPr>
        <w:spacing w:line="216" w:lineRule="auto"/>
        <w:rPr>
          <w:i/>
          <w:sz w:val="23"/>
          <w:szCs w:val="23"/>
          <w:rtl/>
        </w:rPr>
      </w:pPr>
      <w:r w:rsidRPr="00D94694">
        <w:rPr>
          <w:rFonts w:hint="cs"/>
          <w:i/>
          <w:sz w:val="23"/>
          <w:szCs w:val="23"/>
          <w:rtl/>
        </w:rPr>
        <w:t xml:space="preserve">که متناظر است با معادلات (۱۱. ۲۴) و (۱۱. ۱۳) با </w:t>
      </w:r>
    </w:p>
    <w:p w14:paraId="39E50E41" w14:textId="77777777" w:rsidR="00411620" w:rsidRPr="00D94694" w:rsidRDefault="00411620" w:rsidP="00411620">
      <w:pPr>
        <w:bidi w:val="0"/>
        <w:spacing w:line="216" w:lineRule="auto"/>
        <w:rPr>
          <w:i/>
          <w:sz w:val="23"/>
          <w:szCs w:val="23"/>
          <w:rtl/>
        </w:rPr>
      </w:pPr>
      <w:r w:rsidRPr="00D94694">
        <w:rPr>
          <w:position w:val="-14"/>
        </w:rPr>
        <w:object w:dxaOrig="1980" w:dyaOrig="380" w14:anchorId="3866DD3B">
          <v:shape id="_x0000_i4901" type="#_x0000_t75" style="width:99.25pt;height:18.75pt" o:ole="">
            <v:imagedata r:id="rId7800" o:title=""/>
          </v:shape>
          <o:OLEObject Type="Embed" ProgID="Equation.DSMT4" ShapeID="_x0000_i4901" DrawAspect="Content" ObjectID="_1791378845" r:id="rId7801"/>
        </w:object>
      </w:r>
      <w:r w:rsidRPr="00D94694">
        <w:rPr>
          <w:rFonts w:hint="cs"/>
          <w:i/>
          <w:sz w:val="23"/>
          <w:szCs w:val="23"/>
          <w:rtl/>
        </w:rPr>
        <w:t xml:space="preserve"> </w:t>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i/>
          <w:sz w:val="23"/>
          <w:szCs w:val="23"/>
          <w:rtl/>
        </w:rPr>
        <w:tab/>
      </w:r>
      <w:r>
        <w:rPr>
          <w:i/>
          <w:sz w:val="23"/>
          <w:szCs w:val="23"/>
          <w:rtl/>
        </w:rPr>
        <w:tab/>
      </w:r>
      <w:r w:rsidRPr="00D94694">
        <w:rPr>
          <w:i/>
          <w:sz w:val="23"/>
          <w:szCs w:val="23"/>
          <w:rtl/>
        </w:rPr>
        <w:tab/>
      </w:r>
      <w:r w:rsidRPr="00D94694">
        <w:rPr>
          <w:i/>
          <w:sz w:val="23"/>
          <w:szCs w:val="23"/>
          <w:rtl/>
        </w:rPr>
        <w:tab/>
      </w:r>
      <w:r w:rsidRPr="00D94694">
        <w:rPr>
          <w:i/>
          <w:sz w:val="23"/>
          <w:szCs w:val="23"/>
          <w:rtl/>
        </w:rPr>
        <w:tab/>
      </w:r>
      <w:r w:rsidRPr="00D94694">
        <w:rPr>
          <w:rFonts w:hint="cs"/>
          <w:i/>
          <w:sz w:val="23"/>
          <w:szCs w:val="23"/>
          <w:rtl/>
        </w:rPr>
        <w:t>(۱۱. ۳۳)</w:t>
      </w:r>
    </w:p>
    <w:p w14:paraId="2360AE0E" w14:textId="77777777" w:rsidR="00411620" w:rsidRPr="00D94694" w:rsidRDefault="00411620" w:rsidP="00411620">
      <w:pPr>
        <w:spacing w:line="216" w:lineRule="auto"/>
        <w:rPr>
          <w:i/>
          <w:sz w:val="23"/>
          <w:szCs w:val="23"/>
        </w:rPr>
      </w:pPr>
      <w:r w:rsidRPr="00D94694">
        <w:rPr>
          <w:rFonts w:hint="cs"/>
          <w:i/>
          <w:sz w:val="23"/>
          <w:szCs w:val="23"/>
          <w:rtl/>
        </w:rPr>
        <w:t>و</w:t>
      </w:r>
      <w:r w:rsidRPr="00D94694">
        <w:rPr>
          <w:position w:val="-12"/>
        </w:rPr>
        <w:object w:dxaOrig="1760" w:dyaOrig="360" w14:anchorId="5D42019D">
          <v:shape id="_x0000_i4902" type="#_x0000_t75" style="width:87.75pt;height:18.15pt" o:ole="">
            <v:imagedata r:id="rId7802" o:title=""/>
          </v:shape>
          <o:OLEObject Type="Embed" ProgID="Equation.DSMT4" ShapeID="_x0000_i4902" DrawAspect="Content" ObjectID="_1791378846" r:id="rId7803"/>
        </w:object>
      </w:r>
      <w:r w:rsidRPr="00D94694">
        <w:rPr>
          <w:i/>
          <w:sz w:val="23"/>
          <w:szCs w:val="23"/>
        </w:rPr>
        <w:t>.</w:t>
      </w:r>
      <w:r>
        <w:rPr>
          <w:i/>
          <w:sz w:val="23"/>
          <w:szCs w:val="23"/>
          <w:rtl/>
        </w:rPr>
        <w:tab/>
      </w:r>
    </w:p>
    <w:p w14:paraId="4F020BC7" w14:textId="77777777" w:rsidR="00411620" w:rsidRPr="00D94694" w:rsidRDefault="00411620" w:rsidP="00411620">
      <w:pPr>
        <w:spacing w:line="216" w:lineRule="auto"/>
        <w:rPr>
          <w:i/>
          <w:sz w:val="23"/>
          <w:szCs w:val="23"/>
        </w:rPr>
      </w:pPr>
    </w:p>
    <w:p w14:paraId="1C8AB014" w14:textId="77777777" w:rsidR="00411620" w:rsidRPr="00D94694" w:rsidRDefault="00411620" w:rsidP="00411620">
      <w:pPr>
        <w:spacing w:line="216" w:lineRule="auto"/>
        <w:rPr>
          <w:bCs/>
          <w:i/>
          <w:sz w:val="23"/>
          <w:szCs w:val="23"/>
          <w:rtl/>
        </w:rPr>
      </w:pPr>
      <w:r w:rsidRPr="00D94694">
        <w:rPr>
          <w:rFonts w:hint="cs"/>
          <w:bCs/>
          <w:i/>
          <w:sz w:val="23"/>
          <w:szCs w:val="23"/>
          <w:rtl/>
        </w:rPr>
        <w:t>قیمت‌گذاری دارایی‌های ریسکی</w:t>
      </w:r>
    </w:p>
    <w:p w14:paraId="0F91C07E" w14:textId="77777777" w:rsidR="00411620" w:rsidRPr="00D94694" w:rsidRDefault="00411620" w:rsidP="00411620">
      <w:pPr>
        <w:spacing w:line="216" w:lineRule="auto"/>
        <w:rPr>
          <w:i/>
          <w:sz w:val="23"/>
          <w:szCs w:val="23"/>
          <w:rtl/>
        </w:rPr>
      </w:pPr>
      <w:r w:rsidRPr="00D94694">
        <w:rPr>
          <w:rFonts w:hint="cs"/>
          <w:i/>
          <w:sz w:val="23"/>
          <w:szCs w:val="23"/>
          <w:rtl/>
        </w:rPr>
        <w:t>در فصل قبل معادله‌ی اویلر را برای مصرف و با فرض این</w:t>
      </w:r>
      <w:r w:rsidRPr="00D94694">
        <w:rPr>
          <w:i/>
          <w:sz w:val="23"/>
          <w:szCs w:val="23"/>
          <w:rtl/>
        </w:rPr>
        <w:softHyphen/>
      </w:r>
      <w:r w:rsidRPr="00D94694">
        <w:rPr>
          <w:rFonts w:hint="cs"/>
          <w:i/>
          <w:sz w:val="23"/>
          <w:szCs w:val="23"/>
          <w:rtl/>
        </w:rPr>
        <w:t>که نرخ بازدهی داده شده است، بدست آوردیم. اما اکنون برای بدست آوردن قیمت‌ دارایی، این راه حل را معکوس نموده و بجای آن</w:t>
      </w:r>
      <w:r w:rsidRPr="00D94694">
        <w:rPr>
          <w:position w:val="-10"/>
        </w:rPr>
        <w:object w:dxaOrig="320" w:dyaOrig="320" w14:anchorId="4844D46D">
          <v:shape id="_x0000_i4903" type="#_x0000_t75" style="width:15.75pt;height:15.75pt" o:ole="">
            <v:imagedata r:id="rId7804" o:title=""/>
          </v:shape>
          <o:OLEObject Type="Embed" ProgID="Equation.DSMT4" ShapeID="_x0000_i4903" DrawAspect="Content" ObjectID="_1791378847" r:id="rId7805"/>
        </w:object>
      </w:r>
      <w:r w:rsidRPr="00D94694">
        <w:rPr>
          <w:rFonts w:hint="cs"/>
          <w:i/>
          <w:sz w:val="23"/>
          <w:szCs w:val="23"/>
          <w:rtl/>
        </w:rPr>
        <w:t xml:space="preserve"> را بر حسب مصرف بدست می‌آوریم. در این روش، مدل تعادل عمومی پویای تصادفیِ مشابهی را برای تعیین متغیرهای اقتصاد کلان و قیمت‌های دارایی مورد استفاده قرار می‌دهیم. سپس اقتصاد و مالی را با چارچوب تئوریکی واحد، یکپارچه خواهیم کرد. </w:t>
      </w:r>
    </w:p>
    <w:p w14:paraId="6592515A" w14:textId="77777777" w:rsidR="00411620" w:rsidRPr="00D94694" w:rsidRDefault="00411620" w:rsidP="00411620">
      <w:pPr>
        <w:spacing w:line="216" w:lineRule="auto"/>
        <w:rPr>
          <w:i/>
          <w:sz w:val="23"/>
          <w:szCs w:val="23"/>
          <w:rtl/>
        </w:rPr>
      </w:pPr>
      <w:r w:rsidRPr="00D94694">
        <w:rPr>
          <w:rFonts w:hint="cs"/>
          <w:i/>
          <w:sz w:val="23"/>
          <w:szCs w:val="23"/>
          <w:rtl/>
        </w:rPr>
        <w:t>از آنجاکه معادله‌ی اویلر غیرخطی است به کمک سری تیلور از بسط معادله‌ی اویلر در اطراف</w:t>
      </w:r>
      <w:r w:rsidRPr="00D94694">
        <w:rPr>
          <w:position w:val="-10"/>
        </w:rPr>
        <w:object w:dxaOrig="720" w:dyaOrig="320" w14:anchorId="1396451F">
          <v:shape id="_x0000_i4904" type="#_x0000_t75" style="width:36.3pt;height:15.75pt" o:ole="">
            <v:imagedata r:id="rId7806" o:title=""/>
          </v:shape>
          <o:OLEObject Type="Embed" ProgID="Equation.DSMT4" ShapeID="_x0000_i4904" DrawAspect="Content" ObjectID="_1791378848" r:id="rId7807"/>
        </w:object>
      </w:r>
      <w:r w:rsidRPr="00D94694">
        <w:rPr>
          <w:rFonts w:hint="cs"/>
          <w:i/>
          <w:sz w:val="23"/>
          <w:szCs w:val="23"/>
          <w:rtl/>
        </w:rPr>
        <w:t xml:space="preserve"> استفاده خواهیم کرد. با بسط</w:t>
      </w:r>
      <w:r w:rsidRPr="00D94694">
        <w:rPr>
          <w:position w:val="-12"/>
        </w:rPr>
        <w:object w:dxaOrig="760" w:dyaOrig="360" w14:anchorId="06E682D8">
          <v:shape id="_x0000_i4905" type="#_x0000_t75" style="width:38.1pt;height:18.15pt" o:ole="">
            <v:imagedata r:id="rId7808" o:title=""/>
          </v:shape>
          <o:OLEObject Type="Embed" ProgID="Equation.DSMT4" ShapeID="_x0000_i4905" DrawAspect="Content" ObjectID="_1791378849" r:id="rId7809"/>
        </w:object>
      </w:r>
      <w:r w:rsidRPr="00D94694">
        <w:rPr>
          <w:i/>
          <w:sz w:val="23"/>
          <w:szCs w:val="23"/>
        </w:rPr>
        <w:t xml:space="preserve"> </w:t>
      </w:r>
      <w:r w:rsidRPr="00D94694">
        <w:rPr>
          <w:rFonts w:hint="cs"/>
          <w:i/>
          <w:sz w:val="23"/>
          <w:szCs w:val="23"/>
          <w:rtl/>
        </w:rPr>
        <w:t xml:space="preserve">در اطراف </w:t>
      </w:r>
      <w:r w:rsidRPr="00D94694">
        <w:rPr>
          <w:position w:val="-10"/>
        </w:rPr>
        <w:object w:dxaOrig="720" w:dyaOrig="320" w14:anchorId="54363E02">
          <v:shape id="_x0000_i4906" type="#_x0000_t75" style="width:36.3pt;height:15.75pt" o:ole="">
            <v:imagedata r:id="rId7810" o:title=""/>
          </v:shape>
          <o:OLEObject Type="Embed" ProgID="Equation.DSMT4" ShapeID="_x0000_i4906" DrawAspect="Content" ObjectID="_1791378850" r:id="rId7811"/>
        </w:object>
      </w:r>
      <w:r w:rsidRPr="00D94694">
        <w:rPr>
          <w:rFonts w:hint="cs"/>
          <w:i/>
          <w:sz w:val="23"/>
          <w:szCs w:val="23"/>
          <w:rtl/>
        </w:rPr>
        <w:t xml:space="preserve"> خواهیم داشت</w:t>
      </w:r>
    </w:p>
    <w:p w14:paraId="3947D0A6" w14:textId="77777777" w:rsidR="00411620" w:rsidRPr="00D94694" w:rsidRDefault="00411620" w:rsidP="00411620">
      <w:pPr>
        <w:bidi w:val="0"/>
        <w:spacing w:line="216" w:lineRule="auto"/>
        <w:rPr>
          <w:i/>
          <w:sz w:val="23"/>
          <w:szCs w:val="23"/>
        </w:rPr>
      </w:pPr>
      <w:r w:rsidRPr="00D94694">
        <w:rPr>
          <w:position w:val="-12"/>
        </w:rPr>
        <w:object w:dxaOrig="2799" w:dyaOrig="360" w14:anchorId="3FF5ACA4">
          <v:shape id="_x0000_i4907" type="#_x0000_t75" style="width:140.35pt;height:18.15pt" o:ole="">
            <v:imagedata r:id="rId7812" o:title=""/>
          </v:shape>
          <o:OLEObject Type="Embed" ProgID="Equation.DSMT4" ShapeID="_x0000_i4907" DrawAspect="Content" ObjectID="_1791378851" r:id="rId7813"/>
        </w:object>
      </w:r>
    </w:p>
    <w:p w14:paraId="131C39D0" w14:textId="77777777" w:rsidR="00411620" w:rsidRPr="00D94694" w:rsidRDefault="00411620" w:rsidP="00411620">
      <w:pPr>
        <w:spacing w:line="216" w:lineRule="auto"/>
        <w:rPr>
          <w:i/>
          <w:sz w:val="23"/>
          <w:szCs w:val="23"/>
          <w:rtl/>
        </w:rPr>
      </w:pPr>
      <w:r w:rsidRPr="00D94694">
        <w:rPr>
          <w:rFonts w:hint="cs"/>
          <w:i/>
          <w:sz w:val="23"/>
          <w:szCs w:val="23"/>
          <w:rtl/>
        </w:rPr>
        <w:t>بنابراین</w:t>
      </w:r>
    </w:p>
    <w:p w14:paraId="3CE29B4F" w14:textId="77777777" w:rsidR="00411620" w:rsidRPr="00D94694" w:rsidRDefault="00411620" w:rsidP="00411620">
      <w:pPr>
        <w:bidi w:val="0"/>
        <w:spacing w:line="216" w:lineRule="auto"/>
        <w:rPr>
          <w:i/>
          <w:sz w:val="23"/>
          <w:szCs w:val="23"/>
        </w:rPr>
      </w:pPr>
      <w:r w:rsidRPr="00D94694">
        <w:rPr>
          <w:position w:val="-30"/>
        </w:rPr>
        <w:object w:dxaOrig="5580" w:dyaOrig="700" w14:anchorId="4EECE838">
          <v:shape id="_x0000_i4908" type="#_x0000_t75" style="width:278.9pt;height:35.1pt" o:ole="">
            <v:imagedata r:id="rId7814" o:title=""/>
          </v:shape>
          <o:OLEObject Type="Embed" ProgID="Equation.DSMT4" ShapeID="_x0000_i4908" DrawAspect="Content" ObjectID="_1791378852" r:id="rId7815"/>
        </w:object>
      </w:r>
    </w:p>
    <w:p w14:paraId="5C6CE8C2" w14:textId="77777777" w:rsidR="00411620" w:rsidRPr="00D94694" w:rsidRDefault="00411620" w:rsidP="00411620">
      <w:pPr>
        <w:spacing w:line="216" w:lineRule="auto"/>
        <w:rPr>
          <w:i/>
          <w:sz w:val="23"/>
          <w:szCs w:val="23"/>
          <w:rtl/>
        </w:rPr>
      </w:pPr>
      <w:r w:rsidRPr="00D94694">
        <w:rPr>
          <w:rFonts w:hint="cs"/>
          <w:i/>
          <w:sz w:val="23"/>
          <w:szCs w:val="23"/>
          <w:rtl/>
        </w:rPr>
        <w:lastRenderedPageBreak/>
        <w:t xml:space="preserve">که درآن </w:t>
      </w:r>
    </w:p>
    <w:p w14:paraId="592A4A1E" w14:textId="77777777" w:rsidR="00411620" w:rsidRPr="00D94694" w:rsidRDefault="00411620" w:rsidP="00411620">
      <w:pPr>
        <w:bidi w:val="0"/>
        <w:spacing w:line="216" w:lineRule="auto"/>
        <w:rPr>
          <w:i/>
          <w:sz w:val="23"/>
          <w:szCs w:val="23"/>
        </w:rPr>
      </w:pPr>
      <w:r w:rsidRPr="00D94694">
        <w:rPr>
          <w:position w:val="-28"/>
        </w:rPr>
        <w:object w:dxaOrig="2820" w:dyaOrig="639" w14:anchorId="7195819C">
          <v:shape id="_x0000_i4909" type="#_x0000_t75" style="width:140.95pt;height:32.05pt" o:ole="">
            <v:imagedata r:id="rId7816" o:title=""/>
          </v:shape>
          <o:OLEObject Type="Embed" ProgID="Equation.DSMT4" ShapeID="_x0000_i4909" DrawAspect="Content" ObjectID="_1791378853" r:id="rId7817"/>
        </w:object>
      </w:r>
    </w:p>
    <w:p w14:paraId="466A5377" w14:textId="77777777" w:rsidR="00411620" w:rsidRPr="00D94694" w:rsidRDefault="00411620" w:rsidP="00411620">
      <w:pPr>
        <w:spacing w:line="216" w:lineRule="auto"/>
        <w:rPr>
          <w:i/>
          <w:sz w:val="23"/>
          <w:szCs w:val="23"/>
          <w:rtl/>
        </w:rPr>
      </w:pPr>
      <w:r w:rsidRPr="00D94694">
        <w:rPr>
          <w:rFonts w:hint="cs"/>
          <w:i/>
          <w:sz w:val="23"/>
          <w:szCs w:val="23"/>
          <w:rtl/>
        </w:rPr>
        <w:t xml:space="preserve">و </w:t>
      </w:r>
      <w:r w:rsidRPr="00D94694">
        <w:rPr>
          <w:position w:val="-10"/>
        </w:rPr>
        <w:object w:dxaOrig="260" w:dyaOrig="320" w14:anchorId="0F9A32A3">
          <v:shape id="_x0000_i4910" type="#_x0000_t75" style="width:13.3pt;height:15.75pt" o:ole="">
            <v:imagedata r:id="rId7818" o:title=""/>
          </v:shape>
          <o:OLEObject Type="Embed" ProgID="Equation.DSMT4" ShapeID="_x0000_i4910" DrawAspect="Content" ObjectID="_1791378854" r:id="rId7819"/>
        </w:object>
      </w:r>
      <w:r w:rsidRPr="00D94694">
        <w:rPr>
          <w:rFonts w:hint="cs"/>
          <w:i/>
          <w:sz w:val="23"/>
          <w:szCs w:val="23"/>
          <w:rtl/>
        </w:rPr>
        <w:t xml:space="preserve"> ضریب ریسک</w:t>
      </w:r>
      <w:r w:rsidRPr="00D94694">
        <w:rPr>
          <w:i/>
          <w:sz w:val="23"/>
          <w:szCs w:val="23"/>
          <w:rtl/>
        </w:rPr>
        <w:softHyphen/>
      </w:r>
      <w:r w:rsidRPr="00D94694">
        <w:rPr>
          <w:rFonts w:hint="cs"/>
          <w:i/>
          <w:sz w:val="23"/>
          <w:szCs w:val="23"/>
          <w:rtl/>
        </w:rPr>
        <w:t>گریزی نسبی است و با افزایش آن، سرمایه‌گذاران ریسک گریز افزایش می‌یابند. در حالتی خاص که تابع مطلوبیت به شکل تابع توانی زیر می‌باشد</w:t>
      </w:r>
    </w:p>
    <w:p w14:paraId="7810CBA7" w14:textId="77777777" w:rsidR="00411620" w:rsidRPr="00D94694" w:rsidRDefault="00411620" w:rsidP="00411620">
      <w:pPr>
        <w:bidi w:val="0"/>
        <w:spacing w:line="216" w:lineRule="auto"/>
        <w:rPr>
          <w:i/>
          <w:sz w:val="23"/>
          <w:szCs w:val="23"/>
        </w:rPr>
      </w:pPr>
      <w:r w:rsidRPr="00D94694">
        <w:rPr>
          <w:position w:val="-22"/>
        </w:rPr>
        <w:object w:dxaOrig="2320" w:dyaOrig="600" w14:anchorId="29955F86">
          <v:shape id="_x0000_i4911" type="#_x0000_t75" style="width:116.15pt;height:29.65pt" o:ole="">
            <v:imagedata r:id="rId7820" o:title=""/>
          </v:shape>
          <o:OLEObject Type="Embed" ProgID="Equation.DSMT4" ShapeID="_x0000_i4911" DrawAspect="Content" ObjectID="_1791378855" r:id="rId7821"/>
        </w:object>
      </w:r>
      <w:r w:rsidRPr="00D94694">
        <w:rPr>
          <w:rFonts w:hint="cs"/>
          <w:i/>
          <w:sz w:val="23"/>
          <w:szCs w:val="23"/>
          <w:rtl/>
        </w:rPr>
        <w:t xml:space="preserve"> </w:t>
      </w:r>
    </w:p>
    <w:p w14:paraId="3761B430" w14:textId="77777777" w:rsidR="00411620" w:rsidRPr="00D94694" w:rsidRDefault="00411620" w:rsidP="00411620">
      <w:pPr>
        <w:spacing w:line="216" w:lineRule="auto"/>
        <w:rPr>
          <w:i/>
          <w:sz w:val="23"/>
          <w:szCs w:val="23"/>
          <w:rtl/>
        </w:rPr>
      </w:pPr>
      <w:r w:rsidRPr="00D94694">
        <w:rPr>
          <w:rFonts w:hint="cs"/>
          <w:i/>
          <w:sz w:val="23"/>
          <w:szCs w:val="23"/>
          <w:rtl/>
        </w:rPr>
        <w:t>ضریب ریسک</w:t>
      </w:r>
      <w:r w:rsidRPr="00D94694">
        <w:rPr>
          <w:i/>
          <w:sz w:val="23"/>
          <w:szCs w:val="23"/>
          <w:rtl/>
        </w:rPr>
        <w:softHyphen/>
      </w:r>
      <w:r w:rsidRPr="00D94694">
        <w:rPr>
          <w:rFonts w:hint="cs"/>
          <w:i/>
          <w:sz w:val="23"/>
          <w:szCs w:val="23"/>
          <w:rtl/>
        </w:rPr>
        <w:t xml:space="preserve">گریزی نسبی ثابت است، یعنی </w:t>
      </w:r>
      <w:r w:rsidRPr="00D94694">
        <w:rPr>
          <w:position w:val="-10"/>
        </w:rPr>
        <w:object w:dxaOrig="639" w:dyaOrig="320" w14:anchorId="627E5605">
          <v:shape id="_x0000_i4912" type="#_x0000_t75" style="width:32.05pt;height:15.75pt" o:ole="">
            <v:imagedata r:id="rId7822" o:title=""/>
          </v:shape>
          <o:OLEObject Type="Embed" ProgID="Equation.DSMT4" ShapeID="_x0000_i4912" DrawAspect="Content" ObjectID="_1791378856" r:id="rId7823"/>
        </w:object>
      </w:r>
      <w:r w:rsidRPr="00D94694">
        <w:rPr>
          <w:i/>
          <w:sz w:val="23"/>
          <w:szCs w:val="23"/>
        </w:rPr>
        <w:t>.</w:t>
      </w:r>
      <w:r w:rsidRPr="00D94694">
        <w:rPr>
          <w:rFonts w:hint="cs"/>
          <w:i/>
          <w:sz w:val="23"/>
          <w:szCs w:val="23"/>
          <w:rtl/>
        </w:rPr>
        <w:t xml:space="preserve"> برای سرمایه‌گذار ریسک خنثی، تابع مطلوبیت خطی است و لذا </w:t>
      </w:r>
      <w:r w:rsidRPr="00D94694">
        <w:rPr>
          <w:position w:val="-10"/>
        </w:rPr>
        <w:object w:dxaOrig="1060" w:dyaOrig="320" w14:anchorId="23B6DC74">
          <v:shape id="_x0000_i4913" type="#_x0000_t75" style="width:53.25pt;height:15.75pt" o:ole="">
            <v:imagedata r:id="rId7824" o:title=""/>
          </v:shape>
          <o:OLEObject Type="Embed" ProgID="Equation.DSMT4" ShapeID="_x0000_i4913" DrawAspect="Content" ObjectID="_1791378857" r:id="rId7825"/>
        </w:object>
      </w:r>
      <w:r w:rsidRPr="00D94694">
        <w:rPr>
          <w:rFonts w:hint="cs"/>
          <w:i/>
          <w:sz w:val="23"/>
          <w:szCs w:val="23"/>
          <w:rtl/>
        </w:rPr>
        <w:t>.</w:t>
      </w:r>
    </w:p>
    <w:p w14:paraId="3A4A6C48" w14:textId="77777777" w:rsidR="00411620" w:rsidRPr="00D94694" w:rsidRDefault="00411620" w:rsidP="00411620">
      <w:pPr>
        <w:spacing w:line="216" w:lineRule="auto"/>
        <w:rPr>
          <w:i/>
          <w:sz w:val="23"/>
          <w:szCs w:val="23"/>
          <w:rtl/>
        </w:rPr>
      </w:pPr>
      <w:r w:rsidRPr="00D94694">
        <w:rPr>
          <w:rFonts w:hint="cs"/>
          <w:i/>
          <w:sz w:val="23"/>
          <w:szCs w:val="23"/>
          <w:rtl/>
        </w:rPr>
        <w:t>اکنون می‌توان معادله‌ی اویلر را بصورت زیر نوشت</w:t>
      </w:r>
    </w:p>
    <w:p w14:paraId="5428CDA3" w14:textId="77777777" w:rsidR="00411620" w:rsidRPr="00D94694" w:rsidRDefault="00411620" w:rsidP="00411620">
      <w:pPr>
        <w:bidi w:val="0"/>
        <w:spacing w:line="216" w:lineRule="auto"/>
        <w:rPr>
          <w:i/>
          <w:sz w:val="23"/>
          <w:szCs w:val="23"/>
        </w:rPr>
      </w:pPr>
      <w:r w:rsidRPr="00D94694">
        <w:rPr>
          <w:position w:val="-30"/>
        </w:rPr>
        <w:object w:dxaOrig="2900" w:dyaOrig="720" w14:anchorId="3934116D">
          <v:shape id="_x0000_i4914" type="#_x0000_t75" style="width:145.2pt;height:36.3pt" o:ole="">
            <v:imagedata r:id="rId7826" o:title=""/>
          </v:shape>
          <o:OLEObject Type="Embed" ProgID="Equation.DSMT4" ShapeID="_x0000_i4914" DrawAspect="Content" ObjectID="_1791378858" r:id="rId7827"/>
        </w:object>
      </w:r>
      <w:r w:rsidRPr="00D94694">
        <w:rPr>
          <w:rFonts w:hint="cs"/>
          <w:i/>
          <w:sz w:val="23"/>
          <w:szCs w:val="23"/>
        </w:rPr>
        <w:t xml:space="preserve"> </w:t>
      </w:r>
    </w:p>
    <w:p w14:paraId="3C65CAFE" w14:textId="77777777" w:rsidR="00411620" w:rsidRPr="00D94694" w:rsidRDefault="00411620" w:rsidP="00411620">
      <w:pPr>
        <w:spacing w:line="216" w:lineRule="auto"/>
        <w:rPr>
          <w:i/>
          <w:sz w:val="23"/>
          <w:szCs w:val="23"/>
          <w:rtl/>
        </w:rPr>
      </w:pPr>
      <w:r w:rsidRPr="00D94694">
        <w:rPr>
          <w:rFonts w:hint="cs"/>
          <w:i/>
          <w:sz w:val="23"/>
          <w:szCs w:val="23"/>
          <w:rtl/>
        </w:rPr>
        <w:t>با توجه به این</w:t>
      </w:r>
      <w:r w:rsidRPr="00D94694">
        <w:rPr>
          <w:i/>
          <w:sz w:val="23"/>
          <w:szCs w:val="23"/>
          <w:rtl/>
        </w:rPr>
        <w:softHyphen/>
      </w:r>
      <w:r w:rsidRPr="00D94694">
        <w:rPr>
          <w:rFonts w:hint="cs"/>
          <w:i/>
          <w:sz w:val="23"/>
          <w:szCs w:val="23"/>
          <w:rtl/>
        </w:rPr>
        <w:t xml:space="preserve">که </w:t>
      </w:r>
      <w:r w:rsidRPr="00D94694">
        <w:rPr>
          <w:position w:val="-14"/>
        </w:rPr>
        <w:object w:dxaOrig="1440" w:dyaOrig="380" w14:anchorId="1D8D60C9">
          <v:shape id="_x0000_i4915" type="#_x0000_t75" style="width:1in;height:18.75pt" o:ole="">
            <v:imagedata r:id="rId7828" o:title=""/>
          </v:shape>
          <o:OLEObject Type="Embed" ProgID="Equation.DSMT4" ShapeID="_x0000_i4915" DrawAspect="Content" ObjectID="_1791378859" r:id="rId7829"/>
        </w:object>
      </w:r>
      <w:r w:rsidRPr="00D94694">
        <w:rPr>
          <w:rFonts w:hint="cs"/>
          <w:i/>
          <w:sz w:val="23"/>
          <w:szCs w:val="23"/>
          <w:rtl/>
        </w:rPr>
        <w:t xml:space="preserve"> است، معادله‌ی اویلر برابر خواهد بود با</w:t>
      </w:r>
    </w:p>
    <w:p w14:paraId="282957E1" w14:textId="77777777" w:rsidR="00411620" w:rsidRPr="00D94694" w:rsidRDefault="00411620" w:rsidP="00411620">
      <w:pPr>
        <w:bidi w:val="0"/>
        <w:spacing w:line="216" w:lineRule="auto"/>
        <w:rPr>
          <w:i/>
          <w:sz w:val="23"/>
          <w:szCs w:val="23"/>
        </w:rPr>
      </w:pPr>
      <w:r w:rsidRPr="00D94694">
        <w:rPr>
          <w:position w:val="-30"/>
        </w:rPr>
        <w:object w:dxaOrig="4520" w:dyaOrig="700" w14:anchorId="53C6BEDC">
          <v:shape id="_x0000_i4916" type="#_x0000_t75" style="width:226.3pt;height:35.1pt" o:ole="">
            <v:imagedata r:id="rId7830" o:title=""/>
          </v:shape>
          <o:OLEObject Type="Embed" ProgID="Equation.DSMT4" ShapeID="_x0000_i4916" DrawAspect="Content" ObjectID="_1791378860" r:id="rId7831"/>
        </w:object>
      </w:r>
    </w:p>
    <w:p w14:paraId="551D11E7" w14:textId="77777777" w:rsidR="00411620" w:rsidRPr="00D94694" w:rsidRDefault="00411620" w:rsidP="00411620">
      <w:pPr>
        <w:spacing w:line="216" w:lineRule="auto"/>
        <w:rPr>
          <w:i/>
          <w:sz w:val="23"/>
          <w:szCs w:val="23"/>
          <w:rtl/>
        </w:rPr>
      </w:pPr>
      <w:r w:rsidRPr="00D94694">
        <w:rPr>
          <w:rFonts w:hint="cs"/>
          <w:i/>
          <w:sz w:val="23"/>
          <w:szCs w:val="23"/>
          <w:rtl/>
        </w:rPr>
        <w:t>و چون</w:t>
      </w:r>
    </w:p>
    <w:p w14:paraId="5744A97A" w14:textId="77777777" w:rsidR="00411620" w:rsidRPr="00D94694" w:rsidRDefault="00411620" w:rsidP="00411620">
      <w:pPr>
        <w:bidi w:val="0"/>
        <w:spacing w:line="216" w:lineRule="auto"/>
        <w:rPr>
          <w:i/>
          <w:sz w:val="23"/>
          <w:szCs w:val="23"/>
        </w:rPr>
      </w:pPr>
      <w:r w:rsidRPr="00D94694">
        <w:rPr>
          <w:position w:val="-30"/>
        </w:rPr>
        <w:object w:dxaOrig="4680" w:dyaOrig="700" w14:anchorId="0A94CE79">
          <v:shape id="_x0000_i4917" type="#_x0000_t75" style="width:234.15pt;height:35.1pt" o:ole="">
            <v:imagedata r:id="rId7832" o:title=""/>
          </v:shape>
          <o:OLEObject Type="Embed" ProgID="Equation.DSMT4" ShapeID="_x0000_i4917" DrawAspect="Content" ObjectID="_1791378861" r:id="rId7833"/>
        </w:object>
      </w:r>
    </w:p>
    <w:p w14:paraId="00269001" w14:textId="77777777" w:rsidR="00411620" w:rsidRPr="00D94694" w:rsidRDefault="00411620" w:rsidP="00411620">
      <w:pPr>
        <w:spacing w:line="216" w:lineRule="auto"/>
        <w:rPr>
          <w:i/>
          <w:sz w:val="23"/>
          <w:szCs w:val="23"/>
          <w:rtl/>
        </w:rPr>
      </w:pPr>
      <w:r w:rsidRPr="00D94694">
        <w:rPr>
          <w:rFonts w:hint="cs"/>
          <w:i/>
          <w:sz w:val="23"/>
          <w:szCs w:val="23"/>
          <w:rtl/>
        </w:rPr>
        <w:t>عبارت نرخ بازدهی انتظاری را بدست خواهیم آورد. یعنی</w:t>
      </w:r>
    </w:p>
    <w:p w14:paraId="626F324E" w14:textId="77777777" w:rsidR="00411620" w:rsidRPr="00D94694" w:rsidRDefault="00411620" w:rsidP="00411620">
      <w:pPr>
        <w:bidi w:val="0"/>
        <w:spacing w:line="216" w:lineRule="auto"/>
        <w:rPr>
          <w:i/>
          <w:sz w:val="23"/>
          <w:szCs w:val="23"/>
          <w:rtl/>
        </w:rPr>
      </w:pPr>
      <w:r w:rsidRPr="00D94694">
        <w:rPr>
          <w:position w:val="-30"/>
        </w:rPr>
        <w:object w:dxaOrig="4880" w:dyaOrig="720" w14:anchorId="09C1B58D">
          <v:shape id="_x0000_i4918" type="#_x0000_t75" style="width:243.85pt;height:36.3pt" o:ole="">
            <v:imagedata r:id="rId7834" o:title=""/>
          </v:shape>
          <o:OLEObject Type="Embed" ProgID="Equation.DSMT4" ShapeID="_x0000_i4918" DrawAspect="Content" ObjectID="_1791378862" r:id="rId7835"/>
        </w:object>
      </w:r>
      <w:r w:rsidRPr="00D94694">
        <w:rPr>
          <w:i/>
          <w:sz w:val="23"/>
          <w:szCs w:val="23"/>
        </w:rPr>
        <w:tab/>
      </w:r>
      <w:r w:rsidRPr="00D94694">
        <w:rPr>
          <w:i/>
          <w:sz w:val="23"/>
          <w:szCs w:val="23"/>
        </w:rPr>
        <w:tab/>
      </w:r>
      <w:r>
        <w:rPr>
          <w:i/>
          <w:sz w:val="23"/>
          <w:szCs w:val="23"/>
          <w:rtl/>
        </w:rPr>
        <w:tab/>
      </w:r>
      <w:r w:rsidRPr="00D94694">
        <w:rPr>
          <w:i/>
          <w:sz w:val="23"/>
          <w:szCs w:val="23"/>
          <w:rtl/>
        </w:rPr>
        <w:tab/>
      </w:r>
      <w:r w:rsidRPr="00D94694">
        <w:rPr>
          <w:rFonts w:hint="cs"/>
          <w:i/>
          <w:sz w:val="23"/>
          <w:szCs w:val="23"/>
          <w:rtl/>
        </w:rPr>
        <w:t>(۱۱. ۳۴)</w:t>
      </w:r>
      <w:r w:rsidRPr="00D94694">
        <w:rPr>
          <w:rFonts w:hint="cs"/>
          <w:i/>
          <w:sz w:val="23"/>
          <w:szCs w:val="23"/>
        </w:rPr>
        <w:t xml:space="preserve"> </w:t>
      </w:r>
    </w:p>
    <w:p w14:paraId="5EE9C02A" w14:textId="77777777" w:rsidR="00411620" w:rsidRPr="00D94694" w:rsidRDefault="00411620" w:rsidP="00411620">
      <w:pPr>
        <w:spacing w:line="216" w:lineRule="auto"/>
        <w:rPr>
          <w:i/>
          <w:sz w:val="23"/>
          <w:szCs w:val="23"/>
          <w:rtl/>
        </w:rPr>
      </w:pPr>
    </w:p>
    <w:p w14:paraId="487DEDB7" w14:textId="77777777" w:rsidR="00411620" w:rsidRPr="00D94694" w:rsidRDefault="00411620" w:rsidP="00411620">
      <w:pPr>
        <w:spacing w:line="216" w:lineRule="auto"/>
        <w:rPr>
          <w:bCs/>
          <w:i/>
          <w:sz w:val="23"/>
          <w:szCs w:val="23"/>
          <w:rtl/>
        </w:rPr>
      </w:pPr>
      <w:r w:rsidRPr="00D94694">
        <w:rPr>
          <w:rFonts w:hint="cs"/>
          <w:bCs/>
          <w:i/>
          <w:sz w:val="23"/>
          <w:szCs w:val="23"/>
          <w:rtl/>
        </w:rPr>
        <w:t>قیمت‌گذاری دارایی بدون ریسک</w:t>
      </w:r>
    </w:p>
    <w:p w14:paraId="221552E2" w14:textId="77777777" w:rsidR="00411620" w:rsidRPr="00D94694" w:rsidRDefault="00411620" w:rsidP="00411620">
      <w:pPr>
        <w:spacing w:line="216" w:lineRule="auto"/>
        <w:rPr>
          <w:i/>
          <w:sz w:val="23"/>
          <w:szCs w:val="23"/>
          <w:rtl/>
        </w:rPr>
      </w:pPr>
      <w:r w:rsidRPr="00D94694">
        <w:rPr>
          <w:rFonts w:hint="cs"/>
          <w:i/>
          <w:sz w:val="23"/>
          <w:szCs w:val="23"/>
          <w:rtl/>
        </w:rPr>
        <w:t>معادله‌ی (۱۱. ۳۴) برای هر دارایی ریسکی و یا بدون ریسک برقرار است. چنانچه دارایی بدون ریسک باشد، آنگاه بجای</w:t>
      </w:r>
      <w:r w:rsidRPr="00D94694">
        <w:rPr>
          <w:position w:val="-10"/>
        </w:rPr>
        <w:object w:dxaOrig="180" w:dyaOrig="320" w14:anchorId="675EA189">
          <v:shape id="_x0000_i4919" type="#_x0000_t75" style="width:9.1pt;height:15.75pt" o:ole="">
            <v:imagedata r:id="rId7836" o:title=""/>
          </v:shape>
          <o:OLEObject Type="Embed" ProgID="Equation.DSMT4" ShapeID="_x0000_i4919" DrawAspect="Content" ObjectID="_1791378863" r:id="rId7837"/>
        </w:object>
      </w:r>
      <w:r w:rsidRPr="00D94694">
        <w:rPr>
          <w:rFonts w:hint="cs"/>
          <w:i/>
          <w:sz w:val="23"/>
          <w:szCs w:val="23"/>
          <w:rtl/>
        </w:rPr>
        <w:t xml:space="preserve"> در قید بودجه می‌توان از نرخ بدون ریسک</w:t>
      </w:r>
      <w:r w:rsidRPr="00D94694">
        <w:rPr>
          <w:position w:val="-10"/>
        </w:rPr>
        <w:object w:dxaOrig="320" w:dyaOrig="340" w14:anchorId="3467F144">
          <v:shape id="_x0000_i4920" type="#_x0000_t75" style="width:15.75pt;height:16.95pt" o:ole="">
            <v:imagedata r:id="rId7838" o:title=""/>
          </v:shape>
          <o:OLEObject Type="Embed" ProgID="Equation.DSMT4" ShapeID="_x0000_i4920" DrawAspect="Content" ObjectID="_1791378864" r:id="rId7839"/>
        </w:object>
      </w:r>
      <w:r w:rsidRPr="00D94694">
        <w:rPr>
          <w:rFonts w:hint="cs"/>
          <w:i/>
          <w:sz w:val="23"/>
          <w:szCs w:val="23"/>
          <w:rtl/>
        </w:rPr>
        <w:t>، و یا بجای</w:t>
      </w:r>
      <w:r w:rsidRPr="00D94694">
        <w:rPr>
          <w:position w:val="-10"/>
        </w:rPr>
        <w:object w:dxaOrig="320" w:dyaOrig="320" w14:anchorId="129F9825">
          <v:shape id="_x0000_i4921" type="#_x0000_t75" style="width:15.75pt;height:15.75pt" o:ole="">
            <v:imagedata r:id="rId7840" o:title=""/>
          </v:shape>
          <o:OLEObject Type="Embed" ProgID="Equation.DSMT4" ShapeID="_x0000_i4921" DrawAspect="Content" ObjectID="_1791378865" r:id="rId7841"/>
        </w:object>
      </w:r>
      <w:r w:rsidRPr="00D94694">
        <w:rPr>
          <w:rFonts w:hint="cs"/>
          <w:i/>
          <w:sz w:val="23"/>
          <w:szCs w:val="23"/>
          <w:rtl/>
        </w:rPr>
        <w:t xml:space="preserve"> در معادله‌ی (۱۱.۳۴) از نرخ بدون ریسک</w:t>
      </w:r>
      <w:r w:rsidRPr="00D94694">
        <w:rPr>
          <w:position w:val="-10"/>
        </w:rPr>
        <w:object w:dxaOrig="240" w:dyaOrig="340" w14:anchorId="0F9C8023">
          <v:shape id="_x0000_i4922" type="#_x0000_t75" style="width:12.1pt;height:16.95pt" o:ole="">
            <v:imagedata r:id="rId7842" o:title=""/>
          </v:shape>
          <o:OLEObject Type="Embed" ProgID="Equation.DSMT4" ShapeID="_x0000_i4922" DrawAspect="Content" ObjectID="_1791378866" r:id="rId7843"/>
        </w:object>
      </w:r>
      <w:r w:rsidRPr="00D94694">
        <w:rPr>
          <w:rFonts w:hint="cs"/>
          <w:i/>
          <w:sz w:val="23"/>
          <w:szCs w:val="23"/>
          <w:rtl/>
        </w:rPr>
        <w:t xml:space="preserve"> که در زمان</w:t>
      </w:r>
      <w:r w:rsidRPr="00D94694">
        <w:rPr>
          <w:position w:val="-6"/>
        </w:rPr>
        <w:object w:dxaOrig="139" w:dyaOrig="240" w14:anchorId="01EC7724">
          <v:shape id="_x0000_i4923" type="#_x0000_t75" style="width:7.25pt;height:12.1pt" o:ole="">
            <v:imagedata r:id="rId7844" o:title=""/>
          </v:shape>
          <o:OLEObject Type="Embed" ProgID="Equation.DSMT4" ShapeID="_x0000_i4923" DrawAspect="Content" ObjectID="_1791378867" r:id="rId7845"/>
        </w:object>
      </w:r>
      <w:r w:rsidRPr="00D94694">
        <w:rPr>
          <w:i/>
          <w:sz w:val="23"/>
          <w:szCs w:val="23"/>
        </w:rPr>
        <w:t xml:space="preserve"> </w:t>
      </w:r>
      <w:r w:rsidRPr="00D94694">
        <w:rPr>
          <w:rFonts w:hint="cs"/>
          <w:i/>
          <w:sz w:val="23"/>
          <w:szCs w:val="23"/>
          <w:rtl/>
        </w:rPr>
        <w:t>معین است استفاده نمود. بنابراین با توجه به این</w:t>
      </w:r>
      <w:r w:rsidRPr="00D94694">
        <w:rPr>
          <w:i/>
          <w:sz w:val="23"/>
          <w:szCs w:val="23"/>
          <w:rtl/>
        </w:rPr>
        <w:softHyphen/>
      </w:r>
      <w:r w:rsidRPr="00D94694">
        <w:rPr>
          <w:rFonts w:hint="cs"/>
          <w:i/>
          <w:sz w:val="23"/>
          <w:szCs w:val="23"/>
          <w:rtl/>
        </w:rPr>
        <w:t xml:space="preserve">که </w:t>
      </w:r>
      <w:r w:rsidRPr="00D94694">
        <w:rPr>
          <w:position w:val="-16"/>
        </w:rPr>
        <w:object w:dxaOrig="1060" w:dyaOrig="420" w14:anchorId="67A34AEF">
          <v:shape id="_x0000_i4924" type="#_x0000_t75" style="width:53.25pt;height:21.2pt" o:ole="">
            <v:imagedata r:id="rId7846" o:title=""/>
          </v:shape>
          <o:OLEObject Type="Embed" ProgID="Equation.DSMT4" ShapeID="_x0000_i4924" DrawAspect="Content" ObjectID="_1791378868" r:id="rId7847"/>
        </w:object>
      </w:r>
      <w:r w:rsidRPr="00D94694">
        <w:rPr>
          <w:rFonts w:hint="cs"/>
          <w:i/>
          <w:sz w:val="23"/>
          <w:szCs w:val="23"/>
          <w:rtl/>
        </w:rPr>
        <w:t xml:space="preserve"> و </w:t>
      </w:r>
      <w:r w:rsidRPr="00D94694">
        <w:rPr>
          <w:position w:val="-16"/>
        </w:rPr>
        <w:object w:dxaOrig="2079" w:dyaOrig="420" w14:anchorId="7E7EAF21">
          <v:shape id="_x0000_i4925" type="#_x0000_t75" style="width:104.05pt;height:21.2pt" o:ole="">
            <v:imagedata r:id="rId7848" o:title=""/>
          </v:shape>
          <o:OLEObject Type="Embed" ProgID="Equation.DSMT4" ShapeID="_x0000_i4925" DrawAspect="Content" ObjectID="_1791378869" r:id="rId7849"/>
        </w:object>
      </w:r>
      <w:r w:rsidRPr="00D94694">
        <w:rPr>
          <w:rFonts w:hint="cs"/>
          <w:i/>
          <w:sz w:val="23"/>
          <w:szCs w:val="23"/>
          <w:rtl/>
        </w:rPr>
        <w:t>، آنگاه معادله‌ی (۱۱. ۳۴) برابر خواهد بود با</w:t>
      </w:r>
    </w:p>
    <w:p w14:paraId="271973EE" w14:textId="77777777" w:rsidR="00411620" w:rsidRPr="00D94694" w:rsidRDefault="00411620" w:rsidP="00411620">
      <w:pPr>
        <w:bidi w:val="0"/>
        <w:spacing w:line="216" w:lineRule="auto"/>
        <w:rPr>
          <w:i/>
          <w:sz w:val="23"/>
          <w:szCs w:val="23"/>
        </w:rPr>
      </w:pPr>
      <w:r w:rsidRPr="00D94694">
        <w:rPr>
          <w:position w:val="-30"/>
        </w:rPr>
        <w:object w:dxaOrig="2160" w:dyaOrig="700" w14:anchorId="5D1182F1">
          <v:shape id="_x0000_i4926" type="#_x0000_t75" style="width:108.3pt;height:35.1pt" o:ole="">
            <v:imagedata r:id="rId7850" o:title=""/>
          </v:shape>
          <o:OLEObject Type="Embed" ProgID="Equation.DSMT4" ShapeID="_x0000_i4926" DrawAspect="Content" ObjectID="_1791378870" r:id="rId7851"/>
        </w:object>
      </w:r>
      <w:r w:rsidRPr="00D94694">
        <w:rPr>
          <w:rFonts w:hint="cs"/>
          <w:i/>
          <w:sz w:val="23"/>
          <w:szCs w:val="23"/>
          <w:rtl/>
        </w:rPr>
        <w:t xml:space="preserve"> </w:t>
      </w:r>
    </w:p>
    <w:p w14:paraId="16814469" w14:textId="77777777" w:rsidR="00411620" w:rsidRPr="00D94694" w:rsidRDefault="00411620" w:rsidP="00411620">
      <w:pPr>
        <w:spacing w:line="216" w:lineRule="auto"/>
        <w:rPr>
          <w:bCs/>
          <w:i/>
          <w:sz w:val="23"/>
          <w:szCs w:val="23"/>
          <w:rtl/>
        </w:rPr>
      </w:pPr>
      <w:r w:rsidRPr="00D94694">
        <w:rPr>
          <w:rFonts w:hint="cs"/>
          <w:bCs/>
          <w:i/>
          <w:sz w:val="23"/>
          <w:szCs w:val="23"/>
          <w:rtl/>
        </w:rPr>
        <w:t>رابطه‌ی عدم وجود آربیتراژ</w:t>
      </w:r>
    </w:p>
    <w:p w14:paraId="782A268A" w14:textId="77777777" w:rsidR="00411620" w:rsidRPr="00D94694" w:rsidRDefault="00411620" w:rsidP="00411620">
      <w:pPr>
        <w:spacing w:line="216" w:lineRule="auto"/>
        <w:rPr>
          <w:i/>
          <w:sz w:val="23"/>
          <w:szCs w:val="23"/>
          <w:rtl/>
        </w:rPr>
      </w:pPr>
      <w:r w:rsidRPr="00D94694">
        <w:rPr>
          <w:rFonts w:hint="cs"/>
          <w:i/>
          <w:sz w:val="23"/>
          <w:szCs w:val="23"/>
          <w:rtl/>
        </w:rPr>
        <w:t xml:space="preserve"> با ترکیب معادله‌ی (۱۱. ۳۴) و (۱۱.</w:t>
      </w:r>
      <w:r w:rsidRPr="00D94694">
        <w:rPr>
          <w:i/>
          <w:sz w:val="23"/>
          <w:szCs w:val="23"/>
        </w:rPr>
        <w:t xml:space="preserve"> </w:t>
      </w:r>
      <w:r w:rsidRPr="00D94694">
        <w:rPr>
          <w:rFonts w:hint="cs"/>
          <w:i/>
          <w:sz w:val="23"/>
          <w:szCs w:val="23"/>
          <w:rtl/>
        </w:rPr>
        <w:t>۳۵) معادله‌ی عدم وجود آربیتراژ بدست می‌آید. یعنی</w:t>
      </w:r>
    </w:p>
    <w:p w14:paraId="04157765" w14:textId="77777777" w:rsidR="00411620" w:rsidRPr="00D94694" w:rsidRDefault="00411620" w:rsidP="00411620">
      <w:pPr>
        <w:bidi w:val="0"/>
        <w:spacing w:line="216" w:lineRule="auto"/>
        <w:rPr>
          <w:i/>
          <w:sz w:val="23"/>
          <w:szCs w:val="23"/>
          <w:rtl/>
        </w:rPr>
      </w:pPr>
      <w:r w:rsidRPr="00D94694">
        <w:rPr>
          <w:position w:val="-52"/>
        </w:rPr>
        <w:object w:dxaOrig="4260" w:dyaOrig="1140" w14:anchorId="03D93E6E">
          <v:shape id="_x0000_i4927" type="#_x0000_t75" style="width:212.95pt;height:56.85pt" o:ole="">
            <v:imagedata r:id="rId7852" o:title=""/>
          </v:shape>
          <o:OLEObject Type="Embed" ProgID="Equation.DSMT4" ShapeID="_x0000_i4927" DrawAspect="Content" ObjectID="_1791378871" r:id="rId7853"/>
        </w:object>
      </w:r>
      <w:r w:rsidRPr="00D94694">
        <w:rPr>
          <w:i/>
          <w:sz w:val="23"/>
          <w:szCs w:val="23"/>
        </w:rPr>
        <w:tab/>
      </w:r>
      <w:r w:rsidRPr="00D94694">
        <w:rPr>
          <w:i/>
          <w:sz w:val="23"/>
          <w:szCs w:val="23"/>
        </w:rPr>
        <w:tab/>
      </w:r>
      <w:r w:rsidRPr="00D94694">
        <w:rPr>
          <w:i/>
          <w:sz w:val="23"/>
          <w:szCs w:val="23"/>
        </w:rPr>
        <w:tab/>
      </w:r>
      <w:r w:rsidRPr="00D94694">
        <w:rPr>
          <w:i/>
          <w:sz w:val="23"/>
          <w:szCs w:val="23"/>
        </w:rPr>
        <w:tab/>
      </w:r>
      <w:r>
        <w:rPr>
          <w:i/>
          <w:sz w:val="23"/>
          <w:szCs w:val="23"/>
          <w:rtl/>
        </w:rPr>
        <w:tab/>
      </w:r>
      <w:r w:rsidRPr="00D94694">
        <w:rPr>
          <w:i/>
          <w:sz w:val="23"/>
          <w:szCs w:val="23"/>
        </w:rPr>
        <w:tab/>
      </w:r>
      <w:r w:rsidRPr="00D94694">
        <w:rPr>
          <w:rFonts w:hint="cs"/>
          <w:i/>
          <w:sz w:val="23"/>
          <w:szCs w:val="23"/>
          <w:rtl/>
        </w:rPr>
        <w:t>(۱۱. ۳۶)</w:t>
      </w:r>
      <w:r w:rsidRPr="00D94694">
        <w:rPr>
          <w:rFonts w:hint="cs"/>
          <w:i/>
          <w:sz w:val="23"/>
          <w:szCs w:val="23"/>
        </w:rPr>
        <w:t xml:space="preserve"> </w:t>
      </w:r>
    </w:p>
    <w:p w14:paraId="46920986" w14:textId="77777777" w:rsidR="00411620" w:rsidRPr="00D94694" w:rsidRDefault="00411620" w:rsidP="00411620">
      <w:pPr>
        <w:spacing w:line="216" w:lineRule="auto"/>
        <w:rPr>
          <w:i/>
          <w:sz w:val="23"/>
          <w:szCs w:val="23"/>
          <w:rtl/>
        </w:rPr>
      </w:pPr>
      <w:r w:rsidRPr="00D94694">
        <w:rPr>
          <w:rFonts w:hint="cs"/>
          <w:i/>
          <w:sz w:val="23"/>
          <w:szCs w:val="23"/>
          <w:rtl/>
        </w:rPr>
        <w:t xml:space="preserve">آخرین عبارت معادله‌ی (۱۱. ۳۶) پاداش ریسک خواهد بود. بنابراین، دارایی، ریسکی است اگر برای حالاتی که در آن بازدهی پایین است، نرخ نهایی جانشینی بین‌دوره‌ای مصرف </w:t>
      </w:r>
      <w:r w:rsidRPr="00D94694">
        <w:rPr>
          <w:position w:val="-12"/>
        </w:rPr>
        <w:object w:dxaOrig="1760" w:dyaOrig="360" w14:anchorId="403CC47F">
          <v:shape id="_x0000_i4928" type="#_x0000_t75" style="width:87.75pt;height:18.15pt" o:ole="">
            <v:imagedata r:id="rId7854" o:title=""/>
          </v:shape>
          <o:OLEObject Type="Embed" ProgID="Equation.DSMT4" ShapeID="_x0000_i4928" DrawAspect="Content" ObjectID="_1791378872" r:id="rId7855"/>
        </w:object>
      </w:r>
      <w:r w:rsidRPr="00D94694">
        <w:rPr>
          <w:rFonts w:hint="cs"/>
          <w:i/>
          <w:sz w:val="23"/>
          <w:szCs w:val="23"/>
          <w:rtl/>
        </w:rPr>
        <w:t xml:space="preserve"> بالا باشد. از آنجا که</w:t>
      </w:r>
      <w:r w:rsidRPr="00D94694">
        <w:rPr>
          <w:position w:val="-10"/>
        </w:rPr>
        <w:object w:dxaOrig="480" w:dyaOrig="320" w14:anchorId="764B215D">
          <v:shape id="_x0000_i4929" type="#_x0000_t75" style="width:24.2pt;height:15.75pt" o:ole="">
            <v:imagedata r:id="rId7856" o:title=""/>
          </v:shape>
          <o:OLEObject Type="Embed" ProgID="Equation.DSMT4" ShapeID="_x0000_i4929" DrawAspect="Content" ObjectID="_1791378873" r:id="rId7857"/>
        </w:object>
      </w:r>
      <w:r w:rsidRPr="00D94694">
        <w:rPr>
          <w:rFonts w:hint="cs"/>
          <w:i/>
          <w:sz w:val="23"/>
          <w:szCs w:val="23"/>
          <w:rtl/>
        </w:rPr>
        <w:t xml:space="preserve"> بالا است، اگر مصرف آتی پایین باشد، یک دارایی ریسکی در وضعیت‌هایی که مصرف</w:t>
      </w:r>
      <w:r w:rsidRPr="00D94694">
        <w:rPr>
          <w:i/>
          <w:sz w:val="23"/>
          <w:szCs w:val="23"/>
          <w:rtl/>
        </w:rPr>
        <w:softHyphen/>
      </w:r>
      <w:r w:rsidRPr="00D94694">
        <w:rPr>
          <w:rFonts w:hint="cs"/>
          <w:i/>
          <w:sz w:val="23"/>
          <w:szCs w:val="23"/>
          <w:rtl/>
        </w:rPr>
        <w:t>کننده مصرف پایینی دارد بازدهی‌های پایینی خواهد داشت. این موقعیت بخصوص در یک</w:t>
      </w:r>
      <w:r w:rsidRPr="00D94694">
        <w:rPr>
          <w:i/>
          <w:sz w:val="23"/>
          <w:szCs w:val="23"/>
        </w:rPr>
        <w:t xml:space="preserve"> </w:t>
      </w:r>
      <w:r w:rsidRPr="00D94694">
        <w:rPr>
          <w:rFonts w:hint="cs"/>
          <w:i/>
          <w:sz w:val="23"/>
          <w:szCs w:val="23"/>
          <w:rtl/>
        </w:rPr>
        <w:t>چرخه</w:t>
      </w:r>
      <w:r w:rsidRPr="00D94694">
        <w:rPr>
          <w:i/>
          <w:sz w:val="23"/>
          <w:szCs w:val="23"/>
          <w:rtl/>
        </w:rPr>
        <w:softHyphen/>
      </w:r>
      <w:r w:rsidRPr="00D94694">
        <w:rPr>
          <w:rFonts w:hint="cs"/>
          <w:i/>
          <w:sz w:val="23"/>
          <w:szCs w:val="23"/>
          <w:rtl/>
        </w:rPr>
        <w:t xml:space="preserve">ی تجاری اتفاق خواهد افتاد. برای مثال، در شرایط رکود، نرخ رشدِ دو متغیرِ بازدهی و مصرف پایین، و در شرایط رونق نرخ رشد آن دو بالا است. لذا همبستگی بین آن دو و به تبع آن پاداش ریسک مثبت خواهد بود. </w:t>
      </w:r>
    </w:p>
    <w:p w14:paraId="6B843D7B" w14:textId="77777777" w:rsidR="00411620" w:rsidRPr="00D94694" w:rsidRDefault="00411620" w:rsidP="00411620">
      <w:pPr>
        <w:spacing w:line="216" w:lineRule="auto"/>
        <w:rPr>
          <w:i/>
          <w:sz w:val="23"/>
          <w:szCs w:val="23"/>
          <w:rtl/>
        </w:rPr>
      </w:pPr>
      <w:r w:rsidRPr="00D94694">
        <w:rPr>
          <w:rFonts w:hint="cs"/>
          <w:i/>
          <w:sz w:val="23"/>
          <w:szCs w:val="23"/>
          <w:rtl/>
        </w:rPr>
        <w:t>همچنین معادله‌ی (۱۱. ۳۶) را می‌توان بر حسب مازاد بازدهی بازنویسی کرد. لذا</w:t>
      </w:r>
    </w:p>
    <w:p w14:paraId="4B3795CA" w14:textId="77777777" w:rsidR="00411620" w:rsidRPr="00D94694" w:rsidRDefault="00411620" w:rsidP="00411620">
      <w:pPr>
        <w:bidi w:val="0"/>
        <w:spacing w:line="216" w:lineRule="auto"/>
        <w:rPr>
          <w:i/>
          <w:sz w:val="23"/>
          <w:szCs w:val="23"/>
          <w:rtl/>
        </w:rPr>
      </w:pPr>
      <w:r w:rsidRPr="00D94694">
        <w:rPr>
          <w:position w:val="-30"/>
        </w:rPr>
        <w:object w:dxaOrig="4020" w:dyaOrig="700" w14:anchorId="3B4BD5D6">
          <v:shape id="_x0000_i4930" type="#_x0000_t75" style="width:200.85pt;height:35.1pt" o:ole="">
            <v:imagedata r:id="rId7858" o:title=""/>
          </v:shape>
          <o:OLEObject Type="Embed" ProgID="Equation.DSMT4" ShapeID="_x0000_i4930" DrawAspect="Content" ObjectID="_1791378874" r:id="rId7859"/>
        </w:object>
      </w:r>
      <w:r w:rsidRPr="00D94694">
        <w:rPr>
          <w:i/>
          <w:sz w:val="23"/>
          <w:szCs w:val="23"/>
        </w:rPr>
        <w:tab/>
      </w:r>
      <w:r w:rsidRPr="00D94694">
        <w:rPr>
          <w:i/>
          <w:sz w:val="23"/>
          <w:szCs w:val="23"/>
        </w:rPr>
        <w:tab/>
      </w:r>
      <w:r>
        <w:rPr>
          <w:i/>
          <w:sz w:val="23"/>
          <w:szCs w:val="23"/>
          <w:rtl/>
        </w:rPr>
        <w:tab/>
      </w:r>
      <w:r>
        <w:rPr>
          <w:i/>
          <w:sz w:val="23"/>
          <w:szCs w:val="23"/>
          <w:rtl/>
        </w:rPr>
        <w:tab/>
      </w:r>
      <w:r w:rsidRPr="00D94694">
        <w:rPr>
          <w:i/>
          <w:sz w:val="23"/>
          <w:szCs w:val="23"/>
        </w:rPr>
        <w:tab/>
      </w:r>
      <w:r w:rsidRPr="00D94694">
        <w:rPr>
          <w:i/>
          <w:sz w:val="23"/>
          <w:szCs w:val="23"/>
        </w:rPr>
        <w:tab/>
      </w:r>
      <w:r w:rsidRPr="00D94694">
        <w:rPr>
          <w:i/>
          <w:sz w:val="23"/>
          <w:szCs w:val="23"/>
        </w:rPr>
        <w:tab/>
      </w:r>
      <w:r w:rsidRPr="00D94694">
        <w:rPr>
          <w:rFonts w:hint="cs"/>
          <w:i/>
          <w:sz w:val="23"/>
          <w:szCs w:val="23"/>
          <w:rtl/>
        </w:rPr>
        <w:t>(۱۱. ۳۷)</w:t>
      </w:r>
      <w:r w:rsidRPr="00D94694">
        <w:rPr>
          <w:rFonts w:hint="cs"/>
          <w:i/>
          <w:sz w:val="23"/>
          <w:szCs w:val="23"/>
        </w:rPr>
        <w:t xml:space="preserve"> </w:t>
      </w:r>
    </w:p>
    <w:p w14:paraId="2E7A34D6" w14:textId="77777777" w:rsidR="00411620" w:rsidRPr="00D94694" w:rsidRDefault="00411620" w:rsidP="00411620">
      <w:pPr>
        <w:spacing w:line="216" w:lineRule="auto"/>
        <w:rPr>
          <w:i/>
          <w:sz w:val="23"/>
          <w:szCs w:val="23"/>
          <w:rtl/>
        </w:rPr>
      </w:pPr>
      <w:r w:rsidRPr="00D94694">
        <w:rPr>
          <w:rFonts w:hint="cs"/>
          <w:i/>
          <w:sz w:val="23"/>
          <w:szCs w:val="23"/>
          <w:rtl/>
        </w:rPr>
        <w:t>بطوری</w:t>
      </w:r>
      <w:r w:rsidRPr="00D94694">
        <w:rPr>
          <w:i/>
          <w:sz w:val="23"/>
          <w:szCs w:val="23"/>
          <w:rtl/>
        </w:rPr>
        <w:softHyphen/>
      </w:r>
      <w:r w:rsidRPr="00D94694">
        <w:rPr>
          <w:rFonts w:hint="cs"/>
          <w:i/>
          <w:sz w:val="23"/>
          <w:szCs w:val="23"/>
          <w:rtl/>
        </w:rPr>
        <w:t>که</w:t>
      </w:r>
    </w:p>
    <w:p w14:paraId="2149B00A" w14:textId="77777777" w:rsidR="00411620" w:rsidRPr="00D94694" w:rsidRDefault="00411620" w:rsidP="00411620">
      <w:pPr>
        <w:bidi w:val="0"/>
        <w:spacing w:line="216" w:lineRule="auto"/>
        <w:rPr>
          <w:i/>
          <w:sz w:val="23"/>
          <w:szCs w:val="23"/>
          <w:rtl/>
        </w:rPr>
      </w:pPr>
      <w:r w:rsidRPr="00D94694">
        <w:rPr>
          <w:position w:val="-64"/>
        </w:rPr>
        <w:object w:dxaOrig="3600" w:dyaOrig="1380" w14:anchorId="67573FB1">
          <v:shape id="_x0000_i4931" type="#_x0000_t75" style="width:180.3pt;height:68.95pt" o:ole="">
            <v:imagedata r:id="rId7860" o:title=""/>
          </v:shape>
          <o:OLEObject Type="Embed" ProgID="Equation.DSMT4" ShapeID="_x0000_i4931" DrawAspect="Content" ObjectID="_1791378875" r:id="rId7861"/>
        </w:object>
      </w:r>
      <w:r w:rsidRPr="00D94694">
        <w:rPr>
          <w:i/>
          <w:sz w:val="23"/>
          <w:szCs w:val="23"/>
          <w:rtl/>
        </w:rPr>
        <w:tab/>
      </w:r>
      <w:r w:rsidRPr="00D94694">
        <w:rPr>
          <w:i/>
          <w:sz w:val="23"/>
          <w:szCs w:val="23"/>
        </w:rPr>
        <w:tab/>
      </w:r>
      <w:r w:rsidRPr="00D94694">
        <w:rPr>
          <w:i/>
          <w:sz w:val="23"/>
          <w:szCs w:val="23"/>
        </w:rPr>
        <w:tab/>
      </w:r>
      <w:r>
        <w:rPr>
          <w:i/>
          <w:sz w:val="23"/>
          <w:szCs w:val="23"/>
          <w:rtl/>
        </w:rPr>
        <w:tab/>
      </w:r>
      <w:r w:rsidRPr="00D94694">
        <w:rPr>
          <w:i/>
          <w:sz w:val="23"/>
          <w:szCs w:val="23"/>
        </w:rPr>
        <w:tab/>
      </w:r>
      <w:r w:rsidRPr="00D94694">
        <w:rPr>
          <w:i/>
          <w:sz w:val="23"/>
          <w:szCs w:val="23"/>
          <w:rtl/>
        </w:rPr>
        <w:tab/>
      </w:r>
      <w:r>
        <w:rPr>
          <w:i/>
          <w:sz w:val="23"/>
          <w:szCs w:val="23"/>
          <w:rtl/>
        </w:rPr>
        <w:tab/>
      </w:r>
      <w:r>
        <w:rPr>
          <w:i/>
          <w:sz w:val="23"/>
          <w:szCs w:val="23"/>
          <w:rtl/>
        </w:rPr>
        <w:tab/>
      </w:r>
      <w:r w:rsidRPr="00D94694">
        <w:rPr>
          <w:i/>
          <w:sz w:val="23"/>
          <w:szCs w:val="23"/>
        </w:rPr>
        <w:tab/>
      </w:r>
      <w:r w:rsidRPr="00D94694">
        <w:rPr>
          <w:rFonts w:hint="cs"/>
          <w:i/>
          <w:sz w:val="23"/>
          <w:szCs w:val="23"/>
          <w:rtl/>
        </w:rPr>
        <w:t>(۱۱. ۳۸)</w:t>
      </w:r>
      <w:r w:rsidRPr="00D94694">
        <w:rPr>
          <w:rFonts w:hint="cs"/>
          <w:i/>
          <w:sz w:val="23"/>
          <w:szCs w:val="23"/>
        </w:rPr>
        <w:t xml:space="preserve"> </w:t>
      </w:r>
    </w:p>
    <w:p w14:paraId="22F32F40" w14:textId="77777777" w:rsidR="00411620" w:rsidRPr="00D94694" w:rsidRDefault="00411620" w:rsidP="00411620">
      <w:pPr>
        <w:spacing w:line="216" w:lineRule="auto"/>
        <w:rPr>
          <w:i/>
          <w:sz w:val="23"/>
          <w:szCs w:val="23"/>
          <w:rtl/>
        </w:rPr>
      </w:pPr>
      <w:r w:rsidRPr="00D94694">
        <w:rPr>
          <w:rFonts w:hint="cs"/>
          <w:i/>
          <w:sz w:val="23"/>
          <w:szCs w:val="23"/>
          <w:rtl/>
        </w:rPr>
        <w:t>بخاطر آن که</w:t>
      </w:r>
      <w:r w:rsidRPr="00D94694">
        <w:rPr>
          <w:position w:val="-10"/>
        </w:rPr>
        <w:object w:dxaOrig="240" w:dyaOrig="340" w14:anchorId="1933580C">
          <v:shape id="_x0000_i4932" type="#_x0000_t75" style="width:12.1pt;height:16.95pt" o:ole="">
            <v:imagedata r:id="rId7862" o:title=""/>
          </v:shape>
          <o:OLEObject Type="Embed" ProgID="Equation.DSMT4" ShapeID="_x0000_i4932" DrawAspect="Content" ObjectID="_1791378876" r:id="rId7863"/>
        </w:object>
      </w:r>
      <w:r w:rsidRPr="00D94694">
        <w:rPr>
          <w:rFonts w:hint="cs"/>
          <w:i/>
          <w:sz w:val="23"/>
          <w:szCs w:val="23"/>
          <w:rtl/>
        </w:rPr>
        <w:t xml:space="preserve"> بخشی از مجموع اطلاعات در زمان</w:t>
      </w:r>
      <w:r w:rsidRPr="00D94694">
        <w:rPr>
          <w:position w:val="-6"/>
        </w:rPr>
        <w:object w:dxaOrig="139" w:dyaOrig="240" w14:anchorId="61C589AB">
          <v:shape id="_x0000_i4933" type="#_x0000_t75" style="width:7.25pt;height:12.1pt" o:ole="">
            <v:imagedata r:id="rId7864" o:title=""/>
          </v:shape>
          <o:OLEObject Type="Embed" ProgID="Equation.DSMT4" ShapeID="_x0000_i4933" DrawAspect="Content" ObjectID="_1791378877" r:id="rId7865"/>
        </w:object>
      </w:r>
      <w:r w:rsidRPr="00D94694">
        <w:rPr>
          <w:i/>
          <w:sz w:val="23"/>
          <w:szCs w:val="23"/>
        </w:rPr>
        <w:t xml:space="preserve"> </w:t>
      </w:r>
      <w:r w:rsidRPr="00D94694">
        <w:rPr>
          <w:rFonts w:hint="cs"/>
          <w:i/>
          <w:sz w:val="23"/>
          <w:szCs w:val="23"/>
          <w:rtl/>
        </w:rPr>
        <w:t>است.</w:t>
      </w:r>
      <w:r w:rsidRPr="00D94694">
        <w:rPr>
          <w:position w:val="-30"/>
        </w:rPr>
        <w:object w:dxaOrig="1700" w:dyaOrig="700" w14:anchorId="723F3FA2">
          <v:shape id="_x0000_i4934" type="#_x0000_t75" style="width:85.3pt;height:35.1pt" o:ole="">
            <v:imagedata r:id="rId7866" o:title=""/>
          </v:shape>
          <o:OLEObject Type="Embed" ProgID="Equation.DSMT4" ShapeID="_x0000_i4934" DrawAspect="Content" ObjectID="_1791378878" r:id="rId7867"/>
        </w:object>
      </w:r>
      <w:r w:rsidRPr="00D94694">
        <w:rPr>
          <w:rFonts w:hint="cs"/>
          <w:i/>
          <w:sz w:val="23"/>
          <w:szCs w:val="23"/>
          <w:rtl/>
        </w:rPr>
        <w:t>ضریب رگرسیون</w:t>
      </w:r>
      <w:r w:rsidRPr="00D94694">
        <w:rPr>
          <w:position w:val="-10"/>
        </w:rPr>
        <w:object w:dxaOrig="700" w:dyaOrig="340" w14:anchorId="7F7913DF">
          <v:shape id="_x0000_i4935" type="#_x0000_t75" style="width:35.1pt;height:16.95pt" o:ole="">
            <v:imagedata r:id="rId7868" o:title=""/>
          </v:shape>
          <o:OLEObject Type="Embed" ProgID="Equation.DSMT4" ShapeID="_x0000_i4935" DrawAspect="Content" ObjectID="_1791378879" r:id="rId7869"/>
        </w:object>
      </w:r>
      <w:r w:rsidRPr="00D94694">
        <w:rPr>
          <w:rFonts w:hint="cs"/>
          <w:i/>
          <w:sz w:val="23"/>
          <w:szCs w:val="23"/>
          <w:rtl/>
        </w:rPr>
        <w:t xml:space="preserve"> بر </w:t>
      </w:r>
      <w:r w:rsidRPr="00D94694">
        <w:rPr>
          <w:position w:val="-28"/>
        </w:rPr>
        <w:object w:dxaOrig="520" w:dyaOrig="639" w14:anchorId="62FC531D">
          <v:shape id="_x0000_i4936" type="#_x0000_t75" style="width:26pt;height:32.05pt" o:ole="">
            <v:imagedata r:id="rId7870" o:title=""/>
          </v:shape>
          <o:OLEObject Type="Embed" ProgID="Equation.DSMT4" ShapeID="_x0000_i4936" DrawAspect="Content" ObjectID="_1791378880" r:id="rId7871"/>
        </w:object>
      </w:r>
      <w:r w:rsidRPr="00D94694">
        <w:rPr>
          <w:rFonts w:hint="cs"/>
          <w:i/>
          <w:sz w:val="23"/>
          <w:szCs w:val="23"/>
          <w:rtl/>
        </w:rPr>
        <w:t xml:space="preserve"> با توجه به داده های تا زمان</w:t>
      </w:r>
      <w:r w:rsidRPr="00D94694">
        <w:rPr>
          <w:position w:val="-6"/>
        </w:rPr>
        <w:object w:dxaOrig="139" w:dyaOrig="240" w14:anchorId="050D582E">
          <v:shape id="_x0000_i4937" type="#_x0000_t75" style="width:7.25pt;height:12.1pt" o:ole="">
            <v:imagedata r:id="rId7872" o:title=""/>
          </v:shape>
          <o:OLEObject Type="Embed" ProgID="Equation.DSMT4" ShapeID="_x0000_i4937" DrawAspect="Content" ObjectID="_1791378881" r:id="rId7873"/>
        </w:object>
      </w:r>
      <w:r w:rsidRPr="00D94694">
        <w:rPr>
          <w:i/>
          <w:sz w:val="23"/>
          <w:szCs w:val="23"/>
        </w:rPr>
        <w:t xml:space="preserve"> </w:t>
      </w:r>
      <w:r w:rsidRPr="00D94694">
        <w:rPr>
          <w:rFonts w:hint="cs"/>
          <w:i/>
          <w:sz w:val="23"/>
          <w:szCs w:val="23"/>
          <w:rtl/>
        </w:rPr>
        <w:t>است.</w:t>
      </w:r>
    </w:p>
    <w:p w14:paraId="666865E4" w14:textId="77777777" w:rsidR="00411620" w:rsidRPr="00D94694" w:rsidRDefault="00411620" w:rsidP="00411620">
      <w:pPr>
        <w:spacing w:line="216" w:lineRule="auto"/>
        <w:rPr>
          <w:i/>
          <w:sz w:val="23"/>
          <w:szCs w:val="23"/>
          <w:rtl/>
        </w:rPr>
      </w:pPr>
      <w:r w:rsidRPr="00D94694">
        <w:rPr>
          <w:rFonts w:hint="cs"/>
          <w:i/>
          <w:sz w:val="23"/>
          <w:szCs w:val="23"/>
          <w:rtl/>
        </w:rPr>
        <w:t>نتایج فوق نشان می‌دهد که در بازار کارا قیمت دارایی‌های ریسکی بر اساس دارایی بدون ریسک بانضمام یک پاداش ریسک دارایی خاص که مبین منابع ریسک اقتصاد کلان است بدست می‌آید.</w:t>
      </w:r>
    </w:p>
    <w:p w14:paraId="4E19CC25" w14:textId="77777777" w:rsidR="00411620" w:rsidRPr="00D94694" w:rsidRDefault="00411620" w:rsidP="00411620">
      <w:pPr>
        <w:spacing w:line="216" w:lineRule="auto"/>
        <w:rPr>
          <w:i/>
          <w:sz w:val="23"/>
          <w:szCs w:val="23"/>
          <w:rtl/>
        </w:rPr>
      </w:pPr>
      <w:r w:rsidRPr="00D94694">
        <w:rPr>
          <w:rFonts w:hint="cs"/>
          <w:i/>
          <w:sz w:val="23"/>
          <w:szCs w:val="23"/>
          <w:rtl/>
        </w:rPr>
        <w:t>با مقایسه</w:t>
      </w:r>
      <w:r w:rsidRPr="00D94694">
        <w:rPr>
          <w:i/>
          <w:sz w:val="23"/>
          <w:szCs w:val="23"/>
          <w:rtl/>
        </w:rPr>
        <w:softHyphen/>
      </w:r>
      <w:r w:rsidRPr="00D94694">
        <w:rPr>
          <w:rFonts w:hint="cs"/>
          <w:i/>
          <w:sz w:val="23"/>
          <w:szCs w:val="23"/>
          <w:rtl/>
        </w:rPr>
        <w:t>ی معادلات (۱۱. ۲۵) و (۱۱. ۳۶) با معادله</w:t>
      </w:r>
      <w:r w:rsidRPr="00D94694">
        <w:rPr>
          <w:i/>
          <w:sz w:val="23"/>
          <w:szCs w:val="23"/>
          <w:rtl/>
        </w:rPr>
        <w:softHyphen/>
      </w:r>
      <w:r w:rsidRPr="00D94694">
        <w:rPr>
          <w:rFonts w:hint="cs"/>
          <w:i/>
          <w:sz w:val="23"/>
          <w:szCs w:val="23"/>
          <w:rtl/>
        </w:rPr>
        <w:t>ی (۱۱. ۷) مشاهده خواهیم کرد که پاداش ریسک در نظریه قیمت</w:t>
      </w:r>
      <w:r w:rsidRPr="00D94694">
        <w:rPr>
          <w:i/>
          <w:sz w:val="23"/>
          <w:szCs w:val="23"/>
          <w:rtl/>
        </w:rPr>
        <w:softHyphen/>
      </w:r>
      <w:r w:rsidRPr="00D94694">
        <w:rPr>
          <w:rFonts w:hint="cs"/>
          <w:i/>
          <w:sz w:val="23"/>
          <w:szCs w:val="23"/>
          <w:rtl/>
        </w:rPr>
        <w:t>گذاری دارایی تعادل عمومی با قیمت</w:t>
      </w:r>
      <w:r w:rsidRPr="00D94694">
        <w:rPr>
          <w:i/>
          <w:sz w:val="23"/>
          <w:szCs w:val="23"/>
          <w:rtl/>
        </w:rPr>
        <w:softHyphen/>
      </w:r>
      <w:r w:rsidRPr="00D94694">
        <w:rPr>
          <w:rFonts w:hint="cs"/>
          <w:i/>
          <w:sz w:val="23"/>
          <w:szCs w:val="23"/>
          <w:rtl/>
        </w:rPr>
        <w:t>گذاری دارایی با استفاده از نظریه مطلوبیتِ یک دوره</w:t>
      </w:r>
      <w:r w:rsidRPr="00D94694">
        <w:rPr>
          <w:i/>
          <w:sz w:val="23"/>
          <w:szCs w:val="23"/>
          <w:rtl/>
        </w:rPr>
        <w:softHyphen/>
      </w:r>
      <w:r w:rsidRPr="00D94694">
        <w:rPr>
          <w:rFonts w:hint="cs"/>
          <w:i/>
          <w:sz w:val="23"/>
          <w:szCs w:val="23"/>
          <w:rtl/>
        </w:rPr>
        <w:t>ای متفاوت است. روش دوم مبتنی است بر واریانس غیرشرطی بازدهی دارایی، درحالی</w:t>
      </w:r>
      <w:r w:rsidRPr="00D94694">
        <w:rPr>
          <w:i/>
          <w:sz w:val="23"/>
          <w:szCs w:val="23"/>
          <w:rtl/>
        </w:rPr>
        <w:softHyphen/>
      </w:r>
      <w:r w:rsidRPr="00D94694">
        <w:rPr>
          <w:rFonts w:hint="cs"/>
          <w:i/>
          <w:sz w:val="23"/>
          <w:szCs w:val="23"/>
          <w:rtl/>
        </w:rPr>
        <w:t>که تجزیه و تحلیل تعادل عمومی مبتنی است بر بخشی از بازدهی دارایی، که از اطلاعات گذشته و جاری قابل پیش</w:t>
      </w:r>
      <w:r w:rsidRPr="00D94694">
        <w:rPr>
          <w:i/>
          <w:sz w:val="23"/>
          <w:szCs w:val="23"/>
          <w:rtl/>
        </w:rPr>
        <w:softHyphen/>
      </w:r>
      <w:r w:rsidRPr="00D94694">
        <w:rPr>
          <w:rFonts w:hint="cs"/>
          <w:i/>
          <w:sz w:val="23"/>
          <w:szCs w:val="23"/>
          <w:rtl/>
        </w:rPr>
        <w:t>بینی نیست و دارای اجزای غیرقابل پیش</w:t>
      </w:r>
      <w:r w:rsidRPr="00D94694">
        <w:rPr>
          <w:i/>
          <w:sz w:val="23"/>
          <w:szCs w:val="23"/>
          <w:rtl/>
        </w:rPr>
        <w:softHyphen/>
      </w:r>
      <w:r w:rsidRPr="00D94694">
        <w:rPr>
          <w:rFonts w:hint="cs"/>
          <w:i/>
          <w:sz w:val="23"/>
          <w:szCs w:val="23"/>
          <w:rtl/>
        </w:rPr>
        <w:t xml:space="preserve">بینی عوامل است که در مدل </w:t>
      </w:r>
      <w:r w:rsidRPr="00D94694">
        <w:rPr>
          <w:position w:val="-6"/>
        </w:rPr>
        <w:object w:dxaOrig="1080" w:dyaOrig="260" w14:anchorId="6BFC8B9D">
          <v:shape id="_x0000_i4938" type="#_x0000_t75" style="width:53.85pt;height:13.3pt" o:ole="">
            <v:imagedata r:id="rId7874" o:title=""/>
          </v:shape>
          <o:OLEObject Type="Embed" ProgID="Equation.DSMT4" ShapeID="_x0000_i4938" DrawAspect="Content" ObjectID="_1791378882" r:id="rId7875"/>
        </w:object>
      </w:r>
      <w:r w:rsidRPr="00D94694">
        <w:rPr>
          <w:i/>
          <w:sz w:val="23"/>
          <w:szCs w:val="23"/>
        </w:rPr>
        <w:t xml:space="preserve"> </w:t>
      </w:r>
      <w:r w:rsidRPr="00D94694">
        <w:rPr>
          <w:rFonts w:hint="cs"/>
          <w:i/>
          <w:sz w:val="23"/>
          <w:szCs w:val="23"/>
          <w:rtl/>
        </w:rPr>
        <w:t>همان شوک</w:t>
      </w:r>
      <w:r w:rsidRPr="00D94694">
        <w:rPr>
          <w:i/>
          <w:sz w:val="23"/>
          <w:szCs w:val="23"/>
          <w:rtl/>
        </w:rPr>
        <w:softHyphen/>
      </w:r>
      <w:r w:rsidRPr="00D94694">
        <w:rPr>
          <w:rFonts w:hint="cs"/>
          <w:i/>
          <w:sz w:val="23"/>
          <w:szCs w:val="23"/>
          <w:rtl/>
        </w:rPr>
        <w:t>های اقتصاد کلان هستند. بنابراین در تجزیه و تحلیل تعادل عمومی ریسک ممکن است متناظر با خطای پیش</w:t>
      </w:r>
      <w:r w:rsidRPr="00D94694">
        <w:rPr>
          <w:i/>
          <w:sz w:val="23"/>
          <w:szCs w:val="23"/>
          <w:rtl/>
        </w:rPr>
        <w:softHyphen/>
      </w:r>
      <w:r w:rsidRPr="00D94694">
        <w:rPr>
          <w:rFonts w:hint="cs"/>
          <w:i/>
          <w:sz w:val="23"/>
          <w:szCs w:val="23"/>
          <w:rtl/>
        </w:rPr>
        <w:t xml:space="preserve">بینی باشد و نه نوسانات که بخشی از آن ممکن است </w:t>
      </w:r>
      <w:r w:rsidRPr="00D94694">
        <w:rPr>
          <w:rFonts w:hint="cs"/>
          <w:i/>
          <w:sz w:val="23"/>
          <w:szCs w:val="23"/>
          <w:rtl/>
        </w:rPr>
        <w:lastRenderedPageBreak/>
        <w:t>پیش</w:t>
      </w:r>
      <w:r w:rsidRPr="00D94694">
        <w:rPr>
          <w:i/>
          <w:sz w:val="23"/>
          <w:szCs w:val="23"/>
          <w:rtl/>
        </w:rPr>
        <w:softHyphen/>
      </w:r>
      <w:r w:rsidRPr="00D94694">
        <w:rPr>
          <w:rFonts w:hint="cs"/>
          <w:i/>
          <w:sz w:val="23"/>
          <w:szCs w:val="23"/>
          <w:rtl/>
        </w:rPr>
        <w:t>بینی شود. معادله</w:t>
      </w:r>
      <w:r w:rsidRPr="00D94694">
        <w:rPr>
          <w:i/>
          <w:sz w:val="23"/>
          <w:szCs w:val="23"/>
          <w:rtl/>
        </w:rPr>
        <w:softHyphen/>
      </w:r>
      <w:r w:rsidRPr="00D94694">
        <w:rPr>
          <w:rFonts w:hint="cs"/>
          <w:i/>
          <w:sz w:val="23"/>
          <w:szCs w:val="23"/>
          <w:rtl/>
        </w:rPr>
        <w:t>ی (۱۱. ۳۸) تفسیر دیگری است: پاداش ریسک نسبتی از نوسانات پیش</w:t>
      </w:r>
      <w:r w:rsidRPr="00D94694">
        <w:rPr>
          <w:i/>
          <w:sz w:val="23"/>
          <w:szCs w:val="23"/>
          <w:rtl/>
        </w:rPr>
        <w:softHyphen/>
      </w:r>
      <w:r w:rsidRPr="00D94694">
        <w:rPr>
          <w:rFonts w:hint="cs"/>
          <w:i/>
          <w:sz w:val="23"/>
          <w:szCs w:val="23"/>
          <w:rtl/>
        </w:rPr>
        <w:t xml:space="preserve">بینی ناپذیر در عامل توضیح مازاد بازدهی است. </w:t>
      </w:r>
    </w:p>
    <w:p w14:paraId="4EB98BFF" w14:textId="77777777" w:rsidR="00411620" w:rsidRPr="00D94694" w:rsidRDefault="00411620" w:rsidP="00411620">
      <w:pPr>
        <w:spacing w:line="216" w:lineRule="auto"/>
        <w:rPr>
          <w:i/>
          <w:sz w:val="23"/>
          <w:szCs w:val="23"/>
          <w:rtl/>
        </w:rPr>
      </w:pPr>
    </w:p>
    <w:p w14:paraId="3F3C8656" w14:textId="77777777" w:rsidR="00411620" w:rsidRPr="00D94694" w:rsidRDefault="00411620" w:rsidP="00411620">
      <w:pPr>
        <w:spacing w:line="216" w:lineRule="auto"/>
        <w:rPr>
          <w:bCs/>
          <w:i/>
          <w:sz w:val="23"/>
          <w:szCs w:val="23"/>
          <w:rtl/>
        </w:rPr>
      </w:pPr>
      <w:r w:rsidRPr="00D94694">
        <w:rPr>
          <w:rFonts w:hint="cs"/>
          <w:bCs/>
          <w:i/>
          <w:sz w:val="23"/>
          <w:szCs w:val="23"/>
          <w:rtl/>
        </w:rPr>
        <w:t xml:space="preserve">قیمت‌گذاری بازدهی‌های اسمی </w:t>
      </w:r>
    </w:p>
    <w:p w14:paraId="0FFA5CC6" w14:textId="77777777" w:rsidR="00411620" w:rsidRPr="00D94694" w:rsidRDefault="00411620" w:rsidP="00411620">
      <w:pPr>
        <w:spacing w:line="216" w:lineRule="auto"/>
        <w:rPr>
          <w:i/>
          <w:sz w:val="23"/>
          <w:szCs w:val="23"/>
          <w:rtl/>
        </w:rPr>
      </w:pPr>
      <w:r w:rsidRPr="00D94694">
        <w:rPr>
          <w:rFonts w:hint="cs"/>
          <w:i/>
          <w:sz w:val="23"/>
          <w:szCs w:val="23"/>
          <w:rtl/>
        </w:rPr>
        <w:t>در تجزیه و تحلیل فوق فرض می‌شود که تمامی متغیرها و همچنین بازدهی‌های دارایی بصورت حقیقی است، و نشان می‌دهد دارایی بدون ریسک حقیقی وجود دارد. در عمل، شاخص متصل به اوراق قرضه نزدیکترین راه دسترسی به دارایی بدون ریسک حقیقی است و چنانچه از ریسک عدم پرداخت بدهی یا ریسک نکول چشم</w:t>
      </w:r>
      <w:r w:rsidRPr="00D94694">
        <w:rPr>
          <w:i/>
          <w:sz w:val="23"/>
          <w:szCs w:val="23"/>
          <w:rtl/>
        </w:rPr>
        <w:softHyphen/>
      </w:r>
      <w:r w:rsidRPr="00D94694">
        <w:rPr>
          <w:rFonts w:hint="cs"/>
          <w:i/>
          <w:sz w:val="23"/>
          <w:szCs w:val="23"/>
          <w:rtl/>
        </w:rPr>
        <w:t>پوشی کنیم، اوراق قرضه‌های بدون ریسک اسمی همانند اوراق قرضه‌ی خزانه</w:t>
      </w:r>
      <w:r w:rsidRPr="00D94694">
        <w:rPr>
          <w:i/>
          <w:sz w:val="23"/>
          <w:szCs w:val="23"/>
          <w:rtl/>
        </w:rPr>
        <w:softHyphen/>
      </w:r>
      <w:r w:rsidRPr="00D94694">
        <w:rPr>
          <w:rFonts w:hint="cs"/>
          <w:i/>
          <w:sz w:val="23"/>
          <w:szCs w:val="23"/>
          <w:rtl/>
        </w:rPr>
        <w:t>ی کوتاه</w:t>
      </w:r>
      <w:r w:rsidRPr="00D94694">
        <w:rPr>
          <w:i/>
          <w:sz w:val="23"/>
          <w:szCs w:val="23"/>
          <w:rtl/>
        </w:rPr>
        <w:softHyphen/>
      </w:r>
      <w:r w:rsidRPr="00D94694">
        <w:rPr>
          <w:rFonts w:hint="cs"/>
          <w:i/>
          <w:sz w:val="23"/>
          <w:szCs w:val="23"/>
          <w:rtl/>
        </w:rPr>
        <w:t xml:space="preserve">مدت وجود خواهد داشت. </w:t>
      </w:r>
    </w:p>
    <w:p w14:paraId="12C5CF01" w14:textId="77777777" w:rsidR="00411620" w:rsidRPr="00D94694" w:rsidRDefault="00411620" w:rsidP="00411620">
      <w:pPr>
        <w:spacing w:line="216" w:lineRule="auto"/>
        <w:rPr>
          <w:i/>
          <w:sz w:val="23"/>
          <w:szCs w:val="23"/>
          <w:rtl/>
        </w:rPr>
      </w:pPr>
      <w:r w:rsidRPr="00D94694">
        <w:rPr>
          <w:rFonts w:hint="cs"/>
          <w:i/>
          <w:sz w:val="23"/>
          <w:szCs w:val="23"/>
          <w:rtl/>
        </w:rPr>
        <w:t>برای قیمت</w:t>
      </w:r>
      <w:r w:rsidRPr="00D94694">
        <w:rPr>
          <w:i/>
          <w:sz w:val="23"/>
          <w:szCs w:val="23"/>
          <w:rtl/>
        </w:rPr>
        <w:softHyphen/>
      </w:r>
      <w:r w:rsidRPr="00D94694">
        <w:rPr>
          <w:rFonts w:hint="cs"/>
          <w:i/>
          <w:sz w:val="23"/>
          <w:szCs w:val="23"/>
          <w:rtl/>
        </w:rPr>
        <w:t>گذاری بازدهی اسمی، می‌بایست تجزیه و تحلیل قبلی را با تصریح مجدد قید بودجه‌ی اسمی تعدیل کنیم. لذا</w:t>
      </w:r>
    </w:p>
    <w:p w14:paraId="49A3203F" w14:textId="77777777" w:rsidR="00411620" w:rsidRPr="00D94694" w:rsidRDefault="00411620" w:rsidP="00411620">
      <w:pPr>
        <w:bidi w:val="0"/>
        <w:spacing w:line="216" w:lineRule="auto"/>
        <w:rPr>
          <w:i/>
          <w:sz w:val="23"/>
          <w:szCs w:val="23"/>
        </w:rPr>
      </w:pPr>
      <w:r w:rsidRPr="00D94694">
        <w:rPr>
          <w:position w:val="-10"/>
        </w:rPr>
        <w:object w:dxaOrig="2260" w:dyaOrig="320" w14:anchorId="5284FAFF">
          <v:shape id="_x0000_i4939" type="#_x0000_t75" style="width:113.15pt;height:15.75pt" o:ole="">
            <v:imagedata r:id="rId7876" o:title=""/>
          </v:shape>
          <o:OLEObject Type="Embed" ProgID="Equation.DSMT4" ShapeID="_x0000_i4939" DrawAspect="Content" ObjectID="_1791378883" r:id="rId7877"/>
        </w:object>
      </w:r>
    </w:p>
    <w:p w14:paraId="1218E449" w14:textId="77777777" w:rsidR="00411620" w:rsidRPr="00D94694" w:rsidRDefault="00411620" w:rsidP="00411620">
      <w:pPr>
        <w:spacing w:line="216" w:lineRule="auto"/>
        <w:rPr>
          <w:i/>
          <w:sz w:val="23"/>
          <w:szCs w:val="23"/>
          <w:rtl/>
        </w:rPr>
      </w:pPr>
      <w:r w:rsidRPr="00D94694">
        <w:rPr>
          <w:rFonts w:hint="cs"/>
          <w:i/>
          <w:sz w:val="23"/>
          <w:szCs w:val="23"/>
          <w:rtl/>
        </w:rPr>
        <w:t>که در آن</w:t>
      </w:r>
      <w:r w:rsidRPr="00D94694">
        <w:rPr>
          <w:position w:val="-10"/>
        </w:rPr>
        <w:object w:dxaOrig="240" w:dyaOrig="320" w14:anchorId="529DF74E">
          <v:shape id="_x0000_i4940" type="#_x0000_t75" style="width:12.1pt;height:15.75pt" o:ole="">
            <v:imagedata r:id="rId7878" o:title=""/>
          </v:shape>
          <o:OLEObject Type="Embed" ProgID="Equation.DSMT4" ShapeID="_x0000_i4940" DrawAspect="Content" ObjectID="_1791378884" r:id="rId7879"/>
        </w:object>
      </w:r>
      <w:r w:rsidRPr="00D94694">
        <w:rPr>
          <w:rFonts w:hint="cs"/>
          <w:i/>
          <w:sz w:val="23"/>
          <w:szCs w:val="23"/>
          <w:rtl/>
        </w:rPr>
        <w:t>سطح قیمت،</w:t>
      </w:r>
      <w:r w:rsidRPr="00D94694">
        <w:rPr>
          <w:position w:val="-10"/>
        </w:rPr>
        <w:object w:dxaOrig="279" w:dyaOrig="320" w14:anchorId="1125500B">
          <v:shape id="_x0000_i4941" type="#_x0000_t75" style="width:13.9pt;height:15.75pt" o:ole="">
            <v:imagedata r:id="rId7880" o:title=""/>
          </v:shape>
          <o:OLEObject Type="Embed" ProgID="Equation.DSMT4" ShapeID="_x0000_i4941" DrawAspect="Content" ObjectID="_1791378885" r:id="rId7881"/>
        </w:object>
      </w:r>
      <w:r w:rsidRPr="00D94694">
        <w:rPr>
          <w:i/>
          <w:sz w:val="23"/>
          <w:szCs w:val="23"/>
        </w:rPr>
        <w:t xml:space="preserve"> </w:t>
      </w:r>
      <w:r w:rsidRPr="00D94694">
        <w:rPr>
          <w:rFonts w:hint="cs"/>
          <w:i/>
          <w:sz w:val="23"/>
          <w:szCs w:val="23"/>
          <w:rtl/>
        </w:rPr>
        <w:t>ثروت اسمی، و</w:t>
      </w:r>
      <w:r w:rsidRPr="00D94694">
        <w:rPr>
          <w:position w:val="-10"/>
        </w:rPr>
        <w:object w:dxaOrig="279" w:dyaOrig="320" w14:anchorId="5F7C6E44">
          <v:shape id="_x0000_i4942" type="#_x0000_t75" style="width:13.9pt;height:15.75pt" o:ole="">
            <v:imagedata r:id="rId7882" o:title=""/>
          </v:shape>
          <o:OLEObject Type="Embed" ProgID="Equation.DSMT4" ShapeID="_x0000_i4942" DrawAspect="Content" ObjectID="_1791378886" r:id="rId7883"/>
        </w:object>
      </w:r>
      <w:r w:rsidRPr="00D94694">
        <w:rPr>
          <w:rFonts w:hint="cs"/>
          <w:i/>
          <w:sz w:val="23"/>
          <w:szCs w:val="23"/>
          <w:rtl/>
        </w:rPr>
        <w:t xml:space="preserve"> یک بازدهی اسمی ریسکی است. براحتی می‌توان نشان داد که معادله‌ی اویلر برابر است با</w:t>
      </w:r>
    </w:p>
    <w:p w14:paraId="5FFA7E5D" w14:textId="77777777" w:rsidR="00411620" w:rsidRPr="00D94694" w:rsidRDefault="00411620" w:rsidP="00411620">
      <w:pPr>
        <w:bidi w:val="0"/>
        <w:spacing w:line="216" w:lineRule="auto"/>
        <w:rPr>
          <w:i/>
          <w:sz w:val="23"/>
          <w:szCs w:val="23"/>
        </w:rPr>
      </w:pPr>
      <w:r w:rsidRPr="00D94694">
        <w:rPr>
          <w:position w:val="-30"/>
        </w:rPr>
        <w:object w:dxaOrig="2560" w:dyaOrig="700" w14:anchorId="439F105A">
          <v:shape id="_x0000_i4943" type="#_x0000_t75" style="width:127.65pt;height:35.1pt" o:ole="">
            <v:imagedata r:id="rId7884" o:title=""/>
          </v:shape>
          <o:OLEObject Type="Embed" ProgID="Equation.DSMT4" ShapeID="_x0000_i4943" DrawAspect="Content" ObjectID="_1791378887" r:id="rId7885"/>
        </w:object>
      </w:r>
    </w:p>
    <w:p w14:paraId="27CE9851" w14:textId="77777777" w:rsidR="00411620" w:rsidRPr="00D94694" w:rsidRDefault="00411620" w:rsidP="00411620">
      <w:pPr>
        <w:spacing w:line="216" w:lineRule="auto"/>
        <w:rPr>
          <w:i/>
          <w:sz w:val="23"/>
          <w:szCs w:val="23"/>
          <w:rtl/>
        </w:rPr>
      </w:pPr>
      <w:r w:rsidRPr="00D94694">
        <w:rPr>
          <w:rFonts w:hint="cs"/>
          <w:i/>
          <w:sz w:val="23"/>
          <w:szCs w:val="23"/>
          <w:rtl/>
        </w:rPr>
        <w:t xml:space="preserve">و یا </w:t>
      </w:r>
    </w:p>
    <w:p w14:paraId="3BB62FCC" w14:textId="77777777" w:rsidR="00411620" w:rsidRPr="00D94694" w:rsidRDefault="00411620" w:rsidP="00411620">
      <w:pPr>
        <w:bidi w:val="0"/>
        <w:spacing w:line="216" w:lineRule="auto"/>
        <w:rPr>
          <w:i/>
          <w:sz w:val="23"/>
          <w:szCs w:val="23"/>
          <w:rtl/>
        </w:rPr>
      </w:pPr>
      <w:r w:rsidRPr="00D94694">
        <w:rPr>
          <w:position w:val="-30"/>
        </w:rPr>
        <w:object w:dxaOrig="2220" w:dyaOrig="720" w14:anchorId="48432AE1">
          <v:shape id="_x0000_i4944" type="#_x0000_t75" style="width:110.7pt;height:36.3pt" o:ole="">
            <v:imagedata r:id="rId7886" o:title=""/>
          </v:shape>
          <o:OLEObject Type="Embed" ProgID="Equation.DSMT4" ShapeID="_x0000_i4944" DrawAspect="Content" ObjectID="_1791378888" r:id="rId7887"/>
        </w:object>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tl/>
        </w:rPr>
        <w:tab/>
      </w:r>
      <w:r>
        <w:rPr>
          <w:i/>
          <w:sz w:val="23"/>
          <w:szCs w:val="23"/>
          <w:rtl/>
        </w:rPr>
        <w:tab/>
      </w:r>
      <w:r w:rsidRPr="00D94694">
        <w:rPr>
          <w:i/>
          <w:sz w:val="23"/>
          <w:szCs w:val="23"/>
        </w:rPr>
        <w:tab/>
      </w:r>
      <w:r w:rsidRPr="00D94694">
        <w:rPr>
          <w:i/>
          <w:sz w:val="23"/>
          <w:szCs w:val="23"/>
        </w:rPr>
        <w:tab/>
      </w:r>
      <w:r w:rsidRPr="00D94694">
        <w:rPr>
          <w:i/>
          <w:sz w:val="23"/>
          <w:szCs w:val="23"/>
        </w:rPr>
        <w:tab/>
      </w:r>
      <w:r w:rsidRPr="00D94694">
        <w:rPr>
          <w:rFonts w:hint="cs"/>
          <w:i/>
          <w:sz w:val="23"/>
          <w:szCs w:val="23"/>
          <w:rtl/>
        </w:rPr>
        <w:t>(۱۱. ۳۹)</w:t>
      </w:r>
      <w:r w:rsidRPr="00D94694">
        <w:rPr>
          <w:rFonts w:hint="cs"/>
          <w:i/>
          <w:sz w:val="23"/>
          <w:szCs w:val="23"/>
        </w:rPr>
        <w:t xml:space="preserve"> </w:t>
      </w:r>
    </w:p>
    <w:p w14:paraId="57546CD1" w14:textId="77777777" w:rsidR="00411620" w:rsidRPr="00D94694" w:rsidRDefault="00411620" w:rsidP="00411620">
      <w:pPr>
        <w:spacing w:line="216" w:lineRule="auto"/>
        <w:rPr>
          <w:i/>
          <w:sz w:val="23"/>
          <w:szCs w:val="23"/>
          <w:rtl/>
        </w:rPr>
      </w:pPr>
      <w:r w:rsidRPr="00D94694">
        <w:rPr>
          <w:rFonts w:hint="cs"/>
          <w:i/>
          <w:sz w:val="23"/>
          <w:szCs w:val="23"/>
          <w:rtl/>
        </w:rPr>
        <w:t>که در آن</w:t>
      </w:r>
      <w:r w:rsidRPr="00D94694">
        <w:rPr>
          <w:position w:val="-10"/>
        </w:rPr>
        <w:object w:dxaOrig="1400" w:dyaOrig="320" w14:anchorId="53D0DFF1">
          <v:shape id="_x0000_i4945" type="#_x0000_t75" style="width:70.2pt;height:15.75pt" o:ole="">
            <v:imagedata r:id="rId7888" o:title=""/>
          </v:shape>
          <o:OLEObject Type="Embed" ProgID="Equation.DSMT4" ShapeID="_x0000_i4945" DrawAspect="Content" ObjectID="_1791378889" r:id="rId7889"/>
        </w:object>
      </w:r>
      <w:r w:rsidRPr="00D94694">
        <w:rPr>
          <w:rFonts w:hint="cs"/>
          <w:i/>
          <w:sz w:val="23"/>
          <w:szCs w:val="23"/>
          <w:rtl/>
        </w:rPr>
        <w:t xml:space="preserve"> نرخ تورم،</w:t>
      </w:r>
      <w:r w:rsidRPr="00D94694">
        <w:rPr>
          <w:position w:val="-12"/>
        </w:rPr>
        <w:object w:dxaOrig="2720" w:dyaOrig="360" w14:anchorId="0F2BF11A">
          <v:shape id="_x0000_i4946" type="#_x0000_t75" style="width:136.15pt;height:18.15pt" o:ole="">
            <v:imagedata r:id="rId7890" o:title=""/>
          </v:shape>
          <o:OLEObject Type="Embed" ProgID="Equation.DSMT4" ShapeID="_x0000_i4946" DrawAspect="Content" ObjectID="_1791378890" r:id="rId7891"/>
        </w:object>
      </w:r>
      <w:r w:rsidRPr="00D94694">
        <w:rPr>
          <w:rFonts w:hint="cs"/>
          <w:i/>
          <w:sz w:val="23"/>
          <w:szCs w:val="23"/>
          <w:rtl/>
        </w:rPr>
        <w:t>و</w:t>
      </w:r>
      <w:r w:rsidRPr="00D94694">
        <w:rPr>
          <w:position w:val="-10"/>
        </w:rPr>
        <w:object w:dxaOrig="320" w:dyaOrig="320" w14:anchorId="23CD300A">
          <v:shape id="_x0000_i4947" type="#_x0000_t75" style="width:15.75pt;height:15.75pt" o:ole="">
            <v:imagedata r:id="rId7892" o:title=""/>
          </v:shape>
          <o:OLEObject Type="Embed" ProgID="Equation.DSMT4" ShapeID="_x0000_i4947" DrawAspect="Content" ObjectID="_1791378891" r:id="rId7893"/>
        </w:object>
      </w:r>
      <w:r w:rsidRPr="00D94694">
        <w:rPr>
          <w:rFonts w:hint="cs"/>
          <w:i/>
          <w:sz w:val="23"/>
          <w:szCs w:val="23"/>
          <w:rtl/>
        </w:rPr>
        <w:t xml:space="preserve"> نرخ بازدهی حقیقی ریسکی است. معادله‌ی (۱۱. ۳۹) متناظر است با معادله‌ی (۱۱. ۳۲).</w:t>
      </w:r>
    </w:p>
    <w:p w14:paraId="5CDF613F" w14:textId="77777777" w:rsidR="00411620" w:rsidRPr="00D94694" w:rsidRDefault="00411620" w:rsidP="00411620">
      <w:pPr>
        <w:spacing w:line="216" w:lineRule="auto"/>
        <w:rPr>
          <w:i/>
          <w:sz w:val="23"/>
          <w:szCs w:val="23"/>
          <w:rtl/>
        </w:rPr>
      </w:pPr>
      <w:r w:rsidRPr="00D94694">
        <w:rPr>
          <w:rFonts w:hint="cs"/>
          <w:i/>
          <w:sz w:val="23"/>
          <w:szCs w:val="23"/>
          <w:rtl/>
        </w:rPr>
        <w:t>معادله‌ی قیمت‌گذاری دارایی بدلیل وجود عامل تنزیل اسمی بجای عامل تنزیل تصادفی حقیقی متفاوت است. این عامل عبارت است از</w:t>
      </w:r>
      <w:r w:rsidRPr="00D94694">
        <w:rPr>
          <w:position w:val="-30"/>
        </w:rPr>
        <w:object w:dxaOrig="1440" w:dyaOrig="660" w14:anchorId="11B8AEF3">
          <v:shape id="_x0000_i4948" type="#_x0000_t75" style="width:1in;height:32.65pt" o:ole="">
            <v:imagedata r:id="rId7894" o:title=""/>
          </v:shape>
          <o:OLEObject Type="Embed" ProgID="Equation.DSMT4" ShapeID="_x0000_i4948" DrawAspect="Content" ObjectID="_1791378892" r:id="rId7895"/>
        </w:object>
      </w:r>
      <w:r w:rsidRPr="00D94694">
        <w:rPr>
          <w:rFonts w:hint="cs"/>
          <w:i/>
          <w:sz w:val="23"/>
          <w:szCs w:val="23"/>
          <w:rtl/>
        </w:rPr>
        <w:t>. با استفاده از بسط سری تیلور خواهیم داشت؛</w:t>
      </w:r>
    </w:p>
    <w:p w14:paraId="00A28721" w14:textId="77777777" w:rsidR="00411620" w:rsidRPr="00D94694" w:rsidRDefault="00411620" w:rsidP="00411620">
      <w:pPr>
        <w:bidi w:val="0"/>
        <w:spacing w:line="216" w:lineRule="auto"/>
        <w:rPr>
          <w:i/>
          <w:sz w:val="23"/>
          <w:szCs w:val="23"/>
        </w:rPr>
      </w:pPr>
      <w:r w:rsidRPr="00D94694">
        <w:rPr>
          <w:position w:val="-30"/>
        </w:rPr>
        <w:object w:dxaOrig="3500" w:dyaOrig="700" w14:anchorId="751C6668">
          <v:shape id="_x0000_i4949" type="#_x0000_t75" style="width:175.45pt;height:35.1pt" o:ole="">
            <v:imagedata r:id="rId7896" o:title=""/>
          </v:shape>
          <o:OLEObject Type="Embed" ProgID="Equation.DSMT4" ShapeID="_x0000_i4949" DrawAspect="Content" ObjectID="_1791378893" r:id="rId7897"/>
        </w:object>
      </w:r>
    </w:p>
    <w:p w14:paraId="7626BD46" w14:textId="77777777" w:rsidR="00411620" w:rsidRPr="00D94694" w:rsidRDefault="00411620" w:rsidP="00411620">
      <w:pPr>
        <w:spacing w:line="216" w:lineRule="auto"/>
        <w:rPr>
          <w:i/>
          <w:sz w:val="23"/>
          <w:szCs w:val="23"/>
          <w:rtl/>
        </w:rPr>
      </w:pPr>
      <w:r w:rsidRPr="00D94694">
        <w:rPr>
          <w:rFonts w:hint="cs"/>
          <w:i/>
          <w:sz w:val="23"/>
          <w:szCs w:val="23"/>
          <w:rtl/>
        </w:rPr>
        <w:t xml:space="preserve">اکنون معادله‌ی قیمت‌گذاری دارایی ریسکی اسمی برابر است با </w:t>
      </w:r>
    </w:p>
    <w:p w14:paraId="473820CA" w14:textId="77777777" w:rsidR="00411620" w:rsidRPr="00D94694" w:rsidRDefault="00411620" w:rsidP="00411620">
      <w:pPr>
        <w:bidi w:val="0"/>
        <w:spacing w:line="216" w:lineRule="auto"/>
        <w:rPr>
          <w:i/>
          <w:sz w:val="23"/>
          <w:szCs w:val="23"/>
          <w:rtl/>
        </w:rPr>
      </w:pPr>
      <w:r w:rsidRPr="00D94694">
        <w:rPr>
          <w:position w:val="-48"/>
        </w:rPr>
        <w:object w:dxaOrig="6360" w:dyaOrig="1080" w14:anchorId="5D91A495">
          <v:shape id="_x0000_i4950" type="#_x0000_t75" style="width:304.95pt;height:53.85pt" o:ole="">
            <v:imagedata r:id="rId7898" o:title=""/>
          </v:shape>
          <o:OLEObject Type="Embed" ProgID="Equation.DSMT4" ShapeID="_x0000_i4950" DrawAspect="Content" ObjectID="_1791378894" r:id="rId7899"/>
        </w:object>
      </w:r>
      <w:r w:rsidRPr="00D94694">
        <w:rPr>
          <w:rFonts w:hint="cs"/>
          <w:i/>
          <w:sz w:val="23"/>
          <w:szCs w:val="23"/>
          <w:rtl/>
        </w:rPr>
        <w:t>(۱۱. ۴۰)</w:t>
      </w:r>
    </w:p>
    <w:p w14:paraId="4F4EBC39" w14:textId="77777777" w:rsidR="00411620" w:rsidRPr="00D94694" w:rsidRDefault="00411620" w:rsidP="00411620">
      <w:pPr>
        <w:spacing w:line="216" w:lineRule="auto"/>
        <w:rPr>
          <w:i/>
          <w:sz w:val="23"/>
          <w:szCs w:val="23"/>
          <w:rtl/>
        </w:rPr>
      </w:pPr>
      <w:r w:rsidRPr="00D94694">
        <w:rPr>
          <w:rFonts w:hint="cs"/>
          <w:i/>
          <w:sz w:val="23"/>
          <w:szCs w:val="23"/>
          <w:rtl/>
        </w:rPr>
        <w:t>و برای دارایی بدون ریسک اسمی خواهیم داشت</w:t>
      </w:r>
    </w:p>
    <w:p w14:paraId="1A97C48E" w14:textId="77777777" w:rsidR="00411620" w:rsidRPr="00D94694" w:rsidRDefault="00411620" w:rsidP="00411620">
      <w:pPr>
        <w:bidi w:val="0"/>
        <w:spacing w:line="216" w:lineRule="auto"/>
        <w:rPr>
          <w:i/>
          <w:sz w:val="23"/>
          <w:szCs w:val="23"/>
          <w:rtl/>
        </w:rPr>
      </w:pPr>
      <w:r w:rsidRPr="00D94694">
        <w:rPr>
          <w:position w:val="-30"/>
        </w:rPr>
        <w:object w:dxaOrig="3460" w:dyaOrig="700" w14:anchorId="3763CB43">
          <v:shape id="_x0000_i4951" type="#_x0000_t75" style="width:173.05pt;height:35.1pt" o:ole="">
            <v:imagedata r:id="rId7900" o:title=""/>
          </v:shape>
          <o:OLEObject Type="Embed" ProgID="Equation.DSMT4" ShapeID="_x0000_i4951" DrawAspect="Content" ObjectID="_1791378895" r:id="rId7901"/>
        </w:object>
      </w:r>
      <w:r w:rsidRPr="00D94694">
        <w:rPr>
          <w:i/>
          <w:sz w:val="23"/>
          <w:szCs w:val="23"/>
          <w:rtl/>
        </w:rPr>
        <w:tab/>
      </w:r>
      <w:r w:rsidRPr="00D94694">
        <w:rPr>
          <w:i/>
          <w:sz w:val="23"/>
          <w:szCs w:val="23"/>
          <w:rtl/>
        </w:rPr>
        <w:tab/>
      </w:r>
      <w:r w:rsidRPr="00D94694">
        <w:rPr>
          <w:i/>
          <w:sz w:val="23"/>
          <w:szCs w:val="23"/>
          <w:rtl/>
        </w:rPr>
        <w:tab/>
      </w:r>
      <w:r w:rsidRPr="00D94694">
        <w:rPr>
          <w:i/>
          <w:sz w:val="23"/>
          <w:szCs w:val="23"/>
        </w:rPr>
        <w:tab/>
      </w:r>
      <w:r w:rsidRPr="00D94694">
        <w:rPr>
          <w:i/>
          <w:sz w:val="23"/>
          <w:szCs w:val="23"/>
        </w:rPr>
        <w:tab/>
      </w:r>
      <w:r>
        <w:rPr>
          <w:i/>
          <w:sz w:val="23"/>
          <w:szCs w:val="23"/>
          <w:rtl/>
        </w:rPr>
        <w:tab/>
      </w:r>
      <w:r w:rsidRPr="00D94694">
        <w:rPr>
          <w:i/>
          <w:sz w:val="23"/>
          <w:szCs w:val="23"/>
        </w:rPr>
        <w:tab/>
      </w:r>
      <w:r w:rsidRPr="00D94694">
        <w:rPr>
          <w:i/>
          <w:sz w:val="23"/>
          <w:szCs w:val="23"/>
          <w:rtl/>
        </w:rPr>
        <w:tab/>
      </w:r>
      <w:r w:rsidRPr="00D94694">
        <w:rPr>
          <w:i/>
          <w:sz w:val="23"/>
          <w:szCs w:val="23"/>
          <w:rtl/>
        </w:rPr>
        <w:tab/>
      </w:r>
      <w:r w:rsidRPr="00D94694">
        <w:rPr>
          <w:rFonts w:hint="cs"/>
          <w:i/>
          <w:sz w:val="23"/>
          <w:szCs w:val="23"/>
          <w:rtl/>
        </w:rPr>
        <w:t>(۱۱. ۴۱)</w:t>
      </w:r>
      <w:r w:rsidRPr="00D94694">
        <w:rPr>
          <w:rFonts w:hint="cs"/>
          <w:i/>
          <w:sz w:val="23"/>
          <w:szCs w:val="23"/>
        </w:rPr>
        <w:t xml:space="preserve"> </w:t>
      </w:r>
    </w:p>
    <w:p w14:paraId="4B5C3A00" w14:textId="77777777" w:rsidR="00411620" w:rsidRPr="00D94694" w:rsidRDefault="00411620" w:rsidP="00411620">
      <w:pPr>
        <w:spacing w:line="216" w:lineRule="auto"/>
        <w:rPr>
          <w:i/>
          <w:sz w:val="23"/>
          <w:szCs w:val="23"/>
          <w:rtl/>
        </w:rPr>
      </w:pPr>
      <w:r w:rsidRPr="00D94694">
        <w:rPr>
          <w:rFonts w:hint="cs"/>
          <w:i/>
          <w:sz w:val="23"/>
          <w:szCs w:val="23"/>
          <w:rtl/>
        </w:rPr>
        <w:t>و معادله‌ی عدم وجود آربیتراژ برابر است با</w:t>
      </w:r>
    </w:p>
    <w:p w14:paraId="2C29F79B" w14:textId="77777777" w:rsidR="00411620" w:rsidRPr="00D94694" w:rsidRDefault="00411620" w:rsidP="00411620">
      <w:pPr>
        <w:bidi w:val="0"/>
        <w:spacing w:line="216" w:lineRule="auto"/>
        <w:rPr>
          <w:i/>
          <w:sz w:val="23"/>
          <w:szCs w:val="23"/>
          <w:rtl/>
        </w:rPr>
      </w:pPr>
      <w:r w:rsidRPr="00D94694">
        <w:rPr>
          <w:position w:val="-30"/>
        </w:rPr>
        <w:object w:dxaOrig="5880" w:dyaOrig="720" w14:anchorId="0A7988BC">
          <v:shape id="_x0000_i4952" type="#_x0000_t75" style="width:283.15pt;height:36.3pt" o:ole="">
            <v:imagedata r:id="rId7902" o:title=""/>
          </v:shape>
          <o:OLEObject Type="Embed" ProgID="Equation.DSMT4" ShapeID="_x0000_i4952" DrawAspect="Content" ObjectID="_1791378896" r:id="rId7903"/>
        </w:object>
      </w:r>
      <w:r w:rsidRPr="00D94694">
        <w:rPr>
          <w:i/>
          <w:sz w:val="23"/>
          <w:szCs w:val="23"/>
        </w:rPr>
        <w:tab/>
      </w:r>
      <w:r w:rsidRPr="00D94694">
        <w:rPr>
          <w:i/>
          <w:sz w:val="23"/>
          <w:szCs w:val="23"/>
        </w:rPr>
        <w:tab/>
      </w:r>
      <w:r w:rsidRPr="00D94694">
        <w:rPr>
          <w:rFonts w:hint="cs"/>
          <w:i/>
          <w:sz w:val="23"/>
          <w:szCs w:val="23"/>
          <w:rtl/>
        </w:rPr>
        <w:t>(۱۱. ۴۲)</w:t>
      </w:r>
      <w:r w:rsidRPr="00D94694">
        <w:rPr>
          <w:rFonts w:hint="cs"/>
          <w:i/>
          <w:sz w:val="23"/>
          <w:szCs w:val="23"/>
        </w:rPr>
        <w:t xml:space="preserve"> </w:t>
      </w:r>
    </w:p>
    <w:p w14:paraId="610CB479" w14:textId="77777777" w:rsidR="00411620" w:rsidRPr="00D94694" w:rsidRDefault="00411620" w:rsidP="00411620">
      <w:pPr>
        <w:spacing w:line="216" w:lineRule="auto"/>
        <w:rPr>
          <w:i/>
          <w:sz w:val="23"/>
          <w:szCs w:val="23"/>
          <w:rtl/>
        </w:rPr>
      </w:pPr>
      <w:r w:rsidRPr="00D94694">
        <w:rPr>
          <w:rFonts w:hint="cs"/>
          <w:i/>
          <w:sz w:val="23"/>
          <w:szCs w:val="23"/>
          <w:rtl/>
        </w:rPr>
        <w:t>بنابراین پاداش ریسک دارایی ریسکی اسمی با دو کواریانس شرطی نرخ ریسکی اسمی و رشد مصرف و همچنین کواریانس نرخ ریسکی اسمی و تورم مرتبط است. چنانچه تورم بخاطر بازدهی اسمی کم، پایین باشد که معمولاً در چرخه</w:t>
      </w:r>
      <w:r w:rsidRPr="00D94694">
        <w:rPr>
          <w:i/>
          <w:sz w:val="23"/>
          <w:szCs w:val="23"/>
          <w:rtl/>
        </w:rPr>
        <w:softHyphen/>
      </w:r>
      <w:r w:rsidRPr="00D94694">
        <w:rPr>
          <w:rFonts w:hint="cs"/>
          <w:i/>
          <w:sz w:val="23"/>
          <w:szCs w:val="23"/>
          <w:rtl/>
        </w:rPr>
        <w:t xml:space="preserve">ی تجاری بخاطر شوک منفی تقاضا بوجود می‌آید، آنگاه مولفه‌ی تورم از پاداش ریسک، مثبت خواهد بود. در مقابل، ‌یک شوک منفی عرضه همانند شوک قیمت نفت، احتمالاً باعث افزایش تورم و کاهش بازدهی می‌شود و در نتیجه مولفه‌ی تورم در پاداش ریسک و احتمالاً کل پاداش ریسک منفی خواهد شد. </w:t>
      </w:r>
    </w:p>
    <w:p w14:paraId="3F746484" w14:textId="77777777" w:rsidR="00411620" w:rsidRPr="00D94694" w:rsidRDefault="00411620" w:rsidP="00411620">
      <w:pPr>
        <w:spacing w:line="216" w:lineRule="auto"/>
        <w:rPr>
          <w:i/>
          <w:sz w:val="23"/>
          <w:szCs w:val="23"/>
          <w:rtl/>
        </w:rPr>
      </w:pPr>
    </w:p>
    <w:p w14:paraId="6F40FEA2" w14:textId="77777777" w:rsidR="00411620" w:rsidRPr="00D94694" w:rsidRDefault="00411620" w:rsidP="00411620">
      <w:pPr>
        <w:spacing w:line="216" w:lineRule="auto"/>
        <w:rPr>
          <w:bCs/>
          <w:i/>
          <w:sz w:val="23"/>
          <w:szCs w:val="23"/>
          <w:rtl/>
        </w:rPr>
      </w:pPr>
      <w:r w:rsidRPr="00D94694">
        <w:rPr>
          <w:rFonts w:hint="cs"/>
          <w:bCs/>
          <w:i/>
          <w:sz w:val="23"/>
          <w:szCs w:val="23"/>
          <w:rtl/>
        </w:rPr>
        <w:t>فرض لگاریتم -نرمال</w:t>
      </w:r>
    </w:p>
    <w:p w14:paraId="2B756F29" w14:textId="77777777" w:rsidR="00411620" w:rsidRPr="00D94694" w:rsidRDefault="00411620" w:rsidP="00411620">
      <w:pPr>
        <w:spacing w:line="216" w:lineRule="auto"/>
        <w:rPr>
          <w:i/>
          <w:sz w:val="23"/>
          <w:szCs w:val="23"/>
          <w:rtl/>
        </w:rPr>
      </w:pPr>
      <w:r w:rsidRPr="00D94694">
        <w:rPr>
          <w:rFonts w:hint="cs"/>
          <w:i/>
          <w:sz w:val="23"/>
          <w:szCs w:val="23"/>
          <w:rtl/>
        </w:rPr>
        <w:t>فرضی که جهت سهولت و بطور منطقی تقریبی مناسب است و بطور گسترده مورد استفاده قرار می‌گیرد آن است که عامل تنزیل تصادفی و بازدهی ناخالص دارای توزیع مشترک لگاریتم- نرمال باشند. باید توجه نمود که متغیر تصادفی</w:t>
      </w:r>
      <w:r w:rsidRPr="00025957">
        <w:rPr>
          <w:position w:val="-4"/>
        </w:rPr>
        <w:object w:dxaOrig="260" w:dyaOrig="240" w14:anchorId="737F3B08">
          <v:shape id="_x0000_i4953" type="#_x0000_t75" style="width:13.3pt;height:12.1pt" o:ole="">
            <v:imagedata r:id="rId7904" o:title=""/>
          </v:shape>
          <o:OLEObject Type="Embed" ProgID="Equation.DSMT4" ShapeID="_x0000_i4953" DrawAspect="Content" ObjectID="_1791378897" r:id="rId7905"/>
        </w:object>
      </w:r>
      <w:r w:rsidRPr="00D94694">
        <w:rPr>
          <w:i/>
          <w:sz w:val="23"/>
          <w:szCs w:val="23"/>
        </w:rPr>
        <w:t xml:space="preserve"> </w:t>
      </w:r>
      <w:r w:rsidRPr="00D94694">
        <w:rPr>
          <w:rFonts w:hint="cs"/>
          <w:i/>
          <w:sz w:val="23"/>
          <w:szCs w:val="23"/>
          <w:rtl/>
        </w:rPr>
        <w:t>دارای توزیع لگاریتم -نرمال است اگر</w:t>
      </w:r>
      <w:r w:rsidRPr="00D94694">
        <w:rPr>
          <w:position w:val="-12"/>
        </w:rPr>
        <w:object w:dxaOrig="580" w:dyaOrig="360" w14:anchorId="73089E96">
          <v:shape id="_x0000_i4954" type="#_x0000_t75" style="width:29.05pt;height:18.15pt" o:ole="">
            <v:imagedata r:id="rId7906" o:title=""/>
          </v:shape>
          <o:OLEObject Type="Embed" ProgID="Equation.DSMT4" ShapeID="_x0000_i4954" DrawAspect="Content" ObjectID="_1791378898" r:id="rId7907"/>
        </w:object>
      </w:r>
      <w:r w:rsidRPr="00D94694">
        <w:rPr>
          <w:rFonts w:hint="cs"/>
          <w:i/>
          <w:sz w:val="23"/>
          <w:szCs w:val="23"/>
          <w:rtl/>
        </w:rPr>
        <w:t xml:space="preserve"> دارای توزیع نرمال با میانگین</w:t>
      </w:r>
      <w:r w:rsidRPr="00D94694">
        <w:rPr>
          <w:position w:val="-10"/>
        </w:rPr>
        <w:object w:dxaOrig="220" w:dyaOrig="240" w14:anchorId="2CB8C3EC">
          <v:shape id="_x0000_i4955" type="#_x0000_t75" style="width:10.9pt;height:12.1pt" o:ole="">
            <v:imagedata r:id="rId7908" o:title=""/>
          </v:shape>
          <o:OLEObject Type="Embed" ProgID="Equation.DSMT4" ShapeID="_x0000_i4955" DrawAspect="Content" ObjectID="_1791378899" r:id="rId7909"/>
        </w:object>
      </w:r>
      <w:r w:rsidRPr="00D94694">
        <w:rPr>
          <w:rFonts w:hint="cs"/>
          <w:i/>
          <w:sz w:val="23"/>
          <w:szCs w:val="23"/>
          <w:rtl/>
        </w:rPr>
        <w:t xml:space="preserve"> و واریانس</w:t>
      </w:r>
      <w:r w:rsidRPr="00D94694">
        <w:rPr>
          <w:position w:val="-6"/>
        </w:rPr>
        <w:object w:dxaOrig="300" w:dyaOrig="300" w14:anchorId="47411012">
          <v:shape id="_x0000_i4956" type="#_x0000_t75" style="width:15.15pt;height:15.15pt" o:ole="">
            <v:imagedata r:id="rId7910" o:title=""/>
          </v:shape>
          <o:OLEObject Type="Embed" ProgID="Equation.DSMT4" ShapeID="_x0000_i4956" DrawAspect="Content" ObjectID="_1791378900" r:id="rId7911"/>
        </w:object>
      </w:r>
      <w:r w:rsidRPr="00D94694">
        <w:rPr>
          <w:i/>
          <w:sz w:val="23"/>
          <w:szCs w:val="23"/>
        </w:rPr>
        <w:t xml:space="preserve"> </w:t>
      </w:r>
      <w:r w:rsidRPr="00D94694">
        <w:rPr>
          <w:rFonts w:hint="cs"/>
          <w:i/>
          <w:sz w:val="23"/>
          <w:szCs w:val="23"/>
          <w:rtl/>
        </w:rPr>
        <w:t>باشد. در این صورت ارزش انتظاری</w:t>
      </w:r>
      <w:r w:rsidRPr="00025957">
        <w:rPr>
          <w:position w:val="-4"/>
        </w:rPr>
        <w:object w:dxaOrig="260" w:dyaOrig="240" w14:anchorId="26126C7D">
          <v:shape id="_x0000_i4957" type="#_x0000_t75" style="width:13.3pt;height:12.1pt" o:ole="">
            <v:imagedata r:id="rId7912" o:title=""/>
          </v:shape>
          <o:OLEObject Type="Embed" ProgID="Equation.DSMT4" ShapeID="_x0000_i4957" DrawAspect="Content" ObjectID="_1791378901" r:id="rId7913"/>
        </w:object>
      </w:r>
      <w:r w:rsidRPr="00D94694">
        <w:rPr>
          <w:i/>
          <w:sz w:val="23"/>
          <w:szCs w:val="23"/>
        </w:rPr>
        <w:t xml:space="preserve"> </w:t>
      </w:r>
      <w:r w:rsidRPr="00D94694">
        <w:rPr>
          <w:rFonts w:hint="cs"/>
          <w:i/>
          <w:sz w:val="23"/>
          <w:szCs w:val="23"/>
          <w:rtl/>
        </w:rPr>
        <w:t>عبارت است از</w:t>
      </w:r>
    </w:p>
    <w:p w14:paraId="5336375C" w14:textId="77777777" w:rsidR="00411620" w:rsidRPr="00D94694" w:rsidRDefault="00411620" w:rsidP="00411620">
      <w:pPr>
        <w:bidi w:val="0"/>
        <w:spacing w:line="216" w:lineRule="auto"/>
        <w:rPr>
          <w:i/>
          <w:sz w:val="23"/>
          <w:szCs w:val="23"/>
        </w:rPr>
      </w:pPr>
      <w:r w:rsidRPr="00D94694">
        <w:rPr>
          <w:position w:val="-12"/>
        </w:rPr>
        <w:object w:dxaOrig="1400" w:dyaOrig="540" w14:anchorId="2BD8CB1B">
          <v:shape id="_x0000_i4958" type="#_x0000_t75" style="width:70.2pt;height:26.6pt" o:ole="">
            <v:imagedata r:id="rId7914" o:title=""/>
          </v:shape>
          <o:OLEObject Type="Embed" ProgID="Equation.DSMT4" ShapeID="_x0000_i4958" DrawAspect="Content" ObjectID="_1791378902" r:id="rId7915"/>
        </w:object>
      </w:r>
    </w:p>
    <w:p w14:paraId="61F6987D" w14:textId="77777777" w:rsidR="00411620" w:rsidRPr="00D94694" w:rsidRDefault="00411620" w:rsidP="00411620">
      <w:pPr>
        <w:spacing w:line="216" w:lineRule="auto"/>
        <w:rPr>
          <w:i/>
          <w:sz w:val="23"/>
          <w:szCs w:val="23"/>
          <w:rtl/>
        </w:rPr>
      </w:pPr>
      <w:r w:rsidRPr="00D94694">
        <w:rPr>
          <w:rFonts w:hint="cs"/>
          <w:i/>
          <w:sz w:val="23"/>
          <w:szCs w:val="23"/>
          <w:rtl/>
        </w:rPr>
        <w:t>و بنابراین</w:t>
      </w:r>
    </w:p>
    <w:p w14:paraId="4C44EBF8" w14:textId="77777777" w:rsidR="00411620" w:rsidRPr="00D94694" w:rsidRDefault="00411620" w:rsidP="00411620">
      <w:pPr>
        <w:bidi w:val="0"/>
        <w:spacing w:line="216" w:lineRule="auto"/>
        <w:rPr>
          <w:i/>
          <w:sz w:val="23"/>
          <w:szCs w:val="23"/>
        </w:rPr>
      </w:pPr>
      <w:r w:rsidRPr="00D94694">
        <w:rPr>
          <w:position w:val="-22"/>
        </w:rPr>
        <w:object w:dxaOrig="1719" w:dyaOrig="560" w14:anchorId="36F4A087">
          <v:shape id="_x0000_i4959" type="#_x0000_t75" style="width:85.9pt;height:27.85pt" o:ole="">
            <v:imagedata r:id="rId7916" o:title=""/>
          </v:shape>
          <o:OLEObject Type="Embed" ProgID="Equation.DSMT4" ShapeID="_x0000_i4959" DrawAspect="Content" ObjectID="_1791378903" r:id="rId7917"/>
        </w:object>
      </w:r>
    </w:p>
    <w:p w14:paraId="0B1D6CE7" w14:textId="77777777" w:rsidR="00411620" w:rsidRPr="00D94694" w:rsidRDefault="00411620" w:rsidP="00411620">
      <w:pPr>
        <w:spacing w:line="216" w:lineRule="auto"/>
        <w:rPr>
          <w:i/>
          <w:sz w:val="23"/>
          <w:szCs w:val="23"/>
          <w:rtl/>
        </w:rPr>
      </w:pPr>
      <w:r w:rsidRPr="00D94694">
        <w:rPr>
          <w:rFonts w:hint="cs"/>
          <w:i/>
          <w:sz w:val="23"/>
          <w:szCs w:val="23"/>
          <w:rtl/>
        </w:rPr>
        <w:t>در نتیجه معادله‌ی (۱۱. ۳۳) را می‌توان به صورت زیر نوشت</w:t>
      </w:r>
    </w:p>
    <w:p w14:paraId="02E78B4D" w14:textId="77777777" w:rsidR="00411620" w:rsidRPr="00D94694" w:rsidRDefault="00411620" w:rsidP="00411620">
      <w:pPr>
        <w:bidi w:val="0"/>
        <w:spacing w:line="216" w:lineRule="auto"/>
        <w:rPr>
          <w:i/>
          <w:sz w:val="23"/>
          <w:szCs w:val="23"/>
        </w:rPr>
      </w:pPr>
      <w:r w:rsidRPr="00D94694">
        <w:rPr>
          <w:position w:val="-14"/>
        </w:rPr>
        <w:object w:dxaOrig="4860" w:dyaOrig="460" w14:anchorId="61BF2D16">
          <v:shape id="_x0000_i4960" type="#_x0000_t75" style="width:243.25pt;height:23pt" o:ole="">
            <v:imagedata r:id="rId7918" o:title=""/>
          </v:shape>
          <o:OLEObject Type="Embed" ProgID="Equation.DSMT4" ShapeID="_x0000_i4960" DrawAspect="Content" ObjectID="_1791378904" r:id="rId7919"/>
        </w:object>
      </w:r>
    </w:p>
    <w:p w14:paraId="07D7B0FD" w14:textId="77777777" w:rsidR="00411620" w:rsidRPr="00D94694" w:rsidRDefault="00411620" w:rsidP="00411620">
      <w:pPr>
        <w:spacing w:line="216" w:lineRule="auto"/>
        <w:rPr>
          <w:i/>
          <w:sz w:val="23"/>
          <w:szCs w:val="23"/>
          <w:rtl/>
        </w:rPr>
      </w:pPr>
      <w:r w:rsidRPr="00D94694">
        <w:rPr>
          <w:rFonts w:hint="cs"/>
          <w:i/>
          <w:sz w:val="23"/>
          <w:szCs w:val="23"/>
          <w:rtl/>
        </w:rPr>
        <w:t>با لگاریتم تابع فوق داریم</w:t>
      </w:r>
    </w:p>
    <w:p w14:paraId="78AD8D3C" w14:textId="77777777" w:rsidR="00411620" w:rsidRPr="00D94694" w:rsidRDefault="00411620" w:rsidP="00411620">
      <w:pPr>
        <w:bidi w:val="0"/>
        <w:spacing w:line="216" w:lineRule="auto"/>
        <w:rPr>
          <w:i/>
          <w:sz w:val="23"/>
          <w:szCs w:val="23"/>
          <w:rtl/>
        </w:rPr>
      </w:pPr>
      <w:r w:rsidRPr="00D94694">
        <w:rPr>
          <w:position w:val="-56"/>
        </w:rPr>
        <w:object w:dxaOrig="6940" w:dyaOrig="1219" w14:anchorId="7E31A138">
          <v:shape id="_x0000_i4961" type="#_x0000_t75" style="width:296.45pt;height:61.1pt" o:ole="">
            <v:imagedata r:id="rId7920" o:title=""/>
          </v:shape>
          <o:OLEObject Type="Embed" ProgID="Equation.DSMT4" ShapeID="_x0000_i4961" DrawAspect="Content" ObjectID="_1791378905" r:id="rId7921"/>
        </w:object>
      </w:r>
      <w:r w:rsidRPr="00D94694">
        <w:rPr>
          <w:i/>
          <w:sz w:val="23"/>
          <w:szCs w:val="23"/>
        </w:rPr>
        <w:tab/>
      </w:r>
      <w:r w:rsidRPr="00D94694">
        <w:rPr>
          <w:rFonts w:hint="cs"/>
          <w:i/>
          <w:sz w:val="23"/>
          <w:szCs w:val="23"/>
          <w:rtl/>
        </w:rPr>
        <w:t>(۱۱. ۴۳)</w:t>
      </w:r>
    </w:p>
    <w:p w14:paraId="351037E4" w14:textId="77777777" w:rsidR="00411620" w:rsidRPr="00D94694" w:rsidRDefault="00411620" w:rsidP="00411620">
      <w:pPr>
        <w:spacing w:line="216" w:lineRule="auto"/>
        <w:rPr>
          <w:i/>
          <w:sz w:val="23"/>
          <w:szCs w:val="23"/>
          <w:rtl/>
        </w:rPr>
      </w:pPr>
      <w:r w:rsidRPr="00D94694">
        <w:rPr>
          <w:rFonts w:hint="cs"/>
          <w:i/>
          <w:sz w:val="23"/>
          <w:szCs w:val="23"/>
          <w:rtl/>
        </w:rPr>
        <w:t>چنانچه دارایی بدون ریسک باشد آنگاه معادله‌ی (۱۱. ۴۳) برابر خواهد بود با</w:t>
      </w:r>
    </w:p>
    <w:p w14:paraId="4A3CEF2F" w14:textId="77777777" w:rsidR="00411620" w:rsidRPr="00D94694" w:rsidRDefault="00411620" w:rsidP="00411620">
      <w:pPr>
        <w:bidi w:val="0"/>
        <w:spacing w:line="216" w:lineRule="auto"/>
        <w:rPr>
          <w:i/>
          <w:sz w:val="23"/>
          <w:szCs w:val="23"/>
          <w:rtl/>
        </w:rPr>
      </w:pPr>
      <w:r w:rsidRPr="00D94694">
        <w:rPr>
          <w:position w:val="-22"/>
        </w:rPr>
        <w:object w:dxaOrig="3240" w:dyaOrig="560" w14:anchorId="5102E7B1">
          <v:shape id="_x0000_i4962" type="#_x0000_t75" style="width:162.15pt;height:27.85pt" o:ole="">
            <v:imagedata r:id="rId7922" o:title=""/>
          </v:shape>
          <o:OLEObject Type="Embed" ProgID="Equation.DSMT4" ShapeID="_x0000_i4962" DrawAspect="Content" ObjectID="_1791378906" r:id="rId7923"/>
        </w:object>
      </w:r>
      <w:r w:rsidRPr="00D94694">
        <w:rPr>
          <w:i/>
          <w:sz w:val="23"/>
          <w:szCs w:val="23"/>
          <w:rtl/>
        </w:rPr>
        <w:tab/>
      </w:r>
      <w:r w:rsidRPr="00D94694">
        <w:rPr>
          <w:i/>
          <w:sz w:val="23"/>
          <w:szCs w:val="23"/>
          <w:rtl/>
        </w:rPr>
        <w:tab/>
      </w:r>
      <w:r w:rsidRPr="00D94694">
        <w:rPr>
          <w:i/>
          <w:sz w:val="23"/>
          <w:szCs w:val="23"/>
        </w:rPr>
        <w:tab/>
      </w:r>
      <w:r w:rsidRPr="00D94694">
        <w:rPr>
          <w:i/>
          <w:sz w:val="23"/>
          <w:szCs w:val="23"/>
        </w:rPr>
        <w:tab/>
      </w:r>
      <w:r w:rsidRPr="00D94694">
        <w:rPr>
          <w:i/>
          <w:sz w:val="23"/>
          <w:szCs w:val="23"/>
        </w:rPr>
        <w:tab/>
      </w:r>
      <w:r w:rsidRPr="00D94694">
        <w:rPr>
          <w:i/>
          <w:sz w:val="23"/>
          <w:szCs w:val="23"/>
          <w:rtl/>
        </w:rPr>
        <w:tab/>
      </w:r>
      <w:r>
        <w:rPr>
          <w:i/>
          <w:sz w:val="23"/>
          <w:szCs w:val="23"/>
          <w:rtl/>
        </w:rPr>
        <w:tab/>
      </w:r>
      <w:r w:rsidRPr="00D94694">
        <w:rPr>
          <w:i/>
          <w:sz w:val="23"/>
          <w:szCs w:val="23"/>
        </w:rPr>
        <w:tab/>
      </w:r>
      <w:r w:rsidRPr="00D94694">
        <w:rPr>
          <w:i/>
          <w:sz w:val="23"/>
          <w:szCs w:val="23"/>
          <w:rtl/>
        </w:rPr>
        <w:tab/>
      </w:r>
      <w:r w:rsidRPr="00D94694">
        <w:rPr>
          <w:i/>
          <w:sz w:val="23"/>
          <w:szCs w:val="23"/>
          <w:rtl/>
        </w:rPr>
        <w:tab/>
      </w:r>
      <w:r w:rsidRPr="00D94694">
        <w:rPr>
          <w:rFonts w:hint="cs"/>
          <w:i/>
          <w:sz w:val="23"/>
          <w:szCs w:val="23"/>
          <w:rtl/>
        </w:rPr>
        <w:t>(۱۱. ۴۴)</w:t>
      </w:r>
      <w:r w:rsidRPr="00D94694">
        <w:rPr>
          <w:rFonts w:hint="cs"/>
          <w:i/>
          <w:sz w:val="23"/>
          <w:szCs w:val="23"/>
        </w:rPr>
        <w:t xml:space="preserve"> </w:t>
      </w:r>
    </w:p>
    <w:p w14:paraId="1EB0B13F" w14:textId="77777777" w:rsidR="00411620" w:rsidRPr="00D94694" w:rsidRDefault="00411620" w:rsidP="00411620">
      <w:pPr>
        <w:spacing w:line="216" w:lineRule="auto"/>
        <w:rPr>
          <w:i/>
          <w:sz w:val="23"/>
          <w:szCs w:val="23"/>
          <w:rtl/>
        </w:rPr>
      </w:pPr>
      <w:r w:rsidRPr="00D94694">
        <w:rPr>
          <w:rFonts w:hint="cs"/>
          <w:i/>
          <w:sz w:val="23"/>
          <w:szCs w:val="23"/>
          <w:rtl/>
        </w:rPr>
        <w:lastRenderedPageBreak/>
        <w:t>با تفاضل معادله‌ی (۱۱. ۴۴) از معادله‌ی (۱۱. ۴۳) شرط عدم وجود آربیتراژ تحت لگاریتم-نرمال بدست خواهد آمد:</w:t>
      </w:r>
    </w:p>
    <w:p w14:paraId="7B8C8930" w14:textId="77777777" w:rsidR="00411620" w:rsidRPr="00D94694" w:rsidRDefault="00411620" w:rsidP="00411620">
      <w:pPr>
        <w:bidi w:val="0"/>
        <w:spacing w:line="216" w:lineRule="auto"/>
        <w:rPr>
          <w:i/>
          <w:sz w:val="23"/>
          <w:szCs w:val="23"/>
          <w:rtl/>
        </w:rPr>
      </w:pPr>
      <w:r w:rsidRPr="00D94694">
        <w:rPr>
          <w:rFonts w:hint="cs"/>
          <w:i/>
          <w:sz w:val="23"/>
          <w:szCs w:val="23"/>
          <w:rtl/>
        </w:rPr>
        <w:t xml:space="preserve"> </w:t>
      </w:r>
      <w:r w:rsidRPr="00D94694">
        <w:rPr>
          <w:position w:val="-22"/>
        </w:rPr>
        <w:object w:dxaOrig="4060" w:dyaOrig="560" w14:anchorId="777F3F00">
          <v:shape id="_x0000_i4963" type="#_x0000_t75" style="width:203.3pt;height:27.85pt" o:ole="">
            <v:imagedata r:id="rId7924" o:title=""/>
          </v:shape>
          <o:OLEObject Type="Embed" ProgID="Equation.DSMT4" ShapeID="_x0000_i4963" DrawAspect="Content" ObjectID="_1791378907" r:id="rId7925"/>
        </w:object>
      </w:r>
      <w:r w:rsidRPr="00D94694">
        <w:rPr>
          <w:i/>
          <w:sz w:val="23"/>
          <w:szCs w:val="23"/>
        </w:rPr>
        <w:tab/>
      </w:r>
      <w:r w:rsidRPr="00D94694">
        <w:rPr>
          <w:i/>
          <w:sz w:val="23"/>
          <w:szCs w:val="23"/>
          <w:rtl/>
        </w:rPr>
        <w:tab/>
      </w:r>
      <w:r w:rsidRPr="00D94694">
        <w:rPr>
          <w:i/>
          <w:sz w:val="23"/>
          <w:szCs w:val="23"/>
          <w:rtl/>
        </w:rPr>
        <w:tab/>
      </w:r>
      <w:r w:rsidRPr="00D94694">
        <w:rPr>
          <w:i/>
          <w:sz w:val="23"/>
          <w:szCs w:val="23"/>
          <w:rtl/>
        </w:rPr>
        <w:tab/>
      </w:r>
      <w:r w:rsidRPr="00D94694">
        <w:rPr>
          <w:i/>
          <w:sz w:val="23"/>
          <w:szCs w:val="23"/>
        </w:rPr>
        <w:tab/>
      </w:r>
      <w:r>
        <w:rPr>
          <w:i/>
          <w:sz w:val="23"/>
          <w:szCs w:val="23"/>
          <w:rtl/>
        </w:rPr>
        <w:tab/>
      </w:r>
      <w:r w:rsidRPr="00D94694">
        <w:rPr>
          <w:i/>
          <w:sz w:val="23"/>
          <w:szCs w:val="23"/>
        </w:rPr>
        <w:tab/>
      </w:r>
      <w:r w:rsidRPr="00D94694">
        <w:rPr>
          <w:rFonts w:hint="cs"/>
          <w:i/>
          <w:sz w:val="23"/>
          <w:szCs w:val="23"/>
          <w:rtl/>
        </w:rPr>
        <w:t>(۱۱. ۴۵)</w:t>
      </w:r>
      <w:r w:rsidRPr="00D94694">
        <w:rPr>
          <w:rFonts w:hint="cs"/>
          <w:i/>
          <w:sz w:val="23"/>
          <w:szCs w:val="23"/>
        </w:rPr>
        <w:t xml:space="preserve"> </w:t>
      </w:r>
    </w:p>
    <w:p w14:paraId="5977E555" w14:textId="77777777" w:rsidR="00411620" w:rsidRPr="00D94694" w:rsidRDefault="00411620" w:rsidP="00411620">
      <w:pPr>
        <w:spacing w:line="216" w:lineRule="auto"/>
        <w:rPr>
          <w:i/>
          <w:sz w:val="23"/>
          <w:szCs w:val="23"/>
        </w:rPr>
      </w:pPr>
      <w:r w:rsidRPr="00D94694">
        <w:rPr>
          <w:rFonts w:hint="cs"/>
          <w:i/>
          <w:sz w:val="23"/>
          <w:szCs w:val="23"/>
          <w:rtl/>
        </w:rPr>
        <w:t>که در آن</w:t>
      </w:r>
      <w:r w:rsidRPr="00D94694">
        <w:rPr>
          <w:position w:val="-22"/>
        </w:rPr>
        <w:object w:dxaOrig="880" w:dyaOrig="560" w14:anchorId="67A0CAB3">
          <v:shape id="_x0000_i4964" type="#_x0000_t75" style="width:44.15pt;height:27.85pt" o:ole="">
            <v:imagedata r:id="rId7926" o:title=""/>
          </v:shape>
          <o:OLEObject Type="Embed" ProgID="Equation.DSMT4" ShapeID="_x0000_i4964" DrawAspect="Content" ObjectID="_1791378908" r:id="rId7927"/>
        </w:object>
      </w:r>
      <w:r w:rsidRPr="00D94694">
        <w:rPr>
          <w:rFonts w:hint="cs"/>
          <w:i/>
          <w:sz w:val="23"/>
          <w:szCs w:val="23"/>
          <w:rtl/>
        </w:rPr>
        <w:t xml:space="preserve"> اثر ینسن</w:t>
      </w:r>
      <w:r w:rsidRPr="00D94694">
        <w:rPr>
          <w:rStyle w:val="FootnoteReference"/>
          <w:rFonts w:eastAsiaTheme="majorEastAsia"/>
          <w:i/>
          <w:sz w:val="23"/>
          <w:szCs w:val="23"/>
          <w:rtl/>
        </w:rPr>
        <w:footnoteReference w:id="254"/>
      </w:r>
      <w:r w:rsidRPr="00D94694">
        <w:rPr>
          <w:rFonts w:hint="cs"/>
          <w:i/>
          <w:sz w:val="23"/>
          <w:szCs w:val="23"/>
          <w:rtl/>
        </w:rPr>
        <w:t xml:space="preserve"> است که بخاطر تابع غیرخطی انتظارات و به تبع آن </w:t>
      </w:r>
      <w:r w:rsidRPr="00D94694">
        <w:rPr>
          <w:position w:val="-14"/>
        </w:rPr>
        <w:object w:dxaOrig="1900" w:dyaOrig="380" w14:anchorId="1E8D1DDB">
          <v:shape id="_x0000_i4965" type="#_x0000_t75" style="width:95pt;height:18.75pt" o:ole="">
            <v:imagedata r:id="rId7928" o:title=""/>
          </v:shape>
          <o:OLEObject Type="Embed" ProgID="Equation.DSMT4" ShapeID="_x0000_i4965" DrawAspect="Content" ObjectID="_1791378909" r:id="rId7929"/>
        </w:object>
      </w:r>
      <w:r w:rsidRPr="00D94694">
        <w:rPr>
          <w:rFonts w:hint="cs"/>
          <w:i/>
          <w:sz w:val="23"/>
          <w:szCs w:val="23"/>
          <w:rtl/>
        </w:rPr>
        <w:t xml:space="preserve">، مگر آن که </w:t>
      </w:r>
      <w:r w:rsidRPr="00D94694">
        <w:rPr>
          <w:position w:val="-12"/>
        </w:rPr>
        <w:object w:dxaOrig="499" w:dyaOrig="360" w14:anchorId="26BF1275">
          <v:shape id="_x0000_i4966" type="#_x0000_t75" style="width:24.8pt;height:18.15pt" o:ole="">
            <v:imagedata r:id="rId7930" o:title=""/>
          </v:shape>
          <o:OLEObject Type="Embed" ProgID="Equation.DSMT4" ShapeID="_x0000_i4966" DrawAspect="Content" ObjectID="_1791378910" r:id="rId7931"/>
        </w:object>
      </w:r>
      <w:r w:rsidRPr="00D94694">
        <w:rPr>
          <w:i/>
          <w:sz w:val="23"/>
          <w:szCs w:val="23"/>
        </w:rPr>
        <w:t xml:space="preserve"> </w:t>
      </w:r>
      <w:r w:rsidRPr="00D94694">
        <w:rPr>
          <w:rFonts w:hint="cs"/>
          <w:i/>
          <w:sz w:val="23"/>
          <w:szCs w:val="23"/>
          <w:rtl/>
        </w:rPr>
        <w:t>خطی باشد، بوجود می‌آید.</w:t>
      </w:r>
    </w:p>
    <w:p w14:paraId="67A5C11F" w14:textId="77777777" w:rsidR="00411620" w:rsidRPr="00D94694" w:rsidRDefault="00411620" w:rsidP="00411620">
      <w:pPr>
        <w:spacing w:line="216" w:lineRule="auto"/>
        <w:rPr>
          <w:i/>
          <w:sz w:val="23"/>
          <w:szCs w:val="23"/>
          <w:rtl/>
        </w:rPr>
      </w:pPr>
      <w:r w:rsidRPr="00D94694">
        <w:rPr>
          <w:i/>
          <w:sz w:val="23"/>
          <w:szCs w:val="23"/>
        </w:rPr>
        <w:t xml:space="preserve"> </w:t>
      </w:r>
      <w:r w:rsidRPr="00D94694">
        <w:rPr>
          <w:rFonts w:hint="cs"/>
          <w:i/>
          <w:sz w:val="23"/>
          <w:szCs w:val="23"/>
          <w:rtl/>
        </w:rPr>
        <w:t xml:space="preserve">اگر </w:t>
      </w:r>
      <w:r w:rsidRPr="00D94694">
        <w:rPr>
          <w:position w:val="-14"/>
        </w:rPr>
        <w:object w:dxaOrig="2400" w:dyaOrig="380" w14:anchorId="0B33D951">
          <v:shape id="_x0000_i4967" type="#_x0000_t75" style="width:119.8pt;height:18.75pt" o:ole="">
            <v:imagedata r:id="rId7932" o:title=""/>
          </v:shape>
          <o:OLEObject Type="Embed" ProgID="Equation.DSMT4" ShapeID="_x0000_i4967" DrawAspect="Content" ObjectID="_1791378911" r:id="rId7933"/>
        </w:object>
      </w:r>
      <w:r w:rsidRPr="00D94694">
        <w:rPr>
          <w:rFonts w:hint="cs"/>
          <w:i/>
          <w:sz w:val="23"/>
          <w:szCs w:val="23"/>
          <w:rtl/>
        </w:rPr>
        <w:t xml:space="preserve"> باشد، آنگاه</w:t>
      </w:r>
    </w:p>
    <w:p w14:paraId="5CEEBAE5" w14:textId="77777777" w:rsidR="00411620" w:rsidRPr="00D94694" w:rsidRDefault="00411620" w:rsidP="00411620">
      <w:pPr>
        <w:bidi w:val="0"/>
        <w:spacing w:line="216" w:lineRule="auto"/>
        <w:rPr>
          <w:i/>
          <w:sz w:val="23"/>
          <w:szCs w:val="23"/>
          <w:rtl/>
        </w:rPr>
      </w:pPr>
      <w:r w:rsidRPr="00D94694">
        <w:rPr>
          <w:position w:val="-12"/>
        </w:rPr>
        <w:object w:dxaOrig="2420" w:dyaOrig="360" w14:anchorId="5F249E7D">
          <v:shape id="_x0000_i4968" type="#_x0000_t75" style="width:121pt;height:18.15pt" o:ole="">
            <v:imagedata r:id="rId7934" o:title=""/>
          </v:shape>
          <o:OLEObject Type="Embed" ProgID="Equation.DSMT4" ShapeID="_x0000_i4968" DrawAspect="Content" ObjectID="_1791378912" r:id="rId7935"/>
        </w:object>
      </w:r>
      <w:r w:rsidRPr="00D94694">
        <w:rPr>
          <w:i/>
          <w:sz w:val="23"/>
          <w:szCs w:val="23"/>
          <w:rtl/>
        </w:rPr>
        <w:tab/>
      </w:r>
      <w:r w:rsidRPr="00D94694">
        <w:rPr>
          <w:rFonts w:hint="cs"/>
          <w:i/>
          <w:sz w:val="23"/>
          <w:szCs w:val="23"/>
          <w:rtl/>
        </w:rPr>
        <w:t xml:space="preserve"> </w:t>
      </w:r>
      <w:r w:rsidRPr="00D94694">
        <w:rPr>
          <w:i/>
          <w:sz w:val="23"/>
          <w:szCs w:val="23"/>
        </w:rPr>
        <w:tab/>
      </w:r>
      <w:r w:rsidRPr="00D94694">
        <w:rPr>
          <w:i/>
          <w:sz w:val="23"/>
          <w:szCs w:val="23"/>
        </w:rPr>
        <w:tab/>
      </w:r>
      <w:r w:rsidRPr="00D94694">
        <w:rPr>
          <w:i/>
          <w:sz w:val="23"/>
          <w:szCs w:val="23"/>
        </w:rPr>
        <w:tab/>
      </w:r>
      <w:r w:rsidRPr="00D94694">
        <w:rPr>
          <w:i/>
          <w:sz w:val="23"/>
          <w:szCs w:val="23"/>
        </w:rPr>
        <w:tab/>
      </w:r>
      <w:r>
        <w:rPr>
          <w:i/>
          <w:sz w:val="23"/>
          <w:szCs w:val="23"/>
          <w:rtl/>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tl/>
        </w:rPr>
        <w:tab/>
      </w:r>
      <w:r w:rsidRPr="00D94694">
        <w:rPr>
          <w:i/>
          <w:sz w:val="23"/>
          <w:szCs w:val="23"/>
        </w:rPr>
        <w:tab/>
      </w:r>
      <w:r w:rsidRPr="00D94694">
        <w:rPr>
          <w:i/>
          <w:sz w:val="23"/>
          <w:szCs w:val="23"/>
        </w:rPr>
        <w:tab/>
      </w:r>
      <w:r w:rsidRPr="00D94694">
        <w:rPr>
          <w:rFonts w:hint="cs"/>
          <w:i/>
          <w:sz w:val="23"/>
          <w:szCs w:val="23"/>
          <w:rtl/>
        </w:rPr>
        <w:t>(۱۱. ۴۶)</w:t>
      </w:r>
      <w:r w:rsidRPr="00D94694">
        <w:rPr>
          <w:rFonts w:hint="cs"/>
          <w:i/>
          <w:sz w:val="23"/>
          <w:szCs w:val="23"/>
        </w:rPr>
        <w:t xml:space="preserve"> </w:t>
      </w:r>
    </w:p>
    <w:p w14:paraId="4D84CDF7" w14:textId="77777777" w:rsidR="00411620" w:rsidRPr="00D94694" w:rsidRDefault="00411620" w:rsidP="00411620">
      <w:pPr>
        <w:spacing w:line="216" w:lineRule="auto"/>
        <w:rPr>
          <w:i/>
          <w:sz w:val="23"/>
          <w:szCs w:val="23"/>
          <w:rtl/>
        </w:rPr>
      </w:pPr>
      <w:r w:rsidRPr="00D94694">
        <w:rPr>
          <w:rFonts w:hint="cs"/>
          <w:i/>
          <w:sz w:val="23"/>
          <w:szCs w:val="23"/>
          <w:rtl/>
        </w:rPr>
        <w:t>بنابراین، شرط بدون آربیتراژ را می‌توان به صورت زیر نوشت</w:t>
      </w:r>
    </w:p>
    <w:p w14:paraId="7ADE5059" w14:textId="77777777" w:rsidR="00411620" w:rsidRPr="00D94694" w:rsidRDefault="00411620" w:rsidP="00411620">
      <w:pPr>
        <w:bidi w:val="0"/>
        <w:spacing w:line="216" w:lineRule="auto"/>
        <w:rPr>
          <w:i/>
          <w:sz w:val="23"/>
          <w:szCs w:val="23"/>
          <w:rtl/>
        </w:rPr>
      </w:pPr>
      <w:r w:rsidRPr="00D94694">
        <w:rPr>
          <w:position w:val="-22"/>
        </w:rPr>
        <w:object w:dxaOrig="3960" w:dyaOrig="560" w14:anchorId="1AE105BE">
          <v:shape id="_x0000_i4969" type="#_x0000_t75" style="width:198.45pt;height:27.85pt" o:ole="">
            <v:imagedata r:id="rId7936" o:title=""/>
          </v:shape>
          <o:OLEObject Type="Embed" ProgID="Equation.DSMT4" ShapeID="_x0000_i4969" DrawAspect="Content" ObjectID="_1791378913" r:id="rId7937"/>
        </w:object>
      </w:r>
      <w:r w:rsidRPr="00D94694">
        <w:rPr>
          <w:i/>
          <w:sz w:val="23"/>
          <w:szCs w:val="23"/>
        </w:rPr>
        <w:tab/>
      </w:r>
      <w:r>
        <w:rPr>
          <w:i/>
          <w:sz w:val="23"/>
          <w:szCs w:val="23"/>
          <w:rtl/>
        </w:rPr>
        <w:tab/>
      </w:r>
      <w:r w:rsidRPr="00D94694">
        <w:rPr>
          <w:i/>
          <w:sz w:val="23"/>
          <w:szCs w:val="23"/>
          <w:rtl/>
        </w:rPr>
        <w:tab/>
      </w:r>
      <w:r w:rsidRPr="00D94694">
        <w:rPr>
          <w:i/>
          <w:sz w:val="23"/>
          <w:szCs w:val="23"/>
          <w:rtl/>
        </w:rPr>
        <w:tab/>
      </w:r>
      <w:r w:rsidRPr="00D94694">
        <w:rPr>
          <w:i/>
          <w:sz w:val="23"/>
          <w:szCs w:val="23"/>
        </w:rPr>
        <w:tab/>
      </w:r>
      <w:r w:rsidRPr="00D94694">
        <w:rPr>
          <w:i/>
          <w:sz w:val="23"/>
          <w:szCs w:val="23"/>
          <w:rtl/>
        </w:rPr>
        <w:tab/>
      </w:r>
      <w:r w:rsidRPr="00D94694">
        <w:rPr>
          <w:i/>
          <w:sz w:val="23"/>
          <w:szCs w:val="23"/>
        </w:rPr>
        <w:tab/>
      </w:r>
      <w:r w:rsidRPr="00D94694">
        <w:rPr>
          <w:i/>
          <w:sz w:val="23"/>
          <w:szCs w:val="23"/>
        </w:rPr>
        <w:tab/>
      </w:r>
      <w:r w:rsidRPr="00D94694">
        <w:rPr>
          <w:rFonts w:hint="cs"/>
          <w:i/>
          <w:sz w:val="23"/>
          <w:szCs w:val="23"/>
          <w:rtl/>
        </w:rPr>
        <w:t>(۱۱. ۴۷)</w:t>
      </w:r>
      <w:r w:rsidRPr="00D94694">
        <w:rPr>
          <w:rFonts w:hint="cs"/>
          <w:i/>
          <w:sz w:val="23"/>
          <w:szCs w:val="23"/>
        </w:rPr>
        <w:t xml:space="preserve"> </w:t>
      </w:r>
    </w:p>
    <w:p w14:paraId="3DBD5B72" w14:textId="77777777" w:rsidR="00411620" w:rsidRPr="00D94694" w:rsidRDefault="00411620" w:rsidP="00411620">
      <w:pPr>
        <w:spacing w:line="216" w:lineRule="auto"/>
        <w:rPr>
          <w:i/>
          <w:sz w:val="23"/>
          <w:szCs w:val="23"/>
          <w:rtl/>
        </w:rPr>
      </w:pPr>
      <w:r w:rsidRPr="00D94694">
        <w:rPr>
          <w:rFonts w:hint="cs"/>
          <w:i/>
          <w:sz w:val="23"/>
          <w:szCs w:val="23"/>
          <w:rtl/>
        </w:rPr>
        <w:t>که ممکن است با معادله‌ی (۱۱. ۳۶) که فاقد فرض لگاریتم-نرمال است، مقایسه شود.</w:t>
      </w:r>
    </w:p>
    <w:p w14:paraId="2469FAA9" w14:textId="77777777" w:rsidR="00411620" w:rsidRPr="00D94694" w:rsidRDefault="00411620" w:rsidP="00411620">
      <w:pPr>
        <w:spacing w:line="216" w:lineRule="auto"/>
        <w:rPr>
          <w:i/>
          <w:sz w:val="23"/>
          <w:szCs w:val="23"/>
          <w:rtl/>
        </w:rPr>
      </w:pPr>
    </w:p>
    <w:p w14:paraId="10C1DB7F" w14:textId="77777777" w:rsidR="00411620" w:rsidRPr="00D94694" w:rsidRDefault="00411620" w:rsidP="00411620">
      <w:pPr>
        <w:spacing w:line="216" w:lineRule="auto"/>
        <w:rPr>
          <w:bCs/>
          <w:i/>
          <w:sz w:val="23"/>
          <w:szCs w:val="23"/>
          <w:rtl/>
        </w:rPr>
      </w:pPr>
      <w:r w:rsidRPr="00D94694">
        <w:rPr>
          <w:rFonts w:hint="cs"/>
          <w:bCs/>
          <w:i/>
          <w:sz w:val="23"/>
          <w:szCs w:val="23"/>
          <w:rtl/>
        </w:rPr>
        <w:t>مدل‌های چند عاملی</w:t>
      </w:r>
    </w:p>
    <w:p w14:paraId="780E5027" w14:textId="77777777" w:rsidR="00411620" w:rsidRPr="00D94694" w:rsidRDefault="00411620" w:rsidP="00411620">
      <w:pPr>
        <w:spacing w:line="216" w:lineRule="auto"/>
        <w:rPr>
          <w:i/>
          <w:sz w:val="23"/>
          <w:szCs w:val="23"/>
          <w:rtl/>
        </w:rPr>
      </w:pPr>
      <w:r w:rsidRPr="00D94694">
        <w:rPr>
          <w:rFonts w:hint="cs"/>
          <w:i/>
          <w:sz w:val="23"/>
          <w:szCs w:val="23"/>
          <w:rtl/>
        </w:rPr>
        <w:t>روش عمومی</w:t>
      </w:r>
      <w:r w:rsidRPr="00D94694">
        <w:rPr>
          <w:i/>
          <w:sz w:val="23"/>
          <w:szCs w:val="23"/>
          <w:rtl/>
        </w:rPr>
        <w:softHyphen/>
      </w:r>
      <w:r w:rsidRPr="00D94694">
        <w:rPr>
          <w:rFonts w:hint="cs"/>
          <w:i/>
          <w:sz w:val="23"/>
          <w:szCs w:val="23"/>
          <w:rtl/>
        </w:rPr>
        <w:t>تر برای بیان مدل‌های قیمت‌گذاری دارایی، مدل‌های چند عاملی است. اگر عامل تنزیل تصادفی را به صورت زیر بنویسیم</w:t>
      </w:r>
    </w:p>
    <w:p w14:paraId="5825F123" w14:textId="77777777" w:rsidR="00411620" w:rsidRPr="00D94694" w:rsidRDefault="00411620" w:rsidP="00411620">
      <w:pPr>
        <w:bidi w:val="0"/>
        <w:spacing w:line="216" w:lineRule="auto"/>
        <w:rPr>
          <w:i/>
          <w:sz w:val="23"/>
          <w:szCs w:val="23"/>
        </w:rPr>
      </w:pPr>
      <w:r w:rsidRPr="00D94694">
        <w:rPr>
          <w:position w:val="-26"/>
        </w:rPr>
        <w:object w:dxaOrig="1820" w:dyaOrig="499" w14:anchorId="45A605D1">
          <v:shape id="_x0000_i4970" type="#_x0000_t75" style="width:90.75pt;height:24.8pt" o:ole="">
            <v:imagedata r:id="rId7938" o:title=""/>
          </v:shape>
          <o:OLEObject Type="Embed" ProgID="Equation.DSMT4" ShapeID="_x0000_i4970" DrawAspect="Content" ObjectID="_1791378914" r:id="rId7939"/>
        </w:object>
      </w:r>
    </w:p>
    <w:p w14:paraId="42A0A70D" w14:textId="77777777" w:rsidR="00411620" w:rsidRPr="00D94694" w:rsidRDefault="00411620" w:rsidP="00411620">
      <w:pPr>
        <w:spacing w:line="216" w:lineRule="auto"/>
        <w:rPr>
          <w:i/>
          <w:sz w:val="23"/>
          <w:szCs w:val="23"/>
          <w:rtl/>
        </w:rPr>
      </w:pPr>
      <w:r w:rsidRPr="00D94694">
        <w:rPr>
          <w:rFonts w:hint="cs"/>
          <w:i/>
          <w:sz w:val="23"/>
          <w:szCs w:val="23"/>
          <w:rtl/>
        </w:rPr>
        <w:t>آنگاه شرط بدون آربیتراژ برابر خواهد بود با</w:t>
      </w:r>
    </w:p>
    <w:p w14:paraId="283587AC" w14:textId="77777777" w:rsidR="00411620" w:rsidRPr="00D94694" w:rsidRDefault="00411620" w:rsidP="00411620">
      <w:pPr>
        <w:bidi w:val="0"/>
        <w:spacing w:line="216" w:lineRule="auto"/>
        <w:rPr>
          <w:i/>
          <w:sz w:val="23"/>
          <w:szCs w:val="23"/>
          <w:rtl/>
        </w:rPr>
      </w:pPr>
      <w:r w:rsidRPr="00D94694">
        <w:rPr>
          <w:rFonts w:hint="cs"/>
          <w:i/>
          <w:sz w:val="23"/>
          <w:szCs w:val="23"/>
        </w:rPr>
        <w:t xml:space="preserve"> </w:t>
      </w:r>
      <w:r w:rsidRPr="00D94694">
        <w:rPr>
          <w:position w:val="-36"/>
        </w:rPr>
        <w:object w:dxaOrig="3500" w:dyaOrig="820" w14:anchorId="0D39FAD2">
          <v:shape id="_x0000_i4971" type="#_x0000_t75" style="width:175.45pt;height:40.55pt" o:ole="">
            <v:imagedata r:id="rId7940" o:title=""/>
          </v:shape>
          <o:OLEObject Type="Embed" ProgID="Equation.DSMT4" ShapeID="_x0000_i4971" DrawAspect="Content" ObjectID="_1791378915" r:id="rId7941"/>
        </w:object>
      </w:r>
      <w:r w:rsidRPr="00D94694">
        <w:rPr>
          <w:i/>
          <w:sz w:val="23"/>
          <w:szCs w:val="23"/>
        </w:rPr>
        <w:tab/>
      </w:r>
      <w:r w:rsidRPr="00D94694">
        <w:rPr>
          <w:i/>
          <w:sz w:val="23"/>
          <w:szCs w:val="23"/>
          <w:rtl/>
        </w:rPr>
        <w:tab/>
      </w:r>
      <w:r w:rsidRPr="00D94694">
        <w:rPr>
          <w:i/>
          <w:sz w:val="23"/>
          <w:szCs w:val="23"/>
          <w:rtl/>
        </w:rPr>
        <w:tab/>
      </w:r>
      <w:r>
        <w:rPr>
          <w:i/>
          <w:sz w:val="23"/>
          <w:szCs w:val="23"/>
          <w:rtl/>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rFonts w:hint="cs"/>
          <w:i/>
          <w:sz w:val="23"/>
          <w:szCs w:val="23"/>
          <w:rtl/>
        </w:rPr>
        <w:t>(۱۱. ۴۸)</w:t>
      </w:r>
      <w:r w:rsidRPr="00D94694">
        <w:rPr>
          <w:rFonts w:hint="cs"/>
          <w:i/>
          <w:sz w:val="23"/>
          <w:szCs w:val="23"/>
        </w:rPr>
        <w:t xml:space="preserve"> </w:t>
      </w:r>
    </w:p>
    <w:p w14:paraId="28A2A52E" w14:textId="77777777" w:rsidR="00411620" w:rsidRPr="00D94694" w:rsidRDefault="00411620" w:rsidP="00411620">
      <w:pPr>
        <w:spacing w:line="216" w:lineRule="auto"/>
        <w:rPr>
          <w:i/>
          <w:sz w:val="23"/>
          <w:szCs w:val="23"/>
          <w:rtl/>
        </w:rPr>
      </w:pPr>
      <w:r w:rsidRPr="00D94694">
        <w:rPr>
          <w:rFonts w:hint="cs"/>
          <w:i/>
          <w:sz w:val="23"/>
          <w:szCs w:val="23"/>
          <w:rtl/>
        </w:rPr>
        <w:t xml:space="preserve">برای مثال در مدل </w:t>
      </w:r>
      <w:r w:rsidRPr="00D94694">
        <w:rPr>
          <w:i/>
          <w:sz w:val="23"/>
          <w:szCs w:val="23"/>
        </w:rPr>
        <w:t>CAPM</w:t>
      </w:r>
      <w:r w:rsidRPr="00D94694">
        <w:rPr>
          <w:rFonts w:hint="cs"/>
          <w:i/>
          <w:sz w:val="23"/>
          <w:szCs w:val="23"/>
          <w:rtl/>
        </w:rPr>
        <w:t xml:space="preserve"> فرض می‌شود که عامل تنزیل منفرد تصادفی</w:t>
      </w:r>
      <w:r w:rsidRPr="00D94694">
        <w:rPr>
          <w:position w:val="-16"/>
        </w:rPr>
        <w:object w:dxaOrig="1660" w:dyaOrig="420" w14:anchorId="0458003E">
          <v:shape id="_x0000_i4972" type="#_x0000_t75" style="width:82.9pt;height:21.2pt" o:ole="">
            <v:imagedata r:id="rId7942" o:title=""/>
          </v:shape>
          <o:OLEObject Type="Embed" ProgID="Equation.DSMT4" ShapeID="_x0000_i4972" DrawAspect="Content" ObjectID="_1791378916" r:id="rId7943"/>
        </w:object>
      </w:r>
      <w:r w:rsidRPr="00D94694">
        <w:rPr>
          <w:rFonts w:hint="cs"/>
          <w:i/>
          <w:sz w:val="23"/>
          <w:szCs w:val="23"/>
          <w:rtl/>
        </w:rPr>
        <w:t xml:space="preserve"> وجود دارد که در آن </w:t>
      </w:r>
      <w:r w:rsidRPr="00D94694">
        <w:rPr>
          <w:position w:val="-10"/>
        </w:rPr>
        <w:object w:dxaOrig="320" w:dyaOrig="340" w14:anchorId="3F0DF59C">
          <v:shape id="_x0000_i4973" type="#_x0000_t75" style="width:15.75pt;height:16.95pt" o:ole="">
            <v:imagedata r:id="rId7944" o:title=""/>
          </v:shape>
          <o:OLEObject Type="Embed" ProgID="Equation.DSMT4" ShapeID="_x0000_i4973" DrawAspect="Content" ObjectID="_1791378917" r:id="rId7945"/>
        </w:object>
      </w:r>
      <w:r w:rsidRPr="00D94694">
        <w:rPr>
          <w:i/>
          <w:sz w:val="23"/>
          <w:szCs w:val="23"/>
        </w:rPr>
        <w:t xml:space="preserve"> </w:t>
      </w:r>
      <w:r w:rsidRPr="00D94694">
        <w:rPr>
          <w:rFonts w:hint="cs"/>
          <w:i/>
          <w:sz w:val="23"/>
          <w:szCs w:val="23"/>
          <w:rtl/>
        </w:rPr>
        <w:t xml:space="preserve">یا بازدهی بازار، عامل منفرد است. مدل </w:t>
      </w:r>
      <w:r w:rsidRPr="00D94694">
        <w:rPr>
          <w:i/>
          <w:sz w:val="23"/>
          <w:szCs w:val="23"/>
        </w:rPr>
        <w:t>C-CAPM</w:t>
      </w:r>
      <w:r w:rsidRPr="00D94694">
        <w:rPr>
          <w:rFonts w:hint="cs"/>
          <w:i/>
          <w:sz w:val="23"/>
          <w:szCs w:val="23"/>
          <w:rtl/>
        </w:rPr>
        <w:t xml:space="preserve"> فرض می‌کند عامل تنزیل تصادفی منفرد</w:t>
      </w:r>
      <w:r w:rsidRPr="00D94694">
        <w:rPr>
          <w:position w:val="-14"/>
        </w:rPr>
        <w:object w:dxaOrig="3760" w:dyaOrig="380" w14:anchorId="15942629">
          <v:shape id="_x0000_i4974" type="#_x0000_t75" style="width:188.15pt;height:18.75pt" o:ole="">
            <v:imagedata r:id="rId7946" o:title=""/>
          </v:shape>
          <o:OLEObject Type="Embed" ProgID="Equation.DSMT4" ShapeID="_x0000_i4974" DrawAspect="Content" ObjectID="_1791378918" r:id="rId7947"/>
        </w:object>
      </w:r>
      <w:r w:rsidRPr="00D94694">
        <w:rPr>
          <w:rFonts w:hint="cs"/>
          <w:i/>
          <w:sz w:val="23"/>
          <w:szCs w:val="23"/>
          <w:rtl/>
        </w:rPr>
        <w:t xml:space="preserve">وجود دارد و رشد مصرف عامل منفرد است. بنابراین، هنگامی که </w:t>
      </w:r>
      <w:r w:rsidRPr="00D94694">
        <w:rPr>
          <w:position w:val="-10"/>
        </w:rPr>
        <w:object w:dxaOrig="639" w:dyaOrig="320" w14:anchorId="6F88A71E">
          <v:shape id="_x0000_i4975" type="#_x0000_t75" style="width:32.05pt;height:15.75pt" o:ole="">
            <v:imagedata r:id="rId7948" o:title=""/>
          </v:shape>
          <o:OLEObject Type="Embed" ProgID="Equation.DSMT4" ShapeID="_x0000_i4975" DrawAspect="Content" ObjectID="_1791378919" r:id="rId7949"/>
        </w:object>
      </w:r>
      <w:r w:rsidRPr="00D94694">
        <w:rPr>
          <w:rFonts w:hint="cs"/>
          <w:i/>
          <w:sz w:val="23"/>
          <w:szCs w:val="23"/>
          <w:rtl/>
        </w:rPr>
        <w:t>است، عوامل عبارتند از</w:t>
      </w:r>
    </w:p>
    <w:p w14:paraId="02A7AB6F" w14:textId="77777777" w:rsidR="00411620" w:rsidRPr="00D94694" w:rsidRDefault="00411620" w:rsidP="00411620">
      <w:pPr>
        <w:bidi w:val="0"/>
        <w:spacing w:line="216" w:lineRule="auto"/>
        <w:rPr>
          <w:i/>
          <w:sz w:val="23"/>
          <w:szCs w:val="23"/>
        </w:rPr>
      </w:pPr>
      <w:r w:rsidRPr="00D94694">
        <w:rPr>
          <w:position w:val="-46"/>
        </w:rPr>
        <w:object w:dxaOrig="2360" w:dyaOrig="1020" w14:anchorId="68801AE3">
          <v:shape id="_x0000_i4976" type="#_x0000_t75" style="width:118pt;height:50.8pt" o:ole="">
            <v:imagedata r:id="rId7950" o:title=""/>
          </v:shape>
          <o:OLEObject Type="Embed" ProgID="Equation.DSMT4" ShapeID="_x0000_i4976" DrawAspect="Content" ObjectID="_1791378920" r:id="rId7951"/>
        </w:object>
      </w:r>
    </w:p>
    <w:p w14:paraId="75686D01" w14:textId="77777777" w:rsidR="00411620" w:rsidRPr="00D94694" w:rsidRDefault="00411620" w:rsidP="00411620">
      <w:pPr>
        <w:spacing w:line="216" w:lineRule="auto"/>
        <w:rPr>
          <w:i/>
          <w:sz w:val="23"/>
          <w:szCs w:val="23"/>
          <w:rtl/>
        </w:rPr>
      </w:pPr>
      <w:r w:rsidRPr="00D94694">
        <w:rPr>
          <w:rFonts w:hint="cs"/>
          <w:i/>
          <w:sz w:val="23"/>
          <w:szCs w:val="23"/>
          <w:rtl/>
        </w:rPr>
        <w:t>با فرض لگاریتم-نرمال و این</w:t>
      </w:r>
      <w:r w:rsidRPr="00D94694">
        <w:rPr>
          <w:i/>
          <w:sz w:val="23"/>
          <w:szCs w:val="23"/>
          <w:rtl/>
        </w:rPr>
        <w:softHyphen/>
      </w:r>
      <w:r w:rsidRPr="00D94694">
        <w:rPr>
          <w:rFonts w:hint="cs"/>
          <w:i/>
          <w:sz w:val="23"/>
          <w:szCs w:val="23"/>
          <w:rtl/>
        </w:rPr>
        <w:t>که</w:t>
      </w:r>
    </w:p>
    <w:p w14:paraId="422ABB99" w14:textId="77777777" w:rsidR="00411620" w:rsidRPr="00D94694" w:rsidRDefault="00411620" w:rsidP="00411620">
      <w:pPr>
        <w:bidi w:val="0"/>
        <w:spacing w:line="216" w:lineRule="auto"/>
        <w:rPr>
          <w:i/>
          <w:sz w:val="23"/>
          <w:szCs w:val="23"/>
        </w:rPr>
      </w:pPr>
      <w:r w:rsidRPr="00D94694">
        <w:rPr>
          <w:position w:val="-26"/>
        </w:rPr>
        <w:object w:dxaOrig="2040" w:dyaOrig="499" w14:anchorId="15947360">
          <v:shape id="_x0000_i4977" type="#_x0000_t75" style="width:102.25pt;height:24.8pt" o:ole="">
            <v:imagedata r:id="rId7952" o:title=""/>
          </v:shape>
          <o:OLEObject Type="Embed" ProgID="Equation.DSMT4" ShapeID="_x0000_i4977" DrawAspect="Content" ObjectID="_1791378921" r:id="rId7953"/>
        </w:object>
      </w:r>
    </w:p>
    <w:p w14:paraId="7C6BAD47" w14:textId="77777777" w:rsidR="00411620" w:rsidRPr="00D94694" w:rsidRDefault="00411620" w:rsidP="00411620">
      <w:pPr>
        <w:spacing w:line="216" w:lineRule="auto"/>
        <w:rPr>
          <w:i/>
          <w:sz w:val="23"/>
          <w:szCs w:val="23"/>
          <w:rtl/>
        </w:rPr>
      </w:pPr>
      <w:r w:rsidRPr="00D94694">
        <w:rPr>
          <w:rFonts w:hint="cs"/>
          <w:i/>
          <w:sz w:val="23"/>
          <w:szCs w:val="23"/>
          <w:rtl/>
        </w:rPr>
        <w:lastRenderedPageBreak/>
        <w:t>رابطه‌ی قیمت‌گذاری دارایی برابر خواهد بود با</w:t>
      </w:r>
    </w:p>
    <w:p w14:paraId="49E36EAF" w14:textId="77777777" w:rsidR="00411620" w:rsidRPr="00D94694" w:rsidRDefault="00411620" w:rsidP="00411620">
      <w:pPr>
        <w:bidi w:val="0"/>
        <w:spacing w:line="216" w:lineRule="auto"/>
        <w:rPr>
          <w:i/>
          <w:sz w:val="23"/>
          <w:szCs w:val="23"/>
          <w:rtl/>
        </w:rPr>
      </w:pPr>
      <w:r w:rsidRPr="00D94694">
        <w:rPr>
          <w:position w:val="-48"/>
        </w:rPr>
        <w:object w:dxaOrig="4140" w:dyaOrig="1060" w14:anchorId="7B1AD57B">
          <v:shape id="_x0000_i4978" type="#_x0000_t75" style="width:206.9pt;height:53.25pt" o:ole="">
            <v:imagedata r:id="rId7954" o:title=""/>
          </v:shape>
          <o:OLEObject Type="Embed" ProgID="Equation.DSMT4" ShapeID="_x0000_i4978" DrawAspect="Content" ObjectID="_1791378922" r:id="rId7955"/>
        </w:object>
      </w:r>
      <w:r w:rsidRPr="00D94694">
        <w:rPr>
          <w:i/>
          <w:sz w:val="23"/>
          <w:szCs w:val="23"/>
          <w:rtl/>
        </w:rPr>
        <w:tab/>
      </w:r>
      <w:r>
        <w:rPr>
          <w:i/>
          <w:sz w:val="23"/>
          <w:szCs w:val="23"/>
          <w:rtl/>
        </w:rPr>
        <w:tab/>
      </w:r>
      <w:r w:rsidRPr="00D94694">
        <w:rPr>
          <w:i/>
          <w:sz w:val="23"/>
          <w:szCs w:val="23"/>
          <w:rtl/>
        </w:rPr>
        <w:tab/>
      </w:r>
      <w:r w:rsidRPr="00D94694">
        <w:rPr>
          <w:i/>
          <w:sz w:val="23"/>
          <w:szCs w:val="23"/>
          <w:rtl/>
        </w:rPr>
        <w:tab/>
      </w:r>
      <w:r w:rsidRPr="00D94694">
        <w:rPr>
          <w:i/>
          <w:sz w:val="23"/>
          <w:szCs w:val="23"/>
        </w:rPr>
        <w:tab/>
      </w:r>
      <w:r w:rsidRPr="00D94694">
        <w:rPr>
          <w:i/>
          <w:sz w:val="23"/>
          <w:szCs w:val="23"/>
        </w:rPr>
        <w:tab/>
      </w:r>
      <w:r w:rsidRPr="00D94694">
        <w:rPr>
          <w:i/>
          <w:sz w:val="23"/>
          <w:szCs w:val="23"/>
          <w:rtl/>
        </w:rPr>
        <w:tab/>
      </w:r>
      <w:r w:rsidRPr="00D94694">
        <w:rPr>
          <w:rFonts w:hint="cs"/>
          <w:i/>
          <w:sz w:val="23"/>
          <w:szCs w:val="23"/>
          <w:rtl/>
        </w:rPr>
        <w:t>(۱۱. ۴۹)</w:t>
      </w:r>
      <w:r w:rsidRPr="00D94694">
        <w:rPr>
          <w:rFonts w:hint="cs"/>
          <w:i/>
          <w:sz w:val="23"/>
          <w:szCs w:val="23"/>
        </w:rPr>
        <w:t xml:space="preserve"> </w:t>
      </w:r>
    </w:p>
    <w:p w14:paraId="351A0D03" w14:textId="77777777" w:rsidR="00411620" w:rsidRPr="00D94694" w:rsidRDefault="00411620" w:rsidP="00411620">
      <w:pPr>
        <w:spacing w:line="216" w:lineRule="auto"/>
        <w:rPr>
          <w:i/>
          <w:sz w:val="23"/>
          <w:szCs w:val="23"/>
          <w:rtl/>
        </w:rPr>
      </w:pPr>
      <w:r w:rsidRPr="00D94694">
        <w:rPr>
          <w:rFonts w:hint="cs"/>
          <w:i/>
          <w:sz w:val="23"/>
          <w:szCs w:val="23"/>
          <w:rtl/>
        </w:rPr>
        <w:t>معادله‌ی (۱۱. ۴۸) و (۱۱. ۴۹) را مدل‌های خطی چند عاملی نامند. در عمل، در اقتصاد مالی عوامل، بوسیله داده‌ها تعیین می‌شوند و به</w:t>
      </w:r>
      <w:r w:rsidRPr="00D94694">
        <w:rPr>
          <w:i/>
          <w:sz w:val="23"/>
          <w:szCs w:val="23"/>
          <w:rtl/>
        </w:rPr>
        <w:softHyphen/>
      </w:r>
      <w:r w:rsidRPr="00D94694">
        <w:rPr>
          <w:rFonts w:hint="cs"/>
          <w:i/>
          <w:sz w:val="23"/>
          <w:szCs w:val="23"/>
          <w:rtl/>
        </w:rPr>
        <w:t>گونه</w:t>
      </w:r>
      <w:r w:rsidRPr="00D94694">
        <w:rPr>
          <w:i/>
          <w:sz w:val="23"/>
          <w:szCs w:val="23"/>
          <w:rtl/>
        </w:rPr>
        <w:softHyphen/>
      </w:r>
      <w:r w:rsidRPr="00D94694">
        <w:rPr>
          <w:rFonts w:hint="cs"/>
          <w:i/>
          <w:sz w:val="23"/>
          <w:szCs w:val="23"/>
          <w:rtl/>
        </w:rPr>
        <w:t>ای تعیین نمی</w:t>
      </w:r>
      <w:r w:rsidRPr="00D94694">
        <w:rPr>
          <w:i/>
          <w:sz w:val="23"/>
          <w:szCs w:val="23"/>
          <w:rtl/>
        </w:rPr>
        <w:softHyphen/>
      </w:r>
      <w:r w:rsidRPr="00D94694">
        <w:rPr>
          <w:rFonts w:hint="cs"/>
          <w:i/>
          <w:sz w:val="23"/>
          <w:szCs w:val="23"/>
          <w:rtl/>
        </w:rPr>
        <w:t xml:space="preserve">شوند که شالوده‌های قیمت‌گذاری تعادل عمومی همانند نرخ نهایی جانشینی بین‌دوره‌ای را تأمین کنند. </w:t>
      </w:r>
    </w:p>
    <w:p w14:paraId="4371F2F9" w14:textId="77777777" w:rsidR="00411620" w:rsidRPr="00D94694" w:rsidRDefault="00411620" w:rsidP="00411620">
      <w:pPr>
        <w:spacing w:line="216" w:lineRule="auto"/>
        <w:rPr>
          <w:i/>
          <w:sz w:val="23"/>
          <w:szCs w:val="23"/>
          <w:rtl/>
        </w:rPr>
      </w:pPr>
    </w:p>
    <w:p w14:paraId="05830DDB" w14:textId="77777777" w:rsidR="00411620" w:rsidRPr="00D94694" w:rsidRDefault="00411620" w:rsidP="00411620">
      <w:pPr>
        <w:pStyle w:val="Heading1"/>
        <w:spacing w:before="0" w:line="216" w:lineRule="auto"/>
        <w:rPr>
          <w:rFonts w:ascii="Times New Roman" w:hAnsi="Times New Roman" w:cs="B Nazanin"/>
          <w:b w:val="0"/>
          <w:i/>
          <w:sz w:val="23"/>
          <w:szCs w:val="23"/>
          <w:rtl/>
        </w:rPr>
      </w:pPr>
      <w:r w:rsidRPr="00D94694">
        <w:rPr>
          <w:rFonts w:ascii="Times New Roman" w:hAnsi="Times New Roman" w:cs="B Nazanin" w:hint="cs"/>
          <w:b w:val="0"/>
          <w:i/>
          <w:sz w:val="23"/>
          <w:szCs w:val="23"/>
          <w:rtl/>
        </w:rPr>
        <w:t>۱۱. ۷ تخصیص دارایی</w:t>
      </w:r>
    </w:p>
    <w:p w14:paraId="0FB74468" w14:textId="77777777" w:rsidR="00411620" w:rsidRPr="00D94694" w:rsidRDefault="00411620" w:rsidP="00411620">
      <w:pPr>
        <w:spacing w:line="216" w:lineRule="auto"/>
        <w:rPr>
          <w:i/>
          <w:sz w:val="23"/>
          <w:szCs w:val="23"/>
          <w:rtl/>
        </w:rPr>
      </w:pPr>
      <w:r w:rsidRPr="00D94694">
        <w:rPr>
          <w:rFonts w:hint="cs"/>
          <w:i/>
          <w:sz w:val="23"/>
          <w:szCs w:val="23"/>
          <w:rtl/>
        </w:rPr>
        <w:t>نظریه فوق برای هر نوع دارایی مورد استفاده قرار می</w:t>
      </w:r>
      <w:r w:rsidRPr="00D94694">
        <w:rPr>
          <w:i/>
          <w:sz w:val="23"/>
          <w:szCs w:val="23"/>
          <w:rtl/>
        </w:rPr>
        <w:softHyphen/>
      </w:r>
      <w:r w:rsidRPr="00D94694">
        <w:rPr>
          <w:rFonts w:hint="cs"/>
          <w:i/>
          <w:sz w:val="23"/>
          <w:szCs w:val="23"/>
          <w:rtl/>
        </w:rPr>
        <w:t>گیرد. چنانچه چندین دارایی بمنظور نگهداری ثروت مالی وجود داشته باشد، در این صورت سهم هر یک از دارایی</w:t>
      </w:r>
      <w:r w:rsidRPr="00D94694">
        <w:rPr>
          <w:i/>
          <w:sz w:val="23"/>
          <w:szCs w:val="23"/>
          <w:rtl/>
        </w:rPr>
        <w:softHyphen/>
      </w:r>
      <w:r w:rsidRPr="00D94694">
        <w:rPr>
          <w:rFonts w:hint="cs"/>
          <w:i/>
          <w:sz w:val="23"/>
          <w:szCs w:val="23"/>
          <w:rtl/>
        </w:rPr>
        <w:t>ها در پرتفو می‌بایست مشخص شود. تعیین سهم هر دارایی در پرتفو را تخصیص دارایی یا انتخاب پرتفو نامند. در اینجا دو نوع دارایی ریسکی و دارایی فاقد ریسک را درنظر می</w:t>
      </w:r>
      <w:r w:rsidRPr="00D94694">
        <w:rPr>
          <w:i/>
          <w:sz w:val="23"/>
          <w:szCs w:val="23"/>
          <w:rtl/>
        </w:rPr>
        <w:softHyphen/>
      </w:r>
      <w:r w:rsidRPr="00D94694">
        <w:rPr>
          <w:rFonts w:hint="cs"/>
          <w:i/>
          <w:sz w:val="23"/>
          <w:szCs w:val="23"/>
          <w:rtl/>
        </w:rPr>
        <w:t>گیریم. جهت دسترسی به مدل مورد نظر قید بودجه تغییر خواهد کرد. با فرض این</w:t>
      </w:r>
      <w:r w:rsidRPr="00D94694">
        <w:rPr>
          <w:i/>
          <w:sz w:val="23"/>
          <w:szCs w:val="23"/>
          <w:rtl/>
        </w:rPr>
        <w:softHyphen/>
      </w:r>
      <w:r w:rsidRPr="00D94694">
        <w:rPr>
          <w:rFonts w:hint="cs"/>
          <w:i/>
          <w:sz w:val="23"/>
          <w:szCs w:val="23"/>
          <w:rtl/>
        </w:rPr>
        <w:t xml:space="preserve">که موجودی دارایی ریسکی و دارایی فاقد ریسک به ترتیب برابر با </w:t>
      </w:r>
      <w:r w:rsidRPr="00D94694">
        <w:rPr>
          <w:position w:val="-10"/>
        </w:rPr>
        <w:object w:dxaOrig="240" w:dyaOrig="320" w14:anchorId="4F7CC4F2">
          <v:shape id="_x0000_i4979" type="#_x0000_t75" style="width:12.1pt;height:15.75pt" o:ole="">
            <v:imagedata r:id="rId7956" o:title=""/>
          </v:shape>
          <o:OLEObject Type="Embed" ProgID="Equation.DSMT4" ShapeID="_x0000_i4979" DrawAspect="Content" ObjectID="_1791378923" r:id="rId7957"/>
        </w:object>
      </w:r>
      <w:r w:rsidRPr="00D94694">
        <w:rPr>
          <w:rFonts w:hint="cs"/>
          <w:i/>
          <w:sz w:val="23"/>
          <w:szCs w:val="23"/>
          <w:rtl/>
        </w:rPr>
        <w:t xml:space="preserve"> و </w:t>
      </w:r>
      <w:r w:rsidRPr="00D94694">
        <w:rPr>
          <w:position w:val="-10"/>
        </w:rPr>
        <w:object w:dxaOrig="220" w:dyaOrig="320" w14:anchorId="009C5C19">
          <v:shape id="_x0000_i4980" type="#_x0000_t75" style="width:10.9pt;height:15.75pt" o:ole="">
            <v:imagedata r:id="rId7958" o:title=""/>
          </v:shape>
          <o:OLEObject Type="Embed" ProgID="Equation.DSMT4" ShapeID="_x0000_i4980" DrawAspect="Content" ObjectID="_1791378924" r:id="rId7959"/>
        </w:object>
      </w:r>
      <w:r w:rsidRPr="00D94694">
        <w:rPr>
          <w:i/>
          <w:sz w:val="23"/>
          <w:szCs w:val="23"/>
        </w:rPr>
        <w:t xml:space="preserve"> </w:t>
      </w:r>
      <w:r w:rsidRPr="00D94694">
        <w:rPr>
          <w:rFonts w:hint="cs"/>
          <w:i/>
          <w:sz w:val="23"/>
          <w:szCs w:val="23"/>
          <w:rtl/>
        </w:rPr>
        <w:t>باشد، آنگاه قید بودجه را می‌توان به صورت زیر نوشت:</w:t>
      </w:r>
    </w:p>
    <w:p w14:paraId="04C805F4" w14:textId="77777777" w:rsidR="00411620" w:rsidRPr="00D94694" w:rsidRDefault="00411620" w:rsidP="00411620">
      <w:pPr>
        <w:bidi w:val="0"/>
        <w:spacing w:line="216" w:lineRule="auto"/>
        <w:rPr>
          <w:i/>
          <w:sz w:val="23"/>
          <w:szCs w:val="23"/>
        </w:rPr>
      </w:pPr>
      <w:r w:rsidRPr="00D94694">
        <w:rPr>
          <w:position w:val="-16"/>
        </w:rPr>
        <w:object w:dxaOrig="3720" w:dyaOrig="420" w14:anchorId="0985D8F1">
          <v:shape id="_x0000_i4981" type="#_x0000_t75" style="width:185.75pt;height:21.2pt" o:ole="">
            <v:imagedata r:id="rId7960" o:title=""/>
          </v:shape>
          <o:OLEObject Type="Embed" ProgID="Equation.DSMT4" ShapeID="_x0000_i4981" DrawAspect="Content" ObjectID="_1791378925" r:id="rId7961"/>
        </w:object>
      </w:r>
    </w:p>
    <w:p w14:paraId="08990FA6" w14:textId="77777777" w:rsidR="00411620" w:rsidRPr="00D94694" w:rsidRDefault="00411620" w:rsidP="00411620">
      <w:pPr>
        <w:spacing w:line="216" w:lineRule="auto"/>
        <w:rPr>
          <w:i/>
          <w:sz w:val="23"/>
          <w:szCs w:val="23"/>
          <w:rtl/>
        </w:rPr>
      </w:pPr>
      <w:r w:rsidRPr="00D94694">
        <w:rPr>
          <w:rFonts w:hint="cs"/>
          <w:i/>
          <w:sz w:val="23"/>
          <w:szCs w:val="23"/>
          <w:rtl/>
        </w:rPr>
        <w:t>اگر</w:t>
      </w:r>
      <w:r w:rsidRPr="00D94694">
        <w:rPr>
          <w:i/>
          <w:sz w:val="23"/>
          <w:szCs w:val="23"/>
        </w:rPr>
        <w:t xml:space="preserve"> </w:t>
      </w:r>
      <w:r w:rsidRPr="00D94694">
        <w:rPr>
          <w:rFonts w:hint="cs"/>
          <w:i/>
          <w:sz w:val="23"/>
          <w:szCs w:val="23"/>
          <w:rtl/>
        </w:rPr>
        <w:t>ثروت مالی برابر با</w:t>
      </w:r>
      <w:r w:rsidRPr="00D94694">
        <w:rPr>
          <w:position w:val="-10"/>
        </w:rPr>
        <w:object w:dxaOrig="1060" w:dyaOrig="320" w14:anchorId="6EE04F52">
          <v:shape id="_x0000_i4982" type="#_x0000_t75" style="width:53.25pt;height:15.75pt" o:ole="">
            <v:imagedata r:id="rId7962" o:title=""/>
          </v:shape>
          <o:OLEObject Type="Embed" ProgID="Equation.DSMT4" ShapeID="_x0000_i4982" DrawAspect="Content" ObjectID="_1791378926" r:id="rId7963"/>
        </w:object>
      </w:r>
      <w:r w:rsidRPr="00D94694">
        <w:rPr>
          <w:rFonts w:hint="cs"/>
          <w:i/>
          <w:sz w:val="23"/>
          <w:szCs w:val="23"/>
          <w:rtl/>
        </w:rPr>
        <w:t>، و سهم پرتفو</w:t>
      </w:r>
      <w:r w:rsidRPr="00D94694">
        <w:rPr>
          <w:position w:val="-10"/>
        </w:rPr>
        <w:object w:dxaOrig="1060" w:dyaOrig="320" w14:anchorId="2E4FE3DB">
          <v:shape id="_x0000_i4983" type="#_x0000_t75" style="width:53.25pt;height:15.75pt" o:ole="">
            <v:imagedata r:id="rId7964" o:title=""/>
          </v:shape>
          <o:OLEObject Type="Embed" ProgID="Equation.DSMT4" ShapeID="_x0000_i4983" DrawAspect="Content" ObjectID="_1791378927" r:id="rId7965"/>
        </w:object>
      </w:r>
      <w:r w:rsidRPr="00D94694">
        <w:rPr>
          <w:rFonts w:hint="cs"/>
          <w:i/>
          <w:sz w:val="23"/>
          <w:szCs w:val="23"/>
          <w:rtl/>
        </w:rPr>
        <w:t xml:space="preserve"> و</w:t>
      </w:r>
      <w:r w:rsidRPr="00D94694">
        <w:rPr>
          <w:position w:val="-10"/>
        </w:rPr>
        <w:object w:dxaOrig="1320" w:dyaOrig="320" w14:anchorId="49E5095F">
          <v:shape id="_x0000_i4984" type="#_x0000_t75" style="width:65.95pt;height:15.75pt" o:ole="">
            <v:imagedata r:id="rId7966" o:title=""/>
          </v:shape>
          <o:OLEObject Type="Embed" ProgID="Equation.DSMT4" ShapeID="_x0000_i4984" DrawAspect="Content" ObjectID="_1791378928" r:id="rId7967"/>
        </w:object>
      </w:r>
      <w:r w:rsidRPr="00D94694">
        <w:rPr>
          <w:rFonts w:hint="cs"/>
          <w:i/>
          <w:sz w:val="23"/>
          <w:szCs w:val="23"/>
          <w:rtl/>
        </w:rPr>
        <w:t xml:space="preserve"> باشد، آنگاه قید بودجه را می‌توان به صورت بازنویس کرد:</w:t>
      </w:r>
    </w:p>
    <w:p w14:paraId="72FA1B02" w14:textId="77777777" w:rsidR="00411620" w:rsidRPr="00D94694" w:rsidRDefault="00411620" w:rsidP="00411620">
      <w:pPr>
        <w:bidi w:val="0"/>
        <w:spacing w:line="216" w:lineRule="auto"/>
        <w:rPr>
          <w:i/>
          <w:sz w:val="23"/>
          <w:szCs w:val="23"/>
        </w:rPr>
      </w:pPr>
      <w:r w:rsidRPr="00D94694">
        <w:rPr>
          <w:rFonts w:hint="cs"/>
          <w:i/>
          <w:sz w:val="23"/>
          <w:szCs w:val="23"/>
          <w:rtl/>
        </w:rPr>
        <w:t xml:space="preserve"> </w:t>
      </w:r>
      <w:r w:rsidRPr="00D94694">
        <w:rPr>
          <w:position w:val="-18"/>
        </w:rPr>
        <w:object w:dxaOrig="5120" w:dyaOrig="460" w14:anchorId="72A55FEB">
          <v:shape id="_x0000_i4985" type="#_x0000_t75" style="width:255.95pt;height:23pt" o:ole="">
            <v:imagedata r:id="rId7968" o:title=""/>
          </v:shape>
          <o:OLEObject Type="Embed" ProgID="Equation.DSMT4" ShapeID="_x0000_i4985" DrawAspect="Content" ObjectID="_1791378929" r:id="rId7969"/>
        </w:object>
      </w:r>
    </w:p>
    <w:p w14:paraId="7FEB1568" w14:textId="77777777" w:rsidR="00411620" w:rsidRPr="00D94694" w:rsidRDefault="00411620" w:rsidP="00411620">
      <w:pPr>
        <w:spacing w:line="216" w:lineRule="auto"/>
        <w:rPr>
          <w:i/>
          <w:sz w:val="23"/>
          <w:szCs w:val="23"/>
          <w:rtl/>
        </w:rPr>
      </w:pPr>
      <w:r w:rsidRPr="00D94694">
        <w:rPr>
          <w:rFonts w:hint="cs"/>
          <w:i/>
          <w:sz w:val="23"/>
          <w:szCs w:val="23"/>
          <w:rtl/>
        </w:rPr>
        <w:t xml:space="preserve">که درآن </w:t>
      </w:r>
      <w:r w:rsidRPr="00D94694">
        <w:rPr>
          <w:position w:val="-16"/>
        </w:rPr>
        <w:object w:dxaOrig="1980" w:dyaOrig="420" w14:anchorId="4D5DB57A">
          <v:shape id="_x0000_i4986" type="#_x0000_t75" style="width:99.25pt;height:21.2pt" o:ole="">
            <v:imagedata r:id="rId7970" o:title=""/>
          </v:shape>
          <o:OLEObject Type="Embed" ProgID="Equation.DSMT4" ShapeID="_x0000_i4986" DrawAspect="Content" ObjectID="_1791378930" r:id="rId7971"/>
        </w:object>
      </w:r>
      <w:r w:rsidRPr="00D94694">
        <w:rPr>
          <w:rFonts w:hint="cs"/>
          <w:i/>
          <w:sz w:val="23"/>
          <w:szCs w:val="23"/>
          <w:rtl/>
        </w:rPr>
        <w:t xml:space="preserve">عبارت است ازبازدهی پرتفو. اکنون مسئله مورد بررسی حداکثر کردن </w:t>
      </w:r>
      <w:r w:rsidRPr="00D94694">
        <w:rPr>
          <w:position w:val="-10"/>
        </w:rPr>
        <w:object w:dxaOrig="240" w:dyaOrig="320" w14:anchorId="1F07F3F2">
          <v:shape id="_x0000_i4987" type="#_x0000_t75" style="width:12.1pt;height:15.75pt" o:ole="">
            <v:imagedata r:id="rId7972" o:title=""/>
          </v:shape>
          <o:OLEObject Type="Embed" ProgID="Equation.DSMT4" ShapeID="_x0000_i4987" DrawAspect="Content" ObjectID="_1791378931" r:id="rId7973"/>
        </w:object>
      </w:r>
      <w:r w:rsidRPr="00D94694">
        <w:rPr>
          <w:rFonts w:hint="cs"/>
          <w:i/>
          <w:sz w:val="23"/>
          <w:szCs w:val="23"/>
          <w:rtl/>
        </w:rPr>
        <w:t xml:space="preserve"> بر حسب </w:t>
      </w:r>
      <w:r w:rsidRPr="00D94694">
        <w:rPr>
          <w:position w:val="-12"/>
        </w:rPr>
        <w:object w:dxaOrig="2060" w:dyaOrig="360" w14:anchorId="0F26509A">
          <v:shape id="_x0000_i4988" type="#_x0000_t75" style="width:102.85pt;height:18.15pt" o:ole="">
            <v:imagedata r:id="rId7974" o:title=""/>
          </v:shape>
          <o:OLEObject Type="Embed" ProgID="Equation.DSMT4" ShapeID="_x0000_i4988" DrawAspect="Content" ObjectID="_1791378932" r:id="rId7975"/>
        </w:object>
      </w:r>
      <w:r w:rsidRPr="00D94694">
        <w:rPr>
          <w:i/>
          <w:sz w:val="23"/>
          <w:szCs w:val="23"/>
        </w:rPr>
        <w:t xml:space="preserve"> </w:t>
      </w:r>
      <w:r w:rsidRPr="00D94694">
        <w:rPr>
          <w:rFonts w:hint="cs"/>
          <w:i/>
          <w:sz w:val="23"/>
          <w:szCs w:val="23"/>
          <w:rtl/>
        </w:rPr>
        <w:t xml:space="preserve">و یا </w:t>
      </w:r>
      <w:r w:rsidRPr="00D94694">
        <w:rPr>
          <w:position w:val="-12"/>
        </w:rPr>
        <w:object w:dxaOrig="2160" w:dyaOrig="360" w14:anchorId="4BEED493">
          <v:shape id="_x0000_i4989" type="#_x0000_t75" style="width:108.3pt;height:18.15pt" o:ole="">
            <v:imagedata r:id="rId7976" o:title=""/>
          </v:shape>
          <o:OLEObject Type="Embed" ProgID="Equation.DSMT4" ShapeID="_x0000_i4989" DrawAspect="Content" ObjectID="_1791378933" r:id="rId7977"/>
        </w:object>
      </w:r>
      <w:r w:rsidRPr="00D94694">
        <w:rPr>
          <w:rFonts w:hint="cs"/>
          <w:i/>
          <w:sz w:val="23"/>
          <w:szCs w:val="23"/>
          <w:rtl/>
        </w:rPr>
        <w:t xml:space="preserve"> می</w:t>
      </w:r>
      <w:r w:rsidRPr="00D94694">
        <w:rPr>
          <w:i/>
          <w:sz w:val="23"/>
          <w:szCs w:val="23"/>
          <w:rtl/>
        </w:rPr>
        <w:softHyphen/>
      </w:r>
      <w:r w:rsidRPr="00D94694">
        <w:rPr>
          <w:rFonts w:hint="cs"/>
          <w:i/>
          <w:sz w:val="23"/>
          <w:szCs w:val="23"/>
          <w:rtl/>
        </w:rPr>
        <w:t>باشد. با استفاده از نتایج بدست آمده از قبل، شرایط مرتبه اول عبارت است از</w:t>
      </w:r>
    </w:p>
    <w:p w14:paraId="78A13662" w14:textId="77777777" w:rsidR="00411620" w:rsidRPr="00D94694" w:rsidRDefault="00411620" w:rsidP="00411620">
      <w:pPr>
        <w:bidi w:val="0"/>
        <w:spacing w:line="216" w:lineRule="auto"/>
        <w:rPr>
          <w:i/>
          <w:sz w:val="23"/>
          <w:szCs w:val="23"/>
        </w:rPr>
      </w:pPr>
      <w:r w:rsidRPr="00D94694">
        <w:rPr>
          <w:position w:val="-60"/>
        </w:rPr>
        <w:object w:dxaOrig="5340" w:dyaOrig="1320" w14:anchorId="245DE0D3">
          <v:shape id="_x0000_i4990" type="#_x0000_t75" style="width:267.45pt;height:65.95pt" o:ole="">
            <v:imagedata r:id="rId7978" o:title=""/>
          </v:shape>
          <o:OLEObject Type="Embed" ProgID="Equation.DSMT4" ShapeID="_x0000_i4990" DrawAspect="Content" ObjectID="_1791378934" r:id="rId7979"/>
        </w:object>
      </w:r>
    </w:p>
    <w:p w14:paraId="5BB03454" w14:textId="77777777" w:rsidR="00411620" w:rsidRPr="00D94694" w:rsidRDefault="00411620" w:rsidP="00411620">
      <w:pPr>
        <w:spacing w:line="216" w:lineRule="auto"/>
        <w:rPr>
          <w:i/>
          <w:sz w:val="23"/>
          <w:szCs w:val="23"/>
          <w:rtl/>
        </w:rPr>
      </w:pPr>
      <w:r w:rsidRPr="00D94694">
        <w:rPr>
          <w:rFonts w:hint="cs"/>
          <w:i/>
          <w:sz w:val="23"/>
          <w:szCs w:val="23"/>
          <w:rtl/>
        </w:rPr>
        <w:t xml:space="preserve">اولین شرط همانند قبل است و تنها </w:t>
      </w:r>
      <w:r w:rsidRPr="00D94694">
        <w:rPr>
          <w:position w:val="-10"/>
        </w:rPr>
        <w:object w:dxaOrig="320" w:dyaOrig="340" w14:anchorId="4086B4D3">
          <v:shape id="_x0000_i4991" type="#_x0000_t75" style="width:15.75pt;height:16.95pt" o:ole="">
            <v:imagedata r:id="rId7980" o:title=""/>
          </v:shape>
          <o:OLEObject Type="Embed" ProgID="Equation.DSMT4" ShapeID="_x0000_i4991" DrawAspect="Content" ObjectID="_1791378935" r:id="rId7981"/>
        </w:object>
      </w:r>
      <w:r w:rsidRPr="00D94694">
        <w:rPr>
          <w:i/>
          <w:sz w:val="23"/>
          <w:szCs w:val="23"/>
        </w:rPr>
        <w:t xml:space="preserve"> </w:t>
      </w:r>
      <w:r w:rsidRPr="00D94694">
        <w:rPr>
          <w:rFonts w:hint="cs"/>
          <w:i/>
          <w:sz w:val="23"/>
          <w:szCs w:val="23"/>
          <w:rtl/>
        </w:rPr>
        <w:t>جایگزین</w:t>
      </w:r>
      <w:r w:rsidRPr="00D94694">
        <w:rPr>
          <w:position w:val="-10"/>
        </w:rPr>
        <w:object w:dxaOrig="320" w:dyaOrig="320" w14:anchorId="0AD3E902">
          <v:shape id="_x0000_i4992" type="#_x0000_t75" style="width:15.75pt;height:15.75pt" o:ole="">
            <v:imagedata r:id="rId7982" o:title=""/>
          </v:shape>
          <o:OLEObject Type="Embed" ProgID="Equation.DSMT4" ShapeID="_x0000_i4992" DrawAspect="Content" ObjectID="_1791378936" r:id="rId7983"/>
        </w:object>
      </w:r>
      <w:r w:rsidRPr="00D94694">
        <w:rPr>
          <w:rFonts w:hint="cs"/>
          <w:i/>
          <w:sz w:val="23"/>
          <w:szCs w:val="23"/>
          <w:rtl/>
        </w:rPr>
        <w:t>شده است. بنابراین تصمیم مصرف/پس‌انداز بدون تغییر باقی مانده، به جز این</w:t>
      </w:r>
      <w:r w:rsidRPr="00D94694">
        <w:rPr>
          <w:i/>
          <w:sz w:val="23"/>
          <w:szCs w:val="23"/>
          <w:rtl/>
        </w:rPr>
        <w:softHyphen/>
      </w:r>
      <w:r w:rsidRPr="00D94694">
        <w:rPr>
          <w:rFonts w:hint="cs"/>
          <w:i/>
          <w:sz w:val="23"/>
          <w:szCs w:val="23"/>
          <w:rtl/>
        </w:rPr>
        <w:t>که تصمیم به بازدهی پرتفو وابسته است. از قید بودجه،</w:t>
      </w:r>
      <w:r w:rsidRPr="00D94694">
        <w:rPr>
          <w:position w:val="-10"/>
        </w:rPr>
        <w:object w:dxaOrig="420" w:dyaOrig="320" w14:anchorId="7E9EA9D8">
          <v:shape id="_x0000_i4993" type="#_x0000_t75" style="width:21.2pt;height:15.75pt" o:ole="">
            <v:imagedata r:id="rId7984" o:title=""/>
          </v:shape>
          <o:OLEObject Type="Embed" ProgID="Equation.DSMT4" ShapeID="_x0000_i4993" DrawAspect="Content" ObjectID="_1791378937" r:id="rId7985"/>
        </w:object>
      </w:r>
      <w:r w:rsidRPr="00D94694">
        <w:rPr>
          <w:i/>
          <w:sz w:val="23"/>
          <w:szCs w:val="23"/>
        </w:rPr>
        <w:t xml:space="preserve"> </w:t>
      </w:r>
      <w:r w:rsidRPr="00D94694">
        <w:rPr>
          <w:rFonts w:hint="cs"/>
          <w:i/>
          <w:sz w:val="23"/>
          <w:szCs w:val="23"/>
          <w:rtl/>
        </w:rPr>
        <w:t>بوسیله‌ی متغیر زمان</w:t>
      </w:r>
      <w:r w:rsidRPr="00D94694">
        <w:rPr>
          <w:position w:val="-6"/>
        </w:rPr>
        <w:object w:dxaOrig="139" w:dyaOrig="240" w14:anchorId="27E6C58C">
          <v:shape id="_x0000_i4994" type="#_x0000_t75" style="width:7.25pt;height:12.1pt" o:ole="">
            <v:imagedata r:id="rId7986" o:title=""/>
          </v:shape>
          <o:OLEObject Type="Embed" ProgID="Equation.DSMT4" ShapeID="_x0000_i4994" DrawAspect="Content" ObjectID="_1791378938" r:id="rId7987"/>
        </w:object>
      </w:r>
      <w:r w:rsidRPr="00D94694">
        <w:rPr>
          <w:rFonts w:hint="cs"/>
          <w:i/>
          <w:sz w:val="23"/>
          <w:szCs w:val="23"/>
          <w:rtl/>
        </w:rPr>
        <w:t xml:space="preserve"> تعیین شده و لذا دومین شرط را می‌توان به صورت زیر نوشت:</w:t>
      </w:r>
    </w:p>
    <w:p w14:paraId="11D4558F" w14:textId="77777777" w:rsidR="00411620" w:rsidRPr="00D94694" w:rsidRDefault="00411620" w:rsidP="00411620">
      <w:pPr>
        <w:bidi w:val="0"/>
        <w:spacing w:line="216" w:lineRule="auto"/>
        <w:rPr>
          <w:i/>
          <w:sz w:val="23"/>
          <w:szCs w:val="23"/>
          <w:rtl/>
        </w:rPr>
      </w:pPr>
      <w:r w:rsidRPr="00D94694">
        <w:rPr>
          <w:position w:val="-18"/>
        </w:rPr>
        <w:object w:dxaOrig="2040" w:dyaOrig="460" w14:anchorId="5B354BEC">
          <v:shape id="_x0000_i4995" type="#_x0000_t75" style="width:102.25pt;height:23pt" o:ole="">
            <v:imagedata r:id="rId7988" o:title=""/>
          </v:shape>
          <o:OLEObject Type="Embed" ProgID="Equation.DSMT4" ShapeID="_x0000_i4995" DrawAspect="Content" ObjectID="_1791378939" r:id="rId7989"/>
        </w:object>
      </w:r>
      <w:r w:rsidRPr="00D94694">
        <w:rPr>
          <w:i/>
          <w:sz w:val="23"/>
          <w:szCs w:val="23"/>
        </w:rPr>
        <w:tab/>
      </w:r>
      <w:r w:rsidRPr="00D94694">
        <w:rPr>
          <w:i/>
          <w:sz w:val="23"/>
          <w:szCs w:val="23"/>
        </w:rPr>
        <w:tab/>
      </w:r>
      <w:r w:rsidRPr="00D94694">
        <w:rPr>
          <w:i/>
          <w:sz w:val="23"/>
          <w:szCs w:val="23"/>
          <w:rtl/>
        </w:rPr>
        <w:tab/>
      </w:r>
      <w:r w:rsidRPr="00D94694">
        <w:rPr>
          <w:i/>
          <w:sz w:val="23"/>
          <w:szCs w:val="23"/>
        </w:rPr>
        <w:t xml:space="preserve"> </w:t>
      </w:r>
      <w:r w:rsidRPr="00D94694">
        <w:rPr>
          <w:i/>
          <w:sz w:val="23"/>
          <w:szCs w:val="23"/>
          <w:rtl/>
        </w:rPr>
        <w:tab/>
      </w:r>
      <w:r w:rsidRPr="00D94694">
        <w:rPr>
          <w:i/>
          <w:sz w:val="23"/>
          <w:szCs w:val="23"/>
          <w:rtl/>
        </w:rPr>
        <w:tab/>
      </w:r>
      <w:r w:rsidRPr="00D94694">
        <w:rPr>
          <w:i/>
          <w:sz w:val="23"/>
          <w:szCs w:val="23"/>
          <w:rtl/>
        </w:rPr>
        <w:tab/>
      </w:r>
      <w:r w:rsidRPr="00D94694">
        <w:rPr>
          <w:i/>
          <w:sz w:val="23"/>
          <w:szCs w:val="23"/>
        </w:rPr>
        <w:tab/>
      </w:r>
      <w:r w:rsidRPr="00D94694">
        <w:rPr>
          <w:i/>
          <w:sz w:val="23"/>
          <w:szCs w:val="23"/>
        </w:rPr>
        <w:tab/>
      </w:r>
      <w:r w:rsidRPr="00D94694">
        <w:rPr>
          <w:i/>
          <w:sz w:val="23"/>
          <w:szCs w:val="23"/>
        </w:rPr>
        <w:tab/>
      </w:r>
      <w:r>
        <w:rPr>
          <w:i/>
          <w:sz w:val="23"/>
          <w:szCs w:val="23"/>
          <w:rtl/>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rFonts w:hint="cs"/>
          <w:i/>
          <w:sz w:val="23"/>
          <w:szCs w:val="23"/>
          <w:rtl/>
        </w:rPr>
        <w:t>(۱۱. ۵۰)</w:t>
      </w:r>
      <w:r w:rsidRPr="00D94694">
        <w:rPr>
          <w:rFonts w:hint="cs"/>
          <w:i/>
          <w:sz w:val="23"/>
          <w:szCs w:val="23"/>
        </w:rPr>
        <w:t xml:space="preserve"> </w:t>
      </w:r>
    </w:p>
    <w:p w14:paraId="19E2F6AA" w14:textId="77777777" w:rsidR="00411620" w:rsidRPr="00D94694" w:rsidRDefault="00411620" w:rsidP="00411620">
      <w:pPr>
        <w:spacing w:line="216" w:lineRule="auto"/>
        <w:rPr>
          <w:i/>
          <w:sz w:val="23"/>
          <w:szCs w:val="23"/>
          <w:rtl/>
        </w:rPr>
      </w:pPr>
      <w:r w:rsidRPr="00D94694">
        <w:rPr>
          <w:rFonts w:hint="cs"/>
          <w:i/>
          <w:sz w:val="23"/>
          <w:szCs w:val="23"/>
          <w:rtl/>
        </w:rPr>
        <w:t>با توجه به این که</w:t>
      </w:r>
    </w:p>
    <w:p w14:paraId="331D9593" w14:textId="77777777" w:rsidR="00411620" w:rsidRPr="00D94694" w:rsidRDefault="00411620" w:rsidP="00411620">
      <w:pPr>
        <w:bidi w:val="0"/>
        <w:spacing w:line="216" w:lineRule="auto"/>
        <w:rPr>
          <w:i/>
          <w:sz w:val="23"/>
          <w:szCs w:val="23"/>
        </w:rPr>
      </w:pPr>
      <w:r w:rsidRPr="00D94694">
        <w:rPr>
          <w:position w:val="-40"/>
        </w:rPr>
        <w:object w:dxaOrig="4599" w:dyaOrig="900" w14:anchorId="26AE8230">
          <v:shape id="_x0000_i4996" type="#_x0000_t75" style="width:229.9pt;height:45.4pt" o:ole="">
            <v:imagedata r:id="rId7990" o:title=""/>
          </v:shape>
          <o:OLEObject Type="Embed" ProgID="Equation.DSMT4" ShapeID="_x0000_i4996" DrawAspect="Content" ObjectID="_1791378940" r:id="rId7991"/>
        </w:object>
      </w:r>
    </w:p>
    <w:p w14:paraId="10FFFCA0" w14:textId="77777777" w:rsidR="00411620" w:rsidRPr="00D94694" w:rsidRDefault="00411620" w:rsidP="00411620">
      <w:pPr>
        <w:spacing w:line="216" w:lineRule="auto"/>
        <w:rPr>
          <w:i/>
          <w:sz w:val="23"/>
          <w:szCs w:val="23"/>
          <w:rtl/>
        </w:rPr>
      </w:pPr>
      <w:r w:rsidRPr="00D94694">
        <w:rPr>
          <w:rFonts w:hint="cs"/>
          <w:i/>
          <w:sz w:val="23"/>
          <w:szCs w:val="23"/>
          <w:rtl/>
        </w:rPr>
        <w:t xml:space="preserve">که در آن از بسط سری تیلور در اطراف </w:t>
      </w:r>
      <w:r w:rsidRPr="00D94694">
        <w:rPr>
          <w:position w:val="-10"/>
        </w:rPr>
        <w:object w:dxaOrig="760" w:dyaOrig="320" w14:anchorId="0FC54308">
          <v:shape id="_x0000_i4997" type="#_x0000_t75" style="width:38.1pt;height:15.75pt" o:ole="">
            <v:imagedata r:id="rId7992" o:title=""/>
          </v:shape>
          <o:OLEObject Type="Embed" ProgID="Equation.DSMT4" ShapeID="_x0000_i4997" DrawAspect="Content" ObjectID="_1791378941" r:id="rId7993"/>
        </w:object>
      </w:r>
      <w:r w:rsidRPr="00D94694">
        <w:rPr>
          <w:i/>
          <w:sz w:val="23"/>
          <w:szCs w:val="23"/>
        </w:rPr>
        <w:t xml:space="preserve"> </w:t>
      </w:r>
      <w:r w:rsidRPr="00D94694">
        <w:rPr>
          <w:rFonts w:hint="cs"/>
          <w:i/>
          <w:sz w:val="23"/>
          <w:szCs w:val="23"/>
          <w:rtl/>
        </w:rPr>
        <w:t>‌و تعریف</w:t>
      </w:r>
      <w:r w:rsidRPr="00D94694">
        <w:rPr>
          <w:position w:val="-18"/>
        </w:rPr>
        <w:object w:dxaOrig="3100" w:dyaOrig="460" w14:anchorId="1DA94A59">
          <v:shape id="_x0000_i4998" type="#_x0000_t75" style="width:154.9pt;height:23pt" o:ole="">
            <v:imagedata r:id="rId7994" o:title=""/>
          </v:shape>
          <o:OLEObject Type="Embed" ProgID="Equation.DSMT4" ShapeID="_x0000_i4998" DrawAspect="Content" ObjectID="_1791378942" r:id="rId7995"/>
        </w:object>
      </w:r>
      <w:r w:rsidRPr="00D94694">
        <w:rPr>
          <w:rFonts w:hint="cs"/>
          <w:i/>
          <w:sz w:val="23"/>
          <w:szCs w:val="23"/>
          <w:rtl/>
        </w:rPr>
        <w:t xml:space="preserve"> استفاده شده است. اکنون معادله‌ی (۱۱. ۵۰) را می‌توان به صورت زیر نوشت</w:t>
      </w:r>
    </w:p>
    <w:p w14:paraId="478B3FE5" w14:textId="77777777" w:rsidR="00411620" w:rsidRPr="00D94694" w:rsidRDefault="00411620" w:rsidP="00411620">
      <w:pPr>
        <w:bidi w:val="0"/>
        <w:spacing w:line="216" w:lineRule="auto"/>
        <w:rPr>
          <w:i/>
          <w:sz w:val="23"/>
          <w:szCs w:val="23"/>
        </w:rPr>
      </w:pPr>
      <w:r w:rsidRPr="00D94694">
        <w:rPr>
          <w:position w:val="-18"/>
        </w:rPr>
        <w:object w:dxaOrig="5980" w:dyaOrig="480" w14:anchorId="0295F3E7">
          <v:shape id="_x0000_i4999" type="#_x0000_t75" style="width:298.9pt;height:24.2pt" o:ole="">
            <v:imagedata r:id="rId7996" o:title=""/>
          </v:shape>
          <o:OLEObject Type="Embed" ProgID="Equation.DSMT4" ShapeID="_x0000_i4999" DrawAspect="Content" ObjectID="_1791378943" r:id="rId7997"/>
        </w:object>
      </w:r>
    </w:p>
    <w:p w14:paraId="441F0FC1" w14:textId="77777777" w:rsidR="00411620" w:rsidRPr="00D94694" w:rsidRDefault="00411620" w:rsidP="00411620">
      <w:pPr>
        <w:spacing w:line="216" w:lineRule="auto"/>
        <w:rPr>
          <w:i/>
          <w:sz w:val="23"/>
          <w:szCs w:val="23"/>
          <w:rtl/>
        </w:rPr>
      </w:pPr>
      <w:r w:rsidRPr="00D94694">
        <w:rPr>
          <w:rFonts w:hint="cs"/>
          <w:i/>
          <w:sz w:val="23"/>
          <w:szCs w:val="23"/>
          <w:rtl/>
        </w:rPr>
        <w:t>لذا سهم دارایی ریسکی در پرتفو برابر است با</w:t>
      </w:r>
    </w:p>
    <w:p w14:paraId="76AC379A" w14:textId="77777777" w:rsidR="00411620" w:rsidRPr="00D94694" w:rsidRDefault="00411620" w:rsidP="00411620">
      <w:pPr>
        <w:bidi w:val="0"/>
        <w:spacing w:line="216" w:lineRule="auto"/>
        <w:rPr>
          <w:i/>
          <w:sz w:val="23"/>
          <w:szCs w:val="23"/>
          <w:rtl/>
        </w:rPr>
      </w:pPr>
      <w:r w:rsidRPr="00D94694">
        <w:rPr>
          <w:position w:val="-38"/>
        </w:rPr>
        <w:object w:dxaOrig="2580" w:dyaOrig="820" w14:anchorId="4DBAA7E7">
          <v:shape id="_x0000_i5000" type="#_x0000_t75" style="width:129.5pt;height:40.55pt" o:ole="">
            <v:imagedata r:id="rId7998" o:title=""/>
          </v:shape>
          <o:OLEObject Type="Embed" ProgID="Equation.DSMT4" ShapeID="_x0000_i5000" DrawAspect="Content" ObjectID="_1791378944" r:id="rId7999"/>
        </w:object>
      </w:r>
      <w:r w:rsidRPr="00D94694">
        <w:rPr>
          <w:i/>
          <w:sz w:val="23"/>
          <w:szCs w:val="23"/>
        </w:rPr>
        <w:tab/>
      </w:r>
      <w:r w:rsidRPr="00D94694">
        <w:rPr>
          <w:i/>
          <w:sz w:val="23"/>
          <w:szCs w:val="23"/>
        </w:rPr>
        <w:tab/>
      </w:r>
      <w:r w:rsidRPr="00D94694">
        <w:rPr>
          <w:i/>
          <w:sz w:val="23"/>
          <w:szCs w:val="23"/>
          <w:rtl/>
        </w:rPr>
        <w:tab/>
      </w:r>
      <w:r w:rsidRPr="00D94694">
        <w:rPr>
          <w:i/>
          <w:sz w:val="23"/>
          <w:szCs w:val="23"/>
        </w:rPr>
        <w:tab/>
      </w:r>
      <w:r w:rsidRPr="00D94694">
        <w:rPr>
          <w:i/>
          <w:sz w:val="23"/>
          <w:szCs w:val="23"/>
        </w:rPr>
        <w:tab/>
      </w:r>
      <w:r w:rsidRPr="00D94694">
        <w:rPr>
          <w:i/>
          <w:sz w:val="23"/>
          <w:szCs w:val="23"/>
        </w:rPr>
        <w:tab/>
      </w:r>
      <w:r w:rsidRPr="00D94694">
        <w:rPr>
          <w:i/>
          <w:sz w:val="23"/>
          <w:szCs w:val="23"/>
        </w:rPr>
        <w:tab/>
      </w:r>
      <w:r>
        <w:rPr>
          <w:i/>
          <w:sz w:val="23"/>
          <w:szCs w:val="23"/>
          <w:rtl/>
        </w:rPr>
        <w:tab/>
      </w:r>
      <w:r>
        <w:rPr>
          <w:i/>
          <w:sz w:val="23"/>
          <w:szCs w:val="23"/>
          <w:rtl/>
        </w:rPr>
        <w:tab/>
      </w:r>
      <w:r w:rsidRPr="00D94694">
        <w:rPr>
          <w:i/>
          <w:sz w:val="23"/>
          <w:szCs w:val="23"/>
        </w:rPr>
        <w:tab/>
      </w:r>
      <w:r w:rsidRPr="00D94694">
        <w:rPr>
          <w:i/>
          <w:sz w:val="23"/>
          <w:szCs w:val="23"/>
        </w:rPr>
        <w:tab/>
      </w:r>
      <w:r w:rsidRPr="00D94694">
        <w:rPr>
          <w:i/>
          <w:sz w:val="23"/>
          <w:szCs w:val="23"/>
        </w:rPr>
        <w:tab/>
      </w:r>
      <w:r w:rsidRPr="00D94694">
        <w:rPr>
          <w:rFonts w:hint="cs"/>
          <w:i/>
          <w:sz w:val="23"/>
          <w:szCs w:val="23"/>
          <w:rtl/>
        </w:rPr>
        <w:t>(۱۱. ۵۱)</w:t>
      </w:r>
      <w:r w:rsidRPr="00D94694">
        <w:rPr>
          <w:rFonts w:hint="cs"/>
          <w:i/>
          <w:sz w:val="23"/>
          <w:szCs w:val="23"/>
        </w:rPr>
        <w:t xml:space="preserve"> </w:t>
      </w:r>
    </w:p>
    <w:p w14:paraId="47DDFCA4" w14:textId="77777777" w:rsidR="00411620" w:rsidRPr="00D94694" w:rsidRDefault="00411620" w:rsidP="00411620">
      <w:pPr>
        <w:spacing w:line="216" w:lineRule="auto"/>
        <w:rPr>
          <w:i/>
          <w:sz w:val="23"/>
          <w:szCs w:val="23"/>
          <w:rtl/>
        </w:rPr>
      </w:pPr>
      <w:r w:rsidRPr="00D94694">
        <w:rPr>
          <w:rFonts w:hint="cs"/>
          <w:i/>
          <w:sz w:val="23"/>
          <w:szCs w:val="23"/>
          <w:rtl/>
        </w:rPr>
        <w:t xml:space="preserve">که در آن </w:t>
      </w:r>
      <w:r w:rsidRPr="00D94694">
        <w:rPr>
          <w:position w:val="-16"/>
        </w:rPr>
        <w:object w:dxaOrig="2140" w:dyaOrig="420" w14:anchorId="0CC83199">
          <v:shape id="_x0000_i5001" type="#_x0000_t75" style="width:107.1pt;height:21.2pt" o:ole="">
            <v:imagedata r:id="rId8000" o:title=""/>
          </v:shape>
          <o:OLEObject Type="Embed" ProgID="Equation.DSMT4" ShapeID="_x0000_i5001" DrawAspect="Content" ObjectID="_1791378945" r:id="rId8001"/>
        </w:object>
      </w:r>
      <w:r w:rsidRPr="00D94694">
        <w:rPr>
          <w:i/>
          <w:sz w:val="23"/>
          <w:szCs w:val="23"/>
        </w:rPr>
        <w:t xml:space="preserve"> </w:t>
      </w:r>
      <w:r w:rsidRPr="00D94694">
        <w:rPr>
          <w:rFonts w:hint="cs"/>
          <w:i/>
          <w:sz w:val="23"/>
          <w:szCs w:val="23"/>
          <w:rtl/>
        </w:rPr>
        <w:t>برابر با ضریب ریسک گریزی نسبی است. با افزایش سهم سرمایه</w:t>
      </w:r>
      <w:r w:rsidRPr="00D94694">
        <w:rPr>
          <w:i/>
          <w:sz w:val="23"/>
          <w:szCs w:val="23"/>
          <w:rtl/>
        </w:rPr>
        <w:softHyphen/>
      </w:r>
      <w:r w:rsidRPr="00D94694">
        <w:rPr>
          <w:rFonts w:hint="cs"/>
          <w:i/>
          <w:sz w:val="23"/>
          <w:szCs w:val="23"/>
          <w:rtl/>
        </w:rPr>
        <w:t>گذاری شده در دارایی ریسکی نسبت کل ثروتی که مصرف می‌شود</w:t>
      </w:r>
      <w:r w:rsidRPr="00D94694">
        <w:rPr>
          <w:position w:val="-12"/>
        </w:rPr>
        <w:object w:dxaOrig="1240" w:dyaOrig="360" w14:anchorId="77237B8B">
          <v:shape id="_x0000_i5002" type="#_x0000_t75" style="width:61.7pt;height:18.15pt" o:ole="">
            <v:imagedata r:id="rId8002" o:title=""/>
          </v:shape>
          <o:OLEObject Type="Embed" ProgID="Equation.DSMT4" ShapeID="_x0000_i5002" DrawAspect="Content" ObjectID="_1791378946" r:id="rId8003"/>
        </w:object>
      </w:r>
      <w:r w:rsidRPr="00D94694">
        <w:rPr>
          <w:rFonts w:hint="cs"/>
          <w:i/>
          <w:sz w:val="23"/>
          <w:szCs w:val="23"/>
          <w:rtl/>
        </w:rPr>
        <w:t xml:space="preserve"> و بازدهی انتظاری</w:t>
      </w:r>
      <w:r w:rsidRPr="00D94694">
        <w:rPr>
          <w:position w:val="-18"/>
        </w:rPr>
        <w:object w:dxaOrig="1320" w:dyaOrig="460" w14:anchorId="27476FD8">
          <v:shape id="_x0000_i5003" type="#_x0000_t75" style="width:65.95pt;height:23pt" o:ole="">
            <v:imagedata r:id="rId8004" o:title=""/>
          </v:shape>
          <o:OLEObject Type="Embed" ProgID="Equation.DSMT4" ShapeID="_x0000_i5003" DrawAspect="Content" ObjectID="_1791378947" r:id="rId8005"/>
        </w:object>
      </w:r>
      <w:r w:rsidRPr="00D94694">
        <w:rPr>
          <w:rFonts w:hint="cs"/>
          <w:i/>
          <w:sz w:val="23"/>
          <w:szCs w:val="23"/>
          <w:rtl/>
        </w:rPr>
        <w:t xml:space="preserve"> افزایش، و نوسانات شرطی مازاد بازدهی </w:t>
      </w:r>
      <w:r w:rsidRPr="00D94694">
        <w:rPr>
          <w:position w:val="-22"/>
        </w:rPr>
        <w:object w:dxaOrig="1420" w:dyaOrig="540" w14:anchorId="7A9A7E1E">
          <v:shape id="_x0000_i5004" type="#_x0000_t75" style="width:71.4pt;height:26.6pt" o:ole="">
            <v:imagedata r:id="rId8006" o:title=""/>
          </v:shape>
          <o:OLEObject Type="Embed" ProgID="Equation.DSMT4" ShapeID="_x0000_i5004" DrawAspect="Content" ObjectID="_1791378948" r:id="rId8007"/>
        </w:object>
      </w:r>
      <w:r w:rsidRPr="00D94694">
        <w:rPr>
          <w:i/>
          <w:sz w:val="23"/>
          <w:szCs w:val="23"/>
        </w:rPr>
        <w:t xml:space="preserve"> </w:t>
      </w:r>
      <w:r w:rsidRPr="00D94694">
        <w:rPr>
          <w:rFonts w:hint="cs"/>
          <w:i/>
          <w:sz w:val="23"/>
          <w:szCs w:val="23"/>
          <w:rtl/>
        </w:rPr>
        <w:t>و درجه‌ی ریسک گریزی</w:t>
      </w:r>
      <w:r w:rsidRPr="00D94694">
        <w:rPr>
          <w:position w:val="-12"/>
        </w:rPr>
        <w:object w:dxaOrig="440" w:dyaOrig="360" w14:anchorId="13E53E23">
          <v:shape id="_x0000_i5005" type="#_x0000_t75" style="width:21.8pt;height:18.15pt" o:ole="">
            <v:imagedata r:id="rId8008" o:title=""/>
          </v:shape>
          <o:OLEObject Type="Embed" ProgID="Equation.DSMT4" ShapeID="_x0000_i5005" DrawAspect="Content" ObjectID="_1791378949" r:id="rId8009"/>
        </w:object>
      </w:r>
      <w:r w:rsidRPr="00D94694">
        <w:rPr>
          <w:rFonts w:hint="cs"/>
          <w:i/>
          <w:sz w:val="23"/>
          <w:szCs w:val="23"/>
          <w:rtl/>
        </w:rPr>
        <w:t xml:space="preserve"> کاهش می</w:t>
      </w:r>
      <w:r w:rsidRPr="00D94694">
        <w:rPr>
          <w:i/>
          <w:sz w:val="23"/>
          <w:szCs w:val="23"/>
          <w:rtl/>
        </w:rPr>
        <w:softHyphen/>
      </w:r>
      <w:r w:rsidRPr="00D94694">
        <w:rPr>
          <w:rFonts w:hint="cs"/>
          <w:i/>
          <w:sz w:val="23"/>
          <w:szCs w:val="23"/>
          <w:rtl/>
        </w:rPr>
        <w:t>یابد. چنانچه هیچ دارایی ریسکی وجود نمی</w:t>
      </w:r>
      <w:r w:rsidRPr="00D94694">
        <w:rPr>
          <w:i/>
          <w:sz w:val="23"/>
          <w:szCs w:val="23"/>
          <w:rtl/>
        </w:rPr>
        <w:softHyphen/>
      </w:r>
      <w:r w:rsidRPr="00D94694">
        <w:rPr>
          <w:rFonts w:hint="cs"/>
          <w:i/>
          <w:sz w:val="23"/>
          <w:szCs w:val="23"/>
          <w:rtl/>
        </w:rPr>
        <w:t xml:space="preserve">داشت، آنگاه </w:t>
      </w:r>
      <w:r w:rsidRPr="00D94694">
        <w:rPr>
          <w:position w:val="-16"/>
        </w:rPr>
        <w:object w:dxaOrig="1480" w:dyaOrig="420" w14:anchorId="5C8D744B">
          <v:shape id="_x0000_i5006" type="#_x0000_t75" style="width:73.8pt;height:21.2pt" o:ole="">
            <v:imagedata r:id="rId8010" o:title=""/>
          </v:shape>
          <o:OLEObject Type="Embed" ProgID="Equation.DSMT4" ShapeID="_x0000_i5006" DrawAspect="Content" ObjectID="_1791378950" r:id="rId8011"/>
        </w:object>
      </w:r>
      <w:r w:rsidRPr="00D94694">
        <w:rPr>
          <w:rFonts w:hint="cs"/>
          <w:i/>
          <w:sz w:val="23"/>
          <w:szCs w:val="23"/>
          <w:rtl/>
        </w:rPr>
        <w:t xml:space="preserve"> و بنابراین</w:t>
      </w:r>
      <w:r w:rsidRPr="00D94694">
        <w:rPr>
          <w:position w:val="-10"/>
        </w:rPr>
        <w:object w:dxaOrig="760" w:dyaOrig="320" w14:anchorId="39B34833">
          <v:shape id="_x0000_i5007" type="#_x0000_t75" style="width:38.1pt;height:15.75pt" o:ole="">
            <v:imagedata r:id="rId8012" o:title=""/>
          </v:shape>
          <o:OLEObject Type="Embed" ProgID="Equation.DSMT4" ShapeID="_x0000_i5007" DrawAspect="Content" ObjectID="_1791378951" r:id="rId8013"/>
        </w:object>
      </w:r>
      <w:r w:rsidRPr="00D94694">
        <w:rPr>
          <w:rFonts w:hint="cs"/>
          <w:i/>
          <w:sz w:val="23"/>
          <w:szCs w:val="23"/>
          <w:rtl/>
        </w:rPr>
        <w:t xml:space="preserve"> بوده، یعنی پرتفو کاملاً بدون ریسک است.</w:t>
      </w:r>
    </w:p>
    <w:p w14:paraId="2A31F66C" w14:textId="77777777" w:rsidR="00411620" w:rsidRPr="00D94694" w:rsidRDefault="00411620" w:rsidP="00411620">
      <w:pPr>
        <w:spacing w:line="216" w:lineRule="auto"/>
        <w:rPr>
          <w:i/>
          <w:sz w:val="23"/>
          <w:szCs w:val="23"/>
          <w:rtl/>
        </w:rPr>
      </w:pPr>
      <w:r w:rsidRPr="00D94694">
        <w:rPr>
          <w:rFonts w:hint="cs"/>
          <w:i/>
          <w:sz w:val="23"/>
          <w:szCs w:val="23"/>
          <w:rtl/>
        </w:rPr>
        <w:t xml:space="preserve">تجزیه و تحلیل فوق را می‌توان به دارایی‌های ریسکی متعدد تعمیم داد. در این حالت </w:t>
      </w:r>
      <w:r w:rsidRPr="00D94694">
        <w:rPr>
          <w:position w:val="-10"/>
        </w:rPr>
        <w:object w:dxaOrig="180" w:dyaOrig="320" w14:anchorId="2DE59609">
          <v:shape id="_x0000_i5008" type="#_x0000_t75" style="width:9.1pt;height:15.75pt" o:ole="">
            <v:imagedata r:id="rId8014" o:title=""/>
          </v:shape>
          <o:OLEObject Type="Embed" ProgID="Equation.DSMT4" ShapeID="_x0000_i5008" DrawAspect="Content" ObjectID="_1791378952" r:id="rId8015"/>
        </w:object>
      </w:r>
      <w:r w:rsidRPr="00D94694">
        <w:rPr>
          <w:rFonts w:hint="cs"/>
          <w:i/>
          <w:sz w:val="23"/>
          <w:szCs w:val="23"/>
          <w:rtl/>
        </w:rPr>
        <w:t xml:space="preserve"> و </w:t>
      </w:r>
      <w:r w:rsidRPr="00D94694">
        <w:rPr>
          <w:position w:val="-10"/>
        </w:rPr>
        <w:object w:dxaOrig="260" w:dyaOrig="320" w14:anchorId="5BB99203">
          <v:shape id="_x0000_i5009" type="#_x0000_t75" style="width:13.3pt;height:15.75pt" o:ole="">
            <v:imagedata r:id="rId8016" o:title=""/>
          </v:shape>
          <o:OLEObject Type="Embed" ProgID="Equation.DSMT4" ShapeID="_x0000_i5009" DrawAspect="Content" ObjectID="_1791378953" r:id="rId8017"/>
        </w:object>
      </w:r>
      <w:r w:rsidRPr="00D94694">
        <w:rPr>
          <w:i/>
          <w:sz w:val="23"/>
          <w:szCs w:val="23"/>
        </w:rPr>
        <w:t xml:space="preserve"> </w:t>
      </w:r>
      <w:r w:rsidRPr="00D94694">
        <w:rPr>
          <w:rFonts w:hint="cs"/>
          <w:i/>
          <w:sz w:val="23"/>
          <w:szCs w:val="23"/>
          <w:rtl/>
        </w:rPr>
        <w:t xml:space="preserve">تبدیل به بردارهای </w:t>
      </w:r>
      <w:r w:rsidRPr="00D94694">
        <w:rPr>
          <w:position w:val="-10"/>
        </w:rPr>
        <w:object w:dxaOrig="220" w:dyaOrig="320" w14:anchorId="79236683">
          <v:shape id="_x0000_i5010" type="#_x0000_t75" style="width:10.9pt;height:15.75pt" o:ole="">
            <v:imagedata r:id="rId8018" o:title=""/>
          </v:shape>
          <o:OLEObject Type="Embed" ProgID="Equation.DSMT4" ShapeID="_x0000_i5010" DrawAspect="Content" ObjectID="_1791378954" r:id="rId8019"/>
        </w:object>
      </w:r>
      <w:r w:rsidRPr="00D94694">
        <w:rPr>
          <w:i/>
          <w:sz w:val="23"/>
          <w:szCs w:val="23"/>
        </w:rPr>
        <w:t xml:space="preserve"> </w:t>
      </w:r>
      <w:r w:rsidRPr="00D94694">
        <w:rPr>
          <w:rFonts w:hint="cs"/>
          <w:i/>
          <w:sz w:val="23"/>
          <w:szCs w:val="23"/>
          <w:rtl/>
        </w:rPr>
        <w:t xml:space="preserve">و </w:t>
      </w:r>
      <w:r w:rsidRPr="00D94694">
        <w:rPr>
          <w:position w:val="-10"/>
        </w:rPr>
        <w:object w:dxaOrig="320" w:dyaOrig="320" w14:anchorId="5E209F3B">
          <v:shape id="_x0000_i5011" type="#_x0000_t75" style="width:15.75pt;height:15.75pt" o:ole="">
            <v:imagedata r:id="rId8020" o:title=""/>
          </v:shape>
          <o:OLEObject Type="Embed" ProgID="Equation.DSMT4" ShapeID="_x0000_i5011" DrawAspect="Content" ObjectID="_1791378955" r:id="rId8021"/>
        </w:object>
      </w:r>
      <w:r w:rsidRPr="00D94694">
        <w:rPr>
          <w:rFonts w:hint="cs"/>
          <w:i/>
          <w:sz w:val="23"/>
          <w:szCs w:val="23"/>
          <w:rtl/>
        </w:rPr>
        <w:t xml:space="preserve"> با سهم دارایی بدون ریسک </w:t>
      </w:r>
      <w:r w:rsidRPr="00D94694">
        <w:rPr>
          <w:position w:val="-10"/>
        </w:rPr>
        <w:object w:dxaOrig="580" w:dyaOrig="320" w14:anchorId="24898D27">
          <v:shape id="_x0000_i5012" type="#_x0000_t75" style="width:29.05pt;height:15.75pt" o:ole="">
            <v:imagedata r:id="rId8022" o:title=""/>
          </v:shape>
          <o:OLEObject Type="Embed" ProgID="Equation.DSMT4" ShapeID="_x0000_i5012" DrawAspect="Content" ObjectID="_1791378956" r:id="rId8023"/>
        </w:object>
      </w:r>
      <w:r w:rsidRPr="00D94694">
        <w:rPr>
          <w:rFonts w:hint="cs"/>
          <w:i/>
          <w:sz w:val="23"/>
          <w:szCs w:val="23"/>
          <w:rtl/>
        </w:rPr>
        <w:t xml:space="preserve"> بطوری</w:t>
      </w:r>
      <w:r w:rsidRPr="00D94694">
        <w:rPr>
          <w:i/>
          <w:sz w:val="23"/>
          <w:szCs w:val="23"/>
          <w:rtl/>
        </w:rPr>
        <w:softHyphen/>
      </w:r>
      <w:r w:rsidRPr="00D94694">
        <w:rPr>
          <w:rFonts w:hint="cs"/>
          <w:i/>
          <w:sz w:val="23"/>
          <w:szCs w:val="23"/>
          <w:rtl/>
        </w:rPr>
        <w:t xml:space="preserve">که </w:t>
      </w:r>
      <w:r w:rsidRPr="00D94694">
        <w:rPr>
          <w:position w:val="-12"/>
        </w:rPr>
        <w:object w:dxaOrig="1219" w:dyaOrig="360" w14:anchorId="4BF8C82A">
          <v:shape id="_x0000_i5013" type="#_x0000_t75" style="width:61.1pt;height:18.15pt" o:ole="">
            <v:imagedata r:id="rId8024" o:title=""/>
          </v:shape>
          <o:OLEObject Type="Embed" ProgID="Equation.DSMT4" ShapeID="_x0000_i5013" DrawAspect="Content" ObjectID="_1791378957" r:id="rId8025"/>
        </w:object>
      </w:r>
      <w:r w:rsidRPr="00D94694">
        <w:rPr>
          <w:rFonts w:hint="cs"/>
          <w:i/>
          <w:sz w:val="23"/>
          <w:szCs w:val="23"/>
          <w:rtl/>
        </w:rPr>
        <w:t xml:space="preserve"> می</w:t>
      </w:r>
      <w:r w:rsidRPr="00D94694">
        <w:rPr>
          <w:i/>
          <w:sz w:val="23"/>
          <w:szCs w:val="23"/>
          <w:rtl/>
        </w:rPr>
        <w:softHyphen/>
      </w:r>
      <w:r w:rsidRPr="00D94694">
        <w:rPr>
          <w:rFonts w:hint="cs"/>
          <w:i/>
          <w:sz w:val="23"/>
          <w:szCs w:val="23"/>
          <w:rtl/>
        </w:rPr>
        <w:t>شود. حل این مسئله همانند معادله‌ی (۱۱. ۵۱) با برداری از سهم‌هاست که در آن</w:t>
      </w:r>
    </w:p>
    <w:p w14:paraId="59C754B7" w14:textId="77777777" w:rsidR="00411620" w:rsidRPr="00D94694" w:rsidRDefault="00411620" w:rsidP="00411620">
      <w:pPr>
        <w:bidi w:val="0"/>
        <w:spacing w:line="216" w:lineRule="auto"/>
        <w:rPr>
          <w:i/>
          <w:sz w:val="23"/>
          <w:szCs w:val="23"/>
        </w:rPr>
      </w:pPr>
      <w:r w:rsidRPr="00D94694">
        <w:rPr>
          <w:position w:val="-16"/>
        </w:rPr>
        <w:object w:dxaOrig="2360" w:dyaOrig="420" w14:anchorId="2223D989">
          <v:shape id="_x0000_i5014" type="#_x0000_t75" style="width:118pt;height:21.2pt" o:ole="">
            <v:imagedata r:id="rId8026" o:title=""/>
          </v:shape>
          <o:OLEObject Type="Embed" ProgID="Equation.DSMT4" ShapeID="_x0000_i5014" DrawAspect="Content" ObjectID="_1791378958" r:id="rId8027"/>
        </w:object>
      </w:r>
    </w:p>
    <w:p w14:paraId="4F09D542" w14:textId="77777777" w:rsidR="00411620" w:rsidRPr="00D94694" w:rsidRDefault="00411620" w:rsidP="00411620">
      <w:pPr>
        <w:spacing w:line="216" w:lineRule="auto"/>
        <w:rPr>
          <w:i/>
          <w:sz w:val="23"/>
          <w:szCs w:val="23"/>
          <w:rtl/>
        </w:rPr>
      </w:pPr>
      <w:r w:rsidRPr="00D94694">
        <w:rPr>
          <w:rFonts w:hint="cs"/>
          <w:i/>
          <w:sz w:val="23"/>
          <w:szCs w:val="23"/>
          <w:rtl/>
        </w:rPr>
        <w:t xml:space="preserve">که در آن </w:t>
      </w:r>
      <w:r w:rsidRPr="00D94694">
        <w:rPr>
          <w:position w:val="-10"/>
        </w:rPr>
        <w:object w:dxaOrig="260" w:dyaOrig="340" w14:anchorId="545D3449">
          <v:shape id="_x0000_i5015" type="#_x0000_t75" style="width:13.3pt;height:16.95pt" o:ole="">
            <v:imagedata r:id="rId8028" o:title=""/>
          </v:shape>
          <o:OLEObject Type="Embed" ProgID="Equation.DSMT4" ShapeID="_x0000_i5015" DrawAspect="Content" ObjectID="_1791378959" r:id="rId8029"/>
        </w:object>
      </w:r>
      <w:r w:rsidRPr="00D94694">
        <w:rPr>
          <w:rFonts w:hint="cs"/>
          <w:i/>
          <w:sz w:val="23"/>
          <w:szCs w:val="23"/>
          <w:rtl/>
        </w:rPr>
        <w:t xml:space="preserve">ماتریس کوواریانس شرطی بازدهی‌های ریسکی است. مازاد بازدهی در پرتفوی بهینه بواسطه‌ی ضریب </w:t>
      </w:r>
      <w:r w:rsidRPr="00D94694">
        <w:rPr>
          <w:position w:val="-10"/>
        </w:rPr>
        <w:object w:dxaOrig="320" w:dyaOrig="320" w14:anchorId="16ABB45B">
          <v:shape id="_x0000_i5016" type="#_x0000_t75" style="width:15.75pt;height:15.75pt" o:ole="">
            <v:imagedata r:id="rId8030" o:title=""/>
          </v:shape>
          <o:OLEObject Type="Embed" ProgID="Equation.DSMT4" ShapeID="_x0000_i5016" DrawAspect="Content" ObjectID="_1791378960" r:id="rId8031"/>
        </w:object>
      </w:r>
      <w:r w:rsidRPr="00D94694">
        <w:rPr>
          <w:rFonts w:hint="cs"/>
          <w:i/>
          <w:sz w:val="23"/>
          <w:szCs w:val="23"/>
          <w:rtl/>
        </w:rPr>
        <w:t xml:space="preserve"> بدست خواهد آمد. یعنی</w:t>
      </w:r>
    </w:p>
    <w:p w14:paraId="47472A94" w14:textId="77777777" w:rsidR="00411620" w:rsidRPr="00D94694" w:rsidRDefault="00411620" w:rsidP="00411620">
      <w:pPr>
        <w:bidi w:val="0"/>
        <w:spacing w:line="216" w:lineRule="auto"/>
        <w:rPr>
          <w:i/>
          <w:sz w:val="23"/>
          <w:szCs w:val="23"/>
        </w:rPr>
      </w:pPr>
      <w:r w:rsidRPr="00D94694">
        <w:rPr>
          <w:position w:val="-16"/>
        </w:rPr>
        <w:object w:dxaOrig="4940" w:dyaOrig="420" w14:anchorId="5432C6BF">
          <v:shape id="_x0000_i5017" type="#_x0000_t75" style="width:247.45pt;height:21.2pt" o:ole="">
            <v:imagedata r:id="rId8032" o:title=""/>
          </v:shape>
          <o:OLEObject Type="Embed" ProgID="Equation.DSMT4" ShapeID="_x0000_i5017" DrawAspect="Content" ObjectID="_1791378961" r:id="rId8033"/>
        </w:object>
      </w:r>
    </w:p>
    <w:p w14:paraId="1039554C" w14:textId="77777777" w:rsidR="00411620" w:rsidRPr="00D94694" w:rsidRDefault="00411620" w:rsidP="00411620">
      <w:pPr>
        <w:spacing w:line="216" w:lineRule="auto"/>
        <w:rPr>
          <w:i/>
          <w:sz w:val="23"/>
          <w:szCs w:val="23"/>
          <w:rtl/>
        </w:rPr>
      </w:pPr>
      <w:r w:rsidRPr="00D94694">
        <w:rPr>
          <w:rFonts w:hint="cs"/>
          <w:i/>
          <w:sz w:val="23"/>
          <w:szCs w:val="23"/>
          <w:rtl/>
        </w:rPr>
        <w:t xml:space="preserve">که در آن </w:t>
      </w:r>
      <w:r w:rsidRPr="00D94694">
        <w:rPr>
          <w:position w:val="-16"/>
        </w:rPr>
        <w:object w:dxaOrig="720" w:dyaOrig="420" w14:anchorId="3AFF765D">
          <v:shape id="_x0000_i5018" type="#_x0000_t75" style="width:36.3pt;height:21.2pt" o:ole="">
            <v:imagedata r:id="rId8034" o:title=""/>
          </v:shape>
          <o:OLEObject Type="Embed" ProgID="Equation.DSMT4" ShapeID="_x0000_i5018" DrawAspect="Content" ObjectID="_1791378962" r:id="rId8035"/>
        </w:object>
      </w:r>
      <w:r w:rsidRPr="00D94694">
        <w:rPr>
          <w:i/>
          <w:sz w:val="23"/>
          <w:szCs w:val="23"/>
        </w:rPr>
        <w:t xml:space="preserve"> </w:t>
      </w:r>
      <w:r w:rsidRPr="00D94694">
        <w:rPr>
          <w:rFonts w:hint="cs"/>
          <w:i/>
          <w:sz w:val="23"/>
          <w:szCs w:val="23"/>
          <w:rtl/>
        </w:rPr>
        <w:t>واریانس شرطی بازدهی پرتفو است و داریم</w:t>
      </w:r>
    </w:p>
    <w:p w14:paraId="0289FCCF" w14:textId="77777777" w:rsidR="00411620" w:rsidRPr="00D94694" w:rsidRDefault="00411620" w:rsidP="00411620">
      <w:pPr>
        <w:bidi w:val="0"/>
        <w:spacing w:line="216" w:lineRule="auto"/>
        <w:rPr>
          <w:i/>
          <w:sz w:val="23"/>
          <w:szCs w:val="23"/>
        </w:rPr>
      </w:pPr>
      <w:r w:rsidRPr="00D94694">
        <w:rPr>
          <w:position w:val="-34"/>
        </w:rPr>
        <w:object w:dxaOrig="1560" w:dyaOrig="780" w14:anchorId="756C939E">
          <v:shape id="_x0000_i5019" type="#_x0000_t75" style="width:78.05pt;height:39.35pt" o:ole="">
            <v:imagedata r:id="rId8036" o:title=""/>
          </v:shape>
          <o:OLEObject Type="Embed" ProgID="Equation.DSMT4" ShapeID="_x0000_i5019" DrawAspect="Content" ObjectID="_1791378963" r:id="rId8037"/>
        </w:object>
      </w:r>
    </w:p>
    <w:p w14:paraId="02B44D85" w14:textId="77777777" w:rsidR="00411620" w:rsidRPr="00D94694" w:rsidRDefault="00411620" w:rsidP="00411620">
      <w:pPr>
        <w:spacing w:line="216" w:lineRule="auto"/>
        <w:rPr>
          <w:i/>
          <w:sz w:val="23"/>
          <w:szCs w:val="23"/>
          <w:rtl/>
        </w:rPr>
      </w:pPr>
      <w:r w:rsidRPr="00D94694">
        <w:rPr>
          <w:rFonts w:hint="cs"/>
          <w:i/>
          <w:sz w:val="23"/>
          <w:szCs w:val="23"/>
          <w:rtl/>
        </w:rPr>
        <w:t xml:space="preserve">با استفاده از معادله‌ی (۱۱. ۵۲) و برآورد </w:t>
      </w:r>
      <w:r w:rsidRPr="00D94694">
        <w:rPr>
          <w:position w:val="-10"/>
        </w:rPr>
        <w:object w:dxaOrig="260" w:dyaOrig="320" w14:anchorId="6167F953">
          <v:shape id="_x0000_i5020" type="#_x0000_t75" style="width:13.3pt;height:15.75pt" o:ole="">
            <v:imagedata r:id="rId8038" o:title=""/>
          </v:shape>
          <o:OLEObject Type="Embed" ProgID="Equation.DSMT4" ShapeID="_x0000_i5020" DrawAspect="Content" ObjectID="_1791378964" r:id="rId8039"/>
        </w:object>
      </w:r>
      <w:r w:rsidRPr="00D94694">
        <w:rPr>
          <w:rFonts w:hint="cs"/>
          <w:i/>
          <w:sz w:val="23"/>
          <w:szCs w:val="23"/>
          <w:rtl/>
        </w:rPr>
        <w:t xml:space="preserve"> مازاد بازدهی هر یک از دارایی‌ها بدست خواهد آمد به گونه</w:t>
      </w:r>
      <w:r w:rsidRPr="00D94694">
        <w:rPr>
          <w:i/>
          <w:sz w:val="23"/>
          <w:szCs w:val="23"/>
          <w:rtl/>
        </w:rPr>
        <w:softHyphen/>
      </w:r>
      <w:r w:rsidRPr="00D94694">
        <w:rPr>
          <w:rFonts w:hint="cs"/>
          <w:i/>
          <w:sz w:val="23"/>
          <w:szCs w:val="23"/>
          <w:rtl/>
        </w:rPr>
        <w:t>ای که</w:t>
      </w:r>
    </w:p>
    <w:p w14:paraId="5A0EA343" w14:textId="77777777" w:rsidR="00411620" w:rsidRPr="00D94694" w:rsidRDefault="00411620" w:rsidP="00411620">
      <w:pPr>
        <w:bidi w:val="0"/>
        <w:spacing w:line="216" w:lineRule="auto"/>
        <w:rPr>
          <w:i/>
          <w:sz w:val="23"/>
          <w:szCs w:val="23"/>
          <w:rtl/>
        </w:rPr>
      </w:pPr>
      <w:r w:rsidRPr="00D94694">
        <w:rPr>
          <w:position w:val="-70"/>
        </w:rPr>
        <w:object w:dxaOrig="4380" w:dyaOrig="1520" w14:anchorId="6CD4D8C4">
          <v:shape id="_x0000_i5021" type="#_x0000_t75" style="width:219.05pt;height:75.65pt" o:ole="">
            <v:imagedata r:id="rId8040" o:title=""/>
          </v:shape>
          <o:OLEObject Type="Embed" ProgID="Equation.DSMT4" ShapeID="_x0000_i5021" DrawAspect="Content" ObjectID="_1791378965" r:id="rId8041"/>
        </w:object>
      </w:r>
      <w:r w:rsidRPr="00D94694">
        <w:rPr>
          <w:i/>
          <w:sz w:val="23"/>
          <w:szCs w:val="23"/>
          <w:rtl/>
        </w:rPr>
        <w:tab/>
      </w:r>
      <w:r w:rsidRPr="00D94694">
        <w:rPr>
          <w:i/>
          <w:sz w:val="23"/>
          <w:szCs w:val="23"/>
          <w:rtl/>
        </w:rPr>
        <w:tab/>
      </w:r>
      <w:r>
        <w:rPr>
          <w:i/>
          <w:sz w:val="23"/>
          <w:szCs w:val="23"/>
          <w:rtl/>
        </w:rPr>
        <w:tab/>
      </w:r>
      <w:r w:rsidRPr="00D94694">
        <w:rPr>
          <w:i/>
          <w:sz w:val="23"/>
          <w:szCs w:val="23"/>
        </w:rPr>
        <w:tab/>
      </w:r>
      <w:r w:rsidRPr="00D94694">
        <w:rPr>
          <w:i/>
          <w:sz w:val="23"/>
          <w:szCs w:val="23"/>
        </w:rPr>
        <w:tab/>
      </w:r>
      <w:r w:rsidRPr="00D94694">
        <w:rPr>
          <w:i/>
          <w:sz w:val="23"/>
          <w:szCs w:val="23"/>
        </w:rPr>
        <w:tab/>
      </w:r>
      <w:r w:rsidRPr="00D94694">
        <w:rPr>
          <w:rFonts w:hint="cs"/>
          <w:i/>
          <w:sz w:val="23"/>
          <w:szCs w:val="23"/>
          <w:rtl/>
        </w:rPr>
        <w:t>(۱۱. ۵۳)</w:t>
      </w:r>
      <w:r w:rsidRPr="00D94694">
        <w:rPr>
          <w:rFonts w:hint="cs"/>
          <w:i/>
          <w:sz w:val="23"/>
          <w:szCs w:val="23"/>
        </w:rPr>
        <w:t xml:space="preserve"> </w:t>
      </w:r>
    </w:p>
    <w:p w14:paraId="7E9A17CD" w14:textId="77777777" w:rsidR="00411620" w:rsidRPr="00D94694" w:rsidRDefault="00411620" w:rsidP="00411620">
      <w:pPr>
        <w:spacing w:line="216" w:lineRule="auto"/>
        <w:rPr>
          <w:i/>
          <w:sz w:val="23"/>
          <w:szCs w:val="23"/>
          <w:rtl/>
        </w:rPr>
      </w:pPr>
      <w:r w:rsidRPr="00D94694">
        <w:rPr>
          <w:rFonts w:hint="cs"/>
          <w:i/>
          <w:sz w:val="23"/>
          <w:szCs w:val="23"/>
          <w:rtl/>
        </w:rPr>
        <w:t>به کمک معادله‌ی (۱۱. ۵۲) همچنین می‌توان نوشت</w:t>
      </w:r>
    </w:p>
    <w:p w14:paraId="788FFD31" w14:textId="77777777" w:rsidR="00411620" w:rsidRPr="00D94694" w:rsidRDefault="00411620" w:rsidP="00411620">
      <w:pPr>
        <w:bidi w:val="0"/>
        <w:spacing w:line="216" w:lineRule="auto"/>
        <w:rPr>
          <w:i/>
          <w:sz w:val="23"/>
          <w:szCs w:val="23"/>
          <w:rtl/>
        </w:rPr>
      </w:pPr>
      <w:r w:rsidRPr="00D94694">
        <w:rPr>
          <w:position w:val="-16"/>
        </w:rPr>
        <w:object w:dxaOrig="2880" w:dyaOrig="420" w14:anchorId="3C8CBB75">
          <v:shape id="_x0000_i5022" type="#_x0000_t75" style="width:2in;height:21.2pt" o:ole="">
            <v:imagedata r:id="rId8042" o:title=""/>
          </v:shape>
          <o:OLEObject Type="Embed" ProgID="Equation.DSMT4" ShapeID="_x0000_i5022" DrawAspect="Content" ObjectID="_1791378966" r:id="rId8043"/>
        </w:object>
      </w:r>
      <w:r w:rsidRPr="00D94694">
        <w:rPr>
          <w:i/>
          <w:sz w:val="23"/>
          <w:szCs w:val="23"/>
        </w:rPr>
        <w:tab/>
      </w:r>
      <w:r w:rsidRPr="00D94694">
        <w:rPr>
          <w:i/>
          <w:sz w:val="23"/>
          <w:szCs w:val="23"/>
        </w:rPr>
        <w:tab/>
      </w:r>
      <w:r w:rsidRPr="00D94694">
        <w:rPr>
          <w:i/>
          <w:sz w:val="23"/>
          <w:szCs w:val="23"/>
          <w:rtl/>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tl/>
        </w:rPr>
        <w:tab/>
      </w:r>
      <w:r>
        <w:rPr>
          <w:i/>
          <w:sz w:val="23"/>
          <w:szCs w:val="23"/>
          <w:rtl/>
        </w:rPr>
        <w:tab/>
      </w:r>
      <w:r w:rsidRPr="00D94694">
        <w:rPr>
          <w:i/>
          <w:sz w:val="23"/>
          <w:szCs w:val="23"/>
        </w:rPr>
        <w:tab/>
      </w:r>
      <w:r w:rsidRPr="00D94694">
        <w:rPr>
          <w:i/>
          <w:sz w:val="23"/>
          <w:szCs w:val="23"/>
        </w:rPr>
        <w:tab/>
      </w:r>
      <w:r w:rsidRPr="00D94694">
        <w:rPr>
          <w:rFonts w:hint="cs"/>
          <w:i/>
          <w:sz w:val="23"/>
          <w:szCs w:val="23"/>
          <w:rtl/>
        </w:rPr>
        <w:t>(۱۱. ۵۴)</w:t>
      </w:r>
      <w:r w:rsidRPr="00D94694">
        <w:rPr>
          <w:rFonts w:hint="cs"/>
          <w:i/>
          <w:sz w:val="23"/>
          <w:szCs w:val="23"/>
        </w:rPr>
        <w:t xml:space="preserve"> </w:t>
      </w:r>
    </w:p>
    <w:p w14:paraId="46F14C64" w14:textId="77777777" w:rsidR="00411620" w:rsidRPr="00D94694" w:rsidRDefault="00411620" w:rsidP="00411620">
      <w:pPr>
        <w:spacing w:line="216" w:lineRule="auto"/>
        <w:rPr>
          <w:i/>
          <w:sz w:val="23"/>
          <w:szCs w:val="23"/>
          <w:rtl/>
        </w:rPr>
      </w:pPr>
      <w:r w:rsidRPr="00D94694">
        <w:rPr>
          <w:rFonts w:hint="cs"/>
          <w:i/>
          <w:sz w:val="23"/>
          <w:szCs w:val="23"/>
          <w:rtl/>
        </w:rPr>
        <w:t xml:space="preserve">که برای دارایی </w:t>
      </w:r>
      <w:proofErr w:type="spellStart"/>
      <w:r w:rsidRPr="00D94694">
        <w:rPr>
          <w:i/>
          <w:sz w:val="23"/>
          <w:szCs w:val="23"/>
        </w:rPr>
        <w:t>i</w:t>
      </w:r>
      <w:proofErr w:type="spellEnd"/>
      <w:r w:rsidRPr="00D94694">
        <w:rPr>
          <w:rFonts w:hint="cs"/>
          <w:i/>
          <w:sz w:val="23"/>
          <w:szCs w:val="23"/>
          <w:rtl/>
        </w:rPr>
        <w:t>ام برابر خواهد بود با</w:t>
      </w:r>
    </w:p>
    <w:p w14:paraId="320C8174" w14:textId="77777777" w:rsidR="00411620" w:rsidRPr="00D94694" w:rsidRDefault="00411620" w:rsidP="00411620">
      <w:pPr>
        <w:bidi w:val="0"/>
        <w:spacing w:line="216" w:lineRule="auto"/>
        <w:rPr>
          <w:i/>
          <w:sz w:val="23"/>
          <w:szCs w:val="23"/>
          <w:rtl/>
        </w:rPr>
      </w:pPr>
      <w:r w:rsidRPr="00D94694">
        <w:rPr>
          <w:position w:val="-16"/>
        </w:rPr>
        <w:object w:dxaOrig="2840" w:dyaOrig="420" w14:anchorId="7E0052D7">
          <v:shape id="_x0000_i5023" type="#_x0000_t75" style="width:142.2pt;height:21.2pt" o:ole="">
            <v:imagedata r:id="rId8044" o:title=""/>
          </v:shape>
          <o:OLEObject Type="Embed" ProgID="Equation.DSMT4" ShapeID="_x0000_i5023" DrawAspect="Content" ObjectID="_1791378967" r:id="rId8045"/>
        </w:object>
      </w:r>
      <w:r w:rsidRPr="00D94694">
        <w:rPr>
          <w:i/>
          <w:sz w:val="23"/>
          <w:szCs w:val="23"/>
        </w:rPr>
        <w:tab/>
      </w:r>
      <w:r w:rsidRPr="00D94694">
        <w:rPr>
          <w:i/>
          <w:sz w:val="23"/>
          <w:szCs w:val="23"/>
        </w:rPr>
        <w:tab/>
      </w:r>
      <w:r w:rsidRPr="00D94694">
        <w:rPr>
          <w:i/>
          <w:sz w:val="23"/>
          <w:szCs w:val="23"/>
          <w:rtl/>
        </w:rPr>
        <w:tab/>
      </w:r>
      <w:r w:rsidRPr="00D94694">
        <w:rPr>
          <w:i/>
          <w:sz w:val="23"/>
          <w:szCs w:val="23"/>
        </w:rPr>
        <w:tab/>
      </w:r>
      <w:r w:rsidRPr="00D94694">
        <w:rPr>
          <w:i/>
          <w:sz w:val="23"/>
          <w:szCs w:val="23"/>
        </w:rPr>
        <w:tab/>
      </w:r>
      <w:r w:rsidRPr="00D94694">
        <w:rPr>
          <w:i/>
          <w:sz w:val="23"/>
          <w:szCs w:val="23"/>
        </w:rPr>
        <w:tab/>
      </w:r>
      <w:r w:rsidRPr="00D94694">
        <w:rPr>
          <w:i/>
          <w:sz w:val="23"/>
          <w:szCs w:val="23"/>
        </w:rPr>
        <w:tab/>
      </w:r>
      <w:r>
        <w:rPr>
          <w:i/>
          <w:sz w:val="23"/>
          <w:szCs w:val="23"/>
          <w:rtl/>
        </w:rPr>
        <w:tab/>
      </w:r>
      <w:r>
        <w:rPr>
          <w:i/>
          <w:sz w:val="23"/>
          <w:szCs w:val="23"/>
          <w:rtl/>
        </w:rPr>
        <w:tab/>
      </w:r>
      <w:r w:rsidRPr="00D94694">
        <w:rPr>
          <w:i/>
          <w:sz w:val="23"/>
          <w:szCs w:val="23"/>
          <w:rtl/>
        </w:rPr>
        <w:tab/>
      </w:r>
      <w:r w:rsidRPr="00D94694">
        <w:rPr>
          <w:i/>
          <w:sz w:val="23"/>
          <w:szCs w:val="23"/>
        </w:rPr>
        <w:tab/>
      </w:r>
      <w:r w:rsidRPr="00D94694">
        <w:rPr>
          <w:i/>
          <w:sz w:val="23"/>
          <w:szCs w:val="23"/>
        </w:rPr>
        <w:tab/>
      </w:r>
      <w:r w:rsidRPr="00D94694">
        <w:rPr>
          <w:rFonts w:hint="cs"/>
          <w:i/>
          <w:sz w:val="23"/>
          <w:szCs w:val="23"/>
          <w:rtl/>
        </w:rPr>
        <w:t>(۱۱. ۵۵)</w:t>
      </w:r>
      <w:r w:rsidRPr="00D94694">
        <w:rPr>
          <w:rFonts w:hint="cs"/>
          <w:i/>
          <w:sz w:val="23"/>
          <w:szCs w:val="23"/>
        </w:rPr>
        <w:t xml:space="preserve"> </w:t>
      </w:r>
    </w:p>
    <w:p w14:paraId="24CF12EA" w14:textId="77777777" w:rsidR="00411620" w:rsidRPr="00D94694" w:rsidRDefault="00411620" w:rsidP="00411620">
      <w:pPr>
        <w:spacing w:line="216" w:lineRule="auto"/>
        <w:rPr>
          <w:i/>
          <w:sz w:val="23"/>
          <w:szCs w:val="23"/>
        </w:rPr>
      </w:pPr>
      <w:r w:rsidRPr="00D94694">
        <w:rPr>
          <w:rFonts w:hint="cs"/>
          <w:i/>
          <w:sz w:val="23"/>
          <w:szCs w:val="23"/>
          <w:rtl/>
        </w:rPr>
        <w:t xml:space="preserve">براحتی می‌توان نشان داد که اگر </w:t>
      </w:r>
      <w:r w:rsidRPr="00D94694">
        <w:rPr>
          <w:position w:val="-10"/>
        </w:rPr>
        <w:object w:dxaOrig="620" w:dyaOrig="340" w14:anchorId="6D76EC0D">
          <v:shape id="_x0000_i5024" type="#_x0000_t75" style="width:31.45pt;height:16.95pt" o:ole="">
            <v:imagedata r:id="rId8046" o:title=""/>
          </v:shape>
          <o:OLEObject Type="Embed" ProgID="Equation.DSMT4" ShapeID="_x0000_i5024" DrawAspect="Content" ObjectID="_1791378968" r:id="rId8047"/>
        </w:object>
      </w:r>
      <w:r w:rsidRPr="00D94694">
        <w:rPr>
          <w:rFonts w:hint="cs"/>
          <w:i/>
          <w:sz w:val="23"/>
          <w:szCs w:val="23"/>
          <w:rtl/>
        </w:rPr>
        <w:t xml:space="preserve"> و</w:t>
      </w:r>
    </w:p>
    <w:p w14:paraId="37155155" w14:textId="77777777" w:rsidR="00411620" w:rsidRPr="00D94694" w:rsidRDefault="00411620" w:rsidP="00411620">
      <w:pPr>
        <w:bidi w:val="0"/>
        <w:spacing w:line="216" w:lineRule="auto"/>
        <w:rPr>
          <w:i/>
          <w:sz w:val="23"/>
          <w:szCs w:val="23"/>
          <w:rtl/>
        </w:rPr>
      </w:pPr>
      <w:r w:rsidRPr="00D94694">
        <w:rPr>
          <w:rFonts w:hint="cs"/>
          <w:i/>
          <w:sz w:val="23"/>
          <w:szCs w:val="23"/>
          <w:rtl/>
        </w:rPr>
        <w:t xml:space="preserve"> </w:t>
      </w:r>
      <w:r w:rsidRPr="00D94694">
        <w:rPr>
          <w:position w:val="-10"/>
        </w:rPr>
        <w:object w:dxaOrig="1400" w:dyaOrig="340" w14:anchorId="064AA8EF">
          <v:shape id="_x0000_i5025" type="#_x0000_t75" style="width:70.2pt;height:16.95pt" o:ole="">
            <v:imagedata r:id="rId8048" o:title=""/>
          </v:shape>
          <o:OLEObject Type="Embed" ProgID="Equation.DSMT4" ShapeID="_x0000_i5025" DrawAspect="Content" ObjectID="_1791378969" r:id="rId8049"/>
        </w:object>
      </w:r>
      <w:r w:rsidRPr="00D94694">
        <w:rPr>
          <w:rFonts w:hint="cs"/>
          <w:i/>
          <w:sz w:val="23"/>
          <w:szCs w:val="23"/>
          <w:rtl/>
        </w:rPr>
        <w:t xml:space="preserve"> </w:t>
      </w:r>
      <w:r w:rsidRPr="00D94694">
        <w:rPr>
          <w:i/>
          <w:sz w:val="23"/>
          <w:szCs w:val="23"/>
        </w:rPr>
        <w:tab/>
      </w:r>
      <w:r w:rsidRPr="00D94694">
        <w:rPr>
          <w:i/>
          <w:sz w:val="23"/>
          <w:szCs w:val="23"/>
        </w:rPr>
        <w:tab/>
      </w:r>
      <w:r w:rsidRPr="00D94694">
        <w:rPr>
          <w:i/>
          <w:sz w:val="23"/>
          <w:szCs w:val="23"/>
        </w:rPr>
        <w:tab/>
      </w:r>
      <w:r w:rsidRPr="00D94694">
        <w:rPr>
          <w:i/>
          <w:sz w:val="23"/>
          <w:szCs w:val="23"/>
          <w:rtl/>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rFonts w:hint="cs"/>
          <w:i/>
          <w:sz w:val="23"/>
          <w:szCs w:val="23"/>
          <w:rtl/>
        </w:rPr>
        <w:t>(۱۱. ۵۶)</w:t>
      </w:r>
      <w:r w:rsidRPr="00D94694">
        <w:rPr>
          <w:rFonts w:hint="cs"/>
          <w:i/>
          <w:sz w:val="23"/>
          <w:szCs w:val="23"/>
        </w:rPr>
        <w:t xml:space="preserve"> </w:t>
      </w:r>
    </w:p>
    <w:p w14:paraId="47DDF7CE" w14:textId="77777777" w:rsidR="00411620" w:rsidRPr="00D94694" w:rsidRDefault="00411620" w:rsidP="00411620">
      <w:pPr>
        <w:spacing w:line="216" w:lineRule="auto"/>
        <w:rPr>
          <w:i/>
          <w:sz w:val="23"/>
          <w:szCs w:val="23"/>
          <w:rtl/>
        </w:rPr>
      </w:pPr>
      <w:r w:rsidRPr="00D94694">
        <w:rPr>
          <w:rFonts w:hint="cs"/>
          <w:i/>
          <w:sz w:val="23"/>
          <w:szCs w:val="23"/>
          <w:rtl/>
        </w:rPr>
        <w:t xml:space="preserve">یعنی مصرف برابر با درآمد دائمی حاصل از ثروت است ( نظریه سیکل زندگی)، و بنابراین نرخ رشد مصرف برابر با نرخ رشد ثروت یعنی بازدهی پرتفو است. </w:t>
      </w:r>
    </w:p>
    <w:p w14:paraId="29787015" w14:textId="77777777" w:rsidR="00411620" w:rsidRPr="00D94694" w:rsidRDefault="00411620" w:rsidP="00411620">
      <w:pPr>
        <w:spacing w:line="216" w:lineRule="auto"/>
        <w:rPr>
          <w:i/>
          <w:sz w:val="23"/>
          <w:szCs w:val="23"/>
          <w:rtl/>
        </w:rPr>
      </w:pPr>
      <w:r w:rsidRPr="00D94694">
        <w:rPr>
          <w:rFonts w:hint="cs"/>
          <w:i/>
          <w:sz w:val="23"/>
          <w:szCs w:val="23"/>
          <w:rtl/>
        </w:rPr>
        <w:t>در این قسمت کاربرد این راه حل را برای مطلوبیت انتظاری در راستای اهداف آموزشی مورد توجه قرار می</w:t>
      </w:r>
      <w:r w:rsidRPr="00D94694">
        <w:rPr>
          <w:i/>
          <w:sz w:val="23"/>
          <w:szCs w:val="23"/>
          <w:rtl/>
        </w:rPr>
        <w:softHyphen/>
      </w:r>
      <w:r w:rsidRPr="00D94694">
        <w:rPr>
          <w:rFonts w:hint="cs"/>
          <w:i/>
          <w:sz w:val="23"/>
          <w:szCs w:val="23"/>
          <w:rtl/>
        </w:rPr>
        <w:t>دهیم. انتظارات شرطی تابع مطلوبیت لحظه</w:t>
      </w:r>
      <w:r w:rsidRPr="00D94694">
        <w:rPr>
          <w:i/>
          <w:sz w:val="23"/>
          <w:szCs w:val="23"/>
          <w:rtl/>
        </w:rPr>
        <w:softHyphen/>
      </w:r>
      <w:r w:rsidRPr="00D94694">
        <w:rPr>
          <w:rFonts w:hint="cs"/>
          <w:i/>
          <w:sz w:val="23"/>
          <w:szCs w:val="23"/>
          <w:rtl/>
        </w:rPr>
        <w:t>ای برای دوره‌ی</w:t>
      </w:r>
      <w:r w:rsidRPr="00D94694">
        <w:rPr>
          <w:position w:val="-6"/>
        </w:rPr>
        <w:object w:dxaOrig="440" w:dyaOrig="260" w14:anchorId="793F9630">
          <v:shape id="_x0000_i5026" type="#_x0000_t75" style="width:21.8pt;height:13.3pt" o:ole="">
            <v:imagedata r:id="rId8050" o:title=""/>
          </v:shape>
          <o:OLEObject Type="Embed" ProgID="Equation.DSMT4" ShapeID="_x0000_i5026" DrawAspect="Content" ObjectID="_1791378970" r:id="rId8051"/>
        </w:object>
      </w:r>
      <w:r w:rsidRPr="00D94694">
        <w:rPr>
          <w:rFonts w:hint="cs"/>
          <w:i/>
          <w:sz w:val="23"/>
          <w:szCs w:val="23"/>
          <w:rtl/>
        </w:rPr>
        <w:t xml:space="preserve"> ممکن است بطور تقریبی از بسط مرتبه دوم سری تیلور در اطراف</w:t>
      </w:r>
      <w:r w:rsidRPr="00D94694">
        <w:rPr>
          <w:position w:val="-10"/>
        </w:rPr>
        <w:object w:dxaOrig="540" w:dyaOrig="320" w14:anchorId="1771A694">
          <v:shape id="_x0000_i5027" type="#_x0000_t75" style="width:26.6pt;height:15.75pt" o:ole="">
            <v:imagedata r:id="rId8052" o:title=""/>
          </v:shape>
          <o:OLEObject Type="Embed" ProgID="Equation.DSMT4" ShapeID="_x0000_i5027" DrawAspect="Content" ObjectID="_1791378971" r:id="rId8053"/>
        </w:object>
      </w:r>
      <w:r w:rsidRPr="00D94694">
        <w:rPr>
          <w:rFonts w:hint="cs"/>
          <w:i/>
          <w:sz w:val="23"/>
          <w:szCs w:val="23"/>
          <w:rtl/>
        </w:rPr>
        <w:t xml:space="preserve"> بدست آید. لذا </w:t>
      </w:r>
    </w:p>
    <w:p w14:paraId="0C708BBB" w14:textId="77777777" w:rsidR="00411620" w:rsidRDefault="00411620" w:rsidP="00411620">
      <w:pPr>
        <w:bidi w:val="0"/>
        <w:spacing w:line="216" w:lineRule="auto"/>
        <w:rPr>
          <w:i/>
          <w:sz w:val="23"/>
          <w:szCs w:val="23"/>
          <w:rtl/>
        </w:rPr>
      </w:pPr>
      <w:r w:rsidRPr="00D94694">
        <w:rPr>
          <w:position w:val="-50"/>
        </w:rPr>
        <w:object w:dxaOrig="5660" w:dyaOrig="1120" w14:anchorId="7E10280B">
          <v:shape id="_x0000_i5028" type="#_x0000_t75" style="width:283.15pt;height:56.25pt" o:ole="">
            <v:imagedata r:id="rId8054" o:title=""/>
          </v:shape>
          <o:OLEObject Type="Embed" ProgID="Equation.DSMT4" ShapeID="_x0000_i5028" DrawAspect="Content" ObjectID="_1791378972" r:id="rId8055"/>
        </w:object>
      </w:r>
      <w:r>
        <w:rPr>
          <w:rFonts w:hint="cs"/>
          <w:rtl/>
        </w:rPr>
        <w:t xml:space="preserve"> </w:t>
      </w:r>
      <w:r>
        <w:rPr>
          <w:rtl/>
        </w:rPr>
        <w:tab/>
      </w:r>
      <w:r>
        <w:rPr>
          <w:rFonts w:hint="cs"/>
          <w:rtl/>
        </w:rPr>
        <w:t xml:space="preserve">   </w:t>
      </w:r>
      <w:r w:rsidRPr="00D94694">
        <w:rPr>
          <w:rFonts w:hint="cs"/>
          <w:i/>
          <w:sz w:val="23"/>
          <w:szCs w:val="23"/>
          <w:rtl/>
        </w:rPr>
        <w:t>(۱۱. ۵۷)</w:t>
      </w:r>
    </w:p>
    <w:p w14:paraId="54AD3DF4" w14:textId="77777777" w:rsidR="00411620" w:rsidRPr="00D94694" w:rsidRDefault="00411620" w:rsidP="00411620">
      <w:pPr>
        <w:spacing w:line="216" w:lineRule="auto"/>
        <w:rPr>
          <w:i/>
          <w:sz w:val="23"/>
          <w:szCs w:val="23"/>
          <w:rtl/>
        </w:rPr>
      </w:pPr>
      <w:r w:rsidRPr="00D94694">
        <w:rPr>
          <w:rFonts w:hint="cs"/>
          <w:i/>
          <w:sz w:val="23"/>
          <w:szCs w:val="23"/>
          <w:rtl/>
        </w:rPr>
        <w:t>بنابراین مطلوبیت انتظاری بطور تقریبی یک رابطه‌ی جایگزینی بین مصرف انتظاری و نوسانات انتظاری مصرف ارزیابی شده در مطلوبیت نهایی است. این معادله را می‌توان بر حسب بازدهی</w:t>
      </w:r>
      <w:r w:rsidRPr="00D94694">
        <w:rPr>
          <w:i/>
          <w:sz w:val="23"/>
          <w:szCs w:val="23"/>
          <w:rtl/>
        </w:rPr>
        <w:softHyphen/>
      </w:r>
      <w:r w:rsidRPr="00D94694">
        <w:rPr>
          <w:rFonts w:hint="cs"/>
          <w:i/>
          <w:sz w:val="23"/>
          <w:szCs w:val="23"/>
          <w:rtl/>
        </w:rPr>
        <w:t>ها بازنویسی کرد. هنگامی که</w:t>
      </w:r>
    </w:p>
    <w:p w14:paraId="152E9C40" w14:textId="77777777" w:rsidR="00411620" w:rsidRPr="00D94694" w:rsidRDefault="00411620" w:rsidP="00411620">
      <w:pPr>
        <w:bidi w:val="0"/>
        <w:spacing w:line="216" w:lineRule="auto"/>
        <w:rPr>
          <w:i/>
          <w:sz w:val="23"/>
          <w:szCs w:val="23"/>
        </w:rPr>
      </w:pPr>
      <w:r w:rsidRPr="00D94694">
        <w:rPr>
          <w:position w:val="-34"/>
        </w:rPr>
        <w:object w:dxaOrig="1960" w:dyaOrig="780" w14:anchorId="4CDD3B9C">
          <v:shape id="_x0000_i5029" type="#_x0000_t75" style="width:98pt;height:39.35pt" o:ole="">
            <v:imagedata r:id="rId8056" o:title=""/>
          </v:shape>
          <o:OLEObject Type="Embed" ProgID="Equation.DSMT4" ShapeID="_x0000_i5029" DrawAspect="Content" ObjectID="_1791378973" r:id="rId8057"/>
        </w:object>
      </w:r>
    </w:p>
    <w:p w14:paraId="382CF83A" w14:textId="77777777" w:rsidR="00411620" w:rsidRPr="00D94694" w:rsidRDefault="00411620" w:rsidP="00411620">
      <w:pPr>
        <w:spacing w:line="216" w:lineRule="auto"/>
        <w:rPr>
          <w:i/>
          <w:sz w:val="23"/>
          <w:szCs w:val="23"/>
          <w:rtl/>
        </w:rPr>
      </w:pPr>
      <w:r w:rsidRPr="00D94694">
        <w:rPr>
          <w:rFonts w:hint="cs"/>
          <w:i/>
          <w:sz w:val="23"/>
          <w:szCs w:val="23"/>
          <w:rtl/>
        </w:rPr>
        <w:t xml:space="preserve">از معادلات (۱۱. ۵۲) و (۱۱. ۵۷) حداکثر ارزش </w:t>
      </w:r>
      <w:r w:rsidRPr="00D94694">
        <w:rPr>
          <w:position w:val="-12"/>
        </w:rPr>
        <w:object w:dxaOrig="920" w:dyaOrig="360" w14:anchorId="5E44B533">
          <v:shape id="_x0000_i5030" type="#_x0000_t75" style="width:46pt;height:18.15pt" o:ole="">
            <v:imagedata r:id="rId8058" o:title=""/>
          </v:shape>
          <o:OLEObject Type="Embed" ProgID="Equation.DSMT4" ShapeID="_x0000_i5030" DrawAspect="Content" ObjectID="_1791378974" r:id="rId8059"/>
        </w:object>
      </w:r>
      <w:r w:rsidRPr="00D94694">
        <w:rPr>
          <w:rFonts w:hint="cs"/>
          <w:i/>
          <w:sz w:val="23"/>
          <w:szCs w:val="23"/>
          <w:rtl/>
        </w:rPr>
        <w:t>تقریباً برابر است با</w:t>
      </w:r>
    </w:p>
    <w:p w14:paraId="303B8CA8" w14:textId="77777777" w:rsidR="00411620" w:rsidRDefault="00411620" w:rsidP="00411620">
      <w:pPr>
        <w:bidi w:val="0"/>
        <w:spacing w:line="216" w:lineRule="auto"/>
        <w:rPr>
          <w:rtl/>
        </w:rPr>
      </w:pPr>
      <w:r w:rsidRPr="004B0470">
        <w:rPr>
          <w:position w:val="-36"/>
        </w:rPr>
        <w:object w:dxaOrig="4300" w:dyaOrig="820" w14:anchorId="0CE84417">
          <v:shape id="_x0000_i5031" type="#_x0000_t75" style="width:214.8pt;height:41.15pt" o:ole="">
            <v:imagedata r:id="rId8060" o:title=""/>
          </v:shape>
          <o:OLEObject Type="Embed" ProgID="Equation.DSMT4" ShapeID="_x0000_i5031" DrawAspect="Content" ObjectID="_1791378975" r:id="rId8061"/>
        </w:object>
      </w:r>
    </w:p>
    <w:p w14:paraId="778FDCB9" w14:textId="77777777" w:rsidR="00411620" w:rsidRDefault="00411620" w:rsidP="00411620">
      <w:pPr>
        <w:bidi w:val="0"/>
        <w:spacing w:line="216" w:lineRule="auto"/>
        <w:rPr>
          <w:rtl/>
        </w:rPr>
      </w:pPr>
      <w:r w:rsidRPr="004B0470">
        <w:rPr>
          <w:position w:val="-52"/>
        </w:rPr>
        <w:object w:dxaOrig="4000" w:dyaOrig="1140" w14:anchorId="4588E2AC">
          <v:shape id="_x0000_i5032" type="#_x0000_t75" style="width:199.65pt;height:56.85pt" o:ole="">
            <v:imagedata r:id="rId8062" o:title=""/>
          </v:shape>
          <o:OLEObject Type="Embed" ProgID="Equation.DSMT4" ShapeID="_x0000_i5032" DrawAspect="Content" ObjectID="_1791378976" r:id="rId8063"/>
        </w:object>
      </w:r>
    </w:p>
    <w:p w14:paraId="6513A149" w14:textId="77777777" w:rsidR="00411620" w:rsidRPr="00D94694" w:rsidRDefault="00411620" w:rsidP="00411620">
      <w:pPr>
        <w:bidi w:val="0"/>
        <w:spacing w:line="216" w:lineRule="auto"/>
        <w:rPr>
          <w:i/>
          <w:sz w:val="23"/>
          <w:szCs w:val="23"/>
        </w:rPr>
      </w:pPr>
      <w:r w:rsidRPr="004B0470">
        <w:rPr>
          <w:position w:val="-54"/>
        </w:rPr>
        <w:object w:dxaOrig="4080" w:dyaOrig="1180" w14:anchorId="2F6CC2CB">
          <v:shape id="_x0000_i5033" type="#_x0000_t75" style="width:203.9pt;height:58.7pt" o:ole="">
            <v:imagedata r:id="rId8064" o:title=""/>
          </v:shape>
          <o:OLEObject Type="Embed" ProgID="Equation.DSMT4" ShapeID="_x0000_i5033" DrawAspect="Content" ObjectID="_1791378977" r:id="rId8065"/>
        </w:object>
      </w:r>
    </w:p>
    <w:p w14:paraId="3D1F65EE" w14:textId="77777777" w:rsidR="00411620" w:rsidRPr="00D94694" w:rsidRDefault="00411620" w:rsidP="00411620">
      <w:pPr>
        <w:spacing w:line="216" w:lineRule="auto"/>
        <w:rPr>
          <w:i/>
          <w:sz w:val="23"/>
          <w:szCs w:val="23"/>
          <w:rtl/>
        </w:rPr>
      </w:pPr>
      <w:r w:rsidRPr="00D94694">
        <w:rPr>
          <w:rFonts w:hint="cs"/>
          <w:i/>
          <w:sz w:val="23"/>
          <w:szCs w:val="23"/>
          <w:rtl/>
        </w:rPr>
        <w:t xml:space="preserve">که در آن </w:t>
      </w:r>
      <w:r w:rsidRPr="00D94694">
        <w:rPr>
          <w:position w:val="-10"/>
        </w:rPr>
        <w:object w:dxaOrig="240" w:dyaOrig="320" w14:anchorId="7A79A535">
          <v:shape id="_x0000_i5034" type="#_x0000_t75" style="width:12.1pt;height:15.75pt" o:ole="">
            <v:imagedata r:id="rId8066" o:title=""/>
          </v:shape>
          <o:OLEObject Type="Embed" ProgID="Equation.DSMT4" ShapeID="_x0000_i5034" DrawAspect="Content" ObjectID="_1791378978" r:id="rId8067"/>
        </w:object>
      </w:r>
      <w:r w:rsidRPr="00D94694">
        <w:rPr>
          <w:rFonts w:hint="cs"/>
          <w:i/>
          <w:sz w:val="23"/>
          <w:szCs w:val="23"/>
          <w:rtl/>
        </w:rPr>
        <w:t xml:space="preserve"> یا پاداش ریسک برابر است با</w:t>
      </w:r>
    </w:p>
    <w:p w14:paraId="78963153" w14:textId="77777777" w:rsidR="00411620" w:rsidRPr="00D94694" w:rsidRDefault="00411620" w:rsidP="00411620">
      <w:pPr>
        <w:bidi w:val="0"/>
        <w:spacing w:line="216" w:lineRule="auto"/>
        <w:rPr>
          <w:i/>
          <w:sz w:val="23"/>
          <w:szCs w:val="23"/>
        </w:rPr>
      </w:pPr>
      <w:r w:rsidRPr="00D94694">
        <w:rPr>
          <w:position w:val="-16"/>
        </w:rPr>
        <w:object w:dxaOrig="5260" w:dyaOrig="420" w14:anchorId="27C3DCB0">
          <v:shape id="_x0000_i5035" type="#_x0000_t75" style="width:263.2pt;height:21.2pt" o:ole="">
            <v:imagedata r:id="rId8068" o:title=""/>
          </v:shape>
          <o:OLEObject Type="Embed" ProgID="Equation.DSMT4" ShapeID="_x0000_i5035" DrawAspect="Content" ObjectID="_1791378979" r:id="rId8069"/>
        </w:object>
      </w:r>
    </w:p>
    <w:p w14:paraId="34EF4380" w14:textId="77777777" w:rsidR="00411620" w:rsidRPr="00D94694" w:rsidRDefault="00411620" w:rsidP="00411620">
      <w:pPr>
        <w:spacing w:line="216" w:lineRule="auto"/>
        <w:rPr>
          <w:i/>
          <w:sz w:val="23"/>
          <w:szCs w:val="23"/>
          <w:rtl/>
        </w:rPr>
      </w:pPr>
      <w:r w:rsidRPr="00D94694">
        <w:rPr>
          <w:rFonts w:hint="cs"/>
          <w:i/>
          <w:sz w:val="23"/>
          <w:szCs w:val="23"/>
          <w:rtl/>
        </w:rPr>
        <w:t>با افزایش ریسک، مطلوبیت انتظاری به صورت زیر تغییر خواهد کرد</w:t>
      </w:r>
    </w:p>
    <w:p w14:paraId="59FD5333" w14:textId="77777777" w:rsidR="00411620" w:rsidRPr="00D94694" w:rsidRDefault="00411620" w:rsidP="00411620">
      <w:pPr>
        <w:bidi w:val="0"/>
        <w:spacing w:line="216" w:lineRule="auto"/>
        <w:rPr>
          <w:i/>
          <w:sz w:val="23"/>
          <w:szCs w:val="23"/>
        </w:rPr>
      </w:pPr>
      <w:r w:rsidRPr="00D94694">
        <w:rPr>
          <w:position w:val="-40"/>
        </w:rPr>
        <w:object w:dxaOrig="4000" w:dyaOrig="900" w14:anchorId="1FF61E49">
          <v:shape id="_x0000_i5036" type="#_x0000_t75" style="width:199.65pt;height:45.4pt" o:ole="">
            <v:imagedata r:id="rId8070" o:title=""/>
          </v:shape>
          <o:OLEObject Type="Embed" ProgID="Equation.DSMT4" ShapeID="_x0000_i5036" DrawAspect="Content" ObjectID="_1791378980" r:id="rId8071"/>
        </w:object>
      </w:r>
    </w:p>
    <w:p w14:paraId="666DB33A" w14:textId="77777777" w:rsidR="00411620" w:rsidRPr="00D94694" w:rsidRDefault="00411620" w:rsidP="00411620">
      <w:pPr>
        <w:spacing w:line="216" w:lineRule="auto"/>
        <w:rPr>
          <w:i/>
          <w:sz w:val="23"/>
          <w:szCs w:val="23"/>
          <w:rtl/>
        </w:rPr>
      </w:pPr>
      <w:r w:rsidRPr="00D94694">
        <w:rPr>
          <w:rFonts w:hint="cs"/>
          <w:i/>
          <w:sz w:val="23"/>
          <w:szCs w:val="23"/>
          <w:rtl/>
        </w:rPr>
        <w:t xml:space="preserve">اگرچه علامت رابطه‌ی فوق محتملاً مبهم است ولی چنانچه </w:t>
      </w:r>
      <w:r w:rsidRPr="00D94694">
        <w:rPr>
          <w:position w:val="-10"/>
        </w:rPr>
        <w:object w:dxaOrig="240" w:dyaOrig="340" w14:anchorId="3FF4A1E6">
          <v:shape id="_x0000_i5037" type="#_x0000_t75" style="width:12.1pt;height:16.95pt" o:ole="">
            <v:imagedata r:id="rId8072" o:title=""/>
          </v:shape>
          <o:OLEObject Type="Embed" ProgID="Equation.DSMT4" ShapeID="_x0000_i5037" DrawAspect="Content" ObjectID="_1791378981" r:id="rId8073"/>
        </w:object>
      </w:r>
      <w:r w:rsidRPr="00D94694">
        <w:rPr>
          <w:rFonts w:hint="cs"/>
          <w:i/>
          <w:sz w:val="23"/>
          <w:szCs w:val="23"/>
          <w:rtl/>
        </w:rPr>
        <w:t xml:space="preserve"> و </w:t>
      </w:r>
      <w:r w:rsidRPr="00D94694">
        <w:rPr>
          <w:position w:val="-10"/>
        </w:rPr>
        <w:object w:dxaOrig="240" w:dyaOrig="320" w14:anchorId="26F3C40E">
          <v:shape id="_x0000_i5038" type="#_x0000_t75" style="width:12.1pt;height:15.75pt" o:ole="">
            <v:imagedata r:id="rId8074" o:title=""/>
          </v:shape>
          <o:OLEObject Type="Embed" ProgID="Equation.DSMT4" ShapeID="_x0000_i5038" DrawAspect="Content" ObjectID="_1791378982" r:id="rId8075"/>
        </w:object>
      </w:r>
      <w:r w:rsidRPr="00D94694">
        <w:rPr>
          <w:i/>
          <w:sz w:val="23"/>
          <w:szCs w:val="23"/>
        </w:rPr>
        <w:t xml:space="preserve"> </w:t>
      </w:r>
      <w:r w:rsidRPr="00D94694">
        <w:rPr>
          <w:rFonts w:hint="cs"/>
          <w:i/>
          <w:sz w:val="23"/>
          <w:szCs w:val="23"/>
          <w:rtl/>
        </w:rPr>
        <w:t>کوچک باشند آنگاه علامت این رابطه منفی خواهد شد. بنابراین، یک افزایش در ریسک ممکن است مطلوبیت را کاهش دهد.</w:t>
      </w:r>
    </w:p>
    <w:p w14:paraId="1981A0E6" w14:textId="77777777" w:rsidR="00411620" w:rsidRPr="00D94694" w:rsidRDefault="00411620" w:rsidP="00411620">
      <w:pPr>
        <w:tabs>
          <w:tab w:val="left" w:pos="2340"/>
        </w:tabs>
        <w:spacing w:line="216" w:lineRule="auto"/>
        <w:rPr>
          <w:i/>
          <w:sz w:val="23"/>
          <w:szCs w:val="23"/>
          <w:rtl/>
        </w:rPr>
      </w:pPr>
      <w:r w:rsidRPr="00D94694">
        <w:rPr>
          <w:i/>
          <w:sz w:val="23"/>
          <w:szCs w:val="23"/>
          <w:rtl/>
        </w:rPr>
        <w:tab/>
      </w:r>
    </w:p>
    <w:p w14:paraId="1D064F74" w14:textId="77777777" w:rsidR="00411620" w:rsidRPr="00D94694" w:rsidRDefault="00411620" w:rsidP="00411620">
      <w:pPr>
        <w:spacing w:line="216" w:lineRule="auto"/>
        <w:rPr>
          <w:bCs/>
          <w:i/>
          <w:sz w:val="23"/>
          <w:szCs w:val="23"/>
        </w:rPr>
      </w:pPr>
      <w:r w:rsidRPr="00D94694">
        <w:rPr>
          <w:rFonts w:hint="cs"/>
          <w:bCs/>
          <w:i/>
          <w:sz w:val="23"/>
          <w:szCs w:val="23"/>
          <w:rtl/>
        </w:rPr>
        <w:t>۱۱. ۷. ۱ مدل قیمت‌گذاری سرمایه-دارایی</w:t>
      </w:r>
      <w:r w:rsidRPr="00D94694">
        <w:rPr>
          <w:rStyle w:val="FootnoteReference"/>
          <w:rFonts w:eastAsiaTheme="majorEastAsia"/>
          <w:bCs/>
          <w:i/>
          <w:sz w:val="23"/>
          <w:szCs w:val="23"/>
          <w:rtl/>
        </w:rPr>
        <w:footnoteReference w:id="255"/>
      </w:r>
      <w:r w:rsidRPr="00D94694">
        <w:rPr>
          <w:rFonts w:hint="cs"/>
          <w:bCs/>
          <w:i/>
          <w:sz w:val="23"/>
          <w:szCs w:val="23"/>
          <w:rtl/>
        </w:rPr>
        <w:t xml:space="preserve">، </w:t>
      </w:r>
      <w:r w:rsidRPr="00D94694">
        <w:rPr>
          <w:bCs/>
          <w:i/>
          <w:sz w:val="23"/>
          <w:szCs w:val="23"/>
        </w:rPr>
        <w:t>CAPM</w:t>
      </w:r>
    </w:p>
    <w:p w14:paraId="1622DBF3" w14:textId="77777777" w:rsidR="00411620" w:rsidRPr="00D94694" w:rsidRDefault="00411620" w:rsidP="00411620">
      <w:pPr>
        <w:spacing w:line="216" w:lineRule="auto"/>
        <w:rPr>
          <w:i/>
          <w:sz w:val="23"/>
          <w:szCs w:val="23"/>
          <w:rtl/>
        </w:rPr>
      </w:pPr>
      <w:r w:rsidRPr="00D94694">
        <w:rPr>
          <w:rFonts w:hint="cs"/>
          <w:i/>
          <w:sz w:val="23"/>
          <w:szCs w:val="23"/>
          <w:rtl/>
        </w:rPr>
        <w:t>مدل قیمت‌گذاری سرمایه-دارایی شارپ</w:t>
      </w:r>
      <w:r w:rsidRPr="00D94694">
        <w:rPr>
          <w:rStyle w:val="FootnoteReference"/>
          <w:rFonts w:eastAsiaTheme="majorEastAsia"/>
          <w:i/>
          <w:sz w:val="23"/>
          <w:szCs w:val="23"/>
          <w:rtl/>
        </w:rPr>
        <w:footnoteReference w:id="256"/>
      </w:r>
      <w:r w:rsidRPr="00D94694">
        <w:rPr>
          <w:rFonts w:hint="cs"/>
          <w:i/>
          <w:sz w:val="23"/>
          <w:szCs w:val="23"/>
          <w:rtl/>
        </w:rPr>
        <w:t>، لینتنر</w:t>
      </w:r>
      <w:r w:rsidRPr="00D94694">
        <w:rPr>
          <w:rStyle w:val="FootnoteReference"/>
          <w:rFonts w:eastAsiaTheme="majorEastAsia"/>
          <w:i/>
          <w:sz w:val="23"/>
          <w:szCs w:val="23"/>
          <w:rtl/>
        </w:rPr>
        <w:footnoteReference w:id="257"/>
      </w:r>
      <w:r w:rsidRPr="00D94694">
        <w:rPr>
          <w:rFonts w:hint="cs"/>
          <w:i/>
          <w:sz w:val="23"/>
          <w:szCs w:val="23"/>
          <w:rtl/>
        </w:rPr>
        <w:t xml:space="preserve"> و موسین</w:t>
      </w:r>
      <w:r w:rsidRPr="00D94694">
        <w:rPr>
          <w:rStyle w:val="FootnoteReference"/>
          <w:rFonts w:eastAsiaTheme="majorEastAsia"/>
          <w:i/>
          <w:sz w:val="23"/>
          <w:szCs w:val="23"/>
          <w:rtl/>
        </w:rPr>
        <w:footnoteReference w:id="258"/>
      </w:r>
      <w:r w:rsidRPr="00D94694">
        <w:rPr>
          <w:rFonts w:hint="cs"/>
          <w:i/>
          <w:sz w:val="23"/>
          <w:szCs w:val="23"/>
          <w:rtl/>
        </w:rPr>
        <w:t xml:space="preserve"> حالت خاصی از معادله‌ی (۱۱. ۵۳) است که فرض می‌کند هر سرمایه‌گذار بازار یکسان و به تبع آن پرتفوی یکسان را نگهداری ‌کند. در نتیجه</w:t>
      </w:r>
      <w:r w:rsidRPr="00D94694">
        <w:rPr>
          <w:position w:val="-10"/>
        </w:rPr>
        <w:object w:dxaOrig="320" w:dyaOrig="340" w14:anchorId="70B51C35">
          <v:shape id="_x0000_i5039" type="#_x0000_t75" style="width:15.75pt;height:16.95pt" o:ole="">
            <v:imagedata r:id="rId8076" o:title=""/>
          </v:shape>
          <o:OLEObject Type="Embed" ProgID="Equation.DSMT4" ShapeID="_x0000_i5039" DrawAspect="Content" ObjectID="_1791378983" r:id="rId8077"/>
        </w:object>
      </w:r>
      <w:r w:rsidRPr="00D94694">
        <w:rPr>
          <w:rFonts w:hint="cs"/>
          <w:i/>
          <w:sz w:val="23"/>
          <w:szCs w:val="23"/>
          <w:rtl/>
        </w:rPr>
        <w:t xml:space="preserve"> </w:t>
      </w:r>
    </w:p>
    <w:p w14:paraId="525CC5B4" w14:textId="77777777" w:rsidR="00411620" w:rsidRPr="00D94694" w:rsidRDefault="00411620" w:rsidP="00411620">
      <w:pPr>
        <w:spacing w:line="216" w:lineRule="auto"/>
        <w:rPr>
          <w:i/>
          <w:sz w:val="23"/>
          <w:szCs w:val="23"/>
          <w:rtl/>
        </w:rPr>
      </w:pPr>
      <w:r w:rsidRPr="00D94694">
        <w:rPr>
          <w:rFonts w:hint="cs"/>
          <w:i/>
          <w:sz w:val="23"/>
          <w:szCs w:val="23"/>
          <w:rtl/>
        </w:rPr>
        <w:t>برابر با بازدهی بازار یعنی</w:t>
      </w:r>
      <w:r w:rsidRPr="00D94694">
        <w:rPr>
          <w:position w:val="-10"/>
        </w:rPr>
        <w:object w:dxaOrig="320" w:dyaOrig="340" w14:anchorId="6F081643">
          <v:shape id="_x0000_i5040" type="#_x0000_t75" style="width:15.75pt;height:16.95pt" o:ole="">
            <v:imagedata r:id="rId8078" o:title=""/>
          </v:shape>
          <o:OLEObject Type="Embed" ProgID="Equation.DSMT4" ShapeID="_x0000_i5040" DrawAspect="Content" ObjectID="_1791378984" r:id="rId8079"/>
        </w:object>
      </w:r>
      <w:r w:rsidRPr="00D94694">
        <w:rPr>
          <w:rFonts w:hint="cs"/>
          <w:i/>
          <w:sz w:val="23"/>
          <w:szCs w:val="23"/>
          <w:rtl/>
        </w:rPr>
        <w:t xml:space="preserve"> خواهد بود. بنابراین</w:t>
      </w:r>
    </w:p>
    <w:p w14:paraId="4C196EB8" w14:textId="77777777" w:rsidR="00411620" w:rsidRPr="00D94694" w:rsidRDefault="00411620" w:rsidP="00411620">
      <w:pPr>
        <w:bidi w:val="0"/>
        <w:spacing w:line="216" w:lineRule="auto"/>
        <w:rPr>
          <w:i/>
          <w:sz w:val="23"/>
          <w:szCs w:val="23"/>
        </w:rPr>
      </w:pPr>
      <w:r w:rsidRPr="00D94694">
        <w:rPr>
          <w:position w:val="-34"/>
        </w:rPr>
        <w:object w:dxaOrig="3760" w:dyaOrig="780" w14:anchorId="244AEFAB">
          <v:shape id="_x0000_i5041" type="#_x0000_t75" style="width:188.15pt;height:39.35pt" o:ole="">
            <v:imagedata r:id="rId8080" o:title=""/>
          </v:shape>
          <o:OLEObject Type="Embed" ProgID="Equation.DSMT4" ShapeID="_x0000_i5041" DrawAspect="Content" ObjectID="_1791378985" r:id="rId8081"/>
        </w:object>
      </w:r>
    </w:p>
    <w:p w14:paraId="06B96B01" w14:textId="77777777" w:rsidR="00411620" w:rsidRPr="00D94694" w:rsidRDefault="00411620" w:rsidP="00411620">
      <w:pPr>
        <w:spacing w:line="216" w:lineRule="auto"/>
        <w:rPr>
          <w:i/>
          <w:sz w:val="23"/>
          <w:szCs w:val="23"/>
          <w:rtl/>
        </w:rPr>
      </w:pPr>
      <w:r w:rsidRPr="00D94694">
        <w:rPr>
          <w:rFonts w:hint="cs"/>
          <w:i/>
          <w:sz w:val="23"/>
          <w:szCs w:val="23"/>
          <w:rtl/>
        </w:rPr>
        <w:t xml:space="preserve">و برای دارایی ریسکی </w:t>
      </w:r>
      <w:proofErr w:type="spellStart"/>
      <w:r w:rsidRPr="00D94694">
        <w:rPr>
          <w:i/>
          <w:sz w:val="23"/>
          <w:szCs w:val="23"/>
        </w:rPr>
        <w:t>i</w:t>
      </w:r>
      <w:proofErr w:type="spellEnd"/>
      <w:r w:rsidRPr="00D94694">
        <w:rPr>
          <w:rFonts w:hint="cs"/>
          <w:i/>
          <w:sz w:val="23"/>
          <w:szCs w:val="23"/>
          <w:rtl/>
        </w:rPr>
        <w:t>ام خواهیم داشت</w:t>
      </w:r>
    </w:p>
    <w:p w14:paraId="124AB6E5" w14:textId="77777777" w:rsidR="00411620" w:rsidRPr="00D94694" w:rsidRDefault="00411620" w:rsidP="00411620">
      <w:pPr>
        <w:bidi w:val="0"/>
        <w:spacing w:line="216" w:lineRule="auto"/>
        <w:rPr>
          <w:i/>
          <w:sz w:val="23"/>
          <w:szCs w:val="23"/>
          <w:rtl/>
        </w:rPr>
      </w:pPr>
      <w:r w:rsidRPr="00D94694">
        <w:rPr>
          <w:position w:val="-34"/>
        </w:rPr>
        <w:object w:dxaOrig="5220" w:dyaOrig="780" w14:anchorId="69D9392D">
          <v:shape id="_x0000_i5042" type="#_x0000_t75" style="width:260.75pt;height:39.35pt" o:ole="">
            <v:imagedata r:id="rId8082" o:title=""/>
          </v:shape>
          <o:OLEObject Type="Embed" ProgID="Equation.DSMT4" ShapeID="_x0000_i5042" DrawAspect="Content" ObjectID="_1791378986" r:id="rId8083"/>
        </w:object>
      </w:r>
      <w:r w:rsidRPr="00D94694">
        <w:rPr>
          <w:i/>
          <w:sz w:val="23"/>
          <w:szCs w:val="23"/>
        </w:rPr>
        <w:tab/>
      </w:r>
      <w:r>
        <w:rPr>
          <w:i/>
          <w:sz w:val="23"/>
          <w:szCs w:val="23"/>
          <w:rtl/>
        </w:rPr>
        <w:tab/>
      </w:r>
      <w:r w:rsidRPr="00D94694">
        <w:rPr>
          <w:i/>
          <w:sz w:val="23"/>
          <w:szCs w:val="23"/>
        </w:rPr>
        <w:tab/>
      </w:r>
      <w:r w:rsidRPr="00D94694">
        <w:rPr>
          <w:rFonts w:hint="cs"/>
          <w:i/>
          <w:sz w:val="23"/>
          <w:szCs w:val="23"/>
          <w:rtl/>
        </w:rPr>
        <w:t>(۱۱. ۵۸)</w:t>
      </w:r>
      <w:r w:rsidRPr="00D94694">
        <w:rPr>
          <w:rFonts w:hint="cs"/>
          <w:i/>
          <w:sz w:val="23"/>
          <w:szCs w:val="23"/>
        </w:rPr>
        <w:t xml:space="preserve"> </w:t>
      </w:r>
    </w:p>
    <w:p w14:paraId="57572524" w14:textId="77777777" w:rsidR="00411620" w:rsidRPr="00D94694" w:rsidRDefault="00411620" w:rsidP="00411620">
      <w:pPr>
        <w:spacing w:line="216" w:lineRule="auto"/>
        <w:rPr>
          <w:i/>
          <w:sz w:val="23"/>
          <w:szCs w:val="23"/>
          <w:rtl/>
        </w:rPr>
      </w:pPr>
      <w:r w:rsidRPr="00D94694">
        <w:rPr>
          <w:rFonts w:hint="cs"/>
          <w:i/>
          <w:sz w:val="23"/>
          <w:szCs w:val="23"/>
          <w:rtl/>
        </w:rPr>
        <w:t>که در آن</w:t>
      </w:r>
      <w:r w:rsidRPr="00D94694">
        <w:rPr>
          <w:position w:val="-10"/>
        </w:rPr>
        <w:object w:dxaOrig="279" w:dyaOrig="320" w14:anchorId="4D736D2E">
          <v:shape id="_x0000_i5043" type="#_x0000_t75" style="width:13.9pt;height:15.75pt" o:ole="">
            <v:imagedata r:id="rId8084" o:title=""/>
          </v:shape>
          <o:OLEObject Type="Embed" ProgID="Equation.DSMT4" ShapeID="_x0000_i5043" DrawAspect="Content" ObjectID="_1791378987" r:id="rId8085"/>
        </w:object>
      </w:r>
      <w:r w:rsidRPr="00D94694">
        <w:rPr>
          <w:rFonts w:hint="cs"/>
          <w:i/>
          <w:sz w:val="23"/>
          <w:szCs w:val="23"/>
          <w:rtl/>
        </w:rPr>
        <w:t xml:space="preserve"> ضریب بتای بازار برای دارایی </w:t>
      </w:r>
      <w:proofErr w:type="spellStart"/>
      <w:r w:rsidRPr="00D94694">
        <w:rPr>
          <w:i/>
          <w:sz w:val="23"/>
          <w:szCs w:val="23"/>
        </w:rPr>
        <w:t>i</w:t>
      </w:r>
      <w:proofErr w:type="spellEnd"/>
      <w:r w:rsidRPr="00D94694">
        <w:rPr>
          <w:rFonts w:hint="cs"/>
          <w:i/>
          <w:sz w:val="23"/>
          <w:szCs w:val="23"/>
          <w:rtl/>
        </w:rPr>
        <w:t>ام بوده و برابر است با</w:t>
      </w:r>
    </w:p>
    <w:p w14:paraId="4538A786" w14:textId="77777777" w:rsidR="00411620" w:rsidRPr="00D94694" w:rsidRDefault="00411620" w:rsidP="00411620">
      <w:pPr>
        <w:bidi w:val="0"/>
        <w:spacing w:line="216" w:lineRule="auto"/>
        <w:rPr>
          <w:i/>
          <w:sz w:val="23"/>
          <w:szCs w:val="23"/>
          <w:rtl/>
        </w:rPr>
      </w:pPr>
      <w:r w:rsidRPr="00D94694">
        <w:rPr>
          <w:position w:val="-34"/>
        </w:rPr>
        <w:object w:dxaOrig="1840" w:dyaOrig="780" w14:anchorId="603064E3">
          <v:shape id="_x0000_i5044" type="#_x0000_t75" style="width:91.95pt;height:39.35pt" o:ole="">
            <v:imagedata r:id="rId8086" o:title=""/>
          </v:shape>
          <o:OLEObject Type="Embed" ProgID="Equation.DSMT4" ShapeID="_x0000_i5044" DrawAspect="Content" ObjectID="_1791378988" r:id="rId8087"/>
        </w:object>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Pr>
          <w:i/>
          <w:sz w:val="23"/>
          <w:szCs w:val="23"/>
          <w:rtl/>
        </w:rPr>
        <w:tab/>
      </w:r>
      <w:r w:rsidRPr="00D94694">
        <w:rPr>
          <w:i/>
          <w:sz w:val="23"/>
          <w:szCs w:val="23"/>
          <w:rtl/>
        </w:rPr>
        <w:tab/>
      </w:r>
      <w:r w:rsidRPr="00D94694">
        <w:rPr>
          <w:i/>
          <w:sz w:val="23"/>
          <w:szCs w:val="23"/>
        </w:rPr>
        <w:tab/>
      </w:r>
      <w:r w:rsidRPr="00D94694">
        <w:rPr>
          <w:i/>
          <w:sz w:val="23"/>
          <w:szCs w:val="23"/>
        </w:rPr>
        <w:tab/>
      </w:r>
      <w:r w:rsidRPr="00D94694">
        <w:rPr>
          <w:rFonts w:hint="cs"/>
          <w:i/>
          <w:sz w:val="23"/>
          <w:szCs w:val="23"/>
          <w:rtl/>
        </w:rPr>
        <w:t>(۱۱. ۵۹)</w:t>
      </w:r>
      <w:r w:rsidRPr="00D94694">
        <w:rPr>
          <w:rFonts w:hint="cs"/>
          <w:i/>
          <w:sz w:val="23"/>
          <w:szCs w:val="23"/>
        </w:rPr>
        <w:t xml:space="preserve"> </w:t>
      </w:r>
    </w:p>
    <w:p w14:paraId="297FAA87" w14:textId="77777777" w:rsidR="00411620" w:rsidRPr="00D94694" w:rsidRDefault="00411620" w:rsidP="00411620">
      <w:pPr>
        <w:spacing w:line="216" w:lineRule="auto"/>
        <w:rPr>
          <w:i/>
          <w:sz w:val="23"/>
          <w:szCs w:val="23"/>
          <w:rtl/>
        </w:rPr>
      </w:pPr>
      <w:r w:rsidRPr="00D94694">
        <w:rPr>
          <w:rFonts w:hint="cs"/>
          <w:i/>
          <w:sz w:val="23"/>
          <w:szCs w:val="23"/>
          <w:rtl/>
        </w:rPr>
        <w:t>بنابراین معادله‌ی (۱۱. ۵۸) توضیح دیگری برای پاداش ریسک است، و نشان می‌دهد مازاد بازدهی انتظاری در یک دارایی ریسکی متناسب است با مازاد بازدهی انتظاری پرتفوی بازار. ضمناً ضریب نسبت</w:t>
      </w:r>
      <w:r w:rsidRPr="00D94694">
        <w:rPr>
          <w:position w:val="-10"/>
        </w:rPr>
        <w:object w:dxaOrig="279" w:dyaOrig="320" w14:anchorId="3B9B36E0">
          <v:shape id="_x0000_i5045" type="#_x0000_t75" style="width:13.9pt;height:15.75pt" o:ole="">
            <v:imagedata r:id="rId8088" o:title=""/>
          </v:shape>
          <o:OLEObject Type="Embed" ProgID="Equation.DSMT4" ShapeID="_x0000_i5045" DrawAspect="Content" ObjectID="_1791378989" r:id="rId8089"/>
        </w:object>
      </w:r>
      <w:r w:rsidRPr="00D94694">
        <w:rPr>
          <w:rFonts w:hint="cs"/>
          <w:i/>
          <w:sz w:val="23"/>
          <w:szCs w:val="23"/>
          <w:rtl/>
        </w:rPr>
        <w:t xml:space="preserve"> هم در طی زمان و هم در بین دارایی‌ها تغییر می‌کند. ضریب </w:t>
      </w:r>
      <w:r w:rsidRPr="00D94694">
        <w:rPr>
          <w:position w:val="-10"/>
        </w:rPr>
        <w:object w:dxaOrig="279" w:dyaOrig="320" w14:anchorId="4C95041E">
          <v:shape id="_x0000_i5046" type="#_x0000_t75" style="width:13.9pt;height:15.75pt" o:ole="">
            <v:imagedata r:id="rId8090" o:title=""/>
          </v:shape>
          <o:OLEObject Type="Embed" ProgID="Equation.DSMT4" ShapeID="_x0000_i5046" DrawAspect="Content" ObjectID="_1791378990" r:id="rId8091"/>
        </w:object>
      </w:r>
      <w:r w:rsidRPr="00D94694">
        <w:rPr>
          <w:rFonts w:hint="cs"/>
          <w:i/>
          <w:sz w:val="23"/>
          <w:szCs w:val="23"/>
          <w:rtl/>
        </w:rPr>
        <w:t xml:space="preserve"> برای دارایی بدون ریسک برابر با صفر است و برای پرتفوی بازار برابر است با یک. لذا در مدل </w:t>
      </w:r>
      <w:r w:rsidRPr="00D94694">
        <w:rPr>
          <w:i/>
          <w:sz w:val="23"/>
          <w:szCs w:val="23"/>
        </w:rPr>
        <w:t>CAPM</w:t>
      </w:r>
      <w:r w:rsidRPr="00D94694">
        <w:rPr>
          <w:rFonts w:hint="cs"/>
          <w:i/>
          <w:sz w:val="23"/>
          <w:szCs w:val="23"/>
          <w:rtl/>
        </w:rPr>
        <w:t xml:space="preserve"> سرمایه‌گذار یا یک واحد از دارایی </w:t>
      </w:r>
      <w:proofErr w:type="spellStart"/>
      <w:r w:rsidRPr="00D94694">
        <w:rPr>
          <w:i/>
          <w:sz w:val="23"/>
          <w:szCs w:val="23"/>
        </w:rPr>
        <w:t>i</w:t>
      </w:r>
      <w:proofErr w:type="spellEnd"/>
      <w:r w:rsidRPr="00D94694">
        <w:rPr>
          <w:rFonts w:hint="cs"/>
          <w:i/>
          <w:sz w:val="23"/>
          <w:szCs w:val="23"/>
          <w:rtl/>
        </w:rPr>
        <w:t xml:space="preserve"> و یا </w:t>
      </w:r>
      <w:r w:rsidRPr="00D94694">
        <w:rPr>
          <w:position w:val="-10"/>
        </w:rPr>
        <w:object w:dxaOrig="279" w:dyaOrig="320" w14:anchorId="0BCBDD73">
          <v:shape id="_x0000_i5047" type="#_x0000_t75" style="width:13.9pt;height:15.75pt" o:ole="">
            <v:imagedata r:id="rId8092" o:title=""/>
          </v:shape>
          <o:OLEObject Type="Embed" ProgID="Equation.DSMT4" ShapeID="_x0000_i5047" DrawAspect="Content" ObjectID="_1791378991" r:id="rId8093"/>
        </w:object>
      </w:r>
      <w:r w:rsidRPr="00D94694">
        <w:rPr>
          <w:rFonts w:hint="cs"/>
          <w:i/>
          <w:sz w:val="23"/>
          <w:szCs w:val="23"/>
          <w:rtl/>
        </w:rPr>
        <w:t xml:space="preserve"> واحد از پرتفوی بازار را نگهداری کرده و در هر دو صورت مازاد بازدهی انتظاری یکسان است.</w:t>
      </w:r>
    </w:p>
    <w:p w14:paraId="21BDD7A2" w14:textId="77777777" w:rsidR="00411620" w:rsidRPr="00D94694" w:rsidRDefault="00411620" w:rsidP="00411620">
      <w:pPr>
        <w:spacing w:line="216" w:lineRule="auto"/>
        <w:rPr>
          <w:i/>
          <w:sz w:val="23"/>
          <w:szCs w:val="23"/>
          <w:rtl/>
        </w:rPr>
      </w:pPr>
      <w:r w:rsidRPr="00D94694">
        <w:rPr>
          <w:rFonts w:hint="cs"/>
          <w:i/>
          <w:sz w:val="23"/>
          <w:szCs w:val="23"/>
          <w:rtl/>
        </w:rPr>
        <w:t xml:space="preserve">نتایج فوق همچنین نشان می‌دهد </w:t>
      </w:r>
      <w:r w:rsidRPr="00D94694">
        <w:rPr>
          <w:i/>
          <w:sz w:val="23"/>
          <w:szCs w:val="23"/>
        </w:rPr>
        <w:t>CAPM</w:t>
      </w:r>
      <w:r w:rsidRPr="00D94694">
        <w:rPr>
          <w:rFonts w:hint="cs"/>
          <w:i/>
          <w:sz w:val="23"/>
          <w:szCs w:val="23"/>
          <w:rtl/>
        </w:rPr>
        <w:t xml:space="preserve"> می</w:t>
      </w:r>
      <w:r w:rsidRPr="00D94694">
        <w:rPr>
          <w:i/>
          <w:sz w:val="23"/>
          <w:szCs w:val="23"/>
          <w:rtl/>
        </w:rPr>
        <w:softHyphen/>
      </w:r>
      <w:r w:rsidRPr="00D94694">
        <w:rPr>
          <w:rFonts w:hint="cs"/>
          <w:i/>
          <w:sz w:val="23"/>
          <w:szCs w:val="23"/>
          <w:rtl/>
        </w:rPr>
        <w:t>تواند تفسیری از تعادل عمومی را ارائه دهد اگر</w:t>
      </w:r>
      <w:r w:rsidRPr="00D94694">
        <w:rPr>
          <w:position w:val="-10"/>
        </w:rPr>
        <w:object w:dxaOrig="279" w:dyaOrig="320" w14:anchorId="26FB437F">
          <v:shape id="_x0000_i5048" type="#_x0000_t75" style="width:13.9pt;height:15.75pt" o:ole="">
            <v:imagedata r:id="rId8094" o:title=""/>
          </v:shape>
          <o:OLEObject Type="Embed" ProgID="Equation.DSMT4" ShapeID="_x0000_i5048" DrawAspect="Content" ObjectID="_1791378992" r:id="rId8095"/>
        </w:object>
      </w:r>
      <w:r w:rsidRPr="00D94694">
        <w:rPr>
          <w:rFonts w:hint="cs"/>
          <w:i/>
          <w:sz w:val="23"/>
          <w:szCs w:val="23"/>
          <w:rtl/>
        </w:rPr>
        <w:t xml:space="preserve"> را همانند معادله‌ی (۱۱. ۵۹) و بازدهی پرتفو را برابر بازدهی بازار یعنی</w:t>
      </w:r>
      <w:r w:rsidRPr="00D94694">
        <w:rPr>
          <w:position w:val="-10"/>
        </w:rPr>
        <w:object w:dxaOrig="800" w:dyaOrig="340" w14:anchorId="105913E4">
          <v:shape id="_x0000_i5049" type="#_x0000_t75" style="width:39.95pt;height:16.95pt" o:ole="">
            <v:imagedata r:id="rId8096" o:title=""/>
          </v:shape>
          <o:OLEObject Type="Embed" ProgID="Equation.DSMT4" ShapeID="_x0000_i5049" DrawAspect="Content" ObjectID="_1791378993" r:id="rId8097"/>
        </w:object>
      </w:r>
      <w:r w:rsidRPr="00D94694">
        <w:rPr>
          <w:i/>
          <w:sz w:val="23"/>
          <w:szCs w:val="23"/>
        </w:rPr>
        <w:t xml:space="preserve"> </w:t>
      </w:r>
      <w:r w:rsidRPr="00D94694">
        <w:rPr>
          <w:rFonts w:hint="cs"/>
          <w:i/>
          <w:sz w:val="23"/>
          <w:szCs w:val="23"/>
          <w:rtl/>
        </w:rPr>
        <w:t>قرار دهیم به</w:t>
      </w:r>
      <w:r w:rsidRPr="00D94694">
        <w:rPr>
          <w:i/>
          <w:sz w:val="23"/>
          <w:szCs w:val="23"/>
          <w:rtl/>
        </w:rPr>
        <w:softHyphen/>
      </w:r>
      <w:r w:rsidRPr="00D94694">
        <w:rPr>
          <w:rFonts w:hint="cs"/>
          <w:i/>
          <w:sz w:val="23"/>
          <w:szCs w:val="23"/>
          <w:rtl/>
        </w:rPr>
        <w:t>گونه</w:t>
      </w:r>
      <w:r w:rsidRPr="00D94694">
        <w:rPr>
          <w:i/>
          <w:sz w:val="23"/>
          <w:szCs w:val="23"/>
          <w:rtl/>
        </w:rPr>
        <w:softHyphen/>
      </w:r>
      <w:r w:rsidRPr="00D94694">
        <w:rPr>
          <w:rFonts w:hint="cs"/>
          <w:i/>
          <w:sz w:val="23"/>
          <w:szCs w:val="23"/>
          <w:rtl/>
        </w:rPr>
        <w:t xml:space="preserve">ای که بازدهی بازار در معادله‌ی (۱۱. ۵۵) برقرار باشد. </w:t>
      </w:r>
    </w:p>
    <w:p w14:paraId="0B062C7C" w14:textId="77777777" w:rsidR="00411620" w:rsidRPr="00D94694" w:rsidRDefault="00411620" w:rsidP="00411620">
      <w:pPr>
        <w:spacing w:line="216" w:lineRule="auto"/>
        <w:rPr>
          <w:i/>
          <w:sz w:val="23"/>
          <w:szCs w:val="23"/>
          <w:rtl/>
        </w:rPr>
      </w:pPr>
    </w:p>
    <w:p w14:paraId="06E5413B" w14:textId="77777777" w:rsidR="00411620" w:rsidRPr="00D94694" w:rsidRDefault="00411620" w:rsidP="00411620">
      <w:pPr>
        <w:spacing w:line="216" w:lineRule="auto"/>
        <w:rPr>
          <w:bCs/>
          <w:i/>
          <w:sz w:val="23"/>
          <w:szCs w:val="23"/>
          <w:rtl/>
        </w:rPr>
      </w:pPr>
      <w:r w:rsidRPr="00D94694">
        <w:rPr>
          <w:rFonts w:hint="cs"/>
          <w:bCs/>
          <w:i/>
          <w:sz w:val="23"/>
          <w:szCs w:val="23"/>
          <w:rtl/>
        </w:rPr>
        <w:t xml:space="preserve">پایداری دارایی و عدم وجود آربیتراژ </w:t>
      </w:r>
    </w:p>
    <w:p w14:paraId="2404200B" w14:textId="77777777" w:rsidR="00411620" w:rsidRPr="00D94694" w:rsidRDefault="00411620" w:rsidP="00411620">
      <w:pPr>
        <w:spacing w:line="216" w:lineRule="auto"/>
        <w:rPr>
          <w:i/>
          <w:sz w:val="23"/>
          <w:szCs w:val="23"/>
          <w:rtl/>
        </w:rPr>
      </w:pPr>
      <w:r w:rsidRPr="00D94694">
        <w:rPr>
          <w:rFonts w:hint="cs"/>
          <w:i/>
          <w:sz w:val="23"/>
          <w:szCs w:val="23"/>
          <w:rtl/>
        </w:rPr>
        <w:t>اگر دارایی‌ها جانشین کامل باشند، آنگاه سرمایه‌گذار در خصوص نسبت نگهداری هر یک از دارایی</w:t>
      </w:r>
      <w:r w:rsidRPr="00D94694">
        <w:rPr>
          <w:i/>
          <w:sz w:val="23"/>
          <w:szCs w:val="23"/>
          <w:rtl/>
        </w:rPr>
        <w:softHyphen/>
      </w:r>
      <w:r w:rsidRPr="00D94694">
        <w:rPr>
          <w:rFonts w:hint="cs"/>
          <w:i/>
          <w:sz w:val="23"/>
          <w:szCs w:val="23"/>
          <w:rtl/>
        </w:rPr>
        <w:t>ها در پرتفوهای خود بی</w:t>
      </w:r>
      <w:r w:rsidRPr="00D94694">
        <w:rPr>
          <w:i/>
          <w:sz w:val="23"/>
          <w:szCs w:val="23"/>
          <w:rtl/>
        </w:rPr>
        <w:softHyphen/>
      </w:r>
      <w:r w:rsidRPr="00D94694">
        <w:rPr>
          <w:rFonts w:hint="cs"/>
          <w:i/>
          <w:sz w:val="23"/>
          <w:szCs w:val="23"/>
          <w:rtl/>
        </w:rPr>
        <w:t>تفاوت خواهد بود. شرط لازم جانشینی کامل آن است که بازدهی‌ها کاملاً همبسته باشند. اگر دارایی‌ها کاملاً همبسته نباشند، آنگاه جانشینی ناقص بوده، و تنوع در پرتفو واریانس پرتفوی بهینه را کاهش خواهد داد.</w:t>
      </w:r>
    </w:p>
    <w:p w14:paraId="4D4E14E5" w14:textId="77777777" w:rsidR="00411620" w:rsidRPr="00D94694" w:rsidRDefault="00411620" w:rsidP="00411620">
      <w:pPr>
        <w:spacing w:line="216" w:lineRule="auto"/>
        <w:rPr>
          <w:i/>
          <w:sz w:val="23"/>
          <w:szCs w:val="23"/>
          <w:rtl/>
        </w:rPr>
      </w:pPr>
      <w:r w:rsidRPr="00D94694">
        <w:rPr>
          <w:rFonts w:hint="cs"/>
          <w:i/>
          <w:sz w:val="23"/>
          <w:szCs w:val="23"/>
          <w:rtl/>
        </w:rPr>
        <w:t>مفهوم جانشینی کامل و ناقص ممکن است با مفهوم عدم وجود آربیتراژ در تقابل باشد. عدم وجود آربیتراژ نشان می‌دهد که‌ ریسک تعدیل شده بازدهی‌های دارایی انتظاری یکسان هستند. شرط عدم وجود آربیتراژ هیچ قیدی را بر همبستگی بین بازدهی</w:t>
      </w:r>
      <w:r w:rsidRPr="00D94694">
        <w:rPr>
          <w:i/>
          <w:sz w:val="23"/>
          <w:szCs w:val="23"/>
          <w:rtl/>
        </w:rPr>
        <w:softHyphen/>
      </w:r>
      <w:r w:rsidRPr="00D94694">
        <w:rPr>
          <w:rFonts w:hint="cs"/>
          <w:i/>
          <w:sz w:val="23"/>
          <w:szCs w:val="23"/>
          <w:rtl/>
        </w:rPr>
        <w:t xml:space="preserve"> دارایی</w:t>
      </w:r>
      <w:r w:rsidRPr="00D94694">
        <w:rPr>
          <w:i/>
          <w:sz w:val="23"/>
          <w:szCs w:val="23"/>
          <w:rtl/>
        </w:rPr>
        <w:softHyphen/>
      </w:r>
      <w:r w:rsidRPr="00D94694">
        <w:rPr>
          <w:rFonts w:hint="cs"/>
          <w:i/>
          <w:sz w:val="23"/>
          <w:szCs w:val="23"/>
          <w:rtl/>
        </w:rPr>
        <w:t>ها تحمیل نکرده و بنابراین نشان نمی</w:t>
      </w:r>
      <w:r w:rsidRPr="00D94694">
        <w:rPr>
          <w:i/>
          <w:sz w:val="23"/>
          <w:szCs w:val="23"/>
          <w:rtl/>
        </w:rPr>
        <w:softHyphen/>
      </w:r>
      <w:r w:rsidRPr="00D94694">
        <w:rPr>
          <w:rFonts w:hint="cs"/>
          <w:i/>
          <w:sz w:val="23"/>
          <w:szCs w:val="23"/>
          <w:rtl/>
        </w:rPr>
        <w:t>دهد که که دارایی‌ها جانشین کامل می‌باشند.</w:t>
      </w:r>
    </w:p>
    <w:p w14:paraId="4784794C" w14:textId="77777777" w:rsidR="00411620" w:rsidRPr="00D94694" w:rsidRDefault="00411620" w:rsidP="00411620">
      <w:pPr>
        <w:spacing w:line="216" w:lineRule="auto"/>
        <w:rPr>
          <w:i/>
          <w:sz w:val="23"/>
          <w:szCs w:val="23"/>
          <w:rtl/>
        </w:rPr>
      </w:pPr>
    </w:p>
    <w:p w14:paraId="402E25DC" w14:textId="77777777" w:rsidR="00411620" w:rsidRPr="00D94694" w:rsidRDefault="00411620" w:rsidP="00411620">
      <w:pPr>
        <w:pStyle w:val="Heading1"/>
        <w:spacing w:before="0" w:line="216" w:lineRule="auto"/>
        <w:rPr>
          <w:rFonts w:ascii="Times New Roman" w:hAnsi="Times New Roman" w:cs="B Nazanin"/>
          <w:b w:val="0"/>
          <w:i/>
          <w:sz w:val="23"/>
          <w:szCs w:val="23"/>
          <w:rtl/>
        </w:rPr>
      </w:pPr>
      <w:r w:rsidRPr="00D94694">
        <w:rPr>
          <w:rFonts w:ascii="Times New Roman" w:hAnsi="Times New Roman" w:cs="B Nazanin" w:hint="cs"/>
          <w:b w:val="0"/>
          <w:i/>
          <w:sz w:val="23"/>
          <w:szCs w:val="23"/>
          <w:rtl/>
        </w:rPr>
        <w:t xml:space="preserve">۱۱. ۸ مصرف در شرایط نااطمینانی </w:t>
      </w:r>
    </w:p>
    <w:p w14:paraId="456F4D2D" w14:textId="77777777" w:rsidR="00411620" w:rsidRPr="00D94694" w:rsidRDefault="00411620" w:rsidP="00411620">
      <w:pPr>
        <w:spacing w:line="216" w:lineRule="auto"/>
        <w:rPr>
          <w:i/>
          <w:sz w:val="23"/>
          <w:szCs w:val="23"/>
          <w:rtl/>
        </w:rPr>
      </w:pPr>
      <w:r w:rsidRPr="00D94694">
        <w:rPr>
          <w:rFonts w:hint="cs"/>
          <w:i/>
          <w:sz w:val="23"/>
          <w:szCs w:val="23"/>
          <w:rtl/>
        </w:rPr>
        <w:t>اکنون دلالت‌های حضور دارایی‌های ریسکی را در تصمیمات مصرف/پس‌انداز مورد بررسی قرار می‌دهیم. قبلاً با فروض پیش</w:t>
      </w:r>
      <w:r w:rsidRPr="00D94694">
        <w:rPr>
          <w:i/>
          <w:sz w:val="23"/>
          <w:szCs w:val="23"/>
          <w:rtl/>
        </w:rPr>
        <w:softHyphen/>
      </w:r>
      <w:r w:rsidRPr="00D94694">
        <w:rPr>
          <w:rFonts w:hint="cs"/>
          <w:i/>
          <w:sz w:val="23"/>
          <w:szCs w:val="23"/>
          <w:rtl/>
        </w:rPr>
        <w:t>نگری کامل، و عدم وجود نااطمینانی، بازدهی دارایی مالی در پس‌انداز، معین و داده شده بود. اکنون با فرض وجود نااطمینانی در آینده، پس‌انداز یک دارایی ریسکی است. هنگامی که دارایی ریسکی است، در تجزیه و تحلیل مصرف، ممکن است مدل مشابهی را برای تعیین مقدار مصرف همانند تعیین قیمت دارایی ریسکی بکار گرفت. بنابراین معادله‌ی (۱۱. ۳۶) را مورد استفاده قرار داده و با حل این معادله برای مصرف خواهیم داشت</w:t>
      </w:r>
    </w:p>
    <w:p w14:paraId="59F09289" w14:textId="77777777" w:rsidR="00411620" w:rsidRPr="00D94694" w:rsidRDefault="00411620" w:rsidP="00411620">
      <w:pPr>
        <w:bidi w:val="0"/>
        <w:spacing w:line="216" w:lineRule="auto"/>
        <w:rPr>
          <w:i/>
          <w:sz w:val="23"/>
          <w:szCs w:val="23"/>
          <w:rtl/>
        </w:rPr>
      </w:pPr>
      <w:r w:rsidRPr="00D94694">
        <w:rPr>
          <w:position w:val="-30"/>
        </w:rPr>
        <w:object w:dxaOrig="4260" w:dyaOrig="720" w14:anchorId="445CC082">
          <v:shape id="_x0000_i5050" type="#_x0000_t75" style="width:212.95pt;height:36.3pt" o:ole="">
            <v:imagedata r:id="rId8098" o:title=""/>
          </v:shape>
          <o:OLEObject Type="Embed" ProgID="Equation.DSMT4" ShapeID="_x0000_i5050" DrawAspect="Content" ObjectID="_1791378994" r:id="rId8099"/>
        </w:object>
      </w:r>
      <w:r w:rsidRPr="00D94694">
        <w:rPr>
          <w:i/>
          <w:sz w:val="23"/>
          <w:szCs w:val="23"/>
        </w:rPr>
        <w:tab/>
      </w:r>
      <w:r w:rsidRPr="00D94694">
        <w:rPr>
          <w:i/>
          <w:sz w:val="23"/>
          <w:szCs w:val="23"/>
        </w:rPr>
        <w:tab/>
      </w:r>
      <w:r>
        <w:rPr>
          <w:i/>
          <w:sz w:val="23"/>
          <w:szCs w:val="23"/>
          <w:rtl/>
        </w:rPr>
        <w:tab/>
      </w:r>
      <w:r>
        <w:rPr>
          <w:i/>
          <w:sz w:val="23"/>
          <w:szCs w:val="23"/>
          <w:rtl/>
        </w:rPr>
        <w:tab/>
      </w:r>
      <w:r w:rsidRPr="00D94694">
        <w:rPr>
          <w:i/>
          <w:sz w:val="23"/>
          <w:szCs w:val="23"/>
        </w:rPr>
        <w:tab/>
      </w:r>
      <w:r w:rsidRPr="00D94694">
        <w:rPr>
          <w:i/>
          <w:sz w:val="23"/>
          <w:szCs w:val="23"/>
        </w:rPr>
        <w:tab/>
      </w:r>
      <w:r w:rsidRPr="00D94694">
        <w:rPr>
          <w:rFonts w:hint="cs"/>
          <w:i/>
          <w:sz w:val="23"/>
          <w:szCs w:val="23"/>
          <w:rtl/>
        </w:rPr>
        <w:t>(۱۱.۶۰)</w:t>
      </w:r>
      <w:r w:rsidRPr="00D94694">
        <w:rPr>
          <w:rFonts w:hint="cs"/>
          <w:i/>
          <w:sz w:val="23"/>
          <w:szCs w:val="23"/>
        </w:rPr>
        <w:t xml:space="preserve"> </w:t>
      </w:r>
    </w:p>
    <w:p w14:paraId="7D326DC7" w14:textId="77777777" w:rsidR="00411620" w:rsidRPr="00D94694" w:rsidRDefault="00411620" w:rsidP="00411620">
      <w:pPr>
        <w:bidi w:val="0"/>
        <w:spacing w:line="216" w:lineRule="auto"/>
        <w:rPr>
          <w:i/>
          <w:sz w:val="23"/>
          <w:szCs w:val="23"/>
          <w:rtl/>
        </w:rPr>
      </w:pPr>
      <w:r w:rsidRPr="00D94694">
        <w:rPr>
          <w:position w:val="-28"/>
        </w:rPr>
        <w:object w:dxaOrig="4060" w:dyaOrig="740" w14:anchorId="35521B49">
          <v:shape id="_x0000_i5051" type="#_x0000_t75" style="width:203.3pt;height:36.9pt" o:ole="">
            <v:imagedata r:id="rId8100" o:title=""/>
          </v:shape>
          <o:OLEObject Type="Embed" ProgID="Equation.DSMT4" ShapeID="_x0000_i5051" DrawAspect="Content" ObjectID="_1791378995" r:id="rId8101"/>
        </w:object>
      </w:r>
      <w:r w:rsidRPr="00D94694">
        <w:rPr>
          <w:i/>
          <w:sz w:val="23"/>
          <w:szCs w:val="23"/>
        </w:rPr>
        <w:tab/>
      </w:r>
      <w:r>
        <w:rPr>
          <w:i/>
          <w:sz w:val="23"/>
          <w:szCs w:val="23"/>
          <w:rtl/>
        </w:rPr>
        <w:tab/>
      </w:r>
      <w:r>
        <w:rPr>
          <w:i/>
          <w:sz w:val="23"/>
          <w:szCs w:val="23"/>
          <w:rtl/>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rFonts w:hint="cs"/>
          <w:i/>
          <w:sz w:val="23"/>
          <w:szCs w:val="23"/>
          <w:rtl/>
        </w:rPr>
        <w:t>(۱۱. ۶۱)</w:t>
      </w:r>
      <w:r w:rsidRPr="00D94694">
        <w:rPr>
          <w:rFonts w:hint="cs"/>
          <w:i/>
          <w:sz w:val="23"/>
          <w:szCs w:val="23"/>
        </w:rPr>
        <w:t xml:space="preserve"> </w:t>
      </w:r>
    </w:p>
    <w:p w14:paraId="12AA6D99" w14:textId="77777777" w:rsidR="00411620" w:rsidRPr="00D94694" w:rsidRDefault="00411620" w:rsidP="00411620">
      <w:pPr>
        <w:spacing w:line="216" w:lineRule="auto"/>
        <w:rPr>
          <w:i/>
          <w:sz w:val="23"/>
          <w:szCs w:val="23"/>
          <w:rtl/>
        </w:rPr>
      </w:pPr>
      <w:r w:rsidRPr="00D94694">
        <w:rPr>
          <w:rFonts w:hint="cs"/>
          <w:i/>
          <w:sz w:val="23"/>
          <w:szCs w:val="23"/>
          <w:rtl/>
        </w:rPr>
        <w:t>مقایسه‌ی نتایج فوق با پیش</w:t>
      </w:r>
      <w:r w:rsidRPr="00D94694">
        <w:rPr>
          <w:i/>
          <w:sz w:val="23"/>
          <w:szCs w:val="23"/>
          <w:rtl/>
        </w:rPr>
        <w:softHyphen/>
      </w:r>
      <w:r w:rsidRPr="00D94694">
        <w:rPr>
          <w:rFonts w:hint="cs"/>
          <w:i/>
          <w:sz w:val="23"/>
          <w:szCs w:val="23"/>
          <w:rtl/>
        </w:rPr>
        <w:t xml:space="preserve">نگری کامل، نشان می‌دهد که نرخ رشد بهینه‌ی مصرف تحت شرایط نااطمینانی دارای جزء اضافی </w:t>
      </w:r>
      <w:r w:rsidRPr="00D94694">
        <w:rPr>
          <w:position w:val="-14"/>
        </w:rPr>
        <w:object w:dxaOrig="1939" w:dyaOrig="380" w14:anchorId="29ED941E">
          <v:shape id="_x0000_i5052" type="#_x0000_t75" style="width:97.4pt;height:18.75pt" o:ole="">
            <v:imagedata r:id="rId8102" o:title=""/>
          </v:shape>
          <o:OLEObject Type="Embed" ProgID="Equation.DSMT4" ShapeID="_x0000_i5052" DrawAspect="Content" ObjectID="_1791378996" r:id="rId8103"/>
        </w:object>
      </w:r>
      <w:r w:rsidRPr="00D94694">
        <w:rPr>
          <w:rFonts w:hint="cs"/>
          <w:i/>
          <w:sz w:val="23"/>
          <w:szCs w:val="23"/>
          <w:rtl/>
        </w:rPr>
        <w:t xml:space="preserve"> بوده، و همان</w:t>
      </w:r>
      <w:r w:rsidRPr="00D94694">
        <w:rPr>
          <w:i/>
          <w:sz w:val="23"/>
          <w:szCs w:val="23"/>
          <w:rtl/>
        </w:rPr>
        <w:softHyphen/>
      </w:r>
      <w:r w:rsidRPr="00D94694">
        <w:rPr>
          <w:rFonts w:hint="cs"/>
          <w:i/>
          <w:sz w:val="23"/>
          <w:szCs w:val="23"/>
          <w:rtl/>
        </w:rPr>
        <w:t>طور که قبلاً اشاره شد انتظار می‌رود این جزء مثبت باشد.</w:t>
      </w:r>
    </w:p>
    <w:p w14:paraId="2F3B3544" w14:textId="77777777" w:rsidR="00411620" w:rsidRPr="00D94694" w:rsidRDefault="00411620" w:rsidP="00411620">
      <w:pPr>
        <w:spacing w:line="216" w:lineRule="auto"/>
        <w:rPr>
          <w:i/>
          <w:sz w:val="23"/>
          <w:szCs w:val="23"/>
          <w:rtl/>
        </w:rPr>
      </w:pPr>
      <w:r w:rsidRPr="00D94694">
        <w:rPr>
          <w:rFonts w:hint="cs"/>
          <w:i/>
          <w:sz w:val="23"/>
          <w:szCs w:val="23"/>
          <w:rtl/>
        </w:rPr>
        <w:t>چنانچه خانوار پس‌انداز خود را در یک دارایی بدون ریسک با بازدهی قطعی</w:t>
      </w:r>
      <w:r w:rsidRPr="00D94694">
        <w:rPr>
          <w:position w:val="-10"/>
        </w:rPr>
        <w:object w:dxaOrig="240" w:dyaOrig="340" w14:anchorId="1A57F926">
          <v:shape id="_x0000_i5053" type="#_x0000_t75" style="width:12.1pt;height:16.95pt" o:ole="">
            <v:imagedata r:id="rId8104" o:title=""/>
          </v:shape>
          <o:OLEObject Type="Embed" ProgID="Equation.DSMT4" ShapeID="_x0000_i5053" DrawAspect="Content" ObjectID="_1791378997" r:id="rId8105"/>
        </w:object>
      </w:r>
      <w:r w:rsidRPr="00D94694">
        <w:rPr>
          <w:rFonts w:hint="cs"/>
          <w:i/>
          <w:sz w:val="23"/>
          <w:szCs w:val="23"/>
          <w:rtl/>
        </w:rPr>
        <w:t xml:space="preserve"> نگهداری کند، آنگاه همان</w:t>
      </w:r>
      <w:r w:rsidRPr="00D94694">
        <w:rPr>
          <w:i/>
          <w:sz w:val="23"/>
          <w:szCs w:val="23"/>
          <w:rtl/>
        </w:rPr>
        <w:softHyphen/>
      </w:r>
      <w:r w:rsidRPr="00D94694">
        <w:rPr>
          <w:rFonts w:hint="cs"/>
          <w:i/>
          <w:sz w:val="23"/>
          <w:szCs w:val="23"/>
          <w:rtl/>
        </w:rPr>
        <w:t xml:space="preserve">گونه که </w:t>
      </w:r>
      <w:r w:rsidRPr="00D94694">
        <w:rPr>
          <w:position w:val="-16"/>
        </w:rPr>
        <w:object w:dxaOrig="2200" w:dyaOrig="420" w14:anchorId="3BFDEDC3">
          <v:shape id="_x0000_i5054" type="#_x0000_t75" style="width:110.1pt;height:21.2pt" o:ole="">
            <v:imagedata r:id="rId8106" o:title=""/>
          </v:shape>
          <o:OLEObject Type="Embed" ProgID="Equation.DSMT4" ShapeID="_x0000_i5054" DrawAspect="Content" ObjectID="_1791378998" r:id="rId8107"/>
        </w:object>
      </w:r>
      <w:r w:rsidRPr="00D94694">
        <w:rPr>
          <w:i/>
          <w:sz w:val="23"/>
          <w:szCs w:val="23"/>
          <w:rtl/>
        </w:rPr>
        <w:t xml:space="preserve"> می</w:t>
      </w:r>
      <w:r w:rsidRPr="00D94694">
        <w:rPr>
          <w:rFonts w:hint="cs"/>
          <w:i/>
          <w:sz w:val="23"/>
          <w:szCs w:val="23"/>
          <w:rtl/>
        </w:rPr>
        <w:t>‌باشد، از معادله‌ی (۱۱. ۶۰) خواهیم داشت</w:t>
      </w:r>
    </w:p>
    <w:p w14:paraId="0D772B67" w14:textId="77777777" w:rsidR="00411620" w:rsidRPr="00D94694" w:rsidRDefault="00411620" w:rsidP="00411620">
      <w:pPr>
        <w:bidi w:val="0"/>
        <w:spacing w:line="216" w:lineRule="auto"/>
        <w:rPr>
          <w:i/>
          <w:sz w:val="23"/>
          <w:szCs w:val="23"/>
          <w:rtl/>
        </w:rPr>
      </w:pPr>
      <w:r w:rsidRPr="00D94694">
        <w:rPr>
          <w:position w:val="-28"/>
        </w:rPr>
        <w:object w:dxaOrig="1540" w:dyaOrig="660" w14:anchorId="17972C35">
          <v:shape id="_x0000_i5055" type="#_x0000_t75" style="width:76.85pt;height:32.65pt" o:ole="">
            <v:imagedata r:id="rId8108" o:title=""/>
          </v:shape>
          <o:OLEObject Type="Embed" ProgID="Equation.DSMT4" ShapeID="_x0000_i5055" DrawAspect="Content" ObjectID="_1791378999" r:id="rId8109"/>
        </w:object>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sidRPr="00D94694">
        <w:rPr>
          <w:i/>
          <w:sz w:val="23"/>
          <w:szCs w:val="23"/>
        </w:rPr>
        <w:tab/>
      </w:r>
      <w:r>
        <w:rPr>
          <w:i/>
          <w:sz w:val="23"/>
          <w:szCs w:val="23"/>
          <w:rtl/>
        </w:rPr>
        <w:tab/>
      </w:r>
      <w:r>
        <w:rPr>
          <w:i/>
          <w:sz w:val="23"/>
          <w:szCs w:val="23"/>
          <w:rtl/>
        </w:rPr>
        <w:tab/>
      </w:r>
      <w:r w:rsidRPr="00D94694">
        <w:rPr>
          <w:i/>
          <w:sz w:val="23"/>
          <w:szCs w:val="23"/>
        </w:rPr>
        <w:tab/>
      </w:r>
      <w:r w:rsidRPr="00D94694">
        <w:rPr>
          <w:i/>
          <w:sz w:val="23"/>
          <w:szCs w:val="23"/>
          <w:rtl/>
        </w:rPr>
        <w:tab/>
      </w:r>
      <w:r w:rsidRPr="00D94694">
        <w:rPr>
          <w:i/>
          <w:sz w:val="23"/>
          <w:szCs w:val="23"/>
        </w:rPr>
        <w:tab/>
      </w:r>
      <w:r w:rsidRPr="00D94694">
        <w:rPr>
          <w:i/>
          <w:sz w:val="23"/>
          <w:szCs w:val="23"/>
        </w:rPr>
        <w:tab/>
      </w:r>
      <w:r w:rsidRPr="00D94694">
        <w:rPr>
          <w:rFonts w:hint="cs"/>
          <w:i/>
          <w:sz w:val="23"/>
          <w:szCs w:val="23"/>
          <w:rtl/>
        </w:rPr>
        <w:t>(۱۱. ۶۲)</w:t>
      </w:r>
      <w:r w:rsidRPr="00D94694">
        <w:rPr>
          <w:rFonts w:hint="cs"/>
          <w:i/>
          <w:sz w:val="23"/>
          <w:szCs w:val="23"/>
        </w:rPr>
        <w:t xml:space="preserve"> </w:t>
      </w:r>
    </w:p>
    <w:p w14:paraId="2FC8BCA6" w14:textId="77777777" w:rsidR="00411620" w:rsidRPr="00D94694" w:rsidRDefault="00411620" w:rsidP="00411620">
      <w:pPr>
        <w:spacing w:line="216" w:lineRule="auto"/>
        <w:rPr>
          <w:i/>
          <w:sz w:val="23"/>
          <w:szCs w:val="23"/>
          <w:rtl/>
        </w:rPr>
      </w:pPr>
      <w:r w:rsidRPr="00D94694">
        <w:rPr>
          <w:rFonts w:hint="cs"/>
          <w:i/>
          <w:sz w:val="23"/>
          <w:szCs w:val="23"/>
          <w:rtl/>
        </w:rPr>
        <w:t>بنابراین پیش</w:t>
      </w:r>
      <w:r w:rsidRPr="00D94694">
        <w:rPr>
          <w:i/>
          <w:sz w:val="23"/>
          <w:szCs w:val="23"/>
          <w:rtl/>
        </w:rPr>
        <w:softHyphen/>
      </w:r>
      <w:r w:rsidRPr="00D94694">
        <w:rPr>
          <w:rFonts w:hint="cs"/>
          <w:i/>
          <w:sz w:val="23"/>
          <w:szCs w:val="23"/>
          <w:rtl/>
        </w:rPr>
        <w:t>نگری کامل و سرمایه‌گذاری در دارایی بدون ریسک، نتایج دقیقاً یکسانی را ارائه خواهد داد.</w:t>
      </w:r>
      <w:r w:rsidRPr="00D94694">
        <w:rPr>
          <w:i/>
          <w:sz w:val="23"/>
          <w:szCs w:val="23"/>
        </w:rPr>
        <w:t xml:space="preserve"> </w:t>
      </w:r>
      <w:r w:rsidRPr="00D94694">
        <w:rPr>
          <w:rFonts w:hint="cs"/>
          <w:i/>
          <w:sz w:val="23"/>
          <w:szCs w:val="23"/>
          <w:rtl/>
        </w:rPr>
        <w:t xml:space="preserve">چنانچه فرض کنیم </w:t>
      </w:r>
      <w:r w:rsidRPr="00D94694">
        <w:rPr>
          <w:position w:val="-10"/>
        </w:rPr>
        <w:object w:dxaOrig="620" w:dyaOrig="340" w14:anchorId="1D87A2FB">
          <v:shape id="_x0000_i5056" type="#_x0000_t75" style="width:31.45pt;height:16.95pt" o:ole="">
            <v:imagedata r:id="rId8110" o:title=""/>
          </v:shape>
          <o:OLEObject Type="Embed" ProgID="Equation.DSMT4" ShapeID="_x0000_i5056" DrawAspect="Content" ObjectID="_1791379000" r:id="rId8111"/>
        </w:object>
      </w:r>
      <w:r w:rsidRPr="00D94694">
        <w:rPr>
          <w:rFonts w:hint="cs"/>
          <w:i/>
          <w:sz w:val="23"/>
          <w:szCs w:val="23"/>
          <w:rtl/>
        </w:rPr>
        <w:t>، آنگاه معادله‌ی (۱۱. ۳۶) را ممکن است به صورت زیر بازنویسی کرد</w:t>
      </w:r>
    </w:p>
    <w:p w14:paraId="42FA08EB" w14:textId="77777777" w:rsidR="00411620" w:rsidRPr="00D94694" w:rsidRDefault="00411620" w:rsidP="00411620">
      <w:pPr>
        <w:bidi w:val="0"/>
        <w:spacing w:line="216" w:lineRule="auto"/>
        <w:rPr>
          <w:i/>
          <w:sz w:val="23"/>
          <w:szCs w:val="23"/>
          <w:rtl/>
        </w:rPr>
      </w:pPr>
      <w:r w:rsidRPr="00D94694">
        <w:rPr>
          <w:position w:val="-30"/>
        </w:rPr>
        <w:object w:dxaOrig="2799" w:dyaOrig="700" w14:anchorId="778433B9">
          <v:shape id="_x0000_i5057" type="#_x0000_t75" style="width:140.35pt;height:35.1pt" o:ole="">
            <v:imagedata r:id="rId8112" o:title=""/>
          </v:shape>
          <o:OLEObject Type="Embed" ProgID="Equation.DSMT4" ShapeID="_x0000_i5057" DrawAspect="Content" ObjectID="_1791379001" r:id="rId8113"/>
        </w:object>
      </w:r>
      <w:r w:rsidRPr="00D94694">
        <w:rPr>
          <w:i/>
          <w:sz w:val="23"/>
          <w:szCs w:val="23"/>
        </w:rPr>
        <w:tab/>
      </w:r>
      <w:r w:rsidRPr="00D94694">
        <w:rPr>
          <w:i/>
          <w:sz w:val="23"/>
          <w:szCs w:val="23"/>
        </w:rPr>
        <w:tab/>
      </w:r>
      <w:r w:rsidRPr="00D94694">
        <w:rPr>
          <w:i/>
          <w:sz w:val="23"/>
          <w:szCs w:val="23"/>
          <w:rtl/>
        </w:rPr>
        <w:tab/>
      </w:r>
      <w:r w:rsidRPr="00D94694">
        <w:rPr>
          <w:i/>
          <w:sz w:val="23"/>
          <w:szCs w:val="23"/>
        </w:rPr>
        <w:tab/>
      </w:r>
      <w:r w:rsidRPr="00D94694">
        <w:rPr>
          <w:i/>
          <w:sz w:val="23"/>
          <w:szCs w:val="23"/>
        </w:rPr>
        <w:tab/>
      </w:r>
      <w:r w:rsidRPr="00D94694">
        <w:rPr>
          <w:i/>
          <w:sz w:val="23"/>
          <w:szCs w:val="23"/>
        </w:rPr>
        <w:tab/>
      </w:r>
      <w:r w:rsidRPr="00D94694">
        <w:rPr>
          <w:i/>
          <w:sz w:val="23"/>
          <w:szCs w:val="23"/>
        </w:rPr>
        <w:tab/>
      </w:r>
      <w:r>
        <w:rPr>
          <w:i/>
          <w:sz w:val="23"/>
          <w:szCs w:val="23"/>
          <w:rtl/>
        </w:rPr>
        <w:tab/>
      </w:r>
      <w:r>
        <w:rPr>
          <w:i/>
          <w:sz w:val="23"/>
          <w:szCs w:val="23"/>
          <w:rtl/>
        </w:rPr>
        <w:tab/>
      </w:r>
      <w:r w:rsidRPr="00D94694">
        <w:rPr>
          <w:i/>
          <w:sz w:val="23"/>
          <w:szCs w:val="23"/>
        </w:rPr>
        <w:tab/>
      </w:r>
      <w:r w:rsidRPr="00D94694">
        <w:rPr>
          <w:i/>
          <w:sz w:val="23"/>
          <w:szCs w:val="23"/>
        </w:rPr>
        <w:tab/>
      </w:r>
      <w:r w:rsidRPr="00D94694">
        <w:rPr>
          <w:i/>
          <w:sz w:val="23"/>
          <w:szCs w:val="23"/>
        </w:rPr>
        <w:tab/>
      </w:r>
      <w:r w:rsidRPr="00D94694">
        <w:rPr>
          <w:rFonts w:hint="cs"/>
          <w:i/>
          <w:sz w:val="23"/>
          <w:szCs w:val="23"/>
          <w:rtl/>
        </w:rPr>
        <w:t>(۱۱. ۶۳)</w:t>
      </w:r>
      <w:r w:rsidRPr="00D94694">
        <w:rPr>
          <w:rFonts w:hint="cs"/>
          <w:i/>
          <w:sz w:val="23"/>
          <w:szCs w:val="23"/>
        </w:rPr>
        <w:t xml:space="preserve"> </w:t>
      </w:r>
    </w:p>
    <w:p w14:paraId="0D34E655" w14:textId="77777777" w:rsidR="00411620" w:rsidRPr="00D94694" w:rsidRDefault="00411620" w:rsidP="00411620">
      <w:pPr>
        <w:spacing w:line="216" w:lineRule="auto"/>
        <w:rPr>
          <w:i/>
          <w:sz w:val="23"/>
          <w:szCs w:val="23"/>
          <w:rtl/>
        </w:rPr>
      </w:pPr>
      <w:r w:rsidRPr="00D94694">
        <w:rPr>
          <w:rFonts w:hint="cs"/>
          <w:i/>
          <w:sz w:val="23"/>
          <w:szCs w:val="23"/>
          <w:rtl/>
        </w:rPr>
        <w:t>آخرین عبارت پاداش ریسک برای دارایی ریسکی است و نشان می‌دهد که معادلات (۱۱. ۶۱) و             (۱۱. ۶۲ ) یکسان هستند. این نتیجه مبین آن است که در تعیین مقدار مصرف، فرض نگهداری دارایی بدون ریسک و یا دارایی ریسکی توسط سرمایه‌گذار قابل اغماض است، زیرا بازدهی ریسکی در معادله‌ی مصرف، می‌بایست تعدیل ریسک شود. این نتیجه‌ی مهمی است و مبین آن است که می‌توان با فروض مشابه پیش</w:t>
      </w:r>
      <w:r w:rsidRPr="00D94694">
        <w:rPr>
          <w:i/>
          <w:sz w:val="23"/>
          <w:szCs w:val="23"/>
          <w:rtl/>
        </w:rPr>
        <w:softHyphen/>
      </w:r>
      <w:r w:rsidRPr="00D94694">
        <w:rPr>
          <w:rFonts w:hint="cs"/>
          <w:i/>
          <w:sz w:val="23"/>
          <w:szCs w:val="23"/>
          <w:rtl/>
        </w:rPr>
        <w:t>نگری کامل ساده</w:t>
      </w:r>
      <w:r w:rsidRPr="00D94694">
        <w:rPr>
          <w:i/>
          <w:sz w:val="23"/>
          <w:szCs w:val="23"/>
          <w:rtl/>
        </w:rPr>
        <w:softHyphen/>
      </w:r>
      <w:r w:rsidRPr="00D94694">
        <w:rPr>
          <w:rFonts w:hint="cs"/>
          <w:i/>
          <w:sz w:val="23"/>
          <w:szCs w:val="23"/>
          <w:rtl/>
        </w:rPr>
        <w:t xml:space="preserve">تر، تجزیه و تحلیل مباحث اقتصاد کلان را دنبال نمود. در واقع، در معادله‌ی (۱۱. ۶۱) انتظارات شرطی </w:t>
      </w:r>
      <w:r w:rsidRPr="00D94694">
        <w:rPr>
          <w:position w:val="-12"/>
        </w:rPr>
        <w:object w:dxaOrig="960" w:dyaOrig="360" w14:anchorId="25C1376B">
          <v:shape id="_x0000_i5058" type="#_x0000_t75" style="width:47.8pt;height:18.15pt" o:ole="">
            <v:imagedata r:id="rId8114" o:title=""/>
          </v:shape>
          <o:OLEObject Type="Embed" ProgID="Equation.DSMT4" ShapeID="_x0000_i5058" DrawAspect="Content" ObjectID="_1791379002" r:id="rId8115"/>
        </w:object>
      </w:r>
      <w:r w:rsidRPr="00D94694">
        <w:rPr>
          <w:rFonts w:hint="cs"/>
          <w:i/>
          <w:sz w:val="23"/>
          <w:szCs w:val="23"/>
          <w:rtl/>
        </w:rPr>
        <w:t xml:space="preserve"> با استفاده از احتمالات ریسک-خنثی ارزیابی شده است. و نشان می</w:t>
      </w:r>
      <w:r w:rsidRPr="00D94694">
        <w:rPr>
          <w:i/>
          <w:sz w:val="23"/>
          <w:szCs w:val="23"/>
          <w:rtl/>
        </w:rPr>
        <w:softHyphen/>
      </w:r>
      <w:r w:rsidRPr="00D94694">
        <w:rPr>
          <w:rFonts w:hint="cs"/>
          <w:i/>
          <w:sz w:val="23"/>
          <w:szCs w:val="23"/>
          <w:rtl/>
        </w:rPr>
        <w:t xml:space="preserve">دهد استفاده از احتمالات ریسک-خنثی روش جایگزینی جهت بکارگیری احتمالات شرطی برای ارزیابی همه انتظارات در مدل </w:t>
      </w:r>
      <w:r w:rsidRPr="00D94694">
        <w:rPr>
          <w:i/>
          <w:sz w:val="23"/>
          <w:szCs w:val="23"/>
        </w:rPr>
        <w:t>DSGE</w:t>
      </w:r>
      <w:r w:rsidRPr="00D94694">
        <w:rPr>
          <w:rFonts w:hint="cs"/>
          <w:i/>
          <w:sz w:val="23"/>
          <w:szCs w:val="23"/>
          <w:rtl/>
        </w:rPr>
        <w:t xml:space="preserve"> است و این روش نیاز به وجود ریسک در مدل اقتصادی را حذف خواهد گرد.</w:t>
      </w:r>
    </w:p>
    <w:p w14:paraId="4174FEE1" w14:textId="77777777" w:rsidR="00411620" w:rsidRPr="00D94694" w:rsidRDefault="00411620" w:rsidP="00411620">
      <w:pPr>
        <w:spacing w:line="216" w:lineRule="auto"/>
        <w:rPr>
          <w:i/>
          <w:sz w:val="23"/>
          <w:szCs w:val="23"/>
          <w:rtl/>
        </w:rPr>
      </w:pPr>
      <w:r w:rsidRPr="00D94694">
        <w:rPr>
          <w:rFonts w:hint="cs"/>
          <w:i/>
          <w:sz w:val="23"/>
          <w:szCs w:val="23"/>
          <w:rtl/>
        </w:rPr>
        <w:t>اگر فرض لگاریتم-نرمال را در نظر بگیریم، آنگاه معادله‌ی (۱۱. ۶۰) با معادله‌ی زیر جایگزین خواهد شد:</w:t>
      </w:r>
    </w:p>
    <w:p w14:paraId="4062D9D3" w14:textId="77777777" w:rsidR="00411620" w:rsidRPr="00D94694" w:rsidRDefault="00411620" w:rsidP="00411620">
      <w:pPr>
        <w:bidi w:val="0"/>
        <w:spacing w:line="216" w:lineRule="auto"/>
        <w:rPr>
          <w:i/>
          <w:sz w:val="23"/>
          <w:szCs w:val="23"/>
        </w:rPr>
      </w:pPr>
      <w:r w:rsidRPr="00D94694">
        <w:rPr>
          <w:position w:val="-28"/>
        </w:rPr>
        <w:object w:dxaOrig="3320" w:dyaOrig="660" w14:anchorId="0077DD6A">
          <v:shape id="_x0000_i5059" type="#_x0000_t75" style="width:165.8pt;height:32.65pt" o:ole="">
            <v:imagedata r:id="rId8116" o:title=""/>
          </v:shape>
          <o:OLEObject Type="Embed" ProgID="Equation.DSMT4" ShapeID="_x0000_i5059" DrawAspect="Content" ObjectID="_1791379003" r:id="rId8117"/>
        </w:object>
      </w:r>
      <w:r w:rsidRPr="00D94694">
        <w:rPr>
          <w:rFonts w:hint="cs"/>
          <w:i/>
          <w:sz w:val="23"/>
          <w:szCs w:val="23"/>
        </w:rPr>
        <w:t xml:space="preserve"> </w:t>
      </w:r>
    </w:p>
    <w:p w14:paraId="2B4B568F" w14:textId="77777777" w:rsidR="00411620" w:rsidRPr="00D94694" w:rsidRDefault="00411620" w:rsidP="00411620">
      <w:pPr>
        <w:spacing w:line="216" w:lineRule="auto"/>
        <w:rPr>
          <w:i/>
          <w:sz w:val="23"/>
          <w:szCs w:val="23"/>
          <w:rtl/>
        </w:rPr>
      </w:pPr>
      <w:r w:rsidRPr="00D94694">
        <w:rPr>
          <w:rFonts w:hint="cs"/>
          <w:i/>
          <w:sz w:val="23"/>
          <w:szCs w:val="23"/>
          <w:rtl/>
        </w:rPr>
        <w:t xml:space="preserve">بنابراین در طی مسیر بهینه، نرخ رشد مصرف انتظاری، با تفاضل نرخ بدون ریسک از نرخ ترجیح زمانی ذهنی مصرف کننده، و واریانس رشد مصرف ( زیرا </w:t>
      </w:r>
      <w:r w:rsidRPr="00D94694">
        <w:rPr>
          <w:position w:val="-10"/>
        </w:rPr>
        <w:object w:dxaOrig="260" w:dyaOrig="320" w14:anchorId="1175E14F">
          <v:shape id="_x0000_i5060" type="#_x0000_t75" style="width:13.3pt;height:15.75pt" o:ole="">
            <v:imagedata r:id="rId8118" o:title=""/>
          </v:shape>
          <o:OLEObject Type="Embed" ProgID="Equation.DSMT4" ShapeID="_x0000_i5060" DrawAspect="Content" ObjectID="_1791379004" r:id="rId8119"/>
        </w:object>
      </w:r>
      <w:r w:rsidRPr="00D94694">
        <w:rPr>
          <w:rFonts w:hint="cs"/>
          <w:i/>
          <w:sz w:val="23"/>
          <w:szCs w:val="23"/>
          <w:rtl/>
        </w:rPr>
        <w:t xml:space="preserve"> برابر است با ضریب ریسک گریزی نسبی) رابطه‌ی مثبت دارد. اگر مصرف</w:t>
      </w:r>
      <w:r w:rsidRPr="00D94694">
        <w:rPr>
          <w:i/>
          <w:sz w:val="23"/>
          <w:szCs w:val="23"/>
          <w:rtl/>
        </w:rPr>
        <w:softHyphen/>
      </w:r>
      <w:r w:rsidRPr="00D94694">
        <w:rPr>
          <w:rFonts w:hint="cs"/>
          <w:i/>
          <w:sz w:val="23"/>
          <w:szCs w:val="23"/>
          <w:rtl/>
        </w:rPr>
        <w:t>کنندگان ریسک</w:t>
      </w:r>
      <w:r w:rsidRPr="00D94694">
        <w:rPr>
          <w:i/>
          <w:sz w:val="23"/>
          <w:szCs w:val="23"/>
          <w:rtl/>
        </w:rPr>
        <w:softHyphen/>
      </w:r>
      <w:r w:rsidRPr="00D94694">
        <w:rPr>
          <w:rFonts w:hint="cs"/>
          <w:i/>
          <w:sz w:val="23"/>
          <w:szCs w:val="23"/>
          <w:rtl/>
        </w:rPr>
        <w:t>گریز باشند، در مسیر بهینه تغییر</w:t>
      </w:r>
      <w:r w:rsidRPr="00D94694">
        <w:rPr>
          <w:i/>
          <w:sz w:val="23"/>
          <w:szCs w:val="23"/>
          <w:rtl/>
        </w:rPr>
        <w:softHyphen/>
      </w:r>
      <w:r w:rsidRPr="00D94694">
        <w:rPr>
          <w:rFonts w:hint="cs"/>
          <w:i/>
          <w:sz w:val="23"/>
          <w:szCs w:val="23"/>
          <w:rtl/>
        </w:rPr>
        <w:t>پذیری بیشتر رشد مصرف، با افزایش رشد مصرف انتظاری همراه است.</w:t>
      </w:r>
    </w:p>
    <w:p w14:paraId="04447CCD" w14:textId="77777777" w:rsidR="00411620" w:rsidRPr="00D94694" w:rsidRDefault="00411620" w:rsidP="00411620">
      <w:pPr>
        <w:spacing w:line="216" w:lineRule="auto"/>
        <w:rPr>
          <w:i/>
          <w:sz w:val="23"/>
          <w:szCs w:val="23"/>
          <w:rtl/>
        </w:rPr>
      </w:pPr>
    </w:p>
    <w:p w14:paraId="52747793" w14:textId="77777777" w:rsidR="00411620" w:rsidRPr="00D94694" w:rsidRDefault="00411620" w:rsidP="00411620">
      <w:pPr>
        <w:pStyle w:val="Heading1"/>
        <w:spacing w:before="0" w:line="216" w:lineRule="auto"/>
        <w:rPr>
          <w:rFonts w:ascii="Times New Roman" w:hAnsi="Times New Roman" w:cs="B Nazanin"/>
          <w:b w:val="0"/>
          <w:i/>
          <w:sz w:val="23"/>
          <w:szCs w:val="23"/>
          <w:rtl/>
        </w:rPr>
      </w:pPr>
      <w:r w:rsidRPr="00D94694">
        <w:rPr>
          <w:rFonts w:ascii="Times New Roman" w:hAnsi="Times New Roman" w:cs="B Nazanin" w:hint="cs"/>
          <w:b w:val="0"/>
          <w:i/>
          <w:sz w:val="23"/>
          <w:szCs w:val="23"/>
          <w:rtl/>
        </w:rPr>
        <w:lastRenderedPageBreak/>
        <w:t xml:space="preserve">۱۱. ۹ بازار کامل </w:t>
      </w:r>
    </w:p>
    <w:p w14:paraId="591C1798" w14:textId="77777777" w:rsidR="00411620" w:rsidRPr="00D94694" w:rsidRDefault="00411620" w:rsidP="00411620">
      <w:pPr>
        <w:spacing w:line="216" w:lineRule="auto"/>
        <w:rPr>
          <w:i/>
          <w:sz w:val="23"/>
          <w:szCs w:val="23"/>
          <w:rtl/>
        </w:rPr>
      </w:pPr>
      <w:r w:rsidRPr="00D94694">
        <w:rPr>
          <w:rFonts w:hint="cs"/>
          <w:i/>
          <w:sz w:val="23"/>
          <w:szCs w:val="23"/>
          <w:rtl/>
        </w:rPr>
        <w:t xml:space="preserve">در مباحث مالی موضوع بازار کامل بسیار مهم است و تعیین می‌کند که آیا فرصت‌های آربیتراژ وجود دارد یا خیر، و در اقتصاد کلان تعیین می‌کند که آیا مشارکت در ریسک ممکن است یا خیر. یعنی، آیا ممکن است در مقابل ریسک بطور کامل بیمه شد. </w:t>
      </w:r>
    </w:p>
    <w:p w14:paraId="25C21037" w14:textId="77777777" w:rsidR="00411620" w:rsidRPr="00D94694" w:rsidRDefault="00411620" w:rsidP="00411620">
      <w:pPr>
        <w:spacing w:line="216" w:lineRule="auto"/>
        <w:rPr>
          <w:i/>
          <w:sz w:val="23"/>
          <w:szCs w:val="23"/>
          <w:rtl/>
        </w:rPr>
      </w:pPr>
      <w:r w:rsidRPr="00D94694">
        <w:rPr>
          <w:rFonts w:hint="cs"/>
          <w:i/>
          <w:sz w:val="23"/>
          <w:szCs w:val="23"/>
          <w:rtl/>
        </w:rPr>
        <w:t>چنانچه مطالبه</w:t>
      </w:r>
      <w:r w:rsidRPr="00D94694">
        <w:rPr>
          <w:i/>
          <w:sz w:val="23"/>
          <w:szCs w:val="23"/>
          <w:rtl/>
        </w:rPr>
        <w:softHyphen/>
      </w:r>
      <w:r w:rsidRPr="00D94694">
        <w:rPr>
          <w:rFonts w:hint="cs"/>
          <w:i/>
          <w:sz w:val="23"/>
          <w:szCs w:val="23"/>
          <w:rtl/>
        </w:rPr>
        <w:t>ی مشروط برای هر وضعیتی وجود داشته باشد، و اگر حداقل به اندازه‌ی دارایی‌ها وضعیت وجود داشته باشد، آنگاه قیمت هر دارایی بطور منحصر به فرد تعیین خواهد شد. اگر این</w:t>
      </w:r>
      <w:r w:rsidRPr="00D94694">
        <w:rPr>
          <w:i/>
          <w:sz w:val="23"/>
          <w:szCs w:val="23"/>
          <w:rtl/>
        </w:rPr>
        <w:softHyphen/>
      </w:r>
      <w:r w:rsidRPr="00D94694">
        <w:rPr>
          <w:rFonts w:hint="cs"/>
          <w:i/>
          <w:sz w:val="23"/>
          <w:szCs w:val="23"/>
          <w:rtl/>
        </w:rPr>
        <w:t>گونه نباشد، فرصت‌های آربیتراژ ممکن خواهد بود. متاسفانه، در عمل، وضعیت</w:t>
      </w:r>
      <w:r w:rsidRPr="00D94694">
        <w:rPr>
          <w:i/>
          <w:sz w:val="23"/>
          <w:szCs w:val="23"/>
          <w:rtl/>
        </w:rPr>
        <w:softHyphen/>
      </w:r>
      <w:r w:rsidRPr="00D94694">
        <w:rPr>
          <w:rFonts w:hint="cs"/>
          <w:i/>
          <w:sz w:val="23"/>
          <w:szCs w:val="23"/>
          <w:rtl/>
        </w:rPr>
        <w:t>های طبیعی بیش از مطالبات مشروط است.</w:t>
      </w:r>
    </w:p>
    <w:p w14:paraId="20F4DA56" w14:textId="77777777" w:rsidR="00411620" w:rsidRPr="00D94694" w:rsidRDefault="00411620" w:rsidP="00411620">
      <w:pPr>
        <w:spacing w:line="216" w:lineRule="auto"/>
        <w:rPr>
          <w:i/>
          <w:sz w:val="23"/>
          <w:szCs w:val="23"/>
          <w:rtl/>
        </w:rPr>
      </w:pPr>
      <w:r w:rsidRPr="00D94694">
        <w:rPr>
          <w:rFonts w:hint="cs"/>
          <w:i/>
          <w:sz w:val="23"/>
          <w:szCs w:val="23"/>
          <w:rtl/>
        </w:rPr>
        <w:t>فرض کنید</w:t>
      </w:r>
      <w:r w:rsidRPr="00D94694">
        <w:rPr>
          <w:position w:val="-8"/>
        </w:rPr>
        <w:object w:dxaOrig="420" w:dyaOrig="279" w14:anchorId="72515735">
          <v:shape id="_x0000_i5061" type="#_x0000_t75" style="width:21.2pt;height:13.9pt" o:ole="">
            <v:imagedata r:id="rId8120" o:title=""/>
          </v:shape>
          <o:OLEObject Type="Embed" ProgID="Equation.DSMT4" ShapeID="_x0000_i5061" DrawAspect="Content" ObjectID="_1791379005" r:id="rId8121"/>
        </w:object>
      </w:r>
      <w:r w:rsidRPr="00D94694">
        <w:rPr>
          <w:rFonts w:hint="cs"/>
          <w:i/>
          <w:sz w:val="23"/>
          <w:szCs w:val="23"/>
          <w:rtl/>
        </w:rPr>
        <w:t xml:space="preserve"> قیمت </w:t>
      </w:r>
      <w:proofErr w:type="spellStart"/>
      <w:r w:rsidRPr="00D94694">
        <w:rPr>
          <w:i/>
          <w:sz w:val="23"/>
          <w:szCs w:val="23"/>
        </w:rPr>
        <w:t>i</w:t>
      </w:r>
      <w:proofErr w:type="spellEnd"/>
      <w:r w:rsidRPr="00D94694">
        <w:rPr>
          <w:rFonts w:hint="cs"/>
          <w:i/>
          <w:sz w:val="23"/>
          <w:szCs w:val="23"/>
          <w:rtl/>
        </w:rPr>
        <w:t>امین دارایی و</w:t>
      </w:r>
      <w:r w:rsidRPr="00D94694">
        <w:rPr>
          <w:position w:val="-12"/>
        </w:rPr>
        <w:object w:dxaOrig="540" w:dyaOrig="360" w14:anchorId="358B8AD9">
          <v:shape id="_x0000_i5062" type="#_x0000_t75" style="width:26.6pt;height:18.15pt" o:ole="">
            <v:imagedata r:id="rId8122" o:title=""/>
          </v:shape>
          <o:OLEObject Type="Embed" ProgID="Equation.DSMT4" ShapeID="_x0000_i5062" DrawAspect="Content" ObjectID="_1791379006" r:id="rId8123"/>
        </w:object>
      </w:r>
      <w:r w:rsidRPr="00D94694">
        <w:rPr>
          <w:i/>
          <w:sz w:val="23"/>
          <w:szCs w:val="23"/>
        </w:rPr>
        <w:t xml:space="preserve"> </w:t>
      </w:r>
      <w:r w:rsidRPr="00D94694">
        <w:rPr>
          <w:rFonts w:hint="cs"/>
          <w:i/>
          <w:sz w:val="23"/>
          <w:szCs w:val="23"/>
          <w:rtl/>
        </w:rPr>
        <w:t xml:space="preserve">عایدی در وضعیت </w:t>
      </w:r>
      <w:r w:rsidRPr="00D94694">
        <w:rPr>
          <w:i/>
          <w:sz w:val="23"/>
          <w:szCs w:val="23"/>
        </w:rPr>
        <w:t>s</w:t>
      </w:r>
      <w:r w:rsidRPr="00D94694">
        <w:rPr>
          <w:rFonts w:hint="cs"/>
          <w:i/>
          <w:sz w:val="23"/>
          <w:szCs w:val="23"/>
          <w:rtl/>
        </w:rPr>
        <w:t xml:space="preserve"> باشد. آنگاه</w:t>
      </w:r>
    </w:p>
    <w:p w14:paraId="6C68CC3D" w14:textId="77777777" w:rsidR="00411620" w:rsidRPr="00D94694" w:rsidRDefault="00411620" w:rsidP="00411620">
      <w:pPr>
        <w:bidi w:val="0"/>
        <w:spacing w:line="216" w:lineRule="auto"/>
        <w:rPr>
          <w:i/>
          <w:sz w:val="23"/>
          <w:szCs w:val="23"/>
        </w:rPr>
      </w:pPr>
      <w:r w:rsidRPr="00D94694">
        <w:rPr>
          <w:position w:val="-26"/>
        </w:rPr>
        <w:object w:dxaOrig="3019" w:dyaOrig="499" w14:anchorId="455A68FE">
          <v:shape id="_x0000_i5063" type="#_x0000_t75" style="width:151.25pt;height:24.8pt" o:ole="">
            <v:imagedata r:id="rId8124" o:title=""/>
          </v:shape>
          <o:OLEObject Type="Embed" ProgID="Equation.DSMT4" ShapeID="_x0000_i5063" DrawAspect="Content" ObjectID="_1791379007" r:id="rId8125"/>
        </w:object>
      </w:r>
    </w:p>
    <w:p w14:paraId="0B702671" w14:textId="77777777" w:rsidR="00411620" w:rsidRPr="00D94694" w:rsidRDefault="00411620" w:rsidP="00411620">
      <w:pPr>
        <w:spacing w:line="216" w:lineRule="auto"/>
        <w:rPr>
          <w:i/>
          <w:sz w:val="23"/>
          <w:szCs w:val="23"/>
        </w:rPr>
      </w:pPr>
      <w:r w:rsidRPr="00D94694">
        <w:rPr>
          <w:rFonts w:hint="cs"/>
          <w:i/>
          <w:sz w:val="23"/>
          <w:szCs w:val="23"/>
          <w:rtl/>
        </w:rPr>
        <w:t xml:space="preserve">با ترکیب این معادلات برای تمامی </w:t>
      </w:r>
      <w:r w:rsidRPr="00D94694">
        <w:rPr>
          <w:i/>
          <w:sz w:val="23"/>
          <w:szCs w:val="23"/>
        </w:rPr>
        <w:t>n</w:t>
      </w:r>
      <w:r w:rsidRPr="00D94694">
        <w:rPr>
          <w:rFonts w:hint="cs"/>
          <w:i/>
          <w:sz w:val="23"/>
          <w:szCs w:val="23"/>
          <w:rtl/>
        </w:rPr>
        <w:t xml:space="preserve"> دارایی</w:t>
      </w:r>
      <w:r w:rsidRPr="00D94694">
        <w:rPr>
          <w:i/>
          <w:sz w:val="23"/>
          <w:szCs w:val="23"/>
          <w:rtl/>
        </w:rPr>
        <w:softHyphen/>
      </w:r>
      <w:r w:rsidRPr="00D94694">
        <w:rPr>
          <w:rFonts w:hint="cs"/>
          <w:i/>
          <w:sz w:val="23"/>
          <w:szCs w:val="23"/>
          <w:rtl/>
        </w:rPr>
        <w:t>ها معادله‌ی زیر بدست می‌آید</w:t>
      </w:r>
    </w:p>
    <w:p w14:paraId="687F6E47" w14:textId="77777777" w:rsidR="00411620" w:rsidRPr="00D94694" w:rsidRDefault="00411620" w:rsidP="00411620">
      <w:pPr>
        <w:bidi w:val="0"/>
        <w:spacing w:line="216" w:lineRule="auto"/>
        <w:rPr>
          <w:i/>
          <w:sz w:val="23"/>
          <w:szCs w:val="23"/>
        </w:rPr>
      </w:pPr>
      <w:r w:rsidRPr="00D94694">
        <w:rPr>
          <w:position w:val="-46"/>
        </w:rPr>
        <w:object w:dxaOrig="3400" w:dyaOrig="1020" w14:anchorId="387AC106">
          <v:shape id="_x0000_i5064" type="#_x0000_t75" style="width:170pt;height:50.8pt" o:ole="">
            <v:imagedata r:id="rId8126" o:title=""/>
          </v:shape>
          <o:OLEObject Type="Embed" ProgID="Equation.DSMT4" ShapeID="_x0000_i5064" DrawAspect="Content" ObjectID="_1791379008" r:id="rId8127"/>
        </w:object>
      </w:r>
    </w:p>
    <w:p w14:paraId="7BB68097" w14:textId="77777777" w:rsidR="00411620" w:rsidRPr="00D94694" w:rsidRDefault="00411620" w:rsidP="00411620">
      <w:pPr>
        <w:spacing w:line="216" w:lineRule="auto"/>
        <w:rPr>
          <w:i/>
          <w:sz w:val="23"/>
          <w:szCs w:val="23"/>
          <w:rtl/>
        </w:rPr>
      </w:pPr>
      <w:r w:rsidRPr="00D94694">
        <w:rPr>
          <w:rFonts w:hint="cs"/>
          <w:i/>
          <w:sz w:val="23"/>
          <w:szCs w:val="23"/>
          <w:rtl/>
        </w:rPr>
        <w:t>و یا به صورت ماتریس</w:t>
      </w:r>
    </w:p>
    <w:p w14:paraId="23702927" w14:textId="77777777" w:rsidR="00411620" w:rsidRPr="00D94694" w:rsidRDefault="00411620" w:rsidP="00411620">
      <w:pPr>
        <w:bidi w:val="0"/>
        <w:spacing w:line="216" w:lineRule="auto"/>
        <w:rPr>
          <w:i/>
          <w:sz w:val="23"/>
          <w:szCs w:val="23"/>
        </w:rPr>
      </w:pPr>
      <w:r w:rsidRPr="00D94694">
        <w:rPr>
          <w:position w:val="-8"/>
        </w:rPr>
        <w:object w:dxaOrig="740" w:dyaOrig="279" w14:anchorId="584BDA78">
          <v:shape id="_x0000_i5065" type="#_x0000_t75" style="width:36.9pt;height:13.9pt" o:ole="">
            <v:imagedata r:id="rId8128" o:title=""/>
          </v:shape>
          <o:OLEObject Type="Embed" ProgID="Equation.DSMT4" ShapeID="_x0000_i5065" DrawAspect="Content" ObjectID="_1791379009" r:id="rId8129"/>
        </w:object>
      </w:r>
    </w:p>
    <w:p w14:paraId="20E7803B" w14:textId="77777777" w:rsidR="00411620" w:rsidRPr="00D94694" w:rsidRDefault="00411620" w:rsidP="00411620">
      <w:pPr>
        <w:spacing w:line="216" w:lineRule="auto"/>
        <w:rPr>
          <w:i/>
          <w:sz w:val="23"/>
          <w:szCs w:val="23"/>
          <w:rtl/>
        </w:rPr>
      </w:pPr>
      <w:r w:rsidRPr="00D94694">
        <w:rPr>
          <w:rFonts w:hint="cs"/>
          <w:i/>
          <w:sz w:val="23"/>
          <w:szCs w:val="23"/>
          <w:rtl/>
        </w:rPr>
        <w:t xml:space="preserve">که در آن </w:t>
      </w:r>
    </w:p>
    <w:p w14:paraId="6C2F20B6" w14:textId="77777777" w:rsidR="00411620" w:rsidRPr="00D94694" w:rsidRDefault="00411620" w:rsidP="00411620">
      <w:pPr>
        <w:bidi w:val="0"/>
        <w:spacing w:line="216" w:lineRule="auto"/>
        <w:rPr>
          <w:i/>
          <w:sz w:val="23"/>
          <w:szCs w:val="23"/>
        </w:rPr>
      </w:pPr>
      <w:r w:rsidRPr="00D94694">
        <w:rPr>
          <w:position w:val="-46"/>
        </w:rPr>
        <w:object w:dxaOrig="5280" w:dyaOrig="1020" w14:anchorId="71091EE2">
          <v:shape id="_x0000_i5066" type="#_x0000_t75" style="width:263.8pt;height:50.8pt" o:ole="">
            <v:imagedata r:id="rId8130" o:title=""/>
          </v:shape>
          <o:OLEObject Type="Embed" ProgID="Equation.DSMT4" ShapeID="_x0000_i5066" DrawAspect="Content" ObjectID="_1791379010" r:id="rId8131"/>
        </w:object>
      </w:r>
    </w:p>
    <w:p w14:paraId="6706D8AE" w14:textId="77777777" w:rsidR="00411620" w:rsidRPr="00D94694" w:rsidRDefault="00411620" w:rsidP="00411620">
      <w:pPr>
        <w:spacing w:line="216" w:lineRule="auto"/>
        <w:rPr>
          <w:i/>
          <w:sz w:val="23"/>
          <w:szCs w:val="23"/>
          <w:rtl/>
        </w:rPr>
      </w:pPr>
      <w:r w:rsidRPr="00D94694">
        <w:rPr>
          <w:rFonts w:hint="cs"/>
          <w:i/>
          <w:sz w:val="23"/>
          <w:szCs w:val="23"/>
          <w:rtl/>
        </w:rPr>
        <w:t>اکنون موارد زیر را بررسی خواهیم کرد.</w:t>
      </w:r>
    </w:p>
    <w:p w14:paraId="0CB38114" w14:textId="77777777" w:rsidR="00411620" w:rsidRPr="00D94694" w:rsidRDefault="00411620" w:rsidP="00411620">
      <w:pPr>
        <w:spacing w:line="216" w:lineRule="auto"/>
        <w:rPr>
          <w:i/>
          <w:sz w:val="23"/>
          <w:szCs w:val="23"/>
        </w:rPr>
      </w:pPr>
      <w:r w:rsidRPr="00D94694">
        <w:rPr>
          <w:rFonts w:hint="cs"/>
          <w:bCs/>
          <w:i/>
          <w:sz w:val="23"/>
          <w:szCs w:val="23"/>
          <w:rtl/>
        </w:rPr>
        <w:t>الف-</w:t>
      </w:r>
      <w:r w:rsidRPr="00D94694">
        <w:rPr>
          <w:rFonts w:hint="cs"/>
          <w:i/>
          <w:sz w:val="23"/>
          <w:szCs w:val="23"/>
          <w:rtl/>
        </w:rPr>
        <w:t xml:space="preserve"> تعداد دارایی برابر با تعداد وضعیت</w:t>
      </w:r>
      <w:r w:rsidRPr="00D94694">
        <w:rPr>
          <w:i/>
          <w:sz w:val="23"/>
          <w:szCs w:val="23"/>
          <w:rtl/>
        </w:rPr>
        <w:softHyphen/>
      </w:r>
      <w:r w:rsidRPr="00D94694">
        <w:rPr>
          <w:rFonts w:hint="cs"/>
          <w:i/>
          <w:sz w:val="23"/>
          <w:szCs w:val="23"/>
          <w:rtl/>
        </w:rPr>
        <w:t xml:space="preserve">ها باشد، یعنی </w:t>
      </w:r>
      <w:r w:rsidRPr="00D94694">
        <w:rPr>
          <w:position w:val="-6"/>
        </w:rPr>
        <w:object w:dxaOrig="580" w:dyaOrig="260" w14:anchorId="05F2B685">
          <v:shape id="_x0000_i5067" type="#_x0000_t75" style="width:29.05pt;height:13.3pt" o:ole="">
            <v:imagedata r:id="rId8132" o:title=""/>
          </v:shape>
          <o:OLEObject Type="Embed" ProgID="Equation.DSMT4" ShapeID="_x0000_i5067" DrawAspect="Content" ObjectID="_1791379011" r:id="rId8133"/>
        </w:object>
      </w:r>
      <w:r w:rsidRPr="00D94694">
        <w:rPr>
          <w:rFonts w:hint="cs"/>
          <w:i/>
          <w:sz w:val="23"/>
          <w:szCs w:val="23"/>
          <w:rtl/>
        </w:rPr>
        <w:t xml:space="preserve">. آنگاه </w:t>
      </w:r>
      <w:r w:rsidRPr="00025957">
        <w:rPr>
          <w:position w:val="-4"/>
        </w:rPr>
        <w:object w:dxaOrig="240" w:dyaOrig="240" w14:anchorId="4B50CDE1">
          <v:shape id="_x0000_i5068" type="#_x0000_t75" style="width:12.1pt;height:12.1pt" o:ole="">
            <v:imagedata r:id="rId8134" o:title=""/>
          </v:shape>
          <o:OLEObject Type="Embed" ProgID="Equation.DSMT4" ShapeID="_x0000_i5068" DrawAspect="Content" ObjectID="_1791379012" r:id="rId8135"/>
        </w:object>
      </w:r>
      <w:r w:rsidRPr="00D94694">
        <w:rPr>
          <w:rFonts w:hint="cs"/>
          <w:i/>
          <w:sz w:val="23"/>
          <w:szCs w:val="23"/>
          <w:rtl/>
        </w:rPr>
        <w:t xml:space="preserve">ماتریس مربع بوده و با معکوس کردن آن برای هر وضعیت ممکن یعنی </w:t>
      </w:r>
      <w:r w:rsidRPr="00D94694">
        <w:rPr>
          <w:position w:val="-8"/>
        </w:rPr>
        <w:object w:dxaOrig="940" w:dyaOrig="279" w14:anchorId="75F7081A">
          <v:shape id="_x0000_i5069" type="#_x0000_t75" style="width:47.2pt;height:13.9pt" o:ole="">
            <v:imagedata r:id="rId8136" o:title=""/>
          </v:shape>
          <o:OLEObject Type="Embed" ProgID="Equation.DSMT4" ShapeID="_x0000_i5069" DrawAspect="Content" ObjectID="_1791379013" r:id="rId8137"/>
        </w:object>
      </w:r>
      <w:r w:rsidRPr="00D94694">
        <w:rPr>
          <w:i/>
          <w:sz w:val="23"/>
          <w:szCs w:val="23"/>
        </w:rPr>
        <w:t xml:space="preserve"> </w:t>
      </w:r>
      <w:r w:rsidRPr="00D94694">
        <w:rPr>
          <w:rFonts w:hint="cs"/>
          <w:i/>
          <w:sz w:val="23"/>
          <w:szCs w:val="23"/>
          <w:rtl/>
        </w:rPr>
        <w:t xml:space="preserve">قیمت‌های مطالبات مشروط یعنی </w:t>
      </w:r>
      <w:r w:rsidRPr="00D94694">
        <w:rPr>
          <w:position w:val="-12"/>
        </w:rPr>
        <w:object w:dxaOrig="480" w:dyaOrig="360" w14:anchorId="20FEC5B5">
          <v:shape id="_x0000_i5070" type="#_x0000_t75" style="width:24.2pt;height:18.15pt" o:ole="">
            <v:imagedata r:id="rId8138" o:title=""/>
          </v:shape>
          <o:OLEObject Type="Embed" ProgID="Equation.DSMT4" ShapeID="_x0000_i5070" DrawAspect="Content" ObjectID="_1791379014" r:id="rId8139"/>
        </w:object>
      </w:r>
      <w:r w:rsidRPr="00D94694">
        <w:rPr>
          <w:rFonts w:hint="cs"/>
          <w:i/>
          <w:sz w:val="23"/>
          <w:szCs w:val="23"/>
          <w:rtl/>
        </w:rPr>
        <w:t xml:space="preserve"> بدست می</w:t>
      </w:r>
      <w:r w:rsidRPr="00D94694">
        <w:rPr>
          <w:i/>
          <w:sz w:val="23"/>
          <w:szCs w:val="23"/>
          <w:rtl/>
        </w:rPr>
        <w:softHyphen/>
      </w:r>
      <w:r w:rsidRPr="00D94694">
        <w:rPr>
          <w:rFonts w:hint="cs"/>
          <w:i/>
          <w:sz w:val="23"/>
          <w:szCs w:val="23"/>
          <w:rtl/>
        </w:rPr>
        <w:t>آمد. لذا</w:t>
      </w:r>
    </w:p>
    <w:p w14:paraId="5D6B8506" w14:textId="77777777" w:rsidR="00411620" w:rsidRPr="00D94694" w:rsidRDefault="00411620" w:rsidP="00411620">
      <w:pPr>
        <w:pStyle w:val="ListParagraph"/>
        <w:bidi w:val="0"/>
        <w:spacing w:line="216" w:lineRule="auto"/>
        <w:ind w:left="0"/>
        <w:rPr>
          <w:i/>
          <w:sz w:val="23"/>
          <w:szCs w:val="23"/>
        </w:rPr>
      </w:pPr>
      <w:r w:rsidRPr="00D94694">
        <w:rPr>
          <w:position w:val="-8"/>
        </w:rPr>
        <w:object w:dxaOrig="880" w:dyaOrig="320" w14:anchorId="68F378C2">
          <v:shape id="_x0000_i5071" type="#_x0000_t75" style="width:44.15pt;height:15.75pt" o:ole="">
            <v:imagedata r:id="rId8140" o:title=""/>
          </v:shape>
          <o:OLEObject Type="Embed" ProgID="Equation.DSMT4" ShapeID="_x0000_i5071" DrawAspect="Content" ObjectID="_1791379015" r:id="rId8141"/>
        </w:object>
      </w:r>
      <w:r w:rsidRPr="00D94694">
        <w:rPr>
          <w:rFonts w:hint="cs"/>
          <w:i/>
          <w:sz w:val="23"/>
          <w:szCs w:val="23"/>
          <w:rtl/>
        </w:rPr>
        <w:t xml:space="preserve"> </w:t>
      </w:r>
    </w:p>
    <w:p w14:paraId="00DB3031" w14:textId="77777777" w:rsidR="00411620" w:rsidRPr="00D94694" w:rsidRDefault="00411620" w:rsidP="00411620">
      <w:pPr>
        <w:pStyle w:val="ListParagraph"/>
        <w:spacing w:line="216" w:lineRule="auto"/>
        <w:ind w:left="0"/>
        <w:rPr>
          <w:i/>
          <w:sz w:val="23"/>
          <w:szCs w:val="23"/>
          <w:rtl/>
        </w:rPr>
      </w:pPr>
      <w:r w:rsidRPr="00D94694">
        <w:rPr>
          <w:rFonts w:hint="cs"/>
          <w:i/>
          <w:sz w:val="23"/>
          <w:szCs w:val="23"/>
          <w:rtl/>
        </w:rPr>
        <w:t>با استفاده از اطلاعات قیمت بازار</w:t>
      </w:r>
      <w:r w:rsidRPr="00D94694">
        <w:rPr>
          <w:position w:val="-12"/>
        </w:rPr>
        <w:object w:dxaOrig="480" w:dyaOrig="360" w14:anchorId="5F6C99AB">
          <v:shape id="_x0000_i5072" type="#_x0000_t75" style="width:24.2pt;height:18.15pt" o:ole="">
            <v:imagedata r:id="rId8142" o:title=""/>
          </v:shape>
          <o:OLEObject Type="Embed" ProgID="Equation.DSMT4" ShapeID="_x0000_i5072" DrawAspect="Content" ObjectID="_1791379016" r:id="rId8143"/>
        </w:object>
      </w:r>
      <w:r w:rsidRPr="00D94694">
        <w:rPr>
          <w:i/>
          <w:sz w:val="23"/>
          <w:szCs w:val="23"/>
        </w:rPr>
        <w:t xml:space="preserve"> </w:t>
      </w:r>
      <w:r w:rsidRPr="00D94694">
        <w:rPr>
          <w:rFonts w:hint="cs"/>
          <w:i/>
          <w:sz w:val="23"/>
          <w:szCs w:val="23"/>
          <w:rtl/>
        </w:rPr>
        <w:t>و عواید</w:t>
      </w:r>
      <w:r w:rsidRPr="00D94694">
        <w:rPr>
          <w:position w:val="-12"/>
        </w:rPr>
        <w:object w:dxaOrig="480" w:dyaOrig="360" w14:anchorId="6450243D">
          <v:shape id="_x0000_i5073" type="#_x0000_t75" style="width:24.2pt;height:18.15pt" o:ole="">
            <v:imagedata r:id="rId8144" o:title=""/>
          </v:shape>
          <o:OLEObject Type="Embed" ProgID="Equation.DSMT4" ShapeID="_x0000_i5073" DrawAspect="Content" ObjectID="_1791379017" r:id="rId8145"/>
        </w:object>
      </w:r>
      <w:r w:rsidRPr="00D94694">
        <w:rPr>
          <w:rFonts w:hint="cs"/>
          <w:i/>
          <w:sz w:val="23"/>
          <w:szCs w:val="23"/>
          <w:rtl/>
        </w:rPr>
        <w:t>،</w:t>
      </w:r>
      <w:r w:rsidRPr="00D94694">
        <w:rPr>
          <w:i/>
          <w:sz w:val="23"/>
          <w:szCs w:val="23"/>
        </w:rPr>
        <w:t xml:space="preserve"> </w:t>
      </w:r>
      <w:r w:rsidRPr="00D94694">
        <w:rPr>
          <w:rFonts w:hint="cs"/>
          <w:i/>
          <w:sz w:val="23"/>
          <w:szCs w:val="23"/>
          <w:rtl/>
        </w:rPr>
        <w:t xml:space="preserve">می‌توان قیمت‌های وضعیت </w:t>
      </w:r>
      <w:r w:rsidRPr="00D94694">
        <w:rPr>
          <w:position w:val="-12"/>
        </w:rPr>
        <w:object w:dxaOrig="480" w:dyaOrig="360" w14:anchorId="718B204F">
          <v:shape id="_x0000_i5074" type="#_x0000_t75" style="width:24.2pt;height:18.15pt" o:ole="">
            <v:imagedata r:id="rId8146" o:title=""/>
          </v:shape>
          <o:OLEObject Type="Embed" ProgID="Equation.DSMT4" ShapeID="_x0000_i5074" DrawAspect="Content" ObjectID="_1791379018" r:id="rId8147"/>
        </w:object>
      </w:r>
      <w:r w:rsidRPr="00D94694">
        <w:rPr>
          <w:i/>
          <w:sz w:val="23"/>
          <w:szCs w:val="23"/>
        </w:rPr>
        <w:t xml:space="preserve"> </w:t>
      </w:r>
      <w:r w:rsidRPr="00D94694">
        <w:rPr>
          <w:rFonts w:hint="cs"/>
          <w:i/>
          <w:sz w:val="23"/>
          <w:szCs w:val="23"/>
          <w:rtl/>
        </w:rPr>
        <w:t xml:space="preserve">را بدست آورد. در این حالت از آنجا که قیمت‌های بازار حاوی تمام اطلاعات مورد نیاز برای بدست آوردن قیمت‌های منحصر به فرد وضعیت است، گفته می‌شود بازار کامل است. به بیانی دیگر عوامل تنزیل تصادفی </w:t>
      </w:r>
      <w:r w:rsidRPr="00D94694">
        <w:rPr>
          <w:position w:val="-12"/>
        </w:rPr>
        <w:object w:dxaOrig="520" w:dyaOrig="360" w14:anchorId="016362FA">
          <v:shape id="_x0000_i5075" type="#_x0000_t75" style="width:26pt;height:18.15pt" o:ole="">
            <v:imagedata r:id="rId8148" o:title=""/>
          </v:shape>
          <o:OLEObject Type="Embed" ProgID="Equation.DSMT4" ShapeID="_x0000_i5075" DrawAspect="Content" ObjectID="_1791379019" r:id="rId8149"/>
        </w:object>
      </w:r>
      <w:r w:rsidRPr="00D94694">
        <w:rPr>
          <w:rFonts w:hint="cs"/>
          <w:i/>
          <w:sz w:val="23"/>
          <w:szCs w:val="23"/>
          <w:rtl/>
        </w:rPr>
        <w:t xml:space="preserve"> به طور منحصر به فرد تعریف شده و برای کلیه‌ی سرمایه‌گذاران یکسان است. </w:t>
      </w:r>
    </w:p>
    <w:p w14:paraId="73D488B0" w14:textId="77777777" w:rsidR="00411620" w:rsidRPr="00D94694" w:rsidRDefault="00411620" w:rsidP="00411620">
      <w:pPr>
        <w:pStyle w:val="ListParagraph"/>
        <w:spacing w:line="216" w:lineRule="auto"/>
        <w:ind w:left="0"/>
        <w:rPr>
          <w:i/>
          <w:sz w:val="23"/>
          <w:szCs w:val="23"/>
          <w:rtl/>
        </w:rPr>
      </w:pPr>
      <w:r w:rsidRPr="00D94694">
        <w:rPr>
          <w:rFonts w:hint="cs"/>
          <w:bCs/>
          <w:i/>
          <w:sz w:val="23"/>
          <w:szCs w:val="23"/>
          <w:rtl/>
        </w:rPr>
        <w:t>ب-</w:t>
      </w:r>
      <w:r w:rsidRPr="00D94694">
        <w:rPr>
          <w:rFonts w:hint="cs"/>
          <w:i/>
          <w:sz w:val="23"/>
          <w:szCs w:val="23"/>
          <w:rtl/>
        </w:rPr>
        <w:t xml:space="preserve"> اگر تعداد دارایی</w:t>
      </w:r>
      <w:r w:rsidRPr="00D94694">
        <w:rPr>
          <w:i/>
          <w:sz w:val="23"/>
          <w:szCs w:val="23"/>
          <w:rtl/>
        </w:rPr>
        <w:softHyphen/>
      </w:r>
      <w:r w:rsidRPr="00D94694">
        <w:rPr>
          <w:rFonts w:hint="cs"/>
          <w:i/>
          <w:sz w:val="23"/>
          <w:szCs w:val="23"/>
          <w:rtl/>
        </w:rPr>
        <w:t>ها بیشتر از تعداد وضعیت</w:t>
      </w:r>
      <w:r w:rsidRPr="00D94694">
        <w:rPr>
          <w:i/>
          <w:sz w:val="23"/>
          <w:szCs w:val="23"/>
          <w:rtl/>
        </w:rPr>
        <w:softHyphen/>
      </w:r>
      <w:r w:rsidRPr="00D94694">
        <w:rPr>
          <w:rFonts w:hint="cs"/>
          <w:i/>
          <w:sz w:val="23"/>
          <w:szCs w:val="23"/>
          <w:rtl/>
        </w:rPr>
        <w:t>ها باشد، یعنی</w:t>
      </w:r>
      <w:r w:rsidRPr="00D94694">
        <w:rPr>
          <w:position w:val="-6"/>
        </w:rPr>
        <w:object w:dxaOrig="580" w:dyaOrig="260" w14:anchorId="5CD8B010">
          <v:shape id="_x0000_i5076" type="#_x0000_t75" style="width:29.05pt;height:13.3pt" o:ole="">
            <v:imagedata r:id="rId8150" o:title=""/>
          </v:shape>
          <o:OLEObject Type="Embed" ProgID="Equation.DSMT4" ShapeID="_x0000_i5076" DrawAspect="Content" ObjectID="_1791379020" r:id="rId8151"/>
        </w:object>
      </w:r>
      <w:r w:rsidRPr="00D94694">
        <w:rPr>
          <w:rFonts w:hint="cs"/>
          <w:i/>
          <w:sz w:val="23"/>
          <w:szCs w:val="23"/>
          <w:rtl/>
        </w:rPr>
        <w:t xml:space="preserve">، و بنابراین </w:t>
      </w:r>
      <w:r w:rsidRPr="00025957">
        <w:rPr>
          <w:position w:val="-4"/>
        </w:rPr>
        <w:object w:dxaOrig="240" w:dyaOrig="240" w14:anchorId="7FE74C32">
          <v:shape id="_x0000_i5077" type="#_x0000_t75" style="width:12.1pt;height:12.1pt" o:ole="">
            <v:imagedata r:id="rId8152" o:title=""/>
          </v:shape>
          <o:OLEObject Type="Embed" ProgID="Equation.DSMT4" ShapeID="_x0000_i5077" DrawAspect="Content" ObjectID="_1791379021" r:id="rId8153"/>
        </w:object>
      </w:r>
      <w:r w:rsidRPr="00D94694">
        <w:rPr>
          <w:rFonts w:hint="cs"/>
          <w:i/>
          <w:sz w:val="23"/>
          <w:szCs w:val="23"/>
          <w:rtl/>
        </w:rPr>
        <w:t xml:space="preserve"> ماتریسی است غیر مربع و معکوسِ منفرد آن وجود نخواهد داشت. باید توجه داشت که اگر</w:t>
      </w:r>
      <w:r w:rsidRPr="00025957">
        <w:rPr>
          <w:position w:val="-4"/>
        </w:rPr>
        <w:object w:dxaOrig="320" w:dyaOrig="279" w14:anchorId="67632587">
          <v:shape id="_x0000_i5078" type="#_x0000_t75" style="width:15.75pt;height:13.9pt" o:ole="">
            <v:imagedata r:id="rId8154" o:title=""/>
          </v:shape>
          <o:OLEObject Type="Embed" ProgID="Equation.DSMT4" ShapeID="_x0000_i5078" DrawAspect="Content" ObjectID="_1791379022" r:id="rId8155"/>
        </w:object>
      </w:r>
      <w:r w:rsidRPr="00D94694">
        <w:rPr>
          <w:rFonts w:hint="cs"/>
          <w:i/>
          <w:sz w:val="23"/>
          <w:szCs w:val="23"/>
          <w:rtl/>
        </w:rPr>
        <w:t xml:space="preserve"> معکوس</w:t>
      </w:r>
      <w:r w:rsidRPr="00025957">
        <w:rPr>
          <w:position w:val="-4"/>
        </w:rPr>
        <w:object w:dxaOrig="240" w:dyaOrig="240" w14:anchorId="61A3A68D">
          <v:shape id="_x0000_i5079" type="#_x0000_t75" style="width:12.1pt;height:12.1pt" o:ole="">
            <v:imagedata r:id="rId8156" o:title=""/>
          </v:shape>
          <o:OLEObject Type="Embed" ProgID="Equation.DSMT4" ShapeID="_x0000_i5079" DrawAspect="Content" ObjectID="_1791379023" r:id="rId8157"/>
        </w:object>
      </w:r>
      <w:r w:rsidRPr="00D94694">
        <w:rPr>
          <w:rFonts w:hint="cs"/>
          <w:i/>
          <w:sz w:val="23"/>
          <w:szCs w:val="23"/>
          <w:rtl/>
        </w:rPr>
        <w:t xml:space="preserve"> باشد آنگاه</w:t>
      </w:r>
      <w:r w:rsidRPr="00025957">
        <w:rPr>
          <w:position w:val="-4"/>
        </w:rPr>
        <w:object w:dxaOrig="800" w:dyaOrig="279" w14:anchorId="5E394863">
          <v:shape id="_x0000_i5080" type="#_x0000_t75" style="width:39.95pt;height:13.9pt" o:ole="">
            <v:imagedata r:id="rId8158" o:title=""/>
          </v:shape>
          <o:OLEObject Type="Embed" ProgID="Equation.DSMT4" ShapeID="_x0000_i5080" DrawAspect="Content" ObjectID="_1791379024" r:id="rId8159"/>
        </w:object>
      </w:r>
      <w:r w:rsidRPr="00D94694">
        <w:rPr>
          <w:i/>
          <w:sz w:val="23"/>
          <w:szCs w:val="23"/>
        </w:rPr>
        <w:t>.</w:t>
      </w:r>
      <w:r w:rsidRPr="00D94694">
        <w:rPr>
          <w:rFonts w:hint="cs"/>
          <w:i/>
          <w:sz w:val="23"/>
          <w:szCs w:val="23"/>
          <w:rtl/>
        </w:rPr>
        <w:t xml:space="preserve"> اگر ماتریس معکوس منفرد وجود داشته باشد آنگاه</w:t>
      </w:r>
      <w:r w:rsidRPr="00025957">
        <w:rPr>
          <w:position w:val="-4"/>
        </w:rPr>
        <w:object w:dxaOrig="880" w:dyaOrig="279" w14:anchorId="569ADDA6">
          <v:shape id="_x0000_i5081" type="#_x0000_t75" style="width:44.15pt;height:13.9pt" o:ole="">
            <v:imagedata r:id="rId8160" o:title=""/>
          </v:shape>
          <o:OLEObject Type="Embed" ProgID="Equation.DSMT4" ShapeID="_x0000_i5081" DrawAspect="Content" ObjectID="_1791379025" r:id="rId8161"/>
        </w:object>
      </w:r>
      <w:r w:rsidRPr="00D94694">
        <w:rPr>
          <w:rFonts w:hint="cs"/>
          <w:i/>
          <w:sz w:val="23"/>
          <w:szCs w:val="23"/>
          <w:rtl/>
        </w:rPr>
        <w:t xml:space="preserve"> که مستلزم آن </w:t>
      </w:r>
      <w:r w:rsidRPr="00D94694">
        <w:rPr>
          <w:rFonts w:hint="cs"/>
          <w:i/>
          <w:sz w:val="23"/>
          <w:szCs w:val="23"/>
          <w:rtl/>
        </w:rPr>
        <w:lastRenderedPageBreak/>
        <w:t xml:space="preserve">است که </w:t>
      </w:r>
      <w:r w:rsidRPr="00025957">
        <w:rPr>
          <w:position w:val="-4"/>
        </w:rPr>
        <w:object w:dxaOrig="240" w:dyaOrig="240" w14:anchorId="0E36016C">
          <v:shape id="_x0000_i5082" type="#_x0000_t75" style="width:12.1pt;height:12.1pt" o:ole="">
            <v:imagedata r:id="rId8162" o:title=""/>
          </v:shape>
          <o:OLEObject Type="Embed" ProgID="Equation.DSMT4" ShapeID="_x0000_i5082" DrawAspect="Content" ObjectID="_1791379026" r:id="rId8163"/>
        </w:object>
      </w:r>
      <w:r w:rsidRPr="00D94694">
        <w:rPr>
          <w:rFonts w:hint="cs"/>
          <w:i/>
          <w:sz w:val="23"/>
          <w:szCs w:val="23"/>
          <w:rtl/>
        </w:rPr>
        <w:t xml:space="preserve"> ماتریس مربع باشد. اما اگر</w:t>
      </w:r>
      <w:r w:rsidRPr="00D94694">
        <w:rPr>
          <w:position w:val="-10"/>
        </w:rPr>
        <w:object w:dxaOrig="480" w:dyaOrig="320" w14:anchorId="48E15716">
          <v:shape id="_x0000_i5083" type="#_x0000_t75" style="width:24.2pt;height:15.75pt" o:ole="">
            <v:imagedata r:id="rId8164" o:title=""/>
          </v:shape>
          <o:OLEObject Type="Embed" ProgID="Equation.DSMT4" ShapeID="_x0000_i5083" DrawAspect="Content" ObjectID="_1791379027" r:id="rId8165"/>
        </w:object>
      </w:r>
      <w:r w:rsidRPr="00D94694">
        <w:rPr>
          <w:i/>
          <w:sz w:val="23"/>
          <w:szCs w:val="23"/>
        </w:rPr>
        <w:t xml:space="preserve"> </w:t>
      </w:r>
      <w:r w:rsidRPr="00D94694">
        <w:rPr>
          <w:rFonts w:hint="cs"/>
          <w:i/>
          <w:sz w:val="23"/>
          <w:szCs w:val="23"/>
          <w:rtl/>
        </w:rPr>
        <w:t>و</w:t>
      </w:r>
      <w:r w:rsidRPr="00D94694">
        <w:rPr>
          <w:position w:val="-6"/>
        </w:rPr>
        <w:object w:dxaOrig="580" w:dyaOrig="260" w14:anchorId="07D6D271">
          <v:shape id="_x0000_i5084" type="#_x0000_t75" style="width:29.05pt;height:13.3pt" o:ole="">
            <v:imagedata r:id="rId8166" o:title=""/>
          </v:shape>
          <o:OLEObject Type="Embed" ProgID="Equation.DSMT4" ShapeID="_x0000_i5084" DrawAspect="Content" ObjectID="_1791379028" r:id="rId8167"/>
        </w:object>
      </w:r>
      <w:r w:rsidRPr="00D94694">
        <w:rPr>
          <w:i/>
          <w:sz w:val="23"/>
          <w:szCs w:val="23"/>
        </w:rPr>
        <w:t xml:space="preserve"> </w:t>
      </w:r>
      <w:r w:rsidRPr="00D94694">
        <w:rPr>
          <w:rFonts w:hint="cs"/>
          <w:i/>
          <w:sz w:val="23"/>
          <w:szCs w:val="23"/>
          <w:rtl/>
        </w:rPr>
        <w:t>باشد، آنگاه بیش از یک ماتریس</w:t>
      </w:r>
      <w:r w:rsidRPr="00025957">
        <w:rPr>
          <w:position w:val="-4"/>
        </w:rPr>
        <w:object w:dxaOrig="320" w:dyaOrig="279" w14:anchorId="5753FEA8">
          <v:shape id="_x0000_i5085" type="#_x0000_t75" style="width:15.75pt;height:13.9pt" o:ole="">
            <v:imagedata r:id="rId8168" o:title=""/>
          </v:shape>
          <o:OLEObject Type="Embed" ProgID="Equation.DSMT4" ShapeID="_x0000_i5085" DrawAspect="Content" ObjectID="_1791379029" r:id="rId8169"/>
        </w:object>
      </w:r>
      <w:r w:rsidRPr="00D94694">
        <w:rPr>
          <w:rFonts w:hint="cs"/>
          <w:i/>
          <w:sz w:val="23"/>
          <w:szCs w:val="23"/>
          <w:rtl/>
        </w:rPr>
        <w:t xml:space="preserve"> وجود خواهد داشت تا</w:t>
      </w:r>
      <w:r w:rsidRPr="00025957">
        <w:rPr>
          <w:position w:val="-4"/>
        </w:rPr>
        <w:object w:dxaOrig="800" w:dyaOrig="279" w14:anchorId="4C5D696B">
          <v:shape id="_x0000_i5086" type="#_x0000_t75" style="width:39.95pt;height:13.9pt" o:ole="">
            <v:imagedata r:id="rId8170" o:title=""/>
          </v:shape>
          <o:OLEObject Type="Embed" ProgID="Equation.DSMT4" ShapeID="_x0000_i5086" DrawAspect="Content" ObjectID="_1791379030" r:id="rId8171"/>
        </w:object>
      </w:r>
      <w:r w:rsidRPr="00D94694">
        <w:rPr>
          <w:rFonts w:hint="cs"/>
          <w:i/>
          <w:sz w:val="23"/>
          <w:szCs w:val="23"/>
          <w:rtl/>
        </w:rPr>
        <w:t xml:space="preserve"> باشد. بنابراین</w:t>
      </w:r>
      <w:r w:rsidRPr="00D94694">
        <w:rPr>
          <w:position w:val="-8"/>
        </w:rPr>
        <w:object w:dxaOrig="220" w:dyaOrig="279" w14:anchorId="36A20769">
          <v:shape id="_x0000_i5087" type="#_x0000_t75" style="width:10.9pt;height:13.9pt" o:ole="">
            <v:imagedata r:id="rId8172" o:title=""/>
          </v:shape>
          <o:OLEObject Type="Embed" ProgID="Equation.DSMT4" ShapeID="_x0000_i5087" DrawAspect="Content" ObjectID="_1791379031" r:id="rId8173"/>
        </w:object>
      </w:r>
      <w:r w:rsidRPr="00D94694">
        <w:rPr>
          <w:i/>
          <w:sz w:val="23"/>
          <w:szCs w:val="23"/>
        </w:rPr>
        <w:t xml:space="preserve"> </w:t>
      </w:r>
      <w:r w:rsidRPr="00D94694">
        <w:rPr>
          <w:rFonts w:hint="cs"/>
          <w:i/>
          <w:sz w:val="23"/>
          <w:szCs w:val="23"/>
          <w:rtl/>
        </w:rPr>
        <w:t>را نمی توان از بردار</w:t>
      </w:r>
      <w:r w:rsidRPr="00D94694">
        <w:rPr>
          <w:position w:val="-8"/>
        </w:rPr>
        <w:object w:dxaOrig="220" w:dyaOrig="279" w14:anchorId="0103234F">
          <v:shape id="_x0000_i5088" type="#_x0000_t75" style="width:10.9pt;height:13.9pt" o:ole="">
            <v:imagedata r:id="rId8174" o:title=""/>
          </v:shape>
          <o:OLEObject Type="Embed" ProgID="Equation.DSMT4" ShapeID="_x0000_i5088" DrawAspect="Content" ObjectID="_1791379032" r:id="rId8175"/>
        </w:object>
      </w:r>
      <w:r w:rsidRPr="00D94694">
        <w:rPr>
          <w:rFonts w:hint="cs"/>
          <w:i/>
          <w:sz w:val="23"/>
          <w:szCs w:val="23"/>
          <w:rtl/>
        </w:rPr>
        <w:t xml:space="preserve"> به صورت منحصر به فرد بدست آورد</w:t>
      </w:r>
      <w:r w:rsidRPr="00D94694">
        <w:rPr>
          <w:i/>
          <w:sz w:val="23"/>
          <w:szCs w:val="23"/>
        </w:rPr>
        <w:t>.</w:t>
      </w:r>
      <w:r w:rsidRPr="00D94694">
        <w:rPr>
          <w:rFonts w:hint="cs"/>
          <w:i/>
          <w:sz w:val="23"/>
          <w:szCs w:val="23"/>
          <w:rtl/>
        </w:rPr>
        <w:t xml:space="preserve"> در واقع بی</w:t>
      </w:r>
      <w:r w:rsidRPr="00D94694">
        <w:rPr>
          <w:i/>
          <w:sz w:val="23"/>
          <w:szCs w:val="23"/>
          <w:rtl/>
        </w:rPr>
        <w:softHyphen/>
      </w:r>
      <w:r w:rsidRPr="00D94694">
        <w:rPr>
          <w:rFonts w:hint="cs"/>
          <w:i/>
          <w:sz w:val="23"/>
          <w:szCs w:val="23"/>
          <w:rtl/>
        </w:rPr>
        <w:t>نهایت راه برای بدست آوردن</w:t>
      </w:r>
      <w:r w:rsidRPr="00D94694">
        <w:rPr>
          <w:position w:val="-8"/>
        </w:rPr>
        <w:object w:dxaOrig="220" w:dyaOrig="279" w14:anchorId="706E5135">
          <v:shape id="_x0000_i5089" type="#_x0000_t75" style="width:10.9pt;height:13.9pt" o:ole="">
            <v:imagedata r:id="rId8176" o:title=""/>
          </v:shape>
          <o:OLEObject Type="Embed" ProgID="Equation.DSMT4" ShapeID="_x0000_i5089" DrawAspect="Content" ObjectID="_1791379033" r:id="rId8177"/>
        </w:object>
      </w:r>
      <w:r w:rsidRPr="00D94694">
        <w:rPr>
          <w:rFonts w:hint="cs"/>
          <w:i/>
          <w:sz w:val="23"/>
          <w:szCs w:val="23"/>
          <w:rtl/>
        </w:rPr>
        <w:t xml:space="preserve"> و به تبع آن بی</w:t>
      </w:r>
      <w:r w:rsidRPr="00D94694">
        <w:rPr>
          <w:i/>
          <w:sz w:val="23"/>
          <w:szCs w:val="23"/>
          <w:rtl/>
        </w:rPr>
        <w:softHyphen/>
      </w:r>
      <w:r w:rsidRPr="00D94694">
        <w:rPr>
          <w:rFonts w:hint="cs"/>
          <w:i/>
          <w:sz w:val="23"/>
          <w:szCs w:val="23"/>
          <w:rtl/>
        </w:rPr>
        <w:t>نهایت تعداد توابع قیمت‌گذاری و یا عوامل تنزیل تصادفی</w:t>
      </w:r>
      <w:r w:rsidRPr="00D94694">
        <w:rPr>
          <w:position w:val="-12"/>
        </w:rPr>
        <w:object w:dxaOrig="520" w:dyaOrig="360" w14:anchorId="532E5158">
          <v:shape id="_x0000_i5090" type="#_x0000_t75" style="width:26pt;height:18.15pt" o:ole="">
            <v:imagedata r:id="rId8178" o:title=""/>
          </v:shape>
          <o:OLEObject Type="Embed" ProgID="Equation.DSMT4" ShapeID="_x0000_i5090" DrawAspect="Content" ObjectID="_1791379034" r:id="rId8179"/>
        </w:object>
      </w:r>
      <w:r w:rsidRPr="00D94694">
        <w:rPr>
          <w:i/>
          <w:sz w:val="23"/>
          <w:szCs w:val="23"/>
        </w:rPr>
        <w:t xml:space="preserve"> </w:t>
      </w:r>
      <w:r w:rsidRPr="00D94694">
        <w:rPr>
          <w:rFonts w:hint="cs"/>
          <w:i/>
          <w:sz w:val="23"/>
          <w:szCs w:val="23"/>
          <w:rtl/>
        </w:rPr>
        <w:t>وجود خواهد داشت.</w:t>
      </w:r>
    </w:p>
    <w:p w14:paraId="3B8CAD51" w14:textId="77777777" w:rsidR="00411620" w:rsidRPr="00D94694" w:rsidRDefault="00411620" w:rsidP="00411620">
      <w:pPr>
        <w:pStyle w:val="ListParagraph"/>
        <w:spacing w:line="216" w:lineRule="auto"/>
        <w:ind w:left="0"/>
        <w:rPr>
          <w:i/>
          <w:sz w:val="23"/>
          <w:szCs w:val="23"/>
          <w:rtl/>
        </w:rPr>
      </w:pPr>
      <w:r w:rsidRPr="00D94694">
        <w:rPr>
          <w:rFonts w:hint="cs"/>
          <w:bCs/>
          <w:i/>
          <w:sz w:val="23"/>
          <w:szCs w:val="23"/>
          <w:rtl/>
        </w:rPr>
        <w:t xml:space="preserve">ج </w:t>
      </w:r>
      <w:r w:rsidRPr="00D94694">
        <w:rPr>
          <w:rFonts w:cs="Times New Roman" w:hint="cs"/>
          <w:bCs/>
          <w:i/>
          <w:sz w:val="23"/>
          <w:szCs w:val="23"/>
          <w:rtl/>
        </w:rPr>
        <w:t>–</w:t>
      </w:r>
      <w:r w:rsidRPr="00D94694">
        <w:rPr>
          <w:rFonts w:hint="cs"/>
          <w:i/>
          <w:sz w:val="23"/>
          <w:szCs w:val="23"/>
          <w:rtl/>
        </w:rPr>
        <w:t>چنانچه تعداد دارایی کمتر از تعداد وضعیت</w:t>
      </w:r>
      <w:r w:rsidRPr="00D94694">
        <w:rPr>
          <w:i/>
          <w:sz w:val="23"/>
          <w:szCs w:val="23"/>
          <w:rtl/>
        </w:rPr>
        <w:softHyphen/>
      </w:r>
      <w:r w:rsidRPr="00D94694">
        <w:rPr>
          <w:rFonts w:hint="cs"/>
          <w:i/>
          <w:sz w:val="23"/>
          <w:szCs w:val="23"/>
          <w:rtl/>
        </w:rPr>
        <w:t xml:space="preserve">ها باشد، یعنی </w:t>
      </w:r>
      <w:r w:rsidRPr="00D94694">
        <w:rPr>
          <w:position w:val="-6"/>
        </w:rPr>
        <w:object w:dxaOrig="580" w:dyaOrig="260" w14:anchorId="32F38259">
          <v:shape id="_x0000_i5091" type="#_x0000_t75" style="width:29.05pt;height:13.3pt" o:ole="">
            <v:imagedata r:id="rId8180" o:title=""/>
          </v:shape>
          <o:OLEObject Type="Embed" ProgID="Equation.DSMT4" ShapeID="_x0000_i5091" DrawAspect="Content" ObjectID="_1791379035" r:id="rId8181"/>
        </w:object>
      </w:r>
      <w:r w:rsidRPr="00D94694">
        <w:rPr>
          <w:rFonts w:hint="cs"/>
          <w:i/>
          <w:sz w:val="23"/>
          <w:szCs w:val="23"/>
          <w:rtl/>
        </w:rPr>
        <w:t xml:space="preserve"> باشد، آنگاه </w:t>
      </w:r>
      <w:r w:rsidRPr="00025957">
        <w:rPr>
          <w:position w:val="-4"/>
        </w:rPr>
        <w:object w:dxaOrig="240" w:dyaOrig="240" w14:anchorId="42DC60F4">
          <v:shape id="_x0000_i5092" type="#_x0000_t75" style="width:12.1pt;height:12.1pt" o:ole="">
            <v:imagedata r:id="rId8182" o:title=""/>
          </v:shape>
          <o:OLEObject Type="Embed" ProgID="Equation.DSMT4" ShapeID="_x0000_i5092" DrawAspect="Content" ObjectID="_1791379036" r:id="rId8183"/>
        </w:object>
      </w:r>
      <w:r w:rsidRPr="00D94694">
        <w:rPr>
          <w:rFonts w:hint="cs"/>
          <w:i/>
          <w:sz w:val="23"/>
          <w:szCs w:val="23"/>
          <w:rtl/>
        </w:rPr>
        <w:t xml:space="preserve"> ماتریسی است غیرمربع و معکوس آن وجود نخواهد داشت. بنابراین</w:t>
      </w:r>
      <w:r w:rsidRPr="00D94694">
        <w:rPr>
          <w:i/>
          <w:sz w:val="23"/>
          <w:szCs w:val="23"/>
        </w:rPr>
        <w:t xml:space="preserve"> </w:t>
      </w:r>
      <w:r w:rsidRPr="00D94694">
        <w:rPr>
          <w:rFonts w:hint="cs"/>
          <w:i/>
          <w:sz w:val="23"/>
          <w:szCs w:val="23"/>
          <w:rtl/>
        </w:rPr>
        <w:t>نمی</w:t>
      </w:r>
      <w:r w:rsidRPr="00D94694">
        <w:rPr>
          <w:i/>
          <w:sz w:val="23"/>
          <w:szCs w:val="23"/>
          <w:rtl/>
        </w:rPr>
        <w:softHyphen/>
      </w:r>
      <w:r w:rsidRPr="00D94694">
        <w:rPr>
          <w:rFonts w:hint="cs"/>
          <w:i/>
          <w:sz w:val="23"/>
          <w:szCs w:val="23"/>
          <w:rtl/>
        </w:rPr>
        <w:t>توان</w:t>
      </w:r>
      <w:r w:rsidRPr="00D94694">
        <w:rPr>
          <w:position w:val="-8"/>
        </w:rPr>
        <w:object w:dxaOrig="220" w:dyaOrig="279" w14:anchorId="1B805B91">
          <v:shape id="_x0000_i5093" type="#_x0000_t75" style="width:10.9pt;height:13.9pt" o:ole="">
            <v:imagedata r:id="rId8184" o:title=""/>
          </v:shape>
          <o:OLEObject Type="Embed" ProgID="Equation.DSMT4" ShapeID="_x0000_i5093" DrawAspect="Content" ObjectID="_1791379037" r:id="rId8185"/>
        </w:object>
      </w:r>
      <w:r w:rsidRPr="00D94694">
        <w:rPr>
          <w:i/>
          <w:sz w:val="23"/>
          <w:szCs w:val="23"/>
        </w:rPr>
        <w:t xml:space="preserve"> </w:t>
      </w:r>
      <w:r w:rsidRPr="00D94694">
        <w:rPr>
          <w:rFonts w:hint="cs"/>
          <w:i/>
          <w:sz w:val="23"/>
          <w:szCs w:val="23"/>
          <w:rtl/>
        </w:rPr>
        <w:t xml:space="preserve">را از بردار </w:t>
      </w:r>
      <w:r w:rsidRPr="00D94694">
        <w:rPr>
          <w:position w:val="-8"/>
        </w:rPr>
        <w:object w:dxaOrig="220" w:dyaOrig="279" w14:anchorId="264584DF">
          <v:shape id="_x0000_i5094" type="#_x0000_t75" style="width:10.9pt;height:13.9pt" o:ole="">
            <v:imagedata r:id="rId8186" o:title=""/>
          </v:shape>
          <o:OLEObject Type="Embed" ProgID="Equation.DSMT4" ShapeID="_x0000_i5094" DrawAspect="Content" ObjectID="_1791379038" r:id="rId8187"/>
        </w:object>
      </w:r>
      <w:r w:rsidRPr="00D94694">
        <w:rPr>
          <w:rFonts w:hint="cs"/>
          <w:i/>
          <w:sz w:val="23"/>
          <w:szCs w:val="23"/>
          <w:rtl/>
        </w:rPr>
        <w:t xml:space="preserve"> بدست آورد</w:t>
      </w:r>
      <w:r w:rsidRPr="00D94694">
        <w:rPr>
          <w:i/>
          <w:sz w:val="23"/>
          <w:szCs w:val="23"/>
        </w:rPr>
        <w:t>.</w:t>
      </w:r>
      <w:r w:rsidRPr="00D94694">
        <w:rPr>
          <w:rFonts w:hint="cs"/>
          <w:i/>
          <w:sz w:val="23"/>
          <w:szCs w:val="23"/>
          <w:rtl/>
        </w:rPr>
        <w:t xml:space="preserve"> این حالتی است قیمت‌گذاری اوراق مشتقه بر حسب قیمت‌های برخی مشتقه‌ی پایه بدست آید.</w:t>
      </w:r>
    </w:p>
    <w:p w14:paraId="1EE1D8AA" w14:textId="77777777" w:rsidR="00411620" w:rsidRPr="00D94694" w:rsidRDefault="00411620" w:rsidP="00411620">
      <w:pPr>
        <w:pStyle w:val="ListParagraph"/>
        <w:spacing w:line="216" w:lineRule="auto"/>
        <w:ind w:left="0"/>
        <w:rPr>
          <w:i/>
          <w:sz w:val="23"/>
          <w:szCs w:val="23"/>
          <w:rtl/>
        </w:rPr>
      </w:pPr>
    </w:p>
    <w:p w14:paraId="5941BC3C" w14:textId="77777777" w:rsidR="00411620" w:rsidRPr="00D94694" w:rsidRDefault="00411620" w:rsidP="00411620">
      <w:pPr>
        <w:pStyle w:val="Heading1"/>
        <w:spacing w:before="0" w:line="216" w:lineRule="auto"/>
        <w:rPr>
          <w:rFonts w:ascii="Times New Roman" w:hAnsi="Times New Roman" w:cs="B Nazanin"/>
          <w:b w:val="0"/>
          <w:i/>
          <w:sz w:val="23"/>
          <w:szCs w:val="23"/>
          <w:rtl/>
        </w:rPr>
      </w:pPr>
      <w:r w:rsidRPr="00D94694">
        <w:rPr>
          <w:rFonts w:ascii="Times New Roman" w:hAnsi="Times New Roman" w:cs="B Nazanin" w:hint="cs"/>
          <w:b w:val="0"/>
          <w:i/>
          <w:sz w:val="23"/>
          <w:szCs w:val="23"/>
          <w:rtl/>
        </w:rPr>
        <w:t>۱۱. ۹. ۱ اشتراک ریسک و بازارهای کامل</w:t>
      </w:r>
    </w:p>
    <w:p w14:paraId="49DF38C4" w14:textId="77777777" w:rsidR="00411620" w:rsidRPr="00D94694" w:rsidRDefault="00411620" w:rsidP="00411620">
      <w:pPr>
        <w:pStyle w:val="ListParagraph"/>
        <w:tabs>
          <w:tab w:val="right" w:pos="7233"/>
        </w:tabs>
        <w:spacing w:line="216" w:lineRule="auto"/>
        <w:ind w:left="0"/>
        <w:rPr>
          <w:i/>
          <w:sz w:val="23"/>
          <w:szCs w:val="23"/>
          <w:rtl/>
        </w:rPr>
      </w:pPr>
      <w:r w:rsidRPr="00D94694">
        <w:rPr>
          <w:i/>
          <w:sz w:val="23"/>
          <w:szCs w:val="23"/>
        </w:rPr>
        <w:t xml:space="preserve"> </w:t>
      </w:r>
      <w:r w:rsidRPr="00D94694">
        <w:rPr>
          <w:rFonts w:hint="cs"/>
          <w:i/>
          <w:sz w:val="23"/>
          <w:szCs w:val="23"/>
          <w:rtl/>
        </w:rPr>
        <w:t>در عمل، سرمایه‌گذاران همگن هستند. هر سرمایه‌گذار به منابع متفاوتی از ریسک مرتبط است، که آن را ریسک ویژه نامند. سرمایه</w:t>
      </w:r>
      <w:r w:rsidRPr="00D94694">
        <w:rPr>
          <w:i/>
          <w:sz w:val="23"/>
          <w:szCs w:val="23"/>
          <w:rtl/>
        </w:rPr>
        <w:softHyphen/>
      </w:r>
      <w:r w:rsidRPr="00D94694">
        <w:rPr>
          <w:rFonts w:hint="cs"/>
          <w:i/>
          <w:sz w:val="23"/>
          <w:szCs w:val="23"/>
          <w:rtl/>
        </w:rPr>
        <w:t>گذاران ممکن است تمایل به دوری از این ریسک داشته باشند. هرچند در بازارهای واقعی، فرصت‌های بیمه</w:t>
      </w:r>
      <w:r w:rsidRPr="00D94694">
        <w:rPr>
          <w:i/>
          <w:sz w:val="23"/>
          <w:szCs w:val="23"/>
          <w:rtl/>
        </w:rPr>
        <w:softHyphen/>
      </w:r>
      <w:r w:rsidRPr="00D94694">
        <w:rPr>
          <w:rFonts w:hint="cs"/>
          <w:i/>
          <w:sz w:val="23"/>
          <w:szCs w:val="23"/>
          <w:rtl/>
        </w:rPr>
        <w:t>ای ناقص</w:t>
      </w:r>
      <w:r w:rsidRPr="00D94694">
        <w:rPr>
          <w:i/>
          <w:sz w:val="23"/>
          <w:szCs w:val="23"/>
          <w:rtl/>
        </w:rPr>
        <w:softHyphen/>
      </w:r>
      <w:r w:rsidRPr="00D94694">
        <w:rPr>
          <w:rFonts w:hint="cs"/>
          <w:i/>
          <w:sz w:val="23"/>
          <w:szCs w:val="23"/>
          <w:rtl/>
        </w:rPr>
        <w:t>اند، ولی ابزارهای مالی بیشماری وجود دارد که امکان بیمه‌ی مصرف کننده را در مقابل اقسام شوک‌های ویژه فراهم می‌سازند، این ابزارها برای انواع ریسک ویژه مجاز نخواهند بود. در مقابل، در بازارهای کامل تعادلی، مصرف کننده قادر خواهد بود تا مطالبات مشروط را برای هر یک از شوک‌های ویژه خریداری کرده و لذا ریسک</w:t>
      </w:r>
      <w:r w:rsidRPr="00D94694">
        <w:rPr>
          <w:i/>
          <w:sz w:val="23"/>
          <w:szCs w:val="23"/>
          <w:rtl/>
        </w:rPr>
        <w:softHyphen/>
      </w:r>
      <w:r w:rsidRPr="00D94694">
        <w:rPr>
          <w:rFonts w:hint="cs"/>
          <w:i/>
          <w:sz w:val="23"/>
          <w:szCs w:val="23"/>
          <w:rtl/>
        </w:rPr>
        <w:t xml:space="preserve">های ویژه را متنوع خواهد ساخت. </w:t>
      </w:r>
    </w:p>
    <w:p w14:paraId="1391916B" w14:textId="77777777" w:rsidR="00411620" w:rsidRPr="00D94694" w:rsidRDefault="00411620" w:rsidP="00411620">
      <w:pPr>
        <w:pStyle w:val="ListParagraph"/>
        <w:tabs>
          <w:tab w:val="right" w:pos="7233"/>
        </w:tabs>
        <w:spacing w:line="216" w:lineRule="auto"/>
        <w:ind w:left="0"/>
        <w:rPr>
          <w:i/>
          <w:sz w:val="23"/>
          <w:szCs w:val="23"/>
          <w:rtl/>
        </w:rPr>
      </w:pPr>
      <w:r w:rsidRPr="00D94694">
        <w:rPr>
          <w:rFonts w:hint="cs"/>
          <w:i/>
          <w:sz w:val="23"/>
          <w:szCs w:val="23"/>
          <w:rtl/>
        </w:rPr>
        <w:t>پیامد وجود مجموع کاملی از مطالبات مشروط آن است که مصرف کننده عواید تصادفی آتی را با استفاده از تابع قیمت‌گذاری مشابه ارزش‌گذاری کند. به تعبیری مصرف</w:t>
      </w:r>
      <w:r w:rsidRPr="00D94694">
        <w:rPr>
          <w:i/>
          <w:sz w:val="23"/>
          <w:szCs w:val="23"/>
          <w:rtl/>
        </w:rPr>
        <w:softHyphen/>
      </w:r>
      <w:r w:rsidRPr="00D94694">
        <w:rPr>
          <w:rFonts w:hint="cs"/>
          <w:i/>
          <w:sz w:val="23"/>
          <w:szCs w:val="23"/>
          <w:rtl/>
        </w:rPr>
        <w:t>کنندگان عوامل تنزیل تصادفی مشابه را خواهند داشت. فرض کنید که مصرف</w:t>
      </w:r>
      <w:r w:rsidRPr="00D94694">
        <w:rPr>
          <w:i/>
          <w:sz w:val="23"/>
          <w:szCs w:val="23"/>
          <w:rtl/>
        </w:rPr>
        <w:softHyphen/>
      </w:r>
      <w:r w:rsidRPr="00D94694">
        <w:rPr>
          <w:rFonts w:hint="cs"/>
          <w:i/>
          <w:sz w:val="23"/>
          <w:szCs w:val="23"/>
          <w:rtl/>
        </w:rPr>
        <w:t xml:space="preserve">کننده‌ی </w:t>
      </w:r>
      <w:proofErr w:type="spellStart"/>
      <w:r w:rsidRPr="00D94694">
        <w:rPr>
          <w:i/>
          <w:sz w:val="23"/>
          <w:szCs w:val="23"/>
        </w:rPr>
        <w:t>i</w:t>
      </w:r>
      <w:proofErr w:type="spellEnd"/>
      <w:r w:rsidRPr="00D94694">
        <w:rPr>
          <w:rFonts w:hint="cs"/>
          <w:i/>
          <w:sz w:val="23"/>
          <w:szCs w:val="23"/>
          <w:rtl/>
        </w:rPr>
        <w:t>ام در زمان</w:t>
      </w:r>
      <w:r w:rsidRPr="00D94694">
        <w:rPr>
          <w:position w:val="-6"/>
        </w:rPr>
        <w:object w:dxaOrig="440" w:dyaOrig="260" w14:anchorId="54072585">
          <v:shape id="_x0000_i5095" type="#_x0000_t75" style="width:21.8pt;height:13.3pt" o:ole="">
            <v:imagedata r:id="rId8188" o:title=""/>
          </v:shape>
          <o:OLEObject Type="Embed" ProgID="Equation.DSMT4" ShapeID="_x0000_i5095" DrawAspect="Content" ObjectID="_1791379039" r:id="rId8189"/>
        </w:object>
      </w:r>
      <w:r w:rsidRPr="00D94694">
        <w:rPr>
          <w:i/>
          <w:sz w:val="23"/>
          <w:szCs w:val="23"/>
        </w:rPr>
        <w:t xml:space="preserve"> </w:t>
      </w:r>
      <w:r w:rsidRPr="00D94694">
        <w:rPr>
          <w:rFonts w:hint="cs"/>
          <w:i/>
          <w:sz w:val="23"/>
          <w:szCs w:val="23"/>
          <w:rtl/>
        </w:rPr>
        <w:t xml:space="preserve">در یک دارایی با عایدی تصادفی </w:t>
      </w:r>
      <w:r w:rsidRPr="00D94694">
        <w:rPr>
          <w:position w:val="-10"/>
        </w:rPr>
        <w:object w:dxaOrig="600" w:dyaOrig="320" w14:anchorId="3137363C">
          <v:shape id="_x0000_i5096" type="#_x0000_t75" style="width:29.65pt;height:15.75pt" o:ole="">
            <v:imagedata r:id="rId8190" o:title=""/>
          </v:shape>
          <o:OLEObject Type="Embed" ProgID="Equation.DSMT4" ShapeID="_x0000_i5096" DrawAspect="Content" ObjectID="_1791379040" r:id="rId8191"/>
        </w:object>
      </w:r>
      <w:r w:rsidRPr="00D94694">
        <w:rPr>
          <w:rFonts w:hint="cs"/>
          <w:i/>
          <w:sz w:val="23"/>
          <w:szCs w:val="23"/>
          <w:rtl/>
        </w:rPr>
        <w:t xml:space="preserve"> سرمایه‌گذاری کند. معادله‌ی اویلر برای سرمایه‌گذار </w:t>
      </w:r>
      <w:proofErr w:type="spellStart"/>
      <w:r w:rsidRPr="00D94694">
        <w:rPr>
          <w:i/>
          <w:sz w:val="23"/>
          <w:szCs w:val="23"/>
        </w:rPr>
        <w:t>i</w:t>
      </w:r>
      <w:proofErr w:type="spellEnd"/>
      <w:r w:rsidRPr="00D94694">
        <w:rPr>
          <w:rFonts w:hint="cs"/>
          <w:i/>
          <w:sz w:val="23"/>
          <w:szCs w:val="23"/>
          <w:rtl/>
        </w:rPr>
        <w:t>ام عبارت است از</w:t>
      </w:r>
    </w:p>
    <w:p w14:paraId="52848405" w14:textId="77777777" w:rsidR="00411620" w:rsidRPr="00D94694" w:rsidRDefault="00411620" w:rsidP="00411620">
      <w:pPr>
        <w:pStyle w:val="ListParagraph"/>
        <w:tabs>
          <w:tab w:val="right" w:pos="7233"/>
        </w:tabs>
        <w:bidi w:val="0"/>
        <w:spacing w:line="216" w:lineRule="auto"/>
        <w:ind w:left="0"/>
        <w:rPr>
          <w:i/>
          <w:sz w:val="23"/>
          <w:szCs w:val="23"/>
        </w:rPr>
      </w:pPr>
      <w:r w:rsidRPr="00D94694">
        <w:rPr>
          <w:position w:val="-36"/>
        </w:rPr>
        <w:object w:dxaOrig="2460" w:dyaOrig="820" w14:anchorId="2E286A40">
          <v:shape id="_x0000_i5097" type="#_x0000_t75" style="width:122.8pt;height:40.55pt" o:ole="">
            <v:imagedata r:id="rId8192" o:title=""/>
          </v:shape>
          <o:OLEObject Type="Embed" ProgID="Equation.DSMT4" ShapeID="_x0000_i5097" DrawAspect="Content" ObjectID="_1791379041" r:id="rId8193"/>
        </w:object>
      </w:r>
    </w:p>
    <w:p w14:paraId="40C99EF7" w14:textId="77777777" w:rsidR="00411620" w:rsidRPr="00D94694" w:rsidRDefault="00411620" w:rsidP="00411620">
      <w:pPr>
        <w:pStyle w:val="ListParagraph"/>
        <w:tabs>
          <w:tab w:val="right" w:pos="7233"/>
        </w:tabs>
        <w:spacing w:line="216" w:lineRule="auto"/>
        <w:ind w:left="0"/>
        <w:rPr>
          <w:i/>
          <w:sz w:val="23"/>
          <w:szCs w:val="23"/>
          <w:rtl/>
        </w:rPr>
      </w:pPr>
      <w:r w:rsidRPr="00D94694">
        <w:rPr>
          <w:rFonts w:hint="cs"/>
          <w:i/>
          <w:sz w:val="23"/>
          <w:szCs w:val="23"/>
          <w:rtl/>
        </w:rPr>
        <w:t>که در آن</w:t>
      </w:r>
      <w:r w:rsidRPr="00D94694">
        <w:rPr>
          <w:position w:val="-10"/>
        </w:rPr>
        <w:object w:dxaOrig="240" w:dyaOrig="320" w14:anchorId="5F80D38B">
          <v:shape id="_x0000_i5098" type="#_x0000_t75" style="width:12.1pt;height:15.75pt" o:ole="">
            <v:imagedata r:id="rId8194" o:title=""/>
          </v:shape>
          <o:OLEObject Type="Embed" ProgID="Equation.DSMT4" ShapeID="_x0000_i5098" DrawAspect="Content" ObjectID="_1791379042" r:id="rId8195"/>
        </w:object>
      </w:r>
      <w:r w:rsidRPr="00D94694">
        <w:rPr>
          <w:rFonts w:hint="cs"/>
          <w:i/>
          <w:sz w:val="23"/>
          <w:szCs w:val="23"/>
          <w:rtl/>
        </w:rPr>
        <w:t xml:space="preserve"> نرخ ترجیح زمانی و</w:t>
      </w:r>
      <w:r w:rsidRPr="00D94694">
        <w:rPr>
          <w:position w:val="-10"/>
        </w:rPr>
        <w:object w:dxaOrig="220" w:dyaOrig="340" w14:anchorId="6C406179">
          <v:shape id="_x0000_i5099" type="#_x0000_t75" style="width:10.9pt;height:16.95pt" o:ole="">
            <v:imagedata r:id="rId8196" o:title=""/>
          </v:shape>
          <o:OLEObject Type="Embed" ProgID="Equation.DSMT4" ShapeID="_x0000_i5099" DrawAspect="Content" ObjectID="_1791379043" r:id="rId8197"/>
        </w:object>
      </w:r>
      <w:r w:rsidRPr="00D94694">
        <w:rPr>
          <w:rFonts w:hint="cs"/>
          <w:i/>
          <w:sz w:val="23"/>
          <w:szCs w:val="23"/>
          <w:rtl/>
        </w:rPr>
        <w:t xml:space="preserve"> مصرف سرمایه‌گذار </w:t>
      </w:r>
      <w:proofErr w:type="spellStart"/>
      <w:r w:rsidRPr="00D94694">
        <w:rPr>
          <w:i/>
          <w:sz w:val="23"/>
          <w:szCs w:val="23"/>
        </w:rPr>
        <w:t>i</w:t>
      </w:r>
      <w:proofErr w:type="spellEnd"/>
      <w:r w:rsidRPr="00D94694">
        <w:rPr>
          <w:rFonts w:hint="cs"/>
          <w:i/>
          <w:sz w:val="23"/>
          <w:szCs w:val="23"/>
          <w:rtl/>
        </w:rPr>
        <w:t>ام می‌باشد، و می‌توان آنرا به صورت زیر نوشت</w:t>
      </w:r>
    </w:p>
    <w:p w14:paraId="11E439D5" w14:textId="77777777" w:rsidR="00411620" w:rsidRPr="00D94694" w:rsidRDefault="00411620" w:rsidP="00411620">
      <w:pPr>
        <w:pStyle w:val="ListParagraph"/>
        <w:tabs>
          <w:tab w:val="right" w:pos="7233"/>
        </w:tabs>
        <w:bidi w:val="0"/>
        <w:spacing w:line="216" w:lineRule="auto"/>
        <w:ind w:left="0"/>
        <w:rPr>
          <w:i/>
          <w:sz w:val="23"/>
          <w:szCs w:val="23"/>
        </w:rPr>
      </w:pPr>
      <w:r w:rsidRPr="00D94694">
        <w:rPr>
          <w:position w:val="-14"/>
        </w:rPr>
        <w:object w:dxaOrig="2000" w:dyaOrig="380" w14:anchorId="7CE840F6">
          <v:shape id="_x0000_i5100" type="#_x0000_t75" style="width:99.85pt;height:18.75pt" o:ole="">
            <v:imagedata r:id="rId8198" o:title=""/>
          </v:shape>
          <o:OLEObject Type="Embed" ProgID="Equation.DSMT4" ShapeID="_x0000_i5100" DrawAspect="Content" ObjectID="_1791379044" r:id="rId8199"/>
        </w:object>
      </w:r>
    </w:p>
    <w:p w14:paraId="7B8B5A85" w14:textId="77777777" w:rsidR="00411620" w:rsidRPr="00D94694" w:rsidRDefault="00411620" w:rsidP="00411620">
      <w:pPr>
        <w:pStyle w:val="ListParagraph"/>
        <w:tabs>
          <w:tab w:val="right" w:pos="7233"/>
        </w:tabs>
        <w:spacing w:line="216" w:lineRule="auto"/>
        <w:ind w:left="0"/>
        <w:rPr>
          <w:i/>
          <w:sz w:val="23"/>
          <w:szCs w:val="23"/>
          <w:rtl/>
        </w:rPr>
      </w:pPr>
      <w:r w:rsidRPr="00D94694">
        <w:rPr>
          <w:rFonts w:hint="cs"/>
          <w:i/>
          <w:sz w:val="23"/>
          <w:szCs w:val="23"/>
          <w:rtl/>
        </w:rPr>
        <w:t xml:space="preserve">که در آن </w:t>
      </w:r>
      <w:r w:rsidRPr="00D94694">
        <w:rPr>
          <w:position w:val="-34"/>
        </w:rPr>
        <w:object w:dxaOrig="1660" w:dyaOrig="780" w14:anchorId="75110DAF">
          <v:shape id="_x0000_i5101" type="#_x0000_t75" style="width:82.9pt;height:39.35pt" o:ole="">
            <v:imagedata r:id="rId8200" o:title=""/>
          </v:shape>
          <o:OLEObject Type="Embed" ProgID="Equation.DSMT4" ShapeID="_x0000_i5101" DrawAspect="Content" ObjectID="_1791379045" r:id="rId8201"/>
        </w:object>
      </w:r>
      <w:r w:rsidRPr="00D94694">
        <w:rPr>
          <w:rFonts w:hint="cs"/>
          <w:i/>
          <w:sz w:val="23"/>
          <w:szCs w:val="23"/>
          <w:rtl/>
        </w:rPr>
        <w:t xml:space="preserve">. </w:t>
      </w:r>
    </w:p>
    <w:p w14:paraId="2C1C9EB9" w14:textId="77777777" w:rsidR="00411620" w:rsidRPr="00D94694" w:rsidRDefault="00411620" w:rsidP="00411620">
      <w:pPr>
        <w:pStyle w:val="ListParagraph"/>
        <w:tabs>
          <w:tab w:val="right" w:pos="7233"/>
        </w:tabs>
        <w:spacing w:line="216" w:lineRule="auto"/>
        <w:ind w:left="0"/>
        <w:rPr>
          <w:i/>
          <w:sz w:val="23"/>
          <w:szCs w:val="23"/>
          <w:rtl/>
        </w:rPr>
      </w:pPr>
      <w:r w:rsidRPr="00D94694">
        <w:rPr>
          <w:rFonts w:hint="cs"/>
          <w:i/>
          <w:sz w:val="23"/>
          <w:szCs w:val="23"/>
          <w:rtl/>
        </w:rPr>
        <w:t xml:space="preserve">در بازارهای کامل تعادلی، نرخ نهایی بین‌دوره‌ای جانشینی که برای ارزش عواید تصادفی آتی مورد استفاده </w:t>
      </w:r>
    </w:p>
    <w:p w14:paraId="6101E32A" w14:textId="77777777" w:rsidR="00411620" w:rsidRPr="00D94694" w:rsidRDefault="00411620" w:rsidP="00411620">
      <w:pPr>
        <w:pStyle w:val="ListParagraph"/>
        <w:tabs>
          <w:tab w:val="right" w:pos="7233"/>
        </w:tabs>
        <w:spacing w:line="216" w:lineRule="auto"/>
        <w:ind w:left="0"/>
        <w:rPr>
          <w:i/>
          <w:sz w:val="23"/>
          <w:szCs w:val="23"/>
          <w:rtl/>
        </w:rPr>
      </w:pPr>
      <w:r w:rsidRPr="00D94694">
        <w:rPr>
          <w:rFonts w:hint="cs"/>
          <w:i/>
          <w:sz w:val="23"/>
          <w:szCs w:val="23"/>
          <w:rtl/>
        </w:rPr>
        <w:t>قرار می‌گیرد برای کلیه‌ی مصرف کنندگان یکسان است، یعنی</w:t>
      </w:r>
      <w:r w:rsidRPr="00D94694">
        <w:rPr>
          <w:position w:val="-14"/>
        </w:rPr>
        <w:object w:dxaOrig="760" w:dyaOrig="360" w14:anchorId="2A46D734">
          <v:shape id="_x0000_i5102" type="#_x0000_t75" style="width:38.1pt;height:18.15pt" o:ole="">
            <v:imagedata r:id="rId8202" o:title=""/>
          </v:shape>
          <o:OLEObject Type="Embed" ProgID="Equation.DSMT4" ShapeID="_x0000_i5102" DrawAspect="Content" ObjectID="_1791379046" r:id="rId8203"/>
        </w:object>
      </w:r>
      <w:r w:rsidRPr="00D94694">
        <w:rPr>
          <w:rFonts w:hint="cs"/>
          <w:i/>
          <w:sz w:val="23"/>
          <w:szCs w:val="23"/>
          <w:rtl/>
        </w:rPr>
        <w:t xml:space="preserve"> برای کلیه‌ی </w:t>
      </w:r>
      <w:proofErr w:type="spellStart"/>
      <w:r w:rsidRPr="00D94694">
        <w:rPr>
          <w:i/>
          <w:sz w:val="23"/>
          <w:szCs w:val="23"/>
        </w:rPr>
        <w:t>i</w:t>
      </w:r>
      <w:proofErr w:type="spellEnd"/>
      <w:r w:rsidRPr="00D94694">
        <w:rPr>
          <w:rFonts w:hint="cs"/>
          <w:i/>
          <w:sz w:val="23"/>
          <w:szCs w:val="23"/>
          <w:rtl/>
        </w:rPr>
        <w:t xml:space="preserve"> و </w:t>
      </w:r>
      <w:r w:rsidRPr="00D94694">
        <w:rPr>
          <w:i/>
          <w:sz w:val="23"/>
          <w:szCs w:val="23"/>
        </w:rPr>
        <w:t>j</w:t>
      </w:r>
      <w:r w:rsidRPr="00D94694">
        <w:rPr>
          <w:rFonts w:hint="cs"/>
          <w:i/>
          <w:sz w:val="23"/>
          <w:szCs w:val="23"/>
          <w:rtl/>
        </w:rPr>
        <w:t>. بنابراین</w:t>
      </w:r>
    </w:p>
    <w:p w14:paraId="2074B8CC" w14:textId="77777777" w:rsidR="00411620" w:rsidRPr="00D94694" w:rsidRDefault="00411620" w:rsidP="00411620">
      <w:pPr>
        <w:pStyle w:val="ListParagraph"/>
        <w:tabs>
          <w:tab w:val="right" w:pos="7233"/>
        </w:tabs>
        <w:bidi w:val="0"/>
        <w:spacing w:line="216" w:lineRule="auto"/>
        <w:ind w:left="0"/>
        <w:rPr>
          <w:i/>
          <w:sz w:val="23"/>
          <w:szCs w:val="23"/>
        </w:rPr>
      </w:pPr>
      <w:r w:rsidRPr="00D94694">
        <w:rPr>
          <w:position w:val="-30"/>
        </w:rPr>
        <w:object w:dxaOrig="1620" w:dyaOrig="680" w14:anchorId="7ABABDA1">
          <v:shape id="_x0000_i5103" type="#_x0000_t75" style="width:81.1pt;height:33.9pt" o:ole="">
            <v:imagedata r:id="rId8204" o:title=""/>
          </v:shape>
          <o:OLEObject Type="Embed" ProgID="Equation.DSMT4" ShapeID="_x0000_i5103" DrawAspect="Content" ObjectID="_1791379047" r:id="rId8205"/>
        </w:object>
      </w:r>
    </w:p>
    <w:p w14:paraId="38E22B39"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چنانچه سرمایه‌گذاران نرخ ترجیح زمان</w:t>
      </w:r>
      <w:r w:rsidRPr="00D94694">
        <w:rPr>
          <w:position w:val="-10"/>
        </w:rPr>
        <w:object w:dxaOrig="220" w:dyaOrig="300" w14:anchorId="6909BE39">
          <v:shape id="_x0000_i5104" type="#_x0000_t75" style="width:10.9pt;height:15.15pt" o:ole="">
            <v:imagedata r:id="rId8206" o:title=""/>
          </v:shape>
          <o:OLEObject Type="Embed" ProgID="Equation.DSMT4" ShapeID="_x0000_i5104" DrawAspect="Content" ObjectID="_1791379048" r:id="rId8207"/>
        </w:object>
      </w:r>
      <w:r w:rsidRPr="00D94694">
        <w:rPr>
          <w:rFonts w:hint="cs"/>
          <w:i/>
          <w:sz w:val="23"/>
          <w:szCs w:val="23"/>
          <w:rtl/>
        </w:rPr>
        <w:t xml:space="preserve"> و تابع مطلوبیت</w:t>
      </w:r>
      <w:r w:rsidRPr="00D94694">
        <w:rPr>
          <w:position w:val="-12"/>
        </w:rPr>
        <w:object w:dxaOrig="460" w:dyaOrig="360" w14:anchorId="35D390E9">
          <v:shape id="_x0000_i5105" type="#_x0000_t75" style="width:23pt;height:18.15pt" o:ole="">
            <v:imagedata r:id="rId8208" o:title=""/>
          </v:shape>
          <o:OLEObject Type="Embed" ProgID="Equation.DSMT4" ShapeID="_x0000_i5105" DrawAspect="Content" ObjectID="_1791379049" r:id="rId8209"/>
        </w:object>
      </w:r>
      <w:r w:rsidRPr="00D94694">
        <w:rPr>
          <w:rFonts w:hint="cs"/>
          <w:i/>
          <w:sz w:val="23"/>
          <w:szCs w:val="23"/>
          <w:rtl/>
        </w:rPr>
        <w:t xml:space="preserve"> یکسان داشته باشند، آنگاه نرخ رشد مصرف برای کلیه‌ی مصرف</w:t>
      </w:r>
      <w:r w:rsidRPr="00D94694">
        <w:rPr>
          <w:i/>
          <w:sz w:val="23"/>
          <w:szCs w:val="23"/>
          <w:rtl/>
        </w:rPr>
        <w:softHyphen/>
      </w:r>
      <w:r w:rsidRPr="00D94694">
        <w:rPr>
          <w:rFonts w:hint="cs"/>
          <w:i/>
          <w:sz w:val="23"/>
          <w:szCs w:val="23"/>
          <w:rtl/>
        </w:rPr>
        <w:t>کنندگان عبارت خواهد بود با</w:t>
      </w:r>
      <w:r w:rsidRPr="00D94694">
        <w:rPr>
          <w:position w:val="-30"/>
        </w:rPr>
        <w:object w:dxaOrig="1120" w:dyaOrig="680" w14:anchorId="106B0C52">
          <v:shape id="_x0000_i5106" type="#_x0000_t75" style="width:56.25pt;height:33.9pt" o:ole="">
            <v:imagedata r:id="rId8210" o:title=""/>
          </v:shape>
          <o:OLEObject Type="Embed" ProgID="Equation.DSMT4" ShapeID="_x0000_i5106" DrawAspect="Content" ObjectID="_1791379050" r:id="rId8211"/>
        </w:object>
      </w:r>
      <w:r w:rsidRPr="00D94694">
        <w:rPr>
          <w:rFonts w:hint="cs"/>
          <w:i/>
          <w:sz w:val="23"/>
          <w:szCs w:val="23"/>
          <w:rtl/>
        </w:rPr>
        <w:t xml:space="preserve"> برای کلیه‌ی </w:t>
      </w:r>
      <w:proofErr w:type="spellStart"/>
      <w:r w:rsidRPr="00D94694">
        <w:rPr>
          <w:i/>
          <w:sz w:val="23"/>
          <w:szCs w:val="23"/>
        </w:rPr>
        <w:t>i</w:t>
      </w:r>
      <w:proofErr w:type="spellEnd"/>
      <w:r w:rsidRPr="00D94694">
        <w:rPr>
          <w:rFonts w:hint="cs"/>
          <w:i/>
          <w:sz w:val="23"/>
          <w:szCs w:val="23"/>
          <w:rtl/>
        </w:rPr>
        <w:t xml:space="preserve"> و </w:t>
      </w:r>
      <w:r w:rsidRPr="00D94694">
        <w:rPr>
          <w:i/>
          <w:sz w:val="23"/>
          <w:szCs w:val="23"/>
        </w:rPr>
        <w:t>j</w:t>
      </w:r>
      <w:r w:rsidRPr="00D94694">
        <w:rPr>
          <w:rFonts w:hint="cs"/>
          <w:i/>
          <w:sz w:val="23"/>
          <w:szCs w:val="23"/>
          <w:rtl/>
        </w:rPr>
        <w:t xml:space="preserve">، و لذا در بازارهای کامل تعادلی فقط شوک‌های مصرف کل بر قیمت‌های دارایی تأثیر‌گذار است، و شوک درآمد فردی از طریق بازارهای دارایی بیمه می‌شود. </w:t>
      </w:r>
    </w:p>
    <w:p w14:paraId="57A0FDA0"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 xml:space="preserve"> برای نشان دادن این نتایج فرض کنید فقط دو مصرف کننده در اقتصاد وجود دارد،</w:t>
      </w:r>
      <w:r w:rsidRPr="00D94694">
        <w:rPr>
          <w:i/>
          <w:sz w:val="23"/>
          <w:szCs w:val="23"/>
        </w:rPr>
        <w:t xml:space="preserve"> </w:t>
      </w:r>
      <w:r w:rsidRPr="00D94694">
        <w:rPr>
          <w:position w:val="-8"/>
        </w:rPr>
        <w:object w:dxaOrig="780" w:dyaOrig="279" w14:anchorId="75C458D0">
          <v:shape id="_x0000_i5107" type="#_x0000_t75" style="width:39.35pt;height:13.9pt" o:ole="">
            <v:imagedata r:id="rId8212" o:title=""/>
          </v:shape>
          <o:OLEObject Type="Embed" ProgID="Equation.DSMT4" ShapeID="_x0000_i5107" DrawAspect="Content" ObjectID="_1791379051" r:id="rId8213"/>
        </w:object>
      </w:r>
      <w:r w:rsidRPr="00D94694">
        <w:rPr>
          <w:rFonts w:hint="cs"/>
          <w:i/>
          <w:sz w:val="23"/>
          <w:szCs w:val="23"/>
          <w:rtl/>
        </w:rPr>
        <w:t>، که برای یک دوره زندگی نموده و دارای تابع مطلوبیت یکسان</w:t>
      </w:r>
      <w:r w:rsidRPr="00D94694">
        <w:rPr>
          <w:position w:val="-12"/>
        </w:rPr>
        <w:object w:dxaOrig="1340" w:dyaOrig="360" w14:anchorId="08901828">
          <v:shape id="_x0000_i5108" type="#_x0000_t75" style="width:67.15pt;height:18.15pt" o:ole="">
            <v:imagedata r:id="rId8214" o:title=""/>
          </v:shape>
          <o:OLEObject Type="Embed" ProgID="Equation.DSMT4" ShapeID="_x0000_i5108" DrawAspect="Content" ObjectID="_1791379052" r:id="rId8215"/>
        </w:object>
      </w:r>
      <w:r w:rsidRPr="00D94694">
        <w:rPr>
          <w:rFonts w:hint="cs"/>
          <w:i/>
          <w:sz w:val="23"/>
          <w:szCs w:val="23"/>
          <w:rtl/>
        </w:rPr>
        <w:t xml:space="preserve"> ولی جریان درآمدی متفاوت باشند. در عمل، مصرف کننده‌ی</w:t>
      </w:r>
      <w:r w:rsidRPr="00025957">
        <w:rPr>
          <w:position w:val="-4"/>
        </w:rPr>
        <w:object w:dxaOrig="240" w:dyaOrig="240" w14:anchorId="1AFB5BEC">
          <v:shape id="_x0000_i5109" type="#_x0000_t75" style="width:12.1pt;height:12.1pt" o:ole="">
            <v:imagedata r:id="rId8216" o:title=""/>
          </v:shape>
          <o:OLEObject Type="Embed" ProgID="Equation.DSMT4" ShapeID="_x0000_i5109" DrawAspect="Content" ObjectID="_1791379053" r:id="rId8217"/>
        </w:object>
      </w:r>
      <w:r w:rsidRPr="00D94694">
        <w:rPr>
          <w:rFonts w:hint="cs"/>
          <w:i/>
          <w:sz w:val="23"/>
          <w:szCs w:val="23"/>
          <w:rtl/>
        </w:rPr>
        <w:t xml:space="preserve"> شاغل است هنگامی که مصرف کننده‌ی</w:t>
      </w:r>
      <w:r w:rsidRPr="00025957">
        <w:rPr>
          <w:position w:val="-4"/>
        </w:rPr>
        <w:object w:dxaOrig="240" w:dyaOrig="240" w14:anchorId="380238B6">
          <v:shape id="_x0000_i5110" type="#_x0000_t75" style="width:12.1pt;height:12.1pt" o:ole="">
            <v:imagedata r:id="rId8218" o:title=""/>
          </v:shape>
          <o:OLEObject Type="Embed" ProgID="Equation.DSMT4" ShapeID="_x0000_i5110" DrawAspect="Content" ObjectID="_1791379054" r:id="rId8219"/>
        </w:object>
      </w:r>
      <w:r w:rsidRPr="00D94694">
        <w:rPr>
          <w:rFonts w:hint="cs"/>
          <w:i/>
          <w:sz w:val="23"/>
          <w:szCs w:val="23"/>
          <w:rtl/>
        </w:rPr>
        <w:t xml:space="preserve"> بیکار است و بالعکس، لذا دو حالت ( ویژه) خواهیم داشت. در حالت اول درآمدها برابر است با</w:t>
      </w:r>
      <w:r w:rsidRPr="00D94694">
        <w:rPr>
          <w:position w:val="-8"/>
        </w:rPr>
        <w:object w:dxaOrig="680" w:dyaOrig="320" w14:anchorId="48467F00">
          <v:shape id="_x0000_i5111" type="#_x0000_t75" style="width:33.9pt;height:15.75pt" o:ole="">
            <v:imagedata r:id="rId8220" o:title=""/>
          </v:shape>
          <o:OLEObject Type="Embed" ProgID="Equation.DSMT4" ShapeID="_x0000_i5111" DrawAspect="Content" ObjectID="_1791379055" r:id="rId8221"/>
        </w:object>
      </w:r>
      <w:r w:rsidRPr="00D94694">
        <w:rPr>
          <w:rFonts w:hint="cs"/>
          <w:i/>
          <w:sz w:val="23"/>
          <w:szCs w:val="23"/>
          <w:rtl/>
        </w:rPr>
        <w:t xml:space="preserve"> و </w:t>
      </w:r>
      <w:r w:rsidRPr="00D94694">
        <w:rPr>
          <w:position w:val="-8"/>
        </w:rPr>
        <w:object w:dxaOrig="660" w:dyaOrig="320" w14:anchorId="5382F785">
          <v:shape id="_x0000_i5112" type="#_x0000_t75" style="width:32.65pt;height:15.75pt" o:ole="">
            <v:imagedata r:id="rId8222" o:title=""/>
          </v:shape>
          <o:OLEObject Type="Embed" ProgID="Equation.DSMT4" ShapeID="_x0000_i5112" DrawAspect="Content" ObjectID="_1791379056" r:id="rId8223"/>
        </w:object>
      </w:r>
      <w:r w:rsidRPr="00D94694">
        <w:rPr>
          <w:i/>
          <w:sz w:val="23"/>
          <w:szCs w:val="23"/>
        </w:rPr>
        <w:t xml:space="preserve"> </w:t>
      </w:r>
      <w:r w:rsidRPr="00D94694">
        <w:rPr>
          <w:rFonts w:hint="cs"/>
          <w:i/>
          <w:sz w:val="23"/>
          <w:szCs w:val="23"/>
          <w:rtl/>
        </w:rPr>
        <w:t>با احتمال</w:t>
      </w:r>
      <w:r w:rsidRPr="00D94694">
        <w:rPr>
          <w:position w:val="-6"/>
        </w:rPr>
        <w:object w:dxaOrig="220" w:dyaOrig="200" w14:anchorId="625E7EF5">
          <v:shape id="_x0000_i5113" type="#_x0000_t75" style="width:10.9pt;height:10.3pt" o:ole="">
            <v:imagedata r:id="rId8224" o:title=""/>
          </v:shape>
          <o:OLEObject Type="Embed" ProgID="Equation.DSMT4" ShapeID="_x0000_i5113" DrawAspect="Content" ObjectID="_1791379057" r:id="rId8225"/>
        </w:object>
      </w:r>
      <w:r w:rsidRPr="00D94694">
        <w:rPr>
          <w:rFonts w:hint="cs"/>
          <w:i/>
          <w:sz w:val="23"/>
          <w:szCs w:val="23"/>
          <w:rtl/>
        </w:rPr>
        <w:t xml:space="preserve">، و در حالت دوم </w:t>
      </w:r>
      <w:r w:rsidRPr="00D94694">
        <w:rPr>
          <w:position w:val="-8"/>
        </w:rPr>
        <w:object w:dxaOrig="660" w:dyaOrig="320" w14:anchorId="5E396E72">
          <v:shape id="_x0000_i5114" type="#_x0000_t75" style="width:32.65pt;height:15.75pt" o:ole="">
            <v:imagedata r:id="rId8226" o:title=""/>
          </v:shape>
          <o:OLEObject Type="Embed" ProgID="Equation.DSMT4" ShapeID="_x0000_i5114" DrawAspect="Content" ObjectID="_1791379058" r:id="rId8227"/>
        </w:object>
      </w:r>
      <w:r w:rsidRPr="00D94694">
        <w:rPr>
          <w:rFonts w:hint="cs"/>
          <w:i/>
          <w:sz w:val="23"/>
          <w:szCs w:val="23"/>
          <w:rtl/>
        </w:rPr>
        <w:t xml:space="preserve"> و</w:t>
      </w:r>
      <w:r w:rsidRPr="00D94694">
        <w:rPr>
          <w:position w:val="-8"/>
        </w:rPr>
        <w:object w:dxaOrig="680" w:dyaOrig="320" w14:anchorId="5C4EE567">
          <v:shape id="_x0000_i5115" type="#_x0000_t75" style="width:33.9pt;height:15.75pt" o:ole="">
            <v:imagedata r:id="rId8228" o:title=""/>
          </v:shape>
          <o:OLEObject Type="Embed" ProgID="Equation.DSMT4" ShapeID="_x0000_i5115" DrawAspect="Content" ObjectID="_1791379059" r:id="rId8229"/>
        </w:object>
      </w:r>
      <w:r w:rsidRPr="00D94694">
        <w:rPr>
          <w:rFonts w:hint="cs"/>
          <w:i/>
          <w:sz w:val="23"/>
          <w:szCs w:val="23"/>
          <w:rtl/>
        </w:rPr>
        <w:t xml:space="preserve"> با احتمال </w:t>
      </w:r>
      <w:r w:rsidRPr="00D94694">
        <w:rPr>
          <w:position w:val="-6"/>
        </w:rPr>
        <w:object w:dxaOrig="499" w:dyaOrig="260" w14:anchorId="59C38006">
          <v:shape id="_x0000_i5116" type="#_x0000_t75" style="width:24.8pt;height:13.3pt" o:ole="">
            <v:imagedata r:id="rId8230" o:title=""/>
          </v:shape>
          <o:OLEObject Type="Embed" ProgID="Equation.DSMT4" ShapeID="_x0000_i5116" DrawAspect="Content" ObjectID="_1791379060" r:id="rId8231"/>
        </w:object>
      </w:r>
      <w:r w:rsidRPr="00D94694">
        <w:rPr>
          <w:rFonts w:hint="cs"/>
          <w:i/>
          <w:sz w:val="23"/>
          <w:szCs w:val="23"/>
          <w:rtl/>
        </w:rPr>
        <w:t xml:space="preserve">، که درآن </w:t>
      </w:r>
      <w:r w:rsidRPr="00D94694">
        <w:rPr>
          <w:position w:val="-8"/>
        </w:rPr>
        <w:object w:dxaOrig="540" w:dyaOrig="279" w14:anchorId="3C135DB1">
          <v:shape id="_x0000_i5117" type="#_x0000_t75" style="width:26.6pt;height:13.9pt" o:ole="">
            <v:imagedata r:id="rId8232" o:title=""/>
          </v:shape>
          <o:OLEObject Type="Embed" ProgID="Equation.DSMT4" ShapeID="_x0000_i5117" DrawAspect="Content" ObjectID="_1791379061" r:id="rId8233"/>
        </w:object>
      </w:r>
      <w:r w:rsidRPr="00D94694">
        <w:rPr>
          <w:rFonts w:hint="cs"/>
          <w:i/>
          <w:sz w:val="23"/>
          <w:szCs w:val="23"/>
          <w:rtl/>
        </w:rPr>
        <w:t xml:space="preserve"> بوده و ثابت است. هر یک از مصرف</w:t>
      </w:r>
      <w:r w:rsidRPr="00D94694">
        <w:rPr>
          <w:i/>
          <w:sz w:val="23"/>
          <w:szCs w:val="23"/>
          <w:rtl/>
        </w:rPr>
        <w:softHyphen/>
      </w:r>
      <w:r w:rsidRPr="00D94694">
        <w:rPr>
          <w:rFonts w:hint="cs"/>
          <w:i/>
          <w:sz w:val="23"/>
          <w:szCs w:val="23"/>
          <w:rtl/>
        </w:rPr>
        <w:t>کنندگان به دنبال حداکثر کردن</w:t>
      </w:r>
      <w:r w:rsidRPr="00D94694">
        <w:rPr>
          <w:position w:val="-18"/>
        </w:rPr>
        <w:object w:dxaOrig="1060" w:dyaOrig="460" w14:anchorId="4DFE1E46">
          <v:shape id="_x0000_i5118" type="#_x0000_t75" style="width:53.25pt;height:23pt" o:ole="">
            <v:imagedata r:id="rId8234" o:title=""/>
          </v:shape>
          <o:OLEObject Type="Embed" ProgID="Equation.DSMT4" ShapeID="_x0000_i5118" DrawAspect="Content" ObjectID="_1791379062" r:id="rId8235"/>
        </w:object>
      </w:r>
      <w:r w:rsidRPr="00D94694">
        <w:rPr>
          <w:rFonts w:hint="cs"/>
          <w:i/>
          <w:sz w:val="23"/>
          <w:szCs w:val="23"/>
          <w:rtl/>
        </w:rPr>
        <w:t xml:space="preserve"> یا ارزش انتظاری مطلوبیت حاصل از مصرف می‌باشند. در این صورت مسئله‌ی مورد بررسی تخصیص مصرف هر مصرف</w:t>
      </w:r>
      <w:r w:rsidRPr="00D94694">
        <w:rPr>
          <w:i/>
          <w:sz w:val="23"/>
          <w:szCs w:val="23"/>
          <w:rtl/>
        </w:rPr>
        <w:softHyphen/>
      </w:r>
      <w:r w:rsidRPr="00D94694">
        <w:rPr>
          <w:rFonts w:hint="cs"/>
          <w:i/>
          <w:sz w:val="23"/>
          <w:szCs w:val="23"/>
          <w:rtl/>
        </w:rPr>
        <w:t xml:space="preserve">کننده در مطالبات مشروط کامل تعادلی است. </w:t>
      </w:r>
    </w:p>
    <w:p w14:paraId="562ECDBF"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همان</w:t>
      </w:r>
      <w:r w:rsidRPr="00D94694">
        <w:rPr>
          <w:i/>
          <w:sz w:val="23"/>
          <w:szCs w:val="23"/>
          <w:rtl/>
        </w:rPr>
        <w:softHyphen/>
      </w:r>
      <w:r w:rsidRPr="00D94694">
        <w:rPr>
          <w:rFonts w:hint="cs"/>
          <w:i/>
          <w:sz w:val="23"/>
          <w:szCs w:val="23"/>
          <w:rtl/>
        </w:rPr>
        <w:t xml:space="preserve">طور که دو وضعیت ممکن وجود دارد، لذا دو قیمت وضعیت </w:t>
      </w:r>
      <w:r w:rsidRPr="00D94694">
        <w:rPr>
          <w:position w:val="-8"/>
        </w:rPr>
        <w:object w:dxaOrig="420" w:dyaOrig="279" w14:anchorId="28DC4E81">
          <v:shape id="_x0000_i5119" type="#_x0000_t75" style="width:21.2pt;height:13.9pt" o:ole="">
            <v:imagedata r:id="rId8236" o:title=""/>
          </v:shape>
          <o:OLEObject Type="Embed" ProgID="Equation.DSMT4" ShapeID="_x0000_i5119" DrawAspect="Content" ObjectID="_1791379063" r:id="rId8237"/>
        </w:object>
      </w:r>
      <w:r w:rsidRPr="00D94694">
        <w:rPr>
          <w:rFonts w:hint="cs"/>
          <w:i/>
          <w:sz w:val="23"/>
          <w:szCs w:val="23"/>
          <w:rtl/>
        </w:rPr>
        <w:t xml:space="preserve"> و </w:t>
      </w:r>
      <w:r w:rsidRPr="00D94694">
        <w:rPr>
          <w:position w:val="-8"/>
        </w:rPr>
        <w:object w:dxaOrig="460" w:dyaOrig="279" w14:anchorId="26BC73FF">
          <v:shape id="_x0000_i5120" type="#_x0000_t75" style="width:23pt;height:13.9pt" o:ole="">
            <v:imagedata r:id="rId8238" o:title=""/>
          </v:shape>
          <o:OLEObject Type="Embed" ProgID="Equation.DSMT4" ShapeID="_x0000_i5120" DrawAspect="Content" ObjectID="_1791379064" r:id="rId8239"/>
        </w:object>
      </w:r>
      <w:r w:rsidRPr="00D94694">
        <w:rPr>
          <w:rFonts w:hint="cs"/>
          <w:i/>
          <w:sz w:val="23"/>
          <w:szCs w:val="23"/>
          <w:rtl/>
        </w:rPr>
        <w:t xml:space="preserve"> وجود خواهد داشت. مصرف و درآمد هر یک از مصرف</w:t>
      </w:r>
      <w:r w:rsidRPr="00D94694">
        <w:rPr>
          <w:i/>
          <w:sz w:val="23"/>
          <w:szCs w:val="23"/>
          <w:rtl/>
        </w:rPr>
        <w:softHyphen/>
      </w:r>
      <w:r w:rsidRPr="00D94694">
        <w:rPr>
          <w:rFonts w:hint="cs"/>
          <w:i/>
          <w:sz w:val="23"/>
          <w:szCs w:val="23"/>
          <w:rtl/>
        </w:rPr>
        <w:t>کنندگان بوسیله‌ی وضعیت، شاخص‌گذاری شده است. لذا قید بودجه‌ی هر یک از مصرف کنندگان</w:t>
      </w:r>
      <w:r w:rsidRPr="00025957">
        <w:rPr>
          <w:position w:val="-4"/>
        </w:rPr>
        <w:object w:dxaOrig="240" w:dyaOrig="240" w14:anchorId="26BABBE7">
          <v:shape id="_x0000_i5121" type="#_x0000_t75" style="width:12.1pt;height:12.1pt" o:ole="">
            <v:imagedata r:id="rId8240" o:title=""/>
          </v:shape>
          <o:OLEObject Type="Embed" ProgID="Equation.DSMT4" ShapeID="_x0000_i5121" DrawAspect="Content" ObjectID="_1791379065" r:id="rId8241"/>
        </w:object>
      </w:r>
      <w:r w:rsidRPr="00D94694">
        <w:rPr>
          <w:rFonts w:hint="cs"/>
          <w:i/>
          <w:sz w:val="23"/>
          <w:szCs w:val="23"/>
          <w:rtl/>
        </w:rPr>
        <w:t xml:space="preserve"> و</w:t>
      </w:r>
      <w:r w:rsidRPr="00025957">
        <w:rPr>
          <w:position w:val="-4"/>
        </w:rPr>
        <w:object w:dxaOrig="240" w:dyaOrig="240" w14:anchorId="64C76495">
          <v:shape id="_x0000_i5122" type="#_x0000_t75" style="width:12.1pt;height:12.1pt" o:ole="">
            <v:imagedata r:id="rId8242" o:title=""/>
          </v:shape>
          <o:OLEObject Type="Embed" ProgID="Equation.DSMT4" ShapeID="_x0000_i5122" DrawAspect="Content" ObjectID="_1791379066" r:id="rId8243"/>
        </w:object>
      </w:r>
      <w:r w:rsidRPr="00D94694">
        <w:rPr>
          <w:rFonts w:hint="cs"/>
          <w:i/>
          <w:sz w:val="23"/>
          <w:szCs w:val="23"/>
          <w:rtl/>
        </w:rPr>
        <w:t xml:space="preserve"> عبارت است از</w:t>
      </w:r>
    </w:p>
    <w:p w14:paraId="5C98046F" w14:textId="77777777" w:rsidR="00411620" w:rsidRPr="00D94694" w:rsidRDefault="00411620" w:rsidP="00411620">
      <w:pPr>
        <w:tabs>
          <w:tab w:val="right" w:pos="7233"/>
        </w:tabs>
        <w:bidi w:val="0"/>
        <w:spacing w:line="216" w:lineRule="auto"/>
        <w:rPr>
          <w:i/>
          <w:sz w:val="23"/>
          <w:szCs w:val="23"/>
        </w:rPr>
      </w:pPr>
      <w:r w:rsidRPr="00D94694">
        <w:rPr>
          <w:position w:val="-32"/>
        </w:rPr>
        <w:object w:dxaOrig="2840" w:dyaOrig="740" w14:anchorId="506A95E6">
          <v:shape id="_x0000_i5123" type="#_x0000_t75" style="width:142.2pt;height:36.9pt" o:ole="">
            <v:imagedata r:id="rId8244" o:title=""/>
          </v:shape>
          <o:OLEObject Type="Embed" ProgID="Equation.DSMT4" ShapeID="_x0000_i5123" DrawAspect="Content" ObjectID="_1791379067" r:id="rId8245"/>
        </w:object>
      </w:r>
    </w:p>
    <w:p w14:paraId="4EEEED51"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هر یک از مصرف</w:t>
      </w:r>
      <w:r w:rsidRPr="00D94694">
        <w:rPr>
          <w:i/>
          <w:sz w:val="23"/>
          <w:szCs w:val="23"/>
          <w:rtl/>
        </w:rPr>
        <w:softHyphen/>
      </w:r>
      <w:r w:rsidRPr="00D94694">
        <w:rPr>
          <w:rFonts w:hint="cs"/>
          <w:i/>
          <w:sz w:val="23"/>
          <w:szCs w:val="23"/>
          <w:rtl/>
        </w:rPr>
        <w:t>کنندگان مطلوبیت را بر حسب دو قید بودجه حداکثر خواهند کرد. بنابراین لاگرانژین مصرف</w:t>
      </w:r>
      <w:r w:rsidRPr="00D94694">
        <w:rPr>
          <w:i/>
          <w:sz w:val="23"/>
          <w:szCs w:val="23"/>
          <w:rtl/>
        </w:rPr>
        <w:softHyphen/>
      </w:r>
      <w:r w:rsidRPr="00D94694">
        <w:rPr>
          <w:rFonts w:hint="cs"/>
          <w:i/>
          <w:sz w:val="23"/>
          <w:szCs w:val="23"/>
          <w:rtl/>
        </w:rPr>
        <w:t>کننده‌ی</w:t>
      </w:r>
      <w:r w:rsidRPr="00025957">
        <w:rPr>
          <w:position w:val="-4"/>
        </w:rPr>
        <w:object w:dxaOrig="240" w:dyaOrig="240" w14:anchorId="2405765E">
          <v:shape id="_x0000_i5124" type="#_x0000_t75" style="width:12.1pt;height:12.1pt" o:ole="">
            <v:imagedata r:id="rId8246" o:title=""/>
          </v:shape>
          <o:OLEObject Type="Embed" ProgID="Equation.DSMT4" ShapeID="_x0000_i5124" DrawAspect="Content" ObjectID="_1791379068" r:id="rId8247"/>
        </w:object>
      </w:r>
      <w:r w:rsidRPr="00D94694">
        <w:rPr>
          <w:rFonts w:hint="cs"/>
          <w:i/>
          <w:sz w:val="23"/>
          <w:szCs w:val="23"/>
          <w:rtl/>
        </w:rPr>
        <w:t xml:space="preserve"> عبارت است از</w:t>
      </w:r>
    </w:p>
    <w:p w14:paraId="3F1311D8" w14:textId="77777777" w:rsidR="00411620" w:rsidRPr="00D94694" w:rsidRDefault="00411620" w:rsidP="00411620">
      <w:pPr>
        <w:tabs>
          <w:tab w:val="right" w:pos="7233"/>
        </w:tabs>
        <w:bidi w:val="0"/>
        <w:spacing w:line="216" w:lineRule="auto"/>
        <w:rPr>
          <w:i/>
          <w:sz w:val="23"/>
          <w:szCs w:val="23"/>
        </w:rPr>
      </w:pPr>
      <w:r w:rsidRPr="00D94694">
        <w:rPr>
          <w:position w:val="-16"/>
        </w:rPr>
        <w:object w:dxaOrig="6840" w:dyaOrig="420" w14:anchorId="009AB783">
          <v:shape id="_x0000_i5125" type="#_x0000_t75" style="width:341.85pt;height:21.2pt" o:ole="">
            <v:imagedata r:id="rId8248" o:title=""/>
          </v:shape>
          <o:OLEObject Type="Embed" ProgID="Equation.DSMT4" ShapeID="_x0000_i5125" DrawAspect="Content" ObjectID="_1791379069" r:id="rId8249"/>
        </w:object>
      </w:r>
    </w:p>
    <w:p w14:paraId="59A06801"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شرایط مرتبه اول عبارت است از</w:t>
      </w:r>
    </w:p>
    <w:p w14:paraId="79C2D4B6" w14:textId="77777777" w:rsidR="00411620" w:rsidRPr="00D94694" w:rsidRDefault="00411620" w:rsidP="00411620">
      <w:pPr>
        <w:tabs>
          <w:tab w:val="right" w:pos="7233"/>
        </w:tabs>
        <w:bidi w:val="0"/>
        <w:spacing w:line="216" w:lineRule="auto"/>
        <w:rPr>
          <w:i/>
          <w:sz w:val="23"/>
          <w:szCs w:val="23"/>
        </w:rPr>
      </w:pPr>
      <w:r w:rsidRPr="00D94694">
        <w:rPr>
          <w:position w:val="-62"/>
        </w:rPr>
        <w:object w:dxaOrig="2780" w:dyaOrig="1340" w14:anchorId="4A7EDB61">
          <v:shape id="_x0000_i5126" type="#_x0000_t75" style="width:139.15pt;height:67.15pt" o:ole="">
            <v:imagedata r:id="rId8250" o:title=""/>
          </v:shape>
          <o:OLEObject Type="Embed" ProgID="Equation.DSMT4" ShapeID="_x0000_i5126" DrawAspect="Content" ObjectID="_1791379070" r:id="rId8251"/>
        </w:object>
      </w:r>
    </w:p>
    <w:p w14:paraId="42674EF7"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با حذف ضریب لاگرانژ از این عبارات خواهیم داشت</w:t>
      </w:r>
    </w:p>
    <w:p w14:paraId="104D3585" w14:textId="77777777" w:rsidR="00411620" w:rsidRPr="00D94694" w:rsidRDefault="00411620" w:rsidP="00411620">
      <w:pPr>
        <w:tabs>
          <w:tab w:val="right" w:pos="7233"/>
        </w:tabs>
        <w:bidi w:val="0"/>
        <w:spacing w:line="216" w:lineRule="auto"/>
        <w:rPr>
          <w:i/>
          <w:sz w:val="23"/>
          <w:szCs w:val="23"/>
        </w:rPr>
      </w:pPr>
      <w:r w:rsidRPr="00D94694">
        <w:rPr>
          <w:position w:val="-30"/>
        </w:rPr>
        <w:object w:dxaOrig="1920" w:dyaOrig="700" w14:anchorId="7FB2FA51">
          <v:shape id="_x0000_i5127" type="#_x0000_t75" style="width:96.2pt;height:35.1pt" o:ole="">
            <v:imagedata r:id="rId8252" o:title=""/>
          </v:shape>
          <o:OLEObject Type="Embed" ProgID="Equation.DSMT4" ShapeID="_x0000_i5127" DrawAspect="Content" ObjectID="_1791379071" r:id="rId8253"/>
        </w:object>
      </w:r>
    </w:p>
    <w:p w14:paraId="7D0AF658"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lastRenderedPageBreak/>
        <w:t>مسئله‌ی مصرف</w:t>
      </w:r>
      <w:r w:rsidRPr="00D94694">
        <w:rPr>
          <w:i/>
          <w:sz w:val="23"/>
          <w:szCs w:val="23"/>
          <w:rtl/>
        </w:rPr>
        <w:softHyphen/>
      </w:r>
      <w:r w:rsidRPr="00D94694">
        <w:rPr>
          <w:rFonts w:hint="cs"/>
          <w:i/>
          <w:sz w:val="23"/>
          <w:szCs w:val="23"/>
          <w:rtl/>
        </w:rPr>
        <w:t>کننده‌ی</w:t>
      </w:r>
      <w:r w:rsidRPr="00025957">
        <w:rPr>
          <w:position w:val="-4"/>
        </w:rPr>
        <w:object w:dxaOrig="240" w:dyaOrig="240" w14:anchorId="1039F82E">
          <v:shape id="_x0000_i5128" type="#_x0000_t75" style="width:12.1pt;height:12.1pt" o:ole="">
            <v:imagedata r:id="rId8254" o:title=""/>
          </v:shape>
          <o:OLEObject Type="Embed" ProgID="Equation.DSMT4" ShapeID="_x0000_i5128" DrawAspect="Content" ObjectID="_1791379072" r:id="rId8255"/>
        </w:object>
      </w:r>
      <w:r w:rsidRPr="00D94694">
        <w:rPr>
          <w:i/>
          <w:sz w:val="23"/>
          <w:szCs w:val="23"/>
        </w:rPr>
        <w:t xml:space="preserve"> </w:t>
      </w:r>
      <w:r w:rsidRPr="00D94694">
        <w:rPr>
          <w:rFonts w:hint="cs"/>
          <w:i/>
          <w:sz w:val="23"/>
          <w:szCs w:val="23"/>
          <w:rtl/>
        </w:rPr>
        <w:t>همانند مصرف کننده‌ی</w:t>
      </w:r>
      <w:r w:rsidRPr="00025957">
        <w:rPr>
          <w:position w:val="-4"/>
        </w:rPr>
        <w:object w:dxaOrig="240" w:dyaOrig="240" w14:anchorId="1AF2AED7">
          <v:shape id="_x0000_i5129" type="#_x0000_t75" style="width:12.1pt;height:12.1pt" o:ole="">
            <v:imagedata r:id="rId8256" o:title=""/>
          </v:shape>
          <o:OLEObject Type="Embed" ProgID="Equation.DSMT4" ShapeID="_x0000_i5129" DrawAspect="Content" ObjectID="_1791379073" r:id="rId8257"/>
        </w:object>
      </w:r>
      <w:r w:rsidRPr="00D94694">
        <w:rPr>
          <w:rFonts w:hint="cs"/>
          <w:i/>
          <w:sz w:val="23"/>
          <w:szCs w:val="23"/>
          <w:rtl/>
        </w:rPr>
        <w:t xml:space="preserve"> بوده، لاگرانژین یک شکل، ولی قید بودجه‌ی آن</w:t>
      </w:r>
      <w:r w:rsidRPr="00D94694">
        <w:rPr>
          <w:i/>
          <w:sz w:val="23"/>
          <w:szCs w:val="23"/>
          <w:rtl/>
        </w:rPr>
        <w:softHyphen/>
      </w:r>
      <w:r w:rsidRPr="00D94694">
        <w:rPr>
          <w:rFonts w:hint="cs"/>
          <w:i/>
          <w:sz w:val="23"/>
          <w:szCs w:val="23"/>
          <w:rtl/>
        </w:rPr>
        <w:t>ها با یکدیگر تفاوت خواهد داشت. بنابراین</w:t>
      </w:r>
    </w:p>
    <w:p w14:paraId="289995AA" w14:textId="77777777" w:rsidR="00411620" w:rsidRPr="00D94694" w:rsidRDefault="00411620" w:rsidP="00411620">
      <w:pPr>
        <w:tabs>
          <w:tab w:val="right" w:pos="7233"/>
        </w:tabs>
        <w:bidi w:val="0"/>
        <w:spacing w:line="216" w:lineRule="auto"/>
        <w:rPr>
          <w:i/>
          <w:sz w:val="23"/>
          <w:szCs w:val="23"/>
        </w:rPr>
      </w:pPr>
      <w:r w:rsidRPr="00D94694">
        <w:rPr>
          <w:rFonts w:hint="cs"/>
          <w:i/>
          <w:sz w:val="23"/>
          <w:szCs w:val="23"/>
          <w:rtl/>
        </w:rPr>
        <w:t xml:space="preserve"> </w:t>
      </w:r>
      <w:r w:rsidRPr="00D94694">
        <w:rPr>
          <w:position w:val="-30"/>
        </w:rPr>
        <w:object w:dxaOrig="1920" w:dyaOrig="700" w14:anchorId="6B2A356F">
          <v:shape id="_x0000_i5130" type="#_x0000_t75" style="width:96.2pt;height:35.1pt" o:ole="">
            <v:imagedata r:id="rId8258" o:title=""/>
          </v:shape>
          <o:OLEObject Type="Embed" ProgID="Equation.DSMT4" ShapeID="_x0000_i5130" DrawAspect="Content" ObjectID="_1791379074" r:id="rId8259"/>
        </w:object>
      </w:r>
    </w:p>
    <w:p w14:paraId="270F72CD"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لذا</w:t>
      </w:r>
    </w:p>
    <w:p w14:paraId="16B3E65C" w14:textId="77777777" w:rsidR="00411620" w:rsidRPr="00D94694" w:rsidRDefault="00411620" w:rsidP="00411620">
      <w:pPr>
        <w:tabs>
          <w:tab w:val="right" w:pos="7233"/>
        </w:tabs>
        <w:bidi w:val="0"/>
        <w:spacing w:line="216" w:lineRule="auto"/>
        <w:rPr>
          <w:i/>
          <w:sz w:val="23"/>
          <w:szCs w:val="23"/>
        </w:rPr>
      </w:pPr>
      <w:r w:rsidRPr="00D94694">
        <w:rPr>
          <w:position w:val="-30"/>
        </w:rPr>
        <w:object w:dxaOrig="1840" w:dyaOrig="700" w14:anchorId="4D50E087">
          <v:shape id="_x0000_i5131" type="#_x0000_t75" style="width:91.95pt;height:35.1pt" o:ole="">
            <v:imagedata r:id="rId8260" o:title=""/>
          </v:shape>
          <o:OLEObject Type="Embed" ProgID="Equation.DSMT4" ShapeID="_x0000_i5131" DrawAspect="Content" ObjectID="_1791379075" r:id="rId8261"/>
        </w:object>
      </w:r>
    </w:p>
    <w:p w14:paraId="0E9920A1"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فرض کنید درآمد هر یک از مصرف</w:t>
      </w:r>
      <w:r w:rsidRPr="00D94694">
        <w:rPr>
          <w:i/>
          <w:sz w:val="23"/>
          <w:szCs w:val="23"/>
          <w:rtl/>
        </w:rPr>
        <w:softHyphen/>
      </w:r>
      <w:r w:rsidRPr="00D94694">
        <w:rPr>
          <w:rFonts w:hint="cs"/>
          <w:i/>
          <w:sz w:val="23"/>
          <w:szCs w:val="23"/>
          <w:rtl/>
        </w:rPr>
        <w:t>کنندگان</w:t>
      </w:r>
      <w:r w:rsidRPr="00D94694">
        <w:rPr>
          <w:position w:val="-8"/>
        </w:rPr>
        <w:object w:dxaOrig="200" w:dyaOrig="220" w14:anchorId="32C288F7">
          <v:shape id="_x0000_i5132" type="#_x0000_t75" style="width:10.3pt;height:10.9pt" o:ole="">
            <v:imagedata r:id="rId8262" o:title=""/>
          </v:shape>
          <o:OLEObject Type="Embed" ProgID="Equation.DSMT4" ShapeID="_x0000_i5132" DrawAspect="Content" ObjectID="_1791379076" r:id="rId8263"/>
        </w:object>
      </w:r>
      <w:r w:rsidRPr="00D94694">
        <w:rPr>
          <w:rFonts w:hint="cs"/>
          <w:i/>
          <w:sz w:val="23"/>
          <w:szCs w:val="23"/>
          <w:rtl/>
        </w:rPr>
        <w:t xml:space="preserve"> با وضعیت کلی اقتصاد تغییر کند. وقتی اقتصاد در شرایط رونق است درآمد بالاست و برابر است با </w:t>
      </w:r>
      <w:r w:rsidRPr="00D94694">
        <w:rPr>
          <w:position w:val="-8"/>
        </w:rPr>
        <w:object w:dxaOrig="200" w:dyaOrig="260" w14:anchorId="6C0D311D">
          <v:shape id="_x0000_i5133" type="#_x0000_t75" style="width:10.3pt;height:13.3pt" o:ole="">
            <v:imagedata r:id="rId8264" o:title=""/>
          </v:shape>
          <o:OLEObject Type="Embed" ProgID="Equation.DSMT4" ShapeID="_x0000_i5133" DrawAspect="Content" ObjectID="_1791379077" r:id="rId8265"/>
        </w:object>
      </w:r>
      <w:r w:rsidRPr="00D94694">
        <w:rPr>
          <w:i/>
          <w:sz w:val="23"/>
          <w:szCs w:val="23"/>
        </w:rPr>
        <w:t xml:space="preserve"> </w:t>
      </w:r>
      <w:r w:rsidRPr="00D94694">
        <w:rPr>
          <w:rFonts w:hint="cs"/>
          <w:i/>
          <w:sz w:val="23"/>
          <w:szCs w:val="23"/>
          <w:rtl/>
        </w:rPr>
        <w:t xml:space="preserve">با احتمال </w:t>
      </w:r>
      <w:r w:rsidRPr="00D94694">
        <w:rPr>
          <w:position w:val="-10"/>
        </w:rPr>
        <w:object w:dxaOrig="180" w:dyaOrig="300" w14:anchorId="51220704">
          <v:shape id="_x0000_i5134" type="#_x0000_t75" style="width:9.1pt;height:15.15pt" o:ole="">
            <v:imagedata r:id="rId8266" o:title=""/>
          </v:shape>
          <o:OLEObject Type="Embed" ProgID="Equation.DSMT4" ShapeID="_x0000_i5134" DrawAspect="Content" ObjectID="_1791379078" r:id="rId8267"/>
        </w:object>
      </w:r>
      <w:r w:rsidRPr="00D94694">
        <w:rPr>
          <w:rFonts w:hint="cs"/>
          <w:i/>
          <w:sz w:val="23"/>
          <w:szCs w:val="23"/>
          <w:rtl/>
        </w:rPr>
        <w:t xml:space="preserve">، و وقتی که اقتصاد در شرایط رکود است درآمد احتمالاً بخاطر بیکاری پایین است و برابر است با </w:t>
      </w:r>
      <w:r w:rsidRPr="00D94694">
        <w:rPr>
          <w:position w:val="-14"/>
        </w:rPr>
        <w:object w:dxaOrig="200" w:dyaOrig="279" w14:anchorId="21740A6F">
          <v:shape id="_x0000_i5135" type="#_x0000_t75" style="width:10.3pt;height:13.9pt" o:ole="">
            <v:imagedata r:id="rId8268" o:title=""/>
          </v:shape>
          <o:OLEObject Type="Embed" ProgID="Equation.DSMT4" ShapeID="_x0000_i5135" DrawAspect="Content" ObjectID="_1791379079" r:id="rId8269"/>
        </w:object>
      </w:r>
      <w:r w:rsidRPr="00D94694">
        <w:rPr>
          <w:rFonts w:hint="cs"/>
          <w:i/>
          <w:sz w:val="23"/>
          <w:szCs w:val="23"/>
          <w:rtl/>
        </w:rPr>
        <w:t xml:space="preserve"> با احتمال</w:t>
      </w:r>
      <w:r w:rsidRPr="00D94694">
        <w:rPr>
          <w:position w:val="-10"/>
        </w:rPr>
        <w:object w:dxaOrig="480" w:dyaOrig="300" w14:anchorId="7BC0FFF7">
          <v:shape id="_x0000_i5136" type="#_x0000_t75" style="width:24.2pt;height:15.15pt" o:ole="">
            <v:imagedata r:id="rId8270" o:title=""/>
          </v:shape>
          <o:OLEObject Type="Embed" ProgID="Equation.DSMT4" ShapeID="_x0000_i5136" DrawAspect="Content" ObjectID="_1791379080" r:id="rId8271"/>
        </w:object>
      </w:r>
      <w:r w:rsidRPr="00D94694">
        <w:rPr>
          <w:rFonts w:hint="cs"/>
          <w:i/>
          <w:sz w:val="23"/>
          <w:szCs w:val="23"/>
          <w:rtl/>
        </w:rPr>
        <w:t xml:space="preserve">، که درآن </w:t>
      </w:r>
      <w:r w:rsidRPr="00D94694">
        <w:rPr>
          <w:position w:val="-14"/>
        </w:rPr>
        <w:object w:dxaOrig="560" w:dyaOrig="320" w14:anchorId="3628970D">
          <v:shape id="_x0000_i5137" type="#_x0000_t75" style="width:27.85pt;height:15.75pt" o:ole="">
            <v:imagedata r:id="rId8272" o:title=""/>
          </v:shape>
          <o:OLEObject Type="Embed" ProgID="Equation.DSMT4" ShapeID="_x0000_i5137" DrawAspect="Content" ObjectID="_1791379081" r:id="rId8273"/>
        </w:object>
      </w:r>
      <w:r w:rsidRPr="00D94694">
        <w:rPr>
          <w:rFonts w:hint="cs"/>
          <w:i/>
          <w:sz w:val="23"/>
          <w:szCs w:val="23"/>
          <w:rtl/>
        </w:rPr>
        <w:t xml:space="preserve"> می‌باشد. بنابراین چهارحالت وجود خواهد داشت</w:t>
      </w:r>
    </w:p>
    <w:p w14:paraId="238585B9"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 xml:space="preserve">حالت ۱. </w:t>
      </w:r>
      <w:r w:rsidRPr="00D94694">
        <w:rPr>
          <w:position w:val="-8"/>
        </w:rPr>
        <w:object w:dxaOrig="680" w:dyaOrig="320" w14:anchorId="4E378BFD">
          <v:shape id="_x0000_i5138" type="#_x0000_t75" style="width:33.9pt;height:15.75pt" o:ole="">
            <v:imagedata r:id="rId8274" o:title=""/>
          </v:shape>
          <o:OLEObject Type="Embed" ProgID="Equation.DSMT4" ShapeID="_x0000_i5138" DrawAspect="Content" ObjectID="_1791379082" r:id="rId8275"/>
        </w:object>
      </w:r>
      <w:r w:rsidRPr="00D94694">
        <w:rPr>
          <w:rFonts w:hint="cs"/>
          <w:i/>
          <w:sz w:val="23"/>
          <w:szCs w:val="23"/>
          <w:rtl/>
        </w:rPr>
        <w:t xml:space="preserve"> و </w:t>
      </w:r>
      <w:r w:rsidRPr="00D94694">
        <w:rPr>
          <w:position w:val="-8"/>
        </w:rPr>
        <w:object w:dxaOrig="660" w:dyaOrig="320" w14:anchorId="44024094">
          <v:shape id="_x0000_i5139" type="#_x0000_t75" style="width:32.65pt;height:15.75pt" o:ole="">
            <v:imagedata r:id="rId8276" o:title=""/>
          </v:shape>
          <o:OLEObject Type="Embed" ProgID="Equation.DSMT4" ShapeID="_x0000_i5139" DrawAspect="Content" ObjectID="_1791379083" r:id="rId8277"/>
        </w:object>
      </w:r>
      <w:r w:rsidRPr="00D94694">
        <w:rPr>
          <w:rFonts w:hint="cs"/>
          <w:i/>
          <w:sz w:val="23"/>
          <w:szCs w:val="23"/>
          <w:rtl/>
        </w:rPr>
        <w:t xml:space="preserve"> با احتما</w:t>
      </w:r>
      <w:r w:rsidRPr="00D94694">
        <w:rPr>
          <w:position w:val="-10"/>
        </w:rPr>
        <w:object w:dxaOrig="300" w:dyaOrig="300" w14:anchorId="2574352D">
          <v:shape id="_x0000_i5140" type="#_x0000_t75" style="width:15.15pt;height:15.15pt" o:ole="">
            <v:imagedata r:id="rId8278" o:title=""/>
          </v:shape>
          <o:OLEObject Type="Embed" ProgID="Equation.DSMT4" ShapeID="_x0000_i5140" DrawAspect="Content" ObjectID="_1791379084" r:id="rId8279"/>
        </w:object>
      </w:r>
      <w:r w:rsidRPr="00D94694">
        <w:rPr>
          <w:rFonts w:hint="cs"/>
          <w:i/>
          <w:sz w:val="23"/>
          <w:szCs w:val="23"/>
          <w:rtl/>
        </w:rPr>
        <w:t>،</w:t>
      </w:r>
    </w:p>
    <w:p w14:paraId="5467DDC0"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 xml:space="preserve">حالت ۲. </w:t>
      </w:r>
      <w:r w:rsidRPr="00D94694">
        <w:rPr>
          <w:position w:val="-8"/>
        </w:rPr>
        <w:object w:dxaOrig="660" w:dyaOrig="320" w14:anchorId="7628B6CB">
          <v:shape id="_x0000_i5141" type="#_x0000_t75" style="width:32.65pt;height:15.75pt" o:ole="">
            <v:imagedata r:id="rId8280" o:title=""/>
          </v:shape>
          <o:OLEObject Type="Embed" ProgID="Equation.DSMT4" ShapeID="_x0000_i5141" DrawAspect="Content" ObjectID="_1791379085" r:id="rId8281"/>
        </w:object>
      </w:r>
      <w:r w:rsidRPr="00D94694">
        <w:rPr>
          <w:rFonts w:hint="cs"/>
          <w:i/>
          <w:sz w:val="23"/>
          <w:szCs w:val="23"/>
          <w:rtl/>
        </w:rPr>
        <w:t xml:space="preserve"> و </w:t>
      </w:r>
      <w:r w:rsidRPr="00D94694">
        <w:rPr>
          <w:position w:val="-8"/>
        </w:rPr>
        <w:object w:dxaOrig="680" w:dyaOrig="320" w14:anchorId="12F97379">
          <v:shape id="_x0000_i5142" type="#_x0000_t75" style="width:33.9pt;height:15.75pt" o:ole="">
            <v:imagedata r:id="rId8282" o:title=""/>
          </v:shape>
          <o:OLEObject Type="Embed" ProgID="Equation.DSMT4" ShapeID="_x0000_i5142" DrawAspect="Content" ObjectID="_1791379086" r:id="rId8283"/>
        </w:object>
      </w:r>
      <w:r w:rsidRPr="00D94694">
        <w:rPr>
          <w:rFonts w:hint="cs"/>
          <w:i/>
          <w:sz w:val="23"/>
          <w:szCs w:val="23"/>
          <w:rtl/>
        </w:rPr>
        <w:t xml:space="preserve"> با احتمال </w:t>
      </w:r>
      <w:r w:rsidRPr="00D94694">
        <w:rPr>
          <w:position w:val="-12"/>
        </w:rPr>
        <w:object w:dxaOrig="780" w:dyaOrig="360" w14:anchorId="06CFA7D3">
          <v:shape id="_x0000_i5143" type="#_x0000_t75" style="width:39.35pt;height:18.15pt" o:ole="">
            <v:imagedata r:id="rId8284" o:title=""/>
          </v:shape>
          <o:OLEObject Type="Embed" ProgID="Equation.DSMT4" ShapeID="_x0000_i5143" DrawAspect="Content" ObjectID="_1791379087" r:id="rId8285"/>
        </w:object>
      </w:r>
      <w:r w:rsidRPr="00D94694">
        <w:rPr>
          <w:rFonts w:hint="cs"/>
          <w:i/>
          <w:sz w:val="23"/>
          <w:szCs w:val="23"/>
          <w:rtl/>
        </w:rPr>
        <w:t>،</w:t>
      </w:r>
    </w:p>
    <w:p w14:paraId="2FB2FCE5"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 xml:space="preserve">حالت ۳. </w:t>
      </w:r>
      <w:r w:rsidRPr="00D94694">
        <w:rPr>
          <w:position w:val="-14"/>
        </w:rPr>
        <w:object w:dxaOrig="680" w:dyaOrig="380" w14:anchorId="67660C56">
          <v:shape id="_x0000_i5144" type="#_x0000_t75" style="width:33.9pt;height:18.75pt" o:ole="">
            <v:imagedata r:id="rId8286" o:title=""/>
          </v:shape>
          <o:OLEObject Type="Embed" ProgID="Equation.DSMT4" ShapeID="_x0000_i5144" DrawAspect="Content" ObjectID="_1791379088" r:id="rId8287"/>
        </w:object>
      </w:r>
      <w:r w:rsidRPr="00D94694">
        <w:rPr>
          <w:rFonts w:hint="cs"/>
          <w:i/>
          <w:sz w:val="23"/>
          <w:szCs w:val="23"/>
          <w:rtl/>
        </w:rPr>
        <w:t xml:space="preserve"> و </w:t>
      </w:r>
      <w:r w:rsidRPr="00D94694">
        <w:rPr>
          <w:position w:val="-8"/>
        </w:rPr>
        <w:object w:dxaOrig="660" w:dyaOrig="320" w14:anchorId="50F43268">
          <v:shape id="_x0000_i5145" type="#_x0000_t75" style="width:32.65pt;height:15.75pt" o:ole="">
            <v:imagedata r:id="rId8288" o:title=""/>
          </v:shape>
          <o:OLEObject Type="Embed" ProgID="Equation.DSMT4" ShapeID="_x0000_i5145" DrawAspect="Content" ObjectID="_1791379089" r:id="rId8289"/>
        </w:object>
      </w:r>
      <w:r w:rsidRPr="00D94694">
        <w:rPr>
          <w:rFonts w:hint="cs"/>
          <w:i/>
          <w:sz w:val="23"/>
          <w:szCs w:val="23"/>
          <w:rtl/>
        </w:rPr>
        <w:t xml:space="preserve"> با احتمال </w:t>
      </w:r>
      <w:r w:rsidRPr="00D94694">
        <w:rPr>
          <w:position w:val="-12"/>
        </w:rPr>
        <w:object w:dxaOrig="780" w:dyaOrig="360" w14:anchorId="433EA097">
          <v:shape id="_x0000_i5146" type="#_x0000_t75" style="width:39.35pt;height:18.15pt" o:ole="">
            <v:imagedata r:id="rId8290" o:title=""/>
          </v:shape>
          <o:OLEObject Type="Embed" ProgID="Equation.DSMT4" ShapeID="_x0000_i5146" DrawAspect="Content" ObjectID="_1791379090" r:id="rId8291"/>
        </w:object>
      </w:r>
      <w:r w:rsidRPr="00D94694">
        <w:rPr>
          <w:rFonts w:hint="cs"/>
          <w:i/>
          <w:sz w:val="23"/>
          <w:szCs w:val="23"/>
          <w:rtl/>
        </w:rPr>
        <w:t>،</w:t>
      </w:r>
    </w:p>
    <w:p w14:paraId="009CB77C" w14:textId="77777777" w:rsidR="00411620" w:rsidRPr="00D94694" w:rsidRDefault="00411620" w:rsidP="00411620">
      <w:pPr>
        <w:tabs>
          <w:tab w:val="right" w:pos="7233"/>
        </w:tabs>
        <w:spacing w:line="216" w:lineRule="auto"/>
        <w:rPr>
          <w:i/>
          <w:sz w:val="23"/>
          <w:szCs w:val="23"/>
        </w:rPr>
      </w:pPr>
      <w:r w:rsidRPr="00D94694">
        <w:rPr>
          <w:rFonts w:hint="cs"/>
          <w:i/>
          <w:sz w:val="23"/>
          <w:szCs w:val="23"/>
          <w:rtl/>
        </w:rPr>
        <w:t xml:space="preserve">حالت ۴. </w:t>
      </w:r>
      <w:r w:rsidRPr="00D94694">
        <w:rPr>
          <w:position w:val="-8"/>
        </w:rPr>
        <w:object w:dxaOrig="660" w:dyaOrig="320" w14:anchorId="54A38E68">
          <v:shape id="_x0000_i5147" type="#_x0000_t75" style="width:32.65pt;height:15.75pt" o:ole="">
            <v:imagedata r:id="rId8292" o:title=""/>
          </v:shape>
          <o:OLEObject Type="Embed" ProgID="Equation.DSMT4" ShapeID="_x0000_i5147" DrawAspect="Content" ObjectID="_1791379091" r:id="rId8293"/>
        </w:object>
      </w:r>
      <w:r w:rsidRPr="00D94694">
        <w:rPr>
          <w:rFonts w:hint="cs"/>
          <w:i/>
          <w:sz w:val="23"/>
          <w:szCs w:val="23"/>
          <w:rtl/>
        </w:rPr>
        <w:t xml:space="preserve"> و </w:t>
      </w:r>
      <w:r w:rsidRPr="00D94694">
        <w:rPr>
          <w:position w:val="-14"/>
        </w:rPr>
        <w:object w:dxaOrig="680" w:dyaOrig="380" w14:anchorId="219B058C">
          <v:shape id="_x0000_i5148" type="#_x0000_t75" style="width:33.9pt;height:18.75pt" o:ole="">
            <v:imagedata r:id="rId8294" o:title=""/>
          </v:shape>
          <o:OLEObject Type="Embed" ProgID="Equation.DSMT4" ShapeID="_x0000_i5148" DrawAspect="Content" ObjectID="_1791379092" r:id="rId8295"/>
        </w:object>
      </w:r>
      <w:r w:rsidRPr="00D94694">
        <w:rPr>
          <w:rFonts w:hint="cs"/>
          <w:i/>
          <w:sz w:val="23"/>
          <w:szCs w:val="23"/>
          <w:rtl/>
        </w:rPr>
        <w:t xml:space="preserve"> با احتمال </w:t>
      </w:r>
      <w:r w:rsidRPr="00D94694">
        <w:rPr>
          <w:position w:val="-12"/>
        </w:rPr>
        <w:object w:dxaOrig="1219" w:dyaOrig="360" w14:anchorId="53309690">
          <v:shape id="_x0000_i5149" type="#_x0000_t75" style="width:61.1pt;height:18.15pt" o:ole="">
            <v:imagedata r:id="rId8296" o:title=""/>
          </v:shape>
          <o:OLEObject Type="Embed" ProgID="Equation.DSMT4" ShapeID="_x0000_i5149" DrawAspect="Content" ObjectID="_1791379093" r:id="rId8297"/>
        </w:object>
      </w:r>
      <w:r w:rsidRPr="00D94694">
        <w:rPr>
          <w:i/>
          <w:sz w:val="23"/>
          <w:szCs w:val="23"/>
        </w:rPr>
        <w:t>.</w:t>
      </w:r>
    </w:p>
    <w:p w14:paraId="1737BECE"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همانند قبل از شرایط مرتبه اول می‌توان حل این مسئله را بدست آورد. یک راه ساده</w:t>
      </w:r>
      <w:r w:rsidRPr="00D94694">
        <w:rPr>
          <w:i/>
          <w:sz w:val="23"/>
          <w:szCs w:val="23"/>
          <w:rtl/>
        </w:rPr>
        <w:softHyphen/>
      </w:r>
      <w:r w:rsidRPr="00D94694">
        <w:rPr>
          <w:rFonts w:hint="cs"/>
          <w:i/>
          <w:sz w:val="23"/>
          <w:szCs w:val="23"/>
          <w:rtl/>
        </w:rPr>
        <w:t>تر این است که با یک حالت کلی معین مصرف</w:t>
      </w:r>
      <w:r w:rsidRPr="00D94694">
        <w:rPr>
          <w:i/>
          <w:sz w:val="23"/>
          <w:szCs w:val="23"/>
          <w:rtl/>
        </w:rPr>
        <w:softHyphen/>
      </w:r>
      <w:r w:rsidRPr="00D94694">
        <w:rPr>
          <w:rFonts w:hint="cs"/>
          <w:i/>
          <w:sz w:val="23"/>
          <w:szCs w:val="23"/>
          <w:rtl/>
        </w:rPr>
        <w:t>کنندگان نرخ‌های نهایی جانشینی مصرف در حالات ویژه را برابر خواهند کرد؛ هرچند نرخ‌های نهایی جانشینی مصرف بین حالات ویژه با حالت کلی تغییر خواهد کرد. بنابراین شروط قبلی عبارت خواهند بود از</w:t>
      </w:r>
    </w:p>
    <w:p w14:paraId="509FA580" w14:textId="77777777" w:rsidR="00411620" w:rsidRPr="00D94694" w:rsidRDefault="00411620" w:rsidP="00411620">
      <w:pPr>
        <w:tabs>
          <w:tab w:val="right" w:pos="7233"/>
        </w:tabs>
        <w:spacing w:line="216" w:lineRule="auto"/>
        <w:rPr>
          <w:i/>
          <w:sz w:val="23"/>
          <w:szCs w:val="23"/>
        </w:rPr>
      </w:pPr>
      <w:r w:rsidRPr="00D94694">
        <w:rPr>
          <w:rFonts w:hint="cs"/>
          <w:i/>
          <w:sz w:val="23"/>
          <w:szCs w:val="23"/>
          <w:rtl/>
        </w:rPr>
        <w:t xml:space="preserve">حالت رونق </w:t>
      </w:r>
      <w:r w:rsidRPr="00D94694">
        <w:rPr>
          <w:position w:val="-30"/>
        </w:rPr>
        <w:object w:dxaOrig="1880" w:dyaOrig="700" w14:anchorId="0A0CEFD4">
          <v:shape id="_x0000_i5150" type="#_x0000_t75" style="width:93.8pt;height:35.1pt" o:ole="">
            <v:imagedata r:id="rId8298" o:title=""/>
          </v:shape>
          <o:OLEObject Type="Embed" ProgID="Equation.DSMT4" ShapeID="_x0000_i5150" DrawAspect="Content" ObjectID="_1791379094" r:id="rId8299"/>
        </w:object>
      </w:r>
    </w:p>
    <w:p w14:paraId="179CFB7A" w14:textId="77777777" w:rsidR="00411620" w:rsidRPr="00D94694" w:rsidRDefault="00411620" w:rsidP="00411620">
      <w:pPr>
        <w:tabs>
          <w:tab w:val="right" w:pos="7233"/>
        </w:tabs>
        <w:spacing w:line="216" w:lineRule="auto"/>
        <w:rPr>
          <w:i/>
          <w:sz w:val="23"/>
          <w:szCs w:val="23"/>
        </w:rPr>
      </w:pPr>
      <w:r w:rsidRPr="00D94694">
        <w:rPr>
          <w:rFonts w:hint="cs"/>
          <w:i/>
          <w:sz w:val="23"/>
          <w:szCs w:val="23"/>
          <w:rtl/>
        </w:rPr>
        <w:t xml:space="preserve">حالت رکود </w:t>
      </w:r>
      <w:r w:rsidRPr="00D94694">
        <w:rPr>
          <w:position w:val="-30"/>
        </w:rPr>
        <w:object w:dxaOrig="1900" w:dyaOrig="700" w14:anchorId="2D593F81">
          <v:shape id="_x0000_i5151" type="#_x0000_t75" style="width:95pt;height:35.1pt" o:ole="">
            <v:imagedata r:id="rId8300" o:title=""/>
          </v:shape>
          <o:OLEObject Type="Embed" ProgID="Equation.DSMT4" ShapeID="_x0000_i5151" DrawAspect="Content" ObjectID="_1791379095" r:id="rId8301"/>
        </w:object>
      </w:r>
    </w:p>
    <w:p w14:paraId="7C683C8D"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 xml:space="preserve">که در آن </w:t>
      </w:r>
      <w:r w:rsidRPr="00D94694">
        <w:rPr>
          <w:position w:val="-10"/>
        </w:rPr>
        <w:object w:dxaOrig="220" w:dyaOrig="320" w14:anchorId="53E60723">
          <v:shape id="_x0000_i5152" type="#_x0000_t75" style="width:10.9pt;height:15.75pt" o:ole="">
            <v:imagedata r:id="rId8302" o:title=""/>
          </v:shape>
          <o:OLEObject Type="Embed" ProgID="Equation.DSMT4" ShapeID="_x0000_i5152" DrawAspect="Content" ObjectID="_1791379096" r:id="rId8303"/>
        </w:object>
      </w:r>
      <w:r w:rsidRPr="00D94694">
        <w:rPr>
          <w:rFonts w:hint="cs"/>
          <w:i/>
          <w:sz w:val="23"/>
          <w:szCs w:val="23"/>
          <w:rtl/>
        </w:rPr>
        <w:t xml:space="preserve"> و </w:t>
      </w:r>
      <w:r w:rsidRPr="00D94694">
        <w:rPr>
          <w:position w:val="-10"/>
        </w:rPr>
        <w:object w:dxaOrig="220" w:dyaOrig="320" w14:anchorId="3AACAA4C">
          <v:shape id="_x0000_i5153" type="#_x0000_t75" style="width:10.9pt;height:15.75pt" o:ole="">
            <v:imagedata r:id="rId8304" o:title=""/>
          </v:shape>
          <o:OLEObject Type="Embed" ProgID="Equation.DSMT4" ShapeID="_x0000_i5153" DrawAspect="Content" ObjectID="_1791379097" r:id="rId8305"/>
        </w:object>
      </w:r>
      <w:r w:rsidRPr="00D94694">
        <w:rPr>
          <w:rFonts w:hint="cs"/>
          <w:i/>
          <w:sz w:val="23"/>
          <w:szCs w:val="23"/>
          <w:rtl/>
        </w:rPr>
        <w:t xml:space="preserve"> متفاوت بوده، زیرا منابع کلی مختلفی در اقتصاد وجود دارد که به شرایط رکود و رونق اقتصاد وابسته است.</w:t>
      </w:r>
    </w:p>
    <w:p w14:paraId="45E7E722"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احتمال بیمه در مقابل شوک‌های درآمد همزمان با آن در برابر شوک</w:t>
      </w:r>
      <w:r w:rsidRPr="00D94694">
        <w:rPr>
          <w:i/>
          <w:sz w:val="23"/>
          <w:szCs w:val="23"/>
          <w:rtl/>
        </w:rPr>
        <w:softHyphen/>
      </w:r>
      <w:r w:rsidRPr="00D94694">
        <w:rPr>
          <w:rFonts w:hint="cs"/>
          <w:i/>
          <w:sz w:val="23"/>
          <w:szCs w:val="23"/>
          <w:rtl/>
        </w:rPr>
        <w:t>های کلی را در نظر بگیرید. در غیاب شوک‌های کلی، نسبت‌های مصرف در بین وضعیت</w:t>
      </w:r>
      <w:r w:rsidRPr="00D94694">
        <w:rPr>
          <w:i/>
          <w:sz w:val="23"/>
          <w:szCs w:val="23"/>
          <w:rtl/>
        </w:rPr>
        <w:softHyphen/>
      </w:r>
      <w:r w:rsidRPr="00D94694">
        <w:rPr>
          <w:rFonts w:hint="cs"/>
          <w:i/>
          <w:sz w:val="23"/>
          <w:szCs w:val="23"/>
          <w:rtl/>
        </w:rPr>
        <w:t>های کار/بیکاری برای هر دو مصرف</w:t>
      </w:r>
      <w:r w:rsidRPr="00D94694">
        <w:rPr>
          <w:i/>
          <w:sz w:val="23"/>
          <w:szCs w:val="23"/>
          <w:rtl/>
        </w:rPr>
        <w:softHyphen/>
      </w:r>
      <w:r w:rsidRPr="00D94694">
        <w:rPr>
          <w:rFonts w:hint="cs"/>
          <w:i/>
          <w:sz w:val="23"/>
          <w:szCs w:val="23"/>
          <w:rtl/>
        </w:rPr>
        <w:t>کننده برابر است، که متناظر است با بیمه در مقابل شوک‌های ویژه. هرچند، بیمه در مقابل تغییرات کلی اقتصادی ممکن نیست. بنابراین، نسبت‌های مصرف در بین وضعیت</w:t>
      </w:r>
      <w:r w:rsidRPr="00D94694">
        <w:rPr>
          <w:i/>
          <w:sz w:val="23"/>
          <w:szCs w:val="23"/>
          <w:rtl/>
        </w:rPr>
        <w:softHyphen/>
      </w:r>
      <w:r w:rsidRPr="00D94694">
        <w:rPr>
          <w:rFonts w:hint="cs"/>
          <w:i/>
          <w:sz w:val="23"/>
          <w:szCs w:val="23"/>
          <w:rtl/>
        </w:rPr>
        <w:t>های کار/بیکاری با حالات کلی اقتصاد تغییر خواهد کرد.</w:t>
      </w:r>
    </w:p>
    <w:p w14:paraId="6C9ACB35"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lastRenderedPageBreak/>
        <w:t>نهایتاً، پیامدهای بازارهای کامل تعادلی را برای قیمت‌گذاری دارایی در نظر بگیرید. فرض کنید مصرف کننده‌ی</w:t>
      </w:r>
      <w:r w:rsidRPr="00D94694">
        <w:rPr>
          <w:position w:val="-8"/>
        </w:rPr>
        <w:object w:dxaOrig="780" w:dyaOrig="279" w14:anchorId="0D0E049F">
          <v:shape id="_x0000_i5154" type="#_x0000_t75" style="width:39.35pt;height:13.9pt" o:ole="">
            <v:imagedata r:id="rId8306" o:title=""/>
          </v:shape>
          <o:OLEObject Type="Embed" ProgID="Equation.DSMT4" ShapeID="_x0000_i5154" DrawAspect="Content" ObjectID="_1791379098" r:id="rId8307"/>
        </w:object>
      </w:r>
      <w:r w:rsidRPr="00D94694">
        <w:rPr>
          <w:rFonts w:hint="cs"/>
          <w:i/>
          <w:sz w:val="23"/>
          <w:szCs w:val="23"/>
          <w:rtl/>
        </w:rPr>
        <w:t xml:space="preserve"> در یک دارایی که عایدی تصادفی</w:t>
      </w:r>
      <w:r w:rsidRPr="00D94694">
        <w:rPr>
          <w:position w:val="-10"/>
        </w:rPr>
        <w:object w:dxaOrig="600" w:dyaOrig="320" w14:anchorId="6DD40786">
          <v:shape id="_x0000_i5155" type="#_x0000_t75" style="width:29.65pt;height:15.75pt" o:ole="">
            <v:imagedata r:id="rId8308" o:title=""/>
          </v:shape>
          <o:OLEObject Type="Embed" ProgID="Equation.DSMT4" ShapeID="_x0000_i5155" DrawAspect="Content" ObjectID="_1791379099" r:id="rId8309"/>
        </w:object>
      </w:r>
      <w:r w:rsidRPr="00D94694">
        <w:rPr>
          <w:rFonts w:hint="cs"/>
          <w:i/>
          <w:sz w:val="23"/>
          <w:szCs w:val="23"/>
          <w:rtl/>
        </w:rPr>
        <w:t xml:space="preserve"> در زمان </w:t>
      </w:r>
      <w:r w:rsidRPr="00D94694">
        <w:rPr>
          <w:position w:val="-6"/>
        </w:rPr>
        <w:object w:dxaOrig="440" w:dyaOrig="260" w14:anchorId="7A318F9F">
          <v:shape id="_x0000_i5156" type="#_x0000_t75" style="width:21.8pt;height:13.3pt" o:ole="">
            <v:imagedata r:id="rId8310" o:title=""/>
          </v:shape>
          <o:OLEObject Type="Embed" ProgID="Equation.DSMT4" ShapeID="_x0000_i5156" DrawAspect="Content" ObjectID="_1791379100" r:id="rId8311"/>
        </w:object>
      </w:r>
      <w:r w:rsidRPr="00D94694">
        <w:rPr>
          <w:rFonts w:hint="cs"/>
          <w:i/>
          <w:sz w:val="23"/>
          <w:szCs w:val="23"/>
          <w:rtl/>
        </w:rPr>
        <w:t>‌ را داراست سرمایه</w:t>
      </w:r>
      <w:r w:rsidRPr="00D94694">
        <w:rPr>
          <w:i/>
          <w:sz w:val="23"/>
          <w:szCs w:val="23"/>
          <w:rtl/>
        </w:rPr>
        <w:softHyphen/>
      </w:r>
      <w:r w:rsidRPr="00D94694">
        <w:rPr>
          <w:rFonts w:hint="cs"/>
          <w:i/>
          <w:sz w:val="23"/>
          <w:szCs w:val="23"/>
          <w:rtl/>
        </w:rPr>
        <w:t>گذاری کند. مسئله‌ی مصرف/پس‌انداز نشان می‌دهد در وضعیت بهینه، سرمایه‌گذار</w:t>
      </w:r>
      <w:r w:rsidRPr="00D94694">
        <w:rPr>
          <w:position w:val="-6"/>
        </w:rPr>
        <w:object w:dxaOrig="139" w:dyaOrig="260" w14:anchorId="5A5FAEFC">
          <v:shape id="_x0000_i5157" type="#_x0000_t75" style="width:7.25pt;height:13.3pt" o:ole="">
            <v:imagedata r:id="rId8312" o:title=""/>
          </v:shape>
          <o:OLEObject Type="Embed" ProgID="Equation.DSMT4" ShapeID="_x0000_i5157" DrawAspect="Content" ObjectID="_1791379101" r:id="rId8313"/>
        </w:object>
      </w:r>
      <w:r w:rsidRPr="00D94694">
        <w:rPr>
          <w:rFonts w:hint="cs"/>
          <w:i/>
          <w:sz w:val="23"/>
          <w:szCs w:val="23"/>
          <w:rtl/>
        </w:rPr>
        <w:t xml:space="preserve">ام </w:t>
      </w:r>
    </w:p>
    <w:p w14:paraId="09729184" w14:textId="77777777" w:rsidR="00411620" w:rsidRPr="00D94694" w:rsidRDefault="00411620" w:rsidP="00411620">
      <w:pPr>
        <w:tabs>
          <w:tab w:val="right" w:pos="7233"/>
        </w:tabs>
        <w:bidi w:val="0"/>
        <w:spacing w:line="216" w:lineRule="auto"/>
        <w:rPr>
          <w:i/>
          <w:sz w:val="23"/>
          <w:szCs w:val="23"/>
        </w:rPr>
      </w:pPr>
      <w:r w:rsidRPr="00D94694">
        <w:rPr>
          <w:position w:val="-36"/>
        </w:rPr>
        <w:object w:dxaOrig="2460" w:dyaOrig="820" w14:anchorId="23C8ECDD">
          <v:shape id="_x0000_i5158" type="#_x0000_t75" style="width:122.8pt;height:40.55pt" o:ole="">
            <v:imagedata r:id="rId8314" o:title=""/>
          </v:shape>
          <o:OLEObject Type="Embed" ProgID="Equation.DSMT4" ShapeID="_x0000_i5158" DrawAspect="Content" ObjectID="_1791379102" r:id="rId8315"/>
        </w:object>
      </w:r>
    </w:p>
    <w:p w14:paraId="0B451FBE"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قرار می</w:t>
      </w:r>
      <w:r w:rsidRPr="00D94694">
        <w:rPr>
          <w:i/>
          <w:sz w:val="23"/>
          <w:szCs w:val="23"/>
          <w:rtl/>
        </w:rPr>
        <w:softHyphen/>
      </w:r>
      <w:r w:rsidRPr="00D94694">
        <w:rPr>
          <w:rFonts w:hint="cs"/>
          <w:i/>
          <w:sz w:val="23"/>
          <w:szCs w:val="23"/>
          <w:rtl/>
        </w:rPr>
        <w:t>دهد. ولی نشان دادیم که در بازارهای کامل تعادلی نرخ نهایی جانشینی بین دوره</w:t>
      </w:r>
      <w:r w:rsidRPr="00D94694">
        <w:rPr>
          <w:i/>
          <w:sz w:val="23"/>
          <w:szCs w:val="23"/>
          <w:rtl/>
        </w:rPr>
        <w:softHyphen/>
      </w:r>
      <w:r w:rsidRPr="00D94694">
        <w:rPr>
          <w:rFonts w:hint="cs"/>
          <w:i/>
          <w:sz w:val="23"/>
          <w:szCs w:val="23"/>
          <w:rtl/>
        </w:rPr>
        <w:t>ای که برای ارزش‌گذاری عواید تصادفی آتی بکار می‌رود برای کلیه‌ی مصرف کنندگان برابر است، ‌یعنی</w:t>
      </w:r>
      <w:r w:rsidRPr="00D94694">
        <w:rPr>
          <w:position w:val="-6"/>
        </w:rPr>
        <w:object w:dxaOrig="880" w:dyaOrig="300" w14:anchorId="6E33A2AA">
          <v:shape id="_x0000_i5159" type="#_x0000_t75" style="width:44.15pt;height:15.15pt" o:ole="">
            <v:imagedata r:id="rId8316" o:title=""/>
          </v:shape>
          <o:OLEObject Type="Embed" ProgID="Equation.DSMT4" ShapeID="_x0000_i5159" DrawAspect="Content" ObjectID="_1791379103" r:id="rId8317"/>
        </w:object>
      </w:r>
      <w:r w:rsidRPr="00D94694">
        <w:rPr>
          <w:rFonts w:hint="cs"/>
          <w:i/>
          <w:sz w:val="23"/>
          <w:szCs w:val="23"/>
          <w:rtl/>
        </w:rPr>
        <w:t>. بنابراین</w:t>
      </w:r>
    </w:p>
    <w:p w14:paraId="75DF64A2" w14:textId="77777777" w:rsidR="00411620" w:rsidRPr="00D94694" w:rsidRDefault="00411620" w:rsidP="00411620">
      <w:pPr>
        <w:tabs>
          <w:tab w:val="right" w:pos="7233"/>
        </w:tabs>
        <w:bidi w:val="0"/>
        <w:spacing w:line="216" w:lineRule="auto"/>
        <w:rPr>
          <w:i/>
          <w:sz w:val="23"/>
          <w:szCs w:val="23"/>
        </w:rPr>
      </w:pPr>
      <w:r w:rsidRPr="00D94694">
        <w:rPr>
          <w:position w:val="-30"/>
        </w:rPr>
        <w:object w:dxaOrig="1820" w:dyaOrig="680" w14:anchorId="4DF43F6E">
          <v:shape id="_x0000_i5160" type="#_x0000_t75" style="width:90.75pt;height:33.9pt" o:ole="">
            <v:imagedata r:id="rId8318" o:title=""/>
          </v:shape>
          <o:OLEObject Type="Embed" ProgID="Equation.DSMT4" ShapeID="_x0000_i5160" DrawAspect="Content" ObjectID="_1791379104" r:id="rId8319"/>
        </w:object>
      </w:r>
    </w:p>
    <w:p w14:paraId="162485ED"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چنانچه کلیه‌ی مصرف</w:t>
      </w:r>
      <w:r w:rsidRPr="00D94694">
        <w:rPr>
          <w:i/>
          <w:sz w:val="23"/>
          <w:szCs w:val="23"/>
          <w:rtl/>
        </w:rPr>
        <w:softHyphen/>
      </w:r>
      <w:r w:rsidRPr="00D94694">
        <w:rPr>
          <w:rFonts w:hint="cs"/>
          <w:i/>
          <w:sz w:val="23"/>
          <w:szCs w:val="23"/>
          <w:rtl/>
        </w:rPr>
        <w:t>کنندگان عامل تنزیل</w:t>
      </w:r>
      <w:r w:rsidRPr="00D94694">
        <w:rPr>
          <w:position w:val="-10"/>
        </w:rPr>
        <w:object w:dxaOrig="220" w:dyaOrig="300" w14:anchorId="2E32398D">
          <v:shape id="_x0000_i5161" type="#_x0000_t75" style="width:10.9pt;height:15.15pt" o:ole="">
            <v:imagedata r:id="rId8320" o:title=""/>
          </v:shape>
          <o:OLEObject Type="Embed" ProgID="Equation.DSMT4" ShapeID="_x0000_i5161" DrawAspect="Content" ObjectID="_1791379105" r:id="rId8321"/>
        </w:object>
      </w:r>
      <w:r w:rsidRPr="00D94694">
        <w:rPr>
          <w:rFonts w:hint="cs"/>
          <w:i/>
          <w:sz w:val="23"/>
          <w:szCs w:val="23"/>
          <w:rtl/>
        </w:rPr>
        <w:t xml:space="preserve"> و تابع مطلوبیت</w:t>
      </w:r>
      <w:r w:rsidRPr="00D94694">
        <w:rPr>
          <w:position w:val="-12"/>
        </w:rPr>
        <w:object w:dxaOrig="460" w:dyaOrig="360" w14:anchorId="57D6A0DA">
          <v:shape id="_x0000_i5162" type="#_x0000_t75" style="width:23pt;height:18.15pt" o:ole="">
            <v:imagedata r:id="rId8322" o:title=""/>
          </v:shape>
          <o:OLEObject Type="Embed" ProgID="Equation.DSMT4" ShapeID="_x0000_i5162" DrawAspect="Content" ObjectID="_1791379106" r:id="rId8323"/>
        </w:object>
      </w:r>
      <w:r w:rsidRPr="00D94694">
        <w:rPr>
          <w:rFonts w:hint="cs"/>
          <w:i/>
          <w:sz w:val="23"/>
          <w:szCs w:val="23"/>
          <w:rtl/>
        </w:rPr>
        <w:t xml:space="preserve"> یکسان داشته باشند، آنگاه نرخ‌های رشد مصرف آنها برابر خواهد بود</w:t>
      </w:r>
    </w:p>
    <w:p w14:paraId="12329E4E" w14:textId="77777777" w:rsidR="00411620" w:rsidRPr="00D94694" w:rsidRDefault="00411620" w:rsidP="00411620">
      <w:pPr>
        <w:tabs>
          <w:tab w:val="right" w:pos="7233"/>
        </w:tabs>
        <w:bidi w:val="0"/>
        <w:spacing w:line="216" w:lineRule="auto"/>
        <w:rPr>
          <w:i/>
          <w:sz w:val="23"/>
          <w:szCs w:val="23"/>
        </w:rPr>
      </w:pPr>
      <w:r w:rsidRPr="00D94694">
        <w:rPr>
          <w:position w:val="-30"/>
        </w:rPr>
        <w:object w:dxaOrig="1219" w:dyaOrig="680" w14:anchorId="5FE5A1BC">
          <v:shape id="_x0000_i5163" type="#_x0000_t75" style="width:61.1pt;height:33.9pt" o:ole="">
            <v:imagedata r:id="rId8324" o:title=""/>
          </v:shape>
          <o:OLEObject Type="Embed" ProgID="Equation.DSMT4" ShapeID="_x0000_i5163" DrawAspect="Content" ObjectID="_1791379107" r:id="rId8325"/>
        </w:object>
      </w:r>
      <w:r w:rsidRPr="00D94694">
        <w:rPr>
          <w:rFonts w:hint="cs"/>
          <w:i/>
          <w:sz w:val="23"/>
          <w:szCs w:val="23"/>
          <w:rtl/>
        </w:rPr>
        <w:t xml:space="preserve"> </w:t>
      </w:r>
    </w:p>
    <w:p w14:paraId="3AEFDB92"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بنابراین در بازارهای کامل تعادلی تنها شوک‌های مصرف کلی بر قیمت‌های دارایی تأثیر گذاشته و شوک درآمد فردی بواسطه‌ی بازارهای دارایی بیمه خواهد شد. اگرچه در عمل بازارهای کامل را نداریم، ولی این نتایج مهمی در مباحث مالیه و اقتصاد کلان است.</w:t>
      </w:r>
    </w:p>
    <w:p w14:paraId="1EC74396" w14:textId="77777777" w:rsidR="00411620" w:rsidRPr="00D94694" w:rsidRDefault="00411620" w:rsidP="00411620">
      <w:pPr>
        <w:tabs>
          <w:tab w:val="right" w:pos="7233"/>
        </w:tabs>
        <w:spacing w:line="216" w:lineRule="auto"/>
        <w:rPr>
          <w:i/>
          <w:sz w:val="23"/>
          <w:szCs w:val="23"/>
          <w:rtl/>
        </w:rPr>
      </w:pPr>
    </w:p>
    <w:p w14:paraId="5D789946" w14:textId="77777777" w:rsidR="00411620" w:rsidRPr="00D94694" w:rsidRDefault="00411620" w:rsidP="00411620">
      <w:pPr>
        <w:pStyle w:val="Heading1"/>
        <w:spacing w:before="0" w:line="216" w:lineRule="auto"/>
        <w:rPr>
          <w:rFonts w:ascii="Times New Roman" w:hAnsi="Times New Roman" w:cs="B Nazanin"/>
          <w:b w:val="0"/>
          <w:i/>
          <w:sz w:val="23"/>
          <w:szCs w:val="23"/>
          <w:rtl/>
        </w:rPr>
      </w:pPr>
      <w:r w:rsidRPr="00D94694">
        <w:rPr>
          <w:rFonts w:ascii="Times New Roman" w:hAnsi="Times New Roman" w:cs="B Nazanin" w:hint="cs"/>
          <w:b w:val="0"/>
          <w:i/>
          <w:sz w:val="23"/>
          <w:szCs w:val="23"/>
          <w:rtl/>
        </w:rPr>
        <w:t>۱۱. ۹. ۲ نقص بازار</w:t>
      </w:r>
    </w:p>
    <w:p w14:paraId="769CECB7"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چنانچه بازارها کامل نباشند و افراد نرخ‌های نهایی جانشینی متفاوتی داشته باشند، اگر دارایی بدون ریسک وجود داشته باشد و کلیه‌ی مصرف</w:t>
      </w:r>
      <w:r w:rsidRPr="00D94694">
        <w:rPr>
          <w:i/>
          <w:sz w:val="23"/>
          <w:szCs w:val="23"/>
          <w:rtl/>
        </w:rPr>
        <w:softHyphen/>
      </w:r>
      <w:r w:rsidRPr="00D94694">
        <w:rPr>
          <w:rFonts w:hint="cs"/>
          <w:i/>
          <w:sz w:val="23"/>
          <w:szCs w:val="23"/>
          <w:rtl/>
        </w:rPr>
        <w:t>کنندگان بدان دسترسی داشته باشند، آنگاه، از معادله‌ی (۱۱. ۱۵) نرخ نهایی انتظاری جانشینی کلیه</w:t>
      </w:r>
      <w:r w:rsidRPr="00D94694">
        <w:rPr>
          <w:i/>
          <w:sz w:val="23"/>
          <w:szCs w:val="23"/>
          <w:rtl/>
        </w:rPr>
        <w:softHyphen/>
      </w:r>
      <w:r w:rsidRPr="00D94694">
        <w:rPr>
          <w:rFonts w:hint="cs"/>
          <w:i/>
          <w:sz w:val="23"/>
          <w:szCs w:val="23"/>
          <w:rtl/>
        </w:rPr>
        <w:t>ی سرمایه‌گذاران یکسان بوده و از معادله‌ی (۱۱. ۶۲) نرخ رشد مصرف کلیه‌ی مصرف</w:t>
      </w:r>
      <w:r w:rsidRPr="00D94694">
        <w:rPr>
          <w:i/>
          <w:sz w:val="23"/>
          <w:szCs w:val="23"/>
          <w:rtl/>
        </w:rPr>
        <w:softHyphen/>
      </w:r>
      <w:r w:rsidRPr="00D94694">
        <w:rPr>
          <w:rFonts w:hint="cs"/>
          <w:i/>
          <w:sz w:val="23"/>
          <w:szCs w:val="23"/>
          <w:rtl/>
        </w:rPr>
        <w:t>کنندگان یکسان خواهد بود.</w:t>
      </w:r>
      <w:r w:rsidRPr="00D94694">
        <w:rPr>
          <w:rStyle w:val="FootnoteReference"/>
          <w:rFonts w:eastAsiaTheme="majorEastAsia"/>
          <w:i/>
          <w:sz w:val="23"/>
          <w:szCs w:val="23"/>
          <w:rtl/>
        </w:rPr>
        <w:footnoteReference w:id="259"/>
      </w:r>
    </w:p>
    <w:p w14:paraId="7D3223F5"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مفهوم بازار کامل بخصوص در اقتصاد باز که در آن یک اقتصاد ریسک ویژه‌ی خود را با نگهداری یک پرتفوی دارایی‌های بین</w:t>
      </w:r>
      <w:r w:rsidRPr="00D94694">
        <w:rPr>
          <w:i/>
          <w:sz w:val="23"/>
          <w:szCs w:val="23"/>
          <w:rtl/>
        </w:rPr>
        <w:softHyphen/>
      </w:r>
      <w:r w:rsidRPr="00D94694">
        <w:rPr>
          <w:rFonts w:hint="cs"/>
          <w:i/>
          <w:sz w:val="23"/>
          <w:szCs w:val="23"/>
          <w:rtl/>
        </w:rPr>
        <w:t>المللی بیمه می‌کند اهمیت دارد. در این حالت نرخ نهایی جانشینی و نرخ رشد مصرف تمامی کشورها یکسان می‌باشد، هرچند اگر بازارهای بین</w:t>
      </w:r>
      <w:r w:rsidRPr="00D94694">
        <w:rPr>
          <w:i/>
          <w:sz w:val="23"/>
          <w:szCs w:val="23"/>
          <w:rtl/>
        </w:rPr>
        <w:softHyphen/>
      </w:r>
      <w:r w:rsidRPr="00D94694">
        <w:rPr>
          <w:rFonts w:hint="cs"/>
          <w:i/>
          <w:sz w:val="23"/>
          <w:szCs w:val="23"/>
          <w:rtl/>
        </w:rPr>
        <w:t>المللی ناقص باشند، بگونه</w:t>
      </w:r>
      <w:r w:rsidRPr="00D94694">
        <w:rPr>
          <w:i/>
          <w:sz w:val="23"/>
          <w:szCs w:val="23"/>
          <w:rtl/>
        </w:rPr>
        <w:softHyphen/>
      </w:r>
      <w:r w:rsidRPr="00D94694">
        <w:rPr>
          <w:rFonts w:hint="cs"/>
          <w:i/>
          <w:sz w:val="23"/>
          <w:szCs w:val="23"/>
          <w:rtl/>
        </w:rPr>
        <w:t>ای که کشورها نرخ نهایی جانشینی متفاوتی داشته باشند، آنگاه به شرط آن که هر کشوری به دارایی بدون ریسک حقیقی بین</w:t>
      </w:r>
      <w:r w:rsidRPr="00D94694">
        <w:rPr>
          <w:i/>
          <w:sz w:val="23"/>
          <w:szCs w:val="23"/>
          <w:rtl/>
        </w:rPr>
        <w:softHyphen/>
      </w:r>
      <w:r w:rsidRPr="00D94694">
        <w:rPr>
          <w:rFonts w:hint="cs"/>
          <w:i/>
          <w:sz w:val="23"/>
          <w:szCs w:val="23"/>
          <w:rtl/>
        </w:rPr>
        <w:t xml:space="preserve">المللی با نرخ مشابه دسترسی داشته باشد، نرخ نهایی جانشینی انتظاری و نرخ‌های رشد مصرف هر کشور یکسان خواهد بود. اکنون مسئله اینجاست که برای این که نرخ بدون </w:t>
      </w:r>
      <w:r w:rsidRPr="00D94694">
        <w:rPr>
          <w:rFonts w:hint="cs"/>
          <w:i/>
          <w:sz w:val="23"/>
          <w:szCs w:val="23"/>
          <w:rtl/>
        </w:rPr>
        <w:lastRenderedPageBreak/>
        <w:t xml:space="preserve">ریسک حقیقی هر کشور یکسان باشد، برابری قدرت خرید یا </w:t>
      </w:r>
      <w:r w:rsidRPr="00D94694">
        <w:rPr>
          <w:i/>
          <w:sz w:val="23"/>
          <w:szCs w:val="23"/>
        </w:rPr>
        <w:t>PPP</w:t>
      </w:r>
      <w:r w:rsidRPr="00D94694">
        <w:rPr>
          <w:rFonts w:hint="cs"/>
          <w:i/>
          <w:sz w:val="23"/>
          <w:szCs w:val="23"/>
          <w:rtl/>
        </w:rPr>
        <w:t xml:space="preserve"> ضرورت دارد و قبلاً نشان دادیم که این شرط برقرار نمی</w:t>
      </w:r>
      <w:r w:rsidRPr="00D94694">
        <w:rPr>
          <w:i/>
          <w:sz w:val="23"/>
          <w:szCs w:val="23"/>
          <w:rtl/>
        </w:rPr>
        <w:softHyphen/>
      </w:r>
      <w:r w:rsidRPr="00D94694">
        <w:rPr>
          <w:rFonts w:hint="cs"/>
          <w:i/>
          <w:sz w:val="23"/>
          <w:szCs w:val="23"/>
          <w:rtl/>
        </w:rPr>
        <w:t>شود. در اینخصوص بازارهای نرخ ارز را مورد بررسی قرار خواهیم داد.</w:t>
      </w:r>
    </w:p>
    <w:p w14:paraId="079A7B66" w14:textId="77777777" w:rsidR="00411620" w:rsidRPr="00D94694" w:rsidRDefault="00411620" w:rsidP="00411620">
      <w:pPr>
        <w:tabs>
          <w:tab w:val="right" w:pos="7233"/>
        </w:tabs>
        <w:spacing w:line="216" w:lineRule="auto"/>
        <w:rPr>
          <w:i/>
          <w:sz w:val="23"/>
          <w:szCs w:val="23"/>
          <w:rtl/>
        </w:rPr>
      </w:pPr>
    </w:p>
    <w:p w14:paraId="4C7CA23D" w14:textId="77777777" w:rsidR="00411620" w:rsidRPr="00D94694" w:rsidRDefault="00411620" w:rsidP="00411620">
      <w:pPr>
        <w:pStyle w:val="Heading1"/>
        <w:spacing w:before="0" w:line="216" w:lineRule="auto"/>
        <w:rPr>
          <w:rFonts w:ascii="Times New Roman" w:hAnsi="Times New Roman" w:cs="B Nazanin"/>
          <w:b w:val="0"/>
          <w:i/>
          <w:sz w:val="23"/>
          <w:szCs w:val="23"/>
          <w:rtl/>
        </w:rPr>
      </w:pPr>
      <w:r w:rsidRPr="00D94694">
        <w:rPr>
          <w:rFonts w:ascii="Times New Roman" w:hAnsi="Times New Roman" w:cs="B Nazanin" w:hint="cs"/>
          <w:b w:val="0"/>
          <w:i/>
          <w:sz w:val="23"/>
          <w:szCs w:val="23"/>
          <w:rtl/>
        </w:rPr>
        <w:t xml:space="preserve">۱۱. ۱۰ نتایج </w:t>
      </w:r>
    </w:p>
    <w:p w14:paraId="6468E21D"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در این فصل نشان داده شد که قیمت‌گذاری دارایی با بازارهای مالی رابطه‌ی نزدیکی دارد. بازارهای مالی نقش کلیدی در اقتصاد کلان تعادل عمومی داشته، و تعیین متغیرهای اقتصاد کلان در مدل تعادل عمومی پویای تصادفی، همانند نظریه قیمت‌گذاری دارایی در تعادل عمومی است و لذا، اقتصاد کلان و مالی یکپارچه شدند. در فصل ۱۲ و ۱۵ این مسائل را بیشتر مورد بررسی قرار خواهیم داد.</w:t>
      </w:r>
      <w:r w:rsidRPr="00D94694">
        <w:rPr>
          <w:i/>
          <w:sz w:val="23"/>
          <w:szCs w:val="23"/>
        </w:rPr>
        <w:t xml:space="preserve"> </w:t>
      </w:r>
    </w:p>
    <w:p w14:paraId="26B75837"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همچنین نشان داده شد که قیمت‌گذاری دارایی به مسئله‌ی استخراج پاداش ریسک، و چهار نظریه اساسی به معادله‌ی قیمت‌گذاری مشابه تقلیل می‌یابد. در واقع تمامی این نظریه‌ها دارایی‌ها را همانند ارزش تنزیل شده‌ی عواید آتی قیمت‌گذاری می‌کنند. تفاوت کلیدی و اساسی بین مالی و اقتصاد در انتخاب عامل تنزیل است. در مباحث سنتی مالی اغلب نرخ بدون ریسک ترجیح داده می‌شود، و در اقتصاد تعادل عمومی نرخ نهایی جانشینی</w:t>
      </w:r>
      <w:r w:rsidRPr="00D94694">
        <w:rPr>
          <w:position w:val="-10"/>
        </w:rPr>
        <w:object w:dxaOrig="480" w:dyaOrig="320" w14:anchorId="077AA1A3">
          <v:shape id="_x0000_i5164" type="#_x0000_t75" style="width:24.2pt;height:15.75pt" o:ole="">
            <v:imagedata r:id="rId8326" o:title=""/>
          </v:shape>
          <o:OLEObject Type="Embed" ProgID="Equation.DSMT4" ShapeID="_x0000_i5164" DrawAspect="Content" ObjectID="_1791379108" r:id="rId8327"/>
        </w:object>
      </w:r>
      <w:r w:rsidRPr="00D94694">
        <w:rPr>
          <w:rFonts w:hint="cs"/>
          <w:i/>
          <w:sz w:val="23"/>
          <w:szCs w:val="23"/>
          <w:rtl/>
        </w:rPr>
        <w:t xml:space="preserve">بکار می‌رود. نشان داده شد که ارتباط بین این دو، عبارت است از </w:t>
      </w:r>
      <w:r w:rsidRPr="00D94694">
        <w:rPr>
          <w:position w:val="-16"/>
        </w:rPr>
        <w:object w:dxaOrig="1800" w:dyaOrig="420" w14:anchorId="069792C1">
          <v:shape id="_x0000_i5165" type="#_x0000_t75" style="width:90.15pt;height:21.2pt" o:ole="">
            <v:imagedata r:id="rId8328" o:title=""/>
          </v:shape>
          <o:OLEObject Type="Embed" ProgID="Equation.DSMT4" ShapeID="_x0000_i5165" DrawAspect="Content" ObjectID="_1791379109" r:id="rId8329"/>
        </w:object>
      </w:r>
      <w:r w:rsidRPr="00D94694">
        <w:rPr>
          <w:i/>
          <w:sz w:val="23"/>
          <w:szCs w:val="23"/>
        </w:rPr>
        <w:t>.</w:t>
      </w:r>
      <w:r w:rsidRPr="00D94694">
        <w:rPr>
          <w:rFonts w:hint="cs"/>
          <w:i/>
          <w:sz w:val="23"/>
          <w:szCs w:val="23"/>
          <w:rtl/>
        </w:rPr>
        <w:t xml:space="preserve"> برخی اوقات در مباحث مالی، نرخ بدون ریسک مکمل دیگر متغیرهاست که همانند عوامل می‌باشند. مسئله‌ی مورد بررسی، چگونگی انتخاب این عوامل است. در اقتصاد</w:t>
      </w:r>
      <w:r w:rsidRPr="00D94694">
        <w:rPr>
          <w:position w:val="-10"/>
        </w:rPr>
        <w:object w:dxaOrig="480" w:dyaOrig="320" w14:anchorId="7FE5B3DA">
          <v:shape id="_x0000_i5166" type="#_x0000_t75" style="width:24.2pt;height:15.75pt" o:ole="">
            <v:imagedata r:id="rId8330" o:title=""/>
          </v:shape>
          <o:OLEObject Type="Embed" ProgID="Equation.DSMT4" ShapeID="_x0000_i5166" DrawAspect="Content" ObjectID="_1791379110" r:id="rId8331"/>
        </w:object>
      </w:r>
      <w:r w:rsidRPr="00D94694">
        <w:rPr>
          <w:rFonts w:hint="cs"/>
          <w:i/>
          <w:sz w:val="23"/>
          <w:szCs w:val="23"/>
          <w:rtl/>
        </w:rPr>
        <w:t xml:space="preserve"> تصادفی است و به متغیرهایی همانند رشد مصرف، و برای بازدهی</w:t>
      </w:r>
      <w:r w:rsidRPr="00D94694">
        <w:rPr>
          <w:i/>
          <w:sz w:val="23"/>
          <w:szCs w:val="23"/>
          <w:rtl/>
        </w:rPr>
        <w:softHyphen/>
      </w:r>
      <w:r w:rsidRPr="00D94694">
        <w:rPr>
          <w:rFonts w:hint="cs"/>
          <w:i/>
          <w:sz w:val="23"/>
          <w:szCs w:val="23"/>
          <w:rtl/>
        </w:rPr>
        <w:t xml:space="preserve">های اسمی، تورم که مطلوبیت نهایی را تعیین می‌کنند وابسته است. در فصل دوازدهم نشان داده خواهد شد که بر اساس انتخاب تابع مطلوبیت، متغیرهای دیگری را نیز می‌توان به عنوان عوامل در نظر گرفت. </w:t>
      </w:r>
    </w:p>
    <w:p w14:paraId="62BFFC1D"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هنگامی که هر خانوار عامل تنزیل یکسان داشته باشد، بازار کامل است، و مبین آن است که امکان بیمه در مقابل ریسک‌ها وجود داشته و رشد مصرف بهینه برای کلیه‌ی خانوارها یکسان است. این نتیجه را می‌توان در اقتصاد باز و برای هر کشوری با عامل تنزیل یکسان نیز تعمیم داد.</w:t>
      </w:r>
    </w:p>
    <w:p w14:paraId="7A37BEF8"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 xml:space="preserve">در این فصل نشان داده شد که بازدهی‌ها می‌بایست شرط عدم وجود آربیتراژ را تضمین کنند، در غیر اینصورت بازار ناکاراست و فرصت </w:t>
      </w:r>
      <w:r w:rsidRPr="00D94694">
        <w:rPr>
          <w:i/>
          <w:sz w:val="23"/>
          <w:szCs w:val="23"/>
          <w:rtl/>
        </w:rPr>
        <w:softHyphen/>
      </w:r>
      <w:r w:rsidRPr="00D94694">
        <w:rPr>
          <w:rFonts w:hint="cs"/>
          <w:i/>
          <w:sz w:val="23"/>
          <w:szCs w:val="23"/>
          <w:rtl/>
        </w:rPr>
        <w:t>های بی حدّ و مرز ایجاد سود را بوجود خواهد آورد. با فرض تفاوت در خصوصیات و ویژگی‌های دارایی‌های ریسکی، عدم وجود آربیتراژ بوسیله‌ی تعدیل بازدهی‌ها برای ریسک موجب می‌شود ارزش‌های انتظاری کلیه‌ی بازدهی‌ها یکسان شود. سپس مسئله‌ی مورد بررسی چگونگی تعیین پاداش ریسک هر دارایی می‌باشد. نشان داده شد که پاسخ به این مسئله با انتخاب عامل تنزیل مرتبط است. این پیوند مشکل مالیه‌ی سنتی را بوجودآورده بگونه</w:t>
      </w:r>
      <w:r w:rsidRPr="00D94694">
        <w:rPr>
          <w:i/>
          <w:sz w:val="23"/>
          <w:szCs w:val="23"/>
          <w:rtl/>
        </w:rPr>
        <w:softHyphen/>
      </w:r>
      <w:r w:rsidRPr="00D94694">
        <w:rPr>
          <w:rFonts w:hint="cs"/>
          <w:i/>
          <w:sz w:val="23"/>
          <w:szCs w:val="23"/>
          <w:rtl/>
        </w:rPr>
        <w:t>ای که تنزیل با نرخ بدون ریسک یک پاداش ریسک را بوجود نیاورده، و لذا عوامل مازادی نیز در نظر گرفته شده است.</w:t>
      </w:r>
    </w:p>
    <w:p w14:paraId="47A63983" w14:textId="77777777" w:rsidR="00411620" w:rsidRPr="00D94694" w:rsidRDefault="00411620" w:rsidP="00411620">
      <w:pPr>
        <w:tabs>
          <w:tab w:val="right" w:pos="7233"/>
        </w:tabs>
        <w:spacing w:line="216" w:lineRule="auto"/>
        <w:rPr>
          <w:i/>
          <w:sz w:val="23"/>
          <w:szCs w:val="23"/>
          <w:rtl/>
        </w:rPr>
      </w:pPr>
      <w:r w:rsidRPr="00D94694">
        <w:rPr>
          <w:rFonts w:hint="cs"/>
          <w:i/>
          <w:sz w:val="23"/>
          <w:szCs w:val="23"/>
          <w:rtl/>
        </w:rPr>
        <w:t>شرط عدم وجود آربیتراژ قیدی را بوجود می‌آورد که معمولاً در اقتصادسنجی و در هنگام استفاده از روش‌های سری زمانی تک متغیره از آن صرفنظر می‌شود. با آزمون این قید ارزیابی نظریه‌های قیمت‌گذاری دارایی فراهم می</w:t>
      </w:r>
      <w:r w:rsidRPr="00D94694">
        <w:rPr>
          <w:i/>
          <w:sz w:val="23"/>
          <w:szCs w:val="23"/>
          <w:rtl/>
        </w:rPr>
        <w:softHyphen/>
      </w:r>
      <w:r w:rsidRPr="00D94694">
        <w:rPr>
          <w:rFonts w:hint="cs"/>
          <w:i/>
          <w:sz w:val="23"/>
          <w:szCs w:val="23"/>
          <w:rtl/>
        </w:rPr>
        <w:t>شود. همان</w:t>
      </w:r>
      <w:r w:rsidRPr="00D94694">
        <w:rPr>
          <w:i/>
          <w:sz w:val="23"/>
          <w:szCs w:val="23"/>
          <w:rtl/>
        </w:rPr>
        <w:softHyphen/>
      </w:r>
      <w:r w:rsidRPr="00D94694">
        <w:rPr>
          <w:rFonts w:hint="cs"/>
          <w:i/>
          <w:sz w:val="23"/>
          <w:szCs w:val="23"/>
          <w:rtl/>
        </w:rPr>
        <w:t>گونه که مدل</w:t>
      </w:r>
      <w:r w:rsidRPr="00D94694">
        <w:rPr>
          <w:i/>
          <w:sz w:val="23"/>
          <w:szCs w:val="23"/>
          <w:rtl/>
        </w:rPr>
        <w:softHyphen/>
      </w:r>
      <w:r w:rsidRPr="00D94694">
        <w:rPr>
          <w:rFonts w:hint="cs"/>
          <w:i/>
          <w:sz w:val="23"/>
          <w:szCs w:val="23"/>
          <w:rtl/>
        </w:rPr>
        <w:t xml:space="preserve">سازی مشترک بازدهی‌های ریسکی ضروری است، نرخ بازدهی بدون ریسک، و عامل تنزیل تصادفی برای درنظر گرفتن شرط عدم وجود آربیتراژ </w:t>
      </w:r>
      <w:r w:rsidRPr="00D94694">
        <w:rPr>
          <w:rFonts w:hint="cs"/>
          <w:i/>
          <w:sz w:val="23"/>
          <w:szCs w:val="23"/>
          <w:rtl/>
        </w:rPr>
        <w:lastRenderedPageBreak/>
        <w:t>و همچنین مدل</w:t>
      </w:r>
      <w:r w:rsidRPr="00D94694">
        <w:rPr>
          <w:i/>
          <w:sz w:val="23"/>
          <w:szCs w:val="23"/>
          <w:rtl/>
        </w:rPr>
        <w:softHyphen/>
      </w:r>
      <w:r w:rsidRPr="00D94694">
        <w:rPr>
          <w:rFonts w:hint="cs"/>
          <w:i/>
          <w:sz w:val="23"/>
          <w:szCs w:val="23"/>
          <w:rtl/>
        </w:rPr>
        <w:t>سازی پاداش ریسک، روش</w:t>
      </w:r>
      <w:r w:rsidRPr="00D94694">
        <w:rPr>
          <w:i/>
          <w:sz w:val="23"/>
          <w:szCs w:val="23"/>
          <w:rtl/>
        </w:rPr>
        <w:softHyphen/>
      </w:r>
      <w:r w:rsidRPr="00D94694">
        <w:rPr>
          <w:rFonts w:hint="cs"/>
          <w:i/>
          <w:sz w:val="23"/>
          <w:szCs w:val="23"/>
          <w:rtl/>
        </w:rPr>
        <w:t>های چند متغیره ضرورت می‌یابد. این آزمون‌ها را در بازارهای مالی خاص در فصل دوازدهم مورد بررسی قرار خواهیم داد.</w:t>
      </w:r>
    </w:p>
    <w:p w14:paraId="4EF93586" w14:textId="77777777" w:rsidR="00411620" w:rsidRDefault="00411620" w:rsidP="00411620">
      <w:pPr>
        <w:tabs>
          <w:tab w:val="right" w:pos="7233"/>
        </w:tabs>
        <w:spacing w:line="216" w:lineRule="auto"/>
        <w:rPr>
          <w:i/>
          <w:sz w:val="23"/>
          <w:szCs w:val="23"/>
          <w:rtl/>
        </w:rPr>
      </w:pPr>
      <w:r w:rsidRPr="00D94694">
        <w:rPr>
          <w:rFonts w:hint="cs"/>
          <w:i/>
          <w:sz w:val="23"/>
          <w:szCs w:val="23"/>
          <w:rtl/>
        </w:rPr>
        <w:t>اگر چه ضرورت دارد در هنگام تعیین قیمت دارایی ریسک را در نظر بگیریم، ولی نشان دادیم که ممکن است ضرورتی بر شمول پاداش ریسک در روابط اقتصاد کلان تصادفی وجود نداشته باشد. اگر نرخ بدون ریسک حقیقی وجود داشته باشد، ممکن است آن را بجای نرخ‌های ریسکی بکار برد، زیرا هنگام استفاده از آن‌ها در روابط اقتصاد کلان، بازدهی‌های ریسکی می</w:t>
      </w:r>
      <w:r w:rsidRPr="00D94694">
        <w:rPr>
          <w:i/>
          <w:sz w:val="23"/>
          <w:szCs w:val="23"/>
          <w:rtl/>
        </w:rPr>
        <w:softHyphen/>
      </w:r>
      <w:r w:rsidRPr="00D94694">
        <w:rPr>
          <w:rFonts w:hint="cs"/>
          <w:i/>
          <w:sz w:val="23"/>
          <w:szCs w:val="23"/>
          <w:rtl/>
        </w:rPr>
        <w:t xml:space="preserve">بایست تعدیل ریسک شوند. روش دیگر ارزیابی انتظارات با استفاده از ارزیابی ریسک-خنثی است که آن نیز منتج به استفاده از نرخ بدون ریسک خواهد شد. </w:t>
      </w:r>
      <w:r>
        <w:rPr>
          <w:i/>
          <w:sz w:val="23"/>
          <w:szCs w:val="23"/>
          <w:rtl/>
        </w:rPr>
        <w:br w:type="page"/>
      </w:r>
    </w:p>
    <w:p w14:paraId="498734D7" w14:textId="77777777" w:rsidR="00411620" w:rsidRPr="00D94694" w:rsidRDefault="00411620" w:rsidP="00411620">
      <w:pPr>
        <w:tabs>
          <w:tab w:val="right" w:pos="7233"/>
        </w:tabs>
        <w:spacing w:line="216" w:lineRule="auto"/>
        <w:rPr>
          <w:rFonts w:eastAsiaTheme="minorEastAsia"/>
          <w:i/>
          <w:sz w:val="23"/>
          <w:szCs w:val="23"/>
          <w:rtl/>
        </w:rPr>
      </w:pPr>
    </w:p>
    <w:p w14:paraId="00AB1B6C" w14:textId="77777777" w:rsidR="00556C10" w:rsidRPr="00B6450D" w:rsidRDefault="00556C10" w:rsidP="00556C10">
      <w:pPr>
        <w:pStyle w:val="a3"/>
        <w:spacing w:before="1080" w:after="720" w:line="216" w:lineRule="auto"/>
        <w:ind w:left="57"/>
        <w:rPr>
          <w:rFonts w:cs="B Nazanin"/>
          <w:b w:val="0"/>
          <w:i/>
          <w:sz w:val="40"/>
          <w:szCs w:val="40"/>
        </w:rPr>
      </w:pPr>
      <w:r w:rsidRPr="00B6450D">
        <w:rPr>
          <w:rFonts w:hint="cs"/>
          <w:b w:val="0"/>
          <w:i/>
          <w:color w:val="auto"/>
          <w:sz w:val="40"/>
          <w:szCs w:val="40"/>
          <w:rtl/>
        </w:rPr>
        <w:t>فصل دوازدهم</w:t>
      </w:r>
    </w:p>
    <w:p w14:paraId="3F47BCA6" w14:textId="77777777" w:rsidR="00556C10" w:rsidRPr="00B6450D" w:rsidRDefault="00556C10" w:rsidP="00556C10">
      <w:pPr>
        <w:pStyle w:val="a4"/>
        <w:pBdr>
          <w:top w:val="none" w:sz="0" w:space="0" w:color="auto"/>
          <w:bottom w:val="none" w:sz="0" w:space="0" w:color="auto"/>
        </w:pBdr>
        <w:shd w:val="clear" w:color="auto" w:fill="auto"/>
        <w:spacing w:after="720" w:line="216" w:lineRule="auto"/>
        <w:rPr>
          <w:i/>
          <w:sz w:val="33"/>
          <w:szCs w:val="40"/>
        </w:rPr>
      </w:pPr>
      <w:r w:rsidRPr="00B6450D">
        <w:rPr>
          <w:rFonts w:ascii="Times New Roman" w:hAnsi="Times New Roman" w:cs="B Nazanin" w:hint="cs"/>
          <w:b w:val="0"/>
          <w:i/>
          <w:sz w:val="40"/>
          <w:szCs w:val="40"/>
          <w:rtl/>
        </w:rPr>
        <w:t>بازارهای مالی</w:t>
      </w:r>
    </w:p>
    <w:p w14:paraId="3E1D11E9" w14:textId="77777777" w:rsidR="00556C10" w:rsidRPr="00B6450D" w:rsidRDefault="00556C10" w:rsidP="00556C10">
      <w:pPr>
        <w:pStyle w:val="Heading1"/>
        <w:spacing w:before="0" w:after="0" w:line="216" w:lineRule="auto"/>
        <w:rPr>
          <w:rFonts w:ascii="Times New Roman" w:hAnsi="Times New Roman" w:cs="B Nazanin"/>
          <w:b w:val="0"/>
          <w:i/>
          <w:sz w:val="23"/>
          <w:szCs w:val="23"/>
          <w:rtl/>
        </w:rPr>
      </w:pPr>
      <w:r w:rsidRPr="00B6450D">
        <w:rPr>
          <w:rFonts w:ascii="Times New Roman" w:hAnsi="Times New Roman" w:cs="B Nazanin" w:hint="cs"/>
          <w:b w:val="0"/>
          <w:i/>
          <w:sz w:val="23"/>
          <w:szCs w:val="23"/>
          <w:rtl/>
        </w:rPr>
        <w:t>۱۲. ۱ مقدمه</w:t>
      </w:r>
    </w:p>
    <w:p w14:paraId="7C44E245"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با در نظر گرفتن قواعد قیمت</w:t>
      </w:r>
      <w:r w:rsidRPr="00B6450D">
        <w:rPr>
          <w:rFonts w:cs="B Nazanin"/>
          <w:i/>
          <w:sz w:val="23"/>
          <w:szCs w:val="23"/>
          <w:rtl/>
        </w:rPr>
        <w:softHyphen/>
      </w:r>
      <w:r w:rsidRPr="00B6450D">
        <w:rPr>
          <w:rFonts w:cs="B Nazanin" w:hint="cs"/>
          <w:i/>
          <w:sz w:val="23"/>
          <w:szCs w:val="23"/>
          <w:rtl/>
        </w:rPr>
        <w:t>گذاری دارایی</w:t>
      </w:r>
      <w:r w:rsidRPr="00B6450D">
        <w:rPr>
          <w:rFonts w:cs="B Nazanin" w:hint="cs"/>
          <w:i/>
          <w:sz w:val="23"/>
          <w:szCs w:val="23"/>
          <w:rtl/>
        </w:rPr>
        <w:softHyphen/>
        <w:t>ها که در فصل یازدهم ارائه شد، اکنون این اصول و قواعد را در سه بازار مهم مالی یعنی بازار سهام، بازار اوراق قرضه و بازار ارز مورد استفاده قرار می‌دهیم. هر یک از این بازارها دارای ویژگی</w:t>
      </w:r>
      <w:r w:rsidRPr="00B6450D">
        <w:rPr>
          <w:rFonts w:cs="B Nazanin" w:hint="cs"/>
          <w:i/>
          <w:sz w:val="23"/>
          <w:szCs w:val="23"/>
          <w:rtl/>
        </w:rPr>
        <w:softHyphen/>
        <w:t>های خاصی است که می‌بایست آن را مورد توجه قرار داد. ویژگی مشترک آن</w:t>
      </w:r>
      <w:r w:rsidRPr="00B6450D">
        <w:rPr>
          <w:rFonts w:cs="B Nazanin"/>
          <w:i/>
          <w:sz w:val="23"/>
          <w:szCs w:val="23"/>
        </w:rPr>
        <w:t>‌</w:t>
      </w:r>
      <w:r w:rsidRPr="00B6450D">
        <w:rPr>
          <w:rFonts w:cs="B Nazanin" w:hint="cs"/>
          <w:i/>
          <w:sz w:val="23"/>
          <w:szCs w:val="23"/>
          <w:rtl/>
        </w:rPr>
        <w:t>ها اقناع معادله</w:t>
      </w:r>
      <w:r w:rsidRPr="00B6450D">
        <w:rPr>
          <w:rFonts w:cs="B Nazanin" w:hint="cs"/>
          <w:i/>
          <w:sz w:val="23"/>
          <w:szCs w:val="23"/>
          <w:rtl/>
        </w:rPr>
        <w:softHyphen/>
        <w:t>ی قیمت</w:t>
      </w:r>
      <w:r w:rsidRPr="00B6450D">
        <w:rPr>
          <w:rFonts w:cs="B Nazanin" w:hint="cs"/>
          <w:i/>
          <w:sz w:val="23"/>
          <w:szCs w:val="23"/>
          <w:rtl/>
        </w:rPr>
        <w:softHyphen/>
        <w:t>گذاری دارایی زیر در این سه بازار است.</w:t>
      </w:r>
    </w:p>
    <w:p w14:paraId="79A96DF8" w14:textId="77777777" w:rsidR="00556C10" w:rsidRPr="00B6450D" w:rsidRDefault="00556C10" w:rsidP="00556C10">
      <w:pPr>
        <w:pStyle w:val="MTDisplayEquation"/>
        <w:tabs>
          <w:tab w:val="clear" w:pos="3320"/>
          <w:tab w:val="clear" w:pos="6660"/>
        </w:tabs>
        <w:spacing w:line="216" w:lineRule="auto"/>
        <w:rPr>
          <w:rFonts w:ascii="Times New Roman" w:hAnsi="Times New Roman" w:cs="B Nazanin"/>
          <w:i/>
          <w:sz w:val="23"/>
          <w:szCs w:val="23"/>
        </w:rPr>
      </w:pPr>
      <w:r w:rsidRPr="00B6450D">
        <w:rPr>
          <w:position w:val="-16"/>
        </w:rPr>
        <w:object w:dxaOrig="2060" w:dyaOrig="420" w14:anchorId="654E6629">
          <v:shape id="_x0000_i5167" type="#_x0000_t75" style="width:102.85pt;height:21.2pt" o:ole="">
            <v:imagedata r:id="rId8332" o:title=""/>
          </v:shape>
          <o:OLEObject Type="Embed" ProgID="Equation.DSMT4" ShapeID="_x0000_i5167" DrawAspect="Content" ObjectID="_1791379111" r:id="rId8333"/>
        </w:object>
      </w:r>
      <w:r w:rsidRPr="00B6450D">
        <w:rPr>
          <w:rFonts w:ascii="Times New Roman" w:hAnsi="Times New Roman"/>
          <w:i/>
          <w:sz w:val="23"/>
          <w:szCs w:val="23"/>
        </w:rPr>
        <w:tab/>
      </w:r>
      <w:r w:rsidRPr="00B6450D">
        <w:rPr>
          <w:rFonts w:ascii="Times New Roman" w:hAnsi="Times New Roman"/>
          <w:i/>
          <w:sz w:val="23"/>
          <w:szCs w:val="23"/>
        </w:rPr>
        <w:tab/>
      </w:r>
      <w:r w:rsidRPr="00B6450D">
        <w:rPr>
          <w:rFonts w:ascii="Times New Roman" w:hAnsi="Times New Roman"/>
          <w:i/>
          <w:sz w:val="23"/>
          <w:szCs w:val="23"/>
        </w:rPr>
        <w:tab/>
      </w:r>
      <w:r w:rsidRPr="00B6450D">
        <w:rPr>
          <w:rFonts w:ascii="Times New Roman" w:hAnsi="Times New Roman"/>
          <w:i/>
          <w:sz w:val="23"/>
          <w:szCs w:val="23"/>
        </w:rPr>
        <w:tab/>
      </w:r>
      <w:r w:rsidRPr="00B6450D">
        <w:rPr>
          <w:rFonts w:ascii="Times New Roman" w:hAnsi="Times New Roman"/>
          <w:i/>
          <w:sz w:val="23"/>
          <w:szCs w:val="23"/>
        </w:rPr>
        <w:tab/>
      </w:r>
      <w:r w:rsidRPr="00B6450D">
        <w:rPr>
          <w:rFonts w:ascii="Times New Roman" w:hAnsi="Times New Roman"/>
          <w:i/>
          <w:sz w:val="23"/>
          <w:szCs w:val="23"/>
        </w:rPr>
        <w:tab/>
      </w:r>
      <w:r w:rsidRPr="00B6450D">
        <w:rPr>
          <w:rFonts w:ascii="Times New Roman" w:hAnsi="Times New Roman"/>
          <w:i/>
          <w:sz w:val="23"/>
          <w:szCs w:val="23"/>
        </w:rPr>
        <w:tab/>
      </w:r>
      <w:r>
        <w:rPr>
          <w:rFonts w:ascii="Times New Roman" w:hAnsi="Times New Roman"/>
          <w:i/>
          <w:sz w:val="23"/>
          <w:szCs w:val="23"/>
          <w:rtl/>
        </w:rPr>
        <w:tab/>
      </w:r>
      <w:r w:rsidRPr="00B6450D">
        <w:rPr>
          <w:rFonts w:ascii="Times New Roman" w:hAnsi="Times New Roman"/>
          <w:i/>
          <w:sz w:val="23"/>
          <w:szCs w:val="23"/>
        </w:rPr>
        <w:tab/>
      </w:r>
      <w:r w:rsidRPr="00B6450D">
        <w:rPr>
          <w:rFonts w:ascii="Times New Roman" w:hAnsi="Times New Roman"/>
          <w:i/>
          <w:sz w:val="23"/>
          <w:szCs w:val="23"/>
        </w:rPr>
        <w:tab/>
      </w:r>
      <w:r w:rsidRPr="00B6450D">
        <w:rPr>
          <w:rFonts w:ascii="Times New Roman" w:hAnsi="Times New Roman"/>
          <w:i/>
          <w:sz w:val="23"/>
          <w:szCs w:val="23"/>
        </w:rPr>
        <w:tab/>
      </w:r>
      <w:r w:rsidRPr="00B6450D">
        <w:rPr>
          <w:rFonts w:ascii="Times New Roman" w:hAnsi="Times New Roman"/>
          <w:i/>
          <w:sz w:val="23"/>
          <w:szCs w:val="23"/>
        </w:rPr>
        <w:tab/>
      </w:r>
      <w:r w:rsidRPr="00B6450D">
        <w:rPr>
          <w:rFonts w:ascii="Times New Roman" w:hAnsi="Times New Roman"/>
          <w:i/>
          <w:sz w:val="23"/>
          <w:szCs w:val="23"/>
        </w:rPr>
        <w:tab/>
      </w:r>
      <w:r w:rsidRPr="00B6450D">
        <w:rPr>
          <w:rFonts w:ascii="Times New Roman" w:hAnsi="Times New Roman"/>
          <w:i/>
          <w:sz w:val="23"/>
          <w:szCs w:val="23"/>
          <w:rtl/>
        </w:rPr>
        <w:tab/>
      </w:r>
      <w:r w:rsidRPr="00B6450D">
        <w:rPr>
          <w:rFonts w:ascii="Times New Roman" w:hAnsi="Times New Roman" w:cs="B Nazanin" w:hint="cs"/>
          <w:i/>
          <w:sz w:val="23"/>
          <w:szCs w:val="23"/>
          <w:rtl/>
        </w:rPr>
        <w:t>(۱۲. ۱)</w:t>
      </w:r>
    </w:p>
    <w:p w14:paraId="73ECBB80"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که در آن</w:t>
      </w:r>
      <m:oMath>
        <m:r>
          <w:rPr>
            <w:rFonts w:ascii="Cambria Math" w:hAnsi="Cambria Math" w:cs="B Nazanin"/>
            <w:sz w:val="23"/>
            <w:szCs w:val="23"/>
          </w:rPr>
          <m:t xml:space="preserve"> </m:t>
        </m:r>
        <m:r>
          <m:rPr>
            <m:sty m:val="p"/>
          </m:rPr>
          <w:rPr>
            <w:rFonts w:ascii="Cambria Math" w:hAnsi="Cambria Math"/>
            <w:position w:val="-12"/>
          </w:rPr>
          <w:object w:dxaOrig="400" w:dyaOrig="340" w14:anchorId="0BB227F0">
            <v:shape id="_x0000_i5168" type="#_x0000_t75" style="width:19.95pt;height:16.95pt" o:ole="">
              <v:imagedata r:id="rId8334" o:title=""/>
            </v:shape>
            <o:OLEObject Type="Embed" ProgID="Equation.DSMT4" ShapeID="_x0000_i5168" DrawAspect="Content" ObjectID="_1791379112" r:id="rId8335"/>
          </w:object>
        </m:r>
      </m:oMath>
      <w:r w:rsidRPr="00B6450D">
        <w:rPr>
          <w:rFonts w:cs="B Nazanin" w:hint="cs"/>
          <w:i/>
          <w:sz w:val="23"/>
          <w:szCs w:val="23"/>
          <w:rtl/>
        </w:rPr>
        <w:t xml:space="preserve">بازدهی حقیقی دارایی ریسکی </w:t>
      </w:r>
      <w:proofErr w:type="spellStart"/>
      <w:r w:rsidRPr="00B6450D">
        <w:rPr>
          <w:rFonts w:cs="B Nazanin"/>
          <w:i/>
          <w:sz w:val="23"/>
          <w:szCs w:val="23"/>
        </w:rPr>
        <w:t>i</w:t>
      </w:r>
      <w:proofErr w:type="spellEnd"/>
      <w:r w:rsidRPr="00B6450D">
        <w:rPr>
          <w:rFonts w:cs="B Nazanin" w:hint="cs"/>
          <w:i/>
          <w:sz w:val="23"/>
          <w:szCs w:val="23"/>
          <w:rtl/>
        </w:rPr>
        <w:t>ام است که در هر یک از این بازارها به گونه</w:t>
      </w:r>
      <w:r w:rsidRPr="00B6450D">
        <w:rPr>
          <w:rFonts w:cs="B Nazanin"/>
          <w:i/>
          <w:sz w:val="23"/>
          <w:szCs w:val="23"/>
          <w:rtl/>
        </w:rPr>
        <w:softHyphen/>
      </w:r>
      <w:r w:rsidRPr="00B6450D">
        <w:rPr>
          <w:rFonts w:cs="B Nazanin" w:hint="cs"/>
          <w:i/>
          <w:sz w:val="23"/>
          <w:szCs w:val="23"/>
          <w:rtl/>
        </w:rPr>
        <w:t>ای متفاوت تعریف می</w:t>
      </w:r>
      <w:r w:rsidRPr="00B6450D">
        <w:rPr>
          <w:rFonts w:cs="B Nazanin"/>
          <w:i/>
          <w:sz w:val="23"/>
          <w:szCs w:val="23"/>
          <w:rtl/>
        </w:rPr>
        <w:softHyphen/>
      </w:r>
      <w:r w:rsidRPr="00B6450D">
        <w:rPr>
          <w:rFonts w:cs="B Nazanin" w:hint="cs"/>
          <w:i/>
          <w:sz w:val="23"/>
          <w:szCs w:val="23"/>
          <w:rtl/>
        </w:rPr>
        <w:t>شود. در تعادل عمومی این معادله را می</w:t>
      </w:r>
      <w:r w:rsidRPr="00B6450D">
        <w:rPr>
          <w:rFonts w:cs="B Nazanin"/>
          <w:i/>
          <w:sz w:val="23"/>
          <w:szCs w:val="23"/>
          <w:rtl/>
        </w:rPr>
        <w:softHyphen/>
      </w:r>
      <w:r w:rsidRPr="00B6450D">
        <w:rPr>
          <w:rFonts w:cs="B Nazanin" w:hint="cs"/>
          <w:i/>
          <w:sz w:val="23"/>
          <w:szCs w:val="23"/>
          <w:rtl/>
        </w:rPr>
        <w:t>توان همانند شرط بدون آربیتراژ تصریح کرد.</w:t>
      </w:r>
    </w:p>
    <w:p w14:paraId="5BE219CE" w14:textId="77777777" w:rsidR="00556C10" w:rsidRPr="00B6450D" w:rsidRDefault="00556C10" w:rsidP="00556C10">
      <w:pPr>
        <w:pStyle w:val="NormalWeb"/>
        <w:spacing w:before="0" w:beforeAutospacing="0" w:after="0" w:afterAutospacing="0" w:line="216" w:lineRule="auto"/>
        <w:jc w:val="both"/>
        <w:rPr>
          <w:rFonts w:cs="B Nazanin"/>
          <w:i/>
          <w:sz w:val="23"/>
          <w:szCs w:val="23"/>
          <w:rtl/>
        </w:rPr>
      </w:pPr>
      <w:r w:rsidRPr="00B6450D">
        <w:rPr>
          <w:position w:val="-30"/>
        </w:rPr>
        <w:object w:dxaOrig="4180" w:dyaOrig="700" w14:anchorId="4CB2CB06">
          <v:shape id="_x0000_i5169" type="#_x0000_t75" style="width:208.75pt;height:35.1pt" o:ole="">
            <v:imagedata r:id="rId8336" o:title=""/>
          </v:shape>
          <o:OLEObject Type="Embed" ProgID="Equation.DSMT4" ShapeID="_x0000_i5169" DrawAspect="Content" ObjectID="_1791379113" r:id="rId8337"/>
        </w:object>
      </w:r>
      <w:r w:rsidRPr="00B6450D">
        <w:rPr>
          <w:i/>
          <w:sz w:val="23"/>
          <w:szCs w:val="23"/>
        </w:rPr>
        <w:tab/>
      </w:r>
      <w:r>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rFonts w:cs="B Nazanin" w:hint="cs"/>
          <w:i/>
          <w:sz w:val="23"/>
          <w:szCs w:val="23"/>
          <w:rtl/>
        </w:rPr>
        <w:t>(۱۲. ۲)</w:t>
      </w:r>
      <w:r w:rsidRPr="00B6450D">
        <w:rPr>
          <w:rFonts w:cs="B Nazanin" w:hint="cs"/>
          <w:i/>
          <w:sz w:val="23"/>
          <w:szCs w:val="23"/>
        </w:rPr>
        <w:t xml:space="preserve"> </w:t>
      </w:r>
    </w:p>
    <w:p w14:paraId="0C04DADE"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که در آن</w:t>
      </w:r>
      <w:r w:rsidRPr="00B6450D">
        <w:rPr>
          <w:position w:val="-10"/>
        </w:rPr>
        <w:object w:dxaOrig="240" w:dyaOrig="340" w14:anchorId="02237ECC">
          <v:shape id="_x0000_i5170" type="#_x0000_t75" style="width:12.1pt;height:16.95pt" o:ole="">
            <v:imagedata r:id="rId8338" o:title=""/>
          </v:shape>
          <o:OLEObject Type="Embed" ProgID="Equation.DSMT4" ShapeID="_x0000_i5170" DrawAspect="Content" ObjectID="_1791379114" r:id="rId8339"/>
        </w:object>
      </w:r>
      <w:r w:rsidRPr="00B6450D">
        <w:rPr>
          <w:rFonts w:cs="B Nazanin" w:hint="cs"/>
          <w:i/>
          <w:sz w:val="23"/>
          <w:szCs w:val="23"/>
          <w:rtl/>
        </w:rPr>
        <w:t xml:space="preserve"> بازدهی حقیقی بدون ریسک،</w:t>
      </w:r>
      <w:r w:rsidRPr="00B6450D">
        <w:rPr>
          <w:position w:val="-30"/>
        </w:rPr>
        <w:object w:dxaOrig="2140" w:dyaOrig="700" w14:anchorId="26C414E1">
          <v:shape id="_x0000_i5171" type="#_x0000_t75" style="width:107.1pt;height:35.1pt" o:ole="">
            <v:imagedata r:id="rId8340" o:title=""/>
          </v:shape>
          <o:OLEObject Type="Embed" ProgID="Equation.DSMT4" ShapeID="_x0000_i5171" DrawAspect="Content" ObjectID="_1791379115" r:id="rId8341"/>
        </w:object>
      </w:r>
      <w:r w:rsidRPr="00B6450D">
        <w:rPr>
          <w:rFonts w:cs="B Nazanin" w:hint="cs"/>
          <w:i/>
          <w:sz w:val="23"/>
          <w:szCs w:val="23"/>
          <w:rtl/>
        </w:rPr>
        <w:t xml:space="preserve"> عامل تنزیل تصادفی یا نرخ نهایی جانشینی،</w:t>
      </w:r>
      <w:r w:rsidRPr="00B6450D">
        <w:rPr>
          <w:position w:val="-10"/>
        </w:rPr>
        <w:object w:dxaOrig="300" w:dyaOrig="320" w14:anchorId="4B61BB21">
          <v:shape id="_x0000_i5172" type="#_x0000_t75" style="width:15.15pt;height:15.75pt" o:ole="">
            <v:imagedata r:id="rId8342" o:title=""/>
          </v:shape>
          <o:OLEObject Type="Embed" ProgID="Equation.DSMT4" ShapeID="_x0000_i5172" DrawAspect="Content" ObjectID="_1791379116" r:id="rId8343"/>
        </w:object>
      </w:r>
      <w:r w:rsidRPr="00B6450D">
        <w:rPr>
          <w:rFonts w:cs="B Nazanin" w:hint="cs"/>
          <w:i/>
          <w:sz w:val="23"/>
          <w:szCs w:val="23"/>
          <w:rtl/>
        </w:rPr>
        <w:t xml:space="preserve"> مطلوبیت نهایی،</w:t>
      </w:r>
      <w:r w:rsidRPr="00B6450D">
        <w:rPr>
          <w:position w:val="-10"/>
        </w:rPr>
        <w:object w:dxaOrig="200" w:dyaOrig="320" w14:anchorId="7F54C517">
          <v:shape id="_x0000_i5173" type="#_x0000_t75" style="width:10.3pt;height:15.75pt" o:ole="">
            <v:imagedata r:id="rId8344" o:title=""/>
          </v:shape>
          <o:OLEObject Type="Embed" ProgID="Equation.DSMT4" ShapeID="_x0000_i5173" DrawAspect="Content" ObjectID="_1791379117" r:id="rId8345"/>
        </w:object>
      </w:r>
      <w:r w:rsidRPr="00B6450D">
        <w:rPr>
          <w:rFonts w:cs="B Nazanin" w:hint="cs"/>
          <w:i/>
          <w:sz w:val="23"/>
          <w:szCs w:val="23"/>
          <w:rtl/>
        </w:rPr>
        <w:t xml:space="preserve"> مصرف و</w:t>
      </w:r>
      <w:r w:rsidRPr="00B6450D">
        <w:rPr>
          <w:position w:val="-10"/>
        </w:rPr>
        <w:object w:dxaOrig="260" w:dyaOrig="320" w14:anchorId="7219F6F8">
          <v:shape id="_x0000_i5174" type="#_x0000_t75" style="width:12.7pt;height:15.75pt" o:ole="">
            <v:imagedata r:id="rId8346" o:title=""/>
          </v:shape>
          <o:OLEObject Type="Embed" ProgID="Equation.DSMT4" ShapeID="_x0000_i5174" DrawAspect="Content" ObjectID="_1791379118" r:id="rId8347"/>
        </w:object>
      </w:r>
      <w:r w:rsidRPr="00B6450D">
        <w:rPr>
          <w:rFonts w:cs="B Nazanin" w:hint="cs"/>
          <w:i/>
          <w:sz w:val="23"/>
          <w:szCs w:val="23"/>
          <w:rtl/>
        </w:rPr>
        <w:t xml:space="preserve"> ضریب ریسک گریزی نسبی است.</w:t>
      </w:r>
      <w:r w:rsidRPr="00B6450D">
        <w:rPr>
          <w:position w:val="-10"/>
        </w:rPr>
        <w:object w:dxaOrig="480" w:dyaOrig="320" w14:anchorId="69246C6C">
          <v:shape id="_x0000_i5175" type="#_x0000_t75" style="width:24.2pt;height:15.75pt" o:ole="">
            <v:imagedata r:id="rId8348" o:title=""/>
          </v:shape>
          <o:OLEObject Type="Embed" ProgID="Equation.DSMT4" ShapeID="_x0000_i5175" DrawAspect="Content" ObjectID="_1791379119" r:id="rId8349"/>
        </w:object>
      </w:r>
      <w:r w:rsidRPr="00B6450D">
        <w:rPr>
          <w:rFonts w:cs="B Nazanin" w:hint="cs"/>
          <w:i/>
          <w:sz w:val="23"/>
          <w:szCs w:val="23"/>
          <w:rtl/>
        </w:rPr>
        <w:t xml:space="preserve"> ممکن است نماینده مجموعه</w:t>
      </w:r>
      <w:r w:rsidRPr="00B6450D">
        <w:rPr>
          <w:rFonts w:cs="B Nazanin"/>
          <w:i/>
          <w:sz w:val="23"/>
          <w:szCs w:val="23"/>
        </w:rPr>
        <w:softHyphen/>
      </w:r>
      <w:r w:rsidRPr="00B6450D">
        <w:rPr>
          <w:rFonts w:cs="B Nazanin" w:hint="cs"/>
          <w:i/>
          <w:sz w:val="23"/>
          <w:szCs w:val="23"/>
          <w:rtl/>
        </w:rPr>
        <w:t>ای از عوامل که لزوماً با رشد مصرف همراه نیستند باشد.</w:t>
      </w:r>
      <w:r w:rsidRPr="00B6450D">
        <w:rPr>
          <w:rFonts w:cs="Cambria" w:hint="cs"/>
          <w:i/>
          <w:sz w:val="23"/>
          <w:szCs w:val="23"/>
          <w:rtl/>
        </w:rPr>
        <w:t> </w:t>
      </w:r>
      <w:r w:rsidRPr="00B6450D">
        <w:rPr>
          <w:rFonts w:cs="B Nazanin" w:hint="cs"/>
          <w:i/>
          <w:sz w:val="23"/>
          <w:szCs w:val="23"/>
          <w:rtl/>
        </w:rPr>
        <w:t>بطورکلی</w:t>
      </w:r>
    </w:p>
    <w:p w14:paraId="314D20C2" w14:textId="77777777" w:rsidR="00556C10" w:rsidRPr="00B6450D" w:rsidRDefault="00556C10" w:rsidP="00556C10">
      <w:pPr>
        <w:pStyle w:val="NormalWeb"/>
        <w:tabs>
          <w:tab w:val="right" w:pos="-83"/>
          <w:tab w:val="right" w:pos="7"/>
        </w:tabs>
        <w:spacing w:before="0" w:beforeAutospacing="0" w:after="0" w:afterAutospacing="0" w:line="216" w:lineRule="auto"/>
        <w:jc w:val="both"/>
        <w:rPr>
          <w:rFonts w:cs="B Nazanin"/>
          <w:i/>
          <w:sz w:val="23"/>
          <w:szCs w:val="23"/>
        </w:rPr>
      </w:pPr>
      <w:r w:rsidRPr="00B6450D">
        <w:rPr>
          <w:position w:val="-28"/>
        </w:rPr>
        <w:object w:dxaOrig="1260" w:dyaOrig="639" w14:anchorId="35604D77">
          <v:shape id="_x0000_i5176" type="#_x0000_t75" style="width:62.9pt;height:31.45pt" o:ole="">
            <v:imagedata r:id="rId8350" o:title=""/>
          </v:shape>
          <o:OLEObject Type="Embed" ProgID="Equation.DSMT4" ShapeID="_x0000_i5176" DrawAspect="Content" ObjectID="_1791379120" r:id="rId8351"/>
        </w:object>
      </w:r>
    </w:p>
    <w:p w14:paraId="76EE8F76"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Pr>
      </w:pPr>
      <w:r w:rsidRPr="00B6450D">
        <w:rPr>
          <w:rFonts w:cs="B Nazanin" w:hint="cs"/>
          <w:i/>
          <w:sz w:val="23"/>
          <w:szCs w:val="23"/>
          <w:rtl/>
        </w:rPr>
        <w:t>که در آن</w:t>
      </w:r>
      <w:r w:rsidRPr="00B6450D">
        <w:rPr>
          <w:position w:val="-10"/>
        </w:rPr>
        <w:object w:dxaOrig="240" w:dyaOrig="320" w14:anchorId="4A88AD17">
          <v:shape id="_x0000_i5177" type="#_x0000_t75" style="width:12.1pt;height:15.75pt" o:ole="">
            <v:imagedata r:id="rId8352" o:title=""/>
          </v:shape>
          <o:OLEObject Type="Embed" ProgID="Equation.DSMT4" ShapeID="_x0000_i5177" DrawAspect="Content" ObjectID="_1791379121" r:id="rId8353"/>
        </w:object>
      </w:r>
      <w:r w:rsidRPr="00B6450D">
        <w:rPr>
          <w:rFonts w:cs="B Nazanin" w:hint="cs"/>
          <w:i/>
          <w:sz w:val="23"/>
          <w:szCs w:val="23"/>
          <w:rtl/>
        </w:rPr>
        <w:t xml:space="preserve"> قیمت یک دارایی در ابتدای دوره</w:t>
      </w:r>
      <w:r w:rsidRPr="00B6450D">
        <w:rPr>
          <w:position w:val="-6"/>
        </w:rPr>
        <w:object w:dxaOrig="139" w:dyaOrig="240" w14:anchorId="7865238B">
          <v:shape id="_x0000_i5178" type="#_x0000_t75" style="width:6.65pt;height:12.1pt" o:ole="">
            <v:imagedata r:id="rId8354" o:title=""/>
          </v:shape>
          <o:OLEObject Type="Embed" ProgID="Equation.DSMT4" ShapeID="_x0000_i5178" DrawAspect="Content" ObjectID="_1791379122" r:id="rId8355"/>
        </w:object>
      </w:r>
      <w:r w:rsidRPr="00B6450D">
        <w:rPr>
          <w:rFonts w:cs="B Nazanin" w:hint="cs"/>
          <w:i/>
          <w:sz w:val="23"/>
          <w:szCs w:val="23"/>
          <w:rtl/>
        </w:rPr>
        <w:t xml:space="preserve"> و</w:t>
      </w:r>
      <w:r w:rsidRPr="00B6450D">
        <w:rPr>
          <w:position w:val="-10"/>
        </w:rPr>
        <w:object w:dxaOrig="420" w:dyaOrig="320" w14:anchorId="5B1183AE">
          <v:shape id="_x0000_i5179" type="#_x0000_t75" style="width:21.2pt;height:15.75pt" o:ole="">
            <v:imagedata r:id="rId8356" o:title=""/>
          </v:shape>
          <o:OLEObject Type="Embed" ProgID="Equation.DSMT4" ShapeID="_x0000_i5179" DrawAspect="Content" ObjectID="_1791379123" r:id="rId8357"/>
        </w:object>
      </w:r>
      <w:r w:rsidRPr="00B6450D">
        <w:rPr>
          <w:rFonts w:cs="B Nazanin" w:hint="cs"/>
          <w:i/>
          <w:sz w:val="23"/>
          <w:szCs w:val="23"/>
          <w:rtl/>
        </w:rPr>
        <w:t xml:space="preserve"> عواید</w:t>
      </w:r>
      <w:r w:rsidRPr="00B6450D">
        <w:rPr>
          <w:rStyle w:val="FootnoteReference"/>
          <w:rFonts w:eastAsiaTheme="majorEastAsia" w:cs="B Nazanin"/>
          <w:i/>
          <w:sz w:val="23"/>
          <w:szCs w:val="23"/>
          <w:rtl/>
        </w:rPr>
        <w:footnoteReference w:id="260"/>
      </w:r>
      <w:r w:rsidRPr="00B6450D">
        <w:rPr>
          <w:rFonts w:cs="B Nazanin" w:hint="cs"/>
          <w:i/>
          <w:sz w:val="23"/>
          <w:szCs w:val="23"/>
          <w:rtl/>
        </w:rPr>
        <w:t xml:space="preserve"> آن در ابتدای دوره</w:t>
      </w:r>
      <w:r w:rsidRPr="00B6450D">
        <w:rPr>
          <w:position w:val="-6"/>
        </w:rPr>
        <w:object w:dxaOrig="440" w:dyaOrig="260" w14:anchorId="49F59189">
          <v:shape id="_x0000_i5180" type="#_x0000_t75" style="width:21.8pt;height:12.7pt" o:ole="">
            <v:imagedata r:id="rId8358" o:title=""/>
          </v:shape>
          <o:OLEObject Type="Embed" ProgID="Equation.DSMT4" ShapeID="_x0000_i5180" DrawAspect="Content" ObjectID="_1791379124" r:id="rId8359"/>
        </w:object>
      </w:r>
      <w:r w:rsidRPr="00B6450D">
        <w:rPr>
          <w:rFonts w:cs="B Nazanin"/>
          <w:i/>
          <w:sz w:val="23"/>
          <w:szCs w:val="23"/>
        </w:rPr>
        <w:t xml:space="preserve"> </w:t>
      </w:r>
      <w:r w:rsidRPr="00B6450D">
        <w:rPr>
          <w:rFonts w:cs="B Nazanin" w:hint="cs"/>
          <w:i/>
          <w:sz w:val="23"/>
          <w:szCs w:val="23"/>
          <w:rtl/>
        </w:rPr>
        <w:t xml:space="preserve">است. برای </w:t>
      </w:r>
    </w:p>
    <w:p w14:paraId="39028BAB"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مثال</w:t>
      </w:r>
    </w:p>
    <w:p w14:paraId="31B4E4E1" w14:textId="77777777" w:rsidR="00556C10" w:rsidRPr="00B6450D" w:rsidRDefault="00556C10" w:rsidP="00C67946">
      <w:pPr>
        <w:pStyle w:val="NormalWeb"/>
        <w:numPr>
          <w:ilvl w:val="0"/>
          <w:numId w:val="6"/>
        </w:numPr>
        <w:tabs>
          <w:tab w:val="right" w:pos="7"/>
          <w:tab w:val="right" w:pos="320"/>
        </w:tabs>
        <w:bidi/>
        <w:spacing w:before="0" w:beforeAutospacing="0" w:after="0" w:afterAutospacing="0" w:line="216" w:lineRule="auto"/>
        <w:ind w:left="0" w:firstLine="0"/>
        <w:jc w:val="both"/>
        <w:rPr>
          <w:rFonts w:cs="B Nazanin"/>
          <w:i/>
          <w:sz w:val="23"/>
          <w:szCs w:val="23"/>
        </w:rPr>
      </w:pPr>
      <w:r w:rsidRPr="00B6450D">
        <w:rPr>
          <w:rFonts w:cs="B Nazanin" w:hint="cs"/>
          <w:i/>
          <w:sz w:val="23"/>
          <w:szCs w:val="23"/>
          <w:rtl/>
        </w:rPr>
        <w:lastRenderedPageBreak/>
        <w:t>برای سهامی که سود سهام</w:t>
      </w:r>
      <w:r w:rsidRPr="00B6450D">
        <w:rPr>
          <w:position w:val="-10"/>
        </w:rPr>
        <w:object w:dxaOrig="420" w:dyaOrig="320" w14:anchorId="6CDD211D">
          <v:shape id="_x0000_i5181" type="#_x0000_t75" style="width:21.2pt;height:15.75pt" o:ole="">
            <v:imagedata r:id="rId8360" o:title=""/>
          </v:shape>
          <o:OLEObject Type="Embed" ProgID="Equation.DSMT4" ShapeID="_x0000_i5181" DrawAspect="Content" ObjectID="_1791379125" r:id="rId8361"/>
        </w:object>
      </w:r>
      <w:r w:rsidRPr="00B6450D">
        <w:rPr>
          <w:rFonts w:cs="B Nazanin" w:hint="cs"/>
          <w:i/>
          <w:sz w:val="23"/>
          <w:szCs w:val="23"/>
          <w:rtl/>
        </w:rPr>
        <w:t xml:space="preserve"> به آن تعلق می</w:t>
      </w:r>
      <w:r w:rsidRPr="00B6450D">
        <w:rPr>
          <w:rFonts w:cs="B Nazanin"/>
          <w:i/>
          <w:sz w:val="23"/>
          <w:szCs w:val="23"/>
          <w:rtl/>
        </w:rPr>
        <w:softHyphen/>
      </w:r>
      <w:r w:rsidRPr="00B6450D">
        <w:rPr>
          <w:rFonts w:cs="B Nazanin" w:hint="cs"/>
          <w:i/>
          <w:sz w:val="23"/>
          <w:szCs w:val="23"/>
          <w:rtl/>
        </w:rPr>
        <w:t>گیرد و با قیمت</w:t>
      </w:r>
      <w:r w:rsidRPr="00B6450D">
        <w:rPr>
          <w:position w:val="-10"/>
        </w:rPr>
        <w:object w:dxaOrig="380" w:dyaOrig="320" w14:anchorId="7A4C4866">
          <v:shape id="_x0000_i5182" type="#_x0000_t75" style="width:19.35pt;height:15.75pt" o:ole="">
            <v:imagedata r:id="rId8362" o:title=""/>
          </v:shape>
          <o:OLEObject Type="Embed" ProgID="Equation.DSMT4" ShapeID="_x0000_i5182" DrawAspect="Content" ObjectID="_1791379126" r:id="rId8363"/>
        </w:object>
      </w:r>
      <w:r w:rsidRPr="00B6450D">
        <w:rPr>
          <w:rFonts w:cs="B Nazanin" w:hint="cs"/>
          <w:i/>
          <w:sz w:val="23"/>
          <w:szCs w:val="23"/>
          <w:rtl/>
        </w:rPr>
        <w:t xml:space="preserve"> در زمان</w:t>
      </w:r>
      <w:r w:rsidRPr="00B6450D">
        <w:rPr>
          <w:position w:val="-6"/>
        </w:rPr>
        <w:object w:dxaOrig="440" w:dyaOrig="260" w14:anchorId="5B825C6D">
          <v:shape id="_x0000_i5183" type="#_x0000_t75" style="width:21.8pt;height:12.7pt" o:ole="">
            <v:imagedata r:id="rId8364" o:title=""/>
          </v:shape>
          <o:OLEObject Type="Embed" ProgID="Equation.DSMT4" ShapeID="_x0000_i5183" DrawAspect="Content" ObjectID="_1791379127" r:id="rId8365"/>
        </w:object>
      </w:r>
      <w:r w:rsidRPr="00B6450D">
        <w:rPr>
          <w:rFonts w:cs="B Nazanin" w:hint="cs"/>
          <w:i/>
          <w:sz w:val="23"/>
          <w:szCs w:val="23"/>
          <w:rtl/>
        </w:rPr>
        <w:t xml:space="preserve"> مجدداً به فروش می</w:t>
      </w:r>
      <w:r w:rsidRPr="00B6450D">
        <w:rPr>
          <w:rFonts w:cs="B Nazanin"/>
          <w:i/>
          <w:sz w:val="23"/>
          <w:szCs w:val="23"/>
          <w:rtl/>
        </w:rPr>
        <w:softHyphen/>
      </w:r>
      <w:r w:rsidRPr="00B6450D">
        <w:rPr>
          <w:rFonts w:cs="B Nazanin" w:hint="cs"/>
          <w:i/>
          <w:sz w:val="23"/>
          <w:szCs w:val="23"/>
          <w:rtl/>
        </w:rPr>
        <w:t>رسد، بازدهی برابر است با</w:t>
      </w:r>
      <w:r w:rsidRPr="00B6450D">
        <w:rPr>
          <w:position w:val="-10"/>
        </w:rPr>
        <w:object w:dxaOrig="1540" w:dyaOrig="320" w14:anchorId="3320A6AD">
          <v:shape id="_x0000_i5184" type="#_x0000_t75" style="width:76.85pt;height:15.75pt" o:ole="">
            <v:imagedata r:id="rId8366" o:title=""/>
          </v:shape>
          <o:OLEObject Type="Embed" ProgID="Equation.DSMT4" ShapeID="_x0000_i5184" DrawAspect="Content" ObjectID="_1791379128" r:id="rId8367"/>
        </w:object>
      </w:r>
      <w:r w:rsidRPr="00B6450D">
        <w:rPr>
          <w:rFonts w:cs="B Nazanin"/>
          <w:i/>
          <w:sz w:val="23"/>
          <w:szCs w:val="23"/>
        </w:rPr>
        <w:t>.</w:t>
      </w:r>
    </w:p>
    <w:p w14:paraId="03BD69B4" w14:textId="77777777" w:rsidR="00556C10" w:rsidRPr="00B6450D" w:rsidRDefault="00556C10" w:rsidP="00C67946">
      <w:pPr>
        <w:pStyle w:val="NormalWeb"/>
        <w:numPr>
          <w:ilvl w:val="0"/>
          <w:numId w:val="6"/>
        </w:numPr>
        <w:tabs>
          <w:tab w:val="right" w:pos="-83"/>
          <w:tab w:val="right" w:pos="320"/>
        </w:tabs>
        <w:bidi/>
        <w:spacing w:before="0" w:beforeAutospacing="0" w:after="0" w:afterAutospacing="0" w:line="216" w:lineRule="auto"/>
        <w:ind w:left="0" w:firstLine="0"/>
        <w:jc w:val="both"/>
        <w:rPr>
          <w:rFonts w:cs="B Nazanin"/>
          <w:i/>
          <w:sz w:val="23"/>
          <w:szCs w:val="23"/>
        </w:rPr>
      </w:pPr>
      <w:r w:rsidRPr="00B6450D">
        <w:rPr>
          <w:rFonts w:cs="B Nazanin" w:hint="cs"/>
          <w:i/>
          <w:sz w:val="23"/>
          <w:szCs w:val="23"/>
          <w:rtl/>
        </w:rPr>
        <w:t>برای یک سند خزانه که‌یک واحد از مصرف کالا را پرداخت می‌کند،</w:t>
      </w:r>
      <w:r w:rsidRPr="00B6450D">
        <w:rPr>
          <w:position w:val="-10"/>
        </w:rPr>
        <w:object w:dxaOrig="760" w:dyaOrig="320" w14:anchorId="06A715F7">
          <v:shape id="_x0000_i5185" type="#_x0000_t75" style="width:38.1pt;height:15.75pt" o:ole="">
            <v:imagedata r:id="rId8368" o:title=""/>
          </v:shape>
          <o:OLEObject Type="Embed" ProgID="Equation.DSMT4" ShapeID="_x0000_i5185" DrawAspect="Content" ObjectID="_1791379129" r:id="rId8369"/>
        </w:object>
      </w:r>
      <w:r w:rsidRPr="00B6450D">
        <w:rPr>
          <w:rFonts w:cs="B Nazanin"/>
          <w:i/>
          <w:sz w:val="23"/>
          <w:szCs w:val="23"/>
        </w:rPr>
        <w:t xml:space="preserve"> </w:t>
      </w:r>
      <w:r w:rsidRPr="00B6450D">
        <w:rPr>
          <w:rFonts w:cs="B Nazanin" w:hint="cs"/>
          <w:i/>
          <w:sz w:val="23"/>
          <w:szCs w:val="23"/>
          <w:rtl/>
        </w:rPr>
        <w:t xml:space="preserve">و لذا قیمت برابر است با </w:t>
      </w:r>
      <w:r w:rsidRPr="00B6450D">
        <w:rPr>
          <w:position w:val="-28"/>
        </w:rPr>
        <w:object w:dxaOrig="999" w:dyaOrig="620" w14:anchorId="53025369">
          <v:shape id="_x0000_i5186" type="#_x0000_t75" style="width:49.6pt;height:30.85pt" o:ole="">
            <v:imagedata r:id="rId8370" o:title=""/>
          </v:shape>
          <o:OLEObject Type="Embed" ProgID="Equation.DSMT4" ShapeID="_x0000_i5186" DrawAspect="Content" ObjectID="_1791379130" r:id="rId8371"/>
        </w:object>
      </w:r>
      <w:r w:rsidRPr="00B6450D">
        <w:rPr>
          <w:rFonts w:cs="B Nazanin"/>
          <w:i/>
          <w:sz w:val="23"/>
          <w:szCs w:val="23"/>
        </w:rPr>
        <w:t>.</w:t>
      </w:r>
    </w:p>
    <w:p w14:paraId="148CC954" w14:textId="77777777" w:rsidR="00556C10" w:rsidRPr="00B6450D" w:rsidRDefault="00556C10" w:rsidP="00C67946">
      <w:pPr>
        <w:pStyle w:val="NormalWeb"/>
        <w:numPr>
          <w:ilvl w:val="0"/>
          <w:numId w:val="6"/>
        </w:numPr>
        <w:tabs>
          <w:tab w:val="right" w:pos="-83"/>
          <w:tab w:val="right" w:pos="320"/>
        </w:tabs>
        <w:bidi/>
        <w:spacing w:before="0" w:beforeAutospacing="0" w:after="0" w:afterAutospacing="0" w:line="216" w:lineRule="auto"/>
        <w:ind w:left="0" w:firstLine="0"/>
        <w:jc w:val="both"/>
        <w:rPr>
          <w:rFonts w:cs="B Nazanin"/>
          <w:i/>
          <w:sz w:val="23"/>
          <w:szCs w:val="23"/>
        </w:rPr>
      </w:pPr>
      <w:r w:rsidRPr="00B6450D">
        <w:rPr>
          <w:rFonts w:cs="B Nazanin" w:hint="cs"/>
          <w:i/>
          <w:sz w:val="23"/>
          <w:szCs w:val="23"/>
          <w:rtl/>
        </w:rPr>
        <w:t>برای یک اوراق قرضه که کوپن ثابت</w:t>
      </w:r>
      <w:r w:rsidRPr="00B6450D">
        <w:rPr>
          <w:position w:val="-6"/>
        </w:rPr>
        <w:object w:dxaOrig="220" w:dyaOrig="260" w14:anchorId="1B46C335">
          <v:shape id="_x0000_i5187" type="#_x0000_t75" style="width:10.9pt;height:12.7pt" o:ole="">
            <v:imagedata r:id="rId8372" o:title=""/>
          </v:shape>
          <o:OLEObject Type="Embed" ProgID="Equation.DSMT4" ShapeID="_x0000_i5187" DrawAspect="Content" ObjectID="_1791379131" r:id="rId8373"/>
        </w:object>
      </w:r>
      <w:r w:rsidRPr="00B6450D">
        <w:rPr>
          <w:rFonts w:cs="B Nazanin"/>
          <w:i/>
          <w:sz w:val="23"/>
          <w:szCs w:val="23"/>
        </w:rPr>
        <w:t xml:space="preserve"> </w:t>
      </w:r>
      <w:r w:rsidRPr="00B6450D">
        <w:rPr>
          <w:rFonts w:cs="B Nazanin" w:hint="cs"/>
          <w:i/>
          <w:sz w:val="23"/>
          <w:szCs w:val="23"/>
          <w:rtl/>
        </w:rPr>
        <w:t>را پرداخت می‌کند و در دوره‌ی بعد به قیمت</w:t>
      </w:r>
      <w:r w:rsidRPr="00B6450D">
        <w:rPr>
          <w:position w:val="-10"/>
        </w:rPr>
        <w:object w:dxaOrig="380" w:dyaOrig="320" w14:anchorId="04BB767D">
          <v:shape id="_x0000_i5188" type="#_x0000_t75" style="width:19.35pt;height:15.75pt" o:ole="">
            <v:imagedata r:id="rId8374" o:title=""/>
          </v:shape>
          <o:OLEObject Type="Embed" ProgID="Equation.DSMT4" ShapeID="_x0000_i5188" DrawAspect="Content" ObjectID="_1791379132" r:id="rId8375"/>
        </w:object>
      </w:r>
      <w:r w:rsidRPr="00B6450D">
        <w:rPr>
          <w:rFonts w:cs="B Nazanin" w:hint="cs"/>
          <w:i/>
          <w:sz w:val="23"/>
          <w:szCs w:val="23"/>
          <w:rtl/>
        </w:rPr>
        <w:t xml:space="preserve"> به فروش می‌رسد،</w:t>
      </w:r>
      <w:r w:rsidRPr="00B6450D">
        <w:rPr>
          <w:position w:val="-10"/>
        </w:rPr>
        <w:object w:dxaOrig="1340" w:dyaOrig="320" w14:anchorId="26BD4FA9">
          <v:shape id="_x0000_i5189" type="#_x0000_t75" style="width:67.15pt;height:15.75pt" o:ole="">
            <v:imagedata r:id="rId8376" o:title=""/>
          </v:shape>
          <o:OLEObject Type="Embed" ProgID="Equation.DSMT4" ShapeID="_x0000_i5189" DrawAspect="Content" ObjectID="_1791379133" r:id="rId8377"/>
        </w:object>
      </w:r>
      <w:r w:rsidRPr="00B6450D">
        <w:rPr>
          <w:rFonts w:cs="B Nazanin" w:hint="cs"/>
          <w:i/>
          <w:sz w:val="23"/>
          <w:szCs w:val="23"/>
          <w:rtl/>
        </w:rPr>
        <w:t xml:space="preserve"> است.</w:t>
      </w:r>
    </w:p>
    <w:p w14:paraId="7814520F" w14:textId="77777777" w:rsidR="00556C10" w:rsidRPr="00B6450D" w:rsidRDefault="00556C10" w:rsidP="00C67946">
      <w:pPr>
        <w:pStyle w:val="NormalWeb"/>
        <w:numPr>
          <w:ilvl w:val="0"/>
          <w:numId w:val="6"/>
        </w:numPr>
        <w:tabs>
          <w:tab w:val="right" w:pos="-83"/>
          <w:tab w:val="right" w:pos="320"/>
        </w:tabs>
        <w:bidi/>
        <w:spacing w:before="0" w:beforeAutospacing="0" w:after="0" w:afterAutospacing="0" w:line="216" w:lineRule="auto"/>
        <w:ind w:left="0" w:firstLine="0"/>
        <w:jc w:val="both"/>
        <w:rPr>
          <w:rFonts w:cs="B Nazanin"/>
          <w:i/>
          <w:sz w:val="23"/>
          <w:szCs w:val="23"/>
        </w:rPr>
      </w:pPr>
      <w:r w:rsidRPr="00B6450D">
        <w:rPr>
          <w:rFonts w:cs="B Nazanin" w:hint="cs"/>
          <w:i/>
          <w:sz w:val="23"/>
          <w:szCs w:val="23"/>
          <w:rtl/>
        </w:rPr>
        <w:t>برای یک سپرده‌ی بانکی که نرخ بهره</w:t>
      </w:r>
      <w:r w:rsidRPr="00B6450D">
        <w:rPr>
          <w:rFonts w:cs="B Nazanin"/>
          <w:i/>
          <w:sz w:val="23"/>
          <w:szCs w:val="23"/>
          <w:rtl/>
        </w:rPr>
        <w:softHyphen/>
      </w:r>
      <w:r w:rsidRPr="00B6450D">
        <w:rPr>
          <w:rFonts w:cs="B Nazanin" w:hint="cs"/>
          <w:i/>
          <w:sz w:val="23"/>
          <w:szCs w:val="23"/>
          <w:rtl/>
        </w:rPr>
        <w:t>ی بدون ریسک</w:t>
      </w:r>
      <w:r w:rsidRPr="00B6450D">
        <w:rPr>
          <w:position w:val="-10"/>
        </w:rPr>
        <w:object w:dxaOrig="240" w:dyaOrig="340" w14:anchorId="47A5CD5A">
          <v:shape id="_x0000_i5190" type="#_x0000_t75" style="width:12.1pt;height:16.95pt" o:ole="">
            <v:imagedata r:id="rId8378" o:title=""/>
          </v:shape>
          <o:OLEObject Type="Embed" ProgID="Equation.DSMT4" ShapeID="_x0000_i5190" DrawAspect="Content" ObjectID="_1791379134" r:id="rId8379"/>
        </w:object>
      </w:r>
      <w:r w:rsidRPr="00B6450D">
        <w:rPr>
          <w:rFonts w:cs="B Nazanin" w:hint="cs"/>
          <w:i/>
          <w:sz w:val="23"/>
          <w:szCs w:val="23"/>
          <w:rtl/>
        </w:rPr>
        <w:t xml:space="preserve"> را بین زمان</w:t>
      </w:r>
      <w:r w:rsidRPr="00B6450D">
        <w:rPr>
          <w:position w:val="-6"/>
        </w:rPr>
        <w:object w:dxaOrig="139" w:dyaOrig="240" w14:anchorId="3EC3D00F">
          <v:shape id="_x0000_i5191" type="#_x0000_t75" style="width:6.65pt;height:12.1pt" o:ole="">
            <v:imagedata r:id="rId8380" o:title=""/>
          </v:shape>
          <o:OLEObject Type="Embed" ProgID="Equation.DSMT4" ShapeID="_x0000_i5191" DrawAspect="Content" ObjectID="_1791379135" r:id="rId8381"/>
        </w:object>
      </w:r>
      <w:r w:rsidRPr="00B6450D">
        <w:rPr>
          <w:rFonts w:cs="B Nazanin" w:hint="cs"/>
          <w:i/>
          <w:sz w:val="23"/>
          <w:szCs w:val="23"/>
          <w:rtl/>
        </w:rPr>
        <w:t xml:space="preserve"> و</w:t>
      </w:r>
      <w:r w:rsidRPr="00B6450D">
        <w:rPr>
          <w:position w:val="-6"/>
        </w:rPr>
        <w:object w:dxaOrig="440" w:dyaOrig="260" w14:anchorId="7911AB88">
          <v:shape id="_x0000_i5192" type="#_x0000_t75" style="width:21.8pt;height:12.7pt" o:ole="">
            <v:imagedata r:id="rId8382" o:title=""/>
          </v:shape>
          <o:OLEObject Type="Embed" ProgID="Equation.DSMT4" ShapeID="_x0000_i5192" DrawAspect="Content" ObjectID="_1791379136" r:id="rId8383"/>
        </w:object>
      </w:r>
      <w:r w:rsidRPr="00B6450D">
        <w:rPr>
          <w:rFonts w:cs="B Nazanin" w:hint="cs"/>
          <w:i/>
          <w:sz w:val="23"/>
          <w:szCs w:val="23"/>
          <w:rtl/>
        </w:rPr>
        <w:t xml:space="preserve"> پرداخت می</w:t>
      </w:r>
      <w:r w:rsidRPr="00B6450D">
        <w:rPr>
          <w:rFonts w:cs="B Nazanin"/>
          <w:i/>
          <w:sz w:val="23"/>
          <w:szCs w:val="23"/>
        </w:rPr>
        <w:t>‌</w:t>
      </w:r>
      <w:r w:rsidRPr="00B6450D">
        <w:rPr>
          <w:rFonts w:cs="B Nazanin" w:hint="cs"/>
          <w:i/>
          <w:sz w:val="23"/>
          <w:szCs w:val="23"/>
          <w:rtl/>
        </w:rPr>
        <w:t>کند،</w:t>
      </w:r>
      <w:r w:rsidRPr="00B6450D">
        <w:rPr>
          <w:position w:val="-10"/>
        </w:rPr>
        <w:object w:dxaOrig="1120" w:dyaOrig="340" w14:anchorId="35EE89AD">
          <v:shape id="_x0000_i5193" type="#_x0000_t75" style="width:55.65pt;height:16.95pt" o:ole="">
            <v:imagedata r:id="rId8384" o:title=""/>
          </v:shape>
          <o:OLEObject Type="Embed" ProgID="Equation.DSMT4" ShapeID="_x0000_i5193" DrawAspect="Content" ObjectID="_1791379137" r:id="rId8385"/>
        </w:object>
      </w:r>
      <w:r w:rsidRPr="00B6450D">
        <w:rPr>
          <w:rFonts w:cs="B Nazanin" w:hint="cs"/>
          <w:i/>
          <w:sz w:val="23"/>
          <w:szCs w:val="23"/>
          <w:rtl/>
        </w:rPr>
        <w:t xml:space="preserve"> می‌باشد و قیمت</w:t>
      </w:r>
      <w:r w:rsidRPr="00B6450D">
        <w:rPr>
          <w:position w:val="-10"/>
        </w:rPr>
        <w:object w:dxaOrig="580" w:dyaOrig="320" w14:anchorId="1B2482B3">
          <v:shape id="_x0000_i5194" type="#_x0000_t75" style="width:29.05pt;height:15.75pt" o:ole="">
            <v:imagedata r:id="rId8386" o:title=""/>
          </v:shape>
          <o:OLEObject Type="Embed" ProgID="Equation.DSMT4" ShapeID="_x0000_i5194" DrawAspect="Content" ObjectID="_1791379138" r:id="rId8387"/>
        </w:object>
      </w:r>
      <w:r w:rsidRPr="00B6450D">
        <w:rPr>
          <w:rFonts w:cs="B Nazanin" w:hint="cs"/>
          <w:i/>
          <w:sz w:val="23"/>
          <w:szCs w:val="23"/>
          <w:rtl/>
        </w:rPr>
        <w:t xml:space="preserve"> خواهد بود.</w:t>
      </w:r>
    </w:p>
    <w:p w14:paraId="3E9D12A5" w14:textId="77777777" w:rsidR="00556C10" w:rsidRPr="00B6450D" w:rsidRDefault="00556C10" w:rsidP="00C67946">
      <w:pPr>
        <w:pStyle w:val="NormalWeb"/>
        <w:numPr>
          <w:ilvl w:val="0"/>
          <w:numId w:val="6"/>
        </w:numPr>
        <w:tabs>
          <w:tab w:val="right" w:pos="-83"/>
          <w:tab w:val="right" w:pos="320"/>
        </w:tabs>
        <w:bidi/>
        <w:spacing w:before="0" w:beforeAutospacing="0" w:after="0" w:afterAutospacing="0" w:line="216" w:lineRule="auto"/>
        <w:ind w:left="0" w:firstLine="0"/>
        <w:jc w:val="both"/>
        <w:rPr>
          <w:rFonts w:cs="B Nazanin"/>
          <w:i/>
          <w:sz w:val="23"/>
          <w:szCs w:val="23"/>
        </w:rPr>
      </w:pPr>
      <w:r w:rsidRPr="00B6450D">
        <w:rPr>
          <w:rFonts w:cs="B Nazanin" w:hint="cs"/>
          <w:i/>
          <w:sz w:val="23"/>
          <w:szCs w:val="23"/>
          <w:rtl/>
        </w:rPr>
        <w:t>برای یک اختیار خرید که به دارنده آن اختیار خرید را در قیمت معین</w:t>
      </w:r>
      <w:r w:rsidRPr="00025957">
        <w:rPr>
          <w:position w:val="-4"/>
        </w:rPr>
        <w:object w:dxaOrig="260" w:dyaOrig="240" w14:anchorId="62B6C020">
          <v:shape id="_x0000_i5195" type="#_x0000_t75" style="width:12.7pt;height:12.1pt" o:ole="">
            <v:imagedata r:id="rId8388" o:title=""/>
          </v:shape>
          <o:OLEObject Type="Embed" ProgID="Equation.DSMT4" ShapeID="_x0000_i5195" DrawAspect="Content" ObjectID="_1791379139" r:id="rId8389"/>
        </w:object>
      </w:r>
      <w:r w:rsidRPr="00B6450D">
        <w:rPr>
          <w:rFonts w:cs="B Nazanin" w:hint="cs"/>
          <w:i/>
          <w:sz w:val="23"/>
          <w:szCs w:val="23"/>
          <w:rtl/>
        </w:rPr>
        <w:t xml:space="preserve"> در زمان</w:t>
      </w:r>
      <w:r w:rsidRPr="00025957">
        <w:rPr>
          <w:position w:val="-4"/>
        </w:rPr>
        <w:object w:dxaOrig="240" w:dyaOrig="240" w14:anchorId="17F5872F">
          <v:shape id="_x0000_i5196" type="#_x0000_t75" style="width:12.1pt;height:12.1pt" o:ole="">
            <v:imagedata r:id="rId8390" o:title=""/>
          </v:shape>
          <o:OLEObject Type="Embed" ProgID="Equation.DSMT4" ShapeID="_x0000_i5196" DrawAspect="Content" ObjectID="_1791379140" r:id="rId8391"/>
        </w:object>
      </w:r>
      <w:r w:rsidRPr="00B6450D">
        <w:rPr>
          <w:rFonts w:cs="B Nazanin"/>
          <w:i/>
          <w:sz w:val="23"/>
          <w:szCs w:val="23"/>
          <w:rtl/>
        </w:rPr>
        <w:t xml:space="preserve"> می</w:t>
      </w:r>
      <w:r w:rsidRPr="00B6450D">
        <w:rPr>
          <w:rFonts w:cs="B Nazanin" w:hint="cs"/>
          <w:i/>
          <w:sz w:val="23"/>
          <w:szCs w:val="23"/>
          <w:rtl/>
        </w:rPr>
        <w:t>‌دهد، بازدهی آتی آن دارایی برابر است با</w:t>
      </w:r>
      <w:r w:rsidRPr="00B6450D">
        <w:rPr>
          <w:rFonts w:cs="B Nazanin" w:hint="cs"/>
          <w:i/>
          <w:sz w:val="23"/>
          <w:szCs w:val="23"/>
        </w:rPr>
        <w:t xml:space="preserve"> </w:t>
      </w:r>
      <w:r w:rsidRPr="00B6450D">
        <w:rPr>
          <w:position w:val="-12"/>
        </w:rPr>
        <w:object w:dxaOrig="1939" w:dyaOrig="360" w14:anchorId="414FDDB5">
          <v:shape id="_x0000_i5197" type="#_x0000_t75" style="width:96.8pt;height:18.15pt" o:ole="">
            <v:imagedata r:id="rId8392" o:title=""/>
          </v:shape>
          <o:OLEObject Type="Embed" ProgID="Equation.DSMT4" ShapeID="_x0000_i5197" DrawAspect="Content" ObjectID="_1791379141" r:id="rId8393"/>
        </w:object>
      </w:r>
      <w:r w:rsidRPr="00B6450D">
        <w:rPr>
          <w:rFonts w:cs="B Nazanin" w:hint="cs"/>
          <w:i/>
          <w:sz w:val="23"/>
          <w:szCs w:val="23"/>
          <w:rtl/>
        </w:rPr>
        <w:t>و</w:t>
      </w:r>
      <w:r w:rsidRPr="00B6450D">
        <w:rPr>
          <w:position w:val="-10"/>
        </w:rPr>
        <w:object w:dxaOrig="240" w:dyaOrig="320" w14:anchorId="2FF9351B">
          <v:shape id="_x0000_i5198" type="#_x0000_t75" style="width:12.1pt;height:15.75pt" o:ole="">
            <v:imagedata r:id="rId8394" o:title=""/>
          </v:shape>
          <o:OLEObject Type="Embed" ProgID="Equation.DSMT4" ShapeID="_x0000_i5198" DrawAspect="Content" ObjectID="_1791379142" r:id="rId8395"/>
        </w:object>
      </w:r>
      <w:r w:rsidRPr="00B6450D">
        <w:rPr>
          <w:rFonts w:cs="B Nazanin" w:hint="cs"/>
          <w:i/>
          <w:sz w:val="23"/>
          <w:szCs w:val="23"/>
          <w:rtl/>
        </w:rPr>
        <w:t xml:space="preserve"> قیمتی است که برای آن قرار داد اختیار خرید می‌بایست پرداخت شود.</w:t>
      </w:r>
      <w:r w:rsidRPr="00B6450D">
        <w:rPr>
          <w:rStyle w:val="FootnoteReference"/>
          <w:rFonts w:eastAsiaTheme="majorEastAsia" w:cs="B Nazanin"/>
          <w:i/>
          <w:sz w:val="23"/>
          <w:szCs w:val="23"/>
          <w:rtl/>
        </w:rPr>
        <w:footnoteReference w:id="261"/>
      </w:r>
    </w:p>
    <w:p w14:paraId="2AE10DE6"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Pr>
      </w:pPr>
    </w:p>
    <w:p w14:paraId="16DEEEBF" w14:textId="77777777" w:rsidR="00556C10" w:rsidRPr="00B6450D" w:rsidRDefault="00556C10" w:rsidP="00556C10">
      <w:pPr>
        <w:pStyle w:val="Heading1"/>
        <w:tabs>
          <w:tab w:val="right" w:pos="-83"/>
          <w:tab w:val="right" w:pos="7"/>
        </w:tabs>
        <w:spacing w:before="0" w:line="216" w:lineRule="auto"/>
        <w:rPr>
          <w:rFonts w:ascii="Times New Roman" w:hAnsi="Times New Roman" w:cs="B Nazanin"/>
          <w:b w:val="0"/>
          <w:i/>
          <w:sz w:val="23"/>
          <w:szCs w:val="23"/>
          <w:rtl/>
        </w:rPr>
      </w:pPr>
      <w:r w:rsidRPr="00B6450D">
        <w:rPr>
          <w:rFonts w:ascii="Times New Roman" w:hAnsi="Times New Roman" w:cs="B Nazanin" w:hint="cs"/>
          <w:b w:val="0"/>
          <w:i/>
          <w:sz w:val="23"/>
          <w:szCs w:val="23"/>
          <w:rtl/>
        </w:rPr>
        <w:t>۱۲. ۲ بازار سهام</w:t>
      </w:r>
    </w:p>
    <w:p w14:paraId="0179E617" w14:textId="77777777" w:rsidR="00556C10" w:rsidRPr="00B6450D" w:rsidRDefault="00556C10" w:rsidP="00556C10">
      <w:pPr>
        <w:pStyle w:val="Heading1"/>
        <w:tabs>
          <w:tab w:val="right" w:pos="-83"/>
          <w:tab w:val="right" w:pos="7"/>
        </w:tabs>
        <w:spacing w:before="0" w:line="216" w:lineRule="auto"/>
        <w:rPr>
          <w:rFonts w:ascii="Times New Roman" w:hAnsi="Times New Roman" w:cs="B Nazanin"/>
          <w:b w:val="0"/>
          <w:i/>
          <w:sz w:val="23"/>
          <w:szCs w:val="23"/>
          <w:rtl/>
        </w:rPr>
      </w:pPr>
      <w:r w:rsidRPr="00B6450D">
        <w:rPr>
          <w:rFonts w:ascii="Times New Roman" w:hAnsi="Times New Roman" w:cs="B Nazanin" w:hint="cs"/>
          <w:b w:val="0"/>
          <w:i/>
          <w:sz w:val="23"/>
          <w:szCs w:val="23"/>
          <w:rtl/>
        </w:rPr>
        <w:t>۱۲. ۲. ۱ مدل ارزش حال قیمت سهام</w:t>
      </w:r>
    </w:p>
    <w:p w14:paraId="3C7CA585"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مدل ارزش گذاری سنتی سهام</w:t>
      </w:r>
      <w:r w:rsidRPr="00B6450D">
        <w:rPr>
          <w:rStyle w:val="FootnoteReference"/>
          <w:rFonts w:eastAsiaTheme="majorEastAsia" w:cs="B Nazanin"/>
          <w:i/>
          <w:sz w:val="23"/>
          <w:szCs w:val="23"/>
          <w:rtl/>
        </w:rPr>
        <w:footnoteReference w:id="262"/>
      </w:r>
      <w:r w:rsidRPr="00B6450D">
        <w:rPr>
          <w:rFonts w:cs="B Nazanin" w:hint="cs"/>
          <w:i/>
          <w:sz w:val="23"/>
          <w:szCs w:val="23"/>
          <w:rtl/>
        </w:rPr>
        <w:t xml:space="preserve"> در واقع همان مدل ارزش حال می‌باشد. در اینجا فرض می</w:t>
      </w:r>
      <w:r w:rsidRPr="00B6450D">
        <w:rPr>
          <w:rFonts w:cs="B Nazanin"/>
          <w:i/>
          <w:sz w:val="23"/>
          <w:szCs w:val="23"/>
          <w:rtl/>
        </w:rPr>
        <w:softHyphen/>
      </w:r>
      <w:r w:rsidRPr="00B6450D">
        <w:rPr>
          <w:rFonts w:cs="B Nazanin" w:hint="cs"/>
          <w:i/>
          <w:sz w:val="23"/>
          <w:szCs w:val="23"/>
          <w:rtl/>
        </w:rPr>
        <w:t>شود که نرخ نهایی جانشینی عبارت است از</w:t>
      </w:r>
      <w:r w:rsidRPr="00B6450D">
        <w:rPr>
          <w:position w:val="-22"/>
        </w:rPr>
        <w:object w:dxaOrig="1180" w:dyaOrig="560" w14:anchorId="06772A2C">
          <v:shape id="_x0000_i5199" type="#_x0000_t75" style="width:59.3pt;height:27.85pt" o:ole="">
            <v:imagedata r:id="rId8396" o:title=""/>
          </v:shape>
          <o:OLEObject Type="Embed" ProgID="Equation.DSMT4" ShapeID="_x0000_i5199" DrawAspect="Content" ObjectID="_1791379143" r:id="rId8397"/>
        </w:object>
      </w:r>
      <w:r w:rsidRPr="00B6450D">
        <w:rPr>
          <w:rFonts w:cs="B Nazanin" w:hint="cs"/>
          <w:i/>
          <w:sz w:val="23"/>
          <w:szCs w:val="23"/>
          <w:rtl/>
        </w:rPr>
        <w:t>، بطوری</w:t>
      </w:r>
      <w:r w:rsidRPr="00B6450D">
        <w:rPr>
          <w:rFonts w:cs="B Nazanin"/>
          <w:i/>
          <w:sz w:val="23"/>
          <w:szCs w:val="23"/>
          <w:rtl/>
        </w:rPr>
        <w:softHyphen/>
      </w:r>
      <w:r w:rsidRPr="00B6450D">
        <w:rPr>
          <w:rFonts w:cs="B Nazanin" w:hint="cs"/>
          <w:i/>
          <w:sz w:val="23"/>
          <w:szCs w:val="23"/>
          <w:rtl/>
        </w:rPr>
        <w:t>که نرخ بازدهی انتظاری سهام در زمان</w:t>
      </w:r>
      <w:r w:rsidRPr="00B6450D">
        <w:rPr>
          <w:position w:val="-6"/>
        </w:rPr>
        <w:object w:dxaOrig="440" w:dyaOrig="260" w14:anchorId="249999E6">
          <v:shape id="_x0000_i5200" type="#_x0000_t75" style="width:21.8pt;height:12.7pt" o:ole="">
            <v:imagedata r:id="rId8398" o:title=""/>
          </v:shape>
          <o:OLEObject Type="Embed" ProgID="Equation.DSMT4" ShapeID="_x0000_i5200" DrawAspect="Content" ObjectID="_1791379144" r:id="rId8399"/>
        </w:object>
      </w:r>
      <w:r w:rsidRPr="00B6450D">
        <w:rPr>
          <w:rFonts w:cs="B Nazanin" w:hint="cs"/>
          <w:i/>
          <w:sz w:val="23"/>
          <w:szCs w:val="23"/>
          <w:rtl/>
        </w:rPr>
        <w:t xml:space="preserve"> بر مبنای اطلاعات در زمان</w:t>
      </w:r>
      <w:r w:rsidRPr="00B6450D">
        <w:rPr>
          <w:position w:val="-6"/>
        </w:rPr>
        <w:object w:dxaOrig="139" w:dyaOrig="240" w14:anchorId="33B1E412">
          <v:shape id="_x0000_i5201" type="#_x0000_t75" style="width:6.65pt;height:12.1pt" o:ole="">
            <v:imagedata r:id="rId8400" o:title=""/>
          </v:shape>
          <o:OLEObject Type="Embed" ProgID="Equation.DSMT4" ShapeID="_x0000_i5201" DrawAspect="Content" ObjectID="_1791379145" r:id="rId8401"/>
        </w:object>
      </w:r>
      <w:r w:rsidRPr="00B6450D">
        <w:rPr>
          <w:rFonts w:cs="B Nazanin"/>
          <w:i/>
          <w:sz w:val="23"/>
          <w:szCs w:val="23"/>
        </w:rPr>
        <w:t xml:space="preserve"> </w:t>
      </w:r>
      <w:r w:rsidRPr="00B6450D">
        <w:rPr>
          <w:rFonts w:cs="B Nazanin" w:hint="cs"/>
          <w:i/>
          <w:sz w:val="23"/>
          <w:szCs w:val="23"/>
          <w:rtl/>
        </w:rPr>
        <w:t>برابر است</w:t>
      </w:r>
      <w:r w:rsidRPr="00B6450D">
        <w:rPr>
          <w:position w:val="-10"/>
        </w:rPr>
        <w:object w:dxaOrig="920" w:dyaOrig="320" w14:anchorId="4A87665F">
          <v:shape id="_x0000_i5202" type="#_x0000_t75" style="width:46pt;height:15.75pt" o:ole="">
            <v:imagedata r:id="rId8402" o:title=""/>
          </v:shape>
          <o:OLEObject Type="Embed" ProgID="Equation.DSMT4" ShapeID="_x0000_i5202" DrawAspect="Content" ObjectID="_1791379146" r:id="rId8403"/>
        </w:object>
      </w:r>
      <w:r w:rsidRPr="00B6450D">
        <w:rPr>
          <w:rFonts w:cs="B Nazanin" w:hint="cs"/>
          <w:i/>
          <w:sz w:val="23"/>
          <w:szCs w:val="23"/>
          <w:rtl/>
        </w:rPr>
        <w:t>، که در آن</w:t>
      </w:r>
      <w:r w:rsidRPr="00B6450D">
        <w:rPr>
          <w:position w:val="-6"/>
        </w:rPr>
        <w:object w:dxaOrig="220" w:dyaOrig="200" w14:anchorId="476F3090">
          <v:shape id="_x0000_i5203" type="#_x0000_t75" style="width:10.9pt;height:10.3pt" o:ole="">
            <v:imagedata r:id="rId8404" o:title=""/>
          </v:shape>
          <o:OLEObject Type="Embed" ProgID="Equation.DSMT4" ShapeID="_x0000_i5203" DrawAspect="Content" ObjectID="_1791379147" r:id="rId8405"/>
        </w:object>
      </w:r>
      <w:r w:rsidRPr="00B6450D">
        <w:rPr>
          <w:rFonts w:cs="B Nazanin" w:hint="cs"/>
          <w:i/>
          <w:sz w:val="23"/>
          <w:szCs w:val="23"/>
          <w:rtl/>
        </w:rPr>
        <w:t xml:space="preserve"> ثابت است. بنابراین شرط عدم وجود آربیتراژ متناظر است با فرض این</w:t>
      </w:r>
      <w:r w:rsidRPr="00B6450D">
        <w:rPr>
          <w:rFonts w:cs="B Nazanin"/>
          <w:i/>
          <w:sz w:val="23"/>
          <w:szCs w:val="23"/>
          <w:rtl/>
        </w:rPr>
        <w:softHyphen/>
      </w:r>
      <w:r w:rsidRPr="00B6450D">
        <w:rPr>
          <w:rFonts w:cs="B Nazanin" w:hint="cs"/>
          <w:i/>
          <w:sz w:val="23"/>
          <w:szCs w:val="23"/>
          <w:rtl/>
        </w:rPr>
        <w:t>که</w:t>
      </w:r>
      <w:r w:rsidRPr="00B6450D">
        <w:rPr>
          <w:position w:val="-10"/>
        </w:rPr>
        <w:object w:dxaOrig="1040" w:dyaOrig="340" w14:anchorId="0FA6ED4A">
          <v:shape id="_x0000_i5204" type="#_x0000_t75" style="width:52.05pt;height:16.95pt" o:ole="">
            <v:imagedata r:id="rId8406" o:title=""/>
          </v:shape>
          <o:OLEObject Type="Embed" ProgID="Equation.DSMT4" ShapeID="_x0000_i5204" DrawAspect="Content" ObjectID="_1791379148" r:id="rId8407"/>
        </w:object>
      </w:r>
      <w:r w:rsidRPr="00B6450D">
        <w:rPr>
          <w:rFonts w:cs="B Nazanin" w:hint="cs"/>
          <w:i/>
          <w:sz w:val="23"/>
          <w:szCs w:val="23"/>
          <w:rtl/>
        </w:rPr>
        <w:t xml:space="preserve"> باشد. در واقع فرض می‌شود که پاداش ریسک وجود ندارد و یا این</w:t>
      </w:r>
      <w:r w:rsidRPr="00B6450D">
        <w:rPr>
          <w:rFonts w:cs="B Nazanin"/>
          <w:i/>
          <w:sz w:val="23"/>
          <w:szCs w:val="23"/>
          <w:rtl/>
        </w:rPr>
        <w:softHyphen/>
      </w:r>
      <w:r w:rsidRPr="00B6450D">
        <w:rPr>
          <w:rFonts w:cs="B Nazanin" w:hint="cs"/>
          <w:i/>
          <w:sz w:val="23"/>
          <w:szCs w:val="23"/>
          <w:rtl/>
        </w:rPr>
        <w:t>که نرخ بهره</w:t>
      </w:r>
      <w:r w:rsidRPr="00B6450D">
        <w:rPr>
          <w:rFonts w:cs="B Nazanin" w:hint="cs"/>
          <w:i/>
          <w:sz w:val="23"/>
          <w:szCs w:val="23"/>
          <w:rtl/>
        </w:rPr>
        <w:softHyphen/>
        <w:t>ی بدون ریسک ثابت است. در این صورت قیمت سهام برابر است با:</w:t>
      </w:r>
    </w:p>
    <w:p w14:paraId="14E6BCC2" w14:textId="77777777" w:rsidR="00556C10" w:rsidRPr="00B6450D" w:rsidRDefault="00556C10" w:rsidP="00556C10">
      <w:pPr>
        <w:pStyle w:val="NormalWeb"/>
        <w:tabs>
          <w:tab w:val="right" w:pos="-83"/>
          <w:tab w:val="right" w:pos="7"/>
        </w:tabs>
        <w:spacing w:before="0" w:beforeAutospacing="0" w:after="0" w:afterAutospacing="0" w:line="216" w:lineRule="auto"/>
        <w:jc w:val="both"/>
        <w:rPr>
          <w:rFonts w:cs="B Nazanin"/>
          <w:i/>
          <w:sz w:val="23"/>
          <w:szCs w:val="23"/>
          <w:rtl/>
        </w:rPr>
      </w:pPr>
      <w:r w:rsidRPr="00B6450D">
        <w:rPr>
          <w:position w:val="-22"/>
        </w:rPr>
        <w:object w:dxaOrig="2240" w:dyaOrig="560" w14:anchorId="11E9F5B8">
          <v:shape id="_x0000_i5205" type="#_x0000_t75" style="width:111.95pt;height:27.85pt" o:ole="">
            <v:imagedata r:id="rId8408" o:title=""/>
          </v:shape>
          <o:OLEObject Type="Embed" ProgID="Equation.DSMT4" ShapeID="_x0000_i5205" DrawAspect="Content" ObjectID="_1791379149" r:id="rId8409"/>
        </w:object>
      </w:r>
      <w:r w:rsidRPr="00B6450D">
        <w:rPr>
          <w:rFonts w:cs="B Nazanin" w:hint="cs"/>
          <w:i/>
          <w:sz w:val="23"/>
          <w:szCs w:val="23"/>
          <w:rtl/>
        </w:rPr>
        <w:tab/>
      </w:r>
      <w:r w:rsidRPr="00B6450D">
        <w:rPr>
          <w:rFonts w:cs="B Nazanin" w:hint="cs"/>
          <w:i/>
          <w:sz w:val="23"/>
          <w:szCs w:val="23"/>
          <w:rtl/>
        </w:rPr>
        <w:tab/>
      </w:r>
      <w:r w:rsidRPr="00B6450D">
        <w:rPr>
          <w:rFonts w:cs="B Nazanin" w:hint="cs"/>
          <w:i/>
          <w:sz w:val="23"/>
          <w:szCs w:val="23"/>
          <w:rtl/>
        </w:rPr>
        <w:tab/>
      </w:r>
      <w:r w:rsidRPr="00B6450D">
        <w:rPr>
          <w:rFonts w:cs="B Nazanin"/>
          <w:i/>
          <w:sz w:val="23"/>
          <w:szCs w:val="23"/>
        </w:rPr>
        <w:tab/>
      </w:r>
      <w:r w:rsidRPr="00B6450D">
        <w:rPr>
          <w:rFonts w:cs="B Nazanin"/>
          <w:i/>
          <w:sz w:val="23"/>
          <w:szCs w:val="23"/>
        </w:rPr>
        <w:tab/>
      </w:r>
      <w:r w:rsidRPr="00B6450D">
        <w:rPr>
          <w:rFonts w:cs="B Nazanin"/>
          <w:i/>
          <w:sz w:val="23"/>
          <w:szCs w:val="23"/>
        </w:rPr>
        <w:tab/>
      </w:r>
      <w:r w:rsidRPr="00B6450D">
        <w:rPr>
          <w:rFonts w:cs="B Nazanin"/>
          <w:i/>
          <w:sz w:val="23"/>
          <w:szCs w:val="23"/>
        </w:rPr>
        <w:tab/>
      </w:r>
      <w:r w:rsidRPr="00B6450D">
        <w:rPr>
          <w:rFonts w:cs="B Nazanin"/>
          <w:i/>
          <w:sz w:val="23"/>
          <w:szCs w:val="23"/>
        </w:rPr>
        <w:tab/>
      </w:r>
      <w:r w:rsidRPr="00B6450D">
        <w:rPr>
          <w:rFonts w:cs="B Nazanin"/>
          <w:i/>
          <w:sz w:val="23"/>
          <w:szCs w:val="23"/>
        </w:rPr>
        <w:tab/>
      </w:r>
      <w:r w:rsidRPr="00B6450D">
        <w:rPr>
          <w:rFonts w:cs="B Nazanin"/>
          <w:i/>
          <w:sz w:val="23"/>
          <w:szCs w:val="23"/>
        </w:rPr>
        <w:tab/>
      </w:r>
      <w:r>
        <w:rPr>
          <w:rFonts w:cs="B Nazanin"/>
          <w:i/>
          <w:sz w:val="23"/>
          <w:szCs w:val="23"/>
          <w:rtl/>
        </w:rPr>
        <w:tab/>
      </w:r>
      <w:r w:rsidRPr="00B6450D">
        <w:rPr>
          <w:rFonts w:cs="B Nazanin"/>
          <w:i/>
          <w:sz w:val="23"/>
          <w:szCs w:val="23"/>
        </w:rPr>
        <w:tab/>
      </w:r>
      <w:r w:rsidRPr="00B6450D">
        <w:rPr>
          <w:rFonts w:cs="B Nazanin" w:hint="cs"/>
          <w:i/>
          <w:sz w:val="23"/>
          <w:szCs w:val="23"/>
          <w:rtl/>
        </w:rPr>
        <w:tab/>
      </w:r>
      <w:r w:rsidRPr="00B6450D">
        <w:rPr>
          <w:rFonts w:cs="B Nazanin" w:hint="cs"/>
          <w:i/>
          <w:sz w:val="23"/>
          <w:szCs w:val="23"/>
          <w:rtl/>
        </w:rPr>
        <w:tab/>
        <w:t>(۱۲. ۳)</w:t>
      </w:r>
    </w:p>
    <w:p w14:paraId="72E40A75" w14:textId="77777777" w:rsidR="00556C10" w:rsidRPr="00B6450D" w:rsidRDefault="00556C10" w:rsidP="00556C10">
      <w:pPr>
        <w:pStyle w:val="NormalWeb"/>
        <w:tabs>
          <w:tab w:val="right" w:pos="-83"/>
          <w:tab w:val="right" w:pos="7"/>
        </w:tabs>
        <w:spacing w:before="0" w:beforeAutospacing="0" w:after="0" w:afterAutospacing="0" w:line="216" w:lineRule="auto"/>
        <w:jc w:val="both"/>
        <w:rPr>
          <w:rFonts w:cs="B Nazanin"/>
          <w:i/>
          <w:sz w:val="23"/>
          <w:szCs w:val="23"/>
          <w:rtl/>
        </w:rPr>
      </w:pPr>
      <w:r w:rsidRPr="00B6450D">
        <w:rPr>
          <w:position w:val="-34"/>
        </w:rPr>
        <w:object w:dxaOrig="2740" w:dyaOrig="760" w14:anchorId="57845268">
          <v:shape id="_x0000_i5206" type="#_x0000_t75" style="width:137.35pt;height:38.1pt" o:ole="">
            <v:imagedata r:id="rId8410" o:title=""/>
          </v:shape>
          <o:OLEObject Type="Embed" ProgID="Equation.DSMT4" ShapeID="_x0000_i5206" DrawAspect="Content" ObjectID="_1791379150" r:id="rId8411"/>
        </w:object>
      </w:r>
      <w:r w:rsidRPr="00B6450D">
        <w:rPr>
          <w:rFonts w:cs="B Nazanin"/>
          <w:i/>
          <w:sz w:val="23"/>
          <w:szCs w:val="23"/>
        </w:rPr>
        <w:tab/>
      </w:r>
      <w:r w:rsidRPr="00B6450D">
        <w:rPr>
          <w:rFonts w:cs="B Nazanin" w:hint="cs"/>
          <w:i/>
          <w:sz w:val="23"/>
          <w:szCs w:val="23"/>
        </w:rPr>
        <w:t xml:space="preserve"> </w:t>
      </w:r>
      <w:r w:rsidRPr="00B6450D">
        <w:rPr>
          <w:rFonts w:cs="B Nazanin" w:hint="cs"/>
          <w:i/>
          <w:sz w:val="23"/>
          <w:szCs w:val="23"/>
          <w:rtl/>
        </w:rPr>
        <w:tab/>
      </w:r>
      <w:r w:rsidRPr="00B6450D">
        <w:rPr>
          <w:rFonts w:cs="B Nazanin" w:hint="cs"/>
          <w:i/>
          <w:sz w:val="23"/>
          <w:szCs w:val="23"/>
          <w:rtl/>
        </w:rPr>
        <w:tab/>
      </w:r>
      <w:r w:rsidRPr="00B6450D">
        <w:rPr>
          <w:rFonts w:cs="B Nazanin"/>
          <w:i/>
          <w:sz w:val="23"/>
          <w:szCs w:val="23"/>
        </w:rPr>
        <w:tab/>
      </w:r>
      <w:r w:rsidRPr="00B6450D">
        <w:rPr>
          <w:rFonts w:cs="B Nazanin"/>
          <w:i/>
          <w:sz w:val="23"/>
          <w:szCs w:val="23"/>
        </w:rPr>
        <w:tab/>
      </w:r>
      <w:r w:rsidRPr="00B6450D">
        <w:rPr>
          <w:rFonts w:cs="B Nazanin"/>
          <w:i/>
          <w:sz w:val="23"/>
          <w:szCs w:val="23"/>
        </w:rPr>
        <w:tab/>
      </w:r>
      <w:r w:rsidRPr="00B6450D">
        <w:rPr>
          <w:rFonts w:cs="B Nazanin"/>
          <w:i/>
          <w:sz w:val="23"/>
          <w:szCs w:val="23"/>
        </w:rPr>
        <w:tab/>
      </w:r>
      <w:r w:rsidRPr="00B6450D">
        <w:rPr>
          <w:rFonts w:cs="B Nazanin"/>
          <w:i/>
          <w:sz w:val="23"/>
          <w:szCs w:val="23"/>
        </w:rPr>
        <w:tab/>
      </w:r>
      <w:r w:rsidRPr="00B6450D">
        <w:rPr>
          <w:rFonts w:cs="B Nazanin"/>
          <w:i/>
          <w:sz w:val="23"/>
          <w:szCs w:val="23"/>
          <w:rtl/>
        </w:rPr>
        <w:tab/>
      </w:r>
      <w:r>
        <w:rPr>
          <w:rFonts w:cs="B Nazanin"/>
          <w:i/>
          <w:sz w:val="23"/>
          <w:szCs w:val="23"/>
          <w:rtl/>
        </w:rPr>
        <w:tab/>
      </w:r>
      <w:r w:rsidRPr="00B6450D">
        <w:rPr>
          <w:rFonts w:cs="B Nazanin" w:hint="cs"/>
          <w:i/>
          <w:sz w:val="23"/>
          <w:szCs w:val="23"/>
          <w:rtl/>
        </w:rPr>
        <w:tab/>
      </w:r>
      <w:r w:rsidRPr="00B6450D">
        <w:rPr>
          <w:rFonts w:cs="B Nazanin"/>
          <w:i/>
          <w:sz w:val="23"/>
          <w:szCs w:val="23"/>
        </w:rPr>
        <w:tab/>
      </w:r>
      <w:r w:rsidRPr="00B6450D">
        <w:rPr>
          <w:rFonts w:cs="B Nazanin" w:hint="cs"/>
          <w:i/>
          <w:sz w:val="23"/>
          <w:szCs w:val="23"/>
          <w:rtl/>
        </w:rPr>
        <w:t>(۱۲. ۴)</w:t>
      </w:r>
    </w:p>
    <w:p w14:paraId="31721C3F"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Pr>
      </w:pPr>
      <w:r w:rsidRPr="00B6450D">
        <w:rPr>
          <w:rFonts w:cs="B Nazanin" w:hint="cs"/>
          <w:i/>
          <w:sz w:val="23"/>
          <w:szCs w:val="23"/>
          <w:rtl/>
        </w:rPr>
        <w:t>با توجه به شرط تراگردی</w:t>
      </w:r>
      <w:r w:rsidRPr="00B6450D">
        <w:rPr>
          <w:position w:val="-18"/>
        </w:rPr>
        <w:object w:dxaOrig="2439" w:dyaOrig="480" w14:anchorId="0A5A5353">
          <v:shape id="_x0000_i5207" type="#_x0000_t75" style="width:121.6pt;height:24.2pt" o:ole="">
            <v:imagedata r:id="rId8412" o:title=""/>
          </v:shape>
          <o:OLEObject Type="Embed" ProgID="Equation.DSMT4" ShapeID="_x0000_i5207" DrawAspect="Content" ObjectID="_1791379151" r:id="rId8413"/>
        </w:object>
      </w:r>
      <w:r w:rsidRPr="00B6450D">
        <w:rPr>
          <w:rFonts w:cs="B Nazanin" w:hint="cs"/>
          <w:i/>
          <w:sz w:val="23"/>
          <w:szCs w:val="23"/>
          <w:rtl/>
        </w:rPr>
        <w:t xml:space="preserve"> که مستلزم آن است که نرخ متوسط سود </w:t>
      </w:r>
    </w:p>
    <w:p w14:paraId="01B26C8A"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lastRenderedPageBreak/>
        <w:t>سرمایه</w:t>
      </w:r>
      <w:r w:rsidRPr="00B6450D">
        <w:rPr>
          <w:rFonts w:cs="B Nazanin"/>
          <w:i/>
          <w:sz w:val="23"/>
          <w:szCs w:val="23"/>
          <w:rtl/>
        </w:rPr>
        <w:softHyphen/>
      </w:r>
      <w:r w:rsidRPr="00B6450D">
        <w:rPr>
          <w:rFonts w:cs="B Nazanin" w:hint="cs"/>
          <w:i/>
          <w:sz w:val="23"/>
          <w:szCs w:val="23"/>
          <w:rtl/>
        </w:rPr>
        <w:t>ی سهام نباید بیشتر از نرخ تنزیل</w:t>
      </w:r>
      <w:r w:rsidRPr="00B6450D">
        <w:rPr>
          <w:position w:val="-6"/>
        </w:rPr>
        <w:object w:dxaOrig="220" w:dyaOrig="200" w14:anchorId="463B4E13">
          <v:shape id="_x0000_i5208" type="#_x0000_t75" style="width:10.9pt;height:10.3pt" o:ole="">
            <v:imagedata r:id="rId8414" o:title=""/>
          </v:shape>
          <o:OLEObject Type="Embed" ProgID="Equation.DSMT4" ShapeID="_x0000_i5208" DrawAspect="Content" ObjectID="_1791379152" r:id="rId8415"/>
        </w:object>
      </w:r>
      <w:r w:rsidRPr="00B6450D">
        <w:rPr>
          <w:rFonts w:cs="B Nazanin" w:hint="cs"/>
          <w:i/>
          <w:sz w:val="23"/>
          <w:szCs w:val="23"/>
          <w:rtl/>
        </w:rPr>
        <w:t xml:space="preserve"> باشد،</w:t>
      </w:r>
      <w:r w:rsidRPr="00B6450D">
        <w:rPr>
          <w:position w:val="-10"/>
        </w:rPr>
        <w:object w:dxaOrig="240" w:dyaOrig="320" w14:anchorId="6C2F0E35">
          <v:shape id="_x0000_i5209" type="#_x0000_t75" style="width:12.1pt;height:15.75pt" o:ole="">
            <v:imagedata r:id="rId8416" o:title=""/>
          </v:shape>
          <o:OLEObject Type="Embed" ProgID="Equation.DSMT4" ShapeID="_x0000_i5209" DrawAspect="Content" ObjectID="_1791379153" r:id="rId8417"/>
        </w:object>
      </w:r>
      <w:r w:rsidRPr="00B6450D">
        <w:rPr>
          <w:rFonts w:cs="B Nazanin" w:hint="cs"/>
          <w:i/>
          <w:sz w:val="23"/>
          <w:szCs w:val="23"/>
          <w:rtl/>
        </w:rPr>
        <w:t xml:space="preserve"> را بر حسب ارزش حال سودهای سهام جاری و آتی تنزیل شده به دست خواهیم آورد:</w:t>
      </w:r>
    </w:p>
    <w:p w14:paraId="34FAA0D5" w14:textId="77777777" w:rsidR="00556C10" w:rsidRPr="00B6450D" w:rsidRDefault="00556C10" w:rsidP="00556C10">
      <w:pPr>
        <w:pStyle w:val="NormalWeb"/>
        <w:tabs>
          <w:tab w:val="right" w:pos="-83"/>
          <w:tab w:val="right" w:pos="7"/>
        </w:tabs>
        <w:spacing w:before="0" w:beforeAutospacing="0" w:after="0" w:afterAutospacing="0" w:line="216" w:lineRule="auto"/>
        <w:jc w:val="both"/>
        <w:rPr>
          <w:rFonts w:cs="B Nazanin"/>
          <w:i/>
          <w:sz w:val="23"/>
          <w:szCs w:val="23"/>
        </w:rPr>
      </w:pPr>
      <w:r w:rsidRPr="00B6450D">
        <w:rPr>
          <w:position w:val="-34"/>
        </w:rPr>
        <w:object w:dxaOrig="1420" w:dyaOrig="700" w14:anchorId="64410941">
          <v:shape id="_x0000_i5210" type="#_x0000_t75" style="width:70.8pt;height:35.1pt" o:ole="">
            <v:imagedata r:id="rId8418" o:title=""/>
          </v:shape>
          <o:OLEObject Type="Embed" ProgID="Equation.DSMT4" ShapeID="_x0000_i5210" DrawAspect="Content" ObjectID="_1791379154" r:id="rId8419"/>
        </w:object>
      </w:r>
      <w:r w:rsidRPr="00B6450D">
        <w:rPr>
          <w:rFonts w:cs="B Nazanin" w:hint="cs"/>
          <w:i/>
          <w:sz w:val="23"/>
          <w:szCs w:val="23"/>
          <w:rtl/>
        </w:rPr>
        <w:tab/>
      </w:r>
      <w:r w:rsidRPr="00B6450D">
        <w:rPr>
          <w:rFonts w:cs="B Nazanin" w:hint="cs"/>
          <w:i/>
          <w:sz w:val="23"/>
          <w:szCs w:val="23"/>
          <w:rtl/>
        </w:rPr>
        <w:tab/>
      </w:r>
      <w:r w:rsidRPr="00B6450D">
        <w:rPr>
          <w:rFonts w:cs="B Nazanin" w:hint="cs"/>
          <w:i/>
          <w:sz w:val="23"/>
          <w:szCs w:val="23"/>
          <w:rtl/>
        </w:rPr>
        <w:tab/>
      </w:r>
      <w:r w:rsidRPr="00B6450D">
        <w:rPr>
          <w:rFonts w:cs="B Nazanin"/>
          <w:i/>
          <w:sz w:val="23"/>
          <w:szCs w:val="23"/>
        </w:rPr>
        <w:tab/>
      </w:r>
      <w:r w:rsidRPr="00B6450D">
        <w:rPr>
          <w:rFonts w:cs="B Nazanin"/>
          <w:i/>
          <w:sz w:val="23"/>
          <w:szCs w:val="23"/>
        </w:rPr>
        <w:tab/>
      </w:r>
      <w:r w:rsidRPr="00B6450D">
        <w:rPr>
          <w:rFonts w:cs="B Nazanin"/>
          <w:i/>
          <w:sz w:val="23"/>
          <w:szCs w:val="23"/>
        </w:rPr>
        <w:tab/>
      </w:r>
      <w:r w:rsidRPr="00B6450D">
        <w:rPr>
          <w:rFonts w:cs="B Nazanin"/>
          <w:i/>
          <w:sz w:val="23"/>
          <w:szCs w:val="23"/>
        </w:rPr>
        <w:tab/>
      </w:r>
      <w:r w:rsidRPr="00B6450D">
        <w:rPr>
          <w:rFonts w:cs="B Nazanin"/>
          <w:i/>
          <w:sz w:val="23"/>
          <w:szCs w:val="23"/>
        </w:rPr>
        <w:tab/>
      </w:r>
      <w:r w:rsidRPr="00B6450D">
        <w:rPr>
          <w:rFonts w:cs="B Nazanin"/>
          <w:i/>
          <w:sz w:val="23"/>
          <w:szCs w:val="23"/>
        </w:rPr>
        <w:tab/>
      </w:r>
      <w:r w:rsidRPr="00B6450D">
        <w:rPr>
          <w:rFonts w:cs="B Nazanin"/>
          <w:i/>
          <w:sz w:val="23"/>
          <w:szCs w:val="23"/>
        </w:rPr>
        <w:tab/>
      </w:r>
      <w:r w:rsidRPr="00B6450D">
        <w:rPr>
          <w:rFonts w:cs="B Nazanin"/>
          <w:i/>
          <w:sz w:val="23"/>
          <w:szCs w:val="23"/>
        </w:rPr>
        <w:tab/>
      </w:r>
      <w:r w:rsidRPr="00B6450D">
        <w:rPr>
          <w:rFonts w:cs="B Nazanin"/>
          <w:i/>
          <w:sz w:val="23"/>
          <w:szCs w:val="23"/>
        </w:rPr>
        <w:tab/>
      </w:r>
      <w:r w:rsidRPr="00B6450D">
        <w:rPr>
          <w:rFonts w:cs="B Nazanin" w:hint="cs"/>
          <w:i/>
          <w:sz w:val="23"/>
          <w:szCs w:val="23"/>
          <w:rtl/>
        </w:rPr>
        <w:tab/>
      </w:r>
      <w:r w:rsidRPr="00B6450D">
        <w:rPr>
          <w:rFonts w:cs="B Nazanin"/>
          <w:i/>
          <w:sz w:val="23"/>
          <w:szCs w:val="23"/>
        </w:rPr>
        <w:tab/>
      </w:r>
      <w:r>
        <w:rPr>
          <w:rFonts w:cs="B Nazanin"/>
          <w:i/>
          <w:sz w:val="23"/>
          <w:szCs w:val="23"/>
          <w:rtl/>
        </w:rPr>
        <w:tab/>
      </w:r>
      <w:r>
        <w:rPr>
          <w:rFonts w:cs="B Nazanin"/>
          <w:i/>
          <w:sz w:val="23"/>
          <w:szCs w:val="23"/>
          <w:rtl/>
        </w:rPr>
        <w:tab/>
      </w:r>
      <w:r w:rsidRPr="00B6450D">
        <w:rPr>
          <w:rFonts w:cs="B Nazanin" w:hint="cs"/>
          <w:i/>
          <w:sz w:val="23"/>
          <w:szCs w:val="23"/>
          <w:rtl/>
        </w:rPr>
        <w:tab/>
        <w:t>(۱۲. ۵)</w:t>
      </w:r>
    </w:p>
    <w:p w14:paraId="0DF8D5CA"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علی</w:t>
      </w:r>
      <w:r w:rsidRPr="00B6450D">
        <w:rPr>
          <w:rFonts w:cs="B Nazanin"/>
          <w:i/>
          <w:sz w:val="23"/>
          <w:szCs w:val="23"/>
          <w:rtl/>
        </w:rPr>
        <w:softHyphen/>
      </w:r>
      <w:r w:rsidRPr="00B6450D">
        <w:rPr>
          <w:rFonts w:cs="B Nazanin" w:hint="cs"/>
          <w:i/>
          <w:sz w:val="23"/>
          <w:szCs w:val="23"/>
          <w:rtl/>
        </w:rPr>
        <w:t>رغم کاربرد گسترده‌ی روش ارزش حال قیمت</w:t>
      </w:r>
      <w:r w:rsidRPr="00B6450D">
        <w:rPr>
          <w:rFonts w:cs="B Nazanin"/>
          <w:i/>
          <w:sz w:val="23"/>
          <w:szCs w:val="23"/>
          <w:rtl/>
        </w:rPr>
        <w:softHyphen/>
      </w:r>
      <w:r w:rsidRPr="00B6450D">
        <w:rPr>
          <w:rFonts w:cs="B Nazanin" w:hint="cs"/>
          <w:i/>
          <w:sz w:val="23"/>
          <w:szCs w:val="23"/>
          <w:rtl/>
        </w:rPr>
        <w:t>گذاری سهام، شواهد تجربی این مدل را قویاً رد</w:t>
      </w:r>
      <w:r w:rsidRPr="00B6450D">
        <w:rPr>
          <w:rFonts w:cs="Cambria" w:hint="cs"/>
          <w:i/>
          <w:sz w:val="23"/>
          <w:szCs w:val="23"/>
          <w:rtl/>
        </w:rPr>
        <w:t> </w:t>
      </w:r>
      <w:r w:rsidRPr="00B6450D">
        <w:rPr>
          <w:rFonts w:cs="B Nazanin" w:hint="cs"/>
          <w:i/>
          <w:sz w:val="23"/>
          <w:szCs w:val="23"/>
          <w:rtl/>
        </w:rPr>
        <w:t>می</w:t>
      </w:r>
      <w:r w:rsidRPr="00B6450D">
        <w:rPr>
          <w:rFonts w:cs="B Nazanin"/>
          <w:i/>
          <w:sz w:val="23"/>
          <w:szCs w:val="23"/>
        </w:rPr>
        <w:t>‌</w:t>
      </w:r>
      <w:r w:rsidRPr="00B6450D">
        <w:rPr>
          <w:rFonts w:cs="B Nazanin" w:hint="cs"/>
          <w:i/>
          <w:sz w:val="23"/>
          <w:szCs w:val="23"/>
          <w:rtl/>
        </w:rPr>
        <w:t>کند.</w:t>
      </w:r>
    </w:p>
    <w:p w14:paraId="1E2E58A9"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p>
    <w:p w14:paraId="730C20A9"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bCs/>
          <w:i/>
          <w:sz w:val="23"/>
          <w:szCs w:val="23"/>
          <w:rtl/>
        </w:rPr>
      </w:pPr>
      <w:r w:rsidRPr="00B6450D">
        <w:rPr>
          <w:rFonts w:cs="B Nazanin" w:hint="cs"/>
          <w:bCs/>
          <w:i/>
          <w:sz w:val="23"/>
          <w:szCs w:val="23"/>
          <w:rtl/>
        </w:rPr>
        <w:t>مدل سود سهام-رشد گوردن</w:t>
      </w:r>
    </w:p>
    <w:p w14:paraId="334DE85C"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مدل رشد سود سهام گوردن، با مدل ارزش حال به خاطر فرض رشد غیر صفر و ثابت نرخ انتظاری سودهای سهام متفاوت است.</w:t>
      </w:r>
      <w:r w:rsidRPr="00B6450D">
        <w:rPr>
          <w:rStyle w:val="FootnoteReference"/>
          <w:rFonts w:eastAsiaTheme="majorEastAsia" w:cs="B Nazanin"/>
          <w:i/>
          <w:sz w:val="23"/>
          <w:szCs w:val="23"/>
          <w:rtl/>
        </w:rPr>
        <w:footnoteReference w:id="263"/>
      </w:r>
      <w:r w:rsidRPr="00B6450D">
        <w:rPr>
          <w:rFonts w:cs="B Nazanin" w:hint="cs"/>
          <w:i/>
          <w:sz w:val="23"/>
          <w:szCs w:val="23"/>
        </w:rPr>
        <w:t xml:space="preserve"> </w:t>
      </w:r>
      <w:r w:rsidRPr="00B6450D">
        <w:rPr>
          <w:rFonts w:cs="B Nazanin" w:hint="cs"/>
          <w:i/>
          <w:sz w:val="23"/>
          <w:szCs w:val="23"/>
          <w:rtl/>
        </w:rPr>
        <w:t>اگر</w:t>
      </w:r>
    </w:p>
    <w:p w14:paraId="4ED7D9BA" w14:textId="77777777" w:rsidR="00556C10" w:rsidRPr="00B6450D" w:rsidRDefault="00556C10" w:rsidP="00556C10">
      <w:pPr>
        <w:pStyle w:val="NormalWeb"/>
        <w:tabs>
          <w:tab w:val="right" w:pos="-83"/>
          <w:tab w:val="right" w:pos="7"/>
        </w:tabs>
        <w:spacing w:before="0" w:beforeAutospacing="0" w:after="0" w:afterAutospacing="0" w:line="216" w:lineRule="auto"/>
        <w:jc w:val="both"/>
        <w:rPr>
          <w:rFonts w:cs="B Nazanin"/>
          <w:i/>
          <w:sz w:val="23"/>
          <w:szCs w:val="23"/>
          <w:rtl/>
        </w:rPr>
      </w:pPr>
      <w:r w:rsidRPr="00B6450D">
        <w:rPr>
          <w:position w:val="-28"/>
        </w:rPr>
        <w:object w:dxaOrig="1300" w:dyaOrig="639" w14:anchorId="2E0CE226">
          <v:shape id="_x0000_i5211" type="#_x0000_t75" style="width:65.35pt;height:31.45pt" o:ole="">
            <v:imagedata r:id="rId8420" o:title=""/>
          </v:shape>
          <o:OLEObject Type="Embed" ProgID="Equation.DSMT4" ShapeID="_x0000_i5211" DrawAspect="Content" ObjectID="_1791379155" r:id="rId8421"/>
        </w:object>
      </w:r>
    </w:p>
    <w:p w14:paraId="49C89946"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آنگاه</w:t>
      </w:r>
    </w:p>
    <w:p w14:paraId="2FACF111" w14:textId="77777777" w:rsidR="00556C10" w:rsidRPr="00B6450D" w:rsidRDefault="00556C10" w:rsidP="00556C10">
      <w:pPr>
        <w:pStyle w:val="NormalWeb"/>
        <w:tabs>
          <w:tab w:val="right" w:pos="-83"/>
          <w:tab w:val="right" w:pos="7"/>
        </w:tabs>
        <w:spacing w:before="0" w:beforeAutospacing="0" w:after="0" w:afterAutospacing="0" w:line="216" w:lineRule="auto"/>
        <w:jc w:val="both"/>
        <w:rPr>
          <w:rFonts w:cs="B Nazanin"/>
          <w:i/>
          <w:sz w:val="23"/>
          <w:szCs w:val="23"/>
        </w:rPr>
      </w:pPr>
      <w:r w:rsidRPr="00B6450D">
        <w:rPr>
          <w:position w:val="-28"/>
        </w:rPr>
        <w:object w:dxaOrig="4020" w:dyaOrig="720" w14:anchorId="3F4C95FC">
          <v:shape id="_x0000_i5212" type="#_x0000_t75" style="width:200.85pt;height:36.3pt" o:ole="">
            <v:imagedata r:id="rId8422" o:title=""/>
          </v:shape>
          <o:OLEObject Type="Embed" ProgID="Equation.DSMT4" ShapeID="_x0000_i5212" DrawAspect="Content" ObjectID="_1791379156" r:id="rId8423"/>
        </w:object>
      </w:r>
    </w:p>
    <w:p w14:paraId="18A8DC77"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بنابراین نسبت سود سهام به قیمت برابر است با</w:t>
      </w:r>
    </w:p>
    <w:p w14:paraId="211E790E" w14:textId="77777777" w:rsidR="00556C10" w:rsidRPr="00B6450D" w:rsidRDefault="00556C10" w:rsidP="00556C10">
      <w:pPr>
        <w:pStyle w:val="NormalWeb"/>
        <w:tabs>
          <w:tab w:val="right" w:pos="-83"/>
          <w:tab w:val="right" w:pos="7"/>
        </w:tabs>
        <w:spacing w:before="0" w:beforeAutospacing="0" w:after="0" w:afterAutospacing="0" w:line="216" w:lineRule="auto"/>
        <w:jc w:val="both"/>
        <w:rPr>
          <w:rFonts w:cs="B Nazanin"/>
          <w:i/>
          <w:sz w:val="23"/>
          <w:szCs w:val="23"/>
        </w:rPr>
      </w:pPr>
      <w:r w:rsidRPr="00B6450D">
        <w:rPr>
          <w:position w:val="-28"/>
        </w:rPr>
        <w:object w:dxaOrig="1540" w:dyaOrig="639" w14:anchorId="7822B7A4">
          <v:shape id="_x0000_i5213" type="#_x0000_t75" style="width:76.85pt;height:31.45pt" o:ole="">
            <v:imagedata r:id="rId8424" o:title=""/>
          </v:shape>
          <o:OLEObject Type="Embed" ProgID="Equation.DSMT4" ShapeID="_x0000_i5213" DrawAspect="Content" ObjectID="_1791379157" r:id="rId8425"/>
        </w:object>
      </w:r>
    </w:p>
    <w:p w14:paraId="2916CDED"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در عمل، سود سهام نه تنها ثابت نیست، بلکه در اطراف مقدار ثابتی نیز نوسان نمی</w:t>
      </w:r>
      <w:r w:rsidRPr="00B6450D">
        <w:rPr>
          <w:rFonts w:cs="B Nazanin"/>
          <w:i/>
          <w:sz w:val="23"/>
          <w:szCs w:val="23"/>
          <w:rtl/>
        </w:rPr>
        <w:softHyphen/>
      </w:r>
      <w:r w:rsidRPr="00B6450D">
        <w:rPr>
          <w:rFonts w:cs="B Nazanin" w:hint="cs"/>
          <w:i/>
          <w:sz w:val="23"/>
          <w:szCs w:val="23"/>
          <w:rtl/>
        </w:rPr>
        <w:t>کند.</w:t>
      </w:r>
    </w:p>
    <w:p w14:paraId="6AE6CDA5"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اگر سودهای سهام نسبت ثابتی از درآمد</w:t>
      </w:r>
      <w:r w:rsidRPr="00B6450D">
        <w:rPr>
          <w:position w:val="-10"/>
        </w:rPr>
        <w:object w:dxaOrig="279" w:dyaOrig="320" w14:anchorId="66EBF946">
          <v:shape id="_x0000_i5214" type="#_x0000_t75" style="width:13.9pt;height:15.75pt" o:ole="">
            <v:imagedata r:id="rId8426" o:title=""/>
          </v:shape>
          <o:OLEObject Type="Embed" ProgID="Equation.DSMT4" ShapeID="_x0000_i5214" DrawAspect="Content" ObjectID="_1791379158" r:id="rId8427"/>
        </w:object>
      </w:r>
      <w:r w:rsidRPr="00B6450D">
        <w:rPr>
          <w:rFonts w:cs="B Nazanin" w:hint="cs"/>
          <w:i/>
          <w:sz w:val="23"/>
          <w:szCs w:val="23"/>
          <w:rtl/>
        </w:rPr>
        <w:t xml:space="preserve"> باشد، آنگاه</w:t>
      </w:r>
      <w:r w:rsidRPr="00B6450D">
        <w:rPr>
          <w:position w:val="-10"/>
        </w:rPr>
        <w:object w:dxaOrig="840" w:dyaOrig="320" w14:anchorId="05C6E573">
          <v:shape id="_x0000_i5215" type="#_x0000_t75" style="width:42.35pt;height:15.75pt" o:ole="">
            <v:imagedata r:id="rId8428" o:title=""/>
          </v:shape>
          <o:OLEObject Type="Embed" ProgID="Equation.DSMT4" ShapeID="_x0000_i5215" DrawAspect="Content" ObjectID="_1791379159" r:id="rId8429"/>
        </w:object>
      </w:r>
      <w:r w:rsidRPr="00B6450D">
        <w:rPr>
          <w:rFonts w:cs="B Nazanin" w:hint="cs"/>
          <w:i/>
          <w:sz w:val="23"/>
          <w:szCs w:val="23"/>
          <w:rtl/>
        </w:rPr>
        <w:t xml:space="preserve"> است، که در آن</w:t>
      </w:r>
      <w:r w:rsidRPr="00B6450D">
        <w:rPr>
          <w:position w:val="-6"/>
        </w:rPr>
        <w:object w:dxaOrig="200" w:dyaOrig="260" w14:anchorId="3A5D1949">
          <v:shape id="_x0000_i5216" type="#_x0000_t75" style="width:10.3pt;height:12.7pt" o:ole="">
            <v:imagedata r:id="rId8430" o:title=""/>
          </v:shape>
          <o:OLEObject Type="Embed" ProgID="Equation.DSMT4" ShapeID="_x0000_i5216" DrawAspect="Content" ObjectID="_1791379160" r:id="rId8431"/>
        </w:object>
      </w:r>
      <w:r w:rsidRPr="00B6450D">
        <w:rPr>
          <w:rFonts w:cs="B Nazanin" w:hint="cs"/>
          <w:i/>
          <w:sz w:val="23"/>
          <w:szCs w:val="23"/>
          <w:rtl/>
        </w:rPr>
        <w:t xml:space="preserve"> نسبت سود سهام توزیع شده است. درآمدها به ازای هر سهم،</w:t>
      </w:r>
      <w:r w:rsidRPr="00B6450D">
        <w:rPr>
          <w:position w:val="-10"/>
        </w:rPr>
        <w:object w:dxaOrig="200" w:dyaOrig="320" w14:anchorId="209FDB51">
          <v:shape id="_x0000_i5217" type="#_x0000_t75" style="width:10.3pt;height:15.75pt" o:ole="">
            <v:imagedata r:id="rId8432" o:title=""/>
          </v:shape>
          <o:OLEObject Type="Embed" ProgID="Equation.DSMT4" ShapeID="_x0000_i5217" DrawAspect="Content" ObjectID="_1791379161" r:id="rId8433"/>
        </w:object>
      </w:r>
      <w:r w:rsidRPr="00B6450D">
        <w:rPr>
          <w:rFonts w:cs="B Nazanin" w:hint="cs"/>
          <w:i/>
          <w:sz w:val="23"/>
          <w:szCs w:val="23"/>
          <w:rtl/>
        </w:rPr>
        <w:t>، عبارت است از</w:t>
      </w:r>
    </w:p>
    <w:p w14:paraId="336C16E6" w14:textId="77777777" w:rsidR="00556C10" w:rsidRPr="00B6450D" w:rsidRDefault="00556C10" w:rsidP="00556C10">
      <w:pPr>
        <w:pStyle w:val="NormalWeb"/>
        <w:tabs>
          <w:tab w:val="right" w:pos="-83"/>
          <w:tab w:val="right" w:pos="7"/>
        </w:tabs>
        <w:spacing w:before="0" w:beforeAutospacing="0" w:after="0" w:afterAutospacing="0" w:line="216" w:lineRule="auto"/>
        <w:jc w:val="both"/>
        <w:rPr>
          <w:rFonts w:cs="B Nazanin"/>
          <w:i/>
          <w:sz w:val="23"/>
          <w:szCs w:val="23"/>
        </w:rPr>
      </w:pPr>
      <w:r w:rsidRPr="00B6450D">
        <w:rPr>
          <w:position w:val="-28"/>
        </w:rPr>
        <w:object w:dxaOrig="2240" w:dyaOrig="660" w14:anchorId="2FAD6514">
          <v:shape id="_x0000_i5218" type="#_x0000_t75" style="width:111.95pt;height:33.3pt" o:ole="">
            <v:imagedata r:id="rId8434" o:title=""/>
          </v:shape>
          <o:OLEObject Type="Embed" ProgID="Equation.DSMT4" ShapeID="_x0000_i5218" DrawAspect="Content" ObjectID="_1791379162" r:id="rId8435"/>
        </w:object>
      </w:r>
    </w:p>
    <w:p w14:paraId="54B73505"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بنابراین قیمت سهام ممکن است به صورت زیر نوشته شود.</w:t>
      </w:r>
    </w:p>
    <w:p w14:paraId="1379D4E4" w14:textId="77777777" w:rsidR="00556C10" w:rsidRPr="00B6450D" w:rsidRDefault="00556C10" w:rsidP="00556C10">
      <w:pPr>
        <w:pStyle w:val="NormalWeb"/>
        <w:tabs>
          <w:tab w:val="right" w:pos="-83"/>
          <w:tab w:val="right" w:pos="7"/>
        </w:tabs>
        <w:spacing w:before="0" w:beforeAutospacing="0" w:after="0" w:afterAutospacing="0" w:line="216" w:lineRule="auto"/>
        <w:jc w:val="both"/>
        <w:rPr>
          <w:rFonts w:cs="B Nazanin"/>
          <w:i/>
          <w:sz w:val="23"/>
          <w:szCs w:val="23"/>
          <w:rtl/>
        </w:rPr>
      </w:pPr>
      <w:r w:rsidRPr="00B6450D">
        <w:rPr>
          <w:position w:val="-26"/>
        </w:rPr>
        <w:object w:dxaOrig="1140" w:dyaOrig="620" w14:anchorId="2A0B8204">
          <v:shape id="_x0000_i5219" type="#_x0000_t75" style="width:56.85pt;height:30.85pt" o:ole="">
            <v:imagedata r:id="rId8436" o:title=""/>
          </v:shape>
          <o:OLEObject Type="Embed" ProgID="Equation.DSMT4" ShapeID="_x0000_i5219" DrawAspect="Content" ObjectID="_1791379163" r:id="rId8437"/>
        </w:object>
      </w:r>
    </w:p>
    <w:p w14:paraId="43E8DAA9"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بنابراین</w:t>
      </w:r>
      <w:r w:rsidRPr="00B6450D">
        <w:rPr>
          <w:position w:val="-6"/>
        </w:rPr>
        <w:object w:dxaOrig="220" w:dyaOrig="200" w14:anchorId="16878D73">
          <v:shape id="_x0000_i5220" type="#_x0000_t75" style="width:10.9pt;height:10.3pt" o:ole="">
            <v:imagedata r:id="rId8438" o:title=""/>
          </v:shape>
          <o:OLEObject Type="Embed" ProgID="Equation.DSMT4" ShapeID="_x0000_i5220" DrawAspect="Content" ObjectID="_1791379164" r:id="rId8439"/>
        </w:object>
      </w:r>
      <w:r w:rsidRPr="00B6450D">
        <w:rPr>
          <w:rFonts w:cs="B Nazanin" w:hint="cs"/>
          <w:i/>
          <w:sz w:val="23"/>
          <w:szCs w:val="23"/>
          <w:rtl/>
        </w:rPr>
        <w:t xml:space="preserve"> یا بازدهی انتظاری سهام، به متوسط درآمد به ازای هر سهم</w:t>
      </w:r>
      <w:r w:rsidRPr="00B6450D">
        <w:rPr>
          <w:position w:val="-6"/>
        </w:rPr>
        <w:object w:dxaOrig="180" w:dyaOrig="200" w14:anchorId="694A3EE1">
          <v:shape id="_x0000_i5221" type="#_x0000_t75" style="width:9.1pt;height:10.3pt" o:ole="">
            <v:imagedata r:id="rId8440" o:title=""/>
          </v:shape>
          <o:OLEObject Type="Embed" ProgID="Equation.DSMT4" ShapeID="_x0000_i5221" DrawAspect="Content" ObjectID="_1791379165" r:id="rId8441"/>
        </w:object>
      </w:r>
      <w:r w:rsidRPr="00B6450D">
        <w:rPr>
          <w:rFonts w:cs="B Nazanin" w:hint="cs"/>
          <w:i/>
          <w:sz w:val="23"/>
          <w:szCs w:val="23"/>
          <w:rtl/>
        </w:rPr>
        <w:t xml:space="preserve"> از طریق رابطه زیر مرتبط می‌شود</w:t>
      </w:r>
    </w:p>
    <w:p w14:paraId="57196933" w14:textId="77777777" w:rsidR="00556C10" w:rsidRPr="00B6450D" w:rsidRDefault="00556C10" w:rsidP="00556C10">
      <w:pPr>
        <w:pStyle w:val="NormalWeb"/>
        <w:tabs>
          <w:tab w:val="right" w:pos="-83"/>
          <w:tab w:val="right" w:pos="7"/>
        </w:tabs>
        <w:spacing w:before="0" w:beforeAutospacing="0" w:after="0" w:afterAutospacing="0" w:line="216" w:lineRule="auto"/>
        <w:jc w:val="both"/>
        <w:rPr>
          <w:rFonts w:cs="B Nazanin"/>
          <w:i/>
          <w:sz w:val="23"/>
          <w:szCs w:val="23"/>
        </w:rPr>
      </w:pPr>
      <w:r w:rsidRPr="00B6450D">
        <w:rPr>
          <w:position w:val="-8"/>
        </w:rPr>
        <w:object w:dxaOrig="1120" w:dyaOrig="320" w14:anchorId="605B303A">
          <v:shape id="_x0000_i5222" type="#_x0000_t75" style="width:55.65pt;height:15.75pt" o:ole="">
            <v:imagedata r:id="rId8442" o:title=""/>
          </v:shape>
          <o:OLEObject Type="Embed" ProgID="Equation.DSMT4" ShapeID="_x0000_i5222" DrawAspect="Content" ObjectID="_1791379166" r:id="rId8443"/>
        </w:object>
      </w:r>
    </w:p>
    <w:p w14:paraId="04E5A146"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Pr>
      </w:pPr>
      <w:r w:rsidRPr="00B6450D">
        <w:rPr>
          <w:rFonts w:cs="B Nazanin" w:hint="cs"/>
          <w:i/>
          <w:sz w:val="23"/>
          <w:szCs w:val="23"/>
          <w:rtl/>
        </w:rPr>
        <w:t>این رابطه برای تصمیم در خصوص سرمایه‌گذاری مجددِ درآمد، و یا توزیع سود سهام مورد استفاده قرار می‌گیرد. اگر سود سهام توزیع شده</w:t>
      </w:r>
      <w:r w:rsidRPr="00B6450D">
        <w:rPr>
          <w:position w:val="-10"/>
        </w:rPr>
        <w:object w:dxaOrig="400" w:dyaOrig="320" w14:anchorId="25560FE4">
          <v:shape id="_x0000_i5223" type="#_x0000_t75" style="width:19.95pt;height:15.75pt" o:ole="">
            <v:imagedata r:id="rId8444" o:title=""/>
          </v:shape>
          <o:OLEObject Type="Embed" ProgID="Equation.DSMT4" ShapeID="_x0000_i5223" DrawAspect="Content" ObjectID="_1791379167" r:id="rId8445"/>
        </w:object>
      </w:r>
      <w:r w:rsidRPr="00B6450D">
        <w:rPr>
          <w:rFonts w:cs="B Nazanin" w:hint="cs"/>
          <w:i/>
          <w:sz w:val="23"/>
          <w:szCs w:val="23"/>
          <w:rtl/>
        </w:rPr>
        <w:t xml:space="preserve">باشد ، آنگاه مبلغی که مجدداً سرمایه‌گذاری می‌شود </w:t>
      </w:r>
      <w:r w:rsidRPr="00B6450D">
        <w:rPr>
          <w:rFonts w:cs="B Nazanin" w:hint="cs"/>
          <w:i/>
          <w:sz w:val="23"/>
          <w:szCs w:val="23"/>
          <w:rtl/>
        </w:rPr>
        <w:lastRenderedPageBreak/>
        <w:t>برابر با</w:t>
      </w:r>
      <w:r w:rsidRPr="00B6450D">
        <w:rPr>
          <w:position w:val="-12"/>
        </w:rPr>
        <w:object w:dxaOrig="859" w:dyaOrig="360" w14:anchorId="71AC6A1A">
          <v:shape id="_x0000_i5224" type="#_x0000_t75" style="width:42.95pt;height:18.15pt" o:ole="">
            <v:imagedata r:id="rId8446" o:title=""/>
          </v:shape>
          <o:OLEObject Type="Embed" ProgID="Equation.DSMT4" ShapeID="_x0000_i5224" DrawAspect="Content" ObjectID="_1791379168" r:id="rId8447"/>
        </w:object>
      </w:r>
      <w:r w:rsidRPr="00B6450D">
        <w:rPr>
          <w:rFonts w:cs="B Nazanin" w:hint="cs"/>
          <w:i/>
          <w:sz w:val="23"/>
          <w:szCs w:val="23"/>
          <w:rtl/>
        </w:rPr>
        <w:t xml:space="preserve"> است. اگر درآمد به دلیل سرمایه‌گذاری از طریق </w:t>
      </w:r>
      <w:r w:rsidRPr="00B6450D">
        <w:rPr>
          <w:position w:val="-10"/>
        </w:rPr>
        <w:object w:dxaOrig="820" w:dyaOrig="320" w14:anchorId="7E6F6433">
          <v:shape id="_x0000_i5225" type="#_x0000_t75" style="width:41.15pt;height:15.75pt" o:ole="">
            <v:imagedata r:id="rId8448" o:title=""/>
          </v:shape>
          <o:OLEObject Type="Embed" ProgID="Equation.DSMT4" ShapeID="_x0000_i5225" DrawAspect="Content" ObjectID="_1791379169" r:id="rId8449"/>
        </w:object>
      </w:r>
      <w:r w:rsidRPr="00B6450D">
        <w:rPr>
          <w:rFonts w:cs="B Nazanin" w:hint="cs"/>
          <w:i/>
          <w:sz w:val="23"/>
          <w:szCs w:val="23"/>
          <w:rtl/>
        </w:rPr>
        <w:t xml:space="preserve"> افزایش یابد ، آنگاه نرخ بازدهی سرمایه‌گذاری برابر می‌شود با:</w:t>
      </w:r>
    </w:p>
    <w:p w14:paraId="7868A270" w14:textId="77777777" w:rsidR="00556C10" w:rsidRPr="00B6450D" w:rsidRDefault="00556C10" w:rsidP="00556C10">
      <w:pPr>
        <w:pStyle w:val="NormalWeb"/>
        <w:tabs>
          <w:tab w:val="right" w:pos="-83"/>
          <w:tab w:val="right" w:pos="7"/>
        </w:tabs>
        <w:spacing w:before="0" w:beforeAutospacing="0" w:after="0" w:afterAutospacing="0" w:line="216" w:lineRule="auto"/>
        <w:jc w:val="both"/>
        <w:rPr>
          <w:rFonts w:cs="B Nazanin"/>
          <w:i/>
          <w:sz w:val="23"/>
          <w:szCs w:val="23"/>
        </w:rPr>
      </w:pPr>
      <w:r w:rsidRPr="00B6450D">
        <w:rPr>
          <w:position w:val="-30"/>
        </w:rPr>
        <w:object w:dxaOrig="1939" w:dyaOrig="680" w14:anchorId="1263E301">
          <v:shape id="_x0000_i5226" type="#_x0000_t75" style="width:96.8pt;height:33.9pt" o:ole="">
            <v:imagedata r:id="rId8450" o:title=""/>
          </v:shape>
          <o:OLEObject Type="Embed" ProgID="Equation.DSMT4" ShapeID="_x0000_i5226" DrawAspect="Content" ObjectID="_1791379170" r:id="rId8451"/>
        </w:object>
      </w:r>
    </w:p>
    <w:p w14:paraId="612CA2BD"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بطوری</w:t>
      </w:r>
      <w:r w:rsidRPr="00B6450D">
        <w:rPr>
          <w:rFonts w:cs="B Nazanin"/>
          <w:i/>
          <w:sz w:val="23"/>
          <w:szCs w:val="23"/>
          <w:rtl/>
        </w:rPr>
        <w:softHyphen/>
      </w:r>
      <w:r w:rsidRPr="00B6450D">
        <w:rPr>
          <w:rFonts w:cs="B Nazanin" w:hint="cs"/>
          <w:i/>
          <w:sz w:val="23"/>
          <w:szCs w:val="23"/>
          <w:rtl/>
        </w:rPr>
        <w:t>که نرخ رشد درآمدها برابر با سودهای سهام است. تصمیم در خصوص این</w:t>
      </w:r>
      <w:r w:rsidRPr="00B6450D">
        <w:rPr>
          <w:rFonts w:cs="B Nazanin"/>
          <w:i/>
          <w:sz w:val="23"/>
          <w:szCs w:val="23"/>
          <w:rtl/>
        </w:rPr>
        <w:softHyphen/>
      </w:r>
      <w:r w:rsidRPr="00B6450D">
        <w:rPr>
          <w:rFonts w:cs="B Nazanin" w:hint="cs"/>
          <w:i/>
          <w:sz w:val="23"/>
          <w:szCs w:val="23"/>
          <w:rtl/>
        </w:rPr>
        <w:t>که آیا سرمایه‌گذاری مجدد کرد و یا سود سهام را توزیع کرد به دامنه و اندازه</w:t>
      </w:r>
      <w:r w:rsidRPr="00B6450D">
        <w:rPr>
          <w:rFonts w:cs="B Nazanin"/>
          <w:i/>
          <w:sz w:val="23"/>
          <w:szCs w:val="23"/>
          <w:rtl/>
        </w:rPr>
        <w:softHyphen/>
      </w:r>
      <w:r w:rsidRPr="00B6450D">
        <w:rPr>
          <w:rFonts w:cs="B Nazanin" w:hint="cs"/>
          <w:i/>
          <w:sz w:val="23"/>
          <w:szCs w:val="23"/>
          <w:rtl/>
        </w:rPr>
        <w:t>ی</w:t>
      </w:r>
      <w:r w:rsidRPr="00B6450D">
        <w:rPr>
          <w:position w:val="-6"/>
        </w:rPr>
        <w:object w:dxaOrig="220" w:dyaOrig="200" w14:anchorId="1D085530">
          <v:shape id="_x0000_i5227" type="#_x0000_t75" style="width:10.9pt;height:10.3pt" o:ole="">
            <v:imagedata r:id="rId8452" o:title=""/>
          </v:shape>
          <o:OLEObject Type="Embed" ProgID="Equation.DSMT4" ShapeID="_x0000_i5227" DrawAspect="Content" ObjectID="_1791379171" r:id="rId8453"/>
        </w:object>
      </w:r>
      <w:r w:rsidRPr="00B6450D">
        <w:rPr>
          <w:rFonts w:cs="B Nazanin" w:hint="cs"/>
          <w:i/>
          <w:sz w:val="23"/>
          <w:szCs w:val="23"/>
          <w:rtl/>
        </w:rPr>
        <w:t xml:space="preserve"> و</w:t>
      </w:r>
      <w:r w:rsidRPr="00B6450D">
        <w:rPr>
          <w:position w:val="-10"/>
        </w:rPr>
        <w:object w:dxaOrig="220" w:dyaOrig="300" w14:anchorId="63B8D246">
          <v:shape id="_x0000_i5228" type="#_x0000_t75" style="width:10.9pt;height:15.15pt" o:ole="">
            <v:imagedata r:id="rId8454" o:title=""/>
          </v:shape>
          <o:OLEObject Type="Embed" ProgID="Equation.DSMT4" ShapeID="_x0000_i5228" DrawAspect="Content" ObjectID="_1791379172" r:id="rId8455"/>
        </w:object>
      </w:r>
      <w:r w:rsidRPr="00B6450D">
        <w:rPr>
          <w:rFonts w:cs="B Nazanin" w:hint="cs"/>
          <w:i/>
          <w:sz w:val="23"/>
          <w:szCs w:val="23"/>
          <w:rtl/>
        </w:rPr>
        <w:t xml:space="preserve"> بستگی دارد. اگر</w:t>
      </w:r>
      <w:r w:rsidRPr="00B6450D">
        <w:rPr>
          <w:position w:val="-10"/>
        </w:rPr>
        <w:object w:dxaOrig="600" w:dyaOrig="300" w14:anchorId="4467BE57">
          <v:shape id="_x0000_i5229" type="#_x0000_t75" style="width:29.65pt;height:15.15pt" o:ole="">
            <v:imagedata r:id="rId8456" o:title=""/>
          </v:shape>
          <o:OLEObject Type="Embed" ProgID="Equation.DSMT4" ShapeID="_x0000_i5229" DrawAspect="Content" ObjectID="_1791379173" r:id="rId8457"/>
        </w:object>
      </w:r>
      <w:r w:rsidRPr="00B6450D">
        <w:rPr>
          <w:rFonts w:cs="B Nazanin"/>
          <w:i/>
          <w:sz w:val="23"/>
          <w:szCs w:val="23"/>
          <w:rtl/>
        </w:rPr>
        <w:t xml:space="preserve"> </w:t>
      </w:r>
      <w:r w:rsidRPr="00B6450D">
        <w:rPr>
          <w:rFonts w:cs="B Nazanin" w:hint="cs"/>
          <w:i/>
          <w:sz w:val="23"/>
          <w:szCs w:val="23"/>
          <w:rtl/>
        </w:rPr>
        <w:t>باشد سرمایه‌گذاری مجدد، و اگر</w:t>
      </w:r>
      <w:r w:rsidRPr="00B6450D">
        <w:rPr>
          <w:position w:val="-10"/>
        </w:rPr>
        <w:object w:dxaOrig="580" w:dyaOrig="300" w14:anchorId="5AFDF38F">
          <v:shape id="_x0000_i5230" type="#_x0000_t75" style="width:29.05pt;height:15.15pt" o:ole="">
            <v:imagedata r:id="rId8458" o:title=""/>
          </v:shape>
          <o:OLEObject Type="Embed" ProgID="Equation.DSMT4" ShapeID="_x0000_i5230" DrawAspect="Content" ObjectID="_1791379174" r:id="rId8459"/>
        </w:object>
      </w:r>
      <w:r w:rsidRPr="00B6450D">
        <w:rPr>
          <w:rFonts w:cs="B Nazanin" w:hint="cs"/>
          <w:i/>
          <w:sz w:val="23"/>
          <w:szCs w:val="23"/>
          <w:rtl/>
        </w:rPr>
        <w:t xml:space="preserve"> باشد آنگاه سودهای سهام توزیع خواهد شد. هرچند، در عمل، درآمد به ازای هر سهم در سال‌های اخیر کاهش یافته و نسبت توزیع سودهای سهام ثابت نیست.</w:t>
      </w:r>
    </w:p>
    <w:p w14:paraId="086C16D6"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p>
    <w:p w14:paraId="35B4D1FB"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bCs/>
          <w:i/>
          <w:sz w:val="23"/>
          <w:szCs w:val="23"/>
          <w:rtl/>
        </w:rPr>
      </w:pPr>
      <w:r w:rsidRPr="00B6450D">
        <w:rPr>
          <w:rFonts w:cs="B Nazanin" w:hint="cs"/>
          <w:bCs/>
          <w:i/>
          <w:sz w:val="23"/>
          <w:szCs w:val="23"/>
          <w:rtl/>
        </w:rPr>
        <w:t>بازخرید سهام</w:t>
      </w:r>
    </w:p>
    <w:p w14:paraId="74E85389"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سود بنگاه‌ها ممکن است بین سهامداران توزیع، سرمایه‌گذاری و یا صرف بازخرید سهام همان بنگاه شود. در سال</w:t>
      </w:r>
      <w:r w:rsidRPr="00B6450D">
        <w:rPr>
          <w:rFonts w:cs="B Nazanin"/>
          <w:i/>
          <w:sz w:val="23"/>
          <w:szCs w:val="23"/>
        </w:rPr>
        <w:t>‌</w:t>
      </w:r>
      <w:r w:rsidRPr="00B6450D">
        <w:rPr>
          <w:rFonts w:cs="B Nazanin" w:hint="cs"/>
          <w:i/>
          <w:sz w:val="23"/>
          <w:szCs w:val="23"/>
          <w:rtl/>
        </w:rPr>
        <w:t>های اخیر روش سوم یعنی بازخرید سهام شرکت‌ها توسط همان شرکت به سرعت مقبولیت یافته است. بازخرید سهام توسط بنگاه ممکن است بدلیل پایین بودن قیمت سهام آن بنگاه، نقدینگی مازاد بنگاه، و همچنین عدم وجود انگیزه و مشوق لازم برای سرمایه‌گذاری مجدد بدلیل گرانی باشد. در این صورت تعریف نرخ بازدهی سهام</w:t>
      </w:r>
      <w:r w:rsidRPr="00B6450D">
        <w:rPr>
          <w:rFonts w:cs="B Nazanin"/>
          <w:i/>
          <w:sz w:val="23"/>
          <w:szCs w:val="23"/>
          <w:rtl/>
        </w:rPr>
        <w:t xml:space="preserve"> می</w:t>
      </w:r>
      <w:r w:rsidRPr="00B6450D">
        <w:rPr>
          <w:rFonts w:cs="B Nazanin" w:hint="cs"/>
          <w:i/>
          <w:sz w:val="23"/>
          <w:szCs w:val="23"/>
          <w:rtl/>
        </w:rPr>
        <w:t>‌بایست تعدیل شود.</w:t>
      </w:r>
    </w:p>
    <w:p w14:paraId="0FD9A84E"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قیمت سهم یا</w:t>
      </w:r>
      <w:r w:rsidRPr="00B6450D">
        <w:rPr>
          <w:position w:val="-10"/>
        </w:rPr>
        <w:object w:dxaOrig="240" w:dyaOrig="320" w14:anchorId="5B759AA0">
          <v:shape id="_x0000_i5231" type="#_x0000_t75" style="width:12.1pt;height:15.75pt" o:ole="">
            <v:imagedata r:id="rId8460" o:title=""/>
          </v:shape>
          <o:OLEObject Type="Embed" ProgID="Equation.DSMT4" ShapeID="_x0000_i5231" DrawAspect="Content" ObjectID="_1791379175" r:id="rId8461"/>
        </w:object>
      </w:r>
      <w:r w:rsidRPr="00B6450D">
        <w:rPr>
          <w:rFonts w:cs="B Nazanin" w:hint="cs"/>
          <w:i/>
          <w:sz w:val="23"/>
          <w:szCs w:val="23"/>
          <w:rtl/>
        </w:rPr>
        <w:t xml:space="preserve"> برابر است با ارزش بازاری بنگاه‌</w:t>
      </w:r>
      <w:r w:rsidRPr="00B6450D">
        <w:rPr>
          <w:position w:val="-10"/>
        </w:rPr>
        <w:object w:dxaOrig="240" w:dyaOrig="320" w14:anchorId="49B9D89F">
          <v:shape id="_x0000_i5232" type="#_x0000_t75" style="width:12.1pt;height:15.75pt" o:ole="">
            <v:imagedata r:id="rId8462" o:title=""/>
          </v:shape>
          <o:OLEObject Type="Embed" ProgID="Equation.DSMT4" ShapeID="_x0000_i5232" DrawAspect="Content" ObjectID="_1791379176" r:id="rId8463"/>
        </w:object>
      </w:r>
      <w:r w:rsidRPr="00B6450D">
        <w:rPr>
          <w:rFonts w:cs="B Nazanin" w:hint="cs"/>
          <w:i/>
          <w:sz w:val="23"/>
          <w:szCs w:val="23"/>
          <w:rtl/>
        </w:rPr>
        <w:t>تقسیم بر تعداد سهام‌</w:t>
      </w:r>
      <w:r w:rsidRPr="00B6450D">
        <w:rPr>
          <w:position w:val="-10"/>
        </w:rPr>
        <w:object w:dxaOrig="300" w:dyaOrig="320" w14:anchorId="79B82632">
          <v:shape id="_x0000_i5233" type="#_x0000_t75" style="width:15.15pt;height:15.75pt" o:ole="">
            <v:imagedata r:id="rId8464" o:title=""/>
          </v:shape>
          <o:OLEObject Type="Embed" ProgID="Equation.DSMT4" ShapeID="_x0000_i5233" DrawAspect="Content" ObjectID="_1791379177" r:id="rId8465"/>
        </w:object>
      </w:r>
      <w:r w:rsidRPr="00B6450D">
        <w:rPr>
          <w:rFonts w:hint="cs"/>
          <w:i/>
          <w:sz w:val="23"/>
          <w:szCs w:val="23"/>
          <w:rtl/>
        </w:rPr>
        <w:t>.</w:t>
      </w:r>
      <w:r w:rsidRPr="00B6450D">
        <w:rPr>
          <w:rFonts w:cs="B Nazanin" w:hint="cs"/>
          <w:i/>
          <w:sz w:val="23"/>
          <w:szCs w:val="23"/>
          <w:rtl/>
        </w:rPr>
        <w:t xml:space="preserve"> لذا</w:t>
      </w:r>
    </w:p>
    <w:p w14:paraId="2C1A83CA" w14:textId="77777777" w:rsidR="00556C10" w:rsidRPr="00B6450D" w:rsidRDefault="00556C10" w:rsidP="00556C10">
      <w:pPr>
        <w:pStyle w:val="NormalWeb"/>
        <w:tabs>
          <w:tab w:val="right" w:pos="-83"/>
          <w:tab w:val="right" w:pos="7"/>
        </w:tabs>
        <w:spacing w:before="0" w:beforeAutospacing="0" w:after="0" w:afterAutospacing="0" w:line="216" w:lineRule="auto"/>
        <w:jc w:val="both"/>
        <w:rPr>
          <w:rFonts w:cs="B Nazanin"/>
          <w:i/>
          <w:sz w:val="23"/>
          <w:szCs w:val="23"/>
        </w:rPr>
      </w:pPr>
      <w:r w:rsidRPr="00B6450D">
        <w:rPr>
          <w:position w:val="-28"/>
        </w:rPr>
        <w:object w:dxaOrig="780" w:dyaOrig="639" w14:anchorId="289E5596">
          <v:shape id="_x0000_i5234" type="#_x0000_t75" style="width:38.7pt;height:31.45pt" o:ole="">
            <v:imagedata r:id="rId8466" o:title=""/>
          </v:shape>
          <o:OLEObject Type="Embed" ProgID="Equation.DSMT4" ShapeID="_x0000_i5234" DrawAspect="Content" ObjectID="_1791379178" r:id="rId8467"/>
        </w:object>
      </w:r>
    </w:p>
    <w:p w14:paraId="103EB2DA"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Pr>
      </w:pPr>
      <w:r w:rsidRPr="00B6450D">
        <w:rPr>
          <w:rFonts w:cs="B Nazanin" w:hint="cs"/>
          <w:i/>
          <w:sz w:val="23"/>
          <w:szCs w:val="23"/>
          <w:rtl/>
        </w:rPr>
        <w:t>همچنین سود سهام به ازای هر سهم</w:t>
      </w:r>
      <w:r w:rsidRPr="00B6450D">
        <w:rPr>
          <w:position w:val="-10"/>
        </w:rPr>
        <w:object w:dxaOrig="279" w:dyaOrig="320" w14:anchorId="5D461410">
          <v:shape id="_x0000_i5235" type="#_x0000_t75" style="width:13.9pt;height:15.75pt" o:ole="">
            <v:imagedata r:id="rId8468" o:title=""/>
          </v:shape>
          <o:OLEObject Type="Embed" ProgID="Equation.DSMT4" ShapeID="_x0000_i5235" DrawAspect="Content" ObjectID="_1791379179" r:id="rId8469"/>
        </w:object>
      </w:r>
      <w:r w:rsidRPr="00B6450D">
        <w:rPr>
          <w:rFonts w:cs="B Nazanin" w:hint="cs"/>
          <w:i/>
          <w:sz w:val="23"/>
          <w:szCs w:val="23"/>
          <w:rtl/>
        </w:rPr>
        <w:t xml:space="preserve"> برابر است با کل سود سهام</w:t>
      </w:r>
      <w:r w:rsidRPr="00B6450D">
        <w:rPr>
          <w:position w:val="-10"/>
        </w:rPr>
        <w:object w:dxaOrig="340" w:dyaOrig="340" w14:anchorId="647C88F8">
          <v:shape id="_x0000_i5236" type="#_x0000_t75" style="width:16.95pt;height:16.95pt" o:ole="">
            <v:imagedata r:id="rId8470" o:title=""/>
          </v:shape>
          <o:OLEObject Type="Embed" ProgID="Equation.DSMT4" ShapeID="_x0000_i5236" DrawAspect="Content" ObjectID="_1791379180" r:id="rId8471"/>
        </w:object>
      </w:r>
      <w:r w:rsidRPr="00B6450D">
        <w:rPr>
          <w:rFonts w:cs="B Nazanin" w:hint="cs"/>
          <w:i/>
          <w:sz w:val="23"/>
          <w:szCs w:val="23"/>
          <w:rtl/>
        </w:rPr>
        <w:t xml:space="preserve"> تقسیم بر تعداد سهام</w:t>
      </w:r>
      <w:r w:rsidRPr="00B6450D">
        <w:rPr>
          <w:rFonts w:cs="B Nazanin"/>
          <w:i/>
          <w:sz w:val="23"/>
          <w:szCs w:val="23"/>
          <w:rtl/>
        </w:rPr>
        <w:softHyphen/>
      </w:r>
    </w:p>
    <w:p w14:paraId="50602033" w14:textId="77777777" w:rsidR="00556C10" w:rsidRPr="00B6450D" w:rsidRDefault="00556C10" w:rsidP="00556C10">
      <w:pPr>
        <w:pStyle w:val="NormalWeb"/>
        <w:tabs>
          <w:tab w:val="right" w:pos="-83"/>
          <w:tab w:val="right" w:pos="7"/>
        </w:tabs>
        <w:spacing w:before="0" w:beforeAutospacing="0" w:after="0" w:afterAutospacing="0" w:line="216" w:lineRule="auto"/>
        <w:jc w:val="both"/>
        <w:rPr>
          <w:rFonts w:cs="B Nazanin"/>
          <w:i/>
          <w:sz w:val="23"/>
          <w:szCs w:val="23"/>
          <w:rtl/>
        </w:rPr>
      </w:pPr>
      <w:r w:rsidRPr="00B6450D">
        <w:rPr>
          <w:position w:val="-28"/>
        </w:rPr>
        <w:object w:dxaOrig="859" w:dyaOrig="660" w14:anchorId="189F8629">
          <v:shape id="_x0000_i5237" type="#_x0000_t75" style="width:42.95pt;height:33.3pt" o:ole="">
            <v:imagedata r:id="rId8472" o:title=""/>
          </v:shape>
          <o:OLEObject Type="Embed" ProgID="Equation.DSMT4" ShapeID="_x0000_i5237" DrawAspect="Content" ObjectID="_1791379181" r:id="rId8473"/>
        </w:object>
      </w:r>
    </w:p>
    <w:p w14:paraId="12C0178D"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در نتیجه با بازخرید سهام مقدار سهم‌ها کاهش یافته، و لذا قیمت هر سهم و سود هر سهم افزایش خواهد یافت، و بالعکس. نرخ بازدهی سهامِ با بازخرید یعنی</w:t>
      </w:r>
      <w:r w:rsidRPr="00B6450D">
        <w:rPr>
          <w:position w:val="-10"/>
        </w:rPr>
        <w:object w:dxaOrig="360" w:dyaOrig="340" w14:anchorId="3AEA943C">
          <v:shape id="_x0000_i5238" type="#_x0000_t75" style="width:18.15pt;height:16.95pt" o:ole="">
            <v:imagedata r:id="rId8474" o:title=""/>
          </v:shape>
          <o:OLEObject Type="Embed" ProgID="Equation.DSMT4" ShapeID="_x0000_i5238" DrawAspect="Content" ObjectID="_1791379182" r:id="rId8475"/>
        </w:object>
      </w:r>
      <w:r w:rsidRPr="00B6450D">
        <w:rPr>
          <w:rFonts w:cs="B Nazanin" w:hint="cs"/>
          <w:i/>
          <w:sz w:val="23"/>
          <w:szCs w:val="23"/>
          <w:rtl/>
        </w:rPr>
        <w:t xml:space="preserve"> عبارت است از</w:t>
      </w:r>
    </w:p>
    <w:p w14:paraId="6E543996" w14:textId="77777777" w:rsidR="00556C10" w:rsidRPr="00B6450D" w:rsidRDefault="00556C10" w:rsidP="00556C10">
      <w:pPr>
        <w:pStyle w:val="NormalWeb"/>
        <w:tabs>
          <w:tab w:val="right" w:pos="-83"/>
          <w:tab w:val="right" w:pos="7"/>
        </w:tabs>
        <w:spacing w:before="0" w:beforeAutospacing="0" w:after="0" w:afterAutospacing="0" w:line="216" w:lineRule="auto"/>
        <w:jc w:val="both"/>
        <w:rPr>
          <w:rFonts w:cs="B Nazanin"/>
          <w:i/>
          <w:sz w:val="23"/>
          <w:szCs w:val="23"/>
        </w:rPr>
      </w:pPr>
      <w:r w:rsidRPr="00B6450D">
        <w:rPr>
          <w:position w:val="-28"/>
        </w:rPr>
        <w:object w:dxaOrig="6180" w:dyaOrig="720" w14:anchorId="54458442">
          <v:shape id="_x0000_i5239" type="#_x0000_t75" style="width:309.2pt;height:36.3pt" o:ole="">
            <v:imagedata r:id="rId8476" o:title=""/>
          </v:shape>
          <o:OLEObject Type="Embed" ProgID="Equation.DSMT4" ShapeID="_x0000_i5239" DrawAspect="Content" ObjectID="_1791379183" r:id="rId8477"/>
        </w:object>
      </w:r>
    </w:p>
    <w:p w14:paraId="303226A1"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بنابراین، رابطه</w:t>
      </w:r>
      <w:r w:rsidRPr="00B6450D">
        <w:rPr>
          <w:rFonts w:cs="B Nazanin"/>
          <w:i/>
          <w:sz w:val="23"/>
          <w:szCs w:val="23"/>
          <w:rtl/>
        </w:rPr>
        <w:softHyphen/>
      </w:r>
      <w:r w:rsidRPr="00B6450D">
        <w:rPr>
          <w:rFonts w:cs="B Nazanin" w:hint="cs"/>
          <w:i/>
          <w:sz w:val="23"/>
          <w:szCs w:val="23"/>
          <w:rtl/>
        </w:rPr>
        <w:t>ی بین نرخ بازدهی با بازخرید و بدون بازخرید</w:t>
      </w:r>
      <w:r w:rsidRPr="00B6450D">
        <w:rPr>
          <w:position w:val="-10"/>
        </w:rPr>
        <w:object w:dxaOrig="180" w:dyaOrig="320" w14:anchorId="09EFB63D">
          <v:shape id="_x0000_i5240" type="#_x0000_t75" style="width:9.1pt;height:15.75pt" o:ole="">
            <v:imagedata r:id="rId8478" o:title=""/>
          </v:shape>
          <o:OLEObject Type="Embed" ProgID="Equation.DSMT4" ShapeID="_x0000_i5240" DrawAspect="Content" ObjectID="_1791379184" r:id="rId8479"/>
        </w:object>
      </w:r>
      <w:r w:rsidRPr="00B6450D">
        <w:rPr>
          <w:rFonts w:cs="B Nazanin" w:hint="cs"/>
          <w:i/>
          <w:sz w:val="23"/>
          <w:szCs w:val="23"/>
          <w:rtl/>
        </w:rPr>
        <w:t xml:space="preserve"> عبارت است از</w:t>
      </w:r>
    </w:p>
    <w:p w14:paraId="0F00C123" w14:textId="77777777" w:rsidR="00556C10" w:rsidRPr="00B6450D" w:rsidRDefault="00556C10" w:rsidP="00556C10">
      <w:pPr>
        <w:pStyle w:val="NormalWeb"/>
        <w:tabs>
          <w:tab w:val="right" w:pos="-83"/>
          <w:tab w:val="right" w:pos="7"/>
        </w:tabs>
        <w:spacing w:before="0" w:beforeAutospacing="0" w:after="0" w:afterAutospacing="0" w:line="216" w:lineRule="auto"/>
        <w:jc w:val="both"/>
        <w:rPr>
          <w:rFonts w:cs="B Nazanin"/>
          <w:i/>
          <w:sz w:val="23"/>
          <w:szCs w:val="23"/>
        </w:rPr>
      </w:pPr>
      <w:r w:rsidRPr="00B6450D">
        <w:rPr>
          <w:position w:val="-28"/>
        </w:rPr>
        <w:object w:dxaOrig="1480" w:dyaOrig="639" w14:anchorId="4C2F08F8">
          <v:shape id="_x0000_i5241" type="#_x0000_t75" style="width:73.8pt;height:31.45pt" o:ole="">
            <v:imagedata r:id="rId8480" o:title=""/>
          </v:shape>
          <o:OLEObject Type="Embed" ProgID="Equation.DSMT4" ShapeID="_x0000_i5241" DrawAspect="Content" ObjectID="_1791379185" r:id="rId8481"/>
        </w:object>
      </w:r>
    </w:p>
    <w:p w14:paraId="2AFE1C9B"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لذا اگر چه نرخ بازدهی سهام بدرستی از فرمول قبلی و با استفاده از قیمت و سود هر سهم اندازه</w:t>
      </w:r>
      <w:r w:rsidRPr="00B6450D">
        <w:rPr>
          <w:rFonts w:cs="B Nazanin"/>
          <w:i/>
          <w:sz w:val="23"/>
          <w:szCs w:val="23"/>
          <w:rtl/>
        </w:rPr>
        <w:softHyphen/>
      </w:r>
      <w:r w:rsidRPr="00B6450D">
        <w:rPr>
          <w:rFonts w:cs="B Nazanin" w:hint="cs"/>
          <w:i/>
          <w:sz w:val="23"/>
          <w:szCs w:val="23"/>
          <w:rtl/>
        </w:rPr>
        <w:t>گیری می‌شود، اگر با استفاده از ارزش بنگاه و کل سودهای سهام که معمولاً منتشر شده و در دسترس می</w:t>
      </w:r>
      <w:r w:rsidRPr="00B6450D">
        <w:rPr>
          <w:rFonts w:cs="B Nazanin"/>
          <w:i/>
          <w:sz w:val="23"/>
          <w:szCs w:val="23"/>
          <w:rtl/>
        </w:rPr>
        <w:softHyphen/>
      </w:r>
      <w:r w:rsidRPr="00B6450D">
        <w:rPr>
          <w:rFonts w:cs="B Nazanin" w:hint="cs"/>
          <w:i/>
          <w:sz w:val="23"/>
          <w:szCs w:val="23"/>
          <w:rtl/>
        </w:rPr>
        <w:t>باشند اندازه</w:t>
      </w:r>
      <w:r w:rsidRPr="00B6450D">
        <w:rPr>
          <w:rFonts w:cs="B Nazanin"/>
          <w:i/>
          <w:sz w:val="23"/>
          <w:szCs w:val="23"/>
          <w:rtl/>
        </w:rPr>
        <w:softHyphen/>
      </w:r>
      <w:r w:rsidRPr="00B6450D">
        <w:rPr>
          <w:rFonts w:cs="B Nazanin" w:hint="cs"/>
          <w:i/>
          <w:sz w:val="23"/>
          <w:szCs w:val="23"/>
          <w:rtl/>
        </w:rPr>
        <w:t>گیری شود، آنگاه نرخ تغییر در تعداد سهام‌ را می‌بایست مورد استفاده قرار دهیم.</w:t>
      </w:r>
    </w:p>
    <w:p w14:paraId="719C2552"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p>
    <w:p w14:paraId="0E50B1C7"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bCs/>
          <w:i/>
          <w:sz w:val="23"/>
          <w:szCs w:val="23"/>
          <w:rtl/>
        </w:rPr>
      </w:pPr>
      <w:r w:rsidRPr="00B6450D">
        <w:rPr>
          <w:rFonts w:cs="B Nazanin" w:hint="cs"/>
          <w:bCs/>
          <w:i/>
          <w:sz w:val="23"/>
          <w:szCs w:val="23"/>
          <w:rtl/>
        </w:rPr>
        <w:lastRenderedPageBreak/>
        <w:t>حباب‌های عقلانی</w:t>
      </w:r>
    </w:p>
    <w:p w14:paraId="48C0E3DA"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هنگامی که قیمت‌های سهام برای دوره</w:t>
      </w:r>
      <w:r w:rsidRPr="00B6450D">
        <w:rPr>
          <w:rFonts w:cs="B Nazanin"/>
          <w:i/>
          <w:sz w:val="23"/>
          <w:szCs w:val="23"/>
          <w:rtl/>
        </w:rPr>
        <w:softHyphen/>
      </w:r>
      <w:r w:rsidRPr="00B6450D">
        <w:rPr>
          <w:rFonts w:cs="B Nazanin" w:hint="cs"/>
          <w:i/>
          <w:sz w:val="23"/>
          <w:szCs w:val="23"/>
          <w:rtl/>
        </w:rPr>
        <w:t>ای از زمان و بدون هیچ</w:t>
      </w:r>
      <w:r w:rsidRPr="00B6450D">
        <w:rPr>
          <w:rFonts w:cs="B Nazanin"/>
          <w:i/>
          <w:sz w:val="23"/>
          <w:szCs w:val="23"/>
          <w:rtl/>
        </w:rPr>
        <w:softHyphen/>
      </w:r>
      <w:r w:rsidRPr="00B6450D">
        <w:rPr>
          <w:rFonts w:cs="B Nazanin" w:hint="cs"/>
          <w:i/>
          <w:sz w:val="23"/>
          <w:szCs w:val="23"/>
          <w:rtl/>
        </w:rPr>
        <w:t>گونه اصول و معیار اقتصادی افزایش یابد، و پس از آن سریعاً کاهش یابد، گفته می‌شود که بازار سهام دارای حباب می‌باشد. یکی از این پدیده‌ها در اواخر دهه</w:t>
      </w:r>
      <w:r w:rsidRPr="00B6450D">
        <w:rPr>
          <w:rFonts w:cs="B Nazanin"/>
          <w:i/>
          <w:sz w:val="23"/>
          <w:szCs w:val="23"/>
          <w:rtl/>
        </w:rPr>
        <w:softHyphen/>
      </w:r>
      <w:r w:rsidRPr="00B6450D">
        <w:rPr>
          <w:rFonts w:cs="B Nazanin" w:hint="cs"/>
          <w:i/>
          <w:sz w:val="23"/>
          <w:szCs w:val="23"/>
          <w:rtl/>
        </w:rPr>
        <w:t>ی ۱۹۸۰ میلادی هنگامی اتفاق افتاد که گفته می‌شد بازار جهانی سهام دچار حباب شوک تکنولوژیکی است. حباب قیمت دارایی در بازار اغلب بخاطر رفتار کاملاً غیرعقلائی عاملان اقتصادی ایجاد می‌شود، هرچند می‌توان نشان داد که حباب‌ها ممکن است بازتابی از رفتار کاملاً عقلائی آن‌ها باشد.</w:t>
      </w:r>
    </w:p>
    <w:p w14:paraId="2AF203C1" w14:textId="77777777" w:rsidR="00556C10" w:rsidRPr="00B6450D"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B6450D">
        <w:rPr>
          <w:rFonts w:cs="B Nazanin" w:hint="cs"/>
          <w:i/>
          <w:sz w:val="23"/>
          <w:szCs w:val="23"/>
          <w:rtl/>
        </w:rPr>
        <w:t>ممکن است تصور شود مدل ارزش حالِ معادله</w:t>
      </w:r>
      <w:r w:rsidRPr="00B6450D">
        <w:rPr>
          <w:rFonts w:cs="B Nazanin"/>
          <w:i/>
          <w:sz w:val="23"/>
          <w:szCs w:val="23"/>
          <w:rtl/>
        </w:rPr>
        <w:softHyphen/>
      </w:r>
      <w:r w:rsidRPr="00B6450D">
        <w:rPr>
          <w:rFonts w:cs="B Nazanin" w:hint="cs"/>
          <w:i/>
          <w:sz w:val="23"/>
          <w:szCs w:val="23"/>
          <w:rtl/>
        </w:rPr>
        <w:t>ی (۱۲. ۵)، راه</w:t>
      </w:r>
      <w:r w:rsidRPr="00B6450D">
        <w:rPr>
          <w:rFonts w:cs="B Nazanin"/>
          <w:i/>
          <w:sz w:val="23"/>
          <w:szCs w:val="23"/>
        </w:rPr>
        <w:t>‌</w:t>
      </w:r>
      <w:r w:rsidRPr="00B6450D">
        <w:rPr>
          <w:rFonts w:cs="B Nazanin" w:hint="cs"/>
          <w:i/>
          <w:sz w:val="23"/>
          <w:szCs w:val="23"/>
          <w:rtl/>
        </w:rPr>
        <w:t>حل بنیادین برای قیمت سهام باشد. فرض کنید راه حل دیگری برای قیمت سهام یعنی</w:t>
      </w:r>
      <w:r w:rsidRPr="00B6450D">
        <w:rPr>
          <w:position w:val="-10"/>
        </w:rPr>
        <w:object w:dxaOrig="340" w:dyaOrig="340" w14:anchorId="4377DE85">
          <v:shape id="_x0000_i5242" type="#_x0000_t75" style="width:16.95pt;height:16.95pt" o:ole="">
            <v:imagedata r:id="rId8482" o:title=""/>
          </v:shape>
          <o:OLEObject Type="Embed" ProgID="Equation.DSMT4" ShapeID="_x0000_i5242" DrawAspect="Content" ObjectID="_1791379186" r:id="rId8483"/>
        </w:object>
      </w:r>
      <w:r w:rsidRPr="00B6450D">
        <w:rPr>
          <w:rFonts w:cs="B Nazanin" w:hint="cs"/>
          <w:i/>
          <w:sz w:val="23"/>
          <w:szCs w:val="23"/>
          <w:rtl/>
        </w:rPr>
        <w:t xml:space="preserve"> وجود دارد که معادله‌ی (۱۲. ۳) را تضمین کرده و با راه حل بنیادین به میزان</w:t>
      </w:r>
      <w:r w:rsidRPr="00B6450D">
        <w:rPr>
          <w:position w:val="-10"/>
        </w:rPr>
        <w:object w:dxaOrig="279" w:dyaOrig="320" w14:anchorId="68A078A5">
          <v:shape id="_x0000_i5243" type="#_x0000_t75" style="width:13.9pt;height:15.75pt" o:ole="">
            <v:imagedata r:id="rId8484" o:title=""/>
          </v:shape>
          <o:OLEObject Type="Embed" ProgID="Equation.DSMT4" ShapeID="_x0000_i5243" DrawAspect="Content" ObjectID="_1791379187" r:id="rId8485"/>
        </w:object>
      </w:r>
      <w:r w:rsidRPr="00B6450D">
        <w:rPr>
          <w:rFonts w:cs="Cambria" w:hint="cs"/>
          <w:i/>
          <w:sz w:val="23"/>
          <w:szCs w:val="23"/>
          <w:rtl/>
        </w:rPr>
        <w:t> </w:t>
      </w:r>
      <w:r w:rsidRPr="00B6450D">
        <w:rPr>
          <w:rFonts w:cs="B Nazanin" w:hint="cs"/>
          <w:i/>
          <w:sz w:val="23"/>
          <w:szCs w:val="23"/>
          <w:rtl/>
        </w:rPr>
        <w:t>تفاوت داشته باشد</w:t>
      </w:r>
      <w:r w:rsidRPr="00B6450D">
        <w:rPr>
          <w:rFonts w:cs="B Nazanin"/>
          <w:i/>
          <w:sz w:val="23"/>
          <w:szCs w:val="23"/>
        </w:rPr>
        <w:t>.</w:t>
      </w:r>
      <w:r w:rsidRPr="00B6450D">
        <w:rPr>
          <w:rFonts w:cs="B Nazanin" w:hint="cs"/>
          <w:i/>
          <w:sz w:val="23"/>
          <w:szCs w:val="23"/>
          <w:rtl/>
        </w:rPr>
        <w:t xml:space="preserve"> بنابراین</w:t>
      </w:r>
      <w:r w:rsidRPr="00B6450D">
        <w:rPr>
          <w:position w:val="-10"/>
        </w:rPr>
        <w:object w:dxaOrig="340" w:dyaOrig="340" w14:anchorId="6F413418">
          <v:shape id="_x0000_i5244" type="#_x0000_t75" style="width:16.95pt;height:16.95pt" o:ole="">
            <v:imagedata r:id="rId8486" o:title=""/>
          </v:shape>
          <o:OLEObject Type="Embed" ProgID="Equation.DSMT4" ShapeID="_x0000_i5244" DrawAspect="Content" ObjectID="_1791379188" r:id="rId8487"/>
        </w:object>
      </w:r>
      <w:r w:rsidRPr="00B6450D">
        <w:rPr>
          <w:rFonts w:cs="B Nazanin" w:hint="cs"/>
          <w:i/>
          <w:sz w:val="23"/>
          <w:szCs w:val="23"/>
          <w:rtl/>
        </w:rPr>
        <w:t xml:space="preserve"> برابر است</w:t>
      </w:r>
      <w:r w:rsidRPr="00B6450D">
        <w:rPr>
          <w:rFonts w:cs="B Nazanin" w:hint="cs"/>
          <w:i/>
          <w:sz w:val="23"/>
          <w:szCs w:val="23"/>
        </w:rPr>
        <w:t xml:space="preserve"> </w:t>
      </w:r>
      <w:r w:rsidRPr="00B6450D">
        <w:rPr>
          <w:rFonts w:cs="B Nazanin" w:hint="cs"/>
          <w:i/>
          <w:sz w:val="23"/>
          <w:szCs w:val="23"/>
          <w:rtl/>
        </w:rPr>
        <w:t>با</w:t>
      </w:r>
    </w:p>
    <w:p w14:paraId="2186C99F" w14:textId="77777777" w:rsidR="00556C10" w:rsidRPr="00B6450D" w:rsidRDefault="00556C10" w:rsidP="00556C10">
      <w:pPr>
        <w:pStyle w:val="NormalWeb"/>
        <w:tabs>
          <w:tab w:val="right" w:pos="-83"/>
          <w:tab w:val="right" w:pos="7"/>
        </w:tabs>
        <w:spacing w:before="0" w:beforeAutospacing="0" w:after="0" w:afterAutospacing="0" w:line="216" w:lineRule="auto"/>
        <w:jc w:val="both"/>
        <w:rPr>
          <w:rFonts w:cs="B Nazanin"/>
          <w:i/>
          <w:sz w:val="23"/>
          <w:szCs w:val="23"/>
          <w:rtl/>
        </w:rPr>
      </w:pPr>
      <w:r w:rsidRPr="00B6450D">
        <w:rPr>
          <w:position w:val="-22"/>
        </w:rPr>
        <w:object w:dxaOrig="3200" w:dyaOrig="560" w14:anchorId="33787AF9">
          <v:shape id="_x0000_i5245" type="#_x0000_t75" style="width:160.35pt;height:27.85pt" o:ole="">
            <v:imagedata r:id="rId8488" o:title=""/>
          </v:shape>
          <o:OLEObject Type="Embed" ProgID="Equation.DSMT4" ShapeID="_x0000_i5245" DrawAspect="Content" ObjectID="_1791379189" r:id="rId8489"/>
        </w:object>
      </w:r>
      <w:r w:rsidRPr="00B6450D">
        <w:rPr>
          <w:rFonts w:cs="B Nazanin"/>
          <w:i/>
          <w:sz w:val="23"/>
          <w:szCs w:val="23"/>
        </w:rPr>
        <w:tab/>
      </w:r>
      <w:r w:rsidRPr="00B6450D">
        <w:rPr>
          <w:rFonts w:cs="B Nazanin" w:hint="cs"/>
          <w:i/>
          <w:sz w:val="23"/>
          <w:szCs w:val="23"/>
          <w:rtl/>
        </w:rPr>
        <w:tab/>
      </w:r>
      <w:r w:rsidRPr="00B6450D">
        <w:rPr>
          <w:rFonts w:cs="B Nazanin"/>
          <w:i/>
          <w:sz w:val="23"/>
          <w:szCs w:val="23"/>
        </w:rPr>
        <w:tab/>
      </w:r>
      <w:r w:rsidRPr="00B6450D">
        <w:rPr>
          <w:rFonts w:cs="B Nazanin"/>
          <w:i/>
          <w:sz w:val="23"/>
          <w:szCs w:val="23"/>
        </w:rPr>
        <w:tab/>
      </w:r>
      <w:r w:rsidRPr="00B6450D">
        <w:rPr>
          <w:rFonts w:cs="B Nazanin"/>
          <w:i/>
          <w:sz w:val="23"/>
          <w:szCs w:val="23"/>
        </w:rPr>
        <w:tab/>
      </w:r>
      <w:r w:rsidRPr="00B6450D">
        <w:rPr>
          <w:rFonts w:cs="B Nazanin"/>
          <w:i/>
          <w:sz w:val="23"/>
          <w:szCs w:val="23"/>
        </w:rPr>
        <w:tab/>
      </w:r>
      <w:r w:rsidRPr="00B6450D">
        <w:rPr>
          <w:rFonts w:cs="B Nazanin"/>
          <w:i/>
          <w:sz w:val="23"/>
          <w:szCs w:val="23"/>
        </w:rPr>
        <w:tab/>
      </w:r>
      <w:r w:rsidRPr="00B6450D">
        <w:rPr>
          <w:rFonts w:cs="B Nazanin" w:hint="cs"/>
          <w:i/>
          <w:sz w:val="23"/>
          <w:szCs w:val="23"/>
          <w:rtl/>
        </w:rPr>
        <w:tab/>
      </w:r>
      <w:r>
        <w:rPr>
          <w:rFonts w:cs="B Nazanin"/>
          <w:i/>
          <w:sz w:val="23"/>
          <w:szCs w:val="23"/>
          <w:rtl/>
        </w:rPr>
        <w:tab/>
      </w:r>
      <w:r w:rsidRPr="00B6450D">
        <w:rPr>
          <w:rFonts w:cs="B Nazanin"/>
          <w:i/>
          <w:sz w:val="23"/>
          <w:szCs w:val="23"/>
        </w:rPr>
        <w:tab/>
      </w:r>
      <w:r w:rsidRPr="00B6450D">
        <w:rPr>
          <w:rFonts w:cs="B Nazanin" w:hint="cs"/>
          <w:i/>
          <w:sz w:val="23"/>
          <w:szCs w:val="23"/>
          <w:rtl/>
        </w:rPr>
        <w:t>(۱۲. ۶)</w:t>
      </w:r>
    </w:p>
    <w:p w14:paraId="4AF1AFAE" w14:textId="77777777" w:rsidR="00556C10" w:rsidRPr="00B6450D" w:rsidRDefault="00556C10" w:rsidP="00556C10">
      <w:pPr>
        <w:tabs>
          <w:tab w:val="right" w:pos="-83"/>
          <w:tab w:val="right" w:pos="7"/>
        </w:tabs>
        <w:spacing w:line="216" w:lineRule="auto"/>
        <w:rPr>
          <w:i/>
          <w:sz w:val="23"/>
          <w:szCs w:val="23"/>
          <w:rtl/>
        </w:rPr>
      </w:pPr>
      <w:r w:rsidRPr="00B6450D">
        <w:rPr>
          <w:rFonts w:hint="cs"/>
          <w:i/>
          <w:sz w:val="23"/>
          <w:szCs w:val="23"/>
          <w:rtl/>
        </w:rPr>
        <w:t>با تفاضل (۱۲. ۳) از (۱۲.۶) معادله‌ی مربوط به</w:t>
      </w:r>
      <w:r w:rsidRPr="00B6450D">
        <w:rPr>
          <w:position w:val="-10"/>
        </w:rPr>
        <w:object w:dxaOrig="279" w:dyaOrig="320" w14:anchorId="30127ED8">
          <v:shape id="_x0000_i5246" type="#_x0000_t75" style="width:13.9pt;height:15.75pt" o:ole="">
            <v:imagedata r:id="rId8490" o:title=""/>
          </v:shape>
          <o:OLEObject Type="Embed" ProgID="Equation.DSMT4" ShapeID="_x0000_i5246" DrawAspect="Content" ObjectID="_1791379190" r:id="rId8491"/>
        </w:object>
      </w:r>
      <w:r w:rsidRPr="00B6450D">
        <w:rPr>
          <w:rFonts w:hint="cs"/>
          <w:i/>
          <w:sz w:val="23"/>
          <w:szCs w:val="23"/>
          <w:rtl/>
        </w:rPr>
        <w:t xml:space="preserve"> بدست خواهد آمد. لذا</w:t>
      </w:r>
    </w:p>
    <w:p w14:paraId="34ED74A9" w14:textId="77777777" w:rsidR="00556C10" w:rsidRPr="00B6450D" w:rsidRDefault="00556C10" w:rsidP="00556C10">
      <w:pPr>
        <w:tabs>
          <w:tab w:val="right" w:pos="-83"/>
          <w:tab w:val="right" w:pos="7"/>
        </w:tabs>
        <w:bidi w:val="0"/>
        <w:spacing w:line="216" w:lineRule="auto"/>
        <w:rPr>
          <w:i/>
          <w:sz w:val="23"/>
          <w:szCs w:val="23"/>
          <w:rtl/>
        </w:rPr>
      </w:pPr>
      <w:r w:rsidRPr="00B6450D">
        <w:rPr>
          <w:position w:val="-22"/>
        </w:rPr>
        <w:object w:dxaOrig="1540" w:dyaOrig="560" w14:anchorId="5098FCE2">
          <v:shape id="_x0000_i5247" type="#_x0000_t75" style="width:76.85pt;height:27.85pt" o:ole="">
            <v:imagedata r:id="rId8492" o:title=""/>
          </v:shape>
          <o:OLEObject Type="Embed" ProgID="Equation.DSMT4" ShapeID="_x0000_i5247" DrawAspect="Content" ObjectID="_1791379191" r:id="rId8493"/>
        </w:object>
      </w:r>
      <w:r w:rsidRPr="00B6450D">
        <w:rPr>
          <w:rFonts w:hint="cs"/>
          <w:i/>
          <w:sz w:val="23"/>
          <w:szCs w:val="23"/>
          <w:rtl/>
        </w:rPr>
        <w:tab/>
      </w:r>
      <w:r w:rsidRPr="00B6450D">
        <w:rPr>
          <w:rFonts w:hint="cs"/>
          <w:i/>
          <w:sz w:val="23"/>
          <w:szCs w:val="23"/>
          <w:rtl/>
        </w:rPr>
        <w:tab/>
      </w:r>
      <w:r w:rsidRPr="00B6450D">
        <w:rPr>
          <w:rFonts w:hint="cs"/>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rFonts w:hint="cs"/>
          <w:i/>
          <w:sz w:val="23"/>
          <w:szCs w:val="23"/>
          <w:rtl/>
        </w:rPr>
        <w:tab/>
      </w:r>
      <w:r w:rsidRPr="00B6450D">
        <w:rPr>
          <w:i/>
          <w:sz w:val="23"/>
          <w:szCs w:val="23"/>
        </w:rPr>
        <w:tab/>
      </w:r>
      <w:r>
        <w:rPr>
          <w:i/>
          <w:sz w:val="23"/>
          <w:szCs w:val="23"/>
          <w:rtl/>
        </w:rPr>
        <w:tab/>
      </w:r>
      <w:r w:rsidRPr="00B6450D">
        <w:rPr>
          <w:rFonts w:hint="cs"/>
          <w:i/>
          <w:sz w:val="23"/>
          <w:szCs w:val="23"/>
          <w:rtl/>
        </w:rPr>
        <w:tab/>
      </w:r>
      <w:r w:rsidRPr="00B6450D">
        <w:rPr>
          <w:rFonts w:hint="cs"/>
          <w:i/>
          <w:sz w:val="23"/>
          <w:szCs w:val="23"/>
          <w:rtl/>
        </w:rPr>
        <w:tab/>
        <w:t>(۱۲. ۷)</w:t>
      </w:r>
    </w:p>
    <w:p w14:paraId="14A1580E" w14:textId="77777777" w:rsidR="00556C10" w:rsidRPr="00B6450D" w:rsidRDefault="00556C10" w:rsidP="00556C10">
      <w:pPr>
        <w:tabs>
          <w:tab w:val="right" w:pos="-83"/>
          <w:tab w:val="right" w:pos="7"/>
        </w:tabs>
        <w:spacing w:line="216" w:lineRule="auto"/>
        <w:rPr>
          <w:i/>
          <w:sz w:val="23"/>
          <w:szCs w:val="23"/>
          <w:rtl/>
        </w:rPr>
      </w:pPr>
      <w:r w:rsidRPr="00B6450D">
        <w:rPr>
          <w:rFonts w:hint="cs"/>
          <w:i/>
          <w:sz w:val="23"/>
          <w:szCs w:val="23"/>
          <w:rtl/>
        </w:rPr>
        <w:t>اگر انتظارات عقلائی باشد، آنگاه</w:t>
      </w:r>
    </w:p>
    <w:p w14:paraId="0CBBD0B4" w14:textId="77777777" w:rsidR="00556C10" w:rsidRPr="00B6450D" w:rsidRDefault="00556C10" w:rsidP="00556C10">
      <w:pPr>
        <w:tabs>
          <w:tab w:val="right" w:pos="-83"/>
          <w:tab w:val="right" w:pos="7"/>
        </w:tabs>
        <w:bidi w:val="0"/>
        <w:spacing w:line="216" w:lineRule="auto"/>
        <w:rPr>
          <w:i/>
          <w:sz w:val="23"/>
          <w:szCs w:val="23"/>
          <w:rtl/>
        </w:rPr>
      </w:pPr>
      <w:r w:rsidRPr="00B6450D">
        <w:rPr>
          <w:position w:val="-10"/>
        </w:rPr>
        <w:object w:dxaOrig="1700" w:dyaOrig="320" w14:anchorId="182A50D5">
          <v:shape id="_x0000_i5248" type="#_x0000_t75" style="width:84.7pt;height:15.75pt" o:ole="">
            <v:imagedata r:id="rId8494" o:title=""/>
          </v:shape>
          <o:OLEObject Type="Embed" ProgID="Equation.DSMT4" ShapeID="_x0000_i5248" DrawAspect="Content" ObjectID="_1791379192" r:id="rId8495"/>
        </w:object>
      </w:r>
    </w:p>
    <w:p w14:paraId="1C424509" w14:textId="77777777" w:rsidR="00556C10" w:rsidRPr="00B6450D" w:rsidRDefault="00556C10" w:rsidP="00556C10">
      <w:pPr>
        <w:tabs>
          <w:tab w:val="right" w:pos="-83"/>
          <w:tab w:val="right" w:pos="7"/>
        </w:tabs>
        <w:spacing w:line="216" w:lineRule="auto"/>
        <w:rPr>
          <w:i/>
          <w:sz w:val="23"/>
          <w:szCs w:val="23"/>
          <w:rtl/>
        </w:rPr>
      </w:pPr>
      <w:r w:rsidRPr="00B6450D">
        <w:rPr>
          <w:rFonts w:hint="cs"/>
          <w:i/>
          <w:sz w:val="23"/>
          <w:szCs w:val="23"/>
          <w:rtl/>
        </w:rPr>
        <w:t xml:space="preserve">که در آن </w:t>
      </w:r>
      <w:r w:rsidRPr="00B6450D">
        <w:rPr>
          <w:position w:val="-10"/>
        </w:rPr>
        <w:object w:dxaOrig="920" w:dyaOrig="320" w14:anchorId="2A6BAFFB">
          <v:shape id="_x0000_i5249" type="#_x0000_t75" style="width:46pt;height:15.75pt" o:ole="">
            <v:imagedata r:id="rId8496" o:title=""/>
          </v:shape>
          <o:OLEObject Type="Embed" ProgID="Equation.DSMT4" ShapeID="_x0000_i5249" DrawAspect="Content" ObjectID="_1791379193" r:id="rId8497"/>
        </w:object>
      </w:r>
      <w:r w:rsidRPr="00B6450D">
        <w:rPr>
          <w:rFonts w:hint="cs"/>
          <w:i/>
          <w:sz w:val="23"/>
          <w:szCs w:val="23"/>
          <w:rtl/>
        </w:rPr>
        <w:t>است که بدان شرط مارتینگل گفته می‌شود. بطورکلی یک فرایند مارتینگل همانند فرایند گام تصادفی است که در آن تغییر انتظاری به شرط اطلاعات در زمان</w:t>
      </w:r>
      <w:r w:rsidRPr="00B6450D">
        <w:rPr>
          <w:position w:val="-6"/>
        </w:rPr>
        <w:object w:dxaOrig="139" w:dyaOrig="240" w14:anchorId="004AF74B">
          <v:shape id="_x0000_i5250" type="#_x0000_t75" style="width:6.65pt;height:12.1pt" o:ole="">
            <v:imagedata r:id="rId8498" o:title=""/>
          </v:shape>
          <o:OLEObject Type="Embed" ProgID="Equation.DSMT4" ShapeID="_x0000_i5250" DrawAspect="Content" ObjectID="_1791379194" r:id="rId8499"/>
        </w:object>
      </w:r>
      <w:r w:rsidRPr="00B6450D">
        <w:rPr>
          <w:rFonts w:hint="cs"/>
          <w:i/>
          <w:sz w:val="23"/>
          <w:szCs w:val="23"/>
          <w:rtl/>
        </w:rPr>
        <w:t xml:space="preserve"> برابر است با صفر، و در آن شرط ثابت بودن واریانس وجود ندارد. بنابراین</w:t>
      </w:r>
    </w:p>
    <w:p w14:paraId="355F343A" w14:textId="77777777" w:rsidR="00556C10" w:rsidRPr="00B6450D" w:rsidRDefault="00556C10" w:rsidP="00556C10">
      <w:pPr>
        <w:tabs>
          <w:tab w:val="right" w:pos="-83"/>
          <w:tab w:val="right" w:pos="7"/>
        </w:tabs>
        <w:bidi w:val="0"/>
        <w:spacing w:line="216" w:lineRule="auto"/>
        <w:rPr>
          <w:i/>
          <w:sz w:val="23"/>
          <w:szCs w:val="23"/>
          <w:rtl/>
        </w:rPr>
      </w:pPr>
      <w:r w:rsidRPr="00B6450D">
        <w:rPr>
          <w:position w:val="-12"/>
        </w:rPr>
        <w:object w:dxaOrig="1960" w:dyaOrig="360" w14:anchorId="56FDBA2F">
          <v:shape id="_x0000_i5251" type="#_x0000_t75" style="width:98pt;height:18.15pt" o:ole="">
            <v:imagedata r:id="rId8500" o:title=""/>
          </v:shape>
          <o:OLEObject Type="Embed" ProgID="Equation.DSMT4" ShapeID="_x0000_i5251" DrawAspect="Content" ObjectID="_1791379195" r:id="rId8501"/>
        </w:object>
      </w:r>
    </w:p>
    <w:p w14:paraId="20635343" w14:textId="77777777" w:rsidR="00556C10" w:rsidRPr="00B6450D" w:rsidRDefault="00556C10" w:rsidP="00556C10">
      <w:pPr>
        <w:tabs>
          <w:tab w:val="right" w:pos="-83"/>
          <w:tab w:val="right" w:pos="7"/>
        </w:tabs>
        <w:spacing w:line="216" w:lineRule="auto"/>
        <w:rPr>
          <w:i/>
          <w:color w:val="000000"/>
          <w:sz w:val="23"/>
          <w:szCs w:val="23"/>
          <w:rtl/>
        </w:rPr>
      </w:pPr>
      <w:r w:rsidRPr="00B6450D">
        <w:rPr>
          <w:rFonts w:hint="cs"/>
          <w:i/>
          <w:sz w:val="23"/>
          <w:szCs w:val="23"/>
          <w:rtl/>
        </w:rPr>
        <w:t>چنانچه</w:t>
      </w:r>
      <w:r w:rsidRPr="00B6450D">
        <w:rPr>
          <w:position w:val="-6"/>
        </w:rPr>
        <w:object w:dxaOrig="560" w:dyaOrig="260" w14:anchorId="5EDC70EB">
          <v:shape id="_x0000_i5252" type="#_x0000_t75" style="width:27.85pt;height:12.7pt" o:ole="">
            <v:imagedata r:id="rId8502" o:title=""/>
          </v:shape>
          <o:OLEObject Type="Embed" ProgID="Equation.DSMT4" ShapeID="_x0000_i5252" DrawAspect="Content" ObjectID="_1791379196" r:id="rId8503"/>
        </w:object>
      </w:r>
      <w:r w:rsidRPr="00B6450D">
        <w:rPr>
          <w:i/>
          <w:sz w:val="23"/>
          <w:szCs w:val="23"/>
          <w:rtl/>
        </w:rPr>
        <w:t xml:space="preserve"> </w:t>
      </w:r>
      <w:r w:rsidRPr="00B6450D">
        <w:rPr>
          <w:rFonts w:hint="cs"/>
          <w:i/>
          <w:sz w:val="23"/>
          <w:szCs w:val="23"/>
          <w:rtl/>
        </w:rPr>
        <w:t>باشد، آنگاه با افزایش</w:t>
      </w:r>
      <w:r w:rsidRPr="00B6450D">
        <w:rPr>
          <w:position w:val="-10"/>
        </w:rPr>
        <w:object w:dxaOrig="220" w:dyaOrig="320" w14:anchorId="49E4D969">
          <v:shape id="_x0000_i5253" type="#_x0000_t75" style="width:10.9pt;height:15.75pt" o:ole="">
            <v:imagedata r:id="rId8504" o:title=""/>
          </v:shape>
          <o:OLEObject Type="Embed" ProgID="Equation.DSMT4" ShapeID="_x0000_i5253" DrawAspect="Content" ObjectID="_1791379197" r:id="rId8505"/>
        </w:object>
      </w:r>
      <w:r w:rsidRPr="00B6450D">
        <w:rPr>
          <w:rFonts w:hint="cs"/>
          <w:i/>
          <w:sz w:val="23"/>
          <w:szCs w:val="23"/>
          <w:rtl/>
        </w:rPr>
        <w:t xml:space="preserve"> در زمان</w:t>
      </w:r>
      <w:r w:rsidRPr="00B6450D">
        <w:rPr>
          <w:position w:val="-6"/>
        </w:rPr>
        <w:object w:dxaOrig="139" w:dyaOrig="240" w14:anchorId="6B757C84">
          <v:shape id="_x0000_i5254" type="#_x0000_t75" style="width:6.65pt;height:12.1pt" o:ole="">
            <v:imagedata r:id="rId8506" o:title=""/>
          </v:shape>
          <o:OLEObject Type="Embed" ProgID="Equation.DSMT4" ShapeID="_x0000_i5254" DrawAspect="Content" ObjectID="_1791379198" r:id="rId8507"/>
        </w:object>
      </w:r>
      <w:r w:rsidRPr="00B6450D">
        <w:rPr>
          <w:rFonts w:hint="cs"/>
          <w:i/>
          <w:sz w:val="23"/>
          <w:szCs w:val="23"/>
          <w:rtl/>
        </w:rPr>
        <w:t xml:space="preserve"> مقدار</w:t>
      </w:r>
      <w:r w:rsidRPr="00B6450D">
        <w:rPr>
          <w:position w:val="-10"/>
        </w:rPr>
        <w:object w:dxaOrig="279" w:dyaOrig="320" w14:anchorId="1536B8F6">
          <v:shape id="_x0000_i5255" type="#_x0000_t75" style="width:13.9pt;height:15.75pt" o:ole="">
            <v:imagedata r:id="rId8508" o:title=""/>
          </v:shape>
          <o:OLEObject Type="Embed" ProgID="Equation.DSMT4" ShapeID="_x0000_i5255" DrawAspect="Content" ObjectID="_1791379199" r:id="rId8509"/>
        </w:object>
      </w:r>
      <w:r w:rsidRPr="00B6450D">
        <w:rPr>
          <w:rFonts w:hint="cs"/>
          <w:i/>
          <w:sz w:val="23"/>
          <w:szCs w:val="23"/>
          <w:rtl/>
        </w:rPr>
        <w:t xml:space="preserve"> برای همیشه و بطور فزاینده افزایش خواهد یافت و باعث افزایش پیوسته‌ی</w:t>
      </w:r>
      <w:r w:rsidRPr="00B6450D">
        <w:rPr>
          <w:position w:val="-10"/>
        </w:rPr>
        <w:object w:dxaOrig="340" w:dyaOrig="340" w14:anchorId="6F626325">
          <v:shape id="_x0000_i5256" type="#_x0000_t75" style="width:16.95pt;height:16.95pt" o:ole="">
            <v:imagedata r:id="rId8510" o:title=""/>
          </v:shape>
          <o:OLEObject Type="Embed" ProgID="Equation.DSMT4" ShapeID="_x0000_i5256" DrawAspect="Content" ObjectID="_1791379200" r:id="rId8511"/>
        </w:object>
      </w:r>
      <w:r w:rsidRPr="00B6450D">
        <w:rPr>
          <w:rFonts w:cs="Cambria" w:hint="cs"/>
          <w:i/>
          <w:sz w:val="23"/>
          <w:szCs w:val="23"/>
          <w:rtl/>
        </w:rPr>
        <w:t> </w:t>
      </w:r>
      <w:r w:rsidRPr="00B6450D">
        <w:rPr>
          <w:rFonts w:hint="cs"/>
          <w:i/>
          <w:sz w:val="23"/>
          <w:szCs w:val="23"/>
          <w:rtl/>
        </w:rPr>
        <w:t>خواهد شد. بنابراین</w:t>
      </w:r>
      <w:r w:rsidRPr="00B6450D">
        <w:rPr>
          <w:position w:val="-10"/>
        </w:rPr>
        <w:object w:dxaOrig="279" w:dyaOrig="320" w14:anchorId="2C8281F9">
          <v:shape id="_x0000_i5257" type="#_x0000_t75" style="width:13.9pt;height:15.75pt" o:ole="">
            <v:imagedata r:id="rId8512" o:title=""/>
          </v:shape>
          <o:OLEObject Type="Embed" ProgID="Equation.DSMT4" ShapeID="_x0000_i5257" DrawAspect="Content" ObjectID="_1791379201" r:id="rId8513"/>
        </w:object>
      </w:r>
      <w:r w:rsidRPr="00B6450D">
        <w:rPr>
          <w:rFonts w:hint="cs"/>
          <w:i/>
          <w:sz w:val="23"/>
          <w:szCs w:val="23"/>
          <w:rtl/>
        </w:rPr>
        <w:t xml:space="preserve"> یک حباب خواهد بود.</w:t>
      </w:r>
    </w:p>
    <w:p w14:paraId="1D7E020A" w14:textId="77777777" w:rsidR="00556C10" w:rsidRPr="00B6450D" w:rsidRDefault="00556C10" w:rsidP="00556C10">
      <w:pPr>
        <w:tabs>
          <w:tab w:val="right" w:pos="-83"/>
          <w:tab w:val="right" w:pos="7"/>
        </w:tabs>
        <w:spacing w:line="216" w:lineRule="auto"/>
        <w:rPr>
          <w:i/>
          <w:sz w:val="23"/>
          <w:szCs w:val="23"/>
          <w:rtl/>
        </w:rPr>
      </w:pPr>
      <w:r w:rsidRPr="00B6450D">
        <w:rPr>
          <w:rFonts w:hint="cs"/>
          <w:i/>
          <w:color w:val="000000"/>
          <w:sz w:val="23"/>
          <w:szCs w:val="23"/>
          <w:rtl/>
        </w:rPr>
        <w:t>در اینجا نشان دادیم که حباب</w:t>
      </w:r>
      <w:r w:rsidRPr="00B6450D">
        <w:rPr>
          <w:rFonts w:hint="cs"/>
          <w:i/>
          <w:color w:val="000000"/>
          <w:sz w:val="23"/>
          <w:szCs w:val="23"/>
          <w:rtl/>
        </w:rPr>
        <w:softHyphen/>
        <w:t>ها افزایشی و انفجاری بوده، در حالی که مبنای ضمنی حباب در این است که حباب‌ها می‌ترکند و به ناگهان، ناپدید می‌شوند.</w:t>
      </w:r>
      <w:r w:rsidRPr="00B6450D">
        <w:rPr>
          <w:rFonts w:hint="cs"/>
          <w:i/>
          <w:sz w:val="23"/>
          <w:szCs w:val="23"/>
        </w:rPr>
        <w:t xml:space="preserve"> </w:t>
      </w:r>
      <w:r w:rsidRPr="00B6450D">
        <w:rPr>
          <w:rFonts w:hint="cs"/>
          <w:i/>
          <w:color w:val="000000"/>
          <w:sz w:val="23"/>
          <w:szCs w:val="23"/>
          <w:rtl/>
        </w:rPr>
        <w:t>حبابی که در بالا به دست آمد مستلزم یک افزایش در متغیر</w:t>
      </w:r>
      <w:r w:rsidRPr="00B6450D">
        <w:rPr>
          <w:position w:val="-10"/>
        </w:rPr>
        <w:object w:dxaOrig="220" w:dyaOrig="320" w14:anchorId="25C0E6EE">
          <v:shape id="_x0000_i5258" type="#_x0000_t75" style="width:10.9pt;height:15.75pt" o:ole="">
            <v:imagedata r:id="rId8514" o:title=""/>
          </v:shape>
          <o:OLEObject Type="Embed" ProgID="Equation.DSMT4" ShapeID="_x0000_i5258" DrawAspect="Content" ObjectID="_1791379202" r:id="rId8515"/>
        </w:object>
      </w:r>
      <w:r w:rsidRPr="00B6450D">
        <w:rPr>
          <w:rFonts w:hint="cs"/>
          <w:i/>
          <w:color w:val="000000"/>
          <w:sz w:val="23"/>
          <w:szCs w:val="23"/>
          <w:rtl/>
        </w:rPr>
        <w:t xml:space="preserve"> و به تبع ان رشد</w:t>
      </w:r>
      <w:r w:rsidRPr="00025957">
        <w:rPr>
          <w:position w:val="-4"/>
        </w:rPr>
        <w:object w:dxaOrig="240" w:dyaOrig="240" w14:anchorId="7467F826">
          <v:shape id="_x0000_i5259" type="#_x0000_t75" style="width:12.1pt;height:12.1pt" o:ole="">
            <v:imagedata r:id="rId8516" o:title=""/>
          </v:shape>
          <o:OLEObject Type="Embed" ProgID="Equation.DSMT4" ShapeID="_x0000_i5259" DrawAspect="Content" ObjectID="_1791379203" r:id="rId8517"/>
        </w:object>
      </w:r>
      <w:r w:rsidRPr="00B6450D">
        <w:rPr>
          <w:i/>
          <w:sz w:val="23"/>
          <w:szCs w:val="23"/>
        </w:rPr>
        <w:t xml:space="preserve"> </w:t>
      </w:r>
      <w:r w:rsidRPr="00B6450D">
        <w:rPr>
          <w:rFonts w:hint="cs"/>
          <w:i/>
          <w:sz w:val="23"/>
          <w:szCs w:val="23"/>
          <w:rtl/>
        </w:rPr>
        <w:t>در طی زمان است.</w:t>
      </w:r>
      <w:r w:rsidRPr="00B6450D">
        <w:rPr>
          <w:rFonts w:hint="cs"/>
          <w:i/>
          <w:color w:val="000000"/>
          <w:sz w:val="23"/>
          <w:szCs w:val="23"/>
          <w:rtl/>
        </w:rPr>
        <w:t xml:space="preserve"> چگونه می</w:t>
      </w:r>
      <w:r w:rsidRPr="00B6450D">
        <w:rPr>
          <w:i/>
          <w:color w:val="000000"/>
          <w:sz w:val="23"/>
          <w:szCs w:val="23"/>
          <w:rtl/>
        </w:rPr>
        <w:softHyphen/>
      </w:r>
      <w:r w:rsidRPr="00B6450D">
        <w:rPr>
          <w:rFonts w:hint="cs"/>
          <w:i/>
          <w:color w:val="000000"/>
          <w:sz w:val="23"/>
          <w:szCs w:val="23"/>
          <w:rtl/>
        </w:rPr>
        <w:t>توان تصور نمود که این افزایش مداوم در</w:t>
      </w:r>
      <w:r w:rsidRPr="00025957">
        <w:rPr>
          <w:position w:val="-4"/>
        </w:rPr>
        <w:object w:dxaOrig="240" w:dyaOrig="240" w14:anchorId="53A7B2C7">
          <v:shape id="_x0000_i5260" type="#_x0000_t75" style="width:12.1pt;height:12.1pt" o:ole="">
            <v:imagedata r:id="rId8518" o:title=""/>
          </v:shape>
          <o:OLEObject Type="Embed" ProgID="Equation.DSMT4" ShapeID="_x0000_i5260" DrawAspect="Content" ObjectID="_1791379204" r:id="rId8519"/>
        </w:object>
      </w:r>
      <w:r w:rsidRPr="00B6450D">
        <w:rPr>
          <w:rFonts w:hint="cs"/>
          <w:i/>
          <w:sz w:val="23"/>
          <w:szCs w:val="23"/>
          <w:rtl/>
        </w:rPr>
        <w:t xml:space="preserve"> به ناگهان </w:t>
      </w:r>
      <w:r w:rsidRPr="00B6450D">
        <w:rPr>
          <w:rFonts w:hint="cs"/>
          <w:i/>
          <w:color w:val="000000"/>
          <w:sz w:val="23"/>
          <w:szCs w:val="23"/>
          <w:rtl/>
        </w:rPr>
        <w:t>ناپدید شود؟ این سوال مهمترین نقطه ضعف حباب قیمت دارایی را آشکار می‌سازد. اکنون کمی ابتکار و مهارت لازم است تا چگونگی ناپدید شدن و هویدا شدن حباب در آینده را بازنویسی کرد.</w:t>
      </w:r>
    </w:p>
    <w:p w14:paraId="0621052A" w14:textId="77777777" w:rsidR="00556C10" w:rsidRPr="00B6450D" w:rsidRDefault="00556C10" w:rsidP="00556C10">
      <w:pPr>
        <w:tabs>
          <w:tab w:val="right" w:pos="-83"/>
          <w:tab w:val="right" w:pos="7"/>
        </w:tabs>
        <w:spacing w:line="216" w:lineRule="auto"/>
        <w:rPr>
          <w:i/>
          <w:color w:val="000000"/>
          <w:sz w:val="23"/>
          <w:szCs w:val="23"/>
        </w:rPr>
      </w:pPr>
      <w:r w:rsidRPr="00B6450D">
        <w:rPr>
          <w:rFonts w:hint="cs"/>
          <w:i/>
          <w:color w:val="000000"/>
          <w:sz w:val="23"/>
          <w:szCs w:val="23"/>
          <w:rtl/>
        </w:rPr>
        <w:t>یک راه آن است که فرض کنیم در هر دوره احتمال بسیار کوچکی برای ایجاد حباب وجود دارد، اما هنگامی که حباب ایجاد شد، احتمال بسیار زیادی وجود دارد که بترکد. برای این مسئله می</w:t>
      </w:r>
      <w:r w:rsidRPr="00B6450D">
        <w:rPr>
          <w:i/>
          <w:color w:val="000000"/>
          <w:sz w:val="23"/>
          <w:szCs w:val="23"/>
          <w:rtl/>
        </w:rPr>
        <w:softHyphen/>
      </w:r>
      <w:r w:rsidRPr="00B6450D">
        <w:rPr>
          <w:rFonts w:hint="cs"/>
          <w:i/>
          <w:color w:val="000000"/>
          <w:sz w:val="23"/>
          <w:szCs w:val="23"/>
          <w:rtl/>
        </w:rPr>
        <w:t>توان مدل مارکوف</w:t>
      </w:r>
      <w:r w:rsidRPr="00B6450D">
        <w:rPr>
          <w:rFonts w:cs="Cambria" w:hint="cs"/>
          <w:i/>
          <w:color w:val="000000"/>
          <w:sz w:val="23"/>
          <w:szCs w:val="23"/>
          <w:rtl/>
        </w:rPr>
        <w:t> </w:t>
      </w:r>
      <w:r w:rsidRPr="00B6450D">
        <w:rPr>
          <w:rFonts w:hint="cs"/>
          <w:i/>
          <w:color w:val="000000"/>
          <w:sz w:val="23"/>
          <w:szCs w:val="23"/>
          <w:rtl/>
        </w:rPr>
        <w:t>سوئیچینگ را در نظر گرفت. برای مثال، فرض کنید که قیمت انتظاری دارایی در زمان</w:t>
      </w:r>
      <w:r w:rsidRPr="00B6450D">
        <w:rPr>
          <w:position w:val="-6"/>
        </w:rPr>
        <w:object w:dxaOrig="440" w:dyaOrig="260" w14:anchorId="63826890">
          <v:shape id="_x0000_i5261" type="#_x0000_t75" style="width:21.8pt;height:12.7pt" o:ole="">
            <v:imagedata r:id="rId8520" o:title=""/>
          </v:shape>
          <o:OLEObject Type="Embed" ProgID="Equation.DSMT4" ShapeID="_x0000_i5261" DrawAspect="Content" ObjectID="_1791379205" r:id="rId8521"/>
        </w:object>
      </w:r>
      <w:r w:rsidRPr="00B6450D">
        <w:rPr>
          <w:rFonts w:hint="cs"/>
          <w:i/>
          <w:color w:val="000000"/>
          <w:sz w:val="23"/>
          <w:szCs w:val="23"/>
          <w:rtl/>
        </w:rPr>
        <w:t xml:space="preserve"> میانگین وزنی حل انتظاری قیمت اولیه و پایه</w:t>
      </w:r>
      <w:r w:rsidRPr="00025957">
        <w:rPr>
          <w:position w:val="-4"/>
        </w:rPr>
        <w:object w:dxaOrig="340" w:dyaOrig="279" w14:anchorId="1CF24836">
          <v:shape id="_x0000_i5262" type="#_x0000_t75" style="width:16.95pt;height:13.9pt" o:ole="">
            <v:imagedata r:id="rId8522" o:title=""/>
          </v:shape>
          <o:OLEObject Type="Embed" ProgID="Equation.DSMT4" ShapeID="_x0000_i5262" DrawAspect="Content" ObjectID="_1791379206" r:id="rId8523"/>
        </w:object>
      </w:r>
      <w:r w:rsidRPr="00B6450D">
        <w:rPr>
          <w:rFonts w:hint="cs"/>
          <w:i/>
          <w:color w:val="000000"/>
          <w:sz w:val="23"/>
          <w:szCs w:val="23"/>
          <w:rtl/>
        </w:rPr>
        <w:t xml:space="preserve"> بوسیله‌ی معادله‌ی (۱۲. ۵) و حباب</w:t>
      </w:r>
      <w:r w:rsidRPr="00025957">
        <w:rPr>
          <w:position w:val="-4"/>
        </w:rPr>
        <w:object w:dxaOrig="340" w:dyaOrig="279" w14:anchorId="15C908AD">
          <v:shape id="_x0000_i5263" type="#_x0000_t75" style="width:16.95pt;height:13.9pt" o:ole="">
            <v:imagedata r:id="rId8524" o:title=""/>
          </v:shape>
          <o:OLEObject Type="Embed" ProgID="Equation.DSMT4" ShapeID="_x0000_i5263" DrawAspect="Content" ObjectID="_1791379207" r:id="rId8525"/>
        </w:object>
      </w:r>
      <w:r w:rsidRPr="00B6450D">
        <w:rPr>
          <w:rFonts w:hint="cs"/>
          <w:i/>
          <w:color w:val="000000"/>
          <w:sz w:val="23"/>
          <w:szCs w:val="23"/>
          <w:rtl/>
        </w:rPr>
        <w:t xml:space="preserve"> باشد</w:t>
      </w:r>
      <w:r w:rsidRPr="00B6450D">
        <w:rPr>
          <w:i/>
          <w:color w:val="000000"/>
          <w:sz w:val="23"/>
          <w:szCs w:val="23"/>
        </w:rPr>
        <w:t>.</w:t>
      </w:r>
      <w:r w:rsidRPr="00B6450D">
        <w:rPr>
          <w:rFonts w:hint="cs"/>
          <w:i/>
          <w:color w:val="000000"/>
          <w:sz w:val="23"/>
          <w:szCs w:val="23"/>
          <w:rtl/>
        </w:rPr>
        <w:t xml:space="preserve"> آنگاه خواهیم دانست</w:t>
      </w:r>
    </w:p>
    <w:p w14:paraId="3BCFD355" w14:textId="77777777" w:rsidR="00556C10" w:rsidRPr="00B6450D" w:rsidRDefault="00556C10" w:rsidP="00556C10">
      <w:pPr>
        <w:tabs>
          <w:tab w:val="right" w:pos="-83"/>
          <w:tab w:val="right" w:pos="7"/>
        </w:tabs>
        <w:bidi w:val="0"/>
        <w:spacing w:line="216" w:lineRule="auto"/>
        <w:rPr>
          <w:i/>
          <w:color w:val="000000"/>
          <w:sz w:val="23"/>
          <w:szCs w:val="23"/>
          <w:rtl/>
        </w:rPr>
      </w:pPr>
      <w:r w:rsidRPr="00B6450D">
        <w:rPr>
          <w:position w:val="-14"/>
        </w:rPr>
        <w:object w:dxaOrig="3560" w:dyaOrig="380" w14:anchorId="5C5E8C25">
          <v:shape id="_x0000_i5264" type="#_x0000_t75" style="width:178.5pt;height:19.35pt" o:ole="">
            <v:imagedata r:id="rId8526" o:title=""/>
          </v:shape>
          <o:OLEObject Type="Embed" ProgID="Equation.DSMT4" ShapeID="_x0000_i5264" DrawAspect="Content" ObjectID="_1791379208" r:id="rId8527"/>
        </w:object>
      </w:r>
    </w:p>
    <w:p w14:paraId="2EEB2AC3" w14:textId="77777777" w:rsidR="00556C10" w:rsidRPr="00B6450D" w:rsidRDefault="00556C10" w:rsidP="00556C10">
      <w:pPr>
        <w:tabs>
          <w:tab w:val="right" w:pos="-83"/>
          <w:tab w:val="right" w:pos="7"/>
        </w:tabs>
        <w:spacing w:line="216" w:lineRule="auto"/>
        <w:rPr>
          <w:i/>
          <w:color w:val="000000"/>
          <w:sz w:val="23"/>
          <w:szCs w:val="23"/>
          <w:rtl/>
        </w:rPr>
      </w:pPr>
      <w:r w:rsidRPr="00B6450D">
        <w:rPr>
          <w:rFonts w:hint="cs"/>
          <w:i/>
          <w:color w:val="000000"/>
          <w:sz w:val="23"/>
          <w:szCs w:val="23"/>
          <w:rtl/>
        </w:rPr>
        <w:t>که در آن</w:t>
      </w:r>
      <w:r w:rsidRPr="00B6450D">
        <w:rPr>
          <w:position w:val="-12"/>
        </w:rPr>
        <w:object w:dxaOrig="560" w:dyaOrig="360" w14:anchorId="3233433B">
          <v:shape id="_x0000_i5265" type="#_x0000_t75" style="width:27.85pt;height:18.15pt" o:ole="">
            <v:imagedata r:id="rId8528" o:title=""/>
          </v:shape>
          <o:OLEObject Type="Embed" ProgID="Equation.DSMT4" ShapeID="_x0000_i5265" DrawAspect="Content" ObjectID="_1791379209" r:id="rId8529"/>
        </w:object>
      </w:r>
      <w:r w:rsidRPr="00B6450D">
        <w:rPr>
          <w:i/>
          <w:color w:val="000000"/>
          <w:sz w:val="23"/>
          <w:szCs w:val="23"/>
        </w:rPr>
        <w:t xml:space="preserve"> </w:t>
      </w:r>
      <w:r w:rsidRPr="00B6450D">
        <w:rPr>
          <w:rFonts w:hint="cs"/>
          <w:i/>
          <w:color w:val="000000"/>
          <w:sz w:val="23"/>
          <w:szCs w:val="23"/>
          <w:rtl/>
        </w:rPr>
        <w:t xml:space="preserve">احتمال شرطی وجود حباب در زمان </w:t>
      </w:r>
      <w:r w:rsidRPr="00B6450D">
        <w:rPr>
          <w:position w:val="-6"/>
        </w:rPr>
        <w:object w:dxaOrig="440" w:dyaOrig="260" w14:anchorId="73A6F576">
          <v:shape id="_x0000_i5266" type="#_x0000_t75" style="width:21.8pt;height:12.7pt" o:ole="">
            <v:imagedata r:id="rId8530" o:title=""/>
          </v:shape>
          <o:OLEObject Type="Embed" ProgID="Equation.DSMT4" ShapeID="_x0000_i5266" DrawAspect="Content" ObjectID="_1791379210" r:id="rId8531"/>
        </w:object>
      </w:r>
      <w:r w:rsidRPr="00B6450D">
        <w:rPr>
          <w:rFonts w:cs="Cambria" w:hint="cs"/>
          <w:i/>
          <w:color w:val="000000"/>
          <w:sz w:val="23"/>
          <w:szCs w:val="23"/>
          <w:rtl/>
        </w:rPr>
        <w:t> </w:t>
      </w:r>
      <w:r w:rsidRPr="00B6450D">
        <w:rPr>
          <w:rFonts w:hint="cs"/>
          <w:i/>
          <w:color w:val="000000"/>
          <w:sz w:val="23"/>
          <w:szCs w:val="23"/>
          <w:rtl/>
        </w:rPr>
        <w:t>است به شرط آن که حباب قبلاً شروع شده (و یا نشده) باشد. بنابراین</w:t>
      </w:r>
      <w:r w:rsidRPr="00B6450D">
        <w:rPr>
          <w:position w:val="-12"/>
        </w:rPr>
        <w:object w:dxaOrig="1219" w:dyaOrig="360" w14:anchorId="6723B78F">
          <v:shape id="_x0000_i5267" type="#_x0000_t75" style="width:61.1pt;height:18.15pt" o:ole="">
            <v:imagedata r:id="rId8532" o:title=""/>
          </v:shape>
          <o:OLEObject Type="Embed" ProgID="Equation.DSMT4" ShapeID="_x0000_i5267" DrawAspect="Content" ObjectID="_1791379211" r:id="rId8533"/>
        </w:object>
      </w:r>
      <w:r w:rsidRPr="00B6450D">
        <w:rPr>
          <w:i/>
          <w:color w:val="000000"/>
          <w:sz w:val="23"/>
          <w:szCs w:val="23"/>
        </w:rPr>
        <w:t xml:space="preserve"> </w:t>
      </w:r>
      <w:r w:rsidRPr="00B6450D">
        <w:rPr>
          <w:rFonts w:hint="cs"/>
          <w:i/>
          <w:color w:val="000000"/>
          <w:sz w:val="23"/>
          <w:szCs w:val="23"/>
          <w:rtl/>
        </w:rPr>
        <w:t>اگر در زمان</w:t>
      </w:r>
      <w:r w:rsidRPr="00B6450D">
        <w:rPr>
          <w:position w:val="-6"/>
        </w:rPr>
        <w:object w:dxaOrig="139" w:dyaOrig="240" w14:anchorId="6045E75A">
          <v:shape id="_x0000_i5268" type="#_x0000_t75" style="width:6.65pt;height:12.1pt" o:ole="">
            <v:imagedata r:id="rId8534" o:title=""/>
          </v:shape>
          <o:OLEObject Type="Embed" ProgID="Equation.DSMT4" ShapeID="_x0000_i5268" DrawAspect="Content" ObjectID="_1791379212" r:id="rId8535"/>
        </w:object>
      </w:r>
      <w:r w:rsidRPr="00B6450D">
        <w:rPr>
          <w:i/>
          <w:color w:val="000000"/>
          <w:sz w:val="23"/>
          <w:szCs w:val="23"/>
        </w:rPr>
        <w:t xml:space="preserve"> </w:t>
      </w:r>
      <w:r w:rsidRPr="00B6450D">
        <w:rPr>
          <w:rFonts w:hint="cs"/>
          <w:i/>
          <w:color w:val="000000"/>
          <w:sz w:val="23"/>
          <w:szCs w:val="23"/>
          <w:rtl/>
        </w:rPr>
        <w:t>هیچ حبابی وجود نداشته باشد، و</w:t>
      </w:r>
      <w:r w:rsidRPr="00B6450D">
        <w:rPr>
          <w:position w:val="-12"/>
        </w:rPr>
        <w:object w:dxaOrig="1180" w:dyaOrig="360" w14:anchorId="74C951F1">
          <v:shape id="_x0000_i5269" type="#_x0000_t75" style="width:59.3pt;height:18.15pt" o:ole="">
            <v:imagedata r:id="rId8536" o:title=""/>
          </v:shape>
          <o:OLEObject Type="Embed" ProgID="Equation.DSMT4" ShapeID="_x0000_i5269" DrawAspect="Content" ObjectID="_1791379213" r:id="rId8537"/>
        </w:object>
      </w:r>
      <w:r w:rsidRPr="00B6450D">
        <w:rPr>
          <w:i/>
          <w:color w:val="000000"/>
          <w:sz w:val="23"/>
          <w:szCs w:val="23"/>
        </w:rPr>
        <w:t xml:space="preserve"> </w:t>
      </w:r>
      <w:r w:rsidRPr="00B6450D">
        <w:rPr>
          <w:rFonts w:hint="cs"/>
          <w:i/>
          <w:color w:val="000000"/>
          <w:sz w:val="23"/>
          <w:szCs w:val="23"/>
          <w:rtl/>
        </w:rPr>
        <w:t>اگر در زمان</w:t>
      </w:r>
      <w:r w:rsidRPr="00B6450D">
        <w:rPr>
          <w:position w:val="-6"/>
        </w:rPr>
        <w:object w:dxaOrig="139" w:dyaOrig="240" w14:anchorId="6A597A1E">
          <v:shape id="_x0000_i5270" type="#_x0000_t75" style="width:6.65pt;height:12.1pt" o:ole="">
            <v:imagedata r:id="rId8538" o:title=""/>
          </v:shape>
          <o:OLEObject Type="Embed" ProgID="Equation.DSMT4" ShapeID="_x0000_i5270" DrawAspect="Content" ObjectID="_1791379214" r:id="rId8539"/>
        </w:object>
      </w:r>
      <w:r w:rsidRPr="00B6450D">
        <w:rPr>
          <w:i/>
          <w:color w:val="000000"/>
          <w:sz w:val="23"/>
          <w:szCs w:val="23"/>
        </w:rPr>
        <w:t xml:space="preserve"> </w:t>
      </w:r>
      <w:r w:rsidRPr="00B6450D">
        <w:rPr>
          <w:rFonts w:hint="cs"/>
          <w:i/>
          <w:color w:val="000000"/>
          <w:sz w:val="23"/>
          <w:szCs w:val="23"/>
          <w:rtl/>
        </w:rPr>
        <w:t>حباب وجود داشته باشد. انتظار می‌رود</w:t>
      </w:r>
      <w:r w:rsidRPr="00B6450D">
        <w:rPr>
          <w:position w:val="-12"/>
        </w:rPr>
        <w:object w:dxaOrig="499" w:dyaOrig="360" w14:anchorId="05AEBC93">
          <v:shape id="_x0000_i5271" type="#_x0000_t75" style="width:24.8pt;height:18.15pt" o:ole="">
            <v:imagedata r:id="rId8540" o:title=""/>
          </v:shape>
          <o:OLEObject Type="Embed" ProgID="Equation.DSMT4" ShapeID="_x0000_i5271" DrawAspect="Content" ObjectID="_1791379215" r:id="rId8541"/>
        </w:object>
      </w:r>
      <w:r w:rsidRPr="00B6450D">
        <w:rPr>
          <w:i/>
          <w:color w:val="000000"/>
          <w:sz w:val="23"/>
          <w:szCs w:val="23"/>
          <w:rtl/>
        </w:rPr>
        <w:t xml:space="preserve"> </w:t>
      </w:r>
      <w:r w:rsidRPr="00B6450D">
        <w:rPr>
          <w:rFonts w:hint="cs"/>
          <w:i/>
          <w:color w:val="000000"/>
          <w:sz w:val="23"/>
          <w:szCs w:val="23"/>
          <w:rtl/>
        </w:rPr>
        <w:t xml:space="preserve">نزدیک یک و </w:t>
      </w:r>
      <w:r w:rsidRPr="00B6450D">
        <w:rPr>
          <w:position w:val="-12"/>
        </w:rPr>
        <w:object w:dxaOrig="480" w:dyaOrig="360" w14:anchorId="1B85078E">
          <v:shape id="_x0000_i5272" type="#_x0000_t75" style="width:24.2pt;height:18.15pt" o:ole="">
            <v:imagedata r:id="rId8542" o:title=""/>
          </v:shape>
          <o:OLEObject Type="Embed" ProgID="Equation.DSMT4" ShapeID="_x0000_i5272" DrawAspect="Content" ObjectID="_1791379216" r:id="rId8543"/>
        </w:object>
      </w:r>
      <w:r w:rsidRPr="00B6450D">
        <w:rPr>
          <w:rFonts w:hint="cs"/>
          <w:i/>
          <w:color w:val="000000"/>
          <w:sz w:val="23"/>
          <w:szCs w:val="23"/>
          <w:rtl/>
        </w:rPr>
        <w:t xml:space="preserve"> نزدیک صفر باشد.</w:t>
      </w:r>
      <w:r w:rsidRPr="00B6450D">
        <w:rPr>
          <w:rFonts w:hint="cs"/>
          <w:i/>
          <w:color w:val="000000"/>
          <w:sz w:val="23"/>
          <w:szCs w:val="23"/>
        </w:rPr>
        <w:t xml:space="preserve"> </w:t>
      </w:r>
      <w:r w:rsidRPr="00B6450D">
        <w:rPr>
          <w:rFonts w:hint="cs"/>
          <w:i/>
          <w:color w:val="000000"/>
          <w:sz w:val="23"/>
          <w:szCs w:val="23"/>
          <w:rtl/>
        </w:rPr>
        <w:t>بنابراین</w:t>
      </w:r>
      <w:r w:rsidRPr="00B6450D">
        <w:rPr>
          <w:position w:val="-12"/>
        </w:rPr>
        <w:object w:dxaOrig="560" w:dyaOrig="360" w14:anchorId="597F963F">
          <v:shape id="_x0000_i5273" type="#_x0000_t75" style="width:27.85pt;height:18.15pt" o:ole="">
            <v:imagedata r:id="rId8544" o:title=""/>
          </v:shape>
          <o:OLEObject Type="Embed" ProgID="Equation.DSMT4" ShapeID="_x0000_i5273" DrawAspect="Content" ObjectID="_1791379217" r:id="rId8545"/>
        </w:object>
      </w:r>
      <w:r w:rsidRPr="00B6450D">
        <w:rPr>
          <w:rFonts w:hint="cs"/>
          <w:i/>
          <w:color w:val="000000"/>
          <w:sz w:val="23"/>
          <w:szCs w:val="23"/>
          <w:rtl/>
        </w:rPr>
        <w:t>براساس وجود و یا عدم وجود حباب تغییر خواهد کرد. راه دیگر ایجاد این احتمالات را نیز می‌توان مورد استفاده قرار داد. برای مثال، اگر قیمت دارایی با شتاب افزایش یابد، آنگاه احتمال این</w:t>
      </w:r>
      <w:r w:rsidRPr="00B6450D">
        <w:rPr>
          <w:i/>
          <w:color w:val="000000"/>
          <w:sz w:val="23"/>
          <w:szCs w:val="23"/>
          <w:rtl/>
        </w:rPr>
        <w:softHyphen/>
      </w:r>
      <w:r w:rsidRPr="00B6450D">
        <w:rPr>
          <w:rFonts w:hint="cs"/>
          <w:i/>
          <w:color w:val="000000"/>
          <w:sz w:val="23"/>
          <w:szCs w:val="23"/>
          <w:rtl/>
        </w:rPr>
        <w:t>که حباب ایجاد و به زودی بترکد بسیار زیاد است.</w:t>
      </w:r>
      <w:r w:rsidRPr="00B6450D">
        <w:rPr>
          <w:rStyle w:val="FootnoteReference"/>
          <w:i/>
          <w:sz w:val="23"/>
          <w:szCs w:val="23"/>
          <w:rtl/>
        </w:rPr>
        <w:footnoteReference w:id="264"/>
      </w:r>
    </w:p>
    <w:p w14:paraId="0ED44E3D" w14:textId="77777777" w:rsidR="00556C10" w:rsidRPr="00B6450D" w:rsidRDefault="00556C10" w:rsidP="00556C10">
      <w:pPr>
        <w:tabs>
          <w:tab w:val="right" w:pos="-83"/>
          <w:tab w:val="right" w:pos="7"/>
        </w:tabs>
        <w:spacing w:line="216" w:lineRule="auto"/>
        <w:rPr>
          <w:i/>
          <w:sz w:val="23"/>
          <w:szCs w:val="23"/>
          <w:rtl/>
        </w:rPr>
      </w:pPr>
    </w:p>
    <w:p w14:paraId="01CA3402" w14:textId="77777777" w:rsidR="00556C10" w:rsidRPr="00B6450D" w:rsidRDefault="00556C10" w:rsidP="00556C10">
      <w:pPr>
        <w:pStyle w:val="Heading1"/>
        <w:spacing w:before="0" w:line="216" w:lineRule="auto"/>
        <w:rPr>
          <w:rFonts w:ascii="Times New Roman" w:hAnsi="Times New Roman" w:cs="B Nazanin"/>
          <w:b w:val="0"/>
          <w:i/>
          <w:sz w:val="23"/>
          <w:szCs w:val="23"/>
          <w:rtl/>
        </w:rPr>
      </w:pPr>
      <w:r w:rsidRPr="00B6450D">
        <w:rPr>
          <w:rFonts w:ascii="Times New Roman" w:hAnsi="Times New Roman" w:cs="B Nazanin" w:hint="cs"/>
          <w:b w:val="0"/>
          <w:i/>
          <w:sz w:val="23"/>
          <w:szCs w:val="23"/>
          <w:rtl/>
        </w:rPr>
        <w:t>۱۲. ۲. ۲ مدل تعادل عمومی قیمت‌های سهام</w:t>
      </w:r>
    </w:p>
    <w:p w14:paraId="4539ECE5" w14:textId="77777777" w:rsidR="00556C10" w:rsidRPr="00B6450D" w:rsidRDefault="00556C10" w:rsidP="00556C10">
      <w:pPr>
        <w:tabs>
          <w:tab w:val="right" w:pos="-83"/>
          <w:tab w:val="right" w:pos="7"/>
        </w:tabs>
        <w:spacing w:line="216" w:lineRule="auto"/>
        <w:rPr>
          <w:i/>
          <w:color w:val="000000"/>
          <w:sz w:val="23"/>
          <w:szCs w:val="23"/>
          <w:rtl/>
        </w:rPr>
      </w:pPr>
      <w:r w:rsidRPr="00B6450D">
        <w:rPr>
          <w:rFonts w:hint="cs"/>
          <w:i/>
          <w:color w:val="000000"/>
          <w:sz w:val="23"/>
          <w:szCs w:val="23"/>
          <w:rtl/>
        </w:rPr>
        <w:t>بر طبق نظریه قیمت گذاری دارایی در فصل یازدهم، نرخ بازدهی حقیقی تعادل عمومی سهام رابطه</w:t>
      </w:r>
      <w:r w:rsidRPr="00B6450D">
        <w:rPr>
          <w:rFonts w:hint="cs"/>
          <w:i/>
          <w:color w:val="000000"/>
          <w:sz w:val="23"/>
          <w:szCs w:val="23"/>
          <w:rtl/>
        </w:rPr>
        <w:softHyphen/>
        <w:t>ی زیر را برقرار می</w:t>
      </w:r>
      <w:r w:rsidRPr="00B6450D">
        <w:rPr>
          <w:rFonts w:hint="cs"/>
          <w:i/>
          <w:color w:val="000000"/>
          <w:sz w:val="23"/>
          <w:szCs w:val="23"/>
          <w:rtl/>
        </w:rPr>
        <w:softHyphen/>
        <w:t>سازد</w:t>
      </w:r>
    </w:p>
    <w:p w14:paraId="5A41E190" w14:textId="77777777" w:rsidR="00556C10" w:rsidRPr="00B6450D" w:rsidRDefault="00556C10" w:rsidP="00556C10">
      <w:pPr>
        <w:tabs>
          <w:tab w:val="right" w:pos="-83"/>
          <w:tab w:val="right" w:pos="7"/>
        </w:tabs>
        <w:bidi w:val="0"/>
        <w:spacing w:line="216" w:lineRule="auto"/>
        <w:rPr>
          <w:i/>
          <w:sz w:val="23"/>
          <w:szCs w:val="23"/>
          <w:rtl/>
        </w:rPr>
      </w:pPr>
      <w:r w:rsidRPr="00B6450D">
        <w:rPr>
          <w:position w:val="-30"/>
        </w:rPr>
        <w:object w:dxaOrig="2420" w:dyaOrig="720" w14:anchorId="0EB3C98E">
          <v:shape id="_x0000_i5274" type="#_x0000_t75" style="width:121pt;height:36.3pt" o:ole="">
            <v:imagedata r:id="rId8546" o:title=""/>
          </v:shape>
          <o:OLEObject Type="Embed" ProgID="Equation.DSMT4" ShapeID="_x0000_i5274" DrawAspect="Content" ObjectID="_1791379218" r:id="rId8547"/>
        </w:object>
      </w:r>
    </w:p>
    <w:p w14:paraId="2C773006" w14:textId="77777777" w:rsidR="00556C10" w:rsidRPr="00B6450D" w:rsidRDefault="00556C10" w:rsidP="00556C10">
      <w:pPr>
        <w:tabs>
          <w:tab w:val="right" w:pos="-83"/>
          <w:tab w:val="right" w:pos="7"/>
        </w:tabs>
        <w:spacing w:line="216" w:lineRule="auto"/>
        <w:rPr>
          <w:i/>
          <w:color w:val="000000"/>
          <w:sz w:val="23"/>
          <w:szCs w:val="23"/>
          <w:rtl/>
        </w:rPr>
      </w:pPr>
      <w:r w:rsidRPr="00B6450D">
        <w:rPr>
          <w:rFonts w:hint="cs"/>
          <w:i/>
          <w:color w:val="000000"/>
          <w:sz w:val="23"/>
          <w:szCs w:val="23"/>
          <w:rtl/>
        </w:rPr>
        <w:t>و شرط عدم وجود آربیتراژ عبارت است از</w:t>
      </w:r>
    </w:p>
    <w:p w14:paraId="737A206E" w14:textId="77777777" w:rsidR="00556C10" w:rsidRPr="00B6450D" w:rsidRDefault="00556C10" w:rsidP="00556C10">
      <w:pPr>
        <w:tabs>
          <w:tab w:val="right" w:pos="-83"/>
          <w:tab w:val="right" w:pos="7"/>
        </w:tabs>
        <w:bidi w:val="0"/>
        <w:spacing w:line="216" w:lineRule="auto"/>
        <w:rPr>
          <w:i/>
          <w:sz w:val="23"/>
          <w:szCs w:val="23"/>
          <w:rtl/>
        </w:rPr>
      </w:pPr>
      <w:r w:rsidRPr="00B6450D">
        <w:rPr>
          <w:position w:val="-30"/>
        </w:rPr>
        <w:object w:dxaOrig="4020" w:dyaOrig="700" w14:anchorId="2247F7D2">
          <v:shape id="_x0000_i5275" type="#_x0000_t75" style="width:200.85pt;height:35.1pt" o:ole="">
            <v:imagedata r:id="rId8548" o:title=""/>
          </v:shape>
          <o:OLEObject Type="Embed" ProgID="Equation.DSMT4" ShapeID="_x0000_i5275" DrawAspect="Content" ObjectID="_1791379219" r:id="rId8549"/>
        </w:object>
      </w:r>
      <w:r w:rsidRPr="00B6450D">
        <w:rPr>
          <w:rFonts w:hint="cs"/>
          <w:i/>
          <w:color w:val="000000"/>
          <w:sz w:val="23"/>
          <w:szCs w:val="23"/>
          <w:rtl/>
        </w:rPr>
        <w:tab/>
      </w:r>
      <w:r w:rsidRPr="00B6450D">
        <w:rPr>
          <w:i/>
          <w:color w:val="000000"/>
          <w:sz w:val="23"/>
          <w:szCs w:val="23"/>
        </w:rPr>
        <w:tab/>
      </w:r>
      <w:r w:rsidRPr="00B6450D">
        <w:rPr>
          <w:i/>
          <w:color w:val="000000"/>
          <w:sz w:val="23"/>
          <w:szCs w:val="23"/>
        </w:rPr>
        <w:tab/>
      </w:r>
      <w:r w:rsidRPr="00B6450D">
        <w:rPr>
          <w:i/>
          <w:color w:val="000000"/>
          <w:sz w:val="23"/>
          <w:szCs w:val="23"/>
        </w:rPr>
        <w:tab/>
      </w:r>
      <w:r>
        <w:rPr>
          <w:i/>
          <w:color w:val="000000"/>
          <w:sz w:val="23"/>
          <w:szCs w:val="23"/>
          <w:rtl/>
        </w:rPr>
        <w:tab/>
      </w:r>
      <w:r w:rsidRPr="00B6450D">
        <w:rPr>
          <w:i/>
          <w:color w:val="000000"/>
          <w:sz w:val="23"/>
          <w:szCs w:val="23"/>
        </w:rPr>
        <w:tab/>
      </w:r>
      <w:r w:rsidRPr="00B6450D">
        <w:rPr>
          <w:rFonts w:hint="cs"/>
          <w:i/>
          <w:color w:val="000000"/>
          <w:sz w:val="23"/>
          <w:szCs w:val="23"/>
          <w:rtl/>
        </w:rPr>
        <w:tab/>
        <w:t xml:space="preserve"> (۱۲. ۸)</w:t>
      </w:r>
    </w:p>
    <w:p w14:paraId="2F3B1C64" w14:textId="77777777" w:rsidR="00556C10" w:rsidRPr="00B6450D" w:rsidRDefault="00556C10" w:rsidP="00556C10">
      <w:pPr>
        <w:tabs>
          <w:tab w:val="right" w:pos="-83"/>
          <w:tab w:val="right" w:pos="7"/>
        </w:tabs>
        <w:spacing w:line="216" w:lineRule="auto"/>
        <w:rPr>
          <w:i/>
          <w:sz w:val="23"/>
          <w:szCs w:val="23"/>
        </w:rPr>
      </w:pPr>
      <w:r w:rsidRPr="00B6450D">
        <w:rPr>
          <w:rFonts w:hint="cs"/>
          <w:i/>
          <w:color w:val="000000"/>
          <w:sz w:val="23"/>
          <w:szCs w:val="23"/>
          <w:rtl/>
        </w:rPr>
        <w:t xml:space="preserve">که در آن </w:t>
      </w:r>
      <w:r w:rsidRPr="00B6450D">
        <w:rPr>
          <w:position w:val="-30"/>
        </w:rPr>
        <w:object w:dxaOrig="1579" w:dyaOrig="700" w14:anchorId="3DFB05B6">
          <v:shape id="_x0000_i5276" type="#_x0000_t75" style="width:78.65pt;height:35.1pt" o:ole="">
            <v:imagedata r:id="rId8550" o:title=""/>
          </v:shape>
          <o:OLEObject Type="Embed" ProgID="Equation.DSMT4" ShapeID="_x0000_i5276" DrawAspect="Content" ObjectID="_1791379220" r:id="rId8551"/>
        </w:object>
      </w:r>
      <w:r w:rsidRPr="00B6450D">
        <w:rPr>
          <w:rFonts w:cs="Cambria" w:hint="cs"/>
          <w:i/>
          <w:color w:val="000000"/>
          <w:sz w:val="23"/>
          <w:szCs w:val="23"/>
          <w:rtl/>
        </w:rPr>
        <w:t> </w:t>
      </w:r>
      <w:r w:rsidRPr="00B6450D">
        <w:rPr>
          <w:rFonts w:hint="cs"/>
          <w:i/>
          <w:color w:val="000000"/>
          <w:sz w:val="23"/>
          <w:szCs w:val="23"/>
          <w:rtl/>
        </w:rPr>
        <w:t>ضریب ریسک گریزی نسبی است.</w:t>
      </w:r>
    </w:p>
    <w:p w14:paraId="09BCE8B2" w14:textId="77777777" w:rsidR="00556C10" w:rsidRPr="00B6450D" w:rsidRDefault="00556C10" w:rsidP="00556C10">
      <w:pPr>
        <w:tabs>
          <w:tab w:val="right" w:pos="-83"/>
          <w:tab w:val="right" w:pos="7"/>
        </w:tabs>
        <w:spacing w:line="216" w:lineRule="auto"/>
        <w:rPr>
          <w:i/>
          <w:color w:val="000000"/>
          <w:sz w:val="23"/>
          <w:szCs w:val="23"/>
          <w:rtl/>
        </w:rPr>
      </w:pPr>
    </w:p>
    <w:p w14:paraId="2F37A944" w14:textId="77777777" w:rsidR="00556C10" w:rsidRPr="00B6450D" w:rsidRDefault="00556C10" w:rsidP="00556C10">
      <w:pPr>
        <w:tabs>
          <w:tab w:val="right" w:pos="-83"/>
          <w:tab w:val="right" w:pos="7"/>
        </w:tabs>
        <w:spacing w:line="216" w:lineRule="auto"/>
        <w:rPr>
          <w:bCs/>
          <w:i/>
          <w:sz w:val="23"/>
          <w:szCs w:val="23"/>
        </w:rPr>
      </w:pPr>
      <w:r w:rsidRPr="00B6450D">
        <w:rPr>
          <w:rFonts w:hint="cs"/>
          <w:bCs/>
          <w:i/>
          <w:color w:val="000000"/>
          <w:sz w:val="23"/>
          <w:szCs w:val="23"/>
          <w:rtl/>
        </w:rPr>
        <w:t>معمای سهام -پاداش</w:t>
      </w:r>
    </w:p>
    <w:p w14:paraId="05655CD0" w14:textId="77777777" w:rsidR="00556C10" w:rsidRPr="00B6450D" w:rsidRDefault="00556C10" w:rsidP="00556C10">
      <w:pPr>
        <w:tabs>
          <w:tab w:val="right" w:pos="-83"/>
          <w:tab w:val="right" w:pos="7"/>
        </w:tabs>
        <w:spacing w:line="216" w:lineRule="auto"/>
        <w:rPr>
          <w:i/>
          <w:color w:val="000000"/>
          <w:sz w:val="23"/>
          <w:szCs w:val="23"/>
          <w:rtl/>
        </w:rPr>
      </w:pPr>
      <w:r w:rsidRPr="00B6450D">
        <w:rPr>
          <w:rFonts w:hint="cs"/>
          <w:i/>
          <w:color w:val="000000"/>
          <w:sz w:val="23"/>
          <w:szCs w:val="23"/>
          <w:rtl/>
        </w:rPr>
        <w:t>متاسفانه، شواهد تجربی مؤید نظریه فوق نیست و نشان می‌دهد که مازاد بازدهی انتظاری سهم بسیار بیشتر از سمت راست معادله‌ی (۱۲. ۸) است، مگر آنکه مقدار</w:t>
      </w:r>
      <w:r w:rsidRPr="00B6450D">
        <w:rPr>
          <w:position w:val="-10"/>
        </w:rPr>
        <w:object w:dxaOrig="260" w:dyaOrig="320" w14:anchorId="6216E976">
          <v:shape id="_x0000_i5277" type="#_x0000_t75" style="width:12.7pt;height:15.75pt" o:ole="">
            <v:imagedata r:id="rId8552" o:title=""/>
          </v:shape>
          <o:OLEObject Type="Embed" ProgID="Equation.DSMT4" ShapeID="_x0000_i5277" DrawAspect="Content" ObjectID="_1791379221" r:id="rId8553"/>
        </w:object>
      </w:r>
      <w:r w:rsidRPr="00B6450D">
        <w:rPr>
          <w:rFonts w:hint="cs"/>
          <w:i/>
          <w:color w:val="000000"/>
          <w:sz w:val="23"/>
          <w:szCs w:val="23"/>
          <w:rtl/>
        </w:rPr>
        <w:t xml:space="preserve"> بسیار زیاد باشد. به این مسئله معمای سهام- پاداش گویند. مسئله به این صورت است که </w:t>
      </w:r>
      <w:r w:rsidRPr="00B6450D">
        <w:rPr>
          <w:position w:val="-12"/>
        </w:rPr>
        <w:object w:dxaOrig="2260" w:dyaOrig="360" w14:anchorId="2407459C">
          <v:shape id="_x0000_i5278" type="#_x0000_t75" style="width:113.15pt;height:18.15pt" o:ole="">
            <v:imagedata r:id="rId8554" o:title=""/>
          </v:shape>
          <o:OLEObject Type="Embed" ProgID="Equation.DSMT4" ShapeID="_x0000_i5278" DrawAspect="Content" ObjectID="_1791379222" r:id="rId8555"/>
        </w:object>
      </w:r>
      <w:r w:rsidRPr="00B6450D">
        <w:rPr>
          <w:rFonts w:hint="cs"/>
          <w:i/>
          <w:sz w:val="23"/>
          <w:szCs w:val="23"/>
          <w:rtl/>
        </w:rPr>
        <w:t xml:space="preserve"> </w:t>
      </w:r>
      <w:r w:rsidRPr="00B6450D">
        <w:rPr>
          <w:rFonts w:hint="cs"/>
          <w:i/>
          <w:color w:val="000000"/>
          <w:sz w:val="23"/>
          <w:szCs w:val="23"/>
          <w:rtl/>
        </w:rPr>
        <w:t>می</w:t>
      </w:r>
      <w:r w:rsidRPr="00B6450D">
        <w:rPr>
          <w:i/>
          <w:color w:val="000000"/>
          <w:sz w:val="23"/>
          <w:szCs w:val="23"/>
          <w:rtl/>
        </w:rPr>
        <w:softHyphen/>
      </w:r>
      <w:r w:rsidRPr="00B6450D">
        <w:rPr>
          <w:rFonts w:hint="cs"/>
          <w:i/>
          <w:color w:val="000000"/>
          <w:sz w:val="23"/>
          <w:szCs w:val="23"/>
          <w:rtl/>
        </w:rPr>
        <w:t>بایست به اندازه‌ی کافی تغییرپذیر باشد تا نوسانات مازاد بازدهی</w:t>
      </w:r>
      <w:r w:rsidRPr="00B6450D">
        <w:rPr>
          <w:position w:val="-10"/>
        </w:rPr>
        <w:object w:dxaOrig="700" w:dyaOrig="340" w14:anchorId="4606412C">
          <v:shape id="_x0000_i5279" type="#_x0000_t75" style="width:35.1pt;height:16.95pt" o:ole="">
            <v:imagedata r:id="rId8556" o:title=""/>
          </v:shape>
          <o:OLEObject Type="Embed" ProgID="Equation.DSMT4" ShapeID="_x0000_i5279" DrawAspect="Content" ObjectID="_1791379223" r:id="rId8557"/>
        </w:object>
      </w:r>
      <w:r w:rsidRPr="00B6450D">
        <w:rPr>
          <w:rFonts w:hint="cs"/>
          <w:i/>
          <w:color w:val="000000"/>
          <w:sz w:val="23"/>
          <w:szCs w:val="23"/>
          <w:rtl/>
        </w:rPr>
        <w:t xml:space="preserve"> را جبران کند و از آنجا که </w:t>
      </w:r>
      <w:r w:rsidRPr="00B6450D">
        <w:rPr>
          <w:position w:val="-10"/>
        </w:rPr>
        <w:object w:dxaOrig="639" w:dyaOrig="320" w14:anchorId="78FF041B">
          <v:shape id="_x0000_i5280" type="#_x0000_t75" style="width:31.45pt;height:15.75pt" o:ole="">
            <v:imagedata r:id="rId8558" o:title=""/>
          </v:shape>
          <o:OLEObject Type="Embed" ProgID="Equation.DSMT4" ShapeID="_x0000_i5280" DrawAspect="Content" ObjectID="_1791379224" r:id="rId8559"/>
        </w:object>
      </w:r>
      <w:r w:rsidRPr="00B6450D">
        <w:rPr>
          <w:rFonts w:cs="Cambria" w:hint="cs"/>
          <w:i/>
          <w:color w:val="000000"/>
          <w:sz w:val="23"/>
          <w:szCs w:val="23"/>
          <w:rtl/>
        </w:rPr>
        <w:t> </w:t>
      </w:r>
      <w:r w:rsidRPr="00B6450D">
        <w:rPr>
          <w:rFonts w:hint="cs"/>
          <w:i/>
          <w:color w:val="000000"/>
          <w:sz w:val="23"/>
          <w:szCs w:val="23"/>
          <w:rtl/>
        </w:rPr>
        <w:t xml:space="preserve">و به تبع آن </w:t>
      </w:r>
      <w:r w:rsidRPr="00B6450D">
        <w:rPr>
          <w:position w:val="-30"/>
        </w:rPr>
        <w:object w:dxaOrig="1920" w:dyaOrig="700" w14:anchorId="6A4D78D1">
          <v:shape id="_x0000_i5281" type="#_x0000_t75" style="width:96.2pt;height:35.1pt" o:ole="">
            <v:imagedata r:id="rId8560" o:title=""/>
          </v:shape>
          <o:OLEObject Type="Embed" ProgID="Equation.DSMT4" ShapeID="_x0000_i5281" DrawAspect="Content" ObjectID="_1791379225" r:id="rId8561"/>
        </w:object>
      </w:r>
      <w:r w:rsidRPr="00B6450D">
        <w:rPr>
          <w:rFonts w:hint="cs"/>
          <w:i/>
          <w:color w:val="000000"/>
          <w:sz w:val="23"/>
          <w:szCs w:val="23"/>
          <w:rtl/>
        </w:rPr>
        <w:t xml:space="preserve"> به اندازه‌کافی تغییرپذیر نیستند، لذا افزایش</w:t>
      </w:r>
      <w:r w:rsidRPr="00B6450D">
        <w:rPr>
          <w:position w:val="-6"/>
        </w:rPr>
        <w:object w:dxaOrig="220" w:dyaOrig="200" w14:anchorId="3920D141">
          <v:shape id="_x0000_i5282" type="#_x0000_t75" style="width:10.9pt;height:10.3pt" o:ole="">
            <v:imagedata r:id="rId8562" o:title=""/>
          </v:shape>
          <o:OLEObject Type="Embed" ProgID="Equation.DSMT4" ShapeID="_x0000_i5282" DrawAspect="Content" ObjectID="_1791379226" r:id="rId8563"/>
        </w:object>
      </w:r>
      <w:r w:rsidRPr="00B6450D">
        <w:rPr>
          <w:rFonts w:cs="Cambria" w:hint="cs"/>
          <w:i/>
          <w:color w:val="000000"/>
          <w:sz w:val="23"/>
          <w:szCs w:val="23"/>
          <w:rtl/>
        </w:rPr>
        <w:t> </w:t>
      </w:r>
      <w:r w:rsidRPr="00B6450D">
        <w:rPr>
          <w:rFonts w:hint="cs"/>
          <w:i/>
          <w:color w:val="000000"/>
          <w:sz w:val="23"/>
          <w:szCs w:val="23"/>
          <w:rtl/>
        </w:rPr>
        <w:t>ضروری است. در این صورت</w:t>
      </w:r>
      <w:r w:rsidRPr="00B6450D">
        <w:rPr>
          <w:position w:val="-10"/>
        </w:rPr>
        <w:object w:dxaOrig="480" w:dyaOrig="320" w14:anchorId="3B087099">
          <v:shape id="_x0000_i5283" type="#_x0000_t75" style="width:24.2pt;height:15.75pt" o:ole="">
            <v:imagedata r:id="rId8564" o:title=""/>
          </v:shape>
          <o:OLEObject Type="Embed" ProgID="Equation.DSMT4" ShapeID="_x0000_i5283" DrawAspect="Content" ObjectID="_1791379227" r:id="rId8565"/>
        </w:object>
      </w:r>
      <w:r w:rsidRPr="00B6450D">
        <w:rPr>
          <w:i/>
          <w:color w:val="000000"/>
          <w:sz w:val="23"/>
          <w:szCs w:val="23"/>
          <w:rtl/>
        </w:rPr>
        <w:t xml:space="preserve"> </w:t>
      </w:r>
      <w:r w:rsidRPr="00B6450D">
        <w:rPr>
          <w:rFonts w:hint="cs"/>
          <w:i/>
          <w:color w:val="000000"/>
          <w:sz w:val="23"/>
          <w:szCs w:val="23"/>
          <w:rtl/>
        </w:rPr>
        <w:t>به اندازه‌کافی تغییرپذیر خواهد بود.</w:t>
      </w:r>
    </w:p>
    <w:p w14:paraId="1CA65980" w14:textId="77777777" w:rsidR="00556C10" w:rsidRPr="00B6450D" w:rsidRDefault="00556C10" w:rsidP="00556C10">
      <w:pPr>
        <w:tabs>
          <w:tab w:val="right" w:pos="-83"/>
          <w:tab w:val="right" w:pos="7"/>
        </w:tabs>
        <w:spacing w:line="216" w:lineRule="auto"/>
        <w:rPr>
          <w:i/>
          <w:sz w:val="23"/>
          <w:szCs w:val="23"/>
          <w:rtl/>
        </w:rPr>
      </w:pPr>
    </w:p>
    <w:p w14:paraId="34C45759" w14:textId="77777777" w:rsidR="00556C10" w:rsidRPr="00B6450D" w:rsidRDefault="00556C10" w:rsidP="00556C10">
      <w:pPr>
        <w:tabs>
          <w:tab w:val="right" w:pos="-83"/>
          <w:tab w:val="right" w:pos="7"/>
        </w:tabs>
        <w:spacing w:line="216" w:lineRule="auto"/>
        <w:rPr>
          <w:bCs/>
          <w:i/>
          <w:sz w:val="23"/>
          <w:szCs w:val="23"/>
          <w:rtl/>
        </w:rPr>
      </w:pPr>
      <w:r w:rsidRPr="00B6450D">
        <w:rPr>
          <w:rFonts w:hint="cs"/>
          <w:bCs/>
          <w:i/>
          <w:color w:val="000000"/>
          <w:sz w:val="23"/>
          <w:szCs w:val="23"/>
          <w:rtl/>
        </w:rPr>
        <w:lastRenderedPageBreak/>
        <w:t>پاسخ‌های معمای سهام-پاداش</w:t>
      </w:r>
    </w:p>
    <w:p w14:paraId="6B57AE9F" w14:textId="77777777" w:rsidR="00556C10" w:rsidRPr="00B6450D" w:rsidRDefault="00556C10" w:rsidP="00556C10">
      <w:pPr>
        <w:tabs>
          <w:tab w:val="right" w:pos="-83"/>
          <w:tab w:val="right" w:pos="7"/>
        </w:tabs>
        <w:spacing w:line="216" w:lineRule="auto"/>
        <w:rPr>
          <w:i/>
          <w:sz w:val="23"/>
          <w:szCs w:val="23"/>
        </w:rPr>
      </w:pPr>
      <w:r w:rsidRPr="00B6450D">
        <w:rPr>
          <w:rFonts w:hint="cs"/>
          <w:i/>
          <w:color w:val="000000"/>
          <w:sz w:val="23"/>
          <w:szCs w:val="23"/>
          <w:rtl/>
        </w:rPr>
        <w:t>مهمترین پاسخ، انتخاب تابع مطلوبیتی است که پاداش ریسک بیشتر را ایجاد کند. در این</w:t>
      </w:r>
      <w:r w:rsidRPr="00B6450D">
        <w:rPr>
          <w:i/>
          <w:color w:val="000000"/>
          <w:sz w:val="23"/>
          <w:szCs w:val="23"/>
          <w:rtl/>
        </w:rPr>
        <w:softHyphen/>
      </w:r>
      <w:r w:rsidRPr="00B6450D">
        <w:rPr>
          <w:rFonts w:hint="cs"/>
          <w:i/>
          <w:color w:val="000000"/>
          <w:sz w:val="23"/>
          <w:szCs w:val="23"/>
          <w:rtl/>
        </w:rPr>
        <w:t>جا بر فرض مطلوبیت زمان-تفکیک</w:t>
      </w:r>
      <w:r w:rsidRPr="00B6450D">
        <w:rPr>
          <w:i/>
          <w:color w:val="000000"/>
          <w:sz w:val="23"/>
          <w:szCs w:val="23"/>
          <w:rtl/>
        </w:rPr>
        <w:softHyphen/>
      </w:r>
      <w:r w:rsidRPr="00B6450D">
        <w:rPr>
          <w:rFonts w:hint="cs"/>
          <w:i/>
          <w:color w:val="000000"/>
          <w:sz w:val="23"/>
          <w:szCs w:val="23"/>
          <w:rtl/>
        </w:rPr>
        <w:t>پذیر توجه می</w:t>
      </w:r>
      <w:r w:rsidRPr="00B6450D">
        <w:rPr>
          <w:i/>
          <w:color w:val="000000"/>
          <w:sz w:val="23"/>
          <w:szCs w:val="23"/>
          <w:rtl/>
        </w:rPr>
        <w:softHyphen/>
      </w:r>
      <w:r w:rsidRPr="00B6450D">
        <w:rPr>
          <w:rFonts w:hint="cs"/>
          <w:i/>
          <w:color w:val="000000"/>
          <w:sz w:val="23"/>
          <w:szCs w:val="23"/>
          <w:rtl/>
        </w:rPr>
        <w:t>شود. مثال دیگر از مطلوبیت زمان تفکیک</w:t>
      </w:r>
      <w:r w:rsidRPr="00B6450D">
        <w:rPr>
          <w:i/>
          <w:color w:val="000000"/>
          <w:sz w:val="23"/>
          <w:szCs w:val="23"/>
          <w:rtl/>
        </w:rPr>
        <w:softHyphen/>
      </w:r>
      <w:r w:rsidRPr="00B6450D">
        <w:rPr>
          <w:rFonts w:hint="cs"/>
          <w:i/>
          <w:color w:val="000000"/>
          <w:sz w:val="23"/>
          <w:szCs w:val="23"/>
          <w:rtl/>
        </w:rPr>
        <w:t>ناپذیر مدل عادت دائمی است که در آن</w:t>
      </w:r>
      <w:r w:rsidRPr="00B6450D">
        <w:rPr>
          <w:position w:val="-12"/>
        </w:rPr>
        <w:object w:dxaOrig="1280" w:dyaOrig="360" w14:anchorId="4DD46A15">
          <v:shape id="_x0000_i5284" type="#_x0000_t75" style="width:64.15pt;height:18.15pt" o:ole="">
            <v:imagedata r:id="rId8566" o:title=""/>
          </v:shape>
          <o:OLEObject Type="Embed" ProgID="Equation.DSMT4" ShapeID="_x0000_i5284" DrawAspect="Content" ObjectID="_1791379228" r:id="rId8567"/>
        </w:object>
      </w:r>
      <w:r w:rsidRPr="00B6450D">
        <w:rPr>
          <w:rFonts w:cs="Cambria" w:hint="cs"/>
          <w:i/>
          <w:color w:val="000000"/>
          <w:sz w:val="23"/>
          <w:szCs w:val="23"/>
          <w:rtl/>
        </w:rPr>
        <w:t> </w:t>
      </w:r>
      <w:r w:rsidRPr="00B6450D">
        <w:rPr>
          <w:rFonts w:hint="cs"/>
          <w:i/>
          <w:color w:val="000000"/>
          <w:sz w:val="23"/>
          <w:szCs w:val="23"/>
          <w:rtl/>
        </w:rPr>
        <w:t>است و</w:t>
      </w:r>
      <w:r w:rsidRPr="00B6450D">
        <w:rPr>
          <w:position w:val="-10"/>
        </w:rPr>
        <w:object w:dxaOrig="240" w:dyaOrig="320" w14:anchorId="68F692ED">
          <v:shape id="_x0000_i5285" type="#_x0000_t75" style="width:11.5pt;height:15.75pt" o:ole="">
            <v:imagedata r:id="rId8568" o:title=""/>
          </v:shape>
          <o:OLEObject Type="Embed" ProgID="Equation.DSMT4" ShapeID="_x0000_i5285" DrawAspect="Content" ObjectID="_1791379229" r:id="rId8569"/>
        </w:object>
      </w:r>
      <w:r w:rsidRPr="00B6450D">
        <w:rPr>
          <w:rFonts w:hint="cs"/>
          <w:i/>
          <w:color w:val="000000"/>
          <w:sz w:val="23"/>
          <w:szCs w:val="23"/>
          <w:rtl/>
        </w:rPr>
        <w:t xml:space="preserve"> سطح عادت از مصرف است.</w:t>
      </w:r>
    </w:p>
    <w:p w14:paraId="1DD2F9EF" w14:textId="77777777" w:rsidR="00556C10" w:rsidRPr="00B6450D" w:rsidRDefault="00556C10" w:rsidP="00556C10">
      <w:pPr>
        <w:tabs>
          <w:tab w:val="right" w:pos="-83"/>
          <w:tab w:val="right" w:pos="7"/>
        </w:tabs>
        <w:spacing w:line="216" w:lineRule="auto"/>
        <w:rPr>
          <w:i/>
          <w:color w:val="000000"/>
          <w:sz w:val="23"/>
          <w:szCs w:val="23"/>
          <w:rtl/>
        </w:rPr>
      </w:pPr>
      <w:r w:rsidRPr="00B6450D">
        <w:rPr>
          <w:rFonts w:hint="cs"/>
          <w:i/>
          <w:color w:val="000000"/>
          <w:sz w:val="23"/>
          <w:szCs w:val="23"/>
          <w:rtl/>
        </w:rPr>
        <w:t>عادت دائمی</w:t>
      </w:r>
      <w:r w:rsidRPr="00B6450D">
        <w:rPr>
          <w:i/>
          <w:color w:val="000000"/>
          <w:sz w:val="23"/>
          <w:szCs w:val="23"/>
        </w:rPr>
        <w:t>.</w:t>
      </w:r>
      <w:r w:rsidRPr="00B6450D">
        <w:rPr>
          <w:rFonts w:hint="cs"/>
          <w:i/>
          <w:color w:val="000000"/>
          <w:sz w:val="23"/>
          <w:szCs w:val="23"/>
          <w:rtl/>
        </w:rPr>
        <w:t xml:space="preserve"> در مثالی که توسط ابل</w:t>
      </w:r>
      <w:r w:rsidRPr="00B6450D">
        <w:rPr>
          <w:rStyle w:val="FootnoteReference"/>
          <w:i/>
          <w:sz w:val="23"/>
          <w:szCs w:val="23"/>
          <w:rtl/>
        </w:rPr>
        <w:footnoteReference w:id="265"/>
      </w:r>
      <w:r w:rsidRPr="00B6450D">
        <w:rPr>
          <w:rFonts w:hint="cs"/>
          <w:i/>
          <w:color w:val="000000"/>
          <w:sz w:val="23"/>
          <w:szCs w:val="23"/>
          <w:rtl/>
        </w:rPr>
        <w:t xml:space="preserve"> ارائه شده فرض می‌شود که تابع مطلوبیت را می‌توان به صورت زیر نوشت</w:t>
      </w:r>
    </w:p>
    <w:p w14:paraId="41CAF627" w14:textId="77777777" w:rsidR="00556C10" w:rsidRPr="00B6450D" w:rsidRDefault="00556C10" w:rsidP="00556C10">
      <w:pPr>
        <w:tabs>
          <w:tab w:val="right" w:pos="-83"/>
          <w:tab w:val="right" w:pos="7"/>
        </w:tabs>
        <w:bidi w:val="0"/>
        <w:spacing w:line="216" w:lineRule="auto"/>
        <w:rPr>
          <w:i/>
          <w:color w:val="000000"/>
          <w:sz w:val="23"/>
          <w:szCs w:val="23"/>
        </w:rPr>
      </w:pPr>
      <w:r w:rsidRPr="00B6450D">
        <w:rPr>
          <w:position w:val="-22"/>
        </w:rPr>
        <w:object w:dxaOrig="1719" w:dyaOrig="660" w14:anchorId="566F6C22">
          <v:shape id="_x0000_i5286" type="#_x0000_t75" style="width:85.9pt;height:32.65pt" o:ole="">
            <v:imagedata r:id="rId8570" o:title=""/>
          </v:shape>
          <o:OLEObject Type="Embed" ProgID="Equation.DSMT4" ShapeID="_x0000_i5286" DrawAspect="Content" ObjectID="_1791379230" r:id="rId8571"/>
        </w:object>
      </w:r>
    </w:p>
    <w:p w14:paraId="22521614" w14:textId="77777777" w:rsidR="00556C10" w:rsidRPr="00B6450D" w:rsidRDefault="00556C10" w:rsidP="00556C10">
      <w:pPr>
        <w:tabs>
          <w:tab w:val="right" w:pos="-83"/>
          <w:tab w:val="right" w:pos="7"/>
        </w:tabs>
        <w:spacing w:line="216" w:lineRule="auto"/>
        <w:rPr>
          <w:i/>
          <w:color w:val="000000"/>
          <w:sz w:val="23"/>
          <w:szCs w:val="23"/>
        </w:rPr>
      </w:pPr>
      <w:r w:rsidRPr="00B6450D">
        <w:rPr>
          <w:rFonts w:hint="cs"/>
          <w:i/>
          <w:color w:val="000000"/>
          <w:sz w:val="23"/>
          <w:szCs w:val="23"/>
          <w:rtl/>
        </w:rPr>
        <w:t>که در آن</w:t>
      </w:r>
      <w:r w:rsidRPr="00B6450D">
        <w:rPr>
          <w:position w:val="-10"/>
        </w:rPr>
        <w:object w:dxaOrig="240" w:dyaOrig="320" w14:anchorId="0B942C9F">
          <v:shape id="_x0000_i5287" type="#_x0000_t75" style="width:11.5pt;height:15.75pt" o:ole="">
            <v:imagedata r:id="rId8572" o:title=""/>
          </v:shape>
          <o:OLEObject Type="Embed" ProgID="Equation.DSMT4" ShapeID="_x0000_i5287" DrawAspect="Content" ObjectID="_1791379231" r:id="rId8573"/>
        </w:object>
      </w:r>
      <w:r w:rsidRPr="00B6450D">
        <w:rPr>
          <w:i/>
          <w:color w:val="000000"/>
          <w:sz w:val="23"/>
          <w:szCs w:val="23"/>
        </w:rPr>
        <w:t xml:space="preserve"> </w:t>
      </w:r>
      <w:r w:rsidRPr="00B6450D">
        <w:rPr>
          <w:rFonts w:hint="cs"/>
          <w:i/>
          <w:color w:val="000000"/>
          <w:sz w:val="23"/>
          <w:szCs w:val="23"/>
          <w:rtl/>
        </w:rPr>
        <w:t xml:space="preserve">تابعی از مصرف گذشته، مثلاٌ </w:t>
      </w:r>
      <w:r w:rsidRPr="00B6450D">
        <w:rPr>
          <w:position w:val="-10"/>
        </w:rPr>
        <w:object w:dxaOrig="740" w:dyaOrig="340" w14:anchorId="4E808230">
          <v:shape id="_x0000_i5288" type="#_x0000_t75" style="width:36.9pt;height:16.95pt" o:ole="">
            <v:imagedata r:id="rId8574" o:title=""/>
          </v:shape>
          <o:OLEObject Type="Embed" ProgID="Equation.DSMT4" ShapeID="_x0000_i5288" DrawAspect="Content" ObjectID="_1791379232" r:id="rId8575"/>
        </w:object>
      </w:r>
      <w:r w:rsidRPr="00B6450D">
        <w:rPr>
          <w:rFonts w:hint="cs"/>
          <w:i/>
          <w:color w:val="000000"/>
          <w:sz w:val="23"/>
          <w:szCs w:val="23"/>
          <w:rtl/>
        </w:rPr>
        <w:t xml:space="preserve"> است</w:t>
      </w:r>
      <w:r w:rsidRPr="00B6450D">
        <w:rPr>
          <w:i/>
          <w:color w:val="000000"/>
          <w:sz w:val="23"/>
          <w:szCs w:val="23"/>
        </w:rPr>
        <w:t>.</w:t>
      </w:r>
      <w:r w:rsidRPr="00B6450D">
        <w:rPr>
          <w:rFonts w:hint="cs"/>
          <w:i/>
          <w:color w:val="000000"/>
          <w:sz w:val="23"/>
          <w:szCs w:val="23"/>
          <w:rtl/>
        </w:rPr>
        <w:t xml:space="preserve"> آنگاه عامل تنزیل تصادفی عبارت است از</w:t>
      </w:r>
    </w:p>
    <w:p w14:paraId="4225C3EC" w14:textId="77777777" w:rsidR="00556C10" w:rsidRPr="00B6450D" w:rsidRDefault="00556C10" w:rsidP="00556C10">
      <w:pPr>
        <w:tabs>
          <w:tab w:val="right" w:pos="-83"/>
          <w:tab w:val="right" w:pos="7"/>
        </w:tabs>
        <w:bidi w:val="0"/>
        <w:spacing w:line="216" w:lineRule="auto"/>
        <w:rPr>
          <w:i/>
          <w:sz w:val="23"/>
          <w:szCs w:val="23"/>
          <w:rtl/>
        </w:rPr>
      </w:pPr>
      <w:r w:rsidRPr="00B6450D">
        <w:rPr>
          <w:position w:val="-30"/>
        </w:rPr>
        <w:object w:dxaOrig="2060" w:dyaOrig="740" w14:anchorId="330F4EA5">
          <v:shape id="_x0000_i5289" type="#_x0000_t75" style="width:102.85pt;height:36.9pt" o:ole="">
            <v:imagedata r:id="rId8576" o:title=""/>
          </v:shape>
          <o:OLEObject Type="Embed" ProgID="Equation.DSMT4" ShapeID="_x0000_i5289" DrawAspect="Content" ObjectID="_1791379233" r:id="rId8577"/>
        </w:object>
      </w:r>
    </w:p>
    <w:p w14:paraId="3DDA1997" w14:textId="77777777" w:rsidR="00556C10" w:rsidRPr="00B6450D" w:rsidRDefault="00556C10" w:rsidP="00556C10">
      <w:pPr>
        <w:tabs>
          <w:tab w:val="right" w:pos="-83"/>
          <w:tab w:val="right" w:pos="7"/>
        </w:tabs>
        <w:spacing w:line="216" w:lineRule="auto"/>
        <w:rPr>
          <w:i/>
          <w:color w:val="000000"/>
          <w:sz w:val="23"/>
          <w:szCs w:val="23"/>
          <w:rtl/>
        </w:rPr>
      </w:pPr>
      <w:r w:rsidRPr="00B6450D">
        <w:rPr>
          <w:rFonts w:hint="cs"/>
          <w:i/>
          <w:color w:val="000000"/>
          <w:sz w:val="23"/>
          <w:szCs w:val="23"/>
          <w:rtl/>
        </w:rPr>
        <w:t>اکنون نرخ بدون آربیتراژ دارای عبارت اضافی است</w:t>
      </w:r>
    </w:p>
    <w:p w14:paraId="73147C0F" w14:textId="77777777" w:rsidR="00556C10" w:rsidRPr="00B6450D" w:rsidRDefault="00556C10" w:rsidP="00556C10">
      <w:pPr>
        <w:tabs>
          <w:tab w:val="right" w:pos="-83"/>
          <w:tab w:val="right" w:pos="7"/>
        </w:tabs>
        <w:bidi w:val="0"/>
        <w:spacing w:line="216" w:lineRule="auto"/>
        <w:rPr>
          <w:i/>
          <w:sz w:val="23"/>
          <w:szCs w:val="23"/>
          <w:rtl/>
        </w:rPr>
      </w:pPr>
      <w:r w:rsidRPr="00B6450D">
        <w:rPr>
          <w:position w:val="-16"/>
        </w:rPr>
        <w:object w:dxaOrig="5840" w:dyaOrig="420" w14:anchorId="6D48D64C">
          <v:shape id="_x0000_i5290" type="#_x0000_t75" style="width:291.65pt;height:21.2pt" o:ole="">
            <v:imagedata r:id="rId8578" o:title=""/>
          </v:shape>
          <o:OLEObject Type="Embed" ProgID="Equation.DSMT4" ShapeID="_x0000_i5290" DrawAspect="Content" ObjectID="_1791379234" r:id="rId8579"/>
        </w:object>
      </w:r>
    </w:p>
    <w:p w14:paraId="73E85337" w14:textId="77777777" w:rsidR="00556C10" w:rsidRPr="00B6450D" w:rsidRDefault="00556C10" w:rsidP="00556C10">
      <w:pPr>
        <w:tabs>
          <w:tab w:val="right" w:pos="-83"/>
          <w:tab w:val="right" w:pos="7"/>
        </w:tabs>
        <w:spacing w:line="216" w:lineRule="auto"/>
        <w:rPr>
          <w:i/>
          <w:sz w:val="23"/>
          <w:szCs w:val="23"/>
          <w:rtl/>
        </w:rPr>
      </w:pPr>
      <w:r w:rsidRPr="00B6450D">
        <w:rPr>
          <w:rFonts w:hint="cs"/>
          <w:i/>
          <w:color w:val="000000"/>
          <w:sz w:val="23"/>
          <w:szCs w:val="23"/>
          <w:rtl/>
        </w:rPr>
        <w:t xml:space="preserve">منطق این نظریه در آن است که اگر </w:t>
      </w:r>
      <w:r w:rsidRPr="00B6450D">
        <w:rPr>
          <w:position w:val="-12"/>
        </w:rPr>
        <w:object w:dxaOrig="2040" w:dyaOrig="360" w14:anchorId="1E5210F5">
          <v:shape id="_x0000_i5291" type="#_x0000_t75" style="width:102.25pt;height:18.15pt" o:ole="">
            <v:imagedata r:id="rId8580" o:title=""/>
          </v:shape>
          <o:OLEObject Type="Embed" ProgID="Equation.DSMT4" ShapeID="_x0000_i5291" DrawAspect="Content" ObjectID="_1791379235" r:id="rId8581"/>
        </w:object>
      </w:r>
      <w:r w:rsidRPr="00B6450D">
        <w:rPr>
          <w:rFonts w:hint="cs"/>
          <w:i/>
          <w:color w:val="000000"/>
          <w:sz w:val="23"/>
          <w:szCs w:val="23"/>
          <w:rtl/>
        </w:rPr>
        <w:t xml:space="preserve"> به اندازه‌کافی بزرگ باشد، آنگاه می‌تواند اندازه‌پاداش ریسک را افزایش دهد. هر چند مشکل منطقی وجود دارد. اگر</w:t>
      </w:r>
      <w:r w:rsidRPr="00B6450D">
        <w:rPr>
          <w:position w:val="-10"/>
        </w:rPr>
        <w:object w:dxaOrig="240" w:dyaOrig="320" w14:anchorId="4D61377B">
          <v:shape id="_x0000_i5292" type="#_x0000_t75" style="width:11.5pt;height:15.75pt" o:ole="">
            <v:imagedata r:id="rId8582" o:title=""/>
          </v:shape>
          <o:OLEObject Type="Embed" ProgID="Equation.DSMT4" ShapeID="_x0000_i5292" DrawAspect="Content" ObjectID="_1791379236" r:id="rId8583"/>
        </w:object>
      </w:r>
      <w:r w:rsidRPr="00B6450D">
        <w:rPr>
          <w:rFonts w:cs="Cambria" w:hint="cs"/>
          <w:i/>
          <w:color w:val="000000"/>
          <w:sz w:val="23"/>
          <w:szCs w:val="23"/>
          <w:rtl/>
        </w:rPr>
        <w:t> </w:t>
      </w:r>
      <w:r w:rsidRPr="00B6450D">
        <w:rPr>
          <w:rFonts w:hint="cs"/>
          <w:i/>
          <w:color w:val="000000"/>
          <w:sz w:val="23"/>
          <w:szCs w:val="23"/>
          <w:rtl/>
        </w:rPr>
        <w:t>فقط تابعی از مصرف گذشته باشد و نه مصرف جاری (فرض قابل قبولی که ما سعی می‌کنیم عادت مصرفی را اندازه</w:t>
      </w:r>
      <w:r w:rsidRPr="00B6450D">
        <w:rPr>
          <w:i/>
          <w:color w:val="000000"/>
          <w:sz w:val="23"/>
          <w:szCs w:val="23"/>
          <w:rtl/>
        </w:rPr>
        <w:softHyphen/>
      </w:r>
      <w:r w:rsidRPr="00B6450D">
        <w:rPr>
          <w:rFonts w:hint="cs"/>
          <w:i/>
          <w:color w:val="000000"/>
          <w:sz w:val="23"/>
          <w:szCs w:val="23"/>
          <w:rtl/>
        </w:rPr>
        <w:t>گیری کنیم) آنگاه این عبارت اضافی می‌بایست برابر صفر باشد به گونه</w:t>
      </w:r>
      <w:r w:rsidRPr="00B6450D">
        <w:rPr>
          <w:i/>
          <w:color w:val="000000"/>
          <w:sz w:val="23"/>
          <w:szCs w:val="23"/>
          <w:rtl/>
        </w:rPr>
        <w:softHyphen/>
      </w:r>
      <w:r w:rsidRPr="00B6450D">
        <w:rPr>
          <w:rFonts w:hint="cs"/>
          <w:i/>
          <w:color w:val="000000"/>
          <w:sz w:val="23"/>
          <w:szCs w:val="23"/>
          <w:rtl/>
        </w:rPr>
        <w:t xml:space="preserve">ای که واریانس شرطی است و </w:t>
      </w:r>
      <w:r w:rsidRPr="00B6450D">
        <w:rPr>
          <w:position w:val="-10"/>
        </w:rPr>
        <w:object w:dxaOrig="1740" w:dyaOrig="320" w14:anchorId="259A5788">
          <v:shape id="_x0000_i5293" type="#_x0000_t75" style="width:87.15pt;height:15.75pt" o:ole="">
            <v:imagedata r:id="rId8584" o:title=""/>
          </v:shape>
          <o:OLEObject Type="Embed" ProgID="Equation.DSMT4" ShapeID="_x0000_i5293" DrawAspect="Content" ObjectID="_1791379237" r:id="rId8585"/>
        </w:object>
      </w:r>
      <w:r w:rsidRPr="00B6450D">
        <w:rPr>
          <w:rFonts w:hint="cs"/>
          <w:i/>
          <w:color w:val="000000"/>
          <w:sz w:val="23"/>
          <w:szCs w:val="23"/>
          <w:rtl/>
        </w:rPr>
        <w:t xml:space="preserve"> در زمان</w:t>
      </w:r>
      <w:r w:rsidRPr="00B6450D">
        <w:rPr>
          <w:position w:val="-6"/>
        </w:rPr>
        <w:object w:dxaOrig="139" w:dyaOrig="240" w14:anchorId="2D1CBAD3">
          <v:shape id="_x0000_i5294" type="#_x0000_t75" style="width:6.65pt;height:11.5pt" o:ole="">
            <v:imagedata r:id="rId8586" o:title=""/>
          </v:shape>
          <o:OLEObject Type="Embed" ProgID="Equation.DSMT4" ShapeID="_x0000_i5294" DrawAspect="Content" ObjectID="_1791379238" r:id="rId8587"/>
        </w:object>
      </w:r>
      <w:r w:rsidRPr="00B6450D">
        <w:rPr>
          <w:rFonts w:hint="cs"/>
          <w:i/>
          <w:color w:val="000000"/>
          <w:sz w:val="23"/>
          <w:szCs w:val="23"/>
          <w:rtl/>
        </w:rPr>
        <w:t xml:space="preserve"> شناخته شده باشد.</w:t>
      </w:r>
    </w:p>
    <w:p w14:paraId="32CD6A47" w14:textId="77777777" w:rsidR="00556C10" w:rsidRPr="00B6450D" w:rsidRDefault="00556C10" w:rsidP="00556C10">
      <w:pPr>
        <w:tabs>
          <w:tab w:val="right" w:pos="-83"/>
          <w:tab w:val="right" w:pos="7"/>
        </w:tabs>
        <w:spacing w:line="216" w:lineRule="auto"/>
        <w:rPr>
          <w:i/>
          <w:color w:val="000000"/>
          <w:sz w:val="23"/>
          <w:szCs w:val="23"/>
          <w:rtl/>
        </w:rPr>
      </w:pPr>
      <w:r w:rsidRPr="00B6450D">
        <w:rPr>
          <w:rFonts w:hint="cs"/>
          <w:i/>
          <w:color w:val="000000"/>
          <w:sz w:val="23"/>
          <w:szCs w:val="23"/>
          <w:rtl/>
        </w:rPr>
        <w:t>کونستانتینیدس</w:t>
      </w:r>
      <w:r w:rsidRPr="00B6450D">
        <w:rPr>
          <w:rStyle w:val="FootnoteReference"/>
          <w:i/>
          <w:sz w:val="23"/>
          <w:szCs w:val="23"/>
          <w:rtl/>
        </w:rPr>
        <w:footnoteReference w:id="266"/>
      </w:r>
      <w:r w:rsidRPr="00B6450D">
        <w:rPr>
          <w:rFonts w:cs="Cambria" w:hint="cs"/>
          <w:i/>
          <w:color w:val="000000"/>
          <w:sz w:val="23"/>
          <w:szCs w:val="23"/>
          <w:rtl/>
        </w:rPr>
        <w:t> </w:t>
      </w:r>
      <w:r w:rsidRPr="00B6450D">
        <w:rPr>
          <w:rFonts w:hint="cs"/>
          <w:i/>
          <w:color w:val="000000"/>
          <w:sz w:val="23"/>
          <w:szCs w:val="23"/>
          <w:rtl/>
        </w:rPr>
        <w:t>در سال ۱۹۹۰ تابع مطلوبیت عادت دائمی متفاوتی را معرفی کرد، به</w:t>
      </w:r>
      <w:r w:rsidRPr="00B6450D">
        <w:rPr>
          <w:i/>
          <w:color w:val="000000"/>
          <w:sz w:val="23"/>
          <w:szCs w:val="23"/>
        </w:rPr>
        <w:softHyphen/>
      </w:r>
      <w:r w:rsidRPr="00B6450D">
        <w:rPr>
          <w:rFonts w:hint="cs"/>
          <w:i/>
          <w:color w:val="000000"/>
          <w:sz w:val="23"/>
          <w:szCs w:val="23"/>
          <w:rtl/>
        </w:rPr>
        <w:t>صورتی</w:t>
      </w:r>
      <w:r w:rsidRPr="00B6450D">
        <w:rPr>
          <w:i/>
          <w:color w:val="000000"/>
          <w:sz w:val="23"/>
          <w:szCs w:val="23"/>
        </w:rPr>
        <w:softHyphen/>
      </w:r>
      <w:r w:rsidRPr="00B6450D">
        <w:rPr>
          <w:rFonts w:hint="cs"/>
          <w:i/>
          <w:color w:val="000000"/>
          <w:sz w:val="23"/>
          <w:szCs w:val="23"/>
          <w:rtl/>
        </w:rPr>
        <w:t>که</w:t>
      </w:r>
    </w:p>
    <w:p w14:paraId="0D730508" w14:textId="77777777" w:rsidR="00556C10" w:rsidRPr="00B6450D" w:rsidRDefault="00556C10" w:rsidP="00556C10">
      <w:pPr>
        <w:tabs>
          <w:tab w:val="right" w:pos="-83"/>
          <w:tab w:val="right" w:pos="7"/>
        </w:tabs>
        <w:bidi w:val="0"/>
        <w:spacing w:line="216" w:lineRule="auto"/>
        <w:rPr>
          <w:i/>
          <w:sz w:val="23"/>
          <w:szCs w:val="23"/>
          <w:rtl/>
        </w:rPr>
      </w:pPr>
      <w:r w:rsidRPr="00B6450D">
        <w:rPr>
          <w:position w:val="-22"/>
        </w:rPr>
        <w:object w:dxaOrig="1900" w:dyaOrig="660" w14:anchorId="4237EFE4">
          <v:shape id="_x0000_i5295" type="#_x0000_t75" style="width:95pt;height:32.65pt" o:ole="">
            <v:imagedata r:id="rId8588" o:title=""/>
          </v:shape>
          <o:OLEObject Type="Embed" ProgID="Equation.DSMT4" ShapeID="_x0000_i5295" DrawAspect="Content" ObjectID="_1791379239" r:id="rId8589"/>
        </w:object>
      </w:r>
      <w:r w:rsidRPr="00B6450D">
        <w:rPr>
          <w:rFonts w:hint="cs"/>
          <w:i/>
          <w:color w:val="000000"/>
          <w:sz w:val="23"/>
          <w:szCs w:val="23"/>
          <w:rtl/>
        </w:rPr>
        <w:tab/>
      </w:r>
      <w:r w:rsidRPr="00B6450D">
        <w:rPr>
          <w:rFonts w:hint="cs"/>
          <w:i/>
          <w:color w:val="000000"/>
          <w:sz w:val="23"/>
          <w:szCs w:val="23"/>
          <w:rtl/>
        </w:rPr>
        <w:tab/>
      </w:r>
      <w:r w:rsidRPr="00B6450D">
        <w:rPr>
          <w:rFonts w:hint="cs"/>
          <w:i/>
          <w:color w:val="000000"/>
          <w:sz w:val="23"/>
          <w:szCs w:val="23"/>
          <w:rtl/>
        </w:rPr>
        <w:tab/>
      </w:r>
      <w:r w:rsidRPr="00B6450D">
        <w:rPr>
          <w:i/>
          <w:color w:val="000000"/>
          <w:sz w:val="23"/>
          <w:szCs w:val="23"/>
        </w:rPr>
        <w:tab/>
      </w:r>
      <w:r w:rsidRPr="00B6450D">
        <w:rPr>
          <w:i/>
          <w:color w:val="000000"/>
          <w:sz w:val="23"/>
          <w:szCs w:val="23"/>
        </w:rPr>
        <w:tab/>
      </w:r>
      <w:r w:rsidRPr="00B6450D">
        <w:rPr>
          <w:i/>
          <w:color w:val="000000"/>
          <w:sz w:val="23"/>
          <w:szCs w:val="23"/>
        </w:rPr>
        <w:tab/>
      </w:r>
      <w:r w:rsidRPr="00B6450D">
        <w:rPr>
          <w:i/>
          <w:color w:val="000000"/>
          <w:sz w:val="23"/>
          <w:szCs w:val="23"/>
        </w:rPr>
        <w:tab/>
      </w:r>
      <w:r w:rsidRPr="00B6450D">
        <w:rPr>
          <w:i/>
          <w:color w:val="000000"/>
          <w:sz w:val="23"/>
          <w:szCs w:val="23"/>
        </w:rPr>
        <w:tab/>
      </w:r>
      <w:r w:rsidRPr="00B6450D">
        <w:rPr>
          <w:i/>
          <w:color w:val="000000"/>
          <w:sz w:val="23"/>
          <w:szCs w:val="23"/>
        </w:rPr>
        <w:tab/>
      </w:r>
      <w:r w:rsidRPr="00B6450D">
        <w:rPr>
          <w:i/>
          <w:color w:val="000000"/>
          <w:sz w:val="23"/>
          <w:szCs w:val="23"/>
        </w:rPr>
        <w:tab/>
      </w:r>
      <w:r w:rsidRPr="00B6450D">
        <w:rPr>
          <w:rFonts w:hint="cs"/>
          <w:i/>
          <w:color w:val="000000"/>
          <w:sz w:val="23"/>
          <w:szCs w:val="23"/>
          <w:rtl/>
        </w:rPr>
        <w:tab/>
      </w:r>
      <w:r>
        <w:rPr>
          <w:i/>
          <w:color w:val="000000"/>
          <w:sz w:val="23"/>
          <w:szCs w:val="23"/>
          <w:rtl/>
        </w:rPr>
        <w:tab/>
      </w:r>
      <w:r w:rsidRPr="00B6450D">
        <w:rPr>
          <w:i/>
          <w:color w:val="000000"/>
          <w:sz w:val="23"/>
          <w:szCs w:val="23"/>
        </w:rPr>
        <w:tab/>
      </w:r>
      <w:r w:rsidRPr="00B6450D">
        <w:rPr>
          <w:rFonts w:hint="cs"/>
          <w:i/>
          <w:color w:val="000000"/>
          <w:sz w:val="23"/>
          <w:szCs w:val="23"/>
          <w:rtl/>
        </w:rPr>
        <w:tab/>
      </w:r>
      <w:r w:rsidRPr="00B6450D">
        <w:rPr>
          <w:rFonts w:hint="cs"/>
          <w:i/>
          <w:color w:val="000000"/>
          <w:sz w:val="23"/>
          <w:szCs w:val="23"/>
          <w:rtl/>
        </w:rPr>
        <w:tab/>
        <w:t>(۱۲. ۹)</w:t>
      </w:r>
    </w:p>
    <w:p w14:paraId="1094B237" w14:textId="77777777" w:rsidR="00556C10" w:rsidRPr="00B6450D" w:rsidRDefault="00556C10" w:rsidP="00556C10">
      <w:pPr>
        <w:tabs>
          <w:tab w:val="right" w:pos="-83"/>
          <w:tab w:val="right" w:pos="7"/>
        </w:tabs>
        <w:spacing w:line="216" w:lineRule="auto"/>
        <w:rPr>
          <w:i/>
          <w:color w:val="000000"/>
          <w:sz w:val="23"/>
          <w:szCs w:val="23"/>
          <w:rtl/>
        </w:rPr>
      </w:pPr>
      <w:r w:rsidRPr="00B6450D">
        <w:rPr>
          <w:rFonts w:hint="cs"/>
          <w:i/>
          <w:color w:val="000000"/>
          <w:sz w:val="23"/>
          <w:szCs w:val="23"/>
          <w:rtl/>
        </w:rPr>
        <w:t xml:space="preserve">این رابطه به وسیله کمپل و کوکران در سال ۱۹۹۹ تعدیل شد که در آن </w:t>
      </w:r>
      <w:r w:rsidRPr="00B6450D">
        <w:rPr>
          <w:position w:val="-6"/>
        </w:rPr>
        <w:object w:dxaOrig="520" w:dyaOrig="260" w14:anchorId="76FAE35A">
          <v:shape id="_x0000_i5296" type="#_x0000_t75" style="width:26pt;height:13.3pt" o:ole="">
            <v:imagedata r:id="rId8590" o:title=""/>
          </v:shape>
          <o:OLEObject Type="Embed" ProgID="Equation.DSMT4" ShapeID="_x0000_i5296" DrawAspect="Content" ObjectID="_1791379240" r:id="rId8591"/>
        </w:object>
      </w:r>
      <w:r w:rsidRPr="00B6450D">
        <w:rPr>
          <w:rFonts w:hint="cs"/>
          <w:i/>
          <w:color w:val="000000"/>
          <w:sz w:val="23"/>
          <w:szCs w:val="23"/>
          <w:rtl/>
        </w:rPr>
        <w:t xml:space="preserve"> و همچنین مفهوم مازاد مصرف که عبارت است از</w:t>
      </w:r>
      <w:r w:rsidRPr="00B6450D">
        <w:rPr>
          <w:i/>
          <w:color w:val="000000"/>
          <w:sz w:val="23"/>
          <w:szCs w:val="23"/>
        </w:rPr>
        <w:t xml:space="preserve"> </w:t>
      </w:r>
      <w:r w:rsidRPr="00B6450D">
        <w:rPr>
          <w:position w:val="-12"/>
        </w:rPr>
        <w:object w:dxaOrig="1500" w:dyaOrig="360" w14:anchorId="11F0F89F">
          <v:shape id="_x0000_i5297" type="#_x0000_t75" style="width:75.05pt;height:18.15pt" o:ole="">
            <v:imagedata r:id="rId8592" o:title=""/>
          </v:shape>
          <o:OLEObject Type="Embed" ProgID="Equation.DSMT4" ShapeID="_x0000_i5297" DrawAspect="Content" ObjectID="_1791379241" r:id="rId8593"/>
        </w:object>
      </w:r>
      <w:r w:rsidRPr="00B6450D">
        <w:rPr>
          <w:i/>
          <w:color w:val="000000"/>
          <w:sz w:val="23"/>
          <w:szCs w:val="23"/>
        </w:rPr>
        <w:t xml:space="preserve"> </w:t>
      </w:r>
      <w:r w:rsidRPr="00B6450D">
        <w:rPr>
          <w:rFonts w:hint="cs"/>
          <w:i/>
          <w:color w:val="000000"/>
          <w:sz w:val="23"/>
          <w:szCs w:val="23"/>
          <w:rtl/>
        </w:rPr>
        <w:t>معرفی شد. اگر برای مثال</w:t>
      </w:r>
      <w:r w:rsidRPr="00B6450D">
        <w:rPr>
          <w:position w:val="-10"/>
        </w:rPr>
        <w:object w:dxaOrig="740" w:dyaOrig="320" w14:anchorId="647EA83A">
          <v:shape id="_x0000_i5298" type="#_x0000_t75" style="width:36.9pt;height:15.75pt" o:ole="">
            <v:imagedata r:id="rId8594" o:title=""/>
          </v:shape>
          <o:OLEObject Type="Embed" ProgID="Equation.DSMT4" ShapeID="_x0000_i5298" DrawAspect="Content" ObjectID="_1791379242" r:id="rId8595"/>
        </w:object>
      </w:r>
      <w:r w:rsidRPr="00B6450D">
        <w:rPr>
          <w:rFonts w:cs="Cambria" w:hint="cs"/>
          <w:i/>
          <w:color w:val="000000"/>
          <w:sz w:val="23"/>
          <w:szCs w:val="23"/>
          <w:rtl/>
        </w:rPr>
        <w:t> </w:t>
      </w:r>
      <w:r w:rsidRPr="00B6450D">
        <w:rPr>
          <w:rFonts w:hint="cs"/>
          <w:i/>
          <w:color w:val="000000"/>
          <w:sz w:val="23"/>
          <w:szCs w:val="23"/>
          <w:rtl/>
        </w:rPr>
        <w:t>باشد، آنگاه</w:t>
      </w:r>
      <w:r w:rsidRPr="00B6450D">
        <w:rPr>
          <w:position w:val="-10"/>
        </w:rPr>
        <w:object w:dxaOrig="260" w:dyaOrig="320" w14:anchorId="6A08A950">
          <v:shape id="_x0000_i5299" type="#_x0000_t75" style="width:13.3pt;height:15.75pt" o:ole="">
            <v:imagedata r:id="rId8596" o:title=""/>
          </v:shape>
          <o:OLEObject Type="Embed" ProgID="Equation.DSMT4" ShapeID="_x0000_i5299" DrawAspect="Content" ObjectID="_1791379243" r:id="rId8597"/>
        </w:object>
      </w:r>
      <w:r w:rsidRPr="00B6450D">
        <w:rPr>
          <w:rFonts w:hint="cs"/>
          <w:i/>
          <w:color w:val="000000"/>
          <w:sz w:val="23"/>
          <w:szCs w:val="23"/>
          <w:rtl/>
        </w:rPr>
        <w:t xml:space="preserve"> نرخ رشد مصرف خواهد بود</w:t>
      </w:r>
      <w:r w:rsidRPr="00B6450D">
        <w:rPr>
          <w:rFonts w:hint="cs"/>
          <w:i/>
          <w:color w:val="000000"/>
          <w:sz w:val="23"/>
          <w:szCs w:val="23"/>
        </w:rPr>
        <w:t xml:space="preserve"> </w:t>
      </w:r>
      <w:r w:rsidRPr="00B6450D">
        <w:rPr>
          <w:rFonts w:hint="cs"/>
          <w:i/>
          <w:color w:val="000000"/>
          <w:sz w:val="23"/>
          <w:szCs w:val="23"/>
          <w:rtl/>
        </w:rPr>
        <w:t>. عامل تنزیل تصادفی بوسیله</w:t>
      </w:r>
      <w:r w:rsidRPr="00B6450D">
        <w:rPr>
          <w:i/>
          <w:color w:val="000000"/>
          <w:sz w:val="23"/>
          <w:szCs w:val="23"/>
          <w:rtl/>
        </w:rPr>
        <w:softHyphen/>
      </w:r>
      <w:r w:rsidRPr="00B6450D">
        <w:rPr>
          <w:rFonts w:hint="cs"/>
          <w:i/>
          <w:color w:val="000000"/>
          <w:sz w:val="23"/>
          <w:szCs w:val="23"/>
          <w:rtl/>
        </w:rPr>
        <w:t xml:space="preserve">ی معادله‌ی (۱۲. ۹) با </w:t>
      </w:r>
      <w:r w:rsidRPr="00B6450D">
        <w:rPr>
          <w:position w:val="-6"/>
        </w:rPr>
        <w:object w:dxaOrig="520" w:dyaOrig="260" w14:anchorId="69543FA5">
          <v:shape id="_x0000_i5300" type="#_x0000_t75" style="width:26pt;height:13.3pt" o:ole="">
            <v:imagedata r:id="rId8598" o:title=""/>
          </v:shape>
          <o:OLEObject Type="Embed" ProgID="Equation.DSMT4" ShapeID="_x0000_i5300" DrawAspect="Content" ObjectID="_1791379244" r:id="rId8599"/>
        </w:object>
      </w:r>
      <w:r w:rsidRPr="00B6450D">
        <w:rPr>
          <w:rFonts w:hint="cs"/>
          <w:i/>
          <w:color w:val="000000"/>
          <w:sz w:val="23"/>
          <w:szCs w:val="23"/>
          <w:rtl/>
        </w:rPr>
        <w:t xml:space="preserve"> برابر است با</w:t>
      </w:r>
    </w:p>
    <w:p w14:paraId="3385A533" w14:textId="77777777" w:rsidR="00556C10" w:rsidRPr="00B6450D" w:rsidRDefault="00556C10" w:rsidP="00556C10">
      <w:pPr>
        <w:tabs>
          <w:tab w:val="right" w:pos="-83"/>
          <w:tab w:val="right" w:pos="7"/>
        </w:tabs>
        <w:bidi w:val="0"/>
        <w:spacing w:line="216" w:lineRule="auto"/>
        <w:rPr>
          <w:i/>
          <w:sz w:val="23"/>
          <w:szCs w:val="23"/>
          <w:rtl/>
        </w:rPr>
      </w:pPr>
      <w:r w:rsidRPr="00B6450D">
        <w:rPr>
          <w:position w:val="-30"/>
        </w:rPr>
        <w:object w:dxaOrig="3680" w:dyaOrig="740" w14:anchorId="601A981F">
          <v:shape id="_x0000_i5301" type="#_x0000_t75" style="width:183.95pt;height:36.9pt" o:ole="">
            <v:imagedata r:id="rId8600" o:title=""/>
          </v:shape>
          <o:OLEObject Type="Embed" ProgID="Equation.DSMT4" ShapeID="_x0000_i5301" DrawAspect="Content" ObjectID="_1791379245" r:id="rId8601"/>
        </w:object>
      </w:r>
    </w:p>
    <w:p w14:paraId="291F585D" w14:textId="77777777" w:rsidR="00556C10" w:rsidRDefault="00556C10" w:rsidP="00556C10">
      <w:pPr>
        <w:tabs>
          <w:tab w:val="right" w:pos="-83"/>
          <w:tab w:val="right" w:pos="7"/>
        </w:tabs>
        <w:spacing w:line="216" w:lineRule="auto"/>
        <w:rPr>
          <w:i/>
          <w:color w:val="000000"/>
          <w:sz w:val="23"/>
          <w:szCs w:val="23"/>
          <w:rtl/>
        </w:rPr>
      </w:pPr>
      <w:r w:rsidRPr="00B6450D">
        <w:rPr>
          <w:rFonts w:hint="cs"/>
          <w:i/>
          <w:color w:val="000000"/>
          <w:sz w:val="23"/>
          <w:szCs w:val="23"/>
          <w:rtl/>
        </w:rPr>
        <w:t>آنگاه شرط بدون آربیتراژ را می‌توان به صورت زیر نوشت</w:t>
      </w:r>
    </w:p>
    <w:p w14:paraId="328DC286" w14:textId="77777777" w:rsidR="00556C10" w:rsidRPr="00B6450D" w:rsidRDefault="00556C10" w:rsidP="00556C10">
      <w:pPr>
        <w:tabs>
          <w:tab w:val="right" w:pos="-83"/>
          <w:tab w:val="right" w:pos="7"/>
        </w:tabs>
        <w:spacing w:line="216" w:lineRule="auto"/>
        <w:rPr>
          <w:i/>
          <w:color w:val="000000"/>
          <w:sz w:val="23"/>
          <w:szCs w:val="23"/>
          <w:rtl/>
        </w:rPr>
      </w:pPr>
      <w:r w:rsidRPr="00B6450D">
        <w:rPr>
          <w:position w:val="-16"/>
        </w:rPr>
        <w:object w:dxaOrig="6840" w:dyaOrig="420" w14:anchorId="774ACEC6">
          <v:shape id="_x0000_i5302" type="#_x0000_t75" style="width:341.85pt;height:21.2pt" o:ole="">
            <v:imagedata r:id="rId8602" o:title=""/>
          </v:shape>
          <o:OLEObject Type="Embed" ProgID="Equation.DSMT4" ShapeID="_x0000_i5302" DrawAspect="Content" ObjectID="_1791379246" r:id="rId8603"/>
        </w:object>
      </w:r>
      <w:r w:rsidRPr="00B6450D">
        <w:rPr>
          <w:rFonts w:hint="cs"/>
          <w:i/>
          <w:color w:val="000000"/>
          <w:sz w:val="23"/>
          <w:szCs w:val="23"/>
          <w:rtl/>
        </w:rPr>
        <w:t>عبارت اضافی مربوط است به</w:t>
      </w:r>
      <w:r w:rsidRPr="00B6450D">
        <w:rPr>
          <w:position w:val="-10"/>
        </w:rPr>
        <w:object w:dxaOrig="780" w:dyaOrig="320" w14:anchorId="0BEB8941">
          <v:shape id="_x0000_i5303" type="#_x0000_t75" style="width:39.35pt;height:15.75pt" o:ole="">
            <v:imagedata r:id="rId8604" o:title=""/>
          </v:shape>
          <o:OLEObject Type="Embed" ProgID="Equation.DSMT4" ShapeID="_x0000_i5303" DrawAspect="Content" ObjectID="_1791379247" r:id="rId8605"/>
        </w:object>
      </w:r>
      <w:r w:rsidRPr="00B6450D">
        <w:rPr>
          <w:rFonts w:cs="Cambria" w:hint="cs"/>
          <w:i/>
          <w:color w:val="000000"/>
          <w:sz w:val="23"/>
          <w:szCs w:val="23"/>
          <w:rtl/>
        </w:rPr>
        <w:t> </w:t>
      </w:r>
      <w:r w:rsidRPr="00B6450D">
        <w:rPr>
          <w:rFonts w:hint="cs"/>
          <w:i/>
          <w:color w:val="000000"/>
          <w:sz w:val="23"/>
          <w:szCs w:val="23"/>
          <w:rtl/>
        </w:rPr>
        <w:t>که می‌تواند به صورت نسبت تغییر در نرخ رشد مازاد مصرف تفسیر شود. این عبارت بسیار تغییرپذیرتر از خود مصرف است و بنابراین، احتمالاً به شرط آنکه همبستگی بین</w:t>
      </w:r>
      <w:r w:rsidRPr="00B6450D">
        <w:rPr>
          <w:position w:val="-10"/>
        </w:rPr>
        <w:object w:dxaOrig="780" w:dyaOrig="320" w14:anchorId="65FD37E3">
          <v:shape id="_x0000_i5304" type="#_x0000_t75" style="width:39.35pt;height:15.75pt" o:ole="">
            <v:imagedata r:id="rId8606" o:title=""/>
          </v:shape>
          <o:OLEObject Type="Embed" ProgID="Equation.DSMT4" ShapeID="_x0000_i5304" DrawAspect="Content" ObjectID="_1791379248" r:id="rId8607"/>
        </w:object>
      </w:r>
      <w:r w:rsidRPr="00B6450D">
        <w:rPr>
          <w:i/>
          <w:color w:val="000000"/>
          <w:sz w:val="23"/>
          <w:szCs w:val="23"/>
          <w:rtl/>
        </w:rPr>
        <w:t xml:space="preserve"> </w:t>
      </w:r>
      <w:r w:rsidRPr="00B6450D">
        <w:rPr>
          <w:rFonts w:hint="cs"/>
          <w:i/>
          <w:color w:val="000000"/>
          <w:sz w:val="23"/>
          <w:szCs w:val="23"/>
          <w:rtl/>
        </w:rPr>
        <w:t>و</w:t>
      </w:r>
      <w:r w:rsidRPr="00B6450D">
        <w:rPr>
          <w:position w:val="-10"/>
        </w:rPr>
        <w:object w:dxaOrig="320" w:dyaOrig="320" w14:anchorId="3E55DEED">
          <v:shape id="_x0000_i5305" type="#_x0000_t75" style="width:15.75pt;height:15.75pt" o:ole="">
            <v:imagedata r:id="rId8608" o:title=""/>
          </v:shape>
          <o:OLEObject Type="Embed" ProgID="Equation.DSMT4" ShapeID="_x0000_i5305" DrawAspect="Content" ObjectID="_1791379249" r:id="rId8609"/>
        </w:object>
      </w:r>
      <w:r w:rsidRPr="00B6450D">
        <w:rPr>
          <w:rFonts w:hint="cs"/>
          <w:i/>
          <w:color w:val="000000"/>
          <w:sz w:val="23"/>
          <w:szCs w:val="23"/>
          <w:rtl/>
        </w:rPr>
        <w:t xml:space="preserve"> قابل چشم پوشی نباشد بطور معنی</w:t>
      </w:r>
      <w:r w:rsidRPr="00B6450D">
        <w:rPr>
          <w:i/>
          <w:color w:val="000000"/>
          <w:sz w:val="23"/>
          <w:szCs w:val="23"/>
          <w:rtl/>
        </w:rPr>
        <w:softHyphen/>
      </w:r>
      <w:r w:rsidRPr="00B6450D">
        <w:rPr>
          <w:rFonts w:hint="cs"/>
          <w:i/>
          <w:color w:val="000000"/>
          <w:sz w:val="23"/>
          <w:szCs w:val="23"/>
          <w:rtl/>
        </w:rPr>
        <w:t>داری پاداش ریسک را افزایش خواهد داد. کمپل و کوکران ادعا می‌کنند که عبارت اضافی، که بوسیله کوواریانس غیرشرطی اندازه‌گیری می‌شود، پاداش ریسک را افزایش می‌دهد، ولی اسمیت و دیگران</w:t>
      </w:r>
      <w:r w:rsidRPr="00B6450D">
        <w:rPr>
          <w:rStyle w:val="FootnoteReference"/>
          <w:i/>
          <w:sz w:val="23"/>
          <w:szCs w:val="23"/>
          <w:rtl/>
        </w:rPr>
        <w:footnoteReference w:id="267"/>
      </w:r>
      <w:r w:rsidRPr="00B6450D">
        <w:rPr>
          <w:rFonts w:hint="cs"/>
          <w:i/>
          <w:color w:val="000000"/>
          <w:sz w:val="23"/>
          <w:szCs w:val="23"/>
          <w:rtl/>
        </w:rPr>
        <w:t xml:space="preserve"> در سال ۲۰۰۶ مشاهده کردند هنگامی که کواریانس شرطی به جای کوواریانس غیرشرطی به کار گرفته می‌شود این عبارت معنی دار نیست که اهمیت ساختار اطلاعات را در قیمت گذاری دارایی نشان می‌دهد.</w:t>
      </w:r>
    </w:p>
    <w:p w14:paraId="036C6740" w14:textId="77777777" w:rsidR="00556C10" w:rsidRPr="00B6450D" w:rsidRDefault="00556C10" w:rsidP="00556C10">
      <w:pPr>
        <w:tabs>
          <w:tab w:val="right" w:pos="-83"/>
          <w:tab w:val="right" w:pos="7"/>
        </w:tabs>
        <w:spacing w:line="216" w:lineRule="auto"/>
        <w:rPr>
          <w:i/>
          <w:color w:val="000000"/>
          <w:sz w:val="23"/>
          <w:szCs w:val="23"/>
        </w:rPr>
      </w:pPr>
    </w:p>
    <w:p w14:paraId="70C1AA2F" w14:textId="77777777" w:rsidR="00556C10" w:rsidRPr="00B6450D" w:rsidRDefault="00556C10" w:rsidP="00556C10">
      <w:pPr>
        <w:tabs>
          <w:tab w:val="right" w:pos="-83"/>
          <w:tab w:val="right" w:pos="7"/>
        </w:tabs>
        <w:spacing w:line="216" w:lineRule="auto"/>
        <w:rPr>
          <w:bCs/>
          <w:i/>
          <w:sz w:val="23"/>
          <w:szCs w:val="23"/>
          <w:rtl/>
        </w:rPr>
      </w:pPr>
      <w:r w:rsidRPr="00B6450D">
        <w:rPr>
          <w:rFonts w:hint="cs"/>
          <w:bCs/>
          <w:i/>
          <w:color w:val="000000"/>
          <w:sz w:val="23"/>
          <w:szCs w:val="23"/>
          <w:rtl/>
        </w:rPr>
        <w:t>مطلوبیت زمان تفکیک ناپذیرکرپس- پورتیوس</w:t>
      </w:r>
      <w:r w:rsidRPr="00B6450D">
        <w:rPr>
          <w:rStyle w:val="FootnoteReference"/>
          <w:bCs/>
          <w:i/>
          <w:sz w:val="23"/>
          <w:szCs w:val="23"/>
          <w:rtl/>
        </w:rPr>
        <w:footnoteReference w:id="268"/>
      </w:r>
    </w:p>
    <w:p w14:paraId="50AAC628" w14:textId="77777777" w:rsidR="00556C10" w:rsidRPr="00B6450D" w:rsidRDefault="00556C10" w:rsidP="00556C10">
      <w:pPr>
        <w:tabs>
          <w:tab w:val="right" w:pos="-83"/>
          <w:tab w:val="right" w:pos="7"/>
        </w:tabs>
        <w:spacing w:line="216" w:lineRule="auto"/>
        <w:rPr>
          <w:i/>
          <w:color w:val="000000"/>
          <w:sz w:val="23"/>
          <w:szCs w:val="23"/>
          <w:rtl/>
        </w:rPr>
      </w:pPr>
      <w:r w:rsidRPr="00B6450D">
        <w:rPr>
          <w:rFonts w:hint="cs"/>
          <w:i/>
          <w:color w:val="000000"/>
          <w:sz w:val="23"/>
          <w:szCs w:val="23"/>
          <w:rtl/>
        </w:rPr>
        <w:t>مدل‌های قبلی مبتنی بر مطلوبیت زمان تفکیک</w:t>
      </w:r>
      <w:r w:rsidRPr="00B6450D">
        <w:rPr>
          <w:i/>
          <w:color w:val="000000"/>
          <w:sz w:val="23"/>
          <w:szCs w:val="23"/>
          <w:rtl/>
        </w:rPr>
        <w:softHyphen/>
      </w:r>
      <w:r w:rsidRPr="00B6450D">
        <w:rPr>
          <w:rFonts w:hint="cs"/>
          <w:i/>
          <w:color w:val="000000"/>
          <w:sz w:val="23"/>
          <w:szCs w:val="23"/>
          <w:rtl/>
        </w:rPr>
        <w:t>پذیر بود. رویکرد دیگر که مبتنی بر فرمول</w:t>
      </w:r>
      <w:r w:rsidRPr="00B6450D">
        <w:rPr>
          <w:i/>
          <w:color w:val="000000"/>
          <w:sz w:val="23"/>
          <w:szCs w:val="23"/>
          <w:rtl/>
        </w:rPr>
        <w:softHyphen/>
      </w:r>
      <w:r w:rsidRPr="00B6450D">
        <w:rPr>
          <w:rFonts w:hint="cs"/>
          <w:i/>
          <w:color w:val="000000"/>
          <w:sz w:val="23"/>
          <w:szCs w:val="23"/>
          <w:rtl/>
        </w:rPr>
        <w:t xml:space="preserve">بندی کرپس </w:t>
      </w:r>
      <w:r w:rsidRPr="00B6450D">
        <w:rPr>
          <w:rFonts w:cs="Times New Roman" w:hint="cs"/>
          <w:i/>
          <w:color w:val="000000"/>
          <w:sz w:val="23"/>
          <w:szCs w:val="23"/>
          <w:rtl/>
        </w:rPr>
        <w:t>–</w:t>
      </w:r>
      <w:r w:rsidRPr="00B6450D">
        <w:rPr>
          <w:rFonts w:hint="cs"/>
          <w:i/>
          <w:color w:val="000000"/>
          <w:sz w:val="23"/>
          <w:szCs w:val="23"/>
          <w:rtl/>
        </w:rPr>
        <w:t xml:space="preserve"> پرتیوس است مطلوبیت زمان تفکیک</w:t>
      </w:r>
      <w:r w:rsidRPr="00B6450D">
        <w:rPr>
          <w:i/>
          <w:color w:val="000000"/>
          <w:sz w:val="23"/>
          <w:szCs w:val="23"/>
          <w:rtl/>
        </w:rPr>
        <w:softHyphen/>
      </w:r>
      <w:r w:rsidRPr="00B6450D">
        <w:rPr>
          <w:rFonts w:hint="cs"/>
          <w:i/>
          <w:color w:val="000000"/>
          <w:sz w:val="23"/>
          <w:szCs w:val="23"/>
          <w:rtl/>
        </w:rPr>
        <w:t>ناپذیر است. به عبارتی</w:t>
      </w:r>
    </w:p>
    <w:p w14:paraId="4280DAC0" w14:textId="77777777" w:rsidR="00556C10" w:rsidRPr="00B6450D" w:rsidRDefault="00556C10" w:rsidP="00556C10">
      <w:pPr>
        <w:tabs>
          <w:tab w:val="right" w:pos="-83"/>
          <w:tab w:val="right" w:pos="7"/>
        </w:tabs>
        <w:bidi w:val="0"/>
        <w:spacing w:line="216" w:lineRule="auto"/>
        <w:rPr>
          <w:i/>
          <w:sz w:val="23"/>
          <w:szCs w:val="23"/>
          <w:rtl/>
        </w:rPr>
      </w:pPr>
      <w:r w:rsidRPr="00B6450D">
        <w:rPr>
          <w:position w:val="-14"/>
        </w:rPr>
        <w:object w:dxaOrig="1900" w:dyaOrig="380" w14:anchorId="7F55ED4E">
          <v:shape id="_x0000_i5306" type="#_x0000_t75" style="width:95pt;height:19.35pt" o:ole="">
            <v:imagedata r:id="rId8610" o:title=""/>
          </v:shape>
          <o:OLEObject Type="Embed" ProgID="Equation.DSMT4" ShapeID="_x0000_i5306" DrawAspect="Content" ObjectID="_1791379250" r:id="rId8611"/>
        </w:object>
      </w:r>
    </w:p>
    <w:p w14:paraId="6454D901" w14:textId="77777777" w:rsidR="00556C10" w:rsidRPr="00B6450D" w:rsidRDefault="00556C10" w:rsidP="00556C10">
      <w:pPr>
        <w:tabs>
          <w:tab w:val="right" w:pos="-83"/>
          <w:tab w:val="right" w:pos="7"/>
        </w:tabs>
        <w:spacing w:line="216" w:lineRule="auto"/>
        <w:rPr>
          <w:i/>
          <w:sz w:val="23"/>
          <w:szCs w:val="23"/>
          <w:rtl/>
        </w:rPr>
      </w:pPr>
      <w:r w:rsidRPr="00B6450D">
        <w:rPr>
          <w:rFonts w:hint="cs"/>
          <w:i/>
          <w:color w:val="000000"/>
          <w:sz w:val="23"/>
          <w:szCs w:val="23"/>
          <w:rtl/>
        </w:rPr>
        <w:t>اپشتاین و زین</w:t>
      </w:r>
      <w:r w:rsidRPr="00B6450D">
        <w:rPr>
          <w:rStyle w:val="FootnoteReference"/>
          <w:i/>
          <w:sz w:val="23"/>
          <w:szCs w:val="23"/>
          <w:rtl/>
        </w:rPr>
        <w:footnoteReference w:id="269"/>
      </w:r>
      <w:r w:rsidRPr="00B6450D">
        <w:rPr>
          <w:rFonts w:hint="cs"/>
          <w:i/>
          <w:color w:val="000000"/>
          <w:sz w:val="23"/>
          <w:szCs w:val="23"/>
          <w:rtl/>
        </w:rPr>
        <w:t xml:space="preserve"> در سال ۱۹۸۹ حالت خاصی را بر مبنای تابع با کشش جانشینی ثابت </w:t>
      </w:r>
      <w:r w:rsidRPr="00B6450D">
        <w:rPr>
          <w:i/>
          <w:color w:val="000000"/>
          <w:sz w:val="23"/>
          <w:szCs w:val="23"/>
        </w:rPr>
        <w:t>CES</w:t>
      </w:r>
      <w:r w:rsidRPr="00B6450D">
        <w:rPr>
          <w:rFonts w:cs="Cambria" w:hint="cs"/>
          <w:i/>
          <w:color w:val="000000"/>
          <w:sz w:val="23"/>
          <w:szCs w:val="23"/>
          <w:rtl/>
        </w:rPr>
        <w:t> </w:t>
      </w:r>
      <w:r w:rsidRPr="00B6450D">
        <w:rPr>
          <w:rFonts w:hint="cs"/>
          <w:i/>
          <w:color w:val="000000"/>
          <w:sz w:val="23"/>
          <w:szCs w:val="23"/>
          <w:rtl/>
        </w:rPr>
        <w:t>در نظر گرفته</w:t>
      </w:r>
      <w:r w:rsidRPr="00B6450D">
        <w:rPr>
          <w:i/>
          <w:color w:val="000000"/>
          <w:sz w:val="23"/>
          <w:szCs w:val="23"/>
          <w:rtl/>
        </w:rPr>
        <w:softHyphen/>
      </w:r>
      <w:r w:rsidRPr="00B6450D">
        <w:rPr>
          <w:rFonts w:hint="cs"/>
          <w:i/>
          <w:color w:val="000000"/>
          <w:sz w:val="23"/>
          <w:szCs w:val="23"/>
          <w:rtl/>
        </w:rPr>
        <w:t>اند</w:t>
      </w:r>
    </w:p>
    <w:p w14:paraId="2615F2BA" w14:textId="77777777" w:rsidR="00556C10" w:rsidRPr="00B6450D" w:rsidRDefault="00556C10" w:rsidP="00556C10">
      <w:pPr>
        <w:tabs>
          <w:tab w:val="right" w:pos="-83"/>
          <w:tab w:val="right" w:pos="7"/>
        </w:tabs>
        <w:bidi w:val="0"/>
        <w:spacing w:line="216" w:lineRule="auto"/>
        <w:rPr>
          <w:i/>
          <w:sz w:val="23"/>
          <w:szCs w:val="23"/>
          <w:rtl/>
        </w:rPr>
      </w:pPr>
      <w:r w:rsidRPr="00B6450D">
        <w:rPr>
          <w:position w:val="-32"/>
        </w:rPr>
        <w:object w:dxaOrig="4180" w:dyaOrig="859" w14:anchorId="1E7DC6EB">
          <v:shape id="_x0000_i5307" type="#_x0000_t75" style="width:208.75pt;height:42.95pt" o:ole="">
            <v:imagedata r:id="rId8612" o:title=""/>
          </v:shape>
          <o:OLEObject Type="Embed" ProgID="Equation.DSMT4" ShapeID="_x0000_i5307" DrawAspect="Content" ObjectID="_1791379251" r:id="rId8613"/>
        </w:object>
      </w:r>
    </w:p>
    <w:p w14:paraId="330D8A9C" w14:textId="77777777" w:rsidR="00556C10" w:rsidRPr="00B6450D" w:rsidRDefault="00556C10" w:rsidP="00556C10">
      <w:pPr>
        <w:tabs>
          <w:tab w:val="right" w:pos="-83"/>
          <w:tab w:val="right" w:pos="7"/>
        </w:tabs>
        <w:spacing w:line="216" w:lineRule="auto"/>
        <w:rPr>
          <w:i/>
          <w:color w:val="000000"/>
          <w:sz w:val="23"/>
          <w:szCs w:val="23"/>
        </w:rPr>
      </w:pPr>
      <w:r w:rsidRPr="00B6450D">
        <w:rPr>
          <w:rFonts w:hint="cs"/>
          <w:i/>
          <w:color w:val="000000"/>
          <w:sz w:val="23"/>
          <w:szCs w:val="23"/>
          <w:rtl/>
        </w:rPr>
        <w:t>که در آن</w:t>
      </w:r>
      <w:r w:rsidRPr="00B6450D">
        <w:rPr>
          <w:position w:val="-10"/>
        </w:rPr>
        <w:object w:dxaOrig="220" w:dyaOrig="300" w14:anchorId="5A44E954">
          <v:shape id="_x0000_i5308" type="#_x0000_t75" style="width:10.9pt;height:14.5pt" o:ole="">
            <v:imagedata r:id="rId8614" o:title=""/>
          </v:shape>
          <o:OLEObject Type="Embed" ProgID="Equation.DSMT4" ShapeID="_x0000_i5308" DrawAspect="Content" ObjectID="_1791379252" r:id="rId8615"/>
        </w:object>
      </w:r>
      <w:r w:rsidRPr="00B6450D">
        <w:rPr>
          <w:rFonts w:cs="Cambria" w:hint="cs"/>
          <w:i/>
          <w:color w:val="000000"/>
          <w:sz w:val="23"/>
          <w:szCs w:val="23"/>
          <w:rtl/>
        </w:rPr>
        <w:t> </w:t>
      </w:r>
      <w:r w:rsidRPr="00B6450D">
        <w:rPr>
          <w:rFonts w:hint="cs"/>
          <w:i/>
          <w:color w:val="000000"/>
          <w:sz w:val="23"/>
          <w:szCs w:val="23"/>
          <w:rtl/>
        </w:rPr>
        <w:t>عامل تنزیل،</w:t>
      </w:r>
      <w:r w:rsidRPr="00B6450D">
        <w:rPr>
          <w:position w:val="-6"/>
        </w:rPr>
        <w:object w:dxaOrig="220" w:dyaOrig="200" w14:anchorId="20B8320E">
          <v:shape id="_x0000_i5309" type="#_x0000_t75" style="width:10.9pt;height:10.3pt" o:ole="">
            <v:imagedata r:id="rId8616" o:title=""/>
          </v:shape>
          <o:OLEObject Type="Embed" ProgID="Equation.DSMT4" ShapeID="_x0000_i5309" DrawAspect="Content" ObjectID="_1791379253" r:id="rId8617"/>
        </w:object>
      </w:r>
      <w:r w:rsidRPr="00B6450D">
        <w:rPr>
          <w:rFonts w:hint="cs"/>
          <w:i/>
          <w:color w:val="000000"/>
          <w:sz w:val="23"/>
          <w:szCs w:val="23"/>
          <w:rtl/>
        </w:rPr>
        <w:t xml:space="preserve"> ضریب ریسک گریزی نسبی، و</w:t>
      </w:r>
      <w:r w:rsidRPr="00B6450D">
        <w:rPr>
          <w:position w:val="-10"/>
        </w:rPr>
        <w:object w:dxaOrig="200" w:dyaOrig="240" w14:anchorId="55650433">
          <v:shape id="_x0000_i5310" type="#_x0000_t75" style="width:10.3pt;height:11.5pt" o:ole="">
            <v:imagedata r:id="rId8618" o:title=""/>
          </v:shape>
          <o:OLEObject Type="Embed" ProgID="Equation.DSMT4" ShapeID="_x0000_i5310" DrawAspect="Content" ObjectID="_1791379254" r:id="rId8619"/>
        </w:object>
      </w:r>
      <w:r w:rsidRPr="00B6450D">
        <w:rPr>
          <w:rFonts w:hint="cs"/>
          <w:i/>
          <w:color w:val="000000"/>
          <w:sz w:val="23"/>
          <w:szCs w:val="23"/>
          <w:rtl/>
        </w:rPr>
        <w:t xml:space="preserve"> کشش جانشینی بین دوره</w:t>
      </w:r>
      <w:r w:rsidRPr="00B6450D">
        <w:rPr>
          <w:i/>
          <w:color w:val="000000"/>
          <w:sz w:val="23"/>
          <w:szCs w:val="23"/>
          <w:rtl/>
        </w:rPr>
        <w:softHyphen/>
      </w:r>
      <w:r w:rsidRPr="00B6450D">
        <w:rPr>
          <w:rFonts w:hint="cs"/>
          <w:i/>
          <w:color w:val="000000"/>
          <w:sz w:val="23"/>
          <w:szCs w:val="23"/>
          <w:rtl/>
        </w:rPr>
        <w:t>ای است. در تابع مطلوبیت بین دوره</w:t>
      </w:r>
      <w:r w:rsidRPr="00B6450D">
        <w:rPr>
          <w:i/>
          <w:color w:val="000000"/>
          <w:sz w:val="23"/>
          <w:szCs w:val="23"/>
          <w:rtl/>
        </w:rPr>
        <w:softHyphen/>
      </w:r>
      <w:r w:rsidRPr="00B6450D">
        <w:rPr>
          <w:rFonts w:hint="cs"/>
          <w:i/>
          <w:color w:val="000000"/>
          <w:sz w:val="23"/>
          <w:szCs w:val="23"/>
          <w:rtl/>
        </w:rPr>
        <w:t>ای تفکیک</w:t>
      </w:r>
      <w:r w:rsidRPr="00B6450D">
        <w:rPr>
          <w:i/>
          <w:color w:val="000000"/>
          <w:sz w:val="23"/>
          <w:szCs w:val="23"/>
          <w:rtl/>
        </w:rPr>
        <w:softHyphen/>
      </w:r>
      <w:r w:rsidRPr="00B6450D">
        <w:rPr>
          <w:rFonts w:hint="cs"/>
          <w:i/>
          <w:color w:val="000000"/>
          <w:sz w:val="23"/>
          <w:szCs w:val="23"/>
          <w:rtl/>
        </w:rPr>
        <w:t>پذیرِ جمع پذیر ضریب ریسک</w:t>
      </w:r>
      <w:r w:rsidRPr="00B6450D">
        <w:rPr>
          <w:i/>
          <w:color w:val="000000"/>
          <w:sz w:val="23"/>
          <w:szCs w:val="23"/>
          <w:rtl/>
        </w:rPr>
        <w:softHyphen/>
      </w:r>
      <w:r w:rsidRPr="00B6450D">
        <w:rPr>
          <w:rFonts w:hint="cs"/>
          <w:i/>
          <w:color w:val="000000"/>
          <w:sz w:val="23"/>
          <w:szCs w:val="23"/>
          <w:rtl/>
        </w:rPr>
        <w:t>گریزی نسبی و کشش جانشینی بین دوره</w:t>
      </w:r>
      <w:r w:rsidRPr="00B6450D">
        <w:rPr>
          <w:i/>
          <w:color w:val="000000"/>
          <w:sz w:val="23"/>
          <w:szCs w:val="23"/>
          <w:rtl/>
        </w:rPr>
        <w:softHyphen/>
      </w:r>
      <w:r w:rsidRPr="00B6450D">
        <w:rPr>
          <w:rFonts w:hint="cs"/>
          <w:i/>
          <w:color w:val="000000"/>
          <w:sz w:val="23"/>
          <w:szCs w:val="23"/>
          <w:rtl/>
        </w:rPr>
        <w:t>ای یکسان، ولی در مدل زمان-تفکیک</w:t>
      </w:r>
      <w:r w:rsidRPr="00B6450D">
        <w:rPr>
          <w:i/>
          <w:color w:val="000000"/>
          <w:sz w:val="23"/>
          <w:szCs w:val="23"/>
          <w:rtl/>
        </w:rPr>
        <w:softHyphen/>
      </w:r>
      <w:r w:rsidRPr="00B6450D">
        <w:rPr>
          <w:rFonts w:hint="cs"/>
          <w:i/>
          <w:color w:val="000000"/>
          <w:sz w:val="23"/>
          <w:szCs w:val="23"/>
          <w:rtl/>
        </w:rPr>
        <w:t>ناپذیر ممکن است متفاوت باشند. اپشتاین و زین نشان دادند که حداکثر کردن</w:t>
      </w:r>
      <w:r w:rsidRPr="00B6450D">
        <w:rPr>
          <w:position w:val="-10"/>
        </w:rPr>
        <w:object w:dxaOrig="279" w:dyaOrig="320" w14:anchorId="1F5EEC73">
          <v:shape id="_x0000_i5311" type="#_x0000_t75" style="width:13.9pt;height:15.75pt" o:ole="">
            <v:imagedata r:id="rId8620" o:title=""/>
          </v:shape>
          <o:OLEObject Type="Embed" ProgID="Equation.DSMT4" ShapeID="_x0000_i5311" DrawAspect="Content" ObjectID="_1791379255" r:id="rId8621"/>
        </w:object>
      </w:r>
      <w:r w:rsidRPr="00B6450D">
        <w:rPr>
          <w:i/>
          <w:color w:val="000000"/>
          <w:sz w:val="23"/>
          <w:szCs w:val="23"/>
          <w:rtl/>
        </w:rPr>
        <w:t xml:space="preserve"> </w:t>
      </w:r>
      <w:r w:rsidRPr="00B6450D">
        <w:rPr>
          <w:rFonts w:hint="cs"/>
          <w:i/>
          <w:color w:val="000000"/>
          <w:sz w:val="23"/>
          <w:szCs w:val="23"/>
          <w:rtl/>
        </w:rPr>
        <w:t>نسبت به قید بودجه</w:t>
      </w:r>
      <w:r w:rsidRPr="00B6450D">
        <w:rPr>
          <w:i/>
          <w:color w:val="000000"/>
          <w:sz w:val="23"/>
          <w:szCs w:val="23"/>
          <w:rtl/>
        </w:rPr>
        <w:softHyphen/>
      </w:r>
      <w:r w:rsidRPr="00B6450D">
        <w:rPr>
          <w:rFonts w:hint="cs"/>
          <w:i/>
          <w:color w:val="000000"/>
          <w:sz w:val="23"/>
          <w:szCs w:val="23"/>
          <w:rtl/>
        </w:rPr>
        <w:t>ی متفاوت</w:t>
      </w:r>
    </w:p>
    <w:p w14:paraId="298B4FA0" w14:textId="77777777" w:rsidR="00556C10" w:rsidRPr="00B6450D" w:rsidRDefault="00556C10" w:rsidP="00556C10">
      <w:pPr>
        <w:tabs>
          <w:tab w:val="right" w:pos="-83"/>
          <w:tab w:val="right" w:pos="7"/>
        </w:tabs>
        <w:bidi w:val="0"/>
        <w:spacing w:line="216" w:lineRule="auto"/>
        <w:rPr>
          <w:i/>
          <w:color w:val="000000"/>
          <w:sz w:val="23"/>
          <w:szCs w:val="23"/>
          <w:rtl/>
        </w:rPr>
      </w:pPr>
      <w:r w:rsidRPr="00B6450D">
        <w:rPr>
          <w:position w:val="-16"/>
        </w:rPr>
        <w:object w:dxaOrig="2140" w:dyaOrig="420" w14:anchorId="17A1BC0A">
          <v:shape id="_x0000_i5312" type="#_x0000_t75" style="width:107.1pt;height:21.2pt" o:ole="">
            <v:imagedata r:id="rId8622" o:title=""/>
          </v:shape>
          <o:OLEObject Type="Embed" ProgID="Equation.DSMT4" ShapeID="_x0000_i5312" DrawAspect="Content" ObjectID="_1791379256" r:id="rId8623"/>
        </w:object>
      </w:r>
    </w:p>
    <w:p w14:paraId="607A7581" w14:textId="77777777" w:rsidR="00556C10" w:rsidRPr="00B6450D" w:rsidRDefault="00556C10" w:rsidP="00556C10">
      <w:pPr>
        <w:tabs>
          <w:tab w:val="right" w:pos="-83"/>
          <w:tab w:val="right" w:pos="7"/>
        </w:tabs>
        <w:spacing w:line="216" w:lineRule="auto"/>
        <w:rPr>
          <w:i/>
          <w:sz w:val="23"/>
          <w:szCs w:val="23"/>
          <w:rtl/>
        </w:rPr>
      </w:pPr>
      <w:r w:rsidRPr="00B6450D">
        <w:rPr>
          <w:rFonts w:hint="cs"/>
          <w:i/>
          <w:color w:val="000000"/>
          <w:sz w:val="23"/>
          <w:szCs w:val="23"/>
          <w:rtl/>
        </w:rPr>
        <w:t>که در آن</w:t>
      </w:r>
      <w:r w:rsidRPr="00B6450D">
        <w:rPr>
          <w:rFonts w:hint="cs"/>
          <w:i/>
          <w:color w:val="000000"/>
          <w:sz w:val="23"/>
          <w:szCs w:val="23"/>
        </w:rPr>
        <w:t xml:space="preserve"> </w:t>
      </w:r>
      <w:r w:rsidRPr="00B6450D">
        <w:rPr>
          <w:position w:val="-10"/>
        </w:rPr>
        <w:object w:dxaOrig="320" w:dyaOrig="340" w14:anchorId="32B79151">
          <v:shape id="_x0000_i5313" type="#_x0000_t75" style="width:15.75pt;height:16.95pt" o:ole="">
            <v:imagedata r:id="rId8624" o:title=""/>
          </v:shape>
          <o:OLEObject Type="Embed" ProgID="Equation.DSMT4" ShapeID="_x0000_i5313" DrawAspect="Content" ObjectID="_1791379257" r:id="rId8625"/>
        </w:object>
      </w:r>
      <w:r w:rsidRPr="00B6450D">
        <w:rPr>
          <w:i/>
          <w:color w:val="000000"/>
          <w:sz w:val="23"/>
          <w:szCs w:val="23"/>
        </w:rPr>
        <w:t xml:space="preserve"> </w:t>
      </w:r>
      <w:r w:rsidRPr="00B6450D">
        <w:rPr>
          <w:rFonts w:hint="cs"/>
          <w:i/>
          <w:color w:val="000000"/>
          <w:sz w:val="23"/>
          <w:szCs w:val="23"/>
          <w:rtl/>
        </w:rPr>
        <w:t>بازدهی بازار است، معادله زیر را به دست می</w:t>
      </w:r>
      <w:r w:rsidRPr="00B6450D">
        <w:rPr>
          <w:i/>
          <w:color w:val="000000"/>
          <w:sz w:val="23"/>
          <w:szCs w:val="23"/>
          <w:rtl/>
        </w:rPr>
        <w:softHyphen/>
      </w:r>
      <w:r w:rsidRPr="00B6450D">
        <w:rPr>
          <w:rFonts w:hint="cs"/>
          <w:i/>
          <w:color w:val="000000"/>
          <w:sz w:val="23"/>
          <w:szCs w:val="23"/>
          <w:rtl/>
        </w:rPr>
        <w:t>دهد.</w:t>
      </w:r>
    </w:p>
    <w:p w14:paraId="54FAC189" w14:textId="77777777" w:rsidR="00556C10" w:rsidRPr="00B6450D" w:rsidRDefault="00556C10" w:rsidP="00556C10">
      <w:pPr>
        <w:tabs>
          <w:tab w:val="right" w:pos="-83"/>
          <w:tab w:val="right" w:pos="7"/>
        </w:tabs>
        <w:bidi w:val="0"/>
        <w:spacing w:line="216" w:lineRule="auto"/>
        <w:rPr>
          <w:i/>
          <w:sz w:val="23"/>
          <w:szCs w:val="23"/>
          <w:rtl/>
        </w:rPr>
      </w:pPr>
      <w:r w:rsidRPr="00B6450D">
        <w:rPr>
          <w:position w:val="-56"/>
        </w:rPr>
        <w:object w:dxaOrig="4800" w:dyaOrig="1240" w14:anchorId="474EA76B">
          <v:shape id="_x0000_i5314" type="#_x0000_t75" style="width:240.2pt;height:61.7pt" o:ole="">
            <v:imagedata r:id="rId8626" o:title=""/>
          </v:shape>
          <o:OLEObject Type="Embed" ProgID="Equation.DSMT4" ShapeID="_x0000_i5314" DrawAspect="Content" ObjectID="_1791379258" r:id="rId8627"/>
        </w:object>
      </w:r>
    </w:p>
    <w:p w14:paraId="32DF7F49" w14:textId="77777777" w:rsidR="00556C10" w:rsidRPr="00B6450D" w:rsidRDefault="00556C10" w:rsidP="00556C10">
      <w:pPr>
        <w:tabs>
          <w:tab w:val="right" w:pos="-83"/>
          <w:tab w:val="right" w:pos="7"/>
        </w:tabs>
        <w:spacing w:line="216" w:lineRule="auto"/>
        <w:rPr>
          <w:i/>
          <w:sz w:val="23"/>
          <w:szCs w:val="23"/>
          <w:rtl/>
        </w:rPr>
      </w:pPr>
      <w:r w:rsidRPr="00B6450D">
        <w:rPr>
          <w:rFonts w:hint="cs"/>
          <w:i/>
          <w:color w:val="000000"/>
          <w:sz w:val="23"/>
          <w:szCs w:val="23"/>
          <w:rtl/>
        </w:rPr>
        <w:t>بنابراین عامل تنزیل تصادفی عبارت است از</w:t>
      </w:r>
    </w:p>
    <w:p w14:paraId="4322D72E" w14:textId="77777777" w:rsidR="00556C10" w:rsidRPr="00B6450D" w:rsidRDefault="00556C10" w:rsidP="00556C10">
      <w:pPr>
        <w:tabs>
          <w:tab w:val="right" w:pos="-83"/>
          <w:tab w:val="right" w:pos="7"/>
        </w:tabs>
        <w:bidi w:val="0"/>
        <w:spacing w:line="216" w:lineRule="auto"/>
        <w:rPr>
          <w:i/>
          <w:sz w:val="23"/>
          <w:szCs w:val="23"/>
        </w:rPr>
      </w:pPr>
      <w:r w:rsidRPr="00B6450D">
        <w:rPr>
          <w:position w:val="-42"/>
        </w:rPr>
        <w:object w:dxaOrig="3920" w:dyaOrig="1080" w14:anchorId="2F79894A">
          <v:shape id="_x0000_i5315" type="#_x0000_t75" style="width:196.05pt;height:54.45pt" o:ole="">
            <v:imagedata r:id="rId8628" o:title=""/>
          </v:shape>
          <o:OLEObject Type="Embed" ProgID="Equation.DSMT4" ShapeID="_x0000_i5315" DrawAspect="Content" ObjectID="_1791379259" r:id="rId8629"/>
        </w:object>
      </w:r>
    </w:p>
    <w:p w14:paraId="2AA5DA60" w14:textId="77777777" w:rsidR="00556C10" w:rsidRPr="00B6450D" w:rsidRDefault="00556C10" w:rsidP="00556C10">
      <w:pPr>
        <w:tabs>
          <w:tab w:val="right" w:pos="-83"/>
          <w:tab w:val="right" w:pos="7"/>
        </w:tabs>
        <w:spacing w:line="216" w:lineRule="auto"/>
        <w:rPr>
          <w:i/>
          <w:color w:val="000000"/>
          <w:sz w:val="23"/>
          <w:szCs w:val="23"/>
          <w:rtl/>
        </w:rPr>
      </w:pPr>
      <w:r w:rsidRPr="00B6450D">
        <w:rPr>
          <w:rFonts w:hint="cs"/>
          <w:i/>
          <w:color w:val="000000"/>
          <w:sz w:val="23"/>
          <w:szCs w:val="23"/>
          <w:rtl/>
        </w:rPr>
        <w:t>با مقایسه</w:t>
      </w:r>
      <w:r w:rsidRPr="00B6450D">
        <w:rPr>
          <w:i/>
          <w:color w:val="000000"/>
          <w:sz w:val="23"/>
          <w:szCs w:val="23"/>
          <w:rtl/>
        </w:rPr>
        <w:softHyphen/>
      </w:r>
      <w:r w:rsidRPr="00B6450D">
        <w:rPr>
          <w:rFonts w:hint="cs"/>
          <w:i/>
          <w:color w:val="000000"/>
          <w:sz w:val="23"/>
          <w:szCs w:val="23"/>
          <w:rtl/>
        </w:rPr>
        <w:t>ی مطلوبیت زمان تفکیک</w:t>
      </w:r>
      <w:r w:rsidRPr="00B6450D">
        <w:rPr>
          <w:i/>
          <w:color w:val="000000"/>
          <w:sz w:val="23"/>
          <w:szCs w:val="23"/>
          <w:rtl/>
        </w:rPr>
        <w:softHyphen/>
      </w:r>
      <w:r w:rsidRPr="00B6450D">
        <w:rPr>
          <w:rFonts w:hint="cs"/>
          <w:i/>
          <w:color w:val="000000"/>
          <w:sz w:val="23"/>
          <w:szCs w:val="23"/>
          <w:rtl/>
        </w:rPr>
        <w:t>پذیر، این معادله دارای دو درجه آزادی اضافی</w:t>
      </w:r>
      <w:r w:rsidRPr="00B6450D">
        <w:rPr>
          <w:rFonts w:cs="Cambria" w:hint="cs"/>
          <w:i/>
          <w:color w:val="000000"/>
          <w:sz w:val="23"/>
          <w:szCs w:val="23"/>
          <w:rtl/>
        </w:rPr>
        <w:t> </w:t>
      </w:r>
      <w:r w:rsidRPr="00B6450D">
        <w:rPr>
          <w:rFonts w:hint="cs"/>
          <w:i/>
          <w:color w:val="000000"/>
          <w:sz w:val="23"/>
          <w:szCs w:val="23"/>
          <w:rtl/>
        </w:rPr>
        <w:t>است که می‌تواند اندازه‌ی پاداش ریسک را ترقی دهد. اولاً،</w:t>
      </w:r>
      <w:r w:rsidRPr="00B6450D">
        <w:rPr>
          <w:rFonts w:hint="cs"/>
          <w:i/>
          <w:sz w:val="23"/>
          <w:szCs w:val="23"/>
          <w:rtl/>
        </w:rPr>
        <w:t xml:space="preserve"> </w:t>
      </w:r>
      <w:r w:rsidRPr="00B6450D">
        <w:rPr>
          <w:rFonts w:hint="cs"/>
          <w:i/>
          <w:color w:val="000000"/>
          <w:sz w:val="23"/>
          <w:szCs w:val="23"/>
          <w:rtl/>
        </w:rPr>
        <w:t>شاخص توان ضریب ریسک</w:t>
      </w:r>
      <w:r w:rsidRPr="00B6450D">
        <w:rPr>
          <w:i/>
          <w:color w:val="000000"/>
          <w:sz w:val="23"/>
          <w:szCs w:val="23"/>
          <w:rtl/>
        </w:rPr>
        <w:softHyphen/>
      </w:r>
      <w:r w:rsidRPr="00B6450D">
        <w:rPr>
          <w:rFonts w:hint="cs"/>
          <w:i/>
          <w:color w:val="000000"/>
          <w:sz w:val="23"/>
          <w:szCs w:val="23"/>
          <w:rtl/>
        </w:rPr>
        <w:t>گریزی نسبی نیست، و لذا می‌تواند آزادانه مقادیر زیادی را اختیار کند. ثانیاً،</w:t>
      </w:r>
      <w:r w:rsidRPr="00B6450D">
        <w:rPr>
          <w:position w:val="-10"/>
        </w:rPr>
        <w:object w:dxaOrig="480" w:dyaOrig="320" w14:anchorId="6494B86B">
          <v:shape id="_x0000_i5316" type="#_x0000_t75" style="width:24.2pt;height:15.75pt" o:ole="">
            <v:imagedata r:id="rId8630" o:title=""/>
          </v:shape>
          <o:OLEObject Type="Embed" ProgID="Equation.DSMT4" ShapeID="_x0000_i5316" DrawAspect="Content" ObjectID="_1791379260" r:id="rId8631"/>
        </w:object>
      </w:r>
      <w:r w:rsidRPr="00B6450D">
        <w:rPr>
          <w:rFonts w:hint="cs"/>
          <w:i/>
          <w:color w:val="000000"/>
          <w:sz w:val="23"/>
          <w:szCs w:val="23"/>
          <w:rtl/>
        </w:rPr>
        <w:t xml:space="preserve"> با بازدهی پرتفو تغییر می‌کند.</w:t>
      </w:r>
    </w:p>
    <w:p w14:paraId="37B76679" w14:textId="77777777" w:rsidR="00556C10" w:rsidRPr="00B6450D" w:rsidRDefault="00556C10" w:rsidP="00556C10">
      <w:pPr>
        <w:tabs>
          <w:tab w:val="right" w:pos="-83"/>
          <w:tab w:val="right" w:pos="7"/>
        </w:tabs>
        <w:spacing w:line="216" w:lineRule="auto"/>
        <w:rPr>
          <w:i/>
          <w:color w:val="000000"/>
          <w:sz w:val="23"/>
          <w:szCs w:val="23"/>
          <w:rtl/>
        </w:rPr>
      </w:pPr>
      <w:r w:rsidRPr="00B6450D">
        <w:rPr>
          <w:rFonts w:hint="cs"/>
          <w:i/>
          <w:color w:val="000000"/>
          <w:sz w:val="23"/>
          <w:szCs w:val="23"/>
          <w:rtl/>
        </w:rPr>
        <w:t>با فرض لگاریتم- نرمالیتی، کمپل و دیگران در سال ۱۹۹۷ معادله‌ی شرط بدون آرتیراژ را بازنویسی کرده</w:t>
      </w:r>
      <w:r w:rsidRPr="00B6450D">
        <w:rPr>
          <w:i/>
          <w:color w:val="000000"/>
          <w:sz w:val="23"/>
          <w:szCs w:val="23"/>
          <w:rtl/>
        </w:rPr>
        <w:softHyphen/>
      </w:r>
      <w:r w:rsidRPr="00B6450D">
        <w:rPr>
          <w:rFonts w:hint="cs"/>
          <w:i/>
          <w:color w:val="000000"/>
          <w:sz w:val="23"/>
          <w:szCs w:val="23"/>
          <w:rtl/>
        </w:rPr>
        <w:t>اند بطوری</w:t>
      </w:r>
      <w:r w:rsidRPr="00B6450D">
        <w:rPr>
          <w:i/>
          <w:color w:val="000000"/>
          <w:sz w:val="23"/>
          <w:szCs w:val="23"/>
          <w:rtl/>
        </w:rPr>
        <w:softHyphen/>
      </w:r>
      <w:r w:rsidRPr="00B6450D">
        <w:rPr>
          <w:rFonts w:hint="cs"/>
          <w:i/>
          <w:color w:val="000000"/>
          <w:sz w:val="23"/>
          <w:szCs w:val="23"/>
          <w:rtl/>
        </w:rPr>
        <w:t>که</w:t>
      </w:r>
    </w:p>
    <w:p w14:paraId="11E30262" w14:textId="77777777" w:rsidR="00556C10" w:rsidRPr="00B6450D" w:rsidRDefault="00556C10" w:rsidP="00556C10">
      <w:pPr>
        <w:tabs>
          <w:tab w:val="right" w:pos="-83"/>
          <w:tab w:val="right" w:pos="7"/>
        </w:tabs>
        <w:bidi w:val="0"/>
        <w:spacing w:line="216" w:lineRule="auto"/>
        <w:rPr>
          <w:i/>
          <w:color w:val="000000"/>
          <w:sz w:val="23"/>
          <w:szCs w:val="23"/>
          <w:rtl/>
        </w:rPr>
      </w:pPr>
      <w:r w:rsidRPr="00B6450D">
        <w:rPr>
          <w:position w:val="-58"/>
        </w:rPr>
        <w:object w:dxaOrig="5000" w:dyaOrig="1280" w14:anchorId="3873C739">
          <v:shape id="_x0000_i5317" type="#_x0000_t75" style="width:249.9pt;height:64.15pt" o:ole="">
            <v:imagedata r:id="rId8632" o:title=""/>
          </v:shape>
          <o:OLEObject Type="Embed" ProgID="Equation.DSMT4" ShapeID="_x0000_i5317" DrawAspect="Content" ObjectID="_1791379261" r:id="rId8633"/>
        </w:object>
      </w:r>
      <w:r w:rsidRPr="00B6450D">
        <w:rPr>
          <w:i/>
          <w:sz w:val="23"/>
          <w:szCs w:val="23"/>
          <w:rtl/>
        </w:rPr>
        <w:tab/>
      </w:r>
      <w:r>
        <w:rPr>
          <w:i/>
          <w:sz w:val="23"/>
          <w:szCs w:val="23"/>
          <w:rtl/>
        </w:rPr>
        <w:tab/>
      </w:r>
      <w:r w:rsidRPr="00B6450D">
        <w:rPr>
          <w:i/>
          <w:sz w:val="23"/>
          <w:szCs w:val="23"/>
        </w:rPr>
        <w:tab/>
        <w:t xml:space="preserve"> </w:t>
      </w:r>
      <w:r w:rsidRPr="00B6450D">
        <w:rPr>
          <w:i/>
          <w:sz w:val="23"/>
          <w:szCs w:val="23"/>
          <w:rtl/>
        </w:rPr>
        <w:tab/>
      </w:r>
      <w:r w:rsidRPr="00B6450D">
        <w:rPr>
          <w:rFonts w:hint="cs"/>
          <w:i/>
          <w:color w:val="000000"/>
          <w:sz w:val="23"/>
          <w:szCs w:val="23"/>
          <w:rtl/>
        </w:rPr>
        <w:t>(۱۲. ۱۰)</w:t>
      </w:r>
    </w:p>
    <w:p w14:paraId="4CDF1596" w14:textId="77777777" w:rsidR="00556C10" w:rsidRPr="00B6450D" w:rsidRDefault="00556C10" w:rsidP="00556C10">
      <w:pPr>
        <w:tabs>
          <w:tab w:val="right" w:pos="-83"/>
          <w:tab w:val="right" w:pos="7"/>
        </w:tabs>
        <w:spacing w:line="216" w:lineRule="auto"/>
        <w:rPr>
          <w:i/>
          <w:color w:val="000000"/>
          <w:sz w:val="23"/>
          <w:szCs w:val="23"/>
          <w:rtl/>
        </w:rPr>
      </w:pPr>
      <w:r w:rsidRPr="00B6450D">
        <w:rPr>
          <w:rFonts w:hint="cs"/>
          <w:i/>
          <w:color w:val="000000"/>
          <w:sz w:val="23"/>
          <w:szCs w:val="23"/>
          <w:rtl/>
        </w:rPr>
        <w:t>این رابطه ممکن است با معادله‌ی متناظر تحت مطلوبیت توانی و لگاریتم نرمالیتی زیر مقایسه شود، که عبارت است از</w:t>
      </w:r>
    </w:p>
    <w:p w14:paraId="254BE6DF" w14:textId="77777777" w:rsidR="00556C10" w:rsidRPr="00B6450D" w:rsidRDefault="00556C10" w:rsidP="00556C10">
      <w:pPr>
        <w:tabs>
          <w:tab w:val="right" w:pos="-83"/>
          <w:tab w:val="right" w:pos="7"/>
        </w:tabs>
        <w:bidi w:val="0"/>
        <w:spacing w:line="216" w:lineRule="auto"/>
        <w:rPr>
          <w:i/>
          <w:sz w:val="23"/>
          <w:szCs w:val="23"/>
          <w:rtl/>
        </w:rPr>
      </w:pPr>
      <w:r w:rsidRPr="00B6450D">
        <w:rPr>
          <w:position w:val="-22"/>
        </w:rPr>
        <w:object w:dxaOrig="4120" w:dyaOrig="560" w14:anchorId="4CAEB431">
          <v:shape id="_x0000_i5318" type="#_x0000_t75" style="width:205.7pt;height:27.85pt" o:ole="">
            <v:imagedata r:id="rId8634" o:title=""/>
          </v:shape>
          <o:OLEObject Type="Embed" ProgID="Equation.DSMT4" ShapeID="_x0000_i5318" DrawAspect="Content" ObjectID="_1791379262" r:id="rId8635"/>
        </w:object>
      </w:r>
    </w:p>
    <w:p w14:paraId="6BE4C882" w14:textId="77777777" w:rsidR="00556C10" w:rsidRPr="00B6450D" w:rsidRDefault="00556C10" w:rsidP="00556C10">
      <w:pPr>
        <w:tabs>
          <w:tab w:val="right" w:pos="-83"/>
          <w:tab w:val="right" w:pos="7"/>
        </w:tabs>
        <w:spacing w:line="216" w:lineRule="auto"/>
        <w:rPr>
          <w:i/>
          <w:color w:val="000000"/>
          <w:sz w:val="23"/>
          <w:szCs w:val="23"/>
        </w:rPr>
      </w:pPr>
      <w:r w:rsidRPr="00B6450D">
        <w:rPr>
          <w:rFonts w:hint="cs"/>
          <w:i/>
          <w:color w:val="000000"/>
          <w:sz w:val="23"/>
          <w:szCs w:val="23"/>
          <w:rtl/>
        </w:rPr>
        <w:t>در معادله‌ی (۱۲. ۱۰) ضریبِ عبارت اول در سمت راست، دیگر ضریب ریسک گریزی نسبی نیست، و عبارت دوم وجود دارد که مبین این واقعیت است که بازدهی بازار یک عامل اضافی است. هدف از بکارگیری معادله‌ی (۱۲. ۱۰)، انعطاف</w:t>
      </w:r>
      <w:r w:rsidRPr="00B6450D">
        <w:rPr>
          <w:i/>
          <w:color w:val="000000"/>
          <w:sz w:val="23"/>
          <w:szCs w:val="23"/>
          <w:rtl/>
        </w:rPr>
        <w:softHyphen/>
      </w:r>
      <w:r w:rsidRPr="00B6450D">
        <w:rPr>
          <w:rFonts w:hint="cs"/>
          <w:i/>
          <w:color w:val="000000"/>
          <w:sz w:val="23"/>
          <w:szCs w:val="23"/>
          <w:rtl/>
        </w:rPr>
        <w:t xml:space="preserve">پذیری بیشتر در تعیین پاداش ریسک است. هرچند شواهد تجربی در این خصوص دوپهلو است. </w:t>
      </w:r>
      <w:r w:rsidRPr="00B6450D">
        <w:rPr>
          <w:rStyle w:val="FootnoteReference"/>
          <w:i/>
          <w:sz w:val="23"/>
          <w:szCs w:val="23"/>
          <w:rtl/>
        </w:rPr>
        <w:footnoteReference w:id="270"/>
      </w:r>
    </w:p>
    <w:p w14:paraId="42ED18B7" w14:textId="77777777" w:rsidR="00556C10" w:rsidRPr="00B6450D" w:rsidRDefault="00556C10" w:rsidP="00556C10">
      <w:pPr>
        <w:tabs>
          <w:tab w:val="right" w:pos="-83"/>
          <w:tab w:val="right" w:pos="7"/>
        </w:tabs>
        <w:spacing w:line="216" w:lineRule="auto"/>
        <w:rPr>
          <w:i/>
          <w:sz w:val="23"/>
          <w:szCs w:val="23"/>
          <w:rtl/>
        </w:rPr>
      </w:pPr>
    </w:p>
    <w:p w14:paraId="1CD9F721" w14:textId="77777777" w:rsidR="00556C10" w:rsidRPr="00B6450D" w:rsidRDefault="00556C10" w:rsidP="00556C10">
      <w:pPr>
        <w:tabs>
          <w:tab w:val="right" w:pos="-83"/>
          <w:tab w:val="right" w:pos="7"/>
        </w:tabs>
        <w:spacing w:line="216" w:lineRule="auto"/>
        <w:rPr>
          <w:bCs/>
          <w:i/>
          <w:sz w:val="23"/>
          <w:szCs w:val="23"/>
          <w:rtl/>
        </w:rPr>
      </w:pPr>
      <w:r w:rsidRPr="00B6450D">
        <w:rPr>
          <w:rFonts w:hint="cs"/>
          <w:bCs/>
          <w:i/>
          <w:color w:val="000000"/>
          <w:sz w:val="23"/>
          <w:szCs w:val="23"/>
          <w:rtl/>
        </w:rPr>
        <w:t>معمای نرخ بدون ریسک</w:t>
      </w:r>
    </w:p>
    <w:p w14:paraId="70EA6DE0" w14:textId="77777777" w:rsidR="00556C10" w:rsidRPr="00B6450D" w:rsidRDefault="00556C10" w:rsidP="00556C10">
      <w:pPr>
        <w:tabs>
          <w:tab w:val="right" w:pos="-83"/>
          <w:tab w:val="right" w:pos="7"/>
        </w:tabs>
        <w:spacing w:line="216" w:lineRule="auto"/>
        <w:rPr>
          <w:i/>
          <w:color w:val="000000"/>
          <w:sz w:val="23"/>
          <w:szCs w:val="23"/>
          <w:rtl/>
        </w:rPr>
      </w:pPr>
      <w:r w:rsidRPr="00B6450D">
        <w:rPr>
          <w:rFonts w:hint="cs"/>
          <w:i/>
          <w:color w:val="000000"/>
          <w:sz w:val="23"/>
          <w:szCs w:val="23"/>
          <w:rtl/>
        </w:rPr>
        <w:t>معمای نرخ بدون ریسک یک نتیجه فرعی معمای پاداش سهام است.</w:t>
      </w:r>
      <w:r w:rsidRPr="00B6450D">
        <w:rPr>
          <w:rFonts w:hint="cs"/>
          <w:i/>
          <w:sz w:val="23"/>
          <w:szCs w:val="23"/>
          <w:rtl/>
        </w:rPr>
        <w:t xml:space="preserve"> </w:t>
      </w:r>
      <w:r w:rsidRPr="00B6450D">
        <w:rPr>
          <w:rFonts w:hint="cs"/>
          <w:i/>
          <w:color w:val="000000"/>
          <w:sz w:val="23"/>
          <w:szCs w:val="23"/>
          <w:rtl/>
        </w:rPr>
        <w:t xml:space="preserve">یک نرخ بدون ریسک بزرگ با فرض ثابت بودن سایر شرایط مازاد بازدهی سهام (پاداش ریسک) را کمتر می‌کند. در نتیجه راه دیگر برای نشان دادن معما پرسیدن این سوال است که چرا نرخ بدون ریسک بسیار کوچک است. از </w:t>
      </w:r>
      <w:r w:rsidRPr="00B6450D">
        <w:rPr>
          <w:i/>
          <w:color w:val="000000"/>
          <w:sz w:val="23"/>
          <w:szCs w:val="23"/>
        </w:rPr>
        <w:t>C-CAPM</w:t>
      </w:r>
      <w:r w:rsidRPr="00B6450D">
        <w:rPr>
          <w:rFonts w:hint="cs"/>
          <w:i/>
          <w:color w:val="000000"/>
          <w:sz w:val="23"/>
          <w:szCs w:val="23"/>
          <w:rtl/>
        </w:rPr>
        <w:t xml:space="preserve"> داریم</w:t>
      </w:r>
    </w:p>
    <w:p w14:paraId="6C860FC0" w14:textId="77777777" w:rsidR="00556C10" w:rsidRPr="00B6450D" w:rsidRDefault="00556C10" w:rsidP="00556C10">
      <w:pPr>
        <w:tabs>
          <w:tab w:val="right" w:pos="-83"/>
          <w:tab w:val="right" w:pos="7"/>
        </w:tabs>
        <w:bidi w:val="0"/>
        <w:spacing w:line="216" w:lineRule="auto"/>
        <w:rPr>
          <w:i/>
          <w:color w:val="000000"/>
          <w:sz w:val="23"/>
          <w:szCs w:val="23"/>
          <w:rtl/>
        </w:rPr>
      </w:pPr>
      <w:r w:rsidRPr="00B6450D">
        <w:rPr>
          <w:position w:val="-30"/>
        </w:rPr>
        <w:object w:dxaOrig="2340" w:dyaOrig="720" w14:anchorId="65439783">
          <v:shape id="_x0000_i5319" type="#_x0000_t75" style="width:117.4pt;height:36.3pt" o:ole="">
            <v:imagedata r:id="rId8636" o:title=""/>
          </v:shape>
          <o:OLEObject Type="Embed" ProgID="Equation.DSMT4" ShapeID="_x0000_i5319" DrawAspect="Content" ObjectID="_1791379263" r:id="rId8637"/>
        </w:object>
      </w:r>
    </w:p>
    <w:p w14:paraId="6E172FCF" w14:textId="77777777" w:rsidR="00556C10" w:rsidRPr="00B6450D" w:rsidRDefault="00556C10" w:rsidP="00556C10">
      <w:pPr>
        <w:tabs>
          <w:tab w:val="right" w:pos="-83"/>
          <w:tab w:val="right" w:pos="7"/>
        </w:tabs>
        <w:spacing w:line="216" w:lineRule="auto"/>
        <w:rPr>
          <w:i/>
          <w:color w:val="000000"/>
          <w:sz w:val="23"/>
          <w:szCs w:val="23"/>
          <w:rtl/>
        </w:rPr>
      </w:pPr>
      <w:r w:rsidRPr="00B6450D">
        <w:rPr>
          <w:rFonts w:hint="cs"/>
          <w:i/>
          <w:color w:val="000000"/>
          <w:sz w:val="23"/>
          <w:szCs w:val="23"/>
          <w:rtl/>
        </w:rPr>
        <w:t>بطوری</w:t>
      </w:r>
      <w:r w:rsidRPr="00B6450D">
        <w:rPr>
          <w:i/>
          <w:color w:val="000000"/>
          <w:sz w:val="23"/>
          <w:szCs w:val="23"/>
          <w:rtl/>
        </w:rPr>
        <w:softHyphen/>
      </w:r>
      <w:r w:rsidRPr="00B6450D">
        <w:rPr>
          <w:rFonts w:hint="cs"/>
          <w:i/>
          <w:color w:val="000000"/>
          <w:sz w:val="23"/>
          <w:szCs w:val="23"/>
          <w:rtl/>
        </w:rPr>
        <w:t>که</w:t>
      </w:r>
    </w:p>
    <w:p w14:paraId="0A920A2B" w14:textId="77777777" w:rsidR="00556C10" w:rsidRPr="00B6450D" w:rsidRDefault="00556C10" w:rsidP="00556C10">
      <w:pPr>
        <w:tabs>
          <w:tab w:val="right" w:pos="-83"/>
          <w:tab w:val="right" w:pos="7"/>
        </w:tabs>
        <w:bidi w:val="0"/>
        <w:spacing w:line="216" w:lineRule="auto"/>
        <w:rPr>
          <w:i/>
          <w:sz w:val="23"/>
          <w:szCs w:val="23"/>
        </w:rPr>
      </w:pPr>
      <w:r w:rsidRPr="00B6450D">
        <w:rPr>
          <w:position w:val="-30"/>
        </w:rPr>
        <w:object w:dxaOrig="2320" w:dyaOrig="720" w14:anchorId="6D186304">
          <v:shape id="_x0000_i5320" type="#_x0000_t75" style="width:116.15pt;height:36.3pt" o:ole="">
            <v:imagedata r:id="rId8638" o:title=""/>
          </v:shape>
          <o:OLEObject Type="Embed" ProgID="Equation.DSMT4" ShapeID="_x0000_i5320" DrawAspect="Content" ObjectID="_1791379264" r:id="rId8639"/>
        </w:object>
      </w:r>
    </w:p>
    <w:p w14:paraId="1F9CD1BD" w14:textId="77777777" w:rsidR="00556C10" w:rsidRPr="00B6450D" w:rsidRDefault="00556C10" w:rsidP="00556C10">
      <w:pPr>
        <w:tabs>
          <w:tab w:val="right" w:pos="-83"/>
          <w:tab w:val="right" w:pos="7"/>
        </w:tabs>
        <w:spacing w:line="216" w:lineRule="auto"/>
        <w:rPr>
          <w:i/>
          <w:color w:val="000000"/>
          <w:sz w:val="23"/>
          <w:szCs w:val="23"/>
          <w:rtl/>
        </w:rPr>
      </w:pPr>
      <w:r w:rsidRPr="00B6450D">
        <w:rPr>
          <w:rFonts w:hint="cs"/>
          <w:i/>
          <w:color w:val="000000"/>
          <w:sz w:val="23"/>
          <w:szCs w:val="23"/>
          <w:rtl/>
        </w:rPr>
        <w:lastRenderedPageBreak/>
        <w:t>نرخ بدون ریسک تقریباً برابر است با</w:t>
      </w:r>
    </w:p>
    <w:p w14:paraId="5E270963" w14:textId="77777777" w:rsidR="00556C10" w:rsidRPr="00B6450D" w:rsidRDefault="00556C10" w:rsidP="00556C10">
      <w:pPr>
        <w:tabs>
          <w:tab w:val="right" w:pos="-83"/>
          <w:tab w:val="right" w:pos="7"/>
        </w:tabs>
        <w:bidi w:val="0"/>
        <w:spacing w:line="216" w:lineRule="auto"/>
        <w:rPr>
          <w:i/>
          <w:sz w:val="23"/>
          <w:szCs w:val="23"/>
        </w:rPr>
      </w:pPr>
      <w:r w:rsidRPr="00B6450D">
        <w:rPr>
          <w:position w:val="-12"/>
        </w:rPr>
        <w:object w:dxaOrig="2079" w:dyaOrig="360" w14:anchorId="5B9B75E8">
          <v:shape id="_x0000_i5321" type="#_x0000_t75" style="width:104.05pt;height:18.15pt" o:ole="">
            <v:imagedata r:id="rId8640" o:title=""/>
          </v:shape>
          <o:OLEObject Type="Embed" ProgID="Equation.DSMT4" ShapeID="_x0000_i5321" DrawAspect="Content" ObjectID="_1791379265" r:id="rId8641"/>
        </w:object>
      </w:r>
    </w:p>
    <w:p w14:paraId="1AA010FB" w14:textId="77777777" w:rsidR="00556C10" w:rsidRPr="00B6450D" w:rsidRDefault="00556C10" w:rsidP="00556C10">
      <w:pPr>
        <w:tabs>
          <w:tab w:val="right" w:pos="-83"/>
          <w:tab w:val="right" w:pos="7"/>
        </w:tabs>
        <w:spacing w:line="216" w:lineRule="auto"/>
        <w:rPr>
          <w:i/>
          <w:sz w:val="23"/>
          <w:szCs w:val="23"/>
          <w:rtl/>
        </w:rPr>
      </w:pPr>
      <w:r w:rsidRPr="00B6450D">
        <w:rPr>
          <w:rFonts w:hint="cs"/>
          <w:i/>
          <w:color w:val="000000"/>
          <w:sz w:val="23"/>
          <w:szCs w:val="23"/>
          <w:rtl/>
        </w:rPr>
        <w:t>بنابراین می‌توان این سوال را پرسید که آیا مقدار نرخ بدون ریسک برای سازگاری با نرخ رشد مصرف مناسب است یا خیر.</w:t>
      </w:r>
    </w:p>
    <w:p w14:paraId="09B823E3" w14:textId="77777777" w:rsidR="00556C10" w:rsidRPr="00B6450D" w:rsidRDefault="00556C10" w:rsidP="00556C10">
      <w:pPr>
        <w:tabs>
          <w:tab w:val="right" w:pos="-83"/>
          <w:tab w:val="right" w:pos="7"/>
        </w:tabs>
        <w:spacing w:line="216" w:lineRule="auto"/>
        <w:rPr>
          <w:i/>
          <w:sz w:val="23"/>
          <w:szCs w:val="23"/>
          <w:rtl/>
        </w:rPr>
      </w:pPr>
      <w:r w:rsidRPr="00B6450D">
        <w:rPr>
          <w:rFonts w:hint="cs"/>
          <w:i/>
          <w:color w:val="000000"/>
          <w:sz w:val="23"/>
          <w:szCs w:val="23"/>
          <w:rtl/>
        </w:rPr>
        <w:t>مهرآ و پرسکات</w:t>
      </w:r>
      <w:r w:rsidRPr="00B6450D">
        <w:rPr>
          <w:rStyle w:val="FootnoteReference"/>
          <w:i/>
          <w:sz w:val="23"/>
          <w:szCs w:val="23"/>
          <w:rtl/>
        </w:rPr>
        <w:footnoteReference w:id="271"/>
      </w:r>
      <w:r w:rsidRPr="00B6450D">
        <w:rPr>
          <w:rFonts w:hint="cs"/>
          <w:i/>
          <w:color w:val="000000"/>
          <w:sz w:val="23"/>
          <w:szCs w:val="23"/>
          <w:rtl/>
        </w:rPr>
        <w:t xml:space="preserve"> که در سال ۱۹۸۵ برای اولین بار این موضوع را مطرح کردند، شواهدی را برای آمریکا در سال‌های ۱۹۷۸-۱۸۸۹گزارش کردند. بر اساس شواهد آن دو، متوسط نرخ بازدهی سهام در حدود ۷ درصد، متوسط نرخ رشد مصرف ۱.۸ درصد و متوسط نرخ بدون ریسک ۸ درصد بود. بنابراین برای هر </w:t>
      </w:r>
      <w:r w:rsidRPr="00B6450D">
        <w:rPr>
          <w:position w:val="-6"/>
        </w:rPr>
        <w:object w:dxaOrig="540" w:dyaOrig="260" w14:anchorId="76071D05">
          <v:shape id="_x0000_i5322" type="#_x0000_t75" style="width:26.6pt;height:13.3pt" o:ole="">
            <v:imagedata r:id="rId8642" o:title=""/>
          </v:shape>
          <o:OLEObject Type="Embed" ProgID="Equation.DSMT4" ShapeID="_x0000_i5322" DrawAspect="Content" ObjectID="_1791379266" r:id="rId8643"/>
        </w:object>
      </w:r>
      <w:r w:rsidRPr="00B6450D">
        <w:rPr>
          <w:i/>
          <w:color w:val="000000"/>
          <w:sz w:val="23"/>
          <w:szCs w:val="23"/>
          <w:rtl/>
        </w:rPr>
        <w:t xml:space="preserve"> </w:t>
      </w:r>
      <w:r w:rsidRPr="00B6450D">
        <w:rPr>
          <w:rFonts w:hint="cs"/>
          <w:i/>
          <w:color w:val="000000"/>
          <w:sz w:val="23"/>
          <w:szCs w:val="23"/>
          <w:rtl/>
        </w:rPr>
        <w:t xml:space="preserve">و </w:t>
      </w:r>
      <w:r w:rsidRPr="00B6450D">
        <w:rPr>
          <w:position w:val="-6"/>
        </w:rPr>
        <w:object w:dxaOrig="540" w:dyaOrig="260" w14:anchorId="09F13D8F">
          <v:shape id="_x0000_i5323" type="#_x0000_t75" style="width:26.6pt;height:13.3pt" o:ole="">
            <v:imagedata r:id="rId8644" o:title=""/>
          </v:shape>
          <o:OLEObject Type="Embed" ProgID="Equation.DSMT4" ShapeID="_x0000_i5323" DrawAspect="Content" ObjectID="_1791379267" r:id="rId8645"/>
        </w:object>
      </w:r>
      <w:r w:rsidRPr="00B6450D">
        <w:rPr>
          <w:rFonts w:cs="Cambria" w:hint="cs"/>
          <w:i/>
          <w:color w:val="000000"/>
          <w:sz w:val="23"/>
          <w:szCs w:val="23"/>
          <w:rtl/>
        </w:rPr>
        <w:t> </w:t>
      </w:r>
      <w:r w:rsidRPr="00B6450D">
        <w:rPr>
          <w:rFonts w:hint="cs"/>
          <w:i/>
          <w:color w:val="000000"/>
          <w:sz w:val="23"/>
          <w:szCs w:val="23"/>
          <w:rtl/>
        </w:rPr>
        <w:t>خواهیم داشت</w:t>
      </w:r>
      <w:r w:rsidRPr="00B6450D">
        <w:rPr>
          <w:position w:val="-6"/>
        </w:rPr>
        <w:object w:dxaOrig="960" w:dyaOrig="300" w14:anchorId="06D34A6E">
          <v:shape id="_x0000_i5324" type="#_x0000_t75" style="width:47.8pt;height:14.5pt" o:ole="">
            <v:imagedata r:id="rId8646" o:title=""/>
          </v:shape>
          <o:OLEObject Type="Embed" ProgID="Equation.DSMT4" ShapeID="_x0000_i5324" DrawAspect="Content" ObjectID="_1791379268" r:id="rId8647"/>
        </w:object>
      </w:r>
      <w:r w:rsidRPr="00B6450D">
        <w:rPr>
          <w:rFonts w:hint="cs"/>
          <w:i/>
          <w:color w:val="000000"/>
          <w:sz w:val="23"/>
          <w:szCs w:val="23"/>
          <w:rtl/>
        </w:rPr>
        <w:t>، یعنی معمای نرخ بدون ریسک وجود دارد.</w:t>
      </w:r>
    </w:p>
    <w:p w14:paraId="78455F81" w14:textId="77777777" w:rsidR="00556C10" w:rsidRPr="00B6450D" w:rsidRDefault="00556C10" w:rsidP="00556C10">
      <w:pPr>
        <w:tabs>
          <w:tab w:val="right" w:pos="-83"/>
          <w:tab w:val="right" w:pos="7"/>
        </w:tabs>
        <w:spacing w:line="216" w:lineRule="auto"/>
        <w:rPr>
          <w:i/>
          <w:color w:val="000000"/>
          <w:sz w:val="23"/>
          <w:szCs w:val="23"/>
          <w:rtl/>
        </w:rPr>
      </w:pPr>
    </w:p>
    <w:p w14:paraId="186DBFDE" w14:textId="77777777" w:rsidR="00556C10" w:rsidRPr="00B6450D" w:rsidRDefault="00556C10" w:rsidP="00556C10">
      <w:pPr>
        <w:pStyle w:val="Heading1"/>
        <w:spacing w:before="0" w:line="216" w:lineRule="auto"/>
        <w:rPr>
          <w:rFonts w:ascii="Times New Roman" w:hAnsi="Times New Roman" w:cs="B Nazanin"/>
          <w:b w:val="0"/>
          <w:i/>
          <w:sz w:val="23"/>
          <w:szCs w:val="23"/>
        </w:rPr>
      </w:pPr>
      <w:r w:rsidRPr="00B6450D">
        <w:rPr>
          <w:rFonts w:ascii="Times New Roman" w:hAnsi="Times New Roman" w:cs="B Nazanin" w:hint="cs"/>
          <w:b w:val="0"/>
          <w:i/>
          <w:sz w:val="23"/>
          <w:szCs w:val="23"/>
          <w:rtl/>
        </w:rPr>
        <w:t>۱۲. ۲. ۳ نکته</w:t>
      </w:r>
    </w:p>
    <w:p w14:paraId="45665F9F" w14:textId="77777777" w:rsidR="00556C10" w:rsidRPr="00B6450D" w:rsidRDefault="00556C10" w:rsidP="00556C10">
      <w:pPr>
        <w:tabs>
          <w:tab w:val="right" w:pos="-83"/>
          <w:tab w:val="right" w:pos="7"/>
        </w:tabs>
        <w:spacing w:line="216" w:lineRule="auto"/>
        <w:rPr>
          <w:i/>
          <w:color w:val="000000"/>
          <w:sz w:val="23"/>
          <w:szCs w:val="23"/>
          <w:rtl/>
        </w:rPr>
      </w:pPr>
      <w:r w:rsidRPr="00B6450D">
        <w:rPr>
          <w:rFonts w:hint="cs"/>
          <w:i/>
          <w:color w:val="000000"/>
          <w:sz w:val="23"/>
          <w:szCs w:val="23"/>
          <w:rtl/>
        </w:rPr>
        <w:t>به نظر می‌رسد شواهد تجربی از هیچیک از مدل</w:t>
      </w:r>
      <w:r w:rsidRPr="00B6450D">
        <w:rPr>
          <w:rFonts w:hint="cs"/>
          <w:i/>
          <w:color w:val="000000"/>
          <w:sz w:val="23"/>
          <w:szCs w:val="23"/>
          <w:rtl/>
        </w:rPr>
        <w:softHyphen/>
        <w:t xml:space="preserve">های تعادل عمومی بازار سرمایه حمایت نمی‌کند. این نتیجه در خصوص </w:t>
      </w:r>
      <w:r w:rsidRPr="00B6450D">
        <w:rPr>
          <w:i/>
          <w:color w:val="000000"/>
          <w:sz w:val="23"/>
          <w:szCs w:val="23"/>
        </w:rPr>
        <w:t>CAPM</w:t>
      </w:r>
      <w:r w:rsidRPr="00B6450D">
        <w:rPr>
          <w:rFonts w:hint="cs"/>
          <w:i/>
          <w:color w:val="000000"/>
          <w:sz w:val="23"/>
          <w:szCs w:val="23"/>
          <w:rtl/>
        </w:rPr>
        <w:t xml:space="preserve"> نیز صادق است که بر بازدهی سهام منفرد مقطعی به جای رفتار سری‌های زمانی بازار متمرکز است، و بطور ضمنی درگیر تعادل عمومی نمی</w:t>
      </w:r>
      <w:r w:rsidRPr="00B6450D">
        <w:rPr>
          <w:i/>
          <w:color w:val="000000"/>
          <w:sz w:val="23"/>
          <w:szCs w:val="23"/>
          <w:rtl/>
        </w:rPr>
        <w:softHyphen/>
      </w:r>
      <w:r w:rsidRPr="00B6450D">
        <w:rPr>
          <w:rFonts w:hint="cs"/>
          <w:i/>
          <w:color w:val="000000"/>
          <w:sz w:val="23"/>
          <w:szCs w:val="23"/>
          <w:rtl/>
        </w:rPr>
        <w:t>باشد.</w:t>
      </w:r>
      <w:r w:rsidRPr="00B6450D">
        <w:rPr>
          <w:rStyle w:val="FootnoteReference"/>
          <w:i/>
          <w:sz w:val="23"/>
          <w:szCs w:val="23"/>
          <w:rtl/>
        </w:rPr>
        <w:footnoteReference w:id="272"/>
      </w:r>
      <w:r w:rsidRPr="00B6450D">
        <w:rPr>
          <w:rFonts w:hint="cs"/>
          <w:i/>
          <w:color w:val="000000"/>
          <w:sz w:val="23"/>
          <w:szCs w:val="23"/>
          <w:rtl/>
        </w:rPr>
        <w:t xml:space="preserve"> در نتیجه در بازارهای مالی، مدل‌های تجربی به جای مدل‌های تئوریکی همانند مدل‌های فوق بکار گرفته می‌شوند. نقص مدل‌های تعادلی عمومی، چالشی برای علم اقتصاد و مباحث مالی است. با این حال می‌بایست ارتباط بین اقتصاد کلان و مالی را جدی گرفت، حداقل شواهد مالی، یک راه جدید و با ارزشی را برای آزمون نظریه‌های اقتصادی فراهم می‌سازد. این نکته باعث می‌شود کوکران در سال ۲۰۰۸ نتیجه بگیرد که چالش اقتصاد کلان و مالی، برای فهم ریسک‌های اقتصاد کلان در زمینه‌های فاکتور پاداش ریسک و متوسط بازدهی‌های پرتفوهای خاص در تحقیقات مالی ضروری است.</w:t>
      </w:r>
    </w:p>
    <w:p w14:paraId="036F248B" w14:textId="77777777" w:rsidR="00556C10" w:rsidRPr="00B6450D" w:rsidRDefault="00556C10" w:rsidP="00556C10">
      <w:pPr>
        <w:tabs>
          <w:tab w:val="right" w:pos="-83"/>
          <w:tab w:val="right" w:pos="7"/>
        </w:tabs>
        <w:spacing w:line="216" w:lineRule="auto"/>
        <w:rPr>
          <w:i/>
          <w:sz w:val="23"/>
          <w:szCs w:val="23"/>
          <w:rtl/>
        </w:rPr>
      </w:pPr>
    </w:p>
    <w:p w14:paraId="59D98A70" w14:textId="77777777" w:rsidR="00556C10" w:rsidRPr="00B6450D" w:rsidRDefault="00556C10" w:rsidP="00556C10">
      <w:pPr>
        <w:pStyle w:val="Heading1"/>
        <w:spacing w:before="0" w:line="216" w:lineRule="auto"/>
        <w:rPr>
          <w:rFonts w:ascii="Times New Roman" w:hAnsi="Times New Roman" w:cs="B Nazanin"/>
          <w:b w:val="0"/>
          <w:i/>
          <w:sz w:val="23"/>
          <w:szCs w:val="23"/>
          <w:rtl/>
        </w:rPr>
      </w:pPr>
      <w:r w:rsidRPr="00B6450D">
        <w:rPr>
          <w:rFonts w:ascii="Times New Roman" w:hAnsi="Times New Roman" w:cs="B Nazanin" w:hint="cs"/>
          <w:b w:val="0"/>
          <w:i/>
          <w:sz w:val="23"/>
          <w:szCs w:val="23"/>
          <w:rtl/>
        </w:rPr>
        <w:t>۱۲. ۳ بازار اوراق قرضه</w:t>
      </w:r>
    </w:p>
    <w:p w14:paraId="09A0CF65" w14:textId="77777777" w:rsidR="00556C10" w:rsidRPr="00B6450D" w:rsidRDefault="00556C10" w:rsidP="00556C10">
      <w:pPr>
        <w:spacing w:line="216" w:lineRule="auto"/>
        <w:rPr>
          <w:rFonts w:eastAsiaTheme="minorEastAsia"/>
          <w:i/>
          <w:sz w:val="23"/>
          <w:szCs w:val="23"/>
          <w:rtl/>
        </w:rPr>
      </w:pPr>
      <w:r w:rsidRPr="00B6450D">
        <w:rPr>
          <w:rFonts w:eastAsiaTheme="minorEastAsia" w:hint="cs"/>
          <w:i/>
          <w:sz w:val="23"/>
          <w:szCs w:val="23"/>
          <w:rtl/>
        </w:rPr>
        <w:t>اوراق قرضه وسیله‏ای است برای استقراض، و دولت‏ها مهم‏ترین منتشرکنندگان آن می‌باشند. تاکنون فرض شده بود که کلیه‏ی اوراق‌ قرضه برای یک دوره منتشر می‏شوند، ولی در عمل، سررسید اوراق قرضه متفاوت است. حداکثر سررسید بدهی</w:t>
      </w:r>
      <w:r w:rsidRPr="00B6450D">
        <w:rPr>
          <w:rFonts w:eastAsiaTheme="minorEastAsia"/>
          <w:i/>
          <w:sz w:val="23"/>
          <w:szCs w:val="23"/>
          <w:rtl/>
        </w:rPr>
        <w:softHyphen/>
      </w:r>
      <w:r w:rsidRPr="00B6450D">
        <w:rPr>
          <w:rFonts w:eastAsiaTheme="minorEastAsia" w:hint="cs"/>
          <w:i/>
          <w:sz w:val="23"/>
          <w:szCs w:val="23"/>
          <w:rtl/>
        </w:rPr>
        <w:t>های کوتاه‌مدت دولت یک ساله است و به صورت اسناد خزانه</w:t>
      </w:r>
      <w:r w:rsidRPr="00B6450D">
        <w:rPr>
          <w:rStyle w:val="FootnoteReference"/>
          <w:rFonts w:eastAsiaTheme="minorEastAsia"/>
          <w:i/>
          <w:sz w:val="23"/>
          <w:szCs w:val="23"/>
          <w:rtl/>
        </w:rPr>
        <w:footnoteReference w:id="273"/>
      </w:r>
      <w:r w:rsidRPr="00B6450D">
        <w:rPr>
          <w:rFonts w:eastAsiaTheme="minorEastAsia" w:hint="cs"/>
          <w:i/>
          <w:sz w:val="23"/>
          <w:szCs w:val="23"/>
          <w:rtl/>
        </w:rPr>
        <w:t xml:space="preserve"> تا زمان سررسید نگهداری می‏شوند. بدهی</w:t>
      </w:r>
      <w:r w:rsidRPr="00B6450D">
        <w:rPr>
          <w:rFonts w:eastAsiaTheme="minorEastAsia"/>
          <w:i/>
          <w:sz w:val="23"/>
          <w:szCs w:val="23"/>
          <w:rtl/>
        </w:rPr>
        <w:softHyphen/>
      </w:r>
      <w:r w:rsidRPr="00B6450D">
        <w:rPr>
          <w:rFonts w:eastAsiaTheme="minorEastAsia" w:hint="cs"/>
          <w:i/>
          <w:sz w:val="23"/>
          <w:szCs w:val="23"/>
          <w:rtl/>
        </w:rPr>
        <w:t>های بلندمدت دولت دارای سررسید بیش از یک سال، پنج ساله و یا حتی با سررسید ابدی در قالب دیون عمومی ‏می</w:t>
      </w:r>
      <w:r w:rsidRPr="00B6450D">
        <w:rPr>
          <w:rFonts w:eastAsiaTheme="minorEastAsia"/>
          <w:i/>
          <w:sz w:val="23"/>
          <w:szCs w:val="23"/>
          <w:rtl/>
        </w:rPr>
        <w:softHyphen/>
      </w:r>
      <w:r w:rsidRPr="00B6450D">
        <w:rPr>
          <w:rFonts w:eastAsiaTheme="minorEastAsia" w:hint="cs"/>
          <w:i/>
          <w:sz w:val="23"/>
          <w:szCs w:val="23"/>
          <w:rtl/>
        </w:rPr>
        <w:t xml:space="preserve">باشند. همان‏گونه که قبلاً اشاره شد اوراق قرضه‏ی دولت ممکن است جهت تأمین مالی جنگ‌های فرامرزی منتشر شوند. این اوراق </w:t>
      </w:r>
      <w:r w:rsidRPr="00B6450D">
        <w:rPr>
          <w:rFonts w:eastAsiaTheme="minorEastAsia" w:hint="cs"/>
          <w:i/>
          <w:sz w:val="23"/>
          <w:szCs w:val="23"/>
          <w:rtl/>
        </w:rPr>
        <w:lastRenderedPageBreak/>
        <w:t>خریداری شده ممکن است تا سررسیدشان نگهداری نشده، و همانند سهام در بازارهای ثانویه خرید و فروش شوند.</w:t>
      </w:r>
    </w:p>
    <w:p w14:paraId="79410DF6" w14:textId="77777777" w:rsidR="00556C10" w:rsidRPr="00B6450D" w:rsidRDefault="00556C10" w:rsidP="00556C10">
      <w:pPr>
        <w:spacing w:line="216" w:lineRule="auto"/>
        <w:rPr>
          <w:rFonts w:eastAsiaTheme="minorEastAsia"/>
          <w:i/>
          <w:sz w:val="23"/>
          <w:szCs w:val="23"/>
          <w:rtl/>
        </w:rPr>
      </w:pPr>
      <w:r w:rsidRPr="00B6450D">
        <w:rPr>
          <w:rFonts w:eastAsiaTheme="minorEastAsia" w:hint="cs"/>
          <w:i/>
          <w:sz w:val="23"/>
          <w:szCs w:val="23"/>
          <w:rtl/>
        </w:rPr>
        <w:t>ارزش اوراق قرضه معمولاً به صورت ارزش اسمی است، و در هنگام سررسید آن</w:t>
      </w:r>
      <w:r w:rsidRPr="00B6450D">
        <w:rPr>
          <w:rFonts w:eastAsiaTheme="minorEastAsia"/>
          <w:i/>
          <w:sz w:val="23"/>
          <w:szCs w:val="23"/>
          <w:rtl/>
        </w:rPr>
        <w:softHyphen/>
      </w:r>
      <w:r w:rsidRPr="00B6450D">
        <w:rPr>
          <w:rFonts w:eastAsiaTheme="minorEastAsia" w:hint="cs"/>
          <w:i/>
          <w:sz w:val="23"/>
          <w:szCs w:val="23"/>
          <w:rtl/>
        </w:rPr>
        <w:t>ها دو نوع ریسک وجود دارد، ریسک قصور و عدم پرداخت بدهی و هم‏چنین ریسک تورم به دلیل نااطمینانی ارزش حقیقی قدرت خرید. ریسک قصور و یا ریسک عدم پرداخت بدهی شرکت‌ها معمولاً بیش از ریسک قصور دولت‏هاست، و بهمین دلیل قیمت اوراق قرضه‏ی دولتی با اوراق قرضه</w:t>
      </w:r>
      <w:r w:rsidRPr="00B6450D">
        <w:rPr>
          <w:rFonts w:eastAsiaTheme="minorEastAsia"/>
          <w:i/>
          <w:sz w:val="23"/>
          <w:szCs w:val="23"/>
          <w:rtl/>
        </w:rPr>
        <w:softHyphen/>
      </w:r>
      <w:r w:rsidRPr="00B6450D">
        <w:rPr>
          <w:rFonts w:eastAsiaTheme="minorEastAsia" w:hint="cs"/>
          <w:i/>
          <w:sz w:val="23"/>
          <w:szCs w:val="23"/>
          <w:rtl/>
        </w:rPr>
        <w:t xml:space="preserve">ی شرکتی متفاوت است. در این فصل فقط ریسک قیمت را بررسی کرده و ریسک قصور و عدم پرداخت بدهی را در فصل پانزدهم بررسی خواهیم کرد. </w:t>
      </w:r>
    </w:p>
    <w:p w14:paraId="4FC18004" w14:textId="77777777" w:rsidR="00556C10" w:rsidRPr="00B6450D" w:rsidRDefault="00556C10" w:rsidP="00556C10">
      <w:pPr>
        <w:spacing w:line="216" w:lineRule="auto"/>
        <w:rPr>
          <w:rFonts w:eastAsiaTheme="minorEastAsia"/>
          <w:i/>
          <w:sz w:val="23"/>
          <w:szCs w:val="23"/>
          <w:rtl/>
        </w:rPr>
      </w:pPr>
      <w:r w:rsidRPr="00B6450D">
        <w:rPr>
          <w:rFonts w:eastAsiaTheme="minorEastAsia" w:hint="cs"/>
          <w:i/>
          <w:sz w:val="23"/>
          <w:szCs w:val="23"/>
          <w:rtl/>
        </w:rPr>
        <w:t>بسیاری از دارندگان اوراق قرضه‏ی بلندمدت، در دوره‏ای معین و تکراری که معمولاً فصلی است، مبالغی را از صادرکنندگان آن اوراق دریافت می‏کنند. این مبالغ معمولاً نسبتی از ارزش اوراق بدهی در سررسید (یا ارزش اسمی یا مبلغی که بر روی آن اوراق نوشته شده) هستند و آنرا کوپن نامند. اوراق قرضه‏ی بلندمدتی که قبل از موعد سررسید فروخته شوند همچنین دارای ریسک قیمت به خاطر نااطمینانی قیمت بازاری خود قبل از موعد سررسید می‌باشند. اخیراً برخی از دولت‏ها بدهی شاخص</w:t>
      </w:r>
      <w:r w:rsidRPr="00B6450D">
        <w:rPr>
          <w:rFonts w:eastAsiaTheme="minorEastAsia"/>
          <w:i/>
          <w:sz w:val="23"/>
          <w:szCs w:val="23"/>
          <w:rtl/>
        </w:rPr>
        <w:softHyphen/>
      </w:r>
      <w:r w:rsidRPr="00B6450D">
        <w:rPr>
          <w:rFonts w:eastAsiaTheme="minorEastAsia" w:hint="cs"/>
          <w:i/>
          <w:sz w:val="23"/>
          <w:szCs w:val="23"/>
          <w:rtl/>
        </w:rPr>
        <w:t>گذاری شده</w:t>
      </w:r>
      <w:r w:rsidRPr="00B6450D">
        <w:rPr>
          <w:rStyle w:val="FootnoteReference"/>
          <w:rFonts w:eastAsiaTheme="minorEastAsia"/>
          <w:i/>
          <w:sz w:val="23"/>
          <w:szCs w:val="23"/>
          <w:rtl/>
        </w:rPr>
        <w:footnoteReference w:id="274"/>
      </w:r>
      <w:r w:rsidRPr="00B6450D">
        <w:rPr>
          <w:rFonts w:eastAsiaTheme="minorEastAsia" w:hint="cs"/>
          <w:i/>
          <w:sz w:val="23"/>
          <w:szCs w:val="23"/>
          <w:rtl/>
        </w:rPr>
        <w:t xml:space="preserve"> را منتشر کرده که ارزش سررسید آن (و هر پرداختی کوپن فیما بین آن) با تورم تعدیل می‏شود. </w:t>
      </w:r>
    </w:p>
    <w:p w14:paraId="4D58F7CA" w14:textId="77777777" w:rsidR="00556C10" w:rsidRDefault="00556C10" w:rsidP="00556C10">
      <w:pPr>
        <w:spacing w:line="216" w:lineRule="auto"/>
        <w:rPr>
          <w:rFonts w:eastAsiaTheme="minorEastAsia"/>
          <w:i/>
          <w:sz w:val="23"/>
          <w:szCs w:val="23"/>
          <w:rtl/>
        </w:rPr>
      </w:pPr>
      <w:r w:rsidRPr="00B6450D">
        <w:rPr>
          <w:rFonts w:eastAsiaTheme="minorEastAsia" w:hint="cs"/>
          <w:i/>
          <w:sz w:val="23"/>
          <w:szCs w:val="23"/>
          <w:rtl/>
        </w:rPr>
        <w:t>در این</w:t>
      </w:r>
      <w:r w:rsidRPr="00B6450D">
        <w:rPr>
          <w:rFonts w:eastAsiaTheme="minorEastAsia"/>
          <w:i/>
          <w:sz w:val="23"/>
          <w:szCs w:val="23"/>
          <w:rtl/>
        </w:rPr>
        <w:softHyphen/>
      </w:r>
      <w:r w:rsidRPr="00B6450D">
        <w:rPr>
          <w:rFonts w:eastAsiaTheme="minorEastAsia" w:hint="cs"/>
          <w:i/>
          <w:sz w:val="23"/>
          <w:szCs w:val="23"/>
          <w:rtl/>
        </w:rPr>
        <w:t>جا چگونگی تعیین قیمت بازاری اوراق قرضه تجزیه و تحلیل می</w:t>
      </w:r>
      <w:r w:rsidRPr="00B6450D">
        <w:rPr>
          <w:rFonts w:eastAsiaTheme="minorEastAsia"/>
          <w:i/>
          <w:sz w:val="23"/>
          <w:szCs w:val="23"/>
          <w:rtl/>
        </w:rPr>
        <w:softHyphen/>
      </w:r>
      <w:r w:rsidRPr="00B6450D">
        <w:rPr>
          <w:rFonts w:eastAsiaTheme="minorEastAsia" w:hint="cs"/>
          <w:i/>
          <w:sz w:val="23"/>
          <w:szCs w:val="23"/>
          <w:rtl/>
        </w:rPr>
        <w:t>شود. عواملی که بر قیمت اوراق قرضه تأثیر می‌گذارند، عبارتند از ارزش اوراق قرضه در سررسید، زمان سررسید، مقدار و اندازه‌ی کوپن پرداختی، و این</w:t>
      </w:r>
      <w:r w:rsidRPr="00B6450D">
        <w:rPr>
          <w:rFonts w:eastAsiaTheme="minorEastAsia"/>
          <w:i/>
          <w:sz w:val="23"/>
          <w:szCs w:val="23"/>
          <w:rtl/>
        </w:rPr>
        <w:softHyphen/>
      </w:r>
      <w:r w:rsidRPr="00B6450D">
        <w:rPr>
          <w:rFonts w:eastAsiaTheme="minorEastAsia" w:hint="cs"/>
          <w:i/>
          <w:sz w:val="23"/>
          <w:szCs w:val="23"/>
          <w:rtl/>
        </w:rPr>
        <w:t>که آیا اوراق با تورم تعدیل می‌شود یا خیر، و همچنین انواع ریسک. قیمت اوراق قرضه همچنین متأثر از نرخ بهره‏ی کوتاه‏مدت ناشی از سیاست پولی است. مکانیسم انتقال سیاست پولی از طریق نرخ بهره‏ی کوتاه‏مدت و ساختار زمانی نرخ‏های بهره قیمت اوراق‏های قرضه را تحت تاثیر قرار می‏دهد. در ادبیات اقتصادی و مالی مطالب بسیار زیادی در خصوص ساختار زمانی نرخ‏های بهره وجود دارد.</w:t>
      </w:r>
      <w:r w:rsidRPr="00B6450D">
        <w:rPr>
          <w:rStyle w:val="FootnoteReference"/>
          <w:rFonts w:eastAsiaTheme="minorEastAsia"/>
          <w:i/>
          <w:sz w:val="23"/>
          <w:szCs w:val="23"/>
          <w:rtl/>
        </w:rPr>
        <w:footnoteReference w:id="275"/>
      </w:r>
    </w:p>
    <w:p w14:paraId="6926CE28" w14:textId="77777777" w:rsidR="00556C10" w:rsidRPr="00B6450D" w:rsidRDefault="00556C10" w:rsidP="00556C10">
      <w:pPr>
        <w:spacing w:line="216" w:lineRule="auto"/>
        <w:rPr>
          <w:rFonts w:eastAsiaTheme="minorEastAsia"/>
          <w:i/>
          <w:sz w:val="23"/>
          <w:szCs w:val="23"/>
          <w:rtl/>
        </w:rPr>
      </w:pPr>
    </w:p>
    <w:p w14:paraId="10BFC334" w14:textId="77777777" w:rsidR="00556C10" w:rsidRPr="00B6450D" w:rsidRDefault="00556C10" w:rsidP="00556C10">
      <w:pPr>
        <w:pStyle w:val="Heading1"/>
        <w:spacing w:before="0" w:line="216" w:lineRule="auto"/>
        <w:rPr>
          <w:rFonts w:ascii="Times New Roman" w:eastAsiaTheme="minorEastAsia" w:hAnsi="Times New Roman" w:cs="B Nazanin"/>
          <w:b w:val="0"/>
          <w:i/>
          <w:sz w:val="23"/>
          <w:szCs w:val="23"/>
          <w:rtl/>
        </w:rPr>
      </w:pPr>
      <w:r w:rsidRPr="00B6450D">
        <w:rPr>
          <w:rFonts w:ascii="Times New Roman" w:eastAsiaTheme="minorEastAsia" w:hAnsi="Times New Roman" w:cs="B Nazanin" w:hint="cs"/>
          <w:b w:val="0"/>
          <w:i/>
          <w:sz w:val="23"/>
          <w:szCs w:val="23"/>
          <w:rtl/>
        </w:rPr>
        <w:t>۱۲. ۳. ۱ ساختار زمانی نرخ‏های بهره</w:t>
      </w:r>
      <w:r w:rsidRPr="00B6450D">
        <w:rPr>
          <w:rStyle w:val="FootnoteReference"/>
          <w:rFonts w:ascii="Times New Roman" w:eastAsiaTheme="minorEastAsia" w:hAnsi="Times New Roman" w:cs="B Nazanin"/>
          <w:b w:val="0"/>
          <w:i/>
          <w:sz w:val="23"/>
          <w:szCs w:val="23"/>
          <w:rtl/>
        </w:rPr>
        <w:footnoteReference w:id="276"/>
      </w:r>
    </w:p>
    <w:p w14:paraId="27B0603C" w14:textId="77777777" w:rsidR="00556C10" w:rsidRDefault="00556C10" w:rsidP="00556C10">
      <w:pPr>
        <w:spacing w:line="216" w:lineRule="auto"/>
        <w:rPr>
          <w:rStyle w:val="fontstyle01"/>
          <w:rFonts w:hint="default"/>
          <w:i/>
          <w:sz w:val="23"/>
          <w:szCs w:val="23"/>
          <w:rtl/>
        </w:rPr>
      </w:pPr>
      <w:r w:rsidRPr="00B6450D">
        <w:rPr>
          <w:rStyle w:val="fontstyle01"/>
          <w:rFonts w:hint="default"/>
          <w:sz w:val="23"/>
          <w:szCs w:val="23"/>
          <w:rtl/>
        </w:rPr>
        <w:t>در صورتي كه بخواهيم در يك روز معين نرخ</w:t>
      </w:r>
      <w:r w:rsidRPr="00B6450D">
        <w:rPr>
          <w:rStyle w:val="fontstyle01"/>
          <w:rFonts w:hint="default"/>
          <w:sz w:val="23"/>
          <w:szCs w:val="23"/>
          <w:rtl/>
        </w:rPr>
        <w:softHyphen/>
        <w:t>هاي بهره نقدي بدون ريســك دارایي</w:t>
      </w:r>
      <w:r w:rsidRPr="00B6450D">
        <w:rPr>
          <w:rStyle w:val="fontstyle01"/>
          <w:rFonts w:hint="default"/>
          <w:sz w:val="23"/>
          <w:szCs w:val="23"/>
          <w:rtl/>
        </w:rPr>
        <w:softHyphen/>
        <w:t>هاي مختلف را</w:t>
      </w:r>
    </w:p>
    <w:p w14:paraId="34689612" w14:textId="77777777" w:rsidR="00556C10" w:rsidRPr="00B6450D" w:rsidRDefault="00556C10" w:rsidP="00556C10">
      <w:pPr>
        <w:spacing w:line="216" w:lineRule="auto"/>
        <w:rPr>
          <w:rStyle w:val="fontstyle01"/>
          <w:rFonts w:hint="default"/>
          <w:i/>
          <w:sz w:val="23"/>
          <w:szCs w:val="23"/>
          <w:rtl/>
        </w:rPr>
      </w:pPr>
      <w:r w:rsidRPr="00B6450D">
        <w:rPr>
          <w:rStyle w:val="fontstyle01"/>
          <w:rFonts w:hint="default"/>
          <w:sz w:val="23"/>
          <w:szCs w:val="23"/>
          <w:rtl/>
        </w:rPr>
        <w:t xml:space="preserve"> كه سررســيدهاي گوناگون دارند، در يك محور مختصات همانند شكل شماره يــك منعكس كنيم، در اين حالت به مجموعة اين نرخ</w:t>
      </w:r>
      <w:r w:rsidRPr="00B6450D">
        <w:rPr>
          <w:rStyle w:val="fontstyle01"/>
          <w:rFonts w:hint="default"/>
          <w:sz w:val="23"/>
          <w:szCs w:val="23"/>
          <w:rtl/>
        </w:rPr>
        <w:softHyphen/>
        <w:t>هاي بهره</w:t>
      </w:r>
      <w:r w:rsidRPr="00B6450D">
        <w:rPr>
          <w:rStyle w:val="fontstyle01"/>
          <w:rFonts w:hint="default"/>
          <w:sz w:val="23"/>
          <w:szCs w:val="23"/>
          <w:rtl/>
        </w:rPr>
        <w:softHyphen/>
        <w:t>ی نقدي بدون ريســك، كه مجموعه</w:t>
      </w:r>
      <w:r w:rsidRPr="00B6450D">
        <w:rPr>
          <w:rStyle w:val="fontstyle01"/>
          <w:rFonts w:hint="default"/>
          <w:sz w:val="23"/>
          <w:szCs w:val="23"/>
          <w:rtl/>
        </w:rPr>
        <w:softHyphen/>
        <w:t>هايی از نقاط را بوجود ميآورند، ســاختار زماني نرخ</w:t>
      </w:r>
      <w:r w:rsidRPr="00B6450D">
        <w:rPr>
          <w:rStyle w:val="fontstyle01"/>
          <w:rFonts w:hint="default"/>
          <w:sz w:val="23"/>
          <w:szCs w:val="23"/>
          <w:rtl/>
        </w:rPr>
        <w:softHyphen/>
        <w:t>هاي بهره گفته مي</w:t>
      </w:r>
      <w:r w:rsidRPr="00B6450D">
        <w:rPr>
          <w:rStyle w:val="fontstyle01"/>
          <w:rFonts w:hint="default"/>
          <w:sz w:val="23"/>
          <w:szCs w:val="23"/>
          <w:rtl/>
        </w:rPr>
        <w:softHyphen/>
        <w:t xml:space="preserve">شــود. به عبارت ديگر ســاختار زماني نرخ‌هاي بهره، </w:t>
      </w:r>
      <w:r w:rsidRPr="00B6450D">
        <w:rPr>
          <w:rStyle w:val="fontstyle01"/>
          <w:rFonts w:hint="default"/>
          <w:sz w:val="23"/>
          <w:szCs w:val="23"/>
          <w:rtl/>
        </w:rPr>
        <w:lastRenderedPageBreak/>
        <w:t>مجموعة نقاط مربوط به نرخ</w:t>
      </w:r>
      <w:r w:rsidRPr="00B6450D">
        <w:rPr>
          <w:rStyle w:val="fontstyle01"/>
          <w:rFonts w:hint="default"/>
          <w:sz w:val="23"/>
          <w:szCs w:val="23"/>
          <w:rtl/>
        </w:rPr>
        <w:softHyphen/>
        <w:t>هاي نقدي بدون ريسك در سررسيدهاي متفاوت هستند كه در يك روز معين مورد مشاهده قرار مي</w:t>
      </w:r>
      <w:r w:rsidRPr="00B6450D">
        <w:rPr>
          <w:rStyle w:val="fontstyle01"/>
          <w:rFonts w:hint="default"/>
          <w:sz w:val="23"/>
          <w:szCs w:val="23"/>
          <w:rtl/>
        </w:rPr>
        <w:softHyphen/>
        <w:t xml:space="preserve">گيرند. </w:t>
      </w:r>
    </w:p>
    <w:p w14:paraId="2B51F3D4" w14:textId="77777777" w:rsidR="00556C10" w:rsidRPr="00B6450D" w:rsidRDefault="00556C10" w:rsidP="00556C10">
      <w:pPr>
        <w:spacing w:line="216" w:lineRule="auto"/>
        <w:jc w:val="center"/>
        <w:rPr>
          <w:rFonts w:eastAsiaTheme="minorEastAsia"/>
          <w:i/>
          <w:sz w:val="23"/>
          <w:szCs w:val="23"/>
        </w:rPr>
      </w:pPr>
      <w:r w:rsidRPr="00B6450D">
        <w:rPr>
          <w:i/>
          <w:noProof/>
          <w:sz w:val="23"/>
          <w:szCs w:val="23"/>
          <w:u w:val="single"/>
          <w:lang w:bidi="ar-SA"/>
        </w:rPr>
        <w:drawing>
          <wp:inline distT="0" distB="0" distL="0" distR="0" wp14:anchorId="33F4757D" wp14:editId="444C0ADC">
            <wp:extent cx="3655545" cy="2016690"/>
            <wp:effectExtent l="38100" t="38100" r="40640" b="412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48">
                      <a:extLst>
                        <a:ext uri="{BEBA8EAE-BF5A-486C-A8C5-ECC9F3942E4B}">
                          <a14:imgProps xmlns:a14="http://schemas.microsoft.com/office/drawing/2010/main">
                            <a14:imgLayer r:embed="rId8649">
                              <a14:imgEffect>
                                <a14:brightnessContrast contrast="20000"/>
                              </a14:imgEffect>
                            </a14:imgLayer>
                          </a14:imgProps>
                        </a:ext>
                      </a:extLst>
                    </a:blip>
                    <a:stretch>
                      <a:fillRect/>
                    </a:stretch>
                  </pic:blipFill>
                  <pic:spPr>
                    <a:xfrm>
                      <a:off x="0" y="0"/>
                      <a:ext cx="3667267" cy="2023157"/>
                    </a:xfrm>
                    <a:prstGeom prst="rect">
                      <a:avLst/>
                    </a:prstGeom>
                    <a:ln w="28575">
                      <a:solidFill>
                        <a:schemeClr val="tx1"/>
                      </a:solidFill>
                    </a:ln>
                  </pic:spPr>
                </pic:pic>
              </a:graphicData>
            </a:graphic>
          </wp:inline>
        </w:drawing>
      </w:r>
    </w:p>
    <w:p w14:paraId="0203C3D7" w14:textId="77777777" w:rsidR="00556C10" w:rsidRPr="00B6450D" w:rsidRDefault="00556C10" w:rsidP="00556C10">
      <w:pPr>
        <w:spacing w:line="216" w:lineRule="auto"/>
        <w:jc w:val="center"/>
        <w:rPr>
          <w:rFonts w:eastAsiaTheme="minorEastAsia"/>
          <w:i/>
          <w:sz w:val="23"/>
          <w:szCs w:val="23"/>
        </w:rPr>
      </w:pPr>
    </w:p>
    <w:p w14:paraId="657CCEF1" w14:textId="77777777" w:rsidR="00556C10" w:rsidRPr="00B6450D" w:rsidRDefault="00556C10" w:rsidP="00556C10">
      <w:pPr>
        <w:spacing w:line="216" w:lineRule="auto"/>
        <w:jc w:val="center"/>
        <w:rPr>
          <w:rFonts w:eastAsiaTheme="minorEastAsia"/>
          <w:i/>
          <w:sz w:val="23"/>
          <w:szCs w:val="23"/>
          <w:rtl/>
        </w:rPr>
      </w:pPr>
      <w:r w:rsidRPr="00B6450D">
        <w:rPr>
          <w:i/>
          <w:noProof/>
          <w:sz w:val="23"/>
          <w:szCs w:val="23"/>
          <w:u w:val="single"/>
          <w:lang w:bidi="ar-SA"/>
        </w:rPr>
        <w:drawing>
          <wp:inline distT="0" distB="0" distL="0" distR="0" wp14:anchorId="34497A95" wp14:editId="01F065BF">
            <wp:extent cx="3655897" cy="1985375"/>
            <wp:effectExtent l="38100" t="38100" r="40005" b="342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50" cstate="print">
                      <a:extLst>
                        <a:ext uri="{28A0092B-C50C-407E-A947-70E740481C1C}">
                          <a14:useLocalDpi xmlns:a14="http://schemas.microsoft.com/office/drawing/2010/main" val="0"/>
                        </a:ext>
                      </a:extLst>
                    </a:blip>
                    <a:stretch>
                      <a:fillRect/>
                    </a:stretch>
                  </pic:blipFill>
                  <pic:spPr>
                    <a:xfrm>
                      <a:off x="0" y="0"/>
                      <a:ext cx="3662330" cy="1988869"/>
                    </a:xfrm>
                    <a:prstGeom prst="rect">
                      <a:avLst/>
                    </a:prstGeom>
                    <a:ln w="28575">
                      <a:solidFill>
                        <a:schemeClr val="tx1"/>
                      </a:solidFill>
                    </a:ln>
                  </pic:spPr>
                </pic:pic>
              </a:graphicData>
            </a:graphic>
          </wp:inline>
        </w:drawing>
      </w:r>
    </w:p>
    <w:p w14:paraId="001BEA78" w14:textId="77777777" w:rsidR="00556C10" w:rsidRPr="00B6450D" w:rsidRDefault="00556C10" w:rsidP="00556C10">
      <w:pPr>
        <w:bidi w:val="0"/>
        <w:spacing w:line="216" w:lineRule="auto"/>
        <w:rPr>
          <w:rFonts w:eastAsiaTheme="minorEastAsia"/>
          <w:i/>
          <w:sz w:val="23"/>
          <w:szCs w:val="23"/>
          <w:rtl/>
        </w:rPr>
      </w:pPr>
    </w:p>
    <w:p w14:paraId="49FEABD3" w14:textId="77777777" w:rsidR="00556C10" w:rsidRPr="00B6450D" w:rsidRDefault="00556C10" w:rsidP="00556C10">
      <w:pPr>
        <w:spacing w:line="216" w:lineRule="auto"/>
        <w:rPr>
          <w:rStyle w:val="fontstyle01"/>
          <w:rFonts w:hint="default"/>
          <w:i/>
          <w:sz w:val="23"/>
          <w:szCs w:val="23"/>
        </w:rPr>
      </w:pPr>
      <w:r w:rsidRPr="00B6450D">
        <w:rPr>
          <w:rStyle w:val="fontstyle01"/>
          <w:rFonts w:hint="default"/>
          <w:sz w:val="23"/>
          <w:szCs w:val="23"/>
          <w:rtl/>
        </w:rPr>
        <w:t xml:space="preserve">در نمودارهای </w:t>
      </w:r>
      <w:r>
        <w:rPr>
          <w:rStyle w:val="fontstyle01"/>
          <w:rFonts w:hint="default"/>
          <w:sz w:val="23"/>
          <w:szCs w:val="23"/>
          <w:rtl/>
        </w:rPr>
        <w:t>فوق</w:t>
      </w:r>
      <w:r w:rsidRPr="00B6450D">
        <w:rPr>
          <w:rStyle w:val="fontstyle01"/>
          <w:rFonts w:hint="default"/>
          <w:sz w:val="23"/>
          <w:szCs w:val="23"/>
          <w:rtl/>
        </w:rPr>
        <w:t xml:space="preserve"> در روز پانزدهم ژانويه ۱۹۹۳ بــراي اوراق قرضه</w:t>
      </w:r>
      <w:r w:rsidRPr="00B6450D">
        <w:rPr>
          <w:rStyle w:val="fontstyle01"/>
          <w:rFonts w:hint="default"/>
          <w:sz w:val="23"/>
          <w:szCs w:val="23"/>
          <w:rtl/>
        </w:rPr>
        <w:softHyphen/>
        <w:t>ی دولتي آمريكا نقاط مربوط به نرخ</w:t>
      </w:r>
      <w:r w:rsidRPr="00B6450D">
        <w:rPr>
          <w:rStyle w:val="fontstyle01"/>
          <w:rFonts w:hint="default"/>
          <w:sz w:val="23"/>
          <w:szCs w:val="23"/>
          <w:rtl/>
        </w:rPr>
        <w:softHyphen/>
        <w:t>هاي بهره</w:t>
      </w:r>
      <w:r w:rsidRPr="00B6450D">
        <w:rPr>
          <w:rStyle w:val="fontstyle01"/>
          <w:rFonts w:hint="default"/>
          <w:sz w:val="23"/>
          <w:szCs w:val="23"/>
          <w:rtl/>
        </w:rPr>
        <w:softHyphen/>
        <w:t>ی لحظه</w:t>
      </w:r>
      <w:r w:rsidRPr="00B6450D">
        <w:rPr>
          <w:rStyle w:val="fontstyle01"/>
          <w:rFonts w:hint="default"/>
          <w:sz w:val="23"/>
          <w:szCs w:val="23"/>
          <w:rtl/>
        </w:rPr>
        <w:softHyphen/>
        <w:t>اي بدون ريســك مشــخص شده</w:t>
      </w:r>
      <w:r w:rsidRPr="00B6450D">
        <w:rPr>
          <w:rStyle w:val="fontstyle01"/>
          <w:rFonts w:hint="default"/>
          <w:sz w:val="23"/>
          <w:szCs w:val="23"/>
          <w:rtl/>
        </w:rPr>
        <w:softHyphen/>
        <w:t>ا</w:t>
      </w:r>
      <w:r w:rsidRPr="00B6450D">
        <w:rPr>
          <w:rStyle w:val="fontstyle01"/>
          <w:rFonts w:hint="default"/>
          <w:sz w:val="23"/>
          <w:szCs w:val="23"/>
          <w:rtl/>
        </w:rPr>
        <w:softHyphen/>
        <w:t>ند كه داراي شيب افزايش</w:t>
      </w:r>
      <w:r w:rsidRPr="00B6450D">
        <w:rPr>
          <w:rFonts w:hint="cs"/>
          <w:i/>
          <w:color w:val="000000"/>
          <w:sz w:val="23"/>
          <w:szCs w:val="23"/>
          <w:rtl/>
        </w:rPr>
        <w:t>ی است،</w:t>
      </w:r>
      <w:r w:rsidRPr="00B6450D">
        <w:rPr>
          <w:rStyle w:val="fontstyle01"/>
          <w:rFonts w:hint="default"/>
          <w:sz w:val="23"/>
          <w:szCs w:val="23"/>
          <w:rtl/>
        </w:rPr>
        <w:t xml:space="preserve"> در حالي</w:t>
      </w:r>
      <w:r w:rsidRPr="00B6450D">
        <w:rPr>
          <w:rStyle w:val="fontstyle01"/>
          <w:rFonts w:hint="default"/>
          <w:sz w:val="23"/>
          <w:szCs w:val="23"/>
          <w:rtl/>
        </w:rPr>
        <w:softHyphen/>
        <w:t xml:space="preserve">كه در شكل بعد در تاريخ ۱۵ ژانويه ۱۹۹۳ همين نقاط براي اوراق قرضة دولتي در آلمان نشــان داده شــده كه شــيب كاهشی دارد. </w:t>
      </w:r>
    </w:p>
    <w:p w14:paraId="4A129A44" w14:textId="77777777" w:rsidR="00556C10" w:rsidRPr="00B6450D" w:rsidRDefault="00556C10" w:rsidP="00556C10">
      <w:pPr>
        <w:spacing w:line="216" w:lineRule="auto"/>
        <w:rPr>
          <w:i/>
          <w:sz w:val="23"/>
          <w:szCs w:val="23"/>
          <w:rtl/>
        </w:rPr>
      </w:pPr>
      <w:r w:rsidRPr="00B6450D">
        <w:rPr>
          <w:rStyle w:val="fontstyle01"/>
          <w:rFonts w:hint="default"/>
          <w:sz w:val="23"/>
          <w:szCs w:val="23"/>
          <w:rtl/>
        </w:rPr>
        <w:t>گرچه براي رعايت دقت بايد بين ســاختارهاي زماني افزايشی، كاهشی و يا ثابت و يكســان تفاوت قائل شــويم ولي در عين حال بايد توجه داشــته باشيم كه ســاختارهاي زماني واقعي نرخ</w:t>
      </w:r>
      <w:r w:rsidRPr="00B6450D">
        <w:rPr>
          <w:rStyle w:val="fontstyle01"/>
          <w:rFonts w:hint="default"/>
          <w:sz w:val="23"/>
          <w:szCs w:val="23"/>
          <w:rtl/>
        </w:rPr>
        <w:softHyphen/>
        <w:t>های بهره</w:t>
      </w:r>
      <w:r w:rsidRPr="00B6450D">
        <w:rPr>
          <w:rStyle w:val="fontstyle01"/>
          <w:rFonts w:hint="default"/>
          <w:sz w:val="23"/>
          <w:szCs w:val="23"/>
          <w:rtl/>
        </w:rPr>
        <w:softHyphen/>
        <w:t xml:space="preserve"> ممكن است اشــكال گوناگون داشته كه تنها دو نوع از آن</w:t>
      </w:r>
      <w:r w:rsidRPr="00B6450D">
        <w:rPr>
          <w:rStyle w:val="fontstyle01"/>
          <w:rFonts w:hint="default"/>
          <w:sz w:val="23"/>
          <w:szCs w:val="23"/>
          <w:rtl/>
        </w:rPr>
        <w:softHyphen/>
        <w:t>ها را ارائه نموده</w:t>
      </w:r>
      <w:r w:rsidRPr="00B6450D">
        <w:rPr>
          <w:rStyle w:val="fontstyle01"/>
          <w:rFonts w:hint="default"/>
          <w:sz w:val="23"/>
          <w:szCs w:val="23"/>
          <w:rtl/>
        </w:rPr>
        <w:softHyphen/>
        <w:t>ایم. تئوري</w:t>
      </w:r>
      <w:r w:rsidRPr="00B6450D">
        <w:rPr>
          <w:rStyle w:val="fontstyle01"/>
          <w:rFonts w:hint="default"/>
          <w:sz w:val="23"/>
          <w:szCs w:val="23"/>
          <w:rtl/>
        </w:rPr>
        <w:softHyphen/>
        <w:t xml:space="preserve">ها مختلفي در خصوص </w:t>
      </w:r>
      <w:r w:rsidRPr="00B6450D">
        <w:rPr>
          <w:rStyle w:val="fontstyle01"/>
          <w:rFonts w:hint="default"/>
          <w:sz w:val="23"/>
          <w:szCs w:val="23"/>
          <w:rtl/>
        </w:rPr>
        <w:lastRenderedPageBreak/>
        <w:t>اينكه ســاختار زماني نرخ</w:t>
      </w:r>
      <w:r w:rsidRPr="00B6450D">
        <w:rPr>
          <w:rStyle w:val="fontstyle01"/>
          <w:rFonts w:hint="default"/>
          <w:sz w:val="23"/>
          <w:szCs w:val="23"/>
          <w:rtl/>
        </w:rPr>
        <w:softHyphen/>
        <w:t>هاي بهره چگونه انتظارات سرمايه</w:t>
      </w:r>
      <w:r w:rsidRPr="00B6450D">
        <w:rPr>
          <w:rStyle w:val="fontstyle01"/>
          <w:rFonts w:hint="default"/>
          <w:sz w:val="23"/>
          <w:szCs w:val="23"/>
          <w:rtl/>
        </w:rPr>
        <w:softHyphen/>
        <w:t>گذاران، ترجيحات سرمايه</w:t>
      </w:r>
      <w:r w:rsidRPr="00B6450D">
        <w:rPr>
          <w:rStyle w:val="fontstyle01"/>
          <w:rFonts w:hint="default"/>
          <w:sz w:val="23"/>
          <w:szCs w:val="23"/>
          <w:rtl/>
        </w:rPr>
        <w:softHyphen/>
        <w:t>گذاران و شرايط اقتصادي را منعكس مي</w:t>
      </w:r>
      <w:r w:rsidRPr="00B6450D">
        <w:rPr>
          <w:rStyle w:val="fontstyle01"/>
          <w:rFonts w:hint="default"/>
          <w:sz w:val="23"/>
          <w:szCs w:val="23"/>
          <w:rtl/>
        </w:rPr>
        <w:softHyphen/>
        <w:t>كنند وجود دارد</w:t>
      </w:r>
      <w:r w:rsidRPr="00B6450D">
        <w:rPr>
          <w:rStyle w:val="fontstyle01"/>
          <w:rFonts w:hint="default"/>
          <w:sz w:val="23"/>
          <w:szCs w:val="23"/>
        </w:rPr>
        <w:t>.</w:t>
      </w:r>
      <w:r w:rsidRPr="00B6450D">
        <w:rPr>
          <w:rStyle w:val="fontstyle01"/>
          <w:rFonts w:hint="default"/>
          <w:sz w:val="23"/>
          <w:szCs w:val="23"/>
          <w:rtl/>
        </w:rPr>
        <w:t xml:space="preserve"> ايــن تئوري‌ها در عين حال كــه اهميت دارند، براي ســرمايه</w:t>
      </w:r>
      <w:r w:rsidRPr="00B6450D">
        <w:rPr>
          <w:rStyle w:val="fontstyle01"/>
          <w:rFonts w:hint="default"/>
          <w:sz w:val="23"/>
          <w:szCs w:val="23"/>
          <w:rtl/>
        </w:rPr>
        <w:softHyphen/>
        <w:t>گذاران موضوع مورد</w:t>
      </w:r>
      <w:r w:rsidRPr="00B6450D">
        <w:rPr>
          <w:rFonts w:hint="cs"/>
          <w:i/>
          <w:color w:val="000000"/>
          <w:sz w:val="23"/>
          <w:szCs w:val="23"/>
          <w:rtl/>
        </w:rPr>
        <w:t xml:space="preserve"> </w:t>
      </w:r>
      <w:r w:rsidRPr="00B6450D">
        <w:rPr>
          <w:rStyle w:val="fontstyle01"/>
          <w:rFonts w:hint="default"/>
          <w:sz w:val="23"/>
          <w:szCs w:val="23"/>
          <w:rtl/>
        </w:rPr>
        <w:t>توجه اين اســت كه هر نقطه از ســاختار زماني نرخ</w:t>
      </w:r>
      <w:r w:rsidRPr="00B6450D">
        <w:rPr>
          <w:rStyle w:val="fontstyle01"/>
          <w:rFonts w:hint="default"/>
          <w:sz w:val="23"/>
          <w:szCs w:val="23"/>
          <w:rtl/>
        </w:rPr>
        <w:softHyphen/>
        <w:t>هاي بهره نشــان دهنده</w:t>
      </w:r>
      <w:r w:rsidRPr="00B6450D">
        <w:rPr>
          <w:rStyle w:val="fontstyle01"/>
          <w:rFonts w:hint="default"/>
          <w:sz w:val="23"/>
          <w:szCs w:val="23"/>
          <w:rtl/>
        </w:rPr>
        <w:softHyphen/>
        <w:t>ی ميزان بازدهي</w:t>
      </w:r>
      <w:r w:rsidRPr="00B6450D">
        <w:rPr>
          <w:rFonts w:hint="cs"/>
          <w:i/>
          <w:color w:val="000000"/>
          <w:sz w:val="23"/>
          <w:szCs w:val="23"/>
          <w:rtl/>
        </w:rPr>
        <w:t xml:space="preserve"> </w:t>
      </w:r>
      <w:r w:rsidRPr="00B6450D">
        <w:rPr>
          <w:rStyle w:val="fontstyle01"/>
          <w:rFonts w:hint="default"/>
          <w:sz w:val="23"/>
          <w:szCs w:val="23"/>
          <w:rtl/>
        </w:rPr>
        <w:t>انواع جريانات پولي با توجه به سررســيد آن</w:t>
      </w:r>
      <w:r w:rsidRPr="00B6450D">
        <w:rPr>
          <w:rStyle w:val="fontstyle01"/>
          <w:rFonts w:hint="default"/>
          <w:sz w:val="23"/>
          <w:szCs w:val="23"/>
          <w:rtl/>
        </w:rPr>
        <w:softHyphen/>
        <w:t>هاست</w:t>
      </w:r>
      <w:r w:rsidRPr="00B6450D">
        <w:rPr>
          <w:rStyle w:val="fontstyle01"/>
          <w:rFonts w:hint="default"/>
          <w:sz w:val="23"/>
          <w:szCs w:val="23"/>
        </w:rPr>
        <w:t>.</w:t>
      </w:r>
    </w:p>
    <w:p w14:paraId="46B4F80C" w14:textId="77777777" w:rsidR="00556C10" w:rsidRPr="00B6450D" w:rsidRDefault="00556C10" w:rsidP="00556C10">
      <w:pPr>
        <w:spacing w:line="216" w:lineRule="auto"/>
        <w:rPr>
          <w:rFonts w:eastAsiaTheme="minorEastAsia"/>
          <w:i/>
          <w:sz w:val="23"/>
          <w:szCs w:val="23"/>
        </w:rPr>
      </w:pPr>
      <w:r w:rsidRPr="00B6450D">
        <w:rPr>
          <w:rFonts w:eastAsiaTheme="minorEastAsia" w:hint="cs"/>
          <w:i/>
          <w:sz w:val="23"/>
          <w:szCs w:val="23"/>
          <w:rtl/>
        </w:rPr>
        <w:t>قیمت</w:t>
      </w:r>
      <w:r w:rsidRPr="00B6450D">
        <w:rPr>
          <w:position w:val="-12"/>
        </w:rPr>
        <w:object w:dxaOrig="360" w:dyaOrig="340" w14:anchorId="72DB0944">
          <v:shape id="_x0000_i5325" type="#_x0000_t75" style="width:18.15pt;height:16.95pt" o:ole="">
            <v:imagedata r:id="rId8651" o:title=""/>
          </v:shape>
          <o:OLEObject Type="Embed" ProgID="Equation.DSMT4" ShapeID="_x0000_i5325" DrawAspect="Content" ObjectID="_1791379269" r:id="rId8652"/>
        </w:object>
      </w:r>
      <w:r w:rsidRPr="00B6450D">
        <w:rPr>
          <w:rFonts w:eastAsiaTheme="minorEastAsia" w:hint="cs"/>
          <w:i/>
          <w:sz w:val="23"/>
          <w:szCs w:val="23"/>
          <w:rtl/>
        </w:rPr>
        <w:t xml:space="preserve"> یک اوراق قرضه با</w:t>
      </w:r>
      <w:r w:rsidRPr="00B6450D">
        <w:rPr>
          <w:position w:val="-6"/>
        </w:rPr>
        <w:object w:dxaOrig="200" w:dyaOrig="200" w14:anchorId="57FF7574">
          <v:shape id="_x0000_i5326" type="#_x0000_t75" style="width:10.3pt;height:10.3pt" o:ole="">
            <v:imagedata r:id="rId8653" o:title=""/>
          </v:shape>
          <o:OLEObject Type="Embed" ProgID="Equation.DSMT4" ShapeID="_x0000_i5326" DrawAspect="Content" ObjectID="_1791379270" r:id="rId8654"/>
        </w:object>
      </w:r>
      <w:r w:rsidRPr="00B6450D">
        <w:rPr>
          <w:rFonts w:eastAsiaTheme="minorEastAsia" w:hint="cs"/>
          <w:i/>
          <w:sz w:val="23"/>
          <w:szCs w:val="23"/>
          <w:rtl/>
        </w:rPr>
        <w:t xml:space="preserve"> دوره‏</w:t>
      </w:r>
      <w:r w:rsidRPr="00B6450D">
        <w:rPr>
          <w:rFonts w:eastAsiaTheme="minorEastAsia"/>
          <w:i/>
          <w:sz w:val="23"/>
          <w:szCs w:val="23"/>
          <w:rtl/>
        </w:rPr>
        <w:softHyphen/>
      </w:r>
      <w:r w:rsidRPr="00B6450D">
        <w:rPr>
          <w:rFonts w:eastAsiaTheme="minorEastAsia" w:hint="cs"/>
          <w:i/>
          <w:sz w:val="23"/>
          <w:szCs w:val="23"/>
          <w:rtl/>
        </w:rPr>
        <w:t>ی سررسید، ارزش تنزیل شده‌ی انتظاری تمامی کوپن</w:t>
      </w:r>
      <w:r w:rsidRPr="00B6450D">
        <w:rPr>
          <w:rFonts w:eastAsiaTheme="minorEastAsia"/>
          <w:i/>
          <w:sz w:val="23"/>
          <w:szCs w:val="23"/>
          <w:rtl/>
        </w:rPr>
        <w:softHyphen/>
      </w:r>
      <w:r w:rsidRPr="00B6450D">
        <w:rPr>
          <w:rFonts w:eastAsiaTheme="minorEastAsia" w:hint="cs"/>
          <w:i/>
          <w:sz w:val="23"/>
          <w:szCs w:val="23"/>
          <w:rtl/>
        </w:rPr>
        <w:t>های پرداختی بانضمام ارزش تنزیل شده</w:t>
      </w:r>
      <w:r w:rsidRPr="00B6450D">
        <w:rPr>
          <w:rFonts w:eastAsiaTheme="minorEastAsia"/>
          <w:i/>
          <w:sz w:val="23"/>
          <w:szCs w:val="23"/>
          <w:rtl/>
        </w:rPr>
        <w:softHyphen/>
      </w:r>
      <w:r w:rsidRPr="00B6450D">
        <w:rPr>
          <w:rFonts w:eastAsiaTheme="minorEastAsia" w:hint="cs"/>
          <w:i/>
          <w:sz w:val="23"/>
          <w:szCs w:val="23"/>
          <w:rtl/>
        </w:rPr>
        <w:t>ی اوراق قرضه در سررسید آن می‏باشد. بنابراین</w:t>
      </w:r>
    </w:p>
    <w:p w14:paraId="279CB9EE" w14:textId="77777777" w:rsidR="00556C10" w:rsidRPr="00B6450D" w:rsidRDefault="00556C10" w:rsidP="00556C10">
      <w:pPr>
        <w:bidi w:val="0"/>
        <w:spacing w:line="216" w:lineRule="auto"/>
        <w:rPr>
          <w:i/>
          <w:color w:val="000000"/>
          <w:sz w:val="23"/>
          <w:szCs w:val="23"/>
        </w:rPr>
      </w:pPr>
      <w:r w:rsidRPr="00B6450D">
        <w:rPr>
          <w:position w:val="-90"/>
        </w:rPr>
        <w:object w:dxaOrig="3820" w:dyaOrig="2000" w14:anchorId="7E49D7CD">
          <v:shape id="_x0000_i5327" type="#_x0000_t75" style="width:191.2pt;height:99.85pt" o:ole="">
            <v:imagedata r:id="rId8655" o:title=""/>
          </v:shape>
          <o:OLEObject Type="Embed" ProgID="Equation.DSMT4" ShapeID="_x0000_i5327" DrawAspect="Content" ObjectID="_1791379271" r:id="rId8656"/>
        </w:object>
      </w:r>
      <w:r w:rsidRPr="00B6450D">
        <w:rPr>
          <w:i/>
          <w:color w:val="000000"/>
          <w:sz w:val="23"/>
          <w:szCs w:val="23"/>
          <w:rtl/>
        </w:rPr>
        <w:tab/>
      </w:r>
      <w:r w:rsidRPr="00B6450D">
        <w:rPr>
          <w:i/>
          <w:color w:val="000000"/>
          <w:sz w:val="23"/>
          <w:szCs w:val="23"/>
        </w:rPr>
        <w:tab/>
      </w:r>
      <w:r w:rsidRPr="00B6450D">
        <w:rPr>
          <w:i/>
          <w:color w:val="000000"/>
          <w:sz w:val="23"/>
          <w:szCs w:val="23"/>
        </w:rPr>
        <w:tab/>
      </w:r>
      <w:r w:rsidRPr="00B6450D">
        <w:rPr>
          <w:i/>
          <w:color w:val="000000"/>
          <w:sz w:val="23"/>
          <w:szCs w:val="23"/>
        </w:rPr>
        <w:tab/>
      </w:r>
      <w:r>
        <w:rPr>
          <w:i/>
          <w:color w:val="000000"/>
          <w:sz w:val="23"/>
          <w:szCs w:val="23"/>
          <w:rtl/>
        </w:rPr>
        <w:tab/>
      </w:r>
      <w:r w:rsidRPr="00B6450D">
        <w:rPr>
          <w:i/>
          <w:color w:val="000000"/>
          <w:sz w:val="23"/>
          <w:szCs w:val="23"/>
        </w:rPr>
        <w:tab/>
        <w:t xml:space="preserve"> </w:t>
      </w:r>
      <w:r w:rsidRPr="00B6450D">
        <w:rPr>
          <w:i/>
          <w:color w:val="000000"/>
          <w:sz w:val="23"/>
          <w:szCs w:val="23"/>
          <w:rtl/>
        </w:rPr>
        <w:tab/>
      </w:r>
      <w:r w:rsidRPr="00B6450D">
        <w:rPr>
          <w:rFonts w:hint="cs"/>
          <w:i/>
          <w:color w:val="000000"/>
          <w:sz w:val="23"/>
          <w:szCs w:val="23"/>
          <w:rtl/>
        </w:rPr>
        <w:t>(۱۲. ۱۲)</w:t>
      </w:r>
    </w:p>
    <w:p w14:paraId="4295A392" w14:textId="77777777" w:rsidR="00556C10" w:rsidRPr="00B6450D" w:rsidRDefault="00556C10" w:rsidP="00556C10">
      <w:pPr>
        <w:spacing w:line="216" w:lineRule="auto"/>
        <w:rPr>
          <w:rFonts w:eastAsiaTheme="minorEastAsia"/>
          <w:i/>
          <w:sz w:val="23"/>
          <w:szCs w:val="23"/>
          <w:rtl/>
        </w:rPr>
      </w:pPr>
      <w:r w:rsidRPr="00B6450D">
        <w:rPr>
          <w:rFonts w:eastAsiaTheme="minorEastAsia" w:hint="cs"/>
          <w:i/>
          <w:sz w:val="23"/>
          <w:szCs w:val="23"/>
          <w:rtl/>
        </w:rPr>
        <w:t>که در آن</w:t>
      </w:r>
      <w:r w:rsidRPr="00B6450D">
        <w:rPr>
          <w:position w:val="-6"/>
        </w:rPr>
        <w:object w:dxaOrig="160" w:dyaOrig="200" w14:anchorId="71E8CC8E">
          <v:shape id="_x0000_i5328" type="#_x0000_t75" style="width:7.85pt;height:10.3pt" o:ole="">
            <v:imagedata r:id="rId8657" o:title=""/>
          </v:shape>
          <o:OLEObject Type="Embed" ProgID="Equation.DSMT4" ShapeID="_x0000_i5328" DrawAspect="Content" ObjectID="_1791379272" r:id="rId8658"/>
        </w:object>
      </w:r>
      <w:r w:rsidRPr="00B6450D">
        <w:rPr>
          <w:rFonts w:eastAsiaTheme="minorEastAsia" w:hint="cs"/>
          <w:i/>
          <w:sz w:val="23"/>
          <w:szCs w:val="23"/>
          <w:rtl/>
        </w:rPr>
        <w:t xml:space="preserve"> کوپن پرداخت شده در هر دوره است و نسبتی از ارزش اسمی یا مبلغ نوشته شده بر روی اوراق می</w:t>
      </w:r>
      <w:r w:rsidRPr="00B6450D">
        <w:rPr>
          <w:rFonts w:eastAsiaTheme="minorEastAsia"/>
          <w:i/>
          <w:sz w:val="23"/>
          <w:szCs w:val="23"/>
          <w:rtl/>
        </w:rPr>
        <w:softHyphen/>
      </w:r>
      <w:r w:rsidRPr="00B6450D">
        <w:rPr>
          <w:rFonts w:eastAsiaTheme="minorEastAsia" w:hint="cs"/>
          <w:i/>
          <w:sz w:val="23"/>
          <w:szCs w:val="23"/>
          <w:rtl/>
        </w:rPr>
        <w:t>باشد، و</w:t>
      </w:r>
      <w:r w:rsidRPr="00B6450D">
        <w:rPr>
          <w:position w:val="-12"/>
        </w:rPr>
        <w:object w:dxaOrig="380" w:dyaOrig="360" w14:anchorId="0AFC51CF">
          <v:shape id="_x0000_i5329" type="#_x0000_t75" style="width:19.35pt;height:18.15pt" o:ole="">
            <v:imagedata r:id="rId8659" o:title=""/>
          </v:shape>
          <o:OLEObject Type="Embed" ProgID="Equation.DSMT4" ShapeID="_x0000_i5329" DrawAspect="Content" ObjectID="_1791379273" r:id="rId8660"/>
        </w:object>
      </w:r>
      <w:r w:rsidRPr="00B6450D">
        <w:rPr>
          <w:rFonts w:eastAsiaTheme="minorEastAsia" w:hint="cs"/>
          <w:i/>
          <w:sz w:val="23"/>
          <w:szCs w:val="23"/>
          <w:rtl/>
        </w:rPr>
        <w:t xml:space="preserve"> نرخ تنزیل اسمی جریان درآمدی اوراق قرضه با کوپن</w:t>
      </w:r>
      <w:r w:rsidRPr="00B6450D">
        <w:rPr>
          <w:position w:val="-6"/>
        </w:rPr>
        <w:object w:dxaOrig="160" w:dyaOrig="200" w14:anchorId="0CDB2D2C">
          <v:shape id="_x0000_i5330" type="#_x0000_t75" style="width:7.85pt;height:10.3pt" o:ole="">
            <v:imagedata r:id="rId8661" o:title=""/>
          </v:shape>
          <o:OLEObject Type="Embed" ProgID="Equation.DSMT4" ShapeID="_x0000_i5330" DrawAspect="Content" ObjectID="_1791379274" r:id="rId8662"/>
        </w:object>
      </w:r>
      <w:r w:rsidRPr="00B6450D">
        <w:rPr>
          <w:rFonts w:eastAsiaTheme="minorEastAsia" w:hint="cs"/>
          <w:i/>
          <w:sz w:val="23"/>
          <w:szCs w:val="23"/>
          <w:rtl/>
        </w:rPr>
        <w:t xml:space="preserve"> است.</w:t>
      </w:r>
      <w:r w:rsidRPr="00B6450D">
        <w:rPr>
          <w:position w:val="-12"/>
        </w:rPr>
        <w:object w:dxaOrig="380" w:dyaOrig="360" w14:anchorId="4F60A296">
          <v:shape id="_x0000_i5331" type="#_x0000_t75" style="width:19.35pt;height:18.15pt" o:ole="">
            <v:imagedata r:id="rId8663" o:title=""/>
          </v:shape>
          <o:OLEObject Type="Embed" ProgID="Equation.DSMT4" ShapeID="_x0000_i5331" DrawAspect="Content" ObjectID="_1791379275" r:id="rId8664"/>
        </w:object>
      </w:r>
      <w:r w:rsidRPr="00B6450D">
        <w:rPr>
          <w:rFonts w:eastAsiaTheme="minorEastAsia"/>
          <w:i/>
          <w:sz w:val="23"/>
          <w:szCs w:val="23"/>
        </w:rPr>
        <w:t xml:space="preserve"> </w:t>
      </w:r>
      <w:r w:rsidRPr="00B6450D">
        <w:rPr>
          <w:rFonts w:eastAsiaTheme="minorEastAsia" w:hint="cs"/>
          <w:i/>
          <w:sz w:val="23"/>
          <w:szCs w:val="23"/>
          <w:rtl/>
        </w:rPr>
        <w:t>همان بازده</w:t>
      </w:r>
      <w:r w:rsidRPr="00B6450D">
        <w:rPr>
          <w:rStyle w:val="FootnoteReference"/>
          <w:rFonts w:eastAsiaTheme="minorEastAsia"/>
          <w:i/>
          <w:sz w:val="23"/>
          <w:szCs w:val="23"/>
          <w:rtl/>
        </w:rPr>
        <w:footnoteReference w:id="277"/>
      </w:r>
      <w:r w:rsidRPr="00B6450D">
        <w:rPr>
          <w:rFonts w:eastAsiaTheme="minorEastAsia" w:hint="cs"/>
          <w:i/>
          <w:sz w:val="23"/>
          <w:szCs w:val="23"/>
          <w:rtl/>
        </w:rPr>
        <w:t xml:space="preserve"> در سررسید است. در این جا فرض شده است که عایدی در زمان سررسید برابر است با یک، بنابراین </w:t>
      </w:r>
      <w:r w:rsidRPr="00B6450D">
        <w:rPr>
          <w:position w:val="-12"/>
        </w:rPr>
        <w:object w:dxaOrig="680" w:dyaOrig="340" w14:anchorId="494A37C6">
          <v:shape id="_x0000_i5332" type="#_x0000_t75" style="width:33.9pt;height:16.95pt" o:ole="">
            <v:imagedata r:id="rId8665" o:title=""/>
          </v:shape>
          <o:OLEObject Type="Embed" ProgID="Equation.DSMT4" ShapeID="_x0000_i5332" DrawAspect="Content" ObjectID="_1791379276" r:id="rId8666"/>
        </w:object>
      </w:r>
      <w:r w:rsidRPr="00B6450D">
        <w:rPr>
          <w:rFonts w:eastAsiaTheme="minorEastAsia" w:hint="cs"/>
          <w:i/>
          <w:sz w:val="23"/>
          <w:szCs w:val="23"/>
          <w:rtl/>
        </w:rPr>
        <w:t>.</w:t>
      </w:r>
      <w:r w:rsidRPr="00B6450D">
        <w:rPr>
          <w:rFonts w:eastAsiaTheme="minorEastAsia"/>
          <w:i/>
          <w:sz w:val="23"/>
          <w:szCs w:val="23"/>
        </w:rPr>
        <w:t xml:space="preserve"> </w:t>
      </w:r>
      <w:r w:rsidRPr="00B6450D">
        <w:rPr>
          <w:rFonts w:eastAsiaTheme="minorEastAsia" w:hint="cs"/>
          <w:i/>
          <w:sz w:val="23"/>
          <w:szCs w:val="23"/>
          <w:rtl/>
        </w:rPr>
        <w:t>در رابطه</w:t>
      </w:r>
      <w:r w:rsidRPr="00B6450D">
        <w:rPr>
          <w:rFonts w:eastAsiaTheme="minorEastAsia"/>
          <w:i/>
          <w:sz w:val="23"/>
          <w:szCs w:val="23"/>
          <w:rtl/>
        </w:rPr>
        <w:softHyphen/>
      </w:r>
      <w:r w:rsidRPr="00B6450D">
        <w:rPr>
          <w:rFonts w:eastAsiaTheme="minorEastAsia" w:hint="cs"/>
          <w:i/>
          <w:sz w:val="23"/>
          <w:szCs w:val="23"/>
          <w:rtl/>
        </w:rPr>
        <w:t xml:space="preserve">ی فوق اگر </w:t>
      </w:r>
      <w:r w:rsidRPr="00B6450D">
        <w:rPr>
          <w:position w:val="-6"/>
        </w:rPr>
        <w:object w:dxaOrig="580" w:dyaOrig="200" w14:anchorId="3F4A7442">
          <v:shape id="_x0000_i5333" type="#_x0000_t75" style="width:29.05pt;height:10.3pt" o:ole="">
            <v:imagedata r:id="rId8667" o:title=""/>
          </v:shape>
          <o:OLEObject Type="Embed" ProgID="Equation.DSMT4" ShapeID="_x0000_i5333" DrawAspect="Content" ObjectID="_1791379277" r:id="rId8668"/>
        </w:object>
      </w:r>
      <w:r w:rsidRPr="00B6450D">
        <w:rPr>
          <w:rFonts w:eastAsiaTheme="minorEastAsia" w:hint="cs"/>
          <w:i/>
          <w:sz w:val="23"/>
          <w:szCs w:val="23"/>
          <w:rtl/>
        </w:rPr>
        <w:t xml:space="preserve"> باشد، آنگاه</w:t>
      </w:r>
    </w:p>
    <w:p w14:paraId="01B0F627" w14:textId="77777777" w:rsidR="00556C10" w:rsidRPr="00B6450D" w:rsidRDefault="00556C10" w:rsidP="00556C10">
      <w:pPr>
        <w:bidi w:val="0"/>
        <w:spacing w:line="216" w:lineRule="auto"/>
        <w:jc w:val="left"/>
        <w:rPr>
          <w:rFonts w:eastAsiaTheme="minorEastAsia"/>
          <w:i/>
          <w:sz w:val="23"/>
          <w:szCs w:val="23"/>
          <w:rtl/>
        </w:rPr>
      </w:pPr>
      <w:r w:rsidRPr="00B6450D">
        <w:rPr>
          <w:position w:val="-30"/>
        </w:rPr>
        <w:object w:dxaOrig="1320" w:dyaOrig="639" w14:anchorId="265ACCD6">
          <v:shape id="_x0000_i5334" type="#_x0000_t75" style="width:65.35pt;height:31.45pt" o:ole="">
            <v:imagedata r:id="rId8669" o:title=""/>
          </v:shape>
          <o:OLEObject Type="Embed" ProgID="Equation.DSMT4" ShapeID="_x0000_i5334" DrawAspect="Content" ObjectID="_1791379278" r:id="rId8670"/>
        </w:object>
      </w:r>
    </w:p>
    <w:p w14:paraId="7CDFEF09" w14:textId="77777777" w:rsidR="00556C10" w:rsidRPr="00B6450D" w:rsidRDefault="00556C10" w:rsidP="00556C10">
      <w:pPr>
        <w:spacing w:line="216" w:lineRule="auto"/>
        <w:rPr>
          <w:rFonts w:eastAsiaTheme="minorEastAsia"/>
          <w:i/>
          <w:sz w:val="23"/>
          <w:szCs w:val="23"/>
        </w:rPr>
      </w:pPr>
      <w:r w:rsidRPr="00B6450D">
        <w:rPr>
          <w:rFonts w:eastAsiaTheme="minorEastAsia" w:hint="cs"/>
          <w:i/>
          <w:sz w:val="23"/>
          <w:szCs w:val="23"/>
          <w:rtl/>
        </w:rPr>
        <w:t>و در یک اوراق قرضه با کوپن-صفر یا تنزیل محض،</w:t>
      </w:r>
      <w:r w:rsidRPr="00B6450D">
        <w:rPr>
          <w:position w:val="-6"/>
        </w:rPr>
        <w:object w:dxaOrig="499" w:dyaOrig="260" w14:anchorId="047104D0">
          <v:shape id="_x0000_i5335" type="#_x0000_t75" style="width:24.8pt;height:13.3pt" o:ole="">
            <v:imagedata r:id="rId8671" o:title=""/>
          </v:shape>
          <o:OLEObject Type="Embed" ProgID="Equation.DSMT4" ShapeID="_x0000_i5335" DrawAspect="Content" ObjectID="_1791379279" r:id="rId8672"/>
        </w:object>
      </w:r>
      <w:r w:rsidRPr="00B6450D">
        <w:rPr>
          <w:rFonts w:eastAsiaTheme="minorEastAsia" w:hint="cs"/>
          <w:i/>
          <w:sz w:val="23"/>
          <w:szCs w:val="23"/>
          <w:rtl/>
        </w:rPr>
        <w:t xml:space="preserve"> است و لذا </w:t>
      </w:r>
    </w:p>
    <w:p w14:paraId="35E2274E" w14:textId="77777777" w:rsidR="00556C10" w:rsidRPr="00B6450D" w:rsidRDefault="00556C10" w:rsidP="00556C10">
      <w:pPr>
        <w:bidi w:val="0"/>
        <w:spacing w:line="216" w:lineRule="auto"/>
        <w:rPr>
          <w:i/>
          <w:sz w:val="23"/>
          <w:szCs w:val="23"/>
          <w:rtl/>
        </w:rPr>
      </w:pPr>
      <w:r w:rsidRPr="00B6450D">
        <w:rPr>
          <w:position w:val="-38"/>
        </w:rPr>
        <w:object w:dxaOrig="1520" w:dyaOrig="720" w14:anchorId="7ED25595">
          <v:shape id="_x0000_i5336" type="#_x0000_t75" style="width:75.65pt;height:36.3pt" o:ole="">
            <v:imagedata r:id="rId8673" o:title=""/>
          </v:shape>
          <o:OLEObject Type="Embed" ProgID="Equation.DSMT4" ShapeID="_x0000_i5336" DrawAspect="Content" ObjectID="_1791379280" r:id="rId8674"/>
        </w:object>
      </w:r>
    </w:p>
    <w:p w14:paraId="400AAFA1" w14:textId="77777777" w:rsidR="00556C10" w:rsidRPr="00B6450D" w:rsidRDefault="00556C10" w:rsidP="00556C10">
      <w:pPr>
        <w:spacing w:line="216" w:lineRule="auto"/>
        <w:rPr>
          <w:rFonts w:eastAsiaTheme="minorEastAsia"/>
          <w:i/>
          <w:sz w:val="23"/>
          <w:szCs w:val="23"/>
        </w:rPr>
      </w:pPr>
      <w:r w:rsidRPr="00B6450D">
        <w:rPr>
          <w:rFonts w:eastAsiaTheme="minorEastAsia" w:hint="cs"/>
          <w:i/>
          <w:sz w:val="23"/>
          <w:szCs w:val="23"/>
          <w:rtl/>
        </w:rPr>
        <w:t>که نشان می‌دهد بازده کوپن-صفر</w:t>
      </w:r>
      <w:r w:rsidRPr="00B6450D">
        <w:rPr>
          <w:position w:val="-12"/>
        </w:rPr>
        <w:object w:dxaOrig="380" w:dyaOrig="360" w14:anchorId="662A33E8">
          <v:shape id="_x0000_i5337" type="#_x0000_t75" style="width:19.35pt;height:18.15pt" o:ole="">
            <v:imagedata r:id="rId8675" o:title=""/>
          </v:shape>
          <o:OLEObject Type="Embed" ProgID="Equation.DSMT4" ShapeID="_x0000_i5337" DrawAspect="Content" ObjectID="_1791379281" r:id="rId8676"/>
        </w:object>
      </w:r>
      <w:r w:rsidRPr="00B6450D">
        <w:rPr>
          <w:rFonts w:eastAsiaTheme="minorEastAsia" w:hint="cs"/>
          <w:i/>
          <w:sz w:val="23"/>
          <w:szCs w:val="23"/>
          <w:rtl/>
        </w:rPr>
        <w:t xml:space="preserve"> به</w:t>
      </w:r>
      <w:r w:rsidRPr="00B6450D">
        <w:rPr>
          <w:rFonts w:eastAsiaTheme="minorEastAsia"/>
          <w:i/>
          <w:sz w:val="23"/>
          <w:szCs w:val="23"/>
          <w:rtl/>
        </w:rPr>
        <w:softHyphen/>
      </w:r>
      <w:r w:rsidRPr="00B6450D">
        <w:rPr>
          <w:rFonts w:eastAsiaTheme="minorEastAsia" w:hint="cs"/>
          <w:i/>
          <w:sz w:val="23"/>
          <w:szCs w:val="23"/>
          <w:rtl/>
        </w:rPr>
        <w:t>طور تقریبی برابر است با</w:t>
      </w:r>
    </w:p>
    <w:p w14:paraId="75009A96" w14:textId="77777777" w:rsidR="00556C10" w:rsidRPr="00B6450D" w:rsidRDefault="00556C10" w:rsidP="00556C10">
      <w:pPr>
        <w:bidi w:val="0"/>
        <w:spacing w:line="216" w:lineRule="auto"/>
        <w:rPr>
          <w:rFonts w:eastAsiaTheme="minorEastAsia"/>
          <w:i/>
          <w:sz w:val="23"/>
          <w:szCs w:val="23"/>
          <w:rtl/>
        </w:rPr>
      </w:pPr>
      <w:r w:rsidRPr="00B6450D">
        <w:rPr>
          <w:position w:val="-22"/>
        </w:rPr>
        <w:object w:dxaOrig="1320" w:dyaOrig="560" w14:anchorId="7C163201">
          <v:shape id="_x0000_i5338" type="#_x0000_t75" style="width:65.35pt;height:27.85pt" o:ole="">
            <v:imagedata r:id="rId8677" o:title=""/>
          </v:shape>
          <o:OLEObject Type="Embed" ProgID="Equation.DSMT4" ShapeID="_x0000_i5338" DrawAspect="Content" ObjectID="_1791379282" r:id="rId8678"/>
        </w:object>
      </w:r>
    </w:p>
    <w:p w14:paraId="33376A4C" w14:textId="77777777" w:rsidR="00556C10" w:rsidRPr="00B6450D" w:rsidRDefault="00556C10" w:rsidP="00556C10">
      <w:pPr>
        <w:spacing w:line="216" w:lineRule="auto"/>
        <w:rPr>
          <w:rFonts w:eastAsiaTheme="minorEastAsia"/>
          <w:i/>
          <w:sz w:val="23"/>
          <w:szCs w:val="23"/>
          <w:rtl/>
        </w:rPr>
      </w:pPr>
      <w:r w:rsidRPr="00B6450D">
        <w:rPr>
          <w:rFonts w:eastAsiaTheme="minorEastAsia" w:hint="cs"/>
          <w:i/>
          <w:sz w:val="23"/>
          <w:szCs w:val="23"/>
          <w:rtl/>
        </w:rPr>
        <w:t>در عمل، در هر کشوری و در هر دوره‏ای از زمان تعداد بسیار کمی اوراق قرضه</w:t>
      </w:r>
      <w:r w:rsidRPr="00B6450D">
        <w:rPr>
          <w:rFonts w:eastAsiaTheme="minorEastAsia"/>
          <w:i/>
          <w:sz w:val="23"/>
          <w:szCs w:val="23"/>
          <w:rtl/>
        </w:rPr>
        <w:softHyphen/>
      </w:r>
      <w:r w:rsidRPr="00B6450D">
        <w:rPr>
          <w:rFonts w:eastAsiaTheme="minorEastAsia" w:hint="cs"/>
          <w:i/>
          <w:sz w:val="23"/>
          <w:szCs w:val="23"/>
          <w:rtl/>
        </w:rPr>
        <w:t>ی تنزیل شده وجود دارد، و آن اوراق قرضه</w:t>
      </w:r>
      <w:r w:rsidRPr="00B6450D">
        <w:rPr>
          <w:rFonts w:eastAsiaTheme="minorEastAsia"/>
          <w:i/>
          <w:sz w:val="23"/>
          <w:szCs w:val="23"/>
          <w:rtl/>
        </w:rPr>
        <w:softHyphen/>
      </w:r>
      <w:r w:rsidRPr="00B6450D">
        <w:rPr>
          <w:rFonts w:eastAsiaTheme="minorEastAsia" w:hint="cs"/>
          <w:i/>
          <w:sz w:val="23"/>
          <w:szCs w:val="23"/>
          <w:rtl/>
        </w:rPr>
        <w:t>ای که وجود دارد سررسیدی کوتاه‏مدت دارد. اما این امکان وجود دارد که ‌یک کوپن اوراق قرضه را به اوراق قرضه‏ی تنزیل شده‏ی هم ارز با سررسید یکسان تبدیل کرد. مجدداً، فقط تعداد محدودی کوپن اوراق</w:t>
      </w:r>
      <w:r w:rsidRPr="00B6450D">
        <w:rPr>
          <w:rFonts w:eastAsiaTheme="minorEastAsia"/>
          <w:i/>
          <w:sz w:val="23"/>
          <w:szCs w:val="23"/>
          <w:rtl/>
        </w:rPr>
        <w:softHyphen/>
      </w:r>
      <w:r w:rsidRPr="00B6450D">
        <w:rPr>
          <w:rFonts w:eastAsiaTheme="minorEastAsia" w:hint="cs"/>
          <w:i/>
          <w:sz w:val="23"/>
          <w:szCs w:val="23"/>
          <w:rtl/>
        </w:rPr>
        <w:t xml:space="preserve"> قرضه وجود دارد، و بنابراین امکان ایجاد اوراق قرضه</w:t>
      </w:r>
      <w:r w:rsidRPr="00B6450D">
        <w:rPr>
          <w:rFonts w:eastAsiaTheme="minorEastAsia"/>
          <w:i/>
          <w:sz w:val="23"/>
          <w:szCs w:val="23"/>
          <w:rtl/>
        </w:rPr>
        <w:softHyphen/>
      </w:r>
      <w:r w:rsidRPr="00B6450D">
        <w:rPr>
          <w:rFonts w:eastAsiaTheme="minorEastAsia" w:hint="cs"/>
          <w:i/>
          <w:sz w:val="23"/>
          <w:szCs w:val="23"/>
          <w:rtl/>
        </w:rPr>
        <w:t>ی</w:t>
      </w:r>
      <w:r w:rsidRPr="00B6450D">
        <w:rPr>
          <w:rFonts w:eastAsiaTheme="minorEastAsia"/>
          <w:i/>
          <w:sz w:val="23"/>
          <w:szCs w:val="23"/>
        </w:rPr>
        <w:t xml:space="preserve"> </w:t>
      </w:r>
      <w:r w:rsidRPr="00B6450D">
        <w:rPr>
          <w:rFonts w:eastAsiaTheme="minorEastAsia" w:hint="cs"/>
          <w:i/>
          <w:sz w:val="23"/>
          <w:szCs w:val="23"/>
          <w:rtl/>
        </w:rPr>
        <w:t>کوپن صفر برای هر سررسیدی در هر لحظه از زمان از طریق فقط تبدیل کوپن اوراق قرضه‏ وجود ندارد. هر چند، این امکان وجود دارد تا از روش</w:t>
      </w:r>
      <w:r w:rsidRPr="00B6450D">
        <w:rPr>
          <w:rFonts w:eastAsiaTheme="minorEastAsia"/>
          <w:i/>
          <w:sz w:val="23"/>
          <w:szCs w:val="23"/>
          <w:rtl/>
        </w:rPr>
        <w:softHyphen/>
      </w:r>
      <w:r w:rsidRPr="00B6450D">
        <w:rPr>
          <w:rFonts w:eastAsiaTheme="minorEastAsia" w:hint="cs"/>
          <w:i/>
          <w:sz w:val="23"/>
          <w:szCs w:val="23"/>
          <w:rtl/>
        </w:rPr>
        <w:t>های درون</w:t>
      </w:r>
      <w:r w:rsidRPr="00B6450D">
        <w:rPr>
          <w:rFonts w:eastAsiaTheme="minorEastAsia"/>
          <w:i/>
          <w:sz w:val="23"/>
          <w:szCs w:val="23"/>
          <w:rtl/>
        </w:rPr>
        <w:softHyphen/>
      </w:r>
      <w:r w:rsidRPr="00B6450D">
        <w:rPr>
          <w:rFonts w:eastAsiaTheme="minorEastAsia" w:hint="cs"/>
          <w:i/>
          <w:sz w:val="23"/>
          <w:szCs w:val="23"/>
          <w:rtl/>
        </w:rPr>
        <w:t xml:space="preserve">یابی شکاف‏ها را پر نمود. در این راه می‏توان بازده کوپن </w:t>
      </w:r>
      <w:r w:rsidRPr="00B6450D">
        <w:rPr>
          <w:rFonts w:eastAsiaTheme="minorEastAsia" w:hint="cs"/>
          <w:i/>
          <w:sz w:val="23"/>
          <w:szCs w:val="23"/>
          <w:rtl/>
        </w:rPr>
        <w:lastRenderedPageBreak/>
        <w:t>صفر هم</w:t>
      </w:r>
      <w:r w:rsidRPr="00B6450D">
        <w:rPr>
          <w:rFonts w:eastAsiaTheme="minorEastAsia"/>
          <w:i/>
          <w:sz w:val="23"/>
          <w:szCs w:val="23"/>
          <w:rtl/>
        </w:rPr>
        <w:softHyphen/>
      </w:r>
      <w:r w:rsidRPr="00B6450D">
        <w:rPr>
          <w:rFonts w:eastAsiaTheme="minorEastAsia" w:hint="cs"/>
          <w:i/>
          <w:sz w:val="23"/>
          <w:szCs w:val="23"/>
          <w:rtl/>
        </w:rPr>
        <w:t>ارز را برای هر سررسیدی به دست آورد، که بدان ساختار زمانی نرخ</w:t>
      </w:r>
      <w:r w:rsidRPr="00B6450D">
        <w:rPr>
          <w:rFonts w:eastAsiaTheme="minorEastAsia"/>
          <w:i/>
          <w:sz w:val="23"/>
          <w:szCs w:val="23"/>
          <w:rtl/>
        </w:rPr>
        <w:softHyphen/>
      </w:r>
      <w:r w:rsidRPr="00B6450D">
        <w:rPr>
          <w:rFonts w:eastAsiaTheme="minorEastAsia" w:hint="cs"/>
          <w:i/>
          <w:sz w:val="23"/>
          <w:szCs w:val="23"/>
          <w:rtl/>
        </w:rPr>
        <w:t>های بهره گویند. رسم بازده</w:t>
      </w:r>
      <w:r w:rsidRPr="00B6450D">
        <w:rPr>
          <w:rFonts w:eastAsiaTheme="minorEastAsia"/>
          <w:i/>
          <w:sz w:val="23"/>
          <w:szCs w:val="23"/>
          <w:rtl/>
        </w:rPr>
        <w:softHyphen/>
      </w:r>
      <w:r w:rsidRPr="00B6450D">
        <w:rPr>
          <w:rFonts w:eastAsiaTheme="minorEastAsia" w:hint="cs"/>
          <w:i/>
          <w:sz w:val="23"/>
          <w:szCs w:val="23"/>
          <w:rtl/>
        </w:rPr>
        <w:t>های کوپن صفر در مقابل زمان و موعد سررسید را منحنی بازده</w:t>
      </w:r>
      <w:r w:rsidRPr="00B6450D">
        <w:rPr>
          <w:rStyle w:val="FootnoteReference"/>
          <w:rFonts w:eastAsiaTheme="minorEastAsia"/>
          <w:i/>
          <w:sz w:val="23"/>
          <w:szCs w:val="23"/>
          <w:rtl/>
        </w:rPr>
        <w:footnoteReference w:id="278"/>
      </w:r>
      <w:r w:rsidRPr="00B6450D">
        <w:rPr>
          <w:rFonts w:eastAsiaTheme="minorEastAsia" w:hint="cs"/>
          <w:i/>
          <w:sz w:val="23"/>
          <w:szCs w:val="23"/>
          <w:rtl/>
        </w:rPr>
        <w:t xml:space="preserve"> نامند.</w:t>
      </w:r>
    </w:p>
    <w:p w14:paraId="6FF5BE8C" w14:textId="77777777" w:rsidR="00556C10" w:rsidRPr="00B6450D" w:rsidRDefault="00556C10" w:rsidP="00556C10">
      <w:pPr>
        <w:spacing w:line="216" w:lineRule="auto"/>
        <w:rPr>
          <w:rFonts w:eastAsiaTheme="minorEastAsia"/>
          <w:i/>
          <w:sz w:val="23"/>
          <w:szCs w:val="23"/>
        </w:rPr>
      </w:pPr>
    </w:p>
    <w:p w14:paraId="419BF200" w14:textId="77777777" w:rsidR="00556C10" w:rsidRPr="00B6450D" w:rsidRDefault="00556C10" w:rsidP="00556C10">
      <w:pPr>
        <w:spacing w:line="216" w:lineRule="auto"/>
        <w:rPr>
          <w:rFonts w:eastAsiaTheme="minorEastAsia"/>
          <w:bCs/>
          <w:i/>
          <w:sz w:val="23"/>
          <w:szCs w:val="23"/>
          <w:rtl/>
        </w:rPr>
      </w:pPr>
      <w:r w:rsidRPr="00B6450D">
        <w:rPr>
          <w:rFonts w:eastAsiaTheme="minorEastAsia" w:hint="cs"/>
          <w:bCs/>
          <w:i/>
          <w:sz w:val="23"/>
          <w:szCs w:val="23"/>
          <w:rtl/>
        </w:rPr>
        <w:t>تبدیل یک کوپن به اوراق قرضه‏ی کوپن ـ صفر</w:t>
      </w:r>
    </w:p>
    <w:p w14:paraId="169FCEA2" w14:textId="77777777" w:rsidR="00556C10" w:rsidRPr="00B6450D" w:rsidRDefault="00556C10" w:rsidP="00556C10">
      <w:pPr>
        <w:spacing w:line="216" w:lineRule="auto"/>
        <w:rPr>
          <w:rFonts w:eastAsiaTheme="minorEastAsia"/>
          <w:i/>
          <w:sz w:val="23"/>
          <w:szCs w:val="23"/>
          <w:rtl/>
        </w:rPr>
      </w:pPr>
      <w:r w:rsidRPr="00B6450D">
        <w:rPr>
          <w:rFonts w:eastAsiaTheme="minorEastAsia" w:hint="cs"/>
          <w:i/>
          <w:sz w:val="23"/>
          <w:szCs w:val="23"/>
          <w:rtl/>
        </w:rPr>
        <w:t xml:space="preserve">یک کوپن اوراق قرضه‏ی </w:t>
      </w:r>
      <w:r w:rsidRPr="00B6450D">
        <w:rPr>
          <w:position w:val="-6"/>
        </w:rPr>
        <w:object w:dxaOrig="200" w:dyaOrig="200" w14:anchorId="7A8951B0">
          <v:shape id="_x0000_i5339" type="#_x0000_t75" style="width:10.3pt;height:10.3pt" o:ole="">
            <v:imagedata r:id="rId8679" o:title=""/>
          </v:shape>
          <o:OLEObject Type="Embed" ProgID="Equation.DSMT4" ShapeID="_x0000_i5339" DrawAspect="Content" ObjectID="_1791379283" r:id="rId8680"/>
        </w:object>
      </w:r>
      <w:r w:rsidRPr="00B6450D">
        <w:rPr>
          <w:rFonts w:eastAsiaTheme="minorEastAsia" w:hint="cs"/>
          <w:i/>
          <w:sz w:val="23"/>
          <w:szCs w:val="23"/>
          <w:rtl/>
        </w:rPr>
        <w:t xml:space="preserve"> دوره‏ای می‏تواند به عنوان مجموعه‏ای از اوراق قرضه تنزیل شده محض با عواید در دوره‏های</w:t>
      </w:r>
      <w:r w:rsidRPr="00B6450D">
        <w:rPr>
          <w:position w:val="-6"/>
        </w:rPr>
        <w:object w:dxaOrig="139" w:dyaOrig="240" w14:anchorId="010FBA90">
          <v:shape id="_x0000_i5340" type="#_x0000_t75" style="width:6.65pt;height:11.5pt" o:ole="">
            <v:imagedata r:id="rId8681" o:title=""/>
          </v:shape>
          <o:OLEObject Type="Embed" ProgID="Equation.DSMT4" ShapeID="_x0000_i5340" DrawAspect="Content" ObjectID="_1791379284" r:id="rId8682"/>
        </w:object>
      </w:r>
      <w:r w:rsidRPr="00B6450D">
        <w:rPr>
          <w:rFonts w:eastAsiaTheme="minorEastAsia" w:hint="cs"/>
          <w:i/>
          <w:sz w:val="23"/>
          <w:szCs w:val="23"/>
          <w:rtl/>
        </w:rPr>
        <w:t xml:space="preserve"> تا</w:t>
      </w:r>
      <w:r w:rsidRPr="00B6450D">
        <w:rPr>
          <w:position w:val="-6"/>
        </w:rPr>
        <w:object w:dxaOrig="760" w:dyaOrig="260" w14:anchorId="5374CFE6">
          <v:shape id="_x0000_i5341" type="#_x0000_t75" style="width:38.1pt;height:13.3pt" o:ole="">
            <v:imagedata r:id="rId8683" o:title=""/>
          </v:shape>
          <o:OLEObject Type="Embed" ProgID="Equation.DSMT4" ShapeID="_x0000_i5341" DrawAspect="Content" ObjectID="_1791379285" r:id="rId8684"/>
        </w:object>
      </w:r>
      <w:r w:rsidRPr="00B6450D">
        <w:rPr>
          <w:rFonts w:eastAsiaTheme="minorEastAsia" w:hint="cs"/>
          <w:i/>
          <w:sz w:val="23"/>
          <w:szCs w:val="23"/>
          <w:rtl/>
        </w:rPr>
        <w:t>، یعنی، قبل از سررسید در نظر گرفته شود، که برابر با ارزش کوپن اوراق قرضه‌ی</w:t>
      </w:r>
      <w:r w:rsidRPr="00B6450D">
        <w:rPr>
          <w:position w:val="-6"/>
        </w:rPr>
        <w:object w:dxaOrig="160" w:dyaOrig="200" w14:anchorId="43587D21">
          <v:shape id="_x0000_i5342" type="#_x0000_t75" style="width:7.85pt;height:10.3pt" o:ole="">
            <v:imagedata r:id="rId8685" o:title=""/>
          </v:shape>
          <o:OLEObject Type="Embed" ProgID="Equation.DSMT4" ShapeID="_x0000_i5342" DrawAspect="Content" ObjectID="_1791379286" r:id="rId8686"/>
        </w:object>
      </w:r>
      <w:r w:rsidRPr="00B6450D">
        <w:rPr>
          <w:rFonts w:eastAsiaTheme="minorEastAsia" w:hint="cs"/>
          <w:i/>
          <w:sz w:val="23"/>
          <w:szCs w:val="23"/>
          <w:rtl/>
        </w:rPr>
        <w:t xml:space="preserve"> است. در سررسید، در دوره‏ی</w:t>
      </w:r>
      <w:r w:rsidRPr="00B6450D">
        <w:rPr>
          <w:position w:val="-6"/>
        </w:rPr>
        <w:object w:dxaOrig="480" w:dyaOrig="240" w14:anchorId="34C5205F">
          <v:shape id="_x0000_i5343" type="#_x0000_t75" style="width:24.2pt;height:11.5pt" o:ole="">
            <v:imagedata r:id="rId8687" o:title=""/>
          </v:shape>
          <o:OLEObject Type="Embed" ProgID="Equation.DSMT4" ShapeID="_x0000_i5343" DrawAspect="Content" ObjectID="_1791379287" r:id="rId8688"/>
        </w:object>
      </w:r>
      <w:r w:rsidRPr="00B6450D">
        <w:rPr>
          <w:rFonts w:eastAsiaTheme="minorEastAsia" w:hint="cs"/>
          <w:i/>
          <w:sz w:val="23"/>
          <w:szCs w:val="23"/>
          <w:rtl/>
        </w:rPr>
        <w:t xml:space="preserve">، عایدی برابر است با ارزش اوراق قرضه در سررسید به علاوه‏ی کوپن، یعنی </w:t>
      </w:r>
      <w:r w:rsidRPr="00B6450D">
        <w:rPr>
          <w:position w:val="-6"/>
        </w:rPr>
        <w:object w:dxaOrig="460" w:dyaOrig="260" w14:anchorId="0977BDFF">
          <v:shape id="_x0000_i5344" type="#_x0000_t75" style="width:23pt;height:13.3pt" o:ole="">
            <v:imagedata r:id="rId8689" o:title=""/>
          </v:shape>
          <o:OLEObject Type="Embed" ProgID="Equation.DSMT4" ShapeID="_x0000_i5344" DrawAspect="Content" ObjectID="_1791379288" r:id="rId8690"/>
        </w:object>
      </w:r>
      <w:r w:rsidRPr="00B6450D">
        <w:rPr>
          <w:rFonts w:eastAsiaTheme="minorEastAsia" w:hint="cs"/>
          <w:i/>
          <w:sz w:val="23"/>
          <w:szCs w:val="23"/>
          <w:rtl/>
        </w:rPr>
        <w:t>. برای تبدیل کوپن به اوراق قرضه کوپن-صفر هریک از این عواید</w:t>
      </w:r>
      <w:r w:rsidRPr="00B6450D">
        <w:rPr>
          <w:rFonts w:eastAsiaTheme="minorEastAsia"/>
          <w:i/>
          <w:sz w:val="23"/>
          <w:szCs w:val="23"/>
        </w:rPr>
        <w:t xml:space="preserve"> </w:t>
      </w:r>
      <w:r w:rsidRPr="00B6450D">
        <w:rPr>
          <w:rFonts w:eastAsiaTheme="minorEastAsia" w:hint="cs"/>
          <w:i/>
          <w:sz w:val="23"/>
          <w:szCs w:val="23"/>
          <w:rtl/>
        </w:rPr>
        <w:t>به بازده کوپن-صفر</w:t>
      </w:r>
      <w:r w:rsidRPr="00B6450D">
        <w:rPr>
          <w:position w:val="-12"/>
        </w:rPr>
        <w:object w:dxaOrig="380" w:dyaOrig="360" w14:anchorId="51C09F2D">
          <v:shape id="_x0000_i5345" type="#_x0000_t75" style="width:19.35pt;height:18.15pt" o:ole="">
            <v:imagedata r:id="rId8691" o:title=""/>
          </v:shape>
          <o:OLEObject Type="Embed" ProgID="Equation.DSMT4" ShapeID="_x0000_i5345" DrawAspect="Content" ObjectID="_1791379289" r:id="rId8692"/>
        </w:object>
      </w:r>
      <w:r w:rsidRPr="00B6450D">
        <w:rPr>
          <w:rFonts w:eastAsiaTheme="minorEastAsia" w:hint="cs"/>
          <w:i/>
          <w:sz w:val="23"/>
          <w:szCs w:val="23"/>
          <w:rtl/>
        </w:rPr>
        <w:t xml:space="preserve"> متناظر با سررسید آن تنزیل می‏شود</w:t>
      </w:r>
      <w:r w:rsidRPr="00B6450D">
        <w:rPr>
          <w:rFonts w:eastAsiaTheme="minorEastAsia"/>
          <w:i/>
          <w:sz w:val="23"/>
          <w:szCs w:val="23"/>
        </w:rPr>
        <w:t>.</w:t>
      </w:r>
      <w:r w:rsidRPr="00B6450D">
        <w:rPr>
          <w:rFonts w:eastAsiaTheme="minorEastAsia" w:hint="cs"/>
          <w:i/>
          <w:sz w:val="23"/>
          <w:szCs w:val="23"/>
          <w:rtl/>
        </w:rPr>
        <w:t xml:space="preserve"> بنابراین</w:t>
      </w:r>
      <w:r w:rsidRPr="00B6450D">
        <w:rPr>
          <w:position w:val="-12"/>
        </w:rPr>
        <w:object w:dxaOrig="360" w:dyaOrig="340" w14:anchorId="65A75C62">
          <v:shape id="_x0000_i5346" type="#_x0000_t75" style="width:18.15pt;height:16.95pt" o:ole="">
            <v:imagedata r:id="rId8693" o:title=""/>
          </v:shape>
          <o:OLEObject Type="Embed" ProgID="Equation.DSMT4" ShapeID="_x0000_i5346" DrawAspect="Content" ObjectID="_1791379290" r:id="rId8694"/>
        </w:object>
      </w:r>
      <w:r w:rsidRPr="00B6450D">
        <w:rPr>
          <w:rFonts w:eastAsiaTheme="minorEastAsia" w:hint="cs"/>
          <w:i/>
          <w:sz w:val="23"/>
          <w:szCs w:val="23"/>
          <w:rtl/>
        </w:rPr>
        <w:t xml:space="preserve"> در رابطه‏ی (۱۲. ۱۲) ممکن است به صورت زیر بازتعریف شود.</w:t>
      </w:r>
    </w:p>
    <w:p w14:paraId="0BC6CE28" w14:textId="77777777" w:rsidR="00556C10" w:rsidRPr="00B6450D" w:rsidRDefault="00556C10" w:rsidP="00556C10">
      <w:pPr>
        <w:bidi w:val="0"/>
        <w:spacing w:line="216" w:lineRule="auto"/>
        <w:rPr>
          <w:rFonts w:eastAsiaTheme="minorEastAsia"/>
          <w:i/>
          <w:sz w:val="23"/>
          <w:szCs w:val="23"/>
          <w:rtl/>
        </w:rPr>
      </w:pPr>
      <w:r w:rsidRPr="00B6450D">
        <w:rPr>
          <w:position w:val="-38"/>
        </w:rPr>
        <w:object w:dxaOrig="3780" w:dyaOrig="720" w14:anchorId="6090100A">
          <v:shape id="_x0000_i5347" type="#_x0000_t75" style="width:189.4pt;height:36.3pt" o:ole="">
            <v:imagedata r:id="rId8695" o:title=""/>
          </v:shape>
          <o:OLEObject Type="Embed" ProgID="Equation.DSMT4" ShapeID="_x0000_i5347" DrawAspect="Content" ObjectID="_1791379291" r:id="rId8696"/>
        </w:object>
      </w:r>
    </w:p>
    <w:p w14:paraId="64DF9BF0" w14:textId="77777777" w:rsidR="00556C10" w:rsidRPr="00B6450D" w:rsidRDefault="00556C10" w:rsidP="00556C10">
      <w:pPr>
        <w:spacing w:line="216" w:lineRule="auto"/>
        <w:rPr>
          <w:rFonts w:eastAsiaTheme="minorEastAsia"/>
          <w:i/>
          <w:sz w:val="23"/>
          <w:szCs w:val="23"/>
        </w:rPr>
      </w:pPr>
      <w:r w:rsidRPr="00B6450D">
        <w:rPr>
          <w:rFonts w:eastAsiaTheme="minorEastAsia" w:hint="cs"/>
          <w:i/>
          <w:sz w:val="23"/>
          <w:szCs w:val="23"/>
          <w:rtl/>
        </w:rPr>
        <w:t>برای هر</w:t>
      </w:r>
      <w:r w:rsidRPr="00B6450D">
        <w:rPr>
          <w:position w:val="-12"/>
        </w:rPr>
        <w:object w:dxaOrig="360" w:dyaOrig="340" w14:anchorId="11C433D1">
          <v:shape id="_x0000_i5348" type="#_x0000_t75" style="width:18.15pt;height:16.95pt" o:ole="">
            <v:imagedata r:id="rId8697" o:title=""/>
          </v:shape>
          <o:OLEObject Type="Embed" ProgID="Equation.DSMT4" ShapeID="_x0000_i5348" DrawAspect="Content" ObjectID="_1791379292" r:id="rId8698"/>
        </w:object>
      </w:r>
      <w:r w:rsidRPr="00B6450D">
        <w:rPr>
          <w:rFonts w:eastAsiaTheme="minorEastAsia" w:hint="cs"/>
          <w:i/>
          <w:sz w:val="23"/>
          <w:szCs w:val="23"/>
          <w:vertAlign w:val="subscript"/>
          <w:rtl/>
        </w:rPr>
        <w:t xml:space="preserve"> </w:t>
      </w:r>
      <w:r w:rsidRPr="00B6450D">
        <w:rPr>
          <w:rFonts w:eastAsiaTheme="minorEastAsia" w:hint="cs"/>
          <w:i/>
          <w:sz w:val="23"/>
          <w:szCs w:val="23"/>
          <w:rtl/>
        </w:rPr>
        <w:t>فقط</w:t>
      </w:r>
      <w:r w:rsidRPr="00B6450D">
        <w:rPr>
          <w:position w:val="-12"/>
        </w:rPr>
        <w:object w:dxaOrig="380" w:dyaOrig="360" w14:anchorId="2F0486C9">
          <v:shape id="_x0000_i5349" type="#_x0000_t75" style="width:19.35pt;height:18.15pt" o:ole="">
            <v:imagedata r:id="rId8699" o:title=""/>
          </v:shape>
          <o:OLEObject Type="Embed" ProgID="Equation.DSMT4" ShapeID="_x0000_i5349" DrawAspect="Content" ObjectID="_1791379293" r:id="rId8700"/>
        </w:object>
      </w:r>
      <w:r w:rsidRPr="00B6450D">
        <w:rPr>
          <w:rFonts w:eastAsiaTheme="minorEastAsia" w:hint="cs"/>
          <w:i/>
          <w:sz w:val="23"/>
          <w:szCs w:val="23"/>
          <w:rtl/>
        </w:rPr>
        <w:t xml:space="preserve"> ناشناخته است. می‏توان</w:t>
      </w:r>
      <w:r w:rsidRPr="00B6450D">
        <w:rPr>
          <w:position w:val="-12"/>
        </w:rPr>
        <w:object w:dxaOrig="380" w:dyaOrig="360" w14:anchorId="5BB386CA">
          <v:shape id="_x0000_i5350" type="#_x0000_t75" style="width:19.35pt;height:18.15pt" o:ole="">
            <v:imagedata r:id="rId8701" o:title=""/>
          </v:shape>
          <o:OLEObject Type="Embed" ProgID="Equation.DSMT4" ShapeID="_x0000_i5350" DrawAspect="Content" ObjectID="_1791379294" r:id="rId8702"/>
        </w:object>
      </w:r>
      <w:r w:rsidRPr="00B6450D">
        <w:rPr>
          <w:rFonts w:eastAsiaTheme="minorEastAsia" w:hint="cs"/>
          <w:i/>
          <w:sz w:val="23"/>
          <w:szCs w:val="23"/>
          <w:rtl/>
        </w:rPr>
        <w:t xml:space="preserve"> را از</w:t>
      </w:r>
      <w:r w:rsidRPr="00B6450D">
        <w:rPr>
          <w:position w:val="-12"/>
        </w:rPr>
        <w:object w:dxaOrig="360" w:dyaOrig="340" w14:anchorId="1146CEF3">
          <v:shape id="_x0000_i5351" type="#_x0000_t75" style="width:18.15pt;height:16.95pt" o:ole="">
            <v:imagedata r:id="rId8703" o:title=""/>
          </v:shape>
          <o:OLEObject Type="Embed" ProgID="Equation.DSMT4" ShapeID="_x0000_i5351" DrawAspect="Content" ObjectID="_1791379295" r:id="rId8704"/>
        </w:object>
      </w:r>
      <w:r w:rsidRPr="00B6450D">
        <w:rPr>
          <w:rFonts w:eastAsiaTheme="minorEastAsia" w:hint="cs"/>
          <w:i/>
          <w:sz w:val="23"/>
          <w:szCs w:val="23"/>
          <w:rtl/>
        </w:rPr>
        <w:t xml:space="preserve"> به روش زیر به دست آورد. برای اوراق قرضه‏ی یک دوره‏ای می‏دانیم که</w:t>
      </w:r>
      <w:r w:rsidRPr="00B6450D">
        <w:rPr>
          <w:position w:val="-12"/>
        </w:rPr>
        <w:object w:dxaOrig="900" w:dyaOrig="360" w14:anchorId="647DF267">
          <v:shape id="_x0000_i5352" type="#_x0000_t75" style="width:45.4pt;height:18.15pt" o:ole="">
            <v:imagedata r:id="rId8705" o:title=""/>
          </v:shape>
          <o:OLEObject Type="Embed" ProgID="Equation.DSMT4" ShapeID="_x0000_i5352" DrawAspect="Content" ObjectID="_1791379296" r:id="rId8706"/>
        </w:object>
      </w:r>
      <w:r w:rsidRPr="00B6450D">
        <w:rPr>
          <w:rFonts w:eastAsiaTheme="minorEastAsia"/>
          <w:i/>
          <w:sz w:val="23"/>
          <w:szCs w:val="23"/>
        </w:rPr>
        <w:t>.</w:t>
      </w:r>
      <w:r w:rsidRPr="00B6450D">
        <w:rPr>
          <w:rFonts w:eastAsiaTheme="minorEastAsia" w:hint="cs"/>
          <w:i/>
          <w:sz w:val="23"/>
          <w:szCs w:val="23"/>
          <w:rtl/>
        </w:rPr>
        <w:t xml:space="preserve"> لذا می‏توان آن را برای محاسبه‏ی</w:t>
      </w:r>
      <w:r w:rsidRPr="00B6450D">
        <w:rPr>
          <w:position w:val="-12"/>
        </w:rPr>
        <w:object w:dxaOrig="380" w:dyaOrig="360" w14:anchorId="4EC9471D">
          <v:shape id="_x0000_i5353" type="#_x0000_t75" style="width:19.35pt;height:18.15pt" o:ole="">
            <v:imagedata r:id="rId8707" o:title=""/>
          </v:shape>
          <o:OLEObject Type="Embed" ProgID="Equation.DSMT4" ShapeID="_x0000_i5353" DrawAspect="Content" ObjectID="_1791379297" r:id="rId8708"/>
        </w:object>
      </w:r>
      <w:r w:rsidRPr="00B6450D">
        <w:rPr>
          <w:rFonts w:eastAsiaTheme="minorEastAsia" w:hint="cs"/>
          <w:i/>
          <w:sz w:val="23"/>
          <w:szCs w:val="23"/>
          <w:rtl/>
        </w:rPr>
        <w:t>از قیمت یک اوراق قرضه‌ی دو دوره‏ای مورد استفاده قرار داد.</w:t>
      </w:r>
      <w:r w:rsidRPr="00B6450D">
        <w:rPr>
          <w:position w:val="-12"/>
        </w:rPr>
        <w:object w:dxaOrig="360" w:dyaOrig="360" w14:anchorId="1AB9FA61">
          <v:shape id="_x0000_i5354" type="#_x0000_t75" style="width:18.15pt;height:18.15pt" o:ole="">
            <v:imagedata r:id="rId8709" o:title=""/>
          </v:shape>
          <o:OLEObject Type="Embed" ProgID="Equation.DSMT4" ShapeID="_x0000_i5354" DrawAspect="Content" ObjectID="_1791379298" r:id="rId8710"/>
        </w:object>
      </w:r>
      <w:r w:rsidRPr="00B6450D">
        <w:rPr>
          <w:rFonts w:eastAsiaTheme="minorEastAsia" w:hint="cs"/>
          <w:i/>
          <w:sz w:val="23"/>
          <w:szCs w:val="23"/>
          <w:rtl/>
        </w:rPr>
        <w:t xml:space="preserve"> و</w:t>
      </w:r>
      <w:r w:rsidRPr="00B6450D">
        <w:rPr>
          <w:position w:val="-12"/>
        </w:rPr>
        <w:object w:dxaOrig="380" w:dyaOrig="360" w14:anchorId="6BC722B8">
          <v:shape id="_x0000_i5355" type="#_x0000_t75" style="width:19.35pt;height:18.15pt" o:ole="">
            <v:imagedata r:id="rId8711" o:title=""/>
          </v:shape>
          <o:OLEObject Type="Embed" ProgID="Equation.DSMT4" ShapeID="_x0000_i5355" DrawAspect="Content" ObjectID="_1791379299" r:id="rId8712"/>
        </w:object>
      </w:r>
      <w:r w:rsidRPr="00B6450D">
        <w:rPr>
          <w:rFonts w:eastAsiaTheme="minorEastAsia" w:hint="cs"/>
          <w:i/>
          <w:sz w:val="23"/>
          <w:szCs w:val="23"/>
          <w:rtl/>
        </w:rPr>
        <w:t xml:space="preserve"> را می‏توان برای محاسبه‏ی</w:t>
      </w:r>
      <w:r w:rsidRPr="00B6450D">
        <w:rPr>
          <w:position w:val="-12"/>
        </w:rPr>
        <w:object w:dxaOrig="380" w:dyaOrig="360" w14:anchorId="518BD19F">
          <v:shape id="_x0000_i5356" type="#_x0000_t75" style="width:19.35pt;height:18.15pt" o:ole="">
            <v:imagedata r:id="rId8713" o:title=""/>
          </v:shape>
          <o:OLEObject Type="Embed" ProgID="Equation.DSMT4" ShapeID="_x0000_i5356" DrawAspect="Content" ObjectID="_1791379300" r:id="rId8714"/>
        </w:object>
      </w:r>
      <w:r w:rsidRPr="00B6450D">
        <w:rPr>
          <w:rFonts w:eastAsiaTheme="minorEastAsia" w:hint="cs"/>
          <w:i/>
          <w:sz w:val="23"/>
          <w:szCs w:val="23"/>
          <w:rtl/>
        </w:rPr>
        <w:t xml:space="preserve"> از قیمت اوراق قرضه سه دوره‏ای مورد استفاده قرار داد. در این زنجیره‌ی توالی خواهیم داشت</w:t>
      </w:r>
    </w:p>
    <w:p w14:paraId="716E23FF" w14:textId="77777777" w:rsidR="00556C10" w:rsidRPr="00B6450D" w:rsidRDefault="00556C10" w:rsidP="00556C10">
      <w:pPr>
        <w:bidi w:val="0"/>
        <w:spacing w:line="216" w:lineRule="auto"/>
        <w:rPr>
          <w:rFonts w:eastAsiaTheme="minorEastAsia"/>
          <w:i/>
          <w:sz w:val="23"/>
          <w:szCs w:val="23"/>
          <w:rtl/>
        </w:rPr>
      </w:pPr>
      <w:r w:rsidRPr="00B6450D">
        <w:rPr>
          <w:position w:val="-30"/>
        </w:rPr>
        <w:object w:dxaOrig="1680" w:dyaOrig="639" w14:anchorId="7BF5A670">
          <v:shape id="_x0000_i5357" type="#_x0000_t75" style="width:84.1pt;height:31.45pt" o:ole="">
            <v:imagedata r:id="rId8715" o:title=""/>
          </v:shape>
          <o:OLEObject Type="Embed" ProgID="Equation.DSMT4" ShapeID="_x0000_i5357" DrawAspect="Content" ObjectID="_1791379301" r:id="rId8716"/>
        </w:object>
      </w:r>
    </w:p>
    <w:p w14:paraId="2967D75D" w14:textId="77777777" w:rsidR="00556C10" w:rsidRPr="00B6450D" w:rsidRDefault="00556C10" w:rsidP="00556C10">
      <w:pPr>
        <w:bidi w:val="0"/>
        <w:spacing w:line="216" w:lineRule="auto"/>
        <w:rPr>
          <w:rFonts w:eastAsiaTheme="minorEastAsia"/>
          <w:i/>
          <w:sz w:val="23"/>
          <w:szCs w:val="23"/>
          <w:rtl/>
        </w:rPr>
      </w:pPr>
      <w:r w:rsidRPr="00B6450D">
        <w:rPr>
          <w:position w:val="-38"/>
        </w:rPr>
        <w:object w:dxaOrig="2799" w:dyaOrig="720" w14:anchorId="19FF0330">
          <v:shape id="_x0000_i5358" type="#_x0000_t75" style="width:139.75pt;height:36.3pt" o:ole="">
            <v:imagedata r:id="rId8717" o:title=""/>
          </v:shape>
          <o:OLEObject Type="Embed" ProgID="Equation.DSMT4" ShapeID="_x0000_i5358" DrawAspect="Content" ObjectID="_1791379302" r:id="rId8718"/>
        </w:object>
      </w:r>
    </w:p>
    <w:p w14:paraId="0FBDC9A7" w14:textId="77777777" w:rsidR="00556C10" w:rsidRPr="00B6450D" w:rsidRDefault="00556C10" w:rsidP="00556C10">
      <w:pPr>
        <w:bidi w:val="0"/>
        <w:spacing w:line="216" w:lineRule="auto"/>
        <w:rPr>
          <w:rFonts w:eastAsiaTheme="minorEastAsia"/>
          <w:i/>
          <w:sz w:val="23"/>
          <w:szCs w:val="23"/>
        </w:rPr>
      </w:pPr>
      <w:r w:rsidRPr="00B6450D">
        <w:rPr>
          <w:position w:val="-48"/>
        </w:rPr>
        <w:object w:dxaOrig="4300" w:dyaOrig="1060" w14:anchorId="6729FC83">
          <v:shape id="_x0000_i5359" type="#_x0000_t75" style="width:214.8pt;height:52.65pt" o:ole="">
            <v:imagedata r:id="rId8719" o:title=""/>
          </v:shape>
          <o:OLEObject Type="Embed" ProgID="Equation.DSMT4" ShapeID="_x0000_i5359" DrawAspect="Content" ObjectID="_1791379303" r:id="rId8720"/>
        </w:object>
      </w:r>
    </w:p>
    <w:p w14:paraId="7EEDCE5A" w14:textId="77777777" w:rsidR="00556C10" w:rsidRPr="00B6450D" w:rsidRDefault="00556C10" w:rsidP="00556C10">
      <w:pPr>
        <w:spacing w:line="216" w:lineRule="auto"/>
        <w:rPr>
          <w:rFonts w:eastAsiaTheme="minorEastAsia"/>
          <w:i/>
          <w:sz w:val="23"/>
          <w:szCs w:val="23"/>
          <w:rtl/>
        </w:rPr>
      </w:pPr>
      <w:r w:rsidRPr="00B6450D">
        <w:rPr>
          <w:rFonts w:eastAsiaTheme="minorEastAsia" w:hint="cs"/>
          <w:i/>
          <w:sz w:val="23"/>
          <w:szCs w:val="23"/>
          <w:rtl/>
        </w:rPr>
        <w:t>تجزیه وتحلیل زنجیره‏ی تکرار قیمت‌های اوراق قرضه بازده کوپن - صفر را مورد استفاده قرار داده و بنابراین، برای سهولت، بالا نویس صفر را حذف کرده و به این ترتیب خواهیم داشت</w:t>
      </w:r>
      <w:r w:rsidRPr="00B6450D">
        <w:rPr>
          <w:position w:val="-12"/>
        </w:rPr>
        <w:object w:dxaOrig="940" w:dyaOrig="360" w14:anchorId="50C910A5">
          <v:shape id="_x0000_i5360" type="#_x0000_t75" style="width:47.2pt;height:18.15pt" o:ole="">
            <v:imagedata r:id="rId8721" o:title=""/>
          </v:shape>
          <o:OLEObject Type="Embed" ProgID="Equation.DSMT4" ShapeID="_x0000_i5360" DrawAspect="Content" ObjectID="_1791379304" r:id="rId8722"/>
        </w:object>
      </w:r>
      <w:r w:rsidRPr="00B6450D">
        <w:rPr>
          <w:rFonts w:eastAsiaTheme="minorEastAsia" w:hint="cs"/>
          <w:i/>
          <w:sz w:val="23"/>
          <w:szCs w:val="23"/>
          <w:rtl/>
        </w:rPr>
        <w:t>.</w:t>
      </w:r>
    </w:p>
    <w:p w14:paraId="041245DD" w14:textId="77777777" w:rsidR="00556C10" w:rsidRPr="00B6450D" w:rsidRDefault="00556C10" w:rsidP="00556C10">
      <w:pPr>
        <w:spacing w:line="216" w:lineRule="auto"/>
        <w:rPr>
          <w:rFonts w:eastAsiaTheme="minorEastAsia"/>
          <w:i/>
          <w:sz w:val="23"/>
          <w:szCs w:val="23"/>
          <w:rtl/>
        </w:rPr>
      </w:pPr>
    </w:p>
    <w:p w14:paraId="4C0EE9CE" w14:textId="77777777" w:rsidR="00556C10" w:rsidRPr="00B6450D" w:rsidRDefault="00556C10" w:rsidP="00556C10">
      <w:pPr>
        <w:spacing w:line="216" w:lineRule="auto"/>
        <w:rPr>
          <w:rFonts w:eastAsiaTheme="minorEastAsia"/>
          <w:bCs/>
          <w:i/>
          <w:sz w:val="23"/>
          <w:szCs w:val="23"/>
          <w:rtl/>
        </w:rPr>
      </w:pPr>
      <w:r w:rsidRPr="00B6450D">
        <w:rPr>
          <w:rFonts w:eastAsiaTheme="minorEastAsia" w:hint="cs"/>
          <w:bCs/>
          <w:i/>
          <w:sz w:val="23"/>
          <w:szCs w:val="23"/>
          <w:rtl/>
        </w:rPr>
        <w:t>نرخ‏های بهره‏ی سلف</w:t>
      </w:r>
    </w:p>
    <w:p w14:paraId="732C585A" w14:textId="77777777" w:rsidR="00556C10" w:rsidRPr="00B6450D" w:rsidRDefault="00556C10" w:rsidP="00556C10">
      <w:pPr>
        <w:spacing w:line="216" w:lineRule="auto"/>
        <w:rPr>
          <w:rFonts w:eastAsiaTheme="minorEastAsia"/>
          <w:i/>
          <w:sz w:val="23"/>
          <w:szCs w:val="23"/>
          <w:rtl/>
        </w:rPr>
      </w:pPr>
      <w:r w:rsidRPr="00B6450D">
        <w:rPr>
          <w:rFonts w:eastAsiaTheme="minorEastAsia" w:hint="cs"/>
          <w:i/>
          <w:sz w:val="23"/>
          <w:szCs w:val="23"/>
          <w:rtl/>
        </w:rPr>
        <w:t>ممکن است بنابر توافق در دوره‏ی</w:t>
      </w:r>
      <w:r w:rsidRPr="00B6450D">
        <w:rPr>
          <w:position w:val="-6"/>
        </w:rPr>
        <w:object w:dxaOrig="139" w:dyaOrig="240" w14:anchorId="4C9068BA">
          <v:shape id="_x0000_i5361" type="#_x0000_t75" style="width:6.65pt;height:11.5pt" o:ole="">
            <v:imagedata r:id="rId8723" o:title=""/>
          </v:shape>
          <o:OLEObject Type="Embed" ProgID="Equation.DSMT4" ShapeID="_x0000_i5361" DrawAspect="Content" ObjectID="_1791379305" r:id="rId8724"/>
        </w:object>
      </w:r>
      <w:r w:rsidRPr="00B6450D">
        <w:rPr>
          <w:rFonts w:eastAsiaTheme="minorEastAsia"/>
          <w:i/>
          <w:sz w:val="23"/>
          <w:szCs w:val="23"/>
        </w:rPr>
        <w:t xml:space="preserve"> </w:t>
      </w:r>
      <w:r w:rsidRPr="00B6450D">
        <w:rPr>
          <w:rFonts w:eastAsiaTheme="minorEastAsia" w:hint="cs"/>
          <w:i/>
          <w:sz w:val="23"/>
          <w:szCs w:val="23"/>
          <w:rtl/>
        </w:rPr>
        <w:t xml:space="preserve">نرخ بهره‏ی یک دوره‏ای را برای دوره‏ی </w:t>
      </w:r>
      <w:r w:rsidRPr="00B6450D">
        <w:rPr>
          <w:position w:val="-6"/>
        </w:rPr>
        <w:object w:dxaOrig="480" w:dyaOrig="240" w14:anchorId="5B0E78CB">
          <v:shape id="_x0000_i5362" type="#_x0000_t75" style="width:24.2pt;height:11.5pt" o:ole="">
            <v:imagedata r:id="rId8725" o:title=""/>
          </v:shape>
          <o:OLEObject Type="Embed" ProgID="Equation.DSMT4" ShapeID="_x0000_i5362" DrawAspect="Content" ObjectID="_1791379306" r:id="rId8726"/>
        </w:object>
      </w:r>
      <w:r w:rsidRPr="00B6450D">
        <w:rPr>
          <w:rFonts w:eastAsiaTheme="minorEastAsia" w:hint="cs"/>
          <w:i/>
          <w:sz w:val="23"/>
          <w:szCs w:val="23"/>
          <w:rtl/>
        </w:rPr>
        <w:t xml:space="preserve"> (</w:t>
      </w:r>
      <w:r w:rsidRPr="00B6450D">
        <w:rPr>
          <w:rFonts w:eastAsiaTheme="minorEastAsia" w:hint="cs"/>
          <w:i/>
          <w:sz w:val="23"/>
          <w:szCs w:val="23"/>
        </w:rPr>
        <w:t xml:space="preserve"> </w:t>
      </w:r>
      <w:r w:rsidRPr="00B6450D">
        <w:rPr>
          <w:rFonts w:eastAsiaTheme="minorEastAsia" w:hint="cs"/>
          <w:i/>
          <w:sz w:val="23"/>
          <w:szCs w:val="23"/>
          <w:rtl/>
        </w:rPr>
        <w:t xml:space="preserve">یعنی بین دوره‏های </w:t>
      </w:r>
      <w:r w:rsidRPr="00B6450D">
        <w:rPr>
          <w:position w:val="-6"/>
        </w:rPr>
        <w:object w:dxaOrig="760" w:dyaOrig="260" w14:anchorId="553CD9B0">
          <v:shape id="_x0000_i5363" type="#_x0000_t75" style="width:38.1pt;height:13.3pt" o:ole="">
            <v:imagedata r:id="rId8727" o:title=""/>
          </v:shape>
          <o:OLEObject Type="Embed" ProgID="Equation.DSMT4" ShapeID="_x0000_i5363" DrawAspect="Content" ObjectID="_1791379307" r:id="rId8728"/>
        </w:object>
      </w:r>
      <w:r w:rsidRPr="00B6450D">
        <w:rPr>
          <w:rFonts w:eastAsiaTheme="minorEastAsia" w:hint="cs"/>
          <w:i/>
          <w:sz w:val="23"/>
          <w:szCs w:val="23"/>
          <w:rtl/>
        </w:rPr>
        <w:t xml:space="preserve"> و </w:t>
      </w:r>
      <w:r w:rsidRPr="00B6450D">
        <w:rPr>
          <w:position w:val="-6"/>
        </w:rPr>
        <w:object w:dxaOrig="480" w:dyaOrig="240" w14:anchorId="1A781BE4">
          <v:shape id="_x0000_i5364" type="#_x0000_t75" style="width:24.2pt;height:11.5pt" o:ole="">
            <v:imagedata r:id="rId8729" o:title=""/>
          </v:shape>
          <o:OLEObject Type="Embed" ProgID="Equation.DSMT4" ShapeID="_x0000_i5364" DrawAspect="Content" ObjectID="_1791379308" r:id="rId8730"/>
        </w:object>
      </w:r>
      <w:r w:rsidRPr="00B6450D">
        <w:rPr>
          <w:rFonts w:eastAsiaTheme="minorEastAsia" w:hint="cs"/>
          <w:i/>
          <w:sz w:val="23"/>
          <w:szCs w:val="23"/>
          <w:rtl/>
        </w:rPr>
        <w:t>) مورد استفاده قرار دهیم</w:t>
      </w:r>
      <w:r w:rsidRPr="00B6450D">
        <w:rPr>
          <w:rFonts w:eastAsiaTheme="minorEastAsia"/>
          <w:i/>
          <w:sz w:val="23"/>
          <w:szCs w:val="23"/>
        </w:rPr>
        <w:t>.</w:t>
      </w:r>
      <w:r w:rsidRPr="00B6450D">
        <w:rPr>
          <w:rFonts w:eastAsiaTheme="minorEastAsia" w:hint="cs"/>
          <w:i/>
          <w:sz w:val="23"/>
          <w:szCs w:val="23"/>
          <w:rtl/>
        </w:rPr>
        <w:t xml:space="preserve"> این نرخ درواقع همان نرخ بهره‌ی سلف </w:t>
      </w:r>
      <w:r w:rsidRPr="00B6450D">
        <w:rPr>
          <w:rFonts w:eastAsiaTheme="minorEastAsia" w:hint="cs"/>
          <w:i/>
          <w:sz w:val="23"/>
          <w:szCs w:val="23"/>
          <w:rtl/>
        </w:rPr>
        <w:lastRenderedPageBreak/>
        <w:t>است که با</w:t>
      </w:r>
      <w:r w:rsidRPr="00B6450D">
        <w:rPr>
          <w:position w:val="-12"/>
        </w:rPr>
        <w:object w:dxaOrig="440" w:dyaOrig="340" w14:anchorId="0CD2C356">
          <v:shape id="_x0000_i5365" type="#_x0000_t75" style="width:21.8pt;height:16.95pt" o:ole="">
            <v:imagedata r:id="rId8731" o:title=""/>
          </v:shape>
          <o:OLEObject Type="Embed" ProgID="Equation.DSMT4" ShapeID="_x0000_i5365" DrawAspect="Content" ObjectID="_1791379309" r:id="rId8732"/>
        </w:object>
      </w:r>
      <w:r w:rsidRPr="00B6450D">
        <w:rPr>
          <w:rFonts w:eastAsiaTheme="minorEastAsia" w:hint="cs"/>
          <w:i/>
          <w:sz w:val="23"/>
          <w:szCs w:val="23"/>
          <w:rtl/>
        </w:rPr>
        <w:t xml:space="preserve"> نشان داده می‏شود. ارزش حال یک واحد سرمایه‏گذاری در زمان</w:t>
      </w:r>
      <w:r w:rsidRPr="00B6450D">
        <w:rPr>
          <w:position w:val="-6"/>
        </w:rPr>
        <w:object w:dxaOrig="139" w:dyaOrig="240" w14:anchorId="0C9C74FD">
          <v:shape id="_x0000_i5366" type="#_x0000_t75" style="width:6.65pt;height:11.5pt" o:ole="">
            <v:imagedata r:id="rId8733" o:title=""/>
          </v:shape>
          <o:OLEObject Type="Embed" ProgID="Equation.DSMT4" ShapeID="_x0000_i5366" DrawAspect="Content" ObjectID="_1791379310" r:id="rId8734"/>
        </w:object>
      </w:r>
      <w:r w:rsidRPr="00B6450D">
        <w:rPr>
          <w:rFonts w:eastAsiaTheme="minorEastAsia" w:hint="cs"/>
          <w:i/>
          <w:sz w:val="23"/>
          <w:szCs w:val="23"/>
          <w:rtl/>
        </w:rPr>
        <w:t xml:space="preserve"> که به صورت مرکب و با زنجیره‌ی نرخ بهره‌ی سلف تنزیل شده در زمان</w:t>
      </w:r>
      <w:r w:rsidRPr="00B6450D">
        <w:rPr>
          <w:position w:val="-6"/>
        </w:rPr>
        <w:object w:dxaOrig="480" w:dyaOrig="240" w14:anchorId="6940D0F8">
          <v:shape id="_x0000_i5367" type="#_x0000_t75" style="width:24.2pt;height:11.5pt" o:ole="">
            <v:imagedata r:id="rId8735" o:title=""/>
          </v:shape>
          <o:OLEObject Type="Embed" ProgID="Equation.DSMT4" ShapeID="_x0000_i5367" DrawAspect="Content" ObjectID="_1791379311" r:id="rId8736"/>
        </w:object>
      </w:r>
      <w:r w:rsidRPr="00B6450D">
        <w:rPr>
          <w:rFonts w:eastAsiaTheme="minorEastAsia" w:hint="cs"/>
          <w:i/>
          <w:sz w:val="23"/>
          <w:szCs w:val="23"/>
          <w:rtl/>
        </w:rPr>
        <w:t xml:space="preserve"> برابر است با یک</w:t>
      </w:r>
    </w:p>
    <w:p w14:paraId="074670B5" w14:textId="77777777" w:rsidR="00556C10" w:rsidRPr="00B6450D" w:rsidRDefault="00556C10" w:rsidP="00556C10">
      <w:pPr>
        <w:bidi w:val="0"/>
        <w:spacing w:line="216" w:lineRule="auto"/>
        <w:rPr>
          <w:rFonts w:eastAsiaTheme="minorEastAsia"/>
          <w:i/>
          <w:sz w:val="23"/>
          <w:szCs w:val="23"/>
          <w:rtl/>
        </w:rPr>
      </w:pPr>
      <w:r w:rsidRPr="00B6450D">
        <w:rPr>
          <w:position w:val="-30"/>
        </w:rPr>
        <w:object w:dxaOrig="2520" w:dyaOrig="639" w14:anchorId="769DA9BC">
          <v:shape id="_x0000_i5368" type="#_x0000_t75" style="width:125.85pt;height:31.45pt" o:ole="">
            <v:imagedata r:id="rId8737" o:title=""/>
          </v:shape>
          <o:OLEObject Type="Embed" ProgID="Equation.DSMT4" ShapeID="_x0000_i5368" DrawAspect="Content" ObjectID="_1791379312" r:id="rId8738"/>
        </w:object>
      </w:r>
    </w:p>
    <w:p w14:paraId="345E748B" w14:textId="77777777" w:rsidR="00556C10" w:rsidRDefault="00556C10" w:rsidP="00556C10">
      <w:pPr>
        <w:spacing w:line="216" w:lineRule="auto"/>
        <w:rPr>
          <w:rFonts w:eastAsiaTheme="minorEastAsia"/>
          <w:i/>
          <w:sz w:val="23"/>
          <w:szCs w:val="23"/>
          <w:rtl/>
        </w:rPr>
      </w:pPr>
      <w:r w:rsidRPr="00B6450D">
        <w:rPr>
          <w:rFonts w:eastAsiaTheme="minorEastAsia" w:hint="cs"/>
          <w:i/>
          <w:sz w:val="23"/>
          <w:szCs w:val="23"/>
          <w:rtl/>
        </w:rPr>
        <w:t>ارزش حال زمان</w:t>
      </w:r>
      <w:r w:rsidRPr="00B6450D">
        <w:rPr>
          <w:position w:val="-6"/>
        </w:rPr>
        <w:object w:dxaOrig="139" w:dyaOrig="240" w14:anchorId="198583DD">
          <v:shape id="_x0000_i5369" type="#_x0000_t75" style="width:6.65pt;height:11.5pt" o:ole="">
            <v:imagedata r:id="rId8739" o:title=""/>
          </v:shape>
          <o:OLEObject Type="Embed" ProgID="Equation.DSMT4" ShapeID="_x0000_i5369" DrawAspect="Content" ObjectID="_1791379313" r:id="rId8740"/>
        </w:object>
      </w:r>
      <w:r w:rsidRPr="00B6450D">
        <w:rPr>
          <w:rFonts w:eastAsiaTheme="minorEastAsia" w:hint="cs"/>
          <w:i/>
          <w:sz w:val="23"/>
          <w:szCs w:val="23"/>
          <w:rtl/>
        </w:rPr>
        <w:t xml:space="preserve"> یک واحد در زمان</w:t>
      </w:r>
      <w:r w:rsidRPr="00B6450D">
        <w:rPr>
          <w:position w:val="-6"/>
        </w:rPr>
        <w:object w:dxaOrig="480" w:dyaOrig="240" w14:anchorId="322084C9">
          <v:shape id="_x0000_i5370" type="#_x0000_t75" style="width:24.2pt;height:11.5pt" o:ole="">
            <v:imagedata r:id="rId8741" o:title=""/>
          </v:shape>
          <o:OLEObject Type="Embed" ProgID="Equation.DSMT4" ShapeID="_x0000_i5370" DrawAspect="Content" ObjectID="_1791379314" r:id="rId8742"/>
        </w:object>
      </w:r>
      <w:r w:rsidRPr="00B6450D">
        <w:rPr>
          <w:rFonts w:eastAsiaTheme="minorEastAsia" w:hint="cs"/>
          <w:i/>
          <w:sz w:val="23"/>
          <w:szCs w:val="23"/>
          <w:rtl/>
        </w:rPr>
        <w:t xml:space="preserve"> که با استفاده از توالی نرخ‏های بهره‏ی سلف تنزیل</w:t>
      </w:r>
    </w:p>
    <w:p w14:paraId="26A9D975" w14:textId="77777777" w:rsidR="00556C10" w:rsidRPr="00B6450D" w:rsidRDefault="00556C10" w:rsidP="00556C10">
      <w:pPr>
        <w:spacing w:line="216" w:lineRule="auto"/>
        <w:rPr>
          <w:rFonts w:eastAsiaTheme="minorEastAsia"/>
          <w:i/>
          <w:sz w:val="23"/>
          <w:szCs w:val="23"/>
          <w:rtl/>
        </w:rPr>
      </w:pPr>
      <w:r w:rsidRPr="00B6450D">
        <w:rPr>
          <w:rFonts w:eastAsiaTheme="minorEastAsia" w:hint="cs"/>
          <w:i/>
          <w:sz w:val="23"/>
          <w:szCs w:val="23"/>
          <w:rtl/>
        </w:rPr>
        <w:t>شده برابر است با</w:t>
      </w:r>
    </w:p>
    <w:p w14:paraId="5D0812A0" w14:textId="77777777" w:rsidR="00556C10" w:rsidRPr="00B6450D" w:rsidRDefault="00556C10" w:rsidP="00556C10">
      <w:pPr>
        <w:bidi w:val="0"/>
        <w:spacing w:line="216" w:lineRule="auto"/>
        <w:rPr>
          <w:rFonts w:eastAsiaTheme="minorEastAsia"/>
          <w:i/>
          <w:sz w:val="23"/>
          <w:szCs w:val="23"/>
        </w:rPr>
      </w:pPr>
      <w:r w:rsidRPr="00B6450D">
        <w:rPr>
          <w:position w:val="-32"/>
        </w:rPr>
        <w:object w:dxaOrig="3680" w:dyaOrig="680" w14:anchorId="2492E225">
          <v:shape id="_x0000_i5371" type="#_x0000_t75" style="width:183.95pt;height:33.9pt" o:ole="">
            <v:imagedata r:id="rId8743" o:title=""/>
          </v:shape>
          <o:OLEObject Type="Embed" ProgID="Equation.DSMT4" ShapeID="_x0000_i5371" DrawAspect="Content" ObjectID="_1791379315" r:id="rId8744"/>
        </w:object>
      </w:r>
      <w:r w:rsidRPr="00B6450D">
        <w:rPr>
          <w:i/>
          <w:sz w:val="23"/>
          <w:szCs w:val="23"/>
        </w:rPr>
        <w:tab/>
      </w:r>
      <w:r w:rsidRPr="00B6450D">
        <w:rPr>
          <w:i/>
          <w:sz w:val="23"/>
          <w:szCs w:val="23"/>
        </w:rPr>
        <w:tab/>
        <w:t xml:space="preserve"> </w:t>
      </w:r>
      <w:r w:rsidRPr="00B6450D">
        <w:rPr>
          <w:i/>
          <w:sz w:val="23"/>
          <w:szCs w:val="23"/>
        </w:rPr>
        <w:tab/>
      </w:r>
      <w:r w:rsidRPr="00B6450D">
        <w:rPr>
          <w:i/>
          <w:sz w:val="23"/>
          <w:szCs w:val="23"/>
        </w:rPr>
        <w:tab/>
      </w:r>
      <w:r>
        <w:rPr>
          <w:i/>
          <w:sz w:val="23"/>
          <w:szCs w:val="23"/>
          <w:rtl/>
        </w:rPr>
        <w:tab/>
      </w:r>
      <w:r>
        <w:rPr>
          <w:i/>
          <w:sz w:val="23"/>
          <w:szCs w:val="23"/>
          <w:rtl/>
        </w:rPr>
        <w:tab/>
      </w:r>
      <w:r>
        <w:rPr>
          <w:i/>
          <w:sz w:val="23"/>
          <w:szCs w:val="23"/>
          <w:rtl/>
        </w:rPr>
        <w:tab/>
      </w:r>
      <w:r w:rsidRPr="00B6450D">
        <w:rPr>
          <w:i/>
          <w:sz w:val="23"/>
          <w:szCs w:val="23"/>
        </w:rPr>
        <w:tab/>
        <w:t xml:space="preserve"> </w:t>
      </w:r>
      <w:r w:rsidRPr="00B6450D">
        <w:rPr>
          <w:i/>
          <w:sz w:val="23"/>
          <w:szCs w:val="23"/>
          <w:rtl/>
        </w:rPr>
        <w:tab/>
      </w:r>
      <w:r w:rsidRPr="00B6450D">
        <w:rPr>
          <w:rFonts w:eastAsiaTheme="minorEastAsia" w:hint="cs"/>
          <w:i/>
          <w:sz w:val="23"/>
          <w:szCs w:val="23"/>
          <w:rtl/>
        </w:rPr>
        <w:t>(۱۲. ۱۳)</w:t>
      </w:r>
      <w:r w:rsidRPr="00B6450D">
        <w:rPr>
          <w:rFonts w:eastAsiaTheme="minorEastAsia"/>
          <w:i/>
          <w:sz w:val="23"/>
          <w:szCs w:val="23"/>
        </w:rPr>
        <w:t xml:space="preserve"> </w:t>
      </w:r>
    </w:p>
    <w:p w14:paraId="19BF7C03" w14:textId="77777777" w:rsidR="00556C10" w:rsidRPr="00B6450D" w:rsidRDefault="00556C10" w:rsidP="00556C10">
      <w:pPr>
        <w:spacing w:line="216" w:lineRule="auto"/>
        <w:rPr>
          <w:rFonts w:eastAsiaTheme="minorEastAsia"/>
          <w:i/>
          <w:sz w:val="23"/>
          <w:szCs w:val="23"/>
          <w:rtl/>
        </w:rPr>
      </w:pPr>
      <w:r w:rsidRPr="00B6450D">
        <w:rPr>
          <w:rFonts w:eastAsiaTheme="minorEastAsia" w:hint="cs"/>
          <w:i/>
          <w:sz w:val="23"/>
          <w:szCs w:val="23"/>
          <w:rtl/>
        </w:rPr>
        <w:t>بنابراین</w:t>
      </w:r>
    </w:p>
    <w:p w14:paraId="62054A8A" w14:textId="77777777" w:rsidR="00556C10" w:rsidRPr="00B6450D" w:rsidRDefault="00556C10" w:rsidP="00556C10">
      <w:pPr>
        <w:bidi w:val="0"/>
        <w:spacing w:line="216" w:lineRule="auto"/>
        <w:rPr>
          <w:rFonts w:eastAsiaTheme="minorEastAsia"/>
          <w:i/>
          <w:sz w:val="23"/>
          <w:szCs w:val="23"/>
          <w:rtl/>
        </w:rPr>
      </w:pPr>
      <w:r w:rsidRPr="00B6450D">
        <w:rPr>
          <w:position w:val="-30"/>
        </w:rPr>
        <w:object w:dxaOrig="1440" w:dyaOrig="680" w14:anchorId="31FA7817">
          <v:shape id="_x0000_i5372" type="#_x0000_t75" style="width:1in;height:33.9pt" o:ole="">
            <v:imagedata r:id="rId8745" o:title=""/>
          </v:shape>
          <o:OLEObject Type="Embed" ProgID="Equation.DSMT4" ShapeID="_x0000_i5372" DrawAspect="Content" ObjectID="_1791379316" r:id="rId8746"/>
        </w:object>
      </w:r>
    </w:p>
    <w:p w14:paraId="00098CF8" w14:textId="77777777" w:rsidR="00556C10" w:rsidRPr="00B6450D" w:rsidRDefault="00556C10" w:rsidP="00556C10">
      <w:pPr>
        <w:spacing w:line="216" w:lineRule="auto"/>
        <w:rPr>
          <w:rFonts w:eastAsiaTheme="minorEastAsia"/>
          <w:i/>
          <w:sz w:val="23"/>
          <w:szCs w:val="23"/>
        </w:rPr>
      </w:pPr>
      <w:r w:rsidRPr="00B6450D">
        <w:rPr>
          <w:rFonts w:eastAsiaTheme="minorEastAsia" w:hint="cs"/>
          <w:i/>
          <w:sz w:val="23"/>
          <w:szCs w:val="23"/>
          <w:rtl/>
        </w:rPr>
        <w:t>یا</w:t>
      </w:r>
    </w:p>
    <w:p w14:paraId="0971AABD" w14:textId="77777777" w:rsidR="00556C10" w:rsidRPr="00B6450D" w:rsidRDefault="00556C10" w:rsidP="00556C10">
      <w:pPr>
        <w:bidi w:val="0"/>
        <w:spacing w:line="216" w:lineRule="auto"/>
        <w:rPr>
          <w:rFonts w:eastAsiaTheme="minorEastAsia"/>
          <w:i/>
          <w:sz w:val="23"/>
          <w:szCs w:val="23"/>
          <w:rtl/>
        </w:rPr>
      </w:pPr>
      <w:r w:rsidRPr="00B6450D">
        <w:rPr>
          <w:position w:val="-12"/>
        </w:rPr>
        <w:object w:dxaOrig="3600" w:dyaOrig="340" w14:anchorId="70DDCB3E">
          <v:shape id="_x0000_i5373" type="#_x0000_t75" style="width:180.3pt;height:16.95pt" o:ole="">
            <v:imagedata r:id="rId8747" o:title=""/>
          </v:shape>
          <o:OLEObject Type="Embed" ProgID="Equation.DSMT4" ShapeID="_x0000_i5373" DrawAspect="Content" ObjectID="_1791379317" r:id="rId8748"/>
        </w:object>
      </w:r>
      <w:r w:rsidRPr="00B6450D">
        <w:rPr>
          <w:rFonts w:eastAsiaTheme="minorEastAsia" w:hint="cs"/>
          <w:i/>
          <w:sz w:val="23"/>
          <w:szCs w:val="23"/>
        </w:rPr>
        <w:t xml:space="preserve"> </w:t>
      </w:r>
      <w:r w:rsidRPr="00B6450D">
        <w:rPr>
          <w:rFonts w:eastAsiaTheme="minorEastAsia" w:hint="cs"/>
          <w:i/>
          <w:sz w:val="23"/>
          <w:szCs w:val="23"/>
          <w:rtl/>
        </w:rPr>
        <w:tab/>
      </w:r>
      <w:r w:rsidRPr="00B6450D">
        <w:rPr>
          <w:rFonts w:eastAsiaTheme="minorEastAsia" w:hint="cs"/>
          <w:i/>
          <w:sz w:val="23"/>
          <w:szCs w:val="23"/>
          <w:rtl/>
        </w:rPr>
        <w:tab/>
      </w:r>
      <w:r w:rsidRPr="00B6450D">
        <w:rPr>
          <w:rFonts w:eastAsiaTheme="minorEastAsia"/>
          <w:i/>
          <w:sz w:val="23"/>
          <w:szCs w:val="23"/>
        </w:rPr>
        <w:tab/>
      </w:r>
      <w:r>
        <w:rPr>
          <w:rFonts w:eastAsiaTheme="minorEastAsia"/>
          <w:i/>
          <w:sz w:val="23"/>
          <w:szCs w:val="23"/>
          <w:rtl/>
        </w:rPr>
        <w:tab/>
      </w:r>
      <w:r w:rsidRPr="00B6450D">
        <w:rPr>
          <w:rFonts w:eastAsiaTheme="minorEastAsia"/>
          <w:i/>
          <w:sz w:val="23"/>
          <w:szCs w:val="23"/>
        </w:rPr>
        <w:tab/>
      </w:r>
      <w:r>
        <w:rPr>
          <w:rFonts w:eastAsiaTheme="minorEastAsia"/>
          <w:i/>
          <w:sz w:val="23"/>
          <w:szCs w:val="23"/>
          <w:rtl/>
        </w:rPr>
        <w:tab/>
      </w:r>
      <w:r>
        <w:rPr>
          <w:rFonts w:eastAsiaTheme="minorEastAsia"/>
          <w:i/>
          <w:sz w:val="23"/>
          <w:szCs w:val="23"/>
          <w:rtl/>
        </w:rPr>
        <w:tab/>
      </w:r>
      <w:r w:rsidRPr="00B6450D">
        <w:rPr>
          <w:rFonts w:eastAsiaTheme="minorEastAsia" w:hint="cs"/>
          <w:i/>
          <w:sz w:val="23"/>
          <w:szCs w:val="23"/>
          <w:rtl/>
        </w:rPr>
        <w:tab/>
      </w:r>
      <w:r w:rsidRPr="00B6450D">
        <w:rPr>
          <w:rFonts w:eastAsiaTheme="minorEastAsia"/>
          <w:i/>
          <w:sz w:val="23"/>
          <w:szCs w:val="23"/>
        </w:rPr>
        <w:t xml:space="preserve"> </w:t>
      </w:r>
      <w:r w:rsidRPr="00B6450D">
        <w:rPr>
          <w:rFonts w:eastAsiaTheme="minorEastAsia"/>
          <w:i/>
          <w:sz w:val="23"/>
          <w:szCs w:val="23"/>
          <w:rtl/>
        </w:rPr>
        <w:tab/>
      </w:r>
      <w:r w:rsidRPr="00B6450D">
        <w:rPr>
          <w:rFonts w:eastAsiaTheme="minorEastAsia" w:hint="cs"/>
          <w:i/>
          <w:sz w:val="23"/>
          <w:szCs w:val="23"/>
          <w:rtl/>
        </w:rPr>
        <w:t>(۱۲. ۱۴)</w:t>
      </w:r>
    </w:p>
    <w:p w14:paraId="68AFC151" w14:textId="77777777" w:rsidR="00556C10" w:rsidRPr="00B6450D" w:rsidRDefault="00556C10" w:rsidP="00556C10">
      <w:pPr>
        <w:spacing w:line="216" w:lineRule="auto"/>
        <w:rPr>
          <w:rFonts w:eastAsiaTheme="minorEastAsia"/>
          <w:i/>
          <w:sz w:val="23"/>
          <w:szCs w:val="23"/>
          <w:rtl/>
        </w:rPr>
      </w:pPr>
      <w:r w:rsidRPr="00B6450D">
        <w:rPr>
          <w:rFonts w:eastAsiaTheme="minorEastAsia" w:hint="cs"/>
          <w:i/>
          <w:sz w:val="23"/>
          <w:szCs w:val="23"/>
          <w:rtl/>
        </w:rPr>
        <w:t>بنابراین نرخ‌های آتی در زمان</w:t>
      </w:r>
      <w:r w:rsidRPr="00B6450D">
        <w:rPr>
          <w:position w:val="-6"/>
        </w:rPr>
        <w:object w:dxaOrig="139" w:dyaOrig="240" w14:anchorId="07CAEEE8">
          <v:shape id="_x0000_i5374" type="#_x0000_t75" style="width:6.65pt;height:11.5pt" o:ole="">
            <v:imagedata r:id="rId8749" o:title=""/>
          </v:shape>
          <o:OLEObject Type="Embed" ProgID="Equation.DSMT4" ShapeID="_x0000_i5374" DrawAspect="Content" ObjectID="_1791379318" r:id="rId8750"/>
        </w:object>
      </w:r>
      <w:r w:rsidRPr="00B6450D">
        <w:rPr>
          <w:rFonts w:eastAsiaTheme="minorEastAsia" w:hint="cs"/>
          <w:i/>
          <w:sz w:val="23"/>
          <w:szCs w:val="23"/>
          <w:rtl/>
        </w:rPr>
        <w:t xml:space="preserve"> را می‏توان از عواید بازدهی کوپن-صفر در زمان</w:t>
      </w:r>
      <w:r w:rsidRPr="00B6450D">
        <w:rPr>
          <w:position w:val="-6"/>
        </w:rPr>
        <w:object w:dxaOrig="139" w:dyaOrig="240" w14:anchorId="0F3BE49E">
          <v:shape id="_x0000_i5375" type="#_x0000_t75" style="width:6.65pt;height:11.5pt" o:ole="">
            <v:imagedata r:id="rId8751" o:title=""/>
          </v:shape>
          <o:OLEObject Type="Embed" ProgID="Equation.DSMT4" ShapeID="_x0000_i5375" DrawAspect="Content" ObjectID="_1791379319" r:id="rId8752"/>
        </w:object>
      </w:r>
      <w:r w:rsidRPr="00B6450D">
        <w:rPr>
          <w:rFonts w:eastAsiaTheme="minorEastAsia" w:hint="cs"/>
          <w:i/>
          <w:sz w:val="23"/>
          <w:szCs w:val="23"/>
          <w:rtl/>
        </w:rPr>
        <w:t xml:space="preserve"> به دست آورد.</w:t>
      </w:r>
    </w:p>
    <w:p w14:paraId="399831D0" w14:textId="77777777" w:rsidR="00556C10" w:rsidRPr="00B6450D" w:rsidRDefault="00556C10" w:rsidP="00556C10">
      <w:pPr>
        <w:spacing w:line="216" w:lineRule="auto"/>
        <w:rPr>
          <w:rFonts w:eastAsiaTheme="minorEastAsia"/>
          <w:i/>
          <w:sz w:val="23"/>
          <w:szCs w:val="23"/>
          <w:rtl/>
        </w:rPr>
      </w:pPr>
      <w:r w:rsidRPr="00B6450D">
        <w:rPr>
          <w:rFonts w:eastAsiaTheme="minorEastAsia" w:hint="cs"/>
          <w:i/>
          <w:sz w:val="23"/>
          <w:szCs w:val="23"/>
          <w:rtl/>
        </w:rPr>
        <w:t>شرط بدون آربیتراژ برای نرخ‏های سلف عبارت است از</w:t>
      </w:r>
    </w:p>
    <w:p w14:paraId="1EBBC3B8" w14:textId="77777777" w:rsidR="00556C10" w:rsidRPr="00B6450D" w:rsidRDefault="00556C10" w:rsidP="00556C10">
      <w:pPr>
        <w:bidi w:val="0"/>
        <w:spacing w:line="216" w:lineRule="auto"/>
        <w:rPr>
          <w:rFonts w:eastAsiaTheme="minorEastAsia"/>
          <w:i/>
          <w:sz w:val="23"/>
          <w:szCs w:val="23"/>
          <w:rtl/>
        </w:rPr>
      </w:pPr>
      <w:r w:rsidRPr="00B6450D">
        <w:rPr>
          <w:position w:val="-12"/>
        </w:rPr>
        <w:object w:dxaOrig="1180" w:dyaOrig="340" w14:anchorId="07BE4CEE">
          <v:shape id="_x0000_i5376" type="#_x0000_t75" style="width:58.7pt;height:16.95pt" o:ole="">
            <v:imagedata r:id="rId8753" o:title=""/>
          </v:shape>
          <o:OLEObject Type="Embed" ProgID="Equation.DSMT4" ShapeID="_x0000_i5376" DrawAspect="Content" ObjectID="_1791379320" r:id="rId8754"/>
        </w:object>
      </w:r>
      <w:r w:rsidRPr="00B6450D">
        <w:rPr>
          <w:rFonts w:eastAsiaTheme="minorEastAsia" w:hint="cs"/>
          <w:i/>
          <w:sz w:val="23"/>
          <w:szCs w:val="23"/>
        </w:rPr>
        <w:t xml:space="preserve"> </w:t>
      </w:r>
      <w:r w:rsidRPr="00B6450D">
        <w:rPr>
          <w:rFonts w:eastAsiaTheme="minorEastAsia" w:hint="cs"/>
          <w:i/>
          <w:sz w:val="23"/>
          <w:szCs w:val="23"/>
          <w:rtl/>
        </w:rPr>
        <w:tab/>
        <w:t xml:space="preserve"> </w:t>
      </w:r>
      <w:r w:rsidRPr="00B6450D">
        <w:rPr>
          <w:rFonts w:eastAsiaTheme="minorEastAsia" w:hint="cs"/>
          <w:i/>
          <w:sz w:val="23"/>
          <w:szCs w:val="23"/>
          <w:rtl/>
        </w:rPr>
        <w:tab/>
      </w:r>
      <w:r w:rsidRPr="00B6450D">
        <w:rPr>
          <w:rFonts w:eastAsiaTheme="minorEastAsia" w:hint="cs"/>
          <w:i/>
          <w:sz w:val="23"/>
          <w:szCs w:val="23"/>
          <w:rtl/>
        </w:rPr>
        <w:tab/>
      </w:r>
      <w:r w:rsidRPr="00B6450D">
        <w:rPr>
          <w:rFonts w:eastAsiaTheme="minorEastAsia" w:hint="cs"/>
          <w:i/>
          <w:sz w:val="23"/>
          <w:szCs w:val="23"/>
          <w:rtl/>
        </w:rPr>
        <w:tab/>
      </w:r>
      <w:r w:rsidRPr="00B6450D">
        <w:rPr>
          <w:rFonts w:eastAsiaTheme="minorEastAsia" w:hint="cs"/>
          <w:i/>
          <w:sz w:val="23"/>
          <w:szCs w:val="23"/>
          <w:rtl/>
        </w:rPr>
        <w:tab/>
        <w:t xml:space="preserve"> </w:t>
      </w:r>
      <w:r w:rsidRPr="00B6450D">
        <w:rPr>
          <w:rFonts w:eastAsiaTheme="minorEastAsia" w:hint="cs"/>
          <w:i/>
          <w:sz w:val="23"/>
          <w:szCs w:val="23"/>
          <w:rtl/>
        </w:rPr>
        <w:tab/>
      </w:r>
      <w:r w:rsidRPr="00B6450D">
        <w:rPr>
          <w:rFonts w:eastAsiaTheme="minorEastAsia"/>
          <w:i/>
          <w:sz w:val="23"/>
          <w:szCs w:val="23"/>
        </w:rPr>
        <w:tab/>
      </w:r>
      <w:r w:rsidRPr="00B6450D">
        <w:rPr>
          <w:rFonts w:eastAsiaTheme="minorEastAsia"/>
          <w:i/>
          <w:sz w:val="23"/>
          <w:szCs w:val="23"/>
        </w:rPr>
        <w:tab/>
      </w:r>
      <w:r w:rsidRPr="00B6450D">
        <w:rPr>
          <w:rFonts w:eastAsiaTheme="minorEastAsia"/>
          <w:i/>
          <w:sz w:val="23"/>
          <w:szCs w:val="23"/>
        </w:rPr>
        <w:tab/>
      </w:r>
      <w:r w:rsidRPr="00B6450D">
        <w:rPr>
          <w:rFonts w:eastAsiaTheme="minorEastAsia"/>
          <w:i/>
          <w:sz w:val="23"/>
          <w:szCs w:val="23"/>
        </w:rPr>
        <w:tab/>
      </w:r>
      <w:r w:rsidRPr="00B6450D">
        <w:rPr>
          <w:rFonts w:eastAsiaTheme="minorEastAsia"/>
          <w:i/>
          <w:sz w:val="23"/>
          <w:szCs w:val="23"/>
        </w:rPr>
        <w:tab/>
      </w:r>
      <w:r w:rsidRPr="00B6450D">
        <w:rPr>
          <w:rFonts w:eastAsiaTheme="minorEastAsia"/>
          <w:i/>
          <w:sz w:val="23"/>
          <w:szCs w:val="23"/>
        </w:rPr>
        <w:tab/>
      </w:r>
      <w:r>
        <w:rPr>
          <w:rFonts w:eastAsiaTheme="minorEastAsia"/>
          <w:i/>
          <w:sz w:val="23"/>
          <w:szCs w:val="23"/>
          <w:rtl/>
        </w:rPr>
        <w:tab/>
      </w:r>
      <w:r>
        <w:rPr>
          <w:rFonts w:eastAsiaTheme="minorEastAsia"/>
          <w:i/>
          <w:sz w:val="23"/>
          <w:szCs w:val="23"/>
          <w:rtl/>
        </w:rPr>
        <w:tab/>
      </w:r>
      <w:r w:rsidRPr="00B6450D">
        <w:rPr>
          <w:rFonts w:eastAsiaTheme="minorEastAsia"/>
          <w:i/>
          <w:sz w:val="23"/>
          <w:szCs w:val="23"/>
        </w:rPr>
        <w:tab/>
      </w:r>
      <w:r w:rsidRPr="00B6450D">
        <w:rPr>
          <w:rFonts w:eastAsiaTheme="minorEastAsia" w:hint="cs"/>
          <w:i/>
          <w:sz w:val="23"/>
          <w:szCs w:val="23"/>
          <w:rtl/>
        </w:rPr>
        <w:tab/>
      </w:r>
      <w:r w:rsidRPr="00B6450D">
        <w:rPr>
          <w:rFonts w:eastAsiaTheme="minorEastAsia"/>
          <w:i/>
          <w:sz w:val="23"/>
          <w:szCs w:val="23"/>
        </w:rPr>
        <w:t xml:space="preserve"> </w:t>
      </w:r>
      <w:r w:rsidRPr="00B6450D">
        <w:rPr>
          <w:rFonts w:eastAsiaTheme="minorEastAsia"/>
          <w:i/>
          <w:sz w:val="23"/>
          <w:szCs w:val="23"/>
          <w:rtl/>
        </w:rPr>
        <w:tab/>
      </w:r>
      <w:r w:rsidRPr="00B6450D">
        <w:rPr>
          <w:rFonts w:eastAsiaTheme="minorEastAsia" w:hint="cs"/>
          <w:i/>
          <w:sz w:val="23"/>
          <w:szCs w:val="23"/>
          <w:rtl/>
        </w:rPr>
        <w:t>(۱۲. ۱۵)</w:t>
      </w:r>
    </w:p>
    <w:p w14:paraId="24502471" w14:textId="77777777" w:rsidR="00556C10" w:rsidRPr="00B6450D" w:rsidRDefault="00556C10" w:rsidP="00556C10">
      <w:pPr>
        <w:spacing w:line="216" w:lineRule="auto"/>
        <w:rPr>
          <w:rFonts w:eastAsiaTheme="minorEastAsia"/>
          <w:i/>
          <w:sz w:val="23"/>
          <w:szCs w:val="23"/>
        </w:rPr>
      </w:pPr>
      <w:r w:rsidRPr="00B6450D">
        <w:rPr>
          <w:rFonts w:eastAsiaTheme="minorEastAsia" w:hint="cs"/>
          <w:i/>
          <w:sz w:val="23"/>
          <w:szCs w:val="23"/>
          <w:rtl/>
        </w:rPr>
        <w:t xml:space="preserve">یعنی نرخ‏های سلف، پیش‏بینی کننده‌های بدون تورش از نرخ‏های لحظه‏ای آینده هستند، که در </w:t>
      </w:r>
    </w:p>
    <w:p w14:paraId="3192B82D" w14:textId="77777777" w:rsidR="00556C10" w:rsidRPr="00B6450D" w:rsidRDefault="00556C10" w:rsidP="00556C10">
      <w:pPr>
        <w:spacing w:line="216" w:lineRule="auto"/>
        <w:rPr>
          <w:rFonts w:eastAsiaTheme="minorEastAsia"/>
          <w:i/>
          <w:sz w:val="23"/>
          <w:szCs w:val="23"/>
          <w:rtl/>
        </w:rPr>
      </w:pPr>
      <w:r w:rsidRPr="00B6450D">
        <w:rPr>
          <w:rFonts w:eastAsiaTheme="minorEastAsia" w:hint="cs"/>
          <w:i/>
          <w:sz w:val="23"/>
          <w:szCs w:val="23"/>
          <w:rtl/>
        </w:rPr>
        <w:t xml:space="preserve">آن </w:t>
      </w:r>
      <w:r w:rsidRPr="00B6450D">
        <w:rPr>
          <w:position w:val="-12"/>
        </w:rPr>
        <w:object w:dxaOrig="660" w:dyaOrig="340" w14:anchorId="2A99FD89">
          <v:shape id="_x0000_i5377" type="#_x0000_t75" style="width:32.65pt;height:16.95pt" o:ole="">
            <v:imagedata r:id="rId8755" o:title=""/>
          </v:shape>
          <o:OLEObject Type="Embed" ProgID="Equation.DSMT4" ShapeID="_x0000_i5377" DrawAspect="Content" ObjectID="_1791379321" r:id="rId8756"/>
        </w:object>
      </w:r>
      <w:r w:rsidRPr="00B6450D">
        <w:rPr>
          <w:rFonts w:eastAsiaTheme="minorEastAsia" w:hint="cs"/>
          <w:i/>
          <w:sz w:val="23"/>
          <w:szCs w:val="23"/>
          <w:rtl/>
        </w:rPr>
        <w:t xml:space="preserve">. نمودار نرخ‏های آتی </w:t>
      </w:r>
      <w:r w:rsidRPr="00B6450D">
        <w:rPr>
          <w:position w:val="-12"/>
        </w:rPr>
        <w:object w:dxaOrig="440" w:dyaOrig="340" w14:anchorId="70A037A6">
          <v:shape id="_x0000_i5378" type="#_x0000_t75" style="width:21.8pt;height:16.95pt" o:ole="">
            <v:imagedata r:id="rId8757" o:title=""/>
          </v:shape>
          <o:OLEObject Type="Embed" ProgID="Equation.DSMT4" ShapeID="_x0000_i5378" DrawAspect="Content" ObjectID="_1791379322" r:id="rId8758"/>
        </w:object>
      </w:r>
      <w:r w:rsidRPr="00B6450D">
        <w:rPr>
          <w:rFonts w:eastAsiaTheme="minorEastAsia"/>
          <w:i/>
          <w:sz w:val="23"/>
          <w:szCs w:val="23"/>
        </w:rPr>
        <w:t xml:space="preserve"> </w:t>
      </w:r>
      <w:r w:rsidRPr="00B6450D">
        <w:rPr>
          <w:rFonts w:eastAsiaTheme="minorEastAsia" w:hint="cs"/>
          <w:i/>
          <w:sz w:val="23"/>
          <w:szCs w:val="23"/>
          <w:rtl/>
        </w:rPr>
        <w:t xml:space="preserve">در مقابل </w:t>
      </w:r>
      <w:r w:rsidRPr="00B6450D">
        <w:rPr>
          <w:position w:val="-6"/>
        </w:rPr>
        <w:object w:dxaOrig="200" w:dyaOrig="200" w14:anchorId="4D83D510">
          <v:shape id="_x0000_i5379" type="#_x0000_t75" style="width:10.3pt;height:10.3pt" o:ole="">
            <v:imagedata r:id="rId8759" o:title=""/>
          </v:shape>
          <o:OLEObject Type="Embed" ProgID="Equation.DSMT4" ShapeID="_x0000_i5379" DrawAspect="Content" ObjectID="_1791379323" r:id="rId8760"/>
        </w:object>
      </w:r>
      <w:r w:rsidRPr="00B6450D">
        <w:rPr>
          <w:rFonts w:eastAsiaTheme="minorEastAsia" w:hint="cs"/>
          <w:i/>
          <w:sz w:val="23"/>
          <w:szCs w:val="23"/>
          <w:rtl/>
        </w:rPr>
        <w:t xml:space="preserve"> را منحنی نرخ سلف</w:t>
      </w:r>
      <w:r w:rsidRPr="00B6450D">
        <w:rPr>
          <w:rStyle w:val="FootnoteReference"/>
          <w:rFonts w:eastAsiaTheme="minorEastAsia"/>
          <w:i/>
          <w:sz w:val="23"/>
          <w:szCs w:val="23"/>
          <w:rtl/>
        </w:rPr>
        <w:footnoteReference w:id="279"/>
      </w:r>
      <w:r w:rsidRPr="00B6450D">
        <w:rPr>
          <w:rFonts w:eastAsiaTheme="minorEastAsia" w:hint="cs"/>
          <w:i/>
          <w:sz w:val="23"/>
          <w:szCs w:val="23"/>
          <w:rtl/>
        </w:rPr>
        <w:t xml:space="preserve"> نامند. هنگامی که منحنی نرخ سلف صعودی باشد در بالای منحنی بازده، و هنگامی که نزولی باشد در پایین منحنی بازده قرار می‏گیرد. منحنی نرخ سلف توسط بانک‏های مرکزی به دقت مورد بررسی قرار می‏گیرد. زیرا این منحنی انتظارات بازار را از نرخ بهره‏ی سلف به بانک نشان می‏دهد. نرخ‏های سلف به تفصیل در مبحث نرخ ارز سلف و برابری نرخ بهره</w:t>
      </w:r>
      <w:r w:rsidRPr="00B6450D">
        <w:rPr>
          <w:rFonts w:eastAsiaTheme="minorEastAsia"/>
          <w:i/>
          <w:sz w:val="23"/>
          <w:szCs w:val="23"/>
          <w:rtl/>
        </w:rPr>
        <w:softHyphen/>
      </w:r>
      <w:r w:rsidRPr="00B6450D">
        <w:rPr>
          <w:rFonts w:eastAsiaTheme="minorEastAsia" w:hint="cs"/>
          <w:i/>
          <w:sz w:val="23"/>
          <w:szCs w:val="23"/>
          <w:rtl/>
        </w:rPr>
        <w:t>ی بدون پوشش مورد بررسی قرار می‏گیرد.</w:t>
      </w:r>
    </w:p>
    <w:p w14:paraId="64B067DE" w14:textId="77777777" w:rsidR="00556C10" w:rsidRPr="00B6450D" w:rsidRDefault="00556C10" w:rsidP="00556C10">
      <w:pPr>
        <w:spacing w:line="216" w:lineRule="auto"/>
        <w:rPr>
          <w:rFonts w:eastAsiaTheme="minorEastAsia"/>
          <w:i/>
          <w:sz w:val="23"/>
          <w:szCs w:val="23"/>
          <w:rtl/>
        </w:rPr>
      </w:pPr>
    </w:p>
    <w:p w14:paraId="5E8DA177" w14:textId="77777777" w:rsidR="00556C10" w:rsidRPr="00B6450D" w:rsidRDefault="00556C10" w:rsidP="00556C10">
      <w:pPr>
        <w:spacing w:line="216" w:lineRule="auto"/>
        <w:rPr>
          <w:rFonts w:eastAsiaTheme="minorEastAsia"/>
          <w:bCs/>
          <w:i/>
          <w:sz w:val="23"/>
          <w:szCs w:val="23"/>
          <w:rtl/>
        </w:rPr>
      </w:pPr>
      <w:r w:rsidRPr="00B6450D">
        <w:rPr>
          <w:rFonts w:eastAsiaTheme="minorEastAsia" w:hint="cs"/>
          <w:bCs/>
          <w:i/>
          <w:sz w:val="23"/>
          <w:szCs w:val="23"/>
          <w:rtl/>
        </w:rPr>
        <w:t>نرخ‏های معامله‏ی پایاپای یا سواپ</w:t>
      </w:r>
    </w:p>
    <w:p w14:paraId="7A7828B2" w14:textId="77777777" w:rsidR="00556C10" w:rsidRPr="00B6450D" w:rsidRDefault="00556C10" w:rsidP="00556C10">
      <w:pPr>
        <w:spacing w:line="216" w:lineRule="auto"/>
        <w:rPr>
          <w:rFonts w:eastAsiaTheme="minorEastAsia"/>
          <w:i/>
          <w:sz w:val="23"/>
          <w:szCs w:val="23"/>
          <w:rtl/>
        </w:rPr>
      </w:pPr>
      <w:r w:rsidRPr="00B6450D">
        <w:rPr>
          <w:rFonts w:eastAsiaTheme="minorEastAsia" w:hint="cs"/>
          <w:i/>
          <w:sz w:val="23"/>
          <w:szCs w:val="23"/>
          <w:rtl/>
        </w:rPr>
        <w:t>نرخ بهره‏ی معامله‏ی پایاپای یک توافق معاوضه</w:t>
      </w:r>
      <w:r w:rsidRPr="00B6450D">
        <w:rPr>
          <w:rFonts w:eastAsiaTheme="minorEastAsia"/>
          <w:i/>
          <w:sz w:val="23"/>
          <w:szCs w:val="23"/>
          <w:rtl/>
        </w:rPr>
        <w:softHyphen/>
      </w:r>
      <w:r w:rsidRPr="00B6450D">
        <w:rPr>
          <w:rFonts w:eastAsiaTheme="minorEastAsia" w:hint="cs"/>
          <w:i/>
          <w:sz w:val="23"/>
          <w:szCs w:val="23"/>
          <w:rtl/>
        </w:rPr>
        <w:t>ای جریان‌های نقدی اوراق‏ قرضه در آینده است. در اینجا حق مالکیت اوراق قرضه، معاوضه نمی</w:t>
      </w:r>
      <w:r w:rsidRPr="00B6450D">
        <w:rPr>
          <w:rFonts w:eastAsiaTheme="minorEastAsia"/>
          <w:i/>
          <w:sz w:val="23"/>
          <w:szCs w:val="23"/>
          <w:rtl/>
        </w:rPr>
        <w:softHyphen/>
      </w:r>
      <w:r w:rsidRPr="00B6450D">
        <w:rPr>
          <w:rFonts w:eastAsiaTheme="minorEastAsia" w:hint="cs"/>
          <w:i/>
          <w:sz w:val="23"/>
          <w:szCs w:val="23"/>
          <w:rtl/>
        </w:rPr>
        <w:t xml:space="preserve">شود، و فقط بر جریان‏های نقدی آن توافق می‌شود. </w:t>
      </w:r>
      <w:r w:rsidRPr="00B6450D">
        <w:rPr>
          <w:rFonts w:hint="cs"/>
          <w:i/>
          <w:sz w:val="23"/>
          <w:szCs w:val="23"/>
          <w:rtl/>
        </w:rPr>
        <w:t xml:space="preserve">یک سواپ نرخ بهره‏ی </w:t>
      </w:r>
      <w:r w:rsidRPr="00B6450D">
        <w:rPr>
          <w:i/>
          <w:sz w:val="23"/>
          <w:szCs w:val="23"/>
        </w:rPr>
        <w:t>Plain Vanilla</w:t>
      </w:r>
      <w:r w:rsidRPr="00B6450D">
        <w:rPr>
          <w:rFonts w:hint="cs"/>
          <w:i/>
          <w:sz w:val="23"/>
          <w:szCs w:val="23"/>
          <w:rtl/>
        </w:rPr>
        <w:t xml:space="preserve"> جریان‌های نقدی را بین نرخ‏های بهره‌ی اوراق قرضه‏ی ثابت و شناور (انعطاف‏پذیر) معاوضه می‏کند. نرخ بهره</w:t>
      </w:r>
      <w:r w:rsidRPr="00B6450D">
        <w:rPr>
          <w:i/>
          <w:sz w:val="23"/>
          <w:szCs w:val="23"/>
          <w:rtl/>
        </w:rPr>
        <w:softHyphen/>
      </w:r>
      <w:r w:rsidRPr="00B6450D">
        <w:rPr>
          <w:rFonts w:hint="cs"/>
          <w:i/>
          <w:sz w:val="23"/>
          <w:szCs w:val="23"/>
          <w:rtl/>
        </w:rPr>
        <w:t>ی شناور یا انعطاف‏پذیر معمولاً بر مبنای نرخ بهره</w:t>
      </w:r>
      <w:r w:rsidRPr="00B6450D">
        <w:rPr>
          <w:i/>
          <w:sz w:val="23"/>
          <w:szCs w:val="23"/>
          <w:rtl/>
        </w:rPr>
        <w:softHyphen/>
      </w:r>
      <w:r w:rsidRPr="00B6450D">
        <w:rPr>
          <w:rFonts w:hint="cs"/>
          <w:i/>
          <w:sz w:val="23"/>
          <w:szCs w:val="23"/>
          <w:rtl/>
        </w:rPr>
        <w:t xml:space="preserve">ی بین بانکی لندن </w:t>
      </w:r>
      <w:r w:rsidRPr="00B6450D">
        <w:rPr>
          <w:i/>
          <w:sz w:val="23"/>
          <w:szCs w:val="23"/>
        </w:rPr>
        <w:t>LIBOR</w:t>
      </w:r>
      <w:r w:rsidRPr="00B6450D">
        <w:rPr>
          <w:rStyle w:val="FootnoteReference"/>
          <w:rFonts w:eastAsiaTheme="majorEastAsia"/>
          <w:i/>
          <w:sz w:val="23"/>
          <w:szCs w:val="23"/>
        </w:rPr>
        <w:footnoteReference w:id="280"/>
      </w:r>
      <w:r w:rsidRPr="00B6450D">
        <w:rPr>
          <w:rFonts w:hint="cs"/>
          <w:i/>
          <w:sz w:val="23"/>
          <w:szCs w:val="23"/>
          <w:rtl/>
        </w:rPr>
        <w:t xml:space="preserve"> بر روی پس‏اندازهای یک ماهه‏ی یورو و توالی این نرخ‏های آتی یک ماه تا پایان توافق سواپ مثلاً تا</w:t>
      </w:r>
      <w:r w:rsidRPr="00B6450D">
        <w:rPr>
          <w:position w:val="-6"/>
        </w:rPr>
        <w:object w:dxaOrig="480" w:dyaOrig="240" w14:anchorId="5591A718">
          <v:shape id="_x0000_i5380" type="#_x0000_t75" style="width:24.2pt;height:11.5pt" o:ole="">
            <v:imagedata r:id="rId8761" o:title=""/>
          </v:shape>
          <o:OLEObject Type="Embed" ProgID="Equation.DSMT4" ShapeID="_x0000_i5380" DrawAspect="Content" ObjectID="_1791379324" r:id="rId8762"/>
        </w:object>
      </w:r>
      <w:r w:rsidRPr="00B6450D">
        <w:rPr>
          <w:rFonts w:hint="cs"/>
          <w:i/>
          <w:sz w:val="23"/>
          <w:szCs w:val="23"/>
          <w:rtl/>
        </w:rPr>
        <w:t xml:space="preserve"> مورد استفاده قرار می‏گیرد. نرخ سواپ متوسطِ پیشنهاد و </w:t>
      </w:r>
      <w:r w:rsidRPr="00B6450D">
        <w:rPr>
          <w:rFonts w:hint="cs"/>
          <w:i/>
          <w:sz w:val="23"/>
          <w:szCs w:val="23"/>
          <w:rtl/>
        </w:rPr>
        <w:lastRenderedPageBreak/>
        <w:t>درخواست (خرید و فروش) نرخ‏هاست. در اصل، نرخ بهره‏ی ثابت</w:t>
      </w:r>
      <w:r w:rsidRPr="00B6450D">
        <w:rPr>
          <w:position w:val="-6"/>
        </w:rPr>
        <w:object w:dxaOrig="200" w:dyaOrig="200" w14:anchorId="4FC42D38">
          <v:shape id="_x0000_i5381" type="#_x0000_t75" style="width:10.3pt;height:10.3pt" o:ole="">
            <v:imagedata r:id="rId8763" o:title=""/>
          </v:shape>
          <o:OLEObject Type="Embed" ProgID="Equation.DSMT4" ShapeID="_x0000_i5381" DrawAspect="Content" ObjectID="_1791379325" r:id="rId8764"/>
        </w:object>
      </w:r>
      <w:r w:rsidRPr="00B6450D">
        <w:rPr>
          <w:rFonts w:hint="cs"/>
          <w:i/>
          <w:sz w:val="23"/>
          <w:szCs w:val="23"/>
          <w:rtl/>
        </w:rPr>
        <w:t xml:space="preserve"> دوره‏ای، بازده</w:t>
      </w:r>
      <w:r w:rsidRPr="00B6450D">
        <w:rPr>
          <w:i/>
          <w:sz w:val="23"/>
          <w:szCs w:val="23"/>
        </w:rPr>
        <w:t xml:space="preserve"> </w:t>
      </w:r>
      <w:r w:rsidRPr="00B6450D">
        <w:rPr>
          <w:rFonts w:hint="cs"/>
          <w:i/>
          <w:sz w:val="23"/>
          <w:szCs w:val="23"/>
          <w:rtl/>
        </w:rPr>
        <w:t>در سررسید یک اوراق قرضه‏ی کوپن ـ صفر</w:t>
      </w:r>
      <w:r w:rsidRPr="00B6450D">
        <w:rPr>
          <w:position w:val="-6"/>
        </w:rPr>
        <w:object w:dxaOrig="200" w:dyaOrig="200" w14:anchorId="34078D98">
          <v:shape id="_x0000_i5382" type="#_x0000_t75" style="width:10.3pt;height:10.3pt" o:ole="">
            <v:imagedata r:id="rId8765" o:title=""/>
          </v:shape>
          <o:OLEObject Type="Embed" ProgID="Equation.DSMT4" ShapeID="_x0000_i5382" DrawAspect="Content" ObjectID="_1791379326" r:id="rId8766"/>
        </w:object>
      </w:r>
      <w:r w:rsidRPr="00B6450D">
        <w:rPr>
          <w:rFonts w:eastAsiaTheme="minorEastAsia"/>
          <w:i/>
          <w:sz w:val="23"/>
          <w:szCs w:val="23"/>
        </w:rPr>
        <w:t xml:space="preserve"> </w:t>
      </w:r>
      <w:r w:rsidRPr="00B6450D">
        <w:rPr>
          <w:rFonts w:hint="cs"/>
          <w:i/>
          <w:sz w:val="23"/>
          <w:szCs w:val="23"/>
          <w:rtl/>
        </w:rPr>
        <w:t>دوره‏ای است.</w:t>
      </w:r>
    </w:p>
    <w:p w14:paraId="6EBE2607" w14:textId="77777777" w:rsidR="00556C10" w:rsidRPr="00B6450D" w:rsidRDefault="00556C10" w:rsidP="00556C10">
      <w:pPr>
        <w:spacing w:line="216" w:lineRule="auto"/>
        <w:rPr>
          <w:rFonts w:eastAsiaTheme="minorEastAsia"/>
          <w:i/>
          <w:sz w:val="23"/>
          <w:szCs w:val="23"/>
          <w:rtl/>
        </w:rPr>
      </w:pPr>
      <w:r w:rsidRPr="00B6450D">
        <w:rPr>
          <w:rFonts w:hint="cs"/>
          <w:i/>
          <w:sz w:val="23"/>
          <w:szCs w:val="23"/>
          <w:rtl/>
        </w:rPr>
        <w:t>با فرض عدم قصور ریسک، ارزش (یاهزینه‌ی) سواپ، تفاوت بین ارزش فعلی دو جریان درآمدی است، با فرض این</w:t>
      </w:r>
      <w:r w:rsidRPr="00B6450D">
        <w:rPr>
          <w:i/>
          <w:sz w:val="23"/>
          <w:szCs w:val="23"/>
          <w:rtl/>
        </w:rPr>
        <w:softHyphen/>
      </w:r>
      <w:r w:rsidRPr="00B6450D">
        <w:rPr>
          <w:rFonts w:hint="cs"/>
          <w:i/>
          <w:sz w:val="23"/>
          <w:szCs w:val="23"/>
          <w:rtl/>
        </w:rPr>
        <w:t>که ارزش اسمی یا ارزش نوشته شده آن</w:t>
      </w:r>
      <w:r w:rsidRPr="00B6450D">
        <w:rPr>
          <w:i/>
          <w:sz w:val="23"/>
          <w:szCs w:val="23"/>
          <w:rtl/>
        </w:rPr>
        <w:softHyphen/>
      </w:r>
      <w:r w:rsidRPr="00B6450D">
        <w:rPr>
          <w:rFonts w:hint="cs"/>
          <w:i/>
          <w:sz w:val="23"/>
          <w:szCs w:val="23"/>
          <w:rtl/>
        </w:rPr>
        <w:t>ها در سررسید یکسان باشد. بنابراین ارزش یک سواپ برابر است با</w:t>
      </w:r>
      <w:r>
        <w:rPr>
          <w:rFonts w:hint="cs"/>
          <w:i/>
          <w:sz w:val="23"/>
          <w:szCs w:val="23"/>
          <w:rtl/>
        </w:rPr>
        <w:t xml:space="preserve"> </w:t>
      </w:r>
      <w:r w:rsidRPr="00B6450D">
        <w:rPr>
          <w:position w:val="-12"/>
        </w:rPr>
        <w:object w:dxaOrig="1560" w:dyaOrig="360" w14:anchorId="20CFC84D">
          <v:shape id="_x0000_i5383" type="#_x0000_t75" style="width:78.65pt;height:18.15pt" o:ole="">
            <v:imagedata r:id="rId8767" o:title=""/>
          </v:shape>
          <o:OLEObject Type="Embed" ProgID="Equation.DSMT4" ShapeID="_x0000_i5383" DrawAspect="Content" ObjectID="_1791379327" r:id="rId8768"/>
        </w:object>
      </w:r>
      <w:r>
        <w:rPr>
          <w:rFonts w:hint="cs"/>
          <w:rtl/>
        </w:rPr>
        <w:t xml:space="preserve"> ، </w:t>
      </w:r>
      <w:r w:rsidRPr="00B6450D">
        <w:rPr>
          <w:rFonts w:eastAsiaTheme="minorEastAsia" w:hint="cs"/>
          <w:i/>
          <w:sz w:val="23"/>
          <w:szCs w:val="23"/>
          <w:rtl/>
        </w:rPr>
        <w:t>که در آن</w:t>
      </w:r>
    </w:p>
    <w:p w14:paraId="0FC5D401" w14:textId="77777777" w:rsidR="00556C10" w:rsidRPr="00B6450D" w:rsidRDefault="00556C10" w:rsidP="00556C10">
      <w:pPr>
        <w:bidi w:val="0"/>
        <w:spacing w:line="216" w:lineRule="auto"/>
        <w:rPr>
          <w:rFonts w:eastAsiaTheme="minorEastAsia"/>
          <w:i/>
          <w:sz w:val="23"/>
          <w:szCs w:val="23"/>
        </w:rPr>
      </w:pPr>
      <w:r w:rsidRPr="00B6450D">
        <w:rPr>
          <w:position w:val="-36"/>
        </w:rPr>
        <w:object w:dxaOrig="3720" w:dyaOrig="720" w14:anchorId="5E4401C5">
          <v:shape id="_x0000_i5384" type="#_x0000_t75" style="width:185.75pt;height:36.3pt" o:ole="">
            <v:imagedata r:id="rId8769" o:title=""/>
          </v:shape>
          <o:OLEObject Type="Embed" ProgID="Equation.DSMT4" ShapeID="_x0000_i5384" DrawAspect="Content" ObjectID="_1791379328" r:id="rId8770"/>
        </w:object>
      </w:r>
    </w:p>
    <w:p w14:paraId="3362EEC6" w14:textId="77777777" w:rsidR="00556C10" w:rsidRPr="00B6450D" w:rsidRDefault="00556C10" w:rsidP="00556C10">
      <w:pPr>
        <w:spacing w:line="216" w:lineRule="auto"/>
        <w:rPr>
          <w:rFonts w:eastAsiaTheme="minorEastAsia"/>
          <w:i/>
          <w:sz w:val="23"/>
          <w:szCs w:val="23"/>
        </w:rPr>
      </w:pPr>
      <w:r w:rsidRPr="00B6450D">
        <w:rPr>
          <w:rFonts w:eastAsiaTheme="minorEastAsia" w:hint="cs"/>
          <w:i/>
          <w:sz w:val="23"/>
          <w:szCs w:val="23"/>
          <w:rtl/>
        </w:rPr>
        <w:t>در زمان</w:t>
      </w:r>
      <w:r w:rsidRPr="00B6450D">
        <w:rPr>
          <w:position w:val="-6"/>
        </w:rPr>
        <w:object w:dxaOrig="139" w:dyaOrig="240" w14:anchorId="7204CD90">
          <v:shape id="_x0000_i5385" type="#_x0000_t75" style="width:6.65pt;height:11.5pt" o:ole="">
            <v:imagedata r:id="rId8771" o:title=""/>
          </v:shape>
          <o:OLEObject Type="Embed" ProgID="Equation.DSMT4" ShapeID="_x0000_i5385" DrawAspect="Content" ObjectID="_1791379329" r:id="rId8772"/>
        </w:object>
      </w:r>
      <w:r w:rsidRPr="00B6450D">
        <w:rPr>
          <w:rFonts w:eastAsiaTheme="minorEastAsia" w:hint="cs"/>
          <w:i/>
          <w:sz w:val="23"/>
          <w:szCs w:val="23"/>
          <w:rtl/>
        </w:rPr>
        <w:t>، جهت حذف فرصت‏های آربیتراژ</w:t>
      </w:r>
      <w:r w:rsidRPr="00B6450D">
        <w:rPr>
          <w:position w:val="-12"/>
        </w:rPr>
        <w:object w:dxaOrig="900" w:dyaOrig="360" w14:anchorId="3D4EF5D7">
          <v:shape id="_x0000_i5386" type="#_x0000_t75" style="width:45.4pt;height:18.15pt" o:ole="">
            <v:imagedata r:id="rId8773" o:title=""/>
          </v:shape>
          <o:OLEObject Type="Embed" ProgID="Equation.DSMT4" ShapeID="_x0000_i5386" DrawAspect="Content" ObjectID="_1791379330" r:id="rId8774"/>
        </w:object>
      </w:r>
      <w:r w:rsidRPr="00B6450D">
        <w:rPr>
          <w:rFonts w:eastAsiaTheme="minorEastAsia" w:hint="cs"/>
          <w:i/>
          <w:sz w:val="23"/>
          <w:szCs w:val="23"/>
          <w:rtl/>
        </w:rPr>
        <w:t xml:space="preserve"> است. اما در‌مدت زمان طول عمرش ارزش آن ممکن است مثبت و یا منفی باشد. نرخ سوآپ بازده کوپن- صفر، به دست آمده از معادله‏ی</w:t>
      </w:r>
      <w:r w:rsidRPr="00B6450D">
        <w:rPr>
          <w:position w:val="-12"/>
        </w:rPr>
        <w:object w:dxaOrig="360" w:dyaOrig="360" w14:anchorId="1939FB92">
          <v:shape id="_x0000_i5387" type="#_x0000_t75" style="width:18.15pt;height:18.15pt" o:ole="">
            <v:imagedata r:id="rId8775" o:title=""/>
          </v:shape>
          <o:OLEObject Type="Embed" ProgID="Equation.DSMT4" ShapeID="_x0000_i5387" DrawAspect="Content" ObjectID="_1791379331" r:id="rId8776"/>
        </w:object>
      </w:r>
      <w:r w:rsidRPr="00B6450D">
        <w:rPr>
          <w:rFonts w:eastAsiaTheme="minorEastAsia" w:hint="cs"/>
          <w:i/>
          <w:sz w:val="23"/>
          <w:szCs w:val="23"/>
          <w:rtl/>
        </w:rPr>
        <w:t xml:space="preserve"> به</w:t>
      </w:r>
      <w:r w:rsidRPr="00B6450D">
        <w:rPr>
          <w:position w:val="-12"/>
        </w:rPr>
        <w:object w:dxaOrig="360" w:dyaOrig="360" w14:anchorId="6074C7EF">
          <v:shape id="_x0000_i5388" type="#_x0000_t75" style="width:18.15pt;height:18.15pt" o:ole="">
            <v:imagedata r:id="rId8777" o:title=""/>
          </v:shape>
          <o:OLEObject Type="Embed" ProgID="Equation.DSMT4" ShapeID="_x0000_i5388" DrawAspect="Content" ObjectID="_1791379332" r:id="rId8778"/>
        </w:object>
      </w:r>
      <w:r w:rsidRPr="00B6450D">
        <w:rPr>
          <w:rFonts w:eastAsiaTheme="minorEastAsia" w:hint="cs"/>
          <w:i/>
          <w:sz w:val="23"/>
          <w:szCs w:val="23"/>
          <w:rtl/>
        </w:rPr>
        <w:t>در زمان شروع سوآپ است. هنگامی که نرخ‌های سوآپ در بازار وجود داشته و بازده کوپن-صفر ( یک بازدهی مشتقه) وجود نداشته باشد، نرخ‏های سوآپ را می‌توان برای ایجاد بازدهی کوپن-صفر و به تبع آن منحنی بازده به کار گرفت. از معادله‏ی ( ۱۲. ۱۴) نرخ‏های سوآپ را می‏توان برای محاسبه‏ی نرخ‏های آتی مورد استفاده قرار داد.</w:t>
      </w:r>
    </w:p>
    <w:p w14:paraId="756EF58C" w14:textId="77777777" w:rsidR="00556C10" w:rsidRPr="00B6450D" w:rsidRDefault="00556C10" w:rsidP="00556C10">
      <w:pPr>
        <w:spacing w:line="216" w:lineRule="auto"/>
        <w:rPr>
          <w:rFonts w:eastAsiaTheme="minorEastAsia"/>
          <w:i/>
          <w:sz w:val="23"/>
          <w:szCs w:val="23"/>
          <w:rtl/>
        </w:rPr>
      </w:pPr>
    </w:p>
    <w:p w14:paraId="3CCEF0F9" w14:textId="77777777" w:rsidR="00556C10" w:rsidRPr="00B6450D" w:rsidRDefault="00556C10" w:rsidP="00556C10">
      <w:pPr>
        <w:spacing w:line="216" w:lineRule="auto"/>
        <w:rPr>
          <w:rFonts w:eastAsiaTheme="minorEastAsia"/>
          <w:bCs/>
          <w:i/>
          <w:sz w:val="23"/>
          <w:szCs w:val="23"/>
          <w:rtl/>
        </w:rPr>
      </w:pPr>
      <w:r w:rsidRPr="00B6450D">
        <w:rPr>
          <w:rFonts w:eastAsiaTheme="minorEastAsia" w:hint="cs"/>
          <w:bCs/>
          <w:i/>
          <w:sz w:val="23"/>
          <w:szCs w:val="23"/>
          <w:rtl/>
        </w:rPr>
        <w:t>بازدهی‏های تملک ـ دوره</w:t>
      </w:r>
    </w:p>
    <w:p w14:paraId="69FF56B2" w14:textId="77777777" w:rsidR="00556C10" w:rsidRPr="00B6450D" w:rsidRDefault="00556C10" w:rsidP="00556C10">
      <w:pPr>
        <w:spacing w:line="216" w:lineRule="auto"/>
        <w:rPr>
          <w:rFonts w:eastAsiaTheme="minorEastAsia"/>
          <w:i/>
          <w:sz w:val="23"/>
          <w:szCs w:val="23"/>
          <w:rtl/>
        </w:rPr>
      </w:pPr>
      <w:r w:rsidRPr="00B6450D">
        <w:rPr>
          <w:rFonts w:eastAsiaTheme="minorEastAsia" w:hint="cs"/>
          <w:i/>
          <w:sz w:val="23"/>
          <w:szCs w:val="23"/>
          <w:rtl/>
        </w:rPr>
        <w:t>بازدهی تملک-دوره عبارت است از نرخ بازدهی اسمی نگهداری یک اوراق قرضه‏ی کوپن-صفر برای یک دوره. بنابراین</w:t>
      </w:r>
      <w:r w:rsidRPr="00B6450D">
        <w:rPr>
          <w:position w:val="-12"/>
        </w:rPr>
        <w:object w:dxaOrig="480" w:dyaOrig="340" w14:anchorId="7B2708FE">
          <v:shape id="_x0000_i5389" type="#_x0000_t75" style="width:24.2pt;height:16.95pt" o:ole="">
            <v:imagedata r:id="rId8779" o:title=""/>
          </v:shape>
          <o:OLEObject Type="Embed" ProgID="Equation.DSMT4" ShapeID="_x0000_i5389" DrawAspect="Content" ObjectID="_1791379333" r:id="rId8780"/>
        </w:object>
      </w:r>
      <w:r w:rsidRPr="00B6450D">
        <w:rPr>
          <w:rFonts w:eastAsiaTheme="minorEastAsia" w:hint="cs"/>
          <w:i/>
          <w:sz w:val="23"/>
          <w:szCs w:val="23"/>
          <w:rtl/>
        </w:rPr>
        <w:t xml:space="preserve"> بازدهی تملک ـ دوره برای اوراق قرضه‏ی</w:t>
      </w:r>
      <w:r w:rsidRPr="00B6450D">
        <w:rPr>
          <w:position w:val="-6"/>
        </w:rPr>
        <w:object w:dxaOrig="200" w:dyaOrig="200" w14:anchorId="2390EB11">
          <v:shape id="_x0000_i5390" type="#_x0000_t75" style="width:10.3pt;height:10.3pt" o:ole="">
            <v:imagedata r:id="rId8781" o:title=""/>
          </v:shape>
          <o:OLEObject Type="Embed" ProgID="Equation.DSMT4" ShapeID="_x0000_i5390" DrawAspect="Content" ObjectID="_1791379334" r:id="rId8782"/>
        </w:object>
      </w:r>
      <w:r w:rsidRPr="00B6450D">
        <w:rPr>
          <w:rFonts w:eastAsiaTheme="minorEastAsia" w:hint="cs"/>
          <w:i/>
          <w:sz w:val="23"/>
          <w:szCs w:val="23"/>
          <w:rtl/>
        </w:rPr>
        <w:t xml:space="preserve"> دوره‏ای بین زمان‏های</w:t>
      </w:r>
      <w:r w:rsidRPr="00B6450D">
        <w:rPr>
          <w:position w:val="-6"/>
        </w:rPr>
        <w:object w:dxaOrig="139" w:dyaOrig="240" w14:anchorId="0996A925">
          <v:shape id="_x0000_i5391" type="#_x0000_t75" style="width:6.65pt;height:11.5pt" o:ole="">
            <v:imagedata r:id="rId8783" o:title=""/>
          </v:shape>
          <o:OLEObject Type="Embed" ProgID="Equation.DSMT4" ShapeID="_x0000_i5391" DrawAspect="Content" ObjectID="_1791379335" r:id="rId8784"/>
        </w:object>
      </w:r>
      <w:r w:rsidRPr="00B6450D">
        <w:rPr>
          <w:rFonts w:eastAsiaTheme="minorEastAsia" w:hint="cs"/>
          <w:i/>
          <w:sz w:val="23"/>
          <w:szCs w:val="23"/>
          <w:rtl/>
        </w:rPr>
        <w:t xml:space="preserve"> و</w:t>
      </w:r>
      <w:r w:rsidRPr="00B6450D">
        <w:rPr>
          <w:position w:val="-6"/>
        </w:rPr>
        <w:object w:dxaOrig="440" w:dyaOrig="260" w14:anchorId="73E3AC3B">
          <v:shape id="_x0000_i5392" type="#_x0000_t75" style="width:21.8pt;height:13.3pt" o:ole="">
            <v:imagedata r:id="rId8785" o:title=""/>
          </v:shape>
          <o:OLEObject Type="Embed" ProgID="Equation.DSMT4" ShapeID="_x0000_i5392" DrawAspect="Content" ObjectID="_1791379336" r:id="rId8786"/>
        </w:object>
      </w:r>
      <w:r w:rsidRPr="00B6450D">
        <w:rPr>
          <w:rFonts w:eastAsiaTheme="minorEastAsia" w:hint="cs"/>
          <w:i/>
          <w:sz w:val="23"/>
          <w:szCs w:val="23"/>
          <w:rtl/>
        </w:rPr>
        <w:t xml:space="preserve"> است که به صورت زیر محاسبه می‏شود</w:t>
      </w:r>
    </w:p>
    <w:p w14:paraId="03ADED7E" w14:textId="77777777" w:rsidR="00556C10" w:rsidRPr="00B6450D" w:rsidRDefault="00556C10" w:rsidP="00556C10">
      <w:pPr>
        <w:bidi w:val="0"/>
        <w:spacing w:line="216" w:lineRule="auto"/>
        <w:rPr>
          <w:rFonts w:eastAsiaTheme="minorEastAsia"/>
          <w:i/>
          <w:sz w:val="23"/>
          <w:szCs w:val="23"/>
        </w:rPr>
      </w:pPr>
      <w:r w:rsidRPr="00B6450D">
        <w:rPr>
          <w:position w:val="-36"/>
        </w:rPr>
        <w:object w:dxaOrig="3320" w:dyaOrig="840" w14:anchorId="005351B1">
          <v:shape id="_x0000_i5393" type="#_x0000_t75" style="width:165.8pt;height:42.35pt" o:ole="">
            <v:imagedata r:id="rId8787" o:title=""/>
          </v:shape>
          <o:OLEObject Type="Embed" ProgID="Equation.DSMT4" ShapeID="_x0000_i5393" DrawAspect="Content" ObjectID="_1791379337" r:id="rId8788"/>
        </w:object>
      </w:r>
    </w:p>
    <w:p w14:paraId="427CB3CB" w14:textId="77777777" w:rsidR="00556C10" w:rsidRPr="00B6450D" w:rsidRDefault="00556C10" w:rsidP="00556C10">
      <w:pPr>
        <w:spacing w:line="216" w:lineRule="auto"/>
        <w:rPr>
          <w:rFonts w:eastAsiaTheme="minorEastAsia"/>
          <w:i/>
          <w:sz w:val="23"/>
          <w:szCs w:val="23"/>
        </w:rPr>
      </w:pPr>
      <w:r w:rsidRPr="00B6450D">
        <w:rPr>
          <w:rFonts w:eastAsiaTheme="minorEastAsia" w:hint="cs"/>
          <w:i/>
          <w:sz w:val="23"/>
          <w:szCs w:val="23"/>
          <w:rtl/>
        </w:rPr>
        <w:t>اگر</w:t>
      </w:r>
      <w:r w:rsidRPr="00B6450D">
        <w:rPr>
          <w:position w:val="-12"/>
        </w:rPr>
        <w:object w:dxaOrig="1120" w:dyaOrig="340" w14:anchorId="1771A954">
          <v:shape id="_x0000_i5394" type="#_x0000_t75" style="width:55.65pt;height:16.95pt" o:ole="">
            <v:imagedata r:id="rId8789" o:title=""/>
          </v:shape>
          <o:OLEObject Type="Embed" ProgID="Equation.DSMT4" ShapeID="_x0000_i5394" DrawAspect="Content" ObjectID="_1791379338" r:id="rId8790"/>
        </w:object>
      </w:r>
      <w:r w:rsidRPr="00B6450D">
        <w:rPr>
          <w:rFonts w:eastAsiaTheme="minorEastAsia" w:hint="cs"/>
          <w:i/>
          <w:sz w:val="23"/>
          <w:szCs w:val="23"/>
          <w:rtl/>
        </w:rPr>
        <w:t xml:space="preserve"> آنگاه با استفاده از لگاریتم رابطه‏ی فوق خواهیم داشت</w:t>
      </w:r>
    </w:p>
    <w:p w14:paraId="450A555A" w14:textId="77777777" w:rsidR="00556C10" w:rsidRPr="00B6450D" w:rsidRDefault="00556C10" w:rsidP="00556C10">
      <w:pPr>
        <w:bidi w:val="0"/>
        <w:spacing w:line="216" w:lineRule="auto"/>
        <w:rPr>
          <w:i/>
          <w:sz w:val="23"/>
          <w:szCs w:val="23"/>
          <w:rtl/>
        </w:rPr>
      </w:pPr>
      <w:r w:rsidRPr="00B6450D">
        <w:rPr>
          <w:position w:val="-12"/>
        </w:rPr>
        <w:object w:dxaOrig="3820" w:dyaOrig="340" w14:anchorId="7E79AD91">
          <v:shape id="_x0000_i5395" type="#_x0000_t75" style="width:191.2pt;height:16.95pt" o:ole="">
            <v:imagedata r:id="rId8791" o:title=""/>
          </v:shape>
          <o:OLEObject Type="Embed" ProgID="Equation.DSMT4" ShapeID="_x0000_i5395" DrawAspect="Content" ObjectID="_1791379339" r:id="rId8792"/>
        </w:object>
      </w:r>
    </w:p>
    <w:p w14:paraId="38793909" w14:textId="77777777" w:rsidR="00556C10" w:rsidRPr="00B6450D" w:rsidRDefault="00556C10" w:rsidP="00556C10">
      <w:pPr>
        <w:spacing w:line="216" w:lineRule="auto"/>
        <w:rPr>
          <w:i/>
          <w:sz w:val="23"/>
          <w:szCs w:val="23"/>
          <w:rtl/>
        </w:rPr>
      </w:pPr>
      <w:r w:rsidRPr="00B6450D">
        <w:rPr>
          <w:rFonts w:hint="cs"/>
          <w:i/>
          <w:sz w:val="23"/>
          <w:szCs w:val="23"/>
          <w:rtl/>
        </w:rPr>
        <w:t>شرط بدون آربیتراژ برای اوراق قرضه‌ها بدین صورت است که بعد از تعدیل ریسک، سرمایه‌گذاران بین نگهداری اوراق قرضه</w:t>
      </w:r>
      <w:r w:rsidRPr="00B6450D">
        <w:rPr>
          <w:position w:val="-6"/>
        </w:rPr>
        <w:object w:dxaOrig="200" w:dyaOrig="200" w14:anchorId="1D0488C6">
          <v:shape id="_x0000_i5396" type="#_x0000_t75" style="width:10.3pt;height:10.3pt" o:ole="">
            <v:imagedata r:id="rId8793" o:title=""/>
          </v:shape>
          <o:OLEObject Type="Embed" ProgID="Equation.DSMT4" ShapeID="_x0000_i5396" DrawAspect="Content" ObjectID="_1791379340" r:id="rId8794"/>
        </w:object>
      </w:r>
      <w:r w:rsidRPr="00B6450D">
        <w:rPr>
          <w:rFonts w:hint="cs"/>
          <w:i/>
          <w:sz w:val="23"/>
          <w:szCs w:val="23"/>
          <w:rtl/>
        </w:rPr>
        <w:t xml:space="preserve"> دوره</w:t>
      </w:r>
      <w:r w:rsidRPr="00B6450D">
        <w:rPr>
          <w:i/>
          <w:sz w:val="23"/>
          <w:szCs w:val="23"/>
          <w:rtl/>
        </w:rPr>
        <w:softHyphen/>
      </w:r>
      <w:r w:rsidRPr="00B6450D">
        <w:rPr>
          <w:rFonts w:hint="cs"/>
          <w:i/>
          <w:sz w:val="23"/>
          <w:szCs w:val="23"/>
          <w:rtl/>
        </w:rPr>
        <w:t>ای و اوراق قرضه‌ی فاقد ریسک یک دوره</w:t>
      </w:r>
      <w:r w:rsidRPr="00B6450D">
        <w:rPr>
          <w:i/>
          <w:sz w:val="23"/>
          <w:szCs w:val="23"/>
          <w:rtl/>
        </w:rPr>
        <w:softHyphen/>
      </w:r>
      <w:r w:rsidRPr="00B6450D">
        <w:rPr>
          <w:rFonts w:hint="cs"/>
          <w:i/>
          <w:sz w:val="23"/>
          <w:szCs w:val="23"/>
          <w:rtl/>
        </w:rPr>
        <w:t>ای بی</w:t>
      </w:r>
      <w:r w:rsidRPr="00B6450D">
        <w:rPr>
          <w:i/>
          <w:sz w:val="23"/>
          <w:szCs w:val="23"/>
          <w:rtl/>
        </w:rPr>
        <w:softHyphen/>
      </w:r>
      <w:r w:rsidRPr="00B6450D">
        <w:rPr>
          <w:rFonts w:hint="cs"/>
          <w:i/>
          <w:sz w:val="23"/>
          <w:szCs w:val="23"/>
          <w:rtl/>
        </w:rPr>
        <w:t>تفاوت هستند. بنابراین بطور تقریبی</w:t>
      </w:r>
    </w:p>
    <w:p w14:paraId="1D8DD1DB" w14:textId="77777777" w:rsidR="00556C10" w:rsidRPr="00B6450D" w:rsidRDefault="00556C10" w:rsidP="00556C10">
      <w:pPr>
        <w:bidi w:val="0"/>
        <w:spacing w:line="216" w:lineRule="auto"/>
        <w:rPr>
          <w:i/>
          <w:sz w:val="23"/>
          <w:szCs w:val="23"/>
          <w:rtl/>
        </w:rPr>
      </w:pPr>
      <w:r w:rsidRPr="00B6450D">
        <w:rPr>
          <w:position w:val="-12"/>
        </w:rPr>
        <w:object w:dxaOrig="1579" w:dyaOrig="340" w14:anchorId="51FFCB9A">
          <v:shape id="_x0000_i5397" type="#_x0000_t75" style="width:78.65pt;height:16.95pt" o:ole="">
            <v:imagedata r:id="rId8795" o:title=""/>
          </v:shape>
          <o:OLEObject Type="Embed" ProgID="Equation.DSMT4" ShapeID="_x0000_i5397" DrawAspect="Content" ObjectID="_1791379341" r:id="rId8796"/>
        </w:object>
      </w:r>
    </w:p>
    <w:p w14:paraId="64B89240" w14:textId="77777777" w:rsidR="00556C10" w:rsidRPr="00B6450D" w:rsidRDefault="00556C10" w:rsidP="00556C10">
      <w:pPr>
        <w:spacing w:line="216" w:lineRule="auto"/>
        <w:rPr>
          <w:i/>
          <w:sz w:val="23"/>
          <w:szCs w:val="23"/>
          <w:rtl/>
        </w:rPr>
      </w:pPr>
      <w:r w:rsidRPr="00B6450D">
        <w:rPr>
          <w:rFonts w:hint="cs"/>
          <w:i/>
          <w:sz w:val="23"/>
          <w:szCs w:val="23"/>
          <w:rtl/>
        </w:rPr>
        <w:t>و در آن</w:t>
      </w:r>
      <w:r w:rsidRPr="00B6450D">
        <w:rPr>
          <w:position w:val="-12"/>
        </w:rPr>
        <w:object w:dxaOrig="360" w:dyaOrig="340" w14:anchorId="5D32AB36">
          <v:shape id="_x0000_i5398" type="#_x0000_t75" style="width:18.15pt;height:16.95pt" o:ole="">
            <v:imagedata r:id="rId8797" o:title=""/>
          </v:shape>
          <o:OLEObject Type="Embed" ProgID="Equation.DSMT4" ShapeID="_x0000_i5398" DrawAspect="Content" ObjectID="_1791379342" r:id="rId8798"/>
        </w:object>
      </w:r>
      <w:r w:rsidRPr="00B6450D">
        <w:rPr>
          <w:rFonts w:hint="cs"/>
          <w:i/>
          <w:sz w:val="23"/>
          <w:szCs w:val="23"/>
          <w:rtl/>
        </w:rPr>
        <w:t xml:space="preserve"> پاداش ریسک اوراق قرضه‌ی</w:t>
      </w:r>
      <w:r w:rsidRPr="00B6450D">
        <w:rPr>
          <w:position w:val="-6"/>
        </w:rPr>
        <w:object w:dxaOrig="200" w:dyaOrig="200" w14:anchorId="7BDF0F67">
          <v:shape id="_x0000_i5399" type="#_x0000_t75" style="width:10.3pt;height:10.3pt" o:ole="">
            <v:imagedata r:id="rId8799" o:title=""/>
          </v:shape>
          <o:OLEObject Type="Embed" ProgID="Equation.DSMT4" ShapeID="_x0000_i5399" DrawAspect="Content" ObjectID="_1791379343" r:id="rId8800"/>
        </w:object>
      </w:r>
      <w:r w:rsidRPr="00B6450D">
        <w:rPr>
          <w:i/>
          <w:sz w:val="23"/>
          <w:szCs w:val="23"/>
        </w:rPr>
        <w:t xml:space="preserve"> </w:t>
      </w:r>
      <w:r w:rsidRPr="00B6450D">
        <w:rPr>
          <w:rFonts w:hint="cs"/>
          <w:i/>
          <w:sz w:val="23"/>
          <w:szCs w:val="23"/>
          <w:rtl/>
        </w:rPr>
        <w:t>دوره</w:t>
      </w:r>
      <w:r w:rsidRPr="00B6450D">
        <w:rPr>
          <w:i/>
          <w:sz w:val="23"/>
          <w:szCs w:val="23"/>
          <w:rtl/>
        </w:rPr>
        <w:softHyphen/>
      </w:r>
      <w:r w:rsidRPr="00B6450D">
        <w:rPr>
          <w:rFonts w:hint="cs"/>
          <w:i/>
          <w:sz w:val="23"/>
          <w:szCs w:val="23"/>
          <w:rtl/>
        </w:rPr>
        <w:t>ای در زمان</w:t>
      </w:r>
      <w:r w:rsidRPr="00B6450D">
        <w:rPr>
          <w:position w:val="-6"/>
        </w:rPr>
        <w:object w:dxaOrig="139" w:dyaOrig="240" w14:anchorId="375EEBFD">
          <v:shape id="_x0000_i5400" type="#_x0000_t75" style="width:6.65pt;height:11.5pt" o:ole="">
            <v:imagedata r:id="rId8801" o:title=""/>
          </v:shape>
          <o:OLEObject Type="Embed" ProgID="Equation.DSMT4" ShapeID="_x0000_i5400" DrawAspect="Content" ObjectID="_1791379344" r:id="rId8802"/>
        </w:object>
      </w:r>
      <w:r w:rsidRPr="00B6450D">
        <w:rPr>
          <w:i/>
          <w:sz w:val="23"/>
          <w:szCs w:val="23"/>
        </w:rPr>
        <w:t xml:space="preserve"> </w:t>
      </w:r>
      <w:r w:rsidRPr="00B6450D">
        <w:rPr>
          <w:rFonts w:hint="cs"/>
          <w:i/>
          <w:sz w:val="23"/>
          <w:szCs w:val="23"/>
          <w:rtl/>
        </w:rPr>
        <w:t>است. باید توجه داشت که</w:t>
      </w:r>
    </w:p>
    <w:p w14:paraId="17CF9D56" w14:textId="77777777" w:rsidR="00556C10" w:rsidRPr="00B6450D" w:rsidRDefault="00556C10" w:rsidP="00556C10">
      <w:pPr>
        <w:bidi w:val="0"/>
        <w:spacing w:line="216" w:lineRule="auto"/>
        <w:rPr>
          <w:i/>
          <w:sz w:val="23"/>
          <w:szCs w:val="23"/>
          <w:rtl/>
        </w:rPr>
      </w:pPr>
      <w:r w:rsidRPr="00B6450D">
        <w:rPr>
          <w:position w:val="-12"/>
        </w:rPr>
        <w:object w:dxaOrig="2020" w:dyaOrig="360" w14:anchorId="4F900F44">
          <v:shape id="_x0000_i5401" type="#_x0000_t75" style="width:101.05pt;height:18.15pt" o:ole="">
            <v:imagedata r:id="rId8803" o:title=""/>
          </v:shape>
          <o:OLEObject Type="Embed" ProgID="Equation.DSMT4" ShapeID="_x0000_i5401" DrawAspect="Content" ObjectID="_1791379345" r:id="rId8804"/>
        </w:object>
      </w:r>
    </w:p>
    <w:p w14:paraId="12D397EE" w14:textId="77777777" w:rsidR="00556C10" w:rsidRPr="00B6450D" w:rsidRDefault="00556C10" w:rsidP="00556C10">
      <w:pPr>
        <w:spacing w:line="216" w:lineRule="auto"/>
        <w:rPr>
          <w:i/>
          <w:sz w:val="23"/>
          <w:szCs w:val="23"/>
          <w:rtl/>
        </w:rPr>
      </w:pPr>
      <w:r w:rsidRPr="00B6450D">
        <w:rPr>
          <w:rFonts w:hint="cs"/>
          <w:i/>
          <w:sz w:val="23"/>
          <w:szCs w:val="23"/>
          <w:rtl/>
        </w:rPr>
        <w:t>شرط عدم</w:t>
      </w:r>
      <w:r w:rsidRPr="00B6450D">
        <w:rPr>
          <w:rFonts w:hint="cs"/>
          <w:i/>
          <w:sz w:val="23"/>
          <w:szCs w:val="23"/>
        </w:rPr>
        <w:t xml:space="preserve"> </w:t>
      </w:r>
      <w:r w:rsidRPr="00B6450D">
        <w:rPr>
          <w:rFonts w:hint="cs"/>
          <w:i/>
          <w:sz w:val="23"/>
          <w:szCs w:val="23"/>
          <w:rtl/>
        </w:rPr>
        <w:t>وجود آربیتراژ ممکن است به صورت زیر</w:t>
      </w:r>
    </w:p>
    <w:p w14:paraId="5A7834F7" w14:textId="77777777" w:rsidR="00556C10" w:rsidRPr="00B6450D" w:rsidRDefault="00556C10" w:rsidP="00556C10">
      <w:pPr>
        <w:bidi w:val="0"/>
        <w:spacing w:line="216" w:lineRule="auto"/>
        <w:rPr>
          <w:i/>
          <w:sz w:val="23"/>
          <w:szCs w:val="23"/>
          <w:rtl/>
        </w:rPr>
      </w:pPr>
      <w:r w:rsidRPr="00B6450D">
        <w:rPr>
          <w:position w:val="-12"/>
        </w:rPr>
        <w:object w:dxaOrig="3800" w:dyaOrig="340" w14:anchorId="64A6930B">
          <v:shape id="_x0000_i5402" type="#_x0000_t75" style="width:190pt;height:16.95pt" o:ole="">
            <v:imagedata r:id="rId8805" o:title=""/>
          </v:shape>
          <o:OLEObject Type="Embed" ProgID="Equation.DSMT4" ShapeID="_x0000_i5402" DrawAspect="Content" ObjectID="_1791379346" r:id="rId8806"/>
        </w:object>
      </w:r>
    </w:p>
    <w:p w14:paraId="5094C7B7" w14:textId="77777777" w:rsidR="00556C10" w:rsidRPr="00B6450D" w:rsidRDefault="00556C10" w:rsidP="00556C10">
      <w:pPr>
        <w:spacing w:line="216" w:lineRule="auto"/>
        <w:rPr>
          <w:i/>
          <w:sz w:val="23"/>
          <w:szCs w:val="23"/>
        </w:rPr>
      </w:pPr>
      <w:r w:rsidRPr="00B6450D">
        <w:rPr>
          <w:rFonts w:hint="cs"/>
          <w:i/>
          <w:sz w:val="23"/>
          <w:szCs w:val="23"/>
          <w:rtl/>
        </w:rPr>
        <w:t>و یا</w:t>
      </w:r>
    </w:p>
    <w:p w14:paraId="76BE851A" w14:textId="77777777" w:rsidR="00556C10" w:rsidRPr="00B6450D" w:rsidRDefault="00556C10" w:rsidP="00556C10">
      <w:pPr>
        <w:bidi w:val="0"/>
        <w:spacing w:line="216" w:lineRule="auto"/>
        <w:rPr>
          <w:i/>
          <w:sz w:val="23"/>
          <w:szCs w:val="23"/>
          <w:rtl/>
        </w:rPr>
      </w:pPr>
      <w:r w:rsidRPr="00B6450D">
        <w:rPr>
          <w:position w:val="-14"/>
        </w:rPr>
        <w:object w:dxaOrig="3700" w:dyaOrig="380" w14:anchorId="65640A0D">
          <v:shape id="_x0000_i5403" type="#_x0000_t75" style="width:184.55pt;height:19.35pt" o:ole="">
            <v:imagedata r:id="rId8807" o:title=""/>
          </v:shape>
          <o:OLEObject Type="Embed" ProgID="Equation.DSMT4" ShapeID="_x0000_i5403" DrawAspect="Content" ObjectID="_1791379347" r:id="rId8808"/>
        </w:object>
      </w:r>
      <w:r w:rsidRPr="00B6450D">
        <w:rPr>
          <w:rFonts w:hint="cs"/>
          <w:i/>
          <w:sz w:val="23"/>
          <w:szCs w:val="23"/>
        </w:rPr>
        <w:t xml:space="preserve"> </w:t>
      </w:r>
      <w:r w:rsidRPr="00B6450D">
        <w:rPr>
          <w:rFonts w:hint="cs"/>
          <w:i/>
          <w:sz w:val="23"/>
          <w:szCs w:val="23"/>
          <w:rtl/>
        </w:rPr>
        <w:tab/>
      </w:r>
      <w:r w:rsidRPr="00B6450D">
        <w:rPr>
          <w:rFonts w:hint="cs"/>
          <w:i/>
          <w:sz w:val="23"/>
          <w:szCs w:val="23"/>
          <w:rtl/>
        </w:rPr>
        <w:tab/>
      </w:r>
      <w:r w:rsidRPr="00B6450D">
        <w:rPr>
          <w:i/>
          <w:sz w:val="23"/>
          <w:szCs w:val="23"/>
        </w:rPr>
        <w:tab/>
      </w:r>
      <w:r>
        <w:rPr>
          <w:i/>
          <w:sz w:val="23"/>
          <w:szCs w:val="23"/>
          <w:rtl/>
        </w:rPr>
        <w:tab/>
      </w:r>
      <w:r w:rsidRPr="00B6450D">
        <w:rPr>
          <w:i/>
          <w:sz w:val="23"/>
          <w:szCs w:val="23"/>
        </w:rPr>
        <w:tab/>
      </w:r>
      <w:r w:rsidRPr="00B6450D">
        <w:rPr>
          <w:i/>
          <w:sz w:val="23"/>
          <w:szCs w:val="23"/>
        </w:rPr>
        <w:tab/>
        <w:t xml:space="preserve"> </w:t>
      </w:r>
      <w:r w:rsidRPr="00B6450D">
        <w:rPr>
          <w:i/>
          <w:sz w:val="23"/>
          <w:szCs w:val="23"/>
        </w:rPr>
        <w:tab/>
      </w:r>
      <w:r w:rsidRPr="00B6450D">
        <w:rPr>
          <w:i/>
          <w:sz w:val="23"/>
          <w:szCs w:val="23"/>
          <w:rtl/>
        </w:rPr>
        <w:tab/>
      </w:r>
      <w:r w:rsidRPr="00B6450D">
        <w:rPr>
          <w:rFonts w:hint="cs"/>
          <w:i/>
          <w:sz w:val="23"/>
          <w:szCs w:val="23"/>
          <w:rtl/>
        </w:rPr>
        <w:t>(۱۲. ۱۶)</w:t>
      </w:r>
    </w:p>
    <w:p w14:paraId="06053D8B" w14:textId="77777777" w:rsidR="00556C10" w:rsidRDefault="00556C10" w:rsidP="00556C10">
      <w:pPr>
        <w:spacing w:line="216" w:lineRule="auto"/>
        <w:rPr>
          <w:i/>
          <w:sz w:val="23"/>
          <w:szCs w:val="23"/>
          <w:rtl/>
        </w:rPr>
      </w:pPr>
      <w:r w:rsidRPr="00B6450D">
        <w:rPr>
          <w:rFonts w:hint="cs"/>
          <w:i/>
          <w:sz w:val="23"/>
          <w:szCs w:val="23"/>
          <w:rtl/>
        </w:rPr>
        <w:t>نوشته شود، که در آن</w:t>
      </w:r>
      <w:r w:rsidRPr="00B6450D">
        <w:rPr>
          <w:position w:val="-12"/>
        </w:rPr>
        <w:object w:dxaOrig="740" w:dyaOrig="340" w14:anchorId="49E274A1">
          <v:shape id="_x0000_i5404" type="#_x0000_t75" style="width:36.9pt;height:16.95pt" o:ole="">
            <v:imagedata r:id="rId8809" o:title=""/>
          </v:shape>
          <o:OLEObject Type="Embed" ProgID="Equation.DSMT4" ShapeID="_x0000_i5404" DrawAspect="Content" ObjectID="_1791379348" r:id="rId8810"/>
        </w:object>
      </w:r>
      <w:r w:rsidRPr="00B6450D">
        <w:rPr>
          <w:i/>
          <w:sz w:val="23"/>
          <w:szCs w:val="23"/>
        </w:rPr>
        <w:t xml:space="preserve"> </w:t>
      </w:r>
      <w:r w:rsidRPr="00B6450D">
        <w:rPr>
          <w:rFonts w:hint="cs"/>
          <w:i/>
          <w:sz w:val="23"/>
          <w:szCs w:val="23"/>
          <w:rtl/>
        </w:rPr>
        <w:t>را مابه</w:t>
      </w:r>
      <w:r w:rsidRPr="00B6450D">
        <w:rPr>
          <w:i/>
          <w:sz w:val="23"/>
          <w:szCs w:val="23"/>
          <w:rtl/>
        </w:rPr>
        <w:softHyphen/>
      </w:r>
      <w:r w:rsidRPr="00B6450D">
        <w:rPr>
          <w:rFonts w:hint="cs"/>
          <w:i/>
          <w:sz w:val="23"/>
          <w:szCs w:val="23"/>
          <w:rtl/>
        </w:rPr>
        <w:t>التفاوت زمانی</w:t>
      </w:r>
      <w:r w:rsidRPr="00B6450D">
        <w:rPr>
          <w:rStyle w:val="FootnoteReference"/>
          <w:i/>
          <w:sz w:val="23"/>
          <w:szCs w:val="23"/>
          <w:rtl/>
        </w:rPr>
        <w:footnoteReference w:id="281"/>
      </w:r>
      <w:r w:rsidRPr="00B6450D">
        <w:rPr>
          <w:rFonts w:hint="cs"/>
          <w:i/>
          <w:sz w:val="23"/>
          <w:szCs w:val="23"/>
          <w:rtl/>
        </w:rPr>
        <w:t xml:space="preserve"> نامند.</w:t>
      </w:r>
    </w:p>
    <w:p w14:paraId="1216C428" w14:textId="77777777" w:rsidR="00556C10" w:rsidRDefault="00556C10" w:rsidP="00556C10">
      <w:pPr>
        <w:spacing w:line="216" w:lineRule="auto"/>
        <w:rPr>
          <w:i/>
          <w:sz w:val="23"/>
          <w:szCs w:val="23"/>
          <w:rtl/>
        </w:rPr>
      </w:pPr>
      <w:r w:rsidRPr="00B6450D">
        <w:rPr>
          <w:rFonts w:hint="cs"/>
          <w:i/>
          <w:sz w:val="23"/>
          <w:szCs w:val="23"/>
          <w:rtl/>
        </w:rPr>
        <w:t xml:space="preserve">اگر پاداش ریسک (در اینجا عبارت پاداش) حذف شود معادله‏ی (۱۲. ۱۶) همان فرضیه‌ی انتظارات عقلائی ساختار زمانی نرخ بهره یا </w:t>
      </w:r>
      <w:r w:rsidRPr="00B6450D">
        <w:rPr>
          <w:i/>
          <w:sz w:val="23"/>
          <w:szCs w:val="23"/>
        </w:rPr>
        <w:t>REHTS</w:t>
      </w:r>
      <w:r w:rsidRPr="00B6450D">
        <w:rPr>
          <w:rFonts w:hint="cs"/>
          <w:i/>
          <w:sz w:val="23"/>
          <w:szCs w:val="23"/>
          <w:rtl/>
        </w:rPr>
        <w:t xml:space="preserve"> است</w:t>
      </w:r>
      <w:r w:rsidRPr="00B6450D">
        <w:rPr>
          <w:i/>
          <w:sz w:val="23"/>
          <w:szCs w:val="23"/>
        </w:rPr>
        <w:t>.</w:t>
      </w:r>
      <w:r w:rsidRPr="00B6450D">
        <w:rPr>
          <w:rStyle w:val="FootnoteReference"/>
          <w:rFonts w:eastAsiaTheme="majorEastAsia"/>
          <w:i/>
          <w:sz w:val="23"/>
          <w:szCs w:val="23"/>
          <w:rtl/>
        </w:rPr>
        <w:footnoteReference w:id="282"/>
      </w:r>
      <w:r w:rsidRPr="00B6450D">
        <w:rPr>
          <w:rFonts w:hint="cs"/>
          <w:i/>
          <w:sz w:val="23"/>
          <w:szCs w:val="23"/>
        </w:rPr>
        <w:t xml:space="preserve"> </w:t>
      </w:r>
      <w:r w:rsidRPr="00B6450D">
        <w:rPr>
          <w:rFonts w:hint="cs"/>
          <w:i/>
          <w:sz w:val="23"/>
          <w:szCs w:val="23"/>
          <w:rtl/>
        </w:rPr>
        <w:t xml:space="preserve">هر چند شواهد تجربی بسیار گسترده‏ای در </w:t>
      </w:r>
    </w:p>
    <w:p w14:paraId="0E6FF106" w14:textId="77777777" w:rsidR="00556C10" w:rsidRPr="00B6450D" w:rsidRDefault="00556C10" w:rsidP="00556C10">
      <w:pPr>
        <w:spacing w:line="216" w:lineRule="auto"/>
        <w:rPr>
          <w:i/>
          <w:sz w:val="23"/>
          <w:szCs w:val="23"/>
          <w:rtl/>
        </w:rPr>
      </w:pPr>
      <w:r w:rsidRPr="00B6450D">
        <w:rPr>
          <w:rFonts w:hint="cs"/>
          <w:i/>
          <w:sz w:val="23"/>
          <w:szCs w:val="23"/>
          <w:rtl/>
        </w:rPr>
        <w:t xml:space="preserve">خصوص رد فرضیه‌ی </w:t>
      </w:r>
      <w:r w:rsidRPr="00B6450D">
        <w:rPr>
          <w:i/>
          <w:sz w:val="23"/>
          <w:szCs w:val="23"/>
        </w:rPr>
        <w:t>REHTS</w:t>
      </w:r>
      <w:r w:rsidRPr="00B6450D">
        <w:rPr>
          <w:rFonts w:hint="cs"/>
          <w:i/>
          <w:sz w:val="23"/>
          <w:szCs w:val="23"/>
          <w:rtl/>
        </w:rPr>
        <w:t xml:space="preserve"> وجود دارد و اشاره بر آن دارد که نباید پاداش ریسک حذف شود.</w:t>
      </w:r>
    </w:p>
    <w:p w14:paraId="777E3962" w14:textId="77777777" w:rsidR="00556C10" w:rsidRPr="00B6450D" w:rsidRDefault="00556C10" w:rsidP="00556C10">
      <w:pPr>
        <w:spacing w:line="216" w:lineRule="auto"/>
        <w:rPr>
          <w:i/>
          <w:sz w:val="23"/>
          <w:szCs w:val="23"/>
          <w:rtl/>
        </w:rPr>
      </w:pPr>
    </w:p>
    <w:p w14:paraId="406C6C5F" w14:textId="77777777" w:rsidR="00556C10" w:rsidRPr="00B6450D" w:rsidRDefault="00556C10" w:rsidP="00556C10">
      <w:pPr>
        <w:spacing w:line="216" w:lineRule="auto"/>
        <w:rPr>
          <w:i/>
          <w:sz w:val="23"/>
          <w:szCs w:val="23"/>
        </w:rPr>
      </w:pPr>
      <w:r w:rsidRPr="00B6450D">
        <w:rPr>
          <w:rFonts w:hint="cs"/>
          <w:bCs/>
          <w:i/>
          <w:sz w:val="23"/>
          <w:szCs w:val="23"/>
          <w:rtl/>
        </w:rPr>
        <w:t>منحنی بازده</w:t>
      </w:r>
      <w:r w:rsidRPr="00B6450D">
        <w:rPr>
          <w:rStyle w:val="FootnoteReference"/>
          <w:rFonts w:eastAsiaTheme="majorEastAsia"/>
          <w:i/>
          <w:sz w:val="23"/>
          <w:szCs w:val="23"/>
          <w:rtl/>
        </w:rPr>
        <w:footnoteReference w:id="283"/>
      </w:r>
    </w:p>
    <w:p w14:paraId="1A865773" w14:textId="77777777" w:rsidR="00556C10" w:rsidRPr="00B6450D" w:rsidRDefault="00556C10" w:rsidP="00556C10">
      <w:pPr>
        <w:spacing w:line="216" w:lineRule="auto"/>
        <w:rPr>
          <w:i/>
          <w:sz w:val="23"/>
          <w:szCs w:val="23"/>
          <w:rtl/>
        </w:rPr>
      </w:pPr>
      <w:r w:rsidRPr="00B6450D">
        <w:rPr>
          <w:rFonts w:hint="cs"/>
          <w:i/>
          <w:sz w:val="23"/>
          <w:szCs w:val="23"/>
          <w:rtl/>
        </w:rPr>
        <w:t>شرط عدم آربیتراژ یا معادله‌ی (۱۲. ۱۶) یک معادله‏ی تفاضلی است و با جایگذاری تکراری می‌توان آن را به صورت زیر بازنویسی کرد</w:t>
      </w:r>
    </w:p>
    <w:p w14:paraId="2ED58F93" w14:textId="77777777" w:rsidR="00556C10" w:rsidRPr="00B6450D" w:rsidRDefault="00556C10" w:rsidP="00556C10">
      <w:pPr>
        <w:bidi w:val="0"/>
        <w:spacing w:line="216" w:lineRule="auto"/>
        <w:rPr>
          <w:i/>
          <w:sz w:val="23"/>
          <w:szCs w:val="23"/>
          <w:rtl/>
        </w:rPr>
      </w:pPr>
      <w:r w:rsidRPr="00B6450D">
        <w:rPr>
          <w:position w:val="-26"/>
        </w:rPr>
        <w:object w:dxaOrig="5200" w:dyaOrig="620" w14:anchorId="0FA13183">
          <v:shape id="_x0000_i5405" type="#_x0000_t75" style="width:260.15pt;height:31.45pt" o:ole="">
            <v:imagedata r:id="rId8811" o:title=""/>
          </v:shape>
          <o:OLEObject Type="Embed" ProgID="Equation.DSMT4" ShapeID="_x0000_i5405" DrawAspect="Content" ObjectID="_1791379349" r:id="rId8812"/>
        </w:object>
      </w:r>
      <w:r>
        <w:rPr>
          <w:rtl/>
        </w:rPr>
        <w:tab/>
      </w:r>
      <w:r>
        <w:rPr>
          <w:rtl/>
        </w:rPr>
        <w:tab/>
      </w:r>
      <w:r w:rsidRPr="00B6450D">
        <w:rPr>
          <w:rFonts w:hint="cs"/>
          <w:i/>
          <w:sz w:val="23"/>
          <w:szCs w:val="23"/>
        </w:rPr>
        <w:t xml:space="preserve"> </w:t>
      </w:r>
      <w:r w:rsidRPr="00B6450D">
        <w:rPr>
          <w:i/>
          <w:sz w:val="23"/>
          <w:szCs w:val="23"/>
          <w:rtl/>
        </w:rPr>
        <w:tab/>
      </w:r>
      <w:r w:rsidRPr="00B6450D">
        <w:rPr>
          <w:rFonts w:hint="cs"/>
          <w:i/>
          <w:sz w:val="23"/>
          <w:szCs w:val="23"/>
          <w:rtl/>
        </w:rPr>
        <w:t>(۱۲. ۱۷)</w:t>
      </w:r>
    </w:p>
    <w:p w14:paraId="51F1C81A" w14:textId="77777777" w:rsidR="00556C10" w:rsidRPr="00B6450D" w:rsidRDefault="00556C10" w:rsidP="00556C10">
      <w:pPr>
        <w:spacing w:line="216" w:lineRule="auto"/>
        <w:rPr>
          <w:i/>
          <w:sz w:val="23"/>
          <w:szCs w:val="23"/>
          <w:rtl/>
        </w:rPr>
      </w:pPr>
      <w:r w:rsidRPr="00B6450D">
        <w:rPr>
          <w:rFonts w:hint="cs"/>
          <w:i/>
          <w:sz w:val="23"/>
          <w:szCs w:val="23"/>
          <w:rtl/>
        </w:rPr>
        <w:t>در نتیجه، عایدی اسمی در سررسید عبارت است از متوسط نرخ‏های کوتاه‏مدت آتی انتظاری بعلاوه متوسط پاداش ریسک اوراق قرضه در مابقی دوره‏ی طول عمر آن.</w:t>
      </w:r>
    </w:p>
    <w:p w14:paraId="43967525" w14:textId="77777777" w:rsidR="00556C10" w:rsidRPr="00B6450D" w:rsidRDefault="00556C10" w:rsidP="00556C10">
      <w:pPr>
        <w:spacing w:line="216" w:lineRule="auto"/>
        <w:rPr>
          <w:i/>
          <w:sz w:val="23"/>
          <w:szCs w:val="23"/>
          <w:rtl/>
        </w:rPr>
      </w:pPr>
      <w:r w:rsidRPr="00B6450D">
        <w:rPr>
          <w:rFonts w:hint="cs"/>
          <w:i/>
          <w:sz w:val="23"/>
          <w:szCs w:val="23"/>
          <w:rtl/>
        </w:rPr>
        <w:t>معادله‏ی فیشر نرخ بهره‏ی حقیقی یک دوره‏ای</w:t>
      </w:r>
      <w:r w:rsidRPr="00B6450D">
        <w:rPr>
          <w:position w:val="-10"/>
        </w:rPr>
        <w:object w:dxaOrig="180" w:dyaOrig="320" w14:anchorId="35F52D15">
          <v:shape id="_x0000_i5406" type="#_x0000_t75" style="width:9.1pt;height:15.75pt" o:ole="">
            <v:imagedata r:id="rId8813" o:title=""/>
          </v:shape>
          <o:OLEObject Type="Embed" ProgID="Equation.DSMT4" ShapeID="_x0000_i5406" DrawAspect="Content" ObjectID="_1791379350" r:id="rId8814"/>
        </w:object>
      </w:r>
      <w:r w:rsidRPr="00B6450D">
        <w:rPr>
          <w:rFonts w:hint="cs"/>
          <w:i/>
          <w:sz w:val="23"/>
          <w:szCs w:val="23"/>
          <w:rtl/>
        </w:rPr>
        <w:t xml:space="preserve"> را به صورت زیر تعریف می‏کند</w:t>
      </w:r>
    </w:p>
    <w:p w14:paraId="7E18F543" w14:textId="77777777" w:rsidR="00556C10" w:rsidRPr="00B6450D" w:rsidRDefault="00556C10" w:rsidP="00556C10">
      <w:pPr>
        <w:bidi w:val="0"/>
        <w:spacing w:line="216" w:lineRule="auto"/>
        <w:rPr>
          <w:i/>
          <w:sz w:val="23"/>
          <w:szCs w:val="23"/>
        </w:rPr>
      </w:pPr>
      <w:r w:rsidRPr="00B6450D">
        <w:rPr>
          <w:position w:val="-10"/>
        </w:rPr>
        <w:object w:dxaOrig="1300" w:dyaOrig="320" w14:anchorId="19CF44D7">
          <v:shape id="_x0000_i5407" type="#_x0000_t75" style="width:65.35pt;height:15.75pt" o:ole="">
            <v:imagedata r:id="rId8815" o:title=""/>
          </v:shape>
          <o:OLEObject Type="Embed" ProgID="Equation.DSMT4" ShapeID="_x0000_i5407" DrawAspect="Content" ObjectID="_1791379351" r:id="rId8816"/>
        </w:object>
      </w:r>
    </w:p>
    <w:p w14:paraId="1E860FF7" w14:textId="77777777" w:rsidR="00556C10" w:rsidRPr="00B6450D" w:rsidRDefault="00556C10" w:rsidP="00556C10">
      <w:pPr>
        <w:spacing w:line="216" w:lineRule="auto"/>
        <w:rPr>
          <w:i/>
          <w:sz w:val="23"/>
          <w:szCs w:val="23"/>
        </w:rPr>
      </w:pPr>
      <w:r w:rsidRPr="00B6450D">
        <w:rPr>
          <w:rFonts w:hint="cs"/>
          <w:i/>
          <w:sz w:val="23"/>
          <w:szCs w:val="23"/>
          <w:rtl/>
        </w:rPr>
        <w:t>که در آن</w:t>
      </w:r>
      <w:r w:rsidRPr="00B6450D">
        <w:rPr>
          <w:position w:val="-10"/>
        </w:rPr>
        <w:object w:dxaOrig="240" w:dyaOrig="320" w14:anchorId="3F90A726">
          <v:shape id="_x0000_i5408" type="#_x0000_t75" style="width:11.5pt;height:15.75pt" o:ole="">
            <v:imagedata r:id="rId8817" o:title=""/>
          </v:shape>
          <o:OLEObject Type="Embed" ProgID="Equation.DSMT4" ShapeID="_x0000_i5408" DrawAspect="Content" ObjectID="_1791379352" r:id="rId8818"/>
        </w:object>
      </w:r>
      <w:r w:rsidRPr="00B6450D">
        <w:rPr>
          <w:rFonts w:hint="cs"/>
          <w:i/>
          <w:sz w:val="23"/>
          <w:szCs w:val="23"/>
          <w:rtl/>
        </w:rPr>
        <w:t xml:space="preserve"> تورم است. بنابراین</w:t>
      </w:r>
    </w:p>
    <w:p w14:paraId="181F3DB1" w14:textId="77777777" w:rsidR="00556C10" w:rsidRPr="00B6450D" w:rsidRDefault="00556C10" w:rsidP="00556C10">
      <w:pPr>
        <w:bidi w:val="0"/>
        <w:spacing w:line="216" w:lineRule="auto"/>
        <w:rPr>
          <w:i/>
          <w:sz w:val="23"/>
          <w:szCs w:val="23"/>
        </w:rPr>
      </w:pPr>
      <w:r w:rsidRPr="00B6450D">
        <w:rPr>
          <w:position w:val="-26"/>
        </w:rPr>
        <w:object w:dxaOrig="3120" w:dyaOrig="620" w14:anchorId="2B693BBE">
          <v:shape id="_x0000_i5409" type="#_x0000_t75" style="width:156.1pt;height:31.45pt" o:ole="">
            <v:imagedata r:id="rId8819" o:title=""/>
          </v:shape>
          <o:OLEObject Type="Embed" ProgID="Equation.DSMT4" ShapeID="_x0000_i5409" DrawAspect="Content" ObjectID="_1791379353" r:id="rId8820"/>
        </w:object>
      </w:r>
      <w:r w:rsidRPr="00B6450D">
        <w:rPr>
          <w:rFonts w:hint="cs"/>
          <w:i/>
          <w:sz w:val="23"/>
          <w:szCs w:val="23"/>
          <w:rtl/>
        </w:rPr>
        <w:tab/>
      </w:r>
      <w:r w:rsidRPr="00B6450D">
        <w:rPr>
          <w:rFonts w:hint="cs"/>
          <w:i/>
          <w:sz w:val="23"/>
          <w:szCs w:val="23"/>
          <w:rtl/>
        </w:rPr>
        <w:tab/>
      </w:r>
      <w:r w:rsidRPr="00B6450D">
        <w:rPr>
          <w:rFonts w:hint="cs"/>
          <w:i/>
          <w:sz w:val="23"/>
          <w:szCs w:val="23"/>
          <w:rtl/>
        </w:rPr>
        <w:tab/>
      </w:r>
      <w:r w:rsidRPr="00B6450D">
        <w:rPr>
          <w:rFonts w:hint="cs"/>
          <w:i/>
          <w:sz w:val="23"/>
          <w:szCs w:val="23"/>
          <w:rtl/>
        </w:rPr>
        <w:tab/>
      </w:r>
      <w:r w:rsidRPr="00B6450D">
        <w:rPr>
          <w:i/>
          <w:sz w:val="23"/>
          <w:szCs w:val="23"/>
        </w:rPr>
        <w:t xml:space="preserve"> </w:t>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Pr>
          <w:i/>
          <w:sz w:val="23"/>
          <w:szCs w:val="23"/>
          <w:rtl/>
        </w:rPr>
        <w:tab/>
      </w:r>
      <w:r w:rsidRPr="00B6450D">
        <w:rPr>
          <w:i/>
          <w:sz w:val="23"/>
          <w:szCs w:val="23"/>
        </w:rPr>
        <w:tab/>
      </w:r>
      <w:r w:rsidRPr="00B6450D">
        <w:rPr>
          <w:rFonts w:hint="cs"/>
          <w:i/>
          <w:sz w:val="23"/>
          <w:szCs w:val="23"/>
          <w:rtl/>
        </w:rPr>
        <w:t>(۱۲. ۱۸)</w:t>
      </w:r>
    </w:p>
    <w:p w14:paraId="018E634E" w14:textId="77777777" w:rsidR="00556C10" w:rsidRPr="00B6450D" w:rsidRDefault="00556C10" w:rsidP="00556C10">
      <w:pPr>
        <w:spacing w:line="216" w:lineRule="auto"/>
        <w:rPr>
          <w:i/>
          <w:sz w:val="23"/>
          <w:szCs w:val="23"/>
          <w:rtl/>
        </w:rPr>
      </w:pPr>
      <w:r w:rsidRPr="00B6450D">
        <w:rPr>
          <w:rFonts w:hint="cs"/>
          <w:i/>
          <w:sz w:val="23"/>
          <w:szCs w:val="23"/>
          <w:rtl/>
        </w:rPr>
        <w:t>لذا، سه متغیر نرخ بهره‏ی حقیقی، تورم و پاداش ریسک شکل منحنی بازده را تعیین خواهند کرد. اگر نرخ بهره‏ی حقیقی و تورم ثابت باشند، آنگاه شکل منحنی بازده فقط متأثر از پاداش ریسک می‏باشد. با افزایش زمان سررسید، مؤلفه</w:t>
      </w:r>
      <w:r w:rsidRPr="00B6450D">
        <w:rPr>
          <w:i/>
          <w:sz w:val="23"/>
          <w:szCs w:val="23"/>
          <w:rtl/>
        </w:rPr>
        <w:softHyphen/>
      </w:r>
      <w:r w:rsidRPr="00B6450D">
        <w:rPr>
          <w:rFonts w:hint="cs"/>
          <w:i/>
          <w:sz w:val="23"/>
          <w:szCs w:val="23"/>
          <w:rtl/>
        </w:rPr>
        <w:t>ها و اجزای ریسک بیشتر خواهد شد. بنابراین شیب منحنی بازده صعودی است، و با انتظار افزایش تورم در آینده، شیب منحنی بازدهی تندتر خواهد شد. لذا چنانچه انتظار رود تورم کاهش یابد، آنگاه منحنی بازده هموار و مسطح‏تر شده و حتی ممکن است شیب آن منفی شود. در این حالت گفته می‏شود منحنی بازده وارونه شده است. تصویر کوهان‏دار از منحنی بازده معمولاً به دلیل انتظارات موقتی افزایش در تورم آتی بوجود می</w:t>
      </w:r>
      <w:r w:rsidRPr="00B6450D">
        <w:rPr>
          <w:i/>
          <w:sz w:val="23"/>
          <w:szCs w:val="23"/>
          <w:rtl/>
        </w:rPr>
        <w:softHyphen/>
      </w:r>
      <w:r w:rsidRPr="00B6450D">
        <w:rPr>
          <w:rFonts w:hint="cs"/>
          <w:i/>
          <w:sz w:val="23"/>
          <w:szCs w:val="23"/>
          <w:rtl/>
        </w:rPr>
        <w:t>آید.</w:t>
      </w:r>
    </w:p>
    <w:p w14:paraId="4E845D0F" w14:textId="77777777" w:rsidR="00556C10" w:rsidRPr="00B6450D" w:rsidRDefault="00556C10" w:rsidP="00556C10">
      <w:pPr>
        <w:spacing w:line="216" w:lineRule="auto"/>
        <w:rPr>
          <w:i/>
          <w:sz w:val="23"/>
          <w:szCs w:val="23"/>
        </w:rPr>
      </w:pPr>
      <w:r w:rsidRPr="00B6450D">
        <w:rPr>
          <w:rFonts w:hint="cs"/>
          <w:i/>
          <w:sz w:val="23"/>
          <w:szCs w:val="23"/>
          <w:rtl/>
        </w:rPr>
        <w:t>نمودارهای ۱۲. ۱ و ۱۲. ۲ منحنی‏های بازده ایالات متحده و انگلستان را در شروع سال ۲۰۰۶ نشان می‏دهند. این دو نمودار اشکال کاملاً متفاوتی دارند. منحنی بازده ایالات متحده اشاره بر این دارد که تورم انتظاری در کوتاه‏مدت افزایش می‏یابد و پس از پنج سال کاهش خواهد یافت. منحنی بازده انگلستان وارونه است و مبین انتظارات کاهشی تورم در طی زمان می‏باشد.</w:t>
      </w:r>
    </w:p>
    <w:p w14:paraId="46F2EB5B" w14:textId="77777777" w:rsidR="00556C10" w:rsidRDefault="00556C10" w:rsidP="00556C10">
      <w:pPr>
        <w:spacing w:line="216" w:lineRule="auto"/>
        <w:rPr>
          <w:i/>
          <w:sz w:val="23"/>
          <w:szCs w:val="23"/>
          <w:rtl/>
        </w:rPr>
      </w:pPr>
      <w:r w:rsidRPr="00B6450D">
        <w:rPr>
          <w:rFonts w:hint="cs"/>
          <w:i/>
          <w:sz w:val="23"/>
          <w:szCs w:val="23"/>
          <w:rtl/>
        </w:rPr>
        <w:lastRenderedPageBreak/>
        <w:t>در جدول ۱۲. ۱ ایده‌ی دیگری در خصوص شکل منحنی بازده با توجه به دامنه و شدت پاداش ریسک که از اوراق قرضه‏ی دولتی و شرکتی بوجود می‏آید سه مابه</w:t>
      </w:r>
      <w:r w:rsidRPr="00B6450D">
        <w:rPr>
          <w:i/>
          <w:sz w:val="23"/>
          <w:szCs w:val="23"/>
          <w:rtl/>
        </w:rPr>
        <w:softHyphen/>
      </w:r>
      <w:r w:rsidRPr="00B6450D">
        <w:rPr>
          <w:rFonts w:hint="cs"/>
          <w:i/>
          <w:sz w:val="23"/>
          <w:szCs w:val="23"/>
          <w:rtl/>
        </w:rPr>
        <w:t>التفاوت</w:t>
      </w:r>
      <w:r w:rsidRPr="00B6450D">
        <w:rPr>
          <w:i/>
          <w:sz w:val="23"/>
          <w:szCs w:val="23"/>
          <w:rtl/>
        </w:rPr>
        <w:softHyphen/>
      </w:r>
      <w:r w:rsidRPr="00B6450D">
        <w:rPr>
          <w:rFonts w:hint="cs"/>
          <w:i/>
          <w:sz w:val="23"/>
          <w:szCs w:val="23"/>
          <w:rtl/>
        </w:rPr>
        <w:t>های زمان</w:t>
      </w:r>
      <w:r w:rsidRPr="00B6450D">
        <w:rPr>
          <w:i/>
          <w:sz w:val="23"/>
          <w:szCs w:val="23"/>
          <w:rtl/>
        </w:rPr>
        <w:softHyphen/>
      </w:r>
      <w:r w:rsidRPr="00B6450D">
        <w:rPr>
          <w:rFonts w:hint="cs"/>
          <w:i/>
          <w:sz w:val="23"/>
          <w:szCs w:val="23"/>
          <w:rtl/>
        </w:rPr>
        <w:t>بندی برای بیستم نوامبر ۲۰۰۲ و سوم اکتبر ۲۰۱۱ گزارش شده است. این‏ها براساس اوراق قرضه‏های دولتی و اوراق قرضه‏ی شرکت</w:t>
      </w:r>
      <w:r w:rsidRPr="00B6450D">
        <w:rPr>
          <w:i/>
          <w:sz w:val="23"/>
          <w:szCs w:val="23"/>
          <w:rtl/>
        </w:rPr>
        <w:softHyphen/>
      </w:r>
      <w:r w:rsidRPr="00B6450D">
        <w:rPr>
          <w:rFonts w:hint="cs"/>
          <w:i/>
          <w:sz w:val="23"/>
          <w:szCs w:val="23"/>
          <w:rtl/>
        </w:rPr>
        <w:t>های نماینده</w:t>
      </w:r>
      <w:r w:rsidRPr="00B6450D">
        <w:rPr>
          <w:i/>
          <w:sz w:val="23"/>
          <w:szCs w:val="23"/>
          <w:rtl/>
        </w:rPr>
        <w:softHyphen/>
      </w:r>
      <w:r w:rsidRPr="00B6450D">
        <w:rPr>
          <w:rFonts w:hint="cs"/>
          <w:i/>
          <w:sz w:val="23"/>
          <w:szCs w:val="23"/>
          <w:rtl/>
        </w:rPr>
        <w:t xml:space="preserve"> در کشورهای ایالات متحده و انگلستان برای دوره‏های ده ساله، دو ساله و سه ماهه می‏باشند. دو زمان</w:t>
      </w:r>
      <w:r w:rsidRPr="00B6450D">
        <w:rPr>
          <w:i/>
          <w:sz w:val="23"/>
          <w:szCs w:val="23"/>
          <w:rtl/>
        </w:rPr>
        <w:softHyphen/>
      </w:r>
      <w:r w:rsidRPr="00B6450D">
        <w:rPr>
          <w:rFonts w:hint="cs"/>
          <w:i/>
          <w:sz w:val="23"/>
          <w:szCs w:val="23"/>
          <w:rtl/>
        </w:rPr>
        <w:t>بندی منحنی بازده را می‏توان از این داده‏ها به دست آورد. یکی زمان</w:t>
      </w:r>
      <w:r w:rsidRPr="00B6450D">
        <w:rPr>
          <w:i/>
          <w:sz w:val="23"/>
          <w:szCs w:val="23"/>
          <w:rtl/>
        </w:rPr>
        <w:softHyphen/>
      </w:r>
      <w:r w:rsidRPr="00B6450D">
        <w:rPr>
          <w:rFonts w:hint="cs"/>
          <w:i/>
          <w:sz w:val="23"/>
          <w:szCs w:val="23"/>
          <w:rtl/>
        </w:rPr>
        <w:t>بندی‏ دو ساله در طی نرخ سه ماهه و دیگری زمان</w:t>
      </w:r>
      <w:r w:rsidRPr="00B6450D">
        <w:rPr>
          <w:i/>
          <w:sz w:val="23"/>
          <w:szCs w:val="23"/>
          <w:rtl/>
        </w:rPr>
        <w:softHyphen/>
      </w:r>
      <w:r w:rsidRPr="00B6450D">
        <w:rPr>
          <w:rFonts w:hint="cs"/>
          <w:i/>
          <w:sz w:val="23"/>
          <w:szCs w:val="23"/>
          <w:rtl/>
        </w:rPr>
        <w:t>بندی ده ساله در طی نرخ سه ماهه که معیار اندازه‏گیری ریسک قیمت برای سررسیدهای متفاوت است. باید توجه داشت که در هر حالت با زمان سررسید افزایش خواهند یافت. یک معیار اندازه‌گیری قصور ریسک به وسیله زمان</w:t>
      </w:r>
      <w:r w:rsidRPr="00B6450D">
        <w:rPr>
          <w:i/>
          <w:sz w:val="23"/>
          <w:szCs w:val="23"/>
          <w:rtl/>
        </w:rPr>
        <w:softHyphen/>
      </w:r>
      <w:r w:rsidRPr="00B6450D">
        <w:rPr>
          <w:rFonts w:hint="cs"/>
          <w:i/>
          <w:sz w:val="23"/>
          <w:szCs w:val="23"/>
          <w:rtl/>
        </w:rPr>
        <w:t xml:space="preserve">بندی اوراق قرضه‏ شرکتی بر اوراق قرضه‏ دولتی بلندمدت ده ساله به دست می‏آید. </w:t>
      </w:r>
    </w:p>
    <w:p w14:paraId="703BDE5E" w14:textId="77777777" w:rsidR="00556C10" w:rsidRPr="00B6450D" w:rsidRDefault="00556C10" w:rsidP="00556C10">
      <w:pPr>
        <w:spacing w:line="216" w:lineRule="auto"/>
        <w:rPr>
          <w:i/>
          <w:sz w:val="23"/>
          <w:szCs w:val="23"/>
        </w:rPr>
      </w:pPr>
      <w:r w:rsidRPr="00B6450D">
        <w:rPr>
          <w:rFonts w:hint="cs"/>
          <w:i/>
          <w:sz w:val="23"/>
          <w:szCs w:val="23"/>
          <w:rtl/>
        </w:rPr>
        <w:t>داده‏ها نشان می‏دهند که در سال ۲۰۰۲ فضای سرمایه‌گذاری اوراق قرضه‌های دولتی و شرکتی در ایالت متحده ریسکی</w:t>
      </w:r>
      <w:r w:rsidRPr="00B6450D">
        <w:rPr>
          <w:i/>
          <w:sz w:val="23"/>
          <w:szCs w:val="23"/>
          <w:rtl/>
        </w:rPr>
        <w:softHyphen/>
      </w:r>
      <w:r w:rsidRPr="00B6450D">
        <w:rPr>
          <w:rFonts w:hint="cs"/>
          <w:i/>
          <w:sz w:val="23"/>
          <w:szCs w:val="23"/>
          <w:rtl/>
        </w:rPr>
        <w:t>تر، ولی در سال ۲۰۱۱ هر دو کشور مابه</w:t>
      </w:r>
      <w:r w:rsidRPr="00B6450D">
        <w:rPr>
          <w:i/>
          <w:sz w:val="23"/>
          <w:szCs w:val="23"/>
          <w:rtl/>
        </w:rPr>
        <w:softHyphen/>
      </w:r>
      <w:r w:rsidRPr="00B6450D">
        <w:rPr>
          <w:rFonts w:hint="cs"/>
          <w:i/>
          <w:sz w:val="23"/>
          <w:szCs w:val="23"/>
          <w:rtl/>
        </w:rPr>
        <w:t>التفاوت دولتی یکسان داشته و کشور انگلستان مابه</w:t>
      </w:r>
      <w:r w:rsidRPr="00B6450D">
        <w:rPr>
          <w:i/>
          <w:sz w:val="23"/>
          <w:szCs w:val="23"/>
          <w:rtl/>
        </w:rPr>
        <w:softHyphen/>
      </w:r>
      <w:r w:rsidRPr="00B6450D">
        <w:rPr>
          <w:rFonts w:hint="cs"/>
          <w:i/>
          <w:sz w:val="23"/>
          <w:szCs w:val="23"/>
          <w:rtl/>
        </w:rPr>
        <w:t>التفاوت شرکتی بزرگ</w:t>
      </w:r>
      <w:r w:rsidRPr="00B6450D">
        <w:rPr>
          <w:i/>
          <w:sz w:val="23"/>
          <w:szCs w:val="23"/>
          <w:rtl/>
        </w:rPr>
        <w:softHyphen/>
      </w:r>
      <w:r w:rsidRPr="00B6450D">
        <w:rPr>
          <w:rFonts w:hint="cs"/>
          <w:i/>
          <w:sz w:val="23"/>
          <w:szCs w:val="23"/>
          <w:rtl/>
        </w:rPr>
        <w:t>تری دارد. داده‌ها همچنین نشان می‌دهند که منحنی بازده در سال ۲۰۱۱ دارای شیبی مثبت و هموارتر نسبت به سال ۲۰۰۲ می‌باشد.</w:t>
      </w:r>
    </w:p>
    <w:p w14:paraId="43CEB3F5" w14:textId="77777777" w:rsidR="00556C10" w:rsidRPr="00B6450D" w:rsidRDefault="00556C10" w:rsidP="00556C10">
      <w:pPr>
        <w:spacing w:line="216" w:lineRule="auto"/>
        <w:rPr>
          <w:i/>
          <w:sz w:val="23"/>
          <w:szCs w:val="23"/>
          <w:rtl/>
        </w:rPr>
      </w:pPr>
    </w:p>
    <w:p w14:paraId="6BDAA8ED" w14:textId="77777777" w:rsidR="00556C10" w:rsidRPr="00B6450D" w:rsidRDefault="00556C10" w:rsidP="00556C10">
      <w:pPr>
        <w:pStyle w:val="Heading1"/>
        <w:spacing w:before="0" w:line="216" w:lineRule="auto"/>
        <w:rPr>
          <w:rFonts w:ascii="Times New Roman" w:hAnsi="Times New Roman" w:cs="B Nazanin"/>
          <w:b w:val="0"/>
          <w:i/>
          <w:sz w:val="23"/>
          <w:szCs w:val="23"/>
        </w:rPr>
      </w:pPr>
      <w:r w:rsidRPr="00B6450D">
        <w:rPr>
          <w:rFonts w:ascii="Times New Roman" w:hAnsi="Times New Roman" w:cs="B Nazanin" w:hint="cs"/>
          <w:b w:val="0"/>
          <w:i/>
          <w:sz w:val="23"/>
          <w:szCs w:val="23"/>
          <w:rtl/>
        </w:rPr>
        <w:t>۱۲. ۳. ۲ مابه</w:t>
      </w:r>
      <w:r w:rsidRPr="00B6450D">
        <w:rPr>
          <w:rFonts w:ascii="Times New Roman" w:hAnsi="Times New Roman" w:cs="B Nazanin"/>
          <w:b w:val="0"/>
          <w:i/>
          <w:sz w:val="23"/>
          <w:szCs w:val="23"/>
          <w:rtl/>
        </w:rPr>
        <w:softHyphen/>
      </w:r>
      <w:r w:rsidRPr="00B6450D">
        <w:rPr>
          <w:rFonts w:ascii="Times New Roman" w:hAnsi="Times New Roman" w:cs="B Nazanin" w:hint="cs"/>
          <w:b w:val="0"/>
          <w:i/>
          <w:sz w:val="23"/>
          <w:szCs w:val="23"/>
          <w:rtl/>
        </w:rPr>
        <w:t>التفاوت زمانی</w:t>
      </w:r>
      <w:r w:rsidRPr="00B6450D">
        <w:rPr>
          <w:rStyle w:val="FootnoteReference"/>
          <w:rFonts w:ascii="Times New Roman" w:hAnsi="Times New Roman" w:cs="B Nazanin"/>
          <w:b w:val="0"/>
          <w:i/>
          <w:sz w:val="23"/>
          <w:szCs w:val="23"/>
          <w:rtl/>
        </w:rPr>
        <w:footnoteReference w:id="284"/>
      </w:r>
    </w:p>
    <w:p w14:paraId="3E8F6DA8" w14:textId="77777777" w:rsidR="00556C10" w:rsidRDefault="00556C10" w:rsidP="00556C10">
      <w:pPr>
        <w:spacing w:line="216" w:lineRule="auto"/>
        <w:rPr>
          <w:i/>
          <w:sz w:val="23"/>
          <w:szCs w:val="23"/>
          <w:rtl/>
        </w:rPr>
      </w:pPr>
      <w:r w:rsidRPr="00B6450D">
        <w:rPr>
          <w:rFonts w:hint="cs"/>
          <w:i/>
          <w:sz w:val="23"/>
          <w:szCs w:val="23"/>
          <w:rtl/>
        </w:rPr>
        <w:t>رویکرد استاندارد مالی بر مدل</w:t>
      </w:r>
      <w:r w:rsidRPr="00B6450D">
        <w:rPr>
          <w:i/>
          <w:sz w:val="23"/>
          <w:szCs w:val="23"/>
          <w:rtl/>
        </w:rPr>
        <w:softHyphen/>
      </w:r>
      <w:r w:rsidRPr="00B6450D">
        <w:rPr>
          <w:rFonts w:hint="cs"/>
          <w:i/>
          <w:sz w:val="23"/>
          <w:szCs w:val="23"/>
          <w:rtl/>
        </w:rPr>
        <w:t>های عامل نهفته هموند ساختار زمانی نرخ بهره متمرکز است. بر مبنای مفروضات خاص در خصوص این</w:t>
      </w:r>
      <w:r w:rsidRPr="00B6450D">
        <w:rPr>
          <w:i/>
          <w:sz w:val="23"/>
          <w:szCs w:val="23"/>
        </w:rPr>
        <w:softHyphen/>
      </w:r>
      <w:r w:rsidRPr="00B6450D">
        <w:rPr>
          <w:rFonts w:hint="cs"/>
          <w:i/>
          <w:sz w:val="23"/>
          <w:szCs w:val="23"/>
          <w:rtl/>
        </w:rPr>
        <w:t>که عوامل نهفته چگونه رفتار می‌کنند، این رویکرد معیار اندازه‏گیری مابه</w:t>
      </w:r>
      <w:r w:rsidRPr="00B6450D">
        <w:rPr>
          <w:i/>
          <w:sz w:val="23"/>
          <w:szCs w:val="23"/>
          <w:rtl/>
        </w:rPr>
        <w:softHyphen/>
      </w:r>
      <w:r w:rsidRPr="00B6450D">
        <w:rPr>
          <w:rFonts w:hint="cs"/>
          <w:i/>
          <w:sz w:val="23"/>
          <w:szCs w:val="23"/>
          <w:rtl/>
        </w:rPr>
        <w:t>التفاوت زمانی مابه</w:t>
      </w:r>
      <w:r w:rsidRPr="00B6450D">
        <w:rPr>
          <w:i/>
          <w:sz w:val="23"/>
          <w:szCs w:val="23"/>
          <w:rtl/>
        </w:rPr>
        <w:softHyphen/>
      </w:r>
      <w:r w:rsidRPr="00B6450D">
        <w:rPr>
          <w:rFonts w:hint="cs"/>
          <w:i/>
          <w:sz w:val="23"/>
          <w:szCs w:val="23"/>
          <w:rtl/>
        </w:rPr>
        <w:t>التفاوت زمانی را مستقیماً از دانش منحنی بازده استخراج می‏کند، و ممکن است با رویکرد قیمت‏گذاری دارایی در تعادل عمومی که عوامل در آن همان متغیرهای اقتصاد کلان قابل مشاهده می‏باشند مغایر باشد. این رویکرد امکان برآورد اثر اقتصاد کلان را بر ساختار زمانی نرخ بهره محقق می‏سازد. اخیراً، این دو رویکرد به واسطه‏ی استفاده از</w:t>
      </w:r>
      <w:r>
        <w:rPr>
          <w:rFonts w:hint="cs"/>
          <w:i/>
          <w:sz w:val="23"/>
          <w:szCs w:val="23"/>
          <w:rtl/>
        </w:rPr>
        <w:t xml:space="preserve"> </w:t>
      </w:r>
      <w:r w:rsidRPr="00B6450D">
        <w:rPr>
          <w:rFonts w:hint="cs"/>
          <w:i/>
          <w:sz w:val="23"/>
          <w:szCs w:val="23"/>
          <w:rtl/>
        </w:rPr>
        <w:t>متغیرهای قابل مشاهده و متغیرهای نهفته با یکدیگر ترکیب شده</w:t>
      </w:r>
      <w:r w:rsidRPr="00B6450D">
        <w:rPr>
          <w:i/>
          <w:sz w:val="23"/>
          <w:szCs w:val="23"/>
          <w:rtl/>
        </w:rPr>
        <w:softHyphen/>
      </w:r>
      <w:r w:rsidRPr="00B6450D">
        <w:rPr>
          <w:rFonts w:hint="cs"/>
          <w:i/>
          <w:sz w:val="23"/>
          <w:szCs w:val="23"/>
          <w:rtl/>
        </w:rPr>
        <w:t>اند. در این قسمت هر سه رویکرد را مورد بررسی قرار خواهیم داد.</w:t>
      </w:r>
    </w:p>
    <w:p w14:paraId="1F6E8CB1" w14:textId="77777777" w:rsidR="00556C10" w:rsidRDefault="00556C10" w:rsidP="00556C10">
      <w:pPr>
        <w:spacing w:line="216" w:lineRule="auto"/>
        <w:rPr>
          <w:i/>
          <w:sz w:val="23"/>
          <w:szCs w:val="23"/>
          <w:rtl/>
        </w:rPr>
      </w:pPr>
      <w:r w:rsidRPr="00B6450D">
        <w:rPr>
          <w:rFonts w:hint="cs"/>
          <w:i/>
          <w:sz w:val="23"/>
          <w:szCs w:val="23"/>
          <w:rtl/>
        </w:rPr>
        <w:t>نقظه</w:t>
      </w:r>
      <w:r w:rsidRPr="00B6450D">
        <w:rPr>
          <w:i/>
          <w:sz w:val="23"/>
          <w:szCs w:val="23"/>
          <w:rtl/>
        </w:rPr>
        <w:softHyphen/>
      </w:r>
      <w:r w:rsidRPr="00B6450D">
        <w:rPr>
          <w:rFonts w:hint="cs"/>
          <w:i/>
          <w:sz w:val="23"/>
          <w:szCs w:val="23"/>
          <w:rtl/>
        </w:rPr>
        <w:t>ی آغازین این سه رویکرد تصریح</w:t>
      </w:r>
      <w:r w:rsidRPr="00B6450D">
        <w:rPr>
          <w:position w:val="-12"/>
        </w:rPr>
        <w:object w:dxaOrig="360" w:dyaOrig="340" w14:anchorId="7F25A0D1">
          <v:shape id="_x0000_i5410" type="#_x0000_t75" style="width:18.15pt;height:16.95pt" o:ole="">
            <v:imagedata r:id="rId8821" o:title=""/>
          </v:shape>
          <o:OLEObject Type="Embed" ProgID="Equation.DSMT4" ShapeID="_x0000_i5410" DrawAspect="Content" ObjectID="_1791379354" r:id="rId8822"/>
        </w:object>
      </w:r>
      <w:r w:rsidRPr="00B6450D">
        <w:rPr>
          <w:rFonts w:hint="cs"/>
          <w:i/>
          <w:sz w:val="23"/>
          <w:szCs w:val="23"/>
          <w:rtl/>
        </w:rPr>
        <w:t xml:space="preserve"> به عنوان ارزش تنزیل شده‏ی</w:t>
      </w:r>
      <w:r w:rsidRPr="00B6450D">
        <w:rPr>
          <w:position w:val="-12"/>
        </w:rPr>
        <w:object w:dxaOrig="620" w:dyaOrig="340" w14:anchorId="619765FD">
          <v:shape id="_x0000_i5411" type="#_x0000_t75" style="width:31.45pt;height:16.95pt" o:ole="">
            <v:imagedata r:id="rId8823" o:title=""/>
          </v:shape>
          <o:OLEObject Type="Embed" ProgID="Equation.DSMT4" ShapeID="_x0000_i5411" DrawAspect="Content" ObjectID="_1791379355" r:id="rId8824"/>
        </w:object>
      </w:r>
      <w:r w:rsidRPr="00B6450D">
        <w:rPr>
          <w:rFonts w:hint="cs"/>
          <w:i/>
          <w:sz w:val="23"/>
          <w:szCs w:val="23"/>
          <w:rtl/>
        </w:rPr>
        <w:t xml:space="preserve"> است به گونه‏ای که اوراق قرضه سررسید</w:t>
      </w:r>
      <w:r w:rsidRPr="00B6450D">
        <w:rPr>
          <w:position w:val="-6"/>
        </w:rPr>
        <w:object w:dxaOrig="480" w:dyaOrig="260" w14:anchorId="083082B1">
          <v:shape id="_x0000_i5412" type="#_x0000_t75" style="width:24.2pt;height:13.3pt" o:ole="">
            <v:imagedata r:id="rId8825" o:title=""/>
          </v:shape>
          <o:OLEObject Type="Embed" ProgID="Equation.DSMT4" ShapeID="_x0000_i5412" DrawAspect="Content" ObjectID="_1791379356" r:id="rId8826"/>
        </w:object>
      </w:r>
      <w:r w:rsidRPr="00B6450D">
        <w:rPr>
          <w:rFonts w:hint="cs"/>
          <w:i/>
          <w:sz w:val="23"/>
          <w:szCs w:val="23"/>
          <w:rtl/>
        </w:rPr>
        <w:t xml:space="preserve"> دوره</w:t>
      </w:r>
      <w:r w:rsidRPr="00B6450D">
        <w:rPr>
          <w:i/>
          <w:sz w:val="23"/>
          <w:szCs w:val="23"/>
          <w:rtl/>
        </w:rPr>
        <w:softHyphen/>
      </w:r>
      <w:r w:rsidRPr="00B6450D">
        <w:rPr>
          <w:rFonts w:hint="cs"/>
          <w:i/>
          <w:sz w:val="23"/>
          <w:szCs w:val="23"/>
          <w:rtl/>
        </w:rPr>
        <w:t>ای دارد. بنابراین</w:t>
      </w:r>
    </w:p>
    <w:p w14:paraId="6F1820CA" w14:textId="77777777" w:rsidR="00556C10" w:rsidRPr="00B6450D" w:rsidRDefault="00556C10" w:rsidP="00556C10">
      <w:pPr>
        <w:bidi w:val="0"/>
        <w:spacing w:line="216" w:lineRule="auto"/>
        <w:rPr>
          <w:i/>
          <w:sz w:val="23"/>
          <w:szCs w:val="23"/>
          <w:rtl/>
        </w:rPr>
      </w:pPr>
      <w:r w:rsidRPr="00B6450D">
        <w:rPr>
          <w:position w:val="-16"/>
        </w:rPr>
        <w:object w:dxaOrig="2140" w:dyaOrig="420" w14:anchorId="4812635E">
          <v:shape id="_x0000_i5413" type="#_x0000_t75" style="width:107.1pt;height:21.2pt" o:ole="">
            <v:imagedata r:id="rId8827" o:title=""/>
          </v:shape>
          <o:OLEObject Type="Embed" ProgID="Equation.DSMT4" ShapeID="_x0000_i5413" DrawAspect="Content" ObjectID="_1791379357" r:id="rId8828"/>
        </w:object>
      </w:r>
    </w:p>
    <w:p w14:paraId="0BAED1F5" w14:textId="77777777" w:rsidR="00556C10" w:rsidRPr="00B6450D" w:rsidRDefault="00556C10" w:rsidP="00556C10">
      <w:pPr>
        <w:spacing w:line="216" w:lineRule="auto"/>
        <w:rPr>
          <w:i/>
          <w:sz w:val="23"/>
          <w:szCs w:val="23"/>
          <w:rtl/>
        </w:rPr>
      </w:pPr>
      <w:r w:rsidRPr="00B6450D">
        <w:rPr>
          <w:rFonts w:hint="cs"/>
          <w:i/>
          <w:sz w:val="23"/>
          <w:szCs w:val="23"/>
          <w:rtl/>
        </w:rPr>
        <w:t xml:space="preserve">برای </w:t>
      </w:r>
      <w:r w:rsidRPr="00B6450D">
        <w:rPr>
          <w:position w:val="-6"/>
        </w:rPr>
        <w:object w:dxaOrig="520" w:dyaOrig="260" w14:anchorId="047AE74B">
          <v:shape id="_x0000_i5414" type="#_x0000_t75" style="width:26pt;height:13.3pt" o:ole="">
            <v:imagedata r:id="rId8829" o:title=""/>
          </v:shape>
          <o:OLEObject Type="Embed" ProgID="Equation.DSMT4" ShapeID="_x0000_i5414" DrawAspect="Content" ObjectID="_1791379358" r:id="rId8830"/>
        </w:object>
      </w:r>
      <w:r w:rsidRPr="00B6450D">
        <w:rPr>
          <w:rFonts w:hint="cs"/>
          <w:i/>
          <w:sz w:val="23"/>
          <w:szCs w:val="23"/>
          <w:rtl/>
        </w:rPr>
        <w:t>، بازده در زمان</w:t>
      </w:r>
      <w:r w:rsidRPr="00B6450D">
        <w:rPr>
          <w:position w:val="-6"/>
        </w:rPr>
        <w:object w:dxaOrig="139" w:dyaOrig="240" w14:anchorId="7A07C910">
          <v:shape id="_x0000_i5415" type="#_x0000_t75" style="width:6.65pt;height:11.5pt" o:ole="">
            <v:imagedata r:id="rId8831" o:title=""/>
          </v:shape>
          <o:OLEObject Type="Embed" ProgID="Equation.DSMT4" ShapeID="_x0000_i5415" DrawAspect="Content" ObjectID="_1791379359" r:id="rId8832"/>
        </w:object>
      </w:r>
      <w:r w:rsidRPr="00B6450D">
        <w:rPr>
          <w:rFonts w:hint="cs"/>
          <w:i/>
          <w:sz w:val="23"/>
          <w:szCs w:val="23"/>
          <w:rtl/>
        </w:rPr>
        <w:t xml:space="preserve"> شناخته شده است، بنابراین</w:t>
      </w:r>
    </w:p>
    <w:p w14:paraId="4CB95F1F" w14:textId="77777777" w:rsidR="00556C10" w:rsidRPr="00B6450D" w:rsidRDefault="00556C10" w:rsidP="00556C10">
      <w:pPr>
        <w:bidi w:val="0"/>
        <w:spacing w:line="216" w:lineRule="auto"/>
        <w:rPr>
          <w:i/>
          <w:sz w:val="23"/>
          <w:szCs w:val="23"/>
          <w:rtl/>
        </w:rPr>
      </w:pPr>
      <w:r w:rsidRPr="00B6450D">
        <w:rPr>
          <w:position w:val="-12"/>
        </w:rPr>
        <w:object w:dxaOrig="1640" w:dyaOrig="360" w14:anchorId="17B95A15">
          <v:shape id="_x0000_i5416" type="#_x0000_t75" style="width:82.3pt;height:18.15pt" o:ole="">
            <v:imagedata r:id="rId8833" o:title=""/>
          </v:shape>
          <o:OLEObject Type="Embed" ProgID="Equation.DSMT4" ShapeID="_x0000_i5416" DrawAspect="Content" ObjectID="_1791379360" r:id="rId8834"/>
        </w:object>
      </w:r>
    </w:p>
    <w:p w14:paraId="7E830E29" w14:textId="77777777" w:rsidR="00556C10" w:rsidRPr="00B6450D" w:rsidRDefault="00556C10" w:rsidP="00556C10">
      <w:pPr>
        <w:spacing w:line="216" w:lineRule="auto"/>
        <w:rPr>
          <w:i/>
          <w:sz w:val="23"/>
          <w:szCs w:val="23"/>
        </w:rPr>
      </w:pPr>
      <w:r w:rsidRPr="00B6450D">
        <w:rPr>
          <w:rFonts w:hint="cs"/>
          <w:i/>
          <w:sz w:val="23"/>
          <w:szCs w:val="23"/>
          <w:rtl/>
        </w:rPr>
        <w:t>با فرض این</w:t>
      </w:r>
      <w:r w:rsidRPr="00B6450D">
        <w:rPr>
          <w:i/>
          <w:sz w:val="23"/>
          <w:szCs w:val="23"/>
          <w:rtl/>
        </w:rPr>
        <w:softHyphen/>
      </w:r>
      <w:r w:rsidRPr="00B6450D">
        <w:rPr>
          <w:rFonts w:hint="cs"/>
          <w:i/>
          <w:sz w:val="23"/>
          <w:szCs w:val="23"/>
          <w:rtl/>
        </w:rPr>
        <w:t>که</w:t>
      </w:r>
      <w:r w:rsidRPr="00B6450D">
        <w:rPr>
          <w:position w:val="-12"/>
        </w:rPr>
        <w:object w:dxaOrig="360" w:dyaOrig="340" w14:anchorId="3CC1A76E">
          <v:shape id="_x0000_i5417" type="#_x0000_t75" style="width:18.15pt;height:16.95pt" o:ole="">
            <v:imagedata r:id="rId8835" o:title=""/>
          </v:shape>
          <o:OLEObject Type="Embed" ProgID="Equation.DSMT4" ShapeID="_x0000_i5417" DrawAspect="Content" ObjectID="_1791379361" r:id="rId8836"/>
        </w:object>
      </w:r>
      <w:r w:rsidRPr="00B6450D">
        <w:rPr>
          <w:rFonts w:hint="cs"/>
          <w:i/>
          <w:sz w:val="23"/>
          <w:szCs w:val="23"/>
          <w:rtl/>
        </w:rPr>
        <w:t>و</w:t>
      </w:r>
      <w:r w:rsidRPr="00B6450D">
        <w:rPr>
          <w:position w:val="-10"/>
        </w:rPr>
        <w:object w:dxaOrig="480" w:dyaOrig="320" w14:anchorId="6C40EB98">
          <v:shape id="_x0000_i5418" type="#_x0000_t75" style="width:24.2pt;height:15.75pt" o:ole="">
            <v:imagedata r:id="rId8837" o:title=""/>
          </v:shape>
          <o:OLEObject Type="Embed" ProgID="Equation.DSMT4" ShapeID="_x0000_i5418" DrawAspect="Content" ObjectID="_1791379362" r:id="rId8838"/>
        </w:object>
      </w:r>
      <w:r w:rsidRPr="00B6450D">
        <w:rPr>
          <w:rFonts w:hint="cs"/>
          <w:i/>
          <w:sz w:val="23"/>
          <w:szCs w:val="23"/>
          <w:rtl/>
        </w:rPr>
        <w:t xml:space="preserve"> توزیع مشترک لگاریتم-نرمال دارند و با توجه به این که</w:t>
      </w:r>
      <w:r w:rsidRPr="00B6450D">
        <w:rPr>
          <w:position w:val="-12"/>
        </w:rPr>
        <w:object w:dxaOrig="1120" w:dyaOrig="340" w14:anchorId="119B0EBF">
          <v:shape id="_x0000_i5419" type="#_x0000_t75" style="width:55.65pt;height:16.95pt" o:ole="">
            <v:imagedata r:id="rId8839" o:title=""/>
          </v:shape>
          <o:OLEObject Type="Embed" ProgID="Equation.DSMT4" ShapeID="_x0000_i5419" DrawAspect="Content" ObjectID="_1791379363" r:id="rId8840"/>
        </w:object>
      </w:r>
      <w:r w:rsidRPr="00B6450D">
        <w:rPr>
          <w:rFonts w:hint="cs"/>
          <w:i/>
          <w:sz w:val="23"/>
          <w:szCs w:val="23"/>
          <w:rtl/>
        </w:rPr>
        <w:t xml:space="preserve"> و </w:t>
      </w:r>
      <w:r w:rsidRPr="00B6450D">
        <w:rPr>
          <w:position w:val="-10"/>
        </w:rPr>
        <w:object w:dxaOrig="1300" w:dyaOrig="320" w14:anchorId="049177DA">
          <v:shape id="_x0000_i5420" type="#_x0000_t75" style="width:65.35pt;height:15.75pt" o:ole="">
            <v:imagedata r:id="rId8841" o:title=""/>
          </v:shape>
          <o:OLEObject Type="Embed" ProgID="Equation.DSMT4" ShapeID="_x0000_i5420" DrawAspect="Content" ObjectID="_1791379364" r:id="rId8842"/>
        </w:object>
      </w:r>
      <w:r w:rsidRPr="00B6450D">
        <w:rPr>
          <w:rFonts w:hint="cs"/>
          <w:i/>
          <w:sz w:val="23"/>
          <w:szCs w:val="23"/>
          <w:rtl/>
        </w:rPr>
        <w:t>، با استفاده از لگاریتم رابطه‏ی ۱۲. ۱۹ خواهیم داشت.</w:t>
      </w:r>
    </w:p>
    <w:p w14:paraId="04C33C4D" w14:textId="77777777" w:rsidR="00556C10" w:rsidRDefault="00556C10" w:rsidP="00556C10">
      <w:pPr>
        <w:bidi w:val="0"/>
        <w:spacing w:line="216" w:lineRule="auto"/>
        <w:rPr>
          <w:i/>
          <w:sz w:val="23"/>
          <w:szCs w:val="23"/>
          <w:rtl/>
        </w:rPr>
      </w:pPr>
      <w:r w:rsidRPr="00F25906">
        <w:rPr>
          <w:position w:val="-22"/>
        </w:rPr>
        <w:object w:dxaOrig="4060" w:dyaOrig="560" w14:anchorId="5BAF9E17">
          <v:shape id="_x0000_i5421" type="#_x0000_t75" style="width:203.3pt;height:27.85pt" o:ole="">
            <v:imagedata r:id="rId8843" o:title=""/>
          </v:shape>
          <o:OLEObject Type="Embed" ProgID="Equation.DSMT4" ShapeID="_x0000_i5421" DrawAspect="Content" ObjectID="_1791379365" r:id="rId8844"/>
        </w:object>
      </w:r>
      <w:r w:rsidRPr="00B6450D">
        <w:rPr>
          <w:i/>
          <w:sz w:val="23"/>
          <w:szCs w:val="23"/>
        </w:rPr>
        <w:tab/>
      </w:r>
      <w:r w:rsidRPr="00B6450D">
        <w:rPr>
          <w:i/>
          <w:sz w:val="23"/>
          <w:szCs w:val="23"/>
        </w:rPr>
        <w:tab/>
      </w:r>
      <w:r w:rsidRPr="00B6450D">
        <w:rPr>
          <w:i/>
          <w:sz w:val="23"/>
          <w:szCs w:val="23"/>
          <w:rtl/>
        </w:rPr>
        <w:tab/>
      </w:r>
      <w:r>
        <w:rPr>
          <w:i/>
          <w:sz w:val="23"/>
          <w:szCs w:val="23"/>
          <w:rtl/>
        </w:rPr>
        <w:tab/>
      </w:r>
      <w:r w:rsidRPr="00B6450D">
        <w:rPr>
          <w:i/>
          <w:sz w:val="23"/>
          <w:szCs w:val="23"/>
        </w:rPr>
        <w:tab/>
      </w:r>
      <w:r>
        <w:rPr>
          <w:i/>
          <w:sz w:val="23"/>
          <w:szCs w:val="23"/>
          <w:rtl/>
        </w:rPr>
        <w:tab/>
      </w:r>
      <w:r w:rsidRPr="00B6450D">
        <w:rPr>
          <w:i/>
          <w:sz w:val="23"/>
          <w:szCs w:val="23"/>
        </w:rPr>
        <w:t xml:space="preserve"> </w:t>
      </w:r>
      <w:r w:rsidRPr="00B6450D">
        <w:rPr>
          <w:i/>
          <w:sz w:val="23"/>
          <w:szCs w:val="23"/>
          <w:rtl/>
        </w:rPr>
        <w:tab/>
      </w:r>
      <w:r w:rsidRPr="00F25906">
        <w:rPr>
          <w:i/>
          <w:position w:val="-22"/>
          <w:sz w:val="23"/>
          <w:szCs w:val="23"/>
        </w:rPr>
        <w:object w:dxaOrig="3379" w:dyaOrig="560" w14:anchorId="7B50C586">
          <v:shape id="_x0000_i5422" type="#_x0000_t75" style="width:168.8pt;height:27.85pt" o:ole="">
            <v:imagedata r:id="rId8845" o:title=""/>
          </v:shape>
          <o:OLEObject Type="Embed" ProgID="Equation.DSMT4" ShapeID="_x0000_i5422" DrawAspect="Content" ObjectID="_1791379366" r:id="rId8846"/>
        </w:object>
      </w:r>
      <w:r>
        <w:rPr>
          <w:i/>
          <w:sz w:val="23"/>
          <w:szCs w:val="23"/>
          <w:rtl/>
        </w:rPr>
        <w:tab/>
      </w:r>
      <w:r>
        <w:rPr>
          <w:i/>
          <w:sz w:val="23"/>
          <w:szCs w:val="23"/>
          <w:rtl/>
        </w:rPr>
        <w:tab/>
      </w:r>
      <w:r>
        <w:rPr>
          <w:i/>
          <w:sz w:val="23"/>
          <w:szCs w:val="23"/>
          <w:rtl/>
        </w:rPr>
        <w:tab/>
      </w:r>
      <w:r>
        <w:rPr>
          <w:i/>
          <w:sz w:val="23"/>
          <w:szCs w:val="23"/>
          <w:rtl/>
        </w:rPr>
        <w:tab/>
      </w:r>
      <w:r>
        <w:rPr>
          <w:i/>
          <w:sz w:val="23"/>
          <w:szCs w:val="23"/>
          <w:rtl/>
        </w:rPr>
        <w:tab/>
      </w:r>
      <w:r>
        <w:rPr>
          <w:i/>
          <w:sz w:val="23"/>
          <w:szCs w:val="23"/>
          <w:rtl/>
        </w:rPr>
        <w:tab/>
      </w:r>
      <w:r>
        <w:rPr>
          <w:i/>
          <w:sz w:val="23"/>
          <w:szCs w:val="23"/>
          <w:rtl/>
        </w:rPr>
        <w:tab/>
      </w:r>
      <w:r>
        <w:rPr>
          <w:i/>
          <w:sz w:val="23"/>
          <w:szCs w:val="23"/>
          <w:rtl/>
        </w:rPr>
        <w:tab/>
      </w:r>
      <w:r>
        <w:rPr>
          <w:i/>
          <w:sz w:val="23"/>
          <w:szCs w:val="23"/>
          <w:rtl/>
        </w:rPr>
        <w:tab/>
      </w:r>
      <w:r w:rsidRPr="00B6450D">
        <w:rPr>
          <w:rFonts w:hint="cs"/>
          <w:i/>
          <w:sz w:val="23"/>
          <w:szCs w:val="23"/>
          <w:rtl/>
        </w:rPr>
        <w:t>(۱۲. ۲۰)</w:t>
      </w:r>
    </w:p>
    <w:p w14:paraId="50ECFDC2" w14:textId="77777777" w:rsidR="00556C10" w:rsidRPr="00B6450D" w:rsidRDefault="00556C10" w:rsidP="00556C10">
      <w:pPr>
        <w:bidi w:val="0"/>
        <w:spacing w:line="216" w:lineRule="auto"/>
        <w:rPr>
          <w:i/>
          <w:sz w:val="23"/>
          <w:szCs w:val="23"/>
          <w:rtl/>
        </w:rPr>
      </w:pPr>
      <w:r w:rsidRPr="00B6450D">
        <w:rPr>
          <w:position w:val="-22"/>
        </w:rPr>
        <w:object w:dxaOrig="3600" w:dyaOrig="560" w14:anchorId="64B69878">
          <v:shape id="_x0000_i5423" type="#_x0000_t75" style="width:180.3pt;height:27.85pt" o:ole="">
            <v:imagedata r:id="rId8847" o:title=""/>
          </v:shape>
          <o:OLEObject Type="Embed" ProgID="Equation.DSMT4" ShapeID="_x0000_i5423" DrawAspect="Content" ObjectID="_1791379367" r:id="rId8848"/>
        </w:object>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Pr>
          <w:i/>
          <w:sz w:val="23"/>
          <w:szCs w:val="23"/>
          <w:rtl/>
        </w:rPr>
        <w:tab/>
      </w:r>
      <w:r w:rsidRPr="00B6450D">
        <w:rPr>
          <w:i/>
          <w:sz w:val="23"/>
          <w:szCs w:val="23"/>
        </w:rPr>
        <w:tab/>
        <w:t xml:space="preserve"> </w:t>
      </w:r>
      <w:r w:rsidRPr="00B6450D">
        <w:rPr>
          <w:i/>
          <w:sz w:val="23"/>
          <w:szCs w:val="23"/>
          <w:rtl/>
        </w:rPr>
        <w:tab/>
      </w:r>
      <w:r w:rsidRPr="00B6450D">
        <w:rPr>
          <w:rFonts w:hint="cs"/>
          <w:i/>
          <w:sz w:val="23"/>
          <w:szCs w:val="23"/>
          <w:rtl/>
        </w:rPr>
        <w:t>(۱۲. ۲۱)</w:t>
      </w:r>
    </w:p>
    <w:p w14:paraId="2ECFE6A0" w14:textId="77777777" w:rsidR="00556C10" w:rsidRPr="00B6450D" w:rsidRDefault="00556C10" w:rsidP="00556C10">
      <w:pPr>
        <w:spacing w:line="216" w:lineRule="auto"/>
        <w:rPr>
          <w:i/>
          <w:sz w:val="23"/>
          <w:szCs w:val="23"/>
          <w:rtl/>
        </w:rPr>
      </w:pPr>
      <w:r w:rsidRPr="00B6450D">
        <w:rPr>
          <w:rFonts w:hint="cs"/>
          <w:i/>
          <w:sz w:val="23"/>
          <w:szCs w:val="23"/>
          <w:rtl/>
        </w:rPr>
        <w:t xml:space="preserve">بنابراین چنانچه </w:t>
      </w:r>
      <w:r w:rsidRPr="00B6450D">
        <w:rPr>
          <w:position w:val="-12"/>
        </w:rPr>
        <w:object w:dxaOrig="720" w:dyaOrig="340" w14:anchorId="4C0417EC">
          <v:shape id="_x0000_i5424" type="#_x0000_t75" style="width:36.3pt;height:16.95pt" o:ole="">
            <v:imagedata r:id="rId8849" o:title=""/>
          </v:shape>
          <o:OLEObject Type="Embed" ProgID="Equation.DSMT4" ShapeID="_x0000_i5424" DrawAspect="Content" ObjectID="_1791379368" r:id="rId8850"/>
        </w:object>
      </w:r>
      <w:r w:rsidRPr="00B6450D">
        <w:rPr>
          <w:rFonts w:hint="cs"/>
          <w:i/>
          <w:sz w:val="23"/>
          <w:szCs w:val="23"/>
          <w:rtl/>
        </w:rPr>
        <w:t xml:space="preserve"> باشد، آنگاه</w:t>
      </w:r>
    </w:p>
    <w:p w14:paraId="78CF5838" w14:textId="77777777" w:rsidR="00556C10" w:rsidRDefault="00556C10" w:rsidP="00556C10">
      <w:pPr>
        <w:spacing w:line="216" w:lineRule="auto"/>
        <w:jc w:val="center"/>
        <w:rPr>
          <w:i/>
          <w:sz w:val="23"/>
          <w:szCs w:val="23"/>
          <w:rtl/>
        </w:rPr>
      </w:pPr>
    </w:p>
    <w:p w14:paraId="45786337" w14:textId="77777777" w:rsidR="00556C10" w:rsidRPr="00B6450D" w:rsidRDefault="00556C10" w:rsidP="00556C10">
      <w:pPr>
        <w:spacing w:line="216" w:lineRule="auto"/>
        <w:jc w:val="center"/>
        <w:rPr>
          <w:i/>
          <w:sz w:val="23"/>
          <w:szCs w:val="23"/>
          <w:rtl/>
        </w:rPr>
      </w:pPr>
      <w:r w:rsidRPr="00B6450D">
        <w:rPr>
          <w:rFonts w:hint="cs"/>
          <w:i/>
          <w:sz w:val="23"/>
          <w:szCs w:val="23"/>
          <w:rtl/>
        </w:rPr>
        <w:t>نمودار ۱۲. ۱</w:t>
      </w:r>
      <w:r w:rsidRPr="00B6450D">
        <w:rPr>
          <w:i/>
          <w:sz w:val="23"/>
          <w:szCs w:val="23"/>
        </w:rPr>
        <w:t xml:space="preserve"> :</w:t>
      </w:r>
      <w:r w:rsidRPr="00B6450D">
        <w:rPr>
          <w:rFonts w:hint="cs"/>
          <w:i/>
          <w:sz w:val="23"/>
          <w:szCs w:val="23"/>
          <w:rtl/>
        </w:rPr>
        <w:t>منحنی بازدهی ایالات متحده، ۳۱ ژانویه ۲۰۰۶</w:t>
      </w:r>
    </w:p>
    <w:p w14:paraId="36830D06" w14:textId="77777777" w:rsidR="00556C10" w:rsidRPr="00B6450D" w:rsidRDefault="00556C10" w:rsidP="00556C10">
      <w:pPr>
        <w:spacing w:line="216" w:lineRule="auto"/>
        <w:jc w:val="center"/>
        <w:rPr>
          <w:i/>
          <w:sz w:val="23"/>
          <w:szCs w:val="23"/>
          <w:rtl/>
        </w:rPr>
      </w:pPr>
      <w:r w:rsidRPr="00B6450D">
        <w:rPr>
          <w:i/>
          <w:noProof/>
          <w:sz w:val="23"/>
          <w:szCs w:val="23"/>
          <w:lang w:bidi="ar-SA"/>
        </w:rPr>
        <w:drawing>
          <wp:inline distT="0" distB="0" distL="0" distR="0" wp14:anchorId="7E7C0C07" wp14:editId="77E658DC">
            <wp:extent cx="3653542" cy="2160395"/>
            <wp:effectExtent l="38100" t="38100" r="42545" b="469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51">
                      <a:extLst>
                        <a:ext uri="{BEBA8EAE-BF5A-486C-A8C5-ECC9F3942E4B}">
                          <a14:imgProps xmlns:a14="http://schemas.microsoft.com/office/drawing/2010/main">
                            <a14:imgLayer r:embed="rId8852">
                              <a14:imgEffect>
                                <a14:sharpenSoften amount="50000"/>
                              </a14:imgEffect>
                              <a14:imgEffect>
                                <a14:brightnessContrast contrast="40000"/>
                              </a14:imgEffect>
                            </a14:imgLayer>
                          </a14:imgProps>
                        </a:ext>
                      </a:extLst>
                    </a:blip>
                    <a:stretch>
                      <a:fillRect/>
                    </a:stretch>
                  </pic:blipFill>
                  <pic:spPr>
                    <a:xfrm>
                      <a:off x="0" y="0"/>
                      <a:ext cx="3653542" cy="2160395"/>
                    </a:xfrm>
                    <a:prstGeom prst="rect">
                      <a:avLst/>
                    </a:prstGeom>
                    <a:ln w="28575">
                      <a:solidFill>
                        <a:schemeClr val="tx1"/>
                      </a:solidFill>
                    </a:ln>
                  </pic:spPr>
                </pic:pic>
              </a:graphicData>
            </a:graphic>
          </wp:inline>
        </w:drawing>
      </w:r>
    </w:p>
    <w:p w14:paraId="5C976310" w14:textId="77777777" w:rsidR="00556C10" w:rsidRPr="00B6450D" w:rsidRDefault="00556C10" w:rsidP="00556C10">
      <w:pPr>
        <w:spacing w:line="216" w:lineRule="auto"/>
        <w:jc w:val="center"/>
        <w:rPr>
          <w:i/>
          <w:sz w:val="23"/>
          <w:szCs w:val="23"/>
        </w:rPr>
      </w:pPr>
    </w:p>
    <w:p w14:paraId="36C04C62" w14:textId="77777777" w:rsidR="00556C10" w:rsidRPr="00B6450D" w:rsidRDefault="00556C10" w:rsidP="00556C10">
      <w:pPr>
        <w:spacing w:line="216" w:lineRule="auto"/>
        <w:jc w:val="center"/>
        <w:rPr>
          <w:i/>
          <w:sz w:val="23"/>
          <w:szCs w:val="23"/>
          <w:rtl/>
        </w:rPr>
      </w:pPr>
      <w:r w:rsidRPr="00B6450D">
        <w:rPr>
          <w:rFonts w:hint="cs"/>
          <w:i/>
          <w:sz w:val="23"/>
          <w:szCs w:val="23"/>
          <w:rtl/>
        </w:rPr>
        <w:t>نمودار ۱۲. ۲</w:t>
      </w:r>
      <w:r w:rsidRPr="00B6450D">
        <w:rPr>
          <w:i/>
          <w:sz w:val="23"/>
          <w:szCs w:val="23"/>
        </w:rPr>
        <w:t xml:space="preserve"> :</w:t>
      </w:r>
      <w:r w:rsidRPr="00B6450D">
        <w:rPr>
          <w:rFonts w:hint="cs"/>
          <w:i/>
          <w:sz w:val="23"/>
          <w:szCs w:val="23"/>
          <w:rtl/>
        </w:rPr>
        <w:t>منحنی بازدهی انگلستان، ۱۵ فوریه ۲۰۰۶</w:t>
      </w:r>
    </w:p>
    <w:p w14:paraId="0A3F10D7" w14:textId="77777777" w:rsidR="00556C10" w:rsidRPr="00B6450D" w:rsidRDefault="00556C10" w:rsidP="00556C10">
      <w:pPr>
        <w:spacing w:line="216" w:lineRule="auto"/>
        <w:jc w:val="center"/>
        <w:rPr>
          <w:i/>
          <w:sz w:val="23"/>
          <w:szCs w:val="23"/>
          <w:rtl/>
        </w:rPr>
      </w:pPr>
      <w:r w:rsidRPr="00B6450D">
        <w:rPr>
          <w:i/>
          <w:noProof/>
          <w:sz w:val="23"/>
          <w:szCs w:val="23"/>
          <w:lang w:bidi="ar-SA"/>
        </w:rPr>
        <w:drawing>
          <wp:inline distT="0" distB="0" distL="0" distR="0" wp14:anchorId="5AEBEB7A" wp14:editId="27B59564">
            <wp:extent cx="3654747" cy="2175468"/>
            <wp:effectExtent l="38100" t="38100" r="41275" b="349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53">
                      <a:extLst>
                        <a:ext uri="{BEBA8EAE-BF5A-486C-A8C5-ECC9F3942E4B}">
                          <a14:imgProps xmlns:a14="http://schemas.microsoft.com/office/drawing/2010/main">
                            <a14:imgLayer r:embed="rId8854">
                              <a14:imgEffect>
                                <a14:sharpenSoften amount="50000"/>
                              </a14:imgEffect>
                              <a14:imgEffect>
                                <a14:brightnessContrast contrast="40000"/>
                              </a14:imgEffect>
                            </a14:imgLayer>
                          </a14:imgProps>
                        </a:ext>
                      </a:extLst>
                    </a:blip>
                    <a:stretch>
                      <a:fillRect/>
                    </a:stretch>
                  </pic:blipFill>
                  <pic:spPr>
                    <a:xfrm>
                      <a:off x="0" y="0"/>
                      <a:ext cx="3654747" cy="2175468"/>
                    </a:xfrm>
                    <a:prstGeom prst="rect">
                      <a:avLst/>
                    </a:prstGeom>
                    <a:ln w="28575">
                      <a:solidFill>
                        <a:schemeClr val="tx1"/>
                      </a:solidFill>
                    </a:ln>
                  </pic:spPr>
                </pic:pic>
              </a:graphicData>
            </a:graphic>
          </wp:inline>
        </w:drawing>
      </w:r>
    </w:p>
    <w:p w14:paraId="3075B54A" w14:textId="77777777" w:rsidR="00556C10" w:rsidRPr="00B6450D" w:rsidRDefault="00556C10" w:rsidP="00556C10">
      <w:pPr>
        <w:spacing w:line="216" w:lineRule="auto"/>
        <w:jc w:val="center"/>
        <w:rPr>
          <w:i/>
          <w:sz w:val="23"/>
          <w:szCs w:val="23"/>
        </w:rPr>
      </w:pPr>
    </w:p>
    <w:p w14:paraId="2EB89FAA" w14:textId="77777777" w:rsidR="00556C10" w:rsidRPr="00B6450D" w:rsidRDefault="00556C10" w:rsidP="00556C10">
      <w:pPr>
        <w:spacing w:line="216" w:lineRule="auto"/>
        <w:jc w:val="center"/>
        <w:rPr>
          <w:i/>
          <w:sz w:val="23"/>
          <w:szCs w:val="23"/>
        </w:rPr>
      </w:pPr>
      <w:r w:rsidRPr="00B6450D">
        <w:rPr>
          <w:rFonts w:hint="cs"/>
          <w:i/>
          <w:sz w:val="23"/>
          <w:szCs w:val="23"/>
          <w:rtl/>
        </w:rPr>
        <w:lastRenderedPageBreak/>
        <w:t>جدول ۱۲. ۱</w:t>
      </w:r>
      <w:r w:rsidRPr="00B6450D">
        <w:rPr>
          <w:i/>
          <w:sz w:val="23"/>
          <w:szCs w:val="23"/>
        </w:rPr>
        <w:t xml:space="preserve">Bond Spread : </w:t>
      </w:r>
    </w:p>
    <w:p w14:paraId="7BD2170B" w14:textId="77777777" w:rsidR="00556C10" w:rsidRPr="00B6450D" w:rsidRDefault="00556C10" w:rsidP="00556C10">
      <w:pPr>
        <w:spacing w:line="216" w:lineRule="auto"/>
        <w:jc w:val="center"/>
        <w:rPr>
          <w:i/>
          <w:sz w:val="23"/>
          <w:szCs w:val="23"/>
        </w:rPr>
      </w:pPr>
      <w:r w:rsidRPr="00B6450D">
        <w:rPr>
          <w:i/>
          <w:noProof/>
          <w:sz w:val="23"/>
          <w:szCs w:val="23"/>
          <w:lang w:bidi="ar-SA"/>
        </w:rPr>
        <w:drawing>
          <wp:inline distT="0" distB="0" distL="0" distR="0" wp14:anchorId="7C30F0A5" wp14:editId="7C8CE98A">
            <wp:extent cx="2758749" cy="1048871"/>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55">
                      <a:extLst>
                        <a:ext uri="{BEBA8EAE-BF5A-486C-A8C5-ECC9F3942E4B}">
                          <a14:imgProps xmlns:a14="http://schemas.microsoft.com/office/drawing/2010/main">
                            <a14:imgLayer r:embed="rId8856">
                              <a14:imgEffect>
                                <a14:sharpenSoften amount="50000"/>
                              </a14:imgEffect>
                              <a14:imgEffect>
                                <a14:brightnessContrast bright="20000" contrast="20000"/>
                              </a14:imgEffect>
                            </a14:imgLayer>
                          </a14:imgProps>
                        </a:ext>
                      </a:extLst>
                    </a:blip>
                    <a:stretch>
                      <a:fillRect/>
                    </a:stretch>
                  </pic:blipFill>
                  <pic:spPr>
                    <a:xfrm>
                      <a:off x="0" y="0"/>
                      <a:ext cx="2780091" cy="1056985"/>
                    </a:xfrm>
                    <a:prstGeom prst="rect">
                      <a:avLst/>
                    </a:prstGeom>
                  </pic:spPr>
                </pic:pic>
              </a:graphicData>
            </a:graphic>
          </wp:inline>
        </w:drawing>
      </w:r>
    </w:p>
    <w:p w14:paraId="45CAFC7A" w14:textId="77777777" w:rsidR="00556C10" w:rsidRPr="00B6450D" w:rsidRDefault="00556C10" w:rsidP="00556C10">
      <w:pPr>
        <w:bidi w:val="0"/>
        <w:spacing w:line="216" w:lineRule="auto"/>
        <w:rPr>
          <w:i/>
          <w:sz w:val="23"/>
          <w:szCs w:val="23"/>
        </w:rPr>
      </w:pPr>
      <w:r w:rsidRPr="00B6450D">
        <w:rPr>
          <w:position w:val="-14"/>
        </w:rPr>
        <w:object w:dxaOrig="2020" w:dyaOrig="380" w14:anchorId="54169AE4">
          <v:shape id="_x0000_i5425" type="#_x0000_t75" style="width:101.05pt;height:19.35pt" o:ole="">
            <v:imagedata r:id="rId8857" o:title=""/>
          </v:shape>
          <o:OLEObject Type="Embed" ProgID="Equation.DSMT4" ShapeID="_x0000_i5425" DrawAspect="Content" ObjectID="_1791379369" r:id="rId8858"/>
        </w:object>
      </w:r>
      <w:r w:rsidRPr="00B6450D">
        <w:rPr>
          <w:i/>
          <w:sz w:val="23"/>
          <w:szCs w:val="23"/>
        </w:rPr>
        <w:tab/>
      </w:r>
      <w:r w:rsidRPr="00B6450D">
        <w:rPr>
          <w:i/>
          <w:sz w:val="23"/>
          <w:szCs w:val="23"/>
        </w:rPr>
        <w:tab/>
      </w:r>
      <w:r w:rsidRPr="00B6450D">
        <w:rPr>
          <w:i/>
          <w:sz w:val="23"/>
          <w:szCs w:val="23"/>
        </w:rPr>
        <w:tab/>
      </w:r>
      <w:r w:rsidRPr="00B6450D">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rFonts w:hint="cs"/>
          <w:i/>
          <w:sz w:val="23"/>
          <w:szCs w:val="23"/>
          <w:rtl/>
        </w:rPr>
        <w:t>(۱۲. ۱۹)</w:t>
      </w:r>
    </w:p>
    <w:p w14:paraId="1744BB59" w14:textId="77777777" w:rsidR="00556C10" w:rsidRPr="00B6450D" w:rsidRDefault="00556C10" w:rsidP="00556C10">
      <w:pPr>
        <w:spacing w:line="216" w:lineRule="auto"/>
        <w:rPr>
          <w:i/>
          <w:sz w:val="23"/>
          <w:szCs w:val="23"/>
          <w:rtl/>
        </w:rPr>
      </w:pPr>
      <w:r w:rsidRPr="00B6450D">
        <w:rPr>
          <w:rFonts w:hint="cs"/>
          <w:i/>
          <w:sz w:val="23"/>
          <w:szCs w:val="23"/>
          <w:rtl/>
        </w:rPr>
        <w:t>یا</w:t>
      </w:r>
    </w:p>
    <w:p w14:paraId="42D415CE" w14:textId="77777777" w:rsidR="00556C10" w:rsidRPr="00B6450D" w:rsidRDefault="00556C10" w:rsidP="00556C10">
      <w:pPr>
        <w:bidi w:val="0"/>
        <w:spacing w:line="216" w:lineRule="auto"/>
        <w:rPr>
          <w:i/>
          <w:sz w:val="23"/>
          <w:szCs w:val="23"/>
        </w:rPr>
      </w:pPr>
      <w:r w:rsidRPr="00B6450D">
        <w:rPr>
          <w:position w:val="-22"/>
        </w:rPr>
        <w:object w:dxaOrig="2280" w:dyaOrig="560" w14:anchorId="0240F4B9">
          <v:shape id="_x0000_i5426" type="#_x0000_t75" style="width:114.35pt;height:27.85pt" o:ole="">
            <v:imagedata r:id="rId8859" o:title=""/>
          </v:shape>
          <o:OLEObject Type="Embed" ProgID="Equation.DSMT4" ShapeID="_x0000_i5426" DrawAspect="Content" ObjectID="_1791379370" r:id="rId8860"/>
        </w:objec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sidRPr="00B6450D">
        <w:rPr>
          <w:i/>
          <w:sz w:val="23"/>
          <w:szCs w:val="23"/>
        </w:rPr>
        <w:tab/>
      </w:r>
      <w:r w:rsidRPr="00B6450D">
        <w:rPr>
          <w:i/>
          <w:sz w:val="23"/>
          <w:szCs w:val="23"/>
        </w:rPr>
        <w:tab/>
        <w:t xml:space="preserve"> </w:t>
      </w:r>
      <w:r w:rsidRPr="00B6450D">
        <w:rPr>
          <w:i/>
          <w:sz w:val="23"/>
          <w:szCs w:val="23"/>
          <w:rtl/>
        </w:rPr>
        <w:tab/>
      </w:r>
      <w:r w:rsidRPr="00B6450D">
        <w:rPr>
          <w:rFonts w:hint="cs"/>
          <w:i/>
          <w:sz w:val="23"/>
          <w:szCs w:val="23"/>
          <w:rtl/>
        </w:rPr>
        <w:t>(۱۲. ۲۲)</w:t>
      </w:r>
    </w:p>
    <w:p w14:paraId="5D555CD2" w14:textId="77777777" w:rsidR="00556C10" w:rsidRPr="00B6450D" w:rsidRDefault="00556C10" w:rsidP="00556C10">
      <w:pPr>
        <w:spacing w:line="216" w:lineRule="auto"/>
        <w:rPr>
          <w:i/>
          <w:sz w:val="23"/>
          <w:szCs w:val="23"/>
          <w:rtl/>
        </w:rPr>
      </w:pPr>
      <w:r w:rsidRPr="00B6450D">
        <w:rPr>
          <w:rFonts w:hint="cs"/>
          <w:i/>
          <w:sz w:val="23"/>
          <w:szCs w:val="23"/>
          <w:rtl/>
        </w:rPr>
        <w:t>با تفریق (۱۲. ۲۲) از (۱۲. ۲۱) و مرتب کردن آن، معادله‌ی عدم آربیتراژ را به دست خواهیم آورد</w:t>
      </w:r>
    </w:p>
    <w:p w14:paraId="2ED6CE17" w14:textId="77777777" w:rsidR="00556C10" w:rsidRPr="00B6450D" w:rsidRDefault="00556C10" w:rsidP="00556C10">
      <w:pPr>
        <w:bidi w:val="0"/>
        <w:spacing w:line="216" w:lineRule="auto"/>
        <w:rPr>
          <w:i/>
          <w:sz w:val="23"/>
          <w:szCs w:val="23"/>
          <w:rtl/>
        </w:rPr>
      </w:pPr>
      <w:r w:rsidRPr="00B6450D">
        <w:rPr>
          <w:position w:val="-22"/>
        </w:rPr>
        <w:object w:dxaOrig="5020" w:dyaOrig="560" w14:anchorId="10F91329">
          <v:shape id="_x0000_i5427" type="#_x0000_t75" style="width:250.5pt;height:27.85pt" o:ole="">
            <v:imagedata r:id="rId8861" o:title=""/>
          </v:shape>
          <o:OLEObject Type="Embed" ProgID="Equation.DSMT4" ShapeID="_x0000_i5427" DrawAspect="Content" ObjectID="_1791379371" r:id="rId8862"/>
        </w:object>
      </w:r>
      <w:r>
        <w:rPr>
          <w:rtl/>
        </w:rPr>
        <w:tab/>
      </w:r>
      <w:r w:rsidRPr="00B6450D">
        <w:rPr>
          <w:i/>
          <w:sz w:val="23"/>
          <w:szCs w:val="23"/>
        </w:rPr>
        <w:t xml:space="preserve"> </w:t>
      </w:r>
      <w:r w:rsidRPr="00B6450D">
        <w:rPr>
          <w:i/>
          <w:sz w:val="23"/>
          <w:szCs w:val="23"/>
        </w:rPr>
        <w:tab/>
      </w:r>
      <w:r>
        <w:rPr>
          <w:i/>
          <w:sz w:val="23"/>
          <w:szCs w:val="23"/>
          <w:rtl/>
        </w:rPr>
        <w:tab/>
      </w:r>
      <w:r w:rsidRPr="00B6450D">
        <w:rPr>
          <w:i/>
          <w:sz w:val="23"/>
          <w:szCs w:val="23"/>
          <w:rtl/>
        </w:rPr>
        <w:tab/>
      </w:r>
      <w:r w:rsidRPr="00B6450D">
        <w:rPr>
          <w:rFonts w:hint="cs"/>
          <w:i/>
          <w:sz w:val="23"/>
          <w:szCs w:val="23"/>
          <w:rtl/>
        </w:rPr>
        <w:t>(۱۲. ۲۲)</w:t>
      </w:r>
    </w:p>
    <w:p w14:paraId="01AD0E1E" w14:textId="77777777" w:rsidR="00556C10" w:rsidRPr="00B6450D" w:rsidRDefault="00556C10" w:rsidP="00556C10">
      <w:pPr>
        <w:spacing w:line="216" w:lineRule="auto"/>
        <w:rPr>
          <w:i/>
          <w:sz w:val="23"/>
          <w:szCs w:val="23"/>
          <w:rtl/>
        </w:rPr>
      </w:pPr>
      <w:r w:rsidRPr="00B6450D">
        <w:rPr>
          <w:rFonts w:hint="cs"/>
          <w:i/>
          <w:sz w:val="23"/>
          <w:szCs w:val="23"/>
          <w:rtl/>
        </w:rPr>
        <w:t xml:space="preserve">رابطه فوق را می‏توان برحسب بازده </w:t>
      </w:r>
      <w:r w:rsidRPr="00B6450D">
        <w:rPr>
          <w:i/>
          <w:sz w:val="23"/>
          <w:szCs w:val="23"/>
        </w:rPr>
        <w:t>yield</w:t>
      </w:r>
      <w:r w:rsidRPr="00B6450D">
        <w:rPr>
          <w:rFonts w:hint="cs"/>
          <w:i/>
          <w:sz w:val="23"/>
          <w:szCs w:val="23"/>
          <w:rtl/>
        </w:rPr>
        <w:t xml:space="preserve"> بازنویسی کرد</w:t>
      </w:r>
    </w:p>
    <w:p w14:paraId="67034C7E" w14:textId="77777777" w:rsidR="00556C10" w:rsidRPr="00B6450D" w:rsidRDefault="00556C10" w:rsidP="00556C10">
      <w:pPr>
        <w:bidi w:val="0"/>
        <w:spacing w:line="216" w:lineRule="auto"/>
        <w:rPr>
          <w:i/>
          <w:sz w:val="23"/>
          <w:szCs w:val="23"/>
          <w:rtl/>
        </w:rPr>
      </w:pPr>
      <w:r w:rsidRPr="00B6450D">
        <w:rPr>
          <w:position w:val="-42"/>
        </w:rPr>
        <w:object w:dxaOrig="4640" w:dyaOrig="960" w14:anchorId="3E60B6FB">
          <v:shape id="_x0000_i5428" type="#_x0000_t75" style="width:232.35pt;height:47.8pt" o:ole="">
            <v:imagedata r:id="rId8863" o:title=""/>
          </v:shape>
          <o:OLEObject Type="Embed" ProgID="Equation.DSMT4" ShapeID="_x0000_i5428" DrawAspect="Content" ObjectID="_1791379372" r:id="rId8864"/>
        </w:object>
      </w:r>
      <w:r w:rsidRPr="00B6450D">
        <w:rPr>
          <w:i/>
          <w:sz w:val="23"/>
          <w:szCs w:val="23"/>
        </w:rPr>
        <w:tab/>
        <w:t xml:space="preserve"> </w:t>
      </w:r>
      <w:r w:rsidRPr="00B6450D">
        <w:rPr>
          <w:i/>
          <w:sz w:val="23"/>
          <w:szCs w:val="23"/>
          <w:rtl/>
        </w:rPr>
        <w:tab/>
      </w:r>
      <w:r>
        <w:rPr>
          <w:i/>
          <w:sz w:val="23"/>
          <w:szCs w:val="23"/>
          <w:rtl/>
        </w:rPr>
        <w:tab/>
      </w:r>
      <w:r>
        <w:rPr>
          <w:i/>
          <w:sz w:val="23"/>
          <w:szCs w:val="23"/>
          <w:rtl/>
        </w:rPr>
        <w:tab/>
      </w:r>
      <w:r w:rsidRPr="00B6450D">
        <w:rPr>
          <w:i/>
          <w:sz w:val="23"/>
          <w:szCs w:val="23"/>
        </w:rPr>
        <w:tab/>
      </w:r>
      <w:r w:rsidRPr="00B6450D">
        <w:rPr>
          <w:rFonts w:hint="cs"/>
          <w:i/>
          <w:sz w:val="23"/>
          <w:szCs w:val="23"/>
          <w:rtl/>
        </w:rPr>
        <w:t>(۱۲. ۲۴)</w:t>
      </w:r>
    </w:p>
    <w:p w14:paraId="049A7571" w14:textId="77777777" w:rsidR="00556C10" w:rsidRPr="00B6450D" w:rsidRDefault="00556C10" w:rsidP="00556C10">
      <w:pPr>
        <w:spacing w:line="216" w:lineRule="auto"/>
        <w:rPr>
          <w:i/>
          <w:sz w:val="23"/>
          <w:szCs w:val="23"/>
          <w:rtl/>
        </w:rPr>
      </w:pPr>
      <w:r w:rsidRPr="00B6450D">
        <w:rPr>
          <w:rFonts w:hint="cs"/>
          <w:i/>
          <w:sz w:val="23"/>
          <w:szCs w:val="23"/>
          <w:rtl/>
        </w:rPr>
        <w:t>یا، از آنجا که</w:t>
      </w:r>
      <w:r w:rsidRPr="00B6450D">
        <w:rPr>
          <w:position w:val="-12"/>
        </w:rPr>
        <w:object w:dxaOrig="2560" w:dyaOrig="360" w14:anchorId="1F5896AC">
          <v:shape id="_x0000_i5429" type="#_x0000_t75" style="width:127.65pt;height:18.15pt" o:ole="">
            <v:imagedata r:id="rId8865" o:title=""/>
          </v:shape>
          <o:OLEObject Type="Embed" ProgID="Equation.DSMT4" ShapeID="_x0000_i5429" DrawAspect="Content" ObjectID="_1791379373" r:id="rId8866"/>
        </w:object>
      </w:r>
      <w:r w:rsidRPr="00B6450D">
        <w:rPr>
          <w:rFonts w:hint="cs"/>
          <w:i/>
          <w:sz w:val="23"/>
          <w:szCs w:val="23"/>
          <w:rtl/>
        </w:rPr>
        <w:t>، به گونه‏ای که</w:t>
      </w:r>
    </w:p>
    <w:p w14:paraId="3498173D" w14:textId="77777777" w:rsidR="00556C10" w:rsidRPr="00B6450D" w:rsidRDefault="00556C10" w:rsidP="00556C10">
      <w:pPr>
        <w:bidi w:val="0"/>
        <w:spacing w:line="216" w:lineRule="auto"/>
        <w:rPr>
          <w:i/>
          <w:sz w:val="23"/>
          <w:szCs w:val="23"/>
          <w:rtl/>
        </w:rPr>
      </w:pPr>
      <w:r w:rsidRPr="00B6450D">
        <w:rPr>
          <w:position w:val="-22"/>
        </w:rPr>
        <w:object w:dxaOrig="4239" w:dyaOrig="560" w14:anchorId="24991602">
          <v:shape id="_x0000_i5430" type="#_x0000_t75" style="width:211.75pt;height:27.85pt" o:ole="">
            <v:imagedata r:id="rId8867" o:title=""/>
          </v:shape>
          <o:OLEObject Type="Embed" ProgID="Equation.DSMT4" ShapeID="_x0000_i5430" DrawAspect="Content" ObjectID="_1791379374" r:id="rId8868"/>
        </w:object>
      </w:r>
      <w:r w:rsidRPr="00B6450D">
        <w:rPr>
          <w:i/>
          <w:sz w:val="23"/>
          <w:szCs w:val="23"/>
        </w:rPr>
        <w:tab/>
      </w:r>
      <w:r w:rsidRPr="00B6450D">
        <w:rPr>
          <w:i/>
          <w:sz w:val="23"/>
          <w:szCs w:val="23"/>
        </w:rPr>
        <w:tab/>
      </w:r>
      <w:r w:rsidRPr="00B6450D">
        <w:rPr>
          <w:i/>
          <w:sz w:val="23"/>
          <w:szCs w:val="23"/>
        </w:rPr>
        <w:tab/>
        <w:t xml:space="preserve"> </w:t>
      </w:r>
      <w:r w:rsidRPr="00B6450D">
        <w:rPr>
          <w:i/>
          <w:sz w:val="23"/>
          <w:szCs w:val="23"/>
        </w:rPr>
        <w:tab/>
      </w:r>
      <w:r>
        <w:rPr>
          <w:i/>
          <w:sz w:val="23"/>
          <w:szCs w:val="23"/>
          <w:rtl/>
        </w:rPr>
        <w:tab/>
      </w:r>
      <w:r>
        <w:rPr>
          <w:i/>
          <w:sz w:val="23"/>
          <w:szCs w:val="23"/>
          <w:rtl/>
        </w:rPr>
        <w:tab/>
      </w:r>
      <w:r w:rsidRPr="00B6450D">
        <w:rPr>
          <w:i/>
          <w:sz w:val="23"/>
          <w:szCs w:val="23"/>
          <w:rtl/>
        </w:rPr>
        <w:tab/>
      </w:r>
      <w:r w:rsidRPr="00B6450D">
        <w:rPr>
          <w:rFonts w:hint="cs"/>
          <w:i/>
          <w:sz w:val="23"/>
          <w:szCs w:val="23"/>
          <w:rtl/>
        </w:rPr>
        <w:t>(۱۲. ۲۵)</w:t>
      </w:r>
    </w:p>
    <w:p w14:paraId="49C058ED" w14:textId="77777777" w:rsidR="00556C10" w:rsidRPr="00B6450D" w:rsidRDefault="00556C10" w:rsidP="00556C10">
      <w:pPr>
        <w:spacing w:line="216" w:lineRule="auto"/>
        <w:rPr>
          <w:i/>
          <w:sz w:val="23"/>
          <w:szCs w:val="23"/>
          <w:rtl/>
        </w:rPr>
      </w:pPr>
      <w:r w:rsidRPr="00B6450D">
        <w:rPr>
          <w:rFonts w:hint="cs"/>
          <w:i/>
          <w:sz w:val="23"/>
          <w:szCs w:val="23"/>
          <w:rtl/>
        </w:rPr>
        <w:t>رابطه‏ی فوق شرط عدم وجود آربیتراژ اولیه برای اوراق قرضه‏ی</w:t>
      </w:r>
      <w:r w:rsidRPr="00B6450D">
        <w:rPr>
          <w:position w:val="-6"/>
        </w:rPr>
        <w:object w:dxaOrig="200" w:dyaOrig="200" w14:anchorId="1FEE162E">
          <v:shape id="_x0000_i5431" type="#_x0000_t75" style="width:10.3pt;height:10.3pt" o:ole="">
            <v:imagedata r:id="rId8869" o:title=""/>
          </v:shape>
          <o:OLEObject Type="Embed" ProgID="Equation.DSMT4" ShapeID="_x0000_i5431" DrawAspect="Content" ObjectID="_1791379375" r:id="rId8870"/>
        </w:object>
      </w:r>
      <w:r w:rsidRPr="00B6450D">
        <w:rPr>
          <w:rFonts w:hint="cs"/>
          <w:i/>
          <w:sz w:val="23"/>
          <w:szCs w:val="23"/>
          <w:rtl/>
        </w:rPr>
        <w:t xml:space="preserve"> دوره‏ای است، و عبارت سمت راست همان مابه</w:t>
      </w:r>
      <w:r w:rsidRPr="00B6450D">
        <w:rPr>
          <w:i/>
          <w:sz w:val="23"/>
          <w:szCs w:val="23"/>
          <w:rtl/>
        </w:rPr>
        <w:softHyphen/>
      </w:r>
      <w:r w:rsidRPr="00B6450D">
        <w:rPr>
          <w:rFonts w:hint="cs"/>
          <w:i/>
          <w:sz w:val="23"/>
          <w:szCs w:val="23"/>
          <w:rtl/>
        </w:rPr>
        <w:t>التفاوت زمانی می</w:t>
      </w:r>
      <w:r w:rsidRPr="00B6450D">
        <w:rPr>
          <w:i/>
          <w:sz w:val="23"/>
          <w:szCs w:val="23"/>
          <w:rtl/>
        </w:rPr>
        <w:softHyphen/>
      </w:r>
      <w:r w:rsidRPr="00B6450D">
        <w:rPr>
          <w:rFonts w:hint="cs"/>
          <w:i/>
          <w:sz w:val="23"/>
          <w:szCs w:val="23"/>
          <w:rtl/>
        </w:rPr>
        <w:t>باشد.</w:t>
      </w:r>
    </w:p>
    <w:p w14:paraId="732046CC" w14:textId="77777777" w:rsidR="00556C10" w:rsidRPr="00B6450D" w:rsidRDefault="00556C10" w:rsidP="00556C10">
      <w:pPr>
        <w:spacing w:line="216" w:lineRule="auto"/>
        <w:rPr>
          <w:i/>
          <w:sz w:val="23"/>
          <w:szCs w:val="23"/>
          <w:rtl/>
        </w:rPr>
      </w:pPr>
    </w:p>
    <w:p w14:paraId="384903FC" w14:textId="77777777" w:rsidR="00556C10" w:rsidRPr="00B6450D" w:rsidRDefault="00556C10" w:rsidP="00556C10">
      <w:pPr>
        <w:spacing w:line="216" w:lineRule="auto"/>
        <w:rPr>
          <w:bCs/>
          <w:i/>
          <w:sz w:val="23"/>
          <w:szCs w:val="23"/>
          <w:rtl/>
        </w:rPr>
      </w:pPr>
      <w:r w:rsidRPr="00B6450D">
        <w:rPr>
          <w:rFonts w:hint="cs"/>
          <w:bCs/>
          <w:i/>
          <w:sz w:val="23"/>
          <w:szCs w:val="23"/>
          <w:rtl/>
        </w:rPr>
        <w:t>مدل‌های عامل نهفته هموند مابه</w:t>
      </w:r>
      <w:r w:rsidRPr="00B6450D">
        <w:rPr>
          <w:bCs/>
          <w:i/>
          <w:sz w:val="23"/>
          <w:szCs w:val="23"/>
          <w:rtl/>
        </w:rPr>
        <w:softHyphen/>
      </w:r>
      <w:r w:rsidRPr="00B6450D">
        <w:rPr>
          <w:rFonts w:hint="cs"/>
          <w:bCs/>
          <w:i/>
          <w:sz w:val="23"/>
          <w:szCs w:val="23"/>
          <w:rtl/>
        </w:rPr>
        <w:t>التفاوت زمانی</w:t>
      </w:r>
      <w:r w:rsidRPr="00B6450D">
        <w:rPr>
          <w:rStyle w:val="FootnoteReference"/>
          <w:rFonts w:eastAsiaTheme="majorEastAsia"/>
          <w:bCs/>
          <w:i/>
          <w:sz w:val="23"/>
          <w:szCs w:val="23"/>
          <w:rtl/>
        </w:rPr>
        <w:footnoteReference w:id="285"/>
      </w:r>
    </w:p>
    <w:p w14:paraId="642AA865" w14:textId="77777777" w:rsidR="00556C10" w:rsidRPr="00B6450D" w:rsidRDefault="00556C10" w:rsidP="00556C10">
      <w:pPr>
        <w:spacing w:line="216" w:lineRule="auto"/>
        <w:rPr>
          <w:i/>
          <w:sz w:val="23"/>
          <w:szCs w:val="23"/>
        </w:rPr>
      </w:pPr>
      <w:r w:rsidRPr="00B6450D">
        <w:rPr>
          <w:rFonts w:hint="cs"/>
          <w:i/>
          <w:sz w:val="23"/>
          <w:szCs w:val="23"/>
          <w:rtl/>
        </w:rPr>
        <w:t>این روش را با استفاده از مدل یک عاملی نشان داده و</w:t>
      </w:r>
      <w:r w:rsidRPr="00B6450D">
        <w:rPr>
          <w:i/>
          <w:sz w:val="23"/>
          <w:szCs w:val="23"/>
        </w:rPr>
        <w:t xml:space="preserve"> </w:t>
      </w:r>
      <w:r w:rsidRPr="00B6450D">
        <w:rPr>
          <w:rFonts w:hint="cs"/>
          <w:i/>
          <w:sz w:val="23"/>
          <w:szCs w:val="23"/>
          <w:rtl/>
        </w:rPr>
        <w:t>سپس دو مدل کاکس-اینگرسول-رُز</w:t>
      </w:r>
      <w:r w:rsidRPr="00B6450D">
        <w:rPr>
          <w:rStyle w:val="FootnoteReference"/>
          <w:rFonts w:eastAsiaTheme="majorEastAsia"/>
          <w:i/>
          <w:sz w:val="23"/>
          <w:szCs w:val="23"/>
          <w:rtl/>
        </w:rPr>
        <w:footnoteReference w:id="286"/>
      </w:r>
      <w:r w:rsidRPr="00B6450D">
        <w:rPr>
          <w:rFonts w:hint="cs"/>
          <w:i/>
          <w:sz w:val="23"/>
          <w:szCs w:val="23"/>
          <w:rtl/>
        </w:rPr>
        <w:t xml:space="preserve"> و مدل واسیکس</w:t>
      </w:r>
      <w:r w:rsidRPr="00B6450D">
        <w:rPr>
          <w:rStyle w:val="FootnoteReference"/>
          <w:rFonts w:eastAsiaTheme="majorEastAsia"/>
          <w:i/>
          <w:sz w:val="23"/>
          <w:szCs w:val="23"/>
          <w:rtl/>
        </w:rPr>
        <w:footnoteReference w:id="287"/>
      </w:r>
      <w:r w:rsidRPr="00B6450D">
        <w:rPr>
          <w:rFonts w:hint="cs"/>
          <w:i/>
          <w:sz w:val="23"/>
          <w:szCs w:val="23"/>
          <w:rtl/>
        </w:rPr>
        <w:t xml:space="preserve"> را با یکدیگر مقایسه می‌کنیم. در مدل یک عامل لگاریتم قیمت</w:t>
      </w:r>
      <w:r w:rsidRPr="00B6450D">
        <w:rPr>
          <w:position w:val="-12"/>
        </w:rPr>
        <w:object w:dxaOrig="360" w:dyaOrig="340" w14:anchorId="0BD5B92F">
          <v:shape id="_x0000_i5432" type="#_x0000_t75" style="width:18.15pt;height:16.95pt" o:ole="">
            <v:imagedata r:id="rId8871" o:title=""/>
          </v:shape>
          <o:OLEObject Type="Embed" ProgID="Equation.DSMT4" ShapeID="_x0000_i5432" DrawAspect="Content" ObjectID="_1791379376" r:id="rId8872"/>
        </w:object>
      </w:r>
      <w:r w:rsidRPr="00B6450D">
        <w:rPr>
          <w:rFonts w:hint="cs"/>
          <w:i/>
          <w:sz w:val="23"/>
          <w:szCs w:val="23"/>
          <w:rtl/>
        </w:rPr>
        <w:t xml:space="preserve"> را تابعی خطی از عامل</w:t>
      </w:r>
      <w:r w:rsidRPr="00B6450D">
        <w:rPr>
          <w:position w:val="-10"/>
        </w:rPr>
        <w:object w:dxaOrig="220" w:dyaOrig="320" w14:anchorId="212DE4B7">
          <v:shape id="_x0000_i5433" type="#_x0000_t75" style="width:10.9pt;height:15.75pt" o:ole="">
            <v:imagedata r:id="rId8873" o:title=""/>
          </v:shape>
          <o:OLEObject Type="Embed" ProgID="Equation.DSMT4" ShapeID="_x0000_i5433" DrawAspect="Content" ObjectID="_1791379377" r:id="rId8874"/>
        </w:object>
      </w:r>
      <w:r w:rsidRPr="00B6450D">
        <w:rPr>
          <w:rFonts w:hint="cs"/>
          <w:i/>
          <w:sz w:val="23"/>
          <w:szCs w:val="23"/>
          <w:rtl/>
        </w:rPr>
        <w:t xml:space="preserve"> در نظر می‌گیریم</w:t>
      </w:r>
    </w:p>
    <w:p w14:paraId="538B2054" w14:textId="77777777" w:rsidR="00556C10" w:rsidRPr="00B6450D" w:rsidRDefault="00556C10" w:rsidP="00556C10">
      <w:pPr>
        <w:bidi w:val="0"/>
        <w:spacing w:line="216" w:lineRule="auto"/>
        <w:rPr>
          <w:i/>
          <w:sz w:val="23"/>
          <w:szCs w:val="23"/>
          <w:rtl/>
        </w:rPr>
      </w:pPr>
      <w:r w:rsidRPr="00B6450D">
        <w:rPr>
          <w:position w:val="-12"/>
        </w:rPr>
        <w:object w:dxaOrig="1780" w:dyaOrig="360" w14:anchorId="78AC137F">
          <v:shape id="_x0000_i5434" type="#_x0000_t75" style="width:88.95pt;height:18.15pt" o:ole="">
            <v:imagedata r:id="rId8875" o:title=""/>
          </v:shape>
          <o:OLEObject Type="Embed" ProgID="Equation.DSMT4" ShapeID="_x0000_i5434" DrawAspect="Content" ObjectID="_1791379378" r:id="rId8876"/>
        </w:object>
      </w:r>
    </w:p>
    <w:p w14:paraId="1B64171A" w14:textId="77777777" w:rsidR="00556C10" w:rsidRPr="00B6450D" w:rsidRDefault="00556C10" w:rsidP="00556C10">
      <w:pPr>
        <w:spacing w:line="216" w:lineRule="auto"/>
        <w:rPr>
          <w:i/>
          <w:sz w:val="23"/>
          <w:szCs w:val="23"/>
          <w:rtl/>
        </w:rPr>
      </w:pPr>
      <w:r w:rsidRPr="00B6450D">
        <w:rPr>
          <w:rFonts w:hint="cs"/>
          <w:i/>
          <w:sz w:val="23"/>
          <w:szCs w:val="23"/>
          <w:rtl/>
        </w:rPr>
        <w:lastRenderedPageBreak/>
        <w:t>ضرایب این مدل برای هر سررسید متفاوت است ولی بر اساس عدم وجود فرصت‌های آربیتراژ در بین سررسیدها، با یکدیگر مرتبط</w:t>
      </w:r>
      <w:r w:rsidRPr="00B6450D">
        <w:rPr>
          <w:i/>
          <w:sz w:val="23"/>
          <w:szCs w:val="23"/>
          <w:rtl/>
        </w:rPr>
        <w:softHyphen/>
      </w:r>
      <w:r w:rsidRPr="00B6450D">
        <w:rPr>
          <w:rFonts w:hint="cs"/>
          <w:i/>
          <w:sz w:val="23"/>
          <w:szCs w:val="23"/>
          <w:rtl/>
        </w:rPr>
        <w:t>اند. در این قسمت این قیود را استخراج خواهیم کرد. بازده در سررسید برابر است با</w:t>
      </w:r>
    </w:p>
    <w:p w14:paraId="69D6F917" w14:textId="77777777" w:rsidR="00556C10" w:rsidRPr="00B6450D" w:rsidRDefault="00556C10" w:rsidP="00556C10">
      <w:pPr>
        <w:bidi w:val="0"/>
        <w:spacing w:line="216" w:lineRule="auto"/>
        <w:rPr>
          <w:i/>
          <w:sz w:val="23"/>
          <w:szCs w:val="23"/>
          <w:rtl/>
        </w:rPr>
      </w:pPr>
      <w:r w:rsidRPr="00B6450D">
        <w:rPr>
          <w:position w:val="-22"/>
        </w:rPr>
        <w:object w:dxaOrig="2439" w:dyaOrig="580" w14:anchorId="7C74F93A">
          <v:shape id="_x0000_i5435" type="#_x0000_t75" style="width:121.6pt;height:29.05pt" o:ole="">
            <v:imagedata r:id="rId8877" o:title=""/>
          </v:shape>
          <o:OLEObject Type="Embed" ProgID="Equation.DSMT4" ShapeID="_x0000_i5435" DrawAspect="Content" ObjectID="_1791379379" r:id="rId8878"/>
        </w:object>
      </w:r>
    </w:p>
    <w:p w14:paraId="771ECD7B" w14:textId="77777777" w:rsidR="00556C10" w:rsidRPr="00B6450D" w:rsidRDefault="00556C10" w:rsidP="00556C10">
      <w:pPr>
        <w:spacing w:line="216" w:lineRule="auto"/>
        <w:rPr>
          <w:i/>
          <w:sz w:val="23"/>
          <w:szCs w:val="23"/>
        </w:rPr>
      </w:pPr>
      <w:r w:rsidRPr="00B6450D">
        <w:rPr>
          <w:rFonts w:hint="cs"/>
          <w:i/>
          <w:sz w:val="23"/>
          <w:szCs w:val="23"/>
          <w:rtl/>
        </w:rPr>
        <w:t>و نرخ بدون ریسک یک دوره</w:t>
      </w:r>
      <w:r w:rsidRPr="00B6450D">
        <w:rPr>
          <w:i/>
          <w:sz w:val="23"/>
          <w:szCs w:val="23"/>
          <w:rtl/>
        </w:rPr>
        <w:softHyphen/>
      </w:r>
      <w:r w:rsidRPr="00B6450D">
        <w:rPr>
          <w:rFonts w:hint="cs"/>
          <w:i/>
          <w:sz w:val="23"/>
          <w:szCs w:val="23"/>
          <w:rtl/>
        </w:rPr>
        <w:t>ای برابر است با</w:t>
      </w:r>
    </w:p>
    <w:p w14:paraId="73BDD7A0" w14:textId="77777777" w:rsidR="00556C10" w:rsidRPr="00B6450D" w:rsidRDefault="00556C10" w:rsidP="00556C10">
      <w:pPr>
        <w:bidi w:val="0"/>
        <w:spacing w:line="216" w:lineRule="auto"/>
        <w:rPr>
          <w:i/>
          <w:sz w:val="23"/>
          <w:szCs w:val="23"/>
          <w:rtl/>
        </w:rPr>
      </w:pPr>
      <w:r w:rsidRPr="00B6450D">
        <w:rPr>
          <w:position w:val="-12"/>
        </w:rPr>
        <w:object w:dxaOrig="1880" w:dyaOrig="340" w14:anchorId="2E8A1D48">
          <v:shape id="_x0000_i5436" type="#_x0000_t75" style="width:93.8pt;height:16.95pt" o:ole="">
            <v:imagedata r:id="rId8879" o:title=""/>
          </v:shape>
          <o:OLEObject Type="Embed" ProgID="Equation.DSMT4" ShapeID="_x0000_i5436" DrawAspect="Content" ObjectID="_1791379380" r:id="rId8880"/>
        </w:object>
      </w:r>
    </w:p>
    <w:p w14:paraId="5505FD59" w14:textId="77777777" w:rsidR="00556C10" w:rsidRPr="00B6450D" w:rsidRDefault="00556C10" w:rsidP="00556C10">
      <w:pPr>
        <w:spacing w:line="216" w:lineRule="auto"/>
        <w:rPr>
          <w:i/>
          <w:sz w:val="23"/>
          <w:szCs w:val="23"/>
        </w:rPr>
      </w:pPr>
      <w:r w:rsidRPr="00B6450D">
        <w:rPr>
          <w:rFonts w:hint="cs"/>
          <w:i/>
          <w:sz w:val="23"/>
          <w:szCs w:val="23"/>
          <w:rtl/>
        </w:rPr>
        <w:t>برای استخراج قیود</w:t>
      </w:r>
      <w:r w:rsidRPr="00B6450D">
        <w:rPr>
          <w:position w:val="-10"/>
        </w:rPr>
        <w:object w:dxaOrig="320" w:dyaOrig="320" w14:anchorId="03922CB3">
          <v:shape id="_x0000_i5437" type="#_x0000_t75" style="width:15.75pt;height:15.75pt" o:ole="">
            <v:imagedata r:id="rId8881" o:title=""/>
          </v:shape>
          <o:OLEObject Type="Embed" ProgID="Equation.DSMT4" ShapeID="_x0000_i5437" DrawAspect="Content" ObjectID="_1791379381" r:id="rId8882"/>
        </w:object>
      </w:r>
      <w:r w:rsidRPr="00B6450D">
        <w:rPr>
          <w:rFonts w:hint="cs"/>
          <w:i/>
          <w:sz w:val="23"/>
          <w:szCs w:val="23"/>
          <w:rtl/>
        </w:rPr>
        <w:t xml:space="preserve"> و</w:t>
      </w:r>
      <w:r w:rsidRPr="00B6450D">
        <w:rPr>
          <w:position w:val="-10"/>
        </w:rPr>
        <w:object w:dxaOrig="300" w:dyaOrig="320" w14:anchorId="19C984D4">
          <v:shape id="_x0000_i5438" type="#_x0000_t75" style="width:14.5pt;height:15.75pt" o:ole="">
            <v:imagedata r:id="rId8883" o:title=""/>
          </v:shape>
          <o:OLEObject Type="Embed" ProgID="Equation.DSMT4" ShapeID="_x0000_i5438" DrawAspect="Content" ObjectID="_1791379382" r:id="rId8884"/>
        </w:object>
      </w:r>
      <w:r w:rsidRPr="00B6450D">
        <w:rPr>
          <w:rFonts w:hint="cs"/>
          <w:i/>
          <w:sz w:val="23"/>
          <w:szCs w:val="23"/>
          <w:rtl/>
        </w:rPr>
        <w:t xml:space="preserve"> می‌بایست فرضی را در خصوص فرایند ایجاد</w:t>
      </w:r>
      <w:r w:rsidRPr="00B6450D">
        <w:rPr>
          <w:position w:val="-10"/>
        </w:rPr>
        <w:object w:dxaOrig="220" w:dyaOrig="320" w14:anchorId="62F97C86">
          <v:shape id="_x0000_i5439" type="#_x0000_t75" style="width:10.9pt;height:15.75pt" o:ole="">
            <v:imagedata r:id="rId8885" o:title=""/>
          </v:shape>
          <o:OLEObject Type="Embed" ProgID="Equation.DSMT4" ShapeID="_x0000_i5439" DrawAspect="Content" ObjectID="_1791379383" r:id="rId8886"/>
        </w:object>
      </w:r>
      <w:r w:rsidRPr="00B6450D">
        <w:rPr>
          <w:rFonts w:hint="cs"/>
          <w:i/>
          <w:sz w:val="23"/>
          <w:szCs w:val="23"/>
          <w:rtl/>
        </w:rPr>
        <w:t xml:space="preserve"> معرفی کنیم.</w:t>
      </w:r>
    </w:p>
    <w:p w14:paraId="61D532A5" w14:textId="77777777" w:rsidR="00556C10" w:rsidRPr="00B6450D" w:rsidRDefault="00556C10" w:rsidP="00556C10">
      <w:pPr>
        <w:bidi w:val="0"/>
        <w:spacing w:line="216" w:lineRule="auto"/>
        <w:rPr>
          <w:i/>
          <w:sz w:val="23"/>
          <w:szCs w:val="23"/>
          <w:rtl/>
        </w:rPr>
      </w:pPr>
      <w:r w:rsidRPr="00B6450D">
        <w:rPr>
          <w:rFonts w:hint="cs"/>
          <w:i/>
          <w:sz w:val="23"/>
          <w:szCs w:val="23"/>
          <w:rtl/>
        </w:rPr>
        <w:t xml:space="preserve">کاکس-اینگرسول-رُز مدلی را از ساختار زمانی نرخ بهره ارائه می‌کنند که در آن فرض می‌شود </w:t>
      </w:r>
      <w:r w:rsidRPr="00B6450D">
        <w:rPr>
          <w:position w:val="-6"/>
        </w:rPr>
        <w:object w:dxaOrig="940" w:dyaOrig="260" w14:anchorId="182B13C6">
          <v:shape id="_x0000_i5440" type="#_x0000_t75" style="width:47.2pt;height:13.3pt" o:ole="">
            <v:imagedata r:id="rId8887" o:title=""/>
          </v:shape>
          <o:OLEObject Type="Embed" ProgID="Equation.DSMT4" ShapeID="_x0000_i5440" DrawAspect="Content" ObjectID="_1791379384" r:id="rId8888"/>
        </w:object>
      </w:r>
      <w:r w:rsidRPr="00B6450D">
        <w:rPr>
          <w:rFonts w:hint="cs"/>
          <w:i/>
          <w:sz w:val="23"/>
          <w:szCs w:val="23"/>
          <w:rtl/>
        </w:rPr>
        <w:t xml:space="preserve"> </w:t>
      </w:r>
    </w:p>
    <w:p w14:paraId="4B04D2AF" w14:textId="77777777" w:rsidR="00556C10" w:rsidRPr="00B6450D" w:rsidRDefault="00556C10" w:rsidP="00556C10">
      <w:pPr>
        <w:spacing w:line="216" w:lineRule="auto"/>
        <w:rPr>
          <w:i/>
          <w:sz w:val="23"/>
          <w:szCs w:val="23"/>
          <w:rtl/>
        </w:rPr>
      </w:pPr>
      <w:r w:rsidRPr="00B6450D">
        <w:rPr>
          <w:rFonts w:hint="cs"/>
          <w:i/>
          <w:sz w:val="23"/>
          <w:szCs w:val="23"/>
          <w:rtl/>
        </w:rPr>
        <w:t>و</w:t>
      </w:r>
    </w:p>
    <w:p w14:paraId="13136F40" w14:textId="77777777" w:rsidR="00556C10" w:rsidRPr="00B6450D" w:rsidRDefault="00556C10" w:rsidP="00556C10">
      <w:pPr>
        <w:bidi w:val="0"/>
        <w:spacing w:line="216" w:lineRule="auto"/>
        <w:rPr>
          <w:i/>
          <w:sz w:val="23"/>
          <w:szCs w:val="23"/>
          <w:rtl/>
        </w:rPr>
      </w:pPr>
      <w:r w:rsidRPr="00B6450D">
        <w:rPr>
          <w:position w:val="-10"/>
        </w:rPr>
        <w:object w:dxaOrig="1560" w:dyaOrig="320" w14:anchorId="47A24668">
          <v:shape id="_x0000_i5441" type="#_x0000_t75" style="width:78.65pt;height:15.75pt" o:ole="">
            <v:imagedata r:id="rId8889" o:title=""/>
          </v:shape>
          <o:OLEObject Type="Embed" ProgID="Equation.DSMT4" ShapeID="_x0000_i5441" DrawAspect="Content" ObjectID="_1791379385" r:id="rId8890"/>
        </w:object>
      </w:r>
      <w:r w:rsidRPr="00B6450D">
        <w:rPr>
          <w:i/>
          <w:sz w:val="23"/>
          <w:szCs w:val="23"/>
        </w:rPr>
        <w:tab/>
      </w:r>
      <w:r w:rsidRPr="00B6450D">
        <w:rPr>
          <w:i/>
          <w:sz w:val="23"/>
          <w:szCs w:val="23"/>
        </w:rPr>
        <w:tab/>
      </w:r>
      <w:r w:rsidRPr="00B6450D">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sidRPr="00B6450D">
        <w:rPr>
          <w:i/>
          <w:sz w:val="23"/>
          <w:szCs w:val="23"/>
          <w:rtl/>
        </w:rPr>
        <w:tab/>
      </w:r>
      <w:r w:rsidRPr="00B6450D">
        <w:rPr>
          <w:i/>
          <w:sz w:val="23"/>
          <w:szCs w:val="23"/>
        </w:rPr>
        <w:tab/>
        <w:t xml:space="preserve"> </w:t>
      </w:r>
      <w:r w:rsidRPr="00B6450D">
        <w:rPr>
          <w:i/>
          <w:sz w:val="23"/>
          <w:szCs w:val="23"/>
          <w:rtl/>
        </w:rPr>
        <w:tab/>
      </w:r>
      <w:r w:rsidRPr="00B6450D">
        <w:rPr>
          <w:rFonts w:hint="cs"/>
          <w:i/>
          <w:sz w:val="23"/>
          <w:szCs w:val="23"/>
          <w:rtl/>
        </w:rPr>
        <w:t>(۱۲. ۲۶)</w:t>
      </w:r>
    </w:p>
    <w:p w14:paraId="6B9F9E66" w14:textId="77777777" w:rsidR="00556C10" w:rsidRPr="00B6450D" w:rsidRDefault="00556C10" w:rsidP="00556C10">
      <w:pPr>
        <w:bidi w:val="0"/>
        <w:spacing w:line="216" w:lineRule="auto"/>
        <w:rPr>
          <w:i/>
          <w:sz w:val="23"/>
          <w:szCs w:val="23"/>
          <w:rtl/>
        </w:rPr>
      </w:pPr>
      <w:r w:rsidRPr="00B6450D">
        <w:rPr>
          <w:position w:val="-12"/>
        </w:rPr>
        <w:object w:dxaOrig="2220" w:dyaOrig="360" w14:anchorId="3773D574">
          <v:shape id="_x0000_i5442" type="#_x0000_t75" style="width:110.7pt;height:18.15pt" o:ole="">
            <v:imagedata r:id="rId8891" o:title=""/>
          </v:shape>
          <o:OLEObject Type="Embed" ProgID="Equation.DSMT4" ShapeID="_x0000_i5442" DrawAspect="Content" ObjectID="_1791379386" r:id="rId8892"/>
        </w:object>
      </w:r>
      <w:r w:rsidRPr="00B6450D">
        <w:rPr>
          <w:i/>
          <w:sz w:val="23"/>
          <w:szCs w:val="23"/>
        </w:rPr>
        <w:tab/>
      </w:r>
      <w:r w:rsidRPr="00B6450D">
        <w:rPr>
          <w:i/>
          <w:sz w:val="23"/>
          <w:szCs w:val="23"/>
        </w:rPr>
        <w:tab/>
      </w:r>
      <w:r w:rsidRPr="00B6450D">
        <w:rPr>
          <w:i/>
          <w:sz w:val="23"/>
          <w:szCs w:val="23"/>
          <w:rtl/>
        </w:rPr>
        <w:tab/>
      </w:r>
      <w:r w:rsidRPr="00B6450D">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tl/>
        </w:rPr>
        <w:tab/>
      </w:r>
      <w:r>
        <w:rPr>
          <w:i/>
          <w:sz w:val="23"/>
          <w:szCs w:val="23"/>
          <w:rtl/>
        </w:rPr>
        <w:tab/>
      </w:r>
      <w:r w:rsidRPr="00B6450D">
        <w:rPr>
          <w:i/>
          <w:sz w:val="23"/>
          <w:szCs w:val="23"/>
        </w:rPr>
        <w:t xml:space="preserve"> </w:t>
      </w:r>
      <w:r w:rsidRPr="00B6450D">
        <w:rPr>
          <w:i/>
          <w:sz w:val="23"/>
          <w:szCs w:val="23"/>
        </w:rPr>
        <w:tab/>
      </w:r>
      <w:r>
        <w:rPr>
          <w:i/>
          <w:sz w:val="23"/>
          <w:szCs w:val="23"/>
          <w:rtl/>
        </w:rPr>
        <w:tab/>
      </w:r>
      <w:r w:rsidRPr="00B6450D">
        <w:rPr>
          <w:i/>
          <w:sz w:val="23"/>
          <w:szCs w:val="23"/>
          <w:rtl/>
        </w:rPr>
        <w:tab/>
      </w:r>
      <w:r w:rsidRPr="00B6450D">
        <w:rPr>
          <w:rFonts w:hint="cs"/>
          <w:i/>
          <w:sz w:val="23"/>
          <w:szCs w:val="23"/>
          <w:rtl/>
        </w:rPr>
        <w:t>(۱۲. ۲۷)</w:t>
      </w:r>
    </w:p>
    <w:p w14:paraId="658C9914" w14:textId="77777777" w:rsidR="00556C10" w:rsidRPr="00B6450D" w:rsidRDefault="00556C10" w:rsidP="00556C10">
      <w:pPr>
        <w:spacing w:line="216" w:lineRule="auto"/>
        <w:rPr>
          <w:i/>
          <w:sz w:val="23"/>
          <w:szCs w:val="23"/>
          <w:rtl/>
        </w:rPr>
      </w:pPr>
      <w:r w:rsidRPr="00B6450D">
        <w:rPr>
          <w:rFonts w:hint="cs"/>
          <w:i/>
          <w:sz w:val="23"/>
          <w:szCs w:val="23"/>
          <w:rtl/>
        </w:rPr>
        <w:t>که در آن متغیر</w:t>
      </w:r>
      <w:r w:rsidRPr="00B6450D">
        <w:rPr>
          <w:position w:val="-10"/>
        </w:rPr>
        <w:object w:dxaOrig="220" w:dyaOrig="320" w14:anchorId="71D09C87">
          <v:shape id="_x0000_i5443" type="#_x0000_t75" style="width:10.9pt;height:15.75pt" o:ole="">
            <v:imagedata r:id="rId8893" o:title=""/>
          </v:shape>
          <o:OLEObject Type="Embed" ProgID="Equation.DSMT4" ShapeID="_x0000_i5443" DrawAspect="Content" ObjectID="_1791379387" r:id="rId8894"/>
        </w:object>
      </w:r>
      <w:r w:rsidRPr="00B6450D">
        <w:rPr>
          <w:rFonts w:hint="cs"/>
          <w:i/>
          <w:sz w:val="23"/>
          <w:szCs w:val="23"/>
          <w:rtl/>
        </w:rPr>
        <w:t xml:space="preserve"> غیرقابل مشاهده است. فرض می‌شود</w:t>
      </w:r>
      <w:r w:rsidRPr="00B6450D">
        <w:rPr>
          <w:position w:val="-10"/>
        </w:rPr>
        <w:object w:dxaOrig="220" w:dyaOrig="320" w14:anchorId="6B11DBA1">
          <v:shape id="_x0000_i5444" type="#_x0000_t75" style="width:10.9pt;height:15.75pt" o:ole="">
            <v:imagedata r:id="rId8895" o:title=""/>
          </v:shape>
          <o:OLEObject Type="Embed" ProgID="Equation.DSMT4" ShapeID="_x0000_i5444" DrawAspect="Content" ObjectID="_1791379388" r:id="rId8896"/>
        </w:object>
      </w:r>
      <w:r w:rsidRPr="00B6450D">
        <w:rPr>
          <w:rFonts w:hint="cs"/>
          <w:i/>
          <w:sz w:val="23"/>
          <w:szCs w:val="23"/>
          <w:rtl/>
        </w:rPr>
        <w:t xml:space="preserve"> بر اساس فرایند خودهمبسته‌ی (۱۲. ۲۷) ایجاد می‌شود، </w:t>
      </w:r>
      <w:r w:rsidRPr="00B6450D">
        <w:rPr>
          <w:position w:val="-12"/>
        </w:rPr>
        <w:object w:dxaOrig="1340" w:dyaOrig="380" w14:anchorId="2723A19B">
          <v:shape id="_x0000_i5445" type="#_x0000_t75" style="width:67.15pt;height:19.35pt" o:ole="">
            <v:imagedata r:id="rId8897" o:title=""/>
          </v:shape>
          <o:OLEObject Type="Embed" ProgID="Equation.DSMT4" ShapeID="_x0000_i5445" DrawAspect="Content" ObjectID="_1791379389" r:id="rId8898"/>
        </w:object>
      </w:r>
      <w:r w:rsidRPr="00B6450D">
        <w:rPr>
          <w:rFonts w:hint="cs"/>
          <w:i/>
          <w:sz w:val="23"/>
          <w:szCs w:val="23"/>
          <w:rtl/>
        </w:rPr>
        <w:t xml:space="preserve"> و </w:t>
      </w:r>
      <w:r w:rsidRPr="00B6450D">
        <w:rPr>
          <w:position w:val="-12"/>
        </w:rPr>
        <w:object w:dxaOrig="1400" w:dyaOrig="360" w14:anchorId="1CFB835D">
          <v:shape id="_x0000_i5446" type="#_x0000_t75" style="width:70.2pt;height:18.15pt" o:ole="">
            <v:imagedata r:id="rId8899" o:title=""/>
          </v:shape>
          <o:OLEObject Type="Embed" ProgID="Equation.DSMT4" ShapeID="_x0000_i5446" DrawAspect="Content" ObjectID="_1791379390" r:id="rId8900"/>
        </w:object>
      </w:r>
      <w:r w:rsidRPr="00B6450D">
        <w:rPr>
          <w:rFonts w:hint="cs"/>
          <w:i/>
          <w:sz w:val="23"/>
          <w:szCs w:val="23"/>
          <w:rtl/>
        </w:rPr>
        <w:t xml:space="preserve"> متغیرهای تصادفی با توزیع مستقل و یکسان و میانگین صفر و واریانس واحد می‌باشند. بنابراین</w:t>
      </w:r>
      <w:r w:rsidRPr="00B6450D">
        <w:rPr>
          <w:position w:val="-12"/>
        </w:rPr>
        <w:object w:dxaOrig="1340" w:dyaOrig="360" w14:anchorId="77EB4845">
          <v:shape id="_x0000_i5447" type="#_x0000_t75" style="width:67.15pt;height:18.15pt" o:ole="">
            <v:imagedata r:id="rId8901" o:title=""/>
          </v:shape>
          <o:OLEObject Type="Embed" ProgID="Equation.DSMT4" ShapeID="_x0000_i5447" DrawAspect="Content" ObjectID="_1791379391" r:id="rId8902"/>
        </w:object>
      </w:r>
      <w:r w:rsidRPr="00B6450D">
        <w:rPr>
          <w:i/>
          <w:sz w:val="23"/>
          <w:szCs w:val="23"/>
        </w:rPr>
        <w:t>.</w:t>
      </w:r>
      <w:r w:rsidRPr="00B6450D">
        <w:rPr>
          <w:rFonts w:hint="cs"/>
          <w:i/>
          <w:sz w:val="23"/>
          <w:szCs w:val="23"/>
          <w:rtl/>
        </w:rPr>
        <w:t xml:space="preserve"> همچنین از قیمت</w:t>
      </w:r>
      <w:r w:rsidRPr="00B6450D">
        <w:rPr>
          <w:i/>
          <w:sz w:val="23"/>
          <w:szCs w:val="23"/>
          <w:rtl/>
        </w:rPr>
        <w:softHyphen/>
      </w:r>
      <w:r w:rsidRPr="00B6450D">
        <w:rPr>
          <w:rFonts w:hint="cs"/>
          <w:i/>
          <w:sz w:val="23"/>
          <w:szCs w:val="23"/>
          <w:rtl/>
        </w:rPr>
        <w:t>گذاری خویشاوند معادله‌ی (۱۲. ۲۷) فرض شده که کلیه‌ی بازده</w:t>
      </w:r>
      <w:r w:rsidRPr="00B6450D">
        <w:rPr>
          <w:i/>
          <w:sz w:val="23"/>
          <w:szCs w:val="23"/>
          <w:rtl/>
        </w:rPr>
        <w:softHyphen/>
      </w:r>
      <w:r w:rsidRPr="00B6450D">
        <w:rPr>
          <w:rFonts w:hint="cs"/>
          <w:i/>
          <w:sz w:val="23"/>
          <w:szCs w:val="23"/>
          <w:rtl/>
        </w:rPr>
        <w:t>ها بطور ضمنی بر اساس فرایند خودهمبسته‌ی مرتبه اول همانند</w:t>
      </w:r>
      <w:r w:rsidRPr="00B6450D">
        <w:rPr>
          <w:position w:val="-10"/>
        </w:rPr>
        <w:object w:dxaOrig="220" w:dyaOrig="320" w14:anchorId="184075D5">
          <v:shape id="_x0000_i5448" type="#_x0000_t75" style="width:10.9pt;height:15.75pt" o:ole="">
            <v:imagedata r:id="rId8903" o:title=""/>
          </v:shape>
          <o:OLEObject Type="Embed" ProgID="Equation.DSMT4" ShapeID="_x0000_i5448" DrawAspect="Content" ObjectID="_1791379392" r:id="rId8904"/>
        </w:object>
      </w:r>
      <w:r w:rsidRPr="00B6450D">
        <w:rPr>
          <w:rFonts w:hint="cs"/>
          <w:i/>
          <w:sz w:val="23"/>
          <w:szCs w:val="23"/>
          <w:rtl/>
        </w:rPr>
        <w:t xml:space="preserve"> ایجاد می‌شوند.</w:t>
      </w:r>
    </w:p>
    <w:p w14:paraId="5DD96F01" w14:textId="77777777" w:rsidR="00556C10" w:rsidRPr="00B6450D" w:rsidRDefault="00556C10" w:rsidP="00556C10">
      <w:pPr>
        <w:spacing w:line="216" w:lineRule="auto"/>
        <w:rPr>
          <w:i/>
          <w:sz w:val="23"/>
          <w:szCs w:val="23"/>
          <w:rtl/>
        </w:rPr>
      </w:pPr>
      <w:r w:rsidRPr="00B6450D">
        <w:rPr>
          <w:rFonts w:hint="cs"/>
          <w:i/>
          <w:sz w:val="23"/>
          <w:szCs w:val="23"/>
          <w:rtl/>
        </w:rPr>
        <w:t>اکنون معادله‌ی (۱۲. ۲۰) را با توجه به فروض فوق ارزیابی می‌کنیم. از آن</w:t>
      </w:r>
      <w:r w:rsidRPr="00B6450D">
        <w:rPr>
          <w:i/>
          <w:sz w:val="23"/>
          <w:szCs w:val="23"/>
          <w:rtl/>
        </w:rPr>
        <w:softHyphen/>
      </w:r>
      <w:r w:rsidRPr="00B6450D">
        <w:rPr>
          <w:rFonts w:hint="cs"/>
          <w:i/>
          <w:sz w:val="23"/>
          <w:szCs w:val="23"/>
          <w:rtl/>
        </w:rPr>
        <w:t>جا که</w:t>
      </w:r>
    </w:p>
    <w:p w14:paraId="798451ED" w14:textId="77777777" w:rsidR="00556C10" w:rsidRPr="00B6450D" w:rsidRDefault="00556C10" w:rsidP="00556C10">
      <w:pPr>
        <w:bidi w:val="0"/>
        <w:spacing w:line="216" w:lineRule="auto"/>
        <w:rPr>
          <w:i/>
          <w:sz w:val="23"/>
          <w:szCs w:val="23"/>
          <w:rtl/>
        </w:rPr>
      </w:pPr>
      <w:r w:rsidRPr="00B6450D">
        <w:rPr>
          <w:position w:val="-36"/>
        </w:rPr>
        <w:object w:dxaOrig="4000" w:dyaOrig="820" w14:anchorId="7BF51C1B">
          <v:shape id="_x0000_i5449" type="#_x0000_t75" style="width:199.65pt;height:40.55pt" o:ole="">
            <v:imagedata r:id="rId8905" o:title=""/>
          </v:shape>
          <o:OLEObject Type="Embed" ProgID="Equation.DSMT4" ShapeID="_x0000_i5449" DrawAspect="Content" ObjectID="_1791379393" r:id="rId8906"/>
        </w:object>
      </w:r>
      <w:r w:rsidRPr="00B6450D">
        <w:rPr>
          <w:rFonts w:hint="cs"/>
          <w:i/>
          <w:sz w:val="23"/>
          <w:szCs w:val="23"/>
          <w:rtl/>
        </w:rPr>
        <w:t xml:space="preserve"> </w:t>
      </w:r>
      <w:r w:rsidRPr="00B6450D">
        <w:rPr>
          <w:position w:val="-34"/>
        </w:rPr>
        <w:object w:dxaOrig="3940" w:dyaOrig="800" w14:anchorId="05442CB3">
          <v:shape id="_x0000_i5450" type="#_x0000_t75" style="width:196.65pt;height:39.95pt" o:ole="">
            <v:imagedata r:id="rId8907" o:title=""/>
          </v:shape>
          <o:OLEObject Type="Embed" ProgID="Equation.DSMT4" ShapeID="_x0000_i5450" DrawAspect="Content" ObjectID="_1791379394" r:id="rId8908"/>
        </w:object>
      </w:r>
    </w:p>
    <w:p w14:paraId="6447E5C2" w14:textId="77777777" w:rsidR="00556C10" w:rsidRPr="00B6450D" w:rsidRDefault="00556C10" w:rsidP="00556C10">
      <w:pPr>
        <w:spacing w:line="216" w:lineRule="auto"/>
        <w:rPr>
          <w:i/>
          <w:sz w:val="23"/>
          <w:szCs w:val="23"/>
        </w:rPr>
      </w:pPr>
      <w:r w:rsidRPr="00B6450D">
        <w:rPr>
          <w:rFonts w:hint="cs"/>
          <w:i/>
          <w:sz w:val="23"/>
          <w:szCs w:val="23"/>
          <w:rtl/>
        </w:rPr>
        <w:t>بنابراین معادله‌ی (۱۲. ۲۰) برابر است با</w:t>
      </w:r>
    </w:p>
    <w:p w14:paraId="35463CA3" w14:textId="77777777" w:rsidR="00556C10" w:rsidRPr="00B6450D" w:rsidRDefault="00556C10" w:rsidP="00556C10">
      <w:pPr>
        <w:bidi w:val="0"/>
        <w:spacing w:line="216" w:lineRule="auto"/>
        <w:rPr>
          <w:i/>
          <w:sz w:val="23"/>
          <w:szCs w:val="23"/>
          <w:rtl/>
        </w:rPr>
      </w:pPr>
      <w:r w:rsidRPr="00B6450D">
        <w:rPr>
          <w:position w:val="-54"/>
        </w:rPr>
        <w:object w:dxaOrig="6500" w:dyaOrig="1180" w14:anchorId="2373904B">
          <v:shape id="_x0000_i5451" type="#_x0000_t75" style="width:324.9pt;height:58.7pt" o:ole="">
            <v:imagedata r:id="rId8909" o:title=""/>
          </v:shape>
          <o:OLEObject Type="Embed" ProgID="Equation.DSMT4" ShapeID="_x0000_i5451" DrawAspect="Content" ObjectID="_1791379395" r:id="rId8910"/>
        </w:object>
      </w:r>
    </w:p>
    <w:p w14:paraId="6291080A" w14:textId="77777777" w:rsidR="00556C10" w:rsidRPr="00B6450D" w:rsidRDefault="00556C10" w:rsidP="00556C10">
      <w:pPr>
        <w:spacing w:line="216" w:lineRule="auto"/>
        <w:rPr>
          <w:i/>
          <w:sz w:val="23"/>
          <w:szCs w:val="23"/>
        </w:rPr>
      </w:pPr>
      <w:r w:rsidRPr="00B6450D">
        <w:rPr>
          <w:rFonts w:hint="cs"/>
          <w:i/>
          <w:sz w:val="23"/>
          <w:szCs w:val="23"/>
          <w:rtl/>
        </w:rPr>
        <w:t>با مساوی قرار دادن سمت چپ و سمت راست، یعنی عرض از مبداء و ضرایب</w:t>
      </w:r>
      <w:r w:rsidRPr="00B6450D">
        <w:rPr>
          <w:position w:val="-10"/>
        </w:rPr>
        <w:object w:dxaOrig="220" w:dyaOrig="320" w14:anchorId="237348BE">
          <v:shape id="_x0000_i5452" type="#_x0000_t75" style="width:10.9pt;height:15.75pt" o:ole="">
            <v:imagedata r:id="rId8911" o:title=""/>
          </v:shape>
          <o:OLEObject Type="Embed" ProgID="Equation.DSMT4" ShapeID="_x0000_i5452" DrawAspect="Content" ObjectID="_1791379396" r:id="rId8912"/>
        </w:object>
      </w:r>
      <w:r w:rsidRPr="00B6450D">
        <w:rPr>
          <w:rFonts w:hint="cs"/>
          <w:i/>
          <w:sz w:val="23"/>
          <w:szCs w:val="23"/>
          <w:rtl/>
        </w:rPr>
        <w:t>، فرمول بازگشتی زیر را بدست خواهیم آورد</w:t>
      </w:r>
    </w:p>
    <w:p w14:paraId="70EE44C4" w14:textId="77777777" w:rsidR="00556C10" w:rsidRPr="00B6450D" w:rsidRDefault="00556C10" w:rsidP="00556C10">
      <w:pPr>
        <w:bidi w:val="0"/>
        <w:spacing w:line="216" w:lineRule="auto"/>
        <w:rPr>
          <w:i/>
          <w:sz w:val="23"/>
          <w:szCs w:val="23"/>
          <w:rtl/>
        </w:rPr>
      </w:pPr>
      <w:r w:rsidRPr="00B6450D">
        <w:rPr>
          <w:position w:val="-12"/>
        </w:rPr>
        <w:object w:dxaOrig="2240" w:dyaOrig="360" w14:anchorId="18BA5D0B">
          <v:shape id="_x0000_i5453" type="#_x0000_t75" style="width:111.95pt;height:18.15pt" o:ole="">
            <v:imagedata r:id="rId8913" o:title=""/>
          </v:shape>
          <o:OLEObject Type="Embed" ProgID="Equation.DSMT4" ShapeID="_x0000_i5453" DrawAspect="Content" ObjectID="_1791379397" r:id="rId8914"/>
        </w:object>
      </w:r>
    </w:p>
    <w:p w14:paraId="7FD10AEF" w14:textId="77777777" w:rsidR="00556C10" w:rsidRPr="00B6450D" w:rsidRDefault="00556C10" w:rsidP="00556C10">
      <w:pPr>
        <w:bidi w:val="0"/>
        <w:spacing w:line="216" w:lineRule="auto"/>
        <w:rPr>
          <w:i/>
          <w:sz w:val="23"/>
          <w:szCs w:val="23"/>
          <w:rtl/>
        </w:rPr>
      </w:pPr>
      <w:r w:rsidRPr="00B6450D">
        <w:rPr>
          <w:position w:val="-22"/>
        </w:rPr>
        <w:object w:dxaOrig="2900" w:dyaOrig="560" w14:anchorId="4090356E">
          <v:shape id="_x0000_i5454" type="#_x0000_t75" style="width:145.2pt;height:27.85pt" o:ole="">
            <v:imagedata r:id="rId8915" o:title=""/>
          </v:shape>
          <o:OLEObject Type="Embed" ProgID="Equation.DSMT4" ShapeID="_x0000_i5454" DrawAspect="Content" ObjectID="_1791379398" r:id="rId8916"/>
        </w:object>
      </w:r>
    </w:p>
    <w:p w14:paraId="119D7D38" w14:textId="77777777" w:rsidR="00556C10" w:rsidRPr="00B6450D" w:rsidRDefault="00556C10" w:rsidP="00556C10">
      <w:pPr>
        <w:spacing w:line="216" w:lineRule="auto"/>
        <w:rPr>
          <w:i/>
          <w:sz w:val="23"/>
          <w:szCs w:val="23"/>
        </w:rPr>
      </w:pPr>
      <w:r w:rsidRPr="00B6450D">
        <w:rPr>
          <w:rFonts w:hint="cs"/>
          <w:i/>
          <w:sz w:val="23"/>
          <w:szCs w:val="23"/>
          <w:rtl/>
        </w:rPr>
        <w:lastRenderedPageBreak/>
        <w:t>با استفاده از</w:t>
      </w:r>
      <w:r w:rsidRPr="00B6450D">
        <w:rPr>
          <w:position w:val="-12"/>
        </w:rPr>
        <w:object w:dxaOrig="700" w:dyaOrig="340" w14:anchorId="775E8CE8">
          <v:shape id="_x0000_i5455" type="#_x0000_t75" style="width:35.1pt;height:16.95pt" o:ole="">
            <v:imagedata r:id="rId8917" o:title=""/>
          </v:shape>
          <o:OLEObject Type="Embed" ProgID="Equation.DSMT4" ShapeID="_x0000_i5455" DrawAspect="Content" ObjectID="_1791379399" r:id="rId8918"/>
        </w:object>
      </w:r>
      <w:r w:rsidRPr="00B6450D">
        <w:rPr>
          <w:rFonts w:hint="cs"/>
          <w:i/>
          <w:sz w:val="23"/>
          <w:szCs w:val="23"/>
          <w:rtl/>
        </w:rPr>
        <w:t xml:space="preserve"> خواهیم داشت</w:t>
      </w:r>
      <w:r w:rsidRPr="00B6450D">
        <w:rPr>
          <w:position w:val="-12"/>
        </w:rPr>
        <w:object w:dxaOrig="720" w:dyaOrig="340" w14:anchorId="01509938">
          <v:shape id="_x0000_i5456" type="#_x0000_t75" style="width:36.3pt;height:16.95pt" o:ole="">
            <v:imagedata r:id="rId8919" o:title=""/>
          </v:shape>
          <o:OLEObject Type="Embed" ProgID="Equation.DSMT4" ShapeID="_x0000_i5456" DrawAspect="Content" ObjectID="_1791379400" r:id="rId8920"/>
        </w:object>
      </w:r>
      <w:r w:rsidRPr="00B6450D">
        <w:rPr>
          <w:i/>
          <w:sz w:val="23"/>
          <w:szCs w:val="23"/>
        </w:rPr>
        <w:t xml:space="preserve"> </w:t>
      </w:r>
      <w:r w:rsidRPr="00B6450D">
        <w:rPr>
          <w:rFonts w:hint="cs"/>
          <w:i/>
          <w:sz w:val="23"/>
          <w:szCs w:val="23"/>
          <w:rtl/>
        </w:rPr>
        <w:t>و</w:t>
      </w:r>
      <w:r w:rsidRPr="00B6450D">
        <w:rPr>
          <w:position w:val="-10"/>
        </w:rPr>
        <w:object w:dxaOrig="1320" w:dyaOrig="320" w14:anchorId="0C12B36B">
          <v:shape id="_x0000_i5457" type="#_x0000_t75" style="width:65.35pt;height:15.75pt" o:ole="">
            <v:imagedata r:id="rId8921" o:title=""/>
          </v:shape>
          <o:OLEObject Type="Embed" ProgID="Equation.DSMT4" ShapeID="_x0000_i5457" DrawAspect="Content" ObjectID="_1791379401" r:id="rId8922"/>
        </w:object>
      </w:r>
      <w:r w:rsidRPr="00B6450D">
        <w:rPr>
          <w:rFonts w:hint="cs"/>
          <w:i/>
          <w:sz w:val="23"/>
          <w:szCs w:val="23"/>
          <w:rtl/>
        </w:rPr>
        <w:t>. از این مقادیر اولیه می‌توان کلیه‌ی مقادیر</w:t>
      </w:r>
      <w:r w:rsidRPr="00B6450D">
        <w:rPr>
          <w:position w:val="-10"/>
        </w:rPr>
        <w:object w:dxaOrig="320" w:dyaOrig="320" w14:anchorId="4479BA95">
          <v:shape id="_x0000_i5458" type="#_x0000_t75" style="width:15.75pt;height:15.75pt" o:ole="">
            <v:imagedata r:id="rId8923" o:title=""/>
          </v:shape>
          <o:OLEObject Type="Embed" ProgID="Equation.DSMT4" ShapeID="_x0000_i5458" DrawAspect="Content" ObjectID="_1791379402" r:id="rId8924"/>
        </w:object>
      </w:r>
      <w:r w:rsidRPr="00B6450D">
        <w:rPr>
          <w:rFonts w:hint="cs"/>
          <w:i/>
          <w:sz w:val="23"/>
          <w:szCs w:val="23"/>
          <w:rtl/>
        </w:rPr>
        <w:t xml:space="preserve"> و</w:t>
      </w:r>
      <w:r w:rsidRPr="00B6450D">
        <w:rPr>
          <w:position w:val="-10"/>
        </w:rPr>
        <w:object w:dxaOrig="300" w:dyaOrig="320" w14:anchorId="0CF7B9A4">
          <v:shape id="_x0000_i5459" type="#_x0000_t75" style="width:14.5pt;height:15.75pt" o:ole="">
            <v:imagedata r:id="rId8925" o:title=""/>
          </v:shape>
          <o:OLEObject Type="Embed" ProgID="Equation.DSMT4" ShapeID="_x0000_i5459" DrawAspect="Content" ObjectID="_1791379403" r:id="rId8926"/>
        </w:object>
      </w:r>
      <w:r w:rsidRPr="00B6450D">
        <w:rPr>
          <w:i/>
          <w:sz w:val="23"/>
          <w:szCs w:val="23"/>
        </w:rPr>
        <w:t xml:space="preserve"> </w:t>
      </w:r>
      <w:r w:rsidRPr="00B6450D">
        <w:rPr>
          <w:rFonts w:hint="cs"/>
          <w:i/>
          <w:sz w:val="23"/>
          <w:szCs w:val="23"/>
          <w:rtl/>
        </w:rPr>
        <w:t>را با استفاده از فرمول‌های فوق و به صورت بازگشتی بدست آورد. برای</w:t>
      </w:r>
      <w:r w:rsidRPr="00B6450D">
        <w:rPr>
          <w:position w:val="-6"/>
        </w:rPr>
        <w:object w:dxaOrig="520" w:dyaOrig="260" w14:anchorId="169979BC">
          <v:shape id="_x0000_i5460" type="#_x0000_t75" style="width:26pt;height:13.3pt" o:ole="">
            <v:imagedata r:id="rId8927" o:title=""/>
          </v:shape>
          <o:OLEObject Type="Embed" ProgID="Equation.DSMT4" ShapeID="_x0000_i5460" DrawAspect="Content" ObjectID="_1791379404" r:id="rId8928"/>
        </w:object>
      </w:r>
      <w:r w:rsidRPr="00B6450D">
        <w:rPr>
          <w:rFonts w:hint="cs"/>
          <w:i/>
          <w:sz w:val="23"/>
          <w:szCs w:val="23"/>
          <w:rtl/>
        </w:rPr>
        <w:t xml:space="preserve"> خواهیم داشت</w:t>
      </w:r>
      <w:r w:rsidRPr="00B6450D">
        <w:rPr>
          <w:position w:val="-22"/>
        </w:rPr>
        <w:object w:dxaOrig="1400" w:dyaOrig="560" w14:anchorId="18DFDAC5">
          <v:shape id="_x0000_i5461" type="#_x0000_t75" style="width:70.2pt;height:27.85pt" o:ole="">
            <v:imagedata r:id="rId8929" o:title=""/>
          </v:shape>
          <o:OLEObject Type="Embed" ProgID="Equation.DSMT4" ShapeID="_x0000_i5461" DrawAspect="Content" ObjectID="_1791379405" r:id="rId8930"/>
        </w:object>
      </w:r>
      <w:r w:rsidRPr="00B6450D">
        <w:rPr>
          <w:rFonts w:hint="cs"/>
          <w:i/>
          <w:sz w:val="23"/>
          <w:szCs w:val="23"/>
          <w:rtl/>
        </w:rPr>
        <w:t xml:space="preserve"> و</w:t>
      </w:r>
      <w:r w:rsidRPr="00B6450D">
        <w:rPr>
          <w:position w:val="-10"/>
        </w:rPr>
        <w:object w:dxaOrig="639" w:dyaOrig="320" w14:anchorId="5ED87741">
          <v:shape id="_x0000_i5462" type="#_x0000_t75" style="width:31.45pt;height:15.75pt" o:ole="">
            <v:imagedata r:id="rId8931" o:title=""/>
          </v:shape>
          <o:OLEObject Type="Embed" ProgID="Equation.DSMT4" ShapeID="_x0000_i5462" DrawAspect="Content" ObjectID="_1791379406" r:id="rId8932"/>
        </w:object>
      </w:r>
      <w:r w:rsidRPr="00B6450D">
        <w:rPr>
          <w:rFonts w:hint="cs"/>
          <w:i/>
          <w:sz w:val="23"/>
          <w:szCs w:val="23"/>
          <w:rtl/>
        </w:rPr>
        <w:t>. بنابراین</w:t>
      </w:r>
    </w:p>
    <w:p w14:paraId="61D993B3" w14:textId="77777777" w:rsidR="00556C10" w:rsidRPr="00B6450D" w:rsidRDefault="00556C10" w:rsidP="00556C10">
      <w:pPr>
        <w:bidi w:val="0"/>
        <w:spacing w:line="216" w:lineRule="auto"/>
        <w:rPr>
          <w:i/>
          <w:sz w:val="23"/>
          <w:szCs w:val="23"/>
          <w:rtl/>
        </w:rPr>
      </w:pPr>
      <w:r w:rsidRPr="00B6450D">
        <w:rPr>
          <w:position w:val="-26"/>
        </w:rPr>
        <w:object w:dxaOrig="3400" w:dyaOrig="620" w14:anchorId="3163E197">
          <v:shape id="_x0000_i5463" type="#_x0000_t75" style="width:170pt;height:31.45pt" o:ole="">
            <v:imagedata r:id="rId8933" o:title=""/>
          </v:shape>
          <o:OLEObject Type="Embed" ProgID="Equation.DSMT4" ShapeID="_x0000_i5463" DrawAspect="Content" ObjectID="_1791379407" r:id="rId8934"/>
        </w:object>
      </w:r>
      <w:r w:rsidRPr="00B6450D">
        <w:rPr>
          <w:i/>
          <w:sz w:val="23"/>
          <w:szCs w:val="23"/>
        </w:rPr>
        <w:tab/>
      </w:r>
      <w:r w:rsidRPr="00B6450D">
        <w:rPr>
          <w:i/>
          <w:sz w:val="23"/>
          <w:szCs w:val="23"/>
          <w:rtl/>
        </w:rPr>
        <w:tab/>
      </w:r>
      <w:r w:rsidRPr="00B6450D">
        <w:rPr>
          <w:i/>
          <w:sz w:val="23"/>
          <w:szCs w:val="23"/>
          <w:rtl/>
        </w:rPr>
        <w:tab/>
      </w:r>
      <w:r w:rsidRPr="00B6450D">
        <w:rPr>
          <w:i/>
          <w:sz w:val="23"/>
          <w:szCs w:val="23"/>
          <w:rtl/>
        </w:rPr>
        <w:tab/>
      </w:r>
      <w:r w:rsidRPr="00B6450D">
        <w:rPr>
          <w:i/>
          <w:sz w:val="23"/>
          <w:szCs w:val="23"/>
          <w:rtl/>
        </w:rPr>
        <w:tab/>
      </w:r>
      <w:r w:rsidRPr="00B6450D">
        <w:rPr>
          <w:i/>
          <w:sz w:val="23"/>
          <w:szCs w:val="23"/>
        </w:rPr>
        <w:tab/>
      </w:r>
      <w:r w:rsidRPr="00B6450D">
        <w:rPr>
          <w:i/>
          <w:sz w:val="23"/>
          <w:szCs w:val="23"/>
        </w:rPr>
        <w:tab/>
      </w:r>
      <w:r>
        <w:rPr>
          <w:i/>
          <w:sz w:val="23"/>
          <w:szCs w:val="23"/>
          <w:rtl/>
        </w:rPr>
        <w:tab/>
      </w:r>
      <w:r>
        <w:rPr>
          <w:i/>
          <w:sz w:val="23"/>
          <w:szCs w:val="23"/>
          <w:rtl/>
        </w:rPr>
        <w:tab/>
      </w:r>
      <w:r w:rsidRPr="00B6450D">
        <w:rPr>
          <w:i/>
          <w:sz w:val="23"/>
          <w:szCs w:val="23"/>
          <w:rtl/>
        </w:rPr>
        <w:tab/>
      </w:r>
      <w:r w:rsidRPr="00B6450D">
        <w:rPr>
          <w:rFonts w:hint="cs"/>
          <w:i/>
          <w:sz w:val="23"/>
          <w:szCs w:val="23"/>
          <w:rtl/>
        </w:rPr>
        <w:t>(۱۲. ۲۸)</w:t>
      </w:r>
    </w:p>
    <w:p w14:paraId="7304295E" w14:textId="77777777" w:rsidR="00556C10" w:rsidRPr="00B6450D" w:rsidRDefault="00556C10" w:rsidP="00556C10">
      <w:pPr>
        <w:spacing w:line="216" w:lineRule="auto"/>
        <w:rPr>
          <w:i/>
          <w:sz w:val="23"/>
          <w:szCs w:val="23"/>
          <w:rtl/>
        </w:rPr>
      </w:pPr>
      <w:r w:rsidRPr="00B6450D">
        <w:rPr>
          <w:rFonts w:hint="cs"/>
          <w:i/>
          <w:sz w:val="23"/>
          <w:szCs w:val="23"/>
          <w:rtl/>
        </w:rPr>
        <w:t>و شرط بدون آربیتراژ معادله‌ی (۱۲. ۲۳) برابر است با</w:t>
      </w:r>
    </w:p>
    <w:p w14:paraId="01B3F835" w14:textId="77777777" w:rsidR="00556C10" w:rsidRPr="00B6450D" w:rsidRDefault="00556C10" w:rsidP="00556C10">
      <w:pPr>
        <w:bidi w:val="0"/>
        <w:spacing w:line="216" w:lineRule="auto"/>
        <w:rPr>
          <w:i/>
          <w:sz w:val="23"/>
          <w:szCs w:val="23"/>
          <w:rtl/>
        </w:rPr>
      </w:pPr>
      <w:r w:rsidRPr="00B6450D">
        <w:rPr>
          <w:position w:val="-46"/>
        </w:rPr>
        <w:object w:dxaOrig="6160" w:dyaOrig="1020" w14:anchorId="5FD223B0">
          <v:shape id="_x0000_i5464" type="#_x0000_t75" style="width:307.95pt;height:50.8pt" o:ole="">
            <v:imagedata r:id="rId8935" o:title=""/>
          </v:shape>
          <o:OLEObject Type="Embed" ProgID="Equation.DSMT4" ShapeID="_x0000_i5464" DrawAspect="Content" ObjectID="_1791379408" r:id="rId8936"/>
        </w:object>
      </w:r>
    </w:p>
    <w:p w14:paraId="7045C2DF" w14:textId="77777777" w:rsidR="00556C10" w:rsidRPr="00B6450D" w:rsidRDefault="00556C10" w:rsidP="00556C10">
      <w:pPr>
        <w:spacing w:line="216" w:lineRule="auto"/>
        <w:rPr>
          <w:i/>
          <w:sz w:val="23"/>
          <w:szCs w:val="23"/>
        </w:rPr>
      </w:pPr>
      <w:r w:rsidRPr="00B6450D">
        <w:rPr>
          <w:rFonts w:hint="cs"/>
          <w:i/>
          <w:sz w:val="23"/>
          <w:szCs w:val="23"/>
          <w:rtl/>
        </w:rPr>
        <w:t>اولین عبارت اثر جنسن و دومین عبارت پاداش ریسک می‌باشد. لذا پاداش ریسک برابر است با</w:t>
      </w:r>
    </w:p>
    <w:p w14:paraId="3F51D901" w14:textId="77777777" w:rsidR="00556C10" w:rsidRPr="00B6450D" w:rsidRDefault="00556C10" w:rsidP="00556C10">
      <w:pPr>
        <w:bidi w:val="0"/>
        <w:spacing w:line="216" w:lineRule="auto"/>
        <w:rPr>
          <w:i/>
          <w:sz w:val="23"/>
          <w:szCs w:val="23"/>
          <w:rtl/>
        </w:rPr>
      </w:pPr>
      <w:r w:rsidRPr="00B6450D">
        <w:rPr>
          <w:position w:val="-14"/>
        </w:rPr>
        <w:object w:dxaOrig="2900" w:dyaOrig="380" w14:anchorId="1BAFFBDE">
          <v:shape id="_x0000_i5465" type="#_x0000_t75" style="width:145.2pt;height:19.35pt" o:ole="">
            <v:imagedata r:id="rId8937" o:title=""/>
          </v:shape>
          <o:OLEObject Type="Embed" ProgID="Equation.DSMT4" ShapeID="_x0000_i5465" DrawAspect="Content" ObjectID="_1791379409" r:id="rId8938"/>
        </w:object>
      </w:r>
    </w:p>
    <w:p w14:paraId="41FECCCF" w14:textId="77777777" w:rsidR="00556C10" w:rsidRPr="00B6450D" w:rsidRDefault="00556C10" w:rsidP="00556C10">
      <w:pPr>
        <w:spacing w:line="216" w:lineRule="auto"/>
        <w:rPr>
          <w:i/>
          <w:sz w:val="23"/>
          <w:szCs w:val="23"/>
          <w:rtl/>
        </w:rPr>
      </w:pPr>
      <w:r w:rsidRPr="00B6450D">
        <w:rPr>
          <w:rFonts w:hint="cs"/>
          <w:i/>
          <w:sz w:val="23"/>
          <w:szCs w:val="23"/>
          <w:rtl/>
        </w:rPr>
        <w:t>و هر دو تابعی از</w:t>
      </w:r>
      <w:r w:rsidRPr="00B6450D">
        <w:rPr>
          <w:position w:val="-10"/>
        </w:rPr>
        <w:object w:dxaOrig="220" w:dyaOrig="320" w14:anchorId="495E40D3">
          <v:shape id="_x0000_i5466" type="#_x0000_t75" style="width:10.9pt;height:15.75pt" o:ole="">
            <v:imagedata r:id="rId8939" o:title=""/>
          </v:shape>
          <o:OLEObject Type="Embed" ProgID="Equation.DSMT4" ShapeID="_x0000_i5466" DrawAspect="Content" ObjectID="_1791379410" r:id="rId8940"/>
        </w:object>
      </w:r>
      <w:r w:rsidRPr="00B6450D">
        <w:rPr>
          <w:rFonts w:hint="cs"/>
          <w:i/>
          <w:sz w:val="23"/>
          <w:szCs w:val="23"/>
          <w:rtl/>
        </w:rPr>
        <w:t xml:space="preserve"> می‌باشند. اگر </w:t>
      </w:r>
      <w:r w:rsidRPr="00B6450D">
        <w:rPr>
          <w:position w:val="-6"/>
        </w:rPr>
        <w:object w:dxaOrig="540" w:dyaOrig="260" w14:anchorId="3FE9BBF0">
          <v:shape id="_x0000_i5467" type="#_x0000_t75" style="width:26.6pt;height:13.3pt" o:ole="">
            <v:imagedata r:id="rId8941" o:title=""/>
          </v:shape>
          <o:OLEObject Type="Embed" ProgID="Equation.DSMT4" ShapeID="_x0000_i5467" DrawAspect="Content" ObjectID="_1791379411" r:id="rId8942"/>
        </w:object>
      </w:r>
      <w:r w:rsidRPr="00B6450D">
        <w:rPr>
          <w:rFonts w:hint="cs"/>
          <w:i/>
          <w:sz w:val="23"/>
          <w:szCs w:val="23"/>
          <w:rtl/>
        </w:rPr>
        <w:t>باشد، یعنی اگر</w:t>
      </w:r>
      <w:r w:rsidRPr="00B6450D">
        <w:rPr>
          <w:position w:val="-10"/>
        </w:rPr>
        <w:object w:dxaOrig="940" w:dyaOrig="320" w14:anchorId="04DBC580">
          <v:shape id="_x0000_i5468" type="#_x0000_t75" style="width:47.2pt;height:15.75pt" o:ole="">
            <v:imagedata r:id="rId8943" o:title=""/>
          </v:shape>
          <o:OLEObject Type="Embed" ProgID="Equation.DSMT4" ShapeID="_x0000_i5468" DrawAspect="Content" ObjectID="_1791379412" r:id="rId8944"/>
        </w:object>
      </w:r>
      <w:r w:rsidRPr="00B6450D">
        <w:rPr>
          <w:rFonts w:hint="cs"/>
          <w:i/>
          <w:sz w:val="23"/>
          <w:szCs w:val="23"/>
          <w:rtl/>
        </w:rPr>
        <w:t xml:space="preserve"> و غیرتصادفی باشد، آنگاه پاداش ریسک برابر صفر خواهد بود.</w:t>
      </w:r>
    </w:p>
    <w:p w14:paraId="67040C0B" w14:textId="77777777" w:rsidR="00556C10" w:rsidRPr="00B6450D" w:rsidRDefault="00556C10" w:rsidP="00556C10">
      <w:pPr>
        <w:spacing w:line="216" w:lineRule="auto"/>
        <w:rPr>
          <w:i/>
          <w:sz w:val="23"/>
          <w:szCs w:val="23"/>
          <w:rtl/>
        </w:rPr>
      </w:pPr>
      <w:r w:rsidRPr="00B6450D">
        <w:rPr>
          <w:rFonts w:hint="cs"/>
          <w:i/>
          <w:sz w:val="23"/>
          <w:szCs w:val="23"/>
          <w:rtl/>
        </w:rPr>
        <w:t>تاکنون فرض شده بود که</w:t>
      </w:r>
      <w:r w:rsidRPr="00B6450D">
        <w:rPr>
          <w:position w:val="-10"/>
        </w:rPr>
        <w:object w:dxaOrig="220" w:dyaOrig="320" w14:anchorId="7E3474C5">
          <v:shape id="_x0000_i5469" type="#_x0000_t75" style="width:10.9pt;height:15.75pt" o:ole="">
            <v:imagedata r:id="rId8945" o:title=""/>
          </v:shape>
          <o:OLEObject Type="Embed" ProgID="Equation.DSMT4" ShapeID="_x0000_i5469" DrawAspect="Content" ObjectID="_1791379413" r:id="rId8946"/>
        </w:object>
      </w:r>
      <w:r w:rsidRPr="00B6450D">
        <w:rPr>
          <w:rFonts w:hint="cs"/>
          <w:i/>
          <w:sz w:val="23"/>
          <w:szCs w:val="23"/>
          <w:rtl/>
        </w:rPr>
        <w:t xml:space="preserve"> متغیری نهفته و غیرقابل مشاهده است. هر چند معادله‌ی </w:t>
      </w:r>
      <w:r w:rsidRPr="00B6450D">
        <w:rPr>
          <w:i/>
          <w:sz w:val="23"/>
          <w:szCs w:val="23"/>
        </w:rPr>
        <w:t xml:space="preserve"> </w:t>
      </w:r>
      <w:r w:rsidRPr="00B6450D">
        <w:rPr>
          <w:rFonts w:hint="cs"/>
          <w:i/>
          <w:sz w:val="23"/>
          <w:szCs w:val="23"/>
          <w:rtl/>
        </w:rPr>
        <w:t>(۱۲. ۲۸) نشان می‌دهد که</w:t>
      </w:r>
      <w:r w:rsidRPr="00B6450D">
        <w:rPr>
          <w:position w:val="-10"/>
        </w:rPr>
        <w:object w:dxaOrig="220" w:dyaOrig="320" w14:anchorId="3D70AF64">
          <v:shape id="_x0000_i5470" type="#_x0000_t75" style="width:10.9pt;height:15.75pt" o:ole="">
            <v:imagedata r:id="rId8947" o:title=""/>
          </v:shape>
          <o:OLEObject Type="Embed" ProgID="Equation.DSMT4" ShapeID="_x0000_i5470" DrawAspect="Content" ObjectID="_1791379414" r:id="rId8948"/>
        </w:object>
      </w:r>
      <w:r w:rsidRPr="00B6450D">
        <w:rPr>
          <w:i/>
          <w:sz w:val="23"/>
          <w:szCs w:val="23"/>
        </w:rPr>
        <w:t xml:space="preserve"> </w:t>
      </w:r>
      <w:r w:rsidRPr="00B6450D">
        <w:rPr>
          <w:rFonts w:hint="cs"/>
          <w:i/>
          <w:sz w:val="23"/>
          <w:szCs w:val="23"/>
          <w:rtl/>
        </w:rPr>
        <w:t>تابعی خطی از</w:t>
      </w:r>
      <w:r w:rsidRPr="00B6450D">
        <w:rPr>
          <w:position w:val="-10"/>
        </w:rPr>
        <w:object w:dxaOrig="200" w:dyaOrig="320" w14:anchorId="270552B1">
          <v:shape id="_x0000_i5471" type="#_x0000_t75" style="width:10.3pt;height:15.75pt" o:ole="">
            <v:imagedata r:id="rId8949" o:title=""/>
          </v:shape>
          <o:OLEObject Type="Embed" ProgID="Equation.DSMT4" ShapeID="_x0000_i5471" DrawAspect="Content" ObjectID="_1791379415" r:id="rId8950"/>
        </w:object>
      </w:r>
      <w:r w:rsidRPr="00B6450D">
        <w:rPr>
          <w:rFonts w:hint="cs"/>
          <w:i/>
          <w:sz w:val="23"/>
          <w:szCs w:val="23"/>
          <w:rtl/>
        </w:rPr>
        <w:t xml:space="preserve"> و قابل مشاهده است. بنابراین می‌توان</w:t>
      </w:r>
      <w:r w:rsidRPr="00B6450D">
        <w:rPr>
          <w:position w:val="-10"/>
        </w:rPr>
        <w:object w:dxaOrig="200" w:dyaOrig="320" w14:anchorId="12420F18">
          <v:shape id="_x0000_i5472" type="#_x0000_t75" style="width:10.3pt;height:15.75pt" o:ole="">
            <v:imagedata r:id="rId8951" o:title=""/>
          </v:shape>
          <o:OLEObject Type="Embed" ProgID="Equation.DSMT4" ShapeID="_x0000_i5472" DrawAspect="Content" ObjectID="_1791379416" r:id="rId8952"/>
        </w:object>
      </w:r>
      <w:r w:rsidRPr="00B6450D">
        <w:rPr>
          <w:rFonts w:hint="cs"/>
          <w:i/>
          <w:sz w:val="23"/>
          <w:szCs w:val="23"/>
          <w:rtl/>
        </w:rPr>
        <w:t xml:space="preserve"> را با</w:t>
      </w:r>
      <w:r w:rsidRPr="00B6450D">
        <w:rPr>
          <w:position w:val="-10"/>
        </w:rPr>
        <w:object w:dxaOrig="220" w:dyaOrig="320" w14:anchorId="0B49C771">
          <v:shape id="_x0000_i5473" type="#_x0000_t75" style="width:10.9pt;height:15.75pt" o:ole="">
            <v:imagedata r:id="rId8953" o:title=""/>
          </v:shape>
          <o:OLEObject Type="Embed" ProgID="Equation.DSMT4" ShapeID="_x0000_i5473" DrawAspect="Content" ObjectID="_1791379417" r:id="rId8954"/>
        </w:object>
      </w:r>
      <w:r w:rsidRPr="00B6450D">
        <w:rPr>
          <w:rFonts w:hint="cs"/>
          <w:i/>
          <w:sz w:val="23"/>
          <w:szCs w:val="23"/>
          <w:rtl/>
        </w:rPr>
        <w:t xml:space="preserve"> جایگزین کرد. در نتیجه،</w:t>
      </w:r>
      <w:r w:rsidRPr="00B6450D">
        <w:rPr>
          <w:position w:val="-12"/>
        </w:rPr>
        <w:object w:dxaOrig="360" w:dyaOrig="340" w14:anchorId="2874E49D">
          <v:shape id="_x0000_i5474" type="#_x0000_t75" style="width:18.15pt;height:16.95pt" o:ole="">
            <v:imagedata r:id="rId8955" o:title=""/>
          </v:shape>
          <o:OLEObject Type="Embed" ProgID="Equation.DSMT4" ShapeID="_x0000_i5474" DrawAspect="Content" ObjectID="_1791379418" r:id="rId8956"/>
        </w:object>
      </w:r>
      <w:r w:rsidRPr="00B6450D">
        <w:rPr>
          <w:rFonts w:hint="cs"/>
          <w:i/>
          <w:sz w:val="23"/>
          <w:szCs w:val="23"/>
          <w:rtl/>
        </w:rPr>
        <w:t>،</w:t>
      </w:r>
      <w:r w:rsidRPr="00B6450D">
        <w:rPr>
          <w:position w:val="-12"/>
        </w:rPr>
        <w:object w:dxaOrig="380" w:dyaOrig="340" w14:anchorId="2773151B">
          <v:shape id="_x0000_i5475" type="#_x0000_t75" style="width:19.35pt;height:16.95pt" o:ole="">
            <v:imagedata r:id="rId8957" o:title=""/>
          </v:shape>
          <o:OLEObject Type="Embed" ProgID="Equation.DSMT4" ShapeID="_x0000_i5475" DrawAspect="Content" ObjectID="_1791379419" r:id="rId8958"/>
        </w:object>
      </w:r>
      <w:r w:rsidRPr="00B6450D">
        <w:rPr>
          <w:rFonts w:hint="cs"/>
          <w:i/>
          <w:sz w:val="23"/>
          <w:szCs w:val="23"/>
          <w:rtl/>
        </w:rPr>
        <w:t xml:space="preserve"> و پاداش ریسک همگی تابعی خطی از</w:t>
      </w:r>
      <w:r w:rsidRPr="00B6450D">
        <w:rPr>
          <w:position w:val="-10"/>
        </w:rPr>
        <w:object w:dxaOrig="200" w:dyaOrig="320" w14:anchorId="04FD7DE3">
          <v:shape id="_x0000_i5476" type="#_x0000_t75" style="width:10.3pt;height:15.75pt" o:ole="">
            <v:imagedata r:id="rId8959" o:title=""/>
          </v:shape>
          <o:OLEObject Type="Embed" ProgID="Equation.DSMT4" ShapeID="_x0000_i5476" DrawAspect="Content" ObjectID="_1791379420" r:id="rId8960"/>
        </w:object>
      </w:r>
      <w:r w:rsidRPr="00B6450D">
        <w:rPr>
          <w:rFonts w:hint="cs"/>
          <w:i/>
          <w:sz w:val="23"/>
          <w:szCs w:val="23"/>
          <w:rtl/>
        </w:rPr>
        <w:t xml:space="preserve"> بوده، و مدل نیز تبدیل به مدل عامل تنزیل تصادفی</w:t>
      </w:r>
      <w:r w:rsidRPr="00B6450D">
        <w:rPr>
          <w:position w:val="-6"/>
        </w:rPr>
        <w:object w:dxaOrig="540" w:dyaOrig="260" w14:anchorId="0BD30F1C">
          <v:shape id="_x0000_i5477" type="#_x0000_t75" style="width:26.6pt;height:13.3pt" o:ole="">
            <v:imagedata r:id="rId8961" o:title=""/>
          </v:shape>
          <o:OLEObject Type="Embed" ProgID="Equation.DSMT4" ShapeID="_x0000_i5477" DrawAspect="Content" ObjectID="_1791379421" r:id="rId8962"/>
        </w:object>
      </w:r>
      <w:r w:rsidRPr="00B6450D">
        <w:rPr>
          <w:rStyle w:val="FootnoteReference"/>
          <w:rFonts w:eastAsiaTheme="majorEastAsia"/>
          <w:i/>
          <w:sz w:val="23"/>
          <w:szCs w:val="23"/>
        </w:rPr>
        <w:footnoteReference w:id="288"/>
      </w:r>
      <w:r w:rsidRPr="00B6450D">
        <w:rPr>
          <w:rFonts w:hint="cs"/>
          <w:i/>
          <w:sz w:val="23"/>
          <w:szCs w:val="23"/>
          <w:rtl/>
        </w:rPr>
        <w:t xml:space="preserve"> با عوامل قابل مشاهده خواهد شد. بنابراین</w:t>
      </w:r>
    </w:p>
    <w:p w14:paraId="214F02F3" w14:textId="77777777" w:rsidR="00556C10" w:rsidRPr="00B6450D" w:rsidRDefault="00556C10" w:rsidP="00556C10">
      <w:pPr>
        <w:bidi w:val="0"/>
        <w:spacing w:line="216" w:lineRule="auto"/>
        <w:rPr>
          <w:i/>
          <w:sz w:val="23"/>
          <w:szCs w:val="23"/>
        </w:rPr>
      </w:pPr>
      <w:r w:rsidRPr="00B6450D">
        <w:rPr>
          <w:position w:val="-50"/>
        </w:rPr>
        <w:object w:dxaOrig="3879" w:dyaOrig="1100" w14:anchorId="3AF76E01">
          <v:shape id="_x0000_i5478" type="#_x0000_t75" style="width:193.6pt;height:55.05pt" o:ole="">
            <v:imagedata r:id="rId8963" o:title=""/>
          </v:shape>
          <o:OLEObject Type="Embed" ProgID="Equation.DSMT4" ShapeID="_x0000_i5478" DrawAspect="Content" ObjectID="_1791379422" r:id="rId8964"/>
        </w:object>
      </w:r>
    </w:p>
    <w:p w14:paraId="6F30EEE7" w14:textId="77777777" w:rsidR="00556C10" w:rsidRPr="00B6450D" w:rsidRDefault="00556C10" w:rsidP="00556C10">
      <w:pPr>
        <w:bidi w:val="0"/>
        <w:spacing w:line="216" w:lineRule="auto"/>
        <w:rPr>
          <w:i/>
          <w:sz w:val="23"/>
          <w:szCs w:val="23"/>
        </w:rPr>
      </w:pPr>
      <w:r w:rsidRPr="00B6450D">
        <w:rPr>
          <w:position w:val="-54"/>
        </w:rPr>
        <w:object w:dxaOrig="3960" w:dyaOrig="900" w14:anchorId="4143E51E">
          <v:shape id="_x0000_i5479" type="#_x0000_t75" style="width:198.45pt;height:45.4pt" o:ole="">
            <v:imagedata r:id="rId8965" o:title=""/>
          </v:shape>
          <o:OLEObject Type="Embed" ProgID="Equation.DSMT4" ShapeID="_x0000_i5479" DrawAspect="Content" ObjectID="_1791379423" r:id="rId8966"/>
        </w:object>
      </w:r>
    </w:p>
    <w:p w14:paraId="434A10D3" w14:textId="77777777" w:rsidR="00556C10" w:rsidRPr="00B6450D" w:rsidRDefault="00556C10" w:rsidP="00556C10">
      <w:pPr>
        <w:spacing w:line="216" w:lineRule="auto"/>
        <w:rPr>
          <w:i/>
          <w:sz w:val="23"/>
          <w:szCs w:val="23"/>
        </w:rPr>
      </w:pPr>
      <w:r w:rsidRPr="00B6450D">
        <w:rPr>
          <w:rFonts w:hint="cs"/>
          <w:i/>
          <w:sz w:val="23"/>
          <w:szCs w:val="23"/>
          <w:rtl/>
        </w:rPr>
        <w:t>و پاداش ریسک برابر است با</w:t>
      </w:r>
    </w:p>
    <w:p w14:paraId="0B7440B4" w14:textId="77777777" w:rsidR="00556C10" w:rsidRPr="00B6450D" w:rsidRDefault="00556C10" w:rsidP="00556C10">
      <w:pPr>
        <w:bidi w:val="0"/>
        <w:spacing w:line="216" w:lineRule="auto"/>
        <w:rPr>
          <w:i/>
          <w:sz w:val="23"/>
          <w:szCs w:val="23"/>
          <w:rtl/>
        </w:rPr>
      </w:pPr>
      <w:r w:rsidRPr="00B6450D">
        <w:rPr>
          <w:position w:val="-48"/>
        </w:rPr>
        <w:object w:dxaOrig="2280" w:dyaOrig="859" w14:anchorId="64B9980C">
          <v:shape id="_x0000_i5480" type="#_x0000_t75" style="width:114.35pt;height:42.95pt" o:ole="">
            <v:imagedata r:id="rId8967" o:title=""/>
          </v:shape>
          <o:OLEObject Type="Embed" ProgID="Equation.DSMT4" ShapeID="_x0000_i5480" DrawAspect="Content" ObjectID="_1791379424" r:id="rId8968"/>
        </w:object>
      </w:r>
    </w:p>
    <w:p w14:paraId="05E2E8E6" w14:textId="77777777" w:rsidR="00556C10" w:rsidRPr="00B6450D" w:rsidRDefault="00556C10" w:rsidP="00556C10">
      <w:pPr>
        <w:spacing w:line="216" w:lineRule="auto"/>
        <w:rPr>
          <w:i/>
          <w:sz w:val="23"/>
          <w:szCs w:val="23"/>
        </w:rPr>
      </w:pPr>
      <w:r w:rsidRPr="00B6450D">
        <w:rPr>
          <w:rFonts w:hint="cs"/>
          <w:i/>
          <w:sz w:val="23"/>
          <w:szCs w:val="23"/>
          <w:rtl/>
        </w:rPr>
        <w:t xml:space="preserve">که نشان می‌دهد ساختار زمانی نرخ بهره در تمامی زمان‌ها دارای شکل مشابه است، و منحنی در طی زمان بدلیل حرکت نرخ‌های کوتاه‌مدت، به بالا و پایین منتقل می‌شود. هر چند در عمل، شکل منحنی بازده در طی زمان تغییر کرده، و لذا، مدل تک عاملی بوضوح مدل مناسبی برای ساختار زمانی نرخ </w:t>
      </w:r>
      <w:r w:rsidRPr="00B6450D">
        <w:rPr>
          <w:rFonts w:hint="cs"/>
          <w:i/>
          <w:sz w:val="23"/>
          <w:szCs w:val="23"/>
          <w:rtl/>
        </w:rPr>
        <w:lastRenderedPageBreak/>
        <w:t>بهره نیست. همان</w:t>
      </w:r>
      <w:r w:rsidRPr="00B6450D">
        <w:rPr>
          <w:i/>
          <w:sz w:val="23"/>
          <w:szCs w:val="23"/>
          <w:rtl/>
        </w:rPr>
        <w:softHyphen/>
      </w:r>
      <w:r w:rsidRPr="00B6450D">
        <w:rPr>
          <w:rFonts w:hint="cs"/>
          <w:i/>
          <w:sz w:val="23"/>
          <w:szCs w:val="23"/>
          <w:rtl/>
        </w:rPr>
        <w:t>گونه که قبلاً توضیح داده شد، دلالت دیگر رابطه‌ی ضمنی بین</w:t>
      </w:r>
      <w:r w:rsidRPr="00B6450D">
        <w:rPr>
          <w:position w:val="-10"/>
        </w:rPr>
        <w:object w:dxaOrig="220" w:dyaOrig="320" w14:anchorId="3F0AF0A2">
          <v:shape id="_x0000_i5481" type="#_x0000_t75" style="width:10.9pt;height:15.75pt" o:ole="">
            <v:imagedata r:id="rId8969" o:title=""/>
          </v:shape>
          <o:OLEObject Type="Embed" ProgID="Equation.DSMT4" ShapeID="_x0000_i5481" DrawAspect="Content" ObjectID="_1791379425" r:id="rId8970"/>
        </w:object>
      </w:r>
      <w:r w:rsidRPr="00B6450D">
        <w:rPr>
          <w:rFonts w:hint="cs"/>
          <w:i/>
          <w:sz w:val="23"/>
          <w:szCs w:val="23"/>
          <w:rtl/>
        </w:rPr>
        <w:t xml:space="preserve"> و</w:t>
      </w:r>
      <w:r w:rsidRPr="00B6450D">
        <w:rPr>
          <w:position w:val="-10"/>
        </w:rPr>
        <w:object w:dxaOrig="200" w:dyaOrig="320" w14:anchorId="21BE3C63">
          <v:shape id="_x0000_i5482" type="#_x0000_t75" style="width:10.3pt;height:15.75pt" o:ole="">
            <v:imagedata r:id="rId8971" o:title=""/>
          </v:shape>
          <o:OLEObject Type="Embed" ProgID="Equation.DSMT4" ShapeID="_x0000_i5482" DrawAspect="Content" ObjectID="_1791379426" r:id="rId8972"/>
        </w:object>
      </w:r>
      <w:r w:rsidRPr="00B6450D">
        <w:rPr>
          <w:i/>
          <w:sz w:val="23"/>
          <w:szCs w:val="23"/>
        </w:rPr>
        <w:t xml:space="preserve"> </w:t>
      </w:r>
      <w:r w:rsidRPr="00B6450D">
        <w:rPr>
          <w:rFonts w:hint="cs"/>
          <w:i/>
          <w:sz w:val="23"/>
          <w:szCs w:val="23"/>
          <w:rtl/>
        </w:rPr>
        <w:t>آن است که</w:t>
      </w:r>
      <w:r w:rsidRPr="00B6450D">
        <w:rPr>
          <w:position w:val="-10"/>
        </w:rPr>
        <w:object w:dxaOrig="200" w:dyaOrig="320" w14:anchorId="1A1F6B06">
          <v:shape id="_x0000_i5483" type="#_x0000_t75" style="width:10.3pt;height:15.75pt" o:ole="">
            <v:imagedata r:id="rId8973" o:title=""/>
          </v:shape>
          <o:OLEObject Type="Embed" ProgID="Equation.DSMT4" ShapeID="_x0000_i5483" DrawAspect="Content" ObjectID="_1791379427" r:id="rId8974"/>
        </w:object>
      </w:r>
      <w:r w:rsidRPr="00B6450D">
        <w:rPr>
          <w:rFonts w:hint="cs"/>
          <w:i/>
          <w:sz w:val="23"/>
          <w:szCs w:val="23"/>
          <w:rtl/>
        </w:rPr>
        <w:t xml:space="preserve"> همانند</w:t>
      </w:r>
      <w:r w:rsidRPr="00B6450D">
        <w:rPr>
          <w:position w:val="-10"/>
        </w:rPr>
        <w:object w:dxaOrig="220" w:dyaOrig="320" w14:anchorId="42597C7A">
          <v:shape id="_x0000_i5484" type="#_x0000_t75" style="width:10.9pt;height:15.75pt" o:ole="">
            <v:imagedata r:id="rId8975" o:title=""/>
          </v:shape>
          <o:OLEObject Type="Embed" ProgID="Equation.DSMT4" ShapeID="_x0000_i5484" DrawAspect="Content" ObjectID="_1791379428" r:id="rId8976"/>
        </w:object>
      </w:r>
      <w:r w:rsidRPr="00B6450D">
        <w:rPr>
          <w:rFonts w:hint="cs"/>
          <w:i/>
          <w:sz w:val="23"/>
          <w:szCs w:val="23"/>
          <w:rtl/>
        </w:rPr>
        <w:t xml:space="preserve"> بر اساس فرایند خودهمبسته‌ی مرتبه اول مشابه، مثلاً معادله‌ی (۱۲. ۲۷) ایجاد می‌شود. در عمل این نتیجه نیز بطور کلی صحیح نیست.</w:t>
      </w:r>
    </w:p>
    <w:p w14:paraId="6D0D792C" w14:textId="77777777" w:rsidR="00556C10" w:rsidRPr="00B6450D" w:rsidRDefault="00556C10" w:rsidP="00556C10">
      <w:pPr>
        <w:spacing w:line="216" w:lineRule="auto"/>
        <w:rPr>
          <w:i/>
          <w:sz w:val="23"/>
          <w:szCs w:val="23"/>
          <w:rtl/>
        </w:rPr>
      </w:pPr>
      <w:r w:rsidRPr="00B6450D">
        <w:rPr>
          <w:rFonts w:hint="cs"/>
          <w:i/>
          <w:sz w:val="23"/>
          <w:szCs w:val="23"/>
          <w:rtl/>
        </w:rPr>
        <w:t>مدل واسیک در خصوص ساختار زمانی نرخ بهره نیز همانند مدل قبل از معادلات (۱۲. ۲۶) و (۱۲. ۲۷) استفاده کرده ولی فرض می‌کند که</w:t>
      </w:r>
      <w:r w:rsidRPr="00B6450D">
        <w:rPr>
          <w:position w:val="-10"/>
        </w:rPr>
        <w:object w:dxaOrig="980" w:dyaOrig="320" w14:anchorId="7E09301B">
          <v:shape id="_x0000_i5485" type="#_x0000_t75" style="width:49pt;height:15.75pt" o:ole="">
            <v:imagedata r:id="rId8977" o:title=""/>
          </v:shape>
          <o:OLEObject Type="Embed" ProgID="Equation.DSMT4" ShapeID="_x0000_i5485" DrawAspect="Content" ObjectID="_1791379429" r:id="rId8978"/>
        </w:object>
      </w:r>
      <w:r w:rsidRPr="00B6450D">
        <w:rPr>
          <w:rFonts w:hint="cs"/>
          <w:i/>
          <w:sz w:val="23"/>
          <w:szCs w:val="23"/>
          <w:rtl/>
        </w:rPr>
        <w:t xml:space="preserve"> می</w:t>
      </w:r>
      <w:r w:rsidRPr="00B6450D">
        <w:rPr>
          <w:i/>
          <w:sz w:val="23"/>
          <w:szCs w:val="23"/>
          <w:rtl/>
        </w:rPr>
        <w:softHyphen/>
      </w:r>
      <w:r w:rsidRPr="00B6450D">
        <w:rPr>
          <w:rFonts w:hint="cs"/>
          <w:i/>
          <w:sz w:val="23"/>
          <w:szCs w:val="23"/>
          <w:rtl/>
        </w:rPr>
        <w:t>باشد. فرایند تجزیه و تحلیل همانند مدل قبلی است فقط با این تفاوت که</w:t>
      </w:r>
    </w:p>
    <w:p w14:paraId="38EE80F9" w14:textId="77777777" w:rsidR="00556C10" w:rsidRPr="00B6450D" w:rsidRDefault="00556C10" w:rsidP="00556C10">
      <w:pPr>
        <w:bidi w:val="0"/>
        <w:spacing w:line="216" w:lineRule="auto"/>
        <w:rPr>
          <w:i/>
          <w:sz w:val="23"/>
          <w:szCs w:val="23"/>
          <w:rtl/>
        </w:rPr>
      </w:pPr>
      <w:r w:rsidRPr="00B6450D">
        <w:rPr>
          <w:position w:val="-14"/>
        </w:rPr>
        <w:object w:dxaOrig="3060" w:dyaOrig="420" w14:anchorId="41876934">
          <v:shape id="_x0000_i5486" type="#_x0000_t75" style="width:153.1pt;height:21.2pt" o:ole="">
            <v:imagedata r:id="rId8979" o:title=""/>
          </v:shape>
          <o:OLEObject Type="Embed" ProgID="Equation.DSMT4" ShapeID="_x0000_i5486" DrawAspect="Content" ObjectID="_1791379430" r:id="rId8980"/>
        </w:object>
      </w:r>
    </w:p>
    <w:p w14:paraId="30D6B131" w14:textId="77777777" w:rsidR="00556C10" w:rsidRPr="00B6450D" w:rsidRDefault="00556C10" w:rsidP="00556C10">
      <w:pPr>
        <w:spacing w:line="216" w:lineRule="auto"/>
        <w:rPr>
          <w:i/>
          <w:sz w:val="23"/>
          <w:szCs w:val="23"/>
          <w:rtl/>
        </w:rPr>
      </w:pPr>
      <w:r w:rsidRPr="00B6450D">
        <w:rPr>
          <w:rFonts w:hint="cs"/>
          <w:i/>
          <w:sz w:val="23"/>
          <w:szCs w:val="23"/>
          <w:rtl/>
        </w:rPr>
        <w:t>در این حالت معادله‌ی (۱۲. ۲۰) برابر خواهد بود با</w:t>
      </w:r>
    </w:p>
    <w:p w14:paraId="37586B62" w14:textId="77777777" w:rsidR="00556C10" w:rsidRPr="00B6450D" w:rsidRDefault="00556C10" w:rsidP="00556C10">
      <w:pPr>
        <w:bidi w:val="0"/>
        <w:spacing w:line="216" w:lineRule="auto"/>
        <w:rPr>
          <w:i/>
          <w:sz w:val="23"/>
          <w:szCs w:val="23"/>
          <w:rtl/>
        </w:rPr>
      </w:pPr>
      <w:r w:rsidRPr="00B6450D">
        <w:rPr>
          <w:position w:val="-26"/>
        </w:rPr>
        <w:object w:dxaOrig="6340" w:dyaOrig="620" w14:anchorId="02DBD13A">
          <v:shape id="_x0000_i5487" type="#_x0000_t75" style="width:317.05pt;height:31.45pt" o:ole="">
            <v:imagedata r:id="rId8981" o:title=""/>
          </v:shape>
          <o:OLEObject Type="Embed" ProgID="Equation.DSMT4" ShapeID="_x0000_i5487" DrawAspect="Content" ObjectID="_1791379431" r:id="rId8982"/>
        </w:object>
      </w:r>
    </w:p>
    <w:p w14:paraId="561C6C7C" w14:textId="77777777" w:rsidR="00556C10" w:rsidRPr="00B6450D" w:rsidRDefault="00556C10" w:rsidP="00556C10">
      <w:pPr>
        <w:spacing w:line="216" w:lineRule="auto"/>
        <w:rPr>
          <w:i/>
          <w:sz w:val="23"/>
          <w:szCs w:val="23"/>
        </w:rPr>
      </w:pPr>
      <w:r w:rsidRPr="00B6450D">
        <w:rPr>
          <w:rFonts w:hint="cs"/>
          <w:i/>
          <w:sz w:val="23"/>
          <w:szCs w:val="23"/>
          <w:rtl/>
        </w:rPr>
        <w:t>لذا</w:t>
      </w:r>
    </w:p>
    <w:p w14:paraId="1B7AC1BE" w14:textId="77777777" w:rsidR="00556C10" w:rsidRPr="00B6450D" w:rsidRDefault="00556C10" w:rsidP="00556C10">
      <w:pPr>
        <w:bidi w:val="0"/>
        <w:spacing w:line="216" w:lineRule="auto"/>
        <w:rPr>
          <w:i/>
          <w:sz w:val="23"/>
          <w:szCs w:val="23"/>
          <w:rtl/>
        </w:rPr>
      </w:pPr>
      <w:r w:rsidRPr="00B6450D">
        <w:rPr>
          <w:position w:val="-22"/>
        </w:rPr>
        <w:object w:dxaOrig="3800" w:dyaOrig="560" w14:anchorId="45F64FAC">
          <v:shape id="_x0000_i5488" type="#_x0000_t75" style="width:190pt;height:27.85pt" o:ole="">
            <v:imagedata r:id="rId8983" o:title=""/>
          </v:shape>
          <o:OLEObject Type="Embed" ProgID="Equation.DSMT4" ShapeID="_x0000_i5488" DrawAspect="Content" ObjectID="_1791379432" r:id="rId8984"/>
        </w:object>
      </w:r>
    </w:p>
    <w:p w14:paraId="4F6750B1" w14:textId="77777777" w:rsidR="00556C10" w:rsidRPr="00B6450D" w:rsidRDefault="00556C10" w:rsidP="00556C10">
      <w:pPr>
        <w:bidi w:val="0"/>
        <w:spacing w:line="216" w:lineRule="auto"/>
        <w:rPr>
          <w:i/>
          <w:sz w:val="23"/>
          <w:szCs w:val="23"/>
          <w:rtl/>
        </w:rPr>
      </w:pPr>
      <w:r w:rsidRPr="00B6450D">
        <w:rPr>
          <w:position w:val="-10"/>
        </w:rPr>
        <w:object w:dxaOrig="1300" w:dyaOrig="320" w14:anchorId="155B5CC5">
          <v:shape id="_x0000_i5489" type="#_x0000_t75" style="width:65.35pt;height:15.75pt" o:ole="">
            <v:imagedata r:id="rId8985" o:title=""/>
          </v:shape>
          <o:OLEObject Type="Embed" ProgID="Equation.DSMT4" ShapeID="_x0000_i5489" DrawAspect="Content" ObjectID="_1791379433" r:id="rId8986"/>
        </w:object>
      </w:r>
    </w:p>
    <w:p w14:paraId="498F78C2" w14:textId="77777777" w:rsidR="00556C10" w:rsidRPr="00B6450D" w:rsidRDefault="00556C10" w:rsidP="00556C10">
      <w:pPr>
        <w:spacing w:line="216" w:lineRule="auto"/>
        <w:rPr>
          <w:i/>
          <w:sz w:val="23"/>
          <w:szCs w:val="23"/>
        </w:rPr>
      </w:pPr>
      <w:r w:rsidRPr="00B6450D">
        <w:rPr>
          <w:rFonts w:hint="cs"/>
          <w:i/>
          <w:sz w:val="23"/>
          <w:szCs w:val="23"/>
          <w:rtl/>
        </w:rPr>
        <w:t xml:space="preserve">با استفاده از </w:t>
      </w:r>
      <w:r w:rsidRPr="00B6450D">
        <w:rPr>
          <w:position w:val="-12"/>
        </w:rPr>
        <w:object w:dxaOrig="1660" w:dyaOrig="340" w14:anchorId="6D02AF88">
          <v:shape id="_x0000_i5490" type="#_x0000_t75" style="width:82.9pt;height:16.95pt" o:ole="">
            <v:imagedata r:id="rId8987" o:title=""/>
          </v:shape>
          <o:OLEObject Type="Embed" ProgID="Equation.DSMT4" ShapeID="_x0000_i5490" DrawAspect="Content" ObjectID="_1791379434" r:id="rId8988"/>
        </w:object>
      </w:r>
      <w:r w:rsidRPr="00B6450D">
        <w:rPr>
          <w:rFonts w:hint="cs"/>
          <w:i/>
          <w:sz w:val="23"/>
          <w:szCs w:val="23"/>
          <w:rtl/>
        </w:rPr>
        <w:t xml:space="preserve"> خواهیم داشت</w:t>
      </w:r>
      <w:r w:rsidRPr="00B6450D">
        <w:rPr>
          <w:position w:val="-10"/>
        </w:rPr>
        <w:object w:dxaOrig="639" w:dyaOrig="320" w14:anchorId="1B14D691">
          <v:shape id="_x0000_i5491" type="#_x0000_t75" style="width:31.45pt;height:15.75pt" o:ole="">
            <v:imagedata r:id="rId8989" o:title=""/>
          </v:shape>
          <o:OLEObject Type="Embed" ProgID="Equation.DSMT4" ShapeID="_x0000_i5491" DrawAspect="Content" ObjectID="_1791379435" r:id="rId8990"/>
        </w:object>
      </w:r>
      <w:r w:rsidRPr="00B6450D">
        <w:rPr>
          <w:rFonts w:hint="cs"/>
          <w:i/>
          <w:sz w:val="23"/>
          <w:szCs w:val="23"/>
          <w:rtl/>
        </w:rPr>
        <w:t xml:space="preserve"> و</w:t>
      </w:r>
      <w:r w:rsidRPr="00B6450D">
        <w:rPr>
          <w:position w:val="-22"/>
        </w:rPr>
        <w:object w:dxaOrig="1120" w:dyaOrig="560" w14:anchorId="09782A5B">
          <v:shape id="_x0000_i5492" type="#_x0000_t75" style="width:55.65pt;height:27.85pt" o:ole="">
            <v:imagedata r:id="rId8991" o:title=""/>
          </v:shape>
          <o:OLEObject Type="Embed" ProgID="Equation.DSMT4" ShapeID="_x0000_i5492" DrawAspect="Content" ObjectID="_1791379436" r:id="rId8992"/>
        </w:object>
      </w:r>
      <w:r w:rsidRPr="00B6450D">
        <w:rPr>
          <w:rFonts w:hint="cs"/>
          <w:i/>
          <w:sz w:val="23"/>
          <w:szCs w:val="23"/>
          <w:rtl/>
        </w:rPr>
        <w:t>. بنابراین</w:t>
      </w:r>
    </w:p>
    <w:p w14:paraId="201877E1" w14:textId="77777777" w:rsidR="00556C10" w:rsidRPr="00B6450D" w:rsidRDefault="00556C10" w:rsidP="00556C10">
      <w:pPr>
        <w:bidi w:val="0"/>
        <w:spacing w:line="216" w:lineRule="auto"/>
        <w:rPr>
          <w:i/>
          <w:sz w:val="23"/>
          <w:szCs w:val="23"/>
          <w:rtl/>
        </w:rPr>
      </w:pPr>
      <w:r w:rsidRPr="00B6450D">
        <w:rPr>
          <w:position w:val="-22"/>
        </w:rPr>
        <w:object w:dxaOrig="3100" w:dyaOrig="560" w14:anchorId="61FDA8F1">
          <v:shape id="_x0000_i5493" type="#_x0000_t75" style="width:154.9pt;height:27.85pt" o:ole="">
            <v:imagedata r:id="rId8993" o:title=""/>
          </v:shape>
          <o:OLEObject Type="Embed" ProgID="Equation.DSMT4" ShapeID="_x0000_i5493" DrawAspect="Content" ObjectID="_1791379437" r:id="rId8994"/>
        </w:object>
      </w:r>
    </w:p>
    <w:p w14:paraId="65BBBE90" w14:textId="77777777" w:rsidR="00556C10" w:rsidRPr="00B6450D" w:rsidRDefault="00556C10" w:rsidP="00556C10">
      <w:pPr>
        <w:spacing w:line="216" w:lineRule="auto"/>
        <w:rPr>
          <w:i/>
          <w:sz w:val="23"/>
          <w:szCs w:val="23"/>
          <w:rtl/>
        </w:rPr>
      </w:pPr>
      <w:r w:rsidRPr="00B6450D">
        <w:rPr>
          <w:rFonts w:hint="cs"/>
          <w:i/>
          <w:sz w:val="23"/>
          <w:szCs w:val="23"/>
          <w:rtl/>
        </w:rPr>
        <w:t>و</w:t>
      </w:r>
    </w:p>
    <w:p w14:paraId="6E8A939E" w14:textId="77777777" w:rsidR="00556C10" w:rsidRPr="00B6450D" w:rsidRDefault="00556C10" w:rsidP="00556C10">
      <w:pPr>
        <w:bidi w:val="0"/>
        <w:spacing w:line="216" w:lineRule="auto"/>
        <w:rPr>
          <w:i/>
          <w:sz w:val="23"/>
          <w:szCs w:val="23"/>
          <w:rtl/>
        </w:rPr>
      </w:pPr>
      <w:r w:rsidRPr="00B6450D">
        <w:rPr>
          <w:position w:val="-26"/>
        </w:rPr>
        <w:object w:dxaOrig="4180" w:dyaOrig="620" w14:anchorId="5B47151E">
          <v:shape id="_x0000_i5494" type="#_x0000_t75" style="width:208.75pt;height:31.45pt" o:ole="">
            <v:imagedata r:id="rId8995" o:title=""/>
          </v:shape>
          <o:OLEObject Type="Embed" ProgID="Equation.DSMT4" ShapeID="_x0000_i5494" DrawAspect="Content" ObjectID="_1791379438" r:id="rId8996"/>
        </w:object>
      </w:r>
    </w:p>
    <w:p w14:paraId="554E1786" w14:textId="77777777" w:rsidR="00556C10" w:rsidRPr="00B6450D" w:rsidRDefault="00556C10" w:rsidP="00556C10">
      <w:pPr>
        <w:bidi w:val="0"/>
        <w:spacing w:line="216" w:lineRule="auto"/>
        <w:rPr>
          <w:i/>
          <w:sz w:val="23"/>
          <w:szCs w:val="23"/>
        </w:rPr>
      </w:pPr>
      <w:r w:rsidRPr="00B6450D">
        <w:rPr>
          <w:position w:val="-26"/>
        </w:rPr>
        <w:object w:dxaOrig="4360" w:dyaOrig="620" w14:anchorId="51020B7F">
          <v:shape id="_x0000_i5495" type="#_x0000_t75" style="width:217.8pt;height:31.45pt" o:ole="">
            <v:imagedata r:id="rId8997" o:title=""/>
          </v:shape>
          <o:OLEObject Type="Embed" ProgID="Equation.DSMT4" ShapeID="_x0000_i5495" DrawAspect="Content" ObjectID="_1791379439" r:id="rId8998"/>
        </w:object>
      </w:r>
    </w:p>
    <w:p w14:paraId="2FE944B9" w14:textId="77777777" w:rsidR="00556C10" w:rsidRPr="00B6450D" w:rsidRDefault="00556C10" w:rsidP="00556C10">
      <w:pPr>
        <w:spacing w:line="216" w:lineRule="auto"/>
        <w:rPr>
          <w:i/>
          <w:sz w:val="23"/>
          <w:szCs w:val="23"/>
        </w:rPr>
      </w:pPr>
      <w:r w:rsidRPr="00B6450D">
        <w:rPr>
          <w:rFonts w:hint="cs"/>
          <w:i/>
          <w:sz w:val="23"/>
          <w:szCs w:val="23"/>
          <w:rtl/>
        </w:rPr>
        <w:t xml:space="preserve">از شرط بدون آربیتراژ معادله‌ی (۱۲. ۲۳) و </w:t>
      </w:r>
      <w:r w:rsidRPr="00B6450D">
        <w:rPr>
          <w:position w:val="-16"/>
        </w:rPr>
        <w:object w:dxaOrig="1920" w:dyaOrig="420" w14:anchorId="567FDAAE">
          <v:shape id="_x0000_i5496" type="#_x0000_t75" style="width:96.2pt;height:21.2pt" o:ole="">
            <v:imagedata r:id="rId8999" o:title=""/>
          </v:shape>
          <o:OLEObject Type="Embed" ProgID="Equation.DSMT4" ShapeID="_x0000_i5496" DrawAspect="Content" ObjectID="_1791379440" r:id="rId9000"/>
        </w:object>
      </w:r>
      <w:r w:rsidRPr="00B6450D">
        <w:rPr>
          <w:rFonts w:hint="cs"/>
          <w:i/>
          <w:sz w:val="23"/>
          <w:szCs w:val="23"/>
          <w:rtl/>
        </w:rPr>
        <w:t>خواهیم داشت</w:t>
      </w:r>
    </w:p>
    <w:p w14:paraId="22FE4D44" w14:textId="77777777" w:rsidR="00556C10" w:rsidRPr="00B6450D" w:rsidRDefault="00556C10" w:rsidP="00556C10">
      <w:pPr>
        <w:bidi w:val="0"/>
        <w:spacing w:line="216" w:lineRule="auto"/>
        <w:rPr>
          <w:i/>
          <w:sz w:val="23"/>
          <w:szCs w:val="23"/>
          <w:rtl/>
        </w:rPr>
      </w:pPr>
      <w:r w:rsidRPr="00B6450D">
        <w:rPr>
          <w:position w:val="-60"/>
        </w:rPr>
        <w:object w:dxaOrig="4420" w:dyaOrig="1300" w14:anchorId="01F5335C">
          <v:shape id="_x0000_i5497" type="#_x0000_t75" style="width:220.85pt;height:65.35pt" o:ole="">
            <v:imagedata r:id="rId9001" o:title=""/>
          </v:shape>
          <o:OLEObject Type="Embed" ProgID="Equation.DSMT4" ShapeID="_x0000_i5497" DrawAspect="Content" ObjectID="_1791379441" r:id="rId9002"/>
        </w:object>
      </w:r>
    </w:p>
    <w:p w14:paraId="10E6FE4D" w14:textId="77777777" w:rsidR="00556C10" w:rsidRPr="00B6450D" w:rsidRDefault="00556C10" w:rsidP="00556C10">
      <w:pPr>
        <w:spacing w:line="216" w:lineRule="auto"/>
        <w:rPr>
          <w:i/>
          <w:sz w:val="23"/>
          <w:szCs w:val="23"/>
          <w:rtl/>
        </w:rPr>
      </w:pPr>
      <w:r w:rsidRPr="00B6450D">
        <w:rPr>
          <w:rFonts w:hint="cs"/>
          <w:i/>
          <w:sz w:val="23"/>
          <w:szCs w:val="23"/>
          <w:rtl/>
        </w:rPr>
        <w:t>و پاداش ریسک برابر است با</w:t>
      </w:r>
    </w:p>
    <w:p w14:paraId="08B68639" w14:textId="77777777" w:rsidR="00556C10" w:rsidRPr="00B6450D" w:rsidRDefault="00556C10" w:rsidP="00556C10">
      <w:pPr>
        <w:bidi w:val="0"/>
        <w:spacing w:line="216" w:lineRule="auto"/>
        <w:rPr>
          <w:i/>
          <w:sz w:val="23"/>
          <w:szCs w:val="23"/>
          <w:rtl/>
        </w:rPr>
      </w:pPr>
      <w:r w:rsidRPr="00B6450D">
        <w:rPr>
          <w:position w:val="-26"/>
        </w:rPr>
        <w:object w:dxaOrig="1320" w:dyaOrig="700" w14:anchorId="36C00459">
          <v:shape id="_x0000_i5498" type="#_x0000_t75" style="width:65.35pt;height:35.1pt" o:ole="">
            <v:imagedata r:id="rId9003" o:title=""/>
          </v:shape>
          <o:OLEObject Type="Embed" ProgID="Equation.DSMT4" ShapeID="_x0000_i5498" DrawAspect="Content" ObjectID="_1791379442" r:id="rId9004"/>
        </w:object>
      </w:r>
    </w:p>
    <w:p w14:paraId="5D47FFAA" w14:textId="77777777" w:rsidR="00556C10" w:rsidRPr="00B6450D" w:rsidRDefault="00556C10" w:rsidP="00556C10">
      <w:pPr>
        <w:spacing w:line="216" w:lineRule="auto"/>
        <w:rPr>
          <w:i/>
          <w:sz w:val="23"/>
          <w:szCs w:val="23"/>
        </w:rPr>
      </w:pPr>
      <w:r w:rsidRPr="00B6450D">
        <w:rPr>
          <w:rFonts w:hint="cs"/>
          <w:i/>
          <w:sz w:val="23"/>
          <w:szCs w:val="23"/>
          <w:rtl/>
        </w:rPr>
        <w:t>بنابراین، همانند مدل کاکس-اینگرسول-رُز، بازده</w:t>
      </w:r>
      <w:r w:rsidRPr="00B6450D">
        <w:rPr>
          <w:i/>
          <w:sz w:val="23"/>
          <w:szCs w:val="23"/>
          <w:rtl/>
        </w:rPr>
        <w:softHyphen/>
      </w:r>
      <w:r w:rsidRPr="00B6450D">
        <w:rPr>
          <w:rFonts w:hint="cs"/>
          <w:i/>
          <w:sz w:val="23"/>
          <w:szCs w:val="23"/>
          <w:rtl/>
        </w:rPr>
        <w:t xml:space="preserve">ها در مدل واسیک تابع خطی از نرخ کوتاه‌مدت بوده، شکل منحنی بازده در طی زمان ثابت و بر حسب نرخ کوتاه‌مدت منحنی منتقل می‌شود. اما بر </w:t>
      </w:r>
      <w:r w:rsidRPr="00B6450D">
        <w:rPr>
          <w:rFonts w:hint="cs"/>
          <w:i/>
          <w:sz w:val="23"/>
          <w:szCs w:val="23"/>
          <w:rtl/>
        </w:rPr>
        <w:lastRenderedPageBreak/>
        <w:t>خلاف کاکس-اینگرسول-رُز، پاداش ریسک فقط به زمان سررسید وابسته است و نه خود زمان. بنابراین مدل تک عاملی واسیک راه غیررضایت بخش</w:t>
      </w:r>
      <w:r w:rsidRPr="00B6450D">
        <w:rPr>
          <w:i/>
          <w:sz w:val="23"/>
          <w:szCs w:val="23"/>
          <w:rtl/>
        </w:rPr>
        <w:softHyphen/>
      </w:r>
      <w:r w:rsidRPr="00B6450D">
        <w:rPr>
          <w:rFonts w:hint="cs"/>
          <w:i/>
          <w:sz w:val="23"/>
          <w:szCs w:val="23"/>
          <w:rtl/>
        </w:rPr>
        <w:t>تری از مدل کاکس-اینگرسول-رُز جهت مدل</w:t>
      </w:r>
      <w:r w:rsidRPr="00B6450D">
        <w:rPr>
          <w:i/>
          <w:sz w:val="23"/>
          <w:szCs w:val="23"/>
          <w:rtl/>
        </w:rPr>
        <w:softHyphen/>
      </w:r>
      <w:r w:rsidRPr="00B6450D">
        <w:rPr>
          <w:rFonts w:hint="cs"/>
          <w:i/>
          <w:sz w:val="23"/>
          <w:szCs w:val="23"/>
          <w:rtl/>
        </w:rPr>
        <w:t>سازی ساختار زمانی نرخ بهره ارائه می‌دهد.</w:t>
      </w:r>
    </w:p>
    <w:p w14:paraId="2E27F71F" w14:textId="77777777" w:rsidR="00556C10" w:rsidRPr="00B6450D" w:rsidRDefault="00556C10" w:rsidP="00556C10">
      <w:pPr>
        <w:spacing w:line="216" w:lineRule="auto"/>
        <w:rPr>
          <w:i/>
          <w:sz w:val="23"/>
          <w:szCs w:val="23"/>
          <w:rtl/>
        </w:rPr>
      </w:pPr>
      <w:r w:rsidRPr="00B6450D">
        <w:rPr>
          <w:rFonts w:hint="cs"/>
          <w:i/>
          <w:sz w:val="23"/>
          <w:szCs w:val="23"/>
          <w:rtl/>
        </w:rPr>
        <w:t>یکی از مشکلات مدل‌های کاکس-اینگرسول-رُز و واسیک آن است که بر اساس مدل‌های تک عاملی می‌باشند. یک مدل چند عاملی خویشاوند کاکس-اینگرسول-رُز ممکن است جهت تبیین تغییرات در شکل منحنی بازده در طی زمان و انتقال آن منحنی قابلیت بهتری داشته باشد. دای و سینگلتون</w:t>
      </w:r>
      <w:r w:rsidRPr="00B6450D">
        <w:rPr>
          <w:rStyle w:val="FootnoteReference"/>
          <w:rFonts w:eastAsiaTheme="majorEastAsia"/>
          <w:i/>
          <w:sz w:val="23"/>
          <w:szCs w:val="23"/>
          <w:rtl/>
        </w:rPr>
        <w:footnoteReference w:id="289"/>
      </w:r>
      <w:r w:rsidRPr="00B6450D">
        <w:rPr>
          <w:rFonts w:hint="cs"/>
          <w:i/>
          <w:sz w:val="23"/>
          <w:szCs w:val="23"/>
          <w:rtl/>
        </w:rPr>
        <w:t xml:space="preserve"> در سال ۲۰۰۰ مدل چند عاملی کاگس-اینگرسول-رُز را برای ساختار زمانی نرخ بهره ارائه کردند. در مدل آن‌ها</w:t>
      </w:r>
    </w:p>
    <w:p w14:paraId="4E403C59" w14:textId="77777777" w:rsidR="00556C10" w:rsidRPr="00B6450D" w:rsidRDefault="00556C10" w:rsidP="00556C10">
      <w:pPr>
        <w:bidi w:val="0"/>
        <w:spacing w:line="216" w:lineRule="auto"/>
        <w:rPr>
          <w:i/>
          <w:sz w:val="23"/>
          <w:szCs w:val="23"/>
        </w:rPr>
      </w:pPr>
      <w:r w:rsidRPr="00B6450D">
        <w:rPr>
          <w:position w:val="-12"/>
        </w:rPr>
        <w:object w:dxaOrig="1800" w:dyaOrig="360" w14:anchorId="7F739F73">
          <v:shape id="_x0000_i5499" type="#_x0000_t75" style="width:90.15pt;height:18.15pt" o:ole="">
            <v:imagedata r:id="rId9005" o:title=""/>
          </v:shape>
          <o:OLEObject Type="Embed" ProgID="Equation.DSMT4" ShapeID="_x0000_i5499" DrawAspect="Content" ObjectID="_1791379443" r:id="rId9006"/>
        </w:objec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t xml:space="preserve"> </w:t>
      </w:r>
      <w:r w:rsidRPr="00B6450D">
        <w:rPr>
          <w:i/>
          <w:sz w:val="23"/>
          <w:szCs w:val="23"/>
          <w:rtl/>
        </w:rPr>
        <w:tab/>
        <w:t>(۱۲. ۲۹)</w:t>
      </w:r>
    </w:p>
    <w:p w14:paraId="1158053E" w14:textId="77777777" w:rsidR="00556C10" w:rsidRPr="00B6450D" w:rsidRDefault="00556C10" w:rsidP="00556C10">
      <w:pPr>
        <w:spacing w:line="216" w:lineRule="auto"/>
        <w:rPr>
          <w:i/>
          <w:sz w:val="23"/>
          <w:szCs w:val="23"/>
          <w:rtl/>
        </w:rPr>
      </w:pPr>
      <w:r w:rsidRPr="00B6450D">
        <w:rPr>
          <w:rFonts w:hint="cs"/>
          <w:i/>
          <w:sz w:val="23"/>
          <w:szCs w:val="23"/>
          <w:rtl/>
        </w:rPr>
        <w:t>که در آن</w:t>
      </w:r>
      <w:r w:rsidRPr="00B6450D">
        <w:rPr>
          <w:position w:val="-10"/>
        </w:rPr>
        <w:object w:dxaOrig="240" w:dyaOrig="320" w14:anchorId="11B8FCCF">
          <v:shape id="_x0000_i5500" type="#_x0000_t75" style="width:11.5pt;height:15.75pt" o:ole="">
            <v:imagedata r:id="rId9007" o:title=""/>
          </v:shape>
          <o:OLEObject Type="Embed" ProgID="Equation.DSMT4" ShapeID="_x0000_i5500" DrawAspect="Content" ObjectID="_1791379444" r:id="rId9008"/>
        </w:object>
      </w:r>
      <w:r w:rsidRPr="00B6450D">
        <w:rPr>
          <w:rFonts w:hint="cs"/>
          <w:i/>
          <w:sz w:val="23"/>
          <w:szCs w:val="23"/>
          <w:rtl/>
        </w:rPr>
        <w:t xml:space="preserve"> عبارت است از بردار عوامل و</w:t>
      </w:r>
    </w:p>
    <w:p w14:paraId="78CDC601" w14:textId="77777777" w:rsidR="00556C10" w:rsidRPr="00B6450D" w:rsidRDefault="00556C10" w:rsidP="00556C10">
      <w:pPr>
        <w:bidi w:val="0"/>
        <w:spacing w:line="216" w:lineRule="auto"/>
        <w:rPr>
          <w:i/>
          <w:sz w:val="23"/>
          <w:szCs w:val="23"/>
          <w:rtl/>
        </w:rPr>
      </w:pPr>
      <w:r w:rsidRPr="00B6450D">
        <w:rPr>
          <w:position w:val="-10"/>
        </w:rPr>
        <w:object w:dxaOrig="1800" w:dyaOrig="320" w14:anchorId="00C758C3">
          <v:shape id="_x0000_i5501" type="#_x0000_t75" style="width:90.15pt;height:15.75pt" o:ole="">
            <v:imagedata r:id="rId9009" o:title=""/>
          </v:shape>
          <o:OLEObject Type="Embed" ProgID="Equation.DSMT4" ShapeID="_x0000_i5501" DrawAspect="Content" ObjectID="_1791379445" r:id="rId9010"/>
        </w:object>
      </w:r>
    </w:p>
    <w:p w14:paraId="09321432" w14:textId="77777777" w:rsidR="00556C10" w:rsidRPr="00B6450D" w:rsidRDefault="00556C10" w:rsidP="00556C10">
      <w:pPr>
        <w:bidi w:val="0"/>
        <w:spacing w:line="216" w:lineRule="auto"/>
        <w:rPr>
          <w:i/>
          <w:sz w:val="23"/>
          <w:szCs w:val="23"/>
        </w:rPr>
      </w:pPr>
      <w:r w:rsidRPr="00B6450D">
        <w:rPr>
          <w:position w:val="-12"/>
        </w:rPr>
        <w:object w:dxaOrig="2400" w:dyaOrig="360" w14:anchorId="7AA4CFDB">
          <v:shape id="_x0000_i5502" type="#_x0000_t75" style="width:119.8pt;height:18.15pt" o:ole="">
            <v:imagedata r:id="rId9011" o:title=""/>
          </v:shape>
          <o:OLEObject Type="Embed" ProgID="Equation.DSMT4" ShapeID="_x0000_i5502" DrawAspect="Content" ObjectID="_1791379446" r:id="rId9012"/>
        </w:object>
      </w:r>
    </w:p>
    <w:p w14:paraId="613D7124" w14:textId="77777777" w:rsidR="00556C10" w:rsidRPr="00B6450D" w:rsidRDefault="00556C10" w:rsidP="00556C10">
      <w:pPr>
        <w:bidi w:val="0"/>
        <w:spacing w:line="216" w:lineRule="auto"/>
        <w:rPr>
          <w:i/>
          <w:sz w:val="23"/>
          <w:szCs w:val="23"/>
          <w:rtl/>
        </w:rPr>
      </w:pPr>
      <w:r w:rsidRPr="00B6450D">
        <w:rPr>
          <w:position w:val="-12"/>
        </w:rPr>
        <w:object w:dxaOrig="1440" w:dyaOrig="380" w14:anchorId="1FC70C68">
          <v:shape id="_x0000_i5503" type="#_x0000_t75" style="width:1in;height:19.35pt" o:ole="">
            <v:imagedata r:id="rId9013" o:title=""/>
          </v:shape>
          <o:OLEObject Type="Embed" ProgID="Equation.DSMT4" ShapeID="_x0000_i5503" DrawAspect="Content" ObjectID="_1791379447" r:id="rId9014"/>
        </w:object>
      </w:r>
    </w:p>
    <w:p w14:paraId="0D2A6E03" w14:textId="77777777" w:rsidR="00556C10" w:rsidRPr="00B6450D" w:rsidRDefault="00556C10" w:rsidP="00556C10">
      <w:pPr>
        <w:bidi w:val="0"/>
        <w:spacing w:line="216" w:lineRule="auto"/>
        <w:rPr>
          <w:i/>
          <w:sz w:val="23"/>
          <w:szCs w:val="23"/>
        </w:rPr>
      </w:pPr>
      <w:r w:rsidRPr="00B6450D">
        <w:rPr>
          <w:position w:val="-12"/>
        </w:rPr>
        <w:object w:dxaOrig="1400" w:dyaOrig="340" w14:anchorId="3233BCEF">
          <v:shape id="_x0000_i5504" type="#_x0000_t75" style="width:70.2pt;height:16.95pt" o:ole="">
            <v:imagedata r:id="rId9015" o:title=""/>
          </v:shape>
          <o:OLEObject Type="Embed" ProgID="Equation.DSMT4" ShapeID="_x0000_i5504" DrawAspect="Content" ObjectID="_1791379448" r:id="rId9016"/>
        </w:object>
      </w:r>
    </w:p>
    <w:p w14:paraId="2FCB2D33" w14:textId="77777777" w:rsidR="00556C10" w:rsidRPr="00B6450D" w:rsidRDefault="00556C10" w:rsidP="00556C10">
      <w:pPr>
        <w:spacing w:line="216" w:lineRule="auto"/>
        <w:rPr>
          <w:i/>
          <w:sz w:val="23"/>
          <w:szCs w:val="23"/>
        </w:rPr>
      </w:pPr>
      <w:r w:rsidRPr="00B6450D">
        <w:rPr>
          <w:rFonts w:hint="cs"/>
          <w:i/>
          <w:sz w:val="23"/>
          <w:szCs w:val="23"/>
          <w:rtl/>
        </w:rPr>
        <w:t xml:space="preserve">که در آن </w:t>
      </w:r>
      <w:r w:rsidRPr="00B6450D">
        <w:rPr>
          <w:position w:val="-12"/>
        </w:rPr>
        <w:object w:dxaOrig="1200" w:dyaOrig="360" w14:anchorId="05E3FDC9">
          <v:shape id="_x0000_i5505" type="#_x0000_t75" style="width:59.9pt;height:18.15pt" o:ole="">
            <v:imagedata r:id="rId9017" o:title=""/>
          </v:shape>
          <o:OLEObject Type="Embed" ProgID="Equation.DSMT4" ShapeID="_x0000_i5505" DrawAspect="Content" ObjectID="_1791379449" r:id="rId9018"/>
        </w:object>
      </w:r>
      <w:r w:rsidRPr="00B6450D">
        <w:rPr>
          <w:rFonts w:hint="cs"/>
          <w:i/>
          <w:sz w:val="23"/>
          <w:szCs w:val="23"/>
          <w:rtl/>
        </w:rPr>
        <w:t xml:space="preserve">، </w:t>
      </w:r>
      <w:r w:rsidRPr="00B6450D">
        <w:rPr>
          <w:position w:val="-10"/>
        </w:rPr>
        <w:object w:dxaOrig="279" w:dyaOrig="320" w14:anchorId="168BBD26">
          <v:shape id="_x0000_i5506" type="#_x0000_t75" style="width:13.9pt;height:15.75pt" o:ole="">
            <v:imagedata r:id="rId9019" o:title=""/>
          </v:shape>
          <o:OLEObject Type="Embed" ProgID="Equation.DSMT4" ShapeID="_x0000_i5506" DrawAspect="Content" ObjectID="_1791379450" r:id="rId9020"/>
        </w:object>
      </w:r>
      <w:r w:rsidRPr="00B6450D">
        <w:rPr>
          <w:rFonts w:hint="cs"/>
          <w:i/>
          <w:sz w:val="23"/>
          <w:szCs w:val="23"/>
          <w:rtl/>
        </w:rPr>
        <w:t xml:space="preserve"> ماتریس قطری، </w:t>
      </w:r>
      <w:r w:rsidRPr="00B6450D">
        <w:rPr>
          <w:position w:val="-10"/>
        </w:rPr>
        <w:object w:dxaOrig="380" w:dyaOrig="320" w14:anchorId="09E405F8">
          <v:shape id="_x0000_i5507" type="#_x0000_t75" style="width:19.35pt;height:15.75pt" o:ole="">
            <v:imagedata r:id="rId9021" o:title=""/>
          </v:shape>
          <o:OLEObject Type="Embed" ProgID="Equation.DSMT4" ShapeID="_x0000_i5507" DrawAspect="Content" ObjectID="_1791379451" r:id="rId9022"/>
        </w:object>
      </w:r>
      <w:r w:rsidRPr="00B6450D">
        <w:rPr>
          <w:rFonts w:hint="cs"/>
          <w:i/>
          <w:sz w:val="23"/>
          <w:szCs w:val="23"/>
          <w:rtl/>
        </w:rPr>
        <w:t xml:space="preserve"> متغیرهای تصادفی </w:t>
      </w:r>
      <w:r w:rsidRPr="00B6450D">
        <w:rPr>
          <w:position w:val="-8"/>
        </w:rPr>
        <w:object w:dxaOrig="859" w:dyaOrig="279" w14:anchorId="0BC5A030">
          <v:shape id="_x0000_i5508" type="#_x0000_t75" style="width:42.95pt;height:13.9pt" o:ole="">
            <v:imagedata r:id="rId9023" o:title=""/>
          </v:shape>
          <o:OLEObject Type="Embed" ProgID="Equation.DSMT4" ShapeID="_x0000_i5508" DrawAspect="Content" ObjectID="_1791379452" r:id="rId9024"/>
        </w:object>
      </w:r>
      <w:r w:rsidRPr="00B6450D">
        <w:rPr>
          <w:rFonts w:hint="cs"/>
          <w:i/>
          <w:sz w:val="23"/>
          <w:szCs w:val="23"/>
          <w:rtl/>
        </w:rPr>
        <w:t xml:space="preserve"> و </w:t>
      </w:r>
      <w:r w:rsidRPr="00025957">
        <w:rPr>
          <w:position w:val="-4"/>
        </w:rPr>
        <w:object w:dxaOrig="240" w:dyaOrig="220" w14:anchorId="379F018B">
          <v:shape id="_x0000_i5509" type="#_x0000_t75" style="width:11.5pt;height:10.9pt" o:ole="">
            <v:imagedata r:id="rId9025" o:title=""/>
          </v:shape>
          <o:OLEObject Type="Embed" ProgID="Equation.DSMT4" ShapeID="_x0000_i5509" DrawAspect="Content" ObjectID="_1791379453" r:id="rId9026"/>
        </w:object>
      </w:r>
      <w:r w:rsidRPr="00B6450D">
        <w:rPr>
          <w:rFonts w:hint="cs"/>
          <w:i/>
          <w:sz w:val="23"/>
          <w:szCs w:val="23"/>
          <w:rtl/>
        </w:rPr>
        <w:t xml:space="preserve"> و </w:t>
      </w:r>
      <w:r w:rsidRPr="00025957">
        <w:rPr>
          <w:position w:val="-4"/>
        </w:rPr>
        <w:object w:dxaOrig="200" w:dyaOrig="220" w14:anchorId="6A0AFC7F">
          <v:shape id="_x0000_i5510" type="#_x0000_t75" style="width:10.3pt;height:10.9pt" o:ole="">
            <v:imagedata r:id="rId9027" o:title=""/>
          </v:shape>
          <o:OLEObject Type="Embed" ProgID="Equation.DSMT4" ShapeID="_x0000_i5510" DrawAspect="Content" ObjectID="_1791379454" r:id="rId9028"/>
        </w:object>
      </w:r>
      <w:r w:rsidRPr="00B6450D">
        <w:rPr>
          <w:rFonts w:hint="cs"/>
          <w:i/>
          <w:sz w:val="23"/>
          <w:szCs w:val="23"/>
          <w:rtl/>
        </w:rPr>
        <w:t xml:space="preserve"> ماترس</w:t>
      </w:r>
      <w:r w:rsidRPr="00B6450D">
        <w:rPr>
          <w:i/>
          <w:sz w:val="23"/>
          <w:szCs w:val="23"/>
          <w:rtl/>
        </w:rPr>
        <w:softHyphen/>
      </w:r>
      <w:r w:rsidRPr="00B6450D">
        <w:rPr>
          <w:rFonts w:hint="cs"/>
          <w:i/>
          <w:sz w:val="23"/>
          <w:szCs w:val="23"/>
          <w:rtl/>
        </w:rPr>
        <w:t>های مربع می‌باشند.</w:t>
      </w:r>
    </w:p>
    <w:p w14:paraId="2091DBA4" w14:textId="77777777" w:rsidR="00556C10" w:rsidRPr="00B6450D" w:rsidRDefault="00556C10" w:rsidP="00556C10">
      <w:pPr>
        <w:spacing w:line="216" w:lineRule="auto"/>
        <w:rPr>
          <w:i/>
          <w:sz w:val="23"/>
          <w:szCs w:val="23"/>
          <w:rtl/>
        </w:rPr>
      </w:pPr>
      <w:r w:rsidRPr="00B6450D">
        <w:rPr>
          <w:rFonts w:hint="cs"/>
          <w:i/>
          <w:sz w:val="23"/>
          <w:szCs w:val="23"/>
          <w:rtl/>
        </w:rPr>
        <w:t>برای تشریح، حالتی را در نظر بگیرید که عوامل مستقل</w:t>
      </w:r>
      <w:r w:rsidRPr="00B6450D">
        <w:rPr>
          <w:i/>
          <w:sz w:val="23"/>
          <w:szCs w:val="23"/>
          <w:rtl/>
        </w:rPr>
        <w:softHyphen/>
      </w:r>
      <w:r w:rsidRPr="00B6450D">
        <w:rPr>
          <w:rFonts w:hint="cs"/>
          <w:i/>
          <w:sz w:val="23"/>
          <w:szCs w:val="23"/>
          <w:rtl/>
        </w:rPr>
        <w:t xml:space="preserve">اند، یعنی ماتریس‌های </w:t>
      </w:r>
      <w:r w:rsidRPr="00025957">
        <w:rPr>
          <w:position w:val="-4"/>
        </w:rPr>
        <w:object w:dxaOrig="240" w:dyaOrig="220" w14:anchorId="42858D85">
          <v:shape id="_x0000_i5511" type="#_x0000_t75" style="width:11.5pt;height:10.9pt" o:ole="">
            <v:imagedata r:id="rId9029" o:title=""/>
          </v:shape>
          <o:OLEObject Type="Embed" ProgID="Equation.DSMT4" ShapeID="_x0000_i5511" DrawAspect="Content" ObjectID="_1791379455" r:id="rId9030"/>
        </w:object>
      </w:r>
      <w:r w:rsidRPr="00B6450D">
        <w:rPr>
          <w:rFonts w:hint="cs"/>
          <w:i/>
          <w:sz w:val="23"/>
          <w:szCs w:val="23"/>
          <w:rtl/>
        </w:rPr>
        <w:t xml:space="preserve"> و </w:t>
      </w:r>
      <w:r w:rsidRPr="00025957">
        <w:rPr>
          <w:position w:val="-4"/>
        </w:rPr>
        <w:object w:dxaOrig="200" w:dyaOrig="220" w14:anchorId="18930B0C">
          <v:shape id="_x0000_i5512" type="#_x0000_t75" style="width:10.3pt;height:10.9pt" o:ole="">
            <v:imagedata r:id="rId9031" o:title=""/>
          </v:shape>
          <o:OLEObject Type="Embed" ProgID="Equation.DSMT4" ShapeID="_x0000_i5512" DrawAspect="Content" ObjectID="_1791379456" r:id="rId9032"/>
        </w:object>
      </w:r>
      <w:r w:rsidRPr="00B6450D">
        <w:rPr>
          <w:rFonts w:hint="cs"/>
          <w:i/>
          <w:sz w:val="23"/>
          <w:szCs w:val="23"/>
          <w:rtl/>
        </w:rPr>
        <w:t xml:space="preserve"> قطری بوده و همچنین</w:t>
      </w:r>
      <w:r w:rsidRPr="00B6450D">
        <w:rPr>
          <w:position w:val="-12"/>
        </w:rPr>
        <w:object w:dxaOrig="840" w:dyaOrig="340" w14:anchorId="5C1B9C21">
          <v:shape id="_x0000_i5513" type="#_x0000_t75" style="width:42.35pt;height:16.95pt" o:ole="">
            <v:imagedata r:id="rId9033" o:title=""/>
          </v:shape>
          <o:OLEObject Type="Embed" ProgID="Equation.DSMT4" ShapeID="_x0000_i5513" DrawAspect="Content" ObjectID="_1791379457" r:id="rId9034"/>
        </w:object>
      </w:r>
      <w:r w:rsidRPr="00B6450D">
        <w:rPr>
          <w:rFonts w:hint="cs"/>
          <w:i/>
          <w:sz w:val="23"/>
          <w:szCs w:val="23"/>
          <w:rtl/>
        </w:rPr>
        <w:t xml:space="preserve"> می‌باشد</w:t>
      </w:r>
      <w:r w:rsidRPr="00B6450D">
        <w:rPr>
          <w:i/>
          <w:sz w:val="23"/>
          <w:szCs w:val="23"/>
        </w:rPr>
        <w:t>.</w:t>
      </w:r>
      <w:r w:rsidRPr="00B6450D">
        <w:rPr>
          <w:rFonts w:hint="cs"/>
          <w:i/>
          <w:sz w:val="23"/>
          <w:szCs w:val="23"/>
          <w:rtl/>
        </w:rPr>
        <w:t xml:space="preserve"> این مفروضات باعث می‌شود که کل مدل جمع</w:t>
      </w:r>
      <w:r w:rsidRPr="00B6450D">
        <w:rPr>
          <w:i/>
          <w:sz w:val="23"/>
          <w:szCs w:val="23"/>
          <w:rtl/>
        </w:rPr>
        <w:softHyphen/>
      </w:r>
      <w:r w:rsidRPr="00B6450D">
        <w:rPr>
          <w:rFonts w:hint="cs"/>
          <w:i/>
          <w:sz w:val="23"/>
          <w:szCs w:val="23"/>
          <w:rtl/>
        </w:rPr>
        <w:t>پذیر شود و در نتیجه می‌توان نشان داد که</w:t>
      </w:r>
    </w:p>
    <w:p w14:paraId="16A3DB74" w14:textId="77777777" w:rsidR="00556C10" w:rsidRPr="00B6450D" w:rsidRDefault="00556C10" w:rsidP="00556C10">
      <w:pPr>
        <w:bidi w:val="0"/>
        <w:spacing w:line="216" w:lineRule="auto"/>
        <w:rPr>
          <w:i/>
          <w:sz w:val="23"/>
          <w:szCs w:val="23"/>
          <w:rtl/>
        </w:rPr>
      </w:pPr>
      <w:r w:rsidRPr="00B6450D">
        <w:rPr>
          <w:position w:val="-26"/>
        </w:rPr>
        <w:object w:dxaOrig="2140" w:dyaOrig="639" w14:anchorId="2A4196D9">
          <v:shape id="_x0000_i5514" type="#_x0000_t75" style="width:107.1pt;height:31.45pt" o:ole="">
            <v:imagedata r:id="rId9035" o:title=""/>
          </v:shape>
          <o:OLEObject Type="Embed" ProgID="Equation.DSMT4" ShapeID="_x0000_i5514" DrawAspect="Content" ObjectID="_1791379458" r:id="rId9036"/>
        </w:object>
      </w:r>
    </w:p>
    <w:p w14:paraId="27269F73" w14:textId="77777777" w:rsidR="00556C10" w:rsidRPr="00B6450D" w:rsidRDefault="00556C10" w:rsidP="00556C10">
      <w:pPr>
        <w:bidi w:val="0"/>
        <w:spacing w:line="216" w:lineRule="auto"/>
        <w:rPr>
          <w:i/>
          <w:sz w:val="23"/>
          <w:szCs w:val="23"/>
        </w:rPr>
      </w:pPr>
      <w:r w:rsidRPr="00B6450D">
        <w:rPr>
          <w:position w:val="-26"/>
        </w:rPr>
        <w:object w:dxaOrig="2200" w:dyaOrig="499" w14:anchorId="3144DC26">
          <v:shape id="_x0000_i5515" type="#_x0000_t75" style="width:110.1pt;height:24.8pt" o:ole="">
            <v:imagedata r:id="rId9037" o:title=""/>
          </v:shape>
          <o:OLEObject Type="Embed" ProgID="Equation.DSMT4" ShapeID="_x0000_i5515" DrawAspect="Content" ObjectID="_1791379459" r:id="rId9038"/>
        </w:object>
      </w:r>
    </w:p>
    <w:p w14:paraId="0FBFBBFF" w14:textId="77777777" w:rsidR="00556C10" w:rsidRPr="00B6450D" w:rsidRDefault="00556C10" w:rsidP="00556C10">
      <w:pPr>
        <w:bidi w:val="0"/>
        <w:spacing w:line="216" w:lineRule="auto"/>
        <w:rPr>
          <w:i/>
          <w:sz w:val="23"/>
          <w:szCs w:val="23"/>
        </w:rPr>
      </w:pPr>
      <w:r w:rsidRPr="00B6450D">
        <w:rPr>
          <w:position w:val="-14"/>
        </w:rPr>
        <w:object w:dxaOrig="2600" w:dyaOrig="380" w14:anchorId="39BE6510">
          <v:shape id="_x0000_i5516" type="#_x0000_t75" style="width:130.1pt;height:19.35pt" o:ole="">
            <v:imagedata r:id="rId9039" o:title=""/>
          </v:shape>
          <o:OLEObject Type="Embed" ProgID="Equation.DSMT4" ShapeID="_x0000_i5516" DrawAspect="Content" ObjectID="_1791379460" r:id="rId9040"/>
        </w:object>
      </w:r>
    </w:p>
    <w:p w14:paraId="499BE879" w14:textId="77777777" w:rsidR="00556C10" w:rsidRPr="00B6450D" w:rsidRDefault="00556C10" w:rsidP="00556C10">
      <w:pPr>
        <w:bidi w:val="0"/>
        <w:spacing w:line="216" w:lineRule="auto"/>
        <w:rPr>
          <w:i/>
          <w:sz w:val="23"/>
          <w:szCs w:val="23"/>
          <w:rtl/>
        </w:rPr>
      </w:pPr>
      <w:r w:rsidRPr="00B6450D">
        <w:rPr>
          <w:position w:val="-14"/>
        </w:rPr>
        <w:object w:dxaOrig="1620" w:dyaOrig="400" w14:anchorId="5837E6AF">
          <v:shape id="_x0000_i5517" type="#_x0000_t75" style="width:81.1pt;height:19.95pt" o:ole="">
            <v:imagedata r:id="rId9041" o:title=""/>
          </v:shape>
          <o:OLEObject Type="Embed" ProgID="Equation.DSMT4" ShapeID="_x0000_i5517" DrawAspect="Content" ObjectID="_1791379461" r:id="rId9042"/>
        </w:object>
      </w:r>
    </w:p>
    <w:p w14:paraId="7D3244B1" w14:textId="77777777" w:rsidR="00556C10" w:rsidRPr="00B6450D" w:rsidRDefault="00556C10" w:rsidP="00556C10">
      <w:pPr>
        <w:spacing w:line="216" w:lineRule="auto"/>
        <w:rPr>
          <w:i/>
          <w:sz w:val="23"/>
          <w:szCs w:val="23"/>
          <w:rtl/>
        </w:rPr>
      </w:pPr>
      <w:r w:rsidRPr="00B6450D">
        <w:rPr>
          <w:rFonts w:hint="cs"/>
          <w:i/>
          <w:sz w:val="23"/>
          <w:szCs w:val="23"/>
          <w:rtl/>
        </w:rPr>
        <w:t>و به تبع آن</w:t>
      </w:r>
    </w:p>
    <w:p w14:paraId="0C82393C" w14:textId="77777777" w:rsidR="00556C10" w:rsidRPr="00B6450D" w:rsidRDefault="00556C10" w:rsidP="00556C10">
      <w:pPr>
        <w:bidi w:val="0"/>
        <w:spacing w:line="216" w:lineRule="auto"/>
        <w:rPr>
          <w:i/>
          <w:sz w:val="23"/>
          <w:szCs w:val="23"/>
          <w:rtl/>
        </w:rPr>
      </w:pPr>
      <w:r w:rsidRPr="00B6450D">
        <w:rPr>
          <w:position w:val="-26"/>
        </w:rPr>
        <w:object w:dxaOrig="5000" w:dyaOrig="600" w14:anchorId="7399B98A">
          <v:shape id="_x0000_i5518" type="#_x0000_t75" style="width:249.9pt;height:29.65pt" o:ole="">
            <v:imagedata r:id="rId9043" o:title=""/>
          </v:shape>
          <o:OLEObject Type="Embed" ProgID="Equation.DSMT4" ShapeID="_x0000_i5518" DrawAspect="Content" ObjectID="_1791379462" r:id="rId9044"/>
        </w:object>
      </w:r>
    </w:p>
    <w:p w14:paraId="7ADA5AE1" w14:textId="77777777" w:rsidR="00556C10" w:rsidRPr="00B6450D" w:rsidRDefault="00556C10" w:rsidP="00556C10">
      <w:pPr>
        <w:spacing w:line="216" w:lineRule="auto"/>
        <w:rPr>
          <w:i/>
          <w:sz w:val="23"/>
          <w:szCs w:val="23"/>
          <w:rtl/>
        </w:rPr>
      </w:pPr>
      <w:r w:rsidRPr="00B6450D">
        <w:rPr>
          <w:rFonts w:hint="cs"/>
          <w:i/>
          <w:sz w:val="23"/>
          <w:szCs w:val="23"/>
          <w:rtl/>
        </w:rPr>
        <w:t>و پاداش ریسک برابر است با</w:t>
      </w:r>
    </w:p>
    <w:p w14:paraId="25DD70C3" w14:textId="77777777" w:rsidR="00556C10" w:rsidRPr="00B6450D" w:rsidRDefault="00556C10" w:rsidP="00556C10">
      <w:pPr>
        <w:bidi w:val="0"/>
        <w:spacing w:line="216" w:lineRule="auto"/>
        <w:rPr>
          <w:i/>
          <w:sz w:val="23"/>
          <w:szCs w:val="23"/>
          <w:rtl/>
        </w:rPr>
      </w:pPr>
      <w:r w:rsidRPr="00B6450D">
        <w:rPr>
          <w:position w:val="-26"/>
        </w:rPr>
        <w:object w:dxaOrig="1340" w:dyaOrig="499" w14:anchorId="6B6FC789">
          <v:shape id="_x0000_i5519" type="#_x0000_t75" style="width:67.15pt;height:24.8pt" o:ole="">
            <v:imagedata r:id="rId9045" o:title=""/>
          </v:shape>
          <o:OLEObject Type="Embed" ProgID="Equation.DSMT4" ShapeID="_x0000_i5519" DrawAspect="Content" ObjectID="_1791379463" r:id="rId9046"/>
        </w:object>
      </w:r>
    </w:p>
    <w:p w14:paraId="3B3BA89B" w14:textId="77777777" w:rsidR="00556C10" w:rsidRPr="00B6450D" w:rsidRDefault="00556C10" w:rsidP="00556C10">
      <w:pPr>
        <w:spacing w:line="216" w:lineRule="auto"/>
        <w:rPr>
          <w:i/>
          <w:sz w:val="23"/>
          <w:szCs w:val="23"/>
          <w:rtl/>
        </w:rPr>
      </w:pPr>
      <w:r w:rsidRPr="00B6450D">
        <w:rPr>
          <w:rFonts w:hint="cs"/>
          <w:i/>
          <w:sz w:val="23"/>
          <w:szCs w:val="23"/>
          <w:rtl/>
        </w:rPr>
        <w:lastRenderedPageBreak/>
        <w:t>بنابراین پاداش ریسک مجموع اثرات ریسک هر یک از عوامل است. ضمناً نرخ کوتاه‌مدت تابع خطی از عوامل است</w:t>
      </w:r>
    </w:p>
    <w:p w14:paraId="7AC00BE3" w14:textId="77777777" w:rsidR="00556C10" w:rsidRPr="00B6450D" w:rsidRDefault="00556C10" w:rsidP="00556C10">
      <w:pPr>
        <w:bidi w:val="0"/>
        <w:spacing w:line="216" w:lineRule="auto"/>
        <w:rPr>
          <w:i/>
          <w:sz w:val="23"/>
          <w:szCs w:val="23"/>
          <w:rtl/>
        </w:rPr>
      </w:pPr>
      <w:r w:rsidRPr="00B6450D">
        <w:rPr>
          <w:position w:val="-26"/>
        </w:rPr>
        <w:object w:dxaOrig="2680" w:dyaOrig="620" w14:anchorId="3A46BBE5">
          <v:shape id="_x0000_i5520" type="#_x0000_t75" style="width:133.7pt;height:31.45pt" o:ole="">
            <v:imagedata r:id="rId9047" o:title=""/>
          </v:shape>
          <o:OLEObject Type="Embed" ProgID="Equation.DSMT4" ShapeID="_x0000_i5520" DrawAspect="Content" ObjectID="_1791379464" r:id="rId9048"/>
        </w:object>
      </w:r>
    </w:p>
    <w:p w14:paraId="3494EB8B" w14:textId="77777777" w:rsidR="00556C10" w:rsidRPr="00B6450D" w:rsidRDefault="00556C10" w:rsidP="00556C10">
      <w:pPr>
        <w:spacing w:line="216" w:lineRule="auto"/>
        <w:rPr>
          <w:i/>
          <w:sz w:val="23"/>
          <w:szCs w:val="23"/>
        </w:rPr>
      </w:pPr>
      <w:r w:rsidRPr="00B6450D">
        <w:rPr>
          <w:rFonts w:hint="cs"/>
          <w:i/>
          <w:sz w:val="23"/>
          <w:szCs w:val="23"/>
          <w:rtl/>
        </w:rPr>
        <w:t>در نتیجه عواید و مابه</w:t>
      </w:r>
      <w:r w:rsidRPr="00B6450D">
        <w:rPr>
          <w:i/>
          <w:sz w:val="23"/>
          <w:szCs w:val="23"/>
          <w:rtl/>
        </w:rPr>
        <w:softHyphen/>
      </w:r>
      <w:r w:rsidRPr="00B6450D">
        <w:rPr>
          <w:rFonts w:hint="cs"/>
          <w:i/>
          <w:sz w:val="23"/>
          <w:szCs w:val="23"/>
          <w:rtl/>
        </w:rPr>
        <w:t>التفاوت زمانی را دیگر نمی</w:t>
      </w:r>
      <w:r w:rsidRPr="00B6450D">
        <w:rPr>
          <w:i/>
          <w:sz w:val="23"/>
          <w:szCs w:val="23"/>
          <w:rtl/>
        </w:rPr>
        <w:softHyphen/>
      </w:r>
      <w:r w:rsidRPr="00B6450D">
        <w:rPr>
          <w:rFonts w:hint="cs"/>
          <w:i/>
          <w:sz w:val="23"/>
          <w:szCs w:val="23"/>
          <w:rtl/>
        </w:rPr>
        <w:t>توان به صورت فقط تابع خطی نرخ کوتاه‌مدت نوشت. از آنجا که هر عایدی تابع خطی عوامل است، اگر</w:t>
      </w:r>
      <w:r w:rsidRPr="00B6450D">
        <w:rPr>
          <w:position w:val="-6"/>
        </w:rPr>
        <w:object w:dxaOrig="200" w:dyaOrig="200" w14:anchorId="46A31409">
          <v:shape id="_x0000_i5521" type="#_x0000_t75" style="width:10.3pt;height:10.3pt" o:ole="">
            <v:imagedata r:id="rId9049" o:title=""/>
          </v:shape>
          <o:OLEObject Type="Embed" ProgID="Equation.DSMT4" ShapeID="_x0000_i5521" DrawAspect="Content" ObjectID="_1791379465" r:id="rId9050"/>
        </w:object>
      </w:r>
      <w:r w:rsidRPr="00B6450D">
        <w:rPr>
          <w:rFonts w:hint="cs"/>
          <w:i/>
          <w:sz w:val="23"/>
          <w:szCs w:val="23"/>
          <w:rtl/>
        </w:rPr>
        <w:t xml:space="preserve"> عامل وجود داشته باشد، آنگاه نرخ کوتاه‌مدت بانضمام </w:t>
      </w:r>
      <w:r w:rsidRPr="00B6450D">
        <w:rPr>
          <w:position w:val="-6"/>
        </w:rPr>
        <w:object w:dxaOrig="480" w:dyaOrig="260" w14:anchorId="794480EC">
          <v:shape id="_x0000_i5522" type="#_x0000_t75" style="width:24.2pt;height:13.3pt" o:ole="">
            <v:imagedata r:id="rId9051" o:title=""/>
          </v:shape>
          <o:OLEObject Type="Embed" ProgID="Equation.DSMT4" ShapeID="_x0000_i5522" DrawAspect="Content" ObjectID="_1791379466" r:id="rId9052"/>
        </w:object>
      </w:r>
      <w:r w:rsidRPr="00B6450D">
        <w:rPr>
          <w:i/>
          <w:sz w:val="23"/>
          <w:szCs w:val="23"/>
        </w:rPr>
        <w:t xml:space="preserve"> </w:t>
      </w:r>
      <w:r w:rsidRPr="00B6450D">
        <w:rPr>
          <w:rFonts w:hint="cs"/>
          <w:i/>
          <w:sz w:val="23"/>
          <w:szCs w:val="23"/>
          <w:rtl/>
        </w:rPr>
        <w:t>بازده نیاز است تا مبین عوامل باشند. اگر بیش از</w:t>
      </w:r>
      <w:r w:rsidRPr="00B6450D">
        <w:rPr>
          <w:position w:val="-6"/>
        </w:rPr>
        <w:object w:dxaOrig="200" w:dyaOrig="200" w14:anchorId="5412CDE7">
          <v:shape id="_x0000_i5523" type="#_x0000_t75" style="width:10.3pt;height:10.3pt" o:ole="">
            <v:imagedata r:id="rId9053" o:title=""/>
          </v:shape>
          <o:OLEObject Type="Embed" ProgID="Equation.DSMT4" ShapeID="_x0000_i5523" DrawAspect="Content" ObjectID="_1791379467" r:id="rId9054"/>
        </w:object>
      </w:r>
      <w:r w:rsidRPr="00B6450D">
        <w:rPr>
          <w:rFonts w:hint="cs"/>
          <w:i/>
          <w:sz w:val="23"/>
          <w:szCs w:val="23"/>
          <w:rtl/>
        </w:rPr>
        <w:t xml:space="preserve"> بازده وجود داشته باشد ( بانضمام نرخ کوتاه‌مدت) آنگاه عوامل تابع خطی منحصربفرد از بازده‌ها نیست و اگر کم</w:t>
      </w:r>
      <w:r w:rsidRPr="00B6450D">
        <w:rPr>
          <w:i/>
          <w:sz w:val="23"/>
          <w:szCs w:val="23"/>
          <w:rtl/>
        </w:rPr>
        <w:softHyphen/>
      </w:r>
      <w:r w:rsidRPr="00B6450D">
        <w:rPr>
          <w:rFonts w:hint="cs"/>
          <w:i/>
          <w:sz w:val="23"/>
          <w:szCs w:val="23"/>
          <w:rtl/>
        </w:rPr>
        <w:t>تر از</w:t>
      </w:r>
      <w:r w:rsidRPr="00B6450D">
        <w:rPr>
          <w:position w:val="-6"/>
        </w:rPr>
        <w:object w:dxaOrig="200" w:dyaOrig="200" w14:anchorId="7071ED9B">
          <v:shape id="_x0000_i5524" type="#_x0000_t75" style="width:10.3pt;height:10.3pt" o:ole="">
            <v:imagedata r:id="rId9055" o:title=""/>
          </v:shape>
          <o:OLEObject Type="Embed" ProgID="Equation.DSMT4" ShapeID="_x0000_i5524" DrawAspect="Content" ObjectID="_1791379468" r:id="rId9056"/>
        </w:object>
      </w:r>
      <w:r w:rsidRPr="00B6450D">
        <w:rPr>
          <w:rFonts w:hint="cs"/>
          <w:i/>
          <w:sz w:val="23"/>
          <w:szCs w:val="23"/>
        </w:rPr>
        <w:t>‍</w:t>
      </w:r>
      <w:r w:rsidRPr="00B6450D">
        <w:rPr>
          <w:rFonts w:hint="cs"/>
          <w:i/>
          <w:sz w:val="23"/>
          <w:szCs w:val="23"/>
          <w:rtl/>
        </w:rPr>
        <w:t xml:space="preserve"> بازده وجود داشته باشد، هیچ نماینده‌ی قابل مشاهده شده</w:t>
      </w:r>
      <w:r w:rsidRPr="00B6450D">
        <w:rPr>
          <w:i/>
          <w:sz w:val="23"/>
          <w:szCs w:val="23"/>
          <w:rtl/>
        </w:rPr>
        <w:softHyphen/>
      </w:r>
      <w:r w:rsidRPr="00B6450D">
        <w:rPr>
          <w:rFonts w:hint="cs"/>
          <w:i/>
          <w:sz w:val="23"/>
          <w:szCs w:val="23"/>
          <w:rtl/>
        </w:rPr>
        <w:t>ای از عوامل ممکن نیست، و بنابراین مدل را نمی</w:t>
      </w:r>
      <w:r w:rsidRPr="00B6450D">
        <w:rPr>
          <w:i/>
          <w:sz w:val="23"/>
          <w:szCs w:val="23"/>
          <w:rtl/>
        </w:rPr>
        <w:softHyphen/>
      </w:r>
      <w:r w:rsidRPr="00B6450D">
        <w:rPr>
          <w:rFonts w:hint="cs"/>
          <w:i/>
          <w:sz w:val="23"/>
          <w:szCs w:val="23"/>
          <w:rtl/>
        </w:rPr>
        <w:t>توان به عنوان یک مدل عامل قابل مشاهده تفسیر مجدد کرد.</w:t>
      </w:r>
    </w:p>
    <w:p w14:paraId="501CF283" w14:textId="77777777" w:rsidR="00556C10" w:rsidRPr="00B6450D" w:rsidRDefault="00556C10" w:rsidP="00556C10">
      <w:pPr>
        <w:spacing w:line="216" w:lineRule="auto"/>
        <w:rPr>
          <w:i/>
          <w:sz w:val="23"/>
          <w:szCs w:val="23"/>
          <w:rtl/>
        </w:rPr>
      </w:pPr>
      <w:r w:rsidRPr="00B6450D">
        <w:rPr>
          <w:rFonts w:hint="cs"/>
          <w:i/>
          <w:sz w:val="23"/>
          <w:szCs w:val="23"/>
          <w:rtl/>
        </w:rPr>
        <w:t>در عمل مشاهده شده است که سه عامل برای نمایش منحنی بازده کافی است. در واقع آن سه متغیر، انتقال، سطح، شیب و هر خمیدگی و انحنای منحنی بازده را معین می‌کنند. انتقال منحنی که در حدود ۹۰ درصد تغییرات بازده را توضیح می‌دهد از همه مهم</w:t>
      </w:r>
      <w:r w:rsidRPr="00B6450D">
        <w:rPr>
          <w:i/>
          <w:sz w:val="23"/>
          <w:szCs w:val="23"/>
          <w:rtl/>
        </w:rPr>
        <w:softHyphen/>
      </w:r>
      <w:r w:rsidRPr="00B6450D">
        <w:rPr>
          <w:rFonts w:hint="cs"/>
          <w:i/>
          <w:sz w:val="23"/>
          <w:szCs w:val="23"/>
          <w:rtl/>
        </w:rPr>
        <w:t>تر است، عامل شیب ۸۰ درصد از مابقی تغییرات را توضیح داده، و عامل خمیدگی و انحنا هیچگاه بیش از ۵ درصد از کل تغییرات را توضیح نداده است. این عوامل در حدود ۹۸ درصد کل تغییرات بازده را توضیح می‌دهند.</w:t>
      </w:r>
      <w:r w:rsidRPr="00B6450D">
        <w:rPr>
          <w:rStyle w:val="FootnoteReference"/>
          <w:rFonts w:eastAsiaTheme="majorEastAsia"/>
          <w:i/>
          <w:sz w:val="23"/>
          <w:szCs w:val="23"/>
          <w:rtl/>
        </w:rPr>
        <w:footnoteReference w:id="290"/>
      </w:r>
      <w:r w:rsidRPr="00B6450D">
        <w:rPr>
          <w:rFonts w:hint="cs"/>
          <w:i/>
          <w:sz w:val="23"/>
          <w:szCs w:val="23"/>
          <w:rtl/>
        </w:rPr>
        <w:t xml:space="preserve"> از آنجا که انتقال در سطح منحنی بازده اصولاً بخاطر تغییرات نرخ بهره‌ی کوتاه‌مدت که عمدتاً نرخ اجرایی است، این شواهد اهمیت سیاست پولی را در علت تغییر در بازده</w:t>
      </w:r>
      <w:r w:rsidRPr="00B6450D">
        <w:rPr>
          <w:i/>
          <w:sz w:val="23"/>
          <w:szCs w:val="23"/>
          <w:rtl/>
        </w:rPr>
        <w:softHyphen/>
      </w:r>
      <w:r w:rsidRPr="00B6450D">
        <w:rPr>
          <w:rFonts w:hint="cs"/>
          <w:i/>
          <w:sz w:val="23"/>
          <w:szCs w:val="23"/>
          <w:rtl/>
        </w:rPr>
        <w:t>ها نشان می‌دهد. اثرات شیب و خمیدگی که حدود ۸ درصد کل تغییرات در بازدهی را دربردارد، ممکن است بخاطر اثرات تغییر در تورم آتی انتظاری باشد.</w:t>
      </w:r>
    </w:p>
    <w:p w14:paraId="01905C38" w14:textId="77777777" w:rsidR="00556C10" w:rsidRPr="00B6450D" w:rsidRDefault="00556C10" w:rsidP="00556C10">
      <w:pPr>
        <w:spacing w:line="216" w:lineRule="auto"/>
        <w:rPr>
          <w:i/>
          <w:sz w:val="23"/>
          <w:szCs w:val="23"/>
          <w:rtl/>
        </w:rPr>
      </w:pPr>
      <w:r w:rsidRPr="00B6450D">
        <w:rPr>
          <w:rFonts w:hint="cs"/>
          <w:i/>
          <w:sz w:val="23"/>
          <w:szCs w:val="23"/>
          <w:rtl/>
        </w:rPr>
        <w:t xml:space="preserve">اگر عوامل را بتوان با هر سه بازدهی نشان داد و این عوامل مبتنی بر مدل خودهمبسته‌ی برداری </w:t>
      </w:r>
      <w:r w:rsidRPr="00B6450D">
        <w:rPr>
          <w:position w:val="-6"/>
        </w:rPr>
        <w:object w:dxaOrig="520" w:dyaOrig="260" w14:anchorId="5DB55994">
          <v:shape id="_x0000_i5525" type="#_x0000_t75" style="width:26pt;height:13.3pt" o:ole="">
            <v:imagedata r:id="rId9057" o:title=""/>
          </v:shape>
          <o:OLEObject Type="Embed" ProgID="Equation.DSMT4" ShapeID="_x0000_i5525" DrawAspect="Content" ObjectID="_1791379469" r:id="rId9058"/>
        </w:object>
      </w:r>
      <w:r w:rsidRPr="00B6450D">
        <w:rPr>
          <w:rFonts w:hint="cs"/>
          <w:i/>
          <w:sz w:val="23"/>
          <w:szCs w:val="23"/>
          <w:rtl/>
        </w:rPr>
        <w:t xml:space="preserve"> باشد، آنگاه منحنی بازده کل را می‌توان بر حسب هر سه بازده و بر مبنای مدل</w:t>
      </w:r>
      <w:r w:rsidRPr="00B6450D">
        <w:rPr>
          <w:position w:val="-6"/>
        </w:rPr>
        <w:object w:dxaOrig="520" w:dyaOrig="260" w14:anchorId="113A6FCA">
          <v:shape id="_x0000_i5526" type="#_x0000_t75" style="width:26pt;height:13.3pt" o:ole="">
            <v:imagedata r:id="rId9059" o:title=""/>
          </v:shape>
          <o:OLEObject Type="Embed" ProgID="Equation.DSMT4" ShapeID="_x0000_i5526" DrawAspect="Content" ObjectID="_1791379470" r:id="rId9060"/>
        </w:object>
      </w:r>
      <w:r w:rsidRPr="00B6450D">
        <w:rPr>
          <w:rFonts w:hint="cs"/>
          <w:i/>
          <w:sz w:val="23"/>
          <w:szCs w:val="23"/>
          <w:rtl/>
        </w:rPr>
        <w:t xml:space="preserve"> نشان داد.</w:t>
      </w:r>
    </w:p>
    <w:p w14:paraId="1A2E6E8B" w14:textId="77777777" w:rsidR="00556C10" w:rsidRPr="00B6450D" w:rsidRDefault="00556C10" w:rsidP="00556C10">
      <w:pPr>
        <w:spacing w:line="216" w:lineRule="auto"/>
        <w:rPr>
          <w:i/>
          <w:sz w:val="23"/>
          <w:szCs w:val="23"/>
          <w:rtl/>
        </w:rPr>
      </w:pPr>
    </w:p>
    <w:p w14:paraId="025385B2" w14:textId="77777777" w:rsidR="00556C10" w:rsidRPr="00B6450D" w:rsidRDefault="00556C10" w:rsidP="00556C10">
      <w:pPr>
        <w:pStyle w:val="Heading1"/>
        <w:spacing w:before="0" w:line="216" w:lineRule="auto"/>
        <w:rPr>
          <w:rFonts w:ascii="Times New Roman" w:hAnsi="Times New Roman" w:cs="B Nazanin"/>
          <w:b w:val="0"/>
          <w:i/>
          <w:sz w:val="23"/>
          <w:szCs w:val="23"/>
          <w:rtl/>
        </w:rPr>
      </w:pPr>
      <w:r w:rsidRPr="00B6450D">
        <w:rPr>
          <w:rFonts w:ascii="Times New Roman" w:hAnsi="Times New Roman" w:cs="B Nazanin" w:hint="cs"/>
          <w:b w:val="0"/>
          <w:i/>
          <w:sz w:val="23"/>
          <w:szCs w:val="23"/>
          <w:rtl/>
        </w:rPr>
        <w:t>۱۲. ۳. ۳ منابع ریسک اقتصاد کلان در ساختار زمانی نرخ بهره</w:t>
      </w:r>
    </w:p>
    <w:p w14:paraId="593CA94F" w14:textId="77777777" w:rsidR="00556C10" w:rsidRDefault="00556C10" w:rsidP="00556C10">
      <w:pPr>
        <w:spacing w:line="216" w:lineRule="auto"/>
        <w:rPr>
          <w:i/>
          <w:sz w:val="23"/>
          <w:szCs w:val="23"/>
          <w:rtl/>
        </w:rPr>
      </w:pPr>
      <w:r w:rsidRPr="00B6450D">
        <w:rPr>
          <w:rFonts w:hint="cs"/>
          <w:i/>
          <w:sz w:val="23"/>
          <w:szCs w:val="23"/>
          <w:rtl/>
        </w:rPr>
        <w:t>اولین مدلی که در این قسمت مورد بررسی قرار می</w:t>
      </w:r>
      <w:r w:rsidRPr="00B6450D">
        <w:rPr>
          <w:i/>
          <w:sz w:val="23"/>
          <w:szCs w:val="23"/>
          <w:rtl/>
        </w:rPr>
        <w:softHyphen/>
      </w:r>
      <w:r w:rsidRPr="00B6450D">
        <w:rPr>
          <w:rFonts w:hint="cs"/>
          <w:i/>
          <w:sz w:val="23"/>
          <w:szCs w:val="23"/>
          <w:rtl/>
        </w:rPr>
        <w:t>گیرد مبتنی است بر مدل تعادل عمومی فصل یازدهم که فقط منابع ریسک قابل مشاهده اقتصاد کلان را مورد توجه قرار می‌دهد، و در دومین مدل، عوامل نهفته و قابل مشاهده‌ی اقتصاد کلان با یکدیگر ترکیب می‌شوند.</w:t>
      </w:r>
    </w:p>
    <w:p w14:paraId="07382145" w14:textId="77777777" w:rsidR="00556C10" w:rsidRPr="00B6450D" w:rsidRDefault="00556C10" w:rsidP="00556C10">
      <w:pPr>
        <w:spacing w:line="216" w:lineRule="auto"/>
        <w:rPr>
          <w:i/>
          <w:sz w:val="23"/>
          <w:szCs w:val="23"/>
          <w:rtl/>
        </w:rPr>
      </w:pPr>
    </w:p>
    <w:p w14:paraId="0F611389" w14:textId="77777777" w:rsidR="00556C10" w:rsidRPr="00B6450D" w:rsidRDefault="00556C10" w:rsidP="00556C10">
      <w:pPr>
        <w:spacing w:line="216" w:lineRule="auto"/>
        <w:rPr>
          <w:bCs/>
          <w:i/>
          <w:sz w:val="23"/>
          <w:szCs w:val="23"/>
        </w:rPr>
      </w:pPr>
      <w:r w:rsidRPr="00B6450D">
        <w:rPr>
          <w:rFonts w:hint="cs"/>
          <w:bCs/>
          <w:i/>
          <w:sz w:val="23"/>
          <w:szCs w:val="23"/>
          <w:rtl/>
        </w:rPr>
        <w:t>مدل تعادل عمومی مابه</w:t>
      </w:r>
      <w:r w:rsidRPr="00B6450D">
        <w:rPr>
          <w:bCs/>
          <w:i/>
          <w:sz w:val="23"/>
          <w:szCs w:val="23"/>
          <w:rtl/>
        </w:rPr>
        <w:softHyphen/>
      </w:r>
      <w:r w:rsidRPr="00B6450D">
        <w:rPr>
          <w:rFonts w:hint="cs"/>
          <w:bCs/>
          <w:i/>
          <w:sz w:val="23"/>
          <w:szCs w:val="23"/>
          <w:rtl/>
        </w:rPr>
        <w:t>التفاوت زمانی</w:t>
      </w:r>
    </w:p>
    <w:p w14:paraId="1A371C7A" w14:textId="77777777" w:rsidR="00556C10" w:rsidRPr="00B6450D" w:rsidRDefault="00556C10" w:rsidP="00556C10">
      <w:pPr>
        <w:spacing w:line="216" w:lineRule="auto"/>
        <w:rPr>
          <w:i/>
          <w:sz w:val="23"/>
          <w:szCs w:val="23"/>
          <w:rtl/>
        </w:rPr>
      </w:pPr>
      <w:r w:rsidRPr="00B6450D">
        <w:rPr>
          <w:rFonts w:hint="cs"/>
          <w:i/>
          <w:sz w:val="23"/>
          <w:szCs w:val="23"/>
          <w:rtl/>
        </w:rPr>
        <w:t>قیمت یک اوراق قرضه را با استفاده از تعادل عمومی نظریه قیمت</w:t>
      </w:r>
      <w:r w:rsidRPr="00B6450D">
        <w:rPr>
          <w:i/>
          <w:sz w:val="23"/>
          <w:szCs w:val="23"/>
          <w:rtl/>
        </w:rPr>
        <w:softHyphen/>
      </w:r>
      <w:r w:rsidRPr="00B6450D">
        <w:rPr>
          <w:rFonts w:hint="cs"/>
          <w:i/>
          <w:sz w:val="23"/>
          <w:szCs w:val="23"/>
          <w:rtl/>
        </w:rPr>
        <w:t xml:space="preserve">گذاری دارایی فصل یازدهم که برای بازدهی اسمی توسعه ‌یافته بود می‌توان استخراج کرد. در اینجا می‌بایست مازاد بازدهی اوراق قرضه </w:t>
      </w:r>
      <w:r w:rsidRPr="00B6450D">
        <w:rPr>
          <w:rFonts w:hint="cs"/>
          <w:i/>
          <w:sz w:val="23"/>
          <w:szCs w:val="23"/>
          <w:rtl/>
        </w:rPr>
        <w:lastRenderedPageBreak/>
        <w:t>را بطور شایسته و مناسب تعریف کنیم. با فرض لگاریتم-نرمالیتی، شرط عدم وجود آربیتراژ برای بازده</w:t>
      </w:r>
      <w:r w:rsidRPr="00B6450D">
        <w:rPr>
          <w:i/>
          <w:sz w:val="23"/>
          <w:szCs w:val="23"/>
          <w:rtl/>
        </w:rPr>
        <w:softHyphen/>
      </w:r>
      <w:r w:rsidRPr="00B6450D">
        <w:rPr>
          <w:rFonts w:hint="cs"/>
          <w:i/>
          <w:sz w:val="23"/>
          <w:szCs w:val="23"/>
          <w:rtl/>
        </w:rPr>
        <w:t>های اوراق قرضه را می‌توان به صورت زیر نوشت</w:t>
      </w:r>
    </w:p>
    <w:p w14:paraId="4F4C4684" w14:textId="77777777" w:rsidR="00556C10" w:rsidRPr="00B6450D" w:rsidRDefault="00556C10" w:rsidP="00556C10">
      <w:pPr>
        <w:bidi w:val="0"/>
        <w:spacing w:line="216" w:lineRule="auto"/>
        <w:rPr>
          <w:i/>
          <w:sz w:val="23"/>
          <w:szCs w:val="23"/>
          <w:rtl/>
        </w:rPr>
      </w:pPr>
      <w:r w:rsidRPr="00B6450D">
        <w:rPr>
          <w:position w:val="-22"/>
        </w:rPr>
        <w:object w:dxaOrig="4239" w:dyaOrig="560" w14:anchorId="09DF56E0">
          <v:shape id="_x0000_i5527" type="#_x0000_t75" style="width:211.75pt;height:27.85pt" o:ole="">
            <v:imagedata r:id="rId9061" o:title=""/>
          </v:shape>
          <o:OLEObject Type="Embed" ProgID="Equation.DSMT4" ShapeID="_x0000_i5527" DrawAspect="Content" ObjectID="_1791379471" r:id="rId9062"/>
        </w:object>
      </w:r>
    </w:p>
    <w:p w14:paraId="3C3A19C2" w14:textId="77777777" w:rsidR="00556C10" w:rsidRPr="00B6450D" w:rsidRDefault="00556C10" w:rsidP="00556C10">
      <w:pPr>
        <w:spacing w:line="216" w:lineRule="auto"/>
        <w:rPr>
          <w:i/>
          <w:sz w:val="23"/>
          <w:szCs w:val="23"/>
          <w:rtl/>
        </w:rPr>
      </w:pPr>
      <w:r w:rsidRPr="00B6450D">
        <w:rPr>
          <w:rFonts w:hint="cs"/>
          <w:i/>
          <w:sz w:val="23"/>
          <w:szCs w:val="23"/>
          <w:rtl/>
        </w:rPr>
        <w:t>که برای</w:t>
      </w:r>
      <w:r w:rsidRPr="00B6450D">
        <w:rPr>
          <w:position w:val="-6"/>
        </w:rPr>
        <w:object w:dxaOrig="1080" w:dyaOrig="260" w14:anchorId="58149595">
          <v:shape id="_x0000_i5528" type="#_x0000_t75" style="width:54.45pt;height:13.3pt" o:ole="">
            <v:imagedata r:id="rId9063" o:title=""/>
          </v:shape>
          <o:OLEObject Type="Embed" ProgID="Equation.DSMT4" ShapeID="_x0000_i5528" DrawAspect="Content" ObjectID="_1791379472" r:id="rId9064"/>
        </w:object>
      </w:r>
      <w:r w:rsidRPr="00B6450D">
        <w:rPr>
          <w:i/>
          <w:sz w:val="23"/>
          <w:szCs w:val="23"/>
        </w:rPr>
        <w:t xml:space="preserve"> </w:t>
      </w:r>
      <w:r w:rsidRPr="00B6450D">
        <w:rPr>
          <w:rFonts w:hint="cs"/>
          <w:i/>
          <w:sz w:val="23"/>
          <w:szCs w:val="23"/>
          <w:rtl/>
        </w:rPr>
        <w:t>با مطلوبیت توانی</w:t>
      </w:r>
    </w:p>
    <w:p w14:paraId="1BFAFF38" w14:textId="77777777" w:rsidR="00556C10" w:rsidRPr="00B6450D" w:rsidRDefault="00556C10" w:rsidP="00556C10">
      <w:pPr>
        <w:bidi w:val="0"/>
        <w:spacing w:line="216" w:lineRule="auto"/>
        <w:rPr>
          <w:i/>
          <w:sz w:val="23"/>
          <w:szCs w:val="23"/>
          <w:rtl/>
        </w:rPr>
      </w:pPr>
      <w:r w:rsidRPr="00B6450D">
        <w:rPr>
          <w:position w:val="-10"/>
        </w:rPr>
        <w:object w:dxaOrig="2260" w:dyaOrig="320" w14:anchorId="28BB568A">
          <v:shape id="_x0000_i5529" type="#_x0000_t75" style="width:113.15pt;height:15.75pt" o:ole="">
            <v:imagedata r:id="rId9065" o:title=""/>
          </v:shape>
          <o:OLEObject Type="Embed" ProgID="Equation.DSMT4" ShapeID="_x0000_i5529" DrawAspect="Content" ObjectID="_1791379473" r:id="rId9066"/>
        </w:objec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tl/>
        </w:rPr>
        <w:tab/>
      </w:r>
      <w:r w:rsidRPr="00B6450D">
        <w:rPr>
          <w:i/>
          <w:sz w:val="23"/>
          <w:szCs w:val="23"/>
          <w:rtl/>
        </w:rPr>
        <w:tab/>
      </w:r>
      <w:r w:rsidRPr="00B6450D">
        <w:rPr>
          <w:rFonts w:hint="cs"/>
          <w:i/>
          <w:sz w:val="23"/>
          <w:szCs w:val="23"/>
          <w:rtl/>
        </w:rPr>
        <w:t xml:space="preserve"> </w:t>
      </w:r>
      <w:r w:rsidRPr="00B6450D">
        <w:rPr>
          <w:i/>
          <w:sz w:val="23"/>
          <w:szCs w:val="23"/>
          <w:rtl/>
        </w:rPr>
        <w:tab/>
      </w:r>
      <w:r w:rsidRPr="00B6450D">
        <w:rPr>
          <w:i/>
          <w:sz w:val="23"/>
          <w:szCs w:val="23"/>
        </w:rPr>
        <w:tab/>
      </w:r>
      <w:r w:rsidRPr="00B6450D">
        <w:rPr>
          <w:i/>
          <w:sz w:val="23"/>
          <w:szCs w:val="23"/>
        </w:rPr>
        <w:tab/>
        <w:t xml:space="preserve"> </w:t>
      </w:r>
      <w:r>
        <w:rPr>
          <w:i/>
          <w:sz w:val="23"/>
          <w:szCs w:val="23"/>
          <w:rtl/>
        </w:rPr>
        <w:tab/>
      </w:r>
      <w:r>
        <w:rPr>
          <w:i/>
          <w:sz w:val="23"/>
          <w:szCs w:val="23"/>
          <w:rtl/>
        </w:rPr>
        <w:tab/>
      </w:r>
      <w:r w:rsidRPr="00B6450D">
        <w:rPr>
          <w:i/>
          <w:sz w:val="23"/>
          <w:szCs w:val="23"/>
          <w:rtl/>
        </w:rPr>
        <w:tab/>
      </w:r>
      <w:r w:rsidRPr="00B6450D">
        <w:rPr>
          <w:rFonts w:hint="cs"/>
          <w:i/>
          <w:sz w:val="23"/>
          <w:szCs w:val="23"/>
          <w:rtl/>
        </w:rPr>
        <w:t>(۱۲. ۳۰)</w:t>
      </w:r>
    </w:p>
    <w:p w14:paraId="071DD5B9" w14:textId="77777777" w:rsidR="00556C10" w:rsidRPr="00B6450D" w:rsidRDefault="00556C10" w:rsidP="00556C10">
      <w:pPr>
        <w:spacing w:line="216" w:lineRule="auto"/>
        <w:rPr>
          <w:i/>
          <w:sz w:val="23"/>
          <w:szCs w:val="23"/>
          <w:rtl/>
        </w:rPr>
      </w:pPr>
      <w:r w:rsidRPr="00B6450D">
        <w:rPr>
          <w:rFonts w:hint="cs"/>
          <w:i/>
          <w:sz w:val="23"/>
          <w:szCs w:val="23"/>
          <w:rtl/>
        </w:rPr>
        <w:t>لذا</w:t>
      </w:r>
    </w:p>
    <w:p w14:paraId="1E9CCD89" w14:textId="77777777" w:rsidR="00556C10" w:rsidRPr="00B6450D" w:rsidRDefault="00556C10" w:rsidP="00556C10">
      <w:pPr>
        <w:bidi w:val="0"/>
        <w:spacing w:line="216" w:lineRule="auto"/>
        <w:rPr>
          <w:i/>
          <w:sz w:val="23"/>
          <w:szCs w:val="23"/>
          <w:rtl/>
        </w:rPr>
      </w:pPr>
      <w:r w:rsidRPr="00B6450D">
        <w:rPr>
          <w:position w:val="-22"/>
        </w:rPr>
        <w:object w:dxaOrig="6180" w:dyaOrig="560" w14:anchorId="35F3A4B4">
          <v:shape id="_x0000_i5530" type="#_x0000_t75" style="width:309.2pt;height:27.85pt" o:ole="">
            <v:imagedata r:id="rId9067" o:title=""/>
          </v:shape>
          <o:OLEObject Type="Embed" ProgID="Equation.DSMT4" ShapeID="_x0000_i5530" DrawAspect="Content" ObjectID="_1791379474" r:id="rId9068"/>
        </w:object>
      </w:r>
    </w:p>
    <w:p w14:paraId="0085C482" w14:textId="77777777" w:rsidR="00556C10" w:rsidRPr="00B6450D" w:rsidRDefault="00556C10" w:rsidP="00556C10">
      <w:pPr>
        <w:spacing w:line="216" w:lineRule="auto"/>
        <w:rPr>
          <w:i/>
          <w:sz w:val="23"/>
          <w:szCs w:val="23"/>
          <w:rtl/>
        </w:rPr>
      </w:pPr>
      <w:r w:rsidRPr="00B6450D">
        <w:rPr>
          <w:rFonts w:hint="cs"/>
          <w:i/>
          <w:sz w:val="23"/>
          <w:szCs w:val="23"/>
          <w:rtl/>
        </w:rPr>
        <w:t>یا بر حسب بازده‌ها</w:t>
      </w:r>
    </w:p>
    <w:p w14:paraId="26D06A7F" w14:textId="77777777" w:rsidR="00556C10" w:rsidRPr="00B6450D" w:rsidRDefault="00556C10" w:rsidP="00556C10">
      <w:pPr>
        <w:bidi w:val="0"/>
        <w:spacing w:line="216" w:lineRule="auto"/>
        <w:rPr>
          <w:i/>
          <w:sz w:val="23"/>
          <w:szCs w:val="23"/>
          <w:rtl/>
        </w:rPr>
      </w:pPr>
      <w:r w:rsidRPr="00B6450D">
        <w:rPr>
          <w:position w:val="-42"/>
        </w:rPr>
        <w:object w:dxaOrig="5880" w:dyaOrig="960" w14:anchorId="5F026C8C">
          <v:shape id="_x0000_i5531" type="#_x0000_t75" style="width:294.05pt;height:47.8pt" o:ole="">
            <v:imagedata r:id="rId9069" o:title=""/>
          </v:shape>
          <o:OLEObject Type="Embed" ProgID="Equation.DSMT4" ShapeID="_x0000_i5531" DrawAspect="Content" ObjectID="_1791379475" r:id="rId9070"/>
        </w:object>
      </w:r>
      <w:r w:rsidRPr="00B6450D">
        <w:rPr>
          <w:rFonts w:hint="cs"/>
          <w:i/>
          <w:sz w:val="23"/>
          <w:szCs w:val="23"/>
          <w:rtl/>
        </w:rPr>
        <w:t>(۱۲. ۳۱)</w:t>
      </w:r>
    </w:p>
    <w:p w14:paraId="2492579E" w14:textId="77777777" w:rsidR="00556C10" w:rsidRPr="00B6450D" w:rsidRDefault="00556C10" w:rsidP="00556C10">
      <w:pPr>
        <w:spacing w:line="216" w:lineRule="auto"/>
        <w:rPr>
          <w:i/>
          <w:sz w:val="23"/>
          <w:szCs w:val="23"/>
          <w:rtl/>
        </w:rPr>
      </w:pPr>
      <w:r w:rsidRPr="00B6450D">
        <w:rPr>
          <w:rFonts w:hint="cs"/>
          <w:i/>
          <w:sz w:val="23"/>
          <w:szCs w:val="23"/>
          <w:rtl/>
        </w:rPr>
        <w:t>سمت راست معادله‌ی (۱۲. ۳۱) نشان می‌دهد دو منبع ریسک اقتصاد کلان، یعنی ریسک حقیقی متناظر با مصرف و ریسک اسمی وجود دارد. همان</w:t>
      </w:r>
      <w:r w:rsidRPr="00B6450D">
        <w:rPr>
          <w:i/>
          <w:sz w:val="23"/>
          <w:szCs w:val="23"/>
          <w:rtl/>
        </w:rPr>
        <w:softHyphen/>
      </w:r>
      <w:r w:rsidRPr="00B6450D">
        <w:rPr>
          <w:rFonts w:hint="cs"/>
          <w:i/>
          <w:sz w:val="23"/>
          <w:szCs w:val="23"/>
          <w:rtl/>
        </w:rPr>
        <w:t>گونه که ضرایب برای هر سررسید یکسان است، عبارت مابه</w:t>
      </w:r>
      <w:r w:rsidRPr="00B6450D">
        <w:rPr>
          <w:i/>
          <w:sz w:val="23"/>
          <w:szCs w:val="23"/>
          <w:rtl/>
        </w:rPr>
        <w:softHyphen/>
      </w:r>
      <w:r w:rsidRPr="00B6450D">
        <w:rPr>
          <w:rFonts w:hint="cs"/>
          <w:i/>
          <w:sz w:val="23"/>
          <w:szCs w:val="23"/>
          <w:rtl/>
        </w:rPr>
        <w:t>التفاوت زمانی فقط بخاطر کواریانس شرطی متفاوت با یکدیگر فرق دارد. این مدل بوسیله‌ی بالفوسیا و ویکنز</w:t>
      </w:r>
      <w:r w:rsidRPr="00B6450D">
        <w:rPr>
          <w:rStyle w:val="FootnoteReference"/>
          <w:rFonts w:eastAsiaTheme="majorEastAsia"/>
          <w:i/>
          <w:sz w:val="23"/>
          <w:szCs w:val="23"/>
          <w:rtl/>
        </w:rPr>
        <w:footnoteReference w:id="291"/>
      </w:r>
      <w:r w:rsidRPr="00B6450D">
        <w:rPr>
          <w:rFonts w:hint="cs"/>
          <w:i/>
          <w:sz w:val="23"/>
          <w:szCs w:val="23"/>
          <w:rtl/>
        </w:rPr>
        <w:t xml:space="preserve"> در سال ۲۰۰۷ برآورد شده است. بر اساس مدل آن‌ها تورم تأثیر معنی</w:t>
      </w:r>
      <w:r w:rsidRPr="00B6450D">
        <w:rPr>
          <w:i/>
          <w:sz w:val="23"/>
          <w:szCs w:val="23"/>
          <w:rtl/>
        </w:rPr>
        <w:softHyphen/>
      </w:r>
      <w:r w:rsidRPr="00B6450D">
        <w:rPr>
          <w:rFonts w:hint="cs"/>
          <w:i/>
          <w:sz w:val="23"/>
          <w:szCs w:val="23"/>
          <w:rtl/>
        </w:rPr>
        <w:t>داری بر منحنی بازده در کلیه‌ی سررسیدها دارد، ولی عوامل حقیقی اثر معنی</w:t>
      </w:r>
      <w:r w:rsidRPr="00B6450D">
        <w:rPr>
          <w:i/>
          <w:sz w:val="23"/>
          <w:szCs w:val="23"/>
          <w:rtl/>
        </w:rPr>
        <w:softHyphen/>
      </w:r>
      <w:r w:rsidRPr="00B6450D">
        <w:rPr>
          <w:rFonts w:hint="cs"/>
          <w:i/>
          <w:sz w:val="23"/>
          <w:szCs w:val="23"/>
          <w:rtl/>
        </w:rPr>
        <w:t>داری بر مابه</w:t>
      </w:r>
      <w:r w:rsidRPr="00B6450D">
        <w:rPr>
          <w:i/>
          <w:sz w:val="23"/>
          <w:szCs w:val="23"/>
          <w:rtl/>
        </w:rPr>
        <w:softHyphen/>
      </w:r>
      <w:r w:rsidRPr="00B6450D">
        <w:rPr>
          <w:rFonts w:hint="cs"/>
          <w:i/>
          <w:sz w:val="23"/>
          <w:szCs w:val="23"/>
          <w:rtl/>
        </w:rPr>
        <w:t xml:space="preserve">التفاوت زمانی فقط در کوتاه‌مدت </w:t>
      </w:r>
      <w:r w:rsidRPr="00B6450D">
        <w:rPr>
          <w:i/>
          <w:sz w:val="23"/>
          <w:szCs w:val="23"/>
        </w:rPr>
        <w:t xml:space="preserve">short end </w:t>
      </w:r>
      <w:r w:rsidRPr="00B6450D">
        <w:rPr>
          <w:rFonts w:hint="cs"/>
          <w:i/>
          <w:sz w:val="23"/>
          <w:szCs w:val="23"/>
          <w:rtl/>
        </w:rPr>
        <w:t>دارند. بر اساس نتایج آن‌ها قیود ضرایب مدل بی</w:t>
      </w:r>
      <w:r w:rsidRPr="00B6450D">
        <w:rPr>
          <w:i/>
          <w:sz w:val="23"/>
          <w:szCs w:val="23"/>
          <w:rtl/>
        </w:rPr>
        <w:softHyphen/>
      </w:r>
      <w:r w:rsidRPr="00B6450D">
        <w:rPr>
          <w:rFonts w:hint="cs"/>
          <w:i/>
          <w:sz w:val="23"/>
          <w:szCs w:val="23"/>
          <w:rtl/>
        </w:rPr>
        <w:t>معنی است، که نشان می‌دهد این مدل تعادل عمومی قیمت</w:t>
      </w:r>
      <w:r w:rsidRPr="00B6450D">
        <w:rPr>
          <w:i/>
          <w:sz w:val="23"/>
          <w:szCs w:val="23"/>
          <w:rtl/>
        </w:rPr>
        <w:softHyphen/>
      </w:r>
      <w:r w:rsidRPr="00B6450D">
        <w:rPr>
          <w:rFonts w:hint="cs"/>
          <w:i/>
          <w:sz w:val="23"/>
          <w:szCs w:val="23"/>
          <w:rtl/>
        </w:rPr>
        <w:t>گذاری دارایی، برای سهام است و نه اوراق قرضه.</w:t>
      </w:r>
    </w:p>
    <w:p w14:paraId="1D380056" w14:textId="77777777" w:rsidR="00556C10" w:rsidRPr="00B6450D" w:rsidRDefault="00556C10" w:rsidP="00556C10">
      <w:pPr>
        <w:spacing w:line="216" w:lineRule="auto"/>
        <w:rPr>
          <w:i/>
          <w:sz w:val="23"/>
          <w:szCs w:val="23"/>
          <w:rtl/>
        </w:rPr>
      </w:pPr>
    </w:p>
    <w:p w14:paraId="08719A5B" w14:textId="77777777" w:rsidR="00556C10" w:rsidRPr="00B6450D" w:rsidRDefault="00556C10" w:rsidP="00556C10">
      <w:pPr>
        <w:spacing w:line="216" w:lineRule="auto"/>
        <w:rPr>
          <w:bCs/>
          <w:i/>
          <w:sz w:val="23"/>
          <w:szCs w:val="23"/>
          <w:rtl/>
        </w:rPr>
      </w:pPr>
      <w:r w:rsidRPr="00B6450D">
        <w:rPr>
          <w:rFonts w:hint="cs"/>
          <w:bCs/>
          <w:i/>
          <w:sz w:val="23"/>
          <w:szCs w:val="23"/>
          <w:rtl/>
        </w:rPr>
        <w:t>مدل واسیک با عوامل قابل مشاهده‌ی اقتصاد کلان</w:t>
      </w:r>
    </w:p>
    <w:p w14:paraId="093B4C3F" w14:textId="77777777" w:rsidR="00556C10" w:rsidRPr="00B6450D" w:rsidRDefault="00556C10" w:rsidP="00556C10">
      <w:pPr>
        <w:spacing w:line="216" w:lineRule="auto"/>
        <w:rPr>
          <w:i/>
          <w:sz w:val="23"/>
          <w:szCs w:val="23"/>
          <w:rtl/>
        </w:rPr>
      </w:pPr>
      <w:r w:rsidRPr="00B6450D">
        <w:rPr>
          <w:rFonts w:hint="cs"/>
          <w:i/>
          <w:sz w:val="23"/>
          <w:szCs w:val="23"/>
          <w:rtl/>
        </w:rPr>
        <w:t>اَنگ و پیاتزسی</w:t>
      </w:r>
      <w:r w:rsidRPr="00B6450D">
        <w:rPr>
          <w:rStyle w:val="FootnoteReference"/>
          <w:rFonts w:eastAsiaTheme="majorEastAsia"/>
          <w:i/>
          <w:sz w:val="23"/>
          <w:szCs w:val="23"/>
          <w:rtl/>
        </w:rPr>
        <w:footnoteReference w:id="292"/>
      </w:r>
      <w:r w:rsidRPr="00B6450D">
        <w:rPr>
          <w:rFonts w:hint="cs"/>
          <w:i/>
          <w:sz w:val="23"/>
          <w:szCs w:val="23"/>
          <w:rtl/>
        </w:rPr>
        <w:t xml:space="preserve"> در سال ۲۰۰۳ مدل چند عاملی واسیک را با عوامل قابل مشاهده و غیرقابل مشاهده ترکیب کردند. با استفاده از داده‌های اقتصاد آمریکا آن‌ها دریافتند که تا ۸۵ درصد از واریانس پیش</w:t>
      </w:r>
      <w:r w:rsidRPr="00B6450D">
        <w:rPr>
          <w:i/>
          <w:sz w:val="23"/>
          <w:szCs w:val="23"/>
          <w:rtl/>
        </w:rPr>
        <w:softHyphen/>
      </w:r>
      <w:r w:rsidRPr="00B6450D">
        <w:rPr>
          <w:rFonts w:hint="cs"/>
          <w:i/>
          <w:sz w:val="23"/>
          <w:szCs w:val="23"/>
          <w:rtl/>
        </w:rPr>
        <w:t>بینی برای افق زمانی بلند‌مدت در سررسید کوتاه و میان‌مدت را می‌توان با عوامل اقتصاد کلان توضیح داد، و تا ۴۰ درصد در سررسید بلندمدت.</w:t>
      </w:r>
    </w:p>
    <w:p w14:paraId="42E8CB0A" w14:textId="77777777" w:rsidR="00556C10" w:rsidRPr="00B6450D" w:rsidRDefault="00556C10" w:rsidP="00556C10">
      <w:pPr>
        <w:spacing w:line="216" w:lineRule="auto"/>
        <w:rPr>
          <w:i/>
          <w:sz w:val="23"/>
          <w:szCs w:val="23"/>
          <w:rtl/>
        </w:rPr>
      </w:pPr>
      <w:r w:rsidRPr="00B6450D">
        <w:rPr>
          <w:rFonts w:hint="cs"/>
          <w:i/>
          <w:sz w:val="23"/>
          <w:szCs w:val="23"/>
          <w:rtl/>
        </w:rPr>
        <w:t>اکنون با مدل چندعاملی تنزیل تصادفی استاندارد شروع می‌کنیم که در آن قیمت یک اوراق قرضه‌ی</w:t>
      </w:r>
      <w:r w:rsidRPr="00B6450D">
        <w:rPr>
          <w:position w:val="-6"/>
        </w:rPr>
        <w:object w:dxaOrig="200" w:dyaOrig="200" w14:anchorId="7B0B2AEC">
          <v:shape id="_x0000_i5532" type="#_x0000_t75" style="width:10.3pt;height:10.3pt" o:ole="">
            <v:imagedata r:id="rId9071" o:title=""/>
          </v:shape>
          <o:OLEObject Type="Embed" ProgID="Equation.DSMT4" ShapeID="_x0000_i5532" DrawAspect="Content" ObjectID="_1791379476" r:id="rId9072"/>
        </w:object>
      </w:r>
      <w:r w:rsidRPr="00B6450D">
        <w:rPr>
          <w:rFonts w:hint="cs"/>
          <w:i/>
          <w:sz w:val="23"/>
          <w:szCs w:val="23"/>
          <w:rtl/>
        </w:rPr>
        <w:t xml:space="preserve"> دوره</w:t>
      </w:r>
      <w:r w:rsidRPr="00B6450D">
        <w:rPr>
          <w:i/>
          <w:sz w:val="23"/>
          <w:szCs w:val="23"/>
          <w:rtl/>
        </w:rPr>
        <w:softHyphen/>
      </w:r>
      <w:r w:rsidRPr="00B6450D">
        <w:rPr>
          <w:rFonts w:hint="cs"/>
          <w:i/>
          <w:sz w:val="23"/>
          <w:szCs w:val="23"/>
          <w:rtl/>
        </w:rPr>
        <w:t>ای عبارت است از</w:t>
      </w:r>
    </w:p>
    <w:p w14:paraId="77C21F06" w14:textId="77777777" w:rsidR="00556C10" w:rsidRPr="00B6450D" w:rsidRDefault="00556C10" w:rsidP="00556C10">
      <w:pPr>
        <w:bidi w:val="0"/>
        <w:spacing w:line="216" w:lineRule="auto"/>
        <w:rPr>
          <w:i/>
          <w:sz w:val="23"/>
          <w:szCs w:val="23"/>
          <w:rtl/>
        </w:rPr>
      </w:pPr>
      <w:r w:rsidRPr="00B6450D">
        <w:rPr>
          <w:position w:val="-14"/>
        </w:rPr>
        <w:object w:dxaOrig="2020" w:dyaOrig="380" w14:anchorId="767A876F">
          <v:shape id="_x0000_i5533" type="#_x0000_t75" style="width:101.05pt;height:19.35pt" o:ole="">
            <v:imagedata r:id="rId9073" o:title=""/>
          </v:shape>
          <o:OLEObject Type="Embed" ProgID="Equation.DSMT4" ShapeID="_x0000_i5533" DrawAspect="Content" ObjectID="_1791379477" r:id="rId9074"/>
        </w:object>
      </w:r>
    </w:p>
    <w:p w14:paraId="6D2D3059" w14:textId="77777777" w:rsidR="00556C10" w:rsidRPr="00B6450D" w:rsidRDefault="00556C10" w:rsidP="00556C10">
      <w:pPr>
        <w:spacing w:line="216" w:lineRule="auto"/>
        <w:rPr>
          <w:i/>
          <w:sz w:val="23"/>
          <w:szCs w:val="23"/>
          <w:rtl/>
        </w:rPr>
      </w:pPr>
      <w:r w:rsidRPr="00B6450D">
        <w:rPr>
          <w:rFonts w:hint="cs"/>
          <w:i/>
          <w:sz w:val="23"/>
          <w:szCs w:val="23"/>
          <w:rtl/>
        </w:rPr>
        <w:t>و فرض می‌شود</w:t>
      </w:r>
      <w:r w:rsidRPr="00B6450D">
        <w:rPr>
          <w:position w:val="-12"/>
        </w:rPr>
        <w:object w:dxaOrig="360" w:dyaOrig="340" w14:anchorId="55AA9626">
          <v:shape id="_x0000_i5534" type="#_x0000_t75" style="width:18.15pt;height:16.95pt" o:ole="">
            <v:imagedata r:id="rId9075" o:title=""/>
          </v:shape>
          <o:OLEObject Type="Embed" ProgID="Equation.DSMT4" ShapeID="_x0000_i5534" DrawAspect="Content" ObjectID="_1791379478" r:id="rId9076"/>
        </w:object>
      </w:r>
      <w:r w:rsidRPr="00B6450D">
        <w:rPr>
          <w:i/>
          <w:sz w:val="23"/>
          <w:szCs w:val="23"/>
        </w:rPr>
        <w:t xml:space="preserve"> </w:t>
      </w:r>
      <w:r w:rsidRPr="00B6450D">
        <w:rPr>
          <w:rFonts w:hint="cs"/>
          <w:i/>
          <w:sz w:val="23"/>
          <w:szCs w:val="23"/>
          <w:rtl/>
        </w:rPr>
        <w:t>و</w:t>
      </w:r>
      <w:r w:rsidRPr="00B6450D">
        <w:rPr>
          <w:position w:val="-10"/>
        </w:rPr>
        <w:object w:dxaOrig="480" w:dyaOrig="320" w14:anchorId="0C4F0E25">
          <v:shape id="_x0000_i5535" type="#_x0000_t75" style="width:24.2pt;height:15.75pt" o:ole="">
            <v:imagedata r:id="rId9077" o:title=""/>
          </v:shape>
          <o:OLEObject Type="Embed" ProgID="Equation.DSMT4" ShapeID="_x0000_i5535" DrawAspect="Content" ObjectID="_1791379479" r:id="rId9078"/>
        </w:object>
      </w:r>
      <w:r w:rsidRPr="00B6450D">
        <w:rPr>
          <w:rFonts w:hint="cs"/>
          <w:i/>
          <w:sz w:val="23"/>
          <w:szCs w:val="23"/>
          <w:rtl/>
        </w:rPr>
        <w:t xml:space="preserve"> دارای توزیع مشترک لگاریتم نرمال با</w:t>
      </w:r>
      <w:r w:rsidRPr="00B6450D">
        <w:rPr>
          <w:position w:val="-10"/>
        </w:rPr>
        <w:object w:dxaOrig="880" w:dyaOrig="320" w14:anchorId="4FDE48DA">
          <v:shape id="_x0000_i5536" type="#_x0000_t75" style="width:44.15pt;height:15.75pt" o:ole="">
            <v:imagedata r:id="rId9079" o:title=""/>
          </v:shape>
          <o:OLEObject Type="Embed" ProgID="Equation.DSMT4" ShapeID="_x0000_i5536" DrawAspect="Content" ObjectID="_1791379480" r:id="rId9080"/>
        </w:object>
      </w:r>
      <w:r w:rsidRPr="00B6450D">
        <w:rPr>
          <w:rFonts w:hint="cs"/>
          <w:i/>
          <w:sz w:val="23"/>
          <w:szCs w:val="23"/>
          <w:rtl/>
        </w:rPr>
        <w:t xml:space="preserve"> و</w:t>
      </w:r>
      <w:r w:rsidRPr="00B6450D">
        <w:rPr>
          <w:position w:val="-10"/>
        </w:rPr>
        <w:object w:dxaOrig="1300" w:dyaOrig="320" w14:anchorId="1D9DC1DE">
          <v:shape id="_x0000_i5537" type="#_x0000_t75" style="width:65.35pt;height:15.75pt" o:ole="">
            <v:imagedata r:id="rId9081" o:title=""/>
          </v:shape>
          <o:OLEObject Type="Embed" ProgID="Equation.DSMT4" ShapeID="_x0000_i5537" DrawAspect="Content" ObjectID="_1791379481" r:id="rId9082"/>
        </w:object>
      </w:r>
      <w:r w:rsidRPr="00B6450D">
        <w:rPr>
          <w:rFonts w:hint="cs"/>
          <w:i/>
          <w:sz w:val="23"/>
          <w:szCs w:val="23"/>
          <w:rtl/>
        </w:rPr>
        <w:t xml:space="preserve"> و</w:t>
      </w:r>
    </w:p>
    <w:p w14:paraId="79A4BA3E" w14:textId="77777777" w:rsidR="00556C10" w:rsidRPr="00B6450D" w:rsidRDefault="00556C10" w:rsidP="00556C10">
      <w:pPr>
        <w:bidi w:val="0"/>
        <w:spacing w:line="216" w:lineRule="auto"/>
        <w:rPr>
          <w:i/>
          <w:sz w:val="23"/>
          <w:szCs w:val="23"/>
        </w:rPr>
      </w:pPr>
      <w:r w:rsidRPr="00B6450D">
        <w:rPr>
          <w:position w:val="-22"/>
        </w:rPr>
        <w:object w:dxaOrig="4060" w:dyaOrig="560" w14:anchorId="48231FFD">
          <v:shape id="_x0000_i5538" type="#_x0000_t75" style="width:203.3pt;height:27.85pt" o:ole="">
            <v:imagedata r:id="rId9083" o:title=""/>
          </v:shape>
          <o:OLEObject Type="Embed" ProgID="Equation.DSMT4" ShapeID="_x0000_i5538" DrawAspect="Content" ObjectID="_1791379482" r:id="rId9084"/>
        </w:object>
      </w:r>
    </w:p>
    <w:p w14:paraId="3F89DCBA" w14:textId="77777777" w:rsidR="00556C10" w:rsidRPr="00B6450D" w:rsidRDefault="00556C10" w:rsidP="00556C10">
      <w:pPr>
        <w:spacing w:line="216" w:lineRule="auto"/>
        <w:rPr>
          <w:i/>
          <w:sz w:val="23"/>
          <w:szCs w:val="23"/>
          <w:rtl/>
        </w:rPr>
      </w:pPr>
      <w:r w:rsidRPr="00B6450D">
        <w:rPr>
          <w:rFonts w:hint="cs"/>
          <w:i/>
          <w:sz w:val="23"/>
          <w:szCs w:val="23"/>
          <w:rtl/>
        </w:rPr>
        <w:t xml:space="preserve">چنانچه </w:t>
      </w:r>
      <w:r w:rsidRPr="00B6450D">
        <w:rPr>
          <w:position w:val="-12"/>
        </w:rPr>
        <w:object w:dxaOrig="720" w:dyaOrig="340" w14:anchorId="068F0B8C">
          <v:shape id="_x0000_i5539" type="#_x0000_t75" style="width:36.3pt;height:16.95pt" o:ole="">
            <v:imagedata r:id="rId9085" o:title=""/>
          </v:shape>
          <o:OLEObject Type="Embed" ProgID="Equation.DSMT4" ShapeID="_x0000_i5539" DrawAspect="Content" ObjectID="_1791379483" r:id="rId9086"/>
        </w:object>
      </w:r>
      <w:r w:rsidRPr="00B6450D">
        <w:rPr>
          <w:rFonts w:hint="cs"/>
          <w:i/>
          <w:sz w:val="23"/>
          <w:szCs w:val="23"/>
          <w:rtl/>
        </w:rPr>
        <w:t xml:space="preserve"> باشد، نرخ کوتاه‌مدت</w:t>
      </w:r>
      <w:r w:rsidRPr="00B6450D">
        <w:rPr>
          <w:position w:val="-10"/>
        </w:rPr>
        <w:object w:dxaOrig="200" w:dyaOrig="320" w14:anchorId="38BABD25">
          <v:shape id="_x0000_i5540" type="#_x0000_t75" style="width:10.3pt;height:15.75pt" o:ole="">
            <v:imagedata r:id="rId9087" o:title=""/>
          </v:shape>
          <o:OLEObject Type="Embed" ProgID="Equation.DSMT4" ShapeID="_x0000_i5540" DrawAspect="Content" ObjectID="_1791379484" r:id="rId9088"/>
        </w:object>
      </w:r>
      <w:r w:rsidRPr="00B6450D">
        <w:rPr>
          <w:rFonts w:hint="cs"/>
          <w:i/>
          <w:sz w:val="23"/>
          <w:szCs w:val="23"/>
          <w:rtl/>
        </w:rPr>
        <w:t xml:space="preserve"> برابر است با</w:t>
      </w:r>
    </w:p>
    <w:p w14:paraId="26E59D52" w14:textId="77777777" w:rsidR="00556C10" w:rsidRPr="00B6450D" w:rsidRDefault="00556C10" w:rsidP="00556C10">
      <w:pPr>
        <w:bidi w:val="0"/>
        <w:spacing w:line="216" w:lineRule="auto"/>
        <w:rPr>
          <w:i/>
          <w:sz w:val="23"/>
          <w:szCs w:val="23"/>
          <w:rtl/>
        </w:rPr>
      </w:pPr>
      <w:r w:rsidRPr="00B6450D">
        <w:rPr>
          <w:position w:val="-22"/>
        </w:rPr>
        <w:object w:dxaOrig="2980" w:dyaOrig="560" w14:anchorId="6EF712A0">
          <v:shape id="_x0000_i5541" type="#_x0000_t75" style="width:148.85pt;height:27.85pt" o:ole="">
            <v:imagedata r:id="rId9089" o:title=""/>
          </v:shape>
          <o:OLEObject Type="Embed" ProgID="Equation.DSMT4" ShapeID="_x0000_i5541" DrawAspect="Content" ObjectID="_1791379485" r:id="rId9090"/>
        </w:object>
      </w:r>
    </w:p>
    <w:p w14:paraId="51D10CC8" w14:textId="77777777" w:rsidR="00556C10" w:rsidRPr="00B6450D" w:rsidRDefault="00556C10" w:rsidP="00556C10">
      <w:pPr>
        <w:spacing w:line="216" w:lineRule="auto"/>
        <w:rPr>
          <w:i/>
          <w:sz w:val="23"/>
          <w:szCs w:val="23"/>
          <w:rtl/>
        </w:rPr>
      </w:pPr>
      <w:r w:rsidRPr="00B6450D">
        <w:rPr>
          <w:rFonts w:hint="cs"/>
          <w:i/>
          <w:sz w:val="23"/>
          <w:szCs w:val="23"/>
          <w:rtl/>
        </w:rPr>
        <w:t>انگ و پیاتزسی فروض زیر را معرفی می‌کنند</w:t>
      </w:r>
    </w:p>
    <w:p w14:paraId="5BE4451F" w14:textId="77777777" w:rsidR="00556C10" w:rsidRPr="00B6450D" w:rsidRDefault="00556C10" w:rsidP="00556C10">
      <w:pPr>
        <w:bidi w:val="0"/>
        <w:spacing w:line="216" w:lineRule="auto"/>
        <w:rPr>
          <w:i/>
          <w:sz w:val="23"/>
          <w:szCs w:val="23"/>
        </w:rPr>
      </w:pPr>
      <w:r w:rsidRPr="00B6450D">
        <w:rPr>
          <w:position w:val="-28"/>
        </w:rPr>
        <w:object w:dxaOrig="1880" w:dyaOrig="639" w14:anchorId="17926A54">
          <v:shape id="_x0000_i5542" type="#_x0000_t75" style="width:93.8pt;height:31.45pt" o:ole="">
            <v:imagedata r:id="rId9091" o:title=""/>
          </v:shape>
          <o:OLEObject Type="Embed" ProgID="Equation.DSMT4" ShapeID="_x0000_i5542" DrawAspect="Content" ObjectID="_1791379486" r:id="rId9092"/>
        </w:object>
      </w:r>
    </w:p>
    <w:p w14:paraId="5F3CA8C0" w14:textId="77777777" w:rsidR="00556C10" w:rsidRPr="00B6450D" w:rsidRDefault="00556C10" w:rsidP="00556C10">
      <w:pPr>
        <w:bidi w:val="0"/>
        <w:spacing w:line="216" w:lineRule="auto"/>
        <w:rPr>
          <w:i/>
          <w:sz w:val="23"/>
          <w:szCs w:val="23"/>
        </w:rPr>
      </w:pPr>
      <w:r w:rsidRPr="00B6450D">
        <w:rPr>
          <w:position w:val="-10"/>
        </w:rPr>
        <w:object w:dxaOrig="1160" w:dyaOrig="320" w14:anchorId="6705E910">
          <v:shape id="_x0000_i5543" type="#_x0000_t75" style="width:58.1pt;height:15.75pt" o:ole="">
            <v:imagedata r:id="rId9093" o:title=""/>
          </v:shape>
          <o:OLEObject Type="Embed" ProgID="Equation.DSMT4" ShapeID="_x0000_i5543" DrawAspect="Content" ObjectID="_1791379487" r:id="rId9094"/>
        </w:object>
      </w:r>
    </w:p>
    <w:p w14:paraId="3522BC92" w14:textId="77777777" w:rsidR="00556C10" w:rsidRPr="00B6450D" w:rsidRDefault="00556C10" w:rsidP="00556C10">
      <w:pPr>
        <w:bidi w:val="0"/>
        <w:spacing w:line="216" w:lineRule="auto"/>
        <w:rPr>
          <w:i/>
          <w:sz w:val="23"/>
          <w:szCs w:val="23"/>
        </w:rPr>
      </w:pPr>
      <w:r w:rsidRPr="00B6450D">
        <w:rPr>
          <w:position w:val="-10"/>
        </w:rPr>
        <w:object w:dxaOrig="1860" w:dyaOrig="320" w14:anchorId="68CAEEC4">
          <v:shape id="_x0000_i5544" type="#_x0000_t75" style="width:93.2pt;height:15.75pt" o:ole="">
            <v:imagedata r:id="rId9095" o:title=""/>
          </v:shape>
          <o:OLEObject Type="Embed" ProgID="Equation.DSMT4" ShapeID="_x0000_i5544" DrawAspect="Content" ObjectID="_1791379488" r:id="rId9096"/>
        </w:object>
      </w:r>
    </w:p>
    <w:p w14:paraId="10A8F952" w14:textId="77777777" w:rsidR="00556C10" w:rsidRPr="00B6450D" w:rsidRDefault="00556C10" w:rsidP="00556C10">
      <w:pPr>
        <w:bidi w:val="0"/>
        <w:spacing w:line="216" w:lineRule="auto"/>
        <w:rPr>
          <w:i/>
          <w:sz w:val="23"/>
          <w:szCs w:val="23"/>
        </w:rPr>
      </w:pPr>
      <w:r w:rsidRPr="00B6450D">
        <w:rPr>
          <w:position w:val="-28"/>
        </w:rPr>
        <w:object w:dxaOrig="2480" w:dyaOrig="639" w14:anchorId="4C36BAE1">
          <v:shape id="_x0000_i5545" type="#_x0000_t75" style="width:124.05pt;height:31.45pt" o:ole="">
            <v:imagedata r:id="rId9097" o:title=""/>
          </v:shape>
          <o:OLEObject Type="Embed" ProgID="Equation.DSMT4" ShapeID="_x0000_i5545" DrawAspect="Content" ObjectID="_1791379489" r:id="rId9098"/>
        </w:object>
      </w:r>
    </w:p>
    <w:p w14:paraId="3D716ED2" w14:textId="77777777" w:rsidR="00556C10" w:rsidRPr="00B6450D" w:rsidRDefault="00556C10" w:rsidP="00556C10">
      <w:pPr>
        <w:bidi w:val="0"/>
        <w:spacing w:line="216" w:lineRule="auto"/>
        <w:rPr>
          <w:i/>
          <w:sz w:val="23"/>
          <w:szCs w:val="23"/>
        </w:rPr>
      </w:pPr>
      <w:r w:rsidRPr="00B6450D">
        <w:rPr>
          <w:position w:val="-10"/>
        </w:rPr>
        <w:object w:dxaOrig="1200" w:dyaOrig="320" w14:anchorId="6AAC363B">
          <v:shape id="_x0000_i5546" type="#_x0000_t75" style="width:59.9pt;height:15.75pt" o:ole="">
            <v:imagedata r:id="rId9099" o:title=""/>
          </v:shape>
          <o:OLEObject Type="Embed" ProgID="Equation.DSMT4" ShapeID="_x0000_i5546" DrawAspect="Content" ObjectID="_1791379490" r:id="rId9100"/>
        </w:object>
      </w:r>
    </w:p>
    <w:p w14:paraId="43B53253" w14:textId="77777777" w:rsidR="00556C10" w:rsidRPr="00B6450D" w:rsidRDefault="00556C10" w:rsidP="00556C10">
      <w:pPr>
        <w:bidi w:val="0"/>
        <w:spacing w:line="216" w:lineRule="auto"/>
        <w:rPr>
          <w:i/>
          <w:sz w:val="23"/>
          <w:szCs w:val="23"/>
        </w:rPr>
      </w:pPr>
      <w:r w:rsidRPr="00B6450D">
        <w:rPr>
          <w:position w:val="-12"/>
        </w:rPr>
        <w:object w:dxaOrig="1460" w:dyaOrig="340" w14:anchorId="6BA9763C">
          <v:shape id="_x0000_i5547" type="#_x0000_t75" style="width:73.2pt;height:16.95pt" o:ole="">
            <v:imagedata r:id="rId9101" o:title=""/>
          </v:shape>
          <o:OLEObject Type="Embed" ProgID="Equation.DSMT4" ShapeID="_x0000_i5547" DrawAspect="Content" ObjectID="_1791379491" r:id="rId9102"/>
        </w:object>
      </w:r>
    </w:p>
    <w:p w14:paraId="1958714C" w14:textId="77777777" w:rsidR="00556C10" w:rsidRPr="00B6450D" w:rsidRDefault="00556C10" w:rsidP="00556C10">
      <w:pPr>
        <w:spacing w:line="216" w:lineRule="auto"/>
        <w:rPr>
          <w:i/>
          <w:sz w:val="23"/>
          <w:szCs w:val="23"/>
          <w:rtl/>
        </w:rPr>
      </w:pPr>
      <w:r w:rsidRPr="00B6450D">
        <w:rPr>
          <w:rFonts w:hint="cs"/>
          <w:i/>
          <w:sz w:val="23"/>
          <w:szCs w:val="23"/>
          <w:rtl/>
        </w:rPr>
        <w:t xml:space="preserve">مزیت این تصریح در آن است که نیاز به برابری </w:t>
      </w:r>
      <w:r w:rsidRPr="00B6450D">
        <w:rPr>
          <w:position w:val="-12"/>
        </w:rPr>
        <w:object w:dxaOrig="1760" w:dyaOrig="360" w14:anchorId="5F29BEDA">
          <v:shape id="_x0000_i5548" type="#_x0000_t75" style="width:87.75pt;height:18.15pt" o:ole="">
            <v:imagedata r:id="rId9103" o:title=""/>
          </v:shape>
          <o:OLEObject Type="Embed" ProgID="Equation.DSMT4" ShapeID="_x0000_i5548" DrawAspect="Content" ObjectID="_1791379492" r:id="rId9104"/>
        </w:object>
      </w:r>
      <w:r w:rsidRPr="00B6450D">
        <w:rPr>
          <w:rFonts w:hint="cs"/>
          <w:i/>
          <w:sz w:val="23"/>
          <w:szCs w:val="23"/>
          <w:rtl/>
        </w:rPr>
        <w:t xml:space="preserve"> را تضمین می‌کند. بعلاوه،</w:t>
      </w:r>
      <w:r w:rsidRPr="00B6450D">
        <w:rPr>
          <w:position w:val="-10"/>
        </w:rPr>
        <w:object w:dxaOrig="480" w:dyaOrig="320" w14:anchorId="5F8B9021">
          <v:shape id="_x0000_i5549" type="#_x0000_t75" style="width:24.2pt;height:15.75pt" o:ole="">
            <v:imagedata r:id="rId9105" o:title=""/>
          </v:shape>
          <o:OLEObject Type="Embed" ProgID="Equation.DSMT4" ShapeID="_x0000_i5549" DrawAspect="Content" ObjectID="_1791379493" r:id="rId9106"/>
        </w:object>
      </w:r>
      <w:r w:rsidRPr="00B6450D">
        <w:rPr>
          <w:rFonts w:hint="cs"/>
          <w:i/>
          <w:sz w:val="23"/>
          <w:szCs w:val="23"/>
          <w:rtl/>
        </w:rPr>
        <w:t xml:space="preserve"> بجای این</w:t>
      </w:r>
      <w:r w:rsidRPr="00B6450D">
        <w:rPr>
          <w:i/>
          <w:sz w:val="23"/>
          <w:szCs w:val="23"/>
          <w:rtl/>
        </w:rPr>
        <w:softHyphen/>
      </w:r>
      <w:r w:rsidRPr="00B6450D">
        <w:rPr>
          <w:rFonts w:hint="cs"/>
          <w:i/>
          <w:sz w:val="23"/>
          <w:szCs w:val="23"/>
          <w:rtl/>
        </w:rPr>
        <w:t>که از نرخ کوتاه‌مدت استخراج شود، بر حسب نرخ کوتاه‌مدت تعریف شده است. نرخ کوتاه‌مدت تابع خطی عوامل است و اجازه می‌دهد بر حسب یک قاعده‌ی نرخ بهره همانند قاعده‌ی تیلور در فصل چهاردهم تعیین شود. عواملِ در نظر گرفته شده در معادله‌ی نرخ بهره‌ی کوتاه‌مدت فقط شکاف تولید و تورم است. بردار عوامل</w:t>
      </w:r>
      <w:r w:rsidRPr="00B6450D">
        <w:rPr>
          <w:position w:val="-10"/>
        </w:rPr>
        <w:object w:dxaOrig="240" w:dyaOrig="320" w14:anchorId="08252127">
          <v:shape id="_x0000_i5550" type="#_x0000_t75" style="width:11.5pt;height:15.75pt" o:ole="">
            <v:imagedata r:id="rId9107" o:title=""/>
          </v:shape>
          <o:OLEObject Type="Embed" ProgID="Equation.DSMT4" ShapeID="_x0000_i5550" DrawAspect="Content" ObjectID="_1791379494" r:id="rId9108"/>
        </w:object>
      </w:r>
      <w:r w:rsidRPr="00B6450D">
        <w:rPr>
          <w:rFonts w:hint="cs"/>
          <w:i/>
          <w:sz w:val="23"/>
          <w:szCs w:val="23"/>
          <w:rtl/>
        </w:rPr>
        <w:t xml:space="preserve"> شامل عوامل قابل مشاهده و غیرقابل مشاهده بانضمام وقفه‌های این عوامل است. اَنگ و پیاتزسی تصریح با دو عامل اقتصاد کلان قابل مشاهده</w:t>
      </w:r>
      <w:r w:rsidRPr="00B6450D">
        <w:rPr>
          <w:i/>
          <w:sz w:val="23"/>
          <w:szCs w:val="23"/>
          <w:rtl/>
        </w:rPr>
        <w:softHyphen/>
      </w:r>
      <w:r w:rsidRPr="00B6450D">
        <w:rPr>
          <w:rFonts w:hint="cs"/>
          <w:i/>
          <w:sz w:val="23"/>
          <w:szCs w:val="23"/>
          <w:rtl/>
        </w:rPr>
        <w:t xml:space="preserve">ی و سه عامل غیرقابل مشاهده را انتخاب کردند. عوامل قابل مشاهده اقتصاد کلان تورم و فعالیت حقیقی است. اگر بردار عوامل قابل مشاهده و غیرقابل مشاهده را به صورت </w:t>
      </w:r>
      <w:r w:rsidRPr="00B6450D">
        <w:rPr>
          <w:position w:val="-20"/>
        </w:rPr>
        <w:object w:dxaOrig="1300" w:dyaOrig="499" w14:anchorId="13757C82">
          <v:shape id="_x0000_i5551" type="#_x0000_t75" style="width:65.35pt;height:24.8pt" o:ole="">
            <v:imagedata r:id="rId9109" o:title=""/>
          </v:shape>
          <o:OLEObject Type="Embed" ProgID="Equation.DSMT4" ShapeID="_x0000_i5551" DrawAspect="Content" ObjectID="_1791379495" r:id="rId9110"/>
        </w:object>
      </w:r>
      <w:r w:rsidRPr="00B6450D">
        <w:rPr>
          <w:rFonts w:hint="cs"/>
          <w:i/>
          <w:sz w:val="23"/>
          <w:szCs w:val="23"/>
          <w:rtl/>
        </w:rPr>
        <w:t xml:space="preserve"> تعریف کنیم آنگاه </w:t>
      </w:r>
      <w:r w:rsidRPr="00B6450D">
        <w:rPr>
          <w:position w:val="-14"/>
        </w:rPr>
        <w:object w:dxaOrig="2120" w:dyaOrig="480" w14:anchorId="1D364891">
          <v:shape id="_x0000_i5552" type="#_x0000_t75" style="width:105.9pt;height:24.2pt" o:ole="">
            <v:imagedata r:id="rId9111" o:title=""/>
          </v:shape>
          <o:OLEObject Type="Embed" ProgID="Equation.DSMT4" ShapeID="_x0000_i5552" DrawAspect="Content" ObjectID="_1791379496" r:id="rId9112"/>
        </w:object>
      </w:r>
      <w:r w:rsidRPr="00B6450D">
        <w:rPr>
          <w:rFonts w:hint="cs"/>
          <w:i/>
          <w:sz w:val="23"/>
          <w:szCs w:val="23"/>
          <w:rtl/>
        </w:rPr>
        <w:t>. بنابراین، معادله</w:t>
      </w:r>
      <w:r w:rsidRPr="00B6450D">
        <w:rPr>
          <w:i/>
          <w:sz w:val="23"/>
          <w:szCs w:val="23"/>
          <w:rtl/>
        </w:rPr>
        <w:softHyphen/>
      </w:r>
      <w:r w:rsidRPr="00B6450D">
        <w:rPr>
          <w:rFonts w:hint="cs"/>
          <w:i/>
          <w:sz w:val="23"/>
          <w:szCs w:val="23"/>
          <w:rtl/>
        </w:rPr>
        <w:t xml:space="preserve">ی </w:t>
      </w:r>
      <w:r w:rsidRPr="00B6450D">
        <w:rPr>
          <w:position w:val="-10"/>
        </w:rPr>
        <w:object w:dxaOrig="240" w:dyaOrig="320" w14:anchorId="468AA523">
          <v:shape id="_x0000_i5553" type="#_x0000_t75" style="width:11.5pt;height:15.75pt" o:ole="">
            <v:imagedata r:id="rId9113" o:title=""/>
          </v:shape>
          <o:OLEObject Type="Embed" ProgID="Equation.DSMT4" ShapeID="_x0000_i5553" DrawAspect="Content" ObjectID="_1791379497" r:id="rId9114"/>
        </w:object>
      </w:r>
      <w:r w:rsidRPr="00B6450D">
        <w:rPr>
          <w:rFonts w:hint="cs"/>
          <w:i/>
          <w:sz w:val="23"/>
          <w:szCs w:val="23"/>
          <w:rtl/>
        </w:rPr>
        <w:t xml:space="preserve"> یک بردار خودهمبسته است و </w:t>
      </w:r>
      <w:r w:rsidRPr="00B6450D">
        <w:rPr>
          <w:position w:val="-10"/>
        </w:rPr>
        <w:object w:dxaOrig="340" w:dyaOrig="320" w14:anchorId="4FEE0DF9">
          <v:shape id="_x0000_i5554" type="#_x0000_t75" style="width:16.95pt;height:15.75pt" o:ole="">
            <v:imagedata r:id="rId9115" o:title=""/>
          </v:shape>
          <o:OLEObject Type="Embed" ProgID="Equation.DSMT4" ShapeID="_x0000_i5554" DrawAspect="Content" ObjectID="_1791379498" r:id="rId9116"/>
        </w:object>
      </w:r>
      <w:r w:rsidRPr="00B6450D">
        <w:rPr>
          <w:rFonts w:hint="cs"/>
          <w:i/>
          <w:sz w:val="23"/>
          <w:szCs w:val="23"/>
          <w:rtl/>
        </w:rPr>
        <w:t xml:space="preserve"> شامل اجزاء صفر می‌باشد. متغیرهای غیر قابل مشاهده و نهفته مستقل هستند. بنابراین </w:t>
      </w:r>
      <w:r w:rsidRPr="00B6450D">
        <w:rPr>
          <w:position w:val="-10"/>
        </w:rPr>
        <w:object w:dxaOrig="840" w:dyaOrig="320" w14:anchorId="7A9AF6A0">
          <v:shape id="_x0000_i5555" type="#_x0000_t75" style="width:42.35pt;height:15.75pt" o:ole="">
            <v:imagedata r:id="rId9117" o:title=""/>
          </v:shape>
          <o:OLEObject Type="Embed" ProgID="Equation.DSMT4" ShapeID="_x0000_i5555" DrawAspect="Content" ObjectID="_1791379499" r:id="rId9118"/>
        </w:object>
      </w:r>
      <w:r w:rsidRPr="00B6450D">
        <w:rPr>
          <w:rFonts w:hint="cs"/>
          <w:i/>
          <w:sz w:val="23"/>
          <w:szCs w:val="23"/>
          <w:rtl/>
        </w:rPr>
        <w:t xml:space="preserve">، </w:t>
      </w:r>
      <w:r w:rsidRPr="00B6450D">
        <w:rPr>
          <w:position w:val="-10"/>
        </w:rPr>
        <w:object w:dxaOrig="820" w:dyaOrig="320" w14:anchorId="25F44AEB">
          <v:shape id="_x0000_i5556" type="#_x0000_t75" style="width:40.55pt;height:15.75pt" o:ole="">
            <v:imagedata r:id="rId9119" o:title=""/>
          </v:shape>
          <o:OLEObject Type="Embed" ProgID="Equation.DSMT4" ShapeID="_x0000_i5556" DrawAspect="Content" ObjectID="_1791379500" r:id="rId9120"/>
        </w:object>
      </w:r>
      <w:r w:rsidRPr="00B6450D">
        <w:rPr>
          <w:rFonts w:hint="cs"/>
          <w:i/>
          <w:sz w:val="23"/>
          <w:szCs w:val="23"/>
          <w:rtl/>
        </w:rPr>
        <w:t xml:space="preserve"> و</w:t>
      </w:r>
    </w:p>
    <w:p w14:paraId="70FF2D99" w14:textId="77777777" w:rsidR="00556C10" w:rsidRPr="00B6450D" w:rsidRDefault="00556C10" w:rsidP="00556C10">
      <w:pPr>
        <w:bidi w:val="0"/>
        <w:spacing w:line="216" w:lineRule="auto"/>
        <w:rPr>
          <w:i/>
          <w:sz w:val="23"/>
          <w:szCs w:val="23"/>
        </w:rPr>
      </w:pPr>
      <w:r w:rsidRPr="00B6450D">
        <w:rPr>
          <w:position w:val="-22"/>
        </w:rPr>
        <w:object w:dxaOrig="6080" w:dyaOrig="560" w14:anchorId="27EAD757">
          <v:shape id="_x0000_i5557" type="#_x0000_t75" style="width:303.75pt;height:27.85pt" o:ole="">
            <v:imagedata r:id="rId9121" o:title=""/>
          </v:shape>
          <o:OLEObject Type="Embed" ProgID="Equation.DSMT4" ShapeID="_x0000_i5557" DrawAspect="Content" ObjectID="_1791379501" r:id="rId9122"/>
        </w:object>
      </w:r>
    </w:p>
    <w:p w14:paraId="0885413E" w14:textId="77777777" w:rsidR="00556C10" w:rsidRPr="00B6450D" w:rsidRDefault="00556C10" w:rsidP="00556C10">
      <w:pPr>
        <w:spacing w:line="216" w:lineRule="auto"/>
        <w:rPr>
          <w:i/>
          <w:sz w:val="23"/>
          <w:szCs w:val="23"/>
          <w:rtl/>
        </w:rPr>
      </w:pPr>
      <w:r w:rsidRPr="00B6450D">
        <w:rPr>
          <w:rFonts w:hint="cs"/>
          <w:i/>
          <w:sz w:val="23"/>
          <w:szCs w:val="23"/>
          <w:rtl/>
        </w:rPr>
        <w:t>بعلاوه همان</w:t>
      </w:r>
      <w:r w:rsidRPr="00B6450D">
        <w:rPr>
          <w:i/>
          <w:sz w:val="23"/>
          <w:szCs w:val="23"/>
          <w:rtl/>
        </w:rPr>
        <w:softHyphen/>
      </w:r>
      <w:r w:rsidRPr="00B6450D">
        <w:rPr>
          <w:rFonts w:hint="cs"/>
          <w:i/>
          <w:sz w:val="23"/>
          <w:szCs w:val="23"/>
          <w:rtl/>
        </w:rPr>
        <w:t xml:space="preserve">طور که </w:t>
      </w:r>
      <w:r w:rsidRPr="00B6450D">
        <w:rPr>
          <w:position w:val="-22"/>
        </w:rPr>
        <w:object w:dxaOrig="2480" w:dyaOrig="560" w14:anchorId="7753E065">
          <v:shape id="_x0000_i5558" type="#_x0000_t75" style="width:124.05pt;height:27.85pt" o:ole="">
            <v:imagedata r:id="rId9123" o:title=""/>
          </v:shape>
          <o:OLEObject Type="Embed" ProgID="Equation.DSMT4" ShapeID="_x0000_i5558" DrawAspect="Content" ObjectID="_1791379502" r:id="rId9124"/>
        </w:object>
      </w:r>
      <w:r w:rsidRPr="00B6450D">
        <w:rPr>
          <w:rFonts w:hint="cs"/>
          <w:i/>
          <w:sz w:val="23"/>
          <w:szCs w:val="23"/>
          <w:rtl/>
        </w:rPr>
        <w:t xml:space="preserve"> خواهیم داشت</w:t>
      </w:r>
    </w:p>
    <w:p w14:paraId="7B24A855" w14:textId="77777777" w:rsidR="00556C10" w:rsidRPr="00B6450D" w:rsidRDefault="00556C10" w:rsidP="00556C10">
      <w:pPr>
        <w:bidi w:val="0"/>
        <w:spacing w:line="216" w:lineRule="auto"/>
        <w:rPr>
          <w:i/>
          <w:sz w:val="23"/>
          <w:szCs w:val="23"/>
        </w:rPr>
      </w:pPr>
      <w:r w:rsidRPr="00B6450D">
        <w:rPr>
          <w:position w:val="-22"/>
        </w:rPr>
        <w:object w:dxaOrig="2460" w:dyaOrig="560" w14:anchorId="67D480F2">
          <v:shape id="_x0000_i5559" type="#_x0000_t75" style="width:122.8pt;height:27.85pt" o:ole="">
            <v:imagedata r:id="rId9125" o:title=""/>
          </v:shape>
          <o:OLEObject Type="Embed" ProgID="Equation.DSMT4" ShapeID="_x0000_i5559" DrawAspect="Content" ObjectID="_1791379503" r:id="rId9126"/>
        </w:object>
      </w:r>
    </w:p>
    <w:p w14:paraId="485AC9A7" w14:textId="77777777" w:rsidR="00556C10" w:rsidRPr="00B6450D" w:rsidRDefault="00556C10" w:rsidP="00556C10">
      <w:pPr>
        <w:spacing w:line="216" w:lineRule="auto"/>
        <w:rPr>
          <w:i/>
          <w:sz w:val="23"/>
          <w:szCs w:val="23"/>
          <w:rtl/>
        </w:rPr>
      </w:pPr>
      <w:r w:rsidRPr="00B6450D">
        <w:rPr>
          <w:rFonts w:hint="cs"/>
          <w:i/>
          <w:sz w:val="23"/>
          <w:szCs w:val="23"/>
          <w:rtl/>
        </w:rPr>
        <w:t>بطوری</w:t>
      </w:r>
      <w:r w:rsidRPr="00B6450D">
        <w:rPr>
          <w:i/>
          <w:sz w:val="23"/>
          <w:szCs w:val="23"/>
          <w:rtl/>
        </w:rPr>
        <w:softHyphen/>
      </w:r>
      <w:r w:rsidRPr="00B6450D">
        <w:rPr>
          <w:rFonts w:hint="cs"/>
          <w:i/>
          <w:sz w:val="23"/>
          <w:szCs w:val="23"/>
          <w:rtl/>
        </w:rPr>
        <w:t>که</w:t>
      </w:r>
      <w:r w:rsidRPr="00B6450D">
        <w:rPr>
          <w:position w:val="-10"/>
        </w:rPr>
        <w:object w:dxaOrig="1200" w:dyaOrig="320" w14:anchorId="5E63A04D">
          <v:shape id="_x0000_i5560" type="#_x0000_t75" style="width:59.9pt;height:15.75pt" o:ole="">
            <v:imagedata r:id="rId9127" o:title=""/>
          </v:shape>
          <o:OLEObject Type="Embed" ProgID="Equation.DSMT4" ShapeID="_x0000_i5560" DrawAspect="Content" ObjectID="_1791379504" r:id="rId9128"/>
        </w:object>
      </w:r>
      <w:r w:rsidRPr="00B6450D">
        <w:rPr>
          <w:rFonts w:hint="cs"/>
          <w:i/>
          <w:sz w:val="23"/>
          <w:szCs w:val="23"/>
          <w:rtl/>
        </w:rPr>
        <w:t xml:space="preserve">، </w:t>
      </w:r>
      <w:r w:rsidRPr="00B6450D">
        <w:rPr>
          <w:position w:val="-22"/>
        </w:rPr>
        <w:object w:dxaOrig="1540" w:dyaOrig="560" w14:anchorId="2F098264">
          <v:shape id="_x0000_i5561" type="#_x0000_t75" style="width:76.85pt;height:27.85pt" o:ole="">
            <v:imagedata r:id="rId9129" o:title=""/>
          </v:shape>
          <o:OLEObject Type="Embed" ProgID="Equation.DSMT4" ShapeID="_x0000_i5561" DrawAspect="Content" ObjectID="_1791379505" r:id="rId9130"/>
        </w:object>
      </w:r>
      <w:r w:rsidRPr="00B6450D">
        <w:rPr>
          <w:i/>
          <w:sz w:val="23"/>
          <w:szCs w:val="23"/>
        </w:rPr>
        <w:t>.</w:t>
      </w:r>
    </w:p>
    <w:p w14:paraId="5DF6E069" w14:textId="77777777" w:rsidR="00556C10" w:rsidRPr="00B6450D" w:rsidRDefault="00556C10" w:rsidP="00556C10">
      <w:pPr>
        <w:spacing w:line="216" w:lineRule="auto"/>
        <w:rPr>
          <w:i/>
          <w:sz w:val="23"/>
          <w:szCs w:val="23"/>
          <w:rtl/>
        </w:rPr>
      </w:pPr>
      <w:r w:rsidRPr="00B6450D">
        <w:rPr>
          <w:rFonts w:hint="cs"/>
          <w:i/>
          <w:sz w:val="23"/>
          <w:szCs w:val="23"/>
          <w:rtl/>
        </w:rPr>
        <w:lastRenderedPageBreak/>
        <w:t>گام بعدی ارزیابی</w:t>
      </w:r>
      <w:r w:rsidRPr="00B6450D">
        <w:rPr>
          <w:position w:val="-12"/>
        </w:rPr>
        <w:object w:dxaOrig="360" w:dyaOrig="340" w14:anchorId="1ADBF6B2">
          <v:shape id="_x0000_i5562" type="#_x0000_t75" style="width:18.15pt;height:16.95pt" o:ole="">
            <v:imagedata r:id="rId9131" o:title=""/>
          </v:shape>
          <o:OLEObject Type="Embed" ProgID="Equation.DSMT4" ShapeID="_x0000_i5562" DrawAspect="Content" ObjectID="_1791379506" r:id="rId9132"/>
        </w:object>
      </w:r>
      <w:r w:rsidRPr="00B6450D">
        <w:rPr>
          <w:rFonts w:hint="cs"/>
          <w:i/>
          <w:sz w:val="23"/>
          <w:szCs w:val="23"/>
          <w:rtl/>
        </w:rPr>
        <w:t>برای تصریح</w:t>
      </w:r>
      <w:r w:rsidRPr="00B6450D">
        <w:rPr>
          <w:position w:val="-10"/>
        </w:rPr>
        <w:object w:dxaOrig="320" w:dyaOrig="320" w14:anchorId="0393BF45">
          <v:shape id="_x0000_i5563" type="#_x0000_t75" style="width:15.75pt;height:15.75pt" o:ole="">
            <v:imagedata r:id="rId9133" o:title=""/>
          </v:shape>
          <o:OLEObject Type="Embed" ProgID="Equation.DSMT4" ShapeID="_x0000_i5563" DrawAspect="Content" ObjectID="_1791379507" r:id="rId9134"/>
        </w:object>
      </w:r>
      <w:r w:rsidRPr="00B6450D">
        <w:rPr>
          <w:rFonts w:hint="cs"/>
          <w:i/>
          <w:sz w:val="23"/>
          <w:szCs w:val="23"/>
          <w:rtl/>
        </w:rPr>
        <w:t xml:space="preserve"> و</w:t>
      </w:r>
      <w:r w:rsidRPr="00B6450D">
        <w:rPr>
          <w:position w:val="-10"/>
        </w:rPr>
        <w:object w:dxaOrig="300" w:dyaOrig="320" w14:anchorId="561D5ACF">
          <v:shape id="_x0000_i5564" type="#_x0000_t75" style="width:14.5pt;height:15.75pt" o:ole="">
            <v:imagedata r:id="rId9135" o:title=""/>
          </v:shape>
          <o:OLEObject Type="Embed" ProgID="Equation.DSMT4" ShapeID="_x0000_i5564" DrawAspect="Content" ObjectID="_1791379508" r:id="rId9136"/>
        </w:object>
      </w:r>
      <w:r w:rsidRPr="00B6450D">
        <w:rPr>
          <w:rFonts w:hint="cs"/>
          <w:i/>
          <w:sz w:val="23"/>
          <w:szCs w:val="23"/>
          <w:rtl/>
        </w:rPr>
        <w:t>بر حسب پارامترهای مدل اَنگ و پیازسی است. در این صورت خواهیم داشت</w:t>
      </w:r>
    </w:p>
    <w:p w14:paraId="630C06B1" w14:textId="77777777" w:rsidR="00556C10" w:rsidRPr="00B6450D" w:rsidRDefault="00556C10" w:rsidP="00556C10">
      <w:pPr>
        <w:bidi w:val="0"/>
        <w:spacing w:line="216" w:lineRule="auto"/>
        <w:rPr>
          <w:i/>
          <w:sz w:val="23"/>
          <w:szCs w:val="23"/>
        </w:rPr>
      </w:pPr>
      <w:r w:rsidRPr="00B6450D">
        <w:rPr>
          <w:position w:val="-22"/>
        </w:rPr>
        <w:object w:dxaOrig="4060" w:dyaOrig="560" w14:anchorId="3F319F80">
          <v:shape id="_x0000_i5565" type="#_x0000_t75" style="width:203.3pt;height:27.85pt" o:ole="">
            <v:imagedata r:id="rId9137" o:title=""/>
          </v:shape>
          <o:OLEObject Type="Embed" ProgID="Equation.DSMT4" ShapeID="_x0000_i5565" DrawAspect="Content" ObjectID="_1791379509" r:id="rId9138"/>
        </w:object>
      </w:r>
    </w:p>
    <w:p w14:paraId="5F699961" w14:textId="77777777" w:rsidR="00556C10" w:rsidRPr="00B6450D" w:rsidRDefault="00556C10" w:rsidP="00556C10">
      <w:pPr>
        <w:bidi w:val="0"/>
        <w:spacing w:line="216" w:lineRule="auto"/>
        <w:rPr>
          <w:sz w:val="23"/>
          <w:szCs w:val="23"/>
        </w:rPr>
      </w:pPr>
      <w:r w:rsidRPr="00B6450D">
        <w:rPr>
          <w:position w:val="-52"/>
        </w:rPr>
        <w:object w:dxaOrig="4740" w:dyaOrig="1140" w14:anchorId="6DC0C558">
          <v:shape id="_x0000_i5566" type="#_x0000_t75" style="width:236.55pt;height:57.5pt" o:ole="">
            <v:imagedata r:id="rId9139" o:title=""/>
          </v:shape>
          <o:OLEObject Type="Embed" ProgID="Equation.DSMT4" ShapeID="_x0000_i5566" DrawAspect="Content" ObjectID="_1791379510" r:id="rId9140"/>
        </w:object>
      </w:r>
    </w:p>
    <w:p w14:paraId="712DF959" w14:textId="77777777" w:rsidR="00556C10" w:rsidRPr="00B6450D" w:rsidRDefault="00556C10" w:rsidP="00556C10">
      <w:pPr>
        <w:bidi w:val="0"/>
        <w:spacing w:line="216" w:lineRule="auto"/>
        <w:rPr>
          <w:sz w:val="23"/>
          <w:szCs w:val="23"/>
        </w:rPr>
      </w:pPr>
      <w:r w:rsidRPr="00B6450D">
        <w:rPr>
          <w:position w:val="-22"/>
        </w:rPr>
        <w:object w:dxaOrig="6600" w:dyaOrig="560" w14:anchorId="175FA4A0">
          <v:shape id="_x0000_i5567" type="#_x0000_t75" style="width:329.75pt;height:27.85pt" o:ole="">
            <v:imagedata r:id="rId9141" o:title=""/>
          </v:shape>
          <o:OLEObject Type="Embed" ProgID="Equation.DSMT4" ShapeID="_x0000_i5567" DrawAspect="Content" ObjectID="_1791379511" r:id="rId9142"/>
        </w:object>
      </w:r>
    </w:p>
    <w:p w14:paraId="0BC3C6BE" w14:textId="77777777" w:rsidR="00556C10" w:rsidRPr="00B6450D" w:rsidRDefault="00556C10" w:rsidP="00556C10">
      <w:pPr>
        <w:spacing w:line="216" w:lineRule="auto"/>
        <w:rPr>
          <w:i/>
          <w:sz w:val="23"/>
          <w:szCs w:val="23"/>
          <w:rtl/>
        </w:rPr>
      </w:pPr>
      <w:r w:rsidRPr="00B6450D">
        <w:rPr>
          <w:rFonts w:hint="cs"/>
          <w:i/>
          <w:sz w:val="23"/>
          <w:szCs w:val="23"/>
          <w:rtl/>
        </w:rPr>
        <w:t>بنابراین</w:t>
      </w:r>
    </w:p>
    <w:p w14:paraId="70AC20CA" w14:textId="77777777" w:rsidR="00556C10" w:rsidRPr="00B6450D" w:rsidRDefault="00556C10" w:rsidP="00556C10">
      <w:pPr>
        <w:bidi w:val="0"/>
        <w:spacing w:line="216" w:lineRule="auto"/>
        <w:rPr>
          <w:i/>
          <w:sz w:val="23"/>
          <w:szCs w:val="23"/>
        </w:rPr>
      </w:pPr>
      <w:r w:rsidRPr="00B6450D">
        <w:rPr>
          <w:position w:val="-22"/>
        </w:rPr>
        <w:object w:dxaOrig="4459" w:dyaOrig="560" w14:anchorId="4B3B5814">
          <v:shape id="_x0000_i5568" type="#_x0000_t75" style="width:222.65pt;height:27.85pt" o:ole="">
            <v:imagedata r:id="rId9143" o:title=""/>
          </v:shape>
          <o:OLEObject Type="Embed" ProgID="Equation.DSMT4" ShapeID="_x0000_i5568" DrawAspect="Content" ObjectID="_1791379512" r:id="rId9144"/>
        </w:object>
      </w:r>
    </w:p>
    <w:p w14:paraId="1672E750" w14:textId="77777777" w:rsidR="00556C10" w:rsidRPr="00B6450D" w:rsidRDefault="00556C10" w:rsidP="00556C10">
      <w:pPr>
        <w:bidi w:val="0"/>
        <w:spacing w:line="216" w:lineRule="auto"/>
        <w:rPr>
          <w:i/>
          <w:sz w:val="23"/>
          <w:szCs w:val="23"/>
        </w:rPr>
      </w:pPr>
      <w:r w:rsidRPr="00B6450D">
        <w:rPr>
          <w:position w:val="-22"/>
        </w:rPr>
        <w:object w:dxaOrig="3820" w:dyaOrig="560" w14:anchorId="3EAEDBD2">
          <v:shape id="_x0000_i5569" type="#_x0000_t75" style="width:191.2pt;height:27.85pt" o:ole="">
            <v:imagedata r:id="rId9145" o:title=""/>
          </v:shape>
          <o:OLEObject Type="Embed" ProgID="Equation.DSMT4" ShapeID="_x0000_i5569" DrawAspect="Content" ObjectID="_1791379513" r:id="rId9146"/>
        </w:object>
      </w:r>
    </w:p>
    <w:p w14:paraId="51209A57" w14:textId="77777777" w:rsidR="00556C10" w:rsidRPr="00B6450D" w:rsidRDefault="00556C10" w:rsidP="00556C10">
      <w:pPr>
        <w:spacing w:line="216" w:lineRule="auto"/>
        <w:rPr>
          <w:i/>
          <w:sz w:val="23"/>
          <w:szCs w:val="23"/>
          <w:rtl/>
        </w:rPr>
      </w:pPr>
      <w:r w:rsidRPr="00B6450D">
        <w:rPr>
          <w:rFonts w:hint="cs"/>
          <w:i/>
          <w:sz w:val="23"/>
          <w:szCs w:val="23"/>
          <w:rtl/>
        </w:rPr>
        <w:t xml:space="preserve">باید توجه داشت که </w:t>
      </w:r>
      <w:r w:rsidRPr="00B6450D">
        <w:rPr>
          <w:position w:val="-10"/>
        </w:rPr>
        <w:object w:dxaOrig="1660" w:dyaOrig="320" w14:anchorId="5533D7FC">
          <v:shape id="_x0000_i5570" type="#_x0000_t75" style="width:82.9pt;height:15.75pt" o:ole="">
            <v:imagedata r:id="rId9147" o:title=""/>
          </v:shape>
          <o:OLEObject Type="Embed" ProgID="Equation.DSMT4" ShapeID="_x0000_i5570" DrawAspect="Content" ObjectID="_1791379514" r:id="rId9148"/>
        </w:object>
      </w:r>
      <w:r w:rsidRPr="00B6450D">
        <w:rPr>
          <w:rFonts w:hint="cs"/>
          <w:i/>
          <w:sz w:val="23"/>
          <w:szCs w:val="23"/>
          <w:rtl/>
        </w:rPr>
        <w:t>. لذا پاداش ریسک برابر است با</w:t>
      </w:r>
    </w:p>
    <w:p w14:paraId="6ACDD0DF" w14:textId="77777777" w:rsidR="00556C10" w:rsidRPr="00B6450D" w:rsidRDefault="00556C10" w:rsidP="00556C10">
      <w:pPr>
        <w:bidi w:val="0"/>
        <w:spacing w:line="216" w:lineRule="auto"/>
        <w:rPr>
          <w:i/>
          <w:sz w:val="23"/>
          <w:szCs w:val="23"/>
          <w:rtl/>
        </w:rPr>
      </w:pPr>
      <w:r w:rsidRPr="00B6450D">
        <w:rPr>
          <w:position w:val="-14"/>
        </w:rPr>
        <w:object w:dxaOrig="4560" w:dyaOrig="380" w14:anchorId="40F1D070">
          <v:shape id="_x0000_i5571" type="#_x0000_t75" style="width:227.5pt;height:19.35pt" o:ole="">
            <v:imagedata r:id="rId9149" o:title=""/>
          </v:shape>
          <o:OLEObject Type="Embed" ProgID="Equation.DSMT4" ShapeID="_x0000_i5571" DrawAspect="Content" ObjectID="_1791379515" r:id="rId9150"/>
        </w:object>
      </w:r>
    </w:p>
    <w:p w14:paraId="74D2EFF9" w14:textId="77777777" w:rsidR="00556C10" w:rsidRPr="00B6450D" w:rsidRDefault="00556C10" w:rsidP="00556C10">
      <w:pPr>
        <w:spacing w:line="216" w:lineRule="auto"/>
        <w:rPr>
          <w:i/>
          <w:sz w:val="23"/>
          <w:szCs w:val="23"/>
          <w:rtl/>
        </w:rPr>
      </w:pPr>
      <w:r w:rsidRPr="00B6450D">
        <w:rPr>
          <w:rFonts w:hint="cs"/>
          <w:i/>
          <w:sz w:val="23"/>
          <w:szCs w:val="23"/>
          <w:rtl/>
        </w:rPr>
        <w:t>پاداش ریسک تابع خطی از عوامل قابل مشاهده و غیرقابل مشاهده با ضرایب آن از طریق</w:t>
      </w:r>
      <w:r w:rsidRPr="00B6450D">
        <w:rPr>
          <w:position w:val="-10"/>
        </w:rPr>
        <w:object w:dxaOrig="440" w:dyaOrig="320" w14:anchorId="17D63620">
          <v:shape id="_x0000_i5572" type="#_x0000_t75" style="width:21.8pt;height:15.75pt" o:ole="">
            <v:imagedata r:id="rId9151" o:title=""/>
          </v:shape>
          <o:OLEObject Type="Embed" ProgID="Equation.DSMT4" ShapeID="_x0000_i5572" DrawAspect="Content" ObjectID="_1791379516" r:id="rId9152"/>
        </w:object>
      </w:r>
      <w:r w:rsidRPr="00B6450D">
        <w:rPr>
          <w:rFonts w:hint="cs"/>
          <w:i/>
          <w:sz w:val="23"/>
          <w:szCs w:val="23"/>
          <w:rtl/>
        </w:rPr>
        <w:t xml:space="preserve"> به </w:t>
      </w:r>
      <w:r w:rsidRPr="00B6450D">
        <w:rPr>
          <w:position w:val="-6"/>
        </w:rPr>
        <w:object w:dxaOrig="200" w:dyaOrig="200" w14:anchorId="0FE73083">
          <v:shape id="_x0000_i5573" type="#_x0000_t75" style="width:10.3pt;height:10.3pt" o:ole="">
            <v:imagedata r:id="rId9153" o:title=""/>
          </v:shape>
          <o:OLEObject Type="Embed" ProgID="Equation.DSMT4" ShapeID="_x0000_i5573" DrawAspect="Content" ObjectID="_1791379517" r:id="rId9154"/>
        </w:object>
      </w:r>
      <w:r w:rsidRPr="00B6450D">
        <w:rPr>
          <w:rFonts w:hint="cs"/>
          <w:i/>
          <w:sz w:val="23"/>
          <w:szCs w:val="23"/>
          <w:rtl/>
        </w:rPr>
        <w:t>، یا زمان سررسید وابسته است. بدلیل وجود عوامل اقتصاد کلان مابه</w:t>
      </w:r>
      <w:r w:rsidRPr="00B6450D">
        <w:rPr>
          <w:i/>
          <w:sz w:val="23"/>
          <w:szCs w:val="23"/>
          <w:rtl/>
        </w:rPr>
        <w:softHyphen/>
      </w:r>
      <w:r w:rsidRPr="00B6450D">
        <w:rPr>
          <w:rFonts w:hint="cs"/>
          <w:i/>
          <w:sz w:val="23"/>
          <w:szCs w:val="23"/>
          <w:rtl/>
        </w:rPr>
        <w:t>التفاوت زمانی را نمی</w:t>
      </w:r>
      <w:r w:rsidRPr="00B6450D">
        <w:rPr>
          <w:i/>
          <w:sz w:val="23"/>
          <w:szCs w:val="23"/>
          <w:rtl/>
        </w:rPr>
        <w:softHyphen/>
      </w:r>
      <w:r w:rsidRPr="00B6450D">
        <w:rPr>
          <w:rFonts w:hint="cs"/>
          <w:i/>
          <w:sz w:val="23"/>
          <w:szCs w:val="23"/>
          <w:rtl/>
        </w:rPr>
        <w:t>توان فقط برمبنای تابعی از بازده تصریح کرد، بلکه برخلاف مدل واسیک با تنها عوامل نهفته، در طی زمان تغییر می‌کند.</w:t>
      </w:r>
    </w:p>
    <w:p w14:paraId="5B4D1220" w14:textId="77777777" w:rsidR="00556C10" w:rsidRPr="00B6450D" w:rsidRDefault="00556C10" w:rsidP="00556C10">
      <w:pPr>
        <w:spacing w:line="216" w:lineRule="auto"/>
        <w:rPr>
          <w:i/>
          <w:sz w:val="23"/>
          <w:szCs w:val="23"/>
          <w:rtl/>
        </w:rPr>
      </w:pPr>
      <w:r w:rsidRPr="00B6450D">
        <w:rPr>
          <w:rFonts w:hint="cs"/>
          <w:i/>
          <w:sz w:val="23"/>
          <w:szCs w:val="23"/>
          <w:rtl/>
        </w:rPr>
        <w:t>مهمترین نتایج تجربی اَنگ و پیاتزسی برای ايالات متحده و برای دوره‌ی زمانی ۱۹۵۲-۲۰۰۰ آن است که نرخ تورم عامل غالب اقتصاد کلان برای توضیح سهم واریانس‌های پیش</w:t>
      </w:r>
      <w:r w:rsidRPr="00B6450D">
        <w:rPr>
          <w:i/>
          <w:sz w:val="23"/>
          <w:szCs w:val="23"/>
          <w:rtl/>
        </w:rPr>
        <w:softHyphen/>
      </w:r>
      <w:r w:rsidRPr="00B6450D">
        <w:rPr>
          <w:rFonts w:hint="cs"/>
          <w:i/>
          <w:sz w:val="23"/>
          <w:szCs w:val="23"/>
          <w:rtl/>
        </w:rPr>
        <w:t>بینی بازده</w:t>
      </w:r>
      <w:r w:rsidRPr="00B6450D">
        <w:rPr>
          <w:i/>
          <w:sz w:val="23"/>
          <w:szCs w:val="23"/>
          <w:rtl/>
        </w:rPr>
        <w:softHyphen/>
      </w:r>
      <w:r w:rsidRPr="00B6450D">
        <w:rPr>
          <w:rFonts w:hint="cs"/>
          <w:i/>
          <w:sz w:val="23"/>
          <w:szCs w:val="23"/>
          <w:rtl/>
        </w:rPr>
        <w:t>هاست. این سهم با افق پیش</w:t>
      </w:r>
      <w:r w:rsidRPr="00B6450D">
        <w:rPr>
          <w:i/>
          <w:sz w:val="23"/>
          <w:szCs w:val="23"/>
          <w:rtl/>
        </w:rPr>
        <w:softHyphen/>
      </w:r>
      <w:r w:rsidRPr="00B6450D">
        <w:rPr>
          <w:rFonts w:hint="cs"/>
          <w:i/>
          <w:sz w:val="23"/>
          <w:szCs w:val="23"/>
          <w:rtl/>
        </w:rPr>
        <w:t>بینی و زمان سررسید تغییر می‌کند. برای کسانی که دارایی را خریده</w:t>
      </w:r>
      <w:r w:rsidRPr="00B6450D">
        <w:rPr>
          <w:i/>
          <w:sz w:val="23"/>
          <w:szCs w:val="23"/>
          <w:rtl/>
        </w:rPr>
        <w:softHyphen/>
      </w:r>
      <w:r w:rsidRPr="00B6450D">
        <w:rPr>
          <w:rFonts w:hint="cs"/>
          <w:i/>
          <w:sz w:val="23"/>
          <w:szCs w:val="23"/>
          <w:rtl/>
        </w:rPr>
        <w:t>اند این توضیح کمتر است، بطوری</w:t>
      </w:r>
      <w:r w:rsidRPr="00B6450D">
        <w:rPr>
          <w:i/>
          <w:sz w:val="23"/>
          <w:szCs w:val="23"/>
          <w:rtl/>
        </w:rPr>
        <w:softHyphen/>
      </w:r>
      <w:r w:rsidRPr="00B6450D">
        <w:rPr>
          <w:rFonts w:hint="cs"/>
          <w:i/>
          <w:sz w:val="23"/>
          <w:szCs w:val="23"/>
          <w:rtl/>
        </w:rPr>
        <w:t>که برای نرخ</w:t>
      </w:r>
      <w:r w:rsidRPr="00B6450D">
        <w:rPr>
          <w:i/>
          <w:sz w:val="23"/>
          <w:szCs w:val="23"/>
          <w:rtl/>
        </w:rPr>
        <w:softHyphen/>
      </w:r>
      <w:r w:rsidRPr="00B6450D">
        <w:rPr>
          <w:rFonts w:hint="cs"/>
          <w:i/>
          <w:sz w:val="23"/>
          <w:szCs w:val="23"/>
          <w:rtl/>
        </w:rPr>
        <w:t>های کوتاه</w:t>
      </w:r>
      <w:r w:rsidRPr="00B6450D">
        <w:rPr>
          <w:i/>
          <w:sz w:val="23"/>
          <w:szCs w:val="23"/>
          <w:rtl/>
        </w:rPr>
        <w:softHyphen/>
      </w:r>
      <w:r w:rsidRPr="00B6450D">
        <w:rPr>
          <w:rFonts w:hint="cs"/>
          <w:i/>
          <w:sz w:val="23"/>
          <w:szCs w:val="23"/>
          <w:rtl/>
        </w:rPr>
        <w:t>مدت در افق زمانی شصت ماهه ۸۷درصد را توضیح می</w:t>
      </w:r>
      <w:r w:rsidRPr="00B6450D">
        <w:rPr>
          <w:i/>
          <w:sz w:val="23"/>
          <w:szCs w:val="23"/>
          <w:rtl/>
        </w:rPr>
        <w:softHyphen/>
      </w:r>
      <w:r w:rsidRPr="00B6450D">
        <w:rPr>
          <w:rFonts w:hint="cs"/>
          <w:i/>
          <w:sz w:val="23"/>
          <w:szCs w:val="23"/>
          <w:rtl/>
        </w:rPr>
        <w:t>دهد و با سررسیدهای میان</w:t>
      </w:r>
      <w:r w:rsidRPr="00B6450D">
        <w:rPr>
          <w:i/>
          <w:sz w:val="23"/>
          <w:szCs w:val="23"/>
          <w:rtl/>
        </w:rPr>
        <w:softHyphen/>
      </w:r>
      <w:r w:rsidRPr="00B6450D">
        <w:rPr>
          <w:rFonts w:hint="cs"/>
          <w:i/>
          <w:sz w:val="23"/>
          <w:szCs w:val="23"/>
          <w:rtl/>
        </w:rPr>
        <w:t>مدت توضیح به ۷۱درصد می</w:t>
      </w:r>
      <w:r w:rsidRPr="00B6450D">
        <w:rPr>
          <w:i/>
          <w:sz w:val="23"/>
          <w:szCs w:val="23"/>
          <w:rtl/>
        </w:rPr>
        <w:softHyphen/>
      </w:r>
      <w:r w:rsidRPr="00B6450D">
        <w:rPr>
          <w:rFonts w:hint="cs"/>
          <w:i/>
          <w:sz w:val="23"/>
          <w:szCs w:val="23"/>
          <w:rtl/>
        </w:rPr>
        <w:t>رسد. اعداد متناظر برای افق زمانی دوازده ماهه ۵۷ و ۵۲ درصد می‌باشد و برای افق زمانی یک ماهه توضیح کم وجود دارد. بر اساس مطالعات اَنگ و پیاتزسی دو عامل نهفته، یعنی، یک سطح اثر که مبین انتقال منحنی بازدهی بخاطر تغییر در نرخ کوتاه‌مدت است، و همچنین عامل خمیدگی که بوسیله‌ی تفاوت در فاصله‌ی بین نرخ بلند‌مدت و میان‌مدت و بین نرخ میان‌مدت و کوتاه‌مدت وجود دارد، معنی دارند.</w:t>
      </w:r>
    </w:p>
    <w:p w14:paraId="36BD3A68" w14:textId="77777777" w:rsidR="00556C10" w:rsidRPr="00B6450D" w:rsidRDefault="00556C10" w:rsidP="00556C10">
      <w:pPr>
        <w:spacing w:line="216" w:lineRule="auto"/>
        <w:rPr>
          <w:i/>
          <w:sz w:val="23"/>
          <w:szCs w:val="23"/>
          <w:rtl/>
        </w:rPr>
      </w:pPr>
      <w:r w:rsidRPr="00B6450D">
        <w:rPr>
          <w:rFonts w:hint="cs"/>
          <w:i/>
          <w:sz w:val="23"/>
          <w:szCs w:val="23"/>
          <w:rtl/>
        </w:rPr>
        <w:t>شواهد مطالعات ویکنزو بالفوسیا با استفاده از مدل تعادل عمومی و مدل بسط یافته‌ی واسیک توسط اَنگ و پیاتزسی مبین آن است که منابع ریسک اقتصاد کلان عنصر مهمی از مابه</w:t>
      </w:r>
      <w:r w:rsidRPr="00B6450D">
        <w:rPr>
          <w:i/>
          <w:sz w:val="23"/>
          <w:szCs w:val="23"/>
          <w:rtl/>
        </w:rPr>
        <w:softHyphen/>
      </w:r>
      <w:r w:rsidRPr="00B6450D">
        <w:rPr>
          <w:rFonts w:hint="cs"/>
          <w:i/>
          <w:sz w:val="23"/>
          <w:szCs w:val="23"/>
          <w:rtl/>
        </w:rPr>
        <w:t>التفاوت زمانی است. آن</w:t>
      </w:r>
      <w:r w:rsidRPr="00B6450D">
        <w:rPr>
          <w:i/>
          <w:sz w:val="23"/>
          <w:szCs w:val="23"/>
          <w:rtl/>
        </w:rPr>
        <w:softHyphen/>
      </w:r>
      <w:r w:rsidRPr="00B6450D">
        <w:rPr>
          <w:rFonts w:hint="cs"/>
          <w:i/>
          <w:sz w:val="23"/>
          <w:szCs w:val="23"/>
          <w:rtl/>
        </w:rPr>
        <w:t xml:space="preserve">ها نشان دادند که تورم منبع اصلی ریسک اقتصاد کلان است که بر قیمت‌های اوراق قرضه تأثیر می‌گذارد. فعالیت حقیقی اقتصاد نیز عامل با معنی است ولی عمدتاً بر قیمت‌های اوراق قرضه‌ی با </w:t>
      </w:r>
      <w:r w:rsidRPr="00B6450D">
        <w:rPr>
          <w:rFonts w:hint="cs"/>
          <w:i/>
          <w:sz w:val="23"/>
          <w:szCs w:val="23"/>
          <w:rtl/>
        </w:rPr>
        <w:lastRenderedPageBreak/>
        <w:t>سررسید کوتاه‌مدت تأثیر می‌گذارد. به عبارت دیگر، چرخه‌ی تجاری قیمت اوراق قرضه‌های با سررسید کوتاه و میان‌مدت را متأثر می‌سازد. زیرا در افق زمانی بلند‌مدت امکان پیش</w:t>
      </w:r>
      <w:r w:rsidRPr="00B6450D">
        <w:rPr>
          <w:i/>
          <w:sz w:val="23"/>
          <w:szCs w:val="23"/>
          <w:rtl/>
        </w:rPr>
        <w:softHyphen/>
      </w:r>
      <w:r w:rsidRPr="00B6450D">
        <w:rPr>
          <w:rFonts w:hint="cs"/>
          <w:i/>
          <w:sz w:val="23"/>
          <w:szCs w:val="23"/>
          <w:rtl/>
        </w:rPr>
        <w:t>بینی فعالیت حقیقی اقتصاد به مراتب مشکل</w:t>
      </w:r>
      <w:r w:rsidRPr="00B6450D">
        <w:rPr>
          <w:i/>
          <w:sz w:val="23"/>
          <w:szCs w:val="23"/>
          <w:rtl/>
        </w:rPr>
        <w:softHyphen/>
      </w:r>
      <w:r w:rsidRPr="00B6450D">
        <w:rPr>
          <w:rFonts w:hint="cs"/>
          <w:i/>
          <w:sz w:val="23"/>
          <w:szCs w:val="23"/>
          <w:rtl/>
        </w:rPr>
        <w:t>تر از تورم است و همچنین احتمال بازگشت فعالیت حقیقی به میانگین به مراتب بیشتر از تورم است.</w:t>
      </w:r>
    </w:p>
    <w:p w14:paraId="14766706" w14:textId="77777777" w:rsidR="00556C10" w:rsidRPr="00B6450D" w:rsidRDefault="00556C10" w:rsidP="00556C10">
      <w:pPr>
        <w:spacing w:line="216" w:lineRule="auto"/>
        <w:rPr>
          <w:i/>
          <w:sz w:val="23"/>
          <w:szCs w:val="23"/>
          <w:rtl/>
        </w:rPr>
      </w:pPr>
    </w:p>
    <w:p w14:paraId="1D5B1059" w14:textId="77777777" w:rsidR="00556C10" w:rsidRPr="00B6450D" w:rsidRDefault="00556C10" w:rsidP="00556C10">
      <w:pPr>
        <w:pStyle w:val="Heading1"/>
        <w:spacing w:before="0" w:line="216" w:lineRule="auto"/>
        <w:rPr>
          <w:rFonts w:ascii="Times New Roman" w:hAnsi="Times New Roman" w:cs="B Nazanin"/>
          <w:b w:val="0"/>
          <w:i/>
          <w:sz w:val="23"/>
          <w:szCs w:val="23"/>
          <w:rtl/>
        </w:rPr>
      </w:pPr>
      <w:r w:rsidRPr="00B6450D">
        <w:rPr>
          <w:rFonts w:ascii="Times New Roman" w:hAnsi="Times New Roman" w:cs="B Nazanin" w:hint="cs"/>
          <w:b w:val="0"/>
          <w:i/>
          <w:sz w:val="23"/>
          <w:szCs w:val="23"/>
          <w:rtl/>
        </w:rPr>
        <w:t>۱۲. ۳. ۴ برآورد تورم آتی از منحنی بازده</w:t>
      </w:r>
    </w:p>
    <w:p w14:paraId="498EDE87" w14:textId="77777777" w:rsidR="00556C10" w:rsidRPr="00B6450D" w:rsidRDefault="00556C10" w:rsidP="00556C10">
      <w:pPr>
        <w:spacing w:line="216" w:lineRule="auto"/>
        <w:rPr>
          <w:i/>
          <w:sz w:val="23"/>
          <w:szCs w:val="23"/>
          <w:rtl/>
        </w:rPr>
      </w:pPr>
      <w:r w:rsidRPr="00B6450D">
        <w:rPr>
          <w:rFonts w:hint="cs"/>
          <w:i/>
          <w:sz w:val="23"/>
          <w:szCs w:val="23"/>
          <w:rtl/>
        </w:rPr>
        <w:t>در فرمول</w:t>
      </w:r>
      <w:r w:rsidRPr="00B6450D">
        <w:rPr>
          <w:i/>
          <w:sz w:val="23"/>
          <w:szCs w:val="23"/>
          <w:rtl/>
        </w:rPr>
        <w:softHyphen/>
      </w:r>
      <w:r w:rsidRPr="00B6450D">
        <w:rPr>
          <w:rFonts w:hint="cs"/>
          <w:i/>
          <w:sz w:val="23"/>
          <w:szCs w:val="23"/>
          <w:rtl/>
        </w:rPr>
        <w:t>بندی سیاست‌های پولی، بانک‌های مرکزی برآورد تورم آتی را از منحنی بازده استخراج می‌کنند. این روش مستلزم فرض نرخ‌های بهره‌ی حقیقی آتی یا وجود منحنی بازده برای بازده</w:t>
      </w:r>
      <w:r w:rsidRPr="00B6450D">
        <w:rPr>
          <w:i/>
          <w:sz w:val="23"/>
          <w:szCs w:val="23"/>
          <w:rtl/>
        </w:rPr>
        <w:softHyphen/>
      </w:r>
      <w:r w:rsidRPr="00B6450D">
        <w:rPr>
          <w:rFonts w:hint="cs"/>
          <w:i/>
          <w:sz w:val="23"/>
          <w:szCs w:val="23"/>
          <w:rtl/>
        </w:rPr>
        <w:t>های حقیقی ( یعنی بازده‌های مبتنی بر شاخص</w:t>
      </w:r>
      <w:r w:rsidRPr="00B6450D">
        <w:rPr>
          <w:i/>
          <w:sz w:val="23"/>
          <w:szCs w:val="23"/>
        </w:rPr>
        <w:t>(</w:t>
      </w:r>
      <w:r w:rsidRPr="00B6450D">
        <w:rPr>
          <w:rFonts w:hint="cs"/>
          <w:i/>
          <w:sz w:val="23"/>
          <w:szCs w:val="23"/>
          <w:rtl/>
        </w:rPr>
        <w:t xml:space="preserve"> است.</w:t>
      </w:r>
    </w:p>
    <w:p w14:paraId="08FBC3BA" w14:textId="77777777" w:rsidR="00556C10" w:rsidRPr="00B6450D" w:rsidRDefault="00556C10" w:rsidP="00556C10">
      <w:pPr>
        <w:spacing w:line="216" w:lineRule="auto"/>
        <w:rPr>
          <w:i/>
          <w:sz w:val="23"/>
          <w:szCs w:val="23"/>
          <w:rtl/>
        </w:rPr>
      </w:pPr>
      <w:r w:rsidRPr="00B6450D">
        <w:rPr>
          <w:rFonts w:hint="cs"/>
          <w:i/>
          <w:sz w:val="23"/>
          <w:szCs w:val="23"/>
          <w:rtl/>
        </w:rPr>
        <w:t>از معادله‌ی (۱۲. ۱۸) متوسط نرخ تورم</w:t>
      </w:r>
      <w:r w:rsidRPr="00B6450D">
        <w:rPr>
          <w:position w:val="-6"/>
        </w:rPr>
        <w:object w:dxaOrig="200" w:dyaOrig="200" w14:anchorId="333CBE9F">
          <v:shape id="_x0000_i5574" type="#_x0000_t75" style="width:10.3pt;height:10.3pt" o:ole="">
            <v:imagedata r:id="rId9155" o:title=""/>
          </v:shape>
          <o:OLEObject Type="Embed" ProgID="Equation.DSMT4" ShapeID="_x0000_i5574" DrawAspect="Content" ObjectID="_1791379518" r:id="rId9156"/>
        </w:object>
      </w:r>
      <w:r w:rsidRPr="00B6450D">
        <w:rPr>
          <w:i/>
          <w:sz w:val="23"/>
          <w:szCs w:val="23"/>
        </w:rPr>
        <w:t xml:space="preserve"> </w:t>
      </w:r>
      <w:r w:rsidRPr="00B6450D">
        <w:rPr>
          <w:rFonts w:hint="cs"/>
          <w:i/>
          <w:sz w:val="23"/>
          <w:szCs w:val="23"/>
          <w:rtl/>
        </w:rPr>
        <w:t>دوره‌ی آتی برابر است با</w:t>
      </w:r>
      <w:r w:rsidRPr="00025957">
        <w:rPr>
          <w:position w:val="-4"/>
        </w:rPr>
        <w:object w:dxaOrig="180" w:dyaOrig="260" w14:anchorId="3C69B9F8">
          <v:shape id="_x0000_i5575" type="#_x0000_t75" style="width:9.1pt;height:13.3pt" o:ole="">
            <v:imagedata r:id="rId1079" o:title=""/>
          </v:shape>
          <o:OLEObject Type="Embed" ProgID="Equation.DSMT4" ShapeID="_x0000_i5575" DrawAspect="Content" ObjectID="_1791379519" r:id="rId9157"/>
        </w:object>
      </w:r>
    </w:p>
    <w:p w14:paraId="3D907283" w14:textId="77777777" w:rsidR="00556C10" w:rsidRPr="00B6450D" w:rsidRDefault="00556C10" w:rsidP="00556C10">
      <w:pPr>
        <w:bidi w:val="0"/>
        <w:spacing w:line="216" w:lineRule="auto"/>
        <w:rPr>
          <w:i/>
          <w:sz w:val="23"/>
          <w:szCs w:val="23"/>
          <w:rtl/>
        </w:rPr>
      </w:pPr>
      <w:r w:rsidRPr="00B6450D">
        <w:rPr>
          <w:position w:val="-26"/>
        </w:rPr>
        <w:object w:dxaOrig="3620" w:dyaOrig="620" w14:anchorId="3F1041A0">
          <v:shape id="_x0000_i5576" type="#_x0000_t75" style="width:181.5pt;height:31.45pt" o:ole="">
            <v:imagedata r:id="rId9158" o:title=""/>
          </v:shape>
          <o:OLEObject Type="Embed" ProgID="Equation.DSMT4" ShapeID="_x0000_i5576" DrawAspect="Content" ObjectID="_1791379520" r:id="rId9159"/>
        </w:object>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Pr>
          <w:i/>
          <w:sz w:val="23"/>
          <w:szCs w:val="23"/>
          <w:rtl/>
        </w:rPr>
        <w:tab/>
      </w:r>
      <w:r w:rsidRPr="00B6450D">
        <w:rPr>
          <w:i/>
          <w:sz w:val="23"/>
          <w:szCs w:val="23"/>
        </w:rPr>
        <w:tab/>
        <w:t xml:space="preserve"> </w:t>
      </w:r>
      <w:r w:rsidRPr="00B6450D">
        <w:rPr>
          <w:i/>
          <w:sz w:val="23"/>
          <w:szCs w:val="23"/>
          <w:rtl/>
        </w:rPr>
        <w:tab/>
      </w:r>
      <w:r w:rsidRPr="00B6450D">
        <w:rPr>
          <w:rFonts w:hint="cs"/>
          <w:i/>
          <w:sz w:val="23"/>
          <w:szCs w:val="23"/>
          <w:rtl/>
        </w:rPr>
        <w:t>(۱۲. ۳۲)</w:t>
      </w:r>
    </w:p>
    <w:p w14:paraId="6985F16A" w14:textId="77777777" w:rsidR="00556C10" w:rsidRPr="00B6450D" w:rsidRDefault="00556C10" w:rsidP="00556C10">
      <w:pPr>
        <w:spacing w:line="216" w:lineRule="auto"/>
        <w:rPr>
          <w:i/>
          <w:sz w:val="23"/>
          <w:szCs w:val="23"/>
          <w:rtl/>
        </w:rPr>
      </w:pPr>
      <w:r w:rsidRPr="00B6450D">
        <w:rPr>
          <w:rFonts w:hint="cs"/>
          <w:i/>
          <w:sz w:val="23"/>
          <w:szCs w:val="23"/>
          <w:rtl/>
        </w:rPr>
        <w:t>اگر فرض کنیم</w:t>
      </w:r>
      <w:r w:rsidRPr="00B6450D">
        <w:rPr>
          <w:position w:val="-10"/>
        </w:rPr>
        <w:object w:dxaOrig="859" w:dyaOrig="320" w14:anchorId="6DB26B7E">
          <v:shape id="_x0000_i5577" type="#_x0000_t75" style="width:42.95pt;height:15.75pt" o:ole="">
            <v:imagedata r:id="rId9160" o:title=""/>
          </v:shape>
          <o:OLEObject Type="Embed" ProgID="Equation.DSMT4" ShapeID="_x0000_i5577" DrawAspect="Content" ObjectID="_1791379521" r:id="rId9161"/>
        </w:object>
      </w:r>
      <w:r w:rsidRPr="00B6450D">
        <w:rPr>
          <w:rFonts w:hint="cs"/>
          <w:i/>
          <w:sz w:val="23"/>
          <w:szCs w:val="23"/>
          <w:rtl/>
        </w:rPr>
        <w:t xml:space="preserve">برای هر </w:t>
      </w:r>
      <w:r w:rsidRPr="00B6450D">
        <w:rPr>
          <w:position w:val="-6"/>
        </w:rPr>
        <w:object w:dxaOrig="480" w:dyaOrig="260" w14:anchorId="70D2AED7">
          <v:shape id="_x0000_i5578" type="#_x0000_t75" style="width:24.2pt;height:13.3pt" o:ole="">
            <v:imagedata r:id="rId9162" o:title=""/>
          </v:shape>
          <o:OLEObject Type="Embed" ProgID="Equation.DSMT4" ShapeID="_x0000_i5578" DrawAspect="Content" ObjectID="_1791379522" r:id="rId9163"/>
        </w:object>
      </w:r>
      <w:r w:rsidRPr="00B6450D">
        <w:rPr>
          <w:i/>
          <w:sz w:val="23"/>
          <w:szCs w:val="23"/>
        </w:rPr>
        <w:t xml:space="preserve"> </w:t>
      </w:r>
      <w:r w:rsidRPr="00B6450D">
        <w:rPr>
          <w:rFonts w:hint="cs"/>
          <w:i/>
          <w:sz w:val="23"/>
          <w:szCs w:val="23"/>
          <w:rtl/>
        </w:rPr>
        <w:t>و از پاداش ریسک صرفنظر کنیم، ممکن است یک برآورد اولیه از متوسط تورم آتی بدست آوریم که برابر است با</w:t>
      </w:r>
    </w:p>
    <w:p w14:paraId="528B69F1" w14:textId="77777777" w:rsidR="00556C10" w:rsidRPr="00B6450D" w:rsidRDefault="00556C10" w:rsidP="00556C10">
      <w:pPr>
        <w:bidi w:val="0"/>
        <w:spacing w:line="216" w:lineRule="auto"/>
        <w:rPr>
          <w:i/>
          <w:sz w:val="23"/>
          <w:szCs w:val="23"/>
          <w:rtl/>
        </w:rPr>
      </w:pPr>
      <w:r w:rsidRPr="00B6450D">
        <w:rPr>
          <w:position w:val="-26"/>
        </w:rPr>
        <w:object w:dxaOrig="1880" w:dyaOrig="620" w14:anchorId="5D8A67DD">
          <v:shape id="_x0000_i5579" type="#_x0000_t75" style="width:93.8pt;height:31.45pt" o:ole="">
            <v:imagedata r:id="rId9164" o:title=""/>
          </v:shape>
          <o:OLEObject Type="Embed" ProgID="Equation.DSMT4" ShapeID="_x0000_i5579" DrawAspect="Content" ObjectID="_1791379523" r:id="rId9165"/>
        </w:objec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t xml:space="preserve"> </w:t>
      </w:r>
      <w:r w:rsidRPr="00B6450D">
        <w:rPr>
          <w:i/>
          <w:sz w:val="23"/>
          <w:szCs w:val="23"/>
        </w:rPr>
        <w:tab/>
      </w:r>
      <w:r w:rsidRPr="00B6450D">
        <w:rPr>
          <w:i/>
          <w:sz w:val="23"/>
          <w:szCs w:val="23"/>
          <w:rtl/>
        </w:rPr>
        <w:tab/>
      </w:r>
      <w:r w:rsidRPr="00B6450D">
        <w:rPr>
          <w:rFonts w:hint="cs"/>
          <w:i/>
          <w:sz w:val="23"/>
          <w:szCs w:val="23"/>
          <w:rtl/>
        </w:rPr>
        <w:t>(۱۲. ۳۳)</w:t>
      </w:r>
    </w:p>
    <w:p w14:paraId="496C14BF" w14:textId="77777777" w:rsidR="00556C10" w:rsidRPr="00B6450D" w:rsidRDefault="00556C10" w:rsidP="00556C10">
      <w:pPr>
        <w:spacing w:line="216" w:lineRule="auto"/>
        <w:rPr>
          <w:i/>
          <w:sz w:val="23"/>
          <w:szCs w:val="23"/>
          <w:rtl/>
        </w:rPr>
      </w:pPr>
      <w:r w:rsidRPr="00B6450D">
        <w:rPr>
          <w:rFonts w:hint="cs"/>
          <w:i/>
          <w:sz w:val="23"/>
          <w:szCs w:val="23"/>
          <w:rtl/>
        </w:rPr>
        <w:t>به عبارتی دیگر، متوسط تورم آتی در افق‌های زمانی متفاوت از شکل منحنی بازده منهای مقدار ثابت بدست می‌آید. بنابراین، متوسط تورم بر حسب افق زمانی متفاوت خواهد بود. این برآورد ممکن است با تصحیح مابه</w:t>
      </w:r>
      <w:r w:rsidRPr="00B6450D">
        <w:rPr>
          <w:i/>
          <w:sz w:val="23"/>
          <w:szCs w:val="23"/>
          <w:rtl/>
        </w:rPr>
        <w:softHyphen/>
      </w:r>
      <w:r w:rsidRPr="00B6450D">
        <w:rPr>
          <w:rFonts w:hint="cs"/>
          <w:i/>
          <w:sz w:val="23"/>
          <w:szCs w:val="23"/>
          <w:rtl/>
        </w:rPr>
        <w:t>التفاوت زمانی بهبود یابد. اگر شاخص اوراق قرضه نیز وجود داشته باشد ممکن است برآورد بهتری را از تورم بدست آورد. اگر</w:t>
      </w:r>
      <w:r w:rsidRPr="00B6450D">
        <w:rPr>
          <w:position w:val="-12"/>
        </w:rPr>
        <w:object w:dxaOrig="300" w:dyaOrig="340" w14:anchorId="21BF6992">
          <v:shape id="_x0000_i5580" type="#_x0000_t75" style="width:14.5pt;height:16.95pt" o:ole="">
            <v:imagedata r:id="rId9166" o:title=""/>
          </v:shape>
          <o:OLEObject Type="Embed" ProgID="Equation.DSMT4" ShapeID="_x0000_i5580" DrawAspect="Content" ObjectID="_1791379524" r:id="rId9167"/>
        </w:object>
      </w:r>
      <w:r w:rsidRPr="00B6450D">
        <w:rPr>
          <w:i/>
          <w:sz w:val="23"/>
          <w:szCs w:val="23"/>
        </w:rPr>
        <w:t xml:space="preserve"> </w:t>
      </w:r>
      <w:r w:rsidRPr="00B6450D">
        <w:rPr>
          <w:rFonts w:hint="cs"/>
          <w:i/>
          <w:sz w:val="23"/>
          <w:szCs w:val="23"/>
          <w:rtl/>
        </w:rPr>
        <w:t>بازدهی شاخص اوراق قرضه‌ی</w:t>
      </w:r>
      <w:r w:rsidRPr="00B6450D">
        <w:rPr>
          <w:position w:val="-6"/>
        </w:rPr>
        <w:object w:dxaOrig="200" w:dyaOrig="200" w14:anchorId="4741C92D">
          <v:shape id="_x0000_i5581" type="#_x0000_t75" style="width:10.3pt;height:10.3pt" o:ole="">
            <v:imagedata r:id="rId9168" o:title=""/>
          </v:shape>
          <o:OLEObject Type="Embed" ProgID="Equation.DSMT4" ShapeID="_x0000_i5581" DrawAspect="Content" ObjectID="_1791379525" r:id="rId9169"/>
        </w:object>
      </w:r>
      <w:r w:rsidRPr="00B6450D">
        <w:rPr>
          <w:i/>
          <w:sz w:val="23"/>
          <w:szCs w:val="23"/>
        </w:rPr>
        <w:t xml:space="preserve"> </w:t>
      </w:r>
      <w:r w:rsidRPr="00B6450D">
        <w:rPr>
          <w:rFonts w:hint="cs"/>
          <w:i/>
          <w:sz w:val="23"/>
          <w:szCs w:val="23"/>
          <w:rtl/>
        </w:rPr>
        <w:t>دوره</w:t>
      </w:r>
      <w:r w:rsidRPr="00B6450D">
        <w:rPr>
          <w:i/>
          <w:sz w:val="23"/>
          <w:szCs w:val="23"/>
          <w:rtl/>
        </w:rPr>
        <w:softHyphen/>
      </w:r>
      <w:r w:rsidRPr="00B6450D">
        <w:rPr>
          <w:rFonts w:hint="cs"/>
          <w:i/>
          <w:sz w:val="23"/>
          <w:szCs w:val="23"/>
          <w:rtl/>
        </w:rPr>
        <w:t>ای باشد می‌توان نظریه ساختار زمانی حقیقی را در طی خطوط مشابه بازده‌های اسمی بوجود آورد، که برآورد‌های مابه</w:t>
      </w:r>
      <w:r w:rsidRPr="00B6450D">
        <w:rPr>
          <w:i/>
          <w:sz w:val="23"/>
          <w:szCs w:val="23"/>
          <w:rtl/>
        </w:rPr>
        <w:softHyphen/>
      </w:r>
      <w:r w:rsidRPr="00B6450D">
        <w:rPr>
          <w:rFonts w:hint="cs"/>
          <w:i/>
          <w:sz w:val="23"/>
          <w:szCs w:val="23"/>
          <w:rtl/>
        </w:rPr>
        <w:t>التفاوت زمانی حقیقی</w:t>
      </w:r>
      <w:r w:rsidRPr="00B6450D">
        <w:rPr>
          <w:position w:val="-12"/>
        </w:rPr>
        <w:object w:dxaOrig="360" w:dyaOrig="360" w14:anchorId="41CF9399">
          <v:shape id="_x0000_i5582" type="#_x0000_t75" style="width:18.15pt;height:18.15pt" o:ole="">
            <v:imagedata r:id="rId9170" o:title=""/>
          </v:shape>
          <o:OLEObject Type="Embed" ProgID="Equation.DSMT4" ShapeID="_x0000_i5582" DrawAspect="Content" ObjectID="_1791379526" r:id="rId9171"/>
        </w:object>
      </w:r>
      <w:r w:rsidRPr="00B6450D">
        <w:rPr>
          <w:rFonts w:hint="cs"/>
          <w:i/>
          <w:sz w:val="23"/>
          <w:szCs w:val="23"/>
          <w:rtl/>
        </w:rPr>
        <w:t>را ارائه می</w:t>
      </w:r>
      <w:r w:rsidRPr="00B6450D">
        <w:rPr>
          <w:i/>
          <w:sz w:val="23"/>
          <w:szCs w:val="23"/>
          <w:rtl/>
        </w:rPr>
        <w:softHyphen/>
      </w:r>
      <w:r w:rsidRPr="00B6450D">
        <w:rPr>
          <w:rFonts w:hint="cs"/>
          <w:i/>
          <w:sz w:val="23"/>
          <w:szCs w:val="23"/>
          <w:rtl/>
        </w:rPr>
        <w:t>کند. مابه</w:t>
      </w:r>
      <w:r w:rsidRPr="00B6450D">
        <w:rPr>
          <w:i/>
          <w:sz w:val="23"/>
          <w:szCs w:val="23"/>
          <w:rtl/>
        </w:rPr>
        <w:softHyphen/>
      </w:r>
      <w:r w:rsidRPr="00B6450D">
        <w:rPr>
          <w:rFonts w:hint="cs"/>
          <w:i/>
          <w:sz w:val="23"/>
          <w:szCs w:val="23"/>
          <w:rtl/>
        </w:rPr>
        <w:t>التفاوت زمانی اسمی را ممکن است به صورت زیر نوشت</w:t>
      </w:r>
    </w:p>
    <w:p w14:paraId="5264C731" w14:textId="77777777" w:rsidR="00556C10" w:rsidRPr="00B6450D" w:rsidRDefault="00556C10" w:rsidP="00556C10">
      <w:pPr>
        <w:bidi w:val="0"/>
        <w:spacing w:line="216" w:lineRule="auto"/>
        <w:rPr>
          <w:i/>
          <w:sz w:val="23"/>
          <w:szCs w:val="23"/>
          <w:rtl/>
        </w:rPr>
      </w:pPr>
      <w:r w:rsidRPr="00B6450D">
        <w:rPr>
          <w:position w:val="-12"/>
        </w:rPr>
        <w:object w:dxaOrig="1400" w:dyaOrig="360" w14:anchorId="535E1CAA">
          <v:shape id="_x0000_i5583" type="#_x0000_t75" style="width:70.2pt;height:18.15pt" o:ole="">
            <v:imagedata r:id="rId9172" o:title=""/>
          </v:shape>
          <o:OLEObject Type="Embed" ProgID="Equation.DSMT4" ShapeID="_x0000_i5583" DrawAspect="Content" ObjectID="_1791379527" r:id="rId9173"/>
        </w:object>
      </w:r>
    </w:p>
    <w:p w14:paraId="7F3A7A8A" w14:textId="77777777" w:rsidR="00556C10" w:rsidRPr="00B6450D" w:rsidRDefault="00556C10" w:rsidP="00556C10">
      <w:pPr>
        <w:spacing w:line="216" w:lineRule="auto"/>
        <w:rPr>
          <w:i/>
          <w:sz w:val="23"/>
          <w:szCs w:val="23"/>
          <w:rtl/>
        </w:rPr>
      </w:pPr>
      <w:r w:rsidRPr="00B6450D">
        <w:rPr>
          <w:rFonts w:hint="cs"/>
          <w:i/>
          <w:sz w:val="23"/>
          <w:szCs w:val="23"/>
          <w:rtl/>
        </w:rPr>
        <w:t>که درآن</w:t>
      </w:r>
      <w:r w:rsidRPr="00B6450D">
        <w:rPr>
          <w:position w:val="-12"/>
        </w:rPr>
        <w:object w:dxaOrig="360" w:dyaOrig="360" w14:anchorId="5C7E758E">
          <v:shape id="_x0000_i5584" type="#_x0000_t75" style="width:18.15pt;height:18.15pt" o:ole="">
            <v:imagedata r:id="rId9174" o:title=""/>
          </v:shape>
          <o:OLEObject Type="Embed" ProgID="Equation.DSMT4" ShapeID="_x0000_i5584" DrawAspect="Content" ObjectID="_1791379528" r:id="rId9175"/>
        </w:object>
      </w:r>
      <w:r w:rsidRPr="00B6450D">
        <w:rPr>
          <w:rFonts w:hint="cs"/>
          <w:i/>
          <w:sz w:val="23"/>
          <w:szCs w:val="23"/>
          <w:rtl/>
        </w:rPr>
        <w:t xml:space="preserve"> تورم پاداش ریسک می‌باشد. از معادله‌ی (۱۲. ۱۸) ممکن است بازده‌های اسمی و حقیقی را به صورت زیر نوشت</w:t>
      </w:r>
    </w:p>
    <w:p w14:paraId="017BF4E0" w14:textId="77777777" w:rsidR="00556C10" w:rsidRPr="00B6450D" w:rsidRDefault="00556C10" w:rsidP="00556C10">
      <w:pPr>
        <w:bidi w:val="0"/>
        <w:spacing w:line="216" w:lineRule="auto"/>
        <w:rPr>
          <w:i/>
          <w:sz w:val="23"/>
          <w:szCs w:val="23"/>
          <w:rtl/>
        </w:rPr>
      </w:pPr>
      <w:r w:rsidRPr="00B6450D">
        <w:rPr>
          <w:position w:val="-26"/>
        </w:rPr>
        <w:object w:dxaOrig="3879" w:dyaOrig="620" w14:anchorId="7A70B395">
          <v:shape id="_x0000_i5585" type="#_x0000_t75" style="width:193.6pt;height:31.45pt" o:ole="">
            <v:imagedata r:id="rId9176" o:title=""/>
          </v:shape>
          <o:OLEObject Type="Embed" ProgID="Equation.DSMT4" ShapeID="_x0000_i5585" DrawAspect="Content" ObjectID="_1791379529" r:id="rId9177"/>
        </w:object>
      </w:r>
      <w:r w:rsidRPr="00B6450D">
        <w:rPr>
          <w:i/>
          <w:sz w:val="23"/>
          <w:szCs w:val="23"/>
        </w:rPr>
        <w:tab/>
      </w:r>
      <w:r w:rsidRPr="00B6450D">
        <w:rPr>
          <w:i/>
          <w:sz w:val="23"/>
          <w:szCs w:val="23"/>
        </w:rPr>
        <w:tab/>
      </w:r>
      <w:r w:rsidRPr="00B6450D">
        <w:rPr>
          <w:i/>
          <w:sz w:val="23"/>
          <w:szCs w:val="23"/>
        </w:rPr>
        <w:tab/>
      </w:r>
      <w:r w:rsidRPr="00B6450D">
        <w:rPr>
          <w:i/>
          <w:sz w:val="23"/>
          <w:szCs w:val="23"/>
        </w:rPr>
        <w:tab/>
        <w:t xml:space="preserve"> </w:t>
      </w:r>
      <w:r w:rsidRPr="00B6450D">
        <w:rPr>
          <w:i/>
          <w:sz w:val="23"/>
          <w:szCs w:val="23"/>
          <w:rtl/>
        </w:rPr>
        <w:tab/>
      </w:r>
      <w:r>
        <w:rPr>
          <w:i/>
          <w:sz w:val="23"/>
          <w:szCs w:val="23"/>
          <w:rtl/>
        </w:rPr>
        <w:tab/>
      </w:r>
      <w:r>
        <w:rPr>
          <w:i/>
          <w:sz w:val="23"/>
          <w:szCs w:val="23"/>
          <w:rtl/>
        </w:rPr>
        <w:tab/>
      </w:r>
      <w:r w:rsidRPr="00B6450D">
        <w:rPr>
          <w:i/>
          <w:sz w:val="23"/>
          <w:szCs w:val="23"/>
          <w:rtl/>
        </w:rPr>
        <w:tab/>
      </w:r>
      <w:r w:rsidRPr="00B6450D">
        <w:rPr>
          <w:rFonts w:hint="cs"/>
          <w:i/>
          <w:sz w:val="23"/>
          <w:szCs w:val="23"/>
          <w:rtl/>
        </w:rPr>
        <w:t>(۱۲. ۳۴)</w:t>
      </w:r>
    </w:p>
    <w:p w14:paraId="0B6DE8DB" w14:textId="77777777" w:rsidR="00556C10" w:rsidRPr="00B6450D" w:rsidRDefault="00556C10" w:rsidP="00556C10">
      <w:pPr>
        <w:bidi w:val="0"/>
        <w:spacing w:line="216" w:lineRule="auto"/>
        <w:rPr>
          <w:i/>
          <w:sz w:val="23"/>
          <w:szCs w:val="23"/>
          <w:rtl/>
        </w:rPr>
      </w:pPr>
      <w:r w:rsidRPr="00B6450D">
        <w:rPr>
          <w:position w:val="-26"/>
        </w:rPr>
        <w:object w:dxaOrig="2380" w:dyaOrig="620" w14:anchorId="50A643A7">
          <v:shape id="_x0000_i5586" type="#_x0000_t75" style="width:119.2pt;height:31.45pt" o:ole="">
            <v:imagedata r:id="rId9178" o:title=""/>
          </v:shape>
          <o:OLEObject Type="Embed" ProgID="Equation.DSMT4" ShapeID="_x0000_i5586" DrawAspect="Content" ObjectID="_1791379530" r:id="rId9179"/>
        </w:objec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 xml:space="preserve"> </w:t>
      </w:r>
      <w:r w:rsidRPr="00B6450D">
        <w:rPr>
          <w:i/>
          <w:sz w:val="23"/>
          <w:szCs w:val="23"/>
          <w:rtl/>
        </w:rPr>
        <w:tab/>
      </w:r>
      <w:r w:rsidRPr="00B6450D">
        <w:rPr>
          <w:rFonts w:hint="cs"/>
          <w:i/>
          <w:sz w:val="23"/>
          <w:szCs w:val="23"/>
          <w:rtl/>
        </w:rPr>
        <w:t>(۱۲. ۳۵)</w:t>
      </w:r>
    </w:p>
    <w:p w14:paraId="128AC4DF" w14:textId="77777777" w:rsidR="00556C10" w:rsidRPr="00B6450D" w:rsidRDefault="00556C10" w:rsidP="00556C10">
      <w:pPr>
        <w:spacing w:line="216" w:lineRule="auto"/>
        <w:rPr>
          <w:i/>
          <w:sz w:val="23"/>
          <w:szCs w:val="23"/>
          <w:rtl/>
        </w:rPr>
      </w:pPr>
      <w:r w:rsidRPr="00B6450D">
        <w:rPr>
          <w:rFonts w:hint="cs"/>
          <w:i/>
          <w:sz w:val="23"/>
          <w:szCs w:val="23"/>
          <w:rtl/>
        </w:rPr>
        <w:t>و با تفریق (۱۲. ۳۵) از (۱۲. ۳۴) متوسط تورم را می‌توان بدست آورد</w:t>
      </w:r>
    </w:p>
    <w:p w14:paraId="70AF5D89" w14:textId="77777777" w:rsidR="00556C10" w:rsidRPr="00B6450D" w:rsidRDefault="00556C10" w:rsidP="00556C10">
      <w:pPr>
        <w:bidi w:val="0"/>
        <w:spacing w:line="216" w:lineRule="auto"/>
        <w:rPr>
          <w:i/>
          <w:sz w:val="23"/>
          <w:szCs w:val="23"/>
          <w:rtl/>
        </w:rPr>
      </w:pPr>
      <w:r w:rsidRPr="00B6450D">
        <w:rPr>
          <w:position w:val="-26"/>
        </w:rPr>
        <w:object w:dxaOrig="3420" w:dyaOrig="620" w14:anchorId="157E467F">
          <v:shape id="_x0000_i5587" type="#_x0000_t75" style="width:170.6pt;height:31.45pt" o:ole="">
            <v:imagedata r:id="rId9180" o:title=""/>
          </v:shape>
          <o:OLEObject Type="Embed" ProgID="Equation.DSMT4" ShapeID="_x0000_i5587" DrawAspect="Content" ObjectID="_1791379531" r:id="rId9181"/>
        </w:object>
      </w:r>
      <w:r w:rsidRPr="00B6450D">
        <w:rPr>
          <w:i/>
          <w:sz w:val="23"/>
          <w:szCs w:val="23"/>
          <w:rtl/>
        </w:rPr>
        <w:tab/>
      </w:r>
      <w:r w:rsidRPr="00B6450D">
        <w:rPr>
          <w:i/>
          <w:sz w:val="23"/>
          <w:szCs w:val="23"/>
          <w:rtl/>
        </w:rPr>
        <w:tab/>
      </w:r>
      <w:r w:rsidRPr="00B6450D">
        <w:rPr>
          <w:i/>
          <w:sz w:val="23"/>
          <w:szCs w:val="23"/>
        </w:rPr>
        <w:tab/>
      </w:r>
      <w:r w:rsidRPr="00B6450D">
        <w:rPr>
          <w:i/>
          <w:sz w:val="23"/>
          <w:szCs w:val="23"/>
        </w:rPr>
        <w:tab/>
      </w:r>
      <w:r w:rsidRPr="00B6450D">
        <w:rPr>
          <w:i/>
          <w:sz w:val="23"/>
          <w:szCs w:val="23"/>
        </w:rPr>
        <w:tab/>
        <w:t xml:space="preserve"> </w:t>
      </w:r>
      <w:r>
        <w:rPr>
          <w:i/>
          <w:sz w:val="23"/>
          <w:szCs w:val="23"/>
          <w:rtl/>
        </w:rPr>
        <w:tab/>
      </w:r>
      <w:r w:rsidRPr="00B6450D">
        <w:rPr>
          <w:i/>
          <w:sz w:val="23"/>
          <w:szCs w:val="23"/>
          <w:rtl/>
        </w:rPr>
        <w:tab/>
      </w:r>
      <w:r w:rsidRPr="00B6450D">
        <w:rPr>
          <w:i/>
          <w:sz w:val="23"/>
          <w:szCs w:val="23"/>
        </w:rPr>
        <w:tab/>
      </w:r>
      <w:r w:rsidRPr="00B6450D">
        <w:rPr>
          <w:i/>
          <w:sz w:val="23"/>
          <w:szCs w:val="23"/>
          <w:rtl/>
        </w:rPr>
        <w:tab/>
      </w:r>
      <w:r w:rsidRPr="00B6450D">
        <w:rPr>
          <w:rFonts w:hint="cs"/>
          <w:i/>
          <w:sz w:val="23"/>
          <w:szCs w:val="23"/>
          <w:rtl/>
        </w:rPr>
        <w:t>(۱۲. ۳۶)</w:t>
      </w:r>
    </w:p>
    <w:p w14:paraId="12A45402" w14:textId="77777777" w:rsidR="00556C10" w:rsidRPr="00B6450D" w:rsidRDefault="00556C10" w:rsidP="00556C10">
      <w:pPr>
        <w:spacing w:line="216" w:lineRule="auto"/>
        <w:rPr>
          <w:i/>
          <w:sz w:val="23"/>
          <w:szCs w:val="23"/>
          <w:rtl/>
        </w:rPr>
      </w:pPr>
      <w:r w:rsidRPr="00B6450D">
        <w:rPr>
          <w:rFonts w:hint="cs"/>
          <w:i/>
          <w:sz w:val="23"/>
          <w:szCs w:val="23"/>
          <w:rtl/>
        </w:rPr>
        <w:lastRenderedPageBreak/>
        <w:t>اگر عبارت آخر که در بر</w:t>
      </w:r>
      <w:r w:rsidRPr="00B6450D">
        <w:rPr>
          <w:i/>
          <w:sz w:val="23"/>
          <w:szCs w:val="23"/>
          <w:rtl/>
        </w:rPr>
        <w:softHyphen/>
      </w:r>
      <w:r w:rsidRPr="00B6450D">
        <w:rPr>
          <w:rFonts w:hint="cs"/>
          <w:i/>
          <w:sz w:val="23"/>
          <w:szCs w:val="23"/>
          <w:rtl/>
        </w:rPr>
        <w:t>گیرنده‌ی تورم پاداش ریسک است را در نظر نگیریم، برآورد تورم تفاوت بین بازده‌های شاخص و اسمی است که بدان برآورد سربسر متوسط تورم گویند و معمولاً توسط بانک مرکزی کشورهایی که در آن‌ها اوراق قرضه</w:t>
      </w:r>
      <w:r w:rsidRPr="00B6450D">
        <w:rPr>
          <w:i/>
          <w:sz w:val="23"/>
          <w:szCs w:val="23"/>
          <w:rtl/>
        </w:rPr>
        <w:softHyphen/>
      </w:r>
      <w:r w:rsidRPr="00B6450D">
        <w:rPr>
          <w:rFonts w:hint="cs"/>
          <w:i/>
          <w:sz w:val="23"/>
          <w:szCs w:val="23"/>
          <w:rtl/>
        </w:rPr>
        <w:t>های شاخص وجود دارد مورد استفاده قرار می‌گیرد. برآورد سربسر را می‌توان با تورم پاداش ریسک اصلاح کرد. برای انگلستان در سال‌های ۱۹۸۰ و ۱۹۹۰ در حدود ۱ درصد بود. شواهد تجربی اخیر نشان می‌دهد که با توجه به هدف</w:t>
      </w:r>
      <w:r w:rsidRPr="00B6450D">
        <w:rPr>
          <w:i/>
          <w:sz w:val="23"/>
          <w:szCs w:val="23"/>
          <w:rtl/>
        </w:rPr>
        <w:softHyphen/>
      </w:r>
      <w:r w:rsidRPr="00B6450D">
        <w:rPr>
          <w:rFonts w:hint="cs"/>
          <w:i/>
          <w:sz w:val="23"/>
          <w:szCs w:val="23"/>
          <w:rtl/>
        </w:rPr>
        <w:t>گذاری تورم، تورم پاداش ریسک کاهش یافته است. بنابراین با کاهش تورم سال‌های ۲۰۰۰ اندازه‌ی تصحیح کاهش یافته است.</w:t>
      </w:r>
    </w:p>
    <w:p w14:paraId="45379CEE" w14:textId="77777777" w:rsidR="00556C10" w:rsidRPr="00B6450D" w:rsidRDefault="00556C10" w:rsidP="00556C10">
      <w:pPr>
        <w:spacing w:line="216" w:lineRule="auto"/>
        <w:rPr>
          <w:i/>
          <w:sz w:val="23"/>
          <w:szCs w:val="23"/>
          <w:rtl/>
        </w:rPr>
      </w:pPr>
      <w:r w:rsidRPr="00B6450D">
        <w:rPr>
          <w:rFonts w:hint="cs"/>
          <w:i/>
          <w:sz w:val="23"/>
          <w:szCs w:val="23"/>
          <w:rtl/>
        </w:rPr>
        <w:t>بالاخره، استفاده از مابه</w:t>
      </w:r>
      <w:r w:rsidRPr="00B6450D">
        <w:rPr>
          <w:i/>
          <w:sz w:val="23"/>
          <w:szCs w:val="23"/>
          <w:rtl/>
        </w:rPr>
        <w:softHyphen/>
      </w:r>
      <w:r w:rsidRPr="00B6450D">
        <w:rPr>
          <w:rFonts w:hint="cs"/>
          <w:i/>
          <w:sz w:val="23"/>
          <w:szCs w:val="23"/>
          <w:rtl/>
        </w:rPr>
        <w:t>التفاوت زمانی به عنوان شاخص فعالیت اقتصادی آتی در مدل‌های اقتصادسنجی مرسوم است. از معادلات (۱۲. ۱۷) و (۱۲. ۳۶) عبارت خواهد بود از</w:t>
      </w:r>
    </w:p>
    <w:p w14:paraId="018C25E4" w14:textId="77777777" w:rsidR="00556C10" w:rsidRPr="00B6450D" w:rsidRDefault="00556C10" w:rsidP="00556C10">
      <w:pPr>
        <w:bidi w:val="0"/>
        <w:spacing w:line="216" w:lineRule="auto"/>
        <w:rPr>
          <w:i/>
          <w:sz w:val="23"/>
          <w:szCs w:val="23"/>
          <w:rtl/>
        </w:rPr>
      </w:pPr>
      <w:r w:rsidRPr="00B6450D">
        <w:rPr>
          <w:position w:val="-56"/>
        </w:rPr>
        <w:object w:dxaOrig="3600" w:dyaOrig="1219" w14:anchorId="28632E09">
          <v:shape id="_x0000_i5588" type="#_x0000_t75" style="width:180.3pt;height:61.1pt" o:ole="">
            <v:imagedata r:id="rId9182" o:title=""/>
          </v:shape>
          <o:OLEObject Type="Embed" ProgID="Equation.DSMT4" ShapeID="_x0000_i5588" DrawAspect="Content" ObjectID="_1791379532" r:id="rId9183"/>
        </w:object>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t xml:space="preserve"> </w:t>
      </w:r>
      <w:r w:rsidRPr="00B6450D">
        <w:rPr>
          <w:i/>
          <w:sz w:val="23"/>
          <w:szCs w:val="23"/>
        </w:rPr>
        <w:tab/>
      </w:r>
      <w:r>
        <w:rPr>
          <w:i/>
          <w:sz w:val="23"/>
          <w:szCs w:val="23"/>
          <w:rtl/>
        </w:rPr>
        <w:tab/>
      </w:r>
      <w:r w:rsidRPr="00B6450D">
        <w:rPr>
          <w:i/>
          <w:sz w:val="23"/>
          <w:szCs w:val="23"/>
          <w:rtl/>
        </w:rPr>
        <w:tab/>
      </w:r>
      <w:r w:rsidRPr="00B6450D">
        <w:rPr>
          <w:rFonts w:hint="cs"/>
          <w:i/>
          <w:sz w:val="23"/>
          <w:szCs w:val="23"/>
          <w:rtl/>
        </w:rPr>
        <w:t>(۱۲. ۳۷)</w:t>
      </w:r>
    </w:p>
    <w:p w14:paraId="78963D9E" w14:textId="77777777" w:rsidR="00556C10" w:rsidRPr="00B6450D" w:rsidRDefault="00556C10" w:rsidP="00556C10">
      <w:pPr>
        <w:spacing w:line="216" w:lineRule="auto"/>
        <w:rPr>
          <w:i/>
          <w:sz w:val="23"/>
          <w:szCs w:val="23"/>
          <w:rtl/>
        </w:rPr>
      </w:pPr>
      <w:r w:rsidRPr="00B6450D">
        <w:rPr>
          <w:rFonts w:hint="cs"/>
          <w:i/>
          <w:sz w:val="23"/>
          <w:szCs w:val="23"/>
          <w:rtl/>
        </w:rPr>
        <w:t>بنابراین، مابه</w:t>
      </w:r>
      <w:r w:rsidRPr="00B6450D">
        <w:rPr>
          <w:i/>
          <w:sz w:val="23"/>
          <w:szCs w:val="23"/>
          <w:rtl/>
        </w:rPr>
        <w:softHyphen/>
      </w:r>
      <w:r w:rsidRPr="00B6450D">
        <w:rPr>
          <w:rFonts w:hint="cs"/>
          <w:i/>
          <w:sz w:val="23"/>
          <w:szCs w:val="23"/>
          <w:rtl/>
        </w:rPr>
        <w:t>التفاوت زمانی پیش</w:t>
      </w:r>
      <w:r w:rsidRPr="00B6450D">
        <w:rPr>
          <w:i/>
          <w:sz w:val="23"/>
          <w:szCs w:val="23"/>
          <w:rtl/>
        </w:rPr>
        <w:softHyphen/>
      </w:r>
      <w:r w:rsidRPr="00B6450D">
        <w:rPr>
          <w:rFonts w:hint="cs"/>
          <w:i/>
          <w:sz w:val="23"/>
          <w:szCs w:val="23"/>
          <w:rtl/>
        </w:rPr>
        <w:t>بینی کننده‌ی سررسید بازده حقیقی و متوسط تورم آتی است.</w:t>
      </w:r>
    </w:p>
    <w:p w14:paraId="36C6D388" w14:textId="77777777" w:rsidR="00556C10" w:rsidRPr="00B6450D" w:rsidRDefault="00556C10" w:rsidP="00556C10">
      <w:pPr>
        <w:spacing w:line="216" w:lineRule="auto"/>
        <w:rPr>
          <w:i/>
          <w:sz w:val="23"/>
          <w:szCs w:val="23"/>
          <w:rtl/>
        </w:rPr>
      </w:pPr>
    </w:p>
    <w:p w14:paraId="04ADD476" w14:textId="77777777" w:rsidR="00556C10" w:rsidRPr="00B6450D" w:rsidRDefault="00556C10" w:rsidP="00556C10">
      <w:pPr>
        <w:pStyle w:val="Heading1"/>
        <w:spacing w:before="0" w:line="216" w:lineRule="auto"/>
        <w:rPr>
          <w:rFonts w:ascii="Times New Roman" w:hAnsi="Times New Roman" w:cs="B Nazanin"/>
          <w:b w:val="0"/>
          <w:i/>
          <w:sz w:val="23"/>
          <w:szCs w:val="23"/>
          <w:rtl/>
        </w:rPr>
      </w:pPr>
      <w:r w:rsidRPr="00B6450D">
        <w:rPr>
          <w:rFonts w:ascii="Times New Roman" w:hAnsi="Times New Roman" w:cs="B Nazanin" w:hint="cs"/>
          <w:b w:val="0"/>
          <w:i/>
          <w:sz w:val="23"/>
          <w:szCs w:val="23"/>
          <w:rtl/>
        </w:rPr>
        <w:t>۱۲. ۳. ۵ نکته</w:t>
      </w:r>
    </w:p>
    <w:p w14:paraId="1BBC745B" w14:textId="77777777" w:rsidR="00556C10" w:rsidRPr="00B6450D" w:rsidRDefault="00556C10" w:rsidP="00556C10">
      <w:pPr>
        <w:spacing w:line="216" w:lineRule="auto"/>
        <w:rPr>
          <w:i/>
          <w:sz w:val="23"/>
          <w:szCs w:val="23"/>
          <w:rtl/>
        </w:rPr>
      </w:pPr>
      <w:r w:rsidRPr="00B6450D">
        <w:rPr>
          <w:rFonts w:hint="cs"/>
          <w:i/>
          <w:sz w:val="23"/>
          <w:szCs w:val="23"/>
          <w:rtl/>
        </w:rPr>
        <w:t>از سه نوع دارایی مالی که تاکنون در این فصل مورد بررسی قرار گرفته، نظریه قیمت گذاری اوراق قرضه، یا مشتقات با درآمد ثابت، بیشتر از همه توسعه‌یافته است. اگرچه در برخی موارد قیمت</w:t>
      </w:r>
      <w:r w:rsidRPr="00B6450D">
        <w:rPr>
          <w:i/>
          <w:sz w:val="23"/>
          <w:szCs w:val="23"/>
          <w:rtl/>
        </w:rPr>
        <w:softHyphen/>
      </w:r>
      <w:r w:rsidRPr="00B6450D">
        <w:rPr>
          <w:rFonts w:hint="cs"/>
          <w:i/>
          <w:sz w:val="23"/>
          <w:szCs w:val="23"/>
          <w:rtl/>
        </w:rPr>
        <w:t>گذاری اوراق قرضه ساده</w:t>
      </w:r>
      <w:r w:rsidRPr="00B6450D">
        <w:rPr>
          <w:i/>
          <w:sz w:val="23"/>
          <w:szCs w:val="23"/>
          <w:rtl/>
        </w:rPr>
        <w:softHyphen/>
      </w:r>
      <w:r w:rsidRPr="00B6450D">
        <w:rPr>
          <w:rFonts w:hint="cs"/>
          <w:i/>
          <w:sz w:val="23"/>
          <w:szCs w:val="23"/>
          <w:rtl/>
        </w:rPr>
        <w:t>تر از موارد دیگر است، ولی پیشرفت‌های تکنیکی قابل ملاحظه</w:t>
      </w:r>
      <w:r w:rsidRPr="00B6450D">
        <w:rPr>
          <w:i/>
          <w:sz w:val="23"/>
          <w:szCs w:val="23"/>
          <w:rtl/>
        </w:rPr>
        <w:softHyphen/>
      </w:r>
      <w:r w:rsidRPr="00B6450D">
        <w:rPr>
          <w:rFonts w:hint="cs"/>
          <w:i/>
          <w:sz w:val="23"/>
          <w:szCs w:val="23"/>
          <w:rtl/>
        </w:rPr>
        <w:t>ای نیز داشته است. موفقیت قیمت</w:t>
      </w:r>
      <w:r w:rsidRPr="00B6450D">
        <w:rPr>
          <w:i/>
          <w:sz w:val="23"/>
          <w:szCs w:val="23"/>
          <w:rtl/>
        </w:rPr>
        <w:softHyphen/>
      </w:r>
      <w:r w:rsidRPr="00B6450D">
        <w:rPr>
          <w:rFonts w:hint="cs"/>
          <w:i/>
          <w:sz w:val="23"/>
          <w:szCs w:val="23"/>
          <w:rtl/>
        </w:rPr>
        <w:t>گذاری اوراق قرضه بخاطر گستردگی کاربرد نسبی تکنیک‌های قیمت</w:t>
      </w:r>
      <w:r w:rsidRPr="00B6450D">
        <w:rPr>
          <w:i/>
          <w:sz w:val="23"/>
          <w:szCs w:val="23"/>
          <w:rtl/>
        </w:rPr>
        <w:softHyphen/>
      </w:r>
      <w:r w:rsidRPr="00B6450D">
        <w:rPr>
          <w:rFonts w:hint="cs"/>
          <w:i/>
          <w:sz w:val="23"/>
          <w:szCs w:val="23"/>
          <w:rtl/>
        </w:rPr>
        <w:t>گذاری دارایی بجای قیمت</w:t>
      </w:r>
      <w:r w:rsidRPr="00B6450D">
        <w:rPr>
          <w:i/>
          <w:sz w:val="23"/>
          <w:szCs w:val="23"/>
          <w:rtl/>
        </w:rPr>
        <w:softHyphen/>
      </w:r>
      <w:r w:rsidRPr="00B6450D">
        <w:rPr>
          <w:rFonts w:hint="cs"/>
          <w:i/>
          <w:sz w:val="23"/>
          <w:szCs w:val="23"/>
          <w:rtl/>
        </w:rPr>
        <w:t>گذاری بنیادی است. بر مبنای روش‌های بنیادی، قیمت</w:t>
      </w:r>
      <w:r w:rsidRPr="00B6450D">
        <w:rPr>
          <w:i/>
          <w:sz w:val="23"/>
          <w:szCs w:val="23"/>
          <w:rtl/>
        </w:rPr>
        <w:softHyphen/>
      </w:r>
      <w:r w:rsidRPr="00B6450D">
        <w:rPr>
          <w:rFonts w:hint="cs"/>
          <w:i/>
          <w:sz w:val="23"/>
          <w:szCs w:val="23"/>
          <w:rtl/>
        </w:rPr>
        <w:t>گذاری اوراق قرضه موفقیت کمتری نسبت به قیمت</w:t>
      </w:r>
      <w:r w:rsidRPr="00B6450D">
        <w:rPr>
          <w:i/>
          <w:sz w:val="23"/>
          <w:szCs w:val="23"/>
          <w:rtl/>
        </w:rPr>
        <w:softHyphen/>
      </w:r>
      <w:r w:rsidRPr="00B6450D">
        <w:rPr>
          <w:rFonts w:hint="cs"/>
          <w:i/>
          <w:sz w:val="23"/>
          <w:szCs w:val="23"/>
          <w:rtl/>
        </w:rPr>
        <w:t>گذاری سهام و</w:t>
      </w:r>
      <w:r w:rsidRPr="00B6450D">
        <w:rPr>
          <w:i/>
          <w:sz w:val="23"/>
          <w:szCs w:val="23"/>
        </w:rPr>
        <w:t xml:space="preserve"> </w:t>
      </w:r>
      <w:r w:rsidRPr="00B6450D">
        <w:rPr>
          <w:rFonts w:hint="cs"/>
          <w:i/>
          <w:sz w:val="23"/>
          <w:szCs w:val="23"/>
          <w:rtl/>
        </w:rPr>
        <w:t>ارز دارد. در پیشرفت‌های اخیر مربوط به قیمت</w:t>
      </w:r>
      <w:r w:rsidRPr="00B6450D">
        <w:rPr>
          <w:i/>
          <w:sz w:val="23"/>
          <w:szCs w:val="23"/>
          <w:rtl/>
        </w:rPr>
        <w:softHyphen/>
      </w:r>
      <w:r w:rsidRPr="00B6450D">
        <w:rPr>
          <w:rFonts w:hint="cs"/>
          <w:i/>
          <w:sz w:val="23"/>
          <w:szCs w:val="23"/>
          <w:rtl/>
        </w:rPr>
        <w:t>گذاری اوراق قرضه سعی می‌شود تا دورویکرد با یکدیگر ترکیب شده و عوامل قابل مشاهده‌ی اقتصاد کلان در توضیح و تبیین مابه</w:t>
      </w:r>
      <w:r w:rsidRPr="00B6450D">
        <w:rPr>
          <w:i/>
          <w:sz w:val="23"/>
          <w:szCs w:val="23"/>
          <w:rtl/>
        </w:rPr>
        <w:softHyphen/>
      </w:r>
      <w:r w:rsidRPr="00B6450D">
        <w:rPr>
          <w:rFonts w:hint="cs"/>
          <w:i/>
          <w:sz w:val="23"/>
          <w:szCs w:val="23"/>
          <w:rtl/>
        </w:rPr>
        <w:t xml:space="preserve">التفاوت زمانی در نظر گرفته شود. </w:t>
      </w:r>
    </w:p>
    <w:p w14:paraId="27C89775" w14:textId="77777777" w:rsidR="00556C10" w:rsidRPr="00B6450D" w:rsidRDefault="00556C10" w:rsidP="00556C10">
      <w:pPr>
        <w:spacing w:line="216" w:lineRule="auto"/>
        <w:rPr>
          <w:i/>
          <w:sz w:val="23"/>
          <w:szCs w:val="23"/>
          <w:rtl/>
        </w:rPr>
      </w:pPr>
      <w:r w:rsidRPr="00B6450D">
        <w:rPr>
          <w:rFonts w:hint="cs"/>
          <w:i/>
          <w:sz w:val="23"/>
          <w:szCs w:val="23"/>
          <w:rtl/>
        </w:rPr>
        <w:t>خصیصه</w:t>
      </w:r>
      <w:r w:rsidRPr="00B6450D">
        <w:rPr>
          <w:i/>
          <w:sz w:val="23"/>
          <w:szCs w:val="23"/>
          <w:rtl/>
        </w:rPr>
        <w:softHyphen/>
      </w:r>
      <w:r w:rsidRPr="00B6450D">
        <w:rPr>
          <w:rFonts w:hint="cs"/>
          <w:i/>
          <w:sz w:val="23"/>
          <w:szCs w:val="23"/>
          <w:rtl/>
        </w:rPr>
        <w:t>ی ممتاز بازار اوراق قرضه ارتباط نزدیک آن با سیاست پولی است. زیرا سیاست پولی نه تنها ساختار زمانی نرخ بهره را بواسطه‌ی نرخ کوتاه‌مدت که ابزار سیاستی در شرایط هدف گذاری تورم است تحت تأثیر قرار داده، بلکه ساختار زمانی نرخ بهره دارای اطلاعاتی در خصوص قضاوت بازار از نرخ‌های بهره‌ی آتی و به تبع آن تورم آتی است. هر دوی این موارد برای سیاست</w:t>
      </w:r>
      <w:r w:rsidRPr="00B6450D">
        <w:rPr>
          <w:i/>
          <w:sz w:val="23"/>
          <w:szCs w:val="23"/>
          <w:rtl/>
        </w:rPr>
        <w:softHyphen/>
      </w:r>
      <w:r w:rsidRPr="00B6450D">
        <w:rPr>
          <w:rFonts w:hint="cs"/>
          <w:i/>
          <w:sz w:val="23"/>
          <w:szCs w:val="23"/>
          <w:rtl/>
        </w:rPr>
        <w:t>گذار مفید است. اکنون قاعده ساختار زمانی نرخ‌های بهره در مکانیسم انتقال سیاست پولی را مورد بررسی قرار می‌دهیم.</w:t>
      </w:r>
    </w:p>
    <w:p w14:paraId="55673985" w14:textId="77777777" w:rsidR="00556C10" w:rsidRPr="00B6450D" w:rsidRDefault="00556C10" w:rsidP="00556C10">
      <w:pPr>
        <w:spacing w:line="216" w:lineRule="auto"/>
        <w:rPr>
          <w:i/>
          <w:sz w:val="23"/>
          <w:szCs w:val="23"/>
          <w:rtl/>
        </w:rPr>
      </w:pPr>
    </w:p>
    <w:p w14:paraId="7416913C" w14:textId="77777777" w:rsidR="00556C10" w:rsidRPr="00B6450D" w:rsidRDefault="00556C10" w:rsidP="00556C10">
      <w:pPr>
        <w:pStyle w:val="Heading1"/>
        <w:spacing w:before="0" w:line="216" w:lineRule="auto"/>
        <w:rPr>
          <w:rFonts w:ascii="Times New Roman" w:hAnsi="Times New Roman" w:cs="B Nazanin"/>
          <w:b w:val="0"/>
          <w:i/>
          <w:sz w:val="23"/>
          <w:szCs w:val="23"/>
          <w:rtl/>
        </w:rPr>
      </w:pPr>
      <w:r w:rsidRPr="00B6450D">
        <w:rPr>
          <w:rFonts w:ascii="Times New Roman" w:hAnsi="Times New Roman" w:cs="B Nazanin" w:hint="cs"/>
          <w:b w:val="0"/>
          <w:i/>
          <w:sz w:val="23"/>
          <w:szCs w:val="23"/>
          <w:rtl/>
        </w:rPr>
        <w:t>۱۲. ۳. ۶ سیاست پولی و ساختار زمانی</w:t>
      </w:r>
    </w:p>
    <w:p w14:paraId="20CE968C" w14:textId="77777777" w:rsidR="00556C10" w:rsidRPr="00B6450D" w:rsidRDefault="00556C10" w:rsidP="00556C10">
      <w:pPr>
        <w:spacing w:line="216" w:lineRule="auto"/>
        <w:rPr>
          <w:i/>
          <w:sz w:val="23"/>
          <w:szCs w:val="23"/>
          <w:rtl/>
        </w:rPr>
      </w:pPr>
      <w:r w:rsidRPr="00B6450D">
        <w:rPr>
          <w:rFonts w:hint="cs"/>
          <w:i/>
          <w:sz w:val="23"/>
          <w:szCs w:val="23"/>
          <w:rtl/>
        </w:rPr>
        <w:t xml:space="preserve">در این جا نشان دادیم که پاداش ریسک بشدت متأثر از عوامل اقتصاد کلان همانند تورم و چرخه‌های تجاری است. همچنین نشان دادیم که چگونه با ترکیب اطلاعات با محتوای ساختار زمانی اسمی و </w:t>
      </w:r>
      <w:r w:rsidRPr="00B6450D">
        <w:rPr>
          <w:rFonts w:hint="cs"/>
          <w:i/>
          <w:sz w:val="23"/>
          <w:szCs w:val="23"/>
          <w:rtl/>
        </w:rPr>
        <w:lastRenderedPageBreak/>
        <w:t>شاخص</w:t>
      </w:r>
      <w:r w:rsidRPr="00B6450D">
        <w:rPr>
          <w:i/>
          <w:sz w:val="23"/>
          <w:szCs w:val="23"/>
          <w:rtl/>
        </w:rPr>
        <w:softHyphen/>
      </w:r>
      <w:r w:rsidRPr="00B6450D">
        <w:rPr>
          <w:rFonts w:hint="cs"/>
          <w:i/>
          <w:sz w:val="23"/>
          <w:szCs w:val="23"/>
          <w:rtl/>
        </w:rPr>
        <w:t>بندی شده</w:t>
      </w:r>
      <w:r w:rsidRPr="00B6450D">
        <w:rPr>
          <w:rStyle w:val="FootnoteReference"/>
          <w:i/>
          <w:sz w:val="23"/>
          <w:szCs w:val="23"/>
          <w:rtl/>
        </w:rPr>
        <w:footnoteReference w:id="293"/>
      </w:r>
      <w:r w:rsidRPr="00B6450D">
        <w:rPr>
          <w:rFonts w:hint="cs"/>
          <w:i/>
          <w:sz w:val="23"/>
          <w:szCs w:val="23"/>
          <w:rtl/>
        </w:rPr>
        <w:t xml:space="preserve"> (یا مشتقات محفوض از تورم خزانه داری </w:t>
      </w:r>
      <w:r w:rsidRPr="00B6450D">
        <w:rPr>
          <w:i/>
          <w:sz w:val="23"/>
          <w:szCs w:val="23"/>
        </w:rPr>
        <w:t>TIPS</w:t>
      </w:r>
      <w:r w:rsidRPr="00B6450D">
        <w:rPr>
          <w:rStyle w:val="FootnoteReference"/>
          <w:rFonts w:eastAsiaTheme="majorEastAsia"/>
          <w:i/>
          <w:sz w:val="23"/>
          <w:szCs w:val="23"/>
        </w:rPr>
        <w:footnoteReference w:id="294"/>
      </w:r>
      <w:r w:rsidRPr="00B6450D">
        <w:rPr>
          <w:rFonts w:hint="cs"/>
          <w:i/>
          <w:sz w:val="23"/>
          <w:szCs w:val="23"/>
          <w:rtl/>
        </w:rPr>
        <w:t>)، ممکن است تا اطلاعات مناسب در خصوص تورم آتی انتظاری را استخراج کرد. این نتایج اهمیت منابع ریسک اقتصاد کلان را در تعیین قیمت‌های اوراق قرضه و ساختار زمانی آشکار خواهد ساخت. اکنون قاعده‌ی کلیدی مورد استفاده‌ی ساختار زمانی در مکانیسم انتقال سیاست پولی را مورد توجه قرار می‌دهیم. بانک مرکزی در واقع نرخ سیاستی کوتاه‌مدت را تعیین می‌کند، و از طریق ساختار زمانی تمامی نرخ‌های بهره تحت تأثیر قرار می‌گیرند. یک افزایش ( کاهش) در نرخ کوتاه‌مدت باعث انتقال و حرکت به سمت بالا ( پایین) در منحنی بازده خواهد شد. بخصوص، نرخ کوتاه‌مدت، نرخ‌های بلند‌مدت که متغیری اساسی برای تصمیمات مصرفی، سرمایه‌گذاری و پس</w:t>
      </w:r>
      <w:r w:rsidRPr="00B6450D">
        <w:rPr>
          <w:i/>
          <w:sz w:val="23"/>
          <w:szCs w:val="23"/>
          <w:rtl/>
        </w:rPr>
        <w:softHyphen/>
      </w:r>
      <w:r w:rsidRPr="00B6450D">
        <w:rPr>
          <w:rFonts w:hint="cs"/>
          <w:i/>
          <w:sz w:val="23"/>
          <w:szCs w:val="23"/>
          <w:rtl/>
        </w:rPr>
        <w:t>انداز بخش خصوصی است تحت تأثیر قرار می‌دهد. معیار و مبنای نرخ بلندمدت نرخ ده ساله است. همان</w:t>
      </w:r>
      <w:r w:rsidRPr="00B6450D">
        <w:rPr>
          <w:i/>
          <w:sz w:val="23"/>
          <w:szCs w:val="23"/>
          <w:rtl/>
        </w:rPr>
        <w:softHyphen/>
      </w:r>
      <w:r w:rsidRPr="00B6450D">
        <w:rPr>
          <w:rFonts w:hint="cs"/>
          <w:i/>
          <w:sz w:val="23"/>
          <w:szCs w:val="23"/>
          <w:rtl/>
        </w:rPr>
        <w:t>گونه که در فصل سیزدهم توضیح داده خواهد شد، یکی دیگر از کانال‌های مهم مکانیسم انتقال سیاست پولی اثر نرخ کوتاه‌مدت بر نرخ ارز شناور و بنابراین رقابت</w:t>
      </w:r>
      <w:r w:rsidRPr="00B6450D">
        <w:rPr>
          <w:i/>
          <w:sz w:val="23"/>
          <w:szCs w:val="23"/>
          <w:rtl/>
        </w:rPr>
        <w:softHyphen/>
      </w:r>
      <w:r w:rsidRPr="00B6450D">
        <w:rPr>
          <w:rFonts w:hint="cs"/>
          <w:i/>
          <w:sz w:val="23"/>
          <w:szCs w:val="23"/>
          <w:rtl/>
        </w:rPr>
        <w:t>پذیری و جریان سرمایه است.</w:t>
      </w:r>
    </w:p>
    <w:p w14:paraId="30723421" w14:textId="77777777" w:rsidR="00556C10" w:rsidRPr="00B6450D" w:rsidRDefault="00556C10" w:rsidP="00556C10">
      <w:pPr>
        <w:spacing w:line="216" w:lineRule="auto"/>
        <w:rPr>
          <w:i/>
          <w:sz w:val="23"/>
          <w:szCs w:val="23"/>
        </w:rPr>
      </w:pPr>
      <w:r w:rsidRPr="00B6450D">
        <w:rPr>
          <w:rFonts w:hint="cs"/>
          <w:i/>
          <w:sz w:val="23"/>
          <w:szCs w:val="23"/>
          <w:rtl/>
        </w:rPr>
        <w:t xml:space="preserve">ابتدا برخی شواهد استخراج شده از مدل ساده‌ی خودهمبسته‌ی برداری یا </w:t>
      </w:r>
      <w:r w:rsidRPr="00B6450D">
        <w:rPr>
          <w:i/>
          <w:sz w:val="23"/>
          <w:szCs w:val="23"/>
        </w:rPr>
        <w:t>VAR</w:t>
      </w:r>
      <w:r w:rsidRPr="00B6450D">
        <w:rPr>
          <w:rFonts w:hint="cs"/>
          <w:i/>
          <w:sz w:val="23"/>
          <w:szCs w:val="23"/>
          <w:rtl/>
        </w:rPr>
        <w:t xml:space="preserve"> ارتباط متقابل بین متغیرهای اقتصاد کلان و مالی را بررسی می‌کنیم. این مدل با شواهد تجربی بر ارتباط بین ساختار زمانی و سیاست پولی مبتنی بر مدل‌های عامل نهفته از ساختار زمانی دنبال شده و مباحث خود را را یک مدل تعدل عمومی پویای تصادفی و مکانیسم انتقال بین ساختار زمانی و سیاست پولی به اتمام می‌رسانیم.</w:t>
      </w:r>
    </w:p>
    <w:p w14:paraId="2846A377" w14:textId="77777777" w:rsidR="00556C10" w:rsidRPr="00B6450D" w:rsidRDefault="00556C10" w:rsidP="00556C10">
      <w:pPr>
        <w:spacing w:line="216" w:lineRule="auto"/>
        <w:rPr>
          <w:i/>
          <w:sz w:val="23"/>
          <w:szCs w:val="23"/>
          <w:rtl/>
        </w:rPr>
      </w:pPr>
    </w:p>
    <w:p w14:paraId="38F9DF07" w14:textId="77777777" w:rsidR="00556C10" w:rsidRPr="00B6450D" w:rsidRDefault="00556C10" w:rsidP="00556C10">
      <w:pPr>
        <w:spacing w:line="216" w:lineRule="auto"/>
        <w:rPr>
          <w:bCs/>
          <w:i/>
          <w:sz w:val="23"/>
          <w:szCs w:val="23"/>
          <w:rtl/>
        </w:rPr>
      </w:pPr>
      <w:r w:rsidRPr="00B6450D">
        <w:rPr>
          <w:rFonts w:hint="cs"/>
          <w:bCs/>
          <w:i/>
          <w:sz w:val="23"/>
          <w:szCs w:val="23"/>
          <w:rtl/>
        </w:rPr>
        <w:t xml:space="preserve">رابطه‌ی بین متغیرهای اقتصاد کلان و مالی بر اساس مدل </w:t>
      </w:r>
      <w:r w:rsidRPr="00B6450D">
        <w:rPr>
          <w:bCs/>
          <w:i/>
          <w:sz w:val="23"/>
          <w:szCs w:val="23"/>
        </w:rPr>
        <w:t>VAR</w:t>
      </w:r>
      <w:r w:rsidRPr="00B6450D">
        <w:rPr>
          <w:rFonts w:hint="cs"/>
          <w:bCs/>
          <w:i/>
          <w:sz w:val="23"/>
          <w:szCs w:val="23"/>
          <w:rtl/>
        </w:rPr>
        <w:t xml:space="preserve"> </w:t>
      </w:r>
    </w:p>
    <w:p w14:paraId="64EDDE5E" w14:textId="77777777" w:rsidR="00556C10" w:rsidRPr="00B6450D" w:rsidRDefault="00556C10" w:rsidP="00556C10">
      <w:pPr>
        <w:spacing w:line="216" w:lineRule="auto"/>
        <w:rPr>
          <w:i/>
          <w:sz w:val="23"/>
          <w:szCs w:val="23"/>
          <w:rtl/>
        </w:rPr>
      </w:pPr>
      <w:r w:rsidRPr="00B6450D">
        <w:rPr>
          <w:rFonts w:hint="cs"/>
          <w:i/>
          <w:sz w:val="23"/>
          <w:szCs w:val="23"/>
          <w:rtl/>
        </w:rPr>
        <w:t xml:space="preserve">این مدل مبتنی است بر رابطه‌ی بین شکاف تولید (متغیر مجازی چرخه‌ی تجاری)، تورم، ساختار زمانی ( نرخ بهره‌ی وجوه فدرال و تفاوت بین بازده اوراق قرضه‌ی ده ساله و نرخ وجوه فدرال)، و بازار </w:t>
      </w:r>
      <w:r w:rsidRPr="00B6450D">
        <w:rPr>
          <w:i/>
          <w:sz w:val="23"/>
          <w:szCs w:val="23"/>
          <w:rtl/>
        </w:rPr>
        <w:t>سهام</w:t>
      </w:r>
      <w:r w:rsidRPr="00B6450D">
        <w:rPr>
          <w:i/>
          <w:sz w:val="23"/>
          <w:szCs w:val="23"/>
        </w:rPr>
        <w:t xml:space="preserve">(S&amp;P 500) </w:t>
      </w:r>
      <w:r w:rsidRPr="00B6450D">
        <w:rPr>
          <w:rFonts w:hint="cs"/>
          <w:i/>
          <w:sz w:val="23"/>
          <w:szCs w:val="23"/>
          <w:rtl/>
        </w:rPr>
        <w:t>برای داده‌های اقتصاد ایالات متحده</w:t>
      </w:r>
      <w:r w:rsidRPr="00B6450D">
        <w:rPr>
          <w:i/>
          <w:sz w:val="23"/>
          <w:szCs w:val="23"/>
        </w:rPr>
        <w:t xml:space="preserve"> </w:t>
      </w:r>
      <w:r w:rsidRPr="00B6450D">
        <w:rPr>
          <w:rFonts w:hint="cs"/>
          <w:i/>
          <w:sz w:val="23"/>
          <w:szCs w:val="23"/>
          <w:rtl/>
        </w:rPr>
        <w:t>برای سال‌های ۱۹۷۷-۲۰۰۷. مهمترین یافته‌های این مدل عبارت است از</w:t>
      </w:r>
    </w:p>
    <w:p w14:paraId="1478994A" w14:textId="77777777" w:rsidR="00556C10" w:rsidRPr="00B6450D" w:rsidRDefault="00556C10" w:rsidP="00C67946">
      <w:pPr>
        <w:pStyle w:val="ListParagraph"/>
        <w:numPr>
          <w:ilvl w:val="0"/>
          <w:numId w:val="6"/>
        </w:numPr>
        <w:spacing w:line="216" w:lineRule="auto"/>
        <w:ind w:left="0" w:firstLine="0"/>
        <w:rPr>
          <w:i/>
          <w:sz w:val="23"/>
          <w:szCs w:val="23"/>
        </w:rPr>
      </w:pPr>
      <w:r w:rsidRPr="00B6450D">
        <w:rPr>
          <w:rFonts w:hint="cs"/>
          <w:i/>
          <w:sz w:val="23"/>
          <w:szCs w:val="23"/>
          <w:rtl/>
        </w:rPr>
        <w:t>شکاف تولید با یک وقفه بطور معنی</w:t>
      </w:r>
      <w:r w:rsidRPr="00B6450D">
        <w:rPr>
          <w:i/>
          <w:sz w:val="23"/>
          <w:szCs w:val="23"/>
          <w:rtl/>
        </w:rPr>
        <w:softHyphen/>
      </w:r>
      <w:r w:rsidRPr="00B6450D">
        <w:rPr>
          <w:rFonts w:hint="cs"/>
          <w:i/>
          <w:sz w:val="23"/>
          <w:szCs w:val="23"/>
          <w:rtl/>
        </w:rPr>
        <w:t>داری متأثر از تورم بوده ولی به نرخ بهره واکنش نشان نمی</w:t>
      </w:r>
      <w:r w:rsidRPr="00B6450D">
        <w:rPr>
          <w:i/>
          <w:sz w:val="23"/>
          <w:szCs w:val="23"/>
          <w:rtl/>
        </w:rPr>
        <w:softHyphen/>
      </w:r>
      <w:r w:rsidRPr="00B6450D">
        <w:rPr>
          <w:rFonts w:hint="cs"/>
          <w:i/>
          <w:sz w:val="23"/>
          <w:szCs w:val="23"/>
          <w:rtl/>
        </w:rPr>
        <w:t>دهد.</w:t>
      </w:r>
    </w:p>
    <w:p w14:paraId="719D56E4" w14:textId="77777777" w:rsidR="00556C10" w:rsidRPr="00B6450D" w:rsidRDefault="00556C10" w:rsidP="00C67946">
      <w:pPr>
        <w:pStyle w:val="ListParagraph"/>
        <w:numPr>
          <w:ilvl w:val="0"/>
          <w:numId w:val="6"/>
        </w:numPr>
        <w:spacing w:line="216" w:lineRule="auto"/>
        <w:ind w:left="0" w:firstLine="0"/>
        <w:rPr>
          <w:i/>
          <w:sz w:val="23"/>
          <w:szCs w:val="23"/>
        </w:rPr>
      </w:pPr>
      <w:r w:rsidRPr="00B6450D">
        <w:rPr>
          <w:rFonts w:hint="cs"/>
          <w:i/>
          <w:sz w:val="23"/>
          <w:szCs w:val="23"/>
          <w:rtl/>
        </w:rPr>
        <w:t>تورم بطور معنی</w:t>
      </w:r>
      <w:r w:rsidRPr="00B6450D">
        <w:rPr>
          <w:i/>
          <w:sz w:val="23"/>
          <w:szCs w:val="23"/>
          <w:rtl/>
        </w:rPr>
        <w:softHyphen/>
      </w:r>
      <w:r w:rsidRPr="00B6450D">
        <w:rPr>
          <w:rFonts w:hint="cs"/>
          <w:i/>
          <w:sz w:val="23"/>
          <w:szCs w:val="23"/>
          <w:rtl/>
        </w:rPr>
        <w:t>داری متأثر از شکاف تولید و بعد از حدود ۸ ماه به مابه</w:t>
      </w:r>
      <w:r w:rsidRPr="00B6450D">
        <w:rPr>
          <w:i/>
          <w:sz w:val="23"/>
          <w:szCs w:val="23"/>
          <w:rtl/>
        </w:rPr>
        <w:softHyphen/>
      </w:r>
      <w:r w:rsidRPr="00B6450D">
        <w:rPr>
          <w:rFonts w:hint="cs"/>
          <w:i/>
          <w:sz w:val="23"/>
          <w:szCs w:val="23"/>
          <w:rtl/>
        </w:rPr>
        <w:t>التفاوت و نرخ وجوه فدرال است،</w:t>
      </w:r>
    </w:p>
    <w:p w14:paraId="3C1B4CB5" w14:textId="77777777" w:rsidR="00556C10" w:rsidRPr="00B6450D" w:rsidRDefault="00556C10" w:rsidP="00C67946">
      <w:pPr>
        <w:pStyle w:val="ListParagraph"/>
        <w:numPr>
          <w:ilvl w:val="0"/>
          <w:numId w:val="6"/>
        </w:numPr>
        <w:spacing w:line="216" w:lineRule="auto"/>
        <w:ind w:left="0" w:firstLine="0"/>
        <w:rPr>
          <w:i/>
          <w:sz w:val="23"/>
          <w:szCs w:val="23"/>
        </w:rPr>
      </w:pPr>
      <w:r w:rsidRPr="00B6450D">
        <w:rPr>
          <w:rFonts w:hint="cs"/>
          <w:i/>
          <w:sz w:val="23"/>
          <w:szCs w:val="23"/>
          <w:rtl/>
        </w:rPr>
        <w:t>بازدهی‌های سهام بطور معنی</w:t>
      </w:r>
      <w:r w:rsidRPr="00B6450D">
        <w:rPr>
          <w:i/>
          <w:sz w:val="23"/>
          <w:szCs w:val="23"/>
          <w:rtl/>
        </w:rPr>
        <w:softHyphen/>
      </w:r>
      <w:r w:rsidRPr="00B6450D">
        <w:rPr>
          <w:rFonts w:hint="cs"/>
          <w:i/>
          <w:sz w:val="23"/>
          <w:szCs w:val="23"/>
          <w:rtl/>
        </w:rPr>
        <w:t>داری متأثر از شکاف تولید نیست ولی رابطه‌ی منفی با تورم بعد از دو ماه، و مثبت با مابه</w:t>
      </w:r>
      <w:r w:rsidRPr="00B6450D">
        <w:rPr>
          <w:i/>
          <w:sz w:val="23"/>
          <w:szCs w:val="23"/>
          <w:rtl/>
        </w:rPr>
        <w:softHyphen/>
      </w:r>
      <w:r w:rsidRPr="00B6450D">
        <w:rPr>
          <w:rFonts w:hint="cs"/>
          <w:i/>
          <w:sz w:val="23"/>
          <w:szCs w:val="23"/>
          <w:rtl/>
        </w:rPr>
        <w:t>التفاوت و نرخ وجوه فدرال بعد از سه ماه دارد.</w:t>
      </w:r>
    </w:p>
    <w:p w14:paraId="7E5A9A89" w14:textId="77777777" w:rsidR="00556C10" w:rsidRPr="00B6450D" w:rsidRDefault="00556C10" w:rsidP="00C67946">
      <w:pPr>
        <w:pStyle w:val="ListParagraph"/>
        <w:numPr>
          <w:ilvl w:val="0"/>
          <w:numId w:val="6"/>
        </w:numPr>
        <w:spacing w:line="216" w:lineRule="auto"/>
        <w:ind w:left="0" w:firstLine="0"/>
        <w:rPr>
          <w:i/>
          <w:sz w:val="23"/>
          <w:szCs w:val="23"/>
        </w:rPr>
      </w:pPr>
      <w:proofErr w:type="gramStart"/>
      <w:r w:rsidRPr="00B6450D">
        <w:rPr>
          <w:i/>
          <w:sz w:val="23"/>
          <w:szCs w:val="23"/>
        </w:rPr>
        <w:t xml:space="preserve">SPREAD </w:t>
      </w:r>
      <w:r w:rsidRPr="00B6450D">
        <w:rPr>
          <w:rFonts w:hint="cs"/>
          <w:i/>
          <w:sz w:val="23"/>
          <w:szCs w:val="23"/>
          <w:rtl/>
        </w:rPr>
        <w:t xml:space="preserve"> یا</w:t>
      </w:r>
      <w:proofErr w:type="gramEnd"/>
      <w:r w:rsidRPr="00B6450D">
        <w:rPr>
          <w:rFonts w:hint="cs"/>
          <w:i/>
          <w:sz w:val="23"/>
          <w:szCs w:val="23"/>
          <w:rtl/>
        </w:rPr>
        <w:t xml:space="preserve"> مابه</w:t>
      </w:r>
      <w:r w:rsidRPr="00B6450D">
        <w:rPr>
          <w:i/>
          <w:sz w:val="23"/>
          <w:szCs w:val="23"/>
          <w:rtl/>
        </w:rPr>
        <w:softHyphen/>
      </w:r>
      <w:r w:rsidRPr="00B6450D">
        <w:rPr>
          <w:rFonts w:hint="cs"/>
          <w:i/>
          <w:sz w:val="23"/>
          <w:szCs w:val="23"/>
          <w:rtl/>
        </w:rPr>
        <w:t>التفاوت به شکاف تولید و تورم بعد از شش ماه واکنش منفی و با بازدهی‌های سهام واکنش مثبت نشان می‌دهد،</w:t>
      </w:r>
    </w:p>
    <w:p w14:paraId="74E7715A" w14:textId="77777777" w:rsidR="00556C10" w:rsidRPr="00B6450D" w:rsidRDefault="00556C10" w:rsidP="00C67946">
      <w:pPr>
        <w:pStyle w:val="ListParagraph"/>
        <w:numPr>
          <w:ilvl w:val="0"/>
          <w:numId w:val="6"/>
        </w:numPr>
        <w:spacing w:line="216" w:lineRule="auto"/>
        <w:ind w:left="0" w:firstLine="0"/>
        <w:rPr>
          <w:i/>
          <w:sz w:val="23"/>
          <w:szCs w:val="23"/>
        </w:rPr>
      </w:pPr>
      <w:r w:rsidRPr="00B6450D">
        <w:rPr>
          <w:rFonts w:hint="cs"/>
          <w:i/>
          <w:sz w:val="23"/>
          <w:szCs w:val="23"/>
          <w:rtl/>
        </w:rPr>
        <w:lastRenderedPageBreak/>
        <w:t>نرخ وجوه فدرال به شکاف تولید و تورم واکنش منفی داشته و با بازدهی‌های سهام واکنش مثبت دارد.</w:t>
      </w:r>
    </w:p>
    <w:p w14:paraId="6DF48600" w14:textId="77777777" w:rsidR="00556C10" w:rsidRPr="00B6450D" w:rsidRDefault="00556C10" w:rsidP="00556C10">
      <w:pPr>
        <w:pStyle w:val="ListParagraph"/>
        <w:spacing w:line="216" w:lineRule="auto"/>
        <w:ind w:left="0"/>
        <w:rPr>
          <w:i/>
          <w:sz w:val="23"/>
          <w:szCs w:val="23"/>
          <w:rtl/>
        </w:rPr>
      </w:pPr>
      <w:r w:rsidRPr="00B6450D">
        <w:rPr>
          <w:rFonts w:hint="cs"/>
          <w:i/>
          <w:sz w:val="23"/>
          <w:szCs w:val="23"/>
          <w:rtl/>
        </w:rPr>
        <w:t>این نتایج رابطه‌ی متقابل متغیرهای اقتصاد کلان و متغیرهای مالی را تأیید می‌کند. هنگامی</w:t>
      </w:r>
      <w:r w:rsidRPr="00B6450D">
        <w:rPr>
          <w:i/>
          <w:sz w:val="23"/>
          <w:szCs w:val="23"/>
          <w:rtl/>
        </w:rPr>
        <w:softHyphen/>
      </w:r>
      <w:r w:rsidRPr="00B6450D">
        <w:rPr>
          <w:rFonts w:hint="cs"/>
          <w:i/>
          <w:sz w:val="23"/>
          <w:szCs w:val="23"/>
          <w:rtl/>
        </w:rPr>
        <w:t>که چرخه‌ی تجاری به اندازه‌ی کافی متأثر از متغیرهای مالی نیست، تورم به نرخ بهره با وقفه واکنش نشان می‌دهد. بازار سهام با یک تأخیر و با تورم رابطه</w:t>
      </w:r>
      <w:r w:rsidRPr="00B6450D">
        <w:rPr>
          <w:i/>
          <w:sz w:val="23"/>
          <w:szCs w:val="23"/>
          <w:rtl/>
        </w:rPr>
        <w:softHyphen/>
      </w:r>
      <w:r w:rsidRPr="00B6450D">
        <w:rPr>
          <w:rFonts w:hint="cs"/>
          <w:i/>
          <w:sz w:val="23"/>
          <w:szCs w:val="23"/>
          <w:rtl/>
        </w:rPr>
        <w:t>ی منفی دارد. این نتایج نشان می‌دهند که سیکل تجاری و تورم نرخ بهره را تحت تأثیر قرار داده، سیکل تجاری عمدتاً نرخ کوتاه‌مدت را تحت تأثیر قرار داده و تورم کلیه‌ی سررسیدها را.</w:t>
      </w:r>
    </w:p>
    <w:p w14:paraId="58C59506" w14:textId="77777777" w:rsidR="00556C10" w:rsidRPr="00B6450D" w:rsidRDefault="00556C10" w:rsidP="00556C10">
      <w:pPr>
        <w:pStyle w:val="ListParagraph"/>
        <w:spacing w:line="216" w:lineRule="auto"/>
        <w:ind w:left="0"/>
        <w:rPr>
          <w:i/>
          <w:sz w:val="23"/>
          <w:szCs w:val="23"/>
          <w:rtl/>
        </w:rPr>
      </w:pPr>
    </w:p>
    <w:p w14:paraId="2EF2FE18" w14:textId="77777777" w:rsidR="00556C10" w:rsidRPr="00B6450D" w:rsidRDefault="00556C10" w:rsidP="00556C10">
      <w:pPr>
        <w:pStyle w:val="ListParagraph"/>
        <w:spacing w:line="216" w:lineRule="auto"/>
        <w:ind w:left="0"/>
        <w:rPr>
          <w:bCs/>
          <w:i/>
          <w:sz w:val="23"/>
          <w:szCs w:val="23"/>
          <w:rtl/>
        </w:rPr>
      </w:pPr>
      <w:r w:rsidRPr="00B6450D">
        <w:rPr>
          <w:rFonts w:hint="cs"/>
          <w:bCs/>
          <w:i/>
          <w:sz w:val="23"/>
          <w:szCs w:val="23"/>
          <w:rtl/>
        </w:rPr>
        <w:t>شواهدی از مدل‌های عامل نهفته ساختار زمانی</w:t>
      </w:r>
    </w:p>
    <w:p w14:paraId="3B0A9C4F" w14:textId="77777777" w:rsidR="00556C10" w:rsidRPr="00B6450D" w:rsidRDefault="00556C10" w:rsidP="00556C10">
      <w:pPr>
        <w:pStyle w:val="ListParagraph"/>
        <w:spacing w:line="216" w:lineRule="auto"/>
        <w:ind w:left="0"/>
        <w:rPr>
          <w:i/>
          <w:sz w:val="23"/>
          <w:szCs w:val="23"/>
          <w:rtl/>
        </w:rPr>
      </w:pPr>
      <w:r w:rsidRPr="00B6450D">
        <w:rPr>
          <w:rFonts w:hint="cs"/>
          <w:i/>
          <w:sz w:val="23"/>
          <w:szCs w:val="23"/>
          <w:rtl/>
        </w:rPr>
        <w:t>اثر سیاست پولی بر ساختار زمانی نرخ‌های بهره را می‌توان از مدل‌های عامل نهفته ساختار زمانی بوسیله‌ی مشارکت آن‌ها در یک قاعده سیاست پولی همانند قاعده‌ی تیلور در فصل چهاردهم که نرخ بهره‌ی کوتاه‌مدت را معین می‌کند، استخراج کرد. اگر نرخ تعیین شده بوسیله‌ی بانک مرکزی متأثر از تورم و تولید باشد، و این نرخ ساختار زمانی را از طریق نرخ کوتاه‌مدت تعیین کند، آنگاه ارتباط مستقیمی بین اقتصاد کلان و منحنی بازده وجود داشته، و از این طریق، ارتباطی با هزینه‌ی سرمایه بوجود می‌آید. بر مبنای این رویکرد سه نظریه اَنگ و پیاتزسی،</w:t>
      </w:r>
      <w:r w:rsidRPr="00B6450D">
        <w:rPr>
          <w:rStyle w:val="FootnoteReference"/>
          <w:rFonts w:eastAsiaTheme="majorEastAsia"/>
          <w:i/>
          <w:sz w:val="23"/>
          <w:szCs w:val="23"/>
          <w:rtl/>
        </w:rPr>
        <w:footnoteReference w:id="295"/>
      </w:r>
      <w:r w:rsidRPr="00B6450D">
        <w:rPr>
          <w:rFonts w:hint="cs"/>
          <w:i/>
          <w:sz w:val="23"/>
          <w:szCs w:val="23"/>
          <w:rtl/>
        </w:rPr>
        <w:t xml:space="preserve"> رودبوش و وو،</w:t>
      </w:r>
      <w:r w:rsidRPr="00B6450D">
        <w:rPr>
          <w:rStyle w:val="FootnoteReference"/>
          <w:rFonts w:eastAsiaTheme="majorEastAsia"/>
          <w:i/>
          <w:sz w:val="23"/>
          <w:szCs w:val="23"/>
          <w:rtl/>
        </w:rPr>
        <w:footnoteReference w:id="296"/>
      </w:r>
      <w:r w:rsidRPr="00B6450D">
        <w:rPr>
          <w:rFonts w:hint="cs"/>
          <w:i/>
          <w:sz w:val="23"/>
          <w:szCs w:val="23"/>
          <w:rtl/>
        </w:rPr>
        <w:t xml:space="preserve"> و دیبولد و دیگران</w:t>
      </w:r>
      <w:r w:rsidRPr="00B6450D">
        <w:rPr>
          <w:rStyle w:val="FootnoteReference"/>
          <w:rFonts w:eastAsiaTheme="majorEastAsia"/>
          <w:i/>
          <w:sz w:val="23"/>
          <w:szCs w:val="23"/>
          <w:rtl/>
        </w:rPr>
        <w:footnoteReference w:id="297"/>
      </w:r>
      <w:r w:rsidRPr="00B6450D">
        <w:rPr>
          <w:rFonts w:hint="cs"/>
          <w:i/>
          <w:sz w:val="23"/>
          <w:szCs w:val="23"/>
          <w:rtl/>
        </w:rPr>
        <w:t xml:space="preserve"> را بررسی خواهیم کرد.</w:t>
      </w:r>
    </w:p>
    <w:p w14:paraId="211B6861" w14:textId="77777777" w:rsidR="00556C10" w:rsidRPr="00B6450D" w:rsidRDefault="00556C10" w:rsidP="00556C10">
      <w:pPr>
        <w:pStyle w:val="ListParagraph"/>
        <w:spacing w:line="216" w:lineRule="auto"/>
        <w:ind w:left="0"/>
        <w:rPr>
          <w:i/>
          <w:sz w:val="23"/>
          <w:szCs w:val="23"/>
          <w:rtl/>
        </w:rPr>
      </w:pPr>
      <w:r w:rsidRPr="00B6450D">
        <w:rPr>
          <w:rFonts w:hint="cs"/>
          <w:i/>
          <w:sz w:val="23"/>
          <w:szCs w:val="23"/>
          <w:rtl/>
        </w:rPr>
        <w:t>اَنگ و پیاتزسی</w:t>
      </w:r>
      <w:r w:rsidRPr="00B6450D">
        <w:rPr>
          <w:i/>
          <w:sz w:val="23"/>
          <w:szCs w:val="23"/>
        </w:rPr>
        <w:t xml:space="preserve"> </w:t>
      </w:r>
      <w:r w:rsidRPr="00B6450D">
        <w:rPr>
          <w:rFonts w:hint="cs"/>
          <w:i/>
          <w:sz w:val="23"/>
          <w:szCs w:val="23"/>
          <w:rtl/>
        </w:rPr>
        <w:t>مدل اقتصاد کلان-مالی که قبلاً توضیح داده شد را با تصریح نرخ کوتاه‌مدت مبتنی بر</w:t>
      </w:r>
      <w:r>
        <w:rPr>
          <w:rFonts w:hint="cs"/>
          <w:i/>
          <w:sz w:val="23"/>
          <w:szCs w:val="23"/>
          <w:rtl/>
        </w:rPr>
        <w:t xml:space="preserve"> </w:t>
      </w:r>
      <w:r w:rsidRPr="00B6450D">
        <w:rPr>
          <w:rFonts w:hint="cs"/>
          <w:i/>
          <w:sz w:val="23"/>
          <w:szCs w:val="23"/>
          <w:rtl/>
        </w:rPr>
        <w:t>قاعده‌ی پولی تیلور که در آن وقفه وجود ندارد تعدیل کردند. بنابراین، آن‌ها معادله‌ی اصلی را برای نرخ کوتاه‌مدت جایگزین کردند، بطوری</w:t>
      </w:r>
      <w:r w:rsidRPr="00B6450D">
        <w:rPr>
          <w:i/>
          <w:sz w:val="23"/>
          <w:szCs w:val="23"/>
          <w:rtl/>
        </w:rPr>
        <w:softHyphen/>
      </w:r>
      <w:r w:rsidRPr="00B6450D">
        <w:rPr>
          <w:rFonts w:hint="cs"/>
          <w:i/>
          <w:sz w:val="23"/>
          <w:szCs w:val="23"/>
          <w:rtl/>
        </w:rPr>
        <w:t>که</w:t>
      </w:r>
    </w:p>
    <w:p w14:paraId="3380175F" w14:textId="77777777" w:rsidR="00556C10" w:rsidRPr="00B6450D" w:rsidRDefault="00556C10" w:rsidP="00556C10">
      <w:pPr>
        <w:pStyle w:val="ListParagraph"/>
        <w:bidi w:val="0"/>
        <w:spacing w:line="216" w:lineRule="auto"/>
        <w:ind w:left="0"/>
        <w:rPr>
          <w:i/>
          <w:sz w:val="23"/>
          <w:szCs w:val="23"/>
          <w:rtl/>
        </w:rPr>
      </w:pPr>
      <w:r w:rsidRPr="00B6450D">
        <w:rPr>
          <w:position w:val="-10"/>
        </w:rPr>
        <w:object w:dxaOrig="1520" w:dyaOrig="320" w14:anchorId="7FE9D613">
          <v:shape id="_x0000_i5589" type="#_x0000_t75" style="width:75.65pt;height:15.75pt" o:ole="">
            <v:imagedata r:id="rId9184" o:title=""/>
          </v:shape>
          <o:OLEObject Type="Embed" ProgID="Equation.DSMT4" ShapeID="_x0000_i5589" DrawAspect="Content" ObjectID="_1791379533" r:id="rId9185"/>
        </w:object>
      </w:r>
    </w:p>
    <w:p w14:paraId="540D71F3" w14:textId="77777777" w:rsidR="00556C10" w:rsidRPr="00B6450D" w:rsidRDefault="00556C10" w:rsidP="00556C10">
      <w:pPr>
        <w:pStyle w:val="ListParagraph"/>
        <w:spacing w:line="216" w:lineRule="auto"/>
        <w:ind w:left="0"/>
        <w:rPr>
          <w:i/>
          <w:sz w:val="23"/>
          <w:szCs w:val="23"/>
        </w:rPr>
      </w:pPr>
      <w:r w:rsidRPr="00B6450D">
        <w:rPr>
          <w:rFonts w:hint="cs"/>
          <w:i/>
          <w:sz w:val="23"/>
          <w:szCs w:val="23"/>
          <w:rtl/>
        </w:rPr>
        <w:t>که در آن</w:t>
      </w:r>
      <w:r w:rsidRPr="00B6450D">
        <w:rPr>
          <w:position w:val="-10"/>
        </w:rPr>
        <w:object w:dxaOrig="220" w:dyaOrig="320" w14:anchorId="48C689B1">
          <v:shape id="_x0000_i5590" type="#_x0000_t75" style="width:10.9pt;height:15.75pt" o:ole="">
            <v:imagedata r:id="rId9186" o:title=""/>
          </v:shape>
          <o:OLEObject Type="Embed" ProgID="Equation.DSMT4" ShapeID="_x0000_i5590" DrawAspect="Content" ObjectID="_1791379534" r:id="rId9187"/>
        </w:object>
      </w:r>
      <w:r w:rsidRPr="00B6450D">
        <w:rPr>
          <w:rFonts w:hint="cs"/>
          <w:i/>
          <w:sz w:val="23"/>
          <w:szCs w:val="23"/>
          <w:rtl/>
        </w:rPr>
        <w:t xml:space="preserve"> بردار عوامل نهفته غیرقابل مشاهده</w:t>
      </w:r>
      <w:r w:rsidRPr="00B6450D">
        <w:rPr>
          <w:position w:val="-10"/>
        </w:rPr>
        <w:object w:dxaOrig="279" w:dyaOrig="340" w14:anchorId="039D2FA2">
          <v:shape id="_x0000_i5591" type="#_x0000_t75" style="width:13.9pt;height:16.95pt" o:ole="">
            <v:imagedata r:id="rId9188" o:title=""/>
          </v:shape>
          <o:OLEObject Type="Embed" ProgID="Equation.DSMT4" ShapeID="_x0000_i5591" DrawAspect="Content" ObjectID="_1791379535" r:id="rId9189"/>
        </w:object>
      </w:r>
      <w:r w:rsidRPr="00B6450D">
        <w:rPr>
          <w:rFonts w:hint="cs"/>
          <w:i/>
          <w:sz w:val="23"/>
          <w:szCs w:val="23"/>
          <w:rtl/>
        </w:rPr>
        <w:t xml:space="preserve"> و متغیرهای اقتصاد کلان قابل مشاهده</w:t>
      </w:r>
    </w:p>
    <w:p w14:paraId="22D95A56" w14:textId="77777777" w:rsidR="00556C10" w:rsidRPr="00B6450D" w:rsidRDefault="00556C10" w:rsidP="00556C10">
      <w:pPr>
        <w:pStyle w:val="ListParagraph"/>
        <w:spacing w:line="216" w:lineRule="auto"/>
        <w:ind w:left="0"/>
        <w:rPr>
          <w:i/>
          <w:sz w:val="23"/>
          <w:szCs w:val="23"/>
          <w:rtl/>
        </w:rPr>
      </w:pPr>
      <w:r w:rsidRPr="00B6450D">
        <w:rPr>
          <w:position w:val="-10"/>
        </w:rPr>
        <w:object w:dxaOrig="260" w:dyaOrig="340" w14:anchorId="403915A5">
          <v:shape id="_x0000_i5592" type="#_x0000_t75" style="width:13.3pt;height:16.95pt" o:ole="">
            <v:imagedata r:id="rId9190" o:title=""/>
          </v:shape>
          <o:OLEObject Type="Embed" ProgID="Equation.DSMT4" ShapeID="_x0000_i5592" DrawAspect="Content" ObjectID="_1791379536" r:id="rId9191"/>
        </w:object>
      </w:r>
      <w:r w:rsidRPr="00B6450D">
        <w:rPr>
          <w:rFonts w:hint="cs"/>
          <w:i/>
          <w:sz w:val="23"/>
          <w:szCs w:val="23"/>
          <w:rtl/>
        </w:rPr>
        <w:t xml:space="preserve"> و وقفه‌های آن‌هاست، با یک معادله</w:t>
      </w:r>
      <w:r w:rsidRPr="00B6450D">
        <w:rPr>
          <w:i/>
          <w:sz w:val="23"/>
          <w:szCs w:val="23"/>
          <w:rtl/>
        </w:rPr>
        <w:softHyphen/>
      </w:r>
      <w:r w:rsidRPr="00B6450D">
        <w:rPr>
          <w:rFonts w:hint="cs"/>
          <w:i/>
          <w:sz w:val="23"/>
          <w:szCs w:val="23"/>
          <w:rtl/>
        </w:rPr>
        <w:t>ای که تنها مقادیر جاری متغیرهای اقتصاد کلان را در بر می‌گیرد</w:t>
      </w:r>
    </w:p>
    <w:p w14:paraId="076B4DAB" w14:textId="77777777" w:rsidR="00556C10" w:rsidRPr="00B6450D" w:rsidRDefault="00556C10" w:rsidP="00556C10">
      <w:pPr>
        <w:pStyle w:val="ListParagraph"/>
        <w:bidi w:val="0"/>
        <w:spacing w:line="216" w:lineRule="auto"/>
        <w:ind w:left="0"/>
        <w:rPr>
          <w:i/>
          <w:sz w:val="23"/>
          <w:szCs w:val="23"/>
        </w:rPr>
      </w:pPr>
      <w:r w:rsidRPr="00B6450D">
        <w:rPr>
          <w:position w:val="-10"/>
        </w:rPr>
        <w:object w:dxaOrig="1640" w:dyaOrig="340" w14:anchorId="690032D5">
          <v:shape id="_x0000_i5593" type="#_x0000_t75" style="width:82.3pt;height:16.95pt" o:ole="">
            <v:imagedata r:id="rId9192" o:title=""/>
          </v:shape>
          <o:OLEObject Type="Embed" ProgID="Equation.DSMT4" ShapeID="_x0000_i5593" DrawAspect="Content" ObjectID="_1791379537" r:id="rId9193"/>
        </w:object>
      </w:r>
    </w:p>
    <w:p w14:paraId="3A8F43FB" w14:textId="77777777" w:rsidR="00556C10" w:rsidRPr="00B6450D" w:rsidRDefault="00556C10" w:rsidP="00556C10">
      <w:pPr>
        <w:pStyle w:val="ListParagraph"/>
        <w:spacing w:line="216" w:lineRule="auto"/>
        <w:ind w:left="0"/>
        <w:rPr>
          <w:i/>
          <w:sz w:val="23"/>
          <w:szCs w:val="23"/>
          <w:rtl/>
        </w:rPr>
      </w:pPr>
      <w:r w:rsidRPr="00B6450D">
        <w:rPr>
          <w:rFonts w:hint="cs"/>
          <w:i/>
          <w:sz w:val="23"/>
          <w:szCs w:val="23"/>
          <w:rtl/>
        </w:rPr>
        <w:t>در اینجا</w:t>
      </w:r>
      <w:r w:rsidRPr="00B6450D">
        <w:rPr>
          <w:position w:val="-10"/>
        </w:rPr>
        <w:object w:dxaOrig="220" w:dyaOrig="320" w14:anchorId="47AAF1B1">
          <v:shape id="_x0000_i5594" type="#_x0000_t75" style="width:10.9pt;height:15.75pt" o:ole="">
            <v:imagedata r:id="rId9194" o:title=""/>
          </v:shape>
          <o:OLEObject Type="Embed" ProgID="Equation.DSMT4" ShapeID="_x0000_i5594" DrawAspect="Content" ObjectID="_1791379538" r:id="rId9195"/>
        </w:object>
      </w:r>
      <w:r w:rsidRPr="00B6450D">
        <w:rPr>
          <w:rFonts w:hint="cs"/>
          <w:i/>
          <w:sz w:val="23"/>
          <w:szCs w:val="23"/>
          <w:rtl/>
        </w:rPr>
        <w:t xml:space="preserve"> متغیر تصادفی است.</w:t>
      </w:r>
    </w:p>
    <w:p w14:paraId="252FCA21" w14:textId="77777777" w:rsidR="00556C10" w:rsidRDefault="00556C10" w:rsidP="00556C10">
      <w:pPr>
        <w:pStyle w:val="ListParagraph"/>
        <w:spacing w:line="216" w:lineRule="auto"/>
        <w:ind w:left="0"/>
        <w:rPr>
          <w:i/>
          <w:sz w:val="23"/>
          <w:szCs w:val="23"/>
          <w:rtl/>
        </w:rPr>
      </w:pPr>
      <w:r w:rsidRPr="00B6450D">
        <w:rPr>
          <w:rFonts w:hint="cs"/>
          <w:i/>
          <w:sz w:val="23"/>
          <w:szCs w:val="23"/>
          <w:rtl/>
        </w:rPr>
        <w:t>مهمترین یافته‌ی آن</w:t>
      </w:r>
      <w:r w:rsidRPr="00B6450D">
        <w:rPr>
          <w:i/>
          <w:sz w:val="23"/>
          <w:szCs w:val="23"/>
          <w:rtl/>
        </w:rPr>
        <w:softHyphen/>
      </w:r>
      <w:r w:rsidRPr="00B6450D">
        <w:rPr>
          <w:rFonts w:hint="cs"/>
          <w:i/>
          <w:sz w:val="23"/>
          <w:szCs w:val="23"/>
          <w:rtl/>
        </w:rPr>
        <w:t>ها عبارت است از این</w:t>
      </w:r>
      <w:r w:rsidRPr="00B6450D">
        <w:rPr>
          <w:i/>
          <w:sz w:val="23"/>
          <w:szCs w:val="23"/>
          <w:rtl/>
        </w:rPr>
        <w:softHyphen/>
      </w:r>
      <w:r w:rsidRPr="00B6450D">
        <w:rPr>
          <w:rFonts w:hint="cs"/>
          <w:i/>
          <w:sz w:val="23"/>
          <w:szCs w:val="23"/>
          <w:rtl/>
        </w:rPr>
        <w:t>که ضرایب تورم و درآمد حقیقی در قاعده‌ی تیلور مثبت و معنی دار بوده و به دوره‌ی زمانی داده‌ها حساس است، تورم عامل غالب اقتصاد کلان برای تجزیه</w:t>
      </w:r>
    </w:p>
    <w:p w14:paraId="356A1494" w14:textId="77777777" w:rsidR="00556C10" w:rsidRPr="00B6450D" w:rsidRDefault="00556C10" w:rsidP="00556C10">
      <w:pPr>
        <w:pStyle w:val="ListParagraph"/>
        <w:spacing w:line="216" w:lineRule="auto"/>
        <w:ind w:left="0"/>
        <w:rPr>
          <w:i/>
          <w:sz w:val="23"/>
          <w:szCs w:val="23"/>
          <w:rtl/>
        </w:rPr>
      </w:pPr>
      <w:r w:rsidRPr="00B6450D">
        <w:rPr>
          <w:rFonts w:hint="cs"/>
          <w:i/>
          <w:sz w:val="23"/>
          <w:szCs w:val="23"/>
          <w:rtl/>
        </w:rPr>
        <w:t xml:space="preserve"> واریانس پیش</w:t>
      </w:r>
      <w:r w:rsidRPr="00B6450D">
        <w:rPr>
          <w:i/>
          <w:sz w:val="23"/>
          <w:szCs w:val="23"/>
          <w:rtl/>
        </w:rPr>
        <w:softHyphen/>
      </w:r>
      <w:r w:rsidRPr="00B6450D">
        <w:rPr>
          <w:rFonts w:hint="cs"/>
          <w:i/>
          <w:sz w:val="23"/>
          <w:szCs w:val="23"/>
          <w:rtl/>
        </w:rPr>
        <w:t>بینی است و برای ساختار زمانی در انتهای دوره بسیار مهمتر است.</w:t>
      </w:r>
    </w:p>
    <w:p w14:paraId="41A43B45" w14:textId="77777777" w:rsidR="00556C10" w:rsidRPr="00B6450D" w:rsidRDefault="00556C10" w:rsidP="00556C10">
      <w:pPr>
        <w:pStyle w:val="ListParagraph"/>
        <w:spacing w:line="216" w:lineRule="auto"/>
        <w:ind w:left="0"/>
        <w:rPr>
          <w:i/>
          <w:sz w:val="23"/>
          <w:szCs w:val="23"/>
          <w:rtl/>
        </w:rPr>
      </w:pPr>
      <w:r w:rsidRPr="00B6450D">
        <w:rPr>
          <w:rFonts w:hint="cs"/>
          <w:i/>
          <w:sz w:val="23"/>
          <w:szCs w:val="23"/>
          <w:rtl/>
        </w:rPr>
        <w:lastRenderedPageBreak/>
        <w:t>در یک تحقیق و بررسی اولیه رودبوش و وو مدل استاندارد دو عاملی هموند نهفته ساختار زمانی را برای پنج بازدهی ایالات متحده برآورد کردند. آن‌ها دو عامل سطح</w:t>
      </w:r>
      <w:r w:rsidRPr="00B6450D">
        <w:rPr>
          <w:position w:val="-10"/>
        </w:rPr>
        <w:object w:dxaOrig="260" w:dyaOrig="320" w14:anchorId="0406E4C0">
          <v:shape id="_x0000_i5595" type="#_x0000_t75" style="width:13.3pt;height:15.75pt" o:ole="">
            <v:imagedata r:id="rId9196" o:title=""/>
          </v:shape>
          <o:OLEObject Type="Embed" ProgID="Equation.DSMT4" ShapeID="_x0000_i5595" DrawAspect="Content" ObjectID="_1791379539" r:id="rId9197"/>
        </w:object>
      </w:r>
      <w:r w:rsidRPr="00B6450D">
        <w:rPr>
          <w:rFonts w:hint="cs"/>
          <w:i/>
          <w:sz w:val="23"/>
          <w:szCs w:val="23"/>
          <w:rtl/>
        </w:rPr>
        <w:t xml:space="preserve"> و شیب</w:t>
      </w:r>
      <w:r w:rsidRPr="00B6450D">
        <w:rPr>
          <w:position w:val="-10"/>
        </w:rPr>
        <w:object w:dxaOrig="260" w:dyaOrig="320" w14:anchorId="17825E3D">
          <v:shape id="_x0000_i5596" type="#_x0000_t75" style="width:13.3pt;height:15.75pt" o:ole="">
            <v:imagedata r:id="rId9198" o:title=""/>
          </v:shape>
          <o:OLEObject Type="Embed" ProgID="Equation.DSMT4" ShapeID="_x0000_i5596" DrawAspect="Content" ObjectID="_1791379540" r:id="rId9199"/>
        </w:object>
      </w:r>
      <w:r w:rsidRPr="00B6450D">
        <w:rPr>
          <w:i/>
          <w:sz w:val="23"/>
          <w:szCs w:val="23"/>
        </w:rPr>
        <w:t xml:space="preserve"> </w:t>
      </w:r>
      <w:r w:rsidRPr="00B6450D">
        <w:rPr>
          <w:rFonts w:hint="cs"/>
          <w:i/>
          <w:sz w:val="23"/>
          <w:szCs w:val="23"/>
          <w:rtl/>
        </w:rPr>
        <w:t>را در نظر گرفته و قیدی که نرخ یک دوره</w:t>
      </w:r>
      <w:r w:rsidRPr="00B6450D">
        <w:rPr>
          <w:i/>
          <w:sz w:val="23"/>
          <w:szCs w:val="23"/>
          <w:rtl/>
        </w:rPr>
        <w:softHyphen/>
      </w:r>
      <w:r w:rsidRPr="00B6450D">
        <w:rPr>
          <w:rFonts w:hint="cs"/>
          <w:i/>
          <w:sz w:val="23"/>
          <w:szCs w:val="23"/>
          <w:rtl/>
        </w:rPr>
        <w:t>ای</w:t>
      </w:r>
      <w:r w:rsidRPr="00B6450D">
        <w:rPr>
          <w:position w:val="-10"/>
        </w:rPr>
        <w:object w:dxaOrig="200" w:dyaOrig="320" w14:anchorId="7F65FE62">
          <v:shape id="_x0000_i5597" type="#_x0000_t75" style="width:10.3pt;height:15.75pt" o:ole="">
            <v:imagedata r:id="rId9200" o:title=""/>
          </v:shape>
          <o:OLEObject Type="Embed" ProgID="Equation.DSMT4" ShapeID="_x0000_i5597" DrawAspect="Content" ObjectID="_1791379541" r:id="rId9201"/>
        </w:object>
      </w:r>
      <w:r w:rsidRPr="00B6450D">
        <w:rPr>
          <w:rFonts w:hint="cs"/>
          <w:i/>
          <w:sz w:val="23"/>
          <w:szCs w:val="23"/>
          <w:rtl/>
        </w:rPr>
        <w:t xml:space="preserve"> را تضمین کند تحمیل می‌کنند، به صورتی که</w:t>
      </w:r>
    </w:p>
    <w:p w14:paraId="5482A72C" w14:textId="77777777" w:rsidR="00556C10" w:rsidRPr="00B6450D" w:rsidRDefault="00556C10" w:rsidP="00556C10">
      <w:pPr>
        <w:pStyle w:val="ListParagraph"/>
        <w:bidi w:val="0"/>
        <w:spacing w:line="216" w:lineRule="auto"/>
        <w:ind w:left="0"/>
        <w:rPr>
          <w:i/>
          <w:sz w:val="23"/>
          <w:szCs w:val="23"/>
        </w:rPr>
      </w:pPr>
      <w:r w:rsidRPr="00B6450D">
        <w:rPr>
          <w:position w:val="-10"/>
        </w:rPr>
        <w:object w:dxaOrig="2400" w:dyaOrig="320" w14:anchorId="06DCE699">
          <v:shape id="_x0000_i5598" type="#_x0000_t75" style="width:119.8pt;height:15.75pt" o:ole="">
            <v:imagedata r:id="rId9202" o:title=""/>
          </v:shape>
          <o:OLEObject Type="Embed" ProgID="Equation.DSMT4" ShapeID="_x0000_i5598" DrawAspect="Content" ObjectID="_1791379542" r:id="rId9203"/>
        </w:object>
      </w:r>
    </w:p>
    <w:p w14:paraId="33542C69" w14:textId="77777777" w:rsidR="00556C10" w:rsidRPr="00B6450D" w:rsidRDefault="00556C10" w:rsidP="00556C10">
      <w:pPr>
        <w:pStyle w:val="ListParagraph"/>
        <w:spacing w:line="216" w:lineRule="auto"/>
        <w:ind w:left="0"/>
        <w:rPr>
          <w:i/>
          <w:sz w:val="23"/>
          <w:szCs w:val="23"/>
          <w:rtl/>
        </w:rPr>
      </w:pPr>
      <w:r w:rsidRPr="00B6450D">
        <w:rPr>
          <w:rFonts w:hint="cs"/>
          <w:i/>
          <w:sz w:val="23"/>
          <w:szCs w:val="23"/>
          <w:rtl/>
        </w:rPr>
        <w:t>که در آن</w:t>
      </w:r>
      <w:r w:rsidRPr="00B6450D">
        <w:rPr>
          <w:i/>
          <w:sz w:val="23"/>
          <w:szCs w:val="23"/>
        </w:rPr>
        <w:t xml:space="preserve"> </w:t>
      </w:r>
      <w:r w:rsidRPr="00B6450D">
        <w:rPr>
          <w:rFonts w:hint="cs"/>
          <w:i/>
          <w:sz w:val="23"/>
          <w:szCs w:val="23"/>
          <w:rtl/>
        </w:rPr>
        <w:t>فرض می‌شود</w:t>
      </w:r>
      <w:r w:rsidRPr="00B6450D">
        <w:rPr>
          <w:position w:val="-12"/>
        </w:rPr>
        <w:object w:dxaOrig="1140" w:dyaOrig="440" w14:anchorId="63872BC2">
          <v:shape id="_x0000_i5599" type="#_x0000_t75" style="width:57.5pt;height:21.8pt" o:ole="">
            <v:imagedata r:id="rId9204" o:title=""/>
          </v:shape>
          <o:OLEObject Type="Embed" ProgID="Equation.DSMT4" ShapeID="_x0000_i5599" DrawAspect="Content" ObjectID="_1791379543" r:id="rId9205"/>
        </w:object>
      </w:r>
      <w:r w:rsidRPr="00B6450D">
        <w:rPr>
          <w:i/>
          <w:sz w:val="23"/>
          <w:szCs w:val="23"/>
        </w:rPr>
        <w:t xml:space="preserve"> </w:t>
      </w:r>
      <w:r w:rsidRPr="00B6450D">
        <w:rPr>
          <w:rFonts w:hint="cs"/>
          <w:i/>
          <w:sz w:val="23"/>
          <w:szCs w:val="23"/>
          <w:rtl/>
        </w:rPr>
        <w:t xml:space="preserve">بر اساس مدل </w:t>
      </w:r>
      <w:r w:rsidRPr="00B6450D">
        <w:rPr>
          <w:position w:val="-8"/>
        </w:rPr>
        <w:object w:dxaOrig="740" w:dyaOrig="279" w14:anchorId="53A6A9CF">
          <v:shape id="_x0000_i5600" type="#_x0000_t75" style="width:36.9pt;height:13.9pt" o:ole="">
            <v:imagedata r:id="rId9206" o:title=""/>
          </v:shape>
          <o:OLEObject Type="Embed" ProgID="Equation.DSMT4" ShapeID="_x0000_i5600" DrawAspect="Content" ObjectID="_1791379544" r:id="rId9207"/>
        </w:object>
      </w:r>
      <w:r w:rsidRPr="00B6450D">
        <w:rPr>
          <w:i/>
          <w:sz w:val="23"/>
          <w:szCs w:val="23"/>
        </w:rPr>
        <w:t xml:space="preserve"> </w:t>
      </w:r>
      <w:r w:rsidRPr="00B6450D">
        <w:rPr>
          <w:rFonts w:hint="cs"/>
          <w:i/>
          <w:sz w:val="23"/>
          <w:szCs w:val="23"/>
          <w:rtl/>
        </w:rPr>
        <w:t>ایجاد شده و اجزاء اخلال ناهمبسته</w:t>
      </w:r>
      <w:r w:rsidRPr="00B6450D">
        <w:rPr>
          <w:i/>
          <w:sz w:val="23"/>
          <w:szCs w:val="23"/>
          <w:rtl/>
        </w:rPr>
        <w:softHyphen/>
      </w:r>
      <w:r w:rsidRPr="00B6450D">
        <w:rPr>
          <w:rFonts w:hint="cs"/>
          <w:i/>
          <w:sz w:val="23"/>
          <w:szCs w:val="23"/>
          <w:rtl/>
        </w:rPr>
        <w:t>اند. بازده‌ها بوسیله‌ی رابطه‌ی زیر تعیین می‌شوند</w:t>
      </w:r>
    </w:p>
    <w:p w14:paraId="3F38816D" w14:textId="77777777" w:rsidR="00556C10" w:rsidRPr="00B6450D" w:rsidRDefault="00556C10" w:rsidP="00556C10">
      <w:pPr>
        <w:pStyle w:val="ListParagraph"/>
        <w:bidi w:val="0"/>
        <w:spacing w:line="216" w:lineRule="auto"/>
        <w:ind w:left="0"/>
        <w:rPr>
          <w:i/>
          <w:sz w:val="23"/>
          <w:szCs w:val="23"/>
        </w:rPr>
      </w:pPr>
      <w:r w:rsidRPr="00B6450D">
        <w:rPr>
          <w:position w:val="-12"/>
        </w:rPr>
        <w:object w:dxaOrig="1480" w:dyaOrig="340" w14:anchorId="3BCD5F76">
          <v:shape id="_x0000_i5601" type="#_x0000_t75" style="width:73.8pt;height:16.95pt" o:ole="">
            <v:imagedata r:id="rId9208" o:title=""/>
          </v:shape>
          <o:OLEObject Type="Embed" ProgID="Equation.DSMT4" ShapeID="_x0000_i5601" DrawAspect="Content" ObjectID="_1791379545" r:id="rId9209"/>
        </w:object>
      </w:r>
    </w:p>
    <w:p w14:paraId="75C9FECC" w14:textId="77777777" w:rsidR="00556C10" w:rsidRPr="00B6450D" w:rsidRDefault="00556C10" w:rsidP="00556C10">
      <w:pPr>
        <w:pStyle w:val="ListParagraph"/>
        <w:spacing w:line="216" w:lineRule="auto"/>
        <w:ind w:left="0"/>
        <w:rPr>
          <w:i/>
          <w:sz w:val="23"/>
          <w:szCs w:val="23"/>
          <w:rtl/>
        </w:rPr>
      </w:pPr>
      <w:r w:rsidRPr="00B6450D">
        <w:rPr>
          <w:rFonts w:hint="cs"/>
          <w:i/>
          <w:sz w:val="23"/>
          <w:szCs w:val="23"/>
          <w:rtl/>
        </w:rPr>
        <w:t xml:space="preserve">با </w:t>
      </w:r>
      <w:r w:rsidRPr="00B6450D">
        <w:rPr>
          <w:position w:val="-10"/>
        </w:rPr>
        <w:object w:dxaOrig="720" w:dyaOrig="320" w14:anchorId="50D415F8">
          <v:shape id="_x0000_i5602" type="#_x0000_t75" style="width:36.3pt;height:15.75pt" o:ole="">
            <v:imagedata r:id="rId9210" o:title=""/>
          </v:shape>
          <o:OLEObject Type="Embed" ProgID="Equation.DSMT4" ShapeID="_x0000_i5602" DrawAspect="Content" ObjectID="_1791379546" r:id="rId9211"/>
        </w:object>
      </w:r>
      <w:r w:rsidRPr="00B6450D">
        <w:rPr>
          <w:rFonts w:hint="cs"/>
          <w:i/>
          <w:sz w:val="23"/>
          <w:szCs w:val="23"/>
          <w:rtl/>
        </w:rPr>
        <w:t xml:space="preserve"> و </w:t>
      </w:r>
      <w:r w:rsidRPr="00B6450D">
        <w:rPr>
          <w:position w:val="-10"/>
        </w:rPr>
        <w:object w:dxaOrig="680" w:dyaOrig="320" w14:anchorId="735BBEB5">
          <v:shape id="_x0000_i5603" type="#_x0000_t75" style="width:33.9pt;height:15.75pt" o:ole="">
            <v:imagedata r:id="rId9212" o:title=""/>
          </v:shape>
          <o:OLEObject Type="Embed" ProgID="Equation.DSMT4" ShapeID="_x0000_i5603" DrawAspect="Content" ObjectID="_1791379547" r:id="rId9213"/>
        </w:object>
      </w:r>
      <w:r w:rsidRPr="00B6450D">
        <w:rPr>
          <w:rFonts w:hint="cs"/>
          <w:i/>
          <w:sz w:val="23"/>
          <w:szCs w:val="23"/>
          <w:rtl/>
        </w:rPr>
        <w:t xml:space="preserve"> و </w:t>
      </w:r>
      <w:r w:rsidRPr="00B6450D">
        <w:rPr>
          <w:position w:val="-10"/>
        </w:rPr>
        <w:object w:dxaOrig="639" w:dyaOrig="320" w14:anchorId="21B00A03">
          <v:shape id="_x0000_i5604" type="#_x0000_t75" style="width:31.45pt;height:15.75pt" o:ole="">
            <v:imagedata r:id="rId9214" o:title=""/>
          </v:shape>
          <o:OLEObject Type="Embed" ProgID="Equation.DSMT4" ShapeID="_x0000_i5604" DrawAspect="Content" ObjectID="_1791379548" r:id="rId9215"/>
        </w:object>
      </w:r>
      <w:r w:rsidRPr="00B6450D">
        <w:rPr>
          <w:rFonts w:hint="cs"/>
          <w:i/>
          <w:sz w:val="23"/>
          <w:szCs w:val="23"/>
          <w:rtl/>
        </w:rPr>
        <w:t xml:space="preserve"> شرط بدون آربیتراژ بدست آمده در این فصل را تضمین می‌کند. آن‌ها دریافتند که ‌یک مؤلفه اصلی</w:t>
      </w:r>
      <w:r w:rsidRPr="00B6450D">
        <w:rPr>
          <w:rStyle w:val="FootnoteReference"/>
          <w:i/>
          <w:sz w:val="23"/>
          <w:szCs w:val="23"/>
          <w:rtl/>
        </w:rPr>
        <w:footnoteReference w:id="298"/>
      </w:r>
      <w:r w:rsidRPr="00B6450D">
        <w:rPr>
          <w:rFonts w:hint="cs"/>
          <w:i/>
          <w:sz w:val="23"/>
          <w:szCs w:val="23"/>
          <w:rtl/>
        </w:rPr>
        <w:t xml:space="preserve"> ۹۳ درصد از تغییرات، و دو مؤلفه اصلی بیش از ۹۹ درصد از پنج بازده مورد استفاده در کل ساختار زمانی را توضیح می‌دهند. یک واحد افزایش در</w:t>
      </w:r>
      <w:r w:rsidRPr="00B6450D">
        <w:rPr>
          <w:position w:val="-10"/>
        </w:rPr>
        <w:object w:dxaOrig="260" w:dyaOrig="320" w14:anchorId="797CCA10">
          <v:shape id="_x0000_i5605" type="#_x0000_t75" style="width:13.3pt;height:15.75pt" o:ole="">
            <v:imagedata r:id="rId9216" o:title=""/>
          </v:shape>
          <o:OLEObject Type="Embed" ProgID="Equation.DSMT4" ShapeID="_x0000_i5605" DrawAspect="Content" ObjectID="_1791379549" r:id="rId9217"/>
        </w:object>
      </w:r>
      <w:r w:rsidRPr="00B6450D">
        <w:rPr>
          <w:rFonts w:hint="cs"/>
          <w:i/>
          <w:sz w:val="23"/>
          <w:szCs w:val="23"/>
          <w:rtl/>
        </w:rPr>
        <w:t xml:space="preserve"> تقریباً تمامی بازده‌ها را یک واحد افزایش داده، یک افزایش در</w:t>
      </w:r>
      <w:r w:rsidRPr="00B6450D">
        <w:rPr>
          <w:position w:val="-10"/>
        </w:rPr>
        <w:object w:dxaOrig="260" w:dyaOrig="320" w14:anchorId="4360B1C3">
          <v:shape id="_x0000_i5606" type="#_x0000_t75" style="width:13.3pt;height:15.75pt" o:ole="">
            <v:imagedata r:id="rId9218" o:title=""/>
          </v:shape>
          <o:OLEObject Type="Embed" ProgID="Equation.DSMT4" ShapeID="_x0000_i5606" DrawAspect="Content" ObjectID="_1791379550" r:id="rId9219"/>
        </w:object>
      </w:r>
      <w:r w:rsidRPr="00B6450D">
        <w:rPr>
          <w:rFonts w:hint="cs"/>
          <w:i/>
          <w:sz w:val="23"/>
          <w:szCs w:val="23"/>
          <w:rtl/>
        </w:rPr>
        <w:t xml:space="preserve"> بازده‌های کوتاه‌مدت را بیشتر از بازده‌های بلند‌مدت افزایش، و شیب منحنی بازده، یعنی مابه</w:t>
      </w:r>
      <w:r w:rsidRPr="00B6450D">
        <w:rPr>
          <w:i/>
          <w:sz w:val="23"/>
          <w:szCs w:val="23"/>
          <w:rtl/>
        </w:rPr>
        <w:softHyphen/>
      </w:r>
      <w:r w:rsidRPr="00B6450D">
        <w:rPr>
          <w:rFonts w:hint="cs"/>
          <w:i/>
          <w:sz w:val="23"/>
          <w:szCs w:val="23"/>
          <w:rtl/>
        </w:rPr>
        <w:t>التفاوت زمانی را کاهش می‌دهد. این نتایج نام</w:t>
      </w:r>
      <w:r w:rsidRPr="00B6450D">
        <w:rPr>
          <w:i/>
          <w:sz w:val="23"/>
          <w:szCs w:val="23"/>
          <w:rtl/>
        </w:rPr>
        <w:softHyphen/>
      </w:r>
      <w:r w:rsidRPr="00B6450D">
        <w:rPr>
          <w:rFonts w:hint="cs"/>
          <w:i/>
          <w:sz w:val="23"/>
          <w:szCs w:val="23"/>
          <w:rtl/>
        </w:rPr>
        <w:t>های داده شده به دو عامل را توجیه</w:t>
      </w:r>
      <w:r w:rsidRPr="00B6450D">
        <w:rPr>
          <w:i/>
          <w:sz w:val="23"/>
          <w:szCs w:val="23"/>
        </w:rPr>
        <w:t xml:space="preserve"> </w:t>
      </w:r>
      <w:r w:rsidRPr="00B6450D">
        <w:rPr>
          <w:rFonts w:hint="cs"/>
          <w:i/>
          <w:sz w:val="23"/>
          <w:szCs w:val="23"/>
          <w:rtl/>
        </w:rPr>
        <w:t>می</w:t>
      </w:r>
      <w:r w:rsidRPr="00B6450D">
        <w:rPr>
          <w:i/>
          <w:sz w:val="23"/>
          <w:szCs w:val="23"/>
          <w:rtl/>
        </w:rPr>
        <w:softHyphen/>
      </w:r>
      <w:r w:rsidRPr="00B6450D">
        <w:rPr>
          <w:rFonts w:hint="cs"/>
          <w:i/>
          <w:sz w:val="23"/>
          <w:szCs w:val="23"/>
          <w:rtl/>
        </w:rPr>
        <w:t>کند: عامل سطح،  تغییرات بازده‌های بلند‌مدت را بیش ازکوتاه‌مدت و میان‌مدت توضیح می‌دهد، و عامل شیب  ساختار زمانی را برای کسانی که دارایی را فروخته</w:t>
      </w:r>
      <w:r w:rsidRPr="00B6450D">
        <w:rPr>
          <w:i/>
          <w:sz w:val="23"/>
          <w:szCs w:val="23"/>
          <w:rtl/>
        </w:rPr>
        <w:softHyphen/>
      </w:r>
      <w:r w:rsidRPr="00B6450D">
        <w:rPr>
          <w:rFonts w:hint="cs"/>
          <w:i/>
          <w:sz w:val="23"/>
          <w:szCs w:val="23"/>
          <w:rtl/>
        </w:rPr>
        <w:t>اند نسبت به کسانی که دارایی را خریده</w:t>
      </w:r>
      <w:r w:rsidRPr="00B6450D">
        <w:rPr>
          <w:i/>
          <w:sz w:val="23"/>
          <w:szCs w:val="23"/>
          <w:rtl/>
        </w:rPr>
        <w:softHyphen/>
      </w:r>
      <w:r w:rsidRPr="00B6450D">
        <w:rPr>
          <w:rFonts w:hint="cs"/>
          <w:i/>
          <w:sz w:val="23"/>
          <w:szCs w:val="23"/>
          <w:rtl/>
        </w:rPr>
        <w:t>اند بیشتر توضیح می‌دهد.</w:t>
      </w:r>
    </w:p>
    <w:p w14:paraId="6140CDE5" w14:textId="77777777" w:rsidR="00556C10" w:rsidRPr="00B6450D" w:rsidRDefault="00556C10" w:rsidP="00556C10">
      <w:pPr>
        <w:pStyle w:val="ListParagraph"/>
        <w:spacing w:line="216" w:lineRule="auto"/>
        <w:ind w:left="0"/>
        <w:rPr>
          <w:i/>
          <w:sz w:val="23"/>
          <w:szCs w:val="23"/>
          <w:rtl/>
        </w:rPr>
      </w:pPr>
      <w:r w:rsidRPr="00B6450D">
        <w:rPr>
          <w:rFonts w:hint="cs"/>
          <w:i/>
          <w:sz w:val="23"/>
          <w:szCs w:val="23"/>
          <w:rtl/>
        </w:rPr>
        <w:t>با برآورد سطح و شیب عوامل، رودبوش و وو چگونگی ارتباط آن</w:t>
      </w:r>
      <w:r w:rsidRPr="00B6450D">
        <w:rPr>
          <w:i/>
          <w:sz w:val="23"/>
          <w:szCs w:val="23"/>
          <w:rtl/>
        </w:rPr>
        <w:softHyphen/>
      </w:r>
      <w:r w:rsidRPr="00B6450D">
        <w:rPr>
          <w:rFonts w:hint="cs"/>
          <w:i/>
          <w:sz w:val="23"/>
          <w:szCs w:val="23"/>
          <w:rtl/>
        </w:rPr>
        <w:t>ها با تورم</w:t>
      </w:r>
      <w:r w:rsidRPr="00B6450D">
        <w:rPr>
          <w:position w:val="-10"/>
        </w:rPr>
        <w:object w:dxaOrig="240" w:dyaOrig="320" w14:anchorId="6F9059AF">
          <v:shape id="_x0000_i5607" type="#_x0000_t75" style="width:11.5pt;height:15.75pt" o:ole="">
            <v:imagedata r:id="rId9220" o:title=""/>
          </v:shape>
          <o:OLEObject Type="Embed" ProgID="Equation.DSMT4" ShapeID="_x0000_i5607" DrawAspect="Content" ObjectID="_1791379551" r:id="rId9221"/>
        </w:object>
      </w:r>
      <w:r w:rsidRPr="00B6450D">
        <w:rPr>
          <w:rFonts w:hint="cs"/>
          <w:i/>
          <w:sz w:val="23"/>
          <w:szCs w:val="23"/>
          <w:rtl/>
        </w:rPr>
        <w:t xml:space="preserve"> و شکاف تولید</w:t>
      </w:r>
      <w:r w:rsidRPr="00B6450D">
        <w:rPr>
          <w:position w:val="-10"/>
        </w:rPr>
        <w:object w:dxaOrig="240" w:dyaOrig="320" w14:anchorId="0FCD723B">
          <v:shape id="_x0000_i5608" type="#_x0000_t75" style="width:11.5pt;height:15.75pt" o:ole="">
            <v:imagedata r:id="rId9222" o:title=""/>
          </v:shape>
          <o:OLEObject Type="Embed" ProgID="Equation.DSMT4" ShapeID="_x0000_i5608" DrawAspect="Content" ObjectID="_1791379552" r:id="rId9223"/>
        </w:object>
      </w:r>
      <w:r w:rsidRPr="00B6450D">
        <w:rPr>
          <w:rFonts w:hint="cs"/>
          <w:i/>
          <w:sz w:val="23"/>
          <w:szCs w:val="23"/>
          <w:rtl/>
        </w:rPr>
        <w:t xml:space="preserve"> که بوسیله‌ی تولیدات صنعتی اندازه‌گیری شدند را بررسی کردند و برآوردهای زیر را بدست آورددند</w:t>
      </w:r>
    </w:p>
    <w:p w14:paraId="0E27B8B7" w14:textId="77777777" w:rsidR="00556C10" w:rsidRPr="00B6450D" w:rsidRDefault="00556C10" w:rsidP="00556C10">
      <w:pPr>
        <w:pStyle w:val="ListParagraph"/>
        <w:bidi w:val="0"/>
        <w:spacing w:line="216" w:lineRule="auto"/>
        <w:ind w:left="0"/>
        <w:rPr>
          <w:i/>
          <w:sz w:val="23"/>
          <w:szCs w:val="23"/>
        </w:rPr>
      </w:pPr>
      <w:r w:rsidRPr="00B6450D">
        <w:rPr>
          <w:position w:val="-22"/>
        </w:rPr>
        <w:object w:dxaOrig="3760" w:dyaOrig="460" w14:anchorId="57A40B63">
          <v:shape id="_x0000_i5609" type="#_x0000_t75" style="width:188.15pt;height:23pt" o:ole="">
            <v:imagedata r:id="rId9224" o:title=""/>
          </v:shape>
          <o:OLEObject Type="Embed" ProgID="Equation.DSMT4" ShapeID="_x0000_i5609" DrawAspect="Content" ObjectID="_1791379553" r:id="rId9225"/>
        </w:object>
      </w:r>
    </w:p>
    <w:p w14:paraId="24E5F4E3" w14:textId="77777777" w:rsidR="00556C10" w:rsidRPr="00B6450D" w:rsidRDefault="00556C10" w:rsidP="00556C10">
      <w:pPr>
        <w:pStyle w:val="ListParagraph"/>
        <w:bidi w:val="0"/>
        <w:spacing w:line="216" w:lineRule="auto"/>
        <w:ind w:left="0"/>
        <w:rPr>
          <w:i/>
          <w:sz w:val="23"/>
          <w:szCs w:val="23"/>
        </w:rPr>
      </w:pPr>
      <w:r w:rsidRPr="00B6450D">
        <w:rPr>
          <w:position w:val="-22"/>
        </w:rPr>
        <w:object w:dxaOrig="3840" w:dyaOrig="460" w14:anchorId="4B55B985">
          <v:shape id="_x0000_i5610" type="#_x0000_t75" style="width:191.8pt;height:23pt" o:ole="">
            <v:imagedata r:id="rId9226" o:title=""/>
          </v:shape>
          <o:OLEObject Type="Embed" ProgID="Equation.DSMT4" ShapeID="_x0000_i5610" DrawAspect="Content" ObjectID="_1791379554" r:id="rId9227"/>
        </w:object>
      </w:r>
    </w:p>
    <w:p w14:paraId="24F068FB" w14:textId="77777777" w:rsidR="00556C10" w:rsidRPr="00B6450D" w:rsidRDefault="00556C10" w:rsidP="00556C10">
      <w:pPr>
        <w:pStyle w:val="ListParagraph"/>
        <w:spacing w:line="216" w:lineRule="auto"/>
        <w:ind w:left="0"/>
        <w:rPr>
          <w:i/>
          <w:sz w:val="23"/>
          <w:szCs w:val="23"/>
          <w:rtl/>
        </w:rPr>
      </w:pPr>
      <w:r w:rsidRPr="00B6450D">
        <w:rPr>
          <w:rFonts w:hint="cs"/>
          <w:i/>
          <w:sz w:val="23"/>
          <w:szCs w:val="23"/>
          <w:rtl/>
        </w:rPr>
        <w:t>معادله‌ی عامل سطح بطوری مقید شده است که اثر بلند‌مدت تورم بر</w:t>
      </w:r>
      <w:r w:rsidRPr="00B6450D">
        <w:rPr>
          <w:position w:val="-10"/>
        </w:rPr>
        <w:object w:dxaOrig="260" w:dyaOrig="320" w14:anchorId="32BAF404">
          <v:shape id="_x0000_i5611" type="#_x0000_t75" style="width:13.3pt;height:15.75pt" o:ole="">
            <v:imagedata r:id="rId9228" o:title=""/>
          </v:shape>
          <o:OLEObject Type="Embed" ProgID="Equation.DSMT4" ShapeID="_x0000_i5611" DrawAspect="Content" ObjectID="_1791379555" r:id="rId9229"/>
        </w:object>
      </w:r>
      <w:r w:rsidRPr="00B6450D">
        <w:rPr>
          <w:rFonts w:hint="cs"/>
          <w:i/>
          <w:sz w:val="23"/>
          <w:szCs w:val="23"/>
          <w:rtl/>
        </w:rPr>
        <w:t xml:space="preserve"> برابر واحد است، یعنی، تورم کاملاً به عامل سطح در بلندمدت منتقل شده است. این نتایج نشان می‌دهد که</w:t>
      </w:r>
      <w:r w:rsidRPr="00B6450D">
        <w:rPr>
          <w:position w:val="-10"/>
        </w:rPr>
        <w:object w:dxaOrig="260" w:dyaOrig="320" w14:anchorId="493008FB">
          <v:shape id="_x0000_i5612" type="#_x0000_t75" style="width:13.3pt;height:15.75pt" o:ole="">
            <v:imagedata r:id="rId9230" o:title=""/>
          </v:shape>
          <o:OLEObject Type="Embed" ProgID="Equation.DSMT4" ShapeID="_x0000_i5612" DrawAspect="Content" ObjectID="_1791379556" r:id="rId9231"/>
        </w:object>
      </w:r>
      <w:r w:rsidRPr="00B6450D">
        <w:rPr>
          <w:rFonts w:hint="cs"/>
          <w:i/>
          <w:sz w:val="23"/>
          <w:szCs w:val="23"/>
          <w:rtl/>
        </w:rPr>
        <w:t xml:space="preserve"> بسیار پایدار و تورم جاری اثر کوچکی بر عامل سطح دارد. در واقع،</w:t>
      </w:r>
      <w:r w:rsidRPr="00B6450D">
        <w:rPr>
          <w:position w:val="-10"/>
        </w:rPr>
        <w:object w:dxaOrig="260" w:dyaOrig="320" w14:anchorId="52D5629E">
          <v:shape id="_x0000_i5613" type="#_x0000_t75" style="width:13.3pt;height:15.75pt" o:ole="">
            <v:imagedata r:id="rId9232" o:title=""/>
          </v:shape>
          <o:OLEObject Type="Embed" ProgID="Equation.DSMT4" ShapeID="_x0000_i5613" DrawAspect="Content" ObjectID="_1791379557" r:id="rId9233"/>
        </w:object>
      </w:r>
      <w:r w:rsidRPr="00B6450D">
        <w:rPr>
          <w:rFonts w:hint="cs"/>
          <w:i/>
          <w:sz w:val="23"/>
          <w:szCs w:val="23"/>
          <w:rtl/>
        </w:rPr>
        <w:t xml:space="preserve"> ممکن است بعنوان تورم بلندمدت انتظاری تفسیر شود. ساختار پویا و برازش این معادله مبین آن است که انتظارات تورمی بخوبی مهار شده است. دومین معادله نشان می‌دهد که عامل شیب چنانچه تورم جاری از مقدار بلند‌مدت خود تفاوت داشته باشد شدیداً واکنش نشان می‌دهد، و همچنین تحت تأثیر ظرفیت بهره</w:t>
      </w:r>
      <w:r w:rsidRPr="00B6450D">
        <w:rPr>
          <w:i/>
          <w:sz w:val="23"/>
          <w:szCs w:val="23"/>
          <w:rtl/>
        </w:rPr>
        <w:softHyphen/>
      </w:r>
      <w:r w:rsidRPr="00B6450D">
        <w:rPr>
          <w:rFonts w:hint="cs"/>
          <w:i/>
          <w:sz w:val="23"/>
          <w:szCs w:val="23"/>
          <w:rtl/>
        </w:rPr>
        <w:t>برداری قرار می‌گیرد.</w:t>
      </w:r>
    </w:p>
    <w:p w14:paraId="35F827B9" w14:textId="77777777" w:rsidR="00556C10" w:rsidRPr="00B6450D" w:rsidRDefault="00556C10" w:rsidP="00556C10">
      <w:pPr>
        <w:pStyle w:val="ListParagraph"/>
        <w:spacing w:line="216" w:lineRule="auto"/>
        <w:ind w:left="0"/>
        <w:rPr>
          <w:i/>
          <w:sz w:val="23"/>
          <w:szCs w:val="23"/>
          <w:rtl/>
        </w:rPr>
      </w:pPr>
      <w:r w:rsidRPr="00B6450D">
        <w:rPr>
          <w:rFonts w:hint="cs"/>
          <w:i/>
          <w:sz w:val="23"/>
          <w:szCs w:val="23"/>
          <w:rtl/>
        </w:rPr>
        <w:t>بار دیگر، رودبوش و وو با فرمول</w:t>
      </w:r>
      <w:r w:rsidRPr="00B6450D">
        <w:rPr>
          <w:i/>
          <w:sz w:val="23"/>
          <w:szCs w:val="23"/>
          <w:rtl/>
        </w:rPr>
        <w:softHyphen/>
      </w:r>
      <w:r w:rsidRPr="00B6450D">
        <w:rPr>
          <w:rFonts w:hint="cs"/>
          <w:i/>
          <w:sz w:val="23"/>
          <w:szCs w:val="23"/>
          <w:rtl/>
        </w:rPr>
        <w:t>بندی مدل کلان مالی که ساختار زمانی را با مدل تورم و تولید کینزین جدید ترکیب می‌کند، تولید و تورم را درون</w:t>
      </w:r>
      <w:r w:rsidRPr="00B6450D">
        <w:rPr>
          <w:i/>
          <w:sz w:val="23"/>
          <w:szCs w:val="23"/>
          <w:rtl/>
        </w:rPr>
        <w:softHyphen/>
      </w:r>
      <w:r w:rsidRPr="00B6450D">
        <w:rPr>
          <w:rFonts w:hint="cs"/>
          <w:i/>
          <w:sz w:val="23"/>
          <w:szCs w:val="23"/>
          <w:rtl/>
        </w:rPr>
        <w:t>زا کردند. جزییات مدل کینزین جدید در فصل چهاردهم ارادئه شده است. بخش مالی مدل یک عمومیت با کمی تغییر از مدل ساختار زمانی قبلی است:</w:t>
      </w:r>
    </w:p>
    <w:p w14:paraId="0C18A313" w14:textId="77777777" w:rsidR="00556C10" w:rsidRPr="00B6450D" w:rsidRDefault="00556C10" w:rsidP="00556C10">
      <w:pPr>
        <w:pStyle w:val="ListParagraph"/>
        <w:bidi w:val="0"/>
        <w:spacing w:line="216" w:lineRule="auto"/>
        <w:ind w:left="0"/>
        <w:rPr>
          <w:i/>
          <w:sz w:val="23"/>
          <w:szCs w:val="23"/>
        </w:rPr>
      </w:pPr>
      <w:r w:rsidRPr="00B6450D">
        <w:rPr>
          <w:position w:val="-10"/>
        </w:rPr>
        <w:object w:dxaOrig="1440" w:dyaOrig="320" w14:anchorId="5F3534A4">
          <v:shape id="_x0000_i5614" type="#_x0000_t75" style="width:1in;height:15.75pt" o:ole="">
            <v:imagedata r:id="rId9234" o:title=""/>
          </v:shape>
          <o:OLEObject Type="Embed" ProgID="Equation.DSMT4" ShapeID="_x0000_i5614" DrawAspect="Content" ObjectID="_1791379558" r:id="rId9235"/>
        </w:object>
      </w:r>
    </w:p>
    <w:p w14:paraId="2834D297" w14:textId="77777777" w:rsidR="00556C10" w:rsidRPr="00B6450D" w:rsidRDefault="00556C10" w:rsidP="00556C10">
      <w:pPr>
        <w:pStyle w:val="ListParagraph"/>
        <w:bidi w:val="0"/>
        <w:spacing w:line="216" w:lineRule="auto"/>
        <w:ind w:left="0"/>
        <w:rPr>
          <w:i/>
          <w:sz w:val="23"/>
          <w:szCs w:val="23"/>
          <w:rtl/>
        </w:rPr>
      </w:pPr>
      <w:r w:rsidRPr="00B6450D">
        <w:rPr>
          <w:position w:val="-12"/>
        </w:rPr>
        <w:object w:dxaOrig="2640" w:dyaOrig="360" w14:anchorId="17317157">
          <v:shape id="_x0000_i5615" type="#_x0000_t75" style="width:132.5pt;height:18.15pt" o:ole="">
            <v:imagedata r:id="rId9236" o:title=""/>
          </v:shape>
          <o:OLEObject Type="Embed" ProgID="Equation.DSMT4" ShapeID="_x0000_i5615" DrawAspect="Content" ObjectID="_1791379559" r:id="rId9237"/>
        </w:object>
      </w:r>
      <w:r w:rsidRPr="00B6450D">
        <w:rPr>
          <w:rFonts w:hint="cs"/>
          <w:i/>
          <w:sz w:val="23"/>
          <w:szCs w:val="23"/>
          <w:rtl/>
        </w:rPr>
        <w:t xml:space="preserve"> </w:t>
      </w:r>
    </w:p>
    <w:p w14:paraId="0D7FB7A9" w14:textId="77777777" w:rsidR="00556C10" w:rsidRPr="00B6450D" w:rsidRDefault="00556C10" w:rsidP="00556C10">
      <w:pPr>
        <w:pStyle w:val="ListParagraph"/>
        <w:bidi w:val="0"/>
        <w:spacing w:line="216" w:lineRule="auto"/>
        <w:ind w:left="0"/>
        <w:rPr>
          <w:i/>
          <w:sz w:val="23"/>
          <w:szCs w:val="23"/>
        </w:rPr>
      </w:pPr>
      <w:r w:rsidRPr="00B6450D">
        <w:rPr>
          <w:position w:val="-14"/>
        </w:rPr>
        <w:object w:dxaOrig="4260" w:dyaOrig="400" w14:anchorId="5ED5D073">
          <v:shape id="_x0000_i5616" type="#_x0000_t75" style="width:212.95pt;height:19.95pt" o:ole="">
            <v:imagedata r:id="rId9238" o:title=""/>
          </v:shape>
          <o:OLEObject Type="Embed" ProgID="Equation.DSMT4" ShapeID="_x0000_i5616" DrawAspect="Content" ObjectID="_1791379560" r:id="rId9239"/>
        </w:object>
      </w:r>
    </w:p>
    <w:p w14:paraId="77B588D6" w14:textId="77777777" w:rsidR="00556C10" w:rsidRPr="00B6450D" w:rsidRDefault="00556C10" w:rsidP="00556C10">
      <w:pPr>
        <w:pStyle w:val="ListParagraph"/>
        <w:bidi w:val="0"/>
        <w:spacing w:line="216" w:lineRule="auto"/>
        <w:ind w:left="0"/>
        <w:rPr>
          <w:i/>
          <w:sz w:val="23"/>
          <w:szCs w:val="23"/>
        </w:rPr>
      </w:pPr>
      <w:r w:rsidRPr="00B6450D">
        <w:rPr>
          <w:position w:val="-12"/>
        </w:rPr>
        <w:object w:dxaOrig="1660" w:dyaOrig="340" w14:anchorId="4BAAAE4F">
          <v:shape id="_x0000_i5617" type="#_x0000_t75" style="width:82.9pt;height:16.95pt" o:ole="">
            <v:imagedata r:id="rId9240" o:title=""/>
          </v:shape>
          <o:OLEObject Type="Embed" ProgID="Equation.DSMT4" ShapeID="_x0000_i5617" DrawAspect="Content" ObjectID="_1791379561" r:id="rId9241"/>
        </w:object>
      </w:r>
    </w:p>
    <w:p w14:paraId="0A4F6DA9" w14:textId="77777777" w:rsidR="00556C10" w:rsidRPr="00B6450D" w:rsidRDefault="00556C10" w:rsidP="00556C10">
      <w:pPr>
        <w:pStyle w:val="ListParagraph"/>
        <w:bidi w:val="0"/>
        <w:spacing w:line="216" w:lineRule="auto"/>
        <w:ind w:left="0"/>
        <w:rPr>
          <w:i/>
          <w:sz w:val="23"/>
          <w:szCs w:val="23"/>
        </w:rPr>
      </w:pPr>
      <w:r w:rsidRPr="00B6450D">
        <w:rPr>
          <w:position w:val="-12"/>
        </w:rPr>
        <w:object w:dxaOrig="1480" w:dyaOrig="340" w14:anchorId="6DEDE111">
          <v:shape id="_x0000_i5618" type="#_x0000_t75" style="width:73.8pt;height:16.95pt" o:ole="">
            <v:imagedata r:id="rId9242" o:title=""/>
          </v:shape>
          <o:OLEObject Type="Embed" ProgID="Equation.DSMT4" ShapeID="_x0000_i5618" DrawAspect="Content" ObjectID="_1791379562" r:id="rId9243"/>
        </w:object>
      </w:r>
    </w:p>
    <w:p w14:paraId="242E9FDF" w14:textId="77777777" w:rsidR="00556C10" w:rsidRPr="00B6450D" w:rsidRDefault="00556C10" w:rsidP="00556C10">
      <w:pPr>
        <w:pStyle w:val="ListParagraph"/>
        <w:spacing w:line="216" w:lineRule="auto"/>
        <w:ind w:left="0"/>
        <w:rPr>
          <w:i/>
          <w:sz w:val="23"/>
          <w:szCs w:val="23"/>
          <w:rtl/>
        </w:rPr>
      </w:pPr>
      <w:r w:rsidRPr="00B6450D">
        <w:rPr>
          <w:rFonts w:hint="cs"/>
          <w:i/>
          <w:sz w:val="23"/>
          <w:szCs w:val="23"/>
          <w:rtl/>
        </w:rPr>
        <w:t>که درآن</w:t>
      </w:r>
      <w:r w:rsidRPr="00B6450D">
        <w:rPr>
          <w:position w:val="-10"/>
        </w:rPr>
        <w:object w:dxaOrig="220" w:dyaOrig="320" w14:anchorId="59E0373F">
          <v:shape id="_x0000_i5619" type="#_x0000_t75" style="width:10.9pt;height:15.75pt" o:ole="">
            <v:imagedata r:id="rId9244" o:title=""/>
          </v:shape>
          <o:OLEObject Type="Embed" ProgID="Equation.DSMT4" ShapeID="_x0000_i5619" DrawAspect="Content" ObjectID="_1791379563" r:id="rId9245"/>
        </w:object>
      </w:r>
      <w:r w:rsidRPr="00B6450D">
        <w:rPr>
          <w:rFonts w:hint="cs"/>
          <w:i/>
          <w:sz w:val="23"/>
          <w:szCs w:val="23"/>
          <w:rtl/>
        </w:rPr>
        <w:t xml:space="preserve"> شامل تورم</w:t>
      </w:r>
      <w:r w:rsidRPr="00B6450D">
        <w:rPr>
          <w:position w:val="-10"/>
        </w:rPr>
        <w:object w:dxaOrig="240" w:dyaOrig="320" w14:anchorId="09B43F49">
          <v:shape id="_x0000_i5620" type="#_x0000_t75" style="width:11.5pt;height:15.75pt" o:ole="">
            <v:imagedata r:id="rId9246" o:title=""/>
          </v:shape>
          <o:OLEObject Type="Embed" ProgID="Equation.DSMT4" ShapeID="_x0000_i5620" DrawAspect="Content" ObjectID="_1791379564" r:id="rId9247"/>
        </w:object>
      </w:r>
      <w:r w:rsidRPr="00B6450D">
        <w:rPr>
          <w:rFonts w:hint="cs"/>
          <w:i/>
          <w:sz w:val="23"/>
          <w:szCs w:val="23"/>
          <w:rtl/>
        </w:rPr>
        <w:t xml:space="preserve"> و تولید</w:t>
      </w:r>
      <w:r w:rsidRPr="00B6450D">
        <w:rPr>
          <w:position w:val="-10"/>
        </w:rPr>
        <w:object w:dxaOrig="240" w:dyaOrig="320" w14:anchorId="62EC8D5D">
          <v:shape id="_x0000_i5621" type="#_x0000_t75" style="width:11.5pt;height:15.75pt" o:ole="">
            <v:imagedata r:id="rId9248" o:title=""/>
          </v:shape>
          <o:OLEObject Type="Embed" ProgID="Equation.DSMT4" ShapeID="_x0000_i5621" DrawAspect="Content" ObjectID="_1791379565" r:id="rId9249"/>
        </w:object>
      </w:r>
      <w:r w:rsidRPr="00B6450D">
        <w:rPr>
          <w:rFonts w:hint="cs"/>
          <w:i/>
          <w:sz w:val="23"/>
          <w:szCs w:val="23"/>
          <w:rtl/>
        </w:rPr>
        <w:t xml:space="preserve"> است.</w:t>
      </w:r>
      <w:r w:rsidRPr="00B6450D">
        <w:rPr>
          <w:i/>
          <w:sz w:val="23"/>
          <w:szCs w:val="23"/>
        </w:rPr>
        <w:t xml:space="preserve"> </w:t>
      </w:r>
      <w:r w:rsidRPr="00B6450D">
        <w:rPr>
          <w:rFonts w:hint="cs"/>
          <w:i/>
          <w:sz w:val="23"/>
          <w:szCs w:val="23"/>
          <w:rtl/>
        </w:rPr>
        <w:t>بخش اقتصاد کلان مدل عبارت است از</w:t>
      </w:r>
    </w:p>
    <w:p w14:paraId="2BB7FFAF" w14:textId="77777777" w:rsidR="00556C10" w:rsidRPr="00B6450D" w:rsidRDefault="00556C10" w:rsidP="00556C10">
      <w:pPr>
        <w:pStyle w:val="ListParagraph"/>
        <w:bidi w:val="0"/>
        <w:spacing w:line="216" w:lineRule="auto"/>
        <w:ind w:left="0"/>
        <w:rPr>
          <w:i/>
          <w:sz w:val="23"/>
          <w:szCs w:val="23"/>
        </w:rPr>
      </w:pPr>
      <w:r w:rsidRPr="00B6450D">
        <w:rPr>
          <w:position w:val="-14"/>
        </w:rPr>
        <w:object w:dxaOrig="4560" w:dyaOrig="380" w14:anchorId="27F80B51">
          <v:shape id="_x0000_i5622" type="#_x0000_t75" style="width:227.5pt;height:19.35pt" o:ole="">
            <v:imagedata r:id="rId9250" o:title=""/>
          </v:shape>
          <o:OLEObject Type="Embed" ProgID="Equation.DSMT4" ShapeID="_x0000_i5622" DrawAspect="Content" ObjectID="_1791379566" r:id="rId9251"/>
        </w:object>
      </w:r>
    </w:p>
    <w:p w14:paraId="4CD8B5F7" w14:textId="77777777" w:rsidR="00556C10" w:rsidRPr="00B6450D" w:rsidRDefault="00556C10" w:rsidP="00556C10">
      <w:pPr>
        <w:pStyle w:val="ListParagraph"/>
        <w:bidi w:val="0"/>
        <w:spacing w:line="216" w:lineRule="auto"/>
        <w:ind w:left="0"/>
        <w:rPr>
          <w:i/>
          <w:sz w:val="23"/>
          <w:szCs w:val="23"/>
        </w:rPr>
      </w:pPr>
      <w:r w:rsidRPr="00B6450D">
        <w:rPr>
          <w:position w:val="-14"/>
        </w:rPr>
        <w:object w:dxaOrig="5539" w:dyaOrig="400" w14:anchorId="71D6F6CB">
          <v:shape id="_x0000_i5623" type="#_x0000_t75" style="width:277.1pt;height:19.95pt" o:ole="">
            <v:imagedata r:id="rId9252" o:title=""/>
          </v:shape>
          <o:OLEObject Type="Embed" ProgID="Equation.DSMT4" ShapeID="_x0000_i5623" DrawAspect="Content" ObjectID="_1791379567" r:id="rId9253"/>
        </w:object>
      </w:r>
    </w:p>
    <w:p w14:paraId="30C992F5" w14:textId="77777777" w:rsidR="00556C10" w:rsidRPr="00B6450D" w:rsidRDefault="00556C10" w:rsidP="00556C10">
      <w:pPr>
        <w:pStyle w:val="ListParagraph"/>
        <w:spacing w:line="216" w:lineRule="auto"/>
        <w:ind w:left="0"/>
        <w:rPr>
          <w:i/>
          <w:sz w:val="23"/>
          <w:szCs w:val="23"/>
          <w:rtl/>
        </w:rPr>
      </w:pPr>
      <w:r w:rsidRPr="00B6450D">
        <w:rPr>
          <w:rFonts w:hint="cs"/>
          <w:i/>
          <w:sz w:val="23"/>
          <w:szCs w:val="23"/>
          <w:rtl/>
        </w:rPr>
        <w:t>مهمترین یافته‌های مدل از بخش اقتصاد کلان کینزین جدید آن است که عامل سطح (تورم بلند‌مدت)</w:t>
      </w:r>
      <w:r w:rsidRPr="00B6450D">
        <w:rPr>
          <w:position w:val="-10"/>
        </w:rPr>
        <w:object w:dxaOrig="240" w:dyaOrig="320" w14:anchorId="5EC6B7D0">
          <v:shape id="_x0000_i5624" type="#_x0000_t75" style="width:11.5pt;height:15.75pt" o:ole="">
            <v:imagedata r:id="rId9254" o:title=""/>
          </v:shape>
          <o:OLEObject Type="Embed" ProgID="Equation.DSMT4" ShapeID="_x0000_i5624" DrawAspect="Content" ObjectID="_1791379568" r:id="rId9255"/>
        </w:object>
      </w:r>
      <w:r w:rsidRPr="00B6450D">
        <w:rPr>
          <w:rFonts w:hint="cs"/>
          <w:i/>
          <w:sz w:val="23"/>
          <w:szCs w:val="23"/>
          <w:rtl/>
        </w:rPr>
        <w:t xml:space="preserve"> را تحت تأثیر قرار داده ولی</w:t>
      </w:r>
      <w:r w:rsidRPr="00B6450D">
        <w:rPr>
          <w:position w:val="-10"/>
        </w:rPr>
        <w:object w:dxaOrig="360" w:dyaOrig="320" w14:anchorId="0886A053">
          <v:shape id="_x0000_i5625" type="#_x0000_t75" style="width:18.15pt;height:15.75pt" o:ole="">
            <v:imagedata r:id="rId9256" o:title=""/>
          </v:shape>
          <o:OLEObject Type="Embed" ProgID="Equation.DSMT4" ShapeID="_x0000_i5625" DrawAspect="Content" ObjectID="_1791379569" r:id="rId9257"/>
        </w:object>
      </w:r>
      <w:r w:rsidRPr="00B6450D">
        <w:rPr>
          <w:i/>
          <w:sz w:val="23"/>
          <w:szCs w:val="23"/>
        </w:rPr>
        <w:t xml:space="preserve"> </w:t>
      </w:r>
      <w:r w:rsidRPr="00B6450D">
        <w:rPr>
          <w:rFonts w:hint="cs"/>
          <w:i/>
          <w:sz w:val="23"/>
          <w:szCs w:val="23"/>
          <w:rtl/>
        </w:rPr>
        <w:t xml:space="preserve">فقط بطور نهایی معنی دار است، و </w:t>
      </w:r>
      <w:r w:rsidRPr="00B6450D">
        <w:rPr>
          <w:position w:val="-10"/>
        </w:rPr>
        <w:object w:dxaOrig="859" w:dyaOrig="320" w14:anchorId="2FC14A00">
          <v:shape id="_x0000_i5626" type="#_x0000_t75" style="width:42.95pt;height:15.75pt" o:ole="">
            <v:imagedata r:id="rId9258" o:title=""/>
          </v:shape>
          <o:OLEObject Type="Embed" ProgID="Equation.DSMT4" ShapeID="_x0000_i5626" DrawAspect="Content" ObjectID="_1791379570" r:id="rId9259"/>
        </w:object>
      </w:r>
      <w:r w:rsidRPr="00B6450D">
        <w:rPr>
          <w:rFonts w:hint="cs"/>
          <w:i/>
          <w:sz w:val="23"/>
          <w:szCs w:val="23"/>
          <w:rtl/>
        </w:rPr>
        <w:t xml:space="preserve"> (انحراف نرخ بهره‌ی کوتاه‌مدت از سطح بلند‌مدت آن) تأثیر معنی دار بر</w:t>
      </w:r>
      <w:r w:rsidRPr="00B6450D">
        <w:rPr>
          <w:position w:val="-10"/>
        </w:rPr>
        <w:object w:dxaOrig="240" w:dyaOrig="320" w14:anchorId="25409E2B">
          <v:shape id="_x0000_i5627" type="#_x0000_t75" style="width:11.5pt;height:15.75pt" o:ole="">
            <v:imagedata r:id="rId9260" o:title=""/>
          </v:shape>
          <o:OLEObject Type="Embed" ProgID="Equation.DSMT4" ShapeID="_x0000_i5627" DrawAspect="Content" ObjectID="_1791379571" r:id="rId9261"/>
        </w:object>
      </w:r>
      <w:r w:rsidRPr="00B6450D">
        <w:rPr>
          <w:rFonts w:hint="cs"/>
          <w:i/>
          <w:sz w:val="23"/>
          <w:szCs w:val="23"/>
          <w:rtl/>
        </w:rPr>
        <w:t xml:space="preserve"> داشته ولی</w:t>
      </w:r>
      <w:r w:rsidRPr="00B6450D">
        <w:rPr>
          <w:position w:val="-14"/>
        </w:rPr>
        <w:object w:dxaOrig="279" w:dyaOrig="360" w14:anchorId="3B00ABFE">
          <v:shape id="_x0000_i5628" type="#_x0000_t75" style="width:13.9pt;height:18.15pt" o:ole="">
            <v:imagedata r:id="rId9262" o:title=""/>
          </v:shape>
          <o:OLEObject Type="Embed" ProgID="Equation.DSMT4" ShapeID="_x0000_i5628" DrawAspect="Content" ObjectID="_1791379572" r:id="rId9263"/>
        </w:object>
      </w:r>
      <w:r w:rsidRPr="00B6450D">
        <w:rPr>
          <w:rFonts w:hint="cs"/>
          <w:i/>
          <w:sz w:val="23"/>
          <w:szCs w:val="23"/>
          <w:rtl/>
        </w:rPr>
        <w:t xml:space="preserve"> تفاوت معنی داری از صفر ندارد. این نتایج نشان می‌دهد که تورم در کوتاه‌مدت عمدتاً جهت تغییر در سطح بلند‌مدت انتطاری خود در طی زمان تعدیل می‌شود، و شکاف تولید ابتدا به اثرات کوتاه‌مدت سیاست پولی بر تورم واکنش نشان می‌دهد. بخش مالی مدل تا حدودی نسبت به قبل تغییر کرده است. مدل اَنگ و پیاتزسی و مدل رودبوش و وو شرط عدم وجود آربیتراژ را بین بازده</w:t>
      </w:r>
      <w:r w:rsidRPr="00B6450D">
        <w:rPr>
          <w:i/>
          <w:sz w:val="23"/>
          <w:szCs w:val="23"/>
          <w:rtl/>
        </w:rPr>
        <w:softHyphen/>
      </w:r>
      <w:r w:rsidRPr="00B6450D">
        <w:rPr>
          <w:rFonts w:hint="cs"/>
          <w:i/>
          <w:sz w:val="23"/>
          <w:szCs w:val="23"/>
          <w:rtl/>
        </w:rPr>
        <w:t>ها بر طبق مدل واسیک اعمال می‌کنند. دیبولد و دیگران در سال ۲۰۰۶ یک مدل را با عوامل نهفته و متغیرهای قابل مشاهده‌ی اقتصاد کلان بسط می‌دهند که شرط عدم وجود آربیتراژ در بین بازده‌ها بر آن اعمال نشده است.</w:t>
      </w:r>
    </w:p>
    <w:p w14:paraId="40178CC2" w14:textId="77777777" w:rsidR="00556C10" w:rsidRPr="00B6450D" w:rsidRDefault="00556C10" w:rsidP="00556C10">
      <w:pPr>
        <w:pStyle w:val="ListParagraph"/>
        <w:spacing w:line="216" w:lineRule="auto"/>
        <w:ind w:left="0"/>
        <w:rPr>
          <w:i/>
          <w:sz w:val="23"/>
          <w:szCs w:val="23"/>
        </w:rPr>
      </w:pPr>
      <w:r w:rsidRPr="00B6450D">
        <w:rPr>
          <w:rFonts w:hint="cs"/>
          <w:i/>
          <w:sz w:val="23"/>
          <w:szCs w:val="23"/>
          <w:rtl/>
        </w:rPr>
        <w:t>نقطه‌ی آغازین مدل آن‌ها فرمول بندی نلسون و سیگل</w:t>
      </w:r>
      <w:r w:rsidRPr="00B6450D">
        <w:rPr>
          <w:rStyle w:val="FootnoteReference"/>
          <w:rFonts w:eastAsiaTheme="majorEastAsia"/>
          <w:i/>
          <w:sz w:val="23"/>
          <w:szCs w:val="23"/>
          <w:rtl/>
        </w:rPr>
        <w:footnoteReference w:id="299"/>
      </w:r>
      <w:r w:rsidRPr="00B6450D">
        <w:rPr>
          <w:rFonts w:hint="cs"/>
          <w:i/>
          <w:sz w:val="23"/>
          <w:szCs w:val="23"/>
          <w:rtl/>
        </w:rPr>
        <w:t xml:space="preserve"> از منحنی بازده است که بر اساس آن بازده‌های مقطعی را تابعی خطی از سه عامل به صورت زیر در نطر گرفتند</w:t>
      </w:r>
    </w:p>
    <w:p w14:paraId="627FBA74" w14:textId="77777777" w:rsidR="00556C10" w:rsidRPr="00B6450D" w:rsidRDefault="00556C10" w:rsidP="00556C10">
      <w:pPr>
        <w:pStyle w:val="ListParagraph"/>
        <w:bidi w:val="0"/>
        <w:spacing w:line="216" w:lineRule="auto"/>
        <w:ind w:left="0"/>
        <w:rPr>
          <w:i/>
          <w:sz w:val="23"/>
          <w:szCs w:val="23"/>
        </w:rPr>
      </w:pPr>
      <w:r w:rsidRPr="00B6450D">
        <w:rPr>
          <w:position w:val="-28"/>
        </w:rPr>
        <w:object w:dxaOrig="4420" w:dyaOrig="660" w14:anchorId="23D2F6FB">
          <v:shape id="_x0000_i5629" type="#_x0000_t75" style="width:220.85pt;height:32.65pt" o:ole="">
            <v:imagedata r:id="rId9264" o:title=""/>
          </v:shape>
          <o:OLEObject Type="Embed" ProgID="Equation.DSMT4" ShapeID="_x0000_i5629" DrawAspect="Content" ObjectID="_1791379573" r:id="rId9265"/>
        </w:object>
      </w:r>
    </w:p>
    <w:p w14:paraId="5920D506" w14:textId="77777777" w:rsidR="00556C10" w:rsidRPr="00B6450D" w:rsidRDefault="00556C10" w:rsidP="00556C10">
      <w:pPr>
        <w:pStyle w:val="ListParagraph"/>
        <w:spacing w:line="216" w:lineRule="auto"/>
        <w:ind w:left="0"/>
        <w:rPr>
          <w:i/>
          <w:sz w:val="23"/>
          <w:szCs w:val="23"/>
          <w:rtl/>
        </w:rPr>
      </w:pPr>
      <w:r w:rsidRPr="00B6450D">
        <w:rPr>
          <w:rFonts w:hint="cs"/>
          <w:i/>
          <w:sz w:val="23"/>
          <w:szCs w:val="23"/>
          <w:rtl/>
        </w:rPr>
        <w:t>که در آن</w:t>
      </w:r>
      <w:r w:rsidRPr="00B6450D">
        <w:rPr>
          <w:position w:val="-10"/>
        </w:rPr>
        <w:object w:dxaOrig="260" w:dyaOrig="320" w14:anchorId="6F59CE80">
          <v:shape id="_x0000_i5630" type="#_x0000_t75" style="width:13.3pt;height:15.75pt" o:ole="">
            <v:imagedata r:id="rId9266" o:title=""/>
          </v:shape>
          <o:OLEObject Type="Embed" ProgID="Equation.DSMT4" ShapeID="_x0000_i5630" DrawAspect="Content" ObjectID="_1791379574" r:id="rId9267"/>
        </w:object>
      </w:r>
      <w:r w:rsidRPr="00B6450D">
        <w:rPr>
          <w:i/>
          <w:sz w:val="23"/>
          <w:szCs w:val="23"/>
        </w:rPr>
        <w:t xml:space="preserve"> </w:t>
      </w:r>
      <w:r w:rsidRPr="00B6450D">
        <w:rPr>
          <w:rFonts w:hint="cs"/>
          <w:i/>
          <w:sz w:val="23"/>
          <w:szCs w:val="23"/>
          <w:rtl/>
        </w:rPr>
        <w:t>عامل سطح،</w:t>
      </w:r>
      <w:r w:rsidRPr="00B6450D">
        <w:rPr>
          <w:position w:val="-10"/>
        </w:rPr>
        <w:object w:dxaOrig="260" w:dyaOrig="320" w14:anchorId="6354041A">
          <v:shape id="_x0000_i5631" type="#_x0000_t75" style="width:13.3pt;height:15.75pt" o:ole="">
            <v:imagedata r:id="rId9268" o:title=""/>
          </v:shape>
          <o:OLEObject Type="Embed" ProgID="Equation.DSMT4" ShapeID="_x0000_i5631" DrawAspect="Content" ObjectID="_1791379575" r:id="rId9269"/>
        </w:object>
      </w:r>
      <w:r w:rsidRPr="00B6450D">
        <w:rPr>
          <w:rFonts w:hint="cs"/>
          <w:i/>
          <w:sz w:val="23"/>
          <w:szCs w:val="23"/>
          <w:rtl/>
        </w:rPr>
        <w:t xml:space="preserve"> عامل شیب،</w:t>
      </w:r>
      <w:r w:rsidRPr="00B6450D">
        <w:rPr>
          <w:position w:val="-10"/>
        </w:rPr>
        <w:object w:dxaOrig="260" w:dyaOrig="320" w14:anchorId="292E402C">
          <v:shape id="_x0000_i5632" type="#_x0000_t75" style="width:13.3pt;height:15.75pt" o:ole="">
            <v:imagedata r:id="rId9270" o:title=""/>
          </v:shape>
          <o:OLEObject Type="Embed" ProgID="Equation.DSMT4" ShapeID="_x0000_i5632" DrawAspect="Content" ObjectID="_1791379576" r:id="rId9271"/>
        </w:object>
      </w:r>
      <w:r w:rsidRPr="00B6450D">
        <w:rPr>
          <w:rFonts w:hint="cs"/>
          <w:i/>
          <w:sz w:val="23"/>
          <w:szCs w:val="23"/>
          <w:rtl/>
        </w:rPr>
        <w:t xml:space="preserve"> عامل خمیدگی، و</w:t>
      </w:r>
      <w:r w:rsidRPr="00B6450D">
        <w:rPr>
          <w:position w:val="-12"/>
        </w:rPr>
        <w:object w:dxaOrig="320" w:dyaOrig="340" w14:anchorId="6E60B2F2">
          <v:shape id="_x0000_i5633" type="#_x0000_t75" style="width:15.75pt;height:16.95pt" o:ole="">
            <v:imagedata r:id="rId9272" o:title=""/>
          </v:shape>
          <o:OLEObject Type="Embed" ProgID="Equation.DSMT4" ShapeID="_x0000_i5633" DrawAspect="Content" ObjectID="_1791379577" r:id="rId9273"/>
        </w:object>
      </w:r>
      <w:r w:rsidRPr="00B6450D">
        <w:rPr>
          <w:i/>
          <w:sz w:val="23"/>
          <w:szCs w:val="23"/>
        </w:rPr>
        <w:t xml:space="preserve"> </w:t>
      </w:r>
      <w:r w:rsidRPr="00B6450D">
        <w:rPr>
          <w:rFonts w:hint="cs"/>
          <w:i/>
          <w:sz w:val="23"/>
          <w:szCs w:val="23"/>
          <w:rtl/>
        </w:rPr>
        <w:t xml:space="preserve">جزءاخلال مستقل است. ضرایب با زمان سررسید تغییر کرده و فرض شده عوامل براساس مدل </w:t>
      </w:r>
      <w:r w:rsidRPr="00B6450D">
        <w:rPr>
          <w:position w:val="-8"/>
        </w:rPr>
        <w:object w:dxaOrig="740" w:dyaOrig="279" w14:anchorId="0EBDDB63">
          <v:shape id="_x0000_i5634" type="#_x0000_t75" style="width:36.9pt;height:13.9pt" o:ole="">
            <v:imagedata r:id="rId9274" o:title=""/>
          </v:shape>
          <o:OLEObject Type="Embed" ProgID="Equation.DSMT4" ShapeID="_x0000_i5634" DrawAspect="Content" ObjectID="_1791379578" r:id="rId9275"/>
        </w:object>
      </w:r>
      <w:r w:rsidRPr="00B6450D">
        <w:rPr>
          <w:i/>
          <w:sz w:val="23"/>
          <w:szCs w:val="23"/>
        </w:rPr>
        <w:t xml:space="preserve"> </w:t>
      </w:r>
      <w:r w:rsidRPr="00B6450D">
        <w:rPr>
          <w:rFonts w:hint="cs"/>
          <w:i/>
          <w:sz w:val="23"/>
          <w:szCs w:val="23"/>
          <w:rtl/>
        </w:rPr>
        <w:t>ایجاد می‌شوند. لذا</w:t>
      </w:r>
    </w:p>
    <w:p w14:paraId="5B991BB3" w14:textId="77777777" w:rsidR="00556C10" w:rsidRPr="00B6450D" w:rsidRDefault="00556C10" w:rsidP="00556C10">
      <w:pPr>
        <w:pStyle w:val="ListParagraph"/>
        <w:bidi w:val="0"/>
        <w:spacing w:line="216" w:lineRule="auto"/>
        <w:ind w:left="0"/>
        <w:rPr>
          <w:i/>
          <w:sz w:val="23"/>
          <w:szCs w:val="23"/>
        </w:rPr>
      </w:pPr>
      <w:r w:rsidRPr="00B6450D">
        <w:rPr>
          <w:position w:val="-12"/>
        </w:rPr>
        <w:object w:dxaOrig="2060" w:dyaOrig="360" w14:anchorId="249626FB">
          <v:shape id="_x0000_i5635" type="#_x0000_t75" style="width:102.85pt;height:18.15pt" o:ole="">
            <v:imagedata r:id="rId9276" o:title=""/>
          </v:shape>
          <o:OLEObject Type="Embed" ProgID="Equation.DSMT4" ShapeID="_x0000_i5635" DrawAspect="Content" ObjectID="_1791379579" r:id="rId9277"/>
        </w:object>
      </w:r>
    </w:p>
    <w:p w14:paraId="1BC877AC" w14:textId="77777777" w:rsidR="00556C10" w:rsidRPr="00B6450D" w:rsidRDefault="00556C10" w:rsidP="00556C10">
      <w:pPr>
        <w:pStyle w:val="ListParagraph"/>
        <w:spacing w:line="216" w:lineRule="auto"/>
        <w:ind w:left="0"/>
        <w:rPr>
          <w:i/>
          <w:sz w:val="23"/>
          <w:szCs w:val="23"/>
          <w:rtl/>
        </w:rPr>
      </w:pPr>
      <w:r w:rsidRPr="00B6450D">
        <w:rPr>
          <w:rFonts w:hint="cs"/>
          <w:i/>
          <w:sz w:val="23"/>
          <w:szCs w:val="23"/>
          <w:rtl/>
        </w:rPr>
        <w:t xml:space="preserve">که در آن </w:t>
      </w:r>
      <w:r w:rsidRPr="00B6450D">
        <w:rPr>
          <w:position w:val="-12"/>
        </w:rPr>
        <w:object w:dxaOrig="1420" w:dyaOrig="440" w14:anchorId="2F621FA2">
          <v:shape id="_x0000_i5636" type="#_x0000_t75" style="width:70.8pt;height:21.8pt" o:ole="">
            <v:imagedata r:id="rId9278" o:title=""/>
          </v:shape>
          <o:OLEObject Type="Embed" ProgID="Equation.DSMT4" ShapeID="_x0000_i5636" DrawAspect="Content" ObjectID="_1791379580" r:id="rId9279"/>
        </w:object>
      </w:r>
      <w:r w:rsidRPr="00B6450D">
        <w:rPr>
          <w:rFonts w:hint="cs"/>
          <w:i/>
          <w:sz w:val="23"/>
          <w:szCs w:val="23"/>
          <w:rtl/>
        </w:rPr>
        <w:t xml:space="preserve">، </w:t>
      </w:r>
      <w:r w:rsidRPr="00B6450D">
        <w:rPr>
          <w:position w:val="-10"/>
        </w:rPr>
        <w:object w:dxaOrig="200" w:dyaOrig="240" w14:anchorId="62646962">
          <v:shape id="_x0000_i5637" type="#_x0000_t75" style="width:10.3pt;height:11.5pt" o:ole="">
            <v:imagedata r:id="rId9280" o:title=""/>
          </v:shape>
          <o:OLEObject Type="Embed" ProgID="Equation.DSMT4" ShapeID="_x0000_i5637" DrawAspect="Content" ObjectID="_1791379581" r:id="rId9281"/>
        </w:object>
      </w:r>
      <w:r w:rsidRPr="00B6450D">
        <w:rPr>
          <w:rFonts w:hint="cs"/>
          <w:i/>
          <w:sz w:val="23"/>
          <w:szCs w:val="23"/>
          <w:rtl/>
        </w:rPr>
        <w:t xml:space="preserve"> بردار مقادیر ثابت، و </w:t>
      </w:r>
      <w:r w:rsidRPr="00B6450D">
        <w:rPr>
          <w:position w:val="-10"/>
        </w:rPr>
        <w:object w:dxaOrig="260" w:dyaOrig="320" w14:anchorId="412BC525">
          <v:shape id="_x0000_i5638" type="#_x0000_t75" style="width:13.3pt;height:15.75pt" o:ole="">
            <v:imagedata r:id="rId9282" o:title=""/>
          </v:shape>
          <o:OLEObject Type="Embed" ProgID="Equation.DSMT4" ShapeID="_x0000_i5638" DrawAspect="Content" ObjectID="_1791379582" r:id="rId9283"/>
        </w:object>
      </w:r>
      <w:r w:rsidRPr="00B6450D">
        <w:rPr>
          <w:rFonts w:hint="cs"/>
          <w:i/>
          <w:sz w:val="23"/>
          <w:szCs w:val="23"/>
          <w:rtl/>
        </w:rPr>
        <w:t xml:space="preserve"> بردار متغیرهای تصادفی مستقل است. اگر</w:t>
      </w:r>
      <w:r w:rsidRPr="00B6450D">
        <w:rPr>
          <w:position w:val="-14"/>
        </w:rPr>
        <w:object w:dxaOrig="1660" w:dyaOrig="480" w14:anchorId="4736EF89">
          <v:shape id="_x0000_i5639" type="#_x0000_t75" style="width:82.9pt;height:24.2pt" o:ole="">
            <v:imagedata r:id="rId9284" o:title=""/>
          </v:shape>
          <o:OLEObject Type="Embed" ProgID="Equation.DSMT4" ShapeID="_x0000_i5639" DrawAspect="Content" ObjectID="_1791379583" r:id="rId9285"/>
        </w:object>
      </w:r>
      <w:r w:rsidRPr="00B6450D">
        <w:rPr>
          <w:i/>
          <w:sz w:val="23"/>
          <w:szCs w:val="23"/>
        </w:rPr>
        <w:t xml:space="preserve"> </w:t>
      </w:r>
      <w:r w:rsidRPr="00B6450D">
        <w:rPr>
          <w:rFonts w:hint="cs"/>
          <w:i/>
          <w:sz w:val="23"/>
          <w:szCs w:val="23"/>
          <w:rtl/>
        </w:rPr>
        <w:t>باشد آنگاه بردار بازده‌ها را می‌توان به صورت زیر نوشت</w:t>
      </w:r>
    </w:p>
    <w:p w14:paraId="74A3CC8F" w14:textId="77777777" w:rsidR="00556C10" w:rsidRPr="00B6450D" w:rsidRDefault="00556C10" w:rsidP="00556C10">
      <w:pPr>
        <w:pStyle w:val="ListParagraph"/>
        <w:bidi w:val="0"/>
        <w:spacing w:line="216" w:lineRule="auto"/>
        <w:ind w:left="0"/>
        <w:rPr>
          <w:i/>
          <w:sz w:val="23"/>
          <w:szCs w:val="23"/>
        </w:rPr>
      </w:pPr>
      <w:r w:rsidRPr="00B6450D">
        <w:rPr>
          <w:position w:val="-10"/>
        </w:rPr>
        <w:object w:dxaOrig="1200" w:dyaOrig="320" w14:anchorId="21904578">
          <v:shape id="_x0000_i5640" type="#_x0000_t75" style="width:59.9pt;height:15.75pt" o:ole="">
            <v:imagedata r:id="rId9286" o:title=""/>
          </v:shape>
          <o:OLEObject Type="Embed" ProgID="Equation.DSMT4" ShapeID="_x0000_i5640" DrawAspect="Content" ObjectID="_1791379584" r:id="rId9287"/>
        </w:object>
      </w:r>
    </w:p>
    <w:p w14:paraId="4AEB8A4D" w14:textId="77777777" w:rsidR="00556C10" w:rsidRPr="00B6450D" w:rsidRDefault="00556C10" w:rsidP="00556C10">
      <w:pPr>
        <w:pStyle w:val="ListParagraph"/>
        <w:spacing w:line="216" w:lineRule="auto"/>
        <w:ind w:left="0"/>
        <w:rPr>
          <w:i/>
          <w:sz w:val="23"/>
          <w:szCs w:val="23"/>
          <w:rtl/>
        </w:rPr>
      </w:pPr>
      <w:r w:rsidRPr="00B6450D">
        <w:rPr>
          <w:rFonts w:hint="cs"/>
          <w:i/>
          <w:sz w:val="23"/>
          <w:szCs w:val="23"/>
          <w:rtl/>
        </w:rPr>
        <w:t>که در آن عناصر ماتریس</w:t>
      </w:r>
      <w:r w:rsidRPr="00025957">
        <w:rPr>
          <w:position w:val="-4"/>
        </w:rPr>
        <w:object w:dxaOrig="220" w:dyaOrig="240" w14:anchorId="36C5D93F">
          <v:shape id="_x0000_i5641" type="#_x0000_t75" style="width:10.9pt;height:11.5pt" o:ole="">
            <v:imagedata r:id="rId9288" o:title=""/>
          </v:shape>
          <o:OLEObject Type="Embed" ProgID="Equation.DSMT4" ShapeID="_x0000_i5641" DrawAspect="Content" ObjectID="_1791379585" r:id="rId9289"/>
        </w:object>
      </w:r>
      <w:r w:rsidRPr="00B6450D">
        <w:rPr>
          <w:rFonts w:hint="cs"/>
          <w:i/>
          <w:sz w:val="23"/>
          <w:szCs w:val="23"/>
          <w:rtl/>
        </w:rPr>
        <w:t xml:space="preserve"> از معادله‌ی</w:t>
      </w:r>
      <w:r w:rsidRPr="00B6450D">
        <w:rPr>
          <w:position w:val="-12"/>
        </w:rPr>
        <w:object w:dxaOrig="380" w:dyaOrig="340" w14:anchorId="5F2C18C1">
          <v:shape id="_x0000_i5642" type="#_x0000_t75" style="width:19.35pt;height:16.95pt" o:ole="">
            <v:imagedata r:id="rId9290" o:title=""/>
          </v:shape>
          <o:OLEObject Type="Embed" ProgID="Equation.DSMT4" ShapeID="_x0000_i5642" DrawAspect="Content" ObjectID="_1791379586" r:id="rId9291"/>
        </w:object>
      </w:r>
      <w:r w:rsidRPr="00B6450D">
        <w:rPr>
          <w:i/>
          <w:sz w:val="23"/>
          <w:szCs w:val="23"/>
        </w:rPr>
        <w:t xml:space="preserve"> </w:t>
      </w:r>
      <w:r w:rsidRPr="00B6450D">
        <w:rPr>
          <w:rFonts w:hint="cs"/>
          <w:i/>
          <w:sz w:val="23"/>
          <w:szCs w:val="23"/>
          <w:rtl/>
        </w:rPr>
        <w:t>تعیین می‌شوند.</w:t>
      </w:r>
    </w:p>
    <w:p w14:paraId="49258BA8" w14:textId="77777777" w:rsidR="00556C10" w:rsidRPr="00B6450D" w:rsidRDefault="00556C10" w:rsidP="00556C10">
      <w:pPr>
        <w:pStyle w:val="ListParagraph"/>
        <w:spacing w:line="216" w:lineRule="auto"/>
        <w:ind w:left="0"/>
        <w:rPr>
          <w:i/>
          <w:sz w:val="23"/>
          <w:szCs w:val="23"/>
          <w:rtl/>
        </w:rPr>
      </w:pPr>
      <w:r w:rsidRPr="00B6450D">
        <w:rPr>
          <w:rFonts w:hint="cs"/>
          <w:i/>
          <w:sz w:val="23"/>
          <w:szCs w:val="23"/>
          <w:rtl/>
        </w:rPr>
        <w:t>بر اساس یافته‌های آن‌ها در ایالات متحده عامل سطح عمدتاً بوسیله‌ی تورم، و عامل شیب بواسطه‌ی ظرفیت بهره</w:t>
      </w:r>
      <w:r w:rsidRPr="00B6450D">
        <w:rPr>
          <w:i/>
          <w:sz w:val="23"/>
          <w:szCs w:val="23"/>
          <w:rtl/>
        </w:rPr>
        <w:softHyphen/>
      </w:r>
      <w:r w:rsidRPr="00B6450D">
        <w:rPr>
          <w:rFonts w:hint="cs"/>
          <w:i/>
          <w:sz w:val="23"/>
          <w:szCs w:val="23"/>
          <w:rtl/>
        </w:rPr>
        <w:t xml:space="preserve">برداری و نرخ کوتاه‌مدت ( نرخ وجوه فدرال) تعیین می‌شوند. تجزیه‌ی واریانس اثر متغیرهای اقتصاد کلان بر بازده را نشان می‌دهد که بخش کوچکی از تغییرات بازده‌ها در افق زمانی </w:t>
      </w:r>
      <w:r w:rsidRPr="00B6450D">
        <w:rPr>
          <w:rFonts w:hint="cs"/>
          <w:i/>
          <w:sz w:val="23"/>
          <w:szCs w:val="23"/>
          <w:rtl/>
        </w:rPr>
        <w:lastRenderedPageBreak/>
        <w:t>کوتاه‌مدت بوسیله‌ی متغیرهای اقتصاد کلان توضیح داده می‌شود (۸ درصد برای بازده‌یک ماهه، ۴ درصد برای بازده‌های دوازده ماهه، ۱ درصد برای بازده‌های پنج ساله)، ولی بخش بسیار بیشتری و در حدود ۴۰ درصد در افق زمانی بلند‌مدت.</w:t>
      </w:r>
    </w:p>
    <w:p w14:paraId="406B8426" w14:textId="77777777" w:rsidR="00556C10" w:rsidRPr="00B6450D" w:rsidRDefault="00556C10" w:rsidP="00556C10">
      <w:pPr>
        <w:pStyle w:val="ListParagraph"/>
        <w:spacing w:line="216" w:lineRule="auto"/>
        <w:ind w:left="0"/>
        <w:rPr>
          <w:i/>
          <w:sz w:val="23"/>
          <w:szCs w:val="23"/>
          <w:rtl/>
        </w:rPr>
      </w:pPr>
      <w:r w:rsidRPr="00B6450D">
        <w:rPr>
          <w:rFonts w:hint="cs"/>
          <w:i/>
          <w:sz w:val="23"/>
          <w:szCs w:val="23"/>
          <w:rtl/>
        </w:rPr>
        <w:t>نتایج فوق نشان می‌دهند که ارتباط متقابلی بین متغیرهای اقتصاد کلان و متغیرهای مالی وجود دارد. متغیرهای تورم و تولید در اقتصاد کلان بواسطه</w:t>
      </w:r>
      <w:r w:rsidRPr="00B6450D">
        <w:rPr>
          <w:i/>
          <w:sz w:val="23"/>
          <w:szCs w:val="23"/>
          <w:rtl/>
        </w:rPr>
        <w:softHyphen/>
      </w:r>
      <w:r w:rsidRPr="00B6450D">
        <w:rPr>
          <w:rFonts w:hint="cs"/>
          <w:i/>
          <w:sz w:val="23"/>
          <w:szCs w:val="23"/>
          <w:rtl/>
        </w:rPr>
        <w:t>ی بازار اوراق قرضه متأثر از سیاست پولی است، و بازار اوراق قرضه نیز متأثر از عوامل اقتصاد کلان همچون تورم در سررسیدهای بلند‌مدت و تولید سررسیدهای کوتاه و میان‌مدت است. نتایج بدست آمده با آنچه قبلاً مورد بحث قرار گرفت تطابق دارد.</w:t>
      </w:r>
    </w:p>
    <w:p w14:paraId="77B970A8" w14:textId="77777777" w:rsidR="00556C10" w:rsidRPr="00B6450D" w:rsidRDefault="00556C10" w:rsidP="00556C10">
      <w:pPr>
        <w:pStyle w:val="ListParagraph"/>
        <w:spacing w:line="216" w:lineRule="auto"/>
        <w:ind w:left="0"/>
        <w:rPr>
          <w:i/>
          <w:sz w:val="23"/>
          <w:szCs w:val="23"/>
          <w:rtl/>
        </w:rPr>
      </w:pPr>
    </w:p>
    <w:p w14:paraId="2023C87B" w14:textId="77777777" w:rsidR="00556C10" w:rsidRPr="00B6450D" w:rsidRDefault="00556C10" w:rsidP="00556C10">
      <w:pPr>
        <w:pStyle w:val="Heading1"/>
        <w:spacing w:before="0" w:line="216" w:lineRule="auto"/>
        <w:rPr>
          <w:rFonts w:ascii="Times New Roman" w:hAnsi="Times New Roman" w:cs="B Nazanin"/>
          <w:b w:val="0"/>
          <w:i/>
          <w:sz w:val="23"/>
          <w:szCs w:val="23"/>
          <w:rtl/>
        </w:rPr>
      </w:pPr>
      <w:r w:rsidRPr="00B6450D">
        <w:rPr>
          <w:rFonts w:ascii="Times New Roman" w:hAnsi="Times New Roman" w:cs="B Nazanin" w:hint="cs"/>
          <w:b w:val="0"/>
          <w:i/>
          <w:sz w:val="23"/>
          <w:szCs w:val="23"/>
          <w:rtl/>
        </w:rPr>
        <w:t>۱۲. ۳. ۷ مدل‌های تعادل عمومی پویای تصادفی ساختار زمانی</w:t>
      </w:r>
    </w:p>
    <w:p w14:paraId="17CEDC72" w14:textId="77777777" w:rsidR="00556C10" w:rsidRPr="00B6450D" w:rsidRDefault="00556C10" w:rsidP="00556C10">
      <w:pPr>
        <w:spacing w:line="216" w:lineRule="auto"/>
        <w:rPr>
          <w:i/>
          <w:sz w:val="23"/>
          <w:szCs w:val="23"/>
          <w:rtl/>
        </w:rPr>
      </w:pPr>
      <w:r w:rsidRPr="00B6450D">
        <w:rPr>
          <w:rFonts w:hint="cs"/>
          <w:i/>
          <w:sz w:val="23"/>
          <w:szCs w:val="23"/>
          <w:rtl/>
        </w:rPr>
        <w:t>نتایج مشاهدات تجربی قبلی مبتنی است بر مدل‌های مالی ساختار زمانی که به اقتصاد کلان الحاق شده و اجازه می‌دهد که تولید، تورم و سیاست پولی بر ساختار زمانی نرخ بهره تأثیر بگذارد. اکنون مدل‌های اقتصاد کلان تعادلی پویای تصادفی را با ساختار زمانی نرخ بهره ممزوج و یکپارچه خواهیم کرد. این رویکرد مستلزم چارچوب تئوریکی متفاوتی برای بررسی اثرات شوک‌های پولی و مالی و همچنین شوک‌های تکنولوژیکی بر متغیرهای اقتصاد کلان و ساختار زمانی نرخ بهره است. این بخش مبتنی است بر مطالعات رودبوش و دیگران در سال ۲۰۰۷. ابتدا کلیات مدل اقتصاد کلان را ارائه کرده و سپس ساختار زمانی را تشریح خواهیم کرد. اگر چه این مدل شامل بخش بانکی نیست، ولی این امکان وجود دارد تا با افزودن این بخش چگونگی مسیر تأثیر سیاست پولی را بر نرخ بهره</w:t>
      </w:r>
      <w:r w:rsidRPr="00B6450D">
        <w:rPr>
          <w:i/>
          <w:sz w:val="23"/>
          <w:szCs w:val="23"/>
          <w:rtl/>
        </w:rPr>
        <w:softHyphen/>
      </w:r>
      <w:r w:rsidRPr="00B6450D">
        <w:rPr>
          <w:rFonts w:hint="cs"/>
          <w:i/>
          <w:sz w:val="23"/>
          <w:szCs w:val="23"/>
          <w:rtl/>
        </w:rPr>
        <w:t>ی کوتاه‌مدت، و از طریق ساختار زمانی بر نرخ‌های بلند‌مدت که وام‌های سیستم بانکی را معین می‌کند بررسی کرد.</w:t>
      </w:r>
    </w:p>
    <w:p w14:paraId="75EBB902" w14:textId="77777777" w:rsidR="00556C10" w:rsidRPr="00B6450D" w:rsidRDefault="00556C10" w:rsidP="00556C10">
      <w:pPr>
        <w:spacing w:line="216" w:lineRule="auto"/>
        <w:rPr>
          <w:i/>
          <w:sz w:val="23"/>
          <w:szCs w:val="23"/>
          <w:rtl/>
        </w:rPr>
      </w:pPr>
    </w:p>
    <w:p w14:paraId="6F257962" w14:textId="77777777" w:rsidR="00556C10" w:rsidRPr="00B6450D" w:rsidRDefault="00556C10" w:rsidP="00556C10">
      <w:pPr>
        <w:spacing w:line="216" w:lineRule="auto"/>
        <w:rPr>
          <w:bCs/>
          <w:i/>
          <w:sz w:val="23"/>
          <w:szCs w:val="23"/>
          <w:rtl/>
        </w:rPr>
      </w:pPr>
      <w:r w:rsidRPr="00B6450D">
        <w:rPr>
          <w:rFonts w:hint="cs"/>
          <w:bCs/>
          <w:i/>
          <w:sz w:val="23"/>
          <w:szCs w:val="23"/>
          <w:rtl/>
        </w:rPr>
        <w:t>اقتصاد کلان</w:t>
      </w:r>
    </w:p>
    <w:p w14:paraId="0BAEA7F4" w14:textId="77777777" w:rsidR="00556C10" w:rsidRPr="00B6450D" w:rsidRDefault="00556C10" w:rsidP="00556C10">
      <w:pPr>
        <w:spacing w:line="216" w:lineRule="auto"/>
        <w:rPr>
          <w:i/>
          <w:sz w:val="23"/>
          <w:szCs w:val="23"/>
        </w:rPr>
      </w:pPr>
      <w:r w:rsidRPr="00B6450D">
        <w:rPr>
          <w:rFonts w:hint="cs"/>
          <w:i/>
          <w:sz w:val="23"/>
          <w:szCs w:val="23"/>
          <w:rtl/>
        </w:rPr>
        <w:t>فرض می‌شود که خانوار تابع مطلوبیت بین دوره</w:t>
      </w:r>
      <w:r w:rsidRPr="00B6450D">
        <w:rPr>
          <w:i/>
          <w:sz w:val="23"/>
          <w:szCs w:val="23"/>
          <w:rtl/>
        </w:rPr>
        <w:softHyphen/>
      </w:r>
      <w:r w:rsidRPr="00B6450D">
        <w:rPr>
          <w:rFonts w:hint="cs"/>
          <w:i/>
          <w:sz w:val="23"/>
          <w:szCs w:val="23"/>
          <w:rtl/>
        </w:rPr>
        <w:t>ای زیر را بر حسب قید بودجه‌ی خود حداکثر می‌سازد</w:t>
      </w:r>
    </w:p>
    <w:p w14:paraId="466DFF27" w14:textId="77777777" w:rsidR="00556C10" w:rsidRPr="00B6450D" w:rsidRDefault="00556C10" w:rsidP="00556C10">
      <w:pPr>
        <w:bidi w:val="0"/>
        <w:spacing w:line="216" w:lineRule="auto"/>
        <w:rPr>
          <w:i/>
          <w:sz w:val="23"/>
          <w:szCs w:val="23"/>
          <w:rtl/>
        </w:rPr>
      </w:pPr>
      <w:r w:rsidRPr="00B6450D">
        <w:rPr>
          <w:position w:val="-34"/>
        </w:rPr>
        <w:object w:dxaOrig="2900" w:dyaOrig="800" w14:anchorId="39BEA045">
          <v:shape id="_x0000_i5643" type="#_x0000_t75" style="width:145.2pt;height:39.95pt" o:ole="">
            <v:imagedata r:id="rId9292" o:title=""/>
          </v:shape>
          <o:OLEObject Type="Embed" ProgID="Equation.DSMT4" ShapeID="_x0000_i5643" DrawAspect="Content" ObjectID="_1791379587" r:id="rId9293"/>
        </w:object>
      </w:r>
      <w:r w:rsidRPr="00B6450D">
        <w:rPr>
          <w:i/>
          <w:sz w:val="23"/>
          <w:szCs w:val="23"/>
          <w:rtl/>
        </w:rPr>
        <w:t xml:space="preserve"> </w: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sidRPr="00B6450D">
        <w:rPr>
          <w:i/>
          <w:sz w:val="23"/>
          <w:szCs w:val="23"/>
        </w:rPr>
        <w:tab/>
      </w:r>
      <w:r w:rsidRPr="00B6450D">
        <w:rPr>
          <w:i/>
          <w:sz w:val="23"/>
          <w:szCs w:val="23"/>
        </w:rPr>
        <w:tab/>
        <w:t xml:space="preserve"> </w:t>
      </w:r>
      <w:r w:rsidRPr="00B6450D">
        <w:rPr>
          <w:rFonts w:hint="cs"/>
          <w:i/>
          <w:sz w:val="23"/>
          <w:szCs w:val="23"/>
          <w:rtl/>
        </w:rPr>
        <w:t>(۱۲. ۳۸)</w:t>
      </w:r>
    </w:p>
    <w:p w14:paraId="04E247E6" w14:textId="77777777" w:rsidR="00556C10" w:rsidRPr="00B6450D" w:rsidRDefault="00556C10" w:rsidP="00556C10">
      <w:pPr>
        <w:spacing w:line="216" w:lineRule="auto"/>
        <w:rPr>
          <w:i/>
          <w:sz w:val="23"/>
          <w:szCs w:val="23"/>
          <w:rtl/>
        </w:rPr>
      </w:pPr>
      <w:r w:rsidRPr="00B6450D">
        <w:rPr>
          <w:rFonts w:hint="cs"/>
          <w:i/>
          <w:sz w:val="23"/>
          <w:szCs w:val="23"/>
          <w:rtl/>
        </w:rPr>
        <w:t>که در آن</w:t>
      </w:r>
      <w:r w:rsidRPr="00B6450D">
        <w:rPr>
          <w:position w:val="-10"/>
        </w:rPr>
        <w:object w:dxaOrig="200" w:dyaOrig="320" w14:anchorId="61175014">
          <v:shape id="_x0000_i5644" type="#_x0000_t75" style="width:10.3pt;height:15.75pt" o:ole="">
            <v:imagedata r:id="rId9294" o:title=""/>
          </v:shape>
          <o:OLEObject Type="Embed" ProgID="Equation.DSMT4" ShapeID="_x0000_i5644" DrawAspect="Content" ObjectID="_1791379588" r:id="rId9295"/>
        </w:object>
      </w:r>
      <w:r w:rsidRPr="00B6450D">
        <w:rPr>
          <w:rFonts w:hint="cs"/>
          <w:i/>
          <w:sz w:val="23"/>
          <w:szCs w:val="23"/>
          <w:rtl/>
        </w:rPr>
        <w:t xml:space="preserve"> مصرف،</w:t>
      </w:r>
      <w:r w:rsidRPr="00B6450D">
        <w:rPr>
          <w:position w:val="-10"/>
        </w:rPr>
        <w:object w:dxaOrig="740" w:dyaOrig="320" w14:anchorId="56680760">
          <v:shape id="_x0000_i5645" type="#_x0000_t75" style="width:36.9pt;height:15.75pt" o:ole="">
            <v:imagedata r:id="rId9296" o:title=""/>
          </v:shape>
          <o:OLEObject Type="Embed" ProgID="Equation.DSMT4" ShapeID="_x0000_i5645" DrawAspect="Content" ObjectID="_1791379589" r:id="rId9297"/>
        </w:object>
      </w:r>
      <w:r w:rsidRPr="00B6450D">
        <w:rPr>
          <w:i/>
          <w:sz w:val="23"/>
          <w:szCs w:val="23"/>
        </w:rPr>
        <w:t xml:space="preserve"> </w:t>
      </w:r>
      <w:r w:rsidRPr="00B6450D">
        <w:rPr>
          <w:rFonts w:hint="cs"/>
          <w:i/>
          <w:sz w:val="23"/>
          <w:szCs w:val="23"/>
          <w:rtl/>
        </w:rPr>
        <w:t>عادت مصرفی و</w:t>
      </w:r>
      <w:r w:rsidRPr="00B6450D">
        <w:rPr>
          <w:position w:val="-10"/>
        </w:rPr>
        <w:object w:dxaOrig="240" w:dyaOrig="320" w14:anchorId="6FEFCE3B">
          <v:shape id="_x0000_i5646" type="#_x0000_t75" style="width:11.5pt;height:15.75pt" o:ole="">
            <v:imagedata r:id="rId9298" o:title=""/>
          </v:shape>
          <o:OLEObject Type="Embed" ProgID="Equation.DSMT4" ShapeID="_x0000_i5646" DrawAspect="Content" ObjectID="_1791379590" r:id="rId9299"/>
        </w:object>
      </w:r>
      <w:r w:rsidRPr="00B6450D">
        <w:rPr>
          <w:i/>
          <w:sz w:val="23"/>
          <w:szCs w:val="23"/>
        </w:rPr>
        <w:t xml:space="preserve"> </w:t>
      </w:r>
      <w:r w:rsidRPr="00B6450D">
        <w:rPr>
          <w:rFonts w:hint="cs"/>
          <w:i/>
          <w:sz w:val="23"/>
          <w:szCs w:val="23"/>
          <w:rtl/>
        </w:rPr>
        <w:t>کار است. در این صورت معادله‌ی اویلر عبارت است از</w:t>
      </w:r>
    </w:p>
    <w:p w14:paraId="77ECF607" w14:textId="77777777" w:rsidR="00556C10" w:rsidRPr="00B6450D" w:rsidRDefault="00556C10" w:rsidP="00556C10">
      <w:pPr>
        <w:bidi w:val="0"/>
        <w:spacing w:line="216" w:lineRule="auto"/>
        <w:rPr>
          <w:i/>
          <w:sz w:val="23"/>
          <w:szCs w:val="23"/>
          <w:rtl/>
        </w:rPr>
      </w:pPr>
      <w:r w:rsidRPr="00B6450D">
        <w:rPr>
          <w:position w:val="-30"/>
        </w:rPr>
        <w:object w:dxaOrig="3460" w:dyaOrig="700" w14:anchorId="5DC79DE6">
          <v:shape id="_x0000_i5647" type="#_x0000_t75" style="width:173.05pt;height:35.1pt" o:ole="">
            <v:imagedata r:id="rId9300" o:title=""/>
          </v:shape>
          <o:OLEObject Type="Embed" ProgID="Equation.DSMT4" ShapeID="_x0000_i5647" DrawAspect="Content" ObjectID="_1791379591" r:id="rId9301"/>
        </w:object>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 xml:space="preserve"> </w:t>
      </w:r>
      <w:r w:rsidRPr="00B6450D">
        <w:rPr>
          <w:i/>
          <w:sz w:val="23"/>
          <w:szCs w:val="23"/>
        </w:rPr>
        <w:tab/>
      </w:r>
      <w:r w:rsidRPr="00B6450D">
        <w:rPr>
          <w:i/>
          <w:sz w:val="23"/>
          <w:szCs w:val="23"/>
          <w:rtl/>
        </w:rPr>
        <w:tab/>
      </w:r>
      <w:r w:rsidRPr="00B6450D">
        <w:rPr>
          <w:i/>
          <w:sz w:val="23"/>
          <w:szCs w:val="23"/>
        </w:rPr>
        <w:tab/>
      </w:r>
      <w:r w:rsidRPr="00B6450D">
        <w:rPr>
          <w:i/>
          <w:sz w:val="23"/>
          <w:szCs w:val="23"/>
          <w:rtl/>
        </w:rPr>
        <w:tab/>
      </w:r>
      <w:r w:rsidRPr="00B6450D">
        <w:rPr>
          <w:rFonts w:hint="cs"/>
          <w:i/>
          <w:sz w:val="23"/>
          <w:szCs w:val="23"/>
          <w:rtl/>
        </w:rPr>
        <w:t>(۱۲. ۳۹)</w:t>
      </w:r>
    </w:p>
    <w:p w14:paraId="58A76294" w14:textId="77777777" w:rsidR="00556C10" w:rsidRPr="00B6450D" w:rsidRDefault="00556C10" w:rsidP="00556C10">
      <w:pPr>
        <w:spacing w:line="216" w:lineRule="auto"/>
        <w:rPr>
          <w:i/>
          <w:sz w:val="23"/>
          <w:szCs w:val="23"/>
          <w:rtl/>
        </w:rPr>
      </w:pPr>
      <w:r w:rsidRPr="00B6450D">
        <w:rPr>
          <w:rFonts w:hint="cs"/>
          <w:i/>
          <w:sz w:val="23"/>
          <w:szCs w:val="23"/>
          <w:rtl/>
        </w:rPr>
        <w:t>که در آن</w:t>
      </w:r>
      <w:r w:rsidRPr="00B6450D">
        <w:rPr>
          <w:position w:val="-10"/>
        </w:rPr>
        <w:object w:dxaOrig="240" w:dyaOrig="320" w14:anchorId="4E01731F">
          <v:shape id="_x0000_i5648" type="#_x0000_t75" style="width:11.5pt;height:15.75pt" o:ole="">
            <v:imagedata r:id="rId9302" o:title=""/>
          </v:shape>
          <o:OLEObject Type="Embed" ProgID="Equation.DSMT4" ShapeID="_x0000_i5648" DrawAspect="Content" ObjectID="_1791379592" r:id="rId9303"/>
        </w:object>
      </w:r>
      <w:r w:rsidRPr="00B6450D">
        <w:rPr>
          <w:rFonts w:hint="cs"/>
          <w:i/>
          <w:sz w:val="23"/>
          <w:szCs w:val="23"/>
          <w:rtl/>
        </w:rPr>
        <w:t xml:space="preserve"> سطح عمومی قیمت و</w:t>
      </w:r>
      <w:r w:rsidRPr="00B6450D">
        <w:rPr>
          <w:position w:val="-10"/>
        </w:rPr>
        <w:object w:dxaOrig="279" w:dyaOrig="320" w14:anchorId="28AA3BB0">
          <v:shape id="_x0000_i5649" type="#_x0000_t75" style="width:13.9pt;height:15.75pt" o:ole="">
            <v:imagedata r:id="rId9304" o:title=""/>
          </v:shape>
          <o:OLEObject Type="Embed" ProgID="Equation.DSMT4" ShapeID="_x0000_i5649" DrawAspect="Content" ObjectID="_1791379593" r:id="rId9305"/>
        </w:object>
      </w:r>
      <w:r w:rsidRPr="00B6450D">
        <w:rPr>
          <w:rFonts w:hint="cs"/>
          <w:i/>
          <w:sz w:val="23"/>
          <w:szCs w:val="23"/>
          <w:rtl/>
        </w:rPr>
        <w:t xml:space="preserve"> نرخ بهره است و فرض می‌شود بر اساس قاعده‌ی سیاستی تیلور زیر تنظیم می‌شود</w:t>
      </w:r>
    </w:p>
    <w:p w14:paraId="287DA14F" w14:textId="77777777" w:rsidR="00556C10" w:rsidRPr="00B6450D" w:rsidRDefault="00556C10" w:rsidP="00556C10">
      <w:pPr>
        <w:bidi w:val="0"/>
        <w:spacing w:line="216" w:lineRule="auto"/>
        <w:rPr>
          <w:i/>
          <w:sz w:val="23"/>
          <w:szCs w:val="23"/>
          <w:rtl/>
        </w:rPr>
      </w:pPr>
      <w:r w:rsidRPr="00B6450D">
        <w:rPr>
          <w:position w:val="-16"/>
        </w:rPr>
        <w:object w:dxaOrig="4680" w:dyaOrig="420" w14:anchorId="25C09718">
          <v:shape id="_x0000_i5650" type="#_x0000_t75" style="width:234.15pt;height:21.2pt" o:ole="">
            <v:imagedata r:id="rId9306" o:title=""/>
          </v:shape>
          <o:OLEObject Type="Embed" ProgID="Equation.DSMT4" ShapeID="_x0000_i5650" DrawAspect="Content" ObjectID="_1791379594" r:id="rId9307"/>
        </w:object>
      </w:r>
      <w:r w:rsidRPr="00B6450D">
        <w:rPr>
          <w:i/>
          <w:sz w:val="23"/>
          <w:szCs w:val="23"/>
        </w:rPr>
        <w:tab/>
      </w:r>
      <w:r w:rsidRPr="00B6450D">
        <w:rPr>
          <w:i/>
          <w:sz w:val="23"/>
          <w:szCs w:val="23"/>
          <w:rtl/>
        </w:rPr>
        <w:tab/>
      </w:r>
      <w:r>
        <w:rPr>
          <w:i/>
          <w:sz w:val="23"/>
          <w:szCs w:val="23"/>
          <w:rtl/>
        </w:rPr>
        <w:tab/>
      </w:r>
      <w:r w:rsidRPr="00B6450D">
        <w:rPr>
          <w:i/>
          <w:sz w:val="23"/>
          <w:szCs w:val="23"/>
        </w:rPr>
        <w:tab/>
      </w:r>
      <w:r w:rsidRPr="00B6450D">
        <w:rPr>
          <w:i/>
          <w:sz w:val="23"/>
          <w:szCs w:val="23"/>
          <w:rtl/>
        </w:rPr>
        <w:tab/>
      </w:r>
      <w:r w:rsidRPr="00B6450D">
        <w:rPr>
          <w:rFonts w:hint="cs"/>
          <w:i/>
          <w:sz w:val="23"/>
          <w:szCs w:val="23"/>
          <w:rtl/>
        </w:rPr>
        <w:t>(۱۲. ۴۰)</w:t>
      </w:r>
    </w:p>
    <w:p w14:paraId="76A2097F" w14:textId="77777777" w:rsidR="00556C10" w:rsidRPr="00B6450D" w:rsidRDefault="00556C10" w:rsidP="00556C10">
      <w:pPr>
        <w:spacing w:line="216" w:lineRule="auto"/>
        <w:rPr>
          <w:i/>
          <w:sz w:val="23"/>
          <w:szCs w:val="23"/>
        </w:rPr>
      </w:pPr>
      <w:r w:rsidRPr="00B6450D">
        <w:rPr>
          <w:rFonts w:hint="cs"/>
          <w:i/>
          <w:sz w:val="23"/>
          <w:szCs w:val="23"/>
          <w:rtl/>
        </w:rPr>
        <w:lastRenderedPageBreak/>
        <w:t>که در آن</w:t>
      </w:r>
      <w:r w:rsidRPr="00B6450D">
        <w:rPr>
          <w:position w:val="-10"/>
        </w:rPr>
        <w:object w:dxaOrig="240" w:dyaOrig="320" w14:anchorId="68714A7C">
          <v:shape id="_x0000_i5651" type="#_x0000_t75" style="width:11.5pt;height:15.75pt" o:ole="">
            <v:imagedata r:id="rId9308" o:title=""/>
          </v:shape>
          <o:OLEObject Type="Embed" ProgID="Equation.DSMT4" ShapeID="_x0000_i5651" DrawAspect="Content" ObjectID="_1791379595" r:id="rId9309"/>
        </w:object>
      </w:r>
      <w:r w:rsidRPr="00B6450D">
        <w:rPr>
          <w:i/>
          <w:sz w:val="23"/>
          <w:szCs w:val="23"/>
        </w:rPr>
        <w:t xml:space="preserve"> </w:t>
      </w:r>
      <w:r w:rsidRPr="00B6450D">
        <w:rPr>
          <w:rFonts w:hint="cs"/>
          <w:i/>
          <w:sz w:val="23"/>
          <w:szCs w:val="23"/>
          <w:rtl/>
        </w:rPr>
        <w:t>تولید،</w:t>
      </w:r>
      <w:r w:rsidRPr="00B6450D">
        <w:rPr>
          <w:position w:val="-10"/>
        </w:rPr>
        <w:object w:dxaOrig="279" w:dyaOrig="320" w14:anchorId="5D435DEC">
          <v:shape id="_x0000_i5652" type="#_x0000_t75" style="width:13.9pt;height:15.75pt" o:ole="">
            <v:imagedata r:id="rId9310" o:title=""/>
          </v:shape>
          <o:OLEObject Type="Embed" ProgID="Equation.DSMT4" ShapeID="_x0000_i5652" DrawAspect="Content" ObjectID="_1791379596" r:id="rId9311"/>
        </w:object>
      </w:r>
      <w:r w:rsidRPr="00B6450D">
        <w:rPr>
          <w:i/>
          <w:sz w:val="23"/>
          <w:szCs w:val="23"/>
        </w:rPr>
        <w:t xml:space="preserve"> </w:t>
      </w:r>
      <w:r w:rsidRPr="00B6450D">
        <w:rPr>
          <w:rFonts w:hint="cs"/>
          <w:i/>
          <w:sz w:val="23"/>
          <w:szCs w:val="23"/>
          <w:rtl/>
        </w:rPr>
        <w:t>تکنولوژی،</w:t>
      </w:r>
      <w:r w:rsidRPr="00B6450D">
        <w:rPr>
          <w:position w:val="-10"/>
        </w:rPr>
        <w:object w:dxaOrig="260" w:dyaOrig="320" w14:anchorId="7C770FA1">
          <v:shape id="_x0000_i5653" type="#_x0000_t75" style="width:13.3pt;height:15.75pt" o:ole="">
            <v:imagedata r:id="rId9312" o:title=""/>
          </v:shape>
          <o:OLEObject Type="Embed" ProgID="Equation.DSMT4" ShapeID="_x0000_i5653" DrawAspect="Content" ObjectID="_1791379597" r:id="rId9313"/>
        </w:object>
      </w:r>
      <w:r w:rsidRPr="00B6450D">
        <w:rPr>
          <w:rFonts w:hint="cs"/>
          <w:i/>
          <w:sz w:val="23"/>
          <w:szCs w:val="23"/>
          <w:rtl/>
        </w:rPr>
        <w:t>مخارج برون</w:t>
      </w:r>
      <w:r w:rsidRPr="00B6450D">
        <w:rPr>
          <w:i/>
          <w:sz w:val="23"/>
          <w:szCs w:val="23"/>
          <w:rtl/>
        </w:rPr>
        <w:softHyphen/>
      </w:r>
      <w:r w:rsidRPr="00B6450D">
        <w:rPr>
          <w:rFonts w:hint="cs"/>
          <w:i/>
          <w:sz w:val="23"/>
          <w:szCs w:val="23"/>
          <w:rtl/>
        </w:rPr>
        <w:t>زای دولت و</w:t>
      </w:r>
      <w:r w:rsidRPr="00B6450D">
        <w:rPr>
          <w:position w:val="-10"/>
        </w:rPr>
        <w:object w:dxaOrig="1260" w:dyaOrig="320" w14:anchorId="7E9F9F14">
          <v:shape id="_x0000_i5654" type="#_x0000_t75" style="width:62.9pt;height:15.75pt" o:ole="">
            <v:imagedata r:id="rId9314" o:title=""/>
          </v:shape>
          <o:OLEObject Type="Embed" ProgID="Equation.DSMT4" ShapeID="_x0000_i5654" DrawAspect="Content" ObjectID="_1791379598" r:id="rId9315"/>
        </w:object>
      </w:r>
      <w:r w:rsidRPr="00B6450D">
        <w:rPr>
          <w:rFonts w:hint="cs"/>
          <w:i/>
          <w:sz w:val="23"/>
          <w:szCs w:val="23"/>
          <w:rtl/>
        </w:rPr>
        <w:t xml:space="preserve"> برابر است با تورم، و</w:t>
      </w:r>
    </w:p>
    <w:p w14:paraId="41533703" w14:textId="77777777" w:rsidR="00556C10" w:rsidRPr="00B6450D" w:rsidRDefault="00556C10" w:rsidP="00556C10">
      <w:pPr>
        <w:bidi w:val="0"/>
        <w:spacing w:line="216" w:lineRule="auto"/>
        <w:rPr>
          <w:i/>
          <w:sz w:val="23"/>
          <w:szCs w:val="23"/>
        </w:rPr>
      </w:pPr>
      <w:r w:rsidRPr="00B6450D">
        <w:rPr>
          <w:position w:val="-10"/>
        </w:rPr>
        <w:object w:dxaOrig="1020" w:dyaOrig="320" w14:anchorId="4CA6AB64">
          <v:shape id="_x0000_i5655" type="#_x0000_t75" style="width:50.8pt;height:15.75pt" o:ole="">
            <v:imagedata r:id="rId9316" o:title=""/>
          </v:shape>
          <o:OLEObject Type="Embed" ProgID="Equation.DSMT4" ShapeID="_x0000_i5655" DrawAspect="Content" ObjectID="_1791379599" r:id="rId9317"/>
        </w:object>
      </w:r>
    </w:p>
    <w:p w14:paraId="30723AE5" w14:textId="77777777" w:rsidR="00556C10" w:rsidRPr="00B6450D" w:rsidRDefault="00556C10" w:rsidP="00556C10">
      <w:pPr>
        <w:bidi w:val="0"/>
        <w:spacing w:line="216" w:lineRule="auto"/>
        <w:rPr>
          <w:i/>
          <w:sz w:val="23"/>
          <w:szCs w:val="23"/>
        </w:rPr>
      </w:pPr>
      <w:r w:rsidRPr="00B6450D">
        <w:rPr>
          <w:position w:val="-10"/>
        </w:rPr>
        <w:object w:dxaOrig="2020" w:dyaOrig="340" w14:anchorId="3109EF2D">
          <v:shape id="_x0000_i5656" type="#_x0000_t75" style="width:101.05pt;height:16.95pt" o:ole="">
            <v:imagedata r:id="rId9318" o:title=""/>
          </v:shape>
          <o:OLEObject Type="Embed" ProgID="Equation.DSMT4" ShapeID="_x0000_i5656" DrawAspect="Content" ObjectID="_1791379600" r:id="rId9319"/>
        </w:object>
      </w:r>
    </w:p>
    <w:p w14:paraId="294A1DA3" w14:textId="77777777" w:rsidR="00556C10" w:rsidRPr="00B6450D" w:rsidRDefault="00556C10" w:rsidP="00556C10">
      <w:pPr>
        <w:bidi w:val="0"/>
        <w:spacing w:line="216" w:lineRule="auto"/>
        <w:rPr>
          <w:i/>
          <w:sz w:val="23"/>
          <w:szCs w:val="23"/>
          <w:rtl/>
        </w:rPr>
      </w:pPr>
      <w:r w:rsidRPr="00B6450D">
        <w:rPr>
          <w:position w:val="-14"/>
        </w:rPr>
        <w:object w:dxaOrig="1939" w:dyaOrig="380" w14:anchorId="65294EA3">
          <v:shape id="_x0000_i5657" type="#_x0000_t75" style="width:96.8pt;height:19.35pt" o:ole="">
            <v:imagedata r:id="rId9320" o:title=""/>
          </v:shape>
          <o:OLEObject Type="Embed" ProgID="Equation.DSMT4" ShapeID="_x0000_i5657" DrawAspect="Content" ObjectID="_1791379601" r:id="rId9321"/>
        </w:object>
      </w:r>
    </w:p>
    <w:p w14:paraId="1B5FC3C5" w14:textId="77777777" w:rsidR="00556C10" w:rsidRPr="00B6450D" w:rsidRDefault="00556C10" w:rsidP="00556C10">
      <w:pPr>
        <w:spacing w:line="216" w:lineRule="auto"/>
        <w:rPr>
          <w:i/>
          <w:sz w:val="23"/>
          <w:szCs w:val="23"/>
          <w:rtl/>
        </w:rPr>
      </w:pPr>
      <w:r w:rsidRPr="00B6450D">
        <w:rPr>
          <w:rFonts w:hint="cs"/>
          <w:i/>
          <w:sz w:val="23"/>
          <w:szCs w:val="23"/>
          <w:rtl/>
        </w:rPr>
        <w:t>محصول بواسطه‌ی کالاهای واسطه‌ی</w:t>
      </w:r>
      <w:r w:rsidRPr="00B6450D">
        <w:rPr>
          <w:position w:val="-12"/>
        </w:rPr>
        <w:object w:dxaOrig="540" w:dyaOrig="360" w14:anchorId="7CBAB361">
          <v:shape id="_x0000_i5658" type="#_x0000_t75" style="width:26.6pt;height:18.15pt" o:ole="">
            <v:imagedata r:id="rId9322" o:title=""/>
          </v:shape>
          <o:OLEObject Type="Embed" ProgID="Equation.DSMT4" ShapeID="_x0000_i5658" DrawAspect="Content" ObjectID="_1791379602" r:id="rId9323"/>
        </w:object>
      </w:r>
      <w:r w:rsidRPr="00B6450D">
        <w:rPr>
          <w:rFonts w:hint="cs"/>
          <w:i/>
          <w:sz w:val="23"/>
          <w:szCs w:val="23"/>
          <w:rtl/>
        </w:rPr>
        <w:t xml:space="preserve"> از نوع</w:t>
      </w:r>
      <w:r w:rsidRPr="00B6450D">
        <w:rPr>
          <w:position w:val="-6"/>
        </w:rPr>
        <w:object w:dxaOrig="160" w:dyaOrig="200" w14:anchorId="21808D39">
          <v:shape id="_x0000_i5659" type="#_x0000_t75" style="width:7.85pt;height:10.3pt" o:ole="">
            <v:imagedata r:id="rId9324" o:title=""/>
          </v:shape>
          <o:OLEObject Type="Embed" ProgID="Equation.DSMT4" ShapeID="_x0000_i5659" DrawAspect="Content" ObjectID="_1791379603" r:id="rId9325"/>
        </w:object>
      </w:r>
      <w:r w:rsidRPr="00B6450D">
        <w:rPr>
          <w:rFonts w:hint="cs"/>
          <w:i/>
          <w:sz w:val="23"/>
          <w:szCs w:val="23"/>
          <w:rtl/>
        </w:rPr>
        <w:t xml:space="preserve"> تولید می</w:t>
      </w:r>
      <w:r w:rsidRPr="00B6450D">
        <w:rPr>
          <w:i/>
          <w:sz w:val="23"/>
          <w:szCs w:val="23"/>
          <w:rtl/>
        </w:rPr>
        <w:softHyphen/>
      </w:r>
      <w:r w:rsidRPr="00B6450D">
        <w:rPr>
          <w:rFonts w:hint="cs"/>
          <w:i/>
          <w:sz w:val="23"/>
          <w:szCs w:val="23"/>
          <w:rtl/>
        </w:rPr>
        <w:t>شود که در بازار رقابت انحصاری عرضه می‌شوند. تکنولوژی تولید عبارت است از</w:t>
      </w:r>
    </w:p>
    <w:p w14:paraId="43E60FF8" w14:textId="77777777" w:rsidR="00556C10" w:rsidRPr="00B6450D" w:rsidRDefault="00556C10" w:rsidP="00556C10">
      <w:pPr>
        <w:bidi w:val="0"/>
        <w:spacing w:line="216" w:lineRule="auto"/>
        <w:rPr>
          <w:i/>
          <w:sz w:val="23"/>
          <w:szCs w:val="23"/>
          <w:rtl/>
        </w:rPr>
      </w:pPr>
      <w:r w:rsidRPr="00B6450D">
        <w:rPr>
          <w:position w:val="-12"/>
        </w:rPr>
        <w:object w:dxaOrig="1660" w:dyaOrig="400" w14:anchorId="5BB67648">
          <v:shape id="_x0000_i5660" type="#_x0000_t75" style="width:82.9pt;height:19.95pt" o:ole="">
            <v:imagedata r:id="rId9326" o:title=""/>
          </v:shape>
          <o:OLEObject Type="Embed" ProgID="Equation.DSMT4" ShapeID="_x0000_i5660" DrawAspect="Content" ObjectID="_1791379604" r:id="rId9327"/>
        </w:object>
      </w:r>
      <w:r w:rsidRPr="00B6450D">
        <w:rPr>
          <w:i/>
          <w:sz w:val="23"/>
          <w:szCs w:val="23"/>
        </w:rPr>
        <w:tab/>
      </w:r>
      <w:r w:rsidRPr="00B6450D">
        <w:rPr>
          <w:i/>
          <w:sz w:val="23"/>
          <w:szCs w:val="23"/>
        </w:rPr>
        <w:tab/>
      </w:r>
      <w:r w:rsidRPr="00B6450D">
        <w:rPr>
          <w:i/>
          <w:sz w:val="23"/>
          <w:szCs w:val="23"/>
        </w:rPr>
        <w:tab/>
      </w:r>
      <w:r w:rsidRPr="00B6450D">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t xml:space="preserve"> </w:t>
      </w:r>
      <w:r w:rsidRPr="00B6450D">
        <w:rPr>
          <w:i/>
          <w:sz w:val="23"/>
          <w:szCs w:val="23"/>
        </w:rPr>
        <w:tab/>
      </w:r>
      <w:r>
        <w:rPr>
          <w:i/>
          <w:sz w:val="23"/>
          <w:szCs w:val="23"/>
          <w:rtl/>
        </w:rPr>
        <w:tab/>
      </w:r>
      <w:r w:rsidRPr="00B6450D">
        <w:rPr>
          <w:i/>
          <w:sz w:val="23"/>
          <w:szCs w:val="23"/>
          <w:rtl/>
        </w:rPr>
        <w:tab/>
      </w:r>
      <w:r w:rsidRPr="00B6450D">
        <w:rPr>
          <w:rFonts w:hint="cs"/>
          <w:i/>
          <w:sz w:val="23"/>
          <w:szCs w:val="23"/>
          <w:rtl/>
        </w:rPr>
        <w:t>(۱۲. ۴۱)</w:t>
      </w:r>
    </w:p>
    <w:p w14:paraId="6BFF67CB" w14:textId="77777777" w:rsidR="00556C10" w:rsidRPr="00B6450D" w:rsidRDefault="00556C10" w:rsidP="00556C10">
      <w:pPr>
        <w:bidi w:val="0"/>
        <w:spacing w:line="216" w:lineRule="auto"/>
        <w:rPr>
          <w:i/>
          <w:sz w:val="23"/>
          <w:szCs w:val="23"/>
          <w:rtl/>
        </w:rPr>
      </w:pPr>
      <w:r w:rsidRPr="00B6450D">
        <w:rPr>
          <w:position w:val="-30"/>
        </w:rPr>
        <w:object w:dxaOrig="2140" w:dyaOrig="740" w14:anchorId="01E4994D">
          <v:shape id="_x0000_i5661" type="#_x0000_t75" style="width:107.1pt;height:36.9pt" o:ole="">
            <v:imagedata r:id="rId9328" o:title=""/>
          </v:shape>
          <o:OLEObject Type="Embed" ProgID="Equation.DSMT4" ShapeID="_x0000_i5661" DrawAspect="Content" ObjectID="_1791379605" r:id="rId9329"/>
        </w:object>
      </w:r>
      <w:r w:rsidRPr="00B6450D">
        <w:rPr>
          <w:i/>
          <w:sz w:val="23"/>
          <w:szCs w:val="23"/>
        </w:rPr>
        <w:tab/>
      </w:r>
      <w:r w:rsidRPr="00B6450D">
        <w:rPr>
          <w:i/>
          <w:sz w:val="23"/>
          <w:szCs w:val="23"/>
        </w:rPr>
        <w:tab/>
      </w:r>
      <w:r w:rsidRPr="00B6450D">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t xml:space="preserve"> </w:t>
      </w:r>
      <w:r>
        <w:rPr>
          <w:i/>
          <w:sz w:val="23"/>
          <w:szCs w:val="23"/>
          <w:rtl/>
        </w:rPr>
        <w:tab/>
      </w:r>
      <w:r w:rsidRPr="00B6450D">
        <w:rPr>
          <w:i/>
          <w:sz w:val="23"/>
          <w:szCs w:val="23"/>
        </w:rPr>
        <w:tab/>
      </w:r>
      <w:r w:rsidRPr="00B6450D">
        <w:rPr>
          <w:i/>
          <w:sz w:val="23"/>
          <w:szCs w:val="23"/>
        </w:rPr>
        <w:tab/>
      </w:r>
      <w:r w:rsidRPr="00B6450D">
        <w:rPr>
          <w:i/>
          <w:sz w:val="23"/>
          <w:szCs w:val="23"/>
          <w:rtl/>
        </w:rPr>
        <w:tab/>
      </w:r>
      <w:r w:rsidRPr="00B6450D">
        <w:rPr>
          <w:rFonts w:hint="cs"/>
          <w:i/>
          <w:sz w:val="23"/>
          <w:szCs w:val="23"/>
          <w:rtl/>
        </w:rPr>
        <w:t>(۱۲. ۴۲)</w:t>
      </w:r>
    </w:p>
    <w:p w14:paraId="403DDA9F" w14:textId="77777777" w:rsidR="00556C10" w:rsidRPr="00B6450D" w:rsidRDefault="00556C10" w:rsidP="00556C10">
      <w:pPr>
        <w:bidi w:val="0"/>
        <w:spacing w:line="216" w:lineRule="auto"/>
        <w:rPr>
          <w:i/>
          <w:sz w:val="23"/>
          <w:szCs w:val="23"/>
        </w:rPr>
      </w:pPr>
      <w:r w:rsidRPr="00B6450D">
        <w:rPr>
          <w:position w:val="-30"/>
        </w:rPr>
        <w:object w:dxaOrig="2180" w:dyaOrig="760" w14:anchorId="39D9DD17">
          <v:shape id="_x0000_i5662" type="#_x0000_t75" style="width:108.9pt;height:38.1pt" o:ole="">
            <v:imagedata r:id="rId9330" o:title=""/>
          </v:shape>
          <o:OLEObject Type="Embed" ProgID="Equation.DSMT4" ShapeID="_x0000_i5662" DrawAspect="Content" ObjectID="_1791379606" r:id="rId9331"/>
        </w:object>
      </w:r>
      <w:r w:rsidRPr="00B6450D">
        <w:rPr>
          <w:i/>
          <w:sz w:val="23"/>
          <w:szCs w:val="23"/>
        </w:rPr>
        <w:tab/>
      </w:r>
      <w:r w:rsidRPr="00B6450D">
        <w:rPr>
          <w:i/>
          <w:sz w:val="23"/>
          <w:szCs w:val="23"/>
        </w:rPr>
        <w:tab/>
      </w:r>
      <w:r w:rsidRPr="00B6450D">
        <w:rPr>
          <w:i/>
          <w:sz w:val="23"/>
          <w:szCs w:val="23"/>
        </w:rPr>
        <w:tab/>
      </w:r>
      <w:r w:rsidRPr="00B6450D">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 xml:space="preserve"> </w:t>
      </w:r>
      <w:r w:rsidRPr="00B6450D">
        <w:rPr>
          <w:i/>
          <w:sz w:val="23"/>
          <w:szCs w:val="23"/>
          <w:rtl/>
        </w:rPr>
        <w:tab/>
      </w:r>
      <w:r w:rsidRPr="00B6450D">
        <w:rPr>
          <w:i/>
          <w:sz w:val="23"/>
          <w:szCs w:val="23"/>
          <w:rtl/>
        </w:rPr>
        <w:tab/>
      </w:r>
      <w:r w:rsidRPr="00B6450D">
        <w:rPr>
          <w:rFonts w:hint="cs"/>
          <w:i/>
          <w:sz w:val="23"/>
          <w:szCs w:val="23"/>
          <w:rtl/>
        </w:rPr>
        <w:t>(۱۲. ۴۳)</w:t>
      </w:r>
    </w:p>
    <w:p w14:paraId="1FF8D39D" w14:textId="77777777" w:rsidR="00556C10" w:rsidRPr="00B6450D" w:rsidRDefault="00556C10" w:rsidP="00556C10">
      <w:pPr>
        <w:bidi w:val="0"/>
        <w:spacing w:line="216" w:lineRule="auto"/>
        <w:rPr>
          <w:i/>
          <w:sz w:val="23"/>
          <w:szCs w:val="23"/>
          <w:rtl/>
        </w:rPr>
      </w:pPr>
      <w:r w:rsidRPr="00B6450D">
        <w:rPr>
          <w:position w:val="-30"/>
        </w:rPr>
        <w:object w:dxaOrig="1980" w:dyaOrig="740" w14:anchorId="76038516">
          <v:shape id="_x0000_i5663" type="#_x0000_t75" style="width:99.25pt;height:36.9pt" o:ole="">
            <v:imagedata r:id="rId9332" o:title=""/>
          </v:shape>
          <o:OLEObject Type="Embed" ProgID="Equation.DSMT4" ShapeID="_x0000_i5663" DrawAspect="Content" ObjectID="_1791379607" r:id="rId9333"/>
        </w:object>
      </w:r>
      <w:r w:rsidRPr="00B6450D">
        <w:rPr>
          <w:i/>
          <w:sz w:val="23"/>
          <w:szCs w:val="23"/>
          <w:rtl/>
        </w:rPr>
        <w:tab/>
      </w:r>
      <w:r w:rsidRPr="00B6450D">
        <w:rPr>
          <w:i/>
          <w:sz w:val="23"/>
          <w:szCs w:val="23"/>
          <w:rtl/>
        </w:rPr>
        <w:tab/>
      </w:r>
      <w:r w:rsidRPr="00B6450D">
        <w:rPr>
          <w:i/>
          <w:sz w:val="23"/>
          <w:szCs w:val="23"/>
          <w:rtl/>
        </w:rPr>
        <w:tab/>
      </w:r>
      <w:r w:rsidRPr="00B6450D">
        <w:rPr>
          <w:i/>
          <w:sz w:val="23"/>
          <w:szCs w:val="23"/>
          <w:rtl/>
        </w:rPr>
        <w:tab/>
      </w:r>
      <w:r w:rsidRPr="00B6450D">
        <w:rPr>
          <w:i/>
          <w:sz w:val="23"/>
          <w:szCs w:val="23"/>
          <w:rtl/>
        </w:rPr>
        <w:tab/>
      </w:r>
      <w:r w:rsidRPr="00B6450D">
        <w:rPr>
          <w:i/>
          <w:sz w:val="23"/>
          <w:szCs w:val="23"/>
        </w:rPr>
        <w:t xml:space="preserve"> </w: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tl/>
        </w:rPr>
        <w:tab/>
      </w:r>
      <w:r w:rsidRPr="00B6450D">
        <w:rPr>
          <w:i/>
          <w:sz w:val="23"/>
          <w:szCs w:val="23"/>
          <w:rtl/>
        </w:rPr>
        <w:tab/>
      </w:r>
      <w:r>
        <w:rPr>
          <w:i/>
          <w:sz w:val="23"/>
          <w:szCs w:val="23"/>
          <w:rtl/>
        </w:rPr>
        <w:tab/>
      </w:r>
      <w:r w:rsidRPr="00B6450D">
        <w:rPr>
          <w:i/>
          <w:sz w:val="23"/>
          <w:szCs w:val="23"/>
          <w:rtl/>
        </w:rPr>
        <w:tab/>
      </w:r>
      <w:r w:rsidRPr="00B6450D">
        <w:rPr>
          <w:rFonts w:hint="cs"/>
          <w:i/>
          <w:sz w:val="23"/>
          <w:szCs w:val="23"/>
          <w:rtl/>
        </w:rPr>
        <w:t>(۱۲. ۴۴)</w:t>
      </w:r>
    </w:p>
    <w:p w14:paraId="27DAFD50" w14:textId="77777777" w:rsidR="00556C10" w:rsidRPr="00B6450D" w:rsidRDefault="00556C10" w:rsidP="00556C10">
      <w:pPr>
        <w:spacing w:line="216" w:lineRule="auto"/>
        <w:rPr>
          <w:i/>
          <w:sz w:val="23"/>
          <w:szCs w:val="23"/>
          <w:rtl/>
        </w:rPr>
      </w:pPr>
      <w:r w:rsidRPr="00B6450D">
        <w:rPr>
          <w:rFonts w:hint="cs"/>
          <w:i/>
          <w:sz w:val="23"/>
          <w:szCs w:val="23"/>
          <w:rtl/>
        </w:rPr>
        <w:t>که در آن</w:t>
      </w:r>
      <w:r w:rsidRPr="00B6450D">
        <w:rPr>
          <w:position w:val="-12"/>
        </w:rPr>
        <w:object w:dxaOrig="560" w:dyaOrig="360" w14:anchorId="001583A6">
          <v:shape id="_x0000_i5664" type="#_x0000_t75" style="width:27.85pt;height:18.15pt" o:ole="">
            <v:imagedata r:id="rId9334" o:title=""/>
          </v:shape>
          <o:OLEObject Type="Embed" ProgID="Equation.DSMT4" ShapeID="_x0000_i5664" DrawAspect="Content" ObjectID="_1791379608" r:id="rId9335"/>
        </w:object>
      </w:r>
      <w:r w:rsidRPr="00B6450D">
        <w:rPr>
          <w:i/>
          <w:sz w:val="23"/>
          <w:szCs w:val="23"/>
        </w:rPr>
        <w:t xml:space="preserve"> </w:t>
      </w:r>
      <w:r w:rsidRPr="00B6450D">
        <w:rPr>
          <w:rFonts w:hint="cs"/>
          <w:i/>
          <w:sz w:val="23"/>
          <w:szCs w:val="23"/>
          <w:rtl/>
        </w:rPr>
        <w:t>قیمت</w:t>
      </w:r>
      <w:r w:rsidRPr="00B6450D">
        <w:rPr>
          <w:position w:val="-12"/>
        </w:rPr>
        <w:object w:dxaOrig="540" w:dyaOrig="360" w14:anchorId="54682516">
          <v:shape id="_x0000_i5665" type="#_x0000_t75" style="width:26.6pt;height:18.15pt" o:ole="">
            <v:imagedata r:id="rId9336" o:title=""/>
          </v:shape>
          <o:OLEObject Type="Embed" ProgID="Equation.DSMT4" ShapeID="_x0000_i5665" DrawAspect="Content" ObjectID="_1791379609" r:id="rId9337"/>
        </w:object>
      </w:r>
      <w:r w:rsidRPr="00B6450D">
        <w:rPr>
          <w:i/>
          <w:sz w:val="23"/>
          <w:szCs w:val="23"/>
        </w:rPr>
        <w:t xml:space="preserve"> </w:t>
      </w:r>
      <w:r w:rsidRPr="00B6450D">
        <w:rPr>
          <w:rFonts w:hint="cs"/>
          <w:i/>
          <w:sz w:val="23"/>
          <w:szCs w:val="23"/>
          <w:rtl/>
        </w:rPr>
        <w:t>که بوسیله‌ی قراردادهای کالوو تعیین شده و با احتمال</w:t>
      </w:r>
      <w:r w:rsidRPr="00B6450D">
        <w:rPr>
          <w:position w:val="-10"/>
        </w:rPr>
        <w:object w:dxaOrig="200" w:dyaOrig="300" w14:anchorId="3A639629">
          <v:shape id="_x0000_i5666" type="#_x0000_t75" style="width:10.3pt;height:14.5pt" o:ole="">
            <v:imagedata r:id="rId9338" o:title=""/>
          </v:shape>
          <o:OLEObject Type="Embed" ProgID="Equation.DSMT4" ShapeID="_x0000_i5666" DrawAspect="Content" ObjectID="_1791379610" r:id="rId9339"/>
        </w:object>
      </w:r>
      <w:r w:rsidRPr="00B6450D">
        <w:rPr>
          <w:rFonts w:hint="cs"/>
          <w:i/>
          <w:sz w:val="23"/>
          <w:szCs w:val="23"/>
          <w:rtl/>
        </w:rPr>
        <w:t xml:space="preserve"> در هر دوره منقضی می‌شود، و</w:t>
      </w:r>
      <w:r w:rsidRPr="00B6450D">
        <w:rPr>
          <w:position w:val="-10"/>
        </w:rPr>
        <w:object w:dxaOrig="260" w:dyaOrig="320" w14:anchorId="198469DB">
          <v:shape id="_x0000_i5667" type="#_x0000_t75" style="width:13.3pt;height:15.75pt" o:ole="">
            <v:imagedata r:id="rId9340" o:title=""/>
          </v:shape>
          <o:OLEObject Type="Embed" ProgID="Equation.DSMT4" ShapeID="_x0000_i5667" DrawAspect="Content" ObjectID="_1791379611" r:id="rId9341"/>
        </w:object>
      </w:r>
      <w:r w:rsidRPr="00B6450D">
        <w:rPr>
          <w:i/>
          <w:sz w:val="23"/>
          <w:szCs w:val="23"/>
        </w:rPr>
        <w:t xml:space="preserve"> </w:t>
      </w:r>
      <w:r w:rsidRPr="00B6450D">
        <w:rPr>
          <w:rFonts w:hint="cs"/>
          <w:i/>
          <w:sz w:val="23"/>
          <w:szCs w:val="23"/>
          <w:rtl/>
        </w:rPr>
        <w:t>سطح قیمت کلی است. معادله‌ی (۱۲. ۴۱) تابع تولید و معادله‌ی (۱۲. ۴۳) تابع تقاضای کالاهای واسطه است. معادلات (۱۲. ۴۲) و (۱۲. ۴۴) در واقع معادلات تجمیع کننده می‌باشند. در فصل نهم تکنولوژی تولید فوق توضیح داده شده است.</w:t>
      </w:r>
    </w:p>
    <w:p w14:paraId="1734A049" w14:textId="77777777" w:rsidR="00556C10" w:rsidRPr="00B6450D" w:rsidRDefault="00556C10" w:rsidP="00556C10">
      <w:pPr>
        <w:spacing w:line="216" w:lineRule="auto"/>
        <w:rPr>
          <w:i/>
          <w:sz w:val="23"/>
          <w:szCs w:val="23"/>
          <w:rtl/>
        </w:rPr>
      </w:pPr>
      <w:r w:rsidRPr="00B6450D">
        <w:rPr>
          <w:rFonts w:hint="cs"/>
          <w:i/>
          <w:sz w:val="23"/>
          <w:szCs w:val="23"/>
          <w:rtl/>
        </w:rPr>
        <w:t>به نیروی کار به اندازه‌ی تولید نهایی آن پرداخت می</w:t>
      </w:r>
      <w:r w:rsidRPr="00B6450D">
        <w:rPr>
          <w:i/>
          <w:sz w:val="23"/>
          <w:szCs w:val="23"/>
          <w:rtl/>
        </w:rPr>
        <w:softHyphen/>
      </w:r>
      <w:r w:rsidRPr="00B6450D">
        <w:rPr>
          <w:rFonts w:hint="cs"/>
          <w:i/>
          <w:sz w:val="23"/>
          <w:szCs w:val="23"/>
          <w:rtl/>
        </w:rPr>
        <w:t>شود و لذا هزینه‌ی نهایی کالاهای واسطه برابر است با</w:t>
      </w:r>
    </w:p>
    <w:p w14:paraId="58F5C92A" w14:textId="77777777" w:rsidR="00556C10" w:rsidRPr="00B6450D" w:rsidRDefault="00556C10" w:rsidP="00556C10">
      <w:pPr>
        <w:bidi w:val="0"/>
        <w:spacing w:line="216" w:lineRule="auto"/>
        <w:rPr>
          <w:i/>
          <w:sz w:val="23"/>
          <w:szCs w:val="23"/>
          <w:rtl/>
        </w:rPr>
      </w:pPr>
      <w:r w:rsidRPr="00B6450D">
        <w:rPr>
          <w:position w:val="-30"/>
        </w:rPr>
        <w:object w:dxaOrig="2020" w:dyaOrig="700" w14:anchorId="07DDAA90">
          <v:shape id="_x0000_i5668" type="#_x0000_t75" style="width:101.05pt;height:35.1pt" o:ole="">
            <v:imagedata r:id="rId9342" o:title=""/>
          </v:shape>
          <o:OLEObject Type="Embed" ProgID="Equation.DSMT4" ShapeID="_x0000_i5668" DrawAspect="Content" ObjectID="_1791379612" r:id="rId9343"/>
        </w:objec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t xml:space="preserve"> </w:t>
      </w:r>
      <w:r w:rsidRPr="00B6450D">
        <w:rPr>
          <w:i/>
          <w:sz w:val="23"/>
          <w:szCs w:val="23"/>
          <w:rtl/>
        </w:rPr>
        <w:tab/>
      </w:r>
      <w:r>
        <w:rPr>
          <w:i/>
          <w:sz w:val="23"/>
          <w:szCs w:val="23"/>
          <w:rtl/>
        </w:rPr>
        <w:tab/>
      </w:r>
      <w:r w:rsidRPr="00B6450D">
        <w:rPr>
          <w:i/>
          <w:sz w:val="23"/>
          <w:szCs w:val="23"/>
          <w:rtl/>
        </w:rPr>
        <w:tab/>
      </w:r>
      <w:r w:rsidRPr="00B6450D">
        <w:rPr>
          <w:rFonts w:hint="cs"/>
          <w:i/>
          <w:sz w:val="23"/>
          <w:szCs w:val="23"/>
          <w:rtl/>
        </w:rPr>
        <w:t>(۱۲. ۴۵)</w:t>
      </w:r>
    </w:p>
    <w:p w14:paraId="68333662" w14:textId="77777777" w:rsidR="00556C10" w:rsidRPr="00B6450D" w:rsidRDefault="00556C10" w:rsidP="00556C10">
      <w:pPr>
        <w:spacing w:line="216" w:lineRule="auto"/>
        <w:rPr>
          <w:i/>
          <w:sz w:val="23"/>
          <w:szCs w:val="23"/>
          <w:rtl/>
        </w:rPr>
      </w:pPr>
      <w:r w:rsidRPr="00B6450D">
        <w:rPr>
          <w:rFonts w:hint="cs"/>
          <w:i/>
          <w:sz w:val="23"/>
          <w:szCs w:val="23"/>
          <w:rtl/>
        </w:rPr>
        <w:t>که در آن</w:t>
      </w:r>
      <w:r w:rsidRPr="00B6450D">
        <w:rPr>
          <w:position w:val="-10"/>
        </w:rPr>
        <w:object w:dxaOrig="260" w:dyaOrig="320" w14:anchorId="5DE50C09">
          <v:shape id="_x0000_i5669" type="#_x0000_t75" style="width:13.3pt;height:15.75pt" o:ole="">
            <v:imagedata r:id="rId9344" o:title=""/>
          </v:shape>
          <o:OLEObject Type="Embed" ProgID="Equation.DSMT4" ShapeID="_x0000_i5669" DrawAspect="Content" ObjectID="_1791379613" r:id="rId9345"/>
        </w:object>
      </w:r>
      <w:r w:rsidRPr="00B6450D">
        <w:rPr>
          <w:rFonts w:hint="cs"/>
          <w:i/>
          <w:sz w:val="23"/>
          <w:szCs w:val="23"/>
          <w:rtl/>
        </w:rPr>
        <w:t xml:space="preserve"> نرخ دستمزد در اقتصاد است. بنگاه‌ها درآمدهای خالص تنزیل شده‌ی انتظاری خود را حداکثر می‌کنند. لذا</w:t>
      </w:r>
    </w:p>
    <w:p w14:paraId="0FBA3D8C" w14:textId="77777777" w:rsidR="00556C10" w:rsidRPr="00B6450D" w:rsidRDefault="00556C10" w:rsidP="00556C10">
      <w:pPr>
        <w:bidi w:val="0"/>
        <w:spacing w:line="216" w:lineRule="auto"/>
        <w:rPr>
          <w:i/>
          <w:sz w:val="23"/>
          <w:szCs w:val="23"/>
          <w:rtl/>
        </w:rPr>
      </w:pPr>
      <w:r w:rsidRPr="00B6450D">
        <w:rPr>
          <w:position w:val="-28"/>
        </w:rPr>
        <w:object w:dxaOrig="3620" w:dyaOrig="639" w14:anchorId="370B982D">
          <v:shape id="_x0000_i5670" type="#_x0000_t75" style="width:181.5pt;height:31.45pt" o:ole="">
            <v:imagedata r:id="rId9346" o:title=""/>
          </v:shape>
          <o:OLEObject Type="Embed" ProgID="Equation.DSMT4" ShapeID="_x0000_i5670" DrawAspect="Content" ObjectID="_1791379614" r:id="rId9347"/>
        </w:object>
      </w:r>
      <w:r w:rsidRPr="00B6450D">
        <w:rPr>
          <w:rFonts w:hint="cs"/>
          <w:i/>
          <w:sz w:val="23"/>
          <w:szCs w:val="23"/>
          <w:rtl/>
        </w:rPr>
        <w:t xml:space="preserve"> </w:t>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sidRPr="00B6450D">
        <w:rPr>
          <w:i/>
          <w:sz w:val="23"/>
          <w:szCs w:val="23"/>
        </w:rPr>
        <w:tab/>
      </w:r>
      <w:r>
        <w:rPr>
          <w:i/>
          <w:sz w:val="23"/>
          <w:szCs w:val="23"/>
          <w:rtl/>
        </w:rPr>
        <w:tab/>
      </w:r>
      <w:r w:rsidRPr="00B6450D">
        <w:rPr>
          <w:i/>
          <w:sz w:val="23"/>
          <w:szCs w:val="23"/>
        </w:rPr>
        <w:t xml:space="preserve"> </w:t>
      </w:r>
      <w:r w:rsidRPr="00B6450D">
        <w:rPr>
          <w:i/>
          <w:sz w:val="23"/>
          <w:szCs w:val="23"/>
        </w:rPr>
        <w:tab/>
      </w:r>
      <w:r w:rsidRPr="00B6450D">
        <w:rPr>
          <w:i/>
          <w:sz w:val="23"/>
          <w:szCs w:val="23"/>
          <w:rtl/>
        </w:rPr>
        <w:tab/>
      </w:r>
      <w:r w:rsidRPr="00B6450D">
        <w:rPr>
          <w:rFonts w:hint="cs"/>
          <w:i/>
          <w:sz w:val="23"/>
          <w:szCs w:val="23"/>
          <w:rtl/>
        </w:rPr>
        <w:t>(۱۲. ۴۶)</w:t>
      </w:r>
    </w:p>
    <w:p w14:paraId="76D7E592" w14:textId="77777777" w:rsidR="00556C10" w:rsidRPr="00B6450D" w:rsidRDefault="00556C10" w:rsidP="00556C10">
      <w:pPr>
        <w:spacing w:line="216" w:lineRule="auto"/>
        <w:rPr>
          <w:i/>
          <w:sz w:val="23"/>
          <w:szCs w:val="23"/>
          <w:rtl/>
        </w:rPr>
      </w:pPr>
      <w:r w:rsidRPr="00B6450D">
        <w:rPr>
          <w:rFonts w:hint="cs"/>
          <w:i/>
          <w:sz w:val="23"/>
          <w:szCs w:val="23"/>
          <w:rtl/>
        </w:rPr>
        <w:t>که درآن</w:t>
      </w:r>
      <w:r w:rsidRPr="00B6450D">
        <w:rPr>
          <w:position w:val="-10"/>
        </w:rPr>
        <w:object w:dxaOrig="340" w:dyaOrig="320" w14:anchorId="52D9C732">
          <v:shape id="_x0000_i5671" type="#_x0000_t75" style="width:16.95pt;height:15.75pt" o:ole="">
            <v:imagedata r:id="rId9348" o:title=""/>
          </v:shape>
          <o:OLEObject Type="Embed" ProgID="Equation.DSMT4" ShapeID="_x0000_i5671" DrawAspect="Content" ObjectID="_1791379615" r:id="rId9349"/>
        </w:object>
      </w:r>
      <w:r w:rsidRPr="00B6450D">
        <w:rPr>
          <w:rFonts w:hint="cs"/>
          <w:i/>
          <w:sz w:val="23"/>
          <w:szCs w:val="23"/>
          <w:rtl/>
        </w:rPr>
        <w:t xml:space="preserve"> عامل تنزیل تصادفی ضمنی استخراج شده از بهینه‌یابی خانوار است، و برابر است با</w:t>
      </w:r>
    </w:p>
    <w:p w14:paraId="538EF757" w14:textId="77777777" w:rsidR="00556C10" w:rsidRPr="00B6450D" w:rsidRDefault="00556C10" w:rsidP="00556C10">
      <w:pPr>
        <w:bidi w:val="0"/>
        <w:spacing w:line="216" w:lineRule="auto"/>
        <w:rPr>
          <w:i/>
          <w:sz w:val="23"/>
          <w:szCs w:val="23"/>
          <w:rtl/>
        </w:rPr>
      </w:pPr>
      <w:r w:rsidRPr="00B6450D">
        <w:rPr>
          <w:position w:val="-34"/>
        </w:rPr>
        <w:object w:dxaOrig="2100" w:dyaOrig="780" w14:anchorId="07BBA2A2">
          <v:shape id="_x0000_i5672" type="#_x0000_t75" style="width:105.3pt;height:39.35pt" o:ole="">
            <v:imagedata r:id="rId9350" o:title=""/>
          </v:shape>
          <o:OLEObject Type="Embed" ProgID="Equation.DSMT4" ShapeID="_x0000_i5672" DrawAspect="Content" ObjectID="_1791379616" r:id="rId9351"/>
        </w:objec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t xml:space="preserve"> </w:t>
      </w:r>
      <w:r w:rsidRPr="00B6450D">
        <w:rPr>
          <w:i/>
          <w:sz w:val="23"/>
          <w:szCs w:val="23"/>
          <w:rtl/>
        </w:rPr>
        <w:tab/>
      </w:r>
      <w:r>
        <w:rPr>
          <w:i/>
          <w:sz w:val="23"/>
          <w:szCs w:val="23"/>
          <w:rtl/>
        </w:rPr>
        <w:tab/>
      </w:r>
      <w:r>
        <w:rPr>
          <w:i/>
          <w:sz w:val="23"/>
          <w:szCs w:val="23"/>
          <w:rtl/>
        </w:rPr>
        <w:tab/>
      </w:r>
      <w:r w:rsidRPr="00B6450D">
        <w:rPr>
          <w:i/>
          <w:sz w:val="23"/>
          <w:szCs w:val="23"/>
          <w:rtl/>
        </w:rPr>
        <w:tab/>
      </w:r>
      <w:r w:rsidRPr="00B6450D">
        <w:rPr>
          <w:rFonts w:hint="cs"/>
          <w:i/>
          <w:sz w:val="23"/>
          <w:szCs w:val="23"/>
          <w:rtl/>
        </w:rPr>
        <w:t>(۱۲. ۴۷)</w:t>
      </w:r>
    </w:p>
    <w:p w14:paraId="2EB3B4A0" w14:textId="77777777" w:rsidR="00556C10" w:rsidRPr="00B6450D" w:rsidRDefault="00556C10" w:rsidP="00556C10">
      <w:pPr>
        <w:spacing w:line="216" w:lineRule="auto"/>
        <w:rPr>
          <w:i/>
          <w:sz w:val="23"/>
          <w:szCs w:val="23"/>
          <w:rtl/>
        </w:rPr>
      </w:pPr>
      <w:r w:rsidRPr="00B6450D">
        <w:rPr>
          <w:rFonts w:hint="cs"/>
          <w:i/>
          <w:sz w:val="23"/>
          <w:szCs w:val="23"/>
          <w:rtl/>
        </w:rPr>
        <w:t>قیمت بهینه‌ی هر بنگاه برابر است با</w:t>
      </w:r>
    </w:p>
    <w:p w14:paraId="3F2526CE" w14:textId="77777777" w:rsidR="00556C10" w:rsidRPr="00B6450D" w:rsidRDefault="00556C10" w:rsidP="00556C10">
      <w:pPr>
        <w:bidi w:val="0"/>
        <w:spacing w:line="216" w:lineRule="auto"/>
        <w:rPr>
          <w:i/>
          <w:sz w:val="23"/>
          <w:szCs w:val="23"/>
          <w:rtl/>
        </w:rPr>
      </w:pPr>
      <w:r w:rsidRPr="00B6450D">
        <w:rPr>
          <w:position w:val="-56"/>
        </w:rPr>
        <w:object w:dxaOrig="3879" w:dyaOrig="1219" w14:anchorId="445ACFAF">
          <v:shape id="_x0000_i5673" type="#_x0000_t75" style="width:193.6pt;height:61.1pt" o:ole="">
            <v:imagedata r:id="rId9352" o:title=""/>
          </v:shape>
          <o:OLEObject Type="Embed" ProgID="Equation.DSMT4" ShapeID="_x0000_i5673" DrawAspect="Content" ObjectID="_1791379617" r:id="rId9353"/>
        </w:object>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Pr>
          <w:i/>
          <w:sz w:val="23"/>
          <w:szCs w:val="23"/>
          <w:rtl/>
        </w:rPr>
        <w:tab/>
      </w:r>
      <w:r w:rsidRPr="00B6450D">
        <w:rPr>
          <w:i/>
          <w:sz w:val="23"/>
          <w:szCs w:val="23"/>
        </w:rPr>
        <w:t xml:space="preserve"> </w:t>
      </w:r>
      <w:r w:rsidRPr="00B6450D">
        <w:rPr>
          <w:i/>
          <w:sz w:val="23"/>
          <w:szCs w:val="23"/>
          <w:rtl/>
        </w:rPr>
        <w:tab/>
      </w:r>
      <w:r w:rsidRPr="00B6450D">
        <w:rPr>
          <w:rFonts w:hint="cs"/>
          <w:i/>
          <w:sz w:val="23"/>
          <w:szCs w:val="23"/>
          <w:rtl/>
        </w:rPr>
        <w:t>(۱۲. ۴۸)</w:t>
      </w:r>
    </w:p>
    <w:p w14:paraId="0F4E8E05" w14:textId="77777777" w:rsidR="00556C10" w:rsidRPr="00B6450D" w:rsidRDefault="00556C10" w:rsidP="00556C10">
      <w:pPr>
        <w:spacing w:line="216" w:lineRule="auto"/>
        <w:rPr>
          <w:i/>
          <w:sz w:val="23"/>
          <w:szCs w:val="23"/>
          <w:rtl/>
        </w:rPr>
      </w:pPr>
      <w:r w:rsidRPr="00B6450D">
        <w:rPr>
          <w:rFonts w:hint="cs"/>
          <w:i/>
          <w:sz w:val="23"/>
          <w:szCs w:val="23"/>
          <w:rtl/>
        </w:rPr>
        <w:t xml:space="preserve">عرضه‌ی کل کار برابر است با </w:t>
      </w:r>
      <w:r w:rsidRPr="00B6450D">
        <w:rPr>
          <w:position w:val="-28"/>
        </w:rPr>
        <w:object w:dxaOrig="1320" w:dyaOrig="660" w14:anchorId="6ADE3434">
          <v:shape id="_x0000_i5674" type="#_x0000_t75" style="width:65.35pt;height:32.65pt" o:ole="">
            <v:imagedata r:id="rId9354" o:title=""/>
          </v:shape>
          <o:OLEObject Type="Embed" ProgID="Equation.DSMT4" ShapeID="_x0000_i5674" DrawAspect="Content" ObjectID="_1791379618" r:id="rId9355"/>
        </w:object>
      </w:r>
      <w:r w:rsidRPr="00B6450D">
        <w:rPr>
          <w:rFonts w:hint="cs"/>
          <w:i/>
          <w:sz w:val="23"/>
          <w:szCs w:val="23"/>
          <w:rtl/>
        </w:rPr>
        <w:t xml:space="preserve"> و دستمزد حقیقی برابر است با</w:t>
      </w:r>
    </w:p>
    <w:p w14:paraId="53AB1FD8" w14:textId="77777777" w:rsidR="00556C10" w:rsidRPr="00B6450D" w:rsidRDefault="00556C10" w:rsidP="00556C10">
      <w:pPr>
        <w:bidi w:val="0"/>
        <w:spacing w:line="216" w:lineRule="auto"/>
        <w:rPr>
          <w:i/>
          <w:sz w:val="23"/>
          <w:szCs w:val="23"/>
          <w:rtl/>
        </w:rPr>
      </w:pPr>
      <w:r w:rsidRPr="00B6450D">
        <w:rPr>
          <w:position w:val="-34"/>
        </w:rPr>
        <w:object w:dxaOrig="1660" w:dyaOrig="720" w14:anchorId="6985A19B">
          <v:shape id="_x0000_i5675" type="#_x0000_t75" style="width:82.9pt;height:36.3pt" o:ole="">
            <v:imagedata r:id="rId9356" o:title=""/>
          </v:shape>
          <o:OLEObject Type="Embed" ProgID="Equation.DSMT4" ShapeID="_x0000_i5675" DrawAspect="Content" ObjectID="_1791379619" r:id="rId9357"/>
        </w:objec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sidRPr="00B6450D">
        <w:rPr>
          <w:i/>
          <w:sz w:val="23"/>
          <w:szCs w:val="23"/>
        </w:rPr>
        <w:tab/>
        <w:t xml:space="preserve"> </w:t>
      </w:r>
      <w:r w:rsidRPr="00B6450D">
        <w:rPr>
          <w:i/>
          <w:sz w:val="23"/>
          <w:szCs w:val="23"/>
          <w:rtl/>
        </w:rPr>
        <w:tab/>
      </w:r>
      <w:r w:rsidRPr="00B6450D">
        <w:rPr>
          <w:rFonts w:hint="cs"/>
          <w:i/>
          <w:sz w:val="23"/>
          <w:szCs w:val="23"/>
          <w:rtl/>
        </w:rPr>
        <w:t>(۱۲. ۴۹)</w:t>
      </w:r>
    </w:p>
    <w:p w14:paraId="66F18CFD" w14:textId="77777777" w:rsidR="00556C10" w:rsidRPr="00B6450D" w:rsidRDefault="00556C10" w:rsidP="00556C10">
      <w:pPr>
        <w:spacing w:line="216" w:lineRule="auto"/>
        <w:rPr>
          <w:i/>
          <w:sz w:val="23"/>
          <w:szCs w:val="23"/>
          <w:rtl/>
        </w:rPr>
      </w:pPr>
      <w:r w:rsidRPr="00B6450D">
        <w:rPr>
          <w:rFonts w:hint="cs"/>
          <w:i/>
          <w:sz w:val="23"/>
          <w:szCs w:val="23"/>
          <w:rtl/>
        </w:rPr>
        <w:t>برای تکمیل مدل اقتصاد کلان لازم است تا معادله‌ی سطح قیمت و به تبع آن تورم را نیز استخراج کنیم. دسترسی به معادله</w:t>
      </w:r>
      <w:r w:rsidRPr="00B6450D">
        <w:rPr>
          <w:i/>
          <w:sz w:val="23"/>
          <w:szCs w:val="23"/>
          <w:rtl/>
        </w:rPr>
        <w:softHyphen/>
      </w:r>
      <w:r w:rsidRPr="00B6450D">
        <w:rPr>
          <w:rFonts w:hint="cs"/>
          <w:i/>
          <w:sz w:val="23"/>
          <w:szCs w:val="23"/>
          <w:rtl/>
        </w:rPr>
        <w:t>ی تورم بدلیل لزوم حل کل سیستم، کاملاً پیچیده است. از آنجاکه مدل مربوطه غیرخطی است، رودبوش و دیگران شبیه</w:t>
      </w:r>
      <w:r w:rsidRPr="00B6450D">
        <w:rPr>
          <w:i/>
          <w:sz w:val="23"/>
          <w:szCs w:val="23"/>
          <w:rtl/>
        </w:rPr>
        <w:softHyphen/>
      </w:r>
      <w:r w:rsidRPr="00B6450D">
        <w:rPr>
          <w:rFonts w:hint="cs"/>
          <w:i/>
          <w:sz w:val="23"/>
          <w:szCs w:val="23"/>
          <w:rtl/>
        </w:rPr>
        <w:t>سازی غیرخطی را توصیه کردند. نتیجه‌ی بدست آمده به معادله‌ی تورم استاندارد کینزین جدید که در آن</w:t>
      </w:r>
      <w:r w:rsidRPr="00B6450D">
        <w:rPr>
          <w:position w:val="-10"/>
        </w:rPr>
        <w:object w:dxaOrig="240" w:dyaOrig="320" w14:anchorId="469594BE">
          <v:shape id="_x0000_i5676" type="#_x0000_t75" style="width:11.5pt;height:15.75pt" o:ole="">
            <v:imagedata r:id="rId9358" o:title=""/>
          </v:shape>
          <o:OLEObject Type="Embed" ProgID="Equation.DSMT4" ShapeID="_x0000_i5676" DrawAspect="Content" ObjectID="_1791379620" r:id="rId9359"/>
        </w:object>
      </w:r>
      <w:r w:rsidRPr="00B6450D">
        <w:rPr>
          <w:rFonts w:hint="cs"/>
          <w:i/>
          <w:sz w:val="23"/>
          <w:szCs w:val="23"/>
          <w:rtl/>
        </w:rPr>
        <w:t xml:space="preserve"> به</w:t>
      </w:r>
      <w:r w:rsidRPr="00B6450D">
        <w:rPr>
          <w:position w:val="-10"/>
        </w:rPr>
        <w:object w:dxaOrig="580" w:dyaOrig="320" w14:anchorId="73782A44">
          <v:shape id="_x0000_i5677" type="#_x0000_t75" style="width:29.05pt;height:15.75pt" o:ole="">
            <v:imagedata r:id="rId9360" o:title=""/>
          </v:shape>
          <o:OLEObject Type="Embed" ProgID="Equation.DSMT4" ShapeID="_x0000_i5677" DrawAspect="Content" ObjectID="_1791379621" r:id="rId9361"/>
        </w:object>
      </w:r>
      <w:r w:rsidRPr="00B6450D">
        <w:rPr>
          <w:rFonts w:hint="cs"/>
          <w:i/>
          <w:sz w:val="23"/>
          <w:szCs w:val="23"/>
          <w:rtl/>
        </w:rPr>
        <w:t xml:space="preserve"> و هزینه‌ی نهایی در رابطه‌ی زیر مرتبط است نزدیک است.</w:t>
      </w:r>
    </w:p>
    <w:p w14:paraId="5BBAB8D9" w14:textId="77777777" w:rsidR="00556C10" w:rsidRPr="00B6450D" w:rsidRDefault="00556C10" w:rsidP="00556C10">
      <w:pPr>
        <w:bidi w:val="0"/>
        <w:spacing w:line="216" w:lineRule="auto"/>
        <w:rPr>
          <w:i/>
          <w:sz w:val="23"/>
          <w:szCs w:val="23"/>
          <w:rtl/>
        </w:rPr>
      </w:pPr>
      <w:r w:rsidRPr="00B6450D">
        <w:rPr>
          <w:position w:val="-10"/>
        </w:rPr>
        <w:object w:dxaOrig="1760" w:dyaOrig="320" w14:anchorId="63FA6C76">
          <v:shape id="_x0000_i5678" type="#_x0000_t75" style="width:87.75pt;height:15.75pt" o:ole="">
            <v:imagedata r:id="rId9362" o:title=""/>
          </v:shape>
          <o:OLEObject Type="Embed" ProgID="Equation.DSMT4" ShapeID="_x0000_i5678" DrawAspect="Content" ObjectID="_1791379622" r:id="rId9363"/>
        </w:object>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sidRPr="00B6450D">
        <w:rPr>
          <w:i/>
          <w:sz w:val="23"/>
          <w:szCs w:val="23"/>
        </w:rPr>
        <w:tab/>
      </w:r>
      <w:r w:rsidRPr="00B6450D">
        <w:rPr>
          <w:rFonts w:hint="cs"/>
          <w:i/>
          <w:sz w:val="23"/>
          <w:szCs w:val="23"/>
          <w:rtl/>
        </w:rPr>
        <w:t>(۱۲. ۵۰)</w:t>
      </w:r>
    </w:p>
    <w:p w14:paraId="25524F1A" w14:textId="77777777" w:rsidR="00556C10" w:rsidRPr="00B6450D" w:rsidRDefault="00556C10" w:rsidP="00556C10">
      <w:pPr>
        <w:spacing w:line="216" w:lineRule="auto"/>
        <w:rPr>
          <w:i/>
          <w:sz w:val="23"/>
          <w:szCs w:val="23"/>
          <w:rtl/>
        </w:rPr>
      </w:pPr>
    </w:p>
    <w:p w14:paraId="61B14BFF" w14:textId="77777777" w:rsidR="00556C10" w:rsidRPr="00B6450D" w:rsidRDefault="00556C10" w:rsidP="00556C10">
      <w:pPr>
        <w:spacing w:line="216" w:lineRule="auto"/>
        <w:rPr>
          <w:bCs/>
          <w:i/>
          <w:sz w:val="23"/>
          <w:szCs w:val="23"/>
          <w:rtl/>
        </w:rPr>
      </w:pPr>
      <w:r w:rsidRPr="00B6450D">
        <w:rPr>
          <w:rFonts w:hint="cs"/>
          <w:bCs/>
          <w:i/>
          <w:sz w:val="23"/>
          <w:szCs w:val="23"/>
          <w:rtl/>
        </w:rPr>
        <w:t>ساختار زمانی</w:t>
      </w:r>
    </w:p>
    <w:p w14:paraId="69BD4E46" w14:textId="77777777" w:rsidR="00556C10" w:rsidRPr="00B6450D" w:rsidRDefault="00556C10" w:rsidP="00556C10">
      <w:pPr>
        <w:spacing w:line="216" w:lineRule="auto"/>
        <w:rPr>
          <w:i/>
          <w:sz w:val="23"/>
          <w:szCs w:val="23"/>
          <w:rtl/>
        </w:rPr>
      </w:pPr>
      <w:r w:rsidRPr="00B6450D">
        <w:rPr>
          <w:rFonts w:hint="cs"/>
          <w:i/>
          <w:sz w:val="23"/>
          <w:szCs w:val="23"/>
          <w:rtl/>
        </w:rPr>
        <w:t>ساختار زمانی همان مدل تعادل عمومی قیمت</w:t>
      </w:r>
      <w:r w:rsidRPr="00B6450D">
        <w:rPr>
          <w:i/>
          <w:sz w:val="23"/>
          <w:szCs w:val="23"/>
          <w:rtl/>
        </w:rPr>
        <w:softHyphen/>
      </w:r>
      <w:r w:rsidRPr="00B6450D">
        <w:rPr>
          <w:rFonts w:hint="cs"/>
          <w:i/>
          <w:sz w:val="23"/>
          <w:szCs w:val="23"/>
          <w:rtl/>
        </w:rPr>
        <w:t>گذاری اوراق قرضه با عامل تنزیل تصادفی یا معادله‌ی (۱۲. ۴۷) است. با استفاده از نمادهای معرفی شده در قبل، قیمت اوراق قرضه‌ی</w:t>
      </w:r>
      <w:r w:rsidRPr="00B6450D">
        <w:rPr>
          <w:position w:val="-6"/>
        </w:rPr>
        <w:object w:dxaOrig="200" w:dyaOrig="200" w14:anchorId="191FCB27">
          <v:shape id="_x0000_i5679" type="#_x0000_t75" style="width:10.3pt;height:10.3pt" o:ole="">
            <v:imagedata r:id="rId9364" o:title=""/>
          </v:shape>
          <o:OLEObject Type="Embed" ProgID="Equation.DSMT4" ShapeID="_x0000_i5679" DrawAspect="Content" ObjectID="_1791379623" r:id="rId9365"/>
        </w:object>
      </w:r>
      <w:r w:rsidRPr="00B6450D">
        <w:rPr>
          <w:rFonts w:hint="cs"/>
          <w:i/>
          <w:sz w:val="23"/>
          <w:szCs w:val="23"/>
          <w:rtl/>
        </w:rPr>
        <w:t xml:space="preserve"> دوره</w:t>
      </w:r>
      <w:r w:rsidRPr="00B6450D">
        <w:rPr>
          <w:i/>
          <w:sz w:val="23"/>
          <w:szCs w:val="23"/>
          <w:rtl/>
        </w:rPr>
        <w:softHyphen/>
      </w:r>
      <w:r w:rsidRPr="00B6450D">
        <w:rPr>
          <w:rFonts w:hint="cs"/>
          <w:i/>
          <w:sz w:val="23"/>
          <w:szCs w:val="23"/>
          <w:rtl/>
        </w:rPr>
        <w:t>ای برابر است با</w:t>
      </w:r>
    </w:p>
    <w:p w14:paraId="1E70CF10" w14:textId="77777777" w:rsidR="00556C10" w:rsidRPr="00B6450D" w:rsidRDefault="00556C10" w:rsidP="00556C10">
      <w:pPr>
        <w:bidi w:val="0"/>
        <w:spacing w:line="216" w:lineRule="auto"/>
        <w:rPr>
          <w:i/>
          <w:sz w:val="23"/>
          <w:szCs w:val="23"/>
          <w:rtl/>
        </w:rPr>
      </w:pPr>
      <w:r w:rsidRPr="00B6450D">
        <w:rPr>
          <w:position w:val="-48"/>
        </w:rPr>
        <w:object w:dxaOrig="2200" w:dyaOrig="1080" w14:anchorId="73C15A4D">
          <v:shape id="_x0000_i5680" type="#_x0000_t75" style="width:110.1pt;height:54.45pt" o:ole="">
            <v:imagedata r:id="rId9366" o:title=""/>
          </v:shape>
          <o:OLEObject Type="Embed" ProgID="Equation.DSMT4" ShapeID="_x0000_i5680" DrawAspect="Content" ObjectID="_1791379624" r:id="rId9367"/>
        </w:object>
      </w:r>
      <w:r w:rsidRPr="00B6450D">
        <w:rPr>
          <w:rFonts w:hint="cs"/>
          <w:i/>
          <w:sz w:val="23"/>
          <w:szCs w:val="23"/>
        </w:rPr>
        <w:t xml:space="preserve"> </w:t>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 xml:space="preserve"> </w:t>
      </w:r>
      <w:r w:rsidRPr="00B6450D">
        <w:rPr>
          <w:i/>
          <w:sz w:val="23"/>
          <w:szCs w:val="23"/>
          <w:rtl/>
        </w:rPr>
        <w:tab/>
      </w:r>
      <w:r w:rsidRPr="00B6450D">
        <w:rPr>
          <w:rFonts w:hint="cs"/>
          <w:i/>
          <w:sz w:val="23"/>
          <w:szCs w:val="23"/>
          <w:rtl/>
        </w:rPr>
        <w:t>(۱۲. ۵۱)</w:t>
      </w:r>
    </w:p>
    <w:p w14:paraId="68C46769" w14:textId="77777777" w:rsidR="00556C10" w:rsidRPr="00B6450D" w:rsidRDefault="00556C10" w:rsidP="00556C10">
      <w:pPr>
        <w:spacing w:line="216" w:lineRule="auto"/>
        <w:rPr>
          <w:i/>
          <w:sz w:val="23"/>
          <w:szCs w:val="23"/>
          <w:rtl/>
        </w:rPr>
      </w:pPr>
      <w:r w:rsidRPr="00B6450D">
        <w:rPr>
          <w:rFonts w:hint="cs"/>
          <w:i/>
          <w:sz w:val="23"/>
          <w:szCs w:val="23"/>
          <w:rtl/>
        </w:rPr>
        <w:t>با فرض لگاریتم-نرمالیتی، شرط عدم وجود آربیتراژ بصورت لگاریتم، برابر است با</w:t>
      </w:r>
    </w:p>
    <w:p w14:paraId="51C015BD" w14:textId="77777777" w:rsidR="00556C10" w:rsidRPr="00B6450D" w:rsidRDefault="00556C10" w:rsidP="00556C10">
      <w:pPr>
        <w:bidi w:val="0"/>
        <w:spacing w:line="216" w:lineRule="auto"/>
        <w:rPr>
          <w:i/>
          <w:sz w:val="23"/>
          <w:szCs w:val="23"/>
          <w:rtl/>
        </w:rPr>
      </w:pPr>
      <w:r w:rsidRPr="00B6450D">
        <w:rPr>
          <w:position w:val="-22"/>
        </w:rPr>
        <w:object w:dxaOrig="5340" w:dyaOrig="560" w14:anchorId="5BB23295">
          <v:shape id="_x0000_i5681" type="#_x0000_t75" style="width:267.45pt;height:27.85pt" o:ole="">
            <v:imagedata r:id="rId9368" o:title=""/>
          </v:shape>
          <o:OLEObject Type="Embed" ProgID="Equation.DSMT4" ShapeID="_x0000_i5681" DrawAspect="Content" ObjectID="_1791379625" r:id="rId9369"/>
        </w:object>
      </w:r>
      <w:r>
        <w:rPr>
          <w:rtl/>
        </w:rPr>
        <w:tab/>
      </w:r>
      <w:r>
        <w:rPr>
          <w:rtl/>
        </w:rPr>
        <w:tab/>
      </w:r>
      <w:r w:rsidRPr="00B6450D">
        <w:rPr>
          <w:sz w:val="23"/>
          <w:szCs w:val="23"/>
        </w:rPr>
        <w:tab/>
      </w:r>
      <w:r w:rsidRPr="00B6450D">
        <w:rPr>
          <w:rFonts w:hint="cs"/>
          <w:i/>
          <w:sz w:val="23"/>
          <w:szCs w:val="23"/>
          <w:rtl/>
        </w:rPr>
        <w:t>(۱۲. ۵۲)</w:t>
      </w:r>
    </w:p>
    <w:p w14:paraId="510ED165" w14:textId="77777777" w:rsidR="00556C10" w:rsidRPr="00B6450D" w:rsidRDefault="00556C10" w:rsidP="00556C10">
      <w:pPr>
        <w:spacing w:line="216" w:lineRule="auto"/>
        <w:rPr>
          <w:i/>
          <w:sz w:val="23"/>
          <w:szCs w:val="23"/>
          <w:rtl/>
        </w:rPr>
      </w:pPr>
      <w:r w:rsidRPr="00B6450D">
        <w:rPr>
          <w:rFonts w:hint="cs"/>
          <w:i/>
          <w:sz w:val="23"/>
          <w:szCs w:val="23"/>
          <w:rtl/>
        </w:rPr>
        <w:t>که درآن</w:t>
      </w:r>
      <w:r w:rsidRPr="00B6450D">
        <w:rPr>
          <w:position w:val="-10"/>
        </w:rPr>
        <w:object w:dxaOrig="1020" w:dyaOrig="320" w14:anchorId="5E4B6CA6">
          <v:shape id="_x0000_i5682" type="#_x0000_t75" style="width:50.8pt;height:15.75pt" o:ole="">
            <v:imagedata r:id="rId9370" o:title=""/>
          </v:shape>
          <o:OLEObject Type="Embed" ProgID="Equation.DSMT4" ShapeID="_x0000_i5682" DrawAspect="Content" ObjectID="_1791379626" r:id="rId9371"/>
        </w:object>
      </w:r>
      <w:r w:rsidRPr="00B6450D">
        <w:rPr>
          <w:rFonts w:hint="cs"/>
          <w:i/>
          <w:sz w:val="23"/>
          <w:szCs w:val="23"/>
          <w:rtl/>
        </w:rPr>
        <w:t>برابر است با</w:t>
      </w:r>
    </w:p>
    <w:p w14:paraId="4083F272" w14:textId="77777777" w:rsidR="00556C10" w:rsidRPr="00B6450D" w:rsidRDefault="00556C10" w:rsidP="00556C10">
      <w:pPr>
        <w:bidi w:val="0"/>
        <w:spacing w:line="216" w:lineRule="auto"/>
        <w:rPr>
          <w:i/>
          <w:sz w:val="23"/>
          <w:szCs w:val="23"/>
          <w:rtl/>
        </w:rPr>
      </w:pPr>
      <w:r w:rsidRPr="00B6450D">
        <w:rPr>
          <w:position w:val="-34"/>
        </w:rPr>
        <w:object w:dxaOrig="5220" w:dyaOrig="800" w14:anchorId="0E93F313">
          <v:shape id="_x0000_i5683" type="#_x0000_t75" style="width:261.4pt;height:39.95pt" o:ole="">
            <v:imagedata r:id="rId9372" o:title=""/>
          </v:shape>
          <o:OLEObject Type="Embed" ProgID="Equation.DSMT4" ShapeID="_x0000_i5683" DrawAspect="Content" ObjectID="_1791379627" r:id="rId9373"/>
        </w:object>
      </w:r>
      <w:r>
        <w:rPr>
          <w:rtl/>
        </w:rPr>
        <w:tab/>
      </w:r>
      <w:r>
        <w:rPr>
          <w:rtl/>
        </w:rPr>
        <w:tab/>
      </w:r>
      <w:r w:rsidRPr="00B6450D">
        <w:rPr>
          <w:i/>
          <w:sz w:val="23"/>
          <w:szCs w:val="23"/>
        </w:rPr>
        <w:t xml:space="preserve"> </w:t>
      </w:r>
      <w:r w:rsidRPr="00B6450D">
        <w:rPr>
          <w:i/>
          <w:sz w:val="23"/>
          <w:szCs w:val="23"/>
          <w:rtl/>
        </w:rPr>
        <w:tab/>
      </w:r>
      <w:r w:rsidRPr="00B6450D">
        <w:rPr>
          <w:rFonts w:hint="cs"/>
          <w:i/>
          <w:sz w:val="23"/>
          <w:szCs w:val="23"/>
          <w:rtl/>
        </w:rPr>
        <w:t>(۱۲. ۵۳)</w:t>
      </w:r>
    </w:p>
    <w:p w14:paraId="20F8E8B1" w14:textId="77777777" w:rsidR="00556C10" w:rsidRPr="00B6450D" w:rsidRDefault="00556C10" w:rsidP="00556C10">
      <w:pPr>
        <w:spacing w:line="216" w:lineRule="auto"/>
        <w:rPr>
          <w:i/>
          <w:sz w:val="23"/>
          <w:szCs w:val="23"/>
          <w:rtl/>
        </w:rPr>
      </w:pPr>
      <w:r w:rsidRPr="00B6450D">
        <w:rPr>
          <w:rFonts w:hint="cs"/>
          <w:i/>
          <w:sz w:val="23"/>
          <w:szCs w:val="23"/>
          <w:rtl/>
        </w:rPr>
        <w:t>بطوری</w:t>
      </w:r>
      <w:r w:rsidRPr="00B6450D">
        <w:rPr>
          <w:i/>
          <w:sz w:val="23"/>
          <w:szCs w:val="23"/>
          <w:rtl/>
        </w:rPr>
        <w:softHyphen/>
      </w:r>
      <w:r w:rsidRPr="00B6450D">
        <w:rPr>
          <w:rFonts w:hint="cs"/>
          <w:i/>
          <w:sz w:val="23"/>
          <w:szCs w:val="23"/>
          <w:rtl/>
        </w:rPr>
        <w:t>که</w:t>
      </w:r>
      <w:r w:rsidRPr="00B6450D">
        <w:rPr>
          <w:position w:val="-12"/>
        </w:rPr>
        <w:object w:dxaOrig="1160" w:dyaOrig="340" w14:anchorId="5CE0E06A">
          <v:shape id="_x0000_i5684" type="#_x0000_t75" style="width:58.1pt;height:16.95pt" o:ole="">
            <v:imagedata r:id="rId9374" o:title=""/>
          </v:shape>
          <o:OLEObject Type="Embed" ProgID="Equation.DSMT4" ShapeID="_x0000_i5684" DrawAspect="Content" ObjectID="_1791379628" r:id="rId9375"/>
        </w:object>
      </w:r>
      <w:r w:rsidRPr="00B6450D">
        <w:rPr>
          <w:rFonts w:hint="cs"/>
          <w:i/>
          <w:sz w:val="23"/>
          <w:szCs w:val="23"/>
          <w:rtl/>
        </w:rPr>
        <w:t>، خواهیم داشت</w:t>
      </w:r>
    </w:p>
    <w:p w14:paraId="080389A6" w14:textId="77777777" w:rsidR="00556C10" w:rsidRPr="00B6450D" w:rsidRDefault="00556C10" w:rsidP="00556C10">
      <w:pPr>
        <w:bidi w:val="0"/>
        <w:spacing w:line="216" w:lineRule="auto"/>
        <w:rPr>
          <w:i/>
          <w:sz w:val="23"/>
          <w:szCs w:val="23"/>
          <w:rtl/>
        </w:rPr>
      </w:pPr>
      <w:r w:rsidRPr="00B6450D">
        <w:rPr>
          <w:position w:val="-42"/>
        </w:rPr>
        <w:object w:dxaOrig="4840" w:dyaOrig="960" w14:anchorId="3A0E2B68">
          <v:shape id="_x0000_i5685" type="#_x0000_t75" style="width:242pt;height:47.8pt" o:ole="">
            <v:imagedata r:id="rId9376" o:title=""/>
          </v:shape>
          <o:OLEObject Type="Embed" ProgID="Equation.DSMT4" ShapeID="_x0000_i5685" DrawAspect="Content" ObjectID="_1791379629" r:id="rId9377"/>
        </w:object>
      </w:r>
      <w:r w:rsidRPr="00B6450D">
        <w:rPr>
          <w:i/>
          <w:sz w:val="23"/>
          <w:szCs w:val="23"/>
        </w:rPr>
        <w:tab/>
      </w:r>
      <w:r w:rsidRPr="00B6450D">
        <w:rPr>
          <w:i/>
          <w:sz w:val="23"/>
          <w:szCs w:val="23"/>
        </w:rPr>
        <w:tab/>
        <w:t xml:space="preserve"> </w:t>
      </w:r>
      <w:r w:rsidRPr="00B6450D">
        <w:rPr>
          <w:i/>
          <w:sz w:val="23"/>
          <w:szCs w:val="23"/>
          <w:rtl/>
        </w:rPr>
        <w:tab/>
      </w:r>
      <w:r>
        <w:rPr>
          <w:i/>
          <w:sz w:val="23"/>
          <w:szCs w:val="23"/>
          <w:rtl/>
        </w:rPr>
        <w:tab/>
      </w:r>
      <w:r w:rsidRPr="00B6450D">
        <w:rPr>
          <w:rFonts w:hint="cs"/>
          <w:i/>
          <w:sz w:val="23"/>
          <w:szCs w:val="23"/>
          <w:rtl/>
        </w:rPr>
        <w:t>(۱۲. ۵۴)</w:t>
      </w:r>
    </w:p>
    <w:p w14:paraId="0AC45364" w14:textId="77777777" w:rsidR="00556C10" w:rsidRPr="00B6450D" w:rsidRDefault="00556C10" w:rsidP="00556C10">
      <w:pPr>
        <w:spacing w:line="216" w:lineRule="auto"/>
        <w:rPr>
          <w:i/>
          <w:sz w:val="23"/>
          <w:szCs w:val="23"/>
          <w:rtl/>
        </w:rPr>
      </w:pPr>
      <w:r w:rsidRPr="00B6450D">
        <w:rPr>
          <w:rFonts w:hint="cs"/>
          <w:i/>
          <w:sz w:val="23"/>
          <w:szCs w:val="23"/>
          <w:rtl/>
        </w:rPr>
        <w:lastRenderedPageBreak/>
        <w:t>با</w:t>
      </w:r>
    </w:p>
    <w:p w14:paraId="28BFCBA4" w14:textId="77777777" w:rsidR="00556C10" w:rsidRPr="00B6450D" w:rsidRDefault="00556C10" w:rsidP="00556C10">
      <w:pPr>
        <w:bidi w:val="0"/>
        <w:spacing w:line="216" w:lineRule="auto"/>
        <w:rPr>
          <w:i/>
          <w:sz w:val="23"/>
          <w:szCs w:val="23"/>
          <w:rtl/>
        </w:rPr>
      </w:pPr>
      <w:r w:rsidRPr="00B6450D">
        <w:rPr>
          <w:position w:val="-22"/>
        </w:rPr>
        <w:object w:dxaOrig="2900" w:dyaOrig="560" w14:anchorId="4CA41A02">
          <v:shape id="_x0000_i5686" type="#_x0000_t75" style="width:145.2pt;height:27.85pt" o:ole="">
            <v:imagedata r:id="rId9378" o:title=""/>
          </v:shape>
          <o:OLEObject Type="Embed" ProgID="Equation.DSMT4" ShapeID="_x0000_i5686" DrawAspect="Content" ObjectID="_1791379630" r:id="rId9379"/>
        </w:object>
      </w:r>
    </w:p>
    <w:p w14:paraId="60F421C7" w14:textId="77777777" w:rsidR="00556C10" w:rsidRPr="00B6450D" w:rsidRDefault="00556C10" w:rsidP="00556C10">
      <w:pPr>
        <w:bidi w:val="0"/>
        <w:spacing w:line="216" w:lineRule="auto"/>
        <w:rPr>
          <w:i/>
          <w:sz w:val="23"/>
          <w:szCs w:val="23"/>
          <w:rtl/>
        </w:rPr>
      </w:pPr>
      <w:r w:rsidRPr="00B6450D">
        <w:rPr>
          <w:position w:val="-28"/>
        </w:rPr>
        <w:object w:dxaOrig="3019" w:dyaOrig="639" w14:anchorId="4E86A7C7">
          <v:shape id="_x0000_i5687" type="#_x0000_t75" style="width:151.25pt;height:31.45pt" o:ole="">
            <v:imagedata r:id="rId9380" o:title=""/>
          </v:shape>
          <o:OLEObject Type="Embed" ProgID="Equation.DSMT4" ShapeID="_x0000_i5687" DrawAspect="Content" ObjectID="_1791379631" r:id="rId9381"/>
        </w:object>
      </w:r>
      <w:r w:rsidRPr="00B6450D">
        <w:rPr>
          <w:i/>
          <w:sz w:val="23"/>
          <w:szCs w:val="23"/>
        </w:rPr>
        <w:t xml:space="preserve"> </w:t>
      </w:r>
      <w:r w:rsidRPr="00025957">
        <w:rPr>
          <w:position w:val="-4"/>
        </w:rPr>
        <w:object w:dxaOrig="200" w:dyaOrig="180" w14:anchorId="1EDF4A19">
          <v:shape id="_x0000_i5688" type="#_x0000_t75" style="width:10.3pt;height:9.1pt" o:ole="">
            <v:imagedata r:id="rId9382" o:title=""/>
          </v:shape>
          <o:OLEObject Type="Embed" ProgID="Equation.DSMT4" ShapeID="_x0000_i5688" DrawAspect="Content" ObjectID="_1791379632" r:id="rId9383"/>
        </w:object>
      </w:r>
      <w:r w:rsidRPr="00B6450D">
        <w:rPr>
          <w:rFonts w:hint="cs"/>
          <w:i/>
          <w:sz w:val="23"/>
          <w:szCs w:val="23"/>
          <w:rtl/>
        </w:rPr>
        <w:t>مابه</w:t>
      </w:r>
      <w:r w:rsidRPr="00B6450D">
        <w:rPr>
          <w:i/>
          <w:sz w:val="23"/>
          <w:szCs w:val="23"/>
          <w:rtl/>
        </w:rPr>
        <w:softHyphen/>
      </w:r>
      <w:r w:rsidRPr="00B6450D">
        <w:rPr>
          <w:rFonts w:hint="cs"/>
          <w:i/>
          <w:sz w:val="23"/>
          <w:szCs w:val="23"/>
          <w:rtl/>
        </w:rPr>
        <w:t>التفاوت زمانی + بازده انتظاری</w:t>
      </w:r>
    </w:p>
    <w:p w14:paraId="10C0A8E9" w14:textId="77777777" w:rsidR="00556C10" w:rsidRPr="00B6450D" w:rsidRDefault="00556C10" w:rsidP="00556C10">
      <w:pPr>
        <w:spacing w:line="216" w:lineRule="auto"/>
        <w:rPr>
          <w:i/>
          <w:sz w:val="23"/>
          <w:szCs w:val="23"/>
          <w:rtl/>
        </w:rPr>
      </w:pPr>
      <w:r w:rsidRPr="00B6450D">
        <w:rPr>
          <w:rFonts w:hint="cs"/>
          <w:i/>
          <w:sz w:val="23"/>
          <w:szCs w:val="23"/>
          <w:rtl/>
        </w:rPr>
        <w:t>که</w:t>
      </w:r>
    </w:p>
    <w:p w14:paraId="4A1CAF69" w14:textId="77777777" w:rsidR="00556C10" w:rsidRPr="00B6450D" w:rsidRDefault="00556C10" w:rsidP="00556C10">
      <w:pPr>
        <w:bidi w:val="0"/>
        <w:spacing w:line="216" w:lineRule="auto"/>
        <w:rPr>
          <w:i/>
          <w:sz w:val="23"/>
          <w:szCs w:val="23"/>
        </w:rPr>
      </w:pPr>
      <w:r w:rsidRPr="00B6450D">
        <w:rPr>
          <w:position w:val="-22"/>
        </w:rPr>
        <w:object w:dxaOrig="5200" w:dyaOrig="660" w14:anchorId="772A5B86">
          <v:shape id="_x0000_i5689" type="#_x0000_t75" style="width:260.15pt;height:32.65pt" o:ole="">
            <v:imagedata r:id="rId9384" o:title=""/>
          </v:shape>
          <o:OLEObject Type="Embed" ProgID="Equation.DSMT4" ShapeID="_x0000_i5689" DrawAspect="Content" ObjectID="_1791379633" r:id="rId9385"/>
        </w:object>
      </w:r>
    </w:p>
    <w:p w14:paraId="498234E6" w14:textId="77777777" w:rsidR="00556C10" w:rsidRPr="00B6450D" w:rsidRDefault="00556C10" w:rsidP="00556C10">
      <w:pPr>
        <w:spacing w:line="216" w:lineRule="auto"/>
        <w:rPr>
          <w:i/>
          <w:sz w:val="23"/>
          <w:szCs w:val="23"/>
          <w:rtl/>
        </w:rPr>
      </w:pPr>
      <w:r w:rsidRPr="00B6450D">
        <w:rPr>
          <w:rFonts w:hint="cs"/>
          <w:i/>
          <w:sz w:val="23"/>
          <w:szCs w:val="23"/>
          <w:rtl/>
        </w:rPr>
        <w:t>که ترکیب پاداش ریسک و اثر جنسن برای مازاد بازدهی انتظاری اوراق قرضه‌ی</w:t>
      </w:r>
      <w:r w:rsidRPr="00B6450D">
        <w:rPr>
          <w:position w:val="-8"/>
        </w:rPr>
        <w:object w:dxaOrig="499" w:dyaOrig="279" w14:anchorId="2F061798">
          <v:shape id="_x0000_i5690" type="#_x0000_t75" style="width:24.8pt;height:13.9pt" o:ole="">
            <v:imagedata r:id="rId9386" o:title=""/>
          </v:shape>
          <o:OLEObject Type="Embed" ProgID="Equation.DSMT4" ShapeID="_x0000_i5690" DrawAspect="Content" ObjectID="_1791379634" r:id="rId9387"/>
        </w:object>
      </w:r>
      <w:r w:rsidRPr="00B6450D">
        <w:rPr>
          <w:rFonts w:hint="cs"/>
          <w:i/>
          <w:sz w:val="23"/>
          <w:szCs w:val="23"/>
          <w:rtl/>
        </w:rPr>
        <w:t xml:space="preserve"> دوره</w:t>
      </w:r>
      <w:r w:rsidRPr="00B6450D">
        <w:rPr>
          <w:i/>
          <w:sz w:val="23"/>
          <w:szCs w:val="23"/>
        </w:rPr>
        <w:softHyphen/>
      </w:r>
      <w:r w:rsidRPr="00B6450D">
        <w:rPr>
          <w:rFonts w:hint="cs"/>
          <w:i/>
          <w:sz w:val="23"/>
          <w:szCs w:val="23"/>
          <w:rtl/>
        </w:rPr>
        <w:t xml:space="preserve">ای در </w:t>
      </w:r>
      <w:r w:rsidRPr="00B6450D">
        <w:rPr>
          <w:position w:val="-8"/>
        </w:rPr>
        <w:object w:dxaOrig="440" w:dyaOrig="279" w14:anchorId="17C3FC10">
          <v:shape id="_x0000_i5691" type="#_x0000_t75" style="width:21.8pt;height:13.9pt" o:ole="">
            <v:imagedata r:id="rId9388" o:title=""/>
          </v:shape>
          <o:OLEObject Type="Embed" ProgID="Equation.DSMT4" ShapeID="_x0000_i5691" DrawAspect="Content" ObjectID="_1791379635" r:id="rId9389"/>
        </w:object>
      </w:r>
      <w:r w:rsidRPr="00B6450D">
        <w:rPr>
          <w:i/>
          <w:sz w:val="23"/>
          <w:szCs w:val="23"/>
        </w:rPr>
        <w:t xml:space="preserve"> </w:t>
      </w:r>
      <w:r w:rsidRPr="00B6450D">
        <w:rPr>
          <w:rFonts w:hint="cs"/>
          <w:i/>
          <w:sz w:val="23"/>
          <w:szCs w:val="23"/>
          <w:rtl/>
        </w:rPr>
        <w:t>است. مابه</w:t>
      </w:r>
      <w:r w:rsidRPr="00B6450D">
        <w:rPr>
          <w:i/>
          <w:sz w:val="23"/>
          <w:szCs w:val="23"/>
          <w:rtl/>
        </w:rPr>
        <w:softHyphen/>
      </w:r>
      <w:r w:rsidRPr="00B6450D">
        <w:rPr>
          <w:rFonts w:hint="cs"/>
          <w:i/>
          <w:sz w:val="23"/>
          <w:szCs w:val="23"/>
          <w:rtl/>
        </w:rPr>
        <w:t>التفاوت زمانی نیز برابر است با</w:t>
      </w:r>
    </w:p>
    <w:p w14:paraId="233428A8" w14:textId="77777777" w:rsidR="00556C10" w:rsidRPr="00B6450D" w:rsidRDefault="00556C10" w:rsidP="00556C10">
      <w:pPr>
        <w:bidi w:val="0"/>
        <w:spacing w:line="216" w:lineRule="auto"/>
        <w:rPr>
          <w:i/>
          <w:sz w:val="23"/>
          <w:szCs w:val="23"/>
          <w:rtl/>
        </w:rPr>
      </w:pPr>
      <w:r w:rsidRPr="00B6450D">
        <w:rPr>
          <w:position w:val="-28"/>
        </w:rPr>
        <w:object w:dxaOrig="5160" w:dyaOrig="639" w14:anchorId="54A99D1F">
          <v:shape id="_x0000_i5692" type="#_x0000_t75" style="width:258.35pt;height:31.45pt" o:ole="">
            <v:imagedata r:id="rId9390" o:title=""/>
          </v:shape>
          <o:OLEObject Type="Embed" ProgID="Equation.DSMT4" ShapeID="_x0000_i5692" DrawAspect="Content" ObjectID="_1791379636" r:id="rId9391"/>
        </w:object>
      </w:r>
      <w:r>
        <w:rPr>
          <w:rtl/>
        </w:rPr>
        <w:tab/>
      </w:r>
      <w:r>
        <w:rPr>
          <w:rtl/>
        </w:rPr>
        <w:tab/>
      </w:r>
      <w:r w:rsidRPr="00B6450D">
        <w:rPr>
          <w:i/>
          <w:sz w:val="23"/>
          <w:szCs w:val="23"/>
          <w:rtl/>
        </w:rPr>
        <w:tab/>
      </w:r>
      <w:r w:rsidRPr="00B6450D">
        <w:rPr>
          <w:rFonts w:hint="cs"/>
          <w:i/>
          <w:sz w:val="23"/>
          <w:szCs w:val="23"/>
          <w:rtl/>
        </w:rPr>
        <w:t>(۱۲. ۵۶)</w:t>
      </w:r>
    </w:p>
    <w:p w14:paraId="23088B5A" w14:textId="77777777" w:rsidR="00556C10" w:rsidRPr="00B6450D" w:rsidRDefault="00556C10" w:rsidP="00556C10">
      <w:pPr>
        <w:spacing w:line="216" w:lineRule="auto"/>
        <w:rPr>
          <w:i/>
          <w:sz w:val="23"/>
          <w:szCs w:val="23"/>
          <w:rtl/>
        </w:rPr>
      </w:pPr>
      <w:r w:rsidRPr="00B6450D">
        <w:rPr>
          <w:rFonts w:hint="cs"/>
          <w:i/>
          <w:sz w:val="23"/>
          <w:szCs w:val="23"/>
          <w:rtl/>
        </w:rPr>
        <w:t>برای ساده</w:t>
      </w:r>
      <w:r w:rsidRPr="00B6450D">
        <w:rPr>
          <w:i/>
          <w:sz w:val="23"/>
          <w:szCs w:val="23"/>
        </w:rPr>
        <w:softHyphen/>
      </w:r>
      <w:r w:rsidRPr="00B6450D">
        <w:rPr>
          <w:rFonts w:hint="cs"/>
          <w:i/>
          <w:sz w:val="23"/>
          <w:szCs w:val="23"/>
          <w:rtl/>
        </w:rPr>
        <w:t>سازی تجزیه و تحلیل مدل، رودبوش و دیگران ساختار زمانی را به دو نرخ بهره‌ی نرخ یک دوره</w:t>
      </w:r>
      <w:r w:rsidRPr="00B6450D">
        <w:rPr>
          <w:i/>
          <w:sz w:val="23"/>
          <w:szCs w:val="23"/>
        </w:rPr>
        <w:softHyphen/>
      </w:r>
      <w:r w:rsidRPr="00B6450D">
        <w:rPr>
          <w:rFonts w:hint="cs"/>
          <w:i/>
          <w:sz w:val="23"/>
          <w:szCs w:val="23"/>
          <w:rtl/>
        </w:rPr>
        <w:t>ای و نرخ پیش فرض ابدی تقلیل داده</w:t>
      </w:r>
      <w:r w:rsidRPr="00B6450D">
        <w:rPr>
          <w:i/>
          <w:sz w:val="23"/>
          <w:szCs w:val="23"/>
        </w:rPr>
        <w:softHyphen/>
      </w:r>
      <w:r w:rsidRPr="00B6450D">
        <w:rPr>
          <w:rFonts w:hint="cs"/>
          <w:i/>
          <w:sz w:val="23"/>
          <w:szCs w:val="23"/>
          <w:rtl/>
        </w:rPr>
        <w:t>اند. نرخ یک دوره</w:t>
      </w:r>
      <w:r w:rsidRPr="00B6450D">
        <w:rPr>
          <w:i/>
          <w:sz w:val="23"/>
          <w:szCs w:val="23"/>
        </w:rPr>
        <w:softHyphen/>
      </w:r>
      <w:r w:rsidRPr="00B6450D">
        <w:rPr>
          <w:rFonts w:hint="cs"/>
          <w:i/>
          <w:sz w:val="23"/>
          <w:szCs w:val="23"/>
          <w:rtl/>
        </w:rPr>
        <w:t>ای بوسیله‌ی قاعده‌ی تیلور تعیین می‌شود، بطوری</w:t>
      </w:r>
      <w:r w:rsidRPr="00B6450D">
        <w:rPr>
          <w:i/>
          <w:sz w:val="23"/>
          <w:szCs w:val="23"/>
        </w:rPr>
        <w:softHyphen/>
      </w:r>
      <w:r w:rsidRPr="00B6450D">
        <w:rPr>
          <w:rFonts w:hint="cs"/>
          <w:i/>
          <w:sz w:val="23"/>
          <w:szCs w:val="23"/>
          <w:rtl/>
        </w:rPr>
        <w:t>که</w:t>
      </w:r>
      <w:r w:rsidRPr="00B6450D">
        <w:rPr>
          <w:position w:val="-10"/>
        </w:rPr>
        <w:object w:dxaOrig="660" w:dyaOrig="320" w14:anchorId="09FD87A8">
          <v:shape id="_x0000_i5693" type="#_x0000_t75" style="width:32.65pt;height:15.75pt" o:ole="">
            <v:imagedata r:id="rId9392" o:title=""/>
          </v:shape>
          <o:OLEObject Type="Embed" ProgID="Equation.DSMT4" ShapeID="_x0000_i5693" DrawAspect="Content" ObjectID="_1791379637" r:id="rId9393"/>
        </w:object>
      </w:r>
      <w:r w:rsidRPr="00B6450D">
        <w:rPr>
          <w:rFonts w:hint="cs"/>
          <w:i/>
          <w:sz w:val="23"/>
          <w:szCs w:val="23"/>
          <w:rtl/>
        </w:rPr>
        <w:t>. چنانچه</w:t>
      </w:r>
      <w:r w:rsidRPr="00B6450D">
        <w:rPr>
          <w:position w:val="-10"/>
        </w:rPr>
        <w:object w:dxaOrig="200" w:dyaOrig="320" w14:anchorId="5E49DFE4">
          <v:shape id="_x0000_i5694" type="#_x0000_t75" style="width:10.3pt;height:15.75pt" o:ole="">
            <v:imagedata r:id="rId9394" o:title=""/>
          </v:shape>
          <o:OLEObject Type="Embed" ProgID="Equation.DSMT4" ShapeID="_x0000_i5694" DrawAspect="Content" ObjectID="_1791379638" r:id="rId9395"/>
        </w:object>
      </w:r>
      <w:r w:rsidRPr="00B6450D">
        <w:rPr>
          <w:i/>
          <w:sz w:val="23"/>
          <w:szCs w:val="23"/>
        </w:rPr>
        <w:t xml:space="preserve"> </w:t>
      </w:r>
      <w:r w:rsidRPr="00B6450D">
        <w:rPr>
          <w:rFonts w:hint="cs"/>
          <w:i/>
          <w:sz w:val="23"/>
          <w:szCs w:val="23"/>
          <w:rtl/>
        </w:rPr>
        <w:t>بوسیله‌ی معادله‌ی (۱۲. ۵۵) برقرار شود، نرخ سیاستی معادله‌ی (۱۲. ۴۰) را تضمین کرده و لگاریتم نرخ تنزیل بوسیله‌ی معادله‌ی (۱۲. ۵۳) تعیین می‌شود. لذا قاعده‌ی تیلور، که مبین انحراف تورم و تولید از اهداف</w:t>
      </w:r>
      <w:r w:rsidRPr="00B6450D">
        <w:rPr>
          <w:i/>
          <w:sz w:val="23"/>
          <w:szCs w:val="23"/>
        </w:rPr>
        <w:softHyphen/>
      </w:r>
      <w:r w:rsidRPr="00B6450D">
        <w:rPr>
          <w:rFonts w:hint="cs"/>
          <w:i/>
          <w:sz w:val="23"/>
          <w:szCs w:val="23"/>
          <w:rtl/>
        </w:rPr>
        <w:t>اشان است، می‌بایست با عامل تنزیل تصادفی که بازتابی از تورم و رشد مصرف است سازگار باشد. در عمل، اگرچه نرخ کوتاه‌مدت در ساختار زمانی مشابه نرخ سیاستی است، ولی این دو نرخ کاملاً برابر نیستند. بنابر این معرفی معادله</w:t>
      </w:r>
      <w:r w:rsidRPr="00B6450D">
        <w:rPr>
          <w:i/>
          <w:sz w:val="23"/>
          <w:szCs w:val="23"/>
          <w:rtl/>
        </w:rPr>
        <w:softHyphen/>
      </w:r>
      <w:r w:rsidRPr="00B6450D">
        <w:rPr>
          <w:rFonts w:hint="cs"/>
          <w:i/>
          <w:sz w:val="23"/>
          <w:szCs w:val="23"/>
          <w:rtl/>
        </w:rPr>
        <w:t>ای دیگر که این دو نرخ کوتاه‌مدت را مرتبط می‌سازد الزامی است.</w:t>
      </w:r>
    </w:p>
    <w:p w14:paraId="19D6B8C4" w14:textId="77777777" w:rsidR="00556C10" w:rsidRPr="00B6450D" w:rsidRDefault="00556C10" w:rsidP="00556C10">
      <w:pPr>
        <w:spacing w:line="216" w:lineRule="auto"/>
        <w:rPr>
          <w:i/>
          <w:sz w:val="23"/>
          <w:szCs w:val="23"/>
          <w:rtl/>
        </w:rPr>
      </w:pPr>
      <w:r w:rsidRPr="00B6450D">
        <w:rPr>
          <w:rFonts w:hint="cs"/>
          <w:i/>
          <w:sz w:val="23"/>
          <w:szCs w:val="23"/>
          <w:rtl/>
        </w:rPr>
        <w:t>در یک کنسول</w:t>
      </w:r>
      <w:r w:rsidRPr="00B6450D">
        <w:rPr>
          <w:rStyle w:val="FootnoteReference"/>
          <w:rFonts w:eastAsiaTheme="majorEastAsia"/>
          <w:i/>
          <w:sz w:val="23"/>
          <w:szCs w:val="23"/>
          <w:rtl/>
        </w:rPr>
        <w:footnoteReference w:id="300"/>
      </w:r>
      <w:r w:rsidRPr="00B6450D">
        <w:rPr>
          <w:rFonts w:hint="cs"/>
          <w:i/>
          <w:sz w:val="23"/>
          <w:szCs w:val="23"/>
          <w:rtl/>
        </w:rPr>
        <w:t xml:space="preserve"> </w:t>
      </w:r>
      <w:r w:rsidRPr="00B6450D">
        <w:rPr>
          <w:position w:val="-6"/>
        </w:rPr>
        <w:object w:dxaOrig="580" w:dyaOrig="200" w14:anchorId="531F1FF1">
          <v:shape id="_x0000_i5695" type="#_x0000_t75" style="width:29.05pt;height:10.3pt" o:ole="">
            <v:imagedata r:id="rId9396" o:title=""/>
          </v:shape>
          <o:OLEObject Type="Embed" ProgID="Equation.DSMT4" ShapeID="_x0000_i5695" DrawAspect="Content" ObjectID="_1791379639" r:id="rId9397"/>
        </w:object>
      </w:r>
      <w:r w:rsidRPr="00B6450D">
        <w:rPr>
          <w:i/>
          <w:sz w:val="23"/>
          <w:szCs w:val="23"/>
        </w:rPr>
        <w:t xml:space="preserve"> </w:t>
      </w:r>
      <w:r w:rsidRPr="00B6450D">
        <w:rPr>
          <w:rFonts w:hint="cs"/>
          <w:i/>
          <w:sz w:val="23"/>
          <w:szCs w:val="23"/>
          <w:rtl/>
        </w:rPr>
        <w:t>است و قیمت آن برابر است با</w:t>
      </w:r>
    </w:p>
    <w:p w14:paraId="5D7AEC1A" w14:textId="77777777" w:rsidR="00556C10" w:rsidRPr="00B6450D" w:rsidRDefault="00556C10" w:rsidP="00556C10">
      <w:pPr>
        <w:bidi w:val="0"/>
        <w:spacing w:line="216" w:lineRule="auto"/>
        <w:rPr>
          <w:i/>
          <w:sz w:val="23"/>
          <w:szCs w:val="23"/>
        </w:rPr>
      </w:pPr>
      <w:r w:rsidRPr="00B6450D">
        <w:rPr>
          <w:position w:val="-14"/>
        </w:rPr>
        <w:object w:dxaOrig="1920" w:dyaOrig="380" w14:anchorId="6C1952E4">
          <v:shape id="_x0000_i5696" type="#_x0000_t75" style="width:96.2pt;height:19.35pt" o:ole="">
            <v:imagedata r:id="rId9398" o:title=""/>
          </v:shape>
          <o:OLEObject Type="Embed" ProgID="Equation.DSMT4" ShapeID="_x0000_i5696" DrawAspect="Content" ObjectID="_1791379640" r:id="rId9399"/>
        </w:object>
      </w:r>
    </w:p>
    <w:p w14:paraId="4FC0846D" w14:textId="77777777" w:rsidR="00556C10" w:rsidRPr="00B6450D" w:rsidRDefault="00556C10" w:rsidP="00556C10">
      <w:pPr>
        <w:spacing w:line="216" w:lineRule="auto"/>
        <w:rPr>
          <w:i/>
          <w:sz w:val="23"/>
          <w:szCs w:val="23"/>
          <w:rtl/>
        </w:rPr>
      </w:pPr>
      <w:r w:rsidRPr="00B6450D">
        <w:rPr>
          <w:rFonts w:hint="cs"/>
          <w:i/>
          <w:sz w:val="23"/>
          <w:szCs w:val="23"/>
          <w:rtl/>
        </w:rPr>
        <w:t>چنانچه کنسول بدون ریسک باشد، قیمت آن برابر خواهد بود با</w:t>
      </w:r>
    </w:p>
    <w:p w14:paraId="27A5216A" w14:textId="77777777" w:rsidR="00556C10" w:rsidRPr="00B6450D" w:rsidRDefault="00556C10" w:rsidP="00556C10">
      <w:pPr>
        <w:bidi w:val="0"/>
        <w:spacing w:line="216" w:lineRule="auto"/>
        <w:rPr>
          <w:i/>
          <w:sz w:val="23"/>
          <w:szCs w:val="23"/>
        </w:rPr>
      </w:pPr>
      <w:r w:rsidRPr="00B6450D">
        <w:rPr>
          <w:position w:val="-28"/>
        </w:rPr>
        <w:object w:dxaOrig="1719" w:dyaOrig="620" w14:anchorId="228DD5B6">
          <v:shape id="_x0000_i5697" type="#_x0000_t75" style="width:85.9pt;height:31.45pt" o:ole="">
            <v:imagedata r:id="rId9400" o:title=""/>
          </v:shape>
          <o:OLEObject Type="Embed" ProgID="Equation.DSMT4" ShapeID="_x0000_i5697" DrawAspect="Content" ObjectID="_1791379641" r:id="rId9401"/>
        </w:object>
      </w:r>
    </w:p>
    <w:p w14:paraId="04FFB4DB" w14:textId="77777777" w:rsidR="00556C10" w:rsidRDefault="00556C10" w:rsidP="00556C10">
      <w:pPr>
        <w:spacing w:line="216" w:lineRule="auto"/>
        <w:rPr>
          <w:i/>
          <w:sz w:val="23"/>
          <w:szCs w:val="23"/>
          <w:rtl/>
        </w:rPr>
      </w:pPr>
      <w:r w:rsidRPr="00B6450D">
        <w:rPr>
          <w:rFonts w:hint="cs"/>
          <w:i/>
          <w:sz w:val="23"/>
          <w:szCs w:val="23"/>
          <w:rtl/>
        </w:rPr>
        <w:t>بطوری</w:t>
      </w:r>
      <w:r w:rsidRPr="00B6450D">
        <w:rPr>
          <w:i/>
          <w:sz w:val="23"/>
          <w:szCs w:val="23"/>
          <w:rtl/>
        </w:rPr>
        <w:softHyphen/>
      </w:r>
      <w:r w:rsidRPr="00B6450D">
        <w:rPr>
          <w:rFonts w:hint="cs"/>
          <w:i/>
          <w:sz w:val="23"/>
          <w:szCs w:val="23"/>
          <w:rtl/>
        </w:rPr>
        <w:t>که</w:t>
      </w:r>
      <w:r w:rsidRPr="00B6450D">
        <w:rPr>
          <w:position w:val="-30"/>
        </w:rPr>
        <w:object w:dxaOrig="1560" w:dyaOrig="639" w14:anchorId="364C7BB6">
          <v:shape id="_x0000_i5698" type="#_x0000_t75" style="width:78.65pt;height:31.45pt" o:ole="">
            <v:imagedata r:id="rId9402" o:title=""/>
          </v:shape>
          <o:OLEObject Type="Embed" ProgID="Equation.DSMT4" ShapeID="_x0000_i5698" DrawAspect="Content" ObjectID="_1791379642" r:id="rId9403"/>
        </w:object>
      </w:r>
      <w:r w:rsidRPr="00B6450D">
        <w:rPr>
          <w:rFonts w:hint="cs"/>
          <w:i/>
          <w:sz w:val="23"/>
          <w:szCs w:val="23"/>
          <w:rtl/>
        </w:rPr>
        <w:t>. رودبوش و دیگران مابه</w:t>
      </w:r>
      <w:r w:rsidRPr="00B6450D">
        <w:rPr>
          <w:i/>
          <w:sz w:val="23"/>
          <w:szCs w:val="23"/>
          <w:rtl/>
        </w:rPr>
        <w:softHyphen/>
      </w:r>
      <w:r w:rsidRPr="00B6450D">
        <w:rPr>
          <w:rFonts w:hint="cs"/>
          <w:i/>
          <w:sz w:val="23"/>
          <w:szCs w:val="23"/>
          <w:rtl/>
        </w:rPr>
        <w:t xml:space="preserve">التفاوت زمانی کنسول را به صورت زیر </w:t>
      </w:r>
    </w:p>
    <w:p w14:paraId="60C9E4C3" w14:textId="77777777" w:rsidR="00556C10" w:rsidRPr="00B6450D" w:rsidRDefault="00556C10" w:rsidP="00556C10">
      <w:pPr>
        <w:spacing w:line="216" w:lineRule="auto"/>
        <w:rPr>
          <w:i/>
          <w:sz w:val="23"/>
          <w:szCs w:val="23"/>
          <w:rtl/>
        </w:rPr>
      </w:pPr>
      <w:r w:rsidRPr="00B6450D">
        <w:rPr>
          <w:rFonts w:hint="cs"/>
          <w:i/>
          <w:sz w:val="23"/>
          <w:szCs w:val="23"/>
          <w:rtl/>
        </w:rPr>
        <w:t>تعریف کردند</w:t>
      </w:r>
    </w:p>
    <w:p w14:paraId="3C59F750" w14:textId="77777777" w:rsidR="00556C10" w:rsidRPr="00B6450D" w:rsidRDefault="00556C10" w:rsidP="00556C10">
      <w:pPr>
        <w:bidi w:val="0"/>
        <w:spacing w:line="216" w:lineRule="auto"/>
        <w:rPr>
          <w:i/>
          <w:sz w:val="23"/>
          <w:szCs w:val="23"/>
          <w:rtl/>
        </w:rPr>
      </w:pPr>
      <w:r w:rsidRPr="00B6450D">
        <w:rPr>
          <w:rFonts w:hint="cs"/>
          <w:i/>
          <w:sz w:val="23"/>
          <w:szCs w:val="23"/>
          <w:rtl/>
        </w:rPr>
        <w:t>مابه</w:t>
      </w:r>
      <w:r w:rsidRPr="00B6450D">
        <w:rPr>
          <w:i/>
          <w:sz w:val="23"/>
          <w:szCs w:val="23"/>
          <w:rtl/>
        </w:rPr>
        <w:softHyphen/>
      </w:r>
      <w:r w:rsidRPr="00B6450D">
        <w:rPr>
          <w:rFonts w:hint="cs"/>
          <w:i/>
          <w:sz w:val="23"/>
          <w:szCs w:val="23"/>
          <w:rtl/>
        </w:rPr>
        <w:t>التفاوت زمانی ابدی</w:t>
      </w:r>
      <w:r w:rsidRPr="00B6450D">
        <w:rPr>
          <w:position w:val="-32"/>
        </w:rPr>
        <w:object w:dxaOrig="2560" w:dyaOrig="740" w14:anchorId="2F32D1BB">
          <v:shape id="_x0000_i5699" type="#_x0000_t75" style="width:127.65pt;height:36.9pt" o:ole="">
            <v:imagedata r:id="rId9404" o:title=""/>
          </v:shape>
          <o:OLEObject Type="Embed" ProgID="Equation.DSMT4" ShapeID="_x0000_i5699" DrawAspect="Content" ObjectID="_1791379643" r:id="rId9405"/>
        </w:object>
      </w:r>
      <w:r w:rsidRPr="00B6450D">
        <w:rPr>
          <w:i/>
          <w:sz w:val="23"/>
          <w:szCs w:val="23"/>
          <w:rtl/>
        </w:rPr>
        <w:tab/>
      </w:r>
      <w:r w:rsidRPr="00B6450D">
        <w:rPr>
          <w:i/>
          <w:sz w:val="23"/>
          <w:szCs w:val="23"/>
          <w:rtl/>
        </w:rPr>
        <w:tab/>
      </w:r>
      <w:r w:rsidRPr="00B6450D">
        <w:rPr>
          <w:i/>
          <w:sz w:val="23"/>
          <w:szCs w:val="23"/>
          <w:rtl/>
        </w:rPr>
        <w:tab/>
      </w:r>
      <w:r w:rsidRPr="00B6450D">
        <w:rPr>
          <w:i/>
          <w:sz w:val="23"/>
          <w:szCs w:val="23"/>
        </w:rPr>
        <w:tab/>
      </w:r>
      <w:r w:rsidRPr="00B6450D">
        <w:rPr>
          <w:i/>
          <w:sz w:val="23"/>
          <w:szCs w:val="23"/>
        </w:rPr>
        <w:tab/>
      </w:r>
      <w:r>
        <w:rPr>
          <w:i/>
          <w:sz w:val="23"/>
          <w:szCs w:val="23"/>
          <w:rtl/>
        </w:rPr>
        <w:tab/>
      </w:r>
      <w:r w:rsidRPr="00B6450D">
        <w:rPr>
          <w:i/>
          <w:sz w:val="23"/>
          <w:szCs w:val="23"/>
        </w:rPr>
        <w:t xml:space="preserve"> </w:t>
      </w:r>
      <w:r w:rsidRPr="00B6450D">
        <w:rPr>
          <w:i/>
          <w:sz w:val="23"/>
          <w:szCs w:val="23"/>
          <w:rtl/>
        </w:rPr>
        <w:tab/>
      </w:r>
      <w:r w:rsidRPr="00B6450D">
        <w:rPr>
          <w:rFonts w:hint="cs"/>
          <w:i/>
          <w:sz w:val="23"/>
          <w:szCs w:val="23"/>
          <w:rtl/>
        </w:rPr>
        <w:t>(۱۲. ۵۷)</w:t>
      </w:r>
    </w:p>
    <w:p w14:paraId="6271962C" w14:textId="77777777" w:rsidR="00556C10" w:rsidRPr="00B6450D" w:rsidRDefault="00556C10" w:rsidP="00556C10">
      <w:pPr>
        <w:spacing w:line="216" w:lineRule="auto"/>
        <w:rPr>
          <w:i/>
          <w:sz w:val="23"/>
          <w:szCs w:val="23"/>
          <w:rtl/>
        </w:rPr>
      </w:pPr>
      <w:r w:rsidRPr="00B6450D">
        <w:rPr>
          <w:rFonts w:hint="cs"/>
          <w:i/>
          <w:sz w:val="23"/>
          <w:szCs w:val="23"/>
          <w:rtl/>
        </w:rPr>
        <w:t>روش دیگر برای بیان مابه</w:t>
      </w:r>
      <w:r w:rsidRPr="00B6450D">
        <w:rPr>
          <w:i/>
          <w:sz w:val="23"/>
          <w:szCs w:val="23"/>
          <w:rtl/>
        </w:rPr>
        <w:softHyphen/>
      </w:r>
      <w:r w:rsidRPr="00B6450D">
        <w:rPr>
          <w:rFonts w:hint="cs"/>
          <w:i/>
          <w:sz w:val="23"/>
          <w:szCs w:val="23"/>
          <w:rtl/>
        </w:rPr>
        <w:t>التفاوت زمانی کنسول ممکن است از معادله‌ی (۱۲. ۵۲) بدست آید</w:t>
      </w:r>
    </w:p>
    <w:p w14:paraId="3A9AF538" w14:textId="77777777" w:rsidR="00556C10" w:rsidRPr="00B6450D" w:rsidRDefault="00556C10" w:rsidP="00556C10">
      <w:pPr>
        <w:bidi w:val="0"/>
        <w:spacing w:line="216" w:lineRule="auto"/>
        <w:rPr>
          <w:i/>
          <w:sz w:val="23"/>
          <w:szCs w:val="23"/>
          <w:rtl/>
        </w:rPr>
      </w:pPr>
      <w:r w:rsidRPr="00B6450D">
        <w:rPr>
          <w:position w:val="-22"/>
        </w:rPr>
        <w:object w:dxaOrig="5060" w:dyaOrig="560" w14:anchorId="4BA4B9E4">
          <v:shape id="_x0000_i5700" type="#_x0000_t75" style="width:253.5pt;height:27.85pt" o:ole="">
            <v:imagedata r:id="rId9406" o:title=""/>
          </v:shape>
          <o:OLEObject Type="Embed" ProgID="Equation.DSMT4" ShapeID="_x0000_i5700" DrawAspect="Content" ObjectID="_1791379644" r:id="rId9407"/>
        </w:object>
      </w:r>
    </w:p>
    <w:p w14:paraId="65BE3A03" w14:textId="77777777" w:rsidR="00556C10" w:rsidRPr="00B6450D" w:rsidRDefault="00556C10" w:rsidP="00556C10">
      <w:pPr>
        <w:bidi w:val="0"/>
        <w:spacing w:line="216" w:lineRule="auto"/>
        <w:rPr>
          <w:i/>
          <w:sz w:val="23"/>
          <w:szCs w:val="23"/>
          <w:rtl/>
        </w:rPr>
      </w:pPr>
      <w:r w:rsidRPr="00B6450D">
        <w:rPr>
          <w:position w:val="-22"/>
        </w:rPr>
        <w:object w:dxaOrig="3540" w:dyaOrig="560" w14:anchorId="097C3A32">
          <v:shape id="_x0000_i5701" type="#_x0000_t75" style="width:177.3pt;height:27.85pt" o:ole="">
            <v:imagedata r:id="rId9408" o:title=""/>
          </v:shape>
          <o:OLEObject Type="Embed" ProgID="Equation.DSMT4" ShapeID="_x0000_i5701" DrawAspect="Content" ObjectID="_1791379645" r:id="rId9409"/>
        </w:object>
      </w:r>
    </w:p>
    <w:p w14:paraId="4DC468AB" w14:textId="77777777" w:rsidR="00556C10" w:rsidRPr="00B6450D" w:rsidRDefault="00556C10" w:rsidP="00556C10">
      <w:pPr>
        <w:spacing w:line="216" w:lineRule="auto"/>
        <w:rPr>
          <w:i/>
          <w:sz w:val="23"/>
          <w:szCs w:val="23"/>
        </w:rPr>
      </w:pPr>
      <w:r w:rsidRPr="00B6450D">
        <w:rPr>
          <w:rFonts w:hint="cs"/>
          <w:i/>
          <w:sz w:val="23"/>
          <w:szCs w:val="23"/>
          <w:rtl/>
        </w:rPr>
        <w:t>در نتیجه، مابه</w:t>
      </w:r>
      <w:r w:rsidRPr="00B6450D">
        <w:rPr>
          <w:i/>
          <w:sz w:val="23"/>
          <w:szCs w:val="23"/>
          <w:rtl/>
        </w:rPr>
        <w:softHyphen/>
      </w:r>
      <w:r w:rsidRPr="00B6450D">
        <w:rPr>
          <w:rFonts w:hint="cs"/>
          <w:i/>
          <w:sz w:val="23"/>
          <w:szCs w:val="23"/>
          <w:rtl/>
        </w:rPr>
        <w:t>التفاوت زمانی یک کنسول ممکن است به صورت زیر نوشته شود</w:t>
      </w:r>
    </w:p>
    <w:p w14:paraId="02F05153" w14:textId="77777777" w:rsidR="00556C10" w:rsidRPr="00B6450D" w:rsidRDefault="00556C10" w:rsidP="00556C10">
      <w:pPr>
        <w:bidi w:val="0"/>
        <w:spacing w:line="216" w:lineRule="auto"/>
        <w:rPr>
          <w:i/>
          <w:sz w:val="23"/>
          <w:szCs w:val="23"/>
          <w:rtl/>
        </w:rPr>
      </w:pPr>
      <w:r w:rsidRPr="00B6450D">
        <w:rPr>
          <w:position w:val="-46"/>
        </w:rPr>
        <w:object w:dxaOrig="4599" w:dyaOrig="1020" w14:anchorId="7DD145E2">
          <v:shape id="_x0000_i5702" type="#_x0000_t75" style="width:229.9pt;height:50.8pt" o:ole="">
            <v:imagedata r:id="rId9410" o:title=""/>
          </v:shape>
          <o:OLEObject Type="Embed" ProgID="Equation.DSMT4" ShapeID="_x0000_i5702" DrawAspect="Content" ObjectID="_1791379646" r:id="rId9411"/>
        </w:object>
      </w:r>
      <w:r w:rsidRPr="00B6450D">
        <w:rPr>
          <w:i/>
          <w:sz w:val="23"/>
          <w:szCs w:val="23"/>
        </w:rPr>
        <w:tab/>
      </w:r>
      <w:r>
        <w:rPr>
          <w:i/>
          <w:sz w:val="23"/>
          <w:szCs w:val="23"/>
          <w:rtl/>
        </w:rPr>
        <w:tab/>
      </w:r>
      <w:r w:rsidRPr="00B6450D">
        <w:rPr>
          <w:i/>
          <w:sz w:val="23"/>
          <w:szCs w:val="23"/>
        </w:rPr>
        <w:tab/>
      </w:r>
      <w:r w:rsidRPr="00B6450D">
        <w:rPr>
          <w:i/>
          <w:sz w:val="23"/>
          <w:szCs w:val="23"/>
        </w:rPr>
        <w:tab/>
      </w:r>
      <w:r w:rsidRPr="00B6450D">
        <w:rPr>
          <w:i/>
          <w:sz w:val="23"/>
          <w:szCs w:val="23"/>
          <w:rtl/>
        </w:rPr>
        <w:tab/>
      </w:r>
      <w:r w:rsidRPr="00B6450D">
        <w:rPr>
          <w:rFonts w:hint="cs"/>
          <w:i/>
          <w:sz w:val="23"/>
          <w:szCs w:val="23"/>
          <w:rtl/>
        </w:rPr>
        <w:t>(۱۲. ۵۸)</w:t>
      </w:r>
    </w:p>
    <w:p w14:paraId="586C9187" w14:textId="77777777" w:rsidR="00556C10" w:rsidRPr="00B6450D" w:rsidRDefault="00556C10" w:rsidP="00556C10">
      <w:pPr>
        <w:spacing w:line="216" w:lineRule="auto"/>
        <w:rPr>
          <w:i/>
          <w:sz w:val="23"/>
          <w:szCs w:val="23"/>
          <w:rtl/>
        </w:rPr>
      </w:pPr>
      <w:r w:rsidRPr="00B6450D">
        <w:rPr>
          <w:rFonts w:hint="cs"/>
          <w:i/>
          <w:sz w:val="23"/>
          <w:szCs w:val="23"/>
          <w:rtl/>
        </w:rPr>
        <w:t>همان</w:t>
      </w:r>
      <w:r w:rsidRPr="00B6450D">
        <w:rPr>
          <w:i/>
          <w:sz w:val="23"/>
          <w:szCs w:val="23"/>
          <w:rtl/>
        </w:rPr>
        <w:softHyphen/>
      </w:r>
      <w:r w:rsidRPr="00B6450D">
        <w:rPr>
          <w:rFonts w:hint="cs"/>
          <w:i/>
          <w:sz w:val="23"/>
          <w:szCs w:val="23"/>
          <w:rtl/>
        </w:rPr>
        <w:t>گونه که این مدل غیرخطی است، رودبوش و دیگران پس از کالیبره کردن مدل، با لگاریتم-خطی کردن مدل در اطراف وضعیت یکنواخت غیرتصادفی و روش شبیه</w:t>
      </w:r>
      <w:r w:rsidRPr="00B6450D">
        <w:rPr>
          <w:i/>
          <w:sz w:val="23"/>
          <w:szCs w:val="23"/>
          <w:rtl/>
        </w:rPr>
        <w:softHyphen/>
      </w:r>
      <w:r w:rsidRPr="00B6450D">
        <w:rPr>
          <w:rFonts w:hint="cs"/>
          <w:i/>
          <w:sz w:val="23"/>
          <w:szCs w:val="23"/>
          <w:rtl/>
        </w:rPr>
        <w:t>سازی خواص آن را تجزیه و تحلیل کردند. تقریب مرتبه سوم به عنوان مرتبه اول مابه</w:t>
      </w:r>
      <w:r w:rsidRPr="00B6450D">
        <w:rPr>
          <w:i/>
          <w:sz w:val="23"/>
          <w:szCs w:val="23"/>
          <w:rtl/>
        </w:rPr>
        <w:softHyphen/>
      </w:r>
      <w:r w:rsidRPr="00B6450D">
        <w:rPr>
          <w:rFonts w:hint="cs"/>
          <w:i/>
          <w:sz w:val="23"/>
          <w:szCs w:val="23"/>
          <w:rtl/>
        </w:rPr>
        <w:t>التفاوت زمانی را حذف کرده و در تقریب مرتبه دوم مابه</w:t>
      </w:r>
      <w:r w:rsidRPr="00B6450D">
        <w:rPr>
          <w:i/>
          <w:sz w:val="23"/>
          <w:szCs w:val="23"/>
          <w:rtl/>
        </w:rPr>
        <w:softHyphen/>
      </w:r>
      <w:r w:rsidRPr="00B6450D">
        <w:rPr>
          <w:rFonts w:hint="cs"/>
          <w:i/>
          <w:sz w:val="23"/>
          <w:szCs w:val="23"/>
          <w:rtl/>
        </w:rPr>
        <w:t>التفاوت زمانی ثابت خواهد بود. در تقریب مرتبه سوم این امکان فراهم می‌شود که مابه</w:t>
      </w:r>
      <w:r w:rsidRPr="00B6450D">
        <w:rPr>
          <w:i/>
          <w:sz w:val="23"/>
          <w:szCs w:val="23"/>
          <w:rtl/>
        </w:rPr>
        <w:softHyphen/>
      </w:r>
      <w:r w:rsidRPr="00B6450D">
        <w:rPr>
          <w:rFonts w:hint="cs"/>
          <w:i/>
          <w:sz w:val="23"/>
          <w:szCs w:val="23"/>
          <w:rtl/>
        </w:rPr>
        <w:t>التفاوت زمانی در طی زمان تغییر کند و لذا مابه</w:t>
      </w:r>
      <w:r w:rsidRPr="00B6450D">
        <w:rPr>
          <w:i/>
          <w:sz w:val="23"/>
          <w:szCs w:val="23"/>
          <w:rtl/>
        </w:rPr>
        <w:softHyphen/>
      </w:r>
      <w:r w:rsidRPr="00B6450D">
        <w:rPr>
          <w:rFonts w:hint="cs"/>
          <w:i/>
          <w:sz w:val="23"/>
          <w:szCs w:val="23"/>
          <w:rtl/>
        </w:rPr>
        <w:t>التفاوت زمانی به شوک‌های شبیه</w:t>
      </w:r>
      <w:r w:rsidRPr="00B6450D">
        <w:rPr>
          <w:i/>
          <w:sz w:val="23"/>
          <w:szCs w:val="23"/>
          <w:rtl/>
        </w:rPr>
        <w:softHyphen/>
      </w:r>
      <w:r w:rsidRPr="00B6450D">
        <w:rPr>
          <w:rFonts w:hint="cs"/>
          <w:i/>
          <w:sz w:val="23"/>
          <w:szCs w:val="23"/>
          <w:rtl/>
        </w:rPr>
        <w:t>سازی شده واکنش نشان می‌دهد. در اینجا به توابع ضربه-پاسخ تولید و مابه</w:t>
      </w:r>
      <w:r w:rsidRPr="00B6450D">
        <w:rPr>
          <w:i/>
          <w:sz w:val="23"/>
          <w:szCs w:val="23"/>
          <w:rtl/>
        </w:rPr>
        <w:softHyphen/>
      </w:r>
      <w:r w:rsidRPr="00B6450D">
        <w:rPr>
          <w:rFonts w:hint="cs"/>
          <w:i/>
          <w:sz w:val="23"/>
          <w:szCs w:val="23"/>
          <w:rtl/>
        </w:rPr>
        <w:t>التفاوت زمانی در مقابل شوک‌ نرخ کوتاه‌مدت ( نرخ وجوه فدرال)،</w:t>
      </w:r>
      <w:r w:rsidRPr="00B6450D">
        <w:rPr>
          <w:rFonts w:cs="Calibri" w:hint="cs"/>
          <w:i/>
          <w:sz w:val="23"/>
          <w:szCs w:val="23"/>
          <w:rtl/>
        </w:rPr>
        <w:t xml:space="preserve"> </w:t>
      </w:r>
      <w:r w:rsidRPr="00B6450D">
        <w:rPr>
          <w:rFonts w:hint="cs"/>
          <w:i/>
          <w:sz w:val="23"/>
          <w:szCs w:val="23"/>
          <w:rtl/>
        </w:rPr>
        <w:t>شوک تکنولوژی و شوک مخارج دولت با توجه به عدم در نظر گرفتن قید بودجه‌ی دولت در مدل، و این فرض ضمنی که مخارج دولت با اوراق قرضه‌ی یک دوره</w:t>
      </w:r>
      <w:r w:rsidRPr="00B6450D">
        <w:rPr>
          <w:i/>
          <w:sz w:val="23"/>
          <w:szCs w:val="23"/>
          <w:rtl/>
        </w:rPr>
        <w:softHyphen/>
      </w:r>
      <w:r w:rsidRPr="00B6450D">
        <w:rPr>
          <w:rFonts w:hint="cs"/>
          <w:i/>
          <w:sz w:val="23"/>
          <w:szCs w:val="23"/>
          <w:rtl/>
        </w:rPr>
        <w:t>ای تأمین مالی می‌شود توجه شده است.</w:t>
      </w:r>
    </w:p>
    <w:p w14:paraId="5817C09C" w14:textId="77777777" w:rsidR="00556C10" w:rsidRPr="00B6450D" w:rsidRDefault="00556C10" w:rsidP="00556C10">
      <w:pPr>
        <w:spacing w:line="216" w:lineRule="auto"/>
        <w:rPr>
          <w:i/>
          <w:sz w:val="23"/>
          <w:szCs w:val="23"/>
          <w:rtl/>
        </w:rPr>
      </w:pPr>
      <w:r w:rsidRPr="00B6450D">
        <w:rPr>
          <w:rFonts w:hint="cs"/>
          <w:i/>
          <w:sz w:val="23"/>
          <w:szCs w:val="23"/>
          <w:rtl/>
        </w:rPr>
        <w:t>مهم</w:t>
      </w:r>
      <w:r w:rsidRPr="00B6450D">
        <w:rPr>
          <w:i/>
          <w:sz w:val="23"/>
          <w:szCs w:val="23"/>
          <w:rtl/>
        </w:rPr>
        <w:softHyphen/>
      </w:r>
      <w:r w:rsidRPr="00B6450D">
        <w:rPr>
          <w:rFonts w:hint="cs"/>
          <w:i/>
          <w:sz w:val="23"/>
          <w:szCs w:val="23"/>
          <w:rtl/>
        </w:rPr>
        <w:t>ترین نتیجه این شبیه</w:t>
      </w:r>
      <w:r w:rsidRPr="00B6450D">
        <w:rPr>
          <w:i/>
          <w:sz w:val="23"/>
          <w:szCs w:val="23"/>
          <w:rtl/>
        </w:rPr>
        <w:softHyphen/>
      </w:r>
      <w:r w:rsidRPr="00B6450D">
        <w:rPr>
          <w:rFonts w:hint="cs"/>
          <w:i/>
          <w:sz w:val="23"/>
          <w:szCs w:val="23"/>
          <w:rtl/>
        </w:rPr>
        <w:t>سازی در خصوص پاسخ مابه</w:t>
      </w:r>
      <w:r w:rsidRPr="00B6450D">
        <w:rPr>
          <w:i/>
          <w:sz w:val="23"/>
          <w:szCs w:val="23"/>
          <w:rtl/>
        </w:rPr>
        <w:softHyphen/>
      </w:r>
      <w:r w:rsidRPr="00B6450D">
        <w:rPr>
          <w:rFonts w:hint="cs"/>
          <w:i/>
          <w:sz w:val="23"/>
          <w:szCs w:val="23"/>
          <w:rtl/>
        </w:rPr>
        <w:t>التفاوت زمانی به شوک‌های فوق بوده که با توجه به نوع شوک اعمال شده متفاوت خواهد بود. یک درصد شوک نرخ وجوه فدرال باعث افزایش سی واحدی مابه</w:t>
      </w:r>
      <w:r w:rsidRPr="00B6450D">
        <w:rPr>
          <w:i/>
          <w:sz w:val="23"/>
          <w:szCs w:val="23"/>
          <w:rtl/>
        </w:rPr>
        <w:softHyphen/>
      </w:r>
      <w:r w:rsidRPr="00B6450D">
        <w:rPr>
          <w:rFonts w:hint="cs"/>
          <w:i/>
          <w:sz w:val="23"/>
          <w:szCs w:val="23"/>
          <w:rtl/>
        </w:rPr>
        <w:t>التفاوت زمانی کنسول شده و پس از شش فصل اثر آن از بین خواهد رفت. یک درصد شوک تکنولوژی باعث کاهش سی و پنج واحدی مابه</w:t>
      </w:r>
      <w:r w:rsidRPr="00B6450D">
        <w:rPr>
          <w:i/>
          <w:sz w:val="23"/>
          <w:szCs w:val="23"/>
          <w:rtl/>
        </w:rPr>
        <w:softHyphen/>
      </w:r>
      <w:r w:rsidRPr="00B6450D">
        <w:rPr>
          <w:rFonts w:hint="cs"/>
          <w:i/>
          <w:sz w:val="23"/>
          <w:szCs w:val="23"/>
          <w:rtl/>
        </w:rPr>
        <w:t>التفاوت زمانی شده و پس از دوازده فصل اثر آن از بین خواهد رفت. یک درصد شوک مخارج دولتی باعث افزایش بیست و دو واحدی مابه</w:t>
      </w:r>
      <w:r w:rsidRPr="00B6450D">
        <w:rPr>
          <w:i/>
          <w:sz w:val="23"/>
          <w:szCs w:val="23"/>
          <w:rtl/>
        </w:rPr>
        <w:softHyphen/>
      </w:r>
      <w:r w:rsidRPr="00B6450D">
        <w:rPr>
          <w:rFonts w:hint="cs"/>
          <w:i/>
          <w:sz w:val="23"/>
          <w:szCs w:val="23"/>
          <w:rtl/>
        </w:rPr>
        <w:t>التفاوت زمانی شده و پس از بیست فصل اثر آن از بین خواهد رفت.</w:t>
      </w:r>
    </w:p>
    <w:p w14:paraId="224505FA" w14:textId="77777777" w:rsidR="00556C10" w:rsidRPr="00B6450D" w:rsidRDefault="00556C10" w:rsidP="00556C10">
      <w:pPr>
        <w:spacing w:line="216" w:lineRule="auto"/>
        <w:rPr>
          <w:i/>
          <w:sz w:val="23"/>
          <w:szCs w:val="23"/>
          <w:rtl/>
        </w:rPr>
      </w:pPr>
      <w:r w:rsidRPr="00B6450D">
        <w:rPr>
          <w:rFonts w:hint="cs"/>
          <w:i/>
          <w:sz w:val="23"/>
          <w:szCs w:val="23"/>
          <w:rtl/>
        </w:rPr>
        <w:t>رودبوش و دیگران نتیجه گرفتند که این پاسخ‌ها بسیار اندک بوده و لذا مدل آن</w:t>
      </w:r>
      <w:r w:rsidRPr="00B6450D">
        <w:rPr>
          <w:i/>
          <w:sz w:val="23"/>
          <w:szCs w:val="23"/>
          <w:rtl/>
        </w:rPr>
        <w:softHyphen/>
      </w:r>
      <w:r w:rsidRPr="00B6450D">
        <w:rPr>
          <w:rFonts w:hint="cs"/>
          <w:i/>
          <w:sz w:val="23"/>
          <w:szCs w:val="23"/>
          <w:rtl/>
        </w:rPr>
        <w:t>ها در این خصوص ناتوان است. قبلاً به این نکته اشاره کردیم که پاداش سهام بواسطه‌ی شوک بازار در مدل‌های تعادل عمومی بسیار کوچک است. استنتاج فوق بدلیل عامل تنزیل تصادفی و نه تغییرات کوتاه‌مدت کافی است. فرض عادت دائمی در معادله (۱۲. ۳۸) تلاشی است برای افزایش این تغییرات. بحران مالی نشان داد که سرمایه‌گذاران و بانک‌ها مجذوب بازدهی‌های بالا می‌شوند. بنظر می‌رسد یا باید ریسک</w:t>
      </w:r>
      <w:r w:rsidRPr="00B6450D">
        <w:rPr>
          <w:i/>
          <w:sz w:val="23"/>
          <w:szCs w:val="23"/>
          <w:rtl/>
        </w:rPr>
        <w:softHyphen/>
      </w:r>
      <w:r w:rsidRPr="00B6450D">
        <w:rPr>
          <w:rFonts w:hint="cs"/>
          <w:i/>
          <w:sz w:val="23"/>
          <w:szCs w:val="23"/>
          <w:rtl/>
        </w:rPr>
        <w:t>گریزی پایین و یا امکان بالا بودن بازدهی بواسطه‌ی بالا بودن ریسک را مورد استفاده قرار داد. این مطالب را در فصل پانزدهم بررسی خواهیم کرد.</w:t>
      </w:r>
    </w:p>
    <w:p w14:paraId="4D031179" w14:textId="77777777" w:rsidR="00556C10" w:rsidRPr="00B6450D" w:rsidRDefault="00556C10" w:rsidP="00556C10">
      <w:pPr>
        <w:spacing w:line="216" w:lineRule="auto"/>
        <w:rPr>
          <w:i/>
          <w:sz w:val="23"/>
          <w:szCs w:val="23"/>
          <w:rtl/>
        </w:rPr>
      </w:pPr>
    </w:p>
    <w:p w14:paraId="09C23E01" w14:textId="77777777" w:rsidR="00556C10" w:rsidRPr="00B6450D" w:rsidRDefault="00556C10" w:rsidP="00556C10">
      <w:pPr>
        <w:pStyle w:val="Heading1"/>
        <w:spacing w:before="0" w:line="216" w:lineRule="auto"/>
        <w:rPr>
          <w:rFonts w:ascii="Times New Roman" w:hAnsi="Times New Roman" w:cs="B Nazanin"/>
          <w:b w:val="0"/>
          <w:i/>
          <w:sz w:val="23"/>
          <w:szCs w:val="23"/>
        </w:rPr>
      </w:pPr>
      <w:r w:rsidRPr="00B6450D">
        <w:rPr>
          <w:rFonts w:ascii="Times New Roman" w:hAnsi="Times New Roman" w:cs="B Nazanin" w:hint="cs"/>
          <w:b w:val="0"/>
          <w:i/>
          <w:sz w:val="23"/>
          <w:szCs w:val="23"/>
          <w:rtl/>
        </w:rPr>
        <w:lastRenderedPageBreak/>
        <w:t xml:space="preserve">۱۲. ۴ بازار ارز خارجی یا </w:t>
      </w:r>
      <w:r w:rsidRPr="00B6450D">
        <w:rPr>
          <w:rFonts w:ascii="Times New Roman" w:hAnsi="Times New Roman" w:cs="B Nazanin"/>
          <w:b w:val="0"/>
          <w:i/>
          <w:sz w:val="23"/>
          <w:szCs w:val="23"/>
        </w:rPr>
        <w:t>FOREX</w:t>
      </w:r>
    </w:p>
    <w:p w14:paraId="7BD1672E" w14:textId="77777777" w:rsidR="00556C10" w:rsidRPr="00B6450D" w:rsidRDefault="00556C10" w:rsidP="00556C10">
      <w:pPr>
        <w:spacing w:line="216" w:lineRule="auto"/>
        <w:rPr>
          <w:i/>
          <w:sz w:val="23"/>
          <w:szCs w:val="23"/>
          <w:rtl/>
        </w:rPr>
      </w:pPr>
      <w:r w:rsidRPr="00B6450D">
        <w:rPr>
          <w:rFonts w:hint="cs"/>
          <w:i/>
          <w:sz w:val="23"/>
          <w:szCs w:val="23"/>
          <w:rtl/>
        </w:rPr>
        <w:t>ارز برای معاملات حساب جاری (کالاها و خدمات) و حساب سرمایه (دارایی‌های سرمایه</w:t>
      </w:r>
      <w:r w:rsidRPr="00B6450D">
        <w:rPr>
          <w:i/>
          <w:sz w:val="23"/>
          <w:szCs w:val="23"/>
          <w:rtl/>
        </w:rPr>
        <w:softHyphen/>
      </w:r>
      <w:r w:rsidRPr="00B6450D">
        <w:rPr>
          <w:rFonts w:hint="cs"/>
          <w:i/>
          <w:sz w:val="23"/>
          <w:szCs w:val="23"/>
          <w:rtl/>
        </w:rPr>
        <w:t xml:space="preserve">ای‌‌) مورد نیاز است. نرخ ارز اسمی بوسیله‌ی عرضه و تقاضای کل تعیین می‌شود، بنابراین اگر نرخ ارز ثابت باشد، آنگاه، با عدم وجود کنترل سرمایه، درجه‌ی جانشینی بسیار بالای بین اوراق قرضه‌ی داخلی و خارجی مبین آن است که نرخ‌های ارز ابتدا بوسیله‌ی معاملات حساب سرمایه تعیین شده و نه حساب جاری. ارزش بسیار بالای معاملات </w:t>
      </w:r>
      <w:r w:rsidRPr="00B6450D">
        <w:rPr>
          <w:i/>
          <w:sz w:val="23"/>
          <w:szCs w:val="23"/>
        </w:rPr>
        <w:t>FOREX</w:t>
      </w:r>
      <w:r w:rsidRPr="00B6450D">
        <w:rPr>
          <w:rFonts w:hint="cs"/>
          <w:i/>
          <w:sz w:val="23"/>
          <w:szCs w:val="23"/>
          <w:rtl/>
        </w:rPr>
        <w:t xml:space="preserve"> مبین جابجایی حساب سرمایه نیست. زیرا تعدیل سریع نرخ‌های بازدهی داخلی و خارجی با بر حسب پول یکسان بیان شده در پاسخ به مازاد تقاضا و عرضه‌ی پول ممکن است تا تعادل بازار </w:t>
      </w:r>
      <w:r w:rsidRPr="00B6450D">
        <w:rPr>
          <w:i/>
          <w:sz w:val="23"/>
          <w:szCs w:val="23"/>
        </w:rPr>
        <w:t>FOREX</w:t>
      </w:r>
      <w:r w:rsidRPr="00B6450D">
        <w:rPr>
          <w:rFonts w:hint="cs"/>
          <w:i/>
          <w:sz w:val="23"/>
          <w:szCs w:val="23"/>
          <w:rtl/>
        </w:rPr>
        <w:t xml:space="preserve"> را سریعاً به حالت قبل برگرداند. این در واقع همان مفهوم تلویحی شرط برابری نرخ بهره‌ی بدون پوشش است که مورد بررسی قرار خواهد گرفت.</w:t>
      </w:r>
    </w:p>
    <w:p w14:paraId="2B70401B" w14:textId="77777777" w:rsidR="00556C10" w:rsidRPr="00B6450D" w:rsidRDefault="00556C10" w:rsidP="00556C10">
      <w:pPr>
        <w:spacing w:line="216" w:lineRule="auto"/>
        <w:rPr>
          <w:i/>
          <w:sz w:val="23"/>
          <w:szCs w:val="23"/>
        </w:rPr>
      </w:pPr>
      <w:r w:rsidRPr="00B6450D">
        <w:rPr>
          <w:rFonts w:hint="cs"/>
          <w:i/>
          <w:sz w:val="23"/>
          <w:szCs w:val="23"/>
          <w:rtl/>
        </w:rPr>
        <w:t xml:space="preserve">در سال‌های اخیر ارزش معملات </w:t>
      </w:r>
      <w:r w:rsidRPr="00B6450D">
        <w:rPr>
          <w:i/>
          <w:sz w:val="23"/>
          <w:szCs w:val="23"/>
        </w:rPr>
        <w:t>FOREX</w:t>
      </w:r>
      <w:r w:rsidRPr="00B6450D">
        <w:rPr>
          <w:rFonts w:hint="cs"/>
          <w:i/>
          <w:sz w:val="23"/>
          <w:szCs w:val="23"/>
          <w:rtl/>
        </w:rPr>
        <w:t xml:space="preserve"> بشدت افزایش یافته است. ارزش کل معاملات که با دلار آمریکا اندازه‌گیری شده در نمودار ۱۲. ۳ نشان داده شده است. همان</w:t>
      </w:r>
      <w:r w:rsidRPr="00B6450D">
        <w:rPr>
          <w:i/>
          <w:sz w:val="23"/>
          <w:szCs w:val="23"/>
          <w:rtl/>
        </w:rPr>
        <w:softHyphen/>
      </w:r>
      <w:r w:rsidRPr="00B6450D">
        <w:rPr>
          <w:rFonts w:hint="cs"/>
          <w:i/>
          <w:sz w:val="23"/>
          <w:szCs w:val="23"/>
          <w:rtl/>
        </w:rPr>
        <w:t>طور که در نمودار ۱۲. ۴ مشخص است بخش عمده</w:t>
      </w:r>
      <w:r w:rsidRPr="00B6450D">
        <w:rPr>
          <w:i/>
          <w:sz w:val="23"/>
          <w:szCs w:val="23"/>
          <w:rtl/>
        </w:rPr>
        <w:softHyphen/>
      </w:r>
      <w:r w:rsidRPr="00B6450D">
        <w:rPr>
          <w:rFonts w:hint="cs"/>
          <w:i/>
          <w:sz w:val="23"/>
          <w:szCs w:val="23"/>
          <w:rtl/>
        </w:rPr>
        <w:t xml:space="preserve">ای از معاملات با دلار آمریکا است. از آنجا که در هر معامله دو پول رایج درگیر است، لذا باید توجه نمود که در این نمودار کل معاملات برابر با ۲۰۰ درصد است و نه ۱۰۰ درصد. تقریباً نیمی از فعالیت </w:t>
      </w:r>
      <w:r w:rsidRPr="00B6450D">
        <w:rPr>
          <w:i/>
          <w:sz w:val="23"/>
          <w:szCs w:val="23"/>
        </w:rPr>
        <w:t>FOREX</w:t>
      </w:r>
      <w:r w:rsidRPr="00B6450D">
        <w:rPr>
          <w:rFonts w:hint="cs"/>
          <w:i/>
          <w:sz w:val="23"/>
          <w:szCs w:val="23"/>
          <w:rtl/>
        </w:rPr>
        <w:t xml:space="preserve"> در لندن اتفاق می‌افتد، و ۹۵ درصد از کل معاملات </w:t>
      </w:r>
      <w:r w:rsidRPr="00B6450D">
        <w:rPr>
          <w:i/>
          <w:sz w:val="23"/>
          <w:szCs w:val="23"/>
        </w:rPr>
        <w:t>FOREX</w:t>
      </w:r>
      <w:r w:rsidRPr="00B6450D">
        <w:rPr>
          <w:rFonts w:hint="cs"/>
          <w:i/>
          <w:sz w:val="23"/>
          <w:szCs w:val="23"/>
          <w:rtl/>
        </w:rPr>
        <w:t xml:space="preserve"> در لندن مربوط به حساب سرمایه است. در سال ۲۰۰۶ معاملات روزانه‌ی </w:t>
      </w:r>
      <w:r w:rsidRPr="00B6450D">
        <w:rPr>
          <w:i/>
          <w:sz w:val="23"/>
          <w:szCs w:val="23"/>
        </w:rPr>
        <w:t>FOREX</w:t>
      </w:r>
      <w:r w:rsidRPr="00B6450D">
        <w:rPr>
          <w:rFonts w:hint="cs"/>
          <w:i/>
          <w:sz w:val="23"/>
          <w:szCs w:val="23"/>
          <w:rtl/>
        </w:rPr>
        <w:t xml:space="preserve"> تقریباً برابر با </w:t>
      </w:r>
      <w:r w:rsidRPr="00B6450D">
        <w:rPr>
          <w:i/>
          <w:sz w:val="23"/>
          <w:szCs w:val="23"/>
        </w:rPr>
        <w:t>GDP</w:t>
      </w:r>
      <w:r w:rsidRPr="00B6450D">
        <w:rPr>
          <w:rFonts w:hint="cs"/>
          <w:i/>
          <w:sz w:val="23"/>
          <w:szCs w:val="23"/>
          <w:rtl/>
        </w:rPr>
        <w:t xml:space="preserve"> سالانه‌ی انگلستان بود و در سال ۲۰۱۰ به ۱.۸ تریلیون دلار افزایش یافته است.</w:t>
      </w:r>
    </w:p>
    <w:p w14:paraId="0C5810F9" w14:textId="77777777" w:rsidR="00556C10" w:rsidRPr="00B6450D" w:rsidRDefault="00556C10" w:rsidP="00556C10">
      <w:pPr>
        <w:spacing w:line="216" w:lineRule="auto"/>
        <w:rPr>
          <w:i/>
          <w:sz w:val="23"/>
          <w:szCs w:val="23"/>
          <w:rtl/>
        </w:rPr>
      </w:pPr>
    </w:p>
    <w:p w14:paraId="298FC6AC" w14:textId="77777777" w:rsidR="00556C10" w:rsidRPr="00B6450D" w:rsidRDefault="00556C10" w:rsidP="00556C10">
      <w:pPr>
        <w:pStyle w:val="Heading1"/>
        <w:spacing w:before="0" w:line="216" w:lineRule="auto"/>
        <w:rPr>
          <w:rFonts w:ascii="Times New Roman" w:hAnsi="Times New Roman" w:cs="B Nazanin"/>
          <w:b w:val="0"/>
          <w:i/>
          <w:sz w:val="23"/>
          <w:szCs w:val="23"/>
          <w:rtl/>
        </w:rPr>
      </w:pPr>
      <w:r w:rsidRPr="00B6450D">
        <w:rPr>
          <w:rFonts w:ascii="Times New Roman" w:hAnsi="Times New Roman" w:cs="B Nazanin" w:hint="cs"/>
          <w:b w:val="0"/>
          <w:i/>
          <w:sz w:val="23"/>
          <w:szCs w:val="23"/>
          <w:rtl/>
        </w:rPr>
        <w:t>۱۲. ۴. ۱ برابری نرخ بهره‌ی بدون پوشش و با پوشش</w:t>
      </w:r>
    </w:p>
    <w:p w14:paraId="0BC58064" w14:textId="77777777" w:rsidR="00556C10" w:rsidRPr="00B6450D" w:rsidRDefault="00556C10" w:rsidP="00556C10">
      <w:pPr>
        <w:spacing w:line="216" w:lineRule="auto"/>
        <w:rPr>
          <w:i/>
          <w:sz w:val="23"/>
          <w:szCs w:val="23"/>
          <w:rtl/>
        </w:rPr>
      </w:pPr>
      <w:r w:rsidRPr="00B6450D">
        <w:rPr>
          <w:rFonts w:hint="cs"/>
          <w:i/>
          <w:sz w:val="23"/>
          <w:szCs w:val="23"/>
          <w:rtl/>
        </w:rPr>
        <w:t>در بازار اوراق قرضه‌ی بین</w:t>
      </w:r>
      <w:r w:rsidRPr="00B6450D">
        <w:rPr>
          <w:i/>
          <w:sz w:val="23"/>
          <w:szCs w:val="23"/>
          <w:rtl/>
        </w:rPr>
        <w:softHyphen/>
      </w:r>
      <w:r w:rsidRPr="00B6450D">
        <w:rPr>
          <w:rFonts w:hint="cs"/>
          <w:i/>
          <w:sz w:val="23"/>
          <w:szCs w:val="23"/>
          <w:rtl/>
        </w:rPr>
        <w:t>المللی برابری نرخ بهره‌ی بدون پوشش شرط مهم عدم وجود آربیتراژ است. در ابتدا، اوراق قرضه‌ی یک دوره</w:t>
      </w:r>
      <w:r w:rsidRPr="00B6450D">
        <w:rPr>
          <w:i/>
          <w:sz w:val="23"/>
          <w:szCs w:val="23"/>
          <w:rtl/>
        </w:rPr>
        <w:softHyphen/>
      </w:r>
      <w:r w:rsidRPr="00B6450D">
        <w:rPr>
          <w:rFonts w:hint="cs"/>
          <w:i/>
          <w:sz w:val="23"/>
          <w:szCs w:val="23"/>
          <w:rtl/>
        </w:rPr>
        <w:t>ای (سند خزانه‌ی یک یا سه ماهه) را در نظر بگیرید، و فرض کنید سرمایه‌گذار با دو انتخاب سرمایه‌گذاری در اسناد خزانه‌ی که به صورت اسمی و بر حسب پول داخلیِ بدون ریسک و یا سرمایه‌گذاری در اوراق قرضه‌ی خارجی که بر حسب پول خارجی بدون ریسک است ولی بخاطر ریسک تعییرات نرخ ارز بر حسب پول داخلی ریسکی است، روبرو است.</w:t>
      </w:r>
    </w:p>
    <w:p w14:paraId="32DB2FE1" w14:textId="77777777" w:rsidR="00556C10" w:rsidRDefault="00556C10" w:rsidP="00556C10">
      <w:pPr>
        <w:spacing w:line="216" w:lineRule="auto"/>
        <w:rPr>
          <w:i/>
          <w:sz w:val="23"/>
          <w:szCs w:val="23"/>
          <w:rtl/>
        </w:rPr>
      </w:pPr>
      <w:r w:rsidRPr="00B6450D">
        <w:rPr>
          <w:rFonts w:hint="cs"/>
          <w:i/>
          <w:sz w:val="23"/>
          <w:szCs w:val="23"/>
          <w:rtl/>
        </w:rPr>
        <w:t xml:space="preserve">در مباحث مربوط به </w:t>
      </w:r>
      <w:r w:rsidRPr="00B6450D">
        <w:rPr>
          <w:i/>
          <w:sz w:val="23"/>
          <w:szCs w:val="23"/>
        </w:rPr>
        <w:t>FOREX</w:t>
      </w:r>
      <w:r w:rsidRPr="00B6450D">
        <w:rPr>
          <w:rFonts w:hint="cs"/>
          <w:i/>
          <w:sz w:val="23"/>
          <w:szCs w:val="23"/>
          <w:rtl/>
        </w:rPr>
        <w:t xml:space="preserve"> از نمادهای زیر استفاده می‌کنیم.</w:t>
      </w:r>
      <w:r w:rsidRPr="00B6450D">
        <w:rPr>
          <w:position w:val="-10"/>
        </w:rPr>
        <w:object w:dxaOrig="180" w:dyaOrig="320" w14:anchorId="6072F85E">
          <v:shape id="_x0000_i5703" type="#_x0000_t75" style="width:9.1pt;height:15.75pt" o:ole="">
            <v:imagedata r:id="rId9412" o:title=""/>
          </v:shape>
          <o:OLEObject Type="Embed" ProgID="Equation.DSMT4" ShapeID="_x0000_i5703" DrawAspect="Content" ObjectID="_1791379647" r:id="rId9413"/>
        </w:object>
      </w:r>
      <w:r w:rsidRPr="00B6450D">
        <w:rPr>
          <w:i/>
          <w:sz w:val="23"/>
          <w:szCs w:val="23"/>
          <w:rtl/>
        </w:rPr>
        <w:t xml:space="preserve"> </w:t>
      </w:r>
      <w:r w:rsidRPr="00B6450D">
        <w:rPr>
          <w:rFonts w:hint="cs"/>
          <w:i/>
          <w:sz w:val="23"/>
          <w:szCs w:val="23"/>
          <w:rtl/>
        </w:rPr>
        <w:t>بازدهی اسمی یک دوره</w:t>
      </w:r>
      <w:r w:rsidRPr="00B6450D">
        <w:rPr>
          <w:i/>
          <w:sz w:val="23"/>
          <w:szCs w:val="23"/>
          <w:rtl/>
        </w:rPr>
        <w:softHyphen/>
      </w:r>
      <w:r w:rsidRPr="00B6450D">
        <w:rPr>
          <w:rFonts w:hint="cs"/>
          <w:i/>
          <w:sz w:val="23"/>
          <w:szCs w:val="23"/>
          <w:rtl/>
        </w:rPr>
        <w:t>ای بر حسب پول داخلی،</w:t>
      </w:r>
      <w:r w:rsidRPr="00B6450D">
        <w:rPr>
          <w:position w:val="-10"/>
        </w:rPr>
        <w:object w:dxaOrig="200" w:dyaOrig="340" w14:anchorId="35AF255C">
          <v:shape id="_x0000_i5704" type="#_x0000_t75" style="width:10.3pt;height:16.95pt" o:ole="">
            <v:imagedata r:id="rId9414" o:title=""/>
          </v:shape>
          <o:OLEObject Type="Embed" ProgID="Equation.DSMT4" ShapeID="_x0000_i5704" DrawAspect="Content" ObjectID="_1791379648" r:id="rId9415"/>
        </w:object>
      </w:r>
      <w:r w:rsidRPr="00B6450D">
        <w:rPr>
          <w:i/>
          <w:sz w:val="23"/>
          <w:szCs w:val="23"/>
        </w:rPr>
        <w:t xml:space="preserve"> </w:t>
      </w:r>
      <w:r w:rsidRPr="00B6450D">
        <w:rPr>
          <w:rFonts w:hint="cs"/>
          <w:i/>
          <w:sz w:val="23"/>
          <w:szCs w:val="23"/>
          <w:rtl/>
        </w:rPr>
        <w:t>بازدهی یک دورهـای بر حسب پول خارجی و</w:t>
      </w:r>
      <w:r w:rsidRPr="00B6450D">
        <w:rPr>
          <w:position w:val="-10"/>
        </w:rPr>
        <w:object w:dxaOrig="260" w:dyaOrig="320" w14:anchorId="1B3913E4">
          <v:shape id="_x0000_i5705" type="#_x0000_t75" style="width:13.3pt;height:15.75pt" o:ole="">
            <v:imagedata r:id="rId9416" o:title=""/>
          </v:shape>
          <o:OLEObject Type="Embed" ProgID="Equation.DSMT4" ShapeID="_x0000_i5705" DrawAspect="Content" ObjectID="_1791379649" r:id="rId9417"/>
        </w:object>
      </w:r>
      <w:r w:rsidRPr="00B6450D">
        <w:rPr>
          <w:rFonts w:hint="cs"/>
          <w:i/>
          <w:sz w:val="23"/>
          <w:szCs w:val="23"/>
          <w:rtl/>
        </w:rPr>
        <w:t xml:space="preserve"> قیمت داخلی ارز خارجی (یک دلار ۴۲۰۰ تومان) است بطوری که با افزایش</w:t>
      </w:r>
      <w:r w:rsidRPr="00B6450D">
        <w:rPr>
          <w:position w:val="-10"/>
        </w:rPr>
        <w:object w:dxaOrig="260" w:dyaOrig="320" w14:anchorId="77BCC0A8">
          <v:shape id="_x0000_i5706" type="#_x0000_t75" style="width:13.3pt;height:15.75pt" o:ole="">
            <v:imagedata r:id="rId9418" o:title=""/>
          </v:shape>
          <o:OLEObject Type="Embed" ProgID="Equation.DSMT4" ShapeID="_x0000_i5706" DrawAspect="Content" ObjectID="_1791379650" r:id="rId9419"/>
        </w:object>
      </w:r>
      <w:r w:rsidRPr="00B6450D">
        <w:rPr>
          <w:rFonts w:hint="cs"/>
          <w:i/>
          <w:sz w:val="23"/>
          <w:szCs w:val="23"/>
          <w:rtl/>
        </w:rPr>
        <w:t xml:space="preserve"> ارزش پول داخلی کاهش خواهد یافت.</w:t>
      </w:r>
    </w:p>
    <w:p w14:paraId="1DC8A362" w14:textId="77777777" w:rsidR="00556C10" w:rsidRPr="00B6450D" w:rsidRDefault="00556C10" w:rsidP="00556C10">
      <w:pPr>
        <w:spacing w:line="216" w:lineRule="auto"/>
        <w:rPr>
          <w:i/>
          <w:sz w:val="23"/>
          <w:szCs w:val="23"/>
          <w:rtl/>
        </w:rPr>
      </w:pPr>
      <w:r w:rsidRPr="00B6450D">
        <w:rPr>
          <w:rFonts w:hint="cs"/>
          <w:i/>
          <w:sz w:val="23"/>
          <w:szCs w:val="23"/>
          <w:rtl/>
        </w:rPr>
        <w:t>برای مقایسه‌ی دو سرمایه‌گذاری می‌بایست عواید آن</w:t>
      </w:r>
      <w:r w:rsidRPr="00B6450D">
        <w:rPr>
          <w:i/>
          <w:sz w:val="23"/>
          <w:szCs w:val="23"/>
          <w:rtl/>
        </w:rPr>
        <w:softHyphen/>
      </w:r>
      <w:r w:rsidRPr="00B6450D">
        <w:rPr>
          <w:rFonts w:hint="cs"/>
          <w:i/>
          <w:sz w:val="23"/>
          <w:szCs w:val="23"/>
          <w:rtl/>
        </w:rPr>
        <w:t>ها را بر حسب پول مشابه اندازه‌گیری کنیم. اگر سرمایه‌گذار داخلی</w:t>
      </w:r>
      <w:r w:rsidRPr="00025957">
        <w:rPr>
          <w:position w:val="-4"/>
        </w:rPr>
        <w:object w:dxaOrig="260" w:dyaOrig="240" w14:anchorId="1F37DB07">
          <v:shape id="_x0000_i5707" type="#_x0000_t75" style="width:13.3pt;height:11.5pt" o:ole="">
            <v:imagedata r:id="rId9420" o:title=""/>
          </v:shape>
          <o:OLEObject Type="Embed" ProgID="Equation.DSMT4" ShapeID="_x0000_i5707" DrawAspect="Content" ObjectID="_1791379651" r:id="rId9421"/>
        </w:object>
      </w:r>
      <w:r w:rsidRPr="00B6450D">
        <w:rPr>
          <w:rFonts w:hint="cs"/>
          <w:i/>
          <w:sz w:val="23"/>
          <w:szCs w:val="23"/>
          <w:rtl/>
        </w:rPr>
        <w:t xml:space="preserve"> واحد از پول رایج داخلی را در اواق قرضه‌ی خارجی سرمایه‌گذاری کند، این سرمایه‌گذار ابتدا می‌بایست پول خود را به پول خارجی و با نرخ جاری</w:t>
      </w:r>
      <w:r w:rsidRPr="00B6450D">
        <w:rPr>
          <w:position w:val="-10"/>
        </w:rPr>
        <w:object w:dxaOrig="260" w:dyaOrig="320" w14:anchorId="3CDA67E5">
          <v:shape id="_x0000_i5708" type="#_x0000_t75" style="width:13.3pt;height:15.75pt" o:ole="">
            <v:imagedata r:id="rId9422" o:title=""/>
          </v:shape>
          <o:OLEObject Type="Embed" ProgID="Equation.DSMT4" ShapeID="_x0000_i5708" DrawAspect="Content" ObjectID="_1791379652" r:id="rId9423"/>
        </w:object>
      </w:r>
      <w:r w:rsidRPr="00B6450D">
        <w:rPr>
          <w:rFonts w:hint="cs"/>
          <w:i/>
          <w:sz w:val="23"/>
          <w:szCs w:val="23"/>
          <w:rtl/>
        </w:rPr>
        <w:t xml:space="preserve"> تبدیل کرده، آن را در سند خزانه سرمایه‌گذاری کند، و نهایتاً آن را به پول رایج داخلی برای یک سرمایه‌گذار آمریکایی که اسناد خزانه‌ی انگلستان را نگهداری می‌کند داریم</w:t>
      </w:r>
    </w:p>
    <w:p w14:paraId="35309582" w14:textId="77777777" w:rsidR="00556C10" w:rsidRPr="00B6450D" w:rsidRDefault="00556C10" w:rsidP="00556C10">
      <w:pPr>
        <w:bidi w:val="0"/>
        <w:spacing w:line="216" w:lineRule="auto"/>
        <w:rPr>
          <w:i/>
          <w:sz w:val="23"/>
          <w:szCs w:val="23"/>
        </w:rPr>
      </w:pPr>
      <w:r w:rsidRPr="00B6450D">
        <w:rPr>
          <w:position w:val="-28"/>
        </w:rPr>
        <w:object w:dxaOrig="4040" w:dyaOrig="620" w14:anchorId="21D0998E">
          <v:shape id="_x0000_i5709" type="#_x0000_t75" style="width:202.1pt;height:31.45pt" o:ole="">
            <v:imagedata r:id="rId9424" o:title=""/>
          </v:shape>
          <o:OLEObject Type="Embed" ProgID="Equation.DSMT4" ShapeID="_x0000_i5709" DrawAspect="Content" ObjectID="_1791379653" r:id="rId9425"/>
        </w:object>
      </w:r>
    </w:p>
    <w:p w14:paraId="23E46AD4" w14:textId="77777777" w:rsidR="00556C10" w:rsidRPr="00B6450D" w:rsidRDefault="00556C10" w:rsidP="00556C10">
      <w:pPr>
        <w:spacing w:line="216" w:lineRule="auto"/>
        <w:rPr>
          <w:i/>
          <w:sz w:val="23"/>
          <w:szCs w:val="23"/>
          <w:rtl/>
        </w:rPr>
      </w:pPr>
      <w:r w:rsidRPr="00B6450D">
        <w:rPr>
          <w:rFonts w:hint="cs"/>
          <w:i/>
          <w:sz w:val="23"/>
          <w:szCs w:val="23"/>
          <w:rtl/>
        </w:rPr>
        <w:lastRenderedPageBreak/>
        <w:t xml:space="preserve">عایدی نهایی را باید با سرمایه‌گذاری در سند خزانه‌ی داخلی که عایدی </w:t>
      </w:r>
      <w:r w:rsidRPr="00B6450D">
        <w:rPr>
          <w:position w:val="-12"/>
        </w:rPr>
        <w:object w:dxaOrig="960" w:dyaOrig="360" w14:anchorId="5A9F9C80">
          <v:shape id="_x0000_i5710" type="#_x0000_t75" style="width:47.8pt;height:18.15pt" o:ole="">
            <v:imagedata r:id="rId9426" o:title=""/>
          </v:shape>
          <o:OLEObject Type="Embed" ProgID="Equation.DSMT4" ShapeID="_x0000_i5710" DrawAspect="Content" ObjectID="_1791379654" r:id="rId9427"/>
        </w:object>
      </w:r>
      <w:r w:rsidRPr="00B6450D">
        <w:rPr>
          <w:rFonts w:hint="cs"/>
          <w:i/>
          <w:sz w:val="23"/>
          <w:szCs w:val="23"/>
          <w:rtl/>
        </w:rPr>
        <w:t xml:space="preserve"> دارد مقایسه کرد. با حذف ریسک، چنانچه عواید انتظاری دو روش سرمایه‌گذاری یکسان باشد آنگاه فرد سرمایه‌گذار در انتخاب هر یک بی</w:t>
      </w:r>
      <w:r w:rsidRPr="00B6450D">
        <w:rPr>
          <w:i/>
          <w:sz w:val="23"/>
          <w:szCs w:val="23"/>
          <w:rtl/>
        </w:rPr>
        <w:softHyphen/>
      </w:r>
      <w:r w:rsidRPr="00B6450D">
        <w:rPr>
          <w:rFonts w:hint="cs"/>
          <w:i/>
          <w:sz w:val="23"/>
          <w:szCs w:val="23"/>
          <w:rtl/>
        </w:rPr>
        <w:t>تفاوت است. بنابراین برای هر</w:t>
      </w:r>
      <w:r w:rsidRPr="00025957">
        <w:rPr>
          <w:position w:val="-4"/>
        </w:rPr>
        <w:object w:dxaOrig="260" w:dyaOrig="240" w14:anchorId="3843B204">
          <v:shape id="_x0000_i5711" type="#_x0000_t75" style="width:13.3pt;height:11.5pt" o:ole="">
            <v:imagedata r:id="rId9428" o:title=""/>
          </v:shape>
          <o:OLEObject Type="Embed" ProgID="Equation.DSMT4" ShapeID="_x0000_i5711" DrawAspect="Content" ObjectID="_1791379655" r:id="rId9429"/>
        </w:object>
      </w:r>
      <w:r w:rsidRPr="00B6450D">
        <w:rPr>
          <w:rFonts w:hint="cs"/>
          <w:i/>
          <w:sz w:val="23"/>
          <w:szCs w:val="23"/>
          <w:rtl/>
        </w:rPr>
        <w:t xml:space="preserve"> داریم</w:t>
      </w:r>
    </w:p>
    <w:p w14:paraId="0CE30F40" w14:textId="77777777" w:rsidR="00556C10" w:rsidRPr="00B6450D" w:rsidRDefault="00556C10" w:rsidP="00556C10">
      <w:pPr>
        <w:bidi w:val="0"/>
        <w:spacing w:line="216" w:lineRule="auto"/>
        <w:rPr>
          <w:i/>
          <w:sz w:val="23"/>
          <w:szCs w:val="23"/>
          <w:rtl/>
        </w:rPr>
      </w:pPr>
      <w:r w:rsidRPr="00B6450D">
        <w:rPr>
          <w:position w:val="-30"/>
        </w:rPr>
        <w:object w:dxaOrig="2140" w:dyaOrig="700" w14:anchorId="1811234A">
          <v:shape id="_x0000_i5712" type="#_x0000_t75" style="width:107.1pt;height:35.1pt" o:ole="">
            <v:imagedata r:id="rId9430" o:title=""/>
          </v:shape>
          <o:OLEObject Type="Embed" ProgID="Equation.DSMT4" ShapeID="_x0000_i5712" DrawAspect="Content" ObjectID="_1791379656" r:id="rId9431"/>
        </w:object>
      </w:r>
      <w:r w:rsidRPr="00B6450D">
        <w:rPr>
          <w:rFonts w:hint="cs"/>
          <w:i/>
          <w:sz w:val="23"/>
          <w:szCs w:val="23"/>
        </w:rPr>
        <w:t xml:space="preserve"> </w: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Pr>
          <w:i/>
          <w:sz w:val="23"/>
          <w:szCs w:val="23"/>
          <w:rtl/>
        </w:rPr>
        <w:tab/>
      </w:r>
      <w:r w:rsidRPr="00B6450D">
        <w:rPr>
          <w:i/>
          <w:sz w:val="23"/>
          <w:szCs w:val="23"/>
        </w:rPr>
        <w:tab/>
      </w:r>
      <w:r w:rsidRPr="00B6450D">
        <w:rPr>
          <w:i/>
          <w:sz w:val="23"/>
          <w:szCs w:val="23"/>
        </w:rPr>
        <w:tab/>
      </w:r>
      <w:r w:rsidRPr="00B6450D">
        <w:rPr>
          <w:i/>
          <w:sz w:val="23"/>
          <w:szCs w:val="23"/>
        </w:rPr>
        <w:tab/>
        <w:t xml:space="preserve"> </w:t>
      </w:r>
      <w:r w:rsidRPr="00B6450D">
        <w:rPr>
          <w:i/>
          <w:sz w:val="23"/>
          <w:szCs w:val="23"/>
          <w:rtl/>
        </w:rPr>
        <w:tab/>
      </w:r>
      <w:r w:rsidRPr="00B6450D">
        <w:rPr>
          <w:rFonts w:hint="cs"/>
          <w:i/>
          <w:sz w:val="23"/>
          <w:szCs w:val="23"/>
          <w:rtl/>
        </w:rPr>
        <w:t>(۱۲. ۵۹)</w:t>
      </w:r>
    </w:p>
    <w:p w14:paraId="7DCCC19E" w14:textId="77777777" w:rsidR="00556C10" w:rsidRPr="00B6450D" w:rsidRDefault="00556C10" w:rsidP="00556C10">
      <w:pPr>
        <w:spacing w:line="216" w:lineRule="auto"/>
        <w:rPr>
          <w:i/>
          <w:sz w:val="23"/>
          <w:szCs w:val="23"/>
          <w:rtl/>
        </w:rPr>
      </w:pPr>
      <w:r w:rsidRPr="00B6450D">
        <w:rPr>
          <w:rFonts w:hint="cs"/>
          <w:i/>
          <w:sz w:val="23"/>
          <w:szCs w:val="23"/>
          <w:rtl/>
        </w:rPr>
        <w:t>که بدان شرط برابری نرخ بهره</w:t>
      </w:r>
      <w:r w:rsidRPr="00B6450D">
        <w:rPr>
          <w:i/>
          <w:sz w:val="23"/>
          <w:szCs w:val="23"/>
          <w:rtl/>
        </w:rPr>
        <w:softHyphen/>
      </w:r>
      <w:r w:rsidRPr="00B6450D">
        <w:rPr>
          <w:rFonts w:hint="cs"/>
          <w:i/>
          <w:sz w:val="23"/>
          <w:szCs w:val="23"/>
          <w:rtl/>
        </w:rPr>
        <w:t>ی بدون پوشش</w:t>
      </w:r>
      <w:r w:rsidRPr="00B6450D">
        <w:rPr>
          <w:rStyle w:val="FootnoteReference"/>
          <w:rFonts w:eastAsiaTheme="majorEastAsia"/>
          <w:i/>
          <w:sz w:val="23"/>
          <w:szCs w:val="23"/>
          <w:rtl/>
        </w:rPr>
        <w:footnoteReference w:id="301"/>
      </w:r>
      <w:r w:rsidRPr="00B6450D">
        <w:rPr>
          <w:rFonts w:hint="cs"/>
          <w:i/>
          <w:sz w:val="23"/>
          <w:szCs w:val="23"/>
          <w:rtl/>
        </w:rPr>
        <w:t xml:space="preserve"> یا</w:t>
      </w:r>
      <w:r w:rsidRPr="00B6450D">
        <w:rPr>
          <w:i/>
          <w:sz w:val="23"/>
          <w:szCs w:val="23"/>
        </w:rPr>
        <w:t xml:space="preserve"> </w:t>
      </w:r>
      <w:r w:rsidRPr="00B6450D">
        <w:rPr>
          <w:position w:val="-6"/>
        </w:rPr>
        <w:object w:dxaOrig="460" w:dyaOrig="260" w14:anchorId="64838D92">
          <v:shape id="_x0000_i5713" type="#_x0000_t75" style="width:23pt;height:13.3pt" o:ole="">
            <v:imagedata r:id="rId9432" o:title=""/>
          </v:shape>
          <o:OLEObject Type="Embed" ProgID="Equation.DSMT4" ShapeID="_x0000_i5713" DrawAspect="Content" ObjectID="_1791379657" r:id="rId9433"/>
        </w:object>
      </w:r>
      <w:r w:rsidRPr="00B6450D">
        <w:rPr>
          <w:rFonts w:hint="cs"/>
          <w:i/>
          <w:sz w:val="23"/>
          <w:szCs w:val="23"/>
          <w:rtl/>
        </w:rPr>
        <w:t>گویند.</w:t>
      </w:r>
    </w:p>
    <w:p w14:paraId="332CD385" w14:textId="77777777" w:rsidR="00556C10" w:rsidRPr="00B6450D" w:rsidRDefault="00556C10" w:rsidP="00556C10">
      <w:pPr>
        <w:spacing w:line="216" w:lineRule="auto"/>
        <w:jc w:val="center"/>
        <w:rPr>
          <w:i/>
          <w:sz w:val="23"/>
          <w:szCs w:val="23"/>
        </w:rPr>
      </w:pPr>
      <w:r w:rsidRPr="00B6450D">
        <w:rPr>
          <w:rFonts w:hint="cs"/>
          <w:i/>
          <w:sz w:val="23"/>
          <w:szCs w:val="23"/>
          <w:rtl/>
        </w:rPr>
        <w:t>نمودار ۱۲. ۳</w:t>
      </w:r>
      <w:r w:rsidRPr="00B6450D">
        <w:rPr>
          <w:i/>
          <w:sz w:val="23"/>
          <w:szCs w:val="23"/>
        </w:rPr>
        <w:t xml:space="preserve">: </w:t>
      </w:r>
      <w:r w:rsidRPr="00B6450D">
        <w:rPr>
          <w:rFonts w:hint="cs"/>
          <w:i/>
          <w:sz w:val="23"/>
          <w:szCs w:val="23"/>
          <w:rtl/>
        </w:rPr>
        <w:t xml:space="preserve">حجم معاملات جهان در بازار </w:t>
      </w:r>
      <w:r w:rsidRPr="00B6450D">
        <w:rPr>
          <w:i/>
          <w:sz w:val="23"/>
          <w:szCs w:val="23"/>
        </w:rPr>
        <w:t>FOREX</w:t>
      </w:r>
    </w:p>
    <w:p w14:paraId="59BB5860" w14:textId="77777777" w:rsidR="00556C10" w:rsidRPr="00B6450D" w:rsidRDefault="00556C10" w:rsidP="00556C10">
      <w:pPr>
        <w:spacing w:line="216" w:lineRule="auto"/>
        <w:jc w:val="center"/>
        <w:rPr>
          <w:i/>
          <w:sz w:val="23"/>
          <w:szCs w:val="23"/>
        </w:rPr>
      </w:pPr>
      <w:r w:rsidRPr="00B6450D">
        <w:rPr>
          <w:i/>
          <w:noProof/>
          <w:sz w:val="23"/>
          <w:szCs w:val="23"/>
          <w:lang w:bidi="ar-SA"/>
        </w:rPr>
        <w:drawing>
          <wp:inline distT="0" distB="0" distL="0" distR="0" wp14:anchorId="44E86039" wp14:editId="21C045BF">
            <wp:extent cx="3656455" cy="1991638"/>
            <wp:effectExtent l="38100" t="38100" r="39370" b="469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34">
                      <a:extLst>
                        <a:ext uri="{BEBA8EAE-BF5A-486C-A8C5-ECC9F3942E4B}">
                          <a14:imgProps xmlns:a14="http://schemas.microsoft.com/office/drawing/2010/main">
                            <a14:imgLayer r:embed="rId9435">
                              <a14:imgEffect>
                                <a14:brightnessContrast contrast="20000"/>
                              </a14:imgEffect>
                            </a14:imgLayer>
                          </a14:imgProps>
                        </a:ext>
                      </a:extLst>
                    </a:blip>
                    <a:stretch>
                      <a:fillRect/>
                    </a:stretch>
                  </pic:blipFill>
                  <pic:spPr>
                    <a:xfrm>
                      <a:off x="0" y="0"/>
                      <a:ext cx="3663420" cy="1995432"/>
                    </a:xfrm>
                    <a:prstGeom prst="rect">
                      <a:avLst/>
                    </a:prstGeom>
                    <a:ln w="28575">
                      <a:solidFill>
                        <a:schemeClr val="tx1"/>
                      </a:solidFill>
                    </a:ln>
                  </pic:spPr>
                </pic:pic>
              </a:graphicData>
            </a:graphic>
          </wp:inline>
        </w:drawing>
      </w:r>
    </w:p>
    <w:p w14:paraId="033A4A86" w14:textId="77777777" w:rsidR="00556C10" w:rsidRPr="00B6450D" w:rsidRDefault="00556C10" w:rsidP="00556C10">
      <w:pPr>
        <w:spacing w:line="216" w:lineRule="auto"/>
        <w:jc w:val="center"/>
        <w:rPr>
          <w:i/>
          <w:sz w:val="23"/>
          <w:szCs w:val="23"/>
        </w:rPr>
      </w:pPr>
    </w:p>
    <w:p w14:paraId="6E499C84" w14:textId="77777777" w:rsidR="00556C10" w:rsidRPr="00B6450D" w:rsidRDefault="00556C10" w:rsidP="00556C10">
      <w:pPr>
        <w:spacing w:line="216" w:lineRule="auto"/>
        <w:jc w:val="center"/>
        <w:rPr>
          <w:i/>
          <w:sz w:val="23"/>
          <w:szCs w:val="23"/>
          <w:rtl/>
        </w:rPr>
      </w:pPr>
      <w:r w:rsidRPr="00B6450D">
        <w:rPr>
          <w:rFonts w:hint="cs"/>
          <w:i/>
          <w:sz w:val="23"/>
          <w:szCs w:val="23"/>
          <w:rtl/>
        </w:rPr>
        <w:t>نمودار ۱۲. ۴</w:t>
      </w:r>
      <w:r w:rsidRPr="00B6450D">
        <w:rPr>
          <w:i/>
          <w:sz w:val="23"/>
          <w:szCs w:val="23"/>
        </w:rPr>
        <w:t xml:space="preserve"> : </w:t>
      </w:r>
      <w:r w:rsidRPr="00B6450D">
        <w:rPr>
          <w:rFonts w:hint="cs"/>
          <w:i/>
          <w:sz w:val="23"/>
          <w:szCs w:val="23"/>
          <w:rtl/>
        </w:rPr>
        <w:t xml:space="preserve">معاملات </w:t>
      </w:r>
      <w:r w:rsidRPr="00B6450D">
        <w:rPr>
          <w:i/>
          <w:sz w:val="23"/>
          <w:szCs w:val="23"/>
        </w:rPr>
        <w:t>FOREX</w:t>
      </w:r>
      <w:r w:rsidRPr="00B6450D">
        <w:rPr>
          <w:rFonts w:hint="cs"/>
          <w:i/>
          <w:sz w:val="23"/>
          <w:szCs w:val="23"/>
          <w:rtl/>
        </w:rPr>
        <w:t xml:space="preserve"> با پول‌های رایج</w:t>
      </w:r>
    </w:p>
    <w:p w14:paraId="190669BF" w14:textId="77777777" w:rsidR="00556C10" w:rsidRPr="00B6450D" w:rsidRDefault="00556C10" w:rsidP="00556C10">
      <w:pPr>
        <w:spacing w:line="216" w:lineRule="auto"/>
        <w:jc w:val="center"/>
        <w:rPr>
          <w:i/>
          <w:sz w:val="23"/>
          <w:szCs w:val="23"/>
          <w:rtl/>
        </w:rPr>
      </w:pPr>
      <w:r w:rsidRPr="00B6450D">
        <w:rPr>
          <w:i/>
          <w:noProof/>
          <w:sz w:val="23"/>
          <w:szCs w:val="23"/>
          <w:lang w:bidi="ar-SA"/>
        </w:rPr>
        <w:drawing>
          <wp:inline distT="0" distB="0" distL="0" distR="0" wp14:anchorId="68407E76" wp14:editId="0D40590D">
            <wp:extent cx="3654444" cy="2010427"/>
            <wp:effectExtent l="38100" t="38100" r="41275" b="469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36">
                      <a:extLst>
                        <a:ext uri="{BEBA8EAE-BF5A-486C-A8C5-ECC9F3942E4B}">
                          <a14:imgProps xmlns:a14="http://schemas.microsoft.com/office/drawing/2010/main">
                            <a14:imgLayer r:embed="rId9437">
                              <a14:imgEffect>
                                <a14:brightnessContrast contrast="20000"/>
                              </a14:imgEffect>
                            </a14:imgLayer>
                          </a14:imgProps>
                        </a:ext>
                      </a:extLst>
                    </a:blip>
                    <a:stretch>
                      <a:fillRect/>
                    </a:stretch>
                  </pic:blipFill>
                  <pic:spPr>
                    <a:xfrm>
                      <a:off x="0" y="0"/>
                      <a:ext cx="3679500" cy="2024211"/>
                    </a:xfrm>
                    <a:prstGeom prst="rect">
                      <a:avLst/>
                    </a:prstGeom>
                    <a:ln w="28575">
                      <a:solidFill>
                        <a:schemeClr val="tx1"/>
                      </a:solidFill>
                    </a:ln>
                  </pic:spPr>
                </pic:pic>
              </a:graphicData>
            </a:graphic>
          </wp:inline>
        </w:drawing>
      </w:r>
    </w:p>
    <w:p w14:paraId="26137D42" w14:textId="77777777" w:rsidR="00556C10" w:rsidRPr="00B6450D" w:rsidRDefault="00556C10" w:rsidP="00556C10">
      <w:pPr>
        <w:spacing w:line="216" w:lineRule="auto"/>
        <w:rPr>
          <w:i/>
          <w:sz w:val="23"/>
          <w:szCs w:val="23"/>
        </w:rPr>
      </w:pPr>
    </w:p>
    <w:p w14:paraId="54B921A5" w14:textId="77777777" w:rsidR="00556C10" w:rsidRPr="00B6450D" w:rsidRDefault="00556C10" w:rsidP="00556C10">
      <w:pPr>
        <w:spacing w:line="216" w:lineRule="auto"/>
        <w:rPr>
          <w:i/>
          <w:sz w:val="23"/>
          <w:szCs w:val="23"/>
          <w:rtl/>
        </w:rPr>
      </w:pPr>
      <w:r w:rsidRPr="00B6450D">
        <w:rPr>
          <w:rFonts w:hint="cs"/>
          <w:i/>
          <w:sz w:val="23"/>
          <w:szCs w:val="23"/>
          <w:rtl/>
        </w:rPr>
        <w:lastRenderedPageBreak/>
        <w:t>با استفاده از لگاریتم شرط فوق را می‌توان به صورت زیر بازنویس کرد</w:t>
      </w:r>
    </w:p>
    <w:p w14:paraId="5D4C9A85" w14:textId="77777777" w:rsidR="00556C10" w:rsidRPr="00B6450D" w:rsidRDefault="00556C10" w:rsidP="00556C10">
      <w:pPr>
        <w:bidi w:val="0"/>
        <w:spacing w:line="216" w:lineRule="auto"/>
        <w:rPr>
          <w:i/>
          <w:sz w:val="23"/>
          <w:szCs w:val="23"/>
          <w:rtl/>
        </w:rPr>
      </w:pPr>
      <w:r w:rsidRPr="00B6450D">
        <w:rPr>
          <w:position w:val="-30"/>
        </w:rPr>
        <w:object w:dxaOrig="2900" w:dyaOrig="700" w14:anchorId="25DB0304">
          <v:shape id="_x0000_i5714" type="#_x0000_t75" style="width:145.2pt;height:35.1pt" o:ole="">
            <v:imagedata r:id="rId9438" o:title=""/>
          </v:shape>
          <o:OLEObject Type="Embed" ProgID="Equation.DSMT4" ShapeID="_x0000_i5714" DrawAspect="Content" ObjectID="_1791379658" r:id="rId9439"/>
        </w:object>
      </w:r>
      <w:r w:rsidRPr="00B6450D">
        <w:rPr>
          <w:i/>
          <w:sz w:val="23"/>
          <w:szCs w:val="23"/>
          <w:rtl/>
        </w:rPr>
        <w:tab/>
      </w:r>
      <w:r w:rsidRPr="00B6450D">
        <w:rPr>
          <w:i/>
          <w:sz w:val="23"/>
          <w:szCs w:val="23"/>
          <w:rtl/>
        </w:rPr>
        <w:tab/>
      </w:r>
      <w:r w:rsidRPr="00B6450D">
        <w:rPr>
          <w:i/>
          <w:sz w:val="23"/>
          <w:szCs w:val="23"/>
        </w:rPr>
        <w:tab/>
      </w:r>
      <w:r w:rsidRPr="00B6450D">
        <w:rPr>
          <w:i/>
          <w:sz w:val="23"/>
          <w:szCs w:val="23"/>
        </w:rPr>
        <w:tab/>
      </w:r>
      <w:r>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tl/>
        </w:rPr>
        <w:tab/>
      </w:r>
      <w:r w:rsidRPr="00B6450D">
        <w:rPr>
          <w:i/>
          <w:sz w:val="23"/>
          <w:szCs w:val="23"/>
        </w:rPr>
        <w:t xml:space="preserve"> </w:t>
      </w:r>
      <w:r w:rsidRPr="00B6450D">
        <w:rPr>
          <w:i/>
          <w:sz w:val="23"/>
          <w:szCs w:val="23"/>
          <w:rtl/>
        </w:rPr>
        <w:tab/>
      </w:r>
      <w:r w:rsidRPr="00B6450D">
        <w:rPr>
          <w:rFonts w:hint="cs"/>
          <w:i/>
          <w:sz w:val="23"/>
          <w:szCs w:val="23"/>
          <w:rtl/>
        </w:rPr>
        <w:t>(۱۲. ۶۰)</w:t>
      </w:r>
    </w:p>
    <w:p w14:paraId="5ED0C984" w14:textId="77777777" w:rsidR="00556C10" w:rsidRPr="00B6450D" w:rsidRDefault="00556C10" w:rsidP="00556C10">
      <w:pPr>
        <w:spacing w:line="216" w:lineRule="auto"/>
        <w:rPr>
          <w:i/>
          <w:sz w:val="23"/>
          <w:szCs w:val="23"/>
          <w:rtl/>
        </w:rPr>
      </w:pPr>
      <w:r w:rsidRPr="00B6450D">
        <w:rPr>
          <w:rFonts w:hint="cs"/>
          <w:i/>
          <w:sz w:val="23"/>
          <w:szCs w:val="23"/>
          <w:rtl/>
        </w:rPr>
        <w:t>که در آن</w:t>
      </w:r>
      <w:r w:rsidRPr="00B6450D">
        <w:rPr>
          <w:position w:val="-10"/>
        </w:rPr>
        <w:object w:dxaOrig="859" w:dyaOrig="320" w14:anchorId="5E0F7649">
          <v:shape id="_x0000_i5715" type="#_x0000_t75" style="width:42.95pt;height:15.75pt" o:ole="">
            <v:imagedata r:id="rId9440" o:title=""/>
          </v:shape>
          <o:OLEObject Type="Embed" ProgID="Equation.DSMT4" ShapeID="_x0000_i5715" DrawAspect="Content" ObjectID="_1791379659" r:id="rId9441"/>
        </w:object>
      </w:r>
      <w:r w:rsidRPr="00B6450D">
        <w:rPr>
          <w:rFonts w:hint="cs"/>
          <w:i/>
          <w:sz w:val="23"/>
          <w:szCs w:val="23"/>
          <w:rtl/>
        </w:rPr>
        <w:t xml:space="preserve"> است. بنابراین اگر انتظار رود که ارزش پول داخلی کاهش یابد،</w:t>
      </w:r>
      <w:r w:rsidRPr="00B6450D">
        <w:rPr>
          <w:position w:val="-10"/>
        </w:rPr>
        <w:object w:dxaOrig="1040" w:dyaOrig="320" w14:anchorId="1239B373">
          <v:shape id="_x0000_i5716" type="#_x0000_t75" style="width:52.05pt;height:15.75pt" o:ole="">
            <v:imagedata r:id="rId9442" o:title=""/>
          </v:shape>
          <o:OLEObject Type="Embed" ProgID="Equation.DSMT4" ShapeID="_x0000_i5716" DrawAspect="Content" ObjectID="_1791379660" r:id="rId9443"/>
        </w:object>
      </w:r>
      <w:r w:rsidRPr="00B6450D">
        <w:rPr>
          <w:rFonts w:hint="cs"/>
          <w:i/>
          <w:sz w:val="23"/>
          <w:szCs w:val="23"/>
          <w:rtl/>
        </w:rPr>
        <w:t>، آنگاه به سرمایه‌گذاری که اوراق قرضه‌ی داخلی را نگه</w:t>
      </w:r>
      <w:r w:rsidRPr="00B6450D">
        <w:rPr>
          <w:i/>
          <w:sz w:val="23"/>
          <w:szCs w:val="23"/>
          <w:rtl/>
        </w:rPr>
        <w:softHyphen/>
      </w:r>
      <w:r w:rsidRPr="00B6450D">
        <w:rPr>
          <w:rFonts w:hint="cs"/>
          <w:i/>
          <w:sz w:val="23"/>
          <w:szCs w:val="23"/>
          <w:rtl/>
        </w:rPr>
        <w:t>داری می‌کند با نرخ بازدهی داخلی بالاتر از اوراق قرضه‌ی خارجی می‌بایست غرامت پرداخته شود.</w:t>
      </w:r>
    </w:p>
    <w:p w14:paraId="0ACFA7B2" w14:textId="77777777" w:rsidR="00556C10" w:rsidRPr="00B6450D" w:rsidRDefault="00556C10" w:rsidP="00556C10">
      <w:pPr>
        <w:spacing w:line="216" w:lineRule="auto"/>
        <w:rPr>
          <w:i/>
          <w:sz w:val="23"/>
          <w:szCs w:val="23"/>
          <w:rtl/>
        </w:rPr>
      </w:pPr>
      <w:r w:rsidRPr="00B6450D">
        <w:rPr>
          <w:rFonts w:hint="cs"/>
          <w:i/>
          <w:sz w:val="23"/>
          <w:szCs w:val="23"/>
          <w:rtl/>
        </w:rPr>
        <w:t xml:space="preserve">شرط </w:t>
      </w:r>
      <w:r w:rsidRPr="00B6450D">
        <w:rPr>
          <w:i/>
          <w:sz w:val="23"/>
          <w:szCs w:val="23"/>
        </w:rPr>
        <w:t>UIP</w:t>
      </w:r>
      <w:r w:rsidRPr="00B6450D">
        <w:rPr>
          <w:rFonts w:hint="cs"/>
          <w:i/>
          <w:sz w:val="23"/>
          <w:szCs w:val="23"/>
          <w:rtl/>
        </w:rPr>
        <w:t xml:space="preserve"> همچنین مبین آن است که اوراق قرضه‌ی داخلی و خارجی جانشین کامل</w:t>
      </w:r>
      <w:r w:rsidRPr="00B6450D">
        <w:rPr>
          <w:i/>
          <w:sz w:val="23"/>
          <w:szCs w:val="23"/>
          <w:rtl/>
        </w:rPr>
        <w:softHyphen/>
      </w:r>
      <w:r w:rsidRPr="00B6450D">
        <w:rPr>
          <w:rFonts w:hint="cs"/>
          <w:i/>
          <w:sz w:val="23"/>
          <w:szCs w:val="23"/>
          <w:rtl/>
        </w:rPr>
        <w:t>اند، و بنابراین، نرخ بازدهی آن‌ها بر اساس پول داخلی برابر است. اگر نرخ مشابه اوراق قرضه‌ی داخلی و خارجی بر حسب پول داخلی برابر نباشند، آنگاه با اسقراض با نرخ بهره‌ی پایین</w:t>
      </w:r>
      <w:r w:rsidRPr="00B6450D">
        <w:rPr>
          <w:i/>
          <w:sz w:val="23"/>
          <w:szCs w:val="23"/>
          <w:rtl/>
        </w:rPr>
        <w:softHyphen/>
      </w:r>
      <w:r w:rsidRPr="00B6450D">
        <w:rPr>
          <w:rFonts w:hint="cs"/>
          <w:i/>
          <w:sz w:val="23"/>
          <w:szCs w:val="23"/>
          <w:rtl/>
        </w:rPr>
        <w:t>تر و سرمایه‌گذاری در نرخ بهره‌ی بالاتر فرصت‌های آربیتراژ بوجود خواهد آمد.</w:t>
      </w:r>
    </w:p>
    <w:p w14:paraId="5B6109DD" w14:textId="77777777" w:rsidR="00556C10" w:rsidRPr="00B6450D" w:rsidRDefault="00556C10" w:rsidP="00556C10">
      <w:pPr>
        <w:spacing w:line="216" w:lineRule="auto"/>
        <w:rPr>
          <w:i/>
          <w:sz w:val="23"/>
          <w:szCs w:val="23"/>
          <w:rtl/>
        </w:rPr>
      </w:pPr>
    </w:p>
    <w:p w14:paraId="34C457F3" w14:textId="77777777" w:rsidR="00556C10" w:rsidRPr="00B6450D" w:rsidRDefault="00556C10" w:rsidP="00556C10">
      <w:pPr>
        <w:spacing w:line="216" w:lineRule="auto"/>
        <w:rPr>
          <w:bCs/>
          <w:i/>
          <w:sz w:val="23"/>
          <w:szCs w:val="23"/>
          <w:rtl/>
        </w:rPr>
      </w:pPr>
      <w:r w:rsidRPr="00B6450D">
        <w:rPr>
          <w:rFonts w:hint="cs"/>
          <w:bCs/>
          <w:i/>
          <w:sz w:val="23"/>
          <w:szCs w:val="23"/>
          <w:rtl/>
        </w:rPr>
        <w:t>برابری بهره‌ی با پوشش</w:t>
      </w:r>
    </w:p>
    <w:p w14:paraId="6B6ED7FF" w14:textId="77777777" w:rsidR="00556C10" w:rsidRPr="00B6450D" w:rsidRDefault="00556C10" w:rsidP="00556C10">
      <w:pPr>
        <w:spacing w:line="216" w:lineRule="auto"/>
        <w:rPr>
          <w:i/>
          <w:sz w:val="23"/>
          <w:szCs w:val="23"/>
          <w:rtl/>
        </w:rPr>
      </w:pPr>
      <w:r w:rsidRPr="00B6450D">
        <w:rPr>
          <w:rFonts w:hint="cs"/>
          <w:i/>
          <w:sz w:val="23"/>
          <w:szCs w:val="23"/>
          <w:rtl/>
        </w:rPr>
        <w:t xml:space="preserve">قرارداد آتی برای هر دارایی از قبیل نرخ‌های بهره و </w:t>
      </w:r>
      <w:r w:rsidRPr="00B6450D">
        <w:rPr>
          <w:i/>
          <w:sz w:val="23"/>
          <w:szCs w:val="23"/>
        </w:rPr>
        <w:t>FOREX</w:t>
      </w:r>
      <w:r w:rsidRPr="00B6450D">
        <w:rPr>
          <w:rFonts w:hint="cs"/>
          <w:i/>
          <w:sz w:val="23"/>
          <w:szCs w:val="23"/>
          <w:rtl/>
        </w:rPr>
        <w:t xml:space="preserve"> ممکن است به صورت زیر تصریح شود. با استفاده از نمادهای</w:t>
      </w:r>
      <w:r w:rsidRPr="00B6450D">
        <w:rPr>
          <w:position w:val="-10"/>
        </w:rPr>
        <w:object w:dxaOrig="240" w:dyaOrig="320" w14:anchorId="4AA60FF4">
          <v:shape id="_x0000_i5717" type="#_x0000_t75" style="width:11.5pt;height:15.75pt" o:ole="">
            <v:imagedata r:id="rId9444" o:title=""/>
          </v:shape>
          <o:OLEObject Type="Embed" ProgID="Equation.DSMT4" ShapeID="_x0000_i5717" DrawAspect="Content" ObjectID="_1791379661" r:id="rId9445"/>
        </w:object>
      </w:r>
      <w:r w:rsidRPr="00B6450D">
        <w:rPr>
          <w:rFonts w:hint="cs"/>
          <w:i/>
          <w:sz w:val="23"/>
          <w:szCs w:val="23"/>
          <w:rtl/>
        </w:rPr>
        <w:t>‌ برای قیمت لحظه</w:t>
      </w:r>
      <w:r w:rsidRPr="00B6450D">
        <w:rPr>
          <w:i/>
          <w:sz w:val="23"/>
          <w:szCs w:val="23"/>
          <w:rtl/>
        </w:rPr>
        <w:softHyphen/>
      </w:r>
      <w:r w:rsidRPr="00B6450D">
        <w:rPr>
          <w:rFonts w:hint="cs"/>
          <w:i/>
          <w:sz w:val="23"/>
          <w:szCs w:val="23"/>
          <w:rtl/>
        </w:rPr>
        <w:t>ای دارایی پایه،</w:t>
      </w:r>
      <w:r w:rsidRPr="00B6450D">
        <w:rPr>
          <w:position w:val="-12"/>
        </w:rPr>
        <w:object w:dxaOrig="400" w:dyaOrig="340" w14:anchorId="5FBEE0ED">
          <v:shape id="_x0000_i5718" type="#_x0000_t75" style="width:19.95pt;height:16.95pt" o:ole="">
            <v:imagedata r:id="rId9446" o:title=""/>
          </v:shape>
          <o:OLEObject Type="Embed" ProgID="Equation.DSMT4" ShapeID="_x0000_i5718" DrawAspect="Content" ObjectID="_1791379662" r:id="rId9447"/>
        </w:object>
      </w:r>
      <w:r w:rsidRPr="00B6450D">
        <w:rPr>
          <w:i/>
          <w:sz w:val="23"/>
          <w:szCs w:val="23"/>
        </w:rPr>
        <w:t xml:space="preserve"> </w:t>
      </w:r>
      <w:r w:rsidRPr="00B6450D">
        <w:rPr>
          <w:rFonts w:hint="cs"/>
          <w:i/>
          <w:sz w:val="23"/>
          <w:szCs w:val="23"/>
          <w:rtl/>
        </w:rPr>
        <w:t>قیمت آتی در زمان</w:t>
      </w:r>
      <w:r w:rsidRPr="00B6450D">
        <w:rPr>
          <w:position w:val="-6"/>
        </w:rPr>
        <w:object w:dxaOrig="139" w:dyaOrig="240" w14:anchorId="38C7C368">
          <v:shape id="_x0000_i5719" type="#_x0000_t75" style="width:6.65pt;height:11.5pt" o:ole="">
            <v:imagedata r:id="rId9448" o:title=""/>
          </v:shape>
          <o:OLEObject Type="Embed" ProgID="Equation.DSMT4" ShapeID="_x0000_i5719" DrawAspect="Content" ObjectID="_1791379663" r:id="rId9449"/>
        </w:object>
      </w:r>
      <w:r w:rsidRPr="00B6450D">
        <w:rPr>
          <w:i/>
          <w:sz w:val="23"/>
          <w:szCs w:val="23"/>
        </w:rPr>
        <w:t xml:space="preserve"> </w:t>
      </w:r>
      <w:r w:rsidRPr="00B6450D">
        <w:rPr>
          <w:rFonts w:hint="cs"/>
          <w:i/>
          <w:sz w:val="23"/>
          <w:szCs w:val="23"/>
          <w:rtl/>
        </w:rPr>
        <w:t>برای تحویل دارایی پایه در زمان</w:t>
      </w:r>
      <w:r w:rsidRPr="00025957">
        <w:rPr>
          <w:position w:val="-4"/>
        </w:rPr>
        <w:object w:dxaOrig="240" w:dyaOrig="240" w14:anchorId="62A0486B">
          <v:shape id="_x0000_i5720" type="#_x0000_t75" style="width:11.5pt;height:11.5pt" o:ole="">
            <v:imagedata r:id="rId9450" o:title=""/>
          </v:shape>
          <o:OLEObject Type="Embed" ProgID="Equation.DSMT4" ShapeID="_x0000_i5720" DrawAspect="Content" ObjectID="_1791379664" r:id="rId9451"/>
        </w:object>
      </w:r>
      <w:r w:rsidRPr="00B6450D">
        <w:rPr>
          <w:i/>
          <w:sz w:val="23"/>
          <w:szCs w:val="23"/>
        </w:rPr>
        <w:t xml:space="preserve"> </w:t>
      </w:r>
      <w:r w:rsidRPr="00B6450D">
        <w:rPr>
          <w:rFonts w:hint="cs"/>
          <w:i/>
          <w:sz w:val="23"/>
          <w:szCs w:val="23"/>
          <w:rtl/>
        </w:rPr>
        <w:t>و</w:t>
      </w:r>
      <w:r w:rsidRPr="00025957">
        <w:rPr>
          <w:position w:val="-4"/>
        </w:rPr>
        <w:object w:dxaOrig="240" w:dyaOrig="279" w14:anchorId="3A071055">
          <v:shape id="_x0000_i5721" type="#_x0000_t75" style="width:11.5pt;height:13.9pt" o:ole="">
            <v:imagedata r:id="rId9452" o:title=""/>
          </v:shape>
          <o:OLEObject Type="Embed" ProgID="Equation.DSMT4" ShapeID="_x0000_i5721" DrawAspect="Content" ObjectID="_1791379665" r:id="rId9453"/>
        </w:object>
      </w:r>
      <w:r w:rsidRPr="00B6450D">
        <w:rPr>
          <w:rFonts w:hint="cs"/>
          <w:i/>
          <w:sz w:val="23"/>
          <w:szCs w:val="23"/>
          <w:rtl/>
        </w:rPr>
        <w:t xml:space="preserve"> نرخ بدون ریسک ثابت، دو پرتفو را در نظر میگیریم</w:t>
      </w:r>
    </w:p>
    <w:p w14:paraId="16613FDC" w14:textId="77777777" w:rsidR="00556C10" w:rsidRPr="00B6450D" w:rsidRDefault="00556C10" w:rsidP="00556C10">
      <w:pPr>
        <w:spacing w:line="216" w:lineRule="auto"/>
        <w:rPr>
          <w:i/>
          <w:sz w:val="23"/>
          <w:szCs w:val="23"/>
          <w:rtl/>
        </w:rPr>
      </w:pPr>
      <w:r w:rsidRPr="00B6450D">
        <w:rPr>
          <w:rFonts w:hint="cs"/>
          <w:i/>
          <w:sz w:val="23"/>
          <w:szCs w:val="23"/>
          <w:rtl/>
        </w:rPr>
        <w:t>۱-موقعیت نگهدارایی دارایی در قرارداد آتی، که در زمان</w:t>
      </w:r>
      <w:r w:rsidRPr="00025957">
        <w:rPr>
          <w:position w:val="-4"/>
        </w:rPr>
        <w:object w:dxaOrig="240" w:dyaOrig="240" w14:anchorId="3C0A5017">
          <v:shape id="_x0000_i5722" type="#_x0000_t75" style="width:11.5pt;height:11.5pt" o:ole="">
            <v:imagedata r:id="rId9454" o:title=""/>
          </v:shape>
          <o:OLEObject Type="Embed" ProgID="Equation.DSMT4" ShapeID="_x0000_i5722" DrawAspect="Content" ObjectID="_1791379666" r:id="rId9455"/>
        </w:object>
      </w:r>
      <w:r w:rsidRPr="00B6450D">
        <w:rPr>
          <w:rFonts w:hint="cs"/>
          <w:i/>
          <w:sz w:val="23"/>
          <w:szCs w:val="23"/>
          <w:rtl/>
        </w:rPr>
        <w:t xml:space="preserve"> متناظر است با پرداخت</w:t>
      </w:r>
      <w:r w:rsidRPr="00B6450D">
        <w:rPr>
          <w:position w:val="-12"/>
        </w:rPr>
        <w:object w:dxaOrig="400" w:dyaOrig="340" w14:anchorId="72AF5992">
          <v:shape id="_x0000_i5723" type="#_x0000_t75" style="width:19.95pt;height:16.95pt" o:ole="">
            <v:imagedata r:id="rId9456" o:title=""/>
          </v:shape>
          <o:OLEObject Type="Embed" ProgID="Equation.DSMT4" ShapeID="_x0000_i5723" DrawAspect="Content" ObjectID="_1791379667" r:id="rId9457"/>
        </w:object>
      </w:r>
      <w:r w:rsidRPr="00B6450D">
        <w:rPr>
          <w:rFonts w:hint="cs"/>
          <w:i/>
          <w:sz w:val="23"/>
          <w:szCs w:val="23"/>
          <w:rtl/>
        </w:rPr>
        <w:t xml:space="preserve"> برای دارایی در زمان</w:t>
      </w:r>
      <w:r w:rsidRPr="00025957">
        <w:rPr>
          <w:position w:val="-4"/>
        </w:rPr>
        <w:object w:dxaOrig="240" w:dyaOrig="240" w14:anchorId="4C0C205D">
          <v:shape id="_x0000_i5724" type="#_x0000_t75" style="width:11.5pt;height:11.5pt" o:ole="">
            <v:imagedata r:id="rId9458" o:title=""/>
          </v:shape>
          <o:OLEObject Type="Embed" ProgID="Equation.DSMT4" ShapeID="_x0000_i5724" DrawAspect="Content" ObjectID="_1791379668" r:id="rId9459"/>
        </w:object>
      </w:r>
      <w:r w:rsidRPr="00B6450D">
        <w:rPr>
          <w:rFonts w:hint="cs"/>
          <w:i/>
          <w:sz w:val="23"/>
          <w:szCs w:val="23"/>
          <w:rtl/>
        </w:rPr>
        <w:t xml:space="preserve"> و فروش آن به قیمت</w:t>
      </w:r>
      <w:r w:rsidRPr="00B6450D">
        <w:rPr>
          <w:position w:val="-10"/>
        </w:rPr>
        <w:object w:dxaOrig="300" w:dyaOrig="320" w14:anchorId="08426009">
          <v:shape id="_x0000_i5725" type="#_x0000_t75" style="width:14.5pt;height:15.75pt" o:ole="">
            <v:imagedata r:id="rId9460" o:title=""/>
          </v:shape>
          <o:OLEObject Type="Embed" ProgID="Equation.DSMT4" ShapeID="_x0000_i5725" DrawAspect="Content" ObjectID="_1791379669" r:id="rId9461"/>
        </w:object>
      </w:r>
      <w:r w:rsidRPr="00B6450D">
        <w:rPr>
          <w:rFonts w:hint="cs"/>
          <w:i/>
          <w:sz w:val="23"/>
          <w:szCs w:val="23"/>
          <w:rtl/>
        </w:rPr>
        <w:t>. بازده سود این قرارداد در زمان</w:t>
      </w:r>
      <w:r w:rsidRPr="00025957">
        <w:rPr>
          <w:position w:val="-4"/>
        </w:rPr>
        <w:object w:dxaOrig="240" w:dyaOrig="240" w14:anchorId="756B0159">
          <v:shape id="_x0000_i5726" type="#_x0000_t75" style="width:11.5pt;height:11.5pt" o:ole="">
            <v:imagedata r:id="rId9462" o:title=""/>
          </v:shape>
          <o:OLEObject Type="Embed" ProgID="Equation.DSMT4" ShapeID="_x0000_i5726" DrawAspect="Content" ObjectID="_1791379670" r:id="rId9463"/>
        </w:object>
      </w:r>
      <w:r w:rsidRPr="00B6450D">
        <w:rPr>
          <w:rFonts w:hint="cs"/>
          <w:i/>
          <w:sz w:val="23"/>
          <w:szCs w:val="23"/>
          <w:rtl/>
        </w:rPr>
        <w:t xml:space="preserve"> برابر است با</w:t>
      </w:r>
    </w:p>
    <w:p w14:paraId="2BDB95E4" w14:textId="77777777" w:rsidR="00556C10" w:rsidRPr="00B6450D" w:rsidRDefault="00556C10" w:rsidP="00556C10">
      <w:pPr>
        <w:bidi w:val="0"/>
        <w:spacing w:line="216" w:lineRule="auto"/>
        <w:rPr>
          <w:i/>
          <w:sz w:val="23"/>
          <w:szCs w:val="23"/>
        </w:rPr>
      </w:pPr>
      <w:r w:rsidRPr="00B6450D">
        <w:rPr>
          <w:position w:val="-12"/>
        </w:rPr>
        <w:object w:dxaOrig="1600" w:dyaOrig="360" w14:anchorId="251FA97F">
          <v:shape id="_x0000_i5727" type="#_x0000_t75" style="width:79.85pt;height:18.15pt" o:ole="">
            <v:imagedata r:id="rId9464" o:title=""/>
          </v:shape>
          <o:OLEObject Type="Embed" ProgID="Equation.DSMT4" ShapeID="_x0000_i5727" DrawAspect="Content" ObjectID="_1791379671" r:id="rId9465"/>
        </w:object>
      </w:r>
    </w:p>
    <w:p w14:paraId="221223CC" w14:textId="77777777" w:rsidR="00556C10" w:rsidRPr="00B6450D" w:rsidRDefault="00556C10" w:rsidP="00556C10">
      <w:pPr>
        <w:spacing w:line="216" w:lineRule="auto"/>
        <w:rPr>
          <w:i/>
          <w:sz w:val="23"/>
          <w:szCs w:val="23"/>
          <w:rtl/>
        </w:rPr>
      </w:pPr>
      <w:r w:rsidRPr="00B6450D">
        <w:rPr>
          <w:rFonts w:hint="cs"/>
          <w:i/>
          <w:sz w:val="23"/>
          <w:szCs w:val="23"/>
          <w:rtl/>
        </w:rPr>
        <w:t>۲-موقعیت خرید دارایی پایه و موقعیت فروش در دارایی بدون ریسک، که مستلزم استقراض</w:t>
      </w:r>
      <w:r w:rsidRPr="00B6450D">
        <w:rPr>
          <w:position w:val="-10"/>
        </w:rPr>
        <w:object w:dxaOrig="300" w:dyaOrig="320" w14:anchorId="4AB631D8">
          <v:shape id="_x0000_i5728" type="#_x0000_t75" style="width:14.5pt;height:15.75pt" o:ole="">
            <v:imagedata r:id="rId9466" o:title=""/>
          </v:shape>
          <o:OLEObject Type="Embed" ProgID="Equation.DSMT4" ShapeID="_x0000_i5728" DrawAspect="Content" ObjectID="_1791379672" r:id="rId9467"/>
        </w:object>
      </w:r>
      <w:r w:rsidRPr="00B6450D">
        <w:rPr>
          <w:rFonts w:hint="cs"/>
          <w:i/>
          <w:sz w:val="23"/>
          <w:szCs w:val="23"/>
          <w:rtl/>
        </w:rPr>
        <w:t xml:space="preserve"> با نرخ بهره‌ی</w:t>
      </w:r>
      <w:r w:rsidRPr="00025957">
        <w:rPr>
          <w:position w:val="-4"/>
        </w:rPr>
        <w:object w:dxaOrig="240" w:dyaOrig="279" w14:anchorId="4AA31AF6">
          <v:shape id="_x0000_i5729" type="#_x0000_t75" style="width:11.5pt;height:13.9pt" o:ole="">
            <v:imagedata r:id="rId9468" o:title=""/>
          </v:shape>
          <o:OLEObject Type="Embed" ProgID="Equation.DSMT4" ShapeID="_x0000_i5729" DrawAspect="Content" ObjectID="_1791379673" r:id="rId9469"/>
        </w:object>
      </w:r>
      <w:r w:rsidRPr="00B6450D">
        <w:rPr>
          <w:i/>
          <w:sz w:val="23"/>
          <w:szCs w:val="23"/>
        </w:rPr>
        <w:t xml:space="preserve"> </w:t>
      </w:r>
      <w:r w:rsidRPr="00B6450D">
        <w:rPr>
          <w:rFonts w:hint="cs"/>
          <w:i/>
          <w:sz w:val="23"/>
          <w:szCs w:val="23"/>
          <w:rtl/>
        </w:rPr>
        <w:t>جهت خرید دارایی در زمان</w:t>
      </w:r>
      <w:r w:rsidRPr="00B6450D">
        <w:rPr>
          <w:position w:val="-6"/>
        </w:rPr>
        <w:object w:dxaOrig="139" w:dyaOrig="240" w14:anchorId="6E4E33FE">
          <v:shape id="_x0000_i5730" type="#_x0000_t75" style="width:6.65pt;height:11.5pt" o:ole="">
            <v:imagedata r:id="rId9470" o:title=""/>
          </v:shape>
          <o:OLEObject Type="Embed" ProgID="Equation.DSMT4" ShapeID="_x0000_i5730" DrawAspect="Content" ObjectID="_1791379674" r:id="rId9471"/>
        </w:object>
      </w:r>
      <w:r w:rsidRPr="00B6450D">
        <w:rPr>
          <w:rFonts w:hint="cs"/>
          <w:i/>
          <w:sz w:val="23"/>
          <w:szCs w:val="23"/>
          <w:rtl/>
        </w:rPr>
        <w:t xml:space="preserve"> و بازگرداندن مبلغ </w:t>
      </w:r>
      <w:r w:rsidRPr="00B6450D">
        <w:rPr>
          <w:position w:val="-10"/>
        </w:rPr>
        <w:object w:dxaOrig="780" w:dyaOrig="380" w14:anchorId="492D954D">
          <v:shape id="_x0000_i5731" type="#_x0000_t75" style="width:39.35pt;height:19.35pt" o:ole="">
            <v:imagedata r:id="rId9472" o:title=""/>
          </v:shape>
          <o:OLEObject Type="Embed" ProgID="Equation.DSMT4" ShapeID="_x0000_i5731" DrawAspect="Content" ObjectID="_1791379675" r:id="rId9473"/>
        </w:object>
      </w:r>
      <w:r w:rsidRPr="00B6450D">
        <w:rPr>
          <w:rFonts w:hint="cs"/>
          <w:i/>
          <w:sz w:val="23"/>
          <w:szCs w:val="23"/>
          <w:rtl/>
        </w:rPr>
        <w:t xml:space="preserve"> در زمان</w:t>
      </w:r>
      <w:r w:rsidRPr="00025957">
        <w:rPr>
          <w:position w:val="-4"/>
        </w:rPr>
        <w:object w:dxaOrig="240" w:dyaOrig="240" w14:anchorId="74C598E4">
          <v:shape id="_x0000_i5732" type="#_x0000_t75" style="width:11.5pt;height:11.5pt" o:ole="">
            <v:imagedata r:id="rId9474" o:title=""/>
          </v:shape>
          <o:OLEObject Type="Embed" ProgID="Equation.DSMT4" ShapeID="_x0000_i5732" DrawAspect="Content" ObjectID="_1791379676" r:id="rId9475"/>
        </w:object>
      </w:r>
      <w:r w:rsidRPr="00B6450D">
        <w:rPr>
          <w:i/>
          <w:sz w:val="23"/>
          <w:szCs w:val="23"/>
        </w:rPr>
        <w:t xml:space="preserve"> </w:t>
      </w:r>
      <w:r w:rsidRPr="00B6450D">
        <w:rPr>
          <w:rFonts w:hint="cs"/>
          <w:i/>
          <w:sz w:val="23"/>
          <w:szCs w:val="23"/>
          <w:rtl/>
        </w:rPr>
        <w:t>با فروش دارایی به قیمت</w:t>
      </w:r>
      <w:r w:rsidRPr="00B6450D">
        <w:rPr>
          <w:position w:val="-10"/>
        </w:rPr>
        <w:object w:dxaOrig="300" w:dyaOrig="320" w14:anchorId="5B874E93">
          <v:shape id="_x0000_i5733" type="#_x0000_t75" style="width:14.5pt;height:15.75pt" o:ole="">
            <v:imagedata r:id="rId9476" o:title=""/>
          </v:shape>
          <o:OLEObject Type="Embed" ProgID="Equation.DSMT4" ShapeID="_x0000_i5733" DrawAspect="Content" ObjectID="_1791379677" r:id="rId9477"/>
        </w:object>
      </w:r>
      <w:r w:rsidRPr="00B6450D">
        <w:rPr>
          <w:i/>
          <w:sz w:val="23"/>
          <w:szCs w:val="23"/>
        </w:rPr>
        <w:t xml:space="preserve"> </w:t>
      </w:r>
      <w:r w:rsidRPr="00B6450D">
        <w:rPr>
          <w:rFonts w:hint="cs"/>
          <w:i/>
          <w:sz w:val="23"/>
          <w:szCs w:val="23"/>
          <w:rtl/>
        </w:rPr>
        <w:t>است. بازده سود این سرمایه‌گذاری برابر است با</w:t>
      </w:r>
    </w:p>
    <w:p w14:paraId="2CF40607" w14:textId="77777777" w:rsidR="00556C10" w:rsidRPr="00B6450D" w:rsidRDefault="00556C10" w:rsidP="00556C10">
      <w:pPr>
        <w:bidi w:val="0"/>
        <w:spacing w:line="216" w:lineRule="auto"/>
        <w:rPr>
          <w:i/>
          <w:sz w:val="23"/>
          <w:szCs w:val="23"/>
        </w:rPr>
      </w:pPr>
      <w:r w:rsidRPr="00B6450D">
        <w:rPr>
          <w:position w:val="-12"/>
        </w:rPr>
        <w:object w:dxaOrig="2020" w:dyaOrig="400" w14:anchorId="70DE3F08">
          <v:shape id="_x0000_i5734" type="#_x0000_t75" style="width:101.05pt;height:19.95pt" o:ole="">
            <v:imagedata r:id="rId9478" o:title=""/>
          </v:shape>
          <o:OLEObject Type="Embed" ProgID="Equation.DSMT4" ShapeID="_x0000_i5734" DrawAspect="Content" ObjectID="_1791379678" r:id="rId9479"/>
        </w:object>
      </w:r>
    </w:p>
    <w:p w14:paraId="289807DF" w14:textId="77777777" w:rsidR="00556C10" w:rsidRPr="00B6450D" w:rsidRDefault="00556C10" w:rsidP="00556C10">
      <w:pPr>
        <w:spacing w:line="216" w:lineRule="auto"/>
        <w:rPr>
          <w:i/>
          <w:sz w:val="23"/>
          <w:szCs w:val="23"/>
          <w:rtl/>
        </w:rPr>
      </w:pPr>
      <w:r w:rsidRPr="00B6450D">
        <w:rPr>
          <w:rFonts w:hint="cs"/>
          <w:i/>
          <w:sz w:val="23"/>
          <w:szCs w:val="23"/>
          <w:rtl/>
        </w:rPr>
        <w:t>سودهای انتظاری استراتژی این دو سرمایه‌گذاری می‌بایست برابر باشد، درغیر این صورت یک فرصت آربیتراژ وجود خواهد داشت. اگر سود نگهداری پرتفوی ۲ بیشتر از نگهداری پرتفوی ۱ باشد، آنگاه سرمایه‌گذار با قرض و خرید دارایی پایه در زمان</w:t>
      </w:r>
      <w:r w:rsidRPr="00B6450D">
        <w:rPr>
          <w:position w:val="-6"/>
        </w:rPr>
        <w:object w:dxaOrig="139" w:dyaOrig="240" w14:anchorId="192509C0">
          <v:shape id="_x0000_i5735" type="#_x0000_t75" style="width:6.65pt;height:11.5pt" o:ole="">
            <v:imagedata r:id="rId9480" o:title=""/>
          </v:shape>
          <o:OLEObject Type="Embed" ProgID="Equation.DSMT4" ShapeID="_x0000_i5735" DrawAspect="Content" ObjectID="_1791379679" r:id="rId9481"/>
        </w:object>
      </w:r>
      <w:r w:rsidRPr="00B6450D">
        <w:rPr>
          <w:rFonts w:hint="cs"/>
          <w:i/>
          <w:sz w:val="23"/>
          <w:szCs w:val="23"/>
          <w:rtl/>
        </w:rPr>
        <w:t xml:space="preserve"> آن</w:t>
      </w:r>
      <w:r w:rsidRPr="00B6450D">
        <w:rPr>
          <w:i/>
          <w:sz w:val="23"/>
          <w:szCs w:val="23"/>
          <w:rtl/>
        </w:rPr>
        <w:softHyphen/>
      </w:r>
      <w:r w:rsidRPr="00B6450D">
        <w:rPr>
          <w:rFonts w:hint="cs"/>
          <w:i/>
          <w:sz w:val="23"/>
          <w:szCs w:val="23"/>
          <w:rtl/>
        </w:rPr>
        <w:t>را در قراد اد آتی به فروش خواهد رساند. در زمان</w:t>
      </w:r>
      <w:r w:rsidRPr="00025957">
        <w:rPr>
          <w:position w:val="-4"/>
        </w:rPr>
        <w:object w:dxaOrig="240" w:dyaOrig="240" w14:anchorId="3CF3B755">
          <v:shape id="_x0000_i5736" type="#_x0000_t75" style="width:11.5pt;height:11.5pt" o:ole="">
            <v:imagedata r:id="rId9482" o:title=""/>
          </v:shape>
          <o:OLEObject Type="Embed" ProgID="Equation.DSMT4" ShapeID="_x0000_i5736" DrawAspect="Content" ObjectID="_1791379680" r:id="rId9483"/>
        </w:object>
      </w:r>
      <w:r w:rsidRPr="00B6450D">
        <w:rPr>
          <w:rFonts w:hint="cs"/>
          <w:i/>
          <w:sz w:val="23"/>
          <w:szCs w:val="23"/>
          <w:rtl/>
        </w:rPr>
        <w:t xml:space="preserve"> سرمایه‌گذار موقعیت خود را در قرارداد آتی بسته و</w:t>
      </w:r>
      <w:r w:rsidRPr="00B6450D">
        <w:rPr>
          <w:position w:val="-12"/>
        </w:rPr>
        <w:object w:dxaOrig="400" w:dyaOrig="340" w14:anchorId="6CCD14A3">
          <v:shape id="_x0000_i5737" type="#_x0000_t75" style="width:19.95pt;height:16.95pt" o:ole="">
            <v:imagedata r:id="rId9484" o:title=""/>
          </v:shape>
          <o:OLEObject Type="Embed" ProgID="Equation.DSMT4" ShapeID="_x0000_i5737" DrawAspect="Content" ObjectID="_1791379681" r:id="rId9485"/>
        </w:object>
      </w:r>
      <w:r w:rsidRPr="00B6450D">
        <w:rPr>
          <w:rFonts w:hint="cs"/>
          <w:i/>
          <w:sz w:val="23"/>
          <w:szCs w:val="23"/>
          <w:rtl/>
        </w:rPr>
        <w:t xml:space="preserve"> را دریافت خواهد کرد. سود حاصل از این قرارداد یعنی</w:t>
      </w:r>
      <w:r w:rsidRPr="00B6450D">
        <w:rPr>
          <w:position w:val="-12"/>
        </w:rPr>
        <w:object w:dxaOrig="1140" w:dyaOrig="400" w14:anchorId="129DAC7A">
          <v:shape id="_x0000_i5738" type="#_x0000_t75" style="width:57.5pt;height:19.95pt" o:ole="">
            <v:imagedata r:id="rId9486" o:title=""/>
          </v:shape>
          <o:OLEObject Type="Embed" ProgID="Equation.DSMT4" ShapeID="_x0000_i5738" DrawAspect="Content" ObjectID="_1791379682" r:id="rId9487"/>
        </w:object>
      </w:r>
      <w:r w:rsidRPr="00B6450D">
        <w:rPr>
          <w:rFonts w:hint="cs"/>
          <w:i/>
          <w:sz w:val="23"/>
          <w:szCs w:val="23"/>
          <w:rtl/>
        </w:rPr>
        <w:t>مثبت خواهد بود. بنابراین سرمایه‌گذار با صرف مبلغ صفر سود مثبتی را بدست خواهد آورد. حذف این سود مستلزم برابری سود انتظاری است، یعنی</w:t>
      </w:r>
    </w:p>
    <w:p w14:paraId="6B72BADE" w14:textId="77777777" w:rsidR="00556C10" w:rsidRPr="00B6450D" w:rsidRDefault="00556C10" w:rsidP="00556C10">
      <w:pPr>
        <w:bidi w:val="0"/>
        <w:spacing w:line="216" w:lineRule="auto"/>
        <w:rPr>
          <w:i/>
          <w:sz w:val="23"/>
          <w:szCs w:val="23"/>
        </w:rPr>
      </w:pPr>
      <w:r w:rsidRPr="00B6450D">
        <w:rPr>
          <w:position w:val="-12"/>
        </w:rPr>
        <w:object w:dxaOrig="2640" w:dyaOrig="400" w14:anchorId="45EE7027">
          <v:shape id="_x0000_i5739" type="#_x0000_t75" style="width:132.5pt;height:19.95pt" o:ole="">
            <v:imagedata r:id="rId9488" o:title=""/>
          </v:shape>
          <o:OLEObject Type="Embed" ProgID="Equation.DSMT4" ShapeID="_x0000_i5739" DrawAspect="Content" ObjectID="_1791379683" r:id="rId9489"/>
        </w:object>
      </w:r>
    </w:p>
    <w:p w14:paraId="2B77D414" w14:textId="77777777" w:rsidR="00556C10" w:rsidRPr="00B6450D" w:rsidRDefault="00556C10" w:rsidP="00556C10">
      <w:pPr>
        <w:spacing w:line="216" w:lineRule="auto"/>
        <w:rPr>
          <w:i/>
          <w:sz w:val="23"/>
          <w:szCs w:val="23"/>
          <w:rtl/>
        </w:rPr>
      </w:pPr>
      <w:r w:rsidRPr="00B6450D">
        <w:rPr>
          <w:rFonts w:hint="cs"/>
          <w:i/>
          <w:sz w:val="23"/>
          <w:szCs w:val="23"/>
          <w:rtl/>
        </w:rPr>
        <w:t>از این رابطه می‌توان قیمت آتی را بر حسب اطلاعات در دسترس در زمان</w:t>
      </w:r>
      <w:r w:rsidRPr="00B6450D">
        <w:rPr>
          <w:position w:val="-6"/>
        </w:rPr>
        <w:object w:dxaOrig="139" w:dyaOrig="240" w14:anchorId="67516BF8">
          <v:shape id="_x0000_i5740" type="#_x0000_t75" style="width:6.65pt;height:11.5pt" o:ole="">
            <v:imagedata r:id="rId9490" o:title=""/>
          </v:shape>
          <o:OLEObject Type="Embed" ProgID="Equation.DSMT4" ShapeID="_x0000_i5740" DrawAspect="Content" ObjectID="_1791379684" r:id="rId9491"/>
        </w:object>
      </w:r>
      <w:r w:rsidRPr="00B6450D">
        <w:rPr>
          <w:rFonts w:hint="cs"/>
          <w:i/>
          <w:sz w:val="23"/>
          <w:szCs w:val="23"/>
          <w:rtl/>
        </w:rPr>
        <w:t xml:space="preserve"> به صورت زیر بدست آورد</w:t>
      </w:r>
    </w:p>
    <w:p w14:paraId="2F0FDFCE" w14:textId="77777777" w:rsidR="00556C10" w:rsidRPr="00B6450D" w:rsidRDefault="00556C10" w:rsidP="00556C10">
      <w:pPr>
        <w:bidi w:val="0"/>
        <w:spacing w:line="216" w:lineRule="auto"/>
        <w:rPr>
          <w:i/>
          <w:sz w:val="23"/>
          <w:szCs w:val="23"/>
          <w:rtl/>
        </w:rPr>
      </w:pPr>
      <w:r w:rsidRPr="00B6450D">
        <w:rPr>
          <w:position w:val="-12"/>
        </w:rPr>
        <w:object w:dxaOrig="1359" w:dyaOrig="400" w14:anchorId="39A80733">
          <v:shape id="_x0000_i5741" type="#_x0000_t75" style="width:67.75pt;height:19.95pt" o:ole="">
            <v:imagedata r:id="rId9492" o:title=""/>
          </v:shape>
          <o:OLEObject Type="Embed" ProgID="Equation.DSMT4" ShapeID="_x0000_i5741" DrawAspect="Content" ObjectID="_1791379685" r:id="rId9493"/>
        </w:object>
      </w:r>
    </w:p>
    <w:p w14:paraId="0F09A1D4" w14:textId="77777777" w:rsidR="00556C10" w:rsidRPr="00B6450D" w:rsidRDefault="00556C10" w:rsidP="00556C10">
      <w:pPr>
        <w:spacing w:line="216" w:lineRule="auto"/>
        <w:rPr>
          <w:i/>
          <w:sz w:val="23"/>
          <w:szCs w:val="23"/>
          <w:rtl/>
        </w:rPr>
      </w:pPr>
      <w:r w:rsidRPr="00B6450D">
        <w:rPr>
          <w:rFonts w:hint="cs"/>
          <w:i/>
          <w:sz w:val="23"/>
          <w:szCs w:val="23"/>
          <w:rtl/>
        </w:rPr>
        <w:lastRenderedPageBreak/>
        <w:t>بنابراین ارزش قرارداد آتی در زمان</w:t>
      </w:r>
      <w:r w:rsidRPr="00B6450D">
        <w:rPr>
          <w:position w:val="-6"/>
        </w:rPr>
        <w:object w:dxaOrig="139" w:dyaOrig="240" w14:anchorId="7E28FDE6">
          <v:shape id="_x0000_i5742" type="#_x0000_t75" style="width:6.65pt;height:11.5pt" o:ole="">
            <v:imagedata r:id="rId9494" o:title=""/>
          </v:shape>
          <o:OLEObject Type="Embed" ProgID="Equation.DSMT4" ShapeID="_x0000_i5742" DrawAspect="Content" ObjectID="_1791379686" r:id="rId9495"/>
        </w:object>
      </w:r>
      <w:r w:rsidRPr="00B6450D">
        <w:rPr>
          <w:rFonts w:hint="cs"/>
          <w:i/>
          <w:sz w:val="23"/>
          <w:szCs w:val="23"/>
          <w:rtl/>
        </w:rPr>
        <w:t xml:space="preserve"> برابر است با</w:t>
      </w:r>
    </w:p>
    <w:p w14:paraId="7F91FA22" w14:textId="77777777" w:rsidR="00556C10" w:rsidRPr="00B6450D" w:rsidRDefault="00556C10" w:rsidP="00556C10">
      <w:pPr>
        <w:bidi w:val="0"/>
        <w:spacing w:line="216" w:lineRule="auto"/>
        <w:rPr>
          <w:i/>
          <w:sz w:val="23"/>
          <w:szCs w:val="23"/>
          <w:rtl/>
        </w:rPr>
      </w:pPr>
      <w:r w:rsidRPr="00B6450D">
        <w:rPr>
          <w:position w:val="-12"/>
        </w:rPr>
        <w:object w:dxaOrig="2380" w:dyaOrig="400" w14:anchorId="05A1609C">
          <v:shape id="_x0000_i5743" type="#_x0000_t75" style="width:119.2pt;height:19.95pt" o:ole="">
            <v:imagedata r:id="rId9496" o:title=""/>
          </v:shape>
          <o:OLEObject Type="Embed" ProgID="Equation.DSMT4" ShapeID="_x0000_i5743" DrawAspect="Content" ObjectID="_1791379687" r:id="rId9497"/>
        </w:object>
      </w:r>
    </w:p>
    <w:p w14:paraId="1E35EC6E" w14:textId="77777777" w:rsidR="00556C10" w:rsidRPr="00B6450D" w:rsidRDefault="00556C10" w:rsidP="00556C10">
      <w:pPr>
        <w:spacing w:line="216" w:lineRule="auto"/>
        <w:rPr>
          <w:i/>
          <w:sz w:val="23"/>
          <w:szCs w:val="23"/>
          <w:rtl/>
        </w:rPr>
      </w:pPr>
      <w:r w:rsidRPr="00B6450D">
        <w:rPr>
          <w:rFonts w:hint="cs"/>
          <w:i/>
          <w:sz w:val="23"/>
          <w:szCs w:val="23"/>
          <w:rtl/>
        </w:rPr>
        <w:t xml:space="preserve">برای هر دوره‌ی </w:t>
      </w:r>
      <w:r w:rsidRPr="00B6450D">
        <w:rPr>
          <w:position w:val="-8"/>
        </w:rPr>
        <w:object w:dxaOrig="1080" w:dyaOrig="279" w14:anchorId="1B04047C">
          <v:shape id="_x0000_i5744" type="#_x0000_t75" style="width:54.45pt;height:13.9pt" o:ole="">
            <v:imagedata r:id="rId9498" o:title=""/>
          </v:shape>
          <o:OLEObject Type="Embed" ProgID="Equation.DSMT4" ShapeID="_x0000_i5744" DrawAspect="Content" ObjectID="_1791379688" r:id="rId9499"/>
        </w:object>
      </w:r>
      <w:r w:rsidRPr="00B6450D">
        <w:rPr>
          <w:rFonts w:hint="cs"/>
          <w:i/>
          <w:sz w:val="23"/>
          <w:szCs w:val="23"/>
          <w:rtl/>
        </w:rPr>
        <w:t>البته</w:t>
      </w:r>
      <w:r w:rsidRPr="00B6450D">
        <w:rPr>
          <w:i/>
          <w:sz w:val="23"/>
          <w:szCs w:val="23"/>
        </w:rPr>
        <w:t xml:space="preserve"> </w:t>
      </w:r>
      <w:r w:rsidRPr="00B6450D">
        <w:rPr>
          <w:rFonts w:hint="cs"/>
          <w:i/>
          <w:sz w:val="23"/>
          <w:szCs w:val="23"/>
          <w:rtl/>
        </w:rPr>
        <w:t>سود</w:t>
      </w:r>
      <w:r w:rsidRPr="00B6450D">
        <w:rPr>
          <w:position w:val="-12"/>
        </w:rPr>
        <w:object w:dxaOrig="460" w:dyaOrig="360" w14:anchorId="042CCB4A">
          <v:shape id="_x0000_i5745" type="#_x0000_t75" style="width:23pt;height:18.15pt" o:ole="">
            <v:imagedata r:id="rId9500" o:title=""/>
          </v:shape>
          <o:OLEObject Type="Embed" ProgID="Equation.DSMT4" ShapeID="_x0000_i5745" DrawAspect="Content" ObjectID="_1791379689" r:id="rId9501"/>
        </w:object>
      </w:r>
      <w:r w:rsidRPr="00B6450D">
        <w:rPr>
          <w:rFonts w:hint="cs"/>
          <w:i/>
          <w:sz w:val="23"/>
          <w:szCs w:val="23"/>
          <w:rtl/>
        </w:rPr>
        <w:t xml:space="preserve"> ممکن است مثبت، منفی و یا صفر باشد.</w:t>
      </w:r>
      <w:r w:rsidRPr="00B6450D">
        <w:rPr>
          <w:i/>
          <w:sz w:val="23"/>
          <w:szCs w:val="23"/>
        </w:rPr>
        <w:t xml:space="preserve"> </w:t>
      </w:r>
      <w:r w:rsidRPr="00B6450D">
        <w:rPr>
          <w:rFonts w:hint="cs"/>
          <w:i/>
          <w:sz w:val="23"/>
          <w:szCs w:val="23"/>
          <w:rtl/>
        </w:rPr>
        <w:t>در</w:t>
      </w:r>
      <w:r w:rsidRPr="00B6450D">
        <w:rPr>
          <w:position w:val="-6"/>
        </w:rPr>
        <w:object w:dxaOrig="859" w:dyaOrig="260" w14:anchorId="457F78E0">
          <v:shape id="_x0000_i5746" type="#_x0000_t75" style="width:42.95pt;height:13.3pt" o:ole="">
            <v:imagedata r:id="rId9502" o:title=""/>
          </v:shape>
          <o:OLEObject Type="Embed" ProgID="Equation.DSMT4" ShapeID="_x0000_i5746" DrawAspect="Content" ObjectID="_1791379690" r:id="rId9503"/>
        </w:object>
      </w:r>
      <w:r w:rsidRPr="00B6450D">
        <w:rPr>
          <w:rFonts w:hint="cs"/>
          <w:i/>
          <w:sz w:val="23"/>
          <w:szCs w:val="23"/>
          <w:rtl/>
        </w:rPr>
        <w:t xml:space="preserve"> دو فرصت سرمایه‌گذاری به صورت زیر است:</w:t>
      </w:r>
    </w:p>
    <w:p w14:paraId="15BBF807" w14:textId="77777777" w:rsidR="00556C10" w:rsidRPr="00B6450D" w:rsidRDefault="00556C10" w:rsidP="00556C10">
      <w:pPr>
        <w:spacing w:line="216" w:lineRule="auto"/>
        <w:rPr>
          <w:i/>
          <w:sz w:val="23"/>
          <w:szCs w:val="23"/>
          <w:rtl/>
        </w:rPr>
      </w:pPr>
      <w:r w:rsidRPr="00B6450D">
        <w:rPr>
          <w:rFonts w:hint="cs"/>
          <w:i/>
          <w:sz w:val="23"/>
          <w:szCs w:val="23"/>
          <w:rtl/>
        </w:rPr>
        <w:t>۱-سرمایه‌گذاری یک واحد از پول داخلی با خرید دارایی بدون ریسک داخلی با بازدهی اسمی</w:t>
      </w:r>
      <w:r w:rsidRPr="00B6450D">
        <w:rPr>
          <w:position w:val="-6"/>
        </w:rPr>
        <w:object w:dxaOrig="139" w:dyaOrig="260" w14:anchorId="464CFC8C">
          <v:shape id="_x0000_i5747" type="#_x0000_t75" style="width:6.65pt;height:13.3pt" o:ole="">
            <v:imagedata r:id="rId9504" o:title=""/>
          </v:shape>
          <o:OLEObject Type="Embed" ProgID="Equation.DSMT4" ShapeID="_x0000_i5747" DrawAspect="Content" ObjectID="_1791379691" r:id="rId9505"/>
        </w:object>
      </w:r>
      <w:r w:rsidRPr="00B6450D">
        <w:rPr>
          <w:rFonts w:hint="cs"/>
          <w:i/>
          <w:sz w:val="23"/>
          <w:szCs w:val="23"/>
          <w:rtl/>
        </w:rPr>
        <w:t>. عایدی بدون ریسک در زمان</w:t>
      </w:r>
      <w:r w:rsidRPr="00025957">
        <w:rPr>
          <w:position w:val="-4"/>
        </w:rPr>
        <w:object w:dxaOrig="240" w:dyaOrig="240" w14:anchorId="1281522A">
          <v:shape id="_x0000_i5748" type="#_x0000_t75" style="width:11.5pt;height:11.5pt" o:ole="">
            <v:imagedata r:id="rId9506" o:title=""/>
          </v:shape>
          <o:OLEObject Type="Embed" ProgID="Equation.DSMT4" ShapeID="_x0000_i5748" DrawAspect="Content" ObjectID="_1791379692" r:id="rId9507"/>
        </w:object>
      </w:r>
      <w:r w:rsidRPr="00B6450D">
        <w:rPr>
          <w:rFonts w:hint="cs"/>
          <w:i/>
          <w:sz w:val="23"/>
          <w:szCs w:val="23"/>
          <w:rtl/>
        </w:rPr>
        <w:t xml:space="preserve"> برابر است با </w:t>
      </w:r>
      <w:r w:rsidRPr="00B6450D">
        <w:rPr>
          <w:position w:val="-6"/>
        </w:rPr>
        <w:object w:dxaOrig="520" w:dyaOrig="320" w14:anchorId="0639DDCB">
          <v:shape id="_x0000_i5749" type="#_x0000_t75" style="width:26pt;height:15.75pt" o:ole="">
            <v:imagedata r:id="rId9508" o:title=""/>
          </v:shape>
          <o:OLEObject Type="Embed" ProgID="Equation.DSMT4" ShapeID="_x0000_i5749" DrawAspect="Content" ObjectID="_1791379693" r:id="rId9509"/>
        </w:object>
      </w:r>
      <w:r w:rsidRPr="00B6450D">
        <w:rPr>
          <w:rFonts w:hint="cs"/>
          <w:i/>
          <w:sz w:val="23"/>
          <w:szCs w:val="23"/>
          <w:rtl/>
        </w:rPr>
        <w:t xml:space="preserve"> که بر حسب پول داخلی است.</w:t>
      </w:r>
    </w:p>
    <w:p w14:paraId="6726E3A1" w14:textId="77777777" w:rsidR="00556C10" w:rsidRPr="00B6450D" w:rsidRDefault="00556C10" w:rsidP="00556C10">
      <w:pPr>
        <w:spacing w:line="216" w:lineRule="auto"/>
        <w:rPr>
          <w:i/>
          <w:sz w:val="23"/>
          <w:szCs w:val="23"/>
          <w:rtl/>
        </w:rPr>
      </w:pPr>
      <w:r w:rsidRPr="00B6450D">
        <w:rPr>
          <w:rFonts w:hint="cs"/>
          <w:i/>
          <w:sz w:val="23"/>
          <w:szCs w:val="23"/>
          <w:rtl/>
        </w:rPr>
        <w:t>۲-سرمایه‌گذاری در دارایی خارجی که بازدهی اسمی آن</w:t>
      </w:r>
      <w:r w:rsidRPr="00B6450D">
        <w:rPr>
          <w:position w:val="-10"/>
        </w:rPr>
        <w:object w:dxaOrig="200" w:dyaOrig="340" w14:anchorId="74FE61A0">
          <v:shape id="_x0000_i5750" type="#_x0000_t75" style="width:10.3pt;height:16.95pt" o:ole="">
            <v:imagedata r:id="rId9510" o:title=""/>
          </v:shape>
          <o:OLEObject Type="Embed" ProgID="Equation.DSMT4" ShapeID="_x0000_i5750" DrawAspect="Content" ObjectID="_1791379694" r:id="rId9511"/>
        </w:object>
      </w:r>
      <w:r w:rsidRPr="00B6450D">
        <w:rPr>
          <w:rFonts w:hint="cs"/>
          <w:i/>
          <w:sz w:val="23"/>
          <w:szCs w:val="23"/>
          <w:rtl/>
        </w:rPr>
        <w:t xml:space="preserve"> بر حسب پول خارجی بدون ریسک ولی بر حسب پول داخلی ریسکی است.</w:t>
      </w:r>
    </w:p>
    <w:p w14:paraId="59F79571" w14:textId="77777777" w:rsidR="00556C10" w:rsidRPr="00B6450D" w:rsidRDefault="00556C10" w:rsidP="00556C10">
      <w:pPr>
        <w:spacing w:line="216" w:lineRule="auto"/>
        <w:rPr>
          <w:i/>
          <w:sz w:val="23"/>
          <w:szCs w:val="23"/>
          <w:rtl/>
        </w:rPr>
      </w:pPr>
      <w:r w:rsidRPr="00B6450D">
        <w:rPr>
          <w:rFonts w:hint="cs"/>
          <w:i/>
          <w:sz w:val="23"/>
          <w:szCs w:val="23"/>
          <w:rtl/>
        </w:rPr>
        <w:t>خرید دارایی خارجی را فقط با پول خارجی می‌توان انجام داد و بنابراین، برای خرید دارایی خارجی، سرمایه‌گذار ابتدا باید پول خارجی را با پول داخلی تبدیل کند. اگر نرخ ارز نقدی یا قیمت یک واحد از پول خارجی بر مبنای پول داخلی برابر با</w:t>
      </w:r>
      <w:r w:rsidRPr="00B6450D">
        <w:rPr>
          <w:position w:val="-10"/>
        </w:rPr>
        <w:object w:dxaOrig="260" w:dyaOrig="320" w14:anchorId="5DF42FC2">
          <v:shape id="_x0000_i5751" type="#_x0000_t75" style="width:13.3pt;height:15.75pt" o:ole="">
            <v:imagedata r:id="rId9512" o:title=""/>
          </v:shape>
          <o:OLEObject Type="Embed" ProgID="Equation.DSMT4" ShapeID="_x0000_i5751" DrawAspect="Content" ObjectID="_1791379695" r:id="rId9513"/>
        </w:object>
      </w:r>
      <w:r w:rsidRPr="00B6450D">
        <w:rPr>
          <w:rFonts w:hint="cs"/>
          <w:i/>
          <w:sz w:val="23"/>
          <w:szCs w:val="23"/>
          <w:rtl/>
        </w:rPr>
        <w:t xml:space="preserve"> باشد، آنگاه سرمایه‌گذار</w:t>
      </w:r>
      <w:r w:rsidRPr="00B6450D">
        <w:rPr>
          <w:position w:val="-10"/>
        </w:rPr>
        <w:object w:dxaOrig="480" w:dyaOrig="320" w14:anchorId="7BD91065">
          <v:shape id="_x0000_i5752" type="#_x0000_t75" style="width:24.2pt;height:15.75pt" o:ole="">
            <v:imagedata r:id="rId9514" o:title=""/>
          </v:shape>
          <o:OLEObject Type="Embed" ProgID="Equation.DSMT4" ShapeID="_x0000_i5752" DrawAspect="Content" ObjectID="_1791379696" r:id="rId9515"/>
        </w:object>
      </w:r>
      <w:r w:rsidRPr="00B6450D">
        <w:rPr>
          <w:rFonts w:hint="cs"/>
          <w:i/>
          <w:sz w:val="23"/>
          <w:szCs w:val="23"/>
          <w:rtl/>
        </w:rPr>
        <w:t xml:space="preserve"> واحد از پول خارجی را بدست خواهد آورد. بنابراین عایدی کل پول خارجی برابر است با</w:t>
      </w:r>
      <w:r w:rsidRPr="00B6450D">
        <w:rPr>
          <w:position w:val="-12"/>
        </w:rPr>
        <w:object w:dxaOrig="1200" w:dyaOrig="400" w14:anchorId="5156FA9C">
          <v:shape id="_x0000_i5753" type="#_x0000_t75" style="width:59.9pt;height:19.95pt" o:ole="">
            <v:imagedata r:id="rId9516" o:title=""/>
          </v:shape>
          <o:OLEObject Type="Embed" ProgID="Equation.DSMT4" ShapeID="_x0000_i5753" DrawAspect="Content" ObjectID="_1791379697" r:id="rId9517"/>
        </w:object>
      </w:r>
      <w:r w:rsidRPr="00B6450D">
        <w:rPr>
          <w:rFonts w:hint="cs"/>
          <w:i/>
          <w:sz w:val="23"/>
          <w:szCs w:val="23"/>
          <w:rtl/>
        </w:rPr>
        <w:t>. برای بدست آوردن عایدی بر حسب پول داخلی لازم است تا آن را با نرخ ارز نقدی در زمان</w:t>
      </w:r>
      <w:r w:rsidRPr="00025957">
        <w:rPr>
          <w:position w:val="-4"/>
        </w:rPr>
        <w:object w:dxaOrig="240" w:dyaOrig="240" w14:anchorId="10D91FB2">
          <v:shape id="_x0000_i5754" type="#_x0000_t75" style="width:11.5pt;height:11.5pt" o:ole="">
            <v:imagedata r:id="rId9518" o:title=""/>
          </v:shape>
          <o:OLEObject Type="Embed" ProgID="Equation.DSMT4" ShapeID="_x0000_i5754" DrawAspect="Content" ObjectID="_1791379698" r:id="rId9519"/>
        </w:object>
      </w:r>
      <w:r w:rsidRPr="00B6450D">
        <w:rPr>
          <w:i/>
          <w:sz w:val="23"/>
          <w:szCs w:val="23"/>
        </w:rPr>
        <w:t xml:space="preserve"> </w:t>
      </w:r>
      <w:r w:rsidRPr="00B6450D">
        <w:rPr>
          <w:rFonts w:hint="cs"/>
          <w:i/>
          <w:sz w:val="23"/>
          <w:szCs w:val="23"/>
          <w:rtl/>
        </w:rPr>
        <w:t>تبدیل کرد. در این صورت عایدی به قیمت داخلی برابر خواهد بود با</w:t>
      </w:r>
      <w:r w:rsidRPr="00B6450D">
        <w:rPr>
          <w:position w:val="-12"/>
        </w:rPr>
        <w:object w:dxaOrig="1380" w:dyaOrig="400" w14:anchorId="74A1AE27">
          <v:shape id="_x0000_i5755" type="#_x0000_t75" style="width:68.95pt;height:19.95pt" o:ole="">
            <v:imagedata r:id="rId9520" o:title=""/>
          </v:shape>
          <o:OLEObject Type="Embed" ProgID="Equation.DSMT4" ShapeID="_x0000_i5755" DrawAspect="Content" ObjectID="_1791379699" r:id="rId9521"/>
        </w:object>
      </w:r>
      <w:r w:rsidRPr="00B6450D">
        <w:rPr>
          <w:rFonts w:hint="cs"/>
          <w:i/>
          <w:sz w:val="23"/>
          <w:szCs w:val="23"/>
          <w:rtl/>
        </w:rPr>
        <w:t>.</w:t>
      </w:r>
    </w:p>
    <w:p w14:paraId="0A2CF6DB" w14:textId="77777777" w:rsidR="00556C10" w:rsidRPr="00B6450D" w:rsidRDefault="00556C10" w:rsidP="00556C10">
      <w:pPr>
        <w:spacing w:line="216" w:lineRule="auto"/>
        <w:rPr>
          <w:i/>
          <w:sz w:val="23"/>
          <w:szCs w:val="23"/>
          <w:rtl/>
        </w:rPr>
      </w:pPr>
      <w:r w:rsidRPr="00B6450D">
        <w:rPr>
          <w:rFonts w:hint="cs"/>
          <w:i/>
          <w:sz w:val="23"/>
          <w:szCs w:val="23"/>
          <w:rtl/>
        </w:rPr>
        <w:t>شرط برابری بهره‌ی بدون پوشش شرط عدم وجود آربیتراژ است که از برابری سودهای انتظاری بر حسب پول داخلی دو سرمایه‌گذاری بدست می‌آید. بنابراین</w:t>
      </w:r>
    </w:p>
    <w:p w14:paraId="7A06EB20" w14:textId="77777777" w:rsidR="00556C10" w:rsidRPr="00B6450D" w:rsidRDefault="00556C10" w:rsidP="00556C10">
      <w:pPr>
        <w:bidi w:val="0"/>
        <w:spacing w:line="216" w:lineRule="auto"/>
        <w:rPr>
          <w:i/>
          <w:sz w:val="23"/>
          <w:szCs w:val="23"/>
        </w:rPr>
      </w:pPr>
      <w:r w:rsidRPr="00B6450D">
        <w:rPr>
          <w:position w:val="-30"/>
        </w:rPr>
        <w:object w:dxaOrig="2060" w:dyaOrig="700" w14:anchorId="79A2FABC">
          <v:shape id="_x0000_i5756" type="#_x0000_t75" style="width:102.85pt;height:35.1pt" o:ole="">
            <v:imagedata r:id="rId9522" o:title=""/>
          </v:shape>
          <o:OLEObject Type="Embed" ProgID="Equation.DSMT4" ShapeID="_x0000_i5756" DrawAspect="Content" ObjectID="_1791379700" r:id="rId9523"/>
        </w:object>
      </w:r>
    </w:p>
    <w:p w14:paraId="767713F9" w14:textId="77777777" w:rsidR="00556C10" w:rsidRPr="00B6450D" w:rsidRDefault="00556C10" w:rsidP="00556C10">
      <w:pPr>
        <w:spacing w:line="216" w:lineRule="auto"/>
        <w:rPr>
          <w:i/>
          <w:sz w:val="23"/>
          <w:szCs w:val="23"/>
          <w:rtl/>
        </w:rPr>
      </w:pPr>
      <w:r w:rsidRPr="00B6450D">
        <w:rPr>
          <w:rFonts w:hint="cs"/>
          <w:i/>
          <w:sz w:val="23"/>
          <w:szCs w:val="23"/>
          <w:rtl/>
        </w:rPr>
        <w:t>و یا</w:t>
      </w:r>
    </w:p>
    <w:p w14:paraId="51462048" w14:textId="77777777" w:rsidR="00556C10" w:rsidRPr="00B6450D" w:rsidRDefault="00556C10" w:rsidP="00556C10">
      <w:pPr>
        <w:bidi w:val="0"/>
        <w:spacing w:line="216" w:lineRule="auto"/>
        <w:rPr>
          <w:i/>
          <w:sz w:val="23"/>
          <w:szCs w:val="23"/>
          <w:rtl/>
        </w:rPr>
      </w:pPr>
      <w:r w:rsidRPr="00B6450D">
        <w:rPr>
          <w:position w:val="-10"/>
        </w:rPr>
        <w:object w:dxaOrig="1760" w:dyaOrig="420" w14:anchorId="7C7A0623">
          <v:shape id="_x0000_i5757" type="#_x0000_t75" style="width:87.75pt;height:21.2pt" o:ole="">
            <v:imagedata r:id="rId9524" o:title=""/>
          </v:shape>
          <o:OLEObject Type="Embed" ProgID="Equation.DSMT4" ShapeID="_x0000_i5757" DrawAspect="Content" ObjectID="_1791379701" r:id="rId9525"/>
        </w:objec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t xml:space="preserve"> </w:t>
      </w:r>
      <w:r w:rsidRPr="00B6450D">
        <w:rPr>
          <w:i/>
          <w:sz w:val="23"/>
          <w:szCs w:val="23"/>
          <w:rtl/>
        </w:rPr>
        <w:tab/>
      </w:r>
      <w:r w:rsidRPr="00B6450D">
        <w:rPr>
          <w:rFonts w:hint="cs"/>
          <w:i/>
          <w:sz w:val="23"/>
          <w:szCs w:val="23"/>
          <w:rtl/>
        </w:rPr>
        <w:t>(۱۲. ۶۱)</w:t>
      </w:r>
    </w:p>
    <w:p w14:paraId="0A51487F" w14:textId="77777777" w:rsidR="00556C10" w:rsidRPr="00B6450D" w:rsidRDefault="00556C10" w:rsidP="00556C10">
      <w:pPr>
        <w:spacing w:line="216" w:lineRule="auto"/>
        <w:rPr>
          <w:i/>
          <w:sz w:val="23"/>
          <w:szCs w:val="23"/>
          <w:rtl/>
        </w:rPr>
      </w:pPr>
      <w:r w:rsidRPr="00B6450D">
        <w:rPr>
          <w:rFonts w:hint="cs"/>
          <w:i/>
          <w:sz w:val="23"/>
          <w:szCs w:val="23"/>
          <w:rtl/>
        </w:rPr>
        <w:t>بنابراین نرخ ارز لحظه</w:t>
      </w:r>
      <w:r w:rsidRPr="00B6450D">
        <w:rPr>
          <w:i/>
          <w:sz w:val="23"/>
          <w:szCs w:val="23"/>
          <w:rtl/>
        </w:rPr>
        <w:softHyphen/>
      </w:r>
      <w:r w:rsidRPr="00B6450D">
        <w:rPr>
          <w:rFonts w:hint="cs"/>
          <w:i/>
          <w:sz w:val="23"/>
          <w:szCs w:val="23"/>
          <w:rtl/>
        </w:rPr>
        <w:t>ای در زمان</w:t>
      </w:r>
      <w:r w:rsidRPr="00B6450D">
        <w:rPr>
          <w:position w:val="-6"/>
        </w:rPr>
        <w:object w:dxaOrig="139" w:dyaOrig="240" w14:anchorId="704A790E">
          <v:shape id="_x0000_i5758" type="#_x0000_t75" style="width:6.65pt;height:11.5pt" o:ole="">
            <v:imagedata r:id="rId9526" o:title=""/>
          </v:shape>
          <o:OLEObject Type="Embed" ProgID="Equation.DSMT4" ShapeID="_x0000_i5758" DrawAspect="Content" ObjectID="_1791379702" r:id="rId9527"/>
        </w:object>
      </w:r>
      <w:r w:rsidRPr="00B6450D">
        <w:rPr>
          <w:i/>
          <w:sz w:val="23"/>
          <w:szCs w:val="23"/>
        </w:rPr>
        <w:t xml:space="preserve"> </w:t>
      </w:r>
      <w:r w:rsidRPr="00B6450D">
        <w:rPr>
          <w:rFonts w:hint="cs"/>
          <w:i/>
          <w:sz w:val="23"/>
          <w:szCs w:val="23"/>
          <w:rtl/>
        </w:rPr>
        <w:t>بوسیله‌ی نرخ لحظه</w:t>
      </w:r>
      <w:r w:rsidRPr="00B6450D">
        <w:rPr>
          <w:i/>
          <w:sz w:val="23"/>
          <w:szCs w:val="23"/>
          <w:rtl/>
        </w:rPr>
        <w:softHyphen/>
      </w:r>
      <w:r w:rsidRPr="00B6450D">
        <w:rPr>
          <w:rFonts w:hint="cs"/>
          <w:i/>
          <w:sz w:val="23"/>
          <w:szCs w:val="23"/>
          <w:rtl/>
        </w:rPr>
        <w:t>ای آتی انتظاری تنزیل شده‌ی</w:t>
      </w:r>
      <w:r w:rsidRPr="00B6450D">
        <w:rPr>
          <w:position w:val="-10"/>
        </w:rPr>
        <w:object w:dxaOrig="300" w:dyaOrig="320" w14:anchorId="7412F02A">
          <v:shape id="_x0000_i5759" type="#_x0000_t75" style="width:14.5pt;height:15.75pt" o:ole="">
            <v:imagedata r:id="rId9528" o:title=""/>
          </v:shape>
          <o:OLEObject Type="Embed" ProgID="Equation.DSMT4" ShapeID="_x0000_i5759" DrawAspect="Content" ObjectID="_1791379703" r:id="rId9529"/>
        </w:object>
      </w:r>
      <w:r w:rsidRPr="00B6450D">
        <w:rPr>
          <w:rFonts w:hint="cs"/>
          <w:i/>
          <w:sz w:val="23"/>
          <w:szCs w:val="23"/>
          <w:rtl/>
        </w:rPr>
        <w:t xml:space="preserve"> تعیین می‌شود که در آن نرخ تنزیل برابر است با </w:t>
      </w:r>
      <w:r w:rsidRPr="00B6450D">
        <w:rPr>
          <w:position w:val="-6"/>
        </w:rPr>
        <w:object w:dxaOrig="460" w:dyaOrig="300" w14:anchorId="1594729F">
          <v:shape id="_x0000_i5760" type="#_x0000_t75" style="width:23pt;height:14.5pt" o:ole="">
            <v:imagedata r:id="rId9530" o:title=""/>
          </v:shape>
          <o:OLEObject Type="Embed" ProgID="Equation.DSMT4" ShapeID="_x0000_i5760" DrawAspect="Content" ObjectID="_1791379704" r:id="rId9531"/>
        </w:object>
      </w:r>
      <w:r w:rsidRPr="00B6450D">
        <w:rPr>
          <w:rFonts w:hint="cs"/>
          <w:i/>
          <w:sz w:val="23"/>
          <w:szCs w:val="23"/>
          <w:rtl/>
        </w:rPr>
        <w:t xml:space="preserve">. با استفاده از لگاریتم معادله‌ی (۱۲. ۶۱) و همچنین </w:t>
      </w:r>
      <w:r w:rsidRPr="00B6450D">
        <w:rPr>
          <w:position w:val="-6"/>
        </w:rPr>
        <w:object w:dxaOrig="820" w:dyaOrig="260" w14:anchorId="7AFDFEDF">
          <v:shape id="_x0000_i5761" type="#_x0000_t75" style="width:40.55pt;height:13.3pt" o:ole="">
            <v:imagedata r:id="rId9532" o:title=""/>
          </v:shape>
          <o:OLEObject Type="Embed" ProgID="Equation.DSMT4" ShapeID="_x0000_i5761" DrawAspect="Content" ObjectID="_1791379705" r:id="rId9533"/>
        </w:object>
      </w:r>
      <w:r w:rsidRPr="00B6450D">
        <w:rPr>
          <w:i/>
          <w:sz w:val="23"/>
          <w:szCs w:val="23"/>
        </w:rPr>
        <w:t xml:space="preserve"> </w:t>
      </w:r>
      <w:r w:rsidRPr="00B6450D">
        <w:rPr>
          <w:rFonts w:hint="cs"/>
          <w:i/>
          <w:sz w:val="23"/>
          <w:szCs w:val="23"/>
          <w:rtl/>
        </w:rPr>
        <w:t>یک بار دیگر معادله‌ی (۱۲. ۶۰) بدست خواهد آمد.</w:t>
      </w:r>
    </w:p>
    <w:p w14:paraId="6B56D78C" w14:textId="77777777" w:rsidR="00556C10" w:rsidRPr="00B6450D" w:rsidRDefault="00556C10" w:rsidP="00556C10">
      <w:pPr>
        <w:spacing w:line="216" w:lineRule="auto"/>
        <w:rPr>
          <w:i/>
          <w:sz w:val="23"/>
          <w:szCs w:val="23"/>
          <w:rtl/>
        </w:rPr>
      </w:pPr>
      <w:r w:rsidRPr="00B6450D">
        <w:rPr>
          <w:rFonts w:hint="cs"/>
          <w:i/>
          <w:sz w:val="23"/>
          <w:szCs w:val="23"/>
          <w:rtl/>
        </w:rPr>
        <w:t>از آنجا که</w:t>
      </w:r>
      <w:r w:rsidRPr="00B6450D">
        <w:rPr>
          <w:i/>
          <w:sz w:val="23"/>
          <w:szCs w:val="23"/>
        </w:rPr>
        <w:t xml:space="preserve"> </w:t>
      </w:r>
      <w:r w:rsidRPr="00B6450D">
        <w:rPr>
          <w:position w:val="-10"/>
        </w:rPr>
        <w:object w:dxaOrig="300" w:dyaOrig="320" w14:anchorId="7D27AB4B">
          <v:shape id="_x0000_i5762" type="#_x0000_t75" style="width:14.5pt;height:15.75pt" o:ole="">
            <v:imagedata r:id="rId9534" o:title=""/>
          </v:shape>
          <o:OLEObject Type="Embed" ProgID="Equation.DSMT4" ShapeID="_x0000_i5762" DrawAspect="Content" ObjectID="_1791379706" r:id="rId9535"/>
        </w:object>
      </w:r>
      <w:r w:rsidRPr="00B6450D">
        <w:rPr>
          <w:rFonts w:hint="cs"/>
          <w:i/>
          <w:sz w:val="23"/>
          <w:szCs w:val="23"/>
          <w:rtl/>
        </w:rPr>
        <w:t xml:space="preserve"> در زمان</w:t>
      </w:r>
      <w:r w:rsidRPr="00B6450D">
        <w:rPr>
          <w:position w:val="-6"/>
        </w:rPr>
        <w:object w:dxaOrig="139" w:dyaOrig="240" w14:anchorId="75E346DE">
          <v:shape id="_x0000_i5763" type="#_x0000_t75" style="width:6.65pt;height:11.5pt" o:ole="">
            <v:imagedata r:id="rId9536" o:title=""/>
          </v:shape>
          <o:OLEObject Type="Embed" ProgID="Equation.DSMT4" ShapeID="_x0000_i5763" DrawAspect="Content" ObjectID="_1791379707" r:id="rId9537"/>
        </w:object>
      </w:r>
      <w:r w:rsidRPr="00B6450D">
        <w:rPr>
          <w:rFonts w:hint="cs"/>
          <w:i/>
          <w:sz w:val="23"/>
          <w:szCs w:val="23"/>
          <w:rtl/>
        </w:rPr>
        <w:t xml:space="preserve"> ناشناخته است، سرمایه‌گذاری خارجی فوق، ریسکی بوده اگرچه عایدی بر حسب پول خارجی ریسکی نیست. یک راه دیگر تبدیل درآمد سرمایه‌گذاری خارجی با استفاده از نرخ ارز لحظه</w:t>
      </w:r>
      <w:r w:rsidRPr="00B6450D">
        <w:rPr>
          <w:i/>
          <w:sz w:val="23"/>
          <w:szCs w:val="23"/>
          <w:rtl/>
        </w:rPr>
        <w:softHyphen/>
      </w:r>
      <w:r w:rsidRPr="00B6450D">
        <w:rPr>
          <w:rFonts w:hint="cs"/>
          <w:i/>
          <w:sz w:val="23"/>
          <w:szCs w:val="23"/>
          <w:rtl/>
        </w:rPr>
        <w:t>ای در زمان</w:t>
      </w:r>
      <w:r w:rsidRPr="00025957">
        <w:rPr>
          <w:position w:val="-4"/>
        </w:rPr>
        <w:object w:dxaOrig="240" w:dyaOrig="240" w14:anchorId="2B229EC6">
          <v:shape id="_x0000_i5764" type="#_x0000_t75" style="width:11.5pt;height:11.5pt" o:ole="">
            <v:imagedata r:id="rId9538" o:title=""/>
          </v:shape>
          <o:OLEObject Type="Embed" ProgID="Equation.DSMT4" ShapeID="_x0000_i5764" DrawAspect="Content" ObjectID="_1791379708" r:id="rId9539"/>
        </w:object>
      </w:r>
      <w:r w:rsidRPr="00B6450D">
        <w:rPr>
          <w:rFonts w:hint="cs"/>
          <w:i/>
          <w:sz w:val="23"/>
          <w:szCs w:val="23"/>
          <w:rtl/>
        </w:rPr>
        <w:t xml:space="preserve"> خرید یک قرارداد آتی در زمان</w:t>
      </w:r>
      <w:r w:rsidRPr="00B6450D">
        <w:rPr>
          <w:position w:val="-6"/>
        </w:rPr>
        <w:object w:dxaOrig="139" w:dyaOrig="240" w14:anchorId="6A31C999">
          <v:shape id="_x0000_i5765" type="#_x0000_t75" style="width:6.65pt;height:11.5pt" o:ole="">
            <v:imagedata r:id="rId9540" o:title=""/>
          </v:shape>
          <o:OLEObject Type="Embed" ProgID="Equation.DSMT4" ShapeID="_x0000_i5765" DrawAspect="Content" ObjectID="_1791379709" r:id="rId9541"/>
        </w:object>
      </w:r>
      <w:r w:rsidRPr="00B6450D">
        <w:rPr>
          <w:rFonts w:hint="cs"/>
          <w:i/>
          <w:sz w:val="23"/>
          <w:szCs w:val="23"/>
          <w:rtl/>
        </w:rPr>
        <w:t xml:space="preserve"> است. این روش وقوع تبدیل نرخ ارز به پول داخلی را تضمین می‌کند.</w:t>
      </w:r>
    </w:p>
    <w:p w14:paraId="7D980486" w14:textId="77777777" w:rsidR="00556C10" w:rsidRPr="00B6450D" w:rsidRDefault="00556C10" w:rsidP="00556C10">
      <w:pPr>
        <w:spacing w:line="216" w:lineRule="auto"/>
        <w:rPr>
          <w:i/>
          <w:sz w:val="23"/>
          <w:szCs w:val="23"/>
          <w:rtl/>
        </w:rPr>
      </w:pPr>
      <w:r w:rsidRPr="00B6450D">
        <w:rPr>
          <w:rFonts w:hint="cs"/>
          <w:i/>
          <w:sz w:val="23"/>
          <w:szCs w:val="23"/>
          <w:rtl/>
        </w:rPr>
        <w:t>فرض کنید</w:t>
      </w:r>
      <w:r w:rsidRPr="00B6450D">
        <w:rPr>
          <w:position w:val="-12"/>
        </w:rPr>
        <w:object w:dxaOrig="400" w:dyaOrig="340" w14:anchorId="130FF137">
          <v:shape id="_x0000_i5766" type="#_x0000_t75" style="width:19.95pt;height:16.95pt" o:ole="">
            <v:imagedata r:id="rId9542" o:title=""/>
          </v:shape>
          <o:OLEObject Type="Embed" ProgID="Equation.DSMT4" ShapeID="_x0000_i5766" DrawAspect="Content" ObjectID="_1791379710" r:id="rId9543"/>
        </w:object>
      </w:r>
      <w:r w:rsidRPr="00B6450D">
        <w:rPr>
          <w:rFonts w:hint="cs"/>
          <w:i/>
          <w:sz w:val="23"/>
          <w:szCs w:val="23"/>
          <w:rtl/>
        </w:rPr>
        <w:t xml:space="preserve"> مبین نرخ ارز آتی در زمان</w:t>
      </w:r>
      <w:r w:rsidRPr="00B6450D">
        <w:rPr>
          <w:position w:val="-6"/>
        </w:rPr>
        <w:object w:dxaOrig="139" w:dyaOrig="240" w14:anchorId="65A57D68">
          <v:shape id="_x0000_i5767" type="#_x0000_t75" style="width:6.65pt;height:11.5pt" o:ole="">
            <v:imagedata r:id="rId9544" o:title=""/>
          </v:shape>
          <o:OLEObject Type="Embed" ProgID="Equation.DSMT4" ShapeID="_x0000_i5767" DrawAspect="Content" ObjectID="_1791379711" r:id="rId9545"/>
        </w:object>
      </w:r>
      <w:r w:rsidRPr="00B6450D">
        <w:rPr>
          <w:rFonts w:hint="cs"/>
          <w:i/>
          <w:sz w:val="23"/>
          <w:szCs w:val="23"/>
          <w:rtl/>
        </w:rPr>
        <w:t xml:space="preserve"> و برای تحویل در زمان</w:t>
      </w:r>
      <w:r w:rsidRPr="00B6450D">
        <w:rPr>
          <w:position w:val="-6"/>
        </w:rPr>
        <w:object w:dxaOrig="520" w:dyaOrig="260" w14:anchorId="18C8E1FD">
          <v:shape id="_x0000_i5768" type="#_x0000_t75" style="width:26pt;height:13.3pt" o:ole="">
            <v:imagedata r:id="rId9546" o:title=""/>
          </v:shape>
          <o:OLEObject Type="Embed" ProgID="Equation.DSMT4" ShapeID="_x0000_i5768" DrawAspect="Content" ObjectID="_1791379712" r:id="rId9547"/>
        </w:object>
      </w:r>
      <w:r w:rsidRPr="00B6450D">
        <w:rPr>
          <w:rFonts w:hint="cs"/>
          <w:i/>
          <w:sz w:val="23"/>
          <w:szCs w:val="23"/>
          <w:rtl/>
        </w:rPr>
        <w:t xml:space="preserve"> است. عایدی پول داخلی از سرمایه‌گذاری خارجی برابر است با </w:t>
      </w:r>
      <w:r w:rsidRPr="00B6450D">
        <w:rPr>
          <w:position w:val="-14"/>
        </w:rPr>
        <w:object w:dxaOrig="1460" w:dyaOrig="420" w14:anchorId="6D926D44">
          <v:shape id="_x0000_i5769" type="#_x0000_t75" style="width:73.2pt;height:21.2pt" o:ole="">
            <v:imagedata r:id="rId9548" o:title=""/>
          </v:shape>
          <o:OLEObject Type="Embed" ProgID="Equation.DSMT4" ShapeID="_x0000_i5769" DrawAspect="Content" ObjectID="_1791379713" r:id="rId9549"/>
        </w:object>
      </w:r>
      <w:r w:rsidRPr="00B6450D">
        <w:rPr>
          <w:i/>
          <w:sz w:val="23"/>
          <w:szCs w:val="23"/>
        </w:rPr>
        <w:t>.</w:t>
      </w:r>
      <w:r w:rsidRPr="00B6450D">
        <w:rPr>
          <w:rFonts w:hint="cs"/>
          <w:i/>
          <w:sz w:val="23"/>
          <w:szCs w:val="23"/>
          <w:rtl/>
        </w:rPr>
        <w:t xml:space="preserve"> از آن جا که</w:t>
      </w:r>
      <w:r w:rsidRPr="00B6450D">
        <w:rPr>
          <w:position w:val="-12"/>
        </w:rPr>
        <w:object w:dxaOrig="400" w:dyaOrig="340" w14:anchorId="2576B90C">
          <v:shape id="_x0000_i5770" type="#_x0000_t75" style="width:19.95pt;height:16.95pt" o:ole="">
            <v:imagedata r:id="rId9550" o:title=""/>
          </v:shape>
          <o:OLEObject Type="Embed" ProgID="Equation.DSMT4" ShapeID="_x0000_i5770" DrawAspect="Content" ObjectID="_1791379714" r:id="rId9551"/>
        </w:object>
      </w:r>
      <w:r w:rsidRPr="00B6450D">
        <w:rPr>
          <w:rFonts w:hint="cs"/>
          <w:i/>
          <w:sz w:val="23"/>
          <w:szCs w:val="23"/>
          <w:rtl/>
        </w:rPr>
        <w:t xml:space="preserve"> در زمان</w:t>
      </w:r>
      <w:r w:rsidRPr="00B6450D">
        <w:rPr>
          <w:position w:val="-6"/>
        </w:rPr>
        <w:object w:dxaOrig="139" w:dyaOrig="240" w14:anchorId="56A5D833">
          <v:shape id="_x0000_i5771" type="#_x0000_t75" style="width:6.65pt;height:11.5pt" o:ole="">
            <v:imagedata r:id="rId9552" o:title=""/>
          </v:shape>
          <o:OLEObject Type="Embed" ProgID="Equation.DSMT4" ShapeID="_x0000_i5771" DrawAspect="Content" ObjectID="_1791379715" r:id="rId9553"/>
        </w:object>
      </w:r>
      <w:r w:rsidRPr="00B6450D">
        <w:rPr>
          <w:i/>
          <w:sz w:val="23"/>
          <w:szCs w:val="23"/>
        </w:rPr>
        <w:t xml:space="preserve"> </w:t>
      </w:r>
      <w:r w:rsidRPr="00B6450D">
        <w:rPr>
          <w:rFonts w:hint="cs"/>
          <w:i/>
          <w:sz w:val="23"/>
          <w:szCs w:val="23"/>
          <w:rtl/>
        </w:rPr>
        <w:t>شناخته شده است این یک عایدی سرمایه است. اکنون شرط عدم وجود آربیتراژ از برابری عواید سرمایه‌گذاری در دارایی داخلی و دارایی خارجی و تبدیل با استفاده از نرخ آتی بدست می‌آید. بنابراین</w:t>
      </w:r>
    </w:p>
    <w:p w14:paraId="4BF293D2" w14:textId="77777777" w:rsidR="00556C10" w:rsidRPr="00B6450D" w:rsidRDefault="00556C10" w:rsidP="00556C10">
      <w:pPr>
        <w:bidi w:val="0"/>
        <w:spacing w:line="216" w:lineRule="auto"/>
        <w:rPr>
          <w:i/>
          <w:sz w:val="23"/>
          <w:szCs w:val="23"/>
        </w:rPr>
      </w:pPr>
      <w:r w:rsidRPr="00B6450D">
        <w:rPr>
          <w:position w:val="-28"/>
        </w:rPr>
        <w:object w:dxaOrig="1680" w:dyaOrig="660" w14:anchorId="33640A60">
          <v:shape id="_x0000_i5772" type="#_x0000_t75" style="width:84.1pt;height:32.65pt" o:ole="">
            <v:imagedata r:id="rId9554" o:title=""/>
          </v:shape>
          <o:OLEObject Type="Embed" ProgID="Equation.DSMT4" ShapeID="_x0000_i5772" DrawAspect="Content" ObjectID="_1791379716" r:id="rId9555"/>
        </w:object>
      </w:r>
    </w:p>
    <w:p w14:paraId="341DC4F8" w14:textId="77777777" w:rsidR="00556C10" w:rsidRPr="00B6450D" w:rsidRDefault="00556C10" w:rsidP="00556C10">
      <w:pPr>
        <w:spacing w:line="216" w:lineRule="auto"/>
        <w:rPr>
          <w:i/>
          <w:sz w:val="23"/>
          <w:szCs w:val="23"/>
          <w:rtl/>
        </w:rPr>
      </w:pPr>
      <w:r w:rsidRPr="00B6450D">
        <w:rPr>
          <w:rFonts w:hint="cs"/>
          <w:i/>
          <w:sz w:val="23"/>
          <w:szCs w:val="23"/>
          <w:rtl/>
        </w:rPr>
        <w:t>با نرخ ارز آتی</w:t>
      </w:r>
    </w:p>
    <w:p w14:paraId="751A2439" w14:textId="77777777" w:rsidR="00556C10" w:rsidRPr="00B6450D" w:rsidRDefault="00556C10" w:rsidP="00556C10">
      <w:pPr>
        <w:bidi w:val="0"/>
        <w:spacing w:line="216" w:lineRule="auto"/>
        <w:rPr>
          <w:i/>
          <w:sz w:val="23"/>
          <w:szCs w:val="23"/>
          <w:rtl/>
        </w:rPr>
      </w:pPr>
      <w:r w:rsidRPr="00B6450D">
        <w:rPr>
          <w:position w:val="-12"/>
        </w:rPr>
        <w:object w:dxaOrig="1560" w:dyaOrig="440" w14:anchorId="1FEEC34B">
          <v:shape id="_x0000_i5773" type="#_x0000_t75" style="width:78.65pt;height:21.8pt" o:ole="">
            <v:imagedata r:id="rId9556" o:title=""/>
          </v:shape>
          <o:OLEObject Type="Embed" ProgID="Equation.DSMT4" ShapeID="_x0000_i5773" DrawAspect="Content" ObjectID="_1791379717" r:id="rId9557"/>
        </w:objec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t xml:space="preserve"> </w:t>
      </w:r>
      <w:r w:rsidRPr="00B6450D">
        <w:rPr>
          <w:i/>
          <w:sz w:val="23"/>
          <w:szCs w:val="23"/>
          <w:rtl/>
        </w:rPr>
        <w:tab/>
      </w:r>
      <w:r w:rsidRPr="00B6450D">
        <w:rPr>
          <w:rFonts w:hint="cs"/>
          <w:i/>
          <w:sz w:val="23"/>
          <w:szCs w:val="23"/>
          <w:rtl/>
        </w:rPr>
        <w:t>(۱۲. ۶۲)</w:t>
      </w:r>
    </w:p>
    <w:p w14:paraId="06EC9F83" w14:textId="77777777" w:rsidR="00556C10" w:rsidRPr="00B6450D" w:rsidRDefault="00556C10" w:rsidP="00556C10">
      <w:pPr>
        <w:spacing w:line="216" w:lineRule="auto"/>
        <w:rPr>
          <w:i/>
          <w:sz w:val="23"/>
          <w:szCs w:val="23"/>
          <w:rtl/>
        </w:rPr>
      </w:pPr>
      <w:r w:rsidRPr="00B6450D">
        <w:rPr>
          <w:rFonts w:hint="cs"/>
          <w:i/>
          <w:sz w:val="23"/>
          <w:szCs w:val="23"/>
          <w:rtl/>
        </w:rPr>
        <w:t>معادله‌ی (۱۲. ۶۲) را شرط برابری بهره‌ی باپوشش نامند.</w:t>
      </w:r>
      <w:r w:rsidRPr="00B6450D">
        <w:rPr>
          <w:i/>
          <w:sz w:val="23"/>
          <w:szCs w:val="23"/>
        </w:rPr>
        <w:t xml:space="preserve"> </w:t>
      </w:r>
      <w:r w:rsidRPr="00B6450D">
        <w:rPr>
          <w:rFonts w:hint="cs"/>
          <w:i/>
          <w:sz w:val="23"/>
          <w:szCs w:val="23"/>
          <w:rtl/>
        </w:rPr>
        <w:t xml:space="preserve">گر نرخ‌های بهره در طی زمان تغییر کنند، با استفاده از لگاریتم معادله‌ی (۱۲. ۶۲) برای </w:t>
      </w:r>
      <w:r w:rsidRPr="00B6450D">
        <w:rPr>
          <w:position w:val="-6"/>
        </w:rPr>
        <w:object w:dxaOrig="820" w:dyaOrig="260" w14:anchorId="25C6D37D">
          <v:shape id="_x0000_i5774" type="#_x0000_t75" style="width:40.55pt;height:13.3pt" o:ole="">
            <v:imagedata r:id="rId9558" o:title=""/>
          </v:shape>
          <o:OLEObject Type="Embed" ProgID="Equation.DSMT4" ShapeID="_x0000_i5774" DrawAspect="Content" ObjectID="_1791379718" r:id="rId9559"/>
        </w:object>
      </w:r>
      <w:r w:rsidRPr="00B6450D">
        <w:rPr>
          <w:rFonts w:hint="cs"/>
          <w:i/>
          <w:sz w:val="23"/>
          <w:szCs w:val="23"/>
          <w:rtl/>
        </w:rPr>
        <w:t xml:space="preserve"> خواهیم داشت</w:t>
      </w:r>
    </w:p>
    <w:p w14:paraId="3EB0215B" w14:textId="77777777" w:rsidR="00556C10" w:rsidRPr="00B6450D" w:rsidRDefault="00556C10" w:rsidP="00556C10">
      <w:pPr>
        <w:bidi w:val="0"/>
        <w:spacing w:line="216" w:lineRule="auto"/>
        <w:rPr>
          <w:i/>
          <w:sz w:val="23"/>
          <w:szCs w:val="23"/>
        </w:rPr>
      </w:pPr>
      <w:r w:rsidRPr="00B6450D">
        <w:rPr>
          <w:position w:val="-10"/>
        </w:rPr>
        <w:object w:dxaOrig="1240" w:dyaOrig="340" w14:anchorId="57AC2193">
          <v:shape id="_x0000_i5775" type="#_x0000_t75" style="width:61.7pt;height:16.95pt" o:ole="">
            <v:imagedata r:id="rId9560" o:title=""/>
          </v:shape>
          <o:OLEObject Type="Embed" ProgID="Equation.DSMT4" ShapeID="_x0000_i5775" DrawAspect="Content" ObjectID="_1791379719" r:id="rId9561"/>
        </w:object>
      </w:r>
    </w:p>
    <w:p w14:paraId="05FC85D1" w14:textId="77777777" w:rsidR="00556C10" w:rsidRPr="00B6450D" w:rsidRDefault="00556C10" w:rsidP="00556C10">
      <w:pPr>
        <w:spacing w:line="216" w:lineRule="auto"/>
        <w:rPr>
          <w:i/>
          <w:sz w:val="23"/>
          <w:szCs w:val="23"/>
          <w:rtl/>
        </w:rPr>
      </w:pPr>
      <w:r w:rsidRPr="00B6450D">
        <w:rPr>
          <w:rFonts w:hint="cs"/>
          <w:i/>
          <w:sz w:val="23"/>
          <w:szCs w:val="23"/>
          <w:rtl/>
        </w:rPr>
        <w:t>که در آن</w:t>
      </w:r>
      <w:r w:rsidRPr="00B6450D">
        <w:rPr>
          <w:position w:val="-12"/>
        </w:rPr>
        <w:object w:dxaOrig="1400" w:dyaOrig="340" w14:anchorId="0190E2F7">
          <v:shape id="_x0000_i5776" type="#_x0000_t75" style="width:70.2pt;height:16.95pt" o:ole="">
            <v:imagedata r:id="rId9562" o:title=""/>
          </v:shape>
          <o:OLEObject Type="Embed" ProgID="Equation.DSMT4" ShapeID="_x0000_i5776" DrawAspect="Content" ObjectID="_1791379720" r:id="rId9563"/>
        </w:object>
      </w:r>
      <w:r w:rsidRPr="00B6450D">
        <w:rPr>
          <w:rFonts w:hint="cs"/>
          <w:i/>
          <w:sz w:val="23"/>
          <w:szCs w:val="23"/>
          <w:rtl/>
        </w:rPr>
        <w:t>. اگر برابری بهره‌ی بدون پوشش، معادله‌ی (۱۲. ۶۰)، را بازنویسی کنیم بطوری که</w:t>
      </w:r>
    </w:p>
    <w:p w14:paraId="43A649AA" w14:textId="77777777" w:rsidR="00556C10" w:rsidRPr="00B6450D" w:rsidRDefault="00556C10" w:rsidP="00556C10">
      <w:pPr>
        <w:bidi w:val="0"/>
        <w:spacing w:line="216" w:lineRule="auto"/>
        <w:rPr>
          <w:i/>
          <w:sz w:val="23"/>
          <w:szCs w:val="23"/>
          <w:rtl/>
        </w:rPr>
      </w:pPr>
      <w:r w:rsidRPr="00B6450D">
        <w:rPr>
          <w:position w:val="-10"/>
        </w:rPr>
        <w:object w:dxaOrig="1600" w:dyaOrig="340" w14:anchorId="2E5FDA0D">
          <v:shape id="_x0000_i5777" type="#_x0000_t75" style="width:79.85pt;height:16.95pt" o:ole="">
            <v:imagedata r:id="rId9564" o:title=""/>
          </v:shape>
          <o:OLEObject Type="Embed" ProgID="Equation.DSMT4" ShapeID="_x0000_i5777" DrawAspect="Content" ObjectID="_1791379721" r:id="rId9565"/>
        </w:object>
      </w:r>
      <w:r w:rsidRPr="00B6450D">
        <w:rPr>
          <w:rFonts w:hint="cs"/>
          <w:i/>
          <w:sz w:val="23"/>
          <w:szCs w:val="23"/>
          <w:rtl/>
        </w:rPr>
        <w:t xml:space="preserve"> </w: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t xml:space="preserve"> </w:t>
      </w:r>
      <w:r w:rsidRPr="00B6450D">
        <w:rPr>
          <w:i/>
          <w:sz w:val="23"/>
          <w:szCs w:val="23"/>
          <w:rtl/>
        </w:rPr>
        <w:tab/>
      </w:r>
      <w:r w:rsidRPr="00B6450D">
        <w:rPr>
          <w:rFonts w:hint="cs"/>
          <w:i/>
          <w:sz w:val="23"/>
          <w:szCs w:val="23"/>
          <w:rtl/>
        </w:rPr>
        <w:t>(۱۲. ۶۳)</w:t>
      </w:r>
    </w:p>
    <w:p w14:paraId="5D64D513" w14:textId="77777777" w:rsidR="00556C10" w:rsidRPr="00B6450D" w:rsidRDefault="00556C10" w:rsidP="00556C10">
      <w:pPr>
        <w:spacing w:line="216" w:lineRule="auto"/>
        <w:rPr>
          <w:i/>
          <w:sz w:val="23"/>
          <w:szCs w:val="23"/>
          <w:rtl/>
        </w:rPr>
      </w:pPr>
      <w:r w:rsidRPr="00B6450D">
        <w:rPr>
          <w:rFonts w:hint="cs"/>
          <w:i/>
          <w:sz w:val="23"/>
          <w:szCs w:val="23"/>
          <w:rtl/>
        </w:rPr>
        <w:t>بنابراین</w:t>
      </w:r>
    </w:p>
    <w:p w14:paraId="004F1D56" w14:textId="77777777" w:rsidR="00556C10" w:rsidRPr="00B6450D" w:rsidRDefault="00556C10" w:rsidP="00556C10">
      <w:pPr>
        <w:bidi w:val="0"/>
        <w:spacing w:line="216" w:lineRule="auto"/>
        <w:rPr>
          <w:i/>
          <w:sz w:val="23"/>
          <w:szCs w:val="23"/>
          <w:rtl/>
        </w:rPr>
      </w:pPr>
      <w:r w:rsidRPr="00B6450D">
        <w:rPr>
          <w:position w:val="-10"/>
        </w:rPr>
        <w:object w:dxaOrig="920" w:dyaOrig="320" w14:anchorId="2E3CE0AB">
          <v:shape id="_x0000_i5778" type="#_x0000_t75" style="width:46pt;height:15.75pt" o:ole="">
            <v:imagedata r:id="rId9566" o:title=""/>
          </v:shape>
          <o:OLEObject Type="Embed" ProgID="Equation.DSMT4" ShapeID="_x0000_i5778" DrawAspect="Content" ObjectID="_1791379722" r:id="rId9567"/>
        </w:objec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t xml:space="preserve"> </w:t>
      </w:r>
      <w:r w:rsidRPr="00B6450D">
        <w:rPr>
          <w:i/>
          <w:sz w:val="23"/>
          <w:szCs w:val="23"/>
          <w:rtl/>
        </w:rPr>
        <w:tab/>
      </w:r>
      <w:r w:rsidRPr="00B6450D">
        <w:rPr>
          <w:rFonts w:hint="cs"/>
          <w:i/>
          <w:sz w:val="23"/>
          <w:szCs w:val="23"/>
          <w:rtl/>
        </w:rPr>
        <w:t>(۱۲. ۶۴)</w:t>
      </w:r>
    </w:p>
    <w:p w14:paraId="76252123" w14:textId="77777777" w:rsidR="00556C10" w:rsidRPr="00B6450D" w:rsidRDefault="00556C10" w:rsidP="00556C10">
      <w:pPr>
        <w:spacing w:line="216" w:lineRule="auto"/>
        <w:rPr>
          <w:i/>
          <w:sz w:val="23"/>
          <w:szCs w:val="23"/>
          <w:rtl/>
        </w:rPr>
      </w:pPr>
      <w:r w:rsidRPr="00B6450D">
        <w:rPr>
          <w:rFonts w:hint="cs"/>
          <w:i/>
          <w:sz w:val="23"/>
          <w:szCs w:val="23"/>
          <w:rtl/>
        </w:rPr>
        <w:t>بنابراین نرخ آتی برابر است با پیش</w:t>
      </w:r>
      <w:r w:rsidRPr="00B6450D">
        <w:rPr>
          <w:i/>
          <w:sz w:val="23"/>
          <w:szCs w:val="23"/>
          <w:rtl/>
        </w:rPr>
        <w:softHyphen/>
      </w:r>
      <w:r w:rsidRPr="00B6450D">
        <w:rPr>
          <w:rFonts w:hint="cs"/>
          <w:i/>
          <w:sz w:val="23"/>
          <w:szCs w:val="23"/>
          <w:rtl/>
        </w:rPr>
        <w:t>بینی بازار از نرخ ارز دوره‌ی بعدی. معادله‌ی (۱۲. ۶۴) شرط بدون آربیتراژ درستی نیست، مگر آنکه سرمایه‌گذار ریسک خنثی باشد.</w:t>
      </w:r>
    </w:p>
    <w:p w14:paraId="09754510" w14:textId="77777777" w:rsidR="00556C10" w:rsidRPr="00B6450D" w:rsidRDefault="00556C10" w:rsidP="00556C10">
      <w:pPr>
        <w:spacing w:line="216" w:lineRule="auto"/>
        <w:rPr>
          <w:i/>
          <w:sz w:val="23"/>
          <w:szCs w:val="23"/>
          <w:rtl/>
        </w:rPr>
      </w:pPr>
      <w:r w:rsidRPr="00B6450D">
        <w:rPr>
          <w:rFonts w:hint="cs"/>
          <w:i/>
          <w:sz w:val="23"/>
          <w:szCs w:val="23"/>
          <w:rtl/>
        </w:rPr>
        <w:t>برای</w:t>
      </w:r>
      <w:r w:rsidRPr="00B6450D">
        <w:rPr>
          <w:position w:val="-6"/>
        </w:rPr>
        <w:object w:dxaOrig="820" w:dyaOrig="260" w14:anchorId="7083CB16">
          <v:shape id="_x0000_i5779" type="#_x0000_t75" style="width:40.55pt;height:13.3pt" o:ole="">
            <v:imagedata r:id="rId9568" o:title=""/>
          </v:shape>
          <o:OLEObject Type="Embed" ProgID="Equation.DSMT4" ShapeID="_x0000_i5779" DrawAspect="Content" ObjectID="_1791379723" r:id="rId9569"/>
        </w:object>
      </w:r>
      <w:r w:rsidRPr="00B6450D">
        <w:rPr>
          <w:rFonts w:hint="cs"/>
          <w:i/>
          <w:sz w:val="23"/>
          <w:szCs w:val="23"/>
          <w:rtl/>
        </w:rPr>
        <w:t xml:space="preserve"> عواید اوراق قرضه‌ی کوپن صفر داخلی و خارجی با سررسید</w:t>
      </w:r>
      <w:r w:rsidRPr="00B6450D">
        <w:rPr>
          <w:position w:val="-6"/>
        </w:rPr>
        <w:object w:dxaOrig="499" w:dyaOrig="260" w14:anchorId="0B12EDB7">
          <v:shape id="_x0000_i5780" type="#_x0000_t75" style="width:24.8pt;height:13.3pt" o:ole="">
            <v:imagedata r:id="rId9570" o:title=""/>
          </v:shape>
          <o:OLEObject Type="Embed" ProgID="Equation.DSMT4" ShapeID="_x0000_i5780" DrawAspect="Content" ObjectID="_1791379724" r:id="rId9571"/>
        </w:object>
      </w:r>
      <w:r w:rsidRPr="00B6450D">
        <w:rPr>
          <w:rFonts w:hint="cs"/>
          <w:sz w:val="23"/>
          <w:szCs w:val="23"/>
          <w:rtl/>
        </w:rPr>
        <w:t xml:space="preserve"> را</w:t>
      </w:r>
      <w:r w:rsidRPr="00B6450D">
        <w:rPr>
          <w:rFonts w:hint="cs"/>
          <w:i/>
          <w:sz w:val="23"/>
          <w:szCs w:val="23"/>
          <w:rtl/>
        </w:rPr>
        <w:t xml:space="preserve"> بعنوان نرخ‌های بهره مورد استفاده قرار می‌دهیم. بنابراین</w:t>
      </w:r>
    </w:p>
    <w:p w14:paraId="72E736B9" w14:textId="77777777" w:rsidR="00556C10" w:rsidRPr="00B6450D" w:rsidRDefault="00556C10" w:rsidP="00556C10">
      <w:pPr>
        <w:bidi w:val="0"/>
        <w:spacing w:line="216" w:lineRule="auto"/>
        <w:rPr>
          <w:i/>
          <w:sz w:val="23"/>
          <w:szCs w:val="23"/>
        </w:rPr>
      </w:pPr>
      <w:r w:rsidRPr="00B6450D">
        <w:rPr>
          <w:position w:val="-12"/>
        </w:rPr>
        <w:object w:dxaOrig="2340" w:dyaOrig="360" w14:anchorId="703631C3">
          <v:shape id="_x0000_i5781" type="#_x0000_t75" style="width:117.4pt;height:18.15pt" o:ole="">
            <v:imagedata r:id="rId9572" o:title=""/>
          </v:shape>
          <o:OLEObject Type="Embed" ProgID="Equation.DSMT4" ShapeID="_x0000_i5781" DrawAspect="Content" ObjectID="_1791379725" r:id="rId9573"/>
        </w:object>
      </w:r>
    </w:p>
    <w:p w14:paraId="2B2B5517" w14:textId="77777777" w:rsidR="00556C10" w:rsidRPr="00B6450D" w:rsidRDefault="00556C10" w:rsidP="00556C10">
      <w:pPr>
        <w:spacing w:line="216" w:lineRule="auto"/>
        <w:rPr>
          <w:i/>
          <w:sz w:val="23"/>
          <w:szCs w:val="23"/>
          <w:rtl/>
        </w:rPr>
      </w:pPr>
      <w:r w:rsidRPr="00B6450D">
        <w:rPr>
          <w:rFonts w:hint="cs"/>
          <w:i/>
          <w:sz w:val="23"/>
          <w:szCs w:val="23"/>
          <w:rtl/>
        </w:rPr>
        <w:t xml:space="preserve">و </w:t>
      </w:r>
      <w:r w:rsidRPr="00B6450D">
        <w:rPr>
          <w:position w:val="-12"/>
        </w:rPr>
        <w:object w:dxaOrig="1260" w:dyaOrig="340" w14:anchorId="6A1FED17">
          <v:shape id="_x0000_i5782" type="#_x0000_t75" style="width:62.9pt;height:16.95pt" o:ole="">
            <v:imagedata r:id="rId9574" o:title=""/>
          </v:shape>
          <o:OLEObject Type="Embed" ProgID="Equation.DSMT4" ShapeID="_x0000_i5782" DrawAspect="Content" ObjectID="_1791379726" r:id="rId9575"/>
        </w:object>
      </w:r>
      <w:r w:rsidRPr="00B6450D">
        <w:rPr>
          <w:i/>
          <w:sz w:val="23"/>
          <w:szCs w:val="23"/>
        </w:rPr>
        <w:t>.</w:t>
      </w:r>
    </w:p>
    <w:p w14:paraId="386C0CD4" w14:textId="77777777" w:rsidR="00556C10" w:rsidRPr="00B6450D" w:rsidRDefault="00556C10" w:rsidP="00556C10">
      <w:pPr>
        <w:spacing w:line="216" w:lineRule="auto"/>
        <w:rPr>
          <w:i/>
          <w:sz w:val="23"/>
          <w:szCs w:val="23"/>
          <w:rtl/>
        </w:rPr>
      </w:pPr>
      <w:r w:rsidRPr="00B6450D">
        <w:rPr>
          <w:rFonts w:hint="cs"/>
          <w:i/>
          <w:sz w:val="23"/>
          <w:szCs w:val="23"/>
          <w:rtl/>
        </w:rPr>
        <w:t>معادله‌ی (۱۲. ۶۳) معادله‌ی تفاضلی پیش</w:t>
      </w:r>
      <w:r w:rsidRPr="00B6450D">
        <w:rPr>
          <w:i/>
          <w:sz w:val="23"/>
          <w:szCs w:val="23"/>
          <w:rtl/>
        </w:rPr>
        <w:softHyphen/>
      </w:r>
      <w:r w:rsidRPr="00B6450D">
        <w:rPr>
          <w:rFonts w:hint="cs"/>
          <w:i/>
          <w:sz w:val="23"/>
          <w:szCs w:val="23"/>
          <w:rtl/>
        </w:rPr>
        <w:t>نگر برای</w:t>
      </w:r>
      <w:r w:rsidRPr="00B6450D">
        <w:rPr>
          <w:position w:val="-10"/>
        </w:rPr>
        <w:object w:dxaOrig="200" w:dyaOrig="320" w14:anchorId="65D770E2">
          <v:shape id="_x0000_i5783" type="#_x0000_t75" style="width:10.3pt;height:15.75pt" o:ole="">
            <v:imagedata r:id="rId9576" o:title=""/>
          </v:shape>
          <o:OLEObject Type="Embed" ProgID="Equation.DSMT4" ShapeID="_x0000_i5783" DrawAspect="Content" ObjectID="_1791379727" r:id="rId9577"/>
        </w:object>
      </w:r>
      <w:r w:rsidRPr="00B6450D">
        <w:rPr>
          <w:rFonts w:hint="cs"/>
          <w:i/>
          <w:sz w:val="23"/>
          <w:szCs w:val="23"/>
          <w:rtl/>
        </w:rPr>
        <w:t xml:space="preserve"> است</w:t>
      </w:r>
    </w:p>
    <w:p w14:paraId="2434E0B5" w14:textId="77777777" w:rsidR="00556C10" w:rsidRPr="00B6450D" w:rsidRDefault="00556C10" w:rsidP="00556C10">
      <w:pPr>
        <w:bidi w:val="0"/>
        <w:spacing w:line="216" w:lineRule="auto"/>
        <w:rPr>
          <w:i/>
          <w:sz w:val="23"/>
          <w:szCs w:val="23"/>
          <w:rtl/>
        </w:rPr>
      </w:pPr>
      <w:r w:rsidRPr="00B6450D">
        <w:rPr>
          <w:position w:val="-10"/>
        </w:rPr>
        <w:object w:dxaOrig="1600" w:dyaOrig="340" w14:anchorId="15126CAA">
          <v:shape id="_x0000_i5784" type="#_x0000_t75" style="width:79.85pt;height:16.95pt" o:ole="">
            <v:imagedata r:id="rId9578" o:title=""/>
          </v:shape>
          <o:OLEObject Type="Embed" ProgID="Equation.DSMT4" ShapeID="_x0000_i5784" DrawAspect="Content" ObjectID="_1791379728" r:id="rId9579"/>
        </w:objec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Pr>
          <w:i/>
          <w:sz w:val="23"/>
          <w:szCs w:val="23"/>
          <w:rtl/>
        </w:rPr>
        <w:tab/>
      </w:r>
      <w:r w:rsidRPr="00B6450D">
        <w:rPr>
          <w:i/>
          <w:sz w:val="23"/>
          <w:szCs w:val="23"/>
        </w:rPr>
        <w:tab/>
      </w:r>
      <w:r w:rsidRPr="00B6450D">
        <w:rPr>
          <w:i/>
          <w:sz w:val="23"/>
          <w:szCs w:val="23"/>
        </w:rPr>
        <w:tab/>
      </w:r>
      <w:r w:rsidRPr="00B6450D">
        <w:rPr>
          <w:i/>
          <w:sz w:val="23"/>
          <w:szCs w:val="23"/>
        </w:rPr>
        <w:tab/>
        <w:t xml:space="preserve"> </w:t>
      </w:r>
      <w:r w:rsidRPr="00B6450D">
        <w:rPr>
          <w:i/>
          <w:sz w:val="23"/>
          <w:szCs w:val="23"/>
          <w:rtl/>
        </w:rPr>
        <w:tab/>
      </w:r>
      <w:r w:rsidRPr="00B6450D">
        <w:rPr>
          <w:rFonts w:hint="cs"/>
          <w:i/>
          <w:sz w:val="23"/>
          <w:szCs w:val="23"/>
          <w:rtl/>
        </w:rPr>
        <w:t>(۱۲. ۶۵)</w:t>
      </w:r>
    </w:p>
    <w:p w14:paraId="1B9D425E" w14:textId="77777777" w:rsidR="00556C10" w:rsidRPr="00B6450D" w:rsidRDefault="00556C10" w:rsidP="00556C10">
      <w:pPr>
        <w:spacing w:line="216" w:lineRule="auto"/>
        <w:rPr>
          <w:i/>
          <w:sz w:val="23"/>
          <w:szCs w:val="23"/>
          <w:rtl/>
        </w:rPr>
      </w:pPr>
      <w:r w:rsidRPr="00B6450D">
        <w:rPr>
          <w:rFonts w:hint="cs"/>
          <w:i/>
          <w:sz w:val="23"/>
          <w:szCs w:val="23"/>
          <w:rtl/>
        </w:rPr>
        <w:t>با حل این مسئله بصورت پیش</w:t>
      </w:r>
      <w:r w:rsidRPr="00B6450D">
        <w:rPr>
          <w:i/>
          <w:sz w:val="23"/>
          <w:szCs w:val="23"/>
          <w:rtl/>
        </w:rPr>
        <w:softHyphen/>
      </w:r>
      <w:r w:rsidRPr="00B6450D">
        <w:rPr>
          <w:rFonts w:hint="cs"/>
          <w:i/>
          <w:sz w:val="23"/>
          <w:szCs w:val="23"/>
          <w:rtl/>
        </w:rPr>
        <w:t>رو داریم</w:t>
      </w:r>
    </w:p>
    <w:p w14:paraId="7B07D5FA" w14:textId="77777777" w:rsidR="00556C10" w:rsidRPr="00B6450D" w:rsidRDefault="00556C10" w:rsidP="00556C10">
      <w:pPr>
        <w:bidi w:val="0"/>
        <w:spacing w:line="216" w:lineRule="auto"/>
        <w:rPr>
          <w:i/>
          <w:sz w:val="23"/>
          <w:szCs w:val="23"/>
          <w:rtl/>
        </w:rPr>
      </w:pPr>
      <w:r w:rsidRPr="00B6450D">
        <w:rPr>
          <w:position w:val="-26"/>
        </w:rPr>
        <w:object w:dxaOrig="1860" w:dyaOrig="620" w14:anchorId="7EDF7212">
          <v:shape id="_x0000_i5785" type="#_x0000_t75" style="width:93.2pt;height:31.45pt" o:ole="">
            <v:imagedata r:id="rId9580" o:title=""/>
          </v:shape>
          <o:OLEObject Type="Embed" ProgID="Equation.DSMT4" ShapeID="_x0000_i5785" DrawAspect="Content" ObjectID="_1791379729" r:id="rId9581"/>
        </w:objec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t xml:space="preserve"> </w: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sidRPr="00B6450D">
        <w:rPr>
          <w:i/>
          <w:sz w:val="23"/>
          <w:szCs w:val="23"/>
        </w:rPr>
        <w:tab/>
      </w:r>
      <w:r w:rsidRPr="00B6450D">
        <w:rPr>
          <w:i/>
          <w:sz w:val="23"/>
          <w:szCs w:val="23"/>
          <w:rtl/>
        </w:rPr>
        <w:tab/>
      </w:r>
      <w:r w:rsidRPr="00B6450D">
        <w:rPr>
          <w:rFonts w:hint="cs"/>
          <w:i/>
          <w:sz w:val="23"/>
          <w:szCs w:val="23"/>
          <w:rtl/>
        </w:rPr>
        <w:t>(۱۲. ۶۶)</w:t>
      </w:r>
    </w:p>
    <w:p w14:paraId="76A8E31C" w14:textId="77777777" w:rsidR="00556C10" w:rsidRPr="00B6450D" w:rsidRDefault="00556C10" w:rsidP="00556C10">
      <w:pPr>
        <w:spacing w:line="216" w:lineRule="auto"/>
        <w:rPr>
          <w:i/>
          <w:sz w:val="23"/>
          <w:szCs w:val="23"/>
          <w:rtl/>
        </w:rPr>
      </w:pPr>
      <w:r w:rsidRPr="00B6450D">
        <w:rPr>
          <w:rFonts w:hint="cs"/>
          <w:i/>
          <w:sz w:val="23"/>
          <w:szCs w:val="23"/>
          <w:rtl/>
        </w:rPr>
        <w:t>در نتیجه، نرخ ارز لحظه</w:t>
      </w:r>
      <w:r w:rsidRPr="00B6450D">
        <w:rPr>
          <w:i/>
          <w:sz w:val="23"/>
          <w:szCs w:val="23"/>
          <w:rtl/>
        </w:rPr>
        <w:softHyphen/>
      </w:r>
      <w:r w:rsidRPr="00B6450D">
        <w:rPr>
          <w:rFonts w:hint="cs"/>
          <w:i/>
          <w:sz w:val="23"/>
          <w:szCs w:val="23"/>
          <w:rtl/>
        </w:rPr>
        <w:t>ای برابر است با مجموع تمام تفاضل‌های بهره‌ی آتی انتظاری و نه تنها تفاضل بهره</w:t>
      </w:r>
      <w:r w:rsidRPr="00B6450D">
        <w:rPr>
          <w:i/>
          <w:sz w:val="23"/>
          <w:szCs w:val="23"/>
          <w:rtl/>
        </w:rPr>
        <w:softHyphen/>
      </w:r>
      <w:r w:rsidRPr="00B6450D">
        <w:rPr>
          <w:rFonts w:hint="cs"/>
          <w:i/>
          <w:sz w:val="23"/>
          <w:szCs w:val="23"/>
          <w:rtl/>
        </w:rPr>
        <w:t>ی جاری</w:t>
      </w:r>
      <w:r w:rsidRPr="00B6450D">
        <w:rPr>
          <w:position w:val="-10"/>
        </w:rPr>
        <w:object w:dxaOrig="520" w:dyaOrig="340" w14:anchorId="5D282535">
          <v:shape id="_x0000_i5786" type="#_x0000_t75" style="width:26pt;height:16.95pt" o:ole="">
            <v:imagedata r:id="rId9582" o:title=""/>
          </v:shape>
          <o:OLEObject Type="Embed" ProgID="Equation.DSMT4" ShapeID="_x0000_i5786" DrawAspect="Content" ObjectID="_1791379730" r:id="rId9583"/>
        </w:object>
      </w:r>
      <w:r w:rsidRPr="00B6450D">
        <w:rPr>
          <w:rFonts w:hint="cs"/>
          <w:i/>
          <w:sz w:val="23"/>
          <w:szCs w:val="23"/>
          <w:rtl/>
        </w:rPr>
        <w:t xml:space="preserve"> </w:t>
      </w:r>
      <w:r w:rsidRPr="00B6450D">
        <w:rPr>
          <w:i/>
          <w:sz w:val="23"/>
          <w:szCs w:val="23"/>
        </w:rPr>
        <w:t>.</w:t>
      </w:r>
    </w:p>
    <w:p w14:paraId="481D9CC9" w14:textId="77777777" w:rsidR="00556C10" w:rsidRPr="00B6450D" w:rsidRDefault="00556C10" w:rsidP="00556C10">
      <w:pPr>
        <w:spacing w:line="216" w:lineRule="auto"/>
        <w:rPr>
          <w:i/>
          <w:sz w:val="23"/>
          <w:szCs w:val="23"/>
          <w:rtl/>
        </w:rPr>
      </w:pPr>
      <w:r w:rsidRPr="00B6450D">
        <w:rPr>
          <w:rFonts w:hint="cs"/>
          <w:i/>
          <w:sz w:val="23"/>
          <w:szCs w:val="23"/>
          <w:rtl/>
        </w:rPr>
        <w:t>معادله‌ی (۱۲. ۶۶) کاربرد بسیار مهمی در سیاست پولی دارد. تحت شرایط هدف</w:t>
      </w:r>
      <w:r w:rsidRPr="00B6450D">
        <w:rPr>
          <w:i/>
          <w:sz w:val="23"/>
          <w:szCs w:val="23"/>
          <w:rtl/>
        </w:rPr>
        <w:softHyphen/>
      </w:r>
      <w:r w:rsidRPr="00B6450D">
        <w:rPr>
          <w:rFonts w:hint="cs"/>
          <w:i/>
          <w:sz w:val="23"/>
          <w:szCs w:val="23"/>
          <w:rtl/>
        </w:rPr>
        <w:t>گذاری تورم، که درآن مقامات پولی نرخ‌های بهره را کنترل می‌کنند، اگر نرخ بهره‌ی داخلی بصورت غیرقابل پیش بینی افزایش یابد، آنگاه ارزش پول داخلی افزایش خواهد یافت، و مقدار افزایش آن به چشم</w:t>
      </w:r>
      <w:r w:rsidRPr="00B6450D">
        <w:rPr>
          <w:i/>
          <w:sz w:val="23"/>
          <w:szCs w:val="23"/>
          <w:rtl/>
        </w:rPr>
        <w:softHyphen/>
      </w:r>
      <w:r w:rsidRPr="00B6450D">
        <w:rPr>
          <w:rFonts w:hint="cs"/>
          <w:i/>
          <w:sz w:val="23"/>
          <w:szCs w:val="23"/>
          <w:rtl/>
        </w:rPr>
        <w:t>انداز بازار‌ در خصوص مدت زمان تداوم تفاوت در نرخ بهره بستگی دارد. یک افزایش در تفاضل نرخ بهره به ‌مدت یک سال نرخ ارز لحظه</w:t>
      </w:r>
      <w:r w:rsidRPr="00B6450D">
        <w:rPr>
          <w:i/>
          <w:sz w:val="23"/>
          <w:szCs w:val="23"/>
          <w:rtl/>
        </w:rPr>
        <w:softHyphen/>
      </w:r>
      <w:r w:rsidRPr="00B6450D">
        <w:rPr>
          <w:rFonts w:hint="cs"/>
          <w:i/>
          <w:sz w:val="23"/>
          <w:szCs w:val="23"/>
          <w:rtl/>
        </w:rPr>
        <w:t>ای را دوازده برابر نسبت به افزایش در تفاضل به‌مدت یک ماه افزایش خواهد داد. این نشان می‌دهد که اثر بخشی سیاست پولی در اقتصادِ باز نامطمئن</w:t>
      </w:r>
      <w:r w:rsidRPr="00B6450D">
        <w:rPr>
          <w:i/>
          <w:sz w:val="23"/>
          <w:szCs w:val="23"/>
          <w:rtl/>
        </w:rPr>
        <w:softHyphen/>
      </w:r>
      <w:r w:rsidRPr="00B6450D">
        <w:rPr>
          <w:rFonts w:hint="cs"/>
          <w:i/>
          <w:sz w:val="23"/>
          <w:szCs w:val="23"/>
          <w:rtl/>
        </w:rPr>
        <w:t>تر از زمانی است که عموماً تصور می‌شود.</w:t>
      </w:r>
    </w:p>
    <w:p w14:paraId="3314AF5A" w14:textId="77777777" w:rsidR="00556C10" w:rsidRPr="00B6450D" w:rsidRDefault="00556C10" w:rsidP="00556C10">
      <w:pPr>
        <w:spacing w:line="216" w:lineRule="auto"/>
        <w:rPr>
          <w:i/>
          <w:sz w:val="23"/>
          <w:szCs w:val="23"/>
          <w:rtl/>
        </w:rPr>
      </w:pPr>
      <w:r w:rsidRPr="00B6450D">
        <w:rPr>
          <w:rFonts w:hint="cs"/>
          <w:i/>
          <w:sz w:val="23"/>
          <w:szCs w:val="23"/>
          <w:rtl/>
        </w:rPr>
        <w:lastRenderedPageBreak/>
        <w:t>همچنین نشان داده شد که اگر در بازار انتظار رود نرخ‌های بهره در دوره</w:t>
      </w:r>
      <w:r w:rsidRPr="00B6450D">
        <w:rPr>
          <w:i/>
          <w:sz w:val="23"/>
          <w:szCs w:val="23"/>
          <w:rtl/>
        </w:rPr>
        <w:softHyphen/>
      </w:r>
      <w:r w:rsidRPr="00B6450D">
        <w:rPr>
          <w:rFonts w:hint="cs"/>
          <w:i/>
          <w:sz w:val="23"/>
          <w:szCs w:val="23"/>
          <w:rtl/>
        </w:rPr>
        <w:t>ای از زمان، احتمالاً از طریق اعلام‌ سیاست پولی یا اشاره به سیاست‌های آتی تغییر کنند، آنگاه نرخ ارز لحظه</w:t>
      </w:r>
      <w:r w:rsidRPr="00B6450D">
        <w:rPr>
          <w:i/>
          <w:sz w:val="23"/>
          <w:szCs w:val="23"/>
          <w:rtl/>
        </w:rPr>
        <w:softHyphen/>
      </w:r>
      <w:r w:rsidRPr="00B6450D">
        <w:rPr>
          <w:rFonts w:hint="cs"/>
          <w:i/>
          <w:sz w:val="23"/>
          <w:szCs w:val="23"/>
          <w:rtl/>
        </w:rPr>
        <w:t>ای، امروز تغییر خواهد کرد. اگر زمان آتی فرا رسد و هیچ تغییری در نرخ‌های بهره صورت نگیرد، آنگاه نرخ ارز به سطح اولیه‌ی خود باز خواهد گشت. درنتیجه، با بازگشت به داده‌ها، ممکن است تصور شود که بازار رفتار غیرعقلایی داشته است، ولی با انتظارات داده شده خودش، که غلط از کار در می‌آید، درواقع رفتار بازار کاملاً عقلایی بوده است. این را پس از واقعه‌ی بحران پزو مکزیک در اواسط دهه‌ی ۱۹۷۰ میلادی اثر پزو نامند. برای چندین سال‌ نرخ آتی کم</w:t>
      </w:r>
      <w:r w:rsidRPr="00B6450D">
        <w:rPr>
          <w:i/>
          <w:sz w:val="23"/>
          <w:szCs w:val="23"/>
          <w:rtl/>
        </w:rPr>
        <w:softHyphen/>
      </w:r>
      <w:r w:rsidRPr="00B6450D">
        <w:rPr>
          <w:rFonts w:hint="cs"/>
          <w:i/>
          <w:sz w:val="23"/>
          <w:szCs w:val="23"/>
          <w:rtl/>
        </w:rPr>
        <w:t>تر از نرخ لحظه</w:t>
      </w:r>
      <w:r w:rsidRPr="00B6450D">
        <w:rPr>
          <w:i/>
          <w:sz w:val="23"/>
          <w:szCs w:val="23"/>
          <w:rtl/>
        </w:rPr>
        <w:softHyphen/>
      </w:r>
      <w:r w:rsidRPr="00B6450D">
        <w:rPr>
          <w:rFonts w:hint="cs"/>
          <w:i/>
          <w:sz w:val="23"/>
          <w:szCs w:val="23"/>
          <w:rtl/>
        </w:rPr>
        <w:t>ای بود و انتظار می‌رفت مکزیک از سیاست ثابت نرخ ارز در مقابل دلار آمریکا صرف نظر کند. کاهش ارزش پول نهایتاً در سال ۱۹۷۶ اتفاق افتاد.</w:t>
      </w:r>
    </w:p>
    <w:p w14:paraId="3B97CB7D" w14:textId="77777777" w:rsidR="00556C10" w:rsidRPr="00B6450D" w:rsidRDefault="00556C10" w:rsidP="00556C10">
      <w:pPr>
        <w:spacing w:line="216" w:lineRule="auto"/>
        <w:rPr>
          <w:i/>
          <w:sz w:val="23"/>
          <w:szCs w:val="23"/>
          <w:rtl/>
        </w:rPr>
      </w:pPr>
      <w:r w:rsidRPr="00B6450D">
        <w:rPr>
          <w:rFonts w:hint="cs"/>
          <w:i/>
          <w:sz w:val="23"/>
          <w:szCs w:val="23"/>
          <w:rtl/>
        </w:rPr>
        <w:t>روش دیگر برای تبیین رابطه‌ی بین نرخ ارز لحظه</w:t>
      </w:r>
      <w:r w:rsidRPr="00B6450D">
        <w:rPr>
          <w:i/>
          <w:sz w:val="23"/>
          <w:szCs w:val="23"/>
          <w:rtl/>
        </w:rPr>
        <w:softHyphen/>
      </w:r>
      <w:r w:rsidRPr="00B6450D">
        <w:rPr>
          <w:rFonts w:hint="cs"/>
          <w:i/>
          <w:sz w:val="23"/>
          <w:szCs w:val="23"/>
          <w:rtl/>
        </w:rPr>
        <w:t>ای و نرخ‌های بهره، بکارگیری نرخ‌های آتی به همراه این نتیجه‌ که نرخ بهره‌ی آتی پیش</w:t>
      </w:r>
      <w:r w:rsidRPr="00B6450D">
        <w:rPr>
          <w:i/>
          <w:sz w:val="23"/>
          <w:szCs w:val="23"/>
          <w:rtl/>
        </w:rPr>
        <w:softHyphen/>
      </w:r>
      <w:r w:rsidRPr="00B6450D">
        <w:rPr>
          <w:rFonts w:hint="cs"/>
          <w:i/>
          <w:sz w:val="23"/>
          <w:szCs w:val="23"/>
          <w:rtl/>
        </w:rPr>
        <w:t>بینی بدون تورش از نرخ لحظه</w:t>
      </w:r>
      <w:r w:rsidRPr="00B6450D">
        <w:rPr>
          <w:i/>
          <w:sz w:val="23"/>
          <w:szCs w:val="23"/>
          <w:rtl/>
        </w:rPr>
        <w:softHyphen/>
      </w:r>
      <w:r w:rsidRPr="00B6450D">
        <w:rPr>
          <w:rFonts w:hint="cs"/>
          <w:i/>
          <w:sz w:val="23"/>
          <w:szCs w:val="23"/>
          <w:rtl/>
        </w:rPr>
        <w:t>ای در آینده است می</w:t>
      </w:r>
      <w:r w:rsidRPr="00B6450D">
        <w:rPr>
          <w:i/>
          <w:sz w:val="23"/>
          <w:szCs w:val="23"/>
          <w:rtl/>
        </w:rPr>
        <w:softHyphen/>
      </w:r>
      <w:r w:rsidRPr="00B6450D">
        <w:rPr>
          <w:rFonts w:hint="cs"/>
          <w:i/>
          <w:sz w:val="23"/>
          <w:szCs w:val="23"/>
          <w:rtl/>
        </w:rPr>
        <w:t>باشد. بنابراین، اگر نرخ بهره‌ی آتی را در زمان</w:t>
      </w:r>
      <w:r w:rsidRPr="00B6450D">
        <w:rPr>
          <w:position w:val="-6"/>
        </w:rPr>
        <w:object w:dxaOrig="139" w:dyaOrig="240" w14:anchorId="68284814">
          <v:shape id="_x0000_i5787" type="#_x0000_t75" style="width:6.65pt;height:11.5pt" o:ole="">
            <v:imagedata r:id="rId9584" o:title=""/>
          </v:shape>
          <o:OLEObject Type="Embed" ProgID="Equation.DSMT4" ShapeID="_x0000_i5787" DrawAspect="Content" ObjectID="_1791379731" r:id="rId9585"/>
        </w:object>
      </w:r>
      <w:r w:rsidRPr="00B6450D">
        <w:rPr>
          <w:i/>
          <w:sz w:val="23"/>
          <w:szCs w:val="23"/>
          <w:rtl/>
        </w:rPr>
        <w:t xml:space="preserve"> </w:t>
      </w:r>
      <w:r w:rsidRPr="00B6450D">
        <w:rPr>
          <w:rFonts w:hint="cs"/>
          <w:i/>
          <w:sz w:val="23"/>
          <w:szCs w:val="23"/>
          <w:rtl/>
        </w:rPr>
        <w:t>برای نرخ لحظه</w:t>
      </w:r>
      <w:r w:rsidRPr="00B6450D">
        <w:rPr>
          <w:i/>
          <w:sz w:val="23"/>
          <w:szCs w:val="23"/>
          <w:rtl/>
        </w:rPr>
        <w:softHyphen/>
      </w:r>
      <w:r w:rsidRPr="00B6450D">
        <w:rPr>
          <w:rFonts w:hint="cs"/>
          <w:i/>
          <w:sz w:val="23"/>
          <w:szCs w:val="23"/>
          <w:rtl/>
        </w:rPr>
        <w:t>ای در زمان</w:t>
      </w:r>
      <w:r w:rsidRPr="00B6450D">
        <w:rPr>
          <w:position w:val="-6"/>
        </w:rPr>
        <w:object w:dxaOrig="460" w:dyaOrig="260" w14:anchorId="6C6221B2">
          <v:shape id="_x0000_i5788" type="#_x0000_t75" style="width:23pt;height:13.3pt" o:ole="">
            <v:imagedata r:id="rId9586" o:title=""/>
          </v:shape>
          <o:OLEObject Type="Embed" ProgID="Equation.DSMT4" ShapeID="_x0000_i5788" DrawAspect="Content" ObjectID="_1791379732" r:id="rId9587"/>
        </w:object>
      </w:r>
      <w:r w:rsidRPr="00B6450D">
        <w:rPr>
          <w:rFonts w:hint="cs"/>
          <w:i/>
          <w:sz w:val="23"/>
          <w:szCs w:val="23"/>
          <w:rtl/>
        </w:rPr>
        <w:t xml:space="preserve"> به صورت</w:t>
      </w:r>
      <w:r w:rsidRPr="00B6450D">
        <w:rPr>
          <w:position w:val="-12"/>
        </w:rPr>
        <w:object w:dxaOrig="400" w:dyaOrig="340" w14:anchorId="0BB3A23A">
          <v:shape id="_x0000_i5789" type="#_x0000_t75" style="width:19.95pt;height:16.95pt" o:ole="">
            <v:imagedata r:id="rId9588" o:title=""/>
          </v:shape>
          <o:OLEObject Type="Embed" ProgID="Equation.DSMT4" ShapeID="_x0000_i5789" DrawAspect="Content" ObjectID="_1791379733" r:id="rId9589"/>
        </w:object>
      </w:r>
      <w:r w:rsidRPr="00B6450D">
        <w:rPr>
          <w:rFonts w:hint="cs"/>
          <w:i/>
          <w:sz w:val="23"/>
          <w:szCs w:val="23"/>
          <w:rtl/>
        </w:rPr>
        <w:t xml:space="preserve"> بازنویسی کنیم، آنگاه</w:t>
      </w:r>
    </w:p>
    <w:p w14:paraId="4966524D" w14:textId="77777777" w:rsidR="00556C10" w:rsidRPr="00B6450D" w:rsidRDefault="00556C10" w:rsidP="00556C10">
      <w:pPr>
        <w:bidi w:val="0"/>
        <w:spacing w:line="216" w:lineRule="auto"/>
        <w:rPr>
          <w:i/>
          <w:sz w:val="23"/>
          <w:szCs w:val="23"/>
        </w:rPr>
      </w:pPr>
      <w:r w:rsidRPr="00B6450D">
        <w:rPr>
          <w:position w:val="-12"/>
        </w:rPr>
        <w:object w:dxaOrig="1120" w:dyaOrig="340" w14:anchorId="05634897">
          <v:shape id="_x0000_i5790" type="#_x0000_t75" style="width:55.65pt;height:16.95pt" o:ole="">
            <v:imagedata r:id="rId9590" o:title=""/>
          </v:shape>
          <o:OLEObject Type="Embed" ProgID="Equation.DSMT4" ShapeID="_x0000_i5790" DrawAspect="Content" ObjectID="_1791379734" r:id="rId9591"/>
        </w:object>
      </w:r>
    </w:p>
    <w:p w14:paraId="75703048" w14:textId="77777777" w:rsidR="00556C10" w:rsidRPr="00B6450D" w:rsidRDefault="00556C10" w:rsidP="00556C10">
      <w:pPr>
        <w:spacing w:line="216" w:lineRule="auto"/>
        <w:rPr>
          <w:i/>
          <w:sz w:val="23"/>
          <w:szCs w:val="23"/>
          <w:rtl/>
        </w:rPr>
      </w:pPr>
      <w:r w:rsidRPr="00B6450D">
        <w:rPr>
          <w:rFonts w:hint="cs"/>
          <w:i/>
          <w:sz w:val="23"/>
          <w:szCs w:val="23"/>
          <w:rtl/>
        </w:rPr>
        <w:t>لذا معادله‌ی (۱۲. ۶۶) را می‌توان به صورت زیر نوشت</w:t>
      </w:r>
    </w:p>
    <w:p w14:paraId="6BF931F7" w14:textId="77777777" w:rsidR="00556C10" w:rsidRPr="00B6450D" w:rsidRDefault="00556C10" w:rsidP="00556C10">
      <w:pPr>
        <w:bidi w:val="0"/>
        <w:spacing w:line="216" w:lineRule="auto"/>
        <w:rPr>
          <w:i/>
          <w:sz w:val="23"/>
          <w:szCs w:val="23"/>
          <w:rtl/>
        </w:rPr>
      </w:pPr>
      <w:r w:rsidRPr="00B6450D">
        <w:rPr>
          <w:position w:val="-26"/>
        </w:rPr>
        <w:object w:dxaOrig="1760" w:dyaOrig="620" w14:anchorId="4CE48133">
          <v:shape id="_x0000_i5791" type="#_x0000_t75" style="width:87.75pt;height:31.45pt" o:ole="">
            <v:imagedata r:id="rId9592" o:title=""/>
          </v:shape>
          <o:OLEObject Type="Embed" ProgID="Equation.DSMT4" ShapeID="_x0000_i5791" DrawAspect="Content" ObjectID="_1791379735" r:id="rId9593"/>
        </w:objec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sidRPr="00B6450D">
        <w:rPr>
          <w:i/>
          <w:sz w:val="23"/>
          <w:szCs w:val="23"/>
        </w:rPr>
        <w:tab/>
        <w:t xml:space="preserve"> </w:t>
      </w:r>
      <w:r w:rsidRPr="00B6450D">
        <w:rPr>
          <w:i/>
          <w:sz w:val="23"/>
          <w:szCs w:val="23"/>
          <w:rtl/>
        </w:rPr>
        <w:tab/>
      </w:r>
      <w:r w:rsidRPr="00B6450D">
        <w:rPr>
          <w:rFonts w:hint="cs"/>
          <w:i/>
          <w:sz w:val="23"/>
          <w:szCs w:val="23"/>
          <w:rtl/>
        </w:rPr>
        <w:t>(۱۲. ۶۷)</w:t>
      </w:r>
    </w:p>
    <w:p w14:paraId="51FEBBA7" w14:textId="77777777" w:rsidR="00556C10" w:rsidRPr="00B6450D" w:rsidRDefault="00556C10" w:rsidP="00556C10">
      <w:pPr>
        <w:spacing w:line="216" w:lineRule="auto"/>
        <w:rPr>
          <w:i/>
          <w:sz w:val="23"/>
          <w:szCs w:val="23"/>
          <w:rtl/>
        </w:rPr>
      </w:pPr>
      <w:r w:rsidRPr="00B6450D">
        <w:rPr>
          <w:rFonts w:hint="cs"/>
          <w:i/>
          <w:sz w:val="23"/>
          <w:szCs w:val="23"/>
          <w:rtl/>
        </w:rPr>
        <w:t>همچنین از آنجا که</w:t>
      </w:r>
    </w:p>
    <w:p w14:paraId="3471D74D" w14:textId="77777777" w:rsidR="00556C10" w:rsidRPr="00B6450D" w:rsidRDefault="00556C10" w:rsidP="00556C10">
      <w:pPr>
        <w:bidi w:val="0"/>
        <w:spacing w:line="216" w:lineRule="auto"/>
        <w:rPr>
          <w:i/>
          <w:sz w:val="23"/>
          <w:szCs w:val="23"/>
          <w:rtl/>
        </w:rPr>
      </w:pPr>
      <w:r w:rsidRPr="00B6450D">
        <w:rPr>
          <w:position w:val="-26"/>
        </w:rPr>
        <w:object w:dxaOrig="2580" w:dyaOrig="620" w14:anchorId="753D7224">
          <v:shape id="_x0000_i5792" type="#_x0000_t75" style="width:129.5pt;height:31.45pt" o:ole="">
            <v:imagedata r:id="rId9594" o:title=""/>
          </v:shape>
          <o:OLEObject Type="Embed" ProgID="Equation.DSMT4" ShapeID="_x0000_i5792" DrawAspect="Content" ObjectID="_1791379736" r:id="rId9595"/>
        </w:object>
      </w:r>
      <w:r w:rsidRPr="00B6450D">
        <w:rPr>
          <w:i/>
          <w:sz w:val="23"/>
          <w:szCs w:val="23"/>
        </w:rPr>
        <w:tab/>
      </w:r>
      <w:r w:rsidRPr="00B6450D">
        <w:rPr>
          <w:i/>
          <w:sz w:val="23"/>
          <w:szCs w:val="23"/>
        </w:rPr>
        <w:tab/>
      </w:r>
      <w:r w:rsidRPr="00B6450D">
        <w:rPr>
          <w:i/>
          <w:sz w:val="23"/>
          <w:szCs w:val="23"/>
        </w:rPr>
        <w:tab/>
        <w:t xml:space="preserve"> </w:t>
      </w:r>
      <w:r w:rsidRPr="00B6450D">
        <w:rPr>
          <w:i/>
          <w:sz w:val="23"/>
          <w:szCs w:val="23"/>
          <w:rtl/>
        </w:rPr>
        <w:tab/>
      </w:r>
      <w:r w:rsidRPr="00B6450D">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sidRPr="00B6450D">
        <w:rPr>
          <w:i/>
          <w:sz w:val="23"/>
          <w:szCs w:val="23"/>
          <w:rtl/>
        </w:rPr>
        <w:tab/>
      </w:r>
      <w:r w:rsidRPr="00B6450D">
        <w:rPr>
          <w:rFonts w:hint="cs"/>
          <w:i/>
          <w:sz w:val="23"/>
          <w:szCs w:val="23"/>
          <w:rtl/>
        </w:rPr>
        <w:t>(۱۲. ۶۸)</w:t>
      </w:r>
    </w:p>
    <w:p w14:paraId="0E5D7274" w14:textId="77777777" w:rsidR="00556C10" w:rsidRPr="00B6450D" w:rsidRDefault="00556C10" w:rsidP="00556C10">
      <w:pPr>
        <w:spacing w:line="216" w:lineRule="auto"/>
        <w:rPr>
          <w:i/>
          <w:sz w:val="23"/>
          <w:szCs w:val="23"/>
          <w:rtl/>
        </w:rPr>
      </w:pPr>
      <w:r w:rsidRPr="00B6450D">
        <w:rPr>
          <w:rFonts w:hint="cs"/>
          <w:i/>
          <w:sz w:val="23"/>
          <w:szCs w:val="23"/>
          <w:rtl/>
        </w:rPr>
        <w:t>لذا</w:t>
      </w:r>
    </w:p>
    <w:p w14:paraId="31FC7893" w14:textId="77777777" w:rsidR="00556C10" w:rsidRPr="00B6450D" w:rsidRDefault="00556C10" w:rsidP="00556C10">
      <w:pPr>
        <w:bidi w:val="0"/>
        <w:spacing w:line="216" w:lineRule="auto"/>
        <w:rPr>
          <w:i/>
          <w:sz w:val="23"/>
          <w:szCs w:val="23"/>
          <w:rtl/>
        </w:rPr>
      </w:pPr>
      <w:r w:rsidRPr="00B6450D">
        <w:rPr>
          <w:position w:val="-26"/>
        </w:rPr>
        <w:object w:dxaOrig="2280" w:dyaOrig="620" w14:anchorId="5150CF81">
          <v:shape id="_x0000_i5793" type="#_x0000_t75" style="width:114.35pt;height:31.45pt" o:ole="">
            <v:imagedata r:id="rId9596" o:title=""/>
          </v:shape>
          <o:OLEObject Type="Embed" ProgID="Equation.DSMT4" ShapeID="_x0000_i5793" DrawAspect="Content" ObjectID="_1791379737" r:id="rId9597"/>
        </w:objec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 xml:space="preserve"> </w:t>
      </w:r>
      <w:r w:rsidRPr="00B6450D">
        <w:rPr>
          <w:i/>
          <w:sz w:val="23"/>
          <w:szCs w:val="23"/>
          <w:rtl/>
        </w:rPr>
        <w:tab/>
      </w:r>
      <w:r w:rsidRPr="00B6450D">
        <w:rPr>
          <w:rFonts w:hint="cs"/>
          <w:i/>
          <w:sz w:val="23"/>
          <w:szCs w:val="23"/>
          <w:rtl/>
        </w:rPr>
        <w:t>(۱۲. ۶۹)</w:t>
      </w:r>
    </w:p>
    <w:p w14:paraId="3DAA6E3A" w14:textId="77777777" w:rsidR="00556C10" w:rsidRPr="00B6450D" w:rsidRDefault="00556C10" w:rsidP="00556C10">
      <w:pPr>
        <w:spacing w:line="216" w:lineRule="auto"/>
        <w:rPr>
          <w:i/>
          <w:sz w:val="23"/>
          <w:szCs w:val="23"/>
          <w:rtl/>
        </w:rPr>
      </w:pPr>
      <w:r w:rsidRPr="00B6450D">
        <w:rPr>
          <w:rFonts w:hint="cs"/>
          <w:i/>
          <w:sz w:val="23"/>
          <w:szCs w:val="23"/>
          <w:rtl/>
        </w:rPr>
        <w:t xml:space="preserve">بنابراین، می‌توان منحنی‌های نرخ آتی را با </w:t>
      </w:r>
      <w:r w:rsidRPr="00B6450D">
        <w:rPr>
          <w:i/>
          <w:sz w:val="23"/>
          <w:szCs w:val="23"/>
        </w:rPr>
        <w:t>UIP</w:t>
      </w:r>
      <w:r w:rsidRPr="00B6450D">
        <w:rPr>
          <w:rFonts w:hint="cs"/>
          <w:i/>
          <w:sz w:val="23"/>
          <w:szCs w:val="23"/>
          <w:rtl/>
        </w:rPr>
        <w:t xml:space="preserve"> و نرخ ارز لحظه</w:t>
      </w:r>
      <w:r w:rsidRPr="00B6450D">
        <w:rPr>
          <w:i/>
          <w:sz w:val="23"/>
          <w:szCs w:val="23"/>
          <w:rtl/>
        </w:rPr>
        <w:softHyphen/>
      </w:r>
      <w:r w:rsidRPr="00B6450D">
        <w:rPr>
          <w:rFonts w:hint="cs"/>
          <w:i/>
          <w:sz w:val="23"/>
          <w:szCs w:val="23"/>
          <w:rtl/>
        </w:rPr>
        <w:t>ای جاری برای کشف پیش</w:t>
      </w:r>
      <w:r w:rsidRPr="00B6450D">
        <w:rPr>
          <w:i/>
          <w:sz w:val="23"/>
          <w:szCs w:val="23"/>
          <w:rtl/>
        </w:rPr>
        <w:softHyphen/>
      </w:r>
      <w:r w:rsidRPr="00B6450D">
        <w:rPr>
          <w:rFonts w:hint="cs"/>
          <w:i/>
          <w:sz w:val="23"/>
          <w:szCs w:val="23"/>
          <w:rtl/>
        </w:rPr>
        <w:t>بینی نرخ ارز لحظه</w:t>
      </w:r>
      <w:r w:rsidRPr="00B6450D">
        <w:rPr>
          <w:i/>
          <w:sz w:val="23"/>
          <w:szCs w:val="23"/>
          <w:rtl/>
        </w:rPr>
        <w:softHyphen/>
      </w:r>
      <w:r w:rsidRPr="00B6450D">
        <w:rPr>
          <w:rFonts w:hint="cs"/>
          <w:i/>
          <w:sz w:val="23"/>
          <w:szCs w:val="23"/>
          <w:rtl/>
        </w:rPr>
        <w:t>ای آینده‌ی ضمنی بازار مورد استفاده قرار داد.</w:t>
      </w:r>
      <w:r w:rsidRPr="00B6450D">
        <w:rPr>
          <w:i/>
          <w:sz w:val="23"/>
          <w:szCs w:val="23"/>
        </w:rPr>
        <w:t xml:space="preserve"> </w:t>
      </w:r>
      <w:r w:rsidRPr="00B6450D">
        <w:rPr>
          <w:rFonts w:hint="cs"/>
          <w:i/>
          <w:sz w:val="23"/>
          <w:szCs w:val="23"/>
          <w:rtl/>
        </w:rPr>
        <w:t>به</w:t>
      </w:r>
      <w:r w:rsidRPr="00B6450D">
        <w:rPr>
          <w:i/>
          <w:sz w:val="23"/>
          <w:szCs w:val="23"/>
        </w:rPr>
        <w:softHyphen/>
      </w:r>
      <w:r w:rsidRPr="00B6450D">
        <w:rPr>
          <w:rFonts w:hint="cs"/>
          <w:i/>
          <w:sz w:val="23"/>
          <w:szCs w:val="23"/>
          <w:rtl/>
        </w:rPr>
        <w:t>طور مشابه، با حذف ریسک، همان</w:t>
      </w:r>
      <w:r w:rsidRPr="00B6450D">
        <w:rPr>
          <w:i/>
          <w:sz w:val="23"/>
          <w:szCs w:val="23"/>
          <w:rtl/>
        </w:rPr>
        <w:softHyphen/>
      </w:r>
      <w:r w:rsidRPr="00B6450D">
        <w:rPr>
          <w:rFonts w:hint="cs"/>
          <w:i/>
          <w:sz w:val="23"/>
          <w:szCs w:val="23"/>
          <w:rtl/>
        </w:rPr>
        <w:t>طور که عایدی سررسید اوراق قرضه‌ی کوپن-صفر</w:t>
      </w:r>
      <w:r w:rsidRPr="00B6450D">
        <w:rPr>
          <w:position w:val="-6"/>
        </w:rPr>
        <w:object w:dxaOrig="200" w:dyaOrig="200" w14:anchorId="24356E98">
          <v:shape id="_x0000_i5794" type="#_x0000_t75" style="width:10.3pt;height:10.3pt" o:ole="">
            <v:imagedata r:id="rId9598" o:title=""/>
          </v:shape>
          <o:OLEObject Type="Embed" ProgID="Equation.DSMT4" ShapeID="_x0000_i5794" DrawAspect="Content" ObjectID="_1791379738" r:id="rId9599"/>
        </w:object>
      </w:r>
      <w:r w:rsidRPr="00B6450D">
        <w:rPr>
          <w:rFonts w:hint="cs"/>
          <w:i/>
          <w:sz w:val="23"/>
          <w:szCs w:val="23"/>
          <w:rtl/>
        </w:rPr>
        <w:t xml:space="preserve"> دوره</w:t>
      </w:r>
      <w:r w:rsidRPr="00B6450D">
        <w:rPr>
          <w:i/>
          <w:sz w:val="23"/>
          <w:szCs w:val="23"/>
          <w:rtl/>
        </w:rPr>
        <w:softHyphen/>
      </w:r>
      <w:r w:rsidRPr="00B6450D">
        <w:rPr>
          <w:rFonts w:hint="cs"/>
          <w:i/>
          <w:sz w:val="23"/>
          <w:szCs w:val="23"/>
          <w:rtl/>
        </w:rPr>
        <w:t>ای رابطه</w:t>
      </w:r>
      <w:r w:rsidRPr="00B6450D">
        <w:rPr>
          <w:i/>
          <w:sz w:val="23"/>
          <w:szCs w:val="23"/>
          <w:rtl/>
        </w:rPr>
        <w:softHyphen/>
      </w:r>
      <w:r w:rsidRPr="00B6450D">
        <w:rPr>
          <w:rFonts w:hint="cs"/>
          <w:i/>
          <w:sz w:val="23"/>
          <w:szCs w:val="23"/>
          <w:rtl/>
        </w:rPr>
        <w:t>ی زیر را تضمین می‌کند</w:t>
      </w:r>
    </w:p>
    <w:p w14:paraId="4E538435" w14:textId="77777777" w:rsidR="00556C10" w:rsidRPr="00B6450D" w:rsidRDefault="00556C10" w:rsidP="00556C10">
      <w:pPr>
        <w:bidi w:val="0"/>
        <w:spacing w:line="216" w:lineRule="auto"/>
        <w:rPr>
          <w:i/>
          <w:sz w:val="23"/>
          <w:szCs w:val="23"/>
        </w:rPr>
      </w:pPr>
      <w:r w:rsidRPr="00B6450D">
        <w:rPr>
          <w:position w:val="-26"/>
        </w:rPr>
        <w:object w:dxaOrig="1420" w:dyaOrig="620" w14:anchorId="30E071D2">
          <v:shape id="_x0000_i5795" type="#_x0000_t75" style="width:70.8pt;height:31.45pt" o:ole="">
            <v:imagedata r:id="rId9600" o:title=""/>
          </v:shape>
          <o:OLEObject Type="Embed" ProgID="Equation.DSMT4" ShapeID="_x0000_i5795" DrawAspect="Content" ObjectID="_1791379739" r:id="rId9601"/>
        </w:object>
      </w:r>
    </w:p>
    <w:p w14:paraId="7503B6A0" w14:textId="77777777" w:rsidR="00556C10" w:rsidRPr="00B6450D" w:rsidRDefault="00556C10" w:rsidP="00556C10">
      <w:pPr>
        <w:spacing w:line="216" w:lineRule="auto"/>
        <w:rPr>
          <w:i/>
          <w:sz w:val="23"/>
          <w:szCs w:val="23"/>
          <w:rtl/>
        </w:rPr>
      </w:pPr>
      <w:r w:rsidRPr="00B6450D">
        <w:rPr>
          <w:rFonts w:hint="cs"/>
          <w:i/>
          <w:sz w:val="23"/>
          <w:szCs w:val="23"/>
          <w:rtl/>
        </w:rPr>
        <w:t xml:space="preserve">می توانیم اطلاعات ساختار زمانی را با شرط </w:t>
      </w:r>
      <w:r w:rsidRPr="00B6450D">
        <w:rPr>
          <w:i/>
          <w:sz w:val="23"/>
          <w:szCs w:val="23"/>
        </w:rPr>
        <w:t>UIP</w:t>
      </w:r>
      <w:r w:rsidRPr="00B6450D">
        <w:rPr>
          <w:rFonts w:hint="cs"/>
          <w:i/>
          <w:sz w:val="23"/>
          <w:szCs w:val="23"/>
          <w:rtl/>
        </w:rPr>
        <w:t xml:space="preserve"> ترکیب کرده تا عبارت ساده</w:t>
      </w:r>
      <w:r w:rsidRPr="00B6450D">
        <w:rPr>
          <w:i/>
          <w:sz w:val="23"/>
          <w:szCs w:val="23"/>
          <w:rtl/>
        </w:rPr>
        <w:softHyphen/>
      </w:r>
      <w:r w:rsidRPr="00B6450D">
        <w:rPr>
          <w:rFonts w:hint="cs"/>
          <w:i/>
          <w:sz w:val="23"/>
          <w:szCs w:val="23"/>
          <w:rtl/>
        </w:rPr>
        <w:t>تری را برای نرخ ارز لحظه</w:t>
      </w:r>
      <w:r w:rsidRPr="00B6450D">
        <w:rPr>
          <w:i/>
          <w:sz w:val="23"/>
          <w:szCs w:val="23"/>
          <w:rtl/>
        </w:rPr>
        <w:softHyphen/>
      </w:r>
      <w:r w:rsidRPr="00B6450D">
        <w:rPr>
          <w:rFonts w:hint="cs"/>
          <w:i/>
          <w:sz w:val="23"/>
          <w:szCs w:val="23"/>
          <w:rtl/>
        </w:rPr>
        <w:t>ای انتظاری ضمنی برای آینده بدست آورد، یعنی</w:t>
      </w:r>
    </w:p>
    <w:p w14:paraId="2A81FC02" w14:textId="77777777" w:rsidR="00556C10" w:rsidRPr="00B6450D" w:rsidRDefault="00556C10" w:rsidP="00556C10">
      <w:pPr>
        <w:bidi w:val="0"/>
        <w:spacing w:line="216" w:lineRule="auto"/>
        <w:rPr>
          <w:i/>
          <w:sz w:val="23"/>
          <w:szCs w:val="23"/>
          <w:rtl/>
        </w:rPr>
      </w:pPr>
      <w:r w:rsidRPr="00B6450D">
        <w:rPr>
          <w:position w:val="-16"/>
        </w:rPr>
        <w:object w:dxaOrig="2340" w:dyaOrig="420" w14:anchorId="2D7B4C66">
          <v:shape id="_x0000_i5796" type="#_x0000_t75" style="width:117.4pt;height:21.2pt" o:ole="">
            <v:imagedata r:id="rId9602" o:title=""/>
          </v:shape>
          <o:OLEObject Type="Embed" ProgID="Equation.DSMT4" ShapeID="_x0000_i5796" DrawAspect="Content" ObjectID="_1791379740" r:id="rId9603"/>
        </w:objec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t xml:space="preserve"> </w:t>
      </w:r>
      <w:r w:rsidRPr="00B6450D">
        <w:rPr>
          <w:i/>
          <w:sz w:val="23"/>
          <w:szCs w:val="23"/>
          <w:rtl/>
        </w:rPr>
        <w:tab/>
      </w:r>
      <w:r w:rsidRPr="00B6450D">
        <w:rPr>
          <w:rFonts w:hint="cs"/>
          <w:i/>
          <w:sz w:val="23"/>
          <w:szCs w:val="23"/>
          <w:rtl/>
        </w:rPr>
        <w:t>(۱۲. ۷۰)</w:t>
      </w:r>
    </w:p>
    <w:p w14:paraId="57AD9125" w14:textId="77777777" w:rsidR="00556C10" w:rsidRPr="00B6450D" w:rsidRDefault="00556C10" w:rsidP="00556C10">
      <w:pPr>
        <w:spacing w:line="216" w:lineRule="auto"/>
        <w:rPr>
          <w:i/>
          <w:sz w:val="23"/>
          <w:szCs w:val="23"/>
          <w:rtl/>
        </w:rPr>
      </w:pPr>
      <w:r w:rsidRPr="00B6450D">
        <w:rPr>
          <w:rFonts w:hint="cs"/>
          <w:i/>
          <w:sz w:val="23"/>
          <w:szCs w:val="23"/>
          <w:rtl/>
        </w:rPr>
        <w:t xml:space="preserve">بحث ما درخصوص تعیین نرخ ارز از شرط </w:t>
      </w:r>
      <w:r w:rsidRPr="00B6450D">
        <w:rPr>
          <w:i/>
          <w:sz w:val="23"/>
          <w:szCs w:val="23"/>
        </w:rPr>
        <w:t>UIP</w:t>
      </w:r>
      <w:r w:rsidRPr="00B6450D">
        <w:rPr>
          <w:rFonts w:hint="cs"/>
          <w:i/>
          <w:sz w:val="23"/>
          <w:szCs w:val="23"/>
          <w:rtl/>
        </w:rPr>
        <w:t xml:space="preserve"> مبتنی است بر این فرض است که نرخ بهره برون</w:t>
      </w:r>
      <w:r w:rsidRPr="00B6450D">
        <w:rPr>
          <w:i/>
          <w:sz w:val="23"/>
          <w:szCs w:val="23"/>
          <w:rtl/>
        </w:rPr>
        <w:softHyphen/>
      </w:r>
      <w:r w:rsidRPr="00B6450D">
        <w:rPr>
          <w:rFonts w:hint="cs"/>
          <w:i/>
          <w:sz w:val="23"/>
          <w:szCs w:val="23"/>
          <w:rtl/>
        </w:rPr>
        <w:t>زا است. به</w:t>
      </w:r>
      <w:r w:rsidRPr="00B6450D">
        <w:rPr>
          <w:i/>
          <w:sz w:val="23"/>
          <w:szCs w:val="23"/>
          <w:rtl/>
        </w:rPr>
        <w:softHyphen/>
      </w:r>
      <w:r w:rsidRPr="00B6450D">
        <w:rPr>
          <w:rFonts w:hint="cs"/>
          <w:i/>
          <w:sz w:val="23"/>
          <w:szCs w:val="23"/>
          <w:rtl/>
        </w:rPr>
        <w:t>طورکلی، اگر ابزار سیاست پولی عرضه‌ی پول باشد، نرخ بهره ممکن است درون</w:t>
      </w:r>
      <w:r w:rsidRPr="00B6450D">
        <w:rPr>
          <w:i/>
          <w:sz w:val="23"/>
          <w:szCs w:val="23"/>
          <w:rtl/>
        </w:rPr>
        <w:softHyphen/>
      </w:r>
      <w:r w:rsidRPr="00B6450D">
        <w:rPr>
          <w:rFonts w:hint="cs"/>
          <w:i/>
          <w:sz w:val="23"/>
          <w:szCs w:val="23"/>
          <w:rtl/>
        </w:rPr>
        <w:t xml:space="preserve">زا باشد. در این حالت، شرط </w:t>
      </w:r>
      <w:r w:rsidRPr="00B6450D">
        <w:rPr>
          <w:i/>
          <w:sz w:val="23"/>
          <w:szCs w:val="23"/>
        </w:rPr>
        <w:t>UIP</w:t>
      </w:r>
      <w:r w:rsidRPr="00B6450D">
        <w:rPr>
          <w:rFonts w:hint="cs"/>
          <w:i/>
          <w:sz w:val="23"/>
          <w:szCs w:val="23"/>
          <w:rtl/>
        </w:rPr>
        <w:t xml:space="preserve"> در سیستم اقتصاد کلان معادله‌ی ساختاری بوده و نرخ ارز بجای معادله‌ی </w:t>
      </w:r>
      <w:r w:rsidRPr="00B6450D">
        <w:rPr>
          <w:rFonts w:hint="cs"/>
          <w:i/>
          <w:sz w:val="23"/>
          <w:szCs w:val="23"/>
          <w:rtl/>
        </w:rPr>
        <w:lastRenderedPageBreak/>
        <w:t>(۱۲. ۶۵) یا (۱۲. ۶۶) در سیستم اقتصادی تعیین خواهد شد.</w:t>
      </w:r>
      <w:r w:rsidRPr="00B6450D">
        <w:rPr>
          <w:i/>
          <w:sz w:val="23"/>
          <w:szCs w:val="23"/>
        </w:rPr>
        <w:t xml:space="preserve"> </w:t>
      </w:r>
      <w:r w:rsidRPr="00B6450D">
        <w:rPr>
          <w:rFonts w:hint="cs"/>
          <w:i/>
          <w:sz w:val="23"/>
          <w:szCs w:val="23"/>
          <w:rtl/>
        </w:rPr>
        <w:t>همان</w:t>
      </w:r>
      <w:r w:rsidRPr="00B6450D">
        <w:rPr>
          <w:i/>
          <w:sz w:val="23"/>
          <w:szCs w:val="23"/>
          <w:rtl/>
        </w:rPr>
        <w:softHyphen/>
      </w:r>
      <w:r w:rsidRPr="00B6450D">
        <w:rPr>
          <w:rFonts w:hint="cs"/>
          <w:i/>
          <w:sz w:val="23"/>
          <w:szCs w:val="23"/>
          <w:rtl/>
        </w:rPr>
        <w:t xml:space="preserve">گونه که </w:t>
      </w:r>
      <w:r w:rsidRPr="00B6450D">
        <w:rPr>
          <w:i/>
          <w:sz w:val="23"/>
          <w:szCs w:val="23"/>
        </w:rPr>
        <w:t>UIP</w:t>
      </w:r>
      <w:r w:rsidRPr="00B6450D">
        <w:rPr>
          <w:rFonts w:hint="cs"/>
          <w:i/>
          <w:sz w:val="23"/>
          <w:szCs w:val="23"/>
          <w:rtl/>
        </w:rPr>
        <w:t xml:space="preserve"> بطور گسترده در اقتصاد کلان مورد استفاده قرار گرفته است، در این قسمت لازم است تا برخی شواهد تجربی آن را مورد بررسی قرار دهیم. یکی از مفاهیم ضمنی </w:t>
      </w:r>
      <w:r w:rsidRPr="00B6450D">
        <w:rPr>
          <w:i/>
          <w:sz w:val="23"/>
          <w:szCs w:val="23"/>
        </w:rPr>
        <w:t>UIP</w:t>
      </w:r>
      <w:r w:rsidRPr="00B6450D">
        <w:rPr>
          <w:rFonts w:hint="cs"/>
          <w:i/>
          <w:sz w:val="23"/>
          <w:szCs w:val="23"/>
          <w:rtl/>
        </w:rPr>
        <w:t xml:space="preserve"> آن است که</w:t>
      </w:r>
    </w:p>
    <w:p w14:paraId="38A63007" w14:textId="77777777" w:rsidR="00556C10" w:rsidRPr="00B6450D" w:rsidRDefault="00556C10" w:rsidP="00556C10">
      <w:pPr>
        <w:bidi w:val="0"/>
        <w:spacing w:line="216" w:lineRule="auto"/>
        <w:rPr>
          <w:i/>
          <w:sz w:val="23"/>
          <w:szCs w:val="23"/>
          <w:rtl/>
        </w:rPr>
      </w:pPr>
      <w:r w:rsidRPr="00B6450D">
        <w:rPr>
          <w:position w:val="-10"/>
        </w:rPr>
        <w:object w:dxaOrig="1200" w:dyaOrig="320" w14:anchorId="6E2EA6FD">
          <v:shape id="_x0000_i5797" type="#_x0000_t75" style="width:59.9pt;height:15.75pt" o:ole="">
            <v:imagedata r:id="rId9604" o:title=""/>
          </v:shape>
          <o:OLEObject Type="Embed" ProgID="Equation.DSMT4" ShapeID="_x0000_i5797" DrawAspect="Content" ObjectID="_1791379741" r:id="rId9605"/>
        </w:objec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sidRPr="00B6450D">
        <w:rPr>
          <w:i/>
          <w:sz w:val="23"/>
          <w:szCs w:val="23"/>
        </w:rPr>
        <w:tab/>
      </w:r>
      <w:r w:rsidRPr="00B6450D">
        <w:rPr>
          <w:i/>
          <w:sz w:val="23"/>
          <w:szCs w:val="23"/>
        </w:rPr>
        <w:tab/>
      </w:r>
      <w:r w:rsidRPr="00B6450D">
        <w:rPr>
          <w:i/>
          <w:sz w:val="23"/>
          <w:szCs w:val="23"/>
        </w:rPr>
        <w:tab/>
        <w:t xml:space="preserve"> </w:t>
      </w:r>
      <w:r w:rsidRPr="00B6450D">
        <w:rPr>
          <w:i/>
          <w:sz w:val="23"/>
          <w:szCs w:val="23"/>
          <w:rtl/>
        </w:rPr>
        <w:tab/>
      </w:r>
      <w:r w:rsidRPr="00B6450D">
        <w:rPr>
          <w:i/>
          <w:sz w:val="23"/>
          <w:szCs w:val="23"/>
          <w:rtl/>
        </w:rPr>
        <w:tab/>
      </w:r>
      <w:r w:rsidRPr="00B6450D">
        <w:rPr>
          <w:rFonts w:hint="cs"/>
          <w:i/>
          <w:sz w:val="23"/>
          <w:szCs w:val="23"/>
          <w:rtl/>
        </w:rPr>
        <w:t>(۱۲. ۷۱)</w:t>
      </w:r>
    </w:p>
    <w:p w14:paraId="5A8D527C" w14:textId="77777777" w:rsidR="00556C10" w:rsidRPr="00B6450D" w:rsidRDefault="00556C10" w:rsidP="00556C10">
      <w:pPr>
        <w:spacing w:line="216" w:lineRule="auto"/>
        <w:rPr>
          <w:i/>
          <w:sz w:val="23"/>
          <w:szCs w:val="23"/>
          <w:rtl/>
        </w:rPr>
      </w:pPr>
      <w:r w:rsidRPr="00B6450D">
        <w:rPr>
          <w:rFonts w:hint="cs"/>
          <w:i/>
          <w:sz w:val="23"/>
          <w:szCs w:val="23"/>
          <w:rtl/>
        </w:rPr>
        <w:t>که در آن</w:t>
      </w:r>
      <w:r w:rsidRPr="00B6450D">
        <w:rPr>
          <w:position w:val="-10"/>
        </w:rPr>
        <w:object w:dxaOrig="1560" w:dyaOrig="320" w14:anchorId="0EC9321F">
          <v:shape id="_x0000_i5798" type="#_x0000_t75" style="width:78.65pt;height:15.75pt" o:ole="">
            <v:imagedata r:id="rId9606" o:title=""/>
          </v:shape>
          <o:OLEObject Type="Embed" ProgID="Equation.DSMT4" ShapeID="_x0000_i5798" DrawAspect="Content" ObjectID="_1791379742" r:id="rId9607"/>
        </w:object>
      </w:r>
      <w:r w:rsidRPr="00B6450D">
        <w:rPr>
          <w:i/>
          <w:sz w:val="23"/>
          <w:szCs w:val="23"/>
        </w:rPr>
        <w:t xml:space="preserve"> </w:t>
      </w:r>
      <w:r w:rsidRPr="00B6450D">
        <w:rPr>
          <w:rFonts w:hint="cs"/>
          <w:i/>
          <w:sz w:val="23"/>
          <w:szCs w:val="23"/>
          <w:rtl/>
        </w:rPr>
        <w:t>خطای پیش</w:t>
      </w:r>
      <w:r w:rsidRPr="00B6450D">
        <w:rPr>
          <w:i/>
          <w:sz w:val="23"/>
          <w:szCs w:val="23"/>
          <w:rtl/>
        </w:rPr>
        <w:softHyphen/>
      </w:r>
      <w:r w:rsidRPr="00B6450D">
        <w:rPr>
          <w:rFonts w:hint="cs"/>
          <w:i/>
          <w:sz w:val="23"/>
          <w:szCs w:val="23"/>
          <w:rtl/>
        </w:rPr>
        <w:t>بینی است و</w:t>
      </w:r>
      <w:r w:rsidRPr="00B6450D">
        <w:rPr>
          <w:position w:val="-10"/>
        </w:rPr>
        <w:object w:dxaOrig="920" w:dyaOrig="320" w14:anchorId="57948CA0">
          <v:shape id="_x0000_i5799" type="#_x0000_t75" style="width:46pt;height:15.75pt" o:ole="">
            <v:imagedata r:id="rId9608" o:title=""/>
          </v:shape>
          <o:OLEObject Type="Embed" ProgID="Equation.DSMT4" ShapeID="_x0000_i5799" DrawAspect="Content" ObjectID="_1791379743" r:id="rId9609"/>
        </w:object>
      </w:r>
      <w:r w:rsidRPr="00B6450D">
        <w:rPr>
          <w:rFonts w:hint="cs"/>
          <w:i/>
          <w:sz w:val="23"/>
          <w:szCs w:val="23"/>
          <w:rtl/>
        </w:rPr>
        <w:t>است. معنای ضمنی دیگر عبارت است از آن که</w:t>
      </w:r>
    </w:p>
    <w:p w14:paraId="7AA245FF" w14:textId="77777777" w:rsidR="00556C10" w:rsidRPr="00B6450D" w:rsidRDefault="00556C10" w:rsidP="00556C10">
      <w:pPr>
        <w:bidi w:val="0"/>
        <w:spacing w:line="216" w:lineRule="auto"/>
        <w:rPr>
          <w:i/>
          <w:sz w:val="23"/>
          <w:szCs w:val="23"/>
          <w:rtl/>
        </w:rPr>
      </w:pPr>
      <w:r w:rsidRPr="00B6450D">
        <w:rPr>
          <w:position w:val="-10"/>
        </w:rPr>
        <w:object w:dxaOrig="1680" w:dyaOrig="320" w14:anchorId="78E3CD42">
          <v:shape id="_x0000_i5800" type="#_x0000_t75" style="width:84.1pt;height:15.75pt" o:ole="">
            <v:imagedata r:id="rId9610" o:title=""/>
          </v:shape>
          <o:OLEObject Type="Embed" ProgID="Equation.DSMT4" ShapeID="_x0000_i5800" DrawAspect="Content" ObjectID="_1791379744" r:id="rId9611"/>
        </w:objec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Pr>
          <w:i/>
          <w:sz w:val="23"/>
          <w:szCs w:val="23"/>
          <w:rtl/>
        </w:rPr>
        <w:tab/>
      </w:r>
      <w:r w:rsidRPr="00B6450D">
        <w:rPr>
          <w:i/>
          <w:sz w:val="23"/>
          <w:szCs w:val="23"/>
        </w:rPr>
        <w:tab/>
        <w:t xml:space="preserve"> </w:t>
      </w:r>
      <w:r w:rsidRPr="00B6450D">
        <w:rPr>
          <w:i/>
          <w:sz w:val="23"/>
          <w:szCs w:val="23"/>
          <w:rtl/>
        </w:rPr>
        <w:tab/>
      </w:r>
      <w:r w:rsidRPr="00B6450D">
        <w:rPr>
          <w:i/>
          <w:sz w:val="23"/>
          <w:szCs w:val="23"/>
          <w:rtl/>
        </w:rPr>
        <w:tab/>
      </w:r>
      <w:r w:rsidRPr="00B6450D">
        <w:rPr>
          <w:rFonts w:hint="cs"/>
          <w:i/>
          <w:sz w:val="23"/>
          <w:szCs w:val="23"/>
          <w:rtl/>
        </w:rPr>
        <w:t>(۱۲. ۷۲)</w:t>
      </w:r>
    </w:p>
    <w:p w14:paraId="3E643781" w14:textId="77777777" w:rsidR="00556C10" w:rsidRPr="00B6450D" w:rsidRDefault="00556C10" w:rsidP="00556C10">
      <w:pPr>
        <w:spacing w:line="216" w:lineRule="auto"/>
        <w:rPr>
          <w:i/>
          <w:sz w:val="23"/>
          <w:szCs w:val="23"/>
          <w:rtl/>
        </w:rPr>
      </w:pPr>
      <w:r w:rsidRPr="00B6450D">
        <w:rPr>
          <w:rFonts w:hint="cs"/>
          <w:i/>
          <w:sz w:val="23"/>
          <w:szCs w:val="23"/>
          <w:rtl/>
        </w:rPr>
        <w:t xml:space="preserve">که در آن </w:t>
      </w:r>
      <w:r w:rsidRPr="00B6450D">
        <w:rPr>
          <w:position w:val="-10"/>
        </w:rPr>
        <w:object w:dxaOrig="540" w:dyaOrig="320" w14:anchorId="564655D6">
          <v:shape id="_x0000_i5801" type="#_x0000_t75" style="width:26.6pt;height:15.75pt" o:ole="">
            <v:imagedata r:id="rId9612" o:title=""/>
          </v:shape>
          <o:OLEObject Type="Embed" ProgID="Equation.DSMT4" ShapeID="_x0000_i5801" DrawAspect="Content" ObjectID="_1791379745" r:id="rId9613"/>
        </w:object>
      </w:r>
      <w:r w:rsidRPr="00B6450D">
        <w:rPr>
          <w:i/>
          <w:sz w:val="23"/>
          <w:szCs w:val="23"/>
        </w:rPr>
        <w:t xml:space="preserve"> </w:t>
      </w:r>
      <w:r w:rsidRPr="00B6450D">
        <w:rPr>
          <w:rFonts w:hint="cs"/>
          <w:i/>
          <w:sz w:val="23"/>
          <w:szCs w:val="23"/>
          <w:rtl/>
        </w:rPr>
        <w:t>برابر است با مابه</w:t>
      </w:r>
      <w:r w:rsidRPr="00B6450D">
        <w:rPr>
          <w:i/>
          <w:sz w:val="23"/>
          <w:szCs w:val="23"/>
          <w:rtl/>
        </w:rPr>
        <w:softHyphen/>
      </w:r>
      <w:r w:rsidRPr="00B6450D">
        <w:rPr>
          <w:rFonts w:hint="cs"/>
          <w:i/>
          <w:sz w:val="23"/>
          <w:szCs w:val="23"/>
          <w:rtl/>
        </w:rPr>
        <w:t>التفاوت آتی. بطور تعجب آوری برآوردهای معادلات (۱۲. ۷۱) و (۱۲. ۷۲) نتایج کاملاً متفاوتی خواهند داشت. بر طبق مبانی تئوریک، ضریب</w:t>
      </w:r>
      <w:r w:rsidRPr="00B6450D">
        <w:rPr>
          <w:position w:val="-10"/>
        </w:rPr>
        <w:object w:dxaOrig="200" w:dyaOrig="320" w14:anchorId="6357CC21">
          <v:shape id="_x0000_i5802" type="#_x0000_t75" style="width:10.3pt;height:15.75pt" o:ole="">
            <v:imagedata r:id="rId9614" o:title=""/>
          </v:shape>
          <o:OLEObject Type="Embed" ProgID="Equation.DSMT4" ShapeID="_x0000_i5802" DrawAspect="Content" ObjectID="_1791379746" r:id="rId9615"/>
        </w:object>
      </w:r>
      <w:r w:rsidRPr="00B6450D">
        <w:rPr>
          <w:i/>
          <w:sz w:val="23"/>
          <w:szCs w:val="23"/>
        </w:rPr>
        <w:t xml:space="preserve"> </w:t>
      </w:r>
      <w:r w:rsidRPr="00B6450D">
        <w:rPr>
          <w:rFonts w:hint="cs"/>
          <w:i/>
          <w:sz w:val="23"/>
          <w:szCs w:val="23"/>
          <w:rtl/>
        </w:rPr>
        <w:t>در معادله‌ی (۱۲. ۷۱) نزدیک به‌یک است، ولی ضریب</w:t>
      </w:r>
      <w:r w:rsidRPr="00B6450D">
        <w:rPr>
          <w:position w:val="-10"/>
        </w:rPr>
        <w:object w:dxaOrig="540" w:dyaOrig="320" w14:anchorId="3A3F0294">
          <v:shape id="_x0000_i5803" type="#_x0000_t75" style="width:26.6pt;height:15.75pt" o:ole="">
            <v:imagedata r:id="rId9616" o:title=""/>
          </v:shape>
          <o:OLEObject Type="Embed" ProgID="Equation.DSMT4" ShapeID="_x0000_i5803" DrawAspect="Content" ObjectID="_1791379747" r:id="rId9617"/>
        </w:object>
      </w:r>
      <w:r w:rsidRPr="00B6450D">
        <w:rPr>
          <w:rFonts w:hint="cs"/>
          <w:i/>
          <w:sz w:val="23"/>
          <w:szCs w:val="23"/>
          <w:rtl/>
        </w:rPr>
        <w:t xml:space="preserve"> در معادله‌ی (۱۲. ۷۲) تفاوت معنی</w:t>
      </w:r>
      <w:r w:rsidRPr="00B6450D">
        <w:rPr>
          <w:i/>
          <w:sz w:val="23"/>
          <w:szCs w:val="23"/>
          <w:rtl/>
        </w:rPr>
        <w:softHyphen/>
      </w:r>
      <w:r w:rsidRPr="00B6450D">
        <w:rPr>
          <w:rFonts w:hint="cs"/>
          <w:i/>
          <w:sz w:val="23"/>
          <w:szCs w:val="23"/>
          <w:rtl/>
        </w:rPr>
        <w:t>داری از یک دارد و برای دوره</w:t>
      </w:r>
      <w:r w:rsidRPr="00B6450D">
        <w:rPr>
          <w:i/>
          <w:sz w:val="23"/>
          <w:szCs w:val="23"/>
          <w:rtl/>
        </w:rPr>
        <w:softHyphen/>
      </w:r>
      <w:r w:rsidRPr="00B6450D">
        <w:rPr>
          <w:rFonts w:hint="cs"/>
          <w:i/>
          <w:sz w:val="23"/>
          <w:szCs w:val="23"/>
          <w:rtl/>
        </w:rPr>
        <w:t>ای از زمان خاص و پول‌های رایج مهم حتی ممکن است بطور معنی</w:t>
      </w:r>
      <w:r w:rsidRPr="00B6450D">
        <w:rPr>
          <w:i/>
          <w:sz w:val="23"/>
          <w:szCs w:val="23"/>
          <w:rtl/>
        </w:rPr>
        <w:softHyphen/>
      </w:r>
      <w:r w:rsidRPr="00B6450D">
        <w:rPr>
          <w:rFonts w:hint="cs"/>
          <w:i/>
          <w:sz w:val="23"/>
          <w:szCs w:val="23"/>
          <w:rtl/>
        </w:rPr>
        <w:t>داری منطبق بر نظریه نبوده و منفی باشد.</w:t>
      </w:r>
    </w:p>
    <w:p w14:paraId="25B2310C" w14:textId="77777777" w:rsidR="00556C10" w:rsidRPr="00B6450D" w:rsidRDefault="00556C10" w:rsidP="00556C10">
      <w:pPr>
        <w:spacing w:line="216" w:lineRule="auto"/>
        <w:rPr>
          <w:i/>
          <w:sz w:val="23"/>
          <w:szCs w:val="23"/>
          <w:rtl/>
        </w:rPr>
      </w:pPr>
      <w:r w:rsidRPr="00B6450D">
        <w:rPr>
          <w:rFonts w:hint="cs"/>
          <w:i/>
          <w:sz w:val="23"/>
          <w:szCs w:val="23"/>
          <w:rtl/>
        </w:rPr>
        <w:t xml:space="preserve">یکی از اولین آزمون‌های آماری در خصوص </w:t>
      </w:r>
      <w:r w:rsidRPr="00B6450D">
        <w:rPr>
          <w:i/>
          <w:sz w:val="23"/>
          <w:szCs w:val="23"/>
        </w:rPr>
        <w:t>UIP</w:t>
      </w:r>
      <w:r w:rsidRPr="00B6450D">
        <w:rPr>
          <w:rFonts w:hint="cs"/>
          <w:i/>
          <w:sz w:val="23"/>
          <w:szCs w:val="23"/>
          <w:rtl/>
        </w:rPr>
        <w:t xml:space="preserve"> توسط فاما</w:t>
      </w:r>
      <w:r w:rsidRPr="00B6450D">
        <w:rPr>
          <w:rStyle w:val="FootnoteReference"/>
          <w:rFonts w:eastAsiaTheme="majorEastAsia"/>
          <w:i/>
          <w:sz w:val="23"/>
          <w:szCs w:val="23"/>
          <w:rtl/>
        </w:rPr>
        <w:footnoteReference w:id="302"/>
      </w:r>
      <w:r w:rsidRPr="00B6450D">
        <w:rPr>
          <w:rFonts w:hint="cs"/>
          <w:i/>
          <w:sz w:val="23"/>
          <w:szCs w:val="23"/>
          <w:rtl/>
        </w:rPr>
        <w:t xml:space="preserve"> در سال ۱۹۸۴ و با استفاده از تجزیه و تحلیل رگرسیون انجام شد. هر چند اطلاعات بسیار مفیدی از رفتار نرخ ارز و نمایش </w:t>
      </w:r>
      <w:r w:rsidRPr="00B6450D">
        <w:rPr>
          <w:i/>
          <w:sz w:val="23"/>
          <w:szCs w:val="23"/>
        </w:rPr>
        <w:t>UIP</w:t>
      </w:r>
      <w:r w:rsidRPr="00B6450D">
        <w:rPr>
          <w:rFonts w:hint="cs"/>
          <w:i/>
          <w:sz w:val="23"/>
          <w:szCs w:val="23"/>
          <w:rtl/>
        </w:rPr>
        <w:t xml:space="preserve"> را می‌توان از رسم داد‌های آن‌ها استخراج کرد. نمودار‌های ۱۲. ۵ الی ۱۲. ۱۰ داده‌های نرخ ارز دلار-استرلینگ را نشان می‌دهند. اگرچه به نظر می‌رسد که در نمودار ۱۲. ۵ فقط یک سری زمانی رسم شده، ولی در آن نمودار دو سری زمانی</w:t>
      </w:r>
      <w:r w:rsidRPr="00B6450D">
        <w:rPr>
          <w:position w:val="-10"/>
        </w:rPr>
        <w:object w:dxaOrig="200" w:dyaOrig="320" w14:anchorId="1E52B385">
          <v:shape id="_x0000_i5804" type="#_x0000_t75" style="width:10.3pt;height:15.75pt" o:ole="">
            <v:imagedata r:id="rId9618" o:title=""/>
          </v:shape>
          <o:OLEObject Type="Embed" ProgID="Equation.DSMT4" ShapeID="_x0000_i5804" DrawAspect="Content" ObjectID="_1791379748" r:id="rId9619"/>
        </w:object>
      </w:r>
      <w:r w:rsidRPr="00B6450D">
        <w:rPr>
          <w:i/>
          <w:sz w:val="23"/>
          <w:szCs w:val="23"/>
        </w:rPr>
        <w:t xml:space="preserve"> </w:t>
      </w:r>
      <w:r w:rsidRPr="00B6450D">
        <w:rPr>
          <w:rFonts w:hint="cs"/>
          <w:i/>
          <w:sz w:val="23"/>
          <w:szCs w:val="23"/>
          <w:rtl/>
        </w:rPr>
        <w:t>و</w:t>
      </w:r>
      <w:r w:rsidRPr="00B6450D">
        <w:rPr>
          <w:position w:val="-10"/>
        </w:rPr>
        <w:object w:dxaOrig="200" w:dyaOrig="320" w14:anchorId="65BDC14B">
          <v:shape id="_x0000_i5805" type="#_x0000_t75" style="width:10.3pt;height:15.75pt" o:ole="">
            <v:imagedata r:id="rId9620" o:title=""/>
          </v:shape>
          <o:OLEObject Type="Embed" ProgID="Equation.DSMT4" ShapeID="_x0000_i5805" DrawAspect="Content" ObjectID="_1791379749" r:id="rId9621"/>
        </w:object>
      </w:r>
      <w:r w:rsidRPr="00B6450D">
        <w:rPr>
          <w:rFonts w:hint="cs"/>
          <w:i/>
          <w:sz w:val="23"/>
          <w:szCs w:val="23"/>
          <w:rtl/>
        </w:rPr>
        <w:t xml:space="preserve"> وجود دارد. لذا نتیجه می‌گیریم که</w:t>
      </w:r>
      <w:r w:rsidRPr="00B6450D">
        <w:rPr>
          <w:position w:val="-10"/>
        </w:rPr>
        <w:object w:dxaOrig="580" w:dyaOrig="320" w14:anchorId="3BAD3B21">
          <v:shape id="_x0000_i5806" type="#_x0000_t75" style="width:29.05pt;height:15.75pt" o:ole="">
            <v:imagedata r:id="rId9622" o:title=""/>
          </v:shape>
          <o:OLEObject Type="Embed" ProgID="Equation.DSMT4" ShapeID="_x0000_i5806" DrawAspect="Content" ObjectID="_1791379750" r:id="rId9623"/>
        </w:object>
      </w:r>
      <w:r w:rsidRPr="00B6450D">
        <w:rPr>
          <w:i/>
          <w:sz w:val="23"/>
          <w:szCs w:val="23"/>
        </w:rPr>
        <w:t xml:space="preserve"> </w:t>
      </w:r>
      <w:r w:rsidRPr="00B6450D">
        <w:rPr>
          <w:rFonts w:hint="cs"/>
          <w:i/>
          <w:sz w:val="23"/>
          <w:szCs w:val="23"/>
          <w:rtl/>
        </w:rPr>
        <w:t>است. در نمودار ۱۲. ۶ که نمودار</w:t>
      </w:r>
      <w:r w:rsidRPr="00B6450D">
        <w:rPr>
          <w:position w:val="-10"/>
        </w:rPr>
        <w:object w:dxaOrig="340" w:dyaOrig="320" w14:anchorId="7FC23581">
          <v:shape id="_x0000_i5807" type="#_x0000_t75" style="width:16.95pt;height:15.75pt" o:ole="">
            <v:imagedata r:id="rId9624" o:title=""/>
          </v:shape>
          <o:OLEObject Type="Embed" ProgID="Equation.DSMT4" ShapeID="_x0000_i5807" DrawAspect="Content" ObjectID="_1791379751" r:id="rId9625"/>
        </w:object>
      </w:r>
      <w:r w:rsidRPr="00B6450D">
        <w:rPr>
          <w:rFonts w:hint="cs"/>
          <w:i/>
          <w:sz w:val="23"/>
          <w:szCs w:val="23"/>
          <w:rtl/>
        </w:rPr>
        <w:t xml:space="preserve"> و</w:t>
      </w:r>
      <w:r w:rsidRPr="00B6450D">
        <w:rPr>
          <w:position w:val="-10"/>
        </w:rPr>
        <w:object w:dxaOrig="200" w:dyaOrig="320" w14:anchorId="588B91DE">
          <v:shape id="_x0000_i5808" type="#_x0000_t75" style="width:10.3pt;height:15.75pt" o:ole="">
            <v:imagedata r:id="rId9626" o:title=""/>
          </v:shape>
          <o:OLEObject Type="Embed" ProgID="Equation.DSMT4" ShapeID="_x0000_i5808" DrawAspect="Content" ObjectID="_1791379752" r:id="rId9627"/>
        </w:object>
      </w:r>
      <w:r w:rsidRPr="00B6450D">
        <w:rPr>
          <w:rFonts w:hint="cs"/>
          <w:i/>
          <w:sz w:val="23"/>
          <w:szCs w:val="23"/>
          <w:rtl/>
        </w:rPr>
        <w:t xml:space="preserve"> رسم شده تفاوت بین این دو سری زمانی تا حدودی مشاهده می‌شود. ظاهر خیره</w:t>
      </w:r>
      <w:r w:rsidRPr="00B6450D">
        <w:rPr>
          <w:i/>
          <w:sz w:val="23"/>
          <w:szCs w:val="23"/>
          <w:rtl/>
        </w:rPr>
        <w:softHyphen/>
      </w:r>
      <w:r w:rsidRPr="00B6450D">
        <w:rPr>
          <w:rFonts w:hint="cs"/>
          <w:i/>
          <w:sz w:val="23"/>
          <w:szCs w:val="23"/>
          <w:rtl/>
        </w:rPr>
        <w:t xml:space="preserve">کننده آن است که </w:t>
      </w:r>
      <w:r w:rsidRPr="00B6450D">
        <w:rPr>
          <w:i/>
          <w:sz w:val="23"/>
          <w:szCs w:val="23"/>
        </w:rPr>
        <w:t>UIP</w:t>
      </w:r>
      <w:r w:rsidRPr="00B6450D">
        <w:rPr>
          <w:rFonts w:hint="cs"/>
          <w:i/>
          <w:sz w:val="23"/>
          <w:szCs w:val="23"/>
          <w:rtl/>
        </w:rPr>
        <w:t xml:space="preserve"> اجازه می‌دهد تا انتظار داشته باشیم که</w:t>
      </w:r>
      <w:r w:rsidRPr="00B6450D">
        <w:rPr>
          <w:position w:val="-10"/>
        </w:rPr>
        <w:object w:dxaOrig="920" w:dyaOrig="320" w14:anchorId="7D67E329">
          <v:shape id="_x0000_i5809" type="#_x0000_t75" style="width:46pt;height:15.75pt" o:ole="">
            <v:imagedata r:id="rId9628" o:title=""/>
          </v:shape>
          <o:OLEObject Type="Embed" ProgID="Equation.DSMT4" ShapeID="_x0000_i5809" DrawAspect="Content" ObjectID="_1791379753" r:id="rId9629"/>
        </w:object>
      </w:r>
      <w:r w:rsidRPr="00B6450D">
        <w:rPr>
          <w:i/>
          <w:sz w:val="23"/>
          <w:szCs w:val="23"/>
        </w:rPr>
        <w:t xml:space="preserve"> </w:t>
      </w:r>
      <w:r w:rsidRPr="00B6450D">
        <w:rPr>
          <w:rFonts w:hint="cs"/>
          <w:i/>
          <w:sz w:val="23"/>
          <w:szCs w:val="23"/>
          <w:rtl/>
        </w:rPr>
        <w:t>و نه</w:t>
      </w:r>
      <w:r w:rsidRPr="00B6450D">
        <w:rPr>
          <w:position w:val="-10"/>
        </w:rPr>
        <w:object w:dxaOrig="580" w:dyaOrig="320" w14:anchorId="1582A338">
          <v:shape id="_x0000_i5810" type="#_x0000_t75" style="width:29.05pt;height:15.75pt" o:ole="">
            <v:imagedata r:id="rId9630" o:title=""/>
          </v:shape>
          <o:OLEObject Type="Embed" ProgID="Equation.DSMT4" ShapeID="_x0000_i5810" DrawAspect="Content" ObjectID="_1791379754" r:id="rId9631"/>
        </w:object>
      </w:r>
      <w:r w:rsidRPr="00B6450D">
        <w:rPr>
          <w:rFonts w:hint="cs"/>
          <w:i/>
          <w:sz w:val="23"/>
          <w:szCs w:val="23"/>
          <w:rtl/>
        </w:rPr>
        <w:t xml:space="preserve"> . با این دو نمودار نتیجه می‌گیریم که</w:t>
      </w:r>
      <w:r w:rsidRPr="00B6450D">
        <w:rPr>
          <w:position w:val="-10"/>
        </w:rPr>
        <w:object w:dxaOrig="920" w:dyaOrig="320" w14:anchorId="4FBC509E">
          <v:shape id="_x0000_i5811" type="#_x0000_t75" style="width:46pt;height:15.75pt" o:ole="">
            <v:imagedata r:id="rId9632" o:title=""/>
          </v:shape>
          <o:OLEObject Type="Embed" ProgID="Equation.DSMT4" ShapeID="_x0000_i5811" DrawAspect="Content" ObjectID="_1791379755" r:id="rId9633"/>
        </w:object>
      </w:r>
      <w:r w:rsidRPr="00B6450D">
        <w:rPr>
          <w:rFonts w:hint="cs"/>
          <w:i/>
          <w:sz w:val="23"/>
          <w:szCs w:val="23"/>
          <w:rtl/>
        </w:rPr>
        <w:t xml:space="preserve"> است. بنابراین تغییرات در</w:t>
      </w:r>
      <w:r w:rsidRPr="00B6450D">
        <w:rPr>
          <w:position w:val="-10"/>
        </w:rPr>
        <w:object w:dxaOrig="200" w:dyaOrig="320" w14:anchorId="066D9CDC">
          <v:shape id="_x0000_i5812" type="#_x0000_t75" style="width:10.3pt;height:15.75pt" o:ole="">
            <v:imagedata r:id="rId9634" o:title=""/>
          </v:shape>
          <o:OLEObject Type="Embed" ProgID="Equation.DSMT4" ShapeID="_x0000_i5812" DrawAspect="Content" ObjectID="_1791379756" r:id="rId9635"/>
        </w:object>
      </w:r>
      <w:r w:rsidRPr="00B6450D">
        <w:rPr>
          <w:i/>
          <w:sz w:val="23"/>
          <w:szCs w:val="23"/>
        </w:rPr>
        <w:t xml:space="preserve"> </w:t>
      </w:r>
      <w:r w:rsidRPr="00B6450D">
        <w:rPr>
          <w:rFonts w:hint="cs"/>
          <w:i/>
          <w:sz w:val="23"/>
          <w:szCs w:val="23"/>
          <w:rtl/>
        </w:rPr>
        <w:t>قابل پیش</w:t>
      </w:r>
      <w:r w:rsidRPr="00B6450D">
        <w:rPr>
          <w:i/>
          <w:sz w:val="23"/>
          <w:szCs w:val="23"/>
          <w:rtl/>
        </w:rPr>
        <w:softHyphen/>
      </w:r>
      <w:r w:rsidRPr="00B6450D">
        <w:rPr>
          <w:rFonts w:hint="cs"/>
          <w:i/>
          <w:sz w:val="23"/>
          <w:szCs w:val="23"/>
          <w:rtl/>
        </w:rPr>
        <w:t xml:space="preserve">بینی نیست، و یا تقریباً متغیر مارتینگیل و یا گام تصادفی با واریانس ثابت است. بر طبق </w:t>
      </w:r>
      <w:r w:rsidRPr="00B6450D">
        <w:rPr>
          <w:i/>
          <w:sz w:val="23"/>
          <w:szCs w:val="23"/>
        </w:rPr>
        <w:t>UIP</w:t>
      </w:r>
      <w:r w:rsidRPr="00B6450D">
        <w:rPr>
          <w:rFonts w:hint="cs"/>
          <w:i/>
          <w:sz w:val="23"/>
          <w:szCs w:val="23"/>
          <w:rtl/>
        </w:rPr>
        <w:t>، مابه</w:t>
      </w:r>
      <w:r w:rsidRPr="00B6450D">
        <w:rPr>
          <w:i/>
          <w:sz w:val="23"/>
          <w:szCs w:val="23"/>
          <w:rtl/>
        </w:rPr>
        <w:softHyphen/>
      </w:r>
      <w:r w:rsidRPr="00B6450D">
        <w:rPr>
          <w:rFonts w:hint="cs"/>
          <w:i/>
          <w:sz w:val="23"/>
          <w:szCs w:val="23"/>
          <w:rtl/>
        </w:rPr>
        <w:t>التفاوت سلف، پیش</w:t>
      </w:r>
      <w:r w:rsidRPr="00B6450D">
        <w:rPr>
          <w:i/>
          <w:sz w:val="23"/>
          <w:szCs w:val="23"/>
          <w:rtl/>
        </w:rPr>
        <w:softHyphen/>
      </w:r>
      <w:r w:rsidRPr="00B6450D">
        <w:rPr>
          <w:rFonts w:hint="cs"/>
          <w:i/>
          <w:sz w:val="23"/>
          <w:szCs w:val="23"/>
          <w:rtl/>
        </w:rPr>
        <w:t>بینی بازار از تغییرات آینده‌ی در نرخ لحظه</w:t>
      </w:r>
      <w:r w:rsidRPr="00B6450D">
        <w:rPr>
          <w:i/>
          <w:sz w:val="23"/>
          <w:szCs w:val="23"/>
          <w:rtl/>
        </w:rPr>
        <w:softHyphen/>
      </w:r>
      <w:r w:rsidRPr="00B6450D">
        <w:rPr>
          <w:rFonts w:hint="cs"/>
          <w:i/>
          <w:sz w:val="23"/>
          <w:szCs w:val="23"/>
          <w:rtl/>
        </w:rPr>
        <w:t>ای است. در نمودار ۱۲. ۷ متغیرهای</w:t>
      </w:r>
      <w:r w:rsidRPr="00B6450D">
        <w:rPr>
          <w:position w:val="-10"/>
        </w:rPr>
        <w:object w:dxaOrig="480" w:dyaOrig="320" w14:anchorId="36276722">
          <v:shape id="_x0000_i5813" type="#_x0000_t75" style="width:24.2pt;height:15.75pt" o:ole="">
            <v:imagedata r:id="rId9636" o:title=""/>
          </v:shape>
          <o:OLEObject Type="Embed" ProgID="Equation.DSMT4" ShapeID="_x0000_i5813" DrawAspect="Content" ObjectID="_1791379757" r:id="rId9637"/>
        </w:object>
      </w:r>
      <w:r w:rsidRPr="00B6450D">
        <w:rPr>
          <w:rFonts w:hint="cs"/>
          <w:i/>
          <w:sz w:val="23"/>
          <w:szCs w:val="23"/>
          <w:rtl/>
        </w:rPr>
        <w:t xml:space="preserve"> و </w:t>
      </w:r>
      <w:r w:rsidRPr="00B6450D">
        <w:rPr>
          <w:position w:val="-10"/>
        </w:rPr>
        <w:object w:dxaOrig="540" w:dyaOrig="320" w14:anchorId="20AC5A92">
          <v:shape id="_x0000_i5814" type="#_x0000_t75" style="width:26.6pt;height:15.75pt" o:ole="">
            <v:imagedata r:id="rId9638" o:title=""/>
          </v:shape>
          <o:OLEObject Type="Embed" ProgID="Equation.DSMT4" ShapeID="_x0000_i5814" DrawAspect="Content" ObjectID="_1791379758" r:id="rId9639"/>
        </w:object>
      </w:r>
      <w:r w:rsidRPr="00B6450D">
        <w:rPr>
          <w:rFonts w:hint="cs"/>
          <w:i/>
          <w:sz w:val="23"/>
          <w:szCs w:val="23"/>
          <w:rtl/>
        </w:rPr>
        <w:t xml:space="preserve"> رسم شده است. بطور آشکارا مابه</w:t>
      </w:r>
      <w:r w:rsidRPr="00B6450D">
        <w:rPr>
          <w:i/>
          <w:sz w:val="23"/>
          <w:szCs w:val="23"/>
          <w:rtl/>
        </w:rPr>
        <w:softHyphen/>
      </w:r>
      <w:r w:rsidRPr="00B6450D">
        <w:rPr>
          <w:rFonts w:hint="cs"/>
          <w:i/>
          <w:sz w:val="23"/>
          <w:szCs w:val="23"/>
          <w:rtl/>
        </w:rPr>
        <w:t>التفاوت آتی پیش</w:t>
      </w:r>
      <w:r w:rsidRPr="00B6450D">
        <w:rPr>
          <w:i/>
          <w:sz w:val="23"/>
          <w:szCs w:val="23"/>
          <w:rtl/>
        </w:rPr>
        <w:softHyphen/>
      </w:r>
      <w:r w:rsidRPr="00B6450D">
        <w:rPr>
          <w:rFonts w:hint="cs"/>
          <w:i/>
          <w:sz w:val="23"/>
          <w:szCs w:val="23"/>
          <w:rtl/>
        </w:rPr>
        <w:t>بینی کننده</w:t>
      </w:r>
      <w:r w:rsidRPr="00B6450D">
        <w:rPr>
          <w:i/>
          <w:sz w:val="23"/>
          <w:szCs w:val="23"/>
          <w:rtl/>
        </w:rPr>
        <w:softHyphen/>
      </w:r>
      <w:r w:rsidRPr="00B6450D">
        <w:rPr>
          <w:rFonts w:hint="cs"/>
          <w:i/>
          <w:sz w:val="23"/>
          <w:szCs w:val="23"/>
          <w:rtl/>
        </w:rPr>
        <w:t>ی ضعیفی از تغییرات در نرخ لحظه</w:t>
      </w:r>
      <w:r w:rsidRPr="00B6450D">
        <w:rPr>
          <w:i/>
          <w:sz w:val="23"/>
          <w:szCs w:val="23"/>
          <w:rtl/>
        </w:rPr>
        <w:softHyphen/>
      </w:r>
      <w:r w:rsidRPr="00B6450D">
        <w:rPr>
          <w:rFonts w:hint="cs"/>
          <w:i/>
          <w:sz w:val="23"/>
          <w:szCs w:val="23"/>
          <w:rtl/>
        </w:rPr>
        <w:t>ای است. اگر</w:t>
      </w:r>
      <w:r w:rsidRPr="00B6450D">
        <w:rPr>
          <w:position w:val="-10"/>
        </w:rPr>
        <w:object w:dxaOrig="200" w:dyaOrig="320" w14:anchorId="0F1B5701">
          <v:shape id="_x0000_i5815" type="#_x0000_t75" style="width:10.3pt;height:15.75pt" o:ole="">
            <v:imagedata r:id="rId9640" o:title=""/>
          </v:shape>
          <o:OLEObject Type="Embed" ProgID="Equation.DSMT4" ShapeID="_x0000_i5815" DrawAspect="Content" ObjectID="_1791379759" r:id="rId9641"/>
        </w:object>
      </w:r>
      <w:r w:rsidRPr="00B6450D">
        <w:rPr>
          <w:i/>
          <w:sz w:val="23"/>
          <w:szCs w:val="23"/>
        </w:rPr>
        <w:t xml:space="preserve"> </w:t>
      </w:r>
      <w:r w:rsidRPr="00B6450D">
        <w:rPr>
          <w:rFonts w:hint="cs"/>
          <w:i/>
          <w:sz w:val="23"/>
          <w:szCs w:val="23"/>
          <w:rtl/>
        </w:rPr>
        <w:t>گام تصادفی باشد، آنگاه خطای پیش</w:t>
      </w:r>
      <w:r w:rsidRPr="00B6450D">
        <w:rPr>
          <w:i/>
          <w:sz w:val="23"/>
          <w:szCs w:val="23"/>
          <w:rtl/>
        </w:rPr>
        <w:softHyphen/>
      </w:r>
      <w:r w:rsidRPr="00B6450D">
        <w:rPr>
          <w:rFonts w:hint="cs"/>
          <w:i/>
          <w:sz w:val="23"/>
          <w:szCs w:val="23"/>
          <w:rtl/>
        </w:rPr>
        <w:t>بینی، همان</w:t>
      </w:r>
      <w:r w:rsidRPr="00B6450D">
        <w:rPr>
          <w:i/>
          <w:sz w:val="23"/>
          <w:szCs w:val="23"/>
          <w:rtl/>
        </w:rPr>
        <w:softHyphen/>
      </w:r>
      <w:r w:rsidRPr="00B6450D">
        <w:rPr>
          <w:rFonts w:hint="cs"/>
          <w:i/>
          <w:sz w:val="23"/>
          <w:szCs w:val="23"/>
          <w:rtl/>
        </w:rPr>
        <w:t>طور که نمودار ۱۲. ۷ نشان می‌دهد، از اطلاعات جاری غیر قابل پیش</w:t>
      </w:r>
      <w:r w:rsidRPr="00B6450D">
        <w:rPr>
          <w:i/>
          <w:sz w:val="23"/>
          <w:szCs w:val="23"/>
          <w:rtl/>
        </w:rPr>
        <w:softHyphen/>
      </w:r>
      <w:r w:rsidRPr="00B6450D">
        <w:rPr>
          <w:rFonts w:hint="cs"/>
          <w:i/>
          <w:sz w:val="23"/>
          <w:szCs w:val="23"/>
          <w:rtl/>
        </w:rPr>
        <w:t>بینی است.</w:t>
      </w:r>
    </w:p>
    <w:p w14:paraId="40106364" w14:textId="77777777" w:rsidR="00556C10" w:rsidRPr="00B6450D" w:rsidRDefault="00556C10" w:rsidP="00556C10">
      <w:pPr>
        <w:spacing w:line="216" w:lineRule="auto"/>
        <w:rPr>
          <w:i/>
          <w:sz w:val="23"/>
          <w:szCs w:val="23"/>
          <w:rtl/>
        </w:rPr>
      </w:pPr>
      <w:r w:rsidRPr="00B6450D">
        <w:rPr>
          <w:rFonts w:hint="cs"/>
          <w:i/>
          <w:sz w:val="23"/>
          <w:szCs w:val="23"/>
          <w:rtl/>
        </w:rPr>
        <w:t>روش دیگر جهت نمایش داده‌ها نمودار پراکندگی است. در نمودار ۱۲. ۸ متغیر</w:t>
      </w:r>
      <w:r w:rsidRPr="00B6450D">
        <w:rPr>
          <w:position w:val="-10"/>
        </w:rPr>
        <w:object w:dxaOrig="200" w:dyaOrig="320" w14:anchorId="26E56B2D">
          <v:shape id="_x0000_i5816" type="#_x0000_t75" style="width:10.3pt;height:15.75pt" o:ole="">
            <v:imagedata r:id="rId9642" o:title=""/>
          </v:shape>
          <o:OLEObject Type="Embed" ProgID="Equation.DSMT4" ShapeID="_x0000_i5816" DrawAspect="Content" ObjectID="_1791379760" r:id="rId9643"/>
        </w:object>
      </w:r>
      <w:r w:rsidRPr="00B6450D">
        <w:rPr>
          <w:rFonts w:hint="cs"/>
          <w:i/>
          <w:sz w:val="23"/>
          <w:szCs w:val="23"/>
          <w:rtl/>
        </w:rPr>
        <w:t xml:space="preserve"> در مقابل</w:t>
      </w:r>
      <w:r w:rsidRPr="00B6450D">
        <w:rPr>
          <w:position w:val="-10"/>
        </w:rPr>
        <w:object w:dxaOrig="200" w:dyaOrig="320" w14:anchorId="4A4D5E76">
          <v:shape id="_x0000_i5817" type="#_x0000_t75" style="width:10.3pt;height:15.75pt" o:ole="">
            <v:imagedata r:id="rId9644" o:title=""/>
          </v:shape>
          <o:OLEObject Type="Embed" ProgID="Equation.DSMT4" ShapeID="_x0000_i5817" DrawAspect="Content" ObjectID="_1791379761" r:id="rId9645"/>
        </w:object>
      </w:r>
      <w:r w:rsidRPr="00B6450D">
        <w:rPr>
          <w:rFonts w:hint="cs"/>
          <w:i/>
          <w:sz w:val="23"/>
          <w:szCs w:val="23"/>
          <w:rtl/>
        </w:rPr>
        <w:t xml:space="preserve"> رسم شده است. این نمودار برابری</w:t>
      </w:r>
      <w:r w:rsidRPr="00B6450D">
        <w:rPr>
          <w:position w:val="-10"/>
        </w:rPr>
        <w:object w:dxaOrig="580" w:dyaOrig="320" w14:anchorId="152DA8CA">
          <v:shape id="_x0000_i5818" type="#_x0000_t75" style="width:29.05pt;height:15.75pt" o:ole="">
            <v:imagedata r:id="rId9646" o:title=""/>
          </v:shape>
          <o:OLEObject Type="Embed" ProgID="Equation.DSMT4" ShapeID="_x0000_i5818" DrawAspect="Content" ObjectID="_1791379762" r:id="rId9647"/>
        </w:object>
      </w:r>
      <w:r w:rsidRPr="00B6450D">
        <w:rPr>
          <w:i/>
          <w:sz w:val="23"/>
          <w:szCs w:val="23"/>
        </w:rPr>
        <w:t xml:space="preserve"> </w:t>
      </w:r>
      <w:r w:rsidRPr="00B6450D">
        <w:rPr>
          <w:rFonts w:hint="cs"/>
          <w:i/>
          <w:sz w:val="23"/>
          <w:szCs w:val="23"/>
          <w:rtl/>
        </w:rPr>
        <w:t>را بواسطه‌ی خط ۴۵ درجه نشان می‌دهد. در نمودار ۱۲. ۹ متغیر</w:t>
      </w:r>
      <w:r w:rsidRPr="00B6450D">
        <w:rPr>
          <w:position w:val="-10"/>
        </w:rPr>
        <w:object w:dxaOrig="340" w:dyaOrig="320" w14:anchorId="13B111A5">
          <v:shape id="_x0000_i5819" type="#_x0000_t75" style="width:16.95pt;height:15.75pt" o:ole="">
            <v:imagedata r:id="rId9648" o:title=""/>
          </v:shape>
          <o:OLEObject Type="Embed" ProgID="Equation.DSMT4" ShapeID="_x0000_i5819" DrawAspect="Content" ObjectID="_1791379763" r:id="rId9649"/>
        </w:object>
      </w:r>
      <w:r w:rsidRPr="00B6450D">
        <w:rPr>
          <w:rFonts w:hint="cs"/>
          <w:i/>
          <w:sz w:val="23"/>
          <w:szCs w:val="23"/>
          <w:rtl/>
        </w:rPr>
        <w:t xml:space="preserve"> در مقابل</w:t>
      </w:r>
      <w:r w:rsidRPr="00B6450D">
        <w:rPr>
          <w:position w:val="-10"/>
        </w:rPr>
        <w:object w:dxaOrig="200" w:dyaOrig="320" w14:anchorId="0AFEACA1">
          <v:shape id="_x0000_i5820" type="#_x0000_t75" style="width:10.3pt;height:15.75pt" o:ole="">
            <v:imagedata r:id="rId9650" o:title=""/>
          </v:shape>
          <o:OLEObject Type="Embed" ProgID="Equation.DSMT4" ShapeID="_x0000_i5820" DrawAspect="Content" ObjectID="_1791379764" r:id="rId9651"/>
        </w:object>
      </w:r>
      <w:r w:rsidRPr="00B6450D">
        <w:rPr>
          <w:rFonts w:hint="cs"/>
          <w:i/>
          <w:sz w:val="23"/>
          <w:szCs w:val="23"/>
          <w:rtl/>
        </w:rPr>
        <w:t xml:space="preserve"> رسم شده، و بر طبق </w:t>
      </w:r>
      <w:r w:rsidRPr="00B6450D">
        <w:rPr>
          <w:i/>
          <w:sz w:val="23"/>
          <w:szCs w:val="23"/>
        </w:rPr>
        <w:t>UIP</w:t>
      </w:r>
      <w:r w:rsidRPr="00B6450D">
        <w:rPr>
          <w:rFonts w:hint="cs"/>
          <w:i/>
          <w:sz w:val="23"/>
          <w:szCs w:val="23"/>
          <w:rtl/>
        </w:rPr>
        <w:t>، معادله‌ی (۱۲. ۷۱)، این نمودار نیز می‌بایست خط ۴۵ درجه بوده و از محور مختصات بگذرد. البته این نمودار گویای نکات فوق بوده ولی برازش آن کمتر از نمودار ۱۲. ۸ می‌باشد. بالاخره، در نمودار ۱۲. ۱۰ متغیر</w:t>
      </w:r>
      <w:r w:rsidRPr="00B6450D">
        <w:rPr>
          <w:position w:val="-10"/>
        </w:rPr>
        <w:object w:dxaOrig="480" w:dyaOrig="320" w14:anchorId="67314D1D">
          <v:shape id="_x0000_i5821" type="#_x0000_t75" style="width:24.2pt;height:15.75pt" o:ole="">
            <v:imagedata r:id="rId9652" o:title=""/>
          </v:shape>
          <o:OLEObject Type="Embed" ProgID="Equation.DSMT4" ShapeID="_x0000_i5821" DrawAspect="Content" ObjectID="_1791379765" r:id="rId9653"/>
        </w:object>
      </w:r>
      <w:r w:rsidRPr="00B6450D">
        <w:rPr>
          <w:rFonts w:hint="cs"/>
          <w:i/>
          <w:sz w:val="23"/>
          <w:szCs w:val="23"/>
          <w:rtl/>
        </w:rPr>
        <w:t xml:space="preserve">در مقابل </w:t>
      </w:r>
      <w:r w:rsidRPr="00B6450D">
        <w:rPr>
          <w:position w:val="-10"/>
        </w:rPr>
        <w:object w:dxaOrig="540" w:dyaOrig="320" w14:anchorId="69684D51">
          <v:shape id="_x0000_i5822" type="#_x0000_t75" style="width:26.6pt;height:15.75pt" o:ole="">
            <v:imagedata r:id="rId9654" o:title=""/>
          </v:shape>
          <o:OLEObject Type="Embed" ProgID="Equation.DSMT4" ShapeID="_x0000_i5822" DrawAspect="Content" ObjectID="_1791379766" r:id="rId9655"/>
        </w:object>
      </w:r>
      <w:r w:rsidRPr="00B6450D">
        <w:rPr>
          <w:rFonts w:hint="cs"/>
          <w:i/>
          <w:sz w:val="23"/>
          <w:szCs w:val="23"/>
          <w:rtl/>
        </w:rPr>
        <w:t xml:space="preserve"> رسم شده است. بر طبق شرط </w:t>
      </w:r>
      <w:r w:rsidRPr="00B6450D">
        <w:rPr>
          <w:i/>
          <w:sz w:val="23"/>
          <w:szCs w:val="23"/>
        </w:rPr>
        <w:t>UIP</w:t>
      </w:r>
      <w:r w:rsidRPr="00B6450D">
        <w:rPr>
          <w:rFonts w:hint="cs"/>
          <w:i/>
          <w:sz w:val="23"/>
          <w:szCs w:val="23"/>
          <w:rtl/>
        </w:rPr>
        <w:t xml:space="preserve"> و همچنین مقیاس متفاوت محورهای مختصات، معادله‌ی (۱۲. ۷۲)، </w:t>
      </w:r>
      <w:r w:rsidRPr="00B6450D">
        <w:rPr>
          <w:rFonts w:hint="cs"/>
          <w:i/>
          <w:sz w:val="23"/>
          <w:szCs w:val="23"/>
          <w:rtl/>
        </w:rPr>
        <w:lastRenderedPageBreak/>
        <w:t>می‌بایست خط با شیب مثبت و ۴۵ درجه از مبداء مختصات باشد. در واقع، همان</w:t>
      </w:r>
      <w:r w:rsidRPr="00B6450D">
        <w:rPr>
          <w:i/>
          <w:sz w:val="23"/>
          <w:szCs w:val="23"/>
          <w:rtl/>
        </w:rPr>
        <w:softHyphen/>
      </w:r>
      <w:r w:rsidRPr="00B6450D">
        <w:rPr>
          <w:rFonts w:hint="cs"/>
          <w:i/>
          <w:sz w:val="23"/>
          <w:szCs w:val="23"/>
          <w:rtl/>
        </w:rPr>
        <w:t>گونه که از این نمودار مشاهده می‌شود، ‌هیچ خطی این داده‌ها را حتی بطور تقریبی برازش نمی</w:t>
      </w:r>
      <w:r w:rsidRPr="00B6450D">
        <w:rPr>
          <w:i/>
          <w:sz w:val="23"/>
          <w:szCs w:val="23"/>
          <w:rtl/>
        </w:rPr>
        <w:softHyphen/>
      </w:r>
      <w:r w:rsidRPr="00B6450D">
        <w:rPr>
          <w:rFonts w:hint="cs"/>
          <w:i/>
          <w:sz w:val="23"/>
          <w:szCs w:val="23"/>
          <w:rtl/>
        </w:rPr>
        <w:t>کند.</w:t>
      </w:r>
    </w:p>
    <w:p w14:paraId="4FC1B87C" w14:textId="77777777" w:rsidR="00556C10" w:rsidRPr="00B6450D" w:rsidRDefault="00556C10" w:rsidP="00556C10">
      <w:pPr>
        <w:spacing w:line="216" w:lineRule="auto"/>
        <w:rPr>
          <w:i/>
          <w:sz w:val="23"/>
          <w:szCs w:val="23"/>
        </w:rPr>
      </w:pPr>
      <w:r w:rsidRPr="00B6450D">
        <w:rPr>
          <w:rFonts w:hint="cs"/>
          <w:i/>
          <w:sz w:val="23"/>
          <w:szCs w:val="23"/>
          <w:rtl/>
        </w:rPr>
        <w:t>نتایج مشابه را می‌توان با ارزهای دیگر و در دوره‌های زمانی متفاوت بدست آورد. نتایج تحقیقات مارک و وو</w:t>
      </w:r>
      <w:r w:rsidRPr="00B6450D">
        <w:rPr>
          <w:rStyle w:val="FootnoteReference"/>
          <w:rFonts w:eastAsiaTheme="majorEastAsia"/>
          <w:i/>
          <w:sz w:val="23"/>
          <w:szCs w:val="23"/>
          <w:rtl/>
        </w:rPr>
        <w:footnoteReference w:id="303"/>
      </w:r>
      <w:r w:rsidRPr="00B6450D">
        <w:rPr>
          <w:rFonts w:hint="cs"/>
          <w:i/>
          <w:sz w:val="23"/>
          <w:szCs w:val="23"/>
          <w:rtl/>
        </w:rPr>
        <w:t xml:space="preserve"> در سال ۱۹۹۸ که مبتنی بر داده‌های ماهانه ۱۹۸۰:۱-۱۹۹۴:۱ و ۱۹۷۶:۱- ۱۹۹۴:۱ می‌باشد در جدول ۱۲. ۲ ارائه شده است.</w:t>
      </w:r>
    </w:p>
    <w:p w14:paraId="55CF5FFC" w14:textId="77777777" w:rsidR="00556C10" w:rsidRPr="00B6450D" w:rsidRDefault="00556C10" w:rsidP="00556C10">
      <w:pPr>
        <w:spacing w:line="216" w:lineRule="auto"/>
        <w:rPr>
          <w:i/>
          <w:sz w:val="23"/>
          <w:szCs w:val="23"/>
        </w:rPr>
      </w:pPr>
      <w:r w:rsidRPr="00B6450D">
        <w:rPr>
          <w:rFonts w:hint="cs"/>
          <w:i/>
          <w:sz w:val="23"/>
          <w:szCs w:val="23"/>
          <w:rtl/>
        </w:rPr>
        <w:t>در این جدول برآورد ضرایب مابه</w:t>
      </w:r>
      <w:r w:rsidRPr="00B6450D">
        <w:rPr>
          <w:i/>
          <w:sz w:val="23"/>
          <w:szCs w:val="23"/>
          <w:rtl/>
        </w:rPr>
        <w:softHyphen/>
      </w:r>
      <w:r w:rsidRPr="00B6450D">
        <w:rPr>
          <w:rFonts w:hint="cs"/>
          <w:i/>
          <w:sz w:val="23"/>
          <w:szCs w:val="23"/>
          <w:rtl/>
        </w:rPr>
        <w:t>التفاوت در معادله‌ی (۱۲. ۷۲) و همچنین انحراف معیار آن ضرائب در داخل پرانتز نشان داده شده است. کما بیش تمامی ضرائب برآورد شده منفی است، و بسیاری از آن‌ها بطور معنی</w:t>
      </w:r>
      <w:r w:rsidRPr="00B6450D">
        <w:rPr>
          <w:i/>
          <w:sz w:val="23"/>
          <w:szCs w:val="23"/>
          <w:rtl/>
        </w:rPr>
        <w:softHyphen/>
      </w:r>
      <w:r w:rsidRPr="00B6450D">
        <w:rPr>
          <w:rFonts w:hint="cs"/>
          <w:i/>
          <w:sz w:val="23"/>
          <w:szCs w:val="23"/>
          <w:rtl/>
        </w:rPr>
        <w:t>داری متفاوت از یک یا ارزش تئوریکی پیش</w:t>
      </w:r>
      <w:r w:rsidRPr="00B6450D">
        <w:rPr>
          <w:i/>
          <w:sz w:val="23"/>
          <w:szCs w:val="23"/>
          <w:rtl/>
        </w:rPr>
        <w:softHyphen/>
      </w:r>
      <w:r w:rsidRPr="00B6450D">
        <w:rPr>
          <w:rFonts w:hint="cs"/>
          <w:i/>
          <w:sz w:val="23"/>
          <w:szCs w:val="23"/>
          <w:rtl/>
        </w:rPr>
        <w:t>بینی شده می‌باشند. این نتایج نشان می‌دهند که</w:t>
      </w:r>
    </w:p>
    <w:p w14:paraId="0FA238D1" w14:textId="77777777" w:rsidR="00556C10" w:rsidRPr="00B6450D" w:rsidRDefault="00556C10" w:rsidP="00556C10">
      <w:pPr>
        <w:bidi w:val="0"/>
        <w:spacing w:line="216" w:lineRule="auto"/>
        <w:rPr>
          <w:i/>
          <w:sz w:val="23"/>
          <w:szCs w:val="23"/>
          <w:rtl/>
        </w:rPr>
      </w:pPr>
      <w:r w:rsidRPr="00B6450D">
        <w:rPr>
          <w:position w:val="-16"/>
        </w:rPr>
        <w:object w:dxaOrig="1719" w:dyaOrig="420" w14:anchorId="616AF8F6">
          <v:shape id="_x0000_i5823" type="#_x0000_t75" style="width:85.9pt;height:21.2pt" o:ole="">
            <v:imagedata r:id="rId9656" o:title=""/>
          </v:shape>
          <o:OLEObject Type="Embed" ProgID="Equation.DSMT4" ShapeID="_x0000_i5823" DrawAspect="Content" ObjectID="_1791379767" r:id="rId9657"/>
        </w:object>
      </w:r>
    </w:p>
    <w:p w14:paraId="5D6A5D7A" w14:textId="77777777" w:rsidR="00556C10" w:rsidRPr="00B6450D" w:rsidRDefault="00556C10" w:rsidP="00556C10">
      <w:pPr>
        <w:spacing w:line="216" w:lineRule="auto"/>
        <w:rPr>
          <w:i/>
          <w:sz w:val="23"/>
          <w:szCs w:val="23"/>
        </w:rPr>
      </w:pPr>
      <w:r w:rsidRPr="00B6450D">
        <w:rPr>
          <w:rFonts w:hint="cs"/>
          <w:i/>
          <w:sz w:val="23"/>
          <w:szCs w:val="23"/>
          <w:rtl/>
        </w:rPr>
        <w:t xml:space="preserve">که در آن بجای </w:t>
      </w:r>
      <w:r w:rsidRPr="00B6450D">
        <w:rPr>
          <w:position w:val="-6"/>
        </w:rPr>
        <w:object w:dxaOrig="520" w:dyaOrig="260" w14:anchorId="5FDDDBB8">
          <v:shape id="_x0000_i5824" type="#_x0000_t75" style="width:26pt;height:13.3pt" o:ole="">
            <v:imagedata r:id="rId9658" o:title=""/>
          </v:shape>
          <o:OLEObject Type="Embed" ProgID="Equation.DSMT4" ShapeID="_x0000_i5824" DrawAspect="Content" ObjectID="_1791379768" r:id="rId9659"/>
        </w:object>
      </w:r>
      <w:r w:rsidRPr="00B6450D">
        <w:rPr>
          <w:rFonts w:hint="cs"/>
          <w:i/>
          <w:sz w:val="23"/>
          <w:szCs w:val="23"/>
          <w:rtl/>
        </w:rPr>
        <w:t xml:space="preserve">، </w:t>
      </w:r>
      <w:r w:rsidRPr="00B6450D">
        <w:rPr>
          <w:position w:val="-6"/>
        </w:rPr>
        <w:object w:dxaOrig="540" w:dyaOrig="260" w14:anchorId="5D430054">
          <v:shape id="_x0000_i5825" type="#_x0000_t75" style="width:26.6pt;height:13.3pt" o:ole="">
            <v:imagedata r:id="rId9660" o:title=""/>
          </v:shape>
          <o:OLEObject Type="Embed" ProgID="Equation.DSMT4" ShapeID="_x0000_i5825" DrawAspect="Content" ObjectID="_1791379769" r:id="rId9661"/>
        </w:object>
      </w:r>
      <w:r w:rsidRPr="00B6450D">
        <w:rPr>
          <w:i/>
          <w:sz w:val="23"/>
          <w:szCs w:val="23"/>
          <w:rtl/>
        </w:rPr>
        <w:t xml:space="preserve"> می</w:t>
      </w:r>
      <w:r w:rsidRPr="00B6450D">
        <w:rPr>
          <w:rFonts w:hint="cs"/>
          <w:i/>
          <w:sz w:val="23"/>
          <w:szCs w:val="23"/>
          <w:rtl/>
        </w:rPr>
        <w:t>‌باشد. این رابطه را می‌توان به صورت زیر بازنویسی کرد</w:t>
      </w:r>
    </w:p>
    <w:p w14:paraId="5490E9F6" w14:textId="77777777" w:rsidR="00556C10" w:rsidRPr="00B6450D" w:rsidRDefault="00556C10" w:rsidP="00556C10">
      <w:pPr>
        <w:bidi w:val="0"/>
        <w:spacing w:line="216" w:lineRule="auto"/>
        <w:rPr>
          <w:sz w:val="23"/>
          <w:szCs w:val="23"/>
        </w:rPr>
      </w:pPr>
      <w:r w:rsidRPr="00B6450D">
        <w:rPr>
          <w:position w:val="-30"/>
        </w:rPr>
        <w:object w:dxaOrig="5899" w:dyaOrig="700" w14:anchorId="6E70723A">
          <v:shape id="_x0000_i5826" type="#_x0000_t75" style="width:294.65pt;height:35.1pt" o:ole="">
            <v:imagedata r:id="rId9662" o:title=""/>
          </v:shape>
          <o:OLEObject Type="Embed" ProgID="Equation.DSMT4" ShapeID="_x0000_i5826" DrawAspect="Content" ObjectID="_1791379770" r:id="rId9663"/>
        </w:object>
      </w:r>
    </w:p>
    <w:p w14:paraId="566C57A2" w14:textId="77777777" w:rsidR="00556C10" w:rsidRDefault="00556C10" w:rsidP="00556C10">
      <w:pPr>
        <w:spacing w:line="216" w:lineRule="auto"/>
        <w:rPr>
          <w:i/>
          <w:sz w:val="23"/>
          <w:szCs w:val="23"/>
          <w:rtl/>
        </w:rPr>
      </w:pPr>
      <w:r w:rsidRPr="00B6450D">
        <w:rPr>
          <w:rFonts w:hint="cs"/>
          <w:i/>
          <w:sz w:val="23"/>
          <w:szCs w:val="23"/>
          <w:rtl/>
        </w:rPr>
        <w:t xml:space="preserve">بنابراین،‌ اگر </w:t>
      </w:r>
      <w:r w:rsidRPr="00B6450D">
        <w:rPr>
          <w:position w:val="-6"/>
        </w:rPr>
        <w:object w:dxaOrig="540" w:dyaOrig="260" w14:anchorId="6ADB017F">
          <v:shape id="_x0000_i5827" type="#_x0000_t75" style="width:26.6pt;height:13.3pt" o:ole="">
            <v:imagedata r:id="rId9664" o:title=""/>
          </v:shape>
          <o:OLEObject Type="Embed" ProgID="Equation.DSMT4" ShapeID="_x0000_i5827" DrawAspect="Content" ObjectID="_1791379771" r:id="rId9665"/>
        </w:object>
      </w:r>
      <w:r w:rsidRPr="00B6450D">
        <w:rPr>
          <w:i/>
          <w:sz w:val="23"/>
          <w:szCs w:val="23"/>
        </w:rPr>
        <w:t xml:space="preserve"> </w:t>
      </w:r>
      <w:r w:rsidRPr="00B6450D">
        <w:rPr>
          <w:rFonts w:hint="cs"/>
          <w:i/>
          <w:sz w:val="23"/>
          <w:szCs w:val="23"/>
          <w:rtl/>
        </w:rPr>
        <w:t>باشد، آنگاه، اگر انتظار ‌رود تا هزینه‌ی عایدات سرمایه‌گذاری در اوراق قرضه‌ی خارجی و تبدیل آن به پول داخلی افزایش یابد (یعنی، اگر انتظار رود ارزش پول داخلی کاهش یابد)، نرخ بهره‌ی داخلی توسط بازار بجای آن که برابر یا</w:t>
      </w:r>
      <w:r w:rsidRPr="00B6450D">
        <w:rPr>
          <w:position w:val="-10"/>
        </w:rPr>
        <w:object w:dxaOrig="1040" w:dyaOrig="340" w14:anchorId="6ED54AA9">
          <v:shape id="_x0000_i5828" type="#_x0000_t75" style="width:52.05pt;height:16.95pt" o:ole="">
            <v:imagedata r:id="rId9666" o:title=""/>
          </v:shape>
          <o:OLEObject Type="Embed" ProgID="Equation.DSMT4" ShapeID="_x0000_i5828" DrawAspect="Content" ObjectID="_1791379772" r:id="rId9667"/>
        </w:object>
      </w:r>
      <w:r w:rsidRPr="00B6450D">
        <w:rPr>
          <w:rFonts w:hint="cs"/>
          <w:i/>
          <w:sz w:val="23"/>
          <w:szCs w:val="23"/>
          <w:rtl/>
        </w:rPr>
        <w:t xml:space="preserve"> باشد، کمتر از </w:t>
      </w:r>
      <w:r w:rsidRPr="00B6450D">
        <w:rPr>
          <w:position w:val="-10"/>
        </w:rPr>
        <w:object w:dxaOrig="200" w:dyaOrig="340" w14:anchorId="079E3A65">
          <v:shape id="_x0000_i5829" type="#_x0000_t75" style="width:10.3pt;height:16.95pt" o:ole="">
            <v:imagedata r:id="rId9668" o:title=""/>
          </v:shape>
          <o:OLEObject Type="Embed" ProgID="Equation.DSMT4" ShapeID="_x0000_i5829" DrawAspect="Content" ObjectID="_1791379773" r:id="rId9669"/>
        </w:object>
      </w:r>
      <w:r w:rsidRPr="00B6450D">
        <w:rPr>
          <w:rFonts w:hint="cs"/>
          <w:i/>
          <w:sz w:val="23"/>
          <w:szCs w:val="23"/>
          <w:rtl/>
        </w:rPr>
        <w:t xml:space="preserve"> و </w:t>
      </w:r>
      <w:r w:rsidRPr="00B6450D">
        <w:rPr>
          <w:position w:val="-10"/>
        </w:rPr>
        <w:object w:dxaOrig="1040" w:dyaOrig="340" w14:anchorId="5C32F80D">
          <v:shape id="_x0000_i5830" type="#_x0000_t75" style="width:52.05pt;height:16.95pt" o:ole="">
            <v:imagedata r:id="rId9670" o:title=""/>
          </v:shape>
          <o:OLEObject Type="Embed" ProgID="Equation.DSMT4" ShapeID="_x0000_i5830" DrawAspect="Content" ObjectID="_1791379774" r:id="rId9671"/>
        </w:object>
      </w:r>
      <w:r w:rsidRPr="00B6450D">
        <w:rPr>
          <w:rFonts w:hint="cs"/>
          <w:i/>
          <w:sz w:val="23"/>
          <w:szCs w:val="23"/>
          <w:rtl/>
        </w:rPr>
        <w:t xml:space="preserve"> خواهد بود. بنابراین بهتر است تا اوراق قرضه‌ی خارجی نگه</w:t>
      </w:r>
      <w:r w:rsidRPr="00B6450D">
        <w:rPr>
          <w:i/>
          <w:sz w:val="23"/>
          <w:szCs w:val="23"/>
        </w:rPr>
        <w:softHyphen/>
      </w:r>
      <w:r w:rsidRPr="00B6450D">
        <w:rPr>
          <w:rFonts w:hint="cs"/>
          <w:i/>
          <w:sz w:val="23"/>
          <w:szCs w:val="23"/>
          <w:rtl/>
        </w:rPr>
        <w:t>داری شود. و یا بالعکس، اگر انتظار رود که ارزش پول داخلی افزایش یابد، آنگاه بازدهی داخلی بیشتر از</w:t>
      </w:r>
      <w:r w:rsidRPr="00B6450D">
        <w:rPr>
          <w:position w:val="-10"/>
        </w:rPr>
        <w:object w:dxaOrig="200" w:dyaOrig="340" w14:anchorId="2A62EFE1">
          <v:shape id="_x0000_i5831" type="#_x0000_t75" style="width:10.3pt;height:16.95pt" o:ole="">
            <v:imagedata r:id="rId9672" o:title=""/>
          </v:shape>
          <o:OLEObject Type="Embed" ProgID="Equation.DSMT4" ShapeID="_x0000_i5831" DrawAspect="Content" ObjectID="_1791379775" r:id="rId9673"/>
        </w:object>
      </w:r>
      <w:r w:rsidRPr="00B6450D">
        <w:rPr>
          <w:rFonts w:hint="cs"/>
          <w:i/>
          <w:sz w:val="23"/>
          <w:szCs w:val="23"/>
          <w:rtl/>
        </w:rPr>
        <w:t xml:space="preserve"> و</w:t>
      </w:r>
      <w:r w:rsidRPr="00B6450D">
        <w:rPr>
          <w:position w:val="-10"/>
        </w:rPr>
        <w:object w:dxaOrig="1040" w:dyaOrig="340" w14:anchorId="30994675">
          <v:shape id="_x0000_i5832" type="#_x0000_t75" style="width:52.05pt;height:16.95pt" o:ole="">
            <v:imagedata r:id="rId9674" o:title=""/>
          </v:shape>
          <o:OLEObject Type="Embed" ProgID="Equation.DSMT4" ShapeID="_x0000_i5832" DrawAspect="Content" ObjectID="_1791379776" r:id="rId9675"/>
        </w:object>
      </w:r>
      <w:r w:rsidRPr="00B6450D">
        <w:rPr>
          <w:rFonts w:hint="cs"/>
          <w:i/>
          <w:sz w:val="23"/>
          <w:szCs w:val="23"/>
          <w:rtl/>
        </w:rPr>
        <w:t xml:space="preserve"> خواهد بود و بهتر است تا اوراق قرضه‌ی داخلی را نگهداری کرد. به عبارتی دیگر، اگر نرخ بهره‌ی بازار به روش فوق تنظیم شود، آنگاه استراتژی بهینه‌ی سرمایه‌گذاری این برآوردها مبین آن است که اوراق قرضه را با بالاترین نرخ بهره نگه</w:t>
      </w:r>
      <w:r w:rsidRPr="00B6450D">
        <w:rPr>
          <w:i/>
          <w:sz w:val="23"/>
          <w:szCs w:val="23"/>
        </w:rPr>
        <w:softHyphen/>
      </w:r>
      <w:r w:rsidRPr="00B6450D">
        <w:rPr>
          <w:rFonts w:hint="cs"/>
          <w:i/>
          <w:sz w:val="23"/>
          <w:szCs w:val="23"/>
          <w:rtl/>
        </w:rPr>
        <w:t>داری کرد.</w:t>
      </w:r>
    </w:p>
    <w:p w14:paraId="156AD6D1" w14:textId="77777777" w:rsidR="00556C10" w:rsidRDefault="00556C10" w:rsidP="00556C10">
      <w:pPr>
        <w:spacing w:line="216" w:lineRule="auto"/>
        <w:rPr>
          <w:i/>
          <w:sz w:val="23"/>
          <w:szCs w:val="23"/>
          <w:rtl/>
        </w:rPr>
      </w:pPr>
      <w:r w:rsidRPr="00B6450D">
        <w:rPr>
          <w:rFonts w:hint="cs"/>
          <w:i/>
          <w:sz w:val="23"/>
          <w:szCs w:val="23"/>
          <w:rtl/>
        </w:rPr>
        <w:t xml:space="preserve">این گونه استرتژی در بازار </w:t>
      </w:r>
      <w:r w:rsidRPr="00B6450D">
        <w:rPr>
          <w:i/>
          <w:sz w:val="23"/>
          <w:szCs w:val="23"/>
        </w:rPr>
        <w:t>FOREX</w:t>
      </w:r>
      <w:r w:rsidRPr="00B6450D">
        <w:rPr>
          <w:rFonts w:hint="cs"/>
          <w:i/>
          <w:sz w:val="23"/>
          <w:szCs w:val="23"/>
          <w:rtl/>
        </w:rPr>
        <w:t xml:space="preserve"> شناخته شده است و بدان تجارت حملی</w:t>
      </w:r>
      <w:r w:rsidRPr="00B6450D">
        <w:rPr>
          <w:rStyle w:val="FootnoteReference"/>
          <w:rFonts w:eastAsiaTheme="majorEastAsia"/>
          <w:i/>
          <w:sz w:val="23"/>
          <w:szCs w:val="23"/>
          <w:rtl/>
        </w:rPr>
        <w:footnoteReference w:id="304"/>
      </w:r>
      <w:r w:rsidRPr="00B6450D">
        <w:rPr>
          <w:rFonts w:hint="cs"/>
          <w:i/>
          <w:sz w:val="23"/>
          <w:szCs w:val="23"/>
          <w:rtl/>
        </w:rPr>
        <w:t xml:space="preserve"> گویند. در عمل، سرمایه‌گذاران در تجارت حملی سفته بازانی هستند که ارز با نرخ بهره‌ی کم را قرض کرده تا در ارزی سرمایه‌گذاری کنند که نرخ بهره‌ی آن بالا است و از آن سود ببرند. ریسک این استراتژی، همان</w:t>
      </w:r>
      <w:r w:rsidRPr="00B6450D">
        <w:rPr>
          <w:i/>
          <w:sz w:val="23"/>
          <w:szCs w:val="23"/>
          <w:rtl/>
        </w:rPr>
        <w:softHyphen/>
      </w:r>
      <w:r w:rsidRPr="00B6450D">
        <w:rPr>
          <w:rFonts w:hint="cs"/>
          <w:i/>
          <w:sz w:val="23"/>
          <w:szCs w:val="23"/>
          <w:rtl/>
        </w:rPr>
        <w:t xml:space="preserve">گونه که </w:t>
      </w:r>
      <w:r w:rsidRPr="00B6450D">
        <w:rPr>
          <w:i/>
          <w:sz w:val="23"/>
          <w:szCs w:val="23"/>
        </w:rPr>
        <w:t>UIP</w:t>
      </w:r>
      <w:r w:rsidRPr="00B6450D">
        <w:rPr>
          <w:rFonts w:hint="cs"/>
          <w:i/>
          <w:sz w:val="23"/>
          <w:szCs w:val="23"/>
          <w:rtl/>
        </w:rPr>
        <w:t xml:space="preserve"> پیش</w:t>
      </w:r>
      <w:r w:rsidRPr="00B6450D">
        <w:rPr>
          <w:i/>
          <w:sz w:val="23"/>
          <w:szCs w:val="23"/>
          <w:rtl/>
        </w:rPr>
        <w:softHyphen/>
      </w:r>
      <w:r w:rsidRPr="00B6450D">
        <w:rPr>
          <w:rFonts w:hint="cs"/>
          <w:i/>
          <w:sz w:val="23"/>
          <w:szCs w:val="23"/>
          <w:rtl/>
        </w:rPr>
        <w:t>بینی می‌کند، آن است که نهایتاً ارزش پولی که در آن سرمایه‌گذاری شده کاهش یابد و یا ارزش پولی که قرض شده افزایش یابد.</w:t>
      </w:r>
    </w:p>
    <w:p w14:paraId="3EBFD828" w14:textId="77777777" w:rsidR="00556C10" w:rsidRPr="00B6450D" w:rsidRDefault="00556C10" w:rsidP="00556C10">
      <w:pPr>
        <w:spacing w:line="216" w:lineRule="auto"/>
        <w:rPr>
          <w:i/>
          <w:sz w:val="23"/>
          <w:szCs w:val="23"/>
          <w:rtl/>
        </w:rPr>
      </w:pPr>
      <w:r w:rsidRPr="00B6450D">
        <w:rPr>
          <w:rFonts w:hint="cs"/>
          <w:i/>
          <w:sz w:val="23"/>
          <w:szCs w:val="23"/>
          <w:rtl/>
        </w:rPr>
        <w:t xml:space="preserve">بنابراین به نتیجه‌ی جالبی خواهیم رسید. به نظر می‌رسد اگر نظریه را با معادله‌ی (۱۲. ۷۱) نشان دهیم </w:t>
      </w:r>
      <w:r w:rsidRPr="00B6450D">
        <w:rPr>
          <w:i/>
          <w:sz w:val="23"/>
          <w:szCs w:val="23"/>
        </w:rPr>
        <w:t>UIP</w:t>
      </w:r>
      <w:r w:rsidRPr="00B6450D">
        <w:rPr>
          <w:rFonts w:hint="cs"/>
          <w:i/>
          <w:sz w:val="23"/>
          <w:szCs w:val="23"/>
          <w:rtl/>
        </w:rPr>
        <w:t xml:space="preserve"> برقرار باشد ولی بطور قطع اگر معادله‌ی (۱۲. ۷۲) را مورد استفاده قرار دهیم </w:t>
      </w:r>
      <w:r w:rsidRPr="00B6450D">
        <w:rPr>
          <w:i/>
          <w:sz w:val="23"/>
          <w:szCs w:val="23"/>
        </w:rPr>
        <w:t>UIP</w:t>
      </w:r>
      <w:r w:rsidRPr="00B6450D">
        <w:rPr>
          <w:rFonts w:hint="cs"/>
          <w:i/>
          <w:sz w:val="23"/>
          <w:szCs w:val="23"/>
          <w:rtl/>
        </w:rPr>
        <w:t xml:space="preserve"> رد خواهد شد. چرا این گونه است؟ توضیح اولیه آن است که این نظریه پاداش ریسک را در نظر نمی </w:t>
      </w:r>
      <w:r w:rsidRPr="00B6450D">
        <w:rPr>
          <w:rFonts w:hint="cs"/>
          <w:i/>
          <w:sz w:val="23"/>
          <w:szCs w:val="23"/>
          <w:rtl/>
        </w:rPr>
        <w:lastRenderedPageBreak/>
        <w:t>گیرد. نشان دادیم که</w:t>
      </w:r>
      <w:r w:rsidRPr="00B6450D">
        <w:rPr>
          <w:position w:val="-10"/>
        </w:rPr>
        <w:object w:dxaOrig="200" w:dyaOrig="320" w14:anchorId="0330C76E">
          <v:shape id="_x0000_i5833" type="#_x0000_t75" style="width:10.3pt;height:15.75pt" o:ole="">
            <v:imagedata r:id="rId9676" o:title=""/>
          </v:shape>
          <o:OLEObject Type="Embed" ProgID="Equation.DSMT4" ShapeID="_x0000_i5833" DrawAspect="Content" ObjectID="_1791379777" r:id="rId9677"/>
        </w:object>
      </w:r>
      <w:r w:rsidRPr="00B6450D">
        <w:rPr>
          <w:rFonts w:hint="cs"/>
          <w:i/>
          <w:sz w:val="23"/>
          <w:szCs w:val="23"/>
          <w:rtl/>
        </w:rPr>
        <w:t xml:space="preserve"> متغیری نامانا</w:t>
      </w:r>
      <w:r w:rsidRPr="00B6450D">
        <w:rPr>
          <w:rStyle w:val="FootnoteReference"/>
          <w:rFonts w:eastAsiaTheme="majorEastAsia"/>
          <w:i/>
          <w:sz w:val="23"/>
          <w:szCs w:val="23"/>
          <w:rtl/>
        </w:rPr>
        <w:footnoteReference w:id="305"/>
      </w:r>
      <w:r w:rsidRPr="00B6450D">
        <w:rPr>
          <w:rFonts w:hint="cs"/>
          <w:i/>
          <w:sz w:val="23"/>
          <w:szCs w:val="23"/>
          <w:rtl/>
        </w:rPr>
        <w:t xml:space="preserve"> است، و چون</w:t>
      </w:r>
      <w:r w:rsidRPr="00B6450D">
        <w:rPr>
          <w:position w:val="-10"/>
        </w:rPr>
        <w:object w:dxaOrig="580" w:dyaOrig="320" w14:anchorId="015F8109">
          <v:shape id="_x0000_i5834" type="#_x0000_t75" style="width:29.05pt;height:15.75pt" o:ole="">
            <v:imagedata r:id="rId9678" o:title=""/>
          </v:shape>
          <o:OLEObject Type="Embed" ProgID="Equation.DSMT4" ShapeID="_x0000_i5834" DrawAspect="Content" ObjectID="_1791379778" r:id="rId9679"/>
        </w:object>
      </w:r>
      <w:r w:rsidRPr="00B6450D">
        <w:rPr>
          <w:rFonts w:hint="cs"/>
          <w:i/>
          <w:sz w:val="23"/>
          <w:szCs w:val="23"/>
          <w:rtl/>
        </w:rPr>
        <w:t xml:space="preserve"> است لذا نرخ آتی نیز متغیری نامانا خواهد بود.  </w:t>
      </w:r>
    </w:p>
    <w:p w14:paraId="60D45444" w14:textId="77777777" w:rsidR="00556C10" w:rsidRPr="00B6450D" w:rsidRDefault="00556C10" w:rsidP="00556C10">
      <w:pPr>
        <w:spacing w:line="216" w:lineRule="auto"/>
        <w:rPr>
          <w:i/>
          <w:sz w:val="23"/>
          <w:szCs w:val="23"/>
        </w:rPr>
      </w:pPr>
    </w:p>
    <w:p w14:paraId="4CB19775" w14:textId="77777777" w:rsidR="00556C10" w:rsidRPr="00B6450D" w:rsidRDefault="00556C10" w:rsidP="00556C10">
      <w:pPr>
        <w:spacing w:line="216" w:lineRule="auto"/>
        <w:jc w:val="center"/>
        <w:rPr>
          <w:i/>
          <w:sz w:val="23"/>
          <w:szCs w:val="23"/>
          <w:rtl/>
        </w:rPr>
      </w:pPr>
      <w:r w:rsidRPr="00B6450D">
        <w:rPr>
          <w:rFonts w:hint="cs"/>
          <w:i/>
          <w:sz w:val="23"/>
          <w:szCs w:val="23"/>
          <w:rtl/>
        </w:rPr>
        <w:t>نمودار ۱۲. ۵ : لگاریتم نرخ‌های ارز نقدی و آتی دلار-استرلینگ</w:t>
      </w:r>
    </w:p>
    <w:p w14:paraId="540C4CC7" w14:textId="77777777" w:rsidR="00556C10" w:rsidRPr="00B6450D" w:rsidRDefault="00556C10" w:rsidP="00556C10">
      <w:pPr>
        <w:spacing w:line="216" w:lineRule="auto"/>
        <w:jc w:val="center"/>
        <w:rPr>
          <w:i/>
          <w:sz w:val="23"/>
          <w:szCs w:val="23"/>
          <w:rtl/>
        </w:rPr>
      </w:pPr>
      <w:r w:rsidRPr="00B6450D">
        <w:rPr>
          <w:i/>
          <w:noProof/>
          <w:sz w:val="23"/>
          <w:szCs w:val="23"/>
          <w:u w:val="single"/>
          <w:lang w:bidi="ar-SA"/>
        </w:rPr>
        <w:drawing>
          <wp:inline distT="0" distB="0" distL="0" distR="0" wp14:anchorId="78A4F593" wp14:editId="6B6E0EE5">
            <wp:extent cx="3654956" cy="1772181"/>
            <wp:effectExtent l="38100" t="38100" r="41275" b="381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80">
                      <a:extLst>
                        <a:ext uri="{BEBA8EAE-BF5A-486C-A8C5-ECC9F3942E4B}">
                          <a14:imgProps xmlns:a14="http://schemas.microsoft.com/office/drawing/2010/main">
                            <a14:imgLayer r:embed="rId9681">
                              <a14:imgEffect>
                                <a14:brightnessContrast contrast="40000"/>
                              </a14:imgEffect>
                            </a14:imgLayer>
                          </a14:imgProps>
                        </a:ext>
                      </a:extLst>
                    </a:blip>
                    <a:stretch>
                      <a:fillRect/>
                    </a:stretch>
                  </pic:blipFill>
                  <pic:spPr>
                    <a:xfrm>
                      <a:off x="0" y="0"/>
                      <a:ext cx="3670165" cy="1779555"/>
                    </a:xfrm>
                    <a:prstGeom prst="rect">
                      <a:avLst/>
                    </a:prstGeom>
                    <a:ln w="28575">
                      <a:solidFill>
                        <a:schemeClr val="tx1"/>
                      </a:solidFill>
                    </a:ln>
                  </pic:spPr>
                </pic:pic>
              </a:graphicData>
            </a:graphic>
          </wp:inline>
        </w:drawing>
      </w:r>
    </w:p>
    <w:p w14:paraId="76EA4FFF" w14:textId="77777777" w:rsidR="00556C10" w:rsidRPr="00B6450D" w:rsidRDefault="00556C10" w:rsidP="00556C10">
      <w:pPr>
        <w:spacing w:line="216" w:lineRule="auto"/>
        <w:jc w:val="center"/>
        <w:rPr>
          <w:i/>
          <w:sz w:val="23"/>
          <w:szCs w:val="23"/>
        </w:rPr>
      </w:pPr>
    </w:p>
    <w:p w14:paraId="160BE472" w14:textId="77777777" w:rsidR="00556C10" w:rsidRPr="00B6450D" w:rsidRDefault="00556C10" w:rsidP="00556C10">
      <w:pPr>
        <w:spacing w:line="216" w:lineRule="auto"/>
        <w:jc w:val="center"/>
        <w:rPr>
          <w:i/>
          <w:sz w:val="23"/>
          <w:szCs w:val="23"/>
          <w:rtl/>
        </w:rPr>
      </w:pPr>
      <w:r w:rsidRPr="00B6450D">
        <w:rPr>
          <w:rFonts w:hint="cs"/>
          <w:i/>
          <w:sz w:val="23"/>
          <w:szCs w:val="23"/>
          <w:rtl/>
        </w:rPr>
        <w:t>نمودار ۱۲. ۶ : لگاریتم نرخ‌های ارز نقدی آینده و آتی دلار-استرلینگ</w:t>
      </w:r>
    </w:p>
    <w:p w14:paraId="6147B829" w14:textId="77777777" w:rsidR="00556C10" w:rsidRPr="00B6450D" w:rsidRDefault="00556C10" w:rsidP="00556C10">
      <w:pPr>
        <w:spacing w:line="216" w:lineRule="auto"/>
        <w:jc w:val="center"/>
        <w:rPr>
          <w:i/>
          <w:sz w:val="23"/>
          <w:szCs w:val="23"/>
          <w:rtl/>
        </w:rPr>
      </w:pPr>
      <w:r w:rsidRPr="00B6450D">
        <w:rPr>
          <w:i/>
          <w:noProof/>
          <w:sz w:val="23"/>
          <w:szCs w:val="23"/>
          <w:u w:val="single"/>
          <w:lang w:bidi="ar-SA"/>
        </w:rPr>
        <w:drawing>
          <wp:inline distT="0" distB="0" distL="0" distR="0" wp14:anchorId="783E6930" wp14:editId="0D565C56">
            <wp:extent cx="3652678" cy="1763688"/>
            <wp:effectExtent l="38100" t="38100" r="43180" b="463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82">
                      <a:extLst>
                        <a:ext uri="{BEBA8EAE-BF5A-486C-A8C5-ECC9F3942E4B}">
                          <a14:imgProps xmlns:a14="http://schemas.microsoft.com/office/drawing/2010/main">
                            <a14:imgLayer r:embed="rId9683">
                              <a14:imgEffect>
                                <a14:sharpenSoften amount="50000"/>
                              </a14:imgEffect>
                              <a14:imgEffect>
                                <a14:brightnessContrast contrast="40000"/>
                              </a14:imgEffect>
                            </a14:imgLayer>
                          </a14:imgProps>
                        </a:ext>
                      </a:extLst>
                    </a:blip>
                    <a:stretch>
                      <a:fillRect/>
                    </a:stretch>
                  </pic:blipFill>
                  <pic:spPr>
                    <a:xfrm>
                      <a:off x="0" y="0"/>
                      <a:ext cx="3669275" cy="1771702"/>
                    </a:xfrm>
                    <a:prstGeom prst="rect">
                      <a:avLst/>
                    </a:prstGeom>
                    <a:ln w="28575">
                      <a:solidFill>
                        <a:schemeClr val="tx1"/>
                      </a:solidFill>
                    </a:ln>
                  </pic:spPr>
                </pic:pic>
              </a:graphicData>
            </a:graphic>
          </wp:inline>
        </w:drawing>
      </w:r>
    </w:p>
    <w:p w14:paraId="1770F96E" w14:textId="77777777" w:rsidR="00556C10" w:rsidRPr="00B6450D" w:rsidRDefault="00556C10" w:rsidP="00556C10">
      <w:pPr>
        <w:spacing w:line="216" w:lineRule="auto"/>
        <w:jc w:val="center"/>
        <w:rPr>
          <w:i/>
          <w:sz w:val="23"/>
          <w:szCs w:val="23"/>
        </w:rPr>
      </w:pPr>
    </w:p>
    <w:p w14:paraId="641DA017" w14:textId="77777777" w:rsidR="00556C10" w:rsidRPr="00B6450D" w:rsidRDefault="00556C10" w:rsidP="00556C10">
      <w:pPr>
        <w:spacing w:line="216" w:lineRule="auto"/>
        <w:jc w:val="center"/>
        <w:rPr>
          <w:i/>
          <w:sz w:val="23"/>
          <w:szCs w:val="23"/>
          <w:rtl/>
        </w:rPr>
      </w:pPr>
      <w:r w:rsidRPr="00B6450D">
        <w:rPr>
          <w:rFonts w:hint="cs"/>
          <w:i/>
          <w:sz w:val="23"/>
          <w:szCs w:val="23"/>
          <w:rtl/>
        </w:rPr>
        <w:t>نمودار ۱۲. ۷ :‌ لگاریتم تغییرات نرخ نقدی لگاریتم دلار-استرلینگ و لگاریتم مابه</w:t>
      </w:r>
      <w:r w:rsidRPr="00B6450D">
        <w:rPr>
          <w:i/>
          <w:sz w:val="23"/>
          <w:szCs w:val="23"/>
          <w:rtl/>
        </w:rPr>
        <w:softHyphen/>
      </w:r>
      <w:r w:rsidRPr="00B6450D">
        <w:rPr>
          <w:rFonts w:hint="cs"/>
          <w:i/>
          <w:sz w:val="23"/>
          <w:szCs w:val="23"/>
          <w:rtl/>
        </w:rPr>
        <w:t>التفاوت آتی</w:t>
      </w:r>
    </w:p>
    <w:p w14:paraId="5F9375DC" w14:textId="77777777" w:rsidR="00556C10" w:rsidRPr="00B6450D" w:rsidRDefault="00556C10" w:rsidP="00556C10">
      <w:pPr>
        <w:spacing w:line="216" w:lineRule="auto"/>
        <w:jc w:val="center"/>
        <w:rPr>
          <w:i/>
          <w:sz w:val="23"/>
          <w:szCs w:val="23"/>
          <w:rtl/>
        </w:rPr>
      </w:pPr>
      <w:r w:rsidRPr="00B6450D">
        <w:rPr>
          <w:i/>
          <w:noProof/>
          <w:sz w:val="23"/>
          <w:szCs w:val="23"/>
          <w:u w:val="single"/>
          <w:lang w:bidi="ar-SA"/>
        </w:rPr>
        <w:lastRenderedPageBreak/>
        <w:drawing>
          <wp:inline distT="0" distB="0" distL="0" distR="0" wp14:anchorId="4521197F" wp14:editId="21DBF734">
            <wp:extent cx="3656941" cy="1831631"/>
            <wp:effectExtent l="38100" t="38100" r="39370" b="3556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84">
                      <a:extLst>
                        <a:ext uri="{BEBA8EAE-BF5A-486C-A8C5-ECC9F3942E4B}">
                          <a14:imgProps xmlns:a14="http://schemas.microsoft.com/office/drawing/2010/main">
                            <a14:imgLayer r:embed="rId9685">
                              <a14:imgEffect>
                                <a14:sharpenSoften amount="50000"/>
                              </a14:imgEffect>
                              <a14:imgEffect>
                                <a14:brightnessContrast bright="20000" contrast="40000"/>
                              </a14:imgEffect>
                            </a14:imgLayer>
                          </a14:imgProps>
                        </a:ext>
                      </a:extLst>
                    </a:blip>
                    <a:stretch>
                      <a:fillRect/>
                    </a:stretch>
                  </pic:blipFill>
                  <pic:spPr>
                    <a:xfrm>
                      <a:off x="0" y="0"/>
                      <a:ext cx="3669191" cy="1837767"/>
                    </a:xfrm>
                    <a:prstGeom prst="rect">
                      <a:avLst/>
                    </a:prstGeom>
                    <a:ln w="28575">
                      <a:solidFill>
                        <a:schemeClr val="tx1"/>
                      </a:solidFill>
                    </a:ln>
                  </pic:spPr>
                </pic:pic>
              </a:graphicData>
            </a:graphic>
          </wp:inline>
        </w:drawing>
      </w:r>
    </w:p>
    <w:p w14:paraId="371D5B27" w14:textId="77777777" w:rsidR="00556C10" w:rsidRPr="00B6450D" w:rsidRDefault="00556C10" w:rsidP="00556C10">
      <w:pPr>
        <w:spacing w:line="216" w:lineRule="auto"/>
        <w:jc w:val="center"/>
        <w:rPr>
          <w:i/>
          <w:sz w:val="23"/>
          <w:szCs w:val="23"/>
          <w:rtl/>
        </w:rPr>
      </w:pPr>
      <w:r w:rsidRPr="00B6450D">
        <w:rPr>
          <w:rFonts w:hint="cs"/>
          <w:i/>
          <w:sz w:val="23"/>
          <w:szCs w:val="23"/>
          <w:rtl/>
        </w:rPr>
        <w:t>نمودار ۱۲. ۸ : لگاریتم نرخ ارز نقدی در مقابل لگاریتم آتی دلار-استرلینگ</w:t>
      </w:r>
    </w:p>
    <w:p w14:paraId="7C3EC606" w14:textId="77777777" w:rsidR="00556C10" w:rsidRPr="00B6450D" w:rsidRDefault="00556C10" w:rsidP="00556C10">
      <w:pPr>
        <w:spacing w:line="216" w:lineRule="auto"/>
        <w:jc w:val="center"/>
        <w:rPr>
          <w:i/>
          <w:sz w:val="23"/>
          <w:szCs w:val="23"/>
          <w:rtl/>
        </w:rPr>
      </w:pPr>
      <w:r w:rsidRPr="00B6450D">
        <w:rPr>
          <w:i/>
          <w:noProof/>
          <w:sz w:val="23"/>
          <w:szCs w:val="23"/>
          <w:u w:val="single"/>
          <w:lang w:bidi="ar-SA"/>
        </w:rPr>
        <w:drawing>
          <wp:inline distT="0" distB="0" distL="0" distR="0" wp14:anchorId="0EA7461C" wp14:editId="423946D6">
            <wp:extent cx="3653824" cy="1775011"/>
            <wp:effectExtent l="38100" t="38100" r="41910" b="349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86">
                      <a:extLst>
                        <a:ext uri="{BEBA8EAE-BF5A-486C-A8C5-ECC9F3942E4B}">
                          <a14:imgProps xmlns:a14="http://schemas.microsoft.com/office/drawing/2010/main">
                            <a14:imgLayer r:embed="rId9687">
                              <a14:imgEffect>
                                <a14:brightnessContrast contrast="20000"/>
                              </a14:imgEffect>
                            </a14:imgLayer>
                          </a14:imgProps>
                        </a:ext>
                      </a:extLst>
                    </a:blip>
                    <a:stretch>
                      <a:fillRect/>
                    </a:stretch>
                  </pic:blipFill>
                  <pic:spPr>
                    <a:xfrm>
                      <a:off x="0" y="0"/>
                      <a:ext cx="3669338" cy="1782548"/>
                    </a:xfrm>
                    <a:prstGeom prst="rect">
                      <a:avLst/>
                    </a:prstGeom>
                    <a:ln w="28575">
                      <a:solidFill>
                        <a:schemeClr val="tx1"/>
                      </a:solidFill>
                    </a:ln>
                  </pic:spPr>
                </pic:pic>
              </a:graphicData>
            </a:graphic>
          </wp:inline>
        </w:drawing>
      </w:r>
    </w:p>
    <w:p w14:paraId="0F3FD2BD" w14:textId="77777777" w:rsidR="00556C10" w:rsidRPr="00B6450D" w:rsidRDefault="00556C10" w:rsidP="00556C10">
      <w:pPr>
        <w:spacing w:line="216" w:lineRule="auto"/>
        <w:jc w:val="center"/>
        <w:rPr>
          <w:i/>
          <w:sz w:val="23"/>
          <w:szCs w:val="23"/>
        </w:rPr>
      </w:pPr>
    </w:p>
    <w:p w14:paraId="1E844832" w14:textId="77777777" w:rsidR="00556C10" w:rsidRPr="00B6450D" w:rsidRDefault="00556C10" w:rsidP="00556C10">
      <w:pPr>
        <w:spacing w:line="216" w:lineRule="auto"/>
        <w:jc w:val="center"/>
        <w:rPr>
          <w:i/>
          <w:sz w:val="23"/>
          <w:szCs w:val="23"/>
          <w:rtl/>
        </w:rPr>
      </w:pPr>
      <w:r w:rsidRPr="00B6450D">
        <w:rPr>
          <w:rFonts w:hint="cs"/>
          <w:i/>
          <w:sz w:val="23"/>
          <w:szCs w:val="23"/>
          <w:rtl/>
        </w:rPr>
        <w:t>نمودار ۱۲. ۹ : لگاریتم نرخ ارز نقدی آینده در مقابل لگاریتم آتی دلار-استرلینگ جاری</w:t>
      </w:r>
    </w:p>
    <w:p w14:paraId="53D26E18" w14:textId="77777777" w:rsidR="00556C10" w:rsidRPr="00B6450D" w:rsidRDefault="00556C10" w:rsidP="00556C10">
      <w:pPr>
        <w:spacing w:line="216" w:lineRule="auto"/>
        <w:jc w:val="center"/>
        <w:rPr>
          <w:i/>
          <w:sz w:val="23"/>
          <w:szCs w:val="23"/>
          <w:rtl/>
        </w:rPr>
      </w:pPr>
      <w:r w:rsidRPr="00B6450D">
        <w:rPr>
          <w:i/>
          <w:noProof/>
          <w:sz w:val="23"/>
          <w:szCs w:val="23"/>
          <w:u w:val="single"/>
          <w:lang w:bidi="ar-SA"/>
        </w:rPr>
        <w:drawing>
          <wp:inline distT="0" distB="0" distL="0" distR="0" wp14:anchorId="2A5F4F18" wp14:editId="256A0CE9">
            <wp:extent cx="3653279" cy="1766519"/>
            <wp:effectExtent l="38100" t="38100" r="42545" b="438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88">
                      <a:extLst>
                        <a:ext uri="{BEBA8EAE-BF5A-486C-A8C5-ECC9F3942E4B}">
                          <a14:imgProps xmlns:a14="http://schemas.microsoft.com/office/drawing/2010/main">
                            <a14:imgLayer r:embed="rId9689">
                              <a14:imgEffect>
                                <a14:brightnessContrast contrast="20000"/>
                              </a14:imgEffect>
                            </a14:imgLayer>
                          </a14:imgProps>
                        </a:ext>
                      </a:extLst>
                    </a:blip>
                    <a:stretch>
                      <a:fillRect/>
                    </a:stretch>
                  </pic:blipFill>
                  <pic:spPr>
                    <a:xfrm>
                      <a:off x="0" y="0"/>
                      <a:ext cx="3662716" cy="1771082"/>
                    </a:xfrm>
                    <a:prstGeom prst="rect">
                      <a:avLst/>
                    </a:prstGeom>
                    <a:ln w="28575">
                      <a:solidFill>
                        <a:schemeClr val="tx1"/>
                      </a:solidFill>
                    </a:ln>
                  </pic:spPr>
                </pic:pic>
              </a:graphicData>
            </a:graphic>
          </wp:inline>
        </w:drawing>
      </w:r>
    </w:p>
    <w:p w14:paraId="4AD676F2" w14:textId="77777777" w:rsidR="00556C10" w:rsidRPr="00B6450D" w:rsidRDefault="00556C10" w:rsidP="00556C10">
      <w:pPr>
        <w:spacing w:line="216" w:lineRule="auto"/>
        <w:jc w:val="center"/>
        <w:rPr>
          <w:i/>
          <w:sz w:val="23"/>
          <w:szCs w:val="23"/>
          <w:rtl/>
        </w:rPr>
      </w:pPr>
      <w:r w:rsidRPr="00B6450D">
        <w:rPr>
          <w:rFonts w:hint="cs"/>
          <w:i/>
          <w:sz w:val="23"/>
          <w:szCs w:val="23"/>
          <w:rtl/>
        </w:rPr>
        <w:lastRenderedPageBreak/>
        <w:t xml:space="preserve">نمودار ۱۲. ۱۰ : تغییرات در لگاریتم نرخ ارز نقدی آینده در مقابل لگاریتم آتی </w:t>
      </w:r>
      <w:r w:rsidRPr="00B6450D">
        <w:rPr>
          <w:i/>
          <w:sz w:val="23"/>
          <w:szCs w:val="23"/>
        </w:rPr>
        <w:t xml:space="preserve">premium </w:t>
      </w:r>
      <w:r w:rsidRPr="00B6450D">
        <w:rPr>
          <w:rFonts w:hint="cs"/>
          <w:i/>
          <w:sz w:val="23"/>
          <w:szCs w:val="23"/>
          <w:rtl/>
        </w:rPr>
        <w:t>دلار-استرلینگ جاری</w:t>
      </w:r>
    </w:p>
    <w:p w14:paraId="209DEECB" w14:textId="77777777" w:rsidR="00556C10" w:rsidRPr="00B6450D" w:rsidRDefault="00556C10" w:rsidP="00556C10">
      <w:pPr>
        <w:spacing w:line="216" w:lineRule="auto"/>
        <w:jc w:val="center"/>
        <w:rPr>
          <w:i/>
          <w:sz w:val="23"/>
          <w:szCs w:val="23"/>
          <w:rtl/>
        </w:rPr>
      </w:pPr>
      <w:r w:rsidRPr="00B6450D">
        <w:rPr>
          <w:i/>
          <w:sz w:val="23"/>
          <w:szCs w:val="23"/>
        </w:rPr>
        <w:t xml:space="preserve"> </w:t>
      </w:r>
      <w:r w:rsidRPr="00B6450D">
        <w:rPr>
          <w:i/>
          <w:noProof/>
          <w:sz w:val="23"/>
          <w:szCs w:val="23"/>
          <w:u w:val="single"/>
          <w:lang w:bidi="ar-SA"/>
        </w:rPr>
        <w:drawing>
          <wp:inline distT="0" distB="0" distL="0" distR="0" wp14:anchorId="707DFB2B" wp14:editId="2C198720">
            <wp:extent cx="3656689" cy="1726886"/>
            <wp:effectExtent l="38100" t="38100" r="39370" b="4508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90">
                      <a:extLst>
                        <a:ext uri="{BEBA8EAE-BF5A-486C-A8C5-ECC9F3942E4B}">
                          <a14:imgProps xmlns:a14="http://schemas.microsoft.com/office/drawing/2010/main">
                            <a14:imgLayer r:embed="rId9691">
                              <a14:imgEffect>
                                <a14:brightnessContrast contrast="20000"/>
                              </a14:imgEffect>
                            </a14:imgLayer>
                          </a14:imgProps>
                        </a:ext>
                      </a:extLst>
                    </a:blip>
                    <a:stretch>
                      <a:fillRect/>
                    </a:stretch>
                  </pic:blipFill>
                  <pic:spPr>
                    <a:xfrm>
                      <a:off x="0" y="0"/>
                      <a:ext cx="3662495" cy="1729628"/>
                    </a:xfrm>
                    <a:prstGeom prst="rect">
                      <a:avLst/>
                    </a:prstGeom>
                    <a:ln w="28575">
                      <a:solidFill>
                        <a:schemeClr val="tx1"/>
                      </a:solidFill>
                    </a:ln>
                  </pic:spPr>
                </pic:pic>
              </a:graphicData>
            </a:graphic>
          </wp:inline>
        </w:drawing>
      </w:r>
    </w:p>
    <w:p w14:paraId="65DEA328" w14:textId="77777777" w:rsidR="00556C10" w:rsidRPr="00B6450D" w:rsidRDefault="00556C10" w:rsidP="00556C10">
      <w:pPr>
        <w:spacing w:line="216" w:lineRule="auto"/>
        <w:jc w:val="center"/>
        <w:rPr>
          <w:i/>
          <w:sz w:val="23"/>
          <w:szCs w:val="23"/>
          <w:rtl/>
        </w:rPr>
      </w:pPr>
      <w:r w:rsidRPr="00B6450D">
        <w:rPr>
          <w:rFonts w:hint="cs"/>
          <w:i/>
          <w:sz w:val="23"/>
          <w:szCs w:val="23"/>
          <w:rtl/>
        </w:rPr>
        <w:t xml:space="preserve"> جدول ۱۲. ۲ : برآوردهای ضرایب مابه</w:t>
      </w:r>
      <w:r w:rsidRPr="00B6450D">
        <w:rPr>
          <w:i/>
          <w:sz w:val="23"/>
          <w:szCs w:val="23"/>
          <w:rtl/>
        </w:rPr>
        <w:softHyphen/>
      </w:r>
      <w:r w:rsidRPr="00B6450D">
        <w:rPr>
          <w:rFonts w:hint="cs"/>
          <w:i/>
          <w:sz w:val="23"/>
          <w:szCs w:val="23"/>
          <w:rtl/>
        </w:rPr>
        <w:t>التفاوت آتی در معادله‌ی (۱۲. ۷۲)</w:t>
      </w:r>
    </w:p>
    <w:p w14:paraId="29262553" w14:textId="77777777" w:rsidR="00556C10" w:rsidRPr="00B6450D" w:rsidRDefault="00556C10" w:rsidP="00556C10">
      <w:pPr>
        <w:spacing w:line="216" w:lineRule="auto"/>
        <w:jc w:val="center"/>
        <w:rPr>
          <w:i/>
          <w:sz w:val="23"/>
          <w:szCs w:val="23"/>
          <w:rtl/>
        </w:rPr>
      </w:pPr>
      <w:r w:rsidRPr="00B6450D">
        <w:rPr>
          <w:i/>
          <w:noProof/>
          <w:sz w:val="23"/>
          <w:szCs w:val="23"/>
          <w:lang w:bidi="ar-SA"/>
        </w:rPr>
        <w:drawing>
          <wp:inline distT="0" distB="0" distL="0" distR="0" wp14:anchorId="6A619CAE" wp14:editId="3DC4B90B">
            <wp:extent cx="3354402" cy="1178169"/>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92">
                      <a:extLst>
                        <a:ext uri="{BEBA8EAE-BF5A-486C-A8C5-ECC9F3942E4B}">
                          <a14:imgProps xmlns:a14="http://schemas.microsoft.com/office/drawing/2010/main">
                            <a14:imgLayer r:embed="rId9693">
                              <a14:imgEffect>
                                <a14:sharpenSoften amount="50000"/>
                              </a14:imgEffect>
                            </a14:imgLayer>
                          </a14:imgProps>
                        </a:ext>
                      </a:extLst>
                    </a:blip>
                    <a:stretch>
                      <a:fillRect/>
                    </a:stretch>
                  </pic:blipFill>
                  <pic:spPr>
                    <a:xfrm>
                      <a:off x="0" y="0"/>
                      <a:ext cx="3373747" cy="1184963"/>
                    </a:xfrm>
                    <a:prstGeom prst="rect">
                      <a:avLst/>
                    </a:prstGeom>
                  </pic:spPr>
                </pic:pic>
              </a:graphicData>
            </a:graphic>
          </wp:inline>
        </w:drawing>
      </w:r>
    </w:p>
    <w:p w14:paraId="3772BB4B" w14:textId="77777777" w:rsidR="00556C10" w:rsidRPr="00B6450D" w:rsidRDefault="00556C10" w:rsidP="00556C10">
      <w:pPr>
        <w:spacing w:line="216" w:lineRule="auto"/>
        <w:rPr>
          <w:i/>
          <w:sz w:val="23"/>
          <w:szCs w:val="23"/>
        </w:rPr>
      </w:pPr>
    </w:p>
    <w:p w14:paraId="4787F36E" w14:textId="77777777" w:rsidR="00556C10" w:rsidRPr="00B6450D" w:rsidRDefault="00556C10" w:rsidP="00556C10">
      <w:pPr>
        <w:spacing w:line="216" w:lineRule="auto"/>
        <w:rPr>
          <w:i/>
          <w:sz w:val="23"/>
          <w:szCs w:val="23"/>
        </w:rPr>
      </w:pPr>
    </w:p>
    <w:p w14:paraId="45928BDE" w14:textId="77777777" w:rsidR="00556C10" w:rsidRPr="00B6450D" w:rsidRDefault="00556C10" w:rsidP="00556C10">
      <w:pPr>
        <w:spacing w:line="216" w:lineRule="auto"/>
        <w:rPr>
          <w:i/>
          <w:sz w:val="23"/>
          <w:szCs w:val="23"/>
          <w:rtl/>
        </w:rPr>
      </w:pPr>
      <w:r w:rsidRPr="00B6450D">
        <w:rPr>
          <w:rFonts w:hint="cs"/>
          <w:i/>
          <w:sz w:val="23"/>
          <w:szCs w:val="23"/>
          <w:rtl/>
        </w:rPr>
        <w:t>از نظریه هم انباشتگی</w:t>
      </w:r>
      <w:r w:rsidRPr="00B6450D">
        <w:rPr>
          <w:rStyle w:val="FootnoteReference"/>
          <w:rFonts w:eastAsiaTheme="majorEastAsia"/>
          <w:i/>
          <w:sz w:val="23"/>
          <w:szCs w:val="23"/>
          <w:rtl/>
        </w:rPr>
        <w:footnoteReference w:id="306"/>
      </w:r>
      <w:r w:rsidRPr="00B6450D">
        <w:rPr>
          <w:rFonts w:hint="cs"/>
          <w:i/>
          <w:sz w:val="23"/>
          <w:szCs w:val="23"/>
          <w:rtl/>
        </w:rPr>
        <w:t xml:space="preserve">، اگر متغیرهای حذف شده از مدل مانا باشند، آنگاه برآورد ضرایب متغیرهای نامانا تحت تأثیر قرار نگرفته و اَبَر سازگار و بنابر این بسیار دقیق می‌باشند. هرچند اگر، متغیرهای مهم از مدل حذف شده باشند و این متغیرها مانا باشند، آنگاه برآورد ضرایب مدل احتمالاً باتورش بوده، و این تورش به اندازه‌ی همبستگی بین متغیرهای مدل و متغیرهای حذف شده بستگی دارد. بنابراین اگر متغیر حذف شده پاداش ریسک از معادله‌ی بدون آربیتراژ برای </w:t>
      </w:r>
      <w:r w:rsidRPr="00B6450D">
        <w:rPr>
          <w:i/>
          <w:sz w:val="23"/>
          <w:szCs w:val="23"/>
        </w:rPr>
        <w:t>FOREX</w:t>
      </w:r>
      <w:r w:rsidRPr="00B6450D">
        <w:rPr>
          <w:rFonts w:hint="cs"/>
          <w:i/>
          <w:sz w:val="23"/>
          <w:szCs w:val="23"/>
          <w:rtl/>
        </w:rPr>
        <w:t xml:space="preserve"> باشد، آنگاه آن متغیر مانا و با پاداش آتی همبستگی منفی دارد. این توضیحات نشان می‌دهد که چرا برآورد ضریب نرخ آتی در معادله‌ی (۱۲. ۷۱) با نظریه سازگار است ولی برآورد مابه</w:t>
      </w:r>
      <w:r w:rsidRPr="00B6450D">
        <w:rPr>
          <w:i/>
          <w:sz w:val="23"/>
          <w:szCs w:val="23"/>
          <w:rtl/>
        </w:rPr>
        <w:softHyphen/>
      </w:r>
      <w:r w:rsidRPr="00B6450D">
        <w:rPr>
          <w:rFonts w:hint="cs"/>
          <w:i/>
          <w:sz w:val="23"/>
          <w:szCs w:val="23"/>
          <w:rtl/>
        </w:rPr>
        <w:t>التفاوت آتی  معادله‌ی ( ۱۲. ۷۲) بشدت باتورش است.</w:t>
      </w:r>
    </w:p>
    <w:p w14:paraId="220C9360" w14:textId="77777777" w:rsidR="00556C10" w:rsidRDefault="00556C10" w:rsidP="00556C10">
      <w:pPr>
        <w:spacing w:line="216" w:lineRule="auto"/>
        <w:rPr>
          <w:i/>
          <w:sz w:val="23"/>
          <w:szCs w:val="23"/>
          <w:rtl/>
        </w:rPr>
      </w:pPr>
      <w:r w:rsidRPr="00B6450D">
        <w:rPr>
          <w:rFonts w:hint="cs"/>
          <w:i/>
          <w:sz w:val="23"/>
          <w:szCs w:val="23"/>
          <w:rtl/>
        </w:rPr>
        <w:t>توضیحات بسیار زیادی برای این نتایجِ مغایر و متناقض ارائه شده است ولی اجماعی در خصوص علل آن وجود ندارد.</w:t>
      </w:r>
      <w:r w:rsidRPr="00B6450D">
        <w:rPr>
          <w:rStyle w:val="FootnoteReference"/>
          <w:rFonts w:eastAsiaTheme="majorEastAsia"/>
          <w:i/>
          <w:sz w:val="23"/>
          <w:szCs w:val="23"/>
          <w:rtl/>
        </w:rPr>
        <w:footnoteReference w:id="307"/>
      </w:r>
      <w:r w:rsidRPr="00B6450D">
        <w:rPr>
          <w:rFonts w:hint="cs"/>
          <w:i/>
          <w:sz w:val="23"/>
          <w:szCs w:val="23"/>
          <w:rtl/>
        </w:rPr>
        <w:t xml:space="preserve"> اکنون به ضرورت شمول پاداش ریسک</w:t>
      </w:r>
      <w:r w:rsidRPr="00B6450D">
        <w:rPr>
          <w:i/>
          <w:sz w:val="23"/>
          <w:szCs w:val="23"/>
          <w:rtl/>
        </w:rPr>
        <w:t xml:space="preserve"> </w:t>
      </w:r>
      <w:r w:rsidRPr="00B6450D">
        <w:rPr>
          <w:i/>
          <w:sz w:val="23"/>
          <w:szCs w:val="23"/>
        </w:rPr>
        <w:t>FOREX</w:t>
      </w:r>
      <w:r w:rsidRPr="00B6450D">
        <w:rPr>
          <w:rFonts w:hint="cs"/>
          <w:i/>
          <w:sz w:val="23"/>
          <w:szCs w:val="23"/>
          <w:rtl/>
        </w:rPr>
        <w:t xml:space="preserve"> و چگونگی فرمول</w:t>
      </w:r>
      <w:r w:rsidRPr="00B6450D">
        <w:rPr>
          <w:i/>
          <w:sz w:val="23"/>
          <w:szCs w:val="23"/>
          <w:rtl/>
        </w:rPr>
        <w:softHyphen/>
      </w:r>
      <w:r w:rsidRPr="00B6450D">
        <w:rPr>
          <w:rFonts w:hint="cs"/>
          <w:i/>
          <w:sz w:val="23"/>
          <w:szCs w:val="23"/>
          <w:rtl/>
        </w:rPr>
        <w:t>بندی آن اشاره خواهیم کرد.</w:t>
      </w:r>
    </w:p>
    <w:p w14:paraId="577E878A" w14:textId="77777777" w:rsidR="00556C10" w:rsidRPr="00B6450D" w:rsidRDefault="00556C10" w:rsidP="00556C10">
      <w:pPr>
        <w:spacing w:line="216" w:lineRule="auto"/>
        <w:rPr>
          <w:i/>
          <w:sz w:val="23"/>
          <w:szCs w:val="23"/>
          <w:rtl/>
        </w:rPr>
      </w:pPr>
    </w:p>
    <w:p w14:paraId="2C22A5C8" w14:textId="77777777" w:rsidR="00556C10" w:rsidRPr="00B6450D" w:rsidRDefault="00556C10" w:rsidP="00556C10">
      <w:pPr>
        <w:pStyle w:val="Heading1"/>
        <w:spacing w:before="0" w:line="216" w:lineRule="auto"/>
        <w:rPr>
          <w:rFonts w:ascii="Times New Roman" w:hAnsi="Times New Roman" w:cs="B Nazanin"/>
          <w:b w:val="0"/>
          <w:i/>
          <w:sz w:val="23"/>
          <w:szCs w:val="23"/>
        </w:rPr>
      </w:pPr>
      <w:r w:rsidRPr="00B6450D">
        <w:rPr>
          <w:rFonts w:ascii="Times New Roman" w:hAnsi="Times New Roman" w:cs="B Nazanin" w:hint="cs"/>
          <w:b w:val="0"/>
          <w:i/>
          <w:sz w:val="23"/>
          <w:szCs w:val="23"/>
          <w:rtl/>
        </w:rPr>
        <w:t xml:space="preserve">۱۲. ۴. ۲ مدل تعادل عمومی </w:t>
      </w:r>
      <w:r w:rsidRPr="00B6450D">
        <w:rPr>
          <w:rFonts w:ascii="Times New Roman" w:hAnsi="Times New Roman" w:cs="B Nazanin"/>
          <w:b w:val="0"/>
          <w:i/>
          <w:sz w:val="23"/>
          <w:szCs w:val="23"/>
        </w:rPr>
        <w:t>FOREX</w:t>
      </w:r>
    </w:p>
    <w:p w14:paraId="483EABAB" w14:textId="77777777" w:rsidR="00556C10" w:rsidRPr="00B6450D" w:rsidRDefault="00556C10" w:rsidP="00556C10">
      <w:pPr>
        <w:spacing w:line="216" w:lineRule="auto"/>
        <w:rPr>
          <w:i/>
          <w:sz w:val="23"/>
          <w:szCs w:val="23"/>
          <w:rtl/>
        </w:rPr>
      </w:pPr>
      <w:r w:rsidRPr="00B6450D">
        <w:rPr>
          <w:rFonts w:hint="cs"/>
          <w:i/>
          <w:sz w:val="23"/>
          <w:szCs w:val="23"/>
          <w:rtl/>
        </w:rPr>
        <w:t>نظریه قیمت</w:t>
      </w:r>
      <w:r w:rsidRPr="00B6450D">
        <w:rPr>
          <w:i/>
          <w:sz w:val="23"/>
          <w:szCs w:val="23"/>
          <w:rtl/>
        </w:rPr>
        <w:softHyphen/>
      </w:r>
      <w:r w:rsidRPr="00B6450D">
        <w:rPr>
          <w:rFonts w:hint="cs"/>
          <w:i/>
          <w:sz w:val="23"/>
          <w:szCs w:val="23"/>
          <w:rtl/>
        </w:rPr>
        <w:t xml:space="preserve">گذاری دارایی پیشنهاد می‌کند از آنجا که سرمایه‌گذاری در اوراق قرضه‌ی خارجی ریسکی است لذا می‌بایست شرط </w:t>
      </w:r>
      <w:r w:rsidRPr="00B6450D">
        <w:rPr>
          <w:i/>
          <w:sz w:val="23"/>
          <w:szCs w:val="23"/>
        </w:rPr>
        <w:t>UIP</w:t>
      </w:r>
      <w:r w:rsidRPr="00B6450D">
        <w:rPr>
          <w:rFonts w:hint="cs"/>
          <w:i/>
          <w:sz w:val="23"/>
          <w:szCs w:val="23"/>
          <w:rtl/>
        </w:rPr>
        <w:t xml:space="preserve"> را با شرط بدون آربیتراژ جایگزین کنیم</w:t>
      </w:r>
    </w:p>
    <w:p w14:paraId="274C99F0" w14:textId="77777777" w:rsidR="00556C10" w:rsidRPr="00B6450D" w:rsidRDefault="00556C10" w:rsidP="00556C10">
      <w:pPr>
        <w:bidi w:val="0"/>
        <w:spacing w:line="216" w:lineRule="auto"/>
        <w:rPr>
          <w:i/>
          <w:sz w:val="23"/>
          <w:szCs w:val="23"/>
          <w:rtl/>
        </w:rPr>
      </w:pPr>
      <w:r w:rsidRPr="00B6450D">
        <w:rPr>
          <w:position w:val="-10"/>
        </w:rPr>
        <w:object w:dxaOrig="1780" w:dyaOrig="340" w14:anchorId="47E5E0FB">
          <v:shape id="_x0000_i5835" type="#_x0000_t75" style="width:88.95pt;height:16.95pt" o:ole="">
            <v:imagedata r:id="rId9694" o:title=""/>
          </v:shape>
          <o:OLEObject Type="Embed" ProgID="Equation.DSMT4" ShapeID="_x0000_i5835" DrawAspect="Content" ObjectID="_1791379779" r:id="rId9695"/>
        </w:object>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sidRPr="00B6450D">
        <w:rPr>
          <w:i/>
          <w:sz w:val="23"/>
          <w:szCs w:val="23"/>
        </w:rPr>
        <w:tab/>
      </w:r>
      <w:r>
        <w:rPr>
          <w:i/>
          <w:sz w:val="23"/>
          <w:szCs w:val="23"/>
          <w:rtl/>
        </w:rPr>
        <w:tab/>
      </w:r>
      <w:r>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Pr>
        <w:tab/>
        <w:t xml:space="preserve"> </w:t>
      </w:r>
      <w:r w:rsidRPr="00B6450D">
        <w:rPr>
          <w:rFonts w:hint="cs"/>
          <w:i/>
          <w:sz w:val="23"/>
          <w:szCs w:val="23"/>
          <w:rtl/>
        </w:rPr>
        <w:t>(۱۲. ۷۳)</w:t>
      </w:r>
    </w:p>
    <w:p w14:paraId="40BA455C" w14:textId="77777777" w:rsidR="00556C10" w:rsidRPr="00B6450D" w:rsidRDefault="00556C10" w:rsidP="00556C10">
      <w:pPr>
        <w:spacing w:line="216" w:lineRule="auto"/>
        <w:rPr>
          <w:i/>
          <w:sz w:val="23"/>
          <w:szCs w:val="23"/>
          <w:rtl/>
        </w:rPr>
      </w:pPr>
      <w:r w:rsidRPr="00B6450D">
        <w:rPr>
          <w:rFonts w:hint="cs"/>
          <w:i/>
          <w:sz w:val="23"/>
          <w:szCs w:val="23"/>
          <w:rtl/>
        </w:rPr>
        <w:t>که در آن</w:t>
      </w:r>
      <w:r w:rsidRPr="00B6450D">
        <w:rPr>
          <w:position w:val="-10"/>
        </w:rPr>
        <w:object w:dxaOrig="240" w:dyaOrig="320" w14:anchorId="58F4DC30">
          <v:shape id="_x0000_i5836" type="#_x0000_t75" style="width:11.5pt;height:15.75pt" o:ole="">
            <v:imagedata r:id="rId9696" o:title=""/>
          </v:shape>
          <o:OLEObject Type="Embed" ProgID="Equation.DSMT4" ShapeID="_x0000_i5836" DrawAspect="Content" ObjectID="_1791379780" r:id="rId9697"/>
        </w:object>
      </w:r>
      <w:r w:rsidRPr="00B6450D">
        <w:rPr>
          <w:rFonts w:hint="cs"/>
          <w:i/>
          <w:sz w:val="23"/>
          <w:szCs w:val="23"/>
          <w:rtl/>
        </w:rPr>
        <w:t xml:space="preserve"> پاداش ریسکی است که برای غرامت به سرمایه‌گذار داخلی جهت نگهداری دارایی خارجی پرداخت می‌شود. بنابراین انتظار می‌رود که</w:t>
      </w:r>
      <w:r w:rsidRPr="00B6450D">
        <w:rPr>
          <w:position w:val="-10"/>
        </w:rPr>
        <w:object w:dxaOrig="240" w:dyaOrig="320" w14:anchorId="44AFF075">
          <v:shape id="_x0000_i5837" type="#_x0000_t75" style="width:11.5pt;height:15.75pt" o:ole="">
            <v:imagedata r:id="rId9698" o:title=""/>
          </v:shape>
          <o:OLEObject Type="Embed" ProgID="Equation.DSMT4" ShapeID="_x0000_i5837" DrawAspect="Content" ObjectID="_1791379781" r:id="rId9699"/>
        </w:object>
      </w:r>
      <w:r w:rsidRPr="00B6450D">
        <w:rPr>
          <w:rFonts w:hint="cs"/>
          <w:i/>
          <w:sz w:val="23"/>
          <w:szCs w:val="23"/>
          <w:rtl/>
        </w:rPr>
        <w:t xml:space="preserve"> غیر منفی باشد، هرچند ممکن است</w:t>
      </w:r>
      <w:r w:rsidRPr="00B6450D">
        <w:rPr>
          <w:position w:val="-10"/>
        </w:rPr>
        <w:object w:dxaOrig="240" w:dyaOrig="320" w14:anchorId="2CA89C3C">
          <v:shape id="_x0000_i5838" type="#_x0000_t75" style="width:11.5pt;height:15.75pt" o:ole="">
            <v:imagedata r:id="rId9700" o:title=""/>
          </v:shape>
          <o:OLEObject Type="Embed" ProgID="Equation.DSMT4" ShapeID="_x0000_i5838" DrawAspect="Content" ObjectID="_1791379782" r:id="rId9701"/>
        </w:object>
      </w:r>
      <w:r w:rsidRPr="00B6450D">
        <w:rPr>
          <w:rFonts w:hint="cs"/>
          <w:i/>
          <w:sz w:val="23"/>
          <w:szCs w:val="23"/>
          <w:rtl/>
        </w:rPr>
        <w:t xml:space="preserve"> منفی باشد. زیرا در بازار </w:t>
      </w:r>
      <w:r w:rsidRPr="00B6450D">
        <w:rPr>
          <w:i/>
          <w:sz w:val="23"/>
          <w:szCs w:val="23"/>
        </w:rPr>
        <w:t>FOREX</w:t>
      </w:r>
      <w:r w:rsidRPr="00B6450D">
        <w:rPr>
          <w:rFonts w:hint="cs"/>
          <w:i/>
          <w:sz w:val="23"/>
          <w:szCs w:val="23"/>
          <w:rtl/>
        </w:rPr>
        <w:t xml:space="preserve"> مسئله‌ی ریسک سرمایه‌گذار داخلی در اوراق قرضه‌ی خارجی، و سرمایه‌گذار خارجی در اوراق قرضه‌ی داخلی متقارن است. ریسک سرمایه‌گذار داخلی جهت نگهداری اوراق قرضه‌ی خارجی در واقع همان انتظار افزایش ارزش پول داخلی است که منتج به عایدی کمتر از دارایی خارجی بر حسب پول داخلی است زیرا پول داخلی هزینه‌ی بیشتری نسبت به پول خارجی دارد. ولی برای سرمایه‌گذار خارجی که اوراق قرضه‌ی داخلی را نگهداری می‌کند این ریسک وجود ندارد. عکس قضیه نیز درست است. ریسک سرمایه‌گذار خارجی در اوراق قرضه‌ی داخلی عبارت است از این است که پول خارجی هزینه‌ی بیشتری داشته باشد. بنابراین واضح است که چرا</w:t>
      </w:r>
      <w:r w:rsidRPr="00B6450D">
        <w:rPr>
          <w:position w:val="-10"/>
        </w:rPr>
        <w:object w:dxaOrig="240" w:dyaOrig="320" w14:anchorId="5B7E7A91">
          <v:shape id="_x0000_i5839" type="#_x0000_t75" style="width:11.5pt;height:15.75pt" o:ole="">
            <v:imagedata r:id="rId9702" o:title=""/>
          </v:shape>
          <o:OLEObject Type="Embed" ProgID="Equation.DSMT4" ShapeID="_x0000_i5839" DrawAspect="Content" ObjectID="_1791379783" r:id="rId9703"/>
        </w:object>
      </w:r>
      <w:r w:rsidRPr="00B6450D">
        <w:rPr>
          <w:rFonts w:hint="cs"/>
          <w:i/>
          <w:sz w:val="23"/>
          <w:szCs w:val="23"/>
          <w:rtl/>
        </w:rPr>
        <w:t xml:space="preserve"> ممکن است منفی باشد.</w:t>
      </w:r>
    </w:p>
    <w:p w14:paraId="4503A49A" w14:textId="77777777" w:rsidR="00556C10" w:rsidRPr="00B6450D" w:rsidRDefault="00556C10" w:rsidP="00556C10">
      <w:pPr>
        <w:spacing w:line="216" w:lineRule="auto"/>
        <w:rPr>
          <w:i/>
          <w:sz w:val="23"/>
          <w:szCs w:val="23"/>
          <w:rtl/>
        </w:rPr>
      </w:pPr>
      <w:r w:rsidRPr="00B6450D">
        <w:rPr>
          <w:rFonts w:hint="cs"/>
          <w:i/>
          <w:sz w:val="23"/>
          <w:szCs w:val="23"/>
          <w:rtl/>
        </w:rPr>
        <w:t>راه دیگر برای نشان دادن این نکته بوسیله</w:t>
      </w:r>
      <w:r w:rsidRPr="00B6450D">
        <w:rPr>
          <w:i/>
          <w:sz w:val="23"/>
          <w:szCs w:val="23"/>
          <w:rtl/>
        </w:rPr>
        <w:softHyphen/>
      </w:r>
      <w:r w:rsidRPr="00B6450D">
        <w:rPr>
          <w:rFonts w:hint="cs"/>
          <w:i/>
          <w:sz w:val="23"/>
          <w:szCs w:val="23"/>
          <w:rtl/>
        </w:rPr>
        <w:t xml:space="preserve">ی </w:t>
      </w:r>
      <w:r w:rsidRPr="00B6450D">
        <w:rPr>
          <w:i/>
          <w:sz w:val="23"/>
          <w:szCs w:val="23"/>
        </w:rPr>
        <w:t>UIP</w:t>
      </w:r>
      <w:r w:rsidRPr="00B6450D">
        <w:rPr>
          <w:rFonts w:hint="cs"/>
          <w:i/>
          <w:sz w:val="23"/>
          <w:szCs w:val="23"/>
          <w:rtl/>
        </w:rPr>
        <w:t xml:space="preserve"> از نقطه نظر سرمایه‌گذار خارجی است. بنابراین</w:t>
      </w:r>
    </w:p>
    <w:p w14:paraId="37CE7B0B" w14:textId="77777777" w:rsidR="00556C10" w:rsidRPr="00B6450D" w:rsidRDefault="00556C10" w:rsidP="00556C10">
      <w:pPr>
        <w:bidi w:val="0"/>
        <w:spacing w:line="216" w:lineRule="auto"/>
        <w:rPr>
          <w:i/>
          <w:sz w:val="23"/>
          <w:szCs w:val="23"/>
        </w:rPr>
      </w:pPr>
      <w:r w:rsidRPr="00B6450D">
        <w:rPr>
          <w:position w:val="-10"/>
        </w:rPr>
        <w:object w:dxaOrig="1800" w:dyaOrig="340" w14:anchorId="1E31058A">
          <v:shape id="_x0000_i5840" type="#_x0000_t75" style="width:90.15pt;height:16.95pt" o:ole="">
            <v:imagedata r:id="rId9704" o:title=""/>
          </v:shape>
          <o:OLEObject Type="Embed" ProgID="Equation.DSMT4" ShapeID="_x0000_i5840" DrawAspect="Content" ObjectID="_1791379784" r:id="rId9705"/>
        </w:object>
      </w:r>
    </w:p>
    <w:p w14:paraId="07531956" w14:textId="77777777" w:rsidR="00556C10" w:rsidRPr="00B6450D" w:rsidRDefault="00556C10" w:rsidP="00556C10">
      <w:pPr>
        <w:spacing w:line="216" w:lineRule="auto"/>
        <w:rPr>
          <w:i/>
          <w:sz w:val="23"/>
          <w:szCs w:val="23"/>
          <w:rtl/>
        </w:rPr>
      </w:pPr>
      <w:r w:rsidRPr="00B6450D">
        <w:rPr>
          <w:rFonts w:hint="cs"/>
          <w:i/>
          <w:sz w:val="23"/>
          <w:szCs w:val="23"/>
          <w:rtl/>
        </w:rPr>
        <w:t>که درآن</w:t>
      </w:r>
      <w:r w:rsidRPr="00B6450D">
        <w:rPr>
          <w:position w:val="-10"/>
        </w:rPr>
        <w:object w:dxaOrig="279" w:dyaOrig="340" w14:anchorId="59AE3215">
          <v:shape id="_x0000_i5841" type="#_x0000_t75" style="width:13.9pt;height:16.95pt" o:ole="">
            <v:imagedata r:id="rId9706" o:title=""/>
          </v:shape>
          <o:OLEObject Type="Embed" ProgID="Equation.DSMT4" ShapeID="_x0000_i5841" DrawAspect="Content" ObjectID="_1791379785" r:id="rId9707"/>
        </w:object>
      </w:r>
      <w:r w:rsidRPr="00B6450D">
        <w:rPr>
          <w:i/>
          <w:sz w:val="23"/>
          <w:szCs w:val="23"/>
        </w:rPr>
        <w:t xml:space="preserve"> </w:t>
      </w:r>
      <w:r w:rsidRPr="00B6450D">
        <w:rPr>
          <w:rFonts w:hint="cs"/>
          <w:i/>
          <w:sz w:val="23"/>
          <w:szCs w:val="23"/>
          <w:rtl/>
        </w:rPr>
        <w:t>پاداش ریسک سرمایه‌گذار خارجی است و</w:t>
      </w:r>
      <w:r w:rsidRPr="00B6450D">
        <w:rPr>
          <w:position w:val="-10"/>
        </w:rPr>
        <w:object w:dxaOrig="740" w:dyaOrig="340" w14:anchorId="0AC43D41">
          <v:shape id="_x0000_i5842" type="#_x0000_t75" style="width:36.9pt;height:16.95pt" o:ole="">
            <v:imagedata r:id="rId9708" o:title=""/>
          </v:shape>
          <o:OLEObject Type="Embed" ProgID="Equation.DSMT4" ShapeID="_x0000_i5842" DrawAspect="Content" ObjectID="_1791379786" r:id="rId9709"/>
        </w:object>
      </w:r>
      <w:r w:rsidRPr="00B6450D">
        <w:rPr>
          <w:rFonts w:hint="cs"/>
          <w:i/>
          <w:sz w:val="23"/>
          <w:szCs w:val="23"/>
          <w:rtl/>
        </w:rPr>
        <w:t>. بنابراین</w:t>
      </w:r>
    </w:p>
    <w:p w14:paraId="19FF9E88" w14:textId="77777777" w:rsidR="00556C10" w:rsidRPr="00B6450D" w:rsidRDefault="00556C10" w:rsidP="00556C10">
      <w:pPr>
        <w:bidi w:val="0"/>
        <w:spacing w:line="216" w:lineRule="auto"/>
        <w:rPr>
          <w:i/>
          <w:sz w:val="23"/>
          <w:szCs w:val="23"/>
        </w:rPr>
      </w:pPr>
      <w:r w:rsidRPr="00B6450D">
        <w:rPr>
          <w:position w:val="-10"/>
        </w:rPr>
        <w:object w:dxaOrig="1800" w:dyaOrig="340" w14:anchorId="256E9020">
          <v:shape id="_x0000_i5843" type="#_x0000_t75" style="width:90.15pt;height:16.95pt" o:ole="">
            <v:imagedata r:id="rId9710" o:title=""/>
          </v:shape>
          <o:OLEObject Type="Embed" ProgID="Equation.DSMT4" ShapeID="_x0000_i5843" DrawAspect="Content" ObjectID="_1791379787" r:id="rId9711"/>
        </w:object>
      </w:r>
    </w:p>
    <w:p w14:paraId="7E719A46" w14:textId="77777777" w:rsidR="00556C10" w:rsidRPr="00B6450D" w:rsidRDefault="00556C10" w:rsidP="00556C10">
      <w:pPr>
        <w:spacing w:line="216" w:lineRule="auto"/>
        <w:rPr>
          <w:i/>
          <w:sz w:val="23"/>
          <w:szCs w:val="23"/>
          <w:rtl/>
        </w:rPr>
      </w:pPr>
      <w:r w:rsidRPr="00B6450D">
        <w:rPr>
          <w:rFonts w:hint="cs"/>
          <w:i/>
          <w:sz w:val="23"/>
          <w:szCs w:val="23"/>
          <w:rtl/>
        </w:rPr>
        <w:t>بالاخره،‌ توجه داریم که سرمایه‌گذاران رفتار مشابه</w:t>
      </w:r>
      <w:r w:rsidRPr="00B6450D">
        <w:rPr>
          <w:i/>
          <w:sz w:val="23"/>
          <w:szCs w:val="23"/>
          <w:rtl/>
        </w:rPr>
        <w:softHyphen/>
      </w:r>
      <w:r w:rsidRPr="00B6450D">
        <w:rPr>
          <w:rFonts w:hint="cs"/>
          <w:i/>
          <w:sz w:val="23"/>
          <w:szCs w:val="23"/>
          <w:rtl/>
        </w:rPr>
        <w:t>ای نسبت به ریسک دارند، یعنی اگر بازار کامل باشد، آنگاه</w:t>
      </w:r>
      <w:r w:rsidRPr="00B6450D">
        <w:rPr>
          <w:position w:val="-10"/>
        </w:rPr>
        <w:object w:dxaOrig="820" w:dyaOrig="340" w14:anchorId="1D9BE73B">
          <v:shape id="_x0000_i5844" type="#_x0000_t75" style="width:40.55pt;height:16.95pt" o:ole="">
            <v:imagedata r:id="rId9712" o:title=""/>
          </v:shape>
          <o:OLEObject Type="Embed" ProgID="Equation.DSMT4" ShapeID="_x0000_i5844" DrawAspect="Content" ObjectID="_1791379788" r:id="rId9713"/>
        </w:object>
      </w:r>
      <w:r w:rsidRPr="00B6450D">
        <w:rPr>
          <w:i/>
          <w:sz w:val="23"/>
          <w:szCs w:val="23"/>
        </w:rPr>
        <w:t>.</w:t>
      </w:r>
      <w:r w:rsidRPr="00B6450D">
        <w:rPr>
          <w:rFonts w:hint="cs"/>
          <w:i/>
          <w:sz w:val="23"/>
          <w:szCs w:val="23"/>
          <w:rtl/>
        </w:rPr>
        <w:t xml:space="preserve"> به عبارتی دیگر، تنها اگر بازار کامل باشد شرط </w:t>
      </w:r>
      <w:r w:rsidRPr="00B6450D">
        <w:rPr>
          <w:i/>
          <w:sz w:val="23"/>
          <w:szCs w:val="23"/>
        </w:rPr>
        <w:t>UIP</w:t>
      </w:r>
      <w:r w:rsidRPr="00B6450D">
        <w:rPr>
          <w:rFonts w:hint="cs"/>
          <w:i/>
          <w:sz w:val="23"/>
          <w:szCs w:val="23"/>
          <w:rtl/>
        </w:rPr>
        <w:t xml:space="preserve"> مشابهی را برای سرمایه‌گذار داخلی بدست می‌آوریم. اگر رفتار آن‌ها نسبت به ریسک متفاوت باشد، یعنی بازار کامل نباشد، آنگاه</w:t>
      </w:r>
      <w:r w:rsidRPr="00B6450D">
        <w:rPr>
          <w:position w:val="-10"/>
        </w:rPr>
        <w:object w:dxaOrig="240" w:dyaOrig="320" w14:anchorId="0102807A">
          <v:shape id="_x0000_i5845" type="#_x0000_t75" style="width:11.5pt;height:15.75pt" o:ole="">
            <v:imagedata r:id="rId9714" o:title=""/>
          </v:shape>
          <o:OLEObject Type="Embed" ProgID="Equation.DSMT4" ShapeID="_x0000_i5845" DrawAspect="Content" ObjectID="_1791379789" r:id="rId9715"/>
        </w:object>
      </w:r>
      <w:r w:rsidRPr="00B6450D">
        <w:rPr>
          <w:i/>
          <w:sz w:val="23"/>
          <w:szCs w:val="23"/>
        </w:rPr>
        <w:t xml:space="preserve"> </w:t>
      </w:r>
      <w:r w:rsidRPr="00B6450D">
        <w:rPr>
          <w:rFonts w:hint="cs"/>
          <w:i/>
          <w:sz w:val="23"/>
          <w:szCs w:val="23"/>
          <w:rtl/>
        </w:rPr>
        <w:t>و</w:t>
      </w:r>
      <w:r w:rsidRPr="00B6450D">
        <w:rPr>
          <w:position w:val="-10"/>
        </w:rPr>
        <w:object w:dxaOrig="279" w:dyaOrig="340" w14:anchorId="58078B15">
          <v:shape id="_x0000_i5846" type="#_x0000_t75" style="width:13.9pt;height:16.95pt" o:ole="">
            <v:imagedata r:id="rId9716" o:title=""/>
          </v:shape>
          <o:OLEObject Type="Embed" ProgID="Equation.DSMT4" ShapeID="_x0000_i5846" DrawAspect="Content" ObjectID="_1791379790" r:id="rId9717"/>
        </w:object>
      </w:r>
      <w:r w:rsidRPr="00B6450D">
        <w:rPr>
          <w:i/>
          <w:sz w:val="23"/>
          <w:szCs w:val="23"/>
        </w:rPr>
        <w:t xml:space="preserve"> </w:t>
      </w:r>
      <w:r w:rsidRPr="00B6450D">
        <w:rPr>
          <w:rFonts w:hint="cs"/>
          <w:i/>
          <w:sz w:val="23"/>
          <w:szCs w:val="23"/>
          <w:rtl/>
        </w:rPr>
        <w:t>علائم متضاد خواهند داشت.</w:t>
      </w:r>
    </w:p>
    <w:p w14:paraId="67386B95" w14:textId="77777777" w:rsidR="00556C10" w:rsidRPr="00B6450D" w:rsidRDefault="00556C10" w:rsidP="00556C10">
      <w:pPr>
        <w:spacing w:line="216" w:lineRule="auto"/>
        <w:rPr>
          <w:i/>
          <w:sz w:val="23"/>
          <w:szCs w:val="23"/>
          <w:rtl/>
        </w:rPr>
      </w:pPr>
    </w:p>
    <w:p w14:paraId="7A843294" w14:textId="77777777" w:rsidR="00556C10" w:rsidRPr="00B6450D" w:rsidRDefault="00556C10" w:rsidP="00556C10">
      <w:pPr>
        <w:spacing w:line="216" w:lineRule="auto"/>
        <w:rPr>
          <w:bCs/>
          <w:i/>
          <w:sz w:val="23"/>
          <w:szCs w:val="23"/>
          <w:rtl/>
        </w:rPr>
      </w:pPr>
      <w:r w:rsidRPr="00B6450D">
        <w:rPr>
          <w:rFonts w:hint="cs"/>
          <w:bCs/>
          <w:i/>
          <w:sz w:val="23"/>
          <w:szCs w:val="23"/>
          <w:rtl/>
        </w:rPr>
        <w:t>مدل سرمایه‌گذار داخلی</w:t>
      </w:r>
    </w:p>
    <w:p w14:paraId="3C9556D8" w14:textId="77777777" w:rsidR="00556C10" w:rsidRPr="00B6450D" w:rsidRDefault="00556C10" w:rsidP="00556C10">
      <w:pPr>
        <w:spacing w:line="216" w:lineRule="auto"/>
        <w:rPr>
          <w:i/>
          <w:sz w:val="23"/>
          <w:szCs w:val="23"/>
          <w:rtl/>
        </w:rPr>
      </w:pPr>
      <w:r w:rsidRPr="00B6450D">
        <w:rPr>
          <w:rFonts w:hint="cs"/>
          <w:i/>
          <w:sz w:val="23"/>
          <w:szCs w:val="23"/>
          <w:rtl/>
        </w:rPr>
        <w:t xml:space="preserve">مدل تعادل عمومی پاداش ریسک </w:t>
      </w:r>
      <w:r w:rsidRPr="00B6450D">
        <w:rPr>
          <w:i/>
          <w:sz w:val="23"/>
          <w:szCs w:val="23"/>
        </w:rPr>
        <w:t>FOREX</w:t>
      </w:r>
      <w:r w:rsidRPr="00B6450D">
        <w:rPr>
          <w:rFonts w:hint="cs"/>
          <w:i/>
          <w:sz w:val="23"/>
          <w:szCs w:val="23"/>
          <w:rtl/>
        </w:rPr>
        <w:t xml:space="preserve"> را با سرمایه‌گذاران داخلی آغاز می‌کنیم. فرض می‌کنیم که نرخ‌های بهره و نرخ تغییرات </w:t>
      </w:r>
      <w:r w:rsidRPr="00B6450D">
        <w:rPr>
          <w:i/>
          <w:sz w:val="23"/>
          <w:szCs w:val="23"/>
        </w:rPr>
        <w:t>FOREX</w:t>
      </w:r>
      <w:r w:rsidRPr="00B6450D">
        <w:rPr>
          <w:rFonts w:hint="cs"/>
          <w:i/>
          <w:sz w:val="23"/>
          <w:szCs w:val="23"/>
          <w:rtl/>
        </w:rPr>
        <w:t xml:space="preserve"> دارای توزیع مشترک لگاریتم-نرمال هستند. برای </w:t>
      </w:r>
      <w:r w:rsidRPr="00B6450D">
        <w:rPr>
          <w:i/>
          <w:sz w:val="23"/>
          <w:szCs w:val="23"/>
        </w:rPr>
        <w:t>FOREX</w:t>
      </w:r>
      <w:r w:rsidRPr="00B6450D">
        <w:rPr>
          <w:rFonts w:hint="cs"/>
          <w:i/>
          <w:sz w:val="23"/>
          <w:szCs w:val="23"/>
          <w:rtl/>
        </w:rPr>
        <w:t xml:space="preserve"> شرط بدون آربیتراژ عام عبارت است از</w:t>
      </w:r>
    </w:p>
    <w:p w14:paraId="483178B5" w14:textId="77777777" w:rsidR="00556C10" w:rsidRPr="00B6450D" w:rsidRDefault="00556C10" w:rsidP="00556C10">
      <w:pPr>
        <w:bidi w:val="0"/>
        <w:spacing w:line="216" w:lineRule="auto"/>
        <w:rPr>
          <w:i/>
          <w:sz w:val="23"/>
          <w:szCs w:val="23"/>
        </w:rPr>
      </w:pPr>
      <w:r w:rsidRPr="00B6450D">
        <w:rPr>
          <w:position w:val="-22"/>
        </w:rPr>
        <w:object w:dxaOrig="3800" w:dyaOrig="560" w14:anchorId="346F7867">
          <v:shape id="_x0000_i5847" type="#_x0000_t75" style="width:190pt;height:27.85pt" o:ole="">
            <v:imagedata r:id="rId9718" o:title=""/>
          </v:shape>
          <o:OLEObject Type="Embed" ProgID="Equation.DSMT4" ShapeID="_x0000_i5847" DrawAspect="Content" ObjectID="_1791379791" r:id="rId9719"/>
        </w:object>
      </w:r>
    </w:p>
    <w:p w14:paraId="2CF0823C" w14:textId="77777777" w:rsidR="00556C10" w:rsidRPr="00B6450D" w:rsidRDefault="00556C10" w:rsidP="00556C10">
      <w:pPr>
        <w:spacing w:line="216" w:lineRule="auto"/>
        <w:rPr>
          <w:i/>
          <w:sz w:val="23"/>
          <w:szCs w:val="23"/>
          <w:rtl/>
        </w:rPr>
      </w:pPr>
      <w:r w:rsidRPr="00B6450D">
        <w:rPr>
          <w:rFonts w:hint="cs"/>
          <w:i/>
          <w:sz w:val="23"/>
          <w:szCs w:val="23"/>
          <w:rtl/>
        </w:rPr>
        <w:t>بنابراین</w:t>
      </w:r>
    </w:p>
    <w:p w14:paraId="21C10068" w14:textId="77777777" w:rsidR="00556C10" w:rsidRPr="00B6450D" w:rsidRDefault="00556C10" w:rsidP="00556C10">
      <w:pPr>
        <w:bidi w:val="0"/>
        <w:spacing w:line="216" w:lineRule="auto"/>
        <w:rPr>
          <w:i/>
          <w:sz w:val="23"/>
          <w:szCs w:val="23"/>
          <w:rtl/>
        </w:rPr>
      </w:pPr>
      <w:r w:rsidRPr="00B6450D">
        <w:rPr>
          <w:position w:val="-22"/>
        </w:rPr>
        <w:object w:dxaOrig="4080" w:dyaOrig="560" w14:anchorId="336AC935">
          <v:shape id="_x0000_i5848" type="#_x0000_t75" style="width:203.9pt;height:27.85pt" o:ole="">
            <v:imagedata r:id="rId9720" o:title=""/>
          </v:shape>
          <o:OLEObject Type="Embed" ProgID="Equation.DSMT4" ShapeID="_x0000_i5848" DrawAspect="Content" ObjectID="_1791379792" r:id="rId9721"/>
        </w:object>
      </w:r>
      <w:r w:rsidRPr="00B6450D">
        <w:rPr>
          <w:i/>
          <w:sz w:val="23"/>
          <w:szCs w:val="23"/>
        </w:rPr>
        <w:tab/>
      </w:r>
      <w:r w:rsidRPr="00B6450D">
        <w:rPr>
          <w:i/>
          <w:sz w:val="23"/>
          <w:szCs w:val="23"/>
        </w:rPr>
        <w:tab/>
      </w:r>
      <w:r>
        <w:rPr>
          <w:i/>
          <w:sz w:val="23"/>
          <w:szCs w:val="23"/>
          <w:rtl/>
        </w:rPr>
        <w:tab/>
      </w:r>
      <w:r>
        <w:rPr>
          <w:i/>
          <w:sz w:val="23"/>
          <w:szCs w:val="23"/>
          <w:rtl/>
        </w:rPr>
        <w:tab/>
      </w:r>
      <w:r w:rsidRPr="00B6450D">
        <w:rPr>
          <w:i/>
          <w:sz w:val="23"/>
          <w:szCs w:val="23"/>
        </w:rPr>
        <w:tab/>
      </w:r>
      <w:r w:rsidRPr="00B6450D">
        <w:rPr>
          <w:i/>
          <w:sz w:val="23"/>
          <w:szCs w:val="23"/>
          <w:rtl/>
        </w:rPr>
        <w:tab/>
      </w:r>
      <w:r w:rsidRPr="00B6450D">
        <w:rPr>
          <w:i/>
          <w:sz w:val="23"/>
          <w:szCs w:val="23"/>
          <w:rtl/>
        </w:rPr>
        <w:tab/>
      </w:r>
      <w:r w:rsidRPr="00B6450D">
        <w:rPr>
          <w:rFonts w:hint="cs"/>
          <w:i/>
          <w:sz w:val="23"/>
          <w:szCs w:val="23"/>
          <w:rtl/>
        </w:rPr>
        <w:t>(۱۲. ۷۴)</w:t>
      </w:r>
    </w:p>
    <w:p w14:paraId="043949A3" w14:textId="77777777" w:rsidR="00556C10" w:rsidRPr="00B6450D" w:rsidRDefault="00556C10" w:rsidP="00556C10">
      <w:pPr>
        <w:spacing w:line="216" w:lineRule="auto"/>
        <w:rPr>
          <w:i/>
          <w:sz w:val="23"/>
          <w:szCs w:val="23"/>
          <w:rtl/>
        </w:rPr>
      </w:pPr>
      <w:r w:rsidRPr="00B6450D">
        <w:rPr>
          <w:rFonts w:hint="cs"/>
          <w:i/>
          <w:sz w:val="23"/>
          <w:szCs w:val="23"/>
          <w:rtl/>
        </w:rPr>
        <w:lastRenderedPageBreak/>
        <w:t>بطوری</w:t>
      </w:r>
      <w:r w:rsidRPr="00B6450D">
        <w:rPr>
          <w:i/>
          <w:sz w:val="23"/>
          <w:szCs w:val="23"/>
          <w:rtl/>
        </w:rPr>
        <w:softHyphen/>
      </w:r>
      <w:r w:rsidRPr="00B6450D">
        <w:rPr>
          <w:rFonts w:hint="cs"/>
          <w:i/>
          <w:sz w:val="23"/>
          <w:szCs w:val="23"/>
          <w:rtl/>
        </w:rPr>
        <w:t>که</w:t>
      </w:r>
    </w:p>
    <w:p w14:paraId="24CA9A01" w14:textId="77777777" w:rsidR="00556C10" w:rsidRPr="00B6450D" w:rsidRDefault="00556C10" w:rsidP="00556C10">
      <w:pPr>
        <w:bidi w:val="0"/>
        <w:spacing w:line="216" w:lineRule="auto"/>
        <w:rPr>
          <w:i/>
          <w:sz w:val="23"/>
          <w:szCs w:val="23"/>
        </w:rPr>
      </w:pPr>
      <w:r w:rsidRPr="00B6450D">
        <w:rPr>
          <w:position w:val="-16"/>
        </w:rPr>
        <w:object w:dxaOrig="4099" w:dyaOrig="420" w14:anchorId="22B5BC2A">
          <v:shape id="_x0000_i5849" type="#_x0000_t75" style="width:205.1pt;height:21.2pt" o:ole="">
            <v:imagedata r:id="rId9722" o:title=""/>
          </v:shape>
          <o:OLEObject Type="Embed" ProgID="Equation.DSMT4" ShapeID="_x0000_i5849" DrawAspect="Content" ObjectID="_1791379793" r:id="rId9723"/>
        </w:object>
      </w:r>
    </w:p>
    <w:p w14:paraId="0B82DD27" w14:textId="77777777" w:rsidR="00556C10" w:rsidRPr="00B6450D" w:rsidRDefault="00556C10" w:rsidP="00556C10">
      <w:pPr>
        <w:bidi w:val="0"/>
        <w:spacing w:line="216" w:lineRule="auto"/>
        <w:rPr>
          <w:i/>
          <w:sz w:val="23"/>
          <w:szCs w:val="23"/>
        </w:rPr>
      </w:pPr>
      <w:r w:rsidRPr="00B6450D">
        <w:rPr>
          <w:position w:val="-22"/>
        </w:rPr>
        <w:object w:dxaOrig="3240" w:dyaOrig="560" w14:anchorId="31005CCB">
          <v:shape id="_x0000_i5850" type="#_x0000_t75" style="width:162.15pt;height:27.85pt" o:ole="">
            <v:imagedata r:id="rId9724" o:title=""/>
          </v:shape>
          <o:OLEObject Type="Embed" ProgID="Equation.DSMT4" ShapeID="_x0000_i5850" DrawAspect="Content" ObjectID="_1791379794" r:id="rId9725"/>
        </w:object>
      </w:r>
    </w:p>
    <w:p w14:paraId="366ACAE7" w14:textId="77777777" w:rsidR="00556C10" w:rsidRPr="00B6450D" w:rsidRDefault="00556C10" w:rsidP="00556C10">
      <w:pPr>
        <w:bidi w:val="0"/>
        <w:spacing w:line="216" w:lineRule="auto"/>
        <w:rPr>
          <w:i/>
          <w:sz w:val="23"/>
          <w:szCs w:val="23"/>
        </w:rPr>
      </w:pPr>
      <w:r w:rsidRPr="00B6450D">
        <w:rPr>
          <w:position w:val="-10"/>
        </w:rPr>
        <w:object w:dxaOrig="1320" w:dyaOrig="320" w14:anchorId="75F4A0CC">
          <v:shape id="_x0000_i5851" type="#_x0000_t75" style="width:65.35pt;height:15.75pt" o:ole="">
            <v:imagedata r:id="rId9726" o:title=""/>
          </v:shape>
          <o:OLEObject Type="Embed" ProgID="Equation.DSMT4" ShapeID="_x0000_i5851" DrawAspect="Content" ObjectID="_1791379795" r:id="rId9727"/>
        </w:object>
      </w:r>
    </w:p>
    <w:p w14:paraId="39F6E06D" w14:textId="77777777" w:rsidR="00556C10" w:rsidRPr="00B6450D" w:rsidRDefault="00556C10" w:rsidP="00556C10">
      <w:pPr>
        <w:spacing w:line="216" w:lineRule="auto"/>
        <w:rPr>
          <w:i/>
          <w:sz w:val="23"/>
          <w:szCs w:val="23"/>
          <w:rtl/>
        </w:rPr>
      </w:pPr>
      <w:r w:rsidRPr="00B6450D">
        <w:rPr>
          <w:rFonts w:hint="cs"/>
          <w:i/>
          <w:sz w:val="23"/>
          <w:szCs w:val="23"/>
          <w:rtl/>
        </w:rPr>
        <w:t xml:space="preserve">بنابراین، پاداش ریسک </w:t>
      </w:r>
      <w:r w:rsidRPr="00B6450D">
        <w:rPr>
          <w:i/>
          <w:sz w:val="23"/>
          <w:szCs w:val="23"/>
        </w:rPr>
        <w:t>FOREX</w:t>
      </w:r>
      <w:r w:rsidRPr="00B6450D">
        <w:rPr>
          <w:rFonts w:hint="cs"/>
          <w:i/>
          <w:sz w:val="23"/>
          <w:szCs w:val="23"/>
          <w:rtl/>
        </w:rPr>
        <w:t xml:space="preserve"> برابر است با </w:t>
      </w:r>
      <w:r w:rsidRPr="00B6450D">
        <w:rPr>
          <w:position w:val="-12"/>
        </w:rPr>
        <w:object w:dxaOrig="1660" w:dyaOrig="360" w14:anchorId="44C9B622">
          <v:shape id="_x0000_i5852" type="#_x0000_t75" style="width:82.9pt;height:18.15pt" o:ole="">
            <v:imagedata r:id="rId9728" o:title=""/>
          </v:shape>
          <o:OLEObject Type="Embed" ProgID="Equation.DSMT4" ShapeID="_x0000_i5852" DrawAspect="Content" ObjectID="_1791379796" r:id="rId9729"/>
        </w:object>
      </w:r>
      <w:r w:rsidRPr="00B6450D">
        <w:rPr>
          <w:rFonts w:hint="cs"/>
          <w:i/>
          <w:sz w:val="23"/>
          <w:szCs w:val="23"/>
          <w:rtl/>
        </w:rPr>
        <w:t xml:space="preserve"> که از عدم اطمینان نرخ ارز لحظه</w:t>
      </w:r>
      <w:r w:rsidRPr="00B6450D">
        <w:rPr>
          <w:i/>
          <w:sz w:val="23"/>
          <w:szCs w:val="23"/>
          <w:rtl/>
        </w:rPr>
        <w:softHyphen/>
      </w:r>
      <w:r w:rsidRPr="00B6450D">
        <w:rPr>
          <w:rFonts w:hint="cs"/>
          <w:i/>
          <w:sz w:val="23"/>
          <w:szCs w:val="23"/>
          <w:rtl/>
        </w:rPr>
        <w:t>ای آینده و کوواریانس شرطی با عامل تنزیل</w:t>
      </w:r>
      <w:r w:rsidRPr="00B6450D">
        <w:rPr>
          <w:position w:val="-10"/>
        </w:rPr>
        <w:object w:dxaOrig="420" w:dyaOrig="320" w14:anchorId="095D124B">
          <v:shape id="_x0000_i5853" type="#_x0000_t75" style="width:21.2pt;height:15.75pt" o:ole="">
            <v:imagedata r:id="rId9730" o:title=""/>
          </v:shape>
          <o:OLEObject Type="Embed" ProgID="Equation.DSMT4" ShapeID="_x0000_i5853" DrawAspect="Content" ObjectID="_1791379797" r:id="rId9731"/>
        </w:object>
      </w:r>
      <w:r w:rsidRPr="00B6450D">
        <w:rPr>
          <w:rFonts w:hint="cs"/>
          <w:i/>
          <w:sz w:val="23"/>
          <w:szCs w:val="23"/>
          <w:rtl/>
        </w:rPr>
        <w:t xml:space="preserve"> بدست می‌آید. لذا با افزایش نرخی که بازدهی‌های خارجی تنزیل می‌شود کاهش ارزش پول داخلی بیشتر می</w:t>
      </w:r>
      <w:r w:rsidRPr="00B6450D">
        <w:rPr>
          <w:i/>
          <w:sz w:val="23"/>
          <w:szCs w:val="23"/>
          <w:rtl/>
        </w:rPr>
        <w:softHyphen/>
      </w:r>
      <w:r w:rsidRPr="00B6450D">
        <w:rPr>
          <w:rFonts w:hint="cs"/>
          <w:i/>
          <w:sz w:val="23"/>
          <w:szCs w:val="23"/>
          <w:rtl/>
        </w:rPr>
        <w:t>شود.</w:t>
      </w:r>
    </w:p>
    <w:p w14:paraId="4F0C8DA3" w14:textId="77777777" w:rsidR="00556C10" w:rsidRPr="00B6450D" w:rsidRDefault="00556C10" w:rsidP="00556C10">
      <w:pPr>
        <w:spacing w:line="216" w:lineRule="auto"/>
        <w:rPr>
          <w:i/>
          <w:sz w:val="23"/>
          <w:szCs w:val="23"/>
          <w:rtl/>
        </w:rPr>
      </w:pPr>
    </w:p>
    <w:p w14:paraId="2FA29077" w14:textId="77777777" w:rsidR="00556C10" w:rsidRPr="00B6450D" w:rsidRDefault="00556C10" w:rsidP="00556C10">
      <w:pPr>
        <w:spacing w:line="216" w:lineRule="auto"/>
        <w:rPr>
          <w:bCs/>
          <w:i/>
          <w:sz w:val="23"/>
          <w:szCs w:val="23"/>
          <w:rtl/>
        </w:rPr>
      </w:pPr>
      <w:r w:rsidRPr="00B6450D">
        <w:rPr>
          <w:rFonts w:hint="cs"/>
          <w:bCs/>
          <w:i/>
          <w:sz w:val="23"/>
          <w:szCs w:val="23"/>
          <w:rtl/>
        </w:rPr>
        <w:t>مدل سرمایه‌گذار داخلی</w:t>
      </w:r>
    </w:p>
    <w:p w14:paraId="0A8CEE70" w14:textId="77777777" w:rsidR="00556C10" w:rsidRPr="00B6450D" w:rsidRDefault="00556C10" w:rsidP="00556C10">
      <w:pPr>
        <w:spacing w:line="216" w:lineRule="auto"/>
        <w:rPr>
          <w:i/>
          <w:sz w:val="23"/>
          <w:szCs w:val="23"/>
          <w:rtl/>
        </w:rPr>
      </w:pPr>
      <w:r w:rsidRPr="00B6450D">
        <w:rPr>
          <w:rFonts w:hint="cs"/>
          <w:i/>
          <w:sz w:val="23"/>
          <w:szCs w:val="23"/>
          <w:rtl/>
        </w:rPr>
        <w:t>برای سرمایه‌گذار خارجی مازاد بازدهی‌ها و نرخ‌های ارز معکوس می‌شوند. متغیرهای خارجی را با علامت ستاره نشان داده و با توجه به این</w:t>
      </w:r>
      <w:r w:rsidRPr="00B6450D">
        <w:rPr>
          <w:i/>
          <w:sz w:val="23"/>
          <w:szCs w:val="23"/>
          <w:rtl/>
        </w:rPr>
        <w:softHyphen/>
      </w:r>
      <w:r w:rsidRPr="00B6450D">
        <w:rPr>
          <w:rFonts w:hint="cs"/>
          <w:i/>
          <w:sz w:val="23"/>
          <w:szCs w:val="23"/>
          <w:rtl/>
        </w:rPr>
        <w:t>که</w:t>
      </w:r>
      <w:r w:rsidRPr="00B6450D">
        <w:rPr>
          <w:position w:val="-10"/>
        </w:rPr>
        <w:object w:dxaOrig="740" w:dyaOrig="340" w14:anchorId="529375DA">
          <v:shape id="_x0000_i5854" type="#_x0000_t75" style="width:36.9pt;height:16.95pt" o:ole="">
            <v:imagedata r:id="rId9732" o:title=""/>
          </v:shape>
          <o:OLEObject Type="Embed" ProgID="Equation.DSMT4" ShapeID="_x0000_i5854" DrawAspect="Content" ObjectID="_1791379798" r:id="rId9733"/>
        </w:object>
      </w:r>
      <w:r w:rsidRPr="00B6450D">
        <w:rPr>
          <w:rFonts w:hint="cs"/>
          <w:i/>
          <w:sz w:val="23"/>
          <w:szCs w:val="23"/>
          <w:rtl/>
        </w:rPr>
        <w:t xml:space="preserve"> مازاد بازدهی برابر خواهد بود با</w:t>
      </w:r>
    </w:p>
    <w:p w14:paraId="5BA403EB" w14:textId="77777777" w:rsidR="00556C10" w:rsidRPr="00B6450D" w:rsidRDefault="00556C10" w:rsidP="00556C10">
      <w:pPr>
        <w:bidi w:val="0"/>
        <w:spacing w:line="216" w:lineRule="auto"/>
        <w:rPr>
          <w:i/>
          <w:sz w:val="23"/>
          <w:szCs w:val="23"/>
        </w:rPr>
      </w:pPr>
      <w:r w:rsidRPr="00B6450D">
        <w:rPr>
          <w:position w:val="-12"/>
        </w:rPr>
        <w:object w:dxaOrig="3120" w:dyaOrig="360" w14:anchorId="7E1D0548">
          <v:shape id="_x0000_i5855" type="#_x0000_t75" style="width:156.1pt;height:18.15pt" o:ole="">
            <v:imagedata r:id="rId9734" o:title=""/>
          </v:shape>
          <o:OLEObject Type="Embed" ProgID="Equation.DSMT4" ShapeID="_x0000_i5855" DrawAspect="Content" ObjectID="_1791379799" r:id="rId9735"/>
        </w:object>
      </w:r>
    </w:p>
    <w:p w14:paraId="3E374848" w14:textId="77777777" w:rsidR="00556C10" w:rsidRPr="00B6450D" w:rsidRDefault="00556C10" w:rsidP="00556C10">
      <w:pPr>
        <w:spacing w:line="216" w:lineRule="auto"/>
        <w:rPr>
          <w:i/>
          <w:sz w:val="23"/>
          <w:szCs w:val="23"/>
          <w:rtl/>
        </w:rPr>
      </w:pPr>
      <w:r w:rsidRPr="00B6450D">
        <w:rPr>
          <w:rFonts w:hint="cs"/>
          <w:i/>
          <w:sz w:val="23"/>
          <w:szCs w:val="23"/>
          <w:rtl/>
        </w:rPr>
        <w:t>که نشان دهنده‌ی شرط بدون آربیتراژ است</w:t>
      </w:r>
    </w:p>
    <w:p w14:paraId="69DCB9EF" w14:textId="77777777" w:rsidR="00556C10" w:rsidRPr="00B6450D" w:rsidRDefault="00556C10" w:rsidP="00556C10">
      <w:pPr>
        <w:bidi w:val="0"/>
        <w:spacing w:line="216" w:lineRule="auto"/>
        <w:rPr>
          <w:i/>
          <w:sz w:val="23"/>
          <w:szCs w:val="23"/>
        </w:rPr>
      </w:pPr>
      <w:r w:rsidRPr="00B6450D">
        <w:rPr>
          <w:position w:val="-22"/>
        </w:rPr>
        <w:object w:dxaOrig="3860" w:dyaOrig="560" w14:anchorId="3A609A3C">
          <v:shape id="_x0000_i5856" type="#_x0000_t75" style="width:193pt;height:27.85pt" o:ole="">
            <v:imagedata r:id="rId9736" o:title=""/>
          </v:shape>
          <o:OLEObject Type="Embed" ProgID="Equation.DSMT4" ShapeID="_x0000_i5856" DrawAspect="Content" ObjectID="_1791379800" r:id="rId9737"/>
        </w:object>
      </w:r>
    </w:p>
    <w:p w14:paraId="53D6067A" w14:textId="77777777" w:rsidR="00556C10" w:rsidRPr="00B6450D" w:rsidRDefault="00556C10" w:rsidP="00556C10">
      <w:pPr>
        <w:spacing w:line="216" w:lineRule="auto"/>
        <w:rPr>
          <w:i/>
          <w:sz w:val="23"/>
          <w:szCs w:val="23"/>
          <w:rtl/>
        </w:rPr>
      </w:pPr>
      <w:r w:rsidRPr="00B6450D">
        <w:rPr>
          <w:rFonts w:hint="cs"/>
          <w:i/>
          <w:sz w:val="23"/>
          <w:szCs w:val="23"/>
          <w:rtl/>
        </w:rPr>
        <w:t>که در آن</w:t>
      </w:r>
      <w:r w:rsidRPr="00B6450D">
        <w:rPr>
          <w:position w:val="-6"/>
        </w:rPr>
        <w:object w:dxaOrig="320" w:dyaOrig="300" w14:anchorId="2709CC09">
          <v:shape id="_x0000_i5857" type="#_x0000_t75" style="width:15.75pt;height:14.5pt" o:ole="">
            <v:imagedata r:id="rId9738" o:title=""/>
          </v:shape>
          <o:OLEObject Type="Embed" ProgID="Equation.DSMT4" ShapeID="_x0000_i5857" DrawAspect="Content" ObjectID="_1791379801" r:id="rId9739"/>
        </w:object>
      </w:r>
      <w:r w:rsidRPr="00B6450D">
        <w:rPr>
          <w:rFonts w:hint="cs"/>
          <w:i/>
          <w:sz w:val="23"/>
          <w:szCs w:val="23"/>
          <w:rtl/>
        </w:rPr>
        <w:t xml:space="preserve"> بر حسب پول خارجی اندازه‌گیری می‌شود. بنابراین</w:t>
      </w:r>
    </w:p>
    <w:p w14:paraId="54C34B70" w14:textId="77777777" w:rsidR="00556C10" w:rsidRPr="00B6450D" w:rsidRDefault="00556C10" w:rsidP="00556C10">
      <w:pPr>
        <w:bidi w:val="0"/>
        <w:spacing w:line="216" w:lineRule="auto"/>
        <w:rPr>
          <w:i/>
          <w:sz w:val="23"/>
          <w:szCs w:val="23"/>
          <w:rtl/>
        </w:rPr>
      </w:pPr>
      <w:r w:rsidRPr="00B6450D">
        <w:rPr>
          <w:position w:val="-22"/>
        </w:rPr>
        <w:object w:dxaOrig="4080" w:dyaOrig="560" w14:anchorId="3DE53FC0">
          <v:shape id="_x0000_i5858" type="#_x0000_t75" style="width:203.9pt;height:27.85pt" o:ole="">
            <v:imagedata r:id="rId9740" o:title=""/>
          </v:shape>
          <o:OLEObject Type="Embed" ProgID="Equation.DSMT4" ShapeID="_x0000_i5858" DrawAspect="Content" ObjectID="_1791379802" r:id="rId9741"/>
        </w:object>
      </w:r>
      <w:r w:rsidRPr="00B6450D">
        <w:rPr>
          <w:i/>
          <w:sz w:val="23"/>
          <w:szCs w:val="23"/>
        </w:rPr>
        <w:t xml:space="preserve"> </w:t>
      </w:r>
      <w:r>
        <w:rPr>
          <w:i/>
          <w:sz w:val="23"/>
          <w:szCs w:val="23"/>
          <w:rtl/>
        </w:rPr>
        <w:tab/>
      </w:r>
      <w:r>
        <w:rPr>
          <w:i/>
          <w:sz w:val="23"/>
          <w:szCs w:val="23"/>
          <w:rtl/>
        </w:rPr>
        <w:tab/>
      </w:r>
      <w:r w:rsidRPr="00B6450D">
        <w:rPr>
          <w:i/>
          <w:sz w:val="23"/>
          <w:szCs w:val="23"/>
          <w:rtl/>
        </w:rPr>
        <w:tab/>
      </w:r>
      <w:r w:rsidRPr="00B6450D">
        <w:rPr>
          <w:i/>
          <w:sz w:val="23"/>
          <w:szCs w:val="23"/>
        </w:rPr>
        <w:tab/>
      </w:r>
      <w:r w:rsidRPr="00B6450D">
        <w:rPr>
          <w:i/>
          <w:sz w:val="23"/>
          <w:szCs w:val="23"/>
        </w:rPr>
        <w:tab/>
      </w:r>
      <w:r w:rsidRPr="00B6450D">
        <w:rPr>
          <w:i/>
          <w:sz w:val="23"/>
          <w:szCs w:val="23"/>
        </w:rPr>
        <w:tab/>
      </w:r>
      <w:r w:rsidRPr="00B6450D">
        <w:rPr>
          <w:i/>
          <w:sz w:val="23"/>
          <w:szCs w:val="23"/>
          <w:rtl/>
        </w:rPr>
        <w:tab/>
      </w:r>
      <w:r w:rsidRPr="00B6450D">
        <w:rPr>
          <w:rFonts w:hint="cs"/>
          <w:i/>
          <w:sz w:val="23"/>
          <w:szCs w:val="23"/>
          <w:rtl/>
        </w:rPr>
        <w:t>(۱۲. ۷۵)</w:t>
      </w:r>
    </w:p>
    <w:p w14:paraId="6331EEB6" w14:textId="77777777" w:rsidR="00556C10" w:rsidRPr="00B6450D" w:rsidRDefault="00556C10" w:rsidP="00556C10">
      <w:pPr>
        <w:spacing w:line="216" w:lineRule="auto"/>
        <w:rPr>
          <w:i/>
          <w:sz w:val="23"/>
          <w:szCs w:val="23"/>
          <w:rtl/>
        </w:rPr>
      </w:pPr>
    </w:p>
    <w:p w14:paraId="0D9FB2F5" w14:textId="77777777" w:rsidR="00556C10" w:rsidRPr="00B6450D" w:rsidRDefault="00556C10" w:rsidP="00556C10">
      <w:pPr>
        <w:spacing w:line="216" w:lineRule="auto"/>
        <w:rPr>
          <w:bCs/>
          <w:i/>
          <w:sz w:val="23"/>
          <w:szCs w:val="23"/>
          <w:rtl/>
        </w:rPr>
      </w:pPr>
      <w:r w:rsidRPr="00B6450D">
        <w:rPr>
          <w:rFonts w:hint="cs"/>
          <w:bCs/>
          <w:i/>
          <w:sz w:val="23"/>
          <w:szCs w:val="23"/>
          <w:rtl/>
        </w:rPr>
        <w:t>مدل ترکیبی سرمایه‌گذار داخلی و خارجی</w:t>
      </w:r>
    </w:p>
    <w:p w14:paraId="42A117A0" w14:textId="77777777" w:rsidR="00556C10" w:rsidRPr="00B6450D" w:rsidRDefault="00556C10" w:rsidP="00556C10">
      <w:pPr>
        <w:spacing w:line="216" w:lineRule="auto"/>
        <w:rPr>
          <w:i/>
          <w:sz w:val="23"/>
          <w:szCs w:val="23"/>
          <w:rtl/>
        </w:rPr>
      </w:pPr>
      <w:r w:rsidRPr="00B6450D">
        <w:rPr>
          <w:rFonts w:hint="cs"/>
          <w:i/>
          <w:sz w:val="23"/>
          <w:szCs w:val="23"/>
          <w:rtl/>
        </w:rPr>
        <w:t xml:space="preserve">از آن جا که در عمل هر دو سرمایه‌گذار داخلی و خارجی در معاملات </w:t>
      </w:r>
      <w:r w:rsidRPr="00B6450D">
        <w:rPr>
          <w:i/>
          <w:sz w:val="23"/>
          <w:szCs w:val="23"/>
        </w:rPr>
        <w:t>FOREX</w:t>
      </w:r>
      <w:r w:rsidRPr="00B6450D">
        <w:rPr>
          <w:rFonts w:hint="cs"/>
          <w:i/>
          <w:sz w:val="23"/>
          <w:szCs w:val="23"/>
          <w:rtl/>
        </w:rPr>
        <w:t xml:space="preserve"> مشارکت می‌کنند، دو شرط عدم وجود آربیتراژ را با تفریق معادله‌ی (۱۲. ۷۵) از معادله‌ی (۱۲. ۷۴) ترکیب می‌کنیم. بنابراین</w:t>
      </w:r>
    </w:p>
    <w:p w14:paraId="39143EED" w14:textId="77777777" w:rsidR="00556C10" w:rsidRPr="00B6450D" w:rsidRDefault="00556C10" w:rsidP="00556C10">
      <w:pPr>
        <w:bidi w:val="0"/>
        <w:spacing w:line="216" w:lineRule="auto"/>
        <w:rPr>
          <w:i/>
          <w:sz w:val="23"/>
          <w:szCs w:val="23"/>
          <w:rtl/>
        </w:rPr>
      </w:pPr>
      <w:r w:rsidRPr="00B6450D">
        <w:rPr>
          <w:position w:val="-26"/>
        </w:rPr>
        <w:object w:dxaOrig="3860" w:dyaOrig="620" w14:anchorId="1ECB715C">
          <v:shape id="_x0000_i5859" type="#_x0000_t75" style="width:193pt;height:31.45pt" o:ole="">
            <v:imagedata r:id="rId9742" o:title=""/>
          </v:shape>
          <o:OLEObject Type="Embed" ProgID="Equation.DSMT4" ShapeID="_x0000_i5859" DrawAspect="Content" ObjectID="_1791379803" r:id="rId9743"/>
        </w:object>
      </w:r>
      <w:r w:rsidRPr="00B6450D">
        <w:rPr>
          <w:i/>
          <w:sz w:val="23"/>
          <w:szCs w:val="23"/>
        </w:rPr>
        <w:tab/>
      </w:r>
      <w:r w:rsidRPr="00B6450D">
        <w:rPr>
          <w:i/>
          <w:sz w:val="23"/>
          <w:szCs w:val="23"/>
        </w:rPr>
        <w:tab/>
      </w:r>
      <w:r w:rsidRPr="00B6450D">
        <w:rPr>
          <w:i/>
          <w:sz w:val="23"/>
          <w:szCs w:val="23"/>
        </w:rPr>
        <w:tab/>
      </w:r>
      <w:r>
        <w:rPr>
          <w:i/>
          <w:sz w:val="23"/>
          <w:szCs w:val="23"/>
          <w:rtl/>
        </w:rPr>
        <w:tab/>
      </w:r>
      <w:r>
        <w:rPr>
          <w:i/>
          <w:sz w:val="23"/>
          <w:szCs w:val="23"/>
          <w:rtl/>
        </w:rPr>
        <w:tab/>
      </w:r>
      <w:r w:rsidRPr="00B6450D">
        <w:rPr>
          <w:i/>
          <w:sz w:val="23"/>
          <w:szCs w:val="23"/>
        </w:rPr>
        <w:tab/>
      </w:r>
      <w:r w:rsidRPr="00B6450D">
        <w:rPr>
          <w:i/>
          <w:sz w:val="23"/>
          <w:szCs w:val="23"/>
        </w:rPr>
        <w:tab/>
      </w:r>
      <w:r w:rsidRPr="00B6450D">
        <w:rPr>
          <w:i/>
          <w:sz w:val="23"/>
          <w:szCs w:val="23"/>
          <w:rtl/>
        </w:rPr>
        <w:tab/>
      </w:r>
      <w:r w:rsidRPr="00B6450D">
        <w:rPr>
          <w:rFonts w:hint="cs"/>
          <w:i/>
          <w:sz w:val="23"/>
          <w:szCs w:val="23"/>
          <w:rtl/>
        </w:rPr>
        <w:t>(۱۲. ۷۶)</w:t>
      </w:r>
    </w:p>
    <w:p w14:paraId="58BECFDB" w14:textId="77777777" w:rsidR="00556C10" w:rsidRPr="00B6450D" w:rsidRDefault="00556C10" w:rsidP="00556C10">
      <w:pPr>
        <w:spacing w:line="216" w:lineRule="auto"/>
        <w:rPr>
          <w:i/>
          <w:sz w:val="23"/>
          <w:szCs w:val="23"/>
          <w:rtl/>
        </w:rPr>
      </w:pPr>
      <w:r w:rsidRPr="00B6450D">
        <w:rPr>
          <w:rFonts w:hint="cs"/>
          <w:i/>
          <w:sz w:val="23"/>
          <w:szCs w:val="23"/>
          <w:rtl/>
        </w:rPr>
        <w:t>اکنون اثر جنسن وجود ندارد. در این جا عامل تنزیل برابر است با متوسط عامل تنزیل سرمایه‌گذار داخلی و خارجی. اگر دو شرط عدم وجود آربیتراژ را اضافه کنیم خواهیم داشت</w:t>
      </w:r>
    </w:p>
    <w:p w14:paraId="2B38E285" w14:textId="77777777" w:rsidR="00556C10" w:rsidRPr="00B6450D" w:rsidRDefault="00556C10" w:rsidP="00556C10">
      <w:pPr>
        <w:bidi w:val="0"/>
        <w:spacing w:line="216" w:lineRule="auto"/>
        <w:rPr>
          <w:i/>
          <w:sz w:val="23"/>
          <w:szCs w:val="23"/>
        </w:rPr>
      </w:pPr>
      <w:r w:rsidRPr="00B6450D">
        <w:rPr>
          <w:position w:val="-18"/>
        </w:rPr>
        <w:object w:dxaOrig="3340" w:dyaOrig="460" w14:anchorId="7DC88A45">
          <v:shape id="_x0000_i5860" type="#_x0000_t75" style="width:167pt;height:23pt" o:ole="">
            <v:imagedata r:id="rId9744" o:title=""/>
          </v:shape>
          <o:OLEObject Type="Embed" ProgID="Equation.DSMT4" ShapeID="_x0000_i5860" DrawAspect="Content" ObjectID="_1791379804" r:id="rId9745"/>
        </w:object>
      </w:r>
    </w:p>
    <w:p w14:paraId="4056D99D" w14:textId="77777777" w:rsidR="00556C10" w:rsidRPr="00B6450D" w:rsidRDefault="00556C10" w:rsidP="00556C10">
      <w:pPr>
        <w:spacing w:line="216" w:lineRule="auto"/>
        <w:rPr>
          <w:i/>
          <w:sz w:val="23"/>
          <w:szCs w:val="23"/>
          <w:rtl/>
        </w:rPr>
      </w:pPr>
      <w:r w:rsidRPr="00B6450D">
        <w:rPr>
          <w:rFonts w:hint="cs"/>
          <w:i/>
          <w:sz w:val="23"/>
          <w:szCs w:val="23"/>
          <w:rtl/>
        </w:rPr>
        <w:t>که نشان می‌دهد</w:t>
      </w:r>
    </w:p>
    <w:p w14:paraId="5EE738F2" w14:textId="77777777" w:rsidR="00556C10" w:rsidRPr="00B6450D" w:rsidRDefault="00556C10" w:rsidP="00556C10">
      <w:pPr>
        <w:bidi w:val="0"/>
        <w:spacing w:line="216" w:lineRule="auto"/>
        <w:rPr>
          <w:i/>
          <w:sz w:val="23"/>
          <w:szCs w:val="23"/>
          <w:rtl/>
        </w:rPr>
      </w:pPr>
      <w:r w:rsidRPr="00B6450D">
        <w:rPr>
          <w:position w:val="-10"/>
        </w:rPr>
        <w:object w:dxaOrig="2140" w:dyaOrig="340" w14:anchorId="116D6D95">
          <v:shape id="_x0000_i5861" type="#_x0000_t75" style="width:107.1pt;height:16.95pt" o:ole="">
            <v:imagedata r:id="rId9746" o:title=""/>
          </v:shape>
          <o:OLEObject Type="Embed" ProgID="Equation.DSMT4" ShapeID="_x0000_i5861" DrawAspect="Content" ObjectID="_1791379805" r:id="rId9747"/>
        </w:object>
      </w:r>
    </w:p>
    <w:p w14:paraId="67807EBE" w14:textId="77777777" w:rsidR="00556C10" w:rsidRDefault="00556C10" w:rsidP="00556C10">
      <w:pPr>
        <w:spacing w:line="216" w:lineRule="auto"/>
        <w:rPr>
          <w:i/>
          <w:sz w:val="23"/>
          <w:szCs w:val="23"/>
          <w:rtl/>
        </w:rPr>
      </w:pPr>
      <w:r w:rsidRPr="00B6450D">
        <w:rPr>
          <w:rFonts w:hint="cs"/>
          <w:i/>
          <w:sz w:val="23"/>
          <w:szCs w:val="23"/>
          <w:rtl/>
        </w:rPr>
        <w:t>که در آن یا</w:t>
      </w:r>
      <w:r w:rsidRPr="00B6450D">
        <w:rPr>
          <w:position w:val="-10"/>
        </w:rPr>
        <w:object w:dxaOrig="720" w:dyaOrig="320" w14:anchorId="2E11B1FD">
          <v:shape id="_x0000_i5862" type="#_x0000_t75" style="width:36.3pt;height:15.75pt" o:ole="">
            <v:imagedata r:id="rId9748" o:title=""/>
          </v:shape>
          <o:OLEObject Type="Embed" ProgID="Equation.DSMT4" ShapeID="_x0000_i5862" DrawAspect="Content" ObjectID="_1791379806" r:id="rId9749"/>
        </w:object>
      </w:r>
      <w:r w:rsidRPr="00B6450D">
        <w:rPr>
          <w:i/>
          <w:sz w:val="23"/>
          <w:szCs w:val="23"/>
        </w:rPr>
        <w:t xml:space="preserve"> </w:t>
      </w:r>
      <w:r w:rsidRPr="00B6450D">
        <w:rPr>
          <w:rFonts w:hint="cs"/>
          <w:i/>
          <w:sz w:val="23"/>
          <w:szCs w:val="23"/>
          <w:rtl/>
        </w:rPr>
        <w:t>و یا</w:t>
      </w:r>
      <w:r w:rsidRPr="00B6450D">
        <w:rPr>
          <w:position w:val="-12"/>
        </w:rPr>
        <w:object w:dxaOrig="1780" w:dyaOrig="360" w14:anchorId="77E60DF9">
          <v:shape id="_x0000_i5863" type="#_x0000_t75" style="width:88.95pt;height:18.15pt" o:ole="">
            <v:imagedata r:id="rId9750" o:title=""/>
          </v:shape>
          <o:OLEObject Type="Embed" ProgID="Equation.DSMT4" ShapeID="_x0000_i5863" DrawAspect="Content" ObjectID="_1791379807" r:id="rId9751"/>
        </w:object>
      </w:r>
      <w:r w:rsidRPr="00B6450D">
        <w:rPr>
          <w:i/>
          <w:sz w:val="23"/>
          <w:szCs w:val="23"/>
        </w:rPr>
        <w:t>.</w:t>
      </w:r>
      <w:r w:rsidRPr="00B6450D">
        <w:rPr>
          <w:rFonts w:hint="cs"/>
          <w:i/>
          <w:sz w:val="23"/>
          <w:szCs w:val="23"/>
          <w:rtl/>
        </w:rPr>
        <w:t xml:space="preserve"> اگر</w:t>
      </w:r>
      <w:r w:rsidRPr="00B6450D">
        <w:rPr>
          <w:position w:val="-10"/>
        </w:rPr>
        <w:object w:dxaOrig="720" w:dyaOrig="320" w14:anchorId="4FB30C35">
          <v:shape id="_x0000_i5864" type="#_x0000_t75" style="width:36.3pt;height:15.75pt" o:ole="">
            <v:imagedata r:id="rId9752" o:title=""/>
          </v:shape>
          <o:OLEObject Type="Embed" ProgID="Equation.DSMT4" ShapeID="_x0000_i5864" DrawAspect="Content" ObjectID="_1791379808" r:id="rId9753"/>
        </w:object>
      </w:r>
      <w:r w:rsidRPr="00B6450D">
        <w:rPr>
          <w:rFonts w:hint="cs"/>
          <w:i/>
          <w:sz w:val="23"/>
          <w:szCs w:val="23"/>
          <w:rtl/>
        </w:rPr>
        <w:t xml:space="preserve"> باشد آنگاه عامل تنزیل سرمایه‌گذار خارجی، هنگامی که با پول مشابه نشان داده شود، برابر با سرمایه‌گذار داخلی است. به </w:t>
      </w:r>
      <w:r w:rsidRPr="00B6450D">
        <w:rPr>
          <w:rFonts w:hint="cs"/>
          <w:i/>
          <w:sz w:val="23"/>
          <w:szCs w:val="23"/>
          <w:rtl/>
        </w:rPr>
        <w:lastRenderedPageBreak/>
        <w:t>عبارتی دیگر، بازار کامل را خواهیم داشت. در این حالت، شروط عدم وجود آربیتراژ سرمایه‌گذار داخلی و خارجی یکسان است، و بنابراین هر دو شرط را می‌توان با معادله‌ی (۱۲. ۷۴) نشان داد. اگر بازار کامل نباشد، آنگاه باید معادله‌ی (۱۲. ۷۶) را مورد استفاده قرار دهیم.</w:t>
      </w:r>
    </w:p>
    <w:p w14:paraId="478B2F44" w14:textId="77777777" w:rsidR="00556C10" w:rsidRPr="00B6450D" w:rsidRDefault="00556C10" w:rsidP="00556C10">
      <w:pPr>
        <w:spacing w:line="216" w:lineRule="auto"/>
        <w:rPr>
          <w:i/>
          <w:sz w:val="23"/>
          <w:szCs w:val="23"/>
          <w:rtl/>
        </w:rPr>
      </w:pPr>
    </w:p>
    <w:p w14:paraId="41A1214A" w14:textId="77777777" w:rsidR="00556C10" w:rsidRPr="00B6450D" w:rsidRDefault="00556C10" w:rsidP="00556C10">
      <w:pPr>
        <w:spacing w:line="216" w:lineRule="auto"/>
        <w:rPr>
          <w:bCs/>
          <w:i/>
          <w:sz w:val="23"/>
          <w:szCs w:val="23"/>
        </w:rPr>
      </w:pPr>
      <w:r w:rsidRPr="00B6450D">
        <w:rPr>
          <w:rFonts w:hint="cs"/>
          <w:bCs/>
          <w:i/>
          <w:sz w:val="23"/>
          <w:szCs w:val="23"/>
          <w:rtl/>
        </w:rPr>
        <w:t xml:space="preserve">پاداش ریسک </w:t>
      </w:r>
      <w:r w:rsidRPr="00B6450D">
        <w:rPr>
          <w:bCs/>
          <w:i/>
          <w:sz w:val="23"/>
          <w:szCs w:val="23"/>
        </w:rPr>
        <w:t>FOREX</w:t>
      </w:r>
      <w:r w:rsidRPr="00B6450D">
        <w:rPr>
          <w:rFonts w:hint="cs"/>
          <w:bCs/>
          <w:i/>
          <w:sz w:val="23"/>
          <w:szCs w:val="23"/>
          <w:rtl/>
        </w:rPr>
        <w:t xml:space="preserve"> بر مبنای </w:t>
      </w:r>
      <w:r w:rsidRPr="00B6450D">
        <w:rPr>
          <w:bCs/>
          <w:i/>
          <w:sz w:val="23"/>
          <w:szCs w:val="23"/>
        </w:rPr>
        <w:t>C-CAPM</w:t>
      </w:r>
    </w:p>
    <w:p w14:paraId="5D86E8B3" w14:textId="77777777" w:rsidR="00556C10" w:rsidRPr="00B6450D" w:rsidRDefault="00556C10" w:rsidP="00556C10">
      <w:pPr>
        <w:spacing w:line="216" w:lineRule="auto"/>
        <w:rPr>
          <w:i/>
          <w:sz w:val="23"/>
          <w:szCs w:val="23"/>
          <w:rtl/>
        </w:rPr>
      </w:pPr>
      <w:r w:rsidRPr="00B6450D">
        <w:rPr>
          <w:rFonts w:hint="cs"/>
          <w:i/>
          <w:sz w:val="23"/>
          <w:szCs w:val="23"/>
          <w:rtl/>
        </w:rPr>
        <w:t xml:space="preserve">از آنجا که مازاد بازدهی </w:t>
      </w:r>
      <w:r w:rsidRPr="00B6450D">
        <w:rPr>
          <w:i/>
          <w:sz w:val="23"/>
          <w:szCs w:val="23"/>
        </w:rPr>
        <w:t>FOREX</w:t>
      </w:r>
      <w:r w:rsidRPr="00B6450D">
        <w:rPr>
          <w:rFonts w:hint="cs"/>
          <w:i/>
          <w:sz w:val="23"/>
          <w:szCs w:val="23"/>
          <w:rtl/>
        </w:rPr>
        <w:t xml:space="preserve"> بازدهی اسمی است، از معادله‌ی (۱۲. ۳۰) لگاریتم عامل تنزیل تصادفی برای </w:t>
      </w:r>
      <w:r w:rsidRPr="00B6450D">
        <w:rPr>
          <w:i/>
          <w:sz w:val="23"/>
          <w:szCs w:val="23"/>
        </w:rPr>
        <w:t>C-CAPM</w:t>
      </w:r>
      <w:r w:rsidRPr="00B6450D">
        <w:rPr>
          <w:rFonts w:hint="cs"/>
          <w:i/>
          <w:sz w:val="23"/>
          <w:szCs w:val="23"/>
          <w:rtl/>
        </w:rPr>
        <w:t xml:space="preserve"> برابر است با</w:t>
      </w:r>
    </w:p>
    <w:p w14:paraId="1B9A0C8C" w14:textId="77777777" w:rsidR="00556C10" w:rsidRPr="00B6450D" w:rsidRDefault="00556C10" w:rsidP="00556C10">
      <w:pPr>
        <w:bidi w:val="0"/>
        <w:spacing w:line="216" w:lineRule="auto"/>
        <w:rPr>
          <w:i/>
          <w:sz w:val="23"/>
          <w:szCs w:val="23"/>
          <w:rtl/>
        </w:rPr>
      </w:pPr>
      <w:r w:rsidRPr="00B6450D">
        <w:rPr>
          <w:position w:val="-22"/>
        </w:rPr>
        <w:object w:dxaOrig="5760" w:dyaOrig="560" w14:anchorId="22E825BF">
          <v:shape id="_x0000_i5865" type="#_x0000_t75" style="width:4in;height:27.85pt" o:ole="">
            <v:imagedata r:id="rId9754" o:title=""/>
          </v:shape>
          <o:OLEObject Type="Embed" ProgID="Equation.DSMT4" ShapeID="_x0000_i5865" DrawAspect="Content" ObjectID="_1791379809" r:id="rId9755"/>
        </w:object>
      </w:r>
      <w:r>
        <w:rPr>
          <w:rtl/>
        </w:rPr>
        <w:tab/>
      </w:r>
      <w:r w:rsidRPr="00B6450D">
        <w:rPr>
          <w:rFonts w:hint="cs"/>
          <w:i/>
          <w:sz w:val="23"/>
          <w:szCs w:val="23"/>
          <w:rtl/>
        </w:rPr>
        <w:t>(۱۲. ۷۷)</w:t>
      </w:r>
    </w:p>
    <w:p w14:paraId="7FE01173" w14:textId="77777777" w:rsidR="00556C10" w:rsidRPr="00B6450D" w:rsidRDefault="00556C10" w:rsidP="00556C10">
      <w:pPr>
        <w:spacing w:line="216" w:lineRule="auto"/>
        <w:rPr>
          <w:i/>
          <w:sz w:val="23"/>
          <w:szCs w:val="23"/>
          <w:rtl/>
        </w:rPr>
      </w:pPr>
      <w:r w:rsidRPr="00B6450D">
        <w:rPr>
          <w:rFonts w:hint="cs"/>
          <w:i/>
          <w:sz w:val="23"/>
          <w:szCs w:val="23"/>
          <w:rtl/>
        </w:rPr>
        <w:t xml:space="preserve">ریسک </w:t>
      </w:r>
      <w:r w:rsidRPr="00B6450D">
        <w:rPr>
          <w:i/>
          <w:sz w:val="23"/>
          <w:szCs w:val="23"/>
        </w:rPr>
        <w:t>FOREX</w:t>
      </w:r>
      <w:r w:rsidRPr="00B6450D">
        <w:rPr>
          <w:rFonts w:hint="cs"/>
          <w:i/>
          <w:sz w:val="23"/>
          <w:szCs w:val="23"/>
          <w:rtl/>
        </w:rPr>
        <w:t xml:space="preserve"> سرمایه‌گذار داخلی در اوراق قرضه‌ی خارجی از تضعیف نرخ ارز هنگامی که مصرف یا تورم داخلی پایین است بوجود خواهد آمد. در یک بازار کامل، شرط عدم وجود آربیتراژ سرمایه‌گذار خارجی در اوراق قرضه‌ی داخلی را می‌توان به صورت زیر نوشت</w:t>
      </w:r>
    </w:p>
    <w:p w14:paraId="520A6AA1" w14:textId="77777777" w:rsidR="00556C10" w:rsidRPr="00B6450D" w:rsidRDefault="00556C10" w:rsidP="00556C10">
      <w:pPr>
        <w:bidi w:val="0"/>
        <w:spacing w:line="216" w:lineRule="auto"/>
        <w:rPr>
          <w:i/>
          <w:sz w:val="23"/>
          <w:szCs w:val="23"/>
        </w:rPr>
      </w:pPr>
      <w:r w:rsidRPr="00B6450D">
        <w:rPr>
          <w:position w:val="-22"/>
        </w:rPr>
        <w:object w:dxaOrig="6000" w:dyaOrig="560" w14:anchorId="3EFCD7B8">
          <v:shape id="_x0000_i5866" type="#_x0000_t75" style="width:300.1pt;height:27.85pt" o:ole="">
            <v:imagedata r:id="rId9756" o:title=""/>
          </v:shape>
          <o:OLEObject Type="Embed" ProgID="Equation.DSMT4" ShapeID="_x0000_i5866" DrawAspect="Content" ObjectID="_1791379810" r:id="rId9757"/>
        </w:object>
      </w:r>
    </w:p>
    <w:p w14:paraId="74A97415" w14:textId="77777777" w:rsidR="00556C10" w:rsidRPr="00B6450D" w:rsidRDefault="00556C10" w:rsidP="00556C10">
      <w:pPr>
        <w:spacing w:line="216" w:lineRule="auto"/>
        <w:rPr>
          <w:i/>
          <w:sz w:val="23"/>
          <w:szCs w:val="23"/>
          <w:rtl/>
        </w:rPr>
      </w:pPr>
      <w:r w:rsidRPr="00B6450D">
        <w:rPr>
          <w:rFonts w:hint="cs"/>
          <w:i/>
          <w:sz w:val="23"/>
          <w:szCs w:val="23"/>
          <w:rtl/>
        </w:rPr>
        <w:t xml:space="preserve">بنابراین ریسک سرمایه‌گذار خارجی با دلایل مشابه ریسک سرمایه‌گذار داخلی ایجاد خواهد شد فقط با این تفاوت که مازاد بازدهی </w:t>
      </w:r>
      <w:r w:rsidRPr="00B6450D">
        <w:rPr>
          <w:i/>
          <w:sz w:val="23"/>
          <w:szCs w:val="23"/>
        </w:rPr>
        <w:t>FOREX</w:t>
      </w:r>
      <w:r w:rsidRPr="00B6450D">
        <w:rPr>
          <w:rFonts w:hint="cs"/>
          <w:i/>
          <w:sz w:val="23"/>
          <w:szCs w:val="23"/>
          <w:rtl/>
        </w:rPr>
        <w:t xml:space="preserve"> دارای علامت مخالف خواهد بود.</w:t>
      </w:r>
    </w:p>
    <w:p w14:paraId="23D7426A" w14:textId="77777777" w:rsidR="00556C10" w:rsidRPr="00B6450D" w:rsidRDefault="00556C10" w:rsidP="00556C10">
      <w:pPr>
        <w:spacing w:line="216" w:lineRule="auto"/>
        <w:rPr>
          <w:i/>
          <w:sz w:val="23"/>
          <w:szCs w:val="23"/>
        </w:rPr>
      </w:pPr>
      <w:r w:rsidRPr="00B6450D">
        <w:rPr>
          <w:rFonts w:hint="cs"/>
          <w:i/>
          <w:sz w:val="23"/>
          <w:szCs w:val="23"/>
          <w:rtl/>
        </w:rPr>
        <w:t xml:space="preserve">شواهد تجربی مدل تعادل عمومی </w:t>
      </w:r>
      <w:r w:rsidRPr="00B6450D">
        <w:rPr>
          <w:i/>
          <w:sz w:val="23"/>
          <w:szCs w:val="23"/>
        </w:rPr>
        <w:t>FOREX</w:t>
      </w:r>
      <w:r w:rsidRPr="00B6450D">
        <w:rPr>
          <w:rFonts w:hint="cs"/>
          <w:i/>
          <w:sz w:val="23"/>
          <w:szCs w:val="23"/>
          <w:rtl/>
        </w:rPr>
        <w:t xml:space="preserve"> نتایج مشابهی را برای سهام و اوراق قرضه نشان می‌دهد. به عنوان مثال برآورد</w:t>
      </w:r>
      <w:r w:rsidRPr="00B6450D">
        <w:rPr>
          <w:position w:val="-6"/>
        </w:rPr>
        <w:object w:dxaOrig="220" w:dyaOrig="200" w14:anchorId="04EC84B1">
          <v:shape id="_x0000_i5867" type="#_x0000_t75" style="width:10.9pt;height:10.3pt" o:ole="">
            <v:imagedata r:id="rId9758" o:title=""/>
          </v:shape>
          <o:OLEObject Type="Embed" ProgID="Equation.DSMT4" ShapeID="_x0000_i5867" DrawAspect="Content" ObjectID="_1791379811" r:id="rId9759"/>
        </w:object>
      </w:r>
      <w:r w:rsidRPr="00B6450D">
        <w:rPr>
          <w:rFonts w:hint="cs"/>
          <w:i/>
          <w:sz w:val="23"/>
          <w:szCs w:val="23"/>
          <w:rtl/>
        </w:rPr>
        <w:t xml:space="preserve"> بسیار بالا است. بعلاوه، مشارکت جزء تورم در پاداش ریسک بیشتر از جزء مصرف است. لذا ریسک </w:t>
      </w:r>
      <w:r w:rsidRPr="00B6450D">
        <w:rPr>
          <w:i/>
          <w:sz w:val="23"/>
          <w:szCs w:val="23"/>
        </w:rPr>
        <w:t>FOREX</w:t>
      </w:r>
      <w:r w:rsidRPr="00B6450D">
        <w:rPr>
          <w:rFonts w:hint="cs"/>
          <w:i/>
          <w:sz w:val="23"/>
          <w:szCs w:val="23"/>
          <w:rtl/>
        </w:rPr>
        <w:t xml:space="preserve"> بیشتر از طریق نرخ ارز بخاطر تغییرات غیرمنتظره در نرخ تورم بوجود می‌آید تا توجه به مصرف. ممکن است این نتیجه بخاطر آن باشد که که بسیاری از معاملات </w:t>
      </w:r>
      <w:r w:rsidRPr="00B6450D">
        <w:rPr>
          <w:i/>
          <w:sz w:val="23"/>
          <w:szCs w:val="23"/>
        </w:rPr>
        <w:t>FOREX</w:t>
      </w:r>
      <w:r w:rsidRPr="00B6450D">
        <w:rPr>
          <w:rFonts w:hint="cs"/>
          <w:i/>
          <w:sz w:val="23"/>
          <w:szCs w:val="23"/>
          <w:rtl/>
        </w:rPr>
        <w:t xml:space="preserve"> بوسیله‌ی نهادهای مالی بدلیل عملیات‌ پوششی و مصونیت‌ مالی صورت می‌گیرد، و این بیشتر بدلیل بازدهی‌های حقیقی کوتا‌مدت است تا مصرف دارندگان نهایی سرمایه‌ی مالی که دارندگان سهام و یا سرمایه‌گذاران هستند. مشکلی بعدی آن است که شمول پاداش ریسک </w:t>
      </w:r>
      <w:r w:rsidRPr="00B6450D">
        <w:rPr>
          <w:i/>
          <w:sz w:val="23"/>
          <w:szCs w:val="23"/>
        </w:rPr>
        <w:t>FOREX</w:t>
      </w:r>
      <w:r w:rsidRPr="00B6450D">
        <w:rPr>
          <w:rFonts w:hint="cs"/>
          <w:i/>
          <w:sz w:val="23"/>
          <w:szCs w:val="23"/>
          <w:rtl/>
        </w:rPr>
        <w:t xml:space="preserve"> که به این صورت تعریف شده است مشکل قبلی را در </w:t>
      </w:r>
      <w:r w:rsidRPr="00B6450D">
        <w:rPr>
          <w:i/>
          <w:sz w:val="23"/>
          <w:szCs w:val="23"/>
        </w:rPr>
        <w:t>UIP</w:t>
      </w:r>
      <w:r w:rsidRPr="00B6450D">
        <w:rPr>
          <w:rFonts w:hint="cs"/>
          <w:i/>
          <w:sz w:val="23"/>
          <w:szCs w:val="23"/>
          <w:rtl/>
        </w:rPr>
        <w:t xml:space="preserve"> منتفی نمی</w:t>
      </w:r>
      <w:r w:rsidRPr="00B6450D">
        <w:rPr>
          <w:i/>
          <w:sz w:val="23"/>
          <w:szCs w:val="23"/>
          <w:rtl/>
        </w:rPr>
        <w:softHyphen/>
      </w:r>
      <w:r w:rsidRPr="00B6450D">
        <w:rPr>
          <w:rFonts w:hint="cs"/>
          <w:i/>
          <w:sz w:val="23"/>
          <w:szCs w:val="23"/>
          <w:rtl/>
        </w:rPr>
        <w:t>کند، بطوری که پاداش آتی هنوز منفی، ثابت و کمتر معنی</w:t>
      </w:r>
      <w:r w:rsidRPr="00B6450D">
        <w:rPr>
          <w:i/>
          <w:sz w:val="23"/>
          <w:szCs w:val="23"/>
          <w:rtl/>
        </w:rPr>
        <w:softHyphen/>
      </w:r>
      <w:r w:rsidRPr="00B6450D">
        <w:rPr>
          <w:rFonts w:hint="cs"/>
          <w:i/>
          <w:sz w:val="23"/>
          <w:szCs w:val="23"/>
          <w:rtl/>
        </w:rPr>
        <w:t>دار است.</w:t>
      </w:r>
      <w:r w:rsidRPr="00B6450D">
        <w:rPr>
          <w:rStyle w:val="FootnoteReference"/>
          <w:rFonts w:eastAsiaTheme="majorEastAsia"/>
          <w:i/>
          <w:sz w:val="23"/>
          <w:szCs w:val="23"/>
          <w:rtl/>
        </w:rPr>
        <w:footnoteReference w:id="308"/>
      </w:r>
    </w:p>
    <w:p w14:paraId="141BAEDB" w14:textId="77777777" w:rsidR="00556C10" w:rsidRPr="00B6450D" w:rsidRDefault="00556C10" w:rsidP="00556C10">
      <w:pPr>
        <w:spacing w:line="216" w:lineRule="auto"/>
        <w:rPr>
          <w:i/>
          <w:sz w:val="23"/>
          <w:szCs w:val="23"/>
          <w:rtl/>
        </w:rPr>
      </w:pPr>
      <w:r w:rsidRPr="00B6450D">
        <w:rPr>
          <w:rFonts w:hint="cs"/>
          <w:i/>
          <w:sz w:val="23"/>
          <w:szCs w:val="23"/>
          <w:rtl/>
        </w:rPr>
        <w:t>در این</w:t>
      </w:r>
      <w:r w:rsidRPr="00B6450D">
        <w:rPr>
          <w:i/>
          <w:sz w:val="23"/>
          <w:szCs w:val="23"/>
          <w:rtl/>
        </w:rPr>
        <w:softHyphen/>
      </w:r>
      <w:r w:rsidRPr="00B6450D">
        <w:rPr>
          <w:rFonts w:hint="cs"/>
          <w:i/>
          <w:sz w:val="23"/>
          <w:szCs w:val="23"/>
          <w:rtl/>
        </w:rPr>
        <w:t xml:space="preserve">جا مشکل ایجاد یک نظریه مناسب و دقیق در خصوص </w:t>
      </w:r>
      <w:r w:rsidRPr="00B6450D">
        <w:rPr>
          <w:i/>
          <w:sz w:val="23"/>
          <w:szCs w:val="23"/>
        </w:rPr>
        <w:t>FOREX</w:t>
      </w:r>
      <w:r w:rsidRPr="00B6450D">
        <w:rPr>
          <w:rFonts w:hint="cs"/>
          <w:i/>
          <w:sz w:val="23"/>
          <w:szCs w:val="23"/>
          <w:rtl/>
        </w:rPr>
        <w:t xml:space="preserve"> بدون حل باقی مانده است. </w:t>
      </w:r>
      <w:r w:rsidRPr="00B6450D">
        <w:rPr>
          <w:i/>
          <w:sz w:val="23"/>
          <w:szCs w:val="23"/>
        </w:rPr>
        <w:t>UIP</w:t>
      </w:r>
      <w:r w:rsidRPr="00B6450D">
        <w:rPr>
          <w:rFonts w:hint="cs"/>
          <w:i/>
          <w:sz w:val="23"/>
          <w:szCs w:val="23"/>
          <w:rtl/>
        </w:rPr>
        <w:t xml:space="preserve"> دچار نتایج متناقض و ناهنجار غلط بودن ضریب پاداش آتی است و همیشه نگه</w:t>
      </w:r>
      <w:r w:rsidRPr="00B6450D">
        <w:rPr>
          <w:i/>
          <w:sz w:val="23"/>
          <w:szCs w:val="23"/>
          <w:rtl/>
        </w:rPr>
        <w:softHyphen/>
      </w:r>
      <w:r w:rsidRPr="00B6450D">
        <w:rPr>
          <w:rFonts w:hint="cs"/>
          <w:i/>
          <w:sz w:val="23"/>
          <w:szCs w:val="23"/>
          <w:rtl/>
        </w:rPr>
        <w:t xml:space="preserve">داری اوراق قرضه با بالاترین نرخ بهره بهترین راه است. مدل تعادل عمومی </w:t>
      </w:r>
      <w:r w:rsidRPr="00B6450D">
        <w:rPr>
          <w:i/>
          <w:sz w:val="23"/>
          <w:szCs w:val="23"/>
        </w:rPr>
        <w:t>FOREX</w:t>
      </w:r>
      <w:r w:rsidRPr="00B6450D">
        <w:rPr>
          <w:rFonts w:hint="cs"/>
          <w:i/>
          <w:sz w:val="23"/>
          <w:szCs w:val="23"/>
          <w:rtl/>
        </w:rPr>
        <w:t xml:space="preserve"> ضریب ریسک</w:t>
      </w:r>
      <w:r w:rsidRPr="00B6450D">
        <w:rPr>
          <w:i/>
          <w:sz w:val="23"/>
          <w:szCs w:val="23"/>
          <w:rtl/>
        </w:rPr>
        <w:softHyphen/>
      </w:r>
      <w:r w:rsidRPr="00B6450D">
        <w:rPr>
          <w:rFonts w:hint="cs"/>
          <w:i/>
          <w:sz w:val="23"/>
          <w:szCs w:val="23"/>
          <w:rtl/>
        </w:rPr>
        <w:t xml:space="preserve">گریزی بسیار کوچک را ارائه کرده و تناقض </w:t>
      </w:r>
      <w:r w:rsidRPr="00B6450D">
        <w:rPr>
          <w:i/>
          <w:sz w:val="23"/>
          <w:szCs w:val="23"/>
        </w:rPr>
        <w:t>UIP</w:t>
      </w:r>
      <w:r w:rsidRPr="00B6450D">
        <w:rPr>
          <w:rFonts w:hint="cs"/>
          <w:i/>
          <w:sz w:val="23"/>
          <w:szCs w:val="23"/>
          <w:rtl/>
        </w:rPr>
        <w:t xml:space="preserve"> را حل نمی</w:t>
      </w:r>
      <w:r w:rsidRPr="00B6450D">
        <w:rPr>
          <w:i/>
          <w:sz w:val="23"/>
          <w:szCs w:val="23"/>
          <w:rtl/>
        </w:rPr>
        <w:softHyphen/>
      </w:r>
      <w:r w:rsidRPr="00B6450D">
        <w:rPr>
          <w:rFonts w:hint="cs"/>
          <w:i/>
          <w:sz w:val="23"/>
          <w:szCs w:val="23"/>
          <w:rtl/>
        </w:rPr>
        <w:t xml:space="preserve">کند. برخی توضیحات در خصوص نمایش ضعیف </w:t>
      </w:r>
      <w:r w:rsidRPr="00B6450D">
        <w:rPr>
          <w:i/>
          <w:sz w:val="23"/>
          <w:szCs w:val="23"/>
        </w:rPr>
        <w:t>UIP</w:t>
      </w:r>
      <w:r w:rsidRPr="00B6450D">
        <w:rPr>
          <w:rFonts w:hint="cs"/>
          <w:i/>
          <w:sz w:val="23"/>
          <w:szCs w:val="23"/>
          <w:rtl/>
        </w:rPr>
        <w:t xml:space="preserve"> و مدل تعادل عمومی ارائه شده است. مثلاً انتظارات عقلایی نیست، اثرات پزو وجود دارد، شکل گیری انتظارات بخشی از فرایند یادگیری است، و اثرات آستانه</w:t>
      </w:r>
      <w:r w:rsidRPr="00B6450D">
        <w:rPr>
          <w:i/>
          <w:sz w:val="23"/>
          <w:szCs w:val="23"/>
          <w:rtl/>
        </w:rPr>
        <w:softHyphen/>
      </w:r>
      <w:r w:rsidRPr="00B6450D">
        <w:rPr>
          <w:rFonts w:hint="cs"/>
          <w:i/>
          <w:sz w:val="23"/>
          <w:szCs w:val="23"/>
          <w:rtl/>
        </w:rPr>
        <w:t xml:space="preserve">ای وجود دارد بطوری که فعالیت </w:t>
      </w:r>
      <w:r w:rsidRPr="00B6450D">
        <w:rPr>
          <w:rFonts w:hint="cs"/>
          <w:i/>
          <w:sz w:val="23"/>
          <w:szCs w:val="23"/>
          <w:rtl/>
        </w:rPr>
        <w:lastRenderedPageBreak/>
        <w:t xml:space="preserve">آربیتراژ تنها زمانی در بازارهای </w:t>
      </w:r>
      <w:r w:rsidRPr="00B6450D">
        <w:rPr>
          <w:i/>
          <w:sz w:val="23"/>
          <w:szCs w:val="23"/>
        </w:rPr>
        <w:t>FOREX</w:t>
      </w:r>
      <w:r w:rsidRPr="00B6450D">
        <w:rPr>
          <w:rFonts w:hint="cs"/>
          <w:i/>
          <w:sz w:val="23"/>
          <w:szCs w:val="23"/>
          <w:rtl/>
        </w:rPr>
        <w:t xml:space="preserve"> بوقوع خواهد پیوست که تفاوت نرخ بهره به اندازه‌ی کافی بزرگ باشد. در عمل، به نظر می‌رسد شواهد تجربی هیچ یک از موارد فوق را حمایت قوی نمی</w:t>
      </w:r>
      <w:r w:rsidRPr="00B6450D">
        <w:rPr>
          <w:i/>
          <w:sz w:val="23"/>
          <w:szCs w:val="23"/>
          <w:rtl/>
        </w:rPr>
        <w:softHyphen/>
      </w:r>
      <w:r w:rsidRPr="00B6450D">
        <w:rPr>
          <w:rFonts w:hint="cs"/>
          <w:i/>
          <w:sz w:val="23"/>
          <w:szCs w:val="23"/>
          <w:rtl/>
        </w:rPr>
        <w:t>کند.</w:t>
      </w:r>
    </w:p>
    <w:p w14:paraId="050FD2F1" w14:textId="77777777" w:rsidR="00556C10" w:rsidRPr="00B6450D" w:rsidRDefault="00556C10" w:rsidP="00556C10">
      <w:pPr>
        <w:spacing w:line="216" w:lineRule="auto"/>
        <w:rPr>
          <w:i/>
          <w:sz w:val="23"/>
          <w:szCs w:val="23"/>
          <w:rtl/>
        </w:rPr>
      </w:pPr>
      <w:r w:rsidRPr="00B6450D">
        <w:rPr>
          <w:rFonts w:hint="cs"/>
          <w:i/>
          <w:sz w:val="23"/>
          <w:szCs w:val="23"/>
          <w:rtl/>
        </w:rPr>
        <w:t xml:space="preserve">در بازار </w:t>
      </w:r>
      <w:r w:rsidRPr="00B6450D">
        <w:rPr>
          <w:i/>
          <w:sz w:val="23"/>
          <w:szCs w:val="23"/>
        </w:rPr>
        <w:t>FOREX</w:t>
      </w:r>
      <w:r w:rsidRPr="00B6450D">
        <w:rPr>
          <w:rFonts w:hint="cs"/>
          <w:i/>
          <w:sz w:val="23"/>
          <w:szCs w:val="23"/>
          <w:rtl/>
        </w:rPr>
        <w:t xml:space="preserve"> فرض ضمنی بر این است که معاملات مربوط است با تجارت کالاها و خدمات و یا تحرکات سرمایه. هرچند، در مقایسه با اندازه‌ی تجارت، و خالص تحرکات سرمایه، و حتی کل سرمایه، ارزش بسیارزیاد معاملات </w:t>
      </w:r>
      <w:r w:rsidRPr="00B6450D">
        <w:rPr>
          <w:i/>
          <w:sz w:val="23"/>
          <w:szCs w:val="23"/>
        </w:rPr>
        <w:t>FOREX</w:t>
      </w:r>
      <w:r w:rsidRPr="00B6450D">
        <w:rPr>
          <w:rFonts w:hint="cs"/>
          <w:i/>
          <w:sz w:val="23"/>
          <w:szCs w:val="23"/>
          <w:rtl/>
        </w:rPr>
        <w:t xml:space="preserve"> نشان می‌دهد که برخی نکات دیگر را نیز می‌بایست در نظر گرفت. عملیات مصونیت و ایمن</w:t>
      </w:r>
      <w:r w:rsidRPr="00B6450D">
        <w:rPr>
          <w:i/>
          <w:sz w:val="23"/>
          <w:szCs w:val="23"/>
          <w:rtl/>
        </w:rPr>
        <w:softHyphen/>
      </w:r>
      <w:r w:rsidRPr="00B6450D">
        <w:rPr>
          <w:rFonts w:hint="cs"/>
          <w:i/>
          <w:sz w:val="23"/>
          <w:szCs w:val="23"/>
          <w:rtl/>
        </w:rPr>
        <w:t>سازی و سفته</w:t>
      </w:r>
      <w:r w:rsidRPr="00B6450D">
        <w:rPr>
          <w:i/>
          <w:sz w:val="23"/>
          <w:szCs w:val="23"/>
          <w:rtl/>
        </w:rPr>
        <w:softHyphen/>
      </w:r>
      <w:r w:rsidRPr="00B6450D">
        <w:rPr>
          <w:rFonts w:hint="cs"/>
          <w:i/>
          <w:sz w:val="23"/>
          <w:szCs w:val="23"/>
          <w:rtl/>
        </w:rPr>
        <w:t xml:space="preserve">بازی </w:t>
      </w:r>
      <w:r w:rsidRPr="00B6450D">
        <w:rPr>
          <w:i/>
          <w:sz w:val="23"/>
          <w:szCs w:val="23"/>
        </w:rPr>
        <w:t>FOREX</w:t>
      </w:r>
      <w:r w:rsidRPr="00B6450D">
        <w:rPr>
          <w:rFonts w:hint="cs"/>
          <w:i/>
          <w:sz w:val="23"/>
          <w:szCs w:val="23"/>
          <w:rtl/>
        </w:rPr>
        <w:t xml:space="preserve"> بطور آشکار از این مباحث حذف شده است. برای مثال فرض کنید، یک سرمایه‌گذار انتظار دارد قیمت ارز خارجی بر حسب پول داخلی بیشتر از نرخ ارز آتی پیش</w:t>
      </w:r>
      <w:r w:rsidRPr="00B6450D">
        <w:rPr>
          <w:i/>
          <w:sz w:val="23"/>
          <w:szCs w:val="23"/>
          <w:rtl/>
        </w:rPr>
        <w:softHyphen/>
      </w:r>
      <w:r w:rsidRPr="00B6450D">
        <w:rPr>
          <w:rFonts w:hint="cs"/>
          <w:i/>
          <w:sz w:val="23"/>
          <w:szCs w:val="23"/>
          <w:rtl/>
        </w:rPr>
        <w:t>بینی شده افزایش یابد. در این صورت سرمایه‌گذار می‌تواند با خرید یک قرارداد ارز خارجی با استفاده از نرخ ارز آتی امروز و تبدیل آن به پول داخلی با نرخ ارز لحظه</w:t>
      </w:r>
      <w:r w:rsidRPr="00B6450D">
        <w:rPr>
          <w:i/>
          <w:sz w:val="23"/>
          <w:szCs w:val="23"/>
          <w:rtl/>
        </w:rPr>
        <w:softHyphen/>
      </w:r>
      <w:r w:rsidRPr="00B6450D">
        <w:rPr>
          <w:rFonts w:hint="cs"/>
          <w:i/>
          <w:sz w:val="23"/>
          <w:szCs w:val="23"/>
          <w:rtl/>
        </w:rPr>
        <w:t>ای آینده سفته</w:t>
      </w:r>
      <w:r w:rsidRPr="00B6450D">
        <w:rPr>
          <w:i/>
          <w:sz w:val="23"/>
          <w:szCs w:val="23"/>
          <w:rtl/>
        </w:rPr>
        <w:softHyphen/>
      </w:r>
      <w:r w:rsidRPr="00B6450D">
        <w:rPr>
          <w:rFonts w:hint="cs"/>
          <w:i/>
          <w:sz w:val="23"/>
          <w:szCs w:val="23"/>
          <w:rtl/>
        </w:rPr>
        <w:t>بازی کرده، و اگر نرخ لحظه</w:t>
      </w:r>
      <w:r w:rsidRPr="00B6450D">
        <w:rPr>
          <w:i/>
          <w:sz w:val="23"/>
          <w:szCs w:val="23"/>
          <w:rtl/>
        </w:rPr>
        <w:softHyphen/>
      </w:r>
      <w:r w:rsidRPr="00B6450D">
        <w:rPr>
          <w:rFonts w:hint="cs"/>
          <w:i/>
          <w:sz w:val="23"/>
          <w:szCs w:val="23"/>
          <w:rtl/>
        </w:rPr>
        <w:t>ای آینده بیشتر از نرخ آتی باشد سود ببرد که‌یک استراتژی بدون ریسک است.</w:t>
      </w:r>
    </w:p>
    <w:p w14:paraId="4B1C10B0" w14:textId="77777777" w:rsidR="00556C10" w:rsidRPr="00B6450D" w:rsidRDefault="00556C10" w:rsidP="00556C10">
      <w:pPr>
        <w:spacing w:line="216" w:lineRule="auto"/>
        <w:rPr>
          <w:i/>
          <w:sz w:val="23"/>
          <w:szCs w:val="23"/>
          <w:rtl/>
        </w:rPr>
      </w:pPr>
      <w:r w:rsidRPr="00B6450D">
        <w:rPr>
          <w:rFonts w:hint="cs"/>
          <w:i/>
          <w:sz w:val="23"/>
          <w:szCs w:val="23"/>
          <w:rtl/>
        </w:rPr>
        <w:t xml:space="preserve">بطور مشابه، سرمایه‌گذار ممکن است در یک قرارداد اختیار خرید، ارز خارجی را خریداری کند. این قرارداد به خریدار اجازه می‌دهد تا در زمان تعیین شده ارز خریداری شده را ابتیاع نماید ولی اجباری در آن وجود ندارد. اگر نرخ ارز بیش از نرخ آتی کاهش ارزش داشته باشد، آنگاه خریدار قراداد، ارز خود را دریافت می‌کند، ولی در صورتی که این گونه نباشد اختیار خرید این اجازه را می‌دهد تا خریدار این قرارداد، ارز مربوطه را دریافت نکند. جذابیت این معامله در آن است که حداکثر زیان معامله محدود به هزینه‌ی قرارداد اختیار خرید که تنها بخش کوچکی از اندازه‌ی قرار داد است خواهد بود و عدم مزیت آن در هزینه بر بودن آن می‌باشد. در نتیجه‌ با ایجاد قراردادهای اختیار خرید و فروش و اهرم کردن آن، معاملات </w:t>
      </w:r>
      <w:r w:rsidRPr="00B6450D">
        <w:rPr>
          <w:i/>
          <w:sz w:val="23"/>
          <w:szCs w:val="23"/>
        </w:rPr>
        <w:t>FOREX</w:t>
      </w:r>
      <w:r w:rsidRPr="00B6450D">
        <w:rPr>
          <w:rFonts w:hint="cs"/>
          <w:i/>
          <w:sz w:val="23"/>
          <w:szCs w:val="23"/>
          <w:rtl/>
        </w:rPr>
        <w:t xml:space="preserve"> بشدت در حال افزایش است.</w:t>
      </w:r>
    </w:p>
    <w:p w14:paraId="0EB8FF11" w14:textId="77777777" w:rsidR="00556C10" w:rsidRPr="00B6450D" w:rsidRDefault="00556C10" w:rsidP="00556C10">
      <w:pPr>
        <w:spacing w:line="216" w:lineRule="auto"/>
        <w:rPr>
          <w:i/>
          <w:sz w:val="23"/>
          <w:szCs w:val="23"/>
          <w:rtl/>
        </w:rPr>
      </w:pPr>
      <w:r w:rsidRPr="00B6450D">
        <w:rPr>
          <w:rFonts w:hint="cs"/>
          <w:i/>
          <w:sz w:val="23"/>
          <w:szCs w:val="23"/>
          <w:rtl/>
        </w:rPr>
        <w:t>روش دیگر ایمن</w:t>
      </w:r>
      <w:r w:rsidRPr="00B6450D">
        <w:rPr>
          <w:i/>
          <w:sz w:val="23"/>
          <w:szCs w:val="23"/>
          <w:rtl/>
        </w:rPr>
        <w:softHyphen/>
      </w:r>
      <w:r w:rsidRPr="00B6450D">
        <w:rPr>
          <w:rFonts w:hint="cs"/>
          <w:i/>
          <w:sz w:val="23"/>
          <w:szCs w:val="23"/>
          <w:rtl/>
        </w:rPr>
        <w:t xml:space="preserve">سازی </w:t>
      </w:r>
      <w:r w:rsidRPr="00B6450D">
        <w:rPr>
          <w:i/>
          <w:sz w:val="23"/>
          <w:szCs w:val="23"/>
        </w:rPr>
        <w:t>FOREX</w:t>
      </w:r>
      <w:r w:rsidRPr="00B6450D">
        <w:rPr>
          <w:rFonts w:hint="cs"/>
          <w:i/>
          <w:sz w:val="23"/>
          <w:szCs w:val="23"/>
          <w:rtl/>
        </w:rPr>
        <w:t xml:space="preserve"> استفاده از معاملات پایاپای پولی یا سوآپ پولی است. دراین حالت پول معاوضه نمی</w:t>
      </w:r>
      <w:r w:rsidRPr="00B6450D">
        <w:rPr>
          <w:i/>
          <w:sz w:val="23"/>
          <w:szCs w:val="23"/>
          <w:rtl/>
        </w:rPr>
        <w:softHyphen/>
      </w:r>
      <w:r w:rsidRPr="00B6450D">
        <w:rPr>
          <w:rFonts w:hint="cs"/>
          <w:i/>
          <w:sz w:val="23"/>
          <w:szCs w:val="23"/>
          <w:rtl/>
        </w:rPr>
        <w:t>شود بلکه بهره‌ی پرداختی به آن معاوضه می‌شود. سوآپ ممکن است به عنوان ابزار سفته</w:t>
      </w:r>
      <w:r w:rsidRPr="00B6450D">
        <w:rPr>
          <w:i/>
          <w:sz w:val="23"/>
          <w:szCs w:val="23"/>
          <w:rtl/>
        </w:rPr>
        <w:softHyphen/>
      </w:r>
      <w:r w:rsidRPr="00B6450D">
        <w:rPr>
          <w:rFonts w:hint="cs"/>
          <w:i/>
          <w:sz w:val="23"/>
          <w:szCs w:val="23"/>
          <w:rtl/>
        </w:rPr>
        <w:t>بازی و یا به</w:t>
      </w:r>
      <w:r w:rsidRPr="00B6450D">
        <w:rPr>
          <w:i/>
          <w:sz w:val="23"/>
          <w:szCs w:val="23"/>
          <w:rtl/>
        </w:rPr>
        <w:softHyphen/>
      </w:r>
      <w:r w:rsidRPr="00B6450D">
        <w:rPr>
          <w:rFonts w:hint="cs"/>
          <w:i/>
          <w:sz w:val="23"/>
          <w:szCs w:val="23"/>
          <w:rtl/>
        </w:rPr>
        <w:t>عنوان وسیله‌ی ایمن</w:t>
      </w:r>
      <w:r w:rsidRPr="00B6450D">
        <w:rPr>
          <w:i/>
          <w:sz w:val="23"/>
          <w:szCs w:val="23"/>
          <w:rtl/>
        </w:rPr>
        <w:softHyphen/>
      </w:r>
      <w:r w:rsidRPr="00B6450D">
        <w:rPr>
          <w:rFonts w:hint="cs"/>
          <w:i/>
          <w:sz w:val="23"/>
          <w:szCs w:val="23"/>
          <w:rtl/>
        </w:rPr>
        <w:t>سازی مورد استفاده قرار گیرد.</w:t>
      </w:r>
    </w:p>
    <w:p w14:paraId="6A1DDB75" w14:textId="77777777" w:rsidR="00556C10" w:rsidRPr="00B6450D" w:rsidRDefault="00556C10" w:rsidP="00556C10">
      <w:pPr>
        <w:spacing w:line="216" w:lineRule="auto"/>
        <w:rPr>
          <w:i/>
          <w:sz w:val="23"/>
          <w:szCs w:val="23"/>
          <w:rtl/>
        </w:rPr>
      </w:pPr>
      <w:r w:rsidRPr="00B6450D">
        <w:rPr>
          <w:rFonts w:hint="cs"/>
          <w:i/>
          <w:sz w:val="23"/>
          <w:szCs w:val="23"/>
          <w:rtl/>
        </w:rPr>
        <w:t xml:space="preserve">موارد فوق دلایل متقن گسترش معاملات </w:t>
      </w:r>
      <w:r w:rsidRPr="00B6450D">
        <w:rPr>
          <w:i/>
          <w:sz w:val="23"/>
          <w:szCs w:val="23"/>
        </w:rPr>
        <w:t>FOREX</w:t>
      </w:r>
      <w:r w:rsidRPr="00B6450D">
        <w:rPr>
          <w:rFonts w:hint="cs"/>
          <w:i/>
          <w:sz w:val="23"/>
          <w:szCs w:val="23"/>
          <w:rtl/>
        </w:rPr>
        <w:t xml:space="preserve"> و عدم اهمیت عامل بنیادی اقتصاد کلان در کوتاه‌مدت است.</w:t>
      </w:r>
    </w:p>
    <w:p w14:paraId="1678FEC2" w14:textId="77777777" w:rsidR="00556C10" w:rsidRPr="00B6450D" w:rsidRDefault="00556C10" w:rsidP="00556C10">
      <w:pPr>
        <w:spacing w:line="216" w:lineRule="auto"/>
        <w:rPr>
          <w:i/>
          <w:sz w:val="23"/>
          <w:szCs w:val="23"/>
          <w:rtl/>
        </w:rPr>
      </w:pPr>
    </w:p>
    <w:p w14:paraId="3AD2177E" w14:textId="77777777" w:rsidR="00556C10" w:rsidRPr="00B6450D" w:rsidRDefault="00556C10" w:rsidP="00556C10">
      <w:pPr>
        <w:pStyle w:val="Heading1"/>
        <w:spacing w:before="0" w:line="216" w:lineRule="auto"/>
        <w:rPr>
          <w:rFonts w:ascii="Times New Roman" w:hAnsi="Times New Roman" w:cs="B Nazanin"/>
          <w:b w:val="0"/>
          <w:i/>
          <w:sz w:val="23"/>
          <w:szCs w:val="23"/>
          <w:rtl/>
        </w:rPr>
      </w:pPr>
      <w:r w:rsidRPr="00B6450D">
        <w:rPr>
          <w:rFonts w:ascii="Times New Roman" w:hAnsi="Times New Roman" w:cs="B Nazanin" w:hint="cs"/>
          <w:b w:val="0"/>
          <w:i/>
          <w:sz w:val="23"/>
          <w:szCs w:val="23"/>
          <w:rtl/>
        </w:rPr>
        <w:t>۱۲. ۵ نتایج</w:t>
      </w:r>
    </w:p>
    <w:p w14:paraId="28DC0D66" w14:textId="77777777" w:rsidR="00556C10" w:rsidRPr="00B6450D" w:rsidRDefault="00556C10" w:rsidP="00556C10">
      <w:pPr>
        <w:spacing w:line="216" w:lineRule="auto"/>
        <w:rPr>
          <w:i/>
          <w:sz w:val="23"/>
          <w:szCs w:val="23"/>
          <w:rtl/>
        </w:rPr>
      </w:pPr>
      <w:r w:rsidRPr="00B6450D">
        <w:rPr>
          <w:rFonts w:hint="cs"/>
          <w:i/>
          <w:sz w:val="23"/>
          <w:szCs w:val="23"/>
          <w:rtl/>
        </w:rPr>
        <w:t>رفتار بازارهای مالی در مدل‌های تعادل عمومی پویای اقتصاد کلان بسیار با اهمیت است. تخصیص بین دوره</w:t>
      </w:r>
      <w:r w:rsidRPr="00B6450D">
        <w:rPr>
          <w:i/>
          <w:sz w:val="23"/>
          <w:szCs w:val="23"/>
          <w:rtl/>
        </w:rPr>
        <w:softHyphen/>
      </w:r>
      <w:r w:rsidRPr="00B6450D">
        <w:rPr>
          <w:rFonts w:hint="cs"/>
          <w:i/>
          <w:sz w:val="23"/>
          <w:szCs w:val="23"/>
          <w:rtl/>
        </w:rPr>
        <w:t>ای منابع باعث می‌شود تا مخارج مصرفی، هموار شده و بازارهای مالی باعث انتقال پس</w:t>
      </w:r>
      <w:r w:rsidRPr="00B6450D">
        <w:rPr>
          <w:i/>
          <w:sz w:val="23"/>
          <w:szCs w:val="23"/>
          <w:rtl/>
        </w:rPr>
        <w:softHyphen/>
      </w:r>
      <w:r w:rsidRPr="00B6450D">
        <w:rPr>
          <w:rFonts w:hint="cs"/>
          <w:i/>
          <w:sz w:val="23"/>
          <w:szCs w:val="23"/>
          <w:rtl/>
        </w:rPr>
        <w:t>اندازهای خانوار به قرض کنندگان یعنی خانوارها، بنگاه‌ها، و دولت در داخل و خارج شود. این مسئله مستلزم تابع مناسبی از بازارهای سرمایه است. در این فصل مدل‌های سنتی بازارهای مالی جهت مقایسه‌ی آن</w:t>
      </w:r>
      <w:r w:rsidRPr="00B6450D">
        <w:rPr>
          <w:i/>
          <w:sz w:val="23"/>
          <w:szCs w:val="23"/>
          <w:rtl/>
        </w:rPr>
        <w:softHyphen/>
      </w:r>
      <w:r w:rsidRPr="00B6450D">
        <w:rPr>
          <w:rFonts w:hint="cs"/>
          <w:i/>
          <w:sz w:val="23"/>
          <w:szCs w:val="23"/>
          <w:rtl/>
        </w:rPr>
        <w:t xml:space="preserve">ها با مدل‌های تعادل عمومی را مورد بررسی قرار دادیم. برای فرمول بندی مدل‌های تعادل عمومی بازارهای سهام، اوراق قرضه و </w:t>
      </w:r>
      <w:r w:rsidRPr="00B6450D">
        <w:rPr>
          <w:i/>
          <w:sz w:val="23"/>
          <w:szCs w:val="23"/>
        </w:rPr>
        <w:t>FOREX</w:t>
      </w:r>
      <w:r w:rsidRPr="00B6450D">
        <w:rPr>
          <w:rFonts w:hint="cs"/>
          <w:i/>
          <w:sz w:val="23"/>
          <w:szCs w:val="23"/>
          <w:rtl/>
        </w:rPr>
        <w:t xml:space="preserve"> می‌بایست سرمایه‌گذاران داخلی و خارجی، و </w:t>
      </w:r>
      <w:r w:rsidRPr="00B6450D">
        <w:rPr>
          <w:rFonts w:hint="cs"/>
          <w:i/>
          <w:sz w:val="23"/>
          <w:szCs w:val="23"/>
          <w:rtl/>
        </w:rPr>
        <w:lastRenderedPageBreak/>
        <w:t>همچنین بازار کامل یا غیرکامل را در نظر گرفت. بنابراین، قیمت</w:t>
      </w:r>
      <w:r w:rsidRPr="00B6450D">
        <w:rPr>
          <w:i/>
          <w:sz w:val="23"/>
          <w:szCs w:val="23"/>
          <w:rtl/>
        </w:rPr>
        <w:softHyphen/>
      </w:r>
      <w:r w:rsidRPr="00B6450D">
        <w:rPr>
          <w:rFonts w:hint="cs"/>
          <w:i/>
          <w:sz w:val="23"/>
          <w:szCs w:val="23"/>
          <w:rtl/>
        </w:rPr>
        <w:t>گذاری دارایی، و رفتار بازارهای مالی کانون مباحث اقتصاد کلان خواهد بود.</w:t>
      </w:r>
    </w:p>
    <w:p w14:paraId="1CFAC69E" w14:textId="77777777" w:rsidR="00556C10" w:rsidRPr="00B6450D" w:rsidRDefault="00556C10" w:rsidP="00556C10">
      <w:pPr>
        <w:spacing w:line="216" w:lineRule="auto"/>
        <w:rPr>
          <w:i/>
          <w:sz w:val="23"/>
          <w:szCs w:val="23"/>
          <w:rtl/>
        </w:rPr>
      </w:pPr>
      <w:r w:rsidRPr="00B6450D">
        <w:rPr>
          <w:rFonts w:hint="cs"/>
          <w:i/>
          <w:sz w:val="23"/>
          <w:szCs w:val="23"/>
          <w:rtl/>
        </w:rPr>
        <w:t>اگرچه هر یک از این بازارها را بطور مجزا بررسی کردیم، خانوارها، بنگاه‌ها و دولت‌ها بطور مستقیم یا غیرمستقیم از طریق مدیران سرمایه‌گذاری شخص ثالث پرتفوی این دارایی‌ها را نگهداری می‌کند، که مستلزم اهمیت یکسان تصمیم تخصیص دارایی در فصل یازدهم می‌باشد.</w:t>
      </w:r>
    </w:p>
    <w:p w14:paraId="5BA25697" w14:textId="77777777" w:rsidR="00556C10" w:rsidRDefault="00556C10" w:rsidP="00556C10">
      <w:pPr>
        <w:spacing w:line="216" w:lineRule="auto"/>
        <w:rPr>
          <w:i/>
          <w:sz w:val="23"/>
          <w:szCs w:val="23"/>
          <w:rtl/>
        </w:rPr>
      </w:pPr>
      <w:r w:rsidRPr="00B6450D">
        <w:rPr>
          <w:rFonts w:hint="cs"/>
          <w:i/>
          <w:sz w:val="23"/>
          <w:szCs w:val="23"/>
          <w:rtl/>
        </w:rPr>
        <w:t>بالاخره، توضیح داده شد که چگونه نظریه‌های تعادل عمومی قیمت</w:t>
      </w:r>
      <w:r w:rsidRPr="00B6450D">
        <w:rPr>
          <w:i/>
          <w:sz w:val="23"/>
          <w:szCs w:val="23"/>
          <w:rtl/>
        </w:rPr>
        <w:softHyphen/>
      </w:r>
      <w:r w:rsidRPr="00B6450D">
        <w:rPr>
          <w:rFonts w:hint="cs"/>
          <w:i/>
          <w:sz w:val="23"/>
          <w:szCs w:val="23"/>
          <w:rtl/>
        </w:rPr>
        <w:t xml:space="preserve">گذاری دارایی رفتار مشاهده شده‌ی قیمت دارایی را در نظر می‌گیرد. بر اساس شواهد تجربی نظریه قادر نیست تا ریسک هر یک از این سه بازار بخصوص در کوتاه‌مدت را در نظر بگیرد و در هر یک از موارد فوق پاداش ریسک تئوریکی در عمل کوچک است. ملاحظه کردیم که سهم بسیار زیادی از معاملات </w:t>
      </w:r>
      <w:r w:rsidRPr="00B6450D">
        <w:rPr>
          <w:i/>
          <w:sz w:val="23"/>
          <w:szCs w:val="23"/>
        </w:rPr>
        <w:t>FOREX</w:t>
      </w:r>
      <w:r w:rsidRPr="00B6450D">
        <w:rPr>
          <w:rFonts w:hint="cs"/>
          <w:i/>
          <w:sz w:val="23"/>
          <w:szCs w:val="23"/>
          <w:rtl/>
        </w:rPr>
        <w:t xml:space="preserve"> ممکن است بخاطر اهداف سفته</w:t>
      </w:r>
      <w:r w:rsidRPr="00B6450D">
        <w:rPr>
          <w:i/>
          <w:sz w:val="23"/>
          <w:szCs w:val="23"/>
          <w:rtl/>
        </w:rPr>
        <w:softHyphen/>
      </w:r>
      <w:r w:rsidRPr="00B6450D">
        <w:rPr>
          <w:rFonts w:hint="cs"/>
          <w:i/>
          <w:sz w:val="23"/>
          <w:szCs w:val="23"/>
          <w:rtl/>
        </w:rPr>
        <w:t>بازی و نه دلایل بنیادین اقتصاد کلان بخصوص در کوتاه‌مدت باشد. این نکته ممکن است تا حد کمتری برای بازارهای سهام و اوراق قرضه نیز درست باشد. با این حال، حتی اگر قیمت یک دارایی برای دوره</w:t>
      </w:r>
      <w:r w:rsidRPr="00B6450D">
        <w:rPr>
          <w:i/>
          <w:sz w:val="23"/>
          <w:szCs w:val="23"/>
          <w:rtl/>
        </w:rPr>
        <w:softHyphen/>
      </w:r>
      <w:r w:rsidRPr="00B6450D">
        <w:rPr>
          <w:rFonts w:hint="cs"/>
          <w:i/>
          <w:sz w:val="23"/>
          <w:szCs w:val="23"/>
          <w:rtl/>
        </w:rPr>
        <w:t>ای از زمان از ارزش بنیادین آن که از نظریه تعادل عمومی بدست آمده اختلاف داشته باشد، ما نیازمند دانستن ارزش بنیادین آن هستیم بطوری که ممکن است انتظار رود که قیمت دارایی در اطراف آن نوسان داشته‌، یا به میانگین خود در طی زمان بازگشت کند. بنابراین قیمت</w:t>
      </w:r>
      <w:r w:rsidRPr="00B6450D">
        <w:rPr>
          <w:i/>
          <w:sz w:val="23"/>
          <w:szCs w:val="23"/>
          <w:rtl/>
        </w:rPr>
        <w:softHyphen/>
      </w:r>
      <w:r w:rsidRPr="00B6450D">
        <w:rPr>
          <w:rFonts w:hint="cs"/>
          <w:i/>
          <w:sz w:val="23"/>
          <w:szCs w:val="23"/>
          <w:rtl/>
        </w:rPr>
        <w:t>گذاری دارایی به همان اندازه‌ای اقتصاد تعادل عمومی برای مالی که اینروزها موضوع تحقیقات اقتصادی است چالش برانگیز است. همچنین نشان داده شد که داده‌های مالی و یا ترکیب آن‌ها با داده‌های اقتصاد کلان راه دیگری برای آزمون نظریه‌های اقتصاد کلان است.</w:t>
      </w:r>
      <w:r>
        <w:rPr>
          <w:i/>
          <w:sz w:val="23"/>
          <w:szCs w:val="23"/>
          <w:rtl/>
        </w:rPr>
        <w:br w:type="page"/>
      </w:r>
    </w:p>
    <w:p w14:paraId="5C3F4267" w14:textId="77777777" w:rsidR="00556C10" w:rsidRPr="00A62AA2" w:rsidRDefault="00556C10" w:rsidP="00556C10">
      <w:pPr>
        <w:pStyle w:val="a3"/>
        <w:spacing w:before="1080" w:after="720" w:line="216" w:lineRule="auto"/>
        <w:ind w:left="0"/>
        <w:rPr>
          <w:rFonts w:eastAsia="Yu Gothic UI" w:cs="B Nazanin"/>
          <w:b w:val="0"/>
          <w:i/>
          <w:sz w:val="40"/>
          <w:szCs w:val="40"/>
          <w14:glow w14:rad="0">
            <w14:srgbClr w14:val="000000">
              <w14:alpha w14:val="91000"/>
            </w14:srgbClr>
          </w14:glow>
          <w14:shadow w14:blurRad="63500" w14:dist="0" w14:dir="0" w14:sx="1000" w14:sy="1000" w14:kx="0" w14:ky="0" w14:algn="ctr">
            <w14:srgbClr w14:val="000000">
              <w14:alpha w14:val="16000"/>
            </w14:srgbClr>
          </w14:shadow>
        </w:rPr>
      </w:pPr>
      <w:r w:rsidRPr="00A62AA2">
        <w:rPr>
          <w:rFonts w:cs="B Nazanin" w:hint="cs"/>
          <w:b w:val="0"/>
          <w:i/>
          <w:color w:val="000000" w:themeColor="text1"/>
          <w:sz w:val="40"/>
          <w:szCs w:val="40"/>
          <w:rtl/>
        </w:rPr>
        <w:lastRenderedPageBreak/>
        <w:t>فصل سیزدهم</w:t>
      </w:r>
    </w:p>
    <w:p w14:paraId="01E347AF" w14:textId="77777777" w:rsidR="00556C10" w:rsidRPr="00A62AA2" w:rsidRDefault="00556C10" w:rsidP="00556C10">
      <w:pPr>
        <w:pStyle w:val="a4"/>
        <w:pBdr>
          <w:top w:val="none" w:sz="0" w:space="0" w:color="auto"/>
          <w:bottom w:val="none" w:sz="0" w:space="0" w:color="auto"/>
        </w:pBdr>
        <w:shd w:val="clear" w:color="auto" w:fill="auto"/>
        <w:spacing w:after="720" w:line="216" w:lineRule="auto"/>
        <w:rPr>
          <w:rFonts w:ascii="Times New Roman" w:hAnsi="Times New Roman"/>
          <w:b w:val="0"/>
          <w:i/>
          <w:sz w:val="40"/>
          <w:szCs w:val="40"/>
          <w:rtl/>
        </w:rPr>
      </w:pPr>
      <w:r w:rsidRPr="00A62AA2">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t xml:space="preserve">نرخ ارز </w:t>
      </w:r>
    </w:p>
    <w:p w14:paraId="0741A506" w14:textId="77777777" w:rsidR="00556C10" w:rsidRPr="00A62AA2" w:rsidRDefault="00556C10" w:rsidP="00556C10">
      <w:pPr>
        <w:pStyle w:val="Heading1"/>
        <w:spacing w:before="0" w:after="0" w:line="216" w:lineRule="auto"/>
        <w:rPr>
          <w:rFonts w:ascii="Times New Roman" w:hAnsi="Times New Roman" w:cs="B Nazanin"/>
          <w:b w:val="0"/>
          <w:i/>
          <w:sz w:val="23"/>
          <w:szCs w:val="23"/>
          <w:rtl/>
        </w:rPr>
      </w:pPr>
      <w:r w:rsidRPr="00A62AA2">
        <w:rPr>
          <w:rFonts w:ascii="Times New Roman" w:hAnsi="Times New Roman" w:cs="B Nazanin" w:hint="cs"/>
          <w:b w:val="0"/>
          <w:i/>
          <w:sz w:val="23"/>
          <w:szCs w:val="23"/>
          <w:rtl/>
        </w:rPr>
        <w:t>۱۳. ۱ مقدمه</w:t>
      </w:r>
    </w:p>
    <w:p w14:paraId="7C647D3E" w14:textId="77777777" w:rsidR="00556C10" w:rsidRPr="00A62AA2" w:rsidRDefault="00556C10" w:rsidP="00556C10">
      <w:pPr>
        <w:spacing w:line="216" w:lineRule="auto"/>
        <w:rPr>
          <w:i/>
          <w:sz w:val="23"/>
          <w:szCs w:val="23"/>
          <w:rtl/>
        </w:rPr>
      </w:pPr>
      <w:r w:rsidRPr="00A62AA2">
        <w:rPr>
          <w:rFonts w:hint="cs"/>
          <w:i/>
          <w:sz w:val="23"/>
          <w:szCs w:val="23"/>
          <w:rtl/>
        </w:rPr>
        <w:t>در مباحث مربوط به اقتصاد باز فصل هفتم، و همچنین موضوع تعیین قیمت در فصل نهم، نرخ ارز اسمی ‌را برون‌زا در نظر گرفتیم. اکنون فرض می‌کنیم نرخ ارز اسمی‌ در اقتصاد نه تنها شناور بلکه درون</w:t>
      </w:r>
      <w:r w:rsidRPr="00A62AA2">
        <w:rPr>
          <w:rFonts w:hint="cs"/>
          <w:i/>
          <w:sz w:val="23"/>
          <w:szCs w:val="23"/>
          <w:rtl/>
        </w:rPr>
        <w:softHyphen/>
        <w:t>زاست. در این</w:t>
      </w:r>
      <w:r w:rsidRPr="00A62AA2">
        <w:rPr>
          <w:rFonts w:hint="cs"/>
          <w:i/>
          <w:sz w:val="23"/>
          <w:szCs w:val="23"/>
          <w:rtl/>
        </w:rPr>
        <w:softHyphen/>
        <w:t>صورت رفتار نرخ ارز اسمی‌ و حقیقی را می</w:t>
      </w:r>
      <w:r w:rsidRPr="00A62AA2">
        <w:rPr>
          <w:rFonts w:hint="cs"/>
          <w:i/>
          <w:sz w:val="23"/>
          <w:szCs w:val="23"/>
          <w:rtl/>
        </w:rPr>
        <w:softHyphen/>
        <w:t>توان با توجه به شوک‌های اقتصاد کلان بررسی کرد. نوع نظام نرخ ارزِ ثابت یا نرخ ارزِ شناور بر سطح تولید، تورم، و اثربخشی سیاست‌های پولی و مالی تأثیر می‌گذارد. این موضوع در این فصل مورد بررسی قرار خواهد گرفت. در نظام نرخ ارز شناور، به دلیل سهولت تعدیل نرخ ارز حقیقی و رابطه</w:t>
      </w:r>
      <w:r w:rsidRPr="00A62AA2">
        <w:rPr>
          <w:rFonts w:hint="cs"/>
          <w:i/>
          <w:sz w:val="23"/>
          <w:szCs w:val="23"/>
          <w:rtl/>
        </w:rPr>
        <w:softHyphen/>
        <w:t>ی مبادله یا</w:t>
      </w:r>
      <w:r w:rsidRPr="00A62AA2">
        <w:rPr>
          <w:position w:val="-6"/>
        </w:rPr>
        <w:object w:dxaOrig="540" w:dyaOrig="260" w14:anchorId="36984552">
          <v:shape id="_x0000_i5868" type="#_x0000_t75" style="width:27.25pt;height:12.7pt" o:ole="">
            <v:imagedata r:id="rId9760" o:title=""/>
          </v:shape>
          <o:OLEObject Type="Embed" ProgID="Equation.DSMT4" ShapeID="_x0000_i5868" DrawAspect="Content" ObjectID="_1791379812" r:id="rId9761"/>
        </w:object>
      </w:r>
      <w:r w:rsidRPr="00A62AA2">
        <w:rPr>
          <w:rFonts w:hint="cs"/>
          <w:i/>
          <w:sz w:val="23"/>
          <w:szCs w:val="23"/>
          <w:rtl/>
        </w:rPr>
        <w:t xml:space="preserve"> و امکان برگشت سریع اقتصاد به تعادل، هزینه</w:t>
      </w:r>
      <w:r w:rsidRPr="00A62AA2">
        <w:rPr>
          <w:rFonts w:hint="cs"/>
          <w:i/>
          <w:sz w:val="23"/>
          <w:szCs w:val="23"/>
          <w:rtl/>
        </w:rPr>
        <w:softHyphen/>
        <w:t>ی شوک‌های اقتصادی کاهش می‌یابد. امّا از آن</w:t>
      </w:r>
      <w:r w:rsidRPr="00A62AA2">
        <w:rPr>
          <w:rFonts w:hint="cs"/>
          <w:i/>
          <w:sz w:val="23"/>
          <w:szCs w:val="23"/>
          <w:rtl/>
        </w:rPr>
        <w:softHyphen/>
        <w:t>جا که در این نظام نرخ ارز بسیار فرّار است، اثرات شوک‌های خارجی بر اقتصاد داخلی تشدید می‌شود. موضوع اساسی و کلیدی در این تحلیل آن است که قیمت‌ها و دستمزدها چگونه تعیین می‌شوند، تا چه اندازه چسبنده</w:t>
      </w:r>
      <w:r w:rsidRPr="00A62AA2">
        <w:rPr>
          <w:rFonts w:hint="cs"/>
          <w:i/>
          <w:sz w:val="23"/>
          <w:szCs w:val="23"/>
          <w:rtl/>
        </w:rPr>
        <w:softHyphen/>
        <w:t>اند و همچنین تا چه حدّی با توجه به تغییرات نرخ ارز تغییر می‌کنند.</w:t>
      </w:r>
    </w:p>
    <w:p w14:paraId="3625AED9" w14:textId="77777777" w:rsidR="00556C10" w:rsidRPr="00A62AA2" w:rsidRDefault="00556C10" w:rsidP="00556C10">
      <w:pPr>
        <w:spacing w:line="216" w:lineRule="auto"/>
        <w:rPr>
          <w:i/>
          <w:sz w:val="23"/>
          <w:szCs w:val="23"/>
        </w:rPr>
      </w:pPr>
      <w:r w:rsidRPr="00A62AA2">
        <w:rPr>
          <w:rFonts w:hint="cs"/>
          <w:i/>
          <w:sz w:val="23"/>
          <w:szCs w:val="23"/>
          <w:rtl/>
        </w:rPr>
        <w:t>نرخ ارز اسمی،‌ قیمت یک دارایی یا قیمت یک پول نسبت به پول دیگر است. در فصل دهم مسئله</w:t>
      </w:r>
      <w:r w:rsidRPr="00A62AA2">
        <w:rPr>
          <w:rFonts w:hint="cs"/>
          <w:i/>
          <w:sz w:val="23"/>
          <w:szCs w:val="23"/>
          <w:rtl/>
        </w:rPr>
        <w:softHyphen/>
        <w:t>ی عمومی ‌قیمت</w:t>
      </w:r>
      <w:r w:rsidRPr="00A62AA2">
        <w:rPr>
          <w:rFonts w:hint="cs"/>
          <w:i/>
          <w:sz w:val="23"/>
          <w:szCs w:val="23"/>
          <w:rtl/>
        </w:rPr>
        <w:softHyphen/>
        <w:t>گذاری داراریی‌ها را بررسی کردیم و نشان دادیم که این مسئله مستلزم شرط عدم وجود آربیتراژ است که بازدهی انتظاری دارایی ریسکی را به دارایی بدون ریسک مرتبط می‌کند. در فصل یازدهم معادله</w:t>
      </w:r>
      <w:r w:rsidRPr="00A62AA2">
        <w:rPr>
          <w:rFonts w:hint="cs"/>
          <w:i/>
          <w:sz w:val="23"/>
          <w:szCs w:val="23"/>
          <w:rtl/>
        </w:rPr>
        <w:softHyphen/>
        <w:t>ی عدم وجود آربیتراژ را در بازار ارز مورد بررسی قرار داده و نشان دادیم که تحت شرایط خنثی بودن ریسک، همان شرط برابری نرخ بهره</w:t>
      </w:r>
      <w:r w:rsidRPr="00A62AA2">
        <w:rPr>
          <w:rFonts w:hint="cs"/>
          <w:i/>
          <w:sz w:val="23"/>
          <w:szCs w:val="23"/>
          <w:rtl/>
        </w:rPr>
        <w:softHyphen/>
        <w:t>ی بدون پوشش</w:t>
      </w:r>
      <w:r w:rsidRPr="00A62AA2">
        <w:rPr>
          <w:i/>
          <w:sz w:val="23"/>
          <w:szCs w:val="23"/>
        </w:rPr>
        <w:t xml:space="preserve"> </w:t>
      </w:r>
      <w:r w:rsidRPr="00A62AA2">
        <w:rPr>
          <w:position w:val="-6"/>
        </w:rPr>
        <w:object w:dxaOrig="460" w:dyaOrig="260" w14:anchorId="0AA83096">
          <v:shape id="_x0000_i5869" type="#_x0000_t75" style="width:23pt;height:12.7pt" o:ole="">
            <v:imagedata r:id="rId9762" o:title=""/>
          </v:shape>
          <o:OLEObject Type="Embed" ProgID="Equation.DSMT4" ShapeID="_x0000_i5869" DrawAspect="Content" ObjectID="_1791379813" r:id="rId9763"/>
        </w:object>
      </w:r>
      <w:r w:rsidRPr="00A62AA2">
        <w:rPr>
          <w:rFonts w:hint="cs"/>
          <w:i/>
          <w:sz w:val="23"/>
          <w:szCs w:val="23"/>
          <w:rtl/>
        </w:rPr>
        <w:t>را خواهیم داشت. همچنین نشان داده شد که برابری نرخ بهره</w:t>
      </w:r>
      <w:r w:rsidRPr="00A62AA2">
        <w:rPr>
          <w:rFonts w:hint="cs"/>
          <w:i/>
          <w:sz w:val="23"/>
          <w:szCs w:val="23"/>
          <w:rtl/>
        </w:rPr>
        <w:softHyphen/>
        <w:t>ی بدون پوشش، نظریه تعیین نرخ ارز اسمی ‌دو جانبه را ارائه می‌کند که در آن نرخ ارز لحظه</w:t>
      </w:r>
      <w:r w:rsidRPr="00A62AA2">
        <w:rPr>
          <w:rFonts w:hint="cs"/>
          <w:i/>
          <w:sz w:val="23"/>
          <w:szCs w:val="23"/>
          <w:rtl/>
        </w:rPr>
        <w:softHyphen/>
        <w:t>ای به تفاوت‌های نرخ بهره</w:t>
      </w:r>
      <w:r w:rsidRPr="00A62AA2">
        <w:rPr>
          <w:rFonts w:hint="cs"/>
          <w:i/>
          <w:sz w:val="23"/>
          <w:szCs w:val="23"/>
          <w:rtl/>
        </w:rPr>
        <w:softHyphen/>
        <w:t>ی آتی و جاری دو اقتصاد وابسته می</w:t>
      </w:r>
      <w:r w:rsidRPr="00A62AA2">
        <w:rPr>
          <w:rFonts w:hint="cs"/>
          <w:i/>
          <w:sz w:val="23"/>
          <w:szCs w:val="23"/>
          <w:rtl/>
        </w:rPr>
        <w:softHyphen/>
        <w:t>شود. مسئله</w:t>
      </w:r>
      <w:r w:rsidRPr="00A62AA2">
        <w:rPr>
          <w:rFonts w:hint="cs"/>
          <w:i/>
          <w:sz w:val="23"/>
          <w:szCs w:val="23"/>
          <w:rtl/>
        </w:rPr>
        <w:softHyphen/>
        <w:t>ی اقتصاد کلان این است که این نرخ‌های بهره چگونه تعیین می‌شوند. نرخ بهره ممکن است برون‌زا باشد (همانند هدف</w:t>
      </w:r>
      <w:r w:rsidRPr="00A62AA2">
        <w:rPr>
          <w:rFonts w:hint="cs"/>
          <w:i/>
          <w:sz w:val="23"/>
          <w:szCs w:val="23"/>
          <w:rtl/>
        </w:rPr>
        <w:softHyphen/>
        <w:t>گذاری تورم در فصل چهاردهم) و یا ممکن است درون‌زا بوده و به دیگر متغیرهای اقتصاد کلان وابسته باشند، و همچنین ممکن است نرخ بهره در نتیجه</w:t>
      </w:r>
      <w:r w:rsidRPr="00A62AA2">
        <w:rPr>
          <w:rFonts w:hint="cs"/>
          <w:i/>
          <w:sz w:val="23"/>
          <w:szCs w:val="23"/>
          <w:rtl/>
        </w:rPr>
        <w:softHyphen/>
        <w:t>ی اجرای سیاست‌های پولی و با عنایت به اهداف سیاست</w:t>
      </w:r>
      <w:r w:rsidRPr="00A62AA2">
        <w:rPr>
          <w:rFonts w:hint="cs"/>
          <w:i/>
          <w:sz w:val="23"/>
          <w:szCs w:val="23"/>
          <w:rtl/>
        </w:rPr>
        <w:softHyphen/>
        <w:t>گذار در خصوص عرضه</w:t>
      </w:r>
      <w:r w:rsidRPr="00A62AA2">
        <w:rPr>
          <w:rFonts w:hint="cs"/>
          <w:i/>
          <w:sz w:val="23"/>
          <w:szCs w:val="23"/>
          <w:rtl/>
        </w:rPr>
        <w:softHyphen/>
        <w:t>ی پول معین شود. بنابراین برابری نرخ بهره</w:t>
      </w:r>
      <w:r w:rsidRPr="00A62AA2">
        <w:rPr>
          <w:rFonts w:hint="cs"/>
          <w:i/>
          <w:sz w:val="23"/>
          <w:szCs w:val="23"/>
          <w:rtl/>
        </w:rPr>
        <w:softHyphen/>
        <w:t>ی بدون پوشش یا</w:t>
      </w:r>
      <w:r w:rsidRPr="00A62AA2">
        <w:rPr>
          <w:position w:val="-6"/>
        </w:rPr>
        <w:object w:dxaOrig="460" w:dyaOrig="260" w14:anchorId="715C9D24">
          <v:shape id="_x0000_i5870" type="#_x0000_t75" style="width:23pt;height:12.7pt" o:ole="">
            <v:imagedata r:id="rId9764" o:title=""/>
          </v:shape>
          <o:OLEObject Type="Embed" ProgID="Equation.DSMT4" ShapeID="_x0000_i5870" DrawAspect="Content" ObjectID="_1791379814" r:id="rId9765"/>
        </w:object>
      </w:r>
      <w:r w:rsidRPr="00A62AA2">
        <w:rPr>
          <w:rFonts w:hint="cs"/>
          <w:i/>
          <w:sz w:val="23"/>
          <w:szCs w:val="23"/>
          <w:rtl/>
        </w:rPr>
        <w:t xml:space="preserve"> کلید ارتباط بین نرخ ارز اسمی‌ و دیگر متغیرهای اقتصادی است و رابطه</w:t>
      </w:r>
      <w:r w:rsidRPr="00A62AA2">
        <w:rPr>
          <w:rFonts w:hint="cs"/>
          <w:i/>
          <w:sz w:val="23"/>
          <w:szCs w:val="23"/>
          <w:rtl/>
        </w:rPr>
        <w:softHyphen/>
        <w:t>ی استانداردی بین این متغیرها با نرخ ارز شناور می</w:t>
      </w:r>
      <w:r w:rsidRPr="00A62AA2">
        <w:rPr>
          <w:rFonts w:hint="cs"/>
          <w:i/>
          <w:sz w:val="23"/>
          <w:szCs w:val="23"/>
          <w:rtl/>
        </w:rPr>
        <w:softHyphen/>
        <w:t xml:space="preserve">باشد. </w:t>
      </w:r>
    </w:p>
    <w:p w14:paraId="5EB184C9" w14:textId="77777777" w:rsidR="00556C10" w:rsidRPr="00A62AA2" w:rsidRDefault="00556C10" w:rsidP="00556C10">
      <w:pPr>
        <w:spacing w:line="216" w:lineRule="auto"/>
        <w:rPr>
          <w:i/>
          <w:sz w:val="23"/>
          <w:szCs w:val="23"/>
          <w:rtl/>
        </w:rPr>
      </w:pPr>
      <w:r w:rsidRPr="00A62AA2">
        <w:rPr>
          <w:rFonts w:hint="cs"/>
          <w:i/>
          <w:sz w:val="23"/>
          <w:szCs w:val="23"/>
          <w:rtl/>
        </w:rPr>
        <w:lastRenderedPageBreak/>
        <w:t>نوع دیگری از نظام نرخ ارز، نظام نرخ ارز ثابت می</w:t>
      </w:r>
      <w:r w:rsidRPr="00A62AA2">
        <w:rPr>
          <w:rFonts w:hint="cs"/>
          <w:i/>
          <w:sz w:val="23"/>
          <w:szCs w:val="23"/>
          <w:rtl/>
        </w:rPr>
        <w:softHyphen/>
        <w:t>باشد. نظام برتن وودز</w:t>
      </w:r>
      <w:r w:rsidRPr="00A62AA2">
        <w:rPr>
          <w:rStyle w:val="FootnoteReference"/>
          <w:i/>
          <w:sz w:val="23"/>
          <w:szCs w:val="23"/>
          <w:rtl/>
        </w:rPr>
        <w:footnoteReference w:id="309"/>
      </w:r>
      <w:r w:rsidRPr="00A62AA2">
        <w:rPr>
          <w:rFonts w:hint="cs"/>
          <w:i/>
          <w:sz w:val="23"/>
          <w:szCs w:val="23"/>
          <w:rtl/>
        </w:rPr>
        <w:t xml:space="preserve"> مثالی از نظام نرخ ارز ثابت است که در آن کشورهای عضو، برابری پول خود را نسبت به دلار آمریکا ثابت نگه می‌دارند. در این نظام ارزی، ممکن است یک کشور دلار آمریکا را به عنوان پول رسمی کشور خود در نظر بگیرد، و یا عضوی از اتحادیه پولی بوده، و شبیه منطقه</w:t>
      </w:r>
      <w:r w:rsidRPr="00A62AA2">
        <w:rPr>
          <w:rFonts w:hint="cs"/>
          <w:i/>
          <w:sz w:val="23"/>
          <w:szCs w:val="23"/>
          <w:rtl/>
        </w:rPr>
        <w:softHyphen/>
        <w:t>ی یورو با پول مشابه، سیاست پولی یکسانی برای کشورها اعمال می</w:t>
      </w:r>
      <w:r w:rsidRPr="00A62AA2">
        <w:rPr>
          <w:i/>
          <w:sz w:val="23"/>
          <w:szCs w:val="23"/>
          <w:rtl/>
        </w:rPr>
        <w:softHyphen/>
      </w:r>
      <w:r w:rsidRPr="00A62AA2">
        <w:rPr>
          <w:rFonts w:hint="cs"/>
          <w:i/>
          <w:sz w:val="23"/>
          <w:szCs w:val="23"/>
          <w:rtl/>
        </w:rPr>
        <w:t xml:space="preserve">شود. </w:t>
      </w:r>
    </w:p>
    <w:p w14:paraId="5B3FF792" w14:textId="77777777" w:rsidR="00556C10" w:rsidRPr="00A62AA2" w:rsidRDefault="00556C10" w:rsidP="00556C10">
      <w:pPr>
        <w:spacing w:line="216" w:lineRule="auto"/>
        <w:rPr>
          <w:i/>
          <w:sz w:val="23"/>
          <w:szCs w:val="23"/>
          <w:rtl/>
        </w:rPr>
      </w:pPr>
      <w:r w:rsidRPr="00A62AA2">
        <w:rPr>
          <w:rFonts w:hint="cs"/>
          <w:i/>
          <w:sz w:val="23"/>
          <w:szCs w:val="23"/>
          <w:rtl/>
        </w:rPr>
        <w:t>قبل از نظام برتن وودز اکثر کشورها نظام استاندارد طلا را‌پذیرفته بودند. در این نظام، نرخ ارز نسبت به قیمت طلا ثابت بود و لذا پول هر کشوری می‌توانست با طلا و با نرخ ثابتی در بانک مرکزی تعویض شود. این سیستم مستلزم آن است که در بانک مرکزی به</w:t>
      </w:r>
      <w:r w:rsidRPr="00A62AA2">
        <w:rPr>
          <w:rFonts w:hint="cs"/>
          <w:i/>
          <w:sz w:val="23"/>
          <w:szCs w:val="23"/>
          <w:rtl/>
        </w:rPr>
        <w:softHyphen/>
        <w:t>اندازه</w:t>
      </w:r>
      <w:r w:rsidRPr="00A62AA2">
        <w:rPr>
          <w:rFonts w:hint="cs"/>
          <w:i/>
          <w:sz w:val="23"/>
          <w:szCs w:val="23"/>
          <w:rtl/>
        </w:rPr>
        <w:softHyphen/>
        <w:t>ی کافی طلا وجود داشته باشد. در حالی</w:t>
      </w:r>
      <w:r w:rsidRPr="00A62AA2">
        <w:rPr>
          <w:rFonts w:hint="cs"/>
          <w:i/>
          <w:sz w:val="23"/>
          <w:szCs w:val="23"/>
          <w:rtl/>
        </w:rPr>
        <w:softHyphen/>
        <w:t>که در نظام نرخ ارز شناور، این الزام وجود ندارد. همچنین نرخ ارز ممکن است شناور باشد ولی تغییرات آن مدیریت شده باشد. در این فصل فقط نظام نرخ ارز شناور مورد بررسی قرار خواهد گرفت.</w:t>
      </w:r>
    </w:p>
    <w:p w14:paraId="4009931A" w14:textId="77777777" w:rsidR="00556C10" w:rsidRPr="00A62AA2" w:rsidRDefault="00556C10" w:rsidP="00556C10">
      <w:pPr>
        <w:spacing w:line="216" w:lineRule="auto"/>
        <w:rPr>
          <w:i/>
          <w:sz w:val="23"/>
          <w:szCs w:val="23"/>
          <w:rtl/>
        </w:rPr>
      </w:pPr>
      <w:r w:rsidRPr="00A62AA2">
        <w:rPr>
          <w:rFonts w:hint="cs"/>
          <w:i/>
          <w:sz w:val="23"/>
          <w:szCs w:val="23"/>
          <w:rtl/>
        </w:rPr>
        <w:t>مدل</w:t>
      </w:r>
      <w:r w:rsidRPr="00A62AA2">
        <w:rPr>
          <w:rFonts w:hint="cs"/>
          <w:i/>
          <w:sz w:val="23"/>
          <w:szCs w:val="23"/>
          <w:rtl/>
        </w:rPr>
        <w:softHyphen/>
        <w:t>های تعادل عمومی، به ندرت به تجزیه و تحلیل نرخ ارز پرداخته</w:t>
      </w:r>
      <w:r w:rsidRPr="00A62AA2">
        <w:rPr>
          <w:rFonts w:hint="cs"/>
          <w:i/>
          <w:sz w:val="23"/>
          <w:szCs w:val="23"/>
          <w:rtl/>
        </w:rPr>
        <w:softHyphen/>
        <w:t>اند. قبل از پرداختن به این موضوع، مقررات پولی بین</w:t>
      </w:r>
      <w:r w:rsidRPr="00A62AA2">
        <w:rPr>
          <w:rFonts w:hint="cs"/>
          <w:i/>
          <w:sz w:val="23"/>
          <w:szCs w:val="23"/>
          <w:rtl/>
        </w:rPr>
        <w:softHyphen/>
        <w:t>الملل را از سال</w:t>
      </w:r>
      <w:r w:rsidRPr="00A62AA2">
        <w:rPr>
          <w:rFonts w:hint="cs"/>
          <w:i/>
          <w:sz w:val="23"/>
          <w:szCs w:val="23"/>
          <w:rtl/>
        </w:rPr>
        <w:softHyphen/>
        <w:t>های ۱۸۷۳ که سیستم نرخ ارز انتخاب شد، و نظریه اقتصاد کلان مبتنی بر آن را بررسی خواهیم کرد. هر یک از این نظریه</w:t>
      </w:r>
      <w:r w:rsidRPr="00A62AA2">
        <w:rPr>
          <w:rFonts w:hint="cs"/>
          <w:i/>
          <w:sz w:val="23"/>
          <w:szCs w:val="23"/>
          <w:rtl/>
        </w:rPr>
        <w:softHyphen/>
        <w:t>ها مبین مقررات و توافقات پولی بین</w:t>
      </w:r>
      <w:r w:rsidRPr="00A62AA2">
        <w:rPr>
          <w:rFonts w:hint="cs"/>
          <w:i/>
          <w:sz w:val="23"/>
          <w:szCs w:val="23"/>
          <w:rtl/>
        </w:rPr>
        <w:softHyphen/>
        <w:t>المللی مربوط به زمان خود است. هدف از ارائه</w:t>
      </w:r>
      <w:r w:rsidRPr="00A62AA2">
        <w:rPr>
          <w:rFonts w:hint="cs"/>
          <w:i/>
          <w:sz w:val="23"/>
          <w:szCs w:val="23"/>
          <w:rtl/>
        </w:rPr>
        <w:softHyphen/>
        <w:t>ی این نظریه</w:t>
      </w:r>
      <w:r w:rsidRPr="00A62AA2">
        <w:rPr>
          <w:rFonts w:hint="cs"/>
          <w:i/>
          <w:sz w:val="23"/>
          <w:szCs w:val="23"/>
          <w:rtl/>
        </w:rPr>
        <w:softHyphen/>
        <w:t>ها بررسی تاریخچه</w:t>
      </w:r>
      <w:r w:rsidRPr="00A62AA2">
        <w:rPr>
          <w:rFonts w:hint="cs"/>
          <w:i/>
          <w:sz w:val="23"/>
          <w:szCs w:val="23"/>
          <w:rtl/>
        </w:rPr>
        <w:softHyphen/>
        <w:t>ی مدل</w:t>
      </w:r>
      <w:r w:rsidRPr="00A62AA2">
        <w:rPr>
          <w:rFonts w:hint="cs"/>
          <w:i/>
          <w:sz w:val="23"/>
          <w:szCs w:val="23"/>
          <w:rtl/>
        </w:rPr>
        <w:softHyphen/>
        <w:t>های نرخ ارز نیست، بلکه هدف اصلی کمک به درک و فهم جایگاه نظریه</w:t>
      </w:r>
      <w:r w:rsidRPr="00A62AA2">
        <w:rPr>
          <w:rFonts w:hint="cs"/>
          <w:i/>
          <w:sz w:val="23"/>
          <w:szCs w:val="23"/>
          <w:rtl/>
        </w:rPr>
        <w:softHyphen/>
        <w:t>های مدرن و تأکید بر صورت</w:t>
      </w:r>
      <w:r w:rsidRPr="00A62AA2">
        <w:rPr>
          <w:rFonts w:hint="cs"/>
          <w:i/>
          <w:sz w:val="23"/>
          <w:szCs w:val="23"/>
          <w:rtl/>
        </w:rPr>
        <w:softHyphen/>
        <w:t>های گونانون اقتصاد نسبت به نظریه</w:t>
      </w:r>
      <w:r w:rsidRPr="00A62AA2">
        <w:rPr>
          <w:rFonts w:hint="cs"/>
          <w:i/>
          <w:sz w:val="23"/>
          <w:szCs w:val="23"/>
          <w:rtl/>
        </w:rPr>
        <w:softHyphen/>
        <w:t>های مقدم بر آن</w:t>
      </w:r>
      <w:r w:rsidRPr="00A62AA2">
        <w:rPr>
          <w:rFonts w:hint="cs"/>
          <w:i/>
          <w:sz w:val="23"/>
          <w:szCs w:val="23"/>
          <w:rtl/>
        </w:rPr>
        <w:softHyphen/>
        <w:t>هاست.</w:t>
      </w:r>
    </w:p>
    <w:p w14:paraId="4A5D17F9" w14:textId="77777777" w:rsidR="00556C10" w:rsidRPr="00A62AA2" w:rsidRDefault="00556C10" w:rsidP="00556C10">
      <w:pPr>
        <w:spacing w:line="216" w:lineRule="auto"/>
        <w:rPr>
          <w:i/>
          <w:sz w:val="23"/>
          <w:szCs w:val="23"/>
          <w:rtl/>
        </w:rPr>
      </w:pPr>
      <w:r w:rsidRPr="00A62AA2">
        <w:rPr>
          <w:rFonts w:hint="cs"/>
          <w:i/>
          <w:sz w:val="23"/>
          <w:szCs w:val="23"/>
          <w:rtl/>
        </w:rPr>
        <w:t>در تعادل عمومی‌ تعیین هر متغیر درون‌زا نیازمند توجه به کل اقتصاد کلان است. با این حال ترازپرداخت‌ها، و چگونگی تصریح آن مهم</w:t>
      </w:r>
      <w:r w:rsidRPr="00A62AA2">
        <w:rPr>
          <w:rFonts w:hint="cs"/>
          <w:i/>
          <w:sz w:val="23"/>
          <w:szCs w:val="23"/>
          <w:rtl/>
        </w:rPr>
        <w:softHyphen/>
        <w:t>ترین مسئله در خصوص تعیین نرخ ارز اسمی‌ است. بطورکلی اختلاف مدل</w:t>
      </w:r>
      <w:r w:rsidRPr="00A62AA2">
        <w:rPr>
          <w:rFonts w:hint="cs"/>
          <w:i/>
          <w:sz w:val="23"/>
          <w:szCs w:val="23"/>
          <w:rtl/>
        </w:rPr>
        <w:softHyphen/>
        <w:t>های نرخ ارز به کارکردهای آن</w:t>
      </w:r>
      <w:r w:rsidRPr="00A62AA2">
        <w:rPr>
          <w:rFonts w:hint="cs"/>
          <w:i/>
          <w:sz w:val="23"/>
          <w:szCs w:val="23"/>
          <w:rtl/>
        </w:rPr>
        <w:softHyphen/>
        <w:t xml:space="preserve"> در ترازپرداخت</w:t>
      </w:r>
      <w:r w:rsidRPr="00A62AA2">
        <w:rPr>
          <w:rFonts w:hint="cs"/>
          <w:i/>
          <w:sz w:val="23"/>
          <w:szCs w:val="23"/>
          <w:rtl/>
        </w:rPr>
        <w:softHyphen/>
        <w:t>ها، و این</w:t>
      </w:r>
      <w:r w:rsidRPr="00A62AA2">
        <w:rPr>
          <w:rFonts w:hint="cs"/>
          <w:i/>
          <w:sz w:val="23"/>
          <w:szCs w:val="23"/>
          <w:rtl/>
        </w:rPr>
        <w:softHyphen/>
        <w:t>که ارز دارایی است یا قیمت نسبی کالاها و خدمات، وابسته، است. فروض اصلی عبارت است از آن</w:t>
      </w:r>
      <w:r w:rsidRPr="00A62AA2">
        <w:rPr>
          <w:rFonts w:hint="cs"/>
          <w:i/>
          <w:sz w:val="23"/>
          <w:szCs w:val="23"/>
          <w:rtl/>
        </w:rPr>
        <w:softHyphen/>
        <w:t>که آیا نرخ ارز به وسیله حساب جاری تعیین می‌شود یا حساب سرمایه؛ این</w:t>
      </w:r>
      <w:r w:rsidRPr="00A62AA2">
        <w:rPr>
          <w:rFonts w:hint="cs"/>
          <w:i/>
          <w:sz w:val="23"/>
          <w:szCs w:val="23"/>
          <w:rtl/>
        </w:rPr>
        <w:softHyphen/>
        <w:t>که آیا کنترل سرمایه وجود دارد یا خیر؛ و این</w:t>
      </w:r>
      <w:r w:rsidRPr="00A62AA2">
        <w:rPr>
          <w:rFonts w:hint="cs"/>
          <w:i/>
          <w:sz w:val="23"/>
          <w:szCs w:val="23"/>
          <w:rtl/>
        </w:rPr>
        <w:softHyphen/>
        <w:t>که اوراق قرضه‌ی داخلی و خارجی جانشین کامل</w:t>
      </w:r>
      <w:r w:rsidRPr="00A62AA2">
        <w:rPr>
          <w:rFonts w:hint="cs"/>
          <w:i/>
          <w:sz w:val="23"/>
          <w:szCs w:val="23"/>
          <w:rtl/>
        </w:rPr>
        <w:softHyphen/>
        <w:t>اند یا خیر؛ و همچنین این فرض که درجه شناور بودن تولید و قیمت چیست؟</w:t>
      </w:r>
    </w:p>
    <w:p w14:paraId="706D88E4" w14:textId="77777777" w:rsidR="00556C10" w:rsidRPr="00A62AA2" w:rsidRDefault="00556C10" w:rsidP="00556C10">
      <w:pPr>
        <w:spacing w:line="216" w:lineRule="auto"/>
        <w:rPr>
          <w:i/>
          <w:sz w:val="23"/>
          <w:szCs w:val="23"/>
          <w:rtl/>
        </w:rPr>
      </w:pPr>
      <w:r w:rsidRPr="00A62AA2">
        <w:rPr>
          <w:rFonts w:hint="cs"/>
          <w:i/>
          <w:sz w:val="23"/>
          <w:szCs w:val="23"/>
          <w:rtl/>
        </w:rPr>
        <w:t>بخاطر حجم بسیار زیاد جریان سرمایه</w:t>
      </w:r>
      <w:r w:rsidRPr="00A62AA2">
        <w:rPr>
          <w:rFonts w:hint="cs"/>
          <w:i/>
          <w:sz w:val="23"/>
          <w:szCs w:val="23"/>
          <w:rtl/>
        </w:rPr>
        <w:softHyphen/>
        <w:t xml:space="preserve"> در اقتصاد بین</w:t>
      </w:r>
      <w:r w:rsidRPr="00A62AA2">
        <w:rPr>
          <w:rFonts w:hint="cs"/>
          <w:i/>
          <w:sz w:val="23"/>
          <w:szCs w:val="23"/>
          <w:rtl/>
        </w:rPr>
        <w:softHyphen/>
        <w:t>الملل، در نظریه مدرن نرخ ارز شناور، ارز قیمت دارایی است و فرض می‌شود نرخ ارز نسبت به اطلاعات جدید فوراً واکنش نشان می‌دهد. در مدل‌های اقتصاد کلان، این فرض مشکلات جدی را بوجود می‌آورد. زیرا، تکرار مشاهدات سالانه، فصلی، و گاهی اوقات ماهانه</w:t>
      </w:r>
      <w:r w:rsidRPr="00A62AA2">
        <w:rPr>
          <w:rFonts w:hint="cs"/>
          <w:i/>
          <w:sz w:val="23"/>
          <w:szCs w:val="23"/>
          <w:rtl/>
        </w:rPr>
        <w:softHyphen/>
        <w:t xml:space="preserve"> و هفتگی داده</w:t>
      </w:r>
      <w:r w:rsidRPr="00A62AA2">
        <w:rPr>
          <w:rFonts w:hint="cs"/>
          <w:i/>
          <w:sz w:val="23"/>
          <w:szCs w:val="23"/>
          <w:rtl/>
        </w:rPr>
        <w:softHyphen/>
        <w:t>های متغیرهای اقتصاد کلان، به مراتب کمتر از داده</w:t>
      </w:r>
      <w:r w:rsidRPr="00A62AA2">
        <w:rPr>
          <w:rFonts w:hint="cs"/>
          <w:i/>
          <w:sz w:val="23"/>
          <w:szCs w:val="23"/>
          <w:rtl/>
        </w:rPr>
        <w:softHyphen/>
        <w:t>های نرخ ارز است و نرخ ارز تقریباً بطور پیوسته در دسترس می</w:t>
      </w:r>
      <w:r w:rsidRPr="00A62AA2">
        <w:rPr>
          <w:rFonts w:hint="cs"/>
          <w:i/>
          <w:sz w:val="23"/>
          <w:szCs w:val="23"/>
          <w:rtl/>
        </w:rPr>
        <w:softHyphen/>
        <w:t>باشند. در نتیجه اقتصاد کلان تنها به شوک</w:t>
      </w:r>
      <w:r w:rsidRPr="00A62AA2">
        <w:rPr>
          <w:rFonts w:hint="cs"/>
          <w:i/>
          <w:sz w:val="23"/>
          <w:szCs w:val="23"/>
          <w:rtl/>
        </w:rPr>
        <w:softHyphen/>
        <w:t>های بلند‌مدت نرخ ارز پاسخ می</w:t>
      </w:r>
      <w:r w:rsidRPr="00A62AA2">
        <w:rPr>
          <w:rFonts w:hint="cs"/>
          <w:i/>
          <w:sz w:val="23"/>
          <w:szCs w:val="23"/>
          <w:rtl/>
        </w:rPr>
        <w:softHyphen/>
        <w:t>دهد که ممکن است با پاسخ</w:t>
      </w:r>
      <w:r w:rsidRPr="00A62AA2">
        <w:rPr>
          <w:rFonts w:hint="cs"/>
          <w:i/>
          <w:sz w:val="23"/>
          <w:szCs w:val="23"/>
          <w:rtl/>
        </w:rPr>
        <w:softHyphen/>
        <w:t>های کوتاه‌مدت کاملاً متفاوت باشد.</w:t>
      </w:r>
    </w:p>
    <w:p w14:paraId="35298013" w14:textId="77777777" w:rsidR="00556C10" w:rsidRPr="00A62AA2" w:rsidRDefault="00556C10" w:rsidP="00556C10">
      <w:pPr>
        <w:spacing w:line="216" w:lineRule="auto"/>
        <w:rPr>
          <w:i/>
          <w:sz w:val="23"/>
          <w:szCs w:val="23"/>
          <w:rtl/>
        </w:rPr>
      </w:pPr>
      <w:r w:rsidRPr="00A62AA2">
        <w:rPr>
          <w:rFonts w:hint="cs"/>
          <w:i/>
          <w:sz w:val="23"/>
          <w:szCs w:val="23"/>
          <w:rtl/>
        </w:rPr>
        <w:t>مشکل دیگر آن</w:t>
      </w:r>
      <w:r w:rsidRPr="00A62AA2">
        <w:rPr>
          <w:rFonts w:hint="cs"/>
          <w:i/>
          <w:sz w:val="23"/>
          <w:szCs w:val="23"/>
          <w:rtl/>
        </w:rPr>
        <w:softHyphen/>
        <w:t>که اگر نرخ ارز را به عنوان قیمت دارایی تلقی کنیم، آنگاه، به سمت نرخ ارز دوجانبه سوق خواهیم یافت. درحالی</w:t>
      </w:r>
      <w:r w:rsidRPr="00A62AA2">
        <w:rPr>
          <w:rFonts w:hint="cs"/>
          <w:i/>
          <w:sz w:val="23"/>
          <w:szCs w:val="23"/>
          <w:rtl/>
        </w:rPr>
        <w:softHyphen/>
        <w:t>که وقتی رابطه</w:t>
      </w:r>
      <w:r w:rsidRPr="00A62AA2">
        <w:rPr>
          <w:rFonts w:hint="cs"/>
          <w:i/>
          <w:sz w:val="23"/>
          <w:szCs w:val="23"/>
          <w:rtl/>
        </w:rPr>
        <w:softHyphen/>
        <w:t xml:space="preserve">ی مبادله و نرخ ارز را بررسی می‌کنیم، باید به نرخ ارز مؤثر </w:t>
      </w:r>
    </w:p>
    <w:p w14:paraId="14232C73" w14:textId="77777777" w:rsidR="00556C10" w:rsidRPr="00A62AA2" w:rsidRDefault="00556C10" w:rsidP="00556C10">
      <w:pPr>
        <w:spacing w:line="216" w:lineRule="auto"/>
        <w:rPr>
          <w:i/>
          <w:sz w:val="23"/>
          <w:szCs w:val="23"/>
          <w:rtl/>
        </w:rPr>
      </w:pPr>
      <w:r w:rsidRPr="00A62AA2">
        <w:rPr>
          <w:rFonts w:hint="cs"/>
          <w:i/>
          <w:sz w:val="23"/>
          <w:szCs w:val="23"/>
          <w:rtl/>
        </w:rPr>
        <w:t>که میانگین وزنی نرخ دوجانبه است توجه کرد.</w:t>
      </w:r>
    </w:p>
    <w:p w14:paraId="246CFF90" w14:textId="77777777" w:rsidR="00556C10" w:rsidRPr="00A62AA2" w:rsidRDefault="00556C10" w:rsidP="00556C10">
      <w:pPr>
        <w:spacing w:line="216" w:lineRule="auto"/>
        <w:rPr>
          <w:i/>
          <w:sz w:val="23"/>
          <w:szCs w:val="23"/>
          <w:rtl/>
        </w:rPr>
      </w:pPr>
      <w:r w:rsidRPr="00A62AA2">
        <w:rPr>
          <w:rFonts w:hint="cs"/>
          <w:i/>
          <w:sz w:val="23"/>
          <w:szCs w:val="23"/>
          <w:rtl/>
        </w:rPr>
        <w:lastRenderedPageBreak/>
        <w:t>مدل</w:t>
      </w:r>
      <w:r w:rsidRPr="00A62AA2">
        <w:rPr>
          <w:rFonts w:hint="cs"/>
          <w:i/>
          <w:sz w:val="23"/>
          <w:szCs w:val="23"/>
          <w:rtl/>
        </w:rPr>
        <w:softHyphen/>
        <w:t>های مبتنی بر نرخ ارز ثابت معمولاً از چارچوب مدل</w:t>
      </w:r>
      <w:r w:rsidRPr="00A62AA2">
        <w:rPr>
          <w:rFonts w:hint="cs"/>
          <w:i/>
          <w:sz w:val="23"/>
          <w:szCs w:val="23"/>
          <w:rtl/>
        </w:rPr>
        <w:softHyphen/>
        <w:t>های</w:t>
      </w:r>
      <w:r w:rsidRPr="00A62AA2">
        <w:rPr>
          <w:position w:val="-6"/>
        </w:rPr>
        <w:object w:dxaOrig="1400" w:dyaOrig="260" w14:anchorId="09056631">
          <v:shape id="_x0000_i5871" type="#_x0000_t75" style="width:70.2pt;height:12.7pt" o:ole="">
            <v:imagedata r:id="rId9766" o:title=""/>
          </v:shape>
          <o:OLEObject Type="Embed" ProgID="Equation.DSMT4" ShapeID="_x0000_i5871" DrawAspect="Content" ObjectID="_1791379815" r:id="rId9767"/>
        </w:object>
      </w:r>
      <w:r w:rsidRPr="00A62AA2">
        <w:rPr>
          <w:rFonts w:hint="cs"/>
          <w:i/>
          <w:sz w:val="23"/>
          <w:szCs w:val="23"/>
          <w:rtl/>
        </w:rPr>
        <w:t xml:space="preserve"> کینزین</w:t>
      </w:r>
      <w:r w:rsidRPr="00A62AA2">
        <w:rPr>
          <w:rFonts w:hint="cs"/>
          <w:i/>
          <w:sz w:val="23"/>
          <w:szCs w:val="23"/>
          <w:rtl/>
        </w:rPr>
        <w:softHyphen/>
        <w:t>ها استفاده می‌کنند. در این</w:t>
      </w:r>
      <w:r w:rsidRPr="00A62AA2">
        <w:rPr>
          <w:rFonts w:hint="cs"/>
          <w:i/>
          <w:sz w:val="23"/>
          <w:szCs w:val="23"/>
          <w:rtl/>
        </w:rPr>
        <w:softHyphen/>
        <w:t>جا نسخه</w:t>
      </w:r>
      <w:r w:rsidRPr="00A62AA2">
        <w:rPr>
          <w:rFonts w:hint="cs"/>
          <w:i/>
          <w:sz w:val="23"/>
          <w:szCs w:val="23"/>
          <w:rtl/>
        </w:rPr>
        <w:softHyphen/>
        <w:t>ی خاصی از رویکرد پولی ترازپرداخت</w:t>
      </w:r>
      <w:r w:rsidRPr="00A62AA2">
        <w:rPr>
          <w:rFonts w:hint="cs"/>
          <w:i/>
          <w:sz w:val="23"/>
          <w:szCs w:val="23"/>
          <w:rtl/>
        </w:rPr>
        <w:softHyphen/>
        <w:t>ها را مورد استفاده قرار می</w:t>
      </w:r>
      <w:r w:rsidRPr="00A62AA2">
        <w:rPr>
          <w:rFonts w:hint="cs"/>
          <w:i/>
          <w:sz w:val="23"/>
          <w:szCs w:val="23"/>
          <w:rtl/>
        </w:rPr>
        <w:softHyphen/>
        <w:t>دهیم. مدل نرخ ارز شناور مبتنی بر برابری نرخ بهره</w:t>
      </w:r>
      <w:r w:rsidRPr="00A62AA2">
        <w:rPr>
          <w:rFonts w:hint="cs"/>
          <w:i/>
          <w:sz w:val="23"/>
          <w:szCs w:val="23"/>
          <w:rtl/>
        </w:rPr>
        <w:softHyphen/>
        <w:t>ی بدون پوشش بدلیل حذف کنترل سرمایه است، ولی با توجه به فروض شناور بودن قیمت‌ها و تولید متفاوت می</w:t>
      </w:r>
      <w:r w:rsidRPr="00A62AA2">
        <w:rPr>
          <w:rFonts w:hint="cs"/>
          <w:i/>
          <w:sz w:val="23"/>
          <w:szCs w:val="23"/>
          <w:rtl/>
        </w:rPr>
        <w:softHyphen/>
        <w:t>باشند. در این فصل مدل</w:t>
      </w:r>
      <w:r w:rsidRPr="00A62AA2">
        <w:rPr>
          <w:rFonts w:hint="cs"/>
          <w:i/>
          <w:sz w:val="23"/>
          <w:szCs w:val="23"/>
          <w:rtl/>
        </w:rPr>
        <w:softHyphen/>
        <w:t>های</w:t>
      </w:r>
      <w:r w:rsidRPr="00A62AA2">
        <w:rPr>
          <w:position w:val="-6"/>
        </w:rPr>
        <w:object w:dxaOrig="1400" w:dyaOrig="260" w14:anchorId="2F2E1FDF">
          <v:shape id="_x0000_i5872" type="#_x0000_t75" style="width:70.2pt;height:12.7pt" o:ole="">
            <v:imagedata r:id="rId9768" o:title=""/>
          </v:shape>
          <o:OLEObject Type="Embed" ProgID="Equation.DSMT4" ShapeID="_x0000_i5872" DrawAspect="Content" ObjectID="_1791379816" r:id="rId9769"/>
        </w:object>
      </w:r>
      <w:r w:rsidRPr="00A62AA2">
        <w:rPr>
          <w:rFonts w:hint="cs"/>
          <w:i/>
          <w:sz w:val="23"/>
          <w:szCs w:val="23"/>
          <w:rtl/>
        </w:rPr>
        <w:t xml:space="preserve"> مبتنی بر نرخ ارز شناور؛ استفاده از برابری نرخ بهره</w:t>
      </w:r>
      <w:r w:rsidRPr="00A62AA2">
        <w:rPr>
          <w:rFonts w:hint="cs"/>
          <w:i/>
          <w:sz w:val="23"/>
          <w:szCs w:val="23"/>
          <w:rtl/>
        </w:rPr>
        <w:softHyphen/>
        <w:t>ی بدون پوشش، مدل ماندل-فلمینگ، مدل پولی، مدل دورنبوش، و مدل پولی همراه با چسبندگی قیمت را بررسی خواهیم کرد. هیچ</w:t>
      </w:r>
      <w:r w:rsidRPr="00A62AA2">
        <w:rPr>
          <w:rFonts w:hint="cs"/>
          <w:i/>
          <w:sz w:val="23"/>
          <w:szCs w:val="23"/>
          <w:rtl/>
        </w:rPr>
        <w:softHyphen/>
        <w:t>یک از این مدل‌ها مبتنی بر مدل تعادل عمومی‌پویا نیست. لذا ضرورت بررسی این مدل‌ها بدین خاطر است تا بتوان مدل تعادل عمومی پویای نسبتاً پیچیده</w:t>
      </w:r>
      <w:r w:rsidRPr="00A62AA2">
        <w:rPr>
          <w:rFonts w:hint="cs"/>
          <w:i/>
          <w:sz w:val="23"/>
          <w:szCs w:val="23"/>
          <w:rtl/>
        </w:rPr>
        <w:softHyphen/>
        <w:t>ی آبسفلد-روگوف را نیز بررسی کنیم.</w:t>
      </w:r>
    </w:p>
    <w:p w14:paraId="0494EB3E" w14:textId="77777777" w:rsidR="00556C10" w:rsidRPr="00A62AA2" w:rsidRDefault="00556C10" w:rsidP="00556C10">
      <w:pPr>
        <w:spacing w:line="216" w:lineRule="auto"/>
        <w:rPr>
          <w:i/>
          <w:sz w:val="23"/>
          <w:szCs w:val="23"/>
          <w:rtl/>
        </w:rPr>
      </w:pPr>
    </w:p>
    <w:p w14:paraId="60115847" w14:textId="77777777" w:rsidR="00556C10" w:rsidRPr="00A62AA2" w:rsidRDefault="00556C10" w:rsidP="00556C10">
      <w:pPr>
        <w:pStyle w:val="Heading1"/>
        <w:spacing w:before="0" w:line="216" w:lineRule="auto"/>
        <w:rPr>
          <w:rFonts w:ascii="Times New Roman" w:hAnsi="Times New Roman" w:cs="B Nazanin"/>
          <w:b w:val="0"/>
          <w:i/>
          <w:sz w:val="23"/>
          <w:szCs w:val="23"/>
          <w:rtl/>
        </w:rPr>
      </w:pPr>
      <w:r w:rsidRPr="00A62AA2">
        <w:rPr>
          <w:rFonts w:ascii="Times New Roman" w:hAnsi="Times New Roman" w:cs="B Nazanin" w:hint="cs"/>
          <w:b w:val="0"/>
          <w:i/>
          <w:sz w:val="23"/>
          <w:szCs w:val="23"/>
          <w:rtl/>
        </w:rPr>
        <w:t>۱۳. ۲ مقررات پولی بین</w:t>
      </w:r>
      <w:r w:rsidRPr="00A62AA2">
        <w:rPr>
          <w:rFonts w:ascii="Times New Roman" w:hAnsi="Times New Roman" w:cs="B Nazanin" w:hint="cs"/>
          <w:b w:val="0"/>
          <w:i/>
          <w:sz w:val="23"/>
          <w:szCs w:val="23"/>
          <w:rtl/>
        </w:rPr>
        <w:softHyphen/>
        <w:t>الملی ۲۰۱۱-۱۸۷۳</w:t>
      </w:r>
    </w:p>
    <w:p w14:paraId="147482D3" w14:textId="77777777" w:rsidR="00556C10" w:rsidRPr="00A62AA2" w:rsidRDefault="00556C10" w:rsidP="00556C10">
      <w:pPr>
        <w:spacing w:line="216" w:lineRule="auto"/>
        <w:rPr>
          <w:i/>
          <w:sz w:val="23"/>
          <w:szCs w:val="23"/>
          <w:rtl/>
        </w:rPr>
      </w:pPr>
      <w:r w:rsidRPr="00A62AA2">
        <w:rPr>
          <w:rFonts w:hint="cs"/>
          <w:i/>
          <w:sz w:val="23"/>
          <w:szCs w:val="23"/>
          <w:rtl/>
        </w:rPr>
        <w:t>در این دوره، اغلب کشور</w:t>
      </w:r>
      <w:r w:rsidRPr="00A62AA2">
        <w:rPr>
          <w:rFonts w:hint="cs"/>
          <w:i/>
          <w:sz w:val="23"/>
          <w:szCs w:val="23"/>
          <w:rtl/>
        </w:rPr>
        <w:softHyphen/>
        <w:t>ها نظام‌های نرخ ارز مختلفی همچون نظام نرخ ارز ثابت نسبت به طلا، نظام نرخ ارز شناور نسبت به طلا، و نظام نرخ ارز شناور آزاد (شناور نسبت به طلا و یا ارزهای دیگر) را تجربه کرده</w:t>
      </w:r>
      <w:r w:rsidRPr="00A62AA2">
        <w:rPr>
          <w:rFonts w:hint="cs"/>
          <w:i/>
          <w:sz w:val="23"/>
          <w:szCs w:val="23"/>
          <w:rtl/>
        </w:rPr>
        <w:softHyphen/>
        <w:t>اند. تغییر نظام نرخ ارزی کشورها، به شرایط اقتصادی آن</w:t>
      </w:r>
      <w:r w:rsidRPr="00A62AA2">
        <w:rPr>
          <w:rFonts w:hint="cs"/>
          <w:i/>
          <w:sz w:val="23"/>
          <w:szCs w:val="23"/>
          <w:rtl/>
        </w:rPr>
        <w:softHyphen/>
        <w:t>ها، وقوع جنگ در آن کشورها و یا دیگر الزامات اقتصادی آن</w:t>
      </w:r>
      <w:r w:rsidRPr="00A62AA2">
        <w:rPr>
          <w:rFonts w:hint="cs"/>
          <w:i/>
          <w:sz w:val="23"/>
          <w:szCs w:val="23"/>
          <w:rtl/>
        </w:rPr>
        <w:softHyphen/>
        <w:t>ها وابسته بود. نظام نرخ ارز مطلوب باید به کشور این امکان را بدهد تا به رشد اقتصادی مناسب و تورم مورد نظر خود دسترسی پیدا کند، رقابت</w:t>
      </w:r>
      <w:r w:rsidRPr="00A62AA2">
        <w:rPr>
          <w:rFonts w:hint="cs"/>
          <w:i/>
          <w:sz w:val="23"/>
          <w:szCs w:val="23"/>
          <w:rtl/>
        </w:rPr>
        <w:softHyphen/>
        <w:t>پذیری را ممکن سازد، و با حساب جاری پایدار امکان قرض دادن و قرض گرفتن در بازار سرمایه</w:t>
      </w:r>
      <w:r w:rsidRPr="00A62AA2">
        <w:rPr>
          <w:rFonts w:hint="cs"/>
          <w:i/>
          <w:sz w:val="23"/>
          <w:szCs w:val="23"/>
          <w:rtl/>
        </w:rPr>
        <w:softHyphen/>
        <w:t>ی بین</w:t>
      </w:r>
      <w:r w:rsidRPr="00A62AA2">
        <w:rPr>
          <w:rFonts w:hint="cs"/>
          <w:i/>
          <w:sz w:val="23"/>
          <w:szCs w:val="23"/>
          <w:rtl/>
        </w:rPr>
        <w:softHyphen/>
        <w:t xml:space="preserve">المللی را فراهم کند. </w:t>
      </w:r>
    </w:p>
    <w:p w14:paraId="54CB82C3" w14:textId="77777777" w:rsidR="00556C10" w:rsidRPr="00A62AA2" w:rsidRDefault="00556C10" w:rsidP="00556C10">
      <w:pPr>
        <w:spacing w:line="216" w:lineRule="auto"/>
        <w:rPr>
          <w:i/>
          <w:sz w:val="23"/>
          <w:szCs w:val="23"/>
          <w:rtl/>
        </w:rPr>
      </w:pPr>
    </w:p>
    <w:p w14:paraId="1E644FD4" w14:textId="77777777" w:rsidR="00556C10" w:rsidRPr="00A62AA2" w:rsidRDefault="00556C10" w:rsidP="00556C10">
      <w:pPr>
        <w:spacing w:line="216" w:lineRule="auto"/>
        <w:rPr>
          <w:bCs/>
          <w:i/>
          <w:sz w:val="23"/>
          <w:szCs w:val="23"/>
          <w:rtl/>
        </w:rPr>
      </w:pPr>
      <w:r w:rsidRPr="00A62AA2">
        <w:rPr>
          <w:rFonts w:hint="cs"/>
          <w:bCs/>
          <w:i/>
          <w:sz w:val="23"/>
          <w:szCs w:val="23"/>
          <w:rtl/>
        </w:rPr>
        <w:t>نظام استاندارد طلا</w:t>
      </w:r>
      <w:r w:rsidRPr="00A62AA2">
        <w:rPr>
          <w:rStyle w:val="FootnoteReference"/>
          <w:bCs/>
          <w:i/>
          <w:sz w:val="23"/>
          <w:szCs w:val="23"/>
          <w:rtl/>
        </w:rPr>
        <w:footnoteReference w:id="310"/>
      </w:r>
      <w:r w:rsidRPr="00A62AA2">
        <w:rPr>
          <w:rFonts w:hint="cs"/>
          <w:bCs/>
          <w:i/>
          <w:sz w:val="23"/>
          <w:szCs w:val="23"/>
          <w:rtl/>
        </w:rPr>
        <w:t xml:space="preserve"> ۱۸۷۳-۱۹۳۷</w:t>
      </w:r>
    </w:p>
    <w:p w14:paraId="09573B74" w14:textId="77777777" w:rsidR="00556C10" w:rsidRPr="00A62AA2" w:rsidRDefault="00556C10" w:rsidP="00556C10">
      <w:pPr>
        <w:spacing w:line="216" w:lineRule="auto"/>
        <w:rPr>
          <w:i/>
          <w:sz w:val="23"/>
          <w:szCs w:val="23"/>
          <w:rtl/>
        </w:rPr>
      </w:pPr>
      <w:r w:rsidRPr="00A62AA2">
        <w:rPr>
          <w:rFonts w:hint="cs"/>
          <w:i/>
          <w:sz w:val="23"/>
          <w:szCs w:val="23"/>
          <w:rtl/>
        </w:rPr>
        <w:t>هر چند در کشور انگلستان نظام استاندارد طلا از سال ۱۷۱۷‌اعمال می</w:t>
      </w:r>
      <w:r w:rsidRPr="00A62AA2">
        <w:rPr>
          <w:rFonts w:hint="cs"/>
          <w:i/>
          <w:sz w:val="23"/>
          <w:szCs w:val="23"/>
          <w:rtl/>
        </w:rPr>
        <w:softHyphen/>
        <w:t>شد، ولی اکثر کشورها این نظام ارزی را عملاً از سال ۱۸۷۳‌پذیرفتند. قبل از ‌پذیرش نظام استاندارد طلا، کشورها برای مبادله</w:t>
      </w:r>
      <w:r w:rsidRPr="00A62AA2">
        <w:rPr>
          <w:rFonts w:hint="cs"/>
          <w:i/>
          <w:sz w:val="23"/>
          <w:szCs w:val="23"/>
          <w:rtl/>
        </w:rPr>
        <w:softHyphen/>
        <w:t>ی کالاها و خدمات از سیستم دو فلزی طلا و نقره استفاده می</w:t>
      </w:r>
      <w:r w:rsidRPr="00A62AA2">
        <w:rPr>
          <w:rFonts w:hint="cs"/>
          <w:i/>
          <w:sz w:val="23"/>
          <w:szCs w:val="23"/>
          <w:rtl/>
        </w:rPr>
        <w:softHyphen/>
        <w:t>کردند، و در برخی از کشورها همانند فرانسه، اطریش و پروس فقط از نقره استفاده می‌شد. افزایش شدید عرضه</w:t>
      </w:r>
      <w:r w:rsidRPr="00A62AA2">
        <w:rPr>
          <w:rFonts w:hint="cs"/>
          <w:i/>
          <w:sz w:val="23"/>
          <w:szCs w:val="23"/>
          <w:rtl/>
        </w:rPr>
        <w:softHyphen/>
        <w:t>ی طلا در کالیفرنیا و استرالیا در سال</w:t>
      </w:r>
      <w:r w:rsidRPr="00A62AA2">
        <w:rPr>
          <w:rFonts w:hint="cs"/>
          <w:i/>
          <w:sz w:val="23"/>
          <w:szCs w:val="23"/>
          <w:rtl/>
        </w:rPr>
        <w:softHyphen/>
        <w:t>های ۱۸۴۰، باعث شد تا طلا وسیله</w:t>
      </w:r>
      <w:r w:rsidRPr="00A62AA2">
        <w:rPr>
          <w:rFonts w:hint="cs"/>
          <w:i/>
          <w:sz w:val="23"/>
          <w:szCs w:val="23"/>
          <w:rtl/>
        </w:rPr>
        <w:softHyphen/>
        <w:t>ی پرداخت شود و در طی سال</w:t>
      </w:r>
      <w:r w:rsidRPr="00A62AA2">
        <w:rPr>
          <w:rFonts w:hint="cs"/>
          <w:i/>
          <w:sz w:val="23"/>
          <w:szCs w:val="23"/>
          <w:rtl/>
        </w:rPr>
        <w:softHyphen/>
        <w:t>های ۱۹۱۴- ۱۸۷۳ نظام استاندارد طلا تقریباً در همه</w:t>
      </w:r>
      <w:r w:rsidRPr="00A62AA2">
        <w:rPr>
          <w:rFonts w:hint="cs"/>
          <w:i/>
          <w:sz w:val="23"/>
          <w:szCs w:val="23"/>
          <w:rtl/>
        </w:rPr>
        <w:softHyphen/>
        <w:t>ی کشورهای دنیا مورد استفاده قرار گرفت. طی جنگ جهانی اول، انتقال طلا به وسیله</w:t>
      </w:r>
      <w:r w:rsidRPr="00A62AA2">
        <w:rPr>
          <w:i/>
          <w:sz w:val="23"/>
          <w:szCs w:val="23"/>
        </w:rPr>
        <w:softHyphen/>
      </w:r>
      <w:r w:rsidRPr="00A62AA2">
        <w:rPr>
          <w:rFonts w:hint="cs"/>
          <w:i/>
          <w:sz w:val="23"/>
          <w:szCs w:val="23"/>
          <w:rtl/>
        </w:rPr>
        <w:t>ی کشتی ممکن نبود ولی بعد از آن انتقال طلا به کشورها امکان</w:t>
      </w:r>
      <w:r w:rsidRPr="00A62AA2">
        <w:rPr>
          <w:rFonts w:hint="cs"/>
          <w:i/>
          <w:sz w:val="23"/>
          <w:szCs w:val="23"/>
          <w:rtl/>
        </w:rPr>
        <w:softHyphen/>
        <w:t>پذیر شد. در زمان جنگ جهانی دوم، مجدداً بدلیل عدم امکانات بالقوه</w:t>
      </w:r>
      <w:r w:rsidRPr="00A62AA2">
        <w:rPr>
          <w:rFonts w:hint="cs"/>
          <w:i/>
          <w:sz w:val="23"/>
          <w:szCs w:val="23"/>
          <w:rtl/>
        </w:rPr>
        <w:softHyphen/>
        <w:t>ی</w:t>
      </w:r>
      <w:r w:rsidRPr="00A62AA2">
        <w:rPr>
          <w:rFonts w:hint="cs"/>
          <w:i/>
          <w:sz w:val="23"/>
          <w:szCs w:val="23"/>
          <w:rtl/>
        </w:rPr>
        <w:softHyphen/>
        <w:t xml:space="preserve"> انتقال طلا در بسیاری از کشورها متروک و با نظام برتن وودز جایگزین شد.</w:t>
      </w:r>
    </w:p>
    <w:p w14:paraId="729096E5" w14:textId="77777777" w:rsidR="00556C10" w:rsidRPr="00A62AA2" w:rsidRDefault="00556C10" w:rsidP="00556C10">
      <w:pPr>
        <w:spacing w:line="216" w:lineRule="auto"/>
        <w:rPr>
          <w:i/>
          <w:sz w:val="23"/>
          <w:szCs w:val="23"/>
          <w:rtl/>
        </w:rPr>
      </w:pPr>
      <w:r w:rsidRPr="00A62AA2">
        <w:rPr>
          <w:rFonts w:hint="cs"/>
          <w:i/>
          <w:sz w:val="23"/>
          <w:szCs w:val="23"/>
          <w:rtl/>
        </w:rPr>
        <w:t>ایده</w:t>
      </w:r>
      <w:r w:rsidRPr="00A62AA2">
        <w:rPr>
          <w:rFonts w:hint="cs"/>
          <w:i/>
          <w:sz w:val="23"/>
          <w:szCs w:val="23"/>
          <w:rtl/>
        </w:rPr>
        <w:softHyphen/>
        <w:t>ی اصلی نظام استاندارد طلا یا</w:t>
      </w:r>
      <w:r w:rsidRPr="00A62AA2">
        <w:rPr>
          <w:position w:val="-6"/>
        </w:rPr>
        <w:object w:dxaOrig="520" w:dyaOrig="260" w14:anchorId="17897F16">
          <v:shape id="_x0000_i5873" type="#_x0000_t75" style="width:26pt;height:12.7pt" o:ole="">
            <v:imagedata r:id="rId9770" o:title=""/>
          </v:shape>
          <o:OLEObject Type="Embed" ProgID="Equation.DSMT4" ShapeID="_x0000_i5873" DrawAspect="Content" ObjectID="_1791379817" r:id="rId9771"/>
        </w:object>
      </w:r>
      <w:r w:rsidRPr="00A62AA2">
        <w:rPr>
          <w:i/>
          <w:sz w:val="23"/>
          <w:szCs w:val="23"/>
          <w:shd w:val="clear" w:color="auto" w:fill="FFFFFF"/>
        </w:rPr>
        <w:t xml:space="preserve"> </w:t>
      </w:r>
      <w:r w:rsidRPr="00A62AA2">
        <w:rPr>
          <w:rFonts w:hint="cs"/>
          <w:i/>
          <w:sz w:val="23"/>
          <w:szCs w:val="23"/>
          <w:rtl/>
        </w:rPr>
        <w:t>آن است که کشورها می‌توانند معاملات بین</w:t>
      </w:r>
      <w:r w:rsidRPr="00A62AA2">
        <w:rPr>
          <w:rFonts w:hint="cs"/>
          <w:i/>
          <w:sz w:val="23"/>
          <w:szCs w:val="23"/>
          <w:rtl/>
        </w:rPr>
        <w:softHyphen/>
        <w:t>المللی خود را به وسیله</w:t>
      </w:r>
      <w:r w:rsidRPr="00A62AA2">
        <w:rPr>
          <w:rFonts w:hint="cs"/>
          <w:i/>
          <w:sz w:val="23"/>
          <w:szCs w:val="23"/>
          <w:rtl/>
        </w:rPr>
        <w:softHyphen/>
        <w:t>ی طلا یا نقره تسویه کنند. پول ملی با طلا و با قیمتی ثابت قابل مبادله بوده، و لذا پول‌ها با نسبت ثابتی به یکدیگر تبدیل می</w:t>
      </w:r>
      <w:r w:rsidRPr="00A62AA2">
        <w:rPr>
          <w:rFonts w:hint="cs"/>
          <w:i/>
          <w:sz w:val="23"/>
          <w:szCs w:val="23"/>
          <w:rtl/>
        </w:rPr>
        <w:softHyphen/>
        <w:t>شدند. تعدیلات این نسبت</w:t>
      </w:r>
      <w:r w:rsidRPr="00A62AA2">
        <w:rPr>
          <w:rFonts w:hint="cs"/>
          <w:i/>
          <w:sz w:val="23"/>
          <w:szCs w:val="23"/>
          <w:rtl/>
        </w:rPr>
        <w:softHyphen/>
        <w:t>ها نیز بواسطه</w:t>
      </w:r>
      <w:r w:rsidRPr="00A62AA2">
        <w:rPr>
          <w:rFonts w:hint="cs"/>
          <w:i/>
          <w:sz w:val="23"/>
          <w:szCs w:val="23"/>
          <w:rtl/>
        </w:rPr>
        <w:softHyphen/>
        <w:t>ی انتقال و جریان طلا در بین کشورها صورت می‌گرفت. یک کشور با کسری تراز‍پردااخت</w:t>
      </w:r>
      <w:r w:rsidRPr="00A62AA2">
        <w:rPr>
          <w:rFonts w:hint="cs"/>
          <w:i/>
          <w:sz w:val="23"/>
          <w:szCs w:val="23"/>
          <w:rtl/>
        </w:rPr>
        <w:softHyphen/>
        <w:t>ها نسبت به کشور دیگر، می</w:t>
      </w:r>
      <w:r w:rsidRPr="00A62AA2">
        <w:rPr>
          <w:rFonts w:hint="cs"/>
          <w:i/>
          <w:sz w:val="23"/>
          <w:szCs w:val="23"/>
          <w:rtl/>
        </w:rPr>
        <w:softHyphen/>
        <w:t xml:space="preserve">بایست </w:t>
      </w:r>
      <w:r w:rsidRPr="00A62AA2">
        <w:rPr>
          <w:rFonts w:hint="cs"/>
          <w:i/>
          <w:sz w:val="23"/>
          <w:szCs w:val="23"/>
          <w:rtl/>
        </w:rPr>
        <w:lastRenderedPageBreak/>
        <w:t>ذخائر طلای خود را به آن کشور ارسال می</w:t>
      </w:r>
      <w:r w:rsidRPr="00A62AA2">
        <w:rPr>
          <w:rFonts w:hint="cs"/>
          <w:i/>
          <w:sz w:val="23"/>
          <w:szCs w:val="23"/>
          <w:rtl/>
        </w:rPr>
        <w:softHyphen/>
        <w:t>کرد. از آنجا که مقدار عرضه</w:t>
      </w:r>
      <w:r w:rsidRPr="00A62AA2">
        <w:rPr>
          <w:rFonts w:hint="cs"/>
          <w:i/>
          <w:sz w:val="23"/>
          <w:szCs w:val="23"/>
          <w:rtl/>
        </w:rPr>
        <w:softHyphen/>
        <w:t>ی پول داخلی با ذخائر طلا محدود شده بود، لذا کشورِ با کسری تجاری، دچار کاهش عرضه پول می‌شد. به تبع آن نرخ بهره</w:t>
      </w:r>
      <w:r w:rsidRPr="00A62AA2">
        <w:rPr>
          <w:rFonts w:hint="cs"/>
          <w:i/>
          <w:sz w:val="23"/>
          <w:szCs w:val="23"/>
          <w:rtl/>
        </w:rPr>
        <w:softHyphen/>
        <w:t>ی آن کشور افزایش، فعالیت‌های اقتصادی کاهش و متعاقباً سطح قیمت</w:t>
      </w:r>
      <w:r w:rsidRPr="00A62AA2">
        <w:rPr>
          <w:rFonts w:hint="cs"/>
          <w:i/>
          <w:sz w:val="23"/>
          <w:szCs w:val="23"/>
          <w:rtl/>
        </w:rPr>
        <w:softHyphen/>
        <w:t>های داخلی نیز کاهش می‌یافت. با کاهش سطح عمومی قیمت</w:t>
      </w:r>
      <w:r w:rsidRPr="00A62AA2">
        <w:rPr>
          <w:rFonts w:hint="cs"/>
          <w:i/>
          <w:sz w:val="23"/>
          <w:szCs w:val="23"/>
          <w:rtl/>
        </w:rPr>
        <w:softHyphen/>
        <w:t>ها و به تبع آن افزایش تقاضا برای کالاهای داخلی، تراز تجاری کشور افزایش، جریان سرمایه به داخل کشور افزایش و لذا کسری ترازپرداخت</w:t>
      </w:r>
      <w:r w:rsidRPr="00A62AA2">
        <w:rPr>
          <w:rFonts w:hint="cs"/>
          <w:i/>
          <w:sz w:val="23"/>
          <w:szCs w:val="23"/>
          <w:rtl/>
        </w:rPr>
        <w:softHyphen/>
        <w:t>ها جبران می</w:t>
      </w:r>
      <w:r w:rsidRPr="00A62AA2">
        <w:rPr>
          <w:rFonts w:hint="cs"/>
          <w:i/>
          <w:sz w:val="23"/>
          <w:szCs w:val="23"/>
          <w:rtl/>
        </w:rPr>
        <w:softHyphen/>
        <w:t>شد.</w:t>
      </w:r>
    </w:p>
    <w:p w14:paraId="2FF9D384" w14:textId="77777777" w:rsidR="00556C10" w:rsidRPr="00A62AA2" w:rsidRDefault="00556C10" w:rsidP="00556C10">
      <w:pPr>
        <w:spacing w:line="216" w:lineRule="auto"/>
        <w:rPr>
          <w:i/>
          <w:sz w:val="23"/>
          <w:szCs w:val="23"/>
          <w:rtl/>
        </w:rPr>
      </w:pPr>
      <w:r w:rsidRPr="00A62AA2">
        <w:rPr>
          <w:rFonts w:hint="cs"/>
          <w:i/>
          <w:sz w:val="23"/>
          <w:szCs w:val="23"/>
          <w:rtl/>
        </w:rPr>
        <w:t>نظام استاندارد طلا برای برخی از کشورها و در دوره</w:t>
      </w:r>
      <w:r w:rsidRPr="00A62AA2">
        <w:rPr>
          <w:rFonts w:hint="cs"/>
          <w:i/>
          <w:sz w:val="23"/>
          <w:szCs w:val="23"/>
          <w:rtl/>
        </w:rPr>
        <w:softHyphen/>
        <w:t>ی زمانی نسبتاً طولانی بسیار مطلوب بود. به</w:t>
      </w:r>
      <w:r w:rsidRPr="00A62AA2">
        <w:rPr>
          <w:rFonts w:hint="cs"/>
          <w:i/>
          <w:sz w:val="23"/>
          <w:szCs w:val="23"/>
          <w:rtl/>
        </w:rPr>
        <w:softHyphen/>
        <w:t>عنوان مثال، در کشور انگلستان که رهبری اقتصاد جهان در نیمه</w:t>
      </w:r>
      <w:r w:rsidRPr="00A62AA2">
        <w:rPr>
          <w:rFonts w:hint="cs"/>
          <w:i/>
          <w:sz w:val="23"/>
          <w:szCs w:val="23"/>
          <w:rtl/>
        </w:rPr>
        <w:softHyphen/>
        <w:t>ی دوم قرن نوزدهم را بر عهده داشت، در طی یکصد سال فعالیت</w:t>
      </w:r>
      <w:r w:rsidRPr="00A62AA2">
        <w:rPr>
          <w:rFonts w:hint="cs"/>
          <w:i/>
          <w:sz w:val="23"/>
          <w:szCs w:val="23"/>
          <w:rtl/>
        </w:rPr>
        <w:softHyphen/>
        <w:t>های اقتصادی فقط چهار سال کسری حساب جاری وجود داشت. بااین</w:t>
      </w:r>
      <w:r w:rsidRPr="00A62AA2">
        <w:rPr>
          <w:rFonts w:hint="cs"/>
          <w:i/>
          <w:sz w:val="23"/>
          <w:szCs w:val="23"/>
          <w:rtl/>
        </w:rPr>
        <w:softHyphen/>
        <w:t xml:space="preserve">حال دو مسئله و مشکل اساسی برای این سیستم بوجود آمد. </w:t>
      </w:r>
      <w:r w:rsidRPr="00A62AA2">
        <w:rPr>
          <w:rFonts w:hint="cs"/>
          <w:bCs/>
          <w:i/>
          <w:sz w:val="23"/>
          <w:szCs w:val="23"/>
          <w:rtl/>
        </w:rPr>
        <w:t>اول</w:t>
      </w:r>
      <w:r w:rsidRPr="00A62AA2">
        <w:rPr>
          <w:rFonts w:hint="cs"/>
          <w:i/>
          <w:sz w:val="23"/>
          <w:szCs w:val="23"/>
          <w:rtl/>
        </w:rPr>
        <w:t xml:space="preserve"> آن</w:t>
      </w:r>
      <w:r w:rsidRPr="00A62AA2">
        <w:rPr>
          <w:rFonts w:hint="cs"/>
          <w:i/>
          <w:sz w:val="23"/>
          <w:szCs w:val="23"/>
          <w:rtl/>
        </w:rPr>
        <w:softHyphen/>
        <w:t>که با افزایش فعالیت‌های اقتصادی بین</w:t>
      </w:r>
      <w:r w:rsidRPr="00A62AA2">
        <w:rPr>
          <w:rFonts w:hint="cs"/>
          <w:i/>
          <w:sz w:val="23"/>
          <w:szCs w:val="23"/>
          <w:rtl/>
        </w:rPr>
        <w:softHyphen/>
        <w:t>الملل، تقاضا برای طلا افزایش یافت. محدودیت معادن طلا و به تبع آن عدم امکان عرضه</w:t>
      </w:r>
      <w:r w:rsidRPr="00A62AA2">
        <w:rPr>
          <w:rFonts w:hint="cs"/>
          <w:i/>
          <w:sz w:val="23"/>
          <w:szCs w:val="23"/>
          <w:rtl/>
        </w:rPr>
        <w:softHyphen/>
        <w:t>ی طلا به تناسب تقاضا، طلا کمیاب و قیمت آن نسبت به تمامی پول‌ها افزایش یافت. این افزایش قیمت برای برخی از کشورها سودمند و برای برخی دیگر مضر بود و باعث شد تا تجارت بین</w:t>
      </w:r>
      <w:r w:rsidRPr="00A62AA2">
        <w:rPr>
          <w:rFonts w:hint="cs"/>
          <w:i/>
          <w:sz w:val="23"/>
          <w:szCs w:val="23"/>
          <w:rtl/>
        </w:rPr>
        <w:softHyphen/>
        <w:t>الملل مختل شود. همچنین افزایش قیمت طلا باعث افزایش عرضه</w:t>
      </w:r>
      <w:r w:rsidRPr="00A62AA2">
        <w:rPr>
          <w:rFonts w:hint="cs"/>
          <w:i/>
          <w:sz w:val="23"/>
          <w:szCs w:val="23"/>
          <w:rtl/>
        </w:rPr>
        <w:softHyphen/>
        <w:t>ی پولی ملی و به تبع آن افزایش قیمت</w:t>
      </w:r>
      <w:r w:rsidRPr="00A62AA2">
        <w:rPr>
          <w:rFonts w:hint="cs"/>
          <w:i/>
          <w:sz w:val="23"/>
          <w:szCs w:val="23"/>
          <w:rtl/>
        </w:rPr>
        <w:softHyphen/>
        <w:t>ها و تورم شد. مضاف بر آن، برخی از کشورها طلا را احتکار کرده و با دنبال کردن سیاست عدم ارسال طلا به دیگر کشورها، فقر کشورهای همسایه را تسریع کردند. کشورهایی که با کمبود ذخائر طلا مواجه بودند، بجای این</w:t>
      </w:r>
      <w:r w:rsidRPr="00A62AA2">
        <w:rPr>
          <w:i/>
          <w:sz w:val="23"/>
          <w:szCs w:val="23"/>
          <w:rtl/>
        </w:rPr>
        <w:softHyphen/>
      </w:r>
      <w:r w:rsidRPr="00A62AA2">
        <w:rPr>
          <w:rFonts w:hint="cs"/>
          <w:i/>
          <w:sz w:val="23"/>
          <w:szCs w:val="23"/>
          <w:rtl/>
        </w:rPr>
        <w:t>که طلا را با نرخ بهره</w:t>
      </w:r>
      <w:r w:rsidRPr="00A62AA2">
        <w:rPr>
          <w:i/>
          <w:sz w:val="23"/>
          <w:szCs w:val="23"/>
          <w:rtl/>
        </w:rPr>
        <w:softHyphen/>
      </w:r>
      <w:r w:rsidRPr="00A62AA2">
        <w:rPr>
          <w:rFonts w:hint="cs"/>
          <w:i/>
          <w:sz w:val="23"/>
          <w:szCs w:val="23"/>
          <w:rtl/>
        </w:rPr>
        <w:t>ی بالاتر قرض کنند و بدهی خود را بپردازند، پرداخت بدهی را به تعویق می‌انداختند، و لذا تجارت کالاها و خدمات</w:t>
      </w:r>
      <w:r w:rsidRPr="00A62AA2">
        <w:rPr>
          <w:rFonts w:hint="cs"/>
          <w:bCs/>
          <w:i/>
          <w:sz w:val="23"/>
          <w:szCs w:val="23"/>
          <w:rtl/>
        </w:rPr>
        <w:t xml:space="preserve"> </w:t>
      </w:r>
      <w:r w:rsidRPr="00A62AA2">
        <w:rPr>
          <w:rFonts w:hint="cs"/>
          <w:i/>
          <w:sz w:val="23"/>
          <w:szCs w:val="23"/>
          <w:rtl/>
        </w:rPr>
        <w:t>عملاً کاهش ‌یافت. در این اثنا و در طی سال</w:t>
      </w:r>
      <w:r w:rsidRPr="00A62AA2">
        <w:rPr>
          <w:rFonts w:hint="cs"/>
          <w:i/>
          <w:sz w:val="23"/>
          <w:szCs w:val="23"/>
          <w:rtl/>
        </w:rPr>
        <w:softHyphen/>
        <w:t xml:space="preserve">های ۱۹۲۰ و ۱۹۳۰ میلادی، کشور آلمان بیشترین مازاد تجاری دائمی را داشت. </w:t>
      </w:r>
      <w:r w:rsidRPr="00A62AA2">
        <w:rPr>
          <w:rFonts w:hint="cs"/>
          <w:bCs/>
          <w:i/>
          <w:sz w:val="23"/>
          <w:szCs w:val="23"/>
          <w:rtl/>
        </w:rPr>
        <w:t>دوم</w:t>
      </w:r>
      <w:r w:rsidRPr="00A62AA2">
        <w:rPr>
          <w:rFonts w:hint="cs"/>
          <w:i/>
          <w:sz w:val="23"/>
          <w:szCs w:val="23"/>
          <w:rtl/>
        </w:rPr>
        <w:t xml:space="preserve"> و مشکل مهمتر این</w:t>
      </w:r>
      <w:r w:rsidRPr="00A62AA2">
        <w:rPr>
          <w:rFonts w:hint="cs"/>
          <w:i/>
          <w:sz w:val="23"/>
          <w:szCs w:val="23"/>
          <w:rtl/>
        </w:rPr>
        <w:softHyphen/>
        <w:t>که، در نظام استاندارد طلا به دلیل کاهش تولید و سطح قیمت که برای تصحیح کسری حساب جاری ضروری بود، گرایش و تمایل به ایجاد رکود اقتصادی وجود داشت. از آنجا که تعدیل ترازپرداخت</w:t>
      </w:r>
      <w:r w:rsidRPr="00A62AA2">
        <w:rPr>
          <w:rFonts w:hint="cs"/>
          <w:i/>
          <w:sz w:val="23"/>
          <w:szCs w:val="23"/>
          <w:rtl/>
        </w:rPr>
        <w:softHyphen/>
        <w:t>ها مستلزم زمان است، لذا انقباض اقتصاد داخلی برای دوره</w:t>
      </w:r>
      <w:r w:rsidRPr="00A62AA2">
        <w:rPr>
          <w:rFonts w:hint="cs"/>
          <w:i/>
          <w:sz w:val="23"/>
          <w:szCs w:val="23"/>
          <w:rtl/>
        </w:rPr>
        <w:softHyphen/>
        <w:t>ای طولانی تداوم می</w:t>
      </w:r>
      <w:r w:rsidRPr="00A62AA2">
        <w:rPr>
          <w:rFonts w:hint="cs"/>
          <w:i/>
          <w:sz w:val="23"/>
          <w:szCs w:val="23"/>
          <w:rtl/>
        </w:rPr>
        <w:softHyphen/>
        <w:t>یافت. هنگامی‌که کشور انگلیس بعد از جنگ جهانی اول به نظام استاندارد طلا بازگشت، با حفظ رقابت</w:t>
      </w:r>
      <w:r w:rsidRPr="00A62AA2">
        <w:rPr>
          <w:rFonts w:hint="cs"/>
          <w:i/>
          <w:sz w:val="23"/>
          <w:szCs w:val="23"/>
          <w:rtl/>
        </w:rPr>
        <w:softHyphen/>
        <w:t>پذیری خود و با اعمال سیاست ضد تورمی، سطح قیمت‌ها را کاهش داد. این فرایند طولانی‌مدت برای آن کشور بسیار مضر بود. همراه با جبران غرامت آلمان، احتکار طلا، تنزل قیمت</w:t>
      </w:r>
      <w:r w:rsidRPr="00A62AA2">
        <w:rPr>
          <w:rFonts w:hint="cs"/>
          <w:i/>
          <w:sz w:val="23"/>
          <w:szCs w:val="23"/>
          <w:rtl/>
        </w:rPr>
        <w:softHyphen/>
        <w:t>ها و سیاست انقباضی پولی بخصوص در ایالات متحده</w:t>
      </w:r>
      <w:r w:rsidRPr="00A62AA2">
        <w:rPr>
          <w:rFonts w:hint="cs"/>
          <w:i/>
          <w:sz w:val="23"/>
          <w:szCs w:val="23"/>
          <w:rtl/>
        </w:rPr>
        <w:softHyphen/>
        <w:t>ی آمریکا، بالا بودن نرخ بهره، علّل اصلی بحران طاقت</w:t>
      </w:r>
      <w:r w:rsidRPr="00A62AA2">
        <w:rPr>
          <w:rFonts w:hint="cs"/>
          <w:i/>
          <w:sz w:val="23"/>
          <w:szCs w:val="23"/>
          <w:rtl/>
        </w:rPr>
        <w:softHyphen/>
        <w:t>فرسا در دهه</w:t>
      </w:r>
      <w:r w:rsidRPr="00A62AA2">
        <w:rPr>
          <w:rFonts w:hint="cs"/>
          <w:i/>
          <w:sz w:val="23"/>
          <w:szCs w:val="23"/>
          <w:rtl/>
        </w:rPr>
        <w:softHyphen/>
        <w:t>ی ۱۹۲۰ و سپس رکود بزرگ ۱۹۳۰ بود. در نتیجه بعد از جنگ دوم جهانی نظام دیگری غیر از نظام استاندارد طلا برگزیده شد.</w:t>
      </w:r>
    </w:p>
    <w:p w14:paraId="1E344067" w14:textId="77777777" w:rsidR="00556C10" w:rsidRPr="00A62AA2" w:rsidRDefault="00556C10" w:rsidP="00556C10">
      <w:pPr>
        <w:spacing w:line="216" w:lineRule="auto"/>
        <w:rPr>
          <w:i/>
          <w:sz w:val="23"/>
          <w:szCs w:val="23"/>
          <w:rtl/>
        </w:rPr>
      </w:pPr>
    </w:p>
    <w:p w14:paraId="559773E7" w14:textId="77777777" w:rsidR="00556C10" w:rsidRPr="00A62AA2" w:rsidRDefault="00556C10" w:rsidP="00556C10">
      <w:pPr>
        <w:spacing w:line="216" w:lineRule="auto"/>
        <w:rPr>
          <w:bCs/>
          <w:i/>
          <w:sz w:val="23"/>
          <w:szCs w:val="23"/>
        </w:rPr>
      </w:pPr>
      <w:r w:rsidRPr="00A62AA2">
        <w:rPr>
          <w:rFonts w:hint="cs"/>
          <w:bCs/>
          <w:i/>
          <w:sz w:val="23"/>
          <w:szCs w:val="23"/>
          <w:rtl/>
        </w:rPr>
        <w:t>نظام برتن وودز ۱۹۷۱-۱۹۴۵</w:t>
      </w:r>
    </w:p>
    <w:p w14:paraId="2E463F82" w14:textId="77777777" w:rsidR="00556C10" w:rsidRPr="00A62AA2" w:rsidRDefault="00556C10" w:rsidP="00556C10">
      <w:pPr>
        <w:spacing w:line="216" w:lineRule="auto"/>
        <w:rPr>
          <w:i/>
          <w:sz w:val="23"/>
          <w:szCs w:val="23"/>
          <w:rtl/>
        </w:rPr>
      </w:pPr>
      <w:r w:rsidRPr="00A62AA2">
        <w:rPr>
          <w:rFonts w:hint="cs"/>
          <w:i/>
          <w:sz w:val="23"/>
          <w:szCs w:val="23"/>
          <w:rtl/>
        </w:rPr>
        <w:t>دو مشکل اساسی در نظام استاندارد طلا، کمبود نقدینگی جهت حفظ فعالیت‌های اقتصادی و فقدان مکانیسم مناسب تعدیل برای اقتصادِ با کسری بود. نظام برتن وودز برای اصلاح این دو مشکل به وجود آمد، هر چند این سیستم در ایجاد نقدینگی موفق</w:t>
      </w:r>
      <w:r w:rsidRPr="00A62AA2">
        <w:rPr>
          <w:rFonts w:hint="cs"/>
          <w:i/>
          <w:sz w:val="23"/>
          <w:szCs w:val="23"/>
          <w:rtl/>
        </w:rPr>
        <w:softHyphen/>
        <w:t>تر بود. توافق</w:t>
      </w:r>
      <w:r w:rsidRPr="00A62AA2">
        <w:rPr>
          <w:rFonts w:hint="cs"/>
          <w:i/>
          <w:sz w:val="23"/>
          <w:szCs w:val="23"/>
          <w:rtl/>
        </w:rPr>
        <w:softHyphen/>
        <w:t>نامه</w:t>
      </w:r>
      <w:r w:rsidRPr="00A62AA2">
        <w:rPr>
          <w:rFonts w:hint="cs"/>
          <w:i/>
          <w:sz w:val="23"/>
          <w:szCs w:val="23"/>
          <w:rtl/>
        </w:rPr>
        <w:softHyphen/>
        <w:t xml:space="preserve">ی برتن وودز در سال ۱۹۴۴ امضا و بسیاری از کشورهای غربی از ۱۹۴۵ به آن پیوستند. در این سیستم تنها دلار آمریکا در نظام </w:t>
      </w:r>
      <w:r w:rsidRPr="00A62AA2">
        <w:rPr>
          <w:rFonts w:hint="cs"/>
          <w:i/>
          <w:sz w:val="23"/>
          <w:szCs w:val="23"/>
          <w:rtl/>
        </w:rPr>
        <w:lastRenderedPageBreak/>
        <w:t>استاندارد طلا باقی مانده و قیمت دلار آمریکا بر حسب طلا ثابت، و دیگر ارزهای رایج ارزش ثابتی در مقابل دلار داشتند. نرخ ارز کاملاً ثابت نبود و تغییرات نسبتاً کوچک و قابل قبول حدود پنج درصد در آن امکان پذیر بود. در این نظام با افزایش تقاضا برای دلار عرضه</w:t>
      </w:r>
      <w:r w:rsidRPr="00A62AA2">
        <w:rPr>
          <w:rFonts w:hint="cs"/>
          <w:i/>
          <w:sz w:val="23"/>
          <w:szCs w:val="23"/>
          <w:rtl/>
        </w:rPr>
        <w:softHyphen/>
        <w:t>ی طلا نیز افزایش می‌یافت و لذا امکان افزایش نقدینگی بین</w:t>
      </w:r>
      <w:r w:rsidRPr="00A62AA2">
        <w:rPr>
          <w:rFonts w:hint="cs"/>
          <w:i/>
          <w:sz w:val="23"/>
          <w:szCs w:val="23"/>
          <w:rtl/>
        </w:rPr>
        <w:softHyphen/>
        <w:t>المللی از طریق افزایش عرضه</w:t>
      </w:r>
      <w:r w:rsidRPr="00A62AA2">
        <w:rPr>
          <w:rFonts w:hint="cs"/>
          <w:i/>
          <w:sz w:val="23"/>
          <w:szCs w:val="23"/>
          <w:rtl/>
        </w:rPr>
        <w:softHyphen/>
        <w:t>ی طلا ممکن بود. مکانیسم تعدیل در نظام برتن وودز با امکان کاهش ارزش پول ملی کشورهایی که کسری تراز پرداخت‌های زیاد و مزمن و دائمی‌ داشتند، توسعه پیدا کرد. بسیاری از نرخ‌های ارز دارای تعدیلات اندک، ولی گاهی اوقات همانند کاهش ارزش پول ملی انگلستان در سال ۱۹۴۹ به سی درصد، و در سال ۱۹۶۷ به حدود چهارده درصد افزایش یافت. سیاست</w:t>
      </w:r>
      <w:r w:rsidRPr="00A62AA2">
        <w:rPr>
          <w:rFonts w:hint="cs"/>
          <w:i/>
          <w:sz w:val="23"/>
          <w:szCs w:val="23"/>
          <w:rtl/>
        </w:rPr>
        <w:softHyphen/>
      </w:r>
      <w:r w:rsidRPr="00A62AA2">
        <w:rPr>
          <w:rFonts w:hint="cs"/>
          <w:i/>
          <w:sz w:val="23"/>
          <w:szCs w:val="23"/>
          <w:rtl/>
        </w:rPr>
        <w:softHyphen/>
        <w:t>مداران کشور انگلستان قصد داشتند تا رقابت</w:t>
      </w:r>
      <w:r w:rsidRPr="00A62AA2">
        <w:rPr>
          <w:rFonts w:hint="cs"/>
          <w:i/>
          <w:sz w:val="23"/>
          <w:szCs w:val="23"/>
          <w:rtl/>
        </w:rPr>
        <w:softHyphen/>
        <w:t xml:space="preserve">پذیری و به تبع آن فرآیند تعدیل اقتصاد و اجتناب از بحران طولانی‌مدت و بیکاری بالا را تسریع کنند. </w:t>
      </w:r>
      <w:r w:rsidRPr="00A62AA2">
        <w:rPr>
          <w:rFonts w:hint="cs"/>
          <w:i/>
          <w:sz w:val="23"/>
          <w:szCs w:val="23"/>
          <w:rtl/>
        </w:rPr>
        <w:softHyphen/>
        <w:t>همچنین در کشورهای با مازاد تراز پرداخت‌ها انتظار می‌رفت که برابری ارز به سمت بالا ارزیابی مجدد شود. در عمل تعداد کمی‌ از کشورها اقدام به افزایش قیمت ارز خود کرده، و بار مسئولیت تعدیل به جای اینکه بین کشورها توزیع شود، فقط به دوش کشورهای با کسری ترازپرداخت‌ها افتاد.</w:t>
      </w:r>
    </w:p>
    <w:p w14:paraId="57FF28DB" w14:textId="77777777" w:rsidR="00556C10" w:rsidRPr="00A62AA2" w:rsidRDefault="00556C10" w:rsidP="00556C10">
      <w:pPr>
        <w:spacing w:line="216" w:lineRule="auto"/>
        <w:rPr>
          <w:i/>
          <w:sz w:val="23"/>
          <w:szCs w:val="23"/>
          <w:rtl/>
        </w:rPr>
      </w:pPr>
      <w:r w:rsidRPr="00A62AA2">
        <w:rPr>
          <w:rFonts w:hint="cs"/>
          <w:i/>
          <w:sz w:val="23"/>
          <w:szCs w:val="23"/>
          <w:rtl/>
        </w:rPr>
        <w:t>بااین</w:t>
      </w:r>
      <w:r w:rsidRPr="00A62AA2">
        <w:rPr>
          <w:rFonts w:hint="cs"/>
          <w:i/>
          <w:sz w:val="23"/>
          <w:szCs w:val="23"/>
          <w:rtl/>
        </w:rPr>
        <w:softHyphen/>
        <w:t>حال سیستم برتن وودز، به طور قابل قبولی و برای ‌مدت تقریباً بیست سال حفظ شد. در بسیاری از کشورها نرخ تورم و بیکاری بسیار کمتر از نظام نرخ ارز شناور در سال‌های اخیر بود. یکی از دلائل موفقیت سیستم برتن وودز آن بود که بسیاری از کشورها بر حرکت‌ سرمایه</w:t>
      </w:r>
      <w:r w:rsidRPr="00A62AA2">
        <w:rPr>
          <w:rFonts w:hint="cs"/>
          <w:i/>
          <w:sz w:val="23"/>
          <w:szCs w:val="23"/>
          <w:rtl/>
        </w:rPr>
        <w:softHyphen/>
        <w:t>های مالی اعمال نفوذ کرده و با کنترل آن، باعث کاهش فشار بر نرخ ارز می</w:t>
      </w:r>
      <w:r w:rsidRPr="00A62AA2">
        <w:rPr>
          <w:rFonts w:hint="cs"/>
          <w:i/>
          <w:sz w:val="23"/>
          <w:szCs w:val="23"/>
          <w:rtl/>
        </w:rPr>
        <w:softHyphen/>
        <w:t>شدند. با حذف کنترل سرمایه و تجمیع منابع مالی زیاد در دست‌ بخش خصوصی، کشورهای با محدودیت منابع، با مشکل برابری پول رایج خود روبرو شدند، و هنگامی‌که پول رایج کشورها شناور شد، تحرّک سرمایه علت تفوق یافتن حساب سرمایه نسبت به حساب جاری در تراز پرداخت‌ها شد.</w:t>
      </w:r>
    </w:p>
    <w:p w14:paraId="72CF3019" w14:textId="77777777" w:rsidR="00556C10" w:rsidRPr="00A62AA2" w:rsidRDefault="00556C10" w:rsidP="00556C10">
      <w:pPr>
        <w:spacing w:line="216" w:lineRule="auto"/>
        <w:rPr>
          <w:i/>
          <w:sz w:val="23"/>
          <w:szCs w:val="23"/>
          <w:rtl/>
        </w:rPr>
      </w:pPr>
      <w:r w:rsidRPr="00A62AA2">
        <w:rPr>
          <w:rFonts w:hint="cs"/>
          <w:i/>
          <w:sz w:val="23"/>
          <w:szCs w:val="23"/>
          <w:rtl/>
        </w:rPr>
        <w:t xml:space="preserve">تحت شرایط سیستم برتن وودز، حفظ و ثبات برابری پول ملی در مقابل دلار آمریکا به سیاست پولی واگذار می‌شود. بنابراین کشورِ عضو استقلال سیاست پولی را نخواهد داشت. سطح قیمت داخلی به سطح قیمت ایالات متحده گره خورده، و نرخ تورم آن کشورها شبیه نرخ تورم ایالات متحده خواهد </w:t>
      </w:r>
      <w:r w:rsidRPr="00A62AA2">
        <w:rPr>
          <w:rFonts w:hint="cs"/>
          <w:i/>
          <w:sz w:val="23"/>
          <w:szCs w:val="23"/>
          <w:rtl/>
        </w:rPr>
        <w:softHyphen/>
        <w:t>شد. این سیستم فقط زمانی کاراست که ایالات متحده بتواند نرخ تورم خود را کنترل کند، و مستلرم آن است که عرضه</w:t>
      </w:r>
      <w:r w:rsidRPr="00A62AA2">
        <w:rPr>
          <w:rFonts w:hint="cs"/>
          <w:i/>
          <w:sz w:val="23"/>
          <w:szCs w:val="23"/>
          <w:rtl/>
        </w:rPr>
        <w:softHyphen/>
        <w:t>ی پول ایالات متحده آمریکا سریع</w:t>
      </w:r>
      <w:r w:rsidRPr="00A62AA2">
        <w:rPr>
          <w:rFonts w:hint="cs"/>
          <w:i/>
          <w:sz w:val="23"/>
          <w:szCs w:val="23"/>
          <w:rtl/>
        </w:rPr>
        <w:softHyphen/>
        <w:t>تر از نیاز و تقاضای دنیا برای دلار افزایش نیابد.</w:t>
      </w:r>
    </w:p>
    <w:p w14:paraId="1175276C" w14:textId="77777777" w:rsidR="00556C10" w:rsidRPr="00A62AA2" w:rsidRDefault="00556C10" w:rsidP="00556C10">
      <w:pPr>
        <w:spacing w:line="216" w:lineRule="auto"/>
        <w:rPr>
          <w:i/>
          <w:sz w:val="23"/>
          <w:szCs w:val="23"/>
        </w:rPr>
      </w:pPr>
      <w:r w:rsidRPr="00A62AA2">
        <w:rPr>
          <w:rFonts w:hint="cs"/>
          <w:i/>
          <w:sz w:val="23"/>
          <w:szCs w:val="23"/>
          <w:rtl/>
        </w:rPr>
        <w:t>یکی از عواملی که باعث شکست و اضمحلال سیستم برتن وودز شد، هزینه مالی جنگ ویتنام و به تبع آن انبساط پولی ایالات متحده در اواخر دهه</w:t>
      </w:r>
      <w:r w:rsidRPr="00A62AA2">
        <w:rPr>
          <w:rFonts w:hint="cs"/>
          <w:i/>
          <w:sz w:val="23"/>
          <w:szCs w:val="23"/>
          <w:rtl/>
        </w:rPr>
        <w:softHyphen/>
        <w:t>ی ۱۹۶۰ میلادی بود. انبساط پولی باعث افزایش تورم آمریکا، و به تبع آن افزایش تورم کشورهای تحت پوشش سیستم برتن وودز، کاهش رقابت</w:t>
      </w:r>
      <w:r w:rsidRPr="00A62AA2">
        <w:rPr>
          <w:rFonts w:hint="cs"/>
          <w:i/>
          <w:sz w:val="23"/>
          <w:szCs w:val="23"/>
          <w:rtl/>
        </w:rPr>
        <w:softHyphen/>
        <w:t>پذیری ایالات متحده و عدم رغبت بسیاری از کشورها برای نگهداری دلار و تمایل آن</w:t>
      </w:r>
      <w:r w:rsidRPr="00A62AA2">
        <w:rPr>
          <w:rFonts w:hint="cs"/>
          <w:i/>
          <w:sz w:val="23"/>
          <w:szCs w:val="23"/>
          <w:rtl/>
        </w:rPr>
        <w:softHyphen/>
        <w:t>ها به نگهداری طلا و به تبع آن تشدید کسری و شکاف عرضه در موجودی طلا بود. برای آنکه رقابت</w:t>
      </w:r>
      <w:r w:rsidRPr="00A62AA2">
        <w:rPr>
          <w:rFonts w:hint="cs"/>
          <w:i/>
          <w:sz w:val="23"/>
          <w:szCs w:val="23"/>
          <w:rtl/>
        </w:rPr>
        <w:softHyphen/>
        <w:t>پذیری ایالات متحده (نقدینگی بین</w:t>
      </w:r>
      <w:r w:rsidRPr="00A62AA2">
        <w:rPr>
          <w:rFonts w:hint="cs"/>
          <w:i/>
          <w:sz w:val="23"/>
          <w:szCs w:val="23"/>
          <w:rtl/>
        </w:rPr>
        <w:softHyphen/>
        <w:t xml:space="preserve">المللی و به تبع آن فعالیت‌های اقتصادی) افزایش یابد، در سال ۱۹۷۱ ایالات متحده تصمیم گرفت که قیمت دلاری طلا را افزایش دهد. با کاهش ارزش دلار نسبت به طلا، دلار نسبت به طلا و با امید آن که مجدداً قیمت طلا با آشکار شدن نرخ مناسب ثابت گردد، شناور شد. در این اثنا، تمامی ‌ارزها اجازه یافتند که در مقابل دلار شناور شوند. در سال ۱۹۷۳ و بعد از دو سال بدون </w:t>
      </w:r>
      <w:r w:rsidRPr="00A62AA2">
        <w:rPr>
          <w:rFonts w:hint="cs"/>
          <w:i/>
          <w:sz w:val="23"/>
          <w:szCs w:val="23"/>
          <w:rtl/>
        </w:rPr>
        <w:lastRenderedPageBreak/>
        <w:t>آنکه بتوان قیمت دلار را با توجه به قیمت جدید طلا ثابت کرد، سیستم برتن وودز توسط بسیاری از کشورها متروک و عملاً نرخ‌های ارزِ شناور تعمیم و گسترش یافت.</w:t>
      </w:r>
    </w:p>
    <w:p w14:paraId="567602EB" w14:textId="77777777" w:rsidR="00556C10" w:rsidRPr="00A62AA2" w:rsidRDefault="00556C10" w:rsidP="00556C10">
      <w:pPr>
        <w:spacing w:line="216" w:lineRule="auto"/>
        <w:rPr>
          <w:i/>
          <w:sz w:val="23"/>
          <w:szCs w:val="23"/>
        </w:rPr>
      </w:pPr>
    </w:p>
    <w:p w14:paraId="085AE36A" w14:textId="77777777" w:rsidR="00556C10" w:rsidRPr="00A62AA2" w:rsidRDefault="00556C10" w:rsidP="00556C10">
      <w:pPr>
        <w:spacing w:line="216" w:lineRule="auto"/>
        <w:rPr>
          <w:bCs/>
          <w:i/>
          <w:sz w:val="23"/>
          <w:szCs w:val="23"/>
          <w:rtl/>
        </w:rPr>
      </w:pPr>
      <w:r w:rsidRPr="00A62AA2">
        <w:rPr>
          <w:rFonts w:hint="cs"/>
          <w:bCs/>
          <w:i/>
          <w:sz w:val="23"/>
          <w:szCs w:val="23"/>
          <w:rtl/>
        </w:rPr>
        <w:t>نرخ‌های ارز شناور: ۲۰۱۱-۱۹۷۳</w:t>
      </w:r>
    </w:p>
    <w:p w14:paraId="21D31E85" w14:textId="77777777" w:rsidR="00556C10" w:rsidRPr="00A62AA2" w:rsidRDefault="00556C10" w:rsidP="00556C10">
      <w:pPr>
        <w:spacing w:line="216" w:lineRule="auto"/>
        <w:rPr>
          <w:i/>
          <w:iCs/>
          <w:sz w:val="23"/>
          <w:szCs w:val="23"/>
        </w:rPr>
      </w:pPr>
      <w:r w:rsidRPr="00A62AA2">
        <w:rPr>
          <w:rFonts w:hint="cs"/>
          <w:i/>
          <w:sz w:val="23"/>
          <w:szCs w:val="23"/>
          <w:rtl/>
        </w:rPr>
        <w:t>بعد از سال ۱۹۷۳ کشورهای تشکیل دهنده</w:t>
      </w:r>
      <w:r w:rsidRPr="00A62AA2">
        <w:rPr>
          <w:rFonts w:hint="cs"/>
          <w:i/>
          <w:sz w:val="23"/>
          <w:szCs w:val="23"/>
          <w:rtl/>
        </w:rPr>
        <w:softHyphen/>
        <w:t>ی سیستم برتن وودز، برخی از رژیم‌های نرخ ارز شناور را</w:t>
      </w:r>
      <w:r w:rsidRPr="00A62AA2">
        <w:rPr>
          <w:i/>
          <w:sz w:val="23"/>
          <w:szCs w:val="23"/>
        </w:rPr>
        <w:t xml:space="preserve"> </w:t>
      </w:r>
      <w:r w:rsidRPr="00A62AA2">
        <w:rPr>
          <w:rFonts w:hint="cs"/>
          <w:i/>
          <w:sz w:val="23"/>
          <w:szCs w:val="23"/>
          <w:rtl/>
        </w:rPr>
        <w:t>‌پذیرفته و تجربه کردند. این رژیم</w:t>
      </w:r>
      <w:r w:rsidRPr="00A62AA2">
        <w:rPr>
          <w:rFonts w:hint="cs"/>
          <w:i/>
          <w:sz w:val="23"/>
          <w:szCs w:val="23"/>
          <w:rtl/>
        </w:rPr>
        <w:softHyphen/>
        <w:t>ها عبارت بودند از</w:t>
      </w:r>
    </w:p>
    <w:p w14:paraId="3B4692F5" w14:textId="77777777" w:rsidR="00556C10" w:rsidRPr="00A62AA2" w:rsidRDefault="00556C10" w:rsidP="00C67946">
      <w:pPr>
        <w:pStyle w:val="ListParagraph"/>
        <w:numPr>
          <w:ilvl w:val="0"/>
          <w:numId w:val="7"/>
        </w:numPr>
        <w:spacing w:line="216" w:lineRule="auto"/>
        <w:ind w:left="0" w:firstLine="0"/>
        <w:rPr>
          <w:i/>
          <w:sz w:val="23"/>
          <w:szCs w:val="23"/>
          <w:rtl/>
        </w:rPr>
      </w:pPr>
      <w:r w:rsidRPr="00A62AA2">
        <w:rPr>
          <w:rFonts w:hint="cs"/>
          <w:i/>
          <w:sz w:val="23"/>
          <w:szCs w:val="23"/>
          <w:rtl/>
        </w:rPr>
        <w:t>رژیم نرخ ارز شناور کامل: که در آن نرخ ارز در بازار و بدون دخالت بانک مرکزیِ هر کشور تعیین می‌شود.</w:t>
      </w:r>
    </w:p>
    <w:p w14:paraId="1D809527" w14:textId="77777777" w:rsidR="00556C10" w:rsidRPr="00A62AA2" w:rsidRDefault="00556C10" w:rsidP="00C67946">
      <w:pPr>
        <w:pStyle w:val="ListParagraph"/>
        <w:numPr>
          <w:ilvl w:val="0"/>
          <w:numId w:val="7"/>
        </w:numPr>
        <w:spacing w:line="216" w:lineRule="auto"/>
        <w:ind w:left="0" w:firstLine="0"/>
        <w:rPr>
          <w:i/>
          <w:sz w:val="23"/>
          <w:szCs w:val="23"/>
        </w:rPr>
      </w:pPr>
      <w:r w:rsidRPr="00A62AA2">
        <w:rPr>
          <w:rFonts w:hint="cs"/>
          <w:i/>
          <w:sz w:val="23"/>
          <w:szCs w:val="23"/>
          <w:rtl/>
        </w:rPr>
        <w:t>منطقه</w:t>
      </w:r>
      <w:r w:rsidRPr="00A62AA2">
        <w:rPr>
          <w:rFonts w:hint="cs"/>
          <w:i/>
          <w:sz w:val="23"/>
          <w:szCs w:val="23"/>
          <w:rtl/>
        </w:rPr>
        <w:softHyphen/>
        <w:t>ی هدف: که هدف آن نگهداری نرخ ارز نسبت به پول رایج خاص و در یک دامنه تعیین شده می‌باشد. مکانیسم نرخ ارز</w:t>
      </w:r>
      <w:r w:rsidRPr="00A62AA2">
        <w:rPr>
          <w:position w:val="-6"/>
        </w:rPr>
        <w:object w:dxaOrig="620" w:dyaOrig="260" w14:anchorId="10DD3700">
          <v:shape id="_x0000_i5874" type="#_x0000_t75" style="width:30.85pt;height:12.7pt" o:ole="">
            <v:imagedata r:id="rId9772" o:title=""/>
          </v:shape>
          <o:OLEObject Type="Embed" ProgID="Equation.DSMT4" ShapeID="_x0000_i5874" DrawAspect="Content" ObjectID="_1791379818" r:id="rId9773"/>
        </w:object>
      </w:r>
      <w:r w:rsidRPr="00A62AA2">
        <w:rPr>
          <w:rStyle w:val="FootnoteReference"/>
          <w:i/>
          <w:sz w:val="23"/>
          <w:szCs w:val="23"/>
          <w:shd w:val="clear" w:color="auto" w:fill="FFFFFF"/>
        </w:rPr>
        <w:footnoteReference w:id="311"/>
      </w:r>
      <w:r w:rsidRPr="00A62AA2">
        <w:rPr>
          <w:rFonts w:hint="cs"/>
          <w:i/>
          <w:sz w:val="23"/>
          <w:szCs w:val="23"/>
          <w:rtl/>
        </w:rPr>
        <w:t xml:space="preserve"> یکی از مثال‌های این روش است که در آن پول رایجِ مرجع، مارک آلمان بود.</w:t>
      </w:r>
    </w:p>
    <w:p w14:paraId="68E6ABF8" w14:textId="77777777" w:rsidR="00556C10" w:rsidRPr="00A62AA2" w:rsidRDefault="00556C10" w:rsidP="00C67946">
      <w:pPr>
        <w:pStyle w:val="ListParagraph"/>
        <w:numPr>
          <w:ilvl w:val="0"/>
          <w:numId w:val="7"/>
        </w:numPr>
        <w:spacing w:line="216" w:lineRule="auto"/>
        <w:ind w:left="0" w:firstLine="0"/>
        <w:rPr>
          <w:i/>
          <w:sz w:val="23"/>
          <w:szCs w:val="23"/>
        </w:rPr>
      </w:pPr>
      <w:r w:rsidRPr="00A62AA2">
        <w:rPr>
          <w:rFonts w:hint="cs"/>
          <w:i/>
          <w:sz w:val="23"/>
          <w:szCs w:val="23"/>
          <w:rtl/>
        </w:rPr>
        <w:t>اتحادیه</w:t>
      </w:r>
      <w:r w:rsidRPr="00A62AA2">
        <w:rPr>
          <w:rFonts w:hint="cs"/>
          <w:i/>
          <w:sz w:val="23"/>
          <w:szCs w:val="23"/>
          <w:rtl/>
        </w:rPr>
        <w:softHyphen/>
        <w:t xml:space="preserve">ی پولی: که در آن گروهی از کشورها از پول رایج خود صرفنظر کرده و پول مشترکی که به طور آزاد نسبت به ارزهای دیگر کشورها شناور باشد را قبول می‌کنند. اتحادیه پولی اروپا </w:t>
      </w:r>
      <w:r w:rsidRPr="00A62AA2">
        <w:rPr>
          <w:position w:val="-6"/>
        </w:rPr>
        <w:object w:dxaOrig="620" w:dyaOrig="260" w14:anchorId="1193C3D5">
          <v:shape id="_x0000_i5875" type="#_x0000_t75" style="width:30.85pt;height:12.7pt" o:ole="">
            <v:imagedata r:id="rId9774" o:title=""/>
          </v:shape>
          <o:OLEObject Type="Embed" ProgID="Equation.DSMT4" ShapeID="_x0000_i5875" DrawAspect="Content" ObjectID="_1791379819" r:id="rId9775"/>
        </w:object>
      </w:r>
      <w:r w:rsidRPr="00A62AA2">
        <w:rPr>
          <w:rStyle w:val="FootnoteReference"/>
          <w:i/>
          <w:sz w:val="23"/>
          <w:szCs w:val="23"/>
          <w:shd w:val="clear" w:color="auto" w:fill="FFFFFF"/>
        </w:rPr>
        <w:footnoteReference w:id="312"/>
      </w:r>
      <w:r w:rsidRPr="00A62AA2">
        <w:rPr>
          <w:rFonts w:hint="cs"/>
          <w:i/>
          <w:sz w:val="23"/>
          <w:szCs w:val="23"/>
          <w:rtl/>
        </w:rPr>
        <w:t xml:space="preserve"> و معرفی پول یورو مثال برجسته</w:t>
      </w:r>
      <w:r w:rsidRPr="00A62AA2">
        <w:rPr>
          <w:rFonts w:hint="cs"/>
          <w:i/>
          <w:sz w:val="23"/>
          <w:szCs w:val="23"/>
          <w:rtl/>
        </w:rPr>
        <w:softHyphen/>
        <w:t>ی از این رژیم ارزی است.</w:t>
      </w:r>
    </w:p>
    <w:p w14:paraId="746028C6" w14:textId="77777777" w:rsidR="00556C10" w:rsidRPr="00A62AA2" w:rsidRDefault="00556C10" w:rsidP="00C67946">
      <w:pPr>
        <w:pStyle w:val="ListParagraph"/>
        <w:numPr>
          <w:ilvl w:val="0"/>
          <w:numId w:val="7"/>
        </w:numPr>
        <w:spacing w:line="216" w:lineRule="auto"/>
        <w:ind w:left="0" w:firstLine="0"/>
        <w:rPr>
          <w:i/>
          <w:sz w:val="23"/>
          <w:szCs w:val="23"/>
        </w:rPr>
      </w:pPr>
      <w:r w:rsidRPr="00A62AA2">
        <w:rPr>
          <w:rFonts w:hint="cs"/>
          <w:i/>
          <w:sz w:val="23"/>
          <w:szCs w:val="23"/>
          <w:rtl/>
        </w:rPr>
        <w:t>دلاریزاسیون: در این سیستم یک کشور دلار آمریکا را به عنوان پول رایج خود و تبدیل پول داخلی با نرخ ثابت دلار قبول کرده و در نتیجه از کنترل نرخ ارز خود صرفنظر می‌کند.</w:t>
      </w:r>
    </w:p>
    <w:p w14:paraId="28093269" w14:textId="77777777" w:rsidR="00556C10" w:rsidRPr="00A62AA2" w:rsidRDefault="00556C10" w:rsidP="00556C10">
      <w:pPr>
        <w:spacing w:line="216" w:lineRule="auto"/>
        <w:rPr>
          <w:i/>
          <w:sz w:val="23"/>
          <w:szCs w:val="23"/>
          <w:rtl/>
        </w:rPr>
      </w:pPr>
      <w:r w:rsidRPr="00A62AA2">
        <w:rPr>
          <w:rFonts w:hint="cs"/>
          <w:i/>
          <w:sz w:val="23"/>
          <w:szCs w:val="23"/>
          <w:rtl/>
        </w:rPr>
        <w:t>در نظام نرخ ارز ثابت، سیاست پولی جهت نگهداری برابری نرخ ارز از قبل تعیین می</w:t>
      </w:r>
      <w:r w:rsidRPr="00A62AA2">
        <w:rPr>
          <w:rFonts w:hint="cs"/>
          <w:i/>
          <w:sz w:val="23"/>
          <w:szCs w:val="23"/>
          <w:rtl/>
        </w:rPr>
        <w:softHyphen/>
        <w:t>شود. در این صورت عواقب وخیم حرکت به سمت نظام نرخ ارز شناور آن است که کشورها سیاست پولی خود را مجدداً فرمول</w:t>
      </w:r>
      <w:r w:rsidRPr="00A62AA2">
        <w:rPr>
          <w:rFonts w:hint="cs"/>
          <w:i/>
          <w:sz w:val="23"/>
          <w:szCs w:val="23"/>
          <w:rtl/>
        </w:rPr>
        <w:softHyphen/>
        <w:t>بندی کنند. تحت نظام برتن وودز که ایالات متحده مستثنی است، سیاست پولی در مسیری که نرخ تورم کنترل می‌شود می</w:t>
      </w:r>
      <w:r w:rsidRPr="00A62AA2">
        <w:rPr>
          <w:rFonts w:hint="cs"/>
          <w:i/>
          <w:sz w:val="23"/>
          <w:szCs w:val="23"/>
          <w:rtl/>
        </w:rPr>
        <w:softHyphen/>
        <w:t>بایست هدایت شود. پس از فروپاشی برتن وودز بیشتر کشورها سیاستی شبیه ایالات متحده را‌ پذیرفتند که مشمول سعی و تلاش جهت دسترسی به یک نرخ رشد ثابت عرضه</w:t>
      </w:r>
      <w:r w:rsidRPr="00A62AA2">
        <w:rPr>
          <w:rFonts w:hint="cs"/>
          <w:i/>
          <w:sz w:val="23"/>
          <w:szCs w:val="23"/>
          <w:rtl/>
        </w:rPr>
        <w:softHyphen/>
        <w:t>ی پول بود. این سیاست به میلتون فریدمن منتسب است و آن</w:t>
      </w:r>
      <w:r w:rsidRPr="00A62AA2">
        <w:rPr>
          <w:rFonts w:hint="cs"/>
          <w:i/>
          <w:sz w:val="23"/>
          <w:szCs w:val="23"/>
          <w:rtl/>
        </w:rPr>
        <w:softHyphen/>
        <w:t>را مکتب پول</w:t>
      </w:r>
      <w:r w:rsidRPr="00A62AA2">
        <w:rPr>
          <w:rFonts w:hint="cs"/>
          <w:i/>
          <w:sz w:val="23"/>
          <w:szCs w:val="23"/>
          <w:rtl/>
        </w:rPr>
        <w:softHyphen/>
        <w:t xml:space="preserve">گرایان نامند. </w:t>
      </w:r>
    </w:p>
    <w:p w14:paraId="03DFB100" w14:textId="77777777" w:rsidR="00556C10" w:rsidRPr="00A62AA2" w:rsidRDefault="00556C10" w:rsidP="00556C10">
      <w:pPr>
        <w:spacing w:line="216" w:lineRule="auto"/>
        <w:rPr>
          <w:i/>
          <w:sz w:val="23"/>
          <w:szCs w:val="23"/>
          <w:rtl/>
        </w:rPr>
      </w:pPr>
      <w:r w:rsidRPr="00A62AA2">
        <w:rPr>
          <w:rFonts w:hint="cs"/>
          <w:i/>
          <w:sz w:val="23"/>
          <w:szCs w:val="23"/>
          <w:rtl/>
        </w:rPr>
        <w:t>تقبل مکتب پول</w:t>
      </w:r>
      <w:r w:rsidRPr="00A62AA2">
        <w:rPr>
          <w:rFonts w:hint="cs"/>
          <w:i/>
          <w:sz w:val="23"/>
          <w:szCs w:val="23"/>
          <w:rtl/>
        </w:rPr>
        <w:softHyphen/>
        <w:t>گرایان در بسیاری از کشورها به شدت مورد نقد قرار گرفت. استفاده از روش سیاست پولیِ گذشته رها، و به جای آن سیاست</w:t>
      </w:r>
      <w:r w:rsidRPr="00A62AA2">
        <w:rPr>
          <w:rFonts w:hint="cs"/>
          <w:i/>
          <w:sz w:val="23"/>
          <w:szCs w:val="23"/>
          <w:rtl/>
        </w:rPr>
        <w:softHyphen/>
        <w:t>های ایالات متحده مورد استفاده قرار می‌گرفت. این نقد گمراه</w:t>
      </w:r>
      <w:r w:rsidRPr="00A62AA2">
        <w:rPr>
          <w:rFonts w:hint="cs"/>
          <w:i/>
          <w:sz w:val="23"/>
          <w:szCs w:val="23"/>
          <w:rtl/>
        </w:rPr>
        <w:softHyphen/>
        <w:t>کننده، نشان</w:t>
      </w:r>
      <w:r w:rsidRPr="00A62AA2">
        <w:rPr>
          <w:rFonts w:hint="cs"/>
          <w:i/>
          <w:sz w:val="23"/>
          <w:szCs w:val="23"/>
          <w:rtl/>
        </w:rPr>
        <w:softHyphen/>
        <w:t>دهنده</w:t>
      </w:r>
      <w:r w:rsidRPr="00A62AA2">
        <w:rPr>
          <w:rFonts w:hint="cs"/>
          <w:i/>
          <w:sz w:val="23"/>
          <w:szCs w:val="23"/>
          <w:rtl/>
        </w:rPr>
        <w:softHyphen/>
        <w:t>ی فقدان فهم اساسی و بنیادین از پیامد داشتن نرخ ارز شناور بود. استفاده از روش قدیمی‌ سیاست پولی به منزله</w:t>
      </w:r>
      <w:r w:rsidRPr="00A62AA2">
        <w:rPr>
          <w:rFonts w:hint="cs"/>
          <w:i/>
          <w:sz w:val="23"/>
          <w:szCs w:val="23"/>
          <w:rtl/>
        </w:rPr>
        <w:softHyphen/>
        <w:t>ی صرفنظر از نرخ ارز شناور و انتخاب میخ</w:t>
      </w:r>
      <w:r w:rsidRPr="00A62AA2">
        <w:rPr>
          <w:rFonts w:hint="cs"/>
          <w:i/>
          <w:sz w:val="23"/>
          <w:szCs w:val="23"/>
          <w:rtl/>
        </w:rPr>
        <w:softHyphen/>
        <w:t>کوب کردن دلار همانند قبل بود. نقد مناسب</w:t>
      </w:r>
      <w:r w:rsidRPr="00A62AA2">
        <w:rPr>
          <w:rFonts w:hint="cs"/>
          <w:i/>
          <w:sz w:val="23"/>
          <w:szCs w:val="23"/>
          <w:rtl/>
        </w:rPr>
        <w:softHyphen/>
        <w:t>تر مکتب پول</w:t>
      </w:r>
      <w:r w:rsidRPr="00A62AA2">
        <w:rPr>
          <w:rFonts w:hint="cs"/>
          <w:i/>
          <w:sz w:val="23"/>
          <w:szCs w:val="23"/>
          <w:rtl/>
        </w:rPr>
        <w:softHyphen/>
        <w:t>گرایان آن است که بسیاری از کشورها اهداف رشد پولی خود را به طور یکپارچه فراموش کرده و همان</w:t>
      </w:r>
      <w:r w:rsidRPr="00A62AA2">
        <w:rPr>
          <w:rFonts w:hint="cs"/>
          <w:i/>
          <w:sz w:val="23"/>
          <w:szCs w:val="23"/>
          <w:rtl/>
        </w:rPr>
        <w:softHyphen/>
        <w:t>طور که در فصل هشتم اشاره شد، برای هدف</w:t>
      </w:r>
      <w:r w:rsidRPr="00A62AA2">
        <w:rPr>
          <w:rFonts w:hint="cs"/>
          <w:i/>
          <w:sz w:val="23"/>
          <w:szCs w:val="23"/>
          <w:rtl/>
        </w:rPr>
        <w:softHyphen/>
        <w:t>گذاری، هم برای پول محدود که با معاملات در ارتباط است، و هم برای پول گسترده که مشمول پس</w:t>
      </w:r>
      <w:r w:rsidRPr="00A62AA2">
        <w:rPr>
          <w:rFonts w:hint="cs"/>
          <w:i/>
          <w:sz w:val="23"/>
          <w:szCs w:val="23"/>
          <w:rtl/>
        </w:rPr>
        <w:softHyphen/>
        <w:t>انداز نیز می</w:t>
      </w:r>
      <w:r w:rsidRPr="00A62AA2">
        <w:rPr>
          <w:rFonts w:hint="cs"/>
          <w:i/>
          <w:sz w:val="23"/>
          <w:szCs w:val="23"/>
          <w:rtl/>
        </w:rPr>
        <w:softHyphen/>
        <w:t>شود و در مجموع معیار کلی نقدینگی است، سردرگمی‌ بوجود آمد.</w:t>
      </w:r>
    </w:p>
    <w:p w14:paraId="37961216" w14:textId="77777777" w:rsidR="00556C10" w:rsidRPr="00A62AA2" w:rsidRDefault="00556C10" w:rsidP="00556C10">
      <w:pPr>
        <w:spacing w:line="216" w:lineRule="auto"/>
        <w:rPr>
          <w:i/>
          <w:sz w:val="23"/>
          <w:szCs w:val="23"/>
          <w:rtl/>
        </w:rPr>
      </w:pPr>
      <w:r w:rsidRPr="00A62AA2">
        <w:rPr>
          <w:rFonts w:hint="cs"/>
          <w:i/>
          <w:sz w:val="23"/>
          <w:szCs w:val="23"/>
          <w:rtl/>
        </w:rPr>
        <w:lastRenderedPageBreak/>
        <w:t>با مشاهده اینکه آلمان به طور قابل ملاحظه</w:t>
      </w:r>
      <w:r w:rsidRPr="00A62AA2">
        <w:rPr>
          <w:rFonts w:hint="cs"/>
          <w:i/>
          <w:sz w:val="23"/>
          <w:szCs w:val="23"/>
          <w:rtl/>
        </w:rPr>
        <w:softHyphen/>
        <w:t>ای در کنترل پول و داشتن نرخ تورم پایین موفق بود، کشورهای اروپایی به سرعت پول رایج خود را با بازار آلمان گره زده تا نرخ تورم آلمان را سرمشق خود قرار دهند. این تصمیمات منجر به مکانیسم نرخ ارز</w:t>
      </w:r>
      <w:r w:rsidRPr="00A62AA2">
        <w:rPr>
          <w:position w:val="-6"/>
        </w:rPr>
        <w:object w:dxaOrig="620" w:dyaOrig="260" w14:anchorId="6CCC8B22">
          <v:shape id="_x0000_i5876" type="#_x0000_t75" style="width:30.85pt;height:12.7pt" o:ole="">
            <v:imagedata r:id="rId9776" o:title=""/>
          </v:shape>
          <o:OLEObject Type="Embed" ProgID="Equation.DSMT4" ShapeID="_x0000_i5876" DrawAspect="Content" ObjectID="_1791379820" r:id="rId9777"/>
        </w:object>
      </w:r>
      <w:r w:rsidRPr="00A62AA2">
        <w:rPr>
          <w:rFonts w:hint="cs"/>
          <w:i/>
          <w:sz w:val="23"/>
          <w:szCs w:val="23"/>
          <w:shd w:val="clear" w:color="auto" w:fill="FFFFFF"/>
          <w:rtl/>
        </w:rPr>
        <w:t xml:space="preserve"> </w:t>
      </w:r>
      <w:r w:rsidRPr="00A62AA2">
        <w:rPr>
          <w:rFonts w:hint="cs"/>
          <w:i/>
          <w:sz w:val="23"/>
          <w:szCs w:val="23"/>
          <w:rtl/>
        </w:rPr>
        <w:t>شد که در آن مارک آلمان به عنوان پول رایج لنگر برای ثبات شود. همانند سیستم برتن وودز کشورهای عضو تصور کردند که نرخ تورمی ‌همانند کشور لنگر یا آلمان به دست آوردند. خطر تجویز و انتخاب پول منفرد به عنوان پول محک زمانی آشکار شد که آلمان غربی و آلمان شرقی در سال ۱۹۸۹ متحد شدند و این وحدت و یگانگی منجر به انتقالات مالی گسترده</w:t>
      </w:r>
      <w:r w:rsidRPr="00A62AA2">
        <w:rPr>
          <w:rFonts w:hint="cs"/>
          <w:i/>
          <w:sz w:val="23"/>
          <w:szCs w:val="23"/>
          <w:rtl/>
        </w:rPr>
        <w:softHyphen/>
        <w:t>ای از غرب به شرق، افزایش بدهی دولت آلمان، و به تبع آن افزایش نرخ مارک در مقابل دلار آمریکا شد. این مسائل باعث شد که دیگر اعضای مکانیسم نرخ ارز</w:t>
      </w:r>
      <w:r w:rsidRPr="00A62AA2">
        <w:rPr>
          <w:position w:val="-6"/>
        </w:rPr>
        <w:object w:dxaOrig="620" w:dyaOrig="260" w14:anchorId="7E027F80">
          <v:shape id="_x0000_i5877" type="#_x0000_t75" style="width:30.85pt;height:12.7pt" o:ole="">
            <v:imagedata r:id="rId9778" o:title=""/>
          </v:shape>
          <o:OLEObject Type="Embed" ProgID="Equation.DSMT4" ShapeID="_x0000_i5877" DrawAspect="Content" ObjectID="_1791379821" r:id="rId9779"/>
        </w:object>
      </w:r>
      <w:r w:rsidRPr="00A62AA2">
        <w:rPr>
          <w:i/>
          <w:sz w:val="23"/>
          <w:szCs w:val="23"/>
          <w:shd w:val="clear" w:color="auto" w:fill="FFFFFF"/>
        </w:rPr>
        <w:t xml:space="preserve"> </w:t>
      </w:r>
      <w:r w:rsidRPr="00A62AA2">
        <w:rPr>
          <w:rFonts w:hint="cs"/>
          <w:i/>
          <w:sz w:val="23"/>
          <w:szCs w:val="23"/>
          <w:rtl/>
        </w:rPr>
        <w:t>در یک دوراهی خطرناک و با یک معمای غیرقابل حل روبرو شوند. این</w:t>
      </w:r>
      <w:r w:rsidRPr="00A62AA2">
        <w:rPr>
          <w:rFonts w:hint="cs"/>
          <w:i/>
          <w:sz w:val="23"/>
          <w:szCs w:val="23"/>
          <w:rtl/>
        </w:rPr>
        <w:softHyphen/>
        <w:t>که آیا نرخ بهره</w:t>
      </w:r>
      <w:r w:rsidRPr="00A62AA2">
        <w:rPr>
          <w:rFonts w:hint="cs"/>
          <w:i/>
          <w:sz w:val="23"/>
          <w:szCs w:val="23"/>
          <w:rtl/>
        </w:rPr>
        <w:softHyphen/>
        <w:t>ی خود را جهت نگهداری برابری نرخ بهره با مارک آلمان با عنایت به خسارت و صدمه بر رقابت</w:t>
      </w:r>
      <w:r w:rsidRPr="00A62AA2">
        <w:rPr>
          <w:rFonts w:hint="cs"/>
          <w:i/>
          <w:sz w:val="23"/>
          <w:szCs w:val="23"/>
          <w:rtl/>
        </w:rPr>
        <w:softHyphen/>
        <w:t>پذیری با دنیا افزایش دهند، و یا این</w:t>
      </w:r>
      <w:r w:rsidRPr="00A62AA2">
        <w:rPr>
          <w:rFonts w:hint="cs"/>
          <w:i/>
          <w:sz w:val="23"/>
          <w:szCs w:val="23"/>
          <w:rtl/>
        </w:rPr>
        <w:softHyphen/>
        <w:t>که مکانیسم نرخ ارز</w:t>
      </w:r>
      <w:r w:rsidRPr="00A62AA2">
        <w:rPr>
          <w:position w:val="-6"/>
        </w:rPr>
        <w:object w:dxaOrig="620" w:dyaOrig="260" w14:anchorId="40E23DEC">
          <v:shape id="_x0000_i5878" type="#_x0000_t75" style="width:30.85pt;height:12.7pt" o:ole="">
            <v:imagedata r:id="rId9780" o:title=""/>
          </v:shape>
          <o:OLEObject Type="Embed" ProgID="Equation.DSMT4" ShapeID="_x0000_i5878" DrawAspect="Content" ObjectID="_1791379822" r:id="rId9781"/>
        </w:object>
      </w:r>
      <w:r w:rsidRPr="00A62AA2">
        <w:rPr>
          <w:i/>
          <w:sz w:val="23"/>
          <w:szCs w:val="23"/>
          <w:shd w:val="clear" w:color="auto" w:fill="FFFFFF"/>
        </w:rPr>
        <w:t xml:space="preserve"> </w:t>
      </w:r>
      <w:r w:rsidRPr="00A62AA2">
        <w:rPr>
          <w:rFonts w:hint="cs"/>
          <w:i/>
          <w:sz w:val="23"/>
          <w:szCs w:val="23"/>
          <w:rtl/>
        </w:rPr>
        <w:t>را حفظ کنند؟ برای مثال فرانسه تصمیم گرفت در مکانیسم نرخ ارز</w:t>
      </w:r>
      <w:r w:rsidRPr="00A62AA2">
        <w:rPr>
          <w:position w:val="-6"/>
        </w:rPr>
        <w:object w:dxaOrig="620" w:dyaOrig="260" w14:anchorId="426E5A48">
          <v:shape id="_x0000_i5879" type="#_x0000_t75" style="width:30.85pt;height:12.7pt" o:ole="">
            <v:imagedata r:id="rId9782" o:title=""/>
          </v:shape>
          <o:OLEObject Type="Embed" ProgID="Equation.DSMT4" ShapeID="_x0000_i5879" DrawAspect="Content" ObjectID="_1791379823" r:id="rId9783"/>
        </w:object>
      </w:r>
      <w:r w:rsidRPr="00A62AA2">
        <w:rPr>
          <w:i/>
          <w:sz w:val="23"/>
          <w:szCs w:val="23"/>
          <w:shd w:val="clear" w:color="auto" w:fill="FFFFFF"/>
        </w:rPr>
        <w:t xml:space="preserve"> </w:t>
      </w:r>
      <w:r w:rsidRPr="00A62AA2">
        <w:rPr>
          <w:rFonts w:hint="cs"/>
          <w:i/>
          <w:sz w:val="23"/>
          <w:szCs w:val="23"/>
          <w:shd w:val="clear" w:color="auto" w:fill="FFFFFF"/>
          <w:rtl/>
        </w:rPr>
        <w:t xml:space="preserve">باقی </w:t>
      </w:r>
      <w:r w:rsidRPr="00A62AA2">
        <w:rPr>
          <w:rFonts w:hint="cs"/>
          <w:i/>
          <w:sz w:val="23"/>
          <w:szCs w:val="23"/>
          <w:rtl/>
        </w:rPr>
        <w:t>مانده</w:t>
      </w:r>
      <w:r w:rsidRPr="00A62AA2">
        <w:rPr>
          <w:i/>
          <w:sz w:val="23"/>
          <w:szCs w:val="23"/>
        </w:rPr>
        <w:t xml:space="preserve"> </w:t>
      </w:r>
      <w:r w:rsidRPr="00A62AA2">
        <w:rPr>
          <w:rFonts w:hint="cs"/>
          <w:i/>
          <w:sz w:val="23"/>
          <w:szCs w:val="23"/>
          <w:rtl/>
        </w:rPr>
        <w:t>و نرخ‌های بهره</w:t>
      </w:r>
      <w:r w:rsidRPr="00A62AA2">
        <w:rPr>
          <w:rFonts w:hint="cs"/>
          <w:i/>
          <w:sz w:val="23"/>
          <w:szCs w:val="23"/>
          <w:rtl/>
        </w:rPr>
        <w:softHyphen/>
        <w:t>ی شبانه را به طور تجربی افزایش دهد. برمبنای برابری بهره</w:t>
      </w:r>
      <w:r w:rsidRPr="00A62AA2">
        <w:rPr>
          <w:rFonts w:hint="cs"/>
          <w:i/>
          <w:sz w:val="23"/>
          <w:szCs w:val="23"/>
          <w:rtl/>
        </w:rPr>
        <w:softHyphen/>
        <w:t>ی بدون پوشش یا</w:t>
      </w:r>
      <w:r w:rsidRPr="00A62AA2">
        <w:rPr>
          <w:position w:val="-6"/>
        </w:rPr>
        <w:object w:dxaOrig="460" w:dyaOrig="260" w14:anchorId="1E8A43F1">
          <v:shape id="_x0000_i5880" type="#_x0000_t75" style="width:23pt;height:12.7pt" o:ole="">
            <v:imagedata r:id="rId9784" o:title=""/>
          </v:shape>
          <o:OLEObject Type="Embed" ProgID="Equation.DSMT4" ShapeID="_x0000_i5880" DrawAspect="Content" ObjectID="_1791379824" r:id="rId9785"/>
        </w:object>
      </w:r>
      <w:r w:rsidRPr="00A62AA2">
        <w:rPr>
          <w:rFonts w:hint="cs"/>
          <w:i/>
          <w:sz w:val="23"/>
          <w:szCs w:val="23"/>
          <w:shd w:val="clear" w:color="auto" w:fill="FFFFFF"/>
          <w:rtl/>
        </w:rPr>
        <w:t xml:space="preserve"> </w:t>
      </w:r>
      <w:r w:rsidRPr="00A62AA2">
        <w:rPr>
          <w:rFonts w:hint="cs"/>
          <w:i/>
          <w:sz w:val="23"/>
          <w:szCs w:val="23"/>
          <w:rtl/>
        </w:rPr>
        <w:t>کاهش ارزش پول ناگهانی و انتظاری تا ده درصد مستلزم افزایش نرخ‌های بهره</w:t>
      </w:r>
      <w:r w:rsidRPr="00A62AA2">
        <w:rPr>
          <w:rFonts w:hint="cs"/>
          <w:i/>
          <w:sz w:val="23"/>
          <w:szCs w:val="23"/>
          <w:rtl/>
        </w:rPr>
        <w:softHyphen/>
        <w:t>ی سالانه ۲۵۰۰ درصد جهت تاوان خسارت بود. این دقیقاً همان چیزی است که در سپتامبر سال ۱۹۹۲ در فرانسه اتفاق افتاد.</w:t>
      </w:r>
    </w:p>
    <w:p w14:paraId="13409B9B" w14:textId="77777777" w:rsidR="00556C10" w:rsidRPr="00A62AA2" w:rsidRDefault="00556C10" w:rsidP="00556C10">
      <w:pPr>
        <w:spacing w:line="216" w:lineRule="auto"/>
        <w:rPr>
          <w:i/>
          <w:sz w:val="23"/>
          <w:szCs w:val="23"/>
          <w:rtl/>
        </w:rPr>
      </w:pPr>
      <w:r w:rsidRPr="00A62AA2">
        <w:rPr>
          <w:rFonts w:hint="cs"/>
          <w:i/>
          <w:sz w:val="23"/>
          <w:szCs w:val="23"/>
          <w:rtl/>
        </w:rPr>
        <w:t>انگلستان که یکی از آخرین کشورهایی ملحق به مکانیسم نرخ ارز</w:t>
      </w:r>
      <w:r w:rsidRPr="00A62AA2">
        <w:rPr>
          <w:position w:val="-6"/>
        </w:rPr>
        <w:object w:dxaOrig="620" w:dyaOrig="260" w14:anchorId="395D287A">
          <v:shape id="_x0000_i5881" type="#_x0000_t75" style="width:30.85pt;height:12.7pt" o:ole="">
            <v:imagedata r:id="rId9786" o:title=""/>
          </v:shape>
          <o:OLEObject Type="Embed" ProgID="Equation.DSMT4" ShapeID="_x0000_i5881" DrawAspect="Content" ObjectID="_1791379825" r:id="rId9787"/>
        </w:object>
      </w:r>
      <w:r w:rsidRPr="00A62AA2">
        <w:rPr>
          <w:rFonts w:hint="cs"/>
          <w:i/>
          <w:sz w:val="23"/>
          <w:szCs w:val="23"/>
          <w:shd w:val="clear" w:color="auto" w:fill="FFFFFF"/>
          <w:rtl/>
        </w:rPr>
        <w:t xml:space="preserve"> </w:t>
      </w:r>
      <w:r w:rsidRPr="00A62AA2">
        <w:rPr>
          <w:rFonts w:hint="cs"/>
          <w:i/>
          <w:sz w:val="23"/>
          <w:szCs w:val="23"/>
          <w:rtl/>
        </w:rPr>
        <w:t>بود تمایل داشت که نرخ بهره</w:t>
      </w:r>
      <w:r w:rsidRPr="00A62AA2">
        <w:rPr>
          <w:rFonts w:hint="cs"/>
          <w:i/>
          <w:sz w:val="23"/>
          <w:szCs w:val="23"/>
          <w:rtl/>
        </w:rPr>
        <w:softHyphen/>
        <w:t>ی خود را فقط ۱۵ درصد افزایش دهد. بنابراین تصور می‌شد که در بازار ارز کاهش قریب</w:t>
      </w:r>
      <w:r w:rsidRPr="00A62AA2">
        <w:rPr>
          <w:rFonts w:hint="cs"/>
          <w:i/>
          <w:sz w:val="23"/>
          <w:szCs w:val="23"/>
          <w:rtl/>
        </w:rPr>
        <w:softHyphen/>
        <w:t>الوقوع ارزش استرلینگ اتفاق افتد. در سپتامبر ۱۹۹۲ کشور انگلستان با برخی از مهمترین شرکای تجاری اسکاندیناویایی خود از مکانیسم نرخ ارز</w:t>
      </w:r>
      <w:r w:rsidRPr="00A62AA2">
        <w:rPr>
          <w:position w:val="-6"/>
        </w:rPr>
        <w:object w:dxaOrig="620" w:dyaOrig="260" w14:anchorId="45E6A570">
          <v:shape id="_x0000_i5882" type="#_x0000_t75" style="width:30.85pt;height:12.7pt" o:ole="">
            <v:imagedata r:id="rId9788" o:title=""/>
          </v:shape>
          <o:OLEObject Type="Embed" ProgID="Equation.DSMT4" ShapeID="_x0000_i5882" DrawAspect="Content" ObjectID="_1791379826" r:id="rId9789"/>
        </w:object>
      </w:r>
      <w:r w:rsidRPr="00A62AA2">
        <w:rPr>
          <w:rFonts w:hint="cs"/>
          <w:i/>
          <w:sz w:val="23"/>
          <w:szCs w:val="23"/>
          <w:rtl/>
        </w:rPr>
        <w:t>خارج شدند و نرخ‌های ارز خود را یک بار دیگر شناور ساختند. به‌مدت زمان کوتاهی و بعد از آن، با موفقیت تجربه</w:t>
      </w:r>
      <w:r w:rsidRPr="00A62AA2">
        <w:rPr>
          <w:rFonts w:hint="cs"/>
          <w:i/>
          <w:sz w:val="23"/>
          <w:szCs w:val="23"/>
          <w:rtl/>
        </w:rPr>
        <w:softHyphen/>
        <w:t>ی نیوزلند در خصوص هدف</w:t>
      </w:r>
      <w:r w:rsidRPr="00A62AA2">
        <w:rPr>
          <w:rFonts w:hint="cs"/>
          <w:i/>
          <w:sz w:val="23"/>
          <w:szCs w:val="23"/>
          <w:rtl/>
        </w:rPr>
        <w:softHyphen/>
        <w:t>گذاری تورم، انگلستان هدف</w:t>
      </w:r>
      <w:r w:rsidRPr="00A62AA2">
        <w:rPr>
          <w:rFonts w:hint="cs"/>
          <w:i/>
          <w:sz w:val="23"/>
          <w:szCs w:val="23"/>
          <w:rtl/>
        </w:rPr>
        <w:softHyphen/>
        <w:t>گذاری تورم را آغاز و مستقیماً نرخ‌های بهره خود را کنترل کرد.</w:t>
      </w:r>
    </w:p>
    <w:p w14:paraId="309E32F8" w14:textId="77777777" w:rsidR="00556C10" w:rsidRPr="00A62AA2" w:rsidRDefault="00556C10" w:rsidP="00556C10">
      <w:pPr>
        <w:spacing w:line="216" w:lineRule="auto"/>
        <w:rPr>
          <w:i/>
          <w:sz w:val="23"/>
          <w:szCs w:val="23"/>
          <w:rtl/>
        </w:rPr>
      </w:pPr>
      <w:r w:rsidRPr="00A62AA2">
        <w:rPr>
          <w:rFonts w:hint="cs"/>
          <w:i/>
          <w:sz w:val="23"/>
          <w:szCs w:val="23"/>
          <w:rtl/>
        </w:rPr>
        <w:t>در این مدت، با تجربه</w:t>
      </w:r>
      <w:r w:rsidRPr="00A62AA2">
        <w:rPr>
          <w:rFonts w:hint="cs"/>
          <w:i/>
          <w:sz w:val="23"/>
          <w:szCs w:val="23"/>
          <w:rtl/>
        </w:rPr>
        <w:softHyphen/>
        <w:t>ی مکانیسم نرخ ارز</w:t>
      </w:r>
      <w:r w:rsidRPr="00A62AA2">
        <w:rPr>
          <w:position w:val="-6"/>
        </w:rPr>
        <w:object w:dxaOrig="620" w:dyaOrig="260" w14:anchorId="3C65A0B7">
          <v:shape id="_x0000_i5883" type="#_x0000_t75" style="width:30.85pt;height:12.7pt" o:ole="">
            <v:imagedata r:id="rId9790" o:title=""/>
          </v:shape>
          <o:OLEObject Type="Embed" ProgID="Equation.DSMT4" ShapeID="_x0000_i5883" DrawAspect="Content" ObjectID="_1791379827" r:id="rId9791"/>
        </w:object>
      </w:r>
      <w:r w:rsidRPr="00A62AA2">
        <w:rPr>
          <w:rFonts w:hint="cs"/>
          <w:i/>
          <w:sz w:val="23"/>
          <w:szCs w:val="23"/>
          <w:shd w:val="clear" w:color="auto" w:fill="FFFFFF"/>
          <w:rtl/>
        </w:rPr>
        <w:t xml:space="preserve"> </w:t>
      </w:r>
      <w:r w:rsidRPr="00A62AA2">
        <w:rPr>
          <w:rFonts w:hint="cs"/>
          <w:i/>
          <w:sz w:val="23"/>
          <w:szCs w:val="23"/>
          <w:rtl/>
        </w:rPr>
        <w:t>اعضای آن به سمت بررسی سیستم پولی بهتر هدایت شدند. در سال ۱۹۹۹ آن کشورها اتحادیه</w:t>
      </w:r>
      <w:r w:rsidRPr="00A62AA2">
        <w:rPr>
          <w:rFonts w:hint="cs"/>
          <w:i/>
          <w:sz w:val="23"/>
          <w:szCs w:val="23"/>
          <w:rtl/>
        </w:rPr>
        <w:softHyphen/>
        <w:t>ی اروپا را با یک پول رایج یعنی یورو به وجود آوردند. سیستم یورو نیز هدف</w:t>
      </w:r>
      <w:r w:rsidRPr="00A62AA2">
        <w:rPr>
          <w:rFonts w:hint="cs"/>
          <w:i/>
          <w:sz w:val="23"/>
          <w:szCs w:val="23"/>
          <w:rtl/>
        </w:rPr>
        <w:softHyphen/>
        <w:t>گذاری متوسط نرخ تورم کشورهای عضو را‌ پذیرفت و اجازه داد تا یورو در مقابل پول‌های رایج دیگر کشورها شناور شود. در خصوص نرخ بهره</w:t>
      </w:r>
      <w:r w:rsidRPr="00A62AA2">
        <w:rPr>
          <w:rFonts w:hint="cs"/>
          <w:i/>
          <w:sz w:val="23"/>
          <w:szCs w:val="23"/>
          <w:rtl/>
        </w:rPr>
        <w:softHyphen/>
        <w:t>ی منفرد که به وسیله</w:t>
      </w:r>
      <w:r w:rsidRPr="00A62AA2">
        <w:rPr>
          <w:rFonts w:hint="cs"/>
          <w:i/>
          <w:sz w:val="23"/>
          <w:szCs w:val="23"/>
          <w:rtl/>
        </w:rPr>
        <w:softHyphen/>
        <w:t>ی بانک مرکزی اروپا و با در نظر گرفتن متوسط نرخ تورم منطقه</w:t>
      </w:r>
      <w:r w:rsidRPr="00A62AA2">
        <w:rPr>
          <w:rFonts w:hint="cs"/>
          <w:i/>
          <w:sz w:val="23"/>
          <w:szCs w:val="23"/>
          <w:rtl/>
        </w:rPr>
        <w:softHyphen/>
        <w:t>ی اروپا تعیین می‌شد، مشکلات بالقوه</w:t>
      </w:r>
      <w:r w:rsidRPr="00A62AA2">
        <w:rPr>
          <w:rFonts w:hint="cs"/>
          <w:i/>
          <w:sz w:val="23"/>
          <w:szCs w:val="23"/>
          <w:rtl/>
        </w:rPr>
        <w:softHyphen/>
      </w:r>
      <w:r w:rsidRPr="00A62AA2">
        <w:rPr>
          <w:rFonts w:hint="cs"/>
          <w:i/>
          <w:sz w:val="23"/>
          <w:szCs w:val="23"/>
          <w:rtl/>
        </w:rPr>
        <w:softHyphen/>
        <w:t xml:space="preserve"> وجود داشت. کشورهای با تورمِ بالاتر از نرخ تورم متوسط، نرخ‌های بهره</w:t>
      </w:r>
      <w:r w:rsidRPr="00A62AA2">
        <w:rPr>
          <w:rFonts w:hint="cs"/>
          <w:i/>
          <w:sz w:val="23"/>
          <w:szCs w:val="23"/>
          <w:rtl/>
        </w:rPr>
        <w:softHyphen/>
        <w:t>ی حقیقی منفی داشته، و کشورهای با نرخ تورم کمتر از نرخ تورم متوسط، نرخ‌های بهره</w:t>
      </w:r>
      <w:r w:rsidRPr="00A62AA2">
        <w:rPr>
          <w:rFonts w:hint="cs"/>
          <w:i/>
          <w:sz w:val="23"/>
          <w:szCs w:val="23"/>
          <w:rtl/>
        </w:rPr>
        <w:softHyphen/>
        <w:t>ی حقیقی مثبت داشتند. به عبارتی دیگر سیاست</w:t>
      </w:r>
      <w:r w:rsidRPr="00A62AA2">
        <w:rPr>
          <w:i/>
          <w:sz w:val="23"/>
          <w:szCs w:val="23"/>
          <w:rtl/>
        </w:rPr>
        <w:softHyphen/>
      </w:r>
      <w:r w:rsidRPr="00A62AA2">
        <w:rPr>
          <w:rFonts w:hint="cs"/>
          <w:i/>
          <w:sz w:val="23"/>
          <w:szCs w:val="23"/>
          <w:rtl/>
        </w:rPr>
        <w:t>های پولی بر خلاف آن چیزی بود که باید اعمال می</w:t>
      </w:r>
      <w:r w:rsidRPr="00A62AA2">
        <w:rPr>
          <w:i/>
          <w:sz w:val="23"/>
          <w:szCs w:val="23"/>
          <w:rtl/>
        </w:rPr>
        <w:softHyphen/>
      </w:r>
      <w:r w:rsidRPr="00A62AA2">
        <w:rPr>
          <w:rFonts w:hint="cs"/>
          <w:i/>
          <w:sz w:val="23"/>
          <w:szCs w:val="23"/>
          <w:rtl/>
        </w:rPr>
        <w:t>شد. کشورهای با تورم بالا به انبساط و کشورهای با تورم پایین به انقباض ترغیب شدند. بنابراین تفاوت تورم کشورها به جای حذف، تشدید می</w:t>
      </w:r>
      <w:r w:rsidRPr="00A62AA2">
        <w:rPr>
          <w:rFonts w:hint="cs"/>
          <w:i/>
          <w:sz w:val="23"/>
          <w:szCs w:val="23"/>
          <w:rtl/>
        </w:rPr>
        <w:softHyphen/>
        <w:t>شد. ثبات سیستم یورو به شدت، به شکست و ناکامی‌ رقابت</w:t>
      </w:r>
      <w:r w:rsidRPr="00A62AA2">
        <w:rPr>
          <w:rFonts w:hint="cs"/>
          <w:i/>
          <w:sz w:val="23"/>
          <w:szCs w:val="23"/>
          <w:rtl/>
        </w:rPr>
        <w:softHyphen/>
        <w:t>پذیری کشورهای با تورم بالا و کاهش تقاضای تولیدات آن</w:t>
      </w:r>
      <w:r w:rsidRPr="00A62AA2">
        <w:rPr>
          <w:rFonts w:hint="cs"/>
          <w:i/>
          <w:sz w:val="23"/>
          <w:szCs w:val="23"/>
          <w:rtl/>
        </w:rPr>
        <w:softHyphen/>
        <w:t xml:space="preserve">ها و کاهش فشار تورمی از یک طرف، و سود رقابتی کشورهای با تورم پایین و تحریک و تهییج اقتصاد و افزایش تورم آن کشورها از طرف دیگر وابسته بود. شواهد این مدعا تورم پایین و </w:t>
      </w:r>
      <w:r w:rsidRPr="00A62AA2">
        <w:rPr>
          <w:rFonts w:hint="cs"/>
          <w:i/>
          <w:sz w:val="23"/>
          <w:szCs w:val="23"/>
          <w:rtl/>
        </w:rPr>
        <w:lastRenderedPageBreak/>
        <w:t>انبساط تجارت کشور آلمان، و تورم بالا و سطح پایین</w:t>
      </w:r>
      <w:r w:rsidRPr="00A62AA2">
        <w:rPr>
          <w:rFonts w:hint="cs"/>
          <w:i/>
          <w:sz w:val="23"/>
          <w:szCs w:val="23"/>
          <w:rtl/>
        </w:rPr>
        <w:softHyphen/>
        <w:t>تری از فعالیت‌های اقتصادی کشور ایتالیا است. این مباحث را با جزئیات بیشتر در فصل چهاردهم مورد بررسی قرار خواهیم داد.</w:t>
      </w:r>
    </w:p>
    <w:p w14:paraId="40162DA2" w14:textId="77777777" w:rsidR="00556C10" w:rsidRPr="00A62AA2" w:rsidRDefault="00556C10" w:rsidP="00556C10">
      <w:pPr>
        <w:spacing w:line="216" w:lineRule="auto"/>
        <w:rPr>
          <w:i/>
          <w:sz w:val="23"/>
          <w:szCs w:val="23"/>
          <w:rtl/>
        </w:rPr>
      </w:pPr>
      <w:r w:rsidRPr="00A62AA2">
        <w:rPr>
          <w:rFonts w:hint="cs"/>
          <w:i/>
          <w:sz w:val="23"/>
          <w:szCs w:val="23"/>
          <w:rtl/>
        </w:rPr>
        <w:t>مهمترین مزیت نرخ ارز شناور حفظ رقابت</w:t>
      </w:r>
      <w:r w:rsidRPr="00A62AA2">
        <w:rPr>
          <w:rFonts w:hint="cs"/>
          <w:i/>
          <w:sz w:val="23"/>
          <w:szCs w:val="23"/>
          <w:rtl/>
        </w:rPr>
        <w:softHyphen/>
        <w:t>پذیری یک کشور در شرایط انعطاف</w:t>
      </w:r>
      <w:r w:rsidRPr="00A62AA2">
        <w:rPr>
          <w:rFonts w:hint="cs"/>
          <w:i/>
          <w:sz w:val="23"/>
          <w:szCs w:val="23"/>
          <w:rtl/>
        </w:rPr>
        <w:softHyphen/>
        <w:t>پذیری قیمت‌ها و دستمزدها است. اگر قیمت‌ها و دستمزدها شناور باشند، آنگاه در نرخ ارز شناور منافع کمتری وجود دارد. فرض مکانیسم نرخ ارز</w:t>
      </w:r>
      <w:r w:rsidRPr="00A62AA2">
        <w:rPr>
          <w:position w:val="-6"/>
        </w:rPr>
        <w:object w:dxaOrig="620" w:dyaOrig="260" w14:anchorId="21D35CF5">
          <v:shape id="_x0000_i5884" type="#_x0000_t75" style="width:30.85pt;height:12.7pt" o:ole="">
            <v:imagedata r:id="rId9792" o:title=""/>
          </v:shape>
          <o:OLEObject Type="Embed" ProgID="Equation.DSMT4" ShapeID="_x0000_i5884" DrawAspect="Content" ObjectID="_1791379828" r:id="rId9793"/>
        </w:object>
      </w:r>
      <w:r w:rsidRPr="00A62AA2">
        <w:rPr>
          <w:rFonts w:hint="cs"/>
          <w:i/>
          <w:sz w:val="23"/>
          <w:szCs w:val="23"/>
          <w:rtl/>
        </w:rPr>
        <w:t>آن است که در منطقه</w:t>
      </w:r>
      <w:r w:rsidRPr="00A62AA2">
        <w:rPr>
          <w:rFonts w:hint="cs"/>
          <w:i/>
          <w:sz w:val="23"/>
          <w:szCs w:val="23"/>
          <w:rtl/>
        </w:rPr>
        <w:softHyphen/>
        <w:t>ی اروپا فعالیت اقتصادی به بهترین شکل و با حذف تغییرات نرخ ارز گسترش می‌یابد. موضوع مورد توجه آن است که بازارهای کار اروپا به اندازه</w:t>
      </w:r>
      <w:r w:rsidRPr="00A62AA2">
        <w:rPr>
          <w:rFonts w:hint="cs"/>
          <w:i/>
          <w:sz w:val="23"/>
          <w:szCs w:val="23"/>
          <w:rtl/>
        </w:rPr>
        <w:softHyphen/>
        <w:t>ی کافی شناور نیستند تا از این مسائل استفاده کنند.</w:t>
      </w:r>
    </w:p>
    <w:p w14:paraId="2DE17C04" w14:textId="77777777" w:rsidR="00556C10" w:rsidRPr="00A62AA2" w:rsidRDefault="00556C10" w:rsidP="00556C10">
      <w:pPr>
        <w:spacing w:line="216" w:lineRule="auto"/>
        <w:rPr>
          <w:i/>
          <w:sz w:val="23"/>
          <w:szCs w:val="23"/>
          <w:rtl/>
        </w:rPr>
      </w:pPr>
      <w:r w:rsidRPr="00A62AA2">
        <w:rPr>
          <w:rFonts w:hint="cs"/>
          <w:i/>
          <w:sz w:val="23"/>
          <w:szCs w:val="23"/>
          <w:rtl/>
        </w:rPr>
        <w:t>یکی دیگر از مزایای نرخ‌های ارز شناور آن است که نیاز به کنترل‌ سرمایه را حذف می‌کند. اگر سرمایه در جایی که بازدهی بیشتر است به کار گرفته شده باشد، در واقع باید فعالیت اقتصادی افزایش یابد. زیرا رشد اقتصادی همه کشورها از طریق تجارت، ترفیع می‌یابد. یکی از دلایل مهم اینکه چرا دولت بر کنترل‌ سرمایه اعمال نفوذ می‌کند حمایت از نرخ ارز خود بدون نرخ‌های بهره بالاست. این موارد اغلب در خصوص کشوری است که نرخ بهره</w:t>
      </w:r>
      <w:r w:rsidRPr="00A62AA2">
        <w:rPr>
          <w:rFonts w:hint="cs"/>
          <w:i/>
          <w:sz w:val="23"/>
          <w:szCs w:val="23"/>
          <w:rtl/>
        </w:rPr>
        <w:softHyphen/>
        <w:t>ی مصنوعی پایین نسبت به بقیه کشورها دارد. اگر چه دولت می‌تواند از بازار سرمایه داخلی خود با قیمتی ارزانتر قرض کند که به منفعت مالیات دهندگان است، ولی جهت پس</w:t>
      </w:r>
      <w:r w:rsidRPr="00A62AA2">
        <w:rPr>
          <w:rFonts w:hint="cs"/>
          <w:i/>
          <w:sz w:val="23"/>
          <w:szCs w:val="23"/>
          <w:rtl/>
        </w:rPr>
        <w:softHyphen/>
        <w:t>انداز سپرده</w:t>
      </w:r>
      <w:r w:rsidRPr="00A62AA2">
        <w:rPr>
          <w:rFonts w:hint="cs"/>
          <w:i/>
          <w:sz w:val="23"/>
          <w:szCs w:val="23"/>
          <w:rtl/>
        </w:rPr>
        <w:softHyphen/>
        <w:t>گذاران بازدارنده است و احتمالاً به زیان نرخ رشد اقتصادی از طریق فقدان پس</w:t>
      </w:r>
      <w:r w:rsidRPr="00A62AA2">
        <w:rPr>
          <w:rFonts w:hint="cs"/>
          <w:i/>
          <w:sz w:val="23"/>
          <w:szCs w:val="23"/>
          <w:rtl/>
        </w:rPr>
        <w:softHyphen/>
        <w:t>انداز و سرمایه</w:t>
      </w:r>
      <w:r w:rsidRPr="00A62AA2">
        <w:rPr>
          <w:rFonts w:hint="cs"/>
          <w:i/>
          <w:sz w:val="23"/>
          <w:szCs w:val="23"/>
          <w:rtl/>
        </w:rPr>
        <w:softHyphen/>
        <w:t>گذاری ختم می</w:t>
      </w:r>
      <w:r w:rsidRPr="00A62AA2">
        <w:rPr>
          <w:rFonts w:hint="cs"/>
          <w:i/>
          <w:sz w:val="23"/>
          <w:szCs w:val="23"/>
          <w:rtl/>
        </w:rPr>
        <w:softHyphen/>
        <w:t>شود.</w:t>
      </w:r>
    </w:p>
    <w:p w14:paraId="3E5F68F7" w14:textId="77777777" w:rsidR="00556C10" w:rsidRPr="00A62AA2" w:rsidRDefault="00556C10" w:rsidP="00556C10">
      <w:pPr>
        <w:spacing w:line="216" w:lineRule="auto"/>
        <w:rPr>
          <w:i/>
          <w:sz w:val="23"/>
          <w:szCs w:val="23"/>
          <w:rtl/>
        </w:rPr>
      </w:pPr>
      <w:r w:rsidRPr="00A62AA2">
        <w:rPr>
          <w:rFonts w:hint="cs"/>
          <w:i/>
          <w:sz w:val="23"/>
          <w:szCs w:val="23"/>
          <w:rtl/>
        </w:rPr>
        <w:t>یکی از جذابیت‌های نرخ‌های ارز شناور نسبت به نرخ ارز ثابت و حتی نرخ ارز هدف</w:t>
      </w:r>
      <w:r w:rsidRPr="00A62AA2">
        <w:rPr>
          <w:rFonts w:hint="cs"/>
          <w:i/>
          <w:sz w:val="23"/>
          <w:szCs w:val="23"/>
          <w:rtl/>
        </w:rPr>
        <w:softHyphen/>
        <w:t>گذاری شده آن است که این سیستم به بهترین شکل از عهده</w:t>
      </w:r>
      <w:r w:rsidRPr="00A62AA2">
        <w:rPr>
          <w:rFonts w:hint="cs"/>
          <w:i/>
          <w:sz w:val="23"/>
          <w:szCs w:val="23"/>
          <w:rtl/>
        </w:rPr>
        <w:softHyphen/>
        <w:t>ی انتقالات سرمایه که مشمول کنترل سرمایه نمی‌شوند برمی‌آید. به علاوه اگر کشوری اجازه دهد که ارزش پول داخلی</w:t>
      </w:r>
      <w:r w:rsidRPr="00A62AA2">
        <w:rPr>
          <w:rFonts w:hint="cs"/>
          <w:i/>
          <w:sz w:val="23"/>
          <w:szCs w:val="23"/>
          <w:rtl/>
        </w:rPr>
        <w:softHyphen/>
        <w:t>اش به وسیله نیروهای بازار تعیین شود، آنگاه انگیزه و محرکی برای سرمایه</w:t>
      </w:r>
      <w:r w:rsidRPr="00A62AA2">
        <w:rPr>
          <w:rFonts w:hint="cs"/>
          <w:i/>
          <w:sz w:val="23"/>
          <w:szCs w:val="23"/>
          <w:rtl/>
        </w:rPr>
        <w:softHyphen/>
        <w:t>گذاری خصوصی جهت سفته</w:t>
      </w:r>
      <w:r w:rsidRPr="00A62AA2">
        <w:rPr>
          <w:rFonts w:hint="cs"/>
          <w:i/>
          <w:sz w:val="23"/>
          <w:szCs w:val="23"/>
          <w:rtl/>
        </w:rPr>
        <w:softHyphen/>
        <w:t>بازی در مقابل پول رایج وجود ندارد. سودهای سوداگرانه بزرگ معمولاً به وسیله شرط</w:t>
      </w:r>
      <w:r w:rsidRPr="00A62AA2">
        <w:rPr>
          <w:rFonts w:hint="cs"/>
          <w:i/>
          <w:sz w:val="23"/>
          <w:szCs w:val="23"/>
          <w:rtl/>
        </w:rPr>
        <w:softHyphen/>
        <w:t>بندی سرمایه</w:t>
      </w:r>
      <w:r w:rsidRPr="00A62AA2">
        <w:rPr>
          <w:rFonts w:hint="cs"/>
          <w:i/>
          <w:sz w:val="23"/>
          <w:szCs w:val="23"/>
          <w:rtl/>
        </w:rPr>
        <w:softHyphen/>
        <w:t>گذار خصوصی در مقابل بانک مرکزی که سعی می‌کند نرخ ارز را در سطح معینی نگهدارد ولی محدودیت در ذخایر دارایی‌های خارجی دارد به وجود می‌آید. یکی از این مثال</w:t>
      </w:r>
      <w:r w:rsidRPr="00A62AA2">
        <w:rPr>
          <w:rFonts w:hint="cs"/>
          <w:i/>
          <w:sz w:val="23"/>
          <w:szCs w:val="23"/>
          <w:rtl/>
        </w:rPr>
        <w:softHyphen/>
        <w:t>ها زمانی است که دولت انگلستان در سال ۱۹۹۲ در تلاش برای نگهداری پوند در مقابل یورو در مکانیسم نرخ ارز</w:t>
      </w:r>
      <w:r w:rsidRPr="00A62AA2">
        <w:rPr>
          <w:position w:val="-6"/>
        </w:rPr>
        <w:object w:dxaOrig="620" w:dyaOrig="260" w14:anchorId="44A1D9A0">
          <v:shape id="_x0000_i5885" type="#_x0000_t75" style="width:30.85pt;height:12.7pt" o:ole="">
            <v:imagedata r:id="rId9794" o:title=""/>
          </v:shape>
          <o:OLEObject Type="Embed" ProgID="Equation.DSMT4" ShapeID="_x0000_i5885" DrawAspect="Content" ObjectID="_1791379829" r:id="rId9795"/>
        </w:object>
      </w:r>
      <w:r w:rsidRPr="00A62AA2">
        <w:rPr>
          <w:rFonts w:hint="cs"/>
          <w:i/>
          <w:sz w:val="23"/>
          <w:szCs w:val="23"/>
          <w:shd w:val="clear" w:color="auto" w:fill="FFFFFF"/>
          <w:rtl/>
        </w:rPr>
        <w:t xml:space="preserve"> </w:t>
      </w:r>
      <w:r w:rsidRPr="00A62AA2">
        <w:rPr>
          <w:rFonts w:hint="cs"/>
          <w:i/>
          <w:sz w:val="23"/>
          <w:szCs w:val="23"/>
          <w:rtl/>
        </w:rPr>
        <w:t>و سفته</w:t>
      </w:r>
      <w:r w:rsidRPr="00A62AA2">
        <w:rPr>
          <w:rFonts w:hint="cs"/>
          <w:i/>
          <w:sz w:val="23"/>
          <w:szCs w:val="23"/>
          <w:rtl/>
        </w:rPr>
        <w:softHyphen/>
        <w:t>بازی بین</w:t>
      </w:r>
      <w:r w:rsidRPr="00A62AA2">
        <w:rPr>
          <w:rFonts w:hint="cs"/>
          <w:i/>
          <w:sz w:val="23"/>
          <w:szCs w:val="23"/>
          <w:rtl/>
        </w:rPr>
        <w:softHyphen/>
        <w:t>المللی عظیم ناتوان بود و در آن زمان جورج سوروس میلیاردها پوند به دست آورد.</w:t>
      </w:r>
    </w:p>
    <w:p w14:paraId="6D4A9874" w14:textId="77777777" w:rsidR="00556C10" w:rsidRPr="00A62AA2" w:rsidRDefault="00556C10" w:rsidP="00556C10">
      <w:pPr>
        <w:spacing w:line="216" w:lineRule="auto"/>
        <w:rPr>
          <w:i/>
          <w:sz w:val="23"/>
          <w:szCs w:val="23"/>
          <w:rtl/>
        </w:rPr>
      </w:pPr>
      <w:r w:rsidRPr="00A62AA2">
        <w:rPr>
          <w:rFonts w:hint="cs"/>
          <w:i/>
          <w:sz w:val="23"/>
          <w:szCs w:val="23"/>
          <w:rtl/>
        </w:rPr>
        <w:t>سیستم نرخ‌های ارز شناور مشکلات مربوط به خود را دارد. یکی از مهمترین معایب آن منوط به اعمال شوک‌های خارجی است که ممکن است بی</w:t>
      </w:r>
      <w:r w:rsidRPr="00A62AA2">
        <w:rPr>
          <w:rFonts w:hint="cs"/>
          <w:i/>
          <w:sz w:val="23"/>
          <w:szCs w:val="23"/>
          <w:rtl/>
        </w:rPr>
        <w:softHyphen/>
        <w:t>ثبات و فرّار شوند و فعالیت‌های اقتصادی داخلی را مختل کنند. به علاوه اگر قیمت‌ها و دستمزدهای داخلی شناور نباشند آنگاه افزایش در نرخ ارز ممکن است موجب خسران و خسارت رقابت</w:t>
      </w:r>
      <w:r w:rsidRPr="00A62AA2">
        <w:rPr>
          <w:rFonts w:hint="cs"/>
          <w:i/>
          <w:sz w:val="23"/>
          <w:szCs w:val="23"/>
          <w:rtl/>
        </w:rPr>
        <w:softHyphen/>
        <w:t>پذیری شود. برخی کشورها سعی کرده</w:t>
      </w:r>
      <w:r w:rsidRPr="00A62AA2">
        <w:rPr>
          <w:rFonts w:hint="cs"/>
          <w:i/>
          <w:sz w:val="23"/>
          <w:szCs w:val="23"/>
          <w:rtl/>
        </w:rPr>
        <w:softHyphen/>
        <w:t>اند که اثر شوک‌های خارجی را از طریق مدیریت نرخ‌های ارز خود مهار کنند. در عمل این سیاست هنگامی‌ موفق است که شوک‌های خارجی بزرگ نباشند.</w:t>
      </w:r>
    </w:p>
    <w:p w14:paraId="61C79A57" w14:textId="77777777" w:rsidR="00556C10" w:rsidRPr="00A62AA2" w:rsidRDefault="00556C10" w:rsidP="00556C10">
      <w:pPr>
        <w:spacing w:line="216" w:lineRule="auto"/>
        <w:rPr>
          <w:i/>
          <w:sz w:val="23"/>
          <w:szCs w:val="23"/>
          <w:rtl/>
        </w:rPr>
      </w:pPr>
      <w:r w:rsidRPr="00A62AA2">
        <w:rPr>
          <w:rFonts w:hint="cs"/>
          <w:i/>
          <w:sz w:val="23"/>
          <w:szCs w:val="23"/>
          <w:rtl/>
        </w:rPr>
        <w:t>دلاریزایسیون و یا هدف</w:t>
      </w:r>
      <w:r w:rsidRPr="00A62AA2">
        <w:rPr>
          <w:rFonts w:hint="cs"/>
          <w:i/>
          <w:sz w:val="23"/>
          <w:szCs w:val="23"/>
          <w:rtl/>
        </w:rPr>
        <w:softHyphen/>
        <w:t xml:space="preserve">گیری دلار، بازگشتی به نرخ ارز ثابت است. دلاریزاسیون سیاست جذابی نیست مگر آنکه اقتصاد کشور به اقتصاد آمریکا به شدت گره خورده و یا همگرا باشد. هر چند دسترسی به این شرایط و حفظ آن بسیار مشکل است. تنها کشورهای با مشکلات اقتصادی حاد و طاقت فرسا </w:t>
      </w:r>
      <w:r w:rsidRPr="00A62AA2">
        <w:rPr>
          <w:rFonts w:hint="cs"/>
          <w:i/>
          <w:sz w:val="23"/>
          <w:szCs w:val="23"/>
          <w:rtl/>
        </w:rPr>
        <w:lastRenderedPageBreak/>
        <w:t>- برای مثال تورم بالا و اعتبار کم در بازارهای بین</w:t>
      </w:r>
      <w:r w:rsidRPr="00A62AA2">
        <w:rPr>
          <w:rFonts w:hint="cs"/>
          <w:i/>
          <w:sz w:val="23"/>
          <w:szCs w:val="23"/>
          <w:rtl/>
        </w:rPr>
        <w:softHyphen/>
        <w:t>المللی که پاداش ریسک بالایی دارند- احتمالاً تمایل به بلعیدن این داروی قوی دارند، و باعث می‌شود که دوام و موفقیت هدف‌گذاری تورم کمتر شود.</w:t>
      </w:r>
    </w:p>
    <w:p w14:paraId="4178F3B7" w14:textId="77777777" w:rsidR="00556C10" w:rsidRPr="00A62AA2" w:rsidRDefault="00556C10" w:rsidP="00556C10">
      <w:pPr>
        <w:spacing w:line="216" w:lineRule="auto"/>
        <w:rPr>
          <w:i/>
          <w:sz w:val="23"/>
          <w:szCs w:val="23"/>
          <w:rtl/>
        </w:rPr>
      </w:pPr>
      <w:r w:rsidRPr="00A62AA2">
        <w:rPr>
          <w:rFonts w:hint="cs"/>
          <w:i/>
          <w:sz w:val="23"/>
          <w:szCs w:val="23"/>
          <w:rtl/>
        </w:rPr>
        <w:t>با حذف کنترل سرمایه در شرایط نرخ‌های ارز شناور، حساب سرمایه در تراز پرداخت‌ها مسلط می‌شود و نوسانات در نرخ‌های ارز به واسطه</w:t>
      </w:r>
      <w:r w:rsidRPr="00A62AA2">
        <w:rPr>
          <w:rFonts w:hint="cs"/>
          <w:i/>
          <w:sz w:val="23"/>
          <w:szCs w:val="23"/>
          <w:rtl/>
        </w:rPr>
        <w:softHyphen/>
        <w:t>ی تغییرات حساب سرمایه به وجود می‌آید. برخی نکات مربوط به ابعاد و اندازه</w:t>
      </w:r>
      <w:r w:rsidRPr="00A62AA2">
        <w:rPr>
          <w:rFonts w:hint="cs"/>
          <w:i/>
          <w:sz w:val="23"/>
          <w:szCs w:val="23"/>
          <w:rtl/>
        </w:rPr>
        <w:softHyphen/>
        <w:t>ی معاملات مربوط به ارز در فصل قبل ارائه شد. در سال ۲۰۰۶ معاملات روزانه ارزهای خارجی در بازار</w:t>
      </w:r>
      <w:r w:rsidRPr="00A62AA2">
        <w:rPr>
          <w:position w:val="-6"/>
        </w:rPr>
        <w:object w:dxaOrig="720" w:dyaOrig="260" w14:anchorId="1026B8ED">
          <v:shape id="_x0000_i5886" type="#_x0000_t75" style="width:36.3pt;height:12.7pt" o:ole="">
            <v:imagedata r:id="rId9796" o:title=""/>
          </v:shape>
          <o:OLEObject Type="Embed" ProgID="Equation.DSMT4" ShapeID="_x0000_i5886" DrawAspect="Content" ObjectID="_1791379830" r:id="rId9797"/>
        </w:object>
      </w:r>
      <w:r w:rsidRPr="00A62AA2">
        <w:rPr>
          <w:i/>
          <w:sz w:val="23"/>
          <w:szCs w:val="23"/>
          <w:shd w:val="clear" w:color="auto" w:fill="FFFFFF"/>
        </w:rPr>
        <w:t xml:space="preserve"> </w:t>
      </w:r>
      <w:r w:rsidRPr="00A62AA2">
        <w:rPr>
          <w:rFonts w:hint="cs"/>
          <w:i/>
          <w:sz w:val="23"/>
          <w:szCs w:val="23"/>
          <w:rtl/>
        </w:rPr>
        <w:t>لندن بیش از نصف تولید ناخاص داخلی سالانه انگستان، و در ایالات متحده تا حدودی کمتر بود. حساب جاری حدود ۱۰ درصد از</w:t>
      </w:r>
      <w:r w:rsidRPr="00A62AA2">
        <w:rPr>
          <w:position w:val="-6"/>
        </w:rPr>
        <w:object w:dxaOrig="560" w:dyaOrig="260" w14:anchorId="389121DB">
          <v:shape id="_x0000_i5887" type="#_x0000_t75" style="width:27.85pt;height:12.7pt" o:ole="">
            <v:imagedata r:id="rId9798" o:title=""/>
          </v:shape>
          <o:OLEObject Type="Embed" ProgID="Equation.DSMT4" ShapeID="_x0000_i5887" DrawAspect="Content" ObjectID="_1791379831" r:id="rId9799"/>
        </w:object>
      </w:r>
      <w:r w:rsidRPr="00A62AA2">
        <w:rPr>
          <w:i/>
          <w:sz w:val="23"/>
          <w:szCs w:val="23"/>
          <w:shd w:val="clear" w:color="auto" w:fill="FFFFFF"/>
        </w:rPr>
        <w:t xml:space="preserve"> </w:t>
      </w:r>
      <w:r w:rsidRPr="00A62AA2">
        <w:rPr>
          <w:rFonts w:hint="cs"/>
          <w:i/>
          <w:sz w:val="23"/>
          <w:szCs w:val="23"/>
          <w:rtl/>
        </w:rPr>
        <w:t>آمریکا و ۲۵ درصد از</w:t>
      </w:r>
      <w:r w:rsidRPr="00A62AA2">
        <w:rPr>
          <w:position w:val="-6"/>
        </w:rPr>
        <w:object w:dxaOrig="560" w:dyaOrig="260" w14:anchorId="32CCAC85">
          <v:shape id="_x0000_i5888" type="#_x0000_t75" style="width:27.85pt;height:12.7pt" o:ole="">
            <v:imagedata r:id="rId9800" o:title=""/>
          </v:shape>
          <o:OLEObject Type="Embed" ProgID="Equation.DSMT4" ShapeID="_x0000_i5888" DrawAspect="Content" ObjectID="_1791379832" r:id="rId9801"/>
        </w:object>
      </w:r>
      <w:r w:rsidRPr="00A62AA2">
        <w:rPr>
          <w:rFonts w:hint="cs"/>
          <w:i/>
          <w:sz w:val="23"/>
          <w:szCs w:val="23"/>
          <w:rtl/>
        </w:rPr>
        <w:t>انگلستان بود، یعنی با هر یک از تجارت روزانه، تحرکات سرمایه بیش از ۱۲۵۰ برابر بزرگتر از معاملات حساب جاری برای اقتصاد ایالات متحده، و ۵۰۰ برابر بزرگتر از اقتصاد انگلستان است. غیرتعجب</w:t>
      </w:r>
      <w:r w:rsidRPr="00A62AA2">
        <w:rPr>
          <w:rFonts w:hint="cs"/>
          <w:i/>
          <w:sz w:val="23"/>
          <w:szCs w:val="23"/>
          <w:rtl/>
        </w:rPr>
        <w:softHyphen/>
        <w:t>آور آن</w:t>
      </w:r>
      <w:r w:rsidRPr="00A62AA2">
        <w:rPr>
          <w:rFonts w:hint="cs"/>
          <w:i/>
          <w:sz w:val="23"/>
          <w:szCs w:val="23"/>
          <w:rtl/>
        </w:rPr>
        <w:softHyphen/>
        <w:t>که در غیاب کنترل‌ سرمایه، نرخ ارز به وسیله حساب سرمایه و به خصوص نرخ‌های بهره تعیین می‌شود. این موضوع در تصریح مدل‌های نرخ‌های ارز شناور</w:t>
      </w:r>
      <w:r w:rsidRPr="00A62AA2">
        <w:rPr>
          <w:i/>
          <w:sz w:val="23"/>
          <w:szCs w:val="23"/>
        </w:rPr>
        <w:t xml:space="preserve"> </w:t>
      </w:r>
      <w:r w:rsidRPr="00A62AA2">
        <w:rPr>
          <w:rFonts w:hint="cs"/>
          <w:i/>
          <w:sz w:val="23"/>
          <w:szCs w:val="23"/>
          <w:rtl/>
        </w:rPr>
        <w:t>منعکش شده زیرا معادله</w:t>
      </w:r>
      <w:r w:rsidRPr="00A62AA2">
        <w:rPr>
          <w:rFonts w:hint="cs"/>
          <w:i/>
          <w:sz w:val="23"/>
          <w:szCs w:val="23"/>
          <w:rtl/>
        </w:rPr>
        <w:softHyphen/>
        <w:t>ی عدم وجود آربیتراژ در بازار ارز خارجی</w:t>
      </w:r>
      <w:r w:rsidRPr="00A62AA2">
        <w:rPr>
          <w:position w:val="-6"/>
        </w:rPr>
        <w:object w:dxaOrig="720" w:dyaOrig="260" w14:anchorId="71033B9C">
          <v:shape id="_x0000_i5889" type="#_x0000_t75" style="width:36.3pt;height:12.7pt" o:ole="">
            <v:imagedata r:id="rId9802" o:title=""/>
          </v:shape>
          <o:OLEObject Type="Embed" ProgID="Equation.DSMT4" ShapeID="_x0000_i5889" DrawAspect="Content" ObjectID="_1791379833" r:id="rId9803"/>
        </w:object>
      </w:r>
      <w:r w:rsidRPr="00A62AA2">
        <w:rPr>
          <w:rFonts w:hint="cs"/>
          <w:i/>
          <w:sz w:val="23"/>
          <w:szCs w:val="23"/>
          <w:rtl/>
        </w:rPr>
        <w:t>- شرط برابری بهره</w:t>
      </w:r>
      <w:r w:rsidRPr="00A62AA2">
        <w:rPr>
          <w:rFonts w:hint="cs"/>
          <w:i/>
          <w:sz w:val="23"/>
          <w:szCs w:val="23"/>
          <w:rtl/>
        </w:rPr>
        <w:softHyphen/>
        <w:t>ی بدون پوشش</w:t>
      </w:r>
      <w:r w:rsidRPr="00A62AA2">
        <w:rPr>
          <w:position w:val="-6"/>
        </w:rPr>
        <w:object w:dxaOrig="460" w:dyaOrig="260" w14:anchorId="2412D2F3">
          <v:shape id="_x0000_i5890" type="#_x0000_t75" style="width:23pt;height:12.7pt" o:ole="">
            <v:imagedata r:id="rId9804" o:title=""/>
          </v:shape>
          <o:OLEObject Type="Embed" ProgID="Equation.DSMT4" ShapeID="_x0000_i5890" DrawAspect="Content" ObjectID="_1791379834" r:id="rId9805"/>
        </w:object>
      </w:r>
      <w:r w:rsidRPr="00A62AA2">
        <w:rPr>
          <w:rFonts w:hint="cs"/>
          <w:i/>
          <w:sz w:val="23"/>
          <w:szCs w:val="23"/>
          <w:rtl/>
        </w:rPr>
        <w:t>- جایگزین تراز پرداخت‌ها می‌شود.</w:t>
      </w:r>
    </w:p>
    <w:p w14:paraId="582A93D6" w14:textId="77777777" w:rsidR="00556C10" w:rsidRPr="00A62AA2" w:rsidRDefault="00556C10" w:rsidP="00556C10">
      <w:pPr>
        <w:spacing w:line="216" w:lineRule="auto"/>
        <w:rPr>
          <w:i/>
          <w:sz w:val="23"/>
          <w:szCs w:val="23"/>
          <w:rtl/>
        </w:rPr>
      </w:pPr>
    </w:p>
    <w:p w14:paraId="74766935" w14:textId="77777777" w:rsidR="00556C10" w:rsidRPr="00A62AA2" w:rsidRDefault="00556C10" w:rsidP="00556C10">
      <w:pPr>
        <w:pStyle w:val="Heading1"/>
        <w:spacing w:before="0" w:line="216" w:lineRule="auto"/>
        <w:rPr>
          <w:rFonts w:ascii="Times New Roman" w:hAnsi="Times New Roman" w:cs="B Nazanin"/>
          <w:b w:val="0"/>
          <w:i/>
          <w:sz w:val="23"/>
          <w:szCs w:val="23"/>
          <w:rtl/>
        </w:rPr>
      </w:pPr>
      <w:r w:rsidRPr="00A62AA2">
        <w:rPr>
          <w:rFonts w:ascii="Times New Roman" w:hAnsi="Times New Roman" w:cs="B Nazanin" w:hint="cs"/>
          <w:b w:val="0"/>
          <w:i/>
          <w:sz w:val="23"/>
          <w:szCs w:val="23"/>
          <w:rtl/>
        </w:rPr>
        <w:t xml:space="preserve">۱۳. ۳ مدل کینزین </w:t>
      </w:r>
      <w:r w:rsidRPr="00A62AA2">
        <w:rPr>
          <w:position w:val="-6"/>
        </w:rPr>
        <w:object w:dxaOrig="1400" w:dyaOrig="260" w14:anchorId="013370C0">
          <v:shape id="_x0000_i5891" type="#_x0000_t75" style="width:70.2pt;height:12.7pt" o:ole="">
            <v:imagedata r:id="rId9806" o:title=""/>
          </v:shape>
          <o:OLEObject Type="Embed" ProgID="Equation.DSMT4" ShapeID="_x0000_i5891" DrawAspect="Content" ObjectID="_1791379835" r:id="rId9807"/>
        </w:object>
      </w:r>
      <w:r w:rsidRPr="00A62AA2">
        <w:rPr>
          <w:rFonts w:ascii="Times New Roman" w:hAnsi="Times New Roman" w:cs="B Nazanin" w:hint="cs"/>
          <w:b w:val="0"/>
          <w:i/>
          <w:sz w:val="23"/>
          <w:szCs w:val="23"/>
          <w:rtl/>
        </w:rPr>
        <w:t xml:space="preserve"> نرخ ارز</w:t>
      </w:r>
    </w:p>
    <w:p w14:paraId="7DAF08BE" w14:textId="77777777" w:rsidR="00556C10" w:rsidRPr="00A62AA2" w:rsidRDefault="00556C10" w:rsidP="00556C10">
      <w:pPr>
        <w:pStyle w:val="NormalWeb"/>
        <w:bidi/>
        <w:spacing w:before="0" w:beforeAutospacing="0" w:after="0" w:afterAutospacing="0" w:line="216" w:lineRule="auto"/>
        <w:jc w:val="both"/>
        <w:rPr>
          <w:rFonts w:cs="B Nazanin"/>
          <w:i/>
          <w:sz w:val="23"/>
          <w:szCs w:val="23"/>
          <w:rtl/>
        </w:rPr>
      </w:pPr>
      <w:r w:rsidRPr="00A62AA2">
        <w:rPr>
          <w:rFonts w:cs="B Nazanin" w:hint="cs"/>
          <w:i/>
          <w:sz w:val="23"/>
          <w:szCs w:val="23"/>
          <w:rtl/>
        </w:rPr>
        <w:t>مهمترین مدل اقتصاد کلانی که در سیستم برتن وودز به کار گرفته می‌شد مدل</w:t>
      </w:r>
      <w:r w:rsidRPr="00A62AA2">
        <w:rPr>
          <w:position w:val="-6"/>
        </w:rPr>
        <w:object w:dxaOrig="880" w:dyaOrig="260" w14:anchorId="2D791944">
          <v:shape id="_x0000_i5892" type="#_x0000_t75" style="width:44.15pt;height:12.7pt" o:ole="">
            <v:imagedata r:id="rId9808" o:title=""/>
          </v:shape>
          <o:OLEObject Type="Embed" ProgID="Equation.DSMT4" ShapeID="_x0000_i5892" DrawAspect="Content" ObjectID="_1791379836" r:id="rId9809"/>
        </w:object>
      </w:r>
      <w:r w:rsidRPr="00A62AA2">
        <w:rPr>
          <w:rFonts w:cs="B Nazanin" w:hint="cs"/>
          <w:i/>
          <w:sz w:val="23"/>
          <w:szCs w:val="23"/>
          <w:rtl/>
        </w:rPr>
        <w:t xml:space="preserve"> بود. این مدل ابتدا توسط هیکس به</w:t>
      </w:r>
      <w:r w:rsidRPr="00A62AA2">
        <w:rPr>
          <w:rFonts w:cs="B Nazanin" w:hint="cs"/>
          <w:i/>
          <w:sz w:val="23"/>
          <w:szCs w:val="23"/>
          <w:rtl/>
        </w:rPr>
        <w:softHyphen/>
        <w:t>عنوان نمایش ساده</w:t>
      </w:r>
      <w:r w:rsidRPr="00A62AA2">
        <w:rPr>
          <w:rFonts w:cs="B Nazanin" w:hint="cs"/>
          <w:i/>
          <w:sz w:val="23"/>
          <w:szCs w:val="23"/>
          <w:rtl/>
        </w:rPr>
        <w:softHyphen/>
        <w:t>ای از نظریه عمومی کینز در طرف تقاضا طراحی شد و به سرعت مورد استقبال قرار گرفت. از مشخصه‌های برجسته مدل</w:t>
      </w:r>
      <w:r w:rsidRPr="00A62AA2">
        <w:rPr>
          <w:position w:val="-6"/>
        </w:rPr>
        <w:object w:dxaOrig="880" w:dyaOrig="260" w14:anchorId="19CB234B">
          <v:shape id="_x0000_i5893" type="#_x0000_t75" style="width:44.15pt;height:12.7pt" o:ole="">
            <v:imagedata r:id="rId9810" o:title=""/>
          </v:shape>
          <o:OLEObject Type="Embed" ProgID="Equation.DSMT4" ShapeID="_x0000_i5893" DrawAspect="Content" ObjectID="_1791379837" r:id="rId9811"/>
        </w:object>
      </w:r>
      <w:r w:rsidRPr="00A62AA2">
        <w:rPr>
          <w:rFonts w:cs="B Nazanin" w:hint="cs"/>
          <w:i/>
          <w:sz w:val="23"/>
          <w:szCs w:val="23"/>
          <w:rtl/>
        </w:rPr>
        <w:t xml:space="preserve"> فرض ثابت بودن قیمت</w:t>
      </w:r>
      <w:r w:rsidRPr="00A62AA2">
        <w:rPr>
          <w:rFonts w:cs="B Nazanin" w:hint="cs"/>
          <w:i/>
          <w:sz w:val="23"/>
          <w:szCs w:val="23"/>
          <w:rtl/>
        </w:rPr>
        <w:softHyphen/>
        <w:t>ها و دستمزدهاست، هرچند با افزودن منحنی فیلیپس و طرف عرضه، انعطاف</w:t>
      </w:r>
      <w:r w:rsidRPr="00A62AA2">
        <w:rPr>
          <w:rFonts w:cs="B Nazanin"/>
          <w:i/>
          <w:sz w:val="23"/>
          <w:szCs w:val="23"/>
        </w:rPr>
        <w:t>‌</w:t>
      </w:r>
      <w:r w:rsidRPr="00A62AA2">
        <w:rPr>
          <w:rFonts w:cs="B Nazanin" w:hint="cs"/>
          <w:i/>
          <w:sz w:val="23"/>
          <w:szCs w:val="23"/>
          <w:rtl/>
        </w:rPr>
        <w:t>پذیری‌ قیمت‌ها و دستمزدها در این مدل اقتصادی امکان</w:t>
      </w:r>
      <w:r w:rsidRPr="00A62AA2">
        <w:rPr>
          <w:rFonts w:cs="B Nazanin"/>
          <w:i/>
          <w:sz w:val="23"/>
          <w:szCs w:val="23"/>
        </w:rPr>
        <w:t>‌</w:t>
      </w:r>
      <w:r w:rsidRPr="00A62AA2">
        <w:rPr>
          <w:rFonts w:cs="B Nazanin" w:hint="cs"/>
          <w:i/>
          <w:sz w:val="23"/>
          <w:szCs w:val="23"/>
          <w:rtl/>
        </w:rPr>
        <w:t xml:space="preserve">پذیر شد. </w:t>
      </w:r>
    </w:p>
    <w:p w14:paraId="3EEF4FD8" w14:textId="77777777" w:rsidR="00556C10" w:rsidRPr="00A62AA2" w:rsidRDefault="00556C10" w:rsidP="00556C10">
      <w:pPr>
        <w:pStyle w:val="NormalWeb"/>
        <w:bidi/>
        <w:spacing w:before="0" w:beforeAutospacing="0" w:after="0" w:afterAutospacing="0" w:line="216" w:lineRule="auto"/>
        <w:jc w:val="both"/>
        <w:rPr>
          <w:rFonts w:cs="B Nazanin"/>
          <w:i/>
          <w:sz w:val="23"/>
          <w:szCs w:val="23"/>
          <w:rtl/>
        </w:rPr>
      </w:pPr>
      <w:r w:rsidRPr="00A62AA2">
        <w:rPr>
          <w:rFonts w:cs="B Nazanin" w:hint="cs"/>
          <w:i/>
          <w:sz w:val="23"/>
          <w:szCs w:val="23"/>
          <w:rtl/>
        </w:rPr>
        <w:t>در رویکرد تعادل عمومی پویا در اقتصاد کلان، مدل‌های</w:t>
      </w:r>
      <w:r w:rsidRPr="00A62AA2">
        <w:rPr>
          <w:position w:val="-6"/>
        </w:rPr>
        <w:object w:dxaOrig="880" w:dyaOrig="260" w14:anchorId="2115AE35">
          <v:shape id="_x0000_i5894" type="#_x0000_t75" style="width:44.15pt;height:12.7pt" o:ole="">
            <v:imagedata r:id="rId9812" o:title=""/>
          </v:shape>
          <o:OLEObject Type="Embed" ProgID="Equation.DSMT4" ShapeID="_x0000_i5894" DrawAspect="Content" ObjectID="_1791379838" r:id="rId9813"/>
        </w:object>
      </w:r>
      <w:r w:rsidRPr="00A62AA2">
        <w:rPr>
          <w:rFonts w:cs="B Nazanin" w:hint="cs"/>
          <w:i/>
          <w:sz w:val="23"/>
          <w:szCs w:val="23"/>
          <w:rtl/>
        </w:rPr>
        <w:t xml:space="preserve"> فاقد ساختار بهینه</w:t>
      </w:r>
      <w:r w:rsidRPr="00A62AA2">
        <w:rPr>
          <w:rFonts w:cs="B Nazanin" w:hint="cs"/>
          <w:i/>
          <w:sz w:val="23"/>
          <w:szCs w:val="23"/>
          <w:rtl/>
        </w:rPr>
        <w:softHyphen/>
        <w:t>یابی اقتصاد خرد می‌باشند، چارچوب بین</w:t>
      </w:r>
      <w:r w:rsidRPr="00A62AA2">
        <w:rPr>
          <w:rFonts w:cs="B Nazanin" w:hint="cs"/>
          <w:i/>
          <w:sz w:val="23"/>
          <w:szCs w:val="23"/>
          <w:rtl/>
        </w:rPr>
        <w:softHyphen/>
        <w:t>دوره‌ای ندارند، و همان</w:t>
      </w:r>
      <w:r w:rsidRPr="00A62AA2">
        <w:rPr>
          <w:rFonts w:cs="B Nazanin" w:hint="cs"/>
          <w:i/>
          <w:sz w:val="23"/>
          <w:szCs w:val="23"/>
          <w:rtl/>
        </w:rPr>
        <w:softHyphen/>
        <w:t>گونه که در فصل اول و دوم توضیح داده شد مفهوم تعادلِ جریان را به جای ذخیره به طور غلط به کار می‌برند. توجیه مقبول آن است که مدل</w:t>
      </w:r>
      <w:r w:rsidRPr="00A62AA2">
        <w:rPr>
          <w:position w:val="-6"/>
        </w:rPr>
        <w:object w:dxaOrig="880" w:dyaOrig="260" w14:anchorId="57C8DAB1">
          <v:shape id="_x0000_i5895" type="#_x0000_t75" style="width:44.15pt;height:12.7pt" o:ole="">
            <v:imagedata r:id="rId9814" o:title=""/>
          </v:shape>
          <o:OLEObject Type="Embed" ProgID="Equation.DSMT4" ShapeID="_x0000_i5895" DrawAspect="Content" ObjectID="_1791379839" r:id="rId9815"/>
        </w:object>
      </w:r>
      <w:r w:rsidRPr="00A62AA2">
        <w:rPr>
          <w:rFonts w:cs="B Nazanin" w:hint="cs"/>
          <w:i/>
          <w:sz w:val="23"/>
          <w:szCs w:val="23"/>
          <w:rtl/>
        </w:rPr>
        <w:t xml:space="preserve"> با دوره‌ای از زمان که به اندازه</w:t>
      </w:r>
      <w:r w:rsidRPr="00A62AA2">
        <w:rPr>
          <w:rFonts w:cs="B Nazanin" w:hint="cs"/>
          <w:i/>
          <w:sz w:val="23"/>
          <w:szCs w:val="23"/>
          <w:rtl/>
        </w:rPr>
        <w:softHyphen/>
        <w:t>ی کافی کوتاه است و موجودی سرمایه بدون تغییر باقی می‌ماند سر و کار دارد. بنابراین پیش</w:t>
      </w:r>
      <w:r w:rsidRPr="00A62AA2">
        <w:rPr>
          <w:rFonts w:cs="B Nazanin" w:hint="cs"/>
          <w:i/>
          <w:sz w:val="23"/>
          <w:szCs w:val="23"/>
          <w:rtl/>
        </w:rPr>
        <w:softHyphen/>
        <w:t>بینی زمانی میان‌مدت و بلند‌مدت در آن اعتبار ندارد. در نتیجه مدل</w:t>
      </w:r>
      <w:r w:rsidRPr="00A62AA2">
        <w:rPr>
          <w:position w:val="-6"/>
        </w:rPr>
        <w:object w:dxaOrig="880" w:dyaOrig="260" w14:anchorId="4F7A99AB">
          <v:shape id="_x0000_i5896" type="#_x0000_t75" style="width:44.15pt;height:12.7pt" o:ole="">
            <v:imagedata r:id="rId9816" o:title=""/>
          </v:shape>
          <o:OLEObject Type="Embed" ProgID="Equation.DSMT4" ShapeID="_x0000_i5896" DrawAspect="Content" ObjectID="_1791379840" r:id="rId9817"/>
        </w:object>
      </w:r>
      <w:r w:rsidRPr="00A62AA2">
        <w:rPr>
          <w:rFonts w:cs="B Nazanin" w:hint="cs"/>
          <w:i/>
          <w:sz w:val="23"/>
          <w:szCs w:val="23"/>
          <w:rtl/>
        </w:rPr>
        <w:t xml:space="preserve"> اغلب برای تجزیه و تحلیل ایستای مقایسه</w:t>
      </w:r>
      <w:r w:rsidRPr="00A62AA2">
        <w:rPr>
          <w:rFonts w:cs="B Nazanin" w:hint="cs"/>
          <w:i/>
          <w:sz w:val="23"/>
          <w:szCs w:val="23"/>
          <w:rtl/>
        </w:rPr>
        <w:softHyphen/>
        <w:t>ای بجای تجزیه و تحلیل پویایی، مثلاً بررسی تعادل جریان برای مقادیر متفاوت متغیرهای برون‌زا و نه اثرات پویایی تغییرات متغیرهای برون‌زا مورد استفاده قرار می‌گیرد.</w:t>
      </w:r>
    </w:p>
    <w:p w14:paraId="7DD6DDD1" w14:textId="77777777" w:rsidR="00556C10" w:rsidRPr="00A62AA2" w:rsidRDefault="00556C10" w:rsidP="00556C10">
      <w:pPr>
        <w:pStyle w:val="NormalWeb"/>
        <w:bidi/>
        <w:spacing w:before="0" w:beforeAutospacing="0" w:after="0" w:afterAutospacing="0" w:line="216" w:lineRule="auto"/>
        <w:jc w:val="both"/>
        <w:rPr>
          <w:rFonts w:cs="B Nazanin"/>
          <w:i/>
          <w:sz w:val="23"/>
          <w:szCs w:val="23"/>
        </w:rPr>
      </w:pPr>
      <w:r w:rsidRPr="00A62AA2">
        <w:rPr>
          <w:rFonts w:cs="B Nazanin"/>
          <w:i/>
          <w:sz w:val="23"/>
          <w:szCs w:val="23"/>
        </w:rPr>
        <w:t> </w:t>
      </w:r>
      <w:r w:rsidRPr="00A62AA2">
        <w:rPr>
          <w:rFonts w:cs="B Nazanin" w:hint="cs"/>
          <w:i/>
          <w:sz w:val="23"/>
          <w:szCs w:val="23"/>
          <w:rtl/>
        </w:rPr>
        <w:t>جذابیت مدل‌های</w:t>
      </w:r>
      <w:r w:rsidRPr="00A62AA2">
        <w:rPr>
          <w:rFonts w:cs="B Nazanin"/>
          <w:i/>
          <w:sz w:val="23"/>
          <w:szCs w:val="23"/>
        </w:rPr>
        <w:t xml:space="preserve"> </w:t>
      </w:r>
      <w:r w:rsidRPr="00A62AA2">
        <w:rPr>
          <w:position w:val="-6"/>
        </w:rPr>
        <w:object w:dxaOrig="880" w:dyaOrig="260" w14:anchorId="2D6623B7">
          <v:shape id="_x0000_i5897" type="#_x0000_t75" style="width:44.15pt;height:12.7pt" o:ole="">
            <v:imagedata r:id="rId9818" o:title=""/>
          </v:shape>
          <o:OLEObject Type="Embed" ProgID="Equation.DSMT4" ShapeID="_x0000_i5897" DrawAspect="Content" ObjectID="_1791379841" r:id="rId9819"/>
        </w:object>
      </w:r>
      <w:r w:rsidRPr="00A62AA2">
        <w:rPr>
          <w:rFonts w:cs="B Nazanin" w:hint="cs"/>
          <w:i/>
          <w:sz w:val="23"/>
          <w:szCs w:val="23"/>
          <w:rtl/>
        </w:rPr>
        <w:t>و شاید مهم</w:t>
      </w:r>
      <w:r w:rsidRPr="00A62AA2">
        <w:rPr>
          <w:rFonts w:cs="B Nazanin"/>
          <w:i/>
          <w:sz w:val="23"/>
          <w:szCs w:val="23"/>
        </w:rPr>
        <w:t>‌</w:t>
      </w:r>
      <w:r w:rsidRPr="00A62AA2">
        <w:rPr>
          <w:rFonts w:cs="B Nazanin" w:hint="cs"/>
          <w:i/>
          <w:sz w:val="23"/>
          <w:szCs w:val="23"/>
          <w:rtl/>
        </w:rPr>
        <w:t>ترین دلیل اینکه چرا هنوز بطور گسترده مورد استفاده قرار می</w:t>
      </w:r>
      <w:r w:rsidRPr="00A62AA2">
        <w:rPr>
          <w:rFonts w:cs="B Nazanin"/>
          <w:i/>
          <w:sz w:val="23"/>
          <w:szCs w:val="23"/>
        </w:rPr>
        <w:t>‌</w:t>
      </w:r>
      <w:r w:rsidRPr="00A62AA2">
        <w:rPr>
          <w:rFonts w:cs="B Nazanin" w:hint="cs"/>
          <w:i/>
          <w:sz w:val="23"/>
          <w:szCs w:val="23"/>
          <w:rtl/>
        </w:rPr>
        <w:t>گیرند آن است که نمایش ساده‌ای از اقتصاد کلان را ارائه کرده و به سادگی مورد استفاده قرار می‌گیرد. نسخه اولیه</w:t>
      </w:r>
      <w:r w:rsidRPr="00A62AA2">
        <w:rPr>
          <w:rFonts w:cs="B Nazanin" w:hint="cs"/>
          <w:i/>
          <w:sz w:val="23"/>
          <w:szCs w:val="23"/>
          <w:rtl/>
        </w:rPr>
        <w:softHyphen/>
        <w:t>ی مدل</w:t>
      </w:r>
      <w:r w:rsidRPr="00A62AA2">
        <w:rPr>
          <w:rFonts w:cs="B Nazanin" w:hint="cs"/>
          <w:i/>
          <w:sz w:val="23"/>
          <w:szCs w:val="23"/>
          <w:rtl/>
        </w:rPr>
        <w:softHyphen/>
        <w:t>های</w:t>
      </w:r>
      <w:r w:rsidRPr="00A62AA2">
        <w:rPr>
          <w:position w:val="-6"/>
        </w:rPr>
        <w:object w:dxaOrig="880" w:dyaOrig="260" w14:anchorId="42750137">
          <v:shape id="_x0000_i5898" type="#_x0000_t75" style="width:44.15pt;height:12.7pt" o:ole="">
            <v:imagedata r:id="rId9820" o:title=""/>
          </v:shape>
          <o:OLEObject Type="Embed" ProgID="Equation.DSMT4" ShapeID="_x0000_i5898" DrawAspect="Content" ObjectID="_1791379842" r:id="rId9821"/>
        </w:object>
      </w:r>
      <w:r w:rsidRPr="00A62AA2">
        <w:rPr>
          <w:rFonts w:cs="B Nazanin" w:hint="cs"/>
          <w:i/>
          <w:sz w:val="23"/>
          <w:szCs w:val="23"/>
          <w:rtl/>
        </w:rPr>
        <w:t xml:space="preserve"> برای تبیین اقتصاد کلان بسته بود که دارای دو معادله تعادل بازار کالا یعنی مدل معادله‌ی</w:t>
      </w:r>
      <w:r w:rsidRPr="00A62AA2">
        <w:rPr>
          <w:position w:val="-6"/>
        </w:rPr>
        <w:object w:dxaOrig="320" w:dyaOrig="260" w14:anchorId="1DBC7DBD">
          <v:shape id="_x0000_i5899" type="#_x0000_t75" style="width:15.75pt;height:12.7pt" o:ole="">
            <v:imagedata r:id="rId9822" o:title=""/>
          </v:shape>
          <o:OLEObject Type="Embed" ProgID="Equation.DSMT4" ShapeID="_x0000_i5899" DrawAspect="Content" ObjectID="_1791379843" r:id="rId9823"/>
        </w:object>
      </w:r>
      <w:r w:rsidRPr="00A62AA2">
        <w:rPr>
          <w:rFonts w:cs="B Nazanin" w:hint="cs"/>
          <w:i/>
          <w:sz w:val="23"/>
          <w:szCs w:val="23"/>
          <w:shd w:val="clear" w:color="auto" w:fill="FFFFFF"/>
          <w:rtl/>
        </w:rPr>
        <w:t>،</w:t>
      </w:r>
      <w:r w:rsidRPr="00A62AA2">
        <w:rPr>
          <w:rFonts w:cs="B Nazanin" w:hint="cs"/>
          <w:i/>
          <w:sz w:val="23"/>
          <w:szCs w:val="23"/>
          <w:rtl/>
        </w:rPr>
        <w:t xml:space="preserve"> و تعادل بازار پول یعنی معادله‌ی</w:t>
      </w:r>
      <w:r w:rsidRPr="00025957">
        <w:rPr>
          <w:position w:val="-4"/>
        </w:rPr>
        <w:object w:dxaOrig="440" w:dyaOrig="240" w14:anchorId="63307E92">
          <v:shape id="_x0000_i5900" type="#_x0000_t75" style="width:21.8pt;height:12.1pt" o:ole="">
            <v:imagedata r:id="rId9824" o:title=""/>
          </v:shape>
          <o:OLEObject Type="Embed" ProgID="Equation.DSMT4" ShapeID="_x0000_i5900" DrawAspect="Content" ObjectID="_1791379844" r:id="rId9825"/>
        </w:object>
      </w:r>
      <w:r w:rsidRPr="00A62AA2">
        <w:rPr>
          <w:rFonts w:cs="B Nazanin" w:hint="cs"/>
          <w:i/>
          <w:sz w:val="23"/>
          <w:szCs w:val="23"/>
          <w:rtl/>
        </w:rPr>
        <w:t xml:space="preserve"> بود. معادله‌ی </w:t>
      </w:r>
      <w:r w:rsidRPr="00A62AA2">
        <w:rPr>
          <w:rFonts w:cs="B Nazanin" w:hint="cs"/>
          <w:i/>
          <w:sz w:val="23"/>
          <w:szCs w:val="23"/>
          <w:rtl/>
        </w:rPr>
        <w:lastRenderedPageBreak/>
        <w:t>سوم که به مدل</w:t>
      </w:r>
      <w:r w:rsidRPr="00A62AA2">
        <w:rPr>
          <w:rFonts w:cs="B Nazanin"/>
          <w:i/>
          <w:sz w:val="23"/>
          <w:szCs w:val="23"/>
        </w:rPr>
        <w:t>‌</w:t>
      </w:r>
      <w:r w:rsidRPr="00A62AA2">
        <w:rPr>
          <w:rFonts w:cs="B Nazanin" w:hint="cs"/>
          <w:i/>
          <w:sz w:val="23"/>
          <w:szCs w:val="23"/>
          <w:rtl/>
        </w:rPr>
        <w:t>های</w:t>
      </w:r>
      <w:r w:rsidRPr="00A62AA2">
        <w:rPr>
          <w:position w:val="-6"/>
        </w:rPr>
        <w:object w:dxaOrig="880" w:dyaOrig="260" w14:anchorId="567488BF">
          <v:shape id="_x0000_i5901" type="#_x0000_t75" style="width:44.15pt;height:12.7pt" o:ole="">
            <v:imagedata r:id="rId9826" o:title=""/>
          </v:shape>
          <o:OLEObject Type="Embed" ProgID="Equation.DSMT4" ShapeID="_x0000_i5901" DrawAspect="Content" ObjectID="_1791379845" r:id="rId9827"/>
        </w:object>
      </w:r>
      <w:r w:rsidRPr="00A62AA2">
        <w:rPr>
          <w:rFonts w:cs="B Nazanin" w:hint="cs"/>
          <w:i/>
          <w:sz w:val="23"/>
          <w:szCs w:val="23"/>
          <w:rtl/>
        </w:rPr>
        <w:t xml:space="preserve"> اضافه شد برای تجزیه و تحلیل اقتصاد باز بود که بدان معادله‌ی تراز پرداخت</w:t>
      </w:r>
      <w:r w:rsidRPr="00A62AA2">
        <w:rPr>
          <w:rFonts w:cs="B Nazanin"/>
          <w:i/>
          <w:sz w:val="23"/>
          <w:szCs w:val="23"/>
        </w:rPr>
        <w:t>‌</w:t>
      </w:r>
      <w:r w:rsidRPr="00A62AA2">
        <w:rPr>
          <w:rFonts w:cs="B Nazanin" w:hint="cs"/>
          <w:i/>
          <w:sz w:val="23"/>
          <w:szCs w:val="23"/>
          <w:rtl/>
        </w:rPr>
        <w:t>ها گویند. به این ترتیب با اعمال اثرات نرخ ارز حقیقی و تولید خارجی بر تقاضای کل در معادله‌ی</w:t>
      </w:r>
      <w:r w:rsidRPr="00A62AA2">
        <w:rPr>
          <w:position w:val="-6"/>
        </w:rPr>
        <w:object w:dxaOrig="320" w:dyaOrig="260" w14:anchorId="4FAEDBD5">
          <v:shape id="_x0000_i5902" type="#_x0000_t75" style="width:15.75pt;height:12.7pt" o:ole="">
            <v:imagedata r:id="rId9828" o:title=""/>
          </v:shape>
          <o:OLEObject Type="Embed" ProgID="Equation.DSMT4" ShapeID="_x0000_i5902" DrawAspect="Content" ObjectID="_1791379846" r:id="rId9829"/>
        </w:object>
      </w:r>
      <w:r w:rsidRPr="00A62AA2">
        <w:rPr>
          <w:rFonts w:cs="B Nazanin" w:hint="cs"/>
          <w:i/>
          <w:sz w:val="23"/>
          <w:szCs w:val="23"/>
          <w:rtl/>
        </w:rPr>
        <w:t xml:space="preserve"> تجدید نظر شد و به تبع آن مدل</w:t>
      </w:r>
      <w:r w:rsidRPr="00A62AA2">
        <w:rPr>
          <w:rFonts w:cs="B Nazanin"/>
          <w:i/>
          <w:sz w:val="23"/>
          <w:szCs w:val="23"/>
        </w:rPr>
        <w:t xml:space="preserve"> </w:t>
      </w:r>
      <w:r w:rsidRPr="00A62AA2">
        <w:rPr>
          <w:position w:val="-6"/>
        </w:rPr>
        <w:object w:dxaOrig="1400" w:dyaOrig="260" w14:anchorId="0234490F">
          <v:shape id="_x0000_i5903" type="#_x0000_t75" style="width:70.2pt;height:12.7pt" o:ole="">
            <v:imagedata r:id="rId9830" o:title=""/>
          </v:shape>
          <o:OLEObject Type="Embed" ProgID="Equation.DSMT4" ShapeID="_x0000_i5903" DrawAspect="Content" ObjectID="_1791379847" r:id="rId9831"/>
        </w:object>
      </w:r>
      <w:r w:rsidRPr="00A62AA2">
        <w:rPr>
          <w:rStyle w:val="FootnoteReference"/>
          <w:rFonts w:eastAsiaTheme="majorEastAsia"/>
          <w:i/>
          <w:sz w:val="23"/>
          <w:szCs w:val="23"/>
          <w:rtl/>
        </w:rPr>
        <w:footnoteReference w:id="313"/>
      </w:r>
      <w:r w:rsidRPr="00A62AA2">
        <w:rPr>
          <w:rFonts w:cs="B Nazanin" w:hint="cs"/>
          <w:i/>
          <w:sz w:val="23"/>
          <w:szCs w:val="23"/>
          <w:rtl/>
        </w:rPr>
        <w:t xml:space="preserve"> معرفی و در سیستم نرخ ارز ثابت برتن وودز و سیستم نرخ ارز شناور مورد استفاده قرار گرفت. تمایز این دو روش استفاده در تصریح معادله</w:t>
      </w:r>
      <w:r w:rsidRPr="00A62AA2">
        <w:rPr>
          <w:rFonts w:cs="B Nazanin" w:hint="cs"/>
          <w:i/>
          <w:sz w:val="23"/>
          <w:szCs w:val="23"/>
          <w:rtl/>
        </w:rPr>
        <w:softHyphen/>
        <w:t>ی</w:t>
      </w:r>
      <w:r w:rsidRPr="00025957">
        <w:rPr>
          <w:position w:val="-4"/>
        </w:rPr>
        <w:object w:dxaOrig="400" w:dyaOrig="240" w14:anchorId="2AE36D49">
          <v:shape id="_x0000_i5904" type="#_x0000_t75" style="width:19.95pt;height:12.1pt" o:ole="">
            <v:imagedata r:id="rId9832" o:title=""/>
          </v:shape>
          <o:OLEObject Type="Embed" ProgID="Equation.DSMT4" ShapeID="_x0000_i5904" DrawAspect="Content" ObjectID="_1791379848" r:id="rId9833"/>
        </w:object>
      </w:r>
      <w:r w:rsidRPr="00A62AA2">
        <w:rPr>
          <w:rFonts w:cs="B Nazanin" w:hint="cs"/>
          <w:i/>
          <w:sz w:val="23"/>
          <w:szCs w:val="23"/>
          <w:rtl/>
        </w:rPr>
        <w:t>آشکار می</w:t>
      </w:r>
      <w:r w:rsidRPr="00A62AA2">
        <w:rPr>
          <w:rFonts w:cs="B Nazanin" w:hint="cs"/>
          <w:i/>
          <w:sz w:val="23"/>
          <w:szCs w:val="23"/>
          <w:rtl/>
        </w:rPr>
        <w:softHyphen/>
        <w:t>شود. در مدل استاندارد نرخ ارز ثابت فرض می</w:t>
      </w:r>
      <w:r w:rsidRPr="00A62AA2">
        <w:rPr>
          <w:rFonts w:cs="B Nazanin" w:hint="cs"/>
          <w:i/>
          <w:sz w:val="23"/>
          <w:szCs w:val="23"/>
          <w:rtl/>
        </w:rPr>
        <w:softHyphen/>
        <w:t>شود بخاطر کنترل‌های سرمایه ترازپرداخت‌ها بوسیله</w:t>
      </w:r>
      <w:r w:rsidRPr="00A62AA2">
        <w:rPr>
          <w:rFonts w:cs="B Nazanin" w:hint="cs"/>
          <w:i/>
          <w:sz w:val="23"/>
          <w:szCs w:val="23"/>
          <w:rtl/>
        </w:rPr>
        <w:softHyphen/>
        <w:t>ی حساب جاری تعیین می‌شود، و مازاد ترازپرداخت به صورت افزایش ذخائر رسمی و بدون در نظر گرفتن سیاست خنثی</w:t>
      </w:r>
      <w:r w:rsidRPr="00A62AA2">
        <w:rPr>
          <w:rFonts w:cs="B Nazanin" w:hint="cs"/>
          <w:i/>
          <w:sz w:val="23"/>
          <w:szCs w:val="23"/>
          <w:rtl/>
        </w:rPr>
        <w:softHyphen/>
        <w:t>سازی باعث افزایش عرضه‌ی پول می‌شود. سیاست خنثی</w:t>
      </w:r>
      <w:r w:rsidRPr="00A62AA2">
        <w:rPr>
          <w:rFonts w:cs="B Nazanin" w:hint="cs"/>
          <w:i/>
          <w:sz w:val="23"/>
          <w:szCs w:val="23"/>
          <w:rtl/>
        </w:rPr>
        <w:softHyphen/>
        <w:t>سازی بوسیله‌ی مقامات پولی از طریق خرید و فروش دارایی‌های مالی صورت می</w:t>
      </w:r>
      <w:r w:rsidRPr="00A62AA2">
        <w:rPr>
          <w:rFonts w:cs="B Nazanin" w:hint="cs"/>
          <w:i/>
          <w:sz w:val="23"/>
          <w:szCs w:val="23"/>
          <w:rtl/>
        </w:rPr>
        <w:softHyphen/>
        <w:t xml:space="preserve">گیرد که هدف آن تفکیک عرضه‌ی پول </w:t>
      </w:r>
    </w:p>
    <w:p w14:paraId="37089EA7" w14:textId="77777777" w:rsidR="00556C10" w:rsidRPr="00A62AA2" w:rsidRDefault="00556C10" w:rsidP="00556C10">
      <w:pPr>
        <w:pStyle w:val="NormalWeb"/>
        <w:bidi/>
        <w:spacing w:before="0" w:beforeAutospacing="0" w:after="0" w:afterAutospacing="0" w:line="216" w:lineRule="auto"/>
        <w:jc w:val="both"/>
        <w:rPr>
          <w:rFonts w:cs="B Nazanin"/>
          <w:i/>
          <w:sz w:val="23"/>
          <w:szCs w:val="23"/>
        </w:rPr>
      </w:pPr>
      <w:r w:rsidRPr="00A62AA2">
        <w:rPr>
          <w:rFonts w:cs="B Nazanin" w:hint="cs"/>
          <w:i/>
          <w:sz w:val="23"/>
          <w:szCs w:val="23"/>
          <w:rtl/>
        </w:rPr>
        <w:t>داخلی از تغییرات ذخایر است؛ مداخله</w:t>
      </w:r>
      <w:r w:rsidRPr="00A62AA2">
        <w:rPr>
          <w:rFonts w:cs="B Nazanin" w:hint="cs"/>
          <w:i/>
          <w:sz w:val="23"/>
          <w:szCs w:val="23"/>
          <w:rtl/>
        </w:rPr>
        <w:softHyphen/>
        <w:t>ی عدم خنثی</w:t>
      </w:r>
      <w:r w:rsidRPr="00A62AA2">
        <w:rPr>
          <w:rFonts w:cs="B Nazanin"/>
          <w:i/>
          <w:sz w:val="23"/>
          <w:szCs w:val="23"/>
        </w:rPr>
        <w:t>‌</w:t>
      </w:r>
      <w:r w:rsidRPr="00A62AA2">
        <w:rPr>
          <w:rFonts w:cs="B Nazanin" w:hint="cs"/>
          <w:i/>
          <w:sz w:val="23"/>
          <w:szCs w:val="23"/>
          <w:rtl/>
        </w:rPr>
        <w:t>سازی اجازه می‌دهد که تغییرات در ذخائر بر عرضه‌ی پول تاثیر بگذارد. در رویکرد پولی به تراز پرداخت‌ها فرض می</w:t>
      </w:r>
      <w:r w:rsidRPr="00A62AA2">
        <w:rPr>
          <w:rFonts w:cs="B Nazanin"/>
          <w:i/>
          <w:sz w:val="23"/>
          <w:szCs w:val="23"/>
        </w:rPr>
        <w:t>‌</w:t>
      </w:r>
      <w:r w:rsidRPr="00A62AA2">
        <w:rPr>
          <w:rFonts w:cs="B Nazanin" w:hint="cs"/>
          <w:i/>
          <w:sz w:val="23"/>
          <w:szCs w:val="23"/>
          <w:rtl/>
        </w:rPr>
        <w:t>شود که تراز پرداخت</w:t>
      </w:r>
      <w:r w:rsidRPr="00A62AA2">
        <w:rPr>
          <w:rFonts w:cs="B Nazanin" w:hint="cs"/>
          <w:i/>
          <w:sz w:val="23"/>
          <w:szCs w:val="23"/>
          <w:rtl/>
        </w:rPr>
        <w:softHyphen/>
        <w:t>ها به صورت مازاد تقاضای (و یا مازاد عرضه</w:t>
      </w:r>
      <w:r w:rsidRPr="00A62AA2">
        <w:rPr>
          <w:rFonts w:cs="B Nazanin" w:hint="cs"/>
          <w:i/>
          <w:sz w:val="23"/>
          <w:szCs w:val="23"/>
          <w:rtl/>
        </w:rPr>
        <w:softHyphen/>
        <w:t>ی) پول، و تعادل بازار پول از طریق تغییر در عرضه‌ی پول بواسطه</w:t>
      </w:r>
      <w:r w:rsidRPr="00A62AA2">
        <w:rPr>
          <w:rFonts w:cs="B Nazanin" w:hint="cs"/>
          <w:i/>
          <w:sz w:val="23"/>
          <w:szCs w:val="23"/>
          <w:rtl/>
        </w:rPr>
        <w:softHyphen/>
        <w:t>ی ورود و خروج ذخائر پول خارجی ترمیم می‌شود.</w:t>
      </w:r>
    </w:p>
    <w:p w14:paraId="60BB2CBB" w14:textId="77777777" w:rsidR="00556C10" w:rsidRPr="00A62AA2" w:rsidRDefault="00556C10" w:rsidP="00556C10">
      <w:pPr>
        <w:pStyle w:val="NormalWeb"/>
        <w:bidi/>
        <w:spacing w:before="0" w:beforeAutospacing="0" w:after="0" w:afterAutospacing="0" w:line="216" w:lineRule="auto"/>
        <w:jc w:val="both"/>
        <w:rPr>
          <w:rFonts w:cs="B Nazanin"/>
          <w:i/>
          <w:sz w:val="23"/>
          <w:szCs w:val="23"/>
        </w:rPr>
      </w:pPr>
      <w:r w:rsidRPr="00A62AA2">
        <w:rPr>
          <w:rFonts w:cs="B Nazanin" w:hint="cs"/>
          <w:i/>
          <w:sz w:val="23"/>
          <w:szCs w:val="23"/>
          <w:rtl/>
        </w:rPr>
        <w:t>در مدل‌های نرخ ارز شناور به طور خاص فرض می‌شود که دارایی‌های داخلی و خارجی (احتمالاً بعد از تعدیل ریسک) جانشین کامل</w:t>
      </w:r>
      <w:r w:rsidRPr="00A62AA2">
        <w:rPr>
          <w:rFonts w:cs="B Nazanin" w:hint="cs"/>
          <w:i/>
          <w:sz w:val="23"/>
          <w:szCs w:val="23"/>
          <w:rtl/>
        </w:rPr>
        <w:softHyphen/>
        <w:t>اند، و این</w:t>
      </w:r>
      <w:r w:rsidRPr="00A62AA2">
        <w:rPr>
          <w:rFonts w:cs="B Nazanin" w:hint="cs"/>
          <w:i/>
          <w:sz w:val="23"/>
          <w:szCs w:val="23"/>
          <w:rtl/>
        </w:rPr>
        <w:softHyphen/>
        <w:t>که، معادله‌ی تراز پرداخت‌ها می‌تواند با برابری بهره‌ی بدون پوشش جایگزین شود. این مدل‌ها ممکن است با مفروضات خود در خصوص انعطاف‌پذیری قیمت‌ها و تولید از یکدیگر متمایز شوند. مدل ماندل-فلمینگ فرض می‌کند که سطح قیمت‌ها ثابت است، ولی در مدل پولی نرخ ارز فرض می‌شود تولید ثابت است. مدل دورنبوش تقابل بین تقاضا و عرضه کالا و خدمات را تصریح می</w:t>
      </w:r>
      <w:r w:rsidRPr="00A62AA2">
        <w:rPr>
          <w:rFonts w:cs="B Nazanin"/>
          <w:i/>
          <w:sz w:val="23"/>
          <w:szCs w:val="23"/>
        </w:rPr>
        <w:t>‌</w:t>
      </w:r>
      <w:r w:rsidRPr="00A62AA2">
        <w:rPr>
          <w:rFonts w:cs="B Nazanin" w:hint="cs"/>
          <w:i/>
          <w:sz w:val="23"/>
          <w:szCs w:val="23"/>
          <w:rtl/>
        </w:rPr>
        <w:t>کند و فرض می</w:t>
      </w:r>
      <w:r w:rsidRPr="00A62AA2">
        <w:rPr>
          <w:rFonts w:cs="B Nazanin"/>
          <w:i/>
          <w:sz w:val="23"/>
          <w:szCs w:val="23"/>
        </w:rPr>
        <w:t>‌</w:t>
      </w:r>
      <w:r w:rsidRPr="00A62AA2">
        <w:rPr>
          <w:rFonts w:cs="B Nazanin" w:hint="cs"/>
          <w:i/>
          <w:sz w:val="23"/>
          <w:szCs w:val="23"/>
          <w:rtl/>
        </w:rPr>
        <w:t>کند که تولید ثابت ولی تقاضا انعطاف‌پذیر، و قیمت‌ها انعطاف‌پذیر ولی چسبنده</w:t>
      </w:r>
      <w:r w:rsidRPr="00A62AA2">
        <w:rPr>
          <w:rFonts w:cs="B Nazanin" w:hint="cs"/>
          <w:i/>
          <w:sz w:val="23"/>
          <w:szCs w:val="23"/>
          <w:rtl/>
        </w:rPr>
        <w:softHyphen/>
        <w:t>اند.</w:t>
      </w:r>
    </w:p>
    <w:p w14:paraId="07AFE764" w14:textId="77777777" w:rsidR="00556C10" w:rsidRPr="00A62AA2" w:rsidRDefault="00556C10" w:rsidP="00556C10">
      <w:pPr>
        <w:pStyle w:val="NormalWeb"/>
        <w:bidi/>
        <w:spacing w:before="0" w:beforeAutospacing="0" w:after="0" w:afterAutospacing="0" w:line="216" w:lineRule="auto"/>
        <w:jc w:val="both"/>
        <w:rPr>
          <w:rFonts w:cs="B Nazanin"/>
          <w:i/>
          <w:sz w:val="23"/>
          <w:szCs w:val="23"/>
        </w:rPr>
      </w:pPr>
    </w:p>
    <w:p w14:paraId="024C988F" w14:textId="77777777" w:rsidR="00556C10" w:rsidRPr="00A62AA2" w:rsidRDefault="00556C10" w:rsidP="00556C10">
      <w:pPr>
        <w:pStyle w:val="Heading1"/>
        <w:spacing w:before="0" w:line="216" w:lineRule="auto"/>
        <w:rPr>
          <w:rFonts w:ascii="Times New Roman" w:hAnsi="Times New Roman" w:cs="B Nazanin"/>
          <w:b w:val="0"/>
          <w:i/>
          <w:sz w:val="23"/>
          <w:szCs w:val="23"/>
        </w:rPr>
      </w:pPr>
      <w:r w:rsidRPr="00A62AA2">
        <w:rPr>
          <w:rFonts w:ascii="Times New Roman" w:hAnsi="Times New Roman" w:cs="B Nazanin" w:hint="cs"/>
          <w:b w:val="0"/>
          <w:i/>
          <w:sz w:val="23"/>
          <w:szCs w:val="23"/>
          <w:rtl/>
        </w:rPr>
        <w:t>۱۳. ۳. ۱ مدل</w:t>
      </w:r>
      <w:r w:rsidRPr="00A62AA2">
        <w:rPr>
          <w:rFonts w:ascii="Times New Roman" w:hAnsi="Times New Roman" w:cs="B Nazanin"/>
          <w:b w:val="0"/>
          <w:i/>
          <w:sz w:val="23"/>
          <w:szCs w:val="23"/>
        </w:rPr>
        <w:t xml:space="preserve"> </w:t>
      </w:r>
      <w:r w:rsidRPr="00025957">
        <w:rPr>
          <w:position w:val="-4"/>
        </w:rPr>
        <w:object w:dxaOrig="180" w:dyaOrig="260" w14:anchorId="71E46322">
          <v:shape id="_x0000_i5905" type="#_x0000_t75" style="width:9.1pt;height:12.7pt" o:ole="">
            <v:imagedata r:id="rId1079" o:title=""/>
          </v:shape>
          <o:OLEObject Type="Embed" ProgID="Equation.DSMT4" ShapeID="_x0000_i5905" DrawAspect="Content" ObjectID="_1791379849" r:id="rId9834"/>
        </w:object>
      </w:r>
      <w:r w:rsidRPr="00A62AA2">
        <w:rPr>
          <w:position w:val="-6"/>
        </w:rPr>
        <w:object w:dxaOrig="880" w:dyaOrig="260" w14:anchorId="61BC097C">
          <v:shape id="_x0000_i5906" type="#_x0000_t75" style="width:44.15pt;height:12.7pt" o:ole="">
            <v:imagedata r:id="rId9835" o:title=""/>
          </v:shape>
          <o:OLEObject Type="Embed" ProgID="Equation.DSMT4" ShapeID="_x0000_i5906" DrawAspect="Content" ObjectID="_1791379850" r:id="rId9836"/>
        </w:object>
      </w:r>
    </w:p>
    <w:p w14:paraId="4F856663" w14:textId="77777777" w:rsidR="00556C10" w:rsidRPr="00A62AA2" w:rsidRDefault="00556C10" w:rsidP="00556C10">
      <w:pPr>
        <w:pStyle w:val="NormalWeb"/>
        <w:bidi/>
        <w:spacing w:before="0" w:beforeAutospacing="0" w:after="0" w:afterAutospacing="0" w:line="216" w:lineRule="auto"/>
        <w:jc w:val="both"/>
        <w:rPr>
          <w:rFonts w:cs="B Nazanin"/>
          <w:i/>
          <w:sz w:val="23"/>
          <w:szCs w:val="23"/>
        </w:rPr>
      </w:pPr>
      <w:r w:rsidRPr="00A62AA2">
        <w:rPr>
          <w:rFonts w:cs="B Nazanin" w:hint="cs"/>
          <w:i/>
          <w:sz w:val="23"/>
          <w:szCs w:val="23"/>
          <w:rtl/>
        </w:rPr>
        <w:t>قبل از آن که اقتصاد باز را بررسی کنیم لازم است در یک اقتصاد بسته مدل</w:t>
      </w:r>
      <w:r w:rsidRPr="00A62AA2">
        <w:rPr>
          <w:position w:val="-6"/>
        </w:rPr>
        <w:object w:dxaOrig="880" w:dyaOrig="260" w14:anchorId="05C4B6E3">
          <v:shape id="_x0000_i5907" type="#_x0000_t75" style="width:44.15pt;height:12.7pt" o:ole="">
            <v:imagedata r:id="rId9837" o:title=""/>
          </v:shape>
          <o:OLEObject Type="Embed" ProgID="Equation.DSMT4" ShapeID="_x0000_i5907" DrawAspect="Content" ObjectID="_1791379851" r:id="rId9838"/>
        </w:object>
      </w:r>
      <w:r w:rsidRPr="00A62AA2">
        <w:rPr>
          <w:rFonts w:cs="B Nazanin" w:hint="cs"/>
          <w:i/>
          <w:sz w:val="23"/>
          <w:szCs w:val="23"/>
          <w:rtl/>
        </w:rPr>
        <w:t xml:space="preserve"> را مورد تجزیه و تحلیل قرار دهیم. معادله‌ی</w:t>
      </w:r>
      <w:r w:rsidRPr="00A62AA2">
        <w:rPr>
          <w:position w:val="-6"/>
        </w:rPr>
        <w:object w:dxaOrig="320" w:dyaOrig="260" w14:anchorId="66A8D7F6">
          <v:shape id="_x0000_i5908" type="#_x0000_t75" style="width:15.75pt;height:12.7pt" o:ole="">
            <v:imagedata r:id="rId9839" o:title=""/>
          </v:shape>
          <o:OLEObject Type="Embed" ProgID="Equation.DSMT4" ShapeID="_x0000_i5908" DrawAspect="Content" ObjectID="_1791379852" r:id="rId9840"/>
        </w:object>
      </w:r>
      <w:r w:rsidRPr="00A62AA2">
        <w:rPr>
          <w:rFonts w:cs="B Nazanin" w:hint="cs"/>
          <w:i/>
          <w:sz w:val="23"/>
          <w:szCs w:val="23"/>
          <w:rtl/>
        </w:rPr>
        <w:t xml:space="preserve"> از اتحاد درآمد ملی زیر استخراج می‌شود </w:t>
      </w:r>
    </w:p>
    <w:p w14:paraId="4BB5C5E6" w14:textId="77777777" w:rsidR="00556C10" w:rsidRPr="00A62AA2" w:rsidRDefault="00556C10" w:rsidP="00556C10">
      <w:pPr>
        <w:pStyle w:val="MTDisplayEquation"/>
        <w:tabs>
          <w:tab w:val="clear" w:pos="6660"/>
        </w:tabs>
        <w:spacing w:line="216" w:lineRule="auto"/>
        <w:rPr>
          <w:rFonts w:ascii="Times New Roman" w:hAnsi="Times New Roman" w:cs="B Nazanin"/>
          <w:i/>
          <w:sz w:val="23"/>
          <w:szCs w:val="23"/>
          <w:rtl/>
        </w:rPr>
      </w:pPr>
      <w:r w:rsidRPr="00A62AA2">
        <w:rPr>
          <w:position w:val="-8"/>
        </w:rPr>
        <w:object w:dxaOrig="1980" w:dyaOrig="279" w14:anchorId="7671ECBA">
          <v:shape id="_x0000_i5909" type="#_x0000_t75" style="width:99.25pt;height:13.9pt" o:ole="">
            <v:imagedata r:id="rId9841" o:title=""/>
          </v:shape>
          <o:OLEObject Type="Embed" ProgID="Equation.DSMT4" ShapeID="_x0000_i5909" DrawAspect="Content" ObjectID="_1791379853" r:id="rId9842"/>
        </w:object>
      </w:r>
      <w:r w:rsidRPr="00A62AA2">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sidRPr="00A62AA2">
        <w:rPr>
          <w:rFonts w:ascii="Times New Roman" w:hAnsi="Times New Roman" w:cs="B Nazanin" w:hint="cs"/>
          <w:i/>
          <w:sz w:val="23"/>
          <w:szCs w:val="23"/>
          <w:rtl/>
        </w:rPr>
        <w:t>(۱۳. ۱)</w:t>
      </w:r>
    </w:p>
    <w:p w14:paraId="1775E28C" w14:textId="77777777" w:rsidR="00556C10" w:rsidRPr="00A62AA2" w:rsidRDefault="00556C10" w:rsidP="00556C10">
      <w:pPr>
        <w:pStyle w:val="MTDisplayEquation"/>
        <w:bidi/>
        <w:spacing w:line="216" w:lineRule="auto"/>
        <w:rPr>
          <w:rFonts w:ascii="Times New Roman" w:hAnsi="Times New Roman" w:cs="B Nazanin"/>
          <w:i/>
          <w:sz w:val="23"/>
          <w:szCs w:val="23"/>
        </w:rPr>
      </w:pPr>
      <w:r w:rsidRPr="00A62AA2">
        <w:rPr>
          <w:rFonts w:ascii="Times New Roman" w:hAnsi="Times New Roman" w:cs="B Nazanin" w:hint="cs"/>
          <w:i/>
          <w:sz w:val="23"/>
          <w:szCs w:val="23"/>
          <w:rtl/>
        </w:rPr>
        <w:t>که در آن</w:t>
      </w:r>
      <w:r w:rsidRPr="00A62AA2">
        <w:rPr>
          <w:position w:val="-8"/>
        </w:rPr>
        <w:object w:dxaOrig="200" w:dyaOrig="220" w14:anchorId="0B939F26">
          <v:shape id="_x0000_i5910" type="#_x0000_t75" style="width:10.3pt;height:10.9pt" o:ole="">
            <v:imagedata r:id="rId9843" o:title=""/>
          </v:shape>
          <o:OLEObject Type="Embed" ProgID="Equation.DSMT4" ShapeID="_x0000_i5910" DrawAspect="Content" ObjectID="_1791379854" r:id="rId9844"/>
        </w:object>
      </w:r>
      <w:r w:rsidRPr="00A62AA2">
        <w:rPr>
          <w:rFonts w:ascii="Times New Roman" w:hAnsi="Times New Roman" w:cs="B Nazanin" w:hint="cs"/>
          <w:i/>
          <w:sz w:val="23"/>
          <w:szCs w:val="23"/>
          <w:rtl/>
        </w:rPr>
        <w:t xml:space="preserve"> برابر است با تولید و فرض می</w:t>
      </w:r>
      <w:r w:rsidRPr="00A62AA2">
        <w:rPr>
          <w:rFonts w:ascii="Times New Roman" w:hAnsi="Times New Roman" w:cs="B Nazanin"/>
          <w:i/>
          <w:sz w:val="23"/>
          <w:szCs w:val="23"/>
        </w:rPr>
        <w:t>‌</w:t>
      </w:r>
      <w:r w:rsidRPr="00A62AA2">
        <w:rPr>
          <w:rFonts w:ascii="Times New Roman" w:hAnsi="Times New Roman" w:cs="B Nazanin" w:hint="cs"/>
          <w:i/>
          <w:sz w:val="23"/>
          <w:szCs w:val="23"/>
          <w:rtl/>
        </w:rPr>
        <w:t>شود مصرف و سرمایه</w:t>
      </w:r>
      <w:r w:rsidRPr="00A62AA2">
        <w:rPr>
          <w:rFonts w:ascii="Times New Roman" w:hAnsi="Times New Roman" w:cs="B Nazanin" w:hint="cs"/>
          <w:i/>
          <w:sz w:val="23"/>
          <w:szCs w:val="23"/>
          <w:rtl/>
        </w:rPr>
        <w:softHyphen/>
        <w:t>گذاری با تولید (درآمد) رابطه‌ی مستقیم و با نرخ بهره</w:t>
      </w:r>
      <w:r w:rsidRPr="00A62AA2">
        <w:rPr>
          <w:rFonts w:ascii="Times New Roman" w:hAnsi="Times New Roman" w:cs="B Nazanin" w:hint="cs"/>
          <w:i/>
          <w:sz w:val="23"/>
          <w:szCs w:val="23"/>
          <w:rtl/>
        </w:rPr>
        <w:softHyphen/>
        <w:t>ی حقیقی رابطه</w:t>
      </w:r>
      <w:r w:rsidRPr="00A62AA2">
        <w:rPr>
          <w:rFonts w:ascii="Times New Roman" w:hAnsi="Times New Roman" w:cs="B Nazanin" w:hint="cs"/>
          <w:i/>
          <w:sz w:val="23"/>
          <w:szCs w:val="23"/>
          <w:rtl/>
        </w:rPr>
        <w:softHyphen/>
        <w:t>ی معکوس دارند. همچنین</w:t>
      </w:r>
      <w:r w:rsidRPr="00A62AA2">
        <w:rPr>
          <w:position w:val="-8"/>
        </w:rPr>
        <w:object w:dxaOrig="220" w:dyaOrig="240" w14:anchorId="394D26C8">
          <v:shape id="_x0000_i5911" type="#_x0000_t75" style="width:10.9pt;height:12.1pt" o:ole="">
            <v:imagedata r:id="rId9845" o:title=""/>
          </v:shape>
          <o:OLEObject Type="Embed" ProgID="Equation.DSMT4" ShapeID="_x0000_i5911" DrawAspect="Content" ObjectID="_1791379855" r:id="rId9846"/>
        </w:object>
      </w:r>
      <w:r w:rsidRPr="00A62AA2">
        <w:rPr>
          <w:rFonts w:ascii="Times New Roman" w:hAnsi="Times New Roman" w:cs="B Nazanin" w:hint="cs"/>
          <w:i/>
          <w:sz w:val="23"/>
          <w:szCs w:val="23"/>
          <w:rtl/>
        </w:rPr>
        <w:t xml:space="preserve"> مخارج دولتی و برون‌زا است. اگر فرض شود که تورم برابر با صفر است، آنگاه</w:t>
      </w:r>
      <w:r w:rsidRPr="00A62AA2">
        <w:rPr>
          <w:position w:val="-6"/>
        </w:rPr>
        <w:object w:dxaOrig="560" w:dyaOrig="260" w14:anchorId="5FD5A66A">
          <v:shape id="_x0000_i5912" type="#_x0000_t75" style="width:27.85pt;height:12.7pt" o:ole="">
            <v:imagedata r:id="rId9847" o:title=""/>
          </v:shape>
          <o:OLEObject Type="Embed" ProgID="Equation.DSMT4" ShapeID="_x0000_i5912" DrawAspect="Content" ObjectID="_1791379856" r:id="rId9848"/>
        </w:object>
      </w:r>
      <w:r w:rsidRPr="00A62AA2">
        <w:rPr>
          <w:rFonts w:ascii="Times New Roman" w:hAnsi="Times New Roman" w:cs="B Nazanin"/>
          <w:i/>
          <w:sz w:val="23"/>
          <w:szCs w:val="23"/>
        </w:rPr>
        <w:t xml:space="preserve"> </w:t>
      </w:r>
      <w:r w:rsidRPr="00A62AA2">
        <w:rPr>
          <w:rFonts w:ascii="Times New Roman" w:hAnsi="Times New Roman" w:cs="B Nazanin" w:hint="cs"/>
          <w:i/>
          <w:sz w:val="23"/>
          <w:szCs w:val="23"/>
          <w:rtl/>
        </w:rPr>
        <w:t>بوده و لذا نرخ بهره</w:t>
      </w:r>
      <w:r w:rsidRPr="00A62AA2">
        <w:rPr>
          <w:rFonts w:ascii="Times New Roman" w:hAnsi="Times New Roman" w:cs="B Nazanin" w:hint="cs"/>
          <w:i/>
          <w:sz w:val="23"/>
          <w:szCs w:val="23"/>
          <w:rtl/>
        </w:rPr>
        <w:softHyphen/>
        <w:t>ی حقیقی برابر با نرخ بهره</w:t>
      </w:r>
      <w:r w:rsidRPr="00A62AA2">
        <w:rPr>
          <w:rFonts w:ascii="Times New Roman" w:hAnsi="Times New Roman" w:cs="B Nazanin" w:hint="cs"/>
          <w:i/>
          <w:sz w:val="23"/>
          <w:szCs w:val="23"/>
          <w:rtl/>
        </w:rPr>
        <w:softHyphen/>
        <w:t>ی اسمی است. معادله‌ی</w:t>
      </w:r>
      <w:r w:rsidRPr="00A62AA2">
        <w:rPr>
          <w:position w:val="-6"/>
        </w:rPr>
        <w:object w:dxaOrig="320" w:dyaOrig="260" w14:anchorId="225E0F98">
          <v:shape id="_x0000_i5913" type="#_x0000_t75" style="width:15.75pt;height:12.7pt" o:ole="">
            <v:imagedata r:id="rId9849" o:title=""/>
          </v:shape>
          <o:OLEObject Type="Embed" ProgID="Equation.DSMT4" ShapeID="_x0000_i5913" DrawAspect="Content" ObjectID="_1791379857" r:id="rId9850"/>
        </w:object>
      </w:r>
      <w:r w:rsidRPr="00A62AA2">
        <w:rPr>
          <w:rFonts w:ascii="Times New Roman" w:hAnsi="Times New Roman" w:cs="B Nazanin" w:hint="cs"/>
          <w:i/>
          <w:sz w:val="23"/>
          <w:szCs w:val="23"/>
          <w:rtl/>
        </w:rPr>
        <w:t xml:space="preserve"> تعادل جریان بازار کالا را تبیین می</w:t>
      </w:r>
      <w:r w:rsidRPr="00A62AA2">
        <w:rPr>
          <w:rFonts w:ascii="Times New Roman" w:hAnsi="Times New Roman" w:cs="B Nazanin"/>
          <w:i/>
          <w:sz w:val="23"/>
          <w:szCs w:val="23"/>
        </w:rPr>
        <w:t>‌</w:t>
      </w:r>
      <w:r w:rsidRPr="00A62AA2">
        <w:rPr>
          <w:rFonts w:ascii="Times New Roman" w:hAnsi="Times New Roman" w:cs="B Nazanin" w:hint="cs"/>
          <w:i/>
          <w:sz w:val="23"/>
          <w:szCs w:val="23"/>
          <w:rtl/>
        </w:rPr>
        <w:t>کند که سمت راست آن، معادله</w:t>
      </w:r>
      <w:r w:rsidRPr="00A62AA2">
        <w:rPr>
          <w:rFonts w:ascii="Times New Roman" w:hAnsi="Times New Roman" w:cs="B Nazanin" w:hint="cs"/>
          <w:i/>
          <w:sz w:val="23"/>
          <w:szCs w:val="23"/>
          <w:rtl/>
        </w:rPr>
        <w:softHyphen/>
        <w:t xml:space="preserve">ی تقاضا برای کالا و خدمات و سمت چپ آن، عرضه‌ی کالاها و خدمات است. در این معادله فرض </w:t>
      </w:r>
      <w:r w:rsidRPr="00A62AA2">
        <w:rPr>
          <w:rFonts w:ascii="Times New Roman" w:hAnsi="Times New Roman" w:cs="B Nazanin" w:hint="cs"/>
          <w:i/>
          <w:sz w:val="23"/>
          <w:szCs w:val="23"/>
          <w:rtl/>
        </w:rPr>
        <w:lastRenderedPageBreak/>
        <w:t>می‌شود عرضه بوسیله‌ی تقاضا تعیین می‌شود. معادله</w:t>
      </w:r>
      <w:r w:rsidRPr="00A62AA2">
        <w:rPr>
          <w:rFonts w:ascii="Times New Roman" w:hAnsi="Times New Roman" w:cs="B Nazanin" w:hint="cs"/>
          <w:i/>
          <w:sz w:val="23"/>
          <w:szCs w:val="23"/>
          <w:rtl/>
        </w:rPr>
        <w:softHyphen/>
        <w:t>ی</w:t>
      </w:r>
      <w:r w:rsidRPr="00A62AA2">
        <w:rPr>
          <w:position w:val="-6"/>
        </w:rPr>
        <w:object w:dxaOrig="320" w:dyaOrig="260" w14:anchorId="0D8900F4">
          <v:shape id="_x0000_i5914" type="#_x0000_t75" style="width:15.75pt;height:12.7pt" o:ole="">
            <v:imagedata r:id="rId9851" o:title=""/>
          </v:shape>
          <o:OLEObject Type="Embed" ProgID="Equation.DSMT4" ShapeID="_x0000_i5914" DrawAspect="Content" ObjectID="_1791379858" r:id="rId9852"/>
        </w:object>
      </w:r>
      <w:r w:rsidRPr="00A62AA2">
        <w:rPr>
          <w:rFonts w:ascii="Times New Roman" w:hAnsi="Times New Roman" w:cs="B Nazanin" w:hint="cs"/>
          <w:i/>
          <w:sz w:val="23"/>
          <w:szCs w:val="23"/>
          <w:rtl/>
        </w:rPr>
        <w:t xml:space="preserve"> را می‌توان به صورت ضمنی نیز نوشت. یعنی</w:t>
      </w:r>
    </w:p>
    <w:p w14:paraId="2080CE1B" w14:textId="77777777" w:rsidR="00556C10" w:rsidRPr="00A62AA2" w:rsidRDefault="00556C10" w:rsidP="00556C10">
      <w:pPr>
        <w:pStyle w:val="NormalWeb"/>
        <w:spacing w:before="0" w:beforeAutospacing="0" w:after="0" w:afterAutospacing="0" w:line="216" w:lineRule="auto"/>
        <w:jc w:val="both"/>
        <w:rPr>
          <w:rFonts w:cs="B Nazanin"/>
          <w:i/>
          <w:sz w:val="23"/>
          <w:szCs w:val="23"/>
          <w:rtl/>
        </w:rPr>
      </w:pPr>
      <w:r w:rsidRPr="00A62AA2">
        <w:rPr>
          <w:position w:val="-8"/>
        </w:rPr>
        <w:object w:dxaOrig="1300" w:dyaOrig="279" w14:anchorId="5BF65619">
          <v:shape id="_x0000_i5915" type="#_x0000_t75" style="width:64.75pt;height:13.9pt" o:ole="">
            <v:imagedata r:id="rId9853" o:title=""/>
          </v:shape>
          <o:OLEObject Type="Embed" ProgID="Equation.DSMT4" ShapeID="_x0000_i5915" DrawAspect="Content" ObjectID="_1791379859" r:id="rId9854"/>
        </w:object>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sidRPr="00A62AA2">
        <w:rPr>
          <w:rFonts w:cs="B Nazanin" w:hint="cs"/>
          <w:i/>
          <w:sz w:val="23"/>
          <w:szCs w:val="23"/>
          <w:rtl/>
        </w:rPr>
        <w:t xml:space="preserve">(۱۳. </w:t>
      </w:r>
      <w:r w:rsidRPr="00654A08">
        <w:rPr>
          <w:rFonts w:ascii="NPIZar" w:hAnsi="NPIZar" w:cs="B Nazanin"/>
          <w:i/>
          <w:sz w:val="23"/>
          <w:szCs w:val="23"/>
          <w:rtl/>
        </w:rPr>
        <w:t>2</w:t>
      </w:r>
      <w:r w:rsidRPr="00A62AA2">
        <w:rPr>
          <w:rFonts w:cs="B Nazanin" w:hint="cs"/>
          <w:i/>
          <w:sz w:val="23"/>
          <w:szCs w:val="23"/>
          <w:rtl/>
        </w:rPr>
        <w:t>)</w:t>
      </w:r>
    </w:p>
    <w:p w14:paraId="086FB2F6" w14:textId="77777777" w:rsidR="00556C10" w:rsidRPr="00A62AA2" w:rsidRDefault="00556C10" w:rsidP="00556C10">
      <w:pPr>
        <w:pStyle w:val="NormalWeb"/>
        <w:bidi/>
        <w:spacing w:before="0" w:beforeAutospacing="0" w:after="0" w:afterAutospacing="0" w:line="216" w:lineRule="auto"/>
        <w:jc w:val="both"/>
        <w:rPr>
          <w:rFonts w:cs="B Nazanin"/>
          <w:i/>
          <w:sz w:val="23"/>
          <w:szCs w:val="23"/>
        </w:rPr>
      </w:pPr>
      <w:r w:rsidRPr="00A62AA2">
        <w:rPr>
          <w:rFonts w:cs="B Nazanin" w:hint="cs"/>
          <w:i/>
          <w:sz w:val="23"/>
          <w:szCs w:val="23"/>
          <w:rtl/>
        </w:rPr>
        <w:t>نام معادله‌ی</w:t>
      </w:r>
      <w:r w:rsidRPr="00A62AA2">
        <w:rPr>
          <w:position w:val="-6"/>
        </w:rPr>
        <w:object w:dxaOrig="320" w:dyaOrig="260" w14:anchorId="1451E589">
          <v:shape id="_x0000_i5916" type="#_x0000_t75" style="width:15.75pt;height:12.7pt" o:ole="">
            <v:imagedata r:id="rId9855" o:title=""/>
          </v:shape>
          <o:OLEObject Type="Embed" ProgID="Equation.DSMT4" ShapeID="_x0000_i5916" DrawAspect="Content" ObjectID="_1791379860" r:id="rId9856"/>
        </w:object>
      </w:r>
      <w:r w:rsidRPr="00A62AA2">
        <w:rPr>
          <w:rFonts w:cs="B Nazanin" w:hint="cs"/>
          <w:i/>
          <w:sz w:val="23"/>
          <w:szCs w:val="23"/>
          <w:rtl/>
        </w:rPr>
        <w:t xml:space="preserve"> از تعادل بازار کالاها و خدمات و یا تعادل جریان پس</w:t>
      </w:r>
      <w:r w:rsidRPr="00A62AA2">
        <w:rPr>
          <w:rFonts w:cs="B Nazanin" w:hint="cs"/>
          <w:i/>
          <w:sz w:val="23"/>
          <w:szCs w:val="23"/>
          <w:rtl/>
        </w:rPr>
        <w:softHyphen/>
        <w:t>انداز ملی</w:t>
      </w:r>
      <w:r w:rsidRPr="00A62AA2">
        <w:rPr>
          <w:position w:val="-8"/>
        </w:rPr>
        <w:object w:dxaOrig="600" w:dyaOrig="279" w14:anchorId="24DF7431">
          <v:shape id="_x0000_i5917" type="#_x0000_t75" style="width:30.25pt;height:13.9pt" o:ole="">
            <v:imagedata r:id="rId9857" o:title=""/>
          </v:shape>
          <o:OLEObject Type="Embed" ProgID="Equation.DSMT4" ShapeID="_x0000_i5917" DrawAspect="Content" ObjectID="_1791379861" r:id="rId9858"/>
        </w:object>
      </w:r>
      <w:r w:rsidRPr="00A62AA2">
        <w:rPr>
          <w:rFonts w:cs="B Nazanin"/>
          <w:i/>
          <w:sz w:val="23"/>
          <w:szCs w:val="23"/>
        </w:rPr>
        <w:t xml:space="preserve"> </w:t>
      </w:r>
      <w:r w:rsidRPr="00A62AA2">
        <w:rPr>
          <w:rFonts w:cs="B Nazanin" w:hint="cs"/>
          <w:i/>
          <w:sz w:val="23"/>
          <w:szCs w:val="23"/>
          <w:rtl/>
        </w:rPr>
        <w:t>با سرمایه</w:t>
      </w:r>
      <w:r w:rsidRPr="00A62AA2">
        <w:rPr>
          <w:rFonts w:cs="B Nazanin" w:hint="cs"/>
          <w:i/>
          <w:sz w:val="23"/>
          <w:szCs w:val="23"/>
          <w:rtl/>
        </w:rPr>
        <w:softHyphen/>
        <w:t>گذاری</w:t>
      </w:r>
      <w:r w:rsidRPr="00A62AA2">
        <w:rPr>
          <w:position w:val="-8"/>
        </w:rPr>
        <w:object w:dxaOrig="580" w:dyaOrig="279" w14:anchorId="2B7930DA">
          <v:shape id="_x0000_i5918" type="#_x0000_t75" style="width:29.05pt;height:13.9pt" o:ole="">
            <v:imagedata r:id="rId9859" o:title=""/>
          </v:shape>
          <o:OLEObject Type="Embed" ProgID="Equation.DSMT4" ShapeID="_x0000_i5918" DrawAspect="Content" ObjectID="_1791379862" r:id="rId9860"/>
        </w:object>
      </w:r>
      <w:r w:rsidRPr="00A62AA2">
        <w:rPr>
          <w:rFonts w:cs="B Nazanin"/>
          <w:i/>
          <w:sz w:val="23"/>
          <w:szCs w:val="23"/>
        </w:rPr>
        <w:t xml:space="preserve"> </w:t>
      </w:r>
      <w:r w:rsidRPr="00A62AA2">
        <w:rPr>
          <w:rFonts w:cs="B Nazanin" w:hint="cs"/>
          <w:i/>
          <w:sz w:val="23"/>
          <w:szCs w:val="23"/>
          <w:rtl/>
        </w:rPr>
        <w:t>ناشی می‌شود</w:t>
      </w:r>
      <w:r w:rsidRPr="00A62AA2">
        <w:rPr>
          <w:rFonts w:cs="B Nazanin"/>
          <w:i/>
          <w:sz w:val="23"/>
          <w:szCs w:val="23"/>
        </w:rPr>
        <w:t>.</w:t>
      </w:r>
      <w:r w:rsidRPr="00A62AA2">
        <w:rPr>
          <w:rFonts w:cs="B Nazanin" w:hint="cs"/>
          <w:i/>
          <w:sz w:val="23"/>
          <w:szCs w:val="23"/>
          <w:rtl/>
        </w:rPr>
        <w:t xml:space="preserve"> یعنی</w:t>
      </w:r>
    </w:p>
    <w:p w14:paraId="40312FFB" w14:textId="77777777" w:rsidR="00556C10" w:rsidRPr="00A62AA2" w:rsidRDefault="00556C10" w:rsidP="00556C10">
      <w:pPr>
        <w:pStyle w:val="NormalWeb"/>
        <w:spacing w:before="0" w:beforeAutospacing="0" w:after="0" w:afterAutospacing="0" w:line="216" w:lineRule="auto"/>
        <w:jc w:val="both"/>
        <w:rPr>
          <w:rFonts w:cs="B Nazanin"/>
          <w:i/>
          <w:sz w:val="23"/>
          <w:szCs w:val="23"/>
        </w:rPr>
      </w:pPr>
      <w:r w:rsidRPr="00A62AA2">
        <w:rPr>
          <w:rFonts w:cs="B Nazanin"/>
          <w:i/>
          <w:sz w:val="23"/>
          <w:szCs w:val="23"/>
        </w:rPr>
        <w:t> </w:t>
      </w:r>
      <w:r w:rsidRPr="00A62AA2">
        <w:rPr>
          <w:position w:val="-8"/>
        </w:rPr>
        <w:object w:dxaOrig="2740" w:dyaOrig="279" w14:anchorId="6353E5BF">
          <v:shape id="_x0000_i5919" type="#_x0000_t75" style="width:136.75pt;height:13.9pt" o:ole="">
            <v:imagedata r:id="rId9861" o:title=""/>
          </v:shape>
          <o:OLEObject Type="Embed" ProgID="Equation.DSMT4" ShapeID="_x0000_i5919" DrawAspect="Content" ObjectID="_1791379863" r:id="rId9862"/>
        </w:object>
      </w:r>
    </w:p>
    <w:p w14:paraId="3A0A74E5" w14:textId="77777777" w:rsidR="00556C10" w:rsidRPr="00A62AA2" w:rsidRDefault="00556C10" w:rsidP="00556C10">
      <w:pPr>
        <w:pStyle w:val="NormalWeb"/>
        <w:bidi/>
        <w:spacing w:before="0" w:beforeAutospacing="0" w:after="0" w:afterAutospacing="0" w:line="216" w:lineRule="auto"/>
        <w:jc w:val="both"/>
        <w:rPr>
          <w:rFonts w:cs="B Nazanin"/>
          <w:i/>
          <w:sz w:val="23"/>
          <w:szCs w:val="23"/>
        </w:rPr>
      </w:pPr>
      <w:r w:rsidRPr="00A62AA2">
        <w:rPr>
          <w:rFonts w:cs="B Nazanin" w:hint="cs"/>
          <w:i/>
          <w:sz w:val="23"/>
          <w:szCs w:val="23"/>
          <w:rtl/>
        </w:rPr>
        <w:t>بنابراین معادله</w:t>
      </w:r>
      <w:r w:rsidRPr="00A62AA2">
        <w:rPr>
          <w:rFonts w:cs="B Nazanin"/>
          <w:i/>
          <w:sz w:val="23"/>
          <w:szCs w:val="23"/>
        </w:rPr>
        <w:t>‌</w:t>
      </w:r>
      <w:r w:rsidRPr="00A62AA2">
        <w:rPr>
          <w:rFonts w:cs="B Nazanin" w:hint="cs"/>
          <w:i/>
          <w:sz w:val="23"/>
          <w:szCs w:val="23"/>
          <w:rtl/>
        </w:rPr>
        <w:t>ای</w:t>
      </w:r>
      <w:r w:rsidRPr="00A62AA2">
        <w:rPr>
          <w:position w:val="-6"/>
        </w:rPr>
        <w:object w:dxaOrig="320" w:dyaOrig="260" w14:anchorId="24A1C653">
          <v:shape id="_x0000_i5920" type="#_x0000_t75" style="width:15.75pt;height:12.7pt" o:ole="">
            <v:imagedata r:id="rId9863" o:title=""/>
          </v:shape>
          <o:OLEObject Type="Embed" ProgID="Equation.DSMT4" ShapeID="_x0000_i5920" DrawAspect="Content" ObjectID="_1791379864" r:id="rId9864"/>
        </w:object>
      </w:r>
      <w:r w:rsidRPr="00A62AA2">
        <w:rPr>
          <w:rFonts w:cs="B Nazanin"/>
          <w:i/>
          <w:sz w:val="23"/>
          <w:szCs w:val="23"/>
        </w:rPr>
        <w:t xml:space="preserve"> </w:t>
      </w:r>
      <w:r w:rsidRPr="00A62AA2">
        <w:rPr>
          <w:rFonts w:cs="B Nazanin" w:hint="cs"/>
          <w:i/>
          <w:sz w:val="23"/>
          <w:szCs w:val="23"/>
          <w:rtl/>
        </w:rPr>
        <w:t>عبارت است از مکان هندسی ترکیبات مختلف</w:t>
      </w:r>
      <w:r w:rsidRPr="00A62AA2">
        <w:rPr>
          <w:position w:val="-8"/>
        </w:rPr>
        <w:object w:dxaOrig="200" w:dyaOrig="220" w14:anchorId="6D42343E">
          <v:shape id="_x0000_i5921" type="#_x0000_t75" style="width:10.3pt;height:10.9pt" o:ole="">
            <v:imagedata r:id="rId9865" o:title=""/>
          </v:shape>
          <o:OLEObject Type="Embed" ProgID="Equation.DSMT4" ShapeID="_x0000_i5921" DrawAspect="Content" ObjectID="_1791379865" r:id="rId9866"/>
        </w:object>
      </w:r>
      <w:r w:rsidRPr="00A62AA2">
        <w:rPr>
          <w:rFonts w:cs="B Nazanin" w:hint="cs"/>
          <w:i/>
          <w:sz w:val="23"/>
          <w:szCs w:val="23"/>
          <w:rtl/>
        </w:rPr>
        <w:t xml:space="preserve"> و</w:t>
      </w:r>
      <w:r w:rsidRPr="00025957">
        <w:rPr>
          <w:position w:val="-4"/>
        </w:rPr>
        <w:object w:dxaOrig="180" w:dyaOrig="180" w14:anchorId="1FDB236A">
          <v:shape id="_x0000_i5922" type="#_x0000_t75" style="width:9.1pt;height:9.1pt" o:ole="">
            <v:imagedata r:id="rId9867" o:title=""/>
          </v:shape>
          <o:OLEObject Type="Embed" ProgID="Equation.DSMT4" ShapeID="_x0000_i5922" DrawAspect="Content" ObjectID="_1791379866" r:id="rId9868"/>
        </w:object>
      </w:r>
      <w:r w:rsidRPr="00A62AA2">
        <w:rPr>
          <w:rFonts w:cs="B Nazanin" w:hint="cs"/>
          <w:i/>
          <w:sz w:val="23"/>
          <w:szCs w:val="23"/>
          <w:rtl/>
        </w:rPr>
        <w:t>که در آن بازار کالاها و خدمات در تعادل باشند. این معادله در نمودار ۱۳. ۱ بوسیله‌ی منحنی</w:t>
      </w:r>
      <w:r w:rsidRPr="00A62AA2">
        <w:rPr>
          <w:position w:val="-6"/>
        </w:rPr>
        <w:object w:dxaOrig="320" w:dyaOrig="260" w14:anchorId="34EA5AC5">
          <v:shape id="_x0000_i5923" type="#_x0000_t75" style="width:15.75pt;height:12.7pt" o:ole="">
            <v:imagedata r:id="rId9869" o:title=""/>
          </v:shape>
          <o:OLEObject Type="Embed" ProgID="Equation.DSMT4" ShapeID="_x0000_i5923" DrawAspect="Content" ObjectID="_1791379867" r:id="rId9870"/>
        </w:object>
      </w:r>
      <w:r w:rsidRPr="00A62AA2">
        <w:rPr>
          <w:rFonts w:cs="B Nazanin" w:hint="cs"/>
          <w:i/>
          <w:sz w:val="23"/>
          <w:szCs w:val="23"/>
          <w:rtl/>
        </w:rPr>
        <w:t xml:space="preserve"> نشان داده شده که برای سادگی فرض می</w:t>
      </w:r>
      <w:r w:rsidRPr="00A62AA2">
        <w:rPr>
          <w:rFonts w:cs="B Nazanin" w:hint="cs"/>
          <w:i/>
          <w:sz w:val="23"/>
          <w:szCs w:val="23"/>
          <w:rtl/>
        </w:rPr>
        <w:softHyphen/>
        <w:t>شد خطی است، و از آنجا که تورم برابر با صفر است، به جای نرخ بهره‌ی حقیقی از نرخ بهره‌ی اسمی استفاده شده است. شیب منحنی</w:t>
      </w:r>
      <w:r w:rsidRPr="00A62AA2">
        <w:rPr>
          <w:position w:val="-6"/>
        </w:rPr>
        <w:object w:dxaOrig="320" w:dyaOrig="260" w14:anchorId="1DA9196D">
          <v:shape id="_x0000_i5924" type="#_x0000_t75" style="width:15.75pt;height:12.7pt" o:ole="">
            <v:imagedata r:id="rId9871" o:title=""/>
          </v:shape>
          <o:OLEObject Type="Embed" ProgID="Equation.DSMT4" ShapeID="_x0000_i5924" DrawAspect="Content" ObjectID="_1791379868" r:id="rId9872"/>
        </w:object>
      </w:r>
      <w:r w:rsidRPr="00A62AA2">
        <w:rPr>
          <w:rFonts w:cs="B Nazanin" w:hint="cs"/>
          <w:i/>
          <w:sz w:val="23"/>
          <w:szCs w:val="23"/>
          <w:rtl/>
        </w:rPr>
        <w:t xml:space="preserve"> منفی است زیرا تولید بیشتر کالاها و خدمات مستلزم نرخ بهره‌ی پایین‌تر است تا بازار کالاها و خدمات در تعادل باشد. همچنین با افزایش مخارج دولت، تقاضا به ازای هر نرخ بهره</w:t>
      </w:r>
      <w:r w:rsidRPr="00A62AA2">
        <w:rPr>
          <w:rFonts w:cs="B Nazanin" w:hint="cs"/>
          <w:i/>
          <w:sz w:val="23"/>
          <w:szCs w:val="23"/>
          <w:rtl/>
        </w:rPr>
        <w:softHyphen/>
        <w:t>ای افزایش یافته و منحنی</w:t>
      </w:r>
      <w:r w:rsidRPr="00A62AA2">
        <w:rPr>
          <w:position w:val="-6"/>
        </w:rPr>
        <w:object w:dxaOrig="320" w:dyaOrig="260" w14:anchorId="7B41269D">
          <v:shape id="_x0000_i5925" type="#_x0000_t75" style="width:15.75pt;height:12.7pt" o:ole="">
            <v:imagedata r:id="rId9873" o:title=""/>
          </v:shape>
          <o:OLEObject Type="Embed" ProgID="Equation.DSMT4" ShapeID="_x0000_i5925" DrawAspect="Content" ObjectID="_1791379869" r:id="rId9874"/>
        </w:object>
      </w:r>
      <w:r w:rsidRPr="00A62AA2">
        <w:rPr>
          <w:rFonts w:cs="B Nazanin"/>
          <w:i/>
          <w:sz w:val="23"/>
          <w:szCs w:val="23"/>
        </w:rPr>
        <w:t xml:space="preserve"> </w:t>
      </w:r>
      <w:r w:rsidRPr="00A62AA2">
        <w:rPr>
          <w:rFonts w:cs="B Nazanin" w:hint="cs"/>
          <w:i/>
          <w:sz w:val="23"/>
          <w:szCs w:val="23"/>
          <w:rtl/>
        </w:rPr>
        <w:t>به سمت بالا و راست منتقل می‌شود</w:t>
      </w:r>
      <w:r w:rsidRPr="00A62AA2">
        <w:rPr>
          <w:rFonts w:cs="B Nazanin"/>
          <w:i/>
          <w:sz w:val="23"/>
          <w:szCs w:val="23"/>
        </w:rPr>
        <w:t>.</w:t>
      </w:r>
      <w:r w:rsidRPr="00A62AA2">
        <w:rPr>
          <w:rFonts w:cs="B Nazanin" w:hint="cs"/>
          <w:i/>
          <w:sz w:val="23"/>
          <w:szCs w:val="23"/>
          <w:rtl/>
        </w:rPr>
        <w:t xml:space="preserve"> توجه داشته باشید که در این</w:t>
      </w:r>
      <w:r w:rsidRPr="00A62AA2">
        <w:rPr>
          <w:rFonts w:cs="B Nazanin" w:hint="cs"/>
          <w:i/>
          <w:sz w:val="23"/>
          <w:szCs w:val="23"/>
          <w:rtl/>
        </w:rPr>
        <w:softHyphen/>
        <w:t>جا تجزیه و تحلیل به صورت ایستای مقایسه‌ای است و نه پویایی‌های</w:t>
      </w:r>
    </w:p>
    <w:p w14:paraId="3E333E52" w14:textId="77777777" w:rsidR="00556C10" w:rsidRPr="00A62AA2" w:rsidRDefault="00556C10" w:rsidP="00556C10">
      <w:pPr>
        <w:pStyle w:val="NormalWeb"/>
        <w:bidi/>
        <w:spacing w:before="0" w:beforeAutospacing="0" w:after="0" w:afterAutospacing="0" w:line="216" w:lineRule="auto"/>
        <w:jc w:val="both"/>
        <w:rPr>
          <w:rFonts w:cs="B Nazanin"/>
          <w:i/>
          <w:sz w:val="23"/>
          <w:szCs w:val="23"/>
        </w:rPr>
      </w:pPr>
      <w:r w:rsidRPr="00A62AA2">
        <w:rPr>
          <w:rFonts w:cs="B Nazanin" w:hint="cs"/>
          <w:i/>
          <w:sz w:val="23"/>
          <w:szCs w:val="23"/>
          <w:rtl/>
        </w:rPr>
        <w:t>کوتاه</w:t>
      </w:r>
      <w:r w:rsidRPr="00A62AA2">
        <w:rPr>
          <w:rFonts w:cs="B Nazanin" w:hint="cs"/>
          <w:i/>
          <w:sz w:val="23"/>
          <w:szCs w:val="23"/>
          <w:rtl/>
        </w:rPr>
        <w:softHyphen/>
        <w:t>مدت. یعنی تعادل ایستا مورد توجه است و نه یک افزایش</w:t>
      </w:r>
      <w:r w:rsidRPr="00A62AA2">
        <w:rPr>
          <w:position w:val="-8"/>
        </w:rPr>
        <w:object w:dxaOrig="220" w:dyaOrig="240" w14:anchorId="0D7341D6">
          <v:shape id="_x0000_i5926" type="#_x0000_t75" style="width:10.9pt;height:12.1pt" o:ole="">
            <v:imagedata r:id="rId9875" o:title=""/>
          </v:shape>
          <o:OLEObject Type="Embed" ProgID="Equation.DSMT4" ShapeID="_x0000_i5926" DrawAspect="Content" ObjectID="_1791379870" r:id="rId9876"/>
        </w:object>
      </w:r>
      <w:r w:rsidRPr="00A62AA2">
        <w:rPr>
          <w:rFonts w:cs="B Nazanin"/>
          <w:i/>
          <w:sz w:val="23"/>
          <w:szCs w:val="23"/>
        </w:rPr>
        <w:t>.</w:t>
      </w:r>
    </w:p>
    <w:p w14:paraId="4EEAB46B" w14:textId="77777777" w:rsidR="00556C10" w:rsidRPr="00A62AA2" w:rsidRDefault="00556C10" w:rsidP="00556C10">
      <w:pPr>
        <w:pStyle w:val="NormalWeb"/>
        <w:bidi/>
        <w:spacing w:before="0" w:beforeAutospacing="0" w:after="0" w:afterAutospacing="0" w:line="216" w:lineRule="auto"/>
        <w:jc w:val="both"/>
        <w:rPr>
          <w:rFonts w:cs="B Nazanin"/>
          <w:i/>
          <w:sz w:val="23"/>
          <w:szCs w:val="23"/>
          <w:rtl/>
        </w:rPr>
      </w:pPr>
      <w:r w:rsidRPr="00A62AA2">
        <w:rPr>
          <w:rFonts w:cs="B Nazanin" w:hint="cs"/>
          <w:i/>
          <w:sz w:val="23"/>
          <w:szCs w:val="23"/>
          <w:rtl/>
        </w:rPr>
        <w:t>معادله‌ی</w:t>
      </w:r>
      <w:r w:rsidRPr="00025957">
        <w:rPr>
          <w:position w:val="-4"/>
        </w:rPr>
        <w:object w:dxaOrig="440" w:dyaOrig="240" w14:anchorId="19B15854">
          <v:shape id="_x0000_i5927" type="#_x0000_t75" style="width:21.8pt;height:12.1pt" o:ole="">
            <v:imagedata r:id="rId9877" o:title=""/>
          </v:shape>
          <o:OLEObject Type="Embed" ProgID="Equation.DSMT4" ShapeID="_x0000_i5927" DrawAspect="Content" ObjectID="_1791379871" r:id="rId9878"/>
        </w:object>
      </w:r>
      <w:r w:rsidRPr="00A62AA2">
        <w:rPr>
          <w:rFonts w:cs="B Nazanin" w:hint="cs"/>
          <w:i/>
          <w:sz w:val="23"/>
          <w:szCs w:val="23"/>
          <w:rtl/>
        </w:rPr>
        <w:t xml:space="preserve"> از شرط تعادل بازار پول یعنی </w:t>
      </w:r>
    </w:p>
    <w:p w14:paraId="1D18448A" w14:textId="77777777" w:rsidR="00556C10" w:rsidRPr="00A62AA2" w:rsidRDefault="00556C10" w:rsidP="00556C10">
      <w:pPr>
        <w:pStyle w:val="NormalWeb"/>
        <w:spacing w:before="0" w:beforeAutospacing="0" w:after="0" w:afterAutospacing="0" w:line="216" w:lineRule="auto"/>
        <w:jc w:val="both"/>
        <w:rPr>
          <w:rFonts w:cs="B Nazanin"/>
          <w:i/>
          <w:sz w:val="23"/>
          <w:szCs w:val="23"/>
          <w:rtl/>
        </w:rPr>
      </w:pPr>
      <w:r w:rsidRPr="00A62AA2">
        <w:rPr>
          <w:position w:val="-8"/>
        </w:rPr>
        <w:object w:dxaOrig="1400" w:dyaOrig="279" w14:anchorId="43966116">
          <v:shape id="_x0000_i5928" type="#_x0000_t75" style="width:70.2pt;height:13.9pt" o:ole="">
            <v:imagedata r:id="rId9879" o:title=""/>
          </v:shape>
          <o:OLEObject Type="Embed" ProgID="Equation.DSMT4" ShapeID="_x0000_i5928" DrawAspect="Content" ObjectID="_1791379872" r:id="rId9880"/>
        </w:object>
      </w:r>
      <w:r w:rsidRPr="00A62AA2">
        <w:rPr>
          <w:rFonts w:cs="B Nazanin" w:hint="cs"/>
          <w:i/>
          <w:sz w:val="23"/>
          <w:szCs w:val="23"/>
          <w:rtl/>
        </w:rPr>
        <w:tab/>
      </w:r>
      <w:r w:rsidRPr="00A62AA2">
        <w:rPr>
          <w:rFonts w:cs="B Nazanin" w:hint="cs"/>
          <w:i/>
          <w:sz w:val="23"/>
          <w:szCs w:val="23"/>
          <w:rtl/>
        </w:rPr>
        <w:tab/>
      </w:r>
      <w:r w:rsidRPr="00A62AA2">
        <w:rPr>
          <w:rFonts w:cs="B Nazanin"/>
          <w:i/>
          <w:sz w:val="23"/>
          <w:szCs w:val="23"/>
        </w:rPr>
        <w:tab/>
      </w:r>
      <w:r w:rsidRPr="00A62AA2">
        <w:rPr>
          <w:rFonts w:cs="B Nazanin"/>
          <w:i/>
          <w:sz w:val="23"/>
          <w:szCs w:val="23"/>
        </w:rPr>
        <w:tab/>
      </w:r>
      <w:r w:rsidRPr="00A62AA2">
        <w:rPr>
          <w:rFonts w:cs="B Nazanin"/>
          <w:i/>
          <w:sz w:val="23"/>
          <w:szCs w:val="23"/>
        </w:rPr>
        <w:tab/>
      </w:r>
      <w:r w:rsidRPr="00A62AA2">
        <w:rPr>
          <w:rFonts w:cs="B Nazanin"/>
          <w:i/>
          <w:sz w:val="23"/>
          <w:szCs w:val="23"/>
        </w:rPr>
        <w:tab/>
      </w:r>
      <w:r w:rsidRPr="00A62AA2">
        <w:rPr>
          <w:rFonts w:cs="B Nazanin"/>
          <w:i/>
          <w:sz w:val="23"/>
          <w:szCs w:val="23"/>
        </w:rPr>
        <w:tab/>
      </w:r>
      <w:r w:rsidRPr="00A62AA2">
        <w:rPr>
          <w:rFonts w:cs="B Nazanin"/>
          <w:i/>
          <w:sz w:val="23"/>
          <w:szCs w:val="23"/>
        </w:rPr>
        <w:tab/>
      </w:r>
      <w:r>
        <w:rPr>
          <w:rFonts w:cs="B Nazanin"/>
          <w:i/>
          <w:sz w:val="23"/>
          <w:szCs w:val="23"/>
          <w:rtl/>
        </w:rPr>
        <w:tab/>
      </w:r>
      <w:r w:rsidRPr="00A62AA2">
        <w:rPr>
          <w:rFonts w:cs="B Nazanin"/>
          <w:i/>
          <w:sz w:val="23"/>
          <w:szCs w:val="23"/>
        </w:rPr>
        <w:tab/>
      </w:r>
      <w:r w:rsidRPr="00A62AA2">
        <w:rPr>
          <w:rFonts w:cs="B Nazanin"/>
          <w:i/>
          <w:sz w:val="23"/>
          <w:szCs w:val="23"/>
        </w:rPr>
        <w:tab/>
      </w:r>
      <w:r w:rsidRPr="00A62AA2">
        <w:rPr>
          <w:rFonts w:cs="B Nazanin"/>
          <w:i/>
          <w:sz w:val="23"/>
          <w:szCs w:val="23"/>
        </w:rPr>
        <w:tab/>
      </w:r>
      <w:r w:rsidRPr="00A62AA2">
        <w:rPr>
          <w:rFonts w:cs="B Nazanin" w:hint="cs"/>
          <w:i/>
          <w:sz w:val="23"/>
          <w:szCs w:val="23"/>
          <w:rtl/>
        </w:rPr>
        <w:tab/>
      </w:r>
      <w:r w:rsidRPr="00A62AA2">
        <w:rPr>
          <w:rFonts w:cs="B Nazanin" w:hint="cs"/>
          <w:i/>
          <w:sz w:val="23"/>
          <w:szCs w:val="23"/>
          <w:rtl/>
        </w:rPr>
        <w:tab/>
      </w:r>
      <w:r w:rsidRPr="00A62AA2">
        <w:rPr>
          <w:rFonts w:cs="B Nazanin" w:hint="cs"/>
          <w:i/>
          <w:sz w:val="23"/>
          <w:szCs w:val="23"/>
          <w:rtl/>
        </w:rPr>
        <w:tab/>
      </w:r>
      <w:r w:rsidRPr="00A62AA2">
        <w:rPr>
          <w:rFonts w:cs="B Nazanin" w:hint="cs"/>
          <w:i/>
          <w:sz w:val="23"/>
          <w:szCs w:val="23"/>
          <w:rtl/>
        </w:rPr>
        <w:tab/>
      </w:r>
      <w:r w:rsidRPr="00A62AA2">
        <w:rPr>
          <w:rFonts w:cs="B Nazanin" w:hint="cs"/>
          <w:i/>
          <w:sz w:val="23"/>
          <w:szCs w:val="23"/>
          <w:rtl/>
        </w:rPr>
        <w:tab/>
        <w:t>(۱۳. ۳)</w:t>
      </w:r>
      <w:r w:rsidRPr="00A62AA2">
        <w:rPr>
          <w:rFonts w:cs="B Nazanin"/>
          <w:i/>
          <w:sz w:val="23"/>
          <w:szCs w:val="23"/>
          <w:rtl/>
        </w:rPr>
        <w:t xml:space="preserve"> </w:t>
      </w:r>
    </w:p>
    <w:p w14:paraId="470A298A" w14:textId="77777777" w:rsidR="00556C10" w:rsidRPr="00A62AA2" w:rsidRDefault="00556C10" w:rsidP="00556C10">
      <w:pPr>
        <w:pStyle w:val="NormalWeb"/>
        <w:bidi/>
        <w:spacing w:before="0" w:beforeAutospacing="0" w:after="0" w:afterAutospacing="0" w:line="216" w:lineRule="auto"/>
        <w:jc w:val="both"/>
        <w:rPr>
          <w:rFonts w:cs="B Nazanin"/>
          <w:i/>
          <w:sz w:val="23"/>
          <w:szCs w:val="23"/>
        </w:rPr>
      </w:pPr>
      <w:r w:rsidRPr="00A62AA2">
        <w:rPr>
          <w:rFonts w:cs="B Nazanin" w:hint="cs"/>
          <w:i/>
          <w:sz w:val="23"/>
          <w:szCs w:val="23"/>
          <w:rtl/>
        </w:rPr>
        <w:t>استخراج می</w:t>
      </w:r>
      <w:r w:rsidRPr="00A62AA2">
        <w:rPr>
          <w:rFonts w:cs="B Nazanin"/>
          <w:i/>
          <w:sz w:val="23"/>
          <w:szCs w:val="23"/>
        </w:rPr>
        <w:t>‌</w:t>
      </w:r>
      <w:r w:rsidRPr="00A62AA2">
        <w:rPr>
          <w:rFonts w:cs="B Nazanin" w:hint="cs"/>
          <w:i/>
          <w:sz w:val="23"/>
          <w:szCs w:val="23"/>
          <w:rtl/>
        </w:rPr>
        <w:t>شود. سمت راست این رابطه تابع تقاضا برای پول اسمی است که فرض می‌شود با تولید رابطه‌ی مثبت و با نرخ بهره رابطه منفی دارد. سمت چپ این رابطه نیز همان عرضه‌ی پول اسمی است که فرض می‌شود برون</w:t>
      </w:r>
      <w:r w:rsidRPr="00A62AA2">
        <w:rPr>
          <w:rFonts w:cs="B Nazanin" w:hint="cs"/>
          <w:i/>
          <w:sz w:val="23"/>
          <w:szCs w:val="23"/>
          <w:rtl/>
        </w:rPr>
        <w:softHyphen/>
        <w:t>زا است. معادله‌ی ۱۳ .۳ را می‌توان به صورت ضمنی نیز بازنویسی کرد. بنابراین</w:t>
      </w:r>
    </w:p>
    <w:p w14:paraId="6BE870F1" w14:textId="77777777" w:rsidR="00556C10" w:rsidRPr="00A62AA2" w:rsidRDefault="00556C10" w:rsidP="00556C10">
      <w:pPr>
        <w:pStyle w:val="NormalWeb"/>
        <w:spacing w:before="0" w:beforeAutospacing="0" w:after="0" w:afterAutospacing="0" w:line="216" w:lineRule="auto"/>
        <w:jc w:val="both"/>
        <w:rPr>
          <w:rFonts w:cs="B Nazanin"/>
          <w:i/>
          <w:sz w:val="23"/>
          <w:szCs w:val="23"/>
          <w:rtl/>
        </w:rPr>
      </w:pPr>
      <w:r w:rsidRPr="00A62AA2">
        <w:rPr>
          <w:position w:val="-8"/>
        </w:rPr>
        <w:object w:dxaOrig="1820" w:dyaOrig="279" w14:anchorId="7B176946">
          <v:shape id="_x0000_i5929" type="#_x0000_t75" style="width:90.75pt;height:13.9pt" o:ole="">
            <v:imagedata r:id="rId9881" o:title=""/>
          </v:shape>
          <o:OLEObject Type="Embed" ProgID="Equation.DSMT4" ShapeID="_x0000_i5929" DrawAspect="Content" ObjectID="_1791379873" r:id="rId9882"/>
        </w:object>
      </w:r>
      <w:r w:rsidRPr="00A62AA2">
        <w:rPr>
          <w:rFonts w:cs="B Nazanin" w:hint="cs"/>
          <w:i/>
          <w:sz w:val="23"/>
          <w:szCs w:val="23"/>
          <w:rtl/>
        </w:rPr>
        <w:tab/>
      </w:r>
      <w:r w:rsidRPr="00A62AA2">
        <w:rPr>
          <w:rFonts w:cs="B Nazanin" w:hint="cs"/>
          <w:i/>
          <w:sz w:val="23"/>
          <w:szCs w:val="23"/>
          <w:rtl/>
        </w:rPr>
        <w:tab/>
      </w:r>
      <w:r w:rsidRPr="00A62AA2">
        <w:rPr>
          <w:rFonts w:cs="B Nazanin" w:hint="cs"/>
          <w:i/>
          <w:sz w:val="23"/>
          <w:szCs w:val="23"/>
          <w:rtl/>
        </w:rPr>
        <w:tab/>
      </w:r>
      <w:r w:rsidRPr="00A62AA2">
        <w:rPr>
          <w:rFonts w:cs="B Nazanin"/>
          <w:i/>
          <w:sz w:val="23"/>
          <w:szCs w:val="23"/>
        </w:rPr>
        <w:tab/>
      </w:r>
      <w:r w:rsidRPr="00A62AA2">
        <w:rPr>
          <w:rFonts w:cs="B Nazanin"/>
          <w:i/>
          <w:sz w:val="23"/>
          <w:szCs w:val="23"/>
        </w:rPr>
        <w:tab/>
      </w:r>
      <w:r w:rsidRPr="00A62AA2">
        <w:rPr>
          <w:rFonts w:cs="B Nazanin"/>
          <w:i/>
          <w:sz w:val="23"/>
          <w:szCs w:val="23"/>
        </w:rPr>
        <w:tab/>
      </w:r>
      <w:r w:rsidRPr="00A62AA2">
        <w:rPr>
          <w:rFonts w:cs="B Nazanin"/>
          <w:i/>
          <w:sz w:val="23"/>
          <w:szCs w:val="23"/>
        </w:rPr>
        <w:tab/>
      </w:r>
      <w:r w:rsidRPr="00A62AA2">
        <w:rPr>
          <w:rFonts w:cs="B Nazanin"/>
          <w:i/>
          <w:sz w:val="23"/>
          <w:szCs w:val="23"/>
        </w:rPr>
        <w:tab/>
      </w:r>
      <w:r>
        <w:rPr>
          <w:rFonts w:cs="B Nazanin"/>
          <w:i/>
          <w:sz w:val="23"/>
          <w:szCs w:val="23"/>
          <w:rtl/>
        </w:rPr>
        <w:tab/>
      </w:r>
      <w:r w:rsidRPr="00A62AA2">
        <w:rPr>
          <w:rFonts w:cs="B Nazanin"/>
          <w:i/>
          <w:sz w:val="23"/>
          <w:szCs w:val="23"/>
        </w:rPr>
        <w:tab/>
      </w:r>
      <w:r w:rsidRPr="00A62AA2">
        <w:rPr>
          <w:rFonts w:cs="B Nazanin"/>
          <w:i/>
          <w:sz w:val="23"/>
          <w:szCs w:val="23"/>
        </w:rPr>
        <w:tab/>
      </w:r>
      <w:r w:rsidRPr="00A62AA2">
        <w:rPr>
          <w:rFonts w:cs="B Nazanin"/>
          <w:i/>
          <w:sz w:val="23"/>
          <w:szCs w:val="23"/>
          <w:rtl/>
        </w:rPr>
        <w:tab/>
      </w:r>
      <w:r w:rsidRPr="00A62AA2">
        <w:rPr>
          <w:rFonts w:cs="B Nazanin"/>
          <w:i/>
          <w:sz w:val="23"/>
          <w:szCs w:val="23"/>
        </w:rPr>
        <w:tab/>
      </w:r>
      <w:r w:rsidRPr="00A62AA2">
        <w:rPr>
          <w:rFonts w:cs="B Nazanin" w:hint="cs"/>
          <w:i/>
          <w:sz w:val="23"/>
          <w:szCs w:val="23"/>
          <w:rtl/>
        </w:rPr>
        <w:tab/>
      </w:r>
      <w:r w:rsidRPr="00A62AA2">
        <w:rPr>
          <w:rFonts w:cs="B Nazanin" w:hint="cs"/>
          <w:i/>
          <w:sz w:val="23"/>
          <w:szCs w:val="23"/>
          <w:rtl/>
        </w:rPr>
        <w:tab/>
        <w:t>(۱۳. ۴)</w:t>
      </w:r>
      <w:r w:rsidRPr="00A62AA2">
        <w:rPr>
          <w:rFonts w:cs="B Nazanin"/>
          <w:i/>
          <w:sz w:val="23"/>
          <w:szCs w:val="23"/>
          <w:rtl/>
        </w:rPr>
        <w:t xml:space="preserve"> </w:t>
      </w:r>
    </w:p>
    <w:p w14:paraId="4F41B746" w14:textId="77777777" w:rsidR="00556C10" w:rsidRPr="00A62AA2" w:rsidRDefault="00556C10" w:rsidP="00556C10">
      <w:pPr>
        <w:pStyle w:val="NormalWeb"/>
        <w:bidi/>
        <w:spacing w:before="0" w:beforeAutospacing="0" w:after="0" w:afterAutospacing="0" w:line="216" w:lineRule="auto"/>
        <w:jc w:val="both"/>
        <w:rPr>
          <w:rFonts w:cs="B Nazanin"/>
          <w:i/>
          <w:sz w:val="23"/>
          <w:szCs w:val="23"/>
          <w:rtl/>
        </w:rPr>
      </w:pPr>
      <w:r w:rsidRPr="00A62AA2">
        <w:rPr>
          <w:rFonts w:cs="B Nazanin" w:hint="cs"/>
          <w:i/>
          <w:sz w:val="23"/>
          <w:szCs w:val="23"/>
          <w:rtl/>
        </w:rPr>
        <w:t>این معادله مکان هندسی ترکیبات مختلف</w:t>
      </w:r>
      <w:r w:rsidRPr="00A62AA2">
        <w:rPr>
          <w:position w:val="-8"/>
        </w:rPr>
        <w:object w:dxaOrig="200" w:dyaOrig="220" w14:anchorId="4C2E8BEE">
          <v:shape id="_x0000_i5930" type="#_x0000_t75" style="width:10.3pt;height:10.9pt" o:ole="">
            <v:imagedata r:id="rId9883" o:title=""/>
          </v:shape>
          <o:OLEObject Type="Embed" ProgID="Equation.DSMT4" ShapeID="_x0000_i5930" DrawAspect="Content" ObjectID="_1791379874" r:id="rId9884"/>
        </w:object>
      </w:r>
      <w:r w:rsidRPr="00A62AA2">
        <w:rPr>
          <w:rFonts w:cs="B Nazanin" w:hint="cs"/>
          <w:i/>
          <w:sz w:val="23"/>
          <w:szCs w:val="23"/>
          <w:rtl/>
        </w:rPr>
        <w:t xml:space="preserve"> و</w:t>
      </w:r>
      <w:r w:rsidRPr="00A62AA2">
        <w:rPr>
          <w:position w:val="-6"/>
        </w:rPr>
        <w:object w:dxaOrig="240" w:dyaOrig="260" w14:anchorId="30BAF9B6">
          <v:shape id="_x0000_i5931" type="#_x0000_t75" style="width:12.1pt;height:12.7pt" o:ole="">
            <v:imagedata r:id="rId9885" o:title=""/>
          </v:shape>
          <o:OLEObject Type="Embed" ProgID="Equation.DSMT4" ShapeID="_x0000_i5931" DrawAspect="Content" ObjectID="_1791379875" r:id="rId9886"/>
        </w:object>
      </w:r>
      <w:r w:rsidRPr="00A62AA2">
        <w:rPr>
          <w:rFonts w:cs="B Nazanin"/>
          <w:i/>
          <w:sz w:val="23"/>
          <w:szCs w:val="23"/>
        </w:rPr>
        <w:t xml:space="preserve"> </w:t>
      </w:r>
      <w:r w:rsidRPr="00A62AA2">
        <w:rPr>
          <w:rFonts w:cs="B Nazanin" w:hint="cs"/>
          <w:i/>
          <w:sz w:val="23"/>
          <w:szCs w:val="23"/>
          <w:rtl/>
        </w:rPr>
        <w:t>را نشان می</w:t>
      </w:r>
      <w:r w:rsidRPr="00A62AA2">
        <w:rPr>
          <w:rFonts w:cs="B Nazanin" w:hint="cs"/>
          <w:i/>
          <w:sz w:val="23"/>
          <w:szCs w:val="23"/>
          <w:rtl/>
        </w:rPr>
        <w:softHyphen/>
        <w:t>دهد که در آن بازار پول در تعادل باشد. با افزایش عرضه</w:t>
      </w:r>
      <w:r w:rsidRPr="00A62AA2">
        <w:rPr>
          <w:rFonts w:cs="B Nazanin" w:hint="cs"/>
          <w:i/>
          <w:sz w:val="23"/>
          <w:szCs w:val="23"/>
          <w:rtl/>
        </w:rPr>
        <w:softHyphen/>
        <w:t>ی پول</w:t>
      </w:r>
      <w:r w:rsidRPr="00025957">
        <w:rPr>
          <w:position w:val="-4"/>
        </w:rPr>
        <w:object w:dxaOrig="320" w:dyaOrig="240" w14:anchorId="100A8334">
          <v:shape id="_x0000_i5932" type="#_x0000_t75" style="width:15.75pt;height:12.1pt" o:ole="">
            <v:imagedata r:id="rId9887" o:title=""/>
          </v:shape>
          <o:OLEObject Type="Embed" ProgID="Equation.DSMT4" ShapeID="_x0000_i5932" DrawAspect="Content" ObjectID="_1791379876" r:id="rId9888"/>
        </w:object>
      </w:r>
      <w:r w:rsidRPr="00A62AA2">
        <w:rPr>
          <w:rFonts w:cs="B Nazanin"/>
          <w:i/>
          <w:sz w:val="23"/>
          <w:szCs w:val="23"/>
        </w:rPr>
        <w:t xml:space="preserve"> </w:t>
      </w:r>
      <w:r w:rsidRPr="00A62AA2">
        <w:rPr>
          <w:rFonts w:cs="B Nazanin" w:hint="cs"/>
          <w:i/>
          <w:sz w:val="23"/>
          <w:szCs w:val="23"/>
          <w:rtl/>
        </w:rPr>
        <w:t>منحنی</w:t>
      </w:r>
      <w:r w:rsidRPr="00025957">
        <w:rPr>
          <w:position w:val="-4"/>
        </w:rPr>
        <w:object w:dxaOrig="440" w:dyaOrig="240" w14:anchorId="7E580B53">
          <v:shape id="_x0000_i5933" type="#_x0000_t75" style="width:21.8pt;height:12.1pt" o:ole="">
            <v:imagedata r:id="rId9889" o:title=""/>
          </v:shape>
          <o:OLEObject Type="Embed" ProgID="Equation.DSMT4" ShapeID="_x0000_i5933" DrawAspect="Content" ObjectID="_1791379877" r:id="rId9890"/>
        </w:object>
      </w:r>
      <w:r w:rsidRPr="00A62AA2">
        <w:rPr>
          <w:rFonts w:cs="B Nazanin" w:hint="cs"/>
          <w:i/>
          <w:sz w:val="23"/>
          <w:szCs w:val="23"/>
          <w:rtl/>
        </w:rPr>
        <w:t xml:space="preserve"> به سمت پایین و راست منتقل می‌شود. </w:t>
      </w:r>
    </w:p>
    <w:p w14:paraId="2720DDA9" w14:textId="77777777" w:rsidR="00556C10" w:rsidRPr="00A62AA2" w:rsidRDefault="00556C10" w:rsidP="00556C10">
      <w:pPr>
        <w:pStyle w:val="NormalWeb"/>
        <w:bidi/>
        <w:spacing w:before="0" w:beforeAutospacing="0" w:after="0" w:afterAutospacing="0" w:line="216" w:lineRule="auto"/>
        <w:jc w:val="both"/>
        <w:rPr>
          <w:rFonts w:cs="B Nazanin"/>
          <w:i/>
          <w:sz w:val="23"/>
          <w:szCs w:val="23"/>
          <w:rtl/>
        </w:rPr>
      </w:pPr>
      <w:r w:rsidRPr="00A62AA2">
        <w:rPr>
          <w:rFonts w:cs="B Nazanin" w:hint="cs"/>
          <w:i/>
          <w:sz w:val="23"/>
          <w:szCs w:val="23"/>
          <w:rtl/>
        </w:rPr>
        <w:t>محل برخورد دو منحنی</w:t>
      </w:r>
      <w:r w:rsidRPr="00A62AA2">
        <w:rPr>
          <w:position w:val="-6"/>
        </w:rPr>
        <w:object w:dxaOrig="320" w:dyaOrig="260" w14:anchorId="12B75A27">
          <v:shape id="_x0000_i5934" type="#_x0000_t75" style="width:15.75pt;height:13.3pt" o:ole="">
            <v:imagedata r:id="rId9891" o:title=""/>
          </v:shape>
          <o:OLEObject Type="Embed" ProgID="Equation.DSMT4" ShapeID="_x0000_i5934" DrawAspect="Content" ObjectID="_1791379878" r:id="rId9892"/>
        </w:object>
      </w:r>
      <w:r w:rsidRPr="00A62AA2">
        <w:rPr>
          <w:rFonts w:cs="B Nazanin"/>
          <w:i/>
          <w:sz w:val="23"/>
          <w:szCs w:val="23"/>
        </w:rPr>
        <w:t xml:space="preserve"> </w:t>
      </w:r>
      <w:r w:rsidRPr="00A62AA2">
        <w:rPr>
          <w:rFonts w:cs="B Nazanin" w:hint="cs"/>
          <w:i/>
          <w:sz w:val="23"/>
          <w:szCs w:val="23"/>
          <w:rtl/>
        </w:rPr>
        <w:t>و</w:t>
      </w:r>
      <w:r w:rsidRPr="00025957">
        <w:rPr>
          <w:position w:val="-4"/>
        </w:rPr>
        <w:object w:dxaOrig="440" w:dyaOrig="240" w14:anchorId="1F0A4C55">
          <v:shape id="_x0000_i5935" type="#_x0000_t75" style="width:21.8pt;height:11.5pt" o:ole="">
            <v:imagedata r:id="rId9893" o:title=""/>
          </v:shape>
          <o:OLEObject Type="Embed" ProgID="Equation.DSMT4" ShapeID="_x0000_i5935" DrawAspect="Content" ObjectID="_1791379879" r:id="rId9894"/>
        </w:object>
      </w:r>
      <w:r w:rsidRPr="00A62AA2">
        <w:rPr>
          <w:rFonts w:cs="B Nazanin" w:hint="cs"/>
          <w:i/>
          <w:sz w:val="23"/>
          <w:szCs w:val="23"/>
          <w:rtl/>
        </w:rPr>
        <w:t xml:space="preserve"> مقادیر تعادلی</w:t>
      </w:r>
      <w:r w:rsidRPr="00A62AA2">
        <w:rPr>
          <w:position w:val="-8"/>
        </w:rPr>
        <w:object w:dxaOrig="200" w:dyaOrig="220" w14:anchorId="691F1B43">
          <v:shape id="_x0000_i5936" type="#_x0000_t75" style="width:10.3pt;height:10.9pt" o:ole="">
            <v:imagedata r:id="rId9895" o:title=""/>
          </v:shape>
          <o:OLEObject Type="Embed" ProgID="Equation.DSMT4" ShapeID="_x0000_i5936" DrawAspect="Content" ObjectID="_1791379880" r:id="rId9896"/>
        </w:object>
      </w:r>
      <w:r w:rsidRPr="00A62AA2">
        <w:rPr>
          <w:rFonts w:cs="B Nazanin" w:hint="cs"/>
          <w:i/>
          <w:sz w:val="23"/>
          <w:szCs w:val="23"/>
          <w:rtl/>
        </w:rPr>
        <w:t xml:space="preserve"> و</w:t>
      </w:r>
      <w:r w:rsidRPr="00A62AA2">
        <w:rPr>
          <w:position w:val="-6"/>
        </w:rPr>
        <w:object w:dxaOrig="240" w:dyaOrig="260" w14:anchorId="6965D6FE">
          <v:shape id="_x0000_i5937" type="#_x0000_t75" style="width:11.5pt;height:13.3pt" o:ole="">
            <v:imagedata r:id="rId9897" o:title=""/>
          </v:shape>
          <o:OLEObject Type="Embed" ProgID="Equation.DSMT4" ShapeID="_x0000_i5937" DrawAspect="Content" ObjectID="_1791379881" r:id="rId9898"/>
        </w:object>
      </w:r>
      <w:r w:rsidRPr="00A62AA2">
        <w:rPr>
          <w:rFonts w:cs="B Nazanin" w:hint="cs"/>
          <w:i/>
          <w:sz w:val="23"/>
          <w:szCs w:val="23"/>
          <w:rtl/>
        </w:rPr>
        <w:t xml:space="preserve"> را نشان می‌دهد که در آن بازار کالا و خدمات و بازار پول</w:t>
      </w:r>
      <w:r w:rsidRPr="00A62AA2">
        <w:rPr>
          <w:rFonts w:cs="B Nazanin"/>
          <w:i/>
          <w:sz w:val="23"/>
          <w:szCs w:val="23"/>
        </w:rPr>
        <w:t xml:space="preserve"> </w:t>
      </w:r>
      <w:r w:rsidRPr="00A62AA2">
        <w:rPr>
          <w:rFonts w:cs="B Nazanin" w:hint="cs"/>
          <w:i/>
          <w:sz w:val="23"/>
          <w:szCs w:val="23"/>
          <w:rtl/>
        </w:rPr>
        <w:t>به طور همزمان با مقادیر</w:t>
      </w:r>
      <w:r w:rsidRPr="00A62AA2">
        <w:rPr>
          <w:position w:val="-8"/>
        </w:rPr>
        <w:object w:dxaOrig="220" w:dyaOrig="240" w14:anchorId="02F5BF92">
          <v:shape id="_x0000_i5938" type="#_x0000_t75" style="width:10.9pt;height:11.5pt" o:ole="">
            <v:imagedata r:id="rId9899" o:title=""/>
          </v:shape>
          <o:OLEObject Type="Embed" ProgID="Equation.DSMT4" ShapeID="_x0000_i5938" DrawAspect="Content" ObjectID="_1791379882" r:id="rId9900"/>
        </w:object>
      </w:r>
      <w:r w:rsidRPr="00A62AA2">
        <w:rPr>
          <w:rFonts w:cs="B Nazanin" w:hint="cs"/>
          <w:i/>
          <w:sz w:val="23"/>
          <w:szCs w:val="23"/>
          <w:rtl/>
        </w:rPr>
        <w:t>،</w:t>
      </w:r>
      <w:r w:rsidRPr="00025957">
        <w:rPr>
          <w:position w:val="-4"/>
        </w:rPr>
        <w:object w:dxaOrig="320" w:dyaOrig="240" w14:anchorId="28C2E9BB">
          <v:shape id="_x0000_i5939" type="#_x0000_t75" style="width:15.75pt;height:11.5pt" o:ole="">
            <v:imagedata r:id="rId9901" o:title=""/>
          </v:shape>
          <o:OLEObject Type="Embed" ProgID="Equation.DSMT4" ShapeID="_x0000_i5939" DrawAspect="Content" ObjectID="_1791379883" r:id="rId9902"/>
        </w:object>
      </w:r>
      <w:r w:rsidRPr="00A62AA2">
        <w:rPr>
          <w:rFonts w:cs="B Nazanin" w:hint="cs"/>
          <w:i/>
          <w:sz w:val="23"/>
          <w:szCs w:val="23"/>
          <w:rtl/>
        </w:rPr>
        <w:t xml:space="preserve"> و</w:t>
      </w:r>
      <w:r w:rsidRPr="00025957">
        <w:rPr>
          <w:position w:val="-4"/>
        </w:rPr>
        <w:object w:dxaOrig="240" w:dyaOrig="240" w14:anchorId="588D6C6C">
          <v:shape id="_x0000_i5940" type="#_x0000_t75" style="width:11.5pt;height:11.5pt" o:ole="">
            <v:imagedata r:id="rId9903" o:title=""/>
          </v:shape>
          <o:OLEObject Type="Embed" ProgID="Equation.DSMT4" ShapeID="_x0000_i5940" DrawAspect="Content" ObjectID="_1791379884" r:id="rId9904"/>
        </w:object>
      </w:r>
      <w:r w:rsidRPr="00A62AA2">
        <w:rPr>
          <w:rFonts w:cs="B Nazanin" w:hint="cs"/>
          <w:i/>
          <w:sz w:val="23"/>
          <w:szCs w:val="23"/>
          <w:rtl/>
        </w:rPr>
        <w:t xml:space="preserve"> داده شده در تعادل باشند</w:t>
      </w:r>
      <w:r w:rsidRPr="00A62AA2">
        <w:rPr>
          <w:rFonts w:cs="B Nazanin"/>
          <w:i/>
          <w:sz w:val="23"/>
          <w:szCs w:val="23"/>
        </w:rPr>
        <w:t>.</w:t>
      </w:r>
      <w:r w:rsidRPr="00A62AA2">
        <w:rPr>
          <w:rFonts w:cs="B Nazanin" w:hint="cs"/>
          <w:i/>
          <w:sz w:val="23"/>
          <w:szCs w:val="23"/>
          <w:rtl/>
        </w:rPr>
        <w:t xml:space="preserve"> در این وضعیت دو بازار کالاها و خدمات و همچنین بازار پول در تعادل جریان می‌باشند. از آنجاکه ممکن است موجودی سرمایه در این موقعیت در تعادل نباشد لذا مقادیر تعادلی که از تعامل دو بازار به دست می‌آید با مقادیر تعادلی بدست آمده از مدل تعادل عمومی پویا متفاوت است. در تعادل ایستای کامل، سرمایه</w:t>
      </w:r>
      <w:r w:rsidRPr="00A62AA2">
        <w:rPr>
          <w:rFonts w:cs="B Nazanin"/>
          <w:i/>
          <w:sz w:val="23"/>
          <w:szCs w:val="23"/>
        </w:rPr>
        <w:t>‌</w:t>
      </w:r>
      <w:r w:rsidRPr="00A62AA2">
        <w:rPr>
          <w:rFonts w:cs="B Nazanin" w:hint="cs"/>
          <w:i/>
          <w:sz w:val="23"/>
          <w:szCs w:val="23"/>
          <w:rtl/>
        </w:rPr>
        <w:t>گذاری برابر با سرمایه</w:t>
      </w:r>
      <w:r w:rsidRPr="00A62AA2">
        <w:rPr>
          <w:rFonts w:cs="B Nazanin" w:hint="cs"/>
          <w:i/>
          <w:sz w:val="23"/>
          <w:szCs w:val="23"/>
          <w:rtl/>
        </w:rPr>
        <w:softHyphen/>
        <w:t>گذاری جایگزین (</w:t>
      </w:r>
      <w:r w:rsidRPr="00A62AA2">
        <w:rPr>
          <w:position w:val="-6"/>
        </w:rPr>
        <w:object w:dxaOrig="320" w:dyaOrig="260" w14:anchorId="448552A3">
          <v:shape id="_x0000_i5941" type="#_x0000_t75" style="width:15.75pt;height:13.3pt" o:ole="">
            <v:imagedata r:id="rId9905" o:title=""/>
          </v:shape>
          <o:OLEObject Type="Embed" ProgID="Equation.DSMT4" ShapeID="_x0000_i5941" DrawAspect="Content" ObjectID="_1791379885" r:id="rId9906"/>
        </w:object>
      </w:r>
      <w:r w:rsidRPr="00A62AA2">
        <w:rPr>
          <w:rFonts w:cs="B Nazanin" w:hint="cs"/>
          <w:i/>
          <w:sz w:val="23"/>
          <w:szCs w:val="23"/>
          <w:rtl/>
        </w:rPr>
        <w:t>) است و موجودی سرمایه ثابت است. ولی در تعادل جریان، سرمایه ممکن است هر مقداری، و نه لزوماً ارزش تعادلی ذخیره یا انباشت را اختیار کند. به بیانی دیگر، مدل‌های</w:t>
      </w:r>
      <w:r w:rsidRPr="00A62AA2">
        <w:rPr>
          <w:position w:val="-6"/>
        </w:rPr>
        <w:object w:dxaOrig="880" w:dyaOrig="260" w14:anchorId="49C0042A">
          <v:shape id="_x0000_i5942" type="#_x0000_t75" style="width:44.15pt;height:13.3pt" o:ole="">
            <v:imagedata r:id="rId9907" o:title=""/>
          </v:shape>
          <o:OLEObject Type="Embed" ProgID="Equation.DSMT4" ShapeID="_x0000_i5942" DrawAspect="Content" ObjectID="_1791379886" r:id="rId9908"/>
        </w:object>
      </w:r>
      <w:r w:rsidRPr="00A62AA2">
        <w:rPr>
          <w:rFonts w:cs="B Nazanin"/>
          <w:i/>
          <w:sz w:val="23"/>
          <w:szCs w:val="23"/>
        </w:rPr>
        <w:t xml:space="preserve"> </w:t>
      </w:r>
      <w:r w:rsidRPr="00A62AA2">
        <w:rPr>
          <w:rFonts w:cs="B Nazanin" w:hint="cs"/>
          <w:i/>
          <w:sz w:val="23"/>
          <w:szCs w:val="23"/>
          <w:rtl/>
        </w:rPr>
        <w:t xml:space="preserve">تعادل موقت </w:t>
      </w:r>
      <w:r w:rsidRPr="00A62AA2">
        <w:rPr>
          <w:rFonts w:cs="B Nazanin"/>
          <w:i/>
          <w:sz w:val="23"/>
          <w:szCs w:val="23"/>
        </w:rPr>
        <w:t>)</w:t>
      </w:r>
      <w:r w:rsidRPr="00A62AA2">
        <w:rPr>
          <w:rFonts w:cs="B Nazanin" w:hint="cs"/>
          <w:i/>
          <w:sz w:val="23"/>
          <w:szCs w:val="23"/>
          <w:rtl/>
        </w:rPr>
        <w:t>روانه</w:t>
      </w:r>
      <w:r w:rsidRPr="00A62AA2">
        <w:rPr>
          <w:rFonts w:cs="B Nazanin"/>
          <w:i/>
          <w:sz w:val="23"/>
          <w:szCs w:val="23"/>
        </w:rPr>
        <w:t>(</w:t>
      </w:r>
      <w:r w:rsidRPr="00A62AA2">
        <w:rPr>
          <w:rFonts w:cs="B Nazanin" w:hint="cs"/>
          <w:i/>
          <w:sz w:val="23"/>
          <w:szCs w:val="23"/>
          <w:rtl/>
        </w:rPr>
        <w:t xml:space="preserve"> را که ممکن است در هر دوره تغییر کند تبیین می‌کند، و تعادل دائمی (انباره) که ممکن است در نتیجه</w:t>
      </w:r>
      <w:r w:rsidRPr="00A62AA2">
        <w:rPr>
          <w:rFonts w:cs="B Nazanin" w:hint="cs"/>
          <w:i/>
          <w:sz w:val="23"/>
          <w:szCs w:val="23"/>
          <w:rtl/>
        </w:rPr>
        <w:softHyphen/>
        <w:t>ی تغییرات</w:t>
      </w:r>
      <w:r w:rsidRPr="00A62AA2">
        <w:rPr>
          <w:rFonts w:cs="B Nazanin"/>
          <w:i/>
          <w:sz w:val="23"/>
          <w:szCs w:val="23"/>
        </w:rPr>
        <w:t xml:space="preserve"> </w:t>
      </w:r>
      <w:r w:rsidRPr="00A62AA2">
        <w:rPr>
          <w:position w:val="-8"/>
        </w:rPr>
        <w:object w:dxaOrig="220" w:dyaOrig="240" w14:anchorId="666CAE00">
          <v:shape id="_x0000_i5943" type="#_x0000_t75" style="width:10.9pt;height:11.5pt" o:ole="">
            <v:imagedata r:id="rId9909" o:title=""/>
          </v:shape>
          <o:OLEObject Type="Embed" ProgID="Equation.DSMT4" ShapeID="_x0000_i5943" DrawAspect="Content" ObjectID="_1791379887" r:id="rId9910"/>
        </w:object>
      </w:r>
      <w:r w:rsidRPr="00A62AA2">
        <w:rPr>
          <w:rFonts w:cs="B Nazanin" w:hint="cs"/>
          <w:i/>
          <w:sz w:val="23"/>
          <w:szCs w:val="23"/>
          <w:rtl/>
        </w:rPr>
        <w:t>،</w:t>
      </w:r>
      <w:r w:rsidRPr="00025957">
        <w:rPr>
          <w:position w:val="-4"/>
        </w:rPr>
        <w:object w:dxaOrig="320" w:dyaOrig="240" w14:anchorId="725C21AB">
          <v:shape id="_x0000_i5944" type="#_x0000_t75" style="width:15.75pt;height:11.5pt" o:ole="">
            <v:imagedata r:id="rId9911" o:title=""/>
          </v:shape>
          <o:OLEObject Type="Embed" ProgID="Equation.DSMT4" ShapeID="_x0000_i5944" DrawAspect="Content" ObjectID="_1791379888" r:id="rId9912"/>
        </w:object>
      </w:r>
      <w:r w:rsidRPr="00A62AA2">
        <w:rPr>
          <w:rFonts w:cs="B Nazanin" w:hint="cs"/>
          <w:i/>
          <w:sz w:val="23"/>
          <w:szCs w:val="23"/>
          <w:rtl/>
        </w:rPr>
        <w:t xml:space="preserve"> و</w:t>
      </w:r>
      <w:r w:rsidRPr="00025957">
        <w:rPr>
          <w:position w:val="-4"/>
        </w:rPr>
        <w:object w:dxaOrig="240" w:dyaOrig="240" w14:anchorId="53849DFF">
          <v:shape id="_x0000_i5945" type="#_x0000_t75" style="width:11.5pt;height:11.5pt" o:ole="">
            <v:imagedata r:id="rId9913" o:title=""/>
          </v:shape>
          <o:OLEObject Type="Embed" ProgID="Equation.DSMT4" ShapeID="_x0000_i5945" DrawAspect="Content" ObjectID="_1791379889" r:id="rId9914"/>
        </w:object>
      </w:r>
      <w:r w:rsidRPr="00A62AA2">
        <w:rPr>
          <w:rFonts w:cs="B Nazanin" w:hint="cs"/>
          <w:i/>
          <w:sz w:val="23"/>
          <w:szCs w:val="23"/>
          <w:rtl/>
        </w:rPr>
        <w:t xml:space="preserve"> و یا شوک‌های خارجی به سیستم ایجاد می‌شود را تبیین نمی</w:t>
      </w:r>
      <w:r w:rsidRPr="00A62AA2">
        <w:rPr>
          <w:rFonts w:cs="B Nazanin"/>
          <w:i/>
          <w:sz w:val="23"/>
          <w:szCs w:val="23"/>
        </w:rPr>
        <w:t>‌</w:t>
      </w:r>
      <w:r w:rsidRPr="00A62AA2">
        <w:rPr>
          <w:rFonts w:cs="B Nazanin" w:hint="cs"/>
          <w:i/>
          <w:sz w:val="23"/>
          <w:szCs w:val="23"/>
          <w:rtl/>
        </w:rPr>
        <w:t>کند.</w:t>
      </w:r>
    </w:p>
    <w:p w14:paraId="32E45F15" w14:textId="77777777" w:rsidR="00556C10" w:rsidRPr="00A62AA2" w:rsidRDefault="00556C10" w:rsidP="00556C10">
      <w:pPr>
        <w:pStyle w:val="NormalWeb"/>
        <w:bidi/>
        <w:spacing w:before="0" w:beforeAutospacing="0" w:after="0" w:afterAutospacing="0" w:line="216" w:lineRule="auto"/>
        <w:jc w:val="both"/>
        <w:rPr>
          <w:rFonts w:cs="B Nazanin"/>
          <w:i/>
          <w:sz w:val="23"/>
          <w:szCs w:val="23"/>
        </w:rPr>
      </w:pPr>
      <w:r w:rsidRPr="00A62AA2">
        <w:rPr>
          <w:rFonts w:cs="B Nazanin" w:hint="cs"/>
          <w:i/>
          <w:sz w:val="23"/>
          <w:szCs w:val="23"/>
          <w:rtl/>
        </w:rPr>
        <w:lastRenderedPageBreak/>
        <w:t>افزایش مخارج دولت منحنی</w:t>
      </w:r>
      <w:r w:rsidRPr="00A62AA2">
        <w:rPr>
          <w:position w:val="-6"/>
        </w:rPr>
        <w:object w:dxaOrig="320" w:dyaOrig="260" w14:anchorId="21AE29AA">
          <v:shape id="_x0000_i5946" type="#_x0000_t75" style="width:15.75pt;height:13.3pt" o:ole="">
            <v:imagedata r:id="rId9915" o:title=""/>
          </v:shape>
          <o:OLEObject Type="Embed" ProgID="Equation.DSMT4" ShapeID="_x0000_i5946" DrawAspect="Content" ObjectID="_1791379890" r:id="rId9916"/>
        </w:object>
      </w:r>
      <w:r w:rsidRPr="00A62AA2">
        <w:rPr>
          <w:rFonts w:cs="B Nazanin" w:hint="cs"/>
          <w:i/>
          <w:sz w:val="23"/>
          <w:szCs w:val="23"/>
          <w:rtl/>
        </w:rPr>
        <w:t xml:space="preserve"> را به سمت راست منتقل کرده و تعادل جریان در سطح بالاتری از تولید و نرخ بهره ایجاد می‌شود. سطح بالاتر تولید مستلزم سطح بالاتر موجودی پول است تا بازار پول نیز در تعادل باشد. ولی از آنجا که فرض شده حجم پول ثابت است لذا نرخ بهره می‌بایست افزایش یابد تا نگهداری پول را توجیه اقتصادی کند. همچنین با افزایش موجودی پول منحنی</w:t>
      </w:r>
      <w:r w:rsidRPr="00025957">
        <w:rPr>
          <w:position w:val="-4"/>
        </w:rPr>
        <w:object w:dxaOrig="440" w:dyaOrig="240" w14:anchorId="3181130F">
          <v:shape id="_x0000_i5947" type="#_x0000_t75" style="width:21.8pt;height:11.5pt" o:ole="">
            <v:imagedata r:id="rId9917" o:title=""/>
          </v:shape>
          <o:OLEObject Type="Embed" ProgID="Equation.DSMT4" ShapeID="_x0000_i5947" DrawAspect="Content" ObjectID="_1791379891" r:id="rId9918"/>
        </w:object>
      </w:r>
      <w:r w:rsidRPr="00A62AA2">
        <w:rPr>
          <w:rFonts w:cs="B Nazanin" w:hint="cs"/>
          <w:i/>
          <w:sz w:val="23"/>
          <w:szCs w:val="23"/>
          <w:rtl/>
        </w:rPr>
        <w:t xml:space="preserve"> به سمت راست منتقل می‌شود و با</w:t>
      </w:r>
      <w:r w:rsidRPr="00025957">
        <w:rPr>
          <w:position w:val="-4"/>
        </w:rPr>
        <w:object w:dxaOrig="240" w:dyaOrig="240" w14:anchorId="3FC4F80C">
          <v:shape id="_x0000_i5948" type="#_x0000_t75" style="width:11.5pt;height:11.5pt" o:ole="">
            <v:imagedata r:id="rId9919" o:title=""/>
          </v:shape>
          <o:OLEObject Type="Embed" ProgID="Equation.DSMT4" ShapeID="_x0000_i5948" DrawAspect="Content" ObjectID="_1791379892" r:id="rId9920"/>
        </w:object>
      </w:r>
      <w:r w:rsidRPr="00A62AA2">
        <w:rPr>
          <w:rFonts w:cs="B Nazanin" w:hint="cs"/>
          <w:i/>
          <w:sz w:val="23"/>
          <w:szCs w:val="23"/>
          <w:rtl/>
        </w:rPr>
        <w:t xml:space="preserve"> ثابت تعادل جدید در سطح بالاتر تولید، و نرخ بهره‌ی پایین‌تر ایجاد خواهد شد.</w:t>
      </w:r>
    </w:p>
    <w:p w14:paraId="7E20756D" w14:textId="77777777" w:rsidR="00556C10" w:rsidRPr="00A62AA2" w:rsidRDefault="00556C10" w:rsidP="00556C10">
      <w:pPr>
        <w:pStyle w:val="NormalWeb"/>
        <w:bidi/>
        <w:spacing w:before="0" w:beforeAutospacing="0" w:after="0" w:afterAutospacing="0" w:line="216" w:lineRule="auto"/>
        <w:jc w:val="both"/>
        <w:rPr>
          <w:rFonts w:cs="B Nazanin"/>
          <w:i/>
          <w:sz w:val="23"/>
          <w:szCs w:val="23"/>
          <w:rtl/>
        </w:rPr>
      </w:pPr>
      <w:r w:rsidRPr="00A62AA2">
        <w:rPr>
          <w:rFonts w:cs="B Nazanin" w:hint="cs"/>
          <w:i/>
          <w:sz w:val="23"/>
          <w:szCs w:val="23"/>
          <w:rtl/>
        </w:rPr>
        <w:t>با تغییرات برون‌زا در مخارج دولت و عرضه‌ی پول، و با فرض ثابت بودن سطح قیمت‌ها، مدل</w:t>
      </w:r>
      <w:r w:rsidRPr="00A62AA2">
        <w:rPr>
          <w:position w:val="-6"/>
        </w:rPr>
        <w:object w:dxaOrig="880" w:dyaOrig="260" w14:anchorId="026CB6C9">
          <v:shape id="_x0000_i5949" type="#_x0000_t75" style="width:44.15pt;height:13.3pt" o:ole="">
            <v:imagedata r:id="rId9921" o:title=""/>
          </v:shape>
          <o:OLEObject Type="Embed" ProgID="Equation.DSMT4" ShapeID="_x0000_i5949" DrawAspect="Content" ObjectID="_1791379893" r:id="rId9922"/>
        </w:object>
      </w:r>
      <w:r w:rsidRPr="00A62AA2">
        <w:rPr>
          <w:rFonts w:cs="B Nazanin"/>
          <w:i/>
          <w:sz w:val="23"/>
          <w:szCs w:val="23"/>
        </w:rPr>
        <w:t xml:space="preserve"> </w:t>
      </w:r>
      <w:r w:rsidRPr="00A62AA2">
        <w:rPr>
          <w:rFonts w:cs="B Nazanin" w:hint="cs"/>
          <w:i/>
          <w:sz w:val="23"/>
          <w:szCs w:val="23"/>
          <w:rtl/>
        </w:rPr>
        <w:t>بوضوح راه مناسبی برای تجزیه و تحلیل سیاست پولی و مالی است. اگر سیاست پولی از طریق تغییر برون</w:t>
      </w:r>
      <w:r w:rsidRPr="00A62AA2">
        <w:rPr>
          <w:rFonts w:cs="B Nazanin" w:hint="cs"/>
          <w:i/>
          <w:sz w:val="23"/>
          <w:szCs w:val="23"/>
          <w:rtl/>
        </w:rPr>
        <w:softHyphen/>
        <w:t>زای نرخ بهره، همانند هدف‌گذاری تورم، اعمال شود، آنگاه عرضه‌ی پول درون‌زا خواهد بود. زیرا، دراین</w:t>
      </w:r>
      <w:r w:rsidRPr="00A62AA2">
        <w:rPr>
          <w:rFonts w:cs="B Nazanin" w:hint="cs"/>
          <w:i/>
          <w:sz w:val="23"/>
          <w:szCs w:val="23"/>
          <w:rtl/>
        </w:rPr>
        <w:softHyphen/>
        <w:t>صورت، مقامات پولی می</w:t>
      </w:r>
      <w:r w:rsidRPr="00A62AA2">
        <w:rPr>
          <w:rFonts w:cs="B Nazanin" w:hint="cs"/>
          <w:i/>
          <w:sz w:val="23"/>
          <w:szCs w:val="23"/>
          <w:rtl/>
        </w:rPr>
        <w:softHyphen/>
        <w:t>بایست به اندازه‌ی حفظ نرخ بهره‌ی انتخابی، پول عرضه کنند. در این حالت با نرخ بهره و قیمت داده شده، منحنی</w:t>
      </w:r>
      <w:r w:rsidRPr="00025957">
        <w:rPr>
          <w:position w:val="-4"/>
        </w:rPr>
        <w:object w:dxaOrig="440" w:dyaOrig="240" w14:anchorId="1FACE901">
          <v:shape id="_x0000_i5950" type="#_x0000_t75" style="width:21.8pt;height:11.5pt" o:ole="">
            <v:imagedata r:id="rId9923" o:title=""/>
          </v:shape>
          <o:OLEObject Type="Embed" ProgID="Equation.DSMT4" ShapeID="_x0000_i5950" DrawAspect="Content" ObjectID="_1791379894" r:id="rId9924"/>
        </w:object>
      </w:r>
      <w:r w:rsidRPr="00A62AA2">
        <w:rPr>
          <w:rFonts w:cs="B Nazanin" w:hint="cs"/>
          <w:i/>
          <w:sz w:val="23"/>
          <w:szCs w:val="23"/>
          <w:rtl/>
        </w:rPr>
        <w:t xml:space="preserve"> افقی خواهد شد. در این مسیر، یک انبساط مالی متناظر با افزایش مخارج دولت باعث افزایش سطح تولید نسبت به زمانی است که عرضه‌ی پول ثابت است. زیرا عرضه‌ی پول نیز باید افزایش یابد تا نرخ بهره ثابت نگه داشته شود. بنابراین سیاست مالی هنگامی که سیاست پولی از طریق کنترل نرخ بهره اعمال می</w:t>
      </w:r>
      <w:r w:rsidRPr="00A62AA2">
        <w:rPr>
          <w:rFonts w:cs="B Nazanin" w:hint="cs"/>
          <w:i/>
          <w:sz w:val="23"/>
          <w:szCs w:val="23"/>
          <w:rtl/>
        </w:rPr>
        <w:softHyphen/>
        <w:t>شود مؤثرتر از زمانی است که هدف‌گذاری عرضه‌ی پول اعمال می‌شود.</w:t>
      </w:r>
    </w:p>
    <w:p w14:paraId="3E45DDC5" w14:textId="77777777" w:rsidR="00556C10" w:rsidRPr="00A62AA2" w:rsidRDefault="00556C10" w:rsidP="00556C10">
      <w:pPr>
        <w:pStyle w:val="NormalWeb"/>
        <w:bidi/>
        <w:spacing w:before="0" w:beforeAutospacing="0" w:after="0" w:afterAutospacing="0" w:line="216" w:lineRule="auto"/>
        <w:jc w:val="both"/>
        <w:rPr>
          <w:rFonts w:cs="B Nazanin"/>
          <w:i/>
          <w:sz w:val="23"/>
          <w:szCs w:val="23"/>
          <w:shd w:val="clear" w:color="auto" w:fill="FFFFFF"/>
        </w:rPr>
      </w:pPr>
      <w:r w:rsidRPr="00A62AA2">
        <w:rPr>
          <w:rFonts w:cs="B Nazanin" w:hint="cs"/>
          <w:i/>
          <w:sz w:val="23"/>
          <w:szCs w:val="23"/>
          <w:rtl/>
        </w:rPr>
        <w:t>در مدل</w:t>
      </w:r>
      <w:r w:rsidRPr="00A62AA2">
        <w:rPr>
          <w:position w:val="-6"/>
        </w:rPr>
        <w:object w:dxaOrig="880" w:dyaOrig="260" w14:anchorId="477396BE">
          <v:shape id="_x0000_i5951" type="#_x0000_t75" style="width:44.15pt;height:13.3pt" o:ole="">
            <v:imagedata r:id="rId9925" o:title=""/>
          </v:shape>
          <o:OLEObject Type="Embed" ProgID="Equation.DSMT4" ShapeID="_x0000_i5951" DrawAspect="Content" ObjectID="_1791379895" r:id="rId9926"/>
        </w:object>
      </w:r>
      <w:r w:rsidRPr="00A62AA2">
        <w:rPr>
          <w:rFonts w:cs="B Nazanin" w:hint="cs"/>
          <w:i/>
          <w:sz w:val="23"/>
          <w:szCs w:val="23"/>
          <w:shd w:val="clear" w:color="auto" w:fill="FFFFFF"/>
          <w:rtl/>
        </w:rPr>
        <w:t xml:space="preserve"> فرض می</w:t>
      </w:r>
      <w:r w:rsidRPr="00A62AA2">
        <w:rPr>
          <w:rFonts w:cs="B Nazanin" w:hint="cs"/>
          <w:i/>
          <w:sz w:val="23"/>
          <w:szCs w:val="23"/>
          <w:shd w:val="clear" w:color="auto" w:fill="FFFFFF"/>
          <w:rtl/>
        </w:rPr>
        <w:softHyphen/>
        <w:t>شود سطح قیمت</w:t>
      </w:r>
      <w:r w:rsidRPr="00A62AA2">
        <w:rPr>
          <w:rFonts w:cs="B Nazanin" w:hint="cs"/>
          <w:i/>
          <w:sz w:val="23"/>
          <w:szCs w:val="23"/>
          <w:shd w:val="clear" w:color="auto" w:fill="FFFFFF"/>
          <w:rtl/>
        </w:rPr>
        <w:softHyphen/>
        <w:t>ها ثابت است. به عبارتی دیگر، در مقایسه با تولید و نرخ بهره که ممکن است در دوره‌ی مورد بررسی ثابت در نظر گرفته شوند، تعدیل قیمت‌ها به اندازه‌ی کافی</w:t>
      </w:r>
    </w:p>
    <w:p w14:paraId="19599C1F" w14:textId="77777777" w:rsidR="00556C10" w:rsidRPr="00A62AA2" w:rsidRDefault="00556C10" w:rsidP="00556C10">
      <w:pPr>
        <w:pStyle w:val="NormalWeb"/>
        <w:bidi/>
        <w:spacing w:before="0" w:beforeAutospacing="0" w:after="0" w:afterAutospacing="0" w:line="216" w:lineRule="auto"/>
        <w:jc w:val="center"/>
        <w:rPr>
          <w:rFonts w:cs="B Nazanin"/>
          <w:i/>
          <w:sz w:val="23"/>
          <w:szCs w:val="23"/>
          <w:rtl/>
        </w:rPr>
      </w:pPr>
      <w:r w:rsidRPr="00A62AA2">
        <w:rPr>
          <w:rFonts w:cs="B Nazanin" w:hint="cs"/>
          <w:i/>
          <w:sz w:val="23"/>
          <w:szCs w:val="23"/>
          <w:rtl/>
        </w:rPr>
        <w:t>نمودار ۱۳. ۱</w:t>
      </w:r>
      <w:r w:rsidRPr="00A62AA2">
        <w:rPr>
          <w:rFonts w:cs="B Nazanin"/>
          <w:i/>
          <w:sz w:val="23"/>
          <w:szCs w:val="23"/>
        </w:rPr>
        <w:t xml:space="preserve">: </w:t>
      </w:r>
      <w:r w:rsidRPr="00A62AA2">
        <w:rPr>
          <w:rFonts w:cs="B Nazanin" w:hint="cs"/>
          <w:i/>
          <w:sz w:val="23"/>
          <w:szCs w:val="23"/>
          <w:rtl/>
          <w:lang w:bidi="fa-IR"/>
        </w:rPr>
        <w:t xml:space="preserve"> </w:t>
      </w:r>
      <w:r w:rsidRPr="00A62AA2">
        <w:rPr>
          <w:rFonts w:cs="B Nazanin" w:hint="cs"/>
          <w:i/>
          <w:sz w:val="23"/>
          <w:szCs w:val="23"/>
          <w:rtl/>
        </w:rPr>
        <w:t xml:space="preserve">منحنی‌های </w:t>
      </w:r>
      <w:r w:rsidRPr="00A62AA2">
        <w:rPr>
          <w:position w:val="-6"/>
        </w:rPr>
        <w:object w:dxaOrig="880" w:dyaOrig="260" w14:anchorId="386ADD87">
          <v:shape id="_x0000_i5952" type="#_x0000_t75" style="width:44.15pt;height:13.3pt" o:ole="">
            <v:imagedata r:id="rId9927" o:title=""/>
          </v:shape>
          <o:OLEObject Type="Embed" ProgID="Equation.DSMT4" ShapeID="_x0000_i5952" DrawAspect="Content" ObjectID="_1791379896" r:id="rId9928"/>
        </w:object>
      </w:r>
      <w:r w:rsidRPr="00A62AA2">
        <w:rPr>
          <w:rFonts w:cs="B Nazanin"/>
          <w:i/>
          <w:sz w:val="23"/>
          <w:szCs w:val="23"/>
        </w:rPr>
        <w:t xml:space="preserve"> </w:t>
      </w:r>
      <w:r w:rsidRPr="00A62AA2">
        <w:rPr>
          <w:rFonts w:cs="B Nazanin" w:hint="cs"/>
          <w:i/>
          <w:sz w:val="23"/>
          <w:szCs w:val="23"/>
          <w:rtl/>
        </w:rPr>
        <w:t>در یک اقتصاد بسته</w:t>
      </w:r>
    </w:p>
    <w:p w14:paraId="1DC704AA" w14:textId="77777777" w:rsidR="00556C10" w:rsidRPr="00A62AA2" w:rsidRDefault="00556C10" w:rsidP="00556C10">
      <w:pPr>
        <w:pStyle w:val="NormalWeb"/>
        <w:bidi/>
        <w:spacing w:before="0" w:beforeAutospacing="0" w:after="0" w:afterAutospacing="0" w:line="216" w:lineRule="auto"/>
        <w:jc w:val="center"/>
        <w:rPr>
          <w:rFonts w:cs="B Nazanin"/>
          <w:i/>
          <w:sz w:val="23"/>
          <w:szCs w:val="23"/>
          <w:rtl/>
        </w:rPr>
      </w:pPr>
      <w:r w:rsidRPr="00A62AA2">
        <w:rPr>
          <w:rFonts w:cs="B Nazanin"/>
          <w:i/>
          <w:noProof/>
          <w:sz w:val="23"/>
          <w:szCs w:val="23"/>
          <w:u w:val="single"/>
        </w:rPr>
        <w:drawing>
          <wp:inline distT="0" distB="0" distL="0" distR="0" wp14:anchorId="6EE1D4A0" wp14:editId="68A6F58F">
            <wp:extent cx="3654425" cy="1995488"/>
            <wp:effectExtent l="38100" t="38100" r="41275" b="431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29" cstate="print">
                      <a:extLst>
                        <a:ext uri="{BEBA8EAE-BF5A-486C-A8C5-ECC9F3942E4B}">
                          <a14:imgProps xmlns:a14="http://schemas.microsoft.com/office/drawing/2010/main">
                            <a14:imgLayer r:embed="rId9930">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675921" cy="2007226"/>
                    </a:xfrm>
                    <a:prstGeom prst="rect">
                      <a:avLst/>
                    </a:prstGeom>
                    <a:ln w="28575">
                      <a:solidFill>
                        <a:schemeClr val="tx1"/>
                      </a:solidFill>
                    </a:ln>
                  </pic:spPr>
                </pic:pic>
              </a:graphicData>
            </a:graphic>
          </wp:inline>
        </w:drawing>
      </w:r>
    </w:p>
    <w:p w14:paraId="770AB875" w14:textId="77777777" w:rsidR="00556C10" w:rsidRPr="00A62AA2" w:rsidRDefault="00556C10" w:rsidP="00556C10">
      <w:pPr>
        <w:pStyle w:val="NormalWeb"/>
        <w:bidi/>
        <w:spacing w:before="0" w:beforeAutospacing="0" w:after="0" w:afterAutospacing="0" w:line="216" w:lineRule="auto"/>
        <w:jc w:val="center"/>
        <w:rPr>
          <w:rFonts w:cs="B Nazanin"/>
          <w:i/>
          <w:sz w:val="23"/>
          <w:szCs w:val="23"/>
          <w:rtl/>
        </w:rPr>
      </w:pPr>
    </w:p>
    <w:p w14:paraId="71536460" w14:textId="77777777" w:rsidR="00556C10" w:rsidRPr="00A62AA2" w:rsidRDefault="00556C10" w:rsidP="00556C10">
      <w:pPr>
        <w:pStyle w:val="NormalWeb"/>
        <w:bidi/>
        <w:spacing w:before="0" w:beforeAutospacing="0" w:after="0" w:afterAutospacing="0" w:line="216" w:lineRule="auto"/>
        <w:jc w:val="center"/>
        <w:rPr>
          <w:rFonts w:cs="B Nazanin"/>
          <w:i/>
          <w:sz w:val="23"/>
          <w:szCs w:val="23"/>
          <w:rtl/>
        </w:rPr>
      </w:pPr>
      <w:r w:rsidRPr="00A62AA2">
        <w:rPr>
          <w:rFonts w:cs="B Nazanin" w:hint="cs"/>
          <w:i/>
          <w:sz w:val="23"/>
          <w:szCs w:val="23"/>
          <w:rtl/>
        </w:rPr>
        <w:t xml:space="preserve">نمودار ۱۳. ۲ : منحنی‌های </w:t>
      </w:r>
      <w:r w:rsidRPr="00A62AA2">
        <w:rPr>
          <w:position w:val="-6"/>
        </w:rPr>
        <w:object w:dxaOrig="920" w:dyaOrig="260" w14:anchorId="76C14A19">
          <v:shape id="_x0000_i5953" type="#_x0000_t75" style="width:46pt;height:13.3pt" o:ole="">
            <v:imagedata r:id="rId9931" o:title=""/>
          </v:shape>
          <o:OLEObject Type="Embed" ProgID="Equation.DSMT4" ShapeID="_x0000_i5953" DrawAspect="Content" ObjectID="_1791379897" r:id="rId9932"/>
        </w:object>
      </w:r>
      <w:r w:rsidRPr="00A62AA2">
        <w:rPr>
          <w:rFonts w:cs="B Nazanin"/>
          <w:i/>
          <w:sz w:val="23"/>
          <w:szCs w:val="23"/>
        </w:rPr>
        <w:t xml:space="preserve"> </w:t>
      </w:r>
      <w:r w:rsidRPr="00A62AA2">
        <w:rPr>
          <w:rFonts w:cs="B Nazanin" w:hint="cs"/>
          <w:i/>
          <w:sz w:val="23"/>
          <w:szCs w:val="23"/>
          <w:rtl/>
        </w:rPr>
        <w:t>در یک اقتصاد بسته</w:t>
      </w:r>
    </w:p>
    <w:p w14:paraId="273EAB17" w14:textId="77777777" w:rsidR="00556C10" w:rsidRPr="00A62AA2" w:rsidRDefault="00556C10" w:rsidP="00556C10">
      <w:pPr>
        <w:pStyle w:val="NormalWeb"/>
        <w:bidi/>
        <w:spacing w:before="0" w:beforeAutospacing="0" w:after="0" w:afterAutospacing="0" w:line="216" w:lineRule="auto"/>
        <w:jc w:val="center"/>
        <w:rPr>
          <w:rFonts w:cs="B Nazanin"/>
          <w:i/>
          <w:sz w:val="23"/>
          <w:szCs w:val="23"/>
          <w:rtl/>
        </w:rPr>
      </w:pPr>
      <w:r w:rsidRPr="00A62AA2">
        <w:rPr>
          <w:rFonts w:cs="B Nazanin"/>
          <w:i/>
          <w:noProof/>
          <w:sz w:val="23"/>
          <w:szCs w:val="23"/>
          <w:u w:val="single"/>
        </w:rPr>
        <w:lastRenderedPageBreak/>
        <w:drawing>
          <wp:inline distT="0" distB="0" distL="0" distR="0" wp14:anchorId="68275D77" wp14:editId="49399B5C">
            <wp:extent cx="3655101" cy="1990725"/>
            <wp:effectExtent l="38100" t="38100" r="40640"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33" cstate="print">
                      <a:extLst>
                        <a:ext uri="{BEBA8EAE-BF5A-486C-A8C5-ECC9F3942E4B}">
                          <a14:imgProps xmlns:a14="http://schemas.microsoft.com/office/drawing/2010/main">
                            <a14:imgLayer r:embed="rId9934">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65658" cy="1996475"/>
                    </a:xfrm>
                    <a:prstGeom prst="rect">
                      <a:avLst/>
                    </a:prstGeom>
                    <a:ln w="28575">
                      <a:solidFill>
                        <a:schemeClr val="tx1"/>
                      </a:solidFill>
                    </a:ln>
                  </pic:spPr>
                </pic:pic>
              </a:graphicData>
            </a:graphic>
          </wp:inline>
        </w:drawing>
      </w:r>
    </w:p>
    <w:p w14:paraId="2A3660B5" w14:textId="77777777" w:rsidR="00556C10" w:rsidRPr="00A62AA2" w:rsidRDefault="00556C10" w:rsidP="00556C10">
      <w:pPr>
        <w:pStyle w:val="NormalWeb"/>
        <w:bidi/>
        <w:spacing w:before="0" w:beforeAutospacing="0" w:after="0" w:afterAutospacing="0" w:line="216" w:lineRule="auto"/>
        <w:jc w:val="both"/>
        <w:rPr>
          <w:rFonts w:cs="B Nazanin"/>
          <w:i/>
          <w:sz w:val="23"/>
          <w:szCs w:val="23"/>
          <w:shd w:val="clear" w:color="auto" w:fill="FFFFFF"/>
        </w:rPr>
      </w:pPr>
    </w:p>
    <w:p w14:paraId="0328C0F2" w14:textId="77777777" w:rsidR="00556C10" w:rsidRPr="00A62AA2" w:rsidRDefault="00556C10" w:rsidP="00556C10">
      <w:pPr>
        <w:pStyle w:val="NormalWeb"/>
        <w:bidi/>
        <w:spacing w:before="0" w:beforeAutospacing="0" w:after="0" w:afterAutospacing="0" w:line="216" w:lineRule="auto"/>
        <w:jc w:val="both"/>
        <w:rPr>
          <w:rFonts w:cs="B Nazanin"/>
          <w:i/>
          <w:sz w:val="23"/>
          <w:szCs w:val="23"/>
          <w:shd w:val="clear" w:color="auto" w:fill="FFFFFF"/>
        </w:rPr>
      </w:pPr>
      <w:r w:rsidRPr="00A62AA2">
        <w:rPr>
          <w:rFonts w:cs="B Nazanin" w:hint="cs"/>
          <w:i/>
          <w:sz w:val="23"/>
          <w:szCs w:val="23"/>
          <w:shd w:val="clear" w:color="auto" w:fill="FFFFFF"/>
          <w:rtl/>
        </w:rPr>
        <w:t>آهسته می‌باشد. با اضافه کردن تابع عرضه‌ی محصول می‌توان قیمت‌ها را درون‌زا کرد. در این صورت بجای این</w:t>
      </w:r>
      <w:r w:rsidRPr="00A62AA2">
        <w:rPr>
          <w:rFonts w:cs="B Nazanin" w:hint="cs"/>
          <w:i/>
          <w:sz w:val="23"/>
          <w:szCs w:val="23"/>
          <w:shd w:val="clear" w:color="auto" w:fill="FFFFFF"/>
          <w:rtl/>
        </w:rPr>
        <w:softHyphen/>
        <w:t>که عرضه بوسیله</w:t>
      </w:r>
      <w:r w:rsidRPr="00A62AA2">
        <w:rPr>
          <w:rFonts w:cs="B Nazanin" w:hint="cs"/>
          <w:i/>
          <w:sz w:val="23"/>
          <w:szCs w:val="23"/>
          <w:shd w:val="clear" w:color="auto" w:fill="FFFFFF"/>
          <w:rtl/>
        </w:rPr>
        <w:softHyphen/>
        <w:t>ی تقاضا تعیین شود، عرضه</w:t>
      </w:r>
      <w:r w:rsidRPr="00A62AA2">
        <w:rPr>
          <w:position w:val="-6"/>
        </w:rPr>
        <w:object w:dxaOrig="400" w:dyaOrig="260" w14:anchorId="70449AEA">
          <v:shape id="_x0000_i5954" type="#_x0000_t75" style="width:19.95pt;height:13.3pt" o:ole="">
            <v:imagedata r:id="rId9935" o:title=""/>
          </v:shape>
          <o:OLEObject Type="Embed" ProgID="Equation.DSMT4" ShapeID="_x0000_i5954" DrawAspect="Content" ObjectID="_1791379898" r:id="rId9936"/>
        </w:object>
      </w:r>
      <w:r w:rsidRPr="00A62AA2">
        <w:rPr>
          <w:rFonts w:cs="B Nazanin"/>
          <w:i/>
          <w:sz w:val="23"/>
          <w:szCs w:val="23"/>
          <w:shd w:val="clear" w:color="auto" w:fill="FFFFFF"/>
        </w:rPr>
        <w:t xml:space="preserve"> </w:t>
      </w:r>
      <w:r w:rsidRPr="00A62AA2">
        <w:rPr>
          <w:rFonts w:cs="B Nazanin" w:hint="cs"/>
          <w:i/>
          <w:sz w:val="23"/>
          <w:szCs w:val="23"/>
          <w:shd w:val="clear" w:color="auto" w:fill="FFFFFF"/>
          <w:rtl/>
        </w:rPr>
        <w:t>تابعی مثبت از سطح قیمت خواهد بود، و این رابطه</w:t>
      </w:r>
      <w:r w:rsidRPr="00A62AA2">
        <w:rPr>
          <w:rFonts w:cs="B Nazanin" w:hint="cs"/>
          <w:i/>
          <w:sz w:val="23"/>
          <w:szCs w:val="23"/>
          <w:shd w:val="clear" w:color="auto" w:fill="FFFFFF"/>
          <w:rtl/>
        </w:rPr>
        <w:softHyphen/>
        <w:t xml:space="preserve"> تا دسترسی به ظرفیت کامل که منحنی عرضه</w:t>
      </w:r>
      <w:r w:rsidRPr="00A62AA2">
        <w:rPr>
          <w:rFonts w:cs="B Nazanin" w:hint="cs"/>
          <w:i/>
          <w:sz w:val="23"/>
          <w:szCs w:val="23"/>
          <w:shd w:val="clear" w:color="auto" w:fill="FFFFFF"/>
          <w:rtl/>
        </w:rPr>
        <w:softHyphen/>
        <w:t xml:space="preserve">ی کل عمودی است (نمودار ۱۳. ۲) برقرار خواهد بود. قبل از ظرفیت کامل، سطح بالاتر تولید مستلزم قیمت بالاتر است، زیرا دوره‌ی زمانی برای تولیدی که متأثر از انباشت </w:t>
      </w:r>
    </w:p>
    <w:p w14:paraId="4D7EB870" w14:textId="77777777" w:rsidR="00556C10" w:rsidRPr="00A62AA2" w:rsidRDefault="00556C10" w:rsidP="00556C10">
      <w:pPr>
        <w:pStyle w:val="NormalWeb"/>
        <w:bidi/>
        <w:spacing w:before="0" w:beforeAutospacing="0" w:after="0" w:afterAutospacing="0" w:line="216" w:lineRule="auto"/>
        <w:jc w:val="both"/>
        <w:rPr>
          <w:rFonts w:cs="B Nazanin"/>
          <w:i/>
          <w:sz w:val="23"/>
          <w:szCs w:val="23"/>
          <w:shd w:val="clear" w:color="auto" w:fill="FFFFFF"/>
          <w:rtl/>
        </w:rPr>
      </w:pPr>
      <w:r w:rsidRPr="00A62AA2">
        <w:rPr>
          <w:rFonts w:cs="B Nazanin" w:hint="cs"/>
          <w:i/>
          <w:sz w:val="23"/>
          <w:szCs w:val="23"/>
          <w:shd w:val="clear" w:color="auto" w:fill="FFFFFF"/>
          <w:rtl/>
        </w:rPr>
        <w:t>سرمایه باشد بسیار کوتاه است، و بنابراین تولید فقط به تبع افزایش نهاده</w:t>
      </w:r>
      <w:r w:rsidRPr="00A62AA2">
        <w:rPr>
          <w:rFonts w:cs="B Nazanin" w:hint="cs"/>
          <w:i/>
          <w:sz w:val="23"/>
          <w:szCs w:val="23"/>
          <w:shd w:val="clear" w:color="auto" w:fill="FFFFFF"/>
          <w:rtl/>
        </w:rPr>
        <w:softHyphen/>
        <w:t>ی نیروی کار و نه موجودی سرمایه افزایش خواهد یافت. منحنی دیگر تابع تقاضای کل</w:t>
      </w:r>
      <w:r w:rsidRPr="00025957">
        <w:rPr>
          <w:position w:val="-4"/>
        </w:rPr>
        <w:object w:dxaOrig="400" w:dyaOrig="240" w14:anchorId="12F7EA56">
          <v:shape id="_x0000_i5955" type="#_x0000_t75" style="width:19.95pt;height:11.5pt" o:ole="">
            <v:imagedata r:id="rId9937" o:title=""/>
          </v:shape>
          <o:OLEObject Type="Embed" ProgID="Equation.DSMT4" ShapeID="_x0000_i5955" DrawAspect="Content" ObjectID="_1791379899" r:id="rId9938"/>
        </w:object>
      </w:r>
      <w:r w:rsidRPr="00A62AA2">
        <w:rPr>
          <w:rFonts w:cs="B Nazanin" w:hint="cs"/>
          <w:i/>
          <w:sz w:val="23"/>
          <w:szCs w:val="23"/>
          <w:shd w:val="clear" w:color="auto" w:fill="FFFFFF"/>
          <w:rtl/>
        </w:rPr>
        <w:t xml:space="preserve"> است که از مدل</w:t>
      </w:r>
      <w:r w:rsidRPr="00A62AA2">
        <w:rPr>
          <w:position w:val="-6"/>
        </w:rPr>
        <w:object w:dxaOrig="880" w:dyaOrig="260" w14:anchorId="4BE5AB4D">
          <v:shape id="_x0000_i5956" type="#_x0000_t75" style="width:44.15pt;height:13.3pt" o:ole="">
            <v:imagedata r:id="rId9939" o:title=""/>
          </v:shape>
          <o:OLEObject Type="Embed" ProgID="Equation.DSMT4" ShapeID="_x0000_i5956" DrawAspect="Content" ObjectID="_1791379900" r:id="rId9940"/>
        </w:object>
      </w:r>
      <w:r w:rsidRPr="00A62AA2">
        <w:rPr>
          <w:rFonts w:cs="B Nazanin" w:hint="cs"/>
          <w:i/>
          <w:sz w:val="23"/>
          <w:szCs w:val="23"/>
          <w:shd w:val="clear" w:color="auto" w:fill="FFFFFF"/>
          <w:rtl/>
        </w:rPr>
        <w:t xml:space="preserve"> بدست می‌آید. در این منحنی رابطه</w:t>
      </w:r>
      <w:r w:rsidRPr="00A62AA2">
        <w:rPr>
          <w:rFonts w:cs="B Nazanin" w:hint="cs"/>
          <w:i/>
          <w:sz w:val="23"/>
          <w:szCs w:val="23"/>
          <w:shd w:val="clear" w:color="auto" w:fill="FFFFFF"/>
          <w:rtl/>
        </w:rPr>
        <w:softHyphen/>
        <w:t>ی تولید در مقابل سطح قیمت نشان داده می</w:t>
      </w:r>
      <w:r w:rsidRPr="00A62AA2">
        <w:rPr>
          <w:rFonts w:cs="B Nazanin" w:hint="cs"/>
          <w:i/>
          <w:sz w:val="23"/>
          <w:szCs w:val="23"/>
          <w:shd w:val="clear" w:color="auto" w:fill="FFFFFF"/>
          <w:rtl/>
        </w:rPr>
        <w:softHyphen/>
        <w:t>شود که در آن برابری پس انداز-سرمایه</w:t>
      </w:r>
      <w:r w:rsidRPr="00A62AA2">
        <w:rPr>
          <w:rFonts w:cs="B Nazanin" w:hint="cs"/>
          <w:i/>
          <w:sz w:val="23"/>
          <w:szCs w:val="23"/>
          <w:shd w:val="clear" w:color="auto" w:fill="FFFFFF"/>
          <w:rtl/>
        </w:rPr>
        <w:softHyphen/>
        <w:t>گذاری و تعادل بازار پول برقرار است</w:t>
      </w:r>
      <w:r w:rsidRPr="00A62AA2">
        <w:rPr>
          <w:rFonts w:cs="B Nazanin"/>
          <w:i/>
          <w:sz w:val="23"/>
          <w:szCs w:val="23"/>
          <w:shd w:val="clear" w:color="auto" w:fill="FFFFFF"/>
        </w:rPr>
        <w:t>.</w:t>
      </w:r>
      <w:r w:rsidRPr="00A62AA2">
        <w:rPr>
          <w:rFonts w:cs="B Nazanin" w:hint="cs"/>
          <w:i/>
          <w:sz w:val="23"/>
          <w:szCs w:val="23"/>
          <w:shd w:val="clear" w:color="auto" w:fill="FFFFFF"/>
          <w:rtl/>
        </w:rPr>
        <w:t xml:space="preserve"> منحنی تقاضا با همزمانی خطوط</w:t>
      </w:r>
      <w:r w:rsidRPr="00A62AA2">
        <w:rPr>
          <w:position w:val="-6"/>
        </w:rPr>
        <w:object w:dxaOrig="320" w:dyaOrig="260" w14:anchorId="44E97C71">
          <v:shape id="_x0000_i5957" type="#_x0000_t75" style="width:15.75pt;height:13.3pt" o:ole="">
            <v:imagedata r:id="rId9941" o:title=""/>
          </v:shape>
          <o:OLEObject Type="Embed" ProgID="Equation.DSMT4" ShapeID="_x0000_i5957" DrawAspect="Content" ObjectID="_1791379901" r:id="rId9942"/>
        </w:object>
      </w:r>
      <w:r w:rsidRPr="00A62AA2">
        <w:rPr>
          <w:rFonts w:cs="B Nazanin" w:hint="cs"/>
          <w:i/>
          <w:sz w:val="23"/>
          <w:szCs w:val="23"/>
          <w:shd w:val="clear" w:color="auto" w:fill="FFFFFF"/>
          <w:rtl/>
        </w:rPr>
        <w:t xml:space="preserve"> و</w:t>
      </w:r>
      <w:r w:rsidRPr="00025957">
        <w:rPr>
          <w:position w:val="-4"/>
        </w:rPr>
        <w:object w:dxaOrig="440" w:dyaOrig="240" w14:anchorId="4C57E23A">
          <v:shape id="_x0000_i5958" type="#_x0000_t75" style="width:21.8pt;height:11.5pt" o:ole="">
            <v:imagedata r:id="rId9943" o:title=""/>
          </v:shape>
          <o:OLEObject Type="Embed" ProgID="Equation.DSMT4" ShapeID="_x0000_i5958" DrawAspect="Content" ObjectID="_1791379902" r:id="rId9944"/>
        </w:object>
      </w:r>
      <w:r w:rsidRPr="00A62AA2">
        <w:rPr>
          <w:rFonts w:cs="B Nazanin"/>
          <w:i/>
          <w:sz w:val="23"/>
          <w:szCs w:val="23"/>
          <w:shd w:val="clear" w:color="auto" w:fill="FFFFFF"/>
        </w:rPr>
        <w:t xml:space="preserve"> </w:t>
      </w:r>
      <w:r w:rsidRPr="00A62AA2">
        <w:rPr>
          <w:rFonts w:cs="B Nazanin" w:hint="cs"/>
          <w:i/>
          <w:sz w:val="23"/>
          <w:szCs w:val="23"/>
          <w:shd w:val="clear" w:color="auto" w:fill="FFFFFF"/>
          <w:rtl/>
        </w:rPr>
        <w:t>و استفاده از این واقعیت که با افزایش قیمت، خط</w:t>
      </w:r>
      <w:r w:rsidRPr="00025957">
        <w:rPr>
          <w:position w:val="-4"/>
        </w:rPr>
        <w:object w:dxaOrig="440" w:dyaOrig="240" w14:anchorId="628EA97A">
          <v:shape id="_x0000_i5959" type="#_x0000_t75" style="width:21.8pt;height:11.5pt" o:ole="">
            <v:imagedata r:id="rId9945" o:title=""/>
          </v:shape>
          <o:OLEObject Type="Embed" ProgID="Equation.DSMT4" ShapeID="_x0000_i5959" DrawAspect="Content" ObjectID="_1791379903" r:id="rId9946"/>
        </w:object>
      </w:r>
      <w:r w:rsidRPr="00A62AA2">
        <w:rPr>
          <w:rFonts w:cs="B Nazanin"/>
          <w:i/>
          <w:sz w:val="23"/>
          <w:szCs w:val="23"/>
          <w:shd w:val="clear" w:color="auto" w:fill="FFFFFF"/>
        </w:rPr>
        <w:t xml:space="preserve"> </w:t>
      </w:r>
      <w:r w:rsidRPr="00A62AA2">
        <w:rPr>
          <w:rFonts w:cs="B Nazanin" w:hint="cs"/>
          <w:i/>
          <w:sz w:val="23"/>
          <w:szCs w:val="23"/>
          <w:shd w:val="clear" w:color="auto" w:fill="FFFFFF"/>
          <w:rtl/>
        </w:rPr>
        <w:t>به سمت چپ منتقل می‌شود و تولید کاهش می</w:t>
      </w:r>
      <w:r w:rsidRPr="00A62AA2">
        <w:rPr>
          <w:rFonts w:cs="B Nazanin" w:hint="cs"/>
          <w:i/>
          <w:sz w:val="23"/>
          <w:szCs w:val="23"/>
          <w:shd w:val="clear" w:color="auto" w:fill="FFFFFF"/>
          <w:rtl/>
        </w:rPr>
        <w:softHyphen/>
        <w:t xml:space="preserve">یابد سازگار است. </w:t>
      </w:r>
    </w:p>
    <w:p w14:paraId="11768732" w14:textId="77777777" w:rsidR="00556C10" w:rsidRPr="00A62AA2" w:rsidRDefault="00556C10" w:rsidP="00556C10">
      <w:pPr>
        <w:pStyle w:val="NormalWeb"/>
        <w:bidi/>
        <w:spacing w:before="0" w:beforeAutospacing="0" w:after="0" w:afterAutospacing="0" w:line="216" w:lineRule="auto"/>
        <w:jc w:val="both"/>
        <w:rPr>
          <w:i/>
          <w:color w:val="222222"/>
          <w:sz w:val="23"/>
          <w:szCs w:val="23"/>
          <w:shd w:val="clear" w:color="auto" w:fill="FFFFFF"/>
          <w:rtl/>
        </w:rPr>
      </w:pPr>
      <w:r w:rsidRPr="00A62AA2">
        <w:rPr>
          <w:rFonts w:cs="B Nazanin" w:hint="cs"/>
          <w:i/>
          <w:color w:val="222222"/>
          <w:sz w:val="23"/>
          <w:szCs w:val="23"/>
          <w:shd w:val="clear" w:color="auto" w:fill="FFFFFF"/>
          <w:rtl/>
        </w:rPr>
        <w:t>محل تقاطع توابع عرضه و تقاضای کل، جریان تعادلی کالا و خدمات و سطح قیمت کل را نشان می</w:t>
      </w:r>
      <w:r w:rsidRPr="00A62AA2">
        <w:rPr>
          <w:rFonts w:cs="B Nazanin" w:hint="cs"/>
          <w:i/>
          <w:color w:val="222222"/>
          <w:sz w:val="23"/>
          <w:szCs w:val="23"/>
          <w:shd w:val="clear" w:color="auto" w:fill="FFFFFF"/>
          <w:rtl/>
        </w:rPr>
        <w:softHyphen/>
        <w:t>دهد. با افزایش مخارج دولت و یا عرضه‌ی اسمی پول، خط</w:t>
      </w:r>
      <w:r w:rsidRPr="00025957">
        <w:rPr>
          <w:position w:val="-4"/>
        </w:rPr>
        <w:object w:dxaOrig="400" w:dyaOrig="240" w14:anchorId="1608A86E">
          <v:shape id="_x0000_i5960" type="#_x0000_t75" style="width:19.95pt;height:11.5pt" o:ole="">
            <v:imagedata r:id="rId9947" o:title=""/>
          </v:shape>
          <o:OLEObject Type="Embed" ProgID="Equation.DSMT4" ShapeID="_x0000_i5960" DrawAspect="Content" ObjectID="_1791379904" r:id="rId9948"/>
        </w:object>
      </w:r>
      <w:r w:rsidRPr="00A62AA2">
        <w:rPr>
          <w:rFonts w:cs="B Nazanin" w:hint="cs"/>
          <w:i/>
          <w:color w:val="222222"/>
          <w:sz w:val="23"/>
          <w:szCs w:val="23"/>
          <w:shd w:val="clear" w:color="auto" w:fill="FFFFFF"/>
          <w:rtl/>
        </w:rPr>
        <w:t xml:space="preserve"> به سمت راست منتقل می‌شود، و قبل از ظرفیت کامل، سطح تولید و قیمت افزایش خواهد یافت، و در ظرفیت کامل تولید بدون تغییر باقی مانده و فقط قیمت افزایش می</w:t>
      </w:r>
      <w:r w:rsidRPr="00A62AA2">
        <w:rPr>
          <w:rFonts w:cs="B Nazanin" w:hint="cs"/>
          <w:i/>
          <w:color w:val="222222"/>
          <w:sz w:val="23"/>
          <w:szCs w:val="23"/>
          <w:shd w:val="clear" w:color="auto" w:fill="FFFFFF"/>
          <w:rtl/>
        </w:rPr>
        <w:softHyphen/>
        <w:t>یابد. در هر حالت، با افزایش سطح قیمت منحنی</w:t>
      </w:r>
      <w:r w:rsidRPr="00025957">
        <w:rPr>
          <w:position w:val="-4"/>
        </w:rPr>
        <w:object w:dxaOrig="440" w:dyaOrig="240" w14:anchorId="65324825">
          <v:shape id="_x0000_i5961" type="#_x0000_t75" style="width:21.8pt;height:11.5pt" o:ole="">
            <v:imagedata r:id="rId9949" o:title=""/>
          </v:shape>
          <o:OLEObject Type="Embed" ProgID="Equation.DSMT4" ShapeID="_x0000_i5961" DrawAspect="Content" ObjectID="_1791379905" r:id="rId9950"/>
        </w:object>
      </w:r>
      <w:r w:rsidRPr="00A62AA2">
        <w:rPr>
          <w:rFonts w:cs="B Nazanin" w:hint="cs"/>
          <w:i/>
          <w:sz w:val="23"/>
          <w:szCs w:val="23"/>
          <w:shd w:val="clear" w:color="auto" w:fill="FFFFFF"/>
          <w:rtl/>
        </w:rPr>
        <w:t xml:space="preserve"> </w:t>
      </w:r>
      <w:r w:rsidRPr="00A62AA2">
        <w:rPr>
          <w:rFonts w:cs="B Nazanin" w:hint="cs"/>
          <w:i/>
          <w:color w:val="222222"/>
          <w:sz w:val="23"/>
          <w:szCs w:val="23"/>
          <w:shd w:val="clear" w:color="auto" w:fill="FFFFFF"/>
          <w:rtl/>
        </w:rPr>
        <w:t>به سمت چپ منتقل شده، نرخ بهره افزایش، و تولید کاهش می</w:t>
      </w:r>
      <w:r w:rsidRPr="00A62AA2">
        <w:rPr>
          <w:rFonts w:cs="B Nazanin" w:hint="cs"/>
          <w:i/>
          <w:color w:val="222222"/>
          <w:sz w:val="23"/>
          <w:szCs w:val="23"/>
          <w:shd w:val="clear" w:color="auto" w:fill="FFFFFF"/>
          <w:rtl/>
        </w:rPr>
        <w:softHyphen/>
        <w:t>یابد. در ظرفیت کامل نرخ بهره می‌بایست به اندازه کافی بالا باشد تا تولید بدون تغییر باقی بماند. در این جا سیاست‌های پولی و مالی جهت افزایش تولید کاملاً بی</w:t>
      </w:r>
      <w:r w:rsidRPr="00A62AA2">
        <w:rPr>
          <w:rFonts w:cs="B Nazanin" w:hint="cs"/>
          <w:i/>
          <w:color w:val="222222"/>
          <w:sz w:val="23"/>
          <w:szCs w:val="23"/>
          <w:shd w:val="clear" w:color="auto" w:fill="FFFFFF"/>
          <w:rtl/>
        </w:rPr>
        <w:softHyphen/>
        <w:t>اثر می‌باشند. همان</w:t>
      </w:r>
      <w:r w:rsidRPr="00A62AA2">
        <w:rPr>
          <w:rFonts w:cs="B Nazanin" w:hint="cs"/>
          <w:i/>
          <w:color w:val="222222"/>
          <w:sz w:val="23"/>
          <w:szCs w:val="23"/>
          <w:shd w:val="clear" w:color="auto" w:fill="FFFFFF"/>
          <w:rtl/>
        </w:rPr>
        <w:softHyphen/>
        <w:t>گونه که قبلاً توضیح داده شد، تجزیه و تحلیل فوق ایستای مقایسه‌ای است. در حقیقت سئوال اساسی در خصوص موقعیت اقتصاد در شرایط مختلف است، و نه این</w:t>
      </w:r>
      <w:r w:rsidRPr="00A62AA2">
        <w:rPr>
          <w:rFonts w:cs="B Nazanin" w:hint="cs"/>
          <w:i/>
          <w:color w:val="222222"/>
          <w:sz w:val="23"/>
          <w:szCs w:val="23"/>
          <w:shd w:val="clear" w:color="auto" w:fill="FFFFFF"/>
          <w:rtl/>
        </w:rPr>
        <w:softHyphen/>
        <w:t>که اگر یک متغیر در طی زمان افزایش یا کاهش یابد چه اتفاقی برای متغیرهای اقتصادی خواهد ‌افتاد. همچنین فرض شد که تورم برابر صفر است. در مدل</w:t>
      </w:r>
      <w:r w:rsidRPr="00A62AA2">
        <w:rPr>
          <w:position w:val="-6"/>
        </w:rPr>
        <w:object w:dxaOrig="880" w:dyaOrig="260" w14:anchorId="55069885">
          <v:shape id="_x0000_i5962" type="#_x0000_t75" style="width:44.15pt;height:13.3pt" o:ole="">
            <v:imagedata r:id="rId9951" o:title=""/>
          </v:shape>
          <o:OLEObject Type="Embed" ProgID="Equation.DSMT4" ShapeID="_x0000_i5962" DrawAspect="Content" ObjectID="_1791379906" r:id="rId9952"/>
        </w:object>
      </w:r>
      <w:r w:rsidRPr="00A62AA2">
        <w:rPr>
          <w:rFonts w:cs="B Nazanin" w:hint="cs"/>
          <w:i/>
          <w:color w:val="222222"/>
          <w:sz w:val="23"/>
          <w:szCs w:val="23"/>
          <w:shd w:val="clear" w:color="auto" w:fill="FFFFFF"/>
          <w:rtl/>
        </w:rPr>
        <w:t xml:space="preserve"> موجودی سرمایه را ثابت در نظر گرفته و از خواص پویایی مدل اقتصادی صرفنظر کردیم. با افزودن معادله‌ی فیلیپس می</w:t>
      </w:r>
      <w:r w:rsidRPr="00A62AA2">
        <w:rPr>
          <w:rFonts w:cs="B Nazanin" w:hint="cs"/>
          <w:i/>
          <w:color w:val="222222"/>
          <w:sz w:val="23"/>
          <w:szCs w:val="23"/>
          <w:shd w:val="clear" w:color="auto" w:fill="FFFFFF"/>
          <w:rtl/>
        </w:rPr>
        <w:softHyphen/>
        <w:t xml:space="preserve">توان </w:t>
      </w:r>
      <w:r w:rsidRPr="00A62AA2">
        <w:rPr>
          <w:rFonts w:cs="B Nazanin" w:hint="cs"/>
          <w:i/>
          <w:color w:val="222222"/>
          <w:sz w:val="23"/>
          <w:szCs w:val="23"/>
          <w:shd w:val="clear" w:color="auto" w:fill="FFFFFF"/>
          <w:rtl/>
        </w:rPr>
        <w:lastRenderedPageBreak/>
        <w:t>آن</w:t>
      </w:r>
      <w:r w:rsidRPr="00A62AA2">
        <w:rPr>
          <w:rFonts w:cs="B Nazanin" w:hint="cs"/>
          <w:i/>
          <w:color w:val="222222"/>
          <w:sz w:val="23"/>
          <w:szCs w:val="23"/>
          <w:shd w:val="clear" w:color="auto" w:fill="FFFFFF"/>
          <w:rtl/>
        </w:rPr>
        <w:softHyphen/>
        <w:t>را برای تجزیه و تحلیل تورم نیز به کار گرفت. رابطه منفی بین تورم و شکاف تولید در ظرفیت کامل در نمودار ۱۳. ۳ نشان داده شده است، که در آن</w:t>
      </w:r>
      <w:r w:rsidRPr="00A62AA2">
        <w:rPr>
          <w:position w:val="-6"/>
        </w:rPr>
        <w:object w:dxaOrig="220" w:dyaOrig="200" w14:anchorId="7916016D">
          <v:shape id="_x0000_i5963" type="#_x0000_t75" style="width:10.9pt;height:10.3pt" o:ole="">
            <v:imagedata r:id="rId9953" o:title=""/>
          </v:shape>
          <o:OLEObject Type="Embed" ProgID="Equation.DSMT4" ShapeID="_x0000_i5963" DrawAspect="Content" ObjectID="_1791379907" r:id="rId9954"/>
        </w:object>
      </w:r>
      <w:r w:rsidRPr="00A62AA2">
        <w:rPr>
          <w:rFonts w:cs="B Nazanin" w:hint="cs"/>
          <w:i/>
          <w:color w:val="222222"/>
          <w:sz w:val="23"/>
          <w:szCs w:val="23"/>
          <w:shd w:val="clear" w:color="auto" w:fill="FFFFFF"/>
          <w:rtl/>
        </w:rPr>
        <w:t xml:space="preserve"> نرخ تورم،</w:t>
      </w:r>
      <w:r w:rsidRPr="00A62AA2">
        <w:rPr>
          <w:position w:val="-8"/>
        </w:rPr>
        <w:object w:dxaOrig="620" w:dyaOrig="320" w14:anchorId="5C41AE01">
          <v:shape id="_x0000_i5964" type="#_x0000_t75" style="width:30.85pt;height:15.75pt" o:ole="">
            <v:imagedata r:id="rId9955" o:title=""/>
          </v:shape>
          <o:OLEObject Type="Embed" ProgID="Equation.DSMT4" ShapeID="_x0000_i5964" DrawAspect="Content" ObjectID="_1791379908" r:id="rId9956"/>
        </w:object>
      </w:r>
      <w:r w:rsidRPr="00A62AA2">
        <w:rPr>
          <w:rFonts w:cs="B Nazanin" w:hint="cs"/>
          <w:i/>
          <w:color w:val="222222"/>
          <w:sz w:val="23"/>
          <w:szCs w:val="23"/>
          <w:shd w:val="clear" w:color="auto" w:fill="FFFFFF"/>
          <w:rtl/>
        </w:rPr>
        <w:t xml:space="preserve"> شکاف تولید از ظرفیت کامل و</w:t>
      </w:r>
      <w:r w:rsidRPr="00A62AA2">
        <w:rPr>
          <w:position w:val="-8"/>
        </w:rPr>
        <w:object w:dxaOrig="279" w:dyaOrig="320" w14:anchorId="5EBD3C7F">
          <v:shape id="_x0000_i5965" type="#_x0000_t75" style="width:13.9pt;height:15.75pt" o:ole="">
            <v:imagedata r:id="rId9957" o:title=""/>
          </v:shape>
          <o:OLEObject Type="Embed" ProgID="Equation.DSMT4" ShapeID="_x0000_i5965" DrawAspect="Content" ObjectID="_1791379909" r:id="rId9958"/>
        </w:object>
      </w:r>
      <w:r w:rsidRPr="00A62AA2">
        <w:rPr>
          <w:rFonts w:cs="B Nazanin" w:hint="cs"/>
          <w:i/>
          <w:color w:val="222222"/>
          <w:sz w:val="23"/>
          <w:szCs w:val="23"/>
          <w:shd w:val="clear" w:color="auto" w:fill="FFFFFF"/>
          <w:rtl/>
        </w:rPr>
        <w:t xml:space="preserve"> سطح ظرفیت کامل تولید است.</w:t>
      </w:r>
      <w:r w:rsidRPr="00A62AA2">
        <w:rPr>
          <w:rFonts w:hint="cs"/>
          <w:i/>
          <w:color w:val="222222"/>
          <w:sz w:val="23"/>
          <w:szCs w:val="23"/>
          <w:shd w:val="clear" w:color="auto" w:fill="FFFFFF"/>
          <w:rtl/>
        </w:rPr>
        <w:t xml:space="preserve"> </w:t>
      </w:r>
    </w:p>
    <w:p w14:paraId="0B2D3FDE"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با معرفی تورم می‌بایست در معادله‌ی</w:t>
      </w:r>
      <w:r w:rsidRPr="00A62AA2">
        <w:rPr>
          <w:position w:val="-6"/>
        </w:rPr>
        <w:object w:dxaOrig="320" w:dyaOrig="260" w14:anchorId="1CC6AFB4">
          <v:shape id="_x0000_i5966" type="#_x0000_t75" style="width:15.75pt;height:13.3pt" o:ole="">
            <v:imagedata r:id="rId9959" o:title=""/>
          </v:shape>
          <o:OLEObject Type="Embed" ProgID="Equation.DSMT4" ShapeID="_x0000_i5966" DrawAspect="Content" ObjectID="_1791379910" r:id="rId9960"/>
        </w:object>
      </w:r>
      <w:r w:rsidRPr="00A62AA2">
        <w:rPr>
          <w:rFonts w:hint="cs"/>
          <w:i/>
          <w:color w:val="222222"/>
          <w:sz w:val="23"/>
          <w:szCs w:val="23"/>
          <w:shd w:val="clear" w:color="auto" w:fill="FFFFFF"/>
          <w:rtl/>
        </w:rPr>
        <w:t xml:space="preserve"> بین نرخ‌های بهره‌ی اسمی و حقیقی تمایز قائل شویم. با جایگزینی</w:t>
      </w:r>
      <w:r w:rsidRPr="00025957">
        <w:rPr>
          <w:position w:val="-4"/>
        </w:rPr>
        <w:object w:dxaOrig="180" w:dyaOrig="180" w14:anchorId="0D4F3E85">
          <v:shape id="_x0000_i5967" type="#_x0000_t75" style="width:9.1pt;height:9.1pt" o:ole="">
            <v:imagedata r:id="rId9961" o:title=""/>
          </v:shape>
          <o:OLEObject Type="Embed" ProgID="Equation.DSMT4" ShapeID="_x0000_i5967" DrawAspect="Content" ObjectID="_1791379911" r:id="rId9962"/>
        </w:object>
      </w:r>
      <w:r w:rsidRPr="00A62AA2">
        <w:rPr>
          <w:rFonts w:hint="cs"/>
          <w:i/>
          <w:color w:val="222222"/>
          <w:sz w:val="23"/>
          <w:szCs w:val="23"/>
          <w:shd w:val="clear" w:color="auto" w:fill="FFFFFF"/>
          <w:rtl/>
        </w:rPr>
        <w:t xml:space="preserve"> به جای</w:t>
      </w:r>
      <w:r w:rsidRPr="00A62AA2">
        <w:rPr>
          <w:position w:val="-6"/>
        </w:rPr>
        <w:object w:dxaOrig="580" w:dyaOrig="260" w14:anchorId="341E3BA6">
          <v:shape id="_x0000_i5968" type="#_x0000_t75" style="width:29.05pt;height:13.3pt" o:ole="">
            <v:imagedata r:id="rId9963" o:title=""/>
          </v:shape>
          <o:OLEObject Type="Embed" ProgID="Equation.DSMT4" ShapeID="_x0000_i5968" DrawAspect="Content" ObjectID="_1791379912" r:id="rId9964"/>
        </w:object>
      </w:r>
      <w:r w:rsidRPr="00A62AA2">
        <w:rPr>
          <w:rFonts w:hint="cs"/>
          <w:i/>
          <w:sz w:val="23"/>
          <w:szCs w:val="23"/>
          <w:shd w:val="clear" w:color="auto" w:fill="FFFFFF"/>
          <w:rtl/>
        </w:rPr>
        <w:t xml:space="preserve"> در </w:t>
      </w:r>
      <w:r w:rsidRPr="00A62AA2">
        <w:rPr>
          <w:rFonts w:hint="cs"/>
          <w:i/>
          <w:color w:val="222222"/>
          <w:sz w:val="23"/>
          <w:szCs w:val="23"/>
          <w:shd w:val="clear" w:color="auto" w:fill="FFFFFF"/>
          <w:rtl/>
        </w:rPr>
        <w:t>معادله‌ی ۱۳. ۱ و ۱۳. ۲ اگر تورم افزایش یابد خط</w:t>
      </w:r>
      <w:r w:rsidRPr="00A62AA2">
        <w:rPr>
          <w:position w:val="-6"/>
        </w:rPr>
        <w:object w:dxaOrig="320" w:dyaOrig="260" w14:anchorId="06E32626">
          <v:shape id="_x0000_i5969" type="#_x0000_t75" style="width:15.75pt;height:13.3pt" o:ole="">
            <v:imagedata r:id="rId9965" o:title=""/>
          </v:shape>
          <o:OLEObject Type="Embed" ProgID="Equation.DSMT4" ShapeID="_x0000_i5969" DrawAspect="Content" ObjectID="_1791379913" r:id="rId9966"/>
        </w:object>
      </w:r>
      <w:r w:rsidRPr="00A62AA2">
        <w:rPr>
          <w:rFonts w:hint="cs"/>
          <w:i/>
          <w:sz w:val="23"/>
          <w:szCs w:val="23"/>
          <w:shd w:val="clear" w:color="auto" w:fill="FFFFFF"/>
          <w:rtl/>
        </w:rPr>
        <w:t xml:space="preserve"> </w:t>
      </w:r>
      <w:r w:rsidRPr="00A62AA2">
        <w:rPr>
          <w:rFonts w:hint="cs"/>
          <w:i/>
          <w:color w:val="222222"/>
          <w:sz w:val="23"/>
          <w:szCs w:val="23"/>
          <w:shd w:val="clear" w:color="auto" w:fill="FFFFFF"/>
          <w:rtl/>
        </w:rPr>
        <w:t>به سمت راست منتقل می‌شود (نمودار ۱۳. ۱).</w:t>
      </w:r>
      <w:r w:rsidRPr="00A62AA2">
        <w:rPr>
          <w:i/>
          <w:color w:val="222222"/>
          <w:sz w:val="23"/>
          <w:szCs w:val="23"/>
          <w:shd w:val="clear" w:color="auto" w:fill="FFFFFF"/>
        </w:rPr>
        <w:t xml:space="preserve">  </w:t>
      </w:r>
      <w:r w:rsidRPr="00A62AA2">
        <w:rPr>
          <w:rFonts w:hint="cs"/>
          <w:i/>
          <w:color w:val="222222"/>
          <w:sz w:val="23"/>
          <w:szCs w:val="23"/>
          <w:shd w:val="clear" w:color="auto" w:fill="FFFFFF"/>
          <w:rtl/>
        </w:rPr>
        <w:t>نتایج مدل</w:t>
      </w:r>
      <w:r w:rsidRPr="00A62AA2">
        <w:rPr>
          <w:position w:val="-6"/>
        </w:rPr>
        <w:object w:dxaOrig="880" w:dyaOrig="260" w14:anchorId="533B4749">
          <v:shape id="_x0000_i5970" type="#_x0000_t75" style="width:44.15pt;height:13.3pt" o:ole="">
            <v:imagedata r:id="rId9967" o:title=""/>
          </v:shape>
          <o:OLEObject Type="Embed" ProgID="Equation.DSMT4" ShapeID="_x0000_i5970" DrawAspect="Content" ObjectID="_1791379914" r:id="rId9968"/>
        </w:object>
      </w:r>
      <w:r w:rsidRPr="00A62AA2">
        <w:rPr>
          <w:rFonts w:hint="cs"/>
          <w:i/>
          <w:color w:val="222222"/>
          <w:sz w:val="23"/>
          <w:szCs w:val="23"/>
          <w:shd w:val="clear" w:color="auto" w:fill="FFFFFF"/>
          <w:rtl/>
        </w:rPr>
        <w:t xml:space="preserve"> را می‌توان با مدل ساده‌ی لگاریتم خطی نیز خلاصه نمود:</w:t>
      </w:r>
    </w:p>
    <w:p w14:paraId="61F7CBB0" w14:textId="77777777" w:rsidR="00556C10" w:rsidRPr="00A62AA2" w:rsidRDefault="00556C10" w:rsidP="00556C10">
      <w:pPr>
        <w:bidi w:val="0"/>
        <w:spacing w:line="216" w:lineRule="auto"/>
        <w:rPr>
          <w:i/>
          <w:sz w:val="23"/>
          <w:szCs w:val="23"/>
          <w:shd w:val="clear" w:color="auto" w:fill="FFFFFF"/>
          <w:rtl/>
        </w:rPr>
      </w:pPr>
      <w:r w:rsidRPr="00A62AA2">
        <w:rPr>
          <w:position w:val="-12"/>
        </w:rPr>
        <w:object w:dxaOrig="1820" w:dyaOrig="360" w14:anchorId="242AA04D">
          <v:shape id="_x0000_i5971" type="#_x0000_t75" style="width:91.35pt;height:18.15pt" o:ole="">
            <v:imagedata r:id="rId9969" o:title=""/>
          </v:shape>
          <o:OLEObject Type="Embed" ProgID="Equation.DSMT4" ShapeID="_x0000_i5971" DrawAspect="Content" ObjectID="_1791379915" r:id="rId9970"/>
        </w:object>
      </w:r>
    </w:p>
    <w:p w14:paraId="7A4E06EF" w14:textId="77777777" w:rsidR="00556C10" w:rsidRPr="00A62AA2" w:rsidRDefault="00556C10" w:rsidP="00556C10">
      <w:pPr>
        <w:bidi w:val="0"/>
        <w:spacing w:line="216" w:lineRule="auto"/>
        <w:rPr>
          <w:i/>
          <w:sz w:val="23"/>
          <w:szCs w:val="23"/>
          <w:shd w:val="clear" w:color="auto" w:fill="FFFFFF"/>
        </w:rPr>
      </w:pPr>
      <w:r w:rsidRPr="00A62AA2">
        <w:rPr>
          <w:position w:val="-8"/>
        </w:rPr>
        <w:object w:dxaOrig="1420" w:dyaOrig="279" w14:anchorId="12546937">
          <v:shape id="_x0000_i5972" type="#_x0000_t75" style="width:71.4pt;height:13.9pt" o:ole="">
            <v:imagedata r:id="rId9971" o:title=""/>
          </v:shape>
          <o:OLEObject Type="Embed" ProgID="Equation.DSMT4" ShapeID="_x0000_i5972" DrawAspect="Content" ObjectID="_1791379916" r:id="rId9972"/>
        </w:object>
      </w:r>
    </w:p>
    <w:p w14:paraId="1E6D0386" w14:textId="77777777" w:rsidR="00556C10" w:rsidRPr="00A62AA2" w:rsidRDefault="00556C10" w:rsidP="00556C10">
      <w:pPr>
        <w:bidi w:val="0"/>
        <w:spacing w:line="216" w:lineRule="auto"/>
        <w:rPr>
          <w:i/>
          <w:color w:val="222222"/>
          <w:sz w:val="23"/>
          <w:szCs w:val="23"/>
          <w:shd w:val="clear" w:color="auto" w:fill="FFFFFF"/>
        </w:rPr>
      </w:pPr>
      <w:r w:rsidRPr="00A62AA2">
        <w:rPr>
          <w:position w:val="-16"/>
        </w:rPr>
        <w:object w:dxaOrig="1660" w:dyaOrig="420" w14:anchorId="4B552225">
          <v:shape id="_x0000_i5973" type="#_x0000_t75" style="width:82.9pt;height:21.2pt" o:ole="">
            <v:imagedata r:id="rId9973" o:title=""/>
          </v:shape>
          <o:OLEObject Type="Embed" ProgID="Equation.DSMT4" ShapeID="_x0000_i5973" DrawAspect="Content" ObjectID="_1791379917" r:id="rId9974"/>
        </w:object>
      </w:r>
    </w:p>
    <w:p w14:paraId="572CF987"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که در آن تولید، پول، و سطح قیمت به صورت لگاریتمی و</w:t>
      </w:r>
      <w:r w:rsidRPr="00A62AA2">
        <w:rPr>
          <w:position w:val="-8"/>
        </w:rPr>
        <w:object w:dxaOrig="680" w:dyaOrig="279" w14:anchorId="1C0BC401">
          <v:shape id="_x0000_i5974" type="#_x0000_t75" style="width:33.9pt;height:13.9pt" o:ole="">
            <v:imagedata r:id="rId9975" o:title=""/>
          </v:shape>
          <o:OLEObject Type="Embed" ProgID="Equation.DSMT4" ShapeID="_x0000_i5974" DrawAspect="Content" ObjectID="_1791379918" r:id="rId9976"/>
        </w:object>
      </w:r>
      <w:r w:rsidRPr="00A62AA2">
        <w:rPr>
          <w:rFonts w:hint="cs"/>
          <w:i/>
          <w:color w:val="222222"/>
          <w:sz w:val="23"/>
          <w:szCs w:val="23"/>
          <w:shd w:val="clear" w:color="auto" w:fill="FFFFFF"/>
          <w:rtl/>
        </w:rPr>
        <w:t xml:space="preserve"> می‌باشد. بنابراین معادله‌ی تقاضای کل برابر است با</w:t>
      </w:r>
    </w:p>
    <w:p w14:paraId="736DA5AD" w14:textId="77777777" w:rsidR="00556C10" w:rsidRPr="00A62AA2" w:rsidRDefault="00556C10" w:rsidP="00556C10">
      <w:pPr>
        <w:bidi w:val="0"/>
        <w:spacing w:line="216" w:lineRule="auto"/>
        <w:rPr>
          <w:i/>
          <w:color w:val="222222"/>
          <w:sz w:val="23"/>
          <w:szCs w:val="23"/>
          <w:shd w:val="clear" w:color="auto" w:fill="FFFFFF"/>
          <w:rtl/>
        </w:rPr>
      </w:pPr>
      <w:r w:rsidRPr="00A62AA2">
        <w:rPr>
          <w:position w:val="-26"/>
        </w:rPr>
        <w:object w:dxaOrig="3739" w:dyaOrig="600" w14:anchorId="0A6B16AF">
          <v:shape id="_x0000_i5975" type="#_x0000_t75" style="width:186.95pt;height:29.65pt" o:ole="">
            <v:imagedata r:id="rId9977" o:title=""/>
          </v:shape>
          <o:OLEObject Type="Embed" ProgID="Equation.DSMT4" ShapeID="_x0000_i5975" DrawAspect="Content" ObjectID="_1791379919" r:id="rId9978"/>
        </w:object>
      </w:r>
    </w:p>
    <w:p w14:paraId="5079E4CB" w14:textId="77777777" w:rsidR="00556C10" w:rsidRPr="00A62AA2" w:rsidRDefault="00556C10" w:rsidP="00556C10">
      <w:pPr>
        <w:spacing w:line="216" w:lineRule="auto"/>
        <w:rPr>
          <w:i/>
          <w:sz w:val="23"/>
          <w:szCs w:val="23"/>
          <w:shd w:val="clear" w:color="auto" w:fill="FFFFFF"/>
          <w:rtl/>
        </w:rPr>
      </w:pPr>
      <w:r w:rsidRPr="00A62AA2">
        <w:rPr>
          <w:rFonts w:hint="cs"/>
          <w:i/>
          <w:color w:val="222222"/>
          <w:sz w:val="23"/>
          <w:szCs w:val="23"/>
          <w:shd w:val="clear" w:color="auto" w:fill="FFFFFF"/>
          <w:rtl/>
        </w:rPr>
        <w:t>و تورم بلندمدت در ظرفیت کامل تعادلی برابر است با</w:t>
      </w:r>
      <w:r w:rsidRPr="00A62AA2">
        <w:rPr>
          <w:position w:val="-10"/>
        </w:rPr>
        <w:object w:dxaOrig="220" w:dyaOrig="240" w14:anchorId="4951F384">
          <v:shape id="_x0000_i5976" type="#_x0000_t75" style="width:10.9pt;height:11.5pt" o:ole="">
            <v:imagedata r:id="rId9979" o:title=""/>
          </v:shape>
          <o:OLEObject Type="Embed" ProgID="Equation.DSMT4" ShapeID="_x0000_i5976" DrawAspect="Content" ObjectID="_1791379920" r:id="rId9980"/>
        </w:object>
      </w:r>
      <w:r w:rsidRPr="00A62AA2">
        <w:rPr>
          <w:rFonts w:hint="cs"/>
          <w:i/>
          <w:sz w:val="23"/>
          <w:szCs w:val="23"/>
          <w:shd w:val="clear" w:color="auto" w:fill="FFFFFF"/>
          <w:rtl/>
        </w:rPr>
        <w:t xml:space="preserve">. </w:t>
      </w:r>
    </w:p>
    <w:p w14:paraId="6F4B1ED4" w14:textId="77777777" w:rsidR="00556C10" w:rsidRPr="00A62AA2" w:rsidRDefault="00556C10" w:rsidP="00556C10">
      <w:pPr>
        <w:spacing w:line="216" w:lineRule="auto"/>
        <w:rPr>
          <w:i/>
          <w:color w:val="222222"/>
          <w:sz w:val="23"/>
          <w:szCs w:val="23"/>
          <w:shd w:val="clear" w:color="auto" w:fill="FFFFFF"/>
          <w:rtl/>
        </w:rPr>
      </w:pPr>
      <w:r w:rsidRPr="00A62AA2">
        <w:rPr>
          <w:rFonts w:hint="cs"/>
          <w:i/>
          <w:sz w:val="23"/>
          <w:szCs w:val="23"/>
          <w:shd w:val="clear" w:color="auto" w:fill="FFFFFF"/>
          <w:rtl/>
        </w:rPr>
        <w:t xml:space="preserve">با </w:t>
      </w:r>
      <w:r w:rsidRPr="00A62AA2">
        <w:rPr>
          <w:rFonts w:hint="cs"/>
          <w:i/>
          <w:color w:val="222222"/>
          <w:sz w:val="23"/>
          <w:szCs w:val="23"/>
          <w:shd w:val="clear" w:color="auto" w:fill="FFFFFF"/>
          <w:rtl/>
        </w:rPr>
        <w:t>تورم بالا در دهه‌ی۱۹۷۰ و شکست معادله‌ی فیلیپس در دهه‌ی۱۹۸۰، متغیر تورم به تورم انتظاری نیز وابسته می</w:t>
      </w:r>
      <w:r w:rsidRPr="00A62AA2">
        <w:rPr>
          <w:rFonts w:hint="cs"/>
          <w:i/>
          <w:color w:val="222222"/>
          <w:sz w:val="23"/>
          <w:szCs w:val="23"/>
          <w:shd w:val="clear" w:color="auto" w:fill="FFFFFF"/>
          <w:rtl/>
        </w:rPr>
        <w:softHyphen/>
        <w:t xml:space="preserve">شود. در این صورت معادله‌ی تورم عبارت است از </w:t>
      </w:r>
    </w:p>
    <w:p w14:paraId="2FEA981D" w14:textId="77777777" w:rsidR="00556C10" w:rsidRPr="00A62AA2" w:rsidRDefault="00556C10" w:rsidP="00556C10">
      <w:pPr>
        <w:bidi w:val="0"/>
        <w:spacing w:line="216" w:lineRule="auto"/>
        <w:rPr>
          <w:i/>
          <w:color w:val="222222"/>
          <w:sz w:val="23"/>
          <w:szCs w:val="23"/>
          <w:shd w:val="clear" w:color="auto" w:fill="FFFFFF"/>
          <w:rtl/>
        </w:rPr>
      </w:pPr>
      <w:r w:rsidRPr="00A62AA2">
        <w:rPr>
          <w:position w:val="-16"/>
        </w:rPr>
        <w:object w:dxaOrig="1740" w:dyaOrig="420" w14:anchorId="67F7F4C7">
          <v:shape id="_x0000_i5977" type="#_x0000_t75" style="width:87.15pt;height:21.2pt" o:ole="">
            <v:imagedata r:id="rId9981" o:title=""/>
          </v:shape>
          <o:OLEObject Type="Embed" ProgID="Equation.DSMT4" ShapeID="_x0000_i5977" DrawAspect="Content" ObjectID="_1791379921" r:id="rId9982"/>
        </w:object>
      </w:r>
      <w:r w:rsidRPr="00A62AA2">
        <w:rPr>
          <w:rFonts w:hint="cs"/>
          <w:i/>
          <w:sz w:val="23"/>
          <w:szCs w:val="23"/>
          <w:shd w:val="clear" w:color="auto" w:fill="FFFFFF"/>
          <w:rtl/>
        </w:rPr>
        <w:tab/>
      </w:r>
      <w:r w:rsidRPr="00A62AA2">
        <w:rPr>
          <w:rFonts w:hint="cs"/>
          <w:i/>
          <w:sz w:val="23"/>
          <w:szCs w:val="23"/>
          <w:shd w:val="clear" w:color="auto" w:fill="FFFFFF"/>
          <w:rtl/>
        </w:rPr>
        <w:tab/>
      </w:r>
      <w:r w:rsidRPr="00A62AA2">
        <w:rPr>
          <w:rFonts w:hint="cs"/>
          <w:i/>
          <w:sz w:val="23"/>
          <w:szCs w:val="23"/>
          <w:shd w:val="clear" w:color="auto" w:fill="FFFFFF"/>
          <w:rtl/>
        </w:rPr>
        <w:tab/>
      </w:r>
      <w:r w:rsidRPr="00A62AA2">
        <w:rPr>
          <w:i/>
          <w:sz w:val="23"/>
          <w:szCs w:val="23"/>
          <w:shd w:val="clear" w:color="auto" w:fill="FFFFFF"/>
        </w:rPr>
        <w:tab/>
      </w:r>
      <w:r w:rsidRPr="00A62AA2">
        <w:rPr>
          <w:i/>
          <w:sz w:val="23"/>
          <w:szCs w:val="23"/>
          <w:shd w:val="clear" w:color="auto" w:fill="FFFFFF"/>
        </w:rPr>
        <w:tab/>
      </w:r>
      <w:r w:rsidRPr="00A62AA2">
        <w:rPr>
          <w:i/>
          <w:sz w:val="23"/>
          <w:szCs w:val="23"/>
          <w:shd w:val="clear" w:color="auto" w:fill="FFFFFF"/>
        </w:rPr>
        <w:tab/>
      </w:r>
      <w:r w:rsidRPr="00A62AA2">
        <w:rPr>
          <w:i/>
          <w:sz w:val="23"/>
          <w:szCs w:val="23"/>
          <w:shd w:val="clear" w:color="auto" w:fill="FFFFFF"/>
        </w:rPr>
        <w:tab/>
      </w:r>
      <w:r w:rsidRPr="00A62AA2">
        <w:rPr>
          <w:i/>
          <w:sz w:val="23"/>
          <w:szCs w:val="23"/>
          <w:shd w:val="clear" w:color="auto" w:fill="FFFFFF"/>
        </w:rPr>
        <w:tab/>
      </w:r>
      <w:r w:rsidRPr="00A62AA2">
        <w:rPr>
          <w:i/>
          <w:sz w:val="23"/>
          <w:szCs w:val="23"/>
          <w:shd w:val="clear" w:color="auto" w:fill="FFFFFF"/>
        </w:rPr>
        <w:tab/>
      </w:r>
      <w:r w:rsidRPr="00A62AA2">
        <w:rPr>
          <w:i/>
          <w:sz w:val="23"/>
          <w:szCs w:val="23"/>
          <w:shd w:val="clear" w:color="auto" w:fill="FFFFFF"/>
        </w:rPr>
        <w:tab/>
      </w:r>
      <w:r>
        <w:rPr>
          <w:i/>
          <w:sz w:val="23"/>
          <w:szCs w:val="23"/>
          <w:shd w:val="clear" w:color="auto" w:fill="FFFFFF"/>
          <w:rtl/>
        </w:rPr>
        <w:tab/>
      </w:r>
      <w:r w:rsidRPr="00A62AA2">
        <w:rPr>
          <w:i/>
          <w:sz w:val="23"/>
          <w:szCs w:val="23"/>
          <w:shd w:val="clear" w:color="auto" w:fill="FFFFFF"/>
        </w:rPr>
        <w:tab/>
      </w:r>
      <w:r w:rsidRPr="00A62AA2">
        <w:rPr>
          <w:i/>
          <w:sz w:val="23"/>
          <w:szCs w:val="23"/>
          <w:shd w:val="clear" w:color="auto" w:fill="FFFFFF"/>
          <w:rtl/>
        </w:rPr>
        <w:tab/>
      </w:r>
      <w:r w:rsidRPr="00A62AA2">
        <w:rPr>
          <w:rFonts w:hint="cs"/>
          <w:i/>
          <w:sz w:val="23"/>
          <w:szCs w:val="23"/>
          <w:shd w:val="clear" w:color="auto" w:fill="FFFFFF"/>
          <w:rtl/>
        </w:rPr>
        <w:t xml:space="preserve"> </w:t>
      </w:r>
      <w:r w:rsidRPr="00A62AA2">
        <w:rPr>
          <w:rFonts w:hint="cs"/>
          <w:i/>
          <w:sz w:val="23"/>
          <w:szCs w:val="23"/>
          <w:shd w:val="clear" w:color="auto" w:fill="FFFFFF"/>
          <w:rtl/>
        </w:rPr>
        <w:tab/>
      </w:r>
      <w:r w:rsidRPr="00A62AA2">
        <w:rPr>
          <w:i/>
          <w:sz w:val="23"/>
          <w:szCs w:val="23"/>
          <w:shd w:val="clear" w:color="auto" w:fill="FFFFFF"/>
        </w:rPr>
        <w:tab/>
      </w:r>
      <w:r w:rsidRPr="00A62AA2">
        <w:rPr>
          <w:rFonts w:hint="cs"/>
          <w:i/>
          <w:sz w:val="23"/>
          <w:szCs w:val="23"/>
          <w:shd w:val="clear" w:color="auto" w:fill="FFFFFF"/>
          <w:rtl/>
        </w:rPr>
        <w:t xml:space="preserve">(۱۳. ۵) </w:t>
      </w:r>
    </w:p>
    <w:p w14:paraId="55DA55FE" w14:textId="77777777" w:rsidR="00556C10" w:rsidRDefault="00556C10" w:rsidP="00556C10">
      <w:pPr>
        <w:pStyle w:val="NormalWeb"/>
        <w:bidi/>
        <w:spacing w:before="0" w:beforeAutospacing="0" w:after="0" w:afterAutospacing="0" w:line="216" w:lineRule="auto"/>
        <w:jc w:val="center"/>
        <w:rPr>
          <w:rFonts w:cs="B Nazanin"/>
          <w:i/>
          <w:sz w:val="23"/>
          <w:szCs w:val="23"/>
          <w:rtl/>
        </w:rPr>
      </w:pPr>
    </w:p>
    <w:p w14:paraId="3421D9B9" w14:textId="77777777" w:rsidR="00556C10" w:rsidRPr="00A62AA2" w:rsidRDefault="00556C10" w:rsidP="00556C10">
      <w:pPr>
        <w:pStyle w:val="NormalWeb"/>
        <w:bidi/>
        <w:spacing w:before="0" w:beforeAutospacing="0" w:after="0" w:afterAutospacing="0" w:line="216" w:lineRule="auto"/>
        <w:jc w:val="center"/>
        <w:rPr>
          <w:rFonts w:cs="B Nazanin"/>
          <w:i/>
          <w:sz w:val="23"/>
          <w:szCs w:val="23"/>
          <w:rtl/>
        </w:rPr>
      </w:pPr>
      <w:r w:rsidRPr="00A62AA2">
        <w:rPr>
          <w:rFonts w:cs="B Nazanin" w:hint="cs"/>
          <w:i/>
          <w:sz w:val="23"/>
          <w:szCs w:val="23"/>
          <w:rtl/>
        </w:rPr>
        <w:t xml:space="preserve">نمودار ۱۳. </w:t>
      </w:r>
      <w:r w:rsidRPr="00A62AA2">
        <w:rPr>
          <w:rFonts w:ascii="NPIZar" w:hAnsi="NPIZar" w:cs="B Nazanin"/>
          <w:i/>
          <w:sz w:val="23"/>
          <w:szCs w:val="23"/>
          <w:rtl/>
        </w:rPr>
        <w:t>3</w:t>
      </w:r>
      <w:r w:rsidRPr="00A62AA2">
        <w:rPr>
          <w:rFonts w:ascii="NPIZar" w:hAnsi="NPIZar" w:cs="B Nazanin"/>
          <w:i/>
          <w:sz w:val="23"/>
          <w:szCs w:val="23"/>
        </w:rPr>
        <w:t>:</w:t>
      </w:r>
      <w:r w:rsidRPr="00A62AA2">
        <w:rPr>
          <w:rFonts w:cs="B Nazanin"/>
          <w:i/>
          <w:sz w:val="23"/>
          <w:szCs w:val="23"/>
        </w:rPr>
        <w:t xml:space="preserve"> </w:t>
      </w:r>
      <w:r w:rsidRPr="00A62AA2">
        <w:rPr>
          <w:rFonts w:cs="B Nazanin" w:hint="cs"/>
          <w:i/>
          <w:sz w:val="23"/>
          <w:szCs w:val="23"/>
          <w:rtl/>
          <w:lang w:bidi="fa-IR"/>
        </w:rPr>
        <w:t xml:space="preserve"> </w:t>
      </w:r>
      <w:r w:rsidRPr="00A62AA2">
        <w:rPr>
          <w:rFonts w:cs="B Nazanin" w:hint="cs"/>
          <w:i/>
          <w:sz w:val="23"/>
          <w:szCs w:val="23"/>
          <w:rtl/>
        </w:rPr>
        <w:t>مدل تورم</w:t>
      </w:r>
    </w:p>
    <w:p w14:paraId="11AA6FFE" w14:textId="77777777" w:rsidR="00556C10" w:rsidRPr="00A62AA2" w:rsidRDefault="00556C10" w:rsidP="00556C10">
      <w:pPr>
        <w:spacing w:line="216" w:lineRule="auto"/>
        <w:jc w:val="center"/>
        <w:rPr>
          <w:i/>
          <w:color w:val="222222"/>
          <w:sz w:val="23"/>
          <w:szCs w:val="23"/>
          <w:shd w:val="clear" w:color="auto" w:fill="FFFFFF"/>
          <w:rtl/>
        </w:rPr>
      </w:pPr>
      <w:r w:rsidRPr="00A62AA2">
        <w:rPr>
          <w:noProof/>
          <w:sz w:val="23"/>
          <w:szCs w:val="23"/>
          <w:lang w:bidi="ar-SA"/>
        </w:rPr>
        <w:drawing>
          <wp:inline distT="0" distB="0" distL="0" distR="0" wp14:anchorId="4209FF4C" wp14:editId="1493EF83">
            <wp:extent cx="3664976" cy="1993133"/>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83">
                      <a:extLst>
                        <a:ext uri="{BEBA8EAE-BF5A-486C-A8C5-ECC9F3942E4B}">
                          <a14:imgProps xmlns:a14="http://schemas.microsoft.com/office/drawing/2010/main">
                            <a14:imgLayer r:embed="rId9984">
                              <a14:imgEffect>
                                <a14:artisticPhotocopy/>
                              </a14:imgEffect>
                              <a14:imgEffect>
                                <a14:brightnessContrast bright="40000" contrast="40000"/>
                              </a14:imgEffect>
                            </a14:imgLayer>
                          </a14:imgProps>
                        </a:ext>
                      </a:extLst>
                    </a:blip>
                    <a:stretch>
                      <a:fillRect/>
                    </a:stretch>
                  </pic:blipFill>
                  <pic:spPr>
                    <a:xfrm>
                      <a:off x="0" y="0"/>
                      <a:ext cx="3685182" cy="2004122"/>
                    </a:xfrm>
                    <a:prstGeom prst="rect">
                      <a:avLst/>
                    </a:prstGeom>
                  </pic:spPr>
                </pic:pic>
              </a:graphicData>
            </a:graphic>
          </wp:inline>
        </w:drawing>
      </w:r>
    </w:p>
    <w:p w14:paraId="52971852"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که در آن</w:t>
      </w:r>
      <w:r w:rsidRPr="00A62AA2">
        <w:rPr>
          <w:position w:val="-6"/>
        </w:rPr>
        <w:object w:dxaOrig="279" w:dyaOrig="300" w14:anchorId="2E7670BA">
          <v:shape id="_x0000_i5978" type="#_x0000_t75" style="width:13.9pt;height:14.5pt" o:ole="">
            <v:imagedata r:id="rId9985" o:title=""/>
          </v:shape>
          <o:OLEObject Type="Embed" ProgID="Equation.DSMT4" ShapeID="_x0000_i5978" DrawAspect="Content" ObjectID="_1791379922" r:id="rId9986"/>
        </w:object>
      </w:r>
      <w:r w:rsidRPr="00A62AA2">
        <w:rPr>
          <w:rFonts w:hint="cs"/>
          <w:i/>
          <w:sz w:val="23"/>
          <w:szCs w:val="23"/>
          <w:shd w:val="clear" w:color="auto" w:fill="FFFFFF"/>
          <w:rtl/>
        </w:rPr>
        <w:t xml:space="preserve"> </w:t>
      </w:r>
      <w:r w:rsidRPr="00A62AA2">
        <w:rPr>
          <w:rFonts w:hint="cs"/>
          <w:i/>
          <w:color w:val="222222"/>
          <w:sz w:val="23"/>
          <w:szCs w:val="23"/>
          <w:shd w:val="clear" w:color="auto" w:fill="FFFFFF"/>
          <w:rtl/>
        </w:rPr>
        <w:t xml:space="preserve">تورم انتظاری است. معادله‌ی (۱۳. ۵) همان معادله‌ی فیلیپس همراه با انتظارات است و نشان می‌دهد که منحنی تورم با افزایش تورم انتظاری به سمت راست منتقل می‌شود. در نتیجه، </w:t>
      </w:r>
      <w:r w:rsidRPr="00A62AA2">
        <w:rPr>
          <w:rFonts w:hint="cs"/>
          <w:i/>
          <w:color w:val="222222"/>
          <w:sz w:val="23"/>
          <w:szCs w:val="23"/>
          <w:shd w:val="clear" w:color="auto" w:fill="FFFFFF"/>
          <w:rtl/>
        </w:rPr>
        <w:lastRenderedPageBreak/>
        <w:t>در بلندمدت، معادله‌ی فیلیپس عمودی است و دیگر رابطه‌ای بین تورم و تولید وجود نخواهد داشت. تورم تعادلی در ظرفیت کامل برابر است با تورم انتظاری، و این نرخ تورم بوسیله‌ی مدل تعیین نمی</w:t>
      </w:r>
      <w:r w:rsidRPr="00A62AA2">
        <w:rPr>
          <w:rFonts w:hint="cs"/>
          <w:i/>
          <w:color w:val="222222"/>
          <w:sz w:val="23"/>
          <w:szCs w:val="23"/>
          <w:shd w:val="clear" w:color="auto" w:fill="FFFFFF"/>
          <w:rtl/>
        </w:rPr>
        <w:softHyphen/>
        <w:t>شود، و یا در عمل، تورم بوسیله‌ی تولید تعیین نمی</w:t>
      </w:r>
      <w:r w:rsidRPr="00A62AA2">
        <w:rPr>
          <w:rFonts w:hint="cs"/>
          <w:i/>
          <w:color w:val="222222"/>
          <w:sz w:val="23"/>
          <w:szCs w:val="23"/>
          <w:shd w:val="clear" w:color="auto" w:fill="FFFFFF"/>
          <w:rtl/>
        </w:rPr>
        <w:softHyphen/>
        <w:t>شود. اگر پول برون‌زا باشد، تورم تعادلی برابر است با نرخ رشد عرضه پول.</w:t>
      </w:r>
    </w:p>
    <w:p w14:paraId="098CF2B6" w14:textId="77777777" w:rsidR="00556C10" w:rsidRPr="00A62AA2" w:rsidRDefault="00556C10" w:rsidP="00556C10">
      <w:pPr>
        <w:spacing w:line="216" w:lineRule="auto"/>
        <w:rPr>
          <w:i/>
          <w:color w:val="222222"/>
          <w:sz w:val="23"/>
          <w:szCs w:val="23"/>
          <w:shd w:val="clear" w:color="auto" w:fill="FFFFFF"/>
          <w:rtl/>
        </w:rPr>
      </w:pPr>
    </w:p>
    <w:p w14:paraId="7F47D953" w14:textId="77777777" w:rsidR="00556C10" w:rsidRPr="00A62AA2" w:rsidRDefault="00556C10" w:rsidP="00556C10">
      <w:pPr>
        <w:pStyle w:val="Heading1"/>
        <w:spacing w:before="0" w:line="216" w:lineRule="auto"/>
        <w:rPr>
          <w:rFonts w:ascii="Times New Roman" w:hAnsi="Times New Roman" w:cs="B Nazanin"/>
          <w:b w:val="0"/>
          <w:i/>
          <w:color w:val="000000" w:themeColor="text1"/>
          <w:sz w:val="23"/>
          <w:szCs w:val="23"/>
          <w:shd w:val="clear" w:color="auto" w:fill="FFFFFF"/>
          <w:rtl/>
        </w:rPr>
      </w:pPr>
      <w:r w:rsidRPr="00A62AA2">
        <w:rPr>
          <w:rFonts w:ascii="Times New Roman" w:hAnsi="Times New Roman" w:cs="B Nazanin" w:hint="cs"/>
          <w:b w:val="0"/>
          <w:i/>
          <w:color w:val="222222"/>
          <w:sz w:val="23"/>
          <w:szCs w:val="23"/>
          <w:shd w:val="clear" w:color="auto" w:fill="FFFFFF"/>
          <w:rtl/>
        </w:rPr>
        <w:t>۱۳. ۳. ۲ معادله</w:t>
      </w:r>
      <w:r w:rsidRPr="00A62AA2">
        <w:rPr>
          <w:rFonts w:ascii="Times New Roman" w:hAnsi="Times New Roman" w:cs="B Nazanin" w:hint="cs"/>
          <w:b w:val="0"/>
          <w:i/>
          <w:color w:val="222222"/>
          <w:sz w:val="23"/>
          <w:szCs w:val="23"/>
          <w:shd w:val="clear" w:color="auto" w:fill="FFFFFF"/>
          <w:rtl/>
        </w:rPr>
        <w:softHyphen/>
        <w:t>ی</w:t>
      </w:r>
      <w:r w:rsidRPr="00025957">
        <w:rPr>
          <w:position w:val="-4"/>
        </w:rPr>
        <w:object w:dxaOrig="400" w:dyaOrig="240" w14:anchorId="10CF61C5">
          <v:shape id="_x0000_i5979" type="#_x0000_t75" style="width:19.95pt;height:11.5pt" o:ole="">
            <v:imagedata r:id="rId9987" o:title=""/>
          </v:shape>
          <o:OLEObject Type="Embed" ProgID="Equation.DSMT4" ShapeID="_x0000_i5979" DrawAspect="Content" ObjectID="_1791379923" r:id="rId9988"/>
        </w:object>
      </w:r>
    </w:p>
    <w:p w14:paraId="0269419D" w14:textId="77777777" w:rsidR="00556C10" w:rsidRPr="00A62AA2" w:rsidRDefault="00556C10" w:rsidP="00556C10">
      <w:pPr>
        <w:spacing w:line="216" w:lineRule="auto"/>
        <w:rPr>
          <w:i/>
          <w:color w:val="222222"/>
          <w:sz w:val="23"/>
          <w:szCs w:val="23"/>
          <w:shd w:val="clear" w:color="auto" w:fill="FFFFFF"/>
        </w:rPr>
      </w:pPr>
      <w:r w:rsidRPr="00A62AA2">
        <w:rPr>
          <w:i/>
          <w:color w:val="222222"/>
          <w:sz w:val="23"/>
          <w:szCs w:val="23"/>
          <w:shd w:val="clear" w:color="auto" w:fill="FFFFFF"/>
        </w:rPr>
        <w:t xml:space="preserve"> </w:t>
      </w:r>
      <w:r w:rsidRPr="00A62AA2">
        <w:rPr>
          <w:rFonts w:hint="cs"/>
          <w:i/>
          <w:color w:val="222222"/>
          <w:sz w:val="23"/>
          <w:szCs w:val="23"/>
          <w:shd w:val="clear" w:color="auto" w:fill="FFFFFF"/>
          <w:rtl/>
        </w:rPr>
        <w:t>مدل</w:t>
      </w:r>
      <w:r w:rsidRPr="00A62AA2">
        <w:rPr>
          <w:position w:val="-6"/>
        </w:rPr>
        <w:object w:dxaOrig="880" w:dyaOrig="260" w14:anchorId="7EE68001">
          <v:shape id="_x0000_i5980" type="#_x0000_t75" style="width:44.15pt;height:13.3pt" o:ole="">
            <v:imagedata r:id="rId9989" o:title=""/>
          </v:shape>
          <o:OLEObject Type="Embed" ProgID="Equation.DSMT4" ShapeID="_x0000_i5980" DrawAspect="Content" ObjectID="_1791379924" r:id="rId9990"/>
        </w:object>
      </w:r>
      <w:r w:rsidRPr="00A62AA2">
        <w:rPr>
          <w:rFonts w:hint="cs"/>
          <w:i/>
          <w:sz w:val="23"/>
          <w:szCs w:val="23"/>
          <w:shd w:val="clear" w:color="auto" w:fill="FFFFFF"/>
          <w:rtl/>
        </w:rPr>
        <w:t xml:space="preserve"> </w:t>
      </w:r>
      <w:r w:rsidRPr="00A62AA2">
        <w:rPr>
          <w:rFonts w:hint="cs"/>
          <w:i/>
          <w:color w:val="222222"/>
          <w:sz w:val="23"/>
          <w:szCs w:val="23"/>
          <w:shd w:val="clear" w:color="auto" w:fill="FFFFFF"/>
          <w:rtl/>
        </w:rPr>
        <w:t xml:space="preserve">در یک اقتصاد باز </w:t>
      </w:r>
      <w:r w:rsidRPr="00A62AA2">
        <w:rPr>
          <w:rFonts w:hint="cs"/>
          <w:i/>
          <w:sz w:val="23"/>
          <w:szCs w:val="23"/>
          <w:shd w:val="clear" w:color="auto" w:fill="FFFFFF"/>
          <w:rtl/>
        </w:rPr>
        <w:t>نیا</w:t>
      </w:r>
      <w:r w:rsidRPr="00A62AA2">
        <w:rPr>
          <w:rFonts w:hint="cs"/>
          <w:i/>
          <w:color w:val="222222"/>
          <w:sz w:val="23"/>
          <w:szCs w:val="23"/>
          <w:shd w:val="clear" w:color="auto" w:fill="FFFFFF"/>
          <w:rtl/>
        </w:rPr>
        <w:t>زمند اصلاحات بیشتری است تا بخش خارجی را نیز در برگیرد. در این خصوص معادله</w:t>
      </w:r>
      <w:r w:rsidRPr="00A62AA2">
        <w:rPr>
          <w:rFonts w:hint="cs"/>
          <w:i/>
          <w:color w:val="222222"/>
          <w:sz w:val="23"/>
          <w:szCs w:val="23"/>
          <w:shd w:val="clear" w:color="auto" w:fill="FFFFFF"/>
          <w:rtl/>
        </w:rPr>
        <w:softHyphen/>
        <w:t>ی تراز پرداخت‌ها یا</w:t>
      </w:r>
      <w:r w:rsidRPr="00025957">
        <w:rPr>
          <w:position w:val="-4"/>
        </w:rPr>
        <w:object w:dxaOrig="400" w:dyaOrig="240" w14:anchorId="6BC9A477">
          <v:shape id="_x0000_i5981" type="#_x0000_t75" style="width:19.95pt;height:11.5pt" o:ole="">
            <v:imagedata r:id="rId9991" o:title=""/>
          </v:shape>
          <o:OLEObject Type="Embed" ProgID="Equation.DSMT4" ShapeID="_x0000_i5981" DrawAspect="Content" ObjectID="_1791379925" r:id="rId9992"/>
        </w:object>
      </w:r>
      <w:r w:rsidRPr="00A62AA2">
        <w:rPr>
          <w:i/>
          <w:sz w:val="23"/>
          <w:szCs w:val="23"/>
          <w:shd w:val="clear" w:color="auto" w:fill="FFFFFF"/>
        </w:rPr>
        <w:t xml:space="preserve"> </w:t>
      </w:r>
      <w:r w:rsidRPr="00A62AA2">
        <w:rPr>
          <w:rFonts w:hint="cs"/>
          <w:i/>
          <w:color w:val="222222"/>
          <w:sz w:val="23"/>
          <w:szCs w:val="23"/>
          <w:shd w:val="clear" w:color="auto" w:fill="FFFFFF"/>
          <w:rtl/>
        </w:rPr>
        <w:t>را می‌بایست به مدل افزود و معادله‌ی</w:t>
      </w:r>
      <w:r w:rsidRPr="00A62AA2">
        <w:rPr>
          <w:position w:val="-6"/>
        </w:rPr>
        <w:object w:dxaOrig="320" w:dyaOrig="260" w14:anchorId="31B75E0B">
          <v:shape id="_x0000_i5982" type="#_x0000_t75" style="width:15.75pt;height:13.3pt" o:ole="">
            <v:imagedata r:id="rId9993" o:title=""/>
          </v:shape>
          <o:OLEObject Type="Embed" ProgID="Equation.DSMT4" ShapeID="_x0000_i5982" DrawAspect="Content" ObjectID="_1791379926" r:id="rId9994"/>
        </w:object>
      </w:r>
      <w:r w:rsidRPr="00A62AA2">
        <w:rPr>
          <w:rFonts w:hint="cs"/>
          <w:i/>
          <w:color w:val="222222"/>
          <w:sz w:val="23"/>
          <w:szCs w:val="23"/>
          <w:shd w:val="clear" w:color="auto" w:fill="FFFFFF"/>
          <w:rtl/>
        </w:rPr>
        <w:t xml:space="preserve"> را اصلاح و ترمیم کرد. ابتدا معادله‌ی</w:t>
      </w:r>
      <w:r w:rsidRPr="00025957">
        <w:rPr>
          <w:position w:val="-4"/>
        </w:rPr>
        <w:object w:dxaOrig="400" w:dyaOrig="240" w14:anchorId="629FACBA">
          <v:shape id="_x0000_i5983" type="#_x0000_t75" style="width:19.95pt;height:11.5pt" o:ole="">
            <v:imagedata r:id="rId9995" o:title=""/>
          </v:shape>
          <o:OLEObject Type="Embed" ProgID="Equation.DSMT4" ShapeID="_x0000_i5983" DrawAspect="Content" ObjectID="_1791379927" r:id="rId9996"/>
        </w:object>
      </w:r>
      <w:r w:rsidRPr="00A62AA2">
        <w:rPr>
          <w:rFonts w:hint="cs"/>
          <w:i/>
          <w:color w:val="222222"/>
          <w:sz w:val="23"/>
          <w:szCs w:val="23"/>
          <w:shd w:val="clear" w:color="auto" w:fill="FFFFFF"/>
          <w:rtl/>
        </w:rPr>
        <w:t xml:space="preserve"> را مورد بررسی قرار می‌دهیم</w:t>
      </w:r>
      <w:r w:rsidRPr="00A62AA2">
        <w:rPr>
          <w:i/>
          <w:color w:val="222222"/>
          <w:sz w:val="23"/>
          <w:szCs w:val="23"/>
          <w:shd w:val="clear" w:color="auto" w:fill="FFFFFF"/>
        </w:rPr>
        <w:t>.</w:t>
      </w:r>
      <w:r w:rsidRPr="00A62AA2">
        <w:rPr>
          <w:rFonts w:hint="cs"/>
          <w:i/>
          <w:color w:val="222222"/>
          <w:sz w:val="23"/>
          <w:szCs w:val="23"/>
          <w:shd w:val="clear" w:color="auto" w:fill="FFFFFF"/>
          <w:rtl/>
        </w:rPr>
        <w:t xml:space="preserve"> </w:t>
      </w:r>
    </w:p>
    <w:p w14:paraId="1B06CC46" w14:textId="77777777" w:rsidR="00556C10" w:rsidRPr="00A62AA2" w:rsidRDefault="00556C10" w:rsidP="00556C10">
      <w:pPr>
        <w:spacing w:line="216" w:lineRule="auto"/>
        <w:rPr>
          <w:i/>
          <w:color w:val="222222"/>
          <w:sz w:val="23"/>
          <w:szCs w:val="23"/>
          <w:shd w:val="clear" w:color="auto" w:fill="FFFFFF"/>
        </w:rPr>
      </w:pPr>
      <w:r w:rsidRPr="00A62AA2">
        <w:rPr>
          <w:rFonts w:hint="cs"/>
          <w:i/>
          <w:color w:val="222222"/>
          <w:sz w:val="23"/>
          <w:szCs w:val="23"/>
          <w:shd w:val="clear" w:color="auto" w:fill="FFFFFF"/>
          <w:rtl/>
        </w:rPr>
        <w:t>در فصل هفتم</w:t>
      </w:r>
      <w:r w:rsidRPr="00A62AA2">
        <w:rPr>
          <w:i/>
          <w:color w:val="222222"/>
          <w:sz w:val="23"/>
          <w:szCs w:val="23"/>
          <w:shd w:val="clear" w:color="auto" w:fill="FFFFFF"/>
        </w:rPr>
        <w:t xml:space="preserve">  </w:t>
      </w:r>
      <w:r w:rsidRPr="00A62AA2">
        <w:rPr>
          <w:rFonts w:hint="cs"/>
          <w:i/>
          <w:color w:val="222222"/>
          <w:sz w:val="23"/>
          <w:szCs w:val="23"/>
          <w:shd w:val="clear" w:color="auto" w:fill="FFFFFF"/>
          <w:rtl/>
        </w:rPr>
        <w:t>رابطه</w:t>
      </w:r>
      <w:r w:rsidRPr="00A62AA2">
        <w:rPr>
          <w:i/>
          <w:color w:val="222222"/>
          <w:sz w:val="23"/>
          <w:szCs w:val="23"/>
          <w:shd w:val="clear" w:color="auto" w:fill="FFFFFF"/>
          <w:rtl/>
        </w:rPr>
        <w:softHyphen/>
      </w:r>
      <w:r w:rsidRPr="00A62AA2">
        <w:rPr>
          <w:rFonts w:hint="cs"/>
          <w:i/>
          <w:color w:val="222222"/>
          <w:sz w:val="23"/>
          <w:szCs w:val="23"/>
          <w:shd w:val="clear" w:color="auto" w:fill="FFFFFF"/>
          <w:rtl/>
        </w:rPr>
        <w:t>ی تراز پرداخت‌های حقیقی را به صورت زیر نوشتیم</w:t>
      </w:r>
    </w:p>
    <w:p w14:paraId="6ED761A9" w14:textId="77777777" w:rsidR="00556C10" w:rsidRPr="00A62AA2" w:rsidRDefault="00556C10" w:rsidP="00556C10">
      <w:pPr>
        <w:bidi w:val="0"/>
        <w:spacing w:line="216" w:lineRule="auto"/>
        <w:rPr>
          <w:i/>
          <w:color w:val="222222"/>
          <w:sz w:val="23"/>
          <w:szCs w:val="23"/>
          <w:shd w:val="clear" w:color="auto" w:fill="FFFFFF"/>
          <w:rtl/>
        </w:rPr>
      </w:pPr>
      <w:r w:rsidRPr="00A62AA2">
        <w:rPr>
          <w:position w:val="-10"/>
        </w:rPr>
        <w:object w:dxaOrig="2020" w:dyaOrig="340" w14:anchorId="22B24885">
          <v:shape id="_x0000_i5984" type="#_x0000_t75" style="width:101.05pt;height:16.95pt" o:ole="">
            <v:imagedata r:id="rId9997" o:title=""/>
          </v:shape>
          <o:OLEObject Type="Embed" ProgID="Equation.DSMT4" ShapeID="_x0000_i5984" DrawAspect="Content" ObjectID="_1791379928" r:id="rId9998"/>
        </w:object>
      </w:r>
    </w:p>
    <w:p w14:paraId="57CA8522"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که در آن</w:t>
      </w:r>
      <w:r w:rsidRPr="00A62AA2">
        <w:rPr>
          <w:position w:val="-10"/>
        </w:rPr>
        <w:object w:dxaOrig="240" w:dyaOrig="320" w14:anchorId="2C94CDD7">
          <v:shape id="_x0000_i5985" type="#_x0000_t75" style="width:11.5pt;height:15.75pt" o:ole="">
            <v:imagedata r:id="rId9999" o:title=""/>
          </v:shape>
          <o:OLEObject Type="Embed" ProgID="Equation.DSMT4" ShapeID="_x0000_i5985" DrawAspect="Content" ObjectID="_1791379929" r:id="rId10000"/>
        </w:object>
      </w:r>
      <w:r w:rsidRPr="00A62AA2">
        <w:rPr>
          <w:rFonts w:hint="cs"/>
          <w:i/>
          <w:sz w:val="23"/>
          <w:szCs w:val="23"/>
          <w:shd w:val="clear" w:color="auto" w:fill="FFFFFF"/>
          <w:rtl/>
        </w:rPr>
        <w:t xml:space="preserve"> </w:t>
      </w:r>
      <w:r w:rsidRPr="00A62AA2">
        <w:rPr>
          <w:rFonts w:hint="cs"/>
          <w:i/>
          <w:color w:val="222222"/>
          <w:sz w:val="23"/>
          <w:szCs w:val="23"/>
          <w:shd w:val="clear" w:color="auto" w:fill="FFFFFF"/>
          <w:rtl/>
        </w:rPr>
        <w:t>صادرات،</w:t>
      </w:r>
      <w:r w:rsidRPr="00A62AA2">
        <w:rPr>
          <w:position w:val="-10"/>
        </w:rPr>
        <w:object w:dxaOrig="300" w:dyaOrig="340" w14:anchorId="63A97B6F">
          <v:shape id="_x0000_i5986" type="#_x0000_t75" style="width:14.5pt;height:16.95pt" o:ole="">
            <v:imagedata r:id="rId10001" o:title=""/>
          </v:shape>
          <o:OLEObject Type="Embed" ProgID="Equation.DSMT4" ShapeID="_x0000_i5986" DrawAspect="Content" ObjectID="_1791379930" r:id="rId10002"/>
        </w:object>
      </w:r>
      <w:r w:rsidRPr="00A62AA2">
        <w:rPr>
          <w:rFonts w:hint="cs"/>
          <w:i/>
          <w:color w:val="222222"/>
          <w:sz w:val="23"/>
          <w:szCs w:val="23"/>
          <w:shd w:val="clear" w:color="auto" w:fill="FFFFFF"/>
          <w:rtl/>
        </w:rPr>
        <w:t xml:space="preserve"> واردات،</w:t>
      </w:r>
      <w:r w:rsidRPr="00A62AA2">
        <w:rPr>
          <w:position w:val="-10"/>
        </w:rPr>
        <w:object w:dxaOrig="260" w:dyaOrig="320" w14:anchorId="77F1325A">
          <v:shape id="_x0000_i5987" type="#_x0000_t75" style="width:13.3pt;height:15.75pt" o:ole="">
            <v:imagedata r:id="rId10003" o:title=""/>
          </v:shape>
          <o:OLEObject Type="Embed" ProgID="Equation.DSMT4" ShapeID="_x0000_i5987" DrawAspect="Content" ObjectID="_1791379931" r:id="rId10004"/>
        </w:object>
      </w:r>
      <w:r w:rsidRPr="00A62AA2">
        <w:rPr>
          <w:rFonts w:hint="cs"/>
          <w:i/>
          <w:sz w:val="23"/>
          <w:szCs w:val="23"/>
          <w:shd w:val="clear" w:color="auto" w:fill="FFFFFF"/>
          <w:rtl/>
        </w:rPr>
        <w:t xml:space="preserve"> </w:t>
      </w:r>
      <w:r w:rsidRPr="00A62AA2">
        <w:rPr>
          <w:rFonts w:hint="cs"/>
          <w:i/>
          <w:color w:val="222222"/>
          <w:sz w:val="23"/>
          <w:szCs w:val="23"/>
          <w:shd w:val="clear" w:color="auto" w:fill="FFFFFF"/>
          <w:rtl/>
        </w:rPr>
        <w:t>رابطه‌ی مبادله، و اگر تمامی کالاها قابل تجارت باشند همان نرخ ارز حقیقی</w:t>
      </w:r>
      <w:r w:rsidRPr="00A62AA2">
        <w:rPr>
          <w:position w:val="-16"/>
        </w:rPr>
        <w:object w:dxaOrig="980" w:dyaOrig="420" w14:anchorId="7B25AF83">
          <v:shape id="_x0000_i5988" type="#_x0000_t75" style="width:49pt;height:21.2pt" o:ole="">
            <v:imagedata r:id="rId10005" o:title=""/>
          </v:shape>
          <o:OLEObject Type="Embed" ProgID="Equation.DSMT4" ShapeID="_x0000_i5988" DrawAspect="Content" ObjectID="_1791379932" r:id="rId10006"/>
        </w:object>
      </w:r>
      <w:r w:rsidRPr="00A62AA2">
        <w:rPr>
          <w:rFonts w:hint="cs"/>
          <w:i/>
          <w:sz w:val="23"/>
          <w:szCs w:val="23"/>
          <w:shd w:val="clear" w:color="auto" w:fill="FFFFFF"/>
          <w:rtl/>
        </w:rPr>
        <w:t xml:space="preserve"> </w:t>
      </w:r>
      <w:r w:rsidRPr="00A62AA2">
        <w:rPr>
          <w:rFonts w:hint="cs"/>
          <w:i/>
          <w:color w:val="222222"/>
          <w:sz w:val="23"/>
          <w:szCs w:val="23"/>
          <w:shd w:val="clear" w:color="auto" w:fill="FFFFFF"/>
          <w:rtl/>
        </w:rPr>
        <w:t>است،</w:t>
      </w:r>
      <w:r w:rsidRPr="00A62AA2">
        <w:rPr>
          <w:position w:val="-10"/>
        </w:rPr>
        <w:object w:dxaOrig="260" w:dyaOrig="320" w14:anchorId="6FCB2880">
          <v:shape id="_x0000_i5989" type="#_x0000_t75" style="width:13.3pt;height:15.75pt" o:ole="">
            <v:imagedata r:id="rId10007" o:title=""/>
          </v:shape>
          <o:OLEObject Type="Embed" ProgID="Equation.DSMT4" ShapeID="_x0000_i5989" DrawAspect="Content" ObjectID="_1791379933" r:id="rId10008"/>
        </w:object>
      </w:r>
      <w:r w:rsidRPr="00A62AA2">
        <w:rPr>
          <w:i/>
          <w:sz w:val="23"/>
          <w:szCs w:val="23"/>
          <w:shd w:val="clear" w:color="auto" w:fill="FFFFFF"/>
        </w:rPr>
        <w:t xml:space="preserve"> </w:t>
      </w:r>
      <w:r w:rsidRPr="00A62AA2">
        <w:rPr>
          <w:rFonts w:hint="cs"/>
          <w:i/>
          <w:sz w:val="23"/>
          <w:szCs w:val="23"/>
          <w:shd w:val="clear" w:color="auto" w:fill="FFFFFF"/>
          <w:rtl/>
        </w:rPr>
        <w:t xml:space="preserve">نرخ </w:t>
      </w:r>
      <w:r w:rsidRPr="00A62AA2">
        <w:rPr>
          <w:rFonts w:hint="cs"/>
          <w:i/>
          <w:color w:val="222222"/>
          <w:sz w:val="23"/>
          <w:szCs w:val="23"/>
          <w:shd w:val="clear" w:color="auto" w:fill="FFFFFF"/>
          <w:rtl/>
        </w:rPr>
        <w:t>ارز اسمی،</w:t>
      </w:r>
      <w:r w:rsidRPr="00A62AA2">
        <w:rPr>
          <w:position w:val="-10"/>
        </w:rPr>
        <w:object w:dxaOrig="240" w:dyaOrig="320" w14:anchorId="5FDDB6B3">
          <v:shape id="_x0000_i5990" type="#_x0000_t75" style="width:11.5pt;height:15.75pt" o:ole="">
            <v:imagedata r:id="rId10009" o:title=""/>
          </v:shape>
          <o:OLEObject Type="Embed" ProgID="Equation.DSMT4" ShapeID="_x0000_i5990" DrawAspect="Content" ObjectID="_1791379934" r:id="rId10010"/>
        </w:object>
      </w:r>
      <w:r w:rsidRPr="00A62AA2">
        <w:rPr>
          <w:rFonts w:hint="cs"/>
          <w:i/>
          <w:color w:val="222222"/>
          <w:sz w:val="23"/>
          <w:szCs w:val="23"/>
          <w:shd w:val="clear" w:color="auto" w:fill="FFFFFF"/>
          <w:rtl/>
        </w:rPr>
        <w:t xml:space="preserve"> و</w:t>
      </w:r>
      <w:r w:rsidRPr="00A62AA2">
        <w:rPr>
          <w:position w:val="-10"/>
        </w:rPr>
        <w:object w:dxaOrig="300" w:dyaOrig="340" w14:anchorId="57B6E923">
          <v:shape id="_x0000_i5991" type="#_x0000_t75" style="width:14.5pt;height:16.95pt" o:ole="">
            <v:imagedata r:id="rId10011" o:title=""/>
          </v:shape>
          <o:OLEObject Type="Embed" ProgID="Equation.DSMT4" ShapeID="_x0000_i5991" DrawAspect="Content" ObjectID="_1791379935" r:id="rId10012"/>
        </w:object>
      </w:r>
      <w:r w:rsidRPr="00A62AA2">
        <w:rPr>
          <w:rFonts w:hint="cs"/>
          <w:i/>
          <w:color w:val="222222"/>
          <w:sz w:val="23"/>
          <w:szCs w:val="23"/>
          <w:shd w:val="clear" w:color="auto" w:fill="FFFFFF"/>
          <w:rtl/>
        </w:rPr>
        <w:t xml:space="preserve"> سطح قیمت‌های داخلی و خارجی، </w:t>
      </w:r>
      <w:r w:rsidRPr="00A62AA2">
        <w:rPr>
          <w:position w:val="-10"/>
        </w:rPr>
        <w:object w:dxaOrig="200" w:dyaOrig="320" w14:anchorId="1F1AC413">
          <v:shape id="_x0000_i5992" type="#_x0000_t75" style="width:10.3pt;height:15.75pt" o:ole="">
            <v:imagedata r:id="rId10013" o:title=""/>
          </v:shape>
          <o:OLEObject Type="Embed" ProgID="Equation.DSMT4" ShapeID="_x0000_i5992" DrawAspect="Content" ObjectID="_1791379936" r:id="rId10014"/>
        </w:object>
      </w:r>
      <w:r w:rsidRPr="00A62AA2">
        <w:rPr>
          <w:rFonts w:hint="cs"/>
          <w:i/>
          <w:color w:val="222222"/>
          <w:sz w:val="23"/>
          <w:szCs w:val="23"/>
          <w:shd w:val="clear" w:color="auto" w:fill="FFFFFF"/>
          <w:rtl/>
        </w:rPr>
        <w:t xml:space="preserve"> خالص ذخایر دارایی‌های خارجی،</w:t>
      </w:r>
      <w:r w:rsidRPr="00A62AA2">
        <w:rPr>
          <w:position w:val="-10"/>
        </w:rPr>
        <w:object w:dxaOrig="240" w:dyaOrig="340" w14:anchorId="60E0D701">
          <v:shape id="_x0000_i5993" type="#_x0000_t75" style="width:11.5pt;height:16.95pt" o:ole="">
            <v:imagedata r:id="rId10015" o:title=""/>
          </v:shape>
          <o:OLEObject Type="Embed" ProgID="Equation.DSMT4" ShapeID="_x0000_i5993" DrawAspect="Content" ObjectID="_1791379937" r:id="rId10016"/>
        </w:object>
      </w:r>
      <w:r w:rsidRPr="00A62AA2">
        <w:rPr>
          <w:rFonts w:hint="cs"/>
          <w:i/>
          <w:color w:val="222222"/>
          <w:sz w:val="23"/>
          <w:szCs w:val="23"/>
          <w:shd w:val="clear" w:color="auto" w:fill="FFFFFF"/>
          <w:rtl/>
        </w:rPr>
        <w:t xml:space="preserve"> نرخ بهره حقیقی دنیا که برون</w:t>
      </w:r>
      <w:r w:rsidRPr="00A62AA2">
        <w:rPr>
          <w:rFonts w:hint="cs"/>
          <w:i/>
          <w:color w:val="222222"/>
          <w:sz w:val="23"/>
          <w:szCs w:val="23"/>
          <w:shd w:val="clear" w:color="auto" w:fill="FFFFFF"/>
          <w:rtl/>
        </w:rPr>
        <w:softHyphen/>
        <w:t>زاست، و</w:t>
      </w:r>
      <w:r w:rsidRPr="00A62AA2">
        <w:rPr>
          <w:position w:val="-10"/>
        </w:rPr>
        <w:object w:dxaOrig="360" w:dyaOrig="340" w14:anchorId="2CA533DB">
          <v:shape id="_x0000_i5994" type="#_x0000_t75" style="width:18.15pt;height:16.95pt" o:ole="">
            <v:imagedata r:id="rId10017" o:title=""/>
          </v:shape>
          <o:OLEObject Type="Embed" ProgID="Equation.DSMT4" ShapeID="_x0000_i5994" DrawAspect="Content" ObjectID="_1791379938" r:id="rId10018"/>
        </w:object>
      </w:r>
      <w:r w:rsidRPr="00A62AA2">
        <w:rPr>
          <w:rFonts w:hint="cs"/>
          <w:i/>
          <w:color w:val="222222"/>
          <w:sz w:val="23"/>
          <w:szCs w:val="23"/>
          <w:shd w:val="clear" w:color="auto" w:fill="FFFFFF"/>
          <w:rtl/>
        </w:rPr>
        <w:t xml:space="preserve"> خالص درآمد حاصل از نگهداری دارایی خارجی است و تورم نیز بنابر فرض برابر با صفر است. سمت چپ ‌این رابطه حساب جاری حقیقی و سمت راست آن حساب سرمایه می‌باشد. </w:t>
      </w:r>
    </w:p>
    <w:p w14:paraId="0F624332"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همچنین صادرات با نرخ ارز حقیقی و تولید جهانی</w:t>
      </w:r>
      <w:r w:rsidRPr="00A62AA2">
        <w:rPr>
          <w:position w:val="-10"/>
        </w:rPr>
        <w:object w:dxaOrig="260" w:dyaOrig="340" w14:anchorId="58C32103">
          <v:shape id="_x0000_i5995" type="#_x0000_t75" style="width:13.3pt;height:16.95pt" o:ole="">
            <v:imagedata r:id="rId10019" o:title=""/>
          </v:shape>
          <o:OLEObject Type="Embed" ProgID="Equation.DSMT4" ShapeID="_x0000_i5995" DrawAspect="Content" ObjectID="_1791379939" r:id="rId10020"/>
        </w:object>
      </w:r>
      <w:r w:rsidRPr="00A62AA2">
        <w:rPr>
          <w:rFonts w:hint="cs"/>
          <w:i/>
          <w:sz w:val="23"/>
          <w:szCs w:val="23"/>
          <w:shd w:val="clear" w:color="auto" w:fill="FFFFFF"/>
          <w:rtl/>
        </w:rPr>
        <w:t xml:space="preserve"> </w:t>
      </w:r>
      <w:r w:rsidRPr="00A62AA2">
        <w:rPr>
          <w:rFonts w:hint="cs"/>
          <w:i/>
          <w:color w:val="222222"/>
          <w:sz w:val="23"/>
          <w:szCs w:val="23"/>
          <w:shd w:val="clear" w:color="auto" w:fill="FFFFFF"/>
          <w:rtl/>
        </w:rPr>
        <w:t>رابطه‌ی مستقیم داشته، و واردات با نرخ ارز حقیقی رابطه منفی و با تولید داخلی رابطه مثبت دارد. خالص دارایی‌های خارجی (نگهداری دارایی خارجی توسط افراد داخلی منهای نگهداری دارایی داخلی توسط افراد خارجی) به نرخ بازدهی نسبی دارایی‌های داخلی و خارجی بر حسب پول داخلی وابسته است. با افزایش نرخ بازدهی دارایی‌های خارجی، نگهداری آن</w:t>
      </w:r>
      <w:r w:rsidRPr="00A62AA2">
        <w:rPr>
          <w:rFonts w:hint="cs"/>
          <w:i/>
          <w:color w:val="222222"/>
          <w:sz w:val="23"/>
          <w:szCs w:val="23"/>
          <w:shd w:val="clear" w:color="auto" w:fill="FFFFFF"/>
          <w:rtl/>
        </w:rPr>
        <w:softHyphen/>
        <w:t>ها به وسیله‌ی افراد داخلی افزایش یافته و لذا درآمد آن</w:t>
      </w:r>
      <w:r w:rsidRPr="00A62AA2">
        <w:rPr>
          <w:rFonts w:hint="cs"/>
          <w:i/>
          <w:color w:val="222222"/>
          <w:sz w:val="23"/>
          <w:szCs w:val="23"/>
          <w:shd w:val="clear" w:color="auto" w:fill="FFFFFF"/>
          <w:rtl/>
        </w:rPr>
        <w:softHyphen/>
        <w:t>ها افزایش خواهد یافت. افزایش نرخ بازدهی داخلی باعث افزایش نگهداری دارایی داخلی توسط افراد خارجی و جریان خروج درآمد بهره خواهد شد. با تقریب تراز پرداخت‌ها بوسیله‌ی مدل لگاریتم-خطی خواهیم داشت</w:t>
      </w:r>
    </w:p>
    <w:p w14:paraId="47B88079" w14:textId="77777777" w:rsidR="00556C10" w:rsidRPr="00A62AA2" w:rsidRDefault="00556C10" w:rsidP="00556C10">
      <w:pPr>
        <w:bidi w:val="0"/>
        <w:spacing w:line="216" w:lineRule="auto"/>
        <w:rPr>
          <w:i/>
          <w:color w:val="222222"/>
          <w:sz w:val="23"/>
          <w:szCs w:val="23"/>
          <w:shd w:val="clear" w:color="auto" w:fill="FFFFFF"/>
          <w:rtl/>
        </w:rPr>
      </w:pPr>
      <w:r w:rsidRPr="00A62AA2">
        <w:rPr>
          <w:position w:val="-16"/>
        </w:rPr>
        <w:object w:dxaOrig="4060" w:dyaOrig="420" w14:anchorId="50D662BB">
          <v:shape id="_x0000_i5996" type="#_x0000_t75" style="width:203.3pt;height:21.2pt" o:ole="">
            <v:imagedata r:id="rId10021" o:title=""/>
          </v:shape>
          <o:OLEObject Type="Embed" ProgID="Equation.DSMT4" ShapeID="_x0000_i5996" DrawAspect="Content" ObjectID="_1791379940" r:id="rId10022"/>
        </w:object>
      </w:r>
    </w:p>
    <w:p w14:paraId="0C257B5A"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 xml:space="preserve"> که در آن</w:t>
      </w:r>
      <w:r w:rsidRPr="00A62AA2">
        <w:rPr>
          <w:position w:val="-8"/>
        </w:rPr>
        <w:object w:dxaOrig="220" w:dyaOrig="220" w14:anchorId="4B967653">
          <v:shape id="_x0000_i5997" type="#_x0000_t75" style="width:10.9pt;height:10.9pt" o:ole="">
            <v:imagedata r:id="rId10023" o:title=""/>
          </v:shape>
          <o:OLEObject Type="Embed" ProgID="Equation.DSMT4" ShapeID="_x0000_i5997" DrawAspect="Content" ObjectID="_1791379941" r:id="rId10024"/>
        </w:object>
      </w:r>
      <w:r w:rsidRPr="00A62AA2">
        <w:rPr>
          <w:rFonts w:hint="cs"/>
          <w:i/>
          <w:color w:val="222222"/>
          <w:sz w:val="23"/>
          <w:szCs w:val="23"/>
          <w:shd w:val="clear" w:color="auto" w:fill="FFFFFF"/>
          <w:rtl/>
        </w:rPr>
        <w:t xml:space="preserve"> و</w:t>
      </w:r>
      <w:r w:rsidRPr="00A62AA2">
        <w:rPr>
          <w:position w:val="-8"/>
        </w:rPr>
        <w:object w:dxaOrig="279" w:dyaOrig="320" w14:anchorId="6646388C">
          <v:shape id="_x0000_i5998" type="#_x0000_t75" style="width:13.9pt;height:15.75pt" o:ole="">
            <v:imagedata r:id="rId10025" o:title=""/>
          </v:shape>
          <o:OLEObject Type="Embed" ProgID="Equation.DSMT4" ShapeID="_x0000_i5998" DrawAspect="Content" ObjectID="_1791379942" r:id="rId10026"/>
        </w:object>
      </w:r>
      <w:r w:rsidRPr="00A62AA2">
        <w:rPr>
          <w:rFonts w:hint="cs"/>
          <w:i/>
          <w:color w:val="222222"/>
          <w:sz w:val="23"/>
          <w:szCs w:val="23"/>
          <w:shd w:val="clear" w:color="auto" w:fill="FFFFFF"/>
          <w:rtl/>
        </w:rPr>
        <w:t xml:space="preserve"> لگاریتم سطح قیمت</w:t>
      </w:r>
      <w:r w:rsidRPr="00A62AA2">
        <w:rPr>
          <w:rFonts w:hint="cs"/>
          <w:i/>
          <w:color w:val="222222"/>
          <w:sz w:val="23"/>
          <w:szCs w:val="23"/>
          <w:shd w:val="clear" w:color="auto" w:fill="FFFFFF"/>
          <w:rtl/>
        </w:rPr>
        <w:softHyphen/>
        <w:t>های داخلی و خارجی،</w:t>
      </w:r>
      <w:r w:rsidRPr="00A62AA2">
        <w:rPr>
          <w:position w:val="-8"/>
        </w:rPr>
        <w:object w:dxaOrig="200" w:dyaOrig="220" w14:anchorId="2EF4505E">
          <v:shape id="_x0000_i5999" type="#_x0000_t75" style="width:10.3pt;height:10.9pt" o:ole="">
            <v:imagedata r:id="rId10027" o:title=""/>
          </v:shape>
          <o:OLEObject Type="Embed" ProgID="Equation.DSMT4" ShapeID="_x0000_i5999" DrawAspect="Content" ObjectID="_1791379943" r:id="rId10028"/>
        </w:object>
      </w:r>
      <w:r w:rsidRPr="00A62AA2">
        <w:rPr>
          <w:rFonts w:hint="cs"/>
          <w:i/>
          <w:color w:val="222222"/>
          <w:sz w:val="23"/>
          <w:szCs w:val="23"/>
          <w:shd w:val="clear" w:color="auto" w:fill="FFFFFF"/>
          <w:rtl/>
        </w:rPr>
        <w:t xml:space="preserve"> و</w:t>
      </w:r>
      <w:r w:rsidRPr="00A62AA2">
        <w:rPr>
          <w:position w:val="-8"/>
        </w:rPr>
        <w:object w:dxaOrig="260" w:dyaOrig="320" w14:anchorId="6DBBE323">
          <v:shape id="_x0000_i6000" type="#_x0000_t75" style="width:13.3pt;height:15.75pt" o:ole="">
            <v:imagedata r:id="rId10029" o:title=""/>
          </v:shape>
          <o:OLEObject Type="Embed" ProgID="Equation.DSMT4" ShapeID="_x0000_i6000" DrawAspect="Content" ObjectID="_1791379944" r:id="rId10030"/>
        </w:object>
      </w:r>
      <w:r w:rsidRPr="00A62AA2">
        <w:rPr>
          <w:rFonts w:hint="cs"/>
          <w:i/>
          <w:color w:val="222222"/>
          <w:sz w:val="23"/>
          <w:szCs w:val="23"/>
          <w:shd w:val="clear" w:color="auto" w:fill="FFFFFF"/>
          <w:rtl/>
        </w:rPr>
        <w:t xml:space="preserve"> لگاریتم تولید داخلی و خارجی،</w:t>
      </w:r>
      <w:r w:rsidRPr="00A62AA2">
        <w:rPr>
          <w:position w:val="-6"/>
        </w:rPr>
        <w:object w:dxaOrig="240" w:dyaOrig="260" w14:anchorId="5C05B05F">
          <v:shape id="_x0000_i6001" type="#_x0000_t75" style="width:11.5pt;height:13.3pt" o:ole="">
            <v:imagedata r:id="rId10031" o:title=""/>
          </v:shape>
          <o:OLEObject Type="Embed" ProgID="Equation.DSMT4" ShapeID="_x0000_i6001" DrawAspect="Content" ObjectID="_1791379945" r:id="rId10032"/>
        </w:object>
      </w:r>
      <w:r w:rsidRPr="00A62AA2">
        <w:rPr>
          <w:rFonts w:hint="cs"/>
          <w:i/>
          <w:color w:val="222222"/>
          <w:sz w:val="23"/>
          <w:szCs w:val="23"/>
          <w:shd w:val="clear" w:color="auto" w:fill="FFFFFF"/>
          <w:rtl/>
        </w:rPr>
        <w:t xml:space="preserve"> و</w:t>
      </w:r>
      <w:r w:rsidRPr="00A62AA2">
        <w:rPr>
          <w:position w:val="-6"/>
        </w:rPr>
        <w:object w:dxaOrig="300" w:dyaOrig="300" w14:anchorId="614C13B0">
          <v:shape id="_x0000_i6002" type="#_x0000_t75" style="width:14.5pt;height:14.5pt" o:ole="">
            <v:imagedata r:id="rId10033" o:title=""/>
          </v:shape>
          <o:OLEObject Type="Embed" ProgID="Equation.DSMT4" ShapeID="_x0000_i6002" DrawAspect="Content" ObjectID="_1791379946" r:id="rId10034"/>
        </w:object>
      </w:r>
      <w:r w:rsidRPr="00A62AA2">
        <w:rPr>
          <w:rFonts w:hint="cs"/>
          <w:i/>
          <w:color w:val="222222"/>
          <w:sz w:val="23"/>
          <w:szCs w:val="23"/>
          <w:shd w:val="clear" w:color="auto" w:fill="FFFFFF"/>
          <w:rtl/>
        </w:rPr>
        <w:t xml:space="preserve"> نرخ‌های بهره‌ی اسمی داخلی و دنیا،</w:t>
      </w:r>
      <w:r w:rsidRPr="00A62AA2">
        <w:rPr>
          <w:position w:val="-6"/>
        </w:rPr>
        <w:object w:dxaOrig="160" w:dyaOrig="200" w14:anchorId="3E9C2559">
          <v:shape id="_x0000_i6003" type="#_x0000_t75" style="width:7.85pt;height:10.3pt" o:ole="">
            <v:imagedata r:id="rId10035" o:title=""/>
          </v:shape>
          <o:OLEObject Type="Embed" ProgID="Equation.DSMT4" ShapeID="_x0000_i6003" DrawAspect="Content" ObjectID="_1791379947" r:id="rId10036"/>
        </w:object>
      </w:r>
      <w:r w:rsidRPr="00A62AA2">
        <w:rPr>
          <w:rFonts w:hint="cs"/>
          <w:i/>
          <w:color w:val="222222"/>
          <w:sz w:val="23"/>
          <w:szCs w:val="23"/>
          <w:shd w:val="clear" w:color="auto" w:fill="FFFFFF"/>
          <w:rtl/>
        </w:rPr>
        <w:t xml:space="preserve"> لگاریتم نرخ ارز اسمی،</w:t>
      </w:r>
      <w:r w:rsidRPr="00A62AA2">
        <w:rPr>
          <w:position w:val="-6"/>
        </w:rPr>
        <w:object w:dxaOrig="160" w:dyaOrig="260" w14:anchorId="07519C14">
          <v:shape id="_x0000_i6004" type="#_x0000_t75" style="width:7.85pt;height:13.3pt" o:ole="">
            <v:imagedata r:id="rId10037" o:title=""/>
          </v:shape>
          <o:OLEObject Type="Embed" ProgID="Equation.DSMT4" ShapeID="_x0000_i6004" DrawAspect="Content" ObjectID="_1791379948" r:id="rId10038"/>
        </w:object>
      </w:r>
      <w:r w:rsidRPr="00A62AA2">
        <w:rPr>
          <w:rFonts w:hint="cs"/>
          <w:i/>
          <w:color w:val="222222"/>
          <w:sz w:val="23"/>
          <w:szCs w:val="23"/>
          <w:shd w:val="clear" w:color="auto" w:fill="FFFFFF"/>
          <w:rtl/>
        </w:rPr>
        <w:t xml:space="preserve"> نرخ رشد انتظاری آن، و فرض می‌کنیم</w:t>
      </w:r>
      <w:r w:rsidRPr="00A62AA2">
        <w:rPr>
          <w:position w:val="-6"/>
        </w:rPr>
        <w:object w:dxaOrig="540" w:dyaOrig="260" w14:anchorId="60DD6F73">
          <v:shape id="_x0000_i6005" type="#_x0000_t75" style="width:26.6pt;height:13.3pt" o:ole="">
            <v:imagedata r:id="rId10039" o:title=""/>
          </v:shape>
          <o:OLEObject Type="Embed" ProgID="Equation.DSMT4" ShapeID="_x0000_i6005" DrawAspect="Content" ObjectID="_1791379949" r:id="rId10040"/>
        </w:object>
      </w:r>
      <w:r w:rsidRPr="00A62AA2">
        <w:rPr>
          <w:rFonts w:hint="cs"/>
          <w:i/>
          <w:color w:val="222222"/>
          <w:sz w:val="23"/>
          <w:szCs w:val="23"/>
          <w:shd w:val="clear" w:color="auto" w:fill="FFFFFF"/>
          <w:rtl/>
        </w:rPr>
        <w:t>.</w:t>
      </w:r>
      <w:r w:rsidRPr="00A62AA2">
        <w:rPr>
          <w:position w:val="-6"/>
        </w:rPr>
        <w:object w:dxaOrig="980" w:dyaOrig="300" w14:anchorId="2A0973DB">
          <v:shape id="_x0000_i6006" type="#_x0000_t75" style="width:49pt;height:14.5pt" o:ole="">
            <v:imagedata r:id="rId10041" o:title=""/>
          </v:shape>
          <o:OLEObject Type="Embed" ProgID="Equation.DSMT4" ShapeID="_x0000_i6006" DrawAspect="Content" ObjectID="_1791379950" r:id="rId10042"/>
        </w:object>
      </w:r>
      <w:r w:rsidRPr="00A62AA2">
        <w:rPr>
          <w:rFonts w:hint="cs"/>
          <w:i/>
          <w:color w:val="222222"/>
          <w:sz w:val="23"/>
          <w:szCs w:val="23"/>
          <w:shd w:val="clear" w:color="auto" w:fill="FFFFFF"/>
          <w:rtl/>
        </w:rPr>
        <w:t xml:space="preserve"> مبین اثر نرخ</w:t>
      </w:r>
      <w:r w:rsidRPr="00A62AA2">
        <w:rPr>
          <w:rFonts w:hint="cs"/>
          <w:i/>
          <w:color w:val="222222"/>
          <w:sz w:val="23"/>
          <w:szCs w:val="23"/>
          <w:shd w:val="clear" w:color="auto" w:fill="FFFFFF"/>
          <w:rtl/>
        </w:rPr>
        <w:softHyphen/>
        <w:t xml:space="preserve">های بازدهی نسبی بر درآمد خالص دارایی‌های خارجی است و </w:t>
      </w:r>
      <w:r w:rsidRPr="00A62AA2">
        <w:rPr>
          <w:position w:val="-10"/>
        </w:rPr>
        <w:object w:dxaOrig="560" w:dyaOrig="300" w14:anchorId="47AE73AC">
          <v:shape id="_x0000_i6007" type="#_x0000_t75" style="width:27.85pt;height:14.5pt" o:ole="">
            <v:imagedata r:id="rId10043" o:title=""/>
          </v:shape>
          <o:OLEObject Type="Embed" ProgID="Equation.DSMT4" ShapeID="_x0000_i6007" DrawAspect="Content" ObjectID="_1791379951" r:id="rId10044"/>
        </w:object>
      </w:r>
      <w:r w:rsidRPr="00A62AA2">
        <w:rPr>
          <w:rFonts w:hint="cs"/>
          <w:i/>
          <w:color w:val="222222"/>
          <w:sz w:val="23"/>
          <w:szCs w:val="23"/>
          <w:shd w:val="clear" w:color="auto" w:fill="FFFFFF"/>
          <w:rtl/>
        </w:rPr>
        <w:t xml:space="preserve"> می‌باشد. بنابراین معادله‌ی</w:t>
      </w:r>
      <w:r w:rsidRPr="00025957">
        <w:rPr>
          <w:position w:val="-4"/>
        </w:rPr>
        <w:object w:dxaOrig="400" w:dyaOrig="240" w14:anchorId="0A986288">
          <v:shape id="_x0000_i6008" type="#_x0000_t75" style="width:19.95pt;height:11.5pt" o:ole="">
            <v:imagedata r:id="rId10045" o:title=""/>
          </v:shape>
          <o:OLEObject Type="Embed" ProgID="Equation.DSMT4" ShapeID="_x0000_i6008" DrawAspect="Content" ObjectID="_1791379952" r:id="rId10046"/>
        </w:object>
      </w:r>
      <w:r w:rsidRPr="00A62AA2">
        <w:rPr>
          <w:rFonts w:hint="cs"/>
          <w:i/>
          <w:color w:val="222222"/>
          <w:sz w:val="23"/>
          <w:szCs w:val="23"/>
          <w:shd w:val="clear" w:color="auto" w:fill="FFFFFF"/>
          <w:rtl/>
        </w:rPr>
        <w:t xml:space="preserve"> مبین رابطه‌ی منفی بین</w:t>
      </w:r>
      <w:r w:rsidRPr="00A62AA2">
        <w:rPr>
          <w:position w:val="-8"/>
        </w:rPr>
        <w:object w:dxaOrig="200" w:dyaOrig="220" w14:anchorId="1308B51B">
          <v:shape id="_x0000_i6009" type="#_x0000_t75" style="width:10.3pt;height:10.9pt" o:ole="">
            <v:imagedata r:id="rId10047" o:title=""/>
          </v:shape>
          <o:OLEObject Type="Embed" ProgID="Equation.DSMT4" ShapeID="_x0000_i6009" DrawAspect="Content" ObjectID="_1791379953" r:id="rId10048"/>
        </w:object>
      </w:r>
      <w:r w:rsidRPr="00A62AA2">
        <w:rPr>
          <w:rFonts w:hint="cs"/>
          <w:i/>
          <w:color w:val="222222"/>
          <w:sz w:val="23"/>
          <w:szCs w:val="23"/>
          <w:shd w:val="clear" w:color="auto" w:fill="FFFFFF"/>
          <w:rtl/>
        </w:rPr>
        <w:t xml:space="preserve"> و</w:t>
      </w:r>
      <w:r w:rsidRPr="00A62AA2">
        <w:rPr>
          <w:position w:val="-6"/>
        </w:rPr>
        <w:object w:dxaOrig="240" w:dyaOrig="260" w14:anchorId="50187B0A">
          <v:shape id="_x0000_i6010" type="#_x0000_t75" style="width:11.5pt;height:13.3pt" o:ole="">
            <v:imagedata r:id="rId10049" o:title=""/>
          </v:shape>
          <o:OLEObject Type="Embed" ProgID="Equation.DSMT4" ShapeID="_x0000_i6010" DrawAspect="Content" ObjectID="_1791379954" r:id="rId10050"/>
        </w:object>
      </w:r>
      <w:r w:rsidRPr="00A62AA2">
        <w:rPr>
          <w:rFonts w:hint="cs"/>
          <w:i/>
          <w:color w:val="222222"/>
          <w:sz w:val="23"/>
          <w:szCs w:val="23"/>
          <w:shd w:val="clear" w:color="auto" w:fill="FFFFFF"/>
          <w:rtl/>
        </w:rPr>
        <w:t xml:space="preserve"> می‌باشد. </w:t>
      </w:r>
    </w:p>
    <w:p w14:paraId="14F9D38F"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 xml:space="preserve">تعادل تراز پرداخت‌ها نشان می‌دهد که </w:t>
      </w:r>
      <w:r w:rsidRPr="00A62AA2">
        <w:rPr>
          <w:position w:val="-8"/>
        </w:rPr>
        <w:object w:dxaOrig="639" w:dyaOrig="279" w14:anchorId="56350B3E">
          <v:shape id="_x0000_i6011" type="#_x0000_t75" style="width:32.05pt;height:13.9pt" o:ole="">
            <v:imagedata r:id="rId10051" o:title=""/>
          </v:shape>
          <o:OLEObject Type="Embed" ProgID="Equation.DSMT4" ShapeID="_x0000_i6011" DrawAspect="Content" ObjectID="_1791379955" r:id="rId10052"/>
        </w:object>
      </w:r>
      <w:r w:rsidRPr="00A62AA2">
        <w:rPr>
          <w:rFonts w:hint="cs"/>
          <w:i/>
          <w:sz w:val="23"/>
          <w:szCs w:val="23"/>
          <w:shd w:val="clear" w:color="auto" w:fill="FFFFFF"/>
          <w:rtl/>
        </w:rPr>
        <w:t>،</w:t>
      </w:r>
      <w:r w:rsidRPr="00A62AA2">
        <w:rPr>
          <w:rFonts w:hint="cs"/>
          <w:i/>
          <w:color w:val="222222"/>
          <w:sz w:val="23"/>
          <w:szCs w:val="23"/>
          <w:shd w:val="clear" w:color="auto" w:fill="FFFFFF"/>
          <w:rtl/>
        </w:rPr>
        <w:t xml:space="preserve"> و بنابراین حساب جاری وجود دارد، اما نه موازنه‌ی تجارت. جانشینی ناقص سرمایه نشان می‌دهد که</w:t>
      </w:r>
      <w:r w:rsidRPr="00A62AA2">
        <w:rPr>
          <w:position w:val="-10"/>
        </w:rPr>
        <w:object w:dxaOrig="920" w:dyaOrig="300" w14:anchorId="4BFD36D8">
          <v:shape id="_x0000_i6012" type="#_x0000_t75" style="width:46pt;height:14.5pt" o:ole="">
            <v:imagedata r:id="rId10053" o:title=""/>
          </v:shape>
          <o:OLEObject Type="Embed" ProgID="Equation.DSMT4" ShapeID="_x0000_i6012" DrawAspect="Content" ObjectID="_1791379956" r:id="rId10054"/>
        </w:object>
      </w:r>
      <w:r w:rsidRPr="00A62AA2">
        <w:rPr>
          <w:rFonts w:hint="cs"/>
          <w:i/>
          <w:sz w:val="23"/>
          <w:szCs w:val="23"/>
          <w:shd w:val="clear" w:color="auto" w:fill="FFFFFF"/>
          <w:rtl/>
        </w:rPr>
        <w:t xml:space="preserve"> است.</w:t>
      </w:r>
      <w:r w:rsidRPr="00A62AA2">
        <w:rPr>
          <w:rFonts w:hint="cs"/>
          <w:i/>
          <w:color w:val="222222"/>
          <w:sz w:val="23"/>
          <w:szCs w:val="23"/>
          <w:shd w:val="clear" w:color="auto" w:fill="FFFFFF"/>
          <w:rtl/>
        </w:rPr>
        <w:t xml:space="preserve"> اگر دارایی‌های داخلی و خارجی </w:t>
      </w:r>
      <w:r w:rsidRPr="00A62AA2">
        <w:rPr>
          <w:rFonts w:hint="cs"/>
          <w:i/>
          <w:color w:val="222222"/>
          <w:sz w:val="23"/>
          <w:szCs w:val="23"/>
          <w:shd w:val="clear" w:color="auto" w:fill="FFFFFF"/>
          <w:rtl/>
        </w:rPr>
        <w:lastRenderedPageBreak/>
        <w:t xml:space="preserve">جانشین کامل باشند آنگاه </w:t>
      </w:r>
      <w:r w:rsidRPr="00A62AA2">
        <w:rPr>
          <w:position w:val="-10"/>
        </w:rPr>
        <w:object w:dxaOrig="600" w:dyaOrig="240" w14:anchorId="4C2DD6D5">
          <v:shape id="_x0000_i6013" type="#_x0000_t75" style="width:29.65pt;height:11.5pt" o:ole="">
            <v:imagedata r:id="rId10055" o:title=""/>
          </v:shape>
          <o:OLEObject Type="Embed" ProgID="Equation.DSMT4" ShapeID="_x0000_i6013" DrawAspect="Content" ObjectID="_1791379957" r:id="rId10056"/>
        </w:object>
      </w:r>
      <w:r w:rsidRPr="00A62AA2">
        <w:rPr>
          <w:rFonts w:hint="cs"/>
          <w:i/>
          <w:color w:val="222222"/>
          <w:sz w:val="23"/>
          <w:szCs w:val="23"/>
          <w:shd w:val="clear" w:color="auto" w:fill="FFFFFF"/>
          <w:rtl/>
        </w:rPr>
        <w:t xml:space="preserve"> است</w:t>
      </w:r>
      <w:r w:rsidRPr="00A62AA2">
        <w:rPr>
          <w:i/>
          <w:color w:val="222222"/>
          <w:sz w:val="23"/>
          <w:szCs w:val="23"/>
          <w:shd w:val="clear" w:color="auto" w:fill="FFFFFF"/>
        </w:rPr>
        <w:t>.</w:t>
      </w:r>
      <w:r w:rsidRPr="00A62AA2">
        <w:rPr>
          <w:rFonts w:hint="cs"/>
          <w:i/>
          <w:color w:val="222222"/>
          <w:sz w:val="23"/>
          <w:szCs w:val="23"/>
          <w:shd w:val="clear" w:color="auto" w:fill="FFFFFF"/>
          <w:rtl/>
        </w:rPr>
        <w:t xml:space="preserve"> در این حالت معادله‌ی تراز پرداخت‌ها به شرط برابری بهره‌ی بدون پوشش</w:t>
      </w:r>
      <w:r w:rsidRPr="00A62AA2">
        <w:rPr>
          <w:position w:val="-6"/>
        </w:rPr>
        <w:object w:dxaOrig="460" w:dyaOrig="260" w14:anchorId="15978578">
          <v:shape id="_x0000_i6014" type="#_x0000_t75" style="width:23pt;height:13.3pt" o:ole="">
            <v:imagedata r:id="rId10057" o:title=""/>
          </v:shape>
          <o:OLEObject Type="Embed" ProgID="Equation.DSMT4" ShapeID="_x0000_i6014" DrawAspect="Content" ObjectID="_1791379958" r:id="rId10058"/>
        </w:object>
      </w:r>
      <w:r w:rsidRPr="00A62AA2">
        <w:rPr>
          <w:rFonts w:hint="cs"/>
          <w:i/>
          <w:color w:val="222222"/>
          <w:sz w:val="23"/>
          <w:szCs w:val="23"/>
          <w:shd w:val="clear" w:color="auto" w:fill="FFFFFF"/>
          <w:rtl/>
        </w:rPr>
        <w:t xml:space="preserve"> تبدیل می‌شود که در فصل یازدهم به آن اشاره شد. به</w:t>
      </w:r>
      <w:r w:rsidRPr="00A62AA2">
        <w:rPr>
          <w:rFonts w:hint="cs"/>
          <w:i/>
          <w:color w:val="222222"/>
          <w:sz w:val="23"/>
          <w:szCs w:val="23"/>
          <w:shd w:val="clear" w:color="auto" w:fill="FFFFFF"/>
          <w:rtl/>
        </w:rPr>
        <w:softHyphen/>
        <w:t>طوری</w:t>
      </w:r>
      <w:r w:rsidRPr="00A62AA2">
        <w:rPr>
          <w:rFonts w:hint="cs"/>
          <w:i/>
          <w:color w:val="222222"/>
          <w:sz w:val="23"/>
          <w:szCs w:val="23"/>
          <w:shd w:val="clear" w:color="auto" w:fill="FFFFFF"/>
          <w:rtl/>
        </w:rPr>
        <w:softHyphen/>
        <w:t>که</w:t>
      </w:r>
    </w:p>
    <w:p w14:paraId="4F35E0B3" w14:textId="77777777" w:rsidR="00556C10" w:rsidRPr="00A62AA2" w:rsidRDefault="00556C10" w:rsidP="00556C10">
      <w:pPr>
        <w:bidi w:val="0"/>
        <w:spacing w:line="216" w:lineRule="auto"/>
        <w:rPr>
          <w:i/>
          <w:color w:val="222222"/>
          <w:sz w:val="23"/>
          <w:szCs w:val="23"/>
          <w:shd w:val="clear" w:color="auto" w:fill="FFFFFF"/>
          <w:rtl/>
        </w:rPr>
      </w:pPr>
      <w:r w:rsidRPr="00A62AA2">
        <w:rPr>
          <w:position w:val="-26"/>
        </w:rPr>
        <w:object w:dxaOrig="5300" w:dyaOrig="600" w14:anchorId="70E80922">
          <v:shape id="_x0000_i6015" type="#_x0000_t75" style="width:265pt;height:29.65pt" o:ole="">
            <v:imagedata r:id="rId10059" o:title=""/>
          </v:shape>
          <o:OLEObject Type="Embed" ProgID="Equation.DSMT4" ShapeID="_x0000_i6015" DrawAspect="Content" ObjectID="_1791379959" r:id="rId10060"/>
        </w:object>
      </w:r>
    </w:p>
    <w:p w14:paraId="60FA255E"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 xml:space="preserve"> و بنابر این </w:t>
      </w:r>
    </w:p>
    <w:p w14:paraId="77786807" w14:textId="77777777" w:rsidR="00556C10" w:rsidRPr="00A62AA2" w:rsidRDefault="00556C10" w:rsidP="00556C10">
      <w:pPr>
        <w:bidi w:val="0"/>
        <w:spacing w:line="216" w:lineRule="auto"/>
        <w:rPr>
          <w:i/>
          <w:color w:val="222222"/>
          <w:sz w:val="23"/>
          <w:szCs w:val="23"/>
          <w:shd w:val="clear" w:color="auto" w:fill="FFFFFF"/>
        </w:rPr>
      </w:pPr>
      <w:r w:rsidRPr="00A62AA2">
        <w:rPr>
          <w:position w:val="-6"/>
        </w:rPr>
        <w:object w:dxaOrig="1020" w:dyaOrig="300" w14:anchorId="10B35491">
          <v:shape id="_x0000_i6016" type="#_x0000_t75" style="width:50.8pt;height:14.5pt" o:ole="">
            <v:imagedata r:id="rId10061" o:title=""/>
          </v:shape>
          <o:OLEObject Type="Embed" ProgID="Equation.DSMT4" ShapeID="_x0000_i6016" DrawAspect="Content" ObjectID="_1791379960" r:id="rId10062"/>
        </w:object>
      </w:r>
    </w:p>
    <w:p w14:paraId="613BCF6C" w14:textId="77777777" w:rsidR="00556C10" w:rsidRPr="00A62AA2" w:rsidRDefault="00556C10" w:rsidP="00556C10">
      <w:pPr>
        <w:spacing w:line="216" w:lineRule="auto"/>
        <w:rPr>
          <w:i/>
          <w:color w:val="222222"/>
          <w:sz w:val="23"/>
          <w:szCs w:val="23"/>
          <w:shd w:val="clear" w:color="auto" w:fill="FFFFFF"/>
        </w:rPr>
      </w:pPr>
      <w:r w:rsidRPr="00A62AA2">
        <w:rPr>
          <w:rFonts w:hint="cs"/>
          <w:i/>
          <w:color w:val="222222"/>
          <w:sz w:val="23"/>
          <w:szCs w:val="23"/>
          <w:shd w:val="clear" w:color="auto" w:fill="FFFFFF"/>
          <w:rtl/>
        </w:rPr>
        <w:t>جهت تکمیل کردن مدل، معادله‌ی</w:t>
      </w:r>
      <w:r w:rsidRPr="00A62AA2">
        <w:rPr>
          <w:position w:val="-6"/>
        </w:rPr>
        <w:object w:dxaOrig="320" w:dyaOrig="260" w14:anchorId="4ABFF1DA">
          <v:shape id="_x0000_i6017" type="#_x0000_t75" style="width:15.75pt;height:13.3pt" o:ole="">
            <v:imagedata r:id="rId10063" o:title=""/>
          </v:shape>
          <o:OLEObject Type="Embed" ProgID="Equation.DSMT4" ShapeID="_x0000_i6017" DrawAspect="Content" ObjectID="_1791379961" r:id="rId10064"/>
        </w:object>
      </w:r>
      <w:r w:rsidRPr="00A62AA2">
        <w:rPr>
          <w:rFonts w:hint="cs"/>
          <w:i/>
          <w:color w:val="222222"/>
          <w:sz w:val="23"/>
          <w:szCs w:val="23"/>
          <w:shd w:val="clear" w:color="auto" w:fill="FFFFFF"/>
          <w:rtl/>
        </w:rPr>
        <w:t xml:space="preserve"> را با ورود اثرات تجارت بر اتحاد درآمد ملی اصلاح می‌کنیم. در تصریح تراز پرداخت‌ها لگاریتم نرخ ارز حقیقی و تولید داخلی و خارجی را به معادله‌ی</w:t>
      </w:r>
      <w:r w:rsidRPr="00A62AA2">
        <w:rPr>
          <w:position w:val="-6"/>
        </w:rPr>
        <w:object w:dxaOrig="320" w:dyaOrig="260" w14:anchorId="40AE145B">
          <v:shape id="_x0000_i6018" type="#_x0000_t75" style="width:15.75pt;height:13.3pt" o:ole="">
            <v:imagedata r:id="rId10065" o:title=""/>
          </v:shape>
          <o:OLEObject Type="Embed" ProgID="Equation.DSMT4" ShapeID="_x0000_i6018" DrawAspect="Content" ObjectID="_1791379962" r:id="rId10066"/>
        </w:object>
      </w:r>
      <w:r w:rsidRPr="00A62AA2">
        <w:rPr>
          <w:rFonts w:hint="cs"/>
          <w:i/>
          <w:color w:val="222222"/>
          <w:sz w:val="23"/>
          <w:szCs w:val="23"/>
          <w:shd w:val="clear" w:color="auto" w:fill="FFFFFF"/>
          <w:rtl/>
        </w:rPr>
        <w:t xml:space="preserve"> اضافه می‌کنیم. بنابراین نرخ ارز حقیقی ضعیف‌تر و تولید جهانی بیشتر خط</w:t>
      </w:r>
      <w:r w:rsidRPr="00A62AA2">
        <w:rPr>
          <w:position w:val="-6"/>
        </w:rPr>
        <w:object w:dxaOrig="320" w:dyaOrig="260" w14:anchorId="714FD0EE">
          <v:shape id="_x0000_i6019" type="#_x0000_t75" style="width:15.75pt;height:13.3pt" o:ole="">
            <v:imagedata r:id="rId10067" o:title=""/>
          </v:shape>
          <o:OLEObject Type="Embed" ProgID="Equation.DSMT4" ShapeID="_x0000_i6019" DrawAspect="Content" ObjectID="_1791379963" r:id="rId10068"/>
        </w:object>
      </w:r>
      <w:r w:rsidRPr="00A62AA2">
        <w:rPr>
          <w:rFonts w:hint="cs"/>
          <w:i/>
          <w:color w:val="222222"/>
          <w:sz w:val="23"/>
          <w:szCs w:val="23"/>
          <w:shd w:val="clear" w:color="auto" w:fill="FFFFFF"/>
          <w:rtl/>
        </w:rPr>
        <w:t xml:space="preserve"> را به سمت راست منتقل می‌کند. معادله‌ی</w:t>
      </w:r>
      <w:r w:rsidRPr="00025957">
        <w:rPr>
          <w:position w:val="-4"/>
        </w:rPr>
        <w:object w:dxaOrig="440" w:dyaOrig="240" w14:anchorId="1E0F2D8E">
          <v:shape id="_x0000_i6020" type="#_x0000_t75" style="width:21.8pt;height:11.5pt" o:ole="">
            <v:imagedata r:id="rId10069" o:title=""/>
          </v:shape>
          <o:OLEObject Type="Embed" ProgID="Equation.DSMT4" ShapeID="_x0000_i6020" DrawAspect="Content" ObjectID="_1791379964" r:id="rId10070"/>
        </w:object>
      </w:r>
      <w:r w:rsidRPr="00A62AA2">
        <w:rPr>
          <w:rFonts w:hint="cs"/>
          <w:i/>
          <w:color w:val="222222"/>
          <w:sz w:val="23"/>
          <w:szCs w:val="23"/>
          <w:shd w:val="clear" w:color="auto" w:fill="FFFFFF"/>
          <w:rtl/>
        </w:rPr>
        <w:t xml:space="preserve"> بدون تغییر باقی می‌ماند. مدل</w:t>
      </w:r>
      <w:r w:rsidRPr="00A62AA2">
        <w:rPr>
          <w:position w:val="-10"/>
        </w:rPr>
        <w:object w:dxaOrig="1340" w:dyaOrig="300" w14:anchorId="47535410">
          <v:shape id="_x0000_i6021" type="#_x0000_t75" style="width:67.15pt;height:14.5pt" o:ole="">
            <v:imagedata r:id="rId10071" o:title=""/>
          </v:shape>
          <o:OLEObject Type="Embed" ProgID="Equation.DSMT4" ShapeID="_x0000_i6021" DrawAspect="Content" ObjectID="_1791379965" r:id="rId10072"/>
        </w:object>
      </w:r>
      <w:r w:rsidRPr="00A62AA2">
        <w:rPr>
          <w:rFonts w:hint="cs"/>
          <w:i/>
          <w:color w:val="222222"/>
          <w:sz w:val="23"/>
          <w:szCs w:val="23"/>
          <w:shd w:val="clear" w:color="auto" w:fill="FFFFFF"/>
          <w:rtl/>
        </w:rPr>
        <w:t xml:space="preserve"> را می‌توان به صورت زیر بازنویسی کرد،</w:t>
      </w:r>
    </w:p>
    <w:p w14:paraId="4E915E3D" w14:textId="77777777" w:rsidR="00556C10" w:rsidRPr="00A62AA2" w:rsidRDefault="00556C10" w:rsidP="00556C10">
      <w:pPr>
        <w:bidi w:val="0"/>
        <w:spacing w:line="216" w:lineRule="auto"/>
        <w:rPr>
          <w:i/>
          <w:sz w:val="23"/>
          <w:szCs w:val="23"/>
          <w:shd w:val="clear" w:color="auto" w:fill="FFFFFF"/>
          <w:rtl/>
        </w:rPr>
      </w:pPr>
      <w:r w:rsidRPr="00A62AA2">
        <w:rPr>
          <w:position w:val="-16"/>
        </w:rPr>
        <w:object w:dxaOrig="3060" w:dyaOrig="420" w14:anchorId="62CCBB7C">
          <v:shape id="_x0000_i6022" type="#_x0000_t75" style="width:153.1pt;height:21.2pt" o:ole="">
            <v:imagedata r:id="rId10073" o:title=""/>
          </v:shape>
          <o:OLEObject Type="Embed" ProgID="Equation.DSMT4" ShapeID="_x0000_i6022" DrawAspect="Content" ObjectID="_1791379966" r:id="rId10074"/>
        </w:object>
      </w:r>
      <w:r w:rsidRPr="00A62AA2">
        <w:rPr>
          <w:rFonts w:hint="cs"/>
          <w:i/>
          <w:sz w:val="23"/>
          <w:szCs w:val="23"/>
          <w:shd w:val="clear" w:color="auto" w:fill="FFFFFF"/>
          <w:rtl/>
        </w:rPr>
        <w:tab/>
      </w:r>
      <w:r w:rsidRPr="00A62AA2">
        <w:rPr>
          <w:rFonts w:hint="cs"/>
          <w:i/>
          <w:sz w:val="23"/>
          <w:szCs w:val="23"/>
          <w:shd w:val="clear" w:color="auto" w:fill="FFFFFF"/>
          <w:rtl/>
        </w:rPr>
        <w:tab/>
      </w:r>
      <w:r w:rsidRPr="00A62AA2">
        <w:rPr>
          <w:rFonts w:hint="cs"/>
          <w:i/>
          <w:sz w:val="23"/>
          <w:szCs w:val="23"/>
          <w:shd w:val="clear" w:color="auto" w:fill="FFFFFF"/>
          <w:rtl/>
        </w:rPr>
        <w:tab/>
      </w:r>
      <w:r w:rsidRPr="00A62AA2">
        <w:rPr>
          <w:i/>
          <w:sz w:val="23"/>
          <w:szCs w:val="23"/>
          <w:shd w:val="clear" w:color="auto" w:fill="FFFFFF"/>
          <w:rtl/>
        </w:rPr>
        <w:tab/>
      </w:r>
      <w:r w:rsidRPr="00A62AA2">
        <w:rPr>
          <w:i/>
          <w:sz w:val="23"/>
          <w:szCs w:val="23"/>
          <w:shd w:val="clear" w:color="auto" w:fill="FFFFFF"/>
          <w:rtl/>
        </w:rPr>
        <w:tab/>
      </w:r>
      <w:r w:rsidRPr="00A62AA2">
        <w:rPr>
          <w:i/>
          <w:sz w:val="23"/>
          <w:szCs w:val="23"/>
          <w:shd w:val="clear" w:color="auto" w:fill="FFFFFF"/>
          <w:rtl/>
        </w:rPr>
        <w:tab/>
      </w:r>
      <w:r w:rsidRPr="00A62AA2">
        <w:rPr>
          <w:i/>
          <w:sz w:val="23"/>
          <w:szCs w:val="23"/>
          <w:shd w:val="clear" w:color="auto" w:fill="FFFFFF"/>
          <w:rtl/>
        </w:rPr>
        <w:tab/>
      </w:r>
      <w:r>
        <w:rPr>
          <w:i/>
          <w:sz w:val="23"/>
          <w:szCs w:val="23"/>
          <w:shd w:val="clear" w:color="auto" w:fill="FFFFFF"/>
          <w:rtl/>
        </w:rPr>
        <w:tab/>
      </w:r>
      <w:r w:rsidRPr="00A62AA2">
        <w:rPr>
          <w:i/>
          <w:sz w:val="23"/>
          <w:szCs w:val="23"/>
          <w:shd w:val="clear" w:color="auto" w:fill="FFFFFF"/>
          <w:rtl/>
        </w:rPr>
        <w:tab/>
      </w:r>
      <w:r w:rsidRPr="00A62AA2">
        <w:rPr>
          <w:rFonts w:hint="cs"/>
          <w:i/>
          <w:sz w:val="23"/>
          <w:szCs w:val="23"/>
          <w:shd w:val="clear" w:color="auto" w:fill="FFFFFF"/>
          <w:rtl/>
        </w:rPr>
        <w:tab/>
      </w:r>
      <w:r w:rsidRPr="00A62AA2">
        <w:rPr>
          <w:rFonts w:hint="cs"/>
          <w:i/>
          <w:sz w:val="23"/>
          <w:szCs w:val="23"/>
          <w:shd w:val="clear" w:color="auto" w:fill="FFFFFF"/>
          <w:rtl/>
        </w:rPr>
        <w:tab/>
      </w:r>
      <w:r w:rsidRPr="00A62AA2">
        <w:rPr>
          <w:i/>
          <w:sz w:val="23"/>
          <w:szCs w:val="23"/>
          <w:shd w:val="clear" w:color="auto" w:fill="FFFFFF"/>
        </w:rPr>
        <w:t xml:space="preserve"> </w:t>
      </w:r>
      <w:r w:rsidRPr="00A62AA2">
        <w:rPr>
          <w:rFonts w:hint="cs"/>
          <w:i/>
          <w:sz w:val="23"/>
          <w:szCs w:val="23"/>
          <w:shd w:val="clear" w:color="auto" w:fill="FFFFFF"/>
          <w:rtl/>
        </w:rPr>
        <w:t>(۱۳. ۶)</w:t>
      </w:r>
    </w:p>
    <w:p w14:paraId="39D93B9A" w14:textId="77777777" w:rsidR="00556C10" w:rsidRPr="00A62AA2" w:rsidRDefault="00556C10" w:rsidP="00556C10">
      <w:pPr>
        <w:bidi w:val="0"/>
        <w:spacing w:line="216" w:lineRule="auto"/>
        <w:rPr>
          <w:i/>
          <w:sz w:val="23"/>
          <w:szCs w:val="23"/>
          <w:shd w:val="clear" w:color="auto" w:fill="FFFFFF"/>
          <w:rtl/>
        </w:rPr>
      </w:pPr>
      <w:r w:rsidRPr="00A62AA2">
        <w:rPr>
          <w:position w:val="-8"/>
        </w:rPr>
        <w:object w:dxaOrig="1420" w:dyaOrig="279" w14:anchorId="63415D6F">
          <v:shape id="_x0000_i6023" type="#_x0000_t75" style="width:71.4pt;height:13.9pt" o:ole="">
            <v:imagedata r:id="rId10075" o:title=""/>
          </v:shape>
          <o:OLEObject Type="Embed" ProgID="Equation.DSMT4" ShapeID="_x0000_i6023" DrawAspect="Content" ObjectID="_1791379967" r:id="rId10076"/>
        </w:object>
      </w:r>
      <w:r w:rsidRPr="00A62AA2">
        <w:rPr>
          <w:rFonts w:eastAsiaTheme="minorHAnsi" w:cstheme="minorBidi"/>
          <w:i/>
          <w:sz w:val="23"/>
          <w:szCs w:val="23"/>
          <w:rtl/>
        </w:rPr>
        <w:tab/>
      </w:r>
      <w:r w:rsidRPr="00A62AA2">
        <w:rPr>
          <w:rFonts w:eastAsiaTheme="minorHAnsi" w:cstheme="minorBidi"/>
          <w:i/>
          <w:sz w:val="23"/>
          <w:szCs w:val="23"/>
          <w:rtl/>
        </w:rPr>
        <w:tab/>
      </w:r>
      <w:r w:rsidRPr="00A62AA2">
        <w:rPr>
          <w:rFonts w:eastAsiaTheme="minorHAnsi" w:cstheme="minorBidi"/>
          <w:i/>
          <w:sz w:val="23"/>
          <w:szCs w:val="23"/>
          <w:rtl/>
        </w:rPr>
        <w:tab/>
      </w:r>
      <w:r w:rsidRPr="00A62AA2">
        <w:rPr>
          <w:rFonts w:eastAsiaTheme="minorHAnsi" w:cstheme="minorBidi"/>
          <w:i/>
          <w:sz w:val="23"/>
          <w:szCs w:val="23"/>
          <w:rtl/>
        </w:rPr>
        <w:tab/>
      </w:r>
      <w:r w:rsidRPr="00A62AA2">
        <w:rPr>
          <w:rFonts w:eastAsiaTheme="minorHAnsi" w:cstheme="minorBidi"/>
          <w:i/>
          <w:sz w:val="23"/>
          <w:szCs w:val="23"/>
          <w:rtl/>
        </w:rPr>
        <w:tab/>
      </w:r>
      <w:r w:rsidRPr="00A62AA2">
        <w:rPr>
          <w:rFonts w:eastAsiaTheme="minorHAnsi" w:cstheme="minorBidi"/>
          <w:i/>
          <w:sz w:val="23"/>
          <w:szCs w:val="23"/>
          <w:rtl/>
        </w:rPr>
        <w:tab/>
      </w:r>
      <w:r w:rsidRPr="00A62AA2">
        <w:rPr>
          <w:rFonts w:eastAsiaTheme="minorHAnsi" w:cstheme="minorBidi"/>
          <w:i/>
          <w:sz w:val="23"/>
          <w:szCs w:val="23"/>
          <w:rtl/>
        </w:rPr>
        <w:tab/>
      </w:r>
      <w:r w:rsidRPr="00A62AA2">
        <w:rPr>
          <w:rFonts w:eastAsiaTheme="minorHAnsi" w:cstheme="minorBidi"/>
          <w:i/>
          <w:sz w:val="23"/>
          <w:szCs w:val="23"/>
          <w:rtl/>
        </w:rPr>
        <w:tab/>
      </w:r>
      <w:r w:rsidRPr="00A62AA2">
        <w:rPr>
          <w:rFonts w:hint="cs"/>
          <w:i/>
          <w:sz w:val="23"/>
          <w:szCs w:val="23"/>
          <w:shd w:val="clear" w:color="auto" w:fill="FFFFFF"/>
          <w:rtl/>
        </w:rPr>
        <w:tab/>
      </w:r>
      <w:r w:rsidRPr="00A62AA2">
        <w:rPr>
          <w:rFonts w:hint="cs"/>
          <w:i/>
          <w:sz w:val="23"/>
          <w:szCs w:val="23"/>
          <w:shd w:val="clear" w:color="auto" w:fill="FFFFFF"/>
          <w:rtl/>
        </w:rPr>
        <w:tab/>
      </w:r>
      <w:r w:rsidRPr="00A62AA2">
        <w:rPr>
          <w:rFonts w:hint="cs"/>
          <w:i/>
          <w:sz w:val="23"/>
          <w:szCs w:val="23"/>
          <w:shd w:val="clear" w:color="auto" w:fill="FFFFFF"/>
          <w:rtl/>
        </w:rPr>
        <w:tab/>
      </w:r>
      <w:r w:rsidRPr="00A62AA2">
        <w:rPr>
          <w:rFonts w:hint="cs"/>
          <w:i/>
          <w:sz w:val="23"/>
          <w:szCs w:val="23"/>
          <w:shd w:val="clear" w:color="auto" w:fill="FFFFFF"/>
          <w:rtl/>
        </w:rPr>
        <w:tab/>
      </w:r>
      <w:r w:rsidRPr="00A62AA2">
        <w:rPr>
          <w:rFonts w:hint="cs"/>
          <w:i/>
          <w:sz w:val="23"/>
          <w:szCs w:val="23"/>
          <w:shd w:val="clear" w:color="auto" w:fill="FFFFFF"/>
          <w:rtl/>
        </w:rPr>
        <w:tab/>
      </w:r>
      <w:r>
        <w:rPr>
          <w:i/>
          <w:sz w:val="23"/>
          <w:szCs w:val="23"/>
          <w:shd w:val="clear" w:color="auto" w:fill="FFFFFF"/>
          <w:rtl/>
        </w:rPr>
        <w:tab/>
      </w:r>
      <w:r w:rsidRPr="00A62AA2">
        <w:rPr>
          <w:rFonts w:hint="cs"/>
          <w:i/>
          <w:sz w:val="23"/>
          <w:szCs w:val="23"/>
          <w:shd w:val="clear" w:color="auto" w:fill="FFFFFF"/>
          <w:rtl/>
        </w:rPr>
        <w:tab/>
      </w:r>
      <w:r w:rsidRPr="00A62AA2">
        <w:rPr>
          <w:rFonts w:hint="cs"/>
          <w:i/>
          <w:sz w:val="23"/>
          <w:szCs w:val="23"/>
          <w:shd w:val="clear" w:color="auto" w:fill="FFFFFF"/>
          <w:rtl/>
        </w:rPr>
        <w:tab/>
        <w:t>(۱۳. ۷)</w:t>
      </w:r>
    </w:p>
    <w:p w14:paraId="5DD05CEF" w14:textId="77777777" w:rsidR="00556C10" w:rsidRPr="00A62AA2" w:rsidRDefault="00556C10" w:rsidP="00556C10">
      <w:pPr>
        <w:bidi w:val="0"/>
        <w:spacing w:line="216" w:lineRule="auto"/>
        <w:rPr>
          <w:i/>
          <w:sz w:val="23"/>
          <w:szCs w:val="23"/>
          <w:shd w:val="clear" w:color="auto" w:fill="FFFFFF"/>
          <w:rtl/>
        </w:rPr>
      </w:pPr>
      <w:r w:rsidRPr="00A62AA2">
        <w:rPr>
          <w:position w:val="-16"/>
        </w:rPr>
        <w:object w:dxaOrig="4060" w:dyaOrig="420" w14:anchorId="5DAA5FE9">
          <v:shape id="_x0000_i6024" type="#_x0000_t75" style="width:203.3pt;height:21.2pt" o:ole="">
            <v:imagedata r:id="rId10077" o:title=""/>
          </v:shape>
          <o:OLEObject Type="Embed" ProgID="Equation.DSMT4" ShapeID="_x0000_i6024" DrawAspect="Content" ObjectID="_1791379968" r:id="rId10078"/>
        </w:object>
      </w:r>
      <w:r w:rsidRPr="00A62AA2">
        <w:rPr>
          <w:rFonts w:hint="cs"/>
          <w:i/>
          <w:sz w:val="23"/>
          <w:szCs w:val="23"/>
          <w:rtl/>
        </w:rPr>
        <w:tab/>
      </w:r>
      <w:r w:rsidRPr="00A62AA2">
        <w:rPr>
          <w:rFonts w:hint="cs"/>
          <w:i/>
          <w:sz w:val="23"/>
          <w:szCs w:val="23"/>
          <w:shd w:val="clear" w:color="auto" w:fill="FFFFFF"/>
          <w:rtl/>
        </w:rPr>
        <w:tab/>
      </w:r>
      <w:r w:rsidRPr="00A62AA2">
        <w:rPr>
          <w:i/>
          <w:sz w:val="23"/>
          <w:szCs w:val="23"/>
          <w:shd w:val="clear" w:color="auto" w:fill="FFFFFF"/>
          <w:rtl/>
        </w:rPr>
        <w:tab/>
      </w:r>
      <w:r w:rsidRPr="00A62AA2">
        <w:rPr>
          <w:i/>
          <w:sz w:val="23"/>
          <w:szCs w:val="23"/>
          <w:shd w:val="clear" w:color="auto" w:fill="FFFFFF"/>
          <w:rtl/>
        </w:rPr>
        <w:tab/>
      </w:r>
      <w:r w:rsidRPr="00A62AA2">
        <w:rPr>
          <w:i/>
          <w:sz w:val="23"/>
          <w:szCs w:val="23"/>
          <w:shd w:val="clear" w:color="auto" w:fill="FFFFFF"/>
        </w:rPr>
        <w:tab/>
      </w:r>
      <w:r>
        <w:rPr>
          <w:i/>
          <w:sz w:val="23"/>
          <w:szCs w:val="23"/>
          <w:shd w:val="clear" w:color="auto" w:fill="FFFFFF"/>
          <w:rtl/>
        </w:rPr>
        <w:tab/>
      </w:r>
      <w:r w:rsidRPr="00A62AA2">
        <w:rPr>
          <w:i/>
          <w:sz w:val="23"/>
          <w:szCs w:val="23"/>
          <w:shd w:val="clear" w:color="auto" w:fill="FFFFFF"/>
        </w:rPr>
        <w:tab/>
      </w:r>
      <w:r w:rsidRPr="00A62AA2">
        <w:rPr>
          <w:rFonts w:hint="cs"/>
          <w:i/>
          <w:sz w:val="23"/>
          <w:szCs w:val="23"/>
          <w:shd w:val="clear" w:color="auto" w:fill="FFFFFF"/>
          <w:rtl/>
        </w:rPr>
        <w:t xml:space="preserve"> (۱۳ .۸) </w:t>
      </w:r>
    </w:p>
    <w:p w14:paraId="1D8A1C6F"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 xml:space="preserve">که در آن </w:t>
      </w:r>
    </w:p>
    <w:p w14:paraId="56719F78" w14:textId="77777777" w:rsidR="00556C10" w:rsidRPr="00A62AA2" w:rsidRDefault="00556C10" w:rsidP="00556C10">
      <w:pPr>
        <w:bidi w:val="0"/>
        <w:spacing w:line="216" w:lineRule="auto"/>
        <w:rPr>
          <w:i/>
          <w:sz w:val="23"/>
          <w:szCs w:val="23"/>
          <w:shd w:val="clear" w:color="auto" w:fill="FFFFFF"/>
          <w:rtl/>
        </w:rPr>
      </w:pPr>
      <w:r w:rsidRPr="00A62AA2">
        <w:rPr>
          <w:position w:val="-12"/>
        </w:rPr>
        <w:object w:dxaOrig="1820" w:dyaOrig="360" w14:anchorId="6C2E5FC2">
          <v:shape id="_x0000_i6025" type="#_x0000_t75" style="width:91.35pt;height:18.15pt" o:ole="">
            <v:imagedata r:id="rId10079" o:title=""/>
          </v:shape>
          <o:OLEObject Type="Embed" ProgID="Equation.DSMT4" ShapeID="_x0000_i6025" DrawAspect="Content" ObjectID="_1791379969" r:id="rId10080"/>
        </w:object>
      </w:r>
    </w:p>
    <w:p w14:paraId="5FFFB3EE" w14:textId="77777777" w:rsidR="00556C10" w:rsidRPr="00A62AA2" w:rsidRDefault="00556C10" w:rsidP="00556C10">
      <w:pPr>
        <w:bidi w:val="0"/>
        <w:spacing w:line="216" w:lineRule="auto"/>
        <w:rPr>
          <w:i/>
          <w:sz w:val="23"/>
          <w:szCs w:val="23"/>
          <w:shd w:val="clear" w:color="auto" w:fill="FFFFFF"/>
        </w:rPr>
      </w:pPr>
      <w:r w:rsidRPr="00A62AA2">
        <w:rPr>
          <w:position w:val="-8"/>
        </w:rPr>
        <w:object w:dxaOrig="1420" w:dyaOrig="279" w14:anchorId="4A1C87D1">
          <v:shape id="_x0000_i6026" type="#_x0000_t75" style="width:71.4pt;height:13.9pt" o:ole="">
            <v:imagedata r:id="rId10081" o:title=""/>
          </v:shape>
          <o:OLEObject Type="Embed" ProgID="Equation.DSMT4" ShapeID="_x0000_i6026" DrawAspect="Content" ObjectID="_1791379970" r:id="rId10082"/>
        </w:object>
      </w:r>
    </w:p>
    <w:p w14:paraId="6FA69C88" w14:textId="77777777" w:rsidR="00556C10" w:rsidRPr="00A62AA2" w:rsidRDefault="00556C10" w:rsidP="00556C10">
      <w:pPr>
        <w:spacing w:line="216" w:lineRule="auto"/>
        <w:rPr>
          <w:i/>
          <w:color w:val="222222"/>
          <w:sz w:val="23"/>
          <w:szCs w:val="23"/>
          <w:shd w:val="clear" w:color="auto" w:fill="FFFFFF"/>
        </w:rPr>
      </w:pPr>
      <w:r w:rsidRPr="00A62AA2">
        <w:rPr>
          <w:rFonts w:hint="cs"/>
          <w:i/>
          <w:sz w:val="23"/>
          <w:szCs w:val="23"/>
          <w:shd w:val="clear" w:color="auto" w:fill="FFFFFF"/>
          <w:rtl/>
        </w:rPr>
        <w:t>و</w:t>
      </w:r>
      <w:r w:rsidRPr="00A62AA2">
        <w:rPr>
          <w:position w:val="-6"/>
        </w:rPr>
        <w:object w:dxaOrig="700" w:dyaOrig="260" w14:anchorId="43933DF5">
          <v:shape id="_x0000_i6027" type="#_x0000_t75" style="width:35.1pt;height:13.3pt" o:ole="">
            <v:imagedata r:id="rId10083" o:title=""/>
          </v:shape>
          <o:OLEObject Type="Embed" ProgID="Equation.DSMT4" ShapeID="_x0000_i6027" DrawAspect="Content" ObjectID="_1791379971" r:id="rId10084"/>
        </w:object>
      </w:r>
      <w:r w:rsidRPr="00A62AA2">
        <w:rPr>
          <w:rFonts w:hint="cs"/>
          <w:i/>
          <w:sz w:val="23"/>
          <w:szCs w:val="23"/>
          <w:rtl/>
        </w:rPr>
        <w:t xml:space="preserve">، </w:t>
      </w:r>
      <w:r w:rsidRPr="00A62AA2">
        <w:rPr>
          <w:position w:val="-6"/>
        </w:rPr>
        <w:object w:dxaOrig="680" w:dyaOrig="260" w14:anchorId="02BCC277">
          <v:shape id="_x0000_i6028" type="#_x0000_t75" style="width:33.9pt;height:13.3pt" o:ole="">
            <v:imagedata r:id="rId10085" o:title=""/>
          </v:shape>
          <o:OLEObject Type="Embed" ProgID="Equation.DSMT4" ShapeID="_x0000_i6028" DrawAspect="Content" ObjectID="_1791379972" r:id="rId10086"/>
        </w:object>
      </w:r>
      <w:r w:rsidRPr="00A62AA2">
        <w:rPr>
          <w:rFonts w:hint="cs"/>
          <w:i/>
          <w:sz w:val="23"/>
          <w:szCs w:val="23"/>
          <w:shd w:val="clear" w:color="auto" w:fill="FFFFFF"/>
          <w:rtl/>
        </w:rPr>
        <w:t xml:space="preserve"> و </w:t>
      </w:r>
      <w:r w:rsidRPr="00A62AA2">
        <w:rPr>
          <w:position w:val="-6"/>
        </w:rPr>
        <w:object w:dxaOrig="859" w:dyaOrig="260" w14:anchorId="1E7CF645">
          <v:shape id="_x0000_i6029" type="#_x0000_t75" style="width:42.95pt;height:13.3pt" o:ole="">
            <v:imagedata r:id="rId10087" o:title=""/>
          </v:shape>
          <o:OLEObject Type="Embed" ProgID="Equation.DSMT4" ShapeID="_x0000_i6029" DrawAspect="Content" ObjectID="_1791379973" r:id="rId10088"/>
        </w:object>
      </w:r>
      <w:r w:rsidRPr="00A62AA2">
        <w:rPr>
          <w:i/>
          <w:sz w:val="23"/>
          <w:szCs w:val="23"/>
          <w:shd w:val="clear" w:color="auto" w:fill="FFFFFF"/>
        </w:rPr>
        <w:t xml:space="preserve"> </w:t>
      </w:r>
      <w:r w:rsidRPr="00A62AA2">
        <w:rPr>
          <w:rFonts w:hint="cs"/>
          <w:i/>
          <w:sz w:val="23"/>
          <w:szCs w:val="23"/>
          <w:shd w:val="clear" w:color="auto" w:fill="FFFFFF"/>
          <w:rtl/>
        </w:rPr>
        <w:t>برابر است سهم تجارت از</w:t>
      </w:r>
      <w:r w:rsidRPr="00A62AA2">
        <w:rPr>
          <w:position w:val="-6"/>
        </w:rPr>
        <w:object w:dxaOrig="560" w:dyaOrig="260" w14:anchorId="3B0080E6">
          <v:shape id="_x0000_i6030" type="#_x0000_t75" style="width:27.85pt;height:13.3pt" o:ole="">
            <v:imagedata r:id="rId10089" o:title=""/>
          </v:shape>
          <o:OLEObject Type="Embed" ProgID="Equation.DSMT4" ShapeID="_x0000_i6030" DrawAspect="Content" ObjectID="_1791379974" r:id="rId10090"/>
        </w:object>
      </w:r>
      <w:r w:rsidRPr="00A62AA2">
        <w:rPr>
          <w:i/>
          <w:sz w:val="23"/>
          <w:szCs w:val="23"/>
          <w:shd w:val="clear" w:color="auto" w:fill="FFFFFF"/>
        </w:rPr>
        <w:t>.</w:t>
      </w:r>
    </w:p>
    <w:p w14:paraId="65CFFCE6"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تابع تقاضای کل با حذف</w:t>
      </w:r>
      <w:r w:rsidRPr="00A62AA2">
        <w:rPr>
          <w:position w:val="-6"/>
        </w:rPr>
        <w:object w:dxaOrig="240" w:dyaOrig="260" w14:anchorId="1D5DBB24">
          <v:shape id="_x0000_i6031" type="#_x0000_t75" style="width:11.5pt;height:13.3pt" o:ole="">
            <v:imagedata r:id="rId10091" o:title=""/>
          </v:shape>
          <o:OLEObject Type="Embed" ProgID="Equation.DSMT4" ShapeID="_x0000_i6031" DrawAspect="Content" ObjectID="_1791379975" r:id="rId10092"/>
        </w:object>
      </w:r>
      <w:r w:rsidRPr="00A62AA2">
        <w:rPr>
          <w:rFonts w:hint="cs"/>
          <w:i/>
          <w:color w:val="222222"/>
          <w:sz w:val="23"/>
          <w:szCs w:val="23"/>
          <w:shd w:val="clear" w:color="auto" w:fill="FFFFFF"/>
          <w:rtl/>
        </w:rPr>
        <w:t xml:space="preserve"> از معادله‌ی ۱۳. ۶ و ۱۳. ۷ بدست می‌آید و برابر است با</w:t>
      </w:r>
    </w:p>
    <w:p w14:paraId="7725E82E" w14:textId="77777777" w:rsidR="00556C10" w:rsidRPr="00A62AA2" w:rsidRDefault="00556C10" w:rsidP="00556C10">
      <w:pPr>
        <w:bidi w:val="0"/>
        <w:spacing w:line="216" w:lineRule="auto"/>
        <w:rPr>
          <w:i/>
          <w:color w:val="222222"/>
          <w:sz w:val="23"/>
          <w:szCs w:val="23"/>
          <w:shd w:val="clear" w:color="auto" w:fill="FFFFFF"/>
          <w:rtl/>
        </w:rPr>
      </w:pPr>
      <w:r w:rsidRPr="00A62AA2">
        <w:rPr>
          <w:position w:val="-26"/>
        </w:rPr>
        <w:object w:dxaOrig="5160" w:dyaOrig="600" w14:anchorId="2FE127C6">
          <v:shape id="_x0000_i6032" type="#_x0000_t75" style="width:257.75pt;height:29.65pt" o:ole="">
            <v:imagedata r:id="rId10093" o:title=""/>
          </v:shape>
          <o:OLEObject Type="Embed" ProgID="Equation.DSMT4" ShapeID="_x0000_i6032" DrawAspect="Content" ObjectID="_1791379976" r:id="rId10094"/>
        </w:object>
      </w:r>
    </w:p>
    <w:p w14:paraId="04492ABF"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 xml:space="preserve"> که به نرخ ارز حقیقی و تولید جهانی وابسته است. بنابراین، در اقتصاد باز، با افزایش نرخ ارز حقیقی و تولید جهانی تقاضای کل افزایش خواهد یافت. توجه داریم که اگر کالاهای داخلی و خارجی جانشین کامل باشند، آنگاه </w:t>
      </w:r>
      <w:r w:rsidRPr="00A62AA2">
        <w:rPr>
          <w:position w:val="-6"/>
        </w:rPr>
        <w:object w:dxaOrig="660" w:dyaOrig="260" w14:anchorId="6BBFACA5">
          <v:shape id="_x0000_i6033" type="#_x0000_t75" style="width:32.65pt;height:13.3pt" o:ole="">
            <v:imagedata r:id="rId10095" o:title=""/>
          </v:shape>
          <o:OLEObject Type="Embed" ProgID="Equation.DSMT4" ShapeID="_x0000_i6033" DrawAspect="Content" ObjectID="_1791379977" r:id="rId10096"/>
        </w:object>
      </w:r>
      <w:r w:rsidRPr="00A62AA2">
        <w:rPr>
          <w:rFonts w:hint="cs"/>
          <w:i/>
          <w:color w:val="222222"/>
          <w:sz w:val="23"/>
          <w:szCs w:val="23"/>
          <w:shd w:val="clear" w:color="auto" w:fill="FFFFFF"/>
          <w:rtl/>
        </w:rPr>
        <w:t xml:space="preserve"> و بنابراین</w:t>
      </w:r>
      <w:r w:rsidRPr="00A62AA2">
        <w:rPr>
          <w:position w:val="-6"/>
        </w:rPr>
        <w:object w:dxaOrig="680" w:dyaOrig="220" w14:anchorId="334F2E5A">
          <v:shape id="_x0000_i6034" type="#_x0000_t75" style="width:33.9pt;height:10.9pt" o:ole="">
            <v:imagedata r:id="rId10097" o:title=""/>
          </v:shape>
          <o:OLEObject Type="Embed" ProgID="Equation.DSMT4" ShapeID="_x0000_i6034" DrawAspect="Content" ObjectID="_1791379978" r:id="rId10098"/>
        </w:object>
      </w:r>
      <w:r w:rsidRPr="00A62AA2">
        <w:rPr>
          <w:rFonts w:hint="cs"/>
          <w:i/>
          <w:color w:val="222222"/>
          <w:sz w:val="23"/>
          <w:szCs w:val="23"/>
          <w:shd w:val="clear" w:color="auto" w:fill="FFFFFF"/>
          <w:rtl/>
        </w:rPr>
        <w:t xml:space="preserve"> میل خواهد کرد. در نتیجه، معادلات</w:t>
      </w:r>
      <w:r w:rsidRPr="00A62AA2">
        <w:rPr>
          <w:position w:val="-6"/>
        </w:rPr>
        <w:object w:dxaOrig="320" w:dyaOrig="260" w14:anchorId="7FB208A2">
          <v:shape id="_x0000_i6035" type="#_x0000_t75" style="width:15.75pt;height:13.3pt" o:ole="">
            <v:imagedata r:id="rId10099" o:title=""/>
          </v:shape>
          <o:OLEObject Type="Embed" ProgID="Equation.DSMT4" ShapeID="_x0000_i6035" DrawAspect="Content" ObjectID="_1791379979" r:id="rId10100"/>
        </w:object>
      </w:r>
      <w:r w:rsidRPr="00A62AA2">
        <w:rPr>
          <w:rFonts w:hint="cs"/>
          <w:i/>
          <w:color w:val="222222"/>
          <w:sz w:val="23"/>
          <w:szCs w:val="23"/>
          <w:shd w:val="clear" w:color="auto" w:fill="FFFFFF"/>
          <w:rtl/>
        </w:rPr>
        <w:t xml:space="preserve"> و </w:t>
      </w:r>
      <w:r w:rsidRPr="00025957">
        <w:rPr>
          <w:position w:val="-4"/>
        </w:rPr>
        <w:object w:dxaOrig="400" w:dyaOrig="240" w14:anchorId="6C023C2A">
          <v:shape id="_x0000_i6036" type="#_x0000_t75" style="width:19.95pt;height:11.5pt" o:ole="">
            <v:imagedata r:id="rId10101" o:title=""/>
          </v:shape>
          <o:OLEObject Type="Embed" ProgID="Equation.DSMT4" ShapeID="_x0000_i6036" DrawAspect="Content" ObjectID="_1791379980" r:id="rId10102"/>
        </w:object>
      </w:r>
      <w:r w:rsidRPr="00A62AA2">
        <w:rPr>
          <w:rFonts w:hint="cs"/>
          <w:i/>
          <w:color w:val="222222"/>
          <w:sz w:val="23"/>
          <w:szCs w:val="23"/>
          <w:shd w:val="clear" w:color="auto" w:fill="FFFFFF"/>
          <w:rtl/>
        </w:rPr>
        <w:t xml:space="preserve"> به</w:t>
      </w:r>
      <w:r w:rsidRPr="00025957">
        <w:rPr>
          <w:position w:val="-4"/>
        </w:rPr>
        <w:object w:dxaOrig="520" w:dyaOrig="240" w14:anchorId="2CCB0747">
          <v:shape id="_x0000_i6037" type="#_x0000_t75" style="width:26pt;height:11.5pt" o:ole="">
            <v:imagedata r:id="rId10103" o:title=""/>
          </v:shape>
          <o:OLEObject Type="Embed" ProgID="Equation.DSMT4" ShapeID="_x0000_i6037" DrawAspect="Content" ObjectID="_1791379981" r:id="rId10104"/>
        </w:object>
      </w:r>
      <w:r w:rsidRPr="00A62AA2">
        <w:rPr>
          <w:rFonts w:hint="cs"/>
          <w:i/>
          <w:color w:val="222222"/>
          <w:sz w:val="23"/>
          <w:szCs w:val="23"/>
          <w:shd w:val="clear" w:color="auto" w:fill="FFFFFF"/>
          <w:rtl/>
        </w:rPr>
        <w:t xml:space="preserve"> یا </w:t>
      </w:r>
      <w:r w:rsidRPr="00A62AA2">
        <w:rPr>
          <w:position w:val="-8"/>
        </w:rPr>
        <w:object w:dxaOrig="940" w:dyaOrig="320" w14:anchorId="03E2F78D">
          <v:shape id="_x0000_i6038" type="#_x0000_t75" style="width:47.2pt;height:15.75pt" o:ole="">
            <v:imagedata r:id="rId10105" o:title=""/>
          </v:shape>
          <o:OLEObject Type="Embed" ProgID="Equation.DSMT4" ShapeID="_x0000_i6038" DrawAspect="Content" ObjectID="_1791379982" r:id="rId10106"/>
        </w:object>
      </w:r>
      <w:r w:rsidRPr="00A62AA2">
        <w:rPr>
          <w:rFonts w:hint="cs"/>
          <w:i/>
          <w:color w:val="222222"/>
          <w:sz w:val="23"/>
          <w:szCs w:val="23"/>
          <w:shd w:val="clear" w:color="auto" w:fill="FFFFFF"/>
          <w:rtl/>
        </w:rPr>
        <w:t xml:space="preserve"> تقلیل خواهند یافت. خط</w:t>
      </w:r>
      <w:r w:rsidRPr="00025957">
        <w:rPr>
          <w:position w:val="-4"/>
        </w:rPr>
        <w:object w:dxaOrig="400" w:dyaOrig="240" w14:anchorId="353F9E03">
          <v:shape id="_x0000_i6039" type="#_x0000_t75" style="width:19.95pt;height:11.5pt" o:ole="">
            <v:imagedata r:id="rId10107" o:title=""/>
          </v:shape>
          <o:OLEObject Type="Embed" ProgID="Equation.DSMT4" ShapeID="_x0000_i6039" DrawAspect="Content" ObjectID="_1791379983" r:id="rId10108"/>
        </w:object>
      </w:r>
      <w:r w:rsidRPr="00A62AA2">
        <w:rPr>
          <w:rFonts w:hint="cs"/>
          <w:i/>
          <w:color w:val="222222"/>
          <w:sz w:val="23"/>
          <w:szCs w:val="23"/>
          <w:shd w:val="clear" w:color="auto" w:fill="FFFFFF"/>
          <w:rtl/>
        </w:rPr>
        <w:t xml:space="preserve"> در نمودار ۱۳. ۲ در</w:t>
      </w:r>
      <w:r w:rsidRPr="00A62AA2">
        <w:rPr>
          <w:position w:val="-8"/>
        </w:rPr>
        <w:object w:dxaOrig="580" w:dyaOrig="320" w14:anchorId="649D9EFF">
          <v:shape id="_x0000_i6040" type="#_x0000_t75" style="width:29.05pt;height:15.75pt" o:ole="">
            <v:imagedata r:id="rId10109" o:title=""/>
          </v:shape>
          <o:OLEObject Type="Embed" ProgID="Equation.DSMT4" ShapeID="_x0000_i6040" DrawAspect="Content" ObjectID="_1791379984" r:id="rId10110"/>
        </w:object>
      </w:r>
      <w:r w:rsidRPr="00A62AA2">
        <w:rPr>
          <w:i/>
          <w:color w:val="222222"/>
          <w:sz w:val="23"/>
          <w:szCs w:val="23"/>
          <w:shd w:val="clear" w:color="auto" w:fill="FFFFFF"/>
        </w:rPr>
        <w:t xml:space="preserve"> </w:t>
      </w:r>
      <w:r w:rsidRPr="00A62AA2">
        <w:rPr>
          <w:rFonts w:hint="cs"/>
          <w:i/>
          <w:color w:val="222222"/>
          <w:sz w:val="23"/>
          <w:szCs w:val="23"/>
          <w:shd w:val="clear" w:color="auto" w:fill="FFFFFF"/>
          <w:rtl/>
        </w:rPr>
        <w:t>افقی خواهد بود.</w:t>
      </w:r>
    </w:p>
    <w:p w14:paraId="05F98295"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مدل</w:t>
      </w:r>
      <w:r w:rsidRPr="00A62AA2">
        <w:rPr>
          <w:position w:val="-6"/>
        </w:rPr>
        <w:object w:dxaOrig="1400" w:dyaOrig="260" w14:anchorId="0DE98889">
          <v:shape id="_x0000_i6041" type="#_x0000_t75" style="width:70.2pt;height:13.3pt" o:ole="">
            <v:imagedata r:id="rId10111" o:title=""/>
          </v:shape>
          <o:OLEObject Type="Embed" ProgID="Equation.DSMT4" ShapeID="_x0000_i6041" DrawAspect="Content" ObjectID="_1791379985" r:id="rId10112"/>
        </w:object>
      </w:r>
      <w:r w:rsidRPr="00A62AA2">
        <w:rPr>
          <w:rFonts w:hint="cs"/>
          <w:i/>
          <w:color w:val="222222"/>
          <w:sz w:val="23"/>
          <w:szCs w:val="23"/>
          <w:shd w:val="clear" w:color="auto" w:fill="FFFFFF"/>
          <w:rtl/>
        </w:rPr>
        <w:t xml:space="preserve"> به صورت هندسی در نمودار ۱۳. ۴ نشان داده شده است. فرض شده که خط </w:t>
      </w:r>
      <w:r w:rsidRPr="00025957">
        <w:rPr>
          <w:position w:val="-4"/>
        </w:rPr>
        <w:object w:dxaOrig="400" w:dyaOrig="240" w14:anchorId="5327B8D3">
          <v:shape id="_x0000_i6042" type="#_x0000_t75" style="width:19.95pt;height:11.5pt" o:ole="">
            <v:imagedata r:id="rId10113" o:title=""/>
          </v:shape>
          <o:OLEObject Type="Embed" ProgID="Equation.DSMT4" ShapeID="_x0000_i6042" DrawAspect="Content" ObjectID="_1791379986" r:id="rId10114"/>
        </w:object>
      </w:r>
      <w:r w:rsidRPr="00A62AA2">
        <w:rPr>
          <w:rFonts w:hint="cs"/>
          <w:i/>
          <w:color w:val="222222"/>
          <w:sz w:val="23"/>
          <w:szCs w:val="23"/>
          <w:shd w:val="clear" w:color="auto" w:fill="FFFFFF"/>
          <w:rtl/>
        </w:rPr>
        <w:t xml:space="preserve"> شیب کمتری نسبت به خط</w:t>
      </w:r>
      <w:r w:rsidRPr="00A62AA2">
        <w:rPr>
          <w:position w:val="-6"/>
        </w:rPr>
        <w:object w:dxaOrig="320" w:dyaOrig="260" w14:anchorId="35EA5450">
          <v:shape id="_x0000_i6043" type="#_x0000_t75" style="width:15.75pt;height:13.3pt" o:ole="">
            <v:imagedata r:id="rId10115" o:title=""/>
          </v:shape>
          <o:OLEObject Type="Embed" ProgID="Equation.DSMT4" ShapeID="_x0000_i6043" DrawAspect="Content" ObjectID="_1791379987" r:id="rId10116"/>
        </w:object>
      </w:r>
      <w:r w:rsidRPr="00A62AA2">
        <w:rPr>
          <w:i/>
          <w:color w:val="222222"/>
          <w:sz w:val="23"/>
          <w:szCs w:val="23"/>
          <w:shd w:val="clear" w:color="auto" w:fill="FFFFFF"/>
        </w:rPr>
        <w:t xml:space="preserve"> </w:t>
      </w:r>
      <w:r w:rsidRPr="00A62AA2">
        <w:rPr>
          <w:rFonts w:hint="cs"/>
          <w:i/>
          <w:color w:val="222222"/>
          <w:sz w:val="23"/>
          <w:szCs w:val="23"/>
          <w:shd w:val="clear" w:color="auto" w:fill="FFFFFF"/>
          <w:rtl/>
        </w:rPr>
        <w:t xml:space="preserve">دارد. با افزایش جانشینی بین دارایی داخلی و خارجی، احتمال وقوع و تحقق این فرض بیشتر خواهد شد. اگر دارایی داخلی و خارجی جانشین کامل باشند، </w:t>
      </w:r>
      <w:r w:rsidRPr="00A62AA2">
        <w:rPr>
          <w:position w:val="-10"/>
        </w:rPr>
        <w:object w:dxaOrig="680" w:dyaOrig="260" w14:anchorId="79B15CD9">
          <v:shape id="_x0000_i6044" type="#_x0000_t75" style="width:33.9pt;height:13.3pt" o:ole="">
            <v:imagedata r:id="rId10117" o:title=""/>
          </v:shape>
          <o:OLEObject Type="Embed" ProgID="Equation.DSMT4" ShapeID="_x0000_i6044" DrawAspect="Content" ObjectID="_1791379988" r:id="rId10118"/>
        </w:object>
      </w:r>
      <w:r w:rsidRPr="00A62AA2">
        <w:rPr>
          <w:rFonts w:hint="cs"/>
          <w:i/>
          <w:color w:val="222222"/>
          <w:sz w:val="23"/>
          <w:szCs w:val="23"/>
          <w:shd w:val="clear" w:color="auto" w:fill="FFFFFF"/>
          <w:rtl/>
        </w:rPr>
        <w:t>، خط</w:t>
      </w:r>
      <w:r w:rsidRPr="00025957">
        <w:rPr>
          <w:position w:val="-4"/>
        </w:rPr>
        <w:object w:dxaOrig="400" w:dyaOrig="240" w14:anchorId="2443DE3B">
          <v:shape id="_x0000_i6045" type="#_x0000_t75" style="width:19.95pt;height:11.5pt" o:ole="">
            <v:imagedata r:id="rId10119" o:title=""/>
          </v:shape>
          <o:OLEObject Type="Embed" ProgID="Equation.DSMT4" ShapeID="_x0000_i6045" DrawAspect="Content" ObjectID="_1791379989" r:id="rId10120"/>
        </w:object>
      </w:r>
      <w:r w:rsidRPr="00A62AA2">
        <w:rPr>
          <w:rFonts w:hint="cs"/>
          <w:i/>
          <w:color w:val="222222"/>
          <w:sz w:val="23"/>
          <w:szCs w:val="23"/>
          <w:shd w:val="clear" w:color="auto" w:fill="FFFFFF"/>
          <w:rtl/>
        </w:rPr>
        <w:t xml:space="preserve"> افقی خواهد شد. در محل تقاطع این سه خط یعنی</w:t>
      </w:r>
      <w:r w:rsidRPr="00025957">
        <w:rPr>
          <w:position w:val="-4"/>
        </w:rPr>
        <w:object w:dxaOrig="240" w:dyaOrig="240" w14:anchorId="5AB13867">
          <v:shape id="_x0000_i6046" type="#_x0000_t75" style="width:11.5pt;height:11.5pt" o:ole="">
            <v:imagedata r:id="rId10121" o:title=""/>
          </v:shape>
          <o:OLEObject Type="Embed" ProgID="Equation.DSMT4" ShapeID="_x0000_i6046" DrawAspect="Content" ObjectID="_1791379990" r:id="rId10122"/>
        </w:object>
      </w:r>
      <w:r w:rsidRPr="00A62AA2">
        <w:rPr>
          <w:rFonts w:hint="cs"/>
          <w:i/>
          <w:color w:val="222222"/>
          <w:sz w:val="23"/>
          <w:szCs w:val="23"/>
          <w:shd w:val="clear" w:color="auto" w:fill="FFFFFF"/>
          <w:rtl/>
        </w:rPr>
        <w:t xml:space="preserve">، اقتصاد در تعادل است. در بالای </w:t>
      </w:r>
      <w:r w:rsidRPr="00025957">
        <w:rPr>
          <w:position w:val="-4"/>
        </w:rPr>
        <w:object w:dxaOrig="400" w:dyaOrig="240" w14:anchorId="5BCD9F62">
          <v:shape id="_x0000_i6047" type="#_x0000_t75" style="width:19.95pt;height:11.5pt" o:ole="">
            <v:imagedata r:id="rId10123" o:title=""/>
          </v:shape>
          <o:OLEObject Type="Embed" ProgID="Equation.DSMT4" ShapeID="_x0000_i6047" DrawAspect="Content" ObjectID="_1791379991" r:id="rId10124"/>
        </w:object>
      </w:r>
      <w:r w:rsidRPr="00A62AA2">
        <w:rPr>
          <w:rFonts w:hint="cs"/>
          <w:i/>
          <w:color w:val="222222"/>
          <w:sz w:val="23"/>
          <w:szCs w:val="23"/>
          <w:shd w:val="clear" w:color="auto" w:fill="FFFFFF"/>
          <w:rtl/>
        </w:rPr>
        <w:t xml:space="preserve"> کسری حساب جاری و خروج سرمایه وجود دارد و بنابراین</w:t>
      </w:r>
      <w:r w:rsidRPr="00A62AA2">
        <w:rPr>
          <w:position w:val="-8"/>
        </w:rPr>
        <w:object w:dxaOrig="639" w:dyaOrig="279" w14:anchorId="7A6855E1">
          <v:shape id="_x0000_i6048" type="#_x0000_t75" style="width:32.05pt;height:13.9pt" o:ole="">
            <v:imagedata r:id="rId10125" o:title=""/>
          </v:shape>
          <o:OLEObject Type="Embed" ProgID="Equation.DSMT4" ShapeID="_x0000_i6048" DrawAspect="Content" ObjectID="_1791379992" r:id="rId10126"/>
        </w:object>
      </w:r>
      <w:r w:rsidRPr="00A62AA2">
        <w:rPr>
          <w:rFonts w:hint="cs"/>
          <w:i/>
          <w:color w:val="222222"/>
          <w:sz w:val="23"/>
          <w:szCs w:val="23"/>
          <w:shd w:val="clear" w:color="auto" w:fill="FFFFFF"/>
          <w:rtl/>
        </w:rPr>
        <w:t>، و در زیر خط</w:t>
      </w:r>
      <w:r w:rsidRPr="00025957">
        <w:rPr>
          <w:position w:val="-4"/>
        </w:rPr>
        <w:object w:dxaOrig="400" w:dyaOrig="240" w14:anchorId="0FB38C6E">
          <v:shape id="_x0000_i6049" type="#_x0000_t75" style="width:19.95pt;height:11.5pt" o:ole="">
            <v:imagedata r:id="rId10127" o:title=""/>
          </v:shape>
          <o:OLEObject Type="Embed" ProgID="Equation.DSMT4" ShapeID="_x0000_i6049" DrawAspect="Content" ObjectID="_1791379993" r:id="rId10128"/>
        </w:object>
      </w:r>
      <w:r w:rsidRPr="00A62AA2">
        <w:rPr>
          <w:rFonts w:hint="cs"/>
          <w:i/>
          <w:color w:val="222222"/>
          <w:sz w:val="23"/>
          <w:szCs w:val="23"/>
          <w:shd w:val="clear" w:color="auto" w:fill="FFFFFF"/>
          <w:rtl/>
        </w:rPr>
        <w:t>، هنگامی که مازاد وجود دارد،</w:t>
      </w:r>
      <w:r w:rsidRPr="00A62AA2">
        <w:rPr>
          <w:position w:val="-8"/>
        </w:rPr>
        <w:object w:dxaOrig="639" w:dyaOrig="279" w14:anchorId="761F1CD1">
          <v:shape id="_x0000_i6050" type="#_x0000_t75" style="width:32.05pt;height:13.9pt" o:ole="">
            <v:imagedata r:id="rId10129" o:title=""/>
          </v:shape>
          <o:OLEObject Type="Embed" ProgID="Equation.DSMT4" ShapeID="_x0000_i6050" DrawAspect="Content" ObjectID="_1791379994" r:id="rId10130"/>
        </w:object>
      </w:r>
      <w:r w:rsidRPr="00A62AA2">
        <w:rPr>
          <w:rFonts w:hint="cs"/>
          <w:i/>
          <w:color w:val="222222"/>
          <w:sz w:val="23"/>
          <w:szCs w:val="23"/>
          <w:shd w:val="clear" w:color="auto" w:fill="FFFFFF"/>
          <w:rtl/>
        </w:rPr>
        <w:t xml:space="preserve"> خواهد بود. فلش‌های موجود در نمودار ۱۳. ۴ مسیر و جهت انتقال یک خط برای حفظ تعادل بخاطر افزایش متغیرهای متناظر با آن را نشان می‌دهد. </w:t>
      </w:r>
      <w:r w:rsidRPr="00A62AA2">
        <w:rPr>
          <w:rFonts w:hint="cs"/>
          <w:i/>
          <w:color w:val="222222"/>
          <w:sz w:val="23"/>
          <w:szCs w:val="23"/>
          <w:shd w:val="clear" w:color="auto" w:fill="FFFFFF"/>
          <w:rtl/>
        </w:rPr>
        <w:lastRenderedPageBreak/>
        <w:t>نمودار ۱۳. ۴ این امکان را فراهم می‌سازد تا اثرات انتقال متغیرهای برون‌زا را بررسی کنیم. همانند قبل، این روش بهترین تحلیل کوتاه‌مدت یا تعادل آنی و لحظه‌ای را نشان می</w:t>
      </w:r>
      <w:r w:rsidRPr="00A62AA2">
        <w:rPr>
          <w:rFonts w:hint="cs"/>
          <w:i/>
          <w:color w:val="222222"/>
          <w:sz w:val="23"/>
          <w:szCs w:val="23"/>
          <w:shd w:val="clear" w:color="auto" w:fill="FFFFFF"/>
          <w:rtl/>
        </w:rPr>
        <w:softHyphen/>
        <w:t>دهد.</w:t>
      </w:r>
    </w:p>
    <w:p w14:paraId="50135383"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اگر در انتقال سرمایه‌ی خصوصی کنترل وجود داشته باشد بگونه‌ای که ساکنین داخلی قادر نباشند تا دارایی‌های خارجی را ابتیاع و یا بفروش رسانند، آنگاه</w:t>
      </w:r>
      <w:r w:rsidRPr="00A62AA2">
        <w:rPr>
          <w:position w:val="-10"/>
        </w:rPr>
        <w:object w:dxaOrig="560" w:dyaOrig="300" w14:anchorId="22A17B5C">
          <v:shape id="_x0000_i6051" type="#_x0000_t75" style="width:27.85pt;height:14.5pt" o:ole="">
            <v:imagedata r:id="rId10131" o:title=""/>
          </v:shape>
          <o:OLEObject Type="Embed" ProgID="Equation.DSMT4" ShapeID="_x0000_i6051" DrawAspect="Content" ObjectID="_1791379995" r:id="rId10132"/>
        </w:object>
      </w:r>
      <w:r w:rsidRPr="00A62AA2">
        <w:rPr>
          <w:rFonts w:hint="cs"/>
          <w:i/>
          <w:color w:val="222222"/>
          <w:sz w:val="23"/>
          <w:szCs w:val="23"/>
          <w:shd w:val="clear" w:color="auto" w:fill="FFFFFF"/>
          <w:rtl/>
        </w:rPr>
        <w:t xml:space="preserve"> و خط</w:t>
      </w:r>
      <w:r w:rsidRPr="00025957">
        <w:rPr>
          <w:position w:val="-4"/>
        </w:rPr>
        <w:object w:dxaOrig="400" w:dyaOrig="240" w14:anchorId="28062E99">
          <v:shape id="_x0000_i6052" type="#_x0000_t75" style="width:19.95pt;height:11.5pt" o:ole="">
            <v:imagedata r:id="rId10133" o:title=""/>
          </v:shape>
          <o:OLEObject Type="Embed" ProgID="Equation.DSMT4" ShapeID="_x0000_i6052" DrawAspect="Content" ObjectID="_1791379996" r:id="rId10134"/>
        </w:object>
      </w:r>
      <w:r w:rsidRPr="00A62AA2">
        <w:rPr>
          <w:rFonts w:hint="cs"/>
          <w:i/>
          <w:color w:val="222222"/>
          <w:sz w:val="23"/>
          <w:szCs w:val="23"/>
          <w:shd w:val="clear" w:color="auto" w:fill="FFFFFF"/>
          <w:rtl/>
        </w:rPr>
        <w:t xml:space="preserve"> عمودی خواهد شد. در سمت چپ خط عمودی</w:t>
      </w:r>
      <w:r w:rsidRPr="00025957">
        <w:rPr>
          <w:position w:val="-4"/>
        </w:rPr>
        <w:object w:dxaOrig="400" w:dyaOrig="240" w14:anchorId="10366393">
          <v:shape id="_x0000_i6053" type="#_x0000_t75" style="width:19.95pt;height:11.5pt" o:ole="">
            <v:imagedata r:id="rId10135" o:title=""/>
          </v:shape>
          <o:OLEObject Type="Embed" ProgID="Equation.DSMT4" ShapeID="_x0000_i6053" DrawAspect="Content" ObjectID="_1791379997" r:id="rId10136"/>
        </w:object>
      </w:r>
      <w:r w:rsidRPr="00A62AA2">
        <w:rPr>
          <w:rFonts w:hint="cs"/>
          <w:i/>
          <w:color w:val="222222"/>
          <w:sz w:val="23"/>
          <w:szCs w:val="23"/>
          <w:shd w:val="clear" w:color="auto" w:fill="FFFFFF"/>
          <w:rtl/>
        </w:rPr>
        <w:t>،</w:t>
      </w:r>
      <w:r w:rsidRPr="00A62AA2">
        <w:rPr>
          <w:position w:val="-8"/>
        </w:rPr>
        <w:object w:dxaOrig="639" w:dyaOrig="279" w14:anchorId="1196B687">
          <v:shape id="_x0000_i6054" type="#_x0000_t75" style="width:32.05pt;height:13.9pt" o:ole="">
            <v:imagedata r:id="rId10137" o:title=""/>
          </v:shape>
          <o:OLEObject Type="Embed" ProgID="Equation.DSMT4" ShapeID="_x0000_i6054" DrawAspect="Content" ObjectID="_1791379998" r:id="rId10138"/>
        </w:object>
      </w:r>
      <w:r w:rsidRPr="00A62AA2">
        <w:rPr>
          <w:rFonts w:hint="cs"/>
          <w:i/>
          <w:color w:val="222222"/>
          <w:sz w:val="23"/>
          <w:szCs w:val="23"/>
          <w:shd w:val="clear" w:color="auto" w:fill="FFFFFF"/>
          <w:rtl/>
        </w:rPr>
        <w:t xml:space="preserve"> و در سمت راست آن</w:t>
      </w:r>
      <w:r w:rsidRPr="00A62AA2">
        <w:rPr>
          <w:position w:val="-8"/>
        </w:rPr>
        <w:object w:dxaOrig="639" w:dyaOrig="279" w14:anchorId="5DE50E64">
          <v:shape id="_x0000_i6055" type="#_x0000_t75" style="width:32.05pt;height:13.9pt" o:ole="">
            <v:imagedata r:id="rId10139" o:title=""/>
          </v:shape>
          <o:OLEObject Type="Embed" ProgID="Equation.DSMT4" ShapeID="_x0000_i6055" DrawAspect="Content" ObjectID="_1791379999" r:id="rId10140"/>
        </w:object>
      </w:r>
      <w:r w:rsidRPr="00A62AA2">
        <w:rPr>
          <w:rFonts w:hint="cs"/>
          <w:i/>
          <w:color w:val="222222"/>
          <w:sz w:val="23"/>
          <w:szCs w:val="23"/>
          <w:shd w:val="clear" w:color="auto" w:fill="FFFFFF"/>
          <w:rtl/>
        </w:rPr>
        <w:t xml:space="preserve"> است. به دلیل کنترل سرمایه، تغییر در خالص دارایی خارجی فقط شامل تغییر در ذخایر خارجی دولت است. این ذخایر که با</w:t>
      </w:r>
      <w:r w:rsidRPr="00A62AA2">
        <w:rPr>
          <w:position w:val="-6"/>
        </w:rPr>
        <w:object w:dxaOrig="200" w:dyaOrig="260" w14:anchorId="3765F8C2">
          <v:shape id="_x0000_i6056" type="#_x0000_t75" style="width:10.3pt;height:13.3pt" o:ole="">
            <v:imagedata r:id="rId10141" o:title=""/>
          </v:shape>
          <o:OLEObject Type="Embed" ProgID="Equation.DSMT4" ShapeID="_x0000_i6056" DrawAspect="Content" ObjectID="_1791380000" r:id="rId10142"/>
        </w:object>
      </w:r>
      <w:r w:rsidRPr="00A62AA2">
        <w:rPr>
          <w:i/>
          <w:color w:val="222222"/>
          <w:sz w:val="23"/>
          <w:szCs w:val="23"/>
          <w:shd w:val="clear" w:color="auto" w:fill="FFFFFF"/>
        </w:rPr>
        <w:t xml:space="preserve"> </w:t>
      </w:r>
      <w:r w:rsidRPr="00A62AA2">
        <w:rPr>
          <w:rFonts w:hint="cs"/>
          <w:i/>
          <w:color w:val="222222"/>
          <w:sz w:val="23"/>
          <w:szCs w:val="23"/>
          <w:shd w:val="clear" w:color="auto" w:fill="FFFFFF"/>
          <w:rtl/>
        </w:rPr>
        <w:t>نشان داده می‌شود بخشی از عرضه‌ی پول داخلی را بوجود می‌آورد. در این صورت کل عرضه‌ی پول برابر است با</w:t>
      </w:r>
    </w:p>
    <w:p w14:paraId="1077AA13" w14:textId="77777777" w:rsidR="00556C10" w:rsidRPr="00A62AA2" w:rsidRDefault="00556C10" w:rsidP="00556C10">
      <w:pPr>
        <w:bidi w:val="0"/>
        <w:spacing w:line="216" w:lineRule="auto"/>
        <w:rPr>
          <w:i/>
          <w:color w:val="222222"/>
          <w:sz w:val="23"/>
          <w:szCs w:val="23"/>
          <w:shd w:val="clear" w:color="auto" w:fill="FFFFFF"/>
          <w:rtl/>
        </w:rPr>
      </w:pPr>
      <w:r w:rsidRPr="00A62AA2">
        <w:rPr>
          <w:position w:val="-6"/>
        </w:rPr>
        <w:object w:dxaOrig="940" w:dyaOrig="260" w14:anchorId="5E04E991">
          <v:shape id="_x0000_i6057" type="#_x0000_t75" style="width:47.2pt;height:13.3pt" o:ole="">
            <v:imagedata r:id="rId10143" o:title=""/>
          </v:shape>
          <o:OLEObject Type="Embed" ProgID="Equation.DSMT4" ShapeID="_x0000_i6057" DrawAspect="Content" ObjectID="_1791380001" r:id="rId10144"/>
        </w:object>
      </w:r>
    </w:p>
    <w:p w14:paraId="59C45A71"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که در آن</w:t>
      </w:r>
      <w:r w:rsidRPr="00A62AA2">
        <w:rPr>
          <w:position w:val="-6"/>
        </w:rPr>
        <w:object w:dxaOrig="200" w:dyaOrig="260" w14:anchorId="7D813743">
          <v:shape id="_x0000_i6058" type="#_x0000_t75" style="width:10.3pt;height:13.3pt" o:ole="">
            <v:imagedata r:id="rId10145" o:title=""/>
          </v:shape>
          <o:OLEObject Type="Embed" ProgID="Equation.DSMT4" ShapeID="_x0000_i6058" DrawAspect="Content" ObjectID="_1791380002" r:id="rId10146"/>
        </w:object>
      </w:r>
      <w:r w:rsidRPr="00A62AA2">
        <w:rPr>
          <w:rFonts w:hint="cs"/>
          <w:i/>
          <w:color w:val="222222"/>
          <w:sz w:val="23"/>
          <w:szCs w:val="23"/>
          <w:shd w:val="clear" w:color="auto" w:fill="FFFFFF"/>
          <w:rtl/>
        </w:rPr>
        <w:t xml:space="preserve"> اجزاء داخلی عرضه‌ی پول است. اگر</w:t>
      </w:r>
      <w:r w:rsidRPr="00A62AA2">
        <w:rPr>
          <w:position w:val="-6"/>
        </w:rPr>
        <w:object w:dxaOrig="200" w:dyaOrig="260" w14:anchorId="61321281">
          <v:shape id="_x0000_i6059" type="#_x0000_t75" style="width:10.3pt;height:13.3pt" o:ole="">
            <v:imagedata r:id="rId10147" o:title=""/>
          </v:shape>
          <o:OLEObject Type="Embed" ProgID="Equation.DSMT4" ShapeID="_x0000_i6059" DrawAspect="Content" ObjectID="_1791380003" r:id="rId10148"/>
        </w:object>
      </w:r>
      <w:r w:rsidRPr="00A62AA2">
        <w:rPr>
          <w:rFonts w:hint="cs"/>
          <w:i/>
          <w:color w:val="222222"/>
          <w:sz w:val="23"/>
          <w:szCs w:val="23"/>
          <w:shd w:val="clear" w:color="auto" w:fill="FFFFFF"/>
          <w:rtl/>
        </w:rPr>
        <w:t xml:space="preserve"> ثابت باشد آنگاه </w:t>
      </w:r>
    </w:p>
    <w:p w14:paraId="5CCE7C16" w14:textId="77777777" w:rsidR="00556C10" w:rsidRPr="00A62AA2" w:rsidRDefault="00556C10" w:rsidP="00556C10">
      <w:pPr>
        <w:bidi w:val="0"/>
        <w:spacing w:line="216" w:lineRule="auto"/>
        <w:rPr>
          <w:i/>
          <w:color w:val="222222"/>
          <w:sz w:val="23"/>
          <w:szCs w:val="23"/>
          <w:shd w:val="clear" w:color="auto" w:fill="FFFFFF"/>
          <w:rtl/>
        </w:rPr>
      </w:pPr>
      <w:r w:rsidRPr="00A62AA2">
        <w:rPr>
          <w:position w:val="-8"/>
        </w:rPr>
        <w:object w:dxaOrig="1340" w:dyaOrig="279" w14:anchorId="58FCC0CB">
          <v:shape id="_x0000_i6060" type="#_x0000_t75" style="width:67.15pt;height:13.9pt" o:ole="">
            <v:imagedata r:id="rId10149" o:title=""/>
          </v:shape>
          <o:OLEObject Type="Embed" ProgID="Equation.DSMT4" ShapeID="_x0000_i6060" DrawAspect="Content" ObjectID="_1791380004" r:id="rId10150"/>
        </w:object>
      </w:r>
      <w:r w:rsidRPr="00A62AA2">
        <w:rPr>
          <w:i/>
          <w:color w:val="222222"/>
          <w:sz w:val="23"/>
          <w:szCs w:val="23"/>
          <w:shd w:val="clear" w:color="auto" w:fill="FFFFFF"/>
        </w:rPr>
        <w:tab/>
      </w:r>
      <w:r w:rsidRPr="00A62AA2">
        <w:rPr>
          <w:i/>
          <w:color w:val="222222"/>
          <w:sz w:val="23"/>
          <w:szCs w:val="23"/>
          <w:shd w:val="clear" w:color="auto" w:fill="FFFFFF"/>
        </w:rPr>
        <w:tab/>
      </w:r>
      <w:r w:rsidRPr="00A62AA2">
        <w:rPr>
          <w:rFonts w:hint="cs"/>
          <w:i/>
          <w:color w:val="222222"/>
          <w:sz w:val="23"/>
          <w:szCs w:val="23"/>
          <w:shd w:val="clear" w:color="auto" w:fill="FFFFFF"/>
          <w:rtl/>
        </w:rPr>
        <w:tab/>
      </w:r>
      <w:r w:rsidRPr="00A62AA2">
        <w:rPr>
          <w:i/>
          <w:color w:val="222222"/>
          <w:sz w:val="23"/>
          <w:szCs w:val="23"/>
          <w:shd w:val="clear" w:color="auto" w:fill="FFFFFF"/>
        </w:rPr>
        <w:tab/>
      </w:r>
      <w:r w:rsidRPr="00A62AA2">
        <w:rPr>
          <w:rFonts w:hint="cs"/>
          <w:i/>
          <w:color w:val="222222"/>
          <w:sz w:val="23"/>
          <w:szCs w:val="23"/>
          <w:shd w:val="clear" w:color="auto" w:fill="FFFFFF"/>
          <w:rtl/>
        </w:rPr>
        <w:tab/>
      </w:r>
      <w:r w:rsidRPr="00A62AA2">
        <w:rPr>
          <w:i/>
          <w:color w:val="222222"/>
          <w:sz w:val="23"/>
          <w:szCs w:val="23"/>
          <w:shd w:val="clear" w:color="auto" w:fill="FFFFFF"/>
        </w:rPr>
        <w:tab/>
      </w:r>
      <w:r w:rsidRPr="00A62AA2">
        <w:rPr>
          <w:i/>
          <w:color w:val="222222"/>
          <w:sz w:val="23"/>
          <w:szCs w:val="23"/>
          <w:shd w:val="clear" w:color="auto" w:fill="FFFFFF"/>
        </w:rPr>
        <w:tab/>
      </w:r>
      <w:r w:rsidRPr="00A62AA2">
        <w:rPr>
          <w:i/>
          <w:color w:val="222222"/>
          <w:sz w:val="23"/>
          <w:szCs w:val="23"/>
          <w:shd w:val="clear" w:color="auto" w:fill="FFFFFF"/>
        </w:rPr>
        <w:tab/>
      </w:r>
      <w:r w:rsidRPr="00A62AA2">
        <w:rPr>
          <w:i/>
          <w:color w:val="222222"/>
          <w:sz w:val="23"/>
          <w:szCs w:val="23"/>
          <w:shd w:val="clear" w:color="auto" w:fill="FFFFFF"/>
        </w:rPr>
        <w:tab/>
      </w:r>
      <w:r w:rsidRPr="00A62AA2">
        <w:rPr>
          <w:i/>
          <w:color w:val="222222"/>
          <w:sz w:val="23"/>
          <w:szCs w:val="23"/>
          <w:shd w:val="clear" w:color="auto" w:fill="FFFFFF"/>
        </w:rPr>
        <w:tab/>
      </w:r>
      <w:r w:rsidRPr="00A62AA2">
        <w:rPr>
          <w:i/>
          <w:color w:val="222222"/>
          <w:sz w:val="23"/>
          <w:szCs w:val="23"/>
          <w:shd w:val="clear" w:color="auto" w:fill="FFFFFF"/>
        </w:rPr>
        <w:tab/>
      </w:r>
      <w:r>
        <w:rPr>
          <w:i/>
          <w:color w:val="222222"/>
          <w:sz w:val="23"/>
          <w:szCs w:val="23"/>
          <w:shd w:val="clear" w:color="auto" w:fill="FFFFFF"/>
          <w:rtl/>
        </w:rPr>
        <w:tab/>
      </w:r>
      <w:r w:rsidRPr="00A62AA2">
        <w:rPr>
          <w:i/>
          <w:color w:val="222222"/>
          <w:sz w:val="23"/>
          <w:szCs w:val="23"/>
          <w:shd w:val="clear" w:color="auto" w:fill="FFFFFF"/>
        </w:rPr>
        <w:tab/>
      </w:r>
      <w:r w:rsidRPr="00A62AA2">
        <w:rPr>
          <w:i/>
          <w:color w:val="222222"/>
          <w:sz w:val="23"/>
          <w:szCs w:val="23"/>
          <w:shd w:val="clear" w:color="auto" w:fill="FFFFFF"/>
        </w:rPr>
        <w:tab/>
      </w:r>
      <w:r w:rsidRPr="00A62AA2">
        <w:rPr>
          <w:i/>
          <w:color w:val="222222"/>
          <w:sz w:val="23"/>
          <w:szCs w:val="23"/>
          <w:shd w:val="clear" w:color="auto" w:fill="FFFFFF"/>
        </w:rPr>
        <w:tab/>
      </w:r>
      <w:r w:rsidRPr="00A62AA2">
        <w:rPr>
          <w:i/>
          <w:color w:val="222222"/>
          <w:sz w:val="23"/>
          <w:szCs w:val="23"/>
          <w:shd w:val="clear" w:color="auto" w:fill="FFFFFF"/>
          <w:rtl/>
        </w:rPr>
        <w:tab/>
      </w:r>
      <w:r w:rsidRPr="00A62AA2">
        <w:rPr>
          <w:i/>
          <w:color w:val="222222"/>
          <w:sz w:val="23"/>
          <w:szCs w:val="23"/>
          <w:shd w:val="clear" w:color="auto" w:fill="FFFFFF"/>
        </w:rPr>
        <w:tab/>
      </w:r>
      <w:r w:rsidRPr="00A62AA2">
        <w:rPr>
          <w:rFonts w:hint="cs"/>
          <w:i/>
          <w:color w:val="222222"/>
          <w:sz w:val="23"/>
          <w:szCs w:val="23"/>
          <w:shd w:val="clear" w:color="auto" w:fill="FFFFFF"/>
          <w:rtl/>
        </w:rPr>
        <w:t>(۱۳. ۹)</w:t>
      </w:r>
    </w:p>
    <w:p w14:paraId="787B4C6D"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بنابراین مازاد حساب جاری باعث افزایش عرضه‌ی پول و کسری آن باعث کاهش عرضه‌ی پول خواهد شد. در بالای خط</w:t>
      </w:r>
      <w:r w:rsidRPr="00025957">
        <w:rPr>
          <w:position w:val="-4"/>
        </w:rPr>
        <w:object w:dxaOrig="400" w:dyaOrig="240" w14:anchorId="737D1518">
          <v:shape id="_x0000_i6061" type="#_x0000_t75" style="width:19.95pt;height:11.5pt" o:ole="">
            <v:imagedata r:id="rId10151" o:title=""/>
          </v:shape>
          <o:OLEObject Type="Embed" ProgID="Equation.DSMT4" ShapeID="_x0000_i6061" DrawAspect="Content" ObjectID="_1791380005" r:id="rId10152"/>
        </w:object>
      </w:r>
      <w:r w:rsidRPr="00A62AA2">
        <w:rPr>
          <w:rFonts w:hint="cs"/>
          <w:i/>
          <w:color w:val="222222"/>
          <w:sz w:val="23"/>
          <w:szCs w:val="23"/>
          <w:shd w:val="clear" w:color="auto" w:fill="FFFFFF"/>
          <w:rtl/>
        </w:rPr>
        <w:t xml:space="preserve"> کسری حساب جاری وجود دارد و لذا </w:t>
      </w:r>
      <w:r w:rsidRPr="00A62AA2">
        <w:rPr>
          <w:position w:val="-8"/>
        </w:rPr>
        <w:object w:dxaOrig="1180" w:dyaOrig="279" w14:anchorId="209F2265">
          <v:shape id="_x0000_i6062" type="#_x0000_t75" style="width:58.7pt;height:13.9pt" o:ole="">
            <v:imagedata r:id="rId10153" o:title=""/>
          </v:shape>
          <o:OLEObject Type="Embed" ProgID="Equation.DSMT4" ShapeID="_x0000_i6062" DrawAspect="Content" ObjectID="_1791380006" r:id="rId10154"/>
        </w:object>
      </w:r>
      <w:r w:rsidRPr="00A62AA2">
        <w:rPr>
          <w:rFonts w:hint="cs"/>
          <w:i/>
          <w:color w:val="222222"/>
          <w:sz w:val="23"/>
          <w:szCs w:val="23"/>
          <w:shd w:val="clear" w:color="auto" w:fill="FFFFFF"/>
          <w:rtl/>
        </w:rPr>
        <w:t>، و در زیر آن، هنگامی که مازاد وجود دارد، خواهیم داشت</w:t>
      </w:r>
      <w:r w:rsidRPr="00A62AA2">
        <w:rPr>
          <w:position w:val="-8"/>
        </w:rPr>
        <w:object w:dxaOrig="1180" w:dyaOrig="279" w14:anchorId="13F74D18">
          <v:shape id="_x0000_i6063" type="#_x0000_t75" style="width:58.7pt;height:13.9pt" o:ole="">
            <v:imagedata r:id="rId10155" o:title=""/>
          </v:shape>
          <o:OLEObject Type="Embed" ProgID="Equation.DSMT4" ShapeID="_x0000_i6063" DrawAspect="Content" ObjectID="_1791380007" r:id="rId10156"/>
        </w:object>
      </w:r>
      <w:r w:rsidRPr="00A62AA2">
        <w:rPr>
          <w:i/>
          <w:color w:val="222222"/>
          <w:sz w:val="23"/>
          <w:szCs w:val="23"/>
          <w:shd w:val="clear" w:color="auto" w:fill="FFFFFF"/>
        </w:rPr>
        <w:t>.</w:t>
      </w:r>
      <w:r w:rsidRPr="00A62AA2">
        <w:rPr>
          <w:rFonts w:hint="cs"/>
          <w:i/>
          <w:color w:val="222222"/>
          <w:sz w:val="23"/>
          <w:szCs w:val="23"/>
          <w:shd w:val="clear" w:color="auto" w:fill="FFFFFF"/>
          <w:rtl/>
        </w:rPr>
        <w:t xml:space="preserve"> این نکات را در نمودار ۱۳. ۴ می‌توان ملاحظه کرد. برای نقاط خارج از خط</w:t>
      </w:r>
      <w:r w:rsidRPr="00025957">
        <w:rPr>
          <w:position w:val="-4"/>
        </w:rPr>
        <w:object w:dxaOrig="400" w:dyaOrig="240" w14:anchorId="11554160">
          <v:shape id="_x0000_i6064" type="#_x0000_t75" style="width:19.95pt;height:11.5pt" o:ole="">
            <v:imagedata r:id="rId10157" o:title=""/>
          </v:shape>
          <o:OLEObject Type="Embed" ProgID="Equation.DSMT4" ShapeID="_x0000_i6064" DrawAspect="Content" ObjectID="_1791380008" r:id="rId10158"/>
        </w:object>
      </w:r>
      <w:r w:rsidRPr="00A62AA2">
        <w:rPr>
          <w:rFonts w:hint="cs"/>
          <w:i/>
          <w:color w:val="222222"/>
          <w:sz w:val="23"/>
          <w:szCs w:val="23"/>
          <w:shd w:val="clear" w:color="auto" w:fill="FFFFFF"/>
          <w:rtl/>
        </w:rPr>
        <w:t xml:space="preserve"> عرضه پول تغییر کرده و لذا خط</w:t>
      </w:r>
      <w:r w:rsidRPr="00025957">
        <w:rPr>
          <w:position w:val="-4"/>
        </w:rPr>
        <w:object w:dxaOrig="440" w:dyaOrig="240" w14:anchorId="0EB9C76F">
          <v:shape id="_x0000_i6065" type="#_x0000_t75" style="width:21.8pt;height:11.5pt" o:ole="">
            <v:imagedata r:id="rId10159" o:title=""/>
          </v:shape>
          <o:OLEObject Type="Embed" ProgID="Equation.DSMT4" ShapeID="_x0000_i6065" DrawAspect="Content" ObjectID="_1791380009" r:id="rId10160"/>
        </w:object>
      </w:r>
      <w:r w:rsidRPr="00A62AA2">
        <w:rPr>
          <w:i/>
          <w:color w:val="222222"/>
          <w:sz w:val="23"/>
          <w:szCs w:val="23"/>
          <w:shd w:val="clear" w:color="auto" w:fill="FFFFFF"/>
        </w:rPr>
        <w:t xml:space="preserve"> </w:t>
      </w:r>
      <w:r w:rsidRPr="00A62AA2">
        <w:rPr>
          <w:rFonts w:hint="cs"/>
          <w:i/>
          <w:color w:val="222222"/>
          <w:sz w:val="23"/>
          <w:szCs w:val="23"/>
          <w:shd w:val="clear" w:color="auto" w:fill="FFFFFF"/>
          <w:rtl/>
        </w:rPr>
        <w:t>منتقل خواهد شد</w:t>
      </w:r>
      <w:r w:rsidRPr="00A62AA2">
        <w:rPr>
          <w:i/>
          <w:color w:val="222222"/>
          <w:sz w:val="23"/>
          <w:szCs w:val="23"/>
          <w:shd w:val="clear" w:color="auto" w:fill="FFFFFF"/>
        </w:rPr>
        <w:t>.</w:t>
      </w:r>
      <w:r w:rsidRPr="00A62AA2">
        <w:rPr>
          <w:rFonts w:hint="cs"/>
          <w:i/>
          <w:color w:val="222222"/>
          <w:sz w:val="23"/>
          <w:szCs w:val="23"/>
          <w:shd w:val="clear" w:color="auto" w:fill="FFFFFF"/>
          <w:rtl/>
        </w:rPr>
        <w:t xml:space="preserve"> تعادل مستلزم آن است که اقتصاد بر روی خط</w:t>
      </w:r>
      <w:r w:rsidRPr="00025957">
        <w:rPr>
          <w:position w:val="-4"/>
        </w:rPr>
        <w:object w:dxaOrig="400" w:dyaOrig="240" w14:anchorId="0824B2B6">
          <v:shape id="_x0000_i6066" type="#_x0000_t75" style="width:19.95pt;height:11.5pt" o:ole="">
            <v:imagedata r:id="rId10161" o:title=""/>
          </v:shape>
          <o:OLEObject Type="Embed" ProgID="Equation.DSMT4" ShapeID="_x0000_i6066" DrawAspect="Content" ObjectID="_1791380010" r:id="rId10162"/>
        </w:object>
      </w:r>
      <w:r w:rsidRPr="00A62AA2">
        <w:rPr>
          <w:rFonts w:hint="cs"/>
          <w:i/>
          <w:color w:val="222222"/>
          <w:sz w:val="23"/>
          <w:szCs w:val="23"/>
          <w:shd w:val="clear" w:color="auto" w:fill="FFFFFF"/>
          <w:rtl/>
        </w:rPr>
        <w:t xml:space="preserve"> و همچنین خطوط</w:t>
      </w:r>
      <w:r w:rsidRPr="00A62AA2">
        <w:rPr>
          <w:position w:val="-6"/>
        </w:rPr>
        <w:object w:dxaOrig="320" w:dyaOrig="260" w14:anchorId="02E8AB3D">
          <v:shape id="_x0000_i6067" type="#_x0000_t75" style="width:15.75pt;height:13.3pt" o:ole="">
            <v:imagedata r:id="rId10163" o:title=""/>
          </v:shape>
          <o:OLEObject Type="Embed" ProgID="Equation.DSMT4" ShapeID="_x0000_i6067" DrawAspect="Content" ObjectID="_1791380011" r:id="rId10164"/>
        </w:object>
      </w:r>
      <w:r w:rsidRPr="00A62AA2">
        <w:rPr>
          <w:rFonts w:hint="cs"/>
          <w:i/>
          <w:color w:val="222222"/>
          <w:sz w:val="23"/>
          <w:szCs w:val="23"/>
          <w:shd w:val="clear" w:color="auto" w:fill="FFFFFF"/>
          <w:rtl/>
        </w:rPr>
        <w:t xml:space="preserve"> و</w:t>
      </w:r>
      <w:r w:rsidRPr="00025957">
        <w:rPr>
          <w:position w:val="-4"/>
        </w:rPr>
        <w:object w:dxaOrig="440" w:dyaOrig="240" w14:anchorId="32FE02B3">
          <v:shape id="_x0000_i6068" type="#_x0000_t75" style="width:21.8pt;height:11.5pt" o:ole="">
            <v:imagedata r:id="rId10165" o:title=""/>
          </v:shape>
          <o:OLEObject Type="Embed" ProgID="Equation.DSMT4" ShapeID="_x0000_i6068" DrawAspect="Content" ObjectID="_1791380012" r:id="rId10166"/>
        </w:object>
      </w:r>
      <w:r w:rsidRPr="00A62AA2">
        <w:rPr>
          <w:rFonts w:hint="cs"/>
          <w:i/>
          <w:color w:val="222222"/>
          <w:sz w:val="23"/>
          <w:szCs w:val="23"/>
          <w:shd w:val="clear" w:color="auto" w:fill="FFFFFF"/>
          <w:rtl/>
        </w:rPr>
        <w:t xml:space="preserve"> قرار گیرد و خط</w:t>
      </w:r>
      <w:r w:rsidRPr="00025957">
        <w:rPr>
          <w:position w:val="-4"/>
        </w:rPr>
        <w:object w:dxaOrig="440" w:dyaOrig="240" w14:anchorId="55BA6811">
          <v:shape id="_x0000_i6069" type="#_x0000_t75" style="width:21.8pt;height:11.5pt" o:ole="">
            <v:imagedata r:id="rId10167" o:title=""/>
          </v:shape>
          <o:OLEObject Type="Embed" ProgID="Equation.DSMT4" ShapeID="_x0000_i6069" DrawAspect="Content" ObjectID="_1791380013" r:id="rId10168"/>
        </w:object>
      </w:r>
      <w:r w:rsidRPr="00A62AA2">
        <w:rPr>
          <w:rFonts w:hint="cs"/>
          <w:i/>
          <w:color w:val="222222"/>
          <w:sz w:val="23"/>
          <w:szCs w:val="23"/>
          <w:shd w:val="clear" w:color="auto" w:fill="FFFFFF"/>
          <w:rtl/>
        </w:rPr>
        <w:t xml:space="preserve"> ثابت باشد. </w:t>
      </w:r>
    </w:p>
    <w:p w14:paraId="2D2FFC24"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مدل</w:t>
      </w:r>
      <w:r w:rsidRPr="00A62AA2">
        <w:rPr>
          <w:i/>
          <w:color w:val="222222"/>
          <w:sz w:val="23"/>
          <w:szCs w:val="23"/>
          <w:shd w:val="clear" w:color="auto" w:fill="FFFFFF"/>
        </w:rPr>
        <w:t xml:space="preserve"> </w:t>
      </w:r>
      <w:r w:rsidRPr="00A62AA2">
        <w:rPr>
          <w:position w:val="-6"/>
        </w:rPr>
        <w:object w:dxaOrig="1400" w:dyaOrig="260" w14:anchorId="6B373940">
          <v:shape id="_x0000_i6070" type="#_x0000_t75" style="width:70.2pt;height:13.3pt" o:ole="">
            <v:imagedata r:id="rId10169" o:title=""/>
          </v:shape>
          <o:OLEObject Type="Embed" ProgID="Equation.DSMT4" ShapeID="_x0000_i6070" DrawAspect="Content" ObjectID="_1791380014" r:id="rId10170"/>
        </w:object>
      </w:r>
      <w:r w:rsidRPr="00A62AA2">
        <w:rPr>
          <w:i/>
          <w:color w:val="222222"/>
          <w:sz w:val="23"/>
          <w:szCs w:val="23"/>
          <w:shd w:val="clear" w:color="auto" w:fill="FFFFFF"/>
        </w:rPr>
        <w:t xml:space="preserve"> </w:t>
      </w:r>
      <w:r w:rsidRPr="00A62AA2">
        <w:rPr>
          <w:rFonts w:hint="cs"/>
          <w:i/>
          <w:color w:val="222222"/>
          <w:sz w:val="23"/>
          <w:szCs w:val="23"/>
          <w:shd w:val="clear" w:color="auto" w:fill="FFFFFF"/>
          <w:rtl/>
        </w:rPr>
        <w:t xml:space="preserve">را با برخی تغییرات می‌توان برای سیستم نرخ ارز ثابت برتن وودز و همچنین برخی مدل‌های مبتنی بر نرخ ارز شناور مورد استفاده قرار داد. در سیستم برتن وودز نرخ </w:t>
      </w:r>
    </w:p>
    <w:p w14:paraId="24E8C560" w14:textId="77777777" w:rsidR="00556C10" w:rsidRPr="00A62AA2" w:rsidRDefault="00556C10" w:rsidP="00556C10">
      <w:pPr>
        <w:spacing w:line="216" w:lineRule="auto"/>
        <w:jc w:val="center"/>
        <w:rPr>
          <w:i/>
          <w:color w:val="222222"/>
          <w:sz w:val="23"/>
          <w:szCs w:val="23"/>
          <w:shd w:val="clear" w:color="auto" w:fill="FFFFFF"/>
          <w:rtl/>
        </w:rPr>
      </w:pPr>
      <w:r w:rsidRPr="00A62AA2">
        <w:rPr>
          <w:rFonts w:hint="cs"/>
          <w:i/>
          <w:color w:val="222222"/>
          <w:sz w:val="23"/>
          <w:szCs w:val="23"/>
          <w:shd w:val="clear" w:color="auto" w:fill="FFFFFF"/>
          <w:rtl/>
        </w:rPr>
        <w:t xml:space="preserve">نمودار ۱۳. ۴ : مدل </w:t>
      </w:r>
      <w:r w:rsidRPr="00A62AA2">
        <w:rPr>
          <w:position w:val="-6"/>
        </w:rPr>
        <w:object w:dxaOrig="1400" w:dyaOrig="260" w14:anchorId="409C4DBA">
          <v:shape id="_x0000_i6071" type="#_x0000_t75" style="width:70.2pt;height:13.3pt" o:ole="">
            <v:imagedata r:id="rId10171" o:title=""/>
          </v:shape>
          <o:OLEObject Type="Embed" ProgID="Equation.DSMT4" ShapeID="_x0000_i6071" DrawAspect="Content" ObjectID="_1791380015" r:id="rId10172"/>
        </w:object>
      </w:r>
    </w:p>
    <w:p w14:paraId="10E8B49E" w14:textId="77777777" w:rsidR="00556C10" w:rsidRPr="00A62AA2" w:rsidRDefault="00556C10" w:rsidP="00556C10">
      <w:pPr>
        <w:spacing w:line="216" w:lineRule="auto"/>
        <w:jc w:val="center"/>
        <w:rPr>
          <w:i/>
          <w:color w:val="222222"/>
          <w:sz w:val="23"/>
          <w:szCs w:val="23"/>
          <w:shd w:val="clear" w:color="auto" w:fill="FFFFFF"/>
          <w:rtl/>
        </w:rPr>
      </w:pPr>
      <w:r w:rsidRPr="00A62AA2">
        <w:rPr>
          <w:i/>
          <w:noProof/>
          <w:sz w:val="23"/>
          <w:szCs w:val="23"/>
          <w:u w:val="single"/>
          <w:lang w:bidi="ar-SA"/>
        </w:rPr>
        <w:drawing>
          <wp:inline distT="0" distB="0" distL="0" distR="0" wp14:anchorId="0A583375" wp14:editId="74BAD230">
            <wp:extent cx="3656897" cy="2216641"/>
            <wp:effectExtent l="38100" t="38100" r="39370" b="317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173" cstate="print">
                      <a:extLst>
                        <a:ext uri="{BEBA8EAE-BF5A-486C-A8C5-ECC9F3942E4B}">
                          <a14:imgProps xmlns:a14="http://schemas.microsoft.com/office/drawing/2010/main">
                            <a14:imgLayer r:embed="rId1017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661974" cy="2219719"/>
                    </a:xfrm>
                    <a:prstGeom prst="rect">
                      <a:avLst/>
                    </a:prstGeom>
                    <a:ln w="28575">
                      <a:solidFill>
                        <a:schemeClr val="tx1"/>
                      </a:solidFill>
                    </a:ln>
                  </pic:spPr>
                </pic:pic>
              </a:graphicData>
            </a:graphic>
          </wp:inline>
        </w:drawing>
      </w:r>
    </w:p>
    <w:p w14:paraId="4A65C27A" w14:textId="77777777" w:rsidR="00556C10" w:rsidRDefault="00556C10" w:rsidP="00556C10">
      <w:pPr>
        <w:pStyle w:val="Heading1"/>
        <w:spacing w:before="0" w:line="216" w:lineRule="auto"/>
        <w:rPr>
          <w:rFonts w:ascii="Times New Roman" w:hAnsi="Times New Roman" w:cs="B Nazanin"/>
          <w:b w:val="0"/>
          <w:i/>
          <w:sz w:val="23"/>
          <w:szCs w:val="23"/>
          <w:shd w:val="clear" w:color="auto" w:fill="FFFFFF"/>
          <w:rtl/>
        </w:rPr>
      </w:pPr>
    </w:p>
    <w:p w14:paraId="3CE29B30" w14:textId="77777777" w:rsidR="00556C10" w:rsidRDefault="00556C10" w:rsidP="00556C10">
      <w:pPr>
        <w:rPr>
          <w:i/>
          <w:sz w:val="23"/>
          <w:szCs w:val="23"/>
          <w:shd w:val="clear" w:color="auto" w:fill="FFFFFF"/>
          <w:rtl/>
        </w:rPr>
      </w:pPr>
      <w:r w:rsidRPr="00A62AA2">
        <w:rPr>
          <w:rFonts w:hint="cs"/>
          <w:i/>
          <w:color w:val="222222"/>
          <w:sz w:val="23"/>
          <w:szCs w:val="23"/>
          <w:shd w:val="clear" w:color="auto" w:fill="FFFFFF"/>
          <w:rtl/>
        </w:rPr>
        <w:t>ارز ثابت بود و تحرک سرمایه وجود نداشت. آنگاه حساب سرمایه</w:t>
      </w:r>
      <w:r w:rsidRPr="00A62AA2">
        <w:rPr>
          <w:rFonts w:hint="cs"/>
          <w:i/>
          <w:color w:val="222222"/>
          <w:sz w:val="23"/>
          <w:szCs w:val="23"/>
          <w:shd w:val="clear" w:color="auto" w:fill="FFFFFF"/>
          <w:rtl/>
        </w:rPr>
        <w:softHyphen/>
        <w:t>ی ترازپرداخت</w:t>
      </w:r>
      <w:r w:rsidRPr="00A62AA2">
        <w:rPr>
          <w:rFonts w:hint="cs"/>
          <w:i/>
          <w:color w:val="222222"/>
          <w:sz w:val="23"/>
          <w:szCs w:val="23"/>
          <w:shd w:val="clear" w:color="auto" w:fill="FFFFFF"/>
          <w:rtl/>
        </w:rPr>
        <w:softHyphen/>
        <w:t>ها مبین تغییرات ذخائر و بنابراین عرضه‌ی پول خواهد بود. این وضعیتی است که در رویکرد پولی ترازپرداخت‌ها درنظر گرفته شده است. در مدل‌های با نرخ ارز شناور،‌ مدل ماندل-فلمینگ بوسیله‌ی ثابت بودن سطح قیمت و همچنین</w:t>
      </w:r>
      <w:r w:rsidRPr="00A62AA2">
        <w:rPr>
          <w:position w:val="-10"/>
        </w:rPr>
        <w:object w:dxaOrig="600" w:dyaOrig="240" w14:anchorId="475EAD9D">
          <v:shape id="_x0000_i6072" type="#_x0000_t75" style="width:29.65pt;height:11.5pt" o:ole="">
            <v:imagedata r:id="rId10175" o:title=""/>
          </v:shape>
          <o:OLEObject Type="Embed" ProgID="Equation.DSMT4" ShapeID="_x0000_i6072" DrawAspect="Content" ObjectID="_1791380016" r:id="rId10176"/>
        </w:object>
      </w:r>
      <w:r w:rsidRPr="00A62AA2">
        <w:rPr>
          <w:rFonts w:hint="cs"/>
          <w:i/>
          <w:sz w:val="23"/>
          <w:szCs w:val="23"/>
          <w:shd w:val="clear" w:color="auto" w:fill="FFFFFF"/>
          <w:rtl/>
        </w:rPr>
        <w:t xml:space="preserve"> با برقرای شرط</w:t>
      </w:r>
      <w:r w:rsidRPr="00A62AA2">
        <w:rPr>
          <w:position w:val="-6"/>
        </w:rPr>
        <w:object w:dxaOrig="460" w:dyaOrig="260" w14:anchorId="16374019">
          <v:shape id="_x0000_i6073" type="#_x0000_t75" style="width:23pt;height:13.3pt" o:ole="">
            <v:imagedata r:id="rId10177" o:title=""/>
          </v:shape>
          <o:OLEObject Type="Embed" ProgID="Equation.DSMT4" ShapeID="_x0000_i6073" DrawAspect="Content" ObjectID="_1791380017" r:id="rId10178"/>
        </w:object>
      </w:r>
      <w:r w:rsidRPr="00A62AA2">
        <w:rPr>
          <w:i/>
          <w:sz w:val="23"/>
          <w:szCs w:val="23"/>
          <w:shd w:val="clear" w:color="auto" w:fill="FFFFFF"/>
        </w:rPr>
        <w:t xml:space="preserve"> </w:t>
      </w:r>
      <w:r w:rsidRPr="00A62AA2">
        <w:rPr>
          <w:rFonts w:hint="cs"/>
          <w:i/>
          <w:sz w:val="23"/>
          <w:szCs w:val="23"/>
          <w:shd w:val="clear" w:color="auto" w:fill="FFFFFF"/>
          <w:rtl/>
        </w:rPr>
        <w:t>بدست می‌آید. اگر</w:t>
      </w:r>
      <w:r w:rsidRPr="00A62AA2">
        <w:rPr>
          <w:position w:val="-6"/>
        </w:rPr>
        <w:object w:dxaOrig="499" w:dyaOrig="260" w14:anchorId="60A2AD50">
          <v:shape id="_x0000_i6074" type="#_x0000_t75" style="width:24.8pt;height:13.3pt" o:ole="">
            <v:imagedata r:id="rId10179" o:title=""/>
          </v:shape>
          <o:OLEObject Type="Embed" ProgID="Equation.DSMT4" ShapeID="_x0000_i6074" DrawAspect="Content" ObjectID="_1791380018" r:id="rId10180"/>
        </w:object>
      </w:r>
      <w:r w:rsidRPr="00A62AA2">
        <w:rPr>
          <w:i/>
          <w:sz w:val="23"/>
          <w:szCs w:val="23"/>
          <w:shd w:val="clear" w:color="auto" w:fill="FFFFFF"/>
        </w:rPr>
        <w:t xml:space="preserve"> </w:t>
      </w:r>
      <w:r w:rsidRPr="00A62AA2">
        <w:rPr>
          <w:rFonts w:hint="cs"/>
          <w:i/>
          <w:sz w:val="23"/>
          <w:szCs w:val="23"/>
          <w:shd w:val="clear" w:color="auto" w:fill="FFFFFF"/>
          <w:rtl/>
        </w:rPr>
        <w:t>باشد، آنگاه مدل ماندل-فلمینگ با انتظارات ایستا را خواهیم داشت. مدل دورنبوش تا حدودی با مدل ماندل-فلمینگ متفاوت است و در آن قیمت‌ها انعطاف‌پذیر ولی چسبنده</w:t>
      </w:r>
      <w:r w:rsidRPr="00A62AA2">
        <w:rPr>
          <w:rFonts w:hint="cs"/>
          <w:i/>
          <w:sz w:val="23"/>
          <w:szCs w:val="23"/>
          <w:shd w:val="clear" w:color="auto" w:fill="FFFFFF"/>
          <w:rtl/>
        </w:rPr>
        <w:softHyphen/>
        <w:t>اند. در مدل پولی قیمت‌ها انعطاف‌پذیر اما تولید ثابت است، و</w:t>
      </w:r>
      <w:r w:rsidRPr="00A62AA2">
        <w:rPr>
          <w:position w:val="-10"/>
        </w:rPr>
        <w:object w:dxaOrig="1300" w:dyaOrig="300" w14:anchorId="5BDFB2AC">
          <v:shape id="_x0000_i6075" type="#_x0000_t75" style="width:64.75pt;height:14.5pt" o:ole="">
            <v:imagedata r:id="rId10181" o:title=""/>
          </v:shape>
          <o:OLEObject Type="Embed" ProgID="Equation.DSMT4" ShapeID="_x0000_i6075" DrawAspect="Content" ObjectID="_1791380019" r:id="rId10182"/>
        </w:object>
      </w:r>
      <w:r w:rsidRPr="00A62AA2">
        <w:rPr>
          <w:rFonts w:hint="cs"/>
          <w:i/>
          <w:sz w:val="23"/>
          <w:szCs w:val="23"/>
          <w:shd w:val="clear" w:color="auto" w:fill="FFFFFF"/>
          <w:rtl/>
        </w:rPr>
        <w:t xml:space="preserve"> می‌باشند.</w:t>
      </w:r>
    </w:p>
    <w:p w14:paraId="5C68443F" w14:textId="77777777" w:rsidR="00556C10" w:rsidRPr="0076035F" w:rsidRDefault="00556C10" w:rsidP="00556C10">
      <w:pPr>
        <w:rPr>
          <w:rtl/>
        </w:rPr>
      </w:pPr>
    </w:p>
    <w:p w14:paraId="270F0D7D" w14:textId="77777777" w:rsidR="00556C10" w:rsidRPr="00A62AA2" w:rsidRDefault="00556C10" w:rsidP="00556C10">
      <w:pPr>
        <w:pStyle w:val="Heading1"/>
        <w:spacing w:before="0" w:line="216" w:lineRule="auto"/>
        <w:rPr>
          <w:rFonts w:ascii="Times New Roman" w:hAnsi="Times New Roman" w:cs="B Nazanin"/>
          <w:b w:val="0"/>
          <w:i/>
          <w:sz w:val="23"/>
          <w:szCs w:val="23"/>
          <w:shd w:val="clear" w:color="auto" w:fill="FFFFFF"/>
          <w:rtl/>
        </w:rPr>
      </w:pPr>
      <w:r w:rsidRPr="00A62AA2">
        <w:rPr>
          <w:rFonts w:ascii="Times New Roman" w:hAnsi="Times New Roman" w:cs="B Nazanin" w:hint="cs"/>
          <w:b w:val="0"/>
          <w:i/>
          <w:sz w:val="23"/>
          <w:szCs w:val="23"/>
          <w:shd w:val="clear" w:color="auto" w:fill="FFFFFF"/>
          <w:rtl/>
        </w:rPr>
        <w:t xml:space="preserve">۱۳. ۳. ۳ نرخ‌های ارز ثابت: رویکرد پولی تراز پرداخت‌ها </w:t>
      </w:r>
      <w:r w:rsidRPr="00A62AA2">
        <w:rPr>
          <w:rFonts w:ascii="Times New Roman" w:hAnsi="Times New Roman" w:cs="B Nazanin"/>
          <w:b w:val="0"/>
          <w:i/>
          <w:sz w:val="23"/>
          <w:szCs w:val="23"/>
          <w:shd w:val="clear" w:color="auto" w:fill="FFFFFF"/>
        </w:rPr>
        <w:t>(</w:t>
      </w:r>
      <w:r w:rsidRPr="00A62AA2">
        <w:rPr>
          <w:rStyle w:val="FootnoteReference"/>
          <w:rFonts w:ascii="Times New Roman" w:hAnsi="Times New Roman" w:cs="B Nazanin"/>
          <w:b w:val="0"/>
          <w:i/>
          <w:sz w:val="23"/>
          <w:szCs w:val="23"/>
          <w:shd w:val="clear" w:color="auto" w:fill="FFFFFF"/>
        </w:rPr>
        <w:footnoteReference w:id="314"/>
      </w:r>
      <w:r w:rsidRPr="00025957">
        <w:rPr>
          <w:position w:val="-4"/>
        </w:rPr>
        <w:object w:dxaOrig="740" w:dyaOrig="240" w14:anchorId="2FD65DCE">
          <v:shape id="_x0000_i6076" type="#_x0000_t75" style="width:36.9pt;height:11.5pt" o:ole="">
            <v:imagedata r:id="rId10183" o:title=""/>
          </v:shape>
          <o:OLEObject Type="Embed" ProgID="Equation.DSMT4" ShapeID="_x0000_i6076" DrawAspect="Content" ObjectID="_1791380020" r:id="rId10184"/>
        </w:object>
      </w:r>
      <w:r w:rsidRPr="00A62AA2">
        <w:rPr>
          <w:rFonts w:ascii="Times New Roman" w:hAnsi="Times New Roman" w:cs="B Nazanin"/>
          <w:b w:val="0"/>
          <w:i/>
          <w:sz w:val="23"/>
          <w:szCs w:val="23"/>
          <w:shd w:val="clear" w:color="auto" w:fill="FFFFFF"/>
        </w:rPr>
        <w:t>)</w:t>
      </w:r>
    </w:p>
    <w:p w14:paraId="07853DC5" w14:textId="77777777" w:rsidR="00556C10" w:rsidRPr="00A62AA2" w:rsidRDefault="00556C10" w:rsidP="00556C10">
      <w:pPr>
        <w:spacing w:line="216" w:lineRule="auto"/>
        <w:rPr>
          <w:i/>
          <w:sz w:val="23"/>
          <w:szCs w:val="23"/>
          <w:shd w:val="clear" w:color="auto" w:fill="FFFFFF"/>
        </w:rPr>
      </w:pPr>
      <w:r w:rsidRPr="00A62AA2">
        <w:rPr>
          <w:rFonts w:hint="cs"/>
          <w:i/>
          <w:color w:val="222222"/>
          <w:sz w:val="23"/>
          <w:szCs w:val="23"/>
          <w:shd w:val="clear" w:color="auto" w:fill="FFFFFF"/>
          <w:rtl/>
        </w:rPr>
        <w:t xml:space="preserve">در </w:t>
      </w:r>
      <w:r w:rsidRPr="00A62AA2">
        <w:rPr>
          <w:rFonts w:hint="cs"/>
          <w:i/>
          <w:sz w:val="23"/>
          <w:szCs w:val="23"/>
          <w:shd w:val="clear" w:color="auto" w:fill="FFFFFF"/>
          <w:rtl/>
        </w:rPr>
        <w:t>رویکرد پولی تراز پرداخت‌ها که توسط فرانکل و جانسون</w:t>
      </w:r>
      <w:r w:rsidRPr="00A62AA2">
        <w:rPr>
          <w:rStyle w:val="FootnoteReference"/>
          <w:i/>
          <w:sz w:val="23"/>
          <w:szCs w:val="23"/>
          <w:shd w:val="clear" w:color="auto" w:fill="FFFFFF"/>
          <w:rtl/>
        </w:rPr>
        <w:footnoteReference w:id="315"/>
      </w:r>
      <w:r w:rsidRPr="00A62AA2">
        <w:rPr>
          <w:rFonts w:hint="cs"/>
          <w:i/>
          <w:sz w:val="23"/>
          <w:szCs w:val="23"/>
          <w:shd w:val="clear" w:color="auto" w:fill="FFFFFF"/>
          <w:rtl/>
        </w:rPr>
        <w:t xml:space="preserve"> در سال ۱۹۷۶ ارائه شد، ترازپرداخت‌ها یک پدیده و عارضه‌ی پولی است و نرخ ارز ثابت و کنترل سرمایه وجود دارد، بنابراین</w:t>
      </w:r>
      <w:r w:rsidRPr="00A62AA2">
        <w:rPr>
          <w:position w:val="-10"/>
        </w:rPr>
        <w:object w:dxaOrig="560" w:dyaOrig="300" w14:anchorId="4DD98233">
          <v:shape id="_x0000_i6077" type="#_x0000_t75" style="width:27.85pt;height:14.5pt" o:ole="">
            <v:imagedata r:id="rId10185" o:title=""/>
          </v:shape>
          <o:OLEObject Type="Embed" ProgID="Equation.DSMT4" ShapeID="_x0000_i6077" DrawAspect="Content" ObjectID="_1791380021" r:id="rId10186"/>
        </w:object>
      </w:r>
      <w:r w:rsidRPr="00A62AA2">
        <w:rPr>
          <w:rFonts w:hint="cs"/>
          <w:i/>
          <w:sz w:val="23"/>
          <w:szCs w:val="23"/>
          <w:shd w:val="clear" w:color="auto" w:fill="FFFFFF"/>
          <w:rtl/>
        </w:rPr>
        <w:t xml:space="preserve"> است. برای مثال، ‌مازاد ترازپرداخت‌ها همانند یک اضافه تقاضا برای موجودی پول است که در آن تعادل بازار پول از طریق جریان ورود ذخائر به داخل و افزایش عرضه‌ی پول است تا این</w:t>
      </w:r>
      <w:r w:rsidRPr="00A62AA2">
        <w:rPr>
          <w:rFonts w:hint="cs"/>
          <w:i/>
          <w:sz w:val="23"/>
          <w:szCs w:val="23"/>
          <w:shd w:val="clear" w:color="auto" w:fill="FFFFFF"/>
          <w:rtl/>
        </w:rPr>
        <w:softHyphen/>
        <w:t xml:space="preserve">که مازاد تقاضا برای پول جبران می‌شود. در این صورت ترازپرداخت‌ها با تصحیح حساب جاری که بوسیله‌ی انبساط پولی ایجاد می‌شود به تعادل برخواهد گشت. </w:t>
      </w:r>
    </w:p>
    <w:p w14:paraId="1D9F5B60" w14:textId="77777777" w:rsidR="00556C10" w:rsidRDefault="00556C10" w:rsidP="00556C10">
      <w:pPr>
        <w:spacing w:line="216" w:lineRule="auto"/>
        <w:jc w:val="center"/>
        <w:rPr>
          <w:i/>
          <w:color w:val="222222"/>
          <w:sz w:val="23"/>
          <w:szCs w:val="23"/>
          <w:shd w:val="clear" w:color="auto" w:fill="FFFFFF"/>
          <w:rtl/>
        </w:rPr>
      </w:pPr>
    </w:p>
    <w:p w14:paraId="05813D2F" w14:textId="77777777" w:rsidR="00556C10" w:rsidRPr="00A62AA2" w:rsidRDefault="00556C10" w:rsidP="00556C10">
      <w:pPr>
        <w:spacing w:line="216" w:lineRule="auto"/>
        <w:jc w:val="center"/>
        <w:rPr>
          <w:i/>
          <w:color w:val="222222"/>
          <w:sz w:val="23"/>
          <w:szCs w:val="23"/>
          <w:shd w:val="clear" w:color="auto" w:fill="FFFFFF"/>
          <w:rtl/>
        </w:rPr>
      </w:pPr>
      <w:r w:rsidRPr="00A62AA2">
        <w:rPr>
          <w:rFonts w:hint="cs"/>
          <w:i/>
          <w:color w:val="222222"/>
          <w:sz w:val="23"/>
          <w:szCs w:val="23"/>
          <w:shd w:val="clear" w:color="auto" w:fill="FFFFFF"/>
          <w:rtl/>
        </w:rPr>
        <w:t>نمودار ۱۳. ۵</w:t>
      </w:r>
      <w:r w:rsidRPr="00A62AA2">
        <w:rPr>
          <w:i/>
          <w:color w:val="222222"/>
          <w:sz w:val="23"/>
          <w:szCs w:val="23"/>
          <w:shd w:val="clear" w:color="auto" w:fill="FFFFFF"/>
        </w:rPr>
        <w:t xml:space="preserve"> </w:t>
      </w:r>
      <w:r w:rsidRPr="00A62AA2">
        <w:rPr>
          <w:rFonts w:hint="cs"/>
          <w:i/>
          <w:color w:val="222222"/>
          <w:sz w:val="23"/>
          <w:szCs w:val="23"/>
          <w:shd w:val="clear" w:color="auto" w:fill="FFFFFF"/>
          <w:rtl/>
        </w:rPr>
        <w:t>: رویکرد پولی تراز پرداخت‌ها</w:t>
      </w:r>
    </w:p>
    <w:p w14:paraId="4A14D63E" w14:textId="77777777" w:rsidR="00556C10" w:rsidRPr="00A62AA2" w:rsidRDefault="00556C10" w:rsidP="00556C10">
      <w:pPr>
        <w:spacing w:line="216" w:lineRule="auto"/>
        <w:jc w:val="center"/>
        <w:rPr>
          <w:i/>
          <w:color w:val="222222"/>
          <w:sz w:val="23"/>
          <w:szCs w:val="23"/>
          <w:shd w:val="clear" w:color="auto" w:fill="FFFFFF"/>
          <w:rtl/>
        </w:rPr>
      </w:pPr>
      <w:r w:rsidRPr="00A62AA2">
        <w:rPr>
          <w:i/>
          <w:noProof/>
          <w:sz w:val="23"/>
          <w:szCs w:val="23"/>
          <w:lang w:bidi="ar-SA"/>
        </w:rPr>
        <w:drawing>
          <wp:inline distT="0" distB="0" distL="0" distR="0" wp14:anchorId="3E1E6E9A" wp14:editId="3085EAD4">
            <wp:extent cx="3656965" cy="2210979"/>
            <wp:effectExtent l="38100" t="38100" r="38735" b="3746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187" cstate="print">
                      <a:extLst>
                        <a:ext uri="{BEBA8EAE-BF5A-486C-A8C5-ECC9F3942E4B}">
                          <a14:imgProps xmlns:a14="http://schemas.microsoft.com/office/drawing/2010/main">
                            <a14:imgLayer r:embed="rId10188">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64046" cy="2215260"/>
                    </a:xfrm>
                    <a:prstGeom prst="rect">
                      <a:avLst/>
                    </a:prstGeom>
                    <a:ln w="28575">
                      <a:solidFill>
                        <a:schemeClr val="tx1"/>
                      </a:solidFill>
                    </a:ln>
                  </pic:spPr>
                </pic:pic>
              </a:graphicData>
            </a:graphic>
          </wp:inline>
        </w:drawing>
      </w:r>
    </w:p>
    <w:p w14:paraId="1C6BDBC5" w14:textId="77777777" w:rsidR="00556C10"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lastRenderedPageBreak/>
        <w:t xml:space="preserve"> </w:t>
      </w:r>
    </w:p>
    <w:p w14:paraId="70DAE6D6" w14:textId="77777777" w:rsidR="00556C10" w:rsidRPr="00A62AA2" w:rsidRDefault="00556C10" w:rsidP="00556C10">
      <w:pPr>
        <w:spacing w:line="216" w:lineRule="auto"/>
        <w:rPr>
          <w:i/>
          <w:sz w:val="23"/>
          <w:szCs w:val="23"/>
          <w:shd w:val="clear" w:color="auto" w:fill="FFFFFF"/>
          <w:rtl/>
        </w:rPr>
      </w:pPr>
      <w:r w:rsidRPr="00A62AA2">
        <w:rPr>
          <w:rFonts w:hint="cs"/>
          <w:i/>
          <w:color w:val="222222"/>
          <w:sz w:val="23"/>
          <w:szCs w:val="23"/>
          <w:shd w:val="clear" w:color="auto" w:fill="FFFFFF"/>
          <w:rtl/>
        </w:rPr>
        <w:t>مدل</w:t>
      </w:r>
      <w:r w:rsidRPr="00025957">
        <w:rPr>
          <w:position w:val="-4"/>
        </w:rPr>
        <w:object w:dxaOrig="740" w:dyaOrig="240" w14:anchorId="2C64BA9E">
          <v:shape id="_x0000_i6078" type="#_x0000_t75" style="width:36.9pt;height:11.5pt" o:ole="">
            <v:imagedata r:id="rId10189" o:title=""/>
          </v:shape>
          <o:OLEObject Type="Embed" ProgID="Equation.DSMT4" ShapeID="_x0000_i6078" DrawAspect="Content" ObjectID="_1791380022" r:id="rId10190"/>
        </w:object>
      </w:r>
      <w:r w:rsidRPr="00A62AA2">
        <w:rPr>
          <w:rFonts w:hint="cs"/>
          <w:i/>
          <w:color w:val="222222"/>
          <w:sz w:val="23"/>
          <w:szCs w:val="23"/>
          <w:shd w:val="clear" w:color="auto" w:fill="FFFFFF"/>
          <w:rtl/>
        </w:rPr>
        <w:t xml:space="preserve"> شامل معادلات (۱۳. ۶)، (۱۳. ۷) و ( ۱۳. ۸) یا مدل</w:t>
      </w:r>
      <w:r w:rsidRPr="00A62AA2">
        <w:rPr>
          <w:position w:val="-6"/>
        </w:rPr>
        <w:object w:dxaOrig="1400" w:dyaOrig="260" w14:anchorId="2F57FBF1">
          <v:shape id="_x0000_i6079" type="#_x0000_t75" style="width:70.2pt;height:13.3pt" o:ole="">
            <v:imagedata r:id="rId10191" o:title=""/>
          </v:shape>
          <o:OLEObject Type="Embed" ProgID="Equation.DSMT4" ShapeID="_x0000_i6079" DrawAspect="Content" ObjectID="_1791380023" r:id="rId10192"/>
        </w:object>
      </w:r>
      <w:r w:rsidRPr="00A62AA2">
        <w:rPr>
          <w:rFonts w:hint="cs"/>
          <w:i/>
          <w:sz w:val="23"/>
          <w:szCs w:val="23"/>
          <w:shd w:val="clear" w:color="auto" w:fill="FFFFFF"/>
          <w:rtl/>
        </w:rPr>
        <w:t xml:space="preserve"> است که بدان معادله‌ی عرضه‌ی پول (۱۳. ۹) نیز افزوده شده است. این مدل را می‌توان با</w:t>
      </w:r>
      <w:r w:rsidRPr="00A62AA2">
        <w:rPr>
          <w:position w:val="-6"/>
        </w:rPr>
        <w:object w:dxaOrig="320" w:dyaOrig="260" w14:anchorId="5D691D66">
          <v:shape id="_x0000_i6080" type="#_x0000_t75" style="width:15.75pt;height:13.3pt" o:ole="">
            <v:imagedata r:id="rId10193" o:title=""/>
          </v:shape>
          <o:OLEObject Type="Embed" ProgID="Equation.DSMT4" ShapeID="_x0000_i6080" DrawAspect="Content" ObjectID="_1791380024" r:id="rId10194"/>
        </w:object>
      </w:r>
      <w:r w:rsidRPr="00A62AA2">
        <w:rPr>
          <w:rFonts w:hint="cs"/>
          <w:i/>
          <w:sz w:val="23"/>
          <w:szCs w:val="23"/>
          <w:shd w:val="clear" w:color="auto" w:fill="FFFFFF"/>
          <w:rtl/>
        </w:rPr>
        <w:t xml:space="preserve"> یا معادله‌ی (۱۳. ۶) که تعادل بازار کالاها را نشان می‌دهد بانضمام سه معادله‌ی تقاضا برای پول، عرضه‌ی پول و تعادل بازار پول بازنویسی کرد،</w:t>
      </w:r>
    </w:p>
    <w:p w14:paraId="18D68A85" w14:textId="77777777" w:rsidR="00556C10" w:rsidRPr="00A62AA2" w:rsidRDefault="00556C10" w:rsidP="00556C10">
      <w:pPr>
        <w:bidi w:val="0"/>
        <w:spacing w:line="216" w:lineRule="auto"/>
        <w:rPr>
          <w:i/>
          <w:sz w:val="23"/>
          <w:szCs w:val="23"/>
          <w:shd w:val="clear" w:color="auto" w:fill="FFFFFF"/>
          <w:rtl/>
        </w:rPr>
      </w:pPr>
      <w:r w:rsidRPr="00A62AA2">
        <w:rPr>
          <w:position w:val="-8"/>
        </w:rPr>
        <w:object w:dxaOrig="1560" w:dyaOrig="320" w14:anchorId="2499AB85">
          <v:shape id="_x0000_i6081" type="#_x0000_t75" style="width:78.05pt;height:15.75pt" o:ole="">
            <v:imagedata r:id="rId10195" o:title=""/>
          </v:shape>
          <o:OLEObject Type="Embed" ProgID="Equation.DSMT4" ShapeID="_x0000_i6081" DrawAspect="Content" ObjectID="_1791380025" r:id="rId10196"/>
        </w:object>
      </w:r>
    </w:p>
    <w:p w14:paraId="798CBDA5" w14:textId="77777777" w:rsidR="00556C10" w:rsidRPr="00A62AA2" w:rsidRDefault="00556C10" w:rsidP="00556C10">
      <w:pPr>
        <w:bidi w:val="0"/>
        <w:spacing w:line="216" w:lineRule="auto"/>
        <w:rPr>
          <w:i/>
          <w:sz w:val="23"/>
          <w:szCs w:val="23"/>
          <w:shd w:val="clear" w:color="auto" w:fill="FFFFFF"/>
          <w:rtl/>
        </w:rPr>
      </w:pPr>
      <w:r w:rsidRPr="00A62AA2">
        <w:rPr>
          <w:position w:val="-10"/>
        </w:rPr>
        <w:object w:dxaOrig="1240" w:dyaOrig="340" w14:anchorId="3655E283">
          <v:shape id="_x0000_i6082" type="#_x0000_t75" style="width:61.7pt;height:16.95pt" o:ole="">
            <v:imagedata r:id="rId10197" o:title=""/>
          </v:shape>
          <o:OLEObject Type="Embed" ProgID="Equation.DSMT4" ShapeID="_x0000_i6082" DrawAspect="Content" ObjectID="_1791380026" r:id="rId10198"/>
        </w:object>
      </w:r>
    </w:p>
    <w:p w14:paraId="27545F06" w14:textId="77777777" w:rsidR="00556C10" w:rsidRPr="00A62AA2" w:rsidRDefault="00556C10" w:rsidP="00556C10">
      <w:pPr>
        <w:bidi w:val="0"/>
        <w:spacing w:line="216" w:lineRule="auto"/>
        <w:rPr>
          <w:i/>
          <w:color w:val="222222"/>
          <w:sz w:val="23"/>
          <w:szCs w:val="23"/>
          <w:shd w:val="clear" w:color="auto" w:fill="FFFFFF"/>
        </w:rPr>
      </w:pPr>
      <w:r w:rsidRPr="00A62AA2">
        <w:rPr>
          <w:position w:val="-6"/>
        </w:rPr>
        <w:object w:dxaOrig="1300" w:dyaOrig="300" w14:anchorId="17DF8339">
          <v:shape id="_x0000_i6083" type="#_x0000_t75" style="width:64.75pt;height:14.5pt" o:ole="">
            <v:imagedata r:id="rId10199" o:title=""/>
          </v:shape>
          <o:OLEObject Type="Embed" ProgID="Equation.DSMT4" ShapeID="_x0000_i6083" DrawAspect="Content" ObjectID="_1791380027" r:id="rId10200"/>
        </w:object>
      </w:r>
    </w:p>
    <w:p w14:paraId="6ACE3B39"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که در آن</w:t>
      </w:r>
      <w:r w:rsidRPr="00A62AA2">
        <w:rPr>
          <w:position w:val="-8"/>
        </w:rPr>
        <w:object w:dxaOrig="300" w:dyaOrig="279" w14:anchorId="74B9EE0E">
          <v:shape id="_x0000_i6084" type="#_x0000_t75" style="width:14.5pt;height:13.9pt" o:ole="">
            <v:imagedata r:id="rId10201" o:title=""/>
          </v:shape>
          <o:OLEObject Type="Embed" ProgID="Equation.DSMT4" ShapeID="_x0000_i6084" DrawAspect="Content" ObjectID="_1791380028" r:id="rId10202"/>
        </w:object>
      </w:r>
      <w:r w:rsidRPr="00A62AA2">
        <w:rPr>
          <w:rFonts w:hint="cs"/>
          <w:i/>
          <w:color w:val="222222"/>
          <w:sz w:val="23"/>
          <w:szCs w:val="23"/>
          <w:shd w:val="clear" w:color="auto" w:fill="FFFFFF"/>
          <w:rtl/>
        </w:rPr>
        <w:t xml:space="preserve"> بوسیله‌ی ترازپرداخت‌ها یا معادله‌ی (۱۳. ۸) تعیین می‌شود، و</w:t>
      </w:r>
      <w:r w:rsidRPr="00A62AA2">
        <w:rPr>
          <w:position w:val="-10"/>
        </w:rPr>
        <w:object w:dxaOrig="320" w:dyaOrig="320" w14:anchorId="1BEE92D0">
          <v:shape id="_x0000_i6085" type="#_x0000_t75" style="width:15.75pt;height:15.75pt" o:ole="">
            <v:imagedata r:id="rId10203" o:title=""/>
          </v:shape>
          <o:OLEObject Type="Embed" ProgID="Equation.DSMT4" ShapeID="_x0000_i6085" DrawAspect="Content" ObjectID="_1791380029" r:id="rId10204"/>
        </w:object>
      </w:r>
      <w:r w:rsidRPr="00A62AA2">
        <w:rPr>
          <w:rFonts w:hint="cs"/>
          <w:i/>
          <w:sz w:val="23"/>
          <w:szCs w:val="23"/>
          <w:shd w:val="clear" w:color="auto" w:fill="FFFFFF"/>
          <w:rtl/>
        </w:rPr>
        <w:t>سطح اولیه‌ی پول در اقتصاد است. بنابر</w:t>
      </w:r>
      <w:r w:rsidRPr="00A62AA2">
        <w:rPr>
          <w:rFonts w:hint="cs"/>
          <w:i/>
          <w:color w:val="222222"/>
          <w:sz w:val="23"/>
          <w:szCs w:val="23"/>
          <w:shd w:val="clear" w:color="auto" w:fill="FFFFFF"/>
          <w:rtl/>
        </w:rPr>
        <w:t>این</w:t>
      </w:r>
      <w:r w:rsidRPr="00A62AA2">
        <w:rPr>
          <w:position w:val="-8"/>
        </w:rPr>
        <w:object w:dxaOrig="400" w:dyaOrig="220" w14:anchorId="2A82F5A1">
          <v:shape id="_x0000_i6086" type="#_x0000_t75" style="width:19.95pt;height:10.9pt" o:ole="">
            <v:imagedata r:id="rId10205" o:title=""/>
          </v:shape>
          <o:OLEObject Type="Embed" ProgID="Equation.DSMT4" ShapeID="_x0000_i6086" DrawAspect="Content" ObjectID="_1791380030" r:id="rId10206"/>
        </w:object>
      </w:r>
      <w:r w:rsidRPr="00A62AA2">
        <w:rPr>
          <w:rFonts w:hint="cs"/>
          <w:i/>
          <w:sz w:val="23"/>
          <w:szCs w:val="23"/>
          <w:shd w:val="clear" w:color="auto" w:fill="FFFFFF"/>
          <w:rtl/>
        </w:rPr>
        <w:t>و</w:t>
      </w:r>
      <w:r w:rsidRPr="00A62AA2">
        <w:rPr>
          <w:position w:val="-6"/>
        </w:rPr>
        <w:object w:dxaOrig="260" w:dyaOrig="200" w14:anchorId="7D15E093">
          <v:shape id="_x0000_i6087" type="#_x0000_t75" style="width:13.3pt;height:10.3pt" o:ole="">
            <v:imagedata r:id="rId10207" o:title=""/>
          </v:shape>
          <o:OLEObject Type="Embed" ProgID="Equation.DSMT4" ShapeID="_x0000_i6087" DrawAspect="Content" ObjectID="_1791380031" r:id="rId10208"/>
        </w:object>
      </w:r>
      <w:r w:rsidRPr="00A62AA2">
        <w:rPr>
          <w:rFonts w:hint="cs"/>
          <w:i/>
          <w:sz w:val="23"/>
          <w:szCs w:val="23"/>
          <w:shd w:val="clear" w:color="auto" w:fill="FFFFFF"/>
          <w:rtl/>
        </w:rPr>
        <w:t xml:space="preserve"> متغیرهای درون‌زا و</w:t>
      </w:r>
      <w:r w:rsidRPr="00A62AA2">
        <w:rPr>
          <w:position w:val="-6"/>
        </w:rPr>
        <w:object w:dxaOrig="240" w:dyaOrig="260" w14:anchorId="4B55655B">
          <v:shape id="_x0000_i6088" type="#_x0000_t75" style="width:11.5pt;height:13.3pt" o:ole="">
            <v:imagedata r:id="rId10209" o:title=""/>
          </v:shape>
          <o:OLEObject Type="Embed" ProgID="Equation.DSMT4" ShapeID="_x0000_i6088" DrawAspect="Content" ObjectID="_1791380032" r:id="rId10210"/>
        </w:object>
      </w:r>
      <w:r w:rsidRPr="00A62AA2">
        <w:rPr>
          <w:rFonts w:hint="cs"/>
          <w:i/>
          <w:sz w:val="23"/>
          <w:szCs w:val="23"/>
          <w:shd w:val="clear" w:color="auto" w:fill="FFFFFF"/>
          <w:rtl/>
        </w:rPr>
        <w:t>و</w:t>
      </w:r>
      <w:r w:rsidRPr="00A62AA2">
        <w:rPr>
          <w:position w:val="-6"/>
        </w:rPr>
        <w:object w:dxaOrig="160" w:dyaOrig="200" w14:anchorId="261E3AF0">
          <v:shape id="_x0000_i6089" type="#_x0000_t75" style="width:7.85pt;height:10.3pt" o:ole="">
            <v:imagedata r:id="rId10211" o:title=""/>
          </v:shape>
          <o:OLEObject Type="Embed" ProgID="Equation.DSMT4" ShapeID="_x0000_i6089" DrawAspect="Content" ObjectID="_1791380033" r:id="rId10212"/>
        </w:object>
      </w:r>
      <w:r w:rsidRPr="00A62AA2">
        <w:rPr>
          <w:rFonts w:hint="cs"/>
          <w:i/>
          <w:sz w:val="23"/>
          <w:szCs w:val="23"/>
          <w:shd w:val="clear" w:color="auto" w:fill="FFFFFF"/>
          <w:rtl/>
        </w:rPr>
        <w:t xml:space="preserve"> همانند متغیرهای</w:t>
      </w:r>
      <w:r w:rsidRPr="00A62AA2">
        <w:rPr>
          <w:position w:val="-8"/>
        </w:rPr>
        <w:object w:dxaOrig="760" w:dyaOrig="320" w14:anchorId="70C7CBB9">
          <v:shape id="_x0000_i6090" type="#_x0000_t75" style="width:38.1pt;height:15.75pt" o:ole="">
            <v:imagedata r:id="rId10213" o:title=""/>
          </v:shape>
          <o:OLEObject Type="Embed" ProgID="Equation.DSMT4" ShapeID="_x0000_i6090" DrawAspect="Content" ObjectID="_1791380034" r:id="rId10214"/>
        </w:object>
      </w:r>
      <w:r w:rsidRPr="00A62AA2">
        <w:rPr>
          <w:rFonts w:hint="cs"/>
          <w:i/>
          <w:sz w:val="23"/>
          <w:szCs w:val="23"/>
          <w:shd w:val="clear" w:color="auto" w:fill="FFFFFF"/>
          <w:rtl/>
        </w:rPr>
        <w:t xml:space="preserve"> و</w:t>
      </w:r>
      <w:r w:rsidRPr="00A62AA2">
        <w:rPr>
          <w:position w:val="-6"/>
        </w:rPr>
        <w:object w:dxaOrig="300" w:dyaOrig="300" w14:anchorId="3BDF5D70">
          <v:shape id="_x0000_i6091" type="#_x0000_t75" style="width:14.5pt;height:14.5pt" o:ole="">
            <v:imagedata r:id="rId10215" o:title=""/>
          </v:shape>
          <o:OLEObject Type="Embed" ProgID="Equation.DSMT4" ShapeID="_x0000_i6091" DrawAspect="Content" ObjectID="_1791380035" r:id="rId10216"/>
        </w:object>
      </w:r>
      <w:r w:rsidRPr="00A62AA2">
        <w:rPr>
          <w:rFonts w:hint="cs"/>
          <w:i/>
          <w:sz w:val="23"/>
          <w:szCs w:val="23"/>
          <w:shd w:val="clear" w:color="auto" w:fill="FFFFFF"/>
          <w:rtl/>
        </w:rPr>
        <w:t xml:space="preserve"> متغیرهای برون‌زا می‌باشند. </w:t>
      </w:r>
      <w:r w:rsidRPr="00A62AA2">
        <w:rPr>
          <w:rFonts w:hint="cs"/>
          <w:i/>
          <w:color w:val="222222"/>
          <w:sz w:val="23"/>
          <w:szCs w:val="23"/>
          <w:shd w:val="clear" w:color="auto" w:fill="FFFFFF"/>
          <w:rtl/>
        </w:rPr>
        <w:t>حل فرم خلاصه شده</w:t>
      </w:r>
      <w:r w:rsidRPr="00A62AA2">
        <w:rPr>
          <w:rFonts w:hint="cs"/>
          <w:i/>
          <w:color w:val="222222"/>
          <w:sz w:val="23"/>
          <w:szCs w:val="23"/>
          <w:shd w:val="clear" w:color="auto" w:fill="FFFFFF"/>
          <w:rtl/>
        </w:rPr>
        <w:softHyphen/>
        <w:t xml:space="preserve">ی </w:t>
      </w:r>
      <w:r w:rsidRPr="00A62AA2">
        <w:rPr>
          <w:position w:val="-8"/>
        </w:rPr>
        <w:object w:dxaOrig="200" w:dyaOrig="220" w14:anchorId="03105474">
          <v:shape id="_x0000_i6092" type="#_x0000_t75" style="width:10.3pt;height:10.9pt" o:ole="">
            <v:imagedata r:id="rId10217" o:title=""/>
          </v:shape>
          <o:OLEObject Type="Embed" ProgID="Equation.DSMT4" ShapeID="_x0000_i6092" DrawAspect="Content" ObjectID="_1791380036" r:id="rId10218"/>
        </w:object>
      </w:r>
      <w:r w:rsidRPr="00A62AA2">
        <w:rPr>
          <w:rFonts w:hint="cs"/>
          <w:i/>
          <w:color w:val="222222"/>
          <w:sz w:val="23"/>
          <w:szCs w:val="23"/>
          <w:shd w:val="clear" w:color="auto" w:fill="FFFFFF"/>
          <w:rtl/>
        </w:rPr>
        <w:t xml:space="preserve"> و</w:t>
      </w:r>
      <w:r w:rsidRPr="00A62AA2">
        <w:rPr>
          <w:position w:val="-8"/>
        </w:rPr>
        <w:object w:dxaOrig="220" w:dyaOrig="220" w14:anchorId="2484938D">
          <v:shape id="_x0000_i6093" type="#_x0000_t75" style="width:10.9pt;height:10.9pt" o:ole="">
            <v:imagedata r:id="rId10219" o:title=""/>
          </v:shape>
          <o:OLEObject Type="Embed" ProgID="Equation.DSMT4" ShapeID="_x0000_i6093" DrawAspect="Content" ObjectID="_1791380037" r:id="rId10220"/>
        </w:object>
      </w:r>
      <w:r w:rsidRPr="00A62AA2">
        <w:rPr>
          <w:rFonts w:hint="cs"/>
          <w:i/>
          <w:color w:val="222222"/>
          <w:sz w:val="23"/>
          <w:szCs w:val="23"/>
          <w:shd w:val="clear" w:color="auto" w:fill="FFFFFF"/>
          <w:rtl/>
        </w:rPr>
        <w:t xml:space="preserve"> عبارت است از</w:t>
      </w:r>
    </w:p>
    <w:p w14:paraId="04C2F5F1" w14:textId="77777777" w:rsidR="00556C10" w:rsidRPr="00A62AA2" w:rsidRDefault="00556C10" w:rsidP="00556C10">
      <w:pPr>
        <w:bidi w:val="0"/>
        <w:spacing w:line="216" w:lineRule="auto"/>
        <w:rPr>
          <w:i/>
          <w:sz w:val="23"/>
          <w:szCs w:val="23"/>
          <w:rtl/>
        </w:rPr>
      </w:pPr>
      <w:r w:rsidRPr="00A62AA2">
        <w:rPr>
          <w:position w:val="-18"/>
        </w:rPr>
        <w:object w:dxaOrig="6820" w:dyaOrig="460" w14:anchorId="0D1D3E8D">
          <v:shape id="_x0000_i6094" type="#_x0000_t75" style="width:341.25pt;height:23pt" o:ole="">
            <v:imagedata r:id="rId10221" o:title=""/>
          </v:shape>
          <o:OLEObject Type="Embed" ProgID="Equation.DSMT4" ShapeID="_x0000_i6094" DrawAspect="Content" ObjectID="_1791380038" r:id="rId10222"/>
        </w:object>
      </w:r>
      <w:r w:rsidRPr="00A62AA2">
        <w:rPr>
          <w:position w:val="-18"/>
        </w:rPr>
        <w:object w:dxaOrig="7500" w:dyaOrig="460" w14:anchorId="35F565CA">
          <v:shape id="_x0000_i6095" type="#_x0000_t75" style="width:337pt;height:23pt" o:ole="">
            <v:imagedata r:id="rId10223" o:title=""/>
          </v:shape>
          <o:OLEObject Type="Embed" ProgID="Equation.DSMT4" ShapeID="_x0000_i6095" DrawAspect="Content" ObjectID="_1791380039" r:id="rId10224"/>
        </w:object>
      </w:r>
    </w:p>
    <w:p w14:paraId="4661D852" w14:textId="77777777" w:rsidR="00556C10" w:rsidRPr="00A62AA2" w:rsidRDefault="00556C10" w:rsidP="00556C10">
      <w:pPr>
        <w:spacing w:line="216" w:lineRule="auto"/>
        <w:rPr>
          <w:rFonts w:eastAsiaTheme="minorHAnsi"/>
          <w:i/>
          <w:sz w:val="23"/>
          <w:szCs w:val="23"/>
          <w:shd w:val="clear" w:color="auto" w:fill="FFFFFF"/>
        </w:rPr>
      </w:pPr>
      <w:r w:rsidRPr="00A62AA2">
        <w:rPr>
          <w:rFonts w:hint="cs"/>
          <w:i/>
          <w:color w:val="222222"/>
          <w:sz w:val="23"/>
          <w:szCs w:val="23"/>
          <w:shd w:val="clear" w:color="auto" w:fill="FFFFFF"/>
          <w:rtl/>
        </w:rPr>
        <w:t xml:space="preserve">تمامی ضرایب (یا ترکیبی از ضرائب) مثبت </w:t>
      </w:r>
      <w:r w:rsidRPr="00A62AA2">
        <w:rPr>
          <w:rFonts w:hint="cs"/>
          <w:i/>
          <w:sz w:val="23"/>
          <w:szCs w:val="23"/>
          <w:rtl/>
        </w:rPr>
        <w:t>بوده، به غیر از ضر</w:t>
      </w:r>
      <w:r w:rsidRPr="00A62AA2">
        <w:rPr>
          <w:rFonts w:hint="cs"/>
          <w:i/>
          <w:color w:val="222222"/>
          <w:sz w:val="23"/>
          <w:szCs w:val="23"/>
          <w:shd w:val="clear" w:color="auto" w:fill="FFFFFF"/>
          <w:rtl/>
        </w:rPr>
        <w:t>یب</w:t>
      </w:r>
      <w:r w:rsidRPr="00A62AA2">
        <w:rPr>
          <w:position w:val="-8"/>
        </w:rPr>
        <w:object w:dxaOrig="260" w:dyaOrig="320" w14:anchorId="224EC390">
          <v:shape id="_x0000_i6096" type="#_x0000_t75" style="width:13.3pt;height:15.75pt" o:ole="">
            <v:imagedata r:id="rId10225" o:title=""/>
          </v:shape>
          <o:OLEObject Type="Embed" ProgID="Equation.DSMT4" ShapeID="_x0000_i6096" DrawAspect="Content" ObjectID="_1791380040" r:id="rId10226"/>
        </w:object>
      </w:r>
      <w:r w:rsidRPr="00A62AA2">
        <w:rPr>
          <w:rFonts w:hint="cs"/>
          <w:i/>
          <w:color w:val="222222"/>
          <w:sz w:val="23"/>
          <w:szCs w:val="23"/>
          <w:shd w:val="clear" w:color="auto" w:fill="FFFFFF"/>
          <w:rtl/>
        </w:rPr>
        <w:t xml:space="preserve"> در معادله‌ی</w:t>
      </w:r>
      <w:r w:rsidRPr="00A62AA2">
        <w:rPr>
          <w:position w:val="-8"/>
        </w:rPr>
        <w:object w:dxaOrig="220" w:dyaOrig="220" w14:anchorId="42B1223C">
          <v:shape id="_x0000_i6097" type="#_x0000_t75" style="width:10.9pt;height:10.9pt" o:ole="">
            <v:imagedata r:id="rId10227" o:title=""/>
          </v:shape>
          <o:OLEObject Type="Embed" ProgID="Equation.DSMT4" ShapeID="_x0000_i6097" DrawAspect="Content" ObjectID="_1791380041" r:id="rId10228"/>
        </w:object>
      </w:r>
      <w:r w:rsidRPr="00A62AA2">
        <w:rPr>
          <w:rFonts w:hint="cs"/>
          <w:i/>
          <w:color w:val="222222"/>
          <w:sz w:val="23"/>
          <w:szCs w:val="23"/>
          <w:shd w:val="clear" w:color="auto" w:fill="FFFFFF"/>
          <w:rtl/>
        </w:rPr>
        <w:t xml:space="preserve"> که ممکن است مثبت و یا منفی باشد. این معادلات نشان می‌دهند کاهش ارزش پول داخلی (</w:t>
      </w:r>
      <w:r w:rsidRPr="00A62AA2">
        <w:rPr>
          <w:position w:val="-6"/>
        </w:rPr>
        <w:object w:dxaOrig="160" w:dyaOrig="200" w14:anchorId="207B371C">
          <v:shape id="_x0000_i6098" type="#_x0000_t75" style="width:7.85pt;height:10.3pt" o:ole="">
            <v:imagedata r:id="rId10229" o:title=""/>
          </v:shape>
          <o:OLEObject Type="Embed" ProgID="Equation.DSMT4" ShapeID="_x0000_i6098" DrawAspect="Content" ObjectID="_1791380042" r:id="rId10230"/>
        </w:object>
      </w:r>
      <w:r w:rsidRPr="00A62AA2">
        <w:rPr>
          <w:rFonts w:hint="cs"/>
          <w:i/>
          <w:color w:val="222222"/>
          <w:sz w:val="23"/>
          <w:szCs w:val="23"/>
          <w:shd w:val="clear" w:color="auto" w:fill="FFFFFF"/>
          <w:rtl/>
        </w:rPr>
        <w:t xml:space="preserve"> بیشتر) و</w:t>
      </w:r>
      <w:r w:rsidRPr="00A62AA2">
        <w:rPr>
          <w:position w:val="-8"/>
        </w:rPr>
        <w:object w:dxaOrig="279" w:dyaOrig="320" w14:anchorId="31FDE272">
          <v:shape id="_x0000_i6099" type="#_x0000_t75" style="width:13.9pt;height:15.75pt" o:ole="">
            <v:imagedata r:id="rId10231" o:title=""/>
          </v:shape>
          <o:OLEObject Type="Embed" ProgID="Equation.DSMT4" ShapeID="_x0000_i6099" DrawAspect="Content" ObjectID="_1791380043" r:id="rId10232"/>
        </w:object>
      </w:r>
      <w:r w:rsidRPr="00A62AA2">
        <w:rPr>
          <w:i/>
          <w:sz w:val="23"/>
          <w:szCs w:val="23"/>
          <w:shd w:val="clear" w:color="auto" w:fill="FFFFFF"/>
        </w:rPr>
        <w:t xml:space="preserve"> </w:t>
      </w:r>
      <w:r w:rsidRPr="00A62AA2">
        <w:rPr>
          <w:rFonts w:hint="cs"/>
          <w:i/>
          <w:sz w:val="23"/>
          <w:szCs w:val="23"/>
          <w:shd w:val="clear" w:color="auto" w:fill="FFFFFF"/>
          <w:rtl/>
        </w:rPr>
        <w:t>بالاتر باعث افزایش</w:t>
      </w:r>
      <w:r w:rsidRPr="00A62AA2">
        <w:rPr>
          <w:position w:val="-8"/>
        </w:rPr>
        <w:object w:dxaOrig="200" w:dyaOrig="220" w14:anchorId="73E50EDF">
          <v:shape id="_x0000_i6100" type="#_x0000_t75" style="width:10.3pt;height:10.9pt" o:ole="">
            <v:imagedata r:id="rId10233" o:title=""/>
          </v:shape>
          <o:OLEObject Type="Embed" ProgID="Equation.DSMT4" ShapeID="_x0000_i6100" DrawAspect="Content" ObjectID="_1791380044" r:id="rId10234"/>
        </w:object>
      </w:r>
      <w:r w:rsidRPr="00A62AA2">
        <w:rPr>
          <w:i/>
          <w:sz w:val="23"/>
          <w:szCs w:val="23"/>
          <w:shd w:val="clear" w:color="auto" w:fill="FFFFFF"/>
        </w:rPr>
        <w:t xml:space="preserve"> </w:t>
      </w:r>
      <w:r w:rsidRPr="00A62AA2">
        <w:rPr>
          <w:rFonts w:hint="cs"/>
          <w:i/>
          <w:sz w:val="23"/>
          <w:szCs w:val="23"/>
          <w:shd w:val="clear" w:color="auto" w:fill="FFFFFF"/>
          <w:rtl/>
        </w:rPr>
        <w:t>و</w:t>
      </w:r>
      <w:r w:rsidRPr="00A62AA2">
        <w:rPr>
          <w:position w:val="-8"/>
        </w:rPr>
        <w:object w:dxaOrig="220" w:dyaOrig="220" w14:anchorId="35786A96">
          <v:shape id="_x0000_i6101" type="#_x0000_t75" style="width:10.9pt;height:10.9pt" o:ole="">
            <v:imagedata r:id="rId10235" o:title=""/>
          </v:shape>
          <o:OLEObject Type="Embed" ProgID="Equation.DSMT4" ShapeID="_x0000_i6101" DrawAspect="Content" ObjectID="_1791380045" r:id="rId10236"/>
        </w:object>
      </w:r>
      <w:r w:rsidRPr="00A62AA2">
        <w:rPr>
          <w:rFonts w:hint="cs"/>
          <w:i/>
          <w:sz w:val="23"/>
          <w:szCs w:val="23"/>
          <w:shd w:val="clear" w:color="auto" w:fill="FFFFFF"/>
          <w:rtl/>
        </w:rPr>
        <w:t xml:space="preserve"> خواهد شد. یک </w:t>
      </w:r>
      <w:r w:rsidRPr="00A62AA2">
        <w:rPr>
          <w:rFonts w:hint="cs"/>
          <w:i/>
          <w:color w:val="222222"/>
          <w:sz w:val="23"/>
          <w:szCs w:val="23"/>
          <w:shd w:val="clear" w:color="auto" w:fill="FFFFFF"/>
          <w:rtl/>
        </w:rPr>
        <w:t xml:space="preserve">انبساط مالی از طریق افزایش در مخارج </w:t>
      </w:r>
      <w:r w:rsidRPr="00A62AA2">
        <w:rPr>
          <w:position w:val="-8"/>
        </w:rPr>
        <w:object w:dxaOrig="220" w:dyaOrig="240" w14:anchorId="679DD3C8">
          <v:shape id="_x0000_i6102" type="#_x0000_t75" style="width:10.9pt;height:11.5pt" o:ole="">
            <v:imagedata r:id="rId10237" o:title=""/>
          </v:shape>
          <o:OLEObject Type="Embed" ProgID="Equation.DSMT4" ShapeID="_x0000_i6102" DrawAspect="Content" ObjectID="_1791380046" r:id="rId10238"/>
        </w:object>
      </w:r>
      <w:r w:rsidRPr="00A62AA2">
        <w:rPr>
          <w:i/>
          <w:sz w:val="23"/>
          <w:szCs w:val="23"/>
          <w:shd w:val="clear" w:color="auto" w:fill="FFFFFF"/>
        </w:rPr>
        <w:t xml:space="preserve"> </w:t>
      </w:r>
      <w:r w:rsidRPr="00A62AA2">
        <w:rPr>
          <w:rFonts w:hint="cs"/>
          <w:i/>
          <w:sz w:val="23"/>
          <w:szCs w:val="23"/>
          <w:shd w:val="clear" w:color="auto" w:fill="FFFFFF"/>
          <w:rtl/>
        </w:rPr>
        <w:t xml:space="preserve">و </w:t>
      </w:r>
      <w:r w:rsidRPr="00A62AA2">
        <w:rPr>
          <w:rFonts w:hint="cs"/>
          <w:i/>
          <w:color w:val="222222"/>
          <w:sz w:val="23"/>
          <w:szCs w:val="23"/>
          <w:shd w:val="clear" w:color="auto" w:fill="FFFFFF"/>
          <w:rtl/>
        </w:rPr>
        <w:t>افزایش عرضه‌ی پول و کاهش</w:t>
      </w:r>
      <w:r w:rsidRPr="00A62AA2">
        <w:rPr>
          <w:position w:val="-6"/>
        </w:rPr>
        <w:object w:dxaOrig="240" w:dyaOrig="260" w14:anchorId="2CD290F3">
          <v:shape id="_x0000_i6103" type="#_x0000_t75" style="width:11.5pt;height:13.3pt" o:ole="">
            <v:imagedata r:id="rId10239" o:title=""/>
          </v:shape>
          <o:OLEObject Type="Embed" ProgID="Equation.DSMT4" ShapeID="_x0000_i6103" DrawAspect="Content" ObjectID="_1791380047" r:id="rId10240"/>
        </w:object>
      </w:r>
      <w:r w:rsidRPr="00A62AA2">
        <w:rPr>
          <w:rFonts w:hint="cs"/>
          <w:i/>
          <w:color w:val="222222"/>
          <w:sz w:val="23"/>
          <w:szCs w:val="23"/>
          <w:shd w:val="clear" w:color="auto" w:fill="FFFFFF"/>
          <w:rtl/>
        </w:rPr>
        <w:t xml:space="preserve"> باعث افزایش</w:t>
      </w:r>
      <w:r w:rsidRPr="00A62AA2">
        <w:rPr>
          <w:position w:val="-8"/>
        </w:rPr>
        <w:object w:dxaOrig="200" w:dyaOrig="220" w14:anchorId="250F8655">
          <v:shape id="_x0000_i6104" type="#_x0000_t75" style="width:10.3pt;height:10.9pt" o:ole="">
            <v:imagedata r:id="rId10241" o:title=""/>
          </v:shape>
          <o:OLEObject Type="Embed" ProgID="Equation.DSMT4" ShapeID="_x0000_i6104" DrawAspect="Content" ObjectID="_1791380048" r:id="rId10242"/>
        </w:object>
      </w:r>
      <w:r w:rsidRPr="00A62AA2">
        <w:rPr>
          <w:i/>
          <w:sz w:val="23"/>
          <w:szCs w:val="23"/>
          <w:shd w:val="clear" w:color="auto" w:fill="FFFFFF"/>
        </w:rPr>
        <w:t xml:space="preserve"> </w:t>
      </w:r>
      <w:r w:rsidRPr="00A62AA2">
        <w:rPr>
          <w:rFonts w:hint="cs"/>
          <w:i/>
          <w:sz w:val="23"/>
          <w:szCs w:val="23"/>
          <w:shd w:val="clear" w:color="auto" w:fill="FFFFFF"/>
          <w:rtl/>
        </w:rPr>
        <w:t>و کاهش</w:t>
      </w:r>
      <w:r w:rsidRPr="00A62AA2">
        <w:rPr>
          <w:position w:val="-8"/>
        </w:rPr>
        <w:object w:dxaOrig="220" w:dyaOrig="220" w14:anchorId="5FA12C5D">
          <v:shape id="_x0000_i6105" type="#_x0000_t75" style="width:10.9pt;height:10.9pt" o:ole="">
            <v:imagedata r:id="rId10243" o:title=""/>
          </v:shape>
          <o:OLEObject Type="Embed" ProgID="Equation.DSMT4" ShapeID="_x0000_i6105" DrawAspect="Content" ObjectID="_1791380049" r:id="rId10244"/>
        </w:object>
      </w:r>
      <w:r w:rsidRPr="00A62AA2">
        <w:rPr>
          <w:rFonts w:hint="cs"/>
          <w:i/>
          <w:sz w:val="23"/>
          <w:szCs w:val="23"/>
          <w:shd w:val="clear" w:color="auto" w:fill="FFFFFF"/>
          <w:rtl/>
        </w:rPr>
        <w:t xml:space="preserve"> خواهد شد. افزایش درآمد جهانی</w:t>
      </w:r>
      <w:r w:rsidRPr="00A62AA2">
        <w:rPr>
          <w:position w:val="-8"/>
        </w:rPr>
        <w:object w:dxaOrig="260" w:dyaOrig="320" w14:anchorId="452FE28C">
          <v:shape id="_x0000_i6106" type="#_x0000_t75" style="width:13.3pt;height:15.75pt" o:ole="">
            <v:imagedata r:id="rId10245" o:title=""/>
          </v:shape>
          <o:OLEObject Type="Embed" ProgID="Equation.DSMT4" ShapeID="_x0000_i6106" DrawAspect="Content" ObjectID="_1791380050" r:id="rId10246"/>
        </w:object>
      </w:r>
      <w:r w:rsidRPr="00A62AA2">
        <w:rPr>
          <w:rFonts w:hint="cs"/>
          <w:i/>
          <w:sz w:val="23"/>
          <w:szCs w:val="23"/>
          <w:shd w:val="clear" w:color="auto" w:fill="FFFFFF"/>
          <w:rtl/>
        </w:rPr>
        <w:t xml:space="preserve"> باعث افزایش</w:t>
      </w:r>
      <w:r w:rsidRPr="00A62AA2">
        <w:rPr>
          <w:position w:val="-8"/>
        </w:rPr>
        <w:object w:dxaOrig="200" w:dyaOrig="220" w14:anchorId="5912EAE0">
          <v:shape id="_x0000_i6107" type="#_x0000_t75" style="width:10.3pt;height:10.9pt" o:ole="">
            <v:imagedata r:id="rId10247" o:title=""/>
          </v:shape>
          <o:OLEObject Type="Embed" ProgID="Equation.DSMT4" ShapeID="_x0000_i6107" DrawAspect="Content" ObjectID="_1791380051" r:id="rId10248"/>
        </w:object>
      </w:r>
      <w:r w:rsidRPr="00A62AA2">
        <w:rPr>
          <w:rFonts w:hint="cs"/>
          <w:i/>
          <w:sz w:val="23"/>
          <w:szCs w:val="23"/>
          <w:shd w:val="clear" w:color="auto" w:fill="FFFFFF"/>
          <w:rtl/>
        </w:rPr>
        <w:t xml:space="preserve"> خواهد شد، ولی تأثیر آن بر</w:t>
      </w:r>
      <w:r w:rsidRPr="00A62AA2">
        <w:rPr>
          <w:position w:val="-8"/>
        </w:rPr>
        <w:object w:dxaOrig="220" w:dyaOrig="220" w14:anchorId="45C9814B">
          <v:shape id="_x0000_i6108" type="#_x0000_t75" style="width:10.9pt;height:10.9pt" o:ole="">
            <v:imagedata r:id="rId10249" o:title=""/>
          </v:shape>
          <o:OLEObject Type="Embed" ProgID="Equation.DSMT4" ShapeID="_x0000_i6108" DrawAspect="Content" ObjectID="_1791380052" r:id="rId10250"/>
        </w:object>
      </w:r>
      <w:r w:rsidRPr="00A62AA2">
        <w:rPr>
          <w:rFonts w:hint="cs"/>
          <w:i/>
          <w:sz w:val="23"/>
          <w:szCs w:val="23"/>
          <w:shd w:val="clear" w:color="auto" w:fill="FFFFFF"/>
          <w:rtl/>
        </w:rPr>
        <w:t xml:space="preserve"> مبهم و احتمالاً منفی است. </w:t>
      </w:r>
    </w:p>
    <w:p w14:paraId="32B49D5A"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این حل ممکن است بصورت هندسی همانند نمودار ۱۳. ۵ نیز به دست آید. معادله‌ی</w:t>
      </w:r>
      <w:r w:rsidRPr="00A62AA2">
        <w:rPr>
          <w:position w:val="-6"/>
        </w:rPr>
        <w:object w:dxaOrig="320" w:dyaOrig="260" w14:anchorId="5E7205FE">
          <v:shape id="_x0000_i6109" type="#_x0000_t75" style="width:15.75pt;height:13.3pt" o:ole="">
            <v:imagedata r:id="rId10251" o:title=""/>
          </v:shape>
          <o:OLEObject Type="Embed" ProgID="Equation.DSMT4" ShapeID="_x0000_i6109" DrawAspect="Content" ObjectID="_1791380053" r:id="rId10252"/>
        </w:object>
      </w:r>
      <w:r w:rsidRPr="00A62AA2">
        <w:rPr>
          <w:i/>
          <w:sz w:val="23"/>
          <w:szCs w:val="23"/>
          <w:shd w:val="clear" w:color="auto" w:fill="FFFFFF"/>
        </w:rPr>
        <w:t xml:space="preserve"> </w:t>
      </w:r>
      <w:r w:rsidRPr="00A62AA2">
        <w:rPr>
          <w:rFonts w:hint="cs"/>
          <w:i/>
          <w:color w:val="222222"/>
          <w:sz w:val="23"/>
          <w:szCs w:val="23"/>
          <w:shd w:val="clear" w:color="auto" w:fill="FFFFFF"/>
          <w:rtl/>
        </w:rPr>
        <w:t>همانند</w:t>
      </w:r>
      <w:r w:rsidRPr="00A62AA2">
        <w:rPr>
          <w:i/>
          <w:color w:val="222222"/>
          <w:sz w:val="23"/>
          <w:szCs w:val="23"/>
          <w:shd w:val="clear" w:color="auto" w:fill="FFFFFF"/>
        </w:rPr>
        <w:t xml:space="preserve"> </w:t>
      </w:r>
      <w:r w:rsidRPr="00A62AA2">
        <w:rPr>
          <w:rFonts w:hint="cs"/>
          <w:i/>
          <w:color w:val="222222"/>
          <w:sz w:val="23"/>
          <w:szCs w:val="23"/>
          <w:shd w:val="clear" w:color="auto" w:fill="FFFFFF"/>
          <w:rtl/>
        </w:rPr>
        <w:t xml:space="preserve">قبل ولی در فضای </w:t>
      </w:r>
      <w:r w:rsidRPr="00A62AA2">
        <w:rPr>
          <w:position w:val="-12"/>
        </w:rPr>
        <w:object w:dxaOrig="560" w:dyaOrig="360" w14:anchorId="575CC2C1">
          <v:shape id="_x0000_i6110" type="#_x0000_t75" style="width:27.85pt;height:18.15pt" o:ole="">
            <v:imagedata r:id="rId10253" o:title=""/>
          </v:shape>
          <o:OLEObject Type="Embed" ProgID="Equation.DSMT4" ShapeID="_x0000_i6110" DrawAspect="Content" ObjectID="_1791380054" r:id="rId10254"/>
        </w:object>
      </w:r>
      <w:r w:rsidRPr="00A62AA2">
        <w:rPr>
          <w:i/>
          <w:sz w:val="23"/>
          <w:szCs w:val="23"/>
          <w:shd w:val="clear" w:color="auto" w:fill="FFFFFF"/>
        </w:rPr>
        <w:t xml:space="preserve"> </w:t>
      </w:r>
      <w:r w:rsidRPr="00A62AA2">
        <w:rPr>
          <w:rFonts w:hint="cs"/>
          <w:i/>
          <w:sz w:val="23"/>
          <w:szCs w:val="23"/>
          <w:shd w:val="clear" w:color="auto" w:fill="FFFFFF"/>
          <w:rtl/>
        </w:rPr>
        <w:t xml:space="preserve">بجای </w:t>
      </w:r>
      <w:r w:rsidRPr="00A62AA2">
        <w:rPr>
          <w:position w:val="-12"/>
        </w:rPr>
        <w:object w:dxaOrig="520" w:dyaOrig="360" w14:anchorId="1CA84C05">
          <v:shape id="_x0000_i6111" type="#_x0000_t75" style="width:26pt;height:18.15pt" o:ole="">
            <v:imagedata r:id="rId10255" o:title=""/>
          </v:shape>
          <o:OLEObject Type="Embed" ProgID="Equation.DSMT4" ShapeID="_x0000_i6111" DrawAspect="Content" ObjectID="_1791380055" r:id="rId10256"/>
        </w:object>
      </w:r>
      <w:r w:rsidRPr="00A62AA2">
        <w:rPr>
          <w:rFonts w:hint="cs"/>
          <w:i/>
          <w:sz w:val="23"/>
          <w:szCs w:val="23"/>
          <w:shd w:val="clear" w:color="auto" w:fill="FFFFFF"/>
          <w:rtl/>
        </w:rPr>
        <w:t xml:space="preserve">رسم </w:t>
      </w:r>
      <w:r w:rsidRPr="00A62AA2">
        <w:rPr>
          <w:rFonts w:hint="cs"/>
          <w:i/>
          <w:color w:val="222222"/>
          <w:sz w:val="23"/>
          <w:szCs w:val="23"/>
          <w:shd w:val="clear" w:color="auto" w:fill="FFFFFF"/>
          <w:rtl/>
        </w:rPr>
        <w:t>شده است. خط</w:t>
      </w:r>
      <w:r w:rsidRPr="00025957">
        <w:rPr>
          <w:position w:val="-4"/>
        </w:rPr>
        <w:object w:dxaOrig="440" w:dyaOrig="240" w14:anchorId="7F79107D">
          <v:shape id="_x0000_i6112" type="#_x0000_t75" style="width:21.8pt;height:11.5pt" o:ole="">
            <v:imagedata r:id="rId10257" o:title=""/>
          </v:shape>
          <o:OLEObject Type="Embed" ProgID="Equation.DSMT4" ShapeID="_x0000_i6112" DrawAspect="Content" ObjectID="_1791380056" r:id="rId10258"/>
        </w:object>
      </w:r>
      <w:r w:rsidRPr="00A62AA2">
        <w:rPr>
          <w:rFonts w:hint="cs"/>
          <w:i/>
          <w:color w:val="222222"/>
          <w:sz w:val="23"/>
          <w:szCs w:val="23"/>
          <w:shd w:val="clear" w:color="auto" w:fill="FFFFFF"/>
          <w:rtl/>
        </w:rPr>
        <w:t xml:space="preserve"> نیز تعادل در بازار پول را نشان می</w:t>
      </w:r>
      <w:r w:rsidRPr="00A62AA2">
        <w:rPr>
          <w:rFonts w:hint="cs"/>
          <w:i/>
          <w:color w:val="222222"/>
          <w:sz w:val="23"/>
          <w:szCs w:val="23"/>
          <w:shd w:val="clear" w:color="auto" w:fill="FFFFFF"/>
          <w:rtl/>
        </w:rPr>
        <w:softHyphen/>
        <w:t>دهد که از برابری عرضه و تقاضای پول به دست می‌آید، لذا</w:t>
      </w:r>
    </w:p>
    <w:p w14:paraId="56055E2F" w14:textId="77777777" w:rsidR="00556C10" w:rsidRPr="00A62AA2" w:rsidRDefault="00556C10" w:rsidP="00556C10">
      <w:pPr>
        <w:bidi w:val="0"/>
        <w:spacing w:line="216" w:lineRule="auto"/>
        <w:rPr>
          <w:i/>
          <w:color w:val="222222"/>
          <w:sz w:val="23"/>
          <w:szCs w:val="23"/>
          <w:shd w:val="clear" w:color="auto" w:fill="FFFFFF"/>
          <w:rtl/>
        </w:rPr>
      </w:pPr>
      <w:r w:rsidRPr="00A62AA2">
        <w:rPr>
          <w:position w:val="-26"/>
        </w:rPr>
        <w:object w:dxaOrig="4760" w:dyaOrig="600" w14:anchorId="627A7FD9">
          <v:shape id="_x0000_i6113" type="#_x0000_t75" style="width:237.8pt;height:29.65pt" o:ole="">
            <v:imagedata r:id="rId10259" o:title=""/>
          </v:shape>
          <o:OLEObject Type="Embed" ProgID="Equation.DSMT4" ShapeID="_x0000_i6113" DrawAspect="Content" ObjectID="_1791380057" r:id="rId10260"/>
        </w:object>
      </w:r>
    </w:p>
    <w:p w14:paraId="26FB1EC5"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 xml:space="preserve"> مسیر انتقال و حرکت هر خط بواسطه‌ی افزایش متغیرهای برون‌زا بوسیله‌ی علائم فلش نشان داده شده است. شیب‌های نسبی خطوط مبین این فرض است که </w:t>
      </w:r>
      <w:r w:rsidRPr="00A62AA2">
        <w:rPr>
          <w:position w:val="-26"/>
        </w:rPr>
        <w:object w:dxaOrig="880" w:dyaOrig="600" w14:anchorId="10878C2A">
          <v:shape id="_x0000_i6114" type="#_x0000_t75" style="width:44.15pt;height:29.65pt" o:ole="">
            <v:imagedata r:id="rId10261" o:title=""/>
          </v:shape>
          <o:OLEObject Type="Embed" ProgID="Equation.DSMT4" ShapeID="_x0000_i6114" DrawAspect="Content" ObjectID="_1791380058" r:id="rId10262"/>
        </w:object>
      </w:r>
      <w:r w:rsidRPr="00A62AA2">
        <w:rPr>
          <w:rFonts w:hint="cs"/>
          <w:i/>
          <w:color w:val="222222"/>
          <w:sz w:val="23"/>
          <w:szCs w:val="23"/>
          <w:shd w:val="clear" w:color="auto" w:fill="FFFFFF"/>
          <w:rtl/>
        </w:rPr>
        <w:t xml:space="preserve"> است.</w:t>
      </w:r>
    </w:p>
    <w:p w14:paraId="0AD84269" w14:textId="77777777" w:rsidR="00556C10" w:rsidRPr="00A62AA2" w:rsidRDefault="00556C10" w:rsidP="00556C10">
      <w:pPr>
        <w:spacing w:line="216" w:lineRule="auto"/>
        <w:rPr>
          <w:i/>
          <w:color w:val="222222"/>
          <w:sz w:val="23"/>
          <w:szCs w:val="23"/>
          <w:shd w:val="clear" w:color="auto" w:fill="FFFFFF"/>
          <w:rtl/>
        </w:rPr>
      </w:pPr>
      <w:r w:rsidRPr="00A62AA2">
        <w:rPr>
          <w:rFonts w:hint="cs"/>
          <w:i/>
          <w:sz w:val="23"/>
          <w:szCs w:val="23"/>
          <w:shd w:val="clear" w:color="auto" w:fill="FFFFFF"/>
          <w:rtl/>
        </w:rPr>
        <w:t xml:space="preserve"> </w:t>
      </w:r>
    </w:p>
    <w:p w14:paraId="25787DA1" w14:textId="77777777" w:rsidR="00556C10" w:rsidRPr="00A62AA2" w:rsidRDefault="00556C10" w:rsidP="00556C10">
      <w:pPr>
        <w:pStyle w:val="Heading1"/>
        <w:spacing w:before="0" w:line="216" w:lineRule="auto"/>
        <w:rPr>
          <w:rFonts w:ascii="Times New Roman" w:hAnsi="Times New Roman" w:cs="B Nazanin"/>
          <w:b w:val="0"/>
          <w:i/>
          <w:color w:val="000000" w:themeColor="text1"/>
          <w:sz w:val="23"/>
          <w:szCs w:val="23"/>
          <w:shd w:val="clear" w:color="auto" w:fill="FFFFFF"/>
          <w:rtl/>
        </w:rPr>
      </w:pPr>
      <w:r w:rsidRPr="00A62AA2">
        <w:rPr>
          <w:rFonts w:ascii="Times New Roman" w:hAnsi="Times New Roman" w:cs="B Nazanin" w:hint="cs"/>
          <w:b w:val="0"/>
          <w:i/>
          <w:sz w:val="23"/>
          <w:szCs w:val="23"/>
          <w:shd w:val="clear" w:color="auto" w:fill="FFFFFF"/>
          <w:rtl/>
        </w:rPr>
        <w:t>۱۳. ۳. ۴ تعیین نرخ ارز با جانشینی ناقص سرمایه</w:t>
      </w:r>
    </w:p>
    <w:p w14:paraId="1A7847E8" w14:textId="77777777" w:rsidR="00556C10" w:rsidRPr="00A62AA2" w:rsidRDefault="00556C10" w:rsidP="00556C10">
      <w:pPr>
        <w:spacing w:line="216" w:lineRule="auto"/>
        <w:rPr>
          <w:i/>
          <w:color w:val="222222"/>
          <w:sz w:val="23"/>
          <w:szCs w:val="23"/>
          <w:shd w:val="clear" w:color="auto" w:fill="FFFFFF"/>
        </w:rPr>
      </w:pPr>
      <w:r w:rsidRPr="00A62AA2">
        <w:rPr>
          <w:rFonts w:hint="cs"/>
          <w:i/>
          <w:color w:val="222222"/>
          <w:sz w:val="23"/>
          <w:szCs w:val="23"/>
          <w:shd w:val="clear" w:color="auto" w:fill="FFFFFF"/>
          <w:rtl/>
        </w:rPr>
        <w:t xml:space="preserve"> در نظریه‌های مدرن نرخ ارز شناور فرض می‌شود که سرمایه</w:t>
      </w:r>
      <w:r w:rsidRPr="00A62AA2">
        <w:rPr>
          <w:rFonts w:hint="cs"/>
          <w:i/>
          <w:color w:val="222222"/>
          <w:sz w:val="23"/>
          <w:szCs w:val="23"/>
          <w:shd w:val="clear" w:color="auto" w:fill="FFFFFF"/>
          <w:rtl/>
        </w:rPr>
        <w:softHyphen/>
        <w:t>ی داخلی و خارجی جانشین کامل</w:t>
      </w:r>
      <w:r w:rsidRPr="00A62AA2">
        <w:rPr>
          <w:rFonts w:hint="cs"/>
          <w:i/>
          <w:color w:val="222222"/>
          <w:sz w:val="23"/>
          <w:szCs w:val="23"/>
          <w:shd w:val="clear" w:color="auto" w:fill="FFFFFF"/>
          <w:rtl/>
        </w:rPr>
        <w:softHyphen/>
        <w:t>اند. قبل از این</w:t>
      </w:r>
      <w:r w:rsidRPr="00A62AA2">
        <w:rPr>
          <w:rFonts w:hint="cs"/>
          <w:i/>
          <w:color w:val="222222"/>
          <w:sz w:val="23"/>
          <w:szCs w:val="23"/>
          <w:shd w:val="clear" w:color="auto" w:fill="FFFFFF"/>
          <w:rtl/>
        </w:rPr>
        <w:softHyphen/>
        <w:t>که به این موضوع بپردازیم، جهت مقایسه با نظریه‌های مدرن وضعیتی را بررسی می‌کنیم که در آن جانشینی ناقص وجود دارد. تجزیه و تحلیل خود را بر مبنای مدل</w:t>
      </w:r>
      <w:r w:rsidRPr="00A62AA2">
        <w:rPr>
          <w:position w:val="-6"/>
        </w:rPr>
        <w:object w:dxaOrig="1400" w:dyaOrig="260" w14:anchorId="3B18E30D">
          <v:shape id="_x0000_i6115" type="#_x0000_t75" style="width:70.2pt;height:13.3pt" o:ole="">
            <v:imagedata r:id="rId10263" o:title=""/>
          </v:shape>
          <o:OLEObject Type="Embed" ProgID="Equation.DSMT4" ShapeID="_x0000_i6115" DrawAspect="Content" ObjectID="_1791380059" r:id="rId10264"/>
        </w:object>
      </w:r>
      <w:r w:rsidRPr="00A62AA2">
        <w:rPr>
          <w:rFonts w:hint="cs"/>
          <w:i/>
          <w:color w:val="222222"/>
          <w:sz w:val="23"/>
          <w:szCs w:val="23"/>
          <w:shd w:val="clear" w:color="auto" w:fill="FFFFFF"/>
          <w:rtl/>
        </w:rPr>
        <w:t xml:space="preserve"> یعنی معادلات (۱۳. ۶) و (۱۳. ۷) قرار داده تا قسمتی از ایده</w:t>
      </w:r>
      <w:r w:rsidRPr="00A62AA2">
        <w:rPr>
          <w:rFonts w:hint="cs"/>
          <w:i/>
          <w:color w:val="222222"/>
          <w:sz w:val="23"/>
          <w:szCs w:val="23"/>
          <w:shd w:val="clear" w:color="auto" w:fill="FFFFFF"/>
          <w:rtl/>
        </w:rPr>
        <w:softHyphen/>
        <w:t xml:space="preserve">ی اولیه این رویکرد را در مدل کینزین </w:t>
      </w:r>
      <w:r w:rsidRPr="00A62AA2">
        <w:rPr>
          <w:rFonts w:hint="cs"/>
          <w:i/>
          <w:color w:val="222222"/>
          <w:sz w:val="23"/>
          <w:szCs w:val="23"/>
          <w:shd w:val="clear" w:color="auto" w:fill="FFFFFF"/>
          <w:rtl/>
        </w:rPr>
        <w:lastRenderedPageBreak/>
        <w:t>منعکس کرده باشیم. این تجزیه و تحلیل را به صورت پویا و نه ایستای مقایسه‌ای مورد بررسی قرار داده و فرض می</w:t>
      </w:r>
      <w:r w:rsidRPr="00A62AA2">
        <w:rPr>
          <w:i/>
          <w:color w:val="222222"/>
          <w:sz w:val="23"/>
          <w:szCs w:val="23"/>
          <w:shd w:val="clear" w:color="auto" w:fill="FFFFFF"/>
        </w:rPr>
        <w:softHyphen/>
      </w:r>
      <w:r w:rsidRPr="00A62AA2">
        <w:rPr>
          <w:rFonts w:hint="cs"/>
          <w:i/>
          <w:color w:val="222222"/>
          <w:sz w:val="23"/>
          <w:szCs w:val="23"/>
          <w:shd w:val="clear" w:color="auto" w:fill="FFFFFF"/>
          <w:rtl/>
        </w:rPr>
        <w:t>کنیم که کنترل سرمایه وجود ندارد و تراز پرداخت‌ها، خالص موجودی خارجی را تعیین خواهد کرد. از آنجا که نرخ ارز بسیار سریع</w:t>
      </w:r>
      <w:r w:rsidRPr="00A62AA2">
        <w:rPr>
          <w:rFonts w:hint="cs"/>
          <w:i/>
          <w:color w:val="222222"/>
          <w:sz w:val="23"/>
          <w:szCs w:val="23"/>
          <w:shd w:val="clear" w:color="auto" w:fill="FFFFFF"/>
          <w:rtl/>
        </w:rPr>
        <w:softHyphen/>
        <w:t>تر از تولید و قیمت‌ها تعدیل می</w:t>
      </w:r>
      <w:r w:rsidRPr="00A62AA2">
        <w:rPr>
          <w:i/>
          <w:color w:val="222222"/>
          <w:sz w:val="23"/>
          <w:szCs w:val="23"/>
          <w:shd w:val="clear" w:color="auto" w:fill="FFFFFF"/>
        </w:rPr>
        <w:softHyphen/>
      </w:r>
      <w:r w:rsidRPr="00A62AA2">
        <w:rPr>
          <w:rFonts w:hint="cs"/>
          <w:i/>
          <w:color w:val="222222"/>
          <w:sz w:val="23"/>
          <w:szCs w:val="23"/>
          <w:shd w:val="clear" w:color="auto" w:fill="FFFFFF"/>
          <w:rtl/>
        </w:rPr>
        <w:t>شود، لذا فرض می‌شود که</w:t>
      </w:r>
      <w:r w:rsidRPr="00A62AA2">
        <w:rPr>
          <w:position w:val="-8"/>
        </w:rPr>
        <w:object w:dxaOrig="200" w:dyaOrig="220" w14:anchorId="44CB419D">
          <v:shape id="_x0000_i6116" type="#_x0000_t75" style="width:10.3pt;height:10.9pt" o:ole="">
            <v:imagedata r:id="rId10265" o:title=""/>
          </v:shape>
          <o:OLEObject Type="Embed" ProgID="Equation.DSMT4" ShapeID="_x0000_i6116" DrawAspect="Content" ObjectID="_1791380060" r:id="rId10266"/>
        </w:object>
      </w:r>
      <w:r w:rsidRPr="00A62AA2">
        <w:rPr>
          <w:i/>
          <w:color w:val="222222"/>
          <w:sz w:val="23"/>
          <w:szCs w:val="23"/>
          <w:shd w:val="clear" w:color="auto" w:fill="FFFFFF"/>
        </w:rPr>
        <w:t xml:space="preserve"> </w:t>
      </w:r>
      <w:r w:rsidRPr="00A62AA2">
        <w:rPr>
          <w:rFonts w:hint="cs"/>
          <w:i/>
          <w:color w:val="222222"/>
          <w:sz w:val="23"/>
          <w:szCs w:val="23"/>
          <w:shd w:val="clear" w:color="auto" w:fill="FFFFFF"/>
          <w:rtl/>
        </w:rPr>
        <w:t>و</w:t>
      </w:r>
      <w:r w:rsidRPr="00A62AA2">
        <w:rPr>
          <w:position w:val="-8"/>
        </w:rPr>
        <w:object w:dxaOrig="220" w:dyaOrig="220" w14:anchorId="44A10059">
          <v:shape id="_x0000_i6117" type="#_x0000_t75" style="width:10.9pt;height:10.9pt" o:ole="">
            <v:imagedata r:id="rId10267" o:title=""/>
          </v:shape>
          <o:OLEObject Type="Embed" ProgID="Equation.DSMT4" ShapeID="_x0000_i6117" DrawAspect="Content" ObjectID="_1791380061" r:id="rId10268"/>
        </w:object>
      </w:r>
      <w:r w:rsidRPr="00A62AA2">
        <w:rPr>
          <w:rFonts w:hint="cs"/>
          <w:i/>
          <w:color w:val="222222"/>
          <w:sz w:val="23"/>
          <w:szCs w:val="23"/>
          <w:shd w:val="clear" w:color="auto" w:fill="FFFFFF"/>
          <w:rtl/>
        </w:rPr>
        <w:t xml:space="preserve"> برونزا می‌باشند. سپس این مدل برای تعیین</w:t>
      </w:r>
      <w:r w:rsidRPr="00A62AA2">
        <w:rPr>
          <w:position w:val="-8"/>
        </w:rPr>
        <w:object w:dxaOrig="180" w:dyaOrig="279" w14:anchorId="6F9727C7">
          <v:shape id="_x0000_i6118" type="#_x0000_t75" style="width:9.1pt;height:13.9pt" o:ole="">
            <v:imagedata r:id="rId10269" o:title=""/>
          </v:shape>
          <o:OLEObject Type="Embed" ProgID="Equation.DSMT4" ShapeID="_x0000_i6118" DrawAspect="Content" ObjectID="_1791380062" r:id="rId10270"/>
        </w:object>
      </w:r>
      <w:r w:rsidRPr="00A62AA2">
        <w:rPr>
          <w:rFonts w:hint="cs"/>
          <w:i/>
          <w:color w:val="222222"/>
          <w:sz w:val="23"/>
          <w:szCs w:val="23"/>
          <w:shd w:val="clear" w:color="auto" w:fill="FFFFFF"/>
          <w:rtl/>
        </w:rPr>
        <w:t xml:space="preserve">، </w:t>
      </w:r>
      <w:r w:rsidRPr="00A62AA2">
        <w:rPr>
          <w:position w:val="-6"/>
        </w:rPr>
        <w:object w:dxaOrig="160" w:dyaOrig="200" w14:anchorId="14DDE825">
          <v:shape id="_x0000_i6119" type="#_x0000_t75" style="width:7.85pt;height:10.3pt" o:ole="">
            <v:imagedata r:id="rId10271" o:title=""/>
          </v:shape>
          <o:OLEObject Type="Embed" ProgID="Equation.DSMT4" ShapeID="_x0000_i6119" DrawAspect="Content" ObjectID="_1791380063" r:id="rId10272"/>
        </w:object>
      </w:r>
      <w:r w:rsidRPr="00A62AA2">
        <w:rPr>
          <w:rFonts w:hint="cs"/>
          <w:i/>
          <w:color w:val="222222"/>
          <w:sz w:val="23"/>
          <w:szCs w:val="23"/>
          <w:shd w:val="clear" w:color="auto" w:fill="FFFFFF"/>
          <w:rtl/>
        </w:rPr>
        <w:t xml:space="preserve"> و</w:t>
      </w:r>
      <w:r w:rsidRPr="00A62AA2">
        <w:rPr>
          <w:position w:val="-6"/>
        </w:rPr>
        <w:object w:dxaOrig="240" w:dyaOrig="260" w14:anchorId="201F87D2">
          <v:shape id="_x0000_i6120" type="#_x0000_t75" style="width:11.5pt;height:13.3pt" o:ole="">
            <v:imagedata r:id="rId10273" o:title=""/>
          </v:shape>
          <o:OLEObject Type="Embed" ProgID="Equation.DSMT4" ShapeID="_x0000_i6120" DrawAspect="Content" ObjectID="_1791380064" r:id="rId10274"/>
        </w:object>
      </w:r>
      <w:r w:rsidRPr="00A62AA2">
        <w:rPr>
          <w:i/>
          <w:color w:val="222222"/>
          <w:sz w:val="23"/>
          <w:szCs w:val="23"/>
          <w:shd w:val="clear" w:color="auto" w:fill="FFFFFF"/>
        </w:rPr>
        <w:t xml:space="preserve"> </w:t>
      </w:r>
      <w:r w:rsidRPr="00A62AA2">
        <w:rPr>
          <w:rFonts w:hint="cs"/>
          <w:i/>
          <w:color w:val="222222"/>
          <w:sz w:val="23"/>
          <w:szCs w:val="23"/>
          <w:shd w:val="clear" w:color="auto" w:fill="FFFFFF"/>
          <w:rtl/>
        </w:rPr>
        <w:t>با برون‌زا بودن</w:t>
      </w:r>
      <w:r w:rsidRPr="00A62AA2">
        <w:rPr>
          <w:i/>
          <w:color w:val="222222"/>
          <w:sz w:val="23"/>
          <w:szCs w:val="23"/>
          <w:shd w:val="clear" w:color="auto" w:fill="FFFFFF"/>
        </w:rPr>
        <w:t xml:space="preserve"> </w:t>
      </w:r>
      <w:r w:rsidRPr="00A62AA2">
        <w:rPr>
          <w:rFonts w:hint="cs"/>
          <w:i/>
          <w:color w:val="222222"/>
          <w:sz w:val="23"/>
          <w:szCs w:val="23"/>
          <w:shd w:val="clear" w:color="auto" w:fill="FFFFFF"/>
          <w:rtl/>
        </w:rPr>
        <w:t>چهار متغیر</w:t>
      </w:r>
      <w:r w:rsidRPr="00A62AA2">
        <w:rPr>
          <w:position w:val="-8"/>
        </w:rPr>
        <w:object w:dxaOrig="660" w:dyaOrig="220" w14:anchorId="74AA357D">
          <v:shape id="_x0000_i6121" type="#_x0000_t75" style="width:32.65pt;height:10.9pt" o:ole="">
            <v:imagedata r:id="rId10275" o:title=""/>
          </v:shape>
          <o:OLEObject Type="Embed" ProgID="Equation.DSMT4" ShapeID="_x0000_i6121" DrawAspect="Content" ObjectID="_1791380065" r:id="rId10276"/>
        </w:object>
      </w:r>
      <w:r w:rsidRPr="00A62AA2">
        <w:rPr>
          <w:rFonts w:hint="cs"/>
          <w:i/>
          <w:color w:val="222222"/>
          <w:sz w:val="23"/>
          <w:szCs w:val="23"/>
          <w:shd w:val="clear" w:color="auto" w:fill="FFFFFF"/>
          <w:rtl/>
        </w:rPr>
        <w:t xml:space="preserve"> و</w:t>
      </w:r>
      <w:r w:rsidRPr="00A62AA2">
        <w:rPr>
          <w:position w:val="-6"/>
        </w:rPr>
        <w:object w:dxaOrig="300" w:dyaOrig="300" w14:anchorId="40D2F113">
          <v:shape id="_x0000_i6122" type="#_x0000_t75" style="width:14.5pt;height:14.5pt" o:ole="">
            <v:imagedata r:id="rId10277" o:title=""/>
          </v:shape>
          <o:OLEObject Type="Embed" ProgID="Equation.DSMT4" ShapeID="_x0000_i6122" DrawAspect="Content" ObjectID="_1791380066" r:id="rId10278"/>
        </w:object>
      </w:r>
      <w:r w:rsidRPr="00A62AA2">
        <w:rPr>
          <w:rFonts w:hint="cs"/>
          <w:i/>
          <w:color w:val="222222"/>
          <w:sz w:val="23"/>
          <w:szCs w:val="23"/>
          <w:shd w:val="clear" w:color="auto" w:fill="FFFFFF"/>
          <w:rtl/>
        </w:rPr>
        <w:t xml:space="preserve"> مورد استفاده قرار می‌گیرد. اگر چه نرخ ارز شناور است، در مدل کینزین، فرض می‌کنیم که</w:t>
      </w:r>
      <w:r w:rsidRPr="00A62AA2">
        <w:rPr>
          <w:position w:val="-6"/>
        </w:rPr>
        <w:object w:dxaOrig="160" w:dyaOrig="260" w14:anchorId="777738B2">
          <v:shape id="_x0000_i6123" type="#_x0000_t75" style="width:7.85pt;height:13.3pt" o:ole="">
            <v:imagedata r:id="rId10279" o:title=""/>
          </v:shape>
          <o:OLEObject Type="Embed" ProgID="Equation.DSMT4" ShapeID="_x0000_i6123" DrawAspect="Content" ObjectID="_1791380067" r:id="rId10280"/>
        </w:object>
      </w:r>
      <w:r w:rsidRPr="00A62AA2">
        <w:rPr>
          <w:rFonts w:hint="cs"/>
          <w:i/>
          <w:color w:val="222222"/>
          <w:sz w:val="23"/>
          <w:szCs w:val="23"/>
          <w:shd w:val="clear" w:color="auto" w:fill="FFFFFF"/>
          <w:rtl/>
        </w:rPr>
        <w:t xml:space="preserve"> یا نرخ تغییرات انتظاری آن برابر صفر است. </w:t>
      </w:r>
    </w:p>
    <w:p w14:paraId="136B4E86"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حل این مدل به صورت بازگشتی است. ابتدا</w:t>
      </w:r>
      <w:r w:rsidRPr="00A62AA2">
        <w:rPr>
          <w:position w:val="-6"/>
        </w:rPr>
        <w:object w:dxaOrig="240" w:dyaOrig="260" w14:anchorId="33C6F9DA">
          <v:shape id="_x0000_i6124" type="#_x0000_t75" style="width:11.5pt;height:13.3pt" o:ole="">
            <v:imagedata r:id="rId10281" o:title=""/>
          </v:shape>
          <o:OLEObject Type="Embed" ProgID="Equation.DSMT4" ShapeID="_x0000_i6124" DrawAspect="Content" ObjectID="_1791380068" r:id="rId10282"/>
        </w:object>
      </w:r>
      <w:r w:rsidRPr="00A62AA2">
        <w:rPr>
          <w:rFonts w:hint="cs"/>
          <w:i/>
          <w:sz w:val="23"/>
          <w:szCs w:val="23"/>
          <w:shd w:val="clear" w:color="auto" w:fill="FFFFFF"/>
          <w:rtl/>
        </w:rPr>
        <w:t xml:space="preserve"> </w:t>
      </w:r>
      <w:r w:rsidRPr="00A62AA2">
        <w:rPr>
          <w:rFonts w:hint="cs"/>
          <w:i/>
          <w:color w:val="222222"/>
          <w:sz w:val="23"/>
          <w:szCs w:val="23"/>
          <w:shd w:val="clear" w:color="auto" w:fill="FFFFFF"/>
          <w:rtl/>
        </w:rPr>
        <w:t>از معادله‌ی</w:t>
      </w:r>
      <w:r w:rsidRPr="00025957">
        <w:rPr>
          <w:position w:val="-4"/>
        </w:rPr>
        <w:object w:dxaOrig="440" w:dyaOrig="240" w14:anchorId="736BFD54">
          <v:shape id="_x0000_i6125" type="#_x0000_t75" style="width:21.8pt;height:11.5pt" o:ole="">
            <v:imagedata r:id="rId10283" o:title=""/>
          </v:shape>
          <o:OLEObject Type="Embed" ProgID="Equation.DSMT4" ShapeID="_x0000_i6125" DrawAspect="Content" ObjectID="_1791380069" r:id="rId10284"/>
        </w:object>
      </w:r>
      <w:r w:rsidRPr="00A62AA2">
        <w:rPr>
          <w:rFonts w:hint="cs"/>
          <w:i/>
          <w:color w:val="222222"/>
          <w:sz w:val="23"/>
          <w:szCs w:val="23"/>
          <w:shd w:val="clear" w:color="auto" w:fill="FFFFFF"/>
          <w:rtl/>
        </w:rPr>
        <w:t xml:space="preserve"> به دست می‌آید، سپس</w:t>
      </w:r>
      <w:r w:rsidRPr="00A62AA2">
        <w:rPr>
          <w:position w:val="-6"/>
        </w:rPr>
        <w:object w:dxaOrig="160" w:dyaOrig="200" w14:anchorId="10E27741">
          <v:shape id="_x0000_i6126" type="#_x0000_t75" style="width:7.85pt;height:10.3pt" o:ole="">
            <v:imagedata r:id="rId10285" o:title=""/>
          </v:shape>
          <o:OLEObject Type="Embed" ProgID="Equation.DSMT4" ShapeID="_x0000_i6126" DrawAspect="Content" ObjectID="_1791380070" r:id="rId10286"/>
        </w:object>
      </w:r>
      <w:r w:rsidRPr="00A62AA2">
        <w:rPr>
          <w:i/>
          <w:color w:val="222222"/>
          <w:sz w:val="23"/>
          <w:szCs w:val="23"/>
          <w:shd w:val="clear" w:color="auto" w:fill="FFFFFF"/>
        </w:rPr>
        <w:t xml:space="preserve"> </w:t>
      </w:r>
      <w:r w:rsidRPr="00A62AA2">
        <w:rPr>
          <w:rFonts w:hint="cs"/>
          <w:i/>
          <w:color w:val="222222"/>
          <w:sz w:val="23"/>
          <w:szCs w:val="23"/>
          <w:shd w:val="clear" w:color="auto" w:fill="FFFFFF"/>
          <w:rtl/>
        </w:rPr>
        <w:t>از معادلات</w:t>
      </w:r>
      <w:r w:rsidRPr="00A62AA2">
        <w:rPr>
          <w:position w:val="-6"/>
        </w:rPr>
        <w:object w:dxaOrig="320" w:dyaOrig="260" w14:anchorId="5B05B647">
          <v:shape id="_x0000_i6127" type="#_x0000_t75" style="width:15.75pt;height:13.3pt" o:ole="">
            <v:imagedata r:id="rId10287" o:title=""/>
          </v:shape>
          <o:OLEObject Type="Embed" ProgID="Equation.DSMT4" ShapeID="_x0000_i6127" DrawAspect="Content" ObjectID="_1791380071" r:id="rId10288"/>
        </w:object>
      </w:r>
      <w:r w:rsidRPr="00A62AA2">
        <w:rPr>
          <w:i/>
          <w:sz w:val="23"/>
          <w:szCs w:val="23"/>
          <w:shd w:val="clear" w:color="auto" w:fill="FFFFFF"/>
        </w:rPr>
        <w:t xml:space="preserve"> </w:t>
      </w:r>
      <w:r w:rsidRPr="00A62AA2">
        <w:rPr>
          <w:rFonts w:hint="cs"/>
          <w:i/>
          <w:color w:val="222222"/>
          <w:sz w:val="23"/>
          <w:szCs w:val="23"/>
          <w:shd w:val="clear" w:color="auto" w:fill="FFFFFF"/>
          <w:rtl/>
        </w:rPr>
        <w:t>و</w:t>
      </w:r>
      <w:r w:rsidRPr="00025957">
        <w:rPr>
          <w:position w:val="-4"/>
        </w:rPr>
        <w:object w:dxaOrig="440" w:dyaOrig="240" w14:anchorId="052EAE71">
          <v:shape id="_x0000_i6128" type="#_x0000_t75" style="width:21.8pt;height:11.5pt" o:ole="">
            <v:imagedata r:id="rId10289" o:title=""/>
          </v:shape>
          <o:OLEObject Type="Embed" ProgID="Equation.DSMT4" ShapeID="_x0000_i6128" DrawAspect="Content" ObjectID="_1791380072" r:id="rId10290"/>
        </w:object>
      </w:r>
      <w:r w:rsidRPr="00A62AA2">
        <w:rPr>
          <w:i/>
          <w:color w:val="222222"/>
          <w:sz w:val="23"/>
          <w:szCs w:val="23"/>
          <w:shd w:val="clear" w:color="auto" w:fill="FFFFFF"/>
        </w:rPr>
        <w:t xml:space="preserve"> </w:t>
      </w:r>
      <w:r w:rsidRPr="00A62AA2">
        <w:rPr>
          <w:rFonts w:hint="cs"/>
          <w:i/>
          <w:color w:val="222222"/>
          <w:sz w:val="23"/>
          <w:szCs w:val="23"/>
          <w:shd w:val="clear" w:color="auto" w:fill="FFFFFF"/>
          <w:rtl/>
        </w:rPr>
        <w:t>(یا معادل و هم ارز آن از معادله‌ی</w:t>
      </w:r>
      <w:r w:rsidRPr="00025957">
        <w:rPr>
          <w:position w:val="-4"/>
        </w:rPr>
        <w:object w:dxaOrig="400" w:dyaOrig="240" w14:anchorId="6AE6E70F">
          <v:shape id="_x0000_i6129" type="#_x0000_t75" style="width:19.95pt;height:11.5pt" o:ole="">
            <v:imagedata r:id="rId10291" o:title=""/>
          </v:shape>
          <o:OLEObject Type="Embed" ProgID="Equation.DSMT4" ShapeID="_x0000_i6129" DrawAspect="Content" ObjectID="_1791380073" r:id="rId10292"/>
        </w:object>
      </w:r>
      <w:r w:rsidRPr="00A62AA2">
        <w:rPr>
          <w:rFonts w:hint="cs"/>
          <w:i/>
          <w:sz w:val="23"/>
          <w:szCs w:val="23"/>
          <w:shd w:val="clear" w:color="auto" w:fill="FFFFFF"/>
          <w:rtl/>
        </w:rPr>
        <w:t>) و</w:t>
      </w:r>
      <w:r w:rsidRPr="00A62AA2">
        <w:rPr>
          <w:position w:val="-8"/>
        </w:rPr>
        <w:object w:dxaOrig="180" w:dyaOrig="279" w14:anchorId="373B2BA0">
          <v:shape id="_x0000_i6130" type="#_x0000_t75" style="width:9.1pt;height:13.9pt" o:ole="">
            <v:imagedata r:id="rId10293" o:title=""/>
          </v:shape>
          <o:OLEObject Type="Embed" ProgID="Equation.DSMT4" ShapeID="_x0000_i6130" DrawAspect="Content" ObjectID="_1791380074" r:id="rId10294"/>
        </w:object>
      </w:r>
      <w:r w:rsidRPr="00A62AA2">
        <w:rPr>
          <w:rFonts w:hint="cs"/>
          <w:i/>
          <w:color w:val="222222"/>
          <w:sz w:val="23"/>
          <w:szCs w:val="23"/>
          <w:shd w:val="clear" w:color="auto" w:fill="FFFFFF"/>
          <w:rtl/>
        </w:rPr>
        <w:t xml:space="preserve"> از ترازپرداخت‌ها به دست خواهد آمد. حل این مسئله عبارت است از </w:t>
      </w:r>
    </w:p>
    <w:p w14:paraId="16B029D9" w14:textId="77777777" w:rsidR="00556C10" w:rsidRPr="00A62AA2" w:rsidRDefault="00556C10" w:rsidP="00556C10">
      <w:pPr>
        <w:bidi w:val="0"/>
        <w:spacing w:line="216" w:lineRule="auto"/>
        <w:rPr>
          <w:rFonts w:eastAsiaTheme="minorHAnsi"/>
          <w:i/>
          <w:sz w:val="23"/>
          <w:szCs w:val="23"/>
          <w:shd w:val="clear" w:color="auto" w:fill="FFFFFF"/>
          <w:rtl/>
        </w:rPr>
      </w:pPr>
      <w:r w:rsidRPr="00A62AA2">
        <w:rPr>
          <w:position w:val="-22"/>
        </w:rPr>
        <w:object w:dxaOrig="1340" w:dyaOrig="560" w14:anchorId="740578A8">
          <v:shape id="_x0000_i6131" type="#_x0000_t75" style="width:67.15pt;height:27.85pt" o:ole="">
            <v:imagedata r:id="rId10295" o:title=""/>
          </v:shape>
          <o:OLEObject Type="Embed" ProgID="Equation.DSMT4" ShapeID="_x0000_i6131" DrawAspect="Content" ObjectID="_1791380075" r:id="rId10296"/>
        </w:object>
      </w:r>
    </w:p>
    <w:p w14:paraId="7F422206" w14:textId="77777777" w:rsidR="00556C10" w:rsidRPr="00A62AA2" w:rsidRDefault="00556C10" w:rsidP="00556C10">
      <w:pPr>
        <w:bidi w:val="0"/>
        <w:spacing w:line="216" w:lineRule="auto"/>
        <w:rPr>
          <w:i/>
          <w:sz w:val="23"/>
          <w:szCs w:val="23"/>
          <w:shd w:val="clear" w:color="auto" w:fill="FFFFFF"/>
        </w:rPr>
      </w:pPr>
      <w:r w:rsidRPr="00A62AA2">
        <w:rPr>
          <w:position w:val="-22"/>
        </w:rPr>
        <w:object w:dxaOrig="3720" w:dyaOrig="560" w14:anchorId="10F2B594">
          <v:shape id="_x0000_i6132" type="#_x0000_t75" style="width:185.75pt;height:27.85pt" o:ole="">
            <v:imagedata r:id="rId10297" o:title=""/>
          </v:shape>
          <o:OLEObject Type="Embed" ProgID="Equation.DSMT4" ShapeID="_x0000_i6132" DrawAspect="Content" ObjectID="_1791380076" r:id="rId10298"/>
        </w:object>
      </w:r>
    </w:p>
    <w:p w14:paraId="2720493A" w14:textId="77777777" w:rsidR="00556C10" w:rsidRPr="00A62AA2" w:rsidRDefault="00556C10" w:rsidP="00556C10">
      <w:pPr>
        <w:spacing w:line="216" w:lineRule="auto"/>
        <w:rPr>
          <w:i/>
          <w:color w:val="222222"/>
          <w:sz w:val="23"/>
          <w:szCs w:val="23"/>
          <w:shd w:val="clear" w:color="auto" w:fill="FFFFFF"/>
        </w:rPr>
      </w:pPr>
      <w:r w:rsidRPr="00A62AA2">
        <w:rPr>
          <w:rFonts w:hint="cs"/>
          <w:i/>
          <w:color w:val="222222"/>
          <w:sz w:val="23"/>
          <w:szCs w:val="23"/>
          <w:shd w:val="clear" w:color="auto" w:fill="FFFFFF"/>
          <w:rtl/>
        </w:rPr>
        <w:t>انتظار می‌رود که با انبساط پولی و مالی نرخ ارز افزایش یابد. یک انبساط مالی باعث افزایش تقاضای داخلی، و چون تولید و قیمت‌ها ثابت</w:t>
      </w:r>
      <w:r w:rsidRPr="00A62AA2">
        <w:rPr>
          <w:rFonts w:hint="cs"/>
          <w:i/>
          <w:color w:val="222222"/>
          <w:sz w:val="23"/>
          <w:szCs w:val="23"/>
          <w:shd w:val="clear" w:color="auto" w:fill="FFFFFF"/>
          <w:rtl/>
        </w:rPr>
        <w:softHyphen/>
        <w:t xml:space="preserve">اند، افزایش تقاضای داخلی مستلزم کاهش خالص صادرات (تجارت) است که این کاهش از طریق افزایش نرخ ارز صورت می‌گیرد. همچنین ترازتجاری ضعیف‌تر باعث کاهش خالص دارایی‌های خارجی می‌شود. انبساط پولی، نرخ بهره‌ی داخلی را کاهش و تقاضای داخلی را افزایش می‌دهد، بنابراین ارزش پول داخلی می‌بایست تضعیف شود. اثر خالص دارایی خارجی به درجه‌ی جانشینی دارایی‌های داخلی و خارجی وابسته است؛ با جانشینی بیشتر احتمال افزایش خالص دارایی‌ها بیشتر می‌شود. </w:t>
      </w:r>
    </w:p>
    <w:p w14:paraId="1CA5F217" w14:textId="77777777" w:rsidR="00556C10" w:rsidRPr="00A62AA2" w:rsidRDefault="00556C10" w:rsidP="00556C10">
      <w:pPr>
        <w:bidi w:val="0"/>
        <w:spacing w:line="216" w:lineRule="auto"/>
        <w:rPr>
          <w:i/>
          <w:color w:val="222222"/>
          <w:sz w:val="23"/>
          <w:szCs w:val="23"/>
          <w:shd w:val="clear" w:color="auto" w:fill="FFFFFF"/>
          <w:rtl/>
        </w:rPr>
      </w:pPr>
      <w:r w:rsidRPr="00A62AA2">
        <w:rPr>
          <w:position w:val="-54"/>
        </w:rPr>
        <w:object w:dxaOrig="5480" w:dyaOrig="1180" w14:anchorId="4A2C9BA6">
          <v:shape id="_x0000_i6133" type="#_x0000_t75" style="width:273.5pt;height:58.7pt" o:ole="">
            <v:imagedata r:id="rId10299" o:title=""/>
          </v:shape>
          <o:OLEObject Type="Embed" ProgID="Equation.DSMT4" ShapeID="_x0000_i6133" DrawAspect="Content" ObjectID="_1791380077" r:id="rId10300"/>
        </w:object>
      </w:r>
    </w:p>
    <w:p w14:paraId="254522CA"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این تجزیه و تحلیل برای کوتاه‌مدت بسیار مناسب است. در دوره‌ی زمانی بلند‌مدت سناریوهای آلترناتیو همانند تعدیل قیمت‌ها و تولید مناسب‌تر است. فرض کنید که اقتصاد باز و کوچک است و بنابراین نرخ‌های بهره</w:t>
      </w:r>
      <w:r w:rsidRPr="00A62AA2">
        <w:rPr>
          <w:rFonts w:hint="cs"/>
          <w:i/>
          <w:color w:val="222222"/>
          <w:sz w:val="23"/>
          <w:szCs w:val="23"/>
          <w:shd w:val="clear" w:color="auto" w:fill="FFFFFF"/>
          <w:rtl/>
        </w:rPr>
        <w:softHyphen/>
        <w:t>ی خارجی بر اقتصاد داخلی تأثیر می</w:t>
      </w:r>
      <w:r w:rsidRPr="00A62AA2">
        <w:rPr>
          <w:rFonts w:hint="cs"/>
          <w:i/>
          <w:color w:val="222222"/>
          <w:sz w:val="23"/>
          <w:szCs w:val="23"/>
          <w:shd w:val="clear" w:color="auto" w:fill="FFFFFF"/>
          <w:rtl/>
        </w:rPr>
        <w:softHyphen/>
        <w:t>گذارد. همچنین، ذخائر اقتصاد در تعادل است بطوری</w:t>
      </w:r>
      <w:r w:rsidRPr="00A62AA2">
        <w:rPr>
          <w:rFonts w:hint="cs"/>
          <w:i/>
          <w:color w:val="222222"/>
          <w:sz w:val="23"/>
          <w:szCs w:val="23"/>
          <w:shd w:val="clear" w:color="auto" w:fill="FFFFFF"/>
          <w:rtl/>
        </w:rPr>
        <w:softHyphen/>
        <w:t xml:space="preserve">که </w:t>
      </w:r>
      <w:r w:rsidRPr="00A62AA2">
        <w:rPr>
          <w:position w:val="-8"/>
        </w:rPr>
        <w:object w:dxaOrig="639" w:dyaOrig="279" w14:anchorId="2C5C0194">
          <v:shape id="_x0000_i6134" type="#_x0000_t75" style="width:32.05pt;height:13.9pt" o:ole="">
            <v:imagedata r:id="rId10301" o:title=""/>
          </v:shape>
          <o:OLEObject Type="Embed" ProgID="Equation.DSMT4" ShapeID="_x0000_i6134" DrawAspect="Content" ObjectID="_1791380078" r:id="rId10302"/>
        </w:object>
      </w:r>
      <w:r w:rsidRPr="00A62AA2">
        <w:rPr>
          <w:rFonts w:hint="cs"/>
          <w:i/>
          <w:color w:val="222222"/>
          <w:sz w:val="23"/>
          <w:szCs w:val="23"/>
          <w:shd w:val="clear" w:color="auto" w:fill="FFFFFF"/>
          <w:rtl/>
        </w:rPr>
        <w:t xml:space="preserve">. این مدل را می‌توان با تعادل جریان به صورت زیر بازنویسی کرد </w:t>
      </w:r>
    </w:p>
    <w:p w14:paraId="68546F54" w14:textId="77777777" w:rsidR="00556C10" w:rsidRPr="00A62AA2" w:rsidRDefault="00556C10" w:rsidP="00556C10">
      <w:pPr>
        <w:bidi w:val="0"/>
        <w:spacing w:line="216" w:lineRule="auto"/>
        <w:rPr>
          <w:i/>
          <w:color w:val="222222"/>
          <w:sz w:val="23"/>
          <w:szCs w:val="23"/>
          <w:shd w:val="clear" w:color="auto" w:fill="FFFFFF"/>
          <w:rtl/>
        </w:rPr>
      </w:pPr>
      <w:r w:rsidRPr="00A62AA2">
        <w:rPr>
          <w:position w:val="-16"/>
        </w:rPr>
        <w:object w:dxaOrig="3159" w:dyaOrig="420" w14:anchorId="60B54F2C">
          <v:shape id="_x0000_i6135" type="#_x0000_t75" style="width:157.9pt;height:21.2pt" o:ole="">
            <v:imagedata r:id="rId10303" o:title=""/>
          </v:shape>
          <o:OLEObject Type="Embed" ProgID="Equation.DSMT4" ShapeID="_x0000_i6135" DrawAspect="Content" ObjectID="_1791380079" r:id="rId10304"/>
        </w:object>
      </w:r>
    </w:p>
    <w:p w14:paraId="0A3FE274" w14:textId="77777777" w:rsidR="00556C10" w:rsidRPr="00A62AA2" w:rsidRDefault="00556C10" w:rsidP="00556C10">
      <w:pPr>
        <w:bidi w:val="0"/>
        <w:spacing w:line="216" w:lineRule="auto"/>
        <w:rPr>
          <w:i/>
          <w:color w:val="222222"/>
          <w:sz w:val="23"/>
          <w:szCs w:val="23"/>
          <w:shd w:val="clear" w:color="auto" w:fill="FFFFFF"/>
        </w:rPr>
      </w:pPr>
      <w:r w:rsidRPr="00A62AA2">
        <w:rPr>
          <w:position w:val="-8"/>
        </w:rPr>
        <w:object w:dxaOrig="1500" w:dyaOrig="320" w14:anchorId="26AB44F8">
          <v:shape id="_x0000_i6136" type="#_x0000_t75" style="width:75.05pt;height:15.75pt" o:ole="">
            <v:imagedata r:id="rId10305" o:title=""/>
          </v:shape>
          <o:OLEObject Type="Embed" ProgID="Equation.DSMT4" ShapeID="_x0000_i6136" DrawAspect="Content" ObjectID="_1791380080" r:id="rId10306"/>
        </w:object>
      </w:r>
    </w:p>
    <w:p w14:paraId="4FDF360F" w14:textId="77777777" w:rsidR="00556C10" w:rsidRPr="00A62AA2" w:rsidRDefault="00556C10" w:rsidP="00556C10">
      <w:pPr>
        <w:bidi w:val="0"/>
        <w:spacing w:line="216" w:lineRule="auto"/>
        <w:rPr>
          <w:rFonts w:eastAsiaTheme="minorHAnsi" w:cstheme="minorBidi"/>
          <w:i/>
          <w:sz w:val="23"/>
          <w:szCs w:val="23"/>
        </w:rPr>
      </w:pPr>
      <w:r w:rsidRPr="00A62AA2">
        <w:rPr>
          <w:position w:val="-16"/>
        </w:rPr>
        <w:object w:dxaOrig="2500" w:dyaOrig="420" w14:anchorId="1381ACD9">
          <v:shape id="_x0000_i6137" type="#_x0000_t75" style="width:125.25pt;height:21.2pt" o:ole="">
            <v:imagedata r:id="rId10307" o:title=""/>
          </v:shape>
          <o:OLEObject Type="Embed" ProgID="Equation.DSMT4" ShapeID="_x0000_i6137" DrawAspect="Content" ObjectID="_1791380081" r:id="rId10308"/>
        </w:object>
      </w:r>
    </w:p>
    <w:p w14:paraId="4129C6F3"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اکنون می‌توان</w:t>
      </w:r>
      <w:r w:rsidRPr="00A62AA2">
        <w:rPr>
          <w:position w:val="-8"/>
        </w:rPr>
        <w:object w:dxaOrig="360" w:dyaOrig="220" w14:anchorId="70D0B0A2">
          <v:shape id="_x0000_i6138" type="#_x0000_t75" style="width:18.15pt;height:10.9pt" o:ole="">
            <v:imagedata r:id="rId10309" o:title=""/>
          </v:shape>
          <o:OLEObject Type="Embed" ProgID="Equation.DSMT4" ShapeID="_x0000_i6138" DrawAspect="Content" ObjectID="_1791380082" r:id="rId10310"/>
        </w:object>
      </w:r>
      <w:r w:rsidRPr="00A62AA2">
        <w:rPr>
          <w:rFonts w:hint="cs"/>
          <w:i/>
          <w:color w:val="222222"/>
          <w:sz w:val="23"/>
          <w:szCs w:val="23"/>
          <w:shd w:val="clear" w:color="auto" w:fill="FFFFFF"/>
          <w:rtl/>
        </w:rPr>
        <w:t xml:space="preserve"> و</w:t>
      </w:r>
      <w:r w:rsidRPr="00A62AA2">
        <w:rPr>
          <w:position w:val="-8"/>
        </w:rPr>
        <w:object w:dxaOrig="220" w:dyaOrig="220" w14:anchorId="111532B6">
          <v:shape id="_x0000_i6139" type="#_x0000_t75" style="width:10.9pt;height:10.9pt" o:ole="">
            <v:imagedata r:id="rId10311" o:title=""/>
          </v:shape>
          <o:OLEObject Type="Embed" ProgID="Equation.DSMT4" ShapeID="_x0000_i6139" DrawAspect="Content" ObjectID="_1791380083" r:id="rId10312"/>
        </w:object>
      </w:r>
      <w:r w:rsidRPr="00A62AA2">
        <w:rPr>
          <w:rFonts w:hint="cs"/>
          <w:i/>
          <w:color w:val="222222"/>
          <w:sz w:val="23"/>
          <w:szCs w:val="23"/>
          <w:shd w:val="clear" w:color="auto" w:fill="FFFFFF"/>
          <w:rtl/>
        </w:rPr>
        <w:t xml:space="preserve"> را بجای</w:t>
      </w:r>
      <w:r w:rsidRPr="00A62AA2">
        <w:rPr>
          <w:position w:val="-8"/>
        </w:rPr>
        <w:object w:dxaOrig="400" w:dyaOrig="279" w14:anchorId="75472D55">
          <v:shape id="_x0000_i6140" type="#_x0000_t75" style="width:19.95pt;height:13.9pt" o:ole="">
            <v:imagedata r:id="rId10313" o:title=""/>
          </v:shape>
          <o:OLEObject Type="Embed" ProgID="Equation.DSMT4" ShapeID="_x0000_i6140" DrawAspect="Content" ObjectID="_1791380084" r:id="rId10314"/>
        </w:object>
      </w:r>
      <w:r w:rsidRPr="00A62AA2">
        <w:rPr>
          <w:rFonts w:hint="cs"/>
          <w:i/>
          <w:color w:val="222222"/>
          <w:sz w:val="23"/>
          <w:szCs w:val="23"/>
          <w:shd w:val="clear" w:color="auto" w:fill="FFFFFF"/>
          <w:rtl/>
        </w:rPr>
        <w:t xml:space="preserve"> و</w:t>
      </w:r>
      <w:r w:rsidRPr="00A62AA2">
        <w:rPr>
          <w:position w:val="-8"/>
        </w:rPr>
        <w:object w:dxaOrig="180" w:dyaOrig="279" w14:anchorId="46A2FF14">
          <v:shape id="_x0000_i6141" type="#_x0000_t75" style="width:9.1pt;height:13.9pt" o:ole="">
            <v:imagedata r:id="rId10315" o:title=""/>
          </v:shape>
          <o:OLEObject Type="Embed" ProgID="Equation.DSMT4" ShapeID="_x0000_i6141" DrawAspect="Content" ObjectID="_1791380085" r:id="rId10316"/>
        </w:object>
      </w:r>
      <w:r w:rsidRPr="00A62AA2">
        <w:rPr>
          <w:rFonts w:hint="cs"/>
          <w:i/>
          <w:color w:val="222222"/>
          <w:sz w:val="23"/>
          <w:szCs w:val="23"/>
          <w:shd w:val="clear" w:color="auto" w:fill="FFFFFF"/>
          <w:rtl/>
        </w:rPr>
        <w:t xml:space="preserve"> تعیین کرد. حل این سیستم عبارت است از</w:t>
      </w:r>
    </w:p>
    <w:p w14:paraId="7AC22886" w14:textId="77777777" w:rsidR="00556C10" w:rsidRPr="00A62AA2" w:rsidRDefault="00556C10" w:rsidP="00556C10">
      <w:pPr>
        <w:bidi w:val="0"/>
        <w:spacing w:line="216" w:lineRule="auto"/>
        <w:rPr>
          <w:rFonts w:eastAsiaTheme="minorHAnsi"/>
          <w:i/>
          <w:sz w:val="23"/>
          <w:szCs w:val="23"/>
          <w:shd w:val="clear" w:color="auto" w:fill="FFFFFF"/>
          <w:rtl/>
        </w:rPr>
      </w:pPr>
      <w:r w:rsidRPr="00A62AA2">
        <w:rPr>
          <w:position w:val="-30"/>
        </w:rPr>
        <w:object w:dxaOrig="5580" w:dyaOrig="700" w14:anchorId="76207D00">
          <v:shape id="_x0000_i6142" type="#_x0000_t75" style="width:278.9pt;height:35.1pt" o:ole="">
            <v:imagedata r:id="rId10317" o:title=""/>
          </v:shape>
          <o:OLEObject Type="Embed" ProgID="Equation.DSMT4" ShapeID="_x0000_i6142" DrawAspect="Content" ObjectID="_1791380086" r:id="rId10318"/>
        </w:object>
      </w:r>
    </w:p>
    <w:p w14:paraId="05998B21" w14:textId="77777777" w:rsidR="00556C10" w:rsidRPr="00A62AA2" w:rsidRDefault="00556C10" w:rsidP="00556C10">
      <w:pPr>
        <w:bidi w:val="0"/>
        <w:spacing w:line="216" w:lineRule="auto"/>
        <w:rPr>
          <w:i/>
          <w:color w:val="222222"/>
          <w:sz w:val="23"/>
          <w:szCs w:val="23"/>
          <w:shd w:val="clear" w:color="auto" w:fill="FFFFFF"/>
        </w:rPr>
      </w:pPr>
      <w:r w:rsidRPr="00A62AA2">
        <w:rPr>
          <w:position w:val="-26"/>
        </w:rPr>
        <w:object w:dxaOrig="3379" w:dyaOrig="600" w14:anchorId="576867ED">
          <v:shape id="_x0000_i6143" type="#_x0000_t75" style="width:168.8pt;height:29.65pt" o:ole="">
            <v:imagedata r:id="rId10319" o:title=""/>
          </v:shape>
          <o:OLEObject Type="Embed" ProgID="Equation.DSMT4" ShapeID="_x0000_i6143" DrawAspect="Content" ObjectID="_1791380087" r:id="rId10320"/>
        </w:object>
      </w:r>
    </w:p>
    <w:p w14:paraId="6E7B1A92" w14:textId="77777777" w:rsidR="00556C10" w:rsidRPr="00A62AA2" w:rsidRDefault="00556C10" w:rsidP="00556C10">
      <w:pPr>
        <w:bidi w:val="0"/>
        <w:spacing w:line="216" w:lineRule="auto"/>
        <w:rPr>
          <w:i/>
          <w:color w:val="222222"/>
          <w:sz w:val="23"/>
          <w:szCs w:val="23"/>
          <w:shd w:val="clear" w:color="auto" w:fill="FFFFFF"/>
          <w:rtl/>
        </w:rPr>
      </w:pPr>
      <w:r w:rsidRPr="00A62AA2">
        <w:rPr>
          <w:position w:val="-28"/>
        </w:rPr>
        <w:object w:dxaOrig="4280" w:dyaOrig="660" w14:anchorId="5B67E3E9">
          <v:shape id="_x0000_i6144" type="#_x0000_t75" style="width:214.2pt;height:32.65pt" o:ole="">
            <v:imagedata r:id="rId10321" o:title=""/>
          </v:shape>
          <o:OLEObject Type="Embed" ProgID="Equation.DSMT4" ShapeID="_x0000_i6144" DrawAspect="Content" ObjectID="_1791380088" r:id="rId10322"/>
        </w:object>
      </w:r>
    </w:p>
    <w:p w14:paraId="03B74BFA"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که در آن</w:t>
      </w:r>
      <w:r w:rsidRPr="00A62AA2">
        <w:rPr>
          <w:position w:val="-10"/>
        </w:rPr>
        <w:object w:dxaOrig="660" w:dyaOrig="300" w14:anchorId="3B9F424D">
          <v:shape id="_x0000_i6145" type="#_x0000_t75" style="width:32.65pt;height:14.5pt" o:ole="">
            <v:imagedata r:id="rId10323" o:title=""/>
          </v:shape>
          <o:OLEObject Type="Embed" ProgID="Equation.DSMT4" ShapeID="_x0000_i6145" DrawAspect="Content" ObjectID="_1791380089" r:id="rId10324"/>
        </w:object>
      </w:r>
      <w:r w:rsidRPr="00A62AA2">
        <w:rPr>
          <w:rFonts w:hint="cs"/>
          <w:i/>
          <w:color w:val="222222"/>
          <w:sz w:val="23"/>
          <w:szCs w:val="23"/>
          <w:shd w:val="clear" w:color="auto" w:fill="FFFFFF"/>
          <w:rtl/>
        </w:rPr>
        <w:t xml:space="preserve"> می‌باشد. </w:t>
      </w:r>
    </w:p>
    <w:p w14:paraId="29EA6FE4"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بنابراین، انبساط مالی مجدداً باعث افزایش نرخ ارز، افزایش تولید و کاهش قیمت‌ها می</w:t>
      </w:r>
      <w:r w:rsidRPr="00A62AA2">
        <w:rPr>
          <w:i/>
          <w:color w:val="222222"/>
          <w:sz w:val="23"/>
          <w:szCs w:val="23"/>
          <w:shd w:val="clear" w:color="auto" w:fill="FFFFFF"/>
          <w:rtl/>
        </w:rPr>
        <w:softHyphen/>
      </w:r>
      <w:r w:rsidRPr="00A62AA2">
        <w:rPr>
          <w:rFonts w:hint="cs"/>
          <w:i/>
          <w:color w:val="222222"/>
          <w:sz w:val="23"/>
          <w:szCs w:val="23"/>
          <w:shd w:val="clear" w:color="auto" w:fill="FFFFFF"/>
          <w:rtl/>
        </w:rPr>
        <w:t>شود. انبساط پولی فقط اثرات اسمی دارد و کاملاً به افزایش قیمت‌ها و نرخ ارز به یک نسبت منتقل می</w:t>
      </w:r>
      <w:r w:rsidRPr="00A62AA2">
        <w:rPr>
          <w:i/>
          <w:color w:val="222222"/>
          <w:sz w:val="23"/>
          <w:szCs w:val="23"/>
          <w:shd w:val="clear" w:color="auto" w:fill="FFFFFF"/>
          <w:rtl/>
        </w:rPr>
        <w:softHyphen/>
      </w:r>
      <w:r w:rsidRPr="00A62AA2">
        <w:rPr>
          <w:rFonts w:hint="cs"/>
          <w:i/>
          <w:color w:val="222222"/>
          <w:sz w:val="23"/>
          <w:szCs w:val="23"/>
          <w:shd w:val="clear" w:color="auto" w:fill="FFFFFF"/>
          <w:rtl/>
        </w:rPr>
        <w:t>شود. از آنجا که نرخ ارز حقیقی بدون تغییر باقی می‌ماند، لذا انبساط پولی بر تولید بی</w:t>
      </w:r>
      <w:r w:rsidRPr="00A62AA2">
        <w:rPr>
          <w:rFonts w:hint="cs"/>
          <w:i/>
          <w:color w:val="222222"/>
          <w:sz w:val="23"/>
          <w:szCs w:val="23"/>
          <w:shd w:val="clear" w:color="auto" w:fill="FFFFFF"/>
          <w:rtl/>
        </w:rPr>
        <w:softHyphen/>
        <w:t>تاثیر است.</w:t>
      </w:r>
    </w:p>
    <w:p w14:paraId="21D34EE7" w14:textId="77777777" w:rsidR="00556C10" w:rsidRPr="00A62AA2" w:rsidRDefault="00556C10" w:rsidP="00556C10">
      <w:pPr>
        <w:spacing w:line="216" w:lineRule="auto"/>
        <w:rPr>
          <w:i/>
          <w:color w:val="222222"/>
          <w:sz w:val="23"/>
          <w:szCs w:val="23"/>
          <w:shd w:val="clear" w:color="auto" w:fill="FFFFFF"/>
          <w:rtl/>
        </w:rPr>
      </w:pPr>
    </w:p>
    <w:p w14:paraId="4286BBED" w14:textId="77777777" w:rsidR="00556C10" w:rsidRPr="00A62AA2" w:rsidRDefault="00556C10" w:rsidP="00556C10">
      <w:pPr>
        <w:pStyle w:val="Heading1"/>
        <w:spacing w:before="0" w:line="216" w:lineRule="auto"/>
        <w:rPr>
          <w:rFonts w:ascii="Times New Roman" w:hAnsi="Times New Roman" w:cs="B Nazanin"/>
          <w:b w:val="0"/>
          <w:i/>
          <w:color w:val="000000" w:themeColor="text1"/>
          <w:sz w:val="23"/>
          <w:szCs w:val="23"/>
          <w:shd w:val="clear" w:color="auto" w:fill="FFFFFF"/>
          <w:rtl/>
        </w:rPr>
      </w:pPr>
      <w:r w:rsidRPr="00A62AA2">
        <w:rPr>
          <w:rFonts w:ascii="Times New Roman" w:hAnsi="Times New Roman" w:cs="B Nazanin" w:hint="cs"/>
          <w:b w:val="0"/>
          <w:i/>
          <w:sz w:val="23"/>
          <w:szCs w:val="23"/>
          <w:shd w:val="clear" w:color="auto" w:fill="FFFFFF"/>
          <w:rtl/>
        </w:rPr>
        <w:t xml:space="preserve">۱۳. ۴ برابری نرخ بهره‌ی بدون پوشش و تعیین نرخ ارز </w:t>
      </w:r>
    </w:p>
    <w:p w14:paraId="45E43BEE"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اگر فرض کنیم اوراق قرضه داخلی و خارجی جانشین کامل</w:t>
      </w:r>
      <w:r w:rsidRPr="00A62AA2">
        <w:rPr>
          <w:rFonts w:hint="cs"/>
          <w:i/>
          <w:color w:val="222222"/>
          <w:sz w:val="23"/>
          <w:szCs w:val="23"/>
          <w:shd w:val="clear" w:color="auto" w:fill="FFFFFF"/>
          <w:rtl/>
        </w:rPr>
        <w:softHyphen/>
        <w:t>اند، ترازپرداخت‌ها به شرط برابری نرخ بهره‌ی بدون پوشش تقلیل ‌می</w:t>
      </w:r>
      <w:r w:rsidRPr="00A62AA2">
        <w:rPr>
          <w:rFonts w:hint="cs"/>
          <w:i/>
          <w:color w:val="222222"/>
          <w:sz w:val="23"/>
          <w:szCs w:val="23"/>
          <w:shd w:val="clear" w:color="auto" w:fill="FFFFFF"/>
          <w:rtl/>
        </w:rPr>
        <w:softHyphen/>
        <w:t>یابد. این فرض زیربنای تقریباً تمامی نظریه‌های مدرن نرخ ارز شناور است، و همچنین هنگامی که نرخ بهره ابزار سیاستی است، همانند هدف‌گذاری تورم تحت یک سیاست اختیاری که در آن نرخ بهره بوسیله‌ی مقامات پولی انتخاب می‌شود، تنها معادله</w:t>
      </w:r>
      <w:r w:rsidRPr="00A62AA2">
        <w:rPr>
          <w:rFonts w:hint="cs"/>
          <w:i/>
          <w:color w:val="222222"/>
          <w:sz w:val="23"/>
          <w:szCs w:val="23"/>
          <w:shd w:val="clear" w:color="auto" w:fill="FFFFFF"/>
          <w:rtl/>
        </w:rPr>
        <w:softHyphen/>
        <w:t>ی مورد نیاز برای تجزیه و تحلیل نرخ ارز است.</w:t>
      </w:r>
    </w:p>
    <w:p w14:paraId="5FDBE237"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قبلاً در بررسی نرخ ارز شناور و با استفاده از مدل کینزین، ایستای مقایسه‌ای را مورد بررسی قرار دادیم. اکنون مدل کاملاً پویای نرخ ارز را با استعانت از شرط نرخ بهره‌ی بدون پوشش که از فصل دوازدهم به دست آمد و در آن انتظارات آتی نرخ ارز وجود دارد، تجزیه و تحلیل خواهیم کرد. با استفاده از نمادها و مفاهیم آن فصل برابری نرخ بهره‌ی بدون پوشش را ممکن است به صورت زیر بازنویسی کنیم</w:t>
      </w:r>
    </w:p>
    <w:p w14:paraId="11824022" w14:textId="77777777" w:rsidR="00556C10" w:rsidRPr="00A62AA2" w:rsidRDefault="00556C10" w:rsidP="00556C10">
      <w:pPr>
        <w:bidi w:val="0"/>
        <w:spacing w:line="216" w:lineRule="auto"/>
        <w:rPr>
          <w:i/>
          <w:sz w:val="23"/>
          <w:szCs w:val="23"/>
          <w:shd w:val="clear" w:color="auto" w:fill="FFFFFF"/>
          <w:rtl/>
        </w:rPr>
      </w:pPr>
      <w:r w:rsidRPr="00A62AA2">
        <w:rPr>
          <w:position w:val="-10"/>
        </w:rPr>
        <w:object w:dxaOrig="1579" w:dyaOrig="340" w14:anchorId="67BF69F3">
          <v:shape id="_x0000_i6146" type="#_x0000_t75" style="width:78.65pt;height:16.95pt" o:ole="">
            <v:imagedata r:id="rId10325" o:title=""/>
          </v:shape>
          <o:OLEObject Type="Embed" ProgID="Equation.DSMT4" ShapeID="_x0000_i6146" DrawAspect="Content" ObjectID="_1791380090" r:id="rId10326"/>
        </w:object>
      </w:r>
      <w:r w:rsidRPr="00A62AA2">
        <w:rPr>
          <w:rFonts w:hint="cs"/>
          <w:i/>
          <w:sz w:val="23"/>
          <w:szCs w:val="23"/>
          <w:shd w:val="clear" w:color="auto" w:fill="FFFFFF"/>
          <w:rtl/>
        </w:rPr>
        <w:t xml:space="preserve"> </w:t>
      </w:r>
    </w:p>
    <w:p w14:paraId="4CE31E42" w14:textId="77777777" w:rsidR="00556C10" w:rsidRPr="00A62AA2" w:rsidRDefault="00556C10" w:rsidP="00556C10">
      <w:pPr>
        <w:spacing w:line="216" w:lineRule="auto"/>
        <w:rPr>
          <w:i/>
          <w:color w:val="222222"/>
          <w:sz w:val="23"/>
          <w:szCs w:val="23"/>
          <w:shd w:val="clear" w:color="auto" w:fill="FFFFFF"/>
          <w:rtl/>
        </w:rPr>
      </w:pPr>
      <w:r w:rsidRPr="00A62AA2">
        <w:rPr>
          <w:rFonts w:hint="cs"/>
          <w:i/>
          <w:color w:val="222222"/>
          <w:sz w:val="23"/>
          <w:szCs w:val="23"/>
          <w:shd w:val="clear" w:color="auto" w:fill="FFFFFF"/>
          <w:rtl/>
        </w:rPr>
        <w:t>با حل این معادله به صورت پیش</w:t>
      </w:r>
      <w:r w:rsidRPr="00A62AA2">
        <w:rPr>
          <w:rFonts w:hint="cs"/>
          <w:i/>
          <w:color w:val="222222"/>
          <w:sz w:val="23"/>
          <w:szCs w:val="23"/>
          <w:shd w:val="clear" w:color="auto" w:fill="FFFFFF"/>
          <w:rtl/>
        </w:rPr>
        <w:softHyphen/>
        <w:t>رو خواهیم داشت</w:t>
      </w:r>
    </w:p>
    <w:p w14:paraId="400CB5E0" w14:textId="77777777" w:rsidR="00556C10" w:rsidRPr="00A62AA2" w:rsidRDefault="00556C10" w:rsidP="00556C10">
      <w:pPr>
        <w:bidi w:val="0"/>
        <w:spacing w:line="216" w:lineRule="auto"/>
        <w:rPr>
          <w:rFonts w:eastAsiaTheme="minorHAnsi"/>
          <w:i/>
          <w:sz w:val="23"/>
          <w:szCs w:val="23"/>
          <w:shd w:val="clear" w:color="auto" w:fill="FFFFFF"/>
          <w:rtl/>
        </w:rPr>
      </w:pPr>
      <w:r w:rsidRPr="00A62AA2">
        <w:rPr>
          <w:position w:val="-26"/>
        </w:rPr>
        <w:object w:dxaOrig="2640" w:dyaOrig="620" w14:anchorId="35507149">
          <v:shape id="_x0000_i6147" type="#_x0000_t75" style="width:132.5pt;height:30.85pt" o:ole="">
            <v:imagedata r:id="rId10327" o:title=""/>
          </v:shape>
          <o:OLEObject Type="Embed" ProgID="Equation.DSMT4" ShapeID="_x0000_i6147" DrawAspect="Content" ObjectID="_1791380091" r:id="rId10328"/>
        </w:object>
      </w:r>
      <w:r w:rsidRPr="00A62AA2">
        <w:rPr>
          <w:rFonts w:hint="cs"/>
          <w:i/>
          <w:sz w:val="23"/>
          <w:szCs w:val="23"/>
          <w:rtl/>
        </w:rPr>
        <w:tab/>
      </w:r>
      <w:r w:rsidRPr="00A62AA2">
        <w:rPr>
          <w:rFonts w:hint="cs"/>
          <w:i/>
          <w:sz w:val="23"/>
          <w:szCs w:val="23"/>
          <w:rtl/>
        </w:rPr>
        <w:tab/>
      </w:r>
      <w:r w:rsidRPr="00A62AA2">
        <w:rPr>
          <w:rFonts w:hint="cs"/>
          <w:i/>
          <w:sz w:val="23"/>
          <w:szCs w:val="23"/>
          <w:rtl/>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Pr>
          <w:i/>
          <w:sz w:val="23"/>
          <w:szCs w:val="23"/>
          <w:rtl/>
        </w:rPr>
        <w:tab/>
      </w:r>
      <w:r>
        <w:rPr>
          <w:i/>
          <w:sz w:val="23"/>
          <w:szCs w:val="23"/>
          <w:rtl/>
        </w:rPr>
        <w:tab/>
      </w:r>
      <w:r w:rsidRPr="00A62AA2">
        <w:rPr>
          <w:i/>
          <w:sz w:val="23"/>
          <w:szCs w:val="23"/>
        </w:rPr>
        <w:tab/>
      </w:r>
      <w:r w:rsidRPr="00A62AA2">
        <w:rPr>
          <w:rFonts w:hint="cs"/>
          <w:i/>
          <w:sz w:val="23"/>
          <w:szCs w:val="23"/>
          <w:rtl/>
        </w:rPr>
        <w:tab/>
      </w:r>
      <w:r w:rsidRPr="00A62AA2">
        <w:rPr>
          <w:rFonts w:hint="cs"/>
          <w:i/>
          <w:sz w:val="23"/>
          <w:szCs w:val="23"/>
          <w:shd w:val="clear" w:color="auto" w:fill="FFFFFF"/>
          <w:rtl/>
        </w:rPr>
        <w:t>(۱۳. ۱۰)</w:t>
      </w:r>
      <w:r w:rsidRPr="00A62AA2">
        <w:rPr>
          <w:i/>
          <w:sz w:val="23"/>
          <w:szCs w:val="23"/>
          <w:shd w:val="clear" w:color="auto" w:fill="FFFFFF"/>
        </w:rPr>
        <w:t xml:space="preserve"> </w:t>
      </w:r>
    </w:p>
    <w:p w14:paraId="42AA1B6E" w14:textId="77777777" w:rsidR="00556C10" w:rsidRDefault="00556C10" w:rsidP="00556C10">
      <w:pPr>
        <w:tabs>
          <w:tab w:val="right" w:pos="-83"/>
          <w:tab w:val="right" w:pos="7"/>
        </w:tabs>
        <w:spacing w:line="216" w:lineRule="auto"/>
        <w:rPr>
          <w:i/>
          <w:sz w:val="23"/>
          <w:szCs w:val="23"/>
          <w:rtl/>
        </w:rPr>
      </w:pPr>
      <w:r w:rsidRPr="00A62AA2">
        <w:rPr>
          <w:rFonts w:hint="cs"/>
          <w:i/>
          <w:color w:val="222222"/>
          <w:sz w:val="23"/>
          <w:szCs w:val="23"/>
          <w:shd w:val="clear" w:color="auto" w:fill="FFFFFF"/>
          <w:rtl/>
        </w:rPr>
        <w:t>که نشان می‌دهد نرخ ارز سریعاً به اطلاعات جدید در خصوص تفاضل</w:t>
      </w:r>
      <w:r w:rsidRPr="00A62AA2">
        <w:rPr>
          <w:rFonts w:hint="cs"/>
          <w:i/>
          <w:color w:val="222222"/>
          <w:sz w:val="23"/>
          <w:szCs w:val="23"/>
          <w:shd w:val="clear" w:color="auto" w:fill="FFFFFF"/>
          <w:rtl/>
        </w:rPr>
        <w:softHyphen/>
        <w:t>های نرخ‌های اسمی جاری و آتی انتظاری واکنش نشان می‌دهد. چنانچه</w:t>
      </w:r>
      <w:r w:rsidRPr="00A62AA2">
        <w:rPr>
          <w:position w:val="-10"/>
        </w:rPr>
        <w:object w:dxaOrig="300" w:dyaOrig="340" w14:anchorId="6A16C779">
          <v:shape id="_x0000_i6148" type="#_x0000_t75" style="width:14.5pt;height:16.95pt" o:ole="">
            <v:imagedata r:id="rId10329" o:title=""/>
          </v:shape>
          <o:OLEObject Type="Embed" ProgID="Equation.DSMT4" ShapeID="_x0000_i6148" DrawAspect="Content" ObjectID="_1791380092" r:id="rId10330"/>
        </w:object>
      </w:r>
      <w:r w:rsidRPr="00A62AA2">
        <w:rPr>
          <w:rFonts w:hint="cs"/>
          <w:i/>
          <w:color w:val="222222"/>
          <w:sz w:val="23"/>
          <w:szCs w:val="23"/>
          <w:shd w:val="clear" w:color="auto" w:fill="FFFFFF"/>
          <w:rtl/>
        </w:rPr>
        <w:t xml:space="preserve"> ثابت باشد، آنگاه با افزایش نرخ بهره‌ی اسمی جاری</w:t>
      </w:r>
      <w:r w:rsidRPr="00A62AA2">
        <w:rPr>
          <w:position w:val="-10"/>
        </w:rPr>
        <w:object w:dxaOrig="279" w:dyaOrig="320" w14:anchorId="06EF5184">
          <v:shape id="_x0000_i6149" type="#_x0000_t75" style="width:13.9pt;height:15.75pt" o:ole="">
            <v:imagedata r:id="rId10331" o:title=""/>
          </v:shape>
          <o:OLEObject Type="Embed" ProgID="Equation.DSMT4" ShapeID="_x0000_i6149" DrawAspect="Content" ObjectID="_1791380093" r:id="rId10332"/>
        </w:object>
      </w:r>
      <w:r w:rsidRPr="00A62AA2">
        <w:rPr>
          <w:rFonts w:hint="cs"/>
          <w:i/>
          <w:sz w:val="23"/>
          <w:szCs w:val="23"/>
          <w:shd w:val="clear" w:color="auto" w:fill="FFFFFF"/>
          <w:rtl/>
        </w:rPr>
        <w:t>، و یا</w:t>
      </w:r>
      <w:r>
        <w:rPr>
          <w:rFonts w:hint="cs"/>
          <w:i/>
          <w:sz w:val="23"/>
          <w:szCs w:val="23"/>
          <w:shd w:val="clear" w:color="auto" w:fill="FFFFFF"/>
          <w:rtl/>
        </w:rPr>
        <w:t xml:space="preserve"> </w:t>
      </w:r>
      <w:r w:rsidRPr="00A62AA2">
        <w:rPr>
          <w:rFonts w:hint="cs"/>
          <w:i/>
          <w:sz w:val="23"/>
          <w:szCs w:val="23"/>
          <w:shd w:val="clear" w:color="auto" w:fill="FFFFFF"/>
          <w:rtl/>
        </w:rPr>
        <w:t>آتی انتظاری</w:t>
      </w:r>
      <w:r w:rsidRPr="00A62AA2">
        <w:rPr>
          <w:position w:val="-10"/>
        </w:rPr>
        <w:object w:dxaOrig="420" w:dyaOrig="320" w14:anchorId="2616DF4A">
          <v:shape id="_x0000_i6150" type="#_x0000_t75" style="width:21.2pt;height:15.75pt" o:ole="">
            <v:imagedata r:id="rId10333" o:title=""/>
          </v:shape>
          <o:OLEObject Type="Embed" ProgID="Equation.DSMT4" ShapeID="_x0000_i6150" DrawAspect="Content" ObjectID="_1791380094" r:id="rId10334"/>
        </w:object>
      </w:r>
      <w:r w:rsidRPr="00A62AA2">
        <w:rPr>
          <w:rFonts w:hint="cs"/>
          <w:i/>
          <w:sz w:val="23"/>
          <w:szCs w:val="23"/>
          <w:shd w:val="clear" w:color="auto" w:fill="FFFFFF"/>
          <w:rtl/>
        </w:rPr>
        <w:t xml:space="preserve"> سریعاً ارزش پول داخلی افزایش یا</w:t>
      </w:r>
      <w:r w:rsidRPr="00A62AA2">
        <w:rPr>
          <w:rFonts w:hint="cs"/>
          <w:i/>
          <w:color w:val="222222"/>
          <w:sz w:val="23"/>
          <w:szCs w:val="23"/>
          <w:shd w:val="clear" w:color="auto" w:fill="FFFFFF"/>
          <w:rtl/>
        </w:rPr>
        <w:t xml:space="preserve"> نرخ ارز لحظه‌ای جاری</w:t>
      </w:r>
      <w:r w:rsidRPr="00A62AA2">
        <w:rPr>
          <w:position w:val="-10"/>
        </w:rPr>
        <w:object w:dxaOrig="200" w:dyaOrig="320" w14:anchorId="5680E569">
          <v:shape id="_x0000_i6151" type="#_x0000_t75" style="width:10.3pt;height:15.75pt" o:ole="">
            <v:imagedata r:id="rId10335" o:title=""/>
          </v:shape>
          <o:OLEObject Type="Embed" ProgID="Equation.DSMT4" ShapeID="_x0000_i6151" DrawAspect="Content" ObjectID="_1791380095" r:id="rId10336"/>
        </w:object>
      </w:r>
      <w:r w:rsidRPr="00A62AA2">
        <w:rPr>
          <w:rFonts w:hint="cs"/>
          <w:i/>
          <w:color w:val="222222"/>
          <w:sz w:val="23"/>
          <w:szCs w:val="23"/>
          <w:shd w:val="clear" w:color="auto" w:fill="FFFFFF"/>
          <w:rtl/>
        </w:rPr>
        <w:t xml:space="preserve"> کاهش می‌یابد</w:t>
      </w:r>
      <w:r w:rsidRPr="00A62AA2">
        <w:rPr>
          <w:i/>
          <w:color w:val="222222"/>
          <w:sz w:val="23"/>
          <w:szCs w:val="23"/>
          <w:shd w:val="clear" w:color="auto" w:fill="FFFFFF"/>
        </w:rPr>
        <w:t>.</w:t>
      </w:r>
      <w:r w:rsidRPr="00A62AA2">
        <w:rPr>
          <w:rFonts w:hint="cs"/>
          <w:i/>
          <w:color w:val="222222"/>
          <w:sz w:val="23"/>
          <w:szCs w:val="23"/>
          <w:shd w:val="clear" w:color="auto" w:fill="FFFFFF"/>
          <w:rtl/>
        </w:rPr>
        <w:t xml:space="preserve"> همان</w:t>
      </w:r>
      <w:r w:rsidRPr="00A62AA2">
        <w:rPr>
          <w:rFonts w:hint="cs"/>
          <w:i/>
          <w:color w:val="222222"/>
          <w:sz w:val="23"/>
          <w:szCs w:val="23"/>
          <w:shd w:val="clear" w:color="auto" w:fill="FFFFFF"/>
          <w:rtl/>
        </w:rPr>
        <w:softHyphen/>
        <w:t>گونه که در فصل دوازدهم اشاره شد، یک درصد افزایش در نرخ بهره‌ی اسمی جاری</w:t>
      </w:r>
      <w:r w:rsidRPr="00A62AA2">
        <w:rPr>
          <w:position w:val="-10"/>
        </w:rPr>
        <w:object w:dxaOrig="279" w:dyaOrig="320" w14:anchorId="29EDCA95">
          <v:shape id="_x0000_i6152" type="#_x0000_t75" style="width:13.9pt;height:15.75pt" o:ole="">
            <v:imagedata r:id="rId10337" o:title=""/>
          </v:shape>
          <o:OLEObject Type="Embed" ProgID="Equation.DSMT4" ShapeID="_x0000_i6152" DrawAspect="Content" ObjectID="_1791380096" r:id="rId10338"/>
        </w:object>
      </w:r>
      <w:r w:rsidRPr="00A62AA2">
        <w:rPr>
          <w:rFonts w:hint="cs"/>
          <w:i/>
          <w:sz w:val="23"/>
          <w:szCs w:val="23"/>
          <w:shd w:val="clear" w:color="auto" w:fill="FFFFFF"/>
          <w:rtl/>
        </w:rPr>
        <w:t xml:space="preserve"> </w:t>
      </w:r>
      <w:r w:rsidRPr="00A62AA2">
        <w:rPr>
          <w:rFonts w:hint="cs"/>
          <w:i/>
          <w:color w:val="222222"/>
          <w:sz w:val="23"/>
          <w:szCs w:val="23"/>
          <w:shd w:val="clear" w:color="auto" w:fill="FFFFFF"/>
          <w:rtl/>
        </w:rPr>
        <w:t xml:space="preserve">که انتظار می‌رود تا دوره‌ی </w:t>
      </w:r>
      <w:r w:rsidRPr="00A62AA2">
        <w:rPr>
          <w:position w:val="-6"/>
        </w:rPr>
        <w:object w:dxaOrig="480" w:dyaOrig="240" w14:anchorId="22817D03">
          <v:shape id="_x0000_i6153" type="#_x0000_t75" style="width:24.2pt;height:11.5pt" o:ole="">
            <v:imagedata r:id="rId10339" o:title=""/>
          </v:shape>
          <o:OLEObject Type="Embed" ProgID="Equation.DSMT4" ShapeID="_x0000_i6153" DrawAspect="Content" ObjectID="_1791380097" r:id="rId10340"/>
        </w:object>
      </w:r>
      <w:r w:rsidRPr="00A62AA2">
        <w:rPr>
          <w:rFonts w:hint="cs"/>
          <w:i/>
          <w:color w:val="222222"/>
          <w:sz w:val="23"/>
          <w:szCs w:val="23"/>
          <w:shd w:val="clear" w:color="auto" w:fill="FFFFFF"/>
          <w:rtl/>
        </w:rPr>
        <w:t xml:space="preserve"> باقی بماند، باعث افزایش ارزش پول داخلی به میزان</w:t>
      </w:r>
      <w:r w:rsidRPr="00A62AA2">
        <w:rPr>
          <w:position w:val="-6"/>
        </w:rPr>
        <w:object w:dxaOrig="200" w:dyaOrig="200" w14:anchorId="5CA5AF7C">
          <v:shape id="_x0000_i6154" type="#_x0000_t75" style="width:10.3pt;height:10.3pt" o:ole="">
            <v:imagedata r:id="rId10341" o:title=""/>
          </v:shape>
          <o:OLEObject Type="Embed" ProgID="Equation.DSMT4" ShapeID="_x0000_i6154" DrawAspect="Content" ObjectID="_1791380098" r:id="rId10342"/>
        </w:object>
      </w:r>
      <w:r w:rsidRPr="00A62AA2">
        <w:rPr>
          <w:rFonts w:hint="cs"/>
          <w:i/>
          <w:color w:val="222222"/>
          <w:sz w:val="23"/>
          <w:szCs w:val="23"/>
          <w:shd w:val="clear" w:color="auto" w:fill="FFFFFF"/>
          <w:rtl/>
        </w:rPr>
        <w:t xml:space="preserve"> درصد در زمان حاضر خواهد شد. نااطمینانی در خصوص این</w:t>
      </w:r>
      <w:r w:rsidRPr="00A62AA2">
        <w:rPr>
          <w:rFonts w:hint="cs"/>
          <w:i/>
          <w:color w:val="222222"/>
          <w:sz w:val="23"/>
          <w:szCs w:val="23"/>
          <w:shd w:val="clear" w:color="auto" w:fill="FFFFFF"/>
          <w:rtl/>
        </w:rPr>
        <w:softHyphen/>
        <w:t>که تفاضل نرخ بهره تا چه‌ مدت زمان ادامه خواهد داشت، قیمت</w:t>
      </w:r>
      <w:r w:rsidRPr="00A62AA2">
        <w:rPr>
          <w:rFonts w:hint="cs"/>
          <w:i/>
          <w:color w:val="222222"/>
          <w:sz w:val="23"/>
          <w:szCs w:val="23"/>
          <w:shd w:val="clear" w:color="auto" w:fill="FFFFFF"/>
          <w:rtl/>
        </w:rPr>
        <w:softHyphen/>
        <w:t>گذاری نرخ ارز را در بازار</w:t>
      </w:r>
      <w:r w:rsidRPr="00A62AA2">
        <w:rPr>
          <w:position w:val="-6"/>
        </w:rPr>
        <w:object w:dxaOrig="859" w:dyaOrig="260" w14:anchorId="5B4A0841">
          <v:shape id="_x0000_i6155" type="#_x0000_t75" style="width:42.95pt;height:13.3pt" o:ole="">
            <v:imagedata r:id="rId10343" o:title=""/>
          </v:shape>
          <o:OLEObject Type="Embed" ProgID="Equation.DSMT4" ShapeID="_x0000_i6155" DrawAspect="Content" ObjectID="_1791380099" r:id="rId10344"/>
        </w:object>
      </w:r>
      <w:r w:rsidRPr="00A62AA2">
        <w:rPr>
          <w:i/>
          <w:sz w:val="23"/>
          <w:szCs w:val="23"/>
          <w:shd w:val="clear" w:color="auto" w:fill="FFFFFF"/>
        </w:rPr>
        <w:t xml:space="preserve"> </w:t>
      </w:r>
      <w:r w:rsidRPr="00A62AA2">
        <w:rPr>
          <w:rFonts w:hint="cs"/>
          <w:i/>
          <w:color w:val="222222"/>
          <w:sz w:val="23"/>
          <w:szCs w:val="23"/>
          <w:shd w:val="clear" w:color="auto" w:fill="FFFFFF"/>
          <w:rtl/>
        </w:rPr>
        <w:t xml:space="preserve">مشکل خواهد ساخت. از آنجا که نرخ ارز </w:t>
      </w:r>
      <w:r w:rsidRPr="00A62AA2">
        <w:rPr>
          <w:rFonts w:hint="cs"/>
          <w:i/>
          <w:color w:val="222222"/>
          <w:sz w:val="23"/>
          <w:szCs w:val="23"/>
          <w:shd w:val="clear" w:color="auto" w:fill="FFFFFF"/>
          <w:rtl/>
        </w:rPr>
        <w:lastRenderedPageBreak/>
        <w:t>بخشی از مکانیزم انتقال سیاست پولی در هدف‌گذاری تورم است، ارزیابی اثر تغییر نرخ‌های بهره بر تورم نیز مشکل خواهد بود. با افزایش</w:t>
      </w:r>
      <w:r w:rsidRPr="00A62AA2">
        <w:rPr>
          <w:position w:val="-10"/>
        </w:rPr>
        <w:object w:dxaOrig="279" w:dyaOrig="320" w14:anchorId="422B8825">
          <v:shape id="_x0000_i6156" type="#_x0000_t75" style="width:13.9pt;height:15.75pt" o:ole="">
            <v:imagedata r:id="rId10345" o:title=""/>
          </v:shape>
          <o:OLEObject Type="Embed" ProgID="Equation.DSMT4" ShapeID="_x0000_i6156" DrawAspect="Content" ObjectID="_1791380100" r:id="rId10346"/>
        </w:object>
      </w:r>
      <w:r w:rsidRPr="00A62AA2">
        <w:rPr>
          <w:rFonts w:hint="cs"/>
          <w:i/>
          <w:sz w:val="23"/>
          <w:szCs w:val="23"/>
          <w:shd w:val="clear" w:color="auto" w:fill="FFFFFF"/>
          <w:rtl/>
        </w:rPr>
        <w:t xml:space="preserve"> </w:t>
      </w:r>
      <w:r w:rsidRPr="00A62AA2">
        <w:rPr>
          <w:rFonts w:hint="cs"/>
          <w:i/>
          <w:color w:val="222222"/>
          <w:sz w:val="23"/>
          <w:szCs w:val="23"/>
          <w:shd w:val="clear" w:color="auto" w:fill="FFFFFF"/>
          <w:rtl/>
        </w:rPr>
        <w:t>و فرض ثابت بودن</w:t>
      </w:r>
      <w:r w:rsidRPr="00A62AA2">
        <w:rPr>
          <w:position w:val="-10"/>
        </w:rPr>
        <w:object w:dxaOrig="300" w:dyaOrig="340" w14:anchorId="1B12C7D0">
          <v:shape id="_x0000_i6157" type="#_x0000_t75" style="width:14.5pt;height:16.95pt" o:ole="">
            <v:imagedata r:id="rId10347" o:title=""/>
          </v:shape>
          <o:OLEObject Type="Embed" ProgID="Equation.DSMT4" ShapeID="_x0000_i6157" DrawAspect="Content" ObjectID="_1791380101" r:id="rId10348"/>
        </w:object>
      </w:r>
      <w:r w:rsidRPr="00A62AA2">
        <w:rPr>
          <w:rFonts w:hint="cs"/>
          <w:i/>
          <w:sz w:val="23"/>
          <w:szCs w:val="23"/>
          <w:shd w:val="clear" w:color="auto" w:fill="FFFFFF"/>
          <w:rtl/>
        </w:rPr>
        <w:t xml:space="preserve">، </w:t>
      </w:r>
      <w:r w:rsidRPr="00A62AA2">
        <w:rPr>
          <w:rFonts w:hint="cs"/>
          <w:i/>
          <w:color w:val="222222"/>
          <w:sz w:val="23"/>
          <w:szCs w:val="23"/>
          <w:shd w:val="clear" w:color="auto" w:fill="FFFFFF"/>
          <w:rtl/>
        </w:rPr>
        <w:t>انتظار می‌رود تا</w:t>
      </w:r>
      <w:r w:rsidRPr="00A62AA2">
        <w:rPr>
          <w:position w:val="-10"/>
        </w:rPr>
        <w:object w:dxaOrig="200" w:dyaOrig="320" w14:anchorId="3A883E45">
          <v:shape id="_x0000_i6158" type="#_x0000_t75" style="width:10.3pt;height:15.75pt" o:ole="">
            <v:imagedata r:id="rId10349" o:title=""/>
          </v:shape>
          <o:OLEObject Type="Embed" ProgID="Equation.DSMT4" ShapeID="_x0000_i6158" DrawAspect="Content" ObjectID="_1791380102" r:id="rId10350"/>
        </w:object>
      </w:r>
      <w:r w:rsidRPr="00A62AA2">
        <w:rPr>
          <w:i/>
          <w:sz w:val="23"/>
          <w:szCs w:val="23"/>
          <w:shd w:val="clear" w:color="auto" w:fill="FFFFFF"/>
        </w:rPr>
        <w:t xml:space="preserve"> </w:t>
      </w:r>
      <w:r w:rsidRPr="00A62AA2">
        <w:rPr>
          <w:rFonts w:hint="cs"/>
          <w:i/>
          <w:sz w:val="23"/>
          <w:szCs w:val="23"/>
          <w:shd w:val="clear" w:color="auto" w:fill="FFFFFF"/>
          <w:rtl/>
        </w:rPr>
        <w:t>و</w:t>
      </w:r>
      <w:r w:rsidRPr="00A62AA2">
        <w:rPr>
          <w:position w:val="-10"/>
        </w:rPr>
        <w:object w:dxaOrig="540" w:dyaOrig="320" w14:anchorId="17C9B064">
          <v:shape id="_x0000_i6159" type="#_x0000_t75" style="width:26.6pt;height:15.75pt" o:ole="">
            <v:imagedata r:id="rId10351" o:title=""/>
          </v:shape>
          <o:OLEObject Type="Embed" ProgID="Equation.DSMT4" ShapeID="_x0000_i6159" DrawAspect="Content" ObjectID="_1791380103" r:id="rId10352"/>
        </w:object>
      </w:r>
      <w:r w:rsidRPr="00A62AA2">
        <w:rPr>
          <w:rFonts w:hint="cs"/>
          <w:i/>
          <w:sz w:val="23"/>
          <w:szCs w:val="23"/>
          <w:shd w:val="clear" w:color="auto" w:fill="FFFFFF"/>
          <w:rtl/>
        </w:rPr>
        <w:t xml:space="preserve"> </w:t>
      </w:r>
      <w:r w:rsidRPr="00A62AA2">
        <w:rPr>
          <w:rFonts w:hint="cs"/>
          <w:i/>
          <w:color w:val="222222"/>
          <w:sz w:val="23"/>
          <w:szCs w:val="23"/>
          <w:shd w:val="clear" w:color="auto" w:fill="FFFFFF"/>
          <w:rtl/>
        </w:rPr>
        <w:t>کاهش یابد. اما از آنجا که</w:t>
      </w:r>
      <w:r w:rsidRPr="00A62AA2">
        <w:rPr>
          <w:position w:val="-10"/>
        </w:rPr>
        <w:object w:dxaOrig="760" w:dyaOrig="340" w14:anchorId="2F809F35">
          <v:shape id="_x0000_i6160" type="#_x0000_t75" style="width:38.1pt;height:16.95pt" o:ole="">
            <v:imagedata r:id="rId10353" o:title=""/>
          </v:shape>
          <o:OLEObject Type="Embed" ProgID="Equation.DSMT4" ShapeID="_x0000_i6160" DrawAspect="Content" ObjectID="_1791380104" r:id="rId10354"/>
        </w:object>
      </w:r>
      <w:r w:rsidRPr="00A62AA2">
        <w:rPr>
          <w:rFonts w:hint="cs"/>
          <w:i/>
          <w:color w:val="222222"/>
          <w:sz w:val="23"/>
          <w:szCs w:val="23"/>
          <w:shd w:val="clear" w:color="auto" w:fill="FFFFFF"/>
          <w:rtl/>
        </w:rPr>
        <w:t xml:space="preserve"> است، به خاطر حفظ</w:t>
      </w:r>
      <w:r w:rsidRPr="00A62AA2">
        <w:rPr>
          <w:position w:val="-6"/>
        </w:rPr>
        <w:object w:dxaOrig="460" w:dyaOrig="260" w14:anchorId="7468748A">
          <v:shape id="_x0000_i6161" type="#_x0000_t75" style="width:23pt;height:13.3pt" o:ole="">
            <v:imagedata r:id="rId10355" o:title=""/>
          </v:shape>
          <o:OLEObject Type="Embed" ProgID="Equation.DSMT4" ShapeID="_x0000_i6161" DrawAspect="Content" ObjectID="_1791380105" r:id="rId10356"/>
        </w:object>
      </w:r>
      <w:r w:rsidRPr="00A62AA2">
        <w:rPr>
          <w:rFonts w:hint="cs"/>
          <w:i/>
          <w:sz w:val="23"/>
          <w:szCs w:val="23"/>
          <w:shd w:val="clear" w:color="auto" w:fill="FFFFFF"/>
          <w:rtl/>
        </w:rPr>
        <w:t>، متغیرهای</w:t>
      </w:r>
      <w:r w:rsidRPr="00A62AA2">
        <w:rPr>
          <w:position w:val="-10"/>
        </w:rPr>
        <w:object w:dxaOrig="200" w:dyaOrig="320" w14:anchorId="664BCC7D">
          <v:shape id="_x0000_i6162" type="#_x0000_t75" style="width:10.3pt;height:15.75pt" o:ole="">
            <v:imagedata r:id="rId10357" o:title=""/>
          </v:shape>
          <o:OLEObject Type="Embed" ProgID="Equation.DSMT4" ShapeID="_x0000_i6162" DrawAspect="Content" ObjectID="_1791380106" r:id="rId10358"/>
        </w:object>
      </w:r>
      <w:r w:rsidRPr="00A62AA2">
        <w:rPr>
          <w:i/>
          <w:sz w:val="23"/>
          <w:szCs w:val="23"/>
          <w:shd w:val="clear" w:color="auto" w:fill="FFFFFF"/>
        </w:rPr>
        <w:t xml:space="preserve"> </w:t>
      </w:r>
      <w:r w:rsidRPr="00A62AA2">
        <w:rPr>
          <w:rFonts w:hint="cs"/>
          <w:i/>
          <w:sz w:val="23"/>
          <w:szCs w:val="23"/>
          <w:shd w:val="clear" w:color="auto" w:fill="FFFFFF"/>
          <w:rtl/>
        </w:rPr>
        <w:t>و</w:t>
      </w:r>
      <w:r w:rsidRPr="00A62AA2">
        <w:rPr>
          <w:position w:val="-10"/>
        </w:rPr>
        <w:object w:dxaOrig="540" w:dyaOrig="320" w14:anchorId="04F0C915">
          <v:shape id="_x0000_i6163" type="#_x0000_t75" style="width:26.6pt;height:15.75pt" o:ole="">
            <v:imagedata r:id="rId10359" o:title=""/>
          </v:shape>
          <o:OLEObject Type="Embed" ProgID="Equation.DSMT4" ShapeID="_x0000_i6163" DrawAspect="Content" ObjectID="_1791380107" r:id="rId10360"/>
        </w:object>
      </w:r>
      <w:r w:rsidRPr="00A62AA2">
        <w:rPr>
          <w:rFonts w:hint="cs"/>
          <w:i/>
          <w:sz w:val="23"/>
          <w:szCs w:val="23"/>
          <w:shd w:val="clear" w:color="auto" w:fill="FFFFFF"/>
          <w:rtl/>
        </w:rPr>
        <w:t xml:space="preserve"> می‌</w:t>
      </w:r>
      <w:r w:rsidRPr="00A62AA2">
        <w:rPr>
          <w:rFonts w:hint="cs"/>
          <w:i/>
          <w:color w:val="222222"/>
          <w:sz w:val="23"/>
          <w:szCs w:val="23"/>
          <w:shd w:val="clear" w:color="auto" w:fill="FFFFFF"/>
          <w:rtl/>
        </w:rPr>
        <w:t xml:space="preserve">بایست به گونه‌ای تغییر کنند که </w:t>
      </w:r>
      <w:r w:rsidRPr="00A62AA2">
        <w:rPr>
          <w:position w:val="-10"/>
        </w:rPr>
        <w:object w:dxaOrig="920" w:dyaOrig="320" w14:anchorId="245ECCCC">
          <v:shape id="_x0000_i6164" type="#_x0000_t75" style="width:46pt;height:15.75pt" o:ole="">
            <v:imagedata r:id="rId10361" o:title=""/>
          </v:shape>
          <o:OLEObject Type="Embed" ProgID="Equation.DSMT4" ShapeID="_x0000_i6164" DrawAspect="Content" ObjectID="_1791380108" r:id="rId10362"/>
        </w:object>
      </w:r>
      <w:r w:rsidRPr="00A62AA2">
        <w:rPr>
          <w:i/>
          <w:sz w:val="23"/>
          <w:szCs w:val="23"/>
          <w:shd w:val="clear" w:color="auto" w:fill="FFFFFF"/>
        </w:rPr>
        <w:t xml:space="preserve"> </w:t>
      </w:r>
      <w:r w:rsidRPr="00A62AA2">
        <w:rPr>
          <w:rFonts w:hint="cs"/>
          <w:i/>
          <w:color w:val="222222"/>
          <w:sz w:val="23"/>
          <w:szCs w:val="23"/>
          <w:shd w:val="clear" w:color="auto" w:fill="FFFFFF"/>
          <w:rtl/>
        </w:rPr>
        <w:t>باشد. در این</w:t>
      </w:r>
      <w:r w:rsidRPr="00A62AA2">
        <w:rPr>
          <w:rFonts w:hint="cs"/>
          <w:i/>
          <w:color w:val="222222"/>
          <w:sz w:val="23"/>
          <w:szCs w:val="23"/>
          <w:shd w:val="clear" w:color="auto" w:fill="FFFFFF"/>
          <w:rtl/>
        </w:rPr>
        <w:softHyphen/>
        <w:t>صورت یک تناقض به وجود خواهد آمد: یک افزایش در</w:t>
      </w:r>
      <w:r w:rsidRPr="00A62AA2">
        <w:rPr>
          <w:position w:val="-10"/>
        </w:rPr>
        <w:object w:dxaOrig="279" w:dyaOrig="320" w14:anchorId="63E3815A">
          <v:shape id="_x0000_i6165" type="#_x0000_t75" style="width:13.9pt;height:15.75pt" o:ole="">
            <v:imagedata r:id="rId10363" o:title=""/>
          </v:shape>
          <o:OLEObject Type="Embed" ProgID="Equation.DSMT4" ShapeID="_x0000_i6165" DrawAspect="Content" ObjectID="_1791380109" r:id="rId10364"/>
        </w:object>
      </w:r>
      <w:r w:rsidRPr="00A62AA2">
        <w:rPr>
          <w:i/>
          <w:sz w:val="23"/>
          <w:szCs w:val="23"/>
          <w:shd w:val="clear" w:color="auto" w:fill="FFFFFF"/>
        </w:rPr>
        <w:t xml:space="preserve"> </w:t>
      </w:r>
      <w:r w:rsidRPr="00A62AA2">
        <w:rPr>
          <w:rFonts w:hint="cs"/>
          <w:i/>
          <w:sz w:val="23"/>
          <w:szCs w:val="23"/>
          <w:shd w:val="clear" w:color="auto" w:fill="FFFFFF"/>
          <w:rtl/>
        </w:rPr>
        <w:t xml:space="preserve">باعث </w:t>
      </w:r>
      <w:r w:rsidRPr="00A62AA2">
        <w:rPr>
          <w:rFonts w:hint="cs"/>
          <w:i/>
          <w:color w:val="222222"/>
          <w:sz w:val="23"/>
          <w:szCs w:val="23"/>
          <w:shd w:val="clear" w:color="auto" w:fill="FFFFFF"/>
          <w:rtl/>
        </w:rPr>
        <w:t>افزایش ارزش پول داخلی می‌شود، اما در بازار که عقلایی رفتار می‌کند انتظار می</w:t>
      </w:r>
      <w:r w:rsidRPr="00A62AA2">
        <w:rPr>
          <w:rFonts w:hint="cs"/>
          <w:i/>
          <w:color w:val="222222"/>
          <w:sz w:val="23"/>
          <w:szCs w:val="23"/>
          <w:shd w:val="clear" w:color="auto" w:fill="FFFFFF"/>
          <w:rtl/>
        </w:rPr>
        <w:softHyphen/>
        <w:t>رود تا ارزش پول داخلی کاهش یابد. اگر توجه داشته باشیم که کاهش ارزش پول داخلی انتظاری در زمان آتی، از زمان</w:t>
      </w:r>
      <w:r w:rsidRPr="00A62AA2">
        <w:rPr>
          <w:position w:val="-6"/>
        </w:rPr>
        <w:object w:dxaOrig="139" w:dyaOrig="240" w14:anchorId="29E65255">
          <v:shape id="_x0000_i6166" type="#_x0000_t75" style="width:6.65pt;height:11.5pt" o:ole="">
            <v:imagedata r:id="rId10365" o:title=""/>
          </v:shape>
          <o:OLEObject Type="Embed" ProgID="Equation.DSMT4" ShapeID="_x0000_i6166" DrawAspect="Content" ObjectID="_1791380110" r:id="rId10366"/>
        </w:object>
      </w:r>
      <w:r w:rsidRPr="00A62AA2">
        <w:rPr>
          <w:rFonts w:hint="cs"/>
          <w:i/>
          <w:color w:val="222222"/>
          <w:sz w:val="23"/>
          <w:szCs w:val="23"/>
          <w:shd w:val="clear" w:color="auto" w:fill="FFFFFF"/>
          <w:rtl/>
        </w:rPr>
        <w:t xml:space="preserve"> تا </w:t>
      </w:r>
      <w:r w:rsidRPr="00A62AA2">
        <w:rPr>
          <w:position w:val="-6"/>
        </w:rPr>
        <w:object w:dxaOrig="440" w:dyaOrig="260" w14:anchorId="03F14B4B">
          <v:shape id="_x0000_i6167" type="#_x0000_t75" style="width:21.8pt;height:13.3pt" o:ole="">
            <v:imagedata r:id="rId10367" o:title=""/>
          </v:shape>
          <o:OLEObject Type="Embed" ProgID="Equation.DSMT4" ShapeID="_x0000_i6167" DrawAspect="Content" ObjectID="_1791380111" r:id="rId10368"/>
        </w:object>
      </w:r>
      <w:r w:rsidRPr="00A62AA2">
        <w:rPr>
          <w:rFonts w:hint="cs"/>
          <w:i/>
          <w:color w:val="222222"/>
          <w:sz w:val="23"/>
          <w:szCs w:val="23"/>
          <w:shd w:val="clear" w:color="auto" w:fill="FFFFFF"/>
          <w:rtl/>
        </w:rPr>
        <w:t xml:space="preserve"> و نه از زمان</w:t>
      </w:r>
      <w:r w:rsidRPr="00A62AA2">
        <w:rPr>
          <w:position w:val="-6"/>
        </w:rPr>
        <w:object w:dxaOrig="420" w:dyaOrig="260" w14:anchorId="5AE22980">
          <v:shape id="_x0000_i6168" type="#_x0000_t75" style="width:21.2pt;height:13.3pt" o:ole="">
            <v:imagedata r:id="rId10369" o:title=""/>
          </v:shape>
          <o:OLEObject Type="Embed" ProgID="Equation.DSMT4" ShapeID="_x0000_i6168" DrawAspect="Content" ObjectID="_1791380112" r:id="rId10370"/>
        </w:object>
      </w:r>
      <w:r w:rsidRPr="00A62AA2">
        <w:rPr>
          <w:rFonts w:hint="cs"/>
          <w:i/>
          <w:color w:val="222222"/>
          <w:sz w:val="23"/>
          <w:szCs w:val="23"/>
          <w:shd w:val="clear" w:color="auto" w:fill="FFFFFF"/>
          <w:rtl/>
        </w:rPr>
        <w:t xml:space="preserve"> تا</w:t>
      </w:r>
      <w:r w:rsidRPr="00A62AA2">
        <w:rPr>
          <w:position w:val="-6"/>
        </w:rPr>
        <w:object w:dxaOrig="139" w:dyaOrig="240" w14:anchorId="315F089D">
          <v:shape id="_x0000_i6169" type="#_x0000_t75" style="width:6.65pt;height:11.5pt" o:ole="">
            <v:imagedata r:id="rId10371" o:title=""/>
          </v:shape>
          <o:OLEObject Type="Embed" ProgID="Equation.DSMT4" ShapeID="_x0000_i6169" DrawAspect="Content" ObjectID="_1791380113" r:id="rId10372"/>
        </w:object>
      </w:r>
      <w:r w:rsidRPr="00A62AA2">
        <w:rPr>
          <w:rFonts w:hint="cs"/>
          <w:i/>
          <w:color w:val="222222"/>
          <w:sz w:val="23"/>
          <w:szCs w:val="23"/>
          <w:shd w:val="clear" w:color="auto" w:fill="FFFFFF"/>
          <w:rtl/>
        </w:rPr>
        <w:t xml:space="preserve"> اتفاق می‌افتد، آنگاه این تناقض حل خواهد شد. بنابراین، اگرچه</w:t>
      </w:r>
      <w:r w:rsidRPr="00A62AA2">
        <w:rPr>
          <w:position w:val="-10"/>
        </w:rPr>
        <w:object w:dxaOrig="540" w:dyaOrig="320" w14:anchorId="25DA4534">
          <v:shape id="_x0000_i6170" type="#_x0000_t75" style="width:26.6pt;height:15.75pt" o:ole="">
            <v:imagedata r:id="rId10373" o:title=""/>
          </v:shape>
          <o:OLEObject Type="Embed" ProgID="Equation.DSMT4" ShapeID="_x0000_i6170" DrawAspect="Content" ObjectID="_1791380114" r:id="rId10374"/>
        </w:object>
      </w:r>
      <w:r w:rsidRPr="00A62AA2">
        <w:rPr>
          <w:rFonts w:hint="cs"/>
          <w:i/>
          <w:color w:val="222222"/>
          <w:sz w:val="23"/>
          <w:szCs w:val="23"/>
          <w:shd w:val="clear" w:color="auto" w:fill="FFFFFF"/>
          <w:rtl/>
        </w:rPr>
        <w:t xml:space="preserve"> کاهش می‌یابد، اما به اندازه‌ی زمان</w:t>
      </w:r>
      <w:r w:rsidRPr="00A62AA2">
        <w:rPr>
          <w:position w:val="-10"/>
        </w:rPr>
        <w:object w:dxaOrig="200" w:dyaOrig="320" w14:anchorId="419DB162">
          <v:shape id="_x0000_i6171" type="#_x0000_t75" style="width:10.3pt;height:15.75pt" o:ole="">
            <v:imagedata r:id="rId10375" o:title=""/>
          </v:shape>
          <o:OLEObject Type="Embed" ProgID="Equation.DSMT4" ShapeID="_x0000_i6171" DrawAspect="Content" ObjectID="_1791380115" r:id="rId10376"/>
        </w:object>
      </w:r>
      <w:r w:rsidRPr="00A62AA2">
        <w:rPr>
          <w:rFonts w:hint="cs"/>
          <w:i/>
          <w:color w:val="222222"/>
          <w:sz w:val="23"/>
          <w:szCs w:val="23"/>
          <w:shd w:val="clear" w:color="auto" w:fill="FFFFFF"/>
          <w:rtl/>
        </w:rPr>
        <w:t xml:space="preserve"> کاهش نمی</w:t>
      </w:r>
      <w:r w:rsidRPr="00A62AA2">
        <w:rPr>
          <w:rFonts w:hint="cs"/>
          <w:i/>
          <w:color w:val="222222"/>
          <w:sz w:val="23"/>
          <w:szCs w:val="23"/>
          <w:shd w:val="clear" w:color="auto" w:fill="FFFFFF"/>
          <w:rtl/>
        </w:rPr>
        <w:softHyphen/>
        <w:t>باید به</w:t>
      </w:r>
      <w:r w:rsidRPr="00A62AA2">
        <w:rPr>
          <w:rFonts w:hint="cs"/>
          <w:i/>
          <w:color w:val="222222"/>
          <w:sz w:val="23"/>
          <w:szCs w:val="23"/>
          <w:shd w:val="clear" w:color="auto" w:fill="FFFFFF"/>
          <w:rtl/>
        </w:rPr>
        <w:softHyphen/>
        <w:t>گونه‌ای که</w:t>
      </w:r>
      <w:r w:rsidRPr="00A62AA2">
        <w:rPr>
          <w:i/>
          <w:color w:val="222222"/>
          <w:sz w:val="23"/>
          <w:szCs w:val="23"/>
          <w:shd w:val="clear" w:color="auto" w:fill="FFFFFF"/>
        </w:rPr>
        <w:t xml:space="preserve"> </w:t>
      </w:r>
      <w:r w:rsidRPr="00A62AA2">
        <w:rPr>
          <w:position w:val="-10"/>
        </w:rPr>
        <w:object w:dxaOrig="680" w:dyaOrig="320" w14:anchorId="59AAE01B">
          <v:shape id="_x0000_i6172" type="#_x0000_t75" style="width:33.9pt;height:15.75pt" o:ole="">
            <v:imagedata r:id="rId10377" o:title=""/>
          </v:shape>
          <o:OLEObject Type="Embed" ProgID="Equation.DSMT4" ShapeID="_x0000_i6172" DrawAspect="Content" ObjectID="_1791380116" r:id="rId10378"/>
        </w:object>
      </w:r>
      <w:r w:rsidRPr="00A62AA2">
        <w:rPr>
          <w:rFonts w:hint="cs"/>
          <w:i/>
          <w:color w:val="222222"/>
          <w:sz w:val="23"/>
          <w:szCs w:val="23"/>
          <w:shd w:val="clear" w:color="auto" w:fill="FFFFFF"/>
          <w:rtl/>
        </w:rPr>
        <w:t>مثبت باقی خواهد ماند. اگر</w:t>
      </w:r>
      <w:r w:rsidRPr="00A62AA2">
        <w:rPr>
          <w:position w:val="-6"/>
        </w:rPr>
        <w:object w:dxaOrig="520" w:dyaOrig="260" w14:anchorId="0B644E0B">
          <v:shape id="_x0000_i6173" type="#_x0000_t75" style="width:26pt;height:13.3pt" o:ole="">
            <v:imagedata r:id="rId10379" o:title=""/>
          </v:shape>
          <o:OLEObject Type="Embed" ProgID="Equation.DSMT4" ShapeID="_x0000_i6173" DrawAspect="Content" ObjectID="_1791380117" r:id="rId10380"/>
        </w:object>
      </w:r>
      <w:r w:rsidRPr="00A62AA2">
        <w:rPr>
          <w:i/>
          <w:sz w:val="23"/>
          <w:szCs w:val="23"/>
          <w:shd w:val="clear" w:color="auto" w:fill="FFFFFF"/>
        </w:rPr>
        <w:t xml:space="preserve"> </w:t>
      </w:r>
      <w:r w:rsidRPr="00A62AA2">
        <w:rPr>
          <w:rFonts w:hint="cs"/>
          <w:i/>
          <w:sz w:val="23"/>
          <w:szCs w:val="23"/>
          <w:shd w:val="clear" w:color="auto" w:fill="FFFFFF"/>
          <w:rtl/>
        </w:rPr>
        <w:t>باشد، آ</w:t>
      </w:r>
      <w:r w:rsidRPr="00A62AA2">
        <w:rPr>
          <w:rFonts w:hint="cs"/>
          <w:i/>
          <w:color w:val="222222"/>
          <w:sz w:val="23"/>
          <w:szCs w:val="23"/>
          <w:shd w:val="clear" w:color="auto" w:fill="FFFFFF"/>
          <w:rtl/>
        </w:rPr>
        <w:t>نگاه نمودار ۱۳. ۶ نشان می‌دهد که برای نرخ ارز بین زمان</w:t>
      </w:r>
      <w:r w:rsidRPr="00A62AA2">
        <w:rPr>
          <w:position w:val="-6"/>
        </w:rPr>
        <w:object w:dxaOrig="139" w:dyaOrig="240" w14:anchorId="2212B47F">
          <v:shape id="_x0000_i6174" type="#_x0000_t75" style="width:6.65pt;height:11.5pt" o:ole="">
            <v:imagedata r:id="rId10381" o:title=""/>
          </v:shape>
          <o:OLEObject Type="Embed" ProgID="Equation.DSMT4" ShapeID="_x0000_i6174" DrawAspect="Content" ObjectID="_1791380118" r:id="rId10382"/>
        </w:object>
      </w:r>
      <w:r w:rsidRPr="00A62AA2">
        <w:rPr>
          <w:rFonts w:hint="cs"/>
          <w:i/>
          <w:color w:val="222222"/>
          <w:sz w:val="23"/>
          <w:szCs w:val="23"/>
          <w:shd w:val="clear" w:color="auto" w:fill="FFFFFF"/>
          <w:rtl/>
        </w:rPr>
        <w:t xml:space="preserve"> و</w:t>
      </w:r>
      <w:r w:rsidRPr="00A62AA2">
        <w:rPr>
          <w:position w:val="-6"/>
        </w:rPr>
        <w:object w:dxaOrig="440" w:dyaOrig="260" w14:anchorId="42A31DF7">
          <v:shape id="_x0000_i6175" type="#_x0000_t75" style="width:21.8pt;height:13.3pt" o:ole="">
            <v:imagedata r:id="rId10383" o:title=""/>
          </v:shape>
          <o:OLEObject Type="Embed" ProgID="Equation.DSMT4" ShapeID="_x0000_i6175" DrawAspect="Content" ObjectID="_1791380119" r:id="rId10384"/>
        </w:object>
      </w:r>
      <w:r w:rsidRPr="00A62AA2">
        <w:rPr>
          <w:rFonts w:hint="cs"/>
          <w:i/>
          <w:color w:val="222222"/>
          <w:sz w:val="23"/>
          <w:szCs w:val="23"/>
          <w:shd w:val="clear" w:color="auto" w:fill="FFFFFF"/>
          <w:rtl/>
        </w:rPr>
        <w:t xml:space="preserve"> چه اتفاقی خواهد افتاد</w:t>
      </w:r>
      <w:r w:rsidRPr="00A62AA2">
        <w:rPr>
          <w:i/>
          <w:color w:val="222222"/>
          <w:sz w:val="23"/>
          <w:szCs w:val="23"/>
          <w:shd w:val="clear" w:color="auto" w:fill="FFFFFF"/>
        </w:rPr>
        <w:t>.</w:t>
      </w:r>
      <w:r w:rsidRPr="00A62AA2">
        <w:rPr>
          <w:rFonts w:hint="cs"/>
          <w:i/>
          <w:color w:val="222222"/>
          <w:sz w:val="23"/>
          <w:szCs w:val="23"/>
          <w:shd w:val="clear" w:color="auto" w:fill="FFFFFF"/>
          <w:rtl/>
        </w:rPr>
        <w:t xml:space="preserve"> اشاره و دلالت تلویحی دیگر</w:t>
      </w:r>
      <w:r w:rsidRPr="00A62AA2">
        <w:rPr>
          <w:position w:val="-6"/>
        </w:rPr>
        <w:object w:dxaOrig="460" w:dyaOrig="260" w14:anchorId="06C15E8E">
          <v:shape id="_x0000_i6176" type="#_x0000_t75" style="width:23pt;height:13.3pt" o:ole="">
            <v:imagedata r:id="rId10385" o:title=""/>
          </v:shape>
          <o:OLEObject Type="Embed" ProgID="Equation.DSMT4" ShapeID="_x0000_i6176" DrawAspect="Content" ObjectID="_1791380120" r:id="rId10386"/>
        </w:object>
      </w:r>
      <w:r w:rsidRPr="00A62AA2">
        <w:rPr>
          <w:i/>
          <w:sz w:val="23"/>
          <w:szCs w:val="23"/>
          <w:shd w:val="clear" w:color="auto" w:fill="FFFFFF"/>
        </w:rPr>
        <w:t xml:space="preserve"> </w:t>
      </w:r>
      <w:r w:rsidRPr="00A62AA2">
        <w:rPr>
          <w:rFonts w:hint="cs"/>
          <w:i/>
          <w:color w:val="222222"/>
          <w:sz w:val="23"/>
          <w:szCs w:val="23"/>
          <w:shd w:val="clear" w:color="auto" w:fill="FFFFFF"/>
          <w:rtl/>
        </w:rPr>
        <w:t>آن است</w:t>
      </w:r>
      <w:r w:rsidRPr="00A62AA2">
        <w:rPr>
          <w:i/>
          <w:color w:val="222222"/>
          <w:sz w:val="23"/>
          <w:szCs w:val="23"/>
          <w:shd w:val="clear" w:color="auto" w:fill="FFFFFF"/>
        </w:rPr>
        <w:t xml:space="preserve"> </w:t>
      </w:r>
      <w:r w:rsidRPr="00A62AA2">
        <w:rPr>
          <w:rFonts w:hint="cs"/>
          <w:i/>
          <w:color w:val="222222"/>
          <w:sz w:val="23"/>
          <w:szCs w:val="23"/>
          <w:shd w:val="clear" w:color="auto" w:fill="FFFFFF"/>
          <w:rtl/>
        </w:rPr>
        <w:t>که اگر در زمان</w:t>
      </w:r>
      <w:r w:rsidRPr="00A62AA2">
        <w:rPr>
          <w:position w:val="-6"/>
        </w:rPr>
        <w:object w:dxaOrig="139" w:dyaOrig="240" w14:anchorId="43552E8D">
          <v:shape id="_x0000_i6177" type="#_x0000_t75" style="width:6.65pt;height:11.5pt" o:ole="">
            <v:imagedata r:id="rId10387" o:title=""/>
          </v:shape>
          <o:OLEObject Type="Embed" ProgID="Equation.DSMT4" ShapeID="_x0000_i6177" DrawAspect="Content" ObjectID="_1791380121" r:id="rId10388"/>
        </w:object>
      </w:r>
      <w:r w:rsidRPr="00A62AA2">
        <w:rPr>
          <w:rFonts w:hint="cs"/>
          <w:i/>
          <w:color w:val="222222"/>
          <w:sz w:val="23"/>
          <w:szCs w:val="23"/>
          <w:shd w:val="clear" w:color="auto" w:fill="FFFFFF"/>
          <w:rtl/>
        </w:rPr>
        <w:t xml:space="preserve"> سرمایه‌گذار‌ان انتظار داشته باشند که نرخ بهره‌ی داخلی در زمان</w:t>
      </w:r>
      <w:r w:rsidRPr="00A62AA2">
        <w:rPr>
          <w:position w:val="-6"/>
        </w:rPr>
        <w:object w:dxaOrig="480" w:dyaOrig="240" w14:anchorId="35E79D35">
          <v:shape id="_x0000_i6178" type="#_x0000_t75" style="width:24.2pt;height:11.5pt" o:ole="">
            <v:imagedata r:id="rId10389" o:title=""/>
          </v:shape>
          <o:OLEObject Type="Embed" ProgID="Equation.DSMT4" ShapeID="_x0000_i6178" DrawAspect="Content" ObjectID="_1791380122" r:id="rId10390"/>
        </w:object>
      </w:r>
      <w:r w:rsidRPr="00A62AA2">
        <w:rPr>
          <w:i/>
          <w:sz w:val="23"/>
          <w:szCs w:val="23"/>
          <w:shd w:val="clear" w:color="auto" w:fill="FFFFFF"/>
        </w:rPr>
        <w:t xml:space="preserve"> </w:t>
      </w:r>
      <w:r w:rsidRPr="00A62AA2">
        <w:rPr>
          <w:rFonts w:hint="cs"/>
          <w:i/>
          <w:color w:val="222222"/>
          <w:sz w:val="23"/>
          <w:szCs w:val="23"/>
          <w:shd w:val="clear" w:color="auto" w:fill="FFFFFF"/>
          <w:rtl/>
        </w:rPr>
        <w:t>تغییر کند، آنگاه نرخ ارز لحظه</w:t>
      </w:r>
      <w:r w:rsidRPr="00A62AA2">
        <w:rPr>
          <w:rFonts w:hint="cs"/>
          <w:i/>
          <w:color w:val="222222"/>
          <w:sz w:val="23"/>
          <w:szCs w:val="23"/>
          <w:shd w:val="clear" w:color="auto" w:fill="FFFFFF"/>
          <w:rtl/>
        </w:rPr>
        <w:softHyphen/>
        <w:t>ای</w:t>
      </w:r>
      <w:r w:rsidRPr="00A62AA2">
        <w:rPr>
          <w:position w:val="-10"/>
        </w:rPr>
        <w:object w:dxaOrig="200" w:dyaOrig="320" w14:anchorId="1186C6C2">
          <v:shape id="_x0000_i6179" type="#_x0000_t75" style="width:10.3pt;height:15.75pt" o:ole="">
            <v:imagedata r:id="rId10391" o:title=""/>
          </v:shape>
          <o:OLEObject Type="Embed" ProgID="Equation.DSMT4" ShapeID="_x0000_i6179" DrawAspect="Content" ObjectID="_1791380123" r:id="rId10392"/>
        </w:object>
      </w:r>
      <w:r w:rsidRPr="00A62AA2">
        <w:rPr>
          <w:rFonts w:hint="cs"/>
          <w:i/>
          <w:color w:val="222222"/>
          <w:sz w:val="23"/>
          <w:szCs w:val="23"/>
          <w:shd w:val="clear" w:color="auto" w:fill="FFFFFF"/>
          <w:rtl/>
        </w:rPr>
        <w:t xml:space="preserve"> در زمان</w:t>
      </w:r>
      <w:r w:rsidRPr="00A62AA2">
        <w:rPr>
          <w:position w:val="-6"/>
        </w:rPr>
        <w:object w:dxaOrig="139" w:dyaOrig="240" w14:anchorId="7A83C568">
          <v:shape id="_x0000_i6180" type="#_x0000_t75" style="width:6.65pt;height:11.5pt" o:ole="">
            <v:imagedata r:id="rId10393" o:title=""/>
          </v:shape>
          <o:OLEObject Type="Embed" ProgID="Equation.DSMT4" ShapeID="_x0000_i6180" DrawAspect="Content" ObjectID="_1791380124" r:id="rId10394"/>
        </w:object>
      </w:r>
      <w:r w:rsidRPr="00A62AA2">
        <w:rPr>
          <w:rFonts w:hint="cs"/>
          <w:i/>
          <w:sz w:val="23"/>
          <w:szCs w:val="23"/>
          <w:shd w:val="clear" w:color="auto" w:fill="FFFFFF"/>
          <w:rtl/>
        </w:rPr>
        <w:t xml:space="preserve"> </w:t>
      </w:r>
      <w:r w:rsidRPr="00A62AA2">
        <w:rPr>
          <w:rFonts w:hint="cs"/>
          <w:i/>
          <w:color w:val="222222"/>
          <w:sz w:val="23"/>
          <w:szCs w:val="23"/>
          <w:shd w:val="clear" w:color="auto" w:fill="FFFFFF"/>
          <w:rtl/>
        </w:rPr>
        <w:t>تغییر خواهد کرد و تا تغییر نرخ بهره که در واقع اتفاق می‌افتد منتظر نخواهد ماند. سپس در این سطح باقی مانده تا این</w:t>
      </w:r>
      <w:r w:rsidRPr="00A62AA2">
        <w:rPr>
          <w:rFonts w:hint="cs"/>
          <w:i/>
          <w:color w:val="222222"/>
          <w:sz w:val="23"/>
          <w:szCs w:val="23"/>
          <w:shd w:val="clear" w:color="auto" w:fill="FFFFFF"/>
          <w:rtl/>
        </w:rPr>
        <w:softHyphen/>
        <w:t>که تغییرات بیشتری در نرخ بهره اتفاق افتد. ا</w:t>
      </w:r>
      <w:r w:rsidRPr="00A62AA2">
        <w:rPr>
          <w:rFonts w:hint="cs"/>
          <w:i/>
          <w:sz w:val="23"/>
          <w:szCs w:val="23"/>
          <w:rtl/>
        </w:rPr>
        <w:t>کنون فرض کنید، اگرچه انتظار می‌رود نرخ بهره در زمان</w:t>
      </w:r>
      <w:r w:rsidRPr="00A62AA2">
        <w:rPr>
          <w:position w:val="-6"/>
        </w:rPr>
        <w:object w:dxaOrig="480" w:dyaOrig="240" w14:anchorId="2C392B2E">
          <v:shape id="_x0000_i6181" type="#_x0000_t75" style="width:24.2pt;height:11.5pt" o:ole="">
            <v:imagedata r:id="rId10395" o:title=""/>
          </v:shape>
          <o:OLEObject Type="Embed" ProgID="Equation.DSMT4" ShapeID="_x0000_i6181" DrawAspect="Content" ObjectID="_1791380125" r:id="rId10396"/>
        </w:object>
      </w:r>
      <w:r w:rsidRPr="00A62AA2">
        <w:rPr>
          <w:rFonts w:hint="cs"/>
          <w:i/>
          <w:sz w:val="23"/>
          <w:szCs w:val="23"/>
          <w:rtl/>
        </w:rPr>
        <w:t xml:space="preserve"> تغییر کند، اما هنگامی که زمان</w:t>
      </w:r>
      <w:r w:rsidRPr="00A62AA2">
        <w:rPr>
          <w:i/>
          <w:sz w:val="23"/>
          <w:szCs w:val="23"/>
        </w:rPr>
        <w:t xml:space="preserve"> </w:t>
      </w:r>
      <w:r w:rsidRPr="00A62AA2">
        <w:rPr>
          <w:position w:val="-6"/>
        </w:rPr>
        <w:object w:dxaOrig="480" w:dyaOrig="240" w14:anchorId="283A5C0E">
          <v:shape id="_x0000_i6182" type="#_x0000_t75" style="width:24.2pt;height:11.5pt" o:ole="">
            <v:imagedata r:id="rId10397" o:title=""/>
          </v:shape>
          <o:OLEObject Type="Embed" ProgID="Equation.DSMT4" ShapeID="_x0000_i6182" DrawAspect="Content" ObjectID="_1791380126" r:id="rId10398"/>
        </w:object>
      </w:r>
      <w:r w:rsidRPr="00A62AA2">
        <w:rPr>
          <w:rFonts w:hint="cs"/>
          <w:i/>
          <w:sz w:val="23"/>
          <w:szCs w:val="23"/>
          <w:rtl/>
        </w:rPr>
        <w:t xml:space="preserve"> فرا می‌رسد تغییری در نرخ بهره صورت نگیرد. نرخ ارز لحظه‌ای در زمان</w:t>
      </w:r>
      <w:r w:rsidRPr="00A62AA2">
        <w:rPr>
          <w:position w:val="-6"/>
        </w:rPr>
        <w:object w:dxaOrig="139" w:dyaOrig="240" w14:anchorId="61EA3E7B">
          <v:shape id="_x0000_i6183" type="#_x0000_t75" style="width:6.65pt;height:11.5pt" o:ole="">
            <v:imagedata r:id="rId10399" o:title=""/>
          </v:shape>
          <o:OLEObject Type="Embed" ProgID="Equation.DSMT4" ShapeID="_x0000_i6183" DrawAspect="Content" ObjectID="_1791380127" r:id="rId10400"/>
        </w:object>
      </w:r>
      <w:r w:rsidRPr="00A62AA2">
        <w:rPr>
          <w:rFonts w:hint="cs"/>
          <w:i/>
          <w:sz w:val="23"/>
          <w:szCs w:val="23"/>
          <w:rtl/>
        </w:rPr>
        <w:t xml:space="preserve"> تغییر کرده قبل از آنکه تغییر در موعد مقررِ زمان</w:t>
      </w:r>
      <w:r w:rsidRPr="00A62AA2">
        <w:rPr>
          <w:position w:val="-6"/>
        </w:rPr>
        <w:object w:dxaOrig="480" w:dyaOrig="240" w14:anchorId="726BD3C4">
          <v:shape id="_x0000_i6184" type="#_x0000_t75" style="width:24.2pt;height:11.5pt" o:ole="">
            <v:imagedata r:id="rId10401" o:title=""/>
          </v:shape>
          <o:OLEObject Type="Embed" ProgID="Equation.DSMT4" ShapeID="_x0000_i6184" DrawAspect="Content" ObjectID="_1791380128" r:id="rId10402"/>
        </w:object>
      </w:r>
      <w:r w:rsidRPr="00A62AA2">
        <w:rPr>
          <w:rFonts w:hint="cs"/>
          <w:i/>
          <w:sz w:val="23"/>
          <w:szCs w:val="23"/>
          <w:rtl/>
        </w:rPr>
        <w:t xml:space="preserve"> فرا رسد، امّا هنگامی که اشتباه در انتظارات تغییر نرخ بهره در زمان</w:t>
      </w:r>
      <w:r w:rsidRPr="00A62AA2">
        <w:rPr>
          <w:position w:val="-6"/>
        </w:rPr>
        <w:object w:dxaOrig="480" w:dyaOrig="240" w14:anchorId="2DA7F34D">
          <v:shape id="_x0000_i6185" type="#_x0000_t75" style="width:24.2pt;height:11.5pt" o:ole="">
            <v:imagedata r:id="rId10403" o:title=""/>
          </v:shape>
          <o:OLEObject Type="Embed" ProgID="Equation.DSMT4" ShapeID="_x0000_i6185" DrawAspect="Content" ObjectID="_1791380129" r:id="rId10404"/>
        </w:object>
      </w:r>
      <w:r w:rsidRPr="00A62AA2">
        <w:rPr>
          <w:rFonts w:hint="cs"/>
          <w:i/>
          <w:sz w:val="23"/>
          <w:szCs w:val="23"/>
          <w:rtl/>
        </w:rPr>
        <w:t>، تشخیص داده شود، نرخ ارز لحظه‌ای سریعاً به سطح اولیه خود بازخواهد گشت. نمودار ۱۳. ۶ رفتار نرخ ارز را بین زمان</w:t>
      </w:r>
      <w:r w:rsidRPr="00A62AA2">
        <w:rPr>
          <w:rFonts w:hint="cs"/>
          <w:i/>
          <w:sz w:val="23"/>
          <w:szCs w:val="23"/>
          <w:rtl/>
        </w:rPr>
        <w:softHyphen/>
        <w:t>های</w:t>
      </w:r>
      <w:r w:rsidRPr="00A62AA2">
        <w:rPr>
          <w:position w:val="-6"/>
        </w:rPr>
        <w:object w:dxaOrig="139" w:dyaOrig="240" w14:anchorId="1F2D966F">
          <v:shape id="_x0000_i6186" type="#_x0000_t75" style="width:6.65pt;height:11.5pt" o:ole="">
            <v:imagedata r:id="rId10405" o:title=""/>
          </v:shape>
          <o:OLEObject Type="Embed" ProgID="Equation.DSMT4" ShapeID="_x0000_i6186" DrawAspect="Content" ObjectID="_1791380130" r:id="rId10406"/>
        </w:object>
      </w:r>
      <w:r w:rsidRPr="00A62AA2">
        <w:rPr>
          <w:rFonts w:hint="cs"/>
          <w:i/>
          <w:sz w:val="23"/>
          <w:szCs w:val="23"/>
          <w:rtl/>
        </w:rPr>
        <w:t xml:space="preserve"> و</w:t>
      </w:r>
      <w:r w:rsidRPr="00A62AA2">
        <w:rPr>
          <w:position w:val="-6"/>
        </w:rPr>
        <w:object w:dxaOrig="480" w:dyaOrig="240" w14:anchorId="32F0E269">
          <v:shape id="_x0000_i6187" type="#_x0000_t75" style="width:24.2pt;height:11.5pt" o:ole="">
            <v:imagedata r:id="rId10407" o:title=""/>
          </v:shape>
          <o:OLEObject Type="Embed" ProgID="Equation.DSMT4" ShapeID="_x0000_i6187" DrawAspect="Content" ObjectID="_1791380131" r:id="rId10408"/>
        </w:object>
      </w:r>
      <w:r w:rsidRPr="00A62AA2">
        <w:rPr>
          <w:rFonts w:hint="cs"/>
          <w:i/>
          <w:sz w:val="23"/>
          <w:szCs w:val="23"/>
          <w:rtl/>
        </w:rPr>
        <w:t xml:space="preserve"> نشان می‌دهد. </w:t>
      </w:r>
    </w:p>
    <w:p w14:paraId="12EB28A0" w14:textId="77777777" w:rsidR="00556C10" w:rsidRDefault="00556C10" w:rsidP="00556C10">
      <w:pPr>
        <w:spacing w:line="216" w:lineRule="auto"/>
        <w:rPr>
          <w:i/>
          <w:sz w:val="23"/>
          <w:szCs w:val="23"/>
          <w:rtl/>
        </w:rPr>
      </w:pPr>
    </w:p>
    <w:p w14:paraId="6282378C" w14:textId="77777777" w:rsidR="00556C10" w:rsidRPr="00A62AA2" w:rsidRDefault="00556C10" w:rsidP="00556C10">
      <w:pPr>
        <w:spacing w:line="216" w:lineRule="auto"/>
        <w:rPr>
          <w:i/>
          <w:sz w:val="23"/>
          <w:szCs w:val="23"/>
          <w:rtl/>
        </w:rPr>
      </w:pPr>
      <w:r w:rsidRPr="00A62AA2">
        <w:rPr>
          <w:rFonts w:hint="cs"/>
          <w:i/>
          <w:sz w:val="23"/>
          <w:szCs w:val="23"/>
          <w:rtl/>
        </w:rPr>
        <w:t xml:space="preserve"> </w:t>
      </w:r>
    </w:p>
    <w:p w14:paraId="3899E341" w14:textId="77777777" w:rsidR="00556C10" w:rsidRPr="00A62AA2" w:rsidRDefault="00556C10" w:rsidP="00556C10">
      <w:pPr>
        <w:spacing w:line="216" w:lineRule="auto"/>
        <w:jc w:val="center"/>
        <w:rPr>
          <w:i/>
          <w:color w:val="222222"/>
          <w:sz w:val="23"/>
          <w:szCs w:val="23"/>
          <w:shd w:val="clear" w:color="auto" w:fill="FFFFFF"/>
          <w:rtl/>
        </w:rPr>
      </w:pPr>
      <w:r w:rsidRPr="00A62AA2">
        <w:rPr>
          <w:rFonts w:hint="cs"/>
          <w:i/>
          <w:color w:val="222222"/>
          <w:sz w:val="23"/>
          <w:szCs w:val="23"/>
          <w:shd w:val="clear" w:color="auto" w:fill="FFFFFF"/>
          <w:rtl/>
        </w:rPr>
        <w:t>نمودار ۱۳. ۶ : واکنش پویای نرخ از به تغییر نرخ بهره</w:t>
      </w:r>
    </w:p>
    <w:p w14:paraId="02B015F3" w14:textId="77777777" w:rsidR="00556C10" w:rsidRPr="00A62AA2" w:rsidRDefault="00556C10" w:rsidP="00556C10">
      <w:pPr>
        <w:spacing w:line="216" w:lineRule="auto"/>
        <w:jc w:val="center"/>
        <w:rPr>
          <w:i/>
          <w:color w:val="222222"/>
          <w:sz w:val="23"/>
          <w:szCs w:val="23"/>
          <w:shd w:val="clear" w:color="auto" w:fill="FFFFFF"/>
          <w:rtl/>
        </w:rPr>
      </w:pPr>
      <w:r w:rsidRPr="00A62AA2">
        <w:rPr>
          <w:i/>
          <w:noProof/>
          <w:sz w:val="23"/>
          <w:szCs w:val="23"/>
          <w:u w:val="single"/>
          <w:lang w:bidi="ar-SA"/>
        </w:rPr>
        <w:drawing>
          <wp:inline distT="0" distB="0" distL="0" distR="0" wp14:anchorId="1C8E9B8A" wp14:editId="25F1AC6A">
            <wp:extent cx="3656330" cy="2182670"/>
            <wp:effectExtent l="38100" t="38100" r="39370" b="463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409" cstate="print">
                      <a:extLst>
                        <a:ext uri="{28A0092B-C50C-407E-A947-70E740481C1C}">
                          <a14:useLocalDpi xmlns:a14="http://schemas.microsoft.com/office/drawing/2010/main" val="0"/>
                        </a:ext>
                      </a:extLst>
                    </a:blip>
                    <a:srcRect/>
                    <a:stretch>
                      <a:fillRect/>
                    </a:stretch>
                  </pic:blipFill>
                  <pic:spPr bwMode="auto">
                    <a:xfrm>
                      <a:off x="0" y="0"/>
                      <a:ext cx="3665512" cy="2188151"/>
                    </a:xfrm>
                    <a:prstGeom prst="rect">
                      <a:avLst/>
                    </a:prstGeom>
                    <a:ln w="28575">
                      <a:solidFill>
                        <a:schemeClr val="tx1"/>
                      </a:solidFill>
                    </a:ln>
                  </pic:spPr>
                </pic:pic>
              </a:graphicData>
            </a:graphic>
          </wp:inline>
        </w:drawing>
      </w:r>
    </w:p>
    <w:p w14:paraId="3846BCE1" w14:textId="77777777" w:rsidR="00556C10" w:rsidRDefault="00556C10" w:rsidP="00556C10">
      <w:pPr>
        <w:tabs>
          <w:tab w:val="right" w:pos="-83"/>
          <w:tab w:val="right" w:pos="7"/>
        </w:tabs>
        <w:spacing w:line="216" w:lineRule="auto"/>
        <w:rPr>
          <w:i/>
          <w:sz w:val="23"/>
          <w:szCs w:val="23"/>
          <w:rtl/>
        </w:rPr>
      </w:pPr>
    </w:p>
    <w:p w14:paraId="0CC8E706" w14:textId="77777777" w:rsidR="00556C10" w:rsidRDefault="00556C10" w:rsidP="00556C10">
      <w:pPr>
        <w:tabs>
          <w:tab w:val="right" w:pos="-83"/>
          <w:tab w:val="right" w:pos="7"/>
        </w:tabs>
        <w:spacing w:line="216" w:lineRule="auto"/>
        <w:rPr>
          <w:i/>
          <w:sz w:val="23"/>
          <w:szCs w:val="23"/>
          <w:rtl/>
        </w:rPr>
      </w:pPr>
      <w:r w:rsidRPr="00A62AA2">
        <w:rPr>
          <w:rFonts w:hint="cs"/>
          <w:i/>
          <w:sz w:val="23"/>
          <w:szCs w:val="23"/>
          <w:rtl/>
        </w:rPr>
        <w:t>همان</w:t>
      </w:r>
      <w:r w:rsidRPr="00A62AA2">
        <w:rPr>
          <w:rFonts w:hint="cs"/>
          <w:i/>
          <w:sz w:val="23"/>
          <w:szCs w:val="23"/>
          <w:rtl/>
        </w:rPr>
        <w:softHyphen/>
        <w:t>گونه که در فصل دوازدهم نشان داده شد، پس از وقایع دهه</w:t>
      </w:r>
      <w:r w:rsidRPr="00A62AA2">
        <w:rPr>
          <w:rFonts w:hint="cs"/>
          <w:i/>
          <w:sz w:val="23"/>
          <w:szCs w:val="23"/>
          <w:rtl/>
        </w:rPr>
        <w:softHyphen/>
        <w:t>ی ۱۹۸۰ که پیش</w:t>
      </w:r>
      <w:r w:rsidRPr="00A62AA2">
        <w:rPr>
          <w:rFonts w:hint="cs"/>
          <w:i/>
          <w:sz w:val="23"/>
          <w:szCs w:val="23"/>
          <w:rtl/>
        </w:rPr>
        <w:softHyphen/>
        <w:t>بینی می‌شد نرخ بهره‌ی مکزیک افزایش یابد، ولی درواقع این اتفاق نیفتاد، که آن</w:t>
      </w:r>
      <w:r w:rsidRPr="00A62AA2">
        <w:rPr>
          <w:rFonts w:hint="cs"/>
          <w:i/>
          <w:sz w:val="23"/>
          <w:szCs w:val="23"/>
          <w:rtl/>
        </w:rPr>
        <w:softHyphen/>
        <w:t>را اثر پزو</w:t>
      </w:r>
      <w:r w:rsidRPr="00A62AA2">
        <w:rPr>
          <w:rStyle w:val="FootnoteReference"/>
          <w:i/>
          <w:sz w:val="23"/>
          <w:szCs w:val="23"/>
          <w:rtl/>
        </w:rPr>
        <w:footnoteReference w:id="316"/>
      </w:r>
      <w:r w:rsidRPr="00A62AA2">
        <w:rPr>
          <w:rFonts w:hint="cs"/>
          <w:i/>
          <w:sz w:val="23"/>
          <w:szCs w:val="23"/>
          <w:rtl/>
        </w:rPr>
        <w:t xml:space="preserve"> نامند.</w:t>
      </w:r>
    </w:p>
    <w:p w14:paraId="12538F26"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رویداد مرسوم دیگر برای نرخ ارز لحظه‌ای کاهش ارزش آن همراه با کاهش نرخ بهره است. اگرچه در نگاه اول این تغییرِ همسو با شرط</w:t>
      </w:r>
      <w:r w:rsidRPr="00A62AA2">
        <w:rPr>
          <w:position w:val="-6"/>
        </w:rPr>
        <w:object w:dxaOrig="460" w:dyaOrig="260" w14:anchorId="5E2AB7ED">
          <v:shape id="_x0000_i6188" type="#_x0000_t75" style="width:23pt;height:13.3pt" o:ole="">
            <v:imagedata r:id="rId10410" o:title=""/>
          </v:shape>
          <o:OLEObject Type="Embed" ProgID="Equation.DSMT4" ShapeID="_x0000_i6188" DrawAspect="Content" ObjectID="_1791380132" r:id="rId10411"/>
        </w:object>
      </w:r>
      <w:r w:rsidRPr="00A62AA2">
        <w:rPr>
          <w:rFonts w:hint="cs"/>
          <w:i/>
          <w:sz w:val="23"/>
          <w:szCs w:val="23"/>
          <w:rtl/>
        </w:rPr>
        <w:t xml:space="preserve"> در تناقض، ولی درواقع با آن سازگار است. اگر بازار انتظارات داشته باشد نرخ بهره نسبت به آنچه اعمال می</w:t>
      </w:r>
      <w:r w:rsidRPr="00A62AA2">
        <w:rPr>
          <w:i/>
          <w:sz w:val="23"/>
          <w:szCs w:val="23"/>
          <w:rtl/>
        </w:rPr>
        <w:softHyphen/>
      </w:r>
      <w:r w:rsidRPr="00A62AA2">
        <w:rPr>
          <w:rFonts w:hint="cs"/>
          <w:i/>
          <w:sz w:val="23"/>
          <w:szCs w:val="23"/>
          <w:rtl/>
        </w:rPr>
        <w:t>شود کاهش زیادی داشته باشد، آنگاه نرخ ارز باید افزایش بیشتری داشته باشد تا کاهش بیش از حد قبلی خود را جبران کند.</w:t>
      </w:r>
    </w:p>
    <w:p w14:paraId="2AA76099"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هر دو این نتایج که به ظاهر خلاف قاعده و اصول است اهمیت نرخ ارز، و یا هر قیمت دارایی، که مبتنی بر انتظارات پیش‌رو یعنی اطلاعات و اخبار درست یا غلط درخصوص آینده است را در تعیین قیمت لحظه‌ای نشان می‌دهد. در نتیجه‌ی اخبار و شوک‌های در معرض خطر، نرخ‌های ارز فرّار و پر نوسان می</w:t>
      </w:r>
      <w:r w:rsidRPr="00A62AA2">
        <w:rPr>
          <w:rFonts w:hint="cs"/>
          <w:i/>
          <w:sz w:val="23"/>
          <w:szCs w:val="23"/>
          <w:rtl/>
        </w:rPr>
        <w:softHyphen/>
        <w:t>شوند. همچنین به این نکته توجه داریم هنگامی که موجودی پول به عنوان ابزار سیاستی انتخاب می</w:t>
      </w:r>
      <w:r w:rsidRPr="00A62AA2">
        <w:rPr>
          <w:rFonts w:hint="cs"/>
          <w:i/>
          <w:sz w:val="23"/>
          <w:szCs w:val="23"/>
          <w:rtl/>
        </w:rPr>
        <w:softHyphen/>
        <w:t xml:space="preserve">شود، نرخ‌های بهره و نرخ‌های ارز بدلیل پاسخ و واکنش قوی به شوک‌های پولی بسیار فرّار و پر نوسان خواهند شد. این دلیل دیگری برای کاربرد گسترده و همه جانبه‌ی نرخ‌های بهره به عنوان ابزار سیاست پولی است. </w:t>
      </w:r>
    </w:p>
    <w:p w14:paraId="7231A578"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 xml:space="preserve">نشان دادیم که نرخ‌های بهره در تعیین نرخ‌های ارز شناور نقش محوری دارند. برای ارزهایی همانند دلار، یورو، پوند و ین که به شدت در تجارت کالاها و خدمات مورد استفاده می‌گیرند، ارزش تجارت </w:t>
      </w:r>
    </w:p>
    <w:p w14:paraId="75A5EF44"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روزانه بسیار زیاد است، و به تبع آن این ارزها را فقط از طریق نرخ بهره می‌توان کنترل کرد. ذخایر ارزی بانک های مرکزی به اندازه‌ای نیست که بتوانند اثر معنی</w:t>
      </w:r>
      <w:r w:rsidRPr="00A62AA2">
        <w:rPr>
          <w:rFonts w:hint="cs"/>
          <w:i/>
          <w:sz w:val="23"/>
          <w:szCs w:val="23"/>
          <w:rtl/>
        </w:rPr>
        <w:softHyphen/>
        <w:t xml:space="preserve">داری بر کنترل ارزش ارزها داشته باشد. </w:t>
      </w:r>
    </w:p>
    <w:p w14:paraId="79D8FB83"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در مقابل، بسیاری از نظریه‌های اقتصاد کلان در خصوص نرخ ارز اسمی، بر اثرات سیاست‌های پولی و مالی تمرکز کرده</w:t>
      </w:r>
      <w:r w:rsidRPr="00A62AA2">
        <w:rPr>
          <w:rFonts w:hint="cs"/>
          <w:i/>
          <w:sz w:val="23"/>
          <w:szCs w:val="23"/>
          <w:rtl/>
        </w:rPr>
        <w:softHyphen/>
        <w:t xml:space="preserve"> و در آن</w:t>
      </w:r>
      <w:r w:rsidRPr="00A62AA2">
        <w:rPr>
          <w:rFonts w:hint="cs"/>
          <w:i/>
          <w:sz w:val="23"/>
          <w:szCs w:val="23"/>
          <w:rtl/>
        </w:rPr>
        <w:softHyphen/>
        <w:t xml:space="preserve">ها سیاست پولی از طریق کنترل عرضه‌ی پول اعمال می‌شود. </w:t>
      </w:r>
    </w:p>
    <w:p w14:paraId="1435BB84"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اگر شرط</w:t>
      </w:r>
      <w:r w:rsidRPr="00A62AA2">
        <w:rPr>
          <w:position w:val="-6"/>
        </w:rPr>
        <w:object w:dxaOrig="460" w:dyaOrig="260" w14:anchorId="27DEDA83">
          <v:shape id="_x0000_i6189" type="#_x0000_t75" style="width:23pt;height:13.3pt" o:ole="">
            <v:imagedata r:id="rId10412" o:title=""/>
          </v:shape>
          <o:OLEObject Type="Embed" ProgID="Equation.DSMT4" ShapeID="_x0000_i6189" DrawAspect="Content" ObjectID="_1791380133" r:id="rId10413"/>
        </w:object>
      </w:r>
      <w:r w:rsidRPr="00A62AA2">
        <w:rPr>
          <w:rFonts w:hint="cs"/>
          <w:i/>
          <w:sz w:val="23"/>
          <w:szCs w:val="23"/>
          <w:rtl/>
        </w:rPr>
        <w:t xml:space="preserve"> برقرار باشد، آنگاه سیاست پولی و مالی، نرخ ارز را از طریق اثرات آن‌ سیاست</w:t>
      </w:r>
      <w:r w:rsidRPr="00A62AA2">
        <w:rPr>
          <w:rFonts w:hint="cs"/>
          <w:i/>
          <w:sz w:val="23"/>
          <w:szCs w:val="23"/>
          <w:rtl/>
        </w:rPr>
        <w:softHyphen/>
        <w:t>ها بر نرخ‌های بهره معین خواهد کرد. پاسخ نرخ ارز به این سیاست</w:t>
      </w:r>
      <w:r w:rsidRPr="00A62AA2">
        <w:rPr>
          <w:rFonts w:hint="cs"/>
          <w:i/>
          <w:sz w:val="23"/>
          <w:szCs w:val="23"/>
          <w:rtl/>
        </w:rPr>
        <w:softHyphen/>
        <w:t>ها، ممکن است همانند مدل پولی نرخ ارز که قیمت</w:t>
      </w:r>
      <w:r w:rsidRPr="00A62AA2">
        <w:rPr>
          <w:rFonts w:hint="cs"/>
          <w:i/>
          <w:sz w:val="23"/>
          <w:szCs w:val="23"/>
          <w:rtl/>
        </w:rPr>
        <w:softHyphen/>
        <w:t>ها انعطاف‌پذیرند آنی و لحظه‌ای باشد، و یا همانند مدل ماندل ـ فلمینگ که قیمت‌ها ثابت</w:t>
      </w:r>
      <w:r w:rsidRPr="00A62AA2">
        <w:rPr>
          <w:rFonts w:hint="cs"/>
          <w:i/>
          <w:sz w:val="23"/>
          <w:szCs w:val="23"/>
          <w:rtl/>
        </w:rPr>
        <w:softHyphen/>
        <w:t>اند، و یا مدل دورنبوش که قیمت</w:t>
      </w:r>
      <w:r w:rsidRPr="00A62AA2">
        <w:rPr>
          <w:rFonts w:hint="cs"/>
          <w:i/>
          <w:sz w:val="23"/>
          <w:szCs w:val="23"/>
          <w:rtl/>
        </w:rPr>
        <w:softHyphen/>
        <w:t>ها چسبنده</w:t>
      </w:r>
      <w:r w:rsidRPr="00A62AA2">
        <w:rPr>
          <w:rFonts w:hint="cs"/>
          <w:i/>
          <w:sz w:val="23"/>
          <w:szCs w:val="23"/>
          <w:rtl/>
        </w:rPr>
        <w:softHyphen/>
        <w:t>اند، ممکن است تعدیل نرخ ارز در طی زمان صورت‌پذیرد. به علاوه، به دلیل وجود تغییرات آتی انتظاری نرخ ارز، نرخ لحظه‌ای ارز ممکن است بالاتر از حد بلندمدت جدید خود قرار گیرد.</w:t>
      </w:r>
    </w:p>
    <w:p w14:paraId="6C677238" w14:textId="77777777" w:rsidR="00556C10" w:rsidRPr="00A62AA2" w:rsidRDefault="00556C10" w:rsidP="00556C10">
      <w:pPr>
        <w:tabs>
          <w:tab w:val="right" w:pos="-83"/>
          <w:tab w:val="right" w:pos="7"/>
        </w:tabs>
        <w:spacing w:line="216" w:lineRule="auto"/>
        <w:rPr>
          <w:i/>
          <w:sz w:val="23"/>
          <w:szCs w:val="23"/>
          <w:rtl/>
        </w:rPr>
      </w:pPr>
    </w:p>
    <w:p w14:paraId="5795C22F" w14:textId="77777777" w:rsidR="00556C10" w:rsidRPr="00A62AA2" w:rsidRDefault="00556C10" w:rsidP="00556C10">
      <w:pPr>
        <w:pStyle w:val="Heading1"/>
        <w:spacing w:before="0" w:line="216" w:lineRule="auto"/>
        <w:rPr>
          <w:rFonts w:ascii="Times New Roman" w:hAnsi="Times New Roman" w:cs="B Nazanin"/>
          <w:b w:val="0"/>
          <w:i/>
          <w:sz w:val="23"/>
          <w:szCs w:val="23"/>
          <w:rtl/>
        </w:rPr>
      </w:pPr>
      <w:r w:rsidRPr="00A62AA2">
        <w:rPr>
          <w:rFonts w:ascii="Times New Roman" w:hAnsi="Times New Roman" w:cs="B Nazanin" w:hint="cs"/>
          <w:b w:val="0"/>
          <w:i/>
          <w:sz w:val="23"/>
          <w:szCs w:val="23"/>
          <w:rtl/>
        </w:rPr>
        <w:t>۱۳. ۵ مدل نرخ ارز ماندل ـ فلمینگ</w:t>
      </w:r>
    </w:p>
    <w:p w14:paraId="27475806" w14:textId="77777777" w:rsidR="00556C10" w:rsidRPr="00A62AA2" w:rsidRDefault="00556C10" w:rsidP="00556C10">
      <w:pPr>
        <w:tabs>
          <w:tab w:val="right" w:pos="-83"/>
          <w:tab w:val="right" w:pos="7"/>
        </w:tabs>
        <w:spacing w:line="216" w:lineRule="auto"/>
        <w:rPr>
          <w:bCs/>
          <w:i/>
          <w:sz w:val="23"/>
          <w:szCs w:val="23"/>
          <w:rtl/>
        </w:rPr>
      </w:pPr>
      <w:r w:rsidRPr="00A62AA2">
        <w:rPr>
          <w:rFonts w:hint="cs"/>
          <w:bCs/>
          <w:i/>
          <w:sz w:val="23"/>
          <w:szCs w:val="23"/>
          <w:rtl/>
        </w:rPr>
        <w:t>نظریه</w:t>
      </w:r>
    </w:p>
    <w:p w14:paraId="77089493"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 xml:space="preserve">مبنای تئوریک این مدل مبتنی است بر نظریات فلمینگ در سال ۱۹۶۲ و ماندل در سال ۱۹۶۳. نظریه این دو به همراه مدل پولی، نظریه نرخ ارز اسمی مدرن را بوجود خواهد آورد. تمرکز مدل </w:t>
      </w:r>
      <w:r w:rsidRPr="00A62AA2">
        <w:rPr>
          <w:rFonts w:hint="cs"/>
          <w:i/>
          <w:sz w:val="23"/>
          <w:szCs w:val="23"/>
          <w:rtl/>
        </w:rPr>
        <w:lastRenderedPageBreak/>
        <w:t>ماندل ـ فلمینگ بر انعطاف‌پذیری نرخ ارز اسمی در دنیای با تحرک سرمایه کامل و قیمت‌های انعطاف</w:t>
      </w:r>
      <w:r w:rsidRPr="00A62AA2">
        <w:rPr>
          <w:rFonts w:hint="cs"/>
          <w:i/>
          <w:sz w:val="23"/>
          <w:szCs w:val="23"/>
          <w:rtl/>
        </w:rPr>
        <w:softHyphen/>
        <w:t>ناپذیر است. همان</w:t>
      </w:r>
      <w:r w:rsidRPr="00A62AA2">
        <w:rPr>
          <w:rFonts w:hint="cs"/>
          <w:i/>
          <w:sz w:val="23"/>
          <w:szCs w:val="23"/>
          <w:rtl/>
        </w:rPr>
        <w:softHyphen/>
        <w:t>طور که در بالا اشاره شد مدل ماندل ـ فلمینگ شامل سه معادله‌ی</w:t>
      </w:r>
      <w:r w:rsidRPr="00A62AA2">
        <w:rPr>
          <w:position w:val="-6"/>
        </w:rPr>
        <w:object w:dxaOrig="320" w:dyaOrig="260" w14:anchorId="2B719E25">
          <v:shape id="_x0000_i6190" type="#_x0000_t75" style="width:15.75pt;height:13.3pt" o:ole="">
            <v:imagedata r:id="rId10414" o:title=""/>
          </v:shape>
          <o:OLEObject Type="Embed" ProgID="Equation.DSMT4" ShapeID="_x0000_i6190" DrawAspect="Content" ObjectID="_1791380134" r:id="rId10415"/>
        </w:object>
      </w:r>
      <w:r w:rsidRPr="00A62AA2">
        <w:rPr>
          <w:rFonts w:hint="cs"/>
          <w:i/>
          <w:sz w:val="23"/>
          <w:szCs w:val="23"/>
          <w:rtl/>
        </w:rPr>
        <w:t xml:space="preserve">، </w:t>
      </w:r>
      <w:r w:rsidRPr="00025957">
        <w:rPr>
          <w:position w:val="-4"/>
        </w:rPr>
        <w:object w:dxaOrig="440" w:dyaOrig="240" w14:anchorId="40CCC104">
          <v:shape id="_x0000_i6191" type="#_x0000_t75" style="width:21.8pt;height:11.5pt" o:ole="">
            <v:imagedata r:id="rId10416" o:title=""/>
          </v:shape>
          <o:OLEObject Type="Embed" ProgID="Equation.DSMT4" ShapeID="_x0000_i6191" DrawAspect="Content" ObjectID="_1791380135" r:id="rId10417"/>
        </w:object>
      </w:r>
      <w:r w:rsidRPr="00A62AA2">
        <w:rPr>
          <w:rFonts w:hint="cs"/>
          <w:i/>
          <w:sz w:val="23"/>
          <w:szCs w:val="23"/>
          <w:rtl/>
        </w:rPr>
        <w:t xml:space="preserve"> و</w:t>
      </w:r>
      <w:r w:rsidRPr="00A62AA2">
        <w:rPr>
          <w:position w:val="-6"/>
        </w:rPr>
        <w:object w:dxaOrig="460" w:dyaOrig="260" w14:anchorId="0A158C8D">
          <v:shape id="_x0000_i6192" type="#_x0000_t75" style="width:23pt;height:13.3pt" o:ole="">
            <v:imagedata r:id="rId10418" o:title=""/>
          </v:shape>
          <o:OLEObject Type="Embed" ProgID="Equation.DSMT4" ShapeID="_x0000_i6192" DrawAspect="Content" ObjectID="_1791380136" r:id="rId10419"/>
        </w:object>
      </w:r>
      <w:r w:rsidRPr="00A62AA2">
        <w:rPr>
          <w:i/>
          <w:sz w:val="23"/>
          <w:szCs w:val="23"/>
        </w:rPr>
        <w:t xml:space="preserve"> </w:t>
      </w:r>
      <w:r w:rsidRPr="00A62AA2">
        <w:rPr>
          <w:rFonts w:hint="cs"/>
          <w:i/>
          <w:sz w:val="23"/>
          <w:szCs w:val="23"/>
          <w:rtl/>
        </w:rPr>
        <w:t xml:space="preserve">است </w:t>
      </w:r>
    </w:p>
    <w:p w14:paraId="1F38C6A9" w14:textId="77777777" w:rsidR="00556C10" w:rsidRPr="00A62AA2" w:rsidRDefault="00556C10" w:rsidP="00556C10">
      <w:pPr>
        <w:tabs>
          <w:tab w:val="right" w:pos="-83"/>
          <w:tab w:val="right" w:pos="7"/>
        </w:tabs>
        <w:bidi w:val="0"/>
        <w:spacing w:line="216" w:lineRule="auto"/>
        <w:rPr>
          <w:i/>
          <w:sz w:val="23"/>
          <w:szCs w:val="23"/>
          <w:rtl/>
        </w:rPr>
      </w:pPr>
      <w:r w:rsidRPr="00A62AA2">
        <w:rPr>
          <w:position w:val="-16"/>
        </w:rPr>
        <w:object w:dxaOrig="4060" w:dyaOrig="420" w14:anchorId="77BDA562">
          <v:shape id="_x0000_i6193" type="#_x0000_t75" style="width:203.3pt;height:21.2pt" o:ole="">
            <v:imagedata r:id="rId10420" o:title=""/>
          </v:shape>
          <o:OLEObject Type="Embed" ProgID="Equation.DSMT4" ShapeID="_x0000_i6193" DrawAspect="Content" ObjectID="_1791380137" r:id="rId10421"/>
        </w:object>
      </w:r>
    </w:p>
    <w:p w14:paraId="602A1397" w14:textId="77777777" w:rsidR="00556C10" w:rsidRPr="00A62AA2" w:rsidRDefault="00556C10" w:rsidP="00556C10">
      <w:pPr>
        <w:tabs>
          <w:tab w:val="right" w:pos="-83"/>
          <w:tab w:val="right" w:pos="7"/>
        </w:tabs>
        <w:bidi w:val="0"/>
        <w:spacing w:line="216" w:lineRule="auto"/>
        <w:rPr>
          <w:i/>
          <w:sz w:val="23"/>
          <w:szCs w:val="23"/>
        </w:rPr>
      </w:pPr>
      <w:r w:rsidRPr="00A62AA2">
        <w:rPr>
          <w:position w:val="-10"/>
        </w:rPr>
        <w:object w:dxaOrig="2500" w:dyaOrig="340" w14:anchorId="417E883A">
          <v:shape id="_x0000_i6194" type="#_x0000_t75" style="width:125.25pt;height:16.95pt" o:ole="">
            <v:imagedata r:id="rId10422" o:title=""/>
          </v:shape>
          <o:OLEObject Type="Embed" ProgID="Equation.DSMT4" ShapeID="_x0000_i6194" DrawAspect="Content" ObjectID="_1791380138" r:id="rId10423"/>
        </w:object>
      </w:r>
    </w:p>
    <w:p w14:paraId="493E6BA9" w14:textId="77777777" w:rsidR="00556C10" w:rsidRPr="00A62AA2" w:rsidRDefault="00556C10" w:rsidP="00556C10">
      <w:pPr>
        <w:tabs>
          <w:tab w:val="right" w:pos="-83"/>
          <w:tab w:val="right" w:pos="7"/>
        </w:tabs>
        <w:bidi w:val="0"/>
        <w:spacing w:line="216" w:lineRule="auto"/>
        <w:rPr>
          <w:i/>
          <w:sz w:val="23"/>
          <w:szCs w:val="23"/>
        </w:rPr>
      </w:pPr>
      <w:r w:rsidRPr="00A62AA2">
        <w:rPr>
          <w:position w:val="-12"/>
        </w:rPr>
        <w:object w:dxaOrig="2840" w:dyaOrig="360" w14:anchorId="2E3CFB01">
          <v:shape id="_x0000_i6195" type="#_x0000_t75" style="width:142.2pt;height:18.15pt" o:ole="">
            <v:imagedata r:id="rId10424" o:title=""/>
          </v:shape>
          <o:OLEObject Type="Embed" ProgID="Equation.DSMT4" ShapeID="_x0000_i6195" DrawAspect="Content" ObjectID="_1791380139" r:id="rId10425"/>
        </w:object>
      </w:r>
    </w:p>
    <w:p w14:paraId="7AB50A22"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که در آن سطح قیمت</w:t>
      </w:r>
      <w:r w:rsidRPr="00A62AA2">
        <w:rPr>
          <w:rFonts w:hint="cs"/>
          <w:i/>
          <w:sz w:val="23"/>
          <w:szCs w:val="23"/>
          <w:rtl/>
        </w:rPr>
        <w:softHyphen/>
        <w:t>ها ثابت است، و سه متغیر درون</w:t>
      </w:r>
      <w:r w:rsidRPr="00A62AA2">
        <w:rPr>
          <w:rFonts w:hint="cs"/>
          <w:i/>
          <w:sz w:val="23"/>
          <w:szCs w:val="23"/>
          <w:rtl/>
        </w:rPr>
        <w:softHyphen/>
        <w:t>زای نرخ ارز اسمی، تولید و نرخ بهره</w:t>
      </w:r>
      <w:r w:rsidRPr="00A62AA2">
        <w:rPr>
          <w:rFonts w:hint="cs"/>
          <w:i/>
          <w:sz w:val="23"/>
          <w:szCs w:val="23"/>
          <w:rtl/>
        </w:rPr>
        <w:softHyphen/>
        <w:t>ی داخلی وجود دارد. با حل این سه معادله برای نرخ ارز خواهیم داشت</w:t>
      </w:r>
    </w:p>
    <w:p w14:paraId="0E52AF18" w14:textId="77777777" w:rsidR="00556C10" w:rsidRPr="00A62AA2" w:rsidRDefault="00556C10" w:rsidP="00556C10">
      <w:pPr>
        <w:tabs>
          <w:tab w:val="right" w:pos="-83"/>
          <w:tab w:val="right" w:pos="7"/>
        </w:tabs>
        <w:bidi w:val="0"/>
        <w:spacing w:line="216" w:lineRule="auto"/>
        <w:rPr>
          <w:i/>
          <w:sz w:val="23"/>
          <w:szCs w:val="23"/>
          <w:rtl/>
        </w:rPr>
      </w:pPr>
      <w:r w:rsidRPr="00A62AA2">
        <w:rPr>
          <w:position w:val="-56"/>
        </w:rPr>
        <w:object w:dxaOrig="5440" w:dyaOrig="1219" w14:anchorId="74761859">
          <v:shape id="_x0000_i6196" type="#_x0000_t75" style="width:271.65pt;height:61.1pt" o:ole="">
            <v:imagedata r:id="rId10426" o:title=""/>
          </v:shape>
          <o:OLEObject Type="Embed" ProgID="Equation.DSMT4" ShapeID="_x0000_i6196" DrawAspect="Content" ObjectID="_1791380140" r:id="rId10427"/>
        </w:object>
      </w:r>
      <w:r w:rsidRPr="00A62AA2">
        <w:rPr>
          <w:i/>
          <w:sz w:val="23"/>
          <w:szCs w:val="23"/>
        </w:rPr>
        <w:tab/>
      </w:r>
      <w:r w:rsidRPr="00A62AA2">
        <w:rPr>
          <w:rFonts w:hint="cs"/>
          <w:i/>
          <w:sz w:val="23"/>
          <w:szCs w:val="23"/>
          <w:rtl/>
        </w:rPr>
        <w:t xml:space="preserve">(۱۳. ۱۱)    </w:t>
      </w:r>
    </w:p>
    <w:p w14:paraId="1513DF33"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 xml:space="preserve"> که در آن </w:t>
      </w:r>
      <w:proofErr w:type="spellStart"/>
      <w:r w:rsidRPr="00A62AA2">
        <w:rPr>
          <w:i/>
          <w:sz w:val="23"/>
          <w:szCs w:val="23"/>
        </w:rPr>
        <w:t>x</w:t>
      </w:r>
      <w:r w:rsidRPr="00A62AA2">
        <w:rPr>
          <w:i/>
          <w:sz w:val="23"/>
          <w:szCs w:val="23"/>
          <w:vertAlign w:val="subscript"/>
        </w:rPr>
        <w:t>t</w:t>
      </w:r>
      <w:proofErr w:type="spellEnd"/>
      <w:r w:rsidRPr="00A62AA2">
        <w:rPr>
          <w:rFonts w:hint="cs"/>
          <w:i/>
          <w:sz w:val="23"/>
          <w:szCs w:val="23"/>
          <w:vertAlign w:val="subscript"/>
          <w:rtl/>
        </w:rPr>
        <w:t xml:space="preserve"> </w:t>
      </w:r>
      <w:r w:rsidRPr="00A62AA2">
        <w:rPr>
          <w:rFonts w:hint="cs"/>
          <w:i/>
          <w:sz w:val="23"/>
          <w:szCs w:val="23"/>
          <w:rtl/>
        </w:rPr>
        <w:t>برون زاست. با حل رابطه‌ی (۱۳. ۱۱) بصورت پیش‌رو خواهیم داشت</w:t>
      </w:r>
    </w:p>
    <w:p w14:paraId="366652D6" w14:textId="77777777" w:rsidR="00556C10" w:rsidRPr="00A62AA2" w:rsidRDefault="00556C10" w:rsidP="00556C10">
      <w:pPr>
        <w:tabs>
          <w:tab w:val="right" w:pos="-83"/>
          <w:tab w:val="right" w:pos="7"/>
        </w:tabs>
        <w:bidi w:val="0"/>
        <w:spacing w:line="216" w:lineRule="auto"/>
        <w:rPr>
          <w:i/>
          <w:sz w:val="23"/>
          <w:szCs w:val="23"/>
          <w:rtl/>
        </w:rPr>
      </w:pPr>
      <w:r w:rsidRPr="00A62AA2">
        <w:rPr>
          <w:position w:val="-28"/>
        </w:rPr>
        <w:object w:dxaOrig="2299" w:dyaOrig="700" w14:anchorId="7190F701">
          <v:shape id="_x0000_i6197" type="#_x0000_t75" style="width:114.95pt;height:35.1pt" o:ole="">
            <v:imagedata r:id="rId10428" o:title=""/>
          </v:shape>
          <o:OLEObject Type="Embed" ProgID="Equation.DSMT4" ShapeID="_x0000_i6197" DrawAspect="Content" ObjectID="_1791380141" r:id="rId10429"/>
        </w:object>
      </w:r>
    </w:p>
    <w:p w14:paraId="0E84B523"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 xml:space="preserve">بنابراین به تبع تغییرات متغیرهای </w:t>
      </w:r>
      <w:proofErr w:type="spellStart"/>
      <w:r w:rsidRPr="00A62AA2">
        <w:rPr>
          <w:i/>
          <w:sz w:val="23"/>
          <w:szCs w:val="23"/>
        </w:rPr>
        <w:t>x</w:t>
      </w:r>
      <w:r w:rsidRPr="00A62AA2">
        <w:rPr>
          <w:i/>
          <w:sz w:val="23"/>
          <w:szCs w:val="23"/>
          <w:vertAlign w:val="subscript"/>
        </w:rPr>
        <w:t>t</w:t>
      </w:r>
      <w:proofErr w:type="spellEnd"/>
      <w:r w:rsidRPr="00A62AA2">
        <w:rPr>
          <w:rFonts w:hint="cs"/>
          <w:i/>
          <w:sz w:val="23"/>
          <w:szCs w:val="23"/>
          <w:rtl/>
        </w:rPr>
        <w:t>، نرخ ارز اسمی سریعاً به مقدار تعادلی جدید خود حرکت خواهد کرد.</w:t>
      </w:r>
    </w:p>
    <w:p w14:paraId="1425A794"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حل بلندمدت سه متغیر درون‌زا بصورت زیر خواهد بود. تولید از معادله</w:t>
      </w:r>
      <w:r w:rsidRPr="00025957">
        <w:rPr>
          <w:position w:val="-4"/>
        </w:rPr>
        <w:object w:dxaOrig="440" w:dyaOrig="240" w14:anchorId="6160D81F">
          <v:shape id="_x0000_i6198" type="#_x0000_t75" style="width:21.8pt;height:11.5pt" o:ole="">
            <v:imagedata r:id="rId10430" o:title=""/>
          </v:shape>
          <o:OLEObject Type="Embed" ProgID="Equation.DSMT4" ShapeID="_x0000_i6198" DrawAspect="Content" ObjectID="_1791380142" r:id="rId10431"/>
        </w:object>
      </w:r>
      <w:r w:rsidRPr="00A62AA2">
        <w:rPr>
          <w:rFonts w:hint="cs"/>
          <w:i/>
          <w:sz w:val="23"/>
          <w:szCs w:val="23"/>
          <w:rtl/>
        </w:rPr>
        <w:t xml:space="preserve">، نرخ ارز از معادله‌ی </w:t>
      </w:r>
      <w:r w:rsidRPr="00A62AA2">
        <w:rPr>
          <w:position w:val="-6"/>
        </w:rPr>
        <w:object w:dxaOrig="320" w:dyaOrig="260" w14:anchorId="5B5019B7">
          <v:shape id="_x0000_i6199" type="#_x0000_t75" style="width:15.75pt;height:13.3pt" o:ole="">
            <v:imagedata r:id="rId10432" o:title=""/>
          </v:shape>
          <o:OLEObject Type="Embed" ProgID="Equation.DSMT4" ShapeID="_x0000_i6199" DrawAspect="Content" ObjectID="_1791380143" r:id="rId10433"/>
        </w:object>
      </w:r>
      <w:r w:rsidRPr="00A62AA2">
        <w:rPr>
          <w:rFonts w:hint="cs"/>
          <w:i/>
          <w:sz w:val="23"/>
          <w:szCs w:val="23"/>
          <w:rtl/>
        </w:rPr>
        <w:t xml:space="preserve"> و نرخ بهره از شرط</w:t>
      </w:r>
      <w:r w:rsidRPr="00A62AA2">
        <w:rPr>
          <w:position w:val="-6"/>
        </w:rPr>
        <w:object w:dxaOrig="460" w:dyaOrig="260" w14:anchorId="2AF7765F">
          <v:shape id="_x0000_i6200" type="#_x0000_t75" style="width:23pt;height:13.3pt" o:ole="">
            <v:imagedata r:id="rId10434" o:title=""/>
          </v:shape>
          <o:OLEObject Type="Embed" ProgID="Equation.DSMT4" ShapeID="_x0000_i6200" DrawAspect="Content" ObjectID="_1791380144" r:id="rId10435"/>
        </w:object>
      </w:r>
      <w:r w:rsidRPr="00A62AA2">
        <w:rPr>
          <w:rFonts w:hint="cs"/>
          <w:i/>
          <w:sz w:val="23"/>
          <w:szCs w:val="23"/>
          <w:rtl/>
        </w:rPr>
        <w:t xml:space="preserve"> بدست می‌آید. فرم‌های خلاصه شده</w:t>
      </w:r>
      <w:r w:rsidRPr="00A62AA2">
        <w:rPr>
          <w:rFonts w:hint="cs"/>
          <w:i/>
          <w:sz w:val="23"/>
          <w:szCs w:val="23"/>
          <w:rtl/>
        </w:rPr>
        <w:softHyphen/>
        <w:t xml:space="preserve">ی بلندمدت عبارت است از </w:t>
      </w:r>
    </w:p>
    <w:p w14:paraId="039AA486" w14:textId="77777777" w:rsidR="00556C10" w:rsidRPr="00A62AA2" w:rsidRDefault="00556C10" w:rsidP="00556C10">
      <w:pPr>
        <w:tabs>
          <w:tab w:val="right" w:pos="-83"/>
          <w:tab w:val="right" w:pos="7"/>
        </w:tabs>
        <w:bidi w:val="0"/>
        <w:spacing w:line="216" w:lineRule="auto"/>
        <w:rPr>
          <w:i/>
          <w:sz w:val="23"/>
          <w:szCs w:val="23"/>
          <w:rtl/>
        </w:rPr>
      </w:pPr>
      <w:r w:rsidRPr="00A62AA2">
        <w:rPr>
          <w:position w:val="-22"/>
        </w:rPr>
        <w:object w:dxaOrig="3600" w:dyaOrig="560" w14:anchorId="7284DBC6">
          <v:shape id="_x0000_i6201" type="#_x0000_t75" style="width:180.3pt;height:27.85pt" o:ole="">
            <v:imagedata r:id="rId10436" o:title=""/>
          </v:shape>
          <o:OLEObject Type="Embed" ProgID="Equation.DSMT4" ShapeID="_x0000_i6201" DrawAspect="Content" ObjectID="_1791380145" r:id="rId10437"/>
        </w:object>
      </w:r>
    </w:p>
    <w:p w14:paraId="5EA64E4B" w14:textId="77777777" w:rsidR="00556C10" w:rsidRPr="00A62AA2" w:rsidRDefault="00556C10" w:rsidP="00556C10">
      <w:pPr>
        <w:tabs>
          <w:tab w:val="right" w:pos="-83"/>
          <w:tab w:val="right" w:pos="7"/>
        </w:tabs>
        <w:bidi w:val="0"/>
        <w:spacing w:line="216" w:lineRule="auto"/>
        <w:rPr>
          <w:i/>
          <w:sz w:val="23"/>
          <w:szCs w:val="23"/>
        </w:rPr>
      </w:pPr>
      <w:r w:rsidRPr="00A62AA2">
        <w:rPr>
          <w:position w:val="-8"/>
        </w:rPr>
        <w:object w:dxaOrig="1500" w:dyaOrig="320" w14:anchorId="6DF01CC9">
          <v:shape id="_x0000_i6202" type="#_x0000_t75" style="width:75.05pt;height:15.75pt" o:ole="">
            <v:imagedata r:id="rId10438" o:title=""/>
          </v:shape>
          <o:OLEObject Type="Embed" ProgID="Equation.DSMT4" ShapeID="_x0000_i6202" DrawAspect="Content" ObjectID="_1791380146" r:id="rId10439"/>
        </w:object>
      </w:r>
    </w:p>
    <w:p w14:paraId="2D167421" w14:textId="77777777" w:rsidR="00556C10" w:rsidRPr="00A62AA2" w:rsidRDefault="00556C10" w:rsidP="00556C10">
      <w:pPr>
        <w:tabs>
          <w:tab w:val="right" w:pos="-83"/>
          <w:tab w:val="right" w:pos="7"/>
        </w:tabs>
        <w:bidi w:val="0"/>
        <w:spacing w:line="216" w:lineRule="auto"/>
        <w:rPr>
          <w:i/>
          <w:sz w:val="23"/>
          <w:szCs w:val="23"/>
        </w:rPr>
      </w:pPr>
      <w:r w:rsidRPr="00A62AA2">
        <w:rPr>
          <w:position w:val="-6"/>
        </w:rPr>
        <w:object w:dxaOrig="700" w:dyaOrig="300" w14:anchorId="2F8D2D8D">
          <v:shape id="_x0000_i6203" type="#_x0000_t75" style="width:35.1pt;height:14.5pt" o:ole="">
            <v:imagedata r:id="rId10440" o:title=""/>
          </v:shape>
          <o:OLEObject Type="Embed" ProgID="Equation.DSMT4" ShapeID="_x0000_i6203" DrawAspect="Content" ObjectID="_1791380147" r:id="rId10441"/>
        </w:object>
      </w:r>
    </w:p>
    <w:p w14:paraId="5171EA82"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بنابراین، در بلندمدت، افزایش دائمی عرضه‌ی پول و کاهش مخارج دولت باعث کاهش ارزش پول داخلی خواهد شد. تولید فقط به تبع سیاست پولی تغییر کرده و سیاست مالی بر تولید تأثیر نمی</w:t>
      </w:r>
      <w:r w:rsidRPr="00A62AA2">
        <w:rPr>
          <w:rFonts w:hint="cs"/>
          <w:i/>
          <w:sz w:val="23"/>
          <w:szCs w:val="23"/>
          <w:rtl/>
        </w:rPr>
        <w:softHyphen/>
        <w:t>گذارد. زیرا سیاست مالی کاملاً از صحنه خارج</w:t>
      </w:r>
      <w:r w:rsidRPr="00A62AA2">
        <w:rPr>
          <w:rStyle w:val="FootnoteReference"/>
          <w:i/>
          <w:sz w:val="23"/>
          <w:szCs w:val="23"/>
          <w:rtl/>
        </w:rPr>
        <w:footnoteReference w:id="317"/>
      </w:r>
      <w:r w:rsidRPr="00A62AA2">
        <w:rPr>
          <w:rFonts w:hint="cs"/>
          <w:i/>
          <w:sz w:val="23"/>
          <w:szCs w:val="23"/>
          <w:rtl/>
        </w:rPr>
        <w:t xml:space="preserve"> می</w:t>
      </w:r>
      <w:r w:rsidRPr="00A62AA2">
        <w:rPr>
          <w:rFonts w:hint="cs"/>
          <w:i/>
          <w:sz w:val="23"/>
          <w:szCs w:val="23"/>
          <w:rtl/>
        </w:rPr>
        <w:softHyphen/>
        <w:t>شود. این نتیجه کاملاً مغایر سیاست پولی و مالی با فرض نرخ ارز اسمی ثابت است. در مدل</w:t>
      </w:r>
      <w:r w:rsidRPr="00025957">
        <w:rPr>
          <w:position w:val="-4"/>
        </w:rPr>
        <w:object w:dxaOrig="740" w:dyaOrig="240" w14:anchorId="56194EAA">
          <v:shape id="_x0000_i6204" type="#_x0000_t75" style="width:36.9pt;height:11.5pt" o:ole="">
            <v:imagedata r:id="rId10442" o:title=""/>
          </v:shape>
          <o:OLEObject Type="Embed" ProgID="Equation.DSMT4" ShapeID="_x0000_i6204" DrawAspect="Content" ObjectID="_1791380148" r:id="rId10443"/>
        </w:object>
      </w:r>
      <w:r w:rsidRPr="00A62AA2">
        <w:rPr>
          <w:rFonts w:hint="cs"/>
          <w:i/>
          <w:sz w:val="23"/>
          <w:szCs w:val="23"/>
          <w:rtl/>
        </w:rPr>
        <w:t xml:space="preserve"> نشان داده شد که سیاست پولی بر تولید بی</w:t>
      </w:r>
      <w:r w:rsidRPr="00A62AA2">
        <w:rPr>
          <w:rFonts w:hint="cs"/>
          <w:i/>
          <w:sz w:val="23"/>
          <w:szCs w:val="23"/>
          <w:rtl/>
        </w:rPr>
        <w:softHyphen/>
        <w:t xml:space="preserve">تأثیر، اما سیاست مالی انبساطی باعث افزایش تولید خواهد شد. در مدل ماندل ـ فلمینگ، افزایش مخارج دولت باعث افزایش ارزش پول داخلی شده و به تبع آن مخارج خصوصی، از خرید کالاهای داخلی به سمت کالاهای خارجی هدایت خواهد شد. از آنجا که تولید بدون تغییر است، این تغییر جهت رفتار بخش خصوصی می‌بایست برابر با افزایش مخارج دولتی باشد. </w:t>
      </w:r>
    </w:p>
    <w:p w14:paraId="1A3E52DF"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lastRenderedPageBreak/>
        <w:t>اثرات سیاست‌های پولی و مالی را ممکن است از طریق نمودار</w:t>
      </w:r>
      <w:r w:rsidRPr="00A62AA2">
        <w:rPr>
          <w:position w:val="-6"/>
        </w:rPr>
        <w:object w:dxaOrig="1400" w:dyaOrig="260" w14:anchorId="23EBC4CC">
          <v:shape id="_x0000_i6205" type="#_x0000_t75" style="width:70.2pt;height:13.3pt" o:ole="">
            <v:imagedata r:id="rId10444" o:title=""/>
          </v:shape>
          <o:OLEObject Type="Embed" ProgID="Equation.DSMT4" ShapeID="_x0000_i6205" DrawAspect="Content" ObjectID="_1791380149" r:id="rId10445"/>
        </w:object>
      </w:r>
      <w:r w:rsidRPr="00A62AA2">
        <w:rPr>
          <w:rFonts w:hint="cs"/>
          <w:i/>
          <w:sz w:val="23"/>
          <w:szCs w:val="23"/>
          <w:rtl/>
        </w:rPr>
        <w:t xml:space="preserve"> نیز تشریح نمود. مهمترین تمایز</w:t>
      </w:r>
      <w:r w:rsidRPr="00A62AA2">
        <w:rPr>
          <w:i/>
          <w:sz w:val="23"/>
          <w:szCs w:val="23"/>
        </w:rPr>
        <w:t xml:space="preserve"> </w:t>
      </w:r>
      <w:r w:rsidRPr="00A62AA2">
        <w:rPr>
          <w:rFonts w:hint="cs"/>
          <w:i/>
          <w:sz w:val="23"/>
          <w:szCs w:val="23"/>
          <w:rtl/>
        </w:rPr>
        <w:t>نسبت به تحلیل</w:t>
      </w:r>
      <w:r w:rsidRPr="00A62AA2">
        <w:rPr>
          <w:rFonts w:hint="cs"/>
          <w:i/>
          <w:sz w:val="23"/>
          <w:szCs w:val="23"/>
          <w:rtl/>
        </w:rPr>
        <w:softHyphen/>
        <w:t>های قبل در آن است که در نتیجه‌ی فرض</w:t>
      </w:r>
      <w:r w:rsidRPr="00A62AA2">
        <w:rPr>
          <w:position w:val="-6"/>
        </w:rPr>
        <w:object w:dxaOrig="460" w:dyaOrig="260" w14:anchorId="26E9954F">
          <v:shape id="_x0000_i6206" type="#_x0000_t75" style="width:23pt;height:13.3pt" o:ole="">
            <v:imagedata r:id="rId10446" o:title=""/>
          </v:shape>
          <o:OLEObject Type="Embed" ProgID="Equation.DSMT4" ShapeID="_x0000_i6206" DrawAspect="Content" ObjectID="_1791380150" r:id="rId10447"/>
        </w:object>
      </w:r>
      <w:r w:rsidRPr="00A62AA2">
        <w:rPr>
          <w:rFonts w:hint="cs"/>
          <w:i/>
          <w:sz w:val="23"/>
          <w:szCs w:val="23"/>
          <w:rtl/>
        </w:rPr>
        <w:t>، خط</w:t>
      </w:r>
      <w:r w:rsidRPr="00025957">
        <w:rPr>
          <w:position w:val="-4"/>
        </w:rPr>
        <w:object w:dxaOrig="400" w:dyaOrig="240" w14:anchorId="6A11D150">
          <v:shape id="_x0000_i6207" type="#_x0000_t75" style="width:19.95pt;height:11.5pt" o:ole="">
            <v:imagedata r:id="rId10448" o:title=""/>
          </v:shape>
          <o:OLEObject Type="Embed" ProgID="Equation.DSMT4" ShapeID="_x0000_i6207" DrawAspect="Content" ObjectID="_1791380151" r:id="rId10449"/>
        </w:object>
      </w:r>
      <w:r w:rsidRPr="00A62AA2">
        <w:rPr>
          <w:i/>
          <w:sz w:val="23"/>
          <w:szCs w:val="23"/>
        </w:rPr>
        <w:t xml:space="preserve"> </w:t>
      </w:r>
      <w:r w:rsidRPr="00A62AA2">
        <w:rPr>
          <w:rFonts w:hint="cs"/>
          <w:i/>
          <w:sz w:val="23"/>
          <w:szCs w:val="23"/>
          <w:rtl/>
        </w:rPr>
        <w:t>افقی خواهد بود.</w:t>
      </w:r>
    </w:p>
    <w:p w14:paraId="63FE0017" w14:textId="77777777" w:rsidR="00556C10" w:rsidRPr="00A62AA2" w:rsidRDefault="00556C10" w:rsidP="00556C10">
      <w:pPr>
        <w:tabs>
          <w:tab w:val="right" w:pos="-83"/>
          <w:tab w:val="right" w:pos="7"/>
        </w:tabs>
        <w:spacing w:line="216" w:lineRule="auto"/>
        <w:rPr>
          <w:i/>
          <w:sz w:val="23"/>
          <w:szCs w:val="23"/>
          <w:rtl/>
        </w:rPr>
      </w:pPr>
    </w:p>
    <w:p w14:paraId="22564C59" w14:textId="77777777" w:rsidR="00556C10" w:rsidRPr="00A62AA2" w:rsidRDefault="00556C10" w:rsidP="00556C10">
      <w:pPr>
        <w:tabs>
          <w:tab w:val="right" w:pos="-83"/>
          <w:tab w:val="right" w:pos="7"/>
        </w:tabs>
        <w:spacing w:line="216" w:lineRule="auto"/>
        <w:rPr>
          <w:bCs/>
          <w:i/>
          <w:sz w:val="23"/>
          <w:szCs w:val="23"/>
        </w:rPr>
      </w:pPr>
      <w:r w:rsidRPr="00A62AA2">
        <w:rPr>
          <w:rFonts w:hint="cs"/>
          <w:bCs/>
          <w:i/>
          <w:sz w:val="23"/>
          <w:szCs w:val="23"/>
          <w:rtl/>
        </w:rPr>
        <w:t>سیاست پولی</w:t>
      </w:r>
    </w:p>
    <w:p w14:paraId="63BBAB93"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با اعمال سیاست پولی انبساطی، منحنی</w:t>
      </w:r>
      <w:r w:rsidRPr="00025957">
        <w:rPr>
          <w:position w:val="-4"/>
        </w:rPr>
        <w:object w:dxaOrig="440" w:dyaOrig="240" w14:anchorId="4897CD31">
          <v:shape id="_x0000_i6208" type="#_x0000_t75" style="width:21.8pt;height:11.5pt" o:ole="">
            <v:imagedata r:id="rId10450" o:title=""/>
          </v:shape>
          <o:OLEObject Type="Embed" ProgID="Equation.DSMT4" ShapeID="_x0000_i6208" DrawAspect="Content" ObjectID="_1791380152" r:id="rId10451"/>
        </w:object>
      </w:r>
      <w:r w:rsidRPr="00A62AA2">
        <w:rPr>
          <w:rFonts w:hint="cs"/>
          <w:i/>
          <w:sz w:val="23"/>
          <w:szCs w:val="23"/>
          <w:rtl/>
        </w:rPr>
        <w:t xml:space="preserve"> در نمودار ۱۳. ۷ به سمت راست</w:t>
      </w:r>
      <w:r w:rsidRPr="00A62AA2">
        <w:rPr>
          <w:i/>
          <w:sz w:val="23"/>
          <w:szCs w:val="23"/>
        </w:rPr>
        <w:t xml:space="preserve"> </w:t>
      </w:r>
      <w:r w:rsidRPr="00A62AA2">
        <w:rPr>
          <w:rFonts w:hint="cs"/>
          <w:i/>
          <w:sz w:val="23"/>
          <w:szCs w:val="23"/>
          <w:rtl/>
        </w:rPr>
        <w:t>و اقتصاد از نقطه</w:t>
      </w:r>
      <w:r w:rsidRPr="00025957">
        <w:rPr>
          <w:position w:val="-4"/>
        </w:rPr>
        <w:object w:dxaOrig="240" w:dyaOrig="240" w14:anchorId="02A7B68F">
          <v:shape id="_x0000_i6209" type="#_x0000_t75" style="width:11.5pt;height:11.5pt" o:ole="">
            <v:imagedata r:id="rId10452" o:title=""/>
          </v:shape>
          <o:OLEObject Type="Embed" ProgID="Equation.DSMT4" ShapeID="_x0000_i6209" DrawAspect="Content" ObjectID="_1791380153" r:id="rId10453"/>
        </w:object>
      </w:r>
      <w:r w:rsidRPr="00A62AA2">
        <w:rPr>
          <w:i/>
          <w:sz w:val="23"/>
          <w:szCs w:val="23"/>
        </w:rPr>
        <w:t xml:space="preserve"> </w:t>
      </w:r>
      <w:r w:rsidRPr="00A62AA2">
        <w:rPr>
          <w:rFonts w:hint="cs"/>
          <w:i/>
          <w:sz w:val="23"/>
          <w:szCs w:val="23"/>
          <w:rtl/>
        </w:rPr>
        <w:t>به</w:t>
      </w:r>
      <w:r w:rsidRPr="00A62AA2">
        <w:rPr>
          <w:i/>
          <w:sz w:val="23"/>
          <w:szCs w:val="23"/>
        </w:rPr>
        <w:t xml:space="preserve"> </w:t>
      </w:r>
      <w:r w:rsidRPr="00025957">
        <w:rPr>
          <w:position w:val="-4"/>
        </w:rPr>
        <w:object w:dxaOrig="240" w:dyaOrig="240" w14:anchorId="771332AF">
          <v:shape id="_x0000_i6210" type="#_x0000_t75" style="width:11.5pt;height:11.5pt" o:ole="">
            <v:imagedata r:id="rId10454" o:title=""/>
          </v:shape>
          <o:OLEObject Type="Embed" ProgID="Equation.DSMT4" ShapeID="_x0000_i6210" DrawAspect="Content" ObjectID="_1791380154" r:id="rId10455"/>
        </w:object>
      </w:r>
      <w:r w:rsidRPr="00A62AA2">
        <w:rPr>
          <w:rFonts w:hint="cs"/>
          <w:i/>
          <w:sz w:val="23"/>
          <w:szCs w:val="23"/>
          <w:rtl/>
        </w:rPr>
        <w:t>منتقل می‌شود. در نقطه</w:t>
      </w:r>
      <w:r w:rsidRPr="00A62AA2">
        <w:rPr>
          <w:rFonts w:hint="cs"/>
          <w:i/>
          <w:sz w:val="23"/>
          <w:szCs w:val="23"/>
          <w:rtl/>
        </w:rPr>
        <w:softHyphen/>
        <w:t>ی</w:t>
      </w:r>
      <w:r w:rsidRPr="00025957">
        <w:rPr>
          <w:position w:val="-4"/>
        </w:rPr>
        <w:object w:dxaOrig="240" w:dyaOrig="240" w14:anchorId="368C6042">
          <v:shape id="_x0000_i6211" type="#_x0000_t75" style="width:11.5pt;height:11.5pt" o:ole="">
            <v:imagedata r:id="rId10456" o:title=""/>
          </v:shape>
          <o:OLEObject Type="Embed" ProgID="Equation.DSMT4" ShapeID="_x0000_i6211" DrawAspect="Content" ObjectID="_1791380155" r:id="rId10457"/>
        </w:object>
      </w:r>
      <w:r w:rsidRPr="00A62AA2">
        <w:rPr>
          <w:rFonts w:hint="cs"/>
          <w:i/>
          <w:sz w:val="23"/>
          <w:szCs w:val="23"/>
          <w:rtl/>
        </w:rPr>
        <w:t xml:space="preserve"> به خاطر تفاوت منفی در نرخ بهره، خروج سرمایه‌ وجود دارد که باعث کاهش ارزش پول داخلی، افزایش صادرات و با انتقال منحنی</w:t>
      </w:r>
      <w:r w:rsidRPr="00A62AA2">
        <w:rPr>
          <w:position w:val="-6"/>
        </w:rPr>
        <w:object w:dxaOrig="320" w:dyaOrig="260" w14:anchorId="4255981F">
          <v:shape id="_x0000_i6212" type="#_x0000_t75" style="width:15.75pt;height:13.3pt" o:ole="">
            <v:imagedata r:id="rId10458" o:title=""/>
          </v:shape>
          <o:OLEObject Type="Embed" ProgID="Equation.DSMT4" ShapeID="_x0000_i6212" DrawAspect="Content" ObjectID="_1791380156" r:id="rId10459"/>
        </w:object>
      </w:r>
      <w:r w:rsidRPr="00A62AA2">
        <w:rPr>
          <w:rFonts w:hint="cs"/>
          <w:i/>
          <w:sz w:val="23"/>
          <w:szCs w:val="23"/>
          <w:rtl/>
        </w:rPr>
        <w:t xml:space="preserve"> به سمت راست اقتصاد به نقطه تعادل</w:t>
      </w:r>
      <w:r w:rsidRPr="00A62AA2">
        <w:rPr>
          <w:position w:val="-6"/>
        </w:rPr>
        <w:object w:dxaOrig="220" w:dyaOrig="260" w14:anchorId="68B9B66D">
          <v:shape id="_x0000_i6213" type="#_x0000_t75" style="width:10.9pt;height:13.3pt" o:ole="">
            <v:imagedata r:id="rId10460" o:title=""/>
          </v:shape>
          <o:OLEObject Type="Embed" ProgID="Equation.DSMT4" ShapeID="_x0000_i6213" DrawAspect="Content" ObjectID="_1791380157" r:id="rId10461"/>
        </w:object>
      </w:r>
      <w:r w:rsidRPr="00A62AA2">
        <w:rPr>
          <w:rFonts w:hint="cs"/>
          <w:i/>
          <w:sz w:val="23"/>
          <w:szCs w:val="23"/>
          <w:rtl/>
        </w:rPr>
        <w:t xml:space="preserve"> منتقل می‌شود. در این نقطه با افزایش تولید، تقاضا برای پول و به تبع آن نرخ بهره افزایش می</w:t>
      </w:r>
      <w:r w:rsidRPr="00A62AA2">
        <w:rPr>
          <w:rFonts w:hint="cs"/>
          <w:i/>
          <w:sz w:val="23"/>
          <w:szCs w:val="23"/>
          <w:rtl/>
        </w:rPr>
        <w:softHyphen/>
        <w:t>یابند. اختلاف نرخ بهره مجدداً برابر صفر شده و انگیزه تغییرات در نرخ ارز و جریان سرمایه را از بین خواهد برد. بنابراین انبساط پولی دارای اثر حقیقی بر تولید، و کاهش ارزش پول داخلی است.</w:t>
      </w:r>
    </w:p>
    <w:p w14:paraId="31B21DEA"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از حل فرم خلاصه شده می‌دانیم که</w:t>
      </w:r>
      <w:r w:rsidRPr="00A62AA2">
        <w:rPr>
          <w:position w:val="-6"/>
        </w:rPr>
        <w:object w:dxaOrig="240" w:dyaOrig="260" w14:anchorId="37985348">
          <v:shape id="_x0000_i6214" type="#_x0000_t75" style="width:11.5pt;height:13.3pt" o:ole="">
            <v:imagedata r:id="rId10462" o:title=""/>
          </v:shape>
          <o:OLEObject Type="Embed" ProgID="Equation.DSMT4" ShapeID="_x0000_i6214" DrawAspect="Content" ObjectID="_1791380158" r:id="rId10463"/>
        </w:object>
      </w:r>
      <w:r w:rsidRPr="00A62AA2">
        <w:rPr>
          <w:rFonts w:hint="cs"/>
          <w:i/>
          <w:sz w:val="23"/>
          <w:szCs w:val="23"/>
          <w:rtl/>
        </w:rPr>
        <w:t xml:space="preserve"> بدون تغییر، و</w:t>
      </w:r>
      <w:r w:rsidRPr="00A62AA2">
        <w:rPr>
          <w:position w:val="-8"/>
        </w:rPr>
        <w:object w:dxaOrig="859" w:dyaOrig="279" w14:anchorId="69BFC945">
          <v:shape id="_x0000_i6215" type="#_x0000_t75" style="width:42.95pt;height:13.9pt" o:ole="">
            <v:imagedata r:id="rId10464" o:title=""/>
          </v:shape>
          <o:OLEObject Type="Embed" ProgID="Equation.DSMT4" ShapeID="_x0000_i6215" DrawAspect="Content" ObjectID="_1791380159" r:id="rId10465"/>
        </w:object>
      </w:r>
      <w:r w:rsidRPr="00A62AA2">
        <w:rPr>
          <w:rFonts w:hint="cs"/>
          <w:i/>
          <w:sz w:val="23"/>
          <w:szCs w:val="23"/>
          <w:rtl/>
        </w:rPr>
        <w:t xml:space="preserve"> و</w:t>
      </w:r>
      <w:r w:rsidRPr="00A62AA2">
        <w:rPr>
          <w:position w:val="-12"/>
        </w:rPr>
        <w:object w:dxaOrig="1400" w:dyaOrig="360" w14:anchorId="7D994D48">
          <v:shape id="_x0000_i6216" type="#_x0000_t75" style="width:70.2pt;height:18.15pt" o:ole="">
            <v:imagedata r:id="rId10466" o:title=""/>
          </v:shape>
          <o:OLEObject Type="Embed" ProgID="Equation.DSMT4" ShapeID="_x0000_i6216" DrawAspect="Content" ObjectID="_1791380160" r:id="rId10467"/>
        </w:object>
      </w:r>
      <w:r w:rsidRPr="00A62AA2">
        <w:rPr>
          <w:rFonts w:hint="cs"/>
          <w:i/>
          <w:sz w:val="23"/>
          <w:szCs w:val="23"/>
          <w:rtl/>
        </w:rPr>
        <w:t xml:space="preserve"> است</w:t>
      </w:r>
      <w:r w:rsidRPr="00A62AA2">
        <w:rPr>
          <w:i/>
          <w:sz w:val="23"/>
          <w:szCs w:val="23"/>
        </w:rPr>
        <w:t>.</w:t>
      </w:r>
      <w:r w:rsidRPr="00A62AA2">
        <w:rPr>
          <w:rFonts w:hint="cs"/>
          <w:i/>
          <w:sz w:val="23"/>
          <w:szCs w:val="23"/>
          <w:rtl/>
        </w:rPr>
        <w:t xml:space="preserve"> بنابراین نرخ ارز به میزان تغییرات عرضه‌ی پول تغییر نمی</w:t>
      </w:r>
      <w:r w:rsidRPr="00A62AA2">
        <w:rPr>
          <w:rFonts w:hint="cs"/>
          <w:i/>
          <w:sz w:val="23"/>
          <w:szCs w:val="23"/>
          <w:rtl/>
        </w:rPr>
        <w:softHyphen/>
        <w:t xml:space="preserve">کند. اگر </w:t>
      </w:r>
      <w:r w:rsidRPr="00A62AA2">
        <w:rPr>
          <w:position w:val="-6"/>
        </w:rPr>
        <w:object w:dxaOrig="520" w:dyaOrig="260" w14:anchorId="7D36AE9A">
          <v:shape id="_x0000_i6217" type="#_x0000_t75" style="width:26pt;height:13.3pt" o:ole="">
            <v:imagedata r:id="rId10468" o:title=""/>
          </v:shape>
          <o:OLEObject Type="Embed" ProgID="Equation.DSMT4" ShapeID="_x0000_i6217" DrawAspect="Content" ObjectID="_1791380161" r:id="rId10469"/>
        </w:object>
      </w:r>
      <w:r w:rsidRPr="00A62AA2">
        <w:rPr>
          <w:rFonts w:hint="cs"/>
          <w:i/>
          <w:sz w:val="23"/>
          <w:szCs w:val="23"/>
          <w:rtl/>
        </w:rPr>
        <w:t xml:space="preserve"> باشد تغییر</w:t>
      </w:r>
      <w:r w:rsidRPr="00A62AA2">
        <w:rPr>
          <w:i/>
          <w:sz w:val="23"/>
          <w:szCs w:val="23"/>
        </w:rPr>
        <w:t xml:space="preserve"> </w:t>
      </w:r>
      <w:r w:rsidRPr="00A62AA2">
        <w:rPr>
          <w:rFonts w:hint="cs"/>
          <w:i/>
          <w:sz w:val="23"/>
          <w:szCs w:val="23"/>
          <w:rtl/>
        </w:rPr>
        <w:t xml:space="preserve">نرخ ارز بیشتر و اگر </w:t>
      </w:r>
      <w:r w:rsidRPr="00A62AA2">
        <w:rPr>
          <w:position w:val="-6"/>
        </w:rPr>
        <w:object w:dxaOrig="520" w:dyaOrig="260" w14:anchorId="35D53611">
          <v:shape id="_x0000_i6218" type="#_x0000_t75" style="width:26pt;height:13.3pt" o:ole="">
            <v:imagedata r:id="rId10470" o:title=""/>
          </v:shape>
          <o:OLEObject Type="Embed" ProgID="Equation.DSMT4" ShapeID="_x0000_i6218" DrawAspect="Content" ObjectID="_1791380162" r:id="rId10471"/>
        </w:object>
      </w:r>
      <w:r w:rsidRPr="00A62AA2">
        <w:rPr>
          <w:i/>
          <w:sz w:val="23"/>
          <w:szCs w:val="23"/>
        </w:rPr>
        <w:t xml:space="preserve"> </w:t>
      </w:r>
      <w:r w:rsidRPr="00A62AA2">
        <w:rPr>
          <w:rFonts w:hint="cs"/>
          <w:i/>
          <w:sz w:val="23"/>
          <w:szCs w:val="23"/>
          <w:rtl/>
        </w:rPr>
        <w:t>تغییرات نرخ ارز کمتر از تغییرات عرضه‌ی پول خواهد بود. این نتایج مغایر نتایج بدست آمده از مدل قبلی با جانشینی سرمایه‌ی ناقص، و همچنین مدل‌های پولی و دورنبوش است که متعاقباً بررسی می‌شوند. در این مدل‌ها درصد تغییرات نرخ ارز برابر با عرضه‌ی پول است. تفاوت بدست آمده بخاطر فرض مدل ماندل ـ فلمینگ است که در آن سطح قیمت به عرضه پول واکنش نشان نمی</w:t>
      </w:r>
      <w:r w:rsidRPr="00A62AA2">
        <w:rPr>
          <w:rFonts w:hint="cs"/>
          <w:i/>
          <w:sz w:val="23"/>
          <w:szCs w:val="23"/>
          <w:rtl/>
        </w:rPr>
        <w:softHyphen/>
        <w:t xml:space="preserve">دهد. </w:t>
      </w:r>
    </w:p>
    <w:p w14:paraId="193268FC" w14:textId="77777777" w:rsidR="00556C10" w:rsidRPr="00A62AA2" w:rsidRDefault="00556C10" w:rsidP="00556C10">
      <w:pPr>
        <w:tabs>
          <w:tab w:val="right" w:pos="-83"/>
          <w:tab w:val="right" w:pos="7"/>
        </w:tabs>
        <w:spacing w:line="216" w:lineRule="auto"/>
        <w:rPr>
          <w:i/>
          <w:sz w:val="23"/>
          <w:szCs w:val="23"/>
          <w:rtl/>
        </w:rPr>
      </w:pPr>
    </w:p>
    <w:p w14:paraId="3DF25042" w14:textId="77777777" w:rsidR="00556C10" w:rsidRPr="00A62AA2" w:rsidRDefault="00556C10" w:rsidP="00556C10">
      <w:pPr>
        <w:tabs>
          <w:tab w:val="right" w:pos="-83"/>
          <w:tab w:val="right" w:pos="7"/>
        </w:tabs>
        <w:spacing w:line="216" w:lineRule="auto"/>
        <w:jc w:val="center"/>
        <w:rPr>
          <w:i/>
          <w:sz w:val="23"/>
          <w:szCs w:val="23"/>
          <w:rtl/>
        </w:rPr>
      </w:pPr>
      <w:r w:rsidRPr="00A62AA2">
        <w:rPr>
          <w:rFonts w:hint="cs"/>
          <w:i/>
          <w:sz w:val="23"/>
          <w:szCs w:val="23"/>
          <w:rtl/>
        </w:rPr>
        <w:t>نمودار ۱۳. ۷ : سیاست پولی</w:t>
      </w:r>
    </w:p>
    <w:p w14:paraId="13FDBD1C" w14:textId="77777777" w:rsidR="00556C10" w:rsidRPr="00A62AA2" w:rsidRDefault="00556C10" w:rsidP="00556C10">
      <w:pPr>
        <w:tabs>
          <w:tab w:val="right" w:pos="-83"/>
          <w:tab w:val="right" w:pos="7"/>
        </w:tabs>
        <w:spacing w:line="216" w:lineRule="auto"/>
        <w:jc w:val="center"/>
        <w:rPr>
          <w:i/>
          <w:sz w:val="23"/>
          <w:szCs w:val="23"/>
          <w:rtl/>
        </w:rPr>
      </w:pPr>
      <w:r w:rsidRPr="00A62AA2">
        <w:rPr>
          <w:i/>
          <w:noProof/>
          <w:sz w:val="23"/>
          <w:szCs w:val="23"/>
          <w:lang w:bidi="ar-SA"/>
        </w:rPr>
        <w:drawing>
          <wp:inline distT="0" distB="0" distL="0" distR="0" wp14:anchorId="43702996" wp14:editId="40F8397B">
            <wp:extent cx="3656864" cy="2188332"/>
            <wp:effectExtent l="38100" t="38100" r="39370" b="406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472" cstate="print">
                      <a:extLst>
                        <a:ext uri="{BEBA8EAE-BF5A-486C-A8C5-ECC9F3942E4B}">
                          <a14:imgProps xmlns:a14="http://schemas.microsoft.com/office/drawing/2010/main">
                            <a14:imgLayer r:embed="rId1047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63099" cy="2192063"/>
                    </a:xfrm>
                    <a:prstGeom prst="rect">
                      <a:avLst/>
                    </a:prstGeom>
                    <a:ln w="28575">
                      <a:solidFill>
                        <a:schemeClr val="tx1"/>
                      </a:solidFill>
                    </a:ln>
                  </pic:spPr>
                </pic:pic>
              </a:graphicData>
            </a:graphic>
          </wp:inline>
        </w:drawing>
      </w:r>
    </w:p>
    <w:p w14:paraId="084C9971" w14:textId="77777777" w:rsidR="00556C10" w:rsidRPr="00A62AA2" w:rsidRDefault="00556C10" w:rsidP="00556C10">
      <w:pPr>
        <w:tabs>
          <w:tab w:val="right" w:pos="-83"/>
          <w:tab w:val="right" w:pos="7"/>
        </w:tabs>
        <w:spacing w:line="216" w:lineRule="auto"/>
        <w:jc w:val="center"/>
        <w:rPr>
          <w:i/>
          <w:sz w:val="23"/>
          <w:szCs w:val="23"/>
        </w:rPr>
      </w:pPr>
    </w:p>
    <w:p w14:paraId="7DA7355A" w14:textId="77777777" w:rsidR="00556C10" w:rsidRPr="00A62AA2" w:rsidRDefault="00556C10" w:rsidP="00556C10">
      <w:pPr>
        <w:tabs>
          <w:tab w:val="right" w:pos="-83"/>
          <w:tab w:val="right" w:pos="7"/>
        </w:tabs>
        <w:spacing w:line="216" w:lineRule="auto"/>
        <w:jc w:val="center"/>
        <w:rPr>
          <w:i/>
          <w:sz w:val="23"/>
          <w:szCs w:val="23"/>
          <w:rtl/>
        </w:rPr>
      </w:pPr>
      <w:r w:rsidRPr="00A62AA2">
        <w:rPr>
          <w:rFonts w:hint="cs"/>
          <w:i/>
          <w:sz w:val="23"/>
          <w:szCs w:val="23"/>
          <w:rtl/>
        </w:rPr>
        <w:t>نمودار ۱۳. ۸ : سیاست مالی</w:t>
      </w:r>
    </w:p>
    <w:p w14:paraId="12B6AB78" w14:textId="77777777" w:rsidR="00556C10" w:rsidRPr="00A62AA2" w:rsidRDefault="00556C10" w:rsidP="00556C10">
      <w:pPr>
        <w:tabs>
          <w:tab w:val="right" w:pos="-83"/>
          <w:tab w:val="right" w:pos="7"/>
        </w:tabs>
        <w:spacing w:line="216" w:lineRule="auto"/>
        <w:jc w:val="center"/>
        <w:rPr>
          <w:i/>
          <w:sz w:val="23"/>
          <w:szCs w:val="23"/>
          <w:rtl/>
        </w:rPr>
      </w:pPr>
      <w:r w:rsidRPr="00A62AA2">
        <w:rPr>
          <w:i/>
          <w:noProof/>
          <w:sz w:val="23"/>
          <w:szCs w:val="23"/>
          <w:lang w:bidi="ar-SA"/>
        </w:rPr>
        <w:lastRenderedPageBreak/>
        <w:drawing>
          <wp:inline distT="0" distB="0" distL="0" distR="0" wp14:anchorId="0DC2034C" wp14:editId="67052564">
            <wp:extent cx="3656006" cy="2213810"/>
            <wp:effectExtent l="38100" t="38100" r="40005" b="342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474" cstate="print">
                      <a:extLst>
                        <a:ext uri="{BEBA8EAE-BF5A-486C-A8C5-ECC9F3942E4B}">
                          <a14:imgProps xmlns:a14="http://schemas.microsoft.com/office/drawing/2010/main">
                            <a14:imgLayer r:embed="rId1047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67610" cy="2220837"/>
                    </a:xfrm>
                    <a:prstGeom prst="rect">
                      <a:avLst/>
                    </a:prstGeom>
                    <a:ln w="28575">
                      <a:solidFill>
                        <a:schemeClr val="tx1"/>
                      </a:solidFill>
                    </a:ln>
                  </pic:spPr>
                </pic:pic>
              </a:graphicData>
            </a:graphic>
          </wp:inline>
        </w:drawing>
      </w:r>
    </w:p>
    <w:p w14:paraId="04DCD21F" w14:textId="77777777" w:rsidR="00556C10" w:rsidRDefault="00556C10" w:rsidP="00556C10">
      <w:pPr>
        <w:tabs>
          <w:tab w:val="right" w:pos="-83"/>
          <w:tab w:val="right" w:pos="7"/>
        </w:tabs>
        <w:spacing w:line="216" w:lineRule="auto"/>
        <w:rPr>
          <w:i/>
          <w:sz w:val="23"/>
          <w:szCs w:val="23"/>
          <w:rtl/>
        </w:rPr>
      </w:pPr>
    </w:p>
    <w:p w14:paraId="2675933B"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اگر سطح قیمت افزایش یابد، آنگاه، از معادله‌ی فرم خلاصه شده‌ی نرخ ارز،</w:t>
      </w:r>
      <w:r w:rsidRPr="00A62AA2">
        <w:rPr>
          <w:position w:val="-6"/>
        </w:rPr>
        <w:object w:dxaOrig="160" w:dyaOrig="200" w14:anchorId="4F880836">
          <v:shape id="_x0000_i6219" type="#_x0000_t75" style="width:7.85pt;height:10.3pt" o:ole="">
            <v:imagedata r:id="rId10476" o:title=""/>
          </v:shape>
          <o:OLEObject Type="Embed" ProgID="Equation.DSMT4" ShapeID="_x0000_i6219" DrawAspect="Content" ObjectID="_1791380163" r:id="rId10477"/>
        </w:object>
      </w:r>
      <w:r w:rsidRPr="00A62AA2">
        <w:rPr>
          <w:rFonts w:hint="cs"/>
          <w:i/>
          <w:sz w:val="23"/>
          <w:szCs w:val="23"/>
          <w:rtl/>
        </w:rPr>
        <w:t xml:space="preserve"> کمتر از</w:t>
      </w:r>
      <w:r w:rsidRPr="00A62AA2">
        <w:rPr>
          <w:position w:val="-8"/>
        </w:rPr>
        <w:object w:dxaOrig="220" w:dyaOrig="220" w14:anchorId="30AFD7E2">
          <v:shape id="_x0000_i6220" type="#_x0000_t75" style="width:10.9pt;height:10.9pt" o:ole="">
            <v:imagedata r:id="rId10478" o:title=""/>
          </v:shape>
          <o:OLEObject Type="Embed" ProgID="Equation.DSMT4" ShapeID="_x0000_i6220" DrawAspect="Content" ObjectID="_1791380164" r:id="rId10479"/>
        </w:object>
      </w:r>
      <w:r w:rsidRPr="00A62AA2">
        <w:rPr>
          <w:i/>
          <w:sz w:val="23"/>
          <w:szCs w:val="23"/>
        </w:rPr>
        <w:t xml:space="preserve"> </w:t>
      </w:r>
      <w:r w:rsidRPr="00A62AA2">
        <w:rPr>
          <w:rFonts w:hint="cs"/>
          <w:i/>
          <w:sz w:val="23"/>
          <w:szCs w:val="23"/>
          <w:rtl/>
        </w:rPr>
        <w:t>افزایش ‌یافته اگر</w:t>
      </w:r>
      <w:r w:rsidRPr="00A62AA2">
        <w:rPr>
          <w:position w:val="-6"/>
        </w:rPr>
        <w:object w:dxaOrig="780" w:dyaOrig="260" w14:anchorId="64F9D1E4">
          <v:shape id="_x0000_i6221" type="#_x0000_t75" style="width:39.35pt;height:13.3pt" o:ole="">
            <v:imagedata r:id="rId10480" o:title=""/>
          </v:shape>
          <o:OLEObject Type="Embed" ProgID="Equation.DSMT4" ShapeID="_x0000_i6221" DrawAspect="Content" ObjectID="_1791380165" r:id="rId10481"/>
        </w:object>
      </w:r>
      <w:r w:rsidRPr="00A62AA2">
        <w:rPr>
          <w:rFonts w:hint="cs"/>
          <w:i/>
          <w:sz w:val="23"/>
          <w:szCs w:val="23"/>
          <w:rtl/>
        </w:rPr>
        <w:t xml:space="preserve"> باشد، و بیشتر از</w:t>
      </w:r>
      <w:r w:rsidRPr="00A62AA2">
        <w:rPr>
          <w:position w:val="-8"/>
        </w:rPr>
        <w:object w:dxaOrig="220" w:dyaOrig="220" w14:anchorId="5EF5FB08">
          <v:shape id="_x0000_i6222" type="#_x0000_t75" style="width:10.9pt;height:10.9pt" o:ole="">
            <v:imagedata r:id="rId10482" o:title=""/>
          </v:shape>
          <o:OLEObject Type="Embed" ProgID="Equation.DSMT4" ShapeID="_x0000_i6222" DrawAspect="Content" ObjectID="_1791380166" r:id="rId10483"/>
        </w:object>
      </w:r>
      <w:r w:rsidRPr="00A62AA2">
        <w:rPr>
          <w:rFonts w:hint="cs"/>
          <w:i/>
          <w:sz w:val="23"/>
          <w:szCs w:val="23"/>
          <w:rtl/>
        </w:rPr>
        <w:t xml:space="preserve"> افزایش می‌یابد اگر</w:t>
      </w:r>
      <w:r w:rsidRPr="00A62AA2">
        <w:rPr>
          <w:position w:val="-6"/>
        </w:rPr>
        <w:object w:dxaOrig="1120" w:dyaOrig="260" w14:anchorId="1DAC4EA1">
          <v:shape id="_x0000_i6223" type="#_x0000_t75" style="width:56.25pt;height:13.3pt" o:ole="">
            <v:imagedata r:id="rId10484" o:title=""/>
          </v:shape>
          <o:OLEObject Type="Embed" ProgID="Equation.DSMT4" ShapeID="_x0000_i6223" DrawAspect="Content" ObjectID="_1791380167" r:id="rId10485"/>
        </w:object>
      </w:r>
      <w:r w:rsidRPr="00A62AA2">
        <w:rPr>
          <w:rFonts w:hint="cs"/>
          <w:i/>
          <w:sz w:val="23"/>
          <w:szCs w:val="23"/>
          <w:rtl/>
        </w:rPr>
        <w:t xml:space="preserve"> باشد</w:t>
      </w:r>
      <w:r w:rsidRPr="00A62AA2">
        <w:rPr>
          <w:i/>
          <w:sz w:val="23"/>
          <w:szCs w:val="23"/>
        </w:rPr>
        <w:t>.</w:t>
      </w:r>
      <w:r w:rsidRPr="00A62AA2">
        <w:rPr>
          <w:rFonts w:hint="cs"/>
          <w:i/>
          <w:sz w:val="23"/>
          <w:szCs w:val="23"/>
          <w:rtl/>
        </w:rPr>
        <w:t xml:space="preserve"> در این صورت حل مدل شبیه مدل‌های دیگر خواهد بود.</w:t>
      </w:r>
    </w:p>
    <w:p w14:paraId="079DF91B"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می</w:t>
      </w:r>
      <w:r w:rsidRPr="00A62AA2">
        <w:rPr>
          <w:rFonts w:hint="cs"/>
          <w:i/>
          <w:sz w:val="23"/>
          <w:szCs w:val="23"/>
          <w:rtl/>
        </w:rPr>
        <w:softHyphen/>
        <w:t>توان نشان داد که افزایش در نرخ بهره‌ی خارجی باعث خروج دائمی سرمایه به خارج، کاهش ارزش پول داخلی، و انتقال منحنی</w:t>
      </w:r>
      <w:r w:rsidRPr="00A62AA2">
        <w:rPr>
          <w:position w:val="-6"/>
        </w:rPr>
        <w:object w:dxaOrig="320" w:dyaOrig="260" w14:anchorId="76513F77">
          <v:shape id="_x0000_i6224" type="#_x0000_t75" style="width:15.75pt;height:13.3pt" o:ole="">
            <v:imagedata r:id="rId10486" o:title=""/>
          </v:shape>
          <o:OLEObject Type="Embed" ProgID="Equation.DSMT4" ShapeID="_x0000_i6224" DrawAspect="Content" ObjectID="_1791380168" r:id="rId10487"/>
        </w:object>
      </w:r>
      <w:r w:rsidRPr="00A62AA2">
        <w:rPr>
          <w:rFonts w:hint="cs"/>
          <w:i/>
          <w:sz w:val="23"/>
          <w:szCs w:val="23"/>
          <w:rtl/>
        </w:rPr>
        <w:t xml:space="preserve"> به سمت راست و بالا شده که به تبع آن نرخ بهره</w:t>
      </w:r>
      <w:r w:rsidRPr="00A62AA2">
        <w:rPr>
          <w:rFonts w:hint="cs"/>
          <w:i/>
          <w:sz w:val="23"/>
          <w:szCs w:val="23"/>
          <w:rtl/>
        </w:rPr>
        <w:softHyphen/>
        <w:t>ی داخلی افزایش خواهد یافت. تعادل زمانی بدست می‌آید که تفاوت نرخ بهره‌ی اولیه با افزایش یکسان نرخ بهره داخلی جبران شود. از حل‌های فرم خلاصه شده داریم</w:t>
      </w:r>
    </w:p>
    <w:p w14:paraId="526A3CE6" w14:textId="77777777" w:rsidR="00556C10" w:rsidRPr="00A62AA2" w:rsidRDefault="00556C10" w:rsidP="00556C10">
      <w:pPr>
        <w:tabs>
          <w:tab w:val="right" w:pos="-83"/>
          <w:tab w:val="right" w:pos="7"/>
        </w:tabs>
        <w:bidi w:val="0"/>
        <w:spacing w:line="216" w:lineRule="auto"/>
        <w:rPr>
          <w:i/>
          <w:sz w:val="23"/>
          <w:szCs w:val="23"/>
          <w:rtl/>
        </w:rPr>
      </w:pPr>
      <w:r w:rsidRPr="00A62AA2">
        <w:rPr>
          <w:position w:val="-22"/>
        </w:rPr>
        <w:object w:dxaOrig="4220" w:dyaOrig="560" w14:anchorId="25FCB54A">
          <v:shape id="_x0000_i6225" type="#_x0000_t75" style="width:211.15pt;height:27.85pt" o:ole="">
            <v:imagedata r:id="rId10488" o:title=""/>
          </v:shape>
          <o:OLEObject Type="Embed" ProgID="Equation.DSMT4" ShapeID="_x0000_i6225" DrawAspect="Content" ObjectID="_1791380169" r:id="rId10489"/>
        </w:object>
      </w:r>
    </w:p>
    <w:p w14:paraId="50AF3751" w14:textId="77777777" w:rsidR="00556C10" w:rsidRPr="00A62AA2" w:rsidRDefault="00556C10" w:rsidP="00556C10">
      <w:pPr>
        <w:tabs>
          <w:tab w:val="right" w:pos="-83"/>
          <w:tab w:val="right" w:pos="7"/>
        </w:tabs>
        <w:spacing w:line="216" w:lineRule="auto"/>
        <w:rPr>
          <w:bCs/>
          <w:i/>
          <w:sz w:val="23"/>
          <w:szCs w:val="23"/>
          <w:rtl/>
        </w:rPr>
      </w:pPr>
    </w:p>
    <w:p w14:paraId="6CEA109D" w14:textId="77777777" w:rsidR="00556C10" w:rsidRPr="00A62AA2" w:rsidRDefault="00556C10" w:rsidP="00556C10">
      <w:pPr>
        <w:tabs>
          <w:tab w:val="right" w:pos="-83"/>
          <w:tab w:val="right" w:pos="7"/>
        </w:tabs>
        <w:spacing w:line="216" w:lineRule="auto"/>
        <w:rPr>
          <w:bCs/>
          <w:i/>
          <w:sz w:val="23"/>
          <w:szCs w:val="23"/>
          <w:rtl/>
        </w:rPr>
      </w:pPr>
      <w:r w:rsidRPr="00A62AA2">
        <w:rPr>
          <w:rFonts w:hint="cs"/>
          <w:bCs/>
          <w:i/>
          <w:sz w:val="23"/>
          <w:szCs w:val="23"/>
          <w:rtl/>
        </w:rPr>
        <w:t>سیاست مالی</w:t>
      </w:r>
    </w:p>
    <w:p w14:paraId="6A8C5057"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همان</w:t>
      </w:r>
      <w:r w:rsidRPr="00A62AA2">
        <w:rPr>
          <w:rFonts w:hint="cs"/>
          <w:i/>
          <w:sz w:val="23"/>
          <w:szCs w:val="23"/>
          <w:rtl/>
        </w:rPr>
        <w:softHyphen/>
        <w:t>گونه که در نمودار (۱۳. ۸) ملاحظه می</w:t>
      </w:r>
      <w:r w:rsidRPr="00A62AA2">
        <w:rPr>
          <w:rFonts w:hint="cs"/>
          <w:i/>
          <w:sz w:val="23"/>
          <w:szCs w:val="23"/>
          <w:rtl/>
        </w:rPr>
        <w:softHyphen/>
        <w:t>شود افزایش دائمی مخارج دولتی</w:t>
      </w:r>
      <w:r w:rsidRPr="00A62AA2">
        <w:rPr>
          <w:position w:val="-8"/>
        </w:rPr>
        <w:object w:dxaOrig="220" w:dyaOrig="240" w14:anchorId="6AC39180">
          <v:shape id="_x0000_i6226" type="#_x0000_t75" style="width:10.9pt;height:11.5pt" o:ole="">
            <v:imagedata r:id="rId10490" o:title=""/>
          </v:shape>
          <o:OLEObject Type="Embed" ProgID="Equation.DSMT4" ShapeID="_x0000_i6226" DrawAspect="Content" ObjectID="_1791380170" r:id="rId10491"/>
        </w:object>
      </w:r>
      <w:r w:rsidRPr="00A62AA2">
        <w:rPr>
          <w:i/>
          <w:sz w:val="23"/>
          <w:szCs w:val="23"/>
        </w:rPr>
        <w:t xml:space="preserve"> </w:t>
      </w:r>
      <w:r w:rsidRPr="00A62AA2">
        <w:rPr>
          <w:rFonts w:hint="cs"/>
          <w:i/>
          <w:sz w:val="23"/>
          <w:szCs w:val="23"/>
          <w:rtl/>
        </w:rPr>
        <w:t>منحنی</w:t>
      </w:r>
      <w:r w:rsidRPr="00A62AA2">
        <w:rPr>
          <w:position w:val="-6"/>
        </w:rPr>
        <w:object w:dxaOrig="320" w:dyaOrig="260" w14:anchorId="6BB1CF7D">
          <v:shape id="_x0000_i6227" type="#_x0000_t75" style="width:15.75pt;height:13.3pt" o:ole="">
            <v:imagedata r:id="rId10492" o:title=""/>
          </v:shape>
          <o:OLEObject Type="Embed" ProgID="Equation.DSMT4" ShapeID="_x0000_i6227" DrawAspect="Content" ObjectID="_1791380171" r:id="rId10493"/>
        </w:object>
      </w:r>
      <w:r w:rsidRPr="00A62AA2">
        <w:rPr>
          <w:rFonts w:hint="cs"/>
          <w:i/>
          <w:sz w:val="23"/>
          <w:szCs w:val="23"/>
          <w:rtl/>
        </w:rPr>
        <w:t xml:space="preserve"> را به سمت راست منتقل می‌کند. در ابتدا اقتصاد از</w:t>
      </w:r>
      <w:r w:rsidRPr="00025957">
        <w:rPr>
          <w:position w:val="-4"/>
        </w:rPr>
        <w:object w:dxaOrig="240" w:dyaOrig="240" w14:anchorId="1F71CF25">
          <v:shape id="_x0000_i6228" type="#_x0000_t75" style="width:11.5pt;height:11.5pt" o:ole="">
            <v:imagedata r:id="rId10494" o:title=""/>
          </v:shape>
          <o:OLEObject Type="Embed" ProgID="Equation.DSMT4" ShapeID="_x0000_i6228" DrawAspect="Content" ObjectID="_1791380172" r:id="rId10495"/>
        </w:object>
      </w:r>
      <w:r w:rsidRPr="00A62AA2">
        <w:rPr>
          <w:rFonts w:hint="cs"/>
          <w:i/>
          <w:sz w:val="23"/>
          <w:szCs w:val="23"/>
          <w:rtl/>
        </w:rPr>
        <w:t xml:space="preserve"> به</w:t>
      </w:r>
      <w:r w:rsidRPr="00025957">
        <w:rPr>
          <w:position w:val="-4"/>
        </w:rPr>
        <w:object w:dxaOrig="240" w:dyaOrig="240" w14:anchorId="6C248519">
          <v:shape id="_x0000_i6229" type="#_x0000_t75" style="width:11.5pt;height:11.5pt" o:ole="">
            <v:imagedata r:id="rId10496" o:title=""/>
          </v:shape>
          <o:OLEObject Type="Embed" ProgID="Equation.DSMT4" ShapeID="_x0000_i6229" DrawAspect="Content" ObjectID="_1791380173" r:id="rId10497"/>
        </w:object>
      </w:r>
      <w:r w:rsidRPr="00A62AA2">
        <w:rPr>
          <w:rFonts w:hint="cs"/>
          <w:i/>
          <w:sz w:val="23"/>
          <w:szCs w:val="23"/>
          <w:rtl/>
        </w:rPr>
        <w:t>حرکت خواهد کرد. در نقطه</w:t>
      </w:r>
      <w:r w:rsidRPr="00A62AA2">
        <w:rPr>
          <w:rFonts w:hint="cs"/>
          <w:i/>
          <w:sz w:val="23"/>
          <w:szCs w:val="23"/>
          <w:rtl/>
        </w:rPr>
        <w:softHyphen/>
        <w:t>ی</w:t>
      </w:r>
      <w:r w:rsidRPr="00025957">
        <w:rPr>
          <w:position w:val="-4"/>
        </w:rPr>
        <w:object w:dxaOrig="240" w:dyaOrig="240" w14:anchorId="5012F4EF">
          <v:shape id="_x0000_i6230" type="#_x0000_t75" style="width:11.5pt;height:11.5pt" o:ole="">
            <v:imagedata r:id="rId10498" o:title=""/>
          </v:shape>
          <o:OLEObject Type="Embed" ProgID="Equation.DSMT4" ShapeID="_x0000_i6230" DrawAspect="Content" ObjectID="_1791380174" r:id="rId10499"/>
        </w:object>
      </w:r>
      <w:r w:rsidRPr="00A62AA2">
        <w:rPr>
          <w:rFonts w:hint="cs"/>
          <w:i/>
          <w:sz w:val="23"/>
          <w:szCs w:val="23"/>
          <w:rtl/>
        </w:rPr>
        <w:t xml:space="preserve"> تفاوت مثبت</w:t>
      </w:r>
      <w:r w:rsidRPr="00A62AA2">
        <w:rPr>
          <w:i/>
          <w:sz w:val="23"/>
          <w:szCs w:val="23"/>
        </w:rPr>
        <w:t xml:space="preserve"> </w:t>
      </w:r>
      <w:r w:rsidRPr="00A62AA2">
        <w:rPr>
          <w:rFonts w:hint="cs"/>
          <w:i/>
          <w:sz w:val="23"/>
          <w:szCs w:val="23"/>
          <w:rtl/>
        </w:rPr>
        <w:t>بین نرخ بهره وجود دارد. با جریان سرمایه به داخل و افزایش ارزش پول داخلی و کاهش صادرات و افزایش واردات، منحنی</w:t>
      </w:r>
      <w:r w:rsidRPr="00A62AA2">
        <w:rPr>
          <w:position w:val="-6"/>
        </w:rPr>
        <w:object w:dxaOrig="320" w:dyaOrig="260" w14:anchorId="024B618D">
          <v:shape id="_x0000_i6231" type="#_x0000_t75" style="width:15.75pt;height:13.3pt" o:ole="">
            <v:imagedata r:id="rId10500" o:title=""/>
          </v:shape>
          <o:OLEObject Type="Embed" ProgID="Equation.DSMT4" ShapeID="_x0000_i6231" DrawAspect="Content" ObjectID="_1791380175" r:id="rId10501"/>
        </w:object>
      </w:r>
      <w:r w:rsidRPr="00A62AA2">
        <w:rPr>
          <w:rFonts w:hint="cs"/>
          <w:i/>
          <w:sz w:val="23"/>
          <w:szCs w:val="23"/>
          <w:rtl/>
        </w:rPr>
        <w:t xml:space="preserve"> به موقعیت اولیه‌ی خود بازخواهد گشت و لذا تأثیری بر تولید نخواهد گذاشت. درواقع، انبساط مالی منجر به تخصیص مجدد تولید داخلی از بخش خصوصی به بخش عمومی از طریق افزایش ارزش پول داخلی خواهد شد. </w:t>
      </w:r>
    </w:p>
    <w:p w14:paraId="23F31CCF"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بنابراین سیاست مالی بر تولید بی</w:t>
      </w:r>
      <w:r w:rsidRPr="00A62AA2">
        <w:rPr>
          <w:rFonts w:hint="cs"/>
          <w:i/>
          <w:sz w:val="23"/>
          <w:szCs w:val="23"/>
          <w:rtl/>
        </w:rPr>
        <w:softHyphen/>
        <w:t xml:space="preserve">تأثیر است و بوسیله نرخ ارز کاملاً از صحنه خارج می‌شود. از معادلات فرم خلاصه شده داریم </w:t>
      </w:r>
      <w:r w:rsidRPr="00A62AA2">
        <w:rPr>
          <w:position w:val="-12"/>
        </w:rPr>
        <w:object w:dxaOrig="1520" w:dyaOrig="360" w14:anchorId="20EA00D7">
          <v:shape id="_x0000_i6232" type="#_x0000_t75" style="width:75.65pt;height:18.15pt" o:ole="">
            <v:imagedata r:id="rId10502" o:title=""/>
          </v:shape>
          <o:OLEObject Type="Embed" ProgID="Equation.DSMT4" ShapeID="_x0000_i6232" DrawAspect="Content" ObjectID="_1791380176" r:id="rId10503"/>
        </w:object>
      </w:r>
      <w:r w:rsidRPr="00A62AA2">
        <w:rPr>
          <w:rFonts w:hint="cs"/>
          <w:i/>
          <w:sz w:val="23"/>
          <w:szCs w:val="23"/>
          <w:rtl/>
        </w:rPr>
        <w:t>، و</w:t>
      </w:r>
      <w:r w:rsidRPr="00A62AA2">
        <w:rPr>
          <w:position w:val="-8"/>
        </w:rPr>
        <w:object w:dxaOrig="200" w:dyaOrig="220" w14:anchorId="4C2F0ECD">
          <v:shape id="_x0000_i6233" type="#_x0000_t75" style="width:10.3pt;height:10.9pt" o:ole="">
            <v:imagedata r:id="rId10504" o:title=""/>
          </v:shape>
          <o:OLEObject Type="Embed" ProgID="Equation.DSMT4" ShapeID="_x0000_i6233" DrawAspect="Content" ObjectID="_1791380177" r:id="rId10505"/>
        </w:object>
      </w:r>
      <w:r w:rsidRPr="00A62AA2">
        <w:rPr>
          <w:rFonts w:hint="cs"/>
          <w:i/>
          <w:sz w:val="23"/>
          <w:szCs w:val="23"/>
          <w:rtl/>
        </w:rPr>
        <w:t xml:space="preserve"> و</w:t>
      </w:r>
      <w:r w:rsidRPr="00A62AA2">
        <w:rPr>
          <w:position w:val="-6"/>
        </w:rPr>
        <w:object w:dxaOrig="240" w:dyaOrig="260" w14:anchorId="44579F05">
          <v:shape id="_x0000_i6234" type="#_x0000_t75" style="width:11.5pt;height:13.3pt" o:ole="">
            <v:imagedata r:id="rId10506" o:title=""/>
          </v:shape>
          <o:OLEObject Type="Embed" ProgID="Equation.DSMT4" ShapeID="_x0000_i6234" DrawAspect="Content" ObjectID="_1791380178" r:id="rId10507"/>
        </w:object>
      </w:r>
      <w:r w:rsidRPr="00A62AA2">
        <w:rPr>
          <w:rFonts w:hint="cs"/>
          <w:i/>
          <w:sz w:val="23"/>
          <w:szCs w:val="23"/>
          <w:rtl/>
        </w:rPr>
        <w:t xml:space="preserve"> بدون تغییر باقی می‌مانند.</w:t>
      </w:r>
    </w:p>
    <w:p w14:paraId="40A4E6B3" w14:textId="77777777" w:rsidR="00556C10" w:rsidRPr="00A62AA2" w:rsidRDefault="00556C10" w:rsidP="00556C10">
      <w:pPr>
        <w:tabs>
          <w:tab w:val="right" w:pos="-83"/>
          <w:tab w:val="right" w:pos="7"/>
        </w:tabs>
        <w:spacing w:line="216" w:lineRule="auto"/>
        <w:rPr>
          <w:i/>
          <w:sz w:val="23"/>
          <w:szCs w:val="23"/>
          <w:rtl/>
        </w:rPr>
      </w:pPr>
    </w:p>
    <w:p w14:paraId="11332F08" w14:textId="77777777" w:rsidR="00556C10" w:rsidRPr="00A62AA2" w:rsidRDefault="00556C10" w:rsidP="00556C10">
      <w:pPr>
        <w:pStyle w:val="Heading1"/>
        <w:spacing w:before="0" w:line="216" w:lineRule="auto"/>
        <w:rPr>
          <w:rFonts w:ascii="Times New Roman" w:hAnsi="Times New Roman" w:cs="B Nazanin"/>
          <w:b w:val="0"/>
          <w:i/>
          <w:sz w:val="23"/>
          <w:szCs w:val="23"/>
          <w:rtl/>
        </w:rPr>
      </w:pPr>
      <w:r w:rsidRPr="00A62AA2">
        <w:rPr>
          <w:rFonts w:ascii="Times New Roman" w:hAnsi="Times New Roman" w:cs="B Nazanin" w:hint="cs"/>
          <w:b w:val="0"/>
          <w:i/>
          <w:sz w:val="23"/>
          <w:szCs w:val="23"/>
          <w:rtl/>
        </w:rPr>
        <w:lastRenderedPageBreak/>
        <w:t xml:space="preserve">۱۳. ۶ مدل پولی نرخ ارز </w:t>
      </w:r>
    </w:p>
    <w:p w14:paraId="739FFCC0" w14:textId="77777777" w:rsidR="00556C10" w:rsidRPr="00A62AA2" w:rsidRDefault="00556C10" w:rsidP="00556C10">
      <w:pPr>
        <w:tabs>
          <w:tab w:val="right" w:pos="-83"/>
          <w:tab w:val="right" w:pos="7"/>
        </w:tabs>
        <w:spacing w:line="216" w:lineRule="auto"/>
        <w:rPr>
          <w:bCs/>
          <w:i/>
          <w:sz w:val="23"/>
          <w:szCs w:val="23"/>
          <w:rtl/>
        </w:rPr>
      </w:pPr>
      <w:r w:rsidRPr="00A62AA2">
        <w:rPr>
          <w:rFonts w:hint="cs"/>
          <w:bCs/>
          <w:i/>
          <w:sz w:val="23"/>
          <w:szCs w:val="23"/>
          <w:rtl/>
        </w:rPr>
        <w:t>نظریه</w:t>
      </w:r>
    </w:p>
    <w:p w14:paraId="5BB05074"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انعطاف‌پذیری کامل قیمت‌ها، نرخ ارز و همچنین برون</w:t>
      </w:r>
      <w:r w:rsidRPr="00A62AA2">
        <w:rPr>
          <w:rFonts w:hint="cs"/>
          <w:i/>
          <w:sz w:val="23"/>
          <w:szCs w:val="23"/>
          <w:rtl/>
        </w:rPr>
        <w:softHyphen/>
        <w:t>زا بودن عرضه</w:t>
      </w:r>
      <w:r w:rsidRPr="00A62AA2">
        <w:rPr>
          <w:rFonts w:hint="cs"/>
          <w:i/>
          <w:sz w:val="23"/>
          <w:szCs w:val="23"/>
          <w:rtl/>
        </w:rPr>
        <w:softHyphen/>
        <w:t>ی پول و تولید از فروض مهم مدل پولی است.</w:t>
      </w:r>
      <w:r w:rsidRPr="00A62AA2">
        <w:rPr>
          <w:rStyle w:val="FootnoteReference"/>
          <w:i/>
          <w:sz w:val="23"/>
          <w:szCs w:val="23"/>
          <w:rtl/>
        </w:rPr>
        <w:footnoteReference w:id="318"/>
      </w:r>
      <w:r w:rsidRPr="00A62AA2">
        <w:rPr>
          <w:rFonts w:hint="cs"/>
          <w:i/>
          <w:sz w:val="23"/>
          <w:szCs w:val="23"/>
          <w:rtl/>
        </w:rPr>
        <w:t xml:space="preserve"> فروض این مدل با فروض مدل ماندل ـ فلمینگ درخصوص ثابت بودن قیمت و انعطاف‌پذیری تولید مغایرت دارد. درحالی</w:t>
      </w:r>
      <w:r w:rsidRPr="00A62AA2">
        <w:rPr>
          <w:i/>
          <w:sz w:val="23"/>
          <w:szCs w:val="23"/>
        </w:rPr>
        <w:t xml:space="preserve"> </w:t>
      </w:r>
      <w:r w:rsidRPr="00A62AA2">
        <w:rPr>
          <w:rFonts w:hint="cs"/>
          <w:i/>
          <w:sz w:val="23"/>
          <w:szCs w:val="23"/>
          <w:rtl/>
        </w:rPr>
        <w:t>که هر دوی این مدل‌ها برای تجزیه و تحلیل و بررسی رفتار متغیر نرخ ارز در دوره‌ی زمانی نسبتاً کوتاه‌مدت بسیار مناسب هستند، ولی برخلاف مدل ماندل ـ فلمینگ، مدل پولی را می‌توان برای اقتصادهای کوچک و بزرگ که در آن نرخ‌های بهره‌ی داخلی و خارجی برون‌زاست بکار گرفت. برای اقتصاد باز بزرگ، این مدل دارای چهار معادله‌ی</w:t>
      </w:r>
      <w:r w:rsidRPr="00A62AA2">
        <w:rPr>
          <w:position w:val="-6"/>
        </w:rPr>
        <w:object w:dxaOrig="460" w:dyaOrig="260" w14:anchorId="707C66C5">
          <v:shape id="_x0000_i6235" type="#_x0000_t75" style="width:23pt;height:13.3pt" o:ole="">
            <v:imagedata r:id="rId10508" o:title=""/>
          </v:shape>
          <o:OLEObject Type="Embed" ProgID="Equation.DSMT4" ShapeID="_x0000_i6235" DrawAspect="Content" ObjectID="_1791380179" r:id="rId10509"/>
        </w:object>
      </w:r>
      <w:r w:rsidRPr="00A62AA2">
        <w:rPr>
          <w:rFonts w:hint="cs"/>
          <w:i/>
          <w:sz w:val="23"/>
          <w:szCs w:val="23"/>
          <w:rtl/>
        </w:rPr>
        <w:t>،</w:t>
      </w:r>
      <w:r w:rsidRPr="00025957">
        <w:rPr>
          <w:position w:val="-4"/>
        </w:rPr>
        <w:object w:dxaOrig="520" w:dyaOrig="240" w14:anchorId="6F7F793E">
          <v:shape id="_x0000_i6236" type="#_x0000_t75" style="width:26pt;height:11.5pt" o:ole="">
            <v:imagedata r:id="rId10510" o:title=""/>
          </v:shape>
          <o:OLEObject Type="Embed" ProgID="Equation.DSMT4" ShapeID="_x0000_i6236" DrawAspect="Content" ObjectID="_1791380180" r:id="rId10511"/>
        </w:object>
      </w:r>
      <w:r w:rsidRPr="00A62AA2">
        <w:rPr>
          <w:rFonts w:hint="cs"/>
          <w:i/>
          <w:sz w:val="23"/>
          <w:szCs w:val="23"/>
          <w:rtl/>
        </w:rPr>
        <w:t xml:space="preserve"> و توابع تقاضای پول داخلی و خارجی است. یعنی</w:t>
      </w:r>
    </w:p>
    <w:p w14:paraId="160B51FA" w14:textId="77777777" w:rsidR="00556C10" w:rsidRPr="00A62AA2" w:rsidRDefault="00556C10" w:rsidP="00556C10">
      <w:pPr>
        <w:tabs>
          <w:tab w:val="right" w:pos="-83"/>
          <w:tab w:val="right" w:pos="7"/>
        </w:tabs>
        <w:bidi w:val="0"/>
        <w:spacing w:line="216" w:lineRule="auto"/>
        <w:rPr>
          <w:i/>
          <w:sz w:val="23"/>
          <w:szCs w:val="23"/>
          <w:rtl/>
        </w:rPr>
      </w:pPr>
      <w:r w:rsidRPr="00A62AA2">
        <w:rPr>
          <w:position w:val="-10"/>
        </w:rPr>
        <w:object w:dxaOrig="2520" w:dyaOrig="340" w14:anchorId="085B2C19">
          <v:shape id="_x0000_i6237" type="#_x0000_t75" style="width:125.85pt;height:16.95pt" o:ole="">
            <v:imagedata r:id="rId10512" o:title=""/>
          </v:shape>
          <o:OLEObject Type="Embed" ProgID="Equation.DSMT4" ShapeID="_x0000_i6237" DrawAspect="Content" ObjectID="_1791380181" r:id="rId10513"/>
        </w:object>
      </w:r>
    </w:p>
    <w:p w14:paraId="4B54A382" w14:textId="77777777" w:rsidR="00556C10" w:rsidRPr="00A62AA2" w:rsidRDefault="00556C10" w:rsidP="00556C10">
      <w:pPr>
        <w:tabs>
          <w:tab w:val="right" w:pos="-83"/>
          <w:tab w:val="right" w:pos="7"/>
        </w:tabs>
        <w:bidi w:val="0"/>
        <w:spacing w:line="216" w:lineRule="auto"/>
        <w:rPr>
          <w:i/>
          <w:sz w:val="23"/>
          <w:szCs w:val="23"/>
        </w:rPr>
      </w:pPr>
      <w:r w:rsidRPr="00A62AA2">
        <w:rPr>
          <w:position w:val="-10"/>
        </w:rPr>
        <w:object w:dxaOrig="2060" w:dyaOrig="340" w14:anchorId="2CB77634">
          <v:shape id="_x0000_i6238" type="#_x0000_t75" style="width:102.85pt;height:16.95pt" o:ole="">
            <v:imagedata r:id="rId10514" o:title=""/>
          </v:shape>
          <o:OLEObject Type="Embed" ProgID="Equation.DSMT4" ShapeID="_x0000_i6238" DrawAspect="Content" ObjectID="_1791380182" r:id="rId10515"/>
        </w:object>
      </w:r>
    </w:p>
    <w:p w14:paraId="09119B34" w14:textId="77777777" w:rsidR="00556C10" w:rsidRPr="00A62AA2" w:rsidRDefault="00556C10" w:rsidP="00556C10">
      <w:pPr>
        <w:tabs>
          <w:tab w:val="right" w:pos="-83"/>
          <w:tab w:val="right" w:pos="7"/>
        </w:tabs>
        <w:bidi w:val="0"/>
        <w:spacing w:line="216" w:lineRule="auto"/>
        <w:rPr>
          <w:i/>
          <w:sz w:val="23"/>
          <w:szCs w:val="23"/>
        </w:rPr>
      </w:pPr>
      <w:r w:rsidRPr="00A62AA2">
        <w:rPr>
          <w:position w:val="-10"/>
        </w:rPr>
        <w:object w:dxaOrig="2100" w:dyaOrig="340" w14:anchorId="153E686F">
          <v:shape id="_x0000_i6239" type="#_x0000_t75" style="width:105.3pt;height:16.95pt" o:ole="">
            <v:imagedata r:id="rId10516" o:title=""/>
          </v:shape>
          <o:OLEObject Type="Embed" ProgID="Equation.DSMT4" ShapeID="_x0000_i6239" DrawAspect="Content" ObjectID="_1791380183" r:id="rId10517"/>
        </w:object>
      </w:r>
    </w:p>
    <w:p w14:paraId="037BDFBA" w14:textId="77777777" w:rsidR="00556C10" w:rsidRPr="00A62AA2" w:rsidRDefault="00556C10" w:rsidP="00556C10">
      <w:pPr>
        <w:tabs>
          <w:tab w:val="right" w:pos="-83"/>
          <w:tab w:val="right" w:pos="7"/>
        </w:tabs>
        <w:bidi w:val="0"/>
        <w:spacing w:line="216" w:lineRule="auto"/>
        <w:rPr>
          <w:i/>
          <w:sz w:val="23"/>
          <w:szCs w:val="23"/>
        </w:rPr>
      </w:pPr>
      <w:r w:rsidRPr="00A62AA2">
        <w:rPr>
          <w:position w:val="-10"/>
        </w:rPr>
        <w:object w:dxaOrig="2260" w:dyaOrig="340" w14:anchorId="16391F00">
          <v:shape id="_x0000_i6240" type="#_x0000_t75" style="width:113.15pt;height:16.95pt" o:ole="">
            <v:imagedata r:id="rId10518" o:title=""/>
          </v:shape>
          <o:OLEObject Type="Embed" ProgID="Equation.DSMT4" ShapeID="_x0000_i6240" DrawAspect="Content" ObjectID="_1791380184" r:id="rId10519"/>
        </w:object>
      </w:r>
    </w:p>
    <w:p w14:paraId="4242A123"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تمامی متغیرها به جز نرخ‌های بهره‌ی</w:t>
      </w:r>
      <w:r w:rsidRPr="00A62AA2">
        <w:rPr>
          <w:position w:val="-6"/>
        </w:rPr>
        <w:object w:dxaOrig="240" w:dyaOrig="260" w14:anchorId="28671114">
          <v:shape id="_x0000_i6241" type="#_x0000_t75" style="width:11.5pt;height:13.3pt" o:ole="">
            <v:imagedata r:id="rId10520" o:title=""/>
          </v:shape>
          <o:OLEObject Type="Embed" ProgID="Equation.DSMT4" ShapeID="_x0000_i6241" DrawAspect="Content" ObjectID="_1791380185" r:id="rId10521"/>
        </w:object>
      </w:r>
      <w:r w:rsidRPr="00A62AA2">
        <w:rPr>
          <w:rFonts w:hint="cs"/>
          <w:i/>
          <w:sz w:val="23"/>
          <w:szCs w:val="23"/>
          <w:rtl/>
        </w:rPr>
        <w:t xml:space="preserve"> و</w:t>
      </w:r>
      <w:r w:rsidRPr="00A62AA2">
        <w:rPr>
          <w:position w:val="-6"/>
        </w:rPr>
        <w:object w:dxaOrig="300" w:dyaOrig="300" w14:anchorId="1506EA16">
          <v:shape id="_x0000_i6242" type="#_x0000_t75" style="width:14.5pt;height:14.5pt" o:ole="">
            <v:imagedata r:id="rId10522" o:title=""/>
          </v:shape>
          <o:OLEObject Type="Embed" ProgID="Equation.DSMT4" ShapeID="_x0000_i6242" DrawAspect="Content" ObjectID="_1791380186" r:id="rId10523"/>
        </w:object>
      </w:r>
      <w:r w:rsidRPr="00A62AA2">
        <w:rPr>
          <w:i/>
          <w:sz w:val="23"/>
          <w:szCs w:val="23"/>
        </w:rPr>
        <w:t xml:space="preserve"> </w:t>
      </w:r>
      <w:r w:rsidRPr="00A62AA2">
        <w:rPr>
          <w:rFonts w:hint="cs"/>
          <w:i/>
          <w:sz w:val="23"/>
          <w:szCs w:val="23"/>
          <w:rtl/>
        </w:rPr>
        <w:t>بصورت لگاریتمی است و برای یک اقتصاد کوچک باز فرض کنیم</w:t>
      </w:r>
      <w:r w:rsidRPr="00A62AA2">
        <w:rPr>
          <w:position w:val="-10"/>
        </w:rPr>
        <w:object w:dxaOrig="300" w:dyaOrig="340" w14:anchorId="454EFBD9">
          <v:shape id="_x0000_i6243" type="#_x0000_t75" style="width:14.5pt;height:16.95pt" o:ole="">
            <v:imagedata r:id="rId10524" o:title=""/>
          </v:shape>
          <o:OLEObject Type="Embed" ProgID="Equation.DSMT4" ShapeID="_x0000_i6243" DrawAspect="Content" ObjectID="_1791380187" r:id="rId10525"/>
        </w:object>
      </w:r>
      <w:r w:rsidRPr="00A62AA2">
        <w:rPr>
          <w:rFonts w:hint="cs"/>
          <w:i/>
          <w:sz w:val="23"/>
          <w:szCs w:val="23"/>
          <w:vertAlign w:val="subscript"/>
          <w:rtl/>
        </w:rPr>
        <w:t xml:space="preserve"> </w:t>
      </w:r>
      <w:r w:rsidRPr="00A62AA2">
        <w:rPr>
          <w:rFonts w:hint="cs"/>
          <w:i/>
          <w:sz w:val="23"/>
          <w:szCs w:val="23"/>
          <w:rtl/>
        </w:rPr>
        <w:t>برون</w:t>
      </w:r>
      <w:r w:rsidRPr="00A62AA2">
        <w:rPr>
          <w:rFonts w:hint="cs"/>
          <w:i/>
          <w:sz w:val="23"/>
          <w:szCs w:val="23"/>
          <w:rtl/>
        </w:rPr>
        <w:softHyphen/>
        <w:t>زا می</w:t>
      </w:r>
      <w:r w:rsidRPr="00A62AA2">
        <w:rPr>
          <w:rFonts w:hint="cs"/>
          <w:i/>
          <w:sz w:val="23"/>
          <w:szCs w:val="23"/>
          <w:rtl/>
        </w:rPr>
        <w:softHyphen/>
        <w:t>باشد.</w:t>
      </w:r>
      <w:r w:rsidRPr="00A62AA2">
        <w:rPr>
          <w:position w:val="-6"/>
        </w:rPr>
        <w:object w:dxaOrig="460" w:dyaOrig="260" w14:anchorId="022093F8">
          <v:shape id="_x0000_i6244" type="#_x0000_t75" style="width:23pt;height:13.3pt" o:ole="">
            <v:imagedata r:id="rId10526" o:title=""/>
          </v:shape>
          <o:OLEObject Type="Embed" ProgID="Equation.DSMT4" ShapeID="_x0000_i6244" DrawAspect="Content" ObjectID="_1791380188" r:id="rId10527"/>
        </w:object>
      </w:r>
      <w:r w:rsidRPr="00A62AA2">
        <w:rPr>
          <w:i/>
          <w:sz w:val="23"/>
          <w:szCs w:val="23"/>
        </w:rPr>
        <w:t xml:space="preserve"> </w:t>
      </w:r>
      <w:r w:rsidRPr="00A62AA2">
        <w:rPr>
          <w:rFonts w:hint="cs"/>
          <w:i/>
          <w:sz w:val="23"/>
          <w:szCs w:val="23"/>
          <w:rtl/>
        </w:rPr>
        <w:t>مبتنی بر عدم کنترل سرمایه و نرخ ارز شناور است.</w:t>
      </w:r>
      <w:r w:rsidRPr="00025957">
        <w:rPr>
          <w:position w:val="-4"/>
        </w:rPr>
        <w:object w:dxaOrig="520" w:dyaOrig="240" w14:anchorId="36D9464B">
          <v:shape id="_x0000_i6245" type="#_x0000_t75" style="width:26pt;height:11.5pt" o:ole="">
            <v:imagedata r:id="rId10528" o:title=""/>
          </v:shape>
          <o:OLEObject Type="Embed" ProgID="Equation.DSMT4" ShapeID="_x0000_i6245" DrawAspect="Content" ObjectID="_1791380189" r:id="rId10529"/>
        </w:object>
      </w:r>
      <w:r w:rsidRPr="00A62AA2">
        <w:rPr>
          <w:i/>
          <w:sz w:val="23"/>
          <w:szCs w:val="23"/>
        </w:rPr>
        <w:t xml:space="preserve"> </w:t>
      </w:r>
      <w:r w:rsidRPr="00A62AA2">
        <w:rPr>
          <w:rFonts w:hint="cs"/>
          <w:i/>
          <w:sz w:val="23"/>
          <w:szCs w:val="23"/>
          <w:rtl/>
        </w:rPr>
        <w:t>مبین آن است که بخاطر آربیتراژ کالا به وسیله‌ی قیمت‌های انعطاف‌پذیرِ کالاها، نرخ بهره‌ی حقیقی در طی زمان ثابت است. در بحث قبلی در خصوص اقتصاد حقیقی و</w:t>
      </w:r>
      <w:r w:rsidRPr="00A62AA2">
        <w:rPr>
          <w:position w:val="-6"/>
        </w:rPr>
        <w:object w:dxaOrig="560" w:dyaOrig="260" w14:anchorId="486A83BD">
          <v:shape id="_x0000_i6246" type="#_x0000_t75" style="width:27.85pt;height:13.3pt" o:ole="">
            <v:imagedata r:id="rId10530" o:title=""/>
          </v:shape>
          <o:OLEObject Type="Embed" ProgID="Equation.DSMT4" ShapeID="_x0000_i6246" DrawAspect="Content" ObjectID="_1791380190" r:id="rId10531"/>
        </w:object>
      </w:r>
      <w:r w:rsidRPr="00A62AA2">
        <w:rPr>
          <w:rFonts w:hint="cs"/>
          <w:i/>
          <w:sz w:val="23"/>
          <w:szCs w:val="23"/>
          <w:rtl/>
        </w:rPr>
        <w:t xml:space="preserve"> تقریباً غیرمحتمل است که نرخ ارز حقیقی، حتی در بلندمدت ثابت باشد.</w:t>
      </w:r>
      <w:r w:rsidRPr="00025957">
        <w:rPr>
          <w:position w:val="-4"/>
        </w:rPr>
        <w:object w:dxaOrig="520" w:dyaOrig="240" w14:anchorId="394CC7FF">
          <v:shape id="_x0000_i6247" type="#_x0000_t75" style="width:26pt;height:11.5pt" o:ole="">
            <v:imagedata r:id="rId10532" o:title=""/>
          </v:shape>
          <o:OLEObject Type="Embed" ProgID="Equation.DSMT4" ShapeID="_x0000_i6247" DrawAspect="Content" ObjectID="_1791380191" r:id="rId10533"/>
        </w:object>
      </w:r>
      <w:r w:rsidRPr="00A62AA2">
        <w:rPr>
          <w:rFonts w:hint="cs"/>
          <w:i/>
          <w:sz w:val="23"/>
          <w:szCs w:val="23"/>
          <w:rtl/>
        </w:rPr>
        <w:t xml:space="preserve"> قطعاً در کوتاه‌مدت برقرار نیست.  لذا</w:t>
      </w:r>
      <w:r w:rsidRPr="00025957">
        <w:rPr>
          <w:position w:val="-4"/>
        </w:rPr>
        <w:object w:dxaOrig="520" w:dyaOrig="240" w14:anchorId="51A14F69">
          <v:shape id="_x0000_i6248" type="#_x0000_t75" style="width:26pt;height:11.5pt" o:ole="">
            <v:imagedata r:id="rId10534" o:title=""/>
          </v:shape>
          <o:OLEObject Type="Embed" ProgID="Equation.DSMT4" ShapeID="_x0000_i6248" DrawAspect="Content" ObjectID="_1791380192" r:id="rId10535"/>
        </w:object>
      </w:r>
      <w:r w:rsidRPr="00A62AA2">
        <w:rPr>
          <w:rFonts w:hint="cs"/>
          <w:i/>
          <w:sz w:val="23"/>
          <w:szCs w:val="23"/>
          <w:rtl/>
        </w:rPr>
        <w:t xml:space="preserve"> با فرض ضعیف</w:t>
      </w:r>
      <w:r w:rsidRPr="00A62AA2">
        <w:rPr>
          <w:rFonts w:hint="cs"/>
          <w:i/>
          <w:sz w:val="23"/>
          <w:szCs w:val="23"/>
          <w:rtl/>
        </w:rPr>
        <w:softHyphen/>
        <w:t>تر</w:t>
      </w:r>
      <w:r w:rsidRPr="00A62AA2">
        <w:rPr>
          <w:position w:val="-6"/>
        </w:rPr>
        <w:object w:dxaOrig="680" w:dyaOrig="260" w14:anchorId="34705DD1">
          <v:shape id="_x0000_i6249" type="#_x0000_t75" style="width:33.9pt;height:13.3pt" o:ole="">
            <v:imagedata r:id="rId10536" o:title=""/>
          </v:shape>
          <o:OLEObject Type="Embed" ProgID="Equation.DSMT4" ShapeID="_x0000_i6249" DrawAspect="Content" ObjectID="_1791380193" r:id="rId10537"/>
        </w:object>
      </w:r>
      <w:r w:rsidRPr="00A62AA2">
        <w:rPr>
          <w:rFonts w:hint="cs"/>
          <w:i/>
          <w:sz w:val="23"/>
          <w:szCs w:val="23"/>
          <w:rtl/>
        </w:rPr>
        <w:t xml:space="preserve"> یا</w:t>
      </w:r>
      <w:r w:rsidRPr="00025957">
        <w:rPr>
          <w:position w:val="-4"/>
        </w:rPr>
        <w:object w:dxaOrig="520" w:dyaOrig="240" w14:anchorId="55CBD944">
          <v:shape id="_x0000_i6250" type="#_x0000_t75" style="width:26pt;height:11.5pt" o:ole="">
            <v:imagedata r:id="rId10538" o:title=""/>
          </v:shape>
          <o:OLEObject Type="Embed" ProgID="Equation.DSMT4" ShapeID="_x0000_i6250" DrawAspect="Content" ObjectID="_1791380194" r:id="rId10539"/>
        </w:object>
      </w:r>
      <w:r w:rsidRPr="00A62AA2">
        <w:rPr>
          <w:rFonts w:hint="cs"/>
          <w:i/>
          <w:sz w:val="23"/>
          <w:szCs w:val="23"/>
          <w:rtl/>
        </w:rPr>
        <w:t xml:space="preserve"> نسبی جایگزین می‌شود که در آن</w:t>
      </w:r>
      <w:r w:rsidRPr="00025957">
        <w:rPr>
          <w:position w:val="-4"/>
        </w:rPr>
        <w:object w:dxaOrig="520" w:dyaOrig="240" w14:anchorId="085AE457">
          <v:shape id="_x0000_i6251" type="#_x0000_t75" style="width:26pt;height:11.5pt" o:ole="">
            <v:imagedata r:id="rId10540" o:title=""/>
          </v:shape>
          <o:OLEObject Type="Embed" ProgID="Equation.DSMT4" ShapeID="_x0000_i6251" DrawAspect="Content" ObjectID="_1791380195" r:id="rId10541"/>
        </w:object>
      </w:r>
      <w:r w:rsidRPr="00A62AA2">
        <w:rPr>
          <w:rFonts w:hint="cs"/>
          <w:i/>
          <w:sz w:val="23"/>
          <w:szCs w:val="23"/>
          <w:rtl/>
        </w:rPr>
        <w:t xml:space="preserve"> برحسب تفاضل مرتبه اول برقرار خواهد بود. یعنی</w:t>
      </w:r>
    </w:p>
    <w:p w14:paraId="112C88E5" w14:textId="77777777" w:rsidR="00556C10" w:rsidRPr="00A62AA2" w:rsidRDefault="00556C10" w:rsidP="00556C10">
      <w:pPr>
        <w:tabs>
          <w:tab w:val="right" w:pos="-83"/>
          <w:tab w:val="right" w:pos="7"/>
        </w:tabs>
        <w:bidi w:val="0"/>
        <w:spacing w:line="216" w:lineRule="auto"/>
        <w:rPr>
          <w:i/>
          <w:sz w:val="23"/>
          <w:szCs w:val="23"/>
          <w:rtl/>
        </w:rPr>
      </w:pPr>
      <w:r w:rsidRPr="00A62AA2">
        <w:rPr>
          <w:position w:val="-10"/>
        </w:rPr>
        <w:object w:dxaOrig="2580" w:dyaOrig="340" w14:anchorId="21F6A0E5">
          <v:shape id="_x0000_i6252" type="#_x0000_t75" style="width:129.5pt;height:16.95pt" o:ole="">
            <v:imagedata r:id="rId10542" o:title=""/>
          </v:shape>
          <o:OLEObject Type="Embed" ProgID="Equation.DSMT4" ShapeID="_x0000_i6252" DrawAspect="Content" ObjectID="_1791380196" r:id="rId10543"/>
        </w:object>
      </w:r>
    </w:p>
    <w:p w14:paraId="748C701C"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بنابراین</w:t>
      </w:r>
    </w:p>
    <w:p w14:paraId="4AB5E7D8" w14:textId="77777777" w:rsidR="00556C10" w:rsidRPr="00A62AA2" w:rsidRDefault="00556C10" w:rsidP="00556C10">
      <w:pPr>
        <w:tabs>
          <w:tab w:val="right" w:pos="-83"/>
          <w:tab w:val="right" w:pos="7"/>
        </w:tabs>
        <w:bidi w:val="0"/>
        <w:spacing w:line="216" w:lineRule="auto"/>
        <w:rPr>
          <w:i/>
          <w:sz w:val="23"/>
          <w:szCs w:val="23"/>
          <w:vertAlign w:val="subscript"/>
        </w:rPr>
      </w:pPr>
      <w:r w:rsidRPr="00A62AA2">
        <w:rPr>
          <w:position w:val="-10"/>
        </w:rPr>
        <w:object w:dxaOrig="2420" w:dyaOrig="340" w14:anchorId="0D872904">
          <v:shape id="_x0000_i6253" type="#_x0000_t75" style="width:121pt;height:16.95pt" o:ole="">
            <v:imagedata r:id="rId10544" o:title=""/>
          </v:shape>
          <o:OLEObject Type="Embed" ProgID="Equation.DSMT4" ShapeID="_x0000_i6253" DrawAspect="Content" ObjectID="_1791380197" r:id="rId10545"/>
        </w:object>
      </w:r>
    </w:p>
    <w:p w14:paraId="3F8C251B" w14:textId="77777777" w:rsidR="00556C10" w:rsidRPr="00A62AA2" w:rsidRDefault="00556C10" w:rsidP="00556C10">
      <w:pPr>
        <w:tabs>
          <w:tab w:val="right" w:pos="-83"/>
          <w:tab w:val="right" w:pos="7"/>
        </w:tabs>
        <w:spacing w:line="216" w:lineRule="auto"/>
        <w:rPr>
          <w:i/>
          <w:sz w:val="23"/>
          <w:szCs w:val="23"/>
        </w:rPr>
      </w:pPr>
      <w:r w:rsidRPr="00A62AA2">
        <w:rPr>
          <w:rFonts w:hint="cs"/>
          <w:i/>
          <w:sz w:val="23"/>
          <w:szCs w:val="23"/>
          <w:rtl/>
        </w:rPr>
        <w:t xml:space="preserve">از آنجا که در کوتاه‌مدت </w:t>
      </w:r>
      <w:r w:rsidRPr="00A62AA2">
        <w:rPr>
          <w:position w:val="-10"/>
        </w:rPr>
        <w:object w:dxaOrig="1040" w:dyaOrig="320" w14:anchorId="153D3E4C">
          <v:shape id="_x0000_i6254" type="#_x0000_t75" style="width:52.05pt;height:15.75pt" o:ole="">
            <v:imagedata r:id="rId10546" o:title=""/>
          </v:shape>
          <o:OLEObject Type="Embed" ProgID="Equation.DSMT4" ShapeID="_x0000_i6254" DrawAspect="Content" ObjectID="_1791380198" r:id="rId10547"/>
        </w:object>
      </w:r>
      <w:r w:rsidRPr="00A62AA2">
        <w:rPr>
          <w:i/>
          <w:sz w:val="23"/>
          <w:szCs w:val="23"/>
        </w:rPr>
        <w:t xml:space="preserve"> </w:t>
      </w:r>
      <w:r w:rsidRPr="00A62AA2">
        <w:rPr>
          <w:rFonts w:hint="cs"/>
          <w:i/>
          <w:sz w:val="23"/>
          <w:szCs w:val="23"/>
          <w:rtl/>
        </w:rPr>
        <w:t xml:space="preserve">است، بنابراین </w:t>
      </w:r>
      <w:r w:rsidRPr="00A62AA2">
        <w:rPr>
          <w:position w:val="-10"/>
        </w:rPr>
        <w:object w:dxaOrig="1579" w:dyaOrig="340" w14:anchorId="698B93CB">
          <v:shape id="_x0000_i6255" type="#_x0000_t75" style="width:78.65pt;height:16.95pt" o:ole="">
            <v:imagedata r:id="rId10548" o:title=""/>
          </v:shape>
          <o:OLEObject Type="Embed" ProgID="Equation.DSMT4" ShapeID="_x0000_i6255" DrawAspect="Content" ObjectID="_1791380199" r:id="rId10549"/>
        </w:object>
      </w:r>
      <w:r w:rsidRPr="00A62AA2">
        <w:rPr>
          <w:rFonts w:hint="cs"/>
          <w:i/>
          <w:sz w:val="23"/>
          <w:szCs w:val="23"/>
          <w:rtl/>
        </w:rPr>
        <w:t>خواهد بود، یعنی نرخ تورم داخلی و خارجی تقریباً برابرند. به این موضوع اشاره کردیم که</w:t>
      </w:r>
      <w:r w:rsidRPr="00025957">
        <w:rPr>
          <w:position w:val="-4"/>
        </w:rPr>
        <w:object w:dxaOrig="520" w:dyaOrig="240" w14:anchorId="2AB1B6B4">
          <v:shape id="_x0000_i6256" type="#_x0000_t75" style="width:26pt;height:11.5pt" o:ole="">
            <v:imagedata r:id="rId10550" o:title=""/>
          </v:shape>
          <o:OLEObject Type="Embed" ProgID="Equation.DSMT4" ShapeID="_x0000_i6256" DrawAspect="Content" ObjectID="_1791380200" r:id="rId10551"/>
        </w:object>
      </w:r>
      <w:r w:rsidRPr="00A62AA2">
        <w:rPr>
          <w:rFonts w:hint="cs"/>
          <w:i/>
          <w:sz w:val="23"/>
          <w:szCs w:val="23"/>
          <w:rtl/>
        </w:rPr>
        <w:t xml:space="preserve"> برای مدل پولی مورد نیاز نیست، به طوری که</w:t>
      </w:r>
      <w:r w:rsidRPr="00A62AA2">
        <w:rPr>
          <w:position w:val="-6"/>
        </w:rPr>
        <w:object w:dxaOrig="680" w:dyaOrig="260" w14:anchorId="7EBAD6B4">
          <v:shape id="_x0000_i6257" type="#_x0000_t75" style="width:33.9pt;height:13.3pt" o:ole="">
            <v:imagedata r:id="rId10552" o:title=""/>
          </v:shape>
          <o:OLEObject Type="Embed" ProgID="Equation.DSMT4" ShapeID="_x0000_i6257" DrawAspect="Content" ObjectID="_1791380201" r:id="rId10553"/>
        </w:object>
      </w:r>
      <w:r w:rsidRPr="00A62AA2">
        <w:rPr>
          <w:rFonts w:hint="cs"/>
          <w:i/>
          <w:sz w:val="23"/>
          <w:szCs w:val="23"/>
          <w:rtl/>
        </w:rPr>
        <w:t xml:space="preserve"> نتایج تحلیلی مشابهی را ارائه می‌دهد. فرض یکسان بودن توابع تقاضا برای پول داخلی و خارجی برای سهولت ارائه شده و ما را قادر خواهد ساخت تا مدل را بر حسب تفاضل بین توابع تقاضا برای پول داخلی و خارجی تصریح کنیم. در عمل توابع تقاضا برای پول ممکن است مستلرم پویایی‌های کوتاه‌مدت باشد که اثر آن را حذف کردیم. تقاضل بین توابع تقاضا برای پول داخلی و خارجی عبارت است از</w:t>
      </w:r>
    </w:p>
    <w:p w14:paraId="7E785C44" w14:textId="77777777" w:rsidR="00556C10" w:rsidRPr="00A62AA2" w:rsidRDefault="00556C10" w:rsidP="00556C10">
      <w:pPr>
        <w:tabs>
          <w:tab w:val="right" w:pos="-83"/>
          <w:tab w:val="right" w:pos="7"/>
        </w:tabs>
        <w:bidi w:val="0"/>
        <w:spacing w:line="216" w:lineRule="auto"/>
        <w:rPr>
          <w:i/>
          <w:sz w:val="23"/>
          <w:szCs w:val="23"/>
          <w:rtl/>
        </w:rPr>
      </w:pPr>
      <w:r w:rsidRPr="00A62AA2">
        <w:rPr>
          <w:position w:val="-16"/>
        </w:rPr>
        <w:object w:dxaOrig="3900" w:dyaOrig="420" w14:anchorId="60CBA3E3">
          <v:shape id="_x0000_i6258" type="#_x0000_t75" style="width:194.8pt;height:21.2pt" o:ole="">
            <v:imagedata r:id="rId10554" o:title=""/>
          </v:shape>
          <o:OLEObject Type="Embed" ProgID="Equation.DSMT4" ShapeID="_x0000_i6258" DrawAspect="Content" ObjectID="_1791380202" r:id="rId10555"/>
        </w:object>
      </w:r>
    </w:p>
    <w:p w14:paraId="6A788646" w14:textId="77777777" w:rsidR="00556C10" w:rsidRPr="00A62AA2" w:rsidRDefault="00556C10" w:rsidP="00556C10">
      <w:pPr>
        <w:tabs>
          <w:tab w:val="right" w:pos="-83"/>
          <w:tab w:val="right" w:pos="7"/>
        </w:tabs>
        <w:spacing w:line="216" w:lineRule="auto"/>
        <w:rPr>
          <w:i/>
          <w:sz w:val="23"/>
          <w:szCs w:val="23"/>
        </w:rPr>
      </w:pPr>
      <w:r w:rsidRPr="00A62AA2">
        <w:rPr>
          <w:rFonts w:hint="cs"/>
          <w:i/>
          <w:sz w:val="23"/>
          <w:szCs w:val="23"/>
          <w:rtl/>
        </w:rPr>
        <w:lastRenderedPageBreak/>
        <w:t>می‌توان تفاضل‌های قیمت و نرخ بهره را با استفاده از</w:t>
      </w:r>
      <w:r w:rsidRPr="00025957">
        <w:rPr>
          <w:position w:val="-4"/>
        </w:rPr>
        <w:object w:dxaOrig="520" w:dyaOrig="240" w14:anchorId="7F5B15E6">
          <v:shape id="_x0000_i6259" type="#_x0000_t75" style="width:26pt;height:11.5pt" o:ole="">
            <v:imagedata r:id="rId10556" o:title=""/>
          </v:shape>
          <o:OLEObject Type="Embed" ProgID="Equation.DSMT4" ShapeID="_x0000_i6259" DrawAspect="Content" ObjectID="_1791380203" r:id="rId10557"/>
        </w:object>
      </w:r>
      <w:r w:rsidRPr="00A62AA2">
        <w:rPr>
          <w:rFonts w:hint="cs"/>
          <w:i/>
          <w:sz w:val="23"/>
          <w:szCs w:val="23"/>
          <w:rtl/>
        </w:rPr>
        <w:t xml:space="preserve"> و</w:t>
      </w:r>
      <w:r w:rsidRPr="00A62AA2">
        <w:rPr>
          <w:position w:val="-6"/>
        </w:rPr>
        <w:object w:dxaOrig="460" w:dyaOrig="260" w14:anchorId="646421F9">
          <v:shape id="_x0000_i6260" type="#_x0000_t75" style="width:23pt;height:13.3pt" o:ole="">
            <v:imagedata r:id="rId10558" o:title=""/>
          </v:shape>
          <o:OLEObject Type="Embed" ProgID="Equation.DSMT4" ShapeID="_x0000_i6260" DrawAspect="Content" ObjectID="_1791380204" r:id="rId10559"/>
        </w:object>
      </w:r>
      <w:r w:rsidRPr="00A62AA2">
        <w:rPr>
          <w:i/>
          <w:sz w:val="23"/>
          <w:szCs w:val="23"/>
        </w:rPr>
        <w:t xml:space="preserve"> </w:t>
      </w:r>
      <w:r w:rsidRPr="00A62AA2">
        <w:rPr>
          <w:rFonts w:hint="cs"/>
          <w:i/>
          <w:sz w:val="23"/>
          <w:szCs w:val="23"/>
          <w:rtl/>
        </w:rPr>
        <w:t>حذف کرد. با استفاده از علامت مَد برای تفاضل بین مغیرهای داخلی و خارجی، می‌توان معادله‌ی تفاضلی را بر حسب لگاریتم نرخ ارز اسمی بصورت زیر بدست آورد</w:t>
      </w:r>
    </w:p>
    <w:p w14:paraId="2CC42916" w14:textId="77777777" w:rsidR="00556C10" w:rsidRPr="00A62AA2" w:rsidRDefault="00556C10" w:rsidP="00556C10">
      <w:pPr>
        <w:tabs>
          <w:tab w:val="right" w:pos="-83"/>
          <w:tab w:val="right" w:pos="7"/>
        </w:tabs>
        <w:bidi w:val="0"/>
        <w:spacing w:line="216" w:lineRule="auto"/>
        <w:rPr>
          <w:i/>
          <w:sz w:val="23"/>
          <w:szCs w:val="23"/>
          <w:rtl/>
        </w:rPr>
      </w:pPr>
      <w:r w:rsidRPr="00A62AA2">
        <w:rPr>
          <w:position w:val="-10"/>
        </w:rPr>
        <w:object w:dxaOrig="2000" w:dyaOrig="320" w14:anchorId="70782C63">
          <v:shape id="_x0000_i6261" type="#_x0000_t75" style="width:99.85pt;height:15.75pt" o:ole="">
            <v:imagedata r:id="rId10560" o:title=""/>
          </v:shape>
          <o:OLEObject Type="Embed" ProgID="Equation.DSMT4" ShapeID="_x0000_i6261" DrawAspect="Content" ObjectID="_1791380205" r:id="rId10561"/>
        </w:object>
      </w:r>
    </w:p>
    <w:p w14:paraId="7C68FBEB"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 xml:space="preserve">بنابراین </w:t>
      </w:r>
    </w:p>
    <w:p w14:paraId="629558C9" w14:textId="77777777" w:rsidR="00556C10" w:rsidRPr="00A62AA2" w:rsidRDefault="00556C10" w:rsidP="00556C10">
      <w:pPr>
        <w:tabs>
          <w:tab w:val="right" w:pos="-83"/>
          <w:tab w:val="right" w:pos="7"/>
        </w:tabs>
        <w:bidi w:val="0"/>
        <w:spacing w:line="216" w:lineRule="auto"/>
        <w:rPr>
          <w:i/>
          <w:sz w:val="23"/>
          <w:szCs w:val="23"/>
        </w:rPr>
      </w:pPr>
      <w:r w:rsidRPr="00A62AA2">
        <w:rPr>
          <w:position w:val="-22"/>
        </w:rPr>
        <w:object w:dxaOrig="2820" w:dyaOrig="560" w14:anchorId="4D4BD77D">
          <v:shape id="_x0000_i6262" type="#_x0000_t75" style="width:140.95pt;height:27.85pt" o:ole="">
            <v:imagedata r:id="rId10562" o:title=""/>
          </v:shape>
          <o:OLEObject Type="Embed" ProgID="Equation.DSMT4" ShapeID="_x0000_i6262" DrawAspect="Content" ObjectID="_1791380206" r:id="rId10563"/>
        </w:object>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Fonts w:hint="cs"/>
          <w:i/>
          <w:sz w:val="23"/>
          <w:szCs w:val="23"/>
          <w:rtl/>
        </w:rPr>
        <w:t>(۱۳. ۱</w:t>
      </w:r>
      <w:r w:rsidRPr="00654A08">
        <w:rPr>
          <w:rFonts w:ascii="NPIZar" w:hAnsi="NPIZar"/>
          <w:i/>
          <w:sz w:val="23"/>
          <w:szCs w:val="23"/>
          <w:rtl/>
        </w:rPr>
        <w:t>2</w:t>
      </w:r>
      <w:r w:rsidRPr="00A62AA2">
        <w:rPr>
          <w:rFonts w:hint="cs"/>
          <w:i/>
          <w:sz w:val="23"/>
          <w:szCs w:val="23"/>
          <w:rtl/>
        </w:rPr>
        <w:t>)</w:t>
      </w:r>
    </w:p>
    <w:p w14:paraId="167BFEF3" w14:textId="77777777" w:rsidR="00556C10" w:rsidRPr="00A62AA2" w:rsidRDefault="00556C10" w:rsidP="00556C10">
      <w:pPr>
        <w:tabs>
          <w:tab w:val="right" w:pos="-83"/>
          <w:tab w:val="right" w:pos="7"/>
        </w:tabs>
        <w:spacing w:line="216" w:lineRule="auto"/>
        <w:rPr>
          <w:i/>
          <w:sz w:val="23"/>
          <w:szCs w:val="23"/>
        </w:rPr>
      </w:pPr>
      <w:r w:rsidRPr="00A62AA2">
        <w:rPr>
          <w:rFonts w:hint="cs"/>
          <w:i/>
          <w:sz w:val="23"/>
          <w:szCs w:val="23"/>
          <w:rtl/>
        </w:rPr>
        <w:t>معادله</w:t>
      </w:r>
      <w:r w:rsidRPr="00A62AA2">
        <w:rPr>
          <w:rFonts w:hint="cs"/>
          <w:i/>
          <w:sz w:val="23"/>
          <w:szCs w:val="23"/>
          <w:rtl/>
        </w:rPr>
        <w:softHyphen/>
        <w:t>ی (۱۳. ۱۲) دارای حل پیش‌رو است و برابر است با</w:t>
      </w:r>
    </w:p>
    <w:p w14:paraId="2DF06148" w14:textId="77777777" w:rsidR="00556C10" w:rsidRPr="00A62AA2" w:rsidRDefault="00556C10" w:rsidP="00556C10">
      <w:pPr>
        <w:tabs>
          <w:tab w:val="right" w:pos="-83"/>
          <w:tab w:val="right" w:pos="7"/>
        </w:tabs>
        <w:bidi w:val="0"/>
        <w:spacing w:line="216" w:lineRule="auto"/>
        <w:rPr>
          <w:i/>
          <w:sz w:val="23"/>
          <w:szCs w:val="23"/>
          <w:rtl/>
        </w:rPr>
      </w:pPr>
      <w:r w:rsidRPr="00A62AA2">
        <w:rPr>
          <w:position w:val="-26"/>
        </w:rPr>
        <w:object w:dxaOrig="4620" w:dyaOrig="680" w14:anchorId="7196A442">
          <v:shape id="_x0000_i6263" type="#_x0000_t75" style="width:231.15pt;height:33.9pt" o:ole="">
            <v:imagedata r:id="rId10564" o:title=""/>
          </v:shape>
          <o:OLEObject Type="Embed" ProgID="Equation.DSMT4" ShapeID="_x0000_i6263" DrawAspect="Content" ObjectID="_1791380207" r:id="rId10565"/>
        </w:object>
      </w:r>
    </w:p>
    <w:p w14:paraId="79D0D90D"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 xml:space="preserve">با استفاده از شرط تراگردی </w:t>
      </w:r>
      <w:r w:rsidRPr="00A62AA2">
        <w:rPr>
          <w:position w:val="-26"/>
        </w:rPr>
        <w:object w:dxaOrig="2060" w:dyaOrig="680" w14:anchorId="3B286D9D">
          <v:shape id="_x0000_i6264" type="#_x0000_t75" style="width:102.85pt;height:33.9pt" o:ole="">
            <v:imagedata r:id="rId10566" o:title=""/>
          </v:shape>
          <o:OLEObject Type="Embed" ProgID="Equation.DSMT4" ShapeID="_x0000_i6264" DrawAspect="Content" ObjectID="_1791380208" r:id="rId10567"/>
        </w:object>
      </w:r>
      <w:r w:rsidRPr="00A62AA2">
        <w:rPr>
          <w:rFonts w:hint="cs"/>
          <w:i/>
          <w:sz w:val="23"/>
          <w:szCs w:val="23"/>
          <w:rtl/>
        </w:rPr>
        <w:t xml:space="preserve"> خواهیم داشت</w:t>
      </w:r>
    </w:p>
    <w:p w14:paraId="5C23B604" w14:textId="77777777" w:rsidR="00556C10" w:rsidRPr="00A62AA2" w:rsidRDefault="00556C10" w:rsidP="00556C10">
      <w:pPr>
        <w:tabs>
          <w:tab w:val="right" w:pos="-83"/>
          <w:tab w:val="right" w:pos="7"/>
        </w:tabs>
        <w:bidi w:val="0"/>
        <w:spacing w:line="216" w:lineRule="auto"/>
        <w:rPr>
          <w:i/>
          <w:sz w:val="23"/>
          <w:szCs w:val="23"/>
          <w:rtl/>
        </w:rPr>
      </w:pPr>
      <w:r w:rsidRPr="00A62AA2">
        <w:rPr>
          <w:position w:val="-26"/>
        </w:rPr>
        <w:object w:dxaOrig="3120" w:dyaOrig="680" w14:anchorId="190200C5">
          <v:shape id="_x0000_i6265" type="#_x0000_t75" style="width:156.1pt;height:33.9pt" o:ole="">
            <v:imagedata r:id="rId10568" o:title=""/>
          </v:shape>
          <o:OLEObject Type="Embed" ProgID="Equation.DSMT4" ShapeID="_x0000_i6265" DrawAspect="Content" ObjectID="_1791380209" r:id="rId10569"/>
        </w:object>
      </w:r>
      <w:r w:rsidRPr="00A62AA2">
        <w:rPr>
          <w:i/>
          <w:sz w:val="23"/>
          <w:szCs w:val="23"/>
        </w:rPr>
        <w:tab/>
      </w:r>
      <w:r w:rsidRPr="00A62AA2">
        <w:rPr>
          <w:i/>
          <w:sz w:val="23"/>
          <w:szCs w:val="23"/>
        </w:rPr>
        <w:tab/>
      </w:r>
      <w:r w:rsidRPr="00A62AA2">
        <w:rPr>
          <w:i/>
          <w:sz w:val="23"/>
          <w:szCs w:val="23"/>
        </w:rPr>
        <w:tab/>
      </w:r>
      <w:r w:rsidRPr="00A62AA2">
        <w:rPr>
          <w:i/>
          <w:sz w:val="23"/>
          <w:szCs w:val="23"/>
        </w:rPr>
        <w:tab/>
      </w:r>
      <w:r>
        <w:rPr>
          <w:i/>
          <w:sz w:val="23"/>
          <w:szCs w:val="23"/>
          <w:rtl/>
        </w:rPr>
        <w:tab/>
      </w:r>
      <w:r>
        <w:rPr>
          <w:i/>
          <w:sz w:val="23"/>
          <w:szCs w:val="23"/>
          <w:rtl/>
        </w:rPr>
        <w:tab/>
      </w:r>
      <w:r w:rsidRPr="00A62AA2">
        <w:rPr>
          <w:i/>
          <w:sz w:val="23"/>
          <w:szCs w:val="23"/>
        </w:rPr>
        <w:tab/>
      </w:r>
      <w:r w:rsidRPr="00A62AA2">
        <w:rPr>
          <w:i/>
          <w:sz w:val="23"/>
          <w:szCs w:val="23"/>
        </w:rPr>
        <w:tab/>
      </w:r>
      <w:r w:rsidRPr="00A62AA2">
        <w:rPr>
          <w:i/>
          <w:sz w:val="23"/>
          <w:szCs w:val="23"/>
          <w:rtl/>
        </w:rPr>
        <w:tab/>
      </w:r>
      <w:r w:rsidRPr="00A62AA2">
        <w:rPr>
          <w:rFonts w:hint="cs"/>
          <w:i/>
          <w:sz w:val="23"/>
          <w:szCs w:val="23"/>
          <w:rtl/>
        </w:rPr>
        <w:tab/>
      </w:r>
      <w:r w:rsidRPr="00A62AA2">
        <w:rPr>
          <w:i/>
          <w:sz w:val="23"/>
          <w:szCs w:val="23"/>
        </w:rPr>
        <w:tab/>
      </w:r>
      <w:r w:rsidRPr="00A62AA2">
        <w:rPr>
          <w:rFonts w:hint="cs"/>
          <w:i/>
          <w:sz w:val="23"/>
          <w:szCs w:val="23"/>
          <w:rtl/>
        </w:rPr>
        <w:t>(۱۳. ۱۳)</w:t>
      </w:r>
      <w:r w:rsidRPr="00A62AA2">
        <w:rPr>
          <w:i/>
          <w:sz w:val="23"/>
          <w:szCs w:val="23"/>
        </w:rPr>
        <w:t xml:space="preserve"> </w:t>
      </w:r>
    </w:p>
    <w:p w14:paraId="610A9FAD"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با مقایسه</w:t>
      </w:r>
      <w:r w:rsidRPr="00A62AA2">
        <w:rPr>
          <w:rFonts w:hint="cs"/>
          <w:i/>
          <w:sz w:val="23"/>
          <w:szCs w:val="23"/>
          <w:rtl/>
        </w:rPr>
        <w:softHyphen/>
        <w:t>ی معادله‌ی (۱۳. ۱۰)، در معادله‌ی (۱۳. ۱۳) بجای تفاضل نرخ بهره مازاد تقاضای معاملاتی  جایگزین شده است. بار دیگر، نرخ ارز پیش‌رو است و با اطلاعات جدید درخصوص</w:t>
      </w:r>
      <w:r w:rsidRPr="00A62AA2">
        <w:rPr>
          <w:position w:val="-10"/>
        </w:rPr>
        <w:object w:dxaOrig="980" w:dyaOrig="340" w14:anchorId="7CE44C25">
          <v:shape id="_x0000_i6266" type="#_x0000_t75" style="width:49pt;height:16.95pt" o:ole="">
            <v:imagedata r:id="rId10570" o:title=""/>
          </v:shape>
          <o:OLEObject Type="Embed" ProgID="Equation.DSMT4" ShapeID="_x0000_i6266" DrawAspect="Content" ObjectID="_1791380210" r:id="rId10571"/>
        </w:object>
      </w:r>
      <w:r w:rsidRPr="00A62AA2">
        <w:rPr>
          <w:i/>
          <w:sz w:val="23"/>
          <w:szCs w:val="23"/>
        </w:rPr>
        <w:t xml:space="preserve"> </w:t>
      </w:r>
      <w:r w:rsidRPr="00A62AA2">
        <w:rPr>
          <w:rFonts w:hint="cs"/>
          <w:i/>
          <w:sz w:val="23"/>
          <w:szCs w:val="23"/>
          <w:rtl/>
        </w:rPr>
        <w:t>و</w:t>
      </w:r>
      <w:r w:rsidRPr="00A62AA2">
        <w:rPr>
          <w:position w:val="-10"/>
        </w:rPr>
        <w:object w:dxaOrig="859" w:dyaOrig="340" w14:anchorId="5D4A2BB0">
          <v:shape id="_x0000_i6267" type="#_x0000_t75" style="width:42.95pt;height:16.95pt" o:ole="">
            <v:imagedata r:id="rId10572" o:title=""/>
          </v:shape>
          <o:OLEObject Type="Embed" ProgID="Equation.DSMT4" ShapeID="_x0000_i6267" DrawAspect="Content" ObjectID="_1791380211" r:id="rId10573"/>
        </w:object>
      </w:r>
      <w:r w:rsidRPr="00A62AA2">
        <w:rPr>
          <w:rFonts w:hint="cs"/>
          <w:i/>
          <w:sz w:val="23"/>
          <w:szCs w:val="23"/>
          <w:rtl/>
        </w:rPr>
        <w:t xml:space="preserve"> و برای هر </w:t>
      </w:r>
      <w:r w:rsidRPr="00A62AA2">
        <w:rPr>
          <w:position w:val="-6"/>
        </w:rPr>
        <w:object w:dxaOrig="480" w:dyaOrig="260" w14:anchorId="017AEFB5">
          <v:shape id="_x0000_i6268" type="#_x0000_t75" style="width:24.2pt;height:13.3pt" o:ole="">
            <v:imagedata r:id="rId10574" o:title=""/>
          </v:shape>
          <o:OLEObject Type="Embed" ProgID="Equation.DSMT4" ShapeID="_x0000_i6268" DrawAspect="Content" ObjectID="_1791380212" r:id="rId10575"/>
        </w:object>
      </w:r>
      <w:r w:rsidRPr="00A62AA2">
        <w:rPr>
          <w:rFonts w:hint="cs"/>
          <w:i/>
          <w:sz w:val="23"/>
          <w:szCs w:val="23"/>
          <w:rtl/>
        </w:rPr>
        <w:t xml:space="preserve"> افزایش یا کاهش خواهد یافت، و با مقادیر آتی انتظاری</w:t>
      </w:r>
      <w:r w:rsidRPr="00A62AA2">
        <w:rPr>
          <w:position w:val="-10"/>
        </w:rPr>
        <w:object w:dxaOrig="420" w:dyaOrig="320" w14:anchorId="644AB464">
          <v:shape id="_x0000_i6269" type="#_x0000_t75" style="width:21.2pt;height:15.75pt" o:ole="">
            <v:imagedata r:id="rId10576" o:title=""/>
          </v:shape>
          <o:OLEObject Type="Embed" ProgID="Equation.DSMT4" ShapeID="_x0000_i6269" DrawAspect="Content" ObjectID="_1791380213" r:id="rId10577"/>
        </w:object>
      </w:r>
      <w:r w:rsidRPr="00A62AA2">
        <w:rPr>
          <w:rFonts w:hint="cs"/>
          <w:i/>
          <w:sz w:val="23"/>
          <w:szCs w:val="23"/>
          <w:rtl/>
        </w:rPr>
        <w:t xml:space="preserve"> و</w:t>
      </w:r>
      <w:r w:rsidRPr="00A62AA2">
        <w:rPr>
          <w:position w:val="-10"/>
        </w:rPr>
        <w:object w:dxaOrig="360" w:dyaOrig="320" w14:anchorId="20F73EAB">
          <v:shape id="_x0000_i6270" type="#_x0000_t75" style="width:18.15pt;height:15.75pt" o:ole="">
            <v:imagedata r:id="rId10578" o:title=""/>
          </v:shape>
          <o:OLEObject Type="Embed" ProgID="Equation.DSMT4" ShapeID="_x0000_i6270" DrawAspect="Content" ObjectID="_1791380214" r:id="rId10579"/>
        </w:object>
      </w:r>
      <w:r w:rsidRPr="00A62AA2">
        <w:rPr>
          <w:rFonts w:hint="cs"/>
          <w:i/>
          <w:sz w:val="23"/>
          <w:szCs w:val="23"/>
          <w:rtl/>
        </w:rPr>
        <w:t xml:space="preserve"> در زمان</w:t>
      </w:r>
      <w:r w:rsidRPr="00A62AA2">
        <w:rPr>
          <w:i/>
          <w:sz w:val="23"/>
          <w:szCs w:val="23"/>
        </w:rPr>
        <w:t xml:space="preserve"> </w:t>
      </w:r>
      <w:r w:rsidRPr="00A62AA2">
        <w:rPr>
          <w:position w:val="-6"/>
        </w:rPr>
        <w:object w:dxaOrig="139" w:dyaOrig="240" w14:anchorId="482BD8FF">
          <v:shape id="_x0000_i6271" type="#_x0000_t75" style="width:6.65pt;height:11.5pt" o:ole="">
            <v:imagedata r:id="rId10580" o:title=""/>
          </v:shape>
          <o:OLEObject Type="Embed" ProgID="Equation.DSMT4" ShapeID="_x0000_i6271" DrawAspect="Content" ObjectID="_1791380215" r:id="rId10581"/>
        </w:object>
      </w:r>
      <w:r w:rsidRPr="00A62AA2">
        <w:rPr>
          <w:rFonts w:hint="cs"/>
          <w:i/>
          <w:sz w:val="23"/>
          <w:szCs w:val="23"/>
          <w:rtl/>
        </w:rPr>
        <w:t xml:space="preserve"> واکنش نشان می‌دهد. بدلیل عامل تنزیل </w:t>
      </w:r>
      <w:r w:rsidRPr="00A62AA2">
        <w:rPr>
          <w:position w:val="-12"/>
        </w:rPr>
        <w:object w:dxaOrig="920" w:dyaOrig="360" w14:anchorId="5530954A">
          <v:shape id="_x0000_i6272" type="#_x0000_t75" style="width:46pt;height:18.15pt" o:ole="">
            <v:imagedata r:id="rId10582" o:title=""/>
          </v:shape>
          <o:OLEObject Type="Embed" ProgID="Equation.DSMT4" ShapeID="_x0000_i6272" DrawAspect="Content" ObjectID="_1791380216" r:id="rId10583"/>
        </w:object>
      </w:r>
      <w:r w:rsidRPr="00A62AA2">
        <w:rPr>
          <w:rFonts w:hint="cs"/>
          <w:i/>
          <w:sz w:val="23"/>
          <w:szCs w:val="23"/>
          <w:rtl/>
        </w:rPr>
        <w:t>، تغییر آتی انتظاری تفاضل در دوره‌های بعد، اثرات کمتری بر</w:t>
      </w:r>
      <w:r w:rsidRPr="00A62AA2">
        <w:rPr>
          <w:position w:val="-10"/>
        </w:rPr>
        <w:object w:dxaOrig="200" w:dyaOrig="320" w14:anchorId="43DC0BE1">
          <v:shape id="_x0000_i6273" type="#_x0000_t75" style="width:10.3pt;height:15.75pt" o:ole="">
            <v:imagedata r:id="rId10584" o:title=""/>
          </v:shape>
          <o:OLEObject Type="Embed" ProgID="Equation.DSMT4" ShapeID="_x0000_i6273" DrawAspect="Content" ObjectID="_1791380217" r:id="rId10585"/>
        </w:object>
      </w:r>
      <w:r w:rsidRPr="00A62AA2">
        <w:rPr>
          <w:rFonts w:hint="cs"/>
          <w:i/>
          <w:sz w:val="23"/>
          <w:szCs w:val="23"/>
          <w:vertAlign w:val="subscript"/>
          <w:rtl/>
        </w:rPr>
        <w:t xml:space="preserve"> </w:t>
      </w:r>
      <w:r w:rsidRPr="00A62AA2">
        <w:rPr>
          <w:rFonts w:hint="cs"/>
          <w:i/>
          <w:sz w:val="23"/>
          <w:szCs w:val="23"/>
          <w:rtl/>
        </w:rPr>
        <w:t>جاری خواهد داشت، و اثر تغییرات انتظاری که در دوره‌ی</w:t>
      </w:r>
      <w:r w:rsidRPr="00A62AA2">
        <w:rPr>
          <w:position w:val="-6"/>
        </w:rPr>
        <w:object w:dxaOrig="420" w:dyaOrig="260" w14:anchorId="6BC081F7">
          <v:shape id="_x0000_i6274" type="#_x0000_t75" style="width:21.2pt;height:13.3pt" o:ole="">
            <v:imagedata r:id="rId10586" o:title=""/>
          </v:shape>
          <o:OLEObject Type="Embed" ProgID="Equation.DSMT4" ShapeID="_x0000_i6274" DrawAspect="Content" ObjectID="_1791380218" r:id="rId10587"/>
        </w:object>
      </w:r>
      <w:r w:rsidRPr="00A62AA2">
        <w:rPr>
          <w:rFonts w:hint="cs"/>
          <w:i/>
          <w:sz w:val="23"/>
          <w:szCs w:val="23"/>
          <w:rtl/>
        </w:rPr>
        <w:t xml:space="preserve"> به وقوع می‌پیوندد برابراست با</w:t>
      </w:r>
      <w:r w:rsidRPr="00A62AA2">
        <w:rPr>
          <w:i/>
          <w:sz w:val="23"/>
          <w:szCs w:val="23"/>
        </w:rPr>
        <w:t xml:space="preserve"> </w:t>
      </w:r>
      <w:r w:rsidRPr="00A62AA2">
        <w:rPr>
          <w:position w:val="-14"/>
        </w:rPr>
        <w:object w:dxaOrig="1160" w:dyaOrig="440" w14:anchorId="5346C8A8">
          <v:shape id="_x0000_i6275" type="#_x0000_t75" style="width:58.1pt;height:21.8pt" o:ole="">
            <v:imagedata r:id="rId10588" o:title=""/>
          </v:shape>
          <o:OLEObject Type="Embed" ProgID="Equation.DSMT4" ShapeID="_x0000_i6275" DrawAspect="Content" ObjectID="_1791380219" r:id="rId10589"/>
        </w:object>
      </w:r>
      <w:r w:rsidRPr="00A62AA2">
        <w:rPr>
          <w:rFonts w:hint="cs"/>
          <w:i/>
          <w:sz w:val="23"/>
          <w:szCs w:val="23"/>
          <w:rtl/>
        </w:rPr>
        <w:t>.</w:t>
      </w:r>
    </w:p>
    <w:p w14:paraId="6F9CA316"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با مقایسه این حل با آنچه که از فرض</w:t>
      </w:r>
      <w:r w:rsidRPr="00A62AA2">
        <w:rPr>
          <w:position w:val="-6"/>
        </w:rPr>
        <w:object w:dxaOrig="460" w:dyaOrig="260" w14:anchorId="5D8CAC79">
          <v:shape id="_x0000_i6276" type="#_x0000_t75" style="width:23pt;height:13.3pt" o:ole="">
            <v:imagedata r:id="rId10590" o:title=""/>
          </v:shape>
          <o:OLEObject Type="Embed" ProgID="Equation.DSMT4" ShapeID="_x0000_i6276" DrawAspect="Content" ObjectID="_1791380220" r:id="rId10591"/>
        </w:object>
      </w:r>
      <w:r w:rsidRPr="00A62AA2">
        <w:rPr>
          <w:i/>
          <w:sz w:val="23"/>
          <w:szCs w:val="23"/>
        </w:rPr>
        <w:t xml:space="preserve"> </w:t>
      </w:r>
      <w:r w:rsidRPr="00A62AA2">
        <w:rPr>
          <w:rFonts w:hint="cs"/>
          <w:i/>
          <w:sz w:val="23"/>
          <w:szCs w:val="23"/>
          <w:rtl/>
        </w:rPr>
        <w:t>بدست آمد، ملاحظه خواهیم کرد که</w:t>
      </w:r>
      <w:r w:rsidRPr="00A62AA2">
        <w:rPr>
          <w:position w:val="-10"/>
        </w:rPr>
        <w:object w:dxaOrig="200" w:dyaOrig="320" w14:anchorId="78C176D2">
          <v:shape id="_x0000_i6277" type="#_x0000_t75" style="width:10.3pt;height:15.75pt" o:ole="">
            <v:imagedata r:id="rId10592" o:title=""/>
          </v:shape>
          <o:OLEObject Type="Embed" ProgID="Equation.DSMT4" ShapeID="_x0000_i6277" DrawAspect="Content" ObjectID="_1791380221" r:id="rId10593"/>
        </w:object>
      </w:r>
      <w:r w:rsidRPr="00A62AA2">
        <w:rPr>
          <w:i/>
          <w:sz w:val="23"/>
          <w:szCs w:val="23"/>
        </w:rPr>
        <w:t xml:space="preserve"> </w:t>
      </w:r>
      <w:r w:rsidRPr="00A62AA2">
        <w:rPr>
          <w:rFonts w:hint="cs"/>
          <w:i/>
          <w:sz w:val="23"/>
          <w:szCs w:val="23"/>
          <w:rtl/>
        </w:rPr>
        <w:t>هنوز به تفاضل‌های بهره</w:t>
      </w:r>
      <w:r w:rsidRPr="00A62AA2">
        <w:rPr>
          <w:rFonts w:hint="cs"/>
          <w:i/>
          <w:sz w:val="23"/>
          <w:szCs w:val="23"/>
          <w:rtl/>
        </w:rPr>
        <w:softHyphen/>
        <w:t>ی جاری و آتی انتظاری که درون‌زا بوده و نه برون</w:t>
      </w:r>
      <w:r w:rsidRPr="00A62AA2">
        <w:rPr>
          <w:rFonts w:hint="cs"/>
          <w:i/>
          <w:sz w:val="23"/>
          <w:szCs w:val="23"/>
          <w:rtl/>
        </w:rPr>
        <w:softHyphen/>
        <w:t>زا، و همچنین تفاضل‌های عرضه</w:t>
      </w:r>
      <w:r w:rsidRPr="00A62AA2">
        <w:rPr>
          <w:rFonts w:hint="cs"/>
          <w:i/>
          <w:sz w:val="23"/>
          <w:szCs w:val="23"/>
          <w:rtl/>
        </w:rPr>
        <w:softHyphen/>
        <w:t>ی پول و تولیدات جاری و آتی انتظاری دو کشور وابسته است.</w:t>
      </w:r>
    </w:p>
    <w:p w14:paraId="67296AC4" w14:textId="77777777" w:rsidR="00556C10" w:rsidRPr="00A62AA2" w:rsidRDefault="00556C10" w:rsidP="00556C10">
      <w:pPr>
        <w:tabs>
          <w:tab w:val="right" w:pos="-83"/>
          <w:tab w:val="right" w:pos="7"/>
        </w:tabs>
        <w:spacing w:line="216" w:lineRule="auto"/>
        <w:rPr>
          <w:i/>
          <w:sz w:val="23"/>
          <w:szCs w:val="23"/>
          <w:rtl/>
        </w:rPr>
      </w:pPr>
    </w:p>
    <w:p w14:paraId="3AF1D112" w14:textId="77777777" w:rsidR="00556C10" w:rsidRPr="00A62AA2" w:rsidRDefault="00556C10" w:rsidP="00556C10">
      <w:pPr>
        <w:tabs>
          <w:tab w:val="right" w:pos="-83"/>
          <w:tab w:val="right" w:pos="7"/>
        </w:tabs>
        <w:spacing w:line="216" w:lineRule="auto"/>
        <w:rPr>
          <w:bCs/>
          <w:i/>
          <w:sz w:val="23"/>
          <w:szCs w:val="23"/>
          <w:rtl/>
        </w:rPr>
      </w:pPr>
      <w:r w:rsidRPr="00A62AA2">
        <w:rPr>
          <w:rFonts w:hint="cs"/>
          <w:bCs/>
          <w:i/>
          <w:sz w:val="23"/>
          <w:szCs w:val="23"/>
          <w:rtl/>
        </w:rPr>
        <w:t>سیاست پولی</w:t>
      </w:r>
    </w:p>
    <w:p w14:paraId="69EE80A5"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اکنون اثر اعمال سیاست</w:t>
      </w:r>
      <w:r w:rsidRPr="00A62AA2">
        <w:rPr>
          <w:rFonts w:hint="cs"/>
          <w:i/>
          <w:sz w:val="23"/>
          <w:szCs w:val="23"/>
          <w:rtl/>
        </w:rPr>
        <w:softHyphen/>
        <w:t>های پولی بواسطه</w:t>
      </w:r>
      <w:r w:rsidRPr="00A62AA2">
        <w:rPr>
          <w:rFonts w:hint="cs"/>
          <w:i/>
          <w:sz w:val="23"/>
          <w:szCs w:val="23"/>
          <w:rtl/>
        </w:rPr>
        <w:softHyphen/>
        <w:t>ی تغییرات عرضه</w:t>
      </w:r>
      <w:r w:rsidRPr="00A62AA2">
        <w:rPr>
          <w:rFonts w:hint="cs"/>
          <w:i/>
          <w:sz w:val="23"/>
          <w:szCs w:val="23"/>
          <w:rtl/>
        </w:rPr>
        <w:softHyphen/>
        <w:t>ی پول را بر نرخ ارز بررسی خواهیم کرد. مباحث مربوطه را می‌توان از طریق شوک‌های پولی که مستقل از سیاست پولی است نیز مورد استفاده قرار داد. فرض کنید سیاست پولی از طریق هدف‌گذاری عرضه</w:t>
      </w:r>
      <w:r w:rsidRPr="00A62AA2">
        <w:rPr>
          <w:rFonts w:hint="cs"/>
          <w:i/>
          <w:sz w:val="23"/>
          <w:szCs w:val="23"/>
          <w:rtl/>
        </w:rPr>
        <w:softHyphen/>
        <w:t>ی پول اجرا شده، و عرضه‌ی پول با نرخ رشد ثابت افزایش یابد. در اینجا شوک‌های موقتی و دائمی پولی را از یکدیگر متمایز می‌کنیم. شوک‌های پولی موقتی موجودی پول و شوک‌های دائمی پول نرخ رشد عرضه‌ی پول را تحت تأثیر قرار می‌دهند. همچنین فرض می‌کنیم که عرضه پول داخلی و خارجی یک فرآیند گام تصادفی با رانش هستند. تغییر در رانش یک شوک دائمی است و نرخ رشد بلندمدت پول را تحت تأثیر قرار می</w:t>
      </w:r>
      <w:r w:rsidRPr="00A62AA2">
        <w:rPr>
          <w:rFonts w:hint="cs"/>
          <w:i/>
          <w:sz w:val="23"/>
          <w:szCs w:val="23"/>
          <w:rtl/>
        </w:rPr>
        <w:softHyphen/>
        <w:t xml:space="preserve">دهد، ولی تغییر در جز اخلال یک شوک موقتی است. همچنین فرض می‌کنیم که سطوح تولید </w:t>
      </w:r>
      <w:r w:rsidRPr="00A62AA2">
        <w:rPr>
          <w:rFonts w:hint="cs"/>
          <w:i/>
          <w:sz w:val="23"/>
          <w:szCs w:val="23"/>
          <w:rtl/>
        </w:rPr>
        <w:lastRenderedPageBreak/>
        <w:t>در دو کشور گام‌های تصادفی است. یعنی، اقتصاد دو کشور با نرخ‌های ثابت بلندمدت رشد می‌کنند. بطور خلاصه</w:t>
      </w:r>
    </w:p>
    <w:p w14:paraId="7DCA235D" w14:textId="77777777" w:rsidR="00556C10" w:rsidRPr="00A62AA2" w:rsidRDefault="00556C10" w:rsidP="00556C10">
      <w:pPr>
        <w:tabs>
          <w:tab w:val="right" w:pos="-83"/>
          <w:tab w:val="right" w:pos="7"/>
        </w:tabs>
        <w:bidi w:val="0"/>
        <w:spacing w:line="216" w:lineRule="auto"/>
        <w:rPr>
          <w:i/>
          <w:sz w:val="23"/>
          <w:szCs w:val="23"/>
          <w:rtl/>
        </w:rPr>
      </w:pPr>
      <w:r w:rsidRPr="00A62AA2">
        <w:rPr>
          <w:position w:val="-10"/>
        </w:rPr>
        <w:object w:dxaOrig="2560" w:dyaOrig="320" w14:anchorId="30F84077">
          <v:shape id="_x0000_i6278" type="#_x0000_t75" style="width:127.65pt;height:15.75pt" o:ole="">
            <v:imagedata r:id="rId10594" o:title=""/>
          </v:shape>
          <o:OLEObject Type="Embed" ProgID="Equation.DSMT4" ShapeID="_x0000_i6278" DrawAspect="Content" ObjectID="_1791380222" r:id="rId10595"/>
        </w:object>
      </w:r>
    </w:p>
    <w:p w14:paraId="4EBB966E" w14:textId="77777777" w:rsidR="00556C10" w:rsidRPr="00A62AA2" w:rsidRDefault="00556C10" w:rsidP="00556C10">
      <w:pPr>
        <w:tabs>
          <w:tab w:val="right" w:pos="-83"/>
          <w:tab w:val="right" w:pos="7"/>
        </w:tabs>
        <w:bidi w:val="0"/>
        <w:spacing w:line="216" w:lineRule="auto"/>
        <w:rPr>
          <w:i/>
          <w:sz w:val="23"/>
          <w:szCs w:val="23"/>
        </w:rPr>
      </w:pPr>
      <w:r w:rsidRPr="00A62AA2">
        <w:rPr>
          <w:position w:val="-10"/>
        </w:rPr>
        <w:object w:dxaOrig="2700" w:dyaOrig="340" w14:anchorId="3ECDD78B">
          <v:shape id="_x0000_i6279" type="#_x0000_t75" style="width:134.9pt;height:16.95pt" o:ole="">
            <v:imagedata r:id="rId10596" o:title=""/>
          </v:shape>
          <o:OLEObject Type="Embed" ProgID="Equation.DSMT4" ShapeID="_x0000_i6279" DrawAspect="Content" ObjectID="_1791380223" r:id="rId10597"/>
        </w:object>
      </w:r>
    </w:p>
    <w:p w14:paraId="0D86C651" w14:textId="77777777" w:rsidR="00556C10" w:rsidRPr="00A62AA2" w:rsidRDefault="00556C10" w:rsidP="00556C10">
      <w:pPr>
        <w:tabs>
          <w:tab w:val="right" w:pos="-83"/>
          <w:tab w:val="right" w:pos="7"/>
        </w:tabs>
        <w:bidi w:val="0"/>
        <w:spacing w:line="216" w:lineRule="auto"/>
        <w:rPr>
          <w:i/>
          <w:sz w:val="23"/>
          <w:szCs w:val="23"/>
          <w:rtl/>
        </w:rPr>
      </w:pPr>
      <w:r w:rsidRPr="00A62AA2">
        <w:rPr>
          <w:position w:val="-10"/>
        </w:rPr>
        <w:object w:dxaOrig="2460" w:dyaOrig="320" w14:anchorId="79D2BFD1">
          <v:shape id="_x0000_i6280" type="#_x0000_t75" style="width:122.8pt;height:15.75pt" o:ole="">
            <v:imagedata r:id="rId10598" o:title=""/>
          </v:shape>
          <o:OLEObject Type="Embed" ProgID="Equation.DSMT4" ShapeID="_x0000_i6280" DrawAspect="Content" ObjectID="_1791380224" r:id="rId10599"/>
        </w:object>
      </w:r>
    </w:p>
    <w:p w14:paraId="0672C86D" w14:textId="77777777" w:rsidR="00556C10" w:rsidRPr="00A62AA2" w:rsidRDefault="00556C10" w:rsidP="00556C10">
      <w:pPr>
        <w:tabs>
          <w:tab w:val="right" w:pos="-83"/>
          <w:tab w:val="right" w:pos="7"/>
        </w:tabs>
        <w:bidi w:val="0"/>
        <w:spacing w:line="216" w:lineRule="auto"/>
        <w:rPr>
          <w:i/>
          <w:sz w:val="23"/>
          <w:szCs w:val="23"/>
        </w:rPr>
      </w:pPr>
      <w:r w:rsidRPr="00A62AA2">
        <w:rPr>
          <w:position w:val="-10"/>
        </w:rPr>
        <w:object w:dxaOrig="2620" w:dyaOrig="340" w14:anchorId="2515AA57">
          <v:shape id="_x0000_i6281" type="#_x0000_t75" style="width:130.7pt;height:16.95pt" o:ole="">
            <v:imagedata r:id="rId10600" o:title=""/>
          </v:shape>
          <o:OLEObject Type="Embed" ProgID="Equation.DSMT4" ShapeID="_x0000_i6281" DrawAspect="Content" ObjectID="_1791380225" r:id="rId10601"/>
        </w:object>
      </w:r>
    </w:p>
    <w:p w14:paraId="7C7FBD82"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 xml:space="preserve">بنابراین، نرخ‌های تورم داخلی و خارجی بلندمدت برابر است با </w:t>
      </w:r>
      <w:r w:rsidRPr="00A62AA2">
        <w:rPr>
          <w:position w:val="-10"/>
        </w:rPr>
        <w:object w:dxaOrig="220" w:dyaOrig="240" w14:anchorId="4B34975C">
          <v:shape id="_x0000_i6282" type="#_x0000_t75" style="width:10.9pt;height:11.5pt" o:ole="">
            <v:imagedata r:id="rId10602" o:title=""/>
          </v:shape>
          <o:OLEObject Type="Embed" ProgID="Equation.DSMT4" ShapeID="_x0000_i6282" DrawAspect="Content" ObjectID="_1791380226" r:id="rId10603"/>
        </w:object>
      </w:r>
      <w:r w:rsidRPr="00A62AA2">
        <w:rPr>
          <w:rFonts w:hint="cs"/>
          <w:i/>
          <w:sz w:val="23"/>
          <w:szCs w:val="23"/>
          <w:rtl/>
        </w:rPr>
        <w:t xml:space="preserve"> و</w:t>
      </w:r>
      <w:r w:rsidRPr="00A62AA2">
        <w:rPr>
          <w:position w:val="-10"/>
        </w:rPr>
        <w:object w:dxaOrig="279" w:dyaOrig="340" w14:anchorId="3B9F7066">
          <v:shape id="_x0000_i6283" type="#_x0000_t75" style="width:13.9pt;height:16.95pt" o:ole="">
            <v:imagedata r:id="rId10604" o:title=""/>
          </v:shape>
          <o:OLEObject Type="Embed" ProgID="Equation.DSMT4" ShapeID="_x0000_i6283" DrawAspect="Content" ObjectID="_1791380227" r:id="rId10605"/>
        </w:object>
      </w:r>
      <w:r w:rsidRPr="00A62AA2">
        <w:rPr>
          <w:i/>
          <w:sz w:val="23"/>
          <w:szCs w:val="23"/>
        </w:rPr>
        <w:t xml:space="preserve"> </w:t>
      </w:r>
      <w:r w:rsidRPr="00A62AA2">
        <w:rPr>
          <w:rFonts w:hint="cs"/>
          <w:i/>
          <w:sz w:val="23"/>
          <w:szCs w:val="23"/>
          <w:rtl/>
        </w:rPr>
        <w:t>و نرخ‌های رشد اقتصادی متناظر با آن برابر است با</w:t>
      </w:r>
      <w:r w:rsidRPr="00A62AA2">
        <w:rPr>
          <w:position w:val="-10"/>
        </w:rPr>
        <w:object w:dxaOrig="200" w:dyaOrig="240" w14:anchorId="6EA7D9EF">
          <v:shape id="_x0000_i6284" type="#_x0000_t75" style="width:10.3pt;height:11.5pt" o:ole="">
            <v:imagedata r:id="rId10606" o:title=""/>
          </v:shape>
          <o:OLEObject Type="Embed" ProgID="Equation.DSMT4" ShapeID="_x0000_i6284" DrawAspect="Content" ObjectID="_1791380228" r:id="rId10607"/>
        </w:object>
      </w:r>
      <w:r w:rsidRPr="00A62AA2">
        <w:rPr>
          <w:i/>
          <w:sz w:val="23"/>
          <w:szCs w:val="23"/>
        </w:rPr>
        <w:t xml:space="preserve"> </w:t>
      </w:r>
      <w:r w:rsidRPr="00A62AA2">
        <w:rPr>
          <w:rFonts w:hint="cs"/>
          <w:i/>
          <w:sz w:val="23"/>
          <w:szCs w:val="23"/>
          <w:rtl/>
        </w:rPr>
        <w:t>و</w:t>
      </w:r>
      <w:r w:rsidRPr="00A62AA2">
        <w:rPr>
          <w:position w:val="-10"/>
        </w:rPr>
        <w:object w:dxaOrig="260" w:dyaOrig="340" w14:anchorId="3860A0B5">
          <v:shape id="_x0000_i6285" type="#_x0000_t75" style="width:13.3pt;height:16.95pt" o:ole="">
            <v:imagedata r:id="rId10608" o:title=""/>
          </v:shape>
          <o:OLEObject Type="Embed" ProgID="Equation.DSMT4" ShapeID="_x0000_i6285" DrawAspect="Content" ObjectID="_1791380229" r:id="rId10609"/>
        </w:object>
      </w:r>
      <w:r w:rsidRPr="00A62AA2">
        <w:rPr>
          <w:rFonts w:hint="cs"/>
          <w:i/>
          <w:sz w:val="23"/>
          <w:szCs w:val="23"/>
          <w:rtl/>
        </w:rPr>
        <w:t>. اگر</w:t>
      </w:r>
      <w:r w:rsidRPr="00A62AA2">
        <w:rPr>
          <w:position w:val="-10"/>
        </w:rPr>
        <w:object w:dxaOrig="1100" w:dyaOrig="320" w14:anchorId="6E021565">
          <v:shape id="_x0000_i6286" type="#_x0000_t75" style="width:55.05pt;height:15.75pt" o:ole="">
            <v:imagedata r:id="rId10610" o:title=""/>
          </v:shape>
          <o:OLEObject Type="Embed" ProgID="Equation.DSMT4" ShapeID="_x0000_i6286" DrawAspect="Content" ObjectID="_1791380230" r:id="rId10611"/>
        </w:object>
      </w:r>
      <w:r w:rsidRPr="00A62AA2">
        <w:rPr>
          <w:rFonts w:hint="cs"/>
          <w:i/>
          <w:sz w:val="23"/>
          <w:szCs w:val="23"/>
          <w:rtl/>
        </w:rPr>
        <w:t xml:space="preserve"> و </w:t>
      </w:r>
      <w:r w:rsidRPr="00A62AA2">
        <w:rPr>
          <w:position w:val="-10"/>
        </w:rPr>
        <w:object w:dxaOrig="920" w:dyaOrig="320" w14:anchorId="60FBB522">
          <v:shape id="_x0000_i6287" type="#_x0000_t75" style="width:46pt;height:15.75pt" o:ole="">
            <v:imagedata r:id="rId10612" o:title=""/>
          </v:shape>
          <o:OLEObject Type="Embed" ProgID="Equation.DSMT4" ShapeID="_x0000_i6287" DrawAspect="Content" ObjectID="_1791380231" r:id="rId10613"/>
        </w:object>
      </w:r>
      <w:r w:rsidRPr="00A62AA2">
        <w:rPr>
          <w:i/>
          <w:sz w:val="23"/>
          <w:szCs w:val="23"/>
        </w:rPr>
        <w:t xml:space="preserve"> </w:t>
      </w:r>
      <w:r w:rsidRPr="00A62AA2">
        <w:rPr>
          <w:rFonts w:hint="cs"/>
          <w:i/>
          <w:sz w:val="23"/>
          <w:szCs w:val="23"/>
          <w:rtl/>
        </w:rPr>
        <w:t>باشد، آنگاه</w:t>
      </w:r>
      <w:r w:rsidRPr="00A62AA2">
        <w:rPr>
          <w:position w:val="-28"/>
        </w:rPr>
        <w:object w:dxaOrig="1939" w:dyaOrig="639" w14:anchorId="3360B37E">
          <v:shape id="_x0000_i6288" type="#_x0000_t75" style="width:97.4pt;height:32.05pt" o:ole="">
            <v:imagedata r:id="rId10614" o:title=""/>
          </v:shape>
          <o:OLEObject Type="Embed" ProgID="Equation.DSMT4" ShapeID="_x0000_i6288" DrawAspect="Content" ObjectID="_1791380232" r:id="rId10615"/>
        </w:object>
      </w:r>
      <w:r w:rsidRPr="00A62AA2">
        <w:rPr>
          <w:rFonts w:hint="cs"/>
          <w:i/>
          <w:sz w:val="23"/>
          <w:szCs w:val="23"/>
          <w:rtl/>
        </w:rPr>
        <w:t xml:space="preserve"> و </w:t>
      </w:r>
      <w:r w:rsidRPr="00A62AA2">
        <w:rPr>
          <w:position w:val="-10"/>
        </w:rPr>
        <w:object w:dxaOrig="1380" w:dyaOrig="320" w14:anchorId="1FD2AFF5">
          <v:shape id="_x0000_i6289" type="#_x0000_t75" style="width:68.95pt;height:15.75pt" o:ole="">
            <v:imagedata r:id="rId10616" o:title=""/>
          </v:shape>
          <o:OLEObject Type="Embed" ProgID="Equation.DSMT4" ShapeID="_x0000_i6289" DrawAspect="Content" ObjectID="_1791380233" r:id="rId10617"/>
        </w:object>
      </w:r>
      <w:r w:rsidRPr="00A62AA2">
        <w:rPr>
          <w:rFonts w:hint="cs"/>
          <w:i/>
          <w:sz w:val="23"/>
          <w:szCs w:val="23"/>
          <w:rtl/>
        </w:rPr>
        <w:t xml:space="preserve"> خواهد بود</w:t>
      </w:r>
      <w:r w:rsidRPr="00A62AA2">
        <w:rPr>
          <w:i/>
          <w:sz w:val="23"/>
          <w:szCs w:val="23"/>
        </w:rPr>
        <w:t>.</w:t>
      </w:r>
      <w:r w:rsidRPr="00A62AA2">
        <w:rPr>
          <w:rFonts w:hint="cs"/>
          <w:i/>
          <w:sz w:val="23"/>
          <w:szCs w:val="23"/>
          <w:rtl/>
        </w:rPr>
        <w:t xml:space="preserve"> همچنین با توجه به این که برای </w:t>
      </w:r>
      <w:r w:rsidRPr="00A62AA2">
        <w:rPr>
          <w:position w:val="-12"/>
        </w:rPr>
        <w:object w:dxaOrig="580" w:dyaOrig="360" w14:anchorId="70B512E8">
          <v:shape id="_x0000_i6290" type="#_x0000_t75" style="width:29.05pt;height:18.15pt" o:ole="">
            <v:imagedata r:id="rId10618" o:title=""/>
          </v:shape>
          <o:OLEObject Type="Embed" ProgID="Equation.DSMT4" ShapeID="_x0000_i6290" DrawAspect="Content" ObjectID="_1791380234" r:id="rId10619"/>
        </w:object>
      </w:r>
      <w:r w:rsidRPr="00A62AA2">
        <w:rPr>
          <w:i/>
          <w:sz w:val="23"/>
          <w:szCs w:val="23"/>
        </w:rPr>
        <w:t xml:space="preserve"> </w:t>
      </w:r>
      <w:r w:rsidRPr="00A62AA2">
        <w:rPr>
          <w:rFonts w:hint="cs"/>
          <w:i/>
          <w:sz w:val="23"/>
          <w:szCs w:val="23"/>
          <w:rtl/>
        </w:rPr>
        <w:t xml:space="preserve">داریم </w:t>
      </w:r>
      <w:r w:rsidRPr="00A62AA2">
        <w:rPr>
          <w:position w:val="-26"/>
        </w:rPr>
        <w:object w:dxaOrig="1719" w:dyaOrig="620" w14:anchorId="6DA3445E">
          <v:shape id="_x0000_i6291" type="#_x0000_t75" style="width:85.9pt;height:30.85pt" o:ole="">
            <v:imagedata r:id="rId10620" o:title=""/>
          </v:shape>
          <o:OLEObject Type="Embed" ProgID="Equation.DSMT4" ShapeID="_x0000_i6291" DrawAspect="Content" ObjectID="_1791380235" r:id="rId10621"/>
        </w:object>
      </w:r>
      <w:r w:rsidRPr="00A62AA2">
        <w:rPr>
          <w:rFonts w:hint="cs"/>
          <w:i/>
          <w:sz w:val="23"/>
          <w:szCs w:val="23"/>
          <w:rtl/>
        </w:rPr>
        <w:t xml:space="preserve">، بنابراین </w:t>
      </w:r>
    </w:p>
    <w:p w14:paraId="4B96221B" w14:textId="77777777" w:rsidR="00556C10" w:rsidRPr="00A62AA2" w:rsidRDefault="00556C10" w:rsidP="00556C10">
      <w:pPr>
        <w:tabs>
          <w:tab w:val="right" w:pos="-83"/>
          <w:tab w:val="right" w:pos="7"/>
        </w:tabs>
        <w:bidi w:val="0"/>
        <w:spacing w:line="216" w:lineRule="auto"/>
        <w:rPr>
          <w:i/>
          <w:sz w:val="23"/>
          <w:szCs w:val="23"/>
          <w:rtl/>
        </w:rPr>
      </w:pPr>
      <w:r w:rsidRPr="00A62AA2">
        <w:rPr>
          <w:position w:val="-10"/>
        </w:rPr>
        <w:object w:dxaOrig="1560" w:dyaOrig="320" w14:anchorId="2B82AE2E">
          <v:shape id="_x0000_i6292" type="#_x0000_t75" style="width:78.05pt;height:15.75pt" o:ole="">
            <v:imagedata r:id="rId10622" o:title=""/>
          </v:shape>
          <o:OLEObject Type="Embed" ProgID="Equation.DSMT4" ShapeID="_x0000_i6292" DrawAspect="Content" ObjectID="_1791380236" r:id="rId10623"/>
        </w:object>
      </w:r>
    </w:p>
    <w:p w14:paraId="59A745A4" w14:textId="77777777" w:rsidR="00556C10" w:rsidRPr="00A62AA2" w:rsidRDefault="00556C10" w:rsidP="00556C10">
      <w:pPr>
        <w:tabs>
          <w:tab w:val="right" w:pos="-83"/>
          <w:tab w:val="right" w:pos="7"/>
        </w:tabs>
        <w:bidi w:val="0"/>
        <w:spacing w:line="216" w:lineRule="auto"/>
        <w:rPr>
          <w:i/>
          <w:sz w:val="23"/>
          <w:szCs w:val="23"/>
          <w:rtl/>
        </w:rPr>
      </w:pPr>
      <w:r w:rsidRPr="00A62AA2">
        <w:rPr>
          <w:position w:val="-10"/>
        </w:rPr>
        <w:object w:dxaOrig="1420" w:dyaOrig="320" w14:anchorId="4F60E111">
          <v:shape id="_x0000_i6293" type="#_x0000_t75" style="width:71.4pt;height:15.75pt" o:ole="">
            <v:imagedata r:id="rId10624" o:title=""/>
          </v:shape>
          <o:OLEObject Type="Embed" ProgID="Equation.DSMT4" ShapeID="_x0000_i6293" DrawAspect="Content" ObjectID="_1791380237" r:id="rId10625"/>
        </w:object>
      </w:r>
    </w:p>
    <w:p w14:paraId="01278AA2"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که در آن علامت مَد مبین تفاضل می‌باشد. حل نرخ ارز عبارت است از</w:t>
      </w:r>
    </w:p>
    <w:p w14:paraId="64FE2B76" w14:textId="77777777" w:rsidR="00556C10" w:rsidRPr="00A62AA2" w:rsidRDefault="00556C10" w:rsidP="00556C10">
      <w:pPr>
        <w:tabs>
          <w:tab w:val="right" w:pos="-83"/>
          <w:tab w:val="right" w:pos="7"/>
        </w:tabs>
        <w:bidi w:val="0"/>
        <w:spacing w:line="216" w:lineRule="auto"/>
        <w:rPr>
          <w:i/>
          <w:sz w:val="23"/>
          <w:szCs w:val="23"/>
          <w:rtl/>
        </w:rPr>
      </w:pPr>
      <w:r w:rsidRPr="00A62AA2">
        <w:rPr>
          <w:position w:val="-26"/>
        </w:rPr>
        <w:object w:dxaOrig="5400" w:dyaOrig="680" w14:anchorId="52A73885">
          <v:shape id="_x0000_i6294" type="#_x0000_t75" style="width:270.45pt;height:33.9pt" o:ole="">
            <v:imagedata r:id="rId10626" o:title=""/>
          </v:shape>
          <o:OLEObject Type="Embed" ProgID="Equation.DSMT4" ShapeID="_x0000_i6294" DrawAspect="Content" ObjectID="_1791380238" r:id="rId10627"/>
        </w:object>
      </w:r>
    </w:p>
    <w:p w14:paraId="05D63A12"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نرخ ارز اسمی ثابت مستلزم ثابت بودن تفاضل‌های عرضه</w:t>
      </w:r>
      <w:r w:rsidRPr="00A62AA2">
        <w:rPr>
          <w:rFonts w:hint="cs"/>
          <w:i/>
          <w:sz w:val="23"/>
          <w:szCs w:val="23"/>
          <w:rtl/>
        </w:rPr>
        <w:softHyphen/>
        <w:t>ی پول و سطوح تولید، و بنابراین نرخ رشد پول و تولید مشابه است. اگر یک کشور نرخ تورم دائمی بالاتر از دیگری، و یا نرخ رشد تولید کمتری نسبت به کشور دیگر داشته باشد، آنگاه ارزش پول داخلی آن کشور کاهش خواهد یافت.</w:t>
      </w:r>
    </w:p>
    <w:p w14:paraId="067E6835"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افزایش دائمی نرخ رشد پول داخلی نسبت به نرخ رشد پول خارجی، مبین آن است که</w:t>
      </w:r>
      <w:r w:rsidRPr="00A62AA2">
        <w:rPr>
          <w:position w:val="-10"/>
        </w:rPr>
        <w:object w:dxaOrig="680" w:dyaOrig="300" w14:anchorId="74301D01">
          <v:shape id="_x0000_i6295" type="#_x0000_t75" style="width:33.9pt;height:14.5pt" o:ole="">
            <v:imagedata r:id="rId10628" o:title=""/>
          </v:shape>
          <o:OLEObject Type="Embed" ProgID="Equation.DSMT4" ShapeID="_x0000_i6295" DrawAspect="Content" ObjectID="_1791380239" r:id="rId10629"/>
        </w:object>
      </w:r>
      <w:r w:rsidRPr="00A62AA2">
        <w:rPr>
          <w:rFonts w:hint="cs"/>
          <w:i/>
          <w:sz w:val="23"/>
          <w:szCs w:val="23"/>
          <w:rtl/>
        </w:rPr>
        <w:t>، و بنابراین</w:t>
      </w:r>
      <w:r w:rsidRPr="00A62AA2">
        <w:rPr>
          <w:position w:val="-10"/>
        </w:rPr>
        <w:object w:dxaOrig="700" w:dyaOrig="320" w14:anchorId="74D5B5A2">
          <v:shape id="_x0000_i6296" type="#_x0000_t75" style="width:35.1pt;height:15.75pt" o:ole="">
            <v:imagedata r:id="rId10630" o:title=""/>
          </v:shape>
          <o:OLEObject Type="Embed" ProgID="Equation.DSMT4" ShapeID="_x0000_i6296" DrawAspect="Content" ObjectID="_1791380240" r:id="rId10631"/>
        </w:object>
      </w:r>
      <w:r w:rsidRPr="00A62AA2">
        <w:rPr>
          <w:rFonts w:hint="cs"/>
          <w:i/>
          <w:sz w:val="23"/>
          <w:szCs w:val="23"/>
          <w:rtl/>
        </w:rPr>
        <w:t xml:space="preserve"> بوده و یک جهش کاهش ارزش پول داخلی در زمان</w:t>
      </w:r>
      <w:r w:rsidRPr="00A62AA2">
        <w:rPr>
          <w:position w:val="-6"/>
        </w:rPr>
        <w:object w:dxaOrig="139" w:dyaOrig="240" w14:anchorId="45A5F4DF">
          <v:shape id="_x0000_i6297" type="#_x0000_t75" style="width:6.65pt;height:11.5pt" o:ole="">
            <v:imagedata r:id="rId10632" o:title=""/>
          </v:shape>
          <o:OLEObject Type="Embed" ProgID="Equation.DSMT4" ShapeID="_x0000_i6297" DrawAspect="Content" ObjectID="_1791380241" r:id="rId10633"/>
        </w:object>
      </w:r>
      <w:r w:rsidRPr="00A62AA2">
        <w:rPr>
          <w:rFonts w:hint="cs"/>
          <w:i/>
          <w:sz w:val="23"/>
          <w:szCs w:val="23"/>
          <w:rtl/>
        </w:rPr>
        <w:t xml:space="preserve"> وجود خواهد داشت و این تغییر در نرخ ارز دائمی است. معمولاً </w:t>
      </w:r>
      <w:r w:rsidRPr="00A62AA2">
        <w:rPr>
          <w:position w:val="-6"/>
        </w:rPr>
        <w:object w:dxaOrig="520" w:dyaOrig="260" w14:anchorId="0AAFF3F2">
          <v:shape id="_x0000_i6298" type="#_x0000_t75" style="width:26pt;height:13.3pt" o:ole="">
            <v:imagedata r:id="rId10634" o:title=""/>
          </v:shape>
          <o:OLEObject Type="Embed" ProgID="Equation.DSMT4" ShapeID="_x0000_i6298" DrawAspect="Content" ObjectID="_1791380242" r:id="rId10635"/>
        </w:object>
      </w:r>
      <w:r w:rsidRPr="00A62AA2">
        <w:rPr>
          <w:i/>
          <w:sz w:val="23"/>
          <w:szCs w:val="23"/>
        </w:rPr>
        <w:t xml:space="preserve"> </w:t>
      </w:r>
      <w:r w:rsidRPr="00A62AA2">
        <w:rPr>
          <w:rFonts w:hint="cs"/>
          <w:i/>
          <w:sz w:val="23"/>
          <w:szCs w:val="23"/>
          <w:rtl/>
        </w:rPr>
        <w:t>است، و لذا واکنش نرخ ارز بزرگتر از این شوک دائمی است. استدلال مربوطه را می‌توان درخصوص نرخ‌های رشد تولید نیز مورد استفاده قرار داد.</w:t>
      </w:r>
    </w:p>
    <w:p w14:paraId="3A707E6A"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 xml:space="preserve">افزایش موقتی در شوک‌های پولی نسبی، و یا سطوح تولید، نرخ‌های رشد پول و تولید را تحت تأثیر قرار نداده اما </w:t>
      </w:r>
      <w:r w:rsidRPr="00A62AA2">
        <w:rPr>
          <w:position w:val="-10"/>
        </w:rPr>
        <w:object w:dxaOrig="300" w:dyaOrig="320" w14:anchorId="1B2E31BB">
          <v:shape id="_x0000_i6299" type="#_x0000_t75" style="width:14.5pt;height:15.75pt" o:ole="">
            <v:imagedata r:id="rId10636" o:title=""/>
          </v:shape>
          <o:OLEObject Type="Embed" ProgID="Equation.DSMT4" ShapeID="_x0000_i6299" DrawAspect="Content" ObjectID="_1791380243" r:id="rId10637"/>
        </w:object>
      </w:r>
      <w:r w:rsidRPr="00A62AA2">
        <w:rPr>
          <w:rFonts w:hint="cs"/>
          <w:i/>
          <w:sz w:val="23"/>
          <w:szCs w:val="23"/>
          <w:vertAlign w:val="subscript"/>
          <w:rtl/>
        </w:rPr>
        <w:t xml:space="preserve"> </w:t>
      </w:r>
      <w:r w:rsidRPr="00A62AA2">
        <w:rPr>
          <w:rFonts w:hint="cs"/>
          <w:i/>
          <w:sz w:val="23"/>
          <w:szCs w:val="23"/>
          <w:rtl/>
        </w:rPr>
        <w:t>و</w:t>
      </w:r>
      <w:r w:rsidRPr="00A62AA2">
        <w:rPr>
          <w:position w:val="-10"/>
        </w:rPr>
        <w:object w:dxaOrig="240" w:dyaOrig="320" w14:anchorId="563689DB">
          <v:shape id="_x0000_i6300" type="#_x0000_t75" style="width:11.5pt;height:15.75pt" o:ole="">
            <v:imagedata r:id="rId10638" o:title=""/>
          </v:shape>
          <o:OLEObject Type="Embed" ProgID="Equation.DSMT4" ShapeID="_x0000_i6300" DrawAspect="Content" ObjectID="_1791380244" r:id="rId10639"/>
        </w:object>
      </w:r>
      <w:r w:rsidRPr="00A62AA2">
        <w:rPr>
          <w:rFonts w:hint="cs"/>
          <w:i/>
          <w:sz w:val="23"/>
          <w:szCs w:val="23"/>
          <w:rtl/>
        </w:rPr>
        <w:t xml:space="preserve"> را تغییر می</w:t>
      </w:r>
      <w:r w:rsidRPr="00A62AA2">
        <w:rPr>
          <w:rFonts w:hint="cs"/>
          <w:i/>
          <w:sz w:val="23"/>
          <w:szCs w:val="23"/>
          <w:rtl/>
        </w:rPr>
        <w:softHyphen/>
        <w:t>دهد. تغییرات یکسانی در نرخ ارز در زمان</w:t>
      </w:r>
      <w:r w:rsidRPr="00A62AA2">
        <w:rPr>
          <w:position w:val="-6"/>
        </w:rPr>
        <w:object w:dxaOrig="139" w:dyaOrig="240" w14:anchorId="055375DF">
          <v:shape id="_x0000_i6301" type="#_x0000_t75" style="width:6.65pt;height:11.5pt" o:ole="">
            <v:imagedata r:id="rId10640" o:title=""/>
          </v:shape>
          <o:OLEObject Type="Embed" ProgID="Equation.DSMT4" ShapeID="_x0000_i6301" DrawAspect="Content" ObjectID="_1791380245" r:id="rId10641"/>
        </w:object>
      </w:r>
      <w:r w:rsidRPr="00A62AA2">
        <w:rPr>
          <w:rFonts w:hint="cs"/>
          <w:i/>
          <w:sz w:val="23"/>
          <w:szCs w:val="23"/>
          <w:rtl/>
        </w:rPr>
        <w:t xml:space="preserve"> ایجاد خواهد شد، ولی این تغییر موقتی است. بخصوص، یک افزایش موقتی در عرضه</w:t>
      </w:r>
      <w:r w:rsidRPr="00A62AA2">
        <w:rPr>
          <w:rFonts w:hint="cs"/>
          <w:i/>
          <w:sz w:val="23"/>
          <w:szCs w:val="23"/>
          <w:rtl/>
        </w:rPr>
        <w:softHyphen/>
        <w:t>ی پول داخلی علت کاهش ارزش پول داخلی بطور موقتی خواهد بود.</w:t>
      </w:r>
    </w:p>
    <w:p w14:paraId="08AE7517"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اکنون می‌توان تناقضی که قبلاً بدان اشاره شد را مجدداً ملاحظه کرد. این</w:t>
      </w:r>
      <w:r w:rsidRPr="00A62AA2">
        <w:rPr>
          <w:rFonts w:hint="cs"/>
          <w:i/>
          <w:sz w:val="23"/>
          <w:szCs w:val="23"/>
          <w:rtl/>
        </w:rPr>
        <w:softHyphen/>
        <w:t>که چرا یک افزایش در موجودی پول باعث کاهش ارزش پول داخلی می‌شود، درصورتی که با رفتار عقلایی بازار انتظار می</w:t>
      </w:r>
      <w:r w:rsidRPr="00A62AA2">
        <w:rPr>
          <w:rFonts w:hint="cs"/>
          <w:i/>
          <w:sz w:val="23"/>
          <w:szCs w:val="23"/>
          <w:rtl/>
        </w:rPr>
        <w:softHyphen/>
        <w:t>رود ارزش پول داخلی افزایش یابد؟ برای سهولت، فرض ‌کنید برای</w:t>
      </w:r>
      <w:r w:rsidRPr="00A62AA2">
        <w:rPr>
          <w:i/>
          <w:sz w:val="23"/>
          <w:szCs w:val="23"/>
        </w:rPr>
        <w:t xml:space="preserve"> </w:t>
      </w:r>
      <w:r w:rsidRPr="00A62AA2">
        <w:rPr>
          <w:rFonts w:hint="cs"/>
          <w:i/>
          <w:sz w:val="23"/>
          <w:szCs w:val="23"/>
          <w:rtl/>
        </w:rPr>
        <w:t xml:space="preserve">کلیه‌ی </w:t>
      </w:r>
      <w:r w:rsidRPr="00A62AA2">
        <w:rPr>
          <w:position w:val="-6"/>
        </w:rPr>
        <w:object w:dxaOrig="480" w:dyaOrig="260" w14:anchorId="6DDDA149">
          <v:shape id="_x0000_i6302" type="#_x0000_t75" style="width:24.2pt;height:13.3pt" o:ole="">
            <v:imagedata r:id="rId10642" o:title=""/>
          </v:shape>
          <o:OLEObject Type="Embed" ProgID="Equation.DSMT4" ShapeID="_x0000_i6302" DrawAspect="Content" ObjectID="_1791380246" r:id="rId10643"/>
        </w:object>
      </w:r>
      <w:r w:rsidRPr="00A62AA2">
        <w:rPr>
          <w:i/>
          <w:sz w:val="23"/>
          <w:szCs w:val="23"/>
        </w:rPr>
        <w:t xml:space="preserve"> </w:t>
      </w:r>
      <w:r w:rsidRPr="00A62AA2">
        <w:rPr>
          <w:position w:val="-10"/>
        </w:rPr>
        <w:object w:dxaOrig="1840" w:dyaOrig="340" w14:anchorId="6A814CFA">
          <v:shape id="_x0000_i6303" type="#_x0000_t75" style="width:91.95pt;height:16.95pt" o:ole="">
            <v:imagedata r:id="rId10644" o:title=""/>
          </v:shape>
          <o:OLEObject Type="Embed" ProgID="Equation.DSMT4" ShapeID="_x0000_i6303" DrawAspect="Content" ObjectID="_1791380247" r:id="rId10645"/>
        </w:object>
      </w:r>
      <w:r w:rsidRPr="00A62AA2">
        <w:rPr>
          <w:rFonts w:hint="cs"/>
          <w:i/>
          <w:sz w:val="23"/>
          <w:szCs w:val="23"/>
          <w:rtl/>
        </w:rPr>
        <w:t xml:space="preserve"> است. بنابراین نرخ ارز به وسیله</w:t>
      </w:r>
      <w:r w:rsidRPr="00A62AA2">
        <w:rPr>
          <w:rFonts w:hint="cs"/>
          <w:i/>
          <w:sz w:val="23"/>
          <w:szCs w:val="23"/>
          <w:rtl/>
        </w:rPr>
        <w:softHyphen/>
        <w:t>ی رابطه</w:t>
      </w:r>
      <w:r w:rsidRPr="00A62AA2">
        <w:rPr>
          <w:rFonts w:hint="cs"/>
          <w:i/>
          <w:sz w:val="23"/>
          <w:szCs w:val="23"/>
          <w:rtl/>
        </w:rPr>
        <w:softHyphen/>
        <w:t>ی زیر تعیین می‌شود</w:t>
      </w:r>
    </w:p>
    <w:p w14:paraId="27CE98E5" w14:textId="77777777" w:rsidR="00556C10" w:rsidRPr="00A62AA2" w:rsidRDefault="00556C10" w:rsidP="00556C10">
      <w:pPr>
        <w:tabs>
          <w:tab w:val="right" w:pos="-83"/>
          <w:tab w:val="right" w:pos="7"/>
        </w:tabs>
        <w:bidi w:val="0"/>
        <w:spacing w:line="216" w:lineRule="auto"/>
        <w:rPr>
          <w:i/>
          <w:sz w:val="23"/>
          <w:szCs w:val="23"/>
          <w:rtl/>
        </w:rPr>
      </w:pPr>
      <w:r w:rsidRPr="00A62AA2">
        <w:rPr>
          <w:position w:val="-34"/>
        </w:rPr>
        <w:object w:dxaOrig="3019" w:dyaOrig="680" w14:anchorId="7D72FC8A">
          <v:shape id="_x0000_i6304" type="#_x0000_t75" style="width:150.65pt;height:33.9pt" o:ole="">
            <v:imagedata r:id="rId10646" o:title=""/>
          </v:shape>
          <o:OLEObject Type="Embed" ProgID="Equation.DSMT4" ShapeID="_x0000_i6304" DrawAspect="Content" ObjectID="_1791380248" r:id="rId10647"/>
        </w:object>
      </w:r>
      <w:r w:rsidRPr="00A62AA2">
        <w:rPr>
          <w:i/>
          <w:sz w:val="23"/>
          <w:szCs w:val="23"/>
        </w:rPr>
        <w:tab/>
      </w:r>
      <w:r w:rsidRPr="00A62AA2">
        <w:rPr>
          <w:rFonts w:hint="cs"/>
          <w:i/>
          <w:sz w:val="23"/>
          <w:szCs w:val="23"/>
          <w:rtl/>
        </w:rPr>
        <w:tab/>
      </w:r>
      <w:r w:rsidRPr="00A62AA2">
        <w:rPr>
          <w:i/>
          <w:sz w:val="23"/>
          <w:szCs w:val="23"/>
        </w:rPr>
        <w:tab/>
      </w:r>
      <w:r w:rsidRPr="00A62AA2">
        <w:rPr>
          <w:i/>
          <w:sz w:val="23"/>
          <w:szCs w:val="23"/>
        </w:rPr>
        <w:tab/>
      </w:r>
      <w:r w:rsidRPr="00A62AA2">
        <w:rPr>
          <w:i/>
          <w:sz w:val="23"/>
          <w:szCs w:val="23"/>
        </w:rPr>
        <w:tab/>
      </w:r>
      <w:r w:rsidRPr="00A62AA2">
        <w:rPr>
          <w:i/>
          <w:sz w:val="23"/>
          <w:szCs w:val="23"/>
        </w:rPr>
        <w:tab/>
      </w:r>
      <w:r>
        <w:rPr>
          <w:i/>
          <w:sz w:val="23"/>
          <w:szCs w:val="23"/>
          <w:rtl/>
        </w:rPr>
        <w:tab/>
      </w:r>
      <w:r>
        <w:rPr>
          <w:i/>
          <w:sz w:val="23"/>
          <w:szCs w:val="23"/>
          <w:rtl/>
        </w:rPr>
        <w:tab/>
      </w:r>
      <w:r w:rsidRPr="00A62AA2">
        <w:rPr>
          <w:i/>
          <w:sz w:val="23"/>
          <w:szCs w:val="23"/>
        </w:rPr>
        <w:tab/>
      </w:r>
      <w:r w:rsidRPr="00A62AA2">
        <w:rPr>
          <w:rFonts w:hint="cs"/>
          <w:i/>
          <w:sz w:val="23"/>
          <w:szCs w:val="23"/>
          <w:rtl/>
        </w:rPr>
        <w:tab/>
      </w:r>
      <w:r w:rsidRPr="00A62AA2">
        <w:rPr>
          <w:i/>
          <w:sz w:val="23"/>
          <w:szCs w:val="23"/>
        </w:rPr>
        <w:tab/>
      </w:r>
      <w:r w:rsidRPr="00A62AA2">
        <w:rPr>
          <w:rFonts w:hint="cs"/>
          <w:i/>
          <w:sz w:val="23"/>
          <w:szCs w:val="23"/>
          <w:rtl/>
        </w:rPr>
        <w:t>(۱۳. ۱۴)</w:t>
      </w:r>
      <w:r w:rsidRPr="00A62AA2">
        <w:rPr>
          <w:i/>
          <w:sz w:val="23"/>
          <w:szCs w:val="23"/>
        </w:rPr>
        <w:t xml:space="preserve"> </w:t>
      </w:r>
    </w:p>
    <w:p w14:paraId="3BCC631B"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اگر برای کلیه</w:t>
      </w:r>
      <w:r w:rsidRPr="00A62AA2">
        <w:rPr>
          <w:rFonts w:hint="cs"/>
          <w:i/>
          <w:sz w:val="23"/>
          <w:szCs w:val="23"/>
          <w:rtl/>
        </w:rPr>
        <w:softHyphen/>
        <w:t xml:space="preserve">ی </w:t>
      </w:r>
      <w:proofErr w:type="spellStart"/>
      <w:r w:rsidRPr="00A62AA2">
        <w:rPr>
          <w:i/>
          <w:sz w:val="23"/>
          <w:szCs w:val="23"/>
        </w:rPr>
        <w:t>i</w:t>
      </w:r>
      <w:proofErr w:type="spellEnd"/>
      <w:r w:rsidRPr="00A62AA2">
        <w:rPr>
          <w:rFonts w:hint="cs"/>
          <w:i/>
          <w:sz w:val="23"/>
          <w:szCs w:val="23"/>
          <w:rtl/>
        </w:rPr>
        <w:t>ها</w:t>
      </w:r>
      <w:r w:rsidRPr="00A62AA2">
        <w:rPr>
          <w:position w:val="-10"/>
        </w:rPr>
        <w:object w:dxaOrig="780" w:dyaOrig="320" w14:anchorId="3F4F45A6">
          <v:shape id="_x0000_i6305" type="#_x0000_t75" style="width:39.35pt;height:15.75pt" o:ole="">
            <v:imagedata r:id="rId10648" o:title=""/>
          </v:shape>
          <o:OLEObject Type="Embed" ProgID="Equation.DSMT4" ShapeID="_x0000_i6305" DrawAspect="Content" ObjectID="_1791380249" r:id="rId10649"/>
        </w:object>
      </w:r>
      <w:r w:rsidRPr="00A62AA2">
        <w:rPr>
          <w:rFonts w:hint="cs"/>
          <w:i/>
          <w:sz w:val="23"/>
          <w:szCs w:val="23"/>
          <w:rtl/>
        </w:rPr>
        <w:t xml:space="preserve"> باشد، آنگاه </w:t>
      </w:r>
      <w:r w:rsidRPr="00A62AA2">
        <w:rPr>
          <w:position w:val="-10"/>
        </w:rPr>
        <w:object w:dxaOrig="560" w:dyaOrig="320" w14:anchorId="5F2FD389">
          <v:shape id="_x0000_i6306" type="#_x0000_t75" style="width:27.85pt;height:15.75pt" o:ole="">
            <v:imagedata r:id="rId10650" o:title=""/>
          </v:shape>
          <o:OLEObject Type="Embed" ProgID="Equation.DSMT4" ShapeID="_x0000_i6306" DrawAspect="Content" ObjectID="_1791380250" r:id="rId10651"/>
        </w:object>
      </w:r>
      <w:r w:rsidRPr="00A62AA2">
        <w:rPr>
          <w:rFonts w:hint="cs"/>
          <w:i/>
          <w:sz w:val="23"/>
          <w:szCs w:val="23"/>
          <w:rtl/>
        </w:rPr>
        <w:t xml:space="preserve"> خواهد بود</w:t>
      </w:r>
      <w:r w:rsidRPr="00A62AA2">
        <w:rPr>
          <w:i/>
          <w:sz w:val="23"/>
          <w:szCs w:val="23"/>
        </w:rPr>
        <w:t>.</w:t>
      </w:r>
      <w:r w:rsidRPr="00A62AA2">
        <w:rPr>
          <w:rFonts w:hint="cs"/>
          <w:i/>
          <w:sz w:val="23"/>
          <w:szCs w:val="23"/>
          <w:rtl/>
        </w:rPr>
        <w:t xml:space="preserve"> اکنون یک افزایش غیرمنتظره</w:t>
      </w:r>
      <w:r w:rsidRPr="00A62AA2">
        <w:rPr>
          <w:rFonts w:hint="cs"/>
          <w:i/>
          <w:sz w:val="23"/>
          <w:szCs w:val="23"/>
          <w:rtl/>
        </w:rPr>
        <w:softHyphen/>
        <w:t>ی یک دوره‌ای در</w:t>
      </w:r>
      <w:r w:rsidRPr="00A62AA2">
        <w:rPr>
          <w:position w:val="-10"/>
        </w:rPr>
        <w:object w:dxaOrig="300" w:dyaOrig="320" w14:anchorId="48D30DA1">
          <v:shape id="_x0000_i6307" type="#_x0000_t75" style="width:14.5pt;height:15.75pt" o:ole="">
            <v:imagedata r:id="rId10652" o:title=""/>
          </v:shape>
          <o:OLEObject Type="Embed" ProgID="Equation.DSMT4" ShapeID="_x0000_i6307" DrawAspect="Content" ObjectID="_1791380251" r:id="rId10653"/>
        </w:object>
      </w:r>
      <w:r w:rsidRPr="00A62AA2">
        <w:rPr>
          <w:rFonts w:hint="cs"/>
          <w:i/>
          <w:sz w:val="23"/>
          <w:szCs w:val="23"/>
          <w:vertAlign w:val="subscript"/>
          <w:rtl/>
        </w:rPr>
        <w:t xml:space="preserve"> </w:t>
      </w:r>
      <w:r w:rsidRPr="00A62AA2">
        <w:rPr>
          <w:rFonts w:hint="cs"/>
          <w:i/>
          <w:sz w:val="23"/>
          <w:szCs w:val="23"/>
          <w:rtl/>
        </w:rPr>
        <w:t xml:space="preserve">از صفر تا </w:t>
      </w:r>
      <w:r w:rsidRPr="00A62AA2">
        <w:rPr>
          <w:position w:val="-6"/>
        </w:rPr>
        <w:object w:dxaOrig="600" w:dyaOrig="260" w14:anchorId="63BEB1AD">
          <v:shape id="_x0000_i6308" type="#_x0000_t75" style="width:29.65pt;height:13.3pt" o:ole="">
            <v:imagedata r:id="rId10654" o:title=""/>
          </v:shape>
          <o:OLEObject Type="Embed" ProgID="Equation.DSMT4" ShapeID="_x0000_i6308" DrawAspect="Content" ObjectID="_1791380252" r:id="rId10655"/>
        </w:object>
      </w:r>
      <w:r w:rsidRPr="00A62AA2">
        <w:rPr>
          <w:rFonts w:hint="cs"/>
          <w:i/>
          <w:sz w:val="23"/>
          <w:szCs w:val="23"/>
          <w:rtl/>
        </w:rPr>
        <w:t xml:space="preserve"> را در نظر بگیرید. در این</w:t>
      </w:r>
      <w:r w:rsidRPr="00A62AA2">
        <w:rPr>
          <w:rFonts w:hint="cs"/>
          <w:i/>
          <w:sz w:val="23"/>
          <w:szCs w:val="23"/>
          <w:rtl/>
        </w:rPr>
        <w:softHyphen/>
        <w:t xml:space="preserve">صورت </w:t>
      </w:r>
      <w:r w:rsidRPr="00A62AA2">
        <w:rPr>
          <w:position w:val="-22"/>
        </w:rPr>
        <w:object w:dxaOrig="1440" w:dyaOrig="560" w14:anchorId="25B33209">
          <v:shape id="_x0000_i6309" type="#_x0000_t75" style="width:1in;height:27.85pt" o:ole="">
            <v:imagedata r:id="rId10656" o:title=""/>
          </v:shape>
          <o:OLEObject Type="Embed" ProgID="Equation.DSMT4" ShapeID="_x0000_i6309" DrawAspect="Content" ObjectID="_1791380253" r:id="rId10657"/>
        </w:object>
      </w:r>
      <w:r w:rsidRPr="00A62AA2">
        <w:rPr>
          <w:i/>
          <w:sz w:val="23"/>
          <w:szCs w:val="23"/>
          <w:rtl/>
        </w:rPr>
        <w:t xml:space="preserve"> </w:t>
      </w:r>
      <w:r w:rsidRPr="00A62AA2">
        <w:rPr>
          <w:rFonts w:hint="cs"/>
          <w:i/>
          <w:sz w:val="23"/>
          <w:szCs w:val="23"/>
          <w:rtl/>
        </w:rPr>
        <w:t>است</w:t>
      </w:r>
      <w:r w:rsidRPr="00A62AA2">
        <w:rPr>
          <w:i/>
          <w:sz w:val="23"/>
          <w:szCs w:val="23"/>
          <w:rtl/>
        </w:rPr>
        <w:t xml:space="preserve"> و </w:t>
      </w:r>
      <w:r w:rsidRPr="00A62AA2">
        <w:rPr>
          <w:rFonts w:hint="cs"/>
          <w:i/>
          <w:sz w:val="23"/>
          <w:szCs w:val="23"/>
          <w:rtl/>
        </w:rPr>
        <w:t>کاهش ارزش پول داخلی لحظه</w:t>
      </w:r>
      <w:r w:rsidRPr="00A62AA2">
        <w:rPr>
          <w:rFonts w:hint="cs"/>
          <w:i/>
          <w:sz w:val="23"/>
          <w:szCs w:val="23"/>
          <w:rtl/>
        </w:rPr>
        <w:softHyphen/>
        <w:t>ای را خواهیم داشت. همان</w:t>
      </w:r>
      <w:r w:rsidRPr="00A62AA2">
        <w:rPr>
          <w:rFonts w:hint="cs"/>
          <w:i/>
          <w:sz w:val="23"/>
          <w:szCs w:val="23"/>
          <w:rtl/>
        </w:rPr>
        <w:softHyphen/>
        <w:t>گونه که نرخ ارز به سطح اولیه در دوره بعد برمی</w:t>
      </w:r>
      <w:r w:rsidRPr="00A62AA2">
        <w:rPr>
          <w:rFonts w:hint="cs"/>
          <w:i/>
          <w:sz w:val="23"/>
          <w:szCs w:val="23"/>
          <w:rtl/>
        </w:rPr>
        <w:softHyphen/>
        <w:t xml:space="preserve">گردد، آنگاه برای هر </w:t>
      </w:r>
      <w:r w:rsidRPr="00A62AA2">
        <w:rPr>
          <w:position w:val="-6"/>
        </w:rPr>
        <w:object w:dxaOrig="480" w:dyaOrig="260" w14:anchorId="6693443B">
          <v:shape id="_x0000_i6310" type="#_x0000_t75" style="width:24.2pt;height:13.3pt" o:ole="">
            <v:imagedata r:id="rId10658" o:title=""/>
          </v:shape>
          <o:OLEObject Type="Embed" ProgID="Equation.DSMT4" ShapeID="_x0000_i6310" DrawAspect="Content" ObjectID="_1791380254" r:id="rId10659"/>
        </w:object>
      </w:r>
      <w:r w:rsidRPr="00A62AA2">
        <w:rPr>
          <w:rFonts w:hint="cs"/>
          <w:i/>
          <w:sz w:val="23"/>
          <w:szCs w:val="23"/>
          <w:rtl/>
        </w:rPr>
        <w:t xml:space="preserve"> خواهیم داشت</w:t>
      </w:r>
      <w:r w:rsidRPr="00A62AA2">
        <w:rPr>
          <w:position w:val="-10"/>
        </w:rPr>
        <w:object w:dxaOrig="700" w:dyaOrig="320" w14:anchorId="3AAD77C8">
          <v:shape id="_x0000_i6311" type="#_x0000_t75" style="width:35.1pt;height:15.75pt" o:ole="">
            <v:imagedata r:id="rId10660" o:title=""/>
          </v:shape>
          <o:OLEObject Type="Embed" ProgID="Equation.DSMT4" ShapeID="_x0000_i6311" DrawAspect="Content" ObjectID="_1791380255" r:id="rId10661"/>
        </w:object>
      </w:r>
      <w:r w:rsidRPr="00A62AA2">
        <w:rPr>
          <w:i/>
          <w:sz w:val="23"/>
          <w:szCs w:val="23"/>
          <w:rtl/>
        </w:rPr>
        <w:t>.</w:t>
      </w:r>
      <w:r w:rsidRPr="00A62AA2">
        <w:rPr>
          <w:rFonts w:hint="cs"/>
          <w:i/>
          <w:sz w:val="23"/>
          <w:szCs w:val="23"/>
          <w:rtl/>
        </w:rPr>
        <w:t xml:space="preserve"> </w:t>
      </w:r>
    </w:p>
    <w:p w14:paraId="2B02DB73" w14:textId="77777777" w:rsidR="00556C10" w:rsidRPr="00A62AA2" w:rsidRDefault="00556C10" w:rsidP="00556C10">
      <w:pPr>
        <w:tabs>
          <w:tab w:val="right" w:pos="-83"/>
          <w:tab w:val="right" w:pos="7"/>
        </w:tabs>
        <w:bidi w:val="0"/>
        <w:spacing w:line="216" w:lineRule="auto"/>
        <w:rPr>
          <w:i/>
          <w:sz w:val="23"/>
          <w:szCs w:val="23"/>
          <w:rtl/>
        </w:rPr>
      </w:pPr>
      <w:r w:rsidRPr="00A62AA2">
        <w:rPr>
          <w:position w:val="-22"/>
        </w:rPr>
        <w:object w:dxaOrig="2280" w:dyaOrig="560" w14:anchorId="2BD90029">
          <v:shape id="_x0000_i6312" type="#_x0000_t75" style="width:113.75pt;height:27.85pt" o:ole="">
            <v:imagedata r:id="rId10662" o:title=""/>
          </v:shape>
          <o:OLEObject Type="Embed" ProgID="Equation.DSMT4" ShapeID="_x0000_i6312" DrawAspect="Content" ObjectID="_1791380256" r:id="rId10663"/>
        </w:object>
      </w:r>
    </w:p>
    <w:p w14:paraId="27A9A00C"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بنابراین انتظار</w:t>
      </w:r>
      <w:r w:rsidRPr="00A62AA2">
        <w:rPr>
          <w:i/>
          <w:sz w:val="23"/>
          <w:szCs w:val="23"/>
        </w:rPr>
        <w:t xml:space="preserve"> </w:t>
      </w:r>
      <w:r w:rsidRPr="00A62AA2">
        <w:rPr>
          <w:rFonts w:hint="cs"/>
          <w:i/>
          <w:sz w:val="23"/>
          <w:szCs w:val="23"/>
          <w:rtl/>
        </w:rPr>
        <w:t>افزایش ارزش پول داخلی بین زمان</w:t>
      </w:r>
      <w:r w:rsidRPr="00A62AA2">
        <w:rPr>
          <w:position w:val="-6"/>
        </w:rPr>
        <w:object w:dxaOrig="139" w:dyaOrig="240" w14:anchorId="3EE7E9D4">
          <v:shape id="_x0000_i6313" type="#_x0000_t75" style="width:6.65pt;height:11.5pt" o:ole="">
            <v:imagedata r:id="rId10664" o:title=""/>
          </v:shape>
          <o:OLEObject Type="Embed" ProgID="Equation.DSMT4" ShapeID="_x0000_i6313" DrawAspect="Content" ObjectID="_1791380257" r:id="rId10665"/>
        </w:object>
      </w:r>
      <w:r w:rsidRPr="00A62AA2">
        <w:rPr>
          <w:i/>
          <w:sz w:val="23"/>
          <w:szCs w:val="23"/>
        </w:rPr>
        <w:t xml:space="preserve"> </w:t>
      </w:r>
      <w:r w:rsidRPr="00A62AA2">
        <w:rPr>
          <w:rFonts w:hint="cs"/>
          <w:i/>
          <w:sz w:val="23"/>
          <w:szCs w:val="23"/>
          <w:rtl/>
        </w:rPr>
        <w:t xml:space="preserve">و </w:t>
      </w:r>
      <w:r w:rsidRPr="00A62AA2">
        <w:rPr>
          <w:position w:val="-6"/>
        </w:rPr>
        <w:object w:dxaOrig="440" w:dyaOrig="260" w14:anchorId="6202480D">
          <v:shape id="_x0000_i6314" type="#_x0000_t75" style="width:21.8pt;height:13.3pt" o:ole="">
            <v:imagedata r:id="rId10666" o:title=""/>
          </v:shape>
          <o:OLEObject Type="Embed" ProgID="Equation.DSMT4" ShapeID="_x0000_i6314" DrawAspect="Content" ObjectID="_1791380258" r:id="rId10667"/>
        </w:object>
      </w:r>
      <w:r w:rsidRPr="00A62AA2">
        <w:rPr>
          <w:rFonts w:hint="cs"/>
          <w:i/>
          <w:sz w:val="23"/>
          <w:szCs w:val="23"/>
          <w:rtl/>
        </w:rPr>
        <w:t xml:space="preserve"> وجود خواهد داشت که شرط</w:t>
      </w:r>
      <w:r w:rsidRPr="00A62AA2">
        <w:rPr>
          <w:position w:val="-6"/>
        </w:rPr>
        <w:object w:dxaOrig="460" w:dyaOrig="260" w14:anchorId="0C92F2FE">
          <v:shape id="_x0000_i6315" type="#_x0000_t75" style="width:23pt;height:13.3pt" o:ole="">
            <v:imagedata r:id="rId10668" o:title=""/>
          </v:shape>
          <o:OLEObject Type="Embed" ProgID="Equation.DSMT4" ShapeID="_x0000_i6315" DrawAspect="Content" ObjectID="_1791380259" r:id="rId10669"/>
        </w:object>
      </w:r>
      <w:r w:rsidRPr="00A62AA2">
        <w:rPr>
          <w:rFonts w:hint="cs"/>
          <w:i/>
          <w:sz w:val="23"/>
          <w:szCs w:val="23"/>
          <w:rtl/>
        </w:rPr>
        <w:t xml:space="preserve"> را حفظ خواهد کرد. </w:t>
      </w:r>
    </w:p>
    <w:p w14:paraId="316DBAF6"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اکنون فرض کنید که انتظار می‌رود موجودی پول داخلی در زمان</w:t>
      </w:r>
      <w:r w:rsidRPr="00A62AA2">
        <w:rPr>
          <w:position w:val="-6"/>
        </w:rPr>
        <w:object w:dxaOrig="440" w:dyaOrig="260" w14:anchorId="7C80ACB2">
          <v:shape id="_x0000_i6316" type="#_x0000_t75" style="width:21.8pt;height:13.3pt" o:ole="">
            <v:imagedata r:id="rId10670" o:title=""/>
          </v:shape>
          <o:OLEObject Type="Embed" ProgID="Equation.DSMT4" ShapeID="_x0000_i6316" DrawAspect="Content" ObjectID="_1791380260" r:id="rId10671"/>
        </w:object>
      </w:r>
      <w:r w:rsidRPr="00A62AA2">
        <w:rPr>
          <w:rFonts w:hint="cs"/>
          <w:i/>
          <w:sz w:val="23"/>
          <w:szCs w:val="23"/>
          <w:rtl/>
        </w:rPr>
        <w:t>، احتمالاً از طریق اعلام مقامات پولی افزایش یابد، و این خبر مورد وثوق بازار باشد. همچنین برای سهولت، فرض کنید برای</w:t>
      </w:r>
      <w:r w:rsidRPr="00A62AA2">
        <w:rPr>
          <w:i/>
          <w:sz w:val="23"/>
          <w:szCs w:val="23"/>
        </w:rPr>
        <w:t xml:space="preserve"> </w:t>
      </w:r>
      <w:r w:rsidRPr="00A62AA2">
        <w:rPr>
          <w:rFonts w:hint="cs"/>
          <w:i/>
          <w:sz w:val="23"/>
          <w:szCs w:val="23"/>
          <w:rtl/>
        </w:rPr>
        <w:t xml:space="preserve">کلیه‌ی </w:t>
      </w:r>
      <w:r w:rsidRPr="00A62AA2">
        <w:rPr>
          <w:position w:val="-6"/>
        </w:rPr>
        <w:object w:dxaOrig="480" w:dyaOrig="260" w14:anchorId="6F6E323B">
          <v:shape id="_x0000_i6317" type="#_x0000_t75" style="width:24.2pt;height:13.3pt" o:ole="">
            <v:imagedata r:id="rId10672" o:title=""/>
          </v:shape>
          <o:OLEObject Type="Embed" ProgID="Equation.DSMT4" ShapeID="_x0000_i6317" DrawAspect="Content" ObjectID="_1791380261" r:id="rId10673"/>
        </w:object>
      </w:r>
      <w:r w:rsidRPr="00A62AA2">
        <w:rPr>
          <w:rFonts w:hint="cs"/>
          <w:i/>
          <w:sz w:val="23"/>
          <w:szCs w:val="23"/>
          <w:rtl/>
        </w:rPr>
        <w:t xml:space="preserve">داریم </w:t>
      </w:r>
      <w:r w:rsidRPr="00A62AA2">
        <w:rPr>
          <w:position w:val="-10"/>
        </w:rPr>
        <w:object w:dxaOrig="1840" w:dyaOrig="340" w14:anchorId="7189EE27">
          <v:shape id="_x0000_i6318" type="#_x0000_t75" style="width:91.95pt;height:16.95pt" o:ole="">
            <v:imagedata r:id="rId10674" o:title=""/>
          </v:shape>
          <o:OLEObject Type="Embed" ProgID="Equation.DSMT4" ShapeID="_x0000_i6318" DrawAspect="Content" ObjectID="_1791380262" r:id="rId10675"/>
        </w:object>
      </w:r>
      <w:r w:rsidRPr="00A62AA2">
        <w:rPr>
          <w:rFonts w:hint="cs"/>
          <w:i/>
          <w:sz w:val="23"/>
          <w:szCs w:val="23"/>
          <w:rtl/>
        </w:rPr>
        <w:t>. اکنون تغییرات موقتی و دائمی را با استفاده از معادله‌ی (۱۳. ۱۴) مورد بررسی قرار می‌دهیم.</w:t>
      </w:r>
    </w:p>
    <w:p w14:paraId="59AA3799" w14:textId="77777777" w:rsidR="00556C10" w:rsidRPr="00A62AA2" w:rsidRDefault="00556C10" w:rsidP="00556C10">
      <w:pPr>
        <w:tabs>
          <w:tab w:val="right" w:pos="-83"/>
          <w:tab w:val="right" w:pos="7"/>
        </w:tabs>
        <w:spacing w:line="216" w:lineRule="auto"/>
        <w:rPr>
          <w:i/>
          <w:sz w:val="23"/>
          <w:szCs w:val="23"/>
          <w:rtl/>
        </w:rPr>
      </w:pPr>
    </w:p>
    <w:p w14:paraId="7223C651" w14:textId="77777777" w:rsidR="00556C10" w:rsidRPr="00A62AA2" w:rsidRDefault="00556C10" w:rsidP="00556C10">
      <w:pPr>
        <w:tabs>
          <w:tab w:val="right" w:pos="-83"/>
          <w:tab w:val="right" w:pos="7"/>
        </w:tabs>
        <w:spacing w:line="216" w:lineRule="auto"/>
        <w:rPr>
          <w:bCs/>
          <w:i/>
          <w:sz w:val="23"/>
          <w:szCs w:val="23"/>
          <w:rtl/>
        </w:rPr>
      </w:pPr>
      <w:r w:rsidRPr="00A62AA2">
        <w:rPr>
          <w:rFonts w:hint="cs"/>
          <w:bCs/>
          <w:i/>
          <w:sz w:val="23"/>
          <w:szCs w:val="23"/>
          <w:rtl/>
        </w:rPr>
        <w:t>یک تغییر موقتی</w:t>
      </w:r>
    </w:p>
    <w:p w14:paraId="617BF42E"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 xml:space="preserve">فرض کنید </w:t>
      </w:r>
      <w:r w:rsidRPr="00A62AA2">
        <w:rPr>
          <w:position w:val="-10"/>
        </w:rPr>
        <w:object w:dxaOrig="420" w:dyaOrig="320" w14:anchorId="53823D96">
          <v:shape id="_x0000_i6319" type="#_x0000_t75" style="width:21.2pt;height:15.75pt" o:ole="">
            <v:imagedata r:id="rId10676" o:title=""/>
          </v:shape>
          <o:OLEObject Type="Embed" ProgID="Equation.DSMT4" ShapeID="_x0000_i6319" DrawAspect="Content" ObjectID="_1791380263" r:id="rId10677"/>
        </w:object>
      </w:r>
      <w:r w:rsidRPr="00A62AA2">
        <w:rPr>
          <w:rFonts w:hint="cs"/>
          <w:i/>
          <w:sz w:val="23"/>
          <w:szCs w:val="23"/>
          <w:rtl/>
        </w:rPr>
        <w:t xml:space="preserve"> برای کلیه</w:t>
      </w:r>
      <w:r w:rsidRPr="00A62AA2">
        <w:rPr>
          <w:rFonts w:hint="cs"/>
          <w:i/>
          <w:sz w:val="23"/>
          <w:szCs w:val="23"/>
          <w:rtl/>
        </w:rPr>
        <w:softHyphen/>
        <w:t xml:space="preserve">ی </w:t>
      </w:r>
      <w:r w:rsidRPr="00A62AA2">
        <w:rPr>
          <w:position w:val="-6"/>
        </w:rPr>
        <w:object w:dxaOrig="480" w:dyaOrig="260" w14:anchorId="4681813A">
          <v:shape id="_x0000_i6320" type="#_x0000_t75" style="width:24.2pt;height:13.3pt" o:ole="">
            <v:imagedata r:id="rId10678" o:title=""/>
          </v:shape>
          <o:OLEObject Type="Embed" ProgID="Equation.DSMT4" ShapeID="_x0000_i6320" DrawAspect="Content" ObjectID="_1791380264" r:id="rId10679"/>
        </w:object>
      </w:r>
      <w:r w:rsidRPr="00A62AA2">
        <w:rPr>
          <w:rFonts w:hint="cs"/>
          <w:i/>
          <w:sz w:val="23"/>
          <w:szCs w:val="23"/>
          <w:rtl/>
        </w:rPr>
        <w:t xml:space="preserve"> برابر صفر، و تنها </w:t>
      </w:r>
      <w:r w:rsidRPr="00A62AA2">
        <w:rPr>
          <w:position w:val="-10"/>
        </w:rPr>
        <w:object w:dxaOrig="1200" w:dyaOrig="320" w14:anchorId="714770D3">
          <v:shape id="_x0000_i6321" type="#_x0000_t75" style="width:59.9pt;height:15.75pt" o:ole="">
            <v:imagedata r:id="rId10680" o:title=""/>
          </v:shape>
          <o:OLEObject Type="Embed" ProgID="Equation.DSMT4" ShapeID="_x0000_i6321" DrawAspect="Content" ObjectID="_1791380265" r:id="rId10681"/>
        </w:object>
      </w:r>
      <w:r w:rsidRPr="00A62AA2">
        <w:rPr>
          <w:rFonts w:hint="cs"/>
          <w:i/>
          <w:sz w:val="23"/>
          <w:szCs w:val="23"/>
          <w:rtl/>
        </w:rPr>
        <w:t>باشد، آنگاه</w:t>
      </w:r>
    </w:p>
    <w:p w14:paraId="6B537222" w14:textId="77777777" w:rsidR="00556C10" w:rsidRPr="00A62AA2" w:rsidRDefault="00556C10" w:rsidP="00556C10">
      <w:pPr>
        <w:tabs>
          <w:tab w:val="right" w:pos="-83"/>
          <w:tab w:val="right" w:pos="7"/>
        </w:tabs>
        <w:bidi w:val="0"/>
        <w:spacing w:line="216" w:lineRule="auto"/>
        <w:rPr>
          <w:i/>
          <w:sz w:val="23"/>
          <w:szCs w:val="23"/>
          <w:rtl/>
        </w:rPr>
      </w:pPr>
      <w:r w:rsidRPr="00A62AA2">
        <w:rPr>
          <w:position w:val="-34"/>
        </w:rPr>
        <w:object w:dxaOrig="3280" w:dyaOrig="680" w14:anchorId="5CC037ED">
          <v:shape id="_x0000_i6322" type="#_x0000_t75" style="width:163.95pt;height:33.9pt" o:ole="">
            <v:imagedata r:id="rId10682" o:title=""/>
          </v:shape>
          <o:OLEObject Type="Embed" ProgID="Equation.DSMT4" ShapeID="_x0000_i6322" DrawAspect="Content" ObjectID="_1791380266" r:id="rId10683"/>
        </w:object>
      </w:r>
    </w:p>
    <w:p w14:paraId="7B4E71FE" w14:textId="77777777" w:rsidR="00556C10" w:rsidRPr="00A62AA2" w:rsidRDefault="00556C10" w:rsidP="00556C10">
      <w:pPr>
        <w:tabs>
          <w:tab w:val="right" w:pos="-83"/>
          <w:tab w:val="right" w:pos="7"/>
        </w:tabs>
        <w:bidi w:val="0"/>
        <w:spacing w:line="216" w:lineRule="auto"/>
        <w:rPr>
          <w:i/>
          <w:sz w:val="23"/>
          <w:szCs w:val="23"/>
        </w:rPr>
      </w:pPr>
      <w:r w:rsidRPr="00A62AA2">
        <w:rPr>
          <w:position w:val="-34"/>
        </w:rPr>
        <w:object w:dxaOrig="3560" w:dyaOrig="680" w14:anchorId="552E60E1">
          <v:shape id="_x0000_i6323" type="#_x0000_t75" style="width:177.9pt;height:33.9pt" o:ole="">
            <v:imagedata r:id="rId10684" o:title=""/>
          </v:shape>
          <o:OLEObject Type="Embed" ProgID="Equation.DSMT4" ShapeID="_x0000_i6323" DrawAspect="Content" ObjectID="_1791380267" r:id="rId10685"/>
        </w:object>
      </w:r>
    </w:p>
    <w:p w14:paraId="0B780FFE" w14:textId="77777777" w:rsidR="00556C10" w:rsidRPr="00A62AA2" w:rsidRDefault="00556C10" w:rsidP="00556C10">
      <w:pPr>
        <w:tabs>
          <w:tab w:val="right" w:pos="-83"/>
          <w:tab w:val="right" w:pos="7"/>
        </w:tabs>
        <w:bidi w:val="0"/>
        <w:spacing w:line="216" w:lineRule="auto"/>
        <w:rPr>
          <w:i/>
          <w:sz w:val="23"/>
          <w:szCs w:val="23"/>
        </w:rPr>
      </w:pPr>
      <w:r w:rsidRPr="00A62AA2">
        <w:rPr>
          <w:position w:val="-10"/>
        </w:rPr>
        <w:object w:dxaOrig="1680" w:dyaOrig="320" w14:anchorId="6F477326">
          <v:shape id="_x0000_i6324" type="#_x0000_t75" style="width:84.1pt;height:15.75pt" o:ole="">
            <v:imagedata r:id="rId10686" o:title=""/>
          </v:shape>
          <o:OLEObject Type="Embed" ProgID="Equation.DSMT4" ShapeID="_x0000_i6324" DrawAspect="Content" ObjectID="_1791380268" r:id="rId10687"/>
        </w:object>
      </w:r>
    </w:p>
    <w:p w14:paraId="180A3A59"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 xml:space="preserve">و بنابراین </w:t>
      </w:r>
    </w:p>
    <w:p w14:paraId="5B6D2F36" w14:textId="77777777" w:rsidR="00556C10" w:rsidRPr="00A62AA2" w:rsidRDefault="00556C10" w:rsidP="00556C10">
      <w:pPr>
        <w:tabs>
          <w:tab w:val="right" w:pos="-83"/>
          <w:tab w:val="right" w:pos="7"/>
        </w:tabs>
        <w:bidi w:val="0"/>
        <w:spacing w:line="216" w:lineRule="auto"/>
        <w:rPr>
          <w:i/>
          <w:sz w:val="23"/>
          <w:szCs w:val="23"/>
        </w:rPr>
      </w:pPr>
      <w:r w:rsidRPr="00A62AA2">
        <w:rPr>
          <w:position w:val="-34"/>
        </w:rPr>
        <w:object w:dxaOrig="2960" w:dyaOrig="680" w14:anchorId="231969B9">
          <v:shape id="_x0000_i6325" type="#_x0000_t75" style="width:147.65pt;height:33.9pt" o:ole="">
            <v:imagedata r:id="rId10688" o:title=""/>
          </v:shape>
          <o:OLEObject Type="Embed" ProgID="Equation.DSMT4" ShapeID="_x0000_i6325" DrawAspect="Content" ObjectID="_1791380269" r:id="rId10689"/>
        </w:object>
      </w:r>
    </w:p>
    <w:p w14:paraId="06B92461"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در نتیجه اعلام قابل قبول و موثق افزایش موقتی عرضه</w:t>
      </w:r>
      <w:r w:rsidRPr="00A62AA2">
        <w:rPr>
          <w:rFonts w:hint="cs"/>
          <w:i/>
          <w:sz w:val="23"/>
          <w:szCs w:val="23"/>
          <w:rtl/>
        </w:rPr>
        <w:softHyphen/>
        <w:t>ی پول در زمان</w:t>
      </w:r>
      <w:r w:rsidRPr="00A62AA2">
        <w:rPr>
          <w:position w:val="-6"/>
        </w:rPr>
        <w:object w:dxaOrig="440" w:dyaOrig="260" w14:anchorId="20F9ADDC">
          <v:shape id="_x0000_i6326" type="#_x0000_t75" style="width:21.8pt;height:13.3pt" o:ole="">
            <v:imagedata r:id="rId10690" o:title=""/>
          </v:shape>
          <o:OLEObject Type="Embed" ProgID="Equation.DSMT4" ShapeID="_x0000_i6326" DrawAspect="Content" ObjectID="_1791380270" r:id="rId10691"/>
        </w:object>
      </w:r>
      <w:r w:rsidRPr="00A62AA2">
        <w:rPr>
          <w:i/>
          <w:sz w:val="23"/>
          <w:szCs w:val="23"/>
        </w:rPr>
        <w:t xml:space="preserve"> </w:t>
      </w:r>
      <w:r w:rsidRPr="00A62AA2">
        <w:rPr>
          <w:rFonts w:hint="cs"/>
          <w:i/>
          <w:sz w:val="23"/>
          <w:szCs w:val="23"/>
          <w:rtl/>
        </w:rPr>
        <w:t>باعث کاهش ارزش پول داخلی در زمان</w:t>
      </w:r>
      <w:r w:rsidRPr="00A62AA2">
        <w:rPr>
          <w:position w:val="-6"/>
        </w:rPr>
        <w:object w:dxaOrig="139" w:dyaOrig="240" w14:anchorId="258F879F">
          <v:shape id="_x0000_i6327" type="#_x0000_t75" style="width:6.65pt;height:11.5pt" o:ole="">
            <v:imagedata r:id="rId10692" o:title=""/>
          </v:shape>
          <o:OLEObject Type="Embed" ProgID="Equation.DSMT4" ShapeID="_x0000_i6327" DrawAspect="Content" ObjectID="_1791380271" r:id="rId10693"/>
        </w:object>
      </w:r>
      <w:r w:rsidRPr="00A62AA2">
        <w:rPr>
          <w:rFonts w:hint="cs"/>
          <w:i/>
          <w:sz w:val="23"/>
          <w:szCs w:val="23"/>
          <w:rtl/>
        </w:rPr>
        <w:t xml:space="preserve"> قبل از هر تغییر واقعی در عرضه‌ی پول خواهد شد. هنگامی که در زمان </w:t>
      </w:r>
      <w:r w:rsidRPr="00A62AA2">
        <w:rPr>
          <w:position w:val="-6"/>
        </w:rPr>
        <w:object w:dxaOrig="440" w:dyaOrig="260" w14:anchorId="0E52A92B">
          <v:shape id="_x0000_i6328" type="#_x0000_t75" style="width:21.8pt;height:13.3pt" o:ole="">
            <v:imagedata r:id="rId10694" o:title=""/>
          </v:shape>
          <o:OLEObject Type="Embed" ProgID="Equation.DSMT4" ShapeID="_x0000_i6328" DrawAspect="Content" ObjectID="_1791380272" r:id="rId10695"/>
        </w:object>
      </w:r>
      <w:r w:rsidRPr="00A62AA2">
        <w:rPr>
          <w:rFonts w:hint="cs"/>
          <w:i/>
          <w:sz w:val="23"/>
          <w:szCs w:val="23"/>
          <w:rtl/>
        </w:rPr>
        <w:t xml:space="preserve"> عرضه‌ی پول واقعاً افزایش می‌یابد، ارزش پول داخلی افزایش می‌یابد. از منظر زمان </w:t>
      </w:r>
      <w:r w:rsidRPr="00A62AA2">
        <w:rPr>
          <w:position w:val="-6"/>
        </w:rPr>
        <w:object w:dxaOrig="440" w:dyaOrig="260" w14:anchorId="14309843">
          <v:shape id="_x0000_i6329" type="#_x0000_t75" style="width:21.8pt;height:13.3pt" o:ole="">
            <v:imagedata r:id="rId10696" o:title=""/>
          </v:shape>
          <o:OLEObject Type="Embed" ProgID="Equation.DSMT4" ShapeID="_x0000_i6329" DrawAspect="Content" ObjectID="_1791380273" r:id="rId10697"/>
        </w:object>
      </w:r>
      <w:r w:rsidRPr="00A62AA2">
        <w:rPr>
          <w:rFonts w:hint="cs"/>
          <w:i/>
          <w:sz w:val="23"/>
          <w:szCs w:val="23"/>
          <w:rtl/>
        </w:rPr>
        <w:t xml:space="preserve"> و در نظر نگرفتن این</w:t>
      </w:r>
      <w:r w:rsidRPr="00A62AA2">
        <w:rPr>
          <w:rFonts w:hint="cs"/>
          <w:i/>
          <w:sz w:val="23"/>
          <w:szCs w:val="23"/>
          <w:rtl/>
        </w:rPr>
        <w:softHyphen/>
        <w:t>که در زمان</w:t>
      </w:r>
      <w:r w:rsidRPr="00A62AA2">
        <w:rPr>
          <w:position w:val="-6"/>
        </w:rPr>
        <w:object w:dxaOrig="139" w:dyaOrig="240" w14:anchorId="274DFA50">
          <v:shape id="_x0000_i6330" type="#_x0000_t75" style="width:6.65pt;height:11.5pt" o:ole="">
            <v:imagedata r:id="rId10698" o:title=""/>
          </v:shape>
          <o:OLEObject Type="Embed" ProgID="Equation.DSMT4" ShapeID="_x0000_i6330" DrawAspect="Content" ObjectID="_1791380274" r:id="rId10699"/>
        </w:object>
      </w:r>
      <w:r w:rsidRPr="00A62AA2">
        <w:rPr>
          <w:rFonts w:hint="cs"/>
          <w:i/>
          <w:sz w:val="23"/>
          <w:szCs w:val="23"/>
          <w:rtl/>
        </w:rPr>
        <w:t xml:space="preserve"> چه اتفاق افتاده و چرا بوقوع پیوسته، نکات فوق بنظر می‌رسد متناقض باشند. در زمان</w:t>
      </w:r>
      <w:r w:rsidRPr="00A62AA2">
        <w:rPr>
          <w:rFonts w:hint="cs"/>
          <w:i/>
          <w:sz w:val="23"/>
          <w:szCs w:val="23"/>
          <w:rtl/>
        </w:rPr>
        <w:softHyphen/>
        <w:t xml:space="preserve">های بعدی نرخ ارز به تعادل اولیه بازخواهد گشت بگونه‌ای که مقدار بلند‌مدت آن متأثر از این وقایع نیست. تبیین این تغییرات متضمن آن است که در تمام زمان‌ها تغییرات انتظاری </w:t>
      </w:r>
      <w:r w:rsidRPr="00A62AA2">
        <w:rPr>
          <w:rFonts w:hint="cs"/>
          <w:i/>
          <w:sz w:val="23"/>
          <w:szCs w:val="23"/>
          <w:rtl/>
        </w:rPr>
        <w:lastRenderedPageBreak/>
        <w:t>نرخ ارز می‌بایست شرط</w:t>
      </w:r>
      <w:r w:rsidRPr="00A62AA2">
        <w:rPr>
          <w:position w:val="-6"/>
        </w:rPr>
        <w:object w:dxaOrig="460" w:dyaOrig="260" w14:anchorId="75889CD6">
          <v:shape id="_x0000_i6331" type="#_x0000_t75" style="width:23pt;height:13.3pt" o:ole="">
            <v:imagedata r:id="rId10700" o:title=""/>
          </v:shape>
          <o:OLEObject Type="Embed" ProgID="Equation.DSMT4" ShapeID="_x0000_i6331" DrawAspect="Content" ObjectID="_1791380275" r:id="rId10701"/>
        </w:object>
      </w:r>
      <w:r w:rsidRPr="00A62AA2">
        <w:rPr>
          <w:rFonts w:hint="cs"/>
          <w:i/>
          <w:sz w:val="23"/>
          <w:szCs w:val="23"/>
          <w:rtl/>
        </w:rPr>
        <w:t xml:space="preserve"> را اقناع کند. این تغییرات نرخ ارز برای</w:t>
      </w:r>
      <w:r w:rsidRPr="00A62AA2">
        <w:rPr>
          <w:position w:val="-6"/>
        </w:rPr>
        <w:object w:dxaOrig="560" w:dyaOrig="260" w14:anchorId="14F5AC6A">
          <v:shape id="_x0000_i6332" type="#_x0000_t75" style="width:27.85pt;height:13.3pt" o:ole="">
            <v:imagedata r:id="rId10702" o:title=""/>
          </v:shape>
          <o:OLEObject Type="Embed" ProgID="Equation.DSMT4" ShapeID="_x0000_i6332" DrawAspect="Content" ObjectID="_1791380276" r:id="rId10703"/>
        </w:object>
      </w:r>
      <w:r w:rsidRPr="00A62AA2">
        <w:rPr>
          <w:i/>
          <w:sz w:val="23"/>
          <w:szCs w:val="23"/>
        </w:rPr>
        <w:t xml:space="preserve"> </w:t>
      </w:r>
      <w:r w:rsidRPr="00A62AA2">
        <w:rPr>
          <w:rFonts w:hint="cs"/>
          <w:i/>
          <w:sz w:val="23"/>
          <w:szCs w:val="23"/>
          <w:rtl/>
        </w:rPr>
        <w:t>در نمودار ۱۳. ۹ نشان داده شده است.</w:t>
      </w:r>
    </w:p>
    <w:p w14:paraId="07B55716" w14:textId="77777777" w:rsidR="00556C10" w:rsidRPr="00A62AA2" w:rsidRDefault="00556C10" w:rsidP="00556C10">
      <w:pPr>
        <w:tabs>
          <w:tab w:val="right" w:pos="-83"/>
          <w:tab w:val="right" w:pos="7"/>
        </w:tabs>
        <w:spacing w:line="216" w:lineRule="auto"/>
        <w:rPr>
          <w:i/>
          <w:sz w:val="23"/>
          <w:szCs w:val="23"/>
          <w:rtl/>
        </w:rPr>
      </w:pPr>
    </w:p>
    <w:p w14:paraId="52DAA329" w14:textId="77777777" w:rsidR="00556C10" w:rsidRPr="00A62AA2" w:rsidRDefault="00556C10" w:rsidP="00556C10">
      <w:pPr>
        <w:tabs>
          <w:tab w:val="right" w:pos="-83"/>
          <w:tab w:val="right" w:pos="7"/>
        </w:tabs>
        <w:spacing w:line="216" w:lineRule="auto"/>
        <w:rPr>
          <w:bCs/>
          <w:i/>
          <w:sz w:val="23"/>
          <w:szCs w:val="23"/>
          <w:rtl/>
        </w:rPr>
      </w:pPr>
      <w:r w:rsidRPr="00A62AA2">
        <w:rPr>
          <w:rFonts w:hint="cs"/>
          <w:bCs/>
          <w:i/>
          <w:sz w:val="23"/>
          <w:szCs w:val="23"/>
          <w:rtl/>
        </w:rPr>
        <w:t xml:space="preserve">سیاست مالی </w:t>
      </w:r>
    </w:p>
    <w:p w14:paraId="28B23044"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متغیرهای مالی صریحاً در مدل پولی وارد نشده</w:t>
      </w:r>
      <w:r w:rsidRPr="00A62AA2">
        <w:rPr>
          <w:rFonts w:hint="cs"/>
          <w:i/>
          <w:sz w:val="23"/>
          <w:szCs w:val="23"/>
          <w:rtl/>
        </w:rPr>
        <w:softHyphen/>
        <w:t xml:space="preserve"> و اثر احتمالی سیاست مالی بر نرخ ارز، از طریق کانال تاثیر آن سیاست بر تولید خواهد بود. از آنجا که در حل نرخ ارز، تولید علامت معکوس در پول دارد، امّا از جهات دیگر اثر مشابه دارد، ممکن است استنباط شود که افزایش در مقدار تولید جاری یا انتظاری بواسطه‌ی سیاست مالی انبساطی، علت افزایش ارزش پول داخلی و یا نرخ ارز لحظه‌ای است.</w:t>
      </w:r>
    </w:p>
    <w:p w14:paraId="56F26869" w14:textId="77777777" w:rsidR="00556C10" w:rsidRPr="00A62AA2" w:rsidRDefault="00556C10" w:rsidP="00556C10">
      <w:pPr>
        <w:tabs>
          <w:tab w:val="right" w:pos="-83"/>
          <w:tab w:val="right" w:pos="7"/>
        </w:tabs>
        <w:spacing w:line="216" w:lineRule="auto"/>
        <w:rPr>
          <w:i/>
          <w:sz w:val="23"/>
          <w:szCs w:val="23"/>
          <w:rtl/>
        </w:rPr>
      </w:pPr>
    </w:p>
    <w:p w14:paraId="2C9C5777" w14:textId="77777777" w:rsidR="00556C10" w:rsidRPr="00A62AA2" w:rsidRDefault="00556C10" w:rsidP="00556C10">
      <w:pPr>
        <w:pStyle w:val="Heading1"/>
        <w:spacing w:before="0" w:line="216" w:lineRule="auto"/>
        <w:rPr>
          <w:rFonts w:ascii="Times New Roman" w:hAnsi="Times New Roman" w:cs="B Nazanin"/>
          <w:b w:val="0"/>
          <w:i/>
          <w:sz w:val="23"/>
          <w:szCs w:val="23"/>
          <w:rtl/>
        </w:rPr>
      </w:pPr>
      <w:r w:rsidRPr="00A62AA2">
        <w:rPr>
          <w:rFonts w:ascii="Times New Roman" w:hAnsi="Times New Roman" w:cs="B Nazanin" w:hint="cs"/>
          <w:b w:val="0"/>
          <w:i/>
          <w:sz w:val="23"/>
          <w:szCs w:val="23"/>
          <w:rtl/>
        </w:rPr>
        <w:t>۱۳. ۷ مدل نرخ ارز دورنبوش</w:t>
      </w:r>
      <w:r w:rsidRPr="00A62AA2">
        <w:rPr>
          <w:rStyle w:val="FootnoteReference"/>
          <w:rFonts w:ascii="Times New Roman" w:hAnsi="Times New Roman" w:cs="B Nazanin"/>
          <w:b w:val="0"/>
          <w:i/>
          <w:sz w:val="23"/>
          <w:szCs w:val="23"/>
          <w:rtl/>
        </w:rPr>
        <w:footnoteReference w:id="319"/>
      </w:r>
    </w:p>
    <w:p w14:paraId="04D44979" w14:textId="77777777" w:rsidR="00556C10" w:rsidRPr="00A62AA2" w:rsidRDefault="00556C10" w:rsidP="00556C10">
      <w:pPr>
        <w:tabs>
          <w:tab w:val="right" w:pos="-83"/>
          <w:tab w:val="right" w:pos="7"/>
        </w:tabs>
        <w:spacing w:line="216" w:lineRule="auto"/>
        <w:rPr>
          <w:bCs/>
          <w:i/>
          <w:sz w:val="23"/>
          <w:szCs w:val="23"/>
          <w:rtl/>
        </w:rPr>
      </w:pPr>
      <w:r w:rsidRPr="00A62AA2">
        <w:rPr>
          <w:rFonts w:hint="cs"/>
          <w:bCs/>
          <w:i/>
          <w:sz w:val="23"/>
          <w:szCs w:val="23"/>
          <w:rtl/>
        </w:rPr>
        <w:t>نظریه</w:t>
      </w:r>
    </w:p>
    <w:p w14:paraId="5F13673E"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 xml:space="preserve">در مدل ماندل </w:t>
      </w:r>
      <w:r w:rsidRPr="00A62AA2">
        <w:rPr>
          <w:rFonts w:cs="Times New Roman"/>
          <w:i/>
          <w:sz w:val="23"/>
          <w:szCs w:val="23"/>
          <w:rtl/>
        </w:rPr>
        <w:t>–</w:t>
      </w:r>
      <w:r w:rsidRPr="00A62AA2">
        <w:rPr>
          <w:rFonts w:hint="cs"/>
          <w:i/>
          <w:sz w:val="23"/>
          <w:szCs w:val="23"/>
          <w:rtl/>
        </w:rPr>
        <w:t xml:space="preserve"> فکمینگ قیمت‌ها ثابت، و در مدل پولی قیمت‌ها کاملاً انعطاف‌پذیر بودند. ولی در مدل</w:t>
      </w:r>
      <w:r>
        <w:rPr>
          <w:rFonts w:hint="cs"/>
          <w:i/>
          <w:sz w:val="23"/>
          <w:szCs w:val="23"/>
          <w:rtl/>
        </w:rPr>
        <w:t xml:space="preserve"> </w:t>
      </w:r>
      <w:r w:rsidRPr="00A62AA2">
        <w:rPr>
          <w:rFonts w:hint="cs"/>
          <w:i/>
          <w:sz w:val="23"/>
          <w:szCs w:val="23"/>
          <w:rtl/>
        </w:rPr>
        <w:t>جهش بیش از حدِّ</w:t>
      </w:r>
      <w:r w:rsidRPr="00A62AA2">
        <w:rPr>
          <w:rStyle w:val="FootnoteReference"/>
          <w:i/>
          <w:sz w:val="23"/>
          <w:szCs w:val="23"/>
          <w:rtl/>
        </w:rPr>
        <w:footnoteReference w:id="320"/>
      </w:r>
      <w:r w:rsidRPr="00A62AA2">
        <w:rPr>
          <w:rFonts w:hint="cs"/>
          <w:i/>
          <w:sz w:val="23"/>
          <w:szCs w:val="23"/>
          <w:rtl/>
        </w:rPr>
        <w:t xml:space="preserve"> دورنبوش فرض می‌شود قیمت‌ها انعطاف‌پذیر، امّا چسبنده</w:t>
      </w:r>
      <w:r w:rsidRPr="00A62AA2">
        <w:rPr>
          <w:rFonts w:hint="cs"/>
          <w:i/>
          <w:sz w:val="23"/>
          <w:szCs w:val="23"/>
          <w:rtl/>
        </w:rPr>
        <w:softHyphen/>
        <w:t xml:space="preserve">اند. مدل دورنبوش با بسط مدل ماندل </w:t>
      </w:r>
      <w:r w:rsidRPr="00A62AA2">
        <w:rPr>
          <w:rFonts w:cs="Times New Roman"/>
          <w:i/>
          <w:sz w:val="23"/>
          <w:szCs w:val="23"/>
          <w:rtl/>
        </w:rPr>
        <w:t>–</w:t>
      </w:r>
      <w:r w:rsidRPr="00A62AA2">
        <w:rPr>
          <w:rFonts w:hint="cs"/>
          <w:i/>
          <w:sz w:val="23"/>
          <w:szCs w:val="23"/>
          <w:rtl/>
        </w:rPr>
        <w:t xml:space="preserve"> فلمینگ و مدل‌های پولی نرخ ارز و افزودن معادله</w:t>
      </w:r>
      <w:r w:rsidRPr="00A62AA2">
        <w:rPr>
          <w:rFonts w:hint="cs"/>
          <w:i/>
          <w:sz w:val="23"/>
          <w:szCs w:val="23"/>
          <w:rtl/>
        </w:rPr>
        <w:softHyphen/>
        <w:t xml:space="preserve">ی‌ نرخ تورم، که در آن تورم بدلیل مازاد تقاضا برای کالاها و خدمات بوجود می‌آید توسعه و بسط یافته است. در این </w:t>
      </w:r>
    </w:p>
    <w:p w14:paraId="066CAFE3" w14:textId="77777777" w:rsidR="00556C10" w:rsidRPr="00A62AA2" w:rsidRDefault="00556C10" w:rsidP="00556C10">
      <w:pPr>
        <w:tabs>
          <w:tab w:val="right" w:pos="-83"/>
          <w:tab w:val="right" w:pos="7"/>
        </w:tabs>
        <w:spacing w:line="216" w:lineRule="auto"/>
        <w:jc w:val="center"/>
        <w:rPr>
          <w:i/>
          <w:sz w:val="23"/>
          <w:szCs w:val="23"/>
          <w:rtl/>
        </w:rPr>
      </w:pPr>
      <w:r w:rsidRPr="00A62AA2">
        <w:rPr>
          <w:rFonts w:hint="cs"/>
          <w:i/>
          <w:sz w:val="23"/>
          <w:szCs w:val="23"/>
          <w:rtl/>
        </w:rPr>
        <w:t xml:space="preserve">نمودار ۱۳. ۹: یک افزایش موقتی پیش بینی شده در عرضه پول در دوره‌ی </w:t>
      </w:r>
      <w:r w:rsidRPr="00A62AA2">
        <w:rPr>
          <w:position w:val="-6"/>
        </w:rPr>
        <w:object w:dxaOrig="440" w:dyaOrig="260" w14:anchorId="2FE41CED">
          <v:shape id="_x0000_i6333" type="#_x0000_t75" style="width:21.8pt;height:13.3pt" o:ole="">
            <v:imagedata r:id="rId10704" o:title=""/>
          </v:shape>
          <o:OLEObject Type="Embed" ProgID="Equation.DSMT4" ShapeID="_x0000_i6333" DrawAspect="Content" ObjectID="_1791380277" r:id="rId10705"/>
        </w:object>
      </w:r>
    </w:p>
    <w:p w14:paraId="12A43C55" w14:textId="77777777" w:rsidR="00556C10" w:rsidRPr="00A62AA2" w:rsidRDefault="00556C10" w:rsidP="00556C10">
      <w:pPr>
        <w:tabs>
          <w:tab w:val="right" w:pos="-83"/>
          <w:tab w:val="right" w:pos="7"/>
        </w:tabs>
        <w:spacing w:line="216" w:lineRule="auto"/>
        <w:jc w:val="center"/>
        <w:rPr>
          <w:i/>
          <w:sz w:val="23"/>
          <w:szCs w:val="23"/>
          <w:rtl/>
        </w:rPr>
      </w:pPr>
      <w:r w:rsidRPr="00A62AA2">
        <w:rPr>
          <w:i/>
          <w:noProof/>
          <w:sz w:val="23"/>
          <w:szCs w:val="23"/>
          <w:u w:val="single"/>
          <w:lang w:bidi="ar-SA"/>
        </w:rPr>
        <w:drawing>
          <wp:inline distT="0" distB="0" distL="0" distR="0" wp14:anchorId="4B7862AA" wp14:editId="646DFED4">
            <wp:extent cx="3656330" cy="2017776"/>
            <wp:effectExtent l="38100" t="38100" r="39370" b="400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706" cstate="print">
                      <a:extLst>
                        <a:ext uri="{BEBA8EAE-BF5A-486C-A8C5-ECC9F3942E4B}">
                          <a14:imgProps xmlns:a14="http://schemas.microsoft.com/office/drawing/2010/main">
                            <a14:imgLayer r:embed="rId1070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63915" cy="2021962"/>
                    </a:xfrm>
                    <a:prstGeom prst="rect">
                      <a:avLst/>
                    </a:prstGeom>
                    <a:ln w="28575">
                      <a:solidFill>
                        <a:schemeClr val="tx1"/>
                      </a:solidFill>
                    </a:ln>
                  </pic:spPr>
                </pic:pic>
              </a:graphicData>
            </a:graphic>
          </wp:inline>
        </w:drawing>
      </w:r>
    </w:p>
    <w:p w14:paraId="41AB4A71" w14:textId="77777777" w:rsidR="00556C10" w:rsidRPr="00A62AA2" w:rsidRDefault="00556C10" w:rsidP="00556C10">
      <w:pPr>
        <w:tabs>
          <w:tab w:val="right" w:pos="-83"/>
          <w:tab w:val="right" w:pos="7"/>
        </w:tabs>
        <w:spacing w:line="216" w:lineRule="auto"/>
        <w:jc w:val="center"/>
        <w:rPr>
          <w:i/>
          <w:sz w:val="23"/>
          <w:szCs w:val="23"/>
        </w:rPr>
      </w:pPr>
    </w:p>
    <w:p w14:paraId="6353A86A" w14:textId="77777777" w:rsidR="00556C10" w:rsidRPr="00A62AA2" w:rsidRDefault="00556C10" w:rsidP="00556C10">
      <w:pPr>
        <w:tabs>
          <w:tab w:val="right" w:pos="-83"/>
          <w:tab w:val="right" w:pos="7"/>
        </w:tabs>
        <w:spacing w:line="216" w:lineRule="auto"/>
        <w:jc w:val="center"/>
        <w:rPr>
          <w:i/>
          <w:sz w:val="23"/>
          <w:szCs w:val="23"/>
          <w:rtl/>
        </w:rPr>
      </w:pPr>
      <w:r w:rsidRPr="00A62AA2">
        <w:rPr>
          <w:rFonts w:hint="cs"/>
          <w:i/>
          <w:sz w:val="23"/>
          <w:szCs w:val="23"/>
          <w:rtl/>
        </w:rPr>
        <w:t xml:space="preserve">نمودار ۱۳. ۱۰: یک افزایش دائمی پیش بینی شده در عرضه پول از دوره‌ی </w:t>
      </w:r>
      <w:r w:rsidRPr="00A62AA2">
        <w:rPr>
          <w:position w:val="-6"/>
        </w:rPr>
        <w:object w:dxaOrig="440" w:dyaOrig="260" w14:anchorId="5D366F56">
          <v:shape id="_x0000_i6334" type="#_x0000_t75" style="width:21.8pt;height:13.3pt" o:ole="">
            <v:imagedata r:id="rId10708" o:title=""/>
          </v:shape>
          <o:OLEObject Type="Embed" ProgID="Equation.DSMT4" ShapeID="_x0000_i6334" DrawAspect="Content" ObjectID="_1791380278" r:id="rId10709"/>
        </w:object>
      </w:r>
    </w:p>
    <w:p w14:paraId="1B70E2C5" w14:textId="77777777" w:rsidR="00556C10" w:rsidRPr="00A62AA2" w:rsidRDefault="00556C10" w:rsidP="00556C10">
      <w:pPr>
        <w:tabs>
          <w:tab w:val="right" w:pos="-83"/>
          <w:tab w:val="right" w:pos="7"/>
        </w:tabs>
        <w:spacing w:line="216" w:lineRule="auto"/>
        <w:jc w:val="center"/>
        <w:rPr>
          <w:i/>
          <w:sz w:val="23"/>
          <w:szCs w:val="23"/>
          <w:rtl/>
        </w:rPr>
      </w:pPr>
      <w:r w:rsidRPr="00A62AA2">
        <w:rPr>
          <w:i/>
          <w:noProof/>
          <w:sz w:val="23"/>
          <w:szCs w:val="23"/>
          <w:u w:val="single"/>
          <w:lang w:bidi="ar-SA"/>
        </w:rPr>
        <w:lastRenderedPageBreak/>
        <w:drawing>
          <wp:inline distT="0" distB="0" distL="0" distR="0" wp14:anchorId="6AD5FA82" wp14:editId="2DF831DB">
            <wp:extent cx="3656729" cy="2017776"/>
            <wp:effectExtent l="38100" t="38100" r="39370" b="400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710" cstate="print">
                      <a:extLst>
                        <a:ext uri="{BEBA8EAE-BF5A-486C-A8C5-ECC9F3942E4B}">
                          <a14:imgProps xmlns:a14="http://schemas.microsoft.com/office/drawing/2010/main">
                            <a14:imgLayer r:embed="rId10711">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59551" cy="2019333"/>
                    </a:xfrm>
                    <a:prstGeom prst="rect">
                      <a:avLst/>
                    </a:prstGeom>
                    <a:ln w="28575">
                      <a:solidFill>
                        <a:schemeClr val="tx1"/>
                      </a:solidFill>
                    </a:ln>
                  </pic:spPr>
                </pic:pic>
              </a:graphicData>
            </a:graphic>
          </wp:inline>
        </w:drawing>
      </w:r>
    </w:p>
    <w:p w14:paraId="54B8677F" w14:textId="77777777" w:rsidR="00556C10" w:rsidRPr="00A62AA2" w:rsidRDefault="00556C10" w:rsidP="00556C10">
      <w:pPr>
        <w:tabs>
          <w:tab w:val="right" w:pos="-83"/>
          <w:tab w:val="right" w:pos="7"/>
        </w:tabs>
        <w:spacing w:line="216" w:lineRule="auto"/>
        <w:rPr>
          <w:i/>
          <w:sz w:val="23"/>
          <w:szCs w:val="23"/>
          <w:rtl/>
        </w:rPr>
      </w:pPr>
    </w:p>
    <w:p w14:paraId="41675B5D" w14:textId="77777777" w:rsidR="00556C10" w:rsidRDefault="00556C10" w:rsidP="00556C10">
      <w:pPr>
        <w:tabs>
          <w:tab w:val="right" w:pos="-83"/>
          <w:tab w:val="right" w:pos="7"/>
        </w:tabs>
        <w:spacing w:line="216" w:lineRule="auto"/>
        <w:rPr>
          <w:i/>
          <w:sz w:val="23"/>
          <w:szCs w:val="23"/>
          <w:rtl/>
        </w:rPr>
      </w:pPr>
      <w:r w:rsidRPr="00A62AA2">
        <w:rPr>
          <w:rFonts w:hint="cs"/>
          <w:i/>
          <w:sz w:val="23"/>
          <w:szCs w:val="23"/>
          <w:rtl/>
        </w:rPr>
        <w:t>مدل اگرچه وقفه‌ایی در معادله</w:t>
      </w:r>
      <w:r w:rsidRPr="00A62AA2">
        <w:rPr>
          <w:rFonts w:hint="cs"/>
          <w:i/>
          <w:sz w:val="23"/>
          <w:szCs w:val="23"/>
          <w:rtl/>
        </w:rPr>
        <w:softHyphen/>
        <w:t>ی تورم وجود ندارد، ولی تعدیل قیمت‌ها بصورت آنی و لحظه‌ای نیست. این مسئله برای تغییرپذیری بیشتر نرخ ارز و تولید، در کوتاه‌مدت نسبت به مدل پولی کفایت می‌کند.</w:t>
      </w:r>
      <w:r>
        <w:rPr>
          <w:rFonts w:hint="cs"/>
          <w:i/>
          <w:sz w:val="23"/>
          <w:szCs w:val="23"/>
          <w:rtl/>
        </w:rPr>
        <w:t xml:space="preserve"> </w:t>
      </w:r>
    </w:p>
    <w:p w14:paraId="3528CBAA"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پس از تجزیه و تحلیل مدل دورنبوش و دلالت‌های سیاست‌های پولی و مالی در آن به مدل پولی باز خواهیم گشت و با معرفی چسبندگی قیمت و اصلاح و ترمیم آن، نتایج و اثرات احتمالی این تغییرات را مورد بررسی قرار خواهیم داد. در مدل پولی با چسبندگی قیمت‌ها نشان داده خواهد شد که رفتار نرخ ارز اسمی همانند مدل دورنبوش است. مدل دورنبوش در واقع یک مدل</w:t>
      </w:r>
      <w:r w:rsidRPr="00A62AA2">
        <w:rPr>
          <w:position w:val="-6"/>
        </w:rPr>
        <w:object w:dxaOrig="1400" w:dyaOrig="260" w14:anchorId="0C5A1BC6">
          <v:shape id="_x0000_i6335" type="#_x0000_t75" style="width:70.2pt;height:13.3pt" o:ole="">
            <v:imagedata r:id="rId10712" o:title=""/>
          </v:shape>
          <o:OLEObject Type="Embed" ProgID="Equation.DSMT4" ShapeID="_x0000_i6335" DrawAspect="Content" ObjectID="_1791380279" r:id="rId10713"/>
        </w:object>
      </w:r>
      <w:r w:rsidRPr="00A62AA2">
        <w:rPr>
          <w:rFonts w:hint="cs"/>
          <w:i/>
          <w:sz w:val="23"/>
          <w:szCs w:val="23"/>
          <w:rtl/>
        </w:rPr>
        <w:t>است که در آن تابع تقاضای کل جایگزین تابع</w:t>
      </w:r>
      <w:r w:rsidRPr="00A62AA2">
        <w:rPr>
          <w:position w:val="-6"/>
        </w:rPr>
        <w:object w:dxaOrig="320" w:dyaOrig="260" w14:anchorId="77E8331F">
          <v:shape id="_x0000_i6336" type="#_x0000_t75" style="width:15.75pt;height:13.3pt" o:ole="">
            <v:imagedata r:id="rId10714" o:title=""/>
          </v:shape>
          <o:OLEObject Type="Embed" ProgID="Equation.DSMT4" ShapeID="_x0000_i6336" DrawAspect="Content" ObjectID="_1791380280" r:id="rId10715"/>
        </w:object>
      </w:r>
      <w:r w:rsidRPr="00A62AA2">
        <w:rPr>
          <w:rFonts w:hint="cs"/>
          <w:i/>
          <w:sz w:val="23"/>
          <w:szCs w:val="23"/>
          <w:rtl/>
        </w:rPr>
        <w:t>، شرط</w:t>
      </w:r>
      <w:r w:rsidRPr="00A62AA2">
        <w:rPr>
          <w:position w:val="-6"/>
        </w:rPr>
        <w:object w:dxaOrig="460" w:dyaOrig="260" w14:anchorId="21FE354F">
          <v:shape id="_x0000_i6337" type="#_x0000_t75" style="width:23pt;height:13.3pt" o:ole="">
            <v:imagedata r:id="rId10716" o:title=""/>
          </v:shape>
          <o:OLEObject Type="Embed" ProgID="Equation.DSMT4" ShapeID="_x0000_i6337" DrawAspect="Content" ObjectID="_1791380281" r:id="rId10717"/>
        </w:object>
      </w:r>
      <w:r w:rsidRPr="00A62AA2">
        <w:rPr>
          <w:rFonts w:hint="cs"/>
          <w:i/>
          <w:sz w:val="23"/>
          <w:szCs w:val="23"/>
          <w:rtl/>
        </w:rPr>
        <w:t xml:space="preserve"> جایگزین ترازپرداخت‌ها شده، به آن معادله</w:t>
      </w:r>
      <w:r w:rsidRPr="00A62AA2">
        <w:rPr>
          <w:rFonts w:hint="cs"/>
          <w:i/>
          <w:sz w:val="23"/>
          <w:szCs w:val="23"/>
          <w:rtl/>
        </w:rPr>
        <w:softHyphen/>
        <w:t>ی قیمت نیز افزوده شده، و تقاضای کل درون</w:t>
      </w:r>
      <w:r w:rsidRPr="00A62AA2">
        <w:rPr>
          <w:rFonts w:hint="cs"/>
          <w:i/>
          <w:sz w:val="23"/>
          <w:szCs w:val="23"/>
          <w:rtl/>
        </w:rPr>
        <w:softHyphen/>
        <w:t>زا و عرضه</w:t>
      </w:r>
      <w:r w:rsidRPr="00A62AA2">
        <w:rPr>
          <w:rFonts w:hint="cs"/>
          <w:i/>
          <w:sz w:val="23"/>
          <w:szCs w:val="23"/>
          <w:rtl/>
        </w:rPr>
        <w:softHyphen/>
        <w:t>ی کل برون‌زا می‌باشد و بصورت زیر نشان داده می‌شود</w:t>
      </w:r>
    </w:p>
    <w:p w14:paraId="7919FA2B" w14:textId="77777777" w:rsidR="00556C10" w:rsidRPr="00A62AA2" w:rsidRDefault="00556C10" w:rsidP="00556C10">
      <w:pPr>
        <w:tabs>
          <w:tab w:val="right" w:pos="-83"/>
          <w:tab w:val="right" w:pos="7"/>
        </w:tabs>
        <w:bidi w:val="0"/>
        <w:spacing w:line="216" w:lineRule="auto"/>
        <w:rPr>
          <w:i/>
          <w:sz w:val="23"/>
          <w:szCs w:val="23"/>
          <w:rtl/>
        </w:rPr>
      </w:pPr>
      <w:r w:rsidRPr="00A62AA2">
        <w:rPr>
          <w:position w:val="-16"/>
        </w:rPr>
        <w:object w:dxaOrig="3180" w:dyaOrig="420" w14:anchorId="304FD3B8">
          <v:shape id="_x0000_i6338" type="#_x0000_t75" style="width:159.15pt;height:21.2pt" o:ole="">
            <v:imagedata r:id="rId10718" o:title=""/>
          </v:shape>
          <o:OLEObject Type="Embed" ProgID="Equation.DSMT4" ShapeID="_x0000_i6338" DrawAspect="Content" ObjectID="_1791380282" r:id="rId10719"/>
        </w:object>
      </w:r>
    </w:p>
    <w:p w14:paraId="749F3369" w14:textId="77777777" w:rsidR="00556C10" w:rsidRPr="00A62AA2" w:rsidRDefault="00556C10" w:rsidP="00556C10">
      <w:pPr>
        <w:tabs>
          <w:tab w:val="right" w:pos="-83"/>
          <w:tab w:val="right" w:pos="7"/>
        </w:tabs>
        <w:bidi w:val="0"/>
        <w:spacing w:line="216" w:lineRule="auto"/>
        <w:rPr>
          <w:i/>
          <w:sz w:val="23"/>
          <w:szCs w:val="23"/>
        </w:rPr>
      </w:pPr>
      <w:r w:rsidRPr="00A62AA2">
        <w:rPr>
          <w:position w:val="-12"/>
        </w:rPr>
        <w:object w:dxaOrig="1820" w:dyaOrig="360" w14:anchorId="017A0048">
          <v:shape id="_x0000_i6339" type="#_x0000_t75" style="width:91.35pt;height:18.15pt" o:ole="">
            <v:imagedata r:id="rId10720" o:title=""/>
          </v:shape>
          <o:OLEObject Type="Embed" ProgID="Equation.DSMT4" ShapeID="_x0000_i6339" DrawAspect="Content" ObjectID="_1791380283" r:id="rId10721"/>
        </w:object>
      </w:r>
    </w:p>
    <w:p w14:paraId="1A8443A6" w14:textId="77777777" w:rsidR="00556C10" w:rsidRPr="00A62AA2" w:rsidRDefault="00556C10" w:rsidP="00556C10">
      <w:pPr>
        <w:tabs>
          <w:tab w:val="right" w:pos="-83"/>
          <w:tab w:val="right" w:pos="7"/>
        </w:tabs>
        <w:bidi w:val="0"/>
        <w:spacing w:line="216" w:lineRule="auto"/>
        <w:rPr>
          <w:i/>
          <w:sz w:val="23"/>
          <w:szCs w:val="23"/>
        </w:rPr>
      </w:pPr>
      <w:r w:rsidRPr="00A62AA2">
        <w:rPr>
          <w:position w:val="-10"/>
        </w:rPr>
        <w:object w:dxaOrig="2020" w:dyaOrig="320" w14:anchorId="406973BE">
          <v:shape id="_x0000_i6340" type="#_x0000_t75" style="width:101.05pt;height:15.75pt" o:ole="">
            <v:imagedata r:id="rId10722" o:title=""/>
          </v:shape>
          <o:OLEObject Type="Embed" ProgID="Equation.DSMT4" ShapeID="_x0000_i6340" DrawAspect="Content" ObjectID="_1791380284" r:id="rId10723"/>
        </w:object>
      </w:r>
    </w:p>
    <w:p w14:paraId="5F23FE8F" w14:textId="77777777" w:rsidR="00556C10" w:rsidRPr="00A62AA2" w:rsidRDefault="00556C10" w:rsidP="00556C10">
      <w:pPr>
        <w:tabs>
          <w:tab w:val="right" w:pos="-83"/>
          <w:tab w:val="right" w:pos="7"/>
        </w:tabs>
        <w:bidi w:val="0"/>
        <w:spacing w:line="216" w:lineRule="auto"/>
        <w:rPr>
          <w:i/>
          <w:sz w:val="23"/>
          <w:szCs w:val="23"/>
        </w:rPr>
      </w:pPr>
      <w:r w:rsidRPr="00A62AA2">
        <w:rPr>
          <w:position w:val="-10"/>
        </w:rPr>
        <w:object w:dxaOrig="1579" w:dyaOrig="340" w14:anchorId="288A1299">
          <v:shape id="_x0000_i6341" type="#_x0000_t75" style="width:78.65pt;height:16.95pt" o:ole="">
            <v:imagedata r:id="rId10724" o:title=""/>
          </v:shape>
          <o:OLEObject Type="Embed" ProgID="Equation.DSMT4" ShapeID="_x0000_i6341" DrawAspect="Content" ObjectID="_1791380285" r:id="rId10725"/>
        </w:object>
      </w:r>
    </w:p>
    <w:p w14:paraId="02E9AA31"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hint="cs"/>
          <w:i/>
          <w:sz w:val="23"/>
          <w:szCs w:val="23"/>
          <w:rtl/>
        </w:rPr>
        <w:t>اولین معادله تابع تقاضای کل، و دومین معادله نرخ تورم را به مازاد تقاضای کل که درواقع همانند شکاف تولید است مرتبط می‌کند. فرض می‌شود</w:t>
      </w:r>
      <w:r w:rsidRPr="00A62AA2">
        <w:rPr>
          <w:position w:val="-10"/>
        </w:rPr>
        <w:object w:dxaOrig="300" w:dyaOrig="340" w14:anchorId="53F83CF7">
          <v:shape id="_x0000_i6342" type="#_x0000_t75" style="width:14.5pt;height:16.95pt" o:ole="">
            <v:imagedata r:id="rId10726" o:title=""/>
          </v:shape>
          <o:OLEObject Type="Embed" ProgID="Equation.DSMT4" ShapeID="_x0000_i6342" DrawAspect="Content" ObjectID="_1791380286" r:id="rId10727"/>
        </w:object>
      </w:r>
      <w:r w:rsidRPr="00A62AA2">
        <w:rPr>
          <w:rFonts w:eastAsiaTheme="minorEastAsia" w:hint="cs"/>
          <w:i/>
          <w:sz w:val="23"/>
          <w:szCs w:val="23"/>
          <w:rtl/>
        </w:rPr>
        <w:t xml:space="preserve"> برون</w:t>
      </w:r>
      <w:r w:rsidRPr="00A62AA2">
        <w:rPr>
          <w:rFonts w:eastAsiaTheme="minorEastAsia" w:hint="cs"/>
          <w:i/>
          <w:sz w:val="23"/>
          <w:szCs w:val="23"/>
          <w:rtl/>
        </w:rPr>
        <w:softHyphen/>
        <w:t>زاست، بنابراین مدل دورنبوش برای اقتصاد باز کوچک مناسب است. در این جا لازم است یادآوری کنیم که در مدل پولی</w:t>
      </w:r>
      <w:r w:rsidRPr="00A62AA2">
        <w:rPr>
          <w:position w:val="-10"/>
        </w:rPr>
        <w:object w:dxaOrig="300" w:dyaOrig="340" w14:anchorId="7547B136">
          <v:shape id="_x0000_i6343" type="#_x0000_t75" style="width:14.5pt;height:16.95pt" o:ole="">
            <v:imagedata r:id="rId10728" o:title=""/>
          </v:shape>
          <o:OLEObject Type="Embed" ProgID="Equation.DSMT4" ShapeID="_x0000_i6343" DrawAspect="Content" ObjectID="_1791380287" r:id="rId10729"/>
        </w:object>
      </w:r>
      <w:r w:rsidRPr="00A62AA2">
        <w:rPr>
          <w:rFonts w:eastAsiaTheme="minorEastAsia" w:hint="cs"/>
          <w:i/>
          <w:sz w:val="23"/>
          <w:szCs w:val="23"/>
          <w:rtl/>
        </w:rPr>
        <w:t xml:space="preserve"> متغیری درون</w:t>
      </w:r>
      <w:r w:rsidRPr="00A62AA2">
        <w:rPr>
          <w:rFonts w:eastAsiaTheme="minorEastAsia" w:hint="cs"/>
          <w:i/>
          <w:sz w:val="23"/>
          <w:szCs w:val="23"/>
          <w:rtl/>
        </w:rPr>
        <w:softHyphen/>
        <w:t>زاست.</w:t>
      </w:r>
    </w:p>
    <w:p w14:paraId="5932BF0A"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نسخه</w:t>
      </w:r>
      <w:r w:rsidRPr="00A62AA2">
        <w:rPr>
          <w:rFonts w:eastAsiaTheme="minorEastAsia" w:hint="cs"/>
          <w:i/>
          <w:sz w:val="23"/>
          <w:szCs w:val="23"/>
          <w:rtl/>
        </w:rPr>
        <w:softHyphen/>
        <w:t>ی اصلی و اولیه‌ی مدل دورنبوش بصورت زمان پیوسته است. بنابراین</w:t>
      </w:r>
      <w:r w:rsidRPr="00A62AA2">
        <w:rPr>
          <w:position w:val="-10"/>
        </w:rPr>
        <w:object w:dxaOrig="200" w:dyaOrig="320" w14:anchorId="5A664A85">
          <v:shape id="_x0000_i6344" type="#_x0000_t75" style="width:10.3pt;height:15.75pt" o:ole="">
            <v:imagedata r:id="rId10730" o:title=""/>
          </v:shape>
          <o:OLEObject Type="Embed" ProgID="Equation.DSMT4" ShapeID="_x0000_i6344" DrawAspect="Content" ObjectID="_1791380288" r:id="rId10731"/>
        </w:object>
      </w:r>
      <w:r w:rsidRPr="00A62AA2">
        <w:rPr>
          <w:rFonts w:eastAsiaTheme="minorEastAsia" w:hint="cs"/>
          <w:i/>
          <w:sz w:val="23"/>
          <w:szCs w:val="23"/>
          <w:rtl/>
        </w:rPr>
        <w:t xml:space="preserve"> با دیگر متغیرهای مدل متمایز است. فرض شده که</w:t>
      </w:r>
      <w:r w:rsidRPr="00A62AA2">
        <w:rPr>
          <w:position w:val="-10"/>
        </w:rPr>
        <w:object w:dxaOrig="200" w:dyaOrig="320" w14:anchorId="2145AB5B">
          <v:shape id="_x0000_i6345" type="#_x0000_t75" style="width:10.3pt;height:15.75pt" o:ole="">
            <v:imagedata r:id="rId10732" o:title=""/>
          </v:shape>
          <o:OLEObject Type="Embed" ProgID="Equation.DSMT4" ShapeID="_x0000_i6345" DrawAspect="Content" ObjectID="_1791380289" r:id="rId10733"/>
        </w:object>
      </w:r>
      <w:r w:rsidRPr="00A62AA2">
        <w:rPr>
          <w:rFonts w:eastAsiaTheme="minorEastAsia" w:hint="cs"/>
          <w:i/>
          <w:sz w:val="23"/>
          <w:szCs w:val="23"/>
          <w:rtl/>
        </w:rPr>
        <w:t xml:space="preserve"> متغیری جهشی است و سریعاً به اطلاعات جدید پاسخ می‌دهد. در مقابل</w:t>
      </w:r>
      <w:r w:rsidRPr="00A62AA2">
        <w:rPr>
          <w:position w:val="-10"/>
        </w:rPr>
        <w:object w:dxaOrig="260" w:dyaOrig="320" w14:anchorId="08CB9023">
          <v:shape id="_x0000_i6346" type="#_x0000_t75" style="width:13.3pt;height:15.75pt" o:ole="">
            <v:imagedata r:id="rId10734" o:title=""/>
          </v:shape>
          <o:OLEObject Type="Embed" ProgID="Equation.DSMT4" ShapeID="_x0000_i6346" DrawAspect="Content" ObjectID="_1791380290" r:id="rId10735"/>
        </w:object>
      </w:r>
      <w:r w:rsidRPr="00A62AA2">
        <w:rPr>
          <w:rFonts w:eastAsiaTheme="minorEastAsia" w:hint="cs"/>
          <w:i/>
          <w:sz w:val="23"/>
          <w:szCs w:val="23"/>
          <w:rtl/>
        </w:rPr>
        <w:t xml:space="preserve"> با تأخیر به اطلاعات جدید واکنش نشان می</w:t>
      </w:r>
      <w:r w:rsidRPr="00A62AA2">
        <w:rPr>
          <w:rFonts w:eastAsiaTheme="minorEastAsia" w:hint="cs"/>
          <w:i/>
          <w:sz w:val="23"/>
          <w:szCs w:val="23"/>
          <w:rtl/>
        </w:rPr>
        <w:softHyphen/>
        <w:t>دهد. این تمایز برای حفظ مدل نرخ ارزی که بیش از حد جهشی است ضروری می</w:t>
      </w:r>
      <w:r w:rsidRPr="00A62AA2">
        <w:rPr>
          <w:rFonts w:eastAsiaTheme="minorEastAsia" w:hint="cs"/>
          <w:i/>
          <w:sz w:val="23"/>
          <w:szCs w:val="23"/>
          <w:rtl/>
        </w:rPr>
        <w:softHyphen/>
        <w:t>باشد. در مدل زمان گسسته این تمایز را قائل نمی</w:t>
      </w:r>
      <w:r w:rsidRPr="00A62AA2">
        <w:rPr>
          <w:rFonts w:eastAsiaTheme="minorEastAsia" w:hint="cs"/>
          <w:i/>
          <w:sz w:val="23"/>
          <w:szCs w:val="23"/>
          <w:rtl/>
        </w:rPr>
        <w:softHyphen/>
        <w:t>شویم.</w:t>
      </w:r>
    </w:p>
    <w:p w14:paraId="0AD7C70B"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lastRenderedPageBreak/>
        <w:t>حل این مدل با خلاصه کردن</w:t>
      </w:r>
      <w:r w:rsidRPr="00A62AA2">
        <w:rPr>
          <w:rFonts w:eastAsiaTheme="minorEastAsia"/>
          <w:i/>
          <w:sz w:val="23"/>
          <w:szCs w:val="23"/>
        </w:rPr>
        <w:t xml:space="preserve"> </w:t>
      </w:r>
      <w:r w:rsidRPr="00A62AA2">
        <w:rPr>
          <w:rFonts w:eastAsiaTheme="minorEastAsia" w:hint="cs"/>
          <w:i/>
          <w:sz w:val="23"/>
          <w:szCs w:val="23"/>
          <w:rtl/>
        </w:rPr>
        <w:t>آن به دو معادله</w:t>
      </w:r>
      <w:r w:rsidRPr="00A62AA2">
        <w:rPr>
          <w:rFonts w:eastAsiaTheme="minorEastAsia" w:hint="cs"/>
          <w:i/>
          <w:sz w:val="23"/>
          <w:szCs w:val="23"/>
          <w:rtl/>
        </w:rPr>
        <w:softHyphen/>
        <w:t>ی</w:t>
      </w:r>
      <w:r w:rsidRPr="00A62AA2">
        <w:rPr>
          <w:position w:val="-10"/>
        </w:rPr>
        <w:object w:dxaOrig="260" w:dyaOrig="320" w14:anchorId="04654C89">
          <v:shape id="_x0000_i6347" type="#_x0000_t75" style="width:13.3pt;height:15.75pt" o:ole="">
            <v:imagedata r:id="rId10736" o:title=""/>
          </v:shape>
          <o:OLEObject Type="Embed" ProgID="Equation.DSMT4" ShapeID="_x0000_i6347" DrawAspect="Content" ObjectID="_1791380291" r:id="rId10737"/>
        </w:object>
      </w:r>
      <w:r w:rsidRPr="00A62AA2">
        <w:rPr>
          <w:rFonts w:eastAsiaTheme="minorEastAsia" w:hint="cs"/>
          <w:i/>
          <w:sz w:val="23"/>
          <w:szCs w:val="23"/>
          <w:rtl/>
        </w:rPr>
        <w:t xml:space="preserve"> و</w:t>
      </w:r>
      <w:r w:rsidRPr="00A62AA2">
        <w:rPr>
          <w:rFonts w:eastAsiaTheme="minorEastAsia"/>
          <w:i/>
          <w:sz w:val="23"/>
          <w:szCs w:val="23"/>
        </w:rPr>
        <w:t xml:space="preserve"> </w:t>
      </w:r>
      <w:r w:rsidRPr="00A62AA2">
        <w:rPr>
          <w:position w:val="-10"/>
        </w:rPr>
        <w:object w:dxaOrig="200" w:dyaOrig="320" w14:anchorId="3D35D1A0">
          <v:shape id="_x0000_i6348" type="#_x0000_t75" style="width:10.3pt;height:15.75pt" o:ole="">
            <v:imagedata r:id="rId10738" o:title=""/>
          </v:shape>
          <o:OLEObject Type="Embed" ProgID="Equation.DSMT4" ShapeID="_x0000_i6348" DrawAspect="Content" ObjectID="_1791380292" r:id="rId10739"/>
        </w:object>
      </w:r>
      <w:r w:rsidRPr="00A62AA2">
        <w:rPr>
          <w:rFonts w:eastAsiaTheme="minorEastAsia" w:hint="cs"/>
          <w:i/>
          <w:sz w:val="23"/>
          <w:szCs w:val="23"/>
          <w:rtl/>
        </w:rPr>
        <w:t xml:space="preserve"> بدست می‌آید. معادله قیمت از سه معادله‌ی اول بدست آمده و عبارت است از</w:t>
      </w:r>
    </w:p>
    <w:p w14:paraId="12FBA466" w14:textId="77777777" w:rsidR="00556C10" w:rsidRPr="00A62AA2" w:rsidRDefault="00556C10" w:rsidP="00556C10">
      <w:pPr>
        <w:tabs>
          <w:tab w:val="right" w:pos="-83"/>
          <w:tab w:val="right" w:pos="7"/>
        </w:tabs>
        <w:bidi w:val="0"/>
        <w:spacing w:line="216" w:lineRule="auto"/>
        <w:rPr>
          <w:rFonts w:eastAsiaTheme="minorEastAsia"/>
          <w:i/>
          <w:sz w:val="23"/>
          <w:szCs w:val="23"/>
          <w:rtl/>
        </w:rPr>
      </w:pPr>
      <w:r w:rsidRPr="00A62AA2">
        <w:rPr>
          <w:position w:val="-42"/>
        </w:rPr>
        <w:object w:dxaOrig="5539" w:dyaOrig="960" w14:anchorId="54B7C742">
          <v:shape id="_x0000_i6349" type="#_x0000_t75" style="width:277.1pt;height:47.8pt" o:ole="">
            <v:imagedata r:id="rId10740" o:title=""/>
          </v:shape>
          <o:OLEObject Type="Embed" ProgID="Equation.DSMT4" ShapeID="_x0000_i6349" DrawAspect="Content" ObjectID="_1791380293" r:id="rId10741"/>
        </w:object>
      </w:r>
      <w:r>
        <w:rPr>
          <w:rtl/>
        </w:rPr>
        <w:tab/>
      </w:r>
      <w:r>
        <w:rPr>
          <w:rtl/>
        </w:rPr>
        <w:tab/>
      </w:r>
      <w:r w:rsidRPr="00A62AA2">
        <w:rPr>
          <w:rFonts w:hint="cs"/>
          <w:i/>
          <w:sz w:val="23"/>
          <w:szCs w:val="23"/>
          <w:rtl/>
        </w:rPr>
        <w:t xml:space="preserve"> (۱۳. ۱۵)</w:t>
      </w:r>
      <w:r w:rsidRPr="00A62AA2">
        <w:rPr>
          <w:i/>
          <w:sz w:val="23"/>
          <w:szCs w:val="23"/>
        </w:rPr>
        <w:t xml:space="preserve"> </w:t>
      </w:r>
    </w:p>
    <w:p w14:paraId="5ADEA7C2"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 xml:space="preserve"> که در آن</w:t>
      </w:r>
      <w:r w:rsidRPr="00A62AA2">
        <w:rPr>
          <w:position w:val="-16"/>
        </w:rPr>
        <w:object w:dxaOrig="2280" w:dyaOrig="460" w14:anchorId="29640A8A">
          <v:shape id="_x0000_i6350" type="#_x0000_t75" style="width:113.75pt;height:23pt" o:ole="">
            <v:imagedata r:id="rId10742" o:title=""/>
          </v:shape>
          <o:OLEObject Type="Embed" ProgID="Equation.DSMT4" ShapeID="_x0000_i6350" DrawAspect="Content" ObjectID="_1791380294" r:id="rId10743"/>
        </w:object>
      </w:r>
      <w:r w:rsidRPr="00A62AA2">
        <w:rPr>
          <w:rFonts w:eastAsiaTheme="minorEastAsia" w:hint="cs"/>
          <w:i/>
          <w:sz w:val="23"/>
          <w:szCs w:val="23"/>
          <w:rtl/>
        </w:rPr>
        <w:t xml:space="preserve"> و </w:t>
      </w:r>
      <w:r w:rsidRPr="00A62AA2">
        <w:rPr>
          <w:position w:val="-10"/>
        </w:rPr>
        <w:object w:dxaOrig="800" w:dyaOrig="300" w14:anchorId="7DF5289F">
          <v:shape id="_x0000_i6351" type="#_x0000_t75" style="width:39.95pt;height:14.5pt" o:ole="">
            <v:imagedata r:id="rId10744" o:title=""/>
          </v:shape>
          <o:OLEObject Type="Embed" ProgID="Equation.DSMT4" ShapeID="_x0000_i6351" DrawAspect="Content" ObjectID="_1791380295" r:id="rId10745"/>
        </w:object>
      </w:r>
      <w:r w:rsidRPr="00A62AA2">
        <w:rPr>
          <w:rFonts w:eastAsiaTheme="minorEastAsia" w:hint="cs"/>
          <w:i/>
          <w:sz w:val="23"/>
          <w:szCs w:val="23"/>
          <w:rtl/>
        </w:rPr>
        <w:t xml:space="preserve"> است. معادله‌ی نرخ ارز عبارت است از</w:t>
      </w:r>
    </w:p>
    <w:p w14:paraId="2AD69AFD" w14:textId="77777777" w:rsidR="00556C10" w:rsidRPr="00A62AA2" w:rsidRDefault="00556C10" w:rsidP="00556C10">
      <w:pPr>
        <w:tabs>
          <w:tab w:val="right" w:pos="-83"/>
          <w:tab w:val="right" w:pos="7"/>
        </w:tabs>
        <w:bidi w:val="0"/>
        <w:spacing w:line="216" w:lineRule="auto"/>
        <w:rPr>
          <w:rFonts w:eastAsiaTheme="minorHAnsi"/>
          <w:i/>
          <w:sz w:val="23"/>
          <w:szCs w:val="23"/>
          <w:rtl/>
        </w:rPr>
      </w:pPr>
      <w:r w:rsidRPr="00A62AA2">
        <w:rPr>
          <w:position w:val="-22"/>
        </w:rPr>
        <w:object w:dxaOrig="1860" w:dyaOrig="560" w14:anchorId="41244975">
          <v:shape id="_x0000_i6352" type="#_x0000_t75" style="width:93.2pt;height:27.85pt" o:ole="">
            <v:imagedata r:id="rId10746" o:title=""/>
          </v:shape>
          <o:OLEObject Type="Embed" ProgID="Equation.DSMT4" ShapeID="_x0000_i6352" DrawAspect="Content" ObjectID="_1791380296" r:id="rId10747"/>
        </w:object>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sidRPr="00A62AA2">
        <w:rPr>
          <w:rFonts w:hint="cs"/>
          <w:i/>
          <w:sz w:val="23"/>
          <w:szCs w:val="23"/>
          <w:rtl/>
        </w:rPr>
        <w:t>(۱۳. ۱</w:t>
      </w:r>
      <w:r w:rsidRPr="00654A08">
        <w:rPr>
          <w:rFonts w:ascii="NPIZar" w:hAnsi="NPIZar"/>
          <w:i/>
          <w:sz w:val="23"/>
          <w:szCs w:val="23"/>
          <w:rtl/>
        </w:rPr>
        <w:t>6</w:t>
      </w:r>
      <w:r w:rsidRPr="00A62AA2">
        <w:rPr>
          <w:rFonts w:hint="cs"/>
          <w:i/>
          <w:sz w:val="23"/>
          <w:szCs w:val="23"/>
          <w:rtl/>
        </w:rPr>
        <w:t>)</w:t>
      </w:r>
    </w:p>
    <w:p w14:paraId="0604A9C4" w14:textId="77777777" w:rsidR="00556C10" w:rsidRPr="00A62AA2" w:rsidRDefault="00556C10" w:rsidP="00556C10">
      <w:pPr>
        <w:tabs>
          <w:tab w:val="right" w:pos="-83"/>
          <w:tab w:val="right" w:pos="7"/>
        </w:tabs>
        <w:bidi w:val="0"/>
        <w:spacing w:line="216" w:lineRule="auto"/>
        <w:rPr>
          <w:rFonts w:eastAsiaTheme="minorEastAsia"/>
          <w:i/>
          <w:sz w:val="23"/>
          <w:szCs w:val="23"/>
        </w:rPr>
      </w:pPr>
      <w:r w:rsidRPr="00A62AA2">
        <w:rPr>
          <w:position w:val="-22"/>
        </w:rPr>
        <w:object w:dxaOrig="2580" w:dyaOrig="560" w14:anchorId="2822E459">
          <v:shape id="_x0000_i6353" type="#_x0000_t75" style="width:129.5pt;height:27.85pt" o:ole="">
            <v:imagedata r:id="rId10748" o:title=""/>
          </v:shape>
          <o:OLEObject Type="Embed" ProgID="Equation.DSMT4" ShapeID="_x0000_i6353" DrawAspect="Content" ObjectID="_1791380297" r:id="rId10749"/>
        </w:object>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Pr>
          <w:rtl/>
        </w:rPr>
        <w:tab/>
      </w:r>
      <w:r w:rsidRPr="00A62AA2">
        <w:rPr>
          <w:rFonts w:hint="cs"/>
          <w:i/>
          <w:sz w:val="23"/>
          <w:szCs w:val="23"/>
          <w:rtl/>
        </w:rPr>
        <w:t>(۱۳. ۱</w:t>
      </w:r>
      <w:r w:rsidRPr="00654A08">
        <w:rPr>
          <w:rFonts w:ascii="NPIZar" w:hAnsi="NPIZar"/>
          <w:i/>
          <w:sz w:val="23"/>
          <w:szCs w:val="23"/>
          <w:rtl/>
        </w:rPr>
        <w:t>7</w:t>
      </w:r>
      <w:r w:rsidRPr="00A62AA2">
        <w:rPr>
          <w:rFonts w:hint="cs"/>
          <w:i/>
          <w:sz w:val="23"/>
          <w:szCs w:val="23"/>
          <w:rtl/>
        </w:rPr>
        <w:t>)</w:t>
      </w:r>
    </w:p>
    <w:p w14:paraId="7BF16D1C"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با استفاده از اپراتور</w:t>
      </w:r>
      <w:r w:rsidRPr="00A62AA2">
        <w:rPr>
          <w:rFonts w:eastAsiaTheme="minorEastAsia"/>
          <w:i/>
          <w:sz w:val="23"/>
          <w:szCs w:val="23"/>
        </w:rPr>
        <w:t xml:space="preserve"> </w:t>
      </w:r>
      <w:r w:rsidRPr="00A62AA2">
        <w:rPr>
          <w:rFonts w:eastAsiaTheme="minorEastAsia" w:hint="cs"/>
          <w:i/>
          <w:sz w:val="23"/>
          <w:szCs w:val="23"/>
          <w:rtl/>
        </w:rPr>
        <w:t>وقفه و این</w:t>
      </w:r>
      <w:r w:rsidRPr="00A62AA2">
        <w:rPr>
          <w:rFonts w:eastAsiaTheme="minorEastAsia" w:hint="cs"/>
          <w:i/>
          <w:sz w:val="23"/>
          <w:szCs w:val="23"/>
          <w:rtl/>
        </w:rPr>
        <w:softHyphen/>
        <w:t>که</w:t>
      </w:r>
      <w:r w:rsidRPr="00A62AA2">
        <w:rPr>
          <w:rFonts w:eastAsiaTheme="minorEastAsia"/>
          <w:i/>
          <w:sz w:val="23"/>
          <w:szCs w:val="23"/>
        </w:rPr>
        <w:t xml:space="preserve"> </w:t>
      </w:r>
      <w:r w:rsidRPr="00A62AA2">
        <w:rPr>
          <w:position w:val="-10"/>
        </w:rPr>
        <w:object w:dxaOrig="920" w:dyaOrig="340" w14:anchorId="5D9EF1D0">
          <v:shape id="_x0000_i6354" type="#_x0000_t75" style="width:46pt;height:16.95pt" o:ole="">
            <v:imagedata r:id="rId10750" o:title=""/>
          </v:shape>
          <o:OLEObject Type="Embed" ProgID="Equation.DSMT4" ShapeID="_x0000_i6354" DrawAspect="Content" ObjectID="_1791380298" r:id="rId10751"/>
        </w:object>
      </w:r>
      <w:r w:rsidRPr="00A62AA2">
        <w:rPr>
          <w:rFonts w:eastAsiaTheme="minorEastAsia" w:hint="cs"/>
          <w:i/>
          <w:sz w:val="23"/>
          <w:szCs w:val="23"/>
          <w:rtl/>
        </w:rPr>
        <w:t>و</w:t>
      </w:r>
      <w:r w:rsidRPr="00A62AA2">
        <w:rPr>
          <w:position w:val="-10"/>
        </w:rPr>
        <w:object w:dxaOrig="1200" w:dyaOrig="340" w14:anchorId="35AF9D58">
          <v:shape id="_x0000_i6355" type="#_x0000_t75" style="width:59.9pt;height:16.95pt" o:ole="">
            <v:imagedata r:id="rId10752" o:title=""/>
          </v:shape>
          <o:OLEObject Type="Embed" ProgID="Equation.DSMT4" ShapeID="_x0000_i6355" DrawAspect="Content" ObjectID="_1791380299" r:id="rId10753"/>
        </w:object>
      </w:r>
      <w:r w:rsidRPr="00A62AA2">
        <w:rPr>
          <w:rFonts w:eastAsiaTheme="minorEastAsia" w:hint="cs"/>
          <w:i/>
          <w:sz w:val="23"/>
          <w:szCs w:val="23"/>
          <w:rtl/>
        </w:rPr>
        <w:t>، معادله‌ی فرم خلاصه شده‌ی</w:t>
      </w:r>
      <w:r w:rsidRPr="00A62AA2">
        <w:rPr>
          <w:position w:val="-10"/>
        </w:rPr>
        <w:object w:dxaOrig="200" w:dyaOrig="320" w14:anchorId="2D33F836">
          <v:shape id="_x0000_i6356" type="#_x0000_t75" style="width:10.3pt;height:15.75pt" o:ole="">
            <v:imagedata r:id="rId10754" o:title=""/>
          </v:shape>
          <o:OLEObject Type="Embed" ProgID="Equation.DSMT4" ShapeID="_x0000_i6356" DrawAspect="Content" ObjectID="_1791380300" r:id="rId10755"/>
        </w:object>
      </w:r>
      <w:r w:rsidRPr="00A62AA2">
        <w:rPr>
          <w:rFonts w:eastAsiaTheme="minorEastAsia" w:hint="cs"/>
          <w:i/>
          <w:sz w:val="23"/>
          <w:szCs w:val="23"/>
          <w:rtl/>
        </w:rPr>
        <w:t xml:space="preserve"> برابر است با</w:t>
      </w:r>
    </w:p>
    <w:p w14:paraId="77F3D21D" w14:textId="77777777" w:rsidR="00556C10" w:rsidRPr="00A62AA2" w:rsidRDefault="00556C10" w:rsidP="00556C10">
      <w:pPr>
        <w:tabs>
          <w:tab w:val="right" w:pos="-83"/>
          <w:tab w:val="right" w:pos="7"/>
        </w:tabs>
        <w:bidi w:val="0"/>
        <w:spacing w:line="216" w:lineRule="auto"/>
        <w:rPr>
          <w:rFonts w:eastAsiaTheme="minorEastAsia"/>
          <w:i/>
          <w:sz w:val="23"/>
          <w:szCs w:val="23"/>
          <w:rtl/>
        </w:rPr>
      </w:pPr>
      <w:r w:rsidRPr="00A62AA2">
        <w:rPr>
          <w:rFonts w:eastAsiaTheme="minorEastAsia"/>
          <w:i/>
          <w:sz w:val="23"/>
          <w:szCs w:val="23"/>
        </w:rPr>
        <w:t xml:space="preserve"> </w:t>
      </w:r>
      <w:r w:rsidRPr="00A62AA2">
        <w:rPr>
          <w:position w:val="-16"/>
        </w:rPr>
        <w:object w:dxaOrig="3320" w:dyaOrig="420" w14:anchorId="3DC5EEC8">
          <v:shape id="_x0000_i6357" type="#_x0000_t75" style="width:165.8pt;height:21.2pt" o:ole="">
            <v:imagedata r:id="rId10756" o:title=""/>
          </v:shape>
          <o:OLEObject Type="Embed" ProgID="Equation.DSMT4" ShapeID="_x0000_i6357" DrawAspect="Content" ObjectID="_1791380301" r:id="rId10757"/>
        </w:object>
      </w:r>
      <w:r w:rsidRPr="00A62AA2">
        <w:rPr>
          <w:rFonts w:eastAsiaTheme="minorEastAsia"/>
          <w:i/>
          <w:sz w:val="23"/>
          <w:szCs w:val="23"/>
        </w:rPr>
        <w:t xml:space="preserve"> </w:t>
      </w:r>
      <w:r>
        <w:rPr>
          <w:rFonts w:eastAsiaTheme="minorEastAsia"/>
          <w:i/>
          <w:sz w:val="23"/>
          <w:szCs w:val="23"/>
          <w:rtl/>
        </w:rPr>
        <w:tab/>
      </w:r>
      <w:r>
        <w:rPr>
          <w:rFonts w:eastAsiaTheme="minorEastAsia"/>
          <w:i/>
          <w:sz w:val="23"/>
          <w:szCs w:val="23"/>
          <w:rtl/>
        </w:rPr>
        <w:tab/>
      </w:r>
      <w:r>
        <w:rPr>
          <w:rFonts w:eastAsiaTheme="minorEastAsia"/>
          <w:i/>
          <w:sz w:val="23"/>
          <w:szCs w:val="23"/>
          <w:rtl/>
        </w:rPr>
        <w:tab/>
      </w:r>
      <w:r>
        <w:rPr>
          <w:rFonts w:eastAsiaTheme="minorEastAsia"/>
          <w:i/>
          <w:sz w:val="23"/>
          <w:szCs w:val="23"/>
          <w:rtl/>
        </w:rPr>
        <w:tab/>
      </w:r>
      <w:r>
        <w:rPr>
          <w:rFonts w:eastAsiaTheme="minorEastAsia"/>
          <w:i/>
          <w:sz w:val="23"/>
          <w:szCs w:val="23"/>
          <w:rtl/>
        </w:rPr>
        <w:tab/>
      </w:r>
      <w:r>
        <w:rPr>
          <w:rFonts w:eastAsiaTheme="minorEastAsia"/>
          <w:i/>
          <w:sz w:val="23"/>
          <w:szCs w:val="23"/>
          <w:rtl/>
        </w:rPr>
        <w:tab/>
      </w:r>
      <w:r>
        <w:rPr>
          <w:rFonts w:eastAsiaTheme="minorEastAsia"/>
          <w:i/>
          <w:sz w:val="23"/>
          <w:szCs w:val="23"/>
          <w:rtl/>
        </w:rPr>
        <w:tab/>
      </w:r>
      <w:r>
        <w:rPr>
          <w:rFonts w:eastAsiaTheme="minorEastAsia"/>
          <w:i/>
          <w:sz w:val="23"/>
          <w:szCs w:val="23"/>
          <w:rtl/>
        </w:rPr>
        <w:tab/>
      </w:r>
      <w:r>
        <w:rPr>
          <w:rFonts w:eastAsiaTheme="minorEastAsia"/>
          <w:i/>
          <w:sz w:val="23"/>
          <w:szCs w:val="23"/>
          <w:rtl/>
        </w:rPr>
        <w:tab/>
      </w:r>
      <w:r w:rsidRPr="00A62AA2">
        <w:rPr>
          <w:rFonts w:hint="cs"/>
          <w:i/>
          <w:sz w:val="23"/>
          <w:szCs w:val="23"/>
          <w:rtl/>
        </w:rPr>
        <w:t>(۱۳. ۱</w:t>
      </w:r>
      <w:r w:rsidRPr="00654A08">
        <w:rPr>
          <w:rFonts w:ascii="NPIZar" w:hAnsi="NPIZar"/>
          <w:i/>
          <w:sz w:val="23"/>
          <w:szCs w:val="23"/>
          <w:rtl/>
        </w:rPr>
        <w:t>8</w:t>
      </w:r>
      <w:r w:rsidRPr="00A62AA2">
        <w:rPr>
          <w:rFonts w:hint="cs"/>
          <w:i/>
          <w:sz w:val="23"/>
          <w:szCs w:val="23"/>
          <w:rtl/>
        </w:rPr>
        <w:t>)</w:t>
      </w:r>
    </w:p>
    <w:p w14:paraId="5FD0A7FB" w14:textId="77777777" w:rsidR="00556C10" w:rsidRPr="00A62AA2" w:rsidRDefault="00556C10" w:rsidP="00556C10">
      <w:pPr>
        <w:tabs>
          <w:tab w:val="right" w:pos="-83"/>
          <w:tab w:val="right" w:pos="7"/>
        </w:tabs>
        <w:spacing w:line="216" w:lineRule="auto"/>
        <w:rPr>
          <w:rFonts w:eastAsiaTheme="minorEastAsia"/>
          <w:i/>
          <w:sz w:val="23"/>
          <w:szCs w:val="23"/>
        </w:rPr>
      </w:pPr>
      <w:r w:rsidRPr="00A62AA2">
        <w:rPr>
          <w:rFonts w:eastAsiaTheme="minorEastAsia" w:hint="cs"/>
          <w:i/>
          <w:sz w:val="23"/>
          <w:szCs w:val="23"/>
          <w:rtl/>
        </w:rPr>
        <w:t>یا</w:t>
      </w:r>
    </w:p>
    <w:p w14:paraId="62C9355A" w14:textId="77777777" w:rsidR="00556C10" w:rsidRPr="00A62AA2" w:rsidRDefault="00556C10" w:rsidP="00556C10">
      <w:pPr>
        <w:tabs>
          <w:tab w:val="right" w:pos="-83"/>
          <w:tab w:val="right" w:pos="7"/>
        </w:tabs>
        <w:bidi w:val="0"/>
        <w:spacing w:line="216" w:lineRule="auto"/>
        <w:rPr>
          <w:rFonts w:eastAsiaTheme="minorEastAsia"/>
          <w:i/>
          <w:sz w:val="23"/>
          <w:szCs w:val="23"/>
          <w:rtl/>
        </w:rPr>
      </w:pPr>
      <w:r w:rsidRPr="00A62AA2">
        <w:rPr>
          <w:position w:val="-12"/>
        </w:rPr>
        <w:object w:dxaOrig="1600" w:dyaOrig="360" w14:anchorId="6D664D37">
          <v:shape id="_x0000_i6358" type="#_x0000_t75" style="width:79.85pt;height:18.15pt" o:ole="">
            <v:imagedata r:id="rId10758" o:title=""/>
          </v:shape>
          <o:OLEObject Type="Embed" ProgID="Equation.DSMT4" ShapeID="_x0000_i6358" DrawAspect="Content" ObjectID="_1791380302" r:id="rId10759"/>
        </w:object>
      </w:r>
    </w:p>
    <w:p w14:paraId="5C10B07C"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که در آن</w:t>
      </w:r>
    </w:p>
    <w:p w14:paraId="074F6961" w14:textId="77777777" w:rsidR="00556C10" w:rsidRPr="00A62AA2" w:rsidRDefault="00556C10" w:rsidP="00556C10">
      <w:pPr>
        <w:tabs>
          <w:tab w:val="right" w:pos="-83"/>
          <w:tab w:val="right" w:pos="7"/>
        </w:tabs>
        <w:bidi w:val="0"/>
        <w:spacing w:line="216" w:lineRule="auto"/>
        <w:rPr>
          <w:rFonts w:eastAsiaTheme="minorEastAsia"/>
          <w:i/>
          <w:sz w:val="23"/>
          <w:szCs w:val="23"/>
        </w:rPr>
      </w:pPr>
      <w:r w:rsidRPr="00A62AA2">
        <w:rPr>
          <w:position w:val="-12"/>
        </w:rPr>
        <w:object w:dxaOrig="1900" w:dyaOrig="360" w14:anchorId="08AD19AA">
          <v:shape id="_x0000_i6359" type="#_x0000_t75" style="width:95pt;height:18.15pt" o:ole="">
            <v:imagedata r:id="rId10760" o:title=""/>
          </v:shape>
          <o:OLEObject Type="Embed" ProgID="Equation.DSMT4" ShapeID="_x0000_i6359" DrawAspect="Content" ObjectID="_1791380303" r:id="rId10761"/>
        </w:object>
      </w:r>
    </w:p>
    <w:p w14:paraId="0C8A6A09" w14:textId="77777777" w:rsidR="00556C10" w:rsidRPr="00A62AA2" w:rsidRDefault="00556C10" w:rsidP="00556C10">
      <w:pPr>
        <w:tabs>
          <w:tab w:val="right" w:pos="-83"/>
          <w:tab w:val="right" w:pos="7"/>
        </w:tabs>
        <w:spacing w:line="216" w:lineRule="auto"/>
        <w:rPr>
          <w:rFonts w:eastAsiaTheme="minorEastAsia"/>
          <w:i/>
          <w:sz w:val="23"/>
          <w:szCs w:val="23"/>
        </w:rPr>
      </w:pPr>
      <w:r w:rsidRPr="00A62AA2">
        <w:rPr>
          <w:rFonts w:eastAsiaTheme="minorEastAsia" w:hint="cs"/>
          <w:i/>
          <w:sz w:val="23"/>
          <w:szCs w:val="23"/>
          <w:rtl/>
        </w:rPr>
        <w:t>است. و معادله‌ی مشخصه عبارت است</w:t>
      </w:r>
      <w:r w:rsidRPr="00A62AA2">
        <w:rPr>
          <w:rFonts w:eastAsiaTheme="minorEastAsia"/>
          <w:i/>
          <w:sz w:val="23"/>
          <w:szCs w:val="23"/>
        </w:rPr>
        <w:t xml:space="preserve"> </w:t>
      </w:r>
    </w:p>
    <w:p w14:paraId="35128CCC" w14:textId="77777777" w:rsidR="00556C10" w:rsidRPr="00A62AA2" w:rsidRDefault="00556C10" w:rsidP="00556C10">
      <w:pPr>
        <w:tabs>
          <w:tab w:val="right" w:pos="-83"/>
          <w:tab w:val="right" w:pos="7"/>
        </w:tabs>
        <w:bidi w:val="0"/>
        <w:spacing w:line="216" w:lineRule="auto"/>
        <w:rPr>
          <w:rFonts w:eastAsiaTheme="minorEastAsia"/>
          <w:i/>
          <w:sz w:val="23"/>
          <w:szCs w:val="23"/>
          <w:rtl/>
        </w:rPr>
      </w:pPr>
      <w:r w:rsidRPr="00A62AA2">
        <w:rPr>
          <w:position w:val="-28"/>
        </w:rPr>
        <w:object w:dxaOrig="3180" w:dyaOrig="660" w14:anchorId="73BE4AC6">
          <v:shape id="_x0000_i6360" type="#_x0000_t75" style="width:159.15pt;height:32.65pt" o:ole="">
            <v:imagedata r:id="rId10762" o:title=""/>
          </v:shape>
          <o:OLEObject Type="Embed" ProgID="Equation.DSMT4" ShapeID="_x0000_i6360" DrawAspect="Content" ObjectID="_1791380304" r:id="rId10763"/>
        </w:object>
      </w:r>
    </w:p>
    <w:p w14:paraId="23B04A6C"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و چنانچه</w:t>
      </w:r>
      <w:r w:rsidRPr="00A62AA2">
        <w:rPr>
          <w:position w:val="-26"/>
        </w:rPr>
        <w:object w:dxaOrig="1440" w:dyaOrig="600" w14:anchorId="66477AB9">
          <v:shape id="_x0000_i6361" type="#_x0000_t75" style="width:1in;height:29.65pt" o:ole="">
            <v:imagedata r:id="rId10764" o:title=""/>
          </v:shape>
          <o:OLEObject Type="Embed" ProgID="Equation.DSMT4" ShapeID="_x0000_i6361" DrawAspect="Content" ObjectID="_1791380305" r:id="rId10765"/>
        </w:object>
      </w:r>
      <w:r w:rsidRPr="00A62AA2">
        <w:rPr>
          <w:rFonts w:eastAsiaTheme="minorEastAsia" w:hint="cs"/>
          <w:i/>
          <w:sz w:val="23"/>
          <w:szCs w:val="23"/>
          <w:rtl/>
        </w:rPr>
        <w:t xml:space="preserve"> باشد دارای راه حل زینی است. ریشه‌های مشخصه این معادله عبارتند از</w:t>
      </w:r>
      <w:r w:rsidRPr="00A62AA2">
        <w:rPr>
          <w:position w:val="-10"/>
        </w:rPr>
        <w:object w:dxaOrig="580" w:dyaOrig="320" w14:anchorId="5F3C0184">
          <v:shape id="_x0000_i6362" type="#_x0000_t75" style="width:29.05pt;height:15.75pt" o:ole="">
            <v:imagedata r:id="rId10766" o:title=""/>
          </v:shape>
          <o:OLEObject Type="Embed" ProgID="Equation.DSMT4" ShapeID="_x0000_i6362" DrawAspect="Content" ObjectID="_1791380306" r:id="rId10767"/>
        </w:object>
      </w:r>
      <w:r w:rsidRPr="00A62AA2">
        <w:rPr>
          <w:rFonts w:eastAsiaTheme="minorEastAsia" w:hint="cs"/>
          <w:i/>
          <w:sz w:val="23"/>
          <w:szCs w:val="23"/>
          <w:rtl/>
        </w:rPr>
        <w:t xml:space="preserve"> و </w:t>
      </w:r>
      <w:r w:rsidRPr="00A62AA2">
        <w:rPr>
          <w:position w:val="-10"/>
        </w:rPr>
        <w:object w:dxaOrig="580" w:dyaOrig="320" w14:anchorId="1C131DE4">
          <v:shape id="_x0000_i6363" type="#_x0000_t75" style="width:29.05pt;height:15.75pt" o:ole="">
            <v:imagedata r:id="rId10768" o:title=""/>
          </v:shape>
          <o:OLEObject Type="Embed" ProgID="Equation.DSMT4" ShapeID="_x0000_i6363" DrawAspect="Content" ObjectID="_1791380307" r:id="rId10769"/>
        </w:object>
      </w:r>
      <w:r w:rsidRPr="00A62AA2">
        <w:rPr>
          <w:rFonts w:eastAsiaTheme="minorEastAsia" w:hint="cs"/>
          <w:i/>
          <w:sz w:val="23"/>
          <w:szCs w:val="23"/>
          <w:rtl/>
        </w:rPr>
        <w:t>. بنابراین</w:t>
      </w:r>
    </w:p>
    <w:p w14:paraId="3D23E2AF" w14:textId="77777777" w:rsidR="00556C10" w:rsidRPr="00A62AA2" w:rsidRDefault="00556C10" w:rsidP="00556C10">
      <w:pPr>
        <w:tabs>
          <w:tab w:val="right" w:pos="-83"/>
          <w:tab w:val="right" w:pos="7"/>
        </w:tabs>
        <w:bidi w:val="0"/>
        <w:spacing w:line="216" w:lineRule="auto"/>
        <w:rPr>
          <w:rFonts w:eastAsiaTheme="minorEastAsia"/>
          <w:i/>
          <w:sz w:val="23"/>
          <w:szCs w:val="23"/>
          <w:rtl/>
        </w:rPr>
      </w:pPr>
      <w:r w:rsidRPr="00A62AA2">
        <w:rPr>
          <w:position w:val="-28"/>
        </w:rPr>
        <w:object w:dxaOrig="4520" w:dyaOrig="680" w14:anchorId="246E6DC0">
          <v:shape id="_x0000_i6364" type="#_x0000_t75" style="width:226.3pt;height:33.9pt" o:ole="">
            <v:imagedata r:id="rId10770" o:title=""/>
          </v:shape>
          <o:OLEObject Type="Embed" ProgID="Equation.DSMT4" ShapeID="_x0000_i6364" DrawAspect="Content" ObjectID="_1791380308" r:id="rId10771"/>
        </w:object>
      </w:r>
    </w:p>
    <w:p w14:paraId="24BC1810"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و حل</w:t>
      </w:r>
      <w:r w:rsidRPr="00A62AA2">
        <w:rPr>
          <w:position w:val="-10"/>
        </w:rPr>
        <w:object w:dxaOrig="200" w:dyaOrig="320" w14:anchorId="3B7521E3">
          <v:shape id="_x0000_i6365" type="#_x0000_t75" style="width:10.3pt;height:15.75pt" o:ole="">
            <v:imagedata r:id="rId10772" o:title=""/>
          </v:shape>
          <o:OLEObject Type="Embed" ProgID="Equation.DSMT4" ShapeID="_x0000_i6365" DrawAspect="Content" ObjectID="_1791380309" r:id="rId10773"/>
        </w:object>
      </w:r>
      <w:r w:rsidRPr="00A62AA2">
        <w:rPr>
          <w:rFonts w:eastAsiaTheme="minorEastAsia" w:hint="cs"/>
          <w:i/>
          <w:sz w:val="23"/>
          <w:szCs w:val="23"/>
          <w:rtl/>
        </w:rPr>
        <w:t xml:space="preserve"> برابراست با</w:t>
      </w:r>
    </w:p>
    <w:p w14:paraId="5EF3D209" w14:textId="77777777" w:rsidR="00556C10" w:rsidRPr="00A62AA2" w:rsidRDefault="00556C10" w:rsidP="00556C10">
      <w:pPr>
        <w:tabs>
          <w:tab w:val="right" w:pos="-83"/>
          <w:tab w:val="right" w:pos="7"/>
        </w:tabs>
        <w:bidi w:val="0"/>
        <w:spacing w:line="216" w:lineRule="auto"/>
        <w:rPr>
          <w:rFonts w:eastAsiaTheme="minorEastAsia"/>
          <w:i/>
          <w:sz w:val="23"/>
          <w:szCs w:val="23"/>
        </w:rPr>
      </w:pPr>
      <w:r w:rsidRPr="00A62AA2">
        <w:rPr>
          <w:position w:val="-28"/>
        </w:rPr>
        <w:object w:dxaOrig="2659" w:dyaOrig="639" w14:anchorId="17A1D1B7">
          <v:shape id="_x0000_i6366" type="#_x0000_t75" style="width:133.1pt;height:32.05pt" o:ole="">
            <v:imagedata r:id="rId10774" o:title=""/>
          </v:shape>
          <o:OLEObject Type="Embed" ProgID="Equation.DSMT4" ShapeID="_x0000_i6366" DrawAspect="Content" ObjectID="_1791380310" r:id="rId10775"/>
        </w:object>
      </w:r>
      <w:r w:rsidRPr="00A62AA2">
        <w:rPr>
          <w:rFonts w:eastAsiaTheme="minorEastAsia"/>
          <w:i/>
          <w:sz w:val="23"/>
          <w:szCs w:val="23"/>
        </w:rPr>
        <w:tab/>
      </w:r>
      <w:r w:rsidRPr="00A62AA2">
        <w:rPr>
          <w:rFonts w:eastAsiaTheme="minorEastAsia"/>
          <w:i/>
          <w:sz w:val="23"/>
          <w:szCs w:val="23"/>
        </w:rPr>
        <w:tab/>
        <w:t xml:space="preserve"> </w:t>
      </w:r>
      <w:r w:rsidRPr="00A62AA2">
        <w:rPr>
          <w:rFonts w:eastAsiaTheme="minorEastAsia"/>
          <w:i/>
          <w:sz w:val="23"/>
          <w:szCs w:val="23"/>
        </w:rPr>
        <w:tab/>
      </w:r>
      <w:r w:rsidRPr="00A62AA2">
        <w:rPr>
          <w:rFonts w:eastAsiaTheme="minorEastAsia"/>
          <w:i/>
          <w:sz w:val="23"/>
          <w:szCs w:val="23"/>
        </w:rPr>
        <w:tab/>
      </w:r>
      <w:r w:rsidRPr="00A62AA2">
        <w:rPr>
          <w:rFonts w:eastAsiaTheme="minorEastAsia"/>
          <w:i/>
          <w:sz w:val="23"/>
          <w:szCs w:val="23"/>
        </w:rPr>
        <w:tab/>
      </w:r>
      <w:r w:rsidRPr="00A62AA2">
        <w:rPr>
          <w:rFonts w:eastAsiaTheme="minorEastAsia"/>
          <w:i/>
          <w:sz w:val="23"/>
          <w:szCs w:val="23"/>
        </w:rPr>
        <w:tab/>
      </w:r>
      <w:r w:rsidRPr="00A62AA2">
        <w:rPr>
          <w:rFonts w:eastAsiaTheme="minorEastAsia"/>
          <w:i/>
          <w:sz w:val="23"/>
          <w:szCs w:val="23"/>
        </w:rPr>
        <w:tab/>
      </w:r>
      <w:r>
        <w:rPr>
          <w:rFonts w:eastAsiaTheme="minorEastAsia"/>
          <w:i/>
          <w:sz w:val="23"/>
          <w:szCs w:val="23"/>
          <w:rtl/>
        </w:rPr>
        <w:tab/>
      </w:r>
      <w:r w:rsidRPr="00A62AA2">
        <w:rPr>
          <w:rFonts w:eastAsiaTheme="minorEastAsia"/>
          <w:i/>
          <w:sz w:val="23"/>
          <w:szCs w:val="23"/>
        </w:rPr>
        <w:tab/>
      </w:r>
      <w:r>
        <w:rPr>
          <w:rFonts w:eastAsiaTheme="minorEastAsia"/>
          <w:i/>
          <w:sz w:val="23"/>
          <w:szCs w:val="23"/>
          <w:rtl/>
        </w:rPr>
        <w:tab/>
      </w:r>
      <w:r w:rsidRPr="00A62AA2">
        <w:rPr>
          <w:rFonts w:eastAsiaTheme="minorEastAsia"/>
          <w:i/>
          <w:sz w:val="23"/>
          <w:szCs w:val="23"/>
        </w:rPr>
        <w:tab/>
      </w:r>
      <w:r w:rsidRPr="00A62AA2">
        <w:rPr>
          <w:rFonts w:eastAsiaTheme="minorEastAsia"/>
          <w:i/>
          <w:sz w:val="23"/>
          <w:szCs w:val="23"/>
        </w:rPr>
        <w:tab/>
      </w:r>
      <w:r w:rsidRPr="00A62AA2">
        <w:rPr>
          <w:rFonts w:eastAsiaTheme="minorEastAsia" w:hint="cs"/>
          <w:i/>
          <w:sz w:val="23"/>
          <w:szCs w:val="23"/>
          <w:rtl/>
        </w:rPr>
        <w:t>(۱۳. ۱۹)</w:t>
      </w:r>
      <w:r w:rsidRPr="00A62AA2">
        <w:rPr>
          <w:rFonts w:eastAsiaTheme="minorEastAsia"/>
          <w:i/>
          <w:sz w:val="23"/>
          <w:szCs w:val="23"/>
        </w:rPr>
        <w:t xml:space="preserve"> </w:t>
      </w:r>
    </w:p>
    <w:p w14:paraId="4ACD9443"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که می‌توان آنرا بصورت مدل تعدیل جزئی پیش‌رو بازنویسی کرد</w:t>
      </w:r>
    </w:p>
    <w:p w14:paraId="4BBDA4E2" w14:textId="77777777" w:rsidR="00556C10" w:rsidRPr="00A62AA2" w:rsidRDefault="00556C10" w:rsidP="00556C10">
      <w:pPr>
        <w:tabs>
          <w:tab w:val="right" w:pos="-83"/>
          <w:tab w:val="right" w:pos="7"/>
        </w:tabs>
        <w:bidi w:val="0"/>
        <w:spacing w:line="216" w:lineRule="auto"/>
        <w:rPr>
          <w:rFonts w:eastAsiaTheme="minorEastAsia"/>
          <w:i/>
          <w:sz w:val="23"/>
          <w:szCs w:val="23"/>
          <w:rtl/>
        </w:rPr>
      </w:pPr>
      <w:r w:rsidRPr="00A62AA2">
        <w:rPr>
          <w:rFonts w:eastAsiaTheme="minorEastAsia" w:hint="cs"/>
          <w:i/>
          <w:sz w:val="23"/>
          <w:szCs w:val="23"/>
          <w:rtl/>
        </w:rPr>
        <w:t xml:space="preserve"> </w:t>
      </w:r>
      <w:r w:rsidRPr="00A62AA2">
        <w:rPr>
          <w:position w:val="-28"/>
        </w:rPr>
        <w:object w:dxaOrig="2100" w:dyaOrig="680" w14:anchorId="35F72190">
          <v:shape id="_x0000_i6367" type="#_x0000_t75" style="width:105.3pt;height:33.9pt" o:ole="">
            <v:imagedata r:id="rId10776" o:title=""/>
          </v:shape>
          <o:OLEObject Type="Embed" ProgID="Equation.DSMT4" ShapeID="_x0000_i6367" DrawAspect="Content" ObjectID="_1791380311" r:id="rId10777"/>
        </w:object>
      </w:r>
      <w:r w:rsidRPr="00A62AA2">
        <w:rPr>
          <w:rFonts w:eastAsiaTheme="minorEastAsia"/>
          <w:i/>
          <w:sz w:val="23"/>
          <w:szCs w:val="23"/>
        </w:rPr>
        <w:tab/>
      </w:r>
      <w:r w:rsidRPr="00A62AA2">
        <w:rPr>
          <w:rFonts w:eastAsiaTheme="minorEastAsia" w:hint="cs"/>
          <w:i/>
          <w:sz w:val="23"/>
          <w:szCs w:val="23"/>
          <w:rtl/>
        </w:rPr>
        <w:tab/>
      </w:r>
      <w:r w:rsidRPr="00A62AA2">
        <w:rPr>
          <w:rFonts w:eastAsiaTheme="minorEastAsia"/>
          <w:i/>
          <w:sz w:val="23"/>
          <w:szCs w:val="23"/>
        </w:rPr>
        <w:tab/>
      </w:r>
      <w:r w:rsidRPr="00A62AA2">
        <w:rPr>
          <w:rFonts w:eastAsiaTheme="minorEastAsia"/>
          <w:i/>
          <w:sz w:val="23"/>
          <w:szCs w:val="23"/>
        </w:rPr>
        <w:tab/>
      </w:r>
      <w:r w:rsidRPr="00A62AA2">
        <w:rPr>
          <w:rFonts w:eastAsiaTheme="minorEastAsia"/>
          <w:i/>
          <w:sz w:val="23"/>
          <w:szCs w:val="23"/>
        </w:rPr>
        <w:tab/>
      </w:r>
      <w:r w:rsidRPr="00A62AA2">
        <w:rPr>
          <w:rFonts w:eastAsiaTheme="minorEastAsia"/>
          <w:i/>
          <w:sz w:val="23"/>
          <w:szCs w:val="23"/>
        </w:rPr>
        <w:tab/>
      </w:r>
      <w:r w:rsidRPr="00A62AA2">
        <w:rPr>
          <w:rFonts w:eastAsiaTheme="minorEastAsia"/>
          <w:i/>
          <w:sz w:val="23"/>
          <w:szCs w:val="23"/>
        </w:rPr>
        <w:tab/>
      </w:r>
      <w:r w:rsidRPr="00A62AA2">
        <w:rPr>
          <w:rFonts w:eastAsiaTheme="minorEastAsia"/>
          <w:i/>
          <w:sz w:val="23"/>
          <w:szCs w:val="23"/>
        </w:rPr>
        <w:tab/>
      </w:r>
      <w:r w:rsidRPr="00A62AA2">
        <w:rPr>
          <w:rFonts w:eastAsiaTheme="minorEastAsia"/>
          <w:i/>
          <w:sz w:val="23"/>
          <w:szCs w:val="23"/>
        </w:rPr>
        <w:tab/>
      </w:r>
      <w:r w:rsidRPr="00A62AA2">
        <w:rPr>
          <w:rFonts w:eastAsiaTheme="minorEastAsia"/>
          <w:i/>
          <w:sz w:val="23"/>
          <w:szCs w:val="23"/>
        </w:rPr>
        <w:tab/>
      </w:r>
      <w:r>
        <w:rPr>
          <w:rFonts w:eastAsiaTheme="minorEastAsia"/>
          <w:i/>
          <w:sz w:val="23"/>
          <w:szCs w:val="23"/>
          <w:rtl/>
        </w:rPr>
        <w:tab/>
      </w:r>
      <w:r w:rsidRPr="00A62AA2">
        <w:rPr>
          <w:rFonts w:eastAsiaTheme="minorEastAsia"/>
          <w:i/>
          <w:sz w:val="23"/>
          <w:szCs w:val="23"/>
        </w:rPr>
        <w:tab/>
      </w:r>
      <w:r>
        <w:rPr>
          <w:rFonts w:eastAsiaTheme="minorEastAsia"/>
          <w:i/>
          <w:sz w:val="23"/>
          <w:szCs w:val="23"/>
          <w:rtl/>
        </w:rPr>
        <w:tab/>
      </w:r>
      <w:r w:rsidRPr="00A62AA2">
        <w:rPr>
          <w:rFonts w:eastAsiaTheme="minorEastAsia" w:hint="cs"/>
          <w:i/>
          <w:sz w:val="23"/>
          <w:szCs w:val="23"/>
          <w:rtl/>
        </w:rPr>
        <w:tab/>
        <w:t>(۱۳. ۲۰)</w:t>
      </w:r>
      <w:r w:rsidRPr="00A62AA2">
        <w:rPr>
          <w:rFonts w:eastAsiaTheme="minorEastAsia"/>
          <w:i/>
          <w:sz w:val="23"/>
          <w:szCs w:val="23"/>
        </w:rPr>
        <w:t xml:space="preserve"> </w:t>
      </w:r>
    </w:p>
    <w:p w14:paraId="456B4413" w14:textId="77777777" w:rsidR="00556C10" w:rsidRPr="00A62AA2" w:rsidRDefault="00556C10" w:rsidP="00556C10">
      <w:pPr>
        <w:tabs>
          <w:tab w:val="right" w:pos="-83"/>
          <w:tab w:val="right" w:pos="7"/>
        </w:tabs>
        <w:bidi w:val="0"/>
        <w:spacing w:line="216" w:lineRule="auto"/>
        <w:rPr>
          <w:rFonts w:eastAsiaTheme="minorEastAsia"/>
          <w:i/>
          <w:sz w:val="23"/>
          <w:szCs w:val="23"/>
          <w:rtl/>
        </w:rPr>
      </w:pPr>
      <w:r w:rsidRPr="00A62AA2">
        <w:rPr>
          <w:position w:val="-30"/>
        </w:rPr>
        <w:object w:dxaOrig="2500" w:dyaOrig="660" w14:anchorId="64CF611C">
          <v:shape id="_x0000_i6368" type="#_x0000_t75" style="width:125.25pt;height:32.65pt" o:ole="">
            <v:imagedata r:id="rId10778" o:title=""/>
          </v:shape>
          <o:OLEObject Type="Embed" ProgID="Equation.DSMT4" ShapeID="_x0000_i6368" DrawAspect="Content" ObjectID="_1791380312" r:id="rId10779"/>
        </w:object>
      </w:r>
      <w:r w:rsidRPr="00A62AA2">
        <w:rPr>
          <w:rFonts w:eastAsiaTheme="minorEastAsia"/>
          <w:i/>
          <w:sz w:val="23"/>
          <w:szCs w:val="23"/>
        </w:rPr>
        <w:tab/>
      </w:r>
      <w:r w:rsidRPr="00A62AA2">
        <w:rPr>
          <w:rFonts w:eastAsiaTheme="minorEastAsia"/>
          <w:i/>
          <w:sz w:val="23"/>
          <w:szCs w:val="23"/>
        </w:rPr>
        <w:tab/>
      </w:r>
      <w:r w:rsidRPr="00A62AA2">
        <w:rPr>
          <w:rFonts w:eastAsiaTheme="minorEastAsia"/>
          <w:i/>
          <w:sz w:val="23"/>
          <w:szCs w:val="23"/>
        </w:rPr>
        <w:tab/>
      </w:r>
      <w:r w:rsidRPr="00A62AA2">
        <w:rPr>
          <w:rFonts w:eastAsiaTheme="minorEastAsia"/>
          <w:i/>
          <w:sz w:val="23"/>
          <w:szCs w:val="23"/>
        </w:rPr>
        <w:tab/>
      </w:r>
      <w:r w:rsidRPr="00A62AA2">
        <w:rPr>
          <w:rFonts w:eastAsiaTheme="minorEastAsia"/>
          <w:i/>
          <w:sz w:val="23"/>
          <w:szCs w:val="23"/>
          <w:rtl/>
        </w:rPr>
        <w:tab/>
      </w:r>
      <w:r w:rsidRPr="00A62AA2">
        <w:rPr>
          <w:rFonts w:eastAsiaTheme="minorEastAsia"/>
          <w:i/>
          <w:sz w:val="23"/>
          <w:szCs w:val="23"/>
        </w:rPr>
        <w:tab/>
      </w:r>
      <w:r w:rsidRPr="00A62AA2">
        <w:rPr>
          <w:rFonts w:eastAsiaTheme="minorEastAsia"/>
          <w:i/>
          <w:sz w:val="23"/>
          <w:szCs w:val="23"/>
        </w:rPr>
        <w:tab/>
      </w:r>
      <w:r>
        <w:rPr>
          <w:rFonts w:eastAsiaTheme="minorEastAsia" w:hint="cs"/>
          <w:i/>
          <w:sz w:val="23"/>
          <w:szCs w:val="23"/>
          <w:rtl/>
        </w:rPr>
        <w:t xml:space="preserve"> </w:t>
      </w:r>
      <w:r>
        <w:rPr>
          <w:rFonts w:eastAsiaTheme="minorEastAsia"/>
          <w:i/>
          <w:sz w:val="23"/>
          <w:szCs w:val="23"/>
          <w:rtl/>
        </w:rPr>
        <w:tab/>
      </w:r>
      <w:r>
        <w:rPr>
          <w:rFonts w:eastAsiaTheme="minorEastAsia"/>
          <w:i/>
          <w:sz w:val="23"/>
          <w:szCs w:val="23"/>
          <w:rtl/>
        </w:rPr>
        <w:tab/>
      </w:r>
      <w:r>
        <w:rPr>
          <w:rFonts w:eastAsiaTheme="minorEastAsia"/>
          <w:i/>
          <w:sz w:val="23"/>
          <w:szCs w:val="23"/>
          <w:rtl/>
        </w:rPr>
        <w:tab/>
      </w:r>
      <w:r>
        <w:rPr>
          <w:rFonts w:eastAsiaTheme="minorEastAsia"/>
          <w:i/>
          <w:sz w:val="23"/>
          <w:szCs w:val="23"/>
          <w:rtl/>
        </w:rPr>
        <w:tab/>
      </w:r>
      <w:r>
        <w:rPr>
          <w:rFonts w:eastAsiaTheme="minorEastAsia"/>
          <w:i/>
          <w:sz w:val="23"/>
          <w:szCs w:val="23"/>
          <w:rtl/>
        </w:rPr>
        <w:tab/>
      </w:r>
      <w:r w:rsidRPr="00A62AA2">
        <w:rPr>
          <w:rFonts w:eastAsiaTheme="minorEastAsia" w:hint="cs"/>
          <w:i/>
          <w:sz w:val="23"/>
          <w:szCs w:val="23"/>
          <w:rtl/>
        </w:rPr>
        <w:tab/>
        <w:t>(۱۳. ۲۱)</w:t>
      </w:r>
      <w:r w:rsidRPr="00A62AA2">
        <w:rPr>
          <w:rFonts w:eastAsiaTheme="minorEastAsia"/>
          <w:i/>
          <w:sz w:val="23"/>
          <w:szCs w:val="23"/>
        </w:rPr>
        <w:t xml:space="preserve"> </w:t>
      </w:r>
    </w:p>
    <w:p w14:paraId="3F1F5BCD"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lastRenderedPageBreak/>
        <w:t>که در آن</w:t>
      </w:r>
      <w:r w:rsidRPr="00A62AA2">
        <w:rPr>
          <w:position w:val="-10"/>
        </w:rPr>
        <w:object w:dxaOrig="200" w:dyaOrig="320" w14:anchorId="02CD5A2C">
          <v:shape id="_x0000_i6369" type="#_x0000_t75" style="width:10.3pt;height:15.75pt" o:ole="">
            <v:imagedata r:id="rId10780" o:title=""/>
          </v:shape>
          <o:OLEObject Type="Embed" ProgID="Equation.DSMT4" ShapeID="_x0000_i6369" DrawAspect="Content" ObjectID="_1791380313" r:id="rId10781"/>
        </w:object>
      </w:r>
      <w:r w:rsidRPr="00A62AA2">
        <w:rPr>
          <w:rFonts w:eastAsiaTheme="minorEastAsia" w:hint="cs"/>
          <w:i/>
          <w:sz w:val="23"/>
          <w:szCs w:val="23"/>
          <w:rtl/>
        </w:rPr>
        <w:t xml:space="preserve"> مقدار هدف برای</w:t>
      </w:r>
      <w:r w:rsidRPr="00A62AA2">
        <w:rPr>
          <w:position w:val="-10"/>
        </w:rPr>
        <w:object w:dxaOrig="200" w:dyaOrig="320" w14:anchorId="1B090C26">
          <v:shape id="_x0000_i6370" type="#_x0000_t75" style="width:10.3pt;height:15.75pt" o:ole="">
            <v:imagedata r:id="rId10782" o:title=""/>
          </v:shape>
          <o:OLEObject Type="Embed" ProgID="Equation.DSMT4" ShapeID="_x0000_i6370" DrawAspect="Content" ObjectID="_1791380314" r:id="rId10783"/>
        </w:object>
      </w:r>
      <w:r w:rsidRPr="00A62AA2">
        <w:rPr>
          <w:rFonts w:eastAsiaTheme="minorEastAsia" w:hint="cs"/>
          <w:i/>
          <w:sz w:val="23"/>
          <w:szCs w:val="23"/>
          <w:rtl/>
        </w:rPr>
        <w:t xml:space="preserve"> است و حل در وضعیت یکنواخت است. بنابراین حل کامل هم دارای اجزای پیش‌رو و هم پس‌رو است. با شوک دائمی به</w:t>
      </w:r>
      <w:r w:rsidRPr="00A62AA2">
        <w:rPr>
          <w:position w:val="-10"/>
        </w:rPr>
        <w:object w:dxaOrig="240" w:dyaOrig="320" w14:anchorId="4523D032">
          <v:shape id="_x0000_i6371" type="#_x0000_t75" style="width:11.5pt;height:15.75pt" o:ole="">
            <v:imagedata r:id="rId10784" o:title=""/>
          </v:shape>
          <o:OLEObject Type="Embed" ProgID="Equation.DSMT4" ShapeID="_x0000_i6371" DrawAspect="Content" ObjectID="_1791380315" r:id="rId10785"/>
        </w:object>
      </w:r>
      <w:r w:rsidRPr="00A62AA2">
        <w:rPr>
          <w:rFonts w:eastAsiaTheme="minorEastAsia" w:hint="cs"/>
          <w:i/>
          <w:sz w:val="23"/>
          <w:szCs w:val="23"/>
          <w:rtl/>
        </w:rPr>
        <w:t>، متغیر</w:t>
      </w:r>
      <w:r w:rsidRPr="00A62AA2">
        <w:rPr>
          <w:position w:val="-10"/>
        </w:rPr>
        <w:object w:dxaOrig="200" w:dyaOrig="320" w14:anchorId="09F6D619">
          <v:shape id="_x0000_i6372" type="#_x0000_t75" style="width:10.3pt;height:15.75pt" o:ole="">
            <v:imagedata r:id="rId10786" o:title=""/>
          </v:shape>
          <o:OLEObject Type="Embed" ProgID="Equation.DSMT4" ShapeID="_x0000_i6372" DrawAspect="Content" ObjectID="_1791380316" r:id="rId10787"/>
        </w:object>
      </w:r>
      <w:r w:rsidRPr="00A62AA2">
        <w:rPr>
          <w:rFonts w:eastAsiaTheme="minorEastAsia" w:hint="cs"/>
          <w:i/>
          <w:sz w:val="23"/>
          <w:szCs w:val="23"/>
          <w:rtl/>
        </w:rPr>
        <w:t xml:space="preserve"> قبل از آنکه جهت رسیدن به نقطه‌ی تعادلی جدید</w:t>
      </w:r>
      <w:r w:rsidRPr="00A62AA2">
        <w:rPr>
          <w:position w:val="-10"/>
        </w:rPr>
        <w:object w:dxaOrig="200" w:dyaOrig="320" w14:anchorId="5D803EF1">
          <v:shape id="_x0000_i6373" type="#_x0000_t75" style="width:10.3pt;height:15.75pt" o:ole="">
            <v:imagedata r:id="rId10788" o:title=""/>
          </v:shape>
          <o:OLEObject Type="Embed" ProgID="Equation.DSMT4" ShapeID="_x0000_i6373" DrawAspect="Content" ObjectID="_1791380317" r:id="rId10789"/>
        </w:object>
      </w:r>
      <w:r w:rsidRPr="00A62AA2">
        <w:rPr>
          <w:rFonts w:eastAsiaTheme="minorEastAsia" w:hint="cs"/>
          <w:i/>
          <w:sz w:val="23"/>
          <w:szCs w:val="23"/>
          <w:rtl/>
        </w:rPr>
        <w:t xml:space="preserve"> بصورت هندسی کاهش یابد، سریعاً به مسیر زینی جهش خواهد کرد، معادله‌ی (۱۳. ۱۹). حل وضعیت یکنواخت نرخ ارز با مقادیر ثابت متغیرهای برون‌زا برابر است با</w:t>
      </w:r>
    </w:p>
    <w:p w14:paraId="3111AB94" w14:textId="77777777" w:rsidR="00556C10" w:rsidRPr="00A62AA2" w:rsidRDefault="00556C10" w:rsidP="00556C10">
      <w:pPr>
        <w:tabs>
          <w:tab w:val="right" w:pos="-83"/>
          <w:tab w:val="right" w:pos="7"/>
        </w:tabs>
        <w:bidi w:val="0"/>
        <w:spacing w:line="216" w:lineRule="auto"/>
        <w:rPr>
          <w:rFonts w:eastAsiaTheme="minorEastAsia"/>
          <w:i/>
          <w:sz w:val="23"/>
          <w:szCs w:val="23"/>
          <w:rtl/>
        </w:rPr>
      </w:pPr>
      <w:r w:rsidRPr="00A62AA2">
        <w:rPr>
          <w:position w:val="-26"/>
        </w:rPr>
        <w:object w:dxaOrig="3980" w:dyaOrig="620" w14:anchorId="1BFB96CB">
          <v:shape id="_x0000_i6374" type="#_x0000_t75" style="width:199.05pt;height:30.85pt" o:ole="">
            <v:imagedata r:id="rId10790" o:title=""/>
          </v:shape>
          <o:OLEObject Type="Embed" ProgID="Equation.DSMT4" ShapeID="_x0000_i6374" DrawAspect="Content" ObjectID="_1791380318" r:id="rId10791"/>
        </w:object>
      </w:r>
      <w:r>
        <w:rPr>
          <w:rtl/>
        </w:rPr>
        <w:tab/>
      </w:r>
      <w:r>
        <w:rPr>
          <w:rtl/>
        </w:rPr>
        <w:tab/>
      </w:r>
      <w:r>
        <w:rPr>
          <w:rtl/>
        </w:rPr>
        <w:tab/>
      </w:r>
      <w:r>
        <w:rPr>
          <w:rtl/>
        </w:rPr>
        <w:tab/>
      </w:r>
      <w:r>
        <w:rPr>
          <w:rtl/>
        </w:rPr>
        <w:tab/>
      </w:r>
      <w:r>
        <w:rPr>
          <w:rtl/>
        </w:rPr>
        <w:tab/>
      </w:r>
      <w:r>
        <w:rPr>
          <w:rtl/>
        </w:rPr>
        <w:tab/>
      </w:r>
      <w:r w:rsidRPr="00A62AA2">
        <w:rPr>
          <w:rFonts w:hint="cs"/>
          <w:i/>
          <w:sz w:val="23"/>
          <w:szCs w:val="23"/>
          <w:rtl/>
        </w:rPr>
        <w:t xml:space="preserve">(۱۳. </w:t>
      </w:r>
      <w:r w:rsidRPr="00654A08">
        <w:rPr>
          <w:rFonts w:ascii="NPIZar" w:hAnsi="NPIZar"/>
          <w:i/>
          <w:sz w:val="23"/>
          <w:szCs w:val="23"/>
          <w:rtl/>
        </w:rPr>
        <w:t>22</w:t>
      </w:r>
      <w:r w:rsidRPr="00A62AA2">
        <w:rPr>
          <w:rFonts w:hint="cs"/>
          <w:i/>
          <w:sz w:val="23"/>
          <w:szCs w:val="23"/>
          <w:rtl/>
        </w:rPr>
        <w:t>)</w:t>
      </w:r>
    </w:p>
    <w:p w14:paraId="0DF01A05"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که نشان می‌دهد افزایش دائمی عرضه پول</w:t>
      </w:r>
      <w:r w:rsidRPr="00A62AA2">
        <w:rPr>
          <w:position w:val="-10"/>
        </w:rPr>
        <w:object w:dxaOrig="300" w:dyaOrig="320" w14:anchorId="1DD4AB29">
          <v:shape id="_x0000_i6375" type="#_x0000_t75" style="width:14.5pt;height:15.75pt" o:ole="">
            <v:imagedata r:id="rId10792" o:title=""/>
          </v:shape>
          <o:OLEObject Type="Embed" ProgID="Equation.DSMT4" ShapeID="_x0000_i6375" DrawAspect="Content" ObjectID="_1791380319" r:id="rId10793"/>
        </w:object>
      </w:r>
      <w:r w:rsidRPr="00A62AA2">
        <w:rPr>
          <w:rFonts w:eastAsiaTheme="minorEastAsia" w:hint="cs"/>
          <w:i/>
          <w:sz w:val="23"/>
          <w:szCs w:val="23"/>
          <w:rtl/>
        </w:rPr>
        <w:t xml:space="preserve"> باعث کاهش</w:t>
      </w:r>
      <w:r w:rsidRPr="00A62AA2">
        <w:rPr>
          <w:rFonts w:eastAsiaTheme="minorEastAsia"/>
          <w:i/>
          <w:sz w:val="23"/>
          <w:szCs w:val="23"/>
        </w:rPr>
        <w:t xml:space="preserve"> </w:t>
      </w:r>
      <w:r w:rsidRPr="00A62AA2">
        <w:rPr>
          <w:rFonts w:eastAsiaTheme="minorEastAsia" w:hint="cs"/>
          <w:i/>
          <w:sz w:val="23"/>
          <w:szCs w:val="23"/>
          <w:rtl/>
        </w:rPr>
        <w:t>ارزش پولی داخلی به همان میزان، و انبساط مالی از طریق</w:t>
      </w:r>
      <w:r w:rsidRPr="00A62AA2">
        <w:rPr>
          <w:rFonts w:eastAsiaTheme="minorEastAsia"/>
          <w:i/>
          <w:sz w:val="23"/>
          <w:szCs w:val="23"/>
        </w:rPr>
        <w:t xml:space="preserve"> </w:t>
      </w:r>
      <w:r w:rsidRPr="00A62AA2">
        <w:rPr>
          <w:rFonts w:eastAsiaTheme="minorEastAsia" w:hint="cs"/>
          <w:i/>
          <w:sz w:val="23"/>
          <w:szCs w:val="23"/>
          <w:rtl/>
        </w:rPr>
        <w:t>افزایش</w:t>
      </w:r>
      <w:r w:rsidRPr="00A62AA2">
        <w:rPr>
          <w:position w:val="-8"/>
        </w:rPr>
        <w:object w:dxaOrig="220" w:dyaOrig="240" w14:anchorId="02B70D54">
          <v:shape id="_x0000_i6376" type="#_x0000_t75" style="width:10.9pt;height:11.5pt" o:ole="">
            <v:imagedata r:id="rId10794" o:title=""/>
          </v:shape>
          <o:OLEObject Type="Embed" ProgID="Equation.DSMT4" ShapeID="_x0000_i6376" DrawAspect="Content" ObjectID="_1791380320" r:id="rId10795"/>
        </w:object>
      </w:r>
      <w:r w:rsidRPr="00A62AA2">
        <w:rPr>
          <w:rFonts w:eastAsiaTheme="minorEastAsia" w:hint="cs"/>
          <w:i/>
          <w:sz w:val="23"/>
          <w:szCs w:val="23"/>
          <w:rtl/>
        </w:rPr>
        <w:t xml:space="preserve"> باعث افزایش ارزش پول داخلی، و افزایش در</w:t>
      </w:r>
      <w:r w:rsidRPr="00A62AA2">
        <w:rPr>
          <w:position w:val="-10"/>
        </w:rPr>
        <w:object w:dxaOrig="300" w:dyaOrig="340" w14:anchorId="4387034B">
          <v:shape id="_x0000_i6377" type="#_x0000_t75" style="width:14.5pt;height:16.95pt" o:ole="">
            <v:imagedata r:id="rId10796" o:title=""/>
          </v:shape>
          <o:OLEObject Type="Embed" ProgID="Equation.DSMT4" ShapeID="_x0000_i6377" DrawAspect="Content" ObjectID="_1791380321" r:id="rId10797"/>
        </w:object>
      </w:r>
      <w:r w:rsidRPr="00A62AA2">
        <w:rPr>
          <w:rFonts w:eastAsiaTheme="minorEastAsia" w:hint="cs"/>
          <w:i/>
          <w:sz w:val="23"/>
          <w:szCs w:val="23"/>
          <w:rtl/>
        </w:rPr>
        <w:t xml:space="preserve"> و کاهش</w:t>
      </w:r>
      <w:r w:rsidRPr="00A62AA2">
        <w:rPr>
          <w:position w:val="-10"/>
        </w:rPr>
        <w:object w:dxaOrig="279" w:dyaOrig="340" w14:anchorId="2D961B6F">
          <v:shape id="_x0000_i6378" type="#_x0000_t75" style="width:13.9pt;height:16.95pt" o:ole="">
            <v:imagedata r:id="rId10798" o:title=""/>
          </v:shape>
          <o:OLEObject Type="Embed" ProgID="Equation.DSMT4" ShapeID="_x0000_i6378" DrawAspect="Content" ObjectID="_1791380322" r:id="rId10799"/>
        </w:object>
      </w:r>
      <w:r w:rsidRPr="00A62AA2">
        <w:rPr>
          <w:rFonts w:eastAsiaTheme="minorEastAsia" w:hint="cs"/>
          <w:i/>
          <w:sz w:val="23"/>
          <w:szCs w:val="23"/>
          <w:rtl/>
        </w:rPr>
        <w:t xml:space="preserve"> باعث کاهش ارزش پول داخلی خواهد شد.</w:t>
      </w:r>
    </w:p>
    <w:p w14:paraId="4F22EFB5" w14:textId="77777777" w:rsidR="00556C10" w:rsidRPr="00A62AA2" w:rsidRDefault="00556C10" w:rsidP="00556C10">
      <w:pPr>
        <w:tabs>
          <w:tab w:val="right" w:pos="-83"/>
          <w:tab w:val="right" w:pos="7"/>
        </w:tabs>
        <w:spacing w:line="216" w:lineRule="auto"/>
        <w:rPr>
          <w:rFonts w:eastAsiaTheme="minorEastAsia"/>
          <w:i/>
          <w:sz w:val="23"/>
          <w:szCs w:val="23"/>
        </w:rPr>
      </w:pPr>
      <w:r w:rsidRPr="00A62AA2">
        <w:rPr>
          <w:rFonts w:eastAsiaTheme="minorEastAsia" w:hint="cs"/>
          <w:i/>
          <w:sz w:val="23"/>
          <w:szCs w:val="23"/>
          <w:rtl/>
        </w:rPr>
        <w:t xml:space="preserve"> حل</w:t>
      </w:r>
      <w:r w:rsidRPr="00A62AA2">
        <w:rPr>
          <w:position w:val="-10"/>
        </w:rPr>
        <w:object w:dxaOrig="260" w:dyaOrig="320" w14:anchorId="72A72ADE">
          <v:shape id="_x0000_i6379" type="#_x0000_t75" style="width:13.3pt;height:15.75pt" o:ole="">
            <v:imagedata r:id="rId10800" o:title=""/>
          </v:shape>
          <o:OLEObject Type="Embed" ProgID="Equation.DSMT4" ShapeID="_x0000_i6379" DrawAspect="Content" ObjectID="_1791380323" r:id="rId10801"/>
        </w:object>
      </w:r>
      <w:r w:rsidRPr="00A62AA2">
        <w:rPr>
          <w:rFonts w:eastAsiaTheme="minorEastAsia" w:hint="cs"/>
          <w:i/>
          <w:sz w:val="23"/>
          <w:szCs w:val="23"/>
          <w:rtl/>
        </w:rPr>
        <w:t xml:space="preserve"> از جایگزینی معادله‌ی (۱۳. ۲۱) در (۱۳. ۱۵) بدست خواهد آمد. لذا </w:t>
      </w:r>
    </w:p>
    <w:p w14:paraId="0A52CDF2" w14:textId="77777777" w:rsidR="00556C10" w:rsidRPr="00A62AA2" w:rsidRDefault="00556C10" w:rsidP="00556C10">
      <w:pPr>
        <w:tabs>
          <w:tab w:val="right" w:pos="-83"/>
          <w:tab w:val="right" w:pos="7"/>
        </w:tabs>
        <w:bidi w:val="0"/>
        <w:spacing w:line="216" w:lineRule="auto"/>
        <w:rPr>
          <w:rFonts w:eastAsiaTheme="minorEastAsia"/>
          <w:i/>
          <w:sz w:val="23"/>
          <w:szCs w:val="23"/>
          <w:rtl/>
        </w:rPr>
      </w:pPr>
      <w:r w:rsidRPr="00A62AA2">
        <w:rPr>
          <w:position w:val="-28"/>
        </w:rPr>
        <w:object w:dxaOrig="5140" w:dyaOrig="680" w14:anchorId="122473AC">
          <v:shape id="_x0000_i6380" type="#_x0000_t75" style="width:256.55pt;height:33.9pt" o:ole="">
            <v:imagedata r:id="rId10802" o:title=""/>
          </v:shape>
          <o:OLEObject Type="Embed" ProgID="Equation.DSMT4" ShapeID="_x0000_i6380" DrawAspect="Content" ObjectID="_1791380324" r:id="rId10803"/>
        </w:object>
      </w:r>
      <w:r w:rsidRPr="00A62AA2">
        <w:rPr>
          <w:i/>
          <w:sz w:val="23"/>
          <w:szCs w:val="23"/>
          <w:rtl/>
        </w:rPr>
        <w:tab/>
      </w:r>
      <w:r>
        <w:rPr>
          <w:i/>
          <w:sz w:val="23"/>
          <w:szCs w:val="23"/>
          <w:rtl/>
        </w:rPr>
        <w:tab/>
      </w:r>
      <w:r w:rsidRPr="00A62AA2">
        <w:rPr>
          <w:i/>
          <w:sz w:val="23"/>
          <w:szCs w:val="23"/>
          <w:rtl/>
        </w:rPr>
        <w:tab/>
      </w:r>
      <w:r w:rsidRPr="00A62AA2">
        <w:rPr>
          <w:rFonts w:eastAsiaTheme="minorEastAsia" w:hint="cs"/>
          <w:i/>
          <w:sz w:val="23"/>
          <w:szCs w:val="23"/>
          <w:rtl/>
        </w:rPr>
        <w:t>(۱۳. ۲۳)</w:t>
      </w:r>
      <w:r w:rsidRPr="00A62AA2">
        <w:rPr>
          <w:rFonts w:eastAsiaTheme="minorEastAsia"/>
          <w:i/>
          <w:sz w:val="23"/>
          <w:szCs w:val="23"/>
        </w:rPr>
        <w:t xml:space="preserve"> </w:t>
      </w:r>
    </w:p>
    <w:p w14:paraId="25B37291"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در نگاه اول ممکن است بنظر نرسد که مدل دورنبوش دارای چسبندگی قیمت‌هاست، زیرا مدل فاقد وقفه‌ است و قیمت به مازاد تقاضای جاری و نه وقفه‌ی آن وابسته است. با این حال، از حل معادله‌ی (۱۳. ۲۳) بوضوح روشن است که پویایی رفتار سطح قیمت کاملاً پیچیده است و دارای وقفه‌های مرتبه دوم است.</w:t>
      </w:r>
    </w:p>
    <w:p w14:paraId="703EDA3F" w14:textId="77777777" w:rsidR="00556C10" w:rsidRPr="00A62AA2" w:rsidRDefault="00556C10" w:rsidP="00556C10">
      <w:pPr>
        <w:tabs>
          <w:tab w:val="right" w:pos="-83"/>
          <w:tab w:val="right" w:pos="7"/>
        </w:tabs>
        <w:spacing w:line="216" w:lineRule="auto"/>
        <w:rPr>
          <w:rFonts w:eastAsiaTheme="minorEastAsia"/>
          <w:i/>
          <w:sz w:val="23"/>
          <w:szCs w:val="23"/>
          <w:rtl/>
        </w:rPr>
      </w:pPr>
    </w:p>
    <w:p w14:paraId="36479E38" w14:textId="77777777" w:rsidR="00556C10" w:rsidRDefault="00556C10" w:rsidP="00556C10">
      <w:pPr>
        <w:tabs>
          <w:tab w:val="right" w:pos="-83"/>
          <w:tab w:val="right" w:pos="7"/>
        </w:tabs>
        <w:spacing w:line="216" w:lineRule="auto"/>
        <w:rPr>
          <w:rFonts w:eastAsiaTheme="minorEastAsia"/>
          <w:bCs/>
          <w:i/>
          <w:sz w:val="23"/>
          <w:szCs w:val="23"/>
          <w:rtl/>
        </w:rPr>
      </w:pPr>
    </w:p>
    <w:p w14:paraId="748DA395" w14:textId="77777777" w:rsidR="00556C10" w:rsidRPr="00A62AA2" w:rsidRDefault="00556C10" w:rsidP="00556C10">
      <w:pPr>
        <w:tabs>
          <w:tab w:val="right" w:pos="-83"/>
          <w:tab w:val="right" w:pos="7"/>
        </w:tabs>
        <w:spacing w:line="216" w:lineRule="auto"/>
        <w:rPr>
          <w:rFonts w:eastAsiaTheme="minorEastAsia"/>
          <w:bCs/>
          <w:i/>
          <w:sz w:val="23"/>
          <w:szCs w:val="23"/>
          <w:rtl/>
        </w:rPr>
      </w:pPr>
      <w:r w:rsidRPr="00A62AA2">
        <w:rPr>
          <w:rFonts w:eastAsiaTheme="minorEastAsia" w:hint="cs"/>
          <w:bCs/>
          <w:i/>
          <w:sz w:val="23"/>
          <w:szCs w:val="23"/>
          <w:rtl/>
        </w:rPr>
        <w:t>سیاست پولی</w:t>
      </w:r>
    </w:p>
    <w:p w14:paraId="78C971C7"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ابتدا اثر افزایش موقتی و پیش</w:t>
      </w:r>
      <w:r w:rsidRPr="00A62AA2">
        <w:rPr>
          <w:rFonts w:eastAsiaTheme="minorEastAsia"/>
          <w:i/>
          <w:sz w:val="23"/>
          <w:szCs w:val="23"/>
        </w:rPr>
        <w:softHyphen/>
      </w:r>
      <w:r w:rsidRPr="00A62AA2">
        <w:rPr>
          <w:rFonts w:eastAsiaTheme="minorEastAsia" w:hint="cs"/>
          <w:i/>
          <w:sz w:val="23"/>
          <w:szCs w:val="23"/>
          <w:rtl/>
        </w:rPr>
        <w:t>بینی نشده‌ی عرضه‌ی پول را از</w:t>
      </w:r>
      <w:r w:rsidRPr="00A62AA2">
        <w:rPr>
          <w:position w:val="-10"/>
        </w:rPr>
        <w:object w:dxaOrig="320" w:dyaOrig="320" w14:anchorId="1B764C0D">
          <v:shape id="_x0000_i6381" type="#_x0000_t75" style="width:15.75pt;height:15.75pt" o:ole="">
            <v:imagedata r:id="rId10804" o:title=""/>
          </v:shape>
          <o:OLEObject Type="Embed" ProgID="Equation.DSMT4" ShapeID="_x0000_i6381" DrawAspect="Content" ObjectID="_1791380325" r:id="rId10805"/>
        </w:object>
      </w:r>
      <w:r w:rsidRPr="00A62AA2">
        <w:rPr>
          <w:rFonts w:eastAsiaTheme="minorEastAsia" w:hint="cs"/>
          <w:i/>
          <w:sz w:val="23"/>
          <w:szCs w:val="23"/>
          <w:rtl/>
        </w:rPr>
        <w:t xml:space="preserve"> به</w:t>
      </w:r>
      <w:r w:rsidRPr="00A62AA2">
        <w:rPr>
          <w:position w:val="-10"/>
        </w:rPr>
        <w:object w:dxaOrig="300" w:dyaOrig="320" w14:anchorId="24505BE7">
          <v:shape id="_x0000_i6382" type="#_x0000_t75" style="width:14.5pt;height:15.75pt" o:ole="">
            <v:imagedata r:id="rId10806" o:title=""/>
          </v:shape>
          <o:OLEObject Type="Embed" ProgID="Equation.DSMT4" ShapeID="_x0000_i6382" DrawAspect="Content" ObjectID="_1791380326" r:id="rId10807"/>
        </w:object>
      </w:r>
      <w:r w:rsidRPr="00A62AA2">
        <w:rPr>
          <w:i/>
          <w:sz w:val="23"/>
          <w:szCs w:val="23"/>
          <w:rtl/>
        </w:rPr>
        <w:t xml:space="preserve"> </w:t>
      </w:r>
      <w:r w:rsidRPr="00A62AA2">
        <w:rPr>
          <w:rFonts w:eastAsiaTheme="minorEastAsia" w:hint="cs"/>
          <w:i/>
          <w:sz w:val="23"/>
          <w:szCs w:val="23"/>
          <w:rtl/>
        </w:rPr>
        <w:t>در زمان</w:t>
      </w:r>
      <w:r w:rsidRPr="00A62AA2">
        <w:rPr>
          <w:position w:val="-6"/>
        </w:rPr>
        <w:object w:dxaOrig="139" w:dyaOrig="240" w14:anchorId="39E263D7">
          <v:shape id="_x0000_i6383" type="#_x0000_t75" style="width:6.65pt;height:11.5pt" o:ole="">
            <v:imagedata r:id="rId10808" o:title=""/>
          </v:shape>
          <o:OLEObject Type="Embed" ProgID="Equation.DSMT4" ShapeID="_x0000_i6383" DrawAspect="Content" ObjectID="_1791380327" r:id="rId10809"/>
        </w:object>
      </w:r>
      <w:r w:rsidRPr="00A62AA2">
        <w:rPr>
          <w:rFonts w:eastAsiaTheme="minorEastAsia" w:hint="cs"/>
          <w:i/>
          <w:sz w:val="23"/>
          <w:szCs w:val="23"/>
          <w:rtl/>
        </w:rPr>
        <w:t>بر نرخ ارز بررسی خواهیم کرد. در زمان</w:t>
      </w:r>
      <w:r w:rsidRPr="00A62AA2">
        <w:rPr>
          <w:position w:val="-6"/>
        </w:rPr>
        <w:object w:dxaOrig="440" w:dyaOrig="260" w14:anchorId="3D1D0E6A">
          <v:shape id="_x0000_i6384" type="#_x0000_t75" style="width:21.8pt;height:13.3pt" o:ole="">
            <v:imagedata r:id="rId10810" o:title=""/>
          </v:shape>
          <o:OLEObject Type="Embed" ProgID="Equation.DSMT4" ShapeID="_x0000_i6384" DrawAspect="Content" ObjectID="_1791380328" r:id="rId10811"/>
        </w:object>
      </w:r>
      <w:r w:rsidRPr="00A62AA2">
        <w:rPr>
          <w:rFonts w:eastAsiaTheme="minorEastAsia" w:hint="cs"/>
          <w:i/>
          <w:sz w:val="23"/>
          <w:szCs w:val="23"/>
          <w:rtl/>
        </w:rPr>
        <w:t xml:space="preserve"> انتظار می‌رود که عرضه‌ی پول به مقدار اولیه</w:t>
      </w:r>
      <w:r w:rsidRPr="00A62AA2">
        <w:rPr>
          <w:rFonts w:eastAsiaTheme="minorEastAsia" w:hint="cs"/>
          <w:i/>
          <w:sz w:val="23"/>
          <w:szCs w:val="23"/>
          <w:rtl/>
        </w:rPr>
        <w:softHyphen/>
        <w:t>ی خود یعنی</w:t>
      </w:r>
      <w:r w:rsidRPr="00A62AA2">
        <w:rPr>
          <w:position w:val="-10"/>
        </w:rPr>
        <w:object w:dxaOrig="320" w:dyaOrig="320" w14:anchorId="1EBED426">
          <v:shape id="_x0000_i6385" type="#_x0000_t75" style="width:15.75pt;height:15.75pt" o:ole="">
            <v:imagedata r:id="rId10812" o:title=""/>
          </v:shape>
          <o:OLEObject Type="Embed" ProgID="Equation.DSMT4" ShapeID="_x0000_i6385" DrawAspect="Content" ObjectID="_1791380329" r:id="rId10813"/>
        </w:object>
      </w:r>
      <w:r w:rsidRPr="00A62AA2">
        <w:rPr>
          <w:rFonts w:eastAsiaTheme="minorEastAsia" w:hint="cs"/>
          <w:i/>
          <w:sz w:val="23"/>
          <w:szCs w:val="23"/>
          <w:rtl/>
        </w:rPr>
        <w:t xml:space="preserve"> بازگردد. عرضه‌ی پول هم در</w:t>
      </w:r>
      <w:r w:rsidRPr="00A62AA2">
        <w:rPr>
          <w:position w:val="-10"/>
        </w:rPr>
        <w:object w:dxaOrig="240" w:dyaOrig="320" w14:anchorId="19DD6EE7">
          <v:shape id="_x0000_i6386" type="#_x0000_t75" style="width:11.5pt;height:15.75pt" o:ole="">
            <v:imagedata r:id="rId10814" o:title=""/>
          </v:shape>
          <o:OLEObject Type="Embed" ProgID="Equation.DSMT4" ShapeID="_x0000_i6386" DrawAspect="Content" ObjectID="_1791380330" r:id="rId10815"/>
        </w:object>
      </w:r>
      <w:r w:rsidRPr="00A62AA2">
        <w:rPr>
          <w:rFonts w:eastAsiaTheme="minorEastAsia" w:hint="cs"/>
          <w:i/>
          <w:sz w:val="23"/>
          <w:szCs w:val="23"/>
          <w:rtl/>
        </w:rPr>
        <w:t xml:space="preserve"> و هم</w:t>
      </w:r>
      <w:r w:rsidRPr="00A62AA2">
        <w:rPr>
          <w:position w:val="-10"/>
        </w:rPr>
        <w:object w:dxaOrig="220" w:dyaOrig="320" w14:anchorId="5EF45721">
          <v:shape id="_x0000_i6387" type="#_x0000_t75" style="width:10.9pt;height:15.75pt" o:ole="">
            <v:imagedata r:id="rId10816" o:title=""/>
          </v:shape>
          <o:OLEObject Type="Embed" ProgID="Equation.DSMT4" ShapeID="_x0000_i6387" DrawAspect="Content" ObjectID="_1791380331" r:id="rId10817"/>
        </w:object>
      </w:r>
      <w:r w:rsidRPr="00A62AA2">
        <w:rPr>
          <w:rFonts w:eastAsiaTheme="minorEastAsia" w:hint="cs"/>
          <w:i/>
          <w:sz w:val="23"/>
          <w:szCs w:val="23"/>
          <w:rtl/>
        </w:rPr>
        <w:t xml:space="preserve"> و به تبع آن در</w:t>
      </w:r>
      <w:r w:rsidRPr="00A62AA2">
        <w:rPr>
          <w:position w:val="-10"/>
        </w:rPr>
        <w:object w:dxaOrig="240" w:dyaOrig="320" w14:anchorId="5EBF6434">
          <v:shape id="_x0000_i6388" type="#_x0000_t75" style="width:11.5pt;height:15.75pt" o:ole="">
            <v:imagedata r:id="rId10818" o:title=""/>
          </v:shape>
          <o:OLEObject Type="Embed" ProgID="Equation.DSMT4" ShapeID="_x0000_i6388" DrawAspect="Content" ObjectID="_1791380332" r:id="rId10819"/>
        </w:object>
      </w:r>
      <w:r w:rsidRPr="00A62AA2">
        <w:rPr>
          <w:rFonts w:eastAsiaTheme="minorEastAsia" w:hint="cs"/>
          <w:i/>
          <w:sz w:val="23"/>
          <w:szCs w:val="23"/>
          <w:rtl/>
        </w:rPr>
        <w:t xml:space="preserve"> ظاهر می‌شود. تمامی دیگر متغیرهای موجود در</w:t>
      </w:r>
      <w:r w:rsidRPr="00A62AA2">
        <w:rPr>
          <w:position w:val="-10"/>
        </w:rPr>
        <w:object w:dxaOrig="240" w:dyaOrig="320" w14:anchorId="6F740936">
          <v:shape id="_x0000_i6389" type="#_x0000_t75" style="width:11.5pt;height:15.75pt" o:ole="">
            <v:imagedata r:id="rId10820" o:title=""/>
          </v:shape>
          <o:OLEObject Type="Embed" ProgID="Equation.DSMT4" ShapeID="_x0000_i6389" DrawAspect="Content" ObjectID="_1791380333" r:id="rId10821"/>
        </w:object>
      </w:r>
      <w:r w:rsidRPr="00A62AA2">
        <w:rPr>
          <w:rFonts w:eastAsiaTheme="minorEastAsia"/>
          <w:i/>
          <w:sz w:val="23"/>
          <w:szCs w:val="23"/>
        </w:rPr>
        <w:t xml:space="preserve"> </w:t>
      </w:r>
      <w:r w:rsidRPr="00A62AA2">
        <w:rPr>
          <w:rFonts w:eastAsiaTheme="minorEastAsia" w:hint="cs"/>
          <w:i/>
          <w:sz w:val="23"/>
          <w:szCs w:val="23"/>
          <w:rtl/>
        </w:rPr>
        <w:t>را برابر صفر قرار می</w:t>
      </w:r>
      <w:r w:rsidRPr="00A62AA2">
        <w:rPr>
          <w:rFonts w:eastAsiaTheme="minorEastAsia" w:hint="cs"/>
          <w:i/>
          <w:sz w:val="23"/>
          <w:szCs w:val="23"/>
          <w:rtl/>
        </w:rPr>
        <w:softHyphen/>
        <w:t xml:space="preserve">دهیم. بنابراین می‌توان نوشت </w:t>
      </w:r>
    </w:p>
    <w:p w14:paraId="631ED9CD" w14:textId="77777777" w:rsidR="00556C10" w:rsidRPr="00A62AA2" w:rsidRDefault="00556C10" w:rsidP="00556C10">
      <w:pPr>
        <w:tabs>
          <w:tab w:val="right" w:pos="-83"/>
          <w:tab w:val="right" w:pos="7"/>
        </w:tabs>
        <w:bidi w:val="0"/>
        <w:spacing w:line="216" w:lineRule="auto"/>
        <w:rPr>
          <w:rFonts w:eastAsiaTheme="minorEastAsia"/>
          <w:i/>
          <w:sz w:val="23"/>
          <w:szCs w:val="23"/>
        </w:rPr>
      </w:pPr>
      <w:r w:rsidRPr="00A62AA2">
        <w:rPr>
          <w:position w:val="-26"/>
        </w:rPr>
        <w:object w:dxaOrig="4340" w:dyaOrig="620" w14:anchorId="51925327">
          <v:shape id="_x0000_i6390" type="#_x0000_t75" style="width:217.2pt;height:30.85pt" o:ole="">
            <v:imagedata r:id="rId10822" o:title=""/>
          </v:shape>
          <o:OLEObject Type="Embed" ProgID="Equation.DSMT4" ShapeID="_x0000_i6390" DrawAspect="Content" ObjectID="_1791380334" r:id="rId10823"/>
        </w:object>
      </w:r>
    </w:p>
    <w:p w14:paraId="319666B7" w14:textId="77777777" w:rsidR="00556C10" w:rsidRPr="00A62AA2" w:rsidRDefault="00556C10" w:rsidP="00556C10">
      <w:pPr>
        <w:tabs>
          <w:tab w:val="right" w:pos="-83"/>
          <w:tab w:val="right" w:pos="7"/>
        </w:tabs>
        <w:bidi w:val="0"/>
        <w:spacing w:line="216" w:lineRule="auto"/>
        <w:rPr>
          <w:rFonts w:eastAsiaTheme="minorEastAsia"/>
          <w:i/>
          <w:sz w:val="23"/>
          <w:szCs w:val="23"/>
        </w:rPr>
      </w:pPr>
      <w:r w:rsidRPr="00A62AA2">
        <w:rPr>
          <w:position w:val="-26"/>
        </w:rPr>
        <w:object w:dxaOrig="2580" w:dyaOrig="620" w14:anchorId="758CE6CA">
          <v:shape id="_x0000_i6391" type="#_x0000_t75" style="width:129.5pt;height:30.85pt" o:ole="">
            <v:imagedata r:id="rId10824" o:title=""/>
          </v:shape>
          <o:OLEObject Type="Embed" ProgID="Equation.DSMT4" ShapeID="_x0000_i6391" DrawAspect="Content" ObjectID="_1791380335" r:id="rId10825"/>
        </w:object>
      </w:r>
    </w:p>
    <w:p w14:paraId="71EF3AC4" w14:textId="77777777" w:rsidR="00556C10" w:rsidRPr="00A62AA2" w:rsidRDefault="00556C10" w:rsidP="00556C10">
      <w:pPr>
        <w:tabs>
          <w:tab w:val="right" w:pos="-83"/>
          <w:tab w:val="right" w:pos="7"/>
        </w:tabs>
        <w:bidi w:val="0"/>
        <w:spacing w:line="216" w:lineRule="auto"/>
        <w:rPr>
          <w:rFonts w:eastAsiaTheme="minorEastAsia"/>
          <w:i/>
          <w:sz w:val="23"/>
          <w:szCs w:val="23"/>
        </w:rPr>
      </w:pPr>
      <w:r w:rsidRPr="00A62AA2">
        <w:rPr>
          <w:position w:val="-26"/>
        </w:rPr>
        <w:object w:dxaOrig="3340" w:dyaOrig="620" w14:anchorId="397EDB9A">
          <v:shape id="_x0000_i6392" type="#_x0000_t75" style="width:167pt;height:30.85pt" o:ole="">
            <v:imagedata r:id="rId10826" o:title=""/>
          </v:shape>
          <o:OLEObject Type="Embed" ProgID="Equation.DSMT4" ShapeID="_x0000_i6392" DrawAspect="Content" ObjectID="_1791380336" r:id="rId10827"/>
        </w:object>
      </w:r>
    </w:p>
    <w:p w14:paraId="01AE6B91"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پیش از زمان</w:t>
      </w:r>
      <w:r w:rsidRPr="00A62AA2">
        <w:rPr>
          <w:position w:val="-6"/>
        </w:rPr>
        <w:object w:dxaOrig="139" w:dyaOrig="240" w14:anchorId="52BB857A">
          <v:shape id="_x0000_i6393" type="#_x0000_t75" style="width:6.65pt;height:11.5pt" o:ole="">
            <v:imagedata r:id="rId10828" o:title=""/>
          </v:shape>
          <o:OLEObject Type="Embed" ProgID="Equation.DSMT4" ShapeID="_x0000_i6393" DrawAspect="Content" ObjectID="_1791380337" r:id="rId10829"/>
        </w:object>
      </w:r>
      <w:r w:rsidRPr="00A62AA2">
        <w:rPr>
          <w:rFonts w:eastAsiaTheme="minorEastAsia" w:hint="cs"/>
          <w:i/>
          <w:sz w:val="23"/>
          <w:szCs w:val="23"/>
          <w:rtl/>
        </w:rPr>
        <w:t xml:space="preserve">، </w:t>
      </w:r>
      <w:r w:rsidRPr="00A62AA2">
        <w:rPr>
          <w:position w:val="-10"/>
        </w:rPr>
        <w:object w:dxaOrig="820" w:dyaOrig="320" w14:anchorId="7EFC6DB0">
          <v:shape id="_x0000_i6394" type="#_x0000_t75" style="width:41.15pt;height:15.75pt" o:ole="">
            <v:imagedata r:id="rId10830" o:title=""/>
          </v:shape>
          <o:OLEObject Type="Embed" ProgID="Equation.DSMT4" ShapeID="_x0000_i6394" DrawAspect="Content" ObjectID="_1791380338" r:id="rId10831"/>
        </w:object>
      </w:r>
      <w:r w:rsidRPr="00A62AA2">
        <w:rPr>
          <w:rFonts w:eastAsiaTheme="minorEastAsia" w:hint="cs"/>
          <w:i/>
          <w:sz w:val="23"/>
          <w:szCs w:val="23"/>
          <w:rtl/>
        </w:rPr>
        <w:t xml:space="preserve"> را برای</w:t>
      </w:r>
      <w:r w:rsidRPr="00A62AA2">
        <w:rPr>
          <w:position w:val="-6"/>
        </w:rPr>
        <w:object w:dxaOrig="480" w:dyaOrig="260" w14:anchorId="3508E702">
          <v:shape id="_x0000_i6395" type="#_x0000_t75" style="width:24.2pt;height:13.3pt" o:ole="">
            <v:imagedata r:id="rId10832" o:title=""/>
          </v:shape>
          <o:OLEObject Type="Embed" ProgID="Equation.DSMT4" ShapeID="_x0000_i6395" DrawAspect="Content" ObjectID="_1791380339" r:id="rId10833"/>
        </w:object>
      </w:r>
      <w:r w:rsidRPr="00A62AA2">
        <w:rPr>
          <w:rFonts w:eastAsiaTheme="minorEastAsia" w:hint="cs"/>
          <w:i/>
          <w:sz w:val="23"/>
          <w:szCs w:val="23"/>
          <w:rtl/>
        </w:rPr>
        <w:t xml:space="preserve"> قرار می‌دهیم. با جایگزینی در</w:t>
      </w:r>
      <w:r w:rsidRPr="00A62AA2">
        <w:rPr>
          <w:position w:val="-10"/>
        </w:rPr>
        <w:object w:dxaOrig="240" w:dyaOrig="320" w14:anchorId="31930B1F">
          <v:shape id="_x0000_i6396" type="#_x0000_t75" style="width:11.5pt;height:15.75pt" o:ole="">
            <v:imagedata r:id="rId10834" o:title=""/>
          </v:shape>
          <o:OLEObject Type="Embed" ProgID="Equation.DSMT4" ShapeID="_x0000_i6396" DrawAspect="Content" ObjectID="_1791380340" r:id="rId10835"/>
        </w:object>
      </w:r>
      <w:r w:rsidRPr="00A62AA2">
        <w:rPr>
          <w:rFonts w:eastAsiaTheme="minorEastAsia" w:hint="cs"/>
          <w:i/>
          <w:sz w:val="23"/>
          <w:szCs w:val="23"/>
          <w:rtl/>
        </w:rPr>
        <w:t xml:space="preserve"> و</w:t>
      </w:r>
      <w:r w:rsidRPr="00A62AA2">
        <w:rPr>
          <w:position w:val="-10"/>
        </w:rPr>
        <w:object w:dxaOrig="560" w:dyaOrig="320" w14:anchorId="711E8478">
          <v:shape id="_x0000_i6397" type="#_x0000_t75" style="width:27.85pt;height:15.75pt" o:ole="">
            <v:imagedata r:id="rId10836" o:title=""/>
          </v:shape>
          <o:OLEObject Type="Embed" ProgID="Equation.DSMT4" ShapeID="_x0000_i6397" DrawAspect="Content" ObjectID="_1791380341" r:id="rId10837"/>
        </w:object>
      </w:r>
      <w:r w:rsidRPr="00A62AA2">
        <w:rPr>
          <w:rFonts w:eastAsiaTheme="minorEastAsia" w:hint="cs"/>
          <w:i/>
          <w:sz w:val="23"/>
          <w:szCs w:val="23"/>
          <w:rtl/>
        </w:rPr>
        <w:t xml:space="preserve"> در معادله‌ی (۱۳. ۱۹) نرخ ارز در زمان</w:t>
      </w:r>
      <w:r w:rsidRPr="00A62AA2">
        <w:rPr>
          <w:position w:val="-6"/>
        </w:rPr>
        <w:object w:dxaOrig="139" w:dyaOrig="240" w14:anchorId="3ACCD220">
          <v:shape id="_x0000_i6398" type="#_x0000_t75" style="width:6.65pt;height:11.5pt" o:ole="">
            <v:imagedata r:id="rId10838" o:title=""/>
          </v:shape>
          <o:OLEObject Type="Embed" ProgID="Equation.DSMT4" ShapeID="_x0000_i6398" DrawAspect="Content" ObjectID="_1791380342" r:id="rId10839"/>
        </w:object>
      </w:r>
      <w:r w:rsidRPr="00A62AA2">
        <w:rPr>
          <w:rFonts w:eastAsiaTheme="minorEastAsia" w:hint="cs"/>
          <w:i/>
          <w:sz w:val="23"/>
          <w:szCs w:val="23"/>
          <w:rtl/>
        </w:rPr>
        <w:t xml:space="preserve"> برابر خواهد شد با</w:t>
      </w:r>
    </w:p>
    <w:p w14:paraId="1B613E9E" w14:textId="77777777" w:rsidR="00556C10" w:rsidRPr="00A62AA2" w:rsidRDefault="00556C10" w:rsidP="00556C10">
      <w:pPr>
        <w:tabs>
          <w:tab w:val="right" w:pos="-83"/>
          <w:tab w:val="right" w:pos="7"/>
        </w:tabs>
        <w:bidi w:val="0"/>
        <w:spacing w:line="216" w:lineRule="auto"/>
        <w:rPr>
          <w:rFonts w:eastAsiaTheme="minorEastAsia"/>
          <w:i/>
          <w:sz w:val="23"/>
          <w:szCs w:val="23"/>
          <w:rtl/>
        </w:rPr>
      </w:pPr>
      <w:r w:rsidRPr="00A62AA2">
        <w:rPr>
          <w:position w:val="-10"/>
        </w:rPr>
        <w:object w:dxaOrig="1260" w:dyaOrig="320" w14:anchorId="5EA5EA11">
          <v:shape id="_x0000_i6399" type="#_x0000_t75" style="width:62.9pt;height:15.75pt" o:ole="">
            <v:imagedata r:id="rId10840" o:title=""/>
          </v:shape>
          <o:OLEObject Type="Embed" ProgID="Equation.DSMT4" ShapeID="_x0000_i6399" DrawAspect="Content" ObjectID="_1791380343" r:id="rId10841"/>
        </w:object>
      </w:r>
    </w:p>
    <w:p w14:paraId="7CABFBEE"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lastRenderedPageBreak/>
        <w:t xml:space="preserve"> از آنجا که</w:t>
      </w:r>
      <w:r w:rsidRPr="00A62AA2">
        <w:rPr>
          <w:rFonts w:eastAsiaTheme="minorEastAsia"/>
          <w:i/>
          <w:sz w:val="23"/>
          <w:szCs w:val="23"/>
        </w:rPr>
        <w:t xml:space="preserve"> </w:t>
      </w:r>
      <w:r w:rsidRPr="00A62AA2">
        <w:rPr>
          <w:position w:val="-10"/>
        </w:rPr>
        <w:object w:dxaOrig="580" w:dyaOrig="320" w14:anchorId="1E118337">
          <v:shape id="_x0000_i6400" type="#_x0000_t75" style="width:29.05pt;height:15.75pt" o:ole="">
            <v:imagedata r:id="rId10842" o:title=""/>
          </v:shape>
          <o:OLEObject Type="Embed" ProgID="Equation.DSMT4" ShapeID="_x0000_i6400" DrawAspect="Content" ObjectID="_1791380344" r:id="rId10843"/>
        </w:object>
      </w:r>
      <w:r w:rsidRPr="00A62AA2">
        <w:rPr>
          <w:rFonts w:eastAsiaTheme="minorEastAsia"/>
          <w:i/>
          <w:sz w:val="23"/>
          <w:szCs w:val="23"/>
        </w:rPr>
        <w:t xml:space="preserve"> </w:t>
      </w:r>
      <w:r w:rsidRPr="00A62AA2">
        <w:rPr>
          <w:rFonts w:eastAsiaTheme="minorEastAsia" w:hint="cs"/>
          <w:i/>
          <w:sz w:val="23"/>
          <w:szCs w:val="23"/>
          <w:rtl/>
        </w:rPr>
        <w:t xml:space="preserve">است خواهیم داشت </w:t>
      </w:r>
      <w:r w:rsidRPr="00A62AA2">
        <w:rPr>
          <w:position w:val="-14"/>
        </w:rPr>
        <w:object w:dxaOrig="2480" w:dyaOrig="380" w14:anchorId="20E3A42F">
          <v:shape id="_x0000_i6401" type="#_x0000_t75" style="width:124.05pt;height:18.75pt" o:ole="">
            <v:imagedata r:id="rId10844" o:title=""/>
          </v:shape>
          <o:OLEObject Type="Embed" ProgID="Equation.DSMT4" ShapeID="_x0000_i6401" DrawAspect="Content" ObjectID="_1791380345" r:id="rId10845"/>
        </w:object>
      </w:r>
      <w:r w:rsidRPr="00A62AA2">
        <w:rPr>
          <w:rFonts w:eastAsiaTheme="minorEastAsia" w:hint="cs"/>
          <w:i/>
          <w:sz w:val="23"/>
          <w:szCs w:val="23"/>
          <w:rtl/>
        </w:rPr>
        <w:t>، و</w:t>
      </w:r>
      <w:r w:rsidRPr="00A62AA2">
        <w:rPr>
          <w:rFonts w:eastAsiaTheme="minorEastAsia"/>
          <w:i/>
          <w:sz w:val="23"/>
          <w:szCs w:val="23"/>
        </w:rPr>
        <w:t xml:space="preserve"> </w:t>
      </w:r>
      <w:r w:rsidRPr="00A62AA2">
        <w:rPr>
          <w:rFonts w:eastAsiaTheme="minorEastAsia" w:hint="cs"/>
          <w:i/>
          <w:sz w:val="23"/>
          <w:szCs w:val="23"/>
          <w:rtl/>
        </w:rPr>
        <w:t>بنابراین یک تغییر موقتی عرضه</w:t>
      </w:r>
      <w:r w:rsidRPr="00A62AA2">
        <w:rPr>
          <w:rFonts w:eastAsiaTheme="minorEastAsia" w:hint="cs"/>
          <w:i/>
          <w:sz w:val="23"/>
          <w:szCs w:val="23"/>
          <w:rtl/>
        </w:rPr>
        <w:softHyphen/>
        <w:t>ی پول در زمان</w:t>
      </w:r>
      <w:r w:rsidRPr="00A62AA2">
        <w:rPr>
          <w:position w:val="-6"/>
        </w:rPr>
        <w:object w:dxaOrig="139" w:dyaOrig="240" w14:anchorId="581E5253">
          <v:shape id="_x0000_i6402" type="#_x0000_t75" style="width:6.65pt;height:11.5pt" o:ole="">
            <v:imagedata r:id="rId10846" o:title=""/>
          </v:shape>
          <o:OLEObject Type="Embed" ProgID="Equation.DSMT4" ShapeID="_x0000_i6402" DrawAspect="Content" ObjectID="_1791380346" r:id="rId10847"/>
        </w:object>
      </w:r>
      <w:r w:rsidRPr="00A62AA2">
        <w:rPr>
          <w:rFonts w:eastAsiaTheme="minorEastAsia" w:hint="cs"/>
          <w:i/>
          <w:sz w:val="23"/>
          <w:szCs w:val="23"/>
          <w:rtl/>
        </w:rPr>
        <w:t xml:space="preserve"> باعث کاهش ارزش پول داخلی خواهد شد. </w:t>
      </w:r>
    </w:p>
    <w:p w14:paraId="6CECC3B5"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اکنون افزایش دائمی و پیش</w:t>
      </w:r>
      <w:r w:rsidRPr="00A62AA2">
        <w:rPr>
          <w:rFonts w:eastAsiaTheme="minorEastAsia" w:hint="cs"/>
          <w:i/>
          <w:sz w:val="23"/>
          <w:szCs w:val="23"/>
          <w:rtl/>
        </w:rPr>
        <w:softHyphen/>
        <w:t>بینی نشده‌ی عرضه پول در زمان</w:t>
      </w:r>
      <w:r w:rsidRPr="00A62AA2">
        <w:rPr>
          <w:position w:val="-6"/>
        </w:rPr>
        <w:object w:dxaOrig="139" w:dyaOrig="240" w14:anchorId="1E491D49">
          <v:shape id="_x0000_i6403" type="#_x0000_t75" style="width:6.65pt;height:11.5pt" o:ole="">
            <v:imagedata r:id="rId10848" o:title=""/>
          </v:shape>
          <o:OLEObject Type="Embed" ProgID="Equation.DSMT4" ShapeID="_x0000_i6403" DrawAspect="Content" ObjectID="_1791380347" r:id="rId10849"/>
        </w:object>
      </w:r>
      <w:r w:rsidRPr="00A62AA2">
        <w:rPr>
          <w:rFonts w:eastAsiaTheme="minorEastAsia" w:hint="cs"/>
          <w:i/>
          <w:sz w:val="23"/>
          <w:szCs w:val="23"/>
          <w:rtl/>
        </w:rPr>
        <w:t xml:space="preserve"> را بررسی می‌کنیم. فرض می‌کنیم پیش از تغییر سیاست انتظار می‌رفت که</w:t>
      </w:r>
      <w:r w:rsidRPr="00A62AA2">
        <w:rPr>
          <w:position w:val="-10"/>
        </w:rPr>
        <w:object w:dxaOrig="700" w:dyaOrig="320" w14:anchorId="75F538E8">
          <v:shape id="_x0000_i6404" type="#_x0000_t75" style="width:35.1pt;height:15.75pt" o:ole="">
            <v:imagedata r:id="rId10850" o:title=""/>
          </v:shape>
          <o:OLEObject Type="Embed" ProgID="Equation.DSMT4" ShapeID="_x0000_i6404" DrawAspect="Content" ObjectID="_1791380348" r:id="rId10851"/>
        </w:object>
      </w:r>
      <w:r w:rsidRPr="00A62AA2">
        <w:rPr>
          <w:rFonts w:eastAsiaTheme="minorEastAsia" w:hint="cs"/>
          <w:i/>
          <w:sz w:val="23"/>
          <w:szCs w:val="23"/>
          <w:rtl/>
        </w:rPr>
        <w:t>، یعنی مقدار بلند‌مدت قبلی خود باشد. پس از تغییر مقدار بلند‌مدت جدید، نرخ ارز برابر است با</w:t>
      </w:r>
      <w:r w:rsidRPr="00A62AA2">
        <w:rPr>
          <w:position w:val="-10"/>
        </w:rPr>
        <w:object w:dxaOrig="620" w:dyaOrig="320" w14:anchorId="5B950FBF">
          <v:shape id="_x0000_i6405" type="#_x0000_t75" style="width:30.85pt;height:15.75pt" o:ole="">
            <v:imagedata r:id="rId10852" o:title=""/>
          </v:shape>
          <o:OLEObject Type="Embed" ProgID="Equation.DSMT4" ShapeID="_x0000_i6405" DrawAspect="Content" ObjectID="_1791380349" r:id="rId10853"/>
        </w:object>
      </w:r>
      <w:r w:rsidRPr="00A62AA2">
        <w:rPr>
          <w:rFonts w:eastAsiaTheme="minorEastAsia"/>
          <w:i/>
          <w:sz w:val="23"/>
          <w:szCs w:val="23"/>
        </w:rPr>
        <w:t>.</w:t>
      </w:r>
      <w:r w:rsidRPr="00A62AA2">
        <w:rPr>
          <w:rFonts w:eastAsiaTheme="minorEastAsia" w:hint="cs"/>
          <w:i/>
          <w:sz w:val="23"/>
          <w:szCs w:val="23"/>
          <w:rtl/>
        </w:rPr>
        <w:t xml:space="preserve"> این موضوع را بررسی می‌کنیم که در زمان </w:t>
      </w:r>
      <w:r w:rsidRPr="00A62AA2">
        <w:rPr>
          <w:position w:val="-6"/>
        </w:rPr>
        <w:object w:dxaOrig="139" w:dyaOrig="240" w14:anchorId="0089E8C9">
          <v:shape id="_x0000_i6406" type="#_x0000_t75" style="width:6.65pt;height:11.5pt" o:ole="">
            <v:imagedata r:id="rId10854" o:title=""/>
          </v:shape>
          <o:OLEObject Type="Embed" ProgID="Equation.DSMT4" ShapeID="_x0000_i6406" DrawAspect="Content" ObjectID="_1791380350" r:id="rId10855"/>
        </w:object>
      </w:r>
      <w:r w:rsidRPr="00A62AA2">
        <w:rPr>
          <w:rFonts w:eastAsiaTheme="minorEastAsia" w:hint="cs"/>
          <w:i/>
          <w:sz w:val="23"/>
          <w:szCs w:val="23"/>
          <w:rtl/>
        </w:rPr>
        <w:t xml:space="preserve"> برای نرخ ارز چه اتفاقی می‌افتد. در این حالت که در آن </w:t>
      </w:r>
      <w:r w:rsidRPr="00A62AA2">
        <w:rPr>
          <w:position w:val="-14"/>
        </w:rPr>
        <w:object w:dxaOrig="1960" w:dyaOrig="380" w14:anchorId="45B404B1">
          <v:shape id="_x0000_i6407" type="#_x0000_t75" style="width:98pt;height:18.75pt" o:ole="">
            <v:imagedata r:id="rId10856" o:title=""/>
          </v:shape>
          <o:OLEObject Type="Embed" ProgID="Equation.DSMT4" ShapeID="_x0000_i6407" DrawAspect="Content" ObjectID="_1791380351" r:id="rId10857"/>
        </w:object>
      </w:r>
      <w:r w:rsidRPr="00A62AA2">
        <w:rPr>
          <w:rFonts w:eastAsiaTheme="minorEastAsia" w:hint="cs"/>
          <w:i/>
          <w:sz w:val="23"/>
          <w:szCs w:val="23"/>
          <w:rtl/>
        </w:rPr>
        <w:t xml:space="preserve"> است اگر</w:t>
      </w:r>
      <w:r w:rsidRPr="00A62AA2">
        <w:rPr>
          <w:position w:val="-6"/>
        </w:rPr>
        <w:object w:dxaOrig="520" w:dyaOrig="260" w14:anchorId="2624D172">
          <v:shape id="_x0000_i6408" type="#_x0000_t75" style="width:26pt;height:13.3pt" o:ole="">
            <v:imagedata r:id="rId10858" o:title=""/>
          </v:shape>
          <o:OLEObject Type="Embed" ProgID="Equation.DSMT4" ShapeID="_x0000_i6408" DrawAspect="Content" ObjectID="_1791380352" r:id="rId10859"/>
        </w:object>
      </w:r>
      <w:r w:rsidRPr="00A62AA2">
        <w:rPr>
          <w:rFonts w:eastAsiaTheme="minorEastAsia"/>
          <w:i/>
          <w:sz w:val="23"/>
          <w:szCs w:val="23"/>
        </w:rPr>
        <w:t xml:space="preserve"> </w:t>
      </w:r>
      <w:r w:rsidRPr="00A62AA2">
        <w:rPr>
          <w:rFonts w:eastAsiaTheme="minorEastAsia" w:hint="cs"/>
          <w:i/>
          <w:sz w:val="23"/>
          <w:szCs w:val="23"/>
          <w:rtl/>
        </w:rPr>
        <w:t>باشد</w:t>
      </w:r>
      <w:r w:rsidRPr="00A62AA2">
        <w:rPr>
          <w:rFonts w:eastAsiaTheme="minorEastAsia"/>
          <w:i/>
          <w:sz w:val="23"/>
          <w:szCs w:val="23"/>
        </w:rPr>
        <w:t>.</w:t>
      </w:r>
      <w:r w:rsidRPr="00A62AA2">
        <w:rPr>
          <w:rFonts w:eastAsiaTheme="minorEastAsia" w:hint="cs"/>
          <w:i/>
          <w:sz w:val="23"/>
          <w:szCs w:val="23"/>
          <w:rtl/>
        </w:rPr>
        <w:t xml:space="preserve"> بنابراین در دوره</w:t>
      </w:r>
      <w:r w:rsidRPr="00A62AA2">
        <w:rPr>
          <w:rFonts w:eastAsiaTheme="minorEastAsia" w:hint="cs"/>
          <w:i/>
          <w:sz w:val="23"/>
          <w:szCs w:val="23"/>
          <w:rtl/>
        </w:rPr>
        <w:softHyphen/>
        <w:t>ای</w:t>
      </w:r>
      <w:r w:rsidRPr="00A62AA2">
        <w:rPr>
          <w:position w:val="-6"/>
        </w:rPr>
        <w:object w:dxaOrig="139" w:dyaOrig="240" w14:anchorId="6D83CADE">
          <v:shape id="_x0000_i6409" type="#_x0000_t75" style="width:6.65pt;height:11.5pt" o:ole="">
            <v:imagedata r:id="rId10860" o:title=""/>
          </v:shape>
          <o:OLEObject Type="Embed" ProgID="Equation.DSMT4" ShapeID="_x0000_i6409" DrawAspect="Content" ObjectID="_1791380353" r:id="rId10861"/>
        </w:object>
      </w:r>
      <w:r w:rsidRPr="00A62AA2">
        <w:rPr>
          <w:rFonts w:eastAsiaTheme="minorEastAsia" w:hint="cs"/>
          <w:i/>
          <w:sz w:val="23"/>
          <w:szCs w:val="23"/>
          <w:rtl/>
        </w:rPr>
        <w:t xml:space="preserve"> نرخ ارز بیش از حدّ مقدار بلند‌مدت خود یعنی</w:t>
      </w:r>
      <w:r w:rsidRPr="00A62AA2">
        <w:rPr>
          <w:position w:val="-10"/>
        </w:rPr>
        <w:object w:dxaOrig="300" w:dyaOrig="320" w14:anchorId="740A9949">
          <v:shape id="_x0000_i6410" type="#_x0000_t75" style="width:14.5pt;height:15.75pt" o:ole="">
            <v:imagedata r:id="rId10862" o:title=""/>
          </v:shape>
          <o:OLEObject Type="Embed" ProgID="Equation.DSMT4" ShapeID="_x0000_i6410" DrawAspect="Content" ObjectID="_1791380354" r:id="rId10863"/>
        </w:object>
      </w:r>
      <w:r w:rsidRPr="00A62AA2">
        <w:rPr>
          <w:rFonts w:eastAsiaTheme="minorEastAsia" w:hint="cs"/>
          <w:i/>
          <w:sz w:val="23"/>
          <w:szCs w:val="23"/>
          <w:rtl/>
        </w:rPr>
        <w:t xml:space="preserve"> افزایش خواهد یافت. این خاصیت مدل زمان گسسته معادل نتایج معروف جهش بیش از حدّ</w:t>
      </w:r>
      <w:r w:rsidRPr="00A62AA2">
        <w:rPr>
          <w:rStyle w:val="FootnoteReference"/>
          <w:rFonts w:eastAsiaTheme="minorEastAsia"/>
          <w:i/>
          <w:sz w:val="23"/>
          <w:szCs w:val="23"/>
          <w:rtl/>
        </w:rPr>
        <w:footnoteReference w:id="321"/>
      </w:r>
      <w:r w:rsidRPr="00A62AA2">
        <w:rPr>
          <w:rFonts w:eastAsiaTheme="minorEastAsia" w:hint="cs"/>
          <w:i/>
          <w:sz w:val="23"/>
          <w:szCs w:val="23"/>
          <w:rtl/>
        </w:rPr>
        <w:t xml:space="preserve"> مدل دورنبوش است. بعد از زمان</w:t>
      </w:r>
      <w:r w:rsidRPr="00A62AA2">
        <w:rPr>
          <w:position w:val="-6"/>
        </w:rPr>
        <w:object w:dxaOrig="139" w:dyaOrig="240" w14:anchorId="55A7826D">
          <v:shape id="_x0000_i6411" type="#_x0000_t75" style="width:6.65pt;height:11.5pt" o:ole="">
            <v:imagedata r:id="rId10864" o:title=""/>
          </v:shape>
          <o:OLEObject Type="Embed" ProgID="Equation.DSMT4" ShapeID="_x0000_i6411" DrawAspect="Content" ObjectID="_1791380355" r:id="rId10865"/>
        </w:object>
      </w:r>
      <w:r w:rsidRPr="00A62AA2">
        <w:rPr>
          <w:rFonts w:eastAsiaTheme="minorEastAsia" w:hint="cs"/>
          <w:i/>
          <w:sz w:val="23"/>
          <w:szCs w:val="23"/>
          <w:rtl/>
        </w:rPr>
        <w:t xml:space="preserve"> نرخ ارز به آرامی به تعادل بلند‌مدت جدید</w:t>
      </w:r>
      <w:r w:rsidRPr="00A62AA2">
        <w:rPr>
          <w:rFonts w:eastAsiaTheme="minorEastAsia"/>
          <w:i/>
          <w:sz w:val="23"/>
          <w:szCs w:val="23"/>
        </w:rPr>
        <w:t xml:space="preserve"> </w:t>
      </w:r>
      <w:r w:rsidRPr="00A62AA2">
        <w:rPr>
          <w:rFonts w:eastAsiaTheme="minorEastAsia" w:hint="cs"/>
          <w:i/>
          <w:sz w:val="23"/>
          <w:szCs w:val="23"/>
          <w:rtl/>
        </w:rPr>
        <w:t>خود یعنی</w:t>
      </w:r>
      <w:r w:rsidRPr="00A62AA2">
        <w:rPr>
          <w:position w:val="-10"/>
        </w:rPr>
        <w:object w:dxaOrig="300" w:dyaOrig="320" w14:anchorId="164361A6">
          <v:shape id="_x0000_i6412" type="#_x0000_t75" style="width:14.5pt;height:15.75pt" o:ole="">
            <v:imagedata r:id="rId10866" o:title=""/>
          </v:shape>
          <o:OLEObject Type="Embed" ProgID="Equation.DSMT4" ShapeID="_x0000_i6412" DrawAspect="Content" ObjectID="_1791380356" r:id="rId10867"/>
        </w:object>
      </w:r>
      <w:r w:rsidRPr="00A62AA2">
        <w:rPr>
          <w:rFonts w:eastAsiaTheme="minorEastAsia" w:hint="cs"/>
          <w:i/>
          <w:sz w:val="23"/>
          <w:szCs w:val="23"/>
          <w:rtl/>
        </w:rPr>
        <w:t xml:space="preserve"> و به صورت هندسی کاهش یافته و نزدیک خواهد شد. </w:t>
      </w:r>
    </w:p>
    <w:p w14:paraId="521CE679" w14:textId="77777777" w:rsidR="00556C10" w:rsidRPr="00A62AA2" w:rsidRDefault="00556C10" w:rsidP="00556C10">
      <w:pPr>
        <w:tabs>
          <w:tab w:val="right" w:pos="-83"/>
          <w:tab w:val="right" w:pos="7"/>
        </w:tabs>
        <w:bidi w:val="0"/>
        <w:spacing w:line="216" w:lineRule="auto"/>
        <w:rPr>
          <w:rFonts w:eastAsiaTheme="minorEastAsia"/>
          <w:i/>
          <w:sz w:val="23"/>
          <w:szCs w:val="23"/>
        </w:rPr>
      </w:pPr>
      <w:r w:rsidRPr="00A62AA2">
        <w:rPr>
          <w:position w:val="-26"/>
        </w:rPr>
        <w:object w:dxaOrig="2240" w:dyaOrig="620" w14:anchorId="3205CCCF">
          <v:shape id="_x0000_i6413" type="#_x0000_t75" style="width:111.95pt;height:30.85pt" o:ole="">
            <v:imagedata r:id="rId10868" o:title=""/>
          </v:shape>
          <o:OLEObject Type="Embed" ProgID="Equation.DSMT4" ShapeID="_x0000_i6413" DrawAspect="Content" ObjectID="_1791380357" r:id="rId10869"/>
        </w:object>
      </w:r>
    </w:p>
    <w:p w14:paraId="39C28334" w14:textId="77777777" w:rsidR="00556C10" w:rsidRPr="00A62AA2" w:rsidRDefault="00556C10" w:rsidP="00556C10">
      <w:pPr>
        <w:tabs>
          <w:tab w:val="right" w:pos="-83"/>
          <w:tab w:val="right" w:pos="7"/>
        </w:tabs>
        <w:bidi w:val="0"/>
        <w:spacing w:line="216" w:lineRule="auto"/>
        <w:rPr>
          <w:rFonts w:eastAsiaTheme="minorEastAsia"/>
          <w:i/>
          <w:sz w:val="23"/>
          <w:szCs w:val="23"/>
        </w:rPr>
      </w:pPr>
      <w:r w:rsidRPr="00A62AA2">
        <w:rPr>
          <w:position w:val="-26"/>
        </w:rPr>
        <w:object w:dxaOrig="3340" w:dyaOrig="620" w14:anchorId="238F012F">
          <v:shape id="_x0000_i6414" type="#_x0000_t75" style="width:167pt;height:30.85pt" o:ole="">
            <v:imagedata r:id="rId10870" o:title=""/>
          </v:shape>
          <o:OLEObject Type="Embed" ProgID="Equation.DSMT4" ShapeID="_x0000_i6414" DrawAspect="Content" ObjectID="_1791380358" r:id="rId10871"/>
        </w:object>
      </w:r>
    </w:p>
    <w:p w14:paraId="76303429" w14:textId="77777777" w:rsidR="00556C10" w:rsidRPr="00A62AA2" w:rsidRDefault="00556C10" w:rsidP="00556C10">
      <w:pPr>
        <w:tabs>
          <w:tab w:val="right" w:pos="-83"/>
          <w:tab w:val="right" w:pos="7"/>
        </w:tabs>
        <w:bidi w:val="0"/>
        <w:spacing w:line="216" w:lineRule="auto"/>
        <w:rPr>
          <w:rFonts w:eastAsiaTheme="minorHAnsi"/>
          <w:i/>
          <w:sz w:val="23"/>
          <w:szCs w:val="23"/>
        </w:rPr>
      </w:pPr>
      <w:r w:rsidRPr="00A62AA2">
        <w:rPr>
          <w:position w:val="-48"/>
        </w:rPr>
        <w:object w:dxaOrig="6259" w:dyaOrig="1060" w14:anchorId="402D35B3">
          <v:shape id="_x0000_i6415" type="#_x0000_t75" style="width:312.8pt;height:53.25pt" o:ole="">
            <v:imagedata r:id="rId10872" o:title=""/>
          </v:shape>
          <o:OLEObject Type="Embed" ProgID="Equation.DSMT4" ShapeID="_x0000_i6415" DrawAspect="Content" ObjectID="_1791380359" r:id="rId10873"/>
        </w:object>
      </w:r>
    </w:p>
    <w:p w14:paraId="324DF3AB"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برای نشان دادن اثر سیاست پولی بر نرخ ارز و سطح قیمت، شبیه</w:t>
      </w:r>
      <w:r w:rsidRPr="00A62AA2">
        <w:rPr>
          <w:rFonts w:eastAsiaTheme="minorEastAsia" w:hint="cs"/>
          <w:i/>
          <w:sz w:val="23"/>
          <w:szCs w:val="23"/>
          <w:rtl/>
        </w:rPr>
        <w:softHyphen/>
        <w:t>سازی عددی را مورد استفاده قرار داده و افزایش عرضه‌ی پول موقتی و دائمی پیش</w:t>
      </w:r>
      <w:r w:rsidRPr="00A62AA2">
        <w:rPr>
          <w:rFonts w:eastAsiaTheme="minorEastAsia" w:hint="cs"/>
          <w:i/>
          <w:sz w:val="23"/>
          <w:szCs w:val="23"/>
          <w:rtl/>
        </w:rPr>
        <w:softHyphen/>
        <w:t>بینی نشده که فرض می‌شود در زمان</w:t>
      </w:r>
      <w:r w:rsidRPr="00A62AA2">
        <w:rPr>
          <w:position w:val="-6"/>
        </w:rPr>
        <w:object w:dxaOrig="460" w:dyaOrig="260" w14:anchorId="2171F4C3">
          <v:shape id="_x0000_i6416" type="#_x0000_t75" style="width:23pt;height:13.3pt" o:ole="">
            <v:imagedata r:id="rId10874" o:title=""/>
          </v:shape>
          <o:OLEObject Type="Embed" ProgID="Equation.DSMT4" ShapeID="_x0000_i6416" DrawAspect="Content" ObjectID="_1791380360" r:id="rId10875"/>
        </w:object>
      </w:r>
      <w:r w:rsidRPr="00A62AA2">
        <w:rPr>
          <w:rFonts w:eastAsiaTheme="minorEastAsia" w:hint="cs"/>
          <w:i/>
          <w:sz w:val="23"/>
          <w:szCs w:val="23"/>
          <w:rtl/>
        </w:rPr>
        <w:t xml:space="preserve"> اتفاق می‌افتد را بررسی خواهیم کرد.</w:t>
      </w:r>
      <w:r w:rsidRPr="00A62AA2">
        <w:rPr>
          <w:rFonts w:eastAsiaTheme="minorEastAsia"/>
          <w:i/>
          <w:sz w:val="23"/>
          <w:szCs w:val="23"/>
        </w:rPr>
        <w:t xml:space="preserve"> </w:t>
      </w:r>
      <w:r w:rsidRPr="00A62AA2">
        <w:rPr>
          <w:rFonts w:eastAsiaTheme="minorEastAsia" w:hint="cs"/>
          <w:i/>
          <w:sz w:val="23"/>
          <w:szCs w:val="23"/>
          <w:rtl/>
        </w:rPr>
        <w:t>نتایج نرخ ارز و سطح قیمت همراه با شوک پولی در نمودارهای ۱۳. ۱۱ الی ۱۳. ۱۴ نشان داده شده است. در این نمودارها نماد</w:t>
      </w:r>
      <w:r w:rsidRPr="00A62AA2">
        <w:rPr>
          <w:position w:val="-6"/>
        </w:rPr>
        <w:object w:dxaOrig="260" w:dyaOrig="200" w14:anchorId="2BC7A36D">
          <v:shape id="_x0000_i6417" type="#_x0000_t75" style="width:13.3pt;height:10.3pt" o:ole="">
            <v:imagedata r:id="rId10876" o:title=""/>
          </v:shape>
          <o:OLEObject Type="Embed" ProgID="Equation.DSMT4" ShapeID="_x0000_i6417" DrawAspect="Content" ObjectID="_1791380361" r:id="rId10877"/>
        </w:object>
      </w:r>
      <w:r w:rsidRPr="00A62AA2">
        <w:rPr>
          <w:rFonts w:eastAsiaTheme="minorEastAsia" w:hint="cs"/>
          <w:i/>
          <w:sz w:val="23"/>
          <w:szCs w:val="23"/>
          <w:rtl/>
        </w:rPr>
        <w:t xml:space="preserve"> مبین شوک پولی،</w:t>
      </w:r>
      <w:r w:rsidRPr="00A62AA2">
        <w:rPr>
          <w:position w:val="-8"/>
        </w:rPr>
        <w:object w:dxaOrig="220" w:dyaOrig="240" w14:anchorId="24D5441F">
          <v:shape id="_x0000_i6418" type="#_x0000_t75" style="width:10.9pt;height:11.5pt" o:ole="">
            <v:imagedata r:id="rId10878" o:title=""/>
          </v:shape>
          <o:OLEObject Type="Embed" ProgID="Equation.DSMT4" ShapeID="_x0000_i6418" DrawAspect="Content" ObjectID="_1791380362" r:id="rId10879"/>
        </w:object>
      </w:r>
      <w:r w:rsidRPr="00A62AA2">
        <w:rPr>
          <w:rFonts w:eastAsiaTheme="minorEastAsia" w:hint="cs"/>
          <w:i/>
          <w:sz w:val="23"/>
          <w:szCs w:val="23"/>
          <w:rtl/>
        </w:rPr>
        <w:t xml:space="preserve"> شوک مالی،</w:t>
      </w:r>
      <w:r w:rsidRPr="00A62AA2">
        <w:rPr>
          <w:rFonts w:eastAsiaTheme="minorEastAsia"/>
          <w:i/>
          <w:sz w:val="23"/>
          <w:szCs w:val="23"/>
        </w:rPr>
        <w:t xml:space="preserve"> </w:t>
      </w:r>
      <w:r w:rsidRPr="00A62AA2">
        <w:rPr>
          <w:position w:val="-6"/>
        </w:rPr>
        <w:object w:dxaOrig="200" w:dyaOrig="200" w14:anchorId="24A32398">
          <v:shape id="_x0000_i6419" type="#_x0000_t75" style="width:10.3pt;height:10.3pt" o:ole="">
            <v:imagedata r:id="rId10880" o:title=""/>
          </v:shape>
          <o:OLEObject Type="Embed" ProgID="Equation.DSMT4" ShapeID="_x0000_i6419" DrawAspect="Content" ObjectID="_1791380363" r:id="rId10881"/>
        </w:object>
      </w:r>
      <w:r w:rsidRPr="00A62AA2">
        <w:rPr>
          <w:rFonts w:eastAsiaTheme="minorEastAsia" w:hint="cs"/>
          <w:i/>
          <w:sz w:val="23"/>
          <w:szCs w:val="23"/>
          <w:rtl/>
        </w:rPr>
        <w:t xml:space="preserve"> شوک پیش</w:t>
      </w:r>
      <w:r w:rsidRPr="00A62AA2">
        <w:rPr>
          <w:rFonts w:eastAsiaTheme="minorEastAsia" w:hint="cs"/>
          <w:i/>
          <w:sz w:val="23"/>
          <w:szCs w:val="23"/>
          <w:rtl/>
        </w:rPr>
        <w:softHyphen/>
        <w:t>بینی نشده،</w:t>
      </w:r>
      <w:r w:rsidRPr="00A62AA2">
        <w:rPr>
          <w:position w:val="-6"/>
        </w:rPr>
        <w:object w:dxaOrig="200" w:dyaOrig="200" w14:anchorId="219938E4">
          <v:shape id="_x0000_i6420" type="#_x0000_t75" style="width:10.3pt;height:10.3pt" o:ole="">
            <v:imagedata r:id="rId10882" o:title=""/>
          </v:shape>
          <o:OLEObject Type="Embed" ProgID="Equation.DSMT4" ShapeID="_x0000_i6420" DrawAspect="Content" ObjectID="_1791380364" r:id="rId10883"/>
        </w:object>
      </w:r>
      <w:r w:rsidRPr="00A62AA2">
        <w:rPr>
          <w:rFonts w:eastAsiaTheme="minorEastAsia" w:hint="cs"/>
          <w:i/>
          <w:sz w:val="23"/>
          <w:szCs w:val="23"/>
          <w:rtl/>
        </w:rPr>
        <w:t xml:space="preserve"> شوک پیش</w:t>
      </w:r>
      <w:r w:rsidRPr="00A62AA2">
        <w:rPr>
          <w:rFonts w:eastAsiaTheme="minorEastAsia" w:hint="cs"/>
          <w:i/>
          <w:sz w:val="23"/>
          <w:szCs w:val="23"/>
          <w:rtl/>
        </w:rPr>
        <w:softHyphen/>
        <w:t>بینی شده،</w:t>
      </w:r>
      <w:r w:rsidRPr="00A62AA2">
        <w:rPr>
          <w:position w:val="-6"/>
        </w:rPr>
        <w:object w:dxaOrig="139" w:dyaOrig="240" w14:anchorId="0E283EED">
          <v:shape id="_x0000_i6421" type="#_x0000_t75" style="width:6.65pt;height:11.5pt" o:ole="">
            <v:imagedata r:id="rId10884" o:title=""/>
          </v:shape>
          <o:OLEObject Type="Embed" ProgID="Equation.DSMT4" ShapeID="_x0000_i6421" DrawAspect="Content" ObjectID="_1791380365" r:id="rId10885"/>
        </w:object>
      </w:r>
      <w:r w:rsidRPr="00A62AA2">
        <w:rPr>
          <w:rFonts w:eastAsiaTheme="minorEastAsia" w:hint="cs"/>
          <w:i/>
          <w:sz w:val="23"/>
          <w:szCs w:val="23"/>
          <w:rtl/>
        </w:rPr>
        <w:t xml:space="preserve"> نماد شوک موقتی و</w:t>
      </w:r>
      <w:r w:rsidRPr="00A62AA2">
        <w:rPr>
          <w:position w:val="-8"/>
        </w:rPr>
        <w:object w:dxaOrig="220" w:dyaOrig="220" w14:anchorId="3902B123">
          <v:shape id="_x0000_i6422" type="#_x0000_t75" style="width:10.9pt;height:10.9pt" o:ole="">
            <v:imagedata r:id="rId10886" o:title=""/>
          </v:shape>
          <o:OLEObject Type="Embed" ProgID="Equation.DSMT4" ShapeID="_x0000_i6422" DrawAspect="Content" ObjectID="_1791380366" r:id="rId10887"/>
        </w:object>
      </w:r>
      <w:r w:rsidRPr="00A62AA2">
        <w:rPr>
          <w:rFonts w:eastAsiaTheme="minorEastAsia" w:hint="cs"/>
          <w:i/>
          <w:sz w:val="23"/>
          <w:szCs w:val="23"/>
          <w:rtl/>
        </w:rPr>
        <w:t xml:space="preserve"> مبین شوک دائمی است. بنابراین</w:t>
      </w:r>
      <w:r w:rsidRPr="00A62AA2">
        <w:rPr>
          <w:position w:val="-6"/>
        </w:rPr>
        <w:object w:dxaOrig="460" w:dyaOrig="240" w14:anchorId="3752578B">
          <v:shape id="_x0000_i6423" type="#_x0000_t75" style="width:23pt;height:11.5pt" o:ole="">
            <v:imagedata r:id="rId10888" o:title=""/>
          </v:shape>
          <o:OLEObject Type="Embed" ProgID="Equation.DSMT4" ShapeID="_x0000_i6423" DrawAspect="Content" ObjectID="_1791380367" r:id="rId10889"/>
        </w:object>
      </w:r>
      <w:r w:rsidRPr="00A62AA2">
        <w:rPr>
          <w:rFonts w:eastAsiaTheme="minorEastAsia"/>
          <w:i/>
          <w:sz w:val="23"/>
          <w:szCs w:val="23"/>
        </w:rPr>
        <w:t xml:space="preserve"> </w:t>
      </w:r>
      <w:r w:rsidRPr="00A62AA2">
        <w:rPr>
          <w:rFonts w:eastAsiaTheme="minorEastAsia" w:hint="cs"/>
          <w:i/>
          <w:sz w:val="23"/>
          <w:szCs w:val="23"/>
          <w:rtl/>
        </w:rPr>
        <w:t>یک شوک پولی پیش</w:t>
      </w:r>
      <w:r w:rsidRPr="00A62AA2">
        <w:rPr>
          <w:rFonts w:eastAsiaTheme="minorEastAsia" w:hint="cs"/>
          <w:i/>
          <w:sz w:val="23"/>
          <w:szCs w:val="23"/>
          <w:rtl/>
        </w:rPr>
        <w:softHyphen/>
        <w:t>بینی نشده</w:t>
      </w:r>
      <w:r w:rsidRPr="00A62AA2">
        <w:rPr>
          <w:rFonts w:eastAsiaTheme="minorEastAsia" w:hint="cs"/>
          <w:i/>
          <w:sz w:val="23"/>
          <w:szCs w:val="23"/>
          <w:rtl/>
        </w:rPr>
        <w:softHyphen/>
        <w:t>ی موقتی است.</w:t>
      </w:r>
    </w:p>
    <w:p w14:paraId="7389BAD0"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افزایش عرضه‌ی پول باعث کاهش ارزش پول داخلی و افزایش سطح قیمت</w:t>
      </w:r>
      <w:r w:rsidRPr="00A62AA2">
        <w:rPr>
          <w:rFonts w:eastAsiaTheme="minorEastAsia" w:hint="cs"/>
          <w:i/>
          <w:sz w:val="23"/>
          <w:szCs w:val="23"/>
          <w:rtl/>
        </w:rPr>
        <w:softHyphen/>
        <w:t>ها می‌شود. تعدیل سطح قیمت آرامتر از نرخ ارز است. برای یک شوک دائمی، نرخ ارز بیش از حد مقدار بلند‌مدت جدید خود بالا رفته، ولی سطح قیمت، که باید آهسته‌تر پاسخ بدهد، این</w:t>
      </w:r>
      <w:r w:rsidRPr="00A62AA2">
        <w:rPr>
          <w:rFonts w:eastAsiaTheme="minorEastAsia" w:hint="cs"/>
          <w:i/>
          <w:sz w:val="23"/>
          <w:szCs w:val="23"/>
          <w:rtl/>
        </w:rPr>
        <w:softHyphen/>
        <w:t>گونه نیست. نرخ ارز و سطح قیمت سریعاً به تغییرات آتی عرضه‌ی پول پیش</w:t>
      </w:r>
      <w:r w:rsidRPr="00A62AA2">
        <w:rPr>
          <w:rFonts w:eastAsiaTheme="minorEastAsia" w:hint="cs"/>
          <w:i/>
          <w:sz w:val="23"/>
          <w:szCs w:val="23"/>
          <w:rtl/>
        </w:rPr>
        <w:softHyphen/>
        <w:t xml:space="preserve">بینی شده پاسخ می‌دهند. </w:t>
      </w:r>
    </w:p>
    <w:p w14:paraId="05D0B9A6" w14:textId="77777777" w:rsidR="00556C10" w:rsidRPr="00A62AA2" w:rsidRDefault="00556C10" w:rsidP="00556C10">
      <w:pPr>
        <w:tabs>
          <w:tab w:val="right" w:pos="-83"/>
          <w:tab w:val="right" w:pos="7"/>
        </w:tabs>
        <w:spacing w:line="216" w:lineRule="auto"/>
        <w:rPr>
          <w:rFonts w:eastAsiaTheme="minorEastAsia"/>
          <w:bCs/>
          <w:i/>
          <w:sz w:val="23"/>
          <w:szCs w:val="23"/>
        </w:rPr>
      </w:pPr>
    </w:p>
    <w:p w14:paraId="336EC0FD" w14:textId="77777777" w:rsidR="00556C10" w:rsidRPr="00A62AA2" w:rsidRDefault="00556C10" w:rsidP="00556C10">
      <w:pPr>
        <w:tabs>
          <w:tab w:val="right" w:pos="-83"/>
          <w:tab w:val="right" w:pos="7"/>
        </w:tabs>
        <w:spacing w:line="216" w:lineRule="auto"/>
        <w:rPr>
          <w:rFonts w:eastAsiaTheme="minorEastAsia"/>
          <w:bCs/>
          <w:i/>
          <w:sz w:val="23"/>
          <w:szCs w:val="23"/>
          <w:rtl/>
        </w:rPr>
      </w:pPr>
      <w:r w:rsidRPr="00A62AA2">
        <w:rPr>
          <w:rFonts w:eastAsiaTheme="minorEastAsia" w:hint="cs"/>
          <w:bCs/>
          <w:i/>
          <w:sz w:val="23"/>
          <w:szCs w:val="23"/>
          <w:rtl/>
        </w:rPr>
        <w:t>سیاست مالی</w:t>
      </w:r>
    </w:p>
    <w:p w14:paraId="3AEE7FC7"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سیاست مالی از طریق تغییر در</w:t>
      </w:r>
      <w:r w:rsidRPr="00A62AA2">
        <w:rPr>
          <w:position w:val="-8"/>
        </w:rPr>
        <w:object w:dxaOrig="220" w:dyaOrig="240" w14:anchorId="6CF54270">
          <v:shape id="_x0000_i6424" type="#_x0000_t75" style="width:10.9pt;height:11.5pt" o:ole="">
            <v:imagedata r:id="rId10890" o:title=""/>
          </v:shape>
          <o:OLEObject Type="Embed" ProgID="Equation.DSMT4" ShapeID="_x0000_i6424" DrawAspect="Content" ObjectID="_1791380368" r:id="rId10891"/>
        </w:object>
      </w:r>
      <w:r w:rsidRPr="00A62AA2">
        <w:rPr>
          <w:rFonts w:eastAsiaTheme="minorEastAsia"/>
          <w:i/>
          <w:sz w:val="23"/>
          <w:szCs w:val="23"/>
        </w:rPr>
        <w:t xml:space="preserve"> </w:t>
      </w:r>
      <w:r w:rsidRPr="00A62AA2">
        <w:rPr>
          <w:rFonts w:eastAsiaTheme="minorEastAsia" w:hint="cs"/>
          <w:i/>
          <w:sz w:val="23"/>
          <w:szCs w:val="23"/>
          <w:rtl/>
        </w:rPr>
        <w:t>باعث انتقال تابع تقاضای کل می‌شود. یک افزایش تقاضای جهانی ممکن است بوسیله تغییر در</w:t>
      </w:r>
      <w:r w:rsidRPr="00A62AA2">
        <w:rPr>
          <w:position w:val="-10"/>
        </w:rPr>
        <w:object w:dxaOrig="279" w:dyaOrig="340" w14:anchorId="1802C5D1">
          <v:shape id="_x0000_i6425" type="#_x0000_t75" style="width:13.9pt;height:16.95pt" o:ole="">
            <v:imagedata r:id="rId10892" o:title=""/>
          </v:shape>
          <o:OLEObject Type="Embed" ProgID="Equation.DSMT4" ShapeID="_x0000_i6425" DrawAspect="Content" ObjectID="_1791380369" r:id="rId10893"/>
        </w:object>
      </w:r>
      <w:r w:rsidRPr="00A62AA2">
        <w:rPr>
          <w:rFonts w:eastAsiaTheme="minorEastAsia" w:hint="cs"/>
          <w:i/>
          <w:sz w:val="23"/>
          <w:szCs w:val="23"/>
          <w:rtl/>
        </w:rPr>
        <w:t xml:space="preserve"> نشان داده شود.</w:t>
      </w:r>
      <w:r w:rsidRPr="00A62AA2">
        <w:rPr>
          <w:rFonts w:eastAsiaTheme="minorEastAsia"/>
          <w:i/>
          <w:sz w:val="23"/>
          <w:szCs w:val="23"/>
        </w:rPr>
        <w:t xml:space="preserve"> </w:t>
      </w:r>
      <w:r w:rsidRPr="00A62AA2">
        <w:rPr>
          <w:rFonts w:eastAsiaTheme="minorEastAsia" w:hint="cs"/>
          <w:i/>
          <w:sz w:val="23"/>
          <w:szCs w:val="23"/>
          <w:rtl/>
        </w:rPr>
        <w:t>از آنجا که این دو متغیر در</w:t>
      </w:r>
      <w:r w:rsidRPr="00A62AA2">
        <w:rPr>
          <w:position w:val="-10"/>
        </w:rPr>
        <w:object w:dxaOrig="240" w:dyaOrig="320" w14:anchorId="3D6B919B">
          <v:shape id="_x0000_i6426" type="#_x0000_t75" style="width:11.5pt;height:15.75pt" o:ole="">
            <v:imagedata r:id="rId10894" o:title=""/>
          </v:shape>
          <o:OLEObject Type="Embed" ProgID="Equation.DSMT4" ShapeID="_x0000_i6426" DrawAspect="Content" ObjectID="_1791380370" r:id="rId10895"/>
        </w:object>
      </w:r>
      <w:r w:rsidRPr="00A62AA2">
        <w:rPr>
          <w:rFonts w:eastAsiaTheme="minorEastAsia" w:hint="cs"/>
          <w:i/>
          <w:sz w:val="23"/>
          <w:szCs w:val="23"/>
          <w:rtl/>
        </w:rPr>
        <w:t xml:space="preserve"> وجود دارند لذا با </w:t>
      </w:r>
      <w:r w:rsidRPr="00A62AA2">
        <w:rPr>
          <w:rFonts w:eastAsiaTheme="minorEastAsia" w:hint="cs"/>
          <w:i/>
          <w:sz w:val="23"/>
          <w:szCs w:val="23"/>
          <w:rtl/>
        </w:rPr>
        <w:lastRenderedPageBreak/>
        <w:t>ثابت بودن دیگر متغیرها، تغییرات در</w:t>
      </w:r>
      <w:r w:rsidRPr="00A62AA2">
        <w:rPr>
          <w:position w:val="-10"/>
        </w:rPr>
        <w:object w:dxaOrig="240" w:dyaOrig="320" w14:anchorId="62BDC75D">
          <v:shape id="_x0000_i6427" type="#_x0000_t75" style="width:11.5pt;height:15.75pt" o:ole="">
            <v:imagedata r:id="rId10896" o:title=""/>
          </v:shape>
          <o:OLEObject Type="Embed" ProgID="Equation.DSMT4" ShapeID="_x0000_i6427" DrawAspect="Content" ObjectID="_1791380371" r:id="rId10897"/>
        </w:object>
      </w:r>
      <w:r w:rsidRPr="00A62AA2">
        <w:rPr>
          <w:rFonts w:eastAsiaTheme="minorEastAsia" w:hint="cs"/>
          <w:i/>
          <w:sz w:val="23"/>
          <w:szCs w:val="23"/>
          <w:rtl/>
        </w:rPr>
        <w:t xml:space="preserve"> به منزله</w:t>
      </w:r>
      <w:r w:rsidRPr="00A62AA2">
        <w:rPr>
          <w:rFonts w:eastAsiaTheme="minorEastAsia" w:hint="cs"/>
          <w:i/>
          <w:sz w:val="23"/>
          <w:szCs w:val="23"/>
          <w:rtl/>
        </w:rPr>
        <w:softHyphen/>
        <w:t>ی تغییر در</w:t>
      </w:r>
      <w:r w:rsidRPr="00A62AA2">
        <w:rPr>
          <w:position w:val="-10"/>
        </w:rPr>
        <w:object w:dxaOrig="240" w:dyaOrig="320" w14:anchorId="259635BF">
          <v:shape id="_x0000_i6428" type="#_x0000_t75" style="width:11.5pt;height:15.75pt" o:ole="">
            <v:imagedata r:id="rId10898" o:title=""/>
          </v:shape>
          <o:OLEObject Type="Embed" ProgID="Equation.DSMT4" ShapeID="_x0000_i6428" DrawAspect="Content" ObjectID="_1791380372" r:id="rId10899"/>
        </w:object>
      </w:r>
      <w:r w:rsidRPr="00A62AA2">
        <w:rPr>
          <w:rFonts w:eastAsiaTheme="minorEastAsia" w:hint="cs"/>
          <w:i/>
          <w:sz w:val="23"/>
          <w:szCs w:val="23"/>
          <w:rtl/>
        </w:rPr>
        <w:t xml:space="preserve"> است. با افزایش موقتی</w:t>
      </w:r>
      <w:r w:rsidRPr="00A62AA2">
        <w:rPr>
          <w:position w:val="-10"/>
        </w:rPr>
        <w:object w:dxaOrig="240" w:dyaOrig="320" w14:anchorId="0E9896A3">
          <v:shape id="_x0000_i6429" type="#_x0000_t75" style="width:11.5pt;height:15.75pt" o:ole="">
            <v:imagedata r:id="rId10900" o:title=""/>
          </v:shape>
          <o:OLEObject Type="Embed" ProgID="Equation.DSMT4" ShapeID="_x0000_i6429" DrawAspect="Content" ObjectID="_1791380373" r:id="rId10901"/>
        </w:object>
      </w:r>
      <w:r w:rsidRPr="00A62AA2">
        <w:rPr>
          <w:rFonts w:eastAsiaTheme="minorEastAsia" w:hint="cs"/>
          <w:i/>
          <w:sz w:val="23"/>
          <w:szCs w:val="23"/>
          <w:rtl/>
        </w:rPr>
        <w:t xml:space="preserve"> در زمان</w:t>
      </w:r>
      <w:r w:rsidRPr="00A62AA2">
        <w:rPr>
          <w:rFonts w:eastAsiaTheme="minorEastAsia"/>
          <w:i/>
          <w:sz w:val="23"/>
          <w:szCs w:val="23"/>
        </w:rPr>
        <w:t xml:space="preserve"> </w:t>
      </w:r>
      <w:r w:rsidRPr="00A62AA2">
        <w:rPr>
          <w:position w:val="-6"/>
        </w:rPr>
        <w:object w:dxaOrig="139" w:dyaOrig="240" w14:anchorId="0ED7B22D">
          <v:shape id="_x0000_i6430" type="#_x0000_t75" style="width:6.65pt;height:11.5pt" o:ole="">
            <v:imagedata r:id="rId10902" o:title=""/>
          </v:shape>
          <o:OLEObject Type="Embed" ProgID="Equation.DSMT4" ShapeID="_x0000_i6430" DrawAspect="Content" ObjectID="_1791380374" r:id="rId10903"/>
        </w:object>
      </w:r>
      <w:r w:rsidRPr="00A62AA2">
        <w:rPr>
          <w:rFonts w:eastAsiaTheme="minorEastAsia" w:hint="cs"/>
          <w:i/>
          <w:sz w:val="23"/>
          <w:szCs w:val="23"/>
          <w:rtl/>
        </w:rPr>
        <w:t>از</w:t>
      </w:r>
      <w:r w:rsidRPr="00A62AA2">
        <w:rPr>
          <w:position w:val="-10"/>
        </w:rPr>
        <w:object w:dxaOrig="260" w:dyaOrig="320" w14:anchorId="03DB1C5A">
          <v:shape id="_x0000_i6431" type="#_x0000_t75" style="width:13.3pt;height:15.75pt" o:ole="">
            <v:imagedata r:id="rId10904" o:title=""/>
          </v:shape>
          <o:OLEObject Type="Embed" ProgID="Equation.DSMT4" ShapeID="_x0000_i6431" DrawAspect="Content" ObjectID="_1791380375" r:id="rId10905"/>
        </w:object>
      </w:r>
      <w:r w:rsidRPr="00A62AA2">
        <w:rPr>
          <w:rFonts w:eastAsiaTheme="minorEastAsia" w:hint="cs"/>
          <w:i/>
          <w:sz w:val="23"/>
          <w:szCs w:val="23"/>
          <w:rtl/>
        </w:rPr>
        <w:t xml:space="preserve"> به</w:t>
      </w:r>
      <w:r w:rsidRPr="00A62AA2">
        <w:rPr>
          <w:position w:val="-10"/>
        </w:rPr>
        <w:object w:dxaOrig="240" w:dyaOrig="320" w14:anchorId="07DB5E6C">
          <v:shape id="_x0000_i6432" type="#_x0000_t75" style="width:11.5pt;height:15.75pt" o:ole="">
            <v:imagedata r:id="rId10906" o:title=""/>
          </v:shape>
          <o:OLEObject Type="Embed" ProgID="Equation.DSMT4" ShapeID="_x0000_i6432" DrawAspect="Content" ObjectID="_1791380376" r:id="rId10907"/>
        </w:object>
      </w:r>
      <w:r w:rsidRPr="00A62AA2">
        <w:rPr>
          <w:rFonts w:eastAsiaTheme="minorEastAsia" w:hint="cs"/>
          <w:i/>
          <w:sz w:val="23"/>
          <w:szCs w:val="23"/>
          <w:rtl/>
        </w:rPr>
        <w:t>، در زمان</w:t>
      </w:r>
      <w:r w:rsidRPr="00A62AA2">
        <w:rPr>
          <w:position w:val="-6"/>
        </w:rPr>
        <w:object w:dxaOrig="139" w:dyaOrig="240" w14:anchorId="05C211C8">
          <v:shape id="_x0000_i6433" type="#_x0000_t75" style="width:6.65pt;height:11.5pt" o:ole="">
            <v:imagedata r:id="rId10908" o:title=""/>
          </v:shape>
          <o:OLEObject Type="Embed" ProgID="Equation.DSMT4" ShapeID="_x0000_i6433" DrawAspect="Content" ObjectID="_1791380377" r:id="rId10909"/>
        </w:object>
      </w:r>
      <w:r w:rsidRPr="00A62AA2">
        <w:rPr>
          <w:rFonts w:eastAsiaTheme="minorEastAsia" w:hint="cs"/>
          <w:i/>
          <w:sz w:val="23"/>
          <w:szCs w:val="23"/>
          <w:rtl/>
        </w:rPr>
        <w:t xml:space="preserve"> خواهیم داشت</w:t>
      </w:r>
    </w:p>
    <w:p w14:paraId="6AA8D546" w14:textId="77777777" w:rsidR="00556C10" w:rsidRPr="00A62AA2" w:rsidRDefault="00556C10" w:rsidP="00556C10">
      <w:pPr>
        <w:tabs>
          <w:tab w:val="right" w:pos="-83"/>
          <w:tab w:val="right" w:pos="7"/>
        </w:tabs>
        <w:bidi w:val="0"/>
        <w:spacing w:line="216" w:lineRule="auto"/>
        <w:rPr>
          <w:rFonts w:eastAsiaTheme="minorHAnsi"/>
          <w:i/>
          <w:sz w:val="23"/>
          <w:szCs w:val="23"/>
        </w:rPr>
      </w:pPr>
      <w:r w:rsidRPr="00A62AA2">
        <w:rPr>
          <w:position w:val="-28"/>
        </w:rPr>
        <w:object w:dxaOrig="2120" w:dyaOrig="620" w14:anchorId="0130D025">
          <v:shape id="_x0000_i6434" type="#_x0000_t75" style="width:105.9pt;height:30.85pt" o:ole="">
            <v:imagedata r:id="rId10910" o:title=""/>
          </v:shape>
          <o:OLEObject Type="Embed" ProgID="Equation.DSMT4" ShapeID="_x0000_i6434" DrawAspect="Content" ObjectID="_1791380378" r:id="rId10911"/>
        </w:object>
      </w:r>
    </w:p>
    <w:p w14:paraId="6A0AD26B" w14:textId="77777777" w:rsidR="00556C10" w:rsidRPr="00A62AA2" w:rsidRDefault="00556C10" w:rsidP="00556C10">
      <w:pPr>
        <w:tabs>
          <w:tab w:val="right" w:pos="-83"/>
          <w:tab w:val="right" w:pos="7"/>
        </w:tabs>
        <w:spacing w:line="216" w:lineRule="auto"/>
        <w:rPr>
          <w:rFonts w:eastAsiaTheme="minorEastAsia"/>
          <w:i/>
          <w:sz w:val="23"/>
          <w:szCs w:val="23"/>
        </w:rPr>
      </w:pPr>
      <w:r w:rsidRPr="00A62AA2">
        <w:rPr>
          <w:rFonts w:eastAsiaTheme="minorEastAsia" w:hint="cs"/>
          <w:i/>
          <w:sz w:val="23"/>
          <w:szCs w:val="23"/>
          <w:rtl/>
        </w:rPr>
        <w:t>بنابراین افزایش ارزش پول داخلی موقتی است و بعد از زمان</w:t>
      </w:r>
      <w:r w:rsidRPr="00A62AA2">
        <w:rPr>
          <w:position w:val="-6"/>
        </w:rPr>
        <w:object w:dxaOrig="139" w:dyaOrig="240" w14:anchorId="48ADCE8B">
          <v:shape id="_x0000_i6435" type="#_x0000_t75" style="width:6.65pt;height:11.5pt" o:ole="">
            <v:imagedata r:id="rId10912" o:title=""/>
          </v:shape>
          <o:OLEObject Type="Embed" ProgID="Equation.DSMT4" ShapeID="_x0000_i6435" DrawAspect="Content" ObjectID="_1791380379" r:id="rId10913"/>
        </w:object>
      </w:r>
      <w:r w:rsidRPr="00A62AA2">
        <w:rPr>
          <w:rFonts w:eastAsiaTheme="minorEastAsia" w:hint="cs"/>
          <w:i/>
          <w:sz w:val="23"/>
          <w:szCs w:val="23"/>
          <w:rtl/>
        </w:rPr>
        <w:t xml:space="preserve"> نرخ ارز به آهستگی و در طی زمان به</w:t>
      </w:r>
      <w:r w:rsidRPr="00A62AA2">
        <w:rPr>
          <w:position w:val="-10"/>
        </w:rPr>
        <w:object w:dxaOrig="240" w:dyaOrig="320" w14:anchorId="4ED97FB1">
          <v:shape id="_x0000_i6436" type="#_x0000_t75" style="width:11.5pt;height:15.75pt" o:ole="">
            <v:imagedata r:id="rId10914" o:title=""/>
          </v:shape>
          <o:OLEObject Type="Embed" ProgID="Equation.DSMT4" ShapeID="_x0000_i6436" DrawAspect="Content" ObjectID="_1791380380" r:id="rId10915"/>
        </w:object>
      </w:r>
      <w:r w:rsidRPr="00A62AA2">
        <w:rPr>
          <w:rFonts w:eastAsiaTheme="minorEastAsia" w:hint="cs"/>
          <w:i/>
          <w:sz w:val="23"/>
          <w:szCs w:val="23"/>
          <w:rtl/>
        </w:rPr>
        <w:t xml:space="preserve"> باز خواهد گشت. اگر تغییرات</w:t>
      </w:r>
      <w:r w:rsidRPr="00A62AA2">
        <w:rPr>
          <w:position w:val="-10"/>
        </w:rPr>
        <w:object w:dxaOrig="240" w:dyaOrig="320" w14:anchorId="09047C66">
          <v:shape id="_x0000_i6437" type="#_x0000_t75" style="width:11.5pt;height:15.75pt" o:ole="">
            <v:imagedata r:id="rId10916" o:title=""/>
          </v:shape>
          <o:OLEObject Type="Embed" ProgID="Equation.DSMT4" ShapeID="_x0000_i6437" DrawAspect="Content" ObjectID="_1791380381" r:id="rId10917"/>
        </w:object>
      </w:r>
      <w:r w:rsidRPr="00A62AA2">
        <w:rPr>
          <w:rFonts w:eastAsiaTheme="minorEastAsia" w:hint="cs"/>
          <w:i/>
          <w:sz w:val="23"/>
          <w:szCs w:val="23"/>
          <w:rtl/>
        </w:rPr>
        <w:t xml:space="preserve"> دائمی باشد، آنگاه</w:t>
      </w:r>
      <w:r w:rsidRPr="00A62AA2">
        <w:rPr>
          <w:position w:val="-10"/>
        </w:rPr>
        <w:object w:dxaOrig="620" w:dyaOrig="320" w14:anchorId="0C251965">
          <v:shape id="_x0000_i6438" type="#_x0000_t75" style="width:30.85pt;height:15.75pt" o:ole="">
            <v:imagedata r:id="rId10918" o:title=""/>
          </v:shape>
          <o:OLEObject Type="Embed" ProgID="Equation.DSMT4" ShapeID="_x0000_i6438" DrawAspect="Content" ObjectID="_1791380382" r:id="rId10919"/>
        </w:object>
      </w:r>
      <w:r w:rsidRPr="00A62AA2">
        <w:rPr>
          <w:rFonts w:eastAsiaTheme="minorEastAsia" w:hint="cs"/>
          <w:i/>
          <w:sz w:val="23"/>
          <w:szCs w:val="23"/>
          <w:rtl/>
        </w:rPr>
        <w:t>، یعنی نرخ ارز در زمان</w:t>
      </w:r>
      <w:r w:rsidRPr="00A62AA2">
        <w:rPr>
          <w:position w:val="-6"/>
        </w:rPr>
        <w:object w:dxaOrig="139" w:dyaOrig="240" w14:anchorId="064BDDFC">
          <v:shape id="_x0000_i6439" type="#_x0000_t75" style="width:6.65pt;height:11.5pt" o:ole="">
            <v:imagedata r:id="rId10920" o:title=""/>
          </v:shape>
          <o:OLEObject Type="Embed" ProgID="Equation.DSMT4" ShapeID="_x0000_i6439" DrawAspect="Content" ObjectID="_1791380383" r:id="rId10921"/>
        </w:object>
      </w:r>
      <w:r w:rsidRPr="00A62AA2">
        <w:rPr>
          <w:rFonts w:eastAsiaTheme="minorEastAsia" w:hint="cs"/>
          <w:i/>
          <w:sz w:val="23"/>
          <w:szCs w:val="23"/>
          <w:rtl/>
        </w:rPr>
        <w:t xml:space="preserve"> به مقدار بلند‌مدت جدید خود جهش خواهد کرد. نمودارهای ۱۳. ۱۵ الی ۱۳. ۱۸ اثر همزمان نرخ ارز و سطح قیمت را براساس شوک‌های مالی مثبت موقتی و دائمی، پیش</w:t>
      </w:r>
      <w:r w:rsidRPr="00A62AA2">
        <w:rPr>
          <w:rFonts w:eastAsiaTheme="minorEastAsia" w:hint="cs"/>
          <w:i/>
          <w:sz w:val="23"/>
          <w:szCs w:val="23"/>
          <w:rtl/>
        </w:rPr>
        <w:softHyphen/>
        <w:t>بینی شده و پیش</w:t>
      </w:r>
      <w:r w:rsidRPr="00A62AA2">
        <w:rPr>
          <w:rFonts w:eastAsiaTheme="minorEastAsia" w:hint="cs"/>
          <w:i/>
          <w:sz w:val="23"/>
          <w:szCs w:val="23"/>
          <w:rtl/>
        </w:rPr>
        <w:softHyphen/>
        <w:t>بینی نشده را نشان می‌دهند. با یک شوک مالی مثبت، نرخ ارز و سطح قیمت افزایش خواهند یافت، و پاسخ نرخ ارز بسیار قوی‌تر و سریع‌تر از سطح قیمت است.</w:t>
      </w:r>
    </w:p>
    <w:p w14:paraId="3C37339B" w14:textId="77777777" w:rsidR="00556C10" w:rsidRPr="00A62AA2" w:rsidRDefault="00556C10" w:rsidP="00556C10">
      <w:pPr>
        <w:tabs>
          <w:tab w:val="right" w:pos="-83"/>
          <w:tab w:val="right" w:pos="7"/>
        </w:tabs>
        <w:spacing w:line="216" w:lineRule="auto"/>
        <w:rPr>
          <w:rFonts w:eastAsiaTheme="minorEastAsia"/>
          <w:i/>
          <w:sz w:val="23"/>
          <w:szCs w:val="23"/>
          <w:rtl/>
        </w:rPr>
      </w:pPr>
    </w:p>
    <w:p w14:paraId="2CC387E4" w14:textId="77777777" w:rsidR="00556C10" w:rsidRPr="00A62AA2" w:rsidRDefault="00556C10" w:rsidP="00556C10">
      <w:pPr>
        <w:pStyle w:val="Heading1"/>
        <w:spacing w:before="0" w:line="216" w:lineRule="auto"/>
        <w:rPr>
          <w:rFonts w:ascii="Times New Roman" w:eastAsiaTheme="minorEastAsia" w:hAnsi="Times New Roman" w:cs="B Nazanin"/>
          <w:b w:val="0"/>
          <w:i/>
          <w:sz w:val="23"/>
          <w:szCs w:val="23"/>
          <w:rtl/>
        </w:rPr>
      </w:pPr>
      <w:r w:rsidRPr="00A62AA2">
        <w:rPr>
          <w:rFonts w:ascii="Times New Roman" w:eastAsiaTheme="minorEastAsia" w:hAnsi="Times New Roman" w:cs="B Nazanin" w:hint="cs"/>
          <w:b w:val="0"/>
          <w:i/>
          <w:sz w:val="23"/>
          <w:szCs w:val="23"/>
          <w:rtl/>
        </w:rPr>
        <w:t xml:space="preserve">۱۳. ۷. ۱ مقایسه مدل‌ دورنبوش با مدل پولی </w:t>
      </w:r>
    </w:p>
    <w:p w14:paraId="644113B6"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 xml:space="preserve">مدل پولی ممکن است از مدل دورنبوش با اعمال قیود زیر بدست آید. </w:t>
      </w:r>
    </w:p>
    <w:p w14:paraId="2F9E1DD0" w14:textId="77777777" w:rsidR="00556C10" w:rsidRPr="00A62AA2" w:rsidRDefault="00556C10" w:rsidP="00C67946">
      <w:pPr>
        <w:pStyle w:val="ListParagraph"/>
        <w:numPr>
          <w:ilvl w:val="0"/>
          <w:numId w:val="8"/>
        </w:numPr>
        <w:tabs>
          <w:tab w:val="right" w:pos="-83"/>
          <w:tab w:val="right" w:pos="7"/>
          <w:tab w:val="right" w:pos="320"/>
        </w:tabs>
        <w:spacing w:line="216" w:lineRule="auto"/>
        <w:ind w:left="0" w:firstLine="0"/>
        <w:rPr>
          <w:rFonts w:eastAsiaTheme="minorEastAsia"/>
          <w:i/>
          <w:sz w:val="23"/>
          <w:szCs w:val="23"/>
          <w:rtl/>
        </w:rPr>
      </w:pPr>
      <w:r w:rsidRPr="00A62AA2">
        <w:rPr>
          <w:rFonts w:eastAsiaTheme="minorEastAsia" w:hint="cs"/>
          <w:i/>
          <w:sz w:val="23"/>
          <w:szCs w:val="23"/>
          <w:rtl/>
        </w:rPr>
        <w:t xml:space="preserve">تعدیل آنی سطح قیمت مبین آن است که </w:t>
      </w:r>
      <w:r w:rsidRPr="00A62AA2">
        <w:rPr>
          <w:position w:val="-6"/>
        </w:rPr>
        <w:object w:dxaOrig="660" w:dyaOrig="260" w14:anchorId="278FB90E">
          <v:shape id="_x0000_i6440" type="#_x0000_t75" style="width:32.65pt;height:13.3pt" o:ole="">
            <v:imagedata r:id="rId10922" o:title=""/>
          </v:shape>
          <o:OLEObject Type="Embed" ProgID="Equation.DSMT4" ShapeID="_x0000_i6440" DrawAspect="Content" ObjectID="_1791380384" r:id="rId10923"/>
        </w:object>
      </w:r>
      <w:r w:rsidRPr="00A62AA2">
        <w:rPr>
          <w:rFonts w:eastAsiaTheme="minorEastAsia" w:hint="cs"/>
          <w:i/>
          <w:sz w:val="23"/>
          <w:szCs w:val="23"/>
          <w:rtl/>
        </w:rPr>
        <w:t xml:space="preserve"> میل کند و بنابراین</w:t>
      </w:r>
      <w:r w:rsidRPr="00A62AA2">
        <w:rPr>
          <w:position w:val="-10"/>
        </w:rPr>
        <w:object w:dxaOrig="639" w:dyaOrig="320" w14:anchorId="4FBB23E1">
          <v:shape id="_x0000_i6441" type="#_x0000_t75" style="width:32.05pt;height:15.75pt" o:ole="">
            <v:imagedata r:id="rId10924" o:title=""/>
          </v:shape>
          <o:OLEObject Type="Embed" ProgID="Equation.DSMT4" ShapeID="_x0000_i6441" DrawAspect="Content" ObjectID="_1791380385" r:id="rId10925"/>
        </w:object>
      </w:r>
      <w:r w:rsidRPr="00A62AA2">
        <w:rPr>
          <w:rFonts w:eastAsiaTheme="minorEastAsia" w:hint="cs"/>
          <w:i/>
          <w:sz w:val="23"/>
          <w:szCs w:val="23"/>
          <w:rtl/>
        </w:rPr>
        <w:t xml:space="preserve"> باشد.</w:t>
      </w:r>
    </w:p>
    <w:p w14:paraId="5FEA6F3B" w14:textId="77777777" w:rsidR="00556C10" w:rsidRDefault="00556C10" w:rsidP="00C67946">
      <w:pPr>
        <w:pStyle w:val="ListParagraph"/>
        <w:numPr>
          <w:ilvl w:val="0"/>
          <w:numId w:val="8"/>
        </w:numPr>
        <w:tabs>
          <w:tab w:val="right" w:pos="-83"/>
          <w:tab w:val="right" w:pos="7"/>
          <w:tab w:val="right" w:pos="320"/>
        </w:tabs>
        <w:spacing w:line="216" w:lineRule="auto"/>
        <w:ind w:left="0" w:firstLine="0"/>
        <w:rPr>
          <w:rFonts w:eastAsiaTheme="minorEastAsia"/>
          <w:i/>
          <w:sz w:val="23"/>
          <w:szCs w:val="23"/>
        </w:rPr>
      </w:pPr>
      <w:r w:rsidRPr="00A62AA2">
        <w:rPr>
          <w:rFonts w:eastAsiaTheme="minorEastAsia" w:hint="cs"/>
          <w:i/>
          <w:sz w:val="23"/>
          <w:szCs w:val="23"/>
          <w:rtl/>
        </w:rPr>
        <w:t xml:space="preserve">جانشینی کامل بین کالاهای داخلی و خارجی که مبین آن است که </w:t>
      </w:r>
      <w:r w:rsidRPr="00A62AA2">
        <w:rPr>
          <w:position w:val="-6"/>
        </w:rPr>
        <w:object w:dxaOrig="680" w:dyaOrig="220" w14:anchorId="595C47C0">
          <v:shape id="_x0000_i6442" type="#_x0000_t75" style="width:33.9pt;height:10.9pt" o:ole="">
            <v:imagedata r:id="rId10926" o:title=""/>
          </v:shape>
          <o:OLEObject Type="Embed" ProgID="Equation.DSMT4" ShapeID="_x0000_i6442" DrawAspect="Content" ObjectID="_1791380386" r:id="rId10927"/>
        </w:object>
      </w:r>
      <w:r w:rsidRPr="00A62AA2">
        <w:rPr>
          <w:rFonts w:hint="cs"/>
          <w:i/>
          <w:sz w:val="23"/>
          <w:szCs w:val="23"/>
          <w:rtl/>
        </w:rPr>
        <w:t xml:space="preserve"> میل کند، و</w:t>
      </w:r>
      <w:r w:rsidRPr="00A62AA2">
        <w:rPr>
          <w:rFonts w:eastAsiaTheme="minorEastAsia" w:hint="cs"/>
          <w:i/>
          <w:sz w:val="23"/>
          <w:szCs w:val="23"/>
          <w:rtl/>
        </w:rPr>
        <w:t xml:space="preserve"> معادله</w:t>
      </w:r>
      <w:r w:rsidRPr="00A62AA2">
        <w:rPr>
          <w:rFonts w:eastAsiaTheme="minorEastAsia" w:hint="cs"/>
          <w:i/>
          <w:sz w:val="23"/>
          <w:szCs w:val="23"/>
          <w:rtl/>
        </w:rPr>
        <w:softHyphen/>
        <w:t>ی تقاضای کل به</w:t>
      </w:r>
      <w:r w:rsidRPr="00025957">
        <w:rPr>
          <w:position w:val="-4"/>
        </w:rPr>
        <w:object w:dxaOrig="520" w:dyaOrig="240" w14:anchorId="443988DC">
          <v:shape id="_x0000_i6443" type="#_x0000_t75" style="width:26pt;height:11.5pt" o:ole="">
            <v:imagedata r:id="rId10928" o:title=""/>
          </v:shape>
          <o:OLEObject Type="Embed" ProgID="Equation.DSMT4" ShapeID="_x0000_i6443" DrawAspect="Content" ObjectID="_1791380387" r:id="rId10929"/>
        </w:object>
      </w:r>
      <w:r w:rsidRPr="00A62AA2">
        <w:rPr>
          <w:rFonts w:eastAsiaTheme="minorEastAsia" w:hint="cs"/>
          <w:i/>
          <w:sz w:val="23"/>
          <w:szCs w:val="23"/>
          <w:rtl/>
        </w:rPr>
        <w:t xml:space="preserve"> تقلیل یابد.</w:t>
      </w:r>
      <w:r w:rsidRPr="00A62AA2">
        <w:rPr>
          <w:rFonts w:eastAsiaTheme="minorEastAsia"/>
          <w:i/>
          <w:sz w:val="23"/>
          <w:szCs w:val="23"/>
        </w:rPr>
        <w:t xml:space="preserve"> </w:t>
      </w:r>
      <w:r w:rsidRPr="00A62AA2">
        <w:rPr>
          <w:rFonts w:eastAsiaTheme="minorEastAsia" w:hint="cs"/>
          <w:i/>
          <w:sz w:val="23"/>
          <w:szCs w:val="23"/>
          <w:rtl/>
        </w:rPr>
        <w:t>به تبع آن</w:t>
      </w:r>
      <w:r w:rsidRPr="00A62AA2">
        <w:rPr>
          <w:position w:val="-10"/>
        </w:rPr>
        <w:object w:dxaOrig="639" w:dyaOrig="300" w14:anchorId="6E444047">
          <v:shape id="_x0000_i6444" type="#_x0000_t75" style="width:32.05pt;height:14.5pt" o:ole="">
            <v:imagedata r:id="rId10930" o:title=""/>
          </v:shape>
          <o:OLEObject Type="Embed" ProgID="Equation.DSMT4" ShapeID="_x0000_i6444" DrawAspect="Content" ObjectID="_1791380388" r:id="rId10931"/>
        </w:object>
      </w:r>
      <w:r w:rsidRPr="00A62AA2">
        <w:rPr>
          <w:rFonts w:eastAsiaTheme="minorEastAsia" w:hint="cs"/>
          <w:i/>
          <w:sz w:val="23"/>
          <w:szCs w:val="23"/>
          <w:rtl/>
        </w:rPr>
        <w:t>،</w:t>
      </w:r>
      <w:r w:rsidRPr="00A62AA2">
        <w:rPr>
          <w:position w:val="-10"/>
        </w:rPr>
        <w:object w:dxaOrig="580" w:dyaOrig="300" w14:anchorId="4B62D443">
          <v:shape id="_x0000_i6445" type="#_x0000_t75" style="width:29.05pt;height:14.5pt" o:ole="">
            <v:imagedata r:id="rId10932" o:title=""/>
          </v:shape>
          <o:OLEObject Type="Embed" ProgID="Equation.DSMT4" ShapeID="_x0000_i6445" DrawAspect="Content" ObjectID="_1791380389" r:id="rId10933"/>
        </w:object>
      </w:r>
      <w:r w:rsidRPr="00A62AA2">
        <w:rPr>
          <w:rFonts w:eastAsiaTheme="minorEastAsia" w:hint="cs"/>
          <w:i/>
          <w:sz w:val="23"/>
          <w:szCs w:val="23"/>
          <w:rtl/>
        </w:rPr>
        <w:t xml:space="preserve"> و بنابراین</w:t>
      </w:r>
      <w:r w:rsidRPr="00A62AA2">
        <w:rPr>
          <w:position w:val="-10"/>
        </w:rPr>
        <w:object w:dxaOrig="720" w:dyaOrig="320" w14:anchorId="2975DA8B">
          <v:shape id="_x0000_i6446" type="#_x0000_t75" style="width:36.3pt;height:15.75pt" o:ole="">
            <v:imagedata r:id="rId10934" o:title=""/>
          </v:shape>
          <o:OLEObject Type="Embed" ProgID="Equation.DSMT4" ShapeID="_x0000_i6446" DrawAspect="Content" ObjectID="_1791380390" r:id="rId10935"/>
        </w:object>
      </w:r>
      <w:r w:rsidRPr="00A62AA2">
        <w:rPr>
          <w:rFonts w:eastAsiaTheme="minorEastAsia" w:hint="cs"/>
          <w:i/>
          <w:sz w:val="23"/>
          <w:szCs w:val="23"/>
          <w:rtl/>
        </w:rPr>
        <w:t xml:space="preserve"> و </w:t>
      </w:r>
      <w:r w:rsidRPr="00A62AA2">
        <w:rPr>
          <w:position w:val="-14"/>
        </w:rPr>
        <w:object w:dxaOrig="1600" w:dyaOrig="380" w14:anchorId="294DD5EC">
          <v:shape id="_x0000_i6447" type="#_x0000_t75" style="width:79.85pt;height:18.75pt" o:ole="">
            <v:imagedata r:id="rId10936" o:title=""/>
          </v:shape>
          <o:OLEObject Type="Embed" ProgID="Equation.DSMT4" ShapeID="_x0000_i6447" DrawAspect="Content" ObjectID="_1791380391" r:id="rId10937"/>
        </w:object>
      </w:r>
      <w:r w:rsidRPr="00A62AA2">
        <w:rPr>
          <w:rFonts w:eastAsiaTheme="minorEastAsia" w:hint="cs"/>
          <w:i/>
          <w:sz w:val="23"/>
          <w:szCs w:val="23"/>
          <w:rtl/>
        </w:rPr>
        <w:t xml:space="preserve"> میل خواهد کرد. درنتیجه در مدل دورنبوش نرخ ارز بوسیله معادله</w:t>
      </w:r>
      <w:r w:rsidRPr="00A62AA2">
        <w:rPr>
          <w:rFonts w:eastAsiaTheme="minorEastAsia" w:hint="cs"/>
          <w:i/>
          <w:sz w:val="23"/>
          <w:szCs w:val="23"/>
          <w:vertAlign w:val="subscript"/>
          <w:rtl/>
        </w:rPr>
        <w:softHyphen/>
      </w:r>
      <w:r w:rsidRPr="00A62AA2">
        <w:rPr>
          <w:rFonts w:eastAsiaTheme="minorEastAsia" w:hint="cs"/>
          <w:i/>
          <w:sz w:val="23"/>
          <w:szCs w:val="23"/>
          <w:rtl/>
        </w:rPr>
        <w:t>ی زیر تعیین می‌شود</w:t>
      </w:r>
    </w:p>
    <w:p w14:paraId="3FBA0CE4" w14:textId="77777777" w:rsidR="00556C10" w:rsidRPr="00A62AA2" w:rsidRDefault="00556C10" w:rsidP="00556C10">
      <w:pPr>
        <w:pStyle w:val="ListParagraph"/>
        <w:tabs>
          <w:tab w:val="right" w:pos="-83"/>
          <w:tab w:val="right" w:pos="7"/>
          <w:tab w:val="right" w:pos="320"/>
        </w:tabs>
        <w:spacing w:line="216" w:lineRule="auto"/>
        <w:ind w:left="0"/>
        <w:rPr>
          <w:rFonts w:eastAsiaTheme="minorEastAsia"/>
          <w:i/>
          <w:sz w:val="23"/>
          <w:szCs w:val="23"/>
        </w:rPr>
      </w:pPr>
    </w:p>
    <w:p w14:paraId="5F8D543A"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rFonts w:eastAsiaTheme="minorEastAsia" w:hint="cs"/>
          <w:i/>
          <w:sz w:val="23"/>
          <w:szCs w:val="23"/>
          <w:rtl/>
        </w:rPr>
        <w:t>نمودار ۱۳. ۱۱: یک شوک عرضه‌ی پول موقتی پیش بینی نشده</w:t>
      </w:r>
    </w:p>
    <w:p w14:paraId="4BE52743"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i/>
          <w:noProof/>
          <w:sz w:val="23"/>
          <w:szCs w:val="23"/>
          <w:u w:val="single"/>
          <w:lang w:bidi="ar-SA"/>
        </w:rPr>
        <w:drawing>
          <wp:inline distT="0" distB="0" distL="0" distR="0" wp14:anchorId="259D764D" wp14:editId="24D0365A">
            <wp:extent cx="3656965" cy="1808983"/>
            <wp:effectExtent l="38100" t="38100" r="38735" b="393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938" cstate="print">
                      <a:extLst>
                        <a:ext uri="{BEBA8EAE-BF5A-486C-A8C5-ECC9F3942E4B}">
                          <a14:imgProps xmlns:a14="http://schemas.microsoft.com/office/drawing/2010/main">
                            <a14:imgLayer r:embed="rId1093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74555" cy="1817684"/>
                    </a:xfrm>
                    <a:prstGeom prst="rect">
                      <a:avLst/>
                    </a:prstGeom>
                    <a:ln w="28575">
                      <a:solidFill>
                        <a:schemeClr val="tx1"/>
                      </a:solidFill>
                    </a:ln>
                  </pic:spPr>
                </pic:pic>
              </a:graphicData>
            </a:graphic>
          </wp:inline>
        </w:drawing>
      </w:r>
    </w:p>
    <w:p w14:paraId="31200849" w14:textId="77777777" w:rsidR="00556C10" w:rsidRPr="00A62AA2" w:rsidRDefault="00556C10" w:rsidP="00556C10">
      <w:pPr>
        <w:tabs>
          <w:tab w:val="right" w:pos="-83"/>
          <w:tab w:val="right" w:pos="7"/>
        </w:tabs>
        <w:spacing w:line="216" w:lineRule="auto"/>
        <w:jc w:val="center"/>
        <w:rPr>
          <w:rFonts w:eastAsiaTheme="minorEastAsia"/>
          <w:i/>
          <w:sz w:val="23"/>
          <w:szCs w:val="23"/>
        </w:rPr>
      </w:pPr>
    </w:p>
    <w:p w14:paraId="34EAB548"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rFonts w:eastAsiaTheme="minorEastAsia" w:hint="cs"/>
          <w:i/>
          <w:sz w:val="23"/>
          <w:szCs w:val="23"/>
          <w:rtl/>
        </w:rPr>
        <w:t>نمودار ۱۳. ۱۲ : یک شوک عرضه‌ی پول دائمی پیش بینی نشده</w:t>
      </w:r>
    </w:p>
    <w:p w14:paraId="2B39600D"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i/>
          <w:noProof/>
          <w:sz w:val="23"/>
          <w:szCs w:val="23"/>
          <w:u w:val="single"/>
          <w:lang w:bidi="ar-SA"/>
        </w:rPr>
        <w:lastRenderedPageBreak/>
        <w:drawing>
          <wp:inline distT="0" distB="0" distL="0" distR="0" wp14:anchorId="62C1CE05" wp14:editId="40097FEA">
            <wp:extent cx="3654850" cy="1721223"/>
            <wp:effectExtent l="38100" t="38100" r="41275" b="317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940" cstate="print">
                      <a:extLst>
                        <a:ext uri="{28A0092B-C50C-407E-A947-70E740481C1C}">
                          <a14:useLocalDpi xmlns:a14="http://schemas.microsoft.com/office/drawing/2010/main" val="0"/>
                        </a:ext>
                      </a:extLst>
                    </a:blip>
                    <a:srcRect/>
                    <a:stretch>
                      <a:fillRect/>
                    </a:stretch>
                  </pic:blipFill>
                  <pic:spPr bwMode="auto">
                    <a:xfrm>
                      <a:off x="0" y="0"/>
                      <a:ext cx="3670813" cy="1728741"/>
                    </a:xfrm>
                    <a:prstGeom prst="rect">
                      <a:avLst/>
                    </a:prstGeom>
                    <a:ln w="28575">
                      <a:solidFill>
                        <a:schemeClr val="tx1"/>
                      </a:solidFill>
                    </a:ln>
                  </pic:spPr>
                </pic:pic>
              </a:graphicData>
            </a:graphic>
          </wp:inline>
        </w:drawing>
      </w:r>
    </w:p>
    <w:p w14:paraId="5326A4D8" w14:textId="77777777" w:rsidR="00556C10" w:rsidRPr="00A62AA2" w:rsidRDefault="00556C10" w:rsidP="00556C10">
      <w:pPr>
        <w:tabs>
          <w:tab w:val="right" w:pos="-83"/>
          <w:tab w:val="right" w:pos="7"/>
        </w:tabs>
        <w:spacing w:line="216" w:lineRule="auto"/>
        <w:jc w:val="center"/>
        <w:rPr>
          <w:rFonts w:eastAsiaTheme="minorEastAsia"/>
          <w:i/>
          <w:sz w:val="23"/>
          <w:szCs w:val="23"/>
        </w:rPr>
      </w:pPr>
    </w:p>
    <w:p w14:paraId="0C8ECF4F"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rFonts w:eastAsiaTheme="minorEastAsia" w:hint="cs"/>
          <w:i/>
          <w:sz w:val="23"/>
          <w:szCs w:val="23"/>
          <w:rtl/>
        </w:rPr>
        <w:t>نمودار ۱۳. ۱۳ : یک شوک عرضه‌ی پول موقتی پیش بینی شده</w:t>
      </w:r>
    </w:p>
    <w:p w14:paraId="5DB3BF32"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i/>
          <w:noProof/>
          <w:sz w:val="23"/>
          <w:szCs w:val="23"/>
          <w:u w:val="single"/>
          <w:lang w:bidi="ar-SA"/>
        </w:rPr>
        <w:drawing>
          <wp:inline distT="0" distB="0" distL="0" distR="0" wp14:anchorId="477D15A4" wp14:editId="24B4020E">
            <wp:extent cx="3655322" cy="1769350"/>
            <wp:effectExtent l="38100" t="38100" r="40640" b="406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941" cstate="print">
                      <a:extLst>
                        <a:ext uri="{28A0092B-C50C-407E-A947-70E740481C1C}">
                          <a14:useLocalDpi xmlns:a14="http://schemas.microsoft.com/office/drawing/2010/main" val="0"/>
                        </a:ext>
                      </a:extLst>
                    </a:blip>
                    <a:srcRect/>
                    <a:stretch>
                      <a:fillRect/>
                    </a:stretch>
                  </pic:blipFill>
                  <pic:spPr bwMode="auto">
                    <a:xfrm>
                      <a:off x="0" y="0"/>
                      <a:ext cx="3679484" cy="1781046"/>
                    </a:xfrm>
                    <a:prstGeom prst="rect">
                      <a:avLst/>
                    </a:prstGeom>
                    <a:ln w="28575">
                      <a:solidFill>
                        <a:schemeClr val="tx1"/>
                      </a:solidFill>
                    </a:ln>
                  </pic:spPr>
                </pic:pic>
              </a:graphicData>
            </a:graphic>
          </wp:inline>
        </w:drawing>
      </w:r>
    </w:p>
    <w:p w14:paraId="53BAD587"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rFonts w:eastAsiaTheme="minorEastAsia" w:hint="cs"/>
          <w:i/>
          <w:sz w:val="23"/>
          <w:szCs w:val="23"/>
          <w:rtl/>
        </w:rPr>
        <w:t>نمودار ۱۳. ۱۴ : یک شوک عرضه‌ی پول دائمی پیش بینی شده</w:t>
      </w:r>
    </w:p>
    <w:p w14:paraId="419E7941"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i/>
          <w:noProof/>
          <w:sz w:val="23"/>
          <w:szCs w:val="23"/>
          <w:lang w:bidi="ar-SA"/>
        </w:rPr>
        <w:drawing>
          <wp:inline distT="0" distB="0" distL="0" distR="0" wp14:anchorId="28BFA5E2" wp14:editId="5B4B9DED">
            <wp:extent cx="3657261" cy="1772181"/>
            <wp:effectExtent l="38100" t="38100" r="38735" b="381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942" cstate="print">
                      <a:extLst>
                        <a:ext uri="{BEBA8EAE-BF5A-486C-A8C5-ECC9F3942E4B}">
                          <a14:imgProps xmlns:a14="http://schemas.microsoft.com/office/drawing/2010/main">
                            <a14:imgLayer r:embed="rId10943">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63534" cy="1775221"/>
                    </a:xfrm>
                    <a:prstGeom prst="rect">
                      <a:avLst/>
                    </a:prstGeom>
                    <a:ln w="28575">
                      <a:solidFill>
                        <a:schemeClr val="tx1"/>
                      </a:solidFill>
                    </a:ln>
                  </pic:spPr>
                </pic:pic>
              </a:graphicData>
            </a:graphic>
          </wp:inline>
        </w:drawing>
      </w:r>
    </w:p>
    <w:p w14:paraId="779E8AF3" w14:textId="77777777" w:rsidR="00556C10" w:rsidRPr="00A62AA2" w:rsidRDefault="00556C10" w:rsidP="00556C10">
      <w:pPr>
        <w:tabs>
          <w:tab w:val="right" w:pos="-83"/>
          <w:tab w:val="right" w:pos="7"/>
        </w:tabs>
        <w:spacing w:line="216" w:lineRule="auto"/>
        <w:jc w:val="center"/>
        <w:rPr>
          <w:rFonts w:eastAsiaTheme="minorEastAsia"/>
          <w:i/>
          <w:sz w:val="23"/>
          <w:szCs w:val="23"/>
        </w:rPr>
      </w:pPr>
    </w:p>
    <w:p w14:paraId="18459267" w14:textId="77777777" w:rsidR="00556C10" w:rsidRPr="00A62AA2" w:rsidRDefault="00556C10" w:rsidP="00556C10">
      <w:pPr>
        <w:tabs>
          <w:tab w:val="right" w:pos="-83"/>
          <w:tab w:val="right" w:pos="7"/>
        </w:tabs>
        <w:spacing w:line="216" w:lineRule="auto"/>
        <w:jc w:val="center"/>
        <w:rPr>
          <w:rFonts w:eastAsiaTheme="minorEastAsia"/>
          <w:i/>
          <w:sz w:val="23"/>
          <w:szCs w:val="23"/>
        </w:rPr>
      </w:pPr>
      <w:r w:rsidRPr="00A62AA2">
        <w:rPr>
          <w:rFonts w:eastAsiaTheme="minorEastAsia" w:hint="cs"/>
          <w:i/>
          <w:sz w:val="23"/>
          <w:szCs w:val="23"/>
          <w:rtl/>
        </w:rPr>
        <w:t>نمودار</w:t>
      </w:r>
      <w:r w:rsidRPr="00A62AA2">
        <w:rPr>
          <w:rFonts w:eastAsiaTheme="minorEastAsia"/>
          <w:i/>
          <w:sz w:val="23"/>
          <w:szCs w:val="23"/>
        </w:rPr>
        <w:t xml:space="preserve"> </w:t>
      </w:r>
      <w:r w:rsidRPr="00A62AA2">
        <w:rPr>
          <w:rFonts w:eastAsiaTheme="minorEastAsia" w:hint="cs"/>
          <w:i/>
          <w:sz w:val="23"/>
          <w:szCs w:val="23"/>
          <w:rtl/>
        </w:rPr>
        <w:t>۱۳. ۱۵ : یک شوک مالی موقتی پیش بینی نشده</w:t>
      </w:r>
    </w:p>
    <w:p w14:paraId="400E324A"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i/>
          <w:noProof/>
          <w:sz w:val="23"/>
          <w:szCs w:val="23"/>
          <w:u w:val="single"/>
          <w:lang w:bidi="ar-SA"/>
        </w:rPr>
        <w:lastRenderedPageBreak/>
        <w:drawing>
          <wp:inline distT="0" distB="0" distL="0" distR="0" wp14:anchorId="7EF66A3B" wp14:editId="4E56512B">
            <wp:extent cx="3656776" cy="1732547"/>
            <wp:effectExtent l="38100" t="38100" r="39370" b="393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944" cstate="print">
                      <a:extLst>
                        <a:ext uri="{BEBA8EAE-BF5A-486C-A8C5-ECC9F3942E4B}">
                          <a14:imgProps xmlns:a14="http://schemas.microsoft.com/office/drawing/2010/main">
                            <a14:imgLayer r:embed="rId10945">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65062" cy="1736473"/>
                    </a:xfrm>
                    <a:prstGeom prst="rect">
                      <a:avLst/>
                    </a:prstGeom>
                    <a:ln w="28575">
                      <a:solidFill>
                        <a:schemeClr val="tx1"/>
                      </a:solidFill>
                    </a:ln>
                  </pic:spPr>
                </pic:pic>
              </a:graphicData>
            </a:graphic>
          </wp:inline>
        </w:drawing>
      </w:r>
    </w:p>
    <w:p w14:paraId="7BAC158C" w14:textId="77777777" w:rsidR="00556C10" w:rsidRPr="00A62AA2" w:rsidRDefault="00556C10" w:rsidP="00556C10">
      <w:pPr>
        <w:tabs>
          <w:tab w:val="right" w:pos="-83"/>
          <w:tab w:val="right" w:pos="7"/>
        </w:tabs>
        <w:spacing w:line="216" w:lineRule="auto"/>
        <w:jc w:val="center"/>
        <w:rPr>
          <w:rFonts w:eastAsiaTheme="minorEastAsia"/>
          <w:i/>
          <w:sz w:val="23"/>
          <w:szCs w:val="23"/>
        </w:rPr>
      </w:pPr>
    </w:p>
    <w:p w14:paraId="13C3A5CE"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rFonts w:eastAsiaTheme="minorEastAsia" w:hint="cs"/>
          <w:i/>
          <w:sz w:val="23"/>
          <w:szCs w:val="23"/>
          <w:rtl/>
        </w:rPr>
        <w:t>نموار ۱۳. ۱۶ : یک شوک مالی دائمی پیش بینی نشده</w:t>
      </w:r>
    </w:p>
    <w:p w14:paraId="53BC92BF"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i/>
          <w:noProof/>
          <w:sz w:val="23"/>
          <w:szCs w:val="23"/>
          <w:u w:val="single"/>
          <w:lang w:bidi="ar-SA"/>
        </w:rPr>
        <w:drawing>
          <wp:inline distT="0" distB="0" distL="0" distR="0" wp14:anchorId="6074C2A6" wp14:editId="7A5C46F3">
            <wp:extent cx="3655418" cy="1814645"/>
            <wp:effectExtent l="38100" t="38100" r="40640" b="336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946" cstate="print">
                      <a:extLst>
                        <a:ext uri="{BEBA8EAE-BF5A-486C-A8C5-ECC9F3942E4B}">
                          <a14:imgProps xmlns:a14="http://schemas.microsoft.com/office/drawing/2010/main">
                            <a14:imgLayer r:embed="rId10947">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71223" cy="1822491"/>
                    </a:xfrm>
                    <a:prstGeom prst="rect">
                      <a:avLst/>
                    </a:prstGeom>
                    <a:ln w="28575">
                      <a:solidFill>
                        <a:schemeClr val="tx1"/>
                      </a:solidFill>
                    </a:ln>
                  </pic:spPr>
                </pic:pic>
              </a:graphicData>
            </a:graphic>
          </wp:inline>
        </w:drawing>
      </w:r>
    </w:p>
    <w:p w14:paraId="04568B19"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rFonts w:eastAsiaTheme="minorEastAsia" w:hint="cs"/>
          <w:i/>
          <w:sz w:val="23"/>
          <w:szCs w:val="23"/>
          <w:rtl/>
        </w:rPr>
        <w:t>نمودار ۱۳. ۱۷ : یک شوک مالی موقتی پیش بینی شده</w:t>
      </w:r>
    </w:p>
    <w:p w14:paraId="0722EC2B"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i/>
          <w:noProof/>
          <w:sz w:val="23"/>
          <w:szCs w:val="23"/>
          <w:u w:val="single"/>
          <w:lang w:bidi="ar-SA"/>
        </w:rPr>
        <w:drawing>
          <wp:inline distT="0" distB="0" distL="0" distR="0" wp14:anchorId="411AC0A7" wp14:editId="3A5DA18F">
            <wp:extent cx="3656022" cy="1763688"/>
            <wp:effectExtent l="38100" t="38100" r="40005" b="463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948" cstate="print">
                      <a:extLst>
                        <a:ext uri="{BEBA8EAE-BF5A-486C-A8C5-ECC9F3942E4B}">
                          <a14:imgProps xmlns:a14="http://schemas.microsoft.com/office/drawing/2010/main">
                            <a14:imgLayer r:embed="rId10949">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65932" cy="1768469"/>
                    </a:xfrm>
                    <a:prstGeom prst="rect">
                      <a:avLst/>
                    </a:prstGeom>
                    <a:ln w="28575">
                      <a:solidFill>
                        <a:schemeClr val="tx1"/>
                      </a:solidFill>
                    </a:ln>
                  </pic:spPr>
                </pic:pic>
              </a:graphicData>
            </a:graphic>
          </wp:inline>
        </w:drawing>
      </w:r>
    </w:p>
    <w:p w14:paraId="61CAD5EE" w14:textId="77777777" w:rsidR="00556C10" w:rsidRPr="00A62AA2" w:rsidRDefault="00556C10" w:rsidP="00556C10">
      <w:pPr>
        <w:tabs>
          <w:tab w:val="right" w:pos="-83"/>
          <w:tab w:val="right" w:pos="7"/>
        </w:tabs>
        <w:spacing w:line="216" w:lineRule="auto"/>
        <w:jc w:val="center"/>
        <w:rPr>
          <w:rFonts w:eastAsiaTheme="minorEastAsia"/>
          <w:i/>
          <w:sz w:val="23"/>
          <w:szCs w:val="23"/>
        </w:rPr>
      </w:pPr>
    </w:p>
    <w:p w14:paraId="3D7E0106"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rFonts w:eastAsiaTheme="minorEastAsia" w:hint="cs"/>
          <w:i/>
          <w:sz w:val="23"/>
          <w:szCs w:val="23"/>
          <w:rtl/>
        </w:rPr>
        <w:t>نمودار ۱۳. ۱‍۸ : یک شوک مالی دائمی پیش بینی شده</w:t>
      </w:r>
    </w:p>
    <w:p w14:paraId="25FA1CCC"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i/>
          <w:noProof/>
          <w:sz w:val="23"/>
          <w:szCs w:val="23"/>
          <w:u w:val="single"/>
          <w:lang w:bidi="ar-SA"/>
        </w:rPr>
        <w:lastRenderedPageBreak/>
        <w:drawing>
          <wp:inline distT="0" distB="0" distL="0" distR="0" wp14:anchorId="350BAB17" wp14:editId="1BAF576A">
            <wp:extent cx="3656330" cy="1758026"/>
            <wp:effectExtent l="38100" t="38100" r="39370" b="330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950" cstate="print">
                      <a:extLst>
                        <a:ext uri="{BEBA8EAE-BF5A-486C-A8C5-ECC9F3942E4B}">
                          <a14:imgProps xmlns:a14="http://schemas.microsoft.com/office/drawing/2010/main">
                            <a14:imgLayer r:embed="rId10951">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68408" cy="1763833"/>
                    </a:xfrm>
                    <a:prstGeom prst="rect">
                      <a:avLst/>
                    </a:prstGeom>
                    <a:ln w="28575">
                      <a:solidFill>
                        <a:schemeClr val="tx1"/>
                      </a:solidFill>
                    </a:ln>
                  </pic:spPr>
                </pic:pic>
              </a:graphicData>
            </a:graphic>
          </wp:inline>
        </w:drawing>
      </w:r>
    </w:p>
    <w:p w14:paraId="072F7AE1" w14:textId="77777777" w:rsidR="00556C10" w:rsidRDefault="00556C10" w:rsidP="00556C10">
      <w:pPr>
        <w:tabs>
          <w:tab w:val="right" w:pos="-83"/>
          <w:tab w:val="right" w:pos="7"/>
        </w:tabs>
        <w:spacing w:line="216" w:lineRule="auto"/>
        <w:rPr>
          <w:rFonts w:eastAsiaTheme="minorEastAsia"/>
          <w:i/>
          <w:sz w:val="23"/>
          <w:szCs w:val="23"/>
          <w:rtl/>
        </w:rPr>
      </w:pPr>
    </w:p>
    <w:p w14:paraId="4389C921" w14:textId="77777777" w:rsidR="00556C10" w:rsidRPr="00A62AA2" w:rsidRDefault="00556C10" w:rsidP="00556C10">
      <w:pPr>
        <w:tabs>
          <w:tab w:val="right" w:pos="-83"/>
          <w:tab w:val="right" w:pos="7"/>
        </w:tabs>
        <w:bidi w:val="0"/>
        <w:spacing w:line="216" w:lineRule="auto"/>
        <w:rPr>
          <w:rFonts w:eastAsiaTheme="minorEastAsia"/>
          <w:i/>
          <w:sz w:val="23"/>
          <w:szCs w:val="23"/>
          <w:rtl/>
        </w:rPr>
      </w:pPr>
      <w:r w:rsidRPr="00A62AA2">
        <w:rPr>
          <w:position w:val="-26"/>
        </w:rPr>
        <w:object w:dxaOrig="2580" w:dyaOrig="680" w14:anchorId="2A1486E4">
          <v:shape id="_x0000_i6448" type="#_x0000_t75" style="width:129.5pt;height:33.9pt" o:ole="">
            <v:imagedata r:id="rId10952" o:title=""/>
          </v:shape>
          <o:OLEObject Type="Embed" ProgID="Equation.DSMT4" ShapeID="_x0000_i6448" DrawAspect="Content" ObjectID="_1791380392" r:id="rId10953"/>
        </w:object>
      </w:r>
    </w:p>
    <w:p w14:paraId="17F5C418"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با یک تغییر دائمی در</w:t>
      </w:r>
      <w:r w:rsidRPr="00A62AA2">
        <w:rPr>
          <w:position w:val="-10"/>
        </w:rPr>
        <w:object w:dxaOrig="240" w:dyaOrig="320" w14:anchorId="7087AF98">
          <v:shape id="_x0000_i6449" type="#_x0000_t75" style="width:11.5pt;height:15.75pt" o:ole="">
            <v:imagedata r:id="rId10954" o:title=""/>
          </v:shape>
          <o:OLEObject Type="Embed" ProgID="Equation.DSMT4" ShapeID="_x0000_i6449" DrawAspect="Content" ObjectID="_1791380393" r:id="rId10955"/>
        </w:object>
      </w:r>
      <w:r w:rsidRPr="00A62AA2">
        <w:rPr>
          <w:rFonts w:eastAsiaTheme="minorEastAsia" w:hint="cs"/>
          <w:i/>
          <w:sz w:val="23"/>
          <w:szCs w:val="23"/>
          <w:rtl/>
        </w:rPr>
        <w:t xml:space="preserve"> نرخ ارز سریعاً به مقدار تعادلی جدید بلند‌مدت خود جهش خواهد کرد.</w:t>
      </w:r>
      <w:r w:rsidRPr="00A62AA2">
        <w:rPr>
          <w:rFonts w:eastAsiaTheme="minorEastAsia"/>
          <w:i/>
          <w:sz w:val="23"/>
          <w:szCs w:val="23"/>
        </w:rPr>
        <w:t xml:space="preserve"> </w:t>
      </w:r>
      <w:r w:rsidRPr="00A62AA2">
        <w:rPr>
          <w:rFonts w:eastAsiaTheme="minorEastAsia" w:hint="cs"/>
          <w:i/>
          <w:sz w:val="23"/>
          <w:szCs w:val="23"/>
          <w:rtl/>
        </w:rPr>
        <w:t>در</w:t>
      </w:r>
      <w:r w:rsidRPr="00A62AA2">
        <w:rPr>
          <w:rFonts w:eastAsiaTheme="minorEastAsia"/>
          <w:i/>
          <w:sz w:val="23"/>
          <w:szCs w:val="23"/>
        </w:rPr>
        <w:t xml:space="preserve"> </w:t>
      </w:r>
      <w:r w:rsidRPr="00A62AA2">
        <w:rPr>
          <w:rFonts w:eastAsiaTheme="minorEastAsia" w:hint="cs"/>
          <w:i/>
          <w:sz w:val="23"/>
          <w:szCs w:val="23"/>
          <w:rtl/>
        </w:rPr>
        <w:t>مدل پولی</w:t>
      </w:r>
      <w:r w:rsidRPr="00A62AA2">
        <w:rPr>
          <w:position w:val="-10"/>
        </w:rPr>
        <w:object w:dxaOrig="240" w:dyaOrig="320" w14:anchorId="20684119">
          <v:shape id="_x0000_i6450" type="#_x0000_t75" style="width:11.5pt;height:15.75pt" o:ole="">
            <v:imagedata r:id="rId10956" o:title=""/>
          </v:shape>
          <o:OLEObject Type="Embed" ProgID="Equation.DSMT4" ShapeID="_x0000_i6450" DrawAspect="Content" ObjectID="_1791380394" r:id="rId10957"/>
        </w:object>
      </w:r>
      <w:r w:rsidRPr="00A62AA2">
        <w:rPr>
          <w:rFonts w:eastAsiaTheme="minorEastAsia" w:hint="cs"/>
          <w:i/>
          <w:sz w:val="23"/>
          <w:szCs w:val="23"/>
          <w:rtl/>
        </w:rPr>
        <w:t xml:space="preserve"> بصورت دیگری تعریف شده است. چنانچه</w:t>
      </w:r>
      <w:r w:rsidRPr="00A62AA2">
        <w:rPr>
          <w:position w:val="-10"/>
        </w:rPr>
        <w:object w:dxaOrig="560" w:dyaOrig="300" w14:anchorId="5A961EB1">
          <v:shape id="_x0000_i6451" type="#_x0000_t75" style="width:27.85pt;height:14.5pt" o:ole="">
            <v:imagedata r:id="rId10958" o:title=""/>
          </v:shape>
          <o:OLEObject Type="Embed" ProgID="Equation.DSMT4" ShapeID="_x0000_i6451" DrawAspect="Content" ObjectID="_1791380395" r:id="rId10959"/>
        </w:object>
      </w:r>
      <w:r w:rsidRPr="00A62AA2">
        <w:rPr>
          <w:rFonts w:eastAsiaTheme="minorEastAsia" w:hint="cs"/>
          <w:i/>
          <w:sz w:val="23"/>
          <w:szCs w:val="23"/>
          <w:rtl/>
        </w:rPr>
        <w:t xml:space="preserve"> باشد، آنگاه</w:t>
      </w:r>
    </w:p>
    <w:p w14:paraId="4A707CAC" w14:textId="77777777" w:rsidR="00556C10" w:rsidRPr="00A62AA2" w:rsidRDefault="00556C10" w:rsidP="00556C10">
      <w:pPr>
        <w:tabs>
          <w:tab w:val="right" w:pos="-83"/>
          <w:tab w:val="right" w:pos="7"/>
        </w:tabs>
        <w:bidi w:val="0"/>
        <w:spacing w:line="216" w:lineRule="auto"/>
        <w:rPr>
          <w:rFonts w:eastAsiaTheme="minorEastAsia"/>
          <w:i/>
          <w:sz w:val="23"/>
          <w:szCs w:val="23"/>
          <w:rtl/>
        </w:rPr>
      </w:pPr>
      <w:r w:rsidRPr="00A62AA2">
        <w:rPr>
          <w:position w:val="-10"/>
        </w:rPr>
        <w:object w:dxaOrig="2659" w:dyaOrig="340" w14:anchorId="4C24587F">
          <v:shape id="_x0000_i6452" type="#_x0000_t75" style="width:133.1pt;height:16.95pt" o:ole="">
            <v:imagedata r:id="rId10960" o:title=""/>
          </v:shape>
          <o:OLEObject Type="Embed" ProgID="Equation.DSMT4" ShapeID="_x0000_i6452" DrawAspect="Content" ObjectID="_1791380396" r:id="rId10961"/>
        </w:object>
      </w:r>
    </w:p>
    <w:p w14:paraId="586BB5EA"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بنابراین، در غیاب</w:t>
      </w:r>
      <w:r w:rsidRPr="00A62AA2">
        <w:rPr>
          <w:position w:val="-10"/>
        </w:rPr>
        <w:object w:dxaOrig="240" w:dyaOrig="320" w14:anchorId="2963E511">
          <v:shape id="_x0000_i6453" type="#_x0000_t75" style="width:11.5pt;height:15.75pt" o:ole="">
            <v:imagedata r:id="rId10962" o:title=""/>
          </v:shape>
          <o:OLEObject Type="Embed" ProgID="Equation.DSMT4" ShapeID="_x0000_i6453" DrawAspect="Content" ObjectID="_1791380397" r:id="rId10963"/>
        </w:object>
      </w:r>
      <w:r w:rsidRPr="00A62AA2">
        <w:rPr>
          <w:rFonts w:eastAsiaTheme="minorEastAsia" w:hint="cs"/>
          <w:i/>
          <w:sz w:val="23"/>
          <w:szCs w:val="23"/>
          <w:rtl/>
        </w:rPr>
        <w:t>، نه سیاست مالی و نه تقاضای خارجی هیچ اثر صریحی در مدل پولی نخواهند داشت.</w:t>
      </w:r>
    </w:p>
    <w:p w14:paraId="372EAD45"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اگر در مدل دورنبوش</w:t>
      </w:r>
      <w:r w:rsidRPr="00A62AA2">
        <w:rPr>
          <w:position w:val="-6"/>
        </w:rPr>
        <w:object w:dxaOrig="660" w:dyaOrig="260" w14:anchorId="78578A59">
          <v:shape id="_x0000_i6454" type="#_x0000_t75" style="width:32.65pt;height:13.3pt" o:ole="">
            <v:imagedata r:id="rId10964" o:title=""/>
          </v:shape>
          <o:OLEObject Type="Embed" ProgID="Equation.DSMT4" ShapeID="_x0000_i6454" DrawAspect="Content" ObjectID="_1791380398" r:id="rId10965"/>
        </w:object>
      </w:r>
      <w:r w:rsidRPr="00A62AA2">
        <w:rPr>
          <w:rFonts w:eastAsiaTheme="minorEastAsia" w:hint="cs"/>
          <w:i/>
          <w:sz w:val="23"/>
          <w:szCs w:val="23"/>
          <w:rtl/>
        </w:rPr>
        <w:t>، و</w:t>
      </w:r>
      <w:r w:rsidRPr="00A62AA2">
        <w:rPr>
          <w:position w:val="-6"/>
        </w:rPr>
        <w:object w:dxaOrig="220" w:dyaOrig="200" w14:anchorId="51637BFB">
          <v:shape id="_x0000_i6455" type="#_x0000_t75" style="width:10.9pt;height:10.3pt" o:ole="">
            <v:imagedata r:id="rId10966" o:title=""/>
          </v:shape>
          <o:OLEObject Type="Embed" ProgID="Equation.DSMT4" ShapeID="_x0000_i6455" DrawAspect="Content" ObjectID="_1791380399" r:id="rId10967"/>
        </w:object>
      </w:r>
      <w:r w:rsidRPr="00A62AA2">
        <w:rPr>
          <w:rFonts w:eastAsiaTheme="minorEastAsia" w:hint="cs"/>
          <w:i/>
          <w:sz w:val="23"/>
          <w:szCs w:val="23"/>
          <w:rtl/>
        </w:rPr>
        <w:t xml:space="preserve"> محدود باقی بماند، بطوری</w:t>
      </w:r>
      <w:r w:rsidRPr="00A62AA2">
        <w:rPr>
          <w:rFonts w:eastAsiaTheme="minorEastAsia" w:hint="cs"/>
          <w:i/>
          <w:sz w:val="23"/>
          <w:szCs w:val="23"/>
          <w:rtl/>
        </w:rPr>
        <w:softHyphen/>
        <w:t xml:space="preserve">که تقاضا برون‌زا باشد، آنگاه </w:t>
      </w:r>
      <w:r w:rsidRPr="00A62AA2">
        <w:rPr>
          <w:position w:val="-10"/>
        </w:rPr>
        <w:object w:dxaOrig="639" w:dyaOrig="300" w14:anchorId="70982B91">
          <v:shape id="_x0000_i6456" type="#_x0000_t75" style="width:32.05pt;height:14.5pt" o:ole="">
            <v:imagedata r:id="rId10968" o:title=""/>
          </v:shape>
          <o:OLEObject Type="Embed" ProgID="Equation.DSMT4" ShapeID="_x0000_i6456" DrawAspect="Content" ObjectID="_1791380400" r:id="rId10969"/>
        </w:object>
      </w:r>
      <w:r w:rsidRPr="00A62AA2">
        <w:rPr>
          <w:rFonts w:eastAsiaTheme="minorEastAsia" w:hint="cs"/>
          <w:i/>
          <w:sz w:val="23"/>
          <w:szCs w:val="23"/>
          <w:rtl/>
        </w:rPr>
        <w:t xml:space="preserve"> امّا </w:t>
      </w:r>
      <w:r w:rsidRPr="00A62AA2">
        <w:rPr>
          <w:position w:val="-12"/>
        </w:rPr>
        <w:object w:dxaOrig="1480" w:dyaOrig="360" w14:anchorId="18CC3C49">
          <v:shape id="_x0000_i6457" type="#_x0000_t75" style="width:73.8pt;height:18.15pt" o:ole="">
            <v:imagedata r:id="rId10970" o:title=""/>
          </v:shape>
          <o:OLEObject Type="Embed" ProgID="Equation.DSMT4" ShapeID="_x0000_i6457" DrawAspect="Content" ObjectID="_1791380401" r:id="rId10971"/>
        </w:object>
      </w:r>
      <w:r w:rsidRPr="00A62AA2">
        <w:rPr>
          <w:rFonts w:eastAsiaTheme="minorEastAsia" w:hint="cs"/>
          <w:i/>
          <w:sz w:val="23"/>
          <w:szCs w:val="23"/>
          <w:rtl/>
        </w:rPr>
        <w:t xml:space="preserve"> میل خواهد کرد. در نتیجه، در معادله (۱۳. ۱۸) خواهیم داشت</w:t>
      </w:r>
    </w:p>
    <w:p w14:paraId="14BA130D" w14:textId="77777777" w:rsidR="00556C10" w:rsidRPr="00A62AA2" w:rsidRDefault="00556C10" w:rsidP="00556C10">
      <w:pPr>
        <w:tabs>
          <w:tab w:val="right" w:pos="-83"/>
          <w:tab w:val="right" w:pos="7"/>
        </w:tabs>
        <w:bidi w:val="0"/>
        <w:spacing w:line="216" w:lineRule="auto"/>
        <w:rPr>
          <w:rFonts w:eastAsiaTheme="minorHAnsi" w:cstheme="minorBidi"/>
          <w:i/>
          <w:sz w:val="23"/>
          <w:szCs w:val="23"/>
        </w:rPr>
      </w:pPr>
      <w:r w:rsidRPr="00A62AA2">
        <w:rPr>
          <w:position w:val="-26"/>
        </w:rPr>
        <w:object w:dxaOrig="2340" w:dyaOrig="620" w14:anchorId="6E31717E">
          <v:shape id="_x0000_i6458" type="#_x0000_t75" style="width:117.4pt;height:30.85pt" o:ole="">
            <v:imagedata r:id="rId10972" o:title=""/>
          </v:shape>
          <o:OLEObject Type="Embed" ProgID="Equation.DSMT4" ShapeID="_x0000_i6458" DrawAspect="Content" ObjectID="_1791380402" r:id="rId10973"/>
        </w:object>
      </w:r>
      <w:r w:rsidRPr="00A62AA2">
        <w:rPr>
          <w:rFonts w:eastAsiaTheme="minorHAnsi" w:cstheme="minorBidi"/>
          <w:i/>
          <w:sz w:val="23"/>
          <w:szCs w:val="23"/>
        </w:rPr>
        <w:t xml:space="preserve"> </w:t>
      </w:r>
    </w:p>
    <w:p w14:paraId="41798B2D"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و ریشه منفرد برابراست با</w:t>
      </w:r>
      <w:r w:rsidRPr="00A62AA2">
        <w:rPr>
          <w:rFonts w:eastAsiaTheme="minorEastAsia"/>
          <w:i/>
          <w:sz w:val="23"/>
          <w:szCs w:val="23"/>
        </w:rPr>
        <w:t xml:space="preserve"> </w:t>
      </w:r>
      <w:r w:rsidRPr="00A62AA2">
        <w:rPr>
          <w:position w:val="-14"/>
        </w:rPr>
        <w:object w:dxaOrig="3200" w:dyaOrig="380" w14:anchorId="79DBD8B8">
          <v:shape id="_x0000_i6459" type="#_x0000_t75" style="width:160.35pt;height:18.75pt" o:ole="">
            <v:imagedata r:id="rId10974" o:title=""/>
          </v:shape>
          <o:OLEObject Type="Embed" ProgID="Equation.DSMT4" ShapeID="_x0000_i6459" DrawAspect="Content" ObjectID="_1791380403" r:id="rId10975"/>
        </w:object>
      </w:r>
      <w:r w:rsidRPr="00A62AA2">
        <w:rPr>
          <w:rFonts w:eastAsiaTheme="minorEastAsia" w:hint="cs"/>
          <w:i/>
          <w:sz w:val="23"/>
          <w:szCs w:val="23"/>
          <w:rtl/>
        </w:rPr>
        <w:t>که بی</w:t>
      </w:r>
      <w:r w:rsidRPr="00A62AA2">
        <w:rPr>
          <w:rFonts w:eastAsiaTheme="minorEastAsia" w:hint="cs"/>
          <w:i/>
          <w:sz w:val="23"/>
          <w:szCs w:val="23"/>
          <w:rtl/>
        </w:rPr>
        <w:softHyphen/>
        <w:t>ثبات است. لذا حل نرخ ارز برابرخواهد بود با</w:t>
      </w:r>
    </w:p>
    <w:p w14:paraId="6EDD12B0" w14:textId="77777777" w:rsidR="00556C10" w:rsidRPr="00A62AA2" w:rsidRDefault="00556C10" w:rsidP="00556C10">
      <w:pPr>
        <w:tabs>
          <w:tab w:val="right" w:pos="-83"/>
          <w:tab w:val="right" w:pos="7"/>
        </w:tabs>
        <w:bidi w:val="0"/>
        <w:spacing w:line="216" w:lineRule="auto"/>
        <w:rPr>
          <w:rFonts w:eastAsiaTheme="minorEastAsia"/>
          <w:i/>
          <w:sz w:val="23"/>
          <w:szCs w:val="23"/>
          <w:rtl/>
        </w:rPr>
      </w:pPr>
      <w:r w:rsidRPr="00A62AA2">
        <w:rPr>
          <w:position w:val="-30"/>
        </w:rPr>
        <w:object w:dxaOrig="3159" w:dyaOrig="660" w14:anchorId="0216050E">
          <v:shape id="_x0000_i6460" type="#_x0000_t75" style="width:157.9pt;height:32.65pt" o:ole="">
            <v:imagedata r:id="rId10976" o:title=""/>
          </v:shape>
          <o:OLEObject Type="Embed" ProgID="Equation.DSMT4" ShapeID="_x0000_i6460" DrawAspect="Content" ObjectID="_1791380404" r:id="rId10977"/>
        </w:object>
      </w:r>
    </w:p>
    <w:p w14:paraId="3222E5DF"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حل فوق تا حدودی و بر حسب پارامترها با مدل پولی متفاوت است.</w:t>
      </w:r>
    </w:p>
    <w:p w14:paraId="7FD96045" w14:textId="77777777" w:rsidR="00556C10" w:rsidRPr="00A62AA2" w:rsidRDefault="00556C10" w:rsidP="00556C10">
      <w:pPr>
        <w:tabs>
          <w:tab w:val="right" w:pos="-83"/>
          <w:tab w:val="right" w:pos="7"/>
        </w:tabs>
        <w:spacing w:line="216" w:lineRule="auto"/>
        <w:rPr>
          <w:rFonts w:eastAsiaTheme="minorEastAsia"/>
          <w:i/>
          <w:sz w:val="23"/>
          <w:szCs w:val="23"/>
          <w:rtl/>
        </w:rPr>
      </w:pPr>
    </w:p>
    <w:p w14:paraId="514F231D" w14:textId="77777777" w:rsidR="00556C10" w:rsidRPr="00A62AA2" w:rsidRDefault="00556C10" w:rsidP="00556C10">
      <w:pPr>
        <w:pStyle w:val="Heading1"/>
        <w:spacing w:before="0" w:line="216" w:lineRule="auto"/>
        <w:rPr>
          <w:rFonts w:ascii="Times New Roman" w:eastAsiaTheme="minorEastAsia" w:hAnsi="Times New Roman" w:cs="B Nazanin"/>
          <w:b w:val="0"/>
          <w:i/>
          <w:sz w:val="23"/>
          <w:szCs w:val="23"/>
          <w:rtl/>
        </w:rPr>
      </w:pPr>
      <w:r w:rsidRPr="00A62AA2">
        <w:rPr>
          <w:rFonts w:ascii="Times New Roman" w:eastAsiaTheme="minorEastAsia" w:hAnsi="Times New Roman" w:cs="B Nazanin" w:hint="cs"/>
          <w:b w:val="0"/>
          <w:i/>
          <w:sz w:val="23"/>
          <w:szCs w:val="23"/>
          <w:rtl/>
        </w:rPr>
        <w:t xml:space="preserve">۱۳. ۸ مدل پولی با چسبندگی قیمت‌ها </w:t>
      </w:r>
    </w:p>
    <w:p w14:paraId="6402E6AD"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همان</w:t>
      </w:r>
      <w:r w:rsidRPr="00A62AA2">
        <w:rPr>
          <w:rFonts w:eastAsiaTheme="minorEastAsia" w:hint="cs"/>
          <w:i/>
          <w:sz w:val="23"/>
          <w:szCs w:val="23"/>
          <w:rtl/>
        </w:rPr>
        <w:softHyphen/>
        <w:t>گونه که ملاحظه شد مدل دورنبوش چسبندگی قیمت را در نتیجه</w:t>
      </w:r>
      <w:r w:rsidRPr="00A62AA2">
        <w:rPr>
          <w:rFonts w:eastAsiaTheme="minorEastAsia" w:hint="cs"/>
          <w:i/>
          <w:sz w:val="23"/>
          <w:szCs w:val="23"/>
          <w:rtl/>
        </w:rPr>
        <w:softHyphen/>
        <w:t>ی فرض جانشینی ناقص بین کالاهای داخلی و خارجی و معادله</w:t>
      </w:r>
      <w:r w:rsidRPr="00A62AA2">
        <w:rPr>
          <w:rFonts w:eastAsiaTheme="minorEastAsia" w:hint="cs"/>
          <w:i/>
          <w:sz w:val="23"/>
          <w:szCs w:val="23"/>
          <w:rtl/>
        </w:rPr>
        <w:softHyphen/>
        <w:t>ی مازاد تقاضای قیمت معرفی می‌کند. روش دیگری که تا حدودی به مدل‌های تعادل عمومی پویای تصادفی فصول قبل نزدیک‌تر است، معرفی چسبندگی قیمت در مدل پولی است. این نکته ممکن است بوسیله فرض برقراری</w:t>
      </w:r>
      <w:r w:rsidRPr="00025957">
        <w:rPr>
          <w:position w:val="-4"/>
        </w:rPr>
        <w:object w:dxaOrig="520" w:dyaOrig="240" w14:anchorId="21CCA774">
          <v:shape id="_x0000_i6461" type="#_x0000_t75" style="width:26pt;height:11.5pt" o:ole="">
            <v:imagedata r:id="rId10978" o:title=""/>
          </v:shape>
          <o:OLEObject Type="Embed" ProgID="Equation.DSMT4" ShapeID="_x0000_i6461" DrawAspect="Content" ObjectID="_1791380405" r:id="rId10979"/>
        </w:object>
      </w:r>
      <w:r w:rsidRPr="00A62AA2">
        <w:rPr>
          <w:rFonts w:eastAsiaTheme="minorEastAsia" w:hint="cs"/>
          <w:i/>
          <w:sz w:val="23"/>
          <w:szCs w:val="23"/>
          <w:rtl/>
        </w:rPr>
        <w:t xml:space="preserve"> فقط در بلند</w:t>
      </w:r>
      <w:r w:rsidRPr="00A62AA2">
        <w:rPr>
          <w:rFonts w:eastAsiaTheme="minorEastAsia" w:hint="cs"/>
          <w:i/>
          <w:sz w:val="23"/>
          <w:szCs w:val="23"/>
          <w:rtl/>
        </w:rPr>
        <w:softHyphen/>
        <w:t xml:space="preserve">مدت حاصل شود، </w:t>
      </w:r>
      <w:r w:rsidRPr="00A62AA2">
        <w:rPr>
          <w:rFonts w:eastAsiaTheme="minorEastAsia" w:hint="cs"/>
          <w:i/>
          <w:sz w:val="23"/>
          <w:szCs w:val="23"/>
          <w:rtl/>
        </w:rPr>
        <w:lastRenderedPageBreak/>
        <w:t>و در کوتاه‌مدت قیمت‌ها بوسیله</w:t>
      </w:r>
      <w:r w:rsidRPr="00A62AA2">
        <w:rPr>
          <w:rFonts w:eastAsiaTheme="minorEastAsia" w:hint="cs"/>
          <w:i/>
          <w:sz w:val="23"/>
          <w:szCs w:val="23"/>
          <w:rtl/>
        </w:rPr>
        <w:softHyphen/>
        <w:t>ی معادله</w:t>
      </w:r>
      <w:r w:rsidRPr="00A62AA2">
        <w:rPr>
          <w:rFonts w:eastAsiaTheme="minorEastAsia" w:hint="cs"/>
          <w:i/>
          <w:sz w:val="23"/>
          <w:szCs w:val="23"/>
          <w:rtl/>
        </w:rPr>
        <w:softHyphen/>
        <w:t>ی تورم در فصل نهم که مبتنی بر انعطاف‌پذیری ناقص قیمت است تصریح شود. سطح قیمت بهینه‌ی بلند‌مدت اقتصاد داخلی را با</w:t>
      </w:r>
      <w:r w:rsidRPr="00A62AA2">
        <w:rPr>
          <w:position w:val="-10"/>
        </w:rPr>
        <w:object w:dxaOrig="300" w:dyaOrig="340" w14:anchorId="4340DDEA">
          <v:shape id="_x0000_i6462" type="#_x0000_t75" style="width:14.5pt;height:16.95pt" o:ole="">
            <v:imagedata r:id="rId10980" o:title=""/>
          </v:shape>
          <o:OLEObject Type="Embed" ProgID="Equation.DSMT4" ShapeID="_x0000_i6462" DrawAspect="Content" ObjectID="_1791380406" r:id="rId10981"/>
        </w:object>
      </w:r>
      <w:r w:rsidRPr="00A62AA2">
        <w:rPr>
          <w:rFonts w:eastAsiaTheme="minorEastAsia" w:hint="cs"/>
          <w:i/>
          <w:sz w:val="23"/>
          <w:szCs w:val="23"/>
          <w:rtl/>
        </w:rPr>
        <w:t xml:space="preserve"> علامت</w:t>
      </w:r>
      <w:r w:rsidRPr="00A62AA2">
        <w:rPr>
          <w:rFonts w:eastAsiaTheme="minorEastAsia" w:hint="cs"/>
          <w:i/>
          <w:sz w:val="23"/>
          <w:szCs w:val="23"/>
          <w:rtl/>
        </w:rPr>
        <w:softHyphen/>
        <w:t>گذاری می‌کنیم که براساس</w:t>
      </w:r>
      <w:r w:rsidRPr="00025957">
        <w:rPr>
          <w:position w:val="-4"/>
        </w:rPr>
        <w:object w:dxaOrig="520" w:dyaOrig="240" w14:anchorId="2A8E4382">
          <v:shape id="_x0000_i6463" type="#_x0000_t75" style="width:26pt;height:11.5pt" o:ole="">
            <v:imagedata r:id="rId10982" o:title=""/>
          </v:shape>
          <o:OLEObject Type="Embed" ProgID="Equation.DSMT4" ShapeID="_x0000_i6463" DrawAspect="Content" ObjectID="_1791380407" r:id="rId10983"/>
        </w:object>
      </w:r>
      <w:r w:rsidRPr="00A62AA2">
        <w:rPr>
          <w:rFonts w:eastAsiaTheme="minorEastAsia"/>
          <w:i/>
          <w:sz w:val="23"/>
          <w:szCs w:val="23"/>
        </w:rPr>
        <w:t xml:space="preserve"> </w:t>
      </w:r>
      <w:r w:rsidRPr="00A62AA2">
        <w:rPr>
          <w:rFonts w:eastAsiaTheme="minorEastAsia" w:hint="cs"/>
          <w:i/>
          <w:sz w:val="23"/>
          <w:szCs w:val="23"/>
          <w:rtl/>
        </w:rPr>
        <w:t>بلند‌مدت برابراست با</w:t>
      </w:r>
    </w:p>
    <w:p w14:paraId="5E585E33" w14:textId="77777777" w:rsidR="00556C10" w:rsidRPr="00A62AA2" w:rsidRDefault="00556C10" w:rsidP="00556C10">
      <w:pPr>
        <w:tabs>
          <w:tab w:val="right" w:pos="-83"/>
          <w:tab w:val="right" w:pos="7"/>
        </w:tabs>
        <w:bidi w:val="0"/>
        <w:spacing w:line="216" w:lineRule="auto"/>
        <w:rPr>
          <w:rFonts w:eastAsiaTheme="minorEastAsia"/>
          <w:i/>
          <w:sz w:val="23"/>
          <w:szCs w:val="23"/>
        </w:rPr>
      </w:pPr>
      <w:r w:rsidRPr="00A62AA2">
        <w:rPr>
          <w:rFonts w:eastAsiaTheme="minorEastAsia" w:hint="cs"/>
          <w:i/>
          <w:sz w:val="23"/>
          <w:szCs w:val="23"/>
          <w:rtl/>
        </w:rPr>
        <w:t xml:space="preserve"> </w:t>
      </w:r>
      <w:r w:rsidRPr="00A62AA2">
        <w:rPr>
          <w:position w:val="-10"/>
        </w:rPr>
        <w:object w:dxaOrig="1100" w:dyaOrig="340" w14:anchorId="2EC0A27A">
          <v:shape id="_x0000_i6464" type="#_x0000_t75" style="width:55.05pt;height:16.95pt" o:ole="">
            <v:imagedata r:id="rId10984" o:title=""/>
          </v:shape>
          <o:OLEObject Type="Embed" ProgID="Equation.DSMT4" ShapeID="_x0000_i6464" DrawAspect="Content" ObjectID="_1791380408" r:id="rId10985"/>
        </w:object>
      </w:r>
    </w:p>
    <w:p w14:paraId="7F22C52E"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و در آن</w:t>
      </w:r>
      <w:r w:rsidRPr="00A62AA2">
        <w:rPr>
          <w:position w:val="-10"/>
        </w:rPr>
        <w:object w:dxaOrig="279" w:dyaOrig="340" w14:anchorId="2F25EA67">
          <v:shape id="_x0000_i6465" type="#_x0000_t75" style="width:13.9pt;height:16.95pt" o:ole="">
            <v:imagedata r:id="rId10986" o:title=""/>
          </v:shape>
          <o:OLEObject Type="Embed" ProgID="Equation.DSMT4" ShapeID="_x0000_i6465" DrawAspect="Content" ObjectID="_1791380409" r:id="rId10987"/>
        </w:object>
      </w:r>
      <w:r w:rsidRPr="00A62AA2">
        <w:rPr>
          <w:rFonts w:eastAsiaTheme="minorEastAsia" w:hint="cs"/>
          <w:i/>
          <w:sz w:val="23"/>
          <w:szCs w:val="23"/>
          <w:rtl/>
        </w:rPr>
        <w:t xml:space="preserve"> سطح قیمت خارجی است. سپس قیمت بهینه را در معادله‌ی تورم قبلی با </w:t>
      </w:r>
      <w:r w:rsidRPr="00A62AA2">
        <w:rPr>
          <w:position w:val="-10"/>
        </w:rPr>
        <w:object w:dxaOrig="300" w:dyaOrig="340" w14:anchorId="5C9E4137">
          <v:shape id="_x0000_i6466" type="#_x0000_t75" style="width:14.5pt;height:16.95pt" o:ole="">
            <v:imagedata r:id="rId10988" o:title=""/>
          </v:shape>
          <o:OLEObject Type="Embed" ProgID="Equation.DSMT4" ShapeID="_x0000_i6466" DrawAspect="Content" ObjectID="_1791380410" r:id="rId10989"/>
        </w:object>
      </w:r>
      <w:r w:rsidRPr="00A62AA2">
        <w:rPr>
          <w:rFonts w:eastAsiaTheme="minorEastAsia" w:hint="cs"/>
          <w:i/>
          <w:sz w:val="23"/>
          <w:szCs w:val="23"/>
          <w:rtl/>
        </w:rPr>
        <w:t xml:space="preserve"> جایگزین </w:t>
      </w:r>
    </w:p>
    <w:p w14:paraId="73F3832C" w14:textId="77777777" w:rsidR="00556C10" w:rsidRPr="00A62AA2" w:rsidRDefault="00556C10" w:rsidP="00556C10">
      <w:pPr>
        <w:tabs>
          <w:tab w:val="right" w:pos="-83"/>
          <w:tab w:val="right" w:pos="7"/>
        </w:tabs>
        <w:spacing w:line="216" w:lineRule="auto"/>
        <w:rPr>
          <w:rFonts w:eastAsiaTheme="minorEastAsia"/>
          <w:i/>
          <w:sz w:val="23"/>
          <w:szCs w:val="23"/>
        </w:rPr>
      </w:pPr>
      <w:r w:rsidRPr="00A62AA2">
        <w:rPr>
          <w:rFonts w:eastAsiaTheme="minorEastAsia" w:hint="cs"/>
          <w:i/>
          <w:sz w:val="23"/>
          <w:szCs w:val="23"/>
          <w:rtl/>
        </w:rPr>
        <w:t>می‌کنیم. معادله‌ی تورم برای اقتصاد داخلی ممکن است بصورت زیر نوشته شود</w:t>
      </w:r>
    </w:p>
    <w:p w14:paraId="5FFC2CCA" w14:textId="77777777" w:rsidR="00556C10" w:rsidRPr="00A62AA2" w:rsidRDefault="00556C10" w:rsidP="00556C10">
      <w:pPr>
        <w:tabs>
          <w:tab w:val="right" w:pos="-83"/>
          <w:tab w:val="right" w:pos="7"/>
        </w:tabs>
        <w:bidi w:val="0"/>
        <w:spacing w:line="216" w:lineRule="auto"/>
        <w:rPr>
          <w:rFonts w:eastAsiaTheme="minorEastAsia"/>
          <w:i/>
          <w:sz w:val="23"/>
          <w:szCs w:val="23"/>
          <w:rtl/>
        </w:rPr>
      </w:pPr>
      <w:r w:rsidRPr="00A62AA2">
        <w:rPr>
          <w:position w:val="-16"/>
        </w:rPr>
        <w:object w:dxaOrig="6619" w:dyaOrig="420" w14:anchorId="3E38C5FA">
          <v:shape id="_x0000_i6467" type="#_x0000_t75" style="width:330.95pt;height:21.2pt" o:ole="">
            <v:imagedata r:id="rId10990" o:title=""/>
          </v:shape>
          <o:OLEObject Type="Embed" ProgID="Equation.DSMT4" ShapeID="_x0000_i6467" DrawAspect="Content" ObjectID="_1791380411" r:id="rId10991"/>
        </w:object>
      </w:r>
    </w:p>
    <w:p w14:paraId="684F1A52"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که در آن</w:t>
      </w:r>
      <w:r w:rsidRPr="00A62AA2">
        <w:rPr>
          <w:position w:val="-6"/>
        </w:rPr>
        <w:object w:dxaOrig="220" w:dyaOrig="200" w14:anchorId="230FF059">
          <v:shape id="_x0000_i6468" type="#_x0000_t75" style="width:10.9pt;height:10.3pt" o:ole="">
            <v:imagedata r:id="rId10992" o:title=""/>
          </v:shape>
          <o:OLEObject Type="Embed" ProgID="Equation.DSMT4" ShapeID="_x0000_i6468" DrawAspect="Content" ObjectID="_1791380412" r:id="rId10993"/>
        </w:object>
      </w:r>
      <w:r w:rsidRPr="00A62AA2">
        <w:rPr>
          <w:rFonts w:eastAsiaTheme="minorEastAsia" w:hint="cs"/>
          <w:i/>
          <w:sz w:val="23"/>
          <w:szCs w:val="23"/>
          <w:rtl/>
        </w:rPr>
        <w:t xml:space="preserve"> تورم بلند‌مدت در اقتصاد داخلی است.</w:t>
      </w:r>
    </w:p>
    <w:p w14:paraId="3DB1ACEE"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با فرض یک اقتصاد باز کوچک، دیگر معادلات عبارتند از تابع تقاضای پول و شرط</w:t>
      </w:r>
      <w:r w:rsidRPr="00A62AA2">
        <w:rPr>
          <w:position w:val="-6"/>
        </w:rPr>
        <w:object w:dxaOrig="460" w:dyaOrig="260" w14:anchorId="358448B8">
          <v:shape id="_x0000_i6469" type="#_x0000_t75" style="width:23pt;height:13.3pt" o:ole="">
            <v:imagedata r:id="rId10994" o:title=""/>
          </v:shape>
          <o:OLEObject Type="Embed" ProgID="Equation.DSMT4" ShapeID="_x0000_i6469" DrawAspect="Content" ObjectID="_1791380413" r:id="rId10995"/>
        </w:object>
      </w:r>
    </w:p>
    <w:p w14:paraId="64440AF0" w14:textId="77777777" w:rsidR="00556C10" w:rsidRPr="00A62AA2" w:rsidRDefault="00556C10" w:rsidP="00556C10">
      <w:pPr>
        <w:tabs>
          <w:tab w:val="right" w:pos="-83"/>
          <w:tab w:val="right" w:pos="7"/>
        </w:tabs>
        <w:bidi w:val="0"/>
        <w:spacing w:line="216" w:lineRule="auto"/>
        <w:rPr>
          <w:rFonts w:eastAsiaTheme="minorEastAsia"/>
          <w:i/>
          <w:sz w:val="23"/>
          <w:szCs w:val="23"/>
        </w:rPr>
      </w:pPr>
      <w:r w:rsidRPr="00A62AA2">
        <w:rPr>
          <w:position w:val="-10"/>
        </w:rPr>
        <w:object w:dxaOrig="1640" w:dyaOrig="320" w14:anchorId="2EE69223">
          <v:shape id="_x0000_i6470" type="#_x0000_t75" style="width:82.3pt;height:15.75pt" o:ole="">
            <v:imagedata r:id="rId10996" o:title=""/>
          </v:shape>
          <o:OLEObject Type="Embed" ProgID="Equation.DSMT4" ShapeID="_x0000_i6470" DrawAspect="Content" ObjectID="_1791380414" r:id="rId10997"/>
        </w:object>
      </w:r>
    </w:p>
    <w:p w14:paraId="21648948" w14:textId="77777777" w:rsidR="00556C10" w:rsidRPr="00A62AA2" w:rsidRDefault="00556C10" w:rsidP="00556C10">
      <w:pPr>
        <w:tabs>
          <w:tab w:val="right" w:pos="-83"/>
          <w:tab w:val="right" w:pos="7"/>
        </w:tabs>
        <w:bidi w:val="0"/>
        <w:spacing w:line="216" w:lineRule="auto"/>
        <w:rPr>
          <w:rFonts w:eastAsiaTheme="minorEastAsia"/>
          <w:i/>
          <w:sz w:val="23"/>
          <w:szCs w:val="23"/>
        </w:rPr>
      </w:pPr>
      <w:r w:rsidRPr="00A62AA2">
        <w:rPr>
          <w:position w:val="-10"/>
        </w:rPr>
        <w:object w:dxaOrig="1579" w:dyaOrig="340" w14:anchorId="5E8113A4">
          <v:shape id="_x0000_i6471" type="#_x0000_t75" style="width:78.65pt;height:16.95pt" o:ole="">
            <v:imagedata r:id="rId10998" o:title=""/>
          </v:shape>
          <o:OLEObject Type="Embed" ProgID="Equation.DSMT4" ShapeID="_x0000_i6471" DrawAspect="Content" ObjectID="_1791380415" r:id="rId10999"/>
        </w:object>
      </w:r>
    </w:p>
    <w:p w14:paraId="28F35ECF" w14:textId="77777777" w:rsidR="00556C10" w:rsidRPr="00A62AA2" w:rsidRDefault="00556C10" w:rsidP="00556C10">
      <w:pPr>
        <w:tabs>
          <w:tab w:val="right" w:pos="-83"/>
          <w:tab w:val="right" w:pos="7"/>
        </w:tabs>
        <w:spacing w:line="216" w:lineRule="auto"/>
        <w:rPr>
          <w:rFonts w:eastAsiaTheme="minorEastAsia"/>
          <w:i/>
          <w:sz w:val="23"/>
          <w:szCs w:val="23"/>
        </w:rPr>
      </w:pPr>
      <w:r w:rsidRPr="00A62AA2">
        <w:rPr>
          <w:rFonts w:eastAsiaTheme="minorEastAsia" w:hint="cs"/>
          <w:i/>
          <w:sz w:val="23"/>
          <w:szCs w:val="23"/>
          <w:rtl/>
        </w:rPr>
        <w:t xml:space="preserve"> اگر</w:t>
      </w:r>
      <w:r w:rsidRPr="00A62AA2">
        <w:rPr>
          <w:position w:val="-10"/>
        </w:rPr>
        <w:object w:dxaOrig="279" w:dyaOrig="320" w14:anchorId="18DB6CFF">
          <v:shape id="_x0000_i6472" type="#_x0000_t75" style="width:13.9pt;height:15.75pt" o:ole="">
            <v:imagedata r:id="rId11000" o:title=""/>
          </v:shape>
          <o:OLEObject Type="Embed" ProgID="Equation.DSMT4" ShapeID="_x0000_i6472" DrawAspect="Content" ObjectID="_1791380416" r:id="rId11001"/>
        </w:object>
      </w:r>
      <w:r w:rsidRPr="00A62AA2">
        <w:rPr>
          <w:rFonts w:eastAsiaTheme="minorEastAsia" w:hint="cs"/>
          <w:i/>
          <w:sz w:val="23"/>
          <w:szCs w:val="23"/>
          <w:rtl/>
        </w:rPr>
        <w:t xml:space="preserve"> را از تابع تقاضای پول و</w:t>
      </w:r>
      <w:r w:rsidRPr="00A62AA2">
        <w:rPr>
          <w:rFonts w:eastAsiaTheme="minorEastAsia"/>
          <w:i/>
          <w:sz w:val="23"/>
          <w:szCs w:val="23"/>
        </w:rPr>
        <w:t xml:space="preserve"> </w:t>
      </w:r>
      <w:r w:rsidRPr="00A62AA2">
        <w:rPr>
          <w:rFonts w:eastAsiaTheme="minorEastAsia" w:hint="cs"/>
          <w:i/>
          <w:sz w:val="23"/>
          <w:szCs w:val="23"/>
          <w:rtl/>
        </w:rPr>
        <w:t>شرط</w:t>
      </w:r>
      <w:r w:rsidRPr="00A62AA2">
        <w:rPr>
          <w:position w:val="-6"/>
        </w:rPr>
        <w:object w:dxaOrig="460" w:dyaOrig="260" w14:anchorId="34F13420">
          <v:shape id="_x0000_i6473" type="#_x0000_t75" style="width:23pt;height:13.3pt" o:ole="">
            <v:imagedata r:id="rId11002" o:title=""/>
          </v:shape>
          <o:OLEObject Type="Embed" ProgID="Equation.DSMT4" ShapeID="_x0000_i6473" DrawAspect="Content" ObjectID="_1791380417" r:id="rId11003"/>
        </w:object>
      </w:r>
      <w:r w:rsidRPr="00A62AA2">
        <w:rPr>
          <w:rFonts w:eastAsiaTheme="minorEastAsia" w:hint="cs"/>
          <w:i/>
          <w:sz w:val="23"/>
          <w:szCs w:val="23"/>
          <w:rtl/>
        </w:rPr>
        <w:t xml:space="preserve"> حذف کنیم، خواهیم داشت</w:t>
      </w:r>
    </w:p>
    <w:p w14:paraId="1B88E1E6" w14:textId="77777777" w:rsidR="00556C10" w:rsidRPr="00A62AA2" w:rsidRDefault="00556C10" w:rsidP="00556C10">
      <w:pPr>
        <w:tabs>
          <w:tab w:val="right" w:pos="-83"/>
          <w:tab w:val="right" w:pos="7"/>
        </w:tabs>
        <w:bidi w:val="0"/>
        <w:spacing w:line="216" w:lineRule="auto"/>
        <w:rPr>
          <w:rFonts w:eastAsiaTheme="minorEastAsia"/>
          <w:i/>
          <w:sz w:val="23"/>
          <w:szCs w:val="23"/>
          <w:rtl/>
        </w:rPr>
      </w:pPr>
      <w:r w:rsidRPr="00A62AA2">
        <w:rPr>
          <w:position w:val="-16"/>
        </w:rPr>
        <w:object w:dxaOrig="2700" w:dyaOrig="420" w14:anchorId="24698006">
          <v:shape id="_x0000_i6474" type="#_x0000_t75" style="width:134.9pt;height:21.2pt" o:ole="">
            <v:imagedata r:id="rId11004" o:title=""/>
          </v:shape>
          <o:OLEObject Type="Embed" ProgID="Equation.DSMT4" ShapeID="_x0000_i6474" DrawAspect="Content" ObjectID="_1791380418" r:id="rId11005"/>
        </w:object>
      </w:r>
    </w:p>
    <w:p w14:paraId="6D4EFEF5"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بنابراین دو معادله</w:t>
      </w:r>
      <w:r w:rsidRPr="00A62AA2">
        <w:rPr>
          <w:rFonts w:eastAsiaTheme="minorEastAsia" w:hint="cs"/>
          <w:i/>
          <w:sz w:val="23"/>
          <w:szCs w:val="23"/>
          <w:rtl/>
        </w:rPr>
        <w:softHyphen/>
        <w:t>ی پویا با دو متغیر</w:t>
      </w:r>
      <w:r w:rsidRPr="00A62AA2">
        <w:rPr>
          <w:position w:val="-10"/>
        </w:rPr>
        <w:object w:dxaOrig="260" w:dyaOrig="320" w14:anchorId="7E613C32">
          <v:shape id="_x0000_i6475" type="#_x0000_t75" style="width:13.3pt;height:15.75pt" o:ole="">
            <v:imagedata r:id="rId11006" o:title=""/>
          </v:shape>
          <o:OLEObject Type="Embed" ProgID="Equation.DSMT4" ShapeID="_x0000_i6475" DrawAspect="Content" ObjectID="_1791380419" r:id="rId11007"/>
        </w:object>
      </w:r>
      <w:r w:rsidRPr="00A62AA2">
        <w:rPr>
          <w:rFonts w:eastAsiaTheme="minorEastAsia" w:hint="cs"/>
          <w:i/>
          <w:sz w:val="23"/>
          <w:szCs w:val="23"/>
          <w:rtl/>
        </w:rPr>
        <w:t xml:space="preserve"> و</w:t>
      </w:r>
      <w:r w:rsidRPr="00A62AA2">
        <w:rPr>
          <w:position w:val="-10"/>
        </w:rPr>
        <w:object w:dxaOrig="200" w:dyaOrig="320" w14:anchorId="734F3815">
          <v:shape id="_x0000_i6476" type="#_x0000_t75" style="width:10.3pt;height:15.75pt" o:ole="">
            <v:imagedata r:id="rId11008" o:title=""/>
          </v:shape>
          <o:OLEObject Type="Embed" ProgID="Equation.DSMT4" ShapeID="_x0000_i6476" DrawAspect="Content" ObjectID="_1791380420" r:id="rId11009"/>
        </w:object>
      </w:r>
      <w:r w:rsidRPr="00A62AA2">
        <w:rPr>
          <w:rFonts w:eastAsiaTheme="minorEastAsia" w:hint="cs"/>
          <w:i/>
          <w:sz w:val="23"/>
          <w:szCs w:val="23"/>
          <w:rtl/>
        </w:rPr>
        <w:t xml:space="preserve"> خواهیم داشت، و در آن</w:t>
      </w:r>
      <w:r w:rsidRPr="00A62AA2">
        <w:rPr>
          <w:position w:val="-10"/>
        </w:rPr>
        <w:object w:dxaOrig="300" w:dyaOrig="320" w14:anchorId="41276973">
          <v:shape id="_x0000_i6477" type="#_x0000_t75" style="width:14.5pt;height:15.75pt" o:ole="">
            <v:imagedata r:id="rId11010" o:title=""/>
          </v:shape>
          <o:OLEObject Type="Embed" ProgID="Equation.DSMT4" ShapeID="_x0000_i6477" DrawAspect="Content" ObjectID="_1791380421" r:id="rId11011"/>
        </w:object>
      </w:r>
      <w:r w:rsidRPr="00A62AA2">
        <w:rPr>
          <w:rFonts w:eastAsiaTheme="minorEastAsia" w:hint="cs"/>
          <w:i/>
          <w:sz w:val="23"/>
          <w:szCs w:val="23"/>
          <w:rtl/>
        </w:rPr>
        <w:t>،</w:t>
      </w:r>
      <w:r w:rsidRPr="00A62AA2">
        <w:rPr>
          <w:position w:val="-10"/>
        </w:rPr>
        <w:object w:dxaOrig="240" w:dyaOrig="320" w14:anchorId="2005494E">
          <v:shape id="_x0000_i6478" type="#_x0000_t75" style="width:11.5pt;height:15.75pt" o:ole="">
            <v:imagedata r:id="rId11012" o:title=""/>
          </v:shape>
          <o:OLEObject Type="Embed" ProgID="Equation.DSMT4" ShapeID="_x0000_i6478" DrawAspect="Content" ObjectID="_1791380422" r:id="rId11013"/>
        </w:object>
      </w:r>
      <w:r w:rsidRPr="00A62AA2">
        <w:rPr>
          <w:rFonts w:eastAsiaTheme="minorEastAsia" w:hint="cs"/>
          <w:i/>
          <w:sz w:val="23"/>
          <w:szCs w:val="23"/>
          <w:rtl/>
        </w:rPr>
        <w:t xml:space="preserve"> و</w:t>
      </w:r>
      <w:r w:rsidRPr="00A62AA2">
        <w:rPr>
          <w:position w:val="-10"/>
        </w:rPr>
        <w:object w:dxaOrig="300" w:dyaOrig="340" w14:anchorId="05D9F7BA">
          <v:shape id="_x0000_i6479" type="#_x0000_t75" style="width:14.5pt;height:16.95pt" o:ole="">
            <v:imagedata r:id="rId11014" o:title=""/>
          </v:shape>
          <o:OLEObject Type="Embed" ProgID="Equation.DSMT4" ShapeID="_x0000_i6479" DrawAspect="Content" ObjectID="_1791380423" r:id="rId11015"/>
        </w:object>
      </w:r>
      <w:r w:rsidRPr="00A62AA2">
        <w:rPr>
          <w:rFonts w:eastAsiaTheme="minorEastAsia" w:hint="cs"/>
          <w:i/>
          <w:sz w:val="23"/>
          <w:szCs w:val="23"/>
          <w:rtl/>
        </w:rPr>
        <w:t xml:space="preserve"> برون‌زا می‌باشند. با بازنویسی معادله‌ی قیمت خواهیم داشت </w:t>
      </w:r>
    </w:p>
    <w:p w14:paraId="0A97E502" w14:textId="77777777" w:rsidR="00556C10" w:rsidRPr="00A62AA2" w:rsidRDefault="00556C10" w:rsidP="00556C10">
      <w:pPr>
        <w:tabs>
          <w:tab w:val="right" w:pos="-83"/>
          <w:tab w:val="right" w:pos="7"/>
        </w:tabs>
        <w:bidi w:val="0"/>
        <w:spacing w:line="216" w:lineRule="auto"/>
        <w:rPr>
          <w:rFonts w:eastAsiaTheme="minorEastAsia"/>
          <w:i/>
          <w:sz w:val="23"/>
          <w:szCs w:val="23"/>
          <w:rtl/>
        </w:rPr>
      </w:pPr>
      <w:r w:rsidRPr="00A62AA2">
        <w:rPr>
          <w:position w:val="-30"/>
        </w:rPr>
        <w:object w:dxaOrig="5440" w:dyaOrig="720" w14:anchorId="16014B80">
          <v:shape id="_x0000_i6480" type="#_x0000_t75" style="width:271.65pt;height:36.3pt" o:ole="">
            <v:imagedata r:id="rId11016" o:title=""/>
          </v:shape>
          <o:OLEObject Type="Embed" ProgID="Equation.DSMT4" ShapeID="_x0000_i6480" DrawAspect="Content" ObjectID="_1791380424" r:id="rId11017"/>
        </w:object>
      </w:r>
    </w:p>
    <w:p w14:paraId="003935B4" w14:textId="77777777" w:rsidR="00556C10" w:rsidRPr="00A62AA2" w:rsidRDefault="00556C10" w:rsidP="00556C10">
      <w:pPr>
        <w:tabs>
          <w:tab w:val="right" w:pos="-83"/>
          <w:tab w:val="right" w:pos="7"/>
          <w:tab w:val="right" w:pos="1670"/>
        </w:tabs>
        <w:spacing w:line="216" w:lineRule="auto"/>
        <w:rPr>
          <w:rFonts w:eastAsiaTheme="minorEastAsia"/>
          <w:i/>
          <w:sz w:val="23"/>
          <w:szCs w:val="23"/>
          <w:rtl/>
        </w:rPr>
      </w:pPr>
      <w:r w:rsidRPr="00A62AA2">
        <w:rPr>
          <w:rFonts w:eastAsiaTheme="minorEastAsia" w:hint="cs"/>
          <w:i/>
          <w:sz w:val="23"/>
          <w:szCs w:val="23"/>
          <w:rtl/>
        </w:rPr>
        <w:t>حل بلند‌مدت همانند نسخه‌ی یک اقتصاد کوچک پولی است که در آن</w:t>
      </w:r>
      <w:r w:rsidRPr="00A62AA2">
        <w:rPr>
          <w:position w:val="-10"/>
        </w:rPr>
        <w:object w:dxaOrig="300" w:dyaOrig="340" w14:anchorId="4ABA386E">
          <v:shape id="_x0000_i6481" type="#_x0000_t75" style="width:14.5pt;height:16.95pt" o:ole="">
            <v:imagedata r:id="rId11018" o:title=""/>
          </v:shape>
          <o:OLEObject Type="Embed" ProgID="Equation.DSMT4" ShapeID="_x0000_i6481" DrawAspect="Content" ObjectID="_1791380425" r:id="rId11019"/>
        </w:object>
      </w:r>
      <w:r w:rsidRPr="00A62AA2">
        <w:rPr>
          <w:rFonts w:eastAsiaTheme="minorEastAsia" w:hint="cs"/>
          <w:i/>
          <w:sz w:val="23"/>
          <w:szCs w:val="23"/>
          <w:rtl/>
        </w:rPr>
        <w:t xml:space="preserve"> متغیری برون</w:t>
      </w:r>
      <w:r w:rsidRPr="00A62AA2">
        <w:rPr>
          <w:rFonts w:eastAsiaTheme="minorEastAsia" w:hint="cs"/>
          <w:i/>
          <w:sz w:val="23"/>
          <w:szCs w:val="23"/>
          <w:rtl/>
        </w:rPr>
        <w:softHyphen/>
        <w:t>زاست. بنابراین، حل‌های بلند‌مدت سطح قیمت و نرخ ارز عبارتند از</w:t>
      </w:r>
    </w:p>
    <w:p w14:paraId="2DCDE1CE" w14:textId="77777777" w:rsidR="00556C10" w:rsidRPr="00A62AA2" w:rsidRDefault="00556C10" w:rsidP="00556C10">
      <w:pPr>
        <w:tabs>
          <w:tab w:val="right" w:pos="-83"/>
          <w:tab w:val="right" w:pos="7"/>
          <w:tab w:val="right" w:pos="1670"/>
        </w:tabs>
        <w:bidi w:val="0"/>
        <w:spacing w:line="216" w:lineRule="auto"/>
        <w:rPr>
          <w:rFonts w:eastAsiaTheme="minorEastAsia"/>
          <w:i/>
          <w:sz w:val="23"/>
          <w:szCs w:val="23"/>
          <w:rtl/>
        </w:rPr>
      </w:pPr>
      <w:r w:rsidRPr="00A62AA2">
        <w:rPr>
          <w:position w:val="-8"/>
        </w:rPr>
        <w:object w:dxaOrig="940" w:dyaOrig="320" w14:anchorId="6513A003">
          <v:shape id="_x0000_i6482" type="#_x0000_t75" style="width:47.2pt;height:15.75pt" o:ole="">
            <v:imagedata r:id="rId11020" o:title=""/>
          </v:shape>
          <o:OLEObject Type="Embed" ProgID="Equation.DSMT4" ShapeID="_x0000_i6482" DrawAspect="Content" ObjectID="_1791380426" r:id="rId11021"/>
        </w:object>
      </w:r>
    </w:p>
    <w:p w14:paraId="4E5C6425" w14:textId="77777777" w:rsidR="00556C10" w:rsidRPr="00A62AA2" w:rsidRDefault="00556C10" w:rsidP="00556C10">
      <w:pPr>
        <w:tabs>
          <w:tab w:val="right" w:pos="-83"/>
          <w:tab w:val="right" w:pos="7"/>
          <w:tab w:val="right" w:pos="1670"/>
        </w:tabs>
        <w:bidi w:val="0"/>
        <w:spacing w:line="216" w:lineRule="auto"/>
        <w:rPr>
          <w:rFonts w:eastAsiaTheme="minorEastAsia"/>
          <w:i/>
          <w:sz w:val="23"/>
          <w:szCs w:val="23"/>
        </w:rPr>
      </w:pPr>
      <w:r w:rsidRPr="00A62AA2">
        <w:rPr>
          <w:position w:val="-16"/>
        </w:rPr>
        <w:object w:dxaOrig="2820" w:dyaOrig="420" w14:anchorId="3CEE7AF1">
          <v:shape id="_x0000_i6483" type="#_x0000_t75" style="width:140.95pt;height:21.2pt" o:ole="">
            <v:imagedata r:id="rId11022" o:title=""/>
          </v:shape>
          <o:OLEObject Type="Embed" ProgID="Equation.DSMT4" ShapeID="_x0000_i6483" DrawAspect="Content" ObjectID="_1791380427" r:id="rId11023"/>
        </w:object>
      </w:r>
    </w:p>
    <w:p w14:paraId="497AAC2B" w14:textId="77777777" w:rsidR="00556C10" w:rsidRPr="00A62AA2" w:rsidRDefault="00556C10" w:rsidP="00556C10">
      <w:pPr>
        <w:tabs>
          <w:tab w:val="right" w:pos="-83"/>
          <w:tab w:val="right" w:pos="7"/>
          <w:tab w:val="right" w:pos="1670"/>
        </w:tabs>
        <w:spacing w:line="216" w:lineRule="auto"/>
        <w:rPr>
          <w:rFonts w:eastAsiaTheme="minorEastAsia"/>
          <w:i/>
          <w:sz w:val="23"/>
          <w:szCs w:val="23"/>
          <w:rtl/>
        </w:rPr>
      </w:pPr>
      <w:r w:rsidRPr="00A62AA2">
        <w:rPr>
          <w:rFonts w:eastAsiaTheme="minorEastAsia" w:hint="cs"/>
          <w:i/>
          <w:sz w:val="23"/>
          <w:szCs w:val="23"/>
          <w:rtl/>
        </w:rPr>
        <w:t xml:space="preserve"> که در آن</w:t>
      </w:r>
      <w:r w:rsidRPr="00A62AA2">
        <w:rPr>
          <w:position w:val="-6"/>
        </w:rPr>
        <w:object w:dxaOrig="279" w:dyaOrig="300" w14:anchorId="23EF3FF3">
          <v:shape id="_x0000_i6484" type="#_x0000_t75" style="width:13.9pt;height:14.5pt" o:ole="">
            <v:imagedata r:id="rId11024" o:title=""/>
          </v:shape>
          <o:OLEObject Type="Embed" ProgID="Equation.DSMT4" ShapeID="_x0000_i6484" DrawAspect="Content" ObjectID="_1791380428" r:id="rId11025"/>
        </w:object>
      </w:r>
      <w:r w:rsidRPr="00A62AA2">
        <w:rPr>
          <w:rFonts w:eastAsiaTheme="minorEastAsia" w:hint="cs"/>
          <w:i/>
          <w:sz w:val="23"/>
          <w:szCs w:val="23"/>
          <w:rtl/>
        </w:rPr>
        <w:t xml:space="preserve"> نرخ تورم بلند‌مدت خارجی است. </w:t>
      </w:r>
    </w:p>
    <w:p w14:paraId="022BC777" w14:textId="77777777" w:rsidR="00556C10" w:rsidRPr="00A62AA2" w:rsidRDefault="00556C10" w:rsidP="00556C10">
      <w:pPr>
        <w:tabs>
          <w:tab w:val="right" w:pos="-83"/>
          <w:tab w:val="right" w:pos="7"/>
          <w:tab w:val="right" w:pos="1670"/>
        </w:tabs>
        <w:spacing w:line="216" w:lineRule="auto"/>
        <w:rPr>
          <w:rFonts w:eastAsiaTheme="minorEastAsia"/>
          <w:i/>
          <w:sz w:val="23"/>
          <w:szCs w:val="23"/>
        </w:rPr>
      </w:pPr>
      <w:r w:rsidRPr="00A62AA2">
        <w:rPr>
          <w:rFonts w:eastAsiaTheme="minorEastAsia" w:hint="cs"/>
          <w:i/>
          <w:sz w:val="23"/>
          <w:szCs w:val="23"/>
          <w:rtl/>
        </w:rPr>
        <w:t>حل‌های کوتاه‌مدت ممکن است با استفاده از اپراتور وقفه و حذف</w:t>
      </w:r>
      <w:r w:rsidRPr="00A62AA2">
        <w:rPr>
          <w:position w:val="-10"/>
        </w:rPr>
        <w:object w:dxaOrig="260" w:dyaOrig="320" w14:anchorId="2C75234C">
          <v:shape id="_x0000_i6485" type="#_x0000_t75" style="width:13.3pt;height:15.75pt" o:ole="">
            <v:imagedata r:id="rId11026" o:title=""/>
          </v:shape>
          <o:OLEObject Type="Embed" ProgID="Equation.DSMT4" ShapeID="_x0000_i6485" DrawAspect="Content" ObjectID="_1791380429" r:id="rId11027"/>
        </w:object>
      </w:r>
      <w:r w:rsidRPr="00A62AA2">
        <w:rPr>
          <w:rFonts w:eastAsiaTheme="minorEastAsia" w:hint="cs"/>
          <w:i/>
          <w:sz w:val="23"/>
          <w:szCs w:val="23"/>
          <w:rtl/>
        </w:rPr>
        <w:t xml:space="preserve"> برای بدست آوردن فرم خلاصه شده‌ی</w:t>
      </w:r>
      <w:r w:rsidRPr="00A62AA2">
        <w:rPr>
          <w:position w:val="-10"/>
        </w:rPr>
        <w:object w:dxaOrig="200" w:dyaOrig="320" w14:anchorId="24D7E22B">
          <v:shape id="_x0000_i6486" type="#_x0000_t75" style="width:10.3pt;height:15.75pt" o:ole="">
            <v:imagedata r:id="rId11028" o:title=""/>
          </v:shape>
          <o:OLEObject Type="Embed" ProgID="Equation.DSMT4" ShapeID="_x0000_i6486" DrawAspect="Content" ObjectID="_1791380430" r:id="rId11029"/>
        </w:object>
      </w:r>
      <w:r w:rsidRPr="00A62AA2">
        <w:rPr>
          <w:rFonts w:eastAsiaTheme="minorEastAsia" w:hint="cs"/>
          <w:i/>
          <w:sz w:val="23"/>
          <w:szCs w:val="23"/>
          <w:rtl/>
        </w:rPr>
        <w:t xml:space="preserve"> بدست آید</w:t>
      </w:r>
    </w:p>
    <w:p w14:paraId="648FCB8A" w14:textId="77777777" w:rsidR="00556C10" w:rsidRPr="00A62AA2" w:rsidRDefault="00556C10" w:rsidP="00556C10">
      <w:pPr>
        <w:tabs>
          <w:tab w:val="right" w:pos="-83"/>
          <w:tab w:val="right" w:pos="7"/>
          <w:tab w:val="right" w:pos="1670"/>
        </w:tabs>
        <w:bidi w:val="0"/>
        <w:spacing w:line="216" w:lineRule="auto"/>
        <w:rPr>
          <w:rFonts w:eastAsiaTheme="minorEastAsia"/>
          <w:i/>
          <w:sz w:val="23"/>
          <w:szCs w:val="23"/>
        </w:rPr>
      </w:pPr>
      <w:r w:rsidRPr="00A62AA2">
        <w:rPr>
          <w:position w:val="-12"/>
        </w:rPr>
        <w:object w:dxaOrig="1100" w:dyaOrig="360" w14:anchorId="090C5102">
          <v:shape id="_x0000_i6487" type="#_x0000_t75" style="width:55.05pt;height:18.15pt" o:ole="">
            <v:imagedata r:id="rId11030" o:title=""/>
          </v:shape>
          <o:OLEObject Type="Embed" ProgID="Equation.DSMT4" ShapeID="_x0000_i6487" DrawAspect="Content" ObjectID="_1791380431" r:id="rId11031"/>
        </w:object>
      </w:r>
    </w:p>
    <w:p w14:paraId="7B804685" w14:textId="77777777" w:rsidR="00556C10" w:rsidRPr="00A62AA2" w:rsidRDefault="00556C10" w:rsidP="00556C10">
      <w:pPr>
        <w:tabs>
          <w:tab w:val="right" w:pos="-83"/>
          <w:tab w:val="right" w:pos="7"/>
          <w:tab w:val="right" w:pos="1670"/>
        </w:tabs>
        <w:spacing w:line="216" w:lineRule="auto"/>
        <w:rPr>
          <w:rFonts w:eastAsiaTheme="minorEastAsia"/>
          <w:i/>
          <w:sz w:val="23"/>
          <w:szCs w:val="23"/>
        </w:rPr>
      </w:pPr>
      <w:r w:rsidRPr="00A62AA2">
        <w:rPr>
          <w:rFonts w:eastAsiaTheme="minorEastAsia" w:hint="cs"/>
          <w:i/>
          <w:sz w:val="23"/>
          <w:szCs w:val="23"/>
          <w:rtl/>
        </w:rPr>
        <w:t>که</w:t>
      </w:r>
    </w:p>
    <w:p w14:paraId="031E67E9" w14:textId="77777777" w:rsidR="00556C10" w:rsidRPr="00A62AA2" w:rsidRDefault="00556C10" w:rsidP="00556C10">
      <w:pPr>
        <w:tabs>
          <w:tab w:val="right" w:pos="-83"/>
          <w:tab w:val="right" w:pos="7"/>
          <w:tab w:val="right" w:pos="1670"/>
        </w:tabs>
        <w:bidi w:val="0"/>
        <w:spacing w:line="216" w:lineRule="auto"/>
        <w:rPr>
          <w:rFonts w:eastAsiaTheme="minorEastAsia"/>
          <w:i/>
          <w:sz w:val="23"/>
          <w:szCs w:val="23"/>
          <w:rtl/>
        </w:rPr>
      </w:pPr>
      <w:r w:rsidRPr="00A62AA2">
        <w:rPr>
          <w:position w:val="-12"/>
        </w:rPr>
        <w:object w:dxaOrig="1500" w:dyaOrig="360" w14:anchorId="388C74D9">
          <v:shape id="_x0000_i6488" type="#_x0000_t75" style="width:75.05pt;height:18.15pt" o:ole="">
            <v:imagedata r:id="rId11032" o:title=""/>
          </v:shape>
          <o:OLEObject Type="Embed" ProgID="Equation.DSMT4" ShapeID="_x0000_i6488" DrawAspect="Content" ObjectID="_1791380432" r:id="rId11033"/>
        </w:object>
      </w:r>
    </w:p>
    <w:p w14:paraId="40851868" w14:textId="77777777" w:rsidR="00556C10" w:rsidRPr="00A62AA2" w:rsidRDefault="00556C10" w:rsidP="00556C10">
      <w:pPr>
        <w:tabs>
          <w:tab w:val="right" w:pos="-83"/>
          <w:tab w:val="right" w:pos="7"/>
          <w:tab w:val="right" w:pos="1670"/>
        </w:tabs>
        <w:bidi w:val="0"/>
        <w:spacing w:line="216" w:lineRule="auto"/>
        <w:rPr>
          <w:rFonts w:eastAsiaTheme="minorEastAsia"/>
          <w:i/>
          <w:sz w:val="23"/>
          <w:szCs w:val="23"/>
        </w:rPr>
      </w:pPr>
      <w:r w:rsidRPr="00A62AA2">
        <w:rPr>
          <w:position w:val="-12"/>
        </w:rPr>
        <w:object w:dxaOrig="2120" w:dyaOrig="360" w14:anchorId="7F6B685E">
          <v:shape id="_x0000_i6489" type="#_x0000_t75" style="width:105.9pt;height:18.15pt" o:ole="">
            <v:imagedata r:id="rId11034" o:title=""/>
          </v:shape>
          <o:OLEObject Type="Embed" ProgID="Equation.DSMT4" ShapeID="_x0000_i6489" DrawAspect="Content" ObjectID="_1791380433" r:id="rId11035"/>
        </w:object>
      </w:r>
    </w:p>
    <w:p w14:paraId="4D06218E" w14:textId="77777777" w:rsidR="00556C10" w:rsidRPr="00A62AA2" w:rsidRDefault="00556C10" w:rsidP="00556C10">
      <w:pPr>
        <w:tabs>
          <w:tab w:val="right" w:pos="-83"/>
          <w:tab w:val="right" w:pos="7"/>
          <w:tab w:val="right" w:pos="1670"/>
        </w:tabs>
        <w:bidi w:val="0"/>
        <w:spacing w:line="216" w:lineRule="auto"/>
        <w:rPr>
          <w:rFonts w:eastAsiaTheme="minorEastAsia"/>
          <w:i/>
          <w:sz w:val="23"/>
          <w:szCs w:val="23"/>
        </w:rPr>
      </w:pPr>
      <w:r w:rsidRPr="00A62AA2">
        <w:rPr>
          <w:position w:val="-10"/>
        </w:rPr>
        <w:object w:dxaOrig="1640" w:dyaOrig="340" w14:anchorId="568FDF8C">
          <v:shape id="_x0000_i6490" type="#_x0000_t75" style="width:82.3pt;height:16.95pt" o:ole="">
            <v:imagedata r:id="rId11036" o:title=""/>
          </v:shape>
          <o:OLEObject Type="Embed" ProgID="Equation.DSMT4" ShapeID="_x0000_i6490" DrawAspect="Content" ObjectID="_1791380434" r:id="rId11037"/>
        </w:object>
      </w:r>
    </w:p>
    <w:p w14:paraId="7F4211E9" w14:textId="77777777" w:rsidR="00556C10" w:rsidRPr="00A62AA2" w:rsidRDefault="00556C10" w:rsidP="00556C10">
      <w:pPr>
        <w:tabs>
          <w:tab w:val="right" w:pos="-83"/>
          <w:tab w:val="right" w:pos="7"/>
          <w:tab w:val="right" w:pos="1670"/>
        </w:tabs>
        <w:bidi w:val="0"/>
        <w:spacing w:line="216" w:lineRule="auto"/>
        <w:rPr>
          <w:rFonts w:eastAsiaTheme="minorEastAsia"/>
          <w:i/>
          <w:sz w:val="23"/>
          <w:szCs w:val="23"/>
        </w:rPr>
      </w:pPr>
      <w:r w:rsidRPr="00A62AA2">
        <w:rPr>
          <w:position w:val="-32"/>
        </w:rPr>
        <w:object w:dxaOrig="5539" w:dyaOrig="760" w14:anchorId="687FF25F">
          <v:shape id="_x0000_i6491" type="#_x0000_t75" style="width:277.1pt;height:38.1pt" o:ole="">
            <v:imagedata r:id="rId11038" o:title=""/>
          </v:shape>
          <o:OLEObject Type="Embed" ProgID="Equation.DSMT4" ShapeID="_x0000_i6491" DrawAspect="Content" ObjectID="_1791380435" r:id="rId11039"/>
        </w:object>
      </w:r>
    </w:p>
    <w:p w14:paraId="24B602DE" w14:textId="77777777" w:rsidR="00556C10" w:rsidRPr="00A62AA2" w:rsidRDefault="00556C10" w:rsidP="00556C10">
      <w:pPr>
        <w:tabs>
          <w:tab w:val="right" w:pos="-83"/>
          <w:tab w:val="right" w:pos="7"/>
          <w:tab w:val="right" w:pos="1670"/>
        </w:tabs>
        <w:bidi w:val="0"/>
        <w:spacing w:line="216" w:lineRule="auto"/>
        <w:rPr>
          <w:i/>
          <w:sz w:val="23"/>
          <w:szCs w:val="23"/>
          <w:rtl/>
        </w:rPr>
      </w:pPr>
      <w:r w:rsidRPr="00A62AA2">
        <w:rPr>
          <w:position w:val="-12"/>
        </w:rPr>
        <w:object w:dxaOrig="2880" w:dyaOrig="360" w14:anchorId="0F8211AA">
          <v:shape id="_x0000_i6492" type="#_x0000_t75" style="width:2in;height:18.15pt" o:ole="">
            <v:imagedata r:id="rId11040" o:title=""/>
          </v:shape>
          <o:OLEObject Type="Embed" ProgID="Equation.DSMT4" ShapeID="_x0000_i6492" DrawAspect="Content" ObjectID="_1791380436" r:id="rId11041"/>
        </w:object>
      </w:r>
      <w:r w:rsidRPr="00A62AA2">
        <w:rPr>
          <w:rFonts w:hint="cs"/>
          <w:i/>
          <w:sz w:val="23"/>
          <w:szCs w:val="23"/>
          <w:rtl/>
        </w:rPr>
        <w:t xml:space="preserve"> </w:t>
      </w:r>
    </w:p>
    <w:p w14:paraId="7598D5C9" w14:textId="77777777" w:rsidR="00556C10" w:rsidRPr="00A62AA2" w:rsidRDefault="00556C10" w:rsidP="00556C10">
      <w:pPr>
        <w:tabs>
          <w:tab w:val="right" w:pos="-83"/>
          <w:tab w:val="right" w:pos="7"/>
          <w:tab w:val="right" w:pos="1670"/>
        </w:tabs>
        <w:bidi w:val="0"/>
        <w:spacing w:line="216" w:lineRule="auto"/>
        <w:rPr>
          <w:rFonts w:eastAsiaTheme="minorEastAsia"/>
          <w:i/>
          <w:sz w:val="23"/>
          <w:szCs w:val="23"/>
        </w:rPr>
      </w:pPr>
      <w:r w:rsidRPr="00A62AA2">
        <w:rPr>
          <w:position w:val="-12"/>
        </w:rPr>
        <w:object w:dxaOrig="2920" w:dyaOrig="360" w14:anchorId="0BEC507F">
          <v:shape id="_x0000_i6493" type="#_x0000_t75" style="width:145.8pt;height:18.15pt" o:ole="">
            <v:imagedata r:id="rId11042" o:title=""/>
          </v:shape>
          <o:OLEObject Type="Embed" ProgID="Equation.DSMT4" ShapeID="_x0000_i6493" DrawAspect="Content" ObjectID="_1791380437" r:id="rId11043"/>
        </w:object>
      </w:r>
    </w:p>
    <w:p w14:paraId="034E89BE" w14:textId="77777777" w:rsidR="00556C10" w:rsidRPr="00A62AA2" w:rsidRDefault="00556C10" w:rsidP="00556C10">
      <w:pPr>
        <w:tabs>
          <w:tab w:val="right" w:pos="-83"/>
          <w:tab w:val="right" w:pos="7"/>
          <w:tab w:val="right" w:pos="1670"/>
        </w:tabs>
        <w:spacing w:line="216" w:lineRule="auto"/>
        <w:rPr>
          <w:rFonts w:eastAsiaTheme="minorEastAsia"/>
          <w:i/>
          <w:sz w:val="23"/>
          <w:szCs w:val="23"/>
          <w:rtl/>
        </w:rPr>
      </w:pPr>
      <w:r w:rsidRPr="00A62AA2">
        <w:rPr>
          <w:rFonts w:eastAsiaTheme="minorEastAsia" w:hint="cs"/>
          <w:i/>
          <w:sz w:val="23"/>
          <w:szCs w:val="23"/>
          <w:rtl/>
        </w:rPr>
        <w:t xml:space="preserve"> و</w:t>
      </w:r>
      <w:r w:rsidRPr="00A62AA2">
        <w:rPr>
          <w:position w:val="-12"/>
        </w:rPr>
        <w:object w:dxaOrig="1219" w:dyaOrig="360" w14:anchorId="03D8D249">
          <v:shape id="_x0000_i6494" type="#_x0000_t75" style="width:61.1pt;height:18.15pt" o:ole="">
            <v:imagedata r:id="rId11044" o:title=""/>
          </v:shape>
          <o:OLEObject Type="Embed" ProgID="Equation.DSMT4" ShapeID="_x0000_i6494" DrawAspect="Content" ObjectID="_1791380438" r:id="rId11045"/>
        </w:object>
      </w:r>
      <w:r w:rsidRPr="00A62AA2">
        <w:rPr>
          <w:rFonts w:eastAsiaTheme="minorEastAsia"/>
          <w:i/>
          <w:sz w:val="23"/>
          <w:szCs w:val="23"/>
        </w:rPr>
        <w:t xml:space="preserve"> </w:t>
      </w:r>
      <w:r w:rsidRPr="00A62AA2">
        <w:rPr>
          <w:rFonts w:eastAsiaTheme="minorEastAsia" w:hint="cs"/>
          <w:i/>
          <w:sz w:val="23"/>
          <w:szCs w:val="23"/>
          <w:rtl/>
        </w:rPr>
        <w:t xml:space="preserve">ریشه‌های مشخصه‌ی معادله‌ی </w:t>
      </w:r>
      <w:r w:rsidRPr="00A62AA2">
        <w:rPr>
          <w:position w:val="-12"/>
        </w:rPr>
        <w:object w:dxaOrig="859" w:dyaOrig="360" w14:anchorId="3007EC33">
          <v:shape id="_x0000_i6495" type="#_x0000_t75" style="width:42.95pt;height:18.15pt" o:ole="">
            <v:imagedata r:id="rId11046" o:title=""/>
          </v:shape>
          <o:OLEObject Type="Embed" ProgID="Equation.DSMT4" ShapeID="_x0000_i6495" DrawAspect="Content" ObjectID="_1791380439" r:id="rId11047"/>
        </w:object>
      </w:r>
      <w:r w:rsidRPr="00A62AA2">
        <w:rPr>
          <w:rFonts w:eastAsiaTheme="minorEastAsia" w:hint="cs"/>
          <w:i/>
          <w:sz w:val="23"/>
          <w:szCs w:val="23"/>
          <w:rtl/>
        </w:rPr>
        <w:t xml:space="preserve"> می‌باشند. چنانچه </w:t>
      </w:r>
      <w:r w:rsidRPr="00A62AA2">
        <w:rPr>
          <w:position w:val="-14"/>
        </w:rPr>
        <w:object w:dxaOrig="2340" w:dyaOrig="380" w14:anchorId="3AFD246A">
          <v:shape id="_x0000_i6496" type="#_x0000_t75" style="width:117.4pt;height:18.75pt" o:ole="">
            <v:imagedata r:id="rId11048" o:title=""/>
          </v:shape>
          <o:OLEObject Type="Embed" ProgID="Equation.DSMT4" ShapeID="_x0000_i6496" DrawAspect="Content" ObjectID="_1791380440" r:id="rId11049"/>
        </w:object>
      </w:r>
      <w:r w:rsidRPr="00A62AA2">
        <w:rPr>
          <w:rFonts w:eastAsiaTheme="minorEastAsia" w:hint="cs"/>
          <w:i/>
          <w:sz w:val="23"/>
          <w:szCs w:val="23"/>
          <w:rtl/>
        </w:rPr>
        <w:t xml:space="preserve"> باشد، یا هر سه ریشه باثبات می</w:t>
      </w:r>
      <w:r w:rsidRPr="00A62AA2">
        <w:rPr>
          <w:rFonts w:eastAsiaTheme="minorEastAsia" w:hint="cs"/>
          <w:i/>
          <w:sz w:val="23"/>
          <w:szCs w:val="23"/>
          <w:rtl/>
        </w:rPr>
        <w:softHyphen/>
        <w:t>باشند، و یا فقط یکی از آن</w:t>
      </w:r>
      <w:r w:rsidRPr="00A62AA2">
        <w:rPr>
          <w:rFonts w:eastAsiaTheme="minorEastAsia" w:hint="cs"/>
          <w:i/>
          <w:sz w:val="23"/>
          <w:szCs w:val="23"/>
          <w:rtl/>
        </w:rPr>
        <w:softHyphen/>
        <w:t>ها با ثبات است. برای اینکه هر سه ریشه باثبات و یا بزرگتر از واحد باشند، با فرض اینکه همگی مثبت</w:t>
      </w:r>
      <w:r w:rsidRPr="00A62AA2">
        <w:rPr>
          <w:rFonts w:eastAsiaTheme="minorEastAsia" w:hint="cs"/>
          <w:i/>
          <w:sz w:val="23"/>
          <w:szCs w:val="23"/>
          <w:rtl/>
        </w:rPr>
        <w:softHyphen/>
        <w:t>اند، حاصل ضرب آن‌ها می‌بایست بزرگ‌تر از واحد باشد، ولی</w:t>
      </w:r>
      <w:r w:rsidRPr="00A62AA2">
        <w:rPr>
          <w:position w:val="-12"/>
        </w:rPr>
        <w:object w:dxaOrig="1719" w:dyaOrig="360" w14:anchorId="1C6ABFB7">
          <v:shape id="_x0000_i6497" type="#_x0000_t75" style="width:85.9pt;height:18.15pt" o:ole="">
            <v:imagedata r:id="rId11050" o:title=""/>
          </v:shape>
          <o:OLEObject Type="Embed" ProgID="Equation.DSMT4" ShapeID="_x0000_i6497" DrawAspect="Content" ObjectID="_1791380441" r:id="rId11051"/>
        </w:object>
      </w:r>
      <w:r w:rsidRPr="00A62AA2">
        <w:rPr>
          <w:rFonts w:eastAsiaTheme="minorEastAsia" w:hint="cs"/>
          <w:i/>
          <w:sz w:val="23"/>
          <w:szCs w:val="23"/>
          <w:rtl/>
        </w:rPr>
        <w:t xml:space="preserve"> مثبت است، امّا لزوماً بزرگ از واحد نیست. بنابراین فرض می‌کنیم که تنها یک ریشه باثبات است و دو ریشه‌ی دیگر بی</w:t>
      </w:r>
      <w:r w:rsidRPr="00A62AA2">
        <w:rPr>
          <w:rFonts w:eastAsiaTheme="minorEastAsia" w:hint="cs"/>
          <w:i/>
          <w:sz w:val="23"/>
          <w:szCs w:val="23"/>
          <w:rtl/>
        </w:rPr>
        <w:softHyphen/>
        <w:t xml:space="preserve">ثبات می‌باشند یعنی </w:t>
      </w:r>
      <w:r w:rsidRPr="00A62AA2">
        <w:rPr>
          <w:position w:val="-10"/>
        </w:rPr>
        <w:object w:dxaOrig="560" w:dyaOrig="320" w14:anchorId="464994B7">
          <v:shape id="_x0000_i6498" type="#_x0000_t75" style="width:27.85pt;height:15.75pt" o:ole="">
            <v:imagedata r:id="rId11052" o:title=""/>
          </v:shape>
          <o:OLEObject Type="Embed" ProgID="Equation.DSMT4" ShapeID="_x0000_i6498" DrawAspect="Content" ObjectID="_1791380442" r:id="rId11053"/>
        </w:object>
      </w:r>
      <w:r w:rsidRPr="00A62AA2">
        <w:rPr>
          <w:rFonts w:eastAsiaTheme="minorEastAsia" w:hint="cs"/>
          <w:i/>
          <w:sz w:val="23"/>
          <w:szCs w:val="23"/>
          <w:rtl/>
        </w:rPr>
        <w:t xml:space="preserve"> و </w:t>
      </w:r>
      <w:r w:rsidRPr="00A62AA2">
        <w:rPr>
          <w:position w:val="-10"/>
        </w:rPr>
        <w:object w:dxaOrig="840" w:dyaOrig="320" w14:anchorId="0FDB0407">
          <v:shape id="_x0000_i6499" type="#_x0000_t75" style="width:41.75pt;height:15.75pt" o:ole="">
            <v:imagedata r:id="rId11054" o:title=""/>
          </v:shape>
          <o:OLEObject Type="Embed" ProgID="Equation.DSMT4" ShapeID="_x0000_i6499" DrawAspect="Content" ObjectID="_1791380443" r:id="rId11055"/>
        </w:object>
      </w:r>
      <w:r w:rsidRPr="00A62AA2">
        <w:rPr>
          <w:rFonts w:eastAsiaTheme="minorEastAsia" w:hint="cs"/>
          <w:i/>
          <w:sz w:val="23"/>
          <w:szCs w:val="23"/>
          <w:rtl/>
        </w:rPr>
        <w:t>است. آنگاه ممکن است حل</w:t>
      </w:r>
      <w:r w:rsidRPr="00A62AA2">
        <w:rPr>
          <w:position w:val="-10"/>
        </w:rPr>
        <w:object w:dxaOrig="200" w:dyaOrig="320" w14:anchorId="60364853">
          <v:shape id="_x0000_i6500" type="#_x0000_t75" style="width:10.3pt;height:15.75pt" o:ole="">
            <v:imagedata r:id="rId11056" o:title=""/>
          </v:shape>
          <o:OLEObject Type="Embed" ProgID="Equation.DSMT4" ShapeID="_x0000_i6500" DrawAspect="Content" ObjectID="_1791380444" r:id="rId11057"/>
        </w:object>
      </w:r>
      <w:r w:rsidRPr="00A62AA2">
        <w:rPr>
          <w:rFonts w:eastAsiaTheme="minorEastAsia"/>
          <w:i/>
          <w:sz w:val="23"/>
          <w:szCs w:val="23"/>
        </w:rPr>
        <w:t xml:space="preserve"> </w:t>
      </w:r>
      <w:r w:rsidRPr="00A62AA2">
        <w:rPr>
          <w:rFonts w:eastAsiaTheme="minorEastAsia" w:hint="cs"/>
          <w:i/>
          <w:sz w:val="23"/>
          <w:szCs w:val="23"/>
          <w:rtl/>
        </w:rPr>
        <w:t>به صورت زیر نوشته شود</w:t>
      </w:r>
    </w:p>
    <w:p w14:paraId="7706EC1A" w14:textId="77777777" w:rsidR="00556C10" w:rsidRPr="00A62AA2" w:rsidRDefault="00556C10" w:rsidP="00556C10">
      <w:pPr>
        <w:tabs>
          <w:tab w:val="right" w:pos="-83"/>
          <w:tab w:val="right" w:pos="7"/>
          <w:tab w:val="right" w:pos="1670"/>
        </w:tabs>
        <w:bidi w:val="0"/>
        <w:spacing w:line="216" w:lineRule="auto"/>
        <w:rPr>
          <w:rFonts w:eastAsiaTheme="minorEastAsia"/>
          <w:i/>
          <w:sz w:val="23"/>
          <w:szCs w:val="23"/>
          <w:rtl/>
        </w:rPr>
      </w:pPr>
      <w:r w:rsidRPr="00A62AA2">
        <w:rPr>
          <w:position w:val="-30"/>
        </w:rPr>
        <w:object w:dxaOrig="5260" w:dyaOrig="680" w14:anchorId="1D817272">
          <v:shape id="_x0000_i6501" type="#_x0000_t75" style="width:263.2pt;height:33.9pt" o:ole="">
            <v:imagedata r:id="rId11058" o:title=""/>
          </v:shape>
          <o:OLEObject Type="Embed" ProgID="Equation.DSMT4" ShapeID="_x0000_i6501" DrawAspect="Content" ObjectID="_1791380445" r:id="rId11059"/>
        </w:object>
      </w:r>
    </w:p>
    <w:p w14:paraId="5F9C967C" w14:textId="77777777" w:rsidR="00556C10" w:rsidRPr="00A62AA2" w:rsidRDefault="00556C10" w:rsidP="00556C10">
      <w:pPr>
        <w:tabs>
          <w:tab w:val="right" w:pos="-83"/>
          <w:tab w:val="right" w:pos="7"/>
          <w:tab w:val="right" w:pos="1670"/>
        </w:tabs>
        <w:spacing w:line="216" w:lineRule="auto"/>
        <w:rPr>
          <w:rFonts w:eastAsiaTheme="minorEastAsia"/>
          <w:i/>
          <w:sz w:val="23"/>
          <w:szCs w:val="23"/>
          <w:rtl/>
        </w:rPr>
      </w:pPr>
      <w:r w:rsidRPr="00A62AA2">
        <w:rPr>
          <w:rFonts w:eastAsiaTheme="minorEastAsia" w:hint="cs"/>
          <w:i/>
          <w:sz w:val="23"/>
          <w:szCs w:val="23"/>
          <w:rtl/>
        </w:rPr>
        <w:t>نمودارهای ۱۳. ۱۹ الی ۱۳. ۲۲ تغییرات همزمان نرخ ارز و سطح قیمت را بر اثر افزایش عرضه‌ی پول پیش</w:t>
      </w:r>
      <w:r w:rsidRPr="00A62AA2">
        <w:rPr>
          <w:rFonts w:eastAsiaTheme="minorEastAsia" w:hint="cs"/>
          <w:i/>
          <w:sz w:val="23"/>
          <w:szCs w:val="23"/>
          <w:rtl/>
        </w:rPr>
        <w:softHyphen/>
        <w:t>بینی نشده و پیش</w:t>
      </w:r>
      <w:r w:rsidRPr="00A62AA2">
        <w:rPr>
          <w:rFonts w:eastAsiaTheme="minorEastAsia" w:hint="cs"/>
          <w:i/>
          <w:sz w:val="23"/>
          <w:szCs w:val="23"/>
          <w:rtl/>
        </w:rPr>
        <w:softHyphen/>
        <w:t>بینی شده‌ی موقتی و دائمی نشان می‌دهند. این نتایج بسیار شبیه مدل دورنبوش است. یکبار دیگر نرخ ارز با افزایش عرضه‌ی پول دائمی پیش</w:t>
      </w:r>
      <w:r w:rsidRPr="00A62AA2">
        <w:rPr>
          <w:rFonts w:eastAsiaTheme="minorEastAsia" w:hint="cs"/>
          <w:i/>
          <w:sz w:val="23"/>
          <w:szCs w:val="23"/>
          <w:rtl/>
        </w:rPr>
        <w:softHyphen/>
        <w:t>بینی نشده جهشی بیش از حدّ داشته، ولی این جهش برای افزایش دائمی پیش</w:t>
      </w:r>
      <w:r w:rsidRPr="00A62AA2">
        <w:rPr>
          <w:rFonts w:eastAsiaTheme="minorEastAsia" w:hint="cs"/>
          <w:i/>
          <w:sz w:val="23"/>
          <w:szCs w:val="23"/>
          <w:rtl/>
        </w:rPr>
        <w:softHyphen/>
        <w:t>بینی شده مشاهده نمی</w:t>
      </w:r>
      <w:r w:rsidRPr="00A62AA2">
        <w:rPr>
          <w:rFonts w:eastAsiaTheme="minorEastAsia" w:hint="cs"/>
          <w:i/>
          <w:sz w:val="23"/>
          <w:szCs w:val="23"/>
          <w:rtl/>
        </w:rPr>
        <w:softHyphen/>
        <w:t>شود.</w:t>
      </w:r>
    </w:p>
    <w:p w14:paraId="1545F954" w14:textId="77777777" w:rsidR="00556C10" w:rsidRPr="00A62AA2" w:rsidRDefault="00556C10" w:rsidP="00556C10">
      <w:pPr>
        <w:tabs>
          <w:tab w:val="right" w:pos="-83"/>
          <w:tab w:val="right" w:pos="7"/>
        </w:tabs>
        <w:spacing w:line="216" w:lineRule="auto"/>
        <w:rPr>
          <w:rFonts w:eastAsiaTheme="minorEastAsia"/>
          <w:i/>
          <w:sz w:val="23"/>
          <w:szCs w:val="23"/>
          <w:rtl/>
        </w:rPr>
      </w:pPr>
    </w:p>
    <w:p w14:paraId="387ABCAB" w14:textId="77777777" w:rsidR="00556C10" w:rsidRDefault="00556C10" w:rsidP="00556C10">
      <w:pPr>
        <w:tabs>
          <w:tab w:val="right" w:pos="-83"/>
          <w:tab w:val="right" w:pos="7"/>
        </w:tabs>
        <w:spacing w:line="216" w:lineRule="auto"/>
        <w:rPr>
          <w:rFonts w:eastAsiaTheme="minorEastAsia"/>
          <w:i/>
          <w:sz w:val="23"/>
          <w:szCs w:val="23"/>
          <w:rtl/>
        </w:rPr>
      </w:pPr>
    </w:p>
    <w:p w14:paraId="57A4CBF4" w14:textId="77777777" w:rsidR="00556C10" w:rsidRPr="00A62AA2" w:rsidRDefault="00556C10" w:rsidP="00556C10">
      <w:pPr>
        <w:tabs>
          <w:tab w:val="right" w:pos="-83"/>
          <w:tab w:val="right" w:pos="7"/>
        </w:tabs>
        <w:spacing w:line="216" w:lineRule="auto"/>
        <w:rPr>
          <w:rFonts w:eastAsiaTheme="minorEastAsia"/>
          <w:i/>
          <w:sz w:val="23"/>
          <w:szCs w:val="23"/>
          <w:rtl/>
        </w:rPr>
      </w:pPr>
    </w:p>
    <w:p w14:paraId="683135B1"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rFonts w:eastAsiaTheme="minorEastAsia" w:hint="cs"/>
          <w:i/>
          <w:sz w:val="23"/>
          <w:szCs w:val="23"/>
          <w:rtl/>
        </w:rPr>
        <w:t>نمودار ۱۳. ۱۹ : یک شوک عرضه‌ی پول موقتی پیش بینی نشده</w:t>
      </w:r>
    </w:p>
    <w:p w14:paraId="42E5B047"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i/>
          <w:noProof/>
          <w:sz w:val="23"/>
          <w:szCs w:val="23"/>
          <w:lang w:bidi="ar-SA"/>
        </w:rPr>
        <w:drawing>
          <wp:inline distT="0" distB="0" distL="0" distR="0" wp14:anchorId="30B950FB" wp14:editId="50646DFF">
            <wp:extent cx="3655401" cy="1780674"/>
            <wp:effectExtent l="38100" t="38100" r="40640" b="292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060" cstate="print">
                      <a:extLst>
                        <a:ext uri="{BEBA8EAE-BF5A-486C-A8C5-ECC9F3942E4B}">
                          <a14:imgProps xmlns:a14="http://schemas.microsoft.com/office/drawing/2010/main">
                            <a14:imgLayer r:embed="rId11061">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68418" cy="1787015"/>
                    </a:xfrm>
                    <a:prstGeom prst="rect">
                      <a:avLst/>
                    </a:prstGeom>
                    <a:ln w="28575">
                      <a:solidFill>
                        <a:schemeClr val="tx1"/>
                      </a:solidFill>
                    </a:ln>
                  </pic:spPr>
                </pic:pic>
              </a:graphicData>
            </a:graphic>
          </wp:inline>
        </w:drawing>
      </w:r>
    </w:p>
    <w:p w14:paraId="00A859A1" w14:textId="77777777" w:rsidR="00556C10" w:rsidRPr="00A62AA2" w:rsidRDefault="00556C10" w:rsidP="00556C10">
      <w:pPr>
        <w:tabs>
          <w:tab w:val="right" w:pos="-83"/>
          <w:tab w:val="right" w:pos="7"/>
        </w:tabs>
        <w:spacing w:line="216" w:lineRule="auto"/>
        <w:jc w:val="center"/>
        <w:rPr>
          <w:rFonts w:eastAsiaTheme="minorEastAsia"/>
          <w:i/>
          <w:sz w:val="23"/>
          <w:szCs w:val="23"/>
        </w:rPr>
      </w:pPr>
    </w:p>
    <w:p w14:paraId="5583340D"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rFonts w:eastAsiaTheme="minorEastAsia" w:hint="cs"/>
          <w:i/>
          <w:sz w:val="23"/>
          <w:szCs w:val="23"/>
          <w:rtl/>
        </w:rPr>
        <w:t>نمودار ۱۳. ۲۰ : یک شوک عرضه‌ی پول دائمی پیش بینی نشده</w:t>
      </w:r>
    </w:p>
    <w:p w14:paraId="2570CA44"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i/>
          <w:noProof/>
          <w:sz w:val="23"/>
          <w:szCs w:val="23"/>
          <w:lang w:bidi="ar-SA"/>
        </w:rPr>
        <w:lastRenderedPageBreak/>
        <w:drawing>
          <wp:inline distT="0" distB="0" distL="0" distR="0" wp14:anchorId="37DCAE0C" wp14:editId="280DD71B">
            <wp:extent cx="3654788" cy="1741040"/>
            <wp:effectExtent l="38100" t="38100" r="41275" b="311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062" cstate="print">
                      <a:extLst>
                        <a:ext uri="{28A0092B-C50C-407E-A947-70E740481C1C}">
                          <a14:useLocalDpi xmlns:a14="http://schemas.microsoft.com/office/drawing/2010/main" val="0"/>
                        </a:ext>
                      </a:extLst>
                    </a:blip>
                    <a:srcRect/>
                    <a:stretch>
                      <a:fillRect/>
                    </a:stretch>
                  </pic:blipFill>
                  <pic:spPr bwMode="auto">
                    <a:xfrm>
                      <a:off x="0" y="0"/>
                      <a:ext cx="3673046" cy="1749738"/>
                    </a:xfrm>
                    <a:prstGeom prst="rect">
                      <a:avLst/>
                    </a:prstGeom>
                    <a:ln w="28575">
                      <a:solidFill>
                        <a:schemeClr val="tx1"/>
                      </a:solidFill>
                    </a:ln>
                  </pic:spPr>
                </pic:pic>
              </a:graphicData>
            </a:graphic>
          </wp:inline>
        </w:drawing>
      </w:r>
    </w:p>
    <w:p w14:paraId="730C5516" w14:textId="77777777" w:rsidR="00556C10" w:rsidRPr="00A62AA2" w:rsidRDefault="00556C10" w:rsidP="00556C10">
      <w:pPr>
        <w:tabs>
          <w:tab w:val="right" w:pos="-83"/>
          <w:tab w:val="right" w:pos="7"/>
        </w:tabs>
        <w:spacing w:line="216" w:lineRule="auto"/>
        <w:jc w:val="center"/>
        <w:rPr>
          <w:rFonts w:eastAsiaTheme="minorEastAsia"/>
          <w:i/>
          <w:sz w:val="23"/>
          <w:szCs w:val="23"/>
        </w:rPr>
      </w:pPr>
    </w:p>
    <w:p w14:paraId="3B292AA6"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rFonts w:eastAsiaTheme="minorEastAsia" w:hint="cs"/>
          <w:i/>
          <w:sz w:val="23"/>
          <w:szCs w:val="23"/>
          <w:rtl/>
        </w:rPr>
        <w:t>نمودار ۱۳. ۲۱ : یک شوک عرضه‌ی پول موقتی پیش بینی شده</w:t>
      </w:r>
    </w:p>
    <w:p w14:paraId="3555ED4F"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i/>
          <w:noProof/>
          <w:sz w:val="23"/>
          <w:szCs w:val="23"/>
          <w:lang w:bidi="ar-SA"/>
        </w:rPr>
        <w:drawing>
          <wp:inline distT="0" distB="0" distL="0" distR="0" wp14:anchorId="3601EAFF" wp14:editId="02A0F75B">
            <wp:extent cx="3656063" cy="1797660"/>
            <wp:effectExtent l="38100" t="38100" r="40005" b="317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063" cstate="print">
                      <a:extLst>
                        <a:ext uri="{28A0092B-C50C-407E-A947-70E740481C1C}">
                          <a14:useLocalDpi xmlns:a14="http://schemas.microsoft.com/office/drawing/2010/main" val="0"/>
                        </a:ext>
                      </a:extLst>
                    </a:blip>
                    <a:srcRect/>
                    <a:stretch>
                      <a:fillRect/>
                    </a:stretch>
                  </pic:blipFill>
                  <pic:spPr bwMode="auto">
                    <a:xfrm>
                      <a:off x="0" y="0"/>
                      <a:ext cx="3675035" cy="1806988"/>
                    </a:xfrm>
                    <a:prstGeom prst="rect">
                      <a:avLst/>
                    </a:prstGeom>
                    <a:ln w="28575">
                      <a:solidFill>
                        <a:schemeClr val="tx1"/>
                      </a:solidFill>
                    </a:ln>
                  </pic:spPr>
                </pic:pic>
              </a:graphicData>
            </a:graphic>
          </wp:inline>
        </w:drawing>
      </w:r>
    </w:p>
    <w:p w14:paraId="3C7DC2B8" w14:textId="77777777" w:rsidR="00556C10" w:rsidRPr="00A62AA2" w:rsidRDefault="00556C10" w:rsidP="00556C10">
      <w:pPr>
        <w:tabs>
          <w:tab w:val="right" w:pos="-83"/>
          <w:tab w:val="right" w:pos="7"/>
        </w:tabs>
        <w:spacing w:line="216" w:lineRule="auto"/>
        <w:jc w:val="center"/>
        <w:rPr>
          <w:rFonts w:eastAsiaTheme="minorEastAsia"/>
          <w:i/>
          <w:sz w:val="23"/>
          <w:szCs w:val="23"/>
        </w:rPr>
      </w:pPr>
    </w:p>
    <w:p w14:paraId="3FA3F093"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rFonts w:eastAsiaTheme="minorEastAsia" w:hint="cs"/>
          <w:i/>
          <w:sz w:val="23"/>
          <w:szCs w:val="23"/>
          <w:rtl/>
        </w:rPr>
        <w:t>نمودار ۱۳. ۲۲ :‌ یک شوک عرضه‌ی پول دائمی پیش بینی شده</w:t>
      </w:r>
    </w:p>
    <w:p w14:paraId="0F51082E" w14:textId="77777777" w:rsidR="00556C10" w:rsidRPr="00A62AA2" w:rsidRDefault="00556C10" w:rsidP="00556C10">
      <w:pPr>
        <w:tabs>
          <w:tab w:val="right" w:pos="-83"/>
          <w:tab w:val="right" w:pos="7"/>
        </w:tabs>
        <w:spacing w:line="216" w:lineRule="auto"/>
        <w:jc w:val="center"/>
        <w:rPr>
          <w:rFonts w:eastAsiaTheme="minorEastAsia"/>
          <w:i/>
          <w:sz w:val="23"/>
          <w:szCs w:val="23"/>
          <w:rtl/>
        </w:rPr>
      </w:pPr>
      <w:r w:rsidRPr="00A62AA2">
        <w:rPr>
          <w:i/>
          <w:noProof/>
          <w:sz w:val="23"/>
          <w:szCs w:val="23"/>
          <w:lang w:bidi="ar-SA"/>
        </w:rPr>
        <w:drawing>
          <wp:inline distT="0" distB="0" distL="0" distR="0" wp14:anchorId="743E12CE" wp14:editId="0C646440">
            <wp:extent cx="3657279" cy="1916560"/>
            <wp:effectExtent l="38100" t="38100" r="38735" b="4572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064" cstate="print">
                      <a:extLst>
                        <a:ext uri="{28A0092B-C50C-407E-A947-70E740481C1C}">
                          <a14:useLocalDpi xmlns:a14="http://schemas.microsoft.com/office/drawing/2010/main" val="0"/>
                        </a:ext>
                      </a:extLst>
                    </a:blip>
                    <a:srcRect/>
                    <a:stretch>
                      <a:fillRect/>
                    </a:stretch>
                  </pic:blipFill>
                  <pic:spPr bwMode="auto">
                    <a:xfrm>
                      <a:off x="0" y="0"/>
                      <a:ext cx="3660561" cy="1918280"/>
                    </a:xfrm>
                    <a:prstGeom prst="rect">
                      <a:avLst/>
                    </a:prstGeom>
                    <a:noFill/>
                    <a:ln w="28575">
                      <a:solidFill>
                        <a:schemeClr val="tx1"/>
                      </a:solidFill>
                    </a:ln>
                  </pic:spPr>
                </pic:pic>
              </a:graphicData>
            </a:graphic>
          </wp:inline>
        </w:drawing>
      </w:r>
    </w:p>
    <w:p w14:paraId="32B378D8" w14:textId="77777777" w:rsidR="00556C10" w:rsidRPr="00A62AA2" w:rsidRDefault="00556C10" w:rsidP="00556C10">
      <w:pPr>
        <w:tabs>
          <w:tab w:val="right" w:pos="-83"/>
          <w:tab w:val="right" w:pos="7"/>
        </w:tabs>
        <w:spacing w:line="216" w:lineRule="auto"/>
        <w:rPr>
          <w:rFonts w:eastAsiaTheme="minorHAnsi"/>
          <w:i/>
          <w:sz w:val="23"/>
          <w:szCs w:val="23"/>
          <w:rtl/>
        </w:rPr>
      </w:pPr>
    </w:p>
    <w:p w14:paraId="2A2FCFC9" w14:textId="77777777" w:rsidR="00556C10" w:rsidRPr="00A62AA2" w:rsidRDefault="00556C10" w:rsidP="00556C10">
      <w:pPr>
        <w:tabs>
          <w:tab w:val="right" w:pos="6804"/>
        </w:tabs>
        <w:spacing w:line="216" w:lineRule="auto"/>
        <w:rPr>
          <w:rFonts w:eastAsiaTheme="minorEastAsia"/>
          <w:bCs/>
          <w:i/>
          <w:sz w:val="23"/>
          <w:szCs w:val="23"/>
          <w:rtl/>
        </w:rPr>
      </w:pPr>
      <w:r w:rsidRPr="00A62AA2">
        <w:rPr>
          <w:rFonts w:eastAsiaTheme="minorEastAsia" w:hint="cs"/>
          <w:bCs/>
          <w:i/>
          <w:sz w:val="23"/>
          <w:szCs w:val="23"/>
          <w:rtl/>
        </w:rPr>
        <w:lastRenderedPageBreak/>
        <w:t>۱۳. ۹ مدل احیا شده‌ی آبسفلد</w:t>
      </w:r>
      <w:r w:rsidRPr="00A62AA2">
        <w:rPr>
          <w:rFonts w:eastAsiaTheme="minorEastAsia" w:cs="Times New Roman"/>
          <w:bCs/>
          <w:i/>
          <w:sz w:val="23"/>
          <w:szCs w:val="23"/>
          <w:rtl/>
        </w:rPr>
        <w:t>–</w:t>
      </w:r>
      <w:r w:rsidRPr="00A62AA2">
        <w:rPr>
          <w:rFonts w:eastAsiaTheme="minorEastAsia" w:hint="cs"/>
          <w:bCs/>
          <w:i/>
          <w:sz w:val="23"/>
          <w:szCs w:val="23"/>
          <w:rtl/>
        </w:rPr>
        <w:t>روگوف</w:t>
      </w:r>
      <w:r w:rsidRPr="00A62AA2">
        <w:rPr>
          <w:rStyle w:val="FootnoteReference"/>
          <w:rFonts w:eastAsiaTheme="minorEastAsia"/>
          <w:bCs/>
          <w:i/>
          <w:sz w:val="23"/>
          <w:szCs w:val="23"/>
          <w:rtl/>
        </w:rPr>
        <w:footnoteReference w:id="322"/>
      </w:r>
    </w:p>
    <w:p w14:paraId="07431948" w14:textId="77777777" w:rsidR="00556C10" w:rsidRPr="00A62AA2" w:rsidRDefault="00556C10" w:rsidP="00556C10">
      <w:pPr>
        <w:pStyle w:val="Heading1"/>
        <w:spacing w:before="0" w:line="216" w:lineRule="auto"/>
        <w:rPr>
          <w:rFonts w:ascii="Times New Roman" w:eastAsiaTheme="minorEastAsia" w:hAnsi="Times New Roman" w:cs="B Nazanin"/>
          <w:b w:val="0"/>
          <w:bCs w:val="0"/>
          <w:i/>
          <w:sz w:val="23"/>
          <w:szCs w:val="23"/>
          <w:rtl/>
        </w:rPr>
      </w:pPr>
      <w:r w:rsidRPr="00A62AA2">
        <w:rPr>
          <w:rFonts w:eastAsiaTheme="minorEastAsia" w:cs="B Nazanin" w:hint="cs"/>
          <w:b w:val="0"/>
          <w:bCs w:val="0"/>
          <w:i/>
          <w:sz w:val="23"/>
          <w:szCs w:val="23"/>
          <w:rtl/>
        </w:rPr>
        <w:t>مدل‌های نرخ ارزی که تاکنون مورد بررسی قرار گرفته</w:t>
      </w:r>
      <w:r w:rsidRPr="00A62AA2">
        <w:rPr>
          <w:rFonts w:eastAsiaTheme="minorEastAsia" w:cs="B Nazanin" w:hint="cs"/>
          <w:b w:val="0"/>
          <w:bCs w:val="0"/>
          <w:i/>
          <w:sz w:val="23"/>
          <w:szCs w:val="23"/>
          <w:rtl/>
        </w:rPr>
        <w:softHyphen/>
        <w:t>اند دو محدودیت عمده دارند. کلیه‌ی این مدل‌ها فاقد عمومیت و چارچوب خُرد ضمنی بوده، و برای این که آن</w:t>
      </w:r>
      <w:r w:rsidRPr="00A62AA2">
        <w:rPr>
          <w:rFonts w:eastAsiaTheme="minorEastAsia" w:cs="B Nazanin" w:hint="cs"/>
          <w:b w:val="0"/>
          <w:bCs w:val="0"/>
          <w:i/>
          <w:sz w:val="23"/>
          <w:szCs w:val="23"/>
          <w:rtl/>
        </w:rPr>
        <w:softHyphen/>
        <w:t xml:space="preserve">ها را بصورت تحلیلی </w:t>
      </w:r>
      <w:r w:rsidRPr="00A62AA2">
        <w:rPr>
          <w:rFonts w:ascii="Times New Roman" w:eastAsiaTheme="minorEastAsia" w:hAnsi="Times New Roman" w:cs="B Nazanin" w:hint="cs"/>
          <w:b w:val="0"/>
          <w:bCs w:val="0"/>
          <w:i/>
          <w:sz w:val="23"/>
          <w:szCs w:val="23"/>
          <w:rtl/>
        </w:rPr>
        <w:t>مدیریت کرد قیودی بر تغییرات تولید و قیمت بر آن‌ها تحمیل می‌شود. مدل آبسفلد</w:t>
      </w:r>
      <w:r w:rsidRPr="00A62AA2">
        <w:rPr>
          <w:rFonts w:ascii="Times New Roman" w:eastAsiaTheme="minorEastAsia" w:hAnsi="Times New Roman" w:cs="Times New Roman" w:hint="cs"/>
          <w:b w:val="0"/>
          <w:bCs w:val="0"/>
          <w:i/>
          <w:sz w:val="23"/>
          <w:szCs w:val="23"/>
          <w:rtl/>
        </w:rPr>
        <w:t>–</w:t>
      </w:r>
      <w:r w:rsidRPr="00A62AA2">
        <w:rPr>
          <w:rFonts w:ascii="Times New Roman" w:eastAsiaTheme="minorEastAsia" w:hAnsi="Times New Roman" w:cs="B Nazanin" w:hint="cs"/>
          <w:b w:val="0"/>
          <w:bCs w:val="0"/>
          <w:i/>
          <w:sz w:val="23"/>
          <w:szCs w:val="23"/>
          <w:rtl/>
        </w:rPr>
        <w:t xml:space="preserve"> روگوف که در سال 1995 ارائه شد اولین تلاش برای تهیه مدل نرخ ارزی است که مبتنی بر چارچوب خُرد و انعطاف‌پذیری قیمت‌ها و تولید است.مدل‌های قبلی علی</w:t>
      </w:r>
      <w:r w:rsidRPr="00A62AA2">
        <w:rPr>
          <w:rFonts w:ascii="Times New Roman" w:eastAsiaTheme="minorEastAsia" w:hAnsi="Times New Roman" w:cs="B Nazanin" w:hint="cs"/>
          <w:b w:val="0"/>
          <w:bCs w:val="0"/>
          <w:i/>
          <w:sz w:val="23"/>
          <w:szCs w:val="23"/>
          <w:rtl/>
        </w:rPr>
        <w:softHyphen/>
        <w:t>رغم نقاط ضعف آشکارخود به فهم ما در خصوص مدل نسبتاً پیچیده احیا شده کمک خواهند کرد. مدل اولیه‌ی احیا شده مبتنی بر اقتصاد دو کشوری با رقابت انحصاری در بازار کالاها و قیمت‌های انعطاف‌پذیر است. در این</w:t>
      </w:r>
      <w:r w:rsidRPr="00A62AA2">
        <w:rPr>
          <w:rFonts w:ascii="Times New Roman" w:eastAsiaTheme="minorEastAsia" w:hAnsi="Times New Roman" w:cs="B Nazanin" w:hint="cs"/>
          <w:b w:val="0"/>
          <w:bCs w:val="0"/>
          <w:i/>
          <w:sz w:val="23"/>
          <w:szCs w:val="23"/>
          <w:rtl/>
        </w:rPr>
        <w:softHyphen/>
        <w:t>جا دو تغییر را مورد توجه قرار می‌دهیم، یکی قیمتِ چسبنده و دیگری اقتصاد یک کشور کوچک. و سعی خواهیم کرد تا ارتباط این مدل را با چارچوب تعادل عمومی فصول قبل برقرارسازیم.</w:t>
      </w:r>
    </w:p>
    <w:p w14:paraId="342D88AB" w14:textId="77777777" w:rsidR="00556C10" w:rsidRPr="00A62AA2" w:rsidRDefault="00556C10" w:rsidP="00556C10">
      <w:pPr>
        <w:rPr>
          <w:rFonts w:eastAsiaTheme="minorEastAsia"/>
          <w:sz w:val="23"/>
          <w:szCs w:val="23"/>
          <w:rtl/>
        </w:rPr>
      </w:pPr>
    </w:p>
    <w:p w14:paraId="51E0D3B9" w14:textId="77777777" w:rsidR="00556C10" w:rsidRPr="00A62AA2" w:rsidRDefault="00556C10" w:rsidP="00556C10">
      <w:pPr>
        <w:pStyle w:val="Heading1"/>
        <w:spacing w:before="0" w:line="216" w:lineRule="auto"/>
        <w:rPr>
          <w:rFonts w:ascii="Times New Roman" w:eastAsiaTheme="minorEastAsia" w:hAnsi="Times New Roman" w:cs="B Nazanin"/>
          <w:b w:val="0"/>
          <w:i/>
          <w:sz w:val="23"/>
          <w:szCs w:val="23"/>
          <w:rtl/>
        </w:rPr>
      </w:pPr>
      <w:r w:rsidRPr="00A62AA2">
        <w:rPr>
          <w:rFonts w:ascii="Times New Roman" w:eastAsiaTheme="minorEastAsia" w:hAnsi="Times New Roman" w:cs="B Nazanin" w:hint="cs"/>
          <w:b w:val="0"/>
          <w:i/>
          <w:sz w:val="23"/>
          <w:szCs w:val="23"/>
          <w:rtl/>
        </w:rPr>
        <w:t xml:space="preserve">۱۳. ۹. ۱ مدل احیا شده‌ی اولیه با قیمت‌های انعطاف‌پذیر </w:t>
      </w:r>
    </w:p>
    <w:p w14:paraId="3927449D" w14:textId="77777777" w:rsidR="00556C10" w:rsidRPr="00A62AA2" w:rsidRDefault="00556C10" w:rsidP="00556C10">
      <w:pPr>
        <w:tabs>
          <w:tab w:val="right" w:pos="-83"/>
          <w:tab w:val="right" w:pos="7"/>
        </w:tabs>
        <w:spacing w:line="216" w:lineRule="auto"/>
        <w:rPr>
          <w:rFonts w:eastAsiaTheme="minorEastAsia"/>
          <w:bCs/>
          <w:i/>
          <w:sz w:val="23"/>
          <w:szCs w:val="23"/>
          <w:rtl/>
        </w:rPr>
      </w:pPr>
      <w:r w:rsidRPr="00A62AA2">
        <w:rPr>
          <w:rFonts w:eastAsiaTheme="minorEastAsia" w:hint="cs"/>
          <w:bCs/>
          <w:i/>
          <w:sz w:val="23"/>
          <w:szCs w:val="23"/>
          <w:rtl/>
        </w:rPr>
        <w:t>ترجیحات، تکنولوژی و ساختار بازار</w:t>
      </w:r>
    </w:p>
    <w:p w14:paraId="327FFDCC" w14:textId="77777777" w:rsidR="00556C10" w:rsidRPr="00A62AA2" w:rsidRDefault="00556C10" w:rsidP="00556C10">
      <w:pPr>
        <w:pStyle w:val="Heading1"/>
        <w:spacing w:before="0" w:line="216" w:lineRule="auto"/>
        <w:rPr>
          <w:rFonts w:ascii="Times New Roman" w:eastAsiaTheme="minorEastAsia" w:hAnsi="Times New Roman" w:cs="B Nazanin"/>
          <w:b w:val="0"/>
          <w:bCs w:val="0"/>
          <w:i/>
          <w:sz w:val="23"/>
          <w:szCs w:val="23"/>
          <w:rtl/>
        </w:rPr>
      </w:pPr>
      <w:r w:rsidRPr="00A62AA2">
        <w:rPr>
          <w:rFonts w:eastAsiaTheme="minorEastAsia" w:cs="B Nazanin" w:hint="cs"/>
          <w:b w:val="0"/>
          <w:bCs w:val="0"/>
          <w:i/>
          <w:sz w:val="23"/>
          <w:szCs w:val="23"/>
          <w:rtl/>
        </w:rPr>
        <w:t xml:space="preserve">فرض کنید که در دنیا فقط دو کشور وجود دارد. دراین دنیای دو کشوری زنجیره‌ای از تولید کننده </w:t>
      </w:r>
      <w:r w:rsidRPr="00A62AA2">
        <w:rPr>
          <w:rFonts w:ascii="Sakkal Majalla" w:eastAsiaTheme="minorEastAsia" w:hAnsi="Sakkal Majalla" w:cs="Sakkal Majalla" w:hint="cs"/>
          <w:b w:val="0"/>
          <w:bCs w:val="0"/>
          <w:i/>
          <w:sz w:val="23"/>
          <w:szCs w:val="23"/>
          <w:rtl/>
        </w:rPr>
        <w:t>–</w:t>
      </w:r>
      <w:r w:rsidRPr="00A62AA2">
        <w:rPr>
          <w:rFonts w:eastAsiaTheme="minorEastAsia" w:cs="B Nazanin" w:hint="cs"/>
          <w:b w:val="0"/>
          <w:bCs w:val="0"/>
          <w:i/>
          <w:sz w:val="23"/>
          <w:szCs w:val="23"/>
          <w:rtl/>
        </w:rPr>
        <w:t xml:space="preserve"> خانوار منحصربفرد وجود دارد که هریک با شاخص </w:t>
      </w:r>
      <w:r w:rsidRPr="00A62AA2">
        <w:rPr>
          <w:position w:val="-12"/>
        </w:rPr>
        <w:object w:dxaOrig="800" w:dyaOrig="360" w14:anchorId="0A102E2C">
          <v:shape id="_x0000_i6502" type="#_x0000_t75" style="width:39.95pt;height:18.15pt" o:ole="">
            <v:imagedata r:id="rId11065" o:title=""/>
          </v:shape>
          <o:OLEObject Type="Embed" ProgID="Equation.DSMT4" ShapeID="_x0000_i6502" DrawAspect="Content" ObjectID="_1791380446" r:id="rId11066"/>
        </w:object>
      </w:r>
      <w:r w:rsidRPr="00A62AA2">
        <w:rPr>
          <w:rFonts w:eastAsiaTheme="minorEastAsia" w:cs="B Nazanin" w:hint="cs"/>
          <w:b w:val="0"/>
          <w:bCs w:val="0"/>
          <w:i/>
          <w:sz w:val="23"/>
          <w:szCs w:val="23"/>
          <w:rtl/>
        </w:rPr>
        <w:t xml:space="preserve"> مشخص شده، و هریک، یگانه تولید کننده‌ی دنیا از کالای متمایز</w:t>
      </w:r>
      <w:r w:rsidRPr="00A62AA2">
        <w:rPr>
          <w:position w:val="-6"/>
        </w:rPr>
        <w:object w:dxaOrig="180" w:dyaOrig="200" w14:anchorId="29C80EA6">
          <v:shape id="_x0000_i6503" type="#_x0000_t75" style="width:9.1pt;height:10.3pt" o:ole="">
            <v:imagedata r:id="rId11067" o:title=""/>
          </v:shape>
          <o:OLEObject Type="Embed" ProgID="Equation.DSMT4" ShapeID="_x0000_i6503" DrawAspect="Content" ObjectID="_1791380447" r:id="rId11068"/>
        </w:object>
      </w:r>
      <w:r w:rsidRPr="00A62AA2">
        <w:rPr>
          <w:rFonts w:eastAsiaTheme="minorEastAsia" w:cs="B Nazanin" w:hint="cs"/>
          <w:b w:val="0"/>
          <w:bCs w:val="0"/>
          <w:i/>
          <w:sz w:val="23"/>
          <w:szCs w:val="23"/>
          <w:rtl/>
        </w:rPr>
        <w:t xml:space="preserve"> هستند. کشور داخلی شامل تولیدکنندگان ثابتی است که هر یک با برچسب‌های خود از یکدیگر متمایز شده و در فاصله‌ی </w:t>
      </w:r>
      <w:r w:rsidRPr="00A62AA2">
        <w:rPr>
          <w:position w:val="-12"/>
        </w:rPr>
        <w:object w:dxaOrig="520" w:dyaOrig="360" w14:anchorId="7AE6C6C6">
          <v:shape id="_x0000_i6504" type="#_x0000_t75" style="width:26pt;height:18.15pt" o:ole="">
            <v:imagedata r:id="rId11069" o:title=""/>
          </v:shape>
          <o:OLEObject Type="Embed" ProgID="Equation.DSMT4" ShapeID="_x0000_i6504" DrawAspect="Content" ObjectID="_1791380448" r:id="rId11070"/>
        </w:object>
      </w:r>
      <w:r w:rsidRPr="00A62AA2">
        <w:rPr>
          <w:rFonts w:eastAsiaTheme="minorEastAsia" w:cs="B Nazanin"/>
          <w:b w:val="0"/>
          <w:bCs w:val="0"/>
          <w:i/>
          <w:sz w:val="23"/>
          <w:szCs w:val="23"/>
        </w:rPr>
        <w:t xml:space="preserve"> </w:t>
      </w:r>
      <w:r w:rsidRPr="00A62AA2">
        <w:rPr>
          <w:rFonts w:eastAsiaTheme="minorEastAsia" w:cs="B Nazanin" w:hint="cs"/>
          <w:b w:val="0"/>
          <w:bCs w:val="0"/>
          <w:i/>
          <w:sz w:val="23"/>
          <w:szCs w:val="23"/>
          <w:rtl/>
        </w:rPr>
        <w:t xml:space="preserve">مقادیر اختیار کرده، و تولید کننده خارجی مابقی کالاهای </w:t>
      </w:r>
      <w:r w:rsidRPr="00A62AA2">
        <w:rPr>
          <w:position w:val="-12"/>
        </w:rPr>
        <w:object w:dxaOrig="499" w:dyaOrig="360" w14:anchorId="02649D48">
          <v:shape id="_x0000_i6505" type="#_x0000_t75" style="width:24.8pt;height:18.15pt" o:ole="">
            <v:imagedata r:id="rId11071" o:title=""/>
          </v:shape>
          <o:OLEObject Type="Embed" ProgID="Equation.DSMT4" ShapeID="_x0000_i6505" DrawAspect="Content" ObjectID="_1791380449" r:id="rId11072"/>
        </w:object>
      </w:r>
      <w:r w:rsidRPr="00A62AA2">
        <w:rPr>
          <w:rFonts w:eastAsiaTheme="minorEastAsia" w:cs="B Nazanin" w:hint="cs"/>
          <w:b w:val="0"/>
          <w:bCs w:val="0"/>
          <w:i/>
          <w:sz w:val="23"/>
          <w:szCs w:val="23"/>
          <w:rtl/>
        </w:rPr>
        <w:t xml:space="preserve"> را تولید خواهد کرد. مصرف خانوار داخلی بو</w:t>
      </w:r>
      <w:r w:rsidRPr="00A62AA2">
        <w:rPr>
          <w:rFonts w:cs="B Nazanin" w:hint="cs"/>
          <w:b w:val="0"/>
          <w:bCs w:val="0"/>
          <w:i/>
          <w:sz w:val="23"/>
          <w:szCs w:val="23"/>
          <w:rtl/>
        </w:rPr>
        <w:t>سیله</w:t>
      </w:r>
      <w:r w:rsidRPr="00A62AA2">
        <w:rPr>
          <w:rFonts w:cs="B Nazanin" w:hint="cs"/>
          <w:b w:val="0"/>
          <w:bCs w:val="0"/>
          <w:i/>
          <w:sz w:val="23"/>
          <w:szCs w:val="23"/>
          <w:rtl/>
        </w:rPr>
        <w:softHyphen/>
        <w:t>ی</w:t>
      </w:r>
      <w:r w:rsidRPr="00A62AA2">
        <w:rPr>
          <w:position w:val="-12"/>
        </w:rPr>
        <w:object w:dxaOrig="520" w:dyaOrig="360" w14:anchorId="68F296AA">
          <v:shape id="_x0000_i6506" type="#_x0000_t75" style="width:26pt;height:18.15pt" o:ole="">
            <v:imagedata r:id="rId11073" o:title=""/>
          </v:shape>
          <o:OLEObject Type="Embed" ProgID="Equation.DSMT4" ShapeID="_x0000_i6506" DrawAspect="Content" ObjectID="_1791380450" r:id="rId11074"/>
        </w:object>
      </w:r>
      <w:r w:rsidRPr="00A62AA2">
        <w:rPr>
          <w:rFonts w:cs="B Nazanin"/>
          <w:b w:val="0"/>
          <w:bCs w:val="0"/>
          <w:i/>
          <w:sz w:val="23"/>
          <w:szCs w:val="23"/>
        </w:rPr>
        <w:t xml:space="preserve"> </w:t>
      </w:r>
      <w:r w:rsidRPr="00A62AA2">
        <w:rPr>
          <w:rFonts w:cs="B Nazanin" w:hint="cs"/>
          <w:b w:val="0"/>
          <w:bCs w:val="0"/>
          <w:i/>
          <w:sz w:val="23"/>
          <w:szCs w:val="23"/>
          <w:rtl/>
        </w:rPr>
        <w:t>نشان داده شده است، و مصرف خانوار خارجی برابر است با</w:t>
      </w:r>
      <w:r w:rsidRPr="00A62AA2">
        <w:rPr>
          <w:position w:val="-12"/>
        </w:rPr>
        <w:object w:dxaOrig="600" w:dyaOrig="360" w14:anchorId="3D8AEADA">
          <v:shape id="_x0000_i6507" type="#_x0000_t75" style="width:29.65pt;height:18.15pt" o:ole="">
            <v:imagedata r:id="rId11075" o:title=""/>
          </v:shape>
          <o:OLEObject Type="Embed" ProgID="Equation.DSMT4" ShapeID="_x0000_i6507" DrawAspect="Content" ObjectID="_1791380451" r:id="rId11076"/>
        </w:object>
      </w:r>
      <w:r w:rsidRPr="00A62AA2">
        <w:rPr>
          <w:rFonts w:cs="B Nazanin" w:hint="cs"/>
          <w:b w:val="0"/>
          <w:bCs w:val="0"/>
          <w:i/>
          <w:sz w:val="23"/>
          <w:szCs w:val="23"/>
          <w:rtl/>
        </w:rPr>
        <w:t>، و</w:t>
      </w:r>
      <w:r w:rsidRPr="00A62AA2">
        <w:rPr>
          <w:position w:val="-12"/>
        </w:rPr>
        <w:object w:dxaOrig="560" w:dyaOrig="360" w14:anchorId="156077AD">
          <v:shape id="_x0000_i6508" type="#_x0000_t75" style="width:27.85pt;height:18.15pt" o:ole="">
            <v:imagedata r:id="rId11077" o:title=""/>
          </v:shape>
          <o:OLEObject Type="Embed" ProgID="Equation.DSMT4" ShapeID="_x0000_i6508" DrawAspect="Content" ObjectID="_1791380452" r:id="rId11078"/>
        </w:object>
      </w:r>
      <w:r w:rsidRPr="00A62AA2">
        <w:rPr>
          <w:rFonts w:cs="B Nazanin" w:hint="cs"/>
          <w:b w:val="0"/>
          <w:bCs w:val="0"/>
          <w:i/>
          <w:sz w:val="23"/>
          <w:szCs w:val="23"/>
          <w:rtl/>
        </w:rPr>
        <w:t xml:space="preserve"> قیمت کالاهای</w:t>
      </w:r>
      <w:r w:rsidRPr="00A62AA2">
        <w:rPr>
          <w:position w:val="-6"/>
        </w:rPr>
        <w:object w:dxaOrig="180" w:dyaOrig="200" w14:anchorId="30DBF074">
          <v:shape id="_x0000_i6509" type="#_x0000_t75" style="width:9.1pt;height:10.3pt" o:ole="">
            <v:imagedata r:id="rId11079" o:title=""/>
          </v:shape>
          <o:OLEObject Type="Embed" ProgID="Equation.DSMT4" ShapeID="_x0000_i6509" DrawAspect="Content" ObjectID="_1791380453" r:id="rId11080"/>
        </w:object>
      </w:r>
      <w:r w:rsidRPr="00A62AA2">
        <w:rPr>
          <w:rFonts w:cs="B Nazanin" w:hint="cs"/>
          <w:b w:val="0"/>
          <w:bCs w:val="0"/>
          <w:i/>
          <w:sz w:val="23"/>
          <w:szCs w:val="23"/>
          <w:rtl/>
        </w:rPr>
        <w:t xml:space="preserve"> برحسب پول داخلی و </w:t>
      </w:r>
      <w:r w:rsidRPr="00A62AA2">
        <w:rPr>
          <w:position w:val="-12"/>
        </w:rPr>
        <w:object w:dxaOrig="620" w:dyaOrig="360" w14:anchorId="00A46C5C">
          <v:shape id="_x0000_i6510" type="#_x0000_t75" style="width:30.85pt;height:18.15pt" o:ole="">
            <v:imagedata r:id="rId11081" o:title=""/>
          </v:shape>
          <o:OLEObject Type="Embed" ProgID="Equation.DSMT4" ShapeID="_x0000_i6510" DrawAspect="Content" ObjectID="_1791380454" r:id="rId11082"/>
        </w:object>
      </w:r>
      <w:r w:rsidRPr="00A62AA2">
        <w:rPr>
          <w:rFonts w:cs="B Nazanin" w:hint="cs"/>
          <w:b w:val="0"/>
          <w:bCs w:val="0"/>
          <w:i/>
          <w:sz w:val="23"/>
          <w:szCs w:val="23"/>
          <w:rtl/>
        </w:rPr>
        <w:t xml:space="preserve"> قیمت برحسب پول خارجی است.</w:t>
      </w:r>
    </w:p>
    <w:p w14:paraId="73384EE0" w14:textId="77777777" w:rsidR="00556C10" w:rsidRPr="00A62AA2" w:rsidRDefault="00556C10" w:rsidP="00556C10">
      <w:pPr>
        <w:tabs>
          <w:tab w:val="right" w:pos="-83"/>
          <w:tab w:val="right" w:pos="7"/>
        </w:tabs>
        <w:spacing w:line="216" w:lineRule="auto"/>
        <w:rPr>
          <w:rFonts w:eastAsiaTheme="minorHAnsi"/>
          <w:i/>
          <w:sz w:val="23"/>
          <w:szCs w:val="23"/>
          <w:rtl/>
        </w:rPr>
      </w:pPr>
      <w:r w:rsidRPr="00A62AA2">
        <w:rPr>
          <w:rFonts w:hint="cs"/>
          <w:i/>
          <w:sz w:val="23"/>
          <w:szCs w:val="23"/>
          <w:rtl/>
        </w:rPr>
        <w:t>یک خصوصیت غیرمعمول ولی هوشمندانه</w:t>
      </w:r>
      <w:r w:rsidRPr="00A62AA2">
        <w:rPr>
          <w:rFonts w:hint="cs"/>
          <w:i/>
          <w:sz w:val="23"/>
          <w:szCs w:val="23"/>
          <w:rtl/>
        </w:rPr>
        <w:softHyphen/>
        <w:t>ی مدل احیا شده مسیری است که در آن سمت عرضه فرمول</w:t>
      </w:r>
      <w:r w:rsidRPr="00A62AA2">
        <w:rPr>
          <w:rFonts w:hint="cs"/>
          <w:i/>
          <w:sz w:val="23"/>
          <w:szCs w:val="23"/>
          <w:rtl/>
        </w:rPr>
        <w:softHyphen/>
        <w:t>بندی شده است. تولید کالای</w:t>
      </w:r>
      <w:r w:rsidRPr="00A62AA2">
        <w:rPr>
          <w:position w:val="-6"/>
        </w:rPr>
        <w:object w:dxaOrig="180" w:dyaOrig="200" w14:anchorId="3EDDAD36">
          <v:shape id="_x0000_i6511" type="#_x0000_t75" style="width:9.1pt;height:10.3pt" o:ole="">
            <v:imagedata r:id="rId11083" o:title=""/>
          </v:shape>
          <o:OLEObject Type="Embed" ProgID="Equation.DSMT4" ShapeID="_x0000_i6511" DrawAspect="Content" ObjectID="_1791380455" r:id="rId11084"/>
        </w:object>
      </w:r>
      <w:r w:rsidRPr="00A62AA2">
        <w:rPr>
          <w:rFonts w:hint="cs"/>
          <w:i/>
          <w:sz w:val="23"/>
          <w:szCs w:val="23"/>
          <w:rtl/>
        </w:rPr>
        <w:t xml:space="preserve"> که برابر است با</w:t>
      </w:r>
      <w:r w:rsidRPr="00A62AA2">
        <w:rPr>
          <w:position w:val="-12"/>
        </w:rPr>
        <w:object w:dxaOrig="540" w:dyaOrig="360" w14:anchorId="594AB567">
          <v:shape id="_x0000_i6512" type="#_x0000_t75" style="width:26.6pt;height:18.15pt" o:ole="">
            <v:imagedata r:id="rId11085" o:title=""/>
          </v:shape>
          <o:OLEObject Type="Embed" ProgID="Equation.DSMT4" ShapeID="_x0000_i6512" DrawAspect="Content" ObjectID="_1791380456" r:id="rId11086"/>
        </w:object>
      </w:r>
      <w:r w:rsidRPr="00A62AA2">
        <w:rPr>
          <w:rFonts w:hint="cs"/>
          <w:i/>
          <w:sz w:val="23"/>
          <w:szCs w:val="23"/>
          <w:rtl/>
        </w:rPr>
        <w:t>، بوسیله</w:t>
      </w:r>
      <w:r w:rsidRPr="00A62AA2">
        <w:rPr>
          <w:rFonts w:hint="cs"/>
          <w:i/>
          <w:sz w:val="23"/>
          <w:szCs w:val="23"/>
          <w:rtl/>
        </w:rPr>
        <w:softHyphen/>
        <w:t>ی خانواری تولید شده که تنها از نیروی کار خود جهت تولید استفاده می</w:t>
      </w:r>
      <w:r w:rsidRPr="00A62AA2">
        <w:rPr>
          <w:rFonts w:hint="cs"/>
          <w:i/>
          <w:sz w:val="23"/>
          <w:szCs w:val="23"/>
          <w:rtl/>
        </w:rPr>
        <w:softHyphen/>
        <w:t>کند.</w:t>
      </w:r>
    </w:p>
    <w:p w14:paraId="5236EA6C" w14:textId="77777777" w:rsidR="00556C10" w:rsidRPr="00A62AA2" w:rsidRDefault="00556C10" w:rsidP="00556C10">
      <w:pPr>
        <w:tabs>
          <w:tab w:val="right" w:pos="-83"/>
          <w:tab w:val="right" w:pos="7"/>
        </w:tabs>
        <w:spacing w:line="216" w:lineRule="auto"/>
        <w:rPr>
          <w:i/>
          <w:sz w:val="23"/>
          <w:szCs w:val="23"/>
          <w:rtl/>
        </w:rPr>
      </w:pPr>
      <w:r w:rsidRPr="00A62AA2">
        <w:rPr>
          <w:rFonts w:hint="cs"/>
          <w:i/>
          <w:sz w:val="23"/>
          <w:szCs w:val="23"/>
          <w:rtl/>
        </w:rPr>
        <w:t>بجای معرفی تابع تولید صریح، فرض شده که تولید با فراغت رابطه منفی دارد و با فرضی ضمنی، سرمایه ثابت است، و لذا کاملاً حذف شده است. در نتیجه، نه تنها کار بلکه فراغت نیز بطور صریح وارد مدل نشده است.</w:t>
      </w:r>
    </w:p>
    <w:p w14:paraId="1FCC259A" w14:textId="77777777" w:rsidR="00556C10" w:rsidRPr="00A62AA2" w:rsidRDefault="00556C10" w:rsidP="00556C10">
      <w:pPr>
        <w:spacing w:line="216" w:lineRule="auto"/>
        <w:rPr>
          <w:i/>
          <w:sz w:val="23"/>
          <w:szCs w:val="23"/>
        </w:rPr>
      </w:pPr>
      <w:r w:rsidRPr="00A62AA2">
        <w:rPr>
          <w:rFonts w:hint="cs"/>
          <w:i/>
          <w:sz w:val="23"/>
          <w:szCs w:val="23"/>
          <w:rtl/>
        </w:rPr>
        <w:t>فرض می</w:t>
      </w:r>
      <w:r w:rsidRPr="00A62AA2">
        <w:rPr>
          <w:rFonts w:hint="cs"/>
          <w:i/>
          <w:sz w:val="23"/>
          <w:szCs w:val="23"/>
          <w:rtl/>
        </w:rPr>
        <w:softHyphen/>
        <w:t>شود که خانوار داخلی و خارجی ترجیحات یکسان داشته و تنها بواسطه</w:t>
      </w:r>
      <w:r w:rsidRPr="00A62AA2">
        <w:rPr>
          <w:rFonts w:hint="cs"/>
          <w:i/>
          <w:sz w:val="23"/>
          <w:szCs w:val="23"/>
          <w:rtl/>
        </w:rPr>
        <w:softHyphen/>
        <w:t>ی کالایی که تولید می</w:t>
      </w:r>
      <w:r w:rsidRPr="00A62AA2">
        <w:rPr>
          <w:rFonts w:hint="cs"/>
          <w:i/>
          <w:sz w:val="23"/>
          <w:szCs w:val="23"/>
          <w:rtl/>
        </w:rPr>
        <w:softHyphen/>
        <w:t>کنند از یکدیگر متمایزند. مطلوبیت خانوار داخلی که کالای</w:t>
      </w:r>
      <w:r w:rsidRPr="00A62AA2">
        <w:rPr>
          <w:position w:val="-6"/>
        </w:rPr>
        <w:object w:dxaOrig="180" w:dyaOrig="200" w14:anchorId="221E0BFC">
          <v:shape id="_x0000_i6513" type="#_x0000_t75" style="width:9.1pt;height:10.3pt" o:ole="">
            <v:imagedata r:id="rId11087" o:title=""/>
          </v:shape>
          <o:OLEObject Type="Embed" ProgID="Equation.DSMT4" ShapeID="_x0000_i6513" DrawAspect="Content" ObjectID="_1791380457" r:id="rId11088"/>
        </w:object>
      </w:r>
      <w:r w:rsidRPr="00A62AA2">
        <w:rPr>
          <w:rFonts w:hint="cs"/>
          <w:i/>
          <w:sz w:val="23"/>
          <w:szCs w:val="23"/>
          <w:rtl/>
        </w:rPr>
        <w:t xml:space="preserve"> را تولید کرده ولی همه کالاها را مصرف می</w:t>
      </w:r>
      <w:r w:rsidRPr="00A62AA2">
        <w:rPr>
          <w:rFonts w:hint="cs"/>
          <w:i/>
          <w:sz w:val="23"/>
          <w:szCs w:val="23"/>
          <w:rtl/>
        </w:rPr>
        <w:softHyphen/>
        <w:t>کند عبارت است از</w:t>
      </w:r>
    </w:p>
    <w:p w14:paraId="75CB3BCA" w14:textId="77777777" w:rsidR="00556C10" w:rsidRPr="00A62AA2" w:rsidRDefault="00556C10" w:rsidP="00556C10">
      <w:pPr>
        <w:bidi w:val="0"/>
        <w:spacing w:line="216" w:lineRule="auto"/>
        <w:rPr>
          <w:i/>
          <w:sz w:val="23"/>
          <w:szCs w:val="23"/>
          <w:rtl/>
        </w:rPr>
      </w:pPr>
      <w:r w:rsidRPr="00A62AA2">
        <w:rPr>
          <w:position w:val="-38"/>
        </w:rPr>
        <w:object w:dxaOrig="4320" w:dyaOrig="859" w14:anchorId="75BE74AC">
          <v:shape id="_x0000_i6514" type="#_x0000_t75" style="width:3in;height:42.95pt" o:ole="">
            <v:imagedata r:id="rId11089" o:title=""/>
          </v:shape>
          <o:OLEObject Type="Embed" ProgID="Equation.DSMT4" ShapeID="_x0000_i6514" DrawAspect="Content" ObjectID="_1791380458" r:id="rId11090"/>
        </w:object>
      </w:r>
      <w:r w:rsidRPr="00A62AA2">
        <w:rPr>
          <w:i/>
          <w:sz w:val="23"/>
          <w:szCs w:val="23"/>
        </w:rPr>
        <w:tab/>
      </w:r>
      <w:r w:rsidRPr="00A62AA2">
        <w:rPr>
          <w:i/>
          <w:sz w:val="23"/>
          <w:szCs w:val="23"/>
        </w:rPr>
        <w:tab/>
      </w:r>
      <w:r>
        <w:rPr>
          <w:i/>
          <w:sz w:val="23"/>
          <w:szCs w:val="23"/>
          <w:rtl/>
        </w:rPr>
        <w:tab/>
      </w:r>
      <w:r>
        <w:rPr>
          <w:i/>
          <w:sz w:val="23"/>
          <w:szCs w:val="23"/>
          <w:rtl/>
        </w:rPr>
        <w:tab/>
      </w:r>
      <w:r w:rsidRPr="00A62AA2">
        <w:rPr>
          <w:i/>
          <w:sz w:val="23"/>
          <w:szCs w:val="23"/>
        </w:rPr>
        <w:tab/>
      </w:r>
      <w:r w:rsidRPr="00A62AA2">
        <w:rPr>
          <w:rFonts w:hint="cs"/>
          <w:i/>
          <w:sz w:val="23"/>
          <w:szCs w:val="23"/>
          <w:rtl/>
        </w:rPr>
        <w:t xml:space="preserve"> </w:t>
      </w:r>
      <w:r w:rsidRPr="00A62AA2">
        <w:rPr>
          <w:rFonts w:hint="cs"/>
          <w:i/>
          <w:sz w:val="23"/>
          <w:szCs w:val="23"/>
          <w:rtl/>
        </w:rPr>
        <w:tab/>
        <w:t>(۱۳. ۲۴)</w:t>
      </w:r>
      <w:r w:rsidRPr="00A62AA2">
        <w:rPr>
          <w:i/>
          <w:sz w:val="23"/>
          <w:szCs w:val="23"/>
        </w:rPr>
        <w:t xml:space="preserve"> </w:t>
      </w:r>
    </w:p>
    <w:p w14:paraId="10C1B317" w14:textId="77777777" w:rsidR="00556C10" w:rsidRPr="00A62AA2" w:rsidRDefault="00556C10" w:rsidP="00556C10">
      <w:pPr>
        <w:spacing w:line="216" w:lineRule="auto"/>
        <w:rPr>
          <w:i/>
          <w:sz w:val="23"/>
          <w:szCs w:val="23"/>
          <w:rtl/>
        </w:rPr>
      </w:pPr>
      <w:r w:rsidRPr="00A62AA2">
        <w:rPr>
          <w:rFonts w:hint="cs"/>
          <w:i/>
          <w:sz w:val="23"/>
          <w:szCs w:val="23"/>
          <w:rtl/>
        </w:rPr>
        <w:t>که در آن</w:t>
      </w:r>
      <w:r w:rsidRPr="00A62AA2">
        <w:rPr>
          <w:position w:val="-6"/>
        </w:rPr>
        <w:object w:dxaOrig="520" w:dyaOrig="260" w14:anchorId="268ED82E">
          <v:shape id="_x0000_i6515" type="#_x0000_t75" style="width:26pt;height:13.3pt" o:ole="">
            <v:imagedata r:id="rId11091" o:title=""/>
          </v:shape>
          <o:OLEObject Type="Embed" ProgID="Equation.DSMT4" ShapeID="_x0000_i6515" DrawAspect="Content" ObjectID="_1791380459" r:id="rId11092"/>
        </w:object>
      </w:r>
      <w:r w:rsidRPr="00A62AA2">
        <w:rPr>
          <w:i/>
          <w:sz w:val="23"/>
          <w:szCs w:val="23"/>
        </w:rPr>
        <w:t xml:space="preserve"> </w:t>
      </w:r>
      <w:r w:rsidRPr="00A62AA2">
        <w:rPr>
          <w:rFonts w:hint="cs"/>
          <w:i/>
          <w:sz w:val="23"/>
          <w:szCs w:val="23"/>
          <w:rtl/>
        </w:rPr>
        <w:t>و</w:t>
      </w:r>
      <w:r w:rsidRPr="00A62AA2">
        <w:rPr>
          <w:position w:val="-10"/>
        </w:rPr>
        <w:object w:dxaOrig="200" w:dyaOrig="320" w14:anchorId="5108338D">
          <v:shape id="_x0000_i6516" type="#_x0000_t75" style="width:10.3pt;height:15.75pt" o:ole="">
            <v:imagedata r:id="rId11093" o:title=""/>
          </v:shape>
          <o:OLEObject Type="Embed" ProgID="Equation.DSMT4" ShapeID="_x0000_i6516" DrawAspect="Content" ObjectID="_1791380460" r:id="rId11094"/>
        </w:object>
      </w:r>
      <w:r w:rsidRPr="00A62AA2">
        <w:rPr>
          <w:rFonts w:hint="cs"/>
          <w:i/>
          <w:sz w:val="23"/>
          <w:szCs w:val="23"/>
          <w:rtl/>
        </w:rPr>
        <w:t xml:space="preserve"> شاخص مصرف کل است که براساس تابع</w:t>
      </w:r>
      <w:r w:rsidRPr="00A62AA2">
        <w:rPr>
          <w:position w:val="-6"/>
        </w:rPr>
        <w:object w:dxaOrig="520" w:dyaOrig="260" w14:anchorId="42AE9611">
          <v:shape id="_x0000_i6517" type="#_x0000_t75" style="width:26pt;height:13.3pt" o:ole="">
            <v:imagedata r:id="rId11095" o:title=""/>
          </v:shape>
          <o:OLEObject Type="Embed" ProgID="Equation.DSMT4" ShapeID="_x0000_i6517" DrawAspect="Content" ObjectID="_1791380461" r:id="rId11096"/>
        </w:object>
      </w:r>
      <w:r w:rsidRPr="00A62AA2">
        <w:rPr>
          <w:rFonts w:hint="cs"/>
          <w:i/>
          <w:sz w:val="23"/>
          <w:szCs w:val="23"/>
          <w:rtl/>
        </w:rPr>
        <w:t xml:space="preserve"> زیر بدست می</w:t>
      </w:r>
      <w:r w:rsidRPr="00A62AA2">
        <w:rPr>
          <w:rFonts w:hint="cs"/>
          <w:i/>
          <w:sz w:val="23"/>
          <w:szCs w:val="23"/>
          <w:rtl/>
        </w:rPr>
        <w:softHyphen/>
        <w:t>آید.</w:t>
      </w:r>
    </w:p>
    <w:p w14:paraId="720032D3" w14:textId="77777777" w:rsidR="00556C10" w:rsidRPr="00A62AA2" w:rsidRDefault="00556C10" w:rsidP="00556C10">
      <w:pPr>
        <w:bidi w:val="0"/>
        <w:spacing w:line="216" w:lineRule="auto"/>
        <w:rPr>
          <w:i/>
          <w:sz w:val="23"/>
          <w:szCs w:val="23"/>
          <w:rtl/>
        </w:rPr>
      </w:pPr>
      <w:r w:rsidRPr="00A62AA2">
        <w:rPr>
          <w:position w:val="-30"/>
        </w:rPr>
        <w:object w:dxaOrig="2700" w:dyaOrig="760" w14:anchorId="3EBFEEF4">
          <v:shape id="_x0000_i6518" type="#_x0000_t75" style="width:134.9pt;height:38.1pt" o:ole="">
            <v:imagedata r:id="rId11097" o:title=""/>
          </v:shape>
          <o:OLEObject Type="Embed" ProgID="Equation.DSMT4" ShapeID="_x0000_i6518" DrawAspect="Content" ObjectID="_1791380462" r:id="rId11098"/>
        </w:object>
      </w:r>
      <w:r w:rsidRPr="00A62AA2">
        <w:rPr>
          <w:i/>
          <w:sz w:val="23"/>
          <w:szCs w:val="23"/>
        </w:rPr>
        <w:tab/>
      </w:r>
      <w:r w:rsidRPr="00A62AA2">
        <w:rPr>
          <w:i/>
          <w:sz w:val="23"/>
          <w:szCs w:val="23"/>
        </w:rPr>
        <w:tab/>
      </w:r>
      <w:r w:rsidRPr="00A62AA2">
        <w:rPr>
          <w:rFonts w:hint="cs"/>
          <w:i/>
          <w:sz w:val="23"/>
          <w:szCs w:val="23"/>
          <w:rtl/>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Pr>
          <w:i/>
          <w:sz w:val="23"/>
          <w:szCs w:val="23"/>
          <w:rtl/>
        </w:rPr>
        <w:tab/>
      </w:r>
      <w:r>
        <w:rPr>
          <w:i/>
          <w:sz w:val="23"/>
          <w:szCs w:val="23"/>
          <w:rtl/>
        </w:rPr>
        <w:tab/>
      </w:r>
      <w:r w:rsidRPr="00A62AA2">
        <w:rPr>
          <w:i/>
          <w:sz w:val="23"/>
          <w:szCs w:val="23"/>
        </w:rPr>
        <w:tab/>
      </w:r>
      <w:r w:rsidRPr="00A62AA2">
        <w:rPr>
          <w:rFonts w:hint="cs"/>
          <w:i/>
          <w:sz w:val="23"/>
          <w:szCs w:val="23"/>
          <w:rtl/>
        </w:rPr>
        <w:tab/>
        <w:t>(۱۳. ۲۵)</w:t>
      </w:r>
      <w:r w:rsidRPr="00A62AA2">
        <w:rPr>
          <w:i/>
          <w:sz w:val="23"/>
          <w:szCs w:val="23"/>
        </w:rPr>
        <w:t xml:space="preserve"> </w:t>
      </w:r>
    </w:p>
    <w:p w14:paraId="0CAAAEB5" w14:textId="77777777" w:rsidR="00556C10" w:rsidRPr="00A62AA2" w:rsidRDefault="00556C10" w:rsidP="00556C10">
      <w:pPr>
        <w:spacing w:line="216" w:lineRule="auto"/>
        <w:rPr>
          <w:i/>
          <w:sz w:val="23"/>
          <w:szCs w:val="23"/>
          <w:rtl/>
        </w:rPr>
      </w:pPr>
      <w:r w:rsidRPr="00A62AA2">
        <w:rPr>
          <w:rFonts w:hint="cs"/>
          <w:i/>
          <w:sz w:val="23"/>
          <w:szCs w:val="23"/>
          <w:rtl/>
        </w:rPr>
        <w:t>متغیر</w:t>
      </w:r>
      <w:r w:rsidRPr="00A62AA2">
        <w:rPr>
          <w:position w:val="-10"/>
        </w:rPr>
        <w:object w:dxaOrig="340" w:dyaOrig="320" w14:anchorId="643EEC3E">
          <v:shape id="_x0000_i6519" type="#_x0000_t75" style="width:16.95pt;height:15.75pt" o:ole="">
            <v:imagedata r:id="rId11099" o:title=""/>
          </v:shape>
          <o:OLEObject Type="Embed" ProgID="Equation.DSMT4" ShapeID="_x0000_i6519" DrawAspect="Content" ObjectID="_1791380463" r:id="rId11100"/>
        </w:object>
      </w:r>
      <w:r w:rsidRPr="00A62AA2">
        <w:rPr>
          <w:rFonts w:hint="cs"/>
          <w:i/>
          <w:sz w:val="23"/>
          <w:szCs w:val="23"/>
          <w:rtl/>
        </w:rPr>
        <w:t>ذخیره پول است که به وسیله</w:t>
      </w:r>
      <w:r w:rsidRPr="00A62AA2">
        <w:rPr>
          <w:rFonts w:hint="cs"/>
          <w:i/>
          <w:sz w:val="23"/>
          <w:szCs w:val="23"/>
          <w:rtl/>
        </w:rPr>
        <w:softHyphen/>
        <w:t>ی خانوار داخلی نگهداری می</w:t>
      </w:r>
      <w:r w:rsidRPr="00A62AA2">
        <w:rPr>
          <w:rFonts w:hint="cs"/>
          <w:i/>
          <w:sz w:val="23"/>
          <w:szCs w:val="23"/>
          <w:rtl/>
        </w:rPr>
        <w:softHyphen/>
        <w:t>شود و</w:t>
      </w:r>
      <w:r w:rsidRPr="00A62AA2">
        <w:rPr>
          <w:position w:val="-10"/>
        </w:rPr>
        <w:object w:dxaOrig="240" w:dyaOrig="320" w14:anchorId="5CF9EC0D">
          <v:shape id="_x0000_i6520" type="#_x0000_t75" style="width:11.5pt;height:15.75pt" o:ole="">
            <v:imagedata r:id="rId11101" o:title=""/>
          </v:shape>
          <o:OLEObject Type="Embed" ProgID="Equation.DSMT4" ShapeID="_x0000_i6520" DrawAspect="Content" ObjectID="_1791380464" r:id="rId11102"/>
        </w:object>
      </w:r>
      <w:r w:rsidRPr="00A62AA2">
        <w:rPr>
          <w:rFonts w:hint="cs"/>
          <w:i/>
          <w:sz w:val="23"/>
          <w:szCs w:val="23"/>
          <w:rtl/>
        </w:rPr>
        <w:t xml:space="preserve"> شاخص قیمت عمومی است و برابر است با </w:t>
      </w:r>
    </w:p>
    <w:p w14:paraId="0AFD1885" w14:textId="77777777" w:rsidR="00556C10" w:rsidRPr="00A62AA2" w:rsidRDefault="00556C10" w:rsidP="00556C10">
      <w:pPr>
        <w:bidi w:val="0"/>
        <w:spacing w:line="216" w:lineRule="auto"/>
        <w:rPr>
          <w:i/>
          <w:sz w:val="23"/>
          <w:szCs w:val="23"/>
          <w:rtl/>
        </w:rPr>
      </w:pPr>
      <w:r w:rsidRPr="00A62AA2">
        <w:rPr>
          <w:position w:val="-30"/>
        </w:rPr>
        <w:object w:dxaOrig="1960" w:dyaOrig="760" w14:anchorId="7AE18D47">
          <v:shape id="_x0000_i6521" type="#_x0000_t75" style="width:98pt;height:38.1pt" o:ole="">
            <v:imagedata r:id="rId11103" o:title=""/>
          </v:shape>
          <o:OLEObject Type="Embed" ProgID="Equation.DSMT4" ShapeID="_x0000_i6521" DrawAspect="Content" ObjectID="_1791380465" r:id="rId11104"/>
        </w:object>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Pr>
          <w:i/>
          <w:sz w:val="23"/>
          <w:szCs w:val="23"/>
          <w:rtl/>
        </w:rPr>
        <w:tab/>
      </w:r>
      <w:r>
        <w:rPr>
          <w:i/>
          <w:sz w:val="23"/>
          <w:szCs w:val="23"/>
          <w:rtl/>
        </w:rPr>
        <w:tab/>
      </w:r>
      <w:r w:rsidRPr="00A62AA2">
        <w:rPr>
          <w:i/>
          <w:sz w:val="23"/>
          <w:szCs w:val="23"/>
        </w:rPr>
        <w:tab/>
      </w:r>
      <w:r w:rsidRPr="00A62AA2">
        <w:rPr>
          <w:i/>
          <w:sz w:val="23"/>
          <w:szCs w:val="23"/>
        </w:rPr>
        <w:tab/>
      </w:r>
      <w:r w:rsidRPr="00A62AA2">
        <w:rPr>
          <w:rFonts w:hint="cs"/>
          <w:i/>
          <w:sz w:val="23"/>
          <w:szCs w:val="23"/>
          <w:rtl/>
        </w:rPr>
        <w:tab/>
      </w:r>
      <w:r w:rsidRPr="00A62AA2">
        <w:rPr>
          <w:rFonts w:hint="cs"/>
          <w:i/>
          <w:sz w:val="23"/>
          <w:szCs w:val="23"/>
          <w:rtl/>
        </w:rPr>
        <w:tab/>
        <w:t>(۱۳. ۲۶)</w:t>
      </w:r>
      <w:r w:rsidRPr="00A62AA2">
        <w:rPr>
          <w:i/>
          <w:sz w:val="23"/>
          <w:szCs w:val="23"/>
        </w:rPr>
        <w:t xml:space="preserve"> </w:t>
      </w:r>
    </w:p>
    <w:p w14:paraId="2AA253B9" w14:textId="77777777" w:rsidR="00556C10" w:rsidRPr="00A62AA2" w:rsidRDefault="00556C10" w:rsidP="00556C10">
      <w:pPr>
        <w:spacing w:line="216" w:lineRule="auto"/>
        <w:rPr>
          <w:i/>
          <w:sz w:val="23"/>
          <w:szCs w:val="23"/>
          <w:rtl/>
        </w:rPr>
      </w:pPr>
      <w:r w:rsidRPr="00A62AA2">
        <w:rPr>
          <w:rFonts w:hint="cs"/>
          <w:i/>
          <w:sz w:val="23"/>
          <w:szCs w:val="23"/>
          <w:rtl/>
        </w:rPr>
        <w:t>آخرین عبارت در تابع مطلوبیت، مبین مطلوبیت حاصل از فراغت است که بطور معکوس با کاری که برای تولید</w:t>
      </w:r>
      <w:r w:rsidRPr="00A62AA2">
        <w:rPr>
          <w:position w:val="-6"/>
        </w:rPr>
        <w:object w:dxaOrig="180" w:dyaOrig="200" w14:anchorId="39F5E5D6">
          <v:shape id="_x0000_i6522" type="#_x0000_t75" style="width:9.1pt;height:10.3pt" o:ole="">
            <v:imagedata r:id="rId11105" o:title=""/>
          </v:shape>
          <o:OLEObject Type="Embed" ProgID="Equation.DSMT4" ShapeID="_x0000_i6522" DrawAspect="Content" ObjectID="_1791380466" r:id="rId11106"/>
        </w:object>
      </w:r>
      <w:r w:rsidRPr="00A62AA2">
        <w:rPr>
          <w:rFonts w:hint="cs"/>
          <w:i/>
          <w:sz w:val="23"/>
          <w:szCs w:val="23"/>
          <w:rtl/>
        </w:rPr>
        <w:t xml:space="preserve"> بوسیله یک خانوار ضروری است مرتبط است و فرض شده که نسبتی از</w:t>
      </w:r>
      <w:r w:rsidRPr="00A62AA2">
        <w:rPr>
          <w:position w:val="-12"/>
        </w:rPr>
        <w:object w:dxaOrig="580" w:dyaOrig="360" w14:anchorId="297F2520">
          <v:shape id="_x0000_i6523" type="#_x0000_t75" style="width:29.05pt;height:18.15pt" o:ole="">
            <v:imagedata r:id="rId11107" o:title=""/>
          </v:shape>
          <o:OLEObject Type="Embed" ProgID="Equation.DSMT4" ShapeID="_x0000_i6523" DrawAspect="Content" ObjectID="_1791380467" r:id="rId11108"/>
        </w:object>
      </w:r>
      <w:r w:rsidRPr="00A62AA2">
        <w:rPr>
          <w:rFonts w:hint="cs"/>
          <w:i/>
          <w:sz w:val="23"/>
          <w:szCs w:val="23"/>
          <w:rtl/>
        </w:rPr>
        <w:t xml:space="preserve"> یا مقدار تولید است. این نکات همانند مباحث مدل اقتصاد باز در فصل هفتم می</w:t>
      </w:r>
      <w:r w:rsidRPr="00A62AA2">
        <w:rPr>
          <w:rFonts w:hint="cs"/>
          <w:i/>
          <w:sz w:val="23"/>
          <w:szCs w:val="23"/>
          <w:rtl/>
        </w:rPr>
        <w:softHyphen/>
        <w:t>باشد، فقط با این تفاوت که در این مدل توابع بصورت زمان پیوسته می</w:t>
      </w:r>
      <w:r w:rsidRPr="00A62AA2">
        <w:rPr>
          <w:rFonts w:hint="cs"/>
          <w:i/>
          <w:sz w:val="23"/>
          <w:szCs w:val="23"/>
          <w:rtl/>
        </w:rPr>
        <w:softHyphen/>
        <w:t>باشد و نه زمان گسسته.</w:t>
      </w:r>
    </w:p>
    <w:p w14:paraId="3072BCE5" w14:textId="77777777" w:rsidR="00556C10" w:rsidRPr="00A62AA2" w:rsidRDefault="00556C10" w:rsidP="00556C10">
      <w:pPr>
        <w:spacing w:line="216" w:lineRule="auto"/>
        <w:rPr>
          <w:i/>
          <w:sz w:val="23"/>
          <w:szCs w:val="23"/>
          <w:rtl/>
        </w:rPr>
      </w:pPr>
      <w:r w:rsidRPr="00A62AA2">
        <w:rPr>
          <w:rFonts w:hint="cs"/>
          <w:i/>
          <w:sz w:val="23"/>
          <w:szCs w:val="23"/>
          <w:rtl/>
        </w:rPr>
        <w:t>کالاها قابل تجارتند و بر حسب پول داخلی قیمت</w:t>
      </w:r>
      <w:r w:rsidRPr="00A62AA2">
        <w:rPr>
          <w:rFonts w:hint="cs"/>
          <w:i/>
          <w:sz w:val="23"/>
          <w:szCs w:val="23"/>
          <w:rtl/>
        </w:rPr>
        <w:softHyphen/>
        <w:t>گذاری می</w:t>
      </w:r>
      <w:r w:rsidRPr="00A62AA2">
        <w:rPr>
          <w:rFonts w:hint="cs"/>
          <w:i/>
          <w:sz w:val="23"/>
          <w:szCs w:val="23"/>
          <w:rtl/>
        </w:rPr>
        <w:softHyphen/>
        <w:t>شود. همچنین فرض شده است که قانون یک قیمت تضمین شده و لذا تنها یک قیمت جهانی وجود دارد.</w:t>
      </w:r>
    </w:p>
    <w:p w14:paraId="3CC56B1E" w14:textId="77777777" w:rsidR="00556C10" w:rsidRPr="00A62AA2" w:rsidRDefault="00556C10" w:rsidP="00556C10">
      <w:pPr>
        <w:bidi w:val="0"/>
        <w:spacing w:line="216" w:lineRule="auto"/>
        <w:rPr>
          <w:i/>
          <w:sz w:val="23"/>
          <w:szCs w:val="23"/>
          <w:rtl/>
        </w:rPr>
      </w:pPr>
      <w:r w:rsidRPr="00A62AA2">
        <w:rPr>
          <w:position w:val="-12"/>
        </w:rPr>
        <w:object w:dxaOrig="1500" w:dyaOrig="360" w14:anchorId="0DC00310">
          <v:shape id="_x0000_i6524" type="#_x0000_t75" style="width:75.05pt;height:18.15pt" o:ole="">
            <v:imagedata r:id="rId11109" o:title=""/>
          </v:shape>
          <o:OLEObject Type="Embed" ProgID="Equation.DSMT4" ShapeID="_x0000_i6524" DrawAspect="Content" ObjectID="_1791380468" r:id="rId11110"/>
        </w:object>
      </w:r>
    </w:p>
    <w:p w14:paraId="7CAB3423" w14:textId="77777777" w:rsidR="00556C10" w:rsidRPr="00A62AA2" w:rsidRDefault="00556C10" w:rsidP="00556C10">
      <w:pPr>
        <w:spacing w:line="216" w:lineRule="auto"/>
        <w:rPr>
          <w:i/>
          <w:sz w:val="23"/>
          <w:szCs w:val="23"/>
          <w:rtl/>
        </w:rPr>
      </w:pPr>
      <w:r w:rsidRPr="00A62AA2">
        <w:rPr>
          <w:rFonts w:hint="cs"/>
          <w:i/>
          <w:sz w:val="23"/>
          <w:szCs w:val="23"/>
          <w:rtl/>
        </w:rPr>
        <w:t>که در آن</w:t>
      </w:r>
      <w:r w:rsidRPr="00A62AA2">
        <w:rPr>
          <w:position w:val="-10"/>
        </w:rPr>
        <w:object w:dxaOrig="260" w:dyaOrig="320" w14:anchorId="1A422666">
          <v:shape id="_x0000_i6525" type="#_x0000_t75" style="width:13.3pt;height:15.75pt" o:ole="">
            <v:imagedata r:id="rId11111" o:title=""/>
          </v:shape>
          <o:OLEObject Type="Embed" ProgID="Equation.DSMT4" ShapeID="_x0000_i6525" DrawAspect="Content" ObjectID="_1791380469" r:id="rId11112"/>
        </w:object>
      </w:r>
      <w:r w:rsidRPr="00A62AA2">
        <w:rPr>
          <w:rFonts w:hint="cs"/>
          <w:i/>
          <w:sz w:val="23"/>
          <w:szCs w:val="23"/>
          <w:rtl/>
        </w:rPr>
        <w:t xml:space="preserve"> نرخ ارز (قیمت داخلی پول خارجی) است. بنابراین</w:t>
      </w:r>
    </w:p>
    <w:p w14:paraId="4EFC258A" w14:textId="77777777" w:rsidR="00556C10" w:rsidRPr="00A62AA2" w:rsidRDefault="00556C10" w:rsidP="00556C10">
      <w:pPr>
        <w:bidi w:val="0"/>
        <w:spacing w:line="216" w:lineRule="auto"/>
        <w:rPr>
          <w:i/>
          <w:sz w:val="23"/>
          <w:szCs w:val="23"/>
          <w:rtl/>
        </w:rPr>
      </w:pPr>
      <w:r w:rsidRPr="00A62AA2">
        <w:rPr>
          <w:position w:val="-30"/>
        </w:rPr>
        <w:object w:dxaOrig="3240" w:dyaOrig="760" w14:anchorId="76C7E99F">
          <v:shape id="_x0000_i6526" type="#_x0000_t75" style="width:162.15pt;height:38.1pt" o:ole="">
            <v:imagedata r:id="rId11113" o:title=""/>
          </v:shape>
          <o:OLEObject Type="Embed" ProgID="Equation.DSMT4" ShapeID="_x0000_i6526" DrawAspect="Content" ObjectID="_1791380470" r:id="rId11114"/>
        </w:object>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Pr>
          <w:i/>
          <w:sz w:val="23"/>
          <w:szCs w:val="23"/>
          <w:rtl/>
        </w:rPr>
        <w:tab/>
      </w:r>
      <w:r w:rsidRPr="00A62AA2">
        <w:rPr>
          <w:i/>
          <w:sz w:val="23"/>
          <w:szCs w:val="23"/>
        </w:rPr>
        <w:tab/>
      </w:r>
      <w:r w:rsidRPr="00A62AA2">
        <w:rPr>
          <w:i/>
          <w:sz w:val="23"/>
          <w:szCs w:val="23"/>
        </w:rPr>
        <w:tab/>
      </w:r>
      <w:r w:rsidRPr="00A62AA2">
        <w:rPr>
          <w:i/>
          <w:sz w:val="23"/>
          <w:szCs w:val="23"/>
        </w:rPr>
        <w:tab/>
      </w:r>
      <w:r w:rsidRPr="00A62AA2">
        <w:rPr>
          <w:rFonts w:hint="cs"/>
          <w:i/>
          <w:sz w:val="23"/>
          <w:szCs w:val="23"/>
          <w:rtl/>
        </w:rPr>
        <w:tab/>
        <w:t>(۱۳. ۲۷)</w:t>
      </w:r>
      <w:r w:rsidRPr="00A62AA2">
        <w:rPr>
          <w:i/>
          <w:sz w:val="23"/>
          <w:szCs w:val="23"/>
        </w:rPr>
        <w:t xml:space="preserve"> </w:t>
      </w:r>
    </w:p>
    <w:p w14:paraId="3A38FEAB" w14:textId="77777777" w:rsidR="00556C10" w:rsidRPr="00A62AA2" w:rsidRDefault="00556C10" w:rsidP="00556C10">
      <w:pPr>
        <w:spacing w:line="216" w:lineRule="auto"/>
        <w:rPr>
          <w:i/>
          <w:sz w:val="23"/>
          <w:szCs w:val="23"/>
          <w:rtl/>
        </w:rPr>
      </w:pPr>
      <w:r w:rsidRPr="00A62AA2">
        <w:rPr>
          <w:rFonts w:hint="cs"/>
          <w:i/>
          <w:sz w:val="23"/>
          <w:szCs w:val="23"/>
          <w:rtl/>
        </w:rPr>
        <w:t>و</w:t>
      </w:r>
    </w:p>
    <w:p w14:paraId="378EB04D" w14:textId="77777777" w:rsidR="00556C10" w:rsidRPr="00A62AA2" w:rsidRDefault="00556C10" w:rsidP="00556C10">
      <w:pPr>
        <w:spacing w:line="216" w:lineRule="auto"/>
        <w:jc w:val="right"/>
        <w:rPr>
          <w:i/>
          <w:sz w:val="23"/>
          <w:szCs w:val="23"/>
          <w:rtl/>
        </w:rPr>
      </w:pPr>
      <w:r w:rsidRPr="00A62AA2">
        <w:rPr>
          <w:position w:val="-10"/>
        </w:rPr>
        <w:object w:dxaOrig="840" w:dyaOrig="340" w14:anchorId="6E5A7F68">
          <v:shape id="_x0000_i6527" type="#_x0000_t75" style="width:41.75pt;height:16.95pt" o:ole="">
            <v:imagedata r:id="rId11115" o:title=""/>
          </v:shape>
          <o:OLEObject Type="Embed" ProgID="Equation.DSMT4" ShapeID="_x0000_i6527" DrawAspect="Content" ObjectID="_1791380471" r:id="rId11116"/>
        </w:object>
      </w:r>
      <w:r w:rsidRPr="00A62AA2">
        <w:rPr>
          <w:rFonts w:hint="cs"/>
          <w:i/>
          <w:sz w:val="23"/>
          <w:szCs w:val="23"/>
          <w:rtl/>
        </w:rPr>
        <w:t>.</w:t>
      </w:r>
    </w:p>
    <w:p w14:paraId="780E4D11" w14:textId="77777777" w:rsidR="00556C10" w:rsidRPr="00A62AA2" w:rsidRDefault="00556C10" w:rsidP="00556C10">
      <w:pPr>
        <w:spacing w:line="216" w:lineRule="auto"/>
        <w:rPr>
          <w:i/>
          <w:sz w:val="23"/>
          <w:szCs w:val="23"/>
          <w:rtl/>
        </w:rPr>
      </w:pPr>
      <w:r w:rsidRPr="00A62AA2">
        <w:rPr>
          <w:rFonts w:hint="cs"/>
          <w:i/>
          <w:sz w:val="23"/>
          <w:szCs w:val="23"/>
          <w:rtl/>
        </w:rPr>
        <w:t>و</w:t>
      </w:r>
      <w:r w:rsidRPr="00A62AA2">
        <w:rPr>
          <w:position w:val="-10"/>
        </w:rPr>
        <w:object w:dxaOrig="279" w:dyaOrig="340" w14:anchorId="20D6A25C">
          <v:shape id="_x0000_i6528" type="#_x0000_t75" style="width:13.9pt;height:16.95pt" o:ole="">
            <v:imagedata r:id="rId11117" o:title=""/>
          </v:shape>
          <o:OLEObject Type="Embed" ProgID="Equation.DSMT4" ShapeID="_x0000_i6528" DrawAspect="Content" ObjectID="_1791380472" r:id="rId11118"/>
        </w:object>
      </w:r>
      <w:r w:rsidRPr="00A62AA2">
        <w:rPr>
          <w:rFonts w:hint="cs"/>
          <w:i/>
          <w:sz w:val="23"/>
          <w:szCs w:val="23"/>
          <w:rtl/>
        </w:rPr>
        <w:t>سطح عمومی قیمت خارجی است. بنابراین</w:t>
      </w:r>
      <w:r w:rsidRPr="00025957">
        <w:rPr>
          <w:position w:val="-4"/>
        </w:rPr>
        <w:object w:dxaOrig="520" w:dyaOrig="240" w14:anchorId="651F5459">
          <v:shape id="_x0000_i6529" type="#_x0000_t75" style="width:26pt;height:11.5pt" o:ole="">
            <v:imagedata r:id="rId11119" o:title=""/>
          </v:shape>
          <o:OLEObject Type="Embed" ProgID="Equation.DSMT4" ShapeID="_x0000_i6529" DrawAspect="Content" ObjectID="_1791380473" r:id="rId11120"/>
        </w:object>
      </w:r>
      <w:r w:rsidRPr="00A62AA2">
        <w:rPr>
          <w:rFonts w:hint="cs"/>
          <w:i/>
          <w:sz w:val="23"/>
          <w:szCs w:val="23"/>
          <w:rtl/>
        </w:rPr>
        <w:t>برای شاخص</w:t>
      </w:r>
      <w:r w:rsidRPr="00A62AA2">
        <w:rPr>
          <w:rFonts w:hint="cs"/>
          <w:i/>
          <w:sz w:val="23"/>
          <w:szCs w:val="23"/>
          <w:rtl/>
        </w:rPr>
        <w:softHyphen/>
        <w:t>های قیمت مصرف کننده برقرار است زیرا هر دو کشور سبدهای کالایی یکسانی را مصرف می</w:t>
      </w:r>
      <w:r w:rsidRPr="00A62AA2">
        <w:rPr>
          <w:rFonts w:hint="cs"/>
          <w:i/>
          <w:sz w:val="23"/>
          <w:szCs w:val="23"/>
          <w:rtl/>
        </w:rPr>
        <w:softHyphen/>
        <w:t>کنند.</w:t>
      </w:r>
    </w:p>
    <w:p w14:paraId="57AF6FDF" w14:textId="77777777" w:rsidR="00556C10" w:rsidRPr="00A62AA2" w:rsidRDefault="00556C10" w:rsidP="00556C10">
      <w:pPr>
        <w:spacing w:line="216" w:lineRule="auto"/>
        <w:rPr>
          <w:i/>
          <w:sz w:val="23"/>
          <w:szCs w:val="23"/>
          <w:rtl/>
        </w:rPr>
      </w:pPr>
      <w:r w:rsidRPr="00A62AA2">
        <w:rPr>
          <w:rFonts w:hint="cs"/>
          <w:i/>
          <w:sz w:val="23"/>
          <w:szCs w:val="23"/>
          <w:rtl/>
        </w:rPr>
        <w:t>قیود بودجه</w:t>
      </w:r>
      <w:r w:rsidRPr="00A62AA2">
        <w:rPr>
          <w:rFonts w:hint="cs"/>
          <w:i/>
          <w:sz w:val="23"/>
          <w:szCs w:val="23"/>
          <w:rtl/>
        </w:rPr>
        <w:softHyphen/>
        <w:t>ی خانوار داخلی و خارجی عبارت است از</w:t>
      </w:r>
    </w:p>
    <w:p w14:paraId="0063B108" w14:textId="77777777" w:rsidR="00556C10" w:rsidRPr="00A62AA2" w:rsidRDefault="00556C10" w:rsidP="00556C10">
      <w:pPr>
        <w:bidi w:val="0"/>
        <w:spacing w:line="216" w:lineRule="auto"/>
        <w:rPr>
          <w:i/>
          <w:sz w:val="23"/>
          <w:szCs w:val="23"/>
          <w:rtl/>
        </w:rPr>
      </w:pPr>
      <w:r w:rsidRPr="00A62AA2">
        <w:rPr>
          <w:position w:val="-12"/>
        </w:rPr>
        <w:object w:dxaOrig="4920" w:dyaOrig="360" w14:anchorId="7DF3CB9F">
          <v:shape id="_x0000_i6530" type="#_x0000_t75" style="width:246.25pt;height:18.15pt" o:ole="">
            <v:imagedata r:id="rId11121" o:title=""/>
          </v:shape>
          <o:OLEObject Type="Embed" ProgID="Equation.DSMT4" ShapeID="_x0000_i6530" DrawAspect="Content" ObjectID="_1791380474" r:id="rId11122"/>
        </w:object>
      </w:r>
      <w:r w:rsidRPr="00A62AA2">
        <w:rPr>
          <w:rFonts w:eastAsiaTheme="minorHAnsi" w:cstheme="minorBidi"/>
          <w:i/>
          <w:sz w:val="23"/>
          <w:szCs w:val="23"/>
        </w:rPr>
        <w:tab/>
      </w:r>
      <w:r>
        <w:rPr>
          <w:rFonts w:eastAsiaTheme="minorHAnsi" w:cstheme="minorBidi"/>
          <w:i/>
          <w:sz w:val="23"/>
          <w:szCs w:val="23"/>
          <w:rtl/>
        </w:rPr>
        <w:tab/>
      </w:r>
      <w:r>
        <w:rPr>
          <w:rFonts w:eastAsiaTheme="minorHAnsi" w:cstheme="minorBidi"/>
          <w:i/>
          <w:sz w:val="23"/>
          <w:szCs w:val="23"/>
          <w:rtl/>
        </w:rPr>
        <w:tab/>
      </w:r>
      <w:r w:rsidRPr="00A62AA2">
        <w:rPr>
          <w:i/>
          <w:sz w:val="23"/>
          <w:szCs w:val="23"/>
        </w:rPr>
        <w:tab/>
      </w:r>
      <w:r w:rsidRPr="00A62AA2">
        <w:rPr>
          <w:rFonts w:hint="cs"/>
          <w:i/>
          <w:sz w:val="23"/>
          <w:szCs w:val="23"/>
          <w:rtl/>
        </w:rPr>
        <w:t>(۱۳. ۲۸)</w:t>
      </w:r>
      <w:r w:rsidRPr="00A62AA2">
        <w:rPr>
          <w:i/>
          <w:sz w:val="23"/>
          <w:szCs w:val="23"/>
        </w:rPr>
        <w:t xml:space="preserve"> </w:t>
      </w:r>
    </w:p>
    <w:p w14:paraId="0B8B2C6B" w14:textId="77777777" w:rsidR="00556C10" w:rsidRPr="00A62AA2" w:rsidRDefault="00556C10" w:rsidP="00556C10">
      <w:pPr>
        <w:bidi w:val="0"/>
        <w:spacing w:line="216" w:lineRule="auto"/>
        <w:rPr>
          <w:i/>
          <w:sz w:val="23"/>
          <w:szCs w:val="23"/>
          <w:rtl/>
        </w:rPr>
      </w:pPr>
      <w:r w:rsidRPr="00A62AA2">
        <w:rPr>
          <w:rFonts w:hint="cs"/>
          <w:i/>
          <w:sz w:val="23"/>
          <w:szCs w:val="23"/>
          <w:rtl/>
        </w:rPr>
        <w:t xml:space="preserve"> </w:t>
      </w:r>
      <w:r w:rsidRPr="00A62AA2">
        <w:rPr>
          <w:position w:val="-16"/>
        </w:rPr>
        <w:object w:dxaOrig="5280" w:dyaOrig="420" w14:anchorId="0CD7852E">
          <v:shape id="_x0000_i6531" type="#_x0000_t75" style="width:263.8pt;height:21.2pt" o:ole="">
            <v:imagedata r:id="rId11123" o:title=""/>
          </v:shape>
          <o:OLEObject Type="Embed" ProgID="Equation.DSMT4" ShapeID="_x0000_i6531" DrawAspect="Content" ObjectID="_1791380475" r:id="rId11124"/>
        </w:object>
      </w:r>
      <w:r>
        <w:rPr>
          <w:rtl/>
        </w:rPr>
        <w:tab/>
      </w:r>
      <w:r>
        <w:rPr>
          <w:rtl/>
        </w:rPr>
        <w:tab/>
      </w:r>
      <w:r w:rsidRPr="00A62AA2">
        <w:rPr>
          <w:rFonts w:hint="cs"/>
          <w:i/>
          <w:sz w:val="23"/>
          <w:szCs w:val="23"/>
          <w:rtl/>
        </w:rPr>
        <w:tab/>
        <w:t>(۱۳. ۲۹)</w:t>
      </w:r>
    </w:p>
    <w:p w14:paraId="7533B44D" w14:textId="77777777" w:rsidR="00556C10" w:rsidRPr="00A62AA2" w:rsidRDefault="00556C10" w:rsidP="00556C10">
      <w:pPr>
        <w:spacing w:line="216" w:lineRule="auto"/>
        <w:rPr>
          <w:i/>
          <w:sz w:val="23"/>
          <w:szCs w:val="23"/>
          <w:rtl/>
        </w:rPr>
      </w:pPr>
      <w:r w:rsidRPr="00A62AA2">
        <w:rPr>
          <w:rFonts w:hint="cs"/>
          <w:i/>
          <w:sz w:val="23"/>
          <w:szCs w:val="23"/>
          <w:rtl/>
        </w:rPr>
        <w:t>که در آن</w:t>
      </w:r>
      <w:r w:rsidRPr="00A62AA2">
        <w:rPr>
          <w:position w:val="-10"/>
        </w:rPr>
        <w:object w:dxaOrig="279" w:dyaOrig="320" w14:anchorId="431CF746">
          <v:shape id="_x0000_i6532" type="#_x0000_t75" style="width:13.9pt;height:15.75pt" o:ole="">
            <v:imagedata r:id="rId11125" o:title=""/>
          </v:shape>
          <o:OLEObject Type="Embed" ProgID="Equation.DSMT4" ShapeID="_x0000_i6532" DrawAspect="Content" ObjectID="_1791380476" r:id="rId11126"/>
        </w:object>
      </w:r>
      <w:r w:rsidRPr="00A62AA2">
        <w:rPr>
          <w:rFonts w:hint="cs"/>
          <w:i/>
          <w:sz w:val="23"/>
          <w:szCs w:val="23"/>
          <w:rtl/>
        </w:rPr>
        <w:t xml:space="preserve"> ذخیره</w:t>
      </w:r>
      <w:r w:rsidRPr="00A62AA2">
        <w:rPr>
          <w:rFonts w:hint="cs"/>
          <w:i/>
          <w:sz w:val="23"/>
          <w:szCs w:val="23"/>
          <w:rtl/>
        </w:rPr>
        <w:softHyphen/>
        <w:t>ی اسمی اوراق قرضه منتشر شده توسط بخش خصوصی برحسب پول داخلی است،</w:t>
      </w:r>
      <w:r w:rsidRPr="00A62AA2">
        <w:rPr>
          <w:position w:val="-10"/>
        </w:rPr>
        <w:object w:dxaOrig="240" w:dyaOrig="320" w14:anchorId="49470FCC">
          <v:shape id="_x0000_i6533" type="#_x0000_t75" style="width:11.5pt;height:15.75pt" o:ole="">
            <v:imagedata r:id="rId11127" o:title=""/>
          </v:shape>
          <o:OLEObject Type="Embed" ProgID="Equation.DSMT4" ShapeID="_x0000_i6533" DrawAspect="Content" ObjectID="_1791380477" r:id="rId11128"/>
        </w:object>
      </w:r>
      <w:r w:rsidRPr="00A62AA2">
        <w:rPr>
          <w:rFonts w:hint="cs"/>
          <w:i/>
          <w:sz w:val="23"/>
          <w:szCs w:val="23"/>
          <w:rtl/>
        </w:rPr>
        <w:t xml:space="preserve"> مالیات</w:t>
      </w:r>
      <w:r w:rsidRPr="00A62AA2">
        <w:rPr>
          <w:rFonts w:hint="cs"/>
          <w:i/>
          <w:sz w:val="23"/>
          <w:szCs w:val="23"/>
          <w:rtl/>
        </w:rPr>
        <w:softHyphen/>
        <w:t>های حقیقی پرداخت شده به دولت داخلی (یا پرداخت</w:t>
      </w:r>
      <w:r w:rsidRPr="00A62AA2">
        <w:rPr>
          <w:rFonts w:hint="cs"/>
          <w:i/>
          <w:sz w:val="23"/>
          <w:szCs w:val="23"/>
          <w:rtl/>
        </w:rPr>
        <w:softHyphen/>
        <w:t xml:space="preserve">های انتقالی حقیقی است اگر </w:t>
      </w:r>
      <w:r w:rsidRPr="00A62AA2">
        <w:rPr>
          <w:position w:val="-10"/>
        </w:rPr>
        <w:object w:dxaOrig="600" w:dyaOrig="320" w14:anchorId="4635D702">
          <v:shape id="_x0000_i6534" type="#_x0000_t75" style="width:29.65pt;height:15.75pt" o:ole="">
            <v:imagedata r:id="rId11129" o:title=""/>
          </v:shape>
          <o:OLEObject Type="Embed" ProgID="Equation.DSMT4" ShapeID="_x0000_i6534" DrawAspect="Content" ObjectID="_1791380478" r:id="rId11130"/>
        </w:object>
      </w:r>
      <w:r w:rsidRPr="00A62AA2">
        <w:rPr>
          <w:rFonts w:hint="cs"/>
          <w:i/>
          <w:sz w:val="23"/>
          <w:szCs w:val="23"/>
          <w:rtl/>
        </w:rPr>
        <w:t xml:space="preserve"> باشد)، و </w:t>
      </w:r>
      <w:r w:rsidRPr="00A62AA2">
        <w:rPr>
          <w:position w:val="-10"/>
        </w:rPr>
        <w:object w:dxaOrig="279" w:dyaOrig="320" w14:anchorId="1A862FA9">
          <v:shape id="_x0000_i6535" type="#_x0000_t75" style="width:13.9pt;height:15.75pt" o:ole="">
            <v:imagedata r:id="rId11131" o:title=""/>
          </v:shape>
          <o:OLEObject Type="Embed" ProgID="Equation.DSMT4" ShapeID="_x0000_i6535" DrawAspect="Content" ObjectID="_1791380479" r:id="rId11132"/>
        </w:object>
      </w:r>
      <w:r w:rsidRPr="00A62AA2">
        <w:rPr>
          <w:rFonts w:hint="cs"/>
          <w:i/>
          <w:sz w:val="23"/>
          <w:szCs w:val="23"/>
          <w:rtl/>
        </w:rPr>
        <w:t xml:space="preserve"> نرخ بهره</w:t>
      </w:r>
      <w:r w:rsidRPr="00A62AA2">
        <w:rPr>
          <w:rFonts w:hint="cs"/>
          <w:i/>
          <w:sz w:val="23"/>
          <w:szCs w:val="23"/>
          <w:rtl/>
        </w:rPr>
        <w:softHyphen/>
        <w:t>ی اسمی است.</w:t>
      </w:r>
      <w:r w:rsidRPr="00A62AA2">
        <w:rPr>
          <w:i/>
          <w:sz w:val="23"/>
          <w:szCs w:val="23"/>
        </w:rPr>
        <w:t xml:space="preserve"> </w:t>
      </w:r>
      <w:r w:rsidRPr="00A62AA2">
        <w:rPr>
          <w:rFonts w:hint="cs"/>
          <w:i/>
          <w:sz w:val="23"/>
          <w:szCs w:val="23"/>
          <w:rtl/>
        </w:rPr>
        <w:t>علامت ستاره</w:t>
      </w:r>
      <w:r w:rsidRPr="00A62AA2">
        <w:rPr>
          <w:i/>
          <w:sz w:val="23"/>
          <w:szCs w:val="23"/>
        </w:rPr>
        <w:t xml:space="preserve"> </w:t>
      </w:r>
      <w:r w:rsidRPr="00A62AA2">
        <w:rPr>
          <w:rFonts w:hint="cs"/>
          <w:i/>
          <w:sz w:val="23"/>
          <w:szCs w:val="23"/>
          <w:rtl/>
        </w:rPr>
        <w:t>معادل همان متغیرها اما برای کشور خارجی است. از آنجا که دو کشور وجود دارد، اوراق قرضه به صورت خصوصی منتشر شده، و همان</w:t>
      </w:r>
      <w:r w:rsidRPr="00A62AA2">
        <w:rPr>
          <w:rFonts w:hint="cs"/>
          <w:i/>
          <w:sz w:val="23"/>
          <w:szCs w:val="23"/>
          <w:rtl/>
        </w:rPr>
        <w:softHyphen/>
        <w:t>گونه که</w:t>
      </w:r>
      <w:r w:rsidRPr="00A62AA2">
        <w:rPr>
          <w:position w:val="-10"/>
        </w:rPr>
        <w:object w:dxaOrig="900" w:dyaOrig="340" w14:anchorId="28DF2842">
          <v:shape id="_x0000_i6536" type="#_x0000_t75" style="width:45.4pt;height:16.95pt" o:ole="">
            <v:imagedata r:id="rId11133" o:title=""/>
          </v:shape>
          <o:OLEObject Type="Embed" ProgID="Equation.DSMT4" ShapeID="_x0000_i6536" DrawAspect="Content" ObjectID="_1791380480" r:id="rId11134"/>
        </w:object>
      </w:r>
      <w:r w:rsidRPr="00A62AA2">
        <w:rPr>
          <w:i/>
          <w:sz w:val="23"/>
          <w:szCs w:val="23"/>
          <w:rtl/>
        </w:rPr>
        <w:t xml:space="preserve"> </w:t>
      </w:r>
      <w:r w:rsidRPr="00A62AA2">
        <w:rPr>
          <w:rFonts w:hint="cs"/>
          <w:i/>
          <w:sz w:val="23"/>
          <w:szCs w:val="23"/>
          <w:rtl/>
        </w:rPr>
        <w:t>است، لذا قید خالص عرضه</w:t>
      </w:r>
      <w:r w:rsidRPr="00A62AA2">
        <w:rPr>
          <w:rFonts w:hint="cs"/>
          <w:i/>
          <w:sz w:val="23"/>
          <w:szCs w:val="23"/>
          <w:rtl/>
        </w:rPr>
        <w:softHyphen/>
        <w:t>ی اوراق قرضه برابر با صفر وجود دارد. یعنی</w:t>
      </w:r>
    </w:p>
    <w:p w14:paraId="5B98D55D" w14:textId="77777777" w:rsidR="00556C10" w:rsidRPr="00A62AA2" w:rsidRDefault="00556C10" w:rsidP="00556C10">
      <w:pPr>
        <w:bidi w:val="0"/>
        <w:spacing w:line="216" w:lineRule="auto"/>
        <w:rPr>
          <w:i/>
          <w:sz w:val="23"/>
          <w:szCs w:val="23"/>
          <w:rtl/>
        </w:rPr>
      </w:pPr>
      <w:r w:rsidRPr="00A62AA2">
        <w:rPr>
          <w:rFonts w:hint="cs"/>
          <w:i/>
          <w:sz w:val="23"/>
          <w:szCs w:val="23"/>
          <w:rtl/>
        </w:rPr>
        <w:lastRenderedPageBreak/>
        <w:t xml:space="preserve"> </w:t>
      </w:r>
      <w:r w:rsidRPr="00A62AA2">
        <w:rPr>
          <w:position w:val="-12"/>
        </w:rPr>
        <w:object w:dxaOrig="1800" w:dyaOrig="360" w14:anchorId="141838DB">
          <v:shape id="_x0000_i6537" type="#_x0000_t75" style="width:90.15pt;height:18.15pt" o:ole="">
            <v:imagedata r:id="rId11135" o:title=""/>
          </v:shape>
          <o:OLEObject Type="Embed" ProgID="Equation.DSMT4" ShapeID="_x0000_i6537" DrawAspect="Content" ObjectID="_1791380481" r:id="rId11136"/>
        </w:object>
      </w:r>
      <w:r w:rsidRPr="00A62AA2">
        <w:rPr>
          <w:rFonts w:hint="cs"/>
          <w:i/>
          <w:sz w:val="23"/>
          <w:szCs w:val="23"/>
          <w:rtl/>
        </w:rPr>
        <w:t xml:space="preserve"> </w:t>
      </w:r>
    </w:p>
    <w:p w14:paraId="113E34F8" w14:textId="77777777" w:rsidR="00556C10" w:rsidRPr="00A62AA2" w:rsidRDefault="00556C10" w:rsidP="00556C10">
      <w:pPr>
        <w:spacing w:line="216" w:lineRule="auto"/>
        <w:rPr>
          <w:i/>
          <w:sz w:val="23"/>
          <w:szCs w:val="23"/>
          <w:rtl/>
        </w:rPr>
      </w:pPr>
      <w:r w:rsidRPr="00A62AA2">
        <w:rPr>
          <w:rFonts w:hint="cs"/>
          <w:i/>
          <w:sz w:val="23"/>
          <w:szCs w:val="23"/>
          <w:rtl/>
        </w:rPr>
        <w:t>قیود بودجه</w:t>
      </w:r>
      <w:r w:rsidRPr="00A62AA2">
        <w:rPr>
          <w:rFonts w:hint="cs"/>
          <w:i/>
          <w:sz w:val="23"/>
          <w:szCs w:val="23"/>
          <w:rtl/>
        </w:rPr>
        <w:softHyphen/>
        <w:t>ی داخلی و خارجی دولت به ترتیب عبارتند از</w:t>
      </w:r>
    </w:p>
    <w:p w14:paraId="1A82BBF4" w14:textId="77777777" w:rsidR="00556C10" w:rsidRPr="00A62AA2" w:rsidRDefault="00556C10" w:rsidP="00556C10">
      <w:pPr>
        <w:bidi w:val="0"/>
        <w:spacing w:line="216" w:lineRule="auto"/>
        <w:rPr>
          <w:i/>
          <w:sz w:val="23"/>
          <w:szCs w:val="23"/>
          <w:rtl/>
        </w:rPr>
      </w:pPr>
      <w:r w:rsidRPr="00A62AA2">
        <w:rPr>
          <w:position w:val="-10"/>
        </w:rPr>
        <w:object w:dxaOrig="1760" w:dyaOrig="320" w14:anchorId="0049EAFA">
          <v:shape id="_x0000_i6538" type="#_x0000_t75" style="width:87.75pt;height:15.75pt" o:ole="">
            <v:imagedata r:id="rId11137" o:title=""/>
          </v:shape>
          <o:OLEObject Type="Embed" ProgID="Equation.DSMT4" ShapeID="_x0000_i6538" DrawAspect="Content" ObjectID="_1791380482" r:id="rId11138"/>
        </w:object>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Pr>
          <w:i/>
          <w:sz w:val="23"/>
          <w:szCs w:val="23"/>
          <w:rtl/>
        </w:rPr>
        <w:tab/>
      </w:r>
      <w:r>
        <w:rPr>
          <w:i/>
          <w:sz w:val="23"/>
          <w:szCs w:val="23"/>
          <w:rtl/>
        </w:rPr>
        <w:tab/>
      </w:r>
      <w:r w:rsidRPr="00A62AA2">
        <w:rPr>
          <w:i/>
          <w:sz w:val="23"/>
          <w:szCs w:val="23"/>
        </w:rPr>
        <w:tab/>
      </w:r>
      <w:r w:rsidRPr="00A62AA2">
        <w:rPr>
          <w:i/>
          <w:sz w:val="23"/>
          <w:szCs w:val="23"/>
        </w:rPr>
        <w:tab/>
      </w:r>
      <w:r w:rsidRPr="00A62AA2">
        <w:rPr>
          <w:i/>
          <w:sz w:val="23"/>
          <w:szCs w:val="23"/>
        </w:rPr>
        <w:tab/>
      </w:r>
      <w:r w:rsidRPr="00A62AA2">
        <w:rPr>
          <w:rFonts w:hint="cs"/>
          <w:i/>
          <w:sz w:val="23"/>
          <w:szCs w:val="23"/>
          <w:rtl/>
        </w:rPr>
        <w:tab/>
        <w:t>(۱۳. ۳۰)</w:t>
      </w:r>
      <w:r w:rsidRPr="00A62AA2">
        <w:rPr>
          <w:i/>
          <w:sz w:val="23"/>
          <w:szCs w:val="23"/>
        </w:rPr>
        <w:t xml:space="preserve"> </w:t>
      </w:r>
    </w:p>
    <w:p w14:paraId="2471396A" w14:textId="77777777" w:rsidR="00556C10" w:rsidRPr="00A62AA2" w:rsidRDefault="00556C10" w:rsidP="00556C10">
      <w:pPr>
        <w:bidi w:val="0"/>
        <w:spacing w:line="216" w:lineRule="auto"/>
        <w:rPr>
          <w:i/>
          <w:sz w:val="23"/>
          <w:szCs w:val="23"/>
          <w:rtl/>
        </w:rPr>
      </w:pPr>
      <w:r w:rsidRPr="00A62AA2">
        <w:rPr>
          <w:position w:val="-10"/>
        </w:rPr>
        <w:object w:dxaOrig="1960" w:dyaOrig="340" w14:anchorId="2EC81BE3">
          <v:shape id="_x0000_i6539" type="#_x0000_t75" style="width:98pt;height:16.95pt" o:ole="">
            <v:imagedata r:id="rId11139" o:title=""/>
          </v:shape>
          <o:OLEObject Type="Embed" ProgID="Equation.DSMT4" ShapeID="_x0000_i6539" DrawAspect="Content" ObjectID="_1791380483" r:id="rId11140"/>
        </w:object>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Pr>
          <w:i/>
          <w:sz w:val="23"/>
          <w:szCs w:val="23"/>
          <w:rtl/>
        </w:rPr>
        <w:tab/>
      </w:r>
      <w:r>
        <w:rPr>
          <w:i/>
          <w:sz w:val="23"/>
          <w:szCs w:val="23"/>
          <w:rtl/>
        </w:rPr>
        <w:tab/>
      </w:r>
      <w:r w:rsidRPr="00A62AA2">
        <w:rPr>
          <w:i/>
          <w:sz w:val="23"/>
          <w:szCs w:val="23"/>
        </w:rPr>
        <w:tab/>
      </w:r>
      <w:r w:rsidRPr="00A62AA2">
        <w:rPr>
          <w:rFonts w:hint="cs"/>
          <w:i/>
          <w:sz w:val="23"/>
          <w:szCs w:val="23"/>
          <w:rtl/>
        </w:rPr>
        <w:tab/>
        <w:t>(۱۳. ۳۱)</w:t>
      </w:r>
      <w:r w:rsidRPr="00A62AA2">
        <w:rPr>
          <w:i/>
          <w:sz w:val="23"/>
          <w:szCs w:val="23"/>
        </w:rPr>
        <w:t xml:space="preserve"> </w:t>
      </w:r>
    </w:p>
    <w:p w14:paraId="26B44CB5" w14:textId="77777777" w:rsidR="00556C10" w:rsidRPr="00A62AA2" w:rsidRDefault="00556C10" w:rsidP="00556C10">
      <w:pPr>
        <w:spacing w:line="216" w:lineRule="auto"/>
        <w:rPr>
          <w:i/>
          <w:sz w:val="23"/>
          <w:szCs w:val="23"/>
          <w:rtl/>
        </w:rPr>
      </w:pPr>
      <w:r w:rsidRPr="00A62AA2">
        <w:rPr>
          <w:rFonts w:hint="cs"/>
          <w:i/>
          <w:sz w:val="23"/>
          <w:szCs w:val="23"/>
          <w:rtl/>
        </w:rPr>
        <w:t xml:space="preserve">که در آن </w:t>
      </w:r>
    </w:p>
    <w:p w14:paraId="6DEF943E" w14:textId="77777777" w:rsidR="00556C10" w:rsidRPr="00A62AA2" w:rsidRDefault="00556C10" w:rsidP="00556C10">
      <w:pPr>
        <w:bidi w:val="0"/>
        <w:spacing w:line="216" w:lineRule="auto"/>
        <w:rPr>
          <w:i/>
          <w:sz w:val="23"/>
          <w:szCs w:val="23"/>
          <w:rtl/>
        </w:rPr>
      </w:pPr>
      <w:r w:rsidRPr="00A62AA2">
        <w:rPr>
          <w:position w:val="-30"/>
        </w:rPr>
        <w:object w:dxaOrig="2220" w:dyaOrig="760" w14:anchorId="4DE2AD9B">
          <v:shape id="_x0000_i6540" type="#_x0000_t75" style="width:110.7pt;height:38.1pt" o:ole="">
            <v:imagedata r:id="rId11141" o:title=""/>
          </v:shape>
          <o:OLEObject Type="Embed" ProgID="Equation.DSMT4" ShapeID="_x0000_i6540" DrawAspect="Content" ObjectID="_1791380484" r:id="rId11142"/>
        </w:object>
      </w:r>
      <w:r w:rsidRPr="00A62AA2">
        <w:rPr>
          <w:rFonts w:hint="cs"/>
          <w:i/>
          <w:sz w:val="23"/>
          <w:szCs w:val="23"/>
          <w:rtl/>
        </w:rPr>
        <w:t xml:space="preserve"> </w:t>
      </w:r>
    </w:p>
    <w:p w14:paraId="1B16FC39" w14:textId="77777777" w:rsidR="00556C10" w:rsidRPr="00A62AA2" w:rsidRDefault="00556C10" w:rsidP="00556C10">
      <w:pPr>
        <w:spacing w:line="216" w:lineRule="auto"/>
        <w:rPr>
          <w:i/>
          <w:sz w:val="23"/>
          <w:szCs w:val="23"/>
          <w:rtl/>
        </w:rPr>
      </w:pPr>
      <w:r w:rsidRPr="00A62AA2">
        <w:rPr>
          <w:rFonts w:hint="cs"/>
          <w:i/>
          <w:sz w:val="23"/>
          <w:szCs w:val="23"/>
          <w:rtl/>
        </w:rPr>
        <w:t>و</w:t>
      </w:r>
      <w:r w:rsidRPr="00A62AA2">
        <w:rPr>
          <w:position w:val="-12"/>
        </w:rPr>
        <w:object w:dxaOrig="560" w:dyaOrig="360" w14:anchorId="0C2AE8E1">
          <v:shape id="_x0000_i6541" type="#_x0000_t75" style="width:27.85pt;height:18.15pt" o:ole="">
            <v:imagedata r:id="rId11143" o:title=""/>
          </v:shape>
          <o:OLEObject Type="Embed" ProgID="Equation.DSMT4" ShapeID="_x0000_i6541" DrawAspect="Content" ObjectID="_1791380485" r:id="rId11144"/>
        </w:object>
      </w:r>
      <w:r w:rsidRPr="00A62AA2">
        <w:rPr>
          <w:rFonts w:hint="cs"/>
          <w:i/>
          <w:sz w:val="23"/>
          <w:szCs w:val="23"/>
          <w:rtl/>
        </w:rPr>
        <w:t xml:space="preserve"> مصرف خانوار از کالای</w:t>
      </w:r>
      <w:r w:rsidRPr="00A62AA2">
        <w:rPr>
          <w:position w:val="-6"/>
        </w:rPr>
        <w:object w:dxaOrig="180" w:dyaOrig="200" w14:anchorId="6534C3D9">
          <v:shape id="_x0000_i6542" type="#_x0000_t75" style="width:9.1pt;height:10.3pt" o:ole="">
            <v:imagedata r:id="rId11145" o:title=""/>
          </v:shape>
          <o:OLEObject Type="Embed" ProgID="Equation.DSMT4" ShapeID="_x0000_i6542" DrawAspect="Content" ObjectID="_1791380486" r:id="rId11146"/>
        </w:object>
      </w:r>
      <w:r w:rsidRPr="00A62AA2">
        <w:rPr>
          <w:rFonts w:hint="cs"/>
          <w:i/>
          <w:sz w:val="23"/>
          <w:szCs w:val="23"/>
          <w:rtl/>
        </w:rPr>
        <w:t xml:space="preserve"> است که بوسیله</w:t>
      </w:r>
      <w:r w:rsidRPr="00A62AA2">
        <w:rPr>
          <w:rFonts w:hint="cs"/>
          <w:i/>
          <w:sz w:val="23"/>
          <w:szCs w:val="23"/>
          <w:rtl/>
        </w:rPr>
        <w:softHyphen/>
        <w:t>ی دولت تهیه و تامین می</w:t>
      </w:r>
      <w:r w:rsidRPr="00A62AA2">
        <w:rPr>
          <w:rFonts w:hint="cs"/>
          <w:i/>
          <w:sz w:val="23"/>
          <w:szCs w:val="23"/>
          <w:rtl/>
        </w:rPr>
        <w:softHyphen/>
        <w:t>شود. همچنین مخارج دولت بر مطلوبیت خانوار تاثیر نمی</w:t>
      </w:r>
      <w:r w:rsidRPr="00A62AA2">
        <w:rPr>
          <w:rFonts w:hint="cs"/>
          <w:i/>
          <w:sz w:val="23"/>
          <w:szCs w:val="23"/>
          <w:rtl/>
        </w:rPr>
        <w:softHyphen/>
        <w:t>گذارد. در قید بودجه</w:t>
      </w:r>
      <w:r w:rsidRPr="00A62AA2">
        <w:rPr>
          <w:rFonts w:hint="cs"/>
          <w:i/>
          <w:sz w:val="23"/>
          <w:szCs w:val="23"/>
          <w:rtl/>
        </w:rPr>
        <w:softHyphen/>
        <w:t>ی دولت فرض می</w:t>
      </w:r>
      <w:r w:rsidRPr="00A62AA2">
        <w:rPr>
          <w:rFonts w:hint="cs"/>
          <w:i/>
          <w:sz w:val="23"/>
          <w:szCs w:val="23"/>
          <w:rtl/>
        </w:rPr>
        <w:softHyphen/>
        <w:t>شود که مخارج دولت بوسیله</w:t>
      </w:r>
      <w:r w:rsidRPr="00A62AA2">
        <w:rPr>
          <w:rFonts w:hint="cs"/>
          <w:i/>
          <w:sz w:val="23"/>
          <w:szCs w:val="23"/>
          <w:rtl/>
        </w:rPr>
        <w:softHyphen/>
        <w:t>ی مالیات مقطوع و حق</w:t>
      </w:r>
      <w:r w:rsidRPr="00A62AA2">
        <w:rPr>
          <w:rFonts w:hint="cs"/>
          <w:i/>
          <w:sz w:val="23"/>
          <w:szCs w:val="23"/>
          <w:rtl/>
        </w:rPr>
        <w:softHyphen/>
        <w:t>الضرب تأمین مالی می</w:t>
      </w:r>
      <w:r w:rsidRPr="00A62AA2">
        <w:rPr>
          <w:rFonts w:hint="cs"/>
          <w:i/>
          <w:sz w:val="23"/>
          <w:szCs w:val="23"/>
          <w:rtl/>
        </w:rPr>
        <w:softHyphen/>
        <w:t>شود.</w:t>
      </w:r>
    </w:p>
    <w:p w14:paraId="5BD6C72F" w14:textId="77777777" w:rsidR="00556C10" w:rsidRPr="00A62AA2" w:rsidRDefault="00556C10" w:rsidP="00556C10">
      <w:pPr>
        <w:spacing w:line="216" w:lineRule="auto"/>
        <w:rPr>
          <w:i/>
          <w:sz w:val="23"/>
          <w:szCs w:val="23"/>
          <w:rtl/>
        </w:rPr>
      </w:pPr>
      <w:r w:rsidRPr="00A62AA2">
        <w:rPr>
          <w:rFonts w:hint="cs"/>
          <w:i/>
          <w:sz w:val="23"/>
          <w:szCs w:val="23"/>
          <w:rtl/>
        </w:rPr>
        <w:t xml:space="preserve"> با استفاده از تابع مصرف با کشش جانشینی ثابت</w:t>
      </w:r>
      <w:r w:rsidRPr="00A62AA2">
        <w:rPr>
          <w:position w:val="-6"/>
        </w:rPr>
        <w:object w:dxaOrig="520" w:dyaOrig="260" w14:anchorId="344A39F1">
          <v:shape id="_x0000_i6543" type="#_x0000_t75" style="width:26pt;height:13.3pt" o:ole="">
            <v:imagedata r:id="rId11147" o:title=""/>
          </v:shape>
          <o:OLEObject Type="Embed" ProgID="Equation.DSMT4" ShapeID="_x0000_i6543" DrawAspect="Content" ObjectID="_1791380487" r:id="rId11148"/>
        </w:object>
      </w:r>
      <w:r w:rsidRPr="00A62AA2">
        <w:rPr>
          <w:rFonts w:hint="cs"/>
          <w:i/>
          <w:sz w:val="23"/>
          <w:szCs w:val="23"/>
          <w:rtl/>
        </w:rPr>
        <w:t>، یا معادله</w:t>
      </w:r>
      <w:r w:rsidRPr="00A62AA2">
        <w:rPr>
          <w:rFonts w:hint="cs"/>
          <w:i/>
          <w:sz w:val="23"/>
          <w:szCs w:val="23"/>
          <w:rtl/>
        </w:rPr>
        <w:softHyphen/>
        <w:t>ی (۱۳. ۲۵) و تابع مطلوبیت، و از نتایج فصل هفتم تقاضای خانوار داخلی برای کالا</w:t>
      </w:r>
      <w:r w:rsidRPr="00A62AA2">
        <w:rPr>
          <w:position w:val="-6"/>
        </w:rPr>
        <w:object w:dxaOrig="180" w:dyaOrig="200" w14:anchorId="1E9DB1C9">
          <v:shape id="_x0000_i6544" type="#_x0000_t75" style="width:9.1pt;height:10.3pt" o:ole="">
            <v:imagedata r:id="rId11149" o:title=""/>
          </v:shape>
          <o:OLEObject Type="Embed" ProgID="Equation.DSMT4" ShapeID="_x0000_i6544" DrawAspect="Content" ObjectID="_1791380488" r:id="rId11150"/>
        </w:object>
      </w:r>
      <w:r w:rsidRPr="00A62AA2">
        <w:rPr>
          <w:rFonts w:hint="cs"/>
          <w:i/>
          <w:sz w:val="23"/>
          <w:szCs w:val="23"/>
          <w:rtl/>
        </w:rPr>
        <w:t xml:space="preserve"> خواهیم داشت</w:t>
      </w:r>
    </w:p>
    <w:p w14:paraId="59A443EB" w14:textId="77777777" w:rsidR="00556C10" w:rsidRPr="00A62AA2" w:rsidRDefault="00556C10" w:rsidP="00556C10">
      <w:pPr>
        <w:bidi w:val="0"/>
        <w:spacing w:line="216" w:lineRule="auto"/>
        <w:rPr>
          <w:i/>
          <w:sz w:val="23"/>
          <w:szCs w:val="23"/>
        </w:rPr>
      </w:pPr>
      <w:r w:rsidRPr="00A62AA2">
        <w:rPr>
          <w:rFonts w:hint="cs"/>
          <w:i/>
          <w:sz w:val="23"/>
          <w:szCs w:val="23"/>
          <w:rtl/>
        </w:rPr>
        <w:t xml:space="preserve"> </w:t>
      </w:r>
      <w:r w:rsidRPr="00A62AA2">
        <w:rPr>
          <w:position w:val="-30"/>
        </w:rPr>
        <w:object w:dxaOrig="1800" w:dyaOrig="760" w14:anchorId="22BA40B1">
          <v:shape id="_x0000_i6545" type="#_x0000_t75" style="width:90.15pt;height:38.1pt" o:ole="">
            <v:imagedata r:id="rId11151" o:title=""/>
          </v:shape>
          <o:OLEObject Type="Embed" ProgID="Equation.DSMT4" ShapeID="_x0000_i6545" DrawAspect="Content" ObjectID="_1791380489" r:id="rId11152"/>
        </w:object>
      </w:r>
      <w:r w:rsidRPr="00A62AA2">
        <w:rPr>
          <w:rFonts w:hint="cs"/>
          <w:i/>
          <w:sz w:val="23"/>
          <w:szCs w:val="23"/>
          <w:rtl/>
        </w:rPr>
        <w:t xml:space="preserve"> </w:t>
      </w:r>
    </w:p>
    <w:p w14:paraId="0DCE7327" w14:textId="77777777" w:rsidR="00556C10" w:rsidRPr="00A62AA2" w:rsidRDefault="00556C10" w:rsidP="00556C10">
      <w:pPr>
        <w:spacing w:line="216" w:lineRule="auto"/>
        <w:rPr>
          <w:i/>
          <w:sz w:val="23"/>
          <w:szCs w:val="23"/>
          <w:rtl/>
        </w:rPr>
      </w:pPr>
      <w:r w:rsidRPr="00A62AA2">
        <w:rPr>
          <w:rFonts w:hint="cs"/>
          <w:i/>
          <w:sz w:val="23"/>
          <w:szCs w:val="23"/>
          <w:rtl/>
        </w:rPr>
        <w:t>و شاخص عمومی قیمت به وسیله</w:t>
      </w:r>
      <w:r w:rsidRPr="00A62AA2">
        <w:rPr>
          <w:rFonts w:hint="cs"/>
          <w:i/>
          <w:sz w:val="23"/>
          <w:szCs w:val="23"/>
          <w:rtl/>
        </w:rPr>
        <w:softHyphen/>
        <w:t>ی معادله</w:t>
      </w:r>
      <w:r w:rsidRPr="00A62AA2">
        <w:rPr>
          <w:rFonts w:hint="cs"/>
          <w:i/>
          <w:sz w:val="23"/>
          <w:szCs w:val="23"/>
          <w:rtl/>
        </w:rPr>
        <w:softHyphen/>
        <w:t>ی (۱۳. ۲۶) بدست می</w:t>
      </w:r>
      <w:r w:rsidRPr="00A62AA2">
        <w:rPr>
          <w:rFonts w:hint="cs"/>
          <w:i/>
          <w:sz w:val="23"/>
          <w:szCs w:val="23"/>
          <w:rtl/>
        </w:rPr>
        <w:softHyphen/>
        <w:t>آید. برای سهولت، فرض شده تهیه و تدارک کالای</w:t>
      </w:r>
      <w:r w:rsidRPr="00A62AA2">
        <w:rPr>
          <w:position w:val="-6"/>
        </w:rPr>
        <w:object w:dxaOrig="180" w:dyaOrig="200" w14:anchorId="5E508384">
          <v:shape id="_x0000_i6546" type="#_x0000_t75" style="width:9.1pt;height:10.3pt" o:ole="">
            <v:imagedata r:id="rId11153" o:title=""/>
          </v:shape>
          <o:OLEObject Type="Embed" ProgID="Equation.DSMT4" ShapeID="_x0000_i6546" DrawAspect="Content" ObjectID="_1791380490" r:id="rId11154"/>
        </w:object>
      </w:r>
      <w:r w:rsidRPr="00A62AA2">
        <w:rPr>
          <w:rFonts w:hint="cs"/>
          <w:i/>
          <w:sz w:val="23"/>
          <w:szCs w:val="23"/>
          <w:rtl/>
        </w:rPr>
        <w:t xml:space="preserve"> به</w:t>
      </w:r>
      <w:r w:rsidRPr="00A62AA2">
        <w:rPr>
          <w:i/>
          <w:sz w:val="23"/>
          <w:szCs w:val="23"/>
          <w:rtl/>
        </w:rPr>
        <w:softHyphen/>
      </w:r>
      <w:r w:rsidRPr="00A62AA2">
        <w:rPr>
          <w:rFonts w:hint="cs"/>
          <w:i/>
          <w:sz w:val="23"/>
          <w:szCs w:val="23"/>
          <w:rtl/>
        </w:rPr>
        <w:t>وسیله</w:t>
      </w:r>
      <w:r w:rsidRPr="00A62AA2">
        <w:rPr>
          <w:rFonts w:hint="cs"/>
          <w:i/>
          <w:sz w:val="23"/>
          <w:szCs w:val="23"/>
          <w:rtl/>
        </w:rPr>
        <w:softHyphen/>
        <w:t>ی دولت دارای فرم یکسانی است. کل تقاضای خصوصی دنیا</w:t>
      </w:r>
      <w:r w:rsidRPr="00A62AA2">
        <w:rPr>
          <w:position w:val="-10"/>
        </w:rPr>
        <w:object w:dxaOrig="300" w:dyaOrig="340" w14:anchorId="51D24827">
          <v:shape id="_x0000_i6547" type="#_x0000_t75" style="width:14.5pt;height:16.95pt" o:ole="">
            <v:imagedata r:id="rId11155" o:title=""/>
          </v:shape>
          <o:OLEObject Type="Embed" ProgID="Equation.DSMT4" ShapeID="_x0000_i6547" DrawAspect="Content" ObjectID="_1791380491" r:id="rId11156"/>
        </w:object>
      </w:r>
      <w:r w:rsidRPr="00A62AA2">
        <w:rPr>
          <w:rFonts w:hint="cs"/>
          <w:i/>
          <w:sz w:val="23"/>
          <w:szCs w:val="23"/>
          <w:rtl/>
        </w:rPr>
        <w:t xml:space="preserve"> از تجمیع همه خانوارها یعنی </w:t>
      </w:r>
      <w:r w:rsidRPr="00A62AA2">
        <w:rPr>
          <w:position w:val="-6"/>
        </w:rPr>
        <w:object w:dxaOrig="200" w:dyaOrig="200" w14:anchorId="0B26DAE9">
          <v:shape id="_x0000_i6548" type="#_x0000_t75" style="width:10.3pt;height:10.3pt" o:ole="">
            <v:imagedata r:id="rId11157" o:title=""/>
          </v:shape>
          <o:OLEObject Type="Embed" ProgID="Equation.DSMT4" ShapeID="_x0000_i6548" DrawAspect="Content" ObjectID="_1791380492" r:id="rId11158"/>
        </w:object>
      </w:r>
      <w:r w:rsidRPr="00A62AA2">
        <w:rPr>
          <w:rFonts w:hint="cs"/>
          <w:i/>
          <w:sz w:val="23"/>
          <w:szCs w:val="23"/>
          <w:rtl/>
        </w:rPr>
        <w:t xml:space="preserve"> خانوار داخلی و </w:t>
      </w:r>
      <w:r w:rsidRPr="00A62AA2">
        <w:rPr>
          <w:position w:val="-6"/>
        </w:rPr>
        <w:object w:dxaOrig="480" w:dyaOrig="260" w14:anchorId="6CA8CED8">
          <v:shape id="_x0000_i6549" type="#_x0000_t75" style="width:24.2pt;height:13.3pt" o:ole="">
            <v:imagedata r:id="rId11159" o:title=""/>
          </v:shape>
          <o:OLEObject Type="Embed" ProgID="Equation.DSMT4" ShapeID="_x0000_i6549" DrawAspect="Content" ObjectID="_1791380493" r:id="rId11160"/>
        </w:object>
      </w:r>
      <w:r w:rsidRPr="00A62AA2">
        <w:rPr>
          <w:rFonts w:hint="cs"/>
          <w:i/>
          <w:sz w:val="23"/>
          <w:szCs w:val="23"/>
          <w:rtl/>
        </w:rPr>
        <w:t xml:space="preserve"> خانوار خارجی بدست می</w:t>
      </w:r>
      <w:r w:rsidRPr="00A62AA2">
        <w:rPr>
          <w:rFonts w:hint="cs"/>
          <w:i/>
          <w:sz w:val="23"/>
          <w:szCs w:val="23"/>
          <w:rtl/>
        </w:rPr>
        <w:softHyphen/>
        <w:t xml:space="preserve">آید و برابر است با </w:t>
      </w:r>
    </w:p>
    <w:p w14:paraId="44245E68" w14:textId="77777777" w:rsidR="00556C10" w:rsidRPr="00A62AA2" w:rsidRDefault="00556C10" w:rsidP="00556C10">
      <w:pPr>
        <w:bidi w:val="0"/>
        <w:spacing w:line="216" w:lineRule="auto"/>
        <w:rPr>
          <w:i/>
          <w:sz w:val="23"/>
          <w:szCs w:val="23"/>
          <w:rtl/>
        </w:rPr>
      </w:pPr>
      <w:r w:rsidRPr="00A62AA2">
        <w:rPr>
          <w:position w:val="-12"/>
        </w:rPr>
        <w:object w:dxaOrig="1780" w:dyaOrig="360" w14:anchorId="23142922">
          <v:shape id="_x0000_i6550" type="#_x0000_t75" style="width:88.95pt;height:18.15pt" o:ole="">
            <v:imagedata r:id="rId11161" o:title=""/>
          </v:shape>
          <o:OLEObject Type="Embed" ProgID="Equation.DSMT4" ShapeID="_x0000_i6550" DrawAspect="Content" ObjectID="_1791380494" r:id="rId11162"/>
        </w:object>
      </w:r>
      <w:r w:rsidRPr="00A62AA2">
        <w:rPr>
          <w:rFonts w:hint="cs"/>
          <w:i/>
          <w:sz w:val="23"/>
          <w:szCs w:val="23"/>
          <w:rtl/>
        </w:rPr>
        <w:t xml:space="preserve"> </w:t>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Pr>
          <w:i/>
          <w:sz w:val="23"/>
          <w:szCs w:val="23"/>
          <w:rtl/>
        </w:rPr>
        <w:tab/>
      </w:r>
      <w:r>
        <w:rPr>
          <w:i/>
          <w:sz w:val="23"/>
          <w:szCs w:val="23"/>
          <w:rtl/>
        </w:rPr>
        <w:tab/>
      </w:r>
      <w:r w:rsidRPr="00A62AA2">
        <w:rPr>
          <w:i/>
          <w:sz w:val="23"/>
          <w:szCs w:val="23"/>
        </w:rPr>
        <w:tab/>
      </w:r>
      <w:r w:rsidRPr="00A62AA2">
        <w:rPr>
          <w:i/>
          <w:sz w:val="23"/>
          <w:szCs w:val="23"/>
        </w:rPr>
        <w:tab/>
      </w:r>
      <w:r w:rsidRPr="00A62AA2">
        <w:rPr>
          <w:i/>
          <w:sz w:val="23"/>
          <w:szCs w:val="23"/>
        </w:rPr>
        <w:tab/>
      </w:r>
      <w:r w:rsidRPr="00A62AA2">
        <w:rPr>
          <w:rFonts w:hint="cs"/>
          <w:i/>
          <w:sz w:val="23"/>
          <w:szCs w:val="23"/>
          <w:rtl/>
        </w:rPr>
        <w:tab/>
        <w:t>(۱۳. ۳۲)</w:t>
      </w:r>
      <w:r w:rsidRPr="00A62AA2">
        <w:rPr>
          <w:i/>
          <w:sz w:val="23"/>
          <w:szCs w:val="23"/>
        </w:rPr>
        <w:t xml:space="preserve"> </w:t>
      </w:r>
    </w:p>
    <w:p w14:paraId="4246A14F" w14:textId="77777777" w:rsidR="00556C10" w:rsidRPr="00A62AA2" w:rsidRDefault="00556C10" w:rsidP="00556C10">
      <w:pPr>
        <w:spacing w:line="216" w:lineRule="auto"/>
        <w:rPr>
          <w:i/>
          <w:sz w:val="23"/>
          <w:szCs w:val="23"/>
          <w:rtl/>
        </w:rPr>
      </w:pPr>
      <w:r w:rsidRPr="00A62AA2">
        <w:rPr>
          <w:rFonts w:hint="cs"/>
          <w:i/>
          <w:sz w:val="23"/>
          <w:szCs w:val="23"/>
          <w:rtl/>
        </w:rPr>
        <w:t>بطور مشابه، کل تقاضای دولتی دنیا یا</w:t>
      </w:r>
      <w:r w:rsidRPr="00A62AA2">
        <w:rPr>
          <w:position w:val="-10"/>
        </w:rPr>
        <w:object w:dxaOrig="340" w:dyaOrig="340" w14:anchorId="577AD025">
          <v:shape id="_x0000_i6551" type="#_x0000_t75" style="width:16.95pt;height:16.95pt" o:ole="">
            <v:imagedata r:id="rId11163" o:title=""/>
          </v:shape>
          <o:OLEObject Type="Embed" ProgID="Equation.DSMT4" ShapeID="_x0000_i6551" DrawAspect="Content" ObjectID="_1791380495" r:id="rId11164"/>
        </w:object>
      </w:r>
      <w:r w:rsidRPr="00A62AA2">
        <w:rPr>
          <w:rFonts w:hint="cs"/>
          <w:i/>
          <w:sz w:val="23"/>
          <w:szCs w:val="23"/>
          <w:rtl/>
        </w:rPr>
        <w:t xml:space="preserve"> برابر است با</w:t>
      </w:r>
    </w:p>
    <w:p w14:paraId="2AA73243" w14:textId="77777777" w:rsidR="00556C10" w:rsidRPr="00A62AA2" w:rsidRDefault="00556C10" w:rsidP="00556C10">
      <w:pPr>
        <w:bidi w:val="0"/>
        <w:spacing w:line="216" w:lineRule="auto"/>
        <w:rPr>
          <w:i/>
          <w:sz w:val="23"/>
          <w:szCs w:val="23"/>
          <w:rtl/>
        </w:rPr>
      </w:pPr>
      <w:r w:rsidRPr="00A62AA2">
        <w:rPr>
          <w:position w:val="-12"/>
        </w:rPr>
        <w:object w:dxaOrig="1900" w:dyaOrig="360" w14:anchorId="1D9010A2">
          <v:shape id="_x0000_i6552" type="#_x0000_t75" style="width:95pt;height:18.15pt" o:ole="">
            <v:imagedata r:id="rId11165" o:title=""/>
          </v:shape>
          <o:OLEObject Type="Embed" ProgID="Equation.DSMT4" ShapeID="_x0000_i6552" DrawAspect="Content" ObjectID="_1791380496" r:id="rId11166"/>
        </w:object>
      </w:r>
    </w:p>
    <w:p w14:paraId="6B3FF0A8" w14:textId="77777777" w:rsidR="00556C10" w:rsidRPr="00A62AA2" w:rsidRDefault="00556C10" w:rsidP="00556C10">
      <w:pPr>
        <w:spacing w:line="216" w:lineRule="auto"/>
        <w:rPr>
          <w:i/>
          <w:sz w:val="23"/>
          <w:szCs w:val="23"/>
          <w:rtl/>
        </w:rPr>
      </w:pPr>
      <w:r w:rsidRPr="00A62AA2">
        <w:rPr>
          <w:rFonts w:hint="cs"/>
          <w:i/>
          <w:sz w:val="23"/>
          <w:szCs w:val="23"/>
          <w:rtl/>
        </w:rPr>
        <w:t>تقاضای کل دنیا برای کالای</w:t>
      </w:r>
      <w:r w:rsidRPr="00A62AA2">
        <w:rPr>
          <w:position w:val="-6"/>
        </w:rPr>
        <w:object w:dxaOrig="180" w:dyaOrig="200" w14:anchorId="3ADACDA0">
          <v:shape id="_x0000_i6553" type="#_x0000_t75" style="width:9.1pt;height:10.3pt" o:ole="">
            <v:imagedata r:id="rId11167" o:title=""/>
          </v:shape>
          <o:OLEObject Type="Embed" ProgID="Equation.DSMT4" ShapeID="_x0000_i6553" DrawAspect="Content" ObjectID="_1791380497" r:id="rId11168"/>
        </w:object>
      </w:r>
      <w:r w:rsidRPr="00A62AA2">
        <w:rPr>
          <w:rFonts w:hint="cs"/>
          <w:i/>
          <w:sz w:val="23"/>
          <w:szCs w:val="23"/>
          <w:rtl/>
        </w:rPr>
        <w:t xml:space="preserve"> برابر است با مجموع تقاضای خانوار خصوصی و مصرف دولتی، یعنی </w:t>
      </w:r>
    </w:p>
    <w:p w14:paraId="0F003F57" w14:textId="77777777" w:rsidR="00556C10" w:rsidRPr="00A62AA2" w:rsidRDefault="00556C10" w:rsidP="00556C10">
      <w:pPr>
        <w:bidi w:val="0"/>
        <w:spacing w:line="216" w:lineRule="auto"/>
        <w:rPr>
          <w:i/>
          <w:sz w:val="23"/>
          <w:szCs w:val="23"/>
          <w:rtl/>
        </w:rPr>
      </w:pPr>
      <w:r w:rsidRPr="00A62AA2">
        <w:rPr>
          <w:position w:val="-30"/>
        </w:rPr>
        <w:object w:dxaOrig="2580" w:dyaOrig="760" w14:anchorId="770F447E">
          <v:shape id="_x0000_i6554" type="#_x0000_t75" style="width:129.5pt;height:38.1pt" o:ole="">
            <v:imagedata r:id="rId11169" o:title=""/>
          </v:shape>
          <o:OLEObject Type="Embed" ProgID="Equation.DSMT4" ShapeID="_x0000_i6554" DrawAspect="Content" ObjectID="_1791380498" r:id="rId11170"/>
        </w:object>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Pr>
          <w:i/>
          <w:sz w:val="23"/>
          <w:szCs w:val="23"/>
          <w:rtl/>
        </w:rPr>
        <w:tab/>
      </w:r>
      <w:r>
        <w:rPr>
          <w:i/>
          <w:sz w:val="23"/>
          <w:szCs w:val="23"/>
          <w:rtl/>
        </w:rPr>
        <w:tab/>
      </w:r>
      <w:r w:rsidRPr="00A62AA2">
        <w:rPr>
          <w:i/>
          <w:sz w:val="23"/>
          <w:szCs w:val="23"/>
        </w:rPr>
        <w:tab/>
      </w:r>
      <w:r w:rsidRPr="00A62AA2">
        <w:rPr>
          <w:rFonts w:hint="cs"/>
          <w:i/>
          <w:sz w:val="23"/>
          <w:szCs w:val="23"/>
          <w:rtl/>
        </w:rPr>
        <w:tab/>
      </w:r>
      <w:r w:rsidRPr="00A62AA2">
        <w:rPr>
          <w:i/>
          <w:sz w:val="23"/>
          <w:szCs w:val="23"/>
        </w:rPr>
        <w:t xml:space="preserve"> </w:t>
      </w:r>
      <w:r w:rsidRPr="00A62AA2">
        <w:rPr>
          <w:rFonts w:hint="cs"/>
          <w:i/>
          <w:sz w:val="23"/>
          <w:szCs w:val="23"/>
          <w:rtl/>
        </w:rPr>
        <w:tab/>
        <w:t>(۱۳. ۳۳)</w:t>
      </w:r>
      <w:r w:rsidRPr="00A62AA2">
        <w:rPr>
          <w:i/>
          <w:sz w:val="23"/>
          <w:szCs w:val="23"/>
        </w:rPr>
        <w:t xml:space="preserve"> </w:t>
      </w:r>
    </w:p>
    <w:p w14:paraId="178AAC13" w14:textId="77777777" w:rsidR="00556C10" w:rsidRPr="00A62AA2" w:rsidRDefault="00556C10" w:rsidP="00556C10">
      <w:pPr>
        <w:spacing w:line="216" w:lineRule="auto"/>
        <w:rPr>
          <w:i/>
          <w:sz w:val="23"/>
          <w:szCs w:val="23"/>
          <w:rtl/>
        </w:rPr>
      </w:pPr>
      <w:r w:rsidRPr="00A62AA2">
        <w:rPr>
          <w:rFonts w:hint="cs"/>
          <w:i/>
          <w:sz w:val="23"/>
          <w:szCs w:val="23"/>
          <w:rtl/>
        </w:rPr>
        <w:t>بدلیل قدرت انحصاری تولیدکننده، شیب</w:t>
      </w:r>
      <w:r w:rsidRPr="00A62AA2">
        <w:rPr>
          <w:rFonts w:hint="cs"/>
          <w:i/>
          <w:sz w:val="23"/>
          <w:szCs w:val="23"/>
          <w:rtl/>
        </w:rPr>
        <w:softHyphen/>
        <w:t>های تابع تقاضا منفی است. توجه داریم اگر چه</w:t>
      </w:r>
      <w:r w:rsidRPr="00025957">
        <w:rPr>
          <w:position w:val="-4"/>
        </w:rPr>
        <w:object w:dxaOrig="520" w:dyaOrig="240" w14:anchorId="1FC3A005">
          <v:shape id="_x0000_i6555" type="#_x0000_t75" style="width:26pt;height:11.5pt" o:ole="">
            <v:imagedata r:id="rId11171" o:title=""/>
          </v:shape>
          <o:OLEObject Type="Embed" ProgID="Equation.DSMT4" ShapeID="_x0000_i6555" DrawAspect="Content" ObjectID="_1791380499" r:id="rId11172"/>
        </w:object>
      </w:r>
      <w:r w:rsidRPr="00A62AA2">
        <w:rPr>
          <w:rFonts w:hint="cs"/>
          <w:i/>
          <w:sz w:val="23"/>
          <w:szCs w:val="23"/>
          <w:rtl/>
        </w:rPr>
        <w:t xml:space="preserve"> برای شاخص</w:t>
      </w:r>
      <w:r w:rsidRPr="00A62AA2">
        <w:rPr>
          <w:rFonts w:hint="cs"/>
          <w:i/>
          <w:sz w:val="23"/>
          <w:szCs w:val="23"/>
          <w:rtl/>
        </w:rPr>
        <w:softHyphen/>
      </w:r>
      <w:r w:rsidRPr="00A62AA2">
        <w:rPr>
          <w:rFonts w:hint="cs"/>
          <w:i/>
          <w:sz w:val="23"/>
          <w:szCs w:val="23"/>
          <w:rtl/>
        </w:rPr>
        <w:softHyphen/>
        <w:t>های قیمت مصرف</w:t>
      </w:r>
      <w:r w:rsidRPr="00A62AA2">
        <w:rPr>
          <w:rFonts w:hint="cs"/>
          <w:i/>
          <w:sz w:val="23"/>
          <w:szCs w:val="23"/>
          <w:rtl/>
        </w:rPr>
        <w:softHyphen/>
        <w:t>کننده بدلیل ترجیحات یکسان مصرف کننده برقرار است، اما برای شاخص تعدیل</w:t>
      </w:r>
      <w:r w:rsidRPr="00A62AA2">
        <w:rPr>
          <w:rFonts w:hint="cs"/>
          <w:i/>
          <w:sz w:val="23"/>
          <w:szCs w:val="23"/>
          <w:rtl/>
        </w:rPr>
        <w:softHyphen/>
        <w:t>کننده</w:t>
      </w:r>
      <w:r w:rsidRPr="00A62AA2">
        <w:rPr>
          <w:rFonts w:hint="cs"/>
          <w:i/>
          <w:sz w:val="23"/>
          <w:szCs w:val="23"/>
          <w:rtl/>
        </w:rPr>
        <w:softHyphen/>
        <w:t xml:space="preserve">ی تولید ملی برقرار نیست مگر آنکه </w:t>
      </w:r>
      <w:r w:rsidRPr="00A62AA2">
        <w:rPr>
          <w:position w:val="-22"/>
        </w:rPr>
        <w:object w:dxaOrig="560" w:dyaOrig="560" w14:anchorId="2EDE983D">
          <v:shape id="_x0000_i6556" type="#_x0000_t75" style="width:27.85pt;height:27.85pt" o:ole="">
            <v:imagedata r:id="rId11173" o:title=""/>
          </v:shape>
          <o:OLEObject Type="Embed" ProgID="Equation.DSMT4" ShapeID="_x0000_i6556" DrawAspect="Content" ObjectID="_1791380500" r:id="rId11174"/>
        </w:object>
      </w:r>
      <w:r w:rsidRPr="00A62AA2">
        <w:rPr>
          <w:rFonts w:hint="cs"/>
          <w:i/>
          <w:sz w:val="23"/>
          <w:szCs w:val="23"/>
          <w:rtl/>
        </w:rPr>
        <w:t xml:space="preserve"> باشد. این نتیجه بخاطر آن است که تولید در دو کشور متفاوت است.</w:t>
      </w:r>
    </w:p>
    <w:p w14:paraId="3DF8029C" w14:textId="77777777" w:rsidR="00556C10" w:rsidRPr="00A62AA2" w:rsidRDefault="00556C10" w:rsidP="00556C10">
      <w:pPr>
        <w:spacing w:line="216" w:lineRule="auto"/>
        <w:rPr>
          <w:i/>
          <w:sz w:val="23"/>
          <w:szCs w:val="23"/>
          <w:rtl/>
        </w:rPr>
      </w:pPr>
      <w:r w:rsidRPr="00A62AA2">
        <w:rPr>
          <w:rFonts w:hint="cs"/>
          <w:i/>
          <w:sz w:val="23"/>
          <w:szCs w:val="23"/>
          <w:rtl/>
        </w:rPr>
        <w:t xml:space="preserve">نهایتاً فرض می شود که </w:t>
      </w:r>
      <w:r w:rsidRPr="00A62AA2">
        <w:rPr>
          <w:position w:val="-6"/>
        </w:rPr>
        <w:object w:dxaOrig="460" w:dyaOrig="260" w14:anchorId="2C832D62">
          <v:shape id="_x0000_i6557" type="#_x0000_t75" style="width:23pt;height:13.3pt" o:ole="">
            <v:imagedata r:id="rId11175" o:title=""/>
          </v:shape>
          <o:OLEObject Type="Embed" ProgID="Equation.DSMT4" ShapeID="_x0000_i6557" DrawAspect="Content" ObjectID="_1791380501" r:id="rId11176"/>
        </w:object>
      </w:r>
      <w:r w:rsidRPr="00A62AA2">
        <w:rPr>
          <w:rFonts w:hint="cs"/>
          <w:i/>
          <w:sz w:val="23"/>
          <w:szCs w:val="23"/>
          <w:rtl/>
        </w:rPr>
        <w:t xml:space="preserve"> برقرار است و بنابراین </w:t>
      </w:r>
    </w:p>
    <w:p w14:paraId="6E88ECDE" w14:textId="77777777" w:rsidR="00556C10" w:rsidRPr="00A62AA2" w:rsidRDefault="00556C10" w:rsidP="00556C10">
      <w:pPr>
        <w:bidi w:val="0"/>
        <w:spacing w:line="216" w:lineRule="auto"/>
        <w:rPr>
          <w:i/>
          <w:sz w:val="23"/>
          <w:szCs w:val="23"/>
          <w:rtl/>
        </w:rPr>
      </w:pPr>
      <w:r w:rsidRPr="00A62AA2">
        <w:rPr>
          <w:rFonts w:hint="cs"/>
          <w:i/>
          <w:sz w:val="23"/>
          <w:szCs w:val="23"/>
          <w:rtl/>
        </w:rPr>
        <w:t xml:space="preserve"> </w:t>
      </w:r>
      <w:r w:rsidRPr="00A62AA2">
        <w:rPr>
          <w:position w:val="-28"/>
        </w:rPr>
        <w:object w:dxaOrig="1900" w:dyaOrig="639" w14:anchorId="3F70DE8B">
          <v:shape id="_x0000_i6558" type="#_x0000_t75" style="width:95pt;height:32.05pt" o:ole="">
            <v:imagedata r:id="rId11177" o:title=""/>
          </v:shape>
          <o:OLEObject Type="Embed" ProgID="Equation.DSMT4" ShapeID="_x0000_i6558" DrawAspect="Content" ObjectID="_1791380502" r:id="rId11178"/>
        </w:object>
      </w:r>
      <w:r w:rsidRPr="00A62AA2">
        <w:rPr>
          <w:rFonts w:hint="cs"/>
          <w:i/>
          <w:sz w:val="23"/>
          <w:szCs w:val="23"/>
          <w:rtl/>
        </w:rPr>
        <w:t xml:space="preserve"> </w:t>
      </w:r>
    </w:p>
    <w:p w14:paraId="15F3E475" w14:textId="77777777" w:rsidR="00556C10" w:rsidRPr="00A62AA2" w:rsidRDefault="00556C10" w:rsidP="00556C10">
      <w:pPr>
        <w:spacing w:line="216" w:lineRule="auto"/>
        <w:rPr>
          <w:i/>
          <w:sz w:val="23"/>
          <w:szCs w:val="23"/>
          <w:rtl/>
        </w:rPr>
      </w:pPr>
      <w:r w:rsidRPr="00A62AA2">
        <w:rPr>
          <w:rFonts w:hint="cs"/>
          <w:i/>
          <w:sz w:val="23"/>
          <w:szCs w:val="23"/>
          <w:rtl/>
        </w:rPr>
        <w:t>و یا نرخ بهره</w:t>
      </w:r>
      <w:r w:rsidRPr="00A62AA2">
        <w:rPr>
          <w:rFonts w:hint="cs"/>
          <w:i/>
          <w:sz w:val="23"/>
          <w:szCs w:val="23"/>
          <w:rtl/>
        </w:rPr>
        <w:softHyphen/>
        <w:t>ی حقیقی</w:t>
      </w:r>
      <w:r w:rsidRPr="00A62AA2">
        <w:rPr>
          <w:i/>
          <w:sz w:val="23"/>
          <w:szCs w:val="23"/>
        </w:rPr>
        <w:t xml:space="preserve"> </w:t>
      </w:r>
      <w:r w:rsidRPr="00A62AA2">
        <w:rPr>
          <w:position w:val="-10"/>
        </w:rPr>
        <w:object w:dxaOrig="180" w:dyaOrig="320" w14:anchorId="68166172">
          <v:shape id="_x0000_i6559" type="#_x0000_t75" style="width:9.1pt;height:15.75pt" o:ole="">
            <v:imagedata r:id="rId11179" o:title=""/>
          </v:shape>
          <o:OLEObject Type="Embed" ProgID="Equation.DSMT4" ShapeID="_x0000_i6559" DrawAspect="Content" ObjectID="_1791380503" r:id="rId11180"/>
        </w:object>
      </w:r>
      <w:r w:rsidRPr="00A62AA2">
        <w:rPr>
          <w:rFonts w:hint="cs"/>
          <w:i/>
          <w:sz w:val="23"/>
          <w:szCs w:val="23"/>
          <w:rtl/>
        </w:rPr>
        <w:t>برابر خواهد بود با</w:t>
      </w:r>
    </w:p>
    <w:p w14:paraId="48900DE2" w14:textId="77777777" w:rsidR="00556C10" w:rsidRPr="00A62AA2" w:rsidRDefault="00556C10" w:rsidP="00556C10">
      <w:pPr>
        <w:bidi w:val="0"/>
        <w:spacing w:line="216" w:lineRule="auto"/>
        <w:rPr>
          <w:i/>
          <w:sz w:val="23"/>
          <w:szCs w:val="23"/>
        </w:rPr>
      </w:pPr>
      <w:r w:rsidRPr="00A62AA2">
        <w:rPr>
          <w:rFonts w:hint="cs"/>
          <w:i/>
          <w:sz w:val="23"/>
          <w:szCs w:val="23"/>
          <w:rtl/>
        </w:rPr>
        <w:lastRenderedPageBreak/>
        <w:t xml:space="preserve"> </w:t>
      </w:r>
      <w:r w:rsidRPr="00A62AA2">
        <w:rPr>
          <w:position w:val="-28"/>
        </w:rPr>
        <w:object w:dxaOrig="5420" w:dyaOrig="660" w14:anchorId="3DA54248">
          <v:shape id="_x0000_i6560" type="#_x0000_t75" style="width:270.45pt;height:32.65pt" o:ole="">
            <v:imagedata r:id="rId11181" o:title=""/>
          </v:shape>
          <o:OLEObject Type="Embed" ProgID="Equation.DSMT4" ShapeID="_x0000_i6560" DrawAspect="Content" ObjectID="_1791380504" r:id="rId11182"/>
        </w:object>
      </w:r>
      <w:r w:rsidRPr="00A62AA2">
        <w:rPr>
          <w:rFonts w:hint="cs"/>
          <w:i/>
          <w:sz w:val="23"/>
          <w:szCs w:val="23"/>
          <w:rtl/>
        </w:rPr>
        <w:t xml:space="preserve"> </w:t>
      </w:r>
    </w:p>
    <w:p w14:paraId="5971657A" w14:textId="77777777" w:rsidR="00556C10" w:rsidRPr="00A62AA2" w:rsidRDefault="00556C10" w:rsidP="00556C10">
      <w:pPr>
        <w:spacing w:line="216" w:lineRule="auto"/>
        <w:rPr>
          <w:i/>
          <w:sz w:val="23"/>
          <w:szCs w:val="23"/>
        </w:rPr>
      </w:pPr>
      <w:r w:rsidRPr="00A62AA2">
        <w:rPr>
          <w:rFonts w:hint="cs"/>
          <w:i/>
          <w:sz w:val="23"/>
          <w:szCs w:val="23"/>
          <w:rtl/>
        </w:rPr>
        <w:t>و لذا برابری نرخ بهره</w:t>
      </w:r>
      <w:r w:rsidRPr="00A62AA2">
        <w:rPr>
          <w:rFonts w:hint="cs"/>
          <w:i/>
          <w:sz w:val="23"/>
          <w:szCs w:val="23"/>
          <w:rtl/>
        </w:rPr>
        <w:softHyphen/>
        <w:t>ی حقیقی وجود دارد.</w:t>
      </w:r>
    </w:p>
    <w:p w14:paraId="6E4ED302" w14:textId="77777777" w:rsidR="00556C10" w:rsidRPr="00A62AA2" w:rsidRDefault="00556C10" w:rsidP="00556C10">
      <w:pPr>
        <w:spacing w:line="216" w:lineRule="auto"/>
        <w:rPr>
          <w:i/>
          <w:sz w:val="23"/>
          <w:szCs w:val="23"/>
          <w:rtl/>
        </w:rPr>
      </w:pPr>
    </w:p>
    <w:p w14:paraId="6101DDD3" w14:textId="77777777" w:rsidR="00556C10" w:rsidRPr="00A62AA2" w:rsidRDefault="00556C10" w:rsidP="00556C10">
      <w:pPr>
        <w:spacing w:line="216" w:lineRule="auto"/>
        <w:rPr>
          <w:bCs/>
          <w:i/>
          <w:sz w:val="23"/>
          <w:szCs w:val="23"/>
          <w:rtl/>
        </w:rPr>
      </w:pPr>
      <w:r w:rsidRPr="00A62AA2">
        <w:rPr>
          <w:rFonts w:hint="cs"/>
          <w:bCs/>
          <w:i/>
          <w:sz w:val="23"/>
          <w:szCs w:val="23"/>
          <w:rtl/>
        </w:rPr>
        <w:t>حداکثرسازی فردی</w:t>
      </w:r>
    </w:p>
    <w:p w14:paraId="1FA7C949" w14:textId="77777777" w:rsidR="00556C10" w:rsidRPr="00A62AA2" w:rsidRDefault="00556C10" w:rsidP="00556C10">
      <w:pPr>
        <w:spacing w:line="216" w:lineRule="auto"/>
        <w:rPr>
          <w:i/>
          <w:sz w:val="23"/>
          <w:szCs w:val="23"/>
          <w:rtl/>
        </w:rPr>
      </w:pPr>
      <w:r w:rsidRPr="00A62AA2">
        <w:rPr>
          <w:rFonts w:hint="cs"/>
          <w:i/>
          <w:sz w:val="23"/>
          <w:szCs w:val="23"/>
          <w:rtl/>
        </w:rPr>
        <w:t>مسئله</w:t>
      </w:r>
      <w:r w:rsidRPr="00A62AA2">
        <w:rPr>
          <w:rFonts w:hint="cs"/>
          <w:i/>
          <w:sz w:val="23"/>
          <w:szCs w:val="23"/>
          <w:rtl/>
        </w:rPr>
        <w:softHyphen/>
        <w:t>ی خانوار حداکثرسازی مطلوبیت بین دوره</w:t>
      </w:r>
      <w:r w:rsidRPr="00A62AA2">
        <w:rPr>
          <w:rFonts w:hint="cs"/>
          <w:i/>
          <w:sz w:val="23"/>
          <w:szCs w:val="23"/>
          <w:rtl/>
        </w:rPr>
        <w:softHyphen/>
        <w:t>ای معادله</w:t>
      </w:r>
      <w:r w:rsidRPr="00A62AA2">
        <w:rPr>
          <w:rFonts w:hint="cs"/>
          <w:i/>
          <w:sz w:val="23"/>
          <w:szCs w:val="23"/>
          <w:rtl/>
        </w:rPr>
        <w:softHyphen/>
        <w:t>ی (۱۳. ۲۴) نسبت به قیود بودجه</w:t>
      </w:r>
      <w:r w:rsidRPr="00A62AA2">
        <w:rPr>
          <w:rFonts w:hint="cs"/>
          <w:i/>
          <w:sz w:val="23"/>
          <w:szCs w:val="23"/>
          <w:rtl/>
        </w:rPr>
        <w:softHyphen/>
        <w:t>ی خانوار و دولت یا معادلات (۱۳. ۲۸) و (۱۳. ۳۰)، و تقاضای کل یا معادله</w:t>
      </w:r>
      <w:r w:rsidRPr="00A62AA2">
        <w:rPr>
          <w:rFonts w:hint="cs"/>
          <w:i/>
          <w:sz w:val="23"/>
          <w:szCs w:val="23"/>
          <w:rtl/>
        </w:rPr>
        <w:softHyphen/>
        <w:t xml:space="preserve">ی (۱۳. ۳۳) و بر حسب متغیرهای </w:t>
      </w:r>
      <w:r w:rsidRPr="00A62AA2">
        <w:rPr>
          <w:position w:val="-14"/>
        </w:rPr>
        <w:object w:dxaOrig="2160" w:dyaOrig="400" w14:anchorId="07ECA544">
          <v:shape id="_x0000_i6561" type="#_x0000_t75" style="width:108.3pt;height:19.95pt" o:ole="">
            <v:imagedata r:id="rId11183" o:title=""/>
          </v:shape>
          <o:OLEObject Type="Embed" ProgID="Equation.DSMT4" ShapeID="_x0000_i6561" DrawAspect="Content" ObjectID="_1791380505" r:id="rId11184"/>
        </w:object>
      </w:r>
      <w:r w:rsidRPr="00A62AA2">
        <w:rPr>
          <w:rFonts w:hint="cs"/>
          <w:i/>
          <w:sz w:val="23"/>
          <w:szCs w:val="23"/>
          <w:rtl/>
        </w:rPr>
        <w:t xml:space="preserve"> است و تقاضای کل دنیا</w:t>
      </w:r>
      <w:r w:rsidRPr="00A62AA2">
        <w:rPr>
          <w:position w:val="-10"/>
        </w:rPr>
        <w:object w:dxaOrig="780" w:dyaOrig="340" w14:anchorId="1C8CE4C4">
          <v:shape id="_x0000_i6562" type="#_x0000_t75" style="width:39.35pt;height:16.95pt" o:ole="">
            <v:imagedata r:id="rId11185" o:title=""/>
          </v:shape>
          <o:OLEObject Type="Embed" ProgID="Equation.DSMT4" ShapeID="_x0000_i6562" DrawAspect="Content" ObjectID="_1791380506" r:id="rId11186"/>
        </w:object>
      </w:r>
      <w:r w:rsidRPr="00A62AA2">
        <w:rPr>
          <w:rFonts w:hint="cs"/>
          <w:i/>
          <w:sz w:val="23"/>
          <w:szCs w:val="23"/>
          <w:rtl/>
        </w:rPr>
        <w:t xml:space="preserve"> داده شده می</w:t>
      </w:r>
      <w:r w:rsidRPr="00A62AA2">
        <w:rPr>
          <w:rFonts w:hint="cs"/>
          <w:i/>
          <w:sz w:val="23"/>
          <w:szCs w:val="23"/>
          <w:rtl/>
        </w:rPr>
        <w:softHyphen/>
        <w:t>باشد. خانوار خارجی نیز با مسئله</w:t>
      </w:r>
      <w:r w:rsidRPr="00A62AA2">
        <w:rPr>
          <w:rFonts w:hint="cs"/>
          <w:i/>
          <w:sz w:val="23"/>
          <w:szCs w:val="23"/>
          <w:rtl/>
        </w:rPr>
        <w:softHyphen/>
        <w:t xml:space="preserve">ای مشابه روبرو است. </w:t>
      </w:r>
    </w:p>
    <w:p w14:paraId="02E1C300" w14:textId="77777777" w:rsidR="00556C10" w:rsidRPr="00A62AA2" w:rsidRDefault="00556C10" w:rsidP="00556C10">
      <w:pPr>
        <w:spacing w:line="216" w:lineRule="auto"/>
        <w:rPr>
          <w:i/>
          <w:sz w:val="23"/>
          <w:szCs w:val="23"/>
          <w:rtl/>
        </w:rPr>
      </w:pPr>
      <w:r w:rsidRPr="00A62AA2">
        <w:rPr>
          <w:rFonts w:hint="cs"/>
          <w:i/>
          <w:sz w:val="23"/>
          <w:szCs w:val="23"/>
          <w:rtl/>
        </w:rPr>
        <w:t>قید بودجه</w:t>
      </w:r>
      <w:r w:rsidRPr="00A62AA2">
        <w:rPr>
          <w:rFonts w:hint="cs"/>
          <w:i/>
          <w:sz w:val="23"/>
          <w:szCs w:val="23"/>
          <w:rtl/>
        </w:rPr>
        <w:softHyphen/>
        <w:t>ی داخلی را می</w:t>
      </w:r>
      <w:r w:rsidRPr="00A62AA2">
        <w:rPr>
          <w:rFonts w:hint="cs"/>
          <w:i/>
          <w:sz w:val="23"/>
          <w:szCs w:val="23"/>
          <w:rtl/>
        </w:rPr>
        <w:softHyphen/>
        <w:t>توان با حذف</w:t>
      </w:r>
      <w:r w:rsidRPr="00A62AA2">
        <w:rPr>
          <w:position w:val="-12"/>
        </w:rPr>
        <w:object w:dxaOrig="499" w:dyaOrig="360" w14:anchorId="6430FC7B">
          <v:shape id="_x0000_i6563" type="#_x0000_t75" style="width:24.8pt;height:18.15pt" o:ole="">
            <v:imagedata r:id="rId11187" o:title=""/>
          </v:shape>
          <o:OLEObject Type="Embed" ProgID="Equation.DSMT4" ShapeID="_x0000_i6563" DrawAspect="Content" ObjectID="_1791380507" r:id="rId11188"/>
        </w:object>
      </w:r>
      <w:r w:rsidRPr="00A62AA2">
        <w:rPr>
          <w:rFonts w:hint="cs"/>
          <w:i/>
          <w:sz w:val="23"/>
          <w:szCs w:val="23"/>
          <w:rtl/>
        </w:rPr>
        <w:t xml:space="preserve"> و</w:t>
      </w:r>
      <w:r w:rsidRPr="00A62AA2">
        <w:rPr>
          <w:position w:val="-12"/>
        </w:rPr>
        <w:object w:dxaOrig="600" w:dyaOrig="360" w14:anchorId="4652ED40">
          <v:shape id="_x0000_i6564" type="#_x0000_t75" style="width:29.65pt;height:18.15pt" o:ole="">
            <v:imagedata r:id="rId11189" o:title=""/>
          </v:shape>
          <o:OLEObject Type="Embed" ProgID="Equation.DSMT4" ShapeID="_x0000_i6564" DrawAspect="Content" ObjectID="_1791380508" r:id="rId11190"/>
        </w:object>
      </w:r>
      <w:r w:rsidRPr="00A62AA2">
        <w:rPr>
          <w:rFonts w:hint="cs"/>
          <w:i/>
          <w:sz w:val="23"/>
          <w:szCs w:val="23"/>
          <w:rtl/>
        </w:rPr>
        <w:t xml:space="preserve"> ساده کرد. لذا </w:t>
      </w:r>
    </w:p>
    <w:p w14:paraId="2A02836F" w14:textId="77777777" w:rsidR="00556C10" w:rsidRPr="00A62AA2" w:rsidRDefault="00556C10" w:rsidP="00556C10">
      <w:pPr>
        <w:bidi w:val="0"/>
        <w:spacing w:line="216" w:lineRule="auto"/>
        <w:rPr>
          <w:i/>
          <w:sz w:val="23"/>
          <w:szCs w:val="23"/>
          <w:rtl/>
        </w:rPr>
      </w:pPr>
      <w:r w:rsidRPr="00A62AA2">
        <w:rPr>
          <w:position w:val="-34"/>
        </w:rPr>
        <w:object w:dxaOrig="4520" w:dyaOrig="780" w14:anchorId="76647FAC">
          <v:shape id="_x0000_i6565" type="#_x0000_t75" style="width:226.3pt;height:39.35pt" o:ole="">
            <v:imagedata r:id="rId11191" o:title=""/>
          </v:shape>
          <o:OLEObject Type="Embed" ProgID="Equation.DSMT4" ShapeID="_x0000_i6565" DrawAspect="Content" ObjectID="_1791380509" r:id="rId11192"/>
        </w:object>
      </w:r>
      <w:r w:rsidRPr="00A62AA2">
        <w:rPr>
          <w:rFonts w:hint="cs"/>
          <w:i/>
          <w:sz w:val="23"/>
          <w:szCs w:val="23"/>
          <w:rtl/>
        </w:rPr>
        <w:tab/>
      </w:r>
      <w:r w:rsidRPr="00A62AA2">
        <w:rPr>
          <w:rFonts w:hint="cs"/>
          <w:i/>
          <w:sz w:val="23"/>
          <w:szCs w:val="23"/>
          <w:rtl/>
        </w:rPr>
        <w:tab/>
      </w:r>
      <w:r w:rsidRPr="00A62AA2">
        <w:rPr>
          <w:i/>
          <w:sz w:val="23"/>
          <w:szCs w:val="23"/>
        </w:rPr>
        <w:tab/>
      </w:r>
      <w:r>
        <w:rPr>
          <w:i/>
          <w:sz w:val="23"/>
          <w:szCs w:val="23"/>
          <w:rtl/>
        </w:rPr>
        <w:tab/>
      </w:r>
      <w:r w:rsidRPr="00A62AA2">
        <w:rPr>
          <w:i/>
          <w:sz w:val="23"/>
          <w:szCs w:val="23"/>
        </w:rPr>
        <w:tab/>
      </w:r>
      <w:r w:rsidRPr="00A62AA2">
        <w:rPr>
          <w:rFonts w:hint="cs"/>
          <w:i/>
          <w:sz w:val="23"/>
          <w:szCs w:val="23"/>
          <w:rtl/>
        </w:rPr>
        <w:tab/>
        <w:t xml:space="preserve">(۱۳. </w:t>
      </w:r>
      <w:r w:rsidRPr="00A62AA2">
        <w:rPr>
          <w:rFonts w:ascii="NPIZar" w:hAnsi="NPIZar"/>
          <w:i/>
          <w:sz w:val="23"/>
          <w:szCs w:val="23"/>
          <w:rtl/>
        </w:rPr>
        <w:t>3</w:t>
      </w:r>
      <w:r w:rsidRPr="00A62AA2">
        <w:rPr>
          <w:rFonts w:hint="cs"/>
          <w:i/>
          <w:sz w:val="23"/>
          <w:szCs w:val="23"/>
          <w:rtl/>
        </w:rPr>
        <w:t>۴)</w:t>
      </w:r>
      <w:r w:rsidRPr="00A62AA2">
        <w:rPr>
          <w:i/>
          <w:sz w:val="23"/>
          <w:szCs w:val="23"/>
        </w:rPr>
        <w:t xml:space="preserve"> </w:t>
      </w:r>
    </w:p>
    <w:p w14:paraId="3D790827" w14:textId="77777777" w:rsidR="00556C10" w:rsidRPr="00A62AA2" w:rsidRDefault="00556C10" w:rsidP="00556C10">
      <w:pPr>
        <w:spacing w:line="216" w:lineRule="auto"/>
        <w:rPr>
          <w:i/>
          <w:sz w:val="23"/>
          <w:szCs w:val="23"/>
          <w:rtl/>
        </w:rPr>
      </w:pPr>
      <w:r w:rsidRPr="00A62AA2">
        <w:rPr>
          <w:rFonts w:hint="cs"/>
          <w:i/>
          <w:sz w:val="23"/>
          <w:szCs w:val="23"/>
          <w:rtl/>
        </w:rPr>
        <w:t>لاگرانژین این مسئله برای خانوار داخلی را می</w:t>
      </w:r>
      <w:r w:rsidRPr="00A62AA2">
        <w:rPr>
          <w:rFonts w:hint="cs"/>
          <w:i/>
          <w:sz w:val="23"/>
          <w:szCs w:val="23"/>
          <w:rtl/>
        </w:rPr>
        <w:softHyphen/>
        <w:t>توان به صورت زیر نوشت</w:t>
      </w:r>
    </w:p>
    <w:p w14:paraId="673A8DF1" w14:textId="77777777" w:rsidR="00556C10" w:rsidRPr="00A62AA2" w:rsidRDefault="00556C10" w:rsidP="00556C10">
      <w:pPr>
        <w:bidi w:val="0"/>
        <w:spacing w:line="216" w:lineRule="auto"/>
        <w:rPr>
          <w:i/>
          <w:sz w:val="23"/>
          <w:szCs w:val="23"/>
          <w:rtl/>
        </w:rPr>
      </w:pPr>
      <w:r w:rsidRPr="00A62AA2">
        <w:rPr>
          <w:position w:val="-82"/>
        </w:rPr>
        <w:object w:dxaOrig="5740" w:dyaOrig="1740" w14:anchorId="0882D802">
          <v:shape id="_x0000_i6566" type="#_x0000_t75" style="width:286.8pt;height:87.15pt" o:ole="">
            <v:imagedata r:id="rId11193" o:title=""/>
          </v:shape>
          <o:OLEObject Type="Embed" ProgID="Equation.DSMT4" ShapeID="_x0000_i6566" DrawAspect="Content" ObjectID="_1791380510" r:id="rId11194"/>
        </w:object>
      </w:r>
    </w:p>
    <w:p w14:paraId="4C644538" w14:textId="77777777" w:rsidR="00556C10" w:rsidRPr="00A62AA2" w:rsidRDefault="00556C10" w:rsidP="00556C10">
      <w:pPr>
        <w:spacing w:line="216" w:lineRule="auto"/>
        <w:rPr>
          <w:i/>
          <w:sz w:val="23"/>
          <w:szCs w:val="23"/>
          <w:rtl/>
        </w:rPr>
      </w:pPr>
      <w:r w:rsidRPr="00A62AA2">
        <w:rPr>
          <w:rFonts w:hint="cs"/>
          <w:i/>
          <w:sz w:val="23"/>
          <w:szCs w:val="23"/>
          <w:rtl/>
        </w:rPr>
        <w:t>شرایط مرتبه اول عبارتند از</w:t>
      </w:r>
    </w:p>
    <w:p w14:paraId="3DC05A0C" w14:textId="77777777" w:rsidR="00556C10" w:rsidRPr="00A62AA2" w:rsidRDefault="00556C10" w:rsidP="00556C10">
      <w:pPr>
        <w:bidi w:val="0"/>
        <w:spacing w:line="216" w:lineRule="auto"/>
        <w:rPr>
          <w:i/>
          <w:sz w:val="23"/>
          <w:szCs w:val="23"/>
          <w:rtl/>
        </w:rPr>
      </w:pPr>
      <w:r w:rsidRPr="00A62AA2">
        <w:rPr>
          <w:position w:val="-30"/>
        </w:rPr>
        <w:object w:dxaOrig="3280" w:dyaOrig="639" w14:anchorId="1EA57535">
          <v:shape id="_x0000_i6567" type="#_x0000_t75" style="width:163.95pt;height:32.05pt" o:ole="">
            <v:imagedata r:id="rId11195" o:title=""/>
          </v:shape>
          <o:OLEObject Type="Embed" ProgID="Equation.DSMT4" ShapeID="_x0000_i6567" DrawAspect="Content" ObjectID="_1791380511" r:id="rId11196"/>
        </w:object>
      </w:r>
      <w:r w:rsidRPr="00A62AA2">
        <w:rPr>
          <w:rFonts w:hint="cs"/>
          <w:i/>
          <w:sz w:val="23"/>
          <w:szCs w:val="23"/>
          <w:rtl/>
        </w:rPr>
        <w:t xml:space="preserve"> </w:t>
      </w:r>
    </w:p>
    <w:p w14:paraId="174B5CFF" w14:textId="77777777" w:rsidR="00556C10" w:rsidRPr="00A62AA2" w:rsidRDefault="00556C10" w:rsidP="00556C10">
      <w:pPr>
        <w:bidi w:val="0"/>
        <w:spacing w:line="216" w:lineRule="auto"/>
        <w:rPr>
          <w:i/>
          <w:sz w:val="23"/>
          <w:szCs w:val="23"/>
        </w:rPr>
      </w:pPr>
      <w:r w:rsidRPr="00A62AA2">
        <w:rPr>
          <w:position w:val="-30"/>
        </w:rPr>
        <w:object w:dxaOrig="6700" w:dyaOrig="639" w14:anchorId="4C8E39BC">
          <v:shape id="_x0000_i6568" type="#_x0000_t75" style="width:335.2pt;height:32.05pt" o:ole="">
            <v:imagedata r:id="rId11197" o:title=""/>
          </v:shape>
          <o:OLEObject Type="Embed" ProgID="Equation.DSMT4" ShapeID="_x0000_i6568" DrawAspect="Content" ObjectID="_1791380512" r:id="rId11198"/>
        </w:object>
      </w:r>
    </w:p>
    <w:p w14:paraId="413B65EC" w14:textId="77777777" w:rsidR="00556C10" w:rsidRPr="00A62AA2" w:rsidRDefault="00556C10" w:rsidP="00556C10">
      <w:pPr>
        <w:bidi w:val="0"/>
        <w:spacing w:line="216" w:lineRule="auto"/>
        <w:rPr>
          <w:i/>
          <w:sz w:val="23"/>
          <w:szCs w:val="23"/>
        </w:rPr>
      </w:pPr>
      <w:r w:rsidRPr="00A62AA2">
        <w:rPr>
          <w:position w:val="-30"/>
        </w:rPr>
        <w:object w:dxaOrig="3960" w:dyaOrig="700" w14:anchorId="0749C614">
          <v:shape id="_x0000_i6569" type="#_x0000_t75" style="width:198.45pt;height:35.1pt" o:ole="">
            <v:imagedata r:id="rId11199" o:title=""/>
          </v:shape>
          <o:OLEObject Type="Embed" ProgID="Equation.DSMT4" ShapeID="_x0000_i6569" DrawAspect="Content" ObjectID="_1791380513" r:id="rId11200"/>
        </w:object>
      </w:r>
    </w:p>
    <w:p w14:paraId="1EC1ECEC" w14:textId="77777777" w:rsidR="00556C10" w:rsidRPr="00A62AA2" w:rsidRDefault="00556C10" w:rsidP="00556C10">
      <w:pPr>
        <w:bidi w:val="0"/>
        <w:spacing w:line="216" w:lineRule="auto"/>
        <w:rPr>
          <w:i/>
          <w:sz w:val="23"/>
          <w:szCs w:val="23"/>
        </w:rPr>
      </w:pPr>
      <w:r w:rsidRPr="00A62AA2">
        <w:rPr>
          <w:position w:val="-30"/>
        </w:rPr>
        <w:object w:dxaOrig="3700" w:dyaOrig="639" w14:anchorId="3440AC82">
          <v:shape id="_x0000_i6570" type="#_x0000_t75" style="width:184.55pt;height:32.05pt" o:ole="">
            <v:imagedata r:id="rId11201" o:title=""/>
          </v:shape>
          <o:OLEObject Type="Embed" ProgID="Equation.DSMT4" ShapeID="_x0000_i6570" DrawAspect="Content" ObjectID="_1791380514" r:id="rId11202"/>
        </w:object>
      </w:r>
    </w:p>
    <w:p w14:paraId="10AAD994" w14:textId="77777777" w:rsidR="00556C10" w:rsidRPr="00A62AA2" w:rsidRDefault="00556C10" w:rsidP="00556C10">
      <w:pPr>
        <w:spacing w:line="216" w:lineRule="auto"/>
        <w:rPr>
          <w:i/>
          <w:sz w:val="23"/>
          <w:szCs w:val="23"/>
          <w:rtl/>
        </w:rPr>
      </w:pPr>
      <w:r w:rsidRPr="00A62AA2">
        <w:rPr>
          <w:rFonts w:hint="cs"/>
          <w:i/>
          <w:sz w:val="23"/>
          <w:szCs w:val="23"/>
          <w:rtl/>
        </w:rPr>
        <w:t>و بر اساس آن</w:t>
      </w:r>
      <w:r w:rsidRPr="00A62AA2">
        <w:rPr>
          <w:i/>
          <w:sz w:val="23"/>
          <w:szCs w:val="23"/>
        </w:rPr>
        <w:t xml:space="preserve"> </w:t>
      </w:r>
      <w:r w:rsidRPr="00A62AA2">
        <w:rPr>
          <w:rFonts w:hint="cs"/>
          <w:i/>
          <w:sz w:val="23"/>
          <w:szCs w:val="23"/>
          <w:rtl/>
        </w:rPr>
        <w:t xml:space="preserve">ها </w:t>
      </w:r>
    </w:p>
    <w:p w14:paraId="0569ACF4" w14:textId="77777777" w:rsidR="00556C10" w:rsidRPr="00A62AA2" w:rsidRDefault="00556C10" w:rsidP="00556C10">
      <w:pPr>
        <w:bidi w:val="0"/>
        <w:spacing w:line="216" w:lineRule="auto"/>
        <w:rPr>
          <w:i/>
          <w:sz w:val="23"/>
          <w:szCs w:val="23"/>
          <w:rtl/>
        </w:rPr>
      </w:pPr>
      <w:r w:rsidRPr="00A62AA2">
        <w:rPr>
          <w:rFonts w:hint="cs"/>
          <w:i/>
          <w:sz w:val="23"/>
          <w:szCs w:val="23"/>
          <w:rtl/>
        </w:rPr>
        <w:t xml:space="preserve"> </w:t>
      </w:r>
      <w:r w:rsidRPr="00A62AA2">
        <w:rPr>
          <w:position w:val="-28"/>
        </w:rPr>
        <w:object w:dxaOrig="1460" w:dyaOrig="680" w14:anchorId="3026B664">
          <v:shape id="_x0000_i6571" type="#_x0000_t75" style="width:72.6pt;height:33.9pt" o:ole="">
            <v:imagedata r:id="rId11203" o:title=""/>
          </v:shape>
          <o:OLEObject Type="Embed" ProgID="Equation.DSMT4" ShapeID="_x0000_i6571" DrawAspect="Content" ObjectID="_1791380515" r:id="rId11204"/>
        </w:object>
      </w:r>
      <w:r w:rsidRPr="00A62AA2">
        <w:rPr>
          <w:rFonts w:hint="cs"/>
          <w:i/>
          <w:sz w:val="23"/>
          <w:szCs w:val="23"/>
          <w:rtl/>
        </w:rPr>
        <w:t xml:space="preserve"> </w:t>
      </w:r>
    </w:p>
    <w:p w14:paraId="421CCA3B" w14:textId="77777777" w:rsidR="00556C10" w:rsidRPr="00A62AA2" w:rsidRDefault="00556C10" w:rsidP="00556C10">
      <w:pPr>
        <w:bidi w:val="0"/>
        <w:spacing w:line="216" w:lineRule="auto"/>
        <w:rPr>
          <w:i/>
          <w:sz w:val="23"/>
          <w:szCs w:val="23"/>
        </w:rPr>
      </w:pPr>
      <w:r w:rsidRPr="00A62AA2">
        <w:rPr>
          <w:position w:val="-30"/>
        </w:rPr>
        <w:object w:dxaOrig="1640" w:dyaOrig="740" w14:anchorId="582FF8E3">
          <v:shape id="_x0000_i6572" type="#_x0000_t75" style="width:82.3pt;height:36.9pt" o:ole="">
            <v:imagedata r:id="rId11205" o:title=""/>
          </v:shape>
          <o:OLEObject Type="Embed" ProgID="Equation.DSMT4" ShapeID="_x0000_i6572" DrawAspect="Content" ObjectID="_1791380516" r:id="rId11206"/>
        </w:object>
      </w:r>
    </w:p>
    <w:p w14:paraId="65871F1C" w14:textId="77777777" w:rsidR="00556C10" w:rsidRPr="00A62AA2" w:rsidRDefault="00556C10" w:rsidP="00556C10">
      <w:pPr>
        <w:bidi w:val="0"/>
        <w:spacing w:line="216" w:lineRule="auto"/>
        <w:rPr>
          <w:i/>
          <w:sz w:val="23"/>
          <w:szCs w:val="23"/>
        </w:rPr>
      </w:pPr>
      <w:r w:rsidRPr="00A62AA2">
        <w:rPr>
          <w:position w:val="-26"/>
        </w:rPr>
        <w:object w:dxaOrig="3100" w:dyaOrig="600" w14:anchorId="436BFF25">
          <v:shape id="_x0000_i6573" type="#_x0000_t75" style="width:154.9pt;height:29.65pt" o:ole="">
            <v:imagedata r:id="rId11207" o:title=""/>
          </v:shape>
          <o:OLEObject Type="Embed" ProgID="Equation.DSMT4" ShapeID="_x0000_i6573" DrawAspect="Content" ObjectID="_1791380517" r:id="rId11208"/>
        </w:object>
      </w:r>
    </w:p>
    <w:p w14:paraId="0BC161AC" w14:textId="77777777" w:rsidR="00556C10" w:rsidRPr="00A62AA2" w:rsidRDefault="00556C10" w:rsidP="00556C10">
      <w:pPr>
        <w:spacing w:line="216" w:lineRule="auto"/>
        <w:rPr>
          <w:i/>
          <w:sz w:val="23"/>
          <w:szCs w:val="23"/>
          <w:rtl/>
        </w:rPr>
      </w:pPr>
      <w:r w:rsidRPr="00A62AA2">
        <w:rPr>
          <w:rFonts w:hint="cs"/>
          <w:i/>
          <w:sz w:val="23"/>
          <w:szCs w:val="23"/>
          <w:rtl/>
        </w:rPr>
        <w:t>بطور مشابه برای کشور خارجی داریم</w:t>
      </w:r>
    </w:p>
    <w:p w14:paraId="14CCB790" w14:textId="77777777" w:rsidR="00556C10" w:rsidRPr="00A62AA2" w:rsidRDefault="00556C10" w:rsidP="00556C10">
      <w:pPr>
        <w:bidi w:val="0"/>
        <w:spacing w:line="216" w:lineRule="auto"/>
        <w:rPr>
          <w:i/>
          <w:sz w:val="23"/>
          <w:szCs w:val="23"/>
          <w:rtl/>
        </w:rPr>
      </w:pPr>
      <w:r w:rsidRPr="00A62AA2">
        <w:rPr>
          <w:rFonts w:hint="cs"/>
          <w:i/>
          <w:sz w:val="23"/>
          <w:szCs w:val="23"/>
          <w:rtl/>
        </w:rPr>
        <w:t xml:space="preserve"> </w:t>
      </w:r>
      <w:r w:rsidRPr="00A62AA2">
        <w:rPr>
          <w:position w:val="-28"/>
        </w:rPr>
        <w:object w:dxaOrig="1480" w:dyaOrig="680" w14:anchorId="212810C0">
          <v:shape id="_x0000_i6574" type="#_x0000_t75" style="width:73.8pt;height:33.9pt" o:ole="">
            <v:imagedata r:id="rId11209" o:title=""/>
          </v:shape>
          <o:OLEObject Type="Embed" ProgID="Equation.DSMT4" ShapeID="_x0000_i6574" DrawAspect="Content" ObjectID="_1791380518" r:id="rId11210"/>
        </w:object>
      </w:r>
      <w:r w:rsidRPr="00A62AA2">
        <w:rPr>
          <w:rFonts w:hint="cs"/>
          <w:i/>
          <w:sz w:val="23"/>
          <w:szCs w:val="23"/>
          <w:rtl/>
        </w:rPr>
        <w:t xml:space="preserve"> </w:t>
      </w:r>
    </w:p>
    <w:p w14:paraId="0CAACC02" w14:textId="77777777" w:rsidR="00556C10" w:rsidRPr="00A62AA2" w:rsidRDefault="00556C10" w:rsidP="00556C10">
      <w:pPr>
        <w:bidi w:val="0"/>
        <w:spacing w:line="216" w:lineRule="auto"/>
        <w:rPr>
          <w:i/>
          <w:sz w:val="23"/>
          <w:szCs w:val="23"/>
        </w:rPr>
      </w:pPr>
      <w:r w:rsidRPr="00A62AA2">
        <w:rPr>
          <w:position w:val="-30"/>
        </w:rPr>
        <w:object w:dxaOrig="1640" w:dyaOrig="740" w14:anchorId="19175538">
          <v:shape id="_x0000_i6575" type="#_x0000_t75" style="width:82.3pt;height:36.9pt" o:ole="">
            <v:imagedata r:id="rId11211" o:title=""/>
          </v:shape>
          <o:OLEObject Type="Embed" ProgID="Equation.DSMT4" ShapeID="_x0000_i6575" DrawAspect="Content" ObjectID="_1791380519" r:id="rId11212"/>
        </w:object>
      </w:r>
    </w:p>
    <w:p w14:paraId="0F612127" w14:textId="77777777" w:rsidR="00556C10" w:rsidRPr="00A62AA2" w:rsidRDefault="00556C10" w:rsidP="00556C10">
      <w:pPr>
        <w:bidi w:val="0"/>
        <w:spacing w:line="216" w:lineRule="auto"/>
        <w:rPr>
          <w:i/>
          <w:sz w:val="23"/>
          <w:szCs w:val="23"/>
        </w:rPr>
      </w:pPr>
      <w:r w:rsidRPr="00A62AA2">
        <w:rPr>
          <w:position w:val="-26"/>
        </w:rPr>
        <w:object w:dxaOrig="3180" w:dyaOrig="600" w14:anchorId="2F2CF30D">
          <v:shape id="_x0000_i6576" type="#_x0000_t75" style="width:159.15pt;height:29.65pt" o:ole="">
            <v:imagedata r:id="rId11213" o:title=""/>
          </v:shape>
          <o:OLEObject Type="Embed" ProgID="Equation.DSMT4" ShapeID="_x0000_i6576" DrawAspect="Content" ObjectID="_1791380520" r:id="rId11214"/>
        </w:object>
      </w:r>
    </w:p>
    <w:p w14:paraId="1C418008" w14:textId="77777777" w:rsidR="00556C10" w:rsidRPr="00A62AA2" w:rsidRDefault="00556C10" w:rsidP="00556C10">
      <w:pPr>
        <w:spacing w:line="216" w:lineRule="auto"/>
        <w:rPr>
          <w:i/>
          <w:sz w:val="23"/>
          <w:szCs w:val="23"/>
          <w:rtl/>
        </w:rPr>
      </w:pPr>
      <w:r w:rsidRPr="00A62AA2">
        <w:rPr>
          <w:rFonts w:hint="cs"/>
          <w:i/>
          <w:sz w:val="23"/>
          <w:szCs w:val="23"/>
          <w:rtl/>
        </w:rPr>
        <w:t>معادله</w:t>
      </w:r>
      <w:r w:rsidRPr="00A62AA2">
        <w:rPr>
          <w:rFonts w:hint="cs"/>
          <w:i/>
          <w:sz w:val="23"/>
          <w:szCs w:val="23"/>
          <w:rtl/>
        </w:rPr>
        <w:softHyphen/>
        <w:t>ی اویلر مصرف همانند توابع تقاضا برای پول برای ما شناخته</w:t>
      </w:r>
      <w:r w:rsidRPr="00A62AA2">
        <w:rPr>
          <w:rFonts w:hint="cs"/>
          <w:i/>
          <w:sz w:val="23"/>
          <w:szCs w:val="23"/>
          <w:rtl/>
        </w:rPr>
        <w:softHyphen/>
        <w:t>اند. معادلات تولید این واقعیت را نشان می</w:t>
      </w:r>
      <w:r w:rsidRPr="00A62AA2">
        <w:rPr>
          <w:rFonts w:hint="cs"/>
          <w:i/>
          <w:sz w:val="23"/>
          <w:szCs w:val="23"/>
          <w:rtl/>
        </w:rPr>
        <w:softHyphen/>
        <w:t>دهند که مطلوبیت نهایی یک واحد اضافه تولید برابر است با عدم مطلوبیت نهایی زیان فراغت برای تولید آن. اگر کالاها جانشین کامل باشند و بنابراین</w:t>
      </w:r>
      <w:r w:rsidRPr="00A62AA2">
        <w:rPr>
          <w:position w:val="-6"/>
        </w:rPr>
        <w:object w:dxaOrig="680" w:dyaOrig="220" w14:anchorId="6A750BEB">
          <v:shape id="_x0000_i6577" type="#_x0000_t75" style="width:33.9pt;height:10.9pt" o:ole="">
            <v:imagedata r:id="rId11215" o:title=""/>
          </v:shape>
          <o:OLEObject Type="Embed" ProgID="Equation.DSMT4" ShapeID="_x0000_i6577" DrawAspect="Content" ObjectID="_1791380521" r:id="rId11216"/>
        </w:object>
      </w:r>
      <w:r w:rsidRPr="00A62AA2">
        <w:rPr>
          <w:rFonts w:hint="cs"/>
          <w:i/>
          <w:sz w:val="23"/>
          <w:szCs w:val="23"/>
          <w:rtl/>
        </w:rPr>
        <w:t xml:space="preserve"> میل کند، معادله</w:t>
      </w:r>
      <w:r w:rsidRPr="00A62AA2">
        <w:rPr>
          <w:rFonts w:hint="cs"/>
          <w:i/>
          <w:sz w:val="23"/>
          <w:szCs w:val="23"/>
          <w:rtl/>
        </w:rPr>
        <w:softHyphen/>
        <w:t xml:space="preserve">ی تولید خانگی برابر خواهد بود با </w:t>
      </w:r>
    </w:p>
    <w:p w14:paraId="17D9627D" w14:textId="77777777" w:rsidR="00556C10" w:rsidRPr="00A62AA2" w:rsidRDefault="00556C10" w:rsidP="00556C10">
      <w:pPr>
        <w:bidi w:val="0"/>
        <w:spacing w:line="216" w:lineRule="auto"/>
        <w:rPr>
          <w:i/>
          <w:sz w:val="23"/>
          <w:szCs w:val="23"/>
          <w:rtl/>
        </w:rPr>
      </w:pPr>
      <w:r w:rsidRPr="00A62AA2">
        <w:rPr>
          <w:position w:val="-28"/>
        </w:rPr>
        <w:object w:dxaOrig="2120" w:dyaOrig="620" w14:anchorId="27571A2D">
          <v:shape id="_x0000_i6578" type="#_x0000_t75" style="width:105.9pt;height:30.85pt" o:ole="">
            <v:imagedata r:id="rId11217" o:title=""/>
          </v:shape>
          <o:OLEObject Type="Embed" ProgID="Equation.DSMT4" ShapeID="_x0000_i6578" DrawAspect="Content" ObjectID="_1791380522" r:id="rId11218"/>
        </w:object>
      </w:r>
    </w:p>
    <w:p w14:paraId="09A41601" w14:textId="77777777" w:rsidR="00556C10" w:rsidRPr="00A62AA2" w:rsidRDefault="00556C10" w:rsidP="00556C10">
      <w:pPr>
        <w:spacing w:line="216" w:lineRule="auto"/>
        <w:rPr>
          <w:i/>
          <w:sz w:val="23"/>
          <w:szCs w:val="23"/>
          <w:rtl/>
        </w:rPr>
      </w:pPr>
      <w:r w:rsidRPr="00A62AA2">
        <w:rPr>
          <w:rFonts w:hint="cs"/>
          <w:i/>
          <w:sz w:val="23"/>
          <w:szCs w:val="23"/>
          <w:rtl/>
        </w:rPr>
        <w:t>که فقط رابطه</w:t>
      </w:r>
      <w:r w:rsidRPr="00A62AA2">
        <w:rPr>
          <w:rFonts w:hint="cs"/>
          <w:i/>
          <w:sz w:val="23"/>
          <w:szCs w:val="23"/>
          <w:rtl/>
        </w:rPr>
        <w:softHyphen/>
        <w:t>ی جایگزینی مصرف- فراغت طرف عرضه را نشان می</w:t>
      </w:r>
      <w:r w:rsidRPr="00A62AA2">
        <w:rPr>
          <w:rFonts w:hint="cs"/>
          <w:i/>
          <w:sz w:val="23"/>
          <w:szCs w:val="23"/>
          <w:rtl/>
        </w:rPr>
        <w:softHyphen/>
        <w:t>دهد و اثر تقاضای جهانی را بر تولید نشان نمی</w:t>
      </w:r>
      <w:r w:rsidRPr="00A62AA2">
        <w:rPr>
          <w:rFonts w:hint="cs"/>
          <w:i/>
          <w:sz w:val="23"/>
          <w:szCs w:val="23"/>
          <w:rtl/>
        </w:rPr>
        <w:softHyphen/>
        <w:t>دهد. این رابطه همچنین آشکار می</w:t>
      </w:r>
      <w:r w:rsidRPr="00A62AA2">
        <w:rPr>
          <w:rFonts w:hint="cs"/>
          <w:i/>
          <w:sz w:val="23"/>
          <w:szCs w:val="23"/>
          <w:rtl/>
        </w:rPr>
        <w:softHyphen/>
        <w:t>سازد که بخاطر اختلالات</w:t>
      </w:r>
      <w:r w:rsidRPr="00A62AA2">
        <w:rPr>
          <w:i/>
          <w:sz w:val="23"/>
          <w:szCs w:val="23"/>
        </w:rPr>
        <w:t xml:space="preserve"> </w:t>
      </w:r>
      <w:r w:rsidRPr="00A62AA2">
        <w:rPr>
          <w:rFonts w:hint="cs"/>
          <w:i/>
          <w:sz w:val="23"/>
          <w:szCs w:val="23"/>
          <w:rtl/>
        </w:rPr>
        <w:t>انحصار، تولید کم</w:t>
      </w:r>
      <w:r w:rsidRPr="00A62AA2">
        <w:rPr>
          <w:rFonts w:hint="cs"/>
          <w:i/>
          <w:sz w:val="23"/>
          <w:szCs w:val="23"/>
          <w:rtl/>
        </w:rPr>
        <w:softHyphen/>
        <w:t>تر از بهینه</w:t>
      </w:r>
      <w:r w:rsidRPr="00A62AA2">
        <w:rPr>
          <w:rFonts w:hint="cs"/>
          <w:i/>
          <w:sz w:val="23"/>
          <w:szCs w:val="23"/>
          <w:rtl/>
        </w:rPr>
        <w:softHyphen/>
        <w:t>ی اجتماعی است.</w:t>
      </w:r>
    </w:p>
    <w:p w14:paraId="76ECC780" w14:textId="77777777" w:rsidR="00556C10" w:rsidRPr="00A62AA2" w:rsidRDefault="00556C10" w:rsidP="00556C10">
      <w:pPr>
        <w:spacing w:line="216" w:lineRule="auto"/>
        <w:rPr>
          <w:i/>
          <w:sz w:val="23"/>
          <w:szCs w:val="23"/>
          <w:rtl/>
        </w:rPr>
      </w:pPr>
      <w:r w:rsidRPr="00A62AA2">
        <w:rPr>
          <w:rFonts w:hint="cs"/>
          <w:i/>
          <w:sz w:val="23"/>
          <w:szCs w:val="23"/>
          <w:rtl/>
        </w:rPr>
        <w:t>مصرف از قیود بودجه</w:t>
      </w:r>
      <w:r w:rsidRPr="00A62AA2">
        <w:rPr>
          <w:rFonts w:hint="cs"/>
          <w:i/>
          <w:sz w:val="23"/>
          <w:szCs w:val="23"/>
          <w:rtl/>
        </w:rPr>
        <w:softHyphen/>
        <w:t>ی خانوار و دولت بدست می</w:t>
      </w:r>
      <w:r w:rsidRPr="00A62AA2">
        <w:rPr>
          <w:rFonts w:hint="cs"/>
          <w:i/>
          <w:sz w:val="23"/>
          <w:szCs w:val="23"/>
          <w:rtl/>
        </w:rPr>
        <w:softHyphen/>
        <w:t>آید. بنابراین</w:t>
      </w:r>
    </w:p>
    <w:p w14:paraId="74AE80F8" w14:textId="77777777" w:rsidR="00556C10" w:rsidRPr="00A62AA2" w:rsidRDefault="00556C10" w:rsidP="00556C10">
      <w:pPr>
        <w:bidi w:val="0"/>
        <w:spacing w:line="216" w:lineRule="auto"/>
        <w:rPr>
          <w:i/>
          <w:sz w:val="23"/>
          <w:szCs w:val="23"/>
          <w:rtl/>
        </w:rPr>
      </w:pPr>
      <w:r w:rsidRPr="00A62AA2">
        <w:rPr>
          <w:position w:val="-28"/>
        </w:rPr>
        <w:object w:dxaOrig="4360" w:dyaOrig="680" w14:anchorId="53940816">
          <v:shape id="_x0000_i6579" type="#_x0000_t75" style="width:217.8pt;height:33.9pt" o:ole="">
            <v:imagedata r:id="rId11219" o:title=""/>
          </v:shape>
          <o:OLEObject Type="Embed" ProgID="Equation.DSMT4" ShapeID="_x0000_i6579" DrawAspect="Content" ObjectID="_1791380523" r:id="rId11220"/>
        </w:object>
      </w:r>
      <w:r w:rsidRPr="00A62AA2">
        <w:rPr>
          <w:i/>
          <w:sz w:val="23"/>
          <w:szCs w:val="23"/>
        </w:rPr>
        <w:tab/>
      </w:r>
      <w:r>
        <w:rPr>
          <w:i/>
          <w:sz w:val="23"/>
          <w:szCs w:val="23"/>
          <w:rtl/>
        </w:rPr>
        <w:tab/>
      </w:r>
      <w:r>
        <w:rPr>
          <w:i/>
          <w:sz w:val="23"/>
          <w:szCs w:val="23"/>
          <w:rtl/>
        </w:rPr>
        <w:tab/>
      </w:r>
      <w:r w:rsidRPr="00A62AA2">
        <w:rPr>
          <w:i/>
          <w:sz w:val="23"/>
          <w:szCs w:val="23"/>
        </w:rPr>
        <w:tab/>
      </w:r>
      <w:r w:rsidRPr="00A62AA2">
        <w:rPr>
          <w:i/>
          <w:sz w:val="23"/>
          <w:szCs w:val="23"/>
        </w:rPr>
        <w:tab/>
      </w:r>
      <w:r w:rsidRPr="00A62AA2">
        <w:rPr>
          <w:rFonts w:hint="cs"/>
          <w:i/>
          <w:sz w:val="23"/>
          <w:szCs w:val="23"/>
          <w:rtl/>
        </w:rPr>
        <w:tab/>
        <w:t>(۱۳. ۳۵)</w:t>
      </w:r>
      <w:r w:rsidRPr="00A62AA2">
        <w:rPr>
          <w:i/>
          <w:sz w:val="23"/>
          <w:szCs w:val="23"/>
        </w:rPr>
        <w:t xml:space="preserve"> </w:t>
      </w:r>
    </w:p>
    <w:p w14:paraId="65969384" w14:textId="77777777" w:rsidR="00556C10" w:rsidRPr="00A62AA2" w:rsidRDefault="00556C10" w:rsidP="00556C10">
      <w:pPr>
        <w:bidi w:val="0"/>
        <w:spacing w:line="216" w:lineRule="auto"/>
        <w:rPr>
          <w:i/>
          <w:sz w:val="23"/>
          <w:szCs w:val="23"/>
          <w:rtl/>
        </w:rPr>
      </w:pPr>
      <w:r w:rsidRPr="00A62AA2">
        <w:rPr>
          <w:position w:val="-28"/>
        </w:rPr>
        <w:object w:dxaOrig="4540" w:dyaOrig="680" w14:anchorId="710728BA">
          <v:shape id="_x0000_i6580" type="#_x0000_t75" style="width:226.9pt;height:33.9pt" o:ole="">
            <v:imagedata r:id="rId11221" o:title=""/>
          </v:shape>
          <o:OLEObject Type="Embed" ProgID="Equation.DSMT4" ShapeID="_x0000_i6580" DrawAspect="Content" ObjectID="_1791380524" r:id="rId11222"/>
        </w:object>
      </w:r>
    </w:p>
    <w:p w14:paraId="5CA61EAB" w14:textId="77777777" w:rsidR="00556C10" w:rsidRPr="00A62AA2" w:rsidRDefault="00556C10" w:rsidP="00556C10">
      <w:pPr>
        <w:spacing w:line="216" w:lineRule="auto"/>
        <w:rPr>
          <w:i/>
          <w:sz w:val="23"/>
          <w:szCs w:val="23"/>
          <w:rtl/>
        </w:rPr>
      </w:pPr>
      <w:r w:rsidRPr="00A62AA2">
        <w:rPr>
          <w:rFonts w:hint="cs"/>
          <w:i/>
          <w:sz w:val="23"/>
          <w:szCs w:val="23"/>
          <w:rtl/>
        </w:rPr>
        <w:t xml:space="preserve">که در آن </w:t>
      </w:r>
      <w:r w:rsidRPr="00A62AA2">
        <w:rPr>
          <w:position w:val="-28"/>
        </w:rPr>
        <w:object w:dxaOrig="1260" w:dyaOrig="639" w14:anchorId="3AB267A0">
          <v:shape id="_x0000_i6581" type="#_x0000_t75" style="width:62.9pt;height:32.05pt" o:ole="">
            <v:imagedata r:id="rId11223" o:title=""/>
          </v:shape>
          <o:OLEObject Type="Embed" ProgID="Equation.DSMT4" ShapeID="_x0000_i6581" DrawAspect="Content" ObjectID="_1791380525" r:id="rId11224"/>
        </w:object>
      </w:r>
      <w:r w:rsidRPr="00A62AA2">
        <w:rPr>
          <w:rFonts w:hint="cs"/>
          <w:i/>
          <w:sz w:val="23"/>
          <w:szCs w:val="23"/>
          <w:rtl/>
        </w:rPr>
        <w:t xml:space="preserve"> و </w:t>
      </w:r>
      <w:r w:rsidRPr="00A62AA2">
        <w:rPr>
          <w:position w:val="-28"/>
        </w:rPr>
        <w:object w:dxaOrig="1260" w:dyaOrig="660" w14:anchorId="693E28EF">
          <v:shape id="_x0000_i6582" type="#_x0000_t75" style="width:62.9pt;height:32.65pt" o:ole="">
            <v:imagedata r:id="rId11225" o:title=""/>
          </v:shape>
          <o:OLEObject Type="Embed" ProgID="Equation.DSMT4" ShapeID="_x0000_i6582" DrawAspect="Content" ObjectID="_1791380526" r:id="rId11226"/>
        </w:object>
      </w:r>
      <w:r w:rsidRPr="00A62AA2">
        <w:rPr>
          <w:rFonts w:hint="cs"/>
          <w:i/>
          <w:sz w:val="23"/>
          <w:szCs w:val="23"/>
          <w:rtl/>
        </w:rPr>
        <w:t xml:space="preserve"> است</w:t>
      </w:r>
      <w:r w:rsidRPr="00A62AA2">
        <w:rPr>
          <w:i/>
          <w:sz w:val="23"/>
          <w:szCs w:val="23"/>
        </w:rPr>
        <w:t>.</w:t>
      </w:r>
    </w:p>
    <w:p w14:paraId="6BF37FA7" w14:textId="77777777" w:rsidR="00556C10" w:rsidRPr="00A62AA2" w:rsidRDefault="00556C10" w:rsidP="00556C10">
      <w:pPr>
        <w:spacing w:line="216" w:lineRule="auto"/>
        <w:rPr>
          <w:i/>
          <w:sz w:val="23"/>
          <w:szCs w:val="23"/>
          <w:rtl/>
        </w:rPr>
      </w:pPr>
    </w:p>
    <w:p w14:paraId="77751B55" w14:textId="77777777" w:rsidR="00556C10" w:rsidRPr="00A62AA2" w:rsidRDefault="00556C10" w:rsidP="00556C10">
      <w:pPr>
        <w:spacing w:line="216" w:lineRule="auto"/>
        <w:rPr>
          <w:bCs/>
          <w:i/>
          <w:sz w:val="23"/>
          <w:szCs w:val="23"/>
        </w:rPr>
      </w:pPr>
      <w:r w:rsidRPr="00A62AA2">
        <w:rPr>
          <w:rFonts w:hint="cs"/>
          <w:bCs/>
          <w:i/>
          <w:sz w:val="23"/>
          <w:szCs w:val="23"/>
          <w:rtl/>
        </w:rPr>
        <w:t>مدل بلند</w:t>
      </w:r>
      <w:r w:rsidRPr="00A62AA2">
        <w:rPr>
          <w:rFonts w:hint="cs"/>
          <w:bCs/>
          <w:i/>
          <w:sz w:val="23"/>
          <w:szCs w:val="23"/>
          <w:rtl/>
        </w:rPr>
        <w:softHyphen/>
        <w:t>مدت مبنا</w:t>
      </w:r>
      <w:r w:rsidRPr="00A62AA2">
        <w:rPr>
          <w:rStyle w:val="FootnoteReference"/>
          <w:bCs/>
          <w:i/>
          <w:sz w:val="23"/>
          <w:szCs w:val="23"/>
          <w:rtl/>
        </w:rPr>
        <w:footnoteReference w:id="323"/>
      </w:r>
      <w:r w:rsidRPr="00A62AA2">
        <w:rPr>
          <w:rFonts w:hint="cs"/>
          <w:bCs/>
          <w:i/>
          <w:sz w:val="23"/>
          <w:szCs w:val="23"/>
          <w:rtl/>
        </w:rPr>
        <w:t xml:space="preserve"> </w:t>
      </w:r>
    </w:p>
    <w:p w14:paraId="62A67AD9" w14:textId="77777777" w:rsidR="00556C10" w:rsidRPr="00A62AA2" w:rsidRDefault="00556C10" w:rsidP="00556C10">
      <w:pPr>
        <w:spacing w:line="216" w:lineRule="auto"/>
        <w:rPr>
          <w:i/>
          <w:sz w:val="23"/>
          <w:szCs w:val="23"/>
        </w:rPr>
      </w:pPr>
      <w:r w:rsidRPr="00A62AA2">
        <w:rPr>
          <w:rFonts w:hint="cs"/>
          <w:i/>
          <w:sz w:val="23"/>
          <w:szCs w:val="23"/>
          <w:rtl/>
        </w:rPr>
        <w:lastRenderedPageBreak/>
        <w:t>در تعادل ایستا، متغیرهای مصرف، اوراق قرضه</w:t>
      </w:r>
      <w:r w:rsidRPr="00A62AA2">
        <w:rPr>
          <w:rFonts w:hint="cs"/>
          <w:i/>
          <w:sz w:val="23"/>
          <w:szCs w:val="23"/>
          <w:rtl/>
        </w:rPr>
        <w:softHyphen/>
        <w:t>ی حقیقی و ذخیره</w:t>
      </w:r>
      <w:r w:rsidRPr="00A62AA2">
        <w:rPr>
          <w:rFonts w:hint="cs"/>
          <w:i/>
          <w:sz w:val="23"/>
          <w:szCs w:val="23"/>
          <w:rtl/>
        </w:rPr>
        <w:softHyphen/>
        <w:t>ی پول حقیقی ثابت</w:t>
      </w:r>
      <w:r w:rsidRPr="00A62AA2">
        <w:rPr>
          <w:rFonts w:hint="cs"/>
          <w:i/>
          <w:sz w:val="23"/>
          <w:szCs w:val="23"/>
          <w:rtl/>
        </w:rPr>
        <w:softHyphen/>
        <w:t>اند. در نتیجه، از معادله</w:t>
      </w:r>
      <w:r w:rsidRPr="00A62AA2">
        <w:rPr>
          <w:rFonts w:hint="cs"/>
          <w:i/>
          <w:sz w:val="23"/>
          <w:szCs w:val="23"/>
          <w:rtl/>
        </w:rPr>
        <w:softHyphen/>
        <w:t xml:space="preserve">ی اویلر، نرخ بازدهی حقیقی برابر است با </w:t>
      </w:r>
      <w:r w:rsidRPr="00A62AA2">
        <w:rPr>
          <w:position w:val="-6"/>
        </w:rPr>
        <w:object w:dxaOrig="920" w:dyaOrig="300" w14:anchorId="10B5416D">
          <v:shape id="_x0000_i6583" type="#_x0000_t75" style="width:46pt;height:14.5pt" o:ole="">
            <v:imagedata r:id="rId11227" o:title=""/>
          </v:shape>
          <o:OLEObject Type="Embed" ProgID="Equation.DSMT4" ShapeID="_x0000_i6583" DrawAspect="Content" ObjectID="_1791380527" r:id="rId11228"/>
        </w:object>
      </w:r>
      <w:r w:rsidRPr="00A62AA2">
        <w:rPr>
          <w:rFonts w:hint="cs"/>
          <w:i/>
          <w:sz w:val="23"/>
          <w:szCs w:val="23"/>
          <w:rtl/>
        </w:rPr>
        <w:t xml:space="preserve">، که در آن </w:t>
      </w:r>
      <w:r w:rsidRPr="00A62AA2">
        <w:rPr>
          <w:position w:val="-12"/>
        </w:rPr>
        <w:object w:dxaOrig="1240" w:dyaOrig="360" w14:anchorId="149BBBF5">
          <v:shape id="_x0000_i6584" type="#_x0000_t75" style="width:61.7pt;height:18.15pt" o:ole="">
            <v:imagedata r:id="rId11229" o:title=""/>
          </v:shape>
          <o:OLEObject Type="Embed" ProgID="Equation.DSMT4" ShapeID="_x0000_i6584" DrawAspect="Content" ObjectID="_1791380528" r:id="rId11230"/>
        </w:object>
      </w:r>
      <w:r w:rsidRPr="00A62AA2">
        <w:rPr>
          <w:rFonts w:hint="cs"/>
          <w:i/>
          <w:sz w:val="23"/>
          <w:szCs w:val="23"/>
          <w:rtl/>
        </w:rPr>
        <w:t xml:space="preserve"> می</w:t>
      </w:r>
      <w:r w:rsidRPr="00A62AA2">
        <w:rPr>
          <w:rFonts w:hint="cs"/>
          <w:i/>
          <w:sz w:val="23"/>
          <w:szCs w:val="23"/>
          <w:rtl/>
        </w:rPr>
        <w:softHyphen/>
        <w:t>باشد. با استفاده از این شرط که عرضه</w:t>
      </w:r>
      <w:r w:rsidRPr="00A62AA2">
        <w:rPr>
          <w:rFonts w:hint="cs"/>
          <w:i/>
          <w:sz w:val="23"/>
          <w:szCs w:val="23"/>
          <w:rtl/>
        </w:rPr>
        <w:softHyphen/>
        <w:t xml:space="preserve">ی خالص اوراق قرضه برابر با صفر است، برای حذف </w:t>
      </w:r>
      <w:r w:rsidRPr="00A62AA2">
        <w:rPr>
          <w:position w:val="-12"/>
        </w:rPr>
        <w:object w:dxaOrig="1860" w:dyaOrig="360" w14:anchorId="358652D0">
          <v:shape id="_x0000_i6585" type="#_x0000_t75" style="width:93.2pt;height:18.15pt" o:ole="">
            <v:imagedata r:id="rId11231" o:title=""/>
          </v:shape>
          <o:OLEObject Type="Embed" ProgID="Equation.DSMT4" ShapeID="_x0000_i6585" DrawAspect="Content" ObjectID="_1791380529" r:id="rId11232"/>
        </w:object>
      </w:r>
      <w:r w:rsidRPr="00A62AA2">
        <w:rPr>
          <w:rFonts w:hint="cs"/>
          <w:i/>
          <w:sz w:val="23"/>
          <w:szCs w:val="23"/>
          <w:rtl/>
        </w:rPr>
        <w:t xml:space="preserve">، مصرف در وضعیت یکنواخت در دو کشور برابر است با </w:t>
      </w:r>
    </w:p>
    <w:p w14:paraId="27C3B11F" w14:textId="77777777" w:rsidR="00556C10" w:rsidRPr="00A62AA2" w:rsidRDefault="00556C10" w:rsidP="00556C10">
      <w:pPr>
        <w:bidi w:val="0"/>
        <w:spacing w:line="216" w:lineRule="auto"/>
        <w:rPr>
          <w:i/>
          <w:sz w:val="23"/>
          <w:szCs w:val="23"/>
          <w:rtl/>
        </w:rPr>
      </w:pPr>
      <w:r w:rsidRPr="00A62AA2">
        <w:rPr>
          <w:position w:val="-22"/>
        </w:rPr>
        <w:object w:dxaOrig="2140" w:dyaOrig="620" w14:anchorId="7D23C0DD">
          <v:shape id="_x0000_i6586" type="#_x0000_t75" style="width:107.1pt;height:30.85pt" o:ole="">
            <v:imagedata r:id="rId11233" o:title=""/>
          </v:shape>
          <o:OLEObject Type="Embed" ProgID="Equation.DSMT4" ShapeID="_x0000_i6586" DrawAspect="Content" ObjectID="_1791380530" r:id="rId11234"/>
        </w:object>
      </w:r>
      <w:r w:rsidRPr="00A62AA2">
        <w:rPr>
          <w:rFonts w:eastAsiaTheme="minorHAnsi" w:cstheme="minorBidi"/>
          <w:i/>
          <w:sz w:val="23"/>
          <w:szCs w:val="23"/>
          <w:rtl/>
        </w:rPr>
        <w:tab/>
      </w:r>
      <w:r w:rsidRPr="00A62AA2">
        <w:rPr>
          <w:rFonts w:eastAsiaTheme="minorHAnsi" w:cstheme="minorBidi"/>
          <w:i/>
          <w:sz w:val="23"/>
          <w:szCs w:val="23"/>
          <w:rtl/>
        </w:rPr>
        <w:tab/>
      </w:r>
      <w:r w:rsidRPr="00A62AA2">
        <w:rPr>
          <w:rFonts w:eastAsiaTheme="minorHAnsi" w:cstheme="minorBidi"/>
          <w:i/>
          <w:sz w:val="23"/>
          <w:szCs w:val="23"/>
          <w:rtl/>
        </w:rPr>
        <w:tab/>
      </w:r>
      <w:r w:rsidRPr="00A62AA2">
        <w:rPr>
          <w:rFonts w:eastAsiaTheme="minorHAnsi" w:cstheme="minorBidi"/>
          <w:i/>
          <w:sz w:val="23"/>
          <w:szCs w:val="23"/>
          <w:rtl/>
        </w:rPr>
        <w:tab/>
      </w:r>
      <w:r w:rsidRPr="00A62AA2">
        <w:rPr>
          <w:rFonts w:eastAsiaTheme="minorHAnsi" w:cstheme="minorBidi"/>
          <w:i/>
          <w:sz w:val="23"/>
          <w:szCs w:val="23"/>
          <w:rtl/>
        </w:rPr>
        <w:tab/>
      </w:r>
      <w:r w:rsidRPr="00A62AA2">
        <w:rPr>
          <w:i/>
          <w:sz w:val="23"/>
          <w:szCs w:val="23"/>
        </w:rPr>
        <w:tab/>
      </w:r>
      <w:r w:rsidRPr="00A62AA2">
        <w:rPr>
          <w:i/>
          <w:sz w:val="23"/>
          <w:szCs w:val="23"/>
        </w:rPr>
        <w:tab/>
      </w:r>
      <w:r w:rsidRPr="00A62AA2">
        <w:rPr>
          <w:i/>
          <w:sz w:val="23"/>
          <w:szCs w:val="23"/>
        </w:rPr>
        <w:tab/>
      </w:r>
      <w:r w:rsidRPr="00A62AA2">
        <w:rPr>
          <w:rFonts w:hint="cs"/>
          <w:i/>
          <w:sz w:val="23"/>
          <w:szCs w:val="23"/>
          <w:rtl/>
        </w:rPr>
        <w:tab/>
      </w:r>
      <w:r w:rsidRPr="00A62AA2">
        <w:rPr>
          <w:i/>
          <w:sz w:val="23"/>
          <w:szCs w:val="23"/>
        </w:rPr>
        <w:tab/>
      </w:r>
      <w:r w:rsidRPr="00A62AA2">
        <w:rPr>
          <w:rFonts w:hint="cs"/>
          <w:i/>
          <w:sz w:val="23"/>
          <w:szCs w:val="23"/>
          <w:rtl/>
        </w:rPr>
        <w:tab/>
      </w:r>
      <w:r>
        <w:rPr>
          <w:i/>
          <w:sz w:val="23"/>
          <w:szCs w:val="23"/>
          <w:rtl/>
        </w:rPr>
        <w:tab/>
      </w:r>
      <w:r>
        <w:rPr>
          <w:i/>
          <w:sz w:val="23"/>
          <w:szCs w:val="23"/>
          <w:rtl/>
        </w:rPr>
        <w:tab/>
      </w:r>
      <w:r w:rsidRPr="00A62AA2">
        <w:rPr>
          <w:rFonts w:hint="cs"/>
          <w:i/>
          <w:sz w:val="23"/>
          <w:szCs w:val="23"/>
          <w:rtl/>
        </w:rPr>
        <w:tab/>
        <w:t>(۱۳. ۳۷)</w:t>
      </w:r>
      <w:r w:rsidRPr="00A62AA2">
        <w:rPr>
          <w:i/>
          <w:sz w:val="23"/>
          <w:szCs w:val="23"/>
        </w:rPr>
        <w:t xml:space="preserve"> </w:t>
      </w:r>
    </w:p>
    <w:p w14:paraId="196EC762" w14:textId="77777777" w:rsidR="00556C10" w:rsidRPr="00A62AA2" w:rsidRDefault="00556C10" w:rsidP="00556C10">
      <w:pPr>
        <w:bidi w:val="0"/>
        <w:spacing w:line="216" w:lineRule="auto"/>
        <w:rPr>
          <w:i/>
          <w:sz w:val="23"/>
          <w:szCs w:val="23"/>
          <w:rtl/>
        </w:rPr>
      </w:pPr>
      <w:r w:rsidRPr="00A62AA2">
        <w:rPr>
          <w:position w:val="-30"/>
        </w:rPr>
        <w:object w:dxaOrig="3260" w:dyaOrig="700" w14:anchorId="5FAACD2D">
          <v:shape id="_x0000_i6587" type="#_x0000_t75" style="width:162.75pt;height:35.1pt" o:ole="">
            <v:imagedata r:id="rId11235" o:title=""/>
          </v:shape>
          <o:OLEObject Type="Embed" ProgID="Equation.DSMT4" ShapeID="_x0000_i6587" DrawAspect="Content" ObjectID="_1791380531" r:id="rId11236"/>
        </w:object>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Pr>
          <w:i/>
          <w:sz w:val="23"/>
          <w:szCs w:val="23"/>
          <w:rtl/>
        </w:rPr>
        <w:tab/>
      </w:r>
      <w:r>
        <w:rPr>
          <w:i/>
          <w:sz w:val="23"/>
          <w:szCs w:val="23"/>
          <w:rtl/>
        </w:rPr>
        <w:tab/>
      </w:r>
      <w:r w:rsidRPr="00A62AA2">
        <w:rPr>
          <w:i/>
          <w:sz w:val="23"/>
          <w:szCs w:val="23"/>
        </w:rPr>
        <w:tab/>
      </w:r>
      <w:r w:rsidRPr="00A62AA2">
        <w:rPr>
          <w:rFonts w:hint="cs"/>
          <w:i/>
          <w:sz w:val="23"/>
          <w:szCs w:val="23"/>
          <w:rtl/>
        </w:rPr>
        <w:tab/>
        <w:t>(۱۳. ۳۸)</w:t>
      </w:r>
      <w:r w:rsidRPr="00A62AA2">
        <w:rPr>
          <w:i/>
          <w:sz w:val="23"/>
          <w:szCs w:val="23"/>
        </w:rPr>
        <w:t xml:space="preserve"> </w:t>
      </w:r>
    </w:p>
    <w:p w14:paraId="49E3BB44" w14:textId="77777777" w:rsidR="00556C10" w:rsidRPr="00A62AA2" w:rsidRDefault="00556C10" w:rsidP="00556C10">
      <w:pPr>
        <w:spacing w:line="216" w:lineRule="auto"/>
        <w:rPr>
          <w:i/>
          <w:sz w:val="23"/>
          <w:szCs w:val="23"/>
          <w:rtl/>
        </w:rPr>
      </w:pPr>
      <w:r w:rsidRPr="00A62AA2">
        <w:rPr>
          <w:rFonts w:hint="cs"/>
          <w:i/>
          <w:sz w:val="23"/>
          <w:szCs w:val="23"/>
          <w:rtl/>
        </w:rPr>
        <w:t>در حالت خاص که مدل مبنا و پایه</w:t>
      </w:r>
      <w:r w:rsidRPr="00A62AA2">
        <w:rPr>
          <w:rFonts w:hint="cs"/>
          <w:i/>
          <w:sz w:val="23"/>
          <w:szCs w:val="23"/>
          <w:rtl/>
        </w:rPr>
        <w:softHyphen/>
        <w:t>ای را شکل می</w:t>
      </w:r>
      <w:r w:rsidRPr="00A62AA2">
        <w:rPr>
          <w:rFonts w:hint="cs"/>
          <w:i/>
          <w:sz w:val="23"/>
          <w:szCs w:val="23"/>
          <w:rtl/>
        </w:rPr>
        <w:softHyphen/>
        <w:t>دهد، و برای اهداف مقایسه</w:t>
      </w:r>
      <w:r w:rsidRPr="00A62AA2">
        <w:rPr>
          <w:rFonts w:hint="cs"/>
          <w:i/>
          <w:sz w:val="23"/>
          <w:szCs w:val="23"/>
          <w:rtl/>
        </w:rPr>
        <w:softHyphen/>
        <w:t>ای زیر بکار گرفته می</w:t>
      </w:r>
      <w:r w:rsidRPr="00A62AA2">
        <w:rPr>
          <w:rFonts w:hint="cs"/>
          <w:i/>
          <w:sz w:val="23"/>
          <w:szCs w:val="23"/>
          <w:rtl/>
        </w:rPr>
        <w:softHyphen/>
        <w:t>شود، این قید که بدهی و مخارج دولتی وجود ندارد را بر مدل تحمیل می</w:t>
      </w:r>
      <w:r w:rsidRPr="00A62AA2">
        <w:rPr>
          <w:rFonts w:hint="cs"/>
          <w:i/>
          <w:sz w:val="23"/>
          <w:szCs w:val="23"/>
          <w:rtl/>
        </w:rPr>
        <w:softHyphen/>
        <w:t xml:space="preserve">کنیم تا </w:t>
      </w:r>
      <w:r w:rsidRPr="00A62AA2">
        <w:rPr>
          <w:position w:val="-8"/>
        </w:rPr>
        <w:object w:dxaOrig="1880" w:dyaOrig="320" w14:anchorId="368E30F5">
          <v:shape id="_x0000_i6588" type="#_x0000_t75" style="width:93.8pt;height:15.75pt" o:ole="">
            <v:imagedata r:id="rId11237" o:title=""/>
          </v:shape>
          <o:OLEObject Type="Embed" ProgID="Equation.DSMT4" ShapeID="_x0000_i6588" DrawAspect="Content" ObjectID="_1791380532" r:id="rId11238"/>
        </w:object>
      </w:r>
      <w:r w:rsidRPr="00A62AA2">
        <w:rPr>
          <w:rFonts w:hint="cs"/>
          <w:i/>
          <w:sz w:val="23"/>
          <w:szCs w:val="23"/>
          <w:rtl/>
        </w:rPr>
        <w:t xml:space="preserve"> باشد. آنگاه معادلات (۱۳. ۳۷) و (۱۳.۳۸) به معادلات زیر تقلیل خواهند یافت.</w:t>
      </w:r>
    </w:p>
    <w:p w14:paraId="4093F02D" w14:textId="77777777" w:rsidR="00556C10" w:rsidRPr="00A62AA2" w:rsidRDefault="00556C10" w:rsidP="00556C10">
      <w:pPr>
        <w:bidi w:val="0"/>
        <w:spacing w:line="216" w:lineRule="auto"/>
        <w:rPr>
          <w:i/>
          <w:sz w:val="23"/>
          <w:szCs w:val="23"/>
          <w:rtl/>
        </w:rPr>
      </w:pPr>
      <w:r w:rsidRPr="00A62AA2">
        <w:rPr>
          <w:position w:val="-22"/>
        </w:rPr>
        <w:object w:dxaOrig="1359" w:dyaOrig="620" w14:anchorId="07F8F947">
          <v:shape id="_x0000_i6589" type="#_x0000_t75" style="width:67.75pt;height:30.85pt" o:ole="">
            <v:imagedata r:id="rId11239" o:title=""/>
          </v:shape>
          <o:OLEObject Type="Embed" ProgID="Equation.DSMT4" ShapeID="_x0000_i6589" DrawAspect="Content" ObjectID="_1791380533" r:id="rId11240"/>
        </w:object>
      </w:r>
      <w:r w:rsidRPr="00A62AA2">
        <w:rPr>
          <w:rFonts w:hint="cs"/>
          <w:i/>
          <w:sz w:val="23"/>
          <w:szCs w:val="23"/>
          <w:rtl/>
        </w:rPr>
        <w:t xml:space="preserve"> </w:t>
      </w:r>
    </w:p>
    <w:p w14:paraId="0671CB56" w14:textId="77777777" w:rsidR="00556C10" w:rsidRPr="00A62AA2" w:rsidRDefault="00556C10" w:rsidP="00556C10">
      <w:pPr>
        <w:bidi w:val="0"/>
        <w:spacing w:line="216" w:lineRule="auto"/>
        <w:rPr>
          <w:i/>
          <w:sz w:val="23"/>
          <w:szCs w:val="23"/>
        </w:rPr>
      </w:pPr>
      <w:r w:rsidRPr="00A62AA2">
        <w:rPr>
          <w:position w:val="-22"/>
        </w:rPr>
        <w:object w:dxaOrig="1560" w:dyaOrig="620" w14:anchorId="757FDD33">
          <v:shape id="_x0000_i6590" type="#_x0000_t75" style="width:78.05pt;height:30.85pt" o:ole="">
            <v:imagedata r:id="rId11241" o:title=""/>
          </v:shape>
          <o:OLEObject Type="Embed" ProgID="Equation.DSMT4" ShapeID="_x0000_i6590" DrawAspect="Content" ObjectID="_1791380534" r:id="rId11242"/>
        </w:object>
      </w:r>
    </w:p>
    <w:p w14:paraId="569265AD" w14:textId="77777777" w:rsidR="00556C10" w:rsidRPr="00A62AA2" w:rsidRDefault="00556C10" w:rsidP="00556C10">
      <w:pPr>
        <w:spacing w:line="216" w:lineRule="auto"/>
        <w:rPr>
          <w:i/>
          <w:sz w:val="23"/>
          <w:szCs w:val="23"/>
          <w:rtl/>
        </w:rPr>
      </w:pPr>
      <w:r w:rsidRPr="00A62AA2">
        <w:rPr>
          <w:rFonts w:hint="cs"/>
          <w:i/>
          <w:sz w:val="23"/>
          <w:szCs w:val="23"/>
          <w:rtl/>
        </w:rPr>
        <w:t>و معادلات تولید برابر خواهند شد با</w:t>
      </w:r>
    </w:p>
    <w:p w14:paraId="495389F8" w14:textId="77777777" w:rsidR="00556C10" w:rsidRPr="00A62AA2" w:rsidRDefault="00556C10" w:rsidP="00556C10">
      <w:pPr>
        <w:bidi w:val="0"/>
        <w:spacing w:line="216" w:lineRule="auto"/>
        <w:rPr>
          <w:i/>
          <w:sz w:val="23"/>
          <w:szCs w:val="23"/>
          <w:rtl/>
        </w:rPr>
      </w:pPr>
      <w:r w:rsidRPr="00A62AA2">
        <w:rPr>
          <w:position w:val="-26"/>
        </w:rPr>
        <w:object w:dxaOrig="3440" w:dyaOrig="600" w14:anchorId="4555E783">
          <v:shape id="_x0000_i6591" type="#_x0000_t75" style="width:171.85pt;height:29.65pt" o:ole="">
            <v:imagedata r:id="rId11243" o:title=""/>
          </v:shape>
          <o:OLEObject Type="Embed" ProgID="Equation.DSMT4" ShapeID="_x0000_i6591" DrawAspect="Content" ObjectID="_1791380535" r:id="rId11244"/>
        </w:object>
      </w:r>
      <w:r w:rsidRPr="00A62AA2">
        <w:rPr>
          <w:rFonts w:hint="cs"/>
          <w:i/>
          <w:sz w:val="23"/>
          <w:szCs w:val="23"/>
          <w:rtl/>
        </w:rPr>
        <w:t xml:space="preserve"> </w:t>
      </w:r>
    </w:p>
    <w:p w14:paraId="24E0CD0E" w14:textId="77777777" w:rsidR="00556C10" w:rsidRPr="00A62AA2" w:rsidRDefault="00556C10" w:rsidP="00556C10">
      <w:pPr>
        <w:bidi w:val="0"/>
        <w:spacing w:line="216" w:lineRule="auto"/>
        <w:rPr>
          <w:i/>
          <w:sz w:val="23"/>
          <w:szCs w:val="23"/>
        </w:rPr>
      </w:pPr>
      <w:r w:rsidRPr="00A62AA2">
        <w:rPr>
          <w:position w:val="-26"/>
        </w:rPr>
        <w:object w:dxaOrig="3680" w:dyaOrig="600" w14:anchorId="0B9F5B58">
          <v:shape id="_x0000_i6592" type="#_x0000_t75" style="width:183.95pt;height:29.65pt" o:ole="">
            <v:imagedata r:id="rId11245" o:title=""/>
          </v:shape>
          <o:OLEObject Type="Embed" ProgID="Equation.DSMT4" ShapeID="_x0000_i6592" DrawAspect="Content" ObjectID="_1791380536" r:id="rId11246"/>
        </w:object>
      </w:r>
    </w:p>
    <w:p w14:paraId="5F276362" w14:textId="77777777" w:rsidR="00556C10" w:rsidRPr="00A62AA2" w:rsidRDefault="00556C10" w:rsidP="00556C10">
      <w:pPr>
        <w:spacing w:line="216" w:lineRule="auto"/>
        <w:rPr>
          <w:i/>
          <w:sz w:val="23"/>
          <w:szCs w:val="23"/>
          <w:rtl/>
        </w:rPr>
      </w:pPr>
      <w:r w:rsidRPr="00A62AA2">
        <w:rPr>
          <w:rFonts w:hint="cs"/>
          <w:i/>
          <w:sz w:val="23"/>
          <w:szCs w:val="23"/>
          <w:rtl/>
        </w:rPr>
        <w:t>ضمناً، تراز پرداخت</w:t>
      </w:r>
      <w:r w:rsidRPr="00A62AA2">
        <w:rPr>
          <w:rFonts w:hint="cs"/>
          <w:i/>
          <w:sz w:val="23"/>
          <w:szCs w:val="23"/>
          <w:rtl/>
        </w:rPr>
        <w:softHyphen/>
        <w:t>ها تنها شامل تجارت می</w:t>
      </w:r>
      <w:r w:rsidRPr="00A62AA2">
        <w:rPr>
          <w:rFonts w:hint="cs"/>
          <w:i/>
          <w:sz w:val="23"/>
          <w:szCs w:val="23"/>
          <w:rtl/>
        </w:rPr>
        <w:softHyphen/>
        <w:t>شود، و همان</w:t>
      </w:r>
      <w:r w:rsidRPr="00A62AA2">
        <w:rPr>
          <w:rFonts w:hint="cs"/>
          <w:i/>
          <w:sz w:val="23"/>
          <w:szCs w:val="23"/>
          <w:rtl/>
        </w:rPr>
        <w:softHyphen/>
        <w:t>طور که باید متوازن باشد، مصرف برابر با درآمد خواهد شد، یعنی</w:t>
      </w:r>
      <w:r w:rsidRPr="00A62AA2">
        <w:rPr>
          <w:position w:val="-12"/>
        </w:rPr>
        <w:object w:dxaOrig="800" w:dyaOrig="360" w14:anchorId="7B7FEEC5">
          <v:shape id="_x0000_i6593" type="#_x0000_t75" style="width:39.95pt;height:18.15pt" o:ole="">
            <v:imagedata r:id="rId11247" o:title=""/>
          </v:shape>
          <o:OLEObject Type="Embed" ProgID="Equation.DSMT4" ShapeID="_x0000_i6593" DrawAspect="Content" ObjectID="_1791380537" r:id="rId11248"/>
        </w:object>
      </w:r>
      <w:r w:rsidRPr="00A62AA2">
        <w:rPr>
          <w:rFonts w:hint="cs"/>
          <w:i/>
          <w:sz w:val="23"/>
          <w:szCs w:val="23"/>
          <w:rtl/>
        </w:rPr>
        <w:t xml:space="preserve"> و </w:t>
      </w:r>
      <w:r w:rsidRPr="00A62AA2">
        <w:rPr>
          <w:position w:val="-12"/>
        </w:rPr>
        <w:object w:dxaOrig="980" w:dyaOrig="360" w14:anchorId="75F7F76B">
          <v:shape id="_x0000_i6594" type="#_x0000_t75" style="width:49pt;height:18.15pt" o:ole="">
            <v:imagedata r:id="rId11249" o:title=""/>
          </v:shape>
          <o:OLEObject Type="Embed" ProgID="Equation.DSMT4" ShapeID="_x0000_i6594" DrawAspect="Content" ObjectID="_1791380538" r:id="rId11250"/>
        </w:object>
      </w:r>
      <w:r w:rsidRPr="00A62AA2">
        <w:rPr>
          <w:i/>
          <w:sz w:val="23"/>
          <w:szCs w:val="23"/>
        </w:rPr>
        <w:t>.</w:t>
      </w:r>
      <w:r w:rsidRPr="00A62AA2">
        <w:rPr>
          <w:rFonts w:hint="cs"/>
          <w:i/>
          <w:sz w:val="23"/>
          <w:szCs w:val="23"/>
          <w:rtl/>
        </w:rPr>
        <w:t xml:space="preserve"> بنابراین</w:t>
      </w:r>
    </w:p>
    <w:p w14:paraId="051C8384" w14:textId="77777777" w:rsidR="00556C10" w:rsidRPr="00A62AA2" w:rsidRDefault="00556C10" w:rsidP="00556C10">
      <w:pPr>
        <w:bidi w:val="0"/>
        <w:spacing w:line="216" w:lineRule="auto"/>
        <w:rPr>
          <w:i/>
          <w:sz w:val="23"/>
          <w:szCs w:val="23"/>
        </w:rPr>
      </w:pPr>
      <w:r w:rsidRPr="00A62AA2">
        <w:rPr>
          <w:position w:val="-26"/>
        </w:rPr>
        <w:object w:dxaOrig="4140" w:dyaOrig="600" w14:anchorId="44DBCDD0">
          <v:shape id="_x0000_i6595" type="#_x0000_t75" style="width:206.9pt;height:29.65pt" o:ole="">
            <v:imagedata r:id="rId11251" o:title=""/>
          </v:shape>
          <o:OLEObject Type="Embed" ProgID="Equation.DSMT4" ShapeID="_x0000_i6595" DrawAspect="Content" ObjectID="_1791380539" r:id="rId11252"/>
        </w:object>
      </w:r>
    </w:p>
    <w:p w14:paraId="31EE1B6C" w14:textId="77777777" w:rsidR="00556C10" w:rsidRPr="00A62AA2" w:rsidRDefault="00556C10" w:rsidP="00556C10">
      <w:pPr>
        <w:bidi w:val="0"/>
        <w:spacing w:line="216" w:lineRule="auto"/>
        <w:rPr>
          <w:i/>
          <w:sz w:val="23"/>
          <w:szCs w:val="23"/>
        </w:rPr>
      </w:pPr>
      <w:r w:rsidRPr="00A62AA2">
        <w:rPr>
          <w:position w:val="-26"/>
        </w:rPr>
        <w:object w:dxaOrig="4020" w:dyaOrig="600" w14:anchorId="3F738DD6">
          <v:shape id="_x0000_i6596" type="#_x0000_t75" style="width:200.85pt;height:29.65pt" o:ole="">
            <v:imagedata r:id="rId11253" o:title=""/>
          </v:shape>
          <o:OLEObject Type="Embed" ProgID="Equation.DSMT4" ShapeID="_x0000_i6596" DrawAspect="Content" ObjectID="_1791380540" r:id="rId11254"/>
        </w:object>
      </w:r>
    </w:p>
    <w:p w14:paraId="169EC81E" w14:textId="77777777" w:rsidR="00556C10" w:rsidRPr="00A62AA2" w:rsidRDefault="00556C10" w:rsidP="00556C10">
      <w:pPr>
        <w:spacing w:line="216" w:lineRule="auto"/>
        <w:rPr>
          <w:i/>
          <w:sz w:val="23"/>
          <w:szCs w:val="23"/>
        </w:rPr>
      </w:pPr>
      <w:r w:rsidRPr="00A62AA2">
        <w:rPr>
          <w:rFonts w:hint="cs"/>
          <w:i/>
          <w:sz w:val="23"/>
          <w:szCs w:val="23"/>
          <w:rtl/>
        </w:rPr>
        <w:t>بطوری</w:t>
      </w:r>
      <w:r w:rsidRPr="00A62AA2">
        <w:rPr>
          <w:rFonts w:hint="cs"/>
          <w:i/>
          <w:sz w:val="23"/>
          <w:szCs w:val="23"/>
          <w:rtl/>
        </w:rPr>
        <w:softHyphen/>
        <w:t xml:space="preserve">که می </w:t>
      </w:r>
      <w:r w:rsidRPr="00A62AA2">
        <w:rPr>
          <w:rFonts w:hint="cs"/>
          <w:i/>
          <w:sz w:val="23"/>
          <w:szCs w:val="23"/>
          <w:rtl/>
        </w:rPr>
        <w:softHyphen/>
        <w:t xml:space="preserve">توان نشان داد </w:t>
      </w:r>
    </w:p>
    <w:p w14:paraId="646FDE1E" w14:textId="77777777" w:rsidR="00556C10" w:rsidRPr="00A62AA2" w:rsidRDefault="00556C10" w:rsidP="00556C10">
      <w:pPr>
        <w:bidi w:val="0"/>
        <w:spacing w:line="216" w:lineRule="auto"/>
        <w:rPr>
          <w:i/>
          <w:sz w:val="23"/>
          <w:szCs w:val="23"/>
          <w:rtl/>
        </w:rPr>
      </w:pPr>
      <w:r w:rsidRPr="00A62AA2">
        <w:rPr>
          <w:rFonts w:hint="cs"/>
          <w:i/>
          <w:sz w:val="23"/>
          <w:szCs w:val="23"/>
          <w:rtl/>
        </w:rPr>
        <w:t xml:space="preserve"> </w:t>
      </w:r>
      <w:r w:rsidRPr="00A62AA2">
        <w:rPr>
          <w:position w:val="-28"/>
        </w:rPr>
        <w:object w:dxaOrig="3379" w:dyaOrig="780" w14:anchorId="4F152C73">
          <v:shape id="_x0000_i6597" type="#_x0000_t75" style="width:168.8pt;height:39.35pt" o:ole="">
            <v:imagedata r:id="rId11255" o:title=""/>
          </v:shape>
          <o:OLEObject Type="Embed" ProgID="Equation.DSMT4" ShapeID="_x0000_i6597" DrawAspect="Content" ObjectID="_1791380541" r:id="rId11256"/>
        </w:object>
      </w:r>
      <w:r w:rsidRPr="00A62AA2">
        <w:rPr>
          <w:rFonts w:hint="cs"/>
          <w:i/>
          <w:sz w:val="23"/>
          <w:szCs w:val="23"/>
          <w:rtl/>
        </w:rPr>
        <w:t xml:space="preserve"> </w:t>
      </w:r>
    </w:p>
    <w:p w14:paraId="32A92015" w14:textId="77777777" w:rsidR="00556C10" w:rsidRPr="00A62AA2" w:rsidRDefault="00556C10" w:rsidP="00556C10">
      <w:pPr>
        <w:spacing w:line="216" w:lineRule="auto"/>
        <w:rPr>
          <w:i/>
          <w:sz w:val="23"/>
          <w:szCs w:val="23"/>
          <w:rtl/>
        </w:rPr>
      </w:pPr>
      <w:r w:rsidRPr="00A62AA2">
        <w:rPr>
          <w:rFonts w:hint="cs"/>
          <w:i/>
          <w:sz w:val="23"/>
          <w:szCs w:val="23"/>
          <w:rtl/>
        </w:rPr>
        <w:t xml:space="preserve">و لذا </w:t>
      </w:r>
    </w:p>
    <w:p w14:paraId="1D4090C9" w14:textId="77777777" w:rsidR="00556C10" w:rsidRPr="00A62AA2" w:rsidRDefault="00556C10" w:rsidP="00556C10">
      <w:pPr>
        <w:bidi w:val="0"/>
        <w:spacing w:line="216" w:lineRule="auto"/>
        <w:rPr>
          <w:i/>
          <w:sz w:val="23"/>
          <w:szCs w:val="23"/>
          <w:rtl/>
        </w:rPr>
      </w:pPr>
      <w:r w:rsidRPr="00A62AA2">
        <w:rPr>
          <w:position w:val="-30"/>
        </w:rPr>
        <w:object w:dxaOrig="1980" w:dyaOrig="820" w14:anchorId="7A570C38">
          <v:shape id="_x0000_i6598" type="#_x0000_t75" style="width:99.25pt;height:41.15pt" o:ole="">
            <v:imagedata r:id="rId11257" o:title=""/>
          </v:shape>
          <o:OLEObject Type="Embed" ProgID="Equation.DSMT4" ShapeID="_x0000_i6598" DrawAspect="Content" ObjectID="_1791380542" r:id="rId11258"/>
        </w:object>
      </w:r>
    </w:p>
    <w:p w14:paraId="50FF299D" w14:textId="77777777" w:rsidR="00556C10" w:rsidRPr="00A62AA2" w:rsidRDefault="00556C10" w:rsidP="00556C10">
      <w:pPr>
        <w:spacing w:line="216" w:lineRule="auto"/>
        <w:rPr>
          <w:i/>
          <w:sz w:val="23"/>
          <w:szCs w:val="23"/>
          <w:rtl/>
        </w:rPr>
      </w:pPr>
      <w:r w:rsidRPr="00A62AA2">
        <w:rPr>
          <w:rFonts w:hint="cs"/>
          <w:i/>
          <w:sz w:val="23"/>
          <w:szCs w:val="23"/>
          <w:rtl/>
        </w:rPr>
        <w:t>همچنین می</w:t>
      </w:r>
      <w:r w:rsidRPr="00A62AA2">
        <w:rPr>
          <w:rFonts w:hint="cs"/>
          <w:i/>
          <w:sz w:val="23"/>
          <w:szCs w:val="23"/>
          <w:rtl/>
        </w:rPr>
        <w:softHyphen/>
        <w:t>توان نشان داد که</w:t>
      </w:r>
      <w:r w:rsidRPr="00A62AA2">
        <w:rPr>
          <w:position w:val="-12"/>
        </w:rPr>
        <w:object w:dxaOrig="880" w:dyaOrig="360" w14:anchorId="787CB561">
          <v:shape id="_x0000_i6599" type="#_x0000_t75" style="width:44.15pt;height:18.15pt" o:ole="">
            <v:imagedata r:id="rId11259" o:title=""/>
          </v:shape>
          <o:OLEObject Type="Embed" ProgID="Equation.DSMT4" ShapeID="_x0000_i6599" DrawAspect="Content" ObjectID="_1791380543" r:id="rId11260"/>
        </w:object>
      </w:r>
      <w:r w:rsidRPr="00A62AA2">
        <w:rPr>
          <w:rFonts w:hint="cs"/>
          <w:i/>
          <w:sz w:val="23"/>
          <w:szCs w:val="23"/>
          <w:rtl/>
        </w:rPr>
        <w:t xml:space="preserve"> و</w:t>
      </w:r>
      <w:r w:rsidRPr="00A62AA2">
        <w:rPr>
          <w:position w:val="-12"/>
        </w:rPr>
        <w:object w:dxaOrig="1020" w:dyaOrig="360" w14:anchorId="63473FF3">
          <v:shape id="_x0000_i6600" type="#_x0000_t75" style="width:50.8pt;height:18.15pt" o:ole="">
            <v:imagedata r:id="rId11261" o:title=""/>
          </v:shape>
          <o:OLEObject Type="Embed" ProgID="Equation.DSMT4" ShapeID="_x0000_i6600" DrawAspect="Content" ObjectID="_1791380544" r:id="rId11262"/>
        </w:object>
      </w:r>
      <w:r w:rsidRPr="00A62AA2">
        <w:rPr>
          <w:rFonts w:hint="cs"/>
          <w:i/>
          <w:sz w:val="23"/>
          <w:szCs w:val="23"/>
          <w:rtl/>
        </w:rPr>
        <w:t>، که با</w:t>
      </w:r>
      <w:r w:rsidRPr="00025957">
        <w:rPr>
          <w:position w:val="-4"/>
        </w:rPr>
        <w:object w:dxaOrig="520" w:dyaOrig="240" w14:anchorId="3F6D34E7">
          <v:shape id="_x0000_i6601" type="#_x0000_t75" style="width:26pt;height:11.5pt" o:ole="">
            <v:imagedata r:id="rId11263" o:title=""/>
          </v:shape>
          <o:OLEObject Type="Embed" ProgID="Equation.DSMT4" ShapeID="_x0000_i6601" DrawAspect="Content" ObjectID="_1791380545" r:id="rId11264"/>
        </w:object>
      </w:r>
      <w:r w:rsidRPr="00A62AA2">
        <w:rPr>
          <w:rFonts w:hint="cs"/>
          <w:i/>
          <w:sz w:val="23"/>
          <w:szCs w:val="23"/>
          <w:rtl/>
        </w:rPr>
        <w:t xml:space="preserve">داده شده مبین آن است که </w:t>
      </w:r>
      <w:r w:rsidRPr="00A62AA2">
        <w:rPr>
          <w:position w:val="-12"/>
        </w:rPr>
        <w:object w:dxaOrig="1359" w:dyaOrig="360" w14:anchorId="5B9363C6">
          <v:shape id="_x0000_i6602" type="#_x0000_t75" style="width:67.75pt;height:18.15pt" o:ole="">
            <v:imagedata r:id="rId11265" o:title=""/>
          </v:shape>
          <o:OLEObject Type="Embed" ProgID="Equation.DSMT4" ShapeID="_x0000_i6602" DrawAspect="Content" ObjectID="_1791380546" r:id="rId11266"/>
        </w:object>
      </w:r>
      <w:r w:rsidRPr="00A62AA2">
        <w:rPr>
          <w:i/>
          <w:sz w:val="23"/>
          <w:szCs w:val="23"/>
          <w:rtl/>
        </w:rPr>
        <w:t xml:space="preserve"> </w:t>
      </w:r>
      <w:r w:rsidRPr="00A62AA2">
        <w:rPr>
          <w:rFonts w:hint="cs"/>
          <w:i/>
          <w:sz w:val="23"/>
          <w:szCs w:val="23"/>
          <w:rtl/>
        </w:rPr>
        <w:t>است. به بیانی دیگر، قانون قیمت واحد برقرار است. همچنین</w:t>
      </w:r>
      <w:r w:rsidRPr="00025957">
        <w:rPr>
          <w:position w:val="-4"/>
        </w:rPr>
        <w:object w:dxaOrig="520" w:dyaOrig="240" w14:anchorId="40678550">
          <v:shape id="_x0000_i6603" type="#_x0000_t75" style="width:26pt;height:11.5pt" o:ole="">
            <v:imagedata r:id="rId11267" o:title=""/>
          </v:shape>
          <o:OLEObject Type="Embed" ProgID="Equation.DSMT4" ShapeID="_x0000_i6603" DrawAspect="Content" ObjectID="_1791380547" r:id="rId11268"/>
        </w:object>
      </w:r>
      <w:r w:rsidRPr="00A62AA2">
        <w:rPr>
          <w:rFonts w:hint="cs"/>
          <w:i/>
          <w:sz w:val="23"/>
          <w:szCs w:val="23"/>
          <w:rtl/>
        </w:rPr>
        <w:t xml:space="preserve"> دلالت بر آن دارد که</w:t>
      </w:r>
    </w:p>
    <w:p w14:paraId="67EC4785" w14:textId="77777777" w:rsidR="00556C10" w:rsidRPr="00A62AA2" w:rsidRDefault="00556C10" w:rsidP="00556C10">
      <w:pPr>
        <w:bidi w:val="0"/>
        <w:spacing w:line="216" w:lineRule="auto"/>
        <w:rPr>
          <w:i/>
          <w:sz w:val="23"/>
          <w:szCs w:val="23"/>
          <w:rtl/>
        </w:rPr>
      </w:pPr>
      <w:r w:rsidRPr="00A62AA2">
        <w:rPr>
          <w:position w:val="-22"/>
        </w:rPr>
        <w:object w:dxaOrig="800" w:dyaOrig="560" w14:anchorId="5E72147E">
          <v:shape id="_x0000_i6604" type="#_x0000_t75" style="width:39.95pt;height:27.85pt" o:ole="">
            <v:imagedata r:id="rId11269" o:title=""/>
          </v:shape>
          <o:OLEObject Type="Embed" ProgID="Equation.DSMT4" ShapeID="_x0000_i6604" DrawAspect="Content" ObjectID="_1791380548" r:id="rId11270"/>
        </w:object>
      </w:r>
    </w:p>
    <w:p w14:paraId="6E80B133" w14:textId="77777777" w:rsidR="00556C10" w:rsidRPr="00A62AA2" w:rsidRDefault="00556C10" w:rsidP="00556C10">
      <w:pPr>
        <w:spacing w:line="216" w:lineRule="auto"/>
        <w:rPr>
          <w:i/>
          <w:sz w:val="23"/>
          <w:szCs w:val="23"/>
          <w:rtl/>
        </w:rPr>
      </w:pPr>
      <w:r w:rsidRPr="00A62AA2">
        <w:rPr>
          <w:rFonts w:hint="cs"/>
          <w:i/>
          <w:sz w:val="23"/>
          <w:szCs w:val="23"/>
          <w:rtl/>
        </w:rPr>
        <w:t>یعنی نرخ ارز به نسبت عرضه</w:t>
      </w:r>
      <w:r w:rsidRPr="00A62AA2">
        <w:rPr>
          <w:rFonts w:hint="cs"/>
          <w:i/>
          <w:sz w:val="23"/>
          <w:szCs w:val="23"/>
          <w:rtl/>
        </w:rPr>
        <w:softHyphen/>
        <w:t>های پول وابسته است. بنابراین مدل مبنا پیش</w:t>
      </w:r>
      <w:r w:rsidRPr="00A62AA2">
        <w:rPr>
          <w:i/>
          <w:sz w:val="23"/>
          <w:szCs w:val="23"/>
          <w:rtl/>
        </w:rPr>
        <w:softHyphen/>
      </w:r>
      <w:r w:rsidRPr="00A62AA2">
        <w:rPr>
          <w:rFonts w:hint="cs"/>
          <w:i/>
          <w:sz w:val="23"/>
          <w:szCs w:val="23"/>
          <w:rtl/>
        </w:rPr>
        <w:t>بینی متفاوتی در خصوص تعیین نرخ ارز بلند</w:t>
      </w:r>
      <w:r w:rsidRPr="00A62AA2">
        <w:rPr>
          <w:rFonts w:hint="cs"/>
          <w:i/>
          <w:sz w:val="23"/>
          <w:szCs w:val="23"/>
          <w:rtl/>
        </w:rPr>
        <w:softHyphen/>
        <w:t>مدت نسبت به مدل</w:t>
      </w:r>
      <w:r w:rsidRPr="00A62AA2">
        <w:rPr>
          <w:rFonts w:hint="cs"/>
          <w:i/>
          <w:sz w:val="23"/>
          <w:szCs w:val="23"/>
          <w:rtl/>
        </w:rPr>
        <w:softHyphen/>
        <w:t>های قبل دارد. برای مثال، در مدل پولی نسبت تولیدها نیز بر نرخ ارز موثر است.</w:t>
      </w:r>
    </w:p>
    <w:p w14:paraId="5A1AE358" w14:textId="77777777" w:rsidR="00556C10" w:rsidRPr="00A62AA2" w:rsidRDefault="00556C10" w:rsidP="00556C10">
      <w:pPr>
        <w:spacing w:line="216" w:lineRule="auto"/>
        <w:rPr>
          <w:i/>
          <w:sz w:val="23"/>
          <w:szCs w:val="23"/>
          <w:rtl/>
        </w:rPr>
      </w:pPr>
    </w:p>
    <w:p w14:paraId="54907D83" w14:textId="77777777" w:rsidR="00556C10" w:rsidRPr="00A62AA2" w:rsidRDefault="00556C10" w:rsidP="00556C10">
      <w:pPr>
        <w:pStyle w:val="Heading1"/>
        <w:spacing w:before="0" w:line="216" w:lineRule="auto"/>
        <w:rPr>
          <w:rFonts w:ascii="Times New Roman" w:hAnsi="Times New Roman" w:cs="B Nazanin"/>
          <w:b w:val="0"/>
          <w:i/>
          <w:sz w:val="23"/>
          <w:szCs w:val="23"/>
          <w:rtl/>
        </w:rPr>
      </w:pPr>
      <w:r w:rsidRPr="00A62AA2">
        <w:rPr>
          <w:rFonts w:ascii="Times New Roman" w:hAnsi="Times New Roman" w:cs="B Nazanin" w:hint="cs"/>
          <w:b w:val="0"/>
          <w:i/>
          <w:sz w:val="23"/>
          <w:szCs w:val="23"/>
          <w:rtl/>
        </w:rPr>
        <w:t>۱۳. ۹. ۲ تقریب لگاریتم- خطی</w:t>
      </w:r>
    </w:p>
    <w:p w14:paraId="462BDC90" w14:textId="77777777" w:rsidR="00556C10" w:rsidRPr="00A62AA2" w:rsidRDefault="00556C10" w:rsidP="00556C10">
      <w:pPr>
        <w:spacing w:line="216" w:lineRule="auto"/>
        <w:rPr>
          <w:i/>
          <w:sz w:val="23"/>
          <w:szCs w:val="23"/>
          <w:rtl/>
        </w:rPr>
      </w:pPr>
      <w:r w:rsidRPr="00A62AA2">
        <w:rPr>
          <w:rFonts w:hint="cs"/>
          <w:i/>
          <w:sz w:val="23"/>
          <w:szCs w:val="23"/>
          <w:rtl/>
        </w:rPr>
        <w:t>راه مناسب و ساده</w:t>
      </w:r>
      <w:r w:rsidRPr="00A62AA2">
        <w:rPr>
          <w:rFonts w:hint="cs"/>
          <w:i/>
          <w:sz w:val="23"/>
          <w:szCs w:val="23"/>
          <w:rtl/>
        </w:rPr>
        <w:softHyphen/>
        <w:t>تر برای تجزیه و تحلیل مدل احیا شده بکارگیری تقریب لگاریتم-خطی در اطراف حل بلند</w:t>
      </w:r>
      <w:r w:rsidRPr="00A62AA2">
        <w:rPr>
          <w:rFonts w:hint="cs"/>
          <w:i/>
          <w:sz w:val="23"/>
          <w:szCs w:val="23"/>
          <w:rtl/>
        </w:rPr>
        <w:softHyphen/>
        <w:t>مدت مدل مبنا می</w:t>
      </w:r>
      <w:r w:rsidRPr="00A62AA2">
        <w:rPr>
          <w:rFonts w:hint="cs"/>
          <w:i/>
          <w:sz w:val="23"/>
          <w:szCs w:val="23"/>
          <w:rtl/>
        </w:rPr>
        <w:softHyphen/>
        <w:t>باشد. انحرافات متناسب از مدل مبنا را با</w:t>
      </w:r>
      <w:r w:rsidRPr="00A62AA2">
        <w:rPr>
          <w:position w:val="-12"/>
        </w:rPr>
        <w:object w:dxaOrig="1359" w:dyaOrig="360" w14:anchorId="59891C15">
          <v:shape id="_x0000_i6605" type="#_x0000_t75" style="width:67.75pt;height:18.15pt" o:ole="">
            <v:imagedata r:id="rId11271" o:title=""/>
          </v:shape>
          <o:OLEObject Type="Embed" ProgID="Equation.DSMT4" ShapeID="_x0000_i6605" DrawAspect="Content" ObjectID="_1791380549" r:id="rId11272"/>
        </w:object>
      </w:r>
      <w:r w:rsidRPr="00A62AA2">
        <w:rPr>
          <w:rFonts w:hint="cs"/>
          <w:i/>
          <w:sz w:val="23"/>
          <w:szCs w:val="23"/>
          <w:rtl/>
        </w:rPr>
        <w:t xml:space="preserve"> نشان می</w:t>
      </w:r>
      <w:r w:rsidRPr="00A62AA2">
        <w:rPr>
          <w:rFonts w:hint="cs"/>
          <w:i/>
          <w:sz w:val="23"/>
          <w:szCs w:val="23"/>
          <w:rtl/>
        </w:rPr>
        <w:softHyphen/>
        <w:t>دهیم که در آن</w:t>
      </w:r>
      <w:r w:rsidRPr="00A62AA2">
        <w:rPr>
          <w:position w:val="-6"/>
        </w:rPr>
        <w:object w:dxaOrig="200" w:dyaOrig="200" w14:anchorId="7C074A8F">
          <v:shape id="_x0000_i6606" type="#_x0000_t75" style="width:10.3pt;height:10.3pt" o:ole="">
            <v:imagedata r:id="rId11273" o:title=""/>
          </v:shape>
          <o:OLEObject Type="Embed" ProgID="Equation.DSMT4" ShapeID="_x0000_i6606" DrawAspect="Content" ObjectID="_1791380550" r:id="rId11274"/>
        </w:object>
      </w:r>
      <w:r w:rsidRPr="00A62AA2">
        <w:rPr>
          <w:i/>
          <w:sz w:val="23"/>
          <w:szCs w:val="23"/>
        </w:rPr>
        <w:t xml:space="preserve"> </w:t>
      </w:r>
      <w:r w:rsidRPr="00A62AA2">
        <w:rPr>
          <w:rFonts w:hint="cs"/>
          <w:i/>
          <w:sz w:val="23"/>
          <w:szCs w:val="23"/>
          <w:rtl/>
        </w:rPr>
        <w:t>حل مدل مبنا می</w:t>
      </w:r>
      <w:r w:rsidRPr="00A62AA2">
        <w:rPr>
          <w:rFonts w:hint="cs"/>
          <w:i/>
          <w:sz w:val="23"/>
          <w:szCs w:val="23"/>
          <w:rtl/>
        </w:rPr>
        <w:softHyphen/>
        <w:t>باشد. حل لگاریتم-خطی مدل عبارت است از</w:t>
      </w:r>
    </w:p>
    <w:p w14:paraId="1BB94F37" w14:textId="77777777" w:rsidR="00556C10" w:rsidRPr="00A62AA2" w:rsidRDefault="00556C10" w:rsidP="00C67946">
      <w:pPr>
        <w:pStyle w:val="ListParagraph"/>
        <w:numPr>
          <w:ilvl w:val="0"/>
          <w:numId w:val="9"/>
        </w:numPr>
        <w:spacing w:line="216" w:lineRule="auto"/>
        <w:ind w:left="0" w:firstLine="0"/>
        <w:rPr>
          <w:i/>
          <w:sz w:val="23"/>
          <w:szCs w:val="23"/>
          <w:rtl/>
        </w:rPr>
      </w:pPr>
      <w:r w:rsidRPr="00A62AA2">
        <w:rPr>
          <w:rFonts w:hint="cs"/>
          <w:i/>
          <w:sz w:val="23"/>
          <w:szCs w:val="23"/>
          <w:rtl/>
        </w:rPr>
        <w:t xml:space="preserve">برابری قدرت خرید </w:t>
      </w:r>
      <w:r w:rsidRPr="00025957">
        <w:rPr>
          <w:position w:val="-4"/>
        </w:rPr>
        <w:object w:dxaOrig="520" w:dyaOrig="240" w14:anchorId="3EC45699">
          <v:shape id="_x0000_i6607" type="#_x0000_t75" style="width:26pt;height:11.5pt" o:ole="">
            <v:imagedata r:id="rId11275" o:title=""/>
          </v:shape>
          <o:OLEObject Type="Embed" ProgID="Equation.DSMT4" ShapeID="_x0000_i6607" DrawAspect="Content" ObjectID="_1791380551" r:id="rId11276"/>
        </w:object>
      </w:r>
    </w:p>
    <w:p w14:paraId="2F20AEB9" w14:textId="77777777" w:rsidR="00556C10" w:rsidRPr="00A62AA2" w:rsidRDefault="00556C10" w:rsidP="00556C10">
      <w:pPr>
        <w:bidi w:val="0"/>
        <w:spacing w:line="216" w:lineRule="auto"/>
        <w:rPr>
          <w:i/>
          <w:sz w:val="23"/>
          <w:szCs w:val="23"/>
          <w:rtl/>
        </w:rPr>
      </w:pPr>
      <w:r w:rsidRPr="00A62AA2">
        <w:rPr>
          <w:position w:val="-10"/>
        </w:rPr>
        <w:object w:dxaOrig="1340" w:dyaOrig="340" w14:anchorId="0D3AEECC">
          <v:shape id="_x0000_i6608" type="#_x0000_t75" style="width:67.15pt;height:16.95pt" o:ole="">
            <v:imagedata r:id="rId11277" o:title=""/>
          </v:shape>
          <o:OLEObject Type="Embed" ProgID="Equation.DSMT4" ShapeID="_x0000_i6608" DrawAspect="Content" ObjectID="_1791380552" r:id="rId11278"/>
        </w:object>
      </w:r>
    </w:p>
    <w:p w14:paraId="13DBBC76" w14:textId="77777777" w:rsidR="00556C10" w:rsidRPr="00A62AA2" w:rsidRDefault="00556C10" w:rsidP="00C67946">
      <w:pPr>
        <w:pStyle w:val="ListParagraph"/>
        <w:widowControl w:val="0"/>
        <w:numPr>
          <w:ilvl w:val="0"/>
          <w:numId w:val="10"/>
        </w:numPr>
        <w:overflowPunct w:val="0"/>
        <w:autoSpaceDE w:val="0"/>
        <w:autoSpaceDN w:val="0"/>
        <w:adjustRightInd w:val="0"/>
        <w:spacing w:line="216" w:lineRule="auto"/>
        <w:ind w:left="0" w:firstLine="0"/>
        <w:textAlignment w:val="baseline"/>
        <w:rPr>
          <w:i/>
          <w:sz w:val="23"/>
          <w:szCs w:val="23"/>
          <w:rtl/>
        </w:rPr>
      </w:pPr>
      <w:r w:rsidRPr="00A62AA2">
        <w:rPr>
          <w:rFonts w:hint="cs"/>
          <w:i/>
          <w:sz w:val="23"/>
          <w:szCs w:val="23"/>
          <w:rtl/>
        </w:rPr>
        <w:t>شاخص</w:t>
      </w:r>
      <w:r w:rsidRPr="00A62AA2">
        <w:rPr>
          <w:rFonts w:hint="cs"/>
          <w:i/>
          <w:sz w:val="23"/>
          <w:szCs w:val="23"/>
          <w:rtl/>
        </w:rPr>
        <w:softHyphen/>
        <w:t>های عمومی قیمت</w:t>
      </w:r>
      <w:r w:rsidRPr="00A62AA2">
        <w:rPr>
          <w:rFonts w:hint="cs"/>
          <w:i/>
          <w:sz w:val="23"/>
          <w:szCs w:val="23"/>
          <w:rtl/>
        </w:rPr>
        <w:softHyphen/>
        <w:t>های داخلی و خارجی، معادله ی (۱۳. ۲۷)</w:t>
      </w:r>
    </w:p>
    <w:p w14:paraId="6FD9B8C1" w14:textId="77777777" w:rsidR="00556C10" w:rsidRPr="00A62AA2" w:rsidRDefault="00556C10" w:rsidP="00556C10">
      <w:pPr>
        <w:pStyle w:val="ListParagraph"/>
        <w:widowControl w:val="0"/>
        <w:overflowPunct w:val="0"/>
        <w:autoSpaceDE w:val="0"/>
        <w:autoSpaceDN w:val="0"/>
        <w:bidi w:val="0"/>
        <w:adjustRightInd w:val="0"/>
        <w:spacing w:line="216" w:lineRule="auto"/>
        <w:ind w:left="0"/>
        <w:textAlignment w:val="baseline"/>
        <w:rPr>
          <w:i/>
          <w:sz w:val="23"/>
          <w:szCs w:val="23"/>
        </w:rPr>
      </w:pPr>
      <w:r w:rsidRPr="00A62AA2">
        <w:rPr>
          <w:position w:val="-16"/>
        </w:rPr>
        <w:object w:dxaOrig="2960" w:dyaOrig="420" w14:anchorId="28E7B8F7">
          <v:shape id="_x0000_i6609" type="#_x0000_t75" style="width:147.65pt;height:21.2pt" o:ole="">
            <v:imagedata r:id="rId11279" o:title=""/>
          </v:shape>
          <o:OLEObject Type="Embed" ProgID="Equation.DSMT4" ShapeID="_x0000_i6609" DrawAspect="Content" ObjectID="_1791380553" r:id="rId11280"/>
        </w:object>
      </w:r>
      <w:r w:rsidRPr="00A62AA2">
        <w:rPr>
          <w:rFonts w:hint="cs"/>
          <w:i/>
          <w:sz w:val="23"/>
          <w:szCs w:val="23"/>
          <w:rtl/>
        </w:rPr>
        <w:t xml:space="preserve"> </w:t>
      </w:r>
    </w:p>
    <w:p w14:paraId="0E91C5AB" w14:textId="77777777" w:rsidR="00556C10" w:rsidRPr="00A62AA2" w:rsidRDefault="00556C10" w:rsidP="00556C10">
      <w:pPr>
        <w:pStyle w:val="ListParagraph"/>
        <w:widowControl w:val="0"/>
        <w:overflowPunct w:val="0"/>
        <w:autoSpaceDE w:val="0"/>
        <w:autoSpaceDN w:val="0"/>
        <w:bidi w:val="0"/>
        <w:adjustRightInd w:val="0"/>
        <w:spacing w:line="216" w:lineRule="auto"/>
        <w:ind w:left="0"/>
        <w:textAlignment w:val="baseline"/>
        <w:rPr>
          <w:i/>
          <w:sz w:val="23"/>
          <w:szCs w:val="23"/>
        </w:rPr>
      </w:pPr>
      <w:r w:rsidRPr="00A62AA2">
        <w:rPr>
          <w:position w:val="-16"/>
        </w:rPr>
        <w:object w:dxaOrig="3100" w:dyaOrig="420" w14:anchorId="5CAF9FB0">
          <v:shape id="_x0000_i6610" type="#_x0000_t75" style="width:154.9pt;height:21.2pt" o:ole="">
            <v:imagedata r:id="rId11281" o:title=""/>
          </v:shape>
          <o:OLEObject Type="Embed" ProgID="Equation.DSMT4" ShapeID="_x0000_i6610" DrawAspect="Content" ObjectID="_1791380554" r:id="rId11282"/>
        </w:object>
      </w:r>
    </w:p>
    <w:p w14:paraId="0958E6D9" w14:textId="77777777" w:rsidR="00556C10" w:rsidRPr="00A62AA2" w:rsidRDefault="00556C10" w:rsidP="00C67946">
      <w:pPr>
        <w:pStyle w:val="ListParagraph"/>
        <w:widowControl w:val="0"/>
        <w:numPr>
          <w:ilvl w:val="0"/>
          <w:numId w:val="10"/>
        </w:numPr>
        <w:overflowPunct w:val="0"/>
        <w:autoSpaceDE w:val="0"/>
        <w:autoSpaceDN w:val="0"/>
        <w:adjustRightInd w:val="0"/>
        <w:spacing w:line="216" w:lineRule="auto"/>
        <w:ind w:left="0" w:firstLine="0"/>
        <w:textAlignment w:val="baseline"/>
        <w:rPr>
          <w:i/>
          <w:sz w:val="23"/>
          <w:szCs w:val="23"/>
        </w:rPr>
      </w:pPr>
      <w:r w:rsidRPr="00A62AA2">
        <w:rPr>
          <w:rFonts w:hint="cs"/>
          <w:i/>
          <w:sz w:val="23"/>
          <w:szCs w:val="23"/>
          <w:rtl/>
        </w:rPr>
        <w:t xml:space="preserve">توابع تقاضای جهانی (۱۳. ۳۳)، که در آن </w:t>
      </w:r>
      <w:r w:rsidRPr="00A62AA2">
        <w:rPr>
          <w:position w:val="-22"/>
        </w:rPr>
        <w:object w:dxaOrig="740" w:dyaOrig="600" w14:anchorId="588E1979">
          <v:shape id="_x0000_i6611" type="#_x0000_t75" style="width:36.9pt;height:29.65pt" o:ole="">
            <v:imagedata r:id="rId11283" o:title=""/>
          </v:shape>
          <o:OLEObject Type="Embed" ProgID="Equation.DSMT4" ShapeID="_x0000_i6611" DrawAspect="Content" ObjectID="_1791380555" r:id="rId11284"/>
        </w:object>
      </w:r>
      <w:r w:rsidRPr="00A62AA2">
        <w:rPr>
          <w:rFonts w:hint="cs"/>
          <w:i/>
          <w:sz w:val="23"/>
          <w:szCs w:val="23"/>
          <w:rtl/>
        </w:rPr>
        <w:t xml:space="preserve"> </w:t>
      </w:r>
    </w:p>
    <w:p w14:paraId="329CCF60" w14:textId="77777777" w:rsidR="00556C10" w:rsidRPr="00A62AA2" w:rsidRDefault="00556C10" w:rsidP="00556C10">
      <w:pPr>
        <w:pStyle w:val="ListParagraph"/>
        <w:widowControl w:val="0"/>
        <w:overflowPunct w:val="0"/>
        <w:autoSpaceDE w:val="0"/>
        <w:autoSpaceDN w:val="0"/>
        <w:bidi w:val="0"/>
        <w:adjustRightInd w:val="0"/>
        <w:spacing w:line="216" w:lineRule="auto"/>
        <w:ind w:left="0"/>
        <w:textAlignment w:val="baseline"/>
        <w:rPr>
          <w:i/>
          <w:sz w:val="23"/>
          <w:szCs w:val="23"/>
        </w:rPr>
      </w:pPr>
      <w:r w:rsidRPr="00A62AA2">
        <w:rPr>
          <w:position w:val="-16"/>
        </w:rPr>
        <w:object w:dxaOrig="3379" w:dyaOrig="420" w14:anchorId="5E741E6E">
          <v:shape id="_x0000_i6612" type="#_x0000_t75" style="width:168.8pt;height:21.2pt" o:ole="">
            <v:imagedata r:id="rId11285" o:title=""/>
          </v:shape>
          <o:OLEObject Type="Embed" ProgID="Equation.DSMT4" ShapeID="_x0000_i6612" DrawAspect="Content" ObjectID="_1791380556" r:id="rId11286"/>
        </w:object>
      </w:r>
    </w:p>
    <w:p w14:paraId="44CC66B9" w14:textId="77777777" w:rsidR="00556C10" w:rsidRPr="00A62AA2" w:rsidRDefault="00556C10" w:rsidP="00556C10">
      <w:pPr>
        <w:pStyle w:val="ListParagraph"/>
        <w:widowControl w:val="0"/>
        <w:overflowPunct w:val="0"/>
        <w:autoSpaceDE w:val="0"/>
        <w:autoSpaceDN w:val="0"/>
        <w:bidi w:val="0"/>
        <w:adjustRightInd w:val="0"/>
        <w:spacing w:line="216" w:lineRule="auto"/>
        <w:ind w:left="0"/>
        <w:textAlignment w:val="baseline"/>
        <w:rPr>
          <w:i/>
          <w:sz w:val="23"/>
          <w:szCs w:val="23"/>
        </w:rPr>
      </w:pPr>
      <w:r w:rsidRPr="00A62AA2">
        <w:rPr>
          <w:position w:val="-16"/>
        </w:rPr>
        <w:object w:dxaOrig="3600" w:dyaOrig="420" w14:anchorId="27C05C3F">
          <v:shape id="_x0000_i6613" type="#_x0000_t75" style="width:180.3pt;height:21.2pt" o:ole="">
            <v:imagedata r:id="rId11287" o:title=""/>
          </v:shape>
          <o:OLEObject Type="Embed" ProgID="Equation.DSMT4" ShapeID="_x0000_i6613" DrawAspect="Content" ObjectID="_1791380557" r:id="rId11288"/>
        </w:object>
      </w:r>
    </w:p>
    <w:p w14:paraId="708DA0AB" w14:textId="77777777" w:rsidR="00556C10" w:rsidRPr="00A62AA2" w:rsidRDefault="00556C10" w:rsidP="00C67946">
      <w:pPr>
        <w:pStyle w:val="ListParagraph"/>
        <w:widowControl w:val="0"/>
        <w:numPr>
          <w:ilvl w:val="0"/>
          <w:numId w:val="10"/>
        </w:numPr>
        <w:overflowPunct w:val="0"/>
        <w:autoSpaceDE w:val="0"/>
        <w:autoSpaceDN w:val="0"/>
        <w:adjustRightInd w:val="0"/>
        <w:spacing w:line="216" w:lineRule="auto"/>
        <w:ind w:left="0" w:firstLine="0"/>
        <w:textAlignment w:val="baseline"/>
        <w:rPr>
          <w:i/>
          <w:sz w:val="23"/>
          <w:szCs w:val="23"/>
        </w:rPr>
      </w:pPr>
      <w:r w:rsidRPr="00A62AA2">
        <w:rPr>
          <w:rFonts w:hint="cs"/>
          <w:i/>
          <w:sz w:val="23"/>
          <w:szCs w:val="23"/>
          <w:rtl/>
        </w:rPr>
        <w:t>تولید (عرضه کار)</w:t>
      </w:r>
    </w:p>
    <w:p w14:paraId="0459BBAF" w14:textId="77777777" w:rsidR="00556C10" w:rsidRPr="00A62AA2" w:rsidRDefault="00556C10" w:rsidP="00556C10">
      <w:pPr>
        <w:pStyle w:val="ListParagraph"/>
        <w:widowControl w:val="0"/>
        <w:overflowPunct w:val="0"/>
        <w:autoSpaceDE w:val="0"/>
        <w:autoSpaceDN w:val="0"/>
        <w:bidi w:val="0"/>
        <w:adjustRightInd w:val="0"/>
        <w:spacing w:line="216" w:lineRule="auto"/>
        <w:ind w:left="0"/>
        <w:textAlignment w:val="baseline"/>
        <w:rPr>
          <w:i/>
          <w:sz w:val="23"/>
          <w:szCs w:val="23"/>
        </w:rPr>
      </w:pPr>
      <w:r w:rsidRPr="00A62AA2">
        <w:rPr>
          <w:position w:val="-12"/>
        </w:rPr>
        <w:object w:dxaOrig="3100" w:dyaOrig="360" w14:anchorId="199FA126">
          <v:shape id="_x0000_i6614" type="#_x0000_t75" style="width:154.9pt;height:18.15pt" o:ole="">
            <v:imagedata r:id="rId11289" o:title=""/>
          </v:shape>
          <o:OLEObject Type="Embed" ProgID="Equation.DSMT4" ShapeID="_x0000_i6614" DrawAspect="Content" ObjectID="_1791380558" r:id="rId11290"/>
        </w:object>
      </w:r>
    </w:p>
    <w:p w14:paraId="0181C9EC" w14:textId="77777777" w:rsidR="00556C10" w:rsidRPr="00A62AA2" w:rsidRDefault="00556C10" w:rsidP="00556C10">
      <w:pPr>
        <w:pStyle w:val="ListParagraph"/>
        <w:widowControl w:val="0"/>
        <w:overflowPunct w:val="0"/>
        <w:autoSpaceDE w:val="0"/>
        <w:autoSpaceDN w:val="0"/>
        <w:bidi w:val="0"/>
        <w:adjustRightInd w:val="0"/>
        <w:spacing w:line="216" w:lineRule="auto"/>
        <w:ind w:left="0"/>
        <w:textAlignment w:val="baseline"/>
        <w:rPr>
          <w:i/>
          <w:sz w:val="23"/>
          <w:szCs w:val="23"/>
        </w:rPr>
      </w:pPr>
      <w:r w:rsidRPr="00A62AA2">
        <w:rPr>
          <w:position w:val="-12"/>
        </w:rPr>
        <w:object w:dxaOrig="3240" w:dyaOrig="360" w14:anchorId="1BF5F47E">
          <v:shape id="_x0000_i6615" type="#_x0000_t75" style="width:162.15pt;height:18.15pt" o:ole="">
            <v:imagedata r:id="rId11291" o:title=""/>
          </v:shape>
          <o:OLEObject Type="Embed" ProgID="Equation.DSMT4" ShapeID="_x0000_i6615" DrawAspect="Content" ObjectID="_1791380559" r:id="rId11292"/>
        </w:object>
      </w:r>
    </w:p>
    <w:p w14:paraId="6B2C0FB0" w14:textId="77777777" w:rsidR="00556C10" w:rsidRPr="00A62AA2" w:rsidRDefault="00556C10" w:rsidP="00C67946">
      <w:pPr>
        <w:pStyle w:val="ListParagraph"/>
        <w:widowControl w:val="0"/>
        <w:numPr>
          <w:ilvl w:val="0"/>
          <w:numId w:val="10"/>
        </w:numPr>
        <w:overflowPunct w:val="0"/>
        <w:autoSpaceDE w:val="0"/>
        <w:autoSpaceDN w:val="0"/>
        <w:adjustRightInd w:val="0"/>
        <w:spacing w:line="216" w:lineRule="auto"/>
        <w:ind w:left="0" w:firstLine="0"/>
        <w:textAlignment w:val="baseline"/>
        <w:rPr>
          <w:i/>
          <w:sz w:val="23"/>
          <w:szCs w:val="23"/>
        </w:rPr>
      </w:pPr>
      <w:r w:rsidRPr="00A62AA2">
        <w:rPr>
          <w:rFonts w:hint="cs"/>
          <w:i/>
          <w:sz w:val="23"/>
          <w:szCs w:val="23"/>
          <w:rtl/>
        </w:rPr>
        <w:t>مصرف</w:t>
      </w:r>
    </w:p>
    <w:p w14:paraId="1462D28B" w14:textId="77777777" w:rsidR="00556C10" w:rsidRPr="00A62AA2" w:rsidRDefault="00556C10" w:rsidP="00556C10">
      <w:pPr>
        <w:pStyle w:val="ListParagraph"/>
        <w:widowControl w:val="0"/>
        <w:overflowPunct w:val="0"/>
        <w:autoSpaceDE w:val="0"/>
        <w:autoSpaceDN w:val="0"/>
        <w:bidi w:val="0"/>
        <w:adjustRightInd w:val="0"/>
        <w:spacing w:line="216" w:lineRule="auto"/>
        <w:ind w:left="0"/>
        <w:textAlignment w:val="baseline"/>
        <w:rPr>
          <w:i/>
          <w:sz w:val="23"/>
          <w:szCs w:val="23"/>
        </w:rPr>
      </w:pPr>
      <w:r w:rsidRPr="00A62AA2">
        <w:rPr>
          <w:position w:val="-12"/>
        </w:rPr>
        <w:object w:dxaOrig="1780" w:dyaOrig="360" w14:anchorId="45B13667">
          <v:shape id="_x0000_i6616" type="#_x0000_t75" style="width:88.95pt;height:18.15pt" o:ole="">
            <v:imagedata r:id="rId11293" o:title=""/>
          </v:shape>
          <o:OLEObject Type="Embed" ProgID="Equation.DSMT4" ShapeID="_x0000_i6616" DrawAspect="Content" ObjectID="_1791380560" r:id="rId11294"/>
        </w:object>
      </w:r>
    </w:p>
    <w:p w14:paraId="2E33EA66" w14:textId="77777777" w:rsidR="00556C10" w:rsidRPr="00A62AA2" w:rsidRDefault="00556C10" w:rsidP="00556C10">
      <w:pPr>
        <w:pStyle w:val="ListParagraph"/>
        <w:widowControl w:val="0"/>
        <w:overflowPunct w:val="0"/>
        <w:autoSpaceDE w:val="0"/>
        <w:autoSpaceDN w:val="0"/>
        <w:bidi w:val="0"/>
        <w:adjustRightInd w:val="0"/>
        <w:spacing w:line="216" w:lineRule="auto"/>
        <w:ind w:left="0"/>
        <w:textAlignment w:val="baseline"/>
        <w:rPr>
          <w:i/>
          <w:sz w:val="23"/>
          <w:szCs w:val="23"/>
        </w:rPr>
      </w:pPr>
      <w:r w:rsidRPr="00A62AA2">
        <w:rPr>
          <w:position w:val="-12"/>
        </w:rPr>
        <w:object w:dxaOrig="1860" w:dyaOrig="360" w14:anchorId="3A80E2D6">
          <v:shape id="_x0000_i6617" type="#_x0000_t75" style="width:93.2pt;height:18.15pt" o:ole="">
            <v:imagedata r:id="rId11295" o:title=""/>
          </v:shape>
          <o:OLEObject Type="Embed" ProgID="Equation.DSMT4" ShapeID="_x0000_i6617" DrawAspect="Content" ObjectID="_1791380561" r:id="rId11296"/>
        </w:object>
      </w:r>
    </w:p>
    <w:p w14:paraId="18B424F9" w14:textId="77777777" w:rsidR="00556C10" w:rsidRPr="00A62AA2" w:rsidRDefault="00556C10" w:rsidP="00C67946">
      <w:pPr>
        <w:pStyle w:val="ListParagraph"/>
        <w:widowControl w:val="0"/>
        <w:numPr>
          <w:ilvl w:val="0"/>
          <w:numId w:val="10"/>
        </w:numPr>
        <w:overflowPunct w:val="0"/>
        <w:autoSpaceDE w:val="0"/>
        <w:autoSpaceDN w:val="0"/>
        <w:adjustRightInd w:val="0"/>
        <w:spacing w:line="216" w:lineRule="auto"/>
        <w:ind w:left="0" w:firstLine="0"/>
        <w:textAlignment w:val="baseline"/>
        <w:rPr>
          <w:i/>
          <w:sz w:val="23"/>
          <w:szCs w:val="23"/>
        </w:rPr>
      </w:pPr>
      <w:r w:rsidRPr="00A62AA2">
        <w:rPr>
          <w:rFonts w:hint="cs"/>
          <w:i/>
          <w:sz w:val="23"/>
          <w:szCs w:val="23"/>
          <w:rtl/>
        </w:rPr>
        <w:t>و تقاضای پول</w:t>
      </w:r>
    </w:p>
    <w:p w14:paraId="51FB16BC" w14:textId="77777777" w:rsidR="00556C10" w:rsidRPr="00A62AA2" w:rsidRDefault="00556C10" w:rsidP="00556C10">
      <w:pPr>
        <w:pStyle w:val="ListParagraph"/>
        <w:widowControl w:val="0"/>
        <w:overflowPunct w:val="0"/>
        <w:autoSpaceDE w:val="0"/>
        <w:autoSpaceDN w:val="0"/>
        <w:bidi w:val="0"/>
        <w:adjustRightInd w:val="0"/>
        <w:spacing w:line="216" w:lineRule="auto"/>
        <w:ind w:left="0"/>
        <w:textAlignment w:val="baseline"/>
        <w:rPr>
          <w:i/>
          <w:sz w:val="23"/>
          <w:szCs w:val="23"/>
        </w:rPr>
      </w:pPr>
      <w:r w:rsidRPr="00A62AA2">
        <w:rPr>
          <w:position w:val="-32"/>
        </w:rPr>
        <w:object w:dxaOrig="3379" w:dyaOrig="740" w14:anchorId="7D8B0846">
          <v:shape id="_x0000_i6618" type="#_x0000_t75" style="width:168.8pt;height:36.9pt" o:ole="">
            <v:imagedata r:id="rId11297" o:title=""/>
          </v:shape>
          <o:OLEObject Type="Embed" ProgID="Equation.DSMT4" ShapeID="_x0000_i6618" DrawAspect="Content" ObjectID="_1791380562" r:id="rId11298"/>
        </w:object>
      </w:r>
    </w:p>
    <w:p w14:paraId="28A3FF91" w14:textId="77777777" w:rsidR="00556C10" w:rsidRPr="00A62AA2" w:rsidRDefault="00556C10" w:rsidP="00556C10">
      <w:pPr>
        <w:pStyle w:val="ListParagraph"/>
        <w:widowControl w:val="0"/>
        <w:overflowPunct w:val="0"/>
        <w:autoSpaceDE w:val="0"/>
        <w:autoSpaceDN w:val="0"/>
        <w:bidi w:val="0"/>
        <w:adjustRightInd w:val="0"/>
        <w:spacing w:line="216" w:lineRule="auto"/>
        <w:ind w:left="0"/>
        <w:textAlignment w:val="baseline"/>
        <w:rPr>
          <w:i/>
          <w:sz w:val="23"/>
          <w:szCs w:val="23"/>
        </w:rPr>
      </w:pPr>
      <w:r w:rsidRPr="00A62AA2">
        <w:rPr>
          <w:position w:val="-32"/>
        </w:rPr>
        <w:object w:dxaOrig="3680" w:dyaOrig="740" w14:anchorId="59C97225">
          <v:shape id="_x0000_i6619" type="#_x0000_t75" style="width:183.95pt;height:36.9pt" o:ole="">
            <v:imagedata r:id="rId11299" o:title=""/>
          </v:shape>
          <o:OLEObject Type="Embed" ProgID="Equation.DSMT4" ShapeID="_x0000_i6619" DrawAspect="Content" ObjectID="_1791380563" r:id="rId11300"/>
        </w:object>
      </w:r>
    </w:p>
    <w:p w14:paraId="36902C47" w14:textId="77777777" w:rsidR="00556C10" w:rsidRPr="00A62AA2" w:rsidRDefault="00556C10" w:rsidP="00556C10">
      <w:pPr>
        <w:spacing w:line="216" w:lineRule="auto"/>
        <w:rPr>
          <w:i/>
          <w:sz w:val="23"/>
          <w:szCs w:val="23"/>
        </w:rPr>
      </w:pPr>
      <w:r w:rsidRPr="00A62AA2">
        <w:rPr>
          <w:rFonts w:hint="cs"/>
          <w:i/>
          <w:sz w:val="23"/>
          <w:szCs w:val="23"/>
          <w:rtl/>
        </w:rPr>
        <w:t>نهایتاً، قید بودجه</w:t>
      </w:r>
      <w:r w:rsidRPr="00A62AA2">
        <w:rPr>
          <w:rFonts w:hint="cs"/>
          <w:i/>
          <w:sz w:val="23"/>
          <w:szCs w:val="23"/>
          <w:rtl/>
        </w:rPr>
        <w:softHyphen/>
        <w:t>ی یکپارچه</w:t>
      </w:r>
      <w:r w:rsidRPr="00A62AA2">
        <w:rPr>
          <w:rFonts w:hint="cs"/>
          <w:i/>
          <w:sz w:val="23"/>
          <w:szCs w:val="23"/>
          <w:rtl/>
        </w:rPr>
        <w:softHyphen/>
        <w:t>ی جهانی را که لگاریتم-خطی است بدست خواهیم آورد. با وزن</w:t>
      </w:r>
      <w:r w:rsidRPr="00A62AA2">
        <w:rPr>
          <w:rFonts w:hint="cs"/>
          <w:i/>
          <w:sz w:val="23"/>
          <w:szCs w:val="23"/>
          <w:rtl/>
        </w:rPr>
        <w:softHyphen/>
        <w:t>دهی جمعیتی به قیود بودجه</w:t>
      </w:r>
      <w:r w:rsidRPr="00A62AA2">
        <w:rPr>
          <w:rFonts w:hint="cs"/>
          <w:i/>
          <w:sz w:val="23"/>
          <w:szCs w:val="23"/>
          <w:rtl/>
        </w:rPr>
        <w:softHyphen/>
        <w:t>ی کشور و استفاده از معادلات (۱۳. ۳۴) و (۱۳. ۳۲) شرط تعادل جهانی بدست می آید</w:t>
      </w:r>
    </w:p>
    <w:p w14:paraId="53FF6806" w14:textId="77777777" w:rsidR="00556C10" w:rsidRPr="00A62AA2" w:rsidRDefault="00556C10" w:rsidP="00556C10">
      <w:pPr>
        <w:bidi w:val="0"/>
        <w:spacing w:line="216" w:lineRule="auto"/>
        <w:rPr>
          <w:i/>
          <w:sz w:val="23"/>
          <w:szCs w:val="23"/>
          <w:rtl/>
        </w:rPr>
      </w:pPr>
      <w:r w:rsidRPr="00A62AA2">
        <w:rPr>
          <w:position w:val="-28"/>
        </w:rPr>
        <w:object w:dxaOrig="4160" w:dyaOrig="680" w14:anchorId="202CD414">
          <v:shape id="_x0000_i6620" type="#_x0000_t75" style="width:208.15pt;height:33.9pt" o:ole="">
            <v:imagedata r:id="rId11301" o:title=""/>
          </v:shape>
          <o:OLEObject Type="Embed" ProgID="Equation.DSMT4" ShapeID="_x0000_i6620" DrawAspect="Content" ObjectID="_1791380564" r:id="rId11302"/>
        </w:object>
      </w:r>
      <w:r w:rsidRPr="00A62AA2">
        <w:rPr>
          <w:i/>
          <w:sz w:val="23"/>
          <w:szCs w:val="23"/>
        </w:rPr>
        <w:t xml:space="preserve"> </w:t>
      </w:r>
    </w:p>
    <w:p w14:paraId="08468BEB" w14:textId="77777777" w:rsidR="00556C10" w:rsidRPr="00A62AA2" w:rsidRDefault="00556C10" w:rsidP="00556C10">
      <w:pPr>
        <w:spacing w:line="216" w:lineRule="auto"/>
        <w:rPr>
          <w:i/>
          <w:sz w:val="23"/>
          <w:szCs w:val="23"/>
          <w:rtl/>
        </w:rPr>
      </w:pPr>
      <w:r w:rsidRPr="00A62AA2">
        <w:rPr>
          <w:rFonts w:hint="cs"/>
          <w:i/>
          <w:sz w:val="23"/>
          <w:szCs w:val="23"/>
          <w:rtl/>
        </w:rPr>
        <w:t>و با لگاریتم خطی کردن آن خواهیم داشت</w:t>
      </w:r>
    </w:p>
    <w:p w14:paraId="157272C4" w14:textId="77777777" w:rsidR="00556C10" w:rsidRPr="00A62AA2" w:rsidRDefault="00556C10" w:rsidP="00556C10">
      <w:pPr>
        <w:bidi w:val="0"/>
        <w:spacing w:line="216" w:lineRule="auto"/>
        <w:rPr>
          <w:i/>
          <w:sz w:val="23"/>
          <w:szCs w:val="23"/>
        </w:rPr>
      </w:pPr>
      <w:r w:rsidRPr="00A62AA2">
        <w:rPr>
          <w:position w:val="-36"/>
        </w:rPr>
        <w:object w:dxaOrig="4020" w:dyaOrig="820" w14:anchorId="72D0C68C">
          <v:shape id="_x0000_i6621" type="#_x0000_t75" style="width:200.85pt;height:41.15pt" o:ole="">
            <v:imagedata r:id="rId11303" o:title=""/>
          </v:shape>
          <o:OLEObject Type="Embed" ProgID="Equation.DSMT4" ShapeID="_x0000_i6621" DrawAspect="Content" ObjectID="_1791380565" r:id="rId11304"/>
        </w:object>
      </w:r>
    </w:p>
    <w:p w14:paraId="62A98C1D" w14:textId="77777777" w:rsidR="00556C10" w:rsidRPr="00A62AA2" w:rsidRDefault="00556C10" w:rsidP="00556C10">
      <w:pPr>
        <w:spacing w:line="216" w:lineRule="auto"/>
        <w:rPr>
          <w:bCs/>
          <w:i/>
          <w:sz w:val="23"/>
          <w:szCs w:val="23"/>
          <w:rtl/>
        </w:rPr>
      </w:pPr>
      <w:r w:rsidRPr="00A62AA2">
        <w:rPr>
          <w:rFonts w:hint="cs"/>
          <w:bCs/>
          <w:i/>
          <w:sz w:val="23"/>
          <w:szCs w:val="23"/>
          <w:rtl/>
        </w:rPr>
        <w:t>حل بلند مدت</w:t>
      </w:r>
    </w:p>
    <w:p w14:paraId="1D71163E" w14:textId="77777777" w:rsidR="00556C10" w:rsidRPr="00A62AA2" w:rsidRDefault="00556C10" w:rsidP="00556C10">
      <w:pPr>
        <w:spacing w:line="216" w:lineRule="auto"/>
        <w:rPr>
          <w:i/>
          <w:sz w:val="23"/>
          <w:szCs w:val="23"/>
          <w:rtl/>
        </w:rPr>
      </w:pPr>
      <w:r w:rsidRPr="00A62AA2">
        <w:rPr>
          <w:rFonts w:hint="cs"/>
          <w:i/>
          <w:sz w:val="23"/>
          <w:szCs w:val="23"/>
          <w:rtl/>
        </w:rPr>
        <w:t>ابتدا، قید بودجه</w:t>
      </w:r>
      <w:r w:rsidRPr="00A62AA2">
        <w:rPr>
          <w:rFonts w:hint="cs"/>
          <w:i/>
          <w:sz w:val="23"/>
          <w:szCs w:val="23"/>
          <w:rtl/>
        </w:rPr>
        <w:softHyphen/>
        <w:t>ی یکپارچه</w:t>
      </w:r>
      <w:r w:rsidRPr="00A62AA2">
        <w:rPr>
          <w:rFonts w:hint="cs"/>
          <w:i/>
          <w:sz w:val="23"/>
          <w:szCs w:val="23"/>
          <w:rtl/>
        </w:rPr>
        <w:softHyphen/>
        <w:t>ی بلند</w:t>
      </w:r>
      <w:r w:rsidRPr="00A62AA2">
        <w:rPr>
          <w:rFonts w:hint="cs"/>
          <w:i/>
          <w:sz w:val="23"/>
          <w:szCs w:val="23"/>
          <w:rtl/>
        </w:rPr>
        <w:softHyphen/>
        <w:t>مدت را با وزن</w:t>
      </w:r>
      <w:r w:rsidRPr="00A62AA2">
        <w:rPr>
          <w:rFonts w:hint="cs"/>
          <w:i/>
          <w:sz w:val="23"/>
          <w:szCs w:val="23"/>
          <w:rtl/>
        </w:rPr>
        <w:softHyphen/>
        <w:t>دهی جمعیتی قیود بودجه</w:t>
      </w:r>
      <w:r w:rsidRPr="00A62AA2">
        <w:rPr>
          <w:rFonts w:hint="cs"/>
          <w:i/>
          <w:sz w:val="23"/>
          <w:szCs w:val="23"/>
          <w:rtl/>
        </w:rPr>
        <w:softHyphen/>
        <w:t>ی لگاریتم-خطی معادلات (۱۳. ۳۵) و (۱۳. ۳۶) بدست خواهیم آورد، که در آن فرض می</w:t>
      </w:r>
      <w:r w:rsidRPr="00A62AA2">
        <w:rPr>
          <w:rFonts w:hint="cs"/>
          <w:i/>
          <w:sz w:val="23"/>
          <w:szCs w:val="23"/>
          <w:rtl/>
        </w:rPr>
        <w:softHyphen/>
        <w:t xml:space="preserve">شود </w:t>
      </w:r>
      <w:r w:rsidRPr="00A62AA2">
        <w:rPr>
          <w:position w:val="-10"/>
        </w:rPr>
        <w:object w:dxaOrig="999" w:dyaOrig="320" w14:anchorId="4E5DED68">
          <v:shape id="_x0000_i6622" type="#_x0000_t75" style="width:50.2pt;height:15.75pt" o:ole="">
            <v:imagedata r:id="rId11305" o:title=""/>
          </v:shape>
          <o:OLEObject Type="Embed" ProgID="Equation.DSMT4" ShapeID="_x0000_i6622" DrawAspect="Content" ObjectID="_1791380566" r:id="rId11306"/>
        </w:object>
      </w:r>
      <w:r w:rsidRPr="00A62AA2">
        <w:rPr>
          <w:rFonts w:hint="cs"/>
          <w:i/>
          <w:sz w:val="23"/>
          <w:szCs w:val="23"/>
          <w:rtl/>
        </w:rPr>
        <w:t xml:space="preserve">، </w:t>
      </w:r>
      <w:r w:rsidRPr="00A62AA2">
        <w:rPr>
          <w:position w:val="-10"/>
        </w:rPr>
        <w:object w:dxaOrig="1120" w:dyaOrig="340" w14:anchorId="04699510">
          <v:shape id="_x0000_i6623" type="#_x0000_t75" style="width:56.25pt;height:16.95pt" o:ole="">
            <v:imagedata r:id="rId11307" o:title=""/>
          </v:shape>
          <o:OLEObject Type="Embed" ProgID="Equation.DSMT4" ShapeID="_x0000_i6623" DrawAspect="Content" ObjectID="_1791380567" r:id="rId11308"/>
        </w:object>
      </w:r>
      <w:r w:rsidRPr="00A62AA2">
        <w:rPr>
          <w:rFonts w:hint="cs"/>
          <w:i/>
          <w:sz w:val="23"/>
          <w:szCs w:val="23"/>
          <w:rtl/>
        </w:rPr>
        <w:t xml:space="preserve">، </w:t>
      </w:r>
      <w:r w:rsidRPr="00A62AA2">
        <w:rPr>
          <w:position w:val="-10"/>
        </w:rPr>
        <w:object w:dxaOrig="1060" w:dyaOrig="340" w14:anchorId="618837F7">
          <v:shape id="_x0000_i6624" type="#_x0000_t75" style="width:53.25pt;height:16.95pt" o:ole="">
            <v:imagedata r:id="rId11309" o:title=""/>
          </v:shape>
          <o:OLEObject Type="Embed" ProgID="Equation.DSMT4" ShapeID="_x0000_i6624" DrawAspect="Content" ObjectID="_1791380568" r:id="rId11310"/>
        </w:object>
      </w:r>
      <w:r w:rsidRPr="00A62AA2">
        <w:rPr>
          <w:rFonts w:hint="cs"/>
          <w:i/>
          <w:sz w:val="23"/>
          <w:szCs w:val="23"/>
          <w:rtl/>
        </w:rPr>
        <w:t xml:space="preserve">، </w:t>
      </w:r>
      <w:r w:rsidRPr="00A62AA2">
        <w:rPr>
          <w:position w:val="-6"/>
        </w:rPr>
        <w:object w:dxaOrig="540" w:dyaOrig="260" w14:anchorId="41D7DE90">
          <v:shape id="_x0000_i6625" type="#_x0000_t75" style="width:26.6pt;height:13.3pt" o:ole="">
            <v:imagedata r:id="rId11311" o:title=""/>
          </v:shape>
          <o:OLEObject Type="Embed" ProgID="Equation.DSMT4" ShapeID="_x0000_i6625" DrawAspect="Content" ObjectID="_1791380569" r:id="rId11312"/>
        </w:object>
      </w:r>
      <w:r w:rsidRPr="00A62AA2">
        <w:rPr>
          <w:rFonts w:hint="cs"/>
          <w:i/>
          <w:sz w:val="23"/>
          <w:szCs w:val="23"/>
          <w:rtl/>
        </w:rPr>
        <w:t xml:space="preserve"> و </w:t>
      </w:r>
      <w:r w:rsidRPr="00A62AA2">
        <w:rPr>
          <w:position w:val="-16"/>
        </w:rPr>
        <w:object w:dxaOrig="1300" w:dyaOrig="420" w14:anchorId="1182205E">
          <v:shape id="_x0000_i6626" type="#_x0000_t75" style="width:64.75pt;height:21.2pt" o:ole="">
            <v:imagedata r:id="rId11313" o:title=""/>
          </v:shape>
          <o:OLEObject Type="Embed" ProgID="Equation.DSMT4" ShapeID="_x0000_i6626" DrawAspect="Content" ObjectID="_1791380570" r:id="rId11314"/>
        </w:object>
      </w:r>
      <w:r w:rsidRPr="00A62AA2">
        <w:rPr>
          <w:rFonts w:hint="cs"/>
          <w:i/>
          <w:sz w:val="23"/>
          <w:szCs w:val="23"/>
          <w:rtl/>
        </w:rPr>
        <w:t>. با توجه به نکات فوق خواهیم داشت</w:t>
      </w:r>
    </w:p>
    <w:p w14:paraId="166F1CF8" w14:textId="77777777" w:rsidR="00556C10" w:rsidRPr="00A62AA2" w:rsidRDefault="00556C10" w:rsidP="00556C10">
      <w:pPr>
        <w:bidi w:val="0"/>
        <w:spacing w:line="216" w:lineRule="auto"/>
        <w:rPr>
          <w:i/>
          <w:sz w:val="23"/>
          <w:szCs w:val="23"/>
          <w:rtl/>
        </w:rPr>
      </w:pPr>
      <w:r w:rsidRPr="00A62AA2">
        <w:rPr>
          <w:position w:val="-12"/>
        </w:rPr>
        <w:object w:dxaOrig="3300" w:dyaOrig="360" w14:anchorId="482078C2">
          <v:shape id="_x0000_i6627" type="#_x0000_t75" style="width:165.2pt;height:18.15pt" o:ole="">
            <v:imagedata r:id="rId11315" o:title=""/>
          </v:shape>
          <o:OLEObject Type="Embed" ProgID="Equation.DSMT4" ShapeID="_x0000_i6627" DrawAspect="Content" ObjectID="_1791380571" r:id="rId11316"/>
        </w:object>
      </w:r>
      <w:r w:rsidRPr="00A62AA2">
        <w:rPr>
          <w:rFonts w:hint="cs"/>
          <w:i/>
          <w:sz w:val="23"/>
          <w:szCs w:val="23"/>
          <w:rtl/>
        </w:rPr>
        <w:t xml:space="preserve"> </w:t>
      </w:r>
    </w:p>
    <w:p w14:paraId="3FB724C5" w14:textId="77777777" w:rsidR="00556C10" w:rsidRPr="00A62AA2" w:rsidRDefault="00556C10" w:rsidP="00556C10">
      <w:pPr>
        <w:bidi w:val="0"/>
        <w:spacing w:line="216" w:lineRule="auto"/>
        <w:rPr>
          <w:i/>
          <w:sz w:val="23"/>
          <w:szCs w:val="23"/>
        </w:rPr>
      </w:pPr>
      <w:r w:rsidRPr="00A62AA2">
        <w:rPr>
          <w:position w:val="-12"/>
        </w:rPr>
        <w:object w:dxaOrig="3739" w:dyaOrig="360" w14:anchorId="20C596AD">
          <v:shape id="_x0000_i6628" type="#_x0000_t75" style="width:186.95pt;height:18.15pt" o:ole="">
            <v:imagedata r:id="rId11317" o:title=""/>
          </v:shape>
          <o:OLEObject Type="Embed" ProgID="Equation.DSMT4" ShapeID="_x0000_i6628" DrawAspect="Content" ObjectID="_1791380572" r:id="rId11318"/>
        </w:object>
      </w:r>
    </w:p>
    <w:p w14:paraId="700A68C3" w14:textId="77777777" w:rsidR="00556C10" w:rsidRPr="00A62AA2" w:rsidRDefault="00556C10" w:rsidP="00556C10">
      <w:pPr>
        <w:spacing w:line="216" w:lineRule="auto"/>
        <w:rPr>
          <w:i/>
          <w:sz w:val="23"/>
          <w:szCs w:val="23"/>
          <w:rtl/>
        </w:rPr>
      </w:pPr>
      <w:r w:rsidRPr="00A62AA2">
        <w:rPr>
          <w:rFonts w:hint="cs"/>
          <w:i/>
          <w:sz w:val="23"/>
          <w:szCs w:val="23"/>
          <w:rtl/>
        </w:rPr>
        <w:t>اکنون می</w:t>
      </w:r>
      <w:r w:rsidRPr="00A62AA2">
        <w:rPr>
          <w:rFonts w:hint="cs"/>
          <w:i/>
          <w:sz w:val="23"/>
          <w:szCs w:val="23"/>
          <w:rtl/>
        </w:rPr>
        <w:softHyphen/>
        <w:t xml:space="preserve">توان حل بلندمدت را برحسب انحرافات از حل مبنا بدست آورد. بنابراین </w:t>
      </w:r>
    </w:p>
    <w:p w14:paraId="5A6200D1" w14:textId="77777777" w:rsidR="00556C10" w:rsidRPr="00A62AA2" w:rsidRDefault="00556C10" w:rsidP="00556C10">
      <w:pPr>
        <w:bidi w:val="0"/>
        <w:spacing w:line="216" w:lineRule="auto"/>
        <w:rPr>
          <w:i/>
          <w:sz w:val="23"/>
          <w:szCs w:val="23"/>
          <w:rtl/>
        </w:rPr>
      </w:pPr>
      <w:r w:rsidRPr="00A62AA2">
        <w:rPr>
          <w:position w:val="-22"/>
        </w:rPr>
        <w:object w:dxaOrig="4720" w:dyaOrig="560" w14:anchorId="57322969">
          <v:shape id="_x0000_i6629" type="#_x0000_t75" style="width:235.95pt;height:27.85pt" o:ole="">
            <v:imagedata r:id="rId11319" o:title=""/>
          </v:shape>
          <o:OLEObject Type="Embed" ProgID="Equation.DSMT4" ShapeID="_x0000_i6629" DrawAspect="Content" ObjectID="_1791380573" r:id="rId11320"/>
        </w:object>
      </w:r>
    </w:p>
    <w:p w14:paraId="7CC6350D" w14:textId="77777777" w:rsidR="00556C10" w:rsidRPr="00A62AA2" w:rsidRDefault="00556C10" w:rsidP="00556C10">
      <w:pPr>
        <w:bidi w:val="0"/>
        <w:spacing w:line="216" w:lineRule="auto"/>
        <w:rPr>
          <w:i/>
          <w:sz w:val="23"/>
          <w:szCs w:val="23"/>
        </w:rPr>
      </w:pPr>
      <w:r w:rsidRPr="00A62AA2">
        <w:rPr>
          <w:position w:val="-30"/>
        </w:rPr>
        <w:object w:dxaOrig="4239" w:dyaOrig="700" w14:anchorId="3A6B94AF">
          <v:shape id="_x0000_i6630" type="#_x0000_t75" style="width:211.75pt;height:35.1pt" o:ole="">
            <v:imagedata r:id="rId11321" o:title=""/>
          </v:shape>
          <o:OLEObject Type="Embed" ProgID="Equation.DSMT4" ShapeID="_x0000_i6630" DrawAspect="Content" ObjectID="_1791380574" r:id="rId11322"/>
        </w:object>
      </w:r>
    </w:p>
    <w:p w14:paraId="5AEE3FD6" w14:textId="77777777" w:rsidR="00556C10" w:rsidRPr="00A62AA2" w:rsidRDefault="00556C10" w:rsidP="00556C10">
      <w:pPr>
        <w:bidi w:val="0"/>
        <w:spacing w:line="216" w:lineRule="auto"/>
        <w:rPr>
          <w:i/>
          <w:sz w:val="23"/>
          <w:szCs w:val="23"/>
        </w:rPr>
      </w:pPr>
      <w:r w:rsidRPr="00A62AA2">
        <w:rPr>
          <w:position w:val="-22"/>
        </w:rPr>
        <w:object w:dxaOrig="1420" w:dyaOrig="560" w14:anchorId="4C33DADC">
          <v:shape id="_x0000_i6631" type="#_x0000_t75" style="width:71.4pt;height:27.85pt" o:ole="">
            <v:imagedata r:id="rId11323" o:title=""/>
          </v:shape>
          <o:OLEObject Type="Embed" ProgID="Equation.DSMT4" ShapeID="_x0000_i6631" DrawAspect="Content" ObjectID="_1791380575" r:id="rId11324"/>
        </w:object>
      </w:r>
    </w:p>
    <w:p w14:paraId="0113E85C" w14:textId="77777777" w:rsidR="00556C10" w:rsidRPr="00A62AA2" w:rsidRDefault="00556C10" w:rsidP="00556C10">
      <w:pPr>
        <w:bidi w:val="0"/>
        <w:spacing w:line="216" w:lineRule="auto"/>
        <w:rPr>
          <w:i/>
          <w:sz w:val="23"/>
          <w:szCs w:val="23"/>
        </w:rPr>
      </w:pPr>
      <w:r w:rsidRPr="00A62AA2">
        <w:rPr>
          <w:position w:val="-26"/>
        </w:rPr>
        <w:object w:dxaOrig="2720" w:dyaOrig="620" w14:anchorId="7C60093A">
          <v:shape id="_x0000_i6632" type="#_x0000_t75" style="width:136.15pt;height:30.85pt" o:ole="">
            <v:imagedata r:id="rId11325" o:title=""/>
          </v:shape>
          <o:OLEObject Type="Embed" ProgID="Equation.DSMT4" ShapeID="_x0000_i6632" DrawAspect="Content" ObjectID="_1791380576" r:id="rId11326"/>
        </w:object>
      </w:r>
    </w:p>
    <w:p w14:paraId="73C5CF4F" w14:textId="77777777" w:rsidR="00556C10" w:rsidRPr="00A62AA2" w:rsidRDefault="00556C10" w:rsidP="00556C10">
      <w:pPr>
        <w:bidi w:val="0"/>
        <w:spacing w:line="216" w:lineRule="auto"/>
        <w:rPr>
          <w:i/>
          <w:sz w:val="23"/>
          <w:szCs w:val="23"/>
        </w:rPr>
      </w:pPr>
      <w:r w:rsidRPr="00A62AA2">
        <w:rPr>
          <w:position w:val="-26"/>
        </w:rPr>
        <w:object w:dxaOrig="2860" w:dyaOrig="620" w14:anchorId="0B4EF813">
          <v:shape id="_x0000_i6633" type="#_x0000_t75" style="width:142.8pt;height:30.85pt" o:ole="">
            <v:imagedata r:id="rId11327" o:title=""/>
          </v:shape>
          <o:OLEObject Type="Embed" ProgID="Equation.DSMT4" ShapeID="_x0000_i6633" DrawAspect="Content" ObjectID="_1791380577" r:id="rId11328"/>
        </w:object>
      </w:r>
    </w:p>
    <w:p w14:paraId="06AF0B41" w14:textId="77777777" w:rsidR="00556C10" w:rsidRPr="00A62AA2" w:rsidRDefault="00556C10" w:rsidP="00556C10">
      <w:pPr>
        <w:bidi w:val="0"/>
        <w:spacing w:line="216" w:lineRule="auto"/>
        <w:rPr>
          <w:i/>
          <w:sz w:val="23"/>
          <w:szCs w:val="23"/>
        </w:rPr>
      </w:pPr>
      <w:r w:rsidRPr="00A62AA2">
        <w:rPr>
          <w:position w:val="-22"/>
        </w:rPr>
        <w:object w:dxaOrig="4160" w:dyaOrig="560" w14:anchorId="6F8FAA12">
          <v:shape id="_x0000_i6634" type="#_x0000_t75" style="width:208.15pt;height:27.85pt" o:ole="">
            <v:imagedata r:id="rId11329" o:title=""/>
          </v:shape>
          <o:OLEObject Type="Embed" ProgID="Equation.DSMT4" ShapeID="_x0000_i6634" DrawAspect="Content" ObjectID="_1791380578" r:id="rId11330"/>
        </w:object>
      </w:r>
    </w:p>
    <w:p w14:paraId="044F7DE1" w14:textId="77777777" w:rsidR="00556C10" w:rsidRPr="00A62AA2" w:rsidRDefault="00556C10" w:rsidP="00556C10">
      <w:pPr>
        <w:bidi w:val="0"/>
        <w:spacing w:line="216" w:lineRule="auto"/>
        <w:rPr>
          <w:i/>
          <w:sz w:val="23"/>
          <w:szCs w:val="23"/>
        </w:rPr>
      </w:pPr>
      <w:r w:rsidRPr="00A62AA2">
        <w:rPr>
          <w:position w:val="-30"/>
        </w:rPr>
        <w:object w:dxaOrig="4920" w:dyaOrig="639" w14:anchorId="757C6514">
          <v:shape id="_x0000_i6635" type="#_x0000_t75" style="width:246.25pt;height:32.05pt" o:ole="">
            <v:imagedata r:id="rId11331" o:title=""/>
          </v:shape>
          <o:OLEObject Type="Embed" ProgID="Equation.DSMT4" ShapeID="_x0000_i6635" DrawAspect="Content" ObjectID="_1791380579" r:id="rId11332"/>
        </w:object>
      </w:r>
    </w:p>
    <w:p w14:paraId="789CDC3A" w14:textId="77777777" w:rsidR="00556C10" w:rsidRPr="00A62AA2" w:rsidRDefault="00556C10" w:rsidP="00556C10">
      <w:pPr>
        <w:spacing w:line="216" w:lineRule="auto"/>
        <w:rPr>
          <w:i/>
          <w:sz w:val="23"/>
          <w:szCs w:val="23"/>
          <w:rtl/>
        </w:rPr>
      </w:pPr>
      <w:r w:rsidRPr="00A62AA2">
        <w:rPr>
          <w:rFonts w:hint="cs"/>
          <w:i/>
          <w:sz w:val="23"/>
          <w:szCs w:val="23"/>
          <w:rtl/>
        </w:rPr>
        <w:t xml:space="preserve">به علاوه </w:t>
      </w:r>
    </w:p>
    <w:p w14:paraId="34B9A5D1" w14:textId="77777777" w:rsidR="00556C10" w:rsidRPr="00A62AA2" w:rsidRDefault="00556C10" w:rsidP="00556C10">
      <w:pPr>
        <w:bidi w:val="0"/>
        <w:spacing w:line="216" w:lineRule="auto"/>
        <w:rPr>
          <w:i/>
          <w:sz w:val="23"/>
          <w:szCs w:val="23"/>
        </w:rPr>
      </w:pPr>
      <w:r w:rsidRPr="00A62AA2">
        <w:rPr>
          <w:position w:val="-22"/>
        </w:rPr>
        <w:object w:dxaOrig="5060" w:dyaOrig="560" w14:anchorId="403EA9E0">
          <v:shape id="_x0000_i6636" type="#_x0000_t75" style="width:252.9pt;height:27.85pt" o:ole="">
            <v:imagedata r:id="rId11333" o:title=""/>
          </v:shape>
          <o:OLEObject Type="Embed" ProgID="Equation.DSMT4" ShapeID="_x0000_i6636" DrawAspect="Content" ObjectID="_1791380580" r:id="rId11334"/>
        </w:object>
      </w:r>
    </w:p>
    <w:p w14:paraId="511B096F" w14:textId="77777777" w:rsidR="00556C10" w:rsidRPr="00A62AA2" w:rsidRDefault="00556C10" w:rsidP="00556C10">
      <w:pPr>
        <w:bidi w:val="0"/>
        <w:spacing w:line="216" w:lineRule="auto"/>
        <w:rPr>
          <w:i/>
          <w:sz w:val="23"/>
          <w:szCs w:val="23"/>
        </w:rPr>
      </w:pPr>
      <w:r w:rsidRPr="00A62AA2">
        <w:rPr>
          <w:position w:val="-22"/>
        </w:rPr>
        <w:object w:dxaOrig="1460" w:dyaOrig="560" w14:anchorId="3F07C8B9">
          <v:shape id="_x0000_i6637" type="#_x0000_t75" style="width:72.6pt;height:27.85pt" o:ole="">
            <v:imagedata r:id="rId11335" o:title=""/>
          </v:shape>
          <o:OLEObject Type="Embed" ProgID="Equation.DSMT4" ShapeID="_x0000_i6637" DrawAspect="Content" ObjectID="_1791380581" r:id="rId11336"/>
        </w:object>
      </w:r>
    </w:p>
    <w:p w14:paraId="1545BE3E" w14:textId="77777777" w:rsidR="00556C10" w:rsidRPr="00A62AA2" w:rsidRDefault="00556C10" w:rsidP="00556C10">
      <w:pPr>
        <w:bidi w:val="0"/>
        <w:spacing w:line="216" w:lineRule="auto"/>
        <w:rPr>
          <w:i/>
          <w:sz w:val="23"/>
          <w:szCs w:val="23"/>
        </w:rPr>
      </w:pPr>
      <w:r w:rsidRPr="00A62AA2">
        <w:rPr>
          <w:position w:val="-22"/>
        </w:rPr>
        <w:object w:dxaOrig="1660" w:dyaOrig="560" w14:anchorId="28AC2C96">
          <v:shape id="_x0000_i6638" type="#_x0000_t75" style="width:82.9pt;height:27.85pt" o:ole="">
            <v:imagedata r:id="rId11337" o:title=""/>
          </v:shape>
          <o:OLEObject Type="Embed" ProgID="Equation.DSMT4" ShapeID="_x0000_i6638" DrawAspect="Content" ObjectID="_1791380582" r:id="rId11338"/>
        </w:object>
      </w:r>
    </w:p>
    <w:p w14:paraId="2FA01EFA" w14:textId="77777777" w:rsidR="00556C10" w:rsidRPr="00A62AA2" w:rsidRDefault="00556C10" w:rsidP="00556C10">
      <w:pPr>
        <w:bidi w:val="0"/>
        <w:spacing w:line="216" w:lineRule="auto"/>
        <w:rPr>
          <w:i/>
          <w:sz w:val="23"/>
          <w:szCs w:val="23"/>
        </w:rPr>
      </w:pPr>
      <w:r w:rsidRPr="00A62AA2">
        <w:rPr>
          <w:position w:val="-22"/>
        </w:rPr>
        <w:object w:dxaOrig="2700" w:dyaOrig="560" w14:anchorId="703745FD">
          <v:shape id="_x0000_i6639" type="#_x0000_t75" style="width:134.9pt;height:27.85pt" o:ole="">
            <v:imagedata r:id="rId11339" o:title=""/>
          </v:shape>
          <o:OLEObject Type="Embed" ProgID="Equation.DSMT4" ShapeID="_x0000_i6639" DrawAspect="Content" ObjectID="_1791380583" r:id="rId11340"/>
        </w:object>
      </w:r>
    </w:p>
    <w:p w14:paraId="2CD1171E" w14:textId="77777777" w:rsidR="00556C10" w:rsidRPr="00A62AA2" w:rsidRDefault="00556C10" w:rsidP="00556C10">
      <w:pPr>
        <w:spacing w:line="216" w:lineRule="auto"/>
        <w:rPr>
          <w:i/>
          <w:sz w:val="23"/>
          <w:szCs w:val="23"/>
        </w:rPr>
      </w:pPr>
      <w:r w:rsidRPr="00A62AA2">
        <w:rPr>
          <w:rFonts w:hint="cs"/>
          <w:i/>
          <w:sz w:val="23"/>
          <w:szCs w:val="23"/>
          <w:rtl/>
        </w:rPr>
        <w:t>آخرین معادله نشان می</w:t>
      </w:r>
      <w:r w:rsidRPr="00A62AA2">
        <w:rPr>
          <w:rFonts w:hint="cs"/>
          <w:i/>
          <w:sz w:val="23"/>
          <w:szCs w:val="23"/>
          <w:rtl/>
        </w:rPr>
        <w:softHyphen/>
        <w:t>دهد که در بلند</w:t>
      </w:r>
      <w:r w:rsidRPr="00A62AA2">
        <w:rPr>
          <w:rFonts w:hint="cs"/>
          <w:i/>
          <w:sz w:val="23"/>
          <w:szCs w:val="23"/>
          <w:rtl/>
        </w:rPr>
        <w:softHyphen/>
        <w:t>مدت نرخ ارز به نسبت عرضه</w:t>
      </w:r>
      <w:r w:rsidRPr="00A62AA2">
        <w:rPr>
          <w:rFonts w:hint="cs"/>
          <w:i/>
          <w:sz w:val="23"/>
          <w:szCs w:val="23"/>
          <w:rtl/>
        </w:rPr>
        <w:softHyphen/>
        <w:t>های پول و مصرف وابسته است. این نسخه همانند مدل پولی است، و تفاوت آن تنها بواسطه</w:t>
      </w:r>
      <w:r w:rsidRPr="00A62AA2">
        <w:rPr>
          <w:rFonts w:hint="cs"/>
          <w:i/>
          <w:sz w:val="23"/>
          <w:szCs w:val="23"/>
          <w:rtl/>
        </w:rPr>
        <w:softHyphen/>
        <w:t>ی جایگزینی مصرف بجای تولید است.</w:t>
      </w:r>
    </w:p>
    <w:p w14:paraId="6C709983" w14:textId="77777777" w:rsidR="00556C10" w:rsidRPr="00A62AA2" w:rsidRDefault="00556C10" w:rsidP="00556C10">
      <w:pPr>
        <w:spacing w:line="216" w:lineRule="auto"/>
        <w:rPr>
          <w:i/>
          <w:sz w:val="23"/>
          <w:szCs w:val="23"/>
          <w:rtl/>
        </w:rPr>
      </w:pPr>
      <w:r w:rsidRPr="00A62AA2">
        <w:rPr>
          <w:rFonts w:hint="cs"/>
          <w:i/>
          <w:sz w:val="23"/>
          <w:szCs w:val="23"/>
          <w:rtl/>
        </w:rPr>
        <w:t>سیاست پولی هیچ تاثیری بر مصرف و تولید بلندمدت ندارد، اما قیمت</w:t>
      </w:r>
      <w:r w:rsidRPr="00A62AA2">
        <w:rPr>
          <w:rFonts w:hint="cs"/>
          <w:i/>
          <w:sz w:val="23"/>
          <w:szCs w:val="23"/>
          <w:rtl/>
        </w:rPr>
        <w:softHyphen/>
        <w:t>ها با نسبت یکسان و برابر تغییر خواهند کرد. یک انبساط مالی داخلی مصرف داخلی را کاهش داده و مصرف خارجی را افزایش خواهد داد. اثر خالص، کاهش مصرف جهانی است. تولید جهانی نیز بدون تغییر باقی می</w:t>
      </w:r>
      <w:r w:rsidRPr="00A62AA2">
        <w:rPr>
          <w:rFonts w:hint="cs"/>
          <w:i/>
          <w:sz w:val="23"/>
          <w:szCs w:val="23"/>
          <w:rtl/>
        </w:rPr>
        <w:softHyphen/>
        <w:t>ماند.</w:t>
      </w:r>
    </w:p>
    <w:p w14:paraId="36BE1899" w14:textId="77777777" w:rsidR="00556C10" w:rsidRPr="00A62AA2" w:rsidRDefault="00556C10" w:rsidP="00556C10">
      <w:pPr>
        <w:spacing w:line="216" w:lineRule="auto"/>
        <w:rPr>
          <w:i/>
          <w:sz w:val="23"/>
          <w:szCs w:val="23"/>
          <w:rtl/>
        </w:rPr>
      </w:pPr>
    </w:p>
    <w:p w14:paraId="35C26F8A" w14:textId="77777777" w:rsidR="00556C10" w:rsidRPr="00A62AA2" w:rsidRDefault="00556C10" w:rsidP="00556C10">
      <w:pPr>
        <w:spacing w:line="216" w:lineRule="auto"/>
        <w:rPr>
          <w:bCs/>
          <w:i/>
          <w:sz w:val="23"/>
          <w:szCs w:val="23"/>
          <w:rtl/>
        </w:rPr>
      </w:pPr>
      <w:r w:rsidRPr="00A62AA2">
        <w:rPr>
          <w:rFonts w:hint="cs"/>
          <w:bCs/>
          <w:i/>
          <w:sz w:val="23"/>
          <w:szCs w:val="23"/>
          <w:rtl/>
        </w:rPr>
        <w:t>پویایی</w:t>
      </w:r>
      <w:r w:rsidRPr="00A62AA2">
        <w:rPr>
          <w:rFonts w:hint="cs"/>
          <w:bCs/>
          <w:i/>
          <w:sz w:val="23"/>
          <w:szCs w:val="23"/>
          <w:rtl/>
        </w:rPr>
        <w:softHyphen/>
        <w:t>های کوتاه مدت</w:t>
      </w:r>
    </w:p>
    <w:p w14:paraId="7F3DBF52" w14:textId="77777777" w:rsidR="00556C10" w:rsidRPr="00A62AA2" w:rsidRDefault="00556C10" w:rsidP="00556C10">
      <w:pPr>
        <w:spacing w:line="216" w:lineRule="auto"/>
        <w:rPr>
          <w:i/>
          <w:sz w:val="23"/>
          <w:szCs w:val="23"/>
          <w:rtl/>
        </w:rPr>
      </w:pPr>
      <w:r w:rsidRPr="00A62AA2">
        <w:rPr>
          <w:rFonts w:hint="cs"/>
          <w:i/>
          <w:sz w:val="23"/>
          <w:szCs w:val="23"/>
          <w:rtl/>
        </w:rPr>
        <w:t xml:space="preserve"> تاکنون فرض شده است که قیمت</w:t>
      </w:r>
      <w:r w:rsidRPr="00A62AA2">
        <w:rPr>
          <w:rFonts w:hint="cs"/>
          <w:i/>
          <w:sz w:val="23"/>
          <w:szCs w:val="23"/>
          <w:rtl/>
        </w:rPr>
        <w:softHyphen/>
        <w:t>ها کاملاً انعطاف</w:t>
      </w:r>
      <w:r w:rsidRPr="00A62AA2">
        <w:rPr>
          <w:rFonts w:hint="cs"/>
          <w:i/>
          <w:sz w:val="23"/>
          <w:szCs w:val="23"/>
          <w:rtl/>
        </w:rPr>
        <w:softHyphen/>
        <w:t>پذیر می</w:t>
      </w:r>
      <w:r w:rsidRPr="00A62AA2">
        <w:rPr>
          <w:rFonts w:hint="cs"/>
          <w:i/>
          <w:sz w:val="23"/>
          <w:szCs w:val="23"/>
          <w:rtl/>
        </w:rPr>
        <w:softHyphen/>
        <w:t>باشند، لذا اقتصاد جهانی همیشه در وضعیت یکنواخت است. هرچند، اگر فرض کنیم که قیمت</w:t>
      </w:r>
      <w:r w:rsidRPr="00A62AA2">
        <w:rPr>
          <w:rFonts w:hint="cs"/>
          <w:i/>
          <w:sz w:val="23"/>
          <w:szCs w:val="23"/>
          <w:rtl/>
        </w:rPr>
        <w:softHyphen/>
        <w:t>ها در کوتاه</w:t>
      </w:r>
      <w:r w:rsidRPr="00A62AA2">
        <w:rPr>
          <w:rFonts w:hint="cs"/>
          <w:i/>
          <w:sz w:val="23"/>
          <w:szCs w:val="23"/>
          <w:rtl/>
        </w:rPr>
        <w:softHyphen/>
        <w:t>مدت بخاطر قدرت انحصاری چسبنده</w:t>
      </w:r>
      <w:r w:rsidRPr="00A62AA2">
        <w:rPr>
          <w:rFonts w:hint="cs"/>
          <w:i/>
          <w:sz w:val="23"/>
          <w:szCs w:val="23"/>
          <w:rtl/>
        </w:rPr>
        <w:softHyphen/>
        <w:t>اند، آنگاه افزایش تولید بخاطر افزایش غیرمنتظره</w:t>
      </w:r>
      <w:r w:rsidRPr="00A62AA2">
        <w:rPr>
          <w:rFonts w:hint="cs"/>
          <w:i/>
          <w:sz w:val="23"/>
          <w:szCs w:val="23"/>
          <w:rtl/>
        </w:rPr>
        <w:softHyphen/>
        <w:t>ی تقاضا سودآورتر خواهد بود.</w:t>
      </w:r>
    </w:p>
    <w:p w14:paraId="7EE1A3D9" w14:textId="77777777" w:rsidR="00556C10" w:rsidRPr="00A62AA2" w:rsidRDefault="00556C10" w:rsidP="00556C10">
      <w:pPr>
        <w:spacing w:line="216" w:lineRule="auto"/>
        <w:rPr>
          <w:i/>
          <w:sz w:val="23"/>
          <w:szCs w:val="23"/>
          <w:rtl/>
        </w:rPr>
      </w:pPr>
      <w:r w:rsidRPr="00A62AA2">
        <w:rPr>
          <w:rFonts w:hint="cs"/>
          <w:i/>
          <w:sz w:val="23"/>
          <w:szCs w:val="23"/>
          <w:rtl/>
        </w:rPr>
        <w:t>با یک انبساط پولی دائمی داخلی غیرمنتظره، نرخ بهره</w:t>
      </w:r>
      <w:r w:rsidRPr="00A62AA2">
        <w:rPr>
          <w:rFonts w:hint="cs"/>
          <w:i/>
          <w:sz w:val="23"/>
          <w:szCs w:val="23"/>
          <w:rtl/>
        </w:rPr>
        <w:softHyphen/>
        <w:t>ی داخلی کاهش می</w:t>
      </w:r>
      <w:r w:rsidRPr="00A62AA2">
        <w:rPr>
          <w:rFonts w:hint="cs"/>
          <w:i/>
          <w:sz w:val="23"/>
          <w:szCs w:val="23"/>
          <w:rtl/>
        </w:rPr>
        <w:softHyphen/>
        <w:t>یابد، و علیرغم چسبندگی قیمت</w:t>
      </w:r>
      <w:r w:rsidRPr="00A62AA2">
        <w:rPr>
          <w:rFonts w:hint="cs"/>
          <w:i/>
          <w:sz w:val="23"/>
          <w:szCs w:val="23"/>
          <w:rtl/>
        </w:rPr>
        <w:softHyphen/>
        <w:t>ها،</w:t>
      </w:r>
      <w:r w:rsidRPr="00A62AA2">
        <w:rPr>
          <w:position w:val="-6"/>
        </w:rPr>
        <w:object w:dxaOrig="460" w:dyaOrig="260" w14:anchorId="1384F067">
          <v:shape id="_x0000_i6640" type="#_x0000_t75" style="width:23pt;height:13.3pt" o:ole="">
            <v:imagedata r:id="rId11341" o:title=""/>
          </v:shape>
          <o:OLEObject Type="Embed" ProgID="Equation.DSMT4" ShapeID="_x0000_i6640" DrawAspect="Content" ObjectID="_1791380584" r:id="rId11342"/>
        </w:object>
      </w:r>
      <w:r w:rsidRPr="00A62AA2">
        <w:rPr>
          <w:rFonts w:hint="cs"/>
          <w:i/>
          <w:sz w:val="23"/>
          <w:szCs w:val="23"/>
          <w:rtl/>
        </w:rPr>
        <w:t xml:space="preserve"> باعث کاهش ارزش پول داخلی شده و با عدم کاهش بیش از حدّ به مقدار بلندمدت جدید خود می</w:t>
      </w:r>
      <w:r w:rsidRPr="00A62AA2">
        <w:rPr>
          <w:rFonts w:hint="cs"/>
          <w:i/>
          <w:sz w:val="23"/>
          <w:szCs w:val="23"/>
          <w:rtl/>
        </w:rPr>
        <w:softHyphen/>
        <w:t>رسد. این نکته باعث افزایش قیمت نسبی کالاهای خارجی شده، به تبع آن تقاضا و تولید کالاهای داخلی به</w:t>
      </w:r>
      <w:r w:rsidRPr="00A62AA2">
        <w:rPr>
          <w:rFonts w:hint="cs"/>
          <w:i/>
          <w:sz w:val="23"/>
          <w:szCs w:val="23"/>
          <w:rtl/>
        </w:rPr>
        <w:softHyphen/>
        <w:t>طور موقتی افزایش می</w:t>
      </w:r>
      <w:r w:rsidRPr="00A62AA2">
        <w:rPr>
          <w:rFonts w:hint="cs"/>
          <w:i/>
          <w:sz w:val="23"/>
          <w:szCs w:val="23"/>
          <w:rtl/>
        </w:rPr>
        <w:softHyphen/>
        <w:t>یابد. بخاطر هموارسازی مصرف، ساکنین داخلی بخشی از افزایش درآمد را پس</w:t>
      </w:r>
      <w:r w:rsidRPr="00A62AA2">
        <w:rPr>
          <w:rFonts w:hint="cs"/>
          <w:i/>
          <w:sz w:val="23"/>
          <w:szCs w:val="23"/>
          <w:rtl/>
        </w:rPr>
        <w:softHyphen/>
        <w:t>انداز کرده، که باعث مازاد حساب جاری و افزایش در نگهداری دارایی خارجی می</w:t>
      </w:r>
      <w:r w:rsidRPr="00A62AA2">
        <w:rPr>
          <w:rFonts w:hint="cs"/>
          <w:i/>
          <w:sz w:val="23"/>
          <w:szCs w:val="23"/>
          <w:rtl/>
        </w:rPr>
        <w:softHyphen/>
        <w:t>شود. در بلندمدت یک انتقال از کار به فراغت وجود دارد که باعث بازگشت تولید و مصرف به سطوح اولیه</w:t>
      </w:r>
      <w:r w:rsidRPr="00A62AA2">
        <w:rPr>
          <w:rFonts w:hint="cs"/>
          <w:i/>
          <w:sz w:val="23"/>
          <w:szCs w:val="23"/>
          <w:rtl/>
        </w:rPr>
        <w:softHyphen/>
        <w:t>ی آن</w:t>
      </w:r>
      <w:r w:rsidRPr="00A62AA2">
        <w:rPr>
          <w:rFonts w:hint="cs"/>
          <w:i/>
          <w:sz w:val="23"/>
          <w:szCs w:val="23"/>
          <w:rtl/>
        </w:rPr>
        <w:softHyphen/>
        <w:t>ها خواهد شد.</w:t>
      </w:r>
    </w:p>
    <w:p w14:paraId="3157ADCD" w14:textId="77777777" w:rsidR="00556C10" w:rsidRPr="00A62AA2" w:rsidRDefault="00556C10" w:rsidP="00556C10">
      <w:pPr>
        <w:spacing w:line="216" w:lineRule="auto"/>
        <w:rPr>
          <w:i/>
          <w:sz w:val="23"/>
          <w:szCs w:val="23"/>
          <w:rtl/>
        </w:rPr>
      </w:pPr>
    </w:p>
    <w:p w14:paraId="0BB34F97" w14:textId="77777777" w:rsidR="00556C10" w:rsidRPr="00A62AA2" w:rsidRDefault="00556C10" w:rsidP="00556C10">
      <w:pPr>
        <w:pStyle w:val="Heading1"/>
        <w:spacing w:before="0" w:line="216" w:lineRule="auto"/>
        <w:rPr>
          <w:rFonts w:ascii="Times New Roman" w:hAnsi="Times New Roman" w:cs="B Nazanin"/>
          <w:b w:val="0"/>
          <w:i/>
          <w:sz w:val="23"/>
          <w:szCs w:val="23"/>
          <w:rtl/>
        </w:rPr>
      </w:pPr>
      <w:r w:rsidRPr="00A62AA2">
        <w:rPr>
          <w:rFonts w:ascii="Times New Roman" w:hAnsi="Times New Roman" w:cs="B Nazanin" w:hint="cs"/>
          <w:b w:val="0"/>
          <w:i/>
          <w:sz w:val="23"/>
          <w:szCs w:val="23"/>
          <w:rtl/>
        </w:rPr>
        <w:t>۱۳. ۹. ۳ نسخه</w:t>
      </w:r>
      <w:r w:rsidRPr="00A62AA2">
        <w:rPr>
          <w:rFonts w:ascii="Times New Roman" w:hAnsi="Times New Roman" w:cs="B Nazanin" w:hint="cs"/>
          <w:b w:val="0"/>
          <w:i/>
          <w:sz w:val="23"/>
          <w:szCs w:val="23"/>
          <w:rtl/>
        </w:rPr>
        <w:softHyphen/>
        <w:t>ی اقتصاد کوچک مدل احیا شده با چسبندگی قیمت</w:t>
      </w:r>
      <w:r w:rsidRPr="00A62AA2">
        <w:rPr>
          <w:rFonts w:ascii="Times New Roman" w:hAnsi="Times New Roman" w:cs="B Nazanin" w:hint="cs"/>
          <w:b w:val="0"/>
          <w:i/>
          <w:sz w:val="23"/>
          <w:szCs w:val="23"/>
          <w:rtl/>
        </w:rPr>
        <w:softHyphen/>
        <w:t>ها</w:t>
      </w:r>
    </w:p>
    <w:p w14:paraId="79011D95" w14:textId="77777777" w:rsidR="00556C10" w:rsidRPr="00A62AA2" w:rsidRDefault="00556C10" w:rsidP="00556C10">
      <w:pPr>
        <w:spacing w:line="216" w:lineRule="auto"/>
        <w:rPr>
          <w:i/>
          <w:sz w:val="23"/>
          <w:szCs w:val="23"/>
          <w:rtl/>
        </w:rPr>
      </w:pPr>
      <w:r w:rsidRPr="00A62AA2">
        <w:rPr>
          <w:rFonts w:hint="cs"/>
          <w:i/>
          <w:sz w:val="23"/>
          <w:szCs w:val="23"/>
          <w:rtl/>
        </w:rPr>
        <w:t>همانند مدل پولی، مدل احیا شده نیز مبتنی بر دو اقتصاد یکسان می</w:t>
      </w:r>
      <w:r w:rsidRPr="00A62AA2">
        <w:rPr>
          <w:rFonts w:hint="cs"/>
          <w:i/>
          <w:sz w:val="23"/>
          <w:szCs w:val="23"/>
          <w:rtl/>
        </w:rPr>
        <w:softHyphen/>
        <w:t>باشد. نسخه</w:t>
      </w:r>
      <w:r w:rsidRPr="00A62AA2">
        <w:rPr>
          <w:rFonts w:hint="cs"/>
          <w:i/>
          <w:sz w:val="23"/>
          <w:szCs w:val="23"/>
          <w:rtl/>
        </w:rPr>
        <w:softHyphen/>
        <w:t>ی اقتصاد کوچک مدل احیا شده با چسبندگی قیمت</w:t>
      </w:r>
      <w:r w:rsidRPr="00A62AA2">
        <w:rPr>
          <w:rFonts w:hint="cs"/>
          <w:i/>
          <w:sz w:val="23"/>
          <w:szCs w:val="23"/>
          <w:rtl/>
        </w:rPr>
        <w:softHyphen/>
        <w:t>ها، بوسیله</w:t>
      </w:r>
      <w:r w:rsidRPr="00A62AA2">
        <w:rPr>
          <w:rFonts w:hint="cs"/>
          <w:i/>
          <w:sz w:val="23"/>
          <w:szCs w:val="23"/>
          <w:rtl/>
        </w:rPr>
        <w:softHyphen/>
        <w:t>ی آبسفلد و راگوف ارائه شده است. در این مدل فرض شده که قیمت</w:t>
      </w:r>
      <w:r w:rsidRPr="00A62AA2">
        <w:rPr>
          <w:rFonts w:hint="cs"/>
          <w:i/>
          <w:sz w:val="23"/>
          <w:szCs w:val="23"/>
          <w:rtl/>
        </w:rPr>
        <w:softHyphen/>
        <w:t xml:space="preserve"> کالاهای غیرتجاری چسبنده و قیمت کالاهای تجاری انعطاف</w:t>
      </w:r>
      <w:r w:rsidRPr="00A62AA2">
        <w:rPr>
          <w:rFonts w:hint="cs"/>
          <w:i/>
          <w:sz w:val="23"/>
          <w:szCs w:val="23"/>
          <w:rtl/>
        </w:rPr>
        <w:softHyphen/>
        <w:t>پذیرند. اقتصاد دارای یک بخش کالاهای مصرفی غیرتجاری با شرایط انحصار رقابتی و قیمت</w:t>
      </w:r>
      <w:r w:rsidRPr="00A62AA2">
        <w:rPr>
          <w:rFonts w:hint="cs"/>
          <w:i/>
          <w:sz w:val="23"/>
          <w:szCs w:val="23"/>
          <w:rtl/>
        </w:rPr>
        <w:softHyphen/>
        <w:t xml:space="preserve">های اسمی است. کالای قابل </w:t>
      </w:r>
      <w:r w:rsidRPr="00A62AA2">
        <w:rPr>
          <w:rFonts w:hint="cs"/>
          <w:i/>
          <w:sz w:val="23"/>
          <w:szCs w:val="23"/>
          <w:rtl/>
        </w:rPr>
        <w:lastRenderedPageBreak/>
        <w:t>تجارتِ همگنِ رقابتی منحصر بفردی نیز وجود دارد که با قیمت یکسان و انعطاف</w:t>
      </w:r>
      <w:r w:rsidRPr="00A62AA2">
        <w:rPr>
          <w:rFonts w:hint="cs"/>
          <w:i/>
          <w:sz w:val="23"/>
          <w:szCs w:val="23"/>
          <w:rtl/>
        </w:rPr>
        <w:softHyphen/>
        <w:t>پذیر، در همه کشورها عرضه و فروخته می</w:t>
      </w:r>
      <w:r w:rsidRPr="00A62AA2">
        <w:rPr>
          <w:rFonts w:hint="cs"/>
          <w:i/>
          <w:sz w:val="23"/>
          <w:szCs w:val="23"/>
          <w:rtl/>
        </w:rPr>
        <w:softHyphen/>
        <w:t>شود. در هر دوره سکنه</w:t>
      </w:r>
      <w:r w:rsidRPr="00A62AA2">
        <w:rPr>
          <w:rFonts w:hint="cs"/>
          <w:i/>
          <w:sz w:val="23"/>
          <w:szCs w:val="23"/>
          <w:rtl/>
        </w:rPr>
        <w:softHyphen/>
        <w:t>ی داخلی نماینده، دارای مقدار ثابت</w:t>
      </w:r>
      <w:r w:rsidRPr="00A62AA2">
        <w:rPr>
          <w:position w:val="-8"/>
        </w:rPr>
        <w:object w:dxaOrig="300" w:dyaOrig="320" w14:anchorId="6E074BB3">
          <v:shape id="_x0000_i6641" type="#_x0000_t75" style="width:14.5pt;height:15.75pt" o:ole="">
            <v:imagedata r:id="rId11343" o:title=""/>
          </v:shape>
          <o:OLEObject Type="Embed" ProgID="Equation.DSMT4" ShapeID="_x0000_i6641" DrawAspect="Content" ObjectID="_1791380585" r:id="rId11344"/>
        </w:object>
      </w:r>
      <w:r w:rsidRPr="00A62AA2">
        <w:rPr>
          <w:i/>
          <w:sz w:val="23"/>
          <w:szCs w:val="23"/>
        </w:rPr>
        <w:t xml:space="preserve"> </w:t>
      </w:r>
      <w:r w:rsidRPr="00A62AA2">
        <w:rPr>
          <w:rFonts w:hint="cs"/>
          <w:i/>
          <w:sz w:val="23"/>
          <w:szCs w:val="23"/>
          <w:rtl/>
        </w:rPr>
        <w:t>از کالای قابل تجارت، و قدرت انحصاری تولید یکی از کالاهای غیرتجاری</w:t>
      </w:r>
      <w:r w:rsidRPr="00A62AA2">
        <w:rPr>
          <w:position w:val="-12"/>
        </w:rPr>
        <w:object w:dxaOrig="639" w:dyaOrig="360" w14:anchorId="28EFF948">
          <v:shape id="_x0000_i6642" type="#_x0000_t75" style="width:32.05pt;height:18.15pt" o:ole="">
            <v:imagedata r:id="rId11345" o:title=""/>
          </v:shape>
          <o:OLEObject Type="Embed" ProgID="Equation.DSMT4" ShapeID="_x0000_i6642" DrawAspect="Content" ObjectID="_1791380586" r:id="rId11346"/>
        </w:object>
      </w:r>
      <w:r w:rsidRPr="00A62AA2">
        <w:rPr>
          <w:rFonts w:hint="cs"/>
          <w:i/>
          <w:sz w:val="23"/>
          <w:szCs w:val="23"/>
          <w:rtl/>
        </w:rPr>
        <w:t xml:space="preserve"> و</w:t>
      </w:r>
      <w:r w:rsidRPr="00A62AA2">
        <w:rPr>
          <w:position w:val="-12"/>
        </w:rPr>
        <w:object w:dxaOrig="800" w:dyaOrig="360" w14:anchorId="193AFE53">
          <v:shape id="_x0000_i6643" type="#_x0000_t75" style="width:39.95pt;height:18.15pt" o:ole="">
            <v:imagedata r:id="rId11347" o:title=""/>
          </v:shape>
          <o:OLEObject Type="Embed" ProgID="Equation.DSMT4" ShapeID="_x0000_i6643" DrawAspect="Content" ObjectID="_1791380587" r:id="rId11348"/>
        </w:object>
      </w:r>
      <w:r w:rsidRPr="00A62AA2">
        <w:rPr>
          <w:rFonts w:hint="cs"/>
          <w:i/>
          <w:sz w:val="23"/>
          <w:szCs w:val="23"/>
          <w:rtl/>
        </w:rPr>
        <w:t xml:space="preserve"> می</w:t>
      </w:r>
      <w:r w:rsidRPr="00A62AA2">
        <w:rPr>
          <w:rFonts w:hint="cs"/>
          <w:i/>
          <w:sz w:val="23"/>
          <w:szCs w:val="23"/>
          <w:rtl/>
        </w:rPr>
        <w:softHyphen/>
        <w:t>باشد</w:t>
      </w:r>
      <w:r w:rsidRPr="00A62AA2">
        <w:rPr>
          <w:i/>
          <w:sz w:val="23"/>
          <w:szCs w:val="23"/>
        </w:rPr>
        <w:t>.</w:t>
      </w:r>
    </w:p>
    <w:p w14:paraId="3AD8D324" w14:textId="77777777" w:rsidR="00556C10" w:rsidRPr="00A62AA2" w:rsidRDefault="00556C10" w:rsidP="00556C10">
      <w:pPr>
        <w:spacing w:line="216" w:lineRule="auto"/>
        <w:rPr>
          <w:i/>
          <w:sz w:val="23"/>
          <w:szCs w:val="23"/>
          <w:rtl/>
        </w:rPr>
      </w:pPr>
      <w:r w:rsidRPr="00A62AA2">
        <w:rPr>
          <w:rFonts w:hint="cs"/>
          <w:i/>
          <w:sz w:val="23"/>
          <w:szCs w:val="23"/>
          <w:rtl/>
        </w:rPr>
        <w:t>تابع مطلوبیت تولید کننده</w:t>
      </w:r>
      <w:r w:rsidRPr="00A62AA2">
        <w:rPr>
          <w:rFonts w:hint="cs"/>
          <w:i/>
          <w:sz w:val="23"/>
          <w:szCs w:val="23"/>
          <w:rtl/>
        </w:rPr>
        <w:softHyphen/>
        <w:t>ی نماینده عبارت است از</w:t>
      </w:r>
    </w:p>
    <w:p w14:paraId="2B28E937" w14:textId="77777777" w:rsidR="00556C10" w:rsidRPr="00A62AA2" w:rsidRDefault="00556C10" w:rsidP="00556C10">
      <w:pPr>
        <w:bidi w:val="0"/>
        <w:spacing w:line="216" w:lineRule="auto"/>
        <w:rPr>
          <w:i/>
          <w:sz w:val="23"/>
          <w:szCs w:val="23"/>
          <w:rtl/>
        </w:rPr>
      </w:pPr>
      <w:r w:rsidRPr="00A62AA2">
        <w:rPr>
          <w:position w:val="-38"/>
        </w:rPr>
        <w:object w:dxaOrig="5760" w:dyaOrig="859" w14:anchorId="073B6E5A">
          <v:shape id="_x0000_i6644" type="#_x0000_t75" style="width:4in;height:42.95pt" o:ole="">
            <v:imagedata r:id="rId11349" o:title=""/>
          </v:shape>
          <o:OLEObject Type="Embed" ProgID="Equation.DSMT4" ShapeID="_x0000_i6644" DrawAspect="Content" ObjectID="_1791380588" r:id="rId11350"/>
        </w:object>
      </w:r>
    </w:p>
    <w:p w14:paraId="5B87B45A" w14:textId="77777777" w:rsidR="00556C10" w:rsidRPr="00A62AA2" w:rsidRDefault="00556C10" w:rsidP="00556C10">
      <w:pPr>
        <w:spacing w:line="216" w:lineRule="auto"/>
        <w:rPr>
          <w:i/>
          <w:sz w:val="23"/>
          <w:szCs w:val="23"/>
          <w:rtl/>
        </w:rPr>
      </w:pPr>
      <w:r w:rsidRPr="00A62AA2">
        <w:rPr>
          <w:rFonts w:hint="cs"/>
          <w:i/>
          <w:sz w:val="23"/>
          <w:szCs w:val="23"/>
          <w:rtl/>
        </w:rPr>
        <w:t>که در آن</w:t>
      </w:r>
      <w:r w:rsidRPr="00A62AA2">
        <w:rPr>
          <w:position w:val="-12"/>
        </w:rPr>
        <w:object w:dxaOrig="1219" w:dyaOrig="360" w14:anchorId="0E052F04">
          <v:shape id="_x0000_i6645" type="#_x0000_t75" style="width:61.1pt;height:18.15pt" o:ole="">
            <v:imagedata r:id="rId11351" o:title=""/>
          </v:shape>
          <o:OLEObject Type="Embed" ProgID="Equation.DSMT4" ShapeID="_x0000_i6645" DrawAspect="Content" ObjectID="_1791380589" r:id="rId11352"/>
        </w:object>
      </w:r>
      <w:r w:rsidRPr="00A62AA2">
        <w:rPr>
          <w:rFonts w:hint="cs"/>
          <w:i/>
          <w:sz w:val="23"/>
          <w:szCs w:val="23"/>
          <w:rtl/>
        </w:rPr>
        <w:t>،</w:t>
      </w:r>
      <w:r w:rsidRPr="00A62AA2">
        <w:rPr>
          <w:position w:val="-10"/>
        </w:rPr>
        <w:object w:dxaOrig="260" w:dyaOrig="340" w14:anchorId="77E96865">
          <v:shape id="_x0000_i6646" type="#_x0000_t75" style="width:13.3pt;height:16.95pt" o:ole="">
            <v:imagedata r:id="rId11353" o:title=""/>
          </v:shape>
          <o:OLEObject Type="Embed" ProgID="Equation.DSMT4" ShapeID="_x0000_i6646" DrawAspect="Content" ObjectID="_1791380590" r:id="rId11354"/>
        </w:object>
      </w:r>
      <w:r w:rsidRPr="00A62AA2">
        <w:rPr>
          <w:rFonts w:hint="cs"/>
          <w:i/>
          <w:sz w:val="23"/>
          <w:szCs w:val="23"/>
          <w:rtl/>
        </w:rPr>
        <w:t xml:space="preserve"> مصرف کالای تجاری، و</w:t>
      </w:r>
      <w:r w:rsidRPr="00A62AA2">
        <w:rPr>
          <w:position w:val="-10"/>
        </w:rPr>
        <w:object w:dxaOrig="300" w:dyaOrig="340" w14:anchorId="5056D085">
          <v:shape id="_x0000_i6647" type="#_x0000_t75" style="width:14.5pt;height:16.95pt" o:ole="">
            <v:imagedata r:id="rId11355" o:title=""/>
          </v:shape>
          <o:OLEObject Type="Embed" ProgID="Equation.DSMT4" ShapeID="_x0000_i6647" DrawAspect="Content" ObjectID="_1791380591" r:id="rId11356"/>
        </w:object>
      </w:r>
      <w:r w:rsidRPr="00A62AA2">
        <w:rPr>
          <w:rFonts w:hint="cs"/>
          <w:i/>
          <w:sz w:val="23"/>
          <w:szCs w:val="23"/>
          <w:rtl/>
        </w:rPr>
        <w:t xml:space="preserve"> مصرف کالای غیرتجاری است و عبارت است از </w:t>
      </w:r>
    </w:p>
    <w:p w14:paraId="001EC494" w14:textId="77777777" w:rsidR="00556C10" w:rsidRPr="00A62AA2" w:rsidRDefault="00556C10" w:rsidP="00556C10">
      <w:pPr>
        <w:bidi w:val="0"/>
        <w:spacing w:line="216" w:lineRule="auto"/>
        <w:rPr>
          <w:i/>
          <w:sz w:val="23"/>
          <w:szCs w:val="23"/>
          <w:rtl/>
        </w:rPr>
      </w:pPr>
      <w:r w:rsidRPr="00A62AA2">
        <w:rPr>
          <w:position w:val="-30"/>
        </w:rPr>
        <w:object w:dxaOrig="3180" w:dyaOrig="760" w14:anchorId="2D8A5276">
          <v:shape id="_x0000_i6648" type="#_x0000_t75" style="width:159.15pt;height:38.1pt" o:ole="">
            <v:imagedata r:id="rId11357" o:title=""/>
          </v:shape>
          <o:OLEObject Type="Embed" ProgID="Equation.DSMT4" ShapeID="_x0000_i6648" DrawAspect="Content" ObjectID="_1791380592" r:id="rId11358"/>
        </w:object>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tl/>
        </w:rPr>
        <w:tab/>
      </w:r>
      <w:r w:rsidRPr="00A62AA2">
        <w:rPr>
          <w:i/>
          <w:sz w:val="23"/>
          <w:szCs w:val="23"/>
        </w:rPr>
        <w:tab/>
      </w:r>
      <w:r w:rsidRPr="00A62AA2">
        <w:rPr>
          <w:i/>
          <w:sz w:val="23"/>
          <w:szCs w:val="23"/>
        </w:rPr>
        <w:tab/>
      </w:r>
      <w:r>
        <w:rPr>
          <w:i/>
          <w:sz w:val="23"/>
          <w:szCs w:val="23"/>
          <w:rtl/>
        </w:rPr>
        <w:tab/>
      </w:r>
      <w:r w:rsidRPr="00A62AA2">
        <w:rPr>
          <w:rFonts w:hint="cs"/>
          <w:i/>
          <w:sz w:val="23"/>
          <w:szCs w:val="23"/>
          <w:rtl/>
        </w:rPr>
        <w:tab/>
        <w:t>(۱۳. ۳۹)</w:t>
      </w:r>
      <w:r w:rsidRPr="00A62AA2">
        <w:rPr>
          <w:i/>
          <w:sz w:val="23"/>
          <w:szCs w:val="23"/>
        </w:rPr>
        <w:t xml:space="preserve"> </w:t>
      </w:r>
    </w:p>
    <w:p w14:paraId="37681A1D" w14:textId="77777777" w:rsidR="00556C10" w:rsidRPr="00A62AA2" w:rsidRDefault="00556C10" w:rsidP="00556C10">
      <w:pPr>
        <w:spacing w:line="216" w:lineRule="auto"/>
        <w:rPr>
          <w:i/>
          <w:sz w:val="23"/>
          <w:szCs w:val="23"/>
          <w:rtl/>
        </w:rPr>
      </w:pPr>
      <w:r w:rsidRPr="00A62AA2">
        <w:rPr>
          <w:rFonts w:hint="cs"/>
          <w:i/>
          <w:sz w:val="23"/>
          <w:szCs w:val="23"/>
          <w:rtl/>
        </w:rPr>
        <w:t>شاخص قیمت عمومی</w:t>
      </w:r>
      <w:r w:rsidRPr="00A62AA2">
        <w:rPr>
          <w:position w:val="-10"/>
        </w:rPr>
        <w:object w:dxaOrig="240" w:dyaOrig="320" w14:anchorId="2E8A5209">
          <v:shape id="_x0000_i6649" type="#_x0000_t75" style="width:11.5pt;height:15.75pt" o:ole="">
            <v:imagedata r:id="rId11359" o:title=""/>
          </v:shape>
          <o:OLEObject Type="Embed" ProgID="Equation.DSMT4" ShapeID="_x0000_i6649" DrawAspect="Content" ObjectID="_1791380593" r:id="rId11360"/>
        </w:object>
      </w:r>
      <w:r w:rsidRPr="00A62AA2">
        <w:rPr>
          <w:rFonts w:hint="cs"/>
          <w:i/>
          <w:sz w:val="23"/>
          <w:szCs w:val="23"/>
          <w:rtl/>
        </w:rPr>
        <w:t xml:space="preserve"> عبارت است از </w:t>
      </w:r>
    </w:p>
    <w:p w14:paraId="2FBE94CB" w14:textId="77777777" w:rsidR="00556C10" w:rsidRPr="00A62AA2" w:rsidRDefault="00556C10" w:rsidP="00556C10">
      <w:pPr>
        <w:bidi w:val="0"/>
        <w:spacing w:line="216" w:lineRule="auto"/>
        <w:rPr>
          <w:i/>
          <w:sz w:val="23"/>
          <w:szCs w:val="23"/>
          <w:rtl/>
        </w:rPr>
      </w:pPr>
      <w:r w:rsidRPr="00A62AA2">
        <w:rPr>
          <w:position w:val="-28"/>
        </w:rPr>
        <w:object w:dxaOrig="1820" w:dyaOrig="780" w14:anchorId="0B79DC98">
          <v:shape id="_x0000_i6650" type="#_x0000_t75" style="width:91.35pt;height:39.35pt" o:ole="">
            <v:imagedata r:id="rId11361" o:title=""/>
          </v:shape>
          <o:OLEObject Type="Embed" ProgID="Equation.DSMT4" ShapeID="_x0000_i6650" DrawAspect="Content" ObjectID="_1791380594" r:id="rId11362"/>
        </w:object>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Pr>
          <w:i/>
          <w:sz w:val="23"/>
          <w:szCs w:val="23"/>
          <w:rtl/>
        </w:rPr>
        <w:tab/>
      </w:r>
      <w:r w:rsidRPr="00A62AA2">
        <w:rPr>
          <w:i/>
          <w:sz w:val="23"/>
          <w:szCs w:val="23"/>
        </w:rPr>
        <w:tab/>
      </w:r>
      <w:r w:rsidRPr="00A62AA2">
        <w:rPr>
          <w:i/>
          <w:sz w:val="23"/>
          <w:szCs w:val="23"/>
        </w:rPr>
        <w:tab/>
      </w:r>
      <w:r w:rsidRPr="00A62AA2">
        <w:rPr>
          <w:i/>
          <w:sz w:val="23"/>
          <w:szCs w:val="23"/>
        </w:rPr>
        <w:tab/>
      </w:r>
      <w:r>
        <w:rPr>
          <w:i/>
          <w:sz w:val="23"/>
          <w:szCs w:val="23"/>
          <w:rtl/>
        </w:rPr>
        <w:tab/>
      </w:r>
      <w:r w:rsidRPr="00A62AA2">
        <w:rPr>
          <w:i/>
          <w:sz w:val="23"/>
          <w:szCs w:val="23"/>
        </w:rPr>
        <w:tab/>
      </w:r>
      <w:r w:rsidRPr="00A62AA2">
        <w:rPr>
          <w:rFonts w:hint="cs"/>
          <w:i/>
          <w:sz w:val="23"/>
          <w:szCs w:val="23"/>
          <w:rtl/>
        </w:rPr>
        <w:tab/>
        <w:t>(۱۳.۴۰)</w:t>
      </w:r>
      <w:r w:rsidRPr="00A62AA2">
        <w:rPr>
          <w:i/>
          <w:sz w:val="23"/>
          <w:szCs w:val="23"/>
        </w:rPr>
        <w:t xml:space="preserve"> </w:t>
      </w:r>
    </w:p>
    <w:p w14:paraId="3D5EF1D5" w14:textId="77777777" w:rsidR="00556C10" w:rsidRPr="00A62AA2" w:rsidRDefault="00556C10" w:rsidP="00556C10">
      <w:pPr>
        <w:spacing w:line="216" w:lineRule="auto"/>
        <w:rPr>
          <w:i/>
          <w:sz w:val="23"/>
          <w:szCs w:val="23"/>
        </w:rPr>
      </w:pPr>
      <w:r w:rsidRPr="00A62AA2">
        <w:rPr>
          <w:rFonts w:hint="cs"/>
          <w:i/>
          <w:sz w:val="23"/>
          <w:szCs w:val="23"/>
          <w:rtl/>
        </w:rPr>
        <w:t>که در آن</w:t>
      </w:r>
      <w:r w:rsidRPr="00A62AA2">
        <w:rPr>
          <w:position w:val="-10"/>
        </w:rPr>
        <w:object w:dxaOrig="1100" w:dyaOrig="340" w14:anchorId="5D1064F8">
          <v:shape id="_x0000_i6651" type="#_x0000_t75" style="width:55.05pt;height:16.95pt" o:ole="">
            <v:imagedata r:id="rId11363" o:title=""/>
          </v:shape>
          <o:OLEObject Type="Embed" ProgID="Equation.DSMT4" ShapeID="_x0000_i6651" DrawAspect="Content" ObjectID="_1791380595" r:id="rId11364"/>
        </w:object>
      </w:r>
      <w:r w:rsidRPr="00A62AA2">
        <w:rPr>
          <w:rFonts w:hint="cs"/>
          <w:i/>
          <w:sz w:val="23"/>
          <w:szCs w:val="23"/>
          <w:rtl/>
        </w:rPr>
        <w:t xml:space="preserve"> و</w:t>
      </w:r>
    </w:p>
    <w:p w14:paraId="7E705A28" w14:textId="77777777" w:rsidR="00556C10" w:rsidRPr="00A62AA2" w:rsidRDefault="00556C10" w:rsidP="00556C10">
      <w:pPr>
        <w:bidi w:val="0"/>
        <w:spacing w:line="216" w:lineRule="auto"/>
        <w:rPr>
          <w:i/>
          <w:sz w:val="23"/>
          <w:szCs w:val="23"/>
          <w:rtl/>
        </w:rPr>
      </w:pPr>
      <w:r w:rsidRPr="00A62AA2">
        <w:rPr>
          <w:rFonts w:hint="cs"/>
          <w:i/>
          <w:sz w:val="23"/>
          <w:szCs w:val="23"/>
          <w:rtl/>
        </w:rPr>
        <w:t xml:space="preserve"> </w:t>
      </w:r>
      <w:r w:rsidRPr="00A62AA2">
        <w:rPr>
          <w:position w:val="-30"/>
        </w:rPr>
        <w:object w:dxaOrig="2180" w:dyaOrig="760" w14:anchorId="58FE6F4F">
          <v:shape id="_x0000_i6652" type="#_x0000_t75" style="width:108.9pt;height:38.1pt" o:ole="">
            <v:imagedata r:id="rId11365" o:title=""/>
          </v:shape>
          <o:OLEObject Type="Embed" ProgID="Equation.DSMT4" ShapeID="_x0000_i6652" DrawAspect="Content" ObjectID="_1791380596" r:id="rId11366"/>
        </w:object>
      </w:r>
      <w:r w:rsidRPr="00A62AA2">
        <w:rPr>
          <w:rFonts w:hint="cs"/>
          <w:i/>
          <w:sz w:val="23"/>
          <w:szCs w:val="23"/>
          <w:rtl/>
        </w:rPr>
        <w:t xml:space="preserve"> </w:t>
      </w:r>
    </w:p>
    <w:p w14:paraId="373FB24F" w14:textId="77777777" w:rsidR="00556C10" w:rsidRPr="00A62AA2" w:rsidRDefault="00556C10" w:rsidP="00556C10">
      <w:pPr>
        <w:spacing w:line="216" w:lineRule="auto"/>
        <w:rPr>
          <w:i/>
          <w:sz w:val="23"/>
          <w:szCs w:val="23"/>
          <w:rtl/>
        </w:rPr>
      </w:pPr>
      <w:r w:rsidRPr="00A62AA2">
        <w:rPr>
          <w:rFonts w:hint="cs"/>
          <w:i/>
          <w:sz w:val="23"/>
          <w:szCs w:val="23"/>
          <w:rtl/>
        </w:rPr>
        <w:t>و</w:t>
      </w:r>
      <w:r w:rsidRPr="00A62AA2">
        <w:rPr>
          <w:position w:val="-12"/>
        </w:rPr>
        <w:object w:dxaOrig="680" w:dyaOrig="360" w14:anchorId="34011526">
          <v:shape id="_x0000_i6653" type="#_x0000_t75" style="width:33.9pt;height:18.15pt" o:ole="">
            <v:imagedata r:id="rId11367" o:title=""/>
          </v:shape>
          <o:OLEObject Type="Embed" ProgID="Equation.DSMT4" ShapeID="_x0000_i6653" DrawAspect="Content" ObjectID="_1791380597" r:id="rId11368"/>
        </w:object>
      </w:r>
      <w:r w:rsidRPr="00A62AA2">
        <w:rPr>
          <w:rFonts w:hint="cs"/>
          <w:i/>
          <w:sz w:val="23"/>
          <w:szCs w:val="23"/>
          <w:rtl/>
        </w:rPr>
        <w:t xml:space="preserve"> قیمت کالای غیرتجاری است. تقاضای کالای غیرتجاری برابر است با </w:t>
      </w:r>
    </w:p>
    <w:p w14:paraId="21A84B41" w14:textId="77777777" w:rsidR="00556C10" w:rsidRPr="00A62AA2" w:rsidRDefault="00556C10" w:rsidP="00556C10">
      <w:pPr>
        <w:bidi w:val="0"/>
        <w:spacing w:line="216" w:lineRule="auto"/>
        <w:rPr>
          <w:i/>
          <w:sz w:val="23"/>
          <w:szCs w:val="23"/>
          <w:rtl/>
        </w:rPr>
      </w:pPr>
      <w:r w:rsidRPr="00A62AA2">
        <w:rPr>
          <w:position w:val="-32"/>
        </w:rPr>
        <w:object w:dxaOrig="2180" w:dyaOrig="780" w14:anchorId="2895186A">
          <v:shape id="_x0000_i6654" type="#_x0000_t75" style="width:108.9pt;height:39.35pt" o:ole="">
            <v:imagedata r:id="rId11369" o:title=""/>
          </v:shape>
          <o:OLEObject Type="Embed" ProgID="Equation.DSMT4" ShapeID="_x0000_i6654" DrawAspect="Content" ObjectID="_1791380598" r:id="rId11370"/>
        </w:object>
      </w:r>
      <w:r w:rsidRPr="00A62AA2">
        <w:rPr>
          <w:rFonts w:hint="cs"/>
          <w:i/>
          <w:sz w:val="23"/>
          <w:szCs w:val="23"/>
          <w:rtl/>
        </w:rPr>
        <w:tab/>
      </w:r>
      <w:r w:rsidRPr="00A62AA2">
        <w:rPr>
          <w:rFonts w:hint="cs"/>
          <w:i/>
          <w:sz w:val="23"/>
          <w:szCs w:val="23"/>
          <w:rtl/>
        </w:rPr>
        <w:tab/>
      </w:r>
      <w:r w:rsidRPr="00A62AA2">
        <w:rPr>
          <w:rFonts w:hint="cs"/>
          <w:i/>
          <w:sz w:val="23"/>
          <w:szCs w:val="23"/>
          <w:rtl/>
        </w:rPr>
        <w:tab/>
      </w:r>
      <w:r w:rsidRPr="00A62AA2">
        <w:rPr>
          <w:rFonts w:hint="cs"/>
          <w:i/>
          <w:sz w:val="23"/>
          <w:szCs w:val="23"/>
          <w:rtl/>
        </w:rPr>
        <w:tab/>
      </w:r>
      <w:r w:rsidRPr="00A62AA2">
        <w:rPr>
          <w:i/>
          <w:sz w:val="23"/>
          <w:szCs w:val="23"/>
        </w:rPr>
        <w:tab/>
      </w:r>
      <w:r w:rsidRPr="00A62AA2">
        <w:rPr>
          <w:i/>
          <w:sz w:val="23"/>
          <w:szCs w:val="23"/>
        </w:rPr>
        <w:tab/>
      </w:r>
      <w:r w:rsidRPr="00A62AA2">
        <w:rPr>
          <w:i/>
          <w:sz w:val="23"/>
          <w:szCs w:val="23"/>
        </w:rPr>
        <w:tab/>
      </w:r>
      <w:r>
        <w:rPr>
          <w:i/>
          <w:sz w:val="23"/>
          <w:szCs w:val="23"/>
          <w:rtl/>
        </w:rPr>
        <w:tab/>
      </w:r>
      <w:r w:rsidRPr="00A62AA2">
        <w:rPr>
          <w:i/>
          <w:sz w:val="23"/>
          <w:szCs w:val="23"/>
        </w:rPr>
        <w:tab/>
      </w:r>
      <w:r w:rsidRPr="00A62AA2">
        <w:rPr>
          <w:i/>
          <w:sz w:val="23"/>
          <w:szCs w:val="23"/>
        </w:rPr>
        <w:tab/>
      </w:r>
      <w:r w:rsidRPr="00A62AA2">
        <w:rPr>
          <w:i/>
          <w:sz w:val="23"/>
          <w:szCs w:val="23"/>
          <w:rtl/>
        </w:rPr>
        <w:tab/>
      </w:r>
      <w:r w:rsidRPr="00A62AA2">
        <w:rPr>
          <w:i/>
          <w:sz w:val="23"/>
          <w:szCs w:val="23"/>
        </w:rPr>
        <w:tab/>
      </w:r>
      <w:r w:rsidRPr="00A62AA2">
        <w:rPr>
          <w:rFonts w:hint="cs"/>
          <w:i/>
          <w:sz w:val="23"/>
          <w:szCs w:val="23"/>
          <w:rtl/>
        </w:rPr>
        <w:tab/>
        <w:t xml:space="preserve"> </w:t>
      </w:r>
      <w:r w:rsidRPr="00A62AA2">
        <w:rPr>
          <w:rFonts w:hint="cs"/>
          <w:i/>
          <w:sz w:val="23"/>
          <w:szCs w:val="23"/>
          <w:rtl/>
        </w:rPr>
        <w:tab/>
        <w:t>(۱۳. ۴۱)</w:t>
      </w:r>
      <w:r w:rsidRPr="00A62AA2">
        <w:rPr>
          <w:i/>
          <w:sz w:val="23"/>
          <w:szCs w:val="23"/>
        </w:rPr>
        <w:t xml:space="preserve"> </w:t>
      </w:r>
    </w:p>
    <w:p w14:paraId="505BCC30" w14:textId="77777777" w:rsidR="00556C10" w:rsidRPr="00A62AA2" w:rsidRDefault="00556C10" w:rsidP="00556C10">
      <w:pPr>
        <w:spacing w:line="216" w:lineRule="auto"/>
        <w:rPr>
          <w:i/>
          <w:sz w:val="23"/>
          <w:szCs w:val="23"/>
          <w:rtl/>
        </w:rPr>
      </w:pPr>
      <w:r w:rsidRPr="00A62AA2">
        <w:rPr>
          <w:rFonts w:hint="cs"/>
          <w:i/>
          <w:sz w:val="23"/>
          <w:szCs w:val="23"/>
          <w:rtl/>
        </w:rPr>
        <w:t>که</w:t>
      </w:r>
      <w:r w:rsidRPr="00A62AA2">
        <w:rPr>
          <w:position w:val="-10"/>
        </w:rPr>
        <w:object w:dxaOrig="360" w:dyaOrig="340" w14:anchorId="7AD66A87">
          <v:shape id="_x0000_i6655" type="#_x0000_t75" style="width:18.15pt;height:16.95pt" o:ole="">
            <v:imagedata r:id="rId11371" o:title=""/>
          </v:shape>
          <o:OLEObject Type="Embed" ProgID="Equation.DSMT4" ShapeID="_x0000_i6655" DrawAspect="Content" ObjectID="_1791380599" r:id="rId11372"/>
        </w:object>
      </w:r>
      <w:r w:rsidRPr="00A62AA2">
        <w:rPr>
          <w:rFonts w:hint="cs"/>
          <w:i/>
          <w:sz w:val="23"/>
          <w:szCs w:val="23"/>
          <w:rtl/>
        </w:rPr>
        <w:t xml:space="preserve"> کل مصرف داخلی از کالاهای غیرتجاری داده شده است و فرض می</w:t>
      </w:r>
      <w:r w:rsidRPr="00A62AA2">
        <w:rPr>
          <w:rFonts w:hint="cs"/>
          <w:i/>
          <w:sz w:val="23"/>
          <w:szCs w:val="23"/>
          <w:rtl/>
        </w:rPr>
        <w:softHyphen/>
        <w:t>شود که مخارج دولتی وجود ندارد. قید بودجه به صورت زیر نوشته می</w:t>
      </w:r>
      <w:r w:rsidRPr="00A62AA2">
        <w:rPr>
          <w:rFonts w:hint="cs"/>
          <w:i/>
          <w:sz w:val="23"/>
          <w:szCs w:val="23"/>
          <w:rtl/>
        </w:rPr>
        <w:softHyphen/>
        <w:t>شود</w:t>
      </w:r>
    </w:p>
    <w:p w14:paraId="6CB52387" w14:textId="77777777" w:rsidR="00556C10" w:rsidRPr="00A62AA2" w:rsidRDefault="00556C10" w:rsidP="00556C10">
      <w:pPr>
        <w:spacing w:line="216" w:lineRule="auto"/>
        <w:rPr>
          <w:i/>
          <w:sz w:val="23"/>
          <w:szCs w:val="23"/>
          <w:rtl/>
        </w:rPr>
      </w:pPr>
      <w:r w:rsidRPr="00A62AA2">
        <w:rPr>
          <w:position w:val="-12"/>
        </w:rPr>
        <w:object w:dxaOrig="7100" w:dyaOrig="360" w14:anchorId="0EC1BCF3">
          <v:shape id="_x0000_i6656" type="#_x0000_t75" style="width:355.15pt;height:18.15pt" o:ole="">
            <v:imagedata r:id="rId11373" o:title=""/>
          </v:shape>
          <o:OLEObject Type="Embed" ProgID="Equation.DSMT4" ShapeID="_x0000_i6656" DrawAspect="Content" ObjectID="_1791380600" r:id="rId11374"/>
        </w:object>
      </w:r>
      <w:r w:rsidRPr="00A62AA2">
        <w:rPr>
          <w:rFonts w:hint="cs"/>
          <w:i/>
          <w:sz w:val="23"/>
          <w:szCs w:val="23"/>
          <w:rtl/>
        </w:rPr>
        <w:t>که در آن نرخ بهره</w:t>
      </w:r>
      <w:r w:rsidRPr="00A62AA2">
        <w:rPr>
          <w:rFonts w:hint="cs"/>
          <w:i/>
          <w:sz w:val="23"/>
          <w:szCs w:val="23"/>
          <w:rtl/>
        </w:rPr>
        <w:softHyphen/>
        <w:t>ی حقیقی</w:t>
      </w:r>
      <w:r w:rsidRPr="00025957">
        <w:rPr>
          <w:position w:val="-4"/>
        </w:rPr>
        <w:object w:dxaOrig="180" w:dyaOrig="180" w14:anchorId="397A6C27">
          <v:shape id="_x0000_i6657" type="#_x0000_t75" style="width:9.1pt;height:9.1pt" o:ole="">
            <v:imagedata r:id="rId11375" o:title=""/>
          </v:shape>
          <o:OLEObject Type="Embed" ProgID="Equation.DSMT4" ShapeID="_x0000_i6657" DrawAspect="Content" ObjectID="_1791380601" r:id="rId11376"/>
        </w:object>
      </w:r>
      <w:r w:rsidRPr="00A62AA2">
        <w:rPr>
          <w:rFonts w:hint="cs"/>
          <w:i/>
          <w:sz w:val="23"/>
          <w:szCs w:val="23"/>
          <w:rtl/>
        </w:rPr>
        <w:t xml:space="preserve"> برحسب قیمت کالاهای تجاری تعیین می</w:t>
      </w:r>
      <w:r w:rsidRPr="00A62AA2">
        <w:rPr>
          <w:rFonts w:hint="cs"/>
          <w:i/>
          <w:sz w:val="23"/>
          <w:szCs w:val="23"/>
          <w:rtl/>
        </w:rPr>
        <w:softHyphen/>
        <w:t>شود، و</w:t>
      </w:r>
      <w:r w:rsidRPr="00A62AA2">
        <w:rPr>
          <w:position w:val="-10"/>
        </w:rPr>
        <w:object w:dxaOrig="220" w:dyaOrig="320" w14:anchorId="2893DEA6">
          <v:shape id="_x0000_i6658" type="#_x0000_t75" style="width:10.9pt;height:15.75pt" o:ole="">
            <v:imagedata r:id="rId11377" o:title=""/>
          </v:shape>
          <o:OLEObject Type="Embed" ProgID="Equation.DSMT4" ShapeID="_x0000_i6658" DrawAspect="Content" ObjectID="_1791380602" r:id="rId11378"/>
        </w:object>
      </w:r>
      <w:r w:rsidRPr="00A62AA2">
        <w:rPr>
          <w:rFonts w:hint="cs"/>
          <w:i/>
          <w:sz w:val="23"/>
          <w:szCs w:val="23"/>
          <w:rtl/>
        </w:rPr>
        <w:t xml:space="preserve"> موجودی اوراق قرضه خصوصی است. از آنجا که مخارج دولتی وجود ندارد، قید بودجه</w:t>
      </w:r>
      <w:r w:rsidRPr="00A62AA2">
        <w:rPr>
          <w:rFonts w:hint="cs"/>
          <w:i/>
          <w:sz w:val="23"/>
          <w:szCs w:val="23"/>
          <w:rtl/>
        </w:rPr>
        <w:softHyphen/>
        <w:t>ی دولت برابر است با</w:t>
      </w:r>
    </w:p>
    <w:p w14:paraId="7C20E6EE" w14:textId="77777777" w:rsidR="00556C10" w:rsidRPr="00A62AA2" w:rsidRDefault="00556C10" w:rsidP="00556C10">
      <w:pPr>
        <w:bidi w:val="0"/>
        <w:spacing w:line="216" w:lineRule="auto"/>
        <w:rPr>
          <w:i/>
          <w:sz w:val="23"/>
          <w:szCs w:val="23"/>
          <w:rtl/>
        </w:rPr>
      </w:pPr>
      <w:r w:rsidRPr="00A62AA2">
        <w:rPr>
          <w:position w:val="-10"/>
        </w:rPr>
        <w:object w:dxaOrig="1560" w:dyaOrig="340" w14:anchorId="4BD14EE9">
          <v:shape id="_x0000_i6659" type="#_x0000_t75" style="width:78.05pt;height:16.95pt" o:ole="">
            <v:imagedata r:id="rId11379" o:title=""/>
          </v:shape>
          <o:OLEObject Type="Embed" ProgID="Equation.DSMT4" ShapeID="_x0000_i6659" DrawAspect="Content" ObjectID="_1791380603" r:id="rId11380"/>
        </w:object>
      </w:r>
      <w:r w:rsidRPr="00A62AA2">
        <w:rPr>
          <w:rFonts w:hint="cs"/>
          <w:i/>
          <w:sz w:val="23"/>
          <w:szCs w:val="23"/>
          <w:rtl/>
        </w:rPr>
        <w:t xml:space="preserve"> </w:t>
      </w:r>
    </w:p>
    <w:p w14:paraId="15482017" w14:textId="77777777" w:rsidR="00556C10" w:rsidRPr="00A62AA2" w:rsidRDefault="00556C10" w:rsidP="00556C10">
      <w:pPr>
        <w:spacing w:line="216" w:lineRule="auto"/>
        <w:rPr>
          <w:i/>
          <w:sz w:val="23"/>
          <w:szCs w:val="23"/>
          <w:rtl/>
        </w:rPr>
      </w:pPr>
      <w:r w:rsidRPr="00A62AA2">
        <w:rPr>
          <w:rFonts w:hint="cs"/>
          <w:i/>
          <w:sz w:val="23"/>
          <w:szCs w:val="23"/>
          <w:rtl/>
        </w:rPr>
        <w:t>لاگرانژین این مسئله عبارت است از</w:t>
      </w:r>
    </w:p>
    <w:p w14:paraId="0B03CDED" w14:textId="77777777" w:rsidR="00556C10" w:rsidRPr="00A62AA2" w:rsidRDefault="00556C10" w:rsidP="00556C10">
      <w:pPr>
        <w:bidi w:val="0"/>
        <w:spacing w:line="216" w:lineRule="auto"/>
        <w:rPr>
          <w:i/>
          <w:sz w:val="23"/>
          <w:szCs w:val="23"/>
          <w:rtl/>
        </w:rPr>
      </w:pPr>
      <w:r w:rsidRPr="00A62AA2">
        <w:rPr>
          <w:position w:val="-38"/>
        </w:rPr>
        <w:object w:dxaOrig="5860" w:dyaOrig="859" w14:anchorId="37CD1ADC">
          <v:shape id="_x0000_i6660" type="#_x0000_t75" style="width:292.85pt;height:42.95pt" o:ole="">
            <v:imagedata r:id="rId11381" o:title=""/>
          </v:shape>
          <o:OLEObject Type="Embed" ProgID="Equation.DSMT4" ShapeID="_x0000_i6660" DrawAspect="Content" ObjectID="_1791380604" r:id="rId11382"/>
        </w:object>
      </w:r>
      <w:r w:rsidRPr="00A62AA2">
        <w:rPr>
          <w:position w:val="-38"/>
        </w:rPr>
        <w:object w:dxaOrig="5560" w:dyaOrig="859" w14:anchorId="528C3812">
          <v:shape id="_x0000_i6661" type="#_x0000_t75" style="width:277.7pt;height:42.95pt" o:ole="">
            <v:imagedata r:id="rId11383" o:title=""/>
          </v:shape>
          <o:OLEObject Type="Embed" ProgID="Equation.DSMT4" ShapeID="_x0000_i6661" DrawAspect="Content" ObjectID="_1791380605" r:id="rId11384"/>
        </w:object>
      </w:r>
    </w:p>
    <w:p w14:paraId="2BFFC016" w14:textId="77777777" w:rsidR="00556C10" w:rsidRPr="00A62AA2" w:rsidRDefault="00556C10" w:rsidP="00556C10">
      <w:pPr>
        <w:spacing w:line="216" w:lineRule="auto"/>
        <w:rPr>
          <w:i/>
          <w:sz w:val="23"/>
          <w:szCs w:val="23"/>
          <w:rtl/>
        </w:rPr>
      </w:pPr>
      <w:r w:rsidRPr="00A62AA2">
        <w:rPr>
          <w:rFonts w:hint="cs"/>
          <w:i/>
          <w:sz w:val="23"/>
          <w:szCs w:val="23"/>
          <w:rtl/>
        </w:rPr>
        <w:t>شرایط مرتبه اول عبارت خواهند بود از</w:t>
      </w:r>
    </w:p>
    <w:p w14:paraId="0D78CE4F" w14:textId="77777777" w:rsidR="00556C10" w:rsidRPr="00A62AA2" w:rsidRDefault="00556C10" w:rsidP="00556C10">
      <w:pPr>
        <w:bidi w:val="0"/>
        <w:spacing w:line="216" w:lineRule="auto"/>
        <w:rPr>
          <w:i/>
          <w:sz w:val="23"/>
          <w:szCs w:val="23"/>
          <w:rtl/>
        </w:rPr>
      </w:pPr>
      <w:r w:rsidRPr="00A62AA2">
        <w:rPr>
          <w:position w:val="-30"/>
        </w:rPr>
        <w:object w:dxaOrig="3280" w:dyaOrig="639" w14:anchorId="684FF5AF">
          <v:shape id="_x0000_i6662" type="#_x0000_t75" style="width:163.95pt;height:32.05pt" o:ole="">
            <v:imagedata r:id="rId11385" o:title=""/>
          </v:shape>
          <o:OLEObject Type="Embed" ProgID="Equation.DSMT4" ShapeID="_x0000_i6662" DrawAspect="Content" ObjectID="_1791380606" r:id="rId11386"/>
        </w:object>
      </w:r>
      <w:r w:rsidRPr="00A62AA2">
        <w:rPr>
          <w:rFonts w:hint="cs"/>
          <w:i/>
          <w:sz w:val="23"/>
          <w:szCs w:val="23"/>
          <w:rtl/>
        </w:rPr>
        <w:t xml:space="preserve"> </w:t>
      </w:r>
    </w:p>
    <w:p w14:paraId="6E8F56A8" w14:textId="77777777" w:rsidR="00556C10" w:rsidRPr="00A62AA2" w:rsidRDefault="00556C10" w:rsidP="00556C10">
      <w:pPr>
        <w:bidi w:val="0"/>
        <w:spacing w:line="216" w:lineRule="auto"/>
        <w:rPr>
          <w:i/>
          <w:sz w:val="23"/>
          <w:szCs w:val="23"/>
        </w:rPr>
      </w:pPr>
      <w:r w:rsidRPr="00A62AA2">
        <w:rPr>
          <w:position w:val="-30"/>
        </w:rPr>
        <w:object w:dxaOrig="3400" w:dyaOrig="639" w14:anchorId="5E913109">
          <v:shape id="_x0000_i6663" type="#_x0000_t75" style="width:169.4pt;height:32.05pt" o:ole="">
            <v:imagedata r:id="rId11387" o:title=""/>
          </v:shape>
          <o:OLEObject Type="Embed" ProgID="Equation.DSMT4" ShapeID="_x0000_i6663" DrawAspect="Content" ObjectID="_1791380607" r:id="rId11388"/>
        </w:object>
      </w:r>
    </w:p>
    <w:p w14:paraId="0BFC6073" w14:textId="77777777" w:rsidR="00556C10" w:rsidRPr="00A62AA2" w:rsidRDefault="00556C10" w:rsidP="00556C10">
      <w:pPr>
        <w:bidi w:val="0"/>
        <w:spacing w:line="216" w:lineRule="auto"/>
        <w:rPr>
          <w:i/>
          <w:sz w:val="23"/>
          <w:szCs w:val="23"/>
        </w:rPr>
      </w:pPr>
      <w:r w:rsidRPr="00A62AA2">
        <w:rPr>
          <w:position w:val="-30"/>
        </w:rPr>
        <w:object w:dxaOrig="6200" w:dyaOrig="639" w14:anchorId="031306C8">
          <v:shape id="_x0000_i6664" type="#_x0000_t75" style="width:309.8pt;height:32.05pt" o:ole="">
            <v:imagedata r:id="rId11389" o:title=""/>
          </v:shape>
          <o:OLEObject Type="Embed" ProgID="Equation.DSMT4" ShapeID="_x0000_i6664" DrawAspect="Content" ObjectID="_1791380608" r:id="rId11390"/>
        </w:object>
      </w:r>
    </w:p>
    <w:p w14:paraId="6C0CC12A" w14:textId="77777777" w:rsidR="00556C10" w:rsidRPr="00A62AA2" w:rsidRDefault="00556C10" w:rsidP="00556C10">
      <w:pPr>
        <w:bidi w:val="0"/>
        <w:spacing w:line="216" w:lineRule="auto"/>
        <w:rPr>
          <w:i/>
          <w:sz w:val="23"/>
          <w:szCs w:val="23"/>
        </w:rPr>
      </w:pPr>
      <w:r w:rsidRPr="00A62AA2">
        <w:rPr>
          <w:position w:val="-30"/>
        </w:rPr>
        <w:object w:dxaOrig="3960" w:dyaOrig="700" w14:anchorId="0BF7D856">
          <v:shape id="_x0000_i6665" type="#_x0000_t75" style="width:198.45pt;height:35.1pt" o:ole="">
            <v:imagedata r:id="rId11391" o:title=""/>
          </v:shape>
          <o:OLEObject Type="Embed" ProgID="Equation.DSMT4" ShapeID="_x0000_i6665" DrawAspect="Content" ObjectID="_1791380609" r:id="rId11392"/>
        </w:object>
      </w:r>
    </w:p>
    <w:p w14:paraId="405B5A99" w14:textId="77777777" w:rsidR="00556C10" w:rsidRPr="00A62AA2" w:rsidRDefault="00556C10" w:rsidP="00556C10">
      <w:pPr>
        <w:bidi w:val="0"/>
        <w:spacing w:line="216" w:lineRule="auto"/>
        <w:rPr>
          <w:i/>
          <w:sz w:val="23"/>
          <w:szCs w:val="23"/>
        </w:rPr>
      </w:pPr>
      <w:r w:rsidRPr="00A62AA2">
        <w:rPr>
          <w:position w:val="-30"/>
        </w:rPr>
        <w:object w:dxaOrig="4200" w:dyaOrig="639" w14:anchorId="3E331F21">
          <v:shape id="_x0000_i6666" type="#_x0000_t75" style="width:209.95pt;height:32.05pt" o:ole="">
            <v:imagedata r:id="rId11393" o:title=""/>
          </v:shape>
          <o:OLEObject Type="Embed" ProgID="Equation.DSMT4" ShapeID="_x0000_i6666" DrawAspect="Content" ObjectID="_1791380610" r:id="rId11394"/>
        </w:object>
      </w:r>
    </w:p>
    <w:p w14:paraId="0BAF809E" w14:textId="77777777" w:rsidR="00556C10" w:rsidRPr="00A62AA2" w:rsidRDefault="00556C10" w:rsidP="00556C10">
      <w:pPr>
        <w:spacing w:line="216" w:lineRule="auto"/>
        <w:rPr>
          <w:i/>
          <w:sz w:val="23"/>
          <w:szCs w:val="23"/>
          <w:rtl/>
        </w:rPr>
      </w:pPr>
      <w:r w:rsidRPr="00A62AA2">
        <w:rPr>
          <w:rFonts w:hint="cs"/>
          <w:i/>
          <w:sz w:val="23"/>
          <w:szCs w:val="23"/>
          <w:rtl/>
        </w:rPr>
        <w:t>و بر اساس آن</w:t>
      </w:r>
      <w:r w:rsidRPr="00A62AA2">
        <w:rPr>
          <w:rFonts w:hint="cs"/>
          <w:i/>
          <w:sz w:val="23"/>
          <w:szCs w:val="23"/>
          <w:rtl/>
        </w:rPr>
        <w:softHyphen/>
        <w:t xml:space="preserve">ها </w:t>
      </w:r>
    </w:p>
    <w:p w14:paraId="66E5E97D" w14:textId="77777777" w:rsidR="00556C10" w:rsidRPr="00A62AA2" w:rsidRDefault="00556C10" w:rsidP="00556C10">
      <w:pPr>
        <w:bidi w:val="0"/>
        <w:spacing w:line="216" w:lineRule="auto"/>
        <w:rPr>
          <w:i/>
          <w:sz w:val="23"/>
          <w:szCs w:val="23"/>
          <w:rtl/>
        </w:rPr>
      </w:pPr>
      <w:r w:rsidRPr="00A62AA2">
        <w:rPr>
          <w:rFonts w:hint="cs"/>
          <w:i/>
          <w:sz w:val="23"/>
          <w:szCs w:val="23"/>
          <w:rtl/>
        </w:rPr>
        <w:t xml:space="preserve"> </w:t>
      </w:r>
      <w:r w:rsidRPr="00A62AA2">
        <w:rPr>
          <w:position w:val="-10"/>
        </w:rPr>
        <w:object w:dxaOrig="780" w:dyaOrig="340" w14:anchorId="4A3E1530">
          <v:shape id="_x0000_i6667" type="#_x0000_t75" style="width:39.35pt;height:16.95pt" o:ole="">
            <v:imagedata r:id="rId11395" o:title=""/>
          </v:shape>
          <o:OLEObject Type="Embed" ProgID="Equation.DSMT4" ShapeID="_x0000_i6667" DrawAspect="Content" ObjectID="_1791380611" r:id="rId11396"/>
        </w:object>
      </w:r>
      <w:r w:rsidRPr="00A62AA2">
        <w:rPr>
          <w:rFonts w:hint="cs"/>
          <w:i/>
          <w:sz w:val="23"/>
          <w:szCs w:val="23"/>
          <w:rtl/>
        </w:rPr>
        <w:t xml:space="preserve"> </w:t>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Pr>
          <w:i/>
          <w:sz w:val="23"/>
          <w:szCs w:val="23"/>
          <w:rtl/>
        </w:rPr>
        <w:tab/>
      </w:r>
      <w:r>
        <w:rPr>
          <w:i/>
          <w:sz w:val="23"/>
          <w:szCs w:val="23"/>
          <w:rtl/>
        </w:rPr>
        <w:tab/>
      </w:r>
      <w:r w:rsidRPr="00A62AA2">
        <w:rPr>
          <w:i/>
          <w:sz w:val="23"/>
          <w:szCs w:val="23"/>
        </w:rPr>
        <w:tab/>
      </w:r>
      <w:r w:rsidRPr="00A62AA2">
        <w:rPr>
          <w:i/>
          <w:sz w:val="23"/>
          <w:szCs w:val="23"/>
        </w:rPr>
        <w:tab/>
      </w:r>
      <w:r w:rsidRPr="00A62AA2">
        <w:rPr>
          <w:i/>
          <w:sz w:val="23"/>
          <w:szCs w:val="23"/>
        </w:rPr>
        <w:tab/>
      </w:r>
      <w:r w:rsidRPr="00A62AA2">
        <w:rPr>
          <w:rFonts w:hint="cs"/>
          <w:i/>
          <w:sz w:val="23"/>
          <w:szCs w:val="23"/>
          <w:rtl/>
        </w:rPr>
        <w:tab/>
        <w:t>(۱۳. ۴۲)</w:t>
      </w:r>
      <w:r w:rsidRPr="00A62AA2">
        <w:rPr>
          <w:i/>
          <w:sz w:val="23"/>
          <w:szCs w:val="23"/>
        </w:rPr>
        <w:t xml:space="preserve"> </w:t>
      </w:r>
    </w:p>
    <w:p w14:paraId="1D3B542D" w14:textId="77777777" w:rsidR="00556C10" w:rsidRPr="00A62AA2" w:rsidRDefault="00556C10" w:rsidP="00556C10">
      <w:pPr>
        <w:bidi w:val="0"/>
        <w:spacing w:line="216" w:lineRule="auto"/>
        <w:rPr>
          <w:i/>
          <w:sz w:val="23"/>
          <w:szCs w:val="23"/>
          <w:rtl/>
        </w:rPr>
      </w:pPr>
      <w:r w:rsidRPr="00A62AA2">
        <w:rPr>
          <w:position w:val="-28"/>
        </w:rPr>
        <w:object w:dxaOrig="1579" w:dyaOrig="660" w14:anchorId="4ABFA5AF">
          <v:shape id="_x0000_i6668" type="#_x0000_t75" style="width:78.65pt;height:32.65pt" o:ole="">
            <v:imagedata r:id="rId11397" o:title=""/>
          </v:shape>
          <o:OLEObject Type="Embed" ProgID="Equation.DSMT4" ShapeID="_x0000_i6668" DrawAspect="Content" ObjectID="_1791380612" r:id="rId11398"/>
        </w:object>
      </w:r>
      <w:r w:rsidRPr="00A62AA2">
        <w:rPr>
          <w:rFonts w:hint="cs"/>
          <w:i/>
          <w:sz w:val="23"/>
          <w:szCs w:val="23"/>
          <w:rtl/>
        </w:rPr>
        <w:tab/>
      </w:r>
      <w:r w:rsidRPr="00A62AA2">
        <w:rPr>
          <w:rFonts w:hint="cs"/>
          <w:i/>
          <w:sz w:val="23"/>
          <w:szCs w:val="23"/>
          <w:rtl/>
        </w:rPr>
        <w:tab/>
      </w:r>
      <w:r w:rsidRPr="00A62AA2">
        <w:rPr>
          <w:rFonts w:hint="cs"/>
          <w:i/>
          <w:sz w:val="23"/>
          <w:szCs w:val="23"/>
          <w:rtl/>
        </w:rPr>
        <w:tab/>
      </w:r>
      <w:r w:rsidRPr="00A62AA2">
        <w:rPr>
          <w:rFonts w:hint="cs"/>
          <w:i/>
          <w:sz w:val="23"/>
          <w:szCs w:val="23"/>
          <w:rtl/>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rFonts w:hint="cs"/>
          <w:i/>
          <w:sz w:val="23"/>
          <w:szCs w:val="23"/>
          <w:rtl/>
        </w:rPr>
        <w:tab/>
      </w:r>
      <w:r>
        <w:rPr>
          <w:i/>
          <w:sz w:val="23"/>
          <w:szCs w:val="23"/>
          <w:rtl/>
        </w:rPr>
        <w:tab/>
      </w:r>
      <w:r>
        <w:rPr>
          <w:i/>
          <w:sz w:val="23"/>
          <w:szCs w:val="23"/>
          <w:rtl/>
        </w:rPr>
        <w:tab/>
      </w:r>
      <w:r w:rsidRPr="00A62AA2">
        <w:rPr>
          <w:rFonts w:hint="cs"/>
          <w:i/>
          <w:sz w:val="23"/>
          <w:szCs w:val="23"/>
          <w:rtl/>
        </w:rPr>
        <w:tab/>
      </w:r>
      <w:r w:rsidRPr="00A62AA2">
        <w:rPr>
          <w:rFonts w:hint="cs"/>
          <w:i/>
          <w:sz w:val="23"/>
          <w:szCs w:val="23"/>
          <w:rtl/>
        </w:rPr>
        <w:tab/>
        <w:t>(۱۳. ۴۳)</w:t>
      </w:r>
      <w:r w:rsidRPr="00A62AA2">
        <w:rPr>
          <w:i/>
          <w:sz w:val="23"/>
          <w:szCs w:val="23"/>
        </w:rPr>
        <w:t xml:space="preserve"> </w:t>
      </w:r>
    </w:p>
    <w:p w14:paraId="08190E2E" w14:textId="77777777" w:rsidR="00556C10" w:rsidRPr="00A62AA2" w:rsidRDefault="00556C10" w:rsidP="00556C10">
      <w:pPr>
        <w:bidi w:val="0"/>
        <w:spacing w:line="216" w:lineRule="auto"/>
        <w:rPr>
          <w:i/>
          <w:sz w:val="23"/>
          <w:szCs w:val="23"/>
        </w:rPr>
      </w:pPr>
      <w:r w:rsidRPr="00A62AA2">
        <w:rPr>
          <w:position w:val="-30"/>
        </w:rPr>
        <w:object w:dxaOrig="3580" w:dyaOrig="740" w14:anchorId="3543FCD9">
          <v:shape id="_x0000_i6669" type="#_x0000_t75" style="width:179.1pt;height:36.9pt" o:ole="">
            <v:imagedata r:id="rId11399" o:title=""/>
          </v:shape>
          <o:OLEObject Type="Embed" ProgID="Equation.DSMT4" ShapeID="_x0000_i6669" DrawAspect="Content" ObjectID="_1791380613" r:id="rId11400"/>
        </w:object>
      </w:r>
      <w:r w:rsidRPr="00A62AA2">
        <w:rPr>
          <w:rFonts w:hint="cs"/>
          <w:i/>
          <w:sz w:val="23"/>
          <w:szCs w:val="23"/>
          <w:rtl/>
        </w:rPr>
        <w:tab/>
      </w:r>
      <w:r w:rsidRPr="00A62AA2">
        <w:rPr>
          <w:i/>
          <w:sz w:val="23"/>
          <w:szCs w:val="23"/>
        </w:rPr>
        <w:tab/>
      </w:r>
      <w:r>
        <w:rPr>
          <w:i/>
          <w:sz w:val="23"/>
          <w:szCs w:val="23"/>
          <w:rtl/>
        </w:rPr>
        <w:tab/>
      </w:r>
      <w:r>
        <w:rPr>
          <w:i/>
          <w:sz w:val="23"/>
          <w:szCs w:val="23"/>
          <w:rtl/>
        </w:rPr>
        <w:tab/>
      </w:r>
      <w:r w:rsidRPr="00A62AA2">
        <w:rPr>
          <w:i/>
          <w:sz w:val="23"/>
          <w:szCs w:val="23"/>
        </w:rPr>
        <w:tab/>
      </w:r>
      <w:r w:rsidRPr="00A62AA2">
        <w:rPr>
          <w:i/>
          <w:sz w:val="23"/>
          <w:szCs w:val="23"/>
        </w:rPr>
        <w:tab/>
      </w:r>
      <w:r w:rsidRPr="00A62AA2">
        <w:rPr>
          <w:i/>
          <w:sz w:val="23"/>
          <w:szCs w:val="23"/>
        </w:rPr>
        <w:tab/>
      </w:r>
      <w:r w:rsidRPr="00A62AA2">
        <w:rPr>
          <w:rFonts w:hint="cs"/>
          <w:i/>
          <w:sz w:val="23"/>
          <w:szCs w:val="23"/>
          <w:rtl/>
        </w:rPr>
        <w:tab/>
      </w:r>
      <w:r w:rsidRPr="00A62AA2">
        <w:rPr>
          <w:rFonts w:hint="cs"/>
          <w:i/>
          <w:sz w:val="23"/>
          <w:szCs w:val="23"/>
          <w:rtl/>
        </w:rPr>
        <w:tab/>
        <w:t>(۱۳. ۴۴)</w:t>
      </w:r>
      <w:r w:rsidRPr="00A62AA2">
        <w:rPr>
          <w:i/>
          <w:sz w:val="23"/>
          <w:szCs w:val="23"/>
        </w:rPr>
        <w:t xml:space="preserve"> </w:t>
      </w:r>
    </w:p>
    <w:p w14:paraId="4441A74B" w14:textId="77777777" w:rsidR="00556C10" w:rsidRPr="00A62AA2" w:rsidRDefault="00556C10" w:rsidP="00556C10">
      <w:pPr>
        <w:bidi w:val="0"/>
        <w:spacing w:line="216" w:lineRule="auto"/>
        <w:rPr>
          <w:i/>
          <w:sz w:val="23"/>
          <w:szCs w:val="23"/>
        </w:rPr>
      </w:pPr>
      <w:r w:rsidRPr="00A62AA2">
        <w:rPr>
          <w:position w:val="-26"/>
        </w:rPr>
        <w:object w:dxaOrig="3080" w:dyaOrig="600" w14:anchorId="0C47D53F">
          <v:shape id="_x0000_i6670" type="#_x0000_t75" style="width:154.3pt;height:29.65pt" o:ole="">
            <v:imagedata r:id="rId11401" o:title=""/>
          </v:shape>
          <o:OLEObject Type="Embed" ProgID="Equation.DSMT4" ShapeID="_x0000_i6670" DrawAspect="Content" ObjectID="_1791380614" r:id="rId11402"/>
        </w:object>
      </w:r>
      <w:r w:rsidRPr="00A62AA2">
        <w:rPr>
          <w:rFonts w:hint="cs"/>
          <w:i/>
          <w:sz w:val="23"/>
          <w:szCs w:val="23"/>
          <w:rtl/>
        </w:rPr>
        <w:tab/>
      </w:r>
      <w:r w:rsidRPr="00A62AA2">
        <w:rPr>
          <w:rFonts w:hint="cs"/>
          <w:i/>
          <w:sz w:val="23"/>
          <w:szCs w:val="23"/>
          <w:rtl/>
        </w:rPr>
        <w:tab/>
      </w:r>
      <w:r w:rsidRPr="00A62AA2">
        <w:rPr>
          <w:i/>
          <w:sz w:val="23"/>
          <w:szCs w:val="23"/>
        </w:rPr>
        <w:tab/>
      </w:r>
      <w:r w:rsidRPr="00A62AA2">
        <w:rPr>
          <w:i/>
          <w:sz w:val="23"/>
          <w:szCs w:val="23"/>
        </w:rPr>
        <w:tab/>
      </w:r>
      <w:r w:rsidRPr="00A62AA2">
        <w:rPr>
          <w:i/>
          <w:sz w:val="23"/>
          <w:szCs w:val="23"/>
        </w:rPr>
        <w:tab/>
      </w:r>
      <w:r w:rsidRPr="00A62AA2">
        <w:rPr>
          <w:i/>
          <w:sz w:val="23"/>
          <w:szCs w:val="23"/>
        </w:rPr>
        <w:tab/>
      </w:r>
      <w:r w:rsidRPr="00A62AA2">
        <w:rPr>
          <w:i/>
          <w:sz w:val="23"/>
          <w:szCs w:val="23"/>
        </w:rPr>
        <w:tab/>
      </w:r>
      <w:r>
        <w:rPr>
          <w:i/>
          <w:sz w:val="23"/>
          <w:szCs w:val="23"/>
          <w:rtl/>
        </w:rPr>
        <w:tab/>
      </w:r>
      <w:r>
        <w:rPr>
          <w:i/>
          <w:sz w:val="23"/>
          <w:szCs w:val="23"/>
          <w:rtl/>
        </w:rPr>
        <w:tab/>
      </w:r>
      <w:r w:rsidRPr="00A62AA2">
        <w:rPr>
          <w:i/>
          <w:sz w:val="23"/>
          <w:szCs w:val="23"/>
        </w:rPr>
        <w:tab/>
      </w:r>
      <w:r w:rsidRPr="00A62AA2">
        <w:rPr>
          <w:rFonts w:hint="cs"/>
          <w:i/>
          <w:sz w:val="23"/>
          <w:szCs w:val="23"/>
          <w:rtl/>
        </w:rPr>
        <w:tab/>
        <w:t>(۱۳. ۴۵)</w:t>
      </w:r>
      <w:r w:rsidRPr="00A62AA2">
        <w:rPr>
          <w:i/>
          <w:sz w:val="23"/>
          <w:szCs w:val="23"/>
        </w:rPr>
        <w:t xml:space="preserve"> </w:t>
      </w:r>
    </w:p>
    <w:p w14:paraId="25BBC502" w14:textId="77777777" w:rsidR="00556C10" w:rsidRPr="00A62AA2" w:rsidRDefault="00556C10" w:rsidP="00556C10">
      <w:pPr>
        <w:spacing w:line="216" w:lineRule="auto"/>
        <w:rPr>
          <w:i/>
          <w:sz w:val="23"/>
          <w:szCs w:val="23"/>
          <w:rtl/>
        </w:rPr>
      </w:pPr>
      <w:r w:rsidRPr="00A62AA2">
        <w:rPr>
          <w:rFonts w:hint="cs"/>
          <w:i/>
          <w:sz w:val="23"/>
          <w:szCs w:val="23"/>
          <w:rtl/>
        </w:rPr>
        <w:t>همان</w:t>
      </w:r>
      <w:r w:rsidRPr="00A62AA2">
        <w:rPr>
          <w:rFonts w:hint="cs"/>
          <w:i/>
          <w:sz w:val="23"/>
          <w:szCs w:val="23"/>
          <w:rtl/>
        </w:rPr>
        <w:softHyphen/>
        <w:t>گونه که تولید کالاهای تجاری ثابت است، و</w:t>
      </w:r>
      <w:r w:rsidRPr="00A62AA2">
        <w:rPr>
          <w:position w:val="-8"/>
        </w:rPr>
        <w:object w:dxaOrig="740" w:dyaOrig="320" w14:anchorId="3ACC7F25">
          <v:shape id="_x0000_i6671" type="#_x0000_t75" style="width:36.9pt;height:15.75pt" o:ole="">
            <v:imagedata r:id="rId11403" o:title=""/>
          </v:shape>
          <o:OLEObject Type="Embed" ProgID="Equation.DSMT4" ShapeID="_x0000_i6671" DrawAspect="Content" ObjectID="_1791380615" r:id="rId11404"/>
        </w:object>
      </w:r>
      <w:r w:rsidRPr="00A62AA2">
        <w:rPr>
          <w:i/>
          <w:sz w:val="23"/>
          <w:szCs w:val="23"/>
          <w:rtl/>
        </w:rPr>
        <w:t>،</w:t>
      </w:r>
      <w:r w:rsidRPr="00A62AA2">
        <w:rPr>
          <w:rFonts w:hint="cs"/>
          <w:i/>
          <w:sz w:val="23"/>
          <w:szCs w:val="23"/>
          <w:rtl/>
        </w:rPr>
        <w:t xml:space="preserve"> بنابراین علی</w:t>
      </w:r>
      <w:r w:rsidRPr="00A62AA2">
        <w:rPr>
          <w:rFonts w:hint="cs"/>
          <w:i/>
          <w:sz w:val="23"/>
          <w:szCs w:val="23"/>
          <w:rtl/>
        </w:rPr>
        <w:softHyphen/>
        <w:t>رغم شوک</w:t>
      </w:r>
      <w:r w:rsidRPr="00A62AA2">
        <w:rPr>
          <w:rFonts w:hint="cs"/>
          <w:i/>
          <w:sz w:val="23"/>
          <w:szCs w:val="23"/>
          <w:rtl/>
        </w:rPr>
        <w:softHyphen/>
        <w:t>های پولی یا بهره</w:t>
      </w:r>
      <w:r w:rsidRPr="00A62AA2">
        <w:rPr>
          <w:rFonts w:hint="cs"/>
          <w:i/>
          <w:sz w:val="23"/>
          <w:szCs w:val="23"/>
          <w:rtl/>
        </w:rPr>
        <w:softHyphen/>
        <w:t>وری کالاهای غیرتجاری، حساب جاری در تراز دائمی است. همان</w:t>
      </w:r>
      <w:r w:rsidRPr="00A62AA2">
        <w:rPr>
          <w:rFonts w:hint="cs"/>
          <w:i/>
          <w:sz w:val="23"/>
          <w:szCs w:val="23"/>
          <w:rtl/>
        </w:rPr>
        <w:softHyphen/>
        <w:t>گونه که</w:t>
      </w:r>
      <w:r w:rsidRPr="00A62AA2">
        <w:rPr>
          <w:i/>
          <w:sz w:val="23"/>
          <w:szCs w:val="23"/>
        </w:rPr>
        <w:t xml:space="preserve"> </w:t>
      </w:r>
      <w:r w:rsidRPr="00A62AA2">
        <w:rPr>
          <w:rFonts w:hint="cs"/>
          <w:i/>
          <w:sz w:val="23"/>
          <w:szCs w:val="23"/>
          <w:rtl/>
        </w:rPr>
        <w:t>برای کلیه</w:t>
      </w:r>
      <w:r w:rsidRPr="00A62AA2">
        <w:rPr>
          <w:rFonts w:hint="cs"/>
          <w:i/>
          <w:sz w:val="23"/>
          <w:szCs w:val="23"/>
          <w:rtl/>
        </w:rPr>
        <w:softHyphen/>
        <w:t>ی</w:t>
      </w:r>
      <w:r w:rsidRPr="00A62AA2">
        <w:rPr>
          <w:position w:val="-6"/>
        </w:rPr>
        <w:object w:dxaOrig="180" w:dyaOrig="200" w14:anchorId="52367D31">
          <v:shape id="_x0000_i6672" type="#_x0000_t75" style="width:9.1pt;height:10.3pt" o:ole="">
            <v:imagedata r:id="rId11405" o:title=""/>
          </v:shape>
          <o:OLEObject Type="Embed" ProgID="Equation.DSMT4" ShapeID="_x0000_i6672" DrawAspect="Content" ObjectID="_1791380616" r:id="rId11406"/>
        </w:object>
      </w:r>
      <w:r w:rsidRPr="00A62AA2">
        <w:rPr>
          <w:rFonts w:hint="cs"/>
          <w:i/>
          <w:sz w:val="23"/>
          <w:szCs w:val="23"/>
          <w:rtl/>
        </w:rPr>
        <w:t>ها،</w:t>
      </w:r>
      <w:r w:rsidRPr="00A62AA2">
        <w:rPr>
          <w:position w:val="-12"/>
        </w:rPr>
        <w:object w:dxaOrig="1620" w:dyaOrig="360" w14:anchorId="0F6D96F9">
          <v:shape id="_x0000_i6673" type="#_x0000_t75" style="width:81.1pt;height:18.15pt" o:ole="">
            <v:imagedata r:id="rId11407" o:title=""/>
          </v:shape>
          <o:OLEObject Type="Embed" ProgID="Equation.DSMT4" ShapeID="_x0000_i6673" DrawAspect="Content" ObjectID="_1791380617" r:id="rId11408"/>
        </w:object>
      </w:r>
      <w:r w:rsidRPr="00A62AA2">
        <w:rPr>
          <w:rFonts w:hint="cs"/>
          <w:i/>
          <w:sz w:val="23"/>
          <w:szCs w:val="23"/>
          <w:rtl/>
        </w:rPr>
        <w:t xml:space="preserve"> ، از معادلات (۱۳. ۴۳) و (۱۳. ۴۵) در وضعیت یکنواخت خواهیم داشت</w:t>
      </w:r>
    </w:p>
    <w:p w14:paraId="2F81B29F" w14:textId="77777777" w:rsidR="00556C10" w:rsidRPr="00A62AA2" w:rsidRDefault="00556C10" w:rsidP="00556C10">
      <w:pPr>
        <w:bidi w:val="0"/>
        <w:spacing w:line="216" w:lineRule="auto"/>
        <w:rPr>
          <w:i/>
          <w:sz w:val="23"/>
          <w:szCs w:val="23"/>
          <w:rtl/>
        </w:rPr>
      </w:pPr>
      <w:r w:rsidRPr="00A62AA2">
        <w:rPr>
          <w:position w:val="-30"/>
        </w:rPr>
        <w:object w:dxaOrig="4220" w:dyaOrig="760" w14:anchorId="7A457D95">
          <v:shape id="_x0000_i6674" type="#_x0000_t75" style="width:211.15pt;height:38.1pt" o:ole="">
            <v:imagedata r:id="rId11409" o:title=""/>
          </v:shape>
          <o:OLEObject Type="Embed" ProgID="Equation.DSMT4" ShapeID="_x0000_i6674" DrawAspect="Content" ObjectID="_1791380618" r:id="rId11410"/>
        </w:object>
      </w:r>
    </w:p>
    <w:p w14:paraId="1DAE4FE3" w14:textId="77777777" w:rsidR="00556C10" w:rsidRPr="00A62AA2" w:rsidRDefault="00556C10" w:rsidP="00556C10">
      <w:pPr>
        <w:spacing w:line="216" w:lineRule="auto"/>
        <w:rPr>
          <w:i/>
          <w:sz w:val="23"/>
          <w:szCs w:val="23"/>
          <w:rtl/>
        </w:rPr>
      </w:pPr>
      <w:r w:rsidRPr="00A62AA2">
        <w:rPr>
          <w:rFonts w:hint="cs"/>
          <w:i/>
          <w:sz w:val="23"/>
          <w:szCs w:val="23"/>
          <w:rtl/>
        </w:rPr>
        <w:t>بنابراین، مصرف و تولید در وضعیت یکنواخت متأثر از پول نمی</w:t>
      </w:r>
      <w:r w:rsidRPr="00A62AA2">
        <w:rPr>
          <w:rFonts w:hint="cs"/>
          <w:i/>
          <w:sz w:val="23"/>
          <w:szCs w:val="23"/>
          <w:rtl/>
        </w:rPr>
        <w:softHyphen/>
        <w:t>باشند. از معادلات (۱۳. ۴۰) و (۱۳. ۴۵) در وضعیت یکنواخت سطح قیمت</w:t>
      </w:r>
      <w:r w:rsidRPr="00025957">
        <w:rPr>
          <w:position w:val="-4"/>
        </w:rPr>
        <w:object w:dxaOrig="240" w:dyaOrig="240" w14:anchorId="56EFC6FF">
          <v:shape id="_x0000_i6675" type="#_x0000_t75" style="width:11.5pt;height:11.5pt" o:ole="">
            <v:imagedata r:id="rId11411" o:title=""/>
          </v:shape>
          <o:OLEObject Type="Embed" ProgID="Equation.DSMT4" ShapeID="_x0000_i6675" DrawAspect="Content" ObjectID="_1791380619" r:id="rId11412"/>
        </w:object>
      </w:r>
      <w:r w:rsidRPr="00A62AA2">
        <w:rPr>
          <w:rFonts w:hint="cs"/>
          <w:i/>
          <w:sz w:val="23"/>
          <w:szCs w:val="23"/>
          <w:rtl/>
        </w:rPr>
        <w:t xml:space="preserve"> نسبتی از</w:t>
      </w:r>
      <w:r w:rsidRPr="00025957">
        <w:rPr>
          <w:position w:val="-4"/>
        </w:rPr>
        <w:object w:dxaOrig="320" w:dyaOrig="240" w14:anchorId="47B206DE">
          <v:shape id="_x0000_i6676" type="#_x0000_t75" style="width:15.75pt;height:11.5pt" o:ole="">
            <v:imagedata r:id="rId11413" o:title=""/>
          </v:shape>
          <o:OLEObject Type="Embed" ProgID="Equation.DSMT4" ShapeID="_x0000_i6676" DrawAspect="Content" ObjectID="_1791380620" r:id="rId11414"/>
        </w:object>
      </w:r>
      <w:r w:rsidRPr="00A62AA2">
        <w:rPr>
          <w:rFonts w:hint="cs"/>
          <w:i/>
          <w:sz w:val="23"/>
          <w:szCs w:val="23"/>
          <w:rtl/>
        </w:rPr>
        <w:t xml:space="preserve">است و </w:t>
      </w:r>
    </w:p>
    <w:p w14:paraId="433B6DF0" w14:textId="77777777" w:rsidR="00556C10" w:rsidRPr="00A62AA2" w:rsidRDefault="00556C10" w:rsidP="00556C10">
      <w:pPr>
        <w:bidi w:val="0"/>
        <w:spacing w:line="216" w:lineRule="auto"/>
        <w:rPr>
          <w:i/>
          <w:sz w:val="23"/>
          <w:szCs w:val="23"/>
        </w:rPr>
      </w:pPr>
      <w:r w:rsidRPr="00A62AA2">
        <w:rPr>
          <w:position w:val="-16"/>
        </w:rPr>
        <w:object w:dxaOrig="1719" w:dyaOrig="480" w14:anchorId="13BE5183">
          <v:shape id="_x0000_i6677" type="#_x0000_t75" style="width:85.9pt;height:24.2pt" o:ole="">
            <v:imagedata r:id="rId11415" o:title=""/>
          </v:shape>
          <o:OLEObject Type="Embed" ProgID="Equation.DSMT4" ShapeID="_x0000_i6677" DrawAspect="Content" ObjectID="_1791380621" r:id="rId11416"/>
        </w:object>
      </w:r>
      <w:r w:rsidRPr="00A62AA2">
        <w:rPr>
          <w:rFonts w:hint="cs"/>
          <w:i/>
          <w:sz w:val="23"/>
          <w:szCs w:val="23"/>
          <w:rtl/>
        </w:rPr>
        <w:t xml:space="preserve"> </w:t>
      </w:r>
    </w:p>
    <w:p w14:paraId="59F56C0C" w14:textId="77777777" w:rsidR="00556C10" w:rsidRPr="00A62AA2" w:rsidRDefault="00556C10" w:rsidP="00556C10">
      <w:pPr>
        <w:spacing w:line="216" w:lineRule="auto"/>
        <w:rPr>
          <w:i/>
          <w:sz w:val="23"/>
          <w:szCs w:val="23"/>
        </w:rPr>
      </w:pPr>
      <w:r w:rsidRPr="00A62AA2">
        <w:rPr>
          <w:rFonts w:hint="cs"/>
          <w:i/>
          <w:sz w:val="23"/>
          <w:szCs w:val="23"/>
          <w:rtl/>
        </w:rPr>
        <w:t>که در آن</w:t>
      </w:r>
      <w:r w:rsidRPr="00A62AA2">
        <w:rPr>
          <w:position w:val="-6"/>
        </w:rPr>
        <w:object w:dxaOrig="520" w:dyaOrig="260" w14:anchorId="0749C06C">
          <v:shape id="_x0000_i6678" type="#_x0000_t75" style="width:26pt;height:13.3pt" o:ole="">
            <v:imagedata r:id="rId11417" o:title=""/>
          </v:shape>
          <o:OLEObject Type="Embed" ProgID="Equation.DSMT4" ShapeID="_x0000_i6678" DrawAspect="Content" ObjectID="_1791380622" r:id="rId11418"/>
        </w:object>
      </w:r>
      <w:r w:rsidRPr="00A62AA2">
        <w:rPr>
          <w:rFonts w:hint="cs"/>
          <w:i/>
          <w:sz w:val="23"/>
          <w:szCs w:val="23"/>
          <w:rtl/>
        </w:rPr>
        <w:t>می</w:t>
      </w:r>
      <w:r w:rsidRPr="00A62AA2">
        <w:rPr>
          <w:rFonts w:hint="cs"/>
          <w:i/>
          <w:sz w:val="23"/>
          <w:szCs w:val="23"/>
          <w:rtl/>
        </w:rPr>
        <w:softHyphen/>
        <w:t>باشد. بنابراین نرخ ارز در وضعیت یکنواخت برابر است با</w:t>
      </w:r>
    </w:p>
    <w:p w14:paraId="373EFCB9" w14:textId="77777777" w:rsidR="00556C10" w:rsidRPr="00A62AA2" w:rsidRDefault="00556C10" w:rsidP="00556C10">
      <w:pPr>
        <w:bidi w:val="0"/>
        <w:spacing w:line="216" w:lineRule="auto"/>
        <w:rPr>
          <w:i/>
          <w:sz w:val="23"/>
          <w:szCs w:val="23"/>
        </w:rPr>
      </w:pPr>
      <w:r w:rsidRPr="00A62AA2">
        <w:rPr>
          <w:rFonts w:hint="cs"/>
          <w:i/>
          <w:sz w:val="23"/>
          <w:szCs w:val="23"/>
          <w:rtl/>
        </w:rPr>
        <w:t xml:space="preserve"> </w:t>
      </w:r>
      <w:r w:rsidRPr="00A62AA2">
        <w:rPr>
          <w:position w:val="-40"/>
        </w:rPr>
        <w:object w:dxaOrig="1719" w:dyaOrig="740" w14:anchorId="33679AB2">
          <v:shape id="_x0000_i6679" type="#_x0000_t75" style="width:85.9pt;height:36.9pt" o:ole="">
            <v:imagedata r:id="rId11419" o:title=""/>
          </v:shape>
          <o:OLEObject Type="Embed" ProgID="Equation.DSMT4" ShapeID="_x0000_i6679" DrawAspect="Content" ObjectID="_1791380623" r:id="rId11420"/>
        </w:object>
      </w:r>
      <w:r w:rsidRPr="00A62AA2">
        <w:rPr>
          <w:rFonts w:hint="cs"/>
          <w:i/>
          <w:sz w:val="23"/>
          <w:szCs w:val="23"/>
          <w:rtl/>
        </w:rPr>
        <w:t xml:space="preserve"> </w:t>
      </w:r>
    </w:p>
    <w:p w14:paraId="0672226C" w14:textId="77777777" w:rsidR="00556C10" w:rsidRPr="00A62AA2" w:rsidRDefault="00556C10" w:rsidP="00556C10">
      <w:pPr>
        <w:spacing w:line="216" w:lineRule="auto"/>
        <w:rPr>
          <w:i/>
          <w:sz w:val="23"/>
          <w:szCs w:val="23"/>
        </w:rPr>
      </w:pPr>
      <w:r w:rsidRPr="00A62AA2">
        <w:rPr>
          <w:rFonts w:hint="cs"/>
          <w:i/>
          <w:sz w:val="23"/>
          <w:szCs w:val="23"/>
          <w:rtl/>
        </w:rPr>
        <w:t>لذا افزایش در موجودی پول باعث کاهش ارزش پول داخلی یا افزایش</w:t>
      </w:r>
      <w:r w:rsidRPr="00A62AA2">
        <w:rPr>
          <w:position w:val="-6"/>
        </w:rPr>
        <w:object w:dxaOrig="220" w:dyaOrig="260" w14:anchorId="28A65FA1">
          <v:shape id="_x0000_i6680" type="#_x0000_t75" style="width:10.9pt;height:13.3pt" o:ole="">
            <v:imagedata r:id="rId11421" o:title=""/>
          </v:shape>
          <o:OLEObject Type="Embed" ProgID="Equation.DSMT4" ShapeID="_x0000_i6680" DrawAspect="Content" ObjectID="_1791380624" r:id="rId11422"/>
        </w:object>
      </w:r>
      <w:r w:rsidRPr="00A62AA2">
        <w:rPr>
          <w:rFonts w:hint="cs"/>
          <w:i/>
          <w:sz w:val="23"/>
          <w:szCs w:val="23"/>
          <w:rtl/>
        </w:rPr>
        <w:t xml:space="preserve"> خواهد شد، و افزایش در تولید کالای تجاری و قیمت خارجی کالاهای قابل تجارت باعث افزایش نرخ ارز یا افزایش </w:t>
      </w:r>
      <w:r w:rsidRPr="00A62AA2">
        <w:rPr>
          <w:position w:val="-6"/>
        </w:rPr>
        <w:object w:dxaOrig="220" w:dyaOrig="260" w14:anchorId="11AF6979">
          <v:shape id="_x0000_i6681" type="#_x0000_t75" style="width:10.9pt;height:13.3pt" o:ole="">
            <v:imagedata r:id="rId11423" o:title=""/>
          </v:shape>
          <o:OLEObject Type="Embed" ProgID="Equation.DSMT4" ShapeID="_x0000_i6681" DrawAspect="Content" ObjectID="_1791380625" r:id="rId11424"/>
        </w:object>
      </w:r>
      <w:r w:rsidRPr="00A62AA2">
        <w:rPr>
          <w:rFonts w:hint="cs"/>
          <w:i/>
          <w:sz w:val="23"/>
          <w:szCs w:val="23"/>
          <w:rtl/>
        </w:rPr>
        <w:t xml:space="preserve"> خواهد شد.</w:t>
      </w:r>
    </w:p>
    <w:p w14:paraId="639F3B36" w14:textId="77777777" w:rsidR="00556C10" w:rsidRPr="00A62AA2" w:rsidRDefault="00556C10" w:rsidP="00556C10">
      <w:pPr>
        <w:spacing w:line="216" w:lineRule="auto"/>
        <w:rPr>
          <w:i/>
          <w:sz w:val="23"/>
          <w:szCs w:val="23"/>
          <w:rtl/>
        </w:rPr>
      </w:pPr>
      <w:r w:rsidRPr="00A62AA2">
        <w:rPr>
          <w:rFonts w:hint="cs"/>
          <w:i/>
          <w:sz w:val="23"/>
          <w:szCs w:val="23"/>
          <w:rtl/>
        </w:rPr>
        <w:t>همان</w:t>
      </w:r>
      <w:r w:rsidRPr="00A62AA2">
        <w:rPr>
          <w:rFonts w:hint="cs"/>
          <w:i/>
          <w:sz w:val="23"/>
          <w:szCs w:val="23"/>
          <w:rtl/>
        </w:rPr>
        <w:softHyphen/>
        <w:t>طور که فرض شده در کوتاه</w:t>
      </w:r>
      <w:r w:rsidRPr="00A62AA2">
        <w:rPr>
          <w:rFonts w:hint="cs"/>
          <w:i/>
          <w:sz w:val="23"/>
          <w:szCs w:val="23"/>
          <w:rtl/>
        </w:rPr>
        <w:softHyphen/>
        <w:t>مدت قیمت</w:t>
      </w:r>
      <w:r w:rsidRPr="00A62AA2">
        <w:rPr>
          <w:rFonts w:hint="cs"/>
          <w:i/>
          <w:sz w:val="23"/>
          <w:szCs w:val="23"/>
          <w:rtl/>
        </w:rPr>
        <w:softHyphen/>
        <w:t xml:space="preserve"> کالاهای غیرتجاری ثابت است ولی قیمت</w:t>
      </w:r>
      <w:r w:rsidRPr="00A62AA2">
        <w:rPr>
          <w:rFonts w:hint="cs"/>
          <w:i/>
          <w:sz w:val="23"/>
          <w:szCs w:val="23"/>
          <w:rtl/>
        </w:rPr>
        <w:softHyphen/>
        <w:t>های کالاهای تجاری انعطاف</w:t>
      </w:r>
      <w:r w:rsidRPr="00A62AA2">
        <w:rPr>
          <w:rFonts w:hint="cs"/>
          <w:i/>
          <w:sz w:val="23"/>
          <w:szCs w:val="23"/>
          <w:rtl/>
        </w:rPr>
        <w:softHyphen/>
        <w:t>پذیرند، با استفاده از تقریب لگاریتم-خطی در اطراف وضعیت یکنواخت تابع تقاضای پول کوتاه</w:t>
      </w:r>
      <w:r w:rsidRPr="00A62AA2">
        <w:rPr>
          <w:rFonts w:hint="cs"/>
          <w:i/>
          <w:sz w:val="23"/>
          <w:szCs w:val="23"/>
          <w:rtl/>
        </w:rPr>
        <w:softHyphen/>
        <w:t>مدت بدست خواهد آمد. لذا</w:t>
      </w:r>
    </w:p>
    <w:p w14:paraId="6EAF665F" w14:textId="77777777" w:rsidR="00556C10" w:rsidRPr="00A62AA2" w:rsidRDefault="00556C10" w:rsidP="00556C10">
      <w:pPr>
        <w:bidi w:val="0"/>
        <w:spacing w:line="216" w:lineRule="auto"/>
        <w:rPr>
          <w:i/>
          <w:sz w:val="23"/>
          <w:szCs w:val="23"/>
          <w:rtl/>
        </w:rPr>
      </w:pPr>
      <w:r w:rsidRPr="00A62AA2">
        <w:rPr>
          <w:rFonts w:hint="cs"/>
          <w:i/>
          <w:sz w:val="23"/>
          <w:szCs w:val="23"/>
          <w:rtl/>
        </w:rPr>
        <w:t xml:space="preserve"> </w:t>
      </w:r>
      <w:r w:rsidRPr="00A62AA2">
        <w:rPr>
          <w:position w:val="-26"/>
        </w:rPr>
        <w:object w:dxaOrig="3159" w:dyaOrig="620" w14:anchorId="116E1376">
          <v:shape id="_x0000_i6682" type="#_x0000_t75" style="width:157.9pt;height:30.85pt" o:ole="">
            <v:imagedata r:id="rId11425" o:title=""/>
          </v:shape>
          <o:OLEObject Type="Embed" ProgID="Equation.DSMT4" ShapeID="_x0000_i6682" DrawAspect="Content" ObjectID="_1791380626" r:id="rId11426"/>
        </w:object>
      </w:r>
      <w:r w:rsidRPr="00A62AA2">
        <w:rPr>
          <w:rFonts w:hint="cs"/>
          <w:i/>
          <w:sz w:val="23"/>
          <w:szCs w:val="23"/>
          <w:rtl/>
        </w:rPr>
        <w:t xml:space="preserve"> </w:t>
      </w:r>
    </w:p>
    <w:p w14:paraId="59F74FF5" w14:textId="77777777" w:rsidR="00556C10" w:rsidRPr="00A62AA2" w:rsidRDefault="00556C10" w:rsidP="00556C10">
      <w:pPr>
        <w:spacing w:line="216" w:lineRule="auto"/>
        <w:rPr>
          <w:i/>
          <w:sz w:val="23"/>
          <w:szCs w:val="23"/>
          <w:rtl/>
        </w:rPr>
      </w:pPr>
      <w:r w:rsidRPr="00A62AA2">
        <w:rPr>
          <w:rFonts w:hint="cs"/>
          <w:i/>
          <w:sz w:val="23"/>
          <w:szCs w:val="23"/>
          <w:rtl/>
        </w:rPr>
        <w:t>و از معادله</w:t>
      </w:r>
      <w:r w:rsidRPr="00A62AA2">
        <w:rPr>
          <w:rFonts w:hint="cs"/>
          <w:i/>
          <w:sz w:val="23"/>
          <w:szCs w:val="23"/>
          <w:rtl/>
        </w:rPr>
        <w:softHyphen/>
        <w:t xml:space="preserve">ی (۱۳. ۴۰)، </w:t>
      </w:r>
      <w:r w:rsidRPr="00A62AA2">
        <w:rPr>
          <w:position w:val="-10"/>
        </w:rPr>
        <w:object w:dxaOrig="1060" w:dyaOrig="340" w14:anchorId="46ED5ACD">
          <v:shape id="_x0000_i6683" type="#_x0000_t75" style="width:53.25pt;height:16.95pt" o:ole="">
            <v:imagedata r:id="rId11427" o:title=""/>
          </v:shape>
          <o:OLEObject Type="Embed" ProgID="Equation.DSMT4" ShapeID="_x0000_i6683" DrawAspect="Content" ObjectID="_1791380627" r:id="rId11428"/>
        </w:object>
      </w:r>
      <w:r w:rsidRPr="00A62AA2">
        <w:rPr>
          <w:rFonts w:hint="cs"/>
          <w:i/>
          <w:sz w:val="23"/>
          <w:szCs w:val="23"/>
          <w:rtl/>
        </w:rPr>
        <w:t xml:space="preserve"> است. بنابراین خواهیم داشت </w:t>
      </w:r>
    </w:p>
    <w:p w14:paraId="7FC3572C" w14:textId="77777777" w:rsidR="00556C10" w:rsidRPr="00A62AA2" w:rsidRDefault="00556C10" w:rsidP="00556C10">
      <w:pPr>
        <w:tabs>
          <w:tab w:val="right" w:pos="-83"/>
          <w:tab w:val="right" w:pos="7"/>
        </w:tabs>
        <w:bidi w:val="0"/>
        <w:spacing w:line="216" w:lineRule="auto"/>
        <w:rPr>
          <w:rFonts w:eastAsiaTheme="minorEastAsia"/>
          <w:i/>
          <w:sz w:val="23"/>
          <w:szCs w:val="23"/>
          <w:rtl/>
        </w:rPr>
      </w:pPr>
      <w:r w:rsidRPr="00A62AA2">
        <w:rPr>
          <w:position w:val="-16"/>
        </w:rPr>
        <w:object w:dxaOrig="2040" w:dyaOrig="420" w14:anchorId="1AC14883">
          <v:shape id="_x0000_i6684" type="#_x0000_t75" style="width:102.25pt;height:21.2pt" o:ole="">
            <v:imagedata r:id="rId11429" o:title=""/>
          </v:shape>
          <o:OLEObject Type="Embed" ProgID="Equation.DSMT4" ShapeID="_x0000_i6684" DrawAspect="Content" ObjectID="_1791380628" r:id="rId11430"/>
        </w:object>
      </w:r>
    </w:p>
    <w:p w14:paraId="03F425C7" w14:textId="77777777" w:rsidR="00556C10" w:rsidRPr="00A62AA2" w:rsidRDefault="00556C10" w:rsidP="00556C10">
      <w:pPr>
        <w:tabs>
          <w:tab w:val="right" w:pos="-83"/>
          <w:tab w:val="right" w:pos="7"/>
        </w:tabs>
        <w:spacing w:line="216" w:lineRule="auto"/>
        <w:rPr>
          <w:rFonts w:eastAsiaTheme="minorEastAsia"/>
          <w:i/>
          <w:sz w:val="23"/>
          <w:szCs w:val="23"/>
          <w:rtl/>
        </w:rPr>
      </w:pPr>
      <w:r w:rsidRPr="00A62AA2">
        <w:rPr>
          <w:rFonts w:eastAsiaTheme="minorEastAsia" w:hint="cs"/>
          <w:i/>
          <w:sz w:val="23"/>
          <w:szCs w:val="23"/>
          <w:rtl/>
        </w:rPr>
        <w:t xml:space="preserve">که در آن </w:t>
      </w:r>
      <w:r w:rsidRPr="00A62AA2">
        <w:rPr>
          <w:position w:val="-14"/>
        </w:rPr>
        <w:object w:dxaOrig="2799" w:dyaOrig="440" w14:anchorId="04077B7F">
          <v:shape id="_x0000_i6685" type="#_x0000_t75" style="width:139.75pt;height:21.8pt" o:ole="">
            <v:imagedata r:id="rId11431" o:title=""/>
          </v:shape>
          <o:OLEObject Type="Embed" ProgID="Equation.DSMT4" ShapeID="_x0000_i6685" DrawAspect="Content" ObjectID="_1791380629" r:id="rId11432"/>
        </w:object>
      </w:r>
      <w:r w:rsidRPr="00A62AA2">
        <w:rPr>
          <w:rFonts w:eastAsiaTheme="minorEastAsia" w:hint="cs"/>
          <w:i/>
          <w:sz w:val="23"/>
          <w:szCs w:val="23"/>
          <w:rtl/>
        </w:rPr>
        <w:t xml:space="preserve"> است اگر </w:t>
      </w:r>
      <w:r w:rsidRPr="00A62AA2">
        <w:rPr>
          <w:position w:val="-6"/>
        </w:rPr>
        <w:object w:dxaOrig="499" w:dyaOrig="260" w14:anchorId="2E196991">
          <v:shape id="_x0000_i6686" type="#_x0000_t75" style="width:24.8pt;height:13.3pt" o:ole="">
            <v:imagedata r:id="rId11433" o:title=""/>
          </v:shape>
          <o:OLEObject Type="Embed" ProgID="Equation.DSMT4" ShapeID="_x0000_i6686" DrawAspect="Content" ObjectID="_1791380630" r:id="rId11434"/>
        </w:object>
      </w:r>
      <w:r w:rsidRPr="00A62AA2">
        <w:rPr>
          <w:rFonts w:eastAsiaTheme="minorEastAsia"/>
          <w:i/>
          <w:sz w:val="23"/>
          <w:szCs w:val="23"/>
        </w:rPr>
        <w:t xml:space="preserve"> </w:t>
      </w:r>
      <w:r w:rsidRPr="00A62AA2">
        <w:rPr>
          <w:rFonts w:eastAsiaTheme="minorEastAsia" w:hint="cs"/>
          <w:i/>
          <w:sz w:val="23"/>
          <w:szCs w:val="23"/>
          <w:rtl/>
        </w:rPr>
        <w:t>باشد. بنابراین</w:t>
      </w:r>
    </w:p>
    <w:p w14:paraId="485A0142" w14:textId="77777777" w:rsidR="00556C10" w:rsidRPr="00A62AA2" w:rsidRDefault="00556C10" w:rsidP="00556C10">
      <w:pPr>
        <w:pStyle w:val="NormalWeb"/>
        <w:tabs>
          <w:tab w:val="right" w:pos="-83"/>
          <w:tab w:val="right" w:pos="7"/>
        </w:tabs>
        <w:spacing w:before="0" w:beforeAutospacing="0" w:after="0" w:afterAutospacing="0" w:line="216" w:lineRule="auto"/>
        <w:jc w:val="both"/>
        <w:rPr>
          <w:rFonts w:cs="B Nazanin"/>
          <w:i/>
          <w:sz w:val="23"/>
          <w:szCs w:val="23"/>
          <w:rtl/>
        </w:rPr>
      </w:pPr>
      <w:r w:rsidRPr="00A62AA2">
        <w:rPr>
          <w:position w:val="-10"/>
        </w:rPr>
        <w:object w:dxaOrig="4440" w:dyaOrig="340" w14:anchorId="1FF39C85">
          <v:shape id="_x0000_i6687" type="#_x0000_t75" style="width:222.05pt;height:16.95pt" o:ole="">
            <v:imagedata r:id="rId11435" o:title=""/>
          </v:shape>
          <o:OLEObject Type="Embed" ProgID="Equation.DSMT4" ShapeID="_x0000_i6687" DrawAspect="Content" ObjectID="_1791380631" r:id="rId11436"/>
        </w:object>
      </w:r>
      <w:r w:rsidRPr="00A62AA2">
        <w:rPr>
          <w:rFonts w:eastAsiaTheme="minorEastAsia" w:cs="B Nazanin" w:hint="cs"/>
          <w:i/>
          <w:sz w:val="23"/>
          <w:szCs w:val="23"/>
          <w:rtl/>
        </w:rPr>
        <w:tab/>
      </w:r>
      <w:r w:rsidRPr="00A62AA2">
        <w:rPr>
          <w:rFonts w:eastAsiaTheme="minorEastAsia" w:cs="B Nazanin"/>
          <w:i/>
          <w:sz w:val="23"/>
          <w:szCs w:val="23"/>
        </w:rPr>
        <w:tab/>
      </w:r>
      <w:r w:rsidRPr="00A62AA2">
        <w:rPr>
          <w:rFonts w:eastAsiaTheme="minorEastAsia" w:cs="B Nazanin"/>
          <w:i/>
          <w:sz w:val="23"/>
          <w:szCs w:val="23"/>
        </w:rPr>
        <w:tab/>
      </w:r>
      <w:r w:rsidRPr="00A62AA2">
        <w:rPr>
          <w:rFonts w:eastAsiaTheme="minorEastAsia" w:cs="B Nazanin"/>
          <w:i/>
          <w:sz w:val="23"/>
          <w:szCs w:val="23"/>
        </w:rPr>
        <w:tab/>
      </w:r>
      <w:r>
        <w:rPr>
          <w:rFonts w:eastAsiaTheme="minorEastAsia" w:cs="B Nazanin"/>
          <w:i/>
          <w:sz w:val="23"/>
          <w:szCs w:val="23"/>
          <w:rtl/>
        </w:rPr>
        <w:tab/>
      </w:r>
      <w:r w:rsidRPr="00A62AA2">
        <w:rPr>
          <w:rFonts w:eastAsiaTheme="minorEastAsia" w:cs="B Nazanin" w:hint="cs"/>
          <w:i/>
          <w:sz w:val="23"/>
          <w:szCs w:val="23"/>
          <w:rtl/>
        </w:rPr>
        <w:tab/>
        <w:t>(۱۳. ۴۶)</w:t>
      </w:r>
      <w:r w:rsidRPr="00A62AA2">
        <w:rPr>
          <w:rFonts w:eastAsiaTheme="minorEastAsia" w:cs="B Nazanin"/>
          <w:i/>
          <w:sz w:val="23"/>
          <w:szCs w:val="23"/>
          <w:rtl/>
        </w:rPr>
        <w:t xml:space="preserve"> </w:t>
      </w:r>
    </w:p>
    <w:p w14:paraId="3FEF2322" w14:textId="77777777" w:rsidR="00556C10" w:rsidRPr="00A62AA2"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A62AA2">
        <w:rPr>
          <w:rFonts w:cs="B Nazanin" w:hint="cs"/>
          <w:i/>
          <w:sz w:val="23"/>
          <w:szCs w:val="23"/>
          <w:rtl/>
        </w:rPr>
        <w:t>معادله‌ی (۱۳. ۴۶) پاسخ‌های کوتاه‌مدت نرخ ارز به تغییرات موقتی عرضه‌ی پول و قیمت خارجی کالای قابل تجارت را نشان می</w:t>
      </w:r>
      <w:r w:rsidRPr="00A62AA2">
        <w:rPr>
          <w:rFonts w:cs="B Nazanin"/>
          <w:i/>
          <w:sz w:val="23"/>
          <w:szCs w:val="23"/>
        </w:rPr>
        <w:t>‌</w:t>
      </w:r>
      <w:r w:rsidRPr="00A62AA2">
        <w:rPr>
          <w:rFonts w:cs="B Nazanin" w:hint="cs"/>
          <w:i/>
          <w:sz w:val="23"/>
          <w:szCs w:val="23"/>
          <w:rtl/>
        </w:rPr>
        <w:t>دهد. قبلاً نشان دادیم که تغییر دائمی موجودی پول باعث افزایش برابر در نرخ ارز در وضعیت یکنواخت خواهد شد. معادله‌ی (۱۳. ۴۶) حل بلندمدت متفاوتی را نشان می‌دهد. زیرا فرض شده است که قیمت کالاهای غیرتجارتی ثابت می</w:t>
      </w:r>
      <w:r w:rsidRPr="00A62AA2">
        <w:rPr>
          <w:rFonts w:cs="B Nazanin"/>
          <w:i/>
          <w:sz w:val="23"/>
          <w:szCs w:val="23"/>
        </w:rPr>
        <w:t>‌</w:t>
      </w:r>
      <w:r w:rsidRPr="00A62AA2">
        <w:rPr>
          <w:rFonts w:cs="B Nazanin" w:hint="cs"/>
          <w:i/>
          <w:sz w:val="23"/>
          <w:szCs w:val="23"/>
          <w:rtl/>
        </w:rPr>
        <w:t>باشند، درحالی</w:t>
      </w:r>
      <w:r w:rsidRPr="00A62AA2">
        <w:rPr>
          <w:rFonts w:cs="B Nazanin" w:hint="cs"/>
          <w:i/>
          <w:sz w:val="23"/>
          <w:szCs w:val="23"/>
          <w:rtl/>
        </w:rPr>
        <w:softHyphen/>
        <w:t xml:space="preserve">که در حل کنونی که قبلاً به دست آمده، قیمت‌ کالاهای غیرتجارتی انعطاف‌پذیر بودند. برای آنکه پاسخ‌های کوتاه‌مدت افزایش دائمی عرضه‌ی پول را مورد بررسی قرار دهیم، فرض ‌کنید نرخ ارز در زمان </w:t>
      </w:r>
      <w:r w:rsidRPr="00A62AA2">
        <w:rPr>
          <w:position w:val="-6"/>
        </w:rPr>
        <w:object w:dxaOrig="440" w:dyaOrig="260" w14:anchorId="5FC860AC">
          <v:shape id="_x0000_i6688" type="#_x0000_t75" style="width:21.8pt;height:13.3pt" o:ole="">
            <v:imagedata r:id="rId11437" o:title=""/>
          </v:shape>
          <o:OLEObject Type="Embed" ProgID="Equation.DSMT4" ShapeID="_x0000_i6688" DrawAspect="Content" ObjectID="_1791380632" r:id="rId11438"/>
        </w:object>
      </w:r>
      <w:r w:rsidRPr="00A62AA2">
        <w:rPr>
          <w:rFonts w:eastAsiaTheme="minorEastAsia" w:cs="B Nazanin"/>
          <w:i/>
          <w:sz w:val="23"/>
          <w:szCs w:val="23"/>
        </w:rPr>
        <w:t xml:space="preserve"> </w:t>
      </w:r>
      <w:r w:rsidRPr="00A62AA2">
        <w:rPr>
          <w:rFonts w:cs="B Nazanin" w:hint="cs"/>
          <w:i/>
          <w:sz w:val="23"/>
          <w:szCs w:val="23"/>
          <w:rtl/>
        </w:rPr>
        <w:t>در نتیجه‌ی تغییرات قیمت‌های کالاهای غیرتجارتی کاملاً به سطح بلند‌مدت تعادلی جدید خود تعدیل شود. به</w:t>
      </w:r>
      <w:r w:rsidRPr="00A62AA2">
        <w:rPr>
          <w:rFonts w:cs="B Nazanin" w:hint="cs"/>
          <w:i/>
          <w:sz w:val="23"/>
          <w:szCs w:val="23"/>
          <w:rtl/>
        </w:rPr>
        <w:softHyphen/>
        <w:t>طوری</w:t>
      </w:r>
      <w:r w:rsidRPr="00A62AA2">
        <w:rPr>
          <w:rFonts w:cs="B Nazanin" w:hint="cs"/>
          <w:i/>
          <w:sz w:val="23"/>
          <w:szCs w:val="23"/>
          <w:rtl/>
        </w:rPr>
        <w:softHyphen/>
        <w:t>که</w:t>
      </w:r>
      <w:r w:rsidRPr="00A62AA2">
        <w:rPr>
          <w:position w:val="-10"/>
        </w:rPr>
        <w:object w:dxaOrig="960" w:dyaOrig="340" w14:anchorId="253195D4">
          <v:shape id="_x0000_i6689" type="#_x0000_t75" style="width:47.8pt;height:16.95pt" o:ole="">
            <v:imagedata r:id="rId11439" o:title=""/>
          </v:shape>
          <o:OLEObject Type="Embed" ProgID="Equation.DSMT4" ShapeID="_x0000_i6689" DrawAspect="Content" ObjectID="_1791380633" r:id="rId11440"/>
        </w:object>
      </w:r>
      <w:r w:rsidRPr="00A62AA2">
        <w:rPr>
          <w:rFonts w:eastAsiaTheme="minorEastAsia" w:cs="B Nazanin" w:hint="cs"/>
          <w:i/>
          <w:sz w:val="23"/>
          <w:szCs w:val="23"/>
          <w:rtl/>
        </w:rPr>
        <w:t>است.</w:t>
      </w:r>
      <w:r w:rsidRPr="00A62AA2">
        <w:rPr>
          <w:rFonts w:cs="B Nazanin" w:hint="cs"/>
          <w:i/>
          <w:sz w:val="23"/>
          <w:szCs w:val="23"/>
          <w:rtl/>
        </w:rPr>
        <w:t xml:space="preserve"> بنابراین در زمان</w:t>
      </w:r>
      <w:r w:rsidRPr="00A62AA2">
        <w:rPr>
          <w:position w:val="-6"/>
        </w:rPr>
        <w:object w:dxaOrig="139" w:dyaOrig="240" w14:anchorId="7A4DBCB4">
          <v:shape id="_x0000_i6690" type="#_x0000_t75" style="width:6.65pt;height:11.5pt" o:ole="">
            <v:imagedata r:id="rId11441" o:title=""/>
          </v:shape>
          <o:OLEObject Type="Embed" ProgID="Equation.DSMT4" ShapeID="_x0000_i6690" DrawAspect="Content" ObjectID="_1791380634" r:id="rId11442"/>
        </w:object>
      </w:r>
      <w:r w:rsidRPr="00A62AA2">
        <w:rPr>
          <w:rFonts w:eastAsiaTheme="minorEastAsia" w:cs="B Nazanin" w:hint="cs"/>
          <w:i/>
          <w:sz w:val="23"/>
          <w:szCs w:val="23"/>
          <w:rtl/>
        </w:rPr>
        <w:t xml:space="preserve"> داریم</w:t>
      </w:r>
    </w:p>
    <w:p w14:paraId="5423A73E" w14:textId="77777777" w:rsidR="00556C10" w:rsidRPr="00A62AA2" w:rsidRDefault="00556C10" w:rsidP="00556C10">
      <w:pPr>
        <w:pStyle w:val="NormalWeb"/>
        <w:tabs>
          <w:tab w:val="right" w:pos="-83"/>
          <w:tab w:val="right" w:pos="7"/>
        </w:tabs>
        <w:spacing w:before="0" w:beforeAutospacing="0" w:after="0" w:afterAutospacing="0" w:line="216" w:lineRule="auto"/>
        <w:jc w:val="both"/>
        <w:rPr>
          <w:rFonts w:cs="B Nazanin"/>
          <w:i/>
          <w:sz w:val="23"/>
          <w:szCs w:val="23"/>
        </w:rPr>
      </w:pPr>
      <w:r w:rsidRPr="00A62AA2">
        <w:rPr>
          <w:position w:val="-30"/>
        </w:rPr>
        <w:object w:dxaOrig="2900" w:dyaOrig="700" w14:anchorId="134D4BAA">
          <v:shape id="_x0000_i6691" type="#_x0000_t75" style="width:145.2pt;height:35.1pt" o:ole="">
            <v:imagedata r:id="rId11443" o:title=""/>
          </v:shape>
          <o:OLEObject Type="Embed" ProgID="Equation.DSMT4" ShapeID="_x0000_i6691" DrawAspect="Content" ObjectID="_1791380635" r:id="rId11444"/>
        </w:object>
      </w:r>
    </w:p>
    <w:p w14:paraId="76D3D1D5" w14:textId="77777777" w:rsidR="00556C10" w:rsidRPr="00A62AA2"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Pr>
      </w:pPr>
      <w:r w:rsidRPr="00A62AA2">
        <w:rPr>
          <w:rFonts w:cs="B Nazanin" w:hint="cs"/>
          <w:i/>
          <w:sz w:val="23"/>
          <w:szCs w:val="23"/>
          <w:rtl/>
        </w:rPr>
        <w:t xml:space="preserve">نظر به اینکه </w:t>
      </w:r>
      <w:r w:rsidRPr="00A62AA2">
        <w:rPr>
          <w:position w:val="-10"/>
        </w:rPr>
        <w:object w:dxaOrig="520" w:dyaOrig="300" w14:anchorId="175C7F6B">
          <v:shape id="_x0000_i6692" type="#_x0000_t75" style="width:26pt;height:14.5pt" o:ole="">
            <v:imagedata r:id="rId11445" o:title=""/>
          </v:shape>
          <o:OLEObject Type="Embed" ProgID="Equation.DSMT4" ShapeID="_x0000_i6692" DrawAspect="Content" ObjectID="_1791380636" r:id="rId11446"/>
        </w:object>
      </w:r>
      <w:r w:rsidRPr="00A62AA2">
        <w:rPr>
          <w:rFonts w:eastAsiaTheme="minorEastAsia" w:cs="B Nazanin" w:hint="cs"/>
          <w:i/>
          <w:sz w:val="23"/>
          <w:szCs w:val="23"/>
          <w:rtl/>
        </w:rPr>
        <w:t>ا</w:t>
      </w:r>
      <w:r w:rsidRPr="00A62AA2">
        <w:rPr>
          <w:rFonts w:cs="B Nazanin" w:hint="cs"/>
          <w:i/>
          <w:sz w:val="23"/>
          <w:szCs w:val="23"/>
          <w:rtl/>
        </w:rPr>
        <w:t>ست، نرخ ارز مقدار تعادلی بلندمدت خود را بیش از حد افزایش می</w:t>
      </w:r>
      <w:r w:rsidRPr="00A62AA2">
        <w:rPr>
          <w:rFonts w:cs="B Nazanin"/>
          <w:i/>
          <w:sz w:val="23"/>
          <w:szCs w:val="23"/>
          <w:rtl/>
        </w:rPr>
        <w:softHyphen/>
      </w:r>
      <w:r w:rsidRPr="00A62AA2">
        <w:rPr>
          <w:rFonts w:cs="B Nazanin" w:hint="cs"/>
          <w:i/>
          <w:sz w:val="23"/>
          <w:szCs w:val="23"/>
          <w:rtl/>
        </w:rPr>
        <w:t>دهد.</w:t>
      </w:r>
    </w:p>
    <w:p w14:paraId="3725D031" w14:textId="77777777" w:rsidR="00556C10" w:rsidRPr="00A62AA2"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p>
    <w:p w14:paraId="40B0AC5C" w14:textId="77777777" w:rsidR="00556C10" w:rsidRPr="00A62AA2" w:rsidRDefault="00556C10" w:rsidP="00556C10">
      <w:pPr>
        <w:pStyle w:val="NormalWeb"/>
        <w:tabs>
          <w:tab w:val="right" w:pos="-83"/>
          <w:tab w:val="right" w:pos="7"/>
        </w:tabs>
        <w:bidi/>
        <w:spacing w:before="0" w:beforeAutospacing="0" w:after="0" w:afterAutospacing="0" w:line="216" w:lineRule="auto"/>
        <w:jc w:val="both"/>
        <w:rPr>
          <w:rFonts w:cs="B Nazanin"/>
          <w:bCs/>
          <w:i/>
          <w:sz w:val="23"/>
          <w:szCs w:val="23"/>
        </w:rPr>
      </w:pPr>
      <w:r w:rsidRPr="00A62AA2">
        <w:rPr>
          <w:rFonts w:cs="B Nazanin" w:hint="cs"/>
          <w:bCs/>
          <w:i/>
          <w:sz w:val="23"/>
          <w:szCs w:val="23"/>
          <w:rtl/>
        </w:rPr>
        <w:t>توضیح</w:t>
      </w:r>
    </w:p>
    <w:p w14:paraId="54D126FA" w14:textId="77777777" w:rsidR="00556C10" w:rsidRPr="00A62AA2"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A62AA2">
        <w:rPr>
          <w:rFonts w:cs="B Nazanin" w:hint="cs"/>
          <w:i/>
          <w:sz w:val="23"/>
          <w:szCs w:val="23"/>
          <w:rtl/>
        </w:rPr>
        <w:t>در واقع، با افزودن پول و نرخ ارز اسمی، مدل احیا شده یک نسخه‌ی اسمی از مدل اقتصاد باز حقیقی فصل هفتم می‌باشد. علی</w:t>
      </w:r>
      <w:r w:rsidRPr="00A62AA2">
        <w:rPr>
          <w:rFonts w:cs="B Nazanin" w:hint="cs"/>
          <w:i/>
          <w:sz w:val="23"/>
          <w:szCs w:val="23"/>
          <w:rtl/>
        </w:rPr>
        <w:softHyphen/>
        <w:t xml:space="preserve">رغم پیچیدگی آن، اثرات ممکن آن بر نرخ ارز اسمی بسیار شبیه مدل پولی </w:t>
      </w:r>
      <w:r w:rsidRPr="00A62AA2">
        <w:rPr>
          <w:rFonts w:cs="B Nazanin" w:hint="cs"/>
          <w:i/>
          <w:sz w:val="23"/>
          <w:szCs w:val="23"/>
          <w:rtl/>
        </w:rPr>
        <w:lastRenderedPageBreak/>
        <w:t>نرخ ارز است که در آن بخش حقیقی اقتصاد برون‌زا در نظر گرفته می‌شود. مدل احیا شده مبین آن است که قانون یک قیمت و</w:t>
      </w:r>
      <w:r w:rsidRPr="00025957">
        <w:rPr>
          <w:position w:val="-4"/>
        </w:rPr>
        <w:object w:dxaOrig="520" w:dyaOrig="240" w14:anchorId="5290EA5C">
          <v:shape id="_x0000_i6693" type="#_x0000_t75" style="width:26pt;height:11.5pt" o:ole="">
            <v:imagedata r:id="rId11447" o:title=""/>
          </v:shape>
          <o:OLEObject Type="Embed" ProgID="Equation.DSMT4" ShapeID="_x0000_i6693" DrawAspect="Content" ObjectID="_1791380637" r:id="rId11448"/>
        </w:object>
      </w:r>
      <w:r w:rsidRPr="00A62AA2">
        <w:rPr>
          <w:rFonts w:cs="B Nazanin" w:hint="cs"/>
          <w:i/>
          <w:sz w:val="23"/>
          <w:szCs w:val="23"/>
          <w:rtl/>
        </w:rPr>
        <w:t xml:space="preserve"> برقرار است و قیمت‌ها کاملاً انعطاف‌پذیر هستند. با بسط مدل احیا شده و مشارکت قیمت‌های چسبنده پویایی‌های نرخ ارز همانند مدل پولی تغییر خواهد کرد.</w:t>
      </w:r>
    </w:p>
    <w:p w14:paraId="76D131B0" w14:textId="77777777" w:rsidR="00556C10" w:rsidRPr="00A62AA2"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p>
    <w:p w14:paraId="526C2A38" w14:textId="77777777" w:rsidR="00556C10" w:rsidRPr="00A62AA2" w:rsidRDefault="00556C10" w:rsidP="00556C10">
      <w:pPr>
        <w:pStyle w:val="Heading1"/>
        <w:spacing w:before="0" w:line="216" w:lineRule="auto"/>
        <w:rPr>
          <w:rFonts w:ascii="Times New Roman" w:hAnsi="Times New Roman" w:cs="B Nazanin"/>
          <w:b w:val="0"/>
          <w:i/>
          <w:sz w:val="23"/>
          <w:szCs w:val="23"/>
          <w:rtl/>
        </w:rPr>
      </w:pPr>
      <w:r w:rsidRPr="00A62AA2">
        <w:rPr>
          <w:rFonts w:ascii="Times New Roman" w:hAnsi="Times New Roman" w:cs="B Nazanin" w:hint="cs"/>
          <w:b w:val="0"/>
          <w:i/>
          <w:sz w:val="23"/>
          <w:szCs w:val="23"/>
          <w:rtl/>
        </w:rPr>
        <w:t>۱۳. ۱۰ نتایج</w:t>
      </w:r>
    </w:p>
    <w:p w14:paraId="1A9C74CC" w14:textId="77777777" w:rsidR="00556C10" w:rsidRPr="00A62AA2"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Pr>
      </w:pPr>
      <w:r w:rsidRPr="00A62AA2">
        <w:rPr>
          <w:rFonts w:cs="B Nazanin" w:hint="cs"/>
          <w:i/>
          <w:sz w:val="23"/>
          <w:szCs w:val="23"/>
          <w:rtl/>
        </w:rPr>
        <w:t>در این فصل معادله‌ی نرخ ارز را تصریح و مورد بررسی قرار دادیم. با طرح ضرورت نرخ‌های ارز شناور به دلیل قصور و شکست نظام‌های ارزی گذشته‌ این فصل را آغاز کرده و به این نکته پرداختیم که حتی با سیستم نرخ ارز ثابت همانند برتن وودز ضروری است تا نرخ ارز به خاطر رقابت‌پذیری تعدیل شود. مهمترین مزیت نرخ‌های ارز شناور آن است که رقابت‌پذیری به طور خودکار حفظ می‌شود. اگر قیمت‌ها کاملاً انعطاف‌پذیر باشند این نتیجه سریع اتفاق افتاده، زیرا نرخ ارز با اعمال شوک به سیستم به سطح تعادلی جدید خود جهش کرده، در نتیجه شوک‌های مالی و پولی از صحنه بیرون خواهند رفت. اما اگر قیمت‌ها چسبنده باشند، آنگاه انتظار تئوریکی رایج در این مدل‌ آن است که تعدیل یک شوک پولی دائمی آهسته‌تر بوده، و نرخ ارز بیش از حدّ فرار و نوسان‌پذیر باشد. بدین مضمون که نرخ ارز در ابتدا بیش از حدّ مقدار تعادلی بلندمدت خود خارج خواهد شد. یک انبساط مالی دائمی به خاطر افزایش ارزش پول داخلی و کاهش نرخ ارز سریعاً از صحنه خارج شده و باعث یک کاهش برابر و هم</w:t>
      </w:r>
      <w:r w:rsidRPr="00A62AA2">
        <w:rPr>
          <w:rFonts w:cs="B Nazanin" w:hint="cs"/>
          <w:i/>
          <w:sz w:val="23"/>
          <w:szCs w:val="23"/>
          <w:rtl/>
        </w:rPr>
        <w:softHyphen/>
        <w:t>ارز در خالص صادرات می</w:t>
      </w:r>
      <w:r w:rsidRPr="00A62AA2">
        <w:rPr>
          <w:rFonts w:cs="B Nazanin"/>
          <w:i/>
          <w:sz w:val="23"/>
          <w:szCs w:val="23"/>
        </w:rPr>
        <w:t>‌</w:t>
      </w:r>
      <w:r w:rsidRPr="00A62AA2">
        <w:rPr>
          <w:rFonts w:cs="B Nazanin" w:hint="cs"/>
          <w:i/>
          <w:sz w:val="23"/>
          <w:szCs w:val="23"/>
          <w:rtl/>
        </w:rPr>
        <w:t>شود.</w:t>
      </w:r>
    </w:p>
    <w:p w14:paraId="7F397066" w14:textId="77777777" w:rsidR="00556C10" w:rsidRPr="00A62AA2"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A62AA2">
        <w:rPr>
          <w:rFonts w:cs="B Nazanin" w:hint="cs"/>
          <w:i/>
          <w:sz w:val="23"/>
          <w:szCs w:val="23"/>
          <w:rtl/>
        </w:rPr>
        <w:t>در مدل‌های نرخ ارز شناور مدرن فرض می</w:t>
      </w:r>
      <w:r w:rsidRPr="00A62AA2">
        <w:rPr>
          <w:rFonts w:cs="B Nazanin" w:hint="cs"/>
          <w:i/>
          <w:sz w:val="23"/>
          <w:szCs w:val="23"/>
          <w:rtl/>
        </w:rPr>
        <w:softHyphen/>
        <w:t>شود که کنترل‌ بر سرمایه وجود نداشته و سرمایه کاملاً انعطاف‌پذیر است. در نتیجه، در این مدل‌ها نرخ ارز اسمی به وسیله تفاضل نرخ بهره‌ی جاری و آتی انتظاری بین کشورها معین می</w:t>
      </w:r>
      <w:r w:rsidRPr="00A62AA2">
        <w:rPr>
          <w:rFonts w:cs="B Nazanin"/>
          <w:i/>
          <w:sz w:val="23"/>
          <w:szCs w:val="23"/>
        </w:rPr>
        <w:t>‌</w:t>
      </w:r>
      <w:r w:rsidRPr="00A62AA2">
        <w:rPr>
          <w:rFonts w:cs="B Nazanin" w:hint="cs"/>
          <w:i/>
          <w:sz w:val="23"/>
          <w:szCs w:val="23"/>
          <w:rtl/>
        </w:rPr>
        <w:t>شود. تفاضل نرخ بهره ممکن است مستقیماً از طریق سیاست پولی که نرخ بهره را مشخص می‌کند، و یا به طور غیرمستقیم از طریق هدف‌گذاری عرضه‌ی پول تعیین شود. بسیاری از مدل‌های مورد بررسی فرض می‌کنند سیاست پولی همراه با هدف‌گذاری عرضه‌ی پول می‌باشند، و به واسطه</w:t>
      </w:r>
      <w:r w:rsidRPr="00A62AA2">
        <w:rPr>
          <w:rFonts w:cs="B Nazanin" w:hint="cs"/>
          <w:i/>
          <w:sz w:val="23"/>
          <w:szCs w:val="23"/>
          <w:rtl/>
        </w:rPr>
        <w:softHyphen/>
        <w:t>ی این</w:t>
      </w:r>
      <w:r w:rsidRPr="00A62AA2">
        <w:rPr>
          <w:rFonts w:cs="B Nazanin" w:hint="cs"/>
          <w:i/>
          <w:sz w:val="23"/>
          <w:szCs w:val="23"/>
          <w:rtl/>
        </w:rPr>
        <w:softHyphen/>
        <w:t>که چه متغیرهایی تفاضل نرخ را تحت تاثیر قرار می</w:t>
      </w:r>
      <w:r w:rsidRPr="00A62AA2">
        <w:rPr>
          <w:rFonts w:cs="B Nazanin" w:hint="cs"/>
          <w:i/>
          <w:sz w:val="23"/>
          <w:szCs w:val="23"/>
          <w:rtl/>
        </w:rPr>
        <w:softHyphen/>
        <w:t>دهند با یکدیگر متفاوت خواهند بود.</w:t>
      </w:r>
    </w:p>
    <w:p w14:paraId="599A0565" w14:textId="77777777" w:rsidR="00556C10" w:rsidRPr="00A62AA2"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A62AA2">
        <w:rPr>
          <w:rFonts w:cs="B Nazanin" w:hint="cs"/>
          <w:i/>
          <w:sz w:val="23"/>
          <w:szCs w:val="23"/>
          <w:rtl/>
        </w:rPr>
        <w:t>‏ فرض دیگر در خصوص</w:t>
      </w:r>
      <w:r w:rsidRPr="00025957">
        <w:rPr>
          <w:position w:val="-4"/>
        </w:rPr>
        <w:object w:dxaOrig="520" w:dyaOrig="240" w14:anchorId="1C7BB7FF">
          <v:shape id="_x0000_i6694" type="#_x0000_t75" style="width:26pt;height:11.5pt" o:ole="">
            <v:imagedata r:id="rId11449" o:title=""/>
          </v:shape>
          <o:OLEObject Type="Embed" ProgID="Equation.DSMT4" ShapeID="_x0000_i6694" DrawAspect="Content" ObjectID="_1791380638" r:id="rId11450"/>
        </w:object>
      </w:r>
      <w:r w:rsidRPr="00A62AA2">
        <w:rPr>
          <w:rFonts w:cs="B Nazanin" w:hint="cs"/>
          <w:i/>
          <w:sz w:val="23"/>
          <w:szCs w:val="23"/>
          <w:rtl/>
        </w:rPr>
        <w:t xml:space="preserve"> است. برخلاف</w:t>
      </w:r>
      <w:r w:rsidRPr="00A62AA2">
        <w:rPr>
          <w:position w:val="-6"/>
        </w:rPr>
        <w:object w:dxaOrig="460" w:dyaOrig="260" w14:anchorId="514E6CAE">
          <v:shape id="_x0000_i6695" type="#_x0000_t75" style="width:23pt;height:13.3pt" o:ole="">
            <v:imagedata r:id="rId11451" o:title=""/>
          </v:shape>
          <o:OLEObject Type="Embed" ProgID="Equation.DSMT4" ShapeID="_x0000_i6695" DrawAspect="Content" ObjectID="_1791380639" r:id="rId11452"/>
        </w:object>
      </w:r>
      <w:r w:rsidRPr="00A62AA2">
        <w:rPr>
          <w:rFonts w:cs="B Nazanin" w:hint="cs"/>
          <w:i/>
          <w:sz w:val="23"/>
          <w:szCs w:val="23"/>
          <w:rtl/>
        </w:rPr>
        <w:t>، این فرض قویاً با شواهد تجربی در نتیجه چسبندگی قیمت مغایرت دارد. همان</w:t>
      </w:r>
      <w:r w:rsidRPr="00A62AA2">
        <w:rPr>
          <w:rFonts w:cs="B Nazanin" w:hint="cs"/>
          <w:i/>
          <w:sz w:val="23"/>
          <w:szCs w:val="23"/>
          <w:rtl/>
        </w:rPr>
        <w:softHyphen/>
        <w:t>گونه که مدل پولی با قیمت چسبنده در این فصل مطرح شد در بهترین حالت،</w:t>
      </w:r>
      <w:r w:rsidRPr="00025957">
        <w:rPr>
          <w:position w:val="-4"/>
        </w:rPr>
        <w:object w:dxaOrig="520" w:dyaOrig="240" w14:anchorId="48AC2E25">
          <v:shape id="_x0000_i6696" type="#_x0000_t75" style="width:26pt;height:11.5pt" o:ole="">
            <v:imagedata r:id="rId11453" o:title=""/>
          </v:shape>
          <o:OLEObject Type="Embed" ProgID="Equation.DSMT4" ShapeID="_x0000_i6696" DrawAspect="Content" ObjectID="_1791380640" r:id="rId11454"/>
        </w:object>
      </w:r>
      <w:r w:rsidRPr="00A62AA2">
        <w:rPr>
          <w:rFonts w:cs="B Nazanin" w:hint="cs"/>
          <w:i/>
          <w:sz w:val="23"/>
          <w:szCs w:val="23"/>
          <w:rtl/>
        </w:rPr>
        <w:t xml:space="preserve"> خاصیتی بلند‌مدت است. به روشی دیگر، یک تمایزی می</w:t>
      </w:r>
      <w:r w:rsidRPr="00A62AA2">
        <w:rPr>
          <w:rFonts w:cs="B Nazanin"/>
          <w:i/>
          <w:sz w:val="23"/>
          <w:szCs w:val="23"/>
        </w:rPr>
        <w:t>‌</w:t>
      </w:r>
      <w:r w:rsidRPr="00A62AA2">
        <w:rPr>
          <w:rFonts w:cs="B Nazanin" w:hint="cs"/>
          <w:i/>
          <w:sz w:val="23"/>
          <w:szCs w:val="23"/>
          <w:rtl/>
        </w:rPr>
        <w:t>بایست بین قیمت</w:t>
      </w:r>
      <w:r w:rsidRPr="00A62AA2">
        <w:rPr>
          <w:rFonts w:cs="B Nazanin" w:hint="cs"/>
          <w:i/>
          <w:sz w:val="23"/>
          <w:szCs w:val="23"/>
          <w:rtl/>
        </w:rPr>
        <w:softHyphen/>
        <w:t>گذاری کالاهای قابل تجارت از طریق قانون یک قیمت و قیمت</w:t>
      </w:r>
      <w:r w:rsidRPr="00A62AA2">
        <w:rPr>
          <w:rFonts w:cs="B Nazanin" w:hint="cs"/>
          <w:i/>
          <w:sz w:val="23"/>
          <w:szCs w:val="23"/>
          <w:rtl/>
        </w:rPr>
        <w:softHyphen/>
        <w:t>گذاری کالاهای غیر قابل تجارت همانند مدل احیا شده قائل شد. تحقیقات اخیر در خصوص قیمت</w:t>
      </w:r>
      <w:r w:rsidRPr="00A62AA2">
        <w:rPr>
          <w:rFonts w:cs="B Nazanin" w:hint="cs"/>
          <w:i/>
          <w:sz w:val="23"/>
          <w:szCs w:val="23"/>
          <w:rtl/>
        </w:rPr>
        <w:softHyphen/>
        <w:t>گذاری به حکم بازار که در فصل نهم بدان اشاره شد قانون یک قیمت را مورد تردید قرار می</w:t>
      </w:r>
      <w:r w:rsidRPr="00A62AA2">
        <w:rPr>
          <w:rFonts w:cs="B Nazanin" w:hint="cs"/>
          <w:i/>
          <w:sz w:val="23"/>
          <w:szCs w:val="23"/>
          <w:rtl/>
        </w:rPr>
        <w:softHyphen/>
        <w:t>دهند.</w:t>
      </w:r>
      <w:r w:rsidRPr="00A62AA2">
        <w:rPr>
          <w:rStyle w:val="FootnoteReference"/>
          <w:rFonts w:eastAsiaTheme="majorEastAsia"/>
          <w:i/>
          <w:sz w:val="23"/>
          <w:szCs w:val="23"/>
          <w:rtl/>
        </w:rPr>
        <w:footnoteReference w:id="324"/>
      </w:r>
    </w:p>
    <w:p w14:paraId="04CDD5C7" w14:textId="77777777" w:rsidR="00556C10" w:rsidRPr="00A62AA2"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Pr>
      </w:pPr>
      <w:r w:rsidRPr="00A62AA2">
        <w:rPr>
          <w:rFonts w:cs="B Nazanin" w:hint="cs"/>
          <w:i/>
          <w:sz w:val="23"/>
          <w:szCs w:val="23"/>
          <w:rtl/>
        </w:rPr>
        <w:t xml:space="preserve">اولین نسل از مدل‌های مبتنی بر نرخ ارز شناور، همانند مدل ماندل فلمینگ، مدل پولی و مدل دورنبوش، فاقد چارچوب خُرد نسل جدید مدل‌های تعادل عمومی پویای تصادفی احیا شده می‌باشند. </w:t>
      </w:r>
      <w:r w:rsidRPr="00A62AA2">
        <w:rPr>
          <w:rFonts w:cs="B Nazanin" w:hint="cs"/>
          <w:i/>
          <w:sz w:val="23"/>
          <w:szCs w:val="23"/>
          <w:rtl/>
        </w:rPr>
        <w:lastRenderedPageBreak/>
        <w:t>با این حال، این مدل‌ها معیار با ارزشی در مقابل مدل‌های تعادل عمومی پویای تصادفی بوده و با توجه به پیچیدگی‌های مدل‌های</w:t>
      </w:r>
      <w:r w:rsidRPr="00A62AA2">
        <w:rPr>
          <w:position w:val="-6"/>
        </w:rPr>
        <w:object w:dxaOrig="720" w:dyaOrig="260" w14:anchorId="1073209B">
          <v:shape id="_x0000_i6697" type="#_x0000_t75" style="width:36.3pt;height:13.3pt" o:ole="">
            <v:imagedata r:id="rId11455" o:title=""/>
          </v:shape>
          <o:OLEObject Type="Embed" ProgID="Equation.DSMT4" ShapeID="_x0000_i6697" DrawAspect="Content" ObjectID="_1791380641" r:id="rId11456"/>
        </w:object>
      </w:r>
      <w:r w:rsidRPr="00A62AA2">
        <w:rPr>
          <w:rFonts w:cs="B Nazanin" w:hint="cs"/>
          <w:i/>
          <w:sz w:val="23"/>
          <w:szCs w:val="23"/>
          <w:rtl/>
        </w:rPr>
        <w:t xml:space="preserve"> اقتصاد باز، دارای مزیت سادگی کار با آن</w:t>
      </w:r>
      <w:r w:rsidRPr="00A62AA2">
        <w:rPr>
          <w:rFonts w:cs="B Nazanin" w:hint="cs"/>
          <w:i/>
          <w:sz w:val="23"/>
          <w:szCs w:val="23"/>
          <w:rtl/>
        </w:rPr>
        <w:softHyphen/>
        <w:t>ها می‌باشند.</w:t>
      </w:r>
    </w:p>
    <w:p w14:paraId="678EDDDA" w14:textId="77777777" w:rsidR="00556C10" w:rsidRPr="00A62AA2" w:rsidRDefault="00556C10" w:rsidP="00556C10">
      <w:pPr>
        <w:pStyle w:val="NormalWeb"/>
        <w:tabs>
          <w:tab w:val="right" w:pos="-83"/>
          <w:tab w:val="right" w:pos="7"/>
        </w:tabs>
        <w:bidi/>
        <w:spacing w:before="0" w:beforeAutospacing="0" w:after="0" w:afterAutospacing="0" w:line="216" w:lineRule="auto"/>
        <w:jc w:val="both"/>
        <w:rPr>
          <w:rFonts w:cs="B Nazanin"/>
          <w:i/>
          <w:sz w:val="23"/>
          <w:szCs w:val="23"/>
          <w:rtl/>
        </w:rPr>
      </w:pPr>
      <w:r w:rsidRPr="00A62AA2">
        <w:rPr>
          <w:i/>
          <w:sz w:val="23"/>
          <w:szCs w:val="23"/>
          <w:rtl/>
        </w:rPr>
        <w:t> </w:t>
      </w:r>
      <w:r w:rsidRPr="00A62AA2">
        <w:rPr>
          <w:rFonts w:cs="B Nazanin" w:hint="cs"/>
          <w:i/>
          <w:sz w:val="23"/>
          <w:szCs w:val="23"/>
          <w:rtl/>
        </w:rPr>
        <w:t>نقطه ضعف عمومی تمامی این مدل‌ها، فرض ثابت بودن تولید است. ولی از آنجا که نرخ ارز بسیار سریع</w:t>
      </w:r>
      <w:r w:rsidRPr="00A62AA2">
        <w:rPr>
          <w:rFonts w:cs="B Nazanin"/>
          <w:i/>
          <w:sz w:val="23"/>
          <w:szCs w:val="23"/>
        </w:rPr>
        <w:t>‌</w:t>
      </w:r>
      <w:r w:rsidRPr="00A62AA2">
        <w:rPr>
          <w:rFonts w:cs="B Nazanin" w:hint="cs"/>
          <w:i/>
          <w:sz w:val="23"/>
          <w:szCs w:val="23"/>
          <w:rtl/>
        </w:rPr>
        <w:t>تر از تولید و قیمت تعدیل می</w:t>
      </w:r>
      <w:r w:rsidRPr="00A62AA2">
        <w:rPr>
          <w:rFonts w:cs="B Nazanin"/>
          <w:i/>
          <w:sz w:val="23"/>
          <w:szCs w:val="23"/>
        </w:rPr>
        <w:t>‌</w:t>
      </w:r>
      <w:r w:rsidRPr="00A62AA2">
        <w:rPr>
          <w:rFonts w:cs="B Nazanin" w:hint="cs"/>
          <w:i/>
          <w:sz w:val="23"/>
          <w:szCs w:val="23"/>
          <w:rtl/>
        </w:rPr>
        <w:t xml:space="preserve">شود، این فرض قابل اغماض است. اگر هدف </w:t>
      </w:r>
      <w:r w:rsidRPr="00A62AA2">
        <w:rPr>
          <w:rFonts w:cs="B Nazanin" w:hint="cs"/>
          <w:i/>
          <w:sz w:val="23"/>
          <w:szCs w:val="23"/>
          <w:rtl/>
          <w:lang w:bidi="fa-IR"/>
        </w:rPr>
        <w:t xml:space="preserve">ما </w:t>
      </w:r>
      <w:r w:rsidRPr="00A62AA2">
        <w:rPr>
          <w:rFonts w:cs="B Nazanin" w:hint="cs"/>
          <w:i/>
          <w:sz w:val="23"/>
          <w:szCs w:val="23"/>
          <w:rtl/>
        </w:rPr>
        <w:t>تجزیه و تحلیل رفتار نرخ ارز در کوتاه‌مدت باشد، آنگاه نسل اولیه این مدل‌ها ترکیب خوبی را فراهم می‌سازند. مهمترین مزیت مدل‌های</w:t>
      </w:r>
      <w:r w:rsidRPr="00A62AA2">
        <w:rPr>
          <w:position w:val="-6"/>
        </w:rPr>
        <w:object w:dxaOrig="720" w:dyaOrig="260" w14:anchorId="2BB681A6">
          <v:shape id="_x0000_i6698" type="#_x0000_t75" style="width:36.3pt;height:13.3pt" o:ole="">
            <v:imagedata r:id="rId11457" o:title=""/>
          </v:shape>
          <o:OLEObject Type="Embed" ProgID="Equation.DSMT4" ShapeID="_x0000_i6698" DrawAspect="Content" ObjectID="_1791380642" r:id="rId11458"/>
        </w:object>
      </w:r>
      <w:r w:rsidRPr="00A62AA2">
        <w:rPr>
          <w:rFonts w:cs="B Nazanin"/>
          <w:i/>
          <w:sz w:val="23"/>
          <w:szCs w:val="23"/>
          <w:shd w:val="clear" w:color="auto" w:fill="FFFFFF"/>
        </w:rPr>
        <w:t xml:space="preserve"> </w:t>
      </w:r>
      <w:r w:rsidRPr="00A62AA2">
        <w:rPr>
          <w:rFonts w:cs="B Nazanin" w:hint="cs"/>
          <w:i/>
          <w:sz w:val="23"/>
          <w:szCs w:val="23"/>
          <w:rtl/>
        </w:rPr>
        <w:t>طرز عمل برتر انباشت سرمایه است که رفتار بهینه‌ی مصرف و تولید را تحت تاثیر قرار می‌دهد. هرچند در کوتاه</w:t>
      </w:r>
      <w:r w:rsidRPr="00A62AA2">
        <w:rPr>
          <w:rFonts w:cs="B Nazanin" w:hint="cs"/>
          <w:i/>
          <w:sz w:val="23"/>
          <w:szCs w:val="23"/>
          <w:rtl/>
        </w:rPr>
        <w:softHyphen/>
        <w:t>مدت، این یک مزیت مهم به شمار نمی</w:t>
      </w:r>
      <w:r w:rsidRPr="00A62AA2">
        <w:rPr>
          <w:rFonts w:cs="B Nazanin" w:hint="cs"/>
          <w:i/>
          <w:sz w:val="23"/>
          <w:szCs w:val="23"/>
          <w:rtl/>
        </w:rPr>
        <w:softHyphen/>
        <w:t>رود. بخشی از این نکته ممکن است به خاطر نقص مدل‌های</w:t>
      </w:r>
      <w:r w:rsidRPr="00A62AA2">
        <w:rPr>
          <w:rFonts w:cs="B Nazanin"/>
          <w:i/>
          <w:sz w:val="23"/>
          <w:szCs w:val="23"/>
        </w:rPr>
        <w:t xml:space="preserve"> </w:t>
      </w:r>
      <w:r w:rsidRPr="00A62AA2">
        <w:rPr>
          <w:position w:val="-6"/>
        </w:rPr>
        <w:object w:dxaOrig="720" w:dyaOrig="260" w14:anchorId="13987EA5">
          <v:shape id="_x0000_i6699" type="#_x0000_t75" style="width:36.3pt;height:13.3pt" o:ole="">
            <v:imagedata r:id="rId11459" o:title=""/>
          </v:shape>
          <o:OLEObject Type="Embed" ProgID="Equation.DSMT4" ShapeID="_x0000_i6699" DrawAspect="Content" ObjectID="_1791380643" r:id="rId11460"/>
        </w:object>
      </w:r>
      <w:r w:rsidRPr="00A62AA2">
        <w:rPr>
          <w:rFonts w:cs="B Nazanin" w:hint="cs"/>
          <w:i/>
          <w:sz w:val="23"/>
          <w:szCs w:val="23"/>
          <w:rtl/>
        </w:rPr>
        <w:t>با نرخ</w:t>
      </w:r>
      <w:r w:rsidRPr="00A62AA2">
        <w:rPr>
          <w:rFonts w:cs="B Nazanin"/>
          <w:i/>
          <w:sz w:val="23"/>
          <w:szCs w:val="23"/>
        </w:rPr>
        <w:t>‌</w:t>
      </w:r>
      <w:r w:rsidRPr="00A62AA2">
        <w:rPr>
          <w:rFonts w:cs="B Nazanin" w:hint="cs"/>
          <w:i/>
          <w:sz w:val="23"/>
          <w:szCs w:val="23"/>
          <w:rtl/>
        </w:rPr>
        <w:t>های ارز اسمی و انباشت سرمایه باشد. ضعف مدل احیا شده فرض برون</w:t>
      </w:r>
      <w:r w:rsidRPr="00A62AA2">
        <w:rPr>
          <w:rFonts w:cs="B Nazanin" w:hint="cs"/>
          <w:i/>
          <w:sz w:val="23"/>
          <w:szCs w:val="23"/>
          <w:rtl/>
        </w:rPr>
        <w:softHyphen/>
        <w:t>زا بودن عرضه‌ی پول است. این فرض برای هدف‌گذاری تورم دنیا که در اصل عرضه‌ی پول درون‌زا است مناسب نیست.</w:t>
      </w:r>
      <w:r w:rsidRPr="00A62AA2">
        <w:rPr>
          <w:rStyle w:val="FootnoteReference"/>
          <w:rFonts w:eastAsiaTheme="majorEastAsia"/>
          <w:i/>
          <w:sz w:val="23"/>
          <w:szCs w:val="23"/>
          <w:rtl/>
        </w:rPr>
        <w:footnoteReference w:id="325"/>
      </w:r>
      <w:r w:rsidRPr="00A62AA2">
        <w:rPr>
          <w:rFonts w:cs="B Nazanin" w:hint="cs"/>
          <w:i/>
          <w:sz w:val="23"/>
          <w:szCs w:val="23"/>
          <w:rtl/>
        </w:rPr>
        <w:t xml:space="preserve"> تعیین نرخ ارز اسمی را در فصل چهاردهم با استفاده از مدل کینزین جدید و هدف‌گذاری تورم دنبال خواهیم کرد. همچنین نقش نرخ ارز را در مکانیسم انتقال سیاست</w:t>
      </w:r>
      <w:r w:rsidRPr="00A62AA2">
        <w:rPr>
          <w:rFonts w:cs="B Nazanin" w:hint="cs"/>
          <w:i/>
          <w:sz w:val="23"/>
          <w:szCs w:val="23"/>
          <w:rtl/>
        </w:rPr>
        <w:softHyphen/>
        <w:t>های پولی مورد بررسی قرار خواهیم داد.</w:t>
      </w:r>
    </w:p>
    <w:p w14:paraId="7DE0CBB9" w14:textId="642D82E3" w:rsidR="00556C10" w:rsidRDefault="00556C10" w:rsidP="00556C10">
      <w:pPr>
        <w:spacing w:line="216" w:lineRule="auto"/>
        <w:rPr>
          <w:i/>
          <w:sz w:val="23"/>
          <w:szCs w:val="23"/>
          <w:rtl/>
        </w:rPr>
      </w:pPr>
    </w:p>
    <w:p w14:paraId="41032844" w14:textId="312C7E76" w:rsidR="00556C10" w:rsidRDefault="00556C10" w:rsidP="00556C10">
      <w:pPr>
        <w:spacing w:line="216" w:lineRule="auto"/>
        <w:rPr>
          <w:i/>
          <w:sz w:val="23"/>
          <w:szCs w:val="23"/>
          <w:rtl/>
        </w:rPr>
      </w:pPr>
    </w:p>
    <w:p w14:paraId="12FC52D5" w14:textId="7502604F" w:rsidR="00556C10" w:rsidRDefault="00556C10" w:rsidP="00556C10">
      <w:pPr>
        <w:spacing w:line="216" w:lineRule="auto"/>
        <w:rPr>
          <w:i/>
          <w:sz w:val="23"/>
          <w:szCs w:val="23"/>
          <w:rtl/>
        </w:rPr>
      </w:pPr>
    </w:p>
    <w:p w14:paraId="7735B9F8" w14:textId="632C6849" w:rsidR="00556C10" w:rsidRDefault="00556C10" w:rsidP="00556C10">
      <w:pPr>
        <w:spacing w:line="216" w:lineRule="auto"/>
        <w:rPr>
          <w:i/>
          <w:sz w:val="23"/>
          <w:szCs w:val="23"/>
          <w:rtl/>
        </w:rPr>
      </w:pPr>
    </w:p>
    <w:p w14:paraId="39A9A8D6" w14:textId="3CBEFE4C" w:rsidR="00556C10" w:rsidRDefault="00556C10" w:rsidP="00556C10">
      <w:pPr>
        <w:spacing w:line="216" w:lineRule="auto"/>
        <w:rPr>
          <w:i/>
          <w:sz w:val="23"/>
          <w:szCs w:val="23"/>
          <w:rtl/>
        </w:rPr>
      </w:pPr>
    </w:p>
    <w:p w14:paraId="062E7A50" w14:textId="4016F43A" w:rsidR="00556C10" w:rsidRDefault="00556C10" w:rsidP="00556C10">
      <w:pPr>
        <w:spacing w:line="216" w:lineRule="auto"/>
        <w:rPr>
          <w:i/>
          <w:sz w:val="23"/>
          <w:szCs w:val="23"/>
          <w:rtl/>
        </w:rPr>
      </w:pPr>
    </w:p>
    <w:p w14:paraId="4BA43281" w14:textId="75326C1B" w:rsidR="00556C10" w:rsidRDefault="00556C10" w:rsidP="00556C10">
      <w:pPr>
        <w:spacing w:line="216" w:lineRule="auto"/>
        <w:rPr>
          <w:i/>
          <w:sz w:val="23"/>
          <w:szCs w:val="23"/>
          <w:rtl/>
        </w:rPr>
      </w:pPr>
    </w:p>
    <w:p w14:paraId="2A6A4192" w14:textId="496237F5" w:rsidR="00556C10" w:rsidRDefault="00556C10" w:rsidP="00556C10">
      <w:pPr>
        <w:spacing w:line="216" w:lineRule="auto"/>
        <w:rPr>
          <w:i/>
          <w:sz w:val="23"/>
          <w:szCs w:val="23"/>
          <w:rtl/>
        </w:rPr>
      </w:pPr>
    </w:p>
    <w:p w14:paraId="58099B80" w14:textId="039F741E" w:rsidR="00556C10" w:rsidRDefault="00556C10" w:rsidP="00556C10">
      <w:pPr>
        <w:spacing w:line="216" w:lineRule="auto"/>
        <w:rPr>
          <w:i/>
          <w:sz w:val="23"/>
          <w:szCs w:val="23"/>
          <w:rtl/>
        </w:rPr>
      </w:pPr>
    </w:p>
    <w:p w14:paraId="1736449E" w14:textId="17F33133" w:rsidR="00556C10" w:rsidRDefault="00556C10" w:rsidP="00556C10">
      <w:pPr>
        <w:spacing w:line="216" w:lineRule="auto"/>
        <w:rPr>
          <w:i/>
          <w:sz w:val="23"/>
          <w:szCs w:val="23"/>
          <w:rtl/>
        </w:rPr>
      </w:pPr>
    </w:p>
    <w:p w14:paraId="67B33629" w14:textId="6131AB6B" w:rsidR="00556C10" w:rsidRDefault="00556C10" w:rsidP="00556C10">
      <w:pPr>
        <w:spacing w:line="216" w:lineRule="auto"/>
        <w:rPr>
          <w:i/>
          <w:sz w:val="23"/>
          <w:szCs w:val="23"/>
          <w:rtl/>
        </w:rPr>
      </w:pPr>
    </w:p>
    <w:p w14:paraId="498A109F" w14:textId="50AC7B0D" w:rsidR="00556C10" w:rsidRDefault="00556C10" w:rsidP="00556C10">
      <w:pPr>
        <w:spacing w:line="216" w:lineRule="auto"/>
        <w:rPr>
          <w:i/>
          <w:sz w:val="23"/>
          <w:szCs w:val="23"/>
          <w:rtl/>
        </w:rPr>
      </w:pPr>
    </w:p>
    <w:p w14:paraId="03F99305" w14:textId="1889CC82" w:rsidR="00556C10" w:rsidRDefault="00556C10" w:rsidP="00556C10">
      <w:pPr>
        <w:spacing w:line="216" w:lineRule="auto"/>
        <w:rPr>
          <w:i/>
          <w:sz w:val="23"/>
          <w:szCs w:val="23"/>
          <w:rtl/>
        </w:rPr>
      </w:pPr>
    </w:p>
    <w:p w14:paraId="797758B6" w14:textId="729334E0" w:rsidR="00556C10" w:rsidRDefault="00556C10" w:rsidP="00556C10">
      <w:pPr>
        <w:spacing w:line="216" w:lineRule="auto"/>
        <w:rPr>
          <w:i/>
          <w:sz w:val="23"/>
          <w:szCs w:val="23"/>
          <w:rtl/>
        </w:rPr>
      </w:pPr>
    </w:p>
    <w:p w14:paraId="146071D5" w14:textId="52FBC6FA" w:rsidR="00556C10" w:rsidRDefault="00556C10" w:rsidP="00556C10">
      <w:pPr>
        <w:spacing w:line="216" w:lineRule="auto"/>
        <w:rPr>
          <w:i/>
          <w:sz w:val="23"/>
          <w:szCs w:val="23"/>
          <w:rtl/>
        </w:rPr>
      </w:pPr>
    </w:p>
    <w:p w14:paraId="200D536B" w14:textId="3A45E73E" w:rsidR="00556C10" w:rsidRDefault="00556C10" w:rsidP="00556C10">
      <w:pPr>
        <w:spacing w:line="216" w:lineRule="auto"/>
        <w:rPr>
          <w:i/>
          <w:sz w:val="23"/>
          <w:szCs w:val="23"/>
          <w:rtl/>
        </w:rPr>
      </w:pPr>
    </w:p>
    <w:p w14:paraId="26C51848" w14:textId="72414511" w:rsidR="00556C10" w:rsidRDefault="00556C10" w:rsidP="00556C10">
      <w:pPr>
        <w:spacing w:line="216" w:lineRule="auto"/>
        <w:rPr>
          <w:i/>
          <w:sz w:val="23"/>
          <w:szCs w:val="23"/>
          <w:rtl/>
        </w:rPr>
      </w:pPr>
    </w:p>
    <w:p w14:paraId="4D037EE2" w14:textId="1A27788C" w:rsidR="00556C10" w:rsidRDefault="00556C10" w:rsidP="00556C10">
      <w:pPr>
        <w:spacing w:line="216" w:lineRule="auto"/>
        <w:rPr>
          <w:i/>
          <w:sz w:val="23"/>
          <w:szCs w:val="23"/>
          <w:rtl/>
        </w:rPr>
      </w:pPr>
    </w:p>
    <w:p w14:paraId="77486188" w14:textId="2ED293F8" w:rsidR="00556C10" w:rsidRDefault="00556C10" w:rsidP="00556C10">
      <w:pPr>
        <w:spacing w:line="216" w:lineRule="auto"/>
        <w:rPr>
          <w:i/>
          <w:sz w:val="23"/>
          <w:szCs w:val="23"/>
          <w:rtl/>
        </w:rPr>
      </w:pPr>
    </w:p>
    <w:p w14:paraId="3D40E1B2" w14:textId="77777777" w:rsidR="00556C10" w:rsidRPr="002614E7" w:rsidRDefault="00556C10" w:rsidP="00556C10">
      <w:pPr>
        <w:pStyle w:val="a3"/>
        <w:spacing w:before="1080" w:after="720" w:line="216" w:lineRule="auto"/>
        <w:ind w:left="0"/>
        <w:rPr>
          <w:rFonts w:eastAsia="Yu Gothic UI" w:cs="B Nazanin"/>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pPr>
      <w:r w:rsidRPr="002614E7">
        <w:rPr>
          <w:rFonts w:cs="B Nazanin" w:hint="cs"/>
          <w:b w:val="0"/>
          <w:i/>
          <w:color w:val="auto"/>
          <w:sz w:val="40"/>
          <w:szCs w:val="40"/>
          <w:rtl/>
        </w:rPr>
        <w:lastRenderedPageBreak/>
        <w:t>فصل چهاردهم</w:t>
      </w:r>
    </w:p>
    <w:p w14:paraId="7D1F2DC5" w14:textId="77777777" w:rsidR="00556C10" w:rsidRPr="002614E7" w:rsidRDefault="00556C10" w:rsidP="00556C10">
      <w:pPr>
        <w:pStyle w:val="a4"/>
        <w:pBdr>
          <w:top w:val="none" w:sz="0" w:space="0" w:color="auto"/>
          <w:bottom w:val="none" w:sz="0" w:space="0" w:color="auto"/>
        </w:pBdr>
        <w:shd w:val="clear" w:color="auto" w:fill="auto"/>
        <w:spacing w:after="720" w:line="216" w:lineRule="auto"/>
        <w:rPr>
          <w:rFonts w:ascii="Times New Roman" w:hAnsi="Times New Roman" w:cs="B Nazanin"/>
          <w:b w:val="0"/>
          <w:i/>
          <w:sz w:val="40"/>
          <w:szCs w:val="40"/>
          <w:rtl/>
        </w:rPr>
      </w:pPr>
      <w:r w:rsidRPr="002614E7">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t>سیاست</w:t>
      </w:r>
      <w:r w:rsidRPr="002614E7">
        <w:rPr>
          <w:rFonts w:ascii="Times New Roman" w:eastAsia="Yu Gothic UI" w:hAnsi="Times New Roman" w:cs="B Nazanin"/>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softHyphen/>
      </w:r>
      <w:r w:rsidRPr="002614E7">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t xml:space="preserve">های پولی </w:t>
      </w:r>
    </w:p>
    <w:p w14:paraId="302BE30A" w14:textId="77777777" w:rsidR="00556C10" w:rsidRPr="002614E7" w:rsidRDefault="00556C10" w:rsidP="00556C10">
      <w:pPr>
        <w:pStyle w:val="Heading1"/>
        <w:spacing w:before="0" w:after="0" w:line="216" w:lineRule="auto"/>
        <w:rPr>
          <w:rFonts w:ascii="Times New Roman" w:hAnsi="Times New Roman" w:cs="B Nazanin"/>
          <w:b w:val="0"/>
          <w:i/>
          <w:sz w:val="23"/>
          <w:szCs w:val="23"/>
          <w:rtl/>
        </w:rPr>
      </w:pPr>
      <w:r w:rsidRPr="002614E7">
        <w:rPr>
          <w:rFonts w:ascii="Times New Roman" w:hAnsi="Times New Roman" w:cs="B Nazanin" w:hint="cs"/>
          <w:b w:val="0"/>
          <w:i/>
          <w:sz w:val="23"/>
          <w:szCs w:val="23"/>
          <w:rtl/>
        </w:rPr>
        <w:t>۱۴. ۱ مقدمه</w:t>
      </w:r>
    </w:p>
    <w:p w14:paraId="1EB1D5DE" w14:textId="77777777" w:rsidR="00556C10" w:rsidRPr="002614E7" w:rsidRDefault="00556C10" w:rsidP="00556C10">
      <w:pPr>
        <w:spacing w:line="216" w:lineRule="auto"/>
        <w:rPr>
          <w:i/>
          <w:sz w:val="23"/>
          <w:szCs w:val="23"/>
        </w:rPr>
      </w:pPr>
      <w:r w:rsidRPr="002614E7">
        <w:rPr>
          <w:rFonts w:hint="cs"/>
          <w:i/>
          <w:sz w:val="23"/>
          <w:szCs w:val="23"/>
          <w:rtl/>
        </w:rPr>
        <w:t>در ابتدا، و قبل از گسترش و بسط مدل تعادل عمومی پویا، اقتصاد بدون پول را در نظر گرفتیم. در اقتصاد بدون پول کلیه‌ی قیمت‌ها نسبی است ( یعنی قیمت</w:t>
      </w:r>
      <w:r w:rsidRPr="002614E7">
        <w:rPr>
          <w:i/>
          <w:sz w:val="23"/>
          <w:szCs w:val="23"/>
          <w:rtl/>
        </w:rPr>
        <w:softHyphen/>
      </w:r>
      <w:r>
        <w:rPr>
          <w:rFonts w:hint="cs"/>
          <w:i/>
          <w:sz w:val="23"/>
          <w:szCs w:val="23"/>
          <w:rtl/>
        </w:rPr>
        <w:t>ها نسبت به قی</w:t>
      </w:r>
      <w:r w:rsidRPr="002614E7">
        <w:rPr>
          <w:rFonts w:hint="cs"/>
          <w:i/>
          <w:sz w:val="23"/>
          <w:szCs w:val="23"/>
          <w:rtl/>
        </w:rPr>
        <w:t>مت مصرف). این موارد شامل دستمزد حقیقی، نرخ بهره حقیقی، و یا با بسط اقتصاد کلان به اقتصاد باز</w:t>
      </w:r>
      <w:r w:rsidRPr="002614E7">
        <w:rPr>
          <w:rFonts w:cs="Calibri" w:hint="cs"/>
          <w:i/>
          <w:sz w:val="23"/>
          <w:szCs w:val="23"/>
          <w:rtl/>
        </w:rPr>
        <w:t>،</w:t>
      </w:r>
      <w:r w:rsidRPr="002614E7">
        <w:rPr>
          <w:rFonts w:hint="cs"/>
          <w:i/>
          <w:sz w:val="23"/>
          <w:szCs w:val="23"/>
          <w:rtl/>
        </w:rPr>
        <w:t xml:space="preserve"> رابطه‌ی مبادله‌ی بازرگانی و نرخ ارز حقیقی </w:t>
      </w:r>
      <w:r>
        <w:rPr>
          <w:rFonts w:hint="cs"/>
          <w:i/>
          <w:sz w:val="23"/>
          <w:szCs w:val="23"/>
          <w:rtl/>
        </w:rPr>
        <w:t>است</w:t>
      </w:r>
      <w:r w:rsidRPr="002614E7">
        <w:rPr>
          <w:rFonts w:hint="cs"/>
          <w:i/>
          <w:sz w:val="23"/>
          <w:szCs w:val="23"/>
          <w:rtl/>
        </w:rPr>
        <w:t>. به</w:t>
      </w:r>
      <w:r w:rsidRPr="002614E7">
        <w:rPr>
          <w:rFonts w:hint="cs"/>
          <w:i/>
          <w:sz w:val="23"/>
          <w:szCs w:val="23"/>
          <w:rtl/>
        </w:rPr>
        <w:softHyphen/>
        <w:t>طورکلی، تغییر در قیمت‌های نسبی دارای اثرات حقیقی است و مقادیر کالاها و خدمات را تحت تأثیر قرار می‌دهد. هنگامی که پول بیرونی (پولی که توسط دولت‌ها معمولاً به</w:t>
      </w:r>
      <w:r w:rsidRPr="002614E7">
        <w:rPr>
          <w:rFonts w:hint="cs"/>
          <w:i/>
          <w:sz w:val="23"/>
          <w:szCs w:val="23"/>
          <w:rtl/>
        </w:rPr>
        <w:softHyphen/>
        <w:t>واسطه</w:t>
      </w:r>
      <w:r w:rsidRPr="002614E7">
        <w:rPr>
          <w:rFonts w:hint="cs"/>
          <w:i/>
          <w:sz w:val="23"/>
          <w:szCs w:val="23"/>
          <w:rtl/>
        </w:rPr>
        <w:softHyphen/>
        <w:t>ی حساب آن‌ها در بانک مرکزی عرضه می‌شود) و پول درونی (اعتباری که به وسیله</w:t>
      </w:r>
      <w:r w:rsidRPr="002614E7">
        <w:rPr>
          <w:rFonts w:hint="cs"/>
          <w:i/>
          <w:sz w:val="23"/>
          <w:szCs w:val="23"/>
          <w:rtl/>
        </w:rPr>
        <w:softHyphen/>
        <w:t>ی سیستم بانکی تجاری ایجاد می‌شود) را در مدل اقتصادی لحاظ می</w:t>
      </w:r>
      <w:r w:rsidRPr="002614E7">
        <w:rPr>
          <w:rFonts w:hint="cs"/>
          <w:i/>
          <w:sz w:val="23"/>
          <w:szCs w:val="23"/>
          <w:rtl/>
        </w:rPr>
        <w:softHyphen/>
        <w:t xml:space="preserve">کنیم، می‌بایست قیمت‌های اسمی، و بخصوص سطح عمومی قیمت‌ها و همچنین دستمزدهای اسمی و نرخ‌های بهره‌ی اسمی و غیره را نیز در مدل مطمح نظر قرار دهیم. </w:t>
      </w:r>
    </w:p>
    <w:p w14:paraId="27667A52" w14:textId="77777777" w:rsidR="00556C10" w:rsidRPr="002614E7" w:rsidRDefault="00556C10" w:rsidP="00556C10">
      <w:pPr>
        <w:spacing w:line="216" w:lineRule="auto"/>
        <w:rPr>
          <w:i/>
          <w:sz w:val="23"/>
          <w:szCs w:val="23"/>
          <w:rtl/>
        </w:rPr>
      </w:pPr>
      <w:r w:rsidRPr="002614E7">
        <w:rPr>
          <w:rFonts w:hint="cs"/>
          <w:i/>
          <w:sz w:val="23"/>
          <w:szCs w:val="23"/>
          <w:rtl/>
        </w:rPr>
        <w:t>در فصل هشتم نشان داده شد که در تعادل عمومی و در بلندمدت، پول اَبَرخنثی است. یعنی شوک‌های دائمی پول، متغیرهای اسمی همانند سطح عمومی قیمت‌ها را تحت تأثیر قرار داده ولی بر متغیرهای حقیقی همانند تولید و مصرف بی</w:t>
      </w:r>
      <w:r w:rsidRPr="002614E7">
        <w:rPr>
          <w:rFonts w:hint="cs"/>
          <w:i/>
          <w:sz w:val="23"/>
          <w:szCs w:val="23"/>
          <w:rtl/>
        </w:rPr>
        <w:softHyphen/>
        <w:t>تأثیر است. بنابراین، مهمترین وظیفه</w:t>
      </w:r>
      <w:r w:rsidRPr="002614E7">
        <w:rPr>
          <w:rFonts w:hint="cs"/>
          <w:i/>
          <w:sz w:val="23"/>
          <w:szCs w:val="23"/>
          <w:rtl/>
        </w:rPr>
        <w:softHyphen/>
        <w:t>ی سیاست پولی کنترل سطح عمومی قیمت</w:t>
      </w:r>
      <w:r w:rsidRPr="002614E7">
        <w:rPr>
          <w:rFonts w:hint="cs"/>
          <w:i/>
          <w:sz w:val="23"/>
          <w:szCs w:val="23"/>
          <w:rtl/>
        </w:rPr>
        <w:softHyphen/>
        <w:t xml:space="preserve">ها و یا تورم است. </w:t>
      </w:r>
    </w:p>
    <w:p w14:paraId="216F5902" w14:textId="77777777" w:rsidR="00556C10" w:rsidRPr="002614E7" w:rsidRDefault="00556C10" w:rsidP="00556C10">
      <w:pPr>
        <w:spacing w:line="216" w:lineRule="auto"/>
        <w:rPr>
          <w:i/>
          <w:sz w:val="23"/>
          <w:szCs w:val="23"/>
          <w:rtl/>
        </w:rPr>
      </w:pPr>
      <w:r w:rsidRPr="002614E7">
        <w:rPr>
          <w:rFonts w:hint="cs"/>
          <w:i/>
          <w:sz w:val="23"/>
          <w:szCs w:val="23"/>
          <w:rtl/>
        </w:rPr>
        <w:t>در فصل نهم به این نکته اشاره شد که در کوتاه‌مدت، هنگامی که چسبندگی قیمت وجود دارد، پول ممکن است اثرات حقیقی داشته و برای تثبیت کوتاه‌مدت تولید نیز مورد استفاده قرار گیرد. بر طبق نظرات میلتون فریدمن در سال ۱۹۶۸ و مکتب پول گرایان، اثر کوتاه‌مدت پول و یا سیاست پولی بر تولید بمراتب بیشتر از سیاست مالی است و این اثر تنها برای ۱۸ ماه دوام دارد.</w:t>
      </w:r>
    </w:p>
    <w:p w14:paraId="47B66490" w14:textId="77777777" w:rsidR="00556C10" w:rsidRPr="002614E7" w:rsidRDefault="00556C10" w:rsidP="00556C10">
      <w:pPr>
        <w:spacing w:line="216" w:lineRule="auto"/>
        <w:rPr>
          <w:i/>
          <w:sz w:val="23"/>
          <w:szCs w:val="23"/>
          <w:rtl/>
        </w:rPr>
      </w:pPr>
      <w:r w:rsidRPr="002614E7">
        <w:rPr>
          <w:rFonts w:hint="cs"/>
          <w:i/>
          <w:sz w:val="23"/>
          <w:szCs w:val="23"/>
          <w:rtl/>
        </w:rPr>
        <w:t>این نتایج این سوال را بوجود که آیا سیاست‌های پولی تنها برای کنترل تورم تجویز می‌شود و یا برای تثبیت کوتاه‌مدت تولید نیز می‌بایست مورد استفاده قرار گیرد؟ توجیهی که اغلب جهت اعمال سیاست پولی برای کنترل تورم ارائه می‌شود این است که برای هر یک از متغیرهای هدف، یک ابزار سیاستی ضرورت دارد، و سطح عمومی قیمت در بلند</w:t>
      </w:r>
      <w:r w:rsidRPr="002614E7">
        <w:rPr>
          <w:rFonts w:hint="cs"/>
          <w:i/>
          <w:sz w:val="23"/>
          <w:szCs w:val="23"/>
          <w:rtl/>
        </w:rPr>
        <w:softHyphen/>
        <w:t xml:space="preserve">مدت را فقط می‌توان به وسیله سیاست پولی کنترل نمود. این برهان و استدلال به طور قوی صحیح نیست. برای دسترسی به </w:t>
      </w:r>
      <w:r w:rsidRPr="002614E7">
        <w:rPr>
          <w:i/>
          <w:sz w:val="23"/>
          <w:szCs w:val="23"/>
        </w:rPr>
        <w:t>n</w:t>
      </w:r>
      <w:r w:rsidRPr="002614E7">
        <w:rPr>
          <w:rFonts w:hint="cs"/>
          <w:i/>
          <w:sz w:val="23"/>
          <w:szCs w:val="23"/>
          <w:rtl/>
        </w:rPr>
        <w:t xml:space="preserve"> هدف مستقل، </w:t>
      </w:r>
      <w:r w:rsidRPr="002614E7">
        <w:rPr>
          <w:i/>
          <w:sz w:val="23"/>
          <w:szCs w:val="23"/>
        </w:rPr>
        <w:t>n</w:t>
      </w:r>
      <w:r w:rsidRPr="002614E7">
        <w:rPr>
          <w:rFonts w:hint="cs"/>
          <w:i/>
          <w:sz w:val="23"/>
          <w:szCs w:val="23"/>
          <w:rtl/>
        </w:rPr>
        <w:t xml:space="preserve"> ابزار سیاستی نیز لازم است و لذا برای دسترسی به هر یک از اهداف، یک ابزار سیاستی لازم است. برای دسترسی به </w:t>
      </w:r>
      <w:r w:rsidRPr="002614E7">
        <w:rPr>
          <w:i/>
          <w:sz w:val="23"/>
          <w:szCs w:val="23"/>
        </w:rPr>
        <w:t>n</w:t>
      </w:r>
      <w:r w:rsidRPr="002614E7">
        <w:rPr>
          <w:rFonts w:hint="cs"/>
          <w:i/>
          <w:sz w:val="23"/>
          <w:szCs w:val="23"/>
          <w:rtl/>
        </w:rPr>
        <w:t xml:space="preserve"> هدف می‌توان </w:t>
      </w:r>
      <w:r w:rsidRPr="002614E7">
        <w:rPr>
          <w:i/>
          <w:sz w:val="23"/>
          <w:szCs w:val="23"/>
        </w:rPr>
        <w:t>n</w:t>
      </w:r>
      <w:r w:rsidRPr="002614E7">
        <w:rPr>
          <w:rFonts w:hint="cs"/>
          <w:i/>
          <w:sz w:val="23"/>
          <w:szCs w:val="23"/>
          <w:rtl/>
        </w:rPr>
        <w:t xml:space="preserve"> ترکیب خطی از ابزارها را نیز به کار گرفت. در واقع این یک حل عمومی </w:t>
      </w:r>
      <w:r w:rsidRPr="002614E7">
        <w:rPr>
          <w:rFonts w:hint="cs"/>
          <w:i/>
          <w:sz w:val="23"/>
          <w:szCs w:val="23"/>
          <w:rtl/>
        </w:rPr>
        <w:lastRenderedPageBreak/>
        <w:t>مسئله</w:t>
      </w:r>
      <w:r w:rsidRPr="002614E7">
        <w:rPr>
          <w:rFonts w:hint="cs"/>
          <w:i/>
          <w:sz w:val="23"/>
          <w:szCs w:val="23"/>
          <w:rtl/>
        </w:rPr>
        <w:softHyphen/>
        <w:t>ی کنترل بهینه است. پیامد این عبارت آن است که سیاست پولی را نیز می‌توان برای تثبیت کوتاه</w:t>
      </w:r>
      <w:r w:rsidRPr="002614E7">
        <w:rPr>
          <w:rFonts w:hint="cs"/>
          <w:i/>
          <w:sz w:val="23"/>
          <w:szCs w:val="23"/>
          <w:rtl/>
        </w:rPr>
        <w:softHyphen/>
        <w:t xml:space="preserve">مدت تولید به کار گرفت. سؤالات اساسی دیگری نیز وجود دارد. چگونگی بکارگیری سیاست پولی برای حداکثر کردن رفاه اجتماعی از آن جمله است. </w:t>
      </w:r>
    </w:p>
    <w:p w14:paraId="3B3CC30D" w14:textId="77777777" w:rsidR="00556C10" w:rsidRPr="002614E7" w:rsidRDefault="00556C10" w:rsidP="00556C10">
      <w:pPr>
        <w:spacing w:line="216" w:lineRule="auto"/>
        <w:rPr>
          <w:i/>
          <w:sz w:val="23"/>
          <w:szCs w:val="23"/>
          <w:rtl/>
        </w:rPr>
      </w:pPr>
      <w:r w:rsidRPr="002614E7">
        <w:rPr>
          <w:rFonts w:hint="cs"/>
          <w:i/>
          <w:sz w:val="23"/>
          <w:szCs w:val="23"/>
          <w:rtl/>
        </w:rPr>
        <w:t>در مباحث مربوط به سیاست مالی، به رفاه اجتماعی توجه شد. تابع رفاه ضمنیِ توأم با سیاست پولی بهینه، با حداقل کردن انحراف تورم از تورم هدف‌گذاری شده و در افق زمانی مشخص که بدان هدف‌گذاری اکید تورم گویند همراه است. نوع دیگری از این هدف‌گذاری تورم، حداقل کردن متوسط وزنی انحرافات تورم و تولید است که آن</w:t>
      </w:r>
      <w:r w:rsidRPr="002614E7">
        <w:rPr>
          <w:rFonts w:hint="cs"/>
          <w:i/>
          <w:sz w:val="23"/>
          <w:szCs w:val="23"/>
          <w:rtl/>
        </w:rPr>
        <w:softHyphen/>
        <w:t xml:space="preserve">را هدف‌گذاری تورم انعطاف‌پذیر نامند. </w:t>
      </w:r>
    </w:p>
    <w:p w14:paraId="2513A24A" w14:textId="77777777" w:rsidR="00556C10" w:rsidRPr="002614E7" w:rsidRDefault="00556C10" w:rsidP="00556C10">
      <w:pPr>
        <w:spacing w:line="216" w:lineRule="auto"/>
        <w:rPr>
          <w:i/>
          <w:sz w:val="23"/>
          <w:szCs w:val="23"/>
          <w:rtl/>
        </w:rPr>
      </w:pPr>
      <w:r w:rsidRPr="002614E7">
        <w:rPr>
          <w:rFonts w:hint="cs"/>
          <w:i/>
          <w:sz w:val="23"/>
          <w:szCs w:val="23"/>
          <w:rtl/>
        </w:rPr>
        <w:t>سیاست پولی را می‌توان به روش‌های گوناگون و با بکارگیری ابزارهای سیاستی مختلف اجرا کرد. ابزارهای اصلی سیاست پولی عبارت است از کنترل نرخ رشد پول و یا عرضه‌ی پول، کنترل نرخ‌های بهره، و کنترل نرخ ارز اسمی که احتمالاً از طریق ثابت نگه داشتن نرخ ارز صورت می‌گیرد. انتخاب هر یک از این ابزارها به اثربخشی آن‌ها یعنی کنترل‌پذیری آن‌ها، دوام و پیش</w:t>
      </w:r>
      <w:r w:rsidRPr="002614E7">
        <w:rPr>
          <w:rFonts w:hint="cs"/>
          <w:i/>
          <w:sz w:val="23"/>
          <w:szCs w:val="23"/>
          <w:rtl/>
        </w:rPr>
        <w:softHyphen/>
        <w:t>بینی‌پذیری مکانیسم انتقال، افق زمانی و اثرات سرریز هر یک بر دیگر متغیرهای اقتصادی بستگی دارد.</w:t>
      </w:r>
    </w:p>
    <w:p w14:paraId="7D45BF2E" w14:textId="77777777" w:rsidR="00556C10" w:rsidRPr="002614E7" w:rsidRDefault="00556C10" w:rsidP="00556C10">
      <w:pPr>
        <w:spacing w:line="216" w:lineRule="auto"/>
        <w:rPr>
          <w:i/>
          <w:sz w:val="23"/>
          <w:szCs w:val="23"/>
          <w:rtl/>
        </w:rPr>
      </w:pPr>
      <w:r w:rsidRPr="002614E7">
        <w:rPr>
          <w:rFonts w:hint="cs"/>
          <w:i/>
          <w:sz w:val="23"/>
          <w:szCs w:val="23"/>
          <w:rtl/>
        </w:rPr>
        <w:t>موضوع دیگری که می</w:t>
      </w:r>
      <w:r w:rsidRPr="002614E7">
        <w:rPr>
          <w:rFonts w:hint="cs"/>
          <w:i/>
          <w:sz w:val="23"/>
          <w:szCs w:val="23"/>
          <w:rtl/>
        </w:rPr>
        <w:softHyphen/>
        <w:t>توان بدان اشاره کرد آن است که آیا سیاست پولی مبتنی بر قواعد است و یا صلاحدیدی است. تحت شرایط سیاست پولی مبتنی بر قواعد، متصدیان پولی متعهد به تعیین ابزارهای سیاستی و بکارگیری قواعد سیاستی بگونه</w:t>
      </w:r>
      <w:r w:rsidRPr="002614E7">
        <w:rPr>
          <w:rFonts w:hint="cs"/>
          <w:i/>
          <w:sz w:val="23"/>
          <w:szCs w:val="23"/>
          <w:rtl/>
        </w:rPr>
        <w:softHyphen/>
        <w:t>ای هستند که آن قواعد برای عموم شناخته شده، و ابزار سیاستی به وضعیت جاری و احتمالاً گذشته و یا آتی انتظاری شرایط اقتصاد وابسته باشد. قاعده‌ی تیلور مثال شناخته شده‌ای از یک قاعده‌ی نرخ بهره است که در آن نرخ بهره</w:t>
      </w:r>
      <w:r w:rsidRPr="002614E7">
        <w:rPr>
          <w:rFonts w:hint="cs"/>
          <w:i/>
          <w:sz w:val="23"/>
          <w:szCs w:val="23"/>
          <w:rtl/>
        </w:rPr>
        <w:softHyphen/>
        <w:t xml:space="preserve"> به انحرافات تورم از تورمِ هدف و شکاف تولید از تولیدِ هدف وابسته است. در شرایط سیاست پولی صلاحدیدی، نرخ بهره توسط متصدیان پولی اعلام می‌شود، و در عمل، این</w:t>
      </w:r>
      <w:r w:rsidRPr="002614E7">
        <w:rPr>
          <w:rFonts w:hint="cs"/>
          <w:i/>
          <w:sz w:val="23"/>
          <w:szCs w:val="23"/>
          <w:rtl/>
        </w:rPr>
        <w:softHyphen/>
        <w:t>که آیا متصدیان پولی ضابطه‌ای را به کار می‌گیرند یا خیر، ناشناخته است. ما به این نکته توجه می‌کنیم که کدام</w:t>
      </w:r>
      <w:r w:rsidRPr="002614E7">
        <w:rPr>
          <w:i/>
          <w:sz w:val="23"/>
          <w:szCs w:val="23"/>
          <w:rtl/>
        </w:rPr>
        <w:softHyphen/>
      </w:r>
      <w:r w:rsidRPr="002614E7">
        <w:rPr>
          <w:rFonts w:hint="cs"/>
          <w:i/>
          <w:sz w:val="23"/>
          <w:szCs w:val="23"/>
          <w:rtl/>
        </w:rPr>
        <w:t>یک از موارد سیاست پولی، یعنی سیاست پولی مبتنی بر ضابطه و قاعده و یا سیاست پولی صلاحدیدی مرجح می‌باشد.</w:t>
      </w:r>
    </w:p>
    <w:p w14:paraId="77C440CB" w14:textId="77777777" w:rsidR="00556C10" w:rsidRPr="002614E7" w:rsidRDefault="00556C10" w:rsidP="00556C10">
      <w:pPr>
        <w:spacing w:line="216" w:lineRule="auto"/>
        <w:rPr>
          <w:i/>
          <w:sz w:val="23"/>
          <w:szCs w:val="23"/>
          <w:rtl/>
        </w:rPr>
      </w:pPr>
      <w:r w:rsidRPr="002614E7">
        <w:rPr>
          <w:rFonts w:hint="cs"/>
          <w:i/>
          <w:sz w:val="23"/>
          <w:szCs w:val="23"/>
          <w:rtl/>
        </w:rPr>
        <w:t>انتخاب اهداف اسمی یعنی سطح عمومی قیمت و یا تورم مهم است. اگر هدف را رشد سطح قیمت با نرخی ثابت در نظر بگیریم، نرخ تورم ضمنی ثابت خواهد بود. اگرچه ممکن است به نظر رسد که هدف‌گذاری سطح قیمت و هدف‌گذاری تورم مشابه</w:t>
      </w:r>
      <w:r w:rsidRPr="002614E7">
        <w:rPr>
          <w:rFonts w:hint="cs"/>
          <w:i/>
          <w:sz w:val="23"/>
          <w:szCs w:val="23"/>
          <w:rtl/>
        </w:rPr>
        <w:softHyphen/>
        <w:t>اند، اما تفاوت مهمی بین آن دو وجود دارد. شوک موقتی بر تورم، شوک دائمی بر سطح قیمت‌ها است. تحت هدف‌گذاری تورم، یک شوک پولی موقتی ممکن است در سیاست پولی هضم شده و حتی نادیده گرفته شود، ولی تحت شرایط هدف‌گذاری سطح قیمت در جهت مخالف سیاست پولی قرار گیرد. در نتیجه، هدف‌گذاری سطح قیمت محتملاً مستلزم کاهش قیمت و متضمن کاهش تولید نسبت به هدف‌گذاری تورم است. البته انتخاب هدف‌گذاری تورم و یا سطح قیمت به تابع هدف سیاست</w:t>
      </w:r>
      <w:r w:rsidRPr="002614E7">
        <w:rPr>
          <w:rFonts w:hint="cs"/>
          <w:i/>
          <w:sz w:val="23"/>
          <w:szCs w:val="23"/>
          <w:rtl/>
        </w:rPr>
        <w:softHyphen/>
        <w:t>گذار اقتصادی وابسته خواهد بود. اگر اثرات حقیقی سیاست اقتصادی مطمح نظر باشد، آنگاه هدف‌گذاری تورم بر هدف‌گذاری سطح قیمت ترجیح خواهد داشت. در بخش اعظم این فصل فرض می‌کنیم که اثرات حقیقی سیاست اقتصادی مورد توجه سیاست</w:t>
      </w:r>
      <w:r w:rsidRPr="002614E7">
        <w:rPr>
          <w:rFonts w:hint="cs"/>
          <w:i/>
          <w:sz w:val="23"/>
          <w:szCs w:val="23"/>
          <w:rtl/>
        </w:rPr>
        <w:softHyphen/>
        <w:t xml:space="preserve">گذار اقتصادی است. </w:t>
      </w:r>
    </w:p>
    <w:p w14:paraId="3EF699F7" w14:textId="77777777" w:rsidR="00556C10" w:rsidRPr="002614E7" w:rsidRDefault="00556C10" w:rsidP="00556C10">
      <w:pPr>
        <w:spacing w:line="216" w:lineRule="auto"/>
        <w:rPr>
          <w:i/>
          <w:sz w:val="23"/>
          <w:szCs w:val="23"/>
          <w:rtl/>
        </w:rPr>
      </w:pPr>
      <w:r w:rsidRPr="002614E7">
        <w:rPr>
          <w:rFonts w:hint="cs"/>
          <w:i/>
          <w:sz w:val="23"/>
          <w:szCs w:val="23"/>
          <w:rtl/>
        </w:rPr>
        <w:lastRenderedPageBreak/>
        <w:t>ضمناً سیاست اقتصادی به شدت متأثر از انتخاب رژیم نرخ ارز ثابت و یا نرخ ارز شناور است. به همین دلیل در بررسی سیاست پولی می‌بایست اقتصاد باز را مورد توجه قرار دهیم. همان‌گونه که در فصل سیزدهم ملاحظه شد، گره زدن نرخ ارز به طلا در نظام استاندارد طلا، و یا گره زدن نرخ ارز به پول رایج دیگر کشورها، همانند دلار آمریکا در نظام برتن وودز دلالت می‌کند که در دوره‌ای طولانی</w:t>
      </w:r>
      <w:r w:rsidRPr="002614E7">
        <w:rPr>
          <w:rFonts w:hint="cs"/>
          <w:i/>
          <w:sz w:val="23"/>
          <w:szCs w:val="23"/>
          <w:rtl/>
        </w:rPr>
        <w:softHyphen/>
        <w:t>، نرخ داخلی تورم به قیمت طلا و یا نرخ تورم ایالات متحده گره بخورد. به عبارتی دیگر لنگر اسمی ایجاد خواهد شد. در این صورت هدف سیاست پولی، مدیریت پول رایج برای ابقا رژیم نرخ ارز خواهد بود. اصولاً، این نکته مستلزم آن است که سیاست پولی منفعل و یا انعطاف‌پذیر باشد، مگر آنکه عقیم</w:t>
      </w:r>
      <w:r w:rsidRPr="002614E7">
        <w:rPr>
          <w:rFonts w:hint="cs"/>
          <w:i/>
          <w:sz w:val="23"/>
          <w:szCs w:val="23"/>
          <w:rtl/>
        </w:rPr>
        <w:softHyphen/>
        <w:t>سازی تعمدی، برای مثال، کسری تراز پرداخت‌ها، به طور اتوماتیک انقباض در عرضه‌ی پول را به وجود آورد، که باعث جبران موازنه</w:t>
      </w:r>
      <w:r w:rsidRPr="002614E7">
        <w:rPr>
          <w:rFonts w:hint="cs"/>
          <w:i/>
          <w:sz w:val="23"/>
          <w:szCs w:val="23"/>
          <w:rtl/>
        </w:rPr>
        <w:softHyphen/>
        <w:t>ی حساب جاری از طریق کاهش سطح قیمت و بهبود رقابت‌پذیری ‌شود. اگر این اتفاق نیافتد دیر یا زود برابری نرخ ارز جهت تغییرات در رقابت‌پذیری، به دلیل سیاست پولی بیش از حد انبساطی و یا بیش از حد انقباضی تصحیح و تعدیل می</w:t>
      </w:r>
      <w:r w:rsidRPr="002614E7">
        <w:rPr>
          <w:rFonts w:hint="cs"/>
          <w:i/>
          <w:sz w:val="23"/>
          <w:szCs w:val="23"/>
          <w:rtl/>
        </w:rPr>
        <w:softHyphen/>
        <w:t>شود. موازنه‌ی حساب جاری همچنین می‌تواند از طریق سیاست مالی و پولی تحقق یابد. در این شرایط است که اقتصاددانان کینزین با تاکید بر سیاست‌های مالی شکوفا شده</w:t>
      </w:r>
      <w:r w:rsidRPr="002614E7">
        <w:rPr>
          <w:rFonts w:hint="cs"/>
          <w:i/>
          <w:sz w:val="23"/>
          <w:szCs w:val="23"/>
          <w:rtl/>
        </w:rPr>
        <w:softHyphen/>
        <w:t>اند.</w:t>
      </w:r>
    </w:p>
    <w:p w14:paraId="157D7A11" w14:textId="77777777" w:rsidR="00556C10" w:rsidRPr="002614E7" w:rsidRDefault="00556C10" w:rsidP="00556C10">
      <w:pPr>
        <w:spacing w:line="216" w:lineRule="auto"/>
        <w:rPr>
          <w:i/>
          <w:sz w:val="23"/>
          <w:szCs w:val="23"/>
          <w:rtl/>
        </w:rPr>
      </w:pPr>
      <w:r w:rsidRPr="002614E7">
        <w:rPr>
          <w:rFonts w:hint="cs"/>
          <w:i/>
          <w:sz w:val="23"/>
          <w:szCs w:val="23"/>
          <w:rtl/>
        </w:rPr>
        <w:t>مهمترین دلیل فروپاشی سیستم برتن وودز، نرخ تورم بالای ایالات متحده بود. تورم بالا علت زوال در رقابت‌پذیری ایالات متحده و سپس نرخ ارز شناور عمومی، و بنابراین خسارت و زیان در لنگر اسمی بود. در نتیجه کشورها کنترل پولی را به وسیله فرمول</w:t>
      </w:r>
      <w:r w:rsidRPr="002614E7">
        <w:rPr>
          <w:rFonts w:hint="cs"/>
          <w:i/>
          <w:sz w:val="23"/>
          <w:szCs w:val="23"/>
          <w:rtl/>
        </w:rPr>
        <w:softHyphen/>
        <w:t>بندی سیاست پولی خودشان بازسازی نمودند. در این زمان مکتب پول</w:t>
      </w:r>
      <w:r w:rsidRPr="002614E7">
        <w:rPr>
          <w:rFonts w:hint="cs"/>
          <w:i/>
          <w:sz w:val="23"/>
          <w:szCs w:val="23"/>
          <w:rtl/>
        </w:rPr>
        <w:softHyphen/>
        <w:t>گرایان مقبولیت پیدا کرد. سطح عمومی قیمت‌ها در بلندمدت به شدت به مقدار پول داخلی، و نرخ تورم در بلند‌مدت نیز به نرخ رشد عرضه‌ی پول وابسته شد. مکتب پول</w:t>
      </w:r>
      <w:r w:rsidRPr="002614E7">
        <w:rPr>
          <w:rFonts w:hint="cs"/>
          <w:i/>
          <w:sz w:val="23"/>
          <w:szCs w:val="23"/>
          <w:rtl/>
        </w:rPr>
        <w:softHyphen/>
        <w:t>گرایان به دنبال کنترل نرخ رشد عرضه‌ی پول برای دسترسی به نرخ تورم بلندمدت می‌باشند. یک کشور با نرخ ارز شناور ممکن است نرخ تورم خود را انتخاب کند. بر طبق برابری قدرت خرید نسبی، تغییر در رقابت‌پذیری به دلیل تفاوت در نرخ‌های تورم، اصولاً، و به طور اتوماتیک به واسطه</w:t>
      </w:r>
      <w:r w:rsidRPr="002614E7">
        <w:rPr>
          <w:rFonts w:hint="cs"/>
          <w:i/>
          <w:sz w:val="23"/>
          <w:szCs w:val="23"/>
          <w:rtl/>
        </w:rPr>
        <w:softHyphen/>
        <w:t>ی نرخ ارز شناور تصحیح می‌شود.</w:t>
      </w:r>
    </w:p>
    <w:p w14:paraId="09C08FC8" w14:textId="77777777" w:rsidR="00556C10" w:rsidRPr="002614E7" w:rsidRDefault="00556C10" w:rsidP="00556C10">
      <w:pPr>
        <w:spacing w:line="216" w:lineRule="auto"/>
        <w:rPr>
          <w:i/>
          <w:sz w:val="23"/>
          <w:szCs w:val="23"/>
          <w:rtl/>
        </w:rPr>
      </w:pPr>
      <w:r w:rsidRPr="002614E7">
        <w:rPr>
          <w:rFonts w:hint="cs"/>
          <w:i/>
          <w:sz w:val="23"/>
          <w:szCs w:val="23"/>
          <w:rtl/>
        </w:rPr>
        <w:t>در بسیاری از مطالعات تجربی نشان داده شده است که در کوتاه</w:t>
      </w:r>
      <w:r w:rsidRPr="002614E7">
        <w:rPr>
          <w:rFonts w:hint="cs"/>
          <w:i/>
          <w:sz w:val="23"/>
          <w:szCs w:val="23"/>
          <w:rtl/>
        </w:rPr>
        <w:softHyphen/>
        <w:t xml:space="preserve">مدت متغیرهای حقیقی همانند </w:t>
      </w:r>
      <w:r w:rsidRPr="002614E7">
        <w:rPr>
          <w:i/>
          <w:sz w:val="23"/>
          <w:szCs w:val="23"/>
        </w:rPr>
        <w:t>GDP</w:t>
      </w:r>
      <w:r w:rsidRPr="002614E7">
        <w:rPr>
          <w:rFonts w:hint="cs"/>
          <w:i/>
          <w:sz w:val="23"/>
          <w:szCs w:val="23"/>
          <w:rtl/>
        </w:rPr>
        <w:t xml:space="preserve"> حقیقی به شدت متأثر از شوک‌های پولی است. بر طبق مطالعات اولیه در بانک فدرال رزرو که به وسیله اندرسون و جوردن</w:t>
      </w:r>
      <w:r w:rsidRPr="002614E7">
        <w:rPr>
          <w:rStyle w:val="FootnoteReference"/>
          <w:i/>
          <w:sz w:val="23"/>
          <w:szCs w:val="23"/>
          <w:rtl/>
        </w:rPr>
        <w:footnoteReference w:id="326"/>
      </w:r>
      <w:r w:rsidRPr="002614E7">
        <w:rPr>
          <w:rFonts w:hint="cs"/>
          <w:i/>
          <w:sz w:val="23"/>
          <w:szCs w:val="23"/>
          <w:rtl/>
        </w:rPr>
        <w:t xml:space="preserve"> در سال ۱۹۶۸ انجام شده اهمیت سیاست پولی به مراتب بیشتر از سیاست مالی است. در سال ۱۹۶۸ فریدمن که پرچم</w:t>
      </w:r>
      <w:r w:rsidRPr="002614E7">
        <w:rPr>
          <w:rFonts w:hint="cs"/>
          <w:i/>
          <w:sz w:val="23"/>
          <w:szCs w:val="23"/>
          <w:rtl/>
        </w:rPr>
        <w:softHyphen/>
        <w:t>دار مکتب پول</w:t>
      </w:r>
      <w:r w:rsidRPr="002614E7">
        <w:rPr>
          <w:i/>
          <w:sz w:val="23"/>
          <w:szCs w:val="23"/>
        </w:rPr>
        <w:softHyphen/>
      </w:r>
      <w:r w:rsidRPr="002614E7">
        <w:rPr>
          <w:rFonts w:hint="cs"/>
          <w:i/>
          <w:sz w:val="23"/>
          <w:szCs w:val="23"/>
          <w:rtl/>
        </w:rPr>
        <w:t>گرایان است نشان داد که پول برای ‌مدت هیجده ماه به شدت تولید را تحت تاثیر قرار داده و چهل سال تحقیقات متعاقب آن، اهمیت شوک‌های پولی را مورد تایید قرار داده است.</w:t>
      </w:r>
      <w:r w:rsidRPr="002614E7">
        <w:rPr>
          <w:rStyle w:val="FootnoteReference"/>
          <w:i/>
          <w:sz w:val="23"/>
          <w:szCs w:val="23"/>
          <w:rtl/>
        </w:rPr>
        <w:footnoteReference w:id="327"/>
      </w:r>
      <w:r w:rsidRPr="002614E7">
        <w:rPr>
          <w:rFonts w:hint="cs"/>
          <w:i/>
          <w:sz w:val="23"/>
          <w:szCs w:val="23"/>
          <w:rtl/>
        </w:rPr>
        <w:t xml:space="preserve"> </w:t>
      </w:r>
    </w:p>
    <w:p w14:paraId="3B58A893" w14:textId="77777777" w:rsidR="00556C10" w:rsidRPr="002614E7" w:rsidRDefault="00556C10" w:rsidP="00556C10">
      <w:pPr>
        <w:spacing w:line="216" w:lineRule="auto"/>
        <w:rPr>
          <w:i/>
          <w:sz w:val="23"/>
          <w:szCs w:val="23"/>
          <w:rtl/>
        </w:rPr>
      </w:pPr>
      <w:r w:rsidRPr="002614E7">
        <w:rPr>
          <w:rFonts w:hint="cs"/>
          <w:i/>
          <w:sz w:val="23"/>
          <w:szCs w:val="23"/>
          <w:rtl/>
        </w:rPr>
        <w:t>نتایج سیاست پولی به سیستم بانکداری و کنترل پول کشورها وابسته است. سیاست پولی در برخی کشورها همانند آلمان موفق، ولی در کشور انگلستان جهت دسترسی به نرخ رشد عرضه‌ی پولِ مطلوب شکست خورده است.</w:t>
      </w:r>
    </w:p>
    <w:p w14:paraId="5347DCBA" w14:textId="77777777" w:rsidR="00556C10" w:rsidRPr="002614E7" w:rsidRDefault="00556C10" w:rsidP="00556C10">
      <w:pPr>
        <w:spacing w:line="216" w:lineRule="auto"/>
        <w:rPr>
          <w:i/>
          <w:sz w:val="23"/>
          <w:szCs w:val="23"/>
          <w:rtl/>
        </w:rPr>
      </w:pPr>
      <w:r w:rsidRPr="002614E7">
        <w:rPr>
          <w:rFonts w:hint="cs"/>
          <w:i/>
          <w:sz w:val="23"/>
          <w:szCs w:val="23"/>
          <w:rtl/>
        </w:rPr>
        <w:lastRenderedPageBreak/>
        <w:t>موضوع دیگر انتخاب نوع معیار پول برای کنترل است. در بسیاری از کشورهای موفق تعریف محدود پول</w:t>
      </w:r>
    </w:p>
    <w:p w14:paraId="06EBB6CC" w14:textId="77777777" w:rsidR="00556C10" w:rsidRPr="002614E7" w:rsidRDefault="00556C10" w:rsidP="00556C10">
      <w:pPr>
        <w:spacing w:line="216" w:lineRule="auto"/>
        <w:rPr>
          <w:i/>
          <w:sz w:val="23"/>
          <w:szCs w:val="23"/>
          <w:rtl/>
        </w:rPr>
      </w:pPr>
      <w:r w:rsidRPr="002614E7">
        <w:rPr>
          <w:rFonts w:hint="cs"/>
          <w:i/>
          <w:sz w:val="23"/>
          <w:szCs w:val="23"/>
          <w:rtl/>
        </w:rPr>
        <w:t xml:space="preserve"> با وابستگی ارتباط آن به تقاضای معاملاتی پول، و در کشورهای دیگر معیار گسترده</w:t>
      </w:r>
      <w:r w:rsidRPr="002614E7">
        <w:rPr>
          <w:rFonts w:hint="cs"/>
          <w:i/>
          <w:sz w:val="23"/>
          <w:szCs w:val="23"/>
          <w:rtl/>
        </w:rPr>
        <w:softHyphen/>
        <w:t>تری از پول که پس</w:t>
      </w:r>
      <w:r w:rsidRPr="002614E7">
        <w:rPr>
          <w:rFonts w:hint="cs"/>
          <w:i/>
          <w:sz w:val="23"/>
          <w:szCs w:val="23"/>
          <w:rtl/>
        </w:rPr>
        <w:softHyphen/>
        <w:t>اندازها را نیز در برمی گیرد انتخاب شده است. مشکل آنجاست که به خاطر میل به پس</w:t>
      </w:r>
      <w:r w:rsidRPr="002614E7">
        <w:rPr>
          <w:rFonts w:hint="cs"/>
          <w:i/>
          <w:sz w:val="23"/>
          <w:szCs w:val="23"/>
          <w:rtl/>
        </w:rPr>
        <w:softHyphen/>
        <w:t>انداز بیشتر در شکل سپرده‌ی‌ مدت</w:t>
      </w:r>
      <w:r w:rsidRPr="002614E7">
        <w:rPr>
          <w:rFonts w:hint="cs"/>
          <w:i/>
          <w:sz w:val="23"/>
          <w:szCs w:val="23"/>
          <w:rtl/>
        </w:rPr>
        <w:softHyphen/>
        <w:t xml:space="preserve">دار، سیاست پولی انقباضی از طریق افزایش نرخ بهره منجر به افزایش، و نه کاهش مقدار پول در دسترس خواهد شد. افزایش حجم پول ممکن است منجر به کاهش مخارج و نه افزایش آن، و سپس تورم شود. </w:t>
      </w:r>
    </w:p>
    <w:p w14:paraId="1BD060D1" w14:textId="77777777" w:rsidR="00556C10" w:rsidRPr="002614E7" w:rsidRDefault="00556C10" w:rsidP="00556C10">
      <w:pPr>
        <w:spacing w:line="216" w:lineRule="auto"/>
        <w:rPr>
          <w:i/>
          <w:sz w:val="23"/>
          <w:szCs w:val="23"/>
          <w:rtl/>
        </w:rPr>
      </w:pPr>
      <w:r w:rsidRPr="002614E7">
        <w:rPr>
          <w:rFonts w:hint="cs"/>
          <w:i/>
          <w:sz w:val="23"/>
          <w:szCs w:val="23"/>
          <w:rtl/>
        </w:rPr>
        <w:t>همان</w:t>
      </w:r>
      <w:r w:rsidRPr="002614E7">
        <w:rPr>
          <w:rFonts w:hint="cs"/>
          <w:i/>
          <w:sz w:val="23"/>
          <w:szCs w:val="23"/>
          <w:rtl/>
        </w:rPr>
        <w:softHyphen/>
        <w:t xml:space="preserve">گونه که در کشور آلمان سیاست پولی موفقیت آمیز بود، بسیاری از کشورهای شریک تجاری آلمان در قاره‌ی اروپا تصمیم گرفتند که پول رایج خود را با مارک آلمان تثبیت کنند و این سیاست باعث ‌شود که لنگر اسمی، نرخ تورم آلمان شود. در واقع، برتن وودز جدیدی بر مبنای مارک آلمان ایجاد شد که بدان مکانیزم نرخ ارز اروپایی </w:t>
      </w:r>
      <w:r w:rsidRPr="002614E7">
        <w:rPr>
          <w:i/>
          <w:sz w:val="23"/>
          <w:szCs w:val="23"/>
        </w:rPr>
        <w:t>ERM</w:t>
      </w:r>
      <w:r w:rsidRPr="002614E7">
        <w:rPr>
          <w:rFonts w:hint="cs"/>
          <w:i/>
          <w:sz w:val="23"/>
          <w:szCs w:val="23"/>
          <w:rtl/>
        </w:rPr>
        <w:t xml:space="preserve"> </w:t>
      </w:r>
      <w:r w:rsidRPr="002614E7">
        <w:rPr>
          <w:rStyle w:val="FootnoteReference"/>
          <w:i/>
          <w:sz w:val="23"/>
          <w:szCs w:val="23"/>
          <w:rtl/>
        </w:rPr>
        <w:footnoteReference w:id="328"/>
      </w:r>
      <w:r w:rsidRPr="002614E7">
        <w:rPr>
          <w:rFonts w:hint="cs"/>
          <w:i/>
          <w:sz w:val="23"/>
          <w:szCs w:val="23"/>
          <w:rtl/>
        </w:rPr>
        <w:t xml:space="preserve"> ‌گویند.</w:t>
      </w:r>
    </w:p>
    <w:p w14:paraId="241EE7F3" w14:textId="77777777" w:rsidR="00556C10" w:rsidRPr="002614E7" w:rsidRDefault="00556C10" w:rsidP="00556C10">
      <w:pPr>
        <w:spacing w:line="216" w:lineRule="auto"/>
        <w:rPr>
          <w:i/>
          <w:sz w:val="23"/>
          <w:szCs w:val="23"/>
          <w:rtl/>
        </w:rPr>
      </w:pPr>
      <w:r w:rsidRPr="002614E7">
        <w:rPr>
          <w:rFonts w:hint="cs"/>
          <w:i/>
          <w:sz w:val="23"/>
          <w:szCs w:val="23"/>
          <w:rtl/>
        </w:rPr>
        <w:t>همان‌گونه که در فصل سیزدهم توضیح داده شد، یکی از موارد پیچیده زمانی بود که سیستم برتن وودز با کنترل جریان سرمایه‌ی بین</w:t>
      </w:r>
      <w:r w:rsidRPr="002614E7">
        <w:rPr>
          <w:rFonts w:hint="cs"/>
          <w:i/>
          <w:sz w:val="23"/>
          <w:szCs w:val="23"/>
          <w:rtl/>
        </w:rPr>
        <w:softHyphen/>
        <w:t xml:space="preserve">المللی اداره می‌شد. فروپاشی این سیستم، و افزایش اعتماد و اطمینان به مقادیر و قیمت‌های تعیین شده در بازار، با برداشتن گسترده‌ی کنترل سرمایه همراه شد. سپس تعیین نرخ ارز، به جای حساب جاری، با حساب سرمایه‌ی ترازپرداخت‌ها همراه شد. این مسائل باعث تغییر و تعدیل مکانیسم انتقال سیاست پولی و اثر آن بر نرخ ارز شده، و در نتیجه ارتباط بین رشد پول، رقابت‌پذیری و نرخ ارز به شدت تضعیف شد. در عوض تفاوت در بهره‌ی کشورها بواسطه‌ی سیاست پولی، علت اصلی تحرک سرمایه بود که بر تعیین نرخ ارز فایق شد. </w:t>
      </w:r>
    </w:p>
    <w:p w14:paraId="50B52DB1" w14:textId="77777777" w:rsidR="00556C10" w:rsidRPr="002614E7" w:rsidRDefault="00556C10" w:rsidP="00556C10">
      <w:pPr>
        <w:spacing w:line="216" w:lineRule="auto"/>
        <w:rPr>
          <w:i/>
          <w:sz w:val="23"/>
          <w:szCs w:val="23"/>
          <w:rtl/>
        </w:rPr>
      </w:pPr>
      <w:r w:rsidRPr="002614E7">
        <w:rPr>
          <w:rFonts w:hint="cs"/>
          <w:i/>
          <w:sz w:val="23"/>
          <w:szCs w:val="23"/>
          <w:rtl/>
        </w:rPr>
        <w:t>اگر عرضه</w:t>
      </w:r>
      <w:r w:rsidRPr="002614E7">
        <w:rPr>
          <w:rFonts w:hint="cs"/>
          <w:i/>
          <w:sz w:val="23"/>
          <w:szCs w:val="23"/>
          <w:rtl/>
        </w:rPr>
        <w:softHyphen/>
        <w:t>ی پول برون</w:t>
      </w:r>
      <w:r w:rsidRPr="002614E7">
        <w:rPr>
          <w:rFonts w:hint="cs"/>
          <w:i/>
          <w:sz w:val="23"/>
          <w:szCs w:val="23"/>
          <w:rtl/>
        </w:rPr>
        <w:softHyphen/>
        <w:t>زا باشد، آنگاه از طریق بازار پول نرخ بهره درون</w:t>
      </w:r>
      <w:r w:rsidRPr="002614E7">
        <w:rPr>
          <w:rFonts w:hint="cs"/>
          <w:i/>
          <w:sz w:val="23"/>
          <w:szCs w:val="23"/>
          <w:rtl/>
        </w:rPr>
        <w:softHyphen/>
        <w:t>زا خواهد شد. با افزایش تغییرات نرخ بهره، تغییرات نرخ ارز نیز بیشتر شده و در نتیجه اقتصاد حقیقی بی</w:t>
      </w:r>
      <w:r w:rsidRPr="002614E7">
        <w:rPr>
          <w:rFonts w:hint="cs"/>
          <w:i/>
          <w:sz w:val="23"/>
          <w:szCs w:val="23"/>
          <w:rtl/>
        </w:rPr>
        <w:softHyphen/>
        <w:t xml:space="preserve">ثبات خواهد شد. این نتایج به طور واضح در اقتصاد ایالات متحده و در سال‌های ۱۹۸۱-۱۹۷۹ مشاهده ‌شده است. </w:t>
      </w:r>
    </w:p>
    <w:p w14:paraId="51A6C607" w14:textId="77777777" w:rsidR="00556C10" w:rsidRPr="002614E7" w:rsidRDefault="00556C10" w:rsidP="00556C10">
      <w:pPr>
        <w:spacing w:line="216" w:lineRule="auto"/>
        <w:rPr>
          <w:i/>
          <w:sz w:val="23"/>
          <w:szCs w:val="23"/>
          <w:rtl/>
        </w:rPr>
      </w:pPr>
      <w:r w:rsidRPr="002614E7">
        <w:rPr>
          <w:rFonts w:hint="cs"/>
          <w:i/>
          <w:sz w:val="23"/>
          <w:szCs w:val="23"/>
          <w:rtl/>
        </w:rPr>
        <w:t>در عمل، کلید ابزار سیاست پولی نرخ بهره‌ی رسمی است. نرخی که معمولاً بانک مرکزی تمایل به وام کوتاه‌مدت- عمدتاً به بانک‌های تجاری- به وسیله</w:t>
      </w:r>
      <w:r w:rsidRPr="002614E7">
        <w:rPr>
          <w:rFonts w:hint="cs"/>
          <w:i/>
          <w:sz w:val="23"/>
          <w:szCs w:val="23"/>
          <w:rtl/>
        </w:rPr>
        <w:softHyphen/>
        <w:t>ی اسناد و اوراق تخفیف</w:t>
      </w:r>
      <w:r w:rsidRPr="002614E7">
        <w:rPr>
          <w:rFonts w:hint="cs"/>
          <w:i/>
          <w:sz w:val="23"/>
          <w:szCs w:val="23"/>
          <w:rtl/>
        </w:rPr>
        <w:softHyphen/>
        <w:t xml:space="preserve">دار دارد. در مکتب پولی، نرخ بهره به گونه‌ای تنظیم می‌شود که هدف عرضه‌ی پول تحصیل شود. هر چند نرخ رشد عرضه‌ی پول فقط یک هدف میانی است، ولی هدف نهایی سیاست پولی، نرخ تورم و شاید در کوتاه‌مدت، تولید باشد. با توجه به این مشکلات بسیاری از کشورها هدف عرضه‌ی پول را دنبال نمودند. </w:t>
      </w:r>
    </w:p>
    <w:p w14:paraId="0607D583" w14:textId="77777777" w:rsidR="00556C10" w:rsidRPr="002614E7" w:rsidRDefault="00556C10" w:rsidP="00556C10">
      <w:pPr>
        <w:spacing w:line="216" w:lineRule="auto"/>
        <w:rPr>
          <w:i/>
          <w:sz w:val="23"/>
          <w:szCs w:val="23"/>
          <w:rtl/>
        </w:rPr>
      </w:pPr>
      <w:r w:rsidRPr="002614E7">
        <w:rPr>
          <w:rFonts w:hint="cs"/>
          <w:i/>
          <w:sz w:val="23"/>
          <w:szCs w:val="23"/>
          <w:rtl/>
        </w:rPr>
        <w:t>هدف</w:t>
      </w:r>
      <w:r w:rsidRPr="002614E7">
        <w:rPr>
          <w:rFonts w:hint="cs"/>
          <w:i/>
          <w:sz w:val="23"/>
          <w:szCs w:val="23"/>
          <w:rtl/>
        </w:rPr>
        <w:softHyphen/>
        <w:t>گذاری تورم از دیگر راه‌های هدایت سیاست پولی است. هدف‌گذاری تورم ابتدا در دهه</w:t>
      </w:r>
      <w:r w:rsidRPr="002614E7">
        <w:rPr>
          <w:rFonts w:hint="cs"/>
          <w:i/>
          <w:sz w:val="23"/>
          <w:szCs w:val="23"/>
          <w:rtl/>
        </w:rPr>
        <w:softHyphen/>
        <w:t>ی۱۹۹۰ مورد استقبال قرار گرفت. کشور نیوزلند با اقتصادی کوچک و باز یکی از کشورهای مروج این سیاست اقتصادی بود و متعاقب آن کشورهای سوئد و انگلستان با اقتصادی تقریباً بزرگتر این سیاست را دنبال کردند. در این جا هدف سیاست</w:t>
      </w:r>
      <w:r w:rsidRPr="002614E7">
        <w:rPr>
          <w:rFonts w:hint="cs"/>
          <w:i/>
          <w:sz w:val="23"/>
          <w:szCs w:val="23"/>
          <w:rtl/>
        </w:rPr>
        <w:softHyphen/>
        <w:t>گذار تعیین نرخ‌های بهره به</w:t>
      </w:r>
      <w:r w:rsidRPr="002614E7">
        <w:rPr>
          <w:rFonts w:hint="cs"/>
          <w:i/>
          <w:sz w:val="23"/>
          <w:szCs w:val="23"/>
          <w:rtl/>
        </w:rPr>
        <w:softHyphen/>
        <w:t>گونه‌ای است که نرخ تورم هدف‌گذاری شده به دست آید. این سه کشور، اقتصادی کاملاً باز و نوسانات زیاد در نرخ‌های ارز خود داشتند. به</w:t>
      </w:r>
      <w:r w:rsidRPr="002614E7">
        <w:rPr>
          <w:rFonts w:hint="cs"/>
          <w:i/>
          <w:sz w:val="23"/>
          <w:szCs w:val="23"/>
          <w:rtl/>
        </w:rPr>
        <w:softHyphen/>
        <w:t xml:space="preserve">طور مطلوب و خوش آیند سیاست پولی در این کشورها نه تنها لنگر و وسیله ثبات اسمی موثری </w:t>
      </w:r>
      <w:r w:rsidRPr="002614E7">
        <w:rPr>
          <w:rFonts w:hint="cs"/>
          <w:i/>
          <w:sz w:val="23"/>
          <w:szCs w:val="23"/>
          <w:rtl/>
        </w:rPr>
        <w:lastRenderedPageBreak/>
        <w:t>را به وجود آورد، بلکه از افزایش نوسانات نرخ ارز اجتناب و پرهیز شده، و لذا تغییرات نرخ بهره هموارتر شد.</w:t>
      </w:r>
    </w:p>
    <w:p w14:paraId="7596A355" w14:textId="77777777" w:rsidR="00556C10" w:rsidRPr="002614E7" w:rsidRDefault="00556C10" w:rsidP="00556C10">
      <w:pPr>
        <w:spacing w:line="216" w:lineRule="auto"/>
        <w:rPr>
          <w:i/>
          <w:sz w:val="23"/>
          <w:szCs w:val="23"/>
          <w:rtl/>
        </w:rPr>
      </w:pPr>
      <w:r w:rsidRPr="002614E7">
        <w:rPr>
          <w:rFonts w:hint="cs"/>
          <w:i/>
          <w:sz w:val="23"/>
          <w:szCs w:val="23"/>
          <w:rtl/>
        </w:rPr>
        <w:t>اگر نرخ بهره برون</w:t>
      </w:r>
      <w:r w:rsidRPr="002614E7">
        <w:rPr>
          <w:rFonts w:hint="cs"/>
          <w:i/>
          <w:sz w:val="23"/>
          <w:szCs w:val="23"/>
          <w:rtl/>
        </w:rPr>
        <w:softHyphen/>
        <w:t>زا باشد، آنگاه عرضه‌ی پول درون</w:t>
      </w:r>
      <w:r w:rsidRPr="002614E7">
        <w:rPr>
          <w:rFonts w:hint="cs"/>
          <w:i/>
          <w:sz w:val="23"/>
          <w:szCs w:val="23"/>
          <w:rtl/>
        </w:rPr>
        <w:softHyphen/>
        <w:t>زا خواهد بود و شوک‌های تقاضای پول را جذب می‌کند. با این حال آراء مختلفی در خصوص معنی</w:t>
      </w:r>
      <w:r w:rsidRPr="002614E7">
        <w:rPr>
          <w:rFonts w:hint="cs"/>
          <w:i/>
          <w:sz w:val="23"/>
          <w:szCs w:val="23"/>
          <w:rtl/>
        </w:rPr>
        <w:softHyphen/>
        <w:t>داری عرضه‌ی پول تحت شرایط هدف‌گذاری تورم بین بانک مرکزی اروپا</w:t>
      </w:r>
      <w:r w:rsidRPr="002614E7">
        <w:rPr>
          <w:rStyle w:val="FootnoteReference"/>
          <w:i/>
          <w:sz w:val="23"/>
          <w:szCs w:val="23"/>
          <w:rtl/>
        </w:rPr>
        <w:footnoteReference w:id="329"/>
      </w:r>
      <w:r w:rsidRPr="002614E7">
        <w:rPr>
          <w:rFonts w:hint="cs"/>
          <w:i/>
          <w:sz w:val="23"/>
          <w:szCs w:val="23"/>
          <w:rtl/>
        </w:rPr>
        <w:t xml:space="preserve"> (</w:t>
      </w:r>
      <w:r w:rsidRPr="002614E7">
        <w:rPr>
          <w:i/>
          <w:sz w:val="23"/>
          <w:szCs w:val="23"/>
        </w:rPr>
        <w:t>ECB</w:t>
      </w:r>
      <w:r w:rsidRPr="002614E7">
        <w:rPr>
          <w:rFonts w:hint="cs"/>
          <w:i/>
          <w:sz w:val="23"/>
          <w:szCs w:val="23"/>
          <w:rtl/>
        </w:rPr>
        <w:t>) از یک طرف، و بانک‌های مرکزی دیگر کشورها نظیر فدرال رزرو آمریکا، بانک انگلستان، و همچنین ریکس بانک سوئد از طرف دیگر به وجود آمد. به نظر می‌رسید بانک مرکزی اروپا در میان دیگر بانک‌های مرکزی در خصوص اهمیت نرخ رشد عرضه‌ی پول تنهاست. این بانک عرضه‌ی پول را به‌عنوان رکن دوم سیاست پولی خود تلقی نموده و معتقد است که هنوز قدرت خرید را، یا به خاطر اینکه عرضه‌ی پول نشان</w:t>
      </w:r>
      <w:r w:rsidRPr="002614E7">
        <w:rPr>
          <w:rFonts w:hint="cs"/>
          <w:i/>
          <w:sz w:val="23"/>
          <w:szCs w:val="23"/>
          <w:rtl/>
        </w:rPr>
        <w:softHyphen/>
        <w:t>دهنده</w:t>
      </w:r>
      <w:r w:rsidRPr="002614E7">
        <w:rPr>
          <w:rFonts w:hint="cs"/>
          <w:i/>
          <w:sz w:val="23"/>
          <w:szCs w:val="23"/>
          <w:rtl/>
        </w:rPr>
        <w:softHyphen/>
        <w:t>ی پس</w:t>
      </w:r>
      <w:r w:rsidRPr="002614E7">
        <w:rPr>
          <w:rFonts w:hint="cs"/>
          <w:i/>
          <w:sz w:val="23"/>
          <w:szCs w:val="23"/>
          <w:rtl/>
        </w:rPr>
        <w:softHyphen/>
        <w:t>انداز نقدی است و یا به خاطر اینکه عرضه</w:t>
      </w:r>
      <w:r w:rsidRPr="002614E7">
        <w:rPr>
          <w:rFonts w:hint="cs"/>
          <w:i/>
          <w:sz w:val="23"/>
          <w:szCs w:val="23"/>
          <w:rtl/>
        </w:rPr>
        <w:softHyphen/>
        <w:t>ی پول اعتبار تمدید شده است، علامت می‌دهد. در بازار سرمایه‌ی کامل، پول تنها یکی از انواع دارایی‌های ثروت است و از آنجا که در نظریه سیکل زندگی مصرف به کل ثروت مرتبط است، به نظر می‌رسد که دلائل کمی وجود دارد که در یک بازار سرمایه‌ی کامل، پول را از دیگر اشکال نگهداری ثروت جدا نمود. برای مثال در انگلستان با حذف مقرراتِ بازارهای سرمایه، خانوارها به شدت وام وثیقه</w:t>
      </w:r>
      <w:r w:rsidRPr="002614E7">
        <w:rPr>
          <w:i/>
          <w:sz w:val="23"/>
          <w:szCs w:val="23"/>
          <w:rtl/>
        </w:rPr>
        <w:softHyphen/>
      </w:r>
      <w:r w:rsidRPr="002614E7">
        <w:rPr>
          <w:rFonts w:hint="cs"/>
          <w:i/>
          <w:sz w:val="23"/>
          <w:szCs w:val="23"/>
          <w:rtl/>
        </w:rPr>
        <w:t>ای مسکن خود را افزایش دادند.</w:t>
      </w:r>
    </w:p>
    <w:p w14:paraId="2F04DC2E" w14:textId="77777777" w:rsidR="00556C10" w:rsidRPr="002614E7" w:rsidRDefault="00556C10" w:rsidP="00556C10">
      <w:pPr>
        <w:spacing w:line="216" w:lineRule="auto"/>
        <w:rPr>
          <w:i/>
          <w:sz w:val="23"/>
          <w:szCs w:val="23"/>
          <w:rtl/>
        </w:rPr>
      </w:pPr>
      <w:r w:rsidRPr="002614E7">
        <w:rPr>
          <w:rFonts w:hint="cs"/>
          <w:i/>
          <w:sz w:val="23"/>
          <w:szCs w:val="23"/>
          <w:rtl/>
        </w:rPr>
        <w:t>در این فصل به</w:t>
      </w:r>
      <w:r w:rsidRPr="002614E7">
        <w:rPr>
          <w:rFonts w:hint="cs"/>
          <w:i/>
          <w:sz w:val="23"/>
          <w:szCs w:val="23"/>
          <w:rtl/>
        </w:rPr>
        <w:softHyphen/>
        <w:t>طور مختصر سیاست‌های پولی همراه با هدف‌گذاری تورم را مورد بررسی قرار می‌دهیم. تجزیه و تحلیل هدف‌گذاری تورم معمولاً با بکارگیری مدل مبنا و ساده شده‌ای از تعادل عمومی پویا که شامل فقط دو معادله‌ی قیمت و تولید است همراه است و آن را مدل کینزین جدید نامند. همانند مدل کینزین، معادله‌ی قیمت، رابطه‌ی بین تورم و تولید را در برمی</w:t>
      </w:r>
      <w:r w:rsidRPr="002614E7">
        <w:rPr>
          <w:rFonts w:hint="cs"/>
          <w:i/>
          <w:sz w:val="23"/>
          <w:szCs w:val="23"/>
          <w:rtl/>
        </w:rPr>
        <w:softHyphen/>
        <w:t>گیرد، ولی با این تفاوت که معادله‌ی بین تورم و تولید، موقتی است و نه دائمی. در مدل استاندارد کینزین جدید فرض می‌شود که اقتصاد بسته است. بنابراین با اصلاح و رفع نقص آن، مدل اقتصادی برای اقتصادی باز و با نرخ ارز انعطاف‌پذیر بهبود می</w:t>
      </w:r>
      <w:r w:rsidRPr="002614E7">
        <w:rPr>
          <w:rFonts w:hint="cs"/>
          <w:i/>
          <w:sz w:val="23"/>
          <w:szCs w:val="23"/>
          <w:rtl/>
        </w:rPr>
        <w:softHyphen/>
        <w:t>یابد.</w:t>
      </w:r>
    </w:p>
    <w:p w14:paraId="687FA48E" w14:textId="77777777" w:rsidR="00556C10" w:rsidRPr="002614E7" w:rsidRDefault="00556C10" w:rsidP="00556C10">
      <w:pPr>
        <w:spacing w:before="240" w:line="216" w:lineRule="auto"/>
        <w:rPr>
          <w:i/>
          <w:sz w:val="23"/>
          <w:szCs w:val="23"/>
          <w:rtl/>
        </w:rPr>
      </w:pPr>
      <w:r w:rsidRPr="002614E7">
        <w:rPr>
          <w:rFonts w:hint="cs"/>
          <w:i/>
          <w:sz w:val="23"/>
          <w:szCs w:val="23"/>
          <w:rtl/>
        </w:rPr>
        <w:t>مباحث این فصل را با نقش معادله‌ی فیشر در تعیین تورم، و بکارگیری آن جهت بررسی هدف‌گذاری سطح قیمت در مقابل هدف‌گذاری تورم آغاز کرده و سپس اثربخشی سیاست پولی را در مدل‌های کینزین و کینزین جدید، و برای اقتصاد بسته و باز، و با نرخ ارز انعطاف‌پذیر بررسی، و سیاست صلاحدیدی را با سیاست همراه با ضابطه و قاعده مقایسه خواهیم کرد. سپس چگونگی فرمول</w:t>
      </w:r>
      <w:r w:rsidRPr="002614E7">
        <w:rPr>
          <w:rFonts w:hint="cs"/>
          <w:i/>
          <w:sz w:val="23"/>
          <w:szCs w:val="23"/>
          <w:rtl/>
        </w:rPr>
        <w:softHyphen/>
        <w:t>بندی یک سیاست پولی بهینه را بر مبنای مدل کینزین جدید مورد بررسی قرار داده و نهایتاً هدف‌گذاری تورم در حوزه</w:t>
      </w:r>
      <w:r w:rsidRPr="002614E7">
        <w:rPr>
          <w:i/>
          <w:sz w:val="23"/>
          <w:szCs w:val="23"/>
          <w:rtl/>
        </w:rPr>
        <w:softHyphen/>
      </w:r>
      <w:r w:rsidRPr="002614E7">
        <w:rPr>
          <w:rFonts w:hint="cs"/>
          <w:i/>
          <w:sz w:val="23"/>
          <w:szCs w:val="23"/>
          <w:rtl/>
        </w:rPr>
        <w:t>ی یورو را که در آن کشورهای زیادی با پول رایج منفرد وجود دارد بررسی خواهیم کرد.</w:t>
      </w:r>
    </w:p>
    <w:p w14:paraId="03D8BF3F" w14:textId="77777777" w:rsidR="00556C10" w:rsidRPr="002614E7" w:rsidRDefault="00556C10" w:rsidP="00556C10">
      <w:pPr>
        <w:spacing w:line="216" w:lineRule="auto"/>
        <w:rPr>
          <w:i/>
          <w:sz w:val="23"/>
          <w:szCs w:val="23"/>
          <w:rtl/>
        </w:rPr>
      </w:pPr>
    </w:p>
    <w:p w14:paraId="2D2D7754" w14:textId="77777777" w:rsidR="00556C10" w:rsidRPr="002614E7" w:rsidRDefault="00556C10" w:rsidP="00556C10">
      <w:pPr>
        <w:pStyle w:val="Heading1"/>
        <w:spacing w:before="0" w:line="216" w:lineRule="auto"/>
        <w:rPr>
          <w:rFonts w:ascii="Times New Roman" w:hAnsi="Times New Roman" w:cs="B Nazanin"/>
          <w:b w:val="0"/>
          <w:i/>
          <w:sz w:val="23"/>
          <w:szCs w:val="23"/>
        </w:rPr>
      </w:pPr>
      <w:r w:rsidRPr="002614E7">
        <w:rPr>
          <w:rFonts w:ascii="Times New Roman" w:hAnsi="Times New Roman" w:cs="B Nazanin" w:hint="cs"/>
          <w:b w:val="0"/>
          <w:i/>
          <w:sz w:val="23"/>
          <w:szCs w:val="23"/>
          <w:rtl/>
        </w:rPr>
        <w:lastRenderedPageBreak/>
        <w:t>۱۴. ۲ تورم و معادله‌ی فبشر</w:t>
      </w:r>
    </w:p>
    <w:p w14:paraId="4447A822" w14:textId="77777777" w:rsidR="00556C10" w:rsidRPr="002614E7" w:rsidRDefault="00556C10" w:rsidP="00556C10">
      <w:pPr>
        <w:spacing w:line="216" w:lineRule="auto"/>
        <w:rPr>
          <w:i/>
          <w:sz w:val="23"/>
          <w:szCs w:val="23"/>
          <w:rtl/>
        </w:rPr>
      </w:pPr>
      <w:r w:rsidRPr="002614E7">
        <w:rPr>
          <w:rFonts w:hint="cs"/>
          <w:i/>
          <w:sz w:val="23"/>
          <w:szCs w:val="23"/>
          <w:rtl/>
        </w:rPr>
        <w:t>معادله‌ی فیشر یکی از مهم</w:t>
      </w:r>
      <w:r w:rsidRPr="002614E7">
        <w:rPr>
          <w:rFonts w:hint="cs"/>
          <w:i/>
          <w:sz w:val="23"/>
          <w:szCs w:val="23"/>
          <w:rtl/>
        </w:rPr>
        <w:softHyphen/>
        <w:t>ترین و اساسی</w:t>
      </w:r>
      <w:r w:rsidRPr="002614E7">
        <w:rPr>
          <w:rFonts w:hint="cs"/>
          <w:i/>
          <w:sz w:val="23"/>
          <w:szCs w:val="23"/>
          <w:rtl/>
        </w:rPr>
        <w:softHyphen/>
        <w:t>ترین رابطه در بسیاری از مدل‌های تورم است و ممکن است به صورت زیر نوشته شود.</w:t>
      </w:r>
    </w:p>
    <w:p w14:paraId="0C09F94C" w14:textId="77777777" w:rsidR="00556C10" w:rsidRPr="002614E7" w:rsidRDefault="00556C10" w:rsidP="00556C10">
      <w:pPr>
        <w:pStyle w:val="MTDisplayEquation"/>
        <w:tabs>
          <w:tab w:val="clear" w:pos="6660"/>
          <w:tab w:val="right" w:pos="6521"/>
        </w:tabs>
        <w:spacing w:line="216" w:lineRule="auto"/>
        <w:rPr>
          <w:rFonts w:ascii="Times New Roman" w:hAnsi="Times New Roman" w:cs="B Nazanin"/>
          <w:i/>
          <w:sz w:val="23"/>
          <w:szCs w:val="23"/>
          <w:rtl/>
        </w:rPr>
      </w:pPr>
      <w:r w:rsidRPr="002614E7">
        <w:rPr>
          <w:position w:val="-10"/>
        </w:rPr>
        <w:object w:dxaOrig="1480" w:dyaOrig="320" w14:anchorId="4A886FA1">
          <v:shape id="_x0000_i6700" type="#_x0000_t75" style="width:73.8pt;height:15.75pt" o:ole="">
            <v:imagedata r:id="rId11461" o:title=""/>
          </v:shape>
          <o:OLEObject Type="Embed" ProgID="Equation.DSMT4" ShapeID="_x0000_i6700" DrawAspect="Content" ObjectID="_1791380644" r:id="rId11462"/>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(۱۴. ۱)</w:t>
      </w:r>
    </w:p>
    <w:p w14:paraId="75AD7D06" w14:textId="77777777" w:rsidR="00556C10" w:rsidRPr="002614E7" w:rsidRDefault="00556C10" w:rsidP="00556C10">
      <w:pPr>
        <w:spacing w:line="216" w:lineRule="auto"/>
        <w:rPr>
          <w:rFonts w:eastAsiaTheme="minorEastAsia"/>
          <w:i/>
          <w:sz w:val="23"/>
          <w:szCs w:val="23"/>
          <w:rtl/>
        </w:rPr>
      </w:pPr>
      <w:r w:rsidRPr="002614E7">
        <w:rPr>
          <w:rFonts w:hint="cs"/>
          <w:i/>
          <w:sz w:val="23"/>
          <w:szCs w:val="23"/>
          <w:rtl/>
        </w:rPr>
        <w:t>که در آن</w:t>
      </w:r>
      <w:r w:rsidRPr="002614E7">
        <w:rPr>
          <w:position w:val="-10"/>
        </w:rPr>
        <w:object w:dxaOrig="279" w:dyaOrig="320" w14:anchorId="6F2F57D1">
          <v:shape id="_x0000_i6701" type="#_x0000_t75" style="width:13.9pt;height:15.75pt" o:ole="">
            <v:imagedata r:id="rId11463" o:title=""/>
          </v:shape>
          <o:OLEObject Type="Embed" ProgID="Equation.DSMT4" ShapeID="_x0000_i6701" DrawAspect="Content" ObjectID="_1791380645" r:id="rId11464"/>
        </w:object>
      </w:r>
      <w:r w:rsidRPr="002614E7">
        <w:rPr>
          <w:rFonts w:eastAsiaTheme="minorEastAsia" w:hint="cs"/>
          <w:i/>
          <w:sz w:val="23"/>
          <w:szCs w:val="23"/>
          <w:rtl/>
        </w:rPr>
        <w:t xml:space="preserve"> نرخ بهره‌ی اسمی،</w:t>
      </w:r>
      <w:r w:rsidRPr="002614E7">
        <w:rPr>
          <w:position w:val="-10"/>
        </w:rPr>
        <w:object w:dxaOrig="180" w:dyaOrig="320" w14:anchorId="0648CF16">
          <v:shape id="_x0000_i6702" type="#_x0000_t75" style="width:9.1pt;height:15.75pt" o:ole="">
            <v:imagedata r:id="rId11465" o:title=""/>
          </v:shape>
          <o:OLEObject Type="Embed" ProgID="Equation.DSMT4" ShapeID="_x0000_i6702" DrawAspect="Content" ObjectID="_1791380646" r:id="rId11466"/>
        </w:object>
      </w:r>
      <w:r w:rsidRPr="002614E7">
        <w:rPr>
          <w:rFonts w:eastAsiaTheme="minorEastAsia" w:hint="cs"/>
          <w:i/>
          <w:sz w:val="23"/>
          <w:szCs w:val="23"/>
          <w:rtl/>
        </w:rPr>
        <w:t xml:space="preserve"> نرخ بهره‌ی حقیقی و</w:t>
      </w:r>
      <w:r w:rsidRPr="002614E7">
        <w:rPr>
          <w:position w:val="-10"/>
        </w:rPr>
        <w:object w:dxaOrig="260" w:dyaOrig="320" w14:anchorId="323D30AC">
          <v:shape id="_x0000_i6703" type="#_x0000_t75" style="width:13.3pt;height:15.75pt" o:ole="">
            <v:imagedata r:id="rId11467" o:title=""/>
          </v:shape>
          <o:OLEObject Type="Embed" ProgID="Equation.DSMT4" ShapeID="_x0000_i6703" DrawAspect="Content" ObjectID="_1791380647" r:id="rId11468"/>
        </w:object>
      </w:r>
      <w:r w:rsidRPr="002614E7">
        <w:rPr>
          <w:rFonts w:eastAsiaTheme="minorEastAsia" w:hint="cs"/>
          <w:i/>
          <w:sz w:val="23"/>
          <w:szCs w:val="23"/>
          <w:rtl/>
        </w:rPr>
        <w:t xml:space="preserve"> لگاریتم سطح عمومی قیمت‌ها و </w:t>
      </w:r>
      <w:r w:rsidRPr="002614E7">
        <w:rPr>
          <w:position w:val="-10"/>
        </w:rPr>
        <w:object w:dxaOrig="700" w:dyaOrig="320" w14:anchorId="7080FA5E">
          <v:shape id="_x0000_i6704" type="#_x0000_t75" style="width:35.1pt;height:15.75pt" o:ole="">
            <v:imagedata r:id="rId11469" o:title=""/>
          </v:shape>
          <o:OLEObject Type="Embed" ProgID="Equation.DSMT4" ShapeID="_x0000_i6704" DrawAspect="Content" ObjectID="_1791380648" r:id="rId11470"/>
        </w:object>
      </w:r>
      <w:r w:rsidRPr="002614E7">
        <w:rPr>
          <w:rFonts w:eastAsiaTheme="minorEastAsia" w:hint="cs"/>
          <w:i/>
          <w:sz w:val="23"/>
          <w:szCs w:val="23"/>
          <w:rtl/>
        </w:rPr>
        <w:t xml:space="preserve"> تورم انتظاری برای زمان </w:t>
      </w:r>
      <w:r w:rsidRPr="002614E7">
        <w:rPr>
          <w:rFonts w:eastAsiaTheme="minorEastAsia"/>
          <w:i/>
          <w:sz w:val="23"/>
          <w:szCs w:val="23"/>
        </w:rPr>
        <w:t>t+1</w:t>
      </w:r>
      <w:r w:rsidRPr="002614E7">
        <w:rPr>
          <w:rFonts w:eastAsiaTheme="minorEastAsia" w:hint="cs"/>
          <w:i/>
          <w:sz w:val="23"/>
          <w:szCs w:val="23"/>
          <w:rtl/>
        </w:rPr>
        <w:t xml:space="preserve"> با توجه به اطلاعات در زمان </w:t>
      </w:r>
      <w:r w:rsidRPr="002614E7">
        <w:rPr>
          <w:rFonts w:eastAsiaTheme="minorEastAsia"/>
          <w:i/>
          <w:sz w:val="23"/>
          <w:szCs w:val="23"/>
        </w:rPr>
        <w:t xml:space="preserve"> t</w:t>
      </w:r>
      <w:r w:rsidRPr="002614E7">
        <w:rPr>
          <w:rFonts w:eastAsiaTheme="minorEastAsia" w:hint="cs"/>
          <w:i/>
          <w:sz w:val="23"/>
          <w:szCs w:val="23"/>
          <w:rtl/>
        </w:rPr>
        <w:t xml:space="preserve"> است. در مدل تعادل عمومی پویا، نرخ بهره‌ی حقیقی بلند‌مدت برابر با نرخ ترجیحات زمان یا</w:t>
      </w:r>
      <w:r w:rsidRPr="002614E7">
        <w:rPr>
          <w:position w:val="-6"/>
        </w:rPr>
        <w:object w:dxaOrig="520" w:dyaOrig="260" w14:anchorId="1F11D7B8">
          <v:shape id="_x0000_i6705" type="#_x0000_t75" style="width:26pt;height:13.3pt" o:ole="">
            <v:imagedata r:id="rId11471" o:title=""/>
          </v:shape>
          <o:OLEObject Type="Embed" ProgID="Equation.DSMT4" ShapeID="_x0000_i6705" DrawAspect="Content" ObjectID="_1791380649" r:id="rId11472"/>
        </w:object>
      </w:r>
      <w:r w:rsidRPr="002614E7">
        <w:rPr>
          <w:rFonts w:hint="cs"/>
          <w:i/>
          <w:sz w:val="23"/>
          <w:szCs w:val="23"/>
          <w:rtl/>
        </w:rPr>
        <w:t xml:space="preserve"> </w:t>
      </w:r>
      <w:r w:rsidRPr="002614E7">
        <w:rPr>
          <w:rFonts w:eastAsiaTheme="minorEastAsia" w:hint="cs"/>
          <w:i/>
          <w:sz w:val="23"/>
          <w:szCs w:val="23"/>
          <w:rtl/>
        </w:rPr>
        <w:t>است. بنابراین در بلند‌مدت نرخ تورم برابر خواهد بود با</w:t>
      </w:r>
    </w:p>
    <w:p w14:paraId="1BA233A9" w14:textId="77777777" w:rsidR="00556C10" w:rsidRPr="002614E7" w:rsidRDefault="00556C10" w:rsidP="00556C10">
      <w:pPr>
        <w:bidi w:val="0"/>
        <w:spacing w:line="216" w:lineRule="auto"/>
        <w:rPr>
          <w:rFonts w:eastAsiaTheme="minorEastAsia"/>
          <w:i/>
          <w:sz w:val="23"/>
          <w:szCs w:val="23"/>
        </w:rPr>
      </w:pPr>
      <w:r w:rsidRPr="002614E7">
        <w:rPr>
          <w:position w:val="-8"/>
        </w:rPr>
        <w:object w:dxaOrig="1060" w:dyaOrig="279" w14:anchorId="0A8D7328">
          <v:shape id="_x0000_i6706" type="#_x0000_t75" style="width:53.25pt;height:13.9pt" o:ole="">
            <v:imagedata r:id="rId11473" o:title=""/>
          </v:shape>
          <o:OLEObject Type="Embed" ProgID="Equation.DSMT4" ShapeID="_x0000_i6706" DrawAspect="Content" ObjectID="_1791380650" r:id="rId11474"/>
        </w:object>
      </w:r>
      <w:r w:rsidRPr="002614E7">
        <w:rPr>
          <w:rFonts w:eastAsiaTheme="minorEastAsia"/>
          <w:i/>
          <w:sz w:val="23"/>
          <w:szCs w:val="23"/>
        </w:rPr>
        <w:t xml:space="preserve"> </w:t>
      </w:r>
      <w:r w:rsidRPr="002614E7">
        <w:rPr>
          <w:rFonts w:eastAsiaTheme="minorEastAsia" w:hint="cs"/>
          <w:i/>
          <w:sz w:val="23"/>
          <w:szCs w:val="23"/>
          <w:rtl/>
        </w:rPr>
        <w:tab/>
      </w:r>
      <w:r w:rsidRPr="002614E7">
        <w:rPr>
          <w:rFonts w:eastAsiaTheme="minorEastAsia" w:hint="cs"/>
          <w:i/>
          <w:sz w:val="23"/>
          <w:szCs w:val="23"/>
          <w:rtl/>
        </w:rPr>
        <w:tab/>
        <w:t xml:space="preserve"> </w:t>
      </w:r>
      <w:r w:rsidRPr="002614E7">
        <w:rPr>
          <w:rFonts w:eastAsiaTheme="minorEastAsia" w:hint="cs"/>
          <w:i/>
          <w:sz w:val="23"/>
          <w:szCs w:val="23"/>
          <w:rtl/>
        </w:rPr>
        <w:tab/>
      </w:r>
      <w:r w:rsidRPr="002614E7">
        <w:rPr>
          <w:rFonts w:eastAsiaTheme="minorEastAsia" w:hint="cs"/>
          <w:i/>
          <w:sz w:val="23"/>
          <w:szCs w:val="23"/>
          <w:rtl/>
        </w:rPr>
        <w:tab/>
      </w:r>
      <w:r w:rsidRPr="002614E7">
        <w:rPr>
          <w:rFonts w:eastAsiaTheme="minorEastAsia" w:hint="cs"/>
          <w:i/>
          <w:sz w:val="23"/>
          <w:szCs w:val="23"/>
          <w:rtl/>
        </w:rPr>
        <w:tab/>
      </w:r>
      <w:r w:rsidRPr="002614E7">
        <w:rPr>
          <w:rFonts w:eastAsiaTheme="minorEastAsia"/>
          <w:i/>
          <w:sz w:val="23"/>
          <w:szCs w:val="23"/>
        </w:rPr>
        <w:tab/>
      </w:r>
      <w:r w:rsidRPr="002614E7">
        <w:rPr>
          <w:rFonts w:eastAsiaTheme="minorEastAsia"/>
          <w:i/>
          <w:sz w:val="23"/>
          <w:szCs w:val="23"/>
        </w:rPr>
        <w:tab/>
      </w:r>
      <w:r w:rsidRPr="002614E7">
        <w:rPr>
          <w:rFonts w:eastAsiaTheme="minorEastAsia"/>
          <w:i/>
          <w:sz w:val="23"/>
          <w:szCs w:val="23"/>
        </w:rPr>
        <w:tab/>
      </w:r>
      <w:r w:rsidRPr="002614E7">
        <w:rPr>
          <w:rFonts w:eastAsiaTheme="minorEastAsia"/>
          <w:i/>
          <w:sz w:val="23"/>
          <w:szCs w:val="23"/>
        </w:rPr>
        <w:tab/>
      </w:r>
      <w:r w:rsidRPr="002614E7">
        <w:rPr>
          <w:rFonts w:eastAsiaTheme="minorEastAsia"/>
          <w:i/>
          <w:sz w:val="23"/>
          <w:szCs w:val="23"/>
        </w:rPr>
        <w:tab/>
      </w:r>
      <w:r w:rsidRPr="002614E7">
        <w:rPr>
          <w:rFonts w:eastAsiaTheme="minorEastAsia"/>
          <w:i/>
          <w:sz w:val="23"/>
          <w:szCs w:val="23"/>
        </w:rPr>
        <w:tab/>
      </w:r>
      <w:r w:rsidRPr="002614E7">
        <w:rPr>
          <w:rFonts w:eastAsiaTheme="minorEastAsia"/>
          <w:i/>
          <w:sz w:val="23"/>
          <w:szCs w:val="23"/>
        </w:rPr>
        <w:tab/>
      </w:r>
      <w:r w:rsidRPr="002614E7">
        <w:rPr>
          <w:rFonts w:eastAsiaTheme="minorEastAsia"/>
          <w:i/>
          <w:sz w:val="23"/>
          <w:szCs w:val="23"/>
        </w:rPr>
        <w:tab/>
      </w:r>
      <w:r w:rsidRPr="002614E7">
        <w:rPr>
          <w:rFonts w:eastAsiaTheme="minorEastAsia"/>
          <w:i/>
          <w:sz w:val="23"/>
          <w:szCs w:val="23"/>
        </w:rPr>
        <w:tab/>
      </w:r>
      <w:r>
        <w:rPr>
          <w:rFonts w:eastAsiaTheme="minorEastAsia"/>
          <w:i/>
          <w:sz w:val="23"/>
          <w:szCs w:val="23"/>
          <w:rtl/>
        </w:rPr>
        <w:tab/>
      </w:r>
      <w:r>
        <w:rPr>
          <w:rFonts w:eastAsiaTheme="minorEastAsia"/>
          <w:i/>
          <w:sz w:val="23"/>
          <w:szCs w:val="23"/>
          <w:rtl/>
        </w:rPr>
        <w:tab/>
      </w:r>
      <w:r w:rsidRPr="002614E7">
        <w:rPr>
          <w:rFonts w:eastAsiaTheme="minorEastAsia"/>
          <w:i/>
          <w:sz w:val="23"/>
          <w:szCs w:val="23"/>
        </w:rPr>
        <w:tab/>
      </w:r>
      <w:r w:rsidRPr="002614E7">
        <w:rPr>
          <w:rFonts w:eastAsiaTheme="minorEastAsia" w:hint="cs"/>
          <w:i/>
          <w:sz w:val="23"/>
          <w:szCs w:val="23"/>
          <w:rtl/>
        </w:rPr>
        <w:t xml:space="preserve"> </w:t>
      </w:r>
      <w:r w:rsidRPr="002614E7">
        <w:rPr>
          <w:rFonts w:eastAsiaTheme="minorEastAsia" w:hint="cs"/>
          <w:i/>
          <w:sz w:val="23"/>
          <w:szCs w:val="23"/>
          <w:rtl/>
        </w:rPr>
        <w:tab/>
        <w:t>(۱۴. ۲)</w:t>
      </w:r>
      <w:r w:rsidRPr="002614E7">
        <w:rPr>
          <w:rFonts w:eastAsiaTheme="minorEastAsia"/>
          <w:i/>
          <w:sz w:val="23"/>
          <w:szCs w:val="23"/>
        </w:rPr>
        <w:t xml:space="preserve"> </w:t>
      </w:r>
    </w:p>
    <w:p w14:paraId="38A4A433" w14:textId="77777777" w:rsidR="00556C10" w:rsidRPr="002614E7" w:rsidRDefault="00556C10" w:rsidP="00556C10">
      <w:pPr>
        <w:spacing w:line="216" w:lineRule="auto"/>
        <w:rPr>
          <w:rFonts w:eastAsiaTheme="minorEastAsia"/>
          <w:i/>
          <w:sz w:val="23"/>
          <w:szCs w:val="23"/>
        </w:rPr>
      </w:pPr>
      <w:r w:rsidRPr="002614E7">
        <w:rPr>
          <w:rFonts w:hint="cs"/>
          <w:i/>
          <w:sz w:val="23"/>
          <w:szCs w:val="23"/>
          <w:rtl/>
        </w:rPr>
        <w:t>که در آن</w:t>
      </w:r>
      <w:r w:rsidRPr="002614E7">
        <w:rPr>
          <w:position w:val="-6"/>
        </w:rPr>
        <w:object w:dxaOrig="240" w:dyaOrig="260" w14:anchorId="6F8779AE">
          <v:shape id="_x0000_i6707" type="#_x0000_t75" style="width:11.5pt;height:13.3pt" o:ole="">
            <v:imagedata r:id="rId11475" o:title=""/>
          </v:shape>
          <o:OLEObject Type="Embed" ProgID="Equation.DSMT4" ShapeID="_x0000_i6707" DrawAspect="Content" ObjectID="_1791380651" r:id="rId11476"/>
        </w:object>
      </w:r>
      <w:r w:rsidRPr="002614E7">
        <w:rPr>
          <w:rFonts w:hint="cs"/>
          <w:i/>
          <w:sz w:val="23"/>
          <w:szCs w:val="23"/>
          <w:rtl/>
        </w:rPr>
        <w:t xml:space="preserve"> </w:t>
      </w:r>
      <w:r w:rsidRPr="002614E7">
        <w:rPr>
          <w:rFonts w:eastAsiaTheme="minorEastAsia" w:hint="cs"/>
          <w:i/>
          <w:sz w:val="23"/>
          <w:szCs w:val="23"/>
          <w:rtl/>
        </w:rPr>
        <w:t>نرخ بهره‌ی اسمی بلندمدت می</w:t>
      </w:r>
      <w:r w:rsidRPr="002614E7">
        <w:rPr>
          <w:rFonts w:eastAsiaTheme="minorEastAsia" w:hint="cs"/>
          <w:i/>
          <w:sz w:val="23"/>
          <w:szCs w:val="23"/>
          <w:rtl/>
        </w:rPr>
        <w:softHyphen/>
        <w:t>باشد. چنانچه مقامات پولی در انتخاب نرخ بهره‌ی اسمی مختار باشند، آنگاه بوسیله‌ی رابطه‌ی</w:t>
      </w:r>
      <w:r w:rsidRPr="002614E7">
        <w:rPr>
          <w:rFonts w:eastAsiaTheme="minorEastAsia"/>
          <w:i/>
          <w:sz w:val="23"/>
          <w:szCs w:val="23"/>
        </w:rPr>
        <w:t xml:space="preserve"> </w:t>
      </w:r>
      <w:r w:rsidRPr="002614E7">
        <w:rPr>
          <w:rFonts w:eastAsiaTheme="minorEastAsia" w:hint="cs"/>
          <w:i/>
          <w:sz w:val="23"/>
          <w:szCs w:val="23"/>
          <w:rtl/>
        </w:rPr>
        <w:t>(۱۴. ۲) می‌توان</w:t>
      </w:r>
      <w:r w:rsidRPr="002614E7">
        <w:rPr>
          <w:rFonts w:eastAsiaTheme="minorEastAsia"/>
          <w:i/>
          <w:sz w:val="23"/>
          <w:szCs w:val="23"/>
        </w:rPr>
        <w:t xml:space="preserve"> </w:t>
      </w:r>
      <w:r w:rsidRPr="002614E7">
        <w:rPr>
          <w:rFonts w:eastAsiaTheme="minorEastAsia" w:hint="cs"/>
          <w:i/>
          <w:sz w:val="23"/>
          <w:szCs w:val="23"/>
          <w:rtl/>
        </w:rPr>
        <w:t xml:space="preserve">تورم بلندمدت را براحتی بدست آورد. </w:t>
      </w:r>
    </w:p>
    <w:p w14:paraId="1F3C0F26" w14:textId="77777777" w:rsidR="00556C10" w:rsidRPr="002614E7" w:rsidRDefault="00556C10" w:rsidP="00556C10">
      <w:pPr>
        <w:spacing w:line="216" w:lineRule="auto"/>
        <w:jc w:val="mediumKashida"/>
        <w:rPr>
          <w:rFonts w:eastAsiaTheme="minorEastAsia"/>
          <w:i/>
          <w:sz w:val="23"/>
          <w:szCs w:val="23"/>
          <w:rtl/>
        </w:rPr>
      </w:pPr>
      <w:r w:rsidRPr="002614E7">
        <w:rPr>
          <w:rFonts w:eastAsiaTheme="minorEastAsia" w:hint="cs"/>
          <w:i/>
          <w:sz w:val="23"/>
          <w:szCs w:val="23"/>
          <w:rtl/>
        </w:rPr>
        <w:t>در کوتاه‌مدت، هنگامی که هر سه متغیر رابطه‌ی(۱۴. ۱) در طی زمان تغییر می‌کنند، معادله‌ی فیشر را می‌توان به</w:t>
      </w:r>
      <w:r w:rsidRPr="002614E7">
        <w:rPr>
          <w:rFonts w:eastAsiaTheme="minorEastAsia" w:hint="cs"/>
          <w:i/>
          <w:sz w:val="23"/>
          <w:szCs w:val="23"/>
          <w:rtl/>
        </w:rPr>
        <w:softHyphen/>
        <w:t>گونه</w:t>
      </w:r>
      <w:r w:rsidRPr="002614E7">
        <w:rPr>
          <w:rFonts w:eastAsiaTheme="minorEastAsia" w:hint="cs"/>
          <w:i/>
          <w:sz w:val="23"/>
          <w:szCs w:val="23"/>
          <w:rtl/>
        </w:rPr>
        <w:softHyphen/>
        <w:t>ای دیگر بازنویسی کرد، بطوری</w:t>
      </w:r>
      <w:r w:rsidRPr="002614E7">
        <w:rPr>
          <w:rFonts w:eastAsiaTheme="minorEastAsia" w:hint="cs"/>
          <w:i/>
          <w:sz w:val="23"/>
          <w:szCs w:val="23"/>
          <w:rtl/>
        </w:rPr>
        <w:softHyphen/>
        <w:t>که سطح عمومی قیمت‌ها برابر خواهد بود با</w:t>
      </w:r>
    </w:p>
    <w:p w14:paraId="5E1DD761" w14:textId="77777777" w:rsidR="00556C10" w:rsidRPr="002614E7" w:rsidRDefault="00556C10" w:rsidP="00556C10">
      <w:pPr>
        <w:pStyle w:val="MTDisplayEquation"/>
        <w:tabs>
          <w:tab w:val="clear" w:pos="6660"/>
          <w:tab w:val="right" w:pos="6521"/>
        </w:tabs>
        <w:spacing w:line="216" w:lineRule="auto"/>
        <w:rPr>
          <w:rFonts w:ascii="Times New Roman" w:hAnsi="Times New Roman" w:cs="B Nazanin"/>
          <w:i/>
          <w:sz w:val="23"/>
          <w:szCs w:val="23"/>
        </w:rPr>
      </w:pPr>
      <w:r w:rsidRPr="002614E7">
        <w:rPr>
          <w:position w:val="-26"/>
        </w:rPr>
        <w:object w:dxaOrig="3480" w:dyaOrig="620" w14:anchorId="3B53F23C">
          <v:shape id="_x0000_i6708" type="#_x0000_t75" style="width:174.25pt;height:31.45pt" o:ole="">
            <v:imagedata r:id="rId11477" o:title=""/>
          </v:shape>
          <o:OLEObject Type="Embed" ProgID="Equation.DSMT4" ShapeID="_x0000_i6708" DrawAspect="Content" ObjectID="_1791380652" r:id="rId11478"/>
        </w:object>
      </w:r>
      <w:r w:rsidRPr="002614E7">
        <w:rPr>
          <w:rFonts w:ascii="Times New Roman" w:hAnsi="Times New Roman"/>
          <w:i/>
          <w:sz w:val="23"/>
          <w:szCs w:val="23"/>
          <w:rtl/>
        </w:rPr>
        <w:tab/>
      </w:r>
      <w:r w:rsidRPr="002614E7">
        <w:rPr>
          <w:rFonts w:ascii="Times New Roman" w:hAnsi="Times New Roman" w:cs="B Nazanin" w:hint="cs"/>
          <w:i/>
          <w:sz w:val="23"/>
          <w:szCs w:val="23"/>
          <w:rtl/>
        </w:rPr>
        <w:t xml:space="preserve">(۱۴. </w:t>
      </w:r>
      <w:r w:rsidRPr="002614E7">
        <w:rPr>
          <w:rFonts w:ascii="NPIZar" w:hAnsi="NPIZar" w:cs="B Nazanin"/>
          <w:i/>
          <w:sz w:val="23"/>
          <w:szCs w:val="23"/>
          <w:rtl/>
        </w:rPr>
        <w:t>3</w:t>
      </w:r>
      <w:r w:rsidRPr="002614E7">
        <w:rPr>
          <w:rFonts w:ascii="Times New Roman" w:hAnsi="Times New Roman" w:cs="B Nazanin" w:hint="cs"/>
          <w:i/>
          <w:sz w:val="23"/>
          <w:szCs w:val="23"/>
          <w:rtl/>
        </w:rPr>
        <w:t>)</w:t>
      </w:r>
    </w:p>
    <w:p w14:paraId="39DC9561" w14:textId="77777777" w:rsidR="00556C10" w:rsidRPr="002614E7" w:rsidRDefault="00556C10" w:rsidP="00556C10">
      <w:pPr>
        <w:spacing w:line="216" w:lineRule="auto"/>
        <w:jc w:val="mediumKashida"/>
        <w:rPr>
          <w:rFonts w:eastAsiaTheme="minorEastAsia"/>
          <w:i/>
          <w:sz w:val="23"/>
          <w:szCs w:val="23"/>
          <w:rtl/>
        </w:rPr>
      </w:pPr>
      <w:r w:rsidRPr="002614E7">
        <w:rPr>
          <w:rFonts w:eastAsiaTheme="minorEastAsia" w:hint="cs"/>
          <w:i/>
          <w:sz w:val="23"/>
          <w:szCs w:val="23"/>
          <w:rtl/>
        </w:rPr>
        <w:t>بنابراین سطح عمومی قیمت‌ها بوسیله‌ی نرخ‌های بهره‌ی حقیقی و اسمی جاری و آتی انتظاری تعیین خواهد شد. چنانچه نرخ بهره‌ی حقیقی</w:t>
      </w:r>
      <w:r w:rsidRPr="002614E7">
        <w:rPr>
          <w:position w:val="-10"/>
        </w:rPr>
        <w:object w:dxaOrig="180" w:dyaOrig="320" w14:anchorId="1E80C28A">
          <v:shape id="_x0000_i6709" type="#_x0000_t75" style="width:9.1pt;height:15.75pt" o:ole="">
            <v:imagedata r:id="rId11479" o:title=""/>
          </v:shape>
          <o:OLEObject Type="Embed" ProgID="Equation.DSMT4" ShapeID="_x0000_i6709" DrawAspect="Content" ObjectID="_1791380653" r:id="rId11480"/>
        </w:object>
      </w:r>
      <w:r w:rsidRPr="002614E7">
        <w:rPr>
          <w:rFonts w:eastAsiaTheme="minorEastAsia" w:hint="cs"/>
          <w:i/>
          <w:sz w:val="23"/>
          <w:szCs w:val="23"/>
          <w:rtl/>
        </w:rPr>
        <w:t xml:space="preserve"> برون</w:t>
      </w:r>
      <w:r w:rsidRPr="002614E7">
        <w:rPr>
          <w:rFonts w:eastAsiaTheme="minorEastAsia"/>
          <w:i/>
          <w:sz w:val="23"/>
          <w:szCs w:val="23"/>
        </w:rPr>
        <w:softHyphen/>
      </w:r>
      <w:r w:rsidRPr="002614E7">
        <w:rPr>
          <w:rFonts w:eastAsiaTheme="minorEastAsia" w:hint="cs"/>
          <w:i/>
          <w:sz w:val="23"/>
          <w:szCs w:val="23"/>
          <w:rtl/>
        </w:rPr>
        <w:t>زا و نرخ بهره</w:t>
      </w:r>
      <w:r w:rsidRPr="002614E7">
        <w:rPr>
          <w:rFonts w:eastAsiaTheme="minorEastAsia" w:hint="cs"/>
          <w:i/>
          <w:sz w:val="23"/>
          <w:szCs w:val="23"/>
          <w:rtl/>
        </w:rPr>
        <w:softHyphen/>
        <w:t>ی اسمی</w:t>
      </w:r>
      <w:r w:rsidRPr="002614E7">
        <w:rPr>
          <w:position w:val="-10"/>
        </w:rPr>
        <w:object w:dxaOrig="279" w:dyaOrig="320" w14:anchorId="4CB3DA56">
          <v:shape id="_x0000_i6710" type="#_x0000_t75" style="width:13.9pt;height:15.75pt" o:ole="">
            <v:imagedata r:id="rId11481" o:title=""/>
          </v:shape>
          <o:OLEObject Type="Embed" ProgID="Equation.DSMT4" ShapeID="_x0000_i6710" DrawAspect="Content" ObjectID="_1791380654" r:id="rId11482"/>
        </w:object>
      </w:r>
      <w:r w:rsidRPr="002614E7">
        <w:rPr>
          <w:rFonts w:eastAsiaTheme="minorEastAsia" w:hint="cs"/>
          <w:i/>
          <w:sz w:val="23"/>
          <w:szCs w:val="23"/>
          <w:rtl/>
        </w:rPr>
        <w:t xml:space="preserve"> بوسیله‌ی سیاست</w:t>
      </w:r>
      <w:r w:rsidRPr="002614E7">
        <w:rPr>
          <w:rFonts w:eastAsiaTheme="minorEastAsia" w:hint="cs"/>
          <w:i/>
          <w:sz w:val="23"/>
          <w:szCs w:val="23"/>
          <w:rtl/>
        </w:rPr>
        <w:softHyphen/>
        <w:t>گذار پولی تعیین شود، آنگاه سطح عمومی قیمت‌ها‌ی</w:t>
      </w:r>
      <w:r w:rsidRPr="002614E7">
        <w:rPr>
          <w:position w:val="-10"/>
        </w:rPr>
        <w:object w:dxaOrig="260" w:dyaOrig="320" w14:anchorId="2ACBE38B">
          <v:shape id="_x0000_i6711" type="#_x0000_t75" style="width:13.3pt;height:15.75pt" o:ole="">
            <v:imagedata r:id="rId11483" o:title=""/>
          </v:shape>
          <o:OLEObject Type="Embed" ProgID="Equation.DSMT4" ShapeID="_x0000_i6711" DrawAspect="Content" ObjectID="_1791380655" r:id="rId11484"/>
        </w:object>
      </w:r>
      <w:r w:rsidRPr="002614E7">
        <w:rPr>
          <w:rFonts w:eastAsiaTheme="minorEastAsia" w:hint="cs"/>
          <w:i/>
          <w:sz w:val="23"/>
          <w:szCs w:val="23"/>
          <w:rtl/>
        </w:rPr>
        <w:t xml:space="preserve"> به عرضه‌ی پول وابسته نخواهد بود. اما ازآنجا که نرخ بهره‌ی حقیقی</w:t>
      </w:r>
      <w:r w:rsidRPr="002614E7">
        <w:rPr>
          <w:position w:val="-10"/>
        </w:rPr>
        <w:object w:dxaOrig="180" w:dyaOrig="320" w14:anchorId="6AE51E37">
          <v:shape id="_x0000_i6712" type="#_x0000_t75" style="width:9.1pt;height:15.75pt" o:ole="">
            <v:imagedata r:id="rId11485" o:title=""/>
          </v:shape>
          <o:OLEObject Type="Embed" ProgID="Equation.DSMT4" ShapeID="_x0000_i6712" DrawAspect="Content" ObjectID="_1791380656" r:id="rId11486"/>
        </w:object>
      </w:r>
      <w:r w:rsidRPr="002614E7">
        <w:rPr>
          <w:rFonts w:eastAsiaTheme="minorEastAsia" w:hint="cs"/>
          <w:i/>
          <w:sz w:val="23"/>
          <w:szCs w:val="23"/>
          <w:rtl/>
        </w:rPr>
        <w:t xml:space="preserve"> در اقتصاد درون</w:t>
      </w:r>
      <w:r w:rsidRPr="002614E7">
        <w:rPr>
          <w:rFonts w:eastAsiaTheme="minorEastAsia"/>
          <w:i/>
          <w:sz w:val="23"/>
          <w:szCs w:val="23"/>
        </w:rPr>
        <w:softHyphen/>
      </w:r>
      <w:r w:rsidRPr="002614E7">
        <w:rPr>
          <w:rFonts w:eastAsiaTheme="minorEastAsia" w:hint="cs"/>
          <w:i/>
          <w:sz w:val="23"/>
          <w:szCs w:val="23"/>
          <w:rtl/>
        </w:rPr>
        <w:t>زاست، و همچنین نرخ بهره‌ی اسمی</w:t>
      </w:r>
      <w:r w:rsidRPr="002614E7">
        <w:rPr>
          <w:position w:val="-10"/>
        </w:rPr>
        <w:object w:dxaOrig="279" w:dyaOrig="320" w14:anchorId="72C51232">
          <v:shape id="_x0000_i6713" type="#_x0000_t75" style="width:13.9pt;height:15.75pt" o:ole="">
            <v:imagedata r:id="rId11487" o:title=""/>
          </v:shape>
          <o:OLEObject Type="Embed" ProgID="Equation.DSMT4" ShapeID="_x0000_i6713" DrawAspect="Content" ObjectID="_1791380657" r:id="rId11488"/>
        </w:object>
      </w:r>
      <w:r w:rsidRPr="002614E7">
        <w:rPr>
          <w:rFonts w:eastAsiaTheme="minorEastAsia" w:hint="cs"/>
          <w:i/>
          <w:sz w:val="23"/>
          <w:szCs w:val="23"/>
          <w:rtl/>
        </w:rPr>
        <w:t xml:space="preserve"> ممکن است بوسیله‌ی ‌یک قاعده</w:t>
      </w:r>
      <w:r w:rsidRPr="002614E7">
        <w:rPr>
          <w:rFonts w:eastAsiaTheme="minorEastAsia" w:hint="cs"/>
          <w:i/>
          <w:sz w:val="23"/>
          <w:szCs w:val="23"/>
          <w:rtl/>
        </w:rPr>
        <w:softHyphen/>
        <w:t>، و یا در شرایط هدف</w:t>
      </w:r>
      <w:r w:rsidRPr="002614E7">
        <w:rPr>
          <w:rFonts w:eastAsiaTheme="minorEastAsia" w:hint="cs"/>
          <w:i/>
          <w:sz w:val="23"/>
          <w:szCs w:val="23"/>
          <w:rtl/>
        </w:rPr>
        <w:softHyphen/>
        <w:t xml:space="preserve">‌گذاری عرضه‌ی پول از طریق بازار پول، و یا در اقتصاد باز از طریق </w:t>
      </w:r>
      <w:r w:rsidRPr="002614E7">
        <w:rPr>
          <w:rFonts w:hint="cs"/>
          <w:i/>
          <w:sz w:val="23"/>
          <w:szCs w:val="23"/>
          <w:rtl/>
        </w:rPr>
        <w:t>برابری بهره</w:t>
      </w:r>
      <w:r w:rsidRPr="002614E7">
        <w:rPr>
          <w:rFonts w:hint="cs"/>
          <w:i/>
          <w:sz w:val="23"/>
          <w:szCs w:val="23"/>
          <w:rtl/>
        </w:rPr>
        <w:softHyphen/>
        <w:t xml:space="preserve">ی بدون پوشش </w:t>
      </w:r>
      <w:r w:rsidRPr="002614E7">
        <w:rPr>
          <w:rFonts w:eastAsiaTheme="minorEastAsia" w:hint="cs"/>
          <w:i/>
          <w:sz w:val="23"/>
          <w:szCs w:val="23"/>
          <w:rtl/>
        </w:rPr>
        <w:t>تعیین شود، لذا می‌بایست مدل کامل</w:t>
      </w:r>
      <w:r w:rsidRPr="002614E7">
        <w:rPr>
          <w:rFonts w:eastAsiaTheme="minorEastAsia" w:hint="cs"/>
          <w:i/>
          <w:sz w:val="23"/>
          <w:szCs w:val="23"/>
          <w:rtl/>
        </w:rPr>
        <w:softHyphen/>
        <w:t>تری را برای تبیین عوامل موثر بر قیمت</w:t>
      </w:r>
      <w:r w:rsidRPr="002614E7">
        <w:rPr>
          <w:rFonts w:eastAsiaTheme="minorEastAsia" w:hint="cs"/>
          <w:i/>
          <w:sz w:val="23"/>
          <w:szCs w:val="23"/>
          <w:rtl/>
        </w:rPr>
        <w:softHyphen/>
        <w:t>ها مورد توجه قرار دهیم. به‌عنوان مثال با در نظر گرفتن قاعده‌</w:t>
      </w:r>
      <w:r w:rsidRPr="002614E7">
        <w:rPr>
          <w:rFonts w:eastAsiaTheme="minorEastAsia" w:hint="cs"/>
          <w:i/>
          <w:sz w:val="23"/>
          <w:szCs w:val="23"/>
          <w:rtl/>
        </w:rPr>
        <w:softHyphen/>
        <w:t>ی زیر برای نرخ بهره اسمی و فرض اینکه مقامات پولی متعهد به اجرای آن قاعده ‌می</w:t>
      </w:r>
      <w:r w:rsidRPr="002614E7">
        <w:rPr>
          <w:rFonts w:eastAsiaTheme="minorEastAsia" w:hint="cs"/>
          <w:i/>
          <w:sz w:val="23"/>
          <w:szCs w:val="23"/>
          <w:rtl/>
        </w:rPr>
        <w:softHyphen/>
        <w:t>باشند خواهیم داشت؛</w:t>
      </w:r>
    </w:p>
    <w:p w14:paraId="5E5B8EB7"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10"/>
        </w:rPr>
        <w:object w:dxaOrig="2020" w:dyaOrig="320" w14:anchorId="0D580FDD">
          <v:shape id="_x0000_i6714" type="#_x0000_t75" style="width:101.05pt;height:15.75pt" o:ole="">
            <v:imagedata r:id="rId11489" o:title=""/>
          </v:shape>
          <o:OLEObject Type="Embed" ProgID="Equation.DSMT4" ShapeID="_x0000_i6714" DrawAspect="Content" ObjectID="_1791380658" r:id="rId11490"/>
        </w:object>
      </w:r>
    </w:p>
    <w:p w14:paraId="797EF292" w14:textId="77777777" w:rsidR="00556C10" w:rsidRPr="002614E7" w:rsidRDefault="00556C10" w:rsidP="00556C10">
      <w:pPr>
        <w:spacing w:line="216" w:lineRule="auto"/>
        <w:jc w:val="mediumKashida"/>
        <w:rPr>
          <w:rFonts w:eastAsiaTheme="minorEastAsia"/>
          <w:i/>
          <w:sz w:val="23"/>
          <w:szCs w:val="23"/>
        </w:rPr>
      </w:pPr>
      <w:r w:rsidRPr="002614E7">
        <w:rPr>
          <w:rFonts w:eastAsiaTheme="minorEastAsia" w:hint="cs"/>
          <w:i/>
          <w:sz w:val="23"/>
          <w:szCs w:val="23"/>
          <w:rtl/>
        </w:rPr>
        <w:t>در رابطه‌ی فوق، تحت شرایط هدف</w:t>
      </w:r>
      <w:r w:rsidRPr="002614E7">
        <w:rPr>
          <w:rFonts w:eastAsiaTheme="minorEastAsia" w:hint="cs"/>
          <w:i/>
          <w:sz w:val="23"/>
          <w:szCs w:val="23"/>
          <w:rtl/>
        </w:rPr>
        <w:softHyphen/>
        <w:t>‌گذاری سطح قیمت‌ها، پارامتر</w:t>
      </w:r>
      <w:r w:rsidRPr="002614E7">
        <w:rPr>
          <w:position w:val="-10"/>
        </w:rPr>
        <w:object w:dxaOrig="279" w:dyaOrig="320" w14:anchorId="066542F7">
          <v:shape id="_x0000_i6715" type="#_x0000_t75" style="width:13.9pt;height:15.75pt" o:ole="">
            <v:imagedata r:id="rId11491" o:title=""/>
          </v:shape>
          <o:OLEObject Type="Embed" ProgID="Equation.DSMT4" ShapeID="_x0000_i6715" DrawAspect="Content" ObjectID="_1791380659" r:id="rId11492"/>
        </w:object>
      </w:r>
      <w:r w:rsidRPr="002614E7">
        <w:rPr>
          <w:rFonts w:eastAsiaTheme="minorEastAsia" w:hint="cs"/>
          <w:i/>
          <w:sz w:val="23"/>
          <w:szCs w:val="23"/>
          <w:rtl/>
        </w:rPr>
        <w:t xml:space="preserve"> برابر صفر، و تحت شرایط هدف‌‌گذاری تورم، پارامتر</w:t>
      </w:r>
      <w:r w:rsidRPr="002614E7">
        <w:rPr>
          <w:position w:val="-10"/>
        </w:rPr>
        <w:object w:dxaOrig="260" w:dyaOrig="320" w14:anchorId="75C6C19D">
          <v:shape id="_x0000_i6716" type="#_x0000_t75" style="width:13.3pt;height:15.75pt" o:ole="">
            <v:imagedata r:id="rId11493" o:title=""/>
          </v:shape>
          <o:OLEObject Type="Embed" ProgID="Equation.DSMT4" ShapeID="_x0000_i6716" DrawAspect="Content" ObjectID="_1791380660" r:id="rId11494"/>
        </w:object>
      </w:r>
      <w:r w:rsidRPr="002614E7">
        <w:rPr>
          <w:rFonts w:eastAsiaTheme="minorEastAsia" w:hint="cs"/>
          <w:i/>
          <w:sz w:val="23"/>
          <w:szCs w:val="23"/>
          <w:rtl/>
        </w:rPr>
        <w:t xml:space="preserve"> برابر صفر خواهد بود. بنابراین با در نظر گرفتن قاعده‌</w:t>
      </w:r>
      <w:r w:rsidRPr="002614E7">
        <w:rPr>
          <w:rFonts w:eastAsiaTheme="minorEastAsia" w:hint="cs"/>
          <w:i/>
          <w:sz w:val="23"/>
          <w:szCs w:val="23"/>
          <w:rtl/>
        </w:rPr>
        <w:softHyphen/>
        <w:t>ای برای نرخ بهره اسمی، از معادله‌ی فیشر، سطح قیمت از رابطه‌ی زیر بدست خواهد آمد.</w:t>
      </w:r>
    </w:p>
    <w:p w14:paraId="162CC10E"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10"/>
        </w:rPr>
        <w:object w:dxaOrig="3240" w:dyaOrig="320" w14:anchorId="64FE939A">
          <v:shape id="_x0000_i6717" type="#_x0000_t75" style="width:162.15pt;height:15.75pt" o:ole="">
            <v:imagedata r:id="rId11495" o:title=""/>
          </v:shape>
          <o:OLEObject Type="Embed" ProgID="Equation.DSMT4" ShapeID="_x0000_i6717" DrawAspect="Content" ObjectID="_1791380661" r:id="rId11496"/>
        </w:object>
      </w:r>
    </w:p>
    <w:p w14:paraId="4DF6ECDC"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0"/>
        </w:rPr>
        <w:object w:dxaOrig="3460" w:dyaOrig="320" w14:anchorId="1571669F">
          <v:shape id="_x0000_i6718" type="#_x0000_t75" style="width:173.05pt;height:15.75pt" o:ole="">
            <v:imagedata r:id="rId11497" o:title=""/>
          </v:shape>
          <o:OLEObject Type="Embed" ProgID="Equation.DSMT4" ShapeID="_x0000_i6718" DrawAspect="Content" ObjectID="_1791380662" r:id="rId11498"/>
        </w:object>
      </w:r>
    </w:p>
    <w:p w14:paraId="14E9854C" w14:textId="77777777" w:rsidR="00556C10" w:rsidRPr="002614E7" w:rsidRDefault="00556C10" w:rsidP="00556C10">
      <w:pPr>
        <w:spacing w:line="216" w:lineRule="auto"/>
        <w:jc w:val="mediumKashida"/>
        <w:rPr>
          <w:rFonts w:eastAsiaTheme="minorEastAsia"/>
          <w:i/>
          <w:sz w:val="23"/>
          <w:szCs w:val="23"/>
          <w:rtl/>
        </w:rPr>
      </w:pPr>
      <w:r w:rsidRPr="002614E7">
        <w:rPr>
          <w:rFonts w:eastAsiaTheme="minorEastAsia" w:hint="cs"/>
          <w:i/>
          <w:sz w:val="23"/>
          <w:szCs w:val="23"/>
          <w:rtl/>
        </w:rPr>
        <w:t>در شرایط هدف‌‌گذاری سطح قیمت</w:t>
      </w:r>
      <w:r w:rsidRPr="002614E7">
        <w:rPr>
          <w:rFonts w:eastAsiaTheme="minorEastAsia" w:hint="cs"/>
          <w:i/>
          <w:sz w:val="23"/>
          <w:szCs w:val="23"/>
          <w:rtl/>
        </w:rPr>
        <w:softHyphen/>
        <w:t>ها که پارامتر</w:t>
      </w:r>
      <w:r w:rsidRPr="002614E7">
        <w:rPr>
          <w:position w:val="-10"/>
        </w:rPr>
        <w:object w:dxaOrig="279" w:dyaOrig="320" w14:anchorId="3A7A95EA">
          <v:shape id="_x0000_i6719" type="#_x0000_t75" style="width:13.9pt;height:15.75pt" o:ole="">
            <v:imagedata r:id="rId11499" o:title=""/>
          </v:shape>
          <o:OLEObject Type="Embed" ProgID="Equation.DSMT4" ShapeID="_x0000_i6719" DrawAspect="Content" ObjectID="_1791380663" r:id="rId11500"/>
        </w:object>
      </w:r>
      <w:r w:rsidRPr="002614E7">
        <w:rPr>
          <w:rFonts w:eastAsiaTheme="minorEastAsia" w:hint="cs"/>
          <w:i/>
          <w:sz w:val="23"/>
          <w:szCs w:val="23"/>
          <w:rtl/>
        </w:rPr>
        <w:t xml:space="preserve"> برابر صفر می</w:t>
      </w:r>
      <w:r w:rsidRPr="002614E7">
        <w:rPr>
          <w:rFonts w:eastAsiaTheme="minorEastAsia" w:hint="cs"/>
          <w:i/>
          <w:sz w:val="23"/>
          <w:szCs w:val="23"/>
          <w:rtl/>
        </w:rPr>
        <w:softHyphen/>
        <w:t>باشد، خواهیم داشت</w:t>
      </w:r>
    </w:p>
    <w:p w14:paraId="5DAB7220"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2"/>
        </w:rPr>
        <w:object w:dxaOrig="2540" w:dyaOrig="360" w14:anchorId="0BD5F5AC">
          <v:shape id="_x0000_i6720" type="#_x0000_t75" style="width:127.05pt;height:18.15pt" o:ole="">
            <v:imagedata r:id="rId11501" o:title=""/>
          </v:shape>
          <o:OLEObject Type="Embed" ProgID="Equation.DSMT4" ShapeID="_x0000_i6720" DrawAspect="Content" ObjectID="_1791380664" r:id="rId11502"/>
        </w:object>
      </w:r>
    </w:p>
    <w:p w14:paraId="15461456" w14:textId="77777777" w:rsidR="00556C10" w:rsidRPr="002614E7" w:rsidRDefault="00556C10" w:rsidP="00556C10">
      <w:pPr>
        <w:pStyle w:val="MTDisplayEquation"/>
        <w:tabs>
          <w:tab w:val="clear" w:pos="6660"/>
          <w:tab w:val="right" w:pos="0"/>
        </w:tabs>
        <w:spacing w:line="216" w:lineRule="auto"/>
        <w:jc w:val="left"/>
        <w:rPr>
          <w:rFonts w:ascii="Times New Roman" w:hAnsi="Times New Roman" w:cs="B Nazanin"/>
          <w:i/>
          <w:sz w:val="23"/>
          <w:szCs w:val="23"/>
        </w:rPr>
      </w:pPr>
      <w:r w:rsidRPr="002614E7">
        <w:rPr>
          <w:position w:val="-34"/>
        </w:rPr>
        <w:object w:dxaOrig="4480" w:dyaOrig="700" w14:anchorId="2A3E7BC9">
          <v:shape id="_x0000_i6721" type="#_x0000_t75" style="width:223.85pt;height:35.1pt" o:ole="">
            <v:imagedata r:id="rId11503" o:title=""/>
          </v:shape>
          <o:OLEObject Type="Embed" ProgID="Equation.DSMT4" ShapeID="_x0000_i6721" DrawAspect="Content" ObjectID="_1791380665" r:id="rId11504"/>
        </w:object>
      </w:r>
      <w:r w:rsidRPr="002614E7">
        <w:rPr>
          <w:rFonts w:ascii="Times New Roman" w:hAnsi="Times New Roman"/>
          <w:i/>
          <w:sz w:val="23"/>
          <w:szCs w:val="23"/>
        </w:rPr>
        <w:tab/>
      </w:r>
      <w:r>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(۱۴. ۴)</w:t>
      </w:r>
      <w:r w:rsidRPr="002614E7">
        <w:rPr>
          <w:rFonts w:ascii="Times New Roman" w:hAnsi="Times New Roman" w:cs="B Nazanin"/>
          <w:i/>
          <w:sz w:val="23"/>
          <w:szCs w:val="23"/>
          <w:rtl/>
        </w:rPr>
        <w:t xml:space="preserve"> </w:t>
      </w:r>
    </w:p>
    <w:p w14:paraId="3C86F17F" w14:textId="77777777" w:rsidR="00556C10" w:rsidRPr="002614E7" w:rsidRDefault="00556C10" w:rsidP="00556C10">
      <w:pPr>
        <w:pStyle w:val="MTDisplayEquation"/>
        <w:tabs>
          <w:tab w:val="clear" w:pos="6660"/>
          <w:tab w:val="right" w:pos="7110"/>
        </w:tabs>
        <w:bidi/>
        <w:spacing w:line="216" w:lineRule="auto"/>
        <w:rPr>
          <w:rFonts w:ascii="Times New Roman" w:eastAsiaTheme="minorEastAsia" w:hAnsi="Times New Roman" w:cs="B Nazanin"/>
          <w:i/>
          <w:sz w:val="23"/>
          <w:szCs w:val="23"/>
          <w:rtl/>
        </w:rPr>
      </w:pPr>
      <w:r w:rsidRPr="002614E7">
        <w:rPr>
          <w:rFonts w:ascii="Times New Roman" w:eastAsiaTheme="minorEastAsia" w:hAnsi="Times New Roman" w:cs="B Nazanin" w:hint="cs"/>
          <w:i/>
          <w:sz w:val="23"/>
          <w:szCs w:val="23"/>
          <w:rtl/>
        </w:rPr>
        <w:t>که در آن سطح قیمت به ارزش جاری و تنزیل شده‌ی آتی انتظاری انحرافات نرخ بهره‌ی حقیقی از پارامتر</w:t>
      </w:r>
      <w:r w:rsidRPr="002614E7">
        <w:rPr>
          <w:position w:val="-10"/>
        </w:rPr>
        <w:object w:dxaOrig="279" w:dyaOrig="320" w14:anchorId="3A1F9F9E">
          <v:shape id="_x0000_i6722" type="#_x0000_t75" style="width:13.9pt;height:15.75pt" o:ole="">
            <v:imagedata r:id="rId11505" o:title=""/>
          </v:shape>
          <o:OLEObject Type="Embed" ProgID="Equation.DSMT4" ShapeID="_x0000_i6722" DrawAspect="Content" ObjectID="_1791380666" r:id="rId11506"/>
        </w:object>
      </w:r>
      <w:r w:rsidRPr="002614E7">
        <w:rPr>
          <w:rFonts w:ascii="Times New Roman" w:eastAsiaTheme="minorEastAsia" w:hAnsi="Times New Roman" w:cs="B Nazanin" w:hint="cs"/>
          <w:i/>
          <w:sz w:val="23"/>
          <w:szCs w:val="23"/>
          <w:rtl/>
        </w:rPr>
        <w:t xml:space="preserve"> وابسته است. </w:t>
      </w:r>
    </w:p>
    <w:p w14:paraId="1FEB6F34" w14:textId="77777777" w:rsidR="00556C10" w:rsidRPr="002614E7" w:rsidRDefault="00556C10" w:rsidP="00556C10">
      <w:pPr>
        <w:tabs>
          <w:tab w:val="right" w:pos="2167"/>
        </w:tabs>
        <w:spacing w:line="216" w:lineRule="auto"/>
        <w:jc w:val="mediumKashida"/>
        <w:rPr>
          <w:rFonts w:eastAsiaTheme="minorEastAsia"/>
          <w:i/>
          <w:sz w:val="23"/>
          <w:szCs w:val="23"/>
          <w:rtl/>
        </w:rPr>
      </w:pPr>
      <w:r w:rsidRPr="002614E7">
        <w:rPr>
          <w:rFonts w:eastAsiaTheme="minorEastAsia" w:hint="cs"/>
          <w:i/>
          <w:sz w:val="23"/>
          <w:szCs w:val="23"/>
          <w:rtl/>
        </w:rPr>
        <w:t>در شرایط هدف‌‌گذاری تورم با توجه به این</w:t>
      </w:r>
      <w:r w:rsidRPr="002614E7">
        <w:rPr>
          <w:rFonts w:eastAsiaTheme="minorEastAsia" w:hint="cs"/>
          <w:i/>
          <w:sz w:val="23"/>
          <w:szCs w:val="23"/>
          <w:rtl/>
        </w:rPr>
        <w:softHyphen/>
        <w:t>که پارامتر</w:t>
      </w:r>
      <w:r w:rsidRPr="002614E7">
        <w:rPr>
          <w:position w:val="-10"/>
        </w:rPr>
        <w:object w:dxaOrig="260" w:dyaOrig="320" w14:anchorId="6A3B42D1">
          <v:shape id="_x0000_i6723" type="#_x0000_t75" style="width:13.3pt;height:15.75pt" o:ole="">
            <v:imagedata r:id="rId11507" o:title=""/>
          </v:shape>
          <o:OLEObject Type="Embed" ProgID="Equation.DSMT4" ShapeID="_x0000_i6723" DrawAspect="Content" ObjectID="_1791380667" r:id="rId11508"/>
        </w:object>
      </w:r>
      <w:r w:rsidRPr="002614E7">
        <w:rPr>
          <w:rFonts w:eastAsiaTheme="minorEastAsia" w:hint="cs"/>
          <w:i/>
          <w:sz w:val="23"/>
          <w:szCs w:val="23"/>
          <w:rtl/>
        </w:rPr>
        <w:t xml:space="preserve"> برابر صفر می</w:t>
      </w:r>
      <w:r w:rsidRPr="002614E7">
        <w:rPr>
          <w:rFonts w:eastAsiaTheme="minorEastAsia" w:hint="cs"/>
          <w:i/>
          <w:sz w:val="23"/>
          <w:szCs w:val="23"/>
          <w:rtl/>
        </w:rPr>
        <w:softHyphen/>
        <w:t>باشد، و با فرض این</w:t>
      </w:r>
      <w:r w:rsidRPr="002614E7">
        <w:rPr>
          <w:rFonts w:eastAsiaTheme="minorEastAsia" w:hint="cs"/>
          <w:i/>
          <w:sz w:val="23"/>
          <w:szCs w:val="23"/>
          <w:rtl/>
        </w:rPr>
        <w:softHyphen/>
        <w:t>که</w:t>
      </w:r>
      <w:r w:rsidRPr="002614E7">
        <w:rPr>
          <w:position w:val="-10"/>
        </w:rPr>
        <w:object w:dxaOrig="600" w:dyaOrig="320" w14:anchorId="7E7F44A2">
          <v:shape id="_x0000_i6724" type="#_x0000_t75" style="width:29.65pt;height:15.75pt" o:ole="">
            <v:imagedata r:id="rId11509" o:title=""/>
          </v:shape>
          <o:OLEObject Type="Embed" ProgID="Equation.DSMT4" ShapeID="_x0000_i6724" DrawAspect="Content" ObjectID="_1791380668" r:id="rId11510"/>
        </w:object>
      </w:r>
      <w:r w:rsidRPr="002614E7">
        <w:rPr>
          <w:rFonts w:eastAsiaTheme="minorEastAsia" w:hint="cs"/>
          <w:i/>
          <w:sz w:val="23"/>
          <w:szCs w:val="23"/>
          <w:rtl/>
        </w:rPr>
        <w:t xml:space="preserve"> است، خواهیم داشت؛</w:t>
      </w:r>
    </w:p>
    <w:p w14:paraId="2615DE1B"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10"/>
        </w:rPr>
        <w:object w:dxaOrig="2120" w:dyaOrig="320" w14:anchorId="7378EC97">
          <v:shape id="_x0000_i6725" type="#_x0000_t75" style="width:105.9pt;height:15.75pt" o:ole="">
            <v:imagedata r:id="rId11511" o:title=""/>
          </v:shape>
          <o:OLEObject Type="Embed" ProgID="Equation.DSMT4" ShapeID="_x0000_i6725" DrawAspect="Content" ObjectID="_1791380669" r:id="rId11512"/>
        </w:object>
      </w:r>
    </w:p>
    <w:p w14:paraId="2FF67ED6"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Pr>
      </w:pPr>
      <w:r w:rsidRPr="002614E7">
        <w:rPr>
          <w:position w:val="-28"/>
        </w:rPr>
        <w:object w:dxaOrig="4280" w:dyaOrig="639" w14:anchorId="011952DF">
          <v:shape id="_x0000_i6726" type="#_x0000_t75" style="width:214.2pt;height:32.05pt" o:ole="">
            <v:imagedata r:id="rId11513" o:title=""/>
          </v:shape>
          <o:OLEObject Type="Embed" ProgID="Equation.DSMT4" ShapeID="_x0000_i6726" DrawAspect="Content" ObjectID="_1791380670" r:id="rId11514"/>
        </w:object>
      </w:r>
      <w:r w:rsidRPr="002614E7">
        <w:rPr>
          <w:rFonts w:ascii="Times New Roman" w:hAnsi="Times New Roman"/>
          <w:i/>
          <w:sz w:val="23"/>
          <w:szCs w:val="23"/>
          <w:rtl/>
        </w:rPr>
        <w:tab/>
      </w:r>
      <w:r w:rsidRPr="002614E7">
        <w:rPr>
          <w:rFonts w:ascii="Times New Roman" w:hAnsi="Times New Roman"/>
          <w:i/>
          <w:sz w:val="23"/>
          <w:szCs w:val="23"/>
        </w:rPr>
        <w:tab/>
      </w:r>
      <w:r w:rsidRPr="002614E7">
        <w:rPr>
          <w:rFonts w:ascii="Times New Roman" w:hAnsi="Times New Roman"/>
          <w:i/>
          <w:sz w:val="23"/>
          <w:szCs w:val="23"/>
          <w:rtl/>
        </w:rPr>
        <w:tab/>
      </w:r>
      <w:r w:rsidRPr="002614E7">
        <w:rPr>
          <w:rFonts w:ascii="Times New Roman" w:hAnsi="Times New Roman"/>
          <w:i/>
          <w:sz w:val="23"/>
          <w:szCs w:val="23"/>
          <w:rtl/>
        </w:rPr>
        <w:tab/>
      </w:r>
      <w:r>
        <w:rPr>
          <w:rFonts w:ascii="Times New Roman" w:hAnsi="Times New Roman"/>
          <w:i/>
          <w:sz w:val="23"/>
          <w:szCs w:val="23"/>
          <w:rtl/>
        </w:rPr>
        <w:tab/>
      </w:r>
      <w:r w:rsidRPr="002614E7">
        <w:rPr>
          <w:rFonts w:ascii="Times New Roman" w:hAnsi="Times New Roman" w:cs="B Nazanin" w:hint="cs"/>
          <w:i/>
          <w:sz w:val="23"/>
          <w:szCs w:val="23"/>
          <w:rtl/>
        </w:rPr>
        <w:tab/>
        <w:t xml:space="preserve">(۱۴. ۵) </w:t>
      </w:r>
    </w:p>
    <w:p w14:paraId="1E6CA718" w14:textId="77777777" w:rsidR="00556C10" w:rsidRPr="002614E7" w:rsidRDefault="00556C10" w:rsidP="00556C10">
      <w:pPr>
        <w:tabs>
          <w:tab w:val="right" w:pos="2167"/>
        </w:tabs>
        <w:spacing w:line="216" w:lineRule="auto"/>
        <w:jc w:val="mediumKashida"/>
        <w:rPr>
          <w:rFonts w:eastAsiaTheme="minorEastAsia"/>
          <w:i/>
          <w:sz w:val="23"/>
          <w:szCs w:val="23"/>
        </w:rPr>
      </w:pPr>
      <w:r w:rsidRPr="002614E7">
        <w:rPr>
          <w:rFonts w:eastAsiaTheme="minorEastAsia" w:hint="cs"/>
          <w:i/>
          <w:sz w:val="23"/>
          <w:szCs w:val="23"/>
          <w:rtl/>
        </w:rPr>
        <w:t>در این رابطه، نرخ تورم (و نه سطح عمومی قیمت‌ها) برابر با ارزش جاری و تنزیل شده‌ی آتی انتظاری انحرافات نرخ بهره‌ی حقیقی از پارامتر</w:t>
      </w:r>
      <w:r w:rsidRPr="002614E7">
        <w:rPr>
          <w:position w:val="-10"/>
        </w:rPr>
        <w:object w:dxaOrig="279" w:dyaOrig="320" w14:anchorId="438CEBC9">
          <v:shape id="_x0000_i6727" type="#_x0000_t75" style="width:13.9pt;height:15.75pt" o:ole="">
            <v:imagedata r:id="rId11515" o:title=""/>
          </v:shape>
          <o:OLEObject Type="Embed" ProgID="Equation.DSMT4" ShapeID="_x0000_i6727" DrawAspect="Content" ObjectID="_1791380671" r:id="rId11516"/>
        </w:object>
      </w:r>
      <w:r w:rsidRPr="002614E7">
        <w:rPr>
          <w:rFonts w:eastAsiaTheme="minorEastAsia" w:hint="cs"/>
          <w:i/>
          <w:sz w:val="23"/>
          <w:szCs w:val="23"/>
          <w:rtl/>
        </w:rPr>
        <w:t xml:space="preserve"> خواهد بود.</w:t>
      </w:r>
    </w:p>
    <w:p w14:paraId="495304E8" w14:textId="77777777" w:rsidR="00556C10" w:rsidRPr="002614E7" w:rsidRDefault="00556C10" w:rsidP="00556C10">
      <w:pPr>
        <w:tabs>
          <w:tab w:val="right" w:pos="2167"/>
        </w:tabs>
        <w:spacing w:line="216" w:lineRule="auto"/>
        <w:jc w:val="mediumKashida"/>
        <w:rPr>
          <w:rFonts w:eastAsiaTheme="minorEastAsia"/>
          <w:i/>
          <w:sz w:val="23"/>
          <w:szCs w:val="23"/>
          <w:rtl/>
        </w:rPr>
      </w:pPr>
      <w:r w:rsidRPr="002614E7">
        <w:rPr>
          <w:rFonts w:eastAsiaTheme="minorEastAsia" w:hint="cs"/>
          <w:i/>
          <w:sz w:val="23"/>
          <w:szCs w:val="23"/>
          <w:rtl/>
        </w:rPr>
        <w:t>اگر قاعده‌ی تیلور در سال ۱۹۹۳ را در نظر بگیریم،</w:t>
      </w:r>
    </w:p>
    <w:p w14:paraId="10F0132C" w14:textId="77777777" w:rsidR="00556C10" w:rsidRPr="002614E7" w:rsidRDefault="00556C10" w:rsidP="00556C10">
      <w:pPr>
        <w:pStyle w:val="MTDisplayEquation"/>
        <w:spacing w:line="216" w:lineRule="auto"/>
        <w:jc w:val="left"/>
        <w:rPr>
          <w:rFonts w:ascii="Times New Roman" w:hAnsi="Times New Roman" w:cs="B Nazanin"/>
          <w:i/>
          <w:sz w:val="23"/>
          <w:szCs w:val="23"/>
          <w:rtl/>
        </w:rPr>
      </w:pPr>
      <w:r w:rsidRPr="002614E7">
        <w:rPr>
          <w:position w:val="-16"/>
        </w:rPr>
        <w:object w:dxaOrig="2520" w:dyaOrig="420" w14:anchorId="103E4F65">
          <v:shape id="_x0000_i6728" type="#_x0000_t75" style="width:125.85pt;height:21.2pt" o:ole="">
            <v:imagedata r:id="rId11517" o:title=""/>
          </v:shape>
          <o:OLEObject Type="Embed" ProgID="Equation.DSMT4" ShapeID="_x0000_i6728" DrawAspect="Content" ObjectID="_1791380672" r:id="rId11518"/>
        </w:object>
      </w:r>
    </w:p>
    <w:p w14:paraId="651C3F1F" w14:textId="77777777" w:rsidR="00556C10" w:rsidRPr="002614E7" w:rsidRDefault="00556C10" w:rsidP="00556C10">
      <w:pPr>
        <w:tabs>
          <w:tab w:val="right" w:pos="2167"/>
        </w:tabs>
        <w:spacing w:line="216" w:lineRule="auto"/>
        <w:jc w:val="mediumKashida"/>
        <w:rPr>
          <w:rFonts w:eastAsiaTheme="minorEastAsia"/>
          <w:i/>
          <w:sz w:val="23"/>
          <w:szCs w:val="23"/>
        </w:rPr>
      </w:pPr>
      <w:r w:rsidRPr="002614E7">
        <w:rPr>
          <w:rFonts w:eastAsiaTheme="minorEastAsia" w:hint="cs"/>
          <w:i/>
          <w:sz w:val="23"/>
          <w:szCs w:val="23"/>
          <w:rtl/>
        </w:rPr>
        <w:t>که در آن</w:t>
      </w:r>
      <w:r w:rsidRPr="002614E7">
        <w:rPr>
          <w:position w:val="-6"/>
        </w:rPr>
        <w:object w:dxaOrig="240" w:dyaOrig="300" w14:anchorId="41789EAC">
          <v:shape id="_x0000_i6729" type="#_x0000_t75" style="width:11.5pt;height:14.5pt" o:ole="">
            <v:imagedata r:id="rId11519" o:title=""/>
          </v:shape>
          <o:OLEObject Type="Embed" ProgID="Equation.DSMT4" ShapeID="_x0000_i6729" DrawAspect="Content" ObjectID="_1791380673" r:id="rId11520"/>
        </w:object>
      </w:r>
      <w:r w:rsidRPr="002614E7">
        <w:rPr>
          <w:rFonts w:eastAsiaTheme="minorEastAsia" w:hint="cs"/>
          <w:i/>
          <w:sz w:val="23"/>
          <w:szCs w:val="23"/>
          <w:rtl/>
        </w:rPr>
        <w:t xml:space="preserve"> مقدار نرخ بهره‌ی اسمی هدف‌گذاری شده‌ی بلند</w:t>
      </w:r>
      <w:r w:rsidRPr="002614E7">
        <w:rPr>
          <w:rFonts w:eastAsiaTheme="minorEastAsia" w:hint="cs"/>
          <w:i/>
          <w:sz w:val="23"/>
          <w:szCs w:val="23"/>
          <w:rtl/>
        </w:rPr>
        <w:softHyphen/>
        <w:t xml:space="preserve">مدت </w:t>
      </w:r>
      <w:r w:rsidRPr="002614E7">
        <w:rPr>
          <w:rFonts w:hint="cs"/>
          <w:i/>
          <w:sz w:val="23"/>
          <w:szCs w:val="23"/>
          <w:rtl/>
        </w:rPr>
        <w:t>باشد</w:t>
      </w:r>
      <w:r w:rsidRPr="002614E7">
        <w:rPr>
          <w:rFonts w:eastAsiaTheme="minorEastAsia" w:hint="cs"/>
          <w:i/>
          <w:sz w:val="23"/>
          <w:szCs w:val="23"/>
          <w:rtl/>
        </w:rPr>
        <w:t>،</w:t>
      </w:r>
      <w:r w:rsidRPr="002614E7">
        <w:rPr>
          <w:position w:val="-6"/>
        </w:rPr>
        <w:object w:dxaOrig="279" w:dyaOrig="300" w14:anchorId="4B6C032D">
          <v:shape id="_x0000_i6730" type="#_x0000_t75" style="width:13.9pt;height:14.5pt" o:ole="">
            <v:imagedata r:id="rId11521" o:title=""/>
          </v:shape>
          <o:OLEObject Type="Embed" ProgID="Equation.DSMT4" ShapeID="_x0000_i6730" DrawAspect="Content" ObjectID="_1791380674" r:id="rId11522"/>
        </w:object>
      </w:r>
      <w:r w:rsidRPr="002614E7">
        <w:rPr>
          <w:rFonts w:eastAsiaTheme="minorEastAsia" w:hint="cs"/>
          <w:i/>
          <w:sz w:val="23"/>
          <w:szCs w:val="23"/>
          <w:rtl/>
        </w:rPr>
        <w:t xml:space="preserve"> نرخ تورم هدف‌،</w:t>
      </w:r>
      <w:r w:rsidRPr="002614E7">
        <w:rPr>
          <w:position w:val="-10"/>
        </w:rPr>
        <w:object w:dxaOrig="240" w:dyaOrig="320" w14:anchorId="09C2B542">
          <v:shape id="_x0000_i6731" type="#_x0000_t75" style="width:11.5pt;height:15.75pt" o:ole="">
            <v:imagedata r:id="rId11523" o:title=""/>
          </v:shape>
          <o:OLEObject Type="Embed" ProgID="Equation.DSMT4" ShapeID="_x0000_i6731" DrawAspect="Content" ObjectID="_1791380675" r:id="rId11524"/>
        </w:object>
      </w:r>
      <w:r w:rsidRPr="002614E7">
        <w:rPr>
          <w:rFonts w:eastAsiaTheme="minorEastAsia" w:hint="cs"/>
          <w:i/>
          <w:sz w:val="23"/>
          <w:szCs w:val="23"/>
          <w:rtl/>
        </w:rPr>
        <w:t xml:space="preserve"> شکاف تولید یا انحرف تولید از روند تولید و یا انحرف تولید از مقادیر تعادلی بلند‌مدت آن ‌باشد، و مقادیر پارامترهای</w:t>
      </w:r>
      <w:r w:rsidRPr="002614E7">
        <w:rPr>
          <w:position w:val="-10"/>
        </w:rPr>
        <w:object w:dxaOrig="740" w:dyaOrig="320" w14:anchorId="0DB06BA3">
          <v:shape id="_x0000_i6732" type="#_x0000_t75" style="width:36.9pt;height:15.75pt" o:ole="">
            <v:imagedata r:id="rId11525" o:title=""/>
          </v:shape>
          <o:OLEObject Type="Embed" ProgID="Equation.DSMT4" ShapeID="_x0000_i6732" DrawAspect="Content" ObjectID="_1791380676" r:id="rId11526"/>
        </w:object>
      </w:r>
      <w:r w:rsidRPr="002614E7">
        <w:rPr>
          <w:rFonts w:eastAsiaTheme="minorEastAsia" w:hint="cs"/>
          <w:i/>
          <w:sz w:val="23"/>
          <w:szCs w:val="23"/>
          <w:rtl/>
        </w:rPr>
        <w:t xml:space="preserve"> و</w:t>
      </w:r>
      <w:r w:rsidRPr="002614E7">
        <w:rPr>
          <w:position w:val="-10"/>
        </w:rPr>
        <w:object w:dxaOrig="780" w:dyaOrig="320" w14:anchorId="441E0AB5">
          <v:shape id="_x0000_i6733" type="#_x0000_t75" style="width:39.35pt;height:15.75pt" o:ole="">
            <v:imagedata r:id="rId11527" o:title=""/>
          </v:shape>
          <o:OLEObject Type="Embed" ProgID="Equation.DSMT4" ShapeID="_x0000_i6733" DrawAspect="Content" ObjectID="_1791380677" r:id="rId11528"/>
        </w:object>
      </w:r>
      <w:r w:rsidRPr="002614E7">
        <w:rPr>
          <w:rFonts w:eastAsiaTheme="minorEastAsia" w:hint="cs"/>
          <w:i/>
          <w:sz w:val="23"/>
          <w:szCs w:val="23"/>
          <w:rtl/>
        </w:rPr>
        <w:t xml:space="preserve"> باشند، آنگاه با توجه به معادله</w:t>
      </w:r>
      <w:r w:rsidRPr="002614E7">
        <w:rPr>
          <w:rFonts w:eastAsiaTheme="minorEastAsia" w:hint="cs"/>
          <w:i/>
          <w:sz w:val="23"/>
          <w:szCs w:val="23"/>
          <w:rtl/>
        </w:rPr>
        <w:softHyphen/>
        <w:t>ی فیشر خواهیم داشت،</w:t>
      </w:r>
    </w:p>
    <w:p w14:paraId="07AE74B0"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10"/>
        </w:rPr>
        <w:object w:dxaOrig="3739" w:dyaOrig="340" w14:anchorId="4F8D87F6">
          <v:shape id="_x0000_i6734" type="#_x0000_t75" style="width:186.95pt;height:16.95pt" o:ole="">
            <v:imagedata r:id="rId11529" o:title=""/>
          </v:shape>
          <o:OLEObject Type="Embed" ProgID="Equation.DSMT4" ShapeID="_x0000_i6734" DrawAspect="Content" ObjectID="_1791380678" r:id="rId11530"/>
        </w:object>
      </w:r>
    </w:p>
    <w:p w14:paraId="4ABF310B"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28"/>
        </w:rPr>
        <w:object w:dxaOrig="4200" w:dyaOrig="740" w14:anchorId="03A5C9C7">
          <v:shape id="_x0000_i6735" type="#_x0000_t75" style="width:209.95pt;height:36.9pt" o:ole="">
            <v:imagedata r:id="rId11531" o:title=""/>
          </v:shape>
          <o:OLEObject Type="Embed" ProgID="Equation.DSMT4" ShapeID="_x0000_i6735" DrawAspect="Content" ObjectID="_1791380679" r:id="rId11532"/>
        </w:object>
      </w:r>
    </w:p>
    <w:p w14:paraId="23C95A2D"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Pr>
      </w:pPr>
      <w:r w:rsidRPr="002614E7">
        <w:rPr>
          <w:position w:val="-28"/>
        </w:rPr>
        <w:object w:dxaOrig="4080" w:dyaOrig="740" w14:anchorId="0A3A8FDE">
          <v:shape id="_x0000_i6736" type="#_x0000_t75" style="width:203.9pt;height:36.9pt" o:ole="">
            <v:imagedata r:id="rId11533" o:title=""/>
          </v:shape>
          <o:OLEObject Type="Embed" ProgID="Equation.DSMT4" ShapeID="_x0000_i6736" DrawAspect="Content" ObjectID="_1791380680" r:id="rId11534"/>
        </w:object>
      </w:r>
      <w:r w:rsidRPr="002614E7">
        <w:rPr>
          <w:rFonts w:ascii="Times New Roman" w:hAnsi="Times New Roman"/>
          <w:i/>
          <w:sz w:val="23"/>
          <w:szCs w:val="23"/>
        </w:rPr>
        <w:tab/>
      </w:r>
      <w:r w:rsidRPr="002614E7">
        <w:rPr>
          <w:rFonts w:ascii="Times New Roman" w:hAnsi="Times New Roman"/>
          <w:i/>
          <w:sz w:val="23"/>
          <w:szCs w:val="23"/>
          <w:rtl/>
        </w:rPr>
        <w:tab/>
      </w:r>
      <w:r>
        <w:rPr>
          <w:rFonts w:ascii="Times New Roman" w:hAnsi="Times New Roman"/>
          <w:i/>
          <w:sz w:val="23"/>
          <w:szCs w:val="23"/>
          <w:rtl/>
        </w:rPr>
        <w:tab/>
      </w:r>
      <w:r>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(۱۴. ۶)</w:t>
      </w:r>
    </w:p>
    <w:p w14:paraId="7E952864" w14:textId="77777777" w:rsidR="00556C10" w:rsidRPr="002614E7" w:rsidRDefault="00556C10" w:rsidP="00556C10">
      <w:pPr>
        <w:tabs>
          <w:tab w:val="right" w:pos="2167"/>
        </w:tabs>
        <w:spacing w:line="216" w:lineRule="auto"/>
        <w:jc w:val="mediumKashida"/>
        <w:rPr>
          <w:rFonts w:eastAsiaTheme="minorEastAsia"/>
          <w:i/>
          <w:sz w:val="23"/>
          <w:szCs w:val="23"/>
        </w:rPr>
      </w:pPr>
      <w:r w:rsidRPr="002614E7">
        <w:rPr>
          <w:rFonts w:eastAsiaTheme="minorEastAsia" w:hint="cs"/>
          <w:i/>
          <w:sz w:val="23"/>
          <w:szCs w:val="23"/>
          <w:rtl/>
        </w:rPr>
        <w:t>بنابر این تورم بوسیله</w:t>
      </w:r>
      <w:r w:rsidRPr="002614E7">
        <w:rPr>
          <w:rFonts w:eastAsiaTheme="minorEastAsia" w:hint="cs"/>
          <w:i/>
          <w:sz w:val="23"/>
          <w:szCs w:val="23"/>
          <w:rtl/>
        </w:rPr>
        <w:softHyphen/>
        <w:t xml:space="preserve">ی مقادیر جاری و آتی انتظاری نرخ بهره‌ی حقیقی و شکاف تولید بدست خواهد آمد. با توجه به نتایج فوق به نظر می‌رسد ارائه‌ی مدلی برای شکاف تولید و نرخ بهره‌ی حقیقی ضروری باشد. </w:t>
      </w:r>
    </w:p>
    <w:p w14:paraId="3B3B7F70" w14:textId="77777777" w:rsidR="00556C10" w:rsidRPr="002614E7" w:rsidRDefault="00556C10" w:rsidP="00556C10">
      <w:pPr>
        <w:tabs>
          <w:tab w:val="right" w:pos="2167"/>
        </w:tabs>
        <w:spacing w:line="216" w:lineRule="auto"/>
        <w:jc w:val="mediumKashida"/>
        <w:rPr>
          <w:rFonts w:eastAsiaTheme="minorEastAsia"/>
          <w:i/>
          <w:sz w:val="23"/>
          <w:szCs w:val="23"/>
          <w:rtl/>
        </w:rPr>
      </w:pPr>
      <w:r w:rsidRPr="002614E7">
        <w:rPr>
          <w:rFonts w:eastAsiaTheme="minorEastAsia" w:hint="cs"/>
          <w:i/>
          <w:sz w:val="23"/>
          <w:szCs w:val="23"/>
          <w:rtl/>
        </w:rPr>
        <w:t>مفروضات فوق نشان می‌دهد که چگونه روش‌های مختلف اجرای سیاست پولی بر تورم و سطح عمومی قیمت‌ها تأثیر می</w:t>
      </w:r>
      <w:r w:rsidRPr="002614E7">
        <w:rPr>
          <w:rFonts w:eastAsiaTheme="minorEastAsia"/>
          <w:i/>
          <w:sz w:val="23"/>
          <w:szCs w:val="23"/>
          <w:rtl/>
        </w:rPr>
        <w:softHyphen/>
      </w:r>
      <w:r w:rsidRPr="002614E7">
        <w:rPr>
          <w:rFonts w:eastAsiaTheme="minorEastAsia" w:hint="cs"/>
          <w:i/>
          <w:sz w:val="23"/>
          <w:szCs w:val="23"/>
          <w:rtl/>
        </w:rPr>
        <w:t>گذارد. انتخاب هدف‌</w:t>
      </w:r>
      <w:r w:rsidRPr="002614E7">
        <w:rPr>
          <w:rFonts w:eastAsiaTheme="minorEastAsia" w:hint="cs"/>
          <w:i/>
          <w:sz w:val="23"/>
          <w:szCs w:val="23"/>
          <w:rtl/>
        </w:rPr>
        <w:softHyphen/>
        <w:t>گذاری تورم و یا سطح قیمت، سیاست صلاحدیدی و یا اعمال قواعد، و همچنین نوع قاعده‌ی بکار گرفته شده همگی بر نتایج مدل، و همچنین انتخاب مدل اقتصادی مورد نیاز جهت تجزیه و تحلیل سیاست</w:t>
      </w:r>
      <w:r w:rsidRPr="002614E7">
        <w:rPr>
          <w:rFonts w:eastAsiaTheme="minorEastAsia" w:hint="cs"/>
          <w:i/>
          <w:sz w:val="23"/>
          <w:szCs w:val="23"/>
          <w:rtl/>
        </w:rPr>
        <w:softHyphen/>
        <w:t>های پولی تأثیر خواهند گذاشت.</w:t>
      </w:r>
    </w:p>
    <w:p w14:paraId="7494AFF2" w14:textId="77777777" w:rsidR="00556C10" w:rsidRPr="002614E7" w:rsidRDefault="00556C10" w:rsidP="00556C10">
      <w:pPr>
        <w:tabs>
          <w:tab w:val="right" w:pos="2167"/>
        </w:tabs>
        <w:spacing w:line="216" w:lineRule="auto"/>
        <w:jc w:val="mediumKashida"/>
        <w:rPr>
          <w:rFonts w:eastAsiaTheme="minorEastAsia"/>
          <w:i/>
          <w:sz w:val="23"/>
          <w:szCs w:val="23"/>
          <w:rtl/>
        </w:rPr>
      </w:pPr>
      <w:r w:rsidRPr="002614E7">
        <w:rPr>
          <w:rFonts w:eastAsiaTheme="minorEastAsia" w:hint="cs"/>
          <w:i/>
          <w:sz w:val="23"/>
          <w:szCs w:val="23"/>
          <w:rtl/>
        </w:rPr>
        <w:lastRenderedPageBreak/>
        <w:t>قبلاً به این نکته اشاره کردیم که هدف‌‌گذاری تورم نسبت به هدف</w:t>
      </w:r>
      <w:r w:rsidRPr="002614E7">
        <w:rPr>
          <w:rFonts w:eastAsiaTheme="minorEastAsia" w:hint="cs"/>
          <w:i/>
          <w:sz w:val="23"/>
          <w:szCs w:val="23"/>
          <w:rtl/>
        </w:rPr>
        <w:softHyphen/>
        <w:t>گذاری سطح قیمت ممکن است هزینه‌ی کم</w:t>
      </w:r>
      <w:r w:rsidRPr="002614E7">
        <w:rPr>
          <w:rFonts w:eastAsiaTheme="minorEastAsia" w:hint="cs"/>
          <w:i/>
          <w:sz w:val="23"/>
          <w:szCs w:val="23"/>
          <w:rtl/>
        </w:rPr>
        <w:softHyphen/>
        <w:t>تری را بر تولید تحمیل ‌کند. زیرا شوک مثبت بر سطح قیمت، بالاخص اگر شوک نسبتاً بزرگ باشد، ممکن است سطح قیمت و سپس تولید را کاهش دهد. درحالی</w:t>
      </w:r>
      <w:r w:rsidRPr="002614E7">
        <w:rPr>
          <w:rFonts w:eastAsiaTheme="minorEastAsia" w:hint="cs"/>
          <w:i/>
          <w:sz w:val="23"/>
          <w:szCs w:val="23"/>
          <w:rtl/>
        </w:rPr>
        <w:softHyphen/>
        <w:t>که تحت شرایط هدف‌‌گذاری تورم، شوک موقتی بر سطح قیمت، که اثرات بعدی و متعاقبی بر تورم از طریق مثلاً دستمزد نداشته باشد، ممکن است نادیده گرفته شود. ضمناً هدف‌‌گذاری سطح قیمت، نوسان تورم را افزایش می</w:t>
      </w:r>
      <w:r w:rsidRPr="002614E7">
        <w:rPr>
          <w:rFonts w:eastAsiaTheme="minorEastAsia" w:hint="cs"/>
          <w:i/>
          <w:sz w:val="23"/>
          <w:szCs w:val="23"/>
          <w:rtl/>
        </w:rPr>
        <w:softHyphen/>
        <w:t>دهد. زیرا شوکی که باعث افزایش سطح قیمت شود علت تورم موقتی بوده و هنگامی که سطح قیمت به سطح هدف‌‌گذاری خود باز می‌گردد، تورم می‌بایست کاهش یابد که علت نوسان تورم خواهد بود. بنابر دلایل فوق، پیشنهاد می‌شود که هدف‌‌گذاری تورم بر هدف‌‌گذاری سطح قیمت ترجیح داده شود.</w:t>
      </w:r>
    </w:p>
    <w:p w14:paraId="072EC2F7" w14:textId="77777777" w:rsidR="00556C10" w:rsidRPr="002614E7" w:rsidRDefault="00556C10" w:rsidP="00556C10">
      <w:pPr>
        <w:tabs>
          <w:tab w:val="right" w:pos="2167"/>
        </w:tabs>
        <w:spacing w:line="216" w:lineRule="auto"/>
        <w:jc w:val="mediumKashida"/>
        <w:rPr>
          <w:rFonts w:eastAsiaTheme="minorEastAsia"/>
          <w:i/>
          <w:sz w:val="23"/>
          <w:szCs w:val="23"/>
          <w:rtl/>
        </w:rPr>
      </w:pPr>
    </w:p>
    <w:p w14:paraId="27FA2E83" w14:textId="77777777" w:rsidR="00556C10" w:rsidRPr="002614E7" w:rsidRDefault="00556C10" w:rsidP="00556C10">
      <w:pPr>
        <w:pStyle w:val="Heading1"/>
        <w:spacing w:before="0" w:line="216" w:lineRule="auto"/>
        <w:rPr>
          <w:rFonts w:ascii="Times New Roman" w:eastAsiaTheme="minorEastAsia" w:hAnsi="Times New Roman" w:cs="B Nazanin"/>
          <w:b w:val="0"/>
          <w:i/>
          <w:sz w:val="23"/>
          <w:szCs w:val="23"/>
          <w:rtl/>
        </w:rPr>
      </w:pPr>
      <w:r w:rsidRPr="002614E7">
        <w:rPr>
          <w:rFonts w:ascii="Times New Roman" w:eastAsiaTheme="minorEastAsia" w:hAnsi="Times New Roman" w:cs="B Nazanin" w:hint="cs"/>
          <w:b w:val="0"/>
          <w:i/>
          <w:sz w:val="23"/>
          <w:szCs w:val="23"/>
          <w:rtl/>
        </w:rPr>
        <w:t>۱۴. ۳ مدل تورم کینزین</w:t>
      </w:r>
    </w:p>
    <w:p w14:paraId="43D71495" w14:textId="77777777" w:rsidR="00556C10" w:rsidRPr="002614E7" w:rsidRDefault="00556C10" w:rsidP="00556C10">
      <w:pPr>
        <w:tabs>
          <w:tab w:val="right" w:pos="2167"/>
        </w:tabs>
        <w:spacing w:line="216" w:lineRule="auto"/>
        <w:jc w:val="mediumKashida"/>
        <w:rPr>
          <w:rFonts w:eastAsiaTheme="minorEastAsia"/>
          <w:i/>
          <w:sz w:val="23"/>
          <w:szCs w:val="23"/>
          <w:rtl/>
        </w:rPr>
      </w:pPr>
      <w:r w:rsidRPr="002614E7">
        <w:rPr>
          <w:rFonts w:eastAsiaTheme="minorEastAsia" w:hint="cs"/>
          <w:i/>
          <w:sz w:val="23"/>
          <w:szCs w:val="23"/>
          <w:rtl/>
        </w:rPr>
        <w:t>قبل از آن</w:t>
      </w:r>
      <w:r w:rsidRPr="002614E7">
        <w:rPr>
          <w:rFonts w:eastAsiaTheme="minorEastAsia" w:hint="cs"/>
          <w:i/>
          <w:sz w:val="23"/>
          <w:szCs w:val="23"/>
          <w:rtl/>
        </w:rPr>
        <w:softHyphen/>
        <w:t>که نظریه</w:t>
      </w:r>
      <w:r w:rsidRPr="002614E7">
        <w:rPr>
          <w:rFonts w:eastAsiaTheme="minorEastAsia" w:hint="cs"/>
          <w:i/>
          <w:sz w:val="23"/>
          <w:szCs w:val="23"/>
          <w:rtl/>
        </w:rPr>
        <w:softHyphen/>
        <w:t>های مدرن هدف‌‌گذاری تورم را بررسی کنیم لازم است تا مدل کینزین را جهت تعیین، تبیین و کنترل تورم طرح و مورد بازبینی قرار دهیم. یکی از مهمترین تغییرات و تعدیلات نسخه‌ی اولیه و اصلی مدل اقتصاد کلان کینز، ورود معادله‌ای است که چگونگی تعدیل قیمت</w:t>
      </w:r>
      <w:r w:rsidRPr="002614E7">
        <w:rPr>
          <w:rFonts w:eastAsiaTheme="minorEastAsia"/>
          <w:i/>
          <w:sz w:val="23"/>
          <w:szCs w:val="23"/>
          <w:rtl/>
        </w:rPr>
        <w:softHyphen/>
      </w:r>
      <w:r w:rsidRPr="002614E7">
        <w:rPr>
          <w:rFonts w:eastAsiaTheme="minorEastAsia" w:hint="cs"/>
          <w:i/>
          <w:sz w:val="23"/>
          <w:szCs w:val="23"/>
          <w:rtl/>
        </w:rPr>
        <w:t>ها را در آن توضیح می‌دهد. این معادله تحت عنوان منحنی فیلیپس</w:t>
      </w:r>
      <w:r w:rsidRPr="002614E7">
        <w:rPr>
          <w:rStyle w:val="FootnoteReference"/>
          <w:rFonts w:eastAsiaTheme="minorEastAsia"/>
          <w:i/>
          <w:sz w:val="23"/>
          <w:szCs w:val="23"/>
          <w:rtl/>
        </w:rPr>
        <w:footnoteReference w:id="330"/>
      </w:r>
      <w:r w:rsidRPr="002614E7">
        <w:rPr>
          <w:rFonts w:eastAsiaTheme="minorEastAsia" w:hint="cs"/>
          <w:i/>
          <w:sz w:val="23"/>
          <w:szCs w:val="23"/>
          <w:rtl/>
        </w:rPr>
        <w:t xml:space="preserve"> شناخته می‌شود. برای سال</w:t>
      </w:r>
      <w:r w:rsidRPr="002614E7">
        <w:rPr>
          <w:rFonts w:eastAsiaTheme="minorEastAsia" w:hint="cs"/>
          <w:i/>
          <w:sz w:val="23"/>
          <w:szCs w:val="23"/>
          <w:rtl/>
        </w:rPr>
        <w:softHyphen/>
        <w:t>های متمادی این معادله یکی از اجزاء استاندارد مدل کینز محسوب می‌شد و نقش بسیار مهمی را در تجزیه و تحلیل تورم داشت.</w:t>
      </w:r>
      <w:r w:rsidRPr="002614E7">
        <w:rPr>
          <w:rStyle w:val="FootnoteReference"/>
          <w:rFonts w:eastAsiaTheme="minorEastAsia"/>
          <w:i/>
          <w:sz w:val="23"/>
          <w:szCs w:val="23"/>
          <w:rtl/>
        </w:rPr>
        <w:footnoteReference w:id="331"/>
      </w:r>
      <w:r w:rsidRPr="002614E7">
        <w:rPr>
          <w:rFonts w:eastAsiaTheme="minorEastAsia" w:hint="cs"/>
          <w:i/>
          <w:sz w:val="23"/>
          <w:szCs w:val="23"/>
          <w:rtl/>
        </w:rPr>
        <w:t xml:space="preserve"> بعدها اقتصاددانان به این نتیجه رسیدند که این نظریه قادر نیست تورم را بخوبی تبیین کند.</w:t>
      </w:r>
      <w:r w:rsidRPr="002614E7">
        <w:rPr>
          <w:rStyle w:val="FootnoteReference"/>
          <w:rFonts w:eastAsiaTheme="minorEastAsia"/>
          <w:i/>
          <w:sz w:val="23"/>
          <w:szCs w:val="23"/>
          <w:rtl/>
        </w:rPr>
        <w:footnoteReference w:id="332"/>
      </w:r>
      <w:r w:rsidRPr="002614E7">
        <w:rPr>
          <w:rFonts w:eastAsiaTheme="minorEastAsia" w:hint="cs"/>
          <w:i/>
          <w:sz w:val="23"/>
          <w:szCs w:val="23"/>
          <w:rtl/>
        </w:rPr>
        <w:t xml:space="preserve"> بنابراین نظریه تورمِ مدرن ارائه شد که بر نسخه‌ی تعدیل شده‌</w:t>
      </w:r>
      <w:r w:rsidRPr="002614E7">
        <w:rPr>
          <w:rFonts w:eastAsiaTheme="minorEastAsia" w:hint="cs"/>
          <w:i/>
          <w:sz w:val="23"/>
          <w:szCs w:val="23"/>
          <w:rtl/>
        </w:rPr>
        <w:softHyphen/>
        <w:t>ای از منحنی فیلیپس استوار است.</w:t>
      </w:r>
    </w:p>
    <w:p w14:paraId="2D3D6C6D" w14:textId="77777777" w:rsidR="00556C10" w:rsidRPr="002614E7" w:rsidRDefault="00556C10" w:rsidP="00556C10">
      <w:pPr>
        <w:tabs>
          <w:tab w:val="right" w:pos="2167"/>
        </w:tabs>
        <w:spacing w:line="216" w:lineRule="auto"/>
        <w:jc w:val="mediumKashida"/>
        <w:rPr>
          <w:rFonts w:eastAsiaTheme="minorEastAsia"/>
          <w:i/>
          <w:sz w:val="23"/>
          <w:szCs w:val="23"/>
          <w:rtl/>
        </w:rPr>
      </w:pPr>
      <w:r w:rsidRPr="002614E7">
        <w:rPr>
          <w:rFonts w:eastAsiaTheme="minorEastAsia" w:hint="cs"/>
          <w:i/>
          <w:sz w:val="23"/>
          <w:szCs w:val="23"/>
          <w:rtl/>
        </w:rPr>
        <w:t>مدل کینزین زیر را برای یک اقتصاد بسته که شامل منحنی فیلیپس همراه با متغیر انتظارات تورمی است در نظر بگیرید</w:t>
      </w:r>
    </w:p>
    <w:p w14:paraId="28755256" w14:textId="77777777" w:rsidR="00556C10" w:rsidRPr="002614E7" w:rsidRDefault="00556C10" w:rsidP="00556C10">
      <w:pPr>
        <w:tabs>
          <w:tab w:val="right" w:pos="2167"/>
        </w:tabs>
        <w:bidi w:val="0"/>
        <w:spacing w:line="216" w:lineRule="auto"/>
        <w:rPr>
          <w:rFonts w:eastAsiaTheme="minorEastAsia"/>
          <w:i/>
          <w:sz w:val="23"/>
          <w:szCs w:val="23"/>
          <w:rtl/>
        </w:rPr>
      </w:pPr>
      <w:r w:rsidRPr="002614E7">
        <w:rPr>
          <w:position w:val="-12"/>
        </w:rPr>
        <w:object w:dxaOrig="4620" w:dyaOrig="360" w14:anchorId="03ADF073">
          <v:shape id="_x0000_i6737" type="#_x0000_t75" style="width:231.15pt;height:18.15pt" o:ole="">
            <v:imagedata r:id="rId11535" o:title=""/>
          </v:shape>
          <o:OLEObject Type="Embed" ProgID="Equation.DSMT4" ShapeID="_x0000_i6737" DrawAspect="Content" ObjectID="_1791380681" r:id="rId11536"/>
        </w:object>
      </w:r>
      <w:r w:rsidRPr="002614E7">
        <w:rPr>
          <w:rFonts w:eastAsiaTheme="minorEastAsia" w:hint="cs"/>
          <w:i/>
          <w:sz w:val="23"/>
          <w:szCs w:val="23"/>
          <w:rtl/>
        </w:rPr>
        <w:t xml:space="preserve"> </w:t>
      </w:r>
      <w:r w:rsidRPr="002614E7">
        <w:rPr>
          <w:rFonts w:eastAsiaTheme="minorEastAsia" w:hint="cs"/>
          <w:i/>
          <w:sz w:val="23"/>
          <w:szCs w:val="23"/>
          <w:rtl/>
        </w:rPr>
        <w:tab/>
      </w:r>
      <w:r w:rsidRPr="002614E7">
        <w:rPr>
          <w:rFonts w:eastAsiaTheme="minorEastAsia"/>
          <w:i/>
          <w:sz w:val="23"/>
          <w:szCs w:val="23"/>
        </w:rPr>
        <w:tab/>
      </w:r>
      <w:r w:rsidRPr="002614E7">
        <w:rPr>
          <w:rFonts w:eastAsiaTheme="minorEastAsia" w:hint="cs"/>
          <w:i/>
          <w:sz w:val="23"/>
          <w:szCs w:val="23"/>
          <w:rtl/>
        </w:rPr>
        <w:tab/>
      </w:r>
      <w:r>
        <w:rPr>
          <w:rFonts w:eastAsiaTheme="minorEastAsia"/>
          <w:i/>
          <w:sz w:val="23"/>
          <w:szCs w:val="23"/>
          <w:rtl/>
        </w:rPr>
        <w:tab/>
      </w:r>
      <w:r w:rsidRPr="002614E7">
        <w:rPr>
          <w:rFonts w:eastAsiaTheme="minorEastAsia"/>
          <w:i/>
          <w:sz w:val="23"/>
          <w:szCs w:val="23"/>
        </w:rPr>
        <w:tab/>
      </w:r>
      <w:r w:rsidRPr="002614E7">
        <w:rPr>
          <w:rFonts w:eastAsiaTheme="minorEastAsia" w:hint="cs"/>
          <w:i/>
          <w:sz w:val="23"/>
          <w:szCs w:val="23"/>
          <w:rtl/>
        </w:rPr>
        <w:t>(۱۴. ۷)</w:t>
      </w:r>
    </w:p>
    <w:p w14:paraId="37E484AF" w14:textId="77777777" w:rsidR="00556C10" w:rsidRPr="002614E7" w:rsidRDefault="00556C10" w:rsidP="00556C10">
      <w:pPr>
        <w:tabs>
          <w:tab w:val="right" w:pos="2167"/>
        </w:tabs>
        <w:spacing w:line="216" w:lineRule="auto"/>
        <w:rPr>
          <w:rFonts w:eastAsiaTheme="minorEastAsia"/>
          <w:i/>
          <w:sz w:val="23"/>
          <w:szCs w:val="23"/>
          <w:rtl/>
        </w:rPr>
      </w:pPr>
      <w:r w:rsidRPr="002614E7">
        <w:rPr>
          <w:rFonts w:eastAsiaTheme="minorEastAsia" w:hint="cs"/>
          <w:i/>
          <w:sz w:val="23"/>
          <w:szCs w:val="23"/>
          <w:rtl/>
        </w:rPr>
        <w:t>که در آن</w:t>
      </w:r>
      <w:r w:rsidRPr="002614E7">
        <w:rPr>
          <w:position w:val="-10"/>
        </w:rPr>
        <w:object w:dxaOrig="260" w:dyaOrig="320" w14:anchorId="42EE131D">
          <v:shape id="_x0000_i6738" type="#_x0000_t75" style="width:13.3pt;height:15.75pt" o:ole="">
            <v:imagedata r:id="rId11537" o:title=""/>
          </v:shape>
          <o:OLEObject Type="Embed" ProgID="Equation.DSMT4" ShapeID="_x0000_i6738" DrawAspect="Content" ObjectID="_1791380682" r:id="rId11538"/>
        </w:object>
      </w:r>
      <w:r w:rsidRPr="002614E7">
        <w:rPr>
          <w:rFonts w:eastAsiaTheme="minorEastAsia" w:hint="cs"/>
          <w:i/>
          <w:sz w:val="23"/>
          <w:szCs w:val="23"/>
          <w:rtl/>
        </w:rPr>
        <w:t xml:space="preserve"> لگاریتم دستمزد اسمی،</w:t>
      </w:r>
      <w:r w:rsidRPr="002614E7">
        <w:rPr>
          <w:position w:val="-10"/>
        </w:rPr>
        <w:object w:dxaOrig="260" w:dyaOrig="320" w14:anchorId="4260273C">
          <v:shape id="_x0000_i6739" type="#_x0000_t75" style="width:13.3pt;height:15.75pt" o:ole="">
            <v:imagedata r:id="rId11539" o:title=""/>
          </v:shape>
          <o:OLEObject Type="Embed" ProgID="Equation.DSMT4" ShapeID="_x0000_i6739" DrawAspect="Content" ObjectID="_1791380683" r:id="rId11540"/>
        </w:object>
      </w:r>
      <w:r w:rsidRPr="002614E7">
        <w:rPr>
          <w:rFonts w:eastAsiaTheme="minorEastAsia" w:hint="cs"/>
          <w:i/>
          <w:sz w:val="23"/>
          <w:szCs w:val="23"/>
          <w:rtl/>
        </w:rPr>
        <w:t xml:space="preserve"> لگاریتم سطح قیمت،</w:t>
      </w:r>
      <w:r w:rsidRPr="002614E7">
        <w:rPr>
          <w:position w:val="-10"/>
        </w:rPr>
        <w:object w:dxaOrig="240" w:dyaOrig="320" w14:anchorId="7DCE119E">
          <v:shape id="_x0000_i6740" type="#_x0000_t75" style="width:11.5pt;height:15.75pt" o:ole="">
            <v:imagedata r:id="rId11541" o:title=""/>
          </v:shape>
          <o:OLEObject Type="Embed" ProgID="Equation.DSMT4" ShapeID="_x0000_i6740" DrawAspect="Content" ObjectID="_1791380684" r:id="rId11542"/>
        </w:object>
      </w:r>
      <w:r w:rsidRPr="002614E7">
        <w:rPr>
          <w:rFonts w:eastAsiaTheme="minorEastAsia" w:hint="cs"/>
          <w:i/>
          <w:sz w:val="23"/>
          <w:szCs w:val="23"/>
          <w:rtl/>
        </w:rPr>
        <w:t xml:space="preserve"> نرخ بیکاری و</w:t>
      </w:r>
      <w:r w:rsidRPr="002614E7">
        <w:rPr>
          <w:position w:val="-10"/>
        </w:rPr>
        <w:object w:dxaOrig="320" w:dyaOrig="320" w14:anchorId="6586DF05">
          <v:shape id="_x0000_i6741" type="#_x0000_t75" style="width:15.75pt;height:15.75pt" o:ole="">
            <v:imagedata r:id="rId11543" o:title=""/>
          </v:shape>
          <o:OLEObject Type="Embed" ProgID="Equation.DSMT4" ShapeID="_x0000_i6741" DrawAspect="Content" ObjectID="_1791380685" r:id="rId11544"/>
        </w:object>
      </w:r>
      <w:r w:rsidRPr="002614E7">
        <w:rPr>
          <w:rFonts w:eastAsiaTheme="minorEastAsia"/>
          <w:i/>
          <w:sz w:val="23"/>
          <w:szCs w:val="23"/>
        </w:rPr>
        <w:t xml:space="preserve"> </w:t>
      </w:r>
      <w:r w:rsidRPr="002614E7">
        <w:rPr>
          <w:rFonts w:eastAsiaTheme="minorEastAsia" w:hint="cs"/>
          <w:i/>
          <w:sz w:val="23"/>
          <w:szCs w:val="23"/>
          <w:rtl/>
        </w:rPr>
        <w:t xml:space="preserve">نرخ بیکاری طبیعی و یا نرخ بیکاری در سطح اشتغال کامل است. در نسخه‌ی اصلیِ منحنی فیلیپس، عبارت تورم انتظاری وجود نداشت و بعدها متغیر تورم انتظاری جاری بر مبنای اطلاعات در دسترس در زمان </w:t>
      </w:r>
      <w:r w:rsidRPr="002614E7">
        <w:rPr>
          <w:position w:val="-6"/>
        </w:rPr>
        <w:object w:dxaOrig="420" w:dyaOrig="260" w14:anchorId="0226B024">
          <v:shape id="_x0000_i6742" type="#_x0000_t75" style="width:21.2pt;height:13.3pt" o:ole="">
            <v:imagedata r:id="rId11545" o:title=""/>
          </v:shape>
          <o:OLEObject Type="Embed" ProgID="Equation.DSMT4" ShapeID="_x0000_i6742" DrawAspect="Content" ObjectID="_1791380686" r:id="rId11546"/>
        </w:object>
      </w:r>
      <w:r w:rsidRPr="002614E7">
        <w:rPr>
          <w:rFonts w:eastAsiaTheme="minorEastAsia" w:hint="cs"/>
          <w:i/>
          <w:sz w:val="23"/>
          <w:szCs w:val="23"/>
          <w:rtl/>
        </w:rPr>
        <w:t xml:space="preserve"> بدان افزوده شد تا بازتابی از چانه</w:t>
      </w:r>
      <w:r w:rsidRPr="002614E7">
        <w:rPr>
          <w:rFonts w:eastAsiaTheme="minorEastAsia" w:hint="cs"/>
          <w:i/>
          <w:sz w:val="23"/>
          <w:szCs w:val="23"/>
          <w:rtl/>
        </w:rPr>
        <w:softHyphen/>
        <w:t xml:space="preserve">زنی دستمزد حقیقی باشد. </w:t>
      </w:r>
    </w:p>
    <w:p w14:paraId="54C30670" w14:textId="77777777" w:rsidR="00556C10" w:rsidRPr="002614E7" w:rsidRDefault="00556C10" w:rsidP="00556C10">
      <w:pPr>
        <w:tabs>
          <w:tab w:val="right" w:pos="2167"/>
        </w:tabs>
        <w:spacing w:line="216" w:lineRule="auto"/>
        <w:jc w:val="mediumKashida"/>
        <w:rPr>
          <w:rFonts w:eastAsiaTheme="minorEastAsia"/>
          <w:i/>
          <w:sz w:val="23"/>
          <w:szCs w:val="23"/>
          <w:rtl/>
        </w:rPr>
      </w:pPr>
      <w:r w:rsidRPr="002614E7">
        <w:rPr>
          <w:rFonts w:eastAsiaTheme="minorEastAsia" w:hint="cs"/>
          <w:i/>
          <w:sz w:val="23"/>
          <w:szCs w:val="23"/>
          <w:rtl/>
        </w:rPr>
        <w:lastRenderedPageBreak/>
        <w:t>فرض کنید تورم دستمزد به تورم قیمت ازطریق معادله‌ی قیمت، و صرفاً بر اساس هزینه‌ی نیروی کار و نادیده انگاشتن بهره</w:t>
      </w:r>
      <w:r w:rsidRPr="002614E7">
        <w:rPr>
          <w:rFonts w:eastAsiaTheme="minorEastAsia" w:hint="cs"/>
          <w:i/>
          <w:sz w:val="23"/>
          <w:szCs w:val="23"/>
          <w:rtl/>
        </w:rPr>
        <w:softHyphen/>
        <w:t>وری نیروی کار منتقل ‌شود. یعنی</w:t>
      </w:r>
    </w:p>
    <w:p w14:paraId="58DAE0DC" w14:textId="77777777" w:rsidR="00556C10" w:rsidRPr="002614E7" w:rsidRDefault="00556C10" w:rsidP="00556C10">
      <w:pPr>
        <w:tabs>
          <w:tab w:val="right" w:pos="2167"/>
        </w:tabs>
        <w:bidi w:val="0"/>
        <w:spacing w:line="216" w:lineRule="auto"/>
        <w:rPr>
          <w:rFonts w:eastAsiaTheme="minorEastAsia"/>
          <w:i/>
          <w:sz w:val="23"/>
          <w:szCs w:val="23"/>
          <w:rtl/>
        </w:rPr>
      </w:pPr>
      <w:r w:rsidRPr="002614E7">
        <w:rPr>
          <w:position w:val="-10"/>
        </w:rPr>
        <w:object w:dxaOrig="940" w:dyaOrig="320" w14:anchorId="21400915">
          <v:shape id="_x0000_i6743" type="#_x0000_t75" style="width:47.2pt;height:15.75pt" o:ole="">
            <v:imagedata r:id="rId11547" o:title=""/>
          </v:shape>
          <o:OLEObject Type="Embed" ProgID="Equation.DSMT4" ShapeID="_x0000_i6743" DrawAspect="Content" ObjectID="_1791380687" r:id="rId11548"/>
        </w:object>
      </w:r>
      <w:r w:rsidRPr="002614E7">
        <w:rPr>
          <w:rFonts w:hint="cs"/>
          <w:i/>
          <w:sz w:val="23"/>
          <w:szCs w:val="23"/>
          <w:rtl/>
        </w:rPr>
        <w:tab/>
      </w:r>
      <w:r w:rsidRPr="002614E7">
        <w:rPr>
          <w:rFonts w:hint="cs"/>
          <w:i/>
          <w:sz w:val="23"/>
          <w:szCs w:val="23"/>
          <w:rtl/>
        </w:rPr>
        <w:tab/>
      </w:r>
      <w:r w:rsidRPr="002614E7">
        <w:rPr>
          <w:rFonts w:hint="cs"/>
          <w:i/>
          <w:sz w:val="23"/>
          <w:szCs w:val="23"/>
          <w:rtl/>
        </w:rPr>
        <w:tab/>
      </w:r>
      <w:r w:rsidRPr="002614E7">
        <w:rPr>
          <w:rFonts w:hint="cs"/>
          <w:i/>
          <w:sz w:val="23"/>
          <w:szCs w:val="23"/>
          <w:rtl/>
        </w:rPr>
        <w:tab/>
      </w:r>
      <w:r w:rsidRPr="002614E7">
        <w:rPr>
          <w:rFonts w:hint="cs"/>
          <w:i/>
          <w:sz w:val="23"/>
          <w:szCs w:val="23"/>
          <w:rtl/>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Pr>
          <w:i/>
          <w:sz w:val="23"/>
          <w:szCs w:val="23"/>
          <w:rtl/>
        </w:rPr>
        <w:tab/>
      </w:r>
      <w:r w:rsidRPr="002614E7">
        <w:rPr>
          <w:rFonts w:eastAsiaTheme="minorEastAsia" w:hint="cs"/>
          <w:i/>
          <w:sz w:val="23"/>
          <w:szCs w:val="23"/>
          <w:rtl/>
        </w:rPr>
        <w:tab/>
        <w:t>(۱۴. ۸)</w:t>
      </w:r>
    </w:p>
    <w:p w14:paraId="5FF14085" w14:textId="77777777" w:rsidR="00556C10" w:rsidRPr="002614E7" w:rsidRDefault="00556C10" w:rsidP="00556C10">
      <w:pPr>
        <w:tabs>
          <w:tab w:val="right" w:pos="2167"/>
        </w:tabs>
        <w:spacing w:line="216" w:lineRule="auto"/>
        <w:rPr>
          <w:rFonts w:eastAsiaTheme="minorEastAsia"/>
          <w:i/>
          <w:sz w:val="23"/>
          <w:szCs w:val="23"/>
          <w:rtl/>
        </w:rPr>
      </w:pPr>
      <w:r w:rsidRPr="002614E7">
        <w:rPr>
          <w:rFonts w:eastAsiaTheme="minorEastAsia" w:hint="cs"/>
          <w:i/>
          <w:sz w:val="23"/>
          <w:szCs w:val="23"/>
          <w:rtl/>
        </w:rPr>
        <w:t>همچنین اختلاف نرخ بیکاری از نرخ بیکاری طبیعی به شکاف تولید وابسته باشد. یعنی</w:t>
      </w:r>
    </w:p>
    <w:p w14:paraId="45451E09"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tl/>
        </w:rPr>
      </w:pPr>
      <w:r w:rsidRPr="002614E7">
        <w:rPr>
          <w:position w:val="-10"/>
        </w:rPr>
        <w:object w:dxaOrig="2900" w:dyaOrig="320" w14:anchorId="30A9205B">
          <v:shape id="_x0000_i6744" type="#_x0000_t75" style="width:145.2pt;height:15.75pt" o:ole="">
            <v:imagedata r:id="rId11549" o:title=""/>
          </v:shape>
          <o:OLEObject Type="Embed" ProgID="Equation.DSMT4" ShapeID="_x0000_i6744" DrawAspect="Content" ObjectID="_1791380688" r:id="rId11550"/>
        </w:object>
      </w:r>
      <w:r w:rsidRPr="002614E7">
        <w:rPr>
          <w:rFonts w:ascii="Times New Roman" w:hAnsi="Times New Roman" w:cs="B Nazanin" w:hint="cs"/>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hint="cs"/>
          <w:i/>
          <w:sz w:val="23"/>
          <w:szCs w:val="23"/>
          <w:rtl/>
        </w:rPr>
        <w:t>(۱۴. ۹)</w:t>
      </w:r>
    </w:p>
    <w:p w14:paraId="079E1272" w14:textId="77777777" w:rsidR="00556C10" w:rsidRPr="002614E7" w:rsidRDefault="00556C10" w:rsidP="00556C10">
      <w:pPr>
        <w:spacing w:line="216" w:lineRule="auto"/>
        <w:jc w:val="mediumKashida"/>
        <w:rPr>
          <w:rFonts w:eastAsiaTheme="minorEastAsia"/>
          <w:i/>
          <w:sz w:val="23"/>
          <w:szCs w:val="23"/>
        </w:rPr>
      </w:pPr>
      <w:r w:rsidRPr="002614E7">
        <w:rPr>
          <w:rFonts w:eastAsiaTheme="minorEastAsia" w:hint="cs"/>
          <w:i/>
          <w:sz w:val="23"/>
          <w:szCs w:val="23"/>
          <w:rtl/>
        </w:rPr>
        <w:t>که در آن</w:t>
      </w:r>
      <w:r w:rsidRPr="002614E7">
        <w:rPr>
          <w:position w:val="-10"/>
        </w:rPr>
        <w:object w:dxaOrig="240" w:dyaOrig="320" w14:anchorId="634B169A">
          <v:shape id="_x0000_i6745" type="#_x0000_t75" style="width:11.5pt;height:15.75pt" o:ole="">
            <v:imagedata r:id="rId11551" o:title=""/>
          </v:shape>
          <o:OLEObject Type="Embed" ProgID="Equation.DSMT4" ShapeID="_x0000_i6745" DrawAspect="Content" ObjectID="_1791380689" r:id="rId11552"/>
        </w:object>
      </w:r>
      <w:r w:rsidRPr="002614E7">
        <w:rPr>
          <w:rFonts w:eastAsiaTheme="minorEastAsia" w:hint="cs"/>
          <w:i/>
          <w:sz w:val="23"/>
          <w:szCs w:val="23"/>
          <w:rtl/>
        </w:rPr>
        <w:t xml:space="preserve"> لگاریتم تولید و</w:t>
      </w:r>
      <w:r w:rsidRPr="002614E7">
        <w:rPr>
          <w:position w:val="-10"/>
        </w:rPr>
        <w:object w:dxaOrig="320" w:dyaOrig="320" w14:anchorId="52AF0017">
          <v:shape id="_x0000_i6746" type="#_x0000_t75" style="width:15.75pt;height:15.75pt" o:ole="">
            <v:imagedata r:id="rId11553" o:title=""/>
          </v:shape>
          <o:OLEObject Type="Embed" ProgID="Equation.DSMT4" ShapeID="_x0000_i6746" DrawAspect="Content" ObjectID="_1791380690" r:id="rId11554"/>
        </w:object>
      </w:r>
      <w:r w:rsidRPr="002614E7">
        <w:rPr>
          <w:rFonts w:eastAsiaTheme="minorEastAsia" w:hint="cs"/>
          <w:i/>
          <w:sz w:val="23"/>
          <w:szCs w:val="23"/>
          <w:rtl/>
        </w:rPr>
        <w:t xml:space="preserve"> لگاریتم تولید در اشتغال کامل یا تولید بالقوه است. معادله</w:t>
      </w:r>
      <w:r w:rsidRPr="002614E7">
        <w:rPr>
          <w:rFonts w:eastAsiaTheme="minorEastAsia" w:hint="cs"/>
          <w:i/>
          <w:sz w:val="23"/>
          <w:szCs w:val="23"/>
          <w:rtl/>
        </w:rPr>
        <w:softHyphen/>
        <w:t>ی (۱۴. ۹) به قانون اُکان</w:t>
      </w:r>
      <w:r w:rsidRPr="002614E7">
        <w:rPr>
          <w:rStyle w:val="FootnoteReference"/>
          <w:rFonts w:eastAsiaTheme="minorEastAsia"/>
          <w:i/>
          <w:sz w:val="23"/>
          <w:szCs w:val="23"/>
          <w:rtl/>
        </w:rPr>
        <w:footnoteReference w:id="333"/>
      </w:r>
      <w:r w:rsidRPr="002614E7">
        <w:rPr>
          <w:rFonts w:eastAsiaTheme="minorEastAsia" w:hint="cs"/>
          <w:i/>
          <w:sz w:val="23"/>
          <w:szCs w:val="23"/>
          <w:rtl/>
        </w:rPr>
        <w:t xml:space="preserve"> معروف است و با اضافه نمودن تابع تقاضای پول زیر کامل می‌شود. </w:t>
      </w:r>
    </w:p>
    <w:p w14:paraId="5636445A"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tl/>
        </w:rPr>
      </w:pPr>
      <w:r w:rsidRPr="002614E7">
        <w:rPr>
          <w:position w:val="-10"/>
        </w:rPr>
        <w:object w:dxaOrig="2780" w:dyaOrig="320" w14:anchorId="1EA34CA5">
          <v:shape id="_x0000_i6747" type="#_x0000_t75" style="width:139.15pt;height:15.75pt" o:ole="">
            <v:imagedata r:id="rId11555" o:title=""/>
          </v:shape>
          <o:OLEObject Type="Embed" ProgID="Equation.DSMT4" ShapeID="_x0000_i6747" DrawAspect="Content" ObjectID="_1791380691" r:id="rId11556"/>
        </w:object>
      </w:r>
      <w:r w:rsidRPr="002614E7">
        <w:rPr>
          <w:rFonts w:ascii="Times New Roman" w:hAnsi="Times New Roman" w:cs="B Nazanin" w:hint="cs"/>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Pr>
          <w:rFonts w:ascii="Times New Roman" w:hAnsi="Times New Roman" w:cs="B Nazanin"/>
          <w:i/>
          <w:sz w:val="23"/>
          <w:szCs w:val="23"/>
          <w:rtl/>
        </w:rPr>
        <w:tab/>
      </w:r>
      <w:r w:rsidRPr="002614E7">
        <w:rPr>
          <w:rFonts w:ascii="Times New Roman" w:hAnsi="Times New Roman" w:cs="B Nazanin" w:hint="cs"/>
          <w:i/>
          <w:sz w:val="23"/>
          <w:szCs w:val="23"/>
          <w:rtl/>
        </w:rPr>
        <w:tab/>
        <w:t>(۱۴. ۱۰)</w:t>
      </w:r>
    </w:p>
    <w:p w14:paraId="7AE91F96" w14:textId="77777777" w:rsidR="00556C10" w:rsidRPr="002614E7" w:rsidRDefault="00556C10" w:rsidP="00556C10">
      <w:pPr>
        <w:spacing w:line="216" w:lineRule="auto"/>
        <w:jc w:val="mediumKashida"/>
        <w:rPr>
          <w:rFonts w:eastAsiaTheme="minorEastAsia"/>
          <w:i/>
          <w:sz w:val="23"/>
          <w:szCs w:val="23"/>
          <w:rtl/>
        </w:rPr>
      </w:pPr>
      <w:r w:rsidRPr="002614E7">
        <w:rPr>
          <w:rFonts w:eastAsiaTheme="minorEastAsia" w:hint="cs"/>
          <w:i/>
          <w:sz w:val="23"/>
          <w:szCs w:val="23"/>
          <w:rtl/>
        </w:rPr>
        <w:t>که در آن</w:t>
      </w:r>
      <w:r w:rsidRPr="002614E7">
        <w:rPr>
          <w:position w:val="-10"/>
        </w:rPr>
        <w:object w:dxaOrig="300" w:dyaOrig="320" w14:anchorId="79C02B0F">
          <v:shape id="_x0000_i6748" type="#_x0000_t75" style="width:14.5pt;height:15.75pt" o:ole="">
            <v:imagedata r:id="rId11557" o:title=""/>
          </v:shape>
          <o:OLEObject Type="Embed" ProgID="Equation.DSMT4" ShapeID="_x0000_i6748" DrawAspect="Content" ObjectID="_1791380692" r:id="rId11558"/>
        </w:object>
      </w:r>
      <w:r w:rsidRPr="002614E7">
        <w:rPr>
          <w:rFonts w:hint="cs"/>
          <w:sz w:val="23"/>
          <w:szCs w:val="23"/>
          <w:rtl/>
        </w:rPr>
        <w:t xml:space="preserve"> </w:t>
      </w:r>
      <w:r w:rsidRPr="002614E7">
        <w:rPr>
          <w:rFonts w:eastAsiaTheme="minorEastAsia" w:hint="cs"/>
          <w:i/>
          <w:sz w:val="23"/>
          <w:szCs w:val="23"/>
          <w:rtl/>
        </w:rPr>
        <w:t>لگاریتم پول اسمی و</w:t>
      </w:r>
      <w:r w:rsidRPr="002614E7">
        <w:rPr>
          <w:position w:val="-10"/>
        </w:rPr>
        <w:object w:dxaOrig="279" w:dyaOrig="320" w14:anchorId="5C40C579">
          <v:shape id="_x0000_i6749" type="#_x0000_t75" style="width:13.9pt;height:15.75pt" o:ole="">
            <v:imagedata r:id="rId11559" o:title=""/>
          </v:shape>
          <o:OLEObject Type="Embed" ProgID="Equation.DSMT4" ShapeID="_x0000_i6749" DrawAspect="Content" ObjectID="_1791380693" r:id="rId11560"/>
        </w:object>
      </w:r>
      <w:r w:rsidRPr="002614E7">
        <w:rPr>
          <w:rFonts w:eastAsiaTheme="minorEastAsia"/>
          <w:i/>
          <w:sz w:val="23"/>
          <w:szCs w:val="23"/>
        </w:rPr>
        <w:t xml:space="preserve"> </w:t>
      </w:r>
      <w:r w:rsidRPr="002614E7">
        <w:rPr>
          <w:rFonts w:eastAsiaTheme="minorEastAsia" w:hint="cs"/>
          <w:i/>
          <w:sz w:val="23"/>
          <w:szCs w:val="23"/>
          <w:rtl/>
        </w:rPr>
        <w:t>نرخ بهره‌ی اسمی است. همچنین از معادله‌ی فیشر داشتیم؛</w:t>
      </w:r>
    </w:p>
    <w:p w14:paraId="5C6DB719" w14:textId="77777777" w:rsidR="00556C10" w:rsidRPr="002614E7" w:rsidRDefault="00556C10" w:rsidP="00556C10">
      <w:pPr>
        <w:pStyle w:val="MTDisplayEquation"/>
        <w:tabs>
          <w:tab w:val="clear" w:pos="6660"/>
        </w:tabs>
        <w:spacing w:line="216" w:lineRule="auto"/>
        <w:rPr>
          <w:rFonts w:ascii="Times New Roman" w:hAnsi="Times New Roman" w:cs="B Nazanin"/>
          <w:i/>
          <w:sz w:val="23"/>
          <w:szCs w:val="23"/>
          <w:rtl/>
        </w:rPr>
      </w:pPr>
      <w:r w:rsidRPr="002614E7">
        <w:rPr>
          <w:position w:val="-10"/>
        </w:rPr>
        <w:object w:dxaOrig="1560" w:dyaOrig="320" w14:anchorId="3BE4A9DE">
          <v:shape id="_x0000_i6750" type="#_x0000_t75" style="width:78.05pt;height:15.75pt" o:ole="">
            <v:imagedata r:id="rId11561" o:title=""/>
          </v:shape>
          <o:OLEObject Type="Embed" ProgID="Equation.DSMT4" ShapeID="_x0000_i6750" DrawAspect="Content" ObjectID="_1791380694" r:id="rId11562"/>
        </w:object>
      </w:r>
      <w:r w:rsidRPr="002614E7">
        <w:rPr>
          <w:rFonts w:ascii="Times New Roman" w:hAnsi="Times New Roman" w:cs="B Nazanin" w:hint="cs"/>
          <w:i/>
          <w:sz w:val="23"/>
          <w:szCs w:val="23"/>
          <w:rtl/>
        </w:rPr>
        <w:tab/>
      </w:r>
      <w:r w:rsidRPr="002614E7">
        <w:rPr>
          <w:rFonts w:ascii="Times New Roman" w:hAnsi="Times New Roman" w:cs="B Nazanin" w:hint="cs"/>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hint="cs"/>
          <w:i/>
          <w:sz w:val="23"/>
          <w:szCs w:val="23"/>
          <w:rtl/>
        </w:rPr>
        <w:t>(۱۴. ۱۱)</w:t>
      </w:r>
    </w:p>
    <w:p w14:paraId="781632CA" w14:textId="77777777" w:rsidR="00556C10" w:rsidRPr="002614E7" w:rsidRDefault="00556C10" w:rsidP="00556C10">
      <w:pPr>
        <w:spacing w:line="216" w:lineRule="auto"/>
        <w:jc w:val="mediumKashida"/>
        <w:rPr>
          <w:rFonts w:eastAsiaTheme="minorEastAsia"/>
          <w:i/>
          <w:sz w:val="23"/>
          <w:szCs w:val="23"/>
          <w:rtl/>
        </w:rPr>
      </w:pPr>
      <w:r w:rsidRPr="002614E7">
        <w:rPr>
          <w:rFonts w:eastAsiaTheme="minorEastAsia" w:hint="cs"/>
          <w:i/>
          <w:sz w:val="23"/>
          <w:szCs w:val="23"/>
          <w:rtl/>
        </w:rPr>
        <w:t xml:space="preserve">که از آن نرخ بهره‌ی حقیقی بدست می‌آید. اگر فرض کنیم متغیرهای </w:t>
      </w:r>
      <w:r w:rsidRPr="002614E7">
        <w:rPr>
          <w:position w:val="-10"/>
        </w:rPr>
        <w:object w:dxaOrig="1420" w:dyaOrig="320" w14:anchorId="4E558D9A">
          <v:shape id="_x0000_i6751" type="#_x0000_t75" style="width:70.8pt;height:15.75pt" o:ole="">
            <v:imagedata r:id="rId11563" o:title=""/>
          </v:shape>
          <o:OLEObject Type="Embed" ProgID="Equation.DSMT4" ShapeID="_x0000_i6751" DrawAspect="Content" ObjectID="_1791380695" r:id="rId11564"/>
        </w:object>
      </w:r>
      <w:r w:rsidRPr="002614E7">
        <w:rPr>
          <w:rFonts w:eastAsiaTheme="minorEastAsia"/>
          <w:i/>
          <w:sz w:val="23"/>
          <w:szCs w:val="23"/>
        </w:rPr>
        <w:t xml:space="preserve"> </w:t>
      </w:r>
      <w:r w:rsidRPr="002614E7">
        <w:rPr>
          <w:rFonts w:eastAsiaTheme="minorEastAsia" w:hint="cs"/>
          <w:i/>
          <w:sz w:val="23"/>
          <w:szCs w:val="23"/>
          <w:rtl/>
        </w:rPr>
        <w:t>برون</w:t>
      </w:r>
      <w:r w:rsidRPr="002614E7">
        <w:rPr>
          <w:rFonts w:eastAsiaTheme="minorEastAsia" w:hint="cs"/>
          <w:i/>
          <w:sz w:val="23"/>
          <w:szCs w:val="23"/>
          <w:rtl/>
        </w:rPr>
        <w:softHyphen/>
        <w:t xml:space="preserve">زا باشند، آنگاه از معادلات </w:t>
      </w:r>
      <w:r w:rsidRPr="002614E7">
        <w:rPr>
          <w:rFonts w:hint="cs"/>
          <w:i/>
          <w:sz w:val="23"/>
          <w:szCs w:val="23"/>
          <w:rtl/>
        </w:rPr>
        <w:t>(۱۴. ۷)، (۱۴. ۸)</w:t>
      </w:r>
      <w:r w:rsidRPr="002614E7">
        <w:rPr>
          <w:rFonts w:eastAsiaTheme="minorEastAsia" w:hint="cs"/>
          <w:i/>
          <w:sz w:val="23"/>
          <w:szCs w:val="23"/>
          <w:rtl/>
        </w:rPr>
        <w:t xml:space="preserve"> و </w:t>
      </w:r>
      <w:r w:rsidRPr="002614E7">
        <w:rPr>
          <w:rFonts w:hint="cs"/>
          <w:i/>
          <w:sz w:val="23"/>
          <w:szCs w:val="23"/>
          <w:rtl/>
        </w:rPr>
        <w:t>(۱۴. ۹)</w:t>
      </w:r>
      <w:r w:rsidRPr="002614E7">
        <w:rPr>
          <w:rFonts w:eastAsiaTheme="minorEastAsia" w:hint="cs"/>
          <w:i/>
          <w:sz w:val="23"/>
          <w:szCs w:val="23"/>
          <w:rtl/>
        </w:rPr>
        <w:t xml:space="preserve"> متغیر تورم از تابع عرضه‌ی کل</w:t>
      </w:r>
    </w:p>
    <w:p w14:paraId="06A76121" w14:textId="77777777" w:rsidR="00556C10" w:rsidRPr="002614E7" w:rsidRDefault="00556C10" w:rsidP="00556C10">
      <w:pPr>
        <w:spacing w:line="216" w:lineRule="auto"/>
        <w:jc w:val="mediumKashida"/>
        <w:rPr>
          <w:rFonts w:eastAsiaTheme="minorEastAsia"/>
          <w:i/>
          <w:sz w:val="23"/>
          <w:szCs w:val="23"/>
        </w:rPr>
      </w:pPr>
      <w:r w:rsidRPr="002614E7">
        <w:rPr>
          <w:rFonts w:eastAsiaTheme="minorEastAsia" w:hint="cs"/>
          <w:i/>
          <w:sz w:val="23"/>
          <w:szCs w:val="23"/>
          <w:rtl/>
        </w:rPr>
        <w:t>زیر بدست خواهد آمد. یعنی</w:t>
      </w:r>
    </w:p>
    <w:p w14:paraId="5E45D846"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Pr>
      </w:pPr>
      <w:r w:rsidRPr="002614E7">
        <w:rPr>
          <w:position w:val="-10"/>
        </w:rPr>
        <w:object w:dxaOrig="3580" w:dyaOrig="320" w14:anchorId="432632A0">
          <v:shape id="_x0000_i6752" type="#_x0000_t75" style="width:178.5pt;height:15.75pt" o:ole="">
            <v:imagedata r:id="rId11565" o:title=""/>
          </v:shape>
          <o:OLEObject Type="Embed" ProgID="Equation.DSMT4" ShapeID="_x0000_i6752" DrawAspect="Content" ObjectID="_1791380696" r:id="rId11566"/>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Pr>
          <w:rFonts w:ascii="Times New Roman" w:hAnsi="Times New Roman"/>
          <w:i/>
          <w:sz w:val="23"/>
          <w:szCs w:val="23"/>
          <w:rtl/>
        </w:rPr>
        <w:tab/>
      </w:r>
      <w:r w:rsidRPr="002614E7">
        <w:rPr>
          <w:rFonts w:ascii="Times New Roman" w:hAnsi="Times New Roman" w:cs="B Nazanin" w:hint="cs"/>
          <w:i/>
          <w:sz w:val="23"/>
          <w:szCs w:val="23"/>
          <w:rtl/>
        </w:rPr>
        <w:tab/>
        <w:t>(۱۴. ۱۲)</w:t>
      </w:r>
    </w:p>
    <w:p w14:paraId="3886D27E" w14:textId="77777777" w:rsidR="00556C10" w:rsidRPr="002614E7" w:rsidRDefault="00556C10" w:rsidP="00556C10">
      <w:pPr>
        <w:tabs>
          <w:tab w:val="right" w:pos="2167"/>
        </w:tabs>
        <w:spacing w:line="216" w:lineRule="auto"/>
        <w:jc w:val="mediumKashida"/>
        <w:rPr>
          <w:rFonts w:eastAsiaTheme="minorEastAsia"/>
          <w:i/>
          <w:sz w:val="23"/>
          <w:szCs w:val="23"/>
        </w:rPr>
      </w:pPr>
      <w:r w:rsidRPr="002614E7">
        <w:rPr>
          <w:rFonts w:eastAsiaTheme="minorEastAsia" w:hint="cs"/>
          <w:i/>
          <w:sz w:val="23"/>
          <w:szCs w:val="23"/>
          <w:rtl/>
        </w:rPr>
        <w:t xml:space="preserve">چنانچه </w:t>
      </w:r>
      <w:r w:rsidRPr="002614E7">
        <w:rPr>
          <w:position w:val="-10"/>
        </w:rPr>
        <w:object w:dxaOrig="540" w:dyaOrig="300" w14:anchorId="2B70EA42">
          <v:shape id="_x0000_i6753" type="#_x0000_t75" style="width:26.6pt;height:14.5pt" o:ole="">
            <v:imagedata r:id="rId11567" o:title=""/>
          </v:shape>
          <o:OLEObject Type="Embed" ProgID="Equation.DSMT4" ShapeID="_x0000_i6753" DrawAspect="Content" ObjectID="_1791380697" r:id="rId11568"/>
        </w:object>
      </w:r>
      <w:r w:rsidRPr="002614E7">
        <w:rPr>
          <w:rFonts w:eastAsiaTheme="minorEastAsia" w:hint="cs"/>
          <w:i/>
          <w:sz w:val="23"/>
          <w:szCs w:val="23"/>
          <w:rtl/>
        </w:rPr>
        <w:t xml:space="preserve"> باشد، آنگاه یک رابطه‌ی کوتاه‌مدت و همچنین بلند‌مدت بین تورم و تولید وجود خواهد داشت. بر اساس این رابطه و با فرض تورم انتظاری داده شده، نرخ تورم را می‌توان از طریق کنترل مازاد ظرفیت تولید مهار نمود. به تعبیری کاهش تورم مستلزم افزایش ظرفیت تولید است. اگر</w:t>
      </w:r>
      <w:r w:rsidRPr="002614E7">
        <w:rPr>
          <w:position w:val="-10"/>
        </w:rPr>
        <w:object w:dxaOrig="540" w:dyaOrig="300" w14:anchorId="25D7C06B">
          <v:shape id="_x0000_i6754" type="#_x0000_t75" style="width:26.6pt;height:14.5pt" o:ole="">
            <v:imagedata r:id="rId11569" o:title=""/>
          </v:shape>
          <o:OLEObject Type="Embed" ProgID="Equation.DSMT4" ShapeID="_x0000_i6754" DrawAspect="Content" ObjectID="_1791380698" r:id="rId11570"/>
        </w:object>
      </w:r>
      <w:r w:rsidRPr="002614E7">
        <w:rPr>
          <w:rFonts w:eastAsiaTheme="minorEastAsia" w:hint="cs"/>
          <w:i/>
          <w:sz w:val="23"/>
          <w:szCs w:val="23"/>
          <w:rtl/>
        </w:rPr>
        <w:t xml:space="preserve"> باشد آنگاه بین تورم و تولید رابطه‌ی جایگزینی وجود ندارد. زیرا تحت فروض انتظارات عقلایی داریم </w:t>
      </w:r>
    </w:p>
    <w:p w14:paraId="2745F62E" w14:textId="77777777" w:rsidR="00556C10" w:rsidRPr="002614E7" w:rsidRDefault="00556C10" w:rsidP="00556C10">
      <w:pPr>
        <w:tabs>
          <w:tab w:val="right" w:pos="2167"/>
        </w:tabs>
        <w:bidi w:val="0"/>
        <w:spacing w:line="216" w:lineRule="auto"/>
        <w:rPr>
          <w:rFonts w:eastAsiaTheme="minorEastAsia"/>
          <w:i/>
          <w:sz w:val="23"/>
          <w:szCs w:val="23"/>
          <w:rtl/>
        </w:rPr>
      </w:pPr>
      <w:r w:rsidRPr="002614E7">
        <w:rPr>
          <w:position w:val="-10"/>
        </w:rPr>
        <w:object w:dxaOrig="1620" w:dyaOrig="320" w14:anchorId="60FD8590">
          <v:shape id="_x0000_i6755" type="#_x0000_t75" style="width:81.1pt;height:15.75pt" o:ole="">
            <v:imagedata r:id="rId11571" o:title=""/>
          </v:shape>
          <o:OLEObject Type="Embed" ProgID="Equation.DSMT4" ShapeID="_x0000_i6755" DrawAspect="Content" ObjectID="_1791380699" r:id="rId11572"/>
        </w:object>
      </w:r>
      <w:r w:rsidRPr="002614E7">
        <w:rPr>
          <w:rFonts w:eastAsiaTheme="minorEastAsia" w:hint="cs"/>
          <w:i/>
          <w:sz w:val="23"/>
          <w:szCs w:val="23"/>
          <w:rtl/>
        </w:rPr>
        <w:t xml:space="preserve"> </w:t>
      </w:r>
    </w:p>
    <w:p w14:paraId="42020459" w14:textId="77777777" w:rsidR="00556C10" w:rsidRPr="002614E7" w:rsidRDefault="00556C10" w:rsidP="00556C10">
      <w:pPr>
        <w:spacing w:line="216" w:lineRule="auto"/>
        <w:jc w:val="mediumKashida"/>
        <w:rPr>
          <w:rFonts w:eastAsiaTheme="minorEastAsia"/>
          <w:i/>
          <w:sz w:val="23"/>
          <w:szCs w:val="23"/>
          <w:rtl/>
        </w:rPr>
      </w:pPr>
      <w:r w:rsidRPr="002614E7">
        <w:rPr>
          <w:rFonts w:eastAsiaTheme="minorEastAsia" w:hint="cs"/>
          <w:i/>
          <w:sz w:val="23"/>
          <w:szCs w:val="23"/>
          <w:rtl/>
        </w:rPr>
        <w:t>که درآن</w:t>
      </w:r>
      <w:r w:rsidRPr="002614E7">
        <w:rPr>
          <w:position w:val="-10"/>
        </w:rPr>
        <w:object w:dxaOrig="920" w:dyaOrig="320" w14:anchorId="78F9C418">
          <v:shape id="_x0000_i6756" type="#_x0000_t75" style="width:46pt;height:15.75pt" o:ole="">
            <v:imagedata r:id="rId11573" o:title=""/>
          </v:shape>
          <o:OLEObject Type="Embed" ProgID="Equation.DSMT4" ShapeID="_x0000_i6756" DrawAspect="Content" ObjectID="_1791380700" r:id="rId11574"/>
        </w:object>
      </w:r>
      <w:r w:rsidRPr="002614E7">
        <w:rPr>
          <w:rFonts w:hint="cs"/>
          <w:i/>
          <w:sz w:val="23"/>
          <w:szCs w:val="23"/>
          <w:rtl/>
        </w:rPr>
        <w:t xml:space="preserve"> </w:t>
      </w:r>
      <w:r w:rsidRPr="002614E7">
        <w:rPr>
          <w:rFonts w:eastAsiaTheme="minorEastAsia" w:hint="cs"/>
          <w:i/>
          <w:sz w:val="23"/>
          <w:szCs w:val="23"/>
          <w:rtl/>
        </w:rPr>
        <w:t>می‌باشد. بنابراین اگر</w:t>
      </w:r>
      <w:r w:rsidRPr="002614E7">
        <w:rPr>
          <w:position w:val="-10"/>
        </w:rPr>
        <w:object w:dxaOrig="540" w:dyaOrig="300" w14:anchorId="20E4C44E">
          <v:shape id="_x0000_i6757" type="#_x0000_t75" style="width:26.6pt;height:14.5pt" o:ole="">
            <v:imagedata r:id="rId11575" o:title=""/>
          </v:shape>
          <o:OLEObject Type="Embed" ProgID="Equation.DSMT4" ShapeID="_x0000_i6757" DrawAspect="Content" ObjectID="_1791380701" r:id="rId11576"/>
        </w:object>
      </w:r>
      <w:r w:rsidRPr="002614E7">
        <w:rPr>
          <w:rFonts w:eastAsiaTheme="minorEastAsia" w:hint="cs"/>
          <w:i/>
          <w:sz w:val="23"/>
          <w:szCs w:val="23"/>
          <w:rtl/>
        </w:rPr>
        <w:t xml:space="preserve"> باشد، آنگاه معادله‌ی </w:t>
      </w:r>
      <w:r w:rsidRPr="002614E7">
        <w:rPr>
          <w:rFonts w:hint="cs"/>
          <w:i/>
          <w:sz w:val="23"/>
          <w:szCs w:val="23"/>
          <w:rtl/>
        </w:rPr>
        <w:t>(۱۴. ۱۲)</w:t>
      </w:r>
      <w:r w:rsidRPr="002614E7">
        <w:rPr>
          <w:rFonts w:eastAsiaTheme="minorEastAsia" w:hint="cs"/>
          <w:i/>
          <w:sz w:val="23"/>
          <w:szCs w:val="23"/>
          <w:rtl/>
        </w:rPr>
        <w:t xml:space="preserve"> برابر خواهد بود با</w:t>
      </w:r>
    </w:p>
    <w:p w14:paraId="626DA8AA"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10"/>
        </w:rPr>
        <w:object w:dxaOrig="2560" w:dyaOrig="320" w14:anchorId="034BBA48">
          <v:shape id="_x0000_i6758" type="#_x0000_t75" style="width:127.65pt;height:15.75pt" o:ole="">
            <v:imagedata r:id="rId11577" o:title=""/>
          </v:shape>
          <o:OLEObject Type="Embed" ProgID="Equation.DSMT4" ShapeID="_x0000_i6758" DrawAspect="Content" ObjectID="_1791380702" r:id="rId11578"/>
        </w:object>
      </w:r>
    </w:p>
    <w:p w14:paraId="23EC75E6"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Pr>
      </w:pPr>
      <w:r w:rsidRPr="002614E7">
        <w:rPr>
          <w:position w:val="-22"/>
        </w:rPr>
        <w:object w:dxaOrig="2180" w:dyaOrig="560" w14:anchorId="0B361CBF">
          <v:shape id="_x0000_i6759" type="#_x0000_t75" style="width:108.9pt;height:27.85pt" o:ole="">
            <v:imagedata r:id="rId11579" o:title=""/>
          </v:shape>
          <o:OLEObject Type="Embed" ProgID="Equation.DSMT4" ShapeID="_x0000_i6759" DrawAspect="Content" ObjectID="_1791380703" r:id="rId11580"/>
        </w:object>
      </w:r>
      <w:r w:rsidRPr="002614E7">
        <w:rPr>
          <w:rFonts w:ascii="Times New Roman" w:hAnsi="Times New Roman" w:cs="B Nazanin" w:hint="cs"/>
          <w:i/>
          <w:sz w:val="23"/>
          <w:szCs w:val="23"/>
          <w:rtl/>
        </w:rPr>
        <w:tab/>
      </w:r>
      <w:r w:rsidRPr="002614E7">
        <w:rPr>
          <w:rFonts w:ascii="Times New Roman" w:hAnsi="Times New Roman" w:cs="B Nazanin" w:hint="cs"/>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hint="cs"/>
          <w:i/>
          <w:sz w:val="23"/>
          <w:szCs w:val="23"/>
          <w:rtl/>
        </w:rPr>
        <w:t>(۱۴. ۱۳)</w:t>
      </w:r>
    </w:p>
    <w:p w14:paraId="4173C0DC" w14:textId="77777777" w:rsidR="00556C10" w:rsidRPr="002614E7" w:rsidRDefault="00556C10" w:rsidP="00556C10">
      <w:pPr>
        <w:spacing w:line="216" w:lineRule="auto"/>
        <w:jc w:val="mediumKashida"/>
        <w:rPr>
          <w:rFonts w:eastAsiaTheme="minorEastAsia"/>
          <w:i/>
          <w:sz w:val="23"/>
          <w:szCs w:val="23"/>
        </w:rPr>
      </w:pPr>
      <w:r w:rsidRPr="002614E7">
        <w:rPr>
          <w:rFonts w:eastAsiaTheme="minorEastAsia" w:hint="cs"/>
          <w:i/>
          <w:sz w:val="23"/>
          <w:szCs w:val="23"/>
          <w:rtl/>
        </w:rPr>
        <w:t>در نتیجه تورم مستقل از تولید بوده، و تفاوت تولید از تولید در اشتغال کامل یا تولید بالقوه، برابر شوک</w:t>
      </w:r>
      <w:r w:rsidRPr="002614E7">
        <w:rPr>
          <w:position w:val="-10"/>
        </w:rPr>
        <w:object w:dxaOrig="220" w:dyaOrig="320" w14:anchorId="35F994E5">
          <v:shape id="_x0000_i6760" type="#_x0000_t75" style="width:10.9pt;height:15.75pt" o:ole="">
            <v:imagedata r:id="rId11581" o:title=""/>
          </v:shape>
          <o:OLEObject Type="Embed" ProgID="Equation.DSMT4" ShapeID="_x0000_i6760" DrawAspect="Content" ObjectID="_1791380704" r:id="rId11582"/>
        </w:object>
      </w:r>
      <w:r w:rsidRPr="002614E7">
        <w:rPr>
          <w:rFonts w:eastAsiaTheme="minorEastAsia" w:hint="cs"/>
          <w:i/>
          <w:sz w:val="23"/>
          <w:szCs w:val="23"/>
          <w:rtl/>
        </w:rPr>
        <w:t xml:space="preserve"> در تورم خواهد بود.</w:t>
      </w:r>
    </w:p>
    <w:p w14:paraId="10BA9CA1" w14:textId="77777777" w:rsidR="00556C10" w:rsidRPr="002614E7" w:rsidRDefault="00556C10" w:rsidP="00556C10">
      <w:pPr>
        <w:spacing w:line="216" w:lineRule="auto"/>
        <w:jc w:val="mediumKashida"/>
        <w:rPr>
          <w:rFonts w:eastAsiaTheme="minorEastAsia"/>
          <w:i/>
          <w:sz w:val="23"/>
          <w:szCs w:val="23"/>
          <w:rtl/>
        </w:rPr>
      </w:pPr>
      <w:r w:rsidRPr="002614E7">
        <w:rPr>
          <w:rFonts w:eastAsiaTheme="minorEastAsia" w:hint="cs"/>
          <w:i/>
          <w:sz w:val="23"/>
          <w:szCs w:val="23"/>
          <w:rtl/>
        </w:rPr>
        <w:t xml:space="preserve">تابع تقاضای کل نیز از معادلات </w:t>
      </w:r>
      <w:r w:rsidRPr="002614E7">
        <w:rPr>
          <w:rFonts w:hint="cs"/>
          <w:i/>
          <w:sz w:val="23"/>
          <w:szCs w:val="23"/>
          <w:rtl/>
        </w:rPr>
        <w:t>(۱۴. ۱۰)</w:t>
      </w:r>
      <w:r w:rsidRPr="002614E7">
        <w:rPr>
          <w:rFonts w:eastAsiaTheme="minorEastAsia" w:hint="cs"/>
          <w:i/>
          <w:sz w:val="23"/>
          <w:szCs w:val="23"/>
          <w:rtl/>
        </w:rPr>
        <w:t xml:space="preserve"> و </w:t>
      </w:r>
      <w:r w:rsidRPr="002614E7">
        <w:rPr>
          <w:rFonts w:hint="cs"/>
          <w:i/>
          <w:sz w:val="23"/>
          <w:szCs w:val="23"/>
          <w:rtl/>
        </w:rPr>
        <w:t>(۱۴. ۱۱)</w:t>
      </w:r>
      <w:r w:rsidRPr="002614E7">
        <w:rPr>
          <w:rFonts w:eastAsiaTheme="minorEastAsia" w:hint="cs"/>
          <w:i/>
          <w:sz w:val="23"/>
          <w:szCs w:val="23"/>
          <w:rtl/>
        </w:rPr>
        <w:t xml:space="preserve"> و با حذف</w:t>
      </w:r>
      <w:r w:rsidRPr="002614E7">
        <w:rPr>
          <w:position w:val="-10"/>
        </w:rPr>
        <w:object w:dxaOrig="279" w:dyaOrig="320" w14:anchorId="42D1E6EE">
          <v:shape id="_x0000_i6761" type="#_x0000_t75" style="width:13.9pt;height:15.75pt" o:ole="">
            <v:imagedata r:id="rId11583" o:title=""/>
          </v:shape>
          <o:OLEObject Type="Embed" ProgID="Equation.DSMT4" ShapeID="_x0000_i6761" DrawAspect="Content" ObjectID="_1791380705" r:id="rId11584"/>
        </w:object>
      </w:r>
      <w:r w:rsidRPr="002614E7">
        <w:rPr>
          <w:rFonts w:hint="cs"/>
          <w:i/>
          <w:sz w:val="23"/>
          <w:szCs w:val="23"/>
          <w:rtl/>
        </w:rPr>
        <w:t xml:space="preserve"> </w:t>
      </w:r>
      <w:r w:rsidRPr="002614E7">
        <w:rPr>
          <w:rFonts w:eastAsiaTheme="minorEastAsia" w:hint="cs"/>
          <w:i/>
          <w:sz w:val="23"/>
          <w:szCs w:val="23"/>
          <w:rtl/>
        </w:rPr>
        <w:t>بدست می‌آید. لذا</w:t>
      </w:r>
    </w:p>
    <w:p w14:paraId="621784C2"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Pr>
      </w:pPr>
      <w:r w:rsidRPr="002614E7">
        <w:rPr>
          <w:position w:val="-12"/>
        </w:rPr>
        <w:object w:dxaOrig="3019" w:dyaOrig="360" w14:anchorId="09950989">
          <v:shape id="_x0000_i6762" type="#_x0000_t75" style="width:151.25pt;height:18.15pt" o:ole="">
            <v:imagedata r:id="rId11585" o:title=""/>
          </v:shape>
          <o:OLEObject Type="Embed" ProgID="Equation.DSMT4" ShapeID="_x0000_i6762" DrawAspect="Content" ObjectID="_1791380706" r:id="rId11586"/>
        </w:object>
      </w:r>
      <w:r w:rsidRPr="002614E7">
        <w:rPr>
          <w:rFonts w:ascii="Times New Roman" w:hAnsi="Times New Roman" w:cs="B Nazanin" w:hint="cs"/>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Pr>
          <w:rFonts w:ascii="Times New Roman" w:hAnsi="Times New Roman" w:cs="B Nazanin"/>
          <w:i/>
          <w:sz w:val="23"/>
          <w:szCs w:val="23"/>
          <w:rtl/>
        </w:rPr>
        <w:tab/>
      </w:r>
      <w:r w:rsidRPr="002614E7">
        <w:rPr>
          <w:rFonts w:ascii="Times New Roman" w:hAnsi="Times New Roman" w:cs="B Nazanin" w:hint="cs"/>
          <w:i/>
          <w:sz w:val="23"/>
          <w:szCs w:val="23"/>
          <w:rtl/>
        </w:rPr>
        <w:tab/>
        <w:t>(۱۴. ۱۴)</w:t>
      </w:r>
    </w:p>
    <w:p w14:paraId="3B4CF020" w14:textId="77777777" w:rsidR="00556C10" w:rsidRPr="002614E7" w:rsidRDefault="00556C10" w:rsidP="00556C10">
      <w:pPr>
        <w:spacing w:line="216" w:lineRule="auto"/>
        <w:jc w:val="mediumKashida"/>
        <w:rPr>
          <w:rFonts w:eastAsiaTheme="minorEastAsia"/>
          <w:i/>
          <w:sz w:val="23"/>
          <w:szCs w:val="23"/>
          <w:rtl/>
        </w:rPr>
      </w:pPr>
      <w:r w:rsidRPr="002614E7">
        <w:rPr>
          <w:rFonts w:eastAsiaTheme="minorEastAsia" w:hint="cs"/>
          <w:i/>
          <w:sz w:val="23"/>
          <w:szCs w:val="23"/>
          <w:rtl/>
        </w:rPr>
        <w:lastRenderedPageBreak/>
        <w:t>با ترکیب معادلات عرضه</w:t>
      </w:r>
      <w:r w:rsidRPr="002614E7">
        <w:rPr>
          <w:rFonts w:eastAsiaTheme="minorEastAsia" w:hint="cs"/>
          <w:i/>
          <w:sz w:val="23"/>
          <w:szCs w:val="23"/>
          <w:rtl/>
        </w:rPr>
        <w:softHyphen/>
        <w:t xml:space="preserve">ی کل و تقاضای کل یعنی روابط </w:t>
      </w:r>
      <w:r w:rsidRPr="002614E7">
        <w:rPr>
          <w:rFonts w:hint="cs"/>
          <w:i/>
          <w:sz w:val="23"/>
          <w:szCs w:val="23"/>
          <w:rtl/>
        </w:rPr>
        <w:t>(۱۴. ۱۲)</w:t>
      </w:r>
      <w:r w:rsidRPr="002614E7">
        <w:rPr>
          <w:rFonts w:eastAsiaTheme="minorEastAsia" w:hint="cs"/>
          <w:i/>
          <w:sz w:val="23"/>
          <w:szCs w:val="23"/>
          <w:rtl/>
        </w:rPr>
        <w:t xml:space="preserve"> و </w:t>
      </w:r>
      <w:r w:rsidRPr="002614E7">
        <w:rPr>
          <w:rFonts w:hint="cs"/>
          <w:i/>
          <w:sz w:val="23"/>
          <w:szCs w:val="23"/>
          <w:rtl/>
        </w:rPr>
        <w:t>(۱۴. ۱۴)</w:t>
      </w:r>
      <w:r w:rsidRPr="002614E7">
        <w:rPr>
          <w:rFonts w:eastAsiaTheme="minorEastAsia" w:hint="cs"/>
          <w:i/>
          <w:sz w:val="23"/>
          <w:szCs w:val="23"/>
          <w:rtl/>
        </w:rPr>
        <w:t xml:space="preserve"> که همان فرم ساختاری مدل اقتصادی است، می‌توان مقادیر و</w:t>
      </w:r>
      <w:r w:rsidRPr="002614E7">
        <w:rPr>
          <w:position w:val="-12"/>
          <w:sz w:val="23"/>
          <w:szCs w:val="23"/>
        </w:rPr>
        <w:object w:dxaOrig="220" w:dyaOrig="360" w14:anchorId="359B94C7">
          <v:shape id="_x0000_i6763" type="#_x0000_t75" style="width:11.5pt;height:18.75pt" o:ole="">
            <v:imagedata r:id="rId11587" o:title=""/>
          </v:shape>
          <o:OLEObject Type="Embed" ProgID="Equation.DSMT4" ShapeID="_x0000_i6763" DrawAspect="Content" ObjectID="_1791380707" r:id="rId11588"/>
        </w:object>
      </w:r>
      <w:r w:rsidRPr="002614E7">
        <w:rPr>
          <w:rFonts w:eastAsiaTheme="minorEastAsia" w:hint="cs"/>
          <w:i/>
          <w:sz w:val="23"/>
          <w:szCs w:val="23"/>
          <w:rtl/>
        </w:rPr>
        <w:t xml:space="preserve"> را بطور همزمان بدست آورد. فرم خلاصه شده</w:t>
      </w:r>
      <w:r w:rsidRPr="002614E7">
        <w:rPr>
          <w:rFonts w:eastAsiaTheme="minorEastAsia" w:hint="cs"/>
          <w:i/>
          <w:sz w:val="23"/>
          <w:szCs w:val="23"/>
          <w:rtl/>
        </w:rPr>
        <w:softHyphen/>
        <w:t>ی این سیستم همزمان برای متغیر</w:t>
      </w:r>
      <w:r w:rsidRPr="002614E7">
        <w:rPr>
          <w:position w:val="-12"/>
          <w:sz w:val="23"/>
          <w:szCs w:val="23"/>
        </w:rPr>
        <w:object w:dxaOrig="220" w:dyaOrig="360" w14:anchorId="2CA75F20">
          <v:shape id="_x0000_i6764" type="#_x0000_t75" style="width:11.5pt;height:18.75pt" o:ole="">
            <v:imagedata r:id="rId11589" o:title=""/>
          </v:shape>
          <o:OLEObject Type="Embed" ProgID="Equation.DSMT4" ShapeID="_x0000_i6764" DrawAspect="Content" ObjectID="_1791380708" r:id="rId11590"/>
        </w:object>
      </w:r>
      <w:r w:rsidRPr="002614E7">
        <w:rPr>
          <w:rFonts w:hint="cs"/>
          <w:i/>
          <w:sz w:val="23"/>
          <w:szCs w:val="23"/>
          <w:rtl/>
        </w:rPr>
        <w:t>،</w:t>
      </w:r>
      <w:r w:rsidRPr="002614E7">
        <w:rPr>
          <w:rFonts w:eastAsiaTheme="minorEastAsia"/>
          <w:i/>
          <w:sz w:val="23"/>
          <w:szCs w:val="23"/>
        </w:rPr>
        <w:t xml:space="preserve"> </w:t>
      </w:r>
      <w:r w:rsidRPr="002614E7">
        <w:rPr>
          <w:rFonts w:eastAsiaTheme="minorEastAsia" w:hint="cs"/>
          <w:i/>
          <w:sz w:val="23"/>
          <w:szCs w:val="23"/>
          <w:rtl/>
        </w:rPr>
        <w:t>با حذف متغیر</w:t>
      </w:r>
      <w:r w:rsidRPr="002614E7">
        <w:rPr>
          <w:position w:val="-12"/>
          <w:sz w:val="23"/>
          <w:szCs w:val="23"/>
        </w:rPr>
        <w:object w:dxaOrig="220" w:dyaOrig="360" w14:anchorId="2BF91762">
          <v:shape id="_x0000_i6765" type="#_x0000_t75" style="width:11.5pt;height:18.75pt" o:ole="">
            <v:imagedata r:id="rId11591" o:title=""/>
          </v:shape>
          <o:OLEObject Type="Embed" ProgID="Equation.DSMT4" ShapeID="_x0000_i6765" DrawAspect="Content" ObjectID="_1791380709" r:id="rId11592"/>
        </w:object>
      </w:r>
      <w:r w:rsidRPr="002614E7">
        <w:rPr>
          <w:rFonts w:hint="cs"/>
          <w:i/>
          <w:sz w:val="23"/>
          <w:szCs w:val="23"/>
          <w:rtl/>
        </w:rPr>
        <w:t xml:space="preserve"> بدست آمده و برابر </w:t>
      </w:r>
      <w:r w:rsidRPr="002614E7">
        <w:rPr>
          <w:rFonts w:eastAsiaTheme="minorEastAsia" w:hint="cs"/>
          <w:i/>
          <w:sz w:val="23"/>
          <w:szCs w:val="23"/>
          <w:rtl/>
        </w:rPr>
        <w:t>است با</w:t>
      </w:r>
    </w:p>
    <w:p w14:paraId="11A4D9D0"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Pr>
      </w:pPr>
      <w:r w:rsidRPr="002614E7">
        <w:rPr>
          <w:position w:val="-16"/>
          <w:sz w:val="23"/>
          <w:szCs w:val="23"/>
        </w:rPr>
        <w:object w:dxaOrig="5060" w:dyaOrig="420" w14:anchorId="0E02CC64">
          <v:shape id="_x0000_i6766" type="#_x0000_t75" style="width:253.5pt;height:21.8pt" o:ole="">
            <v:imagedata r:id="rId11593" o:title=""/>
          </v:shape>
          <o:OLEObject Type="Embed" ProgID="Equation.DSMT4" ShapeID="_x0000_i6766" DrawAspect="Content" ObjectID="_1791380710" r:id="rId11594"/>
        </w:object>
      </w:r>
      <w:r w:rsidRPr="002614E7">
        <w:rPr>
          <w:rFonts w:ascii="Times New Roman" w:hAnsi="Times New Roman"/>
          <w:i/>
          <w:sz w:val="23"/>
          <w:szCs w:val="23"/>
        </w:rPr>
        <w:tab/>
      </w:r>
      <w:r>
        <w:rPr>
          <w:rFonts w:ascii="Times New Roman" w:hAnsi="Times New Roman"/>
          <w:i/>
          <w:sz w:val="23"/>
          <w:szCs w:val="23"/>
          <w:rtl/>
        </w:rPr>
        <w:tab/>
      </w:r>
      <w:r w:rsidRPr="002614E7">
        <w:rPr>
          <w:rFonts w:ascii="Times New Roman" w:hAnsi="Times New Roman"/>
          <w:i/>
          <w:sz w:val="23"/>
          <w:szCs w:val="23"/>
        </w:rPr>
        <w:tab/>
      </w:r>
      <w:r w:rsidRPr="002614E7">
        <w:rPr>
          <w:rFonts w:ascii="Times New Roman" w:hAnsi="Times New Roman"/>
          <w:i/>
          <w:sz w:val="23"/>
          <w:szCs w:val="23"/>
        </w:rPr>
        <w:tab/>
      </w:r>
      <w:r w:rsidRPr="002614E7">
        <w:rPr>
          <w:rFonts w:ascii="Times New Roman" w:hAnsi="Times New Roman" w:cs="B Nazanin" w:hint="cs"/>
          <w:i/>
          <w:sz w:val="23"/>
          <w:szCs w:val="23"/>
          <w:rtl/>
        </w:rPr>
        <w:t>(۱۴. ۱۵)</w:t>
      </w:r>
    </w:p>
    <w:p w14:paraId="7C44C066" w14:textId="77777777" w:rsidR="00556C10" w:rsidRPr="002614E7" w:rsidRDefault="00556C10" w:rsidP="00556C10">
      <w:pPr>
        <w:pStyle w:val="MTDisplayEquation"/>
        <w:bidi/>
        <w:spacing w:line="216" w:lineRule="auto"/>
        <w:rPr>
          <w:rFonts w:ascii="Times New Roman" w:hAnsi="Times New Roman" w:cs="B Nazanin"/>
          <w:i/>
          <w:sz w:val="23"/>
          <w:szCs w:val="23"/>
        </w:rPr>
      </w:pPr>
      <w:r w:rsidRPr="002614E7">
        <w:rPr>
          <w:rFonts w:ascii="Times New Roman" w:hAnsi="Times New Roman" w:cs="B Nazanin" w:hint="cs"/>
          <w:i/>
          <w:sz w:val="23"/>
          <w:szCs w:val="23"/>
          <w:rtl/>
        </w:rPr>
        <w:t>که در آن</w:t>
      </w:r>
    </w:p>
    <w:p w14:paraId="7495FFF7"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tl/>
        </w:rPr>
      </w:pPr>
      <w:r w:rsidRPr="002614E7">
        <w:rPr>
          <w:position w:val="-14"/>
          <w:sz w:val="23"/>
          <w:szCs w:val="23"/>
        </w:rPr>
        <w:object w:dxaOrig="2060" w:dyaOrig="380" w14:anchorId="1C67DE3D">
          <v:shape id="_x0000_i6767" type="#_x0000_t75" style="width:102.85pt;height:19.35pt" o:ole="">
            <v:imagedata r:id="rId11595" o:title=""/>
          </v:shape>
          <o:OLEObject Type="Embed" ProgID="Equation.DSMT4" ShapeID="_x0000_i6767" DrawAspect="Content" ObjectID="_1791380711" r:id="rId11596"/>
        </w:object>
      </w:r>
      <w:r w:rsidRPr="002614E7">
        <w:rPr>
          <w:rFonts w:ascii="Times New Roman" w:hAnsi="Times New Roman" w:cs="B Nazanin" w:hint="cs"/>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hint="cs"/>
          <w:i/>
          <w:sz w:val="23"/>
          <w:szCs w:val="23"/>
          <w:rtl/>
        </w:rPr>
        <w:t>(۱۴. ۱۶)</w:t>
      </w:r>
    </w:p>
    <w:p w14:paraId="39898AC3" w14:textId="77777777" w:rsidR="00556C10" w:rsidRPr="002614E7" w:rsidRDefault="00556C10" w:rsidP="00556C10">
      <w:pPr>
        <w:spacing w:line="216" w:lineRule="auto"/>
        <w:jc w:val="mediumKashida"/>
        <w:rPr>
          <w:rFonts w:eastAsiaTheme="minorEastAsia"/>
          <w:i/>
          <w:sz w:val="23"/>
          <w:szCs w:val="23"/>
        </w:rPr>
      </w:pPr>
      <w:r w:rsidRPr="002614E7">
        <w:rPr>
          <w:rFonts w:eastAsiaTheme="minorEastAsia" w:hint="cs"/>
          <w:i/>
          <w:sz w:val="23"/>
          <w:szCs w:val="23"/>
          <w:rtl/>
        </w:rPr>
        <w:t xml:space="preserve">حل فوق را ممکن است به روش وایتمن بدست آورد. اگر فرض </w:t>
      </w:r>
      <w:r w:rsidRPr="002614E7">
        <w:rPr>
          <w:position w:val="-10"/>
        </w:rPr>
        <w:object w:dxaOrig="260" w:dyaOrig="320" w14:anchorId="57C58FB1">
          <v:shape id="_x0000_i6768" type="#_x0000_t75" style="width:13.3pt;height:15.75pt" o:ole="">
            <v:imagedata r:id="rId11597" o:title=""/>
          </v:shape>
          <o:OLEObject Type="Embed" ProgID="Equation.DSMT4" ShapeID="_x0000_i6768" DrawAspect="Content" ObjectID="_1791380712" r:id="rId11598"/>
        </w:object>
      </w:r>
      <w:r w:rsidRPr="002614E7">
        <w:rPr>
          <w:rFonts w:eastAsiaTheme="minorEastAsia" w:hint="cs"/>
          <w:i/>
          <w:sz w:val="23"/>
          <w:szCs w:val="23"/>
          <w:rtl/>
        </w:rPr>
        <w:t>کنیم</w:t>
      </w:r>
      <w:r w:rsidRPr="002614E7">
        <w:rPr>
          <w:position w:val="-12"/>
        </w:rPr>
        <w:object w:dxaOrig="1080" w:dyaOrig="360" w14:anchorId="512668B8">
          <v:shape id="_x0000_i6769" type="#_x0000_t75" style="width:54.45pt;height:18.15pt" o:ole="">
            <v:imagedata r:id="rId11599" o:title=""/>
          </v:shape>
          <o:OLEObject Type="Embed" ProgID="Equation.DSMT4" ShapeID="_x0000_i6769" DrawAspect="Content" ObjectID="_1791380713" r:id="rId11600"/>
        </w:object>
      </w:r>
      <w:r w:rsidRPr="002614E7">
        <w:rPr>
          <w:rFonts w:eastAsiaTheme="minorEastAsia"/>
          <w:i/>
          <w:sz w:val="23"/>
          <w:szCs w:val="23"/>
        </w:rPr>
        <w:t xml:space="preserve"> </w:t>
      </w:r>
      <w:r w:rsidRPr="002614E7">
        <w:rPr>
          <w:rFonts w:eastAsiaTheme="minorEastAsia" w:hint="cs"/>
          <w:i/>
          <w:sz w:val="23"/>
          <w:szCs w:val="23"/>
          <w:rtl/>
        </w:rPr>
        <w:t>باشد، و</w:t>
      </w:r>
      <w:r w:rsidRPr="002614E7">
        <w:rPr>
          <w:position w:val="-10"/>
        </w:rPr>
        <w:object w:dxaOrig="200" w:dyaOrig="320" w14:anchorId="498C3881">
          <v:shape id="_x0000_i6770" type="#_x0000_t75" style="width:10.3pt;height:15.75pt" o:ole="">
            <v:imagedata r:id="rId11601" o:title=""/>
          </v:shape>
          <o:OLEObject Type="Embed" ProgID="Equation.DSMT4" ShapeID="_x0000_i6770" DrawAspect="Content" ObjectID="_1791380714" r:id="rId11602"/>
        </w:object>
      </w:r>
      <w:r w:rsidRPr="002614E7">
        <w:rPr>
          <w:rFonts w:eastAsiaTheme="minorEastAsia" w:hint="cs"/>
          <w:i/>
          <w:sz w:val="23"/>
          <w:szCs w:val="23"/>
          <w:rtl/>
        </w:rPr>
        <w:t xml:space="preserve"> شوک مستقل، با توزیع یکسان و میانگین صفر باشد، و حل مربوطه عبارت باشد از </w:t>
      </w:r>
      <w:r w:rsidRPr="002614E7">
        <w:rPr>
          <w:position w:val="-12"/>
        </w:rPr>
        <w:object w:dxaOrig="1080" w:dyaOrig="360" w14:anchorId="236088A7">
          <v:shape id="_x0000_i6771" type="#_x0000_t75" style="width:54.45pt;height:18.15pt" o:ole="">
            <v:imagedata r:id="rId11603" o:title=""/>
          </v:shape>
          <o:OLEObject Type="Embed" ProgID="Equation.DSMT4" ShapeID="_x0000_i6771" DrawAspect="Content" ObjectID="_1791380715" r:id="rId11604"/>
        </w:object>
      </w:r>
      <w:r w:rsidRPr="002614E7">
        <w:rPr>
          <w:rFonts w:eastAsiaTheme="minorEastAsia" w:hint="cs"/>
          <w:i/>
          <w:sz w:val="23"/>
          <w:szCs w:val="23"/>
          <w:rtl/>
        </w:rPr>
        <w:t xml:space="preserve">، آنگاه معادله‌ی </w:t>
      </w:r>
      <w:r w:rsidRPr="002614E7">
        <w:rPr>
          <w:rFonts w:hint="cs"/>
          <w:i/>
          <w:sz w:val="23"/>
          <w:szCs w:val="23"/>
          <w:rtl/>
        </w:rPr>
        <w:t>(۱۵.۱۴)</w:t>
      </w:r>
      <w:r w:rsidRPr="002614E7">
        <w:rPr>
          <w:rFonts w:eastAsiaTheme="minorEastAsia" w:hint="cs"/>
          <w:i/>
          <w:sz w:val="23"/>
          <w:szCs w:val="23"/>
          <w:rtl/>
        </w:rPr>
        <w:t xml:space="preserve"> را ممکن است بر حسب اپراتور باوقفه بازنویسی کرد. یعنی</w:t>
      </w:r>
    </w:p>
    <w:p w14:paraId="6C9D2132" w14:textId="77777777" w:rsidR="00556C10" w:rsidRPr="002614E7" w:rsidRDefault="00556C10" w:rsidP="00556C10">
      <w:pPr>
        <w:bidi w:val="0"/>
        <w:spacing w:line="216" w:lineRule="auto"/>
        <w:rPr>
          <w:rFonts w:eastAsiaTheme="minorEastAsia"/>
          <w:i/>
          <w:sz w:val="23"/>
          <w:szCs w:val="23"/>
          <w:rtl/>
        </w:rPr>
      </w:pPr>
      <w:r w:rsidRPr="002614E7">
        <w:rPr>
          <w:position w:val="-36"/>
        </w:rPr>
        <w:object w:dxaOrig="4660" w:dyaOrig="820" w14:anchorId="496735B3">
          <v:shape id="_x0000_i6772" type="#_x0000_t75" style="width:232.95pt;height:40.55pt" o:ole="">
            <v:imagedata r:id="rId11605" o:title=""/>
          </v:shape>
          <o:OLEObject Type="Embed" ProgID="Equation.DSMT4" ShapeID="_x0000_i6772" DrawAspect="Content" ObjectID="_1791380716" r:id="rId11606"/>
        </w:object>
      </w:r>
      <w:r w:rsidRPr="002614E7">
        <w:rPr>
          <w:rFonts w:eastAsiaTheme="minorEastAsia" w:hint="cs"/>
          <w:i/>
          <w:sz w:val="23"/>
          <w:szCs w:val="23"/>
          <w:rtl/>
        </w:rPr>
        <w:t xml:space="preserve"> </w:t>
      </w:r>
    </w:p>
    <w:p w14:paraId="630F6A81" w14:textId="77777777" w:rsidR="00556C10" w:rsidRPr="002614E7" w:rsidRDefault="00556C10" w:rsidP="00556C10">
      <w:pPr>
        <w:spacing w:line="216" w:lineRule="auto"/>
        <w:jc w:val="mediumKashida"/>
        <w:rPr>
          <w:rFonts w:eastAsiaTheme="minorEastAsia"/>
          <w:i/>
          <w:sz w:val="23"/>
          <w:szCs w:val="23"/>
          <w:rtl/>
        </w:rPr>
      </w:pPr>
      <w:r w:rsidRPr="002614E7">
        <w:rPr>
          <w:rFonts w:eastAsiaTheme="minorEastAsia" w:hint="cs"/>
          <w:i/>
          <w:sz w:val="23"/>
          <w:szCs w:val="23"/>
          <w:rtl/>
        </w:rPr>
        <w:t xml:space="preserve">چنانچه </w:t>
      </w:r>
      <w:r w:rsidRPr="002614E7">
        <w:rPr>
          <w:position w:val="-12"/>
        </w:rPr>
        <w:object w:dxaOrig="1240" w:dyaOrig="360" w14:anchorId="1783F55D">
          <v:shape id="_x0000_i6773" type="#_x0000_t75" style="width:61.7pt;height:18.15pt" o:ole="">
            <v:imagedata r:id="rId11607" o:title=""/>
          </v:shape>
          <o:OLEObject Type="Embed" ProgID="Equation.DSMT4" ShapeID="_x0000_i6773" DrawAspect="Content" ObjectID="_1791380717" r:id="rId11608"/>
        </w:object>
      </w:r>
      <w:r w:rsidRPr="002614E7">
        <w:rPr>
          <w:rFonts w:eastAsiaTheme="minorEastAsia"/>
          <w:i/>
          <w:sz w:val="23"/>
          <w:szCs w:val="23"/>
        </w:rPr>
        <w:t xml:space="preserve"> </w:t>
      </w:r>
      <w:r w:rsidRPr="002614E7">
        <w:rPr>
          <w:rFonts w:eastAsiaTheme="minorEastAsia" w:hint="cs"/>
          <w:i/>
          <w:sz w:val="23"/>
          <w:szCs w:val="23"/>
          <w:rtl/>
        </w:rPr>
        <w:t>باشد خواهیم داشت</w:t>
      </w:r>
    </w:p>
    <w:p w14:paraId="6175D411" w14:textId="77777777" w:rsidR="00556C10" w:rsidRPr="002614E7" w:rsidRDefault="00556C10" w:rsidP="00556C10">
      <w:pPr>
        <w:pStyle w:val="MTDisplayEquation"/>
        <w:spacing w:line="216" w:lineRule="auto"/>
        <w:jc w:val="left"/>
        <w:rPr>
          <w:rFonts w:ascii="Times New Roman" w:hAnsi="Times New Roman" w:cs="B Nazanin"/>
          <w:i/>
          <w:sz w:val="23"/>
          <w:szCs w:val="23"/>
          <w:rtl/>
        </w:rPr>
      </w:pPr>
      <w:r w:rsidRPr="002614E7">
        <w:rPr>
          <w:position w:val="-32"/>
        </w:rPr>
        <w:object w:dxaOrig="6520" w:dyaOrig="760" w14:anchorId="3C68A263">
          <v:shape id="_x0000_i6774" type="#_x0000_t75" style="width:326.1pt;height:38.1pt" o:ole="">
            <v:imagedata r:id="rId11609" o:title=""/>
          </v:shape>
          <o:OLEObject Type="Embed" ProgID="Equation.DSMT4" ShapeID="_x0000_i6774" DrawAspect="Content" ObjectID="_1791380718" r:id="rId11610"/>
        </w:object>
      </w:r>
    </w:p>
    <w:p w14:paraId="00557E06" w14:textId="77777777" w:rsidR="00556C10" w:rsidRPr="002614E7" w:rsidRDefault="00556C10" w:rsidP="00556C10">
      <w:pPr>
        <w:pStyle w:val="MTDisplayEquation"/>
        <w:bidi/>
        <w:spacing w:line="216" w:lineRule="auto"/>
        <w:rPr>
          <w:rFonts w:ascii="Times New Roman" w:hAnsi="Times New Roman" w:cs="B Nazanin"/>
          <w:i/>
          <w:sz w:val="23"/>
          <w:szCs w:val="23"/>
        </w:rPr>
      </w:pPr>
      <w:r w:rsidRPr="002614E7">
        <w:rPr>
          <w:rFonts w:ascii="Times New Roman" w:hAnsi="Times New Roman" w:cs="B Nazanin" w:hint="cs"/>
          <w:i/>
          <w:sz w:val="23"/>
          <w:szCs w:val="23"/>
          <w:rtl/>
        </w:rPr>
        <w:t>که در آن</w:t>
      </w:r>
    </w:p>
    <w:p w14:paraId="6AD06A98"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6"/>
        </w:rPr>
        <w:object w:dxaOrig="3840" w:dyaOrig="660" w14:anchorId="152A933F">
          <v:shape id="_x0000_i6775" type="#_x0000_t75" style="width:191.8pt;height:32.65pt" o:ole="">
            <v:imagedata r:id="rId11611" o:title=""/>
          </v:shape>
          <o:OLEObject Type="Embed" ProgID="Equation.DSMT4" ShapeID="_x0000_i6775" DrawAspect="Content" ObjectID="_1791380719" r:id="rId11612"/>
        </w:object>
      </w:r>
    </w:p>
    <w:p w14:paraId="58962ED2" w14:textId="77777777" w:rsidR="00556C10" w:rsidRPr="002614E7" w:rsidRDefault="00556C10" w:rsidP="00556C10">
      <w:pPr>
        <w:spacing w:line="216" w:lineRule="auto"/>
        <w:jc w:val="mediumKashida"/>
        <w:rPr>
          <w:rFonts w:eastAsiaTheme="minorEastAsia"/>
          <w:i/>
          <w:sz w:val="23"/>
          <w:szCs w:val="23"/>
        </w:rPr>
      </w:pPr>
      <w:r w:rsidRPr="002614E7">
        <w:rPr>
          <w:rFonts w:eastAsiaTheme="minorEastAsia" w:hint="cs"/>
          <w:i/>
          <w:sz w:val="23"/>
          <w:szCs w:val="23"/>
          <w:rtl/>
        </w:rPr>
        <w:t>می</w:t>
      </w:r>
      <w:r w:rsidRPr="002614E7">
        <w:rPr>
          <w:rFonts w:eastAsiaTheme="minorEastAsia"/>
          <w:i/>
          <w:sz w:val="23"/>
          <w:szCs w:val="23"/>
          <w:rtl/>
        </w:rPr>
        <w:softHyphen/>
      </w:r>
      <w:r w:rsidRPr="002614E7">
        <w:rPr>
          <w:rFonts w:eastAsiaTheme="minorEastAsia" w:hint="cs"/>
          <w:i/>
          <w:sz w:val="23"/>
          <w:szCs w:val="23"/>
          <w:rtl/>
        </w:rPr>
        <w:t xml:space="preserve">باشد. معادله‌ی مشخصه‌ی </w:t>
      </w:r>
      <w:r w:rsidRPr="002614E7">
        <w:rPr>
          <w:position w:val="-12"/>
        </w:rPr>
        <w:object w:dxaOrig="859" w:dyaOrig="360" w14:anchorId="1D5FA537">
          <v:shape id="_x0000_i6776" type="#_x0000_t75" style="width:42.95pt;height:18.15pt" o:ole="">
            <v:imagedata r:id="rId11613" o:title=""/>
          </v:shape>
          <o:OLEObject Type="Embed" ProgID="Equation.DSMT4" ShapeID="_x0000_i6776" DrawAspect="Content" ObjectID="_1791380720" r:id="rId11614"/>
        </w:object>
      </w:r>
      <w:r w:rsidRPr="002614E7">
        <w:rPr>
          <w:rFonts w:hint="cs"/>
          <w:i/>
          <w:sz w:val="23"/>
          <w:szCs w:val="23"/>
          <w:rtl/>
        </w:rPr>
        <w:t>،</w:t>
      </w:r>
      <w:r w:rsidRPr="002614E7">
        <w:rPr>
          <w:rFonts w:eastAsiaTheme="minorEastAsia" w:hint="cs"/>
          <w:i/>
          <w:sz w:val="23"/>
          <w:szCs w:val="23"/>
          <w:rtl/>
        </w:rPr>
        <w:t xml:space="preserve"> دو ریشه خواهد داشت. چنانچه </w:t>
      </w:r>
      <w:r w:rsidRPr="002614E7">
        <w:rPr>
          <w:position w:val="-28"/>
        </w:rPr>
        <w:object w:dxaOrig="1900" w:dyaOrig="660" w14:anchorId="7951F3D6">
          <v:shape id="_x0000_i6777" type="#_x0000_t75" style="width:95pt;height:32.65pt" o:ole="">
            <v:imagedata r:id="rId11615" o:title=""/>
          </v:shape>
          <o:OLEObject Type="Embed" ProgID="Equation.DSMT4" ShapeID="_x0000_i6777" DrawAspect="Content" ObjectID="_1791380721" r:id="rId11616"/>
        </w:object>
      </w:r>
      <w:r w:rsidRPr="002614E7">
        <w:rPr>
          <w:rFonts w:eastAsiaTheme="minorEastAsia" w:hint="cs"/>
          <w:i/>
          <w:sz w:val="23"/>
          <w:szCs w:val="23"/>
          <w:rtl/>
        </w:rPr>
        <w:t xml:space="preserve"> باشد راه حل دارای مسیر زینی است. اگر ریشه</w:t>
      </w:r>
      <w:r w:rsidRPr="002614E7">
        <w:rPr>
          <w:rFonts w:eastAsiaTheme="minorEastAsia" w:hint="cs"/>
          <w:i/>
          <w:sz w:val="23"/>
          <w:szCs w:val="23"/>
          <w:rtl/>
        </w:rPr>
        <w:softHyphen/>
        <w:t xml:space="preserve">های این معادله را بوسیله‌ی </w:t>
      </w:r>
      <w:r w:rsidRPr="002614E7">
        <w:rPr>
          <w:position w:val="-10"/>
        </w:rPr>
        <w:object w:dxaOrig="560" w:dyaOrig="320" w14:anchorId="5804562C">
          <v:shape id="_x0000_i6778" type="#_x0000_t75" style="width:27.85pt;height:15.75pt" o:ole="">
            <v:imagedata r:id="rId11617" o:title=""/>
          </v:shape>
          <o:OLEObject Type="Embed" ProgID="Equation.DSMT4" ShapeID="_x0000_i6778" DrawAspect="Content" ObjectID="_1791380722" r:id="rId11618"/>
        </w:object>
      </w:r>
      <w:r w:rsidRPr="002614E7">
        <w:rPr>
          <w:rFonts w:eastAsiaTheme="minorEastAsia" w:hint="cs"/>
          <w:i/>
          <w:sz w:val="23"/>
          <w:szCs w:val="23"/>
          <w:rtl/>
        </w:rPr>
        <w:t xml:space="preserve"> و </w:t>
      </w:r>
      <w:r w:rsidRPr="002614E7">
        <w:rPr>
          <w:position w:val="-10"/>
        </w:rPr>
        <w:object w:dxaOrig="580" w:dyaOrig="320" w14:anchorId="396AB286">
          <v:shape id="_x0000_i6779" type="#_x0000_t75" style="width:29.05pt;height:15.75pt" o:ole="">
            <v:imagedata r:id="rId11619" o:title=""/>
          </v:shape>
          <o:OLEObject Type="Embed" ProgID="Equation.DSMT4" ShapeID="_x0000_i6779" DrawAspect="Content" ObjectID="_1791380723" r:id="rId11620"/>
        </w:object>
      </w:r>
      <w:r w:rsidRPr="002614E7">
        <w:rPr>
          <w:rFonts w:eastAsiaTheme="minorEastAsia" w:hint="cs"/>
          <w:i/>
          <w:sz w:val="23"/>
          <w:szCs w:val="23"/>
          <w:rtl/>
        </w:rPr>
        <w:t xml:space="preserve"> از یکدیگر تفکیک ‌کنیم خواهیم داشت،</w:t>
      </w:r>
    </w:p>
    <w:p w14:paraId="148F2235"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8"/>
        </w:rPr>
        <w:object w:dxaOrig="4640" w:dyaOrig="680" w14:anchorId="4D4F7EAB">
          <v:shape id="_x0000_i6780" type="#_x0000_t75" style="width:232.35pt;height:33.9pt" o:ole="">
            <v:imagedata r:id="rId11621" o:title=""/>
          </v:shape>
          <o:OLEObject Type="Embed" ProgID="Equation.DSMT4" ShapeID="_x0000_i6780" DrawAspect="Content" ObjectID="_1791380724" r:id="rId11622"/>
        </w:object>
      </w:r>
    </w:p>
    <w:p w14:paraId="521FFEA7" w14:textId="77777777" w:rsidR="00556C10" w:rsidRPr="002614E7" w:rsidRDefault="00556C10" w:rsidP="00556C10">
      <w:pPr>
        <w:spacing w:line="216" w:lineRule="auto"/>
        <w:jc w:val="mediumKashida"/>
        <w:rPr>
          <w:rFonts w:eastAsiaTheme="minorEastAsia"/>
          <w:i/>
          <w:sz w:val="23"/>
          <w:szCs w:val="23"/>
          <w:rtl/>
        </w:rPr>
      </w:pPr>
      <w:r w:rsidRPr="002614E7">
        <w:rPr>
          <w:rFonts w:eastAsiaTheme="minorEastAsia" w:hint="cs"/>
          <w:i/>
          <w:sz w:val="23"/>
          <w:szCs w:val="23"/>
          <w:rtl/>
        </w:rPr>
        <w:t>ب‍ا بکارگیری روش باقیمانده برای ریشه‌ی بی</w:t>
      </w:r>
      <w:r w:rsidRPr="002614E7">
        <w:rPr>
          <w:rFonts w:eastAsiaTheme="minorEastAsia" w:hint="cs"/>
          <w:i/>
          <w:sz w:val="23"/>
          <w:szCs w:val="23"/>
          <w:rtl/>
        </w:rPr>
        <w:softHyphen/>
        <w:t>ثبات</w:t>
      </w:r>
      <w:r w:rsidRPr="002614E7">
        <w:rPr>
          <w:position w:val="-10"/>
        </w:rPr>
        <w:object w:dxaOrig="240" w:dyaOrig="320" w14:anchorId="7DBB449A">
          <v:shape id="_x0000_i6781" type="#_x0000_t75" style="width:11.5pt;height:15.75pt" o:ole="">
            <v:imagedata r:id="rId11623" o:title=""/>
          </v:shape>
          <o:OLEObject Type="Embed" ProgID="Equation.DSMT4" ShapeID="_x0000_i6781" DrawAspect="Content" ObjectID="_1791380725" r:id="rId11624"/>
        </w:object>
      </w:r>
      <w:r w:rsidRPr="002614E7">
        <w:rPr>
          <w:rFonts w:eastAsiaTheme="minorEastAsia" w:hint="cs"/>
          <w:i/>
          <w:sz w:val="23"/>
          <w:szCs w:val="23"/>
          <w:rtl/>
        </w:rPr>
        <w:t xml:space="preserve"> خواهیم داشت</w:t>
      </w:r>
    </w:p>
    <w:p w14:paraId="30793DBC"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0"/>
        </w:rPr>
        <w:object w:dxaOrig="5740" w:dyaOrig="460" w14:anchorId="1443CA06">
          <v:shape id="_x0000_i6782" type="#_x0000_t75" style="width:286.8pt;height:23pt" o:ole="">
            <v:imagedata r:id="rId11625" o:title=""/>
          </v:shape>
          <o:OLEObject Type="Embed" ProgID="Equation.DSMT4" ShapeID="_x0000_i6782" DrawAspect="Content" ObjectID="_1791380726" r:id="rId11626"/>
        </w:object>
      </w:r>
    </w:p>
    <w:p w14:paraId="364232CF" w14:textId="77777777" w:rsidR="00556C10" w:rsidRPr="002614E7" w:rsidRDefault="00556C10" w:rsidP="00556C10">
      <w:pPr>
        <w:spacing w:line="216" w:lineRule="auto"/>
        <w:jc w:val="mediumKashida"/>
        <w:rPr>
          <w:rFonts w:eastAsiaTheme="minorEastAsia"/>
          <w:i/>
          <w:sz w:val="23"/>
          <w:szCs w:val="23"/>
        </w:rPr>
      </w:pPr>
      <w:r w:rsidRPr="002614E7">
        <w:rPr>
          <w:rFonts w:eastAsiaTheme="minorEastAsia" w:hint="cs"/>
          <w:i/>
          <w:sz w:val="23"/>
          <w:szCs w:val="23"/>
          <w:rtl/>
        </w:rPr>
        <w:t>که در آن ضریب</w:t>
      </w:r>
      <w:r w:rsidRPr="002614E7">
        <w:rPr>
          <w:position w:val="-10"/>
        </w:rPr>
        <w:object w:dxaOrig="260" w:dyaOrig="320" w14:anchorId="07AA083F">
          <v:shape id="_x0000_i6783" type="#_x0000_t75" style="width:13.3pt;height:15.75pt" o:ole="">
            <v:imagedata r:id="rId11627" o:title=""/>
          </v:shape>
          <o:OLEObject Type="Embed" ProgID="Equation.DSMT4" ShapeID="_x0000_i6783" DrawAspect="Content" ObjectID="_1791380727" r:id="rId11628"/>
        </w:object>
      </w:r>
      <w:r w:rsidRPr="002614E7">
        <w:rPr>
          <w:rFonts w:eastAsiaTheme="minorEastAsia" w:hint="cs"/>
          <w:i/>
          <w:sz w:val="23"/>
          <w:szCs w:val="23"/>
          <w:rtl/>
        </w:rPr>
        <w:t xml:space="preserve"> بطور منحصر به فرد، بوسیله‌ی رابطه‌ی زیر بدست خواهد آمد</w:t>
      </w:r>
    </w:p>
    <w:p w14:paraId="24A3FD0D"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8"/>
        </w:rPr>
        <w:object w:dxaOrig="1460" w:dyaOrig="680" w14:anchorId="210B17FB">
          <v:shape id="_x0000_i6784" type="#_x0000_t75" style="width:73.2pt;height:33.9pt" o:ole="">
            <v:imagedata r:id="rId11629" o:title=""/>
          </v:shape>
          <o:OLEObject Type="Embed" ProgID="Equation.DSMT4" ShapeID="_x0000_i6784" DrawAspect="Content" ObjectID="_1791380728" r:id="rId11630"/>
        </w:object>
      </w:r>
    </w:p>
    <w:p w14:paraId="422FAAFF" w14:textId="77777777" w:rsidR="00556C10" w:rsidRPr="002614E7" w:rsidRDefault="00556C10" w:rsidP="00556C10">
      <w:pPr>
        <w:spacing w:line="216" w:lineRule="auto"/>
        <w:jc w:val="mediumKashida"/>
        <w:rPr>
          <w:rFonts w:eastAsiaTheme="minorEastAsia"/>
          <w:i/>
          <w:sz w:val="23"/>
          <w:szCs w:val="23"/>
        </w:rPr>
      </w:pPr>
      <w:r w:rsidRPr="002614E7">
        <w:rPr>
          <w:rFonts w:eastAsiaTheme="minorEastAsia" w:hint="cs"/>
          <w:i/>
          <w:sz w:val="23"/>
          <w:szCs w:val="23"/>
          <w:rtl/>
        </w:rPr>
        <w:lastRenderedPageBreak/>
        <w:t>بنابراین</w:t>
      </w:r>
      <w:r w:rsidRPr="002614E7">
        <w:rPr>
          <w:position w:val="-10"/>
        </w:rPr>
        <w:object w:dxaOrig="260" w:dyaOrig="320" w14:anchorId="41A3A969">
          <v:shape id="_x0000_i6785" type="#_x0000_t75" style="width:13.3pt;height:15.75pt" o:ole="">
            <v:imagedata r:id="rId11631" o:title=""/>
          </v:shape>
          <o:OLEObject Type="Embed" ProgID="Equation.DSMT4" ShapeID="_x0000_i6785" DrawAspect="Content" ObjectID="_1791380729" r:id="rId11632"/>
        </w:object>
      </w:r>
      <w:r w:rsidRPr="002614E7">
        <w:rPr>
          <w:rFonts w:eastAsiaTheme="minorEastAsia" w:hint="cs"/>
          <w:i/>
          <w:sz w:val="23"/>
          <w:szCs w:val="23"/>
          <w:rtl/>
        </w:rPr>
        <w:t xml:space="preserve"> عبارت خواهد بود از</w:t>
      </w:r>
    </w:p>
    <w:p w14:paraId="39BFD938"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34"/>
        </w:rPr>
        <w:object w:dxaOrig="6360" w:dyaOrig="800" w14:anchorId="3EA707F2">
          <v:shape id="_x0000_i6786" type="#_x0000_t75" style="width:318.25pt;height:39.95pt" o:ole="">
            <v:imagedata r:id="rId11633" o:title=""/>
          </v:shape>
          <o:OLEObject Type="Embed" ProgID="Equation.DSMT4" ShapeID="_x0000_i6786" DrawAspect="Content" ObjectID="_1791380730" r:id="rId11634"/>
        </w:object>
      </w:r>
    </w:p>
    <w:p w14:paraId="0FFD185B" w14:textId="77777777" w:rsidR="00556C10" w:rsidRPr="002614E7" w:rsidRDefault="00556C10" w:rsidP="00556C10">
      <w:pPr>
        <w:spacing w:line="216" w:lineRule="auto"/>
        <w:jc w:val="mediumKashida"/>
        <w:rPr>
          <w:rFonts w:eastAsiaTheme="minorEastAsia"/>
          <w:i/>
          <w:sz w:val="23"/>
          <w:szCs w:val="23"/>
          <w:rtl/>
        </w:rPr>
      </w:pPr>
      <w:r w:rsidRPr="002614E7">
        <w:rPr>
          <w:rFonts w:eastAsiaTheme="minorEastAsia" w:hint="cs"/>
          <w:i/>
          <w:sz w:val="23"/>
          <w:szCs w:val="23"/>
          <w:rtl/>
        </w:rPr>
        <w:t>و بر حسب</w:t>
      </w:r>
      <w:r w:rsidRPr="002614E7">
        <w:rPr>
          <w:position w:val="-10"/>
        </w:rPr>
        <w:object w:dxaOrig="240" w:dyaOrig="320" w14:anchorId="28E8B0D9">
          <v:shape id="_x0000_i6787" type="#_x0000_t75" style="width:11.5pt;height:15.75pt" o:ole="">
            <v:imagedata r:id="rId11635" o:title=""/>
          </v:shape>
          <o:OLEObject Type="Embed" ProgID="Equation.DSMT4" ShapeID="_x0000_i6787" DrawAspect="Content" ObjectID="_1791380731" r:id="rId11636"/>
        </w:object>
      </w:r>
      <w:r w:rsidRPr="002614E7">
        <w:rPr>
          <w:rFonts w:eastAsiaTheme="minorEastAsia" w:hint="cs"/>
          <w:i/>
          <w:sz w:val="23"/>
          <w:szCs w:val="23"/>
          <w:rtl/>
        </w:rPr>
        <w:t xml:space="preserve"> خواهیم داشت</w:t>
      </w:r>
    </w:p>
    <w:p w14:paraId="7B9C1AD2"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tl/>
        </w:rPr>
      </w:pPr>
      <w:r w:rsidRPr="002614E7">
        <w:rPr>
          <w:position w:val="-28"/>
        </w:rPr>
        <w:object w:dxaOrig="4520" w:dyaOrig="680" w14:anchorId="01D537D2">
          <v:shape id="_x0000_i6788" type="#_x0000_t75" style="width:226.3pt;height:33.9pt" o:ole="">
            <v:imagedata r:id="rId11637" o:title=""/>
          </v:shape>
          <o:OLEObject Type="Embed" ProgID="Equation.DSMT4" ShapeID="_x0000_i6788" DrawAspect="Content" ObjectID="_1791380732" r:id="rId11638"/>
        </w:object>
      </w:r>
      <w:r w:rsidRPr="002614E7">
        <w:rPr>
          <w:rFonts w:ascii="Times New Roman" w:hAnsi="Times New Roman"/>
          <w:i/>
          <w:sz w:val="23"/>
          <w:szCs w:val="23"/>
        </w:rPr>
        <w:tab/>
      </w:r>
      <w:r w:rsidRPr="002614E7">
        <w:rPr>
          <w:rFonts w:ascii="Times New Roman" w:hAnsi="Times New Roman"/>
          <w:i/>
          <w:sz w:val="23"/>
          <w:szCs w:val="23"/>
          <w:rtl/>
        </w:rPr>
        <w:tab/>
      </w:r>
      <w:r w:rsidRPr="002614E7">
        <w:rPr>
          <w:rFonts w:ascii="Times New Roman" w:hAnsi="Times New Roman"/>
          <w:i/>
          <w:sz w:val="23"/>
          <w:szCs w:val="23"/>
        </w:rPr>
        <w:tab/>
      </w:r>
      <w:r w:rsidRPr="002614E7">
        <w:rPr>
          <w:rFonts w:ascii="Times New Roman" w:hAnsi="Times New Roman"/>
          <w:i/>
          <w:sz w:val="23"/>
          <w:szCs w:val="23"/>
          <w:rtl/>
        </w:rPr>
        <w:tab/>
      </w:r>
      <w:r>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(۱۴. ۱۷)</w:t>
      </w:r>
    </w:p>
    <w:p w14:paraId="2EBDDA3C" w14:textId="77777777" w:rsidR="00556C10" w:rsidRPr="002614E7" w:rsidRDefault="00556C10" w:rsidP="00556C10">
      <w:pPr>
        <w:spacing w:line="216" w:lineRule="auto"/>
        <w:jc w:val="mediumKashida"/>
        <w:rPr>
          <w:rFonts w:eastAsiaTheme="minorEastAsia"/>
          <w:i/>
          <w:sz w:val="23"/>
          <w:szCs w:val="23"/>
        </w:rPr>
      </w:pPr>
      <w:r w:rsidRPr="002614E7">
        <w:rPr>
          <w:rFonts w:eastAsiaTheme="minorEastAsia" w:hint="cs"/>
          <w:i/>
          <w:sz w:val="23"/>
          <w:szCs w:val="23"/>
          <w:rtl/>
        </w:rPr>
        <w:t>که در آن</w:t>
      </w:r>
      <w:r w:rsidRPr="002614E7">
        <w:rPr>
          <w:position w:val="-12"/>
        </w:rPr>
        <w:object w:dxaOrig="2320" w:dyaOrig="360" w14:anchorId="6BCB3599">
          <v:shape id="_x0000_i6789" type="#_x0000_t75" style="width:116.15pt;height:18.15pt" o:ole="">
            <v:imagedata r:id="rId11639" o:title=""/>
          </v:shape>
          <o:OLEObject Type="Embed" ProgID="Equation.DSMT4" ShapeID="_x0000_i6789" DrawAspect="Content" ObjectID="_1791380733" r:id="rId11640"/>
        </w:object>
      </w:r>
      <w:r w:rsidRPr="002614E7">
        <w:rPr>
          <w:rFonts w:eastAsiaTheme="minorEastAsia" w:hint="cs"/>
          <w:i/>
          <w:sz w:val="23"/>
          <w:szCs w:val="23"/>
          <w:rtl/>
        </w:rPr>
        <w:t xml:space="preserve"> است.</w:t>
      </w:r>
    </w:p>
    <w:p w14:paraId="4469F1A9" w14:textId="77777777" w:rsidR="00556C10" w:rsidRPr="002614E7" w:rsidRDefault="00556C10" w:rsidP="00556C10">
      <w:pPr>
        <w:spacing w:line="216" w:lineRule="auto"/>
        <w:jc w:val="mediumKashida"/>
        <w:rPr>
          <w:rFonts w:eastAsiaTheme="minorEastAsia"/>
          <w:i/>
          <w:sz w:val="23"/>
          <w:szCs w:val="23"/>
          <w:rtl/>
        </w:rPr>
      </w:pPr>
      <w:r w:rsidRPr="002614E7">
        <w:rPr>
          <w:rFonts w:eastAsiaTheme="minorEastAsia" w:hint="cs"/>
          <w:i/>
          <w:sz w:val="23"/>
          <w:szCs w:val="23"/>
          <w:rtl/>
        </w:rPr>
        <w:t xml:space="preserve">رابطه‌ی </w:t>
      </w:r>
      <w:r w:rsidRPr="002614E7">
        <w:rPr>
          <w:rFonts w:hint="cs"/>
          <w:i/>
          <w:sz w:val="23"/>
          <w:szCs w:val="23"/>
          <w:rtl/>
        </w:rPr>
        <w:t>(۱۴. ۱۷)</w:t>
      </w:r>
      <w:r w:rsidRPr="002614E7">
        <w:rPr>
          <w:rFonts w:eastAsiaTheme="minorEastAsia" w:hint="cs"/>
          <w:i/>
          <w:sz w:val="23"/>
          <w:szCs w:val="23"/>
          <w:rtl/>
        </w:rPr>
        <w:t xml:space="preserve"> نشان می‌دهد که سطح قیمت دارای اجزا و عناصر گذشته و آینده است. از آن</w:t>
      </w:r>
      <w:r w:rsidRPr="002614E7">
        <w:rPr>
          <w:rFonts w:eastAsiaTheme="minorEastAsia"/>
          <w:i/>
          <w:sz w:val="23"/>
          <w:szCs w:val="23"/>
          <w:rtl/>
        </w:rPr>
        <w:softHyphen/>
      </w:r>
      <w:r w:rsidRPr="002614E7">
        <w:rPr>
          <w:rFonts w:eastAsiaTheme="minorEastAsia" w:hint="cs"/>
          <w:i/>
          <w:sz w:val="23"/>
          <w:szCs w:val="23"/>
          <w:rtl/>
        </w:rPr>
        <w:t>جا که پارامتر</w:t>
      </w:r>
      <w:r w:rsidRPr="002614E7">
        <w:rPr>
          <w:position w:val="-10"/>
        </w:rPr>
        <w:object w:dxaOrig="540" w:dyaOrig="300" w14:anchorId="6DD42545">
          <v:shape id="_x0000_i6790" type="#_x0000_t75" style="width:26.6pt;height:14.5pt" o:ole="">
            <v:imagedata r:id="rId11641" o:title=""/>
          </v:shape>
          <o:OLEObject Type="Embed" ProgID="Equation.DSMT4" ShapeID="_x0000_i6790" DrawAspect="Content" ObjectID="_1791380734" r:id="rId11642"/>
        </w:object>
      </w:r>
      <w:r w:rsidRPr="002614E7">
        <w:rPr>
          <w:rFonts w:hint="cs"/>
          <w:i/>
          <w:sz w:val="23"/>
          <w:szCs w:val="23"/>
          <w:rtl/>
        </w:rPr>
        <w:t xml:space="preserve"> است، لذا </w:t>
      </w:r>
      <w:r w:rsidRPr="002614E7">
        <w:rPr>
          <w:rFonts w:eastAsiaTheme="minorEastAsia" w:hint="cs"/>
          <w:i/>
          <w:sz w:val="23"/>
          <w:szCs w:val="23"/>
          <w:rtl/>
        </w:rPr>
        <w:t>با افزایش عرضه‌ی پول و نرخ بهره‌ی حقیقی در زمان جاری و آتی انتظاری، و همچنین کاهش تولید بالقوه در زمان جاری و یا آتی انتظاری، سطح قیمت در زمان جاری افزایش خواهد یافت، و چون پارامتر</w:t>
      </w:r>
      <w:r w:rsidRPr="002614E7">
        <w:rPr>
          <w:position w:val="-10"/>
        </w:rPr>
        <w:object w:dxaOrig="580" w:dyaOrig="320" w14:anchorId="7EA6AE31">
          <v:shape id="_x0000_i6791" type="#_x0000_t75" style="width:29.05pt;height:15.75pt" o:ole="">
            <v:imagedata r:id="rId11643" o:title=""/>
          </v:shape>
          <o:OLEObject Type="Embed" ProgID="Equation.DSMT4" ShapeID="_x0000_i6791" DrawAspect="Content" ObjectID="_1791380735" r:id="rId11644"/>
        </w:object>
      </w:r>
      <w:r w:rsidRPr="002614E7">
        <w:rPr>
          <w:rFonts w:hint="cs"/>
          <w:i/>
          <w:sz w:val="23"/>
          <w:szCs w:val="23"/>
          <w:rtl/>
        </w:rPr>
        <w:t xml:space="preserve"> می</w:t>
      </w:r>
      <w:r w:rsidRPr="002614E7">
        <w:rPr>
          <w:rFonts w:hint="cs"/>
          <w:i/>
          <w:sz w:val="23"/>
          <w:szCs w:val="23"/>
          <w:rtl/>
        </w:rPr>
        <w:softHyphen/>
        <w:t xml:space="preserve">باشد، لذا </w:t>
      </w:r>
      <w:r w:rsidRPr="002614E7">
        <w:rPr>
          <w:rFonts w:eastAsiaTheme="minorEastAsia" w:hint="cs"/>
          <w:i/>
          <w:sz w:val="23"/>
          <w:szCs w:val="23"/>
          <w:rtl/>
        </w:rPr>
        <w:t xml:space="preserve">تعدیل قیمت به سمت قیمت تعادلی بلندمدت جدید، در طی زمان صورت خواهد‌ پذیرفت. </w:t>
      </w:r>
    </w:p>
    <w:p w14:paraId="2F68AD46" w14:textId="77777777" w:rsidR="00556C10" w:rsidRPr="002614E7" w:rsidRDefault="00556C10" w:rsidP="00556C10">
      <w:pPr>
        <w:spacing w:line="216" w:lineRule="auto"/>
        <w:jc w:val="mediumKashida"/>
        <w:rPr>
          <w:rFonts w:eastAsiaTheme="minorEastAsia"/>
          <w:i/>
          <w:sz w:val="23"/>
          <w:szCs w:val="23"/>
          <w:rtl/>
        </w:rPr>
      </w:pPr>
      <w:r w:rsidRPr="002614E7">
        <w:rPr>
          <w:rFonts w:eastAsiaTheme="minorEastAsia" w:hint="cs"/>
          <w:i/>
          <w:sz w:val="23"/>
          <w:szCs w:val="23"/>
          <w:rtl/>
        </w:rPr>
        <w:t>سطح قیمت بلند</w:t>
      </w:r>
      <w:r w:rsidRPr="002614E7">
        <w:rPr>
          <w:rFonts w:eastAsiaTheme="minorEastAsia" w:hint="cs"/>
          <w:i/>
          <w:sz w:val="23"/>
          <w:szCs w:val="23"/>
          <w:rtl/>
        </w:rPr>
        <w:softHyphen/>
        <w:t>مدت و همچنین تورم بلند‌مدت برابر خواهند بود با،</w:t>
      </w:r>
    </w:p>
    <w:p w14:paraId="5DCC17D7"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10"/>
        </w:rPr>
        <w:object w:dxaOrig="1440" w:dyaOrig="320" w14:anchorId="5B757DD1">
          <v:shape id="_x0000_i6792" type="#_x0000_t75" style="width:1in;height:15.75pt" o:ole="">
            <v:imagedata r:id="rId11645" o:title=""/>
          </v:shape>
          <o:OLEObject Type="Embed" ProgID="Equation.DSMT4" ShapeID="_x0000_i6792" DrawAspect="Content" ObjectID="_1791380736" r:id="rId11646"/>
        </w:object>
      </w:r>
    </w:p>
    <w:p w14:paraId="79BB82E5"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0"/>
        </w:rPr>
        <w:object w:dxaOrig="1939" w:dyaOrig="320" w14:anchorId="4568AA0B">
          <v:shape id="_x0000_i6793" type="#_x0000_t75" style="width:97.4pt;height:15.75pt" o:ole="">
            <v:imagedata r:id="rId11647" o:title=""/>
          </v:shape>
          <o:OLEObject Type="Embed" ProgID="Equation.DSMT4" ShapeID="_x0000_i6793" DrawAspect="Content" ObjectID="_1791380737" r:id="rId11648"/>
        </w:object>
      </w:r>
    </w:p>
    <w:p w14:paraId="29998BB2" w14:textId="77777777" w:rsidR="00556C10" w:rsidRPr="002614E7" w:rsidRDefault="00556C10" w:rsidP="00556C10">
      <w:pPr>
        <w:spacing w:line="216" w:lineRule="auto"/>
        <w:jc w:val="mediumKashida"/>
        <w:rPr>
          <w:rFonts w:eastAsiaTheme="minorEastAsia"/>
          <w:i/>
          <w:sz w:val="23"/>
          <w:szCs w:val="23"/>
        </w:rPr>
      </w:pPr>
      <w:r w:rsidRPr="002614E7">
        <w:rPr>
          <w:rFonts w:eastAsiaTheme="minorEastAsia" w:hint="cs"/>
          <w:i/>
          <w:sz w:val="23"/>
          <w:szCs w:val="23"/>
          <w:rtl/>
        </w:rPr>
        <w:t>در بلند‌مدت، مقادیر رشد تولید و تورم، مثبت و نرخ بازدهی حقیقی تقریباً ثابت است، و در مدل کینزین، تورم به رشد عرضه‌ی پول نیز وابسته است. بنابراین اگرچه در مدل کینزین جهت کنترل تورم به مدیریت تقاضا، بخصوص از طریق سیاست مالی تاکید می</w:t>
      </w:r>
      <w:r w:rsidRPr="002614E7">
        <w:rPr>
          <w:rFonts w:eastAsiaTheme="minorEastAsia" w:hint="cs"/>
          <w:i/>
          <w:sz w:val="23"/>
          <w:szCs w:val="23"/>
          <w:rtl/>
        </w:rPr>
        <w:softHyphen/>
        <w:t>شود، ولی همان</w:t>
      </w:r>
      <w:r w:rsidRPr="002614E7">
        <w:rPr>
          <w:rFonts w:eastAsiaTheme="minorEastAsia" w:hint="cs"/>
          <w:i/>
          <w:sz w:val="23"/>
          <w:szCs w:val="23"/>
          <w:rtl/>
        </w:rPr>
        <w:softHyphen/>
        <w:t>گونه که ملاحظه می</w:t>
      </w:r>
      <w:r w:rsidRPr="002614E7">
        <w:rPr>
          <w:rFonts w:eastAsiaTheme="minorEastAsia" w:hint="cs"/>
          <w:i/>
          <w:sz w:val="23"/>
          <w:szCs w:val="23"/>
          <w:rtl/>
        </w:rPr>
        <w:softHyphen/>
        <w:t>شود جهت کنترل تورم بلند</w:t>
      </w:r>
      <w:r w:rsidRPr="002614E7">
        <w:rPr>
          <w:rFonts w:eastAsiaTheme="minorEastAsia" w:hint="cs"/>
          <w:i/>
          <w:sz w:val="23"/>
          <w:szCs w:val="23"/>
          <w:rtl/>
        </w:rPr>
        <w:softHyphen/>
        <w:t xml:space="preserve">مدت اعمال سیاست پولی از طریق کنترل حجم پول نیز ضرورت می‌یابد. </w:t>
      </w:r>
    </w:p>
    <w:p w14:paraId="0290F2ED" w14:textId="77777777" w:rsidR="00556C10" w:rsidRPr="002614E7" w:rsidRDefault="00556C10" w:rsidP="00556C10">
      <w:pPr>
        <w:spacing w:line="216" w:lineRule="auto"/>
        <w:jc w:val="mediumKashida"/>
        <w:rPr>
          <w:rFonts w:eastAsiaTheme="minorEastAsia"/>
          <w:i/>
          <w:sz w:val="23"/>
          <w:szCs w:val="23"/>
          <w:rtl/>
        </w:rPr>
      </w:pPr>
    </w:p>
    <w:p w14:paraId="0DC4179C" w14:textId="77777777" w:rsidR="00556C10" w:rsidRPr="002614E7" w:rsidRDefault="00556C10" w:rsidP="00556C10">
      <w:pPr>
        <w:spacing w:line="216" w:lineRule="auto"/>
        <w:jc w:val="mediumKashida"/>
        <w:rPr>
          <w:rFonts w:eastAsiaTheme="minorEastAsia"/>
          <w:bCs/>
          <w:i/>
          <w:sz w:val="23"/>
          <w:szCs w:val="23"/>
          <w:rtl/>
        </w:rPr>
      </w:pPr>
      <w:r w:rsidRPr="002614E7">
        <w:rPr>
          <w:rFonts w:eastAsiaTheme="minorEastAsia" w:hint="cs"/>
          <w:bCs/>
          <w:i/>
          <w:sz w:val="23"/>
          <w:szCs w:val="23"/>
          <w:rtl/>
        </w:rPr>
        <w:t xml:space="preserve">شواهد تجربی </w:t>
      </w:r>
    </w:p>
    <w:p w14:paraId="36CA8747" w14:textId="77777777" w:rsidR="00556C10" w:rsidRPr="002614E7" w:rsidRDefault="00556C10" w:rsidP="00556C10">
      <w:pPr>
        <w:spacing w:line="216" w:lineRule="auto"/>
        <w:jc w:val="mediumKashida"/>
        <w:rPr>
          <w:rFonts w:eastAsiaTheme="minorEastAsia"/>
          <w:i/>
          <w:sz w:val="23"/>
          <w:szCs w:val="23"/>
          <w:rtl/>
        </w:rPr>
      </w:pPr>
      <w:r w:rsidRPr="002614E7">
        <w:rPr>
          <w:rFonts w:eastAsiaTheme="minorEastAsia" w:hint="cs"/>
          <w:i/>
          <w:sz w:val="23"/>
          <w:szCs w:val="23"/>
          <w:rtl/>
        </w:rPr>
        <w:t>در یکصد سال گذشته منحنی فیلیپس، تورمِ دستمزد در کشور انگلستان را بخوبی تبیین می</w:t>
      </w:r>
      <w:r w:rsidRPr="002614E7">
        <w:rPr>
          <w:rFonts w:eastAsiaTheme="minorEastAsia" w:hint="cs"/>
          <w:i/>
          <w:sz w:val="23"/>
          <w:szCs w:val="23"/>
          <w:rtl/>
        </w:rPr>
        <w:softHyphen/>
        <w:t>کرد. امّا به مجرد آن که آن منحنی به‌عنوان مدل پایه</w:t>
      </w:r>
      <w:r w:rsidRPr="002614E7">
        <w:rPr>
          <w:rFonts w:eastAsiaTheme="minorEastAsia" w:hint="cs"/>
          <w:i/>
          <w:sz w:val="23"/>
          <w:szCs w:val="23"/>
          <w:rtl/>
        </w:rPr>
        <w:softHyphen/>
        <w:t xml:space="preserve"> برای سیاست</w:t>
      </w:r>
      <w:r w:rsidRPr="002614E7">
        <w:rPr>
          <w:rFonts w:eastAsiaTheme="minorEastAsia" w:hint="cs"/>
          <w:i/>
          <w:sz w:val="23"/>
          <w:szCs w:val="23"/>
          <w:rtl/>
        </w:rPr>
        <w:softHyphen/>
        <w:t>‌گذاری مورد استفاده قرار می</w:t>
      </w:r>
      <w:r w:rsidRPr="002614E7">
        <w:rPr>
          <w:rFonts w:eastAsiaTheme="minorEastAsia" w:hint="cs"/>
          <w:i/>
          <w:sz w:val="23"/>
          <w:szCs w:val="23"/>
          <w:rtl/>
        </w:rPr>
        <w:softHyphen/>
        <w:t>گرفت، نتایج گمراه کننده</w:t>
      </w:r>
      <w:r w:rsidRPr="002614E7">
        <w:rPr>
          <w:rFonts w:eastAsiaTheme="minorEastAsia" w:hint="cs"/>
          <w:i/>
          <w:sz w:val="23"/>
          <w:szCs w:val="23"/>
          <w:rtl/>
        </w:rPr>
        <w:softHyphen/>
        <w:t>ای از آن بدست می</w:t>
      </w:r>
      <w:r w:rsidRPr="002614E7">
        <w:rPr>
          <w:rFonts w:eastAsiaTheme="minorEastAsia" w:hint="cs"/>
          <w:i/>
          <w:sz w:val="23"/>
          <w:szCs w:val="23"/>
          <w:rtl/>
        </w:rPr>
        <w:softHyphen/>
        <w:t>آمد و قابلیت آن جهت توضیح و تبیین تورم از بین می</w:t>
      </w:r>
      <w:r w:rsidRPr="002614E7">
        <w:rPr>
          <w:rFonts w:eastAsiaTheme="minorEastAsia" w:hint="cs"/>
          <w:i/>
          <w:sz w:val="23"/>
          <w:szCs w:val="23"/>
          <w:rtl/>
        </w:rPr>
        <w:softHyphen/>
        <w:t>رفت. در اقتصاد این پدیده و عارضه را با قضیه‌ی عمومی گودهارت</w:t>
      </w:r>
      <w:r w:rsidRPr="002614E7">
        <w:rPr>
          <w:rStyle w:val="FootnoteReference"/>
          <w:rFonts w:eastAsiaTheme="minorEastAsia"/>
          <w:i/>
          <w:sz w:val="23"/>
          <w:szCs w:val="23"/>
          <w:rtl/>
        </w:rPr>
        <w:footnoteReference w:id="334"/>
      </w:r>
      <w:r w:rsidRPr="002614E7">
        <w:rPr>
          <w:rFonts w:eastAsiaTheme="minorEastAsia" w:hint="cs"/>
          <w:i/>
          <w:sz w:val="23"/>
          <w:szCs w:val="23"/>
          <w:rtl/>
        </w:rPr>
        <w:t xml:space="preserve"> مرتبط می</w:t>
      </w:r>
      <w:r w:rsidRPr="002614E7">
        <w:rPr>
          <w:rFonts w:eastAsiaTheme="minorEastAsia" w:hint="cs"/>
          <w:i/>
          <w:sz w:val="23"/>
          <w:szCs w:val="23"/>
          <w:rtl/>
        </w:rPr>
        <w:softHyphen/>
        <w:t>دانند. بر مبنای این قانون، نتایج هر رابطه‌ی اقتصادی جهت اهداف سیاستی گمراه کننده است. هنگامی که رابطه‌ی تئوریکی معکوسی بین تورم دستمزد و بیکاری (یا تولید) وجود داشته باشد، آنگاه به نظر می‌رسد که تورم را می</w:t>
      </w:r>
      <w:r w:rsidRPr="002614E7">
        <w:rPr>
          <w:rFonts w:eastAsiaTheme="minorEastAsia" w:hint="cs"/>
          <w:i/>
          <w:sz w:val="23"/>
          <w:szCs w:val="23"/>
          <w:rtl/>
        </w:rPr>
        <w:softHyphen/>
        <w:t xml:space="preserve">توان به وسیله‌ی تولید کنترل نمود. اما در اجرا و هنگام اعمال سیاست اقتصادی کنترل تورم، رابطه‌ی </w:t>
      </w:r>
      <w:r w:rsidRPr="002614E7">
        <w:rPr>
          <w:rFonts w:eastAsiaTheme="minorEastAsia" w:hint="cs"/>
          <w:i/>
          <w:sz w:val="23"/>
          <w:szCs w:val="23"/>
          <w:rtl/>
        </w:rPr>
        <w:lastRenderedPageBreak/>
        <w:t>معکوس بین این دو متغیر از بین خواهد رفت و مشاهده خواهد شد که در بلند‌مدت تورم با بیکاری یا تولید رابطه</w:t>
      </w:r>
      <w:r w:rsidRPr="002614E7">
        <w:rPr>
          <w:rFonts w:eastAsiaTheme="minorEastAsia" w:hint="cs"/>
          <w:i/>
          <w:sz w:val="23"/>
          <w:szCs w:val="23"/>
          <w:rtl/>
        </w:rPr>
        <w:softHyphen/>
        <w:t>ای ندارد.</w:t>
      </w:r>
    </w:p>
    <w:p w14:paraId="12B483D7" w14:textId="77777777" w:rsidR="00556C10" w:rsidRPr="002614E7" w:rsidRDefault="00556C10" w:rsidP="00556C10">
      <w:pPr>
        <w:spacing w:line="216" w:lineRule="auto"/>
        <w:jc w:val="mediumKashida"/>
        <w:rPr>
          <w:rFonts w:eastAsiaTheme="minorEastAsia"/>
          <w:i/>
          <w:sz w:val="23"/>
          <w:szCs w:val="23"/>
          <w:rtl/>
        </w:rPr>
      </w:pPr>
      <w:r w:rsidRPr="002614E7">
        <w:rPr>
          <w:rFonts w:eastAsiaTheme="minorEastAsia" w:hint="cs"/>
          <w:i/>
          <w:sz w:val="23"/>
          <w:szCs w:val="23"/>
          <w:rtl/>
        </w:rPr>
        <w:t>در توضیح قانون گودهارت می‌توان به این نکته اشاره کرد که روابط اقتصادی بکار گرفته شده در سیاست‌های اقتصادی، ساختاری نبوده و صرفاً از طریق شرایط مرتبه‌ی اول مربوط به تصمیمات بهینه‌ی خانوار و بنگاه</w:t>
      </w:r>
      <w:r w:rsidRPr="002614E7">
        <w:rPr>
          <w:rFonts w:eastAsiaTheme="minorEastAsia" w:hint="cs"/>
          <w:i/>
          <w:sz w:val="23"/>
          <w:szCs w:val="23"/>
          <w:rtl/>
        </w:rPr>
        <w:softHyphen/>
        <w:t>ها بدست می‌آیند. این قواعدِ تصمیم</w:t>
      </w:r>
      <w:r w:rsidRPr="002614E7">
        <w:rPr>
          <w:rFonts w:eastAsiaTheme="minorEastAsia" w:hint="cs"/>
          <w:i/>
          <w:sz w:val="23"/>
          <w:szCs w:val="23"/>
          <w:rtl/>
        </w:rPr>
        <w:softHyphen/>
        <w:t>گیری بر حسب پارامترهای ساختاری عمیقِ کارگزار نمونه‌ی اقتصادی تعیین می‌شوند. درحالی</w:t>
      </w:r>
      <w:r w:rsidRPr="002614E7">
        <w:rPr>
          <w:rFonts w:eastAsiaTheme="minorEastAsia" w:hint="cs"/>
          <w:i/>
          <w:sz w:val="23"/>
          <w:szCs w:val="23"/>
          <w:rtl/>
        </w:rPr>
        <w:softHyphen/>
        <w:t>که ضرائب معادلات اقتصادی، همانند ضرائب منحنی فیلیپس، تابعی از پارامترهای ساختاری عمیق می</w:t>
      </w:r>
      <w:r w:rsidRPr="002614E7">
        <w:rPr>
          <w:rFonts w:eastAsiaTheme="minorEastAsia" w:hint="cs"/>
          <w:i/>
          <w:sz w:val="23"/>
          <w:szCs w:val="23"/>
          <w:rtl/>
        </w:rPr>
        <w:softHyphen/>
        <w:t>باشند که ممکن است با اعمال سیاست اقتصادی تغییر کنند. این نکته، اول بار توسط لوکاس</w:t>
      </w:r>
      <w:r w:rsidRPr="002614E7">
        <w:rPr>
          <w:rStyle w:val="FootnoteReference"/>
          <w:rFonts w:eastAsiaTheme="minorEastAsia"/>
          <w:i/>
          <w:sz w:val="23"/>
          <w:szCs w:val="23"/>
          <w:rtl/>
        </w:rPr>
        <w:footnoteReference w:id="335"/>
      </w:r>
      <w:r w:rsidRPr="002614E7">
        <w:rPr>
          <w:rFonts w:eastAsiaTheme="minorEastAsia" w:hint="cs"/>
          <w:i/>
          <w:sz w:val="23"/>
          <w:szCs w:val="23"/>
          <w:rtl/>
        </w:rPr>
        <w:t xml:space="preserve"> در سال ۱۹۷۶ارائه شد و به نقد لوکاس معروف است. همچنین قواعد تصمیم</w:t>
      </w:r>
      <w:r w:rsidRPr="002614E7">
        <w:rPr>
          <w:rFonts w:eastAsiaTheme="minorEastAsia" w:hint="cs"/>
          <w:i/>
          <w:sz w:val="23"/>
          <w:szCs w:val="23"/>
          <w:rtl/>
        </w:rPr>
        <w:softHyphen/>
        <w:t>گیری بهینه از طرف کارگزاران اقتصادی خصوصی و یا سیاست</w:t>
      </w:r>
      <w:r w:rsidRPr="002614E7">
        <w:rPr>
          <w:rFonts w:eastAsiaTheme="minorEastAsia" w:hint="cs"/>
          <w:i/>
          <w:sz w:val="23"/>
          <w:szCs w:val="23"/>
          <w:rtl/>
        </w:rPr>
        <w:softHyphen/>
        <w:t>گذار اقتصادی، بخصوص اگر این قواعدِ بهینه‌یابی، بین‌دوره</w:t>
      </w:r>
      <w:r w:rsidRPr="002614E7">
        <w:rPr>
          <w:rFonts w:eastAsiaTheme="minorEastAsia" w:hint="cs"/>
          <w:i/>
          <w:sz w:val="23"/>
          <w:szCs w:val="23"/>
          <w:rtl/>
        </w:rPr>
        <w:softHyphen/>
        <w:t>ای باشند، مشروط به شرایط اقتصادی است. اگر شرایط اقتصادی تغییر کنند، آنگاه قواعد تصمیم</w:t>
      </w:r>
      <w:r w:rsidRPr="002614E7">
        <w:rPr>
          <w:rFonts w:eastAsiaTheme="minorEastAsia" w:hint="cs"/>
          <w:i/>
          <w:sz w:val="23"/>
          <w:szCs w:val="23"/>
          <w:rtl/>
        </w:rPr>
        <w:softHyphen/>
        <w:t>گیری نیز تغییر، و پس از آن، روابط اقتصادی منتج از آن نیز تحت تاثیر قرار خواهد گرفت. همان</w:t>
      </w:r>
      <w:r w:rsidRPr="002614E7">
        <w:rPr>
          <w:rFonts w:eastAsiaTheme="minorEastAsia" w:hint="cs"/>
          <w:i/>
          <w:sz w:val="23"/>
          <w:szCs w:val="23"/>
          <w:rtl/>
        </w:rPr>
        <w:softHyphen/>
        <w:t>گونه که قبلاً مشاهده شد این موضوع رکن اساسی سیاست زمان</w:t>
      </w:r>
      <w:r w:rsidRPr="002614E7">
        <w:rPr>
          <w:rFonts w:eastAsiaTheme="minorEastAsia"/>
          <w:i/>
          <w:sz w:val="23"/>
          <w:szCs w:val="23"/>
          <w:rtl/>
        </w:rPr>
        <w:softHyphen/>
      </w:r>
      <w:r w:rsidRPr="002614E7">
        <w:rPr>
          <w:rFonts w:eastAsiaTheme="minorEastAsia" w:hint="cs"/>
          <w:i/>
          <w:sz w:val="23"/>
          <w:szCs w:val="23"/>
          <w:rtl/>
        </w:rPr>
        <w:t xml:space="preserve"> ناسازگار می‌باشد.</w:t>
      </w:r>
    </w:p>
    <w:p w14:paraId="323288CD" w14:textId="77777777" w:rsidR="00556C10" w:rsidRPr="002614E7" w:rsidRDefault="00556C10" w:rsidP="00556C10">
      <w:pPr>
        <w:spacing w:line="216" w:lineRule="auto"/>
        <w:jc w:val="lowKashida"/>
        <w:rPr>
          <w:i/>
          <w:sz w:val="23"/>
          <w:szCs w:val="23"/>
        </w:rPr>
      </w:pPr>
      <w:r w:rsidRPr="002614E7">
        <w:rPr>
          <w:rFonts w:hint="cs"/>
          <w:i/>
          <w:sz w:val="23"/>
          <w:szCs w:val="23"/>
          <w:rtl/>
        </w:rPr>
        <w:t>اقتصاد كلان كلاسيك نوين که در چارچوب شالوده‌هاي خرد مبتني بر تعادل عمومي توسط لوكاس و راپينگ مطرح شده، هنگامي با رشد قابل ملاحظه مواجه شد كه لوكاس فرضيه‌ی انتظارات عقلايي ماث</w:t>
      </w:r>
      <w:r w:rsidRPr="002614E7">
        <w:rPr>
          <w:rStyle w:val="FootnoteReference"/>
          <w:i/>
          <w:sz w:val="23"/>
          <w:szCs w:val="23"/>
          <w:rtl/>
        </w:rPr>
        <w:footnoteReference w:id="336"/>
      </w:r>
      <w:r w:rsidRPr="002614E7">
        <w:rPr>
          <w:rFonts w:hint="cs"/>
          <w:i/>
          <w:sz w:val="23"/>
          <w:szCs w:val="23"/>
          <w:rtl/>
        </w:rPr>
        <w:t xml:space="preserve"> را جايگزين انتظارات تطبيقيِ کاگان</w:t>
      </w:r>
      <w:r w:rsidRPr="002614E7">
        <w:rPr>
          <w:rStyle w:val="FootnoteReference"/>
          <w:i/>
          <w:sz w:val="23"/>
          <w:szCs w:val="23"/>
          <w:rtl/>
        </w:rPr>
        <w:footnoteReference w:id="337"/>
      </w:r>
      <w:r w:rsidRPr="002614E7">
        <w:rPr>
          <w:rFonts w:hint="cs"/>
          <w:i/>
          <w:sz w:val="23"/>
          <w:szCs w:val="23"/>
          <w:rtl/>
        </w:rPr>
        <w:t xml:space="preserve"> نمود. ماث چنين استدلال كرد كه انتظارات بدست آمده از برون‌يابي، غيرعقلايي و نامعقول است. زيرا اين مكانيزم كارگزاران و عوامل اقتصادي را بر آن مي</w:t>
      </w:r>
      <w:r w:rsidRPr="002614E7">
        <w:rPr>
          <w:rFonts w:hint="cs"/>
          <w:i/>
          <w:sz w:val="23"/>
          <w:szCs w:val="23"/>
          <w:rtl/>
        </w:rPr>
        <w:softHyphen/>
        <w:t>دارد تا خطاهاي سيستماتيك و نظام‌مند را هميشه بهمراه داشته، و در نتيجه تصحيح</w:t>
      </w:r>
      <w:r w:rsidRPr="002614E7">
        <w:rPr>
          <w:rFonts w:hint="cs"/>
          <w:i/>
          <w:sz w:val="23"/>
          <w:szCs w:val="23"/>
          <w:rtl/>
        </w:rPr>
        <w:softHyphen/>
        <w:t>پذيري را هنگام شكل بخشيدن به انتظاراتشان براي هميشه مرتكب شوند. در عوض، ماث پيشنهاد نمود كه رفتار انسان</w:t>
      </w:r>
      <w:r w:rsidRPr="002614E7">
        <w:rPr>
          <w:rFonts w:hint="cs"/>
          <w:i/>
          <w:sz w:val="23"/>
          <w:szCs w:val="23"/>
          <w:rtl/>
        </w:rPr>
        <w:softHyphen/>
        <w:t>ها بايد چنان الگوسازي شود كه انتظاراتشان درست همان چيزي باشد كه مدل مورد نظر پيش‌بيني مي‌كند. بنابراين انتظارات بايد با الگوي مورد بحث سازگاري داشته، و تا رسيدن به يك خطاي سريال ناهمبسته‌ی ديگر، دقيق باشند. به تعبيري خطاهاي سيستماتيك و نظام‌مند در شكل</w:t>
      </w:r>
      <w:r w:rsidRPr="002614E7">
        <w:rPr>
          <w:rFonts w:hint="cs"/>
          <w:i/>
          <w:sz w:val="23"/>
          <w:szCs w:val="23"/>
          <w:rtl/>
        </w:rPr>
        <w:softHyphen/>
        <w:t>گيري انتظارات وجود نداشته باشد.</w:t>
      </w:r>
    </w:p>
    <w:p w14:paraId="57B6F511" w14:textId="77777777" w:rsidR="00556C10" w:rsidRPr="002614E7" w:rsidRDefault="00556C10" w:rsidP="00556C10">
      <w:pPr>
        <w:spacing w:line="216" w:lineRule="auto"/>
        <w:jc w:val="lowKashida"/>
        <w:rPr>
          <w:rFonts w:eastAsiaTheme="minorHAnsi"/>
          <w:i/>
          <w:sz w:val="23"/>
          <w:szCs w:val="23"/>
          <w:rtl/>
        </w:rPr>
      </w:pPr>
      <w:r w:rsidRPr="002614E7">
        <w:rPr>
          <w:rFonts w:hint="cs"/>
          <w:i/>
          <w:sz w:val="23"/>
          <w:szCs w:val="23"/>
          <w:rtl/>
        </w:rPr>
        <w:t>از ديدگاه اقتصاد كلان كلاسيك نوين، نكته‌ی مهم در خصوص فرضيه‌ی ماث آن بود كه الگوسازي براي انتظارات به‌عنوان بخشي از برنامه‌ی شالوده‌هاي خرد مبتني بر تعادل عمومي صورت مي‌گرفت. دو جنبه يا ويژگي مهم اقتصاد كلان كلاسيك نوين عبارت از آن است که اولاً، لوكاس مسير تجزيه و تحليل سياست</w:t>
      </w:r>
      <w:r w:rsidRPr="002614E7">
        <w:rPr>
          <w:rFonts w:hint="cs"/>
          <w:i/>
          <w:sz w:val="23"/>
          <w:szCs w:val="23"/>
          <w:rtl/>
        </w:rPr>
        <w:softHyphen/>
        <w:t>ها را از اعمال يك سياست واحد، به قواعد ناظر بر سياست</w:t>
      </w:r>
      <w:r w:rsidRPr="002614E7">
        <w:rPr>
          <w:rFonts w:hint="cs"/>
          <w:i/>
          <w:sz w:val="23"/>
          <w:szCs w:val="23"/>
          <w:rtl/>
        </w:rPr>
        <w:softHyphen/>
        <w:t xml:space="preserve">ها معطوف نمود. زيرا هرگونه سياستي، صرفنظر از آنكه تعمداً مبتني بر يك قاعده‌ی خاص بوده باشد يا خير، ممكن است </w:t>
      </w:r>
      <w:r w:rsidRPr="002614E7">
        <w:rPr>
          <w:rFonts w:hint="cs"/>
          <w:i/>
          <w:sz w:val="23"/>
          <w:szCs w:val="23"/>
          <w:rtl/>
        </w:rPr>
        <w:lastRenderedPageBreak/>
        <w:t>به يك مؤلفه‌ی سيستماتيك و يك مؤلفه‌ی تصادفي تقسيم شود.</w:t>
      </w:r>
      <w:r w:rsidRPr="002614E7">
        <w:rPr>
          <w:rStyle w:val="FootnoteReference"/>
          <w:i/>
          <w:sz w:val="23"/>
          <w:szCs w:val="23"/>
          <w:rtl/>
        </w:rPr>
        <w:footnoteReference w:id="338"/>
      </w:r>
      <w:r w:rsidRPr="002614E7">
        <w:rPr>
          <w:rFonts w:hint="cs"/>
          <w:i/>
          <w:sz w:val="23"/>
          <w:szCs w:val="23"/>
          <w:rtl/>
        </w:rPr>
        <w:t xml:space="preserve"> همان</w:t>
      </w:r>
      <w:r w:rsidRPr="002614E7">
        <w:rPr>
          <w:rFonts w:hint="cs"/>
          <w:i/>
          <w:sz w:val="23"/>
          <w:szCs w:val="23"/>
          <w:rtl/>
        </w:rPr>
        <w:softHyphen/>
        <w:t>گونه كه ملاحظه مي‌شود، انتظارات مبتني بر مؤلفه‌ی سيستماتيك بوده و مؤلفه‌ی تصادفي فقط يك اخلال است. وجود اين اخلال ممكن است كارايي نظام اقتصادي را كاهش دهد و استفاده از آن براي مقاصد سياست‌گذاري مناسب نباشد. زيرا اين اخلال غير سيستماتيك است و لذا تنها مؤلفه‌ی سيستمايك را مي‌توان در تصميمات بهينه‌سازي عوامل يا كارگزاران اقتصادي مورد توجه قرار داد. همچنین سياست</w:t>
      </w:r>
      <w:r w:rsidRPr="002614E7">
        <w:rPr>
          <w:rFonts w:hint="cs"/>
          <w:i/>
          <w:sz w:val="23"/>
          <w:szCs w:val="23"/>
          <w:rtl/>
        </w:rPr>
        <w:softHyphen/>
        <w:t>گذاران نمي‌توانند تعامل ميان قواعد سياستي وضع شده و رفتار كارگزاران يا عوامل عقلايي را ناديده انگارند و در نتيجه هنگام طراحي سياست‌هايشان بايد چنين تعاملي را مدنظر قرار دهند. ثانياً،</w:t>
      </w:r>
      <w:r w:rsidRPr="002614E7">
        <w:rPr>
          <w:i/>
          <w:sz w:val="23"/>
          <w:szCs w:val="23"/>
        </w:rPr>
        <w:t xml:space="preserve"> </w:t>
      </w:r>
      <w:r w:rsidRPr="002614E7">
        <w:rPr>
          <w:rFonts w:hint="cs"/>
          <w:i/>
          <w:sz w:val="23"/>
          <w:szCs w:val="23"/>
          <w:rtl/>
        </w:rPr>
        <w:t>لوكاس</w:t>
      </w:r>
      <w:r w:rsidRPr="002614E7">
        <w:rPr>
          <w:i/>
          <w:sz w:val="23"/>
          <w:szCs w:val="23"/>
        </w:rPr>
        <w:t xml:space="preserve"> </w:t>
      </w:r>
      <w:r w:rsidRPr="002614E7">
        <w:rPr>
          <w:rFonts w:hint="cs"/>
          <w:i/>
          <w:sz w:val="23"/>
          <w:szCs w:val="23"/>
          <w:rtl/>
        </w:rPr>
        <w:t>از اهميت تفسير ساختاري در مدل‌هاي اقتصادسنجي تخمين زده شده كاست.</w:t>
      </w:r>
      <w:r w:rsidRPr="002614E7">
        <w:rPr>
          <w:rStyle w:val="FootnoteReference"/>
          <w:i/>
          <w:sz w:val="23"/>
          <w:szCs w:val="23"/>
          <w:rtl/>
        </w:rPr>
        <w:footnoteReference w:id="339"/>
      </w:r>
      <w:r w:rsidRPr="002614E7">
        <w:rPr>
          <w:rFonts w:hint="cs"/>
          <w:i/>
          <w:sz w:val="23"/>
          <w:szCs w:val="23"/>
          <w:rtl/>
        </w:rPr>
        <w:t xml:space="preserve"> لوكاس علي</w:t>
      </w:r>
      <w:r w:rsidRPr="002614E7">
        <w:rPr>
          <w:rFonts w:hint="cs"/>
          <w:i/>
          <w:sz w:val="23"/>
          <w:szCs w:val="23"/>
          <w:rtl/>
        </w:rPr>
        <w:softHyphen/>
        <w:t>رغم تلاش براي فراهم آوردن شالوده‌هاي خرد مبتني بر بررسي تك</w:t>
      </w:r>
      <w:r w:rsidRPr="002614E7">
        <w:rPr>
          <w:rFonts w:hint="cs"/>
          <w:i/>
          <w:sz w:val="23"/>
          <w:szCs w:val="23"/>
          <w:rtl/>
        </w:rPr>
        <w:softHyphen/>
        <w:t>تكِ معادلات، خاطر نشان ساخت كه خودِ انتظارات عقلايي، به تنهايي براي وادار ساختن اقتصادسنجي</w:t>
      </w:r>
      <w:r w:rsidRPr="002614E7">
        <w:rPr>
          <w:rFonts w:hint="cs"/>
          <w:i/>
          <w:sz w:val="23"/>
          <w:szCs w:val="23"/>
          <w:rtl/>
        </w:rPr>
        <w:softHyphen/>
        <w:t>دانان جهت توجه بر تعامل ميان معادلات در حالت تعادل عمومي كفايت مي‌كند. براي مثال ملاحظه مي‌شود كه اقتصاددانان كينزي منحني فيليپس را به‌عنوان يك رابطه‌ی ساختاري در نظر مي‌گرفتند، اما لوكاس نشان داد كه ضرايب تورمِ وقفه‌دار، بستگي به نوع و ماهيت قاعده‌ی‌ سياستي حاكم در جامعه دارد. پس هرگاه اين قاعده دستخوش دگرگوني شود، ضرايب فوق</w:t>
      </w:r>
      <w:r w:rsidRPr="002614E7">
        <w:rPr>
          <w:i/>
          <w:sz w:val="23"/>
          <w:szCs w:val="23"/>
          <w:rtl/>
        </w:rPr>
        <w:softHyphen/>
      </w:r>
      <w:r w:rsidRPr="002614E7">
        <w:rPr>
          <w:rFonts w:hint="cs"/>
          <w:i/>
          <w:sz w:val="23"/>
          <w:szCs w:val="23"/>
          <w:rtl/>
        </w:rPr>
        <w:t>الذكر نيز بايد تغيير كنند. اين نكته همان چيزي است كه بعدها به نقد لوكاس</w:t>
      </w:r>
      <w:r w:rsidRPr="002614E7">
        <w:rPr>
          <w:rStyle w:val="FootnoteReference"/>
          <w:i/>
          <w:sz w:val="23"/>
          <w:szCs w:val="23"/>
          <w:rtl/>
        </w:rPr>
        <w:footnoteReference w:id="340"/>
      </w:r>
      <w:r w:rsidRPr="002614E7">
        <w:rPr>
          <w:rFonts w:hint="cs"/>
          <w:i/>
          <w:sz w:val="23"/>
          <w:szCs w:val="23"/>
          <w:rtl/>
        </w:rPr>
        <w:t xml:space="preserve"> معروف شد و در مقاله‌ی وی در سال ۱۹۷۶ تحت عنوان "ارزيابي سياست‌ها از ديدگاه اقتصادسنجي و نقد آن" بدان اشاره شد.</w:t>
      </w:r>
      <w:r w:rsidRPr="002614E7">
        <w:rPr>
          <w:rStyle w:val="FootnoteReference"/>
          <w:i/>
          <w:sz w:val="23"/>
          <w:szCs w:val="23"/>
          <w:rtl/>
        </w:rPr>
        <w:footnoteReference w:id="341"/>
      </w:r>
      <w:r w:rsidRPr="002614E7">
        <w:rPr>
          <w:rFonts w:hint="cs"/>
          <w:i/>
          <w:sz w:val="23"/>
          <w:szCs w:val="23"/>
          <w:rtl/>
        </w:rPr>
        <w:t xml:space="preserve"> </w:t>
      </w:r>
    </w:p>
    <w:p w14:paraId="20E469CA" w14:textId="77777777" w:rsidR="00556C10" w:rsidRPr="002614E7" w:rsidRDefault="00556C10" w:rsidP="00556C10">
      <w:pPr>
        <w:spacing w:line="216" w:lineRule="auto"/>
        <w:jc w:val="lowKashida"/>
        <w:rPr>
          <w:i/>
          <w:sz w:val="23"/>
          <w:szCs w:val="23"/>
          <w:rtl/>
        </w:rPr>
      </w:pPr>
      <w:r w:rsidRPr="002614E7">
        <w:rPr>
          <w:rFonts w:hint="cs"/>
          <w:i/>
          <w:sz w:val="23"/>
          <w:szCs w:val="23"/>
          <w:rtl/>
        </w:rPr>
        <w:t>لوکاس در مقاله‌ی خود استفاده از ‌مدل‌هاي اقتصادسنجي را جهت اهداف تجزيه و تحليل سياست‌ها مورد انتقاد جدي قرار داد. استدلال مشهور وی را مي‌توان به اين شكل بيان كرد: رويكرد سنتي، پارامترهايِ ناظر بر قواعد تصميم‌گيريِ كارگزاران اقتصادي را تخمين مي‌زند. اگر اين كارگزاران تصميمات خود را براساس انتظاراتشان از پيامد‌هاي آينده‌ی متغير‌هاي اقتصادي شكل دهند، آنگاه پارامتر‌هاي مدل، تركيبي از پارامتر‌هاي توابع هدفِ كارگزاران و متغير‌هاي سياستي خواهند بود. بنابراين، پارامتر‌هاي ناظر بر قواعد تصميم‌گيريِ كارگزاران، هنگام مواجهه با تغييرات حاصله در سياست‌‌هاي دولت ثابت نخواهند ماند و لذا، استفاده از قواعد تصميم‌گيري براي بررسي اثرات متغير‌هاي سياستي گمراه كننده خواهد بود.</w:t>
      </w:r>
    </w:p>
    <w:p w14:paraId="75BB3156" w14:textId="77777777" w:rsidR="00556C10" w:rsidRPr="002614E7" w:rsidRDefault="00556C10" w:rsidP="00556C10">
      <w:pPr>
        <w:spacing w:line="216" w:lineRule="auto"/>
        <w:jc w:val="mediumKashida"/>
        <w:rPr>
          <w:rFonts w:eastAsiaTheme="minorEastAsia"/>
          <w:i/>
          <w:sz w:val="23"/>
          <w:szCs w:val="23"/>
        </w:rPr>
      </w:pPr>
      <w:r w:rsidRPr="002614E7">
        <w:rPr>
          <w:rFonts w:eastAsiaTheme="minorEastAsia" w:hint="cs"/>
          <w:i/>
          <w:sz w:val="23"/>
          <w:szCs w:val="23"/>
          <w:rtl/>
        </w:rPr>
        <w:t>نمودار ۱۴. ۱ رابطه‌ی تورم دستمزد و نرخ بیکاری را در کشور انگلستان نشان می‌دهد. بنظر می‌رسد رابطه‌ی معکوس بین تورم دستمزد و نرخ بیکاری در سال‌های ۱۹۸۰ تا ۱۹۸۵ قوی است، و بعد از آن تا سال ۱۹۹۳ با کاهش شیب، این رابطه ضعیف می‌شود. همان</w:t>
      </w:r>
      <w:r w:rsidRPr="002614E7">
        <w:rPr>
          <w:rFonts w:eastAsiaTheme="minorEastAsia" w:hint="cs"/>
          <w:i/>
          <w:sz w:val="23"/>
          <w:szCs w:val="23"/>
          <w:rtl/>
        </w:rPr>
        <w:softHyphen/>
        <w:t>گونه که ملاحظه می</w:t>
      </w:r>
      <w:r w:rsidRPr="002614E7">
        <w:rPr>
          <w:rFonts w:eastAsiaTheme="minorEastAsia" w:hint="cs"/>
          <w:i/>
          <w:sz w:val="23"/>
          <w:szCs w:val="23"/>
          <w:rtl/>
        </w:rPr>
        <w:softHyphen/>
        <w:t xml:space="preserve">شود پس از سال‌های ۱۹۹۳ این رابطه تقریباً از بین رفته و با نرخ تورم دستمزد و نرخ بیکاری در کشور انگلستان کاهش شدید نرخ بیکاری از ۱۱ </w:t>
      </w:r>
      <w:r w:rsidRPr="002614E7">
        <w:rPr>
          <w:rFonts w:eastAsiaTheme="minorEastAsia" w:hint="cs"/>
          <w:i/>
          <w:sz w:val="23"/>
          <w:szCs w:val="23"/>
          <w:rtl/>
        </w:rPr>
        <w:lastRenderedPageBreak/>
        <w:t>درصد در سال ۱۹۹۳ به حدود ۴ درصد در سال ۲۰۰۰، تورم دستمزد فقط کمی افزایش یافته است. نمودار ۱۴. ۲ رابطه‌ی معکوس بین تورم و شکاف تولید را برای سال‌های ۲۰۰۵-۱۹۹۵ و بر مبنای داده‌های فصلی و در نمودار ۱۴. ۳ بر مبنای داده‌های سالیانه نشان می‌دهد. همان</w:t>
      </w:r>
      <w:r w:rsidRPr="002614E7">
        <w:rPr>
          <w:rFonts w:eastAsiaTheme="minorEastAsia" w:hint="cs"/>
          <w:i/>
          <w:sz w:val="23"/>
          <w:szCs w:val="23"/>
          <w:rtl/>
        </w:rPr>
        <w:softHyphen/>
        <w:t>گونه که ملاحظه می‌شود تشخیص رابطه‌ی معکوس بلند‌مدت و باثبات بین تورم و شکاف تولید نیز در این دو نمودار بسیار مشکل است.</w:t>
      </w:r>
    </w:p>
    <w:p w14:paraId="2960B0F9" w14:textId="77777777" w:rsidR="00556C10" w:rsidRPr="002614E7" w:rsidRDefault="00556C10" w:rsidP="00556C10">
      <w:pPr>
        <w:spacing w:line="216" w:lineRule="auto"/>
        <w:jc w:val="mediumKashida"/>
        <w:rPr>
          <w:rFonts w:eastAsiaTheme="minorEastAsia"/>
          <w:i/>
          <w:sz w:val="23"/>
          <w:szCs w:val="23"/>
          <w:rtl/>
        </w:rPr>
      </w:pPr>
    </w:p>
    <w:p w14:paraId="7D71F654" w14:textId="77777777" w:rsidR="00556C10" w:rsidRPr="002614E7" w:rsidRDefault="00556C10" w:rsidP="00556C10">
      <w:pPr>
        <w:pStyle w:val="Heading1"/>
        <w:spacing w:before="0" w:line="216" w:lineRule="auto"/>
        <w:rPr>
          <w:rFonts w:ascii="Times New Roman" w:eastAsiaTheme="minorEastAsia" w:hAnsi="Times New Roman" w:cs="B Nazanin"/>
          <w:b w:val="0"/>
          <w:i/>
          <w:sz w:val="23"/>
          <w:szCs w:val="23"/>
        </w:rPr>
      </w:pPr>
      <w:r w:rsidRPr="002614E7">
        <w:rPr>
          <w:rFonts w:ascii="Times New Roman" w:eastAsiaTheme="minorEastAsia" w:hAnsi="Times New Roman" w:cs="B Nazanin" w:hint="cs"/>
          <w:b w:val="0"/>
          <w:i/>
          <w:sz w:val="23"/>
          <w:szCs w:val="23"/>
          <w:rtl/>
        </w:rPr>
        <w:t>۱۴. ۴ مدل تورم کینزین جدید</w:t>
      </w:r>
    </w:p>
    <w:p w14:paraId="1803E55C" w14:textId="77777777" w:rsidR="00556C10" w:rsidRPr="002614E7" w:rsidRDefault="00556C10" w:rsidP="00556C10">
      <w:pPr>
        <w:spacing w:line="216" w:lineRule="auto"/>
        <w:jc w:val="mediumKashida"/>
        <w:rPr>
          <w:rFonts w:eastAsiaTheme="minorEastAsia"/>
          <w:i/>
          <w:sz w:val="23"/>
          <w:szCs w:val="23"/>
          <w:rtl/>
        </w:rPr>
      </w:pPr>
      <w:r w:rsidRPr="002614E7">
        <w:rPr>
          <w:rFonts w:eastAsiaTheme="minorEastAsia" w:hint="cs"/>
          <w:i/>
          <w:sz w:val="23"/>
          <w:szCs w:val="23"/>
          <w:rtl/>
        </w:rPr>
        <w:t>اقتصاد پولی مدرن مبتنی است بر یک مدل اقتصاد کلان تعادل عمومی پویا با رقابت ناقص، و همانند مدل کینزین دارای دو معادله</w:t>
      </w:r>
      <w:r w:rsidRPr="002614E7">
        <w:rPr>
          <w:rFonts w:eastAsiaTheme="minorEastAsia" w:hint="cs"/>
          <w:i/>
          <w:sz w:val="23"/>
          <w:szCs w:val="23"/>
          <w:rtl/>
        </w:rPr>
        <w:softHyphen/>
        <w:t xml:space="preserve">ی تورم یا تابع عرضه‌ی کل، و معادله‌ی </w:t>
      </w:r>
      <w:r w:rsidRPr="002614E7">
        <w:rPr>
          <w:rFonts w:eastAsiaTheme="minorEastAsia"/>
          <w:i/>
          <w:sz w:val="23"/>
          <w:szCs w:val="23"/>
        </w:rPr>
        <w:t>IS</w:t>
      </w:r>
      <w:r w:rsidRPr="002614E7">
        <w:rPr>
          <w:rFonts w:eastAsiaTheme="minorEastAsia" w:hint="cs"/>
          <w:i/>
          <w:sz w:val="23"/>
          <w:szCs w:val="23"/>
          <w:rtl/>
        </w:rPr>
        <w:t xml:space="preserve"> یا تابع تقاضای کل می</w:t>
      </w:r>
      <w:r w:rsidRPr="002614E7">
        <w:rPr>
          <w:rFonts w:eastAsiaTheme="minorEastAsia" w:hint="cs"/>
          <w:i/>
          <w:sz w:val="23"/>
          <w:szCs w:val="23"/>
          <w:rtl/>
        </w:rPr>
        <w:softHyphen/>
        <w:t>باشد. هر چند تصریح این دو معادله در مدل کینزین جدید کاملاً متفاوت است، ولی به واسطه‌ی تشابه و تقارن با مدل کینزین، مدل اقتصاد پولی معمولاً به مدل کینزین جدید معروف است.</w:t>
      </w:r>
      <w:r w:rsidRPr="002614E7">
        <w:rPr>
          <w:rStyle w:val="FootnoteReference"/>
          <w:rFonts w:eastAsiaTheme="minorEastAsia"/>
          <w:i/>
          <w:sz w:val="23"/>
          <w:szCs w:val="23"/>
          <w:rtl/>
        </w:rPr>
        <w:footnoteReference w:id="342"/>
      </w:r>
      <w:r w:rsidRPr="002614E7">
        <w:rPr>
          <w:rFonts w:eastAsiaTheme="minorEastAsia" w:hint="cs"/>
          <w:i/>
          <w:sz w:val="23"/>
          <w:szCs w:val="23"/>
          <w:rtl/>
        </w:rPr>
        <w:t xml:space="preserve"> همان</w:t>
      </w:r>
      <w:r w:rsidRPr="002614E7">
        <w:rPr>
          <w:rFonts w:eastAsiaTheme="minorEastAsia" w:hint="cs"/>
          <w:i/>
          <w:sz w:val="23"/>
          <w:szCs w:val="23"/>
          <w:rtl/>
        </w:rPr>
        <w:softHyphen/>
        <w:t>گونه که در مبحث انعطاف‌پذیری ناقص قیمت در فصل نهم و نرخ ارز در فصل سیزدهم اشاره شد، مدل کینزین از مدل تعادل عمومی مبتنی بر اقتصاد خرد منتج نشده و مدلی است برای کل اقتصاد. ادبیات بسیار گسترده‌ای در خصوص هدف‌‌گذاری تورم بر پایه‌ی مدل کینزین جدید وجود دارد.</w:t>
      </w:r>
      <w:r w:rsidRPr="002614E7">
        <w:rPr>
          <w:rStyle w:val="FootnoteReference"/>
          <w:rFonts w:eastAsiaTheme="minorEastAsia"/>
          <w:i/>
          <w:sz w:val="23"/>
          <w:szCs w:val="23"/>
          <w:rtl/>
        </w:rPr>
        <w:footnoteReference w:id="343"/>
      </w:r>
      <w:r w:rsidRPr="002614E7">
        <w:rPr>
          <w:rFonts w:eastAsiaTheme="minorEastAsia" w:hint="cs"/>
          <w:i/>
          <w:sz w:val="23"/>
          <w:szCs w:val="23"/>
          <w:rtl/>
        </w:rPr>
        <w:t xml:space="preserve"> مدل نمونه</w:t>
      </w:r>
      <w:r w:rsidRPr="002614E7">
        <w:rPr>
          <w:rFonts w:eastAsiaTheme="minorEastAsia" w:hint="cs"/>
          <w:i/>
          <w:sz w:val="23"/>
          <w:szCs w:val="23"/>
          <w:rtl/>
        </w:rPr>
        <w:softHyphen/>
        <w:t>ی کینزین جدید با دو معادله عبارت است از</w:t>
      </w:r>
    </w:p>
    <w:p w14:paraId="6882C32D" w14:textId="77777777" w:rsidR="00556C10" w:rsidRPr="002614E7" w:rsidRDefault="00556C10" w:rsidP="00556C10">
      <w:pPr>
        <w:pStyle w:val="MTDisplayEquation"/>
        <w:tabs>
          <w:tab w:val="clear" w:pos="6660"/>
          <w:tab w:val="right" w:pos="0"/>
        </w:tabs>
        <w:spacing w:line="216" w:lineRule="auto"/>
        <w:jc w:val="left"/>
        <w:rPr>
          <w:rFonts w:ascii="Times New Roman" w:hAnsi="Times New Roman" w:cs="B Nazanin"/>
          <w:i/>
          <w:sz w:val="23"/>
          <w:szCs w:val="23"/>
        </w:rPr>
      </w:pPr>
      <w:r w:rsidRPr="002614E7">
        <w:rPr>
          <w:position w:val="-10"/>
        </w:rPr>
        <w:object w:dxaOrig="2420" w:dyaOrig="320" w14:anchorId="5B505025">
          <v:shape id="_x0000_i6794" type="#_x0000_t75" style="width:121pt;height:15.75pt" o:ole="">
            <v:imagedata r:id="rId11649" o:title=""/>
          </v:shape>
          <o:OLEObject Type="Embed" ProgID="Equation.DSMT4" ShapeID="_x0000_i6794" DrawAspect="Content" ObjectID="_1791380738" r:id="rId11650"/>
        </w:object>
      </w:r>
      <w:r w:rsidRPr="002614E7">
        <w:rPr>
          <w:rFonts w:ascii="Times New Roman" w:hAnsi="Times New Roman" w:cs="B Nazanin"/>
          <w:i/>
          <w:sz w:val="23"/>
          <w:szCs w:val="23"/>
        </w:rPr>
        <w:t xml:space="preserve"> </w:t>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hint="cs"/>
          <w:i/>
          <w:sz w:val="23"/>
          <w:szCs w:val="23"/>
          <w:rtl/>
        </w:rPr>
        <w:t>(۱۴. ۱۸)</w:t>
      </w:r>
      <w:r w:rsidRPr="002614E7">
        <w:rPr>
          <w:rFonts w:ascii="Times New Roman" w:hAnsi="Times New Roman" w:cs="B Nazanin"/>
          <w:i/>
          <w:sz w:val="23"/>
          <w:szCs w:val="23"/>
          <w:rtl/>
        </w:rPr>
        <w:t xml:space="preserve"> </w:t>
      </w:r>
    </w:p>
    <w:p w14:paraId="7B867D7F" w14:textId="77777777" w:rsidR="00556C10" w:rsidRPr="002614E7" w:rsidRDefault="00556C10" w:rsidP="00556C10">
      <w:pPr>
        <w:tabs>
          <w:tab w:val="center" w:pos="3475"/>
        </w:tabs>
        <w:bidi w:val="0"/>
        <w:spacing w:line="216" w:lineRule="auto"/>
        <w:rPr>
          <w:rFonts w:eastAsiaTheme="minorEastAsia"/>
          <w:i/>
          <w:sz w:val="23"/>
          <w:szCs w:val="23"/>
        </w:rPr>
      </w:pPr>
      <w:r w:rsidRPr="002614E7">
        <w:rPr>
          <w:position w:val="-12"/>
        </w:rPr>
        <w:object w:dxaOrig="3200" w:dyaOrig="360" w14:anchorId="331F87B7">
          <v:shape id="_x0000_i6795" type="#_x0000_t75" style="width:160.35pt;height:18.15pt" o:ole="">
            <v:imagedata r:id="rId11651" o:title=""/>
          </v:shape>
          <o:OLEObject Type="Embed" ProgID="Equation.DSMT4" ShapeID="_x0000_i6795" DrawAspect="Content" ObjectID="_1791380739" r:id="rId11652"/>
        </w:object>
      </w:r>
      <w:r w:rsidRPr="002614E7">
        <w:rPr>
          <w:rFonts w:eastAsiaTheme="minorEastAsia" w:hint="cs"/>
          <w:i/>
          <w:sz w:val="23"/>
          <w:szCs w:val="23"/>
          <w:rtl/>
        </w:rPr>
        <w:tab/>
      </w:r>
      <w:r w:rsidRPr="002614E7">
        <w:rPr>
          <w:rFonts w:eastAsiaTheme="minorEastAsia" w:hint="cs"/>
          <w:i/>
          <w:sz w:val="23"/>
          <w:szCs w:val="23"/>
          <w:rtl/>
        </w:rPr>
        <w:tab/>
        <w:t xml:space="preserve"> </w:t>
      </w:r>
      <w:r w:rsidRPr="002614E7">
        <w:rPr>
          <w:rFonts w:eastAsiaTheme="minorEastAsia" w:hint="cs"/>
          <w:i/>
          <w:sz w:val="23"/>
          <w:szCs w:val="23"/>
          <w:rtl/>
        </w:rPr>
        <w:tab/>
      </w:r>
      <w:r w:rsidRPr="002614E7">
        <w:rPr>
          <w:rFonts w:eastAsiaTheme="minorEastAsia"/>
          <w:i/>
          <w:sz w:val="23"/>
          <w:szCs w:val="23"/>
        </w:rPr>
        <w:tab/>
      </w:r>
      <w:r w:rsidRPr="002614E7">
        <w:rPr>
          <w:rFonts w:eastAsiaTheme="minorEastAsia"/>
          <w:i/>
          <w:sz w:val="23"/>
          <w:szCs w:val="23"/>
        </w:rPr>
        <w:tab/>
      </w:r>
      <w:r w:rsidRPr="002614E7">
        <w:rPr>
          <w:rFonts w:eastAsiaTheme="minorEastAsia"/>
          <w:i/>
          <w:sz w:val="23"/>
          <w:szCs w:val="23"/>
        </w:rPr>
        <w:tab/>
      </w:r>
      <w:r w:rsidRPr="002614E7">
        <w:rPr>
          <w:rFonts w:eastAsiaTheme="minorEastAsia"/>
          <w:i/>
          <w:sz w:val="23"/>
          <w:szCs w:val="23"/>
        </w:rPr>
        <w:tab/>
      </w:r>
      <w:r w:rsidRPr="002614E7">
        <w:rPr>
          <w:rFonts w:eastAsiaTheme="minorEastAsia" w:hint="cs"/>
          <w:i/>
          <w:sz w:val="23"/>
          <w:szCs w:val="23"/>
          <w:rtl/>
        </w:rPr>
        <w:tab/>
      </w:r>
      <w:r>
        <w:rPr>
          <w:rFonts w:eastAsiaTheme="minorEastAsia"/>
          <w:i/>
          <w:sz w:val="23"/>
          <w:szCs w:val="23"/>
          <w:rtl/>
        </w:rPr>
        <w:tab/>
      </w:r>
      <w:r w:rsidRPr="002614E7">
        <w:rPr>
          <w:rFonts w:eastAsiaTheme="minorEastAsia" w:hint="cs"/>
          <w:i/>
          <w:sz w:val="23"/>
          <w:szCs w:val="23"/>
          <w:rtl/>
        </w:rPr>
        <w:tab/>
        <w:t xml:space="preserve"> </w:t>
      </w:r>
      <w:r w:rsidRPr="002614E7">
        <w:rPr>
          <w:rFonts w:eastAsiaTheme="minorEastAsia"/>
          <w:iCs/>
          <w:sz w:val="23"/>
          <w:szCs w:val="23"/>
        </w:rPr>
        <w:t>(</w:t>
      </w:r>
      <w:r w:rsidRPr="002614E7">
        <w:rPr>
          <w:rFonts w:eastAsiaTheme="minorEastAsia" w:hint="cs"/>
          <w:i/>
          <w:sz w:val="23"/>
          <w:szCs w:val="23"/>
          <w:rtl/>
        </w:rPr>
        <w:t>(۱۴. ۱۹</w:t>
      </w:r>
    </w:p>
    <w:p w14:paraId="71895D68" w14:textId="77777777" w:rsidR="00556C10" w:rsidRDefault="00556C10" w:rsidP="00556C10">
      <w:pPr>
        <w:tabs>
          <w:tab w:val="center" w:pos="3475"/>
        </w:tabs>
        <w:spacing w:line="216" w:lineRule="auto"/>
        <w:rPr>
          <w:rFonts w:eastAsiaTheme="minorEastAsia"/>
          <w:i/>
          <w:sz w:val="23"/>
          <w:szCs w:val="23"/>
          <w:rtl/>
        </w:rPr>
      </w:pPr>
      <w:r w:rsidRPr="002614E7">
        <w:rPr>
          <w:rFonts w:eastAsiaTheme="minorEastAsia" w:hint="cs"/>
          <w:i/>
          <w:sz w:val="23"/>
          <w:szCs w:val="23"/>
          <w:rtl/>
        </w:rPr>
        <w:t>که درآن</w:t>
      </w:r>
      <w:r w:rsidRPr="002614E7">
        <w:rPr>
          <w:position w:val="-10"/>
        </w:rPr>
        <w:object w:dxaOrig="240" w:dyaOrig="320" w14:anchorId="5BA63D03">
          <v:shape id="_x0000_i6796" type="#_x0000_t75" style="width:11.5pt;height:15.75pt" o:ole="">
            <v:imagedata r:id="rId11653" o:title=""/>
          </v:shape>
          <o:OLEObject Type="Embed" ProgID="Equation.DSMT4" ShapeID="_x0000_i6796" DrawAspect="Content" ObjectID="_1791380740" r:id="rId11654"/>
        </w:object>
      </w:r>
      <w:r w:rsidRPr="002614E7">
        <w:rPr>
          <w:rFonts w:eastAsiaTheme="minorEastAsia" w:hint="cs"/>
          <w:i/>
          <w:sz w:val="23"/>
          <w:szCs w:val="23"/>
          <w:rtl/>
        </w:rPr>
        <w:t xml:space="preserve"> تورم،</w:t>
      </w:r>
      <w:r w:rsidRPr="002614E7">
        <w:rPr>
          <w:position w:val="-10"/>
        </w:rPr>
        <w:object w:dxaOrig="1100" w:dyaOrig="320" w14:anchorId="137F8B83">
          <v:shape id="_x0000_i6797" type="#_x0000_t75" style="width:55.05pt;height:15.75pt" o:ole="">
            <v:imagedata r:id="rId11655" o:title=""/>
          </v:shape>
          <o:OLEObject Type="Embed" ProgID="Equation.DSMT4" ShapeID="_x0000_i6797" DrawAspect="Content" ObjectID="_1791380741" r:id="rId11656"/>
        </w:object>
      </w:r>
      <w:r w:rsidRPr="002614E7">
        <w:rPr>
          <w:rFonts w:eastAsiaTheme="minorEastAsia" w:hint="cs"/>
          <w:i/>
          <w:sz w:val="23"/>
          <w:szCs w:val="23"/>
          <w:rtl/>
        </w:rPr>
        <w:t xml:space="preserve"> شکاف تولید که بوسیله‌ی تفاوت تولید از تولید در وضعیت ‌یکنواخت اندازه</w:t>
      </w:r>
      <w:r w:rsidRPr="002614E7">
        <w:rPr>
          <w:rFonts w:eastAsiaTheme="minorEastAsia"/>
          <w:i/>
          <w:sz w:val="23"/>
          <w:szCs w:val="23"/>
        </w:rPr>
        <w:softHyphen/>
      </w:r>
      <w:r w:rsidRPr="002614E7">
        <w:rPr>
          <w:rFonts w:eastAsiaTheme="minorEastAsia" w:hint="cs"/>
          <w:i/>
          <w:sz w:val="23"/>
          <w:szCs w:val="23"/>
          <w:rtl/>
        </w:rPr>
        <w:t>گیری می‌شود (و نه بوسیله‌ی ظرفیت تولید منهای تولید واقعی که درفصل سیزدهم بدان اشاره شد)،</w:t>
      </w:r>
      <w:r w:rsidRPr="002614E7">
        <w:rPr>
          <w:position w:val="-10"/>
        </w:rPr>
        <w:object w:dxaOrig="320" w:dyaOrig="320" w14:anchorId="1F17D7E4">
          <v:shape id="_x0000_i6798" type="#_x0000_t75" style="width:15.75pt;height:15.75pt" o:ole="">
            <v:imagedata r:id="rId11657" o:title=""/>
          </v:shape>
          <o:OLEObject Type="Embed" ProgID="Equation.DSMT4" ShapeID="_x0000_i6798" DrawAspect="Content" ObjectID="_1791380742" r:id="rId11658"/>
        </w:object>
      </w:r>
      <w:r w:rsidRPr="002614E7">
        <w:rPr>
          <w:rFonts w:eastAsiaTheme="minorEastAsia" w:hint="cs"/>
          <w:i/>
          <w:sz w:val="23"/>
          <w:szCs w:val="23"/>
          <w:rtl/>
        </w:rPr>
        <w:t xml:space="preserve"> تولید تعادلی در وضعیت یکنواخت و یا روند تولید،</w:t>
      </w:r>
      <w:r w:rsidRPr="002614E7">
        <w:rPr>
          <w:position w:val="-10"/>
        </w:rPr>
        <w:object w:dxaOrig="279" w:dyaOrig="320" w14:anchorId="70C1FB40">
          <v:shape id="_x0000_i6799" type="#_x0000_t75" style="width:13.9pt;height:15.75pt" o:ole="">
            <v:imagedata r:id="rId11659" o:title=""/>
          </v:shape>
          <o:OLEObject Type="Embed" ProgID="Equation.DSMT4" ShapeID="_x0000_i6799" DrawAspect="Content" ObjectID="_1791380743" r:id="rId11660"/>
        </w:object>
      </w:r>
      <w:r w:rsidRPr="002614E7">
        <w:rPr>
          <w:rFonts w:eastAsiaTheme="minorEastAsia" w:hint="cs"/>
          <w:i/>
          <w:sz w:val="23"/>
          <w:szCs w:val="23"/>
          <w:rtl/>
        </w:rPr>
        <w:t xml:space="preserve"> نرخ بهره‌ی اسمی رسمی است که ابزار سیاستی می</w:t>
      </w:r>
      <w:r w:rsidRPr="002614E7">
        <w:rPr>
          <w:rFonts w:eastAsiaTheme="minorEastAsia" w:hint="cs"/>
          <w:i/>
          <w:sz w:val="23"/>
          <w:szCs w:val="23"/>
          <w:rtl/>
        </w:rPr>
        <w:softHyphen/>
        <w:t>باشد،</w:t>
      </w:r>
      <w:r w:rsidRPr="002614E7">
        <w:rPr>
          <w:position w:val="-10"/>
        </w:rPr>
        <w:object w:dxaOrig="279" w:dyaOrig="320" w14:anchorId="5CD0B3A5">
          <v:shape id="_x0000_i6800" type="#_x0000_t75" style="width:13.9pt;height:15.75pt" o:ole="">
            <v:imagedata r:id="rId11661" o:title=""/>
          </v:shape>
          <o:OLEObject Type="Embed" ProgID="Equation.DSMT4" ShapeID="_x0000_i6800" DrawAspect="Content" ObjectID="_1791380744" r:id="rId11662"/>
        </w:object>
      </w:r>
      <w:r w:rsidRPr="002614E7">
        <w:rPr>
          <w:rFonts w:eastAsiaTheme="minorEastAsia"/>
          <w:i/>
          <w:sz w:val="23"/>
          <w:szCs w:val="23"/>
        </w:rPr>
        <w:t xml:space="preserve"> </w:t>
      </w:r>
      <w:r w:rsidRPr="002614E7">
        <w:rPr>
          <w:rFonts w:eastAsiaTheme="minorEastAsia" w:hint="cs"/>
          <w:i/>
          <w:sz w:val="23"/>
          <w:szCs w:val="23"/>
          <w:rtl/>
        </w:rPr>
        <w:t>و</w:t>
      </w:r>
      <w:r w:rsidRPr="002614E7">
        <w:rPr>
          <w:position w:val="-10"/>
        </w:rPr>
        <w:object w:dxaOrig="279" w:dyaOrig="320" w14:anchorId="4D88A246">
          <v:shape id="_x0000_i6801" type="#_x0000_t75" style="width:13.9pt;height:15.75pt" o:ole="">
            <v:imagedata r:id="rId11663" o:title=""/>
          </v:shape>
          <o:OLEObject Type="Embed" ProgID="Equation.DSMT4" ShapeID="_x0000_i6801" DrawAspect="Content" ObjectID="_1791380745" r:id="rId11664"/>
        </w:object>
      </w:r>
      <w:r w:rsidRPr="002614E7">
        <w:rPr>
          <w:rFonts w:eastAsiaTheme="minorEastAsia"/>
          <w:i/>
          <w:sz w:val="23"/>
          <w:szCs w:val="23"/>
        </w:rPr>
        <w:t xml:space="preserve"> </w:t>
      </w:r>
      <w:r w:rsidRPr="002614E7">
        <w:rPr>
          <w:rFonts w:eastAsiaTheme="minorEastAsia" w:hint="cs"/>
          <w:i/>
          <w:sz w:val="23"/>
          <w:szCs w:val="23"/>
          <w:rtl/>
        </w:rPr>
        <w:t>به ترتیب شوک</w:t>
      </w:r>
      <w:r w:rsidRPr="002614E7">
        <w:rPr>
          <w:rFonts w:eastAsiaTheme="minorEastAsia" w:hint="cs"/>
          <w:i/>
          <w:sz w:val="23"/>
          <w:szCs w:val="23"/>
          <w:rtl/>
        </w:rPr>
        <w:softHyphen/>
        <w:t>های عرضه و تقاضا تصادفی با میانگین صفر و ناهمبسته می</w:t>
      </w:r>
      <w:r w:rsidRPr="002614E7">
        <w:rPr>
          <w:rFonts w:eastAsiaTheme="minorEastAsia" w:hint="cs"/>
          <w:i/>
          <w:sz w:val="23"/>
          <w:szCs w:val="23"/>
          <w:rtl/>
        </w:rPr>
        <w:softHyphen/>
        <w:t>باشند، و همچنین پارامترهای</w:t>
      </w:r>
      <w:r w:rsidRPr="002614E7">
        <w:rPr>
          <w:position w:val="-10"/>
        </w:rPr>
        <w:object w:dxaOrig="859" w:dyaOrig="300" w14:anchorId="0DC62F66">
          <v:shape id="_x0000_i6802" type="#_x0000_t75" style="width:42.95pt;height:14.5pt" o:ole="">
            <v:imagedata r:id="rId11665" o:title=""/>
          </v:shape>
          <o:OLEObject Type="Embed" ProgID="Equation.DSMT4" ShapeID="_x0000_i6802" DrawAspect="Content" ObjectID="_1791380746" r:id="rId11666"/>
        </w:object>
      </w:r>
      <w:r w:rsidRPr="002614E7">
        <w:rPr>
          <w:rFonts w:eastAsiaTheme="minorEastAsia" w:hint="cs"/>
          <w:i/>
          <w:sz w:val="23"/>
          <w:szCs w:val="23"/>
          <w:rtl/>
        </w:rPr>
        <w:t xml:space="preserve"> و </w:t>
      </w:r>
      <w:r w:rsidRPr="002614E7">
        <w:rPr>
          <w:position w:val="-10"/>
        </w:rPr>
        <w:object w:dxaOrig="1500" w:dyaOrig="300" w14:anchorId="071518FA">
          <v:shape id="_x0000_i6803" type="#_x0000_t75" style="width:75.05pt;height:14.5pt" o:ole="">
            <v:imagedata r:id="rId11667" o:title=""/>
          </v:shape>
          <o:OLEObject Type="Embed" ProgID="Equation.DSMT4" ShapeID="_x0000_i6803" DrawAspect="Content" ObjectID="_1791380747" r:id="rId11668"/>
        </w:object>
      </w:r>
      <w:r w:rsidRPr="002614E7">
        <w:rPr>
          <w:rFonts w:eastAsiaTheme="minorEastAsia" w:hint="cs"/>
          <w:i/>
          <w:sz w:val="23"/>
          <w:szCs w:val="23"/>
          <w:rtl/>
        </w:rPr>
        <w:t xml:space="preserve"> می‌باشند. در این مدل با فرض ثابت بودن شکاف تولید یا</w:t>
      </w:r>
      <w:r w:rsidRPr="002614E7">
        <w:rPr>
          <w:position w:val="-10"/>
        </w:rPr>
        <w:object w:dxaOrig="240" w:dyaOrig="320" w14:anchorId="4F6BD5C8">
          <v:shape id="_x0000_i6804" type="#_x0000_t75" style="width:11.5pt;height:15.75pt" o:ole="">
            <v:imagedata r:id="rId11669" o:title=""/>
          </v:shape>
          <o:OLEObject Type="Embed" ProgID="Equation.DSMT4" ShapeID="_x0000_i6804" DrawAspect="Content" ObjectID="_1791380748" r:id="rId11670"/>
        </w:object>
      </w:r>
      <w:r w:rsidRPr="002614E7">
        <w:rPr>
          <w:rFonts w:hint="cs"/>
          <w:i/>
          <w:sz w:val="23"/>
          <w:szCs w:val="23"/>
          <w:rtl/>
        </w:rPr>
        <w:t xml:space="preserve">، </w:t>
      </w:r>
      <w:r w:rsidRPr="002614E7">
        <w:rPr>
          <w:rFonts w:eastAsiaTheme="minorEastAsia" w:hint="cs"/>
          <w:i/>
          <w:sz w:val="23"/>
          <w:szCs w:val="23"/>
          <w:rtl/>
        </w:rPr>
        <w:t xml:space="preserve">و همچنین افزایش در شوک عرضه </w:t>
      </w:r>
    </w:p>
    <w:p w14:paraId="3DD14AC1" w14:textId="77777777" w:rsidR="00556C10" w:rsidRPr="002614E7" w:rsidRDefault="00556C10" w:rsidP="00556C10">
      <w:pPr>
        <w:spacing w:line="216" w:lineRule="auto"/>
        <w:jc w:val="center"/>
        <w:rPr>
          <w:rFonts w:eastAsiaTheme="minorEastAsia"/>
          <w:i/>
          <w:sz w:val="23"/>
          <w:szCs w:val="23"/>
          <w:rtl/>
        </w:rPr>
      </w:pPr>
      <w:r w:rsidRPr="002614E7">
        <w:rPr>
          <w:rFonts w:eastAsiaTheme="minorEastAsia" w:hint="cs"/>
          <w:i/>
          <w:sz w:val="23"/>
          <w:szCs w:val="23"/>
          <w:rtl/>
        </w:rPr>
        <w:t>نمودار ۱۴. ۱: رابطه</w:t>
      </w:r>
      <w:r w:rsidRPr="002614E7">
        <w:rPr>
          <w:rFonts w:eastAsiaTheme="minorEastAsia"/>
          <w:i/>
          <w:sz w:val="23"/>
          <w:szCs w:val="23"/>
          <w:rtl/>
        </w:rPr>
        <w:softHyphen/>
      </w:r>
      <w:r w:rsidRPr="002614E7">
        <w:rPr>
          <w:rFonts w:eastAsiaTheme="minorEastAsia" w:hint="cs"/>
          <w:i/>
          <w:sz w:val="23"/>
          <w:szCs w:val="23"/>
          <w:rtl/>
        </w:rPr>
        <w:t>ی دستمزد و بیکاری در انگلستان</w:t>
      </w:r>
    </w:p>
    <w:p w14:paraId="212D9E37" w14:textId="77777777" w:rsidR="00556C10" w:rsidRPr="002614E7" w:rsidRDefault="00556C10" w:rsidP="00556C10">
      <w:pPr>
        <w:spacing w:line="216" w:lineRule="auto"/>
        <w:jc w:val="center"/>
        <w:rPr>
          <w:rFonts w:eastAsiaTheme="minorEastAsia"/>
          <w:i/>
          <w:sz w:val="23"/>
          <w:szCs w:val="23"/>
          <w:rtl/>
        </w:rPr>
      </w:pPr>
      <w:r w:rsidRPr="002614E7">
        <w:rPr>
          <w:i/>
          <w:noProof/>
          <w:sz w:val="23"/>
          <w:szCs w:val="23"/>
          <w:u w:val="single"/>
          <w:lang w:bidi="ar-SA"/>
        </w:rPr>
        <w:lastRenderedPageBreak/>
        <w:drawing>
          <wp:inline distT="0" distB="0" distL="0" distR="0" wp14:anchorId="23B62BD7" wp14:editId="1EBC94A0">
            <wp:extent cx="3656380" cy="1814645"/>
            <wp:effectExtent l="38100" t="38100" r="39370" b="3365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71" cstate="print">
                      <a:extLst>
                        <a:ext uri="{28A0092B-C50C-407E-A947-70E740481C1C}">
                          <a14:useLocalDpi xmlns:a14="http://schemas.microsoft.com/office/drawing/2010/main" val="0"/>
                        </a:ext>
                      </a:extLst>
                    </a:blip>
                    <a:srcRect/>
                    <a:stretch>
                      <a:fillRect/>
                    </a:stretch>
                  </pic:blipFill>
                  <pic:spPr bwMode="auto">
                    <a:xfrm>
                      <a:off x="0" y="0"/>
                      <a:ext cx="3661658" cy="1817265"/>
                    </a:xfrm>
                    <a:prstGeom prst="rect">
                      <a:avLst/>
                    </a:prstGeom>
                    <a:ln w="28575">
                      <a:solidFill>
                        <a:schemeClr val="tx1"/>
                      </a:solidFill>
                    </a:ln>
                  </pic:spPr>
                </pic:pic>
              </a:graphicData>
            </a:graphic>
          </wp:inline>
        </w:drawing>
      </w:r>
    </w:p>
    <w:p w14:paraId="6E1B5E1F" w14:textId="77777777" w:rsidR="00556C10" w:rsidRPr="002614E7" w:rsidRDefault="00556C10" w:rsidP="00556C10">
      <w:pPr>
        <w:spacing w:line="216" w:lineRule="auto"/>
        <w:jc w:val="center"/>
        <w:rPr>
          <w:rFonts w:eastAsiaTheme="minorEastAsia"/>
          <w:i/>
          <w:sz w:val="23"/>
          <w:szCs w:val="23"/>
          <w:rtl/>
        </w:rPr>
      </w:pPr>
      <w:r w:rsidRPr="002614E7">
        <w:rPr>
          <w:rFonts w:eastAsiaTheme="minorEastAsia" w:hint="cs"/>
          <w:i/>
          <w:sz w:val="23"/>
          <w:szCs w:val="23"/>
          <w:rtl/>
        </w:rPr>
        <w:t>نمودار ۱۴. ۲ :‌ نرخ تورم و شکاف تولید فصلی در کشور انگلستان</w:t>
      </w:r>
    </w:p>
    <w:p w14:paraId="2AF6C9AB" w14:textId="77777777" w:rsidR="00556C10" w:rsidRPr="002614E7" w:rsidRDefault="00556C10" w:rsidP="00556C10">
      <w:pPr>
        <w:spacing w:line="216" w:lineRule="auto"/>
        <w:jc w:val="center"/>
        <w:rPr>
          <w:rFonts w:eastAsiaTheme="minorEastAsia"/>
          <w:i/>
          <w:sz w:val="23"/>
          <w:szCs w:val="23"/>
          <w:rtl/>
        </w:rPr>
      </w:pPr>
      <w:r w:rsidRPr="002614E7">
        <w:rPr>
          <w:i/>
          <w:noProof/>
          <w:sz w:val="23"/>
          <w:szCs w:val="23"/>
          <w:u w:val="single"/>
          <w:lang w:bidi="ar-SA"/>
        </w:rPr>
        <w:drawing>
          <wp:inline distT="0" distB="0" distL="0" distR="0" wp14:anchorId="439E7679" wp14:editId="3133CA36">
            <wp:extent cx="3655331" cy="1811814"/>
            <wp:effectExtent l="38100" t="38100" r="40640" b="3619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72" cstate="print">
                      <a:extLst>
                        <a:ext uri="{28A0092B-C50C-407E-A947-70E740481C1C}">
                          <a14:useLocalDpi xmlns:a14="http://schemas.microsoft.com/office/drawing/2010/main" val="0"/>
                        </a:ext>
                      </a:extLst>
                    </a:blip>
                    <a:srcRect/>
                    <a:stretch>
                      <a:fillRect/>
                    </a:stretch>
                  </pic:blipFill>
                  <pic:spPr bwMode="auto">
                    <a:xfrm>
                      <a:off x="0" y="0"/>
                      <a:ext cx="3662645" cy="1815439"/>
                    </a:xfrm>
                    <a:prstGeom prst="rect">
                      <a:avLst/>
                    </a:prstGeom>
                    <a:ln w="28575">
                      <a:solidFill>
                        <a:schemeClr val="tx1"/>
                      </a:solidFill>
                    </a:ln>
                  </pic:spPr>
                </pic:pic>
              </a:graphicData>
            </a:graphic>
          </wp:inline>
        </w:drawing>
      </w:r>
    </w:p>
    <w:p w14:paraId="58A36914" w14:textId="77777777" w:rsidR="00556C10" w:rsidRPr="002614E7" w:rsidRDefault="00556C10" w:rsidP="00556C10">
      <w:pPr>
        <w:spacing w:line="216" w:lineRule="auto"/>
        <w:jc w:val="center"/>
        <w:rPr>
          <w:rFonts w:eastAsiaTheme="minorEastAsia"/>
          <w:i/>
          <w:sz w:val="23"/>
          <w:szCs w:val="23"/>
          <w:rtl/>
        </w:rPr>
      </w:pPr>
      <w:r w:rsidRPr="002614E7">
        <w:rPr>
          <w:rFonts w:eastAsiaTheme="minorEastAsia" w:hint="cs"/>
          <w:i/>
          <w:sz w:val="23"/>
          <w:szCs w:val="23"/>
          <w:rtl/>
        </w:rPr>
        <w:t>نمودار ۱۴.  ۳ : نرخ تورم و شکاف تولید سالانه در کشور انگلستان</w:t>
      </w:r>
    </w:p>
    <w:p w14:paraId="10031ACE" w14:textId="77777777" w:rsidR="00556C10" w:rsidRPr="002614E7" w:rsidRDefault="00556C10" w:rsidP="00556C10">
      <w:pPr>
        <w:spacing w:line="216" w:lineRule="auto"/>
        <w:jc w:val="center"/>
        <w:rPr>
          <w:rFonts w:eastAsiaTheme="minorEastAsia"/>
          <w:i/>
          <w:sz w:val="23"/>
          <w:szCs w:val="23"/>
          <w:rtl/>
        </w:rPr>
      </w:pPr>
      <w:r w:rsidRPr="002614E7">
        <w:rPr>
          <w:i/>
          <w:noProof/>
          <w:sz w:val="23"/>
          <w:szCs w:val="23"/>
          <w:u w:val="single"/>
          <w:lang w:bidi="ar-SA"/>
        </w:rPr>
        <w:drawing>
          <wp:inline distT="0" distB="0" distL="0" distR="0" wp14:anchorId="2AE153AF" wp14:editId="215420CA">
            <wp:extent cx="3657247" cy="1814645"/>
            <wp:effectExtent l="38100" t="38100" r="38735" b="3365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73" cstate="print">
                      <a:extLst>
                        <a:ext uri="{28A0092B-C50C-407E-A947-70E740481C1C}">
                          <a14:useLocalDpi xmlns:a14="http://schemas.microsoft.com/office/drawing/2010/main" val="0"/>
                        </a:ext>
                      </a:extLst>
                    </a:blip>
                    <a:srcRect/>
                    <a:stretch>
                      <a:fillRect/>
                    </a:stretch>
                  </pic:blipFill>
                  <pic:spPr bwMode="auto">
                    <a:xfrm>
                      <a:off x="0" y="0"/>
                      <a:ext cx="3662146" cy="1817076"/>
                    </a:xfrm>
                    <a:prstGeom prst="rect">
                      <a:avLst/>
                    </a:prstGeom>
                    <a:ln w="28575">
                      <a:solidFill>
                        <a:schemeClr val="tx1"/>
                      </a:solidFill>
                    </a:ln>
                  </pic:spPr>
                </pic:pic>
              </a:graphicData>
            </a:graphic>
          </wp:inline>
        </w:drawing>
      </w:r>
    </w:p>
    <w:p w14:paraId="622811F2" w14:textId="77777777" w:rsidR="00556C10" w:rsidRDefault="00556C10" w:rsidP="00556C10">
      <w:pPr>
        <w:spacing w:line="216" w:lineRule="auto"/>
        <w:rPr>
          <w:rFonts w:eastAsiaTheme="minorEastAsia"/>
          <w:i/>
          <w:sz w:val="23"/>
          <w:szCs w:val="23"/>
          <w:rtl/>
        </w:rPr>
      </w:pPr>
    </w:p>
    <w:p w14:paraId="36456B33" w14:textId="77777777" w:rsidR="00556C10" w:rsidRPr="002614E7" w:rsidRDefault="00556C10" w:rsidP="00556C10">
      <w:pPr>
        <w:spacing w:line="216" w:lineRule="auto"/>
        <w:rPr>
          <w:rFonts w:eastAsiaTheme="minorEastAsia"/>
          <w:i/>
          <w:sz w:val="23"/>
          <w:szCs w:val="23"/>
          <w:rtl/>
        </w:rPr>
      </w:pPr>
      <w:r w:rsidRPr="002614E7">
        <w:rPr>
          <w:rFonts w:eastAsiaTheme="minorEastAsia" w:hint="cs"/>
          <w:i/>
          <w:sz w:val="23"/>
          <w:szCs w:val="23"/>
          <w:rtl/>
        </w:rPr>
        <w:lastRenderedPageBreak/>
        <w:t>بواسطه</w:t>
      </w:r>
      <w:r w:rsidRPr="002614E7">
        <w:rPr>
          <w:rFonts w:eastAsiaTheme="minorEastAsia" w:hint="cs"/>
          <w:i/>
          <w:sz w:val="23"/>
          <w:szCs w:val="23"/>
          <w:rtl/>
        </w:rPr>
        <w:softHyphen/>
        <w:t xml:space="preserve">ی </w:t>
      </w:r>
      <w:r w:rsidRPr="002614E7">
        <w:rPr>
          <w:position w:val="-10"/>
        </w:rPr>
        <w:object w:dxaOrig="639" w:dyaOrig="320" w14:anchorId="76F544E0">
          <v:shape id="_x0000_i6805" type="#_x0000_t75" style="width:32.05pt;height:15.75pt" o:ole="">
            <v:imagedata r:id="rId11674" o:title=""/>
          </v:shape>
          <o:OLEObject Type="Embed" ProgID="Equation.DSMT4" ShapeID="_x0000_i6805" DrawAspect="Content" ObjectID="_1791380749" r:id="rId11675"/>
        </w:object>
      </w:r>
      <w:r w:rsidRPr="002614E7">
        <w:rPr>
          <w:rFonts w:hint="cs"/>
          <w:i/>
          <w:sz w:val="23"/>
          <w:szCs w:val="23"/>
          <w:rtl/>
        </w:rPr>
        <w:t>،</w:t>
      </w:r>
      <w:r w:rsidRPr="002614E7">
        <w:rPr>
          <w:rFonts w:eastAsiaTheme="minorEastAsia" w:hint="cs"/>
          <w:i/>
          <w:sz w:val="23"/>
          <w:szCs w:val="23"/>
          <w:rtl/>
        </w:rPr>
        <w:t xml:space="preserve"> تورم افزایش خواهد یافت. معادله‌ی تورم </w:t>
      </w:r>
      <w:r w:rsidRPr="002614E7">
        <w:rPr>
          <w:rFonts w:hint="cs"/>
          <w:i/>
          <w:sz w:val="23"/>
          <w:szCs w:val="23"/>
          <w:rtl/>
        </w:rPr>
        <w:t>(۱۴. ۱۸</w:t>
      </w:r>
      <w:r w:rsidRPr="002614E7">
        <w:rPr>
          <w:rFonts w:eastAsiaTheme="minorEastAsia" w:hint="cs"/>
          <w:i/>
          <w:sz w:val="23"/>
          <w:szCs w:val="23"/>
          <w:rtl/>
        </w:rPr>
        <w:t>) نسخه</w:t>
      </w:r>
      <w:r w:rsidRPr="002614E7">
        <w:rPr>
          <w:rFonts w:eastAsiaTheme="minorEastAsia" w:hint="cs"/>
          <w:i/>
          <w:sz w:val="23"/>
          <w:szCs w:val="23"/>
          <w:rtl/>
        </w:rPr>
        <w:softHyphen/>
        <w:t xml:space="preserve">ای از معادله‌ی فیلیپس است که برخی اوقات بدان منحنی فیلیپس انتظارات-افزوده و یا منحنی فیلیپس کینزین جدید نیز گویند. همچنین معادله‌ی (۱۴. ۱۹) تابع </w:t>
      </w:r>
      <w:r w:rsidRPr="002614E7">
        <w:rPr>
          <w:rFonts w:eastAsiaTheme="minorEastAsia"/>
          <w:i/>
          <w:sz w:val="23"/>
          <w:szCs w:val="23"/>
        </w:rPr>
        <w:t>IS</w:t>
      </w:r>
      <w:r w:rsidRPr="002614E7">
        <w:rPr>
          <w:rFonts w:eastAsiaTheme="minorEastAsia" w:hint="cs"/>
          <w:i/>
          <w:sz w:val="23"/>
          <w:szCs w:val="23"/>
          <w:rtl/>
        </w:rPr>
        <w:t xml:space="preserve"> کینزین جدید است.</w:t>
      </w:r>
      <w:r>
        <w:rPr>
          <w:rFonts w:eastAsiaTheme="minorEastAsia" w:hint="cs"/>
          <w:i/>
          <w:sz w:val="23"/>
          <w:szCs w:val="23"/>
          <w:rtl/>
        </w:rPr>
        <w:t xml:space="preserve"> </w:t>
      </w:r>
      <w:r w:rsidRPr="002614E7">
        <w:rPr>
          <w:rFonts w:eastAsiaTheme="minorEastAsia" w:hint="cs"/>
          <w:i/>
          <w:sz w:val="23"/>
          <w:szCs w:val="23"/>
          <w:rtl/>
        </w:rPr>
        <w:t>اکنون نرخ بهره‌ی حقیقی</w:t>
      </w:r>
      <w:r w:rsidRPr="002614E7">
        <w:rPr>
          <w:position w:val="-10"/>
        </w:rPr>
        <w:object w:dxaOrig="180" w:dyaOrig="320" w14:anchorId="3A6042CE">
          <v:shape id="_x0000_i6806" type="#_x0000_t75" style="width:9.1pt;height:15.75pt" o:ole="">
            <v:imagedata r:id="rId11676" o:title=""/>
          </v:shape>
          <o:OLEObject Type="Embed" ProgID="Equation.DSMT4" ShapeID="_x0000_i6806" DrawAspect="Content" ObjectID="_1791380750" r:id="rId11677"/>
        </w:object>
      </w:r>
      <w:r w:rsidRPr="002614E7">
        <w:rPr>
          <w:rFonts w:eastAsiaTheme="minorEastAsia" w:hint="cs"/>
          <w:i/>
          <w:sz w:val="23"/>
          <w:szCs w:val="23"/>
          <w:rtl/>
        </w:rPr>
        <w:t xml:space="preserve"> را به نرخ بهره‌ی اسمی</w:t>
      </w:r>
      <w:r w:rsidRPr="002614E7">
        <w:rPr>
          <w:position w:val="-10"/>
        </w:rPr>
        <w:object w:dxaOrig="279" w:dyaOrig="320" w14:anchorId="19EFB560">
          <v:shape id="_x0000_i6807" type="#_x0000_t75" style="width:13.9pt;height:15.75pt" o:ole="">
            <v:imagedata r:id="rId11678" o:title=""/>
          </v:shape>
          <o:OLEObject Type="Embed" ProgID="Equation.DSMT4" ShapeID="_x0000_i6807" DrawAspect="Content" ObjectID="_1791380751" r:id="rId11679"/>
        </w:object>
      </w:r>
      <w:r w:rsidRPr="002614E7">
        <w:rPr>
          <w:rFonts w:eastAsiaTheme="minorEastAsia" w:hint="cs"/>
          <w:i/>
          <w:sz w:val="23"/>
          <w:szCs w:val="23"/>
          <w:rtl/>
        </w:rPr>
        <w:t xml:space="preserve"> و تورم از طریق معادله‌ی فیشر یعنی</w:t>
      </w:r>
      <w:r w:rsidRPr="002614E7">
        <w:rPr>
          <w:position w:val="-10"/>
        </w:rPr>
        <w:object w:dxaOrig="1359" w:dyaOrig="320" w14:anchorId="1C0DE3DE">
          <v:shape id="_x0000_i6808" type="#_x0000_t75" style="width:67.75pt;height:15.75pt" o:ole="">
            <v:imagedata r:id="rId11680" o:title=""/>
          </v:shape>
          <o:OLEObject Type="Embed" ProgID="Equation.DSMT4" ShapeID="_x0000_i6808" DrawAspect="Content" ObjectID="_1791380752" r:id="rId11681"/>
        </w:object>
      </w:r>
      <w:r w:rsidRPr="002614E7">
        <w:rPr>
          <w:rFonts w:eastAsiaTheme="minorEastAsia" w:hint="cs"/>
          <w:i/>
          <w:sz w:val="23"/>
          <w:szCs w:val="23"/>
          <w:rtl/>
        </w:rPr>
        <w:t xml:space="preserve"> مرتبط کرده تا تفاوت اساسی در مدل اقتصادی از طریق درون</w:t>
      </w:r>
      <w:r w:rsidRPr="002614E7">
        <w:rPr>
          <w:rFonts w:eastAsiaTheme="minorEastAsia" w:hint="cs"/>
          <w:i/>
          <w:sz w:val="23"/>
          <w:szCs w:val="23"/>
          <w:rtl/>
        </w:rPr>
        <w:softHyphen/>
        <w:t>زا نمودن نرخ بهره‌ی حقیقی ایجاد شود. این نرخ قبلاً برون</w:t>
      </w:r>
      <w:r w:rsidRPr="002614E7">
        <w:rPr>
          <w:rFonts w:eastAsiaTheme="minorEastAsia" w:hint="cs"/>
          <w:i/>
          <w:sz w:val="23"/>
          <w:szCs w:val="23"/>
          <w:rtl/>
        </w:rPr>
        <w:softHyphen/>
        <w:t xml:space="preserve">زا بود. ضمناً تمامی متغیرها بجز نرخ بهره بصورت لگاریتم طبیعی می‌باشند. </w:t>
      </w:r>
    </w:p>
    <w:p w14:paraId="202E47CA" w14:textId="77777777" w:rsidR="00556C10" w:rsidRPr="002614E7" w:rsidRDefault="00556C10" w:rsidP="00556C10">
      <w:pPr>
        <w:spacing w:line="216" w:lineRule="auto"/>
        <w:rPr>
          <w:rFonts w:eastAsiaTheme="minorHAnsi"/>
          <w:i/>
          <w:sz w:val="23"/>
          <w:szCs w:val="23"/>
          <w:rtl/>
        </w:rPr>
      </w:pPr>
      <w:r w:rsidRPr="002614E7">
        <w:rPr>
          <w:rFonts w:eastAsiaTheme="minorEastAsia" w:hint="cs"/>
          <w:i/>
          <w:sz w:val="23"/>
          <w:szCs w:val="23"/>
          <w:rtl/>
        </w:rPr>
        <w:t>با فرض این که در تعادل، نرخ تورم برابر با نرخ تورم هدف‌‌گذاری شده‌ یعن</w:t>
      </w:r>
      <w:r w:rsidRPr="002614E7">
        <w:rPr>
          <w:rFonts w:eastAsiaTheme="minorEastAsia"/>
          <w:i/>
          <w:sz w:val="23"/>
          <w:szCs w:val="23"/>
        </w:rPr>
        <w:t xml:space="preserve"> </w:t>
      </w:r>
      <w:r w:rsidRPr="002614E7">
        <w:rPr>
          <w:position w:val="-10"/>
        </w:rPr>
        <w:object w:dxaOrig="1460" w:dyaOrig="340" w14:anchorId="5BEB73C5">
          <v:shape id="_x0000_i6809" type="#_x0000_t75" style="width:72.6pt;height:16.95pt" o:ole="">
            <v:imagedata r:id="rId11682" o:title=""/>
          </v:shape>
          <o:OLEObject Type="Embed" ProgID="Equation.DSMT4" ShapeID="_x0000_i6809" DrawAspect="Content" ObjectID="_1791380753" r:id="rId11683"/>
        </w:object>
      </w:r>
      <w:r w:rsidRPr="002614E7">
        <w:rPr>
          <w:rFonts w:eastAsiaTheme="minorEastAsia" w:hint="cs"/>
          <w:i/>
          <w:sz w:val="23"/>
          <w:szCs w:val="23"/>
          <w:rtl/>
        </w:rPr>
        <w:t>، شکاف تولید برابر صفر و نرخ بهره‌ی حقیقی بلند‌مدت برابر با</w:t>
      </w:r>
      <w:r w:rsidRPr="00025957">
        <w:rPr>
          <w:position w:val="-4"/>
        </w:rPr>
        <w:object w:dxaOrig="200" w:dyaOrig="220" w14:anchorId="72C52847">
          <v:shape id="_x0000_i6810" type="#_x0000_t75" style="width:10.3pt;height:10.9pt" o:ole="">
            <v:imagedata r:id="rId11684" o:title=""/>
          </v:shape>
          <o:OLEObject Type="Embed" ProgID="Equation.DSMT4" ShapeID="_x0000_i6810" DrawAspect="Content" ObjectID="_1791380754" r:id="rId11685"/>
        </w:object>
      </w:r>
      <w:r w:rsidRPr="002614E7">
        <w:rPr>
          <w:rFonts w:hint="cs"/>
          <w:i/>
          <w:sz w:val="23"/>
          <w:szCs w:val="23"/>
          <w:rtl/>
        </w:rPr>
        <w:t xml:space="preserve"> باشد، آنگاه</w:t>
      </w:r>
      <w:r w:rsidRPr="002614E7">
        <w:rPr>
          <w:position w:val="-12"/>
        </w:rPr>
        <w:object w:dxaOrig="1240" w:dyaOrig="360" w14:anchorId="10A71239">
          <v:shape id="_x0000_i6811" type="#_x0000_t75" style="width:61.7pt;height:18.15pt" o:ole="">
            <v:imagedata r:id="rId11686" o:title=""/>
          </v:shape>
          <o:OLEObject Type="Embed" ProgID="Equation.DSMT4" ShapeID="_x0000_i6811" DrawAspect="Content" ObjectID="_1791380755" r:id="rId11687"/>
        </w:object>
      </w:r>
      <w:r w:rsidRPr="002614E7">
        <w:rPr>
          <w:rFonts w:eastAsiaTheme="minorEastAsia" w:hint="cs"/>
          <w:i/>
          <w:sz w:val="23"/>
          <w:szCs w:val="23"/>
          <w:rtl/>
        </w:rPr>
        <w:t>، ارزش بلند‌مدت</w:t>
      </w:r>
      <w:r w:rsidRPr="002614E7">
        <w:rPr>
          <w:position w:val="-10"/>
        </w:rPr>
        <w:object w:dxaOrig="180" w:dyaOrig="320" w14:anchorId="7472D3DE">
          <v:shape id="_x0000_i6812" type="#_x0000_t75" style="width:9.1pt;height:15.75pt" o:ole="">
            <v:imagedata r:id="rId11688" o:title=""/>
          </v:shape>
          <o:OLEObject Type="Embed" ProgID="Equation.DSMT4" ShapeID="_x0000_i6812" DrawAspect="Content" ObjectID="_1791380756" r:id="rId11689"/>
        </w:object>
      </w:r>
      <w:r w:rsidRPr="002614E7">
        <w:rPr>
          <w:rFonts w:eastAsiaTheme="minorEastAsia" w:hint="cs"/>
          <w:i/>
          <w:sz w:val="23"/>
          <w:szCs w:val="23"/>
          <w:rtl/>
        </w:rPr>
        <w:t xml:space="preserve"> </w:t>
      </w:r>
      <w:r w:rsidRPr="002614E7">
        <w:rPr>
          <w:rFonts w:hint="cs"/>
          <w:i/>
          <w:sz w:val="23"/>
          <w:szCs w:val="23"/>
          <w:rtl/>
        </w:rPr>
        <w:t>برابر با</w:t>
      </w:r>
      <w:r w:rsidRPr="002614E7">
        <w:rPr>
          <w:i/>
          <w:sz w:val="23"/>
          <w:szCs w:val="23"/>
        </w:rPr>
        <w:t xml:space="preserve"> </w:t>
      </w:r>
      <w:r w:rsidRPr="002614E7">
        <w:rPr>
          <w:position w:val="-6"/>
        </w:rPr>
        <w:object w:dxaOrig="1760" w:dyaOrig="300" w14:anchorId="7436F092">
          <v:shape id="_x0000_i6813" type="#_x0000_t75" style="width:87.75pt;height:14.5pt" o:ole="">
            <v:imagedata r:id="rId11690" o:title=""/>
          </v:shape>
          <o:OLEObject Type="Embed" ProgID="Equation.DSMT4" ShapeID="_x0000_i6813" DrawAspect="Content" ObjectID="_1791380757" r:id="rId11691"/>
        </w:object>
      </w:r>
      <w:r w:rsidRPr="002614E7">
        <w:rPr>
          <w:rFonts w:hint="cs"/>
          <w:i/>
          <w:sz w:val="23"/>
          <w:szCs w:val="23"/>
          <w:rtl/>
        </w:rPr>
        <w:t xml:space="preserve"> و در نتیجه </w:t>
      </w:r>
      <w:r w:rsidRPr="002614E7">
        <w:rPr>
          <w:position w:val="-6"/>
        </w:rPr>
        <w:object w:dxaOrig="540" w:dyaOrig="260" w14:anchorId="7AB7F3DE">
          <v:shape id="_x0000_i6814" type="#_x0000_t75" style="width:26.6pt;height:13.3pt" o:ole="">
            <v:imagedata r:id="rId11692" o:title=""/>
          </v:shape>
          <o:OLEObject Type="Embed" ProgID="Equation.DSMT4" ShapeID="_x0000_i6814" DrawAspect="Content" ObjectID="_1791380758" r:id="rId11693"/>
        </w:object>
      </w:r>
      <w:r w:rsidRPr="002614E7">
        <w:rPr>
          <w:rFonts w:hint="cs"/>
          <w:i/>
          <w:sz w:val="23"/>
          <w:szCs w:val="23"/>
          <w:rtl/>
        </w:rPr>
        <w:t xml:space="preserve"> خواهد بود، که در آن پارامتر</w:t>
      </w:r>
      <w:r w:rsidRPr="002614E7">
        <w:rPr>
          <w:position w:val="-6"/>
        </w:rPr>
        <w:object w:dxaOrig="279" w:dyaOrig="260" w14:anchorId="7E137BF6">
          <v:shape id="_x0000_i6815" type="#_x0000_t75" style="width:13.9pt;height:13.3pt" o:ole="">
            <v:imagedata r:id="rId11694" o:title=""/>
          </v:shape>
          <o:OLEObject Type="Embed" ProgID="Equation.DSMT4" ShapeID="_x0000_i6815" DrawAspect="Content" ObjectID="_1791380759" r:id="rId11695"/>
        </w:object>
      </w:r>
      <w:r w:rsidRPr="002614E7">
        <w:rPr>
          <w:rFonts w:hint="cs"/>
          <w:i/>
          <w:sz w:val="23"/>
          <w:szCs w:val="23"/>
          <w:rtl/>
        </w:rPr>
        <w:t>نرخ ترجیح زمانی است.</w:t>
      </w:r>
    </w:p>
    <w:p w14:paraId="2A84D611" w14:textId="77777777" w:rsidR="00556C10" w:rsidRPr="002614E7" w:rsidRDefault="00556C10" w:rsidP="00556C10">
      <w:pPr>
        <w:spacing w:line="216" w:lineRule="auto"/>
        <w:rPr>
          <w:i/>
          <w:sz w:val="23"/>
          <w:szCs w:val="23"/>
          <w:rtl/>
        </w:rPr>
      </w:pPr>
      <w:r w:rsidRPr="002614E7">
        <w:rPr>
          <w:rFonts w:hint="cs"/>
          <w:i/>
          <w:sz w:val="23"/>
          <w:szCs w:val="23"/>
          <w:rtl/>
        </w:rPr>
        <w:t>معادله</w:t>
      </w:r>
      <w:r w:rsidRPr="002614E7">
        <w:rPr>
          <w:rFonts w:hint="cs"/>
          <w:i/>
          <w:sz w:val="23"/>
          <w:szCs w:val="23"/>
          <w:rtl/>
        </w:rPr>
        <w:softHyphen/>
        <w:t>ی تورم</w:t>
      </w:r>
      <w:r w:rsidRPr="002614E7">
        <w:rPr>
          <w:rFonts w:eastAsiaTheme="minorEastAsia" w:hint="cs"/>
          <w:i/>
          <w:sz w:val="23"/>
          <w:szCs w:val="23"/>
          <w:rtl/>
        </w:rPr>
        <w:t xml:space="preserve">(۱۴. ۱۸) </w:t>
      </w:r>
      <w:r w:rsidRPr="002614E7">
        <w:rPr>
          <w:rFonts w:hint="cs"/>
          <w:i/>
          <w:sz w:val="23"/>
          <w:szCs w:val="23"/>
          <w:rtl/>
        </w:rPr>
        <w:t>همانند مدل</w:t>
      </w:r>
      <w:r w:rsidRPr="002614E7">
        <w:rPr>
          <w:rFonts w:hint="cs"/>
          <w:i/>
          <w:sz w:val="23"/>
          <w:szCs w:val="23"/>
          <w:rtl/>
        </w:rPr>
        <w:softHyphen/>
        <w:t>های تورم در اقتصاد بسته است که در فصل نهم به دست آمد. تصریح پویای آن معادله را می‌توان به صورت عمومی</w:t>
      </w:r>
      <w:r w:rsidRPr="002614E7">
        <w:rPr>
          <w:rFonts w:hint="cs"/>
          <w:i/>
          <w:sz w:val="23"/>
          <w:szCs w:val="23"/>
          <w:rtl/>
        </w:rPr>
        <w:softHyphen/>
        <w:t>تر از طریق افزودن عبارت</w:t>
      </w:r>
      <w:r w:rsidRPr="002614E7">
        <w:rPr>
          <w:position w:val="-10"/>
        </w:rPr>
        <w:object w:dxaOrig="380" w:dyaOrig="320" w14:anchorId="4C87975C">
          <v:shape id="_x0000_i6816" type="#_x0000_t75" style="width:18.75pt;height:15.75pt" o:ole="">
            <v:imagedata r:id="rId11696" o:title=""/>
          </v:shape>
          <o:OLEObject Type="Embed" ProgID="Equation.DSMT4" ShapeID="_x0000_i6816" DrawAspect="Content" ObjectID="_1791380760" r:id="rId11697"/>
        </w:object>
      </w:r>
      <w:r w:rsidRPr="002614E7">
        <w:rPr>
          <w:rFonts w:hint="cs"/>
          <w:i/>
          <w:sz w:val="23"/>
          <w:szCs w:val="23"/>
          <w:rtl/>
        </w:rPr>
        <w:t xml:space="preserve"> بدست آورد که سرعت تعدیل پویای تورم را کاهش داده و با شواهد تجربی سازگاری و قرابت بیشتری دارد. بانک مرکزی معمولاً تورم مبتنی بر شاخص قیمت مصرف</w:t>
      </w:r>
      <w:r w:rsidRPr="002614E7">
        <w:rPr>
          <w:rFonts w:hint="cs"/>
          <w:i/>
          <w:sz w:val="23"/>
          <w:szCs w:val="23"/>
          <w:rtl/>
        </w:rPr>
        <w:softHyphen/>
        <w:t xml:space="preserve">کننده یا </w:t>
      </w:r>
      <w:r w:rsidRPr="002614E7">
        <w:rPr>
          <w:i/>
          <w:sz w:val="23"/>
          <w:szCs w:val="23"/>
        </w:rPr>
        <w:t>CPI</w:t>
      </w:r>
      <w:r w:rsidRPr="002614E7">
        <w:rPr>
          <w:rFonts w:hint="cs"/>
          <w:i/>
          <w:sz w:val="23"/>
          <w:szCs w:val="23"/>
          <w:rtl/>
        </w:rPr>
        <w:t xml:space="preserve"> را هدف</w:t>
      </w:r>
      <w:r w:rsidRPr="002614E7">
        <w:rPr>
          <w:i/>
          <w:sz w:val="23"/>
          <w:szCs w:val="23"/>
        </w:rPr>
        <w:softHyphen/>
      </w:r>
      <w:r w:rsidRPr="002614E7">
        <w:rPr>
          <w:rFonts w:hint="cs"/>
          <w:i/>
          <w:sz w:val="23"/>
          <w:szCs w:val="23"/>
          <w:rtl/>
        </w:rPr>
        <w:t xml:space="preserve">‌گذاری می‌کند. در یک اقتصاد باز ممکن است نیاز به متغیرهای بیشتری جهت بررسی اثر قیمت کالاهای وارداتی و یا تورم جهانی بر تورم </w:t>
      </w:r>
      <w:r w:rsidRPr="002614E7">
        <w:rPr>
          <w:i/>
          <w:sz w:val="23"/>
          <w:szCs w:val="23"/>
        </w:rPr>
        <w:t>CPI</w:t>
      </w:r>
      <w:r w:rsidRPr="002614E7">
        <w:rPr>
          <w:rFonts w:hint="cs"/>
          <w:i/>
          <w:sz w:val="23"/>
          <w:szCs w:val="23"/>
          <w:rtl/>
        </w:rPr>
        <w:t xml:space="preserve"> داخلی داشته باشیم، لذا تابع </w:t>
      </w:r>
      <w:r w:rsidRPr="002614E7">
        <w:rPr>
          <w:i/>
          <w:sz w:val="23"/>
          <w:szCs w:val="23"/>
        </w:rPr>
        <w:t>IS</w:t>
      </w:r>
      <w:r w:rsidRPr="002614E7">
        <w:rPr>
          <w:rFonts w:hint="cs"/>
          <w:i/>
          <w:sz w:val="23"/>
          <w:szCs w:val="23"/>
          <w:rtl/>
        </w:rPr>
        <w:t xml:space="preserve"> کینزین جدید مستلزم بسط و گسترش بیشتر مباحث فوق است.</w:t>
      </w:r>
    </w:p>
    <w:p w14:paraId="4515212B" w14:textId="77777777" w:rsidR="00556C10" w:rsidRPr="002614E7" w:rsidRDefault="00556C10" w:rsidP="00556C10">
      <w:pPr>
        <w:spacing w:line="216" w:lineRule="auto"/>
        <w:rPr>
          <w:i/>
          <w:sz w:val="23"/>
          <w:szCs w:val="23"/>
        </w:rPr>
      </w:pPr>
    </w:p>
    <w:p w14:paraId="56A6440A" w14:textId="77777777" w:rsidR="00556C10" w:rsidRPr="002614E7" w:rsidRDefault="00556C10" w:rsidP="00556C10">
      <w:pPr>
        <w:pStyle w:val="Heading1"/>
        <w:spacing w:before="0" w:line="216" w:lineRule="auto"/>
        <w:rPr>
          <w:rFonts w:ascii="Times New Roman" w:hAnsi="Times New Roman" w:cs="B Nazanin"/>
          <w:b w:val="0"/>
          <w:i/>
          <w:sz w:val="23"/>
          <w:szCs w:val="23"/>
          <w:rtl/>
        </w:rPr>
      </w:pPr>
      <w:r w:rsidRPr="002614E7">
        <w:rPr>
          <w:rFonts w:ascii="Times New Roman" w:hAnsi="Times New Roman" w:cs="B Nazanin" w:hint="cs"/>
          <w:b w:val="0"/>
          <w:i/>
          <w:sz w:val="23"/>
          <w:szCs w:val="23"/>
          <w:rtl/>
        </w:rPr>
        <w:t xml:space="preserve">۱۴. ۴. ۱ استخراج منحنی </w:t>
      </w:r>
      <w:r w:rsidRPr="002614E7">
        <w:rPr>
          <w:rFonts w:ascii="Times New Roman" w:hAnsi="Times New Roman" w:cs="B Nazanin"/>
          <w:b w:val="0"/>
          <w:i/>
          <w:sz w:val="23"/>
          <w:szCs w:val="23"/>
        </w:rPr>
        <w:t>IS</w:t>
      </w:r>
      <w:r w:rsidRPr="002614E7">
        <w:rPr>
          <w:rFonts w:ascii="Times New Roman" w:hAnsi="Times New Roman" w:cs="B Nazanin" w:hint="cs"/>
          <w:b w:val="0"/>
          <w:i/>
          <w:sz w:val="23"/>
          <w:szCs w:val="23"/>
          <w:rtl/>
        </w:rPr>
        <w:t xml:space="preserve"> کینزین جدید</w:t>
      </w:r>
    </w:p>
    <w:p w14:paraId="438D102B" w14:textId="77777777" w:rsidR="00556C10" w:rsidRPr="002614E7" w:rsidRDefault="00556C10" w:rsidP="00556C10">
      <w:pPr>
        <w:spacing w:line="216" w:lineRule="auto"/>
        <w:rPr>
          <w:i/>
          <w:sz w:val="23"/>
          <w:szCs w:val="23"/>
          <w:rtl/>
        </w:rPr>
      </w:pPr>
      <w:r w:rsidRPr="002614E7">
        <w:rPr>
          <w:rFonts w:hint="cs"/>
          <w:i/>
          <w:sz w:val="23"/>
          <w:szCs w:val="23"/>
          <w:rtl/>
        </w:rPr>
        <w:t xml:space="preserve">منحنی </w:t>
      </w:r>
      <w:r w:rsidRPr="002614E7">
        <w:rPr>
          <w:i/>
          <w:sz w:val="23"/>
          <w:szCs w:val="23"/>
        </w:rPr>
        <w:t>IS</w:t>
      </w:r>
      <w:r w:rsidRPr="002614E7">
        <w:rPr>
          <w:rFonts w:hint="cs"/>
          <w:i/>
          <w:sz w:val="23"/>
          <w:szCs w:val="23"/>
          <w:rtl/>
        </w:rPr>
        <w:t xml:space="preserve"> کینزین جدید که همان رابطه</w:t>
      </w:r>
      <w:r w:rsidRPr="002614E7">
        <w:rPr>
          <w:rFonts w:hint="cs"/>
          <w:i/>
          <w:sz w:val="23"/>
          <w:szCs w:val="23"/>
          <w:rtl/>
        </w:rPr>
        <w:softHyphen/>
        <w:t>ی (۱۴. ۱۹) می</w:t>
      </w:r>
      <w:r w:rsidRPr="002614E7">
        <w:rPr>
          <w:rFonts w:hint="cs"/>
          <w:i/>
          <w:sz w:val="23"/>
          <w:szCs w:val="23"/>
          <w:rtl/>
        </w:rPr>
        <w:softHyphen/>
        <w:t>باشد، رابطه</w:t>
      </w:r>
      <w:r w:rsidRPr="002614E7">
        <w:rPr>
          <w:rFonts w:hint="cs"/>
          <w:i/>
          <w:sz w:val="23"/>
          <w:szCs w:val="23"/>
          <w:rtl/>
        </w:rPr>
        <w:softHyphen/>
        <w:t>ی بین نرخ بهره‌ی حقیقی و شکاف تولید را نشان می</w:t>
      </w:r>
      <w:r w:rsidRPr="002614E7">
        <w:rPr>
          <w:rFonts w:hint="cs"/>
          <w:i/>
          <w:sz w:val="23"/>
          <w:szCs w:val="23"/>
          <w:rtl/>
        </w:rPr>
        <w:softHyphen/>
        <w:t>دهد. ‌سیاست</w:t>
      </w:r>
      <w:r w:rsidRPr="002614E7">
        <w:rPr>
          <w:rFonts w:hint="cs"/>
          <w:i/>
          <w:sz w:val="23"/>
          <w:szCs w:val="23"/>
          <w:rtl/>
        </w:rPr>
        <w:softHyphen/>
        <w:t>گذار جهت هدف</w:t>
      </w:r>
      <w:r w:rsidRPr="002614E7">
        <w:rPr>
          <w:rFonts w:hint="cs"/>
          <w:i/>
          <w:sz w:val="23"/>
          <w:szCs w:val="23"/>
          <w:rtl/>
        </w:rPr>
        <w:softHyphen/>
        <w:t>‌گذاری تورم، نرخ بهره</w:t>
      </w:r>
      <w:r w:rsidRPr="002614E7">
        <w:rPr>
          <w:rFonts w:hint="cs"/>
          <w:i/>
          <w:sz w:val="23"/>
          <w:szCs w:val="23"/>
          <w:rtl/>
        </w:rPr>
        <w:softHyphen/>
        <w:t>ی اسمی را برای کنترل تورم از طریق اثر آن بر تولید مورد استفاده قرار می</w:t>
      </w:r>
      <w:r w:rsidRPr="002614E7">
        <w:rPr>
          <w:rFonts w:hint="cs"/>
          <w:i/>
          <w:sz w:val="23"/>
          <w:szCs w:val="23"/>
          <w:rtl/>
        </w:rPr>
        <w:softHyphen/>
        <w:t>دهد. بنابراین دوام و استحکام ارتباط بین</w:t>
      </w:r>
      <w:r w:rsidRPr="002614E7">
        <w:rPr>
          <w:position w:val="-10"/>
        </w:rPr>
        <w:object w:dxaOrig="279" w:dyaOrig="320" w14:anchorId="08C67C2B">
          <v:shape id="_x0000_i6817" type="#_x0000_t75" style="width:13.9pt;height:15.75pt" o:ole="">
            <v:imagedata r:id="rId11698" o:title=""/>
          </v:shape>
          <o:OLEObject Type="Embed" ProgID="Equation.DSMT4" ShapeID="_x0000_i6817" DrawAspect="Content" ObjectID="_1791380761" r:id="rId11699"/>
        </w:object>
      </w:r>
      <w:r w:rsidRPr="002614E7">
        <w:rPr>
          <w:rFonts w:hint="cs"/>
          <w:i/>
          <w:sz w:val="23"/>
          <w:szCs w:val="23"/>
          <w:rtl/>
        </w:rPr>
        <w:t xml:space="preserve"> و</w:t>
      </w:r>
      <w:r w:rsidRPr="002614E7">
        <w:rPr>
          <w:position w:val="-10"/>
        </w:rPr>
        <w:object w:dxaOrig="240" w:dyaOrig="320" w14:anchorId="419625A2">
          <v:shape id="_x0000_i6818" type="#_x0000_t75" style="width:11.5pt;height:15.75pt" o:ole="">
            <v:imagedata r:id="rId11700" o:title=""/>
          </v:shape>
          <o:OLEObject Type="Embed" ProgID="Equation.DSMT4" ShapeID="_x0000_i6818" DrawAspect="Content" ObjectID="_1791380762" r:id="rId11701"/>
        </w:object>
      </w:r>
      <w:r w:rsidRPr="002614E7">
        <w:rPr>
          <w:rFonts w:hint="cs"/>
          <w:i/>
          <w:sz w:val="23"/>
          <w:szCs w:val="23"/>
          <w:rtl/>
        </w:rPr>
        <w:t>، و بین</w:t>
      </w:r>
      <w:r w:rsidRPr="002614E7">
        <w:rPr>
          <w:position w:val="-10"/>
        </w:rPr>
        <w:object w:dxaOrig="240" w:dyaOrig="320" w14:anchorId="382E918B">
          <v:shape id="_x0000_i6819" type="#_x0000_t75" style="width:11.5pt;height:15.75pt" o:ole="">
            <v:imagedata r:id="rId11702" o:title=""/>
          </v:shape>
          <o:OLEObject Type="Embed" ProgID="Equation.DSMT4" ShapeID="_x0000_i6819" DrawAspect="Content" ObjectID="_1791380763" r:id="rId11703"/>
        </w:object>
      </w:r>
      <w:r w:rsidRPr="002614E7">
        <w:rPr>
          <w:rFonts w:hint="cs"/>
          <w:i/>
          <w:sz w:val="23"/>
          <w:szCs w:val="23"/>
          <w:rtl/>
        </w:rPr>
        <w:t xml:space="preserve"> و</w:t>
      </w:r>
      <w:r w:rsidRPr="002614E7">
        <w:rPr>
          <w:position w:val="-10"/>
        </w:rPr>
        <w:object w:dxaOrig="240" w:dyaOrig="320" w14:anchorId="6D92453B">
          <v:shape id="_x0000_i6820" type="#_x0000_t75" style="width:11.5pt;height:15.75pt" o:ole="">
            <v:imagedata r:id="rId11704" o:title=""/>
          </v:shape>
          <o:OLEObject Type="Embed" ProgID="Equation.DSMT4" ShapeID="_x0000_i6820" DrawAspect="Content" ObjectID="_1791380764" r:id="rId11705"/>
        </w:object>
      </w:r>
      <w:r w:rsidRPr="002614E7">
        <w:rPr>
          <w:rFonts w:hint="cs"/>
          <w:i/>
          <w:sz w:val="23"/>
          <w:szCs w:val="23"/>
          <w:rtl/>
        </w:rPr>
        <w:t xml:space="preserve"> به واسطه</w:t>
      </w:r>
      <w:r w:rsidRPr="002614E7">
        <w:rPr>
          <w:rFonts w:hint="cs"/>
          <w:i/>
          <w:sz w:val="23"/>
          <w:szCs w:val="23"/>
          <w:vertAlign w:val="subscript"/>
          <w:rtl/>
        </w:rPr>
        <w:softHyphen/>
      </w:r>
      <w:r w:rsidRPr="002614E7">
        <w:rPr>
          <w:rFonts w:hint="cs"/>
          <w:i/>
          <w:sz w:val="23"/>
          <w:szCs w:val="23"/>
          <w:rtl/>
        </w:rPr>
        <w:t>ی اثربخشی سیاست پولی تعیین خواهد شد. به طور شهودی، یک افزایش در نرخ بهره</w:t>
      </w:r>
      <w:r w:rsidRPr="002614E7">
        <w:rPr>
          <w:rFonts w:hint="cs"/>
          <w:i/>
          <w:sz w:val="23"/>
          <w:szCs w:val="23"/>
          <w:rtl/>
        </w:rPr>
        <w:softHyphen/>
        <w:t>ی اسمی، باعث افزایش نرخ بهره</w:t>
      </w:r>
      <w:r w:rsidRPr="002614E7">
        <w:rPr>
          <w:rFonts w:hint="cs"/>
          <w:i/>
          <w:sz w:val="23"/>
          <w:szCs w:val="23"/>
          <w:rtl/>
        </w:rPr>
        <w:softHyphen/>
        <w:t xml:space="preserve">ی حقیقی و بنابراین کاهش تولید و شکاف تولید، و به تبع آن کاهش تورم خواهد شد. تابع </w:t>
      </w:r>
      <w:r w:rsidRPr="002614E7">
        <w:rPr>
          <w:i/>
          <w:sz w:val="23"/>
          <w:szCs w:val="23"/>
        </w:rPr>
        <w:t>IS</w:t>
      </w:r>
      <w:r w:rsidRPr="002614E7">
        <w:rPr>
          <w:rFonts w:hint="cs"/>
          <w:i/>
          <w:sz w:val="23"/>
          <w:szCs w:val="23"/>
          <w:rtl/>
        </w:rPr>
        <w:t xml:space="preserve"> کینزین جدید ناظر به آینده است. مبانی تئوریکی آن در یک مدل اقتصادی تعادل عمومی پویای تصادفی معادله</w:t>
      </w:r>
      <w:r w:rsidRPr="002614E7">
        <w:rPr>
          <w:rFonts w:hint="cs"/>
          <w:i/>
          <w:sz w:val="23"/>
          <w:szCs w:val="23"/>
          <w:rtl/>
        </w:rPr>
        <w:softHyphen/>
        <w:t>ی مصرف اویلر می‌باشد. در این جا ابتدا مسئله را بر مبنای مدل سیکل زندگی خانوار نمونه در نظر ‌گرفته و سپس مدل کامل</w:t>
      </w:r>
      <w:r w:rsidRPr="002614E7">
        <w:rPr>
          <w:rFonts w:hint="cs"/>
          <w:i/>
          <w:sz w:val="23"/>
          <w:szCs w:val="23"/>
          <w:rtl/>
        </w:rPr>
        <w:softHyphen/>
        <w:t>تر</w:t>
      </w:r>
      <w:r w:rsidRPr="002614E7">
        <w:rPr>
          <w:rFonts w:hint="cs"/>
          <w:i/>
          <w:sz w:val="23"/>
          <w:szCs w:val="23"/>
          <w:rtl/>
        </w:rPr>
        <w:softHyphen/>
        <w:t xml:space="preserve"> اقتصاد را به کار خواهیم گرفت. </w:t>
      </w:r>
    </w:p>
    <w:p w14:paraId="15B227FA" w14:textId="77777777" w:rsidR="00556C10" w:rsidRPr="002614E7" w:rsidRDefault="00556C10" w:rsidP="00556C10">
      <w:pPr>
        <w:spacing w:line="216" w:lineRule="auto"/>
        <w:rPr>
          <w:i/>
          <w:sz w:val="23"/>
          <w:szCs w:val="23"/>
          <w:rtl/>
        </w:rPr>
      </w:pPr>
      <w:r w:rsidRPr="002614E7">
        <w:rPr>
          <w:rFonts w:hint="cs"/>
          <w:i/>
          <w:sz w:val="23"/>
          <w:szCs w:val="23"/>
          <w:rtl/>
        </w:rPr>
        <w:t>قبلاً نشان دادیم که مسئله</w:t>
      </w:r>
      <w:r w:rsidRPr="002614E7">
        <w:rPr>
          <w:rFonts w:hint="cs"/>
          <w:i/>
          <w:sz w:val="23"/>
          <w:szCs w:val="23"/>
          <w:rtl/>
        </w:rPr>
        <w:softHyphen/>
        <w:t>ی خانوار حداکثر کردن مطلوبیت انتظاری تنزیل شده</w:t>
      </w:r>
      <w:r w:rsidRPr="002614E7">
        <w:rPr>
          <w:rFonts w:hint="cs"/>
          <w:i/>
          <w:sz w:val="23"/>
          <w:szCs w:val="23"/>
          <w:rtl/>
        </w:rPr>
        <w:softHyphen/>
        <w:t>ی بین‌دوره</w:t>
      </w:r>
      <w:r w:rsidRPr="002614E7">
        <w:rPr>
          <w:rFonts w:hint="cs"/>
          <w:i/>
          <w:sz w:val="23"/>
          <w:szCs w:val="23"/>
          <w:rtl/>
        </w:rPr>
        <w:softHyphen/>
        <w:t>ای نسبت به قید بودجه</w:t>
      </w:r>
      <w:r w:rsidRPr="002614E7">
        <w:rPr>
          <w:i/>
          <w:sz w:val="23"/>
          <w:szCs w:val="23"/>
        </w:rPr>
        <w:softHyphen/>
      </w:r>
      <w:r w:rsidRPr="002614E7">
        <w:rPr>
          <w:rFonts w:hint="cs"/>
          <w:i/>
          <w:sz w:val="23"/>
          <w:szCs w:val="23"/>
          <w:rtl/>
        </w:rPr>
        <w:t>ی حقیقی است. بنابراین</w:t>
      </w:r>
    </w:p>
    <w:p w14:paraId="6EB459F0" w14:textId="77777777" w:rsidR="00556C10" w:rsidRPr="002614E7" w:rsidRDefault="00556C10" w:rsidP="00556C10">
      <w:pPr>
        <w:pStyle w:val="MTDisplayEquation"/>
        <w:tabs>
          <w:tab w:val="clear" w:pos="6660"/>
          <w:tab w:val="right" w:pos="0"/>
        </w:tabs>
        <w:spacing w:line="216" w:lineRule="auto"/>
        <w:jc w:val="left"/>
        <w:rPr>
          <w:rFonts w:ascii="Times New Roman" w:hAnsi="Times New Roman" w:cs="B Nazanin"/>
          <w:i/>
          <w:sz w:val="23"/>
          <w:szCs w:val="23"/>
          <w:rtl/>
        </w:rPr>
      </w:pPr>
      <w:r w:rsidRPr="002614E7">
        <w:rPr>
          <w:position w:val="-26"/>
        </w:rPr>
        <w:object w:dxaOrig="3080" w:dyaOrig="620" w14:anchorId="1F76CA11">
          <v:shape id="_x0000_i6821" type="#_x0000_t75" style="width:154.3pt;height:30.85pt" o:ole="">
            <v:imagedata r:id="rId11706" o:title=""/>
          </v:shape>
          <o:OLEObject Type="Embed" ProgID="Equation.DSMT4" ShapeID="_x0000_i6821" DrawAspect="Content" ObjectID="_1791380765" r:id="rId11707"/>
        </w:object>
      </w:r>
      <w:r w:rsidRPr="002614E7">
        <w:rPr>
          <w:rFonts w:ascii="Times New Roman" w:hAnsi="Times New Roman" w:cs="B Nazanin" w:hint="cs"/>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hint="cs"/>
          <w:i/>
          <w:sz w:val="23"/>
          <w:szCs w:val="23"/>
          <w:rtl/>
        </w:rPr>
        <w:t>(۱۴. ۲۰)</w:t>
      </w:r>
    </w:p>
    <w:p w14:paraId="17EB4E44" w14:textId="77777777" w:rsidR="00556C10" w:rsidRPr="002614E7" w:rsidRDefault="00556C10" w:rsidP="00556C10">
      <w:pPr>
        <w:pStyle w:val="MTDisplayEquation"/>
        <w:tabs>
          <w:tab w:val="clear" w:pos="6660"/>
          <w:tab w:val="right" w:pos="0"/>
        </w:tabs>
        <w:spacing w:line="216" w:lineRule="auto"/>
        <w:jc w:val="left"/>
        <w:rPr>
          <w:rFonts w:ascii="Times New Roman" w:hAnsi="Times New Roman" w:cs="B Nazanin"/>
          <w:i/>
          <w:sz w:val="23"/>
          <w:szCs w:val="23"/>
        </w:rPr>
      </w:pPr>
      <w:r w:rsidRPr="002614E7">
        <w:rPr>
          <w:position w:val="-12"/>
        </w:rPr>
        <w:object w:dxaOrig="3280" w:dyaOrig="360" w14:anchorId="2B32BBBA">
          <v:shape id="_x0000_i6822" type="#_x0000_t75" style="width:163.95pt;height:18.15pt" o:ole="">
            <v:imagedata r:id="rId11708" o:title=""/>
          </v:shape>
          <o:OLEObject Type="Embed" ProgID="Equation.DSMT4" ShapeID="_x0000_i6822" DrawAspect="Content" ObjectID="_1791380766" r:id="rId11709"/>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Pr>
        <w:tab/>
      </w:r>
      <w:r>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(۱۴. ۲۱)</w:t>
      </w:r>
    </w:p>
    <w:p w14:paraId="392646C4" w14:textId="77777777" w:rsidR="00556C10" w:rsidRPr="002614E7" w:rsidRDefault="00556C10" w:rsidP="00556C10">
      <w:pPr>
        <w:spacing w:line="216" w:lineRule="auto"/>
        <w:rPr>
          <w:i/>
          <w:sz w:val="23"/>
          <w:szCs w:val="23"/>
          <w:rtl/>
        </w:rPr>
      </w:pPr>
      <w:r w:rsidRPr="002614E7">
        <w:rPr>
          <w:rFonts w:hint="cs"/>
          <w:i/>
          <w:sz w:val="23"/>
          <w:szCs w:val="23"/>
          <w:rtl/>
        </w:rPr>
        <w:lastRenderedPageBreak/>
        <w:t>که در آن</w:t>
      </w:r>
      <w:r w:rsidRPr="002614E7">
        <w:rPr>
          <w:position w:val="-10"/>
        </w:rPr>
        <w:object w:dxaOrig="240" w:dyaOrig="320" w14:anchorId="5458A855">
          <v:shape id="_x0000_i6823" type="#_x0000_t75" style="width:11.5pt;height:15.75pt" o:ole="">
            <v:imagedata r:id="rId11710" o:title=""/>
          </v:shape>
          <o:OLEObject Type="Embed" ProgID="Equation.DSMT4" ShapeID="_x0000_i6823" DrawAspect="Content" ObjectID="_1791380767" r:id="rId11711"/>
        </w:object>
      </w:r>
      <w:r w:rsidRPr="002614E7">
        <w:rPr>
          <w:rFonts w:hint="cs"/>
          <w:i/>
          <w:sz w:val="23"/>
          <w:szCs w:val="23"/>
          <w:rtl/>
        </w:rPr>
        <w:t xml:space="preserve"> درآمد خانوار و برون</w:t>
      </w:r>
      <w:r w:rsidRPr="002614E7">
        <w:rPr>
          <w:rFonts w:hint="cs"/>
          <w:i/>
          <w:sz w:val="23"/>
          <w:szCs w:val="23"/>
          <w:rtl/>
        </w:rPr>
        <w:softHyphen/>
        <w:t>زاست،</w:t>
      </w:r>
      <w:r w:rsidRPr="002614E7">
        <w:rPr>
          <w:position w:val="-10"/>
        </w:rPr>
        <w:object w:dxaOrig="240" w:dyaOrig="320" w14:anchorId="683EB5F2">
          <v:shape id="_x0000_i6824" type="#_x0000_t75" style="width:11.5pt;height:15.75pt" o:ole="">
            <v:imagedata r:id="rId11712" o:title=""/>
          </v:shape>
          <o:OLEObject Type="Embed" ProgID="Equation.DSMT4" ShapeID="_x0000_i6824" DrawAspect="Content" ObjectID="_1791380768" r:id="rId11713"/>
        </w:object>
      </w:r>
      <w:r w:rsidRPr="002614E7">
        <w:rPr>
          <w:rFonts w:hint="cs"/>
          <w:i/>
          <w:sz w:val="23"/>
          <w:szCs w:val="23"/>
          <w:rtl/>
        </w:rPr>
        <w:t xml:space="preserve"> ذخایر دارایی</w:t>
      </w:r>
      <w:r w:rsidRPr="002614E7">
        <w:rPr>
          <w:rFonts w:hint="cs"/>
          <w:i/>
          <w:sz w:val="23"/>
          <w:szCs w:val="23"/>
          <w:rtl/>
        </w:rPr>
        <w:softHyphen/>
        <w:t>های نگهداری شده در شروع دوره و</w:t>
      </w:r>
      <w:r w:rsidRPr="002614E7">
        <w:rPr>
          <w:position w:val="-10"/>
        </w:rPr>
        <w:object w:dxaOrig="180" w:dyaOrig="320" w14:anchorId="48D6E26D">
          <v:shape id="_x0000_i6825" type="#_x0000_t75" style="width:9.1pt;height:15.75pt" o:ole="">
            <v:imagedata r:id="rId11714" o:title=""/>
          </v:shape>
          <o:OLEObject Type="Embed" ProgID="Equation.DSMT4" ShapeID="_x0000_i6825" DrawAspect="Content" ObjectID="_1791380769" r:id="rId11715"/>
        </w:object>
      </w:r>
      <w:r w:rsidRPr="002614E7">
        <w:rPr>
          <w:rFonts w:hint="cs"/>
          <w:i/>
          <w:sz w:val="23"/>
          <w:szCs w:val="23"/>
          <w:rtl/>
        </w:rPr>
        <w:t xml:space="preserve"> نرخ بازدهی آن است. اگر خانوار به طور خالص بدهکار باشد، آنگاه</w:t>
      </w:r>
      <w:r w:rsidRPr="002614E7">
        <w:rPr>
          <w:position w:val="-10"/>
        </w:rPr>
        <w:object w:dxaOrig="740" w:dyaOrig="320" w14:anchorId="76B93D72">
          <v:shape id="_x0000_i6826" type="#_x0000_t75" style="width:36.9pt;height:15.75pt" o:ole="">
            <v:imagedata r:id="rId11716" o:title=""/>
          </v:shape>
          <o:OLEObject Type="Embed" ProgID="Equation.DSMT4" ShapeID="_x0000_i6826" DrawAspect="Content" ObjectID="_1791380770" r:id="rId11717"/>
        </w:object>
      </w:r>
      <w:r w:rsidRPr="002614E7">
        <w:rPr>
          <w:rFonts w:hint="cs"/>
          <w:i/>
          <w:sz w:val="23"/>
          <w:szCs w:val="23"/>
          <w:rtl/>
        </w:rPr>
        <w:t xml:space="preserve"> خواهد بود. از این مسئله معادله</w:t>
      </w:r>
      <w:r w:rsidRPr="002614E7">
        <w:rPr>
          <w:rFonts w:hint="cs"/>
          <w:i/>
          <w:sz w:val="23"/>
          <w:szCs w:val="23"/>
          <w:rtl/>
        </w:rPr>
        <w:softHyphen/>
        <w:t>ی اویلر زیر به دست خواهد آمد:</w:t>
      </w:r>
    </w:p>
    <w:p w14:paraId="0C75B2A9"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30"/>
        </w:rPr>
        <w:object w:dxaOrig="2439" w:dyaOrig="720" w14:anchorId="3B77340D">
          <v:shape id="_x0000_i6827" type="#_x0000_t75" style="width:122.2pt;height:36.3pt" o:ole="">
            <v:imagedata r:id="rId11718" o:title=""/>
          </v:shape>
          <o:OLEObject Type="Embed" ProgID="Equation.DSMT4" ShapeID="_x0000_i6827" DrawAspect="Content" ObjectID="_1791380771" r:id="rId11719"/>
        </w:object>
      </w:r>
    </w:p>
    <w:p w14:paraId="1A53AEA0" w14:textId="77777777" w:rsidR="00556C10" w:rsidRPr="002614E7" w:rsidRDefault="00556C10" w:rsidP="00556C10">
      <w:pPr>
        <w:spacing w:line="216" w:lineRule="auto"/>
        <w:rPr>
          <w:i/>
          <w:sz w:val="23"/>
          <w:szCs w:val="23"/>
          <w:rtl/>
        </w:rPr>
      </w:pPr>
      <w:r w:rsidRPr="002614E7">
        <w:rPr>
          <w:rFonts w:hint="cs"/>
          <w:i/>
          <w:sz w:val="23"/>
          <w:szCs w:val="23"/>
          <w:rtl/>
        </w:rPr>
        <w:t xml:space="preserve">به طور تقریبی مطلوبیت نهایی حاصل از مصرف در زمان </w:t>
      </w:r>
      <w:r w:rsidRPr="002614E7">
        <w:rPr>
          <w:i/>
          <w:sz w:val="23"/>
          <w:szCs w:val="23"/>
        </w:rPr>
        <w:t>t+1</w:t>
      </w:r>
      <w:r w:rsidRPr="002614E7">
        <w:rPr>
          <w:rFonts w:hint="cs"/>
          <w:i/>
          <w:sz w:val="23"/>
          <w:szCs w:val="23"/>
          <w:rtl/>
        </w:rPr>
        <w:t xml:space="preserve"> برابر است با:</w:t>
      </w:r>
    </w:p>
    <w:p w14:paraId="175EF091"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2"/>
        </w:rPr>
        <w:object w:dxaOrig="2380" w:dyaOrig="360" w14:anchorId="6714B774">
          <v:shape id="_x0000_i6828" type="#_x0000_t75" style="width:119.2pt;height:18.15pt" o:ole="">
            <v:imagedata r:id="rId11720" o:title=""/>
          </v:shape>
          <o:OLEObject Type="Embed" ProgID="Equation.DSMT4" ShapeID="_x0000_i6828" DrawAspect="Content" ObjectID="_1791380772" r:id="rId11721"/>
        </w:object>
      </w:r>
    </w:p>
    <w:p w14:paraId="303FA63F" w14:textId="77777777" w:rsidR="00556C10" w:rsidRPr="002614E7" w:rsidRDefault="00556C10" w:rsidP="00556C10">
      <w:pPr>
        <w:spacing w:line="216" w:lineRule="auto"/>
        <w:rPr>
          <w:i/>
          <w:sz w:val="23"/>
          <w:szCs w:val="23"/>
          <w:rtl/>
        </w:rPr>
      </w:pPr>
      <w:r w:rsidRPr="002614E7">
        <w:rPr>
          <w:rFonts w:hint="cs"/>
          <w:i/>
          <w:sz w:val="23"/>
          <w:szCs w:val="23"/>
          <w:rtl/>
        </w:rPr>
        <w:t>بنابراین مصرف از رابطه</w:t>
      </w:r>
      <w:r w:rsidRPr="002614E7">
        <w:rPr>
          <w:rFonts w:hint="cs"/>
          <w:i/>
          <w:sz w:val="23"/>
          <w:szCs w:val="23"/>
          <w:rtl/>
        </w:rPr>
        <w:softHyphen/>
        <w:t>ی زیر بدست خواهد آید،</w:t>
      </w:r>
    </w:p>
    <w:p w14:paraId="14D981E0" w14:textId="77777777" w:rsidR="00556C10" w:rsidRPr="002614E7" w:rsidRDefault="00556C10" w:rsidP="00556C10">
      <w:pPr>
        <w:tabs>
          <w:tab w:val="left" w:pos="0"/>
        </w:tabs>
        <w:bidi w:val="0"/>
        <w:spacing w:line="216" w:lineRule="auto"/>
        <w:rPr>
          <w:i/>
          <w:sz w:val="23"/>
          <w:szCs w:val="23"/>
        </w:rPr>
      </w:pPr>
      <w:r w:rsidRPr="002614E7">
        <w:rPr>
          <w:position w:val="-22"/>
        </w:rPr>
        <w:object w:dxaOrig="2280" w:dyaOrig="560" w14:anchorId="20CECA17">
          <v:shape id="_x0000_i6829" type="#_x0000_t75" style="width:113.75pt;height:27.85pt" o:ole="">
            <v:imagedata r:id="rId11722" o:title=""/>
          </v:shape>
          <o:OLEObject Type="Embed" ProgID="Equation.DSMT4" ShapeID="_x0000_i6829" DrawAspect="Content" ObjectID="_1791380773" r:id="rId11723"/>
        </w:object>
      </w:r>
      <w:r w:rsidRPr="002614E7">
        <w:rPr>
          <w:i/>
          <w:sz w:val="23"/>
          <w:szCs w:val="23"/>
          <w:rtl/>
        </w:rPr>
        <w:tab/>
      </w:r>
      <w:r w:rsidRPr="002614E7">
        <w:rPr>
          <w:i/>
          <w:sz w:val="23"/>
          <w:szCs w:val="23"/>
          <w:rtl/>
        </w:rPr>
        <w:tab/>
      </w:r>
      <w:r w:rsidRPr="002614E7">
        <w:rPr>
          <w:i/>
          <w:sz w:val="23"/>
          <w:szCs w:val="23"/>
          <w:rtl/>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tl/>
        </w:rPr>
        <w:tab/>
      </w:r>
      <w:r w:rsidRPr="002614E7">
        <w:rPr>
          <w:i/>
          <w:sz w:val="23"/>
          <w:szCs w:val="23"/>
          <w:rtl/>
        </w:rPr>
        <w:tab/>
      </w:r>
      <w:r>
        <w:rPr>
          <w:i/>
          <w:sz w:val="23"/>
          <w:szCs w:val="23"/>
          <w:rtl/>
        </w:rPr>
        <w:tab/>
      </w:r>
      <w:r w:rsidRPr="002614E7">
        <w:rPr>
          <w:i/>
          <w:sz w:val="23"/>
          <w:szCs w:val="23"/>
          <w:rtl/>
        </w:rPr>
        <w:tab/>
      </w:r>
      <w:r w:rsidRPr="002614E7">
        <w:rPr>
          <w:rFonts w:hint="cs"/>
          <w:i/>
          <w:sz w:val="23"/>
          <w:szCs w:val="23"/>
          <w:rtl/>
        </w:rPr>
        <w:t>(۱۴. ۲۲)</w:t>
      </w:r>
    </w:p>
    <w:p w14:paraId="775830AF" w14:textId="77777777" w:rsidR="00556C10" w:rsidRPr="002614E7" w:rsidRDefault="00556C10" w:rsidP="00556C10">
      <w:pPr>
        <w:tabs>
          <w:tab w:val="left" w:pos="7110"/>
          <w:tab w:val="right" w:pos="7157"/>
        </w:tabs>
        <w:spacing w:line="216" w:lineRule="auto"/>
        <w:rPr>
          <w:i/>
          <w:sz w:val="23"/>
          <w:szCs w:val="23"/>
          <w:rtl/>
        </w:rPr>
      </w:pPr>
      <w:r w:rsidRPr="002614E7">
        <w:rPr>
          <w:rFonts w:hint="cs"/>
          <w:i/>
          <w:sz w:val="23"/>
          <w:szCs w:val="23"/>
          <w:rtl/>
        </w:rPr>
        <w:t xml:space="preserve">که در آن </w:t>
      </w:r>
      <w:r w:rsidRPr="002614E7">
        <w:rPr>
          <w:position w:val="-22"/>
        </w:rPr>
        <w:object w:dxaOrig="980" w:dyaOrig="560" w14:anchorId="382B8BE1">
          <v:shape id="_x0000_i6830" type="#_x0000_t75" style="width:49pt;height:27.85pt" o:ole="">
            <v:imagedata r:id="rId11724" o:title=""/>
          </v:shape>
          <o:OLEObject Type="Embed" ProgID="Equation.DSMT4" ShapeID="_x0000_i6830" DrawAspect="Content" ObjectID="_1791380774" r:id="rId11725"/>
        </w:object>
      </w:r>
      <w:r w:rsidRPr="002614E7">
        <w:rPr>
          <w:i/>
          <w:sz w:val="23"/>
          <w:szCs w:val="23"/>
        </w:rPr>
        <w:t xml:space="preserve"> </w:t>
      </w:r>
      <w:r w:rsidRPr="002614E7">
        <w:rPr>
          <w:rFonts w:hint="cs"/>
          <w:i/>
          <w:sz w:val="23"/>
          <w:szCs w:val="23"/>
          <w:rtl/>
        </w:rPr>
        <w:t>ضریب ریسک گریزی نسبی است و فرض می</w:t>
      </w:r>
      <w:r w:rsidRPr="002614E7">
        <w:rPr>
          <w:rFonts w:hint="cs"/>
          <w:i/>
          <w:sz w:val="23"/>
          <w:szCs w:val="23"/>
          <w:rtl/>
        </w:rPr>
        <w:softHyphen/>
        <w:t>شود که ثابت است. این معادله را می</w:t>
      </w:r>
      <w:r w:rsidRPr="002614E7">
        <w:rPr>
          <w:rFonts w:hint="cs"/>
          <w:i/>
          <w:sz w:val="23"/>
          <w:szCs w:val="23"/>
          <w:rtl/>
        </w:rPr>
        <w:softHyphen/>
        <w:t>توان به صورت زیر نیز بازنویسی کرد</w:t>
      </w:r>
    </w:p>
    <w:p w14:paraId="0D50A044"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tl/>
        </w:rPr>
      </w:pPr>
      <w:r w:rsidRPr="002614E7">
        <w:rPr>
          <w:position w:val="-22"/>
        </w:rPr>
        <w:object w:dxaOrig="2680" w:dyaOrig="560" w14:anchorId="79A20110">
          <v:shape id="_x0000_i6831" type="#_x0000_t75" style="width:133.7pt;height:27.85pt" o:ole="">
            <v:imagedata r:id="rId11726" o:title=""/>
          </v:shape>
          <o:OLEObject Type="Embed" ProgID="Equation.DSMT4" ShapeID="_x0000_i6831" DrawAspect="Content" ObjectID="_1791380775" r:id="rId11727"/>
        </w:object>
      </w:r>
      <w:r w:rsidRPr="002614E7">
        <w:rPr>
          <w:rFonts w:ascii="Times New Roman" w:hAnsi="Times New Roman" w:cs="B Nazanin" w:hint="cs"/>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hint="cs"/>
          <w:i/>
          <w:sz w:val="23"/>
          <w:szCs w:val="23"/>
          <w:rtl/>
        </w:rPr>
        <w:t>(۱۴. ۲۳)</w:t>
      </w:r>
    </w:p>
    <w:p w14:paraId="6920F963" w14:textId="77777777" w:rsidR="00556C10" w:rsidRPr="002614E7" w:rsidRDefault="00556C10" w:rsidP="00556C10">
      <w:pPr>
        <w:spacing w:line="216" w:lineRule="auto"/>
        <w:rPr>
          <w:i/>
          <w:sz w:val="23"/>
          <w:szCs w:val="23"/>
          <w:rtl/>
        </w:rPr>
      </w:pPr>
      <w:r w:rsidRPr="002614E7">
        <w:rPr>
          <w:rFonts w:hint="cs"/>
          <w:i/>
          <w:sz w:val="23"/>
          <w:szCs w:val="23"/>
          <w:rtl/>
        </w:rPr>
        <w:t>و یا برحسب انحرافات از مقادیر تعادلی بلندمدت یا وضعیت یکنواخت خواهیم داشت:</w:t>
      </w:r>
    </w:p>
    <w:p w14:paraId="310C3D02"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tl/>
        </w:rPr>
      </w:pPr>
      <w:r w:rsidRPr="002614E7">
        <w:rPr>
          <w:position w:val="-22"/>
        </w:rPr>
        <w:object w:dxaOrig="4099" w:dyaOrig="560" w14:anchorId="570FCA35">
          <v:shape id="_x0000_i6832" type="#_x0000_t75" style="width:205.1pt;height:27.85pt" o:ole="">
            <v:imagedata r:id="rId11728" o:title=""/>
          </v:shape>
          <o:OLEObject Type="Embed" ProgID="Equation.DSMT4" ShapeID="_x0000_i6832" DrawAspect="Content" ObjectID="_1791380776" r:id="rId11729"/>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Pr>
        <w:tab/>
      </w:r>
      <w:r>
        <w:rPr>
          <w:rFonts w:ascii="Times New Roman" w:hAnsi="Times New Roman"/>
          <w:i/>
          <w:sz w:val="23"/>
          <w:szCs w:val="23"/>
          <w:rtl/>
        </w:rPr>
        <w:tab/>
      </w:r>
      <w:r w:rsidRPr="002614E7">
        <w:rPr>
          <w:rFonts w:ascii="Times New Roman" w:hAnsi="Times New Roman" w:cs="B Nazanin" w:hint="cs"/>
          <w:i/>
          <w:sz w:val="23"/>
          <w:szCs w:val="23"/>
          <w:rtl/>
        </w:rPr>
        <w:tab/>
        <w:t>(۱۴. ۲۴)</w:t>
      </w:r>
    </w:p>
    <w:p w14:paraId="3D8D3ABC" w14:textId="77777777" w:rsidR="00556C10" w:rsidRPr="002614E7" w:rsidRDefault="00556C10" w:rsidP="00556C10">
      <w:pPr>
        <w:spacing w:line="216" w:lineRule="auto"/>
        <w:rPr>
          <w:i/>
          <w:sz w:val="23"/>
          <w:szCs w:val="23"/>
        </w:rPr>
      </w:pPr>
      <w:r w:rsidRPr="002614E7">
        <w:rPr>
          <w:rFonts w:hint="cs"/>
          <w:i/>
          <w:sz w:val="23"/>
          <w:szCs w:val="23"/>
          <w:rtl/>
        </w:rPr>
        <w:t>که در آن</w:t>
      </w:r>
      <w:r w:rsidRPr="002614E7">
        <w:rPr>
          <w:position w:val="-10"/>
        </w:rPr>
        <w:object w:dxaOrig="200" w:dyaOrig="320" w14:anchorId="13CD35CA">
          <v:shape id="_x0000_i6833" type="#_x0000_t75" style="width:10.3pt;height:15.75pt" o:ole="">
            <v:imagedata r:id="rId11730" o:title=""/>
          </v:shape>
          <o:OLEObject Type="Embed" ProgID="Equation.DSMT4" ShapeID="_x0000_i6833" DrawAspect="Content" ObjectID="_1791380777" r:id="rId11731"/>
        </w:object>
      </w:r>
      <w:r w:rsidRPr="002614E7">
        <w:rPr>
          <w:rFonts w:hint="cs"/>
          <w:i/>
          <w:sz w:val="23"/>
          <w:szCs w:val="23"/>
          <w:rtl/>
        </w:rPr>
        <w:t xml:space="preserve"> مقدار مصرف در وضعیت یکنواخت است که ممکن است همانند مدل</w:t>
      </w:r>
      <w:r w:rsidRPr="002614E7">
        <w:rPr>
          <w:rFonts w:hint="cs"/>
          <w:i/>
          <w:sz w:val="23"/>
          <w:szCs w:val="23"/>
          <w:rtl/>
        </w:rPr>
        <w:softHyphen/>
        <w:t>های رشد در طی زمان تغییر کند، و</w:t>
      </w:r>
      <w:r w:rsidRPr="002614E7">
        <w:rPr>
          <w:position w:val="-6"/>
        </w:rPr>
        <w:object w:dxaOrig="279" w:dyaOrig="260" w14:anchorId="42953464">
          <v:shape id="_x0000_i6834" type="#_x0000_t75" style="width:13.9pt;height:13.3pt" o:ole="">
            <v:imagedata r:id="rId11732" o:title=""/>
          </v:shape>
          <o:OLEObject Type="Embed" ProgID="Equation.DSMT4" ShapeID="_x0000_i6834" DrawAspect="Content" ObjectID="_1791380778" r:id="rId11733"/>
        </w:object>
      </w:r>
      <w:r w:rsidRPr="002614E7">
        <w:rPr>
          <w:rFonts w:hint="cs"/>
          <w:i/>
          <w:sz w:val="23"/>
          <w:szCs w:val="23"/>
          <w:rtl/>
        </w:rPr>
        <w:t>برابر است با مقدار نرخ بهره</w:t>
      </w:r>
      <w:r w:rsidRPr="002614E7">
        <w:rPr>
          <w:rFonts w:hint="cs"/>
          <w:i/>
          <w:sz w:val="23"/>
          <w:szCs w:val="23"/>
          <w:rtl/>
        </w:rPr>
        <w:softHyphen/>
        <w:t>ی حقیقی در وضعیت یکنواخت.</w:t>
      </w:r>
    </w:p>
    <w:p w14:paraId="6E13234C" w14:textId="77777777" w:rsidR="00556C10" w:rsidRPr="002614E7" w:rsidRDefault="00556C10" w:rsidP="00556C10">
      <w:pPr>
        <w:spacing w:line="216" w:lineRule="auto"/>
        <w:rPr>
          <w:i/>
          <w:sz w:val="23"/>
          <w:szCs w:val="23"/>
          <w:rtl/>
        </w:rPr>
      </w:pPr>
      <w:r w:rsidRPr="002614E7">
        <w:rPr>
          <w:rFonts w:hint="cs"/>
          <w:i/>
          <w:sz w:val="23"/>
          <w:szCs w:val="23"/>
          <w:rtl/>
        </w:rPr>
        <w:t xml:space="preserve">برای آن که تابع </w:t>
      </w:r>
      <w:r w:rsidRPr="002614E7">
        <w:rPr>
          <w:i/>
          <w:sz w:val="23"/>
          <w:szCs w:val="23"/>
        </w:rPr>
        <w:t>IS</w:t>
      </w:r>
      <w:r w:rsidRPr="002614E7">
        <w:rPr>
          <w:rFonts w:hint="cs"/>
          <w:i/>
          <w:sz w:val="23"/>
          <w:szCs w:val="23"/>
          <w:rtl/>
        </w:rPr>
        <w:t xml:space="preserve"> کینزین جدید و یا رابطه</w:t>
      </w:r>
      <w:r w:rsidRPr="002614E7">
        <w:rPr>
          <w:rFonts w:hint="cs"/>
          <w:i/>
          <w:sz w:val="23"/>
          <w:szCs w:val="23"/>
          <w:rtl/>
        </w:rPr>
        <w:softHyphen/>
        <w:t xml:space="preserve">ی </w:t>
      </w:r>
      <w:r w:rsidRPr="002614E7">
        <w:rPr>
          <w:rFonts w:eastAsiaTheme="minorEastAsia" w:hint="cs"/>
          <w:i/>
          <w:sz w:val="23"/>
          <w:szCs w:val="23"/>
          <w:rtl/>
        </w:rPr>
        <w:t>(۱۴. ۱۹</w:t>
      </w:r>
      <w:r w:rsidRPr="002614E7">
        <w:rPr>
          <w:rFonts w:hint="cs"/>
          <w:i/>
          <w:sz w:val="23"/>
          <w:szCs w:val="23"/>
          <w:rtl/>
        </w:rPr>
        <w:t xml:space="preserve"> ) را به دست آوریم، می‌بایست معادله‌ی اویلر را با قید بودجه</w:t>
      </w:r>
      <w:r w:rsidRPr="002614E7">
        <w:rPr>
          <w:rFonts w:hint="cs"/>
          <w:i/>
          <w:sz w:val="23"/>
          <w:szCs w:val="23"/>
          <w:rtl/>
        </w:rPr>
        <w:softHyphen/>
        <w:t>ی خانوار ترکیب کنیم. تقریب لگاریتم-خطی قید بودجه</w:t>
      </w:r>
      <w:r w:rsidRPr="002614E7">
        <w:rPr>
          <w:rFonts w:hint="cs"/>
          <w:i/>
          <w:sz w:val="23"/>
          <w:szCs w:val="23"/>
          <w:rtl/>
        </w:rPr>
        <w:softHyphen/>
        <w:t>ی خانوار برابر است با:</w:t>
      </w:r>
    </w:p>
    <w:p w14:paraId="6F3E151D"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tl/>
        </w:rPr>
      </w:pPr>
      <w:r w:rsidRPr="002614E7">
        <w:rPr>
          <w:position w:val="-26"/>
        </w:rPr>
        <w:object w:dxaOrig="3900" w:dyaOrig="600" w14:anchorId="7107A808">
          <v:shape id="_x0000_i6835" type="#_x0000_t75" style="width:194.8pt;height:29.65pt" o:ole="">
            <v:imagedata r:id="rId11734" o:title=""/>
          </v:shape>
          <o:OLEObject Type="Embed" ProgID="Equation.DSMT4" ShapeID="_x0000_i6835" DrawAspect="Content" ObjectID="_1791380779" r:id="rId11735"/>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Pr>
          <w:rFonts w:ascii="Times New Roman" w:hAnsi="Times New Roman"/>
          <w:i/>
          <w:sz w:val="23"/>
          <w:szCs w:val="23"/>
          <w:rtl/>
        </w:rPr>
        <w:tab/>
      </w:r>
      <w:r w:rsidRPr="002614E7">
        <w:rPr>
          <w:rFonts w:ascii="Times New Roman" w:hAnsi="Times New Roman"/>
          <w:i/>
          <w:sz w:val="23"/>
          <w:szCs w:val="23"/>
        </w:rPr>
        <w:tab/>
      </w:r>
      <w:r w:rsidRPr="002614E7">
        <w:rPr>
          <w:rFonts w:ascii="Times New Roman" w:hAnsi="Times New Roman"/>
          <w:i/>
          <w:sz w:val="23"/>
          <w:szCs w:val="23"/>
          <w:rtl/>
        </w:rPr>
        <w:tab/>
      </w:r>
      <w:r w:rsidRPr="002614E7">
        <w:rPr>
          <w:rFonts w:ascii="Times New Roman" w:hAnsi="Times New Roman" w:cs="B Nazanin" w:hint="cs"/>
          <w:i/>
          <w:sz w:val="23"/>
          <w:szCs w:val="23"/>
          <w:rtl/>
        </w:rPr>
        <w:t>(۱۴. ۲۵)</w:t>
      </w:r>
    </w:p>
    <w:p w14:paraId="3BBCF923" w14:textId="77777777" w:rsidR="00556C10" w:rsidRPr="002614E7" w:rsidRDefault="00556C10" w:rsidP="00556C10">
      <w:pPr>
        <w:spacing w:line="216" w:lineRule="auto"/>
        <w:rPr>
          <w:i/>
          <w:sz w:val="23"/>
          <w:szCs w:val="23"/>
          <w:rtl/>
        </w:rPr>
      </w:pPr>
      <w:r w:rsidRPr="002614E7">
        <w:rPr>
          <w:rFonts w:hint="cs"/>
          <w:i/>
          <w:sz w:val="23"/>
          <w:szCs w:val="23"/>
          <w:rtl/>
        </w:rPr>
        <w:t xml:space="preserve"> که در آن فرض می‌شود نسبت دارایی</w:t>
      </w:r>
      <w:r w:rsidRPr="002614E7">
        <w:rPr>
          <w:i/>
          <w:sz w:val="23"/>
          <w:szCs w:val="23"/>
        </w:rPr>
        <w:softHyphen/>
      </w:r>
      <w:r w:rsidRPr="002614E7">
        <w:rPr>
          <w:rFonts w:hint="cs"/>
          <w:i/>
          <w:sz w:val="23"/>
          <w:szCs w:val="23"/>
          <w:rtl/>
        </w:rPr>
        <w:t>ها به درآمد و همچنین مصرف به درآمد در وضعیت یکنواخت ثابت است. با ترکیب معادلات (۱۴. ۲۴) و (۱۴. ۲۵) برای حذف متغیر مصرف خواهیم داشت.</w:t>
      </w:r>
    </w:p>
    <w:p w14:paraId="5BAE9A71" w14:textId="77777777" w:rsidR="00556C10" w:rsidRPr="002614E7" w:rsidRDefault="00556C10" w:rsidP="00556C10">
      <w:pPr>
        <w:pStyle w:val="MTDisplayEquation"/>
        <w:tabs>
          <w:tab w:val="clear" w:pos="6660"/>
          <w:tab w:val="right" w:pos="0"/>
        </w:tabs>
        <w:spacing w:line="216" w:lineRule="auto"/>
        <w:jc w:val="left"/>
        <w:rPr>
          <w:rFonts w:ascii="Times New Roman" w:hAnsi="Times New Roman" w:cs="B Nazanin"/>
          <w:i/>
          <w:sz w:val="23"/>
          <w:szCs w:val="23"/>
          <w:rtl/>
        </w:rPr>
      </w:pPr>
      <w:r w:rsidRPr="002614E7">
        <w:rPr>
          <w:position w:val="-56"/>
        </w:rPr>
        <w:object w:dxaOrig="4640" w:dyaOrig="1219" w14:anchorId="4DC63497">
          <v:shape id="_x0000_i6836" type="#_x0000_t75" style="width:232.35pt;height:61.1pt" o:ole="">
            <v:imagedata r:id="rId11736" o:title=""/>
          </v:shape>
          <o:OLEObject Type="Embed" ProgID="Equation.DSMT4" ShapeID="_x0000_i6836" DrawAspect="Content" ObjectID="_1791380780" r:id="rId11737"/>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Pr>
        <w:tab/>
      </w:r>
      <w:r>
        <w:rPr>
          <w:rFonts w:ascii="Times New Roman" w:hAnsi="Times New Roman"/>
          <w:i/>
          <w:sz w:val="23"/>
          <w:szCs w:val="23"/>
          <w:rtl/>
        </w:rPr>
        <w:tab/>
      </w:r>
      <w:r w:rsidRPr="002614E7">
        <w:rPr>
          <w:rFonts w:ascii="Times New Roman" w:hAnsi="Times New Roman" w:cs="B Nazanin" w:hint="cs"/>
          <w:i/>
          <w:sz w:val="23"/>
          <w:szCs w:val="23"/>
          <w:rtl/>
        </w:rPr>
        <w:tab/>
        <w:t>(۱۴. ۲۶)</w:t>
      </w:r>
    </w:p>
    <w:p w14:paraId="5467BC03" w14:textId="77777777" w:rsidR="00556C10" w:rsidRPr="002614E7" w:rsidRDefault="00556C10" w:rsidP="00556C10">
      <w:pPr>
        <w:spacing w:line="216" w:lineRule="auto"/>
        <w:rPr>
          <w:i/>
          <w:sz w:val="23"/>
          <w:szCs w:val="23"/>
          <w:rtl/>
        </w:rPr>
      </w:pPr>
      <w:r w:rsidRPr="002614E7">
        <w:rPr>
          <w:rFonts w:hint="cs"/>
          <w:i/>
          <w:sz w:val="23"/>
          <w:szCs w:val="23"/>
          <w:rtl/>
        </w:rPr>
        <w:t>قبلاً اشاره کردیم که در اقتصاد بسته، خالص دارایی</w:t>
      </w:r>
      <w:r w:rsidRPr="002614E7">
        <w:rPr>
          <w:rFonts w:hint="cs"/>
          <w:i/>
          <w:sz w:val="23"/>
          <w:szCs w:val="23"/>
          <w:rtl/>
        </w:rPr>
        <w:softHyphen/>
        <w:t>های کل برابر صفر است. اگر</w:t>
      </w:r>
      <w:r w:rsidRPr="002614E7">
        <w:rPr>
          <w:position w:val="-6"/>
        </w:rPr>
        <w:object w:dxaOrig="200" w:dyaOrig="200" w14:anchorId="47DC5E18">
          <v:shape id="_x0000_i6837" type="#_x0000_t75" style="width:10.3pt;height:10.3pt" o:ole="">
            <v:imagedata r:id="rId11738" o:title=""/>
          </v:shape>
          <o:OLEObject Type="Embed" ProgID="Equation.DSMT4" ShapeID="_x0000_i6837" DrawAspect="Content" ObjectID="_1791380781" r:id="rId11739"/>
        </w:object>
      </w:r>
      <w:r w:rsidRPr="002614E7">
        <w:rPr>
          <w:rFonts w:hint="cs"/>
          <w:i/>
          <w:sz w:val="23"/>
          <w:szCs w:val="23"/>
          <w:rtl/>
        </w:rPr>
        <w:t xml:space="preserve"> را برابر صفر در نظر بگیریم آنگاه معادله</w:t>
      </w:r>
      <w:r w:rsidRPr="002614E7">
        <w:rPr>
          <w:rFonts w:hint="cs"/>
          <w:i/>
          <w:sz w:val="23"/>
          <w:szCs w:val="23"/>
          <w:rtl/>
        </w:rPr>
        <w:softHyphen/>
        <w:t>ی (۲۶.۱۴) برابر خواهد بود با:</w:t>
      </w:r>
    </w:p>
    <w:p w14:paraId="2AA4AC90"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tl/>
        </w:rPr>
      </w:pPr>
      <w:r w:rsidRPr="002614E7">
        <w:rPr>
          <w:position w:val="-26"/>
        </w:rPr>
        <w:object w:dxaOrig="4480" w:dyaOrig="600" w14:anchorId="6C12A55E">
          <v:shape id="_x0000_i6838" type="#_x0000_t75" style="width:223.85pt;height:29.65pt" o:ole="">
            <v:imagedata r:id="rId11740" o:title=""/>
          </v:shape>
          <o:OLEObject Type="Embed" ProgID="Equation.DSMT4" ShapeID="_x0000_i6838" DrawAspect="Content" ObjectID="_1791380782" r:id="rId11741"/>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Pr>
        <w:tab/>
      </w:r>
      <w:r>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(۱۴. ۲۷)</w:t>
      </w:r>
    </w:p>
    <w:p w14:paraId="0A7CD241" w14:textId="77777777" w:rsidR="00556C10" w:rsidRPr="002614E7" w:rsidRDefault="00556C10" w:rsidP="00556C10">
      <w:pPr>
        <w:spacing w:line="216" w:lineRule="auto"/>
        <w:rPr>
          <w:i/>
          <w:sz w:val="23"/>
          <w:szCs w:val="23"/>
          <w:rtl/>
        </w:rPr>
      </w:pPr>
      <w:r w:rsidRPr="002614E7">
        <w:rPr>
          <w:rFonts w:hint="cs"/>
          <w:i/>
          <w:sz w:val="23"/>
          <w:szCs w:val="23"/>
          <w:rtl/>
        </w:rPr>
        <w:lastRenderedPageBreak/>
        <w:t>چنانچه درآمد خانوار را برابر با تولید در اقتصاد در نظر بگیریم، آنگاه معادله</w:t>
      </w:r>
      <w:r w:rsidRPr="002614E7">
        <w:rPr>
          <w:rFonts w:hint="cs"/>
          <w:i/>
          <w:sz w:val="23"/>
          <w:szCs w:val="23"/>
          <w:rtl/>
        </w:rPr>
        <w:softHyphen/>
        <w:t>ی(۱۴. ۲۷) شبیه معادله (۱۴. ۱۹) خواهد بود. و اگر در تعادل متغیرهای اقتصاد بدون تغییر باشند، آنگاه جملات</w:t>
      </w:r>
      <w:r w:rsidRPr="002614E7">
        <w:rPr>
          <w:position w:val="-12"/>
        </w:rPr>
        <w:object w:dxaOrig="560" w:dyaOrig="340" w14:anchorId="225F0182">
          <v:shape id="_x0000_i6839" type="#_x0000_t75" style="width:27.85pt;height:16.95pt" o:ole="">
            <v:imagedata r:id="rId11742" o:title=""/>
          </v:shape>
          <o:OLEObject Type="Embed" ProgID="Equation.DSMT4" ShapeID="_x0000_i6839" DrawAspect="Content" ObjectID="_1791380783" r:id="rId11743"/>
        </w:object>
      </w:r>
      <w:r w:rsidRPr="002614E7">
        <w:rPr>
          <w:i/>
          <w:sz w:val="23"/>
          <w:szCs w:val="23"/>
        </w:rPr>
        <w:t xml:space="preserve"> </w:t>
      </w:r>
      <w:r w:rsidRPr="002614E7">
        <w:rPr>
          <w:rFonts w:hint="cs"/>
          <w:i/>
          <w:sz w:val="23"/>
          <w:szCs w:val="23"/>
          <w:rtl/>
        </w:rPr>
        <w:t xml:space="preserve">و </w:t>
      </w:r>
      <w:r w:rsidRPr="002614E7">
        <w:rPr>
          <w:position w:val="-12"/>
        </w:rPr>
        <w:object w:dxaOrig="700" w:dyaOrig="340" w14:anchorId="31C9A388">
          <v:shape id="_x0000_i6840" type="#_x0000_t75" style="width:35.1pt;height:16.95pt" o:ole="">
            <v:imagedata r:id="rId11744" o:title=""/>
          </v:shape>
          <o:OLEObject Type="Embed" ProgID="Equation.DSMT4" ShapeID="_x0000_i6840" DrawAspect="Content" ObjectID="_1791380784" r:id="rId11745"/>
        </w:object>
      </w:r>
      <w:r w:rsidRPr="002614E7">
        <w:rPr>
          <w:rFonts w:hint="cs"/>
          <w:i/>
          <w:sz w:val="23"/>
          <w:szCs w:val="23"/>
          <w:rtl/>
        </w:rPr>
        <w:t xml:space="preserve"> را می توان از معادله</w:t>
      </w:r>
      <w:r w:rsidRPr="002614E7">
        <w:rPr>
          <w:rFonts w:hint="cs"/>
          <w:i/>
          <w:sz w:val="23"/>
          <w:szCs w:val="23"/>
          <w:rtl/>
        </w:rPr>
        <w:softHyphen/>
        <w:t>ی (۱۴. ۲۷) حذف نمود. به</w:t>
      </w:r>
      <w:r w:rsidRPr="002614E7">
        <w:rPr>
          <w:rFonts w:hint="cs"/>
          <w:i/>
          <w:sz w:val="23"/>
          <w:szCs w:val="23"/>
          <w:rtl/>
        </w:rPr>
        <w:softHyphen/>
        <w:t>طورکلی، در یک اقتصاد باز، خالص دارایی</w:t>
      </w:r>
      <w:r w:rsidRPr="002614E7">
        <w:rPr>
          <w:rFonts w:hint="cs"/>
          <w:i/>
          <w:sz w:val="23"/>
          <w:szCs w:val="23"/>
          <w:rtl/>
        </w:rPr>
        <w:softHyphen/>
        <w:t>های خانوار لزوماً برابر با صفر، و درآمد خانوار برابر با تولید کل نمی</w:t>
      </w:r>
      <w:r w:rsidRPr="002614E7">
        <w:rPr>
          <w:rFonts w:hint="cs"/>
          <w:i/>
          <w:sz w:val="23"/>
          <w:szCs w:val="23"/>
          <w:rtl/>
        </w:rPr>
        <w:softHyphen/>
        <w:t>باشد. بنابراین توجه بر بخش خانوار به تنهایی کافی نیست و در نتیجه معادله</w:t>
      </w:r>
      <w:r w:rsidRPr="002614E7">
        <w:rPr>
          <w:rFonts w:hint="cs"/>
          <w:i/>
          <w:sz w:val="23"/>
          <w:szCs w:val="23"/>
          <w:rtl/>
        </w:rPr>
        <w:softHyphen/>
        <w:t>ی (۱۴. ۲۷) را می</w:t>
      </w:r>
      <w:r w:rsidRPr="002614E7">
        <w:rPr>
          <w:rFonts w:hint="cs"/>
          <w:i/>
          <w:sz w:val="23"/>
          <w:szCs w:val="23"/>
          <w:rtl/>
        </w:rPr>
        <w:softHyphen/>
        <w:t xml:space="preserve">توان یک حالت خاص در نظر گرفت. </w:t>
      </w:r>
    </w:p>
    <w:p w14:paraId="719AB518" w14:textId="77777777" w:rsidR="00556C10" w:rsidRPr="002614E7" w:rsidRDefault="00556C10" w:rsidP="00556C10">
      <w:pPr>
        <w:spacing w:line="216" w:lineRule="auto"/>
        <w:rPr>
          <w:i/>
          <w:sz w:val="23"/>
          <w:szCs w:val="23"/>
        </w:rPr>
      </w:pPr>
    </w:p>
    <w:p w14:paraId="57223D5F" w14:textId="77777777" w:rsidR="00556C10" w:rsidRPr="002614E7" w:rsidRDefault="00556C10" w:rsidP="00556C10">
      <w:pPr>
        <w:spacing w:line="216" w:lineRule="auto"/>
        <w:rPr>
          <w:i/>
          <w:sz w:val="23"/>
          <w:szCs w:val="23"/>
        </w:rPr>
      </w:pPr>
      <w:r w:rsidRPr="002614E7">
        <w:rPr>
          <w:rFonts w:hint="cs"/>
          <w:bCs/>
          <w:i/>
          <w:sz w:val="23"/>
          <w:szCs w:val="23"/>
          <w:rtl/>
        </w:rPr>
        <w:t>نقدی بر مدل کینزین جدید</w:t>
      </w:r>
    </w:p>
    <w:p w14:paraId="579955D4" w14:textId="77777777" w:rsidR="00556C10" w:rsidRPr="002614E7" w:rsidRDefault="00556C10" w:rsidP="00556C10">
      <w:pPr>
        <w:spacing w:line="216" w:lineRule="auto"/>
        <w:rPr>
          <w:i/>
          <w:sz w:val="23"/>
          <w:szCs w:val="23"/>
          <w:rtl/>
        </w:rPr>
      </w:pPr>
      <w:r w:rsidRPr="002614E7">
        <w:rPr>
          <w:rFonts w:hint="cs"/>
          <w:i/>
          <w:sz w:val="23"/>
          <w:szCs w:val="23"/>
          <w:rtl/>
        </w:rPr>
        <w:t>اگرچه تجزیه و تحلیل</w:t>
      </w:r>
      <w:r w:rsidRPr="002614E7">
        <w:rPr>
          <w:rFonts w:hint="cs"/>
          <w:i/>
          <w:sz w:val="23"/>
          <w:szCs w:val="23"/>
          <w:rtl/>
        </w:rPr>
        <w:softHyphen/>
        <w:t>های سیاست</w:t>
      </w:r>
      <w:r w:rsidRPr="002614E7">
        <w:rPr>
          <w:rFonts w:hint="cs"/>
          <w:i/>
          <w:sz w:val="23"/>
          <w:szCs w:val="23"/>
          <w:rtl/>
        </w:rPr>
        <w:softHyphen/>
        <w:t>های پولی بر فرمول</w:t>
      </w:r>
      <w:r w:rsidRPr="002614E7">
        <w:rPr>
          <w:rFonts w:hint="cs"/>
          <w:i/>
          <w:sz w:val="23"/>
          <w:szCs w:val="23"/>
          <w:rtl/>
        </w:rPr>
        <w:softHyphen/>
        <w:t xml:space="preserve">بندی تابع </w:t>
      </w:r>
      <w:r w:rsidRPr="002614E7">
        <w:rPr>
          <w:i/>
          <w:sz w:val="23"/>
          <w:szCs w:val="23"/>
        </w:rPr>
        <w:t>IS</w:t>
      </w:r>
      <w:r w:rsidRPr="002614E7">
        <w:rPr>
          <w:rFonts w:hint="cs"/>
          <w:i/>
          <w:sz w:val="23"/>
          <w:szCs w:val="23"/>
          <w:rtl/>
        </w:rPr>
        <w:t xml:space="preserve"> کینزین جدید مبتنی است، اما قبل از آن تجزیه و تحلیل می</w:t>
      </w:r>
      <w:r w:rsidRPr="002614E7">
        <w:rPr>
          <w:rFonts w:hint="cs"/>
          <w:i/>
          <w:sz w:val="23"/>
          <w:szCs w:val="23"/>
          <w:rtl/>
        </w:rPr>
        <w:softHyphen/>
        <w:t>بایست توجه بیشتری به تصریح و تفسیر آن تابع نمود. معادله</w:t>
      </w:r>
      <w:r w:rsidRPr="002614E7">
        <w:rPr>
          <w:rFonts w:hint="cs"/>
          <w:i/>
          <w:sz w:val="23"/>
          <w:szCs w:val="23"/>
          <w:rtl/>
        </w:rPr>
        <w:softHyphen/>
        <w:t xml:space="preserve">ی اویلر، رفتار مصرفی آتی خانوار را با در نظر گرفتن اطلاعات تا زمان </w:t>
      </w:r>
      <w:r w:rsidRPr="002614E7">
        <w:rPr>
          <w:i/>
          <w:sz w:val="23"/>
          <w:szCs w:val="23"/>
        </w:rPr>
        <w:t>t</w:t>
      </w:r>
      <w:r w:rsidRPr="002614E7">
        <w:rPr>
          <w:rFonts w:hint="cs"/>
          <w:i/>
          <w:sz w:val="23"/>
          <w:szCs w:val="23"/>
          <w:rtl/>
        </w:rPr>
        <w:t xml:space="preserve"> توضیح می‌دهد، و اطلاعات جدید در زمان </w:t>
      </w:r>
      <w:r w:rsidRPr="002614E7">
        <w:rPr>
          <w:i/>
          <w:sz w:val="23"/>
          <w:szCs w:val="23"/>
        </w:rPr>
        <w:t>t</w:t>
      </w:r>
      <w:r w:rsidRPr="002614E7">
        <w:rPr>
          <w:rFonts w:hint="cs"/>
          <w:i/>
          <w:sz w:val="23"/>
          <w:szCs w:val="23"/>
          <w:rtl/>
        </w:rPr>
        <w:t xml:space="preserve"> علت تغییرات</w:t>
      </w:r>
      <w:r w:rsidRPr="002614E7">
        <w:rPr>
          <w:position w:val="-10"/>
        </w:rPr>
        <w:object w:dxaOrig="200" w:dyaOrig="320" w14:anchorId="1F9360F0">
          <v:shape id="_x0000_i6841" type="#_x0000_t75" style="width:10.3pt;height:15.75pt" o:ole="">
            <v:imagedata r:id="rId11746" o:title=""/>
          </v:shape>
          <o:OLEObject Type="Embed" ProgID="Equation.DSMT4" ShapeID="_x0000_i6841" DrawAspect="Content" ObjectID="_1791380785" r:id="rId11747"/>
        </w:object>
      </w:r>
      <w:r w:rsidRPr="002614E7">
        <w:rPr>
          <w:rFonts w:hint="cs"/>
          <w:i/>
          <w:sz w:val="23"/>
          <w:szCs w:val="23"/>
          <w:rtl/>
        </w:rPr>
        <w:t xml:space="preserve"> و</w:t>
      </w:r>
      <w:r w:rsidRPr="002614E7">
        <w:rPr>
          <w:position w:val="-10"/>
        </w:rPr>
        <w:object w:dxaOrig="540" w:dyaOrig="320" w14:anchorId="73FAAA6E">
          <v:shape id="_x0000_i6842" type="#_x0000_t75" style="width:26.6pt;height:15.75pt" o:ole="">
            <v:imagedata r:id="rId11748" o:title=""/>
          </v:shape>
          <o:OLEObject Type="Embed" ProgID="Equation.DSMT4" ShapeID="_x0000_i6842" DrawAspect="Content" ObjectID="_1791380786" r:id="rId11749"/>
        </w:object>
      </w:r>
      <w:r w:rsidRPr="002614E7">
        <w:rPr>
          <w:rFonts w:hint="cs"/>
          <w:i/>
          <w:sz w:val="23"/>
          <w:szCs w:val="23"/>
          <w:rtl/>
        </w:rPr>
        <w:t xml:space="preserve"> خواهد بود. در مقابل تابع </w:t>
      </w:r>
      <w:r w:rsidRPr="002614E7">
        <w:rPr>
          <w:i/>
          <w:sz w:val="23"/>
          <w:szCs w:val="23"/>
        </w:rPr>
        <w:t>IS</w:t>
      </w:r>
      <w:r w:rsidRPr="002614E7">
        <w:rPr>
          <w:rFonts w:hint="cs"/>
          <w:i/>
          <w:sz w:val="23"/>
          <w:szCs w:val="23"/>
          <w:rtl/>
        </w:rPr>
        <w:t xml:space="preserve"> کینزین جدید بمنظور تعیین سطح</w:t>
      </w:r>
      <w:r w:rsidRPr="002614E7">
        <w:rPr>
          <w:position w:val="-10"/>
        </w:rPr>
        <w:object w:dxaOrig="240" w:dyaOrig="320" w14:anchorId="72693698">
          <v:shape id="_x0000_i6843" type="#_x0000_t75" style="width:11.5pt;height:15.75pt" o:ole="">
            <v:imagedata r:id="rId11750" o:title=""/>
          </v:shape>
          <o:OLEObject Type="Embed" ProgID="Equation.DSMT4" ShapeID="_x0000_i6843" DrawAspect="Content" ObjectID="_1791380787" r:id="rId11751"/>
        </w:object>
      </w:r>
      <w:r w:rsidRPr="002614E7">
        <w:rPr>
          <w:rFonts w:hint="cs"/>
          <w:i/>
          <w:sz w:val="23"/>
          <w:szCs w:val="23"/>
          <w:rtl/>
        </w:rPr>
        <w:t xml:space="preserve"> یا</w:t>
      </w:r>
      <w:r w:rsidRPr="002614E7">
        <w:rPr>
          <w:position w:val="-10"/>
        </w:rPr>
        <w:object w:dxaOrig="300" w:dyaOrig="320" w14:anchorId="49605024">
          <v:shape id="_x0000_i6844" type="#_x0000_t75" style="width:14.5pt;height:15.75pt" o:ole="">
            <v:imagedata r:id="rId11752" o:title=""/>
          </v:shape>
          <o:OLEObject Type="Embed" ProgID="Equation.DSMT4" ShapeID="_x0000_i6844" DrawAspect="Content" ObjectID="_1791380788" r:id="rId11753"/>
        </w:object>
      </w:r>
      <w:r w:rsidRPr="002614E7">
        <w:rPr>
          <w:rFonts w:eastAsiaTheme="minorEastAsia"/>
          <w:i/>
          <w:sz w:val="23"/>
          <w:szCs w:val="23"/>
        </w:rPr>
        <w:t>(</w:t>
      </w:r>
      <w:r w:rsidRPr="002614E7">
        <w:rPr>
          <w:rFonts w:hint="cs"/>
          <w:i/>
          <w:sz w:val="23"/>
          <w:szCs w:val="23"/>
          <w:rtl/>
        </w:rPr>
        <w:t xml:space="preserve"> تفسیر شده است. بنابراین اولین نکته</w:t>
      </w:r>
      <w:r w:rsidRPr="002614E7">
        <w:rPr>
          <w:rFonts w:hint="cs"/>
          <w:i/>
          <w:sz w:val="23"/>
          <w:szCs w:val="23"/>
          <w:rtl/>
        </w:rPr>
        <w:softHyphen/>
        <w:t>ای که می‌بایست به آن توجه نمود آن است که معادله‌ی (۱۴. ۲۳) تابع هدفی نیست که تغییرات انتظاری آتی مصرف و سطح مصرف جاری را توضیح دهد. برای به دست آوردن تابع مصرف می‌بایست معادله‌ی (۱۴. ۲۳) را با قید بودجه یا معادله‌ی (۱۴. ۲۱)</w:t>
      </w:r>
      <w:r w:rsidRPr="002614E7">
        <w:rPr>
          <w:rFonts w:eastAsiaTheme="minorEastAsia" w:hint="cs"/>
          <w:i/>
          <w:sz w:val="23"/>
          <w:szCs w:val="23"/>
          <w:rtl/>
        </w:rPr>
        <w:t xml:space="preserve"> </w:t>
      </w:r>
      <w:r w:rsidRPr="002614E7">
        <w:rPr>
          <w:rFonts w:hint="cs"/>
          <w:i/>
          <w:sz w:val="23"/>
          <w:szCs w:val="23"/>
          <w:rtl/>
        </w:rPr>
        <w:t>ترکیب کنیم. تابع مصرف ممکن است از تقریب لگاریتم- خطی قید بودجه بین‌دوره</w:t>
      </w:r>
      <w:r w:rsidRPr="002614E7">
        <w:rPr>
          <w:rFonts w:hint="cs"/>
          <w:i/>
          <w:sz w:val="23"/>
          <w:szCs w:val="23"/>
          <w:rtl/>
        </w:rPr>
        <w:softHyphen/>
        <w:t>ای زیر به دست آید:</w:t>
      </w:r>
    </w:p>
    <w:p w14:paraId="307E8A92"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34"/>
        </w:rPr>
        <w:object w:dxaOrig="6039" w:dyaOrig="700" w14:anchorId="0EEF56B7">
          <v:shape id="_x0000_i6845" type="#_x0000_t75" style="width:301.9pt;height:35.1pt" o:ole="">
            <v:imagedata r:id="rId11754" o:title=""/>
          </v:shape>
          <o:OLEObject Type="Embed" ProgID="Equation.DSMT4" ShapeID="_x0000_i6845" DrawAspect="Content" ObjectID="_1791380789" r:id="rId11755"/>
        </w:object>
      </w:r>
    </w:p>
    <w:p w14:paraId="0196D3BE" w14:textId="77777777" w:rsidR="00556C10" w:rsidRPr="002614E7" w:rsidRDefault="00556C10" w:rsidP="00556C10">
      <w:pPr>
        <w:spacing w:line="216" w:lineRule="auto"/>
        <w:rPr>
          <w:i/>
          <w:sz w:val="23"/>
          <w:szCs w:val="23"/>
          <w:rtl/>
        </w:rPr>
      </w:pPr>
      <w:r w:rsidRPr="002614E7">
        <w:rPr>
          <w:rFonts w:hint="cs"/>
          <w:i/>
          <w:sz w:val="23"/>
          <w:szCs w:val="23"/>
          <w:rtl/>
        </w:rPr>
        <w:t xml:space="preserve">با فرض این که: </w:t>
      </w:r>
      <w:r w:rsidRPr="002614E7">
        <w:rPr>
          <w:position w:val="-34"/>
        </w:rPr>
        <w:object w:dxaOrig="1440" w:dyaOrig="700" w14:anchorId="0EDE5199">
          <v:shape id="_x0000_i6846" type="#_x0000_t75" style="width:1in;height:35.1pt" o:ole="">
            <v:imagedata r:id="rId11756" o:title=""/>
          </v:shape>
          <o:OLEObject Type="Embed" ProgID="Equation.DSMT4" ShapeID="_x0000_i6846" DrawAspect="Content" ObjectID="_1791380790" r:id="rId11757"/>
        </w:object>
      </w:r>
      <w:r w:rsidRPr="002614E7">
        <w:rPr>
          <w:rFonts w:hint="cs"/>
          <w:i/>
          <w:sz w:val="23"/>
          <w:szCs w:val="23"/>
          <w:rtl/>
        </w:rPr>
        <w:t xml:space="preserve"> و </w:t>
      </w:r>
      <w:r w:rsidRPr="002614E7">
        <w:rPr>
          <w:position w:val="-10"/>
        </w:rPr>
        <w:object w:dxaOrig="900" w:dyaOrig="320" w14:anchorId="01ED0705">
          <v:shape id="_x0000_i6847" type="#_x0000_t75" style="width:45.4pt;height:15.75pt" o:ole="">
            <v:imagedata r:id="rId11758" o:title=""/>
          </v:shape>
          <o:OLEObject Type="Embed" ProgID="Equation.DSMT4" ShapeID="_x0000_i6847" DrawAspect="Content" ObjectID="_1791380791" r:id="rId11759"/>
        </w:object>
      </w:r>
      <w:r w:rsidRPr="002614E7">
        <w:rPr>
          <w:rFonts w:hint="cs"/>
          <w:i/>
          <w:sz w:val="23"/>
          <w:szCs w:val="23"/>
          <w:rtl/>
        </w:rPr>
        <w:t xml:space="preserve"> باشد، آنگاه</w:t>
      </w:r>
      <w:r w:rsidRPr="002614E7">
        <w:rPr>
          <w:position w:val="-10"/>
        </w:rPr>
        <w:object w:dxaOrig="1320" w:dyaOrig="320" w14:anchorId="7D32F346">
          <v:shape id="_x0000_i6848" type="#_x0000_t75" style="width:65.95pt;height:15.75pt" o:ole="">
            <v:imagedata r:id="rId11760" o:title=""/>
          </v:shape>
          <o:OLEObject Type="Embed" ProgID="Equation.DSMT4" ShapeID="_x0000_i6848" DrawAspect="Content" ObjectID="_1791380792" r:id="rId11761"/>
        </w:object>
      </w:r>
      <w:r w:rsidRPr="002614E7">
        <w:rPr>
          <w:rFonts w:hint="cs"/>
          <w:i/>
          <w:sz w:val="23"/>
          <w:szCs w:val="23"/>
          <w:rtl/>
        </w:rPr>
        <w:t xml:space="preserve"> است، و تابع مصرف عبارت خواهد بود از:</w:t>
      </w:r>
    </w:p>
    <w:p w14:paraId="1245C531" w14:textId="77777777" w:rsidR="00556C10" w:rsidRPr="002614E7" w:rsidRDefault="00556C10" w:rsidP="00556C10">
      <w:pPr>
        <w:bidi w:val="0"/>
        <w:spacing w:line="216" w:lineRule="auto"/>
        <w:rPr>
          <w:i/>
          <w:sz w:val="23"/>
          <w:szCs w:val="23"/>
          <w:rtl/>
        </w:rPr>
      </w:pPr>
      <w:r w:rsidRPr="002614E7">
        <w:rPr>
          <w:position w:val="-34"/>
        </w:rPr>
        <w:object w:dxaOrig="4740" w:dyaOrig="700" w14:anchorId="26ABC7EF">
          <v:shape id="_x0000_i6849" type="#_x0000_t75" style="width:236.55pt;height:35.1pt" o:ole="">
            <v:imagedata r:id="rId11762" o:title=""/>
          </v:shape>
          <o:OLEObject Type="Embed" ProgID="Equation.DSMT4" ShapeID="_x0000_i6849" DrawAspect="Content" ObjectID="_1791380793" r:id="rId11763"/>
        </w:object>
      </w:r>
      <w:r w:rsidRPr="002614E7">
        <w:rPr>
          <w:rFonts w:hint="cs"/>
          <w:i/>
          <w:sz w:val="23"/>
          <w:szCs w:val="23"/>
          <w:rtl/>
        </w:rPr>
        <w:tab/>
        <w:t xml:space="preserve"> </w:t>
      </w:r>
      <w:r w:rsidRPr="002614E7">
        <w:rPr>
          <w:rFonts w:hint="cs"/>
          <w:i/>
          <w:sz w:val="23"/>
          <w:szCs w:val="23"/>
          <w:rtl/>
        </w:rPr>
        <w:tab/>
      </w:r>
      <w:r w:rsidRPr="002614E7">
        <w:rPr>
          <w:i/>
          <w:sz w:val="23"/>
          <w:szCs w:val="23"/>
        </w:rPr>
        <w:t xml:space="preserve"> </w:t>
      </w:r>
      <w:r>
        <w:rPr>
          <w:i/>
          <w:sz w:val="23"/>
          <w:szCs w:val="23"/>
          <w:rtl/>
        </w:rPr>
        <w:tab/>
      </w:r>
      <w:r>
        <w:rPr>
          <w:i/>
          <w:sz w:val="23"/>
          <w:szCs w:val="23"/>
          <w:rtl/>
        </w:rPr>
        <w:tab/>
      </w:r>
      <w:r w:rsidRPr="002614E7">
        <w:rPr>
          <w:i/>
          <w:sz w:val="23"/>
          <w:szCs w:val="23"/>
        </w:rPr>
        <w:tab/>
      </w:r>
      <w:r w:rsidRPr="002614E7">
        <w:rPr>
          <w:rFonts w:hint="cs"/>
          <w:i/>
          <w:sz w:val="23"/>
          <w:szCs w:val="23"/>
          <w:rtl/>
        </w:rPr>
        <w:t>(۱۴. ۲۸)</w:t>
      </w:r>
    </w:p>
    <w:p w14:paraId="19AA9FE0" w14:textId="77777777" w:rsidR="00556C10" w:rsidRPr="002614E7" w:rsidRDefault="00556C10" w:rsidP="00556C10">
      <w:pPr>
        <w:spacing w:line="216" w:lineRule="auto"/>
        <w:rPr>
          <w:i/>
          <w:sz w:val="23"/>
          <w:szCs w:val="23"/>
          <w:rtl/>
        </w:rPr>
      </w:pPr>
      <w:r w:rsidRPr="002614E7">
        <w:rPr>
          <w:rFonts w:hint="cs"/>
          <w:i/>
          <w:sz w:val="23"/>
          <w:szCs w:val="23"/>
          <w:rtl/>
        </w:rPr>
        <w:t xml:space="preserve">که در آن لگاریتم مصرف در زمان </w:t>
      </w:r>
      <w:r w:rsidRPr="002614E7">
        <w:rPr>
          <w:i/>
          <w:sz w:val="23"/>
          <w:szCs w:val="23"/>
        </w:rPr>
        <w:t>t</w:t>
      </w:r>
      <w:r w:rsidRPr="002614E7">
        <w:rPr>
          <w:rFonts w:hint="cs"/>
          <w:i/>
          <w:sz w:val="23"/>
          <w:szCs w:val="23"/>
          <w:rtl/>
        </w:rPr>
        <w:t xml:space="preserve"> به ارزش‌های انتظاری لگاریتم درآمد و نرخ بهره و همچنین لگاریتم ذخایر دارایی در زمان </w:t>
      </w:r>
      <w:r w:rsidRPr="002614E7">
        <w:rPr>
          <w:i/>
          <w:sz w:val="23"/>
          <w:szCs w:val="23"/>
        </w:rPr>
        <w:t>t</w:t>
      </w:r>
      <w:r w:rsidRPr="002614E7">
        <w:rPr>
          <w:rFonts w:hint="cs"/>
          <w:i/>
          <w:sz w:val="23"/>
          <w:szCs w:val="23"/>
          <w:rtl/>
        </w:rPr>
        <w:t xml:space="preserve"> وابسته است. بنابراین اثر تغییرات موقتی و یا دائمی نرخ‌های بهره</w:t>
      </w:r>
      <w:r w:rsidRPr="002614E7">
        <w:rPr>
          <w:rFonts w:hint="cs"/>
          <w:i/>
          <w:sz w:val="23"/>
          <w:szCs w:val="23"/>
          <w:rtl/>
        </w:rPr>
        <w:softHyphen/>
        <w:t>ی حقیقی بر مصرف، به خالص دارایی</w:t>
      </w:r>
      <w:r w:rsidRPr="002614E7">
        <w:rPr>
          <w:rFonts w:hint="cs"/>
          <w:i/>
          <w:sz w:val="23"/>
          <w:szCs w:val="23"/>
          <w:rtl/>
        </w:rPr>
        <w:softHyphen/>
        <w:t xml:space="preserve">ها </w:t>
      </w:r>
      <w:r w:rsidRPr="002614E7">
        <w:rPr>
          <w:position w:val="-10"/>
        </w:rPr>
        <w:object w:dxaOrig="740" w:dyaOrig="320" w14:anchorId="2721DDD6">
          <v:shape id="_x0000_i6850" type="#_x0000_t75" style="width:36.9pt;height:15.75pt" o:ole="">
            <v:imagedata r:id="rId11764" o:title=""/>
          </v:shape>
          <o:OLEObject Type="Embed" ProgID="Equation.DSMT4" ShapeID="_x0000_i6850" DrawAspect="Content" ObjectID="_1791380794" r:id="rId11765"/>
        </w:object>
      </w:r>
      <w:r w:rsidRPr="002614E7">
        <w:rPr>
          <w:rFonts w:hint="cs"/>
          <w:i/>
          <w:sz w:val="23"/>
          <w:szCs w:val="23"/>
          <w:rtl/>
        </w:rPr>
        <w:t xml:space="preserve"> و یا خالص بدهی</w:t>
      </w:r>
      <w:r w:rsidRPr="002614E7">
        <w:rPr>
          <w:rFonts w:hint="cs"/>
          <w:i/>
          <w:sz w:val="23"/>
          <w:szCs w:val="23"/>
          <w:rtl/>
        </w:rPr>
        <w:softHyphen/>
        <w:t xml:space="preserve">ها </w:t>
      </w:r>
      <w:r w:rsidRPr="002614E7">
        <w:rPr>
          <w:position w:val="-10"/>
        </w:rPr>
        <w:object w:dxaOrig="740" w:dyaOrig="320" w14:anchorId="5948358E">
          <v:shape id="_x0000_i6851" type="#_x0000_t75" style="width:36.9pt;height:15.75pt" o:ole="">
            <v:imagedata r:id="rId11766" o:title=""/>
          </v:shape>
          <o:OLEObject Type="Embed" ProgID="Equation.DSMT4" ShapeID="_x0000_i6851" DrawAspect="Content" ObjectID="_1791380795" r:id="rId11767"/>
        </w:object>
      </w:r>
      <w:r w:rsidRPr="002614E7">
        <w:rPr>
          <w:rFonts w:hint="cs"/>
          <w:i/>
          <w:sz w:val="23"/>
          <w:szCs w:val="23"/>
          <w:rtl/>
        </w:rPr>
        <w:t xml:space="preserve"> بستگی دارد. اگر خالص دارایی</w:t>
      </w:r>
      <w:r w:rsidRPr="002614E7">
        <w:rPr>
          <w:rFonts w:hint="cs"/>
          <w:i/>
          <w:sz w:val="23"/>
          <w:szCs w:val="23"/>
          <w:rtl/>
        </w:rPr>
        <w:softHyphen/>
        <w:t>های خانوار مثبت باشد، آنگاه به خاطر اضافه درآمد بهره، افزایش در نرخ بهره</w:t>
      </w:r>
      <w:r w:rsidRPr="002614E7">
        <w:rPr>
          <w:rFonts w:hint="cs"/>
          <w:i/>
          <w:sz w:val="23"/>
          <w:szCs w:val="23"/>
          <w:rtl/>
        </w:rPr>
        <w:softHyphen/>
        <w:t xml:space="preserve">ی حقیقی باعث افزایش مصرف و نه کاهش آن، همانند تابع </w:t>
      </w:r>
      <w:r w:rsidRPr="002614E7">
        <w:rPr>
          <w:i/>
          <w:sz w:val="23"/>
          <w:szCs w:val="23"/>
        </w:rPr>
        <w:t>IS</w:t>
      </w:r>
      <w:r w:rsidRPr="002614E7">
        <w:rPr>
          <w:rFonts w:hint="cs"/>
          <w:i/>
          <w:sz w:val="23"/>
          <w:szCs w:val="23"/>
          <w:rtl/>
        </w:rPr>
        <w:t xml:space="preserve"> کینزین جدید و یا رابطه</w:t>
      </w:r>
      <w:r w:rsidRPr="002614E7">
        <w:rPr>
          <w:rFonts w:hint="cs"/>
          <w:i/>
          <w:sz w:val="23"/>
          <w:szCs w:val="23"/>
          <w:rtl/>
        </w:rPr>
        <w:softHyphen/>
        <w:t>ی (۱۴. ۱۹) می‌شود. اگر در مقابل، بدهی</w:t>
      </w:r>
      <w:r w:rsidRPr="002614E7">
        <w:rPr>
          <w:rFonts w:hint="cs"/>
          <w:i/>
          <w:sz w:val="23"/>
          <w:szCs w:val="23"/>
          <w:rtl/>
        </w:rPr>
        <w:softHyphen/>
        <w:t>های خالص خانوار مثبت باشد، یعنی</w:t>
      </w:r>
      <w:r w:rsidRPr="002614E7">
        <w:rPr>
          <w:position w:val="-10"/>
        </w:rPr>
        <w:object w:dxaOrig="1240" w:dyaOrig="320" w14:anchorId="423B681F">
          <v:shape id="_x0000_i6852" type="#_x0000_t75" style="width:61.7pt;height:15.75pt" o:ole="">
            <v:imagedata r:id="rId11768" o:title=""/>
          </v:shape>
          <o:OLEObject Type="Embed" ProgID="Equation.DSMT4" ShapeID="_x0000_i6852" DrawAspect="Content" ObjectID="_1791380796" r:id="rId11769"/>
        </w:object>
      </w:r>
      <w:r w:rsidRPr="002614E7">
        <w:rPr>
          <w:rFonts w:hint="cs"/>
          <w:i/>
          <w:sz w:val="23"/>
          <w:szCs w:val="23"/>
          <w:rtl/>
        </w:rPr>
        <w:t>، آنگاه تقریب لگاریتم- خطی عبارت خواهد بود از:</w:t>
      </w:r>
    </w:p>
    <w:p w14:paraId="41C426C2"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Pr>
      </w:pPr>
      <w:r w:rsidRPr="002614E7">
        <w:rPr>
          <w:position w:val="-34"/>
        </w:rPr>
        <w:object w:dxaOrig="4680" w:dyaOrig="700" w14:anchorId="7C163770">
          <v:shape id="_x0000_i6853" type="#_x0000_t75" style="width:234.15pt;height:35.1pt" o:ole="">
            <v:imagedata r:id="rId11770" o:title=""/>
          </v:shape>
          <o:OLEObject Type="Embed" ProgID="Equation.DSMT4" ShapeID="_x0000_i6853" DrawAspect="Content" ObjectID="_1791380797" r:id="rId11771"/>
        </w:object>
      </w:r>
      <w:r w:rsidRPr="002614E7">
        <w:rPr>
          <w:rFonts w:ascii="Times New Roman" w:hAnsi="Times New Roman"/>
          <w:i/>
          <w:sz w:val="23"/>
          <w:szCs w:val="23"/>
        </w:rPr>
        <w:tab/>
      </w:r>
      <w:r w:rsidRPr="002614E7">
        <w:rPr>
          <w:rFonts w:ascii="Times New Roman" w:hAnsi="Times New Roman"/>
          <w:i/>
          <w:sz w:val="23"/>
          <w:szCs w:val="23"/>
        </w:rPr>
        <w:tab/>
      </w:r>
      <w:r w:rsidRPr="002614E7">
        <w:rPr>
          <w:rFonts w:ascii="Times New Roman" w:hAnsi="Times New Roman"/>
          <w:i/>
          <w:sz w:val="23"/>
          <w:szCs w:val="23"/>
        </w:rPr>
        <w:tab/>
      </w:r>
      <w:r>
        <w:rPr>
          <w:rFonts w:ascii="Times New Roman" w:hAnsi="Times New Roman"/>
          <w:i/>
          <w:sz w:val="23"/>
          <w:szCs w:val="23"/>
          <w:rtl/>
        </w:rPr>
        <w:tab/>
      </w:r>
      <w:r w:rsidRPr="002614E7">
        <w:rPr>
          <w:rFonts w:ascii="Times New Roman" w:hAnsi="Times New Roman"/>
          <w:i/>
          <w:sz w:val="23"/>
          <w:szCs w:val="23"/>
        </w:rPr>
        <w:tab/>
      </w:r>
      <w:r w:rsidRPr="002614E7">
        <w:rPr>
          <w:rFonts w:ascii="Times New Roman" w:hAnsi="Times New Roman" w:cs="B Nazanin" w:hint="cs"/>
          <w:i/>
          <w:sz w:val="23"/>
          <w:szCs w:val="23"/>
          <w:rtl/>
        </w:rPr>
        <w:t>(۱۴. ۲۹)</w:t>
      </w:r>
    </w:p>
    <w:p w14:paraId="1D0FC286" w14:textId="77777777" w:rsidR="00556C10" w:rsidRPr="002614E7" w:rsidRDefault="00556C10" w:rsidP="00556C10">
      <w:pPr>
        <w:spacing w:line="216" w:lineRule="auto"/>
        <w:rPr>
          <w:i/>
          <w:sz w:val="23"/>
          <w:szCs w:val="23"/>
        </w:rPr>
      </w:pPr>
      <w:r w:rsidRPr="002614E7">
        <w:rPr>
          <w:rFonts w:hint="cs"/>
          <w:i/>
          <w:sz w:val="23"/>
          <w:szCs w:val="23"/>
          <w:rtl/>
        </w:rPr>
        <w:lastRenderedPageBreak/>
        <w:t>یعنی با افزایش نرخ بهره</w:t>
      </w:r>
      <w:r w:rsidRPr="002614E7">
        <w:rPr>
          <w:rFonts w:hint="cs"/>
          <w:i/>
          <w:sz w:val="23"/>
          <w:szCs w:val="23"/>
          <w:rtl/>
        </w:rPr>
        <w:softHyphen/>
        <w:t>ی حقیقی، مصرف و به تبع آن تقاضای کل کاهش خواهد یافت. در نتیجه اگر خالص دارایی</w:t>
      </w:r>
      <w:r w:rsidRPr="002614E7">
        <w:rPr>
          <w:rFonts w:hint="cs"/>
          <w:i/>
          <w:sz w:val="23"/>
          <w:szCs w:val="23"/>
          <w:rtl/>
        </w:rPr>
        <w:softHyphen/>
        <w:t>های خانوار مثبت باشد، آنگاه سیاست پولی انقباضی باعث افزایش در نرخ بهره در زمان جاری یعنی</w:t>
      </w:r>
      <w:r w:rsidRPr="002614E7">
        <w:rPr>
          <w:position w:val="-10"/>
        </w:rPr>
        <w:object w:dxaOrig="220" w:dyaOrig="320" w14:anchorId="7B59BD25">
          <v:shape id="_x0000_i6854" type="#_x0000_t75" style="width:10.9pt;height:15.75pt" o:ole="">
            <v:imagedata r:id="rId11772" o:title=""/>
          </v:shape>
          <o:OLEObject Type="Embed" ProgID="Equation.DSMT4" ShapeID="_x0000_i6854" DrawAspect="Content" ObjectID="_1791380798" r:id="rId11773"/>
        </w:object>
      </w:r>
      <w:r w:rsidRPr="002614E7">
        <w:rPr>
          <w:rFonts w:hint="cs"/>
          <w:i/>
          <w:sz w:val="23"/>
          <w:szCs w:val="23"/>
          <w:rtl/>
        </w:rPr>
        <w:t xml:space="preserve"> و سپس افزایش</w:t>
      </w:r>
      <w:r w:rsidRPr="002614E7">
        <w:rPr>
          <w:position w:val="-10"/>
        </w:rPr>
        <w:object w:dxaOrig="400" w:dyaOrig="320" w14:anchorId="3CBA1F37">
          <v:shape id="_x0000_i6855" type="#_x0000_t75" style="width:19.95pt;height:15.75pt" o:ole="">
            <v:imagedata r:id="rId11774" o:title=""/>
          </v:shape>
          <o:OLEObject Type="Embed" ProgID="Equation.DSMT4" ShapeID="_x0000_i6855" DrawAspect="Content" ObjectID="_1791380799" r:id="rId11775"/>
        </w:object>
      </w:r>
      <w:r w:rsidRPr="002614E7">
        <w:rPr>
          <w:rFonts w:hint="cs"/>
          <w:i/>
          <w:sz w:val="23"/>
          <w:szCs w:val="23"/>
          <w:rtl/>
        </w:rPr>
        <w:t xml:space="preserve"> از طریق </w:t>
      </w:r>
      <w:r w:rsidRPr="002614E7">
        <w:rPr>
          <w:position w:val="-22"/>
        </w:rPr>
        <w:object w:dxaOrig="680" w:dyaOrig="560" w14:anchorId="4B4C54AD">
          <v:shape id="_x0000_i6856" type="#_x0000_t75" style="width:33.9pt;height:27.85pt" o:ole="">
            <v:imagedata r:id="rId11776" o:title=""/>
          </v:shape>
          <o:OLEObject Type="Embed" ProgID="Equation.DSMT4" ShapeID="_x0000_i6856" DrawAspect="Content" ObjectID="_1791380800" r:id="rId11777"/>
        </w:object>
      </w:r>
      <w:r w:rsidRPr="002614E7">
        <w:rPr>
          <w:rFonts w:hint="cs"/>
          <w:i/>
          <w:sz w:val="23"/>
          <w:szCs w:val="23"/>
          <w:rtl/>
        </w:rPr>
        <w:t xml:space="preserve"> خواهد شد، و اگر خالص بدهی</w:t>
      </w:r>
      <w:r w:rsidRPr="002614E7">
        <w:rPr>
          <w:rFonts w:hint="cs"/>
          <w:i/>
          <w:sz w:val="23"/>
          <w:szCs w:val="23"/>
          <w:rtl/>
        </w:rPr>
        <w:softHyphen/>
        <w:t>های خانوار مثبت باشد</w:t>
      </w:r>
      <w:r w:rsidRPr="002614E7">
        <w:rPr>
          <w:position w:val="-10"/>
        </w:rPr>
        <w:object w:dxaOrig="480" w:dyaOrig="320" w14:anchorId="4A594691">
          <v:shape id="_x0000_i6857" type="#_x0000_t75" style="width:24.2pt;height:15.75pt" o:ole="">
            <v:imagedata r:id="rId11778" o:title=""/>
          </v:shape>
          <o:OLEObject Type="Embed" ProgID="Equation.DSMT4" ShapeID="_x0000_i6857" DrawAspect="Content" ObjectID="_1791380801" r:id="rId11779"/>
        </w:object>
      </w:r>
      <w:r w:rsidRPr="002614E7">
        <w:rPr>
          <w:rFonts w:hint="cs"/>
          <w:i/>
          <w:sz w:val="23"/>
          <w:szCs w:val="23"/>
          <w:rtl/>
        </w:rPr>
        <w:t>از طریق</w:t>
      </w:r>
      <w:r w:rsidRPr="002614E7">
        <w:rPr>
          <w:position w:val="-22"/>
        </w:rPr>
        <w:object w:dxaOrig="680" w:dyaOrig="560" w14:anchorId="5DF4FAB9">
          <v:shape id="_x0000_i6858" type="#_x0000_t75" style="width:33.9pt;height:27.85pt" o:ole="">
            <v:imagedata r:id="rId11780" o:title=""/>
          </v:shape>
          <o:OLEObject Type="Embed" ProgID="Equation.DSMT4" ShapeID="_x0000_i6858" DrawAspect="Content" ObjectID="_1791380802" r:id="rId11781"/>
        </w:object>
      </w:r>
      <w:r w:rsidRPr="002614E7">
        <w:rPr>
          <w:rFonts w:hint="cs"/>
          <w:i/>
          <w:sz w:val="23"/>
          <w:szCs w:val="23"/>
          <w:rtl/>
        </w:rPr>
        <w:t xml:space="preserve"> کاهش خواهد یافت، و در هر دو صورت</w:t>
      </w:r>
      <w:r w:rsidRPr="002614E7">
        <w:rPr>
          <w:position w:val="-10"/>
        </w:rPr>
        <w:object w:dxaOrig="800" w:dyaOrig="320" w14:anchorId="1A436114">
          <v:shape id="_x0000_i6859" type="#_x0000_t75" style="width:39.95pt;height:15.75pt" o:ole="">
            <v:imagedata r:id="rId11782" o:title=""/>
          </v:shape>
          <o:OLEObject Type="Embed" ProgID="Equation.DSMT4" ShapeID="_x0000_i6859" DrawAspect="Content" ObjectID="_1791380803" r:id="rId11783"/>
        </w:object>
      </w:r>
      <w:r w:rsidRPr="002614E7">
        <w:rPr>
          <w:rFonts w:hint="cs"/>
          <w:i/>
          <w:sz w:val="23"/>
          <w:szCs w:val="23"/>
          <w:rtl/>
        </w:rPr>
        <w:t xml:space="preserve"> بدون تغییر باقی خواهد ماند. به بیانی دیگر همان</w:t>
      </w:r>
      <w:r w:rsidRPr="002614E7">
        <w:rPr>
          <w:rFonts w:hint="cs"/>
          <w:i/>
          <w:sz w:val="23"/>
          <w:szCs w:val="23"/>
          <w:rtl/>
        </w:rPr>
        <w:softHyphen/>
        <w:t>گونه که در مدل هدف</w:t>
      </w:r>
      <w:r w:rsidRPr="002614E7">
        <w:rPr>
          <w:rFonts w:hint="cs"/>
          <w:i/>
          <w:sz w:val="23"/>
          <w:szCs w:val="23"/>
          <w:rtl/>
        </w:rPr>
        <w:softHyphen/>
        <w:t>‌گذاری تورم کینزین جدید فرض شده بود، اگر خالص دارایی خانوار مثبت باشد، سیاست پولی انقباضی موقتی یک محرک اقتصادی است و نه یک عامل بازدارنده. اما از آنجا که در هر لحظه از زمان برخی از خانوارها دارای دارایی خالص و برخی بدهی خالص</w:t>
      </w:r>
      <w:r w:rsidRPr="002614E7">
        <w:rPr>
          <w:rFonts w:hint="cs"/>
          <w:i/>
          <w:sz w:val="23"/>
          <w:szCs w:val="23"/>
          <w:rtl/>
        </w:rPr>
        <w:softHyphen/>
        <w:t>اند، لذا شدت اثر نرخ بهره بر مصرف ممکن است در اقتصاد بسته، بسیار کم و یا حتی صفر باشد. ضمناً می</w:t>
      </w:r>
      <w:r w:rsidRPr="002614E7">
        <w:rPr>
          <w:rFonts w:hint="cs"/>
          <w:i/>
          <w:sz w:val="23"/>
          <w:szCs w:val="23"/>
          <w:rtl/>
        </w:rPr>
        <w:softHyphen/>
        <w:t>دانیم که خالص دارایی</w:t>
      </w:r>
      <w:r w:rsidRPr="002614E7">
        <w:rPr>
          <w:rFonts w:hint="cs"/>
          <w:i/>
          <w:sz w:val="23"/>
          <w:szCs w:val="23"/>
          <w:rtl/>
        </w:rPr>
        <w:softHyphen/>
        <w:t>های مالی در اقتصاد می‌بایست برابر صفر باشد، زیرا دارایی یک نفر بدهی دیگری است.</w:t>
      </w:r>
    </w:p>
    <w:p w14:paraId="00A648FA" w14:textId="77777777" w:rsidR="00556C10" w:rsidRPr="002614E7" w:rsidRDefault="00556C10" w:rsidP="00556C10">
      <w:pPr>
        <w:spacing w:line="216" w:lineRule="auto"/>
        <w:rPr>
          <w:i/>
          <w:sz w:val="23"/>
          <w:szCs w:val="23"/>
          <w:rtl/>
        </w:rPr>
      </w:pPr>
      <w:r w:rsidRPr="002614E7">
        <w:rPr>
          <w:rFonts w:hint="cs"/>
          <w:i/>
          <w:sz w:val="23"/>
          <w:szCs w:val="23"/>
          <w:rtl/>
        </w:rPr>
        <w:t>ضمناً درک مفاهیمی دیگر از معادله‌ی اویلرِ مصرف و تابع مصرف ممکن است از طریق توجه به انتظارات تغییر در نرخ بهره</w:t>
      </w:r>
      <w:r w:rsidRPr="002614E7">
        <w:rPr>
          <w:rFonts w:hint="cs"/>
          <w:i/>
          <w:sz w:val="23"/>
          <w:szCs w:val="23"/>
          <w:rtl/>
        </w:rPr>
        <w:softHyphen/>
        <w:t xml:space="preserve">ی حقیقیِ آتی به دست آید. بعنوان مثال با یک واحد افزایش در </w:t>
      </w:r>
      <w:r w:rsidRPr="002614E7">
        <w:rPr>
          <w:position w:val="-10"/>
        </w:rPr>
        <w:object w:dxaOrig="520" w:dyaOrig="320" w14:anchorId="25EFF5E3">
          <v:shape id="_x0000_i6860" type="#_x0000_t75" style="width:26pt;height:15.75pt" o:ole="">
            <v:imagedata r:id="rId11784" o:title=""/>
          </v:shape>
          <o:OLEObject Type="Embed" ProgID="Equation.DSMT4" ShapeID="_x0000_i6860" DrawAspect="Content" ObjectID="_1791380804" r:id="rId11785"/>
        </w:object>
      </w:r>
      <w:r w:rsidRPr="002614E7">
        <w:rPr>
          <w:rFonts w:hint="cs"/>
          <w:i/>
          <w:sz w:val="23"/>
          <w:szCs w:val="23"/>
          <w:rtl/>
        </w:rPr>
        <w:t xml:space="preserve"> از مقادیر اولیه</w:t>
      </w:r>
      <w:r w:rsidRPr="002614E7">
        <w:rPr>
          <w:rFonts w:hint="cs"/>
          <w:i/>
          <w:sz w:val="23"/>
          <w:szCs w:val="23"/>
          <w:rtl/>
        </w:rPr>
        <w:softHyphen/>
        <w:t>ی</w:t>
      </w:r>
      <w:r w:rsidRPr="002614E7">
        <w:rPr>
          <w:position w:val="-6"/>
        </w:rPr>
        <w:object w:dxaOrig="200" w:dyaOrig="260" w14:anchorId="01B8D318">
          <v:shape id="_x0000_i6861" type="#_x0000_t75" style="width:10.3pt;height:13.3pt" o:ole="">
            <v:imagedata r:id="rId11786" o:title=""/>
          </v:shape>
          <o:OLEObject Type="Embed" ProgID="Equation.DSMT4" ShapeID="_x0000_i6861" DrawAspect="Content" ObjectID="_1791380805" r:id="rId11787"/>
        </w:object>
      </w:r>
      <w:r w:rsidRPr="002614E7">
        <w:rPr>
          <w:rFonts w:hint="cs"/>
          <w:i/>
          <w:sz w:val="23"/>
          <w:szCs w:val="23"/>
          <w:rtl/>
        </w:rPr>
        <w:t>، و با فرض این که نرخ بهره</w:t>
      </w:r>
      <w:r w:rsidRPr="002614E7">
        <w:rPr>
          <w:rFonts w:hint="cs"/>
          <w:i/>
          <w:sz w:val="23"/>
          <w:szCs w:val="23"/>
          <w:rtl/>
        </w:rPr>
        <w:softHyphen/>
        <w:t>ی حقیقی در دوره</w:t>
      </w:r>
      <w:r w:rsidRPr="002614E7">
        <w:rPr>
          <w:rFonts w:hint="cs"/>
          <w:i/>
          <w:sz w:val="23"/>
          <w:szCs w:val="23"/>
          <w:rtl/>
        </w:rPr>
        <w:softHyphen/>
        <w:t>های بعدی بدون تغییر باشد،</w:t>
      </w:r>
      <w:r w:rsidRPr="002614E7">
        <w:rPr>
          <w:position w:val="-10"/>
        </w:rPr>
        <w:object w:dxaOrig="200" w:dyaOrig="320" w14:anchorId="2A86FA17">
          <v:shape id="_x0000_i6862" type="#_x0000_t75" style="width:10.3pt;height:15.75pt" o:ole="">
            <v:imagedata r:id="rId11788" o:title=""/>
          </v:shape>
          <o:OLEObject Type="Embed" ProgID="Equation.DSMT4" ShapeID="_x0000_i6862" DrawAspect="Content" ObjectID="_1791380806" r:id="rId11789"/>
        </w:object>
      </w:r>
      <w:r w:rsidRPr="002614E7">
        <w:rPr>
          <w:rFonts w:hint="cs"/>
          <w:i/>
          <w:sz w:val="23"/>
          <w:szCs w:val="23"/>
          <w:rtl/>
        </w:rPr>
        <w:t xml:space="preserve"> برابر با</w:t>
      </w:r>
      <w:r w:rsidRPr="002614E7">
        <w:rPr>
          <w:position w:val="-10"/>
        </w:rPr>
        <w:object w:dxaOrig="300" w:dyaOrig="340" w14:anchorId="17350AF1">
          <v:shape id="_x0000_i6863" type="#_x0000_t75" style="width:14.5pt;height:16.95pt" o:ole="">
            <v:imagedata r:id="rId11790" o:title=""/>
          </v:shape>
          <o:OLEObject Type="Embed" ProgID="Equation.DSMT4" ShapeID="_x0000_i6863" DrawAspect="Content" ObjectID="_1791380807" r:id="rId11791"/>
        </w:object>
      </w:r>
      <w:r w:rsidRPr="002614E7">
        <w:rPr>
          <w:rFonts w:hint="cs"/>
          <w:i/>
          <w:sz w:val="23"/>
          <w:szCs w:val="23"/>
          <w:rtl/>
        </w:rPr>
        <w:t xml:space="preserve">و </w:t>
      </w:r>
      <w:r w:rsidRPr="002614E7">
        <w:rPr>
          <w:position w:val="-10"/>
        </w:rPr>
        <w:object w:dxaOrig="740" w:dyaOrig="320" w14:anchorId="68F18E13">
          <v:shape id="_x0000_i6864" type="#_x0000_t75" style="width:36.9pt;height:15.75pt" o:ole="">
            <v:imagedata r:id="rId11792" o:title=""/>
          </v:shape>
          <o:OLEObject Type="Embed" ProgID="Equation.DSMT4" ShapeID="_x0000_i6864" DrawAspect="Content" ObjectID="_1791380808" r:id="rId11793"/>
        </w:object>
      </w:r>
      <w:r w:rsidRPr="002614E7">
        <w:rPr>
          <w:rFonts w:hint="cs"/>
          <w:i/>
          <w:sz w:val="23"/>
          <w:szCs w:val="23"/>
          <w:rtl/>
        </w:rPr>
        <w:t xml:space="preserve"> برابر با</w:t>
      </w:r>
      <w:r w:rsidRPr="002614E7">
        <w:rPr>
          <w:position w:val="-10"/>
        </w:rPr>
        <w:object w:dxaOrig="740" w:dyaOrig="340" w14:anchorId="15E45688">
          <v:shape id="_x0000_i6865" type="#_x0000_t75" style="width:36.9pt;height:16.95pt" o:ole="">
            <v:imagedata r:id="rId11794" o:title=""/>
          </v:shape>
          <o:OLEObject Type="Embed" ProgID="Equation.DSMT4" ShapeID="_x0000_i6865" DrawAspect="Content" ObjectID="_1791380809" r:id="rId11795"/>
        </w:object>
      </w:r>
      <w:r w:rsidRPr="002614E7">
        <w:rPr>
          <w:rFonts w:hint="cs"/>
          <w:i/>
          <w:sz w:val="23"/>
          <w:szCs w:val="23"/>
          <w:rtl/>
        </w:rPr>
        <w:t xml:space="preserve"> خواهد شد. از توابع مصرف برای دوره‌های </w:t>
      </w:r>
      <w:r w:rsidRPr="002614E7">
        <w:rPr>
          <w:i/>
          <w:sz w:val="23"/>
          <w:szCs w:val="23"/>
        </w:rPr>
        <w:t>t</w:t>
      </w:r>
      <w:r w:rsidRPr="002614E7">
        <w:rPr>
          <w:rFonts w:hint="cs"/>
          <w:i/>
          <w:sz w:val="23"/>
          <w:szCs w:val="23"/>
          <w:rtl/>
        </w:rPr>
        <w:t xml:space="preserve"> و </w:t>
      </w:r>
      <w:r w:rsidRPr="002614E7">
        <w:rPr>
          <w:position w:val="-6"/>
        </w:rPr>
        <w:object w:dxaOrig="440" w:dyaOrig="260" w14:anchorId="73D85AE5">
          <v:shape id="_x0000_i6866" type="#_x0000_t75" style="width:21.8pt;height:13.3pt" o:ole="">
            <v:imagedata r:id="rId11796" o:title=""/>
          </v:shape>
          <o:OLEObject Type="Embed" ProgID="Equation.DSMT4" ShapeID="_x0000_i6866" DrawAspect="Content" ObjectID="_1791380810" r:id="rId11797"/>
        </w:object>
      </w:r>
      <w:r w:rsidRPr="002614E7">
        <w:rPr>
          <w:rFonts w:hint="cs"/>
          <w:i/>
          <w:sz w:val="23"/>
          <w:szCs w:val="23"/>
          <w:rtl/>
        </w:rPr>
        <w:t xml:space="preserve"> و ثابت بودن درآمد از معادله</w:t>
      </w:r>
      <w:r w:rsidRPr="002614E7">
        <w:rPr>
          <w:rFonts w:hint="cs"/>
          <w:i/>
          <w:sz w:val="23"/>
          <w:szCs w:val="23"/>
          <w:rtl/>
        </w:rPr>
        <w:softHyphen/>
        <w:t>ی (۱۴. ۲۹) خواهیم داشت.</w:t>
      </w:r>
    </w:p>
    <w:p w14:paraId="064A5E70"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6"/>
        </w:rPr>
        <w:object w:dxaOrig="5520" w:dyaOrig="620" w14:anchorId="4E240BEF">
          <v:shape id="_x0000_i6867" type="#_x0000_t75" style="width:275.9pt;height:30.85pt" o:ole="">
            <v:imagedata r:id="rId11798" o:title=""/>
          </v:shape>
          <o:OLEObject Type="Embed" ProgID="Equation.DSMT4" ShapeID="_x0000_i6867" DrawAspect="Content" ObjectID="_1791380811" r:id="rId11799"/>
        </w:object>
      </w:r>
    </w:p>
    <w:p w14:paraId="6E15AA54" w14:textId="77777777" w:rsidR="00556C10" w:rsidRPr="002614E7" w:rsidRDefault="00556C10" w:rsidP="00556C10">
      <w:pPr>
        <w:spacing w:line="216" w:lineRule="auto"/>
        <w:rPr>
          <w:i/>
          <w:sz w:val="23"/>
          <w:szCs w:val="23"/>
          <w:rtl/>
        </w:rPr>
      </w:pPr>
      <w:r w:rsidRPr="002614E7">
        <w:rPr>
          <w:rFonts w:hint="cs"/>
          <w:i/>
          <w:sz w:val="23"/>
          <w:szCs w:val="23"/>
          <w:rtl/>
        </w:rPr>
        <w:t>بنابراین، در نتیجه</w:t>
      </w:r>
      <w:r w:rsidRPr="002614E7">
        <w:rPr>
          <w:rFonts w:hint="cs"/>
          <w:i/>
          <w:sz w:val="23"/>
          <w:szCs w:val="23"/>
          <w:rtl/>
        </w:rPr>
        <w:softHyphen/>
        <w:t>ی یک واحد افزایش در</w:t>
      </w:r>
      <w:r w:rsidRPr="002614E7">
        <w:rPr>
          <w:position w:val="-10"/>
        </w:rPr>
        <w:object w:dxaOrig="520" w:dyaOrig="320" w14:anchorId="57EABCB2">
          <v:shape id="_x0000_i6868" type="#_x0000_t75" style="width:26pt;height:15.75pt" o:ole="">
            <v:imagedata r:id="rId11800" o:title=""/>
          </v:shape>
          <o:OLEObject Type="Embed" ProgID="Equation.DSMT4" ShapeID="_x0000_i6868" DrawAspect="Content" ObjectID="_1791380812" r:id="rId11801"/>
        </w:object>
      </w:r>
      <w:r w:rsidRPr="002614E7">
        <w:rPr>
          <w:rFonts w:hint="cs"/>
          <w:i/>
          <w:sz w:val="23"/>
          <w:szCs w:val="23"/>
          <w:rtl/>
        </w:rPr>
        <w:t>، نرخ رشد انتظاری مصرف برابر خواهد شد با:</w:t>
      </w:r>
    </w:p>
    <w:p w14:paraId="50345454"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6"/>
        </w:rPr>
        <w:object w:dxaOrig="5560" w:dyaOrig="620" w14:anchorId="6355CF94">
          <v:shape id="_x0000_i6869" type="#_x0000_t75" style="width:277.7pt;height:30.85pt" o:ole="">
            <v:imagedata r:id="rId11802" o:title=""/>
          </v:shape>
          <o:OLEObject Type="Embed" ProgID="Equation.DSMT4" ShapeID="_x0000_i6869" DrawAspect="Content" ObjectID="_1791380813" r:id="rId11803"/>
        </w:object>
      </w:r>
    </w:p>
    <w:p w14:paraId="02940631" w14:textId="77777777" w:rsidR="00556C10" w:rsidRPr="002614E7" w:rsidRDefault="00556C10" w:rsidP="00556C10">
      <w:pPr>
        <w:spacing w:line="216" w:lineRule="auto"/>
        <w:rPr>
          <w:i/>
          <w:sz w:val="23"/>
          <w:szCs w:val="23"/>
          <w:rtl/>
        </w:rPr>
      </w:pPr>
      <w:r w:rsidRPr="002614E7">
        <w:rPr>
          <w:rFonts w:hint="cs"/>
          <w:i/>
          <w:sz w:val="23"/>
          <w:szCs w:val="23"/>
          <w:rtl/>
        </w:rPr>
        <w:t>از معادله اویلر (۱۴. ۲۳)</w:t>
      </w:r>
      <w:r w:rsidRPr="002614E7">
        <w:rPr>
          <w:rFonts w:eastAsiaTheme="minorEastAsia" w:hint="cs"/>
          <w:i/>
          <w:sz w:val="23"/>
          <w:szCs w:val="23"/>
          <w:rtl/>
        </w:rPr>
        <w:t xml:space="preserve"> داریم</w:t>
      </w:r>
    </w:p>
    <w:p w14:paraId="03BE39F4"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2"/>
        </w:rPr>
        <w:object w:dxaOrig="2620" w:dyaOrig="560" w14:anchorId="6E095594">
          <v:shape id="_x0000_i6870" type="#_x0000_t75" style="width:130.7pt;height:27.85pt" o:ole="">
            <v:imagedata r:id="rId11804" o:title=""/>
          </v:shape>
          <o:OLEObject Type="Embed" ProgID="Equation.DSMT4" ShapeID="_x0000_i6870" DrawAspect="Content" ObjectID="_1791380814" r:id="rId11805"/>
        </w:object>
      </w:r>
    </w:p>
    <w:p w14:paraId="33C2094E" w14:textId="77777777" w:rsidR="00556C10" w:rsidRPr="002614E7" w:rsidRDefault="00556C10" w:rsidP="00556C10">
      <w:pPr>
        <w:spacing w:line="216" w:lineRule="auto"/>
        <w:rPr>
          <w:i/>
          <w:sz w:val="23"/>
          <w:szCs w:val="23"/>
          <w:rtl/>
        </w:rPr>
      </w:pPr>
      <w:r w:rsidRPr="002614E7">
        <w:rPr>
          <w:rFonts w:hint="cs"/>
          <w:i/>
          <w:sz w:val="23"/>
          <w:szCs w:val="23"/>
          <w:rtl/>
        </w:rPr>
        <w:t>که نشان می‌دهد</w:t>
      </w:r>
    </w:p>
    <w:p w14:paraId="35EBC0A1"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2"/>
        </w:rPr>
        <w:object w:dxaOrig="2659" w:dyaOrig="560" w14:anchorId="7724EF6C">
          <v:shape id="_x0000_i6871" type="#_x0000_t75" style="width:133.1pt;height:27.85pt" o:ole="">
            <v:imagedata r:id="rId11806" o:title=""/>
          </v:shape>
          <o:OLEObject Type="Embed" ProgID="Equation.DSMT4" ShapeID="_x0000_i6871" DrawAspect="Content" ObjectID="_1791380815" r:id="rId11807"/>
        </w:object>
      </w:r>
    </w:p>
    <w:p w14:paraId="3049C023" w14:textId="77777777" w:rsidR="00556C10" w:rsidRPr="002614E7" w:rsidRDefault="00556C10" w:rsidP="00556C10">
      <w:pPr>
        <w:spacing w:line="216" w:lineRule="auto"/>
        <w:rPr>
          <w:i/>
          <w:sz w:val="23"/>
          <w:szCs w:val="23"/>
          <w:rtl/>
        </w:rPr>
      </w:pPr>
      <w:r w:rsidRPr="002614E7">
        <w:rPr>
          <w:rFonts w:hint="cs"/>
          <w:i/>
          <w:sz w:val="23"/>
          <w:szCs w:val="23"/>
          <w:rtl/>
        </w:rPr>
        <w:t>و</w:t>
      </w:r>
    </w:p>
    <w:p w14:paraId="185CC034"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34"/>
        </w:rPr>
        <w:object w:dxaOrig="3260" w:dyaOrig="680" w14:anchorId="5F01E85C">
          <v:shape id="_x0000_i6872" type="#_x0000_t75" style="width:162.75pt;height:33.9pt" o:ole="">
            <v:imagedata r:id="rId11808" o:title=""/>
          </v:shape>
          <o:OLEObject Type="Embed" ProgID="Equation.DSMT4" ShapeID="_x0000_i6872" DrawAspect="Content" ObjectID="_1791380816" r:id="rId11809"/>
        </w:object>
      </w:r>
    </w:p>
    <w:p w14:paraId="39465B4A" w14:textId="77777777" w:rsidR="00556C10" w:rsidRPr="002614E7" w:rsidRDefault="00556C10" w:rsidP="00556C10">
      <w:pPr>
        <w:spacing w:line="216" w:lineRule="auto"/>
        <w:rPr>
          <w:i/>
          <w:sz w:val="23"/>
          <w:szCs w:val="23"/>
          <w:rtl/>
        </w:rPr>
      </w:pPr>
      <w:r w:rsidRPr="002614E7">
        <w:rPr>
          <w:rFonts w:hint="cs"/>
          <w:i/>
          <w:sz w:val="23"/>
          <w:szCs w:val="23"/>
          <w:rtl/>
        </w:rPr>
        <w:t>لذا افزایش نرخ بهره باعث افزایش نرخ رشد مصرف انتظاری، کاهش مصرف جاری، و کاهش خالص دارایی</w:t>
      </w:r>
      <w:r w:rsidRPr="002614E7">
        <w:rPr>
          <w:rFonts w:hint="cs"/>
          <w:i/>
          <w:sz w:val="23"/>
          <w:szCs w:val="23"/>
          <w:rtl/>
        </w:rPr>
        <w:softHyphen/>
        <w:t>ها خواهد شد. چنانچه خانوار دارای خالص بدهی‌ها باشد نتایج مشابه و متناظری را می‌توان به دست آورد. نتایج فوق دلالت بر این دارد که برای تعیین اثر تغییرات نرخ بهره</w:t>
      </w:r>
      <w:r w:rsidRPr="002614E7">
        <w:rPr>
          <w:rFonts w:hint="cs"/>
          <w:i/>
          <w:sz w:val="23"/>
          <w:szCs w:val="23"/>
          <w:rtl/>
        </w:rPr>
        <w:softHyphen/>
        <w:t xml:space="preserve">ی حقیقی بر مصرف، </w:t>
      </w:r>
      <w:r w:rsidRPr="002614E7">
        <w:rPr>
          <w:rFonts w:hint="cs"/>
          <w:i/>
          <w:sz w:val="23"/>
          <w:szCs w:val="23"/>
          <w:rtl/>
        </w:rPr>
        <w:lastRenderedPageBreak/>
        <w:t>یا باید تابع مصرف را به جای معادله</w:t>
      </w:r>
      <w:r w:rsidRPr="002614E7">
        <w:rPr>
          <w:rFonts w:hint="cs"/>
          <w:i/>
          <w:sz w:val="23"/>
          <w:szCs w:val="23"/>
          <w:rtl/>
        </w:rPr>
        <w:softHyphen/>
        <w:t>ی مصرف اویلر استفاده کنیم، و یا باید قید بودجه را به انضمام معادله</w:t>
      </w:r>
      <w:r w:rsidRPr="002614E7">
        <w:rPr>
          <w:rFonts w:hint="cs"/>
          <w:i/>
          <w:sz w:val="23"/>
          <w:szCs w:val="23"/>
          <w:rtl/>
        </w:rPr>
        <w:softHyphen/>
        <w:t>ی اویلر به کار گیریم.</w:t>
      </w:r>
    </w:p>
    <w:p w14:paraId="5B28FBE6" w14:textId="77777777" w:rsidR="00556C10" w:rsidRPr="002614E7" w:rsidRDefault="00556C10" w:rsidP="00556C10">
      <w:pPr>
        <w:spacing w:line="216" w:lineRule="auto"/>
        <w:rPr>
          <w:i/>
          <w:sz w:val="23"/>
          <w:szCs w:val="23"/>
          <w:rtl/>
        </w:rPr>
      </w:pPr>
      <w:r w:rsidRPr="002614E7">
        <w:rPr>
          <w:rFonts w:hint="cs"/>
          <w:i/>
          <w:sz w:val="23"/>
          <w:szCs w:val="23"/>
          <w:rtl/>
        </w:rPr>
        <w:t xml:space="preserve">در این خصوص مشکلات دیگری نیز وجود دارد. استخراج تابع </w:t>
      </w:r>
      <w:r w:rsidRPr="002614E7">
        <w:rPr>
          <w:i/>
          <w:sz w:val="23"/>
          <w:szCs w:val="23"/>
        </w:rPr>
        <w:t>IS</w:t>
      </w:r>
      <w:r w:rsidRPr="002614E7">
        <w:rPr>
          <w:rFonts w:hint="cs"/>
          <w:i/>
          <w:sz w:val="23"/>
          <w:szCs w:val="23"/>
          <w:rtl/>
        </w:rPr>
        <w:t xml:space="preserve"> کینزین جدید بر مبنای تصمیمات خانوار و نه یک مدل اقتصادی کامل است. اکنون این نقیصه را اصلاح خواهیم کرد. فرض کنید مسئله کل اقتصاد بسته،</w:t>
      </w:r>
      <w:r w:rsidRPr="002614E7">
        <w:rPr>
          <w:rFonts w:hint="cs"/>
          <w:i/>
          <w:sz w:val="23"/>
          <w:szCs w:val="23"/>
          <w:rtl/>
        </w:rPr>
        <w:softHyphen/>
        <w:t xml:space="preserve"> حداکثر کردن مطلوبیت تنزیل شده</w:t>
      </w:r>
      <w:r w:rsidRPr="002614E7">
        <w:rPr>
          <w:i/>
          <w:sz w:val="23"/>
          <w:szCs w:val="23"/>
          <w:rtl/>
        </w:rPr>
        <w:softHyphen/>
      </w:r>
      <w:r w:rsidRPr="002614E7">
        <w:rPr>
          <w:rFonts w:hint="cs"/>
          <w:i/>
          <w:sz w:val="23"/>
          <w:szCs w:val="23"/>
          <w:rtl/>
        </w:rPr>
        <w:t>ی زیر</w:t>
      </w:r>
    </w:p>
    <w:p w14:paraId="4E549479"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6"/>
        </w:rPr>
        <w:object w:dxaOrig="3140" w:dyaOrig="620" w14:anchorId="673C0170">
          <v:shape id="_x0000_i6873" type="#_x0000_t75" style="width:157.3pt;height:30.85pt" o:ole="">
            <v:imagedata r:id="rId11810" o:title=""/>
          </v:shape>
          <o:OLEObject Type="Embed" ProgID="Equation.DSMT4" ShapeID="_x0000_i6873" DrawAspect="Content" ObjectID="_1791380817" r:id="rId11811"/>
        </w:object>
      </w:r>
    </w:p>
    <w:p w14:paraId="1DD0D1B5" w14:textId="77777777" w:rsidR="00556C10" w:rsidRPr="002614E7" w:rsidRDefault="00556C10" w:rsidP="00556C10">
      <w:pPr>
        <w:spacing w:line="216" w:lineRule="auto"/>
        <w:rPr>
          <w:i/>
          <w:sz w:val="23"/>
          <w:szCs w:val="23"/>
          <w:rtl/>
        </w:rPr>
      </w:pPr>
      <w:r w:rsidRPr="002614E7">
        <w:rPr>
          <w:rFonts w:hint="cs"/>
          <w:i/>
          <w:sz w:val="23"/>
          <w:szCs w:val="23"/>
          <w:rtl/>
        </w:rPr>
        <w:t>نسبت به</w:t>
      </w:r>
    </w:p>
    <w:p w14:paraId="6F09C7DF" w14:textId="77777777" w:rsidR="00556C10" w:rsidRPr="002614E7" w:rsidRDefault="00556C10" w:rsidP="00556C10">
      <w:pPr>
        <w:bidi w:val="0"/>
        <w:spacing w:line="216" w:lineRule="auto"/>
        <w:rPr>
          <w:i/>
          <w:sz w:val="23"/>
          <w:szCs w:val="23"/>
          <w:rtl/>
        </w:rPr>
      </w:pPr>
      <w:r w:rsidRPr="002614E7">
        <w:rPr>
          <w:position w:val="-10"/>
        </w:rPr>
        <w:object w:dxaOrig="1400" w:dyaOrig="320" w14:anchorId="041014BC">
          <v:shape id="_x0000_i6874" type="#_x0000_t75" style="width:70.2pt;height:15.75pt" o:ole="">
            <v:imagedata r:id="rId11812" o:title=""/>
          </v:shape>
          <o:OLEObject Type="Embed" ProgID="Equation.DSMT4" ShapeID="_x0000_i6874" DrawAspect="Content" ObjectID="_1791380818" r:id="rId11813"/>
        </w:object>
      </w:r>
    </w:p>
    <w:p w14:paraId="65459BEA" w14:textId="77777777" w:rsidR="00556C10" w:rsidRPr="002614E7" w:rsidRDefault="00556C10" w:rsidP="00556C10">
      <w:pPr>
        <w:bidi w:val="0"/>
        <w:spacing w:line="216" w:lineRule="auto"/>
        <w:rPr>
          <w:i/>
          <w:sz w:val="23"/>
          <w:szCs w:val="23"/>
          <w:rtl/>
        </w:rPr>
      </w:pPr>
      <w:r w:rsidRPr="002614E7">
        <w:rPr>
          <w:position w:val="-10"/>
        </w:rPr>
        <w:object w:dxaOrig="1320" w:dyaOrig="340" w14:anchorId="77F82B1D">
          <v:shape id="_x0000_i6875" type="#_x0000_t75" style="width:65.95pt;height:16.95pt" o:ole="">
            <v:imagedata r:id="rId11814" o:title=""/>
          </v:shape>
          <o:OLEObject Type="Embed" ProgID="Equation.DSMT4" ShapeID="_x0000_i6875" DrawAspect="Content" ObjectID="_1791380819" r:id="rId11815"/>
        </w:object>
      </w:r>
    </w:p>
    <w:p w14:paraId="3A7B3B0C" w14:textId="77777777" w:rsidR="00556C10" w:rsidRPr="002614E7" w:rsidRDefault="00556C10" w:rsidP="00556C10">
      <w:pPr>
        <w:bidi w:val="0"/>
        <w:spacing w:line="216" w:lineRule="auto"/>
        <w:rPr>
          <w:i/>
          <w:sz w:val="23"/>
          <w:szCs w:val="23"/>
          <w:rtl/>
        </w:rPr>
      </w:pPr>
      <w:r w:rsidRPr="002614E7">
        <w:rPr>
          <w:position w:val="-10"/>
        </w:rPr>
        <w:object w:dxaOrig="1400" w:dyaOrig="320" w14:anchorId="069AE7EE">
          <v:shape id="_x0000_i6876" type="#_x0000_t75" style="width:70.2pt;height:15.75pt" o:ole="">
            <v:imagedata r:id="rId11816" o:title=""/>
          </v:shape>
          <o:OLEObject Type="Embed" ProgID="Equation.DSMT4" ShapeID="_x0000_i6876" DrawAspect="Content" ObjectID="_1791380820" r:id="rId11817"/>
        </w:object>
      </w:r>
    </w:p>
    <w:p w14:paraId="24950970"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0"/>
        </w:rPr>
        <w:object w:dxaOrig="900" w:dyaOrig="320" w14:anchorId="7FC05A9E">
          <v:shape id="_x0000_i6877" type="#_x0000_t75" style="width:45.4pt;height:15.75pt" o:ole="">
            <v:imagedata r:id="rId11818" o:title=""/>
          </v:shape>
          <o:OLEObject Type="Embed" ProgID="Equation.DSMT4" ShapeID="_x0000_i6877" DrawAspect="Content" ObjectID="_1791380821" r:id="rId11819"/>
        </w:object>
      </w:r>
    </w:p>
    <w:p w14:paraId="0497CB82" w14:textId="77777777" w:rsidR="00556C10" w:rsidRPr="002614E7" w:rsidRDefault="00556C10" w:rsidP="00556C10">
      <w:pPr>
        <w:spacing w:line="216" w:lineRule="auto"/>
        <w:rPr>
          <w:i/>
          <w:sz w:val="23"/>
          <w:szCs w:val="23"/>
        </w:rPr>
      </w:pPr>
      <w:r w:rsidRPr="002614E7">
        <w:rPr>
          <w:rFonts w:hint="cs"/>
          <w:i/>
          <w:sz w:val="23"/>
          <w:szCs w:val="23"/>
          <w:rtl/>
        </w:rPr>
        <w:t xml:space="preserve"> ‌باشد، که در آن</w:t>
      </w:r>
      <w:r w:rsidRPr="002614E7">
        <w:rPr>
          <w:position w:val="-8"/>
        </w:rPr>
        <w:object w:dxaOrig="200" w:dyaOrig="220" w14:anchorId="11615257">
          <v:shape id="_x0000_i6878" type="#_x0000_t75" style="width:10.3pt;height:10.9pt" o:ole="">
            <v:imagedata r:id="rId11820" o:title=""/>
          </v:shape>
          <o:OLEObject Type="Embed" ProgID="Equation.DSMT4" ShapeID="_x0000_i6878" DrawAspect="Content" ObjectID="_1791380822" r:id="rId11821"/>
        </w:object>
      </w:r>
      <w:r w:rsidRPr="002614E7">
        <w:rPr>
          <w:rFonts w:hint="cs"/>
          <w:i/>
          <w:sz w:val="23"/>
          <w:szCs w:val="23"/>
          <w:rtl/>
        </w:rPr>
        <w:t xml:space="preserve"> عبارت است از تولید،</w:t>
      </w:r>
      <w:r w:rsidRPr="002614E7">
        <w:rPr>
          <w:position w:val="-6"/>
        </w:rPr>
        <w:object w:dxaOrig="160" w:dyaOrig="200" w14:anchorId="5DA09FA8">
          <v:shape id="_x0000_i6879" type="#_x0000_t75" style="width:7.85pt;height:10.3pt" o:ole="">
            <v:imagedata r:id="rId11822" o:title=""/>
          </v:shape>
          <o:OLEObject Type="Embed" ProgID="Equation.DSMT4" ShapeID="_x0000_i6879" DrawAspect="Content" ObjectID="_1791380823" r:id="rId11823"/>
        </w:object>
      </w:r>
      <w:r w:rsidRPr="002614E7">
        <w:rPr>
          <w:rFonts w:hint="cs"/>
          <w:i/>
          <w:sz w:val="23"/>
          <w:szCs w:val="23"/>
          <w:rtl/>
        </w:rPr>
        <w:t xml:space="preserve"> مصرف،</w:t>
      </w:r>
      <w:r w:rsidRPr="002614E7">
        <w:rPr>
          <w:position w:val="-6"/>
        </w:rPr>
        <w:object w:dxaOrig="139" w:dyaOrig="260" w14:anchorId="7619D7E1">
          <v:shape id="_x0000_i6880" type="#_x0000_t75" style="width:6.65pt;height:13.3pt" o:ole="">
            <v:imagedata r:id="rId11824" o:title=""/>
          </v:shape>
          <o:OLEObject Type="Embed" ProgID="Equation.DSMT4" ShapeID="_x0000_i6880" DrawAspect="Content" ObjectID="_1791380824" r:id="rId11825"/>
        </w:object>
      </w:r>
      <w:r w:rsidRPr="002614E7">
        <w:rPr>
          <w:rFonts w:hint="cs"/>
          <w:i/>
          <w:sz w:val="23"/>
          <w:szCs w:val="23"/>
          <w:rtl/>
        </w:rPr>
        <w:t>فراغت،</w:t>
      </w:r>
      <w:r w:rsidRPr="002614E7">
        <w:rPr>
          <w:position w:val="-6"/>
        </w:rPr>
        <w:object w:dxaOrig="200" w:dyaOrig="200" w14:anchorId="587BC980">
          <v:shape id="_x0000_i6881" type="#_x0000_t75" style="width:10.3pt;height:10.3pt" o:ole="">
            <v:imagedata r:id="rId11826" o:title=""/>
          </v:shape>
          <o:OLEObject Type="Embed" ProgID="Equation.DSMT4" ShapeID="_x0000_i6881" DrawAspect="Content" ObjectID="_1791380825" r:id="rId11827"/>
        </w:object>
      </w:r>
      <w:r w:rsidRPr="002614E7">
        <w:rPr>
          <w:rFonts w:hint="cs"/>
          <w:i/>
          <w:sz w:val="23"/>
          <w:szCs w:val="23"/>
          <w:rtl/>
        </w:rPr>
        <w:t>کار،</w:t>
      </w:r>
      <w:r w:rsidRPr="002614E7">
        <w:rPr>
          <w:position w:val="-6"/>
        </w:rPr>
        <w:object w:dxaOrig="139" w:dyaOrig="260" w14:anchorId="1FEE0998">
          <v:shape id="_x0000_i6882" type="#_x0000_t75" style="width:6.65pt;height:13.3pt" o:ole="">
            <v:imagedata r:id="rId11828" o:title=""/>
          </v:shape>
          <o:OLEObject Type="Embed" ProgID="Equation.DSMT4" ShapeID="_x0000_i6882" DrawAspect="Content" ObjectID="_1791380826" r:id="rId11829"/>
        </w:object>
      </w:r>
      <w:r w:rsidRPr="002614E7">
        <w:rPr>
          <w:rFonts w:hint="cs"/>
          <w:i/>
          <w:sz w:val="23"/>
          <w:szCs w:val="23"/>
          <w:rtl/>
        </w:rPr>
        <w:t>سرمایه</w:t>
      </w:r>
      <w:r w:rsidRPr="002614E7">
        <w:rPr>
          <w:rFonts w:hint="cs"/>
          <w:i/>
          <w:sz w:val="23"/>
          <w:szCs w:val="23"/>
          <w:rtl/>
        </w:rPr>
        <w:softHyphen/>
        <w:t>‌گذاری،</w:t>
      </w:r>
      <w:r w:rsidRPr="002614E7">
        <w:rPr>
          <w:position w:val="-6"/>
        </w:rPr>
        <w:object w:dxaOrig="200" w:dyaOrig="260" w14:anchorId="09F2DABF">
          <v:shape id="_x0000_i6883" type="#_x0000_t75" style="width:10.3pt;height:13.3pt" o:ole="">
            <v:imagedata r:id="rId11830" o:title=""/>
          </v:shape>
          <o:OLEObject Type="Embed" ProgID="Equation.DSMT4" ShapeID="_x0000_i6883" DrawAspect="Content" ObjectID="_1791380827" r:id="rId11831"/>
        </w:object>
      </w:r>
      <w:r w:rsidRPr="002614E7">
        <w:rPr>
          <w:rFonts w:hint="cs"/>
          <w:i/>
          <w:sz w:val="23"/>
          <w:szCs w:val="23"/>
          <w:rtl/>
        </w:rPr>
        <w:t>موجودی سرمایه،</w:t>
      </w:r>
      <w:r w:rsidRPr="002614E7">
        <w:rPr>
          <w:position w:val="-8"/>
        </w:rPr>
        <w:object w:dxaOrig="220" w:dyaOrig="240" w14:anchorId="44BE92A6">
          <v:shape id="_x0000_i6884" type="#_x0000_t75" style="width:10.9pt;height:11.5pt" o:ole="">
            <v:imagedata r:id="rId11832" o:title=""/>
          </v:shape>
          <o:OLEObject Type="Embed" ProgID="Equation.DSMT4" ShapeID="_x0000_i6884" DrawAspect="Content" ObjectID="_1791380828" r:id="rId11833"/>
        </w:object>
      </w:r>
      <w:r w:rsidRPr="002614E7">
        <w:rPr>
          <w:i/>
          <w:sz w:val="23"/>
          <w:szCs w:val="23"/>
        </w:rPr>
        <w:t xml:space="preserve"> </w:t>
      </w:r>
      <w:r w:rsidRPr="002614E7">
        <w:rPr>
          <w:rFonts w:hint="cs"/>
          <w:i/>
          <w:sz w:val="23"/>
          <w:szCs w:val="23"/>
          <w:rtl/>
        </w:rPr>
        <w:t>مخارج دولتی و</w:t>
      </w:r>
      <w:r w:rsidRPr="00025957">
        <w:rPr>
          <w:position w:val="-4"/>
        </w:rPr>
        <w:object w:dxaOrig="240" w:dyaOrig="240" w14:anchorId="5E0CCC29">
          <v:shape id="_x0000_i6885" type="#_x0000_t75" style="width:11.5pt;height:11.5pt" o:ole="">
            <v:imagedata r:id="rId11834" o:title=""/>
          </v:shape>
          <o:OLEObject Type="Embed" ProgID="Equation.DSMT4" ShapeID="_x0000_i6885" DrawAspect="Content" ObjectID="_1791380829" r:id="rId11835"/>
        </w:object>
      </w:r>
      <w:r w:rsidRPr="002614E7">
        <w:rPr>
          <w:rFonts w:hint="cs"/>
          <w:i/>
          <w:sz w:val="23"/>
          <w:szCs w:val="23"/>
          <w:rtl/>
        </w:rPr>
        <w:t xml:space="preserve"> پیشرفت تکنولوژیکی است. نتایج حل این مدل عبارت است:</w:t>
      </w:r>
    </w:p>
    <w:p w14:paraId="4E66E815"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2"/>
        </w:rPr>
        <w:object w:dxaOrig="2340" w:dyaOrig="560" w14:anchorId="2C012347">
          <v:shape id="_x0000_i6886" type="#_x0000_t75" style="width:117.4pt;height:27.85pt" o:ole="">
            <v:imagedata r:id="rId11836" o:title=""/>
          </v:shape>
          <o:OLEObject Type="Embed" ProgID="Equation.DSMT4" ShapeID="_x0000_i6886" DrawAspect="Content" ObjectID="_1791380830" r:id="rId11837"/>
        </w:object>
      </w:r>
    </w:p>
    <w:p w14:paraId="5CE24DC3"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2"/>
        </w:rPr>
        <w:object w:dxaOrig="1920" w:dyaOrig="360" w14:anchorId="42B3213A">
          <v:shape id="_x0000_i6887" type="#_x0000_t75" style="width:96.2pt;height:18.15pt" o:ole="">
            <v:imagedata r:id="rId11838" o:title=""/>
          </v:shape>
          <o:OLEObject Type="Embed" ProgID="Equation.DSMT4" ShapeID="_x0000_i6887" DrawAspect="Content" ObjectID="_1791380831" r:id="rId11839"/>
        </w:object>
      </w:r>
    </w:p>
    <w:p w14:paraId="70CE0D66"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28"/>
        </w:rPr>
        <w:object w:dxaOrig="1400" w:dyaOrig="639" w14:anchorId="6D0E7E04">
          <v:shape id="_x0000_i6888" type="#_x0000_t75" style="width:70.2pt;height:32.05pt" o:ole="">
            <v:imagedata r:id="rId11840" o:title=""/>
          </v:shape>
          <o:OLEObject Type="Embed" ProgID="Equation.DSMT4" ShapeID="_x0000_i6888" DrawAspect="Content" ObjectID="_1791380832" r:id="rId11841"/>
        </w:object>
      </w:r>
    </w:p>
    <w:p w14:paraId="2BE500E9" w14:textId="77777777" w:rsidR="00556C10" w:rsidRPr="002614E7" w:rsidRDefault="00556C10" w:rsidP="00556C10">
      <w:pPr>
        <w:spacing w:line="216" w:lineRule="auto"/>
        <w:rPr>
          <w:i/>
          <w:sz w:val="23"/>
          <w:szCs w:val="23"/>
        </w:rPr>
      </w:pPr>
      <w:r w:rsidRPr="002614E7">
        <w:rPr>
          <w:rFonts w:hint="cs"/>
          <w:i/>
          <w:sz w:val="23"/>
          <w:szCs w:val="23"/>
          <w:rtl/>
        </w:rPr>
        <w:t>تقریب لگاریتم- خطی قید منابع عبارت است از:</w:t>
      </w:r>
    </w:p>
    <w:p w14:paraId="0B60B20E"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6"/>
        </w:rPr>
        <w:object w:dxaOrig="4340" w:dyaOrig="600" w14:anchorId="60055863">
          <v:shape id="_x0000_i6889" type="#_x0000_t75" style="width:217.2pt;height:29.65pt" o:ole="">
            <v:imagedata r:id="rId11842" o:title=""/>
          </v:shape>
          <o:OLEObject Type="Embed" ProgID="Equation.DSMT4" ShapeID="_x0000_i6889" DrawAspect="Content" ObjectID="_1791380833" r:id="rId11843"/>
        </w:object>
      </w:r>
    </w:p>
    <w:p w14:paraId="179B7A89" w14:textId="77777777" w:rsidR="00556C10" w:rsidRPr="002614E7" w:rsidRDefault="00556C10" w:rsidP="00556C10">
      <w:pPr>
        <w:spacing w:line="216" w:lineRule="auto"/>
        <w:rPr>
          <w:i/>
          <w:sz w:val="23"/>
          <w:szCs w:val="23"/>
          <w:rtl/>
        </w:rPr>
      </w:pPr>
      <w:r w:rsidRPr="002614E7">
        <w:rPr>
          <w:rFonts w:hint="cs"/>
          <w:i/>
          <w:sz w:val="23"/>
          <w:szCs w:val="23"/>
          <w:rtl/>
        </w:rPr>
        <w:t>با حذف و به کارگیری معادله</w:t>
      </w:r>
      <w:r w:rsidRPr="002614E7">
        <w:rPr>
          <w:rFonts w:hint="cs"/>
          <w:i/>
          <w:sz w:val="23"/>
          <w:szCs w:val="23"/>
          <w:rtl/>
        </w:rPr>
        <w:softHyphen/>
        <w:t>ی اویلر و این که</w:t>
      </w:r>
    </w:p>
    <w:p w14:paraId="42B89D21" w14:textId="77777777" w:rsidR="00556C10" w:rsidRPr="002614E7" w:rsidRDefault="00556C10" w:rsidP="00556C10">
      <w:pPr>
        <w:bidi w:val="0"/>
        <w:spacing w:line="216" w:lineRule="auto"/>
        <w:rPr>
          <w:i/>
          <w:sz w:val="23"/>
          <w:szCs w:val="23"/>
          <w:rtl/>
        </w:rPr>
      </w:pPr>
      <w:r w:rsidRPr="002614E7">
        <w:rPr>
          <w:position w:val="-26"/>
        </w:rPr>
        <w:object w:dxaOrig="920" w:dyaOrig="620" w14:anchorId="481CAE66">
          <v:shape id="_x0000_i6890" type="#_x0000_t75" style="width:46pt;height:30.85pt" o:ole="">
            <v:imagedata r:id="rId11844" o:title=""/>
          </v:shape>
          <o:OLEObject Type="Embed" ProgID="Equation.DSMT4" ShapeID="_x0000_i6890" DrawAspect="Content" ObjectID="_1791380834" r:id="rId11845"/>
        </w:object>
      </w:r>
    </w:p>
    <w:p w14:paraId="3F70E024" w14:textId="77777777" w:rsidR="00556C10" w:rsidRPr="002614E7" w:rsidRDefault="00556C10" w:rsidP="00556C10">
      <w:pPr>
        <w:bidi w:val="0"/>
        <w:spacing w:line="216" w:lineRule="auto"/>
        <w:rPr>
          <w:i/>
          <w:sz w:val="23"/>
          <w:szCs w:val="23"/>
          <w:rtl/>
        </w:rPr>
      </w:pPr>
      <w:r w:rsidRPr="002614E7">
        <w:rPr>
          <w:position w:val="-28"/>
        </w:rPr>
        <w:object w:dxaOrig="2020" w:dyaOrig="660" w14:anchorId="0F5B5021">
          <v:shape id="_x0000_i6891" type="#_x0000_t75" style="width:101.05pt;height:32.65pt" o:ole="">
            <v:imagedata r:id="rId11846" o:title=""/>
          </v:shape>
          <o:OLEObject Type="Embed" ProgID="Equation.DSMT4" ShapeID="_x0000_i6891" DrawAspect="Content" ObjectID="_1791380835" r:id="rId11847"/>
        </w:object>
      </w:r>
      <w:r w:rsidRPr="002614E7">
        <w:rPr>
          <w:rFonts w:hint="cs"/>
          <w:i/>
          <w:sz w:val="23"/>
          <w:szCs w:val="23"/>
          <w:rtl/>
        </w:rPr>
        <w:t xml:space="preserve"> </w:t>
      </w:r>
    </w:p>
    <w:p w14:paraId="6853A728" w14:textId="77777777" w:rsidR="00556C10" w:rsidRPr="002614E7" w:rsidRDefault="00556C10" w:rsidP="00556C10">
      <w:pPr>
        <w:spacing w:line="216" w:lineRule="auto"/>
        <w:rPr>
          <w:i/>
          <w:sz w:val="23"/>
          <w:szCs w:val="23"/>
          <w:rtl/>
        </w:rPr>
      </w:pPr>
      <w:r w:rsidRPr="002614E7">
        <w:rPr>
          <w:rFonts w:hint="cs"/>
          <w:i/>
          <w:sz w:val="23"/>
          <w:szCs w:val="23"/>
          <w:rtl/>
        </w:rPr>
        <w:t xml:space="preserve">تابع </w:t>
      </w:r>
      <w:r w:rsidRPr="002614E7">
        <w:rPr>
          <w:i/>
          <w:sz w:val="23"/>
          <w:szCs w:val="23"/>
        </w:rPr>
        <w:t>IS</w:t>
      </w:r>
      <w:r w:rsidRPr="002614E7">
        <w:rPr>
          <w:rFonts w:hint="cs"/>
          <w:i/>
          <w:sz w:val="23"/>
          <w:szCs w:val="23"/>
          <w:rtl/>
        </w:rPr>
        <w:t xml:space="preserve"> عبارت خواهد بود از:</w:t>
      </w:r>
    </w:p>
    <w:p w14:paraId="6C40A0D1"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58"/>
        </w:rPr>
        <w:object w:dxaOrig="4800" w:dyaOrig="1260" w14:anchorId="3D1DC9FF">
          <v:shape id="_x0000_i6892" type="#_x0000_t75" style="width:240.2pt;height:62.9pt" o:ole="">
            <v:imagedata r:id="rId11848" o:title=""/>
          </v:shape>
          <o:OLEObject Type="Embed" ProgID="Equation.DSMT4" ShapeID="_x0000_i6892" DrawAspect="Content" ObjectID="_1791380836" r:id="rId11849"/>
        </w:object>
      </w:r>
      <w:r w:rsidRPr="002614E7">
        <w:rPr>
          <w:rFonts w:ascii="Times New Roman" w:hAnsi="Times New Roman" w:cs="B Nazanin"/>
          <w:i/>
          <w:sz w:val="23"/>
          <w:szCs w:val="23"/>
        </w:rPr>
        <w:t xml:space="preserve"> </w:t>
      </w:r>
    </w:p>
    <w:p w14:paraId="0666525D" w14:textId="77777777" w:rsidR="00556C10" w:rsidRPr="002614E7" w:rsidRDefault="00556C10" w:rsidP="00556C10">
      <w:pPr>
        <w:spacing w:line="216" w:lineRule="auto"/>
        <w:rPr>
          <w:i/>
          <w:sz w:val="23"/>
          <w:szCs w:val="23"/>
          <w:rtl/>
        </w:rPr>
      </w:pPr>
      <w:r w:rsidRPr="002614E7">
        <w:rPr>
          <w:rFonts w:hint="cs"/>
          <w:i/>
          <w:sz w:val="23"/>
          <w:szCs w:val="23"/>
          <w:rtl/>
        </w:rPr>
        <w:t>بنابراین در یک مدل کامل اقتصادی، تولید به موجودی سرمایه و مخارج دولت، و موجودی سرمایه به تولید و نرخ بهره‌ی حقیقی وابسته است. از آنجایی که افزایش در نرخ بهره</w:t>
      </w:r>
      <w:r w:rsidRPr="002614E7">
        <w:rPr>
          <w:rFonts w:hint="cs"/>
          <w:i/>
          <w:sz w:val="23"/>
          <w:szCs w:val="23"/>
          <w:rtl/>
        </w:rPr>
        <w:softHyphen/>
        <w:t xml:space="preserve">ی حقیقی باعث کاهش </w:t>
      </w:r>
      <w:r w:rsidRPr="002614E7">
        <w:rPr>
          <w:rFonts w:hint="cs"/>
          <w:i/>
          <w:sz w:val="23"/>
          <w:szCs w:val="23"/>
          <w:rtl/>
        </w:rPr>
        <w:lastRenderedPageBreak/>
        <w:t>موجودی سرمایه و به تبع آن تولید می‌شود، اثر مستقیم تغییر نرخ بهره</w:t>
      </w:r>
      <w:r w:rsidRPr="002614E7">
        <w:rPr>
          <w:rFonts w:hint="cs"/>
          <w:i/>
          <w:sz w:val="23"/>
          <w:szCs w:val="23"/>
          <w:rtl/>
        </w:rPr>
        <w:softHyphen/>
        <w:t>ی حقیقی بر تولید که مثبت است، ممکن است بخشی و یا کل آن بواسطه</w:t>
      </w:r>
      <w:r w:rsidRPr="002614E7">
        <w:rPr>
          <w:rFonts w:hint="cs"/>
          <w:i/>
          <w:sz w:val="23"/>
          <w:szCs w:val="23"/>
          <w:rtl/>
        </w:rPr>
        <w:softHyphen/>
        <w:t>ی اثر منفی نرخ بهره</w:t>
      </w:r>
      <w:r w:rsidRPr="002614E7">
        <w:rPr>
          <w:rFonts w:hint="cs"/>
          <w:i/>
          <w:sz w:val="23"/>
          <w:szCs w:val="23"/>
          <w:rtl/>
        </w:rPr>
        <w:softHyphen/>
        <w:t>ی حقیقی بر موجودی سرمایه جبران شود.</w:t>
      </w:r>
    </w:p>
    <w:p w14:paraId="1E726492" w14:textId="77777777" w:rsidR="00556C10" w:rsidRPr="002614E7" w:rsidRDefault="00556C10" w:rsidP="00556C10">
      <w:pPr>
        <w:spacing w:line="216" w:lineRule="auto"/>
        <w:rPr>
          <w:i/>
          <w:sz w:val="23"/>
          <w:szCs w:val="23"/>
          <w:rtl/>
        </w:rPr>
      </w:pPr>
      <w:r w:rsidRPr="002614E7">
        <w:rPr>
          <w:rFonts w:hint="cs"/>
          <w:i/>
          <w:sz w:val="23"/>
          <w:szCs w:val="23"/>
          <w:rtl/>
        </w:rPr>
        <w:t xml:space="preserve">نتیجه کلی که از مباحث فوق به دست می‌آید آن است که تابع </w:t>
      </w:r>
      <w:r w:rsidRPr="002614E7">
        <w:rPr>
          <w:i/>
          <w:sz w:val="23"/>
          <w:szCs w:val="23"/>
        </w:rPr>
        <w:t>IS</w:t>
      </w:r>
      <w:r w:rsidRPr="002614E7">
        <w:rPr>
          <w:rFonts w:hint="cs"/>
          <w:i/>
          <w:sz w:val="23"/>
          <w:szCs w:val="23"/>
          <w:rtl/>
        </w:rPr>
        <w:t xml:space="preserve"> کینزین جدید یک پایه تئوریک مطمئن برای بخشی از مکانیسم انتقال پولی که نرخ بهره را به تولید مرتبط می‌سازد ایجاد نخواهد کرد. نشان دادیم که تابع </w:t>
      </w:r>
      <w:r w:rsidRPr="002614E7">
        <w:rPr>
          <w:i/>
          <w:sz w:val="23"/>
          <w:szCs w:val="23"/>
        </w:rPr>
        <w:t>IS</w:t>
      </w:r>
      <w:r w:rsidRPr="002614E7">
        <w:rPr>
          <w:rFonts w:hint="cs"/>
          <w:i/>
          <w:sz w:val="23"/>
          <w:szCs w:val="23"/>
          <w:rtl/>
        </w:rPr>
        <w:t xml:space="preserve"> کینزین جدید ممکن است نتایج کاملاً گمراه کننده</w:t>
      </w:r>
      <w:r w:rsidRPr="002614E7">
        <w:rPr>
          <w:rFonts w:hint="cs"/>
          <w:i/>
          <w:sz w:val="23"/>
          <w:szCs w:val="23"/>
          <w:rtl/>
        </w:rPr>
        <w:softHyphen/>
        <w:t xml:space="preserve">ای از اثر سیاست پولی ارائه نماید. در اینجا پیشنهاد شده است که بهتر است تا تجزیه و تحلیل را با بکارگیری تابع مصرف و یا ورود قید بودجه به‌عنوان معادلات اضافی در مدل مورد بررسی قرار دهیم. همچنین به این نکته اشاره کردیم که تابع </w:t>
      </w:r>
      <w:r w:rsidRPr="002614E7">
        <w:rPr>
          <w:i/>
          <w:sz w:val="23"/>
          <w:szCs w:val="23"/>
        </w:rPr>
        <w:t>IS</w:t>
      </w:r>
      <w:r w:rsidRPr="002614E7">
        <w:rPr>
          <w:rFonts w:hint="cs"/>
          <w:i/>
          <w:sz w:val="23"/>
          <w:szCs w:val="23"/>
          <w:rtl/>
        </w:rPr>
        <w:t xml:space="preserve"> کینزین جدید که به تنهایی از رفتار خانوار بدست می</w:t>
      </w:r>
      <w:r w:rsidRPr="002614E7">
        <w:rPr>
          <w:rFonts w:hint="cs"/>
          <w:i/>
          <w:sz w:val="23"/>
          <w:szCs w:val="23"/>
          <w:rtl/>
        </w:rPr>
        <w:softHyphen/>
        <w:t>آید ممکن است به دلیل عدم توجه به کل اقتصاد، خطای تصریح داشته باشد. بنابراین راه مطمئن</w:t>
      </w:r>
      <w:r w:rsidRPr="002614E7">
        <w:rPr>
          <w:rFonts w:hint="cs"/>
          <w:i/>
          <w:sz w:val="23"/>
          <w:szCs w:val="23"/>
          <w:rtl/>
        </w:rPr>
        <w:softHyphen/>
        <w:t>تر این است که معادله</w:t>
      </w:r>
      <w:r w:rsidRPr="002614E7">
        <w:rPr>
          <w:rFonts w:hint="cs"/>
          <w:i/>
          <w:sz w:val="23"/>
          <w:szCs w:val="23"/>
          <w:rtl/>
        </w:rPr>
        <w:softHyphen/>
        <w:t>ی اویلر را با قید منابع اقتصاد به کار گیریم.</w:t>
      </w:r>
      <w:r w:rsidRPr="002614E7">
        <w:rPr>
          <w:rStyle w:val="FootnoteReference"/>
          <w:i/>
          <w:sz w:val="23"/>
          <w:szCs w:val="23"/>
          <w:rtl/>
        </w:rPr>
        <w:footnoteReference w:id="344"/>
      </w:r>
      <w:r w:rsidRPr="002614E7">
        <w:rPr>
          <w:rFonts w:hint="cs"/>
          <w:i/>
          <w:sz w:val="23"/>
          <w:szCs w:val="23"/>
          <w:rtl/>
        </w:rPr>
        <w:t xml:space="preserve"> هرچند علی</w:t>
      </w:r>
      <w:r w:rsidRPr="002614E7">
        <w:rPr>
          <w:rFonts w:hint="cs"/>
          <w:i/>
          <w:sz w:val="23"/>
          <w:szCs w:val="23"/>
          <w:rtl/>
        </w:rPr>
        <w:softHyphen/>
        <w:t xml:space="preserve">رغم این شبهات در ادبیات هدف‌گذاری تورم، از تابع </w:t>
      </w:r>
      <w:r w:rsidRPr="002614E7">
        <w:rPr>
          <w:i/>
          <w:sz w:val="23"/>
          <w:szCs w:val="23"/>
        </w:rPr>
        <w:t>IS</w:t>
      </w:r>
      <w:r w:rsidRPr="002614E7">
        <w:rPr>
          <w:rFonts w:hint="cs"/>
          <w:i/>
          <w:sz w:val="23"/>
          <w:szCs w:val="23"/>
          <w:rtl/>
        </w:rPr>
        <w:t xml:space="preserve"> کینزین جدید استفاده خواهد شد.</w:t>
      </w:r>
    </w:p>
    <w:p w14:paraId="25890404" w14:textId="77777777" w:rsidR="00556C10" w:rsidRPr="002614E7" w:rsidRDefault="00556C10" w:rsidP="00556C10">
      <w:pPr>
        <w:spacing w:line="216" w:lineRule="auto"/>
        <w:rPr>
          <w:i/>
          <w:sz w:val="23"/>
          <w:szCs w:val="23"/>
        </w:rPr>
      </w:pPr>
    </w:p>
    <w:p w14:paraId="146BD22A" w14:textId="77777777" w:rsidR="00556C10" w:rsidRPr="002614E7" w:rsidRDefault="00556C10" w:rsidP="00556C10">
      <w:pPr>
        <w:pStyle w:val="Heading1"/>
        <w:spacing w:before="0" w:line="216" w:lineRule="auto"/>
        <w:rPr>
          <w:rFonts w:ascii="Times New Roman" w:hAnsi="Times New Roman" w:cs="B Nazanin"/>
          <w:b w:val="0"/>
          <w:i/>
          <w:sz w:val="23"/>
          <w:szCs w:val="23"/>
          <w:rtl/>
        </w:rPr>
      </w:pPr>
      <w:r w:rsidRPr="002614E7">
        <w:rPr>
          <w:rFonts w:ascii="Times New Roman" w:hAnsi="Times New Roman" w:cs="B Nazanin" w:hint="cs"/>
          <w:b w:val="0"/>
          <w:i/>
          <w:sz w:val="23"/>
          <w:szCs w:val="23"/>
          <w:rtl/>
        </w:rPr>
        <w:t>۱۴. ۴. ۲ اثربخشی هدف</w:t>
      </w:r>
      <w:r w:rsidRPr="002614E7">
        <w:rPr>
          <w:rFonts w:ascii="Times New Roman" w:hAnsi="Times New Roman" w:cs="B Nazanin" w:hint="cs"/>
          <w:b w:val="0"/>
          <w:i/>
          <w:sz w:val="23"/>
          <w:szCs w:val="23"/>
          <w:rtl/>
        </w:rPr>
        <w:softHyphen/>
        <w:t>‌گذاری تورم در مدل کینزین جدید</w:t>
      </w:r>
    </w:p>
    <w:p w14:paraId="076A5E64" w14:textId="77777777" w:rsidR="00556C10" w:rsidRPr="002614E7" w:rsidRDefault="00556C10" w:rsidP="00556C10">
      <w:pPr>
        <w:spacing w:line="216" w:lineRule="auto"/>
        <w:rPr>
          <w:i/>
          <w:sz w:val="23"/>
          <w:szCs w:val="23"/>
          <w:rtl/>
        </w:rPr>
      </w:pPr>
      <w:r w:rsidRPr="002614E7">
        <w:rPr>
          <w:rFonts w:hint="cs"/>
          <w:i/>
          <w:sz w:val="23"/>
          <w:szCs w:val="23"/>
          <w:rtl/>
        </w:rPr>
        <w:t>اکنون اثر تغییرات نرخ بهره بر تورم و تولید را در دو حالت سیاست پولی صلاحدیدی و همچنین سیاست پولی مبتنی بر قاعده و یا ضابطه</w:t>
      </w:r>
      <w:r w:rsidRPr="002614E7">
        <w:rPr>
          <w:rFonts w:hint="cs"/>
          <w:i/>
          <w:sz w:val="23"/>
          <w:szCs w:val="23"/>
          <w:rtl/>
        </w:rPr>
        <w:softHyphen/>
        <w:t>ی تیلور مورد بررسی قرار می‌دهیم. این تجزیه و تحلیل مبتنی است بر مدل کینزین جدید یعنی معادلات (۱۴. ۱۸) و (۱۴. ۱۹)</w:t>
      </w:r>
      <w:r w:rsidRPr="002614E7">
        <w:rPr>
          <w:rFonts w:eastAsiaTheme="minorEastAsia"/>
          <w:i/>
          <w:sz w:val="23"/>
          <w:szCs w:val="23"/>
        </w:rPr>
        <w:t xml:space="preserve"> </w:t>
      </w:r>
      <w:r w:rsidRPr="002614E7">
        <w:rPr>
          <w:rFonts w:hint="cs"/>
          <w:i/>
          <w:sz w:val="23"/>
          <w:szCs w:val="23"/>
          <w:rtl/>
        </w:rPr>
        <w:t>که برای سهولت بازنویسی می‌شوند.</w:t>
      </w:r>
    </w:p>
    <w:p w14:paraId="16B3E099"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tl/>
        </w:rPr>
      </w:pPr>
      <w:r w:rsidRPr="002614E7">
        <w:rPr>
          <w:position w:val="-10"/>
        </w:rPr>
        <w:object w:dxaOrig="2340" w:dyaOrig="320" w14:anchorId="3ADB0478">
          <v:shape id="_x0000_i6893" type="#_x0000_t75" style="width:117.4pt;height:15.75pt" o:ole="">
            <v:imagedata r:id="rId11850" o:title=""/>
          </v:shape>
          <o:OLEObject Type="Embed" ProgID="Equation.DSMT4" ShapeID="_x0000_i6893" DrawAspect="Content" ObjectID="_1791380837" r:id="rId11851"/>
        </w:object>
      </w:r>
      <w:r w:rsidRPr="002614E7">
        <w:rPr>
          <w:rFonts w:ascii="Times New Roman" w:hAnsi="Times New Roman" w:cs="B Nazanin" w:hint="cs"/>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hint="cs"/>
          <w:i/>
          <w:sz w:val="23"/>
          <w:szCs w:val="23"/>
          <w:rtl/>
        </w:rPr>
        <w:t>(۱۴. ۳۰)</w:t>
      </w:r>
    </w:p>
    <w:p w14:paraId="0DBBFEE3" w14:textId="77777777" w:rsidR="00556C10" w:rsidRPr="002614E7" w:rsidRDefault="00556C10" w:rsidP="00556C10">
      <w:pPr>
        <w:pStyle w:val="MTDisplayEquation"/>
        <w:tabs>
          <w:tab w:val="clear" w:pos="6660"/>
        </w:tabs>
        <w:spacing w:line="216" w:lineRule="auto"/>
        <w:rPr>
          <w:rFonts w:ascii="Times New Roman" w:hAnsi="Times New Roman" w:cs="B Nazanin"/>
          <w:i/>
          <w:sz w:val="23"/>
          <w:szCs w:val="23"/>
        </w:rPr>
      </w:pPr>
      <w:r w:rsidRPr="002614E7">
        <w:rPr>
          <w:position w:val="-12"/>
        </w:rPr>
        <w:object w:dxaOrig="3200" w:dyaOrig="360" w14:anchorId="7F473858">
          <v:shape id="_x0000_i6894" type="#_x0000_t75" style="width:160.35pt;height:18.15pt" o:ole="">
            <v:imagedata r:id="rId11852" o:title=""/>
          </v:shape>
          <o:OLEObject Type="Embed" ProgID="Equation.DSMT4" ShapeID="_x0000_i6894" DrawAspect="Content" ObjectID="_1791380838" r:id="rId11853"/>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Pr>
        <w:tab/>
      </w:r>
      <w:r w:rsidRPr="002614E7">
        <w:rPr>
          <w:rFonts w:ascii="Times New Roman" w:hAnsi="Times New Roman"/>
          <w:i/>
          <w:sz w:val="23"/>
          <w:szCs w:val="23"/>
        </w:rPr>
        <w:tab/>
      </w:r>
      <w:r>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(۱۴. ۳۱)</w:t>
      </w:r>
    </w:p>
    <w:p w14:paraId="002E11E0" w14:textId="77777777" w:rsidR="00556C10" w:rsidRPr="002614E7" w:rsidRDefault="00556C10" w:rsidP="00556C10">
      <w:pPr>
        <w:spacing w:line="216" w:lineRule="auto"/>
        <w:rPr>
          <w:i/>
          <w:sz w:val="23"/>
          <w:szCs w:val="23"/>
        </w:rPr>
      </w:pPr>
    </w:p>
    <w:p w14:paraId="027075D3" w14:textId="77777777" w:rsidR="00556C10" w:rsidRPr="002614E7" w:rsidRDefault="00556C10" w:rsidP="00556C10">
      <w:pPr>
        <w:spacing w:line="216" w:lineRule="auto"/>
        <w:rPr>
          <w:bCs/>
          <w:i/>
          <w:sz w:val="23"/>
          <w:szCs w:val="23"/>
        </w:rPr>
      </w:pPr>
      <w:r w:rsidRPr="002614E7">
        <w:rPr>
          <w:rFonts w:hint="cs"/>
          <w:bCs/>
          <w:i/>
          <w:sz w:val="23"/>
          <w:szCs w:val="23"/>
          <w:rtl/>
        </w:rPr>
        <w:t>کاربرد سیاست پولی صلاحدیدی</w:t>
      </w:r>
      <w:r w:rsidRPr="002614E7">
        <w:rPr>
          <w:rStyle w:val="FootnoteReference"/>
          <w:bCs/>
          <w:i/>
          <w:sz w:val="23"/>
          <w:szCs w:val="23"/>
          <w:rtl/>
        </w:rPr>
        <w:footnoteReference w:id="345"/>
      </w:r>
      <w:r w:rsidRPr="002614E7">
        <w:rPr>
          <w:rFonts w:hint="cs"/>
          <w:bCs/>
          <w:i/>
          <w:sz w:val="23"/>
          <w:szCs w:val="23"/>
          <w:rtl/>
        </w:rPr>
        <w:t xml:space="preserve"> </w:t>
      </w:r>
    </w:p>
    <w:p w14:paraId="2F64E304" w14:textId="77777777" w:rsidR="00556C10" w:rsidRPr="002614E7" w:rsidRDefault="00556C10" w:rsidP="00556C10">
      <w:pPr>
        <w:spacing w:line="216" w:lineRule="auto"/>
        <w:rPr>
          <w:i/>
          <w:sz w:val="23"/>
          <w:szCs w:val="23"/>
          <w:rtl/>
        </w:rPr>
      </w:pPr>
      <w:r w:rsidRPr="002614E7">
        <w:rPr>
          <w:rFonts w:hint="cs"/>
          <w:i/>
          <w:sz w:val="23"/>
          <w:szCs w:val="23"/>
          <w:rtl/>
        </w:rPr>
        <w:t>در اینجا نرخ بهره</w:t>
      </w:r>
      <w:r w:rsidRPr="002614E7">
        <w:rPr>
          <w:rFonts w:hint="cs"/>
          <w:i/>
          <w:sz w:val="23"/>
          <w:szCs w:val="23"/>
          <w:rtl/>
        </w:rPr>
        <w:softHyphen/>
        <w:t>ی اسمی</w:t>
      </w:r>
      <w:r w:rsidRPr="002614E7">
        <w:rPr>
          <w:position w:val="-10"/>
        </w:rPr>
        <w:object w:dxaOrig="279" w:dyaOrig="320" w14:anchorId="6A49967B">
          <v:shape id="_x0000_i6895" type="#_x0000_t75" style="width:13.9pt;height:15.75pt" o:ole="">
            <v:imagedata r:id="rId11854" o:title=""/>
          </v:shape>
          <o:OLEObject Type="Embed" ProgID="Equation.DSMT4" ShapeID="_x0000_i6895" DrawAspect="Content" ObjectID="_1791380839" r:id="rId11855"/>
        </w:object>
      </w:r>
      <w:r w:rsidRPr="002614E7">
        <w:rPr>
          <w:rFonts w:hint="cs"/>
          <w:i/>
          <w:sz w:val="23"/>
          <w:szCs w:val="23"/>
          <w:rtl/>
        </w:rPr>
        <w:t>ابزار سیاست پولی است که بنابر اختیار و صلاحدید بانک مرکزی تعیین می‌شود. به طور شهودی یک افزایش در نرخ بهره</w:t>
      </w:r>
      <w:r w:rsidRPr="002614E7">
        <w:rPr>
          <w:rFonts w:hint="cs"/>
          <w:i/>
          <w:sz w:val="23"/>
          <w:szCs w:val="23"/>
          <w:rtl/>
        </w:rPr>
        <w:softHyphen/>
        <w:t>ی اسمی باعث کاهش تولید و تورم خواهد شد. هر چند در مدل کینزین جدید یک نتیجه تعجب برانگیز به دست خواهد آمد.</w:t>
      </w:r>
    </w:p>
    <w:p w14:paraId="4C65DD9E" w14:textId="77777777" w:rsidR="00556C10" w:rsidRPr="002614E7" w:rsidRDefault="00556C10" w:rsidP="00556C10">
      <w:pPr>
        <w:spacing w:line="216" w:lineRule="auto"/>
        <w:rPr>
          <w:i/>
          <w:sz w:val="23"/>
          <w:szCs w:val="23"/>
          <w:rtl/>
        </w:rPr>
      </w:pPr>
      <w:r w:rsidRPr="002614E7">
        <w:rPr>
          <w:rFonts w:hint="cs"/>
          <w:i/>
          <w:sz w:val="23"/>
          <w:szCs w:val="23"/>
          <w:rtl/>
        </w:rPr>
        <w:t>با حذف</w:t>
      </w:r>
      <w:r w:rsidRPr="002614E7">
        <w:rPr>
          <w:position w:val="-10"/>
        </w:rPr>
        <w:object w:dxaOrig="240" w:dyaOrig="320" w14:anchorId="241ED91B">
          <v:shape id="_x0000_i6896" type="#_x0000_t75" style="width:11.5pt;height:15.75pt" o:ole="">
            <v:imagedata r:id="rId11856" o:title=""/>
          </v:shape>
          <o:OLEObject Type="Embed" ProgID="Equation.DSMT4" ShapeID="_x0000_i6896" DrawAspect="Content" ObjectID="_1791380840" r:id="rId11857"/>
        </w:object>
      </w:r>
      <w:r w:rsidRPr="002614E7">
        <w:rPr>
          <w:rFonts w:hint="cs"/>
          <w:i/>
          <w:sz w:val="23"/>
          <w:szCs w:val="23"/>
          <w:rtl/>
        </w:rPr>
        <w:t xml:space="preserve"> از رابطه</w:t>
      </w:r>
      <w:r w:rsidRPr="002614E7">
        <w:rPr>
          <w:rFonts w:hint="cs"/>
          <w:i/>
          <w:sz w:val="23"/>
          <w:szCs w:val="23"/>
          <w:rtl/>
        </w:rPr>
        <w:softHyphen/>
        <w:t>ی (۱۴. ۳۰)، فرم خلاصه شده</w:t>
      </w:r>
      <w:r w:rsidRPr="002614E7">
        <w:rPr>
          <w:rFonts w:hint="cs"/>
          <w:i/>
          <w:sz w:val="23"/>
          <w:szCs w:val="23"/>
          <w:rtl/>
        </w:rPr>
        <w:softHyphen/>
        <w:t>ی پویا برای تورم</w:t>
      </w:r>
      <w:r w:rsidRPr="002614E7">
        <w:rPr>
          <w:position w:val="-10"/>
        </w:rPr>
        <w:object w:dxaOrig="240" w:dyaOrig="320" w14:anchorId="4E7BB447">
          <v:shape id="_x0000_i6897" type="#_x0000_t75" style="width:11.5pt;height:15.75pt" o:ole="">
            <v:imagedata r:id="rId11858" o:title=""/>
          </v:shape>
          <o:OLEObject Type="Embed" ProgID="Equation.DSMT4" ShapeID="_x0000_i6897" DrawAspect="Content" ObjectID="_1791380841" r:id="rId11859"/>
        </w:object>
      </w:r>
      <w:r w:rsidRPr="002614E7">
        <w:rPr>
          <w:rFonts w:hint="cs"/>
          <w:i/>
          <w:sz w:val="23"/>
          <w:szCs w:val="23"/>
          <w:rtl/>
        </w:rPr>
        <w:t xml:space="preserve"> به دست خواهد آمد لذا:</w:t>
      </w:r>
    </w:p>
    <w:p w14:paraId="7AF3D3CB"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tl/>
        </w:rPr>
      </w:pPr>
      <w:r w:rsidRPr="002614E7">
        <w:rPr>
          <w:position w:val="-12"/>
        </w:rPr>
        <w:object w:dxaOrig="3840" w:dyaOrig="360" w14:anchorId="7ABFEEF7">
          <v:shape id="_x0000_i6898" type="#_x0000_t75" style="width:191.8pt;height:18.15pt" o:ole="">
            <v:imagedata r:id="rId11860" o:title=""/>
          </v:shape>
          <o:OLEObject Type="Embed" ProgID="Equation.DSMT4" ShapeID="_x0000_i6898" DrawAspect="Content" ObjectID="_1791380842" r:id="rId11861"/>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Pr>
          <w:rFonts w:ascii="Times New Roman" w:hAnsi="Times New Roman"/>
          <w:i/>
          <w:sz w:val="23"/>
          <w:szCs w:val="23"/>
          <w:rtl/>
        </w:rPr>
        <w:tab/>
      </w:r>
      <w:r w:rsidRPr="002614E7">
        <w:rPr>
          <w:rFonts w:ascii="Times New Roman" w:hAnsi="Times New Roman"/>
          <w:i/>
          <w:sz w:val="23"/>
          <w:szCs w:val="23"/>
        </w:rPr>
        <w:tab/>
      </w:r>
      <w:r w:rsidRPr="002614E7">
        <w:rPr>
          <w:rFonts w:ascii="Times New Roman" w:hAnsi="Times New Roman" w:cs="B Nazanin" w:hint="cs"/>
          <w:i/>
          <w:sz w:val="23"/>
          <w:szCs w:val="23"/>
          <w:rtl/>
        </w:rPr>
        <w:tab/>
        <w:t>(۱۴. ۳۲)</w:t>
      </w:r>
    </w:p>
    <w:p w14:paraId="77110FB9"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Pr>
      </w:pPr>
      <w:r w:rsidRPr="002614E7">
        <w:rPr>
          <w:position w:val="-10"/>
        </w:rPr>
        <w:object w:dxaOrig="2000" w:dyaOrig="320" w14:anchorId="303F7E81">
          <v:shape id="_x0000_i6899" type="#_x0000_t75" style="width:99.85pt;height:15.75pt" o:ole="">
            <v:imagedata r:id="rId11862" o:title=""/>
          </v:shape>
          <o:OLEObject Type="Embed" ProgID="Equation.DSMT4" ShapeID="_x0000_i6899" DrawAspect="Content" ObjectID="_1791380843" r:id="rId11863"/>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ab/>
      </w:r>
      <w:r>
        <w:rPr>
          <w:rFonts w:ascii="Times New Roman" w:hAnsi="Times New Roman" w:cs="B Nazanin"/>
          <w:i/>
          <w:sz w:val="23"/>
          <w:szCs w:val="23"/>
          <w:rtl/>
        </w:rPr>
        <w:tab/>
      </w:r>
      <w:r w:rsidRPr="002614E7">
        <w:rPr>
          <w:rFonts w:ascii="Times New Roman" w:hAnsi="Times New Roman" w:cs="B Nazanin" w:hint="cs"/>
          <w:i/>
          <w:sz w:val="23"/>
          <w:szCs w:val="23"/>
          <w:rtl/>
        </w:rPr>
        <w:tab/>
        <w:t>(۱۴. ۳۳)</w:t>
      </w:r>
    </w:p>
    <w:p w14:paraId="64952B82" w14:textId="77777777" w:rsidR="00556C10" w:rsidRPr="002614E7" w:rsidRDefault="00556C10" w:rsidP="00556C10">
      <w:pPr>
        <w:spacing w:line="216" w:lineRule="auto"/>
        <w:rPr>
          <w:i/>
          <w:sz w:val="23"/>
          <w:szCs w:val="23"/>
        </w:rPr>
      </w:pPr>
      <w:r w:rsidRPr="002614E7">
        <w:rPr>
          <w:rFonts w:hint="cs"/>
          <w:i/>
          <w:sz w:val="23"/>
          <w:szCs w:val="23"/>
          <w:rtl/>
        </w:rPr>
        <w:t>و نتایج حل بلندمدت برابر است با:</w:t>
      </w:r>
    </w:p>
    <w:p w14:paraId="49B30B71" w14:textId="77777777" w:rsidR="00556C10" w:rsidRPr="002614E7" w:rsidRDefault="00556C10" w:rsidP="00556C10">
      <w:pPr>
        <w:bidi w:val="0"/>
        <w:spacing w:line="216" w:lineRule="auto"/>
        <w:rPr>
          <w:i/>
          <w:sz w:val="23"/>
          <w:szCs w:val="23"/>
          <w:rtl/>
        </w:rPr>
      </w:pPr>
      <w:r w:rsidRPr="002614E7">
        <w:rPr>
          <w:position w:val="-10"/>
        </w:rPr>
        <w:object w:dxaOrig="2560" w:dyaOrig="320" w14:anchorId="0EE4EF9C">
          <v:shape id="_x0000_i6900" type="#_x0000_t75" style="width:127.65pt;height:15.75pt" o:ole="">
            <v:imagedata r:id="rId11864" o:title=""/>
          </v:shape>
          <o:OLEObject Type="Embed" ProgID="Equation.DSMT4" ShapeID="_x0000_i6900" DrawAspect="Content" ObjectID="_1791380844" r:id="rId11865"/>
        </w:object>
      </w:r>
    </w:p>
    <w:p w14:paraId="74CAD97F" w14:textId="77777777" w:rsidR="00556C10" w:rsidRPr="002614E7" w:rsidRDefault="00556C10" w:rsidP="00556C10">
      <w:pPr>
        <w:spacing w:line="216" w:lineRule="auto"/>
        <w:rPr>
          <w:i/>
          <w:sz w:val="23"/>
          <w:szCs w:val="23"/>
          <w:rtl/>
        </w:rPr>
      </w:pPr>
      <w:r w:rsidRPr="002614E7">
        <w:rPr>
          <w:rFonts w:hint="cs"/>
          <w:i/>
          <w:sz w:val="23"/>
          <w:szCs w:val="23"/>
          <w:rtl/>
        </w:rPr>
        <w:lastRenderedPageBreak/>
        <w:t xml:space="preserve">برای تجزیه و تحلیل پویایی کوتاه‌مدت، روش حل وایتمن را به کار خواهیم گرفت. </w:t>
      </w:r>
      <w:r>
        <w:rPr>
          <w:rFonts w:hint="cs"/>
          <w:i/>
          <w:sz w:val="23"/>
          <w:szCs w:val="23"/>
          <w:rtl/>
        </w:rPr>
        <w:t>معادله‌ی (۱۴. ۳۲</w:t>
      </w:r>
      <w:r w:rsidRPr="002614E7">
        <w:rPr>
          <w:rFonts w:hint="cs"/>
          <w:i/>
          <w:sz w:val="23"/>
          <w:szCs w:val="23"/>
          <w:rtl/>
        </w:rPr>
        <w:t>) را می‌توان به صورت زیر نوشت:</w:t>
      </w:r>
    </w:p>
    <w:p w14:paraId="2506C91C"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6"/>
        </w:rPr>
        <w:object w:dxaOrig="6759" w:dyaOrig="420" w14:anchorId="7FC8F7DA">
          <v:shape id="_x0000_i6901" type="#_x0000_t75" style="width:338.2pt;height:21.2pt" o:ole="">
            <v:imagedata r:id="rId11866" o:title=""/>
          </v:shape>
          <o:OLEObject Type="Embed" ProgID="Equation.DSMT4" ShapeID="_x0000_i6901" DrawAspect="Content" ObjectID="_1791380845" r:id="rId11867"/>
        </w:object>
      </w:r>
    </w:p>
    <w:p w14:paraId="105E0746" w14:textId="77777777" w:rsidR="00556C10" w:rsidRPr="002614E7" w:rsidRDefault="00556C10" w:rsidP="00556C10">
      <w:pPr>
        <w:spacing w:line="216" w:lineRule="auto"/>
        <w:rPr>
          <w:i/>
          <w:sz w:val="23"/>
          <w:szCs w:val="23"/>
          <w:rtl/>
        </w:rPr>
      </w:pPr>
      <w:r w:rsidRPr="002614E7">
        <w:rPr>
          <w:rFonts w:hint="cs"/>
          <w:i/>
          <w:sz w:val="23"/>
          <w:szCs w:val="23"/>
          <w:rtl/>
        </w:rPr>
        <w:t>که در آن</w:t>
      </w:r>
      <w:r w:rsidRPr="002614E7">
        <w:rPr>
          <w:position w:val="-12"/>
        </w:rPr>
        <w:object w:dxaOrig="1480" w:dyaOrig="360" w14:anchorId="5BD971A3">
          <v:shape id="_x0000_i6902" type="#_x0000_t75" style="width:73.8pt;height:18.15pt" o:ole="">
            <v:imagedata r:id="rId11868" o:title=""/>
          </v:shape>
          <o:OLEObject Type="Embed" ProgID="Equation.DSMT4" ShapeID="_x0000_i6902" DrawAspect="Content" ObjectID="_1791380846" r:id="rId11869"/>
        </w:object>
      </w:r>
      <w:r w:rsidRPr="002614E7">
        <w:rPr>
          <w:rFonts w:hint="cs"/>
          <w:i/>
          <w:sz w:val="23"/>
          <w:szCs w:val="23"/>
          <w:rtl/>
        </w:rPr>
        <w:t xml:space="preserve"> و </w:t>
      </w:r>
      <w:r w:rsidRPr="002614E7">
        <w:rPr>
          <w:position w:val="-12"/>
        </w:rPr>
        <w:object w:dxaOrig="1080" w:dyaOrig="360" w14:anchorId="3FE95567">
          <v:shape id="_x0000_i6903" type="#_x0000_t75" style="width:54.45pt;height:18.15pt" o:ole="">
            <v:imagedata r:id="rId11870" o:title=""/>
          </v:shape>
          <o:OLEObject Type="Embed" ProgID="Equation.DSMT4" ShapeID="_x0000_i6903" DrawAspect="Content" ObjectID="_1791380847" r:id="rId11871"/>
        </w:object>
      </w:r>
      <w:r w:rsidRPr="002614E7">
        <w:rPr>
          <w:rFonts w:hint="cs"/>
          <w:i/>
          <w:sz w:val="23"/>
          <w:szCs w:val="23"/>
          <w:rtl/>
        </w:rPr>
        <w:t xml:space="preserve"> است. بنابراین: </w:t>
      </w:r>
    </w:p>
    <w:p w14:paraId="0249C294"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30"/>
        </w:rPr>
        <w:object w:dxaOrig="4340" w:dyaOrig="720" w14:anchorId="757E2C6D">
          <v:shape id="_x0000_i6904" type="#_x0000_t75" style="width:217.2pt;height:36.3pt" o:ole="">
            <v:imagedata r:id="rId11872" o:title=""/>
          </v:shape>
          <o:OLEObject Type="Embed" ProgID="Equation.DSMT4" ShapeID="_x0000_i6904" DrawAspect="Content" ObjectID="_1791380848" r:id="rId11873"/>
        </w:object>
      </w:r>
    </w:p>
    <w:p w14:paraId="62BA5971" w14:textId="77777777" w:rsidR="00556C10" w:rsidRPr="002614E7" w:rsidRDefault="00556C10" w:rsidP="00556C10">
      <w:pPr>
        <w:spacing w:line="216" w:lineRule="auto"/>
        <w:rPr>
          <w:i/>
          <w:sz w:val="23"/>
          <w:szCs w:val="23"/>
        </w:rPr>
      </w:pPr>
      <w:r w:rsidRPr="002614E7">
        <w:rPr>
          <w:rFonts w:hint="cs"/>
          <w:i/>
          <w:sz w:val="23"/>
          <w:szCs w:val="23"/>
          <w:rtl/>
        </w:rPr>
        <w:t>و معادله</w:t>
      </w:r>
      <w:r w:rsidRPr="002614E7">
        <w:rPr>
          <w:rFonts w:hint="cs"/>
          <w:i/>
          <w:sz w:val="23"/>
          <w:szCs w:val="23"/>
          <w:rtl/>
        </w:rPr>
        <w:softHyphen/>
        <w:t>ی مشخصه عبارت است از:</w:t>
      </w:r>
    </w:p>
    <w:p w14:paraId="22062E4E"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12"/>
        </w:rPr>
        <w:object w:dxaOrig="3040" w:dyaOrig="360" w14:anchorId="047B53E7">
          <v:shape id="_x0000_i6905" type="#_x0000_t75" style="width:151.85pt;height:18.15pt" o:ole="">
            <v:imagedata r:id="rId11874" o:title=""/>
          </v:shape>
          <o:OLEObject Type="Embed" ProgID="Equation.DSMT4" ShapeID="_x0000_i6905" DrawAspect="Content" ObjectID="_1791380849" r:id="rId11875"/>
        </w:object>
      </w:r>
    </w:p>
    <w:p w14:paraId="622B202E" w14:textId="77777777" w:rsidR="00556C10" w:rsidRPr="002614E7" w:rsidRDefault="00556C10" w:rsidP="00556C10">
      <w:pPr>
        <w:spacing w:line="216" w:lineRule="auto"/>
        <w:rPr>
          <w:i/>
          <w:sz w:val="23"/>
          <w:szCs w:val="23"/>
          <w:rtl/>
        </w:rPr>
      </w:pPr>
      <w:r w:rsidRPr="002614E7">
        <w:rPr>
          <w:rFonts w:hint="cs"/>
          <w:i/>
          <w:sz w:val="23"/>
          <w:szCs w:val="23"/>
          <w:rtl/>
        </w:rPr>
        <w:t xml:space="preserve">از آنجایی که </w:t>
      </w:r>
      <w:r w:rsidRPr="002614E7">
        <w:rPr>
          <w:position w:val="-12"/>
        </w:rPr>
        <w:object w:dxaOrig="1380" w:dyaOrig="360" w14:anchorId="0A4E739A">
          <v:shape id="_x0000_i6906" type="#_x0000_t75" style="width:68.95pt;height:18.15pt" o:ole="">
            <v:imagedata r:id="rId11876" o:title=""/>
          </v:shape>
          <o:OLEObject Type="Embed" ProgID="Equation.DSMT4" ShapeID="_x0000_i6906" DrawAspect="Content" ObjectID="_1791380850" r:id="rId11877"/>
        </w:object>
      </w:r>
      <w:r w:rsidRPr="002614E7">
        <w:rPr>
          <w:rFonts w:eastAsiaTheme="minorEastAsia"/>
          <w:i/>
          <w:sz w:val="23"/>
          <w:szCs w:val="23"/>
        </w:rPr>
        <w:t xml:space="preserve"> </w:t>
      </w:r>
      <w:r w:rsidRPr="002614E7">
        <w:rPr>
          <w:rFonts w:eastAsiaTheme="minorEastAsia" w:hint="cs"/>
          <w:i/>
          <w:sz w:val="23"/>
          <w:szCs w:val="23"/>
          <w:rtl/>
        </w:rPr>
        <w:t>و حاصلضرب دو ریشه،</w:t>
      </w:r>
      <w:r w:rsidRPr="002614E7">
        <w:rPr>
          <w:position w:val="-10"/>
        </w:rPr>
        <w:object w:dxaOrig="220" w:dyaOrig="300" w14:anchorId="7EB594A3">
          <v:shape id="_x0000_i6907" type="#_x0000_t75" style="width:10.9pt;height:14.5pt" o:ole="">
            <v:imagedata r:id="rId11878" o:title=""/>
          </v:shape>
          <o:OLEObject Type="Embed" ProgID="Equation.DSMT4" ShapeID="_x0000_i6907" DrawAspect="Content" ObjectID="_1791380851" r:id="rId11879"/>
        </w:object>
      </w:r>
      <w:r w:rsidRPr="002614E7">
        <w:rPr>
          <w:rFonts w:hint="cs"/>
          <w:i/>
          <w:sz w:val="23"/>
          <w:szCs w:val="23"/>
          <w:rtl/>
        </w:rPr>
        <w:t>،</w:t>
      </w:r>
      <w:r w:rsidRPr="002614E7">
        <w:rPr>
          <w:rFonts w:eastAsiaTheme="minorEastAsia" w:hint="cs"/>
          <w:i/>
          <w:sz w:val="23"/>
          <w:szCs w:val="23"/>
          <w:rtl/>
        </w:rPr>
        <w:t xml:space="preserve"> کمتر از یک است، هر دو ریشه‌ی </w:t>
      </w:r>
      <w:r w:rsidRPr="002614E7">
        <w:rPr>
          <w:position w:val="-10"/>
        </w:rPr>
        <w:object w:dxaOrig="240" w:dyaOrig="320" w14:anchorId="17142C2D">
          <v:shape id="_x0000_i6908" type="#_x0000_t75" style="width:11.5pt;height:15.75pt" o:ole="">
            <v:imagedata r:id="rId11880" o:title=""/>
          </v:shape>
          <o:OLEObject Type="Embed" ProgID="Equation.DSMT4" ShapeID="_x0000_i6908" DrawAspect="Content" ObjectID="_1791380852" r:id="rId11881"/>
        </w:object>
      </w:r>
      <w:r w:rsidRPr="002614E7">
        <w:rPr>
          <w:rFonts w:hint="cs"/>
          <w:i/>
          <w:sz w:val="23"/>
          <w:szCs w:val="23"/>
          <w:rtl/>
        </w:rPr>
        <w:t xml:space="preserve"> و </w:t>
      </w:r>
      <w:r w:rsidRPr="002614E7">
        <w:rPr>
          <w:position w:val="-10"/>
        </w:rPr>
        <w:object w:dxaOrig="240" w:dyaOrig="320" w14:anchorId="7BEF70AB">
          <v:shape id="_x0000_i6909" type="#_x0000_t75" style="width:11.5pt;height:15.75pt" o:ole="">
            <v:imagedata r:id="rId11882" o:title=""/>
          </v:shape>
          <o:OLEObject Type="Embed" ProgID="Equation.DSMT4" ShapeID="_x0000_i6909" DrawAspect="Content" ObjectID="_1791380853" r:id="rId11883"/>
        </w:object>
      </w:r>
      <w:r w:rsidRPr="002614E7">
        <w:rPr>
          <w:rFonts w:hint="cs"/>
          <w:i/>
          <w:sz w:val="23"/>
          <w:szCs w:val="23"/>
          <w:rtl/>
        </w:rPr>
        <w:t xml:space="preserve"> کوچکتر از یک و بی</w:t>
      </w:r>
      <w:r w:rsidRPr="002614E7">
        <w:rPr>
          <w:rFonts w:hint="cs"/>
          <w:i/>
          <w:sz w:val="23"/>
          <w:szCs w:val="23"/>
          <w:rtl/>
        </w:rPr>
        <w:softHyphen/>
        <w:t>ثبات می‌باشند. بنابراین یک راه حل منحصر به فرد برای دو پارامتر</w:t>
      </w:r>
      <w:r w:rsidRPr="002614E7">
        <w:rPr>
          <w:position w:val="-10"/>
        </w:rPr>
        <w:object w:dxaOrig="260" w:dyaOrig="320" w14:anchorId="2BC24469">
          <v:shape id="_x0000_i6910" type="#_x0000_t75" style="width:13.3pt;height:15.75pt" o:ole="">
            <v:imagedata r:id="rId11884" o:title=""/>
          </v:shape>
          <o:OLEObject Type="Embed" ProgID="Equation.DSMT4" ShapeID="_x0000_i6910" DrawAspect="Content" ObjectID="_1791380854" r:id="rId11885"/>
        </w:object>
      </w:r>
      <w:r w:rsidRPr="002614E7">
        <w:rPr>
          <w:rFonts w:hint="cs"/>
          <w:i/>
          <w:sz w:val="23"/>
          <w:szCs w:val="23"/>
          <w:rtl/>
        </w:rPr>
        <w:t xml:space="preserve"> و</w:t>
      </w:r>
      <w:r w:rsidRPr="002614E7">
        <w:rPr>
          <w:position w:val="-10"/>
        </w:rPr>
        <w:object w:dxaOrig="240" w:dyaOrig="320" w14:anchorId="56C74663">
          <v:shape id="_x0000_i6911" type="#_x0000_t75" style="width:11.5pt;height:15.75pt" o:ole="">
            <v:imagedata r:id="rId11886" o:title=""/>
          </v:shape>
          <o:OLEObject Type="Embed" ProgID="Equation.DSMT4" ShapeID="_x0000_i6911" DrawAspect="Content" ObjectID="_1791380855" r:id="rId11887"/>
        </w:object>
      </w:r>
      <w:r w:rsidRPr="002614E7">
        <w:rPr>
          <w:rFonts w:hint="cs"/>
          <w:i/>
          <w:sz w:val="23"/>
          <w:szCs w:val="23"/>
          <w:rtl/>
        </w:rPr>
        <w:t xml:space="preserve"> وجود دارد. با بکارگیری روش باقی مانده، برای دو شرط </w:t>
      </w:r>
      <w:r w:rsidRPr="002614E7">
        <w:rPr>
          <w:position w:val="-8"/>
        </w:rPr>
        <w:object w:dxaOrig="639" w:dyaOrig="279" w14:anchorId="35E4206D">
          <v:shape id="_x0000_i6912" type="#_x0000_t75" style="width:32.05pt;height:13.9pt" o:ole="">
            <v:imagedata r:id="rId11888" o:title=""/>
          </v:shape>
          <o:OLEObject Type="Embed" ProgID="Equation.DSMT4" ShapeID="_x0000_i6912" DrawAspect="Content" ObjectID="_1791380856" r:id="rId11889"/>
        </w:object>
      </w:r>
      <w:r w:rsidRPr="002614E7">
        <w:rPr>
          <w:rFonts w:hint="cs"/>
          <w:i/>
          <w:sz w:val="23"/>
          <w:szCs w:val="23"/>
          <w:rtl/>
        </w:rPr>
        <w:t xml:space="preserve"> خواهیم داشت.</w:t>
      </w:r>
    </w:p>
    <w:p w14:paraId="2B7E673E" w14:textId="77777777" w:rsidR="00556C10" w:rsidRPr="002614E7" w:rsidRDefault="00556C10" w:rsidP="00556C10">
      <w:pPr>
        <w:pStyle w:val="MTDisplayEquation"/>
        <w:tabs>
          <w:tab w:val="clear" w:pos="6660"/>
        </w:tabs>
        <w:spacing w:line="216" w:lineRule="auto"/>
        <w:rPr>
          <w:rFonts w:ascii="Times New Roman" w:hAnsi="Times New Roman" w:cs="B Nazanin"/>
          <w:i/>
          <w:sz w:val="23"/>
          <w:szCs w:val="23"/>
          <w:rtl/>
        </w:rPr>
      </w:pPr>
      <w:r w:rsidRPr="002614E7">
        <w:rPr>
          <w:position w:val="-36"/>
        </w:rPr>
        <w:object w:dxaOrig="4540" w:dyaOrig="820" w14:anchorId="0BBCD4FC">
          <v:shape id="_x0000_i6913" type="#_x0000_t75" style="width:226.9pt;height:41.15pt" o:ole="">
            <v:imagedata r:id="rId11890" o:title=""/>
          </v:shape>
          <o:OLEObject Type="Embed" ProgID="Equation.DSMT4" ShapeID="_x0000_i6913" DrawAspect="Content" ObjectID="_1791380857" r:id="rId11891"/>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Pr>
        <w:tab/>
      </w:r>
      <w:r w:rsidRPr="002614E7">
        <w:rPr>
          <w:rFonts w:ascii="Times New Roman" w:hAnsi="Times New Roman" w:cs="B Nazanin" w:hint="cs"/>
          <w:i/>
          <w:sz w:val="23"/>
          <w:szCs w:val="23"/>
          <w:rtl/>
        </w:rPr>
        <w:tab/>
      </w:r>
      <w:r>
        <w:rPr>
          <w:rFonts w:ascii="Times New Roman" w:hAnsi="Times New Roman" w:cs="B Nazanin"/>
          <w:i/>
          <w:sz w:val="23"/>
          <w:szCs w:val="23"/>
          <w:rtl/>
        </w:rPr>
        <w:tab/>
      </w:r>
      <w:r>
        <w:rPr>
          <w:rFonts w:ascii="Times New Roman" w:hAnsi="Times New Roman" w:cs="B Nazanin"/>
          <w:i/>
          <w:sz w:val="23"/>
          <w:szCs w:val="23"/>
          <w:rtl/>
        </w:rPr>
        <w:tab/>
      </w:r>
      <w:r w:rsidRPr="002614E7">
        <w:rPr>
          <w:rFonts w:ascii="Times New Roman" w:hAnsi="Times New Roman" w:cs="B Nazanin" w:hint="cs"/>
          <w:i/>
          <w:sz w:val="23"/>
          <w:szCs w:val="23"/>
          <w:rtl/>
        </w:rPr>
        <w:t>(۱۴. ۳۴)</w:t>
      </w:r>
    </w:p>
    <w:p w14:paraId="2B4B89E5" w14:textId="77777777" w:rsidR="00556C10" w:rsidRPr="002614E7" w:rsidRDefault="00556C10" w:rsidP="00556C10">
      <w:pPr>
        <w:spacing w:line="216" w:lineRule="auto"/>
        <w:rPr>
          <w:i/>
          <w:sz w:val="23"/>
          <w:szCs w:val="23"/>
        </w:rPr>
      </w:pPr>
      <w:r w:rsidRPr="002614E7">
        <w:rPr>
          <w:rFonts w:hint="cs"/>
          <w:i/>
          <w:sz w:val="23"/>
          <w:szCs w:val="23"/>
          <w:rtl/>
        </w:rPr>
        <w:t>و</w:t>
      </w:r>
      <w:r w:rsidRPr="002614E7">
        <w:rPr>
          <w:position w:val="-10"/>
        </w:rPr>
        <w:object w:dxaOrig="260" w:dyaOrig="320" w14:anchorId="664383CA">
          <v:shape id="_x0000_i6914" type="#_x0000_t75" style="width:13.3pt;height:15.75pt" o:ole="">
            <v:imagedata r:id="rId11892" o:title=""/>
          </v:shape>
          <o:OLEObject Type="Embed" ProgID="Equation.DSMT4" ShapeID="_x0000_i6914" DrawAspect="Content" ObjectID="_1791380858" r:id="rId11893"/>
        </w:object>
      </w:r>
      <w:r w:rsidRPr="002614E7">
        <w:rPr>
          <w:rFonts w:hint="cs"/>
          <w:i/>
          <w:sz w:val="23"/>
          <w:szCs w:val="23"/>
          <w:rtl/>
        </w:rPr>
        <w:t xml:space="preserve"> و</w:t>
      </w:r>
      <w:r w:rsidRPr="002614E7">
        <w:rPr>
          <w:position w:val="-10"/>
        </w:rPr>
        <w:object w:dxaOrig="240" w:dyaOrig="320" w14:anchorId="4723B7B8">
          <v:shape id="_x0000_i6915" type="#_x0000_t75" style="width:11.5pt;height:15.75pt" o:ole="">
            <v:imagedata r:id="rId11894" o:title=""/>
          </v:shape>
          <o:OLEObject Type="Embed" ProgID="Equation.DSMT4" ShapeID="_x0000_i6915" DrawAspect="Content" ObjectID="_1791380859" r:id="rId11895"/>
        </w:object>
      </w:r>
      <w:r w:rsidRPr="002614E7">
        <w:rPr>
          <w:rFonts w:hint="cs"/>
          <w:i/>
          <w:sz w:val="23"/>
          <w:szCs w:val="23"/>
          <w:rtl/>
        </w:rPr>
        <w:t xml:space="preserve"> را می</w:t>
      </w:r>
      <w:r w:rsidRPr="002614E7">
        <w:rPr>
          <w:rFonts w:hint="cs"/>
          <w:i/>
          <w:sz w:val="23"/>
          <w:szCs w:val="23"/>
          <w:rtl/>
        </w:rPr>
        <w:softHyphen/>
        <w:t xml:space="preserve">توان از این دو شرط بدست آورد. </w:t>
      </w:r>
    </w:p>
    <w:p w14:paraId="0BF5DDE7" w14:textId="77777777" w:rsidR="00556C10" w:rsidRPr="002614E7" w:rsidRDefault="00556C10" w:rsidP="00556C10">
      <w:pPr>
        <w:bidi w:val="0"/>
        <w:spacing w:line="216" w:lineRule="auto"/>
        <w:rPr>
          <w:i/>
          <w:sz w:val="23"/>
          <w:szCs w:val="23"/>
          <w:rtl/>
        </w:rPr>
      </w:pPr>
      <w:r w:rsidRPr="002614E7">
        <w:rPr>
          <w:position w:val="-28"/>
        </w:rPr>
        <w:object w:dxaOrig="4640" w:dyaOrig="680" w14:anchorId="404BF7CB">
          <v:shape id="_x0000_i6916" type="#_x0000_t75" style="width:232.35pt;height:33.9pt" o:ole="">
            <v:imagedata r:id="rId11896" o:title=""/>
          </v:shape>
          <o:OLEObject Type="Embed" ProgID="Equation.DSMT4" ShapeID="_x0000_i6916" DrawAspect="Content" ObjectID="_1791380860" r:id="rId11897"/>
        </w:object>
      </w:r>
    </w:p>
    <w:p w14:paraId="724E93DF" w14:textId="77777777" w:rsidR="00556C10" w:rsidRPr="002614E7" w:rsidRDefault="00556C10" w:rsidP="00556C10">
      <w:pPr>
        <w:spacing w:line="216" w:lineRule="auto"/>
        <w:rPr>
          <w:i/>
          <w:sz w:val="23"/>
          <w:szCs w:val="23"/>
          <w:rtl/>
        </w:rPr>
      </w:pPr>
      <w:r w:rsidRPr="002614E7">
        <w:rPr>
          <w:rFonts w:hint="cs"/>
          <w:i/>
          <w:sz w:val="23"/>
          <w:szCs w:val="23"/>
          <w:rtl/>
        </w:rPr>
        <w:t>از معادله (۱۴. ۳۳)</w:t>
      </w:r>
    </w:p>
    <w:p w14:paraId="4B8BD19D"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34"/>
        </w:rPr>
        <w:object w:dxaOrig="6020" w:dyaOrig="760" w14:anchorId="3D6DFA71">
          <v:shape id="_x0000_i6917" type="#_x0000_t75" style="width:300.7pt;height:38.1pt" o:ole="">
            <v:imagedata r:id="rId11898" o:title=""/>
          </v:shape>
          <o:OLEObject Type="Embed" ProgID="Equation.DSMT4" ShapeID="_x0000_i6917" DrawAspect="Content" ObjectID="_1791380861" r:id="rId11899"/>
        </w:object>
      </w:r>
    </w:p>
    <w:p w14:paraId="4DF55AC3"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34"/>
        </w:rPr>
        <w:object w:dxaOrig="5920" w:dyaOrig="800" w14:anchorId="3F2D96C5">
          <v:shape id="_x0000_i6918" type="#_x0000_t75" style="width:295.85pt;height:39.95pt" o:ole="">
            <v:imagedata r:id="rId11900" o:title=""/>
          </v:shape>
          <o:OLEObject Type="Embed" ProgID="Equation.DSMT4" ShapeID="_x0000_i6918" DrawAspect="Content" ObjectID="_1791380862" r:id="rId11901"/>
        </w:object>
      </w:r>
    </w:p>
    <w:p w14:paraId="58A7C5CD" w14:textId="77777777" w:rsidR="00556C10" w:rsidRPr="002614E7" w:rsidRDefault="00556C10" w:rsidP="00556C10">
      <w:pPr>
        <w:spacing w:line="216" w:lineRule="auto"/>
        <w:rPr>
          <w:i/>
          <w:sz w:val="23"/>
          <w:szCs w:val="23"/>
        </w:rPr>
      </w:pPr>
      <w:r w:rsidRPr="002614E7">
        <w:rPr>
          <w:rFonts w:hint="cs"/>
          <w:i/>
          <w:sz w:val="23"/>
          <w:szCs w:val="23"/>
          <w:rtl/>
        </w:rPr>
        <w:t>و با حل آن برای تورم خواهیم داشت:</w:t>
      </w:r>
    </w:p>
    <w:p w14:paraId="375C36F2"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34"/>
        </w:rPr>
        <w:object w:dxaOrig="2340" w:dyaOrig="700" w14:anchorId="52FDD59D">
          <v:shape id="_x0000_i6919" type="#_x0000_t75" style="width:117.4pt;height:35.1pt" o:ole="">
            <v:imagedata r:id="rId11902" o:title=""/>
          </v:shape>
          <o:OLEObject Type="Embed" ProgID="Equation.DSMT4" ShapeID="_x0000_i6919" DrawAspect="Content" ObjectID="_1791380863" r:id="rId11903"/>
        </w:object>
      </w:r>
    </w:p>
    <w:p w14:paraId="67B4A3D9" w14:textId="77777777" w:rsidR="00556C10" w:rsidRPr="002614E7" w:rsidRDefault="00556C10" w:rsidP="00556C10">
      <w:pPr>
        <w:bidi w:val="0"/>
        <w:spacing w:line="216" w:lineRule="auto"/>
        <w:rPr>
          <w:i/>
          <w:sz w:val="23"/>
          <w:szCs w:val="23"/>
        </w:rPr>
      </w:pPr>
      <w:r w:rsidRPr="002614E7">
        <w:rPr>
          <w:position w:val="-36"/>
        </w:rPr>
        <w:object w:dxaOrig="5360" w:dyaOrig="820" w14:anchorId="6EF8BDE7">
          <v:shape id="_x0000_i6920" type="#_x0000_t75" style="width:268.05pt;height:41.15pt" o:ole="">
            <v:imagedata r:id="rId11904" o:title=""/>
          </v:shape>
          <o:OLEObject Type="Embed" ProgID="Equation.DSMT4" ShapeID="_x0000_i6920" DrawAspect="Content" ObjectID="_1791380864" r:id="rId11905"/>
        </w:object>
      </w:r>
    </w:p>
    <w:p w14:paraId="17FEB60B" w14:textId="77777777" w:rsidR="00556C10" w:rsidRPr="002614E7" w:rsidRDefault="00556C10" w:rsidP="00556C10">
      <w:pPr>
        <w:pStyle w:val="MTDisplayEquation"/>
        <w:tabs>
          <w:tab w:val="clear" w:pos="6660"/>
          <w:tab w:val="right" w:pos="0"/>
        </w:tabs>
        <w:spacing w:line="216" w:lineRule="auto"/>
        <w:jc w:val="left"/>
        <w:rPr>
          <w:rFonts w:ascii="Times New Roman" w:hAnsi="Times New Roman" w:cs="B Nazanin"/>
          <w:i/>
          <w:sz w:val="23"/>
          <w:szCs w:val="23"/>
        </w:rPr>
      </w:pPr>
      <w:r w:rsidRPr="002614E7">
        <w:rPr>
          <w:position w:val="-30"/>
        </w:rPr>
        <w:object w:dxaOrig="4780" w:dyaOrig="660" w14:anchorId="579A26E6">
          <v:shape id="_x0000_i6921" type="#_x0000_t75" style="width:239pt;height:32.65pt" o:ole="">
            <v:imagedata r:id="rId11906" o:title=""/>
          </v:shape>
          <o:OLEObject Type="Embed" ProgID="Equation.DSMT4" ShapeID="_x0000_i6921" DrawAspect="Content" ObjectID="_1791380865" r:id="rId11907"/>
        </w:object>
      </w:r>
      <w:r w:rsidRPr="002614E7">
        <w:rPr>
          <w:rFonts w:ascii="Times New Roman" w:hAnsi="Times New Roman"/>
          <w:i/>
          <w:sz w:val="23"/>
          <w:szCs w:val="23"/>
        </w:rPr>
        <w:tab/>
      </w:r>
      <w:r w:rsidRPr="002614E7">
        <w:rPr>
          <w:rFonts w:ascii="Times New Roman" w:hAnsi="Times New Roman"/>
          <w:i/>
          <w:sz w:val="23"/>
          <w:szCs w:val="23"/>
          <w:rtl/>
        </w:rPr>
        <w:tab/>
      </w:r>
      <w:r>
        <w:rPr>
          <w:rFonts w:ascii="Times New Roman" w:hAnsi="Times New Roman" w:hint="cs"/>
          <w:i/>
          <w:sz w:val="23"/>
          <w:szCs w:val="23"/>
          <w:rtl/>
        </w:rPr>
        <w:t xml:space="preserve"> </w:t>
      </w:r>
      <w:r>
        <w:rPr>
          <w:rFonts w:ascii="Times New Roman" w:hAnsi="Times New Roman"/>
          <w:i/>
          <w:sz w:val="23"/>
          <w:szCs w:val="23"/>
          <w:rtl/>
        </w:rPr>
        <w:tab/>
      </w:r>
      <w:r>
        <w:rPr>
          <w:rFonts w:ascii="Times New Roman" w:hAnsi="Times New Roman" w:hint="cs"/>
          <w:i/>
          <w:sz w:val="23"/>
          <w:szCs w:val="23"/>
          <w:rtl/>
        </w:rPr>
        <w:t xml:space="preserve">  </w:t>
      </w:r>
      <w:r w:rsidRPr="002614E7">
        <w:rPr>
          <w:rFonts w:ascii="Times New Roman" w:hAnsi="Times New Roman"/>
          <w:i/>
          <w:sz w:val="23"/>
          <w:szCs w:val="23"/>
          <w:rtl/>
        </w:rPr>
        <w:tab/>
      </w:r>
      <w:r w:rsidRPr="002614E7">
        <w:rPr>
          <w:rFonts w:ascii="Times New Roman" w:hAnsi="Times New Roman" w:cs="B Nazanin" w:hint="cs"/>
          <w:i/>
          <w:sz w:val="23"/>
          <w:szCs w:val="23"/>
          <w:rtl/>
        </w:rPr>
        <w:t>(۱۴. ۳۵)</w:t>
      </w:r>
      <w:r>
        <w:rPr>
          <w:rFonts w:ascii="Times New Roman" w:hAnsi="Times New Roman" w:cs="B Nazanin" w:hint="cs"/>
          <w:i/>
          <w:sz w:val="23"/>
          <w:szCs w:val="23"/>
          <w:rtl/>
        </w:rPr>
        <w:t xml:space="preserve">   </w:t>
      </w:r>
      <w:r w:rsidRPr="002614E7">
        <w:rPr>
          <w:rFonts w:ascii="Times New Roman" w:hAnsi="Times New Roman" w:cs="B Nazanin"/>
          <w:i/>
          <w:sz w:val="23"/>
          <w:szCs w:val="23"/>
          <w:rtl/>
        </w:rPr>
        <w:tab/>
      </w:r>
      <w:r w:rsidRPr="002614E7">
        <w:rPr>
          <w:rFonts w:ascii="Times New Roman" w:hAnsi="Times New Roman" w:cs="B Nazanin"/>
          <w:i/>
          <w:sz w:val="23"/>
          <w:szCs w:val="23"/>
        </w:rPr>
        <w:tab/>
      </w:r>
      <w:r w:rsidRPr="002614E7">
        <w:rPr>
          <w:position w:val="-30"/>
        </w:rPr>
        <w:object w:dxaOrig="6100" w:dyaOrig="660" w14:anchorId="4FD3399E">
          <v:shape id="_x0000_i6922" type="#_x0000_t75" style="width:304.95pt;height:32.65pt" o:ole="">
            <v:imagedata r:id="rId11908" o:title=""/>
          </v:shape>
          <o:OLEObject Type="Embed" ProgID="Equation.DSMT4" ShapeID="_x0000_i6922" DrawAspect="Content" ObjectID="_1791380866" r:id="rId11909"/>
        </w:object>
      </w:r>
      <w:r w:rsidRPr="002614E7">
        <w:rPr>
          <w:rFonts w:ascii="Times New Roman" w:hAnsi="Times New Roman" w:cs="B Nazanin" w:hint="cs"/>
          <w:i/>
          <w:sz w:val="23"/>
          <w:szCs w:val="23"/>
          <w:rtl/>
        </w:rPr>
        <w:t>(۱۴. ۳۶)</w:t>
      </w:r>
    </w:p>
    <w:p w14:paraId="219A814A" w14:textId="77777777" w:rsidR="00556C10" w:rsidRPr="002614E7" w:rsidRDefault="00556C10" w:rsidP="00556C10">
      <w:pPr>
        <w:pStyle w:val="MTDisplayEquation"/>
        <w:tabs>
          <w:tab w:val="clear" w:pos="6660"/>
          <w:tab w:val="right" w:pos="6804"/>
        </w:tabs>
        <w:bidi/>
        <w:spacing w:line="216" w:lineRule="auto"/>
        <w:rPr>
          <w:rFonts w:ascii="Times New Roman" w:hAnsi="Times New Roman" w:cs="B Nazanin"/>
          <w:i/>
          <w:sz w:val="23"/>
          <w:szCs w:val="23"/>
          <w:rtl/>
        </w:rPr>
      </w:pPr>
      <w:r w:rsidRPr="002614E7">
        <w:rPr>
          <w:rFonts w:ascii="Times New Roman" w:hAnsi="Times New Roman" w:cs="B Nazanin" w:hint="cs"/>
          <w:i/>
          <w:sz w:val="23"/>
          <w:szCs w:val="23"/>
          <w:rtl/>
        </w:rPr>
        <w:lastRenderedPageBreak/>
        <w:t xml:space="preserve">چنانچه </w:t>
      </w:r>
      <w:r w:rsidRPr="002614E7">
        <w:rPr>
          <w:position w:val="-10"/>
        </w:rPr>
        <w:object w:dxaOrig="660" w:dyaOrig="320" w14:anchorId="75564A19">
          <v:shape id="_x0000_i6923" type="#_x0000_t75" style="width:32.65pt;height:15.75pt" o:ole="">
            <v:imagedata r:id="rId11910" o:title=""/>
          </v:shape>
          <o:OLEObject Type="Embed" ProgID="Equation.DSMT4" ShapeID="_x0000_i6923" DrawAspect="Content" ObjectID="_1791380867" r:id="rId11911"/>
        </w:object>
      </w:r>
      <w:r w:rsidRPr="002614E7">
        <w:rPr>
          <w:rFonts w:ascii="Times New Roman" w:hAnsi="Times New Roman" w:cs="B Nazanin" w:hint="cs"/>
          <w:i/>
          <w:sz w:val="23"/>
          <w:szCs w:val="23"/>
          <w:rtl/>
        </w:rPr>
        <w:t xml:space="preserve"> باشد، براساس رابطه‌ی فوق با افزایش نرخ‌های بهره‌ی امروزی و آتی انتظاریِ صلاحدیدی، تورم فوراً کاهش می‌یابد.</w:t>
      </w:r>
      <w:r w:rsidRPr="002614E7">
        <w:rPr>
          <w:rFonts w:ascii="Times New Roman" w:hAnsi="Times New Roman" w:cs="B Nazanin"/>
          <w:i/>
          <w:sz w:val="23"/>
          <w:szCs w:val="23"/>
        </w:rPr>
        <w:t xml:space="preserve">  </w:t>
      </w:r>
    </w:p>
    <w:p w14:paraId="3F5EBDB0" w14:textId="77777777" w:rsidR="00556C10" w:rsidRPr="002614E7" w:rsidRDefault="00556C10" w:rsidP="00556C10">
      <w:pPr>
        <w:spacing w:line="216" w:lineRule="auto"/>
        <w:rPr>
          <w:i/>
          <w:sz w:val="23"/>
          <w:szCs w:val="23"/>
          <w:rtl/>
        </w:rPr>
      </w:pPr>
      <w:r w:rsidRPr="002614E7">
        <w:rPr>
          <w:rFonts w:hint="cs"/>
          <w:i/>
          <w:sz w:val="23"/>
          <w:szCs w:val="23"/>
          <w:rtl/>
        </w:rPr>
        <w:t xml:space="preserve">حل شکاف تولید با بازنویسی معادله‌ی (۱۴. ۳۱) و بکارگیری اپراتور وقفه و جایگزینی </w:t>
      </w:r>
      <w:r w:rsidRPr="002614E7">
        <w:rPr>
          <w:position w:val="-10"/>
        </w:rPr>
        <w:object w:dxaOrig="1280" w:dyaOrig="340" w14:anchorId="0A6589E9">
          <v:shape id="_x0000_i6924" type="#_x0000_t75" style="width:64.15pt;height:16.95pt" o:ole="">
            <v:imagedata r:id="rId11912" o:title=""/>
          </v:shape>
          <o:OLEObject Type="Embed" ProgID="Equation.DSMT4" ShapeID="_x0000_i6924" DrawAspect="Content" ObjectID="_1791380868" r:id="rId11913"/>
        </w:object>
      </w:r>
      <w:r w:rsidRPr="002614E7">
        <w:rPr>
          <w:rFonts w:hint="cs"/>
          <w:i/>
          <w:sz w:val="23"/>
          <w:szCs w:val="23"/>
          <w:rtl/>
        </w:rPr>
        <w:t xml:space="preserve"> از حل</w:t>
      </w:r>
      <w:r w:rsidRPr="002614E7">
        <w:rPr>
          <w:position w:val="-10"/>
        </w:rPr>
        <w:object w:dxaOrig="240" w:dyaOrig="320" w14:anchorId="7468679D">
          <v:shape id="_x0000_i6925" type="#_x0000_t75" style="width:11.5pt;height:15.75pt" o:ole="">
            <v:imagedata r:id="rId11914" o:title=""/>
          </v:shape>
          <o:OLEObject Type="Embed" ProgID="Equation.DSMT4" ShapeID="_x0000_i6925" DrawAspect="Content" ObjectID="_1791380869" r:id="rId11915"/>
        </w:object>
      </w:r>
      <w:r w:rsidRPr="002614E7">
        <w:rPr>
          <w:rFonts w:hint="cs"/>
          <w:i/>
          <w:position w:val="-12"/>
          <w:sz w:val="23"/>
          <w:szCs w:val="23"/>
          <w:rtl/>
        </w:rPr>
        <w:t xml:space="preserve"> </w:t>
      </w:r>
      <w:r w:rsidRPr="002614E7">
        <w:rPr>
          <w:rFonts w:hint="cs"/>
          <w:i/>
          <w:sz w:val="23"/>
          <w:szCs w:val="23"/>
          <w:rtl/>
        </w:rPr>
        <w:t>به دست می‌آید. بنابراین می‌توان نشان داد که:</w:t>
      </w:r>
    </w:p>
    <w:p w14:paraId="309FDF8E"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30"/>
        </w:rPr>
        <w:object w:dxaOrig="5640" w:dyaOrig="720" w14:anchorId="645BE62C">
          <v:shape id="_x0000_i6926" type="#_x0000_t75" style="width:281.95pt;height:36.3pt" o:ole="">
            <v:imagedata r:id="rId11916" o:title=""/>
          </v:shape>
          <o:OLEObject Type="Embed" ProgID="Equation.DSMT4" ShapeID="_x0000_i6926" DrawAspect="Content" ObjectID="_1791380870" r:id="rId11917"/>
        </w:object>
      </w:r>
    </w:p>
    <w:p w14:paraId="00502388"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Pr>
      </w:pPr>
      <w:r w:rsidRPr="002614E7">
        <w:rPr>
          <w:position w:val="-12"/>
        </w:rPr>
        <w:object w:dxaOrig="3040" w:dyaOrig="360" w14:anchorId="349A14CE">
          <v:shape id="_x0000_i6927" type="#_x0000_t75" style="width:151.85pt;height:18.15pt" o:ole="">
            <v:imagedata r:id="rId11918" o:title=""/>
          </v:shape>
          <o:OLEObject Type="Embed" ProgID="Equation.DSMT4" ShapeID="_x0000_i6927" DrawAspect="Content" ObjectID="_1791380871" r:id="rId11919"/>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ab/>
      </w:r>
      <w:r w:rsidRPr="002614E7">
        <w:rPr>
          <w:rFonts w:ascii="Times New Roman" w:hAnsi="Times New Roman" w:cs="B Nazanin"/>
          <w:i/>
          <w:sz w:val="23"/>
          <w:szCs w:val="23"/>
        </w:rPr>
        <w:tab/>
      </w:r>
      <w:r>
        <w:rPr>
          <w:rFonts w:ascii="Times New Roman" w:hAnsi="Times New Roman" w:cs="B Nazanin"/>
          <w:i/>
          <w:sz w:val="23"/>
          <w:szCs w:val="23"/>
          <w:rtl/>
        </w:rPr>
        <w:tab/>
      </w:r>
      <w:r w:rsidRPr="002614E7">
        <w:rPr>
          <w:rFonts w:ascii="Times New Roman" w:hAnsi="Times New Roman" w:cs="B Nazanin"/>
          <w:i/>
          <w:sz w:val="23"/>
          <w:szCs w:val="23"/>
        </w:rPr>
        <w:tab/>
      </w:r>
      <w:r w:rsidRPr="002614E7">
        <w:rPr>
          <w:rFonts w:ascii="Times New Roman" w:hAnsi="Times New Roman" w:cs="B Nazanin" w:hint="cs"/>
          <w:i/>
          <w:sz w:val="23"/>
          <w:szCs w:val="23"/>
          <w:rtl/>
        </w:rPr>
        <w:t>(۱۴. ۳۷)</w:t>
      </w:r>
    </w:p>
    <w:p w14:paraId="1D6FBCD3" w14:textId="77777777" w:rsidR="00556C10" w:rsidRPr="002614E7" w:rsidRDefault="00556C10" w:rsidP="00556C10">
      <w:pPr>
        <w:spacing w:line="216" w:lineRule="auto"/>
        <w:rPr>
          <w:i/>
          <w:sz w:val="23"/>
          <w:szCs w:val="23"/>
        </w:rPr>
      </w:pPr>
      <w:r w:rsidRPr="002614E7">
        <w:rPr>
          <w:rFonts w:hint="cs"/>
          <w:i/>
          <w:sz w:val="23"/>
          <w:szCs w:val="23"/>
          <w:rtl/>
        </w:rPr>
        <w:t>لذا یک افزایش در نرخ بهره، تغیرات شکاف تولید که تقریبی از رشد تولید است را افزایش خواهد داد.</w:t>
      </w:r>
    </w:p>
    <w:p w14:paraId="62ABA8C4" w14:textId="77777777" w:rsidR="00556C10" w:rsidRPr="002614E7" w:rsidRDefault="00556C10" w:rsidP="00556C10">
      <w:pPr>
        <w:spacing w:line="216" w:lineRule="auto"/>
        <w:rPr>
          <w:i/>
          <w:sz w:val="23"/>
          <w:szCs w:val="23"/>
          <w:rtl/>
        </w:rPr>
      </w:pPr>
      <w:r w:rsidRPr="002614E7">
        <w:rPr>
          <w:rFonts w:hint="cs"/>
          <w:i/>
          <w:sz w:val="23"/>
          <w:szCs w:val="23"/>
          <w:rtl/>
        </w:rPr>
        <w:t>در سیاست پولی صلاحدیدی، معمولاً فقط نرخ بهره جاری اعلام می‌شود و ارزش‌های آتی آن معلوم نیست. تنها تفاوت، در بانک مرکزی سوئد یا ریکس</w:t>
      </w:r>
      <w:r w:rsidRPr="002614E7">
        <w:rPr>
          <w:rFonts w:hint="cs"/>
          <w:i/>
          <w:sz w:val="23"/>
          <w:szCs w:val="23"/>
          <w:rtl/>
        </w:rPr>
        <w:softHyphen/>
        <w:t>بانک است که پیش</w:t>
      </w:r>
      <w:r w:rsidRPr="002614E7">
        <w:rPr>
          <w:rFonts w:hint="cs"/>
          <w:i/>
          <w:sz w:val="23"/>
          <w:szCs w:val="23"/>
          <w:rtl/>
        </w:rPr>
        <w:softHyphen/>
        <w:t>بینی‌های نرخ بهره را منتشر می‌کند. در مقابل، این مدل مشمول ارزش‌های آتی انتظاری تورم و تولید است و حل آن به ارزش‌های انتظاری نرخ بهره وابسته است. پیامد این مسئله آن است که عموم مردم می‌بایست نرخ‌های بهره‌ی آتی انتظاری را برای مقادیر انتظارات تورمی و تولیدِ خود پیش</w:t>
      </w:r>
      <w:r w:rsidRPr="002614E7">
        <w:rPr>
          <w:rFonts w:hint="cs"/>
          <w:i/>
          <w:sz w:val="23"/>
          <w:szCs w:val="23"/>
          <w:rtl/>
        </w:rPr>
        <w:softHyphen/>
        <w:t>بینی کنند. اما این</w:t>
      </w:r>
      <w:r w:rsidRPr="002614E7">
        <w:rPr>
          <w:rFonts w:hint="cs"/>
          <w:i/>
          <w:sz w:val="23"/>
          <w:szCs w:val="23"/>
          <w:rtl/>
        </w:rPr>
        <w:softHyphen/>
        <w:t>که چگونه این پیش</w:t>
      </w:r>
      <w:r w:rsidRPr="002614E7">
        <w:rPr>
          <w:rFonts w:hint="cs"/>
          <w:i/>
          <w:sz w:val="23"/>
          <w:szCs w:val="23"/>
          <w:rtl/>
        </w:rPr>
        <w:softHyphen/>
        <w:t>بینی</w:t>
      </w:r>
      <w:r w:rsidRPr="002614E7">
        <w:rPr>
          <w:rFonts w:hint="cs"/>
          <w:i/>
          <w:sz w:val="23"/>
          <w:szCs w:val="23"/>
          <w:rtl/>
        </w:rPr>
        <w:softHyphen/>
        <w:t>ها بدرستی محقق می‌شود، مبهم است. یک راه مرسوم استفاده از نرخ‌های آتی بازاری است که در فصل دوازدهم نشان داده شد که از ساختار زمانی نرخ بهره بدست خواهد آمد. راه دیگر پیش</w:t>
      </w:r>
      <w:r w:rsidRPr="002614E7">
        <w:rPr>
          <w:rFonts w:hint="cs"/>
          <w:i/>
          <w:sz w:val="23"/>
          <w:szCs w:val="23"/>
          <w:rtl/>
        </w:rPr>
        <w:softHyphen/>
        <w:t>بینی تورم و تولید با استفاده از مدل</w:t>
      </w:r>
      <w:r w:rsidRPr="002614E7">
        <w:rPr>
          <w:rFonts w:hint="cs"/>
          <w:i/>
          <w:sz w:val="23"/>
          <w:szCs w:val="23"/>
          <w:rtl/>
        </w:rPr>
        <w:softHyphen/>
        <w:t>های ویژه</w:t>
      </w:r>
      <w:r w:rsidRPr="002614E7">
        <w:rPr>
          <w:rStyle w:val="FootnoteReference"/>
          <w:i/>
          <w:sz w:val="23"/>
          <w:szCs w:val="23"/>
          <w:rtl/>
        </w:rPr>
        <w:footnoteReference w:id="346"/>
      </w:r>
      <w:r w:rsidRPr="002614E7">
        <w:rPr>
          <w:rFonts w:hint="cs"/>
          <w:i/>
          <w:sz w:val="23"/>
          <w:szCs w:val="23"/>
          <w:rtl/>
        </w:rPr>
        <w:t xml:space="preserve"> است. هر چند، در سیاست</w:t>
      </w:r>
      <w:r w:rsidRPr="002614E7">
        <w:rPr>
          <w:rFonts w:hint="cs"/>
          <w:i/>
          <w:sz w:val="23"/>
          <w:szCs w:val="23"/>
          <w:rtl/>
        </w:rPr>
        <w:softHyphen/>
        <w:t>های پولیِ مبتنی بر قواعد، بدلیل آنکه تعیین نرخ بهره شناخته شده است این مشکل وجود ندارد.</w:t>
      </w:r>
    </w:p>
    <w:p w14:paraId="6E7665AE" w14:textId="77777777" w:rsidR="00556C10" w:rsidRPr="002614E7" w:rsidRDefault="00556C10" w:rsidP="00556C10">
      <w:pPr>
        <w:spacing w:line="216" w:lineRule="auto"/>
        <w:rPr>
          <w:i/>
          <w:sz w:val="23"/>
          <w:szCs w:val="23"/>
          <w:rtl/>
        </w:rPr>
      </w:pPr>
      <w:r w:rsidRPr="002614E7">
        <w:rPr>
          <w:rFonts w:hint="cs"/>
          <w:i/>
          <w:sz w:val="23"/>
          <w:szCs w:val="23"/>
          <w:rtl/>
        </w:rPr>
        <w:t xml:space="preserve"> </w:t>
      </w:r>
    </w:p>
    <w:p w14:paraId="4F27B56D" w14:textId="77777777" w:rsidR="00556C10" w:rsidRPr="002614E7" w:rsidRDefault="00556C10" w:rsidP="00556C10">
      <w:pPr>
        <w:spacing w:line="216" w:lineRule="auto"/>
        <w:rPr>
          <w:bCs/>
          <w:i/>
          <w:sz w:val="23"/>
          <w:szCs w:val="23"/>
        </w:rPr>
      </w:pPr>
      <w:r w:rsidRPr="002614E7">
        <w:rPr>
          <w:rFonts w:hint="cs"/>
          <w:bCs/>
          <w:i/>
          <w:sz w:val="23"/>
          <w:szCs w:val="23"/>
          <w:rtl/>
        </w:rPr>
        <w:t>سیاست پولی مبتنی بر قواعد</w:t>
      </w:r>
      <w:r w:rsidRPr="002614E7">
        <w:rPr>
          <w:rStyle w:val="FootnoteReference"/>
          <w:bCs/>
          <w:i/>
          <w:sz w:val="23"/>
          <w:szCs w:val="23"/>
          <w:rtl/>
        </w:rPr>
        <w:footnoteReference w:id="347"/>
      </w:r>
    </w:p>
    <w:p w14:paraId="4168021F" w14:textId="77777777" w:rsidR="00556C10" w:rsidRPr="002614E7" w:rsidRDefault="00556C10" w:rsidP="00556C10">
      <w:pPr>
        <w:spacing w:line="216" w:lineRule="auto"/>
        <w:rPr>
          <w:i/>
          <w:sz w:val="23"/>
          <w:szCs w:val="23"/>
          <w:rtl/>
        </w:rPr>
      </w:pPr>
      <w:r w:rsidRPr="002614E7">
        <w:rPr>
          <w:rFonts w:hint="cs"/>
          <w:i/>
          <w:sz w:val="23"/>
          <w:szCs w:val="23"/>
          <w:rtl/>
        </w:rPr>
        <w:t>مقایسه‌ی راه حل تورم و اثربخشی سیاست پولی صلاحدیدی، با سیاست پولی مبتنی بر قواعد و یا تعهد به ضابطه‌ی عمومی تیلور بسیار آموزنده است. اکنون قاعده و ضابطه</w:t>
      </w:r>
      <w:r w:rsidRPr="002614E7">
        <w:rPr>
          <w:rFonts w:hint="cs"/>
          <w:i/>
          <w:sz w:val="23"/>
          <w:szCs w:val="23"/>
          <w:rtl/>
        </w:rPr>
        <w:softHyphen/>
        <w:t>ی تیلور را به صورت زیر بازنویسی می‌کنیم.</w:t>
      </w:r>
    </w:p>
    <w:p w14:paraId="4E262BD7"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tl/>
        </w:rPr>
      </w:pPr>
      <w:r w:rsidRPr="002614E7">
        <w:rPr>
          <w:position w:val="-16"/>
        </w:rPr>
        <w:object w:dxaOrig="3080" w:dyaOrig="420" w14:anchorId="161CEF1E">
          <v:shape id="_x0000_i6928" type="#_x0000_t75" style="width:154.3pt;height:21.2pt" o:ole="">
            <v:imagedata r:id="rId11920" o:title=""/>
          </v:shape>
          <o:OLEObject Type="Embed" ProgID="Equation.DSMT4" ShapeID="_x0000_i6928" DrawAspect="Content" ObjectID="_1791380872" r:id="rId11921"/>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Pr>
        <w:tab/>
      </w:r>
      <w:r>
        <w:rPr>
          <w:rFonts w:ascii="Times New Roman" w:hAnsi="Times New Roman"/>
          <w:i/>
          <w:sz w:val="23"/>
          <w:szCs w:val="23"/>
          <w:rtl/>
        </w:rPr>
        <w:tab/>
      </w:r>
      <w:r>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ab/>
        <w:t>(۱۴. ۳۸)</w:t>
      </w:r>
    </w:p>
    <w:p w14:paraId="296CA302" w14:textId="77777777" w:rsidR="00556C10" w:rsidRPr="002614E7" w:rsidRDefault="00556C10" w:rsidP="00556C10">
      <w:pPr>
        <w:spacing w:line="216" w:lineRule="auto"/>
        <w:rPr>
          <w:i/>
          <w:sz w:val="23"/>
          <w:szCs w:val="23"/>
          <w:rtl/>
        </w:rPr>
      </w:pPr>
      <w:r w:rsidRPr="002614E7">
        <w:rPr>
          <w:rFonts w:hint="cs"/>
          <w:i/>
          <w:sz w:val="23"/>
          <w:szCs w:val="23"/>
          <w:rtl/>
        </w:rPr>
        <w:t>که درآن</w:t>
      </w:r>
      <w:r w:rsidRPr="002614E7">
        <w:rPr>
          <w:position w:val="-10"/>
        </w:rPr>
        <w:object w:dxaOrig="700" w:dyaOrig="300" w14:anchorId="6F0E01ED">
          <v:shape id="_x0000_i6929" type="#_x0000_t75" style="width:35.1pt;height:14.5pt" o:ole="">
            <v:imagedata r:id="rId11922" o:title=""/>
          </v:shape>
          <o:OLEObject Type="Embed" ProgID="Equation.DSMT4" ShapeID="_x0000_i6929" DrawAspect="Content" ObjectID="_1791380873" r:id="rId11923"/>
        </w:object>
      </w:r>
      <w:r w:rsidRPr="002614E7">
        <w:rPr>
          <w:rFonts w:hint="cs"/>
          <w:i/>
          <w:sz w:val="23"/>
          <w:szCs w:val="23"/>
          <w:rtl/>
        </w:rPr>
        <w:t xml:space="preserve"> و </w:t>
      </w:r>
      <w:r w:rsidRPr="002614E7">
        <w:rPr>
          <w:position w:val="-6"/>
        </w:rPr>
        <w:object w:dxaOrig="680" w:dyaOrig="260" w14:anchorId="076CCB80">
          <v:shape id="_x0000_i6930" type="#_x0000_t75" style="width:33.9pt;height:13.3pt" o:ole="">
            <v:imagedata r:id="rId11924" o:title=""/>
          </v:shape>
          <o:OLEObject Type="Embed" ProgID="Equation.DSMT4" ShapeID="_x0000_i6930" DrawAspect="Content" ObjectID="_1791380874" r:id="rId11925"/>
        </w:object>
      </w:r>
      <w:r w:rsidRPr="002614E7">
        <w:rPr>
          <w:rFonts w:hint="cs"/>
          <w:i/>
          <w:sz w:val="23"/>
          <w:szCs w:val="23"/>
          <w:rtl/>
        </w:rPr>
        <w:t>. متغیر تصادفی</w:t>
      </w:r>
      <w:r w:rsidRPr="002614E7">
        <w:rPr>
          <w:position w:val="-10"/>
        </w:rPr>
        <w:object w:dxaOrig="300" w:dyaOrig="320" w14:anchorId="73C79E47">
          <v:shape id="_x0000_i6931" type="#_x0000_t75" style="width:14.5pt;height:15.75pt" o:ole="">
            <v:imagedata r:id="rId11926" o:title=""/>
          </v:shape>
          <o:OLEObject Type="Embed" ProgID="Equation.DSMT4" ShapeID="_x0000_i6931" DrawAspect="Content" ObjectID="_1791380875" r:id="rId11927"/>
        </w:object>
      </w:r>
      <w:r w:rsidRPr="002614E7">
        <w:rPr>
          <w:rFonts w:hint="cs"/>
          <w:i/>
          <w:sz w:val="23"/>
          <w:szCs w:val="23"/>
          <w:rtl/>
        </w:rPr>
        <w:t xml:space="preserve"> به دلیل انحراف غیرمنتظره از قاعده و ضابطه معرفی شده است. شکل ماتریسی این مدل عبارت است از</w:t>
      </w:r>
    </w:p>
    <w:p w14:paraId="47B65DA4" w14:textId="77777777" w:rsidR="00556C10" w:rsidRPr="002614E7" w:rsidRDefault="00556C10" w:rsidP="00556C10">
      <w:pPr>
        <w:bidi w:val="0"/>
        <w:spacing w:line="216" w:lineRule="auto"/>
        <w:rPr>
          <w:i/>
          <w:sz w:val="23"/>
          <w:szCs w:val="23"/>
          <w:rtl/>
        </w:rPr>
      </w:pPr>
      <w:r w:rsidRPr="002614E7">
        <w:rPr>
          <w:position w:val="-46"/>
        </w:rPr>
        <w:object w:dxaOrig="4720" w:dyaOrig="1040" w14:anchorId="4C0FED26">
          <v:shape id="_x0000_i6932" type="#_x0000_t75" style="width:235.95pt;height:52.05pt" o:ole="">
            <v:imagedata r:id="rId11928" o:title=""/>
          </v:shape>
          <o:OLEObject Type="Embed" ProgID="Equation.DSMT4" ShapeID="_x0000_i6932" DrawAspect="Content" ObjectID="_1791380876" r:id="rId11929"/>
        </w:object>
      </w:r>
      <w:r w:rsidRPr="002614E7">
        <w:rPr>
          <w:rFonts w:hint="cs"/>
          <w:i/>
          <w:sz w:val="23"/>
          <w:szCs w:val="23"/>
          <w:rtl/>
        </w:rPr>
        <w:tab/>
      </w:r>
      <w:r w:rsidRPr="002614E7">
        <w:rPr>
          <w:i/>
          <w:sz w:val="23"/>
          <w:szCs w:val="23"/>
        </w:rPr>
        <w:tab/>
      </w:r>
      <w:r w:rsidRPr="002614E7">
        <w:rPr>
          <w:rFonts w:hint="cs"/>
          <w:i/>
          <w:sz w:val="23"/>
          <w:szCs w:val="23"/>
          <w:rtl/>
        </w:rPr>
        <w:tab/>
      </w:r>
      <w:r w:rsidRPr="002614E7">
        <w:rPr>
          <w:i/>
          <w:sz w:val="23"/>
          <w:szCs w:val="23"/>
          <w:rtl/>
        </w:rPr>
        <w:tab/>
      </w:r>
      <w:r w:rsidRPr="002614E7">
        <w:rPr>
          <w:rFonts w:hint="cs"/>
          <w:i/>
          <w:sz w:val="23"/>
          <w:szCs w:val="23"/>
          <w:rtl/>
        </w:rPr>
        <w:tab/>
        <w:t>(۱۴. ۳۹)</w:t>
      </w:r>
    </w:p>
    <w:p w14:paraId="3A333538" w14:textId="77777777" w:rsidR="00556C10" w:rsidRPr="002614E7" w:rsidRDefault="00556C10" w:rsidP="00556C10">
      <w:pPr>
        <w:spacing w:line="216" w:lineRule="auto"/>
        <w:rPr>
          <w:i/>
          <w:sz w:val="23"/>
          <w:szCs w:val="23"/>
          <w:rtl/>
        </w:rPr>
      </w:pPr>
      <w:r w:rsidRPr="002614E7">
        <w:rPr>
          <w:rFonts w:hint="cs"/>
          <w:i/>
          <w:sz w:val="23"/>
          <w:szCs w:val="23"/>
          <w:rtl/>
        </w:rPr>
        <w:t>و یا بطور کلی</w:t>
      </w:r>
    </w:p>
    <w:p w14:paraId="598D7A9C" w14:textId="77777777" w:rsidR="00556C10" w:rsidRPr="002614E7" w:rsidRDefault="00556C10" w:rsidP="00556C10">
      <w:pPr>
        <w:bidi w:val="0"/>
        <w:spacing w:line="216" w:lineRule="auto"/>
        <w:rPr>
          <w:i/>
          <w:sz w:val="23"/>
          <w:szCs w:val="23"/>
          <w:rtl/>
        </w:rPr>
      </w:pPr>
      <w:r w:rsidRPr="002614E7">
        <w:rPr>
          <w:position w:val="-12"/>
        </w:rPr>
        <w:object w:dxaOrig="1520" w:dyaOrig="360" w14:anchorId="1A099F40">
          <v:shape id="_x0000_i6933" type="#_x0000_t75" style="width:75.65pt;height:18.15pt" o:ole="">
            <v:imagedata r:id="rId11930" o:title=""/>
          </v:shape>
          <o:OLEObject Type="Embed" ProgID="Equation.DSMT4" ShapeID="_x0000_i6933" DrawAspect="Content" ObjectID="_1791380877" r:id="rId11931"/>
        </w:object>
      </w:r>
      <w:r w:rsidRPr="002614E7">
        <w:rPr>
          <w:rFonts w:hint="cs"/>
          <w:i/>
          <w:sz w:val="23"/>
          <w:szCs w:val="23"/>
          <w:rtl/>
        </w:rPr>
        <w:tab/>
      </w:r>
      <w:r w:rsidRPr="002614E7">
        <w:rPr>
          <w:rFonts w:hint="cs"/>
          <w:i/>
          <w:sz w:val="23"/>
          <w:szCs w:val="23"/>
          <w:rtl/>
        </w:rPr>
        <w:tab/>
      </w:r>
      <w:r w:rsidRPr="002614E7">
        <w:rPr>
          <w:rFonts w:hint="cs"/>
          <w:i/>
          <w:sz w:val="23"/>
          <w:szCs w:val="23"/>
          <w:rtl/>
        </w:rPr>
        <w:tab/>
        <w:t xml:space="preserve"> </w:t>
      </w:r>
      <w:r w:rsidRPr="002614E7">
        <w:rPr>
          <w:rFonts w:hint="cs"/>
          <w:i/>
          <w:sz w:val="23"/>
          <w:szCs w:val="23"/>
          <w:rtl/>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Pr>
          <w:i/>
          <w:sz w:val="23"/>
          <w:szCs w:val="23"/>
          <w:rtl/>
        </w:rPr>
        <w:tab/>
      </w:r>
      <w:r w:rsidRPr="002614E7">
        <w:rPr>
          <w:i/>
          <w:sz w:val="23"/>
          <w:szCs w:val="23"/>
        </w:rPr>
        <w:tab/>
      </w:r>
      <w:r w:rsidRPr="002614E7">
        <w:rPr>
          <w:i/>
          <w:sz w:val="23"/>
          <w:szCs w:val="23"/>
        </w:rPr>
        <w:tab/>
      </w:r>
      <w:r w:rsidRPr="002614E7">
        <w:rPr>
          <w:rFonts w:hint="cs"/>
          <w:i/>
          <w:sz w:val="23"/>
          <w:szCs w:val="23"/>
          <w:rtl/>
        </w:rPr>
        <w:tab/>
        <w:t>(۱۴.۴۰)</w:t>
      </w:r>
    </w:p>
    <w:p w14:paraId="23A5A7A3" w14:textId="77777777" w:rsidR="00556C10" w:rsidRPr="002614E7" w:rsidRDefault="00556C10" w:rsidP="00556C10">
      <w:pPr>
        <w:spacing w:line="216" w:lineRule="auto"/>
        <w:rPr>
          <w:i/>
          <w:sz w:val="23"/>
          <w:szCs w:val="23"/>
        </w:rPr>
      </w:pPr>
      <w:r w:rsidRPr="002614E7">
        <w:rPr>
          <w:rFonts w:hint="cs"/>
          <w:i/>
          <w:sz w:val="23"/>
          <w:szCs w:val="23"/>
          <w:rtl/>
        </w:rPr>
        <w:t xml:space="preserve">که در آن </w:t>
      </w:r>
    </w:p>
    <w:p w14:paraId="251CE073" w14:textId="77777777" w:rsidR="00556C10" w:rsidRPr="002614E7" w:rsidRDefault="00556C10" w:rsidP="00556C10">
      <w:pPr>
        <w:bidi w:val="0"/>
        <w:spacing w:line="216" w:lineRule="auto"/>
        <w:rPr>
          <w:i/>
          <w:sz w:val="23"/>
          <w:szCs w:val="23"/>
          <w:rtl/>
        </w:rPr>
      </w:pPr>
      <w:r w:rsidRPr="002614E7">
        <w:rPr>
          <w:position w:val="-46"/>
        </w:rPr>
        <w:object w:dxaOrig="2799" w:dyaOrig="1040" w14:anchorId="7E2F28EC">
          <v:shape id="_x0000_i6934" type="#_x0000_t75" style="width:139.75pt;height:52.05pt" o:ole="">
            <v:imagedata r:id="rId11932" o:title=""/>
          </v:shape>
          <o:OLEObject Type="Embed" ProgID="Equation.DSMT4" ShapeID="_x0000_i6934" DrawAspect="Content" ObjectID="_1791380878" r:id="rId11933"/>
        </w:object>
      </w:r>
    </w:p>
    <w:p w14:paraId="5FDB5326" w14:textId="77777777" w:rsidR="00556C10" w:rsidRPr="002614E7" w:rsidRDefault="00556C10" w:rsidP="00556C10">
      <w:pPr>
        <w:spacing w:line="216" w:lineRule="auto"/>
        <w:rPr>
          <w:i/>
          <w:sz w:val="23"/>
          <w:szCs w:val="23"/>
          <w:rtl/>
        </w:rPr>
      </w:pPr>
      <w:r w:rsidRPr="002614E7">
        <w:rPr>
          <w:rFonts w:hint="cs"/>
          <w:i/>
          <w:sz w:val="23"/>
          <w:szCs w:val="23"/>
          <w:rtl/>
        </w:rPr>
        <w:t>و معکوس ماتریس</w:t>
      </w:r>
      <w:r w:rsidRPr="002614E7">
        <w:rPr>
          <w:position w:val="-12"/>
        </w:rPr>
        <w:object w:dxaOrig="580" w:dyaOrig="360" w14:anchorId="7241DB4B">
          <v:shape id="_x0000_i6935" type="#_x0000_t75" style="width:29.05pt;height:18.15pt" o:ole="">
            <v:imagedata r:id="rId11934" o:title=""/>
          </v:shape>
          <o:OLEObject Type="Embed" ProgID="Equation.DSMT4" ShapeID="_x0000_i6935" DrawAspect="Content" ObjectID="_1791380879" r:id="rId11935"/>
        </w:object>
      </w:r>
      <w:r w:rsidRPr="002614E7">
        <w:rPr>
          <w:rFonts w:hint="cs"/>
          <w:i/>
          <w:sz w:val="23"/>
          <w:szCs w:val="23"/>
          <w:rtl/>
        </w:rPr>
        <w:t xml:space="preserve"> برابر است با</w:t>
      </w:r>
    </w:p>
    <w:p w14:paraId="7C11BB8F" w14:textId="77777777" w:rsidR="00556C10" w:rsidRPr="002614E7" w:rsidRDefault="00556C10" w:rsidP="00556C10">
      <w:pPr>
        <w:bidi w:val="0"/>
        <w:spacing w:line="216" w:lineRule="auto"/>
        <w:rPr>
          <w:i/>
          <w:sz w:val="23"/>
          <w:szCs w:val="23"/>
          <w:rtl/>
        </w:rPr>
      </w:pPr>
      <w:r w:rsidRPr="002614E7">
        <w:rPr>
          <w:position w:val="-52"/>
        </w:rPr>
        <w:object w:dxaOrig="7600" w:dyaOrig="1140" w14:anchorId="6386CC4C">
          <v:shape id="_x0000_i6936" type="#_x0000_t75" style="width:340.65pt;height:57.5pt" o:ole="">
            <v:imagedata r:id="rId11936" o:title=""/>
          </v:shape>
          <o:OLEObject Type="Embed" ProgID="Equation.DSMT4" ShapeID="_x0000_i6936" DrawAspect="Content" ObjectID="_1791380880" r:id="rId11937"/>
        </w:object>
      </w:r>
    </w:p>
    <w:p w14:paraId="4F554639" w14:textId="77777777" w:rsidR="00556C10" w:rsidRPr="002614E7" w:rsidRDefault="00556C10" w:rsidP="00556C10">
      <w:pPr>
        <w:spacing w:line="216" w:lineRule="auto"/>
        <w:rPr>
          <w:i/>
          <w:sz w:val="23"/>
          <w:szCs w:val="23"/>
        </w:rPr>
      </w:pPr>
      <w:r w:rsidRPr="002614E7">
        <w:rPr>
          <w:rFonts w:hint="cs"/>
          <w:i/>
          <w:sz w:val="23"/>
          <w:szCs w:val="23"/>
          <w:rtl/>
        </w:rPr>
        <w:t xml:space="preserve">که در آن دترمینان </w:t>
      </w:r>
      <w:r w:rsidRPr="002614E7">
        <w:rPr>
          <w:position w:val="-12"/>
        </w:rPr>
        <w:object w:dxaOrig="580" w:dyaOrig="360" w14:anchorId="455869C8">
          <v:shape id="_x0000_i6937" type="#_x0000_t75" style="width:29.05pt;height:18.15pt" o:ole="">
            <v:imagedata r:id="rId11938" o:title=""/>
          </v:shape>
          <o:OLEObject Type="Embed" ProgID="Equation.DSMT4" ShapeID="_x0000_i6937" DrawAspect="Content" ObjectID="_1791380881" r:id="rId11939"/>
        </w:object>
      </w:r>
      <w:r w:rsidRPr="002614E7">
        <w:rPr>
          <w:rFonts w:hint="cs"/>
          <w:i/>
          <w:sz w:val="23"/>
          <w:szCs w:val="23"/>
          <w:rtl/>
        </w:rPr>
        <w:t xml:space="preserve"> برابر است با</w:t>
      </w:r>
    </w:p>
    <w:p w14:paraId="1573DA7E" w14:textId="77777777" w:rsidR="00556C10" w:rsidRPr="002614E7" w:rsidRDefault="00556C10" w:rsidP="00556C10">
      <w:pPr>
        <w:bidi w:val="0"/>
        <w:spacing w:line="216" w:lineRule="auto"/>
        <w:rPr>
          <w:i/>
          <w:sz w:val="23"/>
          <w:szCs w:val="23"/>
          <w:rtl/>
        </w:rPr>
      </w:pPr>
      <w:r w:rsidRPr="002614E7">
        <w:rPr>
          <w:position w:val="-14"/>
        </w:rPr>
        <w:object w:dxaOrig="5140" w:dyaOrig="380" w14:anchorId="6BDF0641">
          <v:shape id="_x0000_i6938" type="#_x0000_t75" style="width:256.55pt;height:18.75pt" o:ole="">
            <v:imagedata r:id="rId11940" o:title=""/>
          </v:shape>
          <o:OLEObject Type="Embed" ProgID="Equation.DSMT4" ShapeID="_x0000_i6938" DrawAspect="Content" ObjectID="_1791380882" r:id="rId11941"/>
        </w:object>
      </w:r>
    </w:p>
    <w:p w14:paraId="1891C8D3" w14:textId="77777777" w:rsidR="00556C10" w:rsidRPr="002614E7" w:rsidRDefault="00556C10" w:rsidP="00556C10">
      <w:pPr>
        <w:spacing w:line="216" w:lineRule="auto"/>
        <w:rPr>
          <w:i/>
          <w:sz w:val="23"/>
          <w:szCs w:val="23"/>
        </w:rPr>
      </w:pPr>
      <w:r w:rsidRPr="002614E7">
        <w:rPr>
          <w:rFonts w:hint="cs"/>
          <w:i/>
          <w:sz w:val="23"/>
          <w:szCs w:val="23"/>
          <w:rtl/>
        </w:rPr>
        <w:t>با ضرب معادله‌ی (۱۴. ۳۹) در ماتریس الحاقی</w:t>
      </w:r>
      <w:r w:rsidRPr="002614E7">
        <w:rPr>
          <w:position w:val="-12"/>
        </w:rPr>
        <w:object w:dxaOrig="580" w:dyaOrig="360" w14:anchorId="65FFDB54">
          <v:shape id="_x0000_i6939" type="#_x0000_t75" style="width:29.05pt;height:18.15pt" o:ole="">
            <v:imagedata r:id="rId11942" o:title=""/>
          </v:shape>
          <o:OLEObject Type="Embed" ProgID="Equation.DSMT4" ShapeID="_x0000_i6939" DrawAspect="Content" ObjectID="_1791380883" r:id="rId11943"/>
        </w:object>
      </w:r>
      <w:r w:rsidRPr="002614E7">
        <w:rPr>
          <w:rFonts w:hint="cs"/>
          <w:i/>
          <w:sz w:val="23"/>
          <w:szCs w:val="23"/>
          <w:rtl/>
        </w:rPr>
        <w:t xml:space="preserve"> که در واقع حل مدل کینزین جدید با در نظر گرفتن قاعده</w:t>
      </w:r>
      <w:r w:rsidRPr="002614E7">
        <w:rPr>
          <w:rFonts w:hint="cs"/>
          <w:i/>
          <w:sz w:val="23"/>
          <w:szCs w:val="23"/>
          <w:rtl/>
        </w:rPr>
        <w:softHyphen/>
        <w:t>ی تیلور و حذف</w:t>
      </w:r>
      <w:r w:rsidRPr="002614E7">
        <w:rPr>
          <w:position w:val="-10"/>
        </w:rPr>
        <w:object w:dxaOrig="240" w:dyaOrig="320" w14:anchorId="238E1F20">
          <v:shape id="_x0000_i6940" type="#_x0000_t75" style="width:11.5pt;height:15.75pt" o:ole="">
            <v:imagedata r:id="rId11944" o:title=""/>
          </v:shape>
          <o:OLEObject Type="Embed" ProgID="Equation.DSMT4" ShapeID="_x0000_i6940" DrawAspect="Content" ObjectID="_1791380884" r:id="rId11945"/>
        </w:object>
      </w:r>
      <w:r w:rsidRPr="002614E7">
        <w:rPr>
          <w:rFonts w:eastAsiaTheme="minorEastAsia" w:hint="cs"/>
          <w:i/>
          <w:sz w:val="23"/>
          <w:szCs w:val="23"/>
          <w:rtl/>
        </w:rPr>
        <w:t xml:space="preserve"> و</w:t>
      </w:r>
      <w:r w:rsidRPr="002614E7">
        <w:rPr>
          <w:position w:val="-10"/>
        </w:rPr>
        <w:object w:dxaOrig="279" w:dyaOrig="320" w14:anchorId="1E4CE0E6">
          <v:shape id="_x0000_i6941" type="#_x0000_t75" style="width:13.9pt;height:15.75pt" o:ole="">
            <v:imagedata r:id="rId11946" o:title=""/>
          </v:shape>
          <o:OLEObject Type="Embed" ProgID="Equation.DSMT4" ShapeID="_x0000_i6941" DrawAspect="Content" ObjectID="_1791380885" r:id="rId11947"/>
        </w:object>
      </w:r>
      <w:r w:rsidRPr="002614E7">
        <w:rPr>
          <w:rFonts w:eastAsiaTheme="minorEastAsia" w:hint="cs"/>
          <w:i/>
          <w:sz w:val="23"/>
          <w:szCs w:val="23"/>
          <w:rtl/>
        </w:rPr>
        <w:t xml:space="preserve"> می‌باشد، معا</w:t>
      </w:r>
      <w:r w:rsidRPr="002614E7">
        <w:rPr>
          <w:rFonts w:hint="cs"/>
          <w:i/>
          <w:sz w:val="23"/>
          <w:szCs w:val="23"/>
          <w:rtl/>
        </w:rPr>
        <w:t>دله‌ی تورم بدست خواهد آمد</w:t>
      </w:r>
    </w:p>
    <w:p w14:paraId="2BD21135"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14"/>
        </w:rPr>
        <w:object w:dxaOrig="4060" w:dyaOrig="380" w14:anchorId="065C9BF8">
          <v:shape id="_x0000_i6942" type="#_x0000_t75" style="width:203.3pt;height:18.75pt" o:ole="">
            <v:imagedata r:id="rId11948" o:title=""/>
          </v:shape>
          <o:OLEObject Type="Embed" ProgID="Equation.DSMT4" ShapeID="_x0000_i6942" DrawAspect="Content" ObjectID="_1791380886" r:id="rId11949"/>
        </w:object>
      </w:r>
    </w:p>
    <w:p w14:paraId="34EAEDD4"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Pr>
      </w:pPr>
      <w:r w:rsidRPr="002614E7">
        <w:rPr>
          <w:position w:val="-14"/>
        </w:rPr>
        <w:object w:dxaOrig="4780" w:dyaOrig="380" w14:anchorId="29D8265A">
          <v:shape id="_x0000_i6943" type="#_x0000_t75" style="width:239pt;height:18.75pt" o:ole="">
            <v:imagedata r:id="rId11950" o:title=""/>
          </v:shape>
          <o:OLEObject Type="Embed" ProgID="Equation.DSMT4" ShapeID="_x0000_i6943" DrawAspect="Content" ObjectID="_1791380887" r:id="rId11951"/>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Pr>
        <w:tab/>
      </w:r>
      <w:r>
        <w:rPr>
          <w:rFonts w:ascii="Times New Roman" w:hAnsi="Times New Roman"/>
          <w:i/>
          <w:sz w:val="23"/>
          <w:szCs w:val="23"/>
          <w:rtl/>
        </w:rPr>
        <w:tab/>
      </w:r>
      <w:r w:rsidRPr="002614E7">
        <w:rPr>
          <w:rFonts w:ascii="Times New Roman" w:hAnsi="Times New Roman" w:cs="B Nazanin" w:hint="cs"/>
          <w:i/>
          <w:sz w:val="23"/>
          <w:szCs w:val="23"/>
          <w:rtl/>
        </w:rPr>
        <w:tab/>
        <w:t>(۱۴. ۴۱)</w:t>
      </w:r>
    </w:p>
    <w:p w14:paraId="33B2B41C" w14:textId="77777777" w:rsidR="00556C10" w:rsidRPr="002614E7" w:rsidRDefault="00556C10" w:rsidP="00556C10">
      <w:pPr>
        <w:spacing w:line="216" w:lineRule="auto"/>
        <w:rPr>
          <w:rFonts w:eastAsiaTheme="minorEastAsia"/>
          <w:i/>
          <w:sz w:val="23"/>
          <w:szCs w:val="23"/>
          <w:rtl/>
        </w:rPr>
      </w:pPr>
      <w:r w:rsidRPr="002614E7">
        <w:rPr>
          <w:rFonts w:hint="cs"/>
          <w:i/>
          <w:sz w:val="23"/>
          <w:szCs w:val="23"/>
          <w:rtl/>
        </w:rPr>
        <w:t>باید توجه نمود که</w:t>
      </w:r>
      <w:r w:rsidRPr="002614E7">
        <w:rPr>
          <w:position w:val="-12"/>
        </w:rPr>
        <w:object w:dxaOrig="1760" w:dyaOrig="360" w14:anchorId="64441971">
          <v:shape id="_x0000_i6944" type="#_x0000_t75" style="width:87.75pt;height:18.15pt" o:ole="">
            <v:imagedata r:id="rId11952" o:title=""/>
          </v:shape>
          <o:OLEObject Type="Embed" ProgID="Equation.DSMT4" ShapeID="_x0000_i6944" DrawAspect="Content" ObjectID="_1791380888" r:id="rId11953"/>
        </w:object>
      </w:r>
      <w:r w:rsidRPr="002614E7">
        <w:rPr>
          <w:i/>
          <w:sz w:val="23"/>
          <w:szCs w:val="23"/>
        </w:rPr>
        <w:t xml:space="preserve"> </w:t>
      </w:r>
      <w:r w:rsidRPr="002614E7">
        <w:rPr>
          <w:rFonts w:hint="cs"/>
          <w:i/>
          <w:sz w:val="23"/>
          <w:szCs w:val="23"/>
          <w:rtl/>
        </w:rPr>
        <w:t>است. معادله (۱۴. ۴۱)</w:t>
      </w:r>
      <w:r w:rsidRPr="002614E7">
        <w:rPr>
          <w:rFonts w:eastAsiaTheme="minorEastAsia"/>
          <w:i/>
          <w:sz w:val="23"/>
          <w:szCs w:val="23"/>
        </w:rPr>
        <w:t xml:space="preserve"> </w:t>
      </w:r>
      <w:r w:rsidRPr="002614E7">
        <w:rPr>
          <w:rFonts w:hint="cs"/>
          <w:i/>
          <w:sz w:val="23"/>
          <w:szCs w:val="23"/>
          <w:rtl/>
        </w:rPr>
        <w:t>را می‌توان به صورت زیر بازنویسی کرد:</w:t>
      </w:r>
    </w:p>
    <w:p w14:paraId="69B464B2"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36"/>
        </w:rPr>
        <w:object w:dxaOrig="5220" w:dyaOrig="820" w14:anchorId="23910095">
          <v:shape id="_x0000_i6945" type="#_x0000_t75" style="width:260.75pt;height:41.15pt" o:ole="">
            <v:imagedata r:id="rId11954" o:title=""/>
          </v:shape>
          <o:OLEObject Type="Embed" ProgID="Equation.DSMT4" ShapeID="_x0000_i6945" DrawAspect="Content" ObjectID="_1791380889" r:id="rId11955"/>
        </w:object>
      </w:r>
    </w:p>
    <w:p w14:paraId="4887E84A" w14:textId="77777777" w:rsidR="00556C10" w:rsidRPr="002614E7" w:rsidRDefault="00556C10" w:rsidP="00556C10">
      <w:pPr>
        <w:spacing w:line="216" w:lineRule="auto"/>
        <w:rPr>
          <w:i/>
          <w:sz w:val="23"/>
          <w:szCs w:val="23"/>
          <w:rtl/>
        </w:rPr>
      </w:pPr>
      <w:r w:rsidRPr="002614E7">
        <w:rPr>
          <w:rFonts w:hint="cs"/>
          <w:i/>
          <w:sz w:val="23"/>
          <w:szCs w:val="23"/>
          <w:rtl/>
        </w:rPr>
        <w:t xml:space="preserve">که در آن </w:t>
      </w:r>
      <w:r w:rsidRPr="002614E7">
        <w:rPr>
          <w:position w:val="-12"/>
        </w:rPr>
        <w:object w:dxaOrig="1480" w:dyaOrig="360" w14:anchorId="0CD029A0">
          <v:shape id="_x0000_i6946" type="#_x0000_t75" style="width:73.8pt;height:18.15pt" o:ole="">
            <v:imagedata r:id="rId11956" o:title=""/>
          </v:shape>
          <o:OLEObject Type="Embed" ProgID="Equation.DSMT4" ShapeID="_x0000_i6946" DrawAspect="Content" ObjectID="_1791380890" r:id="rId11957"/>
        </w:object>
      </w:r>
      <w:r w:rsidRPr="002614E7">
        <w:rPr>
          <w:rFonts w:hint="cs"/>
          <w:i/>
          <w:sz w:val="23"/>
          <w:szCs w:val="23"/>
          <w:rtl/>
        </w:rPr>
        <w:t xml:space="preserve"> و </w:t>
      </w:r>
      <w:r w:rsidRPr="002614E7">
        <w:rPr>
          <w:position w:val="-12"/>
        </w:rPr>
        <w:object w:dxaOrig="1080" w:dyaOrig="360" w14:anchorId="28D99C45">
          <v:shape id="_x0000_i6947" type="#_x0000_t75" style="width:54.45pt;height:18.15pt" o:ole="">
            <v:imagedata r:id="rId11958" o:title=""/>
          </v:shape>
          <o:OLEObject Type="Embed" ProgID="Equation.DSMT4" ShapeID="_x0000_i6947" DrawAspect="Content" ObjectID="_1791380891" r:id="rId11959"/>
        </w:object>
      </w:r>
      <w:r w:rsidRPr="002614E7">
        <w:rPr>
          <w:i/>
          <w:sz w:val="23"/>
          <w:szCs w:val="23"/>
        </w:rPr>
        <w:t>.</w:t>
      </w:r>
      <w:r w:rsidRPr="002614E7">
        <w:rPr>
          <w:rFonts w:hint="cs"/>
          <w:i/>
          <w:sz w:val="23"/>
          <w:szCs w:val="23"/>
          <w:rtl/>
        </w:rPr>
        <w:t xml:space="preserve"> بنابراین</w:t>
      </w:r>
    </w:p>
    <w:p w14:paraId="20E740BE"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32"/>
        </w:rPr>
        <w:object w:dxaOrig="5040" w:dyaOrig="780" w14:anchorId="3F4CBEEF">
          <v:shape id="_x0000_i6948" type="#_x0000_t75" style="width:252.3pt;height:39.35pt" o:ole="">
            <v:imagedata r:id="rId11960" o:title=""/>
          </v:shape>
          <o:OLEObject Type="Embed" ProgID="Equation.DSMT4" ShapeID="_x0000_i6948" DrawAspect="Content" ObjectID="_1791380892" r:id="rId11961"/>
        </w:object>
      </w:r>
    </w:p>
    <w:p w14:paraId="62AB750A" w14:textId="77777777" w:rsidR="00556C10" w:rsidRPr="002614E7" w:rsidRDefault="00556C10" w:rsidP="00556C10">
      <w:pPr>
        <w:spacing w:line="216" w:lineRule="auto"/>
        <w:rPr>
          <w:i/>
          <w:sz w:val="23"/>
          <w:szCs w:val="23"/>
          <w:rtl/>
        </w:rPr>
      </w:pPr>
      <w:r w:rsidRPr="002614E7">
        <w:rPr>
          <w:rFonts w:hint="cs"/>
          <w:i/>
          <w:sz w:val="23"/>
          <w:szCs w:val="23"/>
          <w:rtl/>
        </w:rPr>
        <w:t>و معادله</w:t>
      </w:r>
      <w:r w:rsidRPr="002614E7">
        <w:rPr>
          <w:rFonts w:hint="cs"/>
          <w:i/>
          <w:sz w:val="23"/>
          <w:szCs w:val="23"/>
          <w:rtl/>
        </w:rPr>
        <w:softHyphen/>
        <w:t>ی مشخصه برابر است با:</w:t>
      </w:r>
    </w:p>
    <w:p w14:paraId="66B5ED6D"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4"/>
        </w:rPr>
        <w:object w:dxaOrig="5160" w:dyaOrig="380" w14:anchorId="7E45B5AE">
          <v:shape id="_x0000_i6949" type="#_x0000_t75" style="width:257.75pt;height:18.75pt" o:ole="">
            <v:imagedata r:id="rId11962" o:title=""/>
          </v:shape>
          <o:OLEObject Type="Embed" ProgID="Equation.DSMT4" ShapeID="_x0000_i6949" DrawAspect="Content" ObjectID="_1791380893" r:id="rId11963"/>
        </w:object>
      </w:r>
      <w:r w:rsidRPr="002614E7">
        <w:rPr>
          <w:rFonts w:ascii="Times New Roman" w:hAnsi="Times New Roman" w:cs="B Nazanin" w:hint="cs"/>
          <w:i/>
          <w:sz w:val="23"/>
          <w:szCs w:val="23"/>
          <w:rtl/>
        </w:rPr>
        <w:t xml:space="preserve"> </w:t>
      </w:r>
    </w:p>
    <w:p w14:paraId="6C6264E8" w14:textId="77777777" w:rsidR="00556C10" w:rsidRPr="002614E7" w:rsidRDefault="00556C10" w:rsidP="00556C10">
      <w:pPr>
        <w:spacing w:line="216" w:lineRule="auto"/>
        <w:rPr>
          <w:i/>
          <w:sz w:val="23"/>
          <w:szCs w:val="23"/>
          <w:rtl/>
        </w:rPr>
      </w:pPr>
      <w:r w:rsidRPr="002614E7">
        <w:rPr>
          <w:rFonts w:hint="cs"/>
          <w:i/>
          <w:sz w:val="23"/>
          <w:szCs w:val="23"/>
          <w:rtl/>
        </w:rPr>
        <w:t>در این</w:t>
      </w:r>
      <w:r w:rsidRPr="002614E7">
        <w:rPr>
          <w:rFonts w:hint="cs"/>
          <w:i/>
          <w:sz w:val="23"/>
          <w:szCs w:val="23"/>
          <w:rtl/>
        </w:rPr>
        <w:softHyphen/>
        <w:t>جا دو</w:t>
      </w:r>
      <w:r w:rsidRPr="002614E7">
        <w:rPr>
          <w:i/>
          <w:sz w:val="23"/>
          <w:szCs w:val="23"/>
        </w:rPr>
        <w:t xml:space="preserve"> </w:t>
      </w:r>
      <w:r w:rsidRPr="002614E7">
        <w:rPr>
          <w:rFonts w:hint="cs"/>
          <w:i/>
          <w:sz w:val="23"/>
          <w:szCs w:val="23"/>
          <w:rtl/>
        </w:rPr>
        <w:t>حالت</w:t>
      </w:r>
      <w:r w:rsidRPr="002614E7">
        <w:rPr>
          <w:i/>
          <w:sz w:val="23"/>
          <w:szCs w:val="23"/>
        </w:rPr>
        <w:t xml:space="preserve"> </w:t>
      </w:r>
      <w:r w:rsidRPr="002614E7">
        <w:rPr>
          <w:rFonts w:hint="cs"/>
          <w:i/>
          <w:sz w:val="23"/>
          <w:szCs w:val="23"/>
          <w:rtl/>
        </w:rPr>
        <w:t>وجود دارد که به ضرایب</w:t>
      </w:r>
      <w:r w:rsidRPr="002614E7">
        <w:rPr>
          <w:position w:val="-10"/>
        </w:rPr>
        <w:object w:dxaOrig="220" w:dyaOrig="240" w14:anchorId="5357D2C4">
          <v:shape id="_x0000_i6950" type="#_x0000_t75" style="width:10.9pt;height:11.5pt" o:ole="">
            <v:imagedata r:id="rId11964" o:title=""/>
          </v:shape>
          <o:OLEObject Type="Embed" ProgID="Equation.DSMT4" ShapeID="_x0000_i6950" DrawAspect="Content" ObjectID="_1791380894" r:id="rId11965"/>
        </w:object>
      </w:r>
      <w:r w:rsidRPr="002614E7">
        <w:rPr>
          <w:rFonts w:hint="cs"/>
          <w:i/>
          <w:sz w:val="23"/>
          <w:szCs w:val="23"/>
          <w:rtl/>
        </w:rPr>
        <w:t xml:space="preserve"> یا</w:t>
      </w:r>
      <w:r w:rsidRPr="002614E7">
        <w:rPr>
          <w:position w:val="-6"/>
        </w:rPr>
        <w:object w:dxaOrig="180" w:dyaOrig="200" w14:anchorId="6B3D7B19">
          <v:shape id="_x0000_i6951" type="#_x0000_t75" style="width:9.1pt;height:10.3pt" o:ole="">
            <v:imagedata r:id="rId11966" o:title=""/>
          </v:shape>
          <o:OLEObject Type="Embed" ProgID="Equation.DSMT4" ShapeID="_x0000_i6951" DrawAspect="Content" ObjectID="_1791380895" r:id="rId11967"/>
        </w:object>
      </w:r>
      <w:r w:rsidRPr="002614E7">
        <w:rPr>
          <w:i/>
          <w:sz w:val="23"/>
          <w:szCs w:val="23"/>
        </w:rPr>
        <w:t xml:space="preserve"> </w:t>
      </w:r>
      <w:r w:rsidRPr="002614E7">
        <w:rPr>
          <w:rFonts w:hint="cs"/>
          <w:i/>
          <w:sz w:val="23"/>
          <w:szCs w:val="23"/>
          <w:rtl/>
        </w:rPr>
        <w:t>بستگی دارد.</w:t>
      </w:r>
      <w:r w:rsidRPr="002614E7">
        <w:rPr>
          <w:i/>
          <w:sz w:val="23"/>
          <w:szCs w:val="23"/>
        </w:rPr>
        <w:t xml:space="preserve"> </w:t>
      </w:r>
      <w:r w:rsidRPr="002614E7">
        <w:rPr>
          <w:rFonts w:hint="cs"/>
          <w:i/>
          <w:sz w:val="23"/>
          <w:szCs w:val="23"/>
          <w:rtl/>
        </w:rPr>
        <w:t>چنانچه</w:t>
      </w:r>
      <w:r w:rsidRPr="002614E7">
        <w:rPr>
          <w:position w:val="-6"/>
        </w:rPr>
        <w:object w:dxaOrig="499" w:dyaOrig="260" w14:anchorId="30A85C61">
          <v:shape id="_x0000_i6952" type="#_x0000_t75" style="width:24.8pt;height:13.3pt" o:ole="">
            <v:imagedata r:id="rId11968" o:title=""/>
          </v:shape>
          <o:OLEObject Type="Embed" ProgID="Equation.DSMT4" ShapeID="_x0000_i6952" DrawAspect="Content" ObjectID="_1791380896" r:id="rId11969"/>
        </w:object>
      </w:r>
      <w:r w:rsidRPr="002614E7">
        <w:rPr>
          <w:i/>
          <w:sz w:val="23"/>
          <w:szCs w:val="23"/>
        </w:rPr>
        <w:t xml:space="preserve"> </w:t>
      </w:r>
      <w:r w:rsidRPr="002614E7">
        <w:rPr>
          <w:rFonts w:hint="cs"/>
          <w:i/>
          <w:sz w:val="23"/>
          <w:szCs w:val="23"/>
          <w:rtl/>
        </w:rPr>
        <w:t>باشد</w:t>
      </w:r>
      <w:r w:rsidRPr="002614E7">
        <w:rPr>
          <w:i/>
          <w:sz w:val="23"/>
          <w:szCs w:val="23"/>
        </w:rPr>
        <w:t xml:space="preserve"> </w:t>
      </w:r>
      <w:r w:rsidRPr="002614E7">
        <w:rPr>
          <w:rFonts w:hint="cs"/>
          <w:i/>
          <w:sz w:val="23"/>
          <w:szCs w:val="23"/>
          <w:rtl/>
        </w:rPr>
        <w:t>(در ضابطه‌ی تیلور</w:t>
      </w:r>
      <w:r w:rsidRPr="002614E7">
        <w:rPr>
          <w:position w:val="-10"/>
        </w:rPr>
        <w:object w:dxaOrig="700" w:dyaOrig="300" w14:anchorId="45ECB71A">
          <v:shape id="_x0000_i6953" type="#_x0000_t75" style="width:35.1pt;height:14.5pt" o:ole="">
            <v:imagedata r:id="rId11970" o:title=""/>
          </v:shape>
          <o:OLEObject Type="Embed" ProgID="Equation.DSMT4" ShapeID="_x0000_i6953" DrawAspect="Content" ObjectID="_1791380897" r:id="rId11971"/>
        </w:object>
      </w:r>
      <w:r w:rsidRPr="002614E7">
        <w:rPr>
          <w:rFonts w:hint="cs"/>
          <w:i/>
          <w:sz w:val="23"/>
          <w:szCs w:val="23"/>
          <w:rtl/>
        </w:rPr>
        <w:t xml:space="preserve">) ،سیاست پولی بشدت تورم را تحت تأثیر قرار داده، و چنانچه </w:t>
      </w:r>
      <w:r w:rsidRPr="002614E7">
        <w:rPr>
          <w:position w:val="-10"/>
        </w:rPr>
        <w:object w:dxaOrig="520" w:dyaOrig="300" w14:anchorId="25392D53">
          <v:shape id="_x0000_i6954" type="#_x0000_t75" style="width:26pt;height:14.5pt" o:ole="">
            <v:imagedata r:id="rId11972" o:title=""/>
          </v:shape>
          <o:OLEObject Type="Embed" ProgID="Equation.DSMT4" ShapeID="_x0000_i6954" DrawAspect="Content" ObjectID="_1791380898" r:id="rId11973"/>
        </w:object>
      </w:r>
      <w:r w:rsidRPr="002614E7">
        <w:rPr>
          <w:i/>
          <w:sz w:val="23"/>
          <w:szCs w:val="23"/>
        </w:rPr>
        <w:t xml:space="preserve"> </w:t>
      </w:r>
      <w:r w:rsidRPr="002614E7">
        <w:rPr>
          <w:rFonts w:hint="cs"/>
          <w:i/>
          <w:sz w:val="23"/>
          <w:szCs w:val="23"/>
          <w:rtl/>
        </w:rPr>
        <w:t>باشد اثر سیاست پولی بر تورم قابل اغماض خواهد بود.</w:t>
      </w:r>
    </w:p>
    <w:p w14:paraId="15C61138" w14:textId="77777777" w:rsidR="00556C10" w:rsidRPr="002614E7" w:rsidRDefault="00556C10" w:rsidP="00556C10">
      <w:pPr>
        <w:spacing w:line="216" w:lineRule="auto"/>
        <w:rPr>
          <w:i/>
          <w:sz w:val="23"/>
          <w:szCs w:val="23"/>
          <w:rtl/>
        </w:rPr>
      </w:pPr>
    </w:p>
    <w:p w14:paraId="6A8F4B69" w14:textId="77777777" w:rsidR="00556C10" w:rsidRPr="002614E7" w:rsidRDefault="00556C10" w:rsidP="00556C10">
      <w:pPr>
        <w:spacing w:line="216" w:lineRule="auto"/>
        <w:rPr>
          <w:i/>
          <w:sz w:val="23"/>
          <w:szCs w:val="23"/>
          <w:rtl/>
        </w:rPr>
      </w:pPr>
      <w:r w:rsidRPr="002614E7">
        <w:rPr>
          <w:rFonts w:hint="cs"/>
          <w:bCs/>
          <w:i/>
          <w:sz w:val="23"/>
          <w:szCs w:val="23"/>
          <w:rtl/>
        </w:rPr>
        <w:lastRenderedPageBreak/>
        <w:t xml:space="preserve">حالت الف: </w:t>
      </w:r>
      <w:r w:rsidRPr="002614E7">
        <w:rPr>
          <w:position w:val="-14"/>
        </w:rPr>
        <w:object w:dxaOrig="3000" w:dyaOrig="380" w14:anchorId="1D8C8A91">
          <v:shape id="_x0000_i6955" type="#_x0000_t75" style="width:150.05pt;height:18.75pt" o:ole="">
            <v:imagedata r:id="rId11974" o:title=""/>
          </v:shape>
          <o:OLEObject Type="Embed" ProgID="Equation.DSMT4" ShapeID="_x0000_i6955" DrawAspect="Content" ObjectID="_1791380899" r:id="rId11975"/>
        </w:object>
      </w:r>
      <w:r w:rsidRPr="002614E7">
        <w:rPr>
          <w:rFonts w:hint="cs"/>
          <w:i/>
          <w:sz w:val="23"/>
          <w:szCs w:val="23"/>
          <w:rtl/>
        </w:rPr>
        <w:t xml:space="preserve"> که در آن </w:t>
      </w:r>
      <w:r w:rsidRPr="002614E7">
        <w:rPr>
          <w:position w:val="-10"/>
        </w:rPr>
        <w:object w:dxaOrig="520" w:dyaOrig="300" w14:anchorId="33ACA61B">
          <v:shape id="_x0000_i6956" type="#_x0000_t75" style="width:26pt;height:14.5pt" o:ole="">
            <v:imagedata r:id="rId11976" o:title=""/>
          </v:shape>
          <o:OLEObject Type="Embed" ProgID="Equation.DSMT4" ShapeID="_x0000_i6956" DrawAspect="Content" ObjectID="_1791380900" r:id="rId11977"/>
        </w:object>
      </w:r>
      <w:r w:rsidRPr="002614E7">
        <w:rPr>
          <w:rFonts w:hint="cs"/>
          <w:i/>
          <w:sz w:val="23"/>
          <w:szCs w:val="23"/>
          <w:rtl/>
        </w:rPr>
        <w:t xml:space="preserve"> است. در این حالت هر دو ریشه</w:t>
      </w:r>
      <w:r w:rsidRPr="002614E7">
        <w:rPr>
          <w:rFonts w:hint="cs"/>
          <w:i/>
          <w:sz w:val="23"/>
          <w:szCs w:val="23"/>
          <w:rtl/>
        </w:rPr>
        <w:softHyphen/>
        <w:t>ی معادله</w:t>
      </w:r>
      <w:r w:rsidRPr="002614E7">
        <w:rPr>
          <w:rFonts w:hint="cs"/>
          <w:i/>
          <w:sz w:val="23"/>
          <w:szCs w:val="23"/>
          <w:rtl/>
        </w:rPr>
        <w:softHyphen/>
        <w:t>ی فوق یا باثبات و یا بی</w:t>
      </w:r>
      <w:r w:rsidRPr="002614E7">
        <w:rPr>
          <w:rFonts w:hint="cs"/>
          <w:i/>
          <w:sz w:val="23"/>
          <w:szCs w:val="23"/>
          <w:rtl/>
        </w:rPr>
        <w:softHyphen/>
        <w:t>ثبات خواهند بود. چنانچه</w:t>
      </w:r>
      <w:r w:rsidRPr="002614E7">
        <w:rPr>
          <w:i/>
          <w:sz w:val="23"/>
          <w:szCs w:val="23"/>
        </w:rPr>
        <w:t xml:space="preserve"> </w:t>
      </w:r>
      <w:r w:rsidRPr="002614E7">
        <w:rPr>
          <w:position w:val="-30"/>
        </w:rPr>
        <w:object w:dxaOrig="1900" w:dyaOrig="639" w14:anchorId="016D33F4">
          <v:shape id="_x0000_i6957" type="#_x0000_t75" style="width:95pt;height:32.05pt" o:ole="">
            <v:imagedata r:id="rId11978" o:title=""/>
          </v:shape>
          <o:OLEObject Type="Embed" ProgID="Equation.DSMT4" ShapeID="_x0000_i6957" DrawAspect="Content" ObjectID="_1791380901" r:id="rId11979"/>
        </w:object>
      </w:r>
      <w:r w:rsidRPr="002614E7">
        <w:rPr>
          <w:i/>
          <w:sz w:val="23"/>
          <w:szCs w:val="23"/>
        </w:rPr>
        <w:t xml:space="preserve"> </w:t>
      </w:r>
      <w:r w:rsidRPr="002614E7">
        <w:rPr>
          <w:rFonts w:hint="cs"/>
          <w:i/>
          <w:sz w:val="23"/>
          <w:szCs w:val="23"/>
          <w:rtl/>
        </w:rPr>
        <w:t>باشد، آنگاه ضرب ریشه‌های مشخصه مثبت و کمتر از یک می‌باشند و لذا بی</w:t>
      </w:r>
      <w:r w:rsidRPr="002614E7">
        <w:rPr>
          <w:rFonts w:hint="cs"/>
          <w:i/>
          <w:sz w:val="23"/>
          <w:szCs w:val="23"/>
          <w:rtl/>
        </w:rPr>
        <w:softHyphen/>
        <w:t>ثبات خواهند بود. در این صورت خواهیم داشت:</w:t>
      </w:r>
      <w:r w:rsidRPr="002614E7">
        <w:rPr>
          <w:i/>
          <w:sz w:val="23"/>
          <w:szCs w:val="23"/>
        </w:rPr>
        <w:t xml:space="preserve"> .</w:t>
      </w:r>
      <w:r w:rsidRPr="002614E7">
        <w:rPr>
          <w:position w:val="-10"/>
        </w:rPr>
        <w:object w:dxaOrig="1219" w:dyaOrig="320" w14:anchorId="556EB875">
          <v:shape id="_x0000_i6958" type="#_x0000_t75" style="width:61.1pt;height:15.75pt" o:ole="">
            <v:imagedata r:id="rId11980" o:title=""/>
          </v:shape>
          <o:OLEObject Type="Embed" ProgID="Equation.DSMT4" ShapeID="_x0000_i6958" DrawAspect="Content" ObjectID="_1791380902" r:id="rId11981"/>
        </w:object>
      </w:r>
      <w:r w:rsidRPr="002614E7">
        <w:rPr>
          <w:rFonts w:hint="cs"/>
          <w:i/>
          <w:sz w:val="23"/>
          <w:szCs w:val="23"/>
          <w:rtl/>
        </w:rPr>
        <w:t>با استفاده از روش باقیمانده‌ها برای</w:t>
      </w:r>
      <w:r w:rsidRPr="002614E7">
        <w:rPr>
          <w:i/>
          <w:sz w:val="23"/>
          <w:szCs w:val="23"/>
        </w:rPr>
        <w:t xml:space="preserve"> </w:t>
      </w:r>
      <w:r w:rsidRPr="002614E7">
        <w:rPr>
          <w:position w:val="-8"/>
        </w:rPr>
        <w:object w:dxaOrig="639" w:dyaOrig="279" w14:anchorId="13A74FC7">
          <v:shape id="_x0000_i6959" type="#_x0000_t75" style="width:32.05pt;height:13.9pt" o:ole="">
            <v:imagedata r:id="rId11982" o:title=""/>
          </v:shape>
          <o:OLEObject Type="Embed" ProgID="Equation.DSMT4" ShapeID="_x0000_i6959" DrawAspect="Content" ObjectID="_1791380903" r:id="rId11983"/>
        </w:object>
      </w:r>
      <w:r w:rsidRPr="002614E7">
        <w:rPr>
          <w:i/>
          <w:sz w:val="23"/>
          <w:szCs w:val="23"/>
        </w:rPr>
        <w:t xml:space="preserve"> </w:t>
      </w:r>
      <w:r w:rsidRPr="002614E7">
        <w:rPr>
          <w:rFonts w:hint="cs"/>
          <w:i/>
          <w:sz w:val="23"/>
          <w:szCs w:val="23"/>
          <w:rtl/>
        </w:rPr>
        <w:t>خواهیم داشت:</w:t>
      </w:r>
    </w:p>
    <w:p w14:paraId="164CF295"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38"/>
        </w:rPr>
        <w:object w:dxaOrig="5460" w:dyaOrig="880" w14:anchorId="14AC3A1F">
          <v:shape id="_x0000_i6960" type="#_x0000_t75" style="width:272.85pt;height:44.15pt" o:ole="">
            <v:imagedata r:id="rId11984" o:title=""/>
          </v:shape>
          <o:OLEObject Type="Embed" ProgID="Equation.DSMT4" ShapeID="_x0000_i6960" DrawAspect="Content" ObjectID="_1791380904" r:id="rId11985"/>
        </w:object>
      </w:r>
    </w:p>
    <w:p w14:paraId="21030623" w14:textId="77777777" w:rsidR="00556C10" w:rsidRPr="002614E7" w:rsidRDefault="00556C10" w:rsidP="00556C10">
      <w:pPr>
        <w:spacing w:line="216" w:lineRule="auto"/>
        <w:rPr>
          <w:i/>
          <w:sz w:val="23"/>
          <w:szCs w:val="23"/>
          <w:rtl/>
        </w:rPr>
      </w:pPr>
      <w:r w:rsidRPr="002614E7">
        <w:rPr>
          <w:rFonts w:hint="cs"/>
          <w:i/>
          <w:sz w:val="23"/>
          <w:szCs w:val="23"/>
          <w:rtl/>
        </w:rPr>
        <w:t>براساس رابطه فوق، دو معادله برای دو پارامتر ناشناخته‌ی</w:t>
      </w:r>
      <w:r w:rsidRPr="002614E7">
        <w:rPr>
          <w:position w:val="-10"/>
        </w:rPr>
        <w:object w:dxaOrig="260" w:dyaOrig="320" w14:anchorId="2E3E6CE9">
          <v:shape id="_x0000_i6961" type="#_x0000_t75" style="width:13.3pt;height:15.75pt" o:ole="">
            <v:imagedata r:id="rId11986" o:title=""/>
          </v:shape>
          <o:OLEObject Type="Embed" ProgID="Equation.DSMT4" ShapeID="_x0000_i6961" DrawAspect="Content" ObjectID="_1791380905" r:id="rId11987"/>
        </w:object>
      </w:r>
      <w:r w:rsidRPr="002614E7">
        <w:rPr>
          <w:rFonts w:hint="cs"/>
          <w:i/>
          <w:sz w:val="23"/>
          <w:szCs w:val="23"/>
          <w:rtl/>
        </w:rPr>
        <w:t xml:space="preserve"> و</w:t>
      </w:r>
      <w:r w:rsidRPr="002614E7">
        <w:rPr>
          <w:position w:val="-10"/>
        </w:rPr>
        <w:object w:dxaOrig="240" w:dyaOrig="320" w14:anchorId="2BE50295">
          <v:shape id="_x0000_i6962" type="#_x0000_t75" style="width:11.5pt;height:15.75pt" o:ole="">
            <v:imagedata r:id="rId11988" o:title=""/>
          </v:shape>
          <o:OLEObject Type="Embed" ProgID="Equation.DSMT4" ShapeID="_x0000_i6962" DrawAspect="Content" ObjectID="_1791380906" r:id="rId11989"/>
        </w:object>
      </w:r>
      <w:r w:rsidRPr="002614E7">
        <w:rPr>
          <w:rFonts w:hint="cs"/>
          <w:i/>
          <w:sz w:val="23"/>
          <w:szCs w:val="23"/>
          <w:rtl/>
        </w:rPr>
        <w:t xml:space="preserve"> خواهیم داشت و </w:t>
      </w:r>
      <w:r w:rsidRPr="002614E7">
        <w:rPr>
          <w:position w:val="-10"/>
        </w:rPr>
        <w:object w:dxaOrig="260" w:dyaOrig="320" w14:anchorId="0BA0E31A">
          <v:shape id="_x0000_i6963" type="#_x0000_t75" style="width:13.3pt;height:15.75pt" o:ole="">
            <v:imagedata r:id="rId11990" o:title=""/>
          </v:shape>
          <o:OLEObject Type="Embed" ProgID="Equation.DSMT4" ShapeID="_x0000_i6963" DrawAspect="Content" ObjectID="_1791380907" r:id="rId11991"/>
        </w:object>
      </w:r>
      <w:r w:rsidRPr="002614E7">
        <w:rPr>
          <w:rFonts w:hint="cs"/>
          <w:i/>
          <w:sz w:val="23"/>
          <w:szCs w:val="23"/>
          <w:rtl/>
        </w:rPr>
        <w:t xml:space="preserve"> و </w:t>
      </w:r>
      <w:r w:rsidRPr="002614E7">
        <w:rPr>
          <w:position w:val="-10"/>
        </w:rPr>
        <w:object w:dxaOrig="240" w:dyaOrig="320" w14:anchorId="36350F2C">
          <v:shape id="_x0000_i6964" type="#_x0000_t75" style="width:11.5pt;height:15.75pt" o:ole="">
            <v:imagedata r:id="rId11992" o:title=""/>
          </v:shape>
          <o:OLEObject Type="Embed" ProgID="Equation.DSMT4" ShapeID="_x0000_i6964" DrawAspect="Content" ObjectID="_1791380908" r:id="rId11993"/>
        </w:object>
      </w:r>
      <w:r w:rsidRPr="002614E7">
        <w:rPr>
          <w:rFonts w:hint="cs"/>
          <w:i/>
          <w:sz w:val="23"/>
          <w:szCs w:val="23"/>
          <w:rtl/>
        </w:rPr>
        <w:t xml:space="preserve"> به طور منحصر به فرد تعیین خواهد شد. بنابراین حل تورم</w:t>
      </w:r>
      <w:r w:rsidRPr="002614E7">
        <w:rPr>
          <w:position w:val="-10"/>
        </w:rPr>
        <w:object w:dxaOrig="240" w:dyaOrig="320" w14:anchorId="2C93E3B3">
          <v:shape id="_x0000_i6965" type="#_x0000_t75" style="width:11.5pt;height:15.75pt" o:ole="">
            <v:imagedata r:id="rId11994" o:title=""/>
          </v:shape>
          <o:OLEObject Type="Embed" ProgID="Equation.DSMT4" ShapeID="_x0000_i6965" DrawAspect="Content" ObjectID="_1791380909" r:id="rId11995"/>
        </w:object>
      </w:r>
      <w:r w:rsidRPr="002614E7">
        <w:rPr>
          <w:rFonts w:hint="cs"/>
          <w:i/>
          <w:sz w:val="23"/>
          <w:szCs w:val="23"/>
          <w:rtl/>
        </w:rPr>
        <w:t xml:space="preserve"> را می‌توان مستقیماً از معادله‌ی (۱۴. ۴۱) به دست آورد. لذا</w:t>
      </w:r>
    </w:p>
    <w:p w14:paraId="0C0F358C"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32"/>
        </w:rPr>
        <w:object w:dxaOrig="3780" w:dyaOrig="660" w14:anchorId="40932644">
          <v:shape id="_x0000_i6966" type="#_x0000_t75" style="width:189.4pt;height:32.65pt" o:ole="">
            <v:imagedata r:id="rId11996" o:title=""/>
          </v:shape>
          <o:OLEObject Type="Embed" ProgID="Equation.DSMT4" ShapeID="_x0000_i6966" DrawAspect="Content" ObjectID="_1791380910" r:id="rId11997"/>
        </w:object>
      </w:r>
    </w:p>
    <w:p w14:paraId="3E86049D"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34"/>
        </w:rPr>
        <w:object w:dxaOrig="4080" w:dyaOrig="680" w14:anchorId="682FC92E">
          <v:shape id="_x0000_i6967" type="#_x0000_t75" style="width:203.9pt;height:33.9pt" o:ole="">
            <v:imagedata r:id="rId11998" o:title=""/>
          </v:shape>
          <o:OLEObject Type="Embed" ProgID="Equation.DSMT4" ShapeID="_x0000_i6967" DrawAspect="Content" ObjectID="_1791380911" r:id="rId11999"/>
        </w:object>
      </w:r>
    </w:p>
    <w:p w14:paraId="366BE330"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32"/>
        </w:rPr>
        <w:object w:dxaOrig="4959" w:dyaOrig="720" w14:anchorId="0C45D8AF">
          <v:shape id="_x0000_i6968" type="#_x0000_t75" style="width:248.05pt;height:36.3pt" o:ole="">
            <v:imagedata r:id="rId12000" o:title=""/>
          </v:shape>
          <o:OLEObject Type="Embed" ProgID="Equation.DSMT4" ShapeID="_x0000_i6968" DrawAspect="Content" ObjectID="_1791380912" r:id="rId12001"/>
        </w:object>
      </w:r>
    </w:p>
    <w:p w14:paraId="63F76E58"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32"/>
        </w:rPr>
        <w:object w:dxaOrig="5580" w:dyaOrig="720" w14:anchorId="6E96656C">
          <v:shape id="_x0000_i6969" type="#_x0000_t75" style="width:278.9pt;height:36.3pt" o:ole="">
            <v:imagedata r:id="rId12002" o:title=""/>
          </v:shape>
          <o:OLEObject Type="Embed" ProgID="Equation.DSMT4" ShapeID="_x0000_i6969" DrawAspect="Content" ObjectID="_1791380913" r:id="rId12003"/>
        </w:object>
      </w:r>
    </w:p>
    <w:p w14:paraId="265111DE"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Pr>
      </w:pPr>
      <w:r w:rsidRPr="002614E7">
        <w:rPr>
          <w:position w:val="-32"/>
        </w:rPr>
        <w:object w:dxaOrig="4860" w:dyaOrig="660" w14:anchorId="1ABDD4C0">
          <v:shape id="_x0000_i6970" type="#_x0000_t75" style="width:243.25pt;height:32.65pt" o:ole="">
            <v:imagedata r:id="rId12004" o:title=""/>
          </v:shape>
          <o:OLEObject Type="Embed" ProgID="Equation.DSMT4" ShapeID="_x0000_i6970" DrawAspect="Content" ObjectID="_1791380914" r:id="rId12005"/>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ab/>
        <w:t>(۱۴. ۴۲)</w:t>
      </w:r>
    </w:p>
    <w:p w14:paraId="0F273AB5" w14:textId="77777777" w:rsidR="00556C10" w:rsidRPr="002614E7" w:rsidRDefault="00556C10" w:rsidP="00556C10">
      <w:pPr>
        <w:spacing w:line="216" w:lineRule="auto"/>
        <w:rPr>
          <w:i/>
          <w:sz w:val="23"/>
          <w:szCs w:val="23"/>
        </w:rPr>
      </w:pPr>
      <w:r w:rsidRPr="002614E7">
        <w:rPr>
          <w:rFonts w:hint="cs"/>
          <w:i/>
          <w:sz w:val="23"/>
          <w:szCs w:val="23"/>
          <w:rtl/>
        </w:rPr>
        <w:t>بنابراین متوسط نرخ تورم برابر است با نرخ تورم هدف‌گذاری شده</w:t>
      </w:r>
      <w:r w:rsidRPr="002614E7">
        <w:rPr>
          <w:rFonts w:hint="cs"/>
          <w:i/>
          <w:sz w:val="23"/>
          <w:szCs w:val="23"/>
          <w:rtl/>
        </w:rPr>
        <w:softHyphen/>
        <w:t>ی</w:t>
      </w:r>
      <w:r w:rsidRPr="002614E7">
        <w:rPr>
          <w:position w:val="-6"/>
        </w:rPr>
        <w:object w:dxaOrig="279" w:dyaOrig="300" w14:anchorId="7F978E9B">
          <v:shape id="_x0000_i6971" type="#_x0000_t75" style="width:13.9pt;height:14.5pt" o:ole="">
            <v:imagedata r:id="rId12006" o:title=""/>
          </v:shape>
          <o:OLEObject Type="Embed" ProgID="Equation.DSMT4" ShapeID="_x0000_i6971" DrawAspect="Content" ObjectID="_1791380915" r:id="rId12007"/>
        </w:object>
      </w:r>
      <w:r w:rsidRPr="002614E7">
        <w:rPr>
          <w:rFonts w:hint="cs"/>
          <w:i/>
          <w:sz w:val="23"/>
          <w:szCs w:val="23"/>
          <w:rtl/>
        </w:rPr>
        <w:t>. متغیر تورم به</w:t>
      </w:r>
      <w:r w:rsidRPr="002614E7">
        <w:rPr>
          <w:rFonts w:hint="cs"/>
          <w:i/>
          <w:sz w:val="23"/>
          <w:szCs w:val="23"/>
          <w:rtl/>
        </w:rPr>
        <w:softHyphen/>
        <w:t>واسطه</w:t>
      </w:r>
      <w:r w:rsidRPr="002614E7">
        <w:rPr>
          <w:rFonts w:hint="cs"/>
          <w:i/>
          <w:sz w:val="23"/>
          <w:szCs w:val="23"/>
          <w:rtl/>
        </w:rPr>
        <w:softHyphen/>
        <w:t>ی سه شوک از مقادیر هدف ‌انحراف پیدا خواهد کرد.</w:t>
      </w:r>
      <w:r w:rsidRPr="002614E7">
        <w:rPr>
          <w:i/>
          <w:sz w:val="23"/>
          <w:szCs w:val="23"/>
        </w:rPr>
        <w:t xml:space="preserve"> </w:t>
      </w:r>
      <w:r w:rsidRPr="002614E7">
        <w:rPr>
          <w:rFonts w:hint="cs"/>
          <w:i/>
          <w:sz w:val="23"/>
          <w:szCs w:val="23"/>
          <w:rtl/>
        </w:rPr>
        <w:t>شوک</w:t>
      </w:r>
      <w:r w:rsidRPr="002614E7">
        <w:rPr>
          <w:rFonts w:hint="cs"/>
          <w:i/>
          <w:sz w:val="23"/>
          <w:szCs w:val="23"/>
          <w:rtl/>
        </w:rPr>
        <w:softHyphen/>
        <w:t>های مثبت تورم و تولید باعث افزایش تورم در بالای هدف، ‌اما شوک مثبت نرخ بهره باعث کاهش تورم در زیر هدف‌ خواهد شد. در قاعده</w:t>
      </w:r>
      <w:r w:rsidRPr="002614E7">
        <w:rPr>
          <w:rFonts w:hint="cs"/>
          <w:i/>
          <w:sz w:val="23"/>
          <w:szCs w:val="23"/>
          <w:rtl/>
        </w:rPr>
        <w:softHyphen/>
        <w:t xml:space="preserve">ی تیلورِ ناظر به آینده که در آن </w:t>
      </w:r>
      <w:r w:rsidRPr="002614E7">
        <w:rPr>
          <w:position w:val="-10"/>
        </w:rPr>
        <w:object w:dxaOrig="580" w:dyaOrig="320" w14:anchorId="7446CDBC">
          <v:shape id="_x0000_i6972" type="#_x0000_t75" style="width:29.05pt;height:15.75pt" o:ole="">
            <v:imagedata r:id="rId12008" o:title=""/>
          </v:shape>
          <o:OLEObject Type="Embed" ProgID="Equation.DSMT4" ShapeID="_x0000_i6972" DrawAspect="Content" ObjectID="_1791380916" r:id="rId12009"/>
        </w:object>
      </w:r>
      <w:r w:rsidRPr="002614E7">
        <w:rPr>
          <w:rFonts w:hint="cs"/>
          <w:i/>
          <w:sz w:val="23"/>
          <w:szCs w:val="23"/>
          <w:rtl/>
        </w:rPr>
        <w:t xml:space="preserve"> با</w:t>
      </w:r>
      <w:r w:rsidRPr="002614E7">
        <w:rPr>
          <w:position w:val="-10"/>
        </w:rPr>
        <w:object w:dxaOrig="240" w:dyaOrig="320" w14:anchorId="5B4FA832">
          <v:shape id="_x0000_i6973" type="#_x0000_t75" style="width:11.5pt;height:15.75pt" o:ole="">
            <v:imagedata r:id="rId12010" o:title=""/>
          </v:shape>
          <o:OLEObject Type="Embed" ProgID="Equation.DSMT4" ShapeID="_x0000_i6973" DrawAspect="Content" ObjectID="_1791380917" r:id="rId12011"/>
        </w:object>
      </w:r>
      <w:r w:rsidRPr="002614E7">
        <w:rPr>
          <w:rFonts w:hint="cs"/>
          <w:i/>
          <w:sz w:val="23"/>
          <w:szCs w:val="23"/>
          <w:rtl/>
        </w:rPr>
        <w:t xml:space="preserve"> و </w:t>
      </w:r>
      <w:r w:rsidRPr="002614E7">
        <w:rPr>
          <w:position w:val="-10"/>
        </w:rPr>
        <w:object w:dxaOrig="580" w:dyaOrig="320" w14:anchorId="19F46C98">
          <v:shape id="_x0000_i6974" type="#_x0000_t75" style="width:29.05pt;height:15.75pt" o:ole="">
            <v:imagedata r:id="rId12012" o:title=""/>
          </v:shape>
          <o:OLEObject Type="Embed" ProgID="Equation.DSMT4" ShapeID="_x0000_i6974" DrawAspect="Content" ObjectID="_1791380918" r:id="rId12013"/>
        </w:object>
      </w:r>
      <w:r w:rsidRPr="002614E7">
        <w:rPr>
          <w:rFonts w:hint="cs"/>
          <w:i/>
          <w:sz w:val="23"/>
          <w:szCs w:val="23"/>
          <w:rtl/>
        </w:rPr>
        <w:t xml:space="preserve"> با </w:t>
      </w:r>
      <w:r w:rsidRPr="002614E7">
        <w:rPr>
          <w:position w:val="-10"/>
        </w:rPr>
        <w:object w:dxaOrig="240" w:dyaOrig="320" w14:anchorId="50F6C24F">
          <v:shape id="_x0000_i6975" type="#_x0000_t75" style="width:11.5pt;height:15.75pt" o:ole="">
            <v:imagedata r:id="rId12014" o:title=""/>
          </v:shape>
          <o:OLEObject Type="Embed" ProgID="Equation.DSMT4" ShapeID="_x0000_i6975" DrawAspect="Content" ObjectID="_1791380919" r:id="rId12015"/>
        </w:object>
      </w:r>
      <w:r w:rsidRPr="002614E7">
        <w:rPr>
          <w:rFonts w:eastAsiaTheme="minorEastAsia"/>
          <w:i/>
          <w:sz w:val="23"/>
          <w:szCs w:val="23"/>
        </w:rPr>
        <w:t xml:space="preserve"> </w:t>
      </w:r>
      <w:r w:rsidRPr="002614E7">
        <w:rPr>
          <w:rFonts w:hint="cs"/>
          <w:i/>
          <w:sz w:val="23"/>
          <w:szCs w:val="23"/>
          <w:rtl/>
        </w:rPr>
        <w:t>جایگزین می‌شود، نتایج مشابهی به دست خواهد آمد.</w:t>
      </w:r>
    </w:p>
    <w:p w14:paraId="6F03E90C" w14:textId="77777777" w:rsidR="00556C10" w:rsidRPr="002614E7" w:rsidRDefault="00556C10" w:rsidP="00556C10">
      <w:pPr>
        <w:spacing w:line="216" w:lineRule="auto"/>
        <w:rPr>
          <w:i/>
          <w:sz w:val="23"/>
          <w:szCs w:val="23"/>
          <w:rtl/>
        </w:rPr>
      </w:pPr>
      <w:r w:rsidRPr="002614E7">
        <w:rPr>
          <w:rFonts w:hint="cs"/>
          <w:i/>
          <w:sz w:val="23"/>
          <w:szCs w:val="23"/>
          <w:rtl/>
        </w:rPr>
        <w:t>همچنین امکان محاسبه</w:t>
      </w:r>
      <w:r w:rsidRPr="002614E7">
        <w:rPr>
          <w:rFonts w:hint="cs"/>
          <w:i/>
          <w:sz w:val="23"/>
          <w:szCs w:val="23"/>
          <w:rtl/>
        </w:rPr>
        <w:softHyphen/>
        <w:t>ی پارامترهای بهینه</w:t>
      </w:r>
      <w:r w:rsidRPr="002614E7">
        <w:rPr>
          <w:rFonts w:hint="cs"/>
          <w:i/>
          <w:sz w:val="23"/>
          <w:szCs w:val="23"/>
          <w:rtl/>
        </w:rPr>
        <w:softHyphen/>
        <w:t>ی ضابطه‌ی تیلور یعنی</w:t>
      </w:r>
      <w:r w:rsidRPr="002614E7">
        <w:rPr>
          <w:position w:val="-10"/>
        </w:rPr>
        <w:object w:dxaOrig="220" w:dyaOrig="240" w14:anchorId="2589284B">
          <v:shape id="_x0000_i6976" type="#_x0000_t75" style="width:10.9pt;height:11.5pt" o:ole="">
            <v:imagedata r:id="rId12016" o:title=""/>
          </v:shape>
          <o:OLEObject Type="Embed" ProgID="Equation.DSMT4" ShapeID="_x0000_i6976" DrawAspect="Content" ObjectID="_1791380920" r:id="rId12017"/>
        </w:object>
      </w:r>
      <w:r w:rsidRPr="002614E7">
        <w:rPr>
          <w:rFonts w:hint="cs"/>
          <w:i/>
          <w:sz w:val="23"/>
          <w:szCs w:val="23"/>
          <w:rtl/>
        </w:rPr>
        <w:t xml:space="preserve"> و</w:t>
      </w:r>
      <w:r w:rsidRPr="002614E7">
        <w:rPr>
          <w:position w:val="-6"/>
        </w:rPr>
        <w:object w:dxaOrig="200" w:dyaOrig="200" w14:anchorId="19DB85B0">
          <v:shape id="_x0000_i6977" type="#_x0000_t75" style="width:10.3pt;height:10.3pt" o:ole="">
            <v:imagedata r:id="rId12018" o:title=""/>
          </v:shape>
          <o:OLEObject Type="Embed" ProgID="Equation.DSMT4" ShapeID="_x0000_i6977" DrawAspect="Content" ObjectID="_1791380921" r:id="rId12019"/>
        </w:object>
      </w:r>
      <w:r w:rsidRPr="002614E7">
        <w:rPr>
          <w:rFonts w:hint="cs"/>
          <w:i/>
          <w:sz w:val="23"/>
          <w:szCs w:val="23"/>
          <w:rtl/>
        </w:rPr>
        <w:t xml:space="preserve"> نیز وجود دارد. برای مثال مقادیر بهینه</w:t>
      </w:r>
      <w:r w:rsidRPr="002614E7">
        <w:rPr>
          <w:rFonts w:hint="cs"/>
          <w:i/>
          <w:sz w:val="23"/>
          <w:szCs w:val="23"/>
          <w:rtl/>
        </w:rPr>
        <w:softHyphen/>
        <w:t>ی پارامترهای</w:t>
      </w:r>
      <w:r w:rsidRPr="002614E7">
        <w:rPr>
          <w:position w:val="-10"/>
        </w:rPr>
        <w:object w:dxaOrig="220" w:dyaOrig="240" w14:anchorId="15A46C82">
          <v:shape id="_x0000_i6978" type="#_x0000_t75" style="width:10.9pt;height:11.5pt" o:ole="">
            <v:imagedata r:id="rId12020" o:title=""/>
          </v:shape>
          <o:OLEObject Type="Embed" ProgID="Equation.DSMT4" ShapeID="_x0000_i6978" DrawAspect="Content" ObjectID="_1791380922" r:id="rId12021"/>
        </w:object>
      </w:r>
      <w:r w:rsidRPr="002614E7">
        <w:rPr>
          <w:rFonts w:hint="cs"/>
          <w:i/>
          <w:sz w:val="23"/>
          <w:szCs w:val="23"/>
          <w:rtl/>
        </w:rPr>
        <w:t xml:space="preserve"> و</w:t>
      </w:r>
      <w:r w:rsidRPr="002614E7">
        <w:rPr>
          <w:position w:val="-6"/>
        </w:rPr>
        <w:object w:dxaOrig="200" w:dyaOrig="200" w14:anchorId="5FE37A36">
          <v:shape id="_x0000_i6979" type="#_x0000_t75" style="width:10.3pt;height:10.3pt" o:ole="">
            <v:imagedata r:id="rId12022" o:title=""/>
          </v:shape>
          <o:OLEObject Type="Embed" ProgID="Equation.DSMT4" ShapeID="_x0000_i6979" DrawAspect="Content" ObjectID="_1791380923" r:id="rId12023"/>
        </w:object>
      </w:r>
      <w:r w:rsidRPr="002614E7">
        <w:rPr>
          <w:rFonts w:hint="cs"/>
          <w:i/>
          <w:sz w:val="23"/>
          <w:szCs w:val="23"/>
          <w:rtl/>
        </w:rPr>
        <w:t xml:space="preserve"> را جهت حداقل کردن تورم می</w:t>
      </w:r>
      <w:r w:rsidRPr="002614E7">
        <w:rPr>
          <w:rFonts w:hint="cs"/>
          <w:i/>
          <w:sz w:val="23"/>
          <w:szCs w:val="23"/>
          <w:rtl/>
        </w:rPr>
        <w:softHyphen/>
        <w:t>توان بدست آورد. از معادله</w:t>
      </w:r>
      <w:r w:rsidRPr="002614E7">
        <w:rPr>
          <w:rFonts w:hint="cs"/>
          <w:i/>
          <w:sz w:val="23"/>
          <w:szCs w:val="23"/>
          <w:rtl/>
        </w:rPr>
        <w:softHyphen/>
        <w:t>ی (۱۴. ۴۲) و با فرض این که شوک‌ها ناهمبسته می‌باشند خواهیم داشت</w:t>
      </w:r>
    </w:p>
    <w:p w14:paraId="04107384"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34"/>
        </w:rPr>
        <w:object w:dxaOrig="5260" w:dyaOrig="680" w14:anchorId="34D4524B">
          <v:shape id="_x0000_i6980" type="#_x0000_t75" style="width:263.2pt;height:33.9pt" o:ole="">
            <v:imagedata r:id="rId12024" o:title=""/>
          </v:shape>
          <o:OLEObject Type="Embed" ProgID="Equation.DSMT4" ShapeID="_x0000_i6980" DrawAspect="Content" ObjectID="_1791380924" r:id="rId12025"/>
        </w:object>
      </w:r>
    </w:p>
    <w:p w14:paraId="062C2FB3" w14:textId="77777777" w:rsidR="00556C10" w:rsidRPr="002614E7" w:rsidRDefault="00556C10" w:rsidP="00556C10">
      <w:pPr>
        <w:spacing w:line="216" w:lineRule="auto"/>
        <w:rPr>
          <w:i/>
          <w:sz w:val="23"/>
          <w:szCs w:val="23"/>
        </w:rPr>
      </w:pPr>
      <w:r w:rsidRPr="002614E7">
        <w:rPr>
          <w:rFonts w:hint="cs"/>
          <w:i/>
          <w:sz w:val="23"/>
          <w:szCs w:val="23"/>
          <w:rtl/>
        </w:rPr>
        <w:lastRenderedPageBreak/>
        <w:t xml:space="preserve">که در آن </w:t>
      </w:r>
      <w:r w:rsidRPr="002614E7">
        <w:rPr>
          <w:position w:val="-12"/>
        </w:rPr>
        <w:object w:dxaOrig="1359" w:dyaOrig="360" w14:anchorId="5065D792">
          <v:shape id="_x0000_i6981" type="#_x0000_t75" style="width:67.75pt;height:18.15pt" o:ole="">
            <v:imagedata r:id="rId12026" o:title=""/>
          </v:shape>
          <o:OLEObject Type="Embed" ProgID="Equation.DSMT4" ShapeID="_x0000_i6981" DrawAspect="Content" ObjectID="_1791380925" r:id="rId12027"/>
        </w:object>
      </w:r>
      <w:r w:rsidRPr="002614E7">
        <w:rPr>
          <w:rFonts w:hint="cs"/>
          <w:i/>
          <w:sz w:val="23"/>
          <w:szCs w:val="23"/>
          <w:rtl/>
        </w:rPr>
        <w:t xml:space="preserve"> واریانس شوک‌ها می‌باشند. چنانچه</w:t>
      </w:r>
      <w:r w:rsidRPr="002614E7">
        <w:rPr>
          <w:position w:val="-10"/>
        </w:rPr>
        <w:object w:dxaOrig="680" w:dyaOrig="260" w14:anchorId="6E0BCB16">
          <v:shape id="_x0000_i6982" type="#_x0000_t75" style="width:33.9pt;height:13.3pt" o:ole="">
            <v:imagedata r:id="rId12028" o:title=""/>
          </v:shape>
          <o:OLEObject Type="Embed" ProgID="Equation.DSMT4" ShapeID="_x0000_i6982" DrawAspect="Content" ObjectID="_1791380926" r:id="rId12029"/>
        </w:object>
      </w:r>
      <w:r w:rsidRPr="002614E7">
        <w:rPr>
          <w:rFonts w:eastAsiaTheme="minorEastAsia" w:hint="cs"/>
          <w:i/>
          <w:sz w:val="23"/>
          <w:szCs w:val="23"/>
          <w:rtl/>
        </w:rPr>
        <w:t xml:space="preserve"> </w:t>
      </w:r>
      <w:r w:rsidRPr="002614E7">
        <w:rPr>
          <w:rFonts w:hint="cs"/>
          <w:i/>
          <w:sz w:val="23"/>
          <w:szCs w:val="23"/>
          <w:rtl/>
        </w:rPr>
        <w:t>میل کند، واریانس تورم به سمت صفر میل خواهد کرد، و برای هر مقدار محدود</w:t>
      </w:r>
      <w:r w:rsidRPr="002614E7">
        <w:rPr>
          <w:position w:val="-10"/>
        </w:rPr>
        <w:object w:dxaOrig="220" w:dyaOrig="240" w14:anchorId="557AFD08">
          <v:shape id="_x0000_i6983" type="#_x0000_t75" style="width:10.9pt;height:11.5pt" o:ole="">
            <v:imagedata r:id="rId12030" o:title=""/>
          </v:shape>
          <o:OLEObject Type="Embed" ProgID="Equation.DSMT4" ShapeID="_x0000_i6983" DrawAspect="Content" ObjectID="_1791380927" r:id="rId12031"/>
        </w:object>
      </w:r>
      <w:r w:rsidRPr="002614E7">
        <w:rPr>
          <w:rFonts w:hint="cs"/>
          <w:i/>
          <w:sz w:val="23"/>
          <w:szCs w:val="23"/>
          <w:rtl/>
        </w:rPr>
        <w:t xml:space="preserve"> چنانچه </w:t>
      </w:r>
      <w:r w:rsidRPr="002614E7">
        <w:rPr>
          <w:position w:val="-6"/>
        </w:rPr>
        <w:object w:dxaOrig="600" w:dyaOrig="260" w14:anchorId="6A4A076D">
          <v:shape id="_x0000_i6984" type="#_x0000_t75" style="width:29.65pt;height:13.3pt" o:ole="">
            <v:imagedata r:id="rId12032" o:title=""/>
          </v:shape>
          <o:OLEObject Type="Embed" ProgID="Equation.DSMT4" ShapeID="_x0000_i6984" DrawAspect="Content" ObjectID="_1791380928" r:id="rId12033"/>
        </w:object>
      </w:r>
      <w:r w:rsidRPr="002614E7">
        <w:rPr>
          <w:rFonts w:eastAsiaTheme="minorEastAsia" w:hint="cs"/>
          <w:i/>
          <w:sz w:val="23"/>
          <w:szCs w:val="23"/>
          <w:rtl/>
        </w:rPr>
        <w:t xml:space="preserve"> </w:t>
      </w:r>
      <w:r w:rsidRPr="002614E7">
        <w:rPr>
          <w:rFonts w:hint="cs"/>
          <w:i/>
          <w:sz w:val="23"/>
          <w:szCs w:val="23"/>
          <w:rtl/>
        </w:rPr>
        <w:t>میل کند واریانس تورم کاهش خواهد یافت. بنابراین اگر هدف ‌سیاست</w:t>
      </w:r>
      <w:r w:rsidRPr="002614E7">
        <w:rPr>
          <w:rFonts w:hint="cs"/>
          <w:i/>
          <w:sz w:val="23"/>
          <w:szCs w:val="23"/>
          <w:rtl/>
        </w:rPr>
        <w:softHyphen/>
        <w:t>گذار حداقل کردن تغییرات تورم از سطح هدف‌‌گذاری آن یعنی سطح</w:t>
      </w:r>
      <w:r w:rsidRPr="002614E7">
        <w:rPr>
          <w:position w:val="-6"/>
        </w:rPr>
        <w:object w:dxaOrig="279" w:dyaOrig="300" w14:anchorId="350BD38A">
          <v:shape id="_x0000_i6985" type="#_x0000_t75" style="width:13.9pt;height:14.5pt" o:ole="">
            <v:imagedata r:id="rId12034" o:title=""/>
          </v:shape>
          <o:OLEObject Type="Embed" ProgID="Equation.DSMT4" ShapeID="_x0000_i6985" DrawAspect="Content" ObjectID="_1791380929" r:id="rId12035"/>
        </w:object>
      </w:r>
      <w:r w:rsidRPr="002614E7">
        <w:rPr>
          <w:rFonts w:hint="cs"/>
          <w:i/>
          <w:sz w:val="23"/>
          <w:szCs w:val="23"/>
          <w:rtl/>
        </w:rPr>
        <w:t xml:space="preserve"> باشد- که متناظر است با حداقل کردن واریانس تورم چنانچه</w:t>
      </w:r>
      <w:r w:rsidRPr="002614E7">
        <w:rPr>
          <w:position w:val="-10"/>
        </w:rPr>
        <w:object w:dxaOrig="859" w:dyaOrig="340" w14:anchorId="21BF210A">
          <v:shape id="_x0000_i6986" type="#_x0000_t75" style="width:42.95pt;height:16.95pt" o:ole="">
            <v:imagedata r:id="rId12036" o:title=""/>
          </v:shape>
          <o:OLEObject Type="Embed" ProgID="Equation.DSMT4" ShapeID="_x0000_i6986" DrawAspect="Content" ObjectID="_1791380930" r:id="rId12037"/>
        </w:object>
      </w:r>
      <w:r w:rsidRPr="002614E7">
        <w:rPr>
          <w:i/>
          <w:sz w:val="23"/>
          <w:szCs w:val="23"/>
        </w:rPr>
        <w:t xml:space="preserve"> </w:t>
      </w:r>
      <w:r w:rsidRPr="002614E7">
        <w:rPr>
          <w:rFonts w:hint="cs"/>
          <w:i/>
          <w:sz w:val="23"/>
          <w:szCs w:val="23"/>
          <w:rtl/>
        </w:rPr>
        <w:t xml:space="preserve">باشد- آنگاه هدف‌‌گذاری اکید تورم </w:t>
      </w:r>
      <w:r w:rsidRPr="002614E7">
        <w:rPr>
          <w:position w:val="-12"/>
        </w:rPr>
        <w:object w:dxaOrig="680" w:dyaOrig="360" w14:anchorId="3C63302F">
          <v:shape id="_x0000_i6987" type="#_x0000_t75" style="width:33.9pt;height:18.15pt" o:ole="">
            <v:imagedata r:id="rId12038" o:title=""/>
          </v:shape>
          <o:OLEObject Type="Embed" ProgID="Equation.DSMT4" ShapeID="_x0000_i6987" DrawAspect="Content" ObjectID="_1791380931" r:id="rId12039"/>
        </w:object>
      </w:r>
      <w:r w:rsidRPr="002614E7">
        <w:rPr>
          <w:rFonts w:hint="cs"/>
          <w:i/>
          <w:sz w:val="23"/>
          <w:szCs w:val="23"/>
          <w:rtl/>
        </w:rPr>
        <w:t xml:space="preserve"> بر هدف‌‌گذاری تورم انعطاف</w:t>
      </w:r>
      <w:r w:rsidRPr="002614E7">
        <w:rPr>
          <w:rFonts w:hint="cs"/>
          <w:i/>
          <w:sz w:val="23"/>
          <w:szCs w:val="23"/>
          <w:rtl/>
        </w:rPr>
        <w:softHyphen/>
        <w:t xml:space="preserve">پذیر </w:t>
      </w:r>
      <w:r w:rsidRPr="002614E7">
        <w:rPr>
          <w:position w:val="-8"/>
        </w:rPr>
        <w:object w:dxaOrig="660" w:dyaOrig="279" w14:anchorId="443C53B7">
          <v:shape id="_x0000_i6988" type="#_x0000_t75" style="width:32.65pt;height:13.9pt" o:ole="">
            <v:imagedata r:id="rId12040" o:title=""/>
          </v:shape>
          <o:OLEObject Type="Embed" ProgID="Equation.DSMT4" ShapeID="_x0000_i6988" DrawAspect="Content" ObjectID="_1791380932" r:id="rId12041"/>
        </w:object>
      </w:r>
      <w:r w:rsidRPr="002614E7">
        <w:rPr>
          <w:rFonts w:hint="cs"/>
          <w:i/>
          <w:sz w:val="23"/>
          <w:szCs w:val="23"/>
          <w:rtl/>
        </w:rPr>
        <w:t xml:space="preserve"> مرجح است.</w:t>
      </w:r>
    </w:p>
    <w:p w14:paraId="682EA7F6" w14:textId="77777777" w:rsidR="00556C10" w:rsidRPr="002614E7" w:rsidRDefault="00556C10" w:rsidP="00556C10">
      <w:pPr>
        <w:spacing w:line="216" w:lineRule="auto"/>
        <w:rPr>
          <w:i/>
          <w:sz w:val="23"/>
          <w:szCs w:val="23"/>
        </w:rPr>
      </w:pPr>
      <w:r w:rsidRPr="002614E7">
        <w:rPr>
          <w:rFonts w:hint="cs"/>
          <w:i/>
          <w:sz w:val="23"/>
          <w:szCs w:val="23"/>
          <w:rtl/>
        </w:rPr>
        <w:t>حل مقادیر شکاف تولید از معادله</w:t>
      </w:r>
      <w:r w:rsidRPr="002614E7">
        <w:rPr>
          <w:rFonts w:hint="cs"/>
          <w:i/>
          <w:sz w:val="23"/>
          <w:szCs w:val="23"/>
          <w:rtl/>
        </w:rPr>
        <w:softHyphen/>
        <w:t>ی (۱۴. ۳۱)، با جای‌گذاری</w:t>
      </w:r>
      <w:r w:rsidRPr="002614E7">
        <w:rPr>
          <w:position w:val="-10"/>
        </w:rPr>
        <w:object w:dxaOrig="240" w:dyaOrig="320" w14:anchorId="596468BF">
          <v:shape id="_x0000_i6989" type="#_x0000_t75" style="width:11.5pt;height:15.75pt" o:ole="">
            <v:imagedata r:id="rId12042" o:title=""/>
          </v:shape>
          <o:OLEObject Type="Embed" ProgID="Equation.DSMT4" ShapeID="_x0000_i6989" DrawAspect="Content" ObjectID="_1791380933" r:id="rId12043"/>
        </w:object>
      </w:r>
      <w:r w:rsidRPr="002614E7">
        <w:rPr>
          <w:rFonts w:hint="cs"/>
          <w:i/>
          <w:sz w:val="23"/>
          <w:szCs w:val="23"/>
          <w:rtl/>
        </w:rPr>
        <w:t xml:space="preserve"> از معادله</w:t>
      </w:r>
      <w:r w:rsidRPr="002614E7">
        <w:rPr>
          <w:rFonts w:hint="cs"/>
          <w:i/>
          <w:sz w:val="23"/>
          <w:szCs w:val="23"/>
          <w:rtl/>
        </w:rPr>
        <w:softHyphen/>
        <w:t xml:space="preserve">ی (۱۴. ۴۲)، و </w:t>
      </w:r>
      <w:r w:rsidRPr="002614E7">
        <w:rPr>
          <w:rFonts w:eastAsiaTheme="minorEastAsia" w:hint="cs"/>
          <w:i/>
          <w:sz w:val="23"/>
          <w:szCs w:val="23"/>
          <w:rtl/>
        </w:rPr>
        <w:t>برای</w:t>
      </w:r>
      <w:r w:rsidRPr="002614E7">
        <w:rPr>
          <w:position w:val="-10"/>
        </w:rPr>
        <w:object w:dxaOrig="279" w:dyaOrig="320" w14:anchorId="7C135C59">
          <v:shape id="_x0000_i6990" type="#_x0000_t75" style="width:13.9pt;height:15.75pt" o:ole="">
            <v:imagedata r:id="rId12044" o:title=""/>
          </v:shape>
          <o:OLEObject Type="Embed" ProgID="Equation.DSMT4" ShapeID="_x0000_i6990" DrawAspect="Content" ObjectID="_1791380934" r:id="rId12045"/>
        </w:object>
      </w:r>
      <w:r w:rsidRPr="002614E7">
        <w:rPr>
          <w:rFonts w:hint="cs"/>
          <w:i/>
          <w:sz w:val="23"/>
          <w:szCs w:val="23"/>
          <w:rtl/>
        </w:rPr>
        <w:t xml:space="preserve"> از معادله</w:t>
      </w:r>
      <w:r w:rsidRPr="002614E7">
        <w:rPr>
          <w:rFonts w:hint="cs"/>
          <w:i/>
          <w:sz w:val="23"/>
          <w:szCs w:val="23"/>
          <w:rtl/>
        </w:rPr>
        <w:softHyphen/>
        <w:t xml:space="preserve">ی (۱۴. ۳۸)، </w:t>
      </w:r>
      <w:r w:rsidRPr="002614E7">
        <w:rPr>
          <w:rFonts w:eastAsiaTheme="minorEastAsia" w:hint="cs"/>
          <w:i/>
          <w:sz w:val="23"/>
          <w:szCs w:val="23"/>
          <w:rtl/>
        </w:rPr>
        <w:t xml:space="preserve">و با توجه به </w:t>
      </w:r>
      <w:r w:rsidRPr="002614E7">
        <w:rPr>
          <w:position w:val="-10"/>
        </w:rPr>
        <w:object w:dxaOrig="999" w:dyaOrig="340" w14:anchorId="0DCAB0EE">
          <v:shape id="_x0000_i6991" type="#_x0000_t75" style="width:50.2pt;height:16.95pt" o:ole="">
            <v:imagedata r:id="rId12046" o:title=""/>
          </v:shape>
          <o:OLEObject Type="Embed" ProgID="Equation.DSMT4" ShapeID="_x0000_i6991" DrawAspect="Content" ObjectID="_1791380935" r:id="rId12047"/>
        </w:object>
      </w:r>
      <w:r w:rsidRPr="002614E7">
        <w:rPr>
          <w:rFonts w:hint="cs"/>
          <w:i/>
          <w:sz w:val="23"/>
          <w:szCs w:val="23"/>
          <w:rtl/>
        </w:rPr>
        <w:t xml:space="preserve"> بدست می‌آید. در نتیجه </w:t>
      </w:r>
    </w:p>
    <w:p w14:paraId="60EE8293"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6"/>
        </w:rPr>
        <w:object w:dxaOrig="2880" w:dyaOrig="420" w14:anchorId="33F251D6">
          <v:shape id="_x0000_i6992" type="#_x0000_t75" style="width:2in;height:21.2pt" o:ole="">
            <v:imagedata r:id="rId12048" o:title=""/>
          </v:shape>
          <o:OLEObject Type="Embed" ProgID="Equation.DSMT4" ShapeID="_x0000_i6992" DrawAspect="Content" ObjectID="_1791380936" r:id="rId12049"/>
        </w:object>
      </w:r>
    </w:p>
    <w:p w14:paraId="3914250F" w14:textId="77777777" w:rsidR="00556C10" w:rsidRPr="002614E7" w:rsidRDefault="00556C10" w:rsidP="00556C10">
      <w:pPr>
        <w:bidi w:val="0"/>
        <w:spacing w:line="216" w:lineRule="auto"/>
        <w:rPr>
          <w:rFonts w:eastAsiaTheme="minorEastAsia"/>
          <w:i/>
          <w:sz w:val="23"/>
          <w:szCs w:val="23"/>
        </w:rPr>
      </w:pPr>
      <w:r w:rsidRPr="002614E7">
        <w:rPr>
          <w:rFonts w:eastAsiaTheme="minorEastAsia"/>
          <w:i/>
          <w:sz w:val="23"/>
          <w:szCs w:val="23"/>
        </w:rPr>
        <w:t xml:space="preserve"> </w:t>
      </w:r>
      <w:r w:rsidRPr="002614E7">
        <w:rPr>
          <w:position w:val="-16"/>
        </w:rPr>
        <w:object w:dxaOrig="4200" w:dyaOrig="420" w14:anchorId="723A3B22">
          <v:shape id="_x0000_i6993" type="#_x0000_t75" style="width:209.95pt;height:21.2pt" o:ole="">
            <v:imagedata r:id="rId12050" o:title=""/>
          </v:shape>
          <o:OLEObject Type="Embed" ProgID="Equation.DSMT4" ShapeID="_x0000_i6993" DrawAspect="Content" ObjectID="_1791380937" r:id="rId12051"/>
        </w:object>
      </w:r>
      <w:r w:rsidRPr="002614E7">
        <w:rPr>
          <w:i/>
          <w:sz w:val="23"/>
          <w:szCs w:val="23"/>
        </w:rPr>
        <w:t xml:space="preserve"> </w:t>
      </w:r>
      <w:r w:rsidRPr="002614E7">
        <w:rPr>
          <w:position w:val="-30"/>
        </w:rPr>
        <w:object w:dxaOrig="6700" w:dyaOrig="639" w14:anchorId="3EFB70A0">
          <v:shape id="_x0000_i6994" type="#_x0000_t75" style="width:335.2pt;height:32.05pt" o:ole="">
            <v:imagedata r:id="rId12052" o:title=""/>
          </v:shape>
          <o:OLEObject Type="Embed" ProgID="Equation.DSMT4" ShapeID="_x0000_i6994" DrawAspect="Content" ObjectID="_1791380938" r:id="rId12053"/>
        </w:object>
      </w:r>
    </w:p>
    <w:p w14:paraId="54DE7A41"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Pr>
      </w:pPr>
      <w:r w:rsidRPr="002614E7">
        <w:rPr>
          <w:position w:val="-30"/>
        </w:rPr>
        <w:object w:dxaOrig="4900" w:dyaOrig="639" w14:anchorId="4F1C8BE8">
          <v:shape id="_x0000_i6995" type="#_x0000_t75" style="width:244.45pt;height:32.05pt" o:ole="">
            <v:imagedata r:id="rId12054" o:title=""/>
          </v:shape>
          <o:OLEObject Type="Embed" ProgID="Equation.DSMT4" ShapeID="_x0000_i6995" DrawAspect="Content" ObjectID="_1791380939" r:id="rId12055"/>
        </w:object>
      </w:r>
      <w:r w:rsidRPr="002614E7">
        <w:rPr>
          <w:rFonts w:ascii="Times New Roman" w:hAnsi="Times New Roman"/>
          <w:i/>
          <w:sz w:val="23"/>
          <w:szCs w:val="23"/>
          <w:rtl/>
        </w:rPr>
        <w:tab/>
      </w:r>
      <w:r w:rsidRPr="002614E7">
        <w:rPr>
          <w:rFonts w:ascii="Times New Roman" w:hAnsi="Times New Roman"/>
          <w:i/>
          <w:sz w:val="23"/>
          <w:szCs w:val="23"/>
          <w:rtl/>
        </w:rPr>
        <w:tab/>
      </w:r>
      <w:r>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(۱۴. ۴۴)</w:t>
      </w:r>
    </w:p>
    <w:p w14:paraId="7604E63A" w14:textId="77777777" w:rsidR="00556C10" w:rsidRPr="002614E7" w:rsidRDefault="00556C10" w:rsidP="00556C10">
      <w:pPr>
        <w:spacing w:line="216" w:lineRule="auto"/>
        <w:rPr>
          <w:i/>
          <w:sz w:val="23"/>
          <w:szCs w:val="23"/>
        </w:rPr>
      </w:pPr>
      <w:r w:rsidRPr="002614E7">
        <w:rPr>
          <w:rFonts w:hint="cs"/>
          <w:i/>
          <w:sz w:val="23"/>
          <w:szCs w:val="23"/>
          <w:rtl/>
        </w:rPr>
        <w:t>با حل معادله‌ی (۱۴. ۴۴) به صورت پیش</w:t>
      </w:r>
      <w:r w:rsidRPr="002614E7">
        <w:rPr>
          <w:rFonts w:hint="cs"/>
          <w:i/>
          <w:sz w:val="23"/>
          <w:szCs w:val="23"/>
          <w:rtl/>
        </w:rPr>
        <w:softHyphen/>
        <w:t>رو می‌توان</w:t>
      </w:r>
      <w:r w:rsidRPr="002614E7">
        <w:rPr>
          <w:position w:val="-10"/>
        </w:rPr>
        <w:object w:dxaOrig="240" w:dyaOrig="320" w14:anchorId="15301EB2">
          <v:shape id="_x0000_i6996" type="#_x0000_t75" style="width:11.5pt;height:15.75pt" o:ole="">
            <v:imagedata r:id="rId12056" o:title=""/>
          </v:shape>
          <o:OLEObject Type="Embed" ProgID="Equation.DSMT4" ShapeID="_x0000_i6996" DrawAspect="Content" ObjectID="_1791380940" r:id="rId12057"/>
        </w:object>
      </w:r>
      <w:r w:rsidRPr="002614E7">
        <w:rPr>
          <w:rFonts w:hint="cs"/>
          <w:i/>
          <w:sz w:val="23"/>
          <w:szCs w:val="23"/>
          <w:rtl/>
        </w:rPr>
        <w:t xml:space="preserve"> را به دست آورد. لذا </w:t>
      </w:r>
    </w:p>
    <w:p w14:paraId="35013E60"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tl/>
        </w:rPr>
      </w:pPr>
      <w:r w:rsidRPr="002614E7">
        <w:rPr>
          <w:position w:val="-30"/>
        </w:rPr>
        <w:object w:dxaOrig="3360" w:dyaOrig="639" w14:anchorId="72165D37">
          <v:shape id="_x0000_i6997" type="#_x0000_t75" style="width:168.2pt;height:32.05pt" o:ole="">
            <v:imagedata r:id="rId12058" o:title=""/>
          </v:shape>
          <o:OLEObject Type="Embed" ProgID="Equation.DSMT4" ShapeID="_x0000_i6997" DrawAspect="Content" ObjectID="_1791380941" r:id="rId12059"/>
        </w:object>
      </w:r>
      <w:r w:rsidRPr="002614E7">
        <w:rPr>
          <w:rFonts w:ascii="Times New Roman" w:hAnsi="Times New Roman" w:cs="B Nazanin" w:hint="cs"/>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Pr>
          <w:rFonts w:ascii="Times New Roman" w:hAnsi="Times New Roman" w:cs="B Nazanin"/>
          <w:i/>
          <w:sz w:val="23"/>
          <w:szCs w:val="23"/>
          <w:rtl/>
        </w:rPr>
        <w:tab/>
      </w:r>
      <w:r w:rsidRPr="002614E7">
        <w:rPr>
          <w:rFonts w:ascii="Times New Roman" w:hAnsi="Times New Roman" w:cs="B Nazanin"/>
          <w:i/>
          <w:sz w:val="23"/>
          <w:szCs w:val="23"/>
          <w:rtl/>
        </w:rPr>
        <w:tab/>
      </w:r>
      <w:r>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hint="cs"/>
          <w:i/>
          <w:sz w:val="23"/>
          <w:szCs w:val="23"/>
          <w:rtl/>
        </w:rPr>
        <w:t>(۱۴. ۴۵)</w:t>
      </w:r>
    </w:p>
    <w:p w14:paraId="0BC2B3BB" w14:textId="77777777" w:rsidR="00556C10" w:rsidRPr="002614E7" w:rsidRDefault="00556C10" w:rsidP="00556C10">
      <w:pPr>
        <w:spacing w:line="216" w:lineRule="auto"/>
        <w:rPr>
          <w:i/>
          <w:sz w:val="23"/>
          <w:szCs w:val="23"/>
        </w:rPr>
      </w:pPr>
      <w:r w:rsidRPr="002614E7">
        <w:rPr>
          <w:rFonts w:hint="cs"/>
          <w:i/>
          <w:sz w:val="23"/>
          <w:szCs w:val="23"/>
          <w:rtl/>
        </w:rPr>
        <w:t>بنابراین شکاف تولید انتظاری برابر است با صفر.</w:t>
      </w:r>
    </w:p>
    <w:p w14:paraId="4775D204" w14:textId="77777777" w:rsidR="00556C10" w:rsidRPr="002614E7" w:rsidRDefault="00556C10" w:rsidP="00556C10">
      <w:pPr>
        <w:spacing w:line="216" w:lineRule="auto"/>
        <w:rPr>
          <w:i/>
          <w:sz w:val="23"/>
          <w:szCs w:val="23"/>
          <w:rtl/>
        </w:rPr>
      </w:pPr>
    </w:p>
    <w:p w14:paraId="0E06CF6E" w14:textId="77777777" w:rsidR="00556C10" w:rsidRPr="002614E7" w:rsidRDefault="00556C10" w:rsidP="00556C10">
      <w:pPr>
        <w:spacing w:line="216" w:lineRule="auto"/>
        <w:rPr>
          <w:i/>
          <w:sz w:val="23"/>
          <w:szCs w:val="23"/>
          <w:rtl/>
        </w:rPr>
      </w:pPr>
      <w:r w:rsidRPr="002614E7">
        <w:rPr>
          <w:rFonts w:hint="cs"/>
          <w:bCs/>
          <w:i/>
          <w:sz w:val="23"/>
          <w:szCs w:val="23"/>
          <w:rtl/>
        </w:rPr>
        <w:t>حالت ب</w:t>
      </w:r>
      <w:r w:rsidRPr="002614E7">
        <w:rPr>
          <w:rFonts w:hint="cs"/>
          <w:i/>
          <w:sz w:val="23"/>
          <w:szCs w:val="23"/>
          <w:rtl/>
        </w:rPr>
        <w:t xml:space="preserve">: </w:t>
      </w:r>
      <w:r w:rsidRPr="002614E7">
        <w:rPr>
          <w:position w:val="-14"/>
        </w:rPr>
        <w:object w:dxaOrig="3000" w:dyaOrig="380" w14:anchorId="5F02FCEB">
          <v:shape id="_x0000_i6998" type="#_x0000_t75" style="width:150.05pt;height:18.75pt" o:ole="">
            <v:imagedata r:id="rId12060" o:title=""/>
          </v:shape>
          <o:OLEObject Type="Embed" ProgID="Equation.DSMT4" ShapeID="_x0000_i6998" DrawAspect="Content" ObjectID="_1791380942" r:id="rId12061"/>
        </w:object>
      </w:r>
      <w:r w:rsidRPr="002614E7">
        <w:rPr>
          <w:rFonts w:hint="cs"/>
          <w:i/>
          <w:sz w:val="23"/>
          <w:szCs w:val="23"/>
          <w:rtl/>
        </w:rPr>
        <w:t xml:space="preserve"> که در آن </w:t>
      </w:r>
      <w:r w:rsidRPr="002614E7">
        <w:rPr>
          <w:position w:val="-10"/>
        </w:rPr>
        <w:object w:dxaOrig="520" w:dyaOrig="300" w14:anchorId="10AD999E">
          <v:shape id="_x0000_i6999" type="#_x0000_t75" style="width:26pt;height:14.5pt" o:ole="">
            <v:imagedata r:id="rId12062" o:title=""/>
          </v:shape>
          <o:OLEObject Type="Embed" ProgID="Equation.DSMT4" ShapeID="_x0000_i6999" DrawAspect="Content" ObjectID="_1791380943" r:id="rId12063"/>
        </w:object>
      </w:r>
      <w:r w:rsidRPr="002614E7">
        <w:rPr>
          <w:rFonts w:hint="cs"/>
          <w:i/>
          <w:sz w:val="23"/>
          <w:szCs w:val="23"/>
          <w:rtl/>
        </w:rPr>
        <w:t xml:space="preserve"> است. در این حالت هر دو ریشه</w:t>
      </w:r>
      <w:r w:rsidRPr="002614E7">
        <w:rPr>
          <w:rFonts w:hint="cs"/>
          <w:i/>
          <w:sz w:val="23"/>
          <w:szCs w:val="23"/>
          <w:rtl/>
        </w:rPr>
        <w:softHyphen/>
        <w:t>ی معادله</w:t>
      </w:r>
      <w:r w:rsidRPr="002614E7">
        <w:rPr>
          <w:rFonts w:hint="cs"/>
          <w:i/>
          <w:sz w:val="23"/>
          <w:szCs w:val="23"/>
          <w:rtl/>
        </w:rPr>
        <w:softHyphen/>
        <w:t xml:space="preserve">ی فوق بزرگتر و کوچکتر از یک خواهند بود، یعنی </w:t>
      </w:r>
      <w:r w:rsidRPr="002614E7">
        <w:rPr>
          <w:position w:val="-10"/>
        </w:rPr>
        <w:object w:dxaOrig="1200" w:dyaOrig="320" w14:anchorId="6EEAF87E">
          <v:shape id="_x0000_i7000" type="#_x0000_t75" style="width:59.9pt;height:15.75pt" o:ole="">
            <v:imagedata r:id="rId12064" o:title=""/>
          </v:shape>
          <o:OLEObject Type="Embed" ProgID="Equation.DSMT4" ShapeID="_x0000_i7000" DrawAspect="Content" ObjectID="_1791380944" r:id="rId12065"/>
        </w:object>
      </w:r>
      <w:r w:rsidRPr="002614E7">
        <w:rPr>
          <w:rFonts w:hint="cs"/>
          <w:i/>
          <w:sz w:val="23"/>
          <w:szCs w:val="23"/>
          <w:rtl/>
        </w:rPr>
        <w:t>است. با استفاده از روش باقیمانده‌ها خواهیم داشت:</w:t>
      </w:r>
    </w:p>
    <w:p w14:paraId="3650589F"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38"/>
        </w:rPr>
        <w:object w:dxaOrig="4940" w:dyaOrig="859" w14:anchorId="474BFF85">
          <v:shape id="_x0000_i7001" type="#_x0000_t75" style="width:247.45pt;height:42.95pt" o:ole="">
            <v:imagedata r:id="rId12066" o:title=""/>
          </v:shape>
          <o:OLEObject Type="Embed" ProgID="Equation.DSMT4" ShapeID="_x0000_i7001" DrawAspect="Content" ObjectID="_1791380945" r:id="rId12067"/>
        </w:object>
      </w:r>
    </w:p>
    <w:p w14:paraId="4364A54D" w14:textId="77777777" w:rsidR="00556C10" w:rsidRPr="002614E7" w:rsidRDefault="00556C10" w:rsidP="00556C10">
      <w:pPr>
        <w:spacing w:line="216" w:lineRule="auto"/>
        <w:rPr>
          <w:i/>
          <w:sz w:val="23"/>
          <w:szCs w:val="23"/>
          <w:rtl/>
        </w:rPr>
      </w:pPr>
      <w:r w:rsidRPr="002614E7">
        <w:rPr>
          <w:rFonts w:hint="cs"/>
          <w:i/>
          <w:sz w:val="23"/>
          <w:szCs w:val="23"/>
          <w:rtl/>
        </w:rPr>
        <w:t>براساس رابطه</w:t>
      </w:r>
      <w:r w:rsidRPr="002614E7">
        <w:rPr>
          <w:rFonts w:hint="cs"/>
          <w:i/>
          <w:sz w:val="23"/>
          <w:szCs w:val="23"/>
          <w:rtl/>
        </w:rPr>
        <w:softHyphen/>
        <w:t>ی فوق</w:t>
      </w:r>
      <w:r w:rsidRPr="002614E7">
        <w:rPr>
          <w:i/>
          <w:sz w:val="23"/>
          <w:szCs w:val="23"/>
        </w:rPr>
        <w:t xml:space="preserve"> </w:t>
      </w:r>
      <w:r w:rsidRPr="002614E7">
        <w:rPr>
          <w:rFonts w:hint="cs"/>
          <w:i/>
          <w:sz w:val="23"/>
          <w:szCs w:val="23"/>
          <w:rtl/>
        </w:rPr>
        <w:t>یک معادله برای دو پارامتر ناشناخته‌ی</w:t>
      </w:r>
      <w:r w:rsidRPr="002614E7">
        <w:rPr>
          <w:position w:val="-10"/>
        </w:rPr>
        <w:object w:dxaOrig="260" w:dyaOrig="320" w14:anchorId="499673FF">
          <v:shape id="_x0000_i7002" type="#_x0000_t75" style="width:13.3pt;height:15.75pt" o:ole="">
            <v:imagedata r:id="rId12068" o:title=""/>
          </v:shape>
          <o:OLEObject Type="Embed" ProgID="Equation.DSMT4" ShapeID="_x0000_i7002" DrawAspect="Content" ObjectID="_1791380946" r:id="rId12069"/>
        </w:object>
      </w:r>
      <w:r w:rsidRPr="002614E7">
        <w:rPr>
          <w:rFonts w:hint="cs"/>
          <w:i/>
          <w:sz w:val="23"/>
          <w:szCs w:val="23"/>
          <w:rtl/>
        </w:rPr>
        <w:t xml:space="preserve"> و</w:t>
      </w:r>
      <w:r w:rsidRPr="002614E7">
        <w:rPr>
          <w:position w:val="-10"/>
        </w:rPr>
        <w:object w:dxaOrig="240" w:dyaOrig="320" w14:anchorId="2BECDFF2">
          <v:shape id="_x0000_i7003" type="#_x0000_t75" style="width:11.5pt;height:15.75pt" o:ole="">
            <v:imagedata r:id="rId12070" o:title=""/>
          </v:shape>
          <o:OLEObject Type="Embed" ProgID="Equation.DSMT4" ShapeID="_x0000_i7003" DrawAspect="Content" ObjectID="_1791380947" r:id="rId12071"/>
        </w:object>
      </w:r>
      <w:r w:rsidRPr="002614E7">
        <w:rPr>
          <w:rFonts w:hint="cs"/>
          <w:i/>
          <w:sz w:val="23"/>
          <w:szCs w:val="23"/>
          <w:rtl/>
        </w:rPr>
        <w:t xml:space="preserve"> وجود داشته و را حل نامعین است. با توجه به این که</w:t>
      </w:r>
    </w:p>
    <w:p w14:paraId="07265723" w14:textId="77777777" w:rsidR="00556C10" w:rsidRPr="002614E7" w:rsidRDefault="00556C10" w:rsidP="00556C10">
      <w:pPr>
        <w:bidi w:val="0"/>
        <w:spacing w:line="216" w:lineRule="auto"/>
        <w:rPr>
          <w:i/>
          <w:sz w:val="23"/>
          <w:szCs w:val="23"/>
          <w:rtl/>
        </w:rPr>
      </w:pPr>
      <w:r w:rsidRPr="002614E7">
        <w:rPr>
          <w:position w:val="-16"/>
        </w:rPr>
        <w:object w:dxaOrig="5319" w:dyaOrig="420" w14:anchorId="39580661">
          <v:shape id="_x0000_i7004" type="#_x0000_t75" style="width:266.2pt;height:21.2pt" o:ole="">
            <v:imagedata r:id="rId12072" o:title=""/>
          </v:shape>
          <o:OLEObject Type="Embed" ProgID="Equation.DSMT4" ShapeID="_x0000_i7004" DrawAspect="Content" ObjectID="_1791380948" r:id="rId12073"/>
        </w:object>
      </w:r>
    </w:p>
    <w:p w14:paraId="64E99D39" w14:textId="77777777" w:rsidR="00556C10" w:rsidRPr="002614E7" w:rsidRDefault="00556C10" w:rsidP="00556C10">
      <w:pPr>
        <w:spacing w:line="216" w:lineRule="auto"/>
        <w:rPr>
          <w:i/>
          <w:sz w:val="23"/>
          <w:szCs w:val="23"/>
        </w:rPr>
      </w:pPr>
      <w:r w:rsidRPr="002614E7">
        <w:rPr>
          <w:rFonts w:hint="cs"/>
          <w:i/>
          <w:sz w:val="23"/>
          <w:szCs w:val="23"/>
          <w:rtl/>
        </w:rPr>
        <w:t>و این که</w:t>
      </w:r>
    </w:p>
    <w:p w14:paraId="714186CB" w14:textId="77777777" w:rsidR="00556C10" w:rsidRDefault="00556C10" w:rsidP="00556C10">
      <w:pPr>
        <w:bidi w:val="0"/>
        <w:spacing w:line="216" w:lineRule="auto"/>
        <w:rPr>
          <w:rtl/>
        </w:rPr>
      </w:pPr>
      <w:r w:rsidRPr="004F243F">
        <w:rPr>
          <w:position w:val="-16"/>
        </w:rPr>
        <w:object w:dxaOrig="4800" w:dyaOrig="420" w14:anchorId="00F98B50">
          <v:shape id="_x0000_i7005" type="#_x0000_t75" style="width:240.2pt;height:20.55pt" o:ole="">
            <v:imagedata r:id="rId12074" o:title=""/>
          </v:shape>
          <o:OLEObject Type="Embed" ProgID="Equation.DSMT4" ShapeID="_x0000_i7005" DrawAspect="Content" ObjectID="_1791380949" r:id="rId12075"/>
        </w:object>
      </w:r>
    </w:p>
    <w:p w14:paraId="79DD19F2" w14:textId="77777777" w:rsidR="00556C10" w:rsidRDefault="00556C10" w:rsidP="00556C10">
      <w:pPr>
        <w:bidi w:val="0"/>
        <w:spacing w:line="216" w:lineRule="auto"/>
        <w:rPr>
          <w:rtl/>
        </w:rPr>
      </w:pPr>
      <w:r w:rsidRPr="004F243F">
        <w:rPr>
          <w:position w:val="-14"/>
        </w:rPr>
        <w:object w:dxaOrig="3600" w:dyaOrig="380" w14:anchorId="006227E6">
          <v:shape id="_x0000_i7006" type="#_x0000_t75" style="width:180.3pt;height:18.75pt" o:ole="">
            <v:imagedata r:id="rId12076" o:title=""/>
          </v:shape>
          <o:OLEObject Type="Embed" ProgID="Equation.DSMT4" ShapeID="_x0000_i7006" DrawAspect="Content" ObjectID="_1791380950" r:id="rId12077"/>
        </w:object>
      </w:r>
    </w:p>
    <w:p w14:paraId="32395106" w14:textId="77777777" w:rsidR="00556C10" w:rsidRPr="002614E7" w:rsidRDefault="00556C10" w:rsidP="00556C10">
      <w:pPr>
        <w:bidi w:val="0"/>
        <w:spacing w:line="216" w:lineRule="auto"/>
        <w:rPr>
          <w:i/>
          <w:sz w:val="23"/>
          <w:szCs w:val="23"/>
          <w:rtl/>
        </w:rPr>
      </w:pPr>
      <w:r w:rsidRPr="004F243F">
        <w:rPr>
          <w:position w:val="-28"/>
        </w:rPr>
        <w:object w:dxaOrig="4500" w:dyaOrig="680" w14:anchorId="50A15FFF">
          <v:shape id="_x0000_i7007" type="#_x0000_t75" style="width:225.1pt;height:33.9pt" o:ole="">
            <v:imagedata r:id="rId12078" o:title=""/>
          </v:shape>
          <o:OLEObject Type="Embed" ProgID="Equation.DSMT4" ShapeID="_x0000_i7007" DrawAspect="Content" ObjectID="_1791380951" r:id="rId12079"/>
        </w:object>
      </w:r>
    </w:p>
    <w:p w14:paraId="5BE6339C" w14:textId="77777777" w:rsidR="00556C10" w:rsidRPr="002614E7" w:rsidRDefault="00556C10" w:rsidP="00556C10">
      <w:pPr>
        <w:pStyle w:val="MTDisplayEquation"/>
        <w:bidi/>
        <w:spacing w:line="216" w:lineRule="auto"/>
        <w:rPr>
          <w:rFonts w:ascii="Times New Roman" w:hAnsi="Times New Roman" w:cs="B Nazanin"/>
          <w:i/>
          <w:sz w:val="23"/>
          <w:szCs w:val="23"/>
          <w:rtl/>
        </w:rPr>
      </w:pPr>
      <w:r w:rsidRPr="002614E7">
        <w:rPr>
          <w:rFonts w:ascii="Times New Roman" w:hAnsi="Times New Roman" w:cs="B Nazanin" w:hint="cs"/>
          <w:i/>
          <w:sz w:val="23"/>
          <w:szCs w:val="23"/>
          <w:rtl/>
        </w:rPr>
        <w:lastRenderedPageBreak/>
        <w:t>بنابراین</w:t>
      </w:r>
    </w:p>
    <w:p w14:paraId="2956DF1C" w14:textId="77777777" w:rsidR="00556C10" w:rsidRPr="002614E7" w:rsidRDefault="00556C10" w:rsidP="00556C10">
      <w:pPr>
        <w:bidi w:val="0"/>
        <w:spacing w:line="216" w:lineRule="auto"/>
        <w:rPr>
          <w:i/>
          <w:sz w:val="23"/>
          <w:szCs w:val="23"/>
          <w:rtl/>
        </w:rPr>
      </w:pPr>
      <w:r w:rsidRPr="002614E7">
        <w:rPr>
          <w:position w:val="-34"/>
        </w:rPr>
        <w:object w:dxaOrig="6080" w:dyaOrig="800" w14:anchorId="59EC9CE0">
          <v:shape id="_x0000_i7008" type="#_x0000_t75" style="width:303.75pt;height:39.95pt" o:ole="">
            <v:imagedata r:id="rId12080" o:title=""/>
          </v:shape>
          <o:OLEObject Type="Embed" ProgID="Equation.DSMT4" ShapeID="_x0000_i7008" DrawAspect="Content" ObjectID="_1791380952" r:id="rId12081"/>
        </w:object>
      </w:r>
    </w:p>
    <w:p w14:paraId="04B9FD2F" w14:textId="77777777" w:rsidR="00556C10" w:rsidRPr="002614E7" w:rsidRDefault="00556C10" w:rsidP="00556C10">
      <w:pPr>
        <w:spacing w:line="216" w:lineRule="auto"/>
        <w:rPr>
          <w:i/>
          <w:sz w:val="23"/>
          <w:szCs w:val="23"/>
        </w:rPr>
      </w:pPr>
      <w:r w:rsidRPr="002614E7">
        <w:rPr>
          <w:rFonts w:hint="cs"/>
          <w:i/>
          <w:sz w:val="23"/>
          <w:szCs w:val="23"/>
          <w:rtl/>
        </w:rPr>
        <w:t>و با تفاضل</w:t>
      </w:r>
    </w:p>
    <w:p w14:paraId="6E32968A" w14:textId="77777777" w:rsidR="00556C10" w:rsidRPr="002614E7" w:rsidRDefault="00556C10" w:rsidP="00556C10">
      <w:pPr>
        <w:bidi w:val="0"/>
        <w:spacing w:line="216" w:lineRule="auto"/>
        <w:rPr>
          <w:i/>
          <w:sz w:val="23"/>
          <w:szCs w:val="23"/>
          <w:rtl/>
        </w:rPr>
      </w:pPr>
      <w:r w:rsidRPr="002614E7">
        <w:rPr>
          <w:position w:val="-16"/>
        </w:rPr>
        <w:object w:dxaOrig="4760" w:dyaOrig="420" w14:anchorId="654B2CA4">
          <v:shape id="_x0000_i7009" type="#_x0000_t75" style="width:237.8pt;height:21.2pt" o:ole="">
            <v:imagedata r:id="rId12082" o:title=""/>
          </v:shape>
          <o:OLEObject Type="Embed" ProgID="Equation.DSMT4" ShapeID="_x0000_i7009" DrawAspect="Content" ObjectID="_1791380953" r:id="rId12083"/>
        </w:object>
      </w:r>
    </w:p>
    <w:p w14:paraId="25C61B41" w14:textId="77777777" w:rsidR="00556C10" w:rsidRPr="002614E7" w:rsidRDefault="00556C10" w:rsidP="00556C10">
      <w:pPr>
        <w:spacing w:line="216" w:lineRule="auto"/>
        <w:rPr>
          <w:i/>
          <w:sz w:val="23"/>
          <w:szCs w:val="23"/>
          <w:rtl/>
        </w:rPr>
      </w:pPr>
      <w:r w:rsidRPr="002614E7">
        <w:rPr>
          <w:rFonts w:hint="cs"/>
          <w:i/>
          <w:sz w:val="23"/>
          <w:szCs w:val="23"/>
          <w:rtl/>
        </w:rPr>
        <w:t>از صورت کسر خواهیم داشت</w:t>
      </w:r>
    </w:p>
    <w:p w14:paraId="3C104E7A" w14:textId="77777777" w:rsidR="00556C10" w:rsidRPr="002614E7" w:rsidRDefault="00556C10" w:rsidP="00556C10">
      <w:pPr>
        <w:bidi w:val="0"/>
        <w:spacing w:line="216" w:lineRule="auto"/>
        <w:rPr>
          <w:sz w:val="23"/>
          <w:szCs w:val="23"/>
          <w:rtl/>
        </w:rPr>
      </w:pPr>
      <w:r w:rsidRPr="002614E7">
        <w:rPr>
          <w:position w:val="-66"/>
        </w:rPr>
        <w:object w:dxaOrig="5179" w:dyaOrig="1420" w14:anchorId="0FFC85AB">
          <v:shape id="_x0000_i7010" type="#_x0000_t75" style="width:258.95pt;height:71.4pt" o:ole="">
            <v:imagedata r:id="rId12084" o:title=""/>
          </v:shape>
          <o:OLEObject Type="Embed" ProgID="Equation.DSMT4" ShapeID="_x0000_i7010" DrawAspect="Content" ObjectID="_1791380954" r:id="rId12085"/>
        </w:object>
      </w:r>
    </w:p>
    <w:p w14:paraId="589F6B32" w14:textId="77777777" w:rsidR="00556C10" w:rsidRPr="002614E7" w:rsidRDefault="00556C10" w:rsidP="00556C10">
      <w:pPr>
        <w:bidi w:val="0"/>
        <w:spacing w:line="216" w:lineRule="auto"/>
        <w:rPr>
          <w:sz w:val="23"/>
          <w:szCs w:val="23"/>
          <w:rtl/>
        </w:rPr>
      </w:pPr>
      <w:r w:rsidRPr="002614E7">
        <w:rPr>
          <w:position w:val="-126"/>
        </w:rPr>
        <w:object w:dxaOrig="6500" w:dyaOrig="2740" w14:anchorId="65A0AEC9">
          <v:shape id="_x0000_i7011" type="#_x0000_t75" style="width:324.9pt;height:136.75pt" o:ole="">
            <v:imagedata r:id="rId12086" o:title=""/>
          </v:shape>
          <o:OLEObject Type="Embed" ProgID="Equation.DSMT4" ShapeID="_x0000_i7011" DrawAspect="Content" ObjectID="_1791380955" r:id="rId12087"/>
        </w:object>
      </w:r>
    </w:p>
    <w:p w14:paraId="76E044F0" w14:textId="77777777" w:rsidR="00556C10" w:rsidRPr="002614E7" w:rsidRDefault="00556C10" w:rsidP="00556C10">
      <w:pPr>
        <w:spacing w:line="216" w:lineRule="auto"/>
        <w:rPr>
          <w:i/>
          <w:sz w:val="23"/>
          <w:szCs w:val="23"/>
          <w:rtl/>
        </w:rPr>
      </w:pPr>
      <w:r w:rsidRPr="002614E7">
        <w:rPr>
          <w:rFonts w:hint="cs"/>
          <w:i/>
          <w:sz w:val="23"/>
          <w:szCs w:val="23"/>
          <w:rtl/>
        </w:rPr>
        <w:t>چنانچه</w:t>
      </w:r>
    </w:p>
    <w:p w14:paraId="14C19AFC" w14:textId="77777777" w:rsidR="00556C10" w:rsidRPr="002614E7" w:rsidRDefault="00556C10" w:rsidP="00556C10">
      <w:pPr>
        <w:bidi w:val="0"/>
        <w:spacing w:line="216" w:lineRule="auto"/>
        <w:rPr>
          <w:i/>
          <w:sz w:val="23"/>
          <w:szCs w:val="23"/>
          <w:rtl/>
        </w:rPr>
      </w:pPr>
      <w:r w:rsidRPr="002614E7">
        <w:rPr>
          <w:position w:val="-16"/>
        </w:rPr>
        <w:object w:dxaOrig="7060" w:dyaOrig="420" w14:anchorId="605E41AA">
          <v:shape id="_x0000_i7012" type="#_x0000_t75" style="width:336.4pt;height:21.2pt" o:ole="">
            <v:imagedata r:id="rId12088" o:title=""/>
          </v:shape>
          <o:OLEObject Type="Embed" ProgID="Equation.DSMT4" ShapeID="_x0000_i7012" DrawAspect="Content" ObjectID="_1791380956" r:id="rId12089"/>
        </w:object>
      </w:r>
      <w:r w:rsidRPr="002614E7">
        <w:rPr>
          <w:rFonts w:hint="cs"/>
          <w:i/>
          <w:sz w:val="23"/>
          <w:szCs w:val="23"/>
          <w:rtl/>
        </w:rPr>
        <w:t xml:space="preserve"> </w:t>
      </w:r>
    </w:p>
    <w:p w14:paraId="62636952" w14:textId="77777777" w:rsidR="00556C10" w:rsidRPr="002614E7" w:rsidRDefault="00556C10" w:rsidP="00556C10">
      <w:pPr>
        <w:spacing w:line="216" w:lineRule="auto"/>
        <w:rPr>
          <w:i/>
          <w:sz w:val="23"/>
          <w:szCs w:val="23"/>
          <w:rtl/>
        </w:rPr>
      </w:pPr>
      <w:r w:rsidRPr="002614E7">
        <w:rPr>
          <w:rFonts w:hint="cs"/>
          <w:i/>
          <w:sz w:val="23"/>
          <w:szCs w:val="23"/>
          <w:rtl/>
        </w:rPr>
        <w:t xml:space="preserve">و </w:t>
      </w:r>
      <w:r w:rsidRPr="002614E7">
        <w:rPr>
          <w:position w:val="-12"/>
        </w:rPr>
        <w:object w:dxaOrig="3100" w:dyaOrig="360" w14:anchorId="1B09FF23">
          <v:shape id="_x0000_i7013" type="#_x0000_t75" style="width:154.9pt;height:18.15pt" o:ole="">
            <v:imagedata r:id="rId12090" o:title=""/>
          </v:shape>
          <o:OLEObject Type="Embed" ProgID="Equation.DSMT4" ShapeID="_x0000_i7013" DrawAspect="Content" ObjectID="_1791380957" r:id="rId12091"/>
        </w:object>
      </w:r>
      <w:r w:rsidRPr="002614E7">
        <w:rPr>
          <w:rFonts w:hint="cs"/>
          <w:i/>
          <w:sz w:val="23"/>
          <w:szCs w:val="23"/>
          <w:rtl/>
        </w:rPr>
        <w:t>، آنگاه</w:t>
      </w:r>
      <w:r w:rsidRPr="002614E7">
        <w:rPr>
          <w:position w:val="-10"/>
        </w:rPr>
        <w:object w:dxaOrig="240" w:dyaOrig="320" w14:anchorId="698D962A">
          <v:shape id="_x0000_i7014" type="#_x0000_t75" style="width:11.5pt;height:15.75pt" o:ole="">
            <v:imagedata r:id="rId12092" o:title=""/>
          </v:shape>
          <o:OLEObject Type="Embed" ProgID="Equation.DSMT4" ShapeID="_x0000_i7014" DrawAspect="Content" ObjectID="_1791380958" r:id="rId12093"/>
        </w:object>
      </w:r>
      <w:r w:rsidRPr="002614E7">
        <w:rPr>
          <w:rFonts w:hint="cs"/>
          <w:i/>
          <w:sz w:val="23"/>
          <w:szCs w:val="23"/>
          <w:rtl/>
        </w:rPr>
        <w:t xml:space="preserve"> برابر است با</w:t>
      </w:r>
    </w:p>
    <w:p w14:paraId="1ACC5C56" w14:textId="77777777" w:rsidR="00556C10" w:rsidRPr="002614E7" w:rsidRDefault="00556C10" w:rsidP="00556C10">
      <w:pPr>
        <w:bidi w:val="0"/>
        <w:spacing w:line="216" w:lineRule="auto"/>
        <w:rPr>
          <w:i/>
          <w:sz w:val="23"/>
          <w:szCs w:val="23"/>
          <w:rtl/>
        </w:rPr>
      </w:pPr>
      <w:r w:rsidRPr="002614E7">
        <w:rPr>
          <w:position w:val="-100"/>
        </w:rPr>
        <w:object w:dxaOrig="6020" w:dyaOrig="2000" w14:anchorId="77C6A8CA">
          <v:shape id="_x0000_i7015" type="#_x0000_t75" style="width:300.7pt;height:99.85pt" o:ole="">
            <v:imagedata r:id="rId12094" o:title=""/>
          </v:shape>
          <o:OLEObject Type="Embed" ProgID="Equation.DSMT4" ShapeID="_x0000_i7015" DrawAspect="Content" ObjectID="_1791380959" r:id="rId12095"/>
        </w:object>
      </w:r>
    </w:p>
    <w:p w14:paraId="2CFF1826" w14:textId="77777777" w:rsidR="00556C10" w:rsidRPr="002614E7" w:rsidRDefault="00556C10" w:rsidP="00556C10">
      <w:pPr>
        <w:spacing w:line="216" w:lineRule="auto"/>
        <w:rPr>
          <w:i/>
          <w:sz w:val="23"/>
          <w:szCs w:val="23"/>
          <w:rtl/>
        </w:rPr>
      </w:pPr>
      <w:r w:rsidRPr="002614E7">
        <w:rPr>
          <w:rFonts w:hint="cs"/>
          <w:i/>
          <w:sz w:val="23"/>
          <w:szCs w:val="23"/>
          <w:rtl/>
        </w:rPr>
        <w:t>بنابراین در شرایط قاعده‌ی ضعیف، اثر شوک بر</w:t>
      </w:r>
      <w:r w:rsidRPr="002614E7">
        <w:rPr>
          <w:position w:val="-10"/>
        </w:rPr>
        <w:object w:dxaOrig="240" w:dyaOrig="320" w14:anchorId="1B463DED">
          <v:shape id="_x0000_i7016" type="#_x0000_t75" style="width:11.5pt;height:15.75pt" o:ole="">
            <v:imagedata r:id="rId12096" o:title=""/>
          </v:shape>
          <o:OLEObject Type="Embed" ProgID="Equation.DSMT4" ShapeID="_x0000_i7016" DrawAspect="Content" ObjectID="_1791380960" r:id="rId12097"/>
        </w:object>
      </w:r>
      <w:r w:rsidRPr="002614E7">
        <w:rPr>
          <w:i/>
          <w:sz w:val="23"/>
          <w:szCs w:val="23"/>
        </w:rPr>
        <w:t xml:space="preserve"> </w:t>
      </w:r>
      <w:r w:rsidRPr="002614E7">
        <w:rPr>
          <w:rFonts w:hint="cs"/>
          <w:i/>
          <w:sz w:val="23"/>
          <w:szCs w:val="23"/>
          <w:rtl/>
        </w:rPr>
        <w:t>نامعین می</w:t>
      </w:r>
      <w:r w:rsidRPr="002614E7">
        <w:rPr>
          <w:rFonts w:hint="cs"/>
          <w:i/>
          <w:sz w:val="23"/>
          <w:szCs w:val="23"/>
          <w:rtl/>
        </w:rPr>
        <w:softHyphen/>
        <w:t>باشد. همچنین می‌توان نشان داد که</w:t>
      </w:r>
    </w:p>
    <w:p w14:paraId="514E3987" w14:textId="77777777" w:rsidR="00556C10" w:rsidRPr="002614E7" w:rsidRDefault="00556C10" w:rsidP="00556C10">
      <w:pPr>
        <w:bidi w:val="0"/>
        <w:spacing w:line="216" w:lineRule="auto"/>
        <w:rPr>
          <w:i/>
          <w:sz w:val="23"/>
          <w:szCs w:val="23"/>
          <w:rtl/>
        </w:rPr>
      </w:pPr>
      <w:r w:rsidRPr="002614E7">
        <w:rPr>
          <w:position w:val="-26"/>
        </w:rPr>
        <w:object w:dxaOrig="1900" w:dyaOrig="600" w14:anchorId="70C28057">
          <v:shape id="_x0000_i7017" type="#_x0000_t75" style="width:95pt;height:29.65pt" o:ole="">
            <v:imagedata r:id="rId12098" o:title=""/>
          </v:shape>
          <o:OLEObject Type="Embed" ProgID="Equation.DSMT4" ShapeID="_x0000_i7017" DrawAspect="Content" ObjectID="_1791380961" r:id="rId12099"/>
        </w:object>
      </w:r>
    </w:p>
    <w:p w14:paraId="4101D413" w14:textId="77777777" w:rsidR="00556C10" w:rsidRPr="002614E7" w:rsidRDefault="00556C10" w:rsidP="00556C10">
      <w:pPr>
        <w:spacing w:line="216" w:lineRule="auto"/>
        <w:rPr>
          <w:i/>
          <w:sz w:val="23"/>
          <w:szCs w:val="23"/>
        </w:rPr>
      </w:pPr>
      <w:r w:rsidRPr="002614E7">
        <w:rPr>
          <w:rFonts w:hint="cs"/>
          <w:i/>
          <w:sz w:val="23"/>
          <w:szCs w:val="23"/>
          <w:rtl/>
        </w:rPr>
        <w:lastRenderedPageBreak/>
        <w:t>لذا</w:t>
      </w:r>
      <w:r w:rsidRPr="002614E7">
        <w:rPr>
          <w:position w:val="-10"/>
        </w:rPr>
        <w:object w:dxaOrig="240" w:dyaOrig="320" w14:anchorId="70C2823D">
          <v:shape id="_x0000_i7018" type="#_x0000_t75" style="width:11.5pt;height:15.75pt" o:ole="">
            <v:imagedata r:id="rId12100" o:title=""/>
          </v:shape>
          <o:OLEObject Type="Embed" ProgID="Equation.DSMT4" ShapeID="_x0000_i7018" DrawAspect="Content" ObjectID="_1791380962" r:id="rId12101"/>
        </w:object>
      </w:r>
      <w:r w:rsidRPr="002614E7">
        <w:rPr>
          <w:rFonts w:hint="cs"/>
          <w:i/>
          <w:sz w:val="23"/>
          <w:szCs w:val="23"/>
          <w:rtl/>
        </w:rPr>
        <w:t xml:space="preserve"> بر اساس یک فرایند خودهمبسته‌ی مرتبه اول ایجاد می‌شود.</w:t>
      </w:r>
    </w:p>
    <w:p w14:paraId="7E31A32E" w14:textId="77777777" w:rsidR="00556C10" w:rsidRPr="002614E7" w:rsidRDefault="00556C10" w:rsidP="00556C10">
      <w:pPr>
        <w:bidi w:val="0"/>
        <w:spacing w:line="216" w:lineRule="auto"/>
        <w:rPr>
          <w:i/>
          <w:sz w:val="23"/>
          <w:szCs w:val="23"/>
          <w:rtl/>
        </w:rPr>
      </w:pPr>
      <w:r w:rsidRPr="002614E7">
        <w:rPr>
          <w:position w:val="-32"/>
        </w:rPr>
        <w:object w:dxaOrig="6320" w:dyaOrig="680" w14:anchorId="710B4915">
          <v:shape id="_x0000_i7019" type="#_x0000_t75" style="width:315.85pt;height:33.9pt" o:ole="">
            <v:imagedata r:id="rId12102" o:title=""/>
          </v:shape>
          <o:OLEObject Type="Embed" ProgID="Equation.DSMT4" ShapeID="_x0000_i7019" DrawAspect="Content" ObjectID="_1791380963" r:id="rId12103"/>
        </w:object>
      </w:r>
    </w:p>
    <w:p w14:paraId="514E2A73" w14:textId="77777777" w:rsidR="00556C10" w:rsidRPr="002614E7" w:rsidRDefault="00556C10" w:rsidP="00556C10">
      <w:pPr>
        <w:spacing w:line="216" w:lineRule="auto"/>
        <w:rPr>
          <w:i/>
          <w:sz w:val="23"/>
          <w:szCs w:val="23"/>
        </w:rPr>
      </w:pPr>
      <w:r w:rsidRPr="002614E7">
        <w:rPr>
          <w:rFonts w:hint="cs"/>
          <w:i/>
          <w:sz w:val="23"/>
          <w:szCs w:val="23"/>
          <w:rtl/>
        </w:rPr>
        <w:t>و چنانچه شوک‌ها ناهمبسته باشند آنگاه</w:t>
      </w:r>
    </w:p>
    <w:p w14:paraId="3EBF58AA" w14:textId="77777777" w:rsidR="00556C10" w:rsidRPr="002614E7" w:rsidRDefault="00556C10" w:rsidP="00556C10">
      <w:pPr>
        <w:bidi w:val="0"/>
        <w:spacing w:line="216" w:lineRule="auto"/>
        <w:rPr>
          <w:i/>
          <w:sz w:val="23"/>
          <w:szCs w:val="23"/>
          <w:rtl/>
        </w:rPr>
      </w:pPr>
      <w:r w:rsidRPr="002614E7">
        <w:rPr>
          <w:position w:val="-54"/>
        </w:rPr>
        <w:object w:dxaOrig="5720" w:dyaOrig="1180" w14:anchorId="58FF8C42">
          <v:shape id="_x0000_i7020" type="#_x0000_t75" style="width:286.2pt;height:58.7pt" o:ole="">
            <v:imagedata r:id="rId12104" o:title=""/>
          </v:shape>
          <o:OLEObject Type="Embed" ProgID="Equation.DSMT4" ShapeID="_x0000_i7020" DrawAspect="Content" ObjectID="_1791380964" r:id="rId12105"/>
        </w:object>
      </w:r>
      <w:r w:rsidRPr="002614E7">
        <w:rPr>
          <w:sz w:val="23"/>
          <w:szCs w:val="23"/>
          <w:rtl/>
        </w:rPr>
        <w:tab/>
      </w:r>
      <w:r w:rsidRPr="002614E7">
        <w:rPr>
          <w:rFonts w:hint="cs"/>
          <w:i/>
          <w:sz w:val="23"/>
          <w:szCs w:val="23"/>
          <w:rtl/>
        </w:rPr>
        <w:t>(۱۴. ۴۶)</w:t>
      </w:r>
    </w:p>
    <w:p w14:paraId="4DB95842" w14:textId="77777777" w:rsidR="00556C10" w:rsidRPr="002614E7" w:rsidRDefault="00556C10" w:rsidP="00556C10">
      <w:pPr>
        <w:spacing w:line="216" w:lineRule="auto"/>
        <w:rPr>
          <w:i/>
          <w:sz w:val="23"/>
          <w:szCs w:val="23"/>
          <w:rtl/>
        </w:rPr>
      </w:pPr>
      <w:r w:rsidRPr="002614E7">
        <w:rPr>
          <w:rFonts w:hint="cs"/>
          <w:i/>
          <w:sz w:val="23"/>
          <w:szCs w:val="23"/>
          <w:rtl/>
        </w:rPr>
        <w:t>به</w:t>
      </w:r>
      <w:r w:rsidRPr="002614E7">
        <w:rPr>
          <w:rFonts w:hint="cs"/>
          <w:i/>
          <w:sz w:val="23"/>
          <w:szCs w:val="23"/>
          <w:rtl/>
        </w:rPr>
        <w:softHyphen/>
        <w:t>طور خلاصه، در هدف‌‌گذاری تورم بر مبنای مدل کینزین جدید و سیاست پولی صلاحدیدی، افزایش در نرخ بهره باعث کاهش تورم می‌شود. همچنین اگر نرخ‌هایِ بهره‌یِ آتیِ پیش</w:t>
      </w:r>
      <w:r w:rsidRPr="002614E7">
        <w:rPr>
          <w:rFonts w:hint="cs"/>
          <w:i/>
          <w:sz w:val="23"/>
          <w:szCs w:val="23"/>
          <w:rtl/>
        </w:rPr>
        <w:softHyphen/>
        <w:t xml:space="preserve">بینی شده افزایش یابند، تورم کاهش خواهد یافت. در مقابل تحت شرایط التزام و تعهد به یک قاعده، اینکه تورم و تولید به صورت منحصر به فرد تعیین شوند بستگی به شدت پاسخ سیاست پولی به انحرافات تورم از هدف دارد. </w:t>
      </w:r>
    </w:p>
    <w:p w14:paraId="5A7BC866" w14:textId="77777777" w:rsidR="00556C10" w:rsidRPr="002614E7" w:rsidRDefault="00556C10" w:rsidP="00556C10">
      <w:pPr>
        <w:spacing w:line="216" w:lineRule="auto"/>
        <w:rPr>
          <w:i/>
          <w:sz w:val="23"/>
          <w:szCs w:val="23"/>
          <w:rtl/>
        </w:rPr>
      </w:pPr>
      <w:r w:rsidRPr="002614E7">
        <w:rPr>
          <w:rFonts w:hint="cs"/>
          <w:i/>
          <w:sz w:val="23"/>
          <w:szCs w:val="23"/>
          <w:rtl/>
        </w:rPr>
        <w:t>متوسط تورم برابر است با مقدار هدف‌‌گذاری شده آن. ضمناً با تنظیم دقیق پارامترهای ضابطه</w:t>
      </w:r>
      <w:r w:rsidRPr="002614E7">
        <w:rPr>
          <w:rFonts w:hint="cs"/>
          <w:i/>
          <w:sz w:val="23"/>
          <w:szCs w:val="23"/>
          <w:rtl/>
        </w:rPr>
        <w:softHyphen/>
        <w:t>ی تیلور، امکان حداقل کردن نوسانات تورم در اطراف مقادیر هدف‌‌گذاری شده</w:t>
      </w:r>
      <w:r w:rsidRPr="002614E7">
        <w:rPr>
          <w:rFonts w:hint="cs"/>
          <w:i/>
          <w:sz w:val="23"/>
          <w:szCs w:val="23"/>
          <w:rtl/>
        </w:rPr>
        <w:softHyphen/>
        <w:t>ی آن وجود دارد. در این مورد متعاقباً توضیحات بیشتری ارائه خواهد شد. تحت شرایط سیاست پولی صلاحدیدی، نرخ بهره باعث تغییرات شکاف تولید می‌شود و این شکاف دائمی است. اما، تحت شرایط تعهد شکاف تولید، به</w:t>
      </w:r>
      <w:r w:rsidRPr="002614E7">
        <w:rPr>
          <w:rFonts w:hint="cs"/>
          <w:i/>
          <w:sz w:val="23"/>
          <w:szCs w:val="23"/>
          <w:rtl/>
        </w:rPr>
        <w:softHyphen/>
        <w:t>طور متوسط برابر است با صفر و انحراف شکاف تولید از صفر ماندگار و دائمی نیست.</w:t>
      </w:r>
    </w:p>
    <w:p w14:paraId="59C3C486" w14:textId="77777777" w:rsidR="00556C10" w:rsidRPr="002614E7" w:rsidRDefault="00556C10" w:rsidP="00556C10">
      <w:pPr>
        <w:spacing w:line="216" w:lineRule="auto"/>
        <w:rPr>
          <w:i/>
          <w:sz w:val="23"/>
          <w:szCs w:val="23"/>
          <w:rtl/>
        </w:rPr>
      </w:pPr>
    </w:p>
    <w:p w14:paraId="46572FDB" w14:textId="77777777" w:rsidR="00556C10" w:rsidRPr="002614E7" w:rsidRDefault="00556C10" w:rsidP="00556C10">
      <w:pPr>
        <w:pStyle w:val="Heading1"/>
        <w:spacing w:before="0" w:line="216" w:lineRule="auto"/>
        <w:rPr>
          <w:rFonts w:ascii="Times New Roman" w:hAnsi="Times New Roman" w:cs="B Nazanin"/>
          <w:b w:val="0"/>
          <w:i/>
          <w:sz w:val="23"/>
          <w:szCs w:val="23"/>
        </w:rPr>
      </w:pPr>
      <w:r w:rsidRPr="002614E7">
        <w:rPr>
          <w:rFonts w:ascii="Times New Roman" w:hAnsi="Times New Roman" w:cs="B Nazanin" w:hint="cs"/>
          <w:b w:val="0"/>
          <w:i/>
          <w:sz w:val="23"/>
          <w:szCs w:val="23"/>
          <w:rtl/>
        </w:rPr>
        <w:t>۱۴. ۴. ۳ هدف‌‌گذاری تورم همراه با نرخ ارز شناور</w:t>
      </w:r>
    </w:p>
    <w:p w14:paraId="19D3C2F9" w14:textId="77777777" w:rsidR="00556C10" w:rsidRPr="002614E7" w:rsidRDefault="00556C10" w:rsidP="00556C10">
      <w:pPr>
        <w:spacing w:line="216" w:lineRule="auto"/>
        <w:rPr>
          <w:i/>
          <w:sz w:val="23"/>
          <w:szCs w:val="23"/>
          <w:rtl/>
        </w:rPr>
      </w:pPr>
      <w:r w:rsidRPr="002614E7">
        <w:rPr>
          <w:rFonts w:hint="cs"/>
          <w:i/>
          <w:sz w:val="23"/>
          <w:szCs w:val="23"/>
          <w:rtl/>
        </w:rPr>
        <w:t>چنانچه نرخ ارز شناور باشد، آنگاه در خصوص مکانیسم انتقال نرخ بهره بر تورم، کانال جدید دیگری برای نرخ بهره‌ی حقیقی ایجاد خواهد شد. این مسیر، اثر سیاست پولی را نسبت به قبل که فقط نرخ بهره</w:t>
      </w:r>
      <w:r w:rsidRPr="002614E7">
        <w:rPr>
          <w:rFonts w:hint="cs"/>
          <w:i/>
          <w:sz w:val="23"/>
          <w:szCs w:val="23"/>
          <w:rtl/>
        </w:rPr>
        <w:softHyphen/>
        <w:t>ی حقیقی (هزینه</w:t>
      </w:r>
      <w:r w:rsidRPr="002614E7">
        <w:rPr>
          <w:rFonts w:hint="cs"/>
          <w:i/>
          <w:sz w:val="23"/>
          <w:szCs w:val="23"/>
          <w:rtl/>
        </w:rPr>
        <w:softHyphen/>
        <w:t>ی سرمایه) را در نظر می‌گرفت قوی</w:t>
      </w:r>
      <w:r w:rsidRPr="002614E7">
        <w:rPr>
          <w:rFonts w:hint="cs"/>
          <w:i/>
          <w:sz w:val="23"/>
          <w:szCs w:val="23"/>
          <w:rtl/>
        </w:rPr>
        <w:softHyphen/>
        <w:t>تر خواهد ساخت. زیرا با در نظر گرفتن رابطه</w:t>
      </w:r>
      <w:r w:rsidRPr="002614E7">
        <w:rPr>
          <w:rFonts w:hint="cs"/>
          <w:i/>
          <w:sz w:val="23"/>
          <w:szCs w:val="23"/>
          <w:rtl/>
        </w:rPr>
        <w:softHyphen/>
        <w:t>ی برابری بهره</w:t>
      </w:r>
      <w:r w:rsidRPr="002614E7">
        <w:rPr>
          <w:rFonts w:hint="cs"/>
          <w:i/>
          <w:sz w:val="23"/>
          <w:szCs w:val="23"/>
          <w:rtl/>
        </w:rPr>
        <w:softHyphen/>
        <w:t>ی بدون پوشش، افزایش نرخ‌های بهره باعث کاهش قیمت ارز، بدتر شدن تراز تجاری و بنابراین کاهش تقاضای داخلی و تورم خواهد شد. این نتایج را به واسطه</w:t>
      </w:r>
      <w:r w:rsidRPr="002614E7">
        <w:rPr>
          <w:rFonts w:hint="cs"/>
          <w:i/>
          <w:sz w:val="23"/>
          <w:szCs w:val="23"/>
          <w:rtl/>
        </w:rPr>
        <w:softHyphen/>
        <w:t>ی مدلِ کینزینِ جدیدِ تعدیل</w:t>
      </w:r>
      <w:r w:rsidRPr="002614E7">
        <w:rPr>
          <w:rFonts w:hint="cs"/>
          <w:i/>
          <w:sz w:val="23"/>
          <w:szCs w:val="23"/>
          <w:rtl/>
        </w:rPr>
        <w:softHyphen/>
        <w:t>شده نشان خواهیم داد.</w:t>
      </w:r>
    </w:p>
    <w:p w14:paraId="6BEB78D6" w14:textId="77777777" w:rsidR="00556C10" w:rsidRPr="002614E7" w:rsidRDefault="00556C10" w:rsidP="00556C10">
      <w:pPr>
        <w:spacing w:line="216" w:lineRule="auto"/>
        <w:rPr>
          <w:i/>
          <w:sz w:val="23"/>
          <w:szCs w:val="23"/>
          <w:rtl/>
        </w:rPr>
      </w:pPr>
      <w:r w:rsidRPr="002614E7">
        <w:rPr>
          <w:rFonts w:hint="cs"/>
          <w:i/>
          <w:sz w:val="23"/>
          <w:szCs w:val="23"/>
          <w:rtl/>
        </w:rPr>
        <w:t xml:space="preserve">ابتدا همانند فصل هفتم معادله‌ی تولید را بدست می‌آوریم. فرض می‌کنیم دو نوع کالای مصرفی </w:t>
      </w:r>
      <w:r w:rsidRPr="002614E7">
        <w:rPr>
          <w:position w:val="-10"/>
        </w:rPr>
        <w:object w:dxaOrig="360" w:dyaOrig="340" w14:anchorId="5EB4B3E4">
          <v:shape id="_x0000_i7021" type="#_x0000_t75" style="width:18.15pt;height:16.95pt" o:ole="">
            <v:imagedata r:id="rId12106" o:title=""/>
          </v:shape>
          <o:OLEObject Type="Embed" ProgID="Equation.DSMT4" ShapeID="_x0000_i7021" DrawAspect="Content" ObjectID="_1791380965" r:id="rId12107"/>
        </w:object>
      </w:r>
      <w:r w:rsidRPr="002614E7">
        <w:rPr>
          <w:rFonts w:hint="cs"/>
          <w:i/>
          <w:sz w:val="23"/>
          <w:szCs w:val="23"/>
          <w:rtl/>
        </w:rPr>
        <w:t xml:space="preserve"> تولید شده در داخل و</w:t>
      </w:r>
      <w:r w:rsidRPr="002614E7">
        <w:rPr>
          <w:position w:val="-10"/>
        </w:rPr>
        <w:object w:dxaOrig="340" w:dyaOrig="340" w14:anchorId="55660B97">
          <v:shape id="_x0000_i7022" type="#_x0000_t75" style="width:16.95pt;height:16.95pt" o:ole="">
            <v:imagedata r:id="rId12108" o:title=""/>
          </v:shape>
          <o:OLEObject Type="Embed" ProgID="Equation.DSMT4" ShapeID="_x0000_i7022" DrawAspect="Content" ObjectID="_1791380966" r:id="rId12109"/>
        </w:object>
      </w:r>
      <w:r w:rsidRPr="002614E7">
        <w:rPr>
          <w:rFonts w:hint="cs"/>
          <w:i/>
          <w:sz w:val="23"/>
          <w:szCs w:val="23"/>
          <w:rtl/>
        </w:rPr>
        <w:t xml:space="preserve"> تولید شده در خارج وجود دارد. ضمناً این دو کالایِ مصرفی، با یکدیگر ترکیب شده تا کالای نهایی مصرفی خانوار را بوجود آورد. بنابراین</w:t>
      </w:r>
    </w:p>
    <w:p w14:paraId="4387944A" w14:textId="77777777" w:rsidR="00556C10" w:rsidRPr="002614E7" w:rsidRDefault="00556C10" w:rsidP="00556C10">
      <w:pPr>
        <w:bidi w:val="0"/>
        <w:spacing w:line="216" w:lineRule="auto"/>
        <w:rPr>
          <w:i/>
          <w:sz w:val="23"/>
          <w:szCs w:val="23"/>
          <w:rtl/>
        </w:rPr>
      </w:pPr>
      <w:r w:rsidRPr="002614E7">
        <w:rPr>
          <w:position w:val="-34"/>
        </w:rPr>
        <w:object w:dxaOrig="1780" w:dyaOrig="840" w14:anchorId="46D790EC">
          <v:shape id="_x0000_i7023" type="#_x0000_t75" style="width:88.95pt;height:41.75pt" o:ole="">
            <v:imagedata r:id="rId12110" o:title=""/>
          </v:shape>
          <o:OLEObject Type="Embed" ProgID="Equation.DSMT4" ShapeID="_x0000_i7023" DrawAspect="Content" ObjectID="_1791380967" r:id="rId12111"/>
        </w:object>
      </w:r>
    </w:p>
    <w:p w14:paraId="4350C01C" w14:textId="77777777" w:rsidR="00556C10" w:rsidRPr="002614E7" w:rsidRDefault="00556C10" w:rsidP="00556C10">
      <w:pPr>
        <w:spacing w:line="216" w:lineRule="auto"/>
        <w:rPr>
          <w:i/>
          <w:sz w:val="23"/>
          <w:szCs w:val="23"/>
        </w:rPr>
      </w:pPr>
      <w:r w:rsidRPr="002614E7">
        <w:rPr>
          <w:rFonts w:hint="cs"/>
          <w:i/>
          <w:sz w:val="23"/>
          <w:szCs w:val="23"/>
          <w:rtl/>
        </w:rPr>
        <w:lastRenderedPageBreak/>
        <w:t>فرض می‌شود خانوار بدنبال حداکثر کردن مطلوبیت تنزیل شده‌ی بین‌دوره‌ای بر حسب قید بودجه‌ی اسمی خود است. بنابراین</w:t>
      </w:r>
    </w:p>
    <w:p w14:paraId="0BE6DB3A" w14:textId="77777777" w:rsidR="00556C10" w:rsidRPr="002614E7" w:rsidRDefault="00556C10" w:rsidP="00556C10">
      <w:pPr>
        <w:bidi w:val="0"/>
        <w:spacing w:line="216" w:lineRule="auto"/>
        <w:rPr>
          <w:i/>
          <w:sz w:val="23"/>
          <w:szCs w:val="23"/>
          <w:rtl/>
        </w:rPr>
      </w:pPr>
      <w:r w:rsidRPr="002614E7">
        <w:rPr>
          <w:position w:val="-46"/>
        </w:rPr>
        <w:object w:dxaOrig="3240" w:dyaOrig="1320" w14:anchorId="56DF8B3E">
          <v:shape id="_x0000_i7024" type="#_x0000_t75" style="width:162.15pt;height:65.95pt" o:ole="">
            <v:imagedata r:id="rId12112" o:title=""/>
          </v:shape>
          <o:OLEObject Type="Embed" ProgID="Equation.DSMT4" ShapeID="_x0000_i7024" DrawAspect="Content" ObjectID="_1791380968" r:id="rId12113"/>
        </w:object>
      </w:r>
      <w:r w:rsidRPr="002614E7">
        <w:rPr>
          <w:rFonts w:hint="cs"/>
          <w:i/>
          <w:sz w:val="23"/>
          <w:szCs w:val="23"/>
          <w:rtl/>
        </w:rPr>
        <w:t xml:space="preserve"> </w:t>
      </w:r>
    </w:p>
    <w:p w14:paraId="3274E682" w14:textId="77777777" w:rsidR="00556C10" w:rsidRPr="002614E7" w:rsidRDefault="00556C10" w:rsidP="00556C10">
      <w:pPr>
        <w:spacing w:line="216" w:lineRule="auto"/>
        <w:rPr>
          <w:i/>
          <w:sz w:val="23"/>
          <w:szCs w:val="23"/>
          <w:rtl/>
        </w:rPr>
      </w:pPr>
      <w:r w:rsidRPr="002614E7">
        <w:rPr>
          <w:rFonts w:hint="cs"/>
          <w:i/>
          <w:sz w:val="23"/>
          <w:szCs w:val="23"/>
          <w:rtl/>
        </w:rPr>
        <w:t>که در آن</w:t>
      </w:r>
      <w:r w:rsidRPr="002614E7">
        <w:rPr>
          <w:position w:val="-10"/>
        </w:rPr>
        <w:object w:dxaOrig="279" w:dyaOrig="320" w14:anchorId="58EDBDBC">
          <v:shape id="_x0000_i7025" type="#_x0000_t75" style="width:13.9pt;height:15.75pt" o:ole="">
            <v:imagedata r:id="rId12114" o:title=""/>
          </v:shape>
          <o:OLEObject Type="Embed" ProgID="Equation.DSMT4" ShapeID="_x0000_i7025" DrawAspect="Content" ObjectID="_1791380969" r:id="rId12115"/>
        </w:object>
      </w:r>
      <w:r w:rsidRPr="002614E7">
        <w:rPr>
          <w:rFonts w:hint="cs"/>
          <w:i/>
          <w:sz w:val="23"/>
          <w:szCs w:val="23"/>
          <w:rtl/>
        </w:rPr>
        <w:t xml:space="preserve"> نرخ دستمزد،</w:t>
      </w:r>
      <w:r w:rsidRPr="002614E7">
        <w:rPr>
          <w:position w:val="-10"/>
        </w:rPr>
        <w:object w:dxaOrig="300" w:dyaOrig="320" w14:anchorId="3394CAEF">
          <v:shape id="_x0000_i7026" type="#_x0000_t75" style="width:14.5pt;height:15.75pt" o:ole="">
            <v:imagedata r:id="rId12116" o:title=""/>
          </v:shape>
          <o:OLEObject Type="Embed" ProgID="Equation.DSMT4" ShapeID="_x0000_i7026" DrawAspect="Content" ObjectID="_1791380970" r:id="rId12117"/>
        </w:object>
      </w:r>
      <w:r w:rsidRPr="002614E7">
        <w:rPr>
          <w:i/>
          <w:sz w:val="23"/>
          <w:szCs w:val="23"/>
        </w:rPr>
        <w:t xml:space="preserve"> </w:t>
      </w:r>
      <w:r w:rsidRPr="002614E7">
        <w:rPr>
          <w:rFonts w:hint="cs"/>
          <w:i/>
          <w:sz w:val="23"/>
          <w:szCs w:val="23"/>
          <w:rtl/>
        </w:rPr>
        <w:t>اشتغال،</w:t>
      </w:r>
      <w:r w:rsidRPr="002614E7">
        <w:rPr>
          <w:position w:val="-10"/>
        </w:rPr>
        <w:object w:dxaOrig="279" w:dyaOrig="320" w14:anchorId="6E3A1367">
          <v:shape id="_x0000_i7027" type="#_x0000_t75" style="width:13.9pt;height:15.75pt" o:ole="">
            <v:imagedata r:id="rId12118" o:title=""/>
          </v:shape>
          <o:OLEObject Type="Embed" ProgID="Equation.DSMT4" ShapeID="_x0000_i7027" DrawAspect="Content" ObjectID="_1791380971" r:id="rId12119"/>
        </w:object>
      </w:r>
      <w:r w:rsidRPr="002614E7">
        <w:rPr>
          <w:i/>
          <w:sz w:val="23"/>
          <w:szCs w:val="23"/>
        </w:rPr>
        <w:t xml:space="preserve"> </w:t>
      </w:r>
      <w:r w:rsidRPr="002614E7">
        <w:rPr>
          <w:rFonts w:hint="cs"/>
          <w:i/>
          <w:sz w:val="23"/>
          <w:szCs w:val="23"/>
          <w:rtl/>
        </w:rPr>
        <w:t>دارایی‌های اسمی،</w:t>
      </w:r>
      <w:r w:rsidRPr="002614E7">
        <w:rPr>
          <w:position w:val="-10"/>
        </w:rPr>
        <w:object w:dxaOrig="279" w:dyaOrig="320" w14:anchorId="45075BCA">
          <v:shape id="_x0000_i7028" type="#_x0000_t75" style="width:13.9pt;height:15.75pt" o:ole="">
            <v:imagedata r:id="rId12120" o:title=""/>
          </v:shape>
          <o:OLEObject Type="Embed" ProgID="Equation.DSMT4" ShapeID="_x0000_i7028" DrawAspect="Content" ObjectID="_1791380972" r:id="rId12121"/>
        </w:object>
      </w:r>
      <w:r w:rsidRPr="002614E7">
        <w:rPr>
          <w:rFonts w:hint="cs"/>
          <w:i/>
          <w:sz w:val="23"/>
          <w:szCs w:val="23"/>
          <w:rtl/>
        </w:rPr>
        <w:t xml:space="preserve"> نرخ بهره‌ی اسمی بدون ریسک،</w:t>
      </w:r>
      <w:r w:rsidRPr="002614E7">
        <w:rPr>
          <w:position w:val="-10"/>
        </w:rPr>
        <w:object w:dxaOrig="240" w:dyaOrig="320" w14:anchorId="46593A83">
          <v:shape id="_x0000_i7029" type="#_x0000_t75" style="width:11.5pt;height:15.75pt" o:ole="">
            <v:imagedata r:id="rId12122" o:title=""/>
          </v:shape>
          <o:OLEObject Type="Embed" ProgID="Equation.DSMT4" ShapeID="_x0000_i7029" DrawAspect="Content" ObjectID="_1791380973" r:id="rId12123"/>
        </w:object>
      </w:r>
      <w:r w:rsidRPr="002614E7">
        <w:rPr>
          <w:rFonts w:hint="cs"/>
          <w:i/>
          <w:sz w:val="23"/>
          <w:szCs w:val="23"/>
          <w:rtl/>
        </w:rPr>
        <w:t>،</w:t>
      </w:r>
      <w:r w:rsidRPr="002614E7">
        <w:rPr>
          <w:position w:val="-10"/>
        </w:rPr>
        <w:object w:dxaOrig="360" w:dyaOrig="340" w14:anchorId="68267D2B">
          <v:shape id="_x0000_i7030" type="#_x0000_t75" style="width:18.15pt;height:16.95pt" o:ole="">
            <v:imagedata r:id="rId12124" o:title=""/>
          </v:shape>
          <o:OLEObject Type="Embed" ProgID="Equation.DSMT4" ShapeID="_x0000_i7030" DrawAspect="Content" ObjectID="_1791380974" r:id="rId12125"/>
        </w:object>
      </w:r>
      <w:r w:rsidRPr="002614E7">
        <w:rPr>
          <w:rFonts w:hint="cs"/>
          <w:i/>
          <w:sz w:val="23"/>
          <w:szCs w:val="23"/>
          <w:rtl/>
        </w:rPr>
        <w:t xml:space="preserve"> و</w:t>
      </w:r>
      <w:r w:rsidRPr="002614E7">
        <w:rPr>
          <w:position w:val="-10"/>
        </w:rPr>
        <w:object w:dxaOrig="340" w:dyaOrig="340" w14:anchorId="279CC2B3">
          <v:shape id="_x0000_i7031" type="#_x0000_t75" style="width:16.95pt;height:16.95pt" o:ole="">
            <v:imagedata r:id="rId12126" o:title=""/>
          </v:shape>
          <o:OLEObject Type="Embed" ProgID="Equation.DSMT4" ShapeID="_x0000_i7031" DrawAspect="Content" ObjectID="_1791380975" r:id="rId12127"/>
        </w:object>
      </w:r>
      <w:r w:rsidRPr="002614E7">
        <w:rPr>
          <w:i/>
          <w:sz w:val="23"/>
          <w:szCs w:val="23"/>
        </w:rPr>
        <w:t xml:space="preserve"> </w:t>
      </w:r>
      <w:r w:rsidRPr="002614E7">
        <w:rPr>
          <w:rFonts w:hint="cs"/>
          <w:i/>
          <w:sz w:val="23"/>
          <w:szCs w:val="23"/>
          <w:rtl/>
        </w:rPr>
        <w:t>قیمت‌ مصرف کل، قیمت مصرف تولید شده در داخل، و قیمت مصرف تولید شده در خارج بر حسب قیمت‌های داخلی است. ضمناً</w:t>
      </w:r>
      <w:r w:rsidRPr="002614E7">
        <w:rPr>
          <w:position w:val="-10"/>
        </w:rPr>
        <w:object w:dxaOrig="1080" w:dyaOrig="340" w14:anchorId="43E60BF8">
          <v:shape id="_x0000_i7032" type="#_x0000_t75" style="width:54.45pt;height:16.95pt" o:ole="">
            <v:imagedata r:id="rId12128" o:title=""/>
          </v:shape>
          <o:OLEObject Type="Embed" ProgID="Equation.DSMT4" ShapeID="_x0000_i7032" DrawAspect="Content" ObjectID="_1791380976" r:id="rId12129"/>
        </w:object>
      </w:r>
      <w:r w:rsidRPr="002614E7">
        <w:rPr>
          <w:rFonts w:hint="cs"/>
          <w:i/>
          <w:sz w:val="23"/>
          <w:szCs w:val="23"/>
          <w:rtl/>
        </w:rPr>
        <w:t xml:space="preserve"> که درآن</w:t>
      </w:r>
      <w:r w:rsidRPr="002614E7">
        <w:rPr>
          <w:position w:val="-10"/>
        </w:rPr>
        <w:object w:dxaOrig="360" w:dyaOrig="340" w14:anchorId="6B65F2BF">
          <v:shape id="_x0000_i7033" type="#_x0000_t75" style="width:18.15pt;height:16.95pt" o:ole="">
            <v:imagedata r:id="rId12130" o:title=""/>
          </v:shape>
          <o:OLEObject Type="Embed" ProgID="Equation.DSMT4" ShapeID="_x0000_i7033" DrawAspect="Content" ObjectID="_1791380977" r:id="rId12131"/>
        </w:object>
      </w:r>
      <w:r w:rsidRPr="002614E7">
        <w:rPr>
          <w:rFonts w:hint="cs"/>
          <w:i/>
          <w:sz w:val="23"/>
          <w:szCs w:val="23"/>
          <w:rtl/>
        </w:rPr>
        <w:t xml:space="preserve"> قیمت جهانی بر حسب پول خارجی است و</w:t>
      </w:r>
      <w:r w:rsidRPr="002614E7">
        <w:rPr>
          <w:position w:val="-10"/>
        </w:rPr>
        <w:object w:dxaOrig="260" w:dyaOrig="320" w14:anchorId="411E786E">
          <v:shape id="_x0000_i7034" type="#_x0000_t75" style="width:13.3pt;height:15.75pt" o:ole="">
            <v:imagedata r:id="rId12132" o:title=""/>
          </v:shape>
          <o:OLEObject Type="Embed" ProgID="Equation.DSMT4" ShapeID="_x0000_i7034" DrawAspect="Content" ObjectID="_1791380978" r:id="rId12133"/>
        </w:object>
      </w:r>
      <w:r w:rsidRPr="002614E7">
        <w:rPr>
          <w:i/>
          <w:sz w:val="23"/>
          <w:szCs w:val="23"/>
        </w:rPr>
        <w:t xml:space="preserve"> </w:t>
      </w:r>
      <w:r w:rsidRPr="002614E7">
        <w:rPr>
          <w:rFonts w:hint="cs"/>
          <w:i/>
          <w:sz w:val="23"/>
          <w:szCs w:val="23"/>
          <w:rtl/>
        </w:rPr>
        <w:t xml:space="preserve">نرخ ارز بر حسب پول داخلی است. </w:t>
      </w:r>
    </w:p>
    <w:p w14:paraId="49BBEA09" w14:textId="77777777" w:rsidR="00556C10" w:rsidRPr="002614E7" w:rsidRDefault="00556C10" w:rsidP="00556C10">
      <w:pPr>
        <w:spacing w:line="216" w:lineRule="auto"/>
        <w:rPr>
          <w:i/>
          <w:sz w:val="23"/>
          <w:szCs w:val="23"/>
          <w:rtl/>
        </w:rPr>
      </w:pPr>
      <w:r w:rsidRPr="002614E7">
        <w:rPr>
          <w:rFonts w:hint="cs"/>
          <w:i/>
          <w:sz w:val="23"/>
          <w:szCs w:val="23"/>
          <w:rtl/>
        </w:rPr>
        <w:t>حل این مسئله بر حسب لگاریتم متغیرها که با حروف کوچک نوشته شده است عبارت است از</w:t>
      </w:r>
    </w:p>
    <w:p w14:paraId="490E28D2" w14:textId="77777777" w:rsidR="00556C10" w:rsidRPr="002614E7" w:rsidRDefault="00556C10" w:rsidP="00556C10">
      <w:pPr>
        <w:bidi w:val="0"/>
        <w:spacing w:line="216" w:lineRule="auto"/>
        <w:rPr>
          <w:i/>
          <w:sz w:val="23"/>
          <w:szCs w:val="23"/>
          <w:rtl/>
        </w:rPr>
      </w:pPr>
      <w:r w:rsidRPr="002614E7">
        <w:rPr>
          <w:position w:val="-108"/>
        </w:rPr>
        <w:object w:dxaOrig="3900" w:dyaOrig="2260" w14:anchorId="48FEF54B">
          <v:shape id="_x0000_i7035" type="#_x0000_t75" style="width:194.8pt;height:113.15pt" o:ole="">
            <v:imagedata r:id="rId12134" o:title=""/>
          </v:shape>
          <o:OLEObject Type="Embed" ProgID="Equation.DSMT4" ShapeID="_x0000_i7035" DrawAspect="Content" ObjectID="_1791380979" r:id="rId12135"/>
        </w:object>
      </w:r>
    </w:p>
    <w:p w14:paraId="3F40DA0E" w14:textId="77777777" w:rsidR="00556C10" w:rsidRPr="002614E7" w:rsidRDefault="00556C10" w:rsidP="00556C10">
      <w:pPr>
        <w:spacing w:line="216" w:lineRule="auto"/>
        <w:rPr>
          <w:i/>
          <w:sz w:val="23"/>
          <w:szCs w:val="23"/>
        </w:rPr>
      </w:pPr>
      <w:r w:rsidRPr="002614E7">
        <w:rPr>
          <w:rFonts w:hint="cs"/>
          <w:i/>
          <w:sz w:val="23"/>
          <w:szCs w:val="23"/>
          <w:rtl/>
        </w:rPr>
        <w:t>که در آن</w:t>
      </w:r>
      <w:r w:rsidRPr="002614E7">
        <w:rPr>
          <w:position w:val="-10"/>
        </w:rPr>
        <w:object w:dxaOrig="1660" w:dyaOrig="320" w14:anchorId="78151635">
          <v:shape id="_x0000_i7036" type="#_x0000_t75" style="width:82.9pt;height:15.75pt" o:ole="">
            <v:imagedata r:id="rId12136" o:title=""/>
          </v:shape>
          <o:OLEObject Type="Embed" ProgID="Equation.DSMT4" ShapeID="_x0000_i7036" DrawAspect="Content" ObjectID="_1791380980" r:id="rId12137"/>
        </w:object>
      </w:r>
      <w:r w:rsidRPr="002614E7">
        <w:rPr>
          <w:i/>
          <w:sz w:val="23"/>
          <w:szCs w:val="23"/>
        </w:rPr>
        <w:t>.</w:t>
      </w:r>
      <w:r w:rsidRPr="002614E7">
        <w:rPr>
          <w:rFonts w:hint="cs"/>
          <w:i/>
          <w:sz w:val="23"/>
          <w:szCs w:val="23"/>
          <w:rtl/>
        </w:rPr>
        <w:t xml:space="preserve"> اگر تمام تولیدات داخلی</w:t>
      </w:r>
      <w:r w:rsidRPr="002614E7">
        <w:rPr>
          <w:position w:val="-10"/>
        </w:rPr>
        <w:object w:dxaOrig="240" w:dyaOrig="320" w14:anchorId="5C01F8E5">
          <v:shape id="_x0000_i7037" type="#_x0000_t75" style="width:11.5pt;height:15.75pt" o:ole="">
            <v:imagedata r:id="rId12138" o:title=""/>
          </v:shape>
          <o:OLEObject Type="Embed" ProgID="Equation.DSMT4" ShapeID="_x0000_i7037" DrawAspect="Content" ObjectID="_1791380981" r:id="rId12139"/>
        </w:object>
      </w:r>
      <w:r w:rsidRPr="002614E7">
        <w:rPr>
          <w:rFonts w:hint="cs"/>
          <w:i/>
          <w:sz w:val="23"/>
          <w:szCs w:val="23"/>
          <w:rtl/>
        </w:rPr>
        <w:t xml:space="preserve"> در داخل کشور مصرف شوند، آنگاه</w:t>
      </w:r>
      <w:r w:rsidRPr="002614E7">
        <w:rPr>
          <w:position w:val="-10"/>
        </w:rPr>
        <w:object w:dxaOrig="700" w:dyaOrig="340" w14:anchorId="52B65CF4">
          <v:shape id="_x0000_i7038" type="#_x0000_t75" style="width:35.1pt;height:16.95pt" o:ole="">
            <v:imagedata r:id="rId12140" o:title=""/>
          </v:shape>
          <o:OLEObject Type="Embed" ProgID="Equation.DSMT4" ShapeID="_x0000_i7038" DrawAspect="Content" ObjectID="_1791380982" r:id="rId12141"/>
        </w:object>
      </w:r>
      <w:r w:rsidRPr="002614E7">
        <w:rPr>
          <w:rFonts w:hint="cs"/>
          <w:i/>
          <w:sz w:val="23"/>
          <w:szCs w:val="23"/>
          <w:rtl/>
        </w:rPr>
        <w:t xml:space="preserve"> و بنابراین</w:t>
      </w:r>
    </w:p>
    <w:p w14:paraId="35FA15CA" w14:textId="77777777" w:rsidR="00556C10" w:rsidRPr="002614E7" w:rsidRDefault="00556C10" w:rsidP="00556C10">
      <w:pPr>
        <w:bidi w:val="0"/>
        <w:spacing w:line="216" w:lineRule="auto"/>
        <w:rPr>
          <w:i/>
          <w:sz w:val="23"/>
          <w:szCs w:val="23"/>
          <w:rtl/>
        </w:rPr>
      </w:pPr>
      <w:r w:rsidRPr="002614E7">
        <w:rPr>
          <w:position w:val="-26"/>
        </w:rPr>
        <w:object w:dxaOrig="4720" w:dyaOrig="600" w14:anchorId="3918EED5">
          <v:shape id="_x0000_i7039" type="#_x0000_t75" style="width:235.95pt;height:29.65pt" o:ole="">
            <v:imagedata r:id="rId12142" o:title=""/>
          </v:shape>
          <o:OLEObject Type="Embed" ProgID="Equation.DSMT4" ShapeID="_x0000_i7039" DrawAspect="Content" ObjectID="_1791380983" r:id="rId12143"/>
        </w:object>
      </w:r>
    </w:p>
    <w:p w14:paraId="5622C3E4" w14:textId="77777777" w:rsidR="00556C10" w:rsidRPr="002614E7" w:rsidRDefault="00556C10" w:rsidP="00556C10">
      <w:pPr>
        <w:spacing w:line="216" w:lineRule="auto"/>
        <w:rPr>
          <w:i/>
          <w:sz w:val="23"/>
          <w:szCs w:val="23"/>
        </w:rPr>
      </w:pPr>
      <w:r w:rsidRPr="002614E7">
        <w:rPr>
          <w:rFonts w:hint="cs"/>
          <w:i/>
          <w:sz w:val="23"/>
          <w:szCs w:val="23"/>
          <w:rtl/>
        </w:rPr>
        <w:t>که در آن</w:t>
      </w:r>
      <w:r w:rsidRPr="002614E7">
        <w:rPr>
          <w:position w:val="-10"/>
        </w:rPr>
        <w:object w:dxaOrig="940" w:dyaOrig="340" w14:anchorId="0C8F3454">
          <v:shape id="_x0000_i7040" type="#_x0000_t75" style="width:47.2pt;height:16.95pt" o:ole="">
            <v:imagedata r:id="rId12144" o:title=""/>
          </v:shape>
          <o:OLEObject Type="Embed" ProgID="Equation.DSMT4" ShapeID="_x0000_i7040" DrawAspect="Content" ObjectID="_1791380984" r:id="rId12145"/>
        </w:object>
      </w:r>
      <w:r w:rsidRPr="002614E7">
        <w:rPr>
          <w:rFonts w:hint="cs"/>
          <w:i/>
          <w:sz w:val="23"/>
          <w:szCs w:val="23"/>
          <w:rtl/>
        </w:rPr>
        <w:t xml:space="preserve"> است</w:t>
      </w:r>
      <w:r w:rsidRPr="002614E7">
        <w:rPr>
          <w:i/>
          <w:sz w:val="23"/>
          <w:szCs w:val="23"/>
        </w:rPr>
        <w:t>.</w:t>
      </w:r>
      <w:r w:rsidRPr="002614E7">
        <w:rPr>
          <w:rFonts w:hint="cs"/>
          <w:i/>
          <w:sz w:val="23"/>
          <w:szCs w:val="23"/>
          <w:rtl/>
        </w:rPr>
        <w:t xml:space="preserve"> با تفاضل رابطه‌ی فوق از مقادیر تعادلی بلند‌مدت، معادله‌ی </w:t>
      </w:r>
      <w:r w:rsidRPr="002614E7">
        <w:rPr>
          <w:i/>
          <w:sz w:val="23"/>
          <w:szCs w:val="23"/>
        </w:rPr>
        <w:t>IS</w:t>
      </w:r>
      <w:r w:rsidRPr="002614E7">
        <w:rPr>
          <w:rFonts w:hint="cs"/>
          <w:i/>
          <w:sz w:val="23"/>
          <w:szCs w:val="23"/>
          <w:rtl/>
        </w:rPr>
        <w:t xml:space="preserve"> کینزین جدید در اقتصاد باز بدست می‌آید. یعنی</w:t>
      </w:r>
    </w:p>
    <w:p w14:paraId="0EC1F60C" w14:textId="77777777" w:rsidR="00556C10" w:rsidRPr="002614E7" w:rsidRDefault="00556C10" w:rsidP="00556C10">
      <w:pPr>
        <w:bidi w:val="0"/>
        <w:spacing w:line="216" w:lineRule="auto"/>
        <w:rPr>
          <w:i/>
          <w:sz w:val="23"/>
          <w:szCs w:val="23"/>
          <w:rtl/>
        </w:rPr>
      </w:pPr>
      <w:r w:rsidRPr="002614E7">
        <w:rPr>
          <w:position w:val="-54"/>
        </w:rPr>
        <w:object w:dxaOrig="4540" w:dyaOrig="1180" w14:anchorId="6CD730E9">
          <v:shape id="_x0000_i7041" type="#_x0000_t75" style="width:226.9pt;height:58.7pt" o:ole="">
            <v:imagedata r:id="rId12146" o:title=""/>
          </v:shape>
          <o:OLEObject Type="Embed" ProgID="Equation.DSMT4" ShapeID="_x0000_i7041" DrawAspect="Content" ObjectID="_1791380985" r:id="rId12147"/>
        </w:object>
      </w:r>
      <w:r w:rsidRPr="002614E7">
        <w:rPr>
          <w:i/>
          <w:sz w:val="23"/>
          <w:szCs w:val="23"/>
          <w:rtl/>
        </w:rPr>
        <w:tab/>
      </w:r>
      <w:r w:rsidRPr="002614E7">
        <w:rPr>
          <w:i/>
          <w:sz w:val="23"/>
          <w:szCs w:val="23"/>
          <w:rtl/>
        </w:rPr>
        <w:tab/>
      </w:r>
      <w:r>
        <w:rPr>
          <w:i/>
          <w:sz w:val="23"/>
          <w:szCs w:val="23"/>
          <w:rtl/>
        </w:rPr>
        <w:tab/>
      </w:r>
      <w:r>
        <w:rPr>
          <w:i/>
          <w:sz w:val="23"/>
          <w:szCs w:val="23"/>
          <w:rtl/>
        </w:rPr>
        <w:tab/>
      </w:r>
      <w:r w:rsidRPr="002614E7">
        <w:rPr>
          <w:i/>
          <w:sz w:val="23"/>
          <w:szCs w:val="23"/>
          <w:rtl/>
        </w:rPr>
        <w:tab/>
      </w:r>
      <w:r w:rsidRPr="002614E7">
        <w:rPr>
          <w:i/>
          <w:sz w:val="23"/>
          <w:szCs w:val="23"/>
          <w:rtl/>
        </w:rPr>
        <w:tab/>
      </w:r>
      <w:r w:rsidRPr="002614E7">
        <w:rPr>
          <w:rFonts w:hint="cs"/>
          <w:i/>
          <w:sz w:val="23"/>
          <w:szCs w:val="23"/>
          <w:rtl/>
        </w:rPr>
        <w:t>(۱۴. ۴۷)</w:t>
      </w:r>
      <w:r w:rsidRPr="002614E7">
        <w:rPr>
          <w:i/>
          <w:sz w:val="23"/>
          <w:szCs w:val="23"/>
        </w:rPr>
        <w:t xml:space="preserve"> </w:t>
      </w:r>
    </w:p>
    <w:p w14:paraId="4208D345" w14:textId="77777777" w:rsidR="00556C10" w:rsidRPr="002614E7" w:rsidRDefault="00556C10" w:rsidP="00556C10">
      <w:pPr>
        <w:spacing w:line="216" w:lineRule="auto"/>
        <w:rPr>
          <w:i/>
          <w:sz w:val="23"/>
          <w:szCs w:val="23"/>
          <w:rtl/>
        </w:rPr>
      </w:pPr>
      <w:r w:rsidRPr="002614E7">
        <w:rPr>
          <w:rFonts w:hint="cs"/>
          <w:i/>
          <w:sz w:val="23"/>
          <w:szCs w:val="23"/>
          <w:rtl/>
        </w:rPr>
        <w:t xml:space="preserve">و بدان جزء اخلال </w:t>
      </w:r>
      <w:r w:rsidRPr="002614E7">
        <w:rPr>
          <w:position w:val="-10"/>
        </w:rPr>
        <w:object w:dxaOrig="279" w:dyaOrig="320" w14:anchorId="167C55E8">
          <v:shape id="_x0000_i7042" type="#_x0000_t75" style="width:13.9pt;height:15.75pt" o:ole="">
            <v:imagedata r:id="rId12148" o:title=""/>
          </v:shape>
          <o:OLEObject Type="Embed" ProgID="Equation.DSMT4" ShapeID="_x0000_i7042" DrawAspect="Content" ObjectID="_1791380986" r:id="rId12149"/>
        </w:object>
      </w:r>
      <w:r w:rsidRPr="002614E7">
        <w:rPr>
          <w:rFonts w:hint="cs"/>
          <w:i/>
          <w:sz w:val="23"/>
          <w:szCs w:val="23"/>
          <w:rtl/>
        </w:rPr>
        <w:t xml:space="preserve"> اضافه شده و </w:t>
      </w:r>
      <w:r w:rsidRPr="002614E7">
        <w:rPr>
          <w:position w:val="-10"/>
        </w:rPr>
        <w:object w:dxaOrig="240" w:dyaOrig="320" w14:anchorId="3AF8511D">
          <v:shape id="_x0000_i7043" type="#_x0000_t75" style="width:11.5pt;height:15.75pt" o:ole="">
            <v:imagedata r:id="rId12150" o:title=""/>
          </v:shape>
          <o:OLEObject Type="Embed" ProgID="Equation.DSMT4" ShapeID="_x0000_i7043" DrawAspect="Content" ObjectID="_1791380987" r:id="rId12151"/>
        </w:object>
      </w:r>
      <w:r w:rsidRPr="002614E7">
        <w:rPr>
          <w:rFonts w:hint="cs"/>
          <w:i/>
          <w:sz w:val="23"/>
          <w:szCs w:val="23"/>
          <w:rtl/>
        </w:rPr>
        <w:t xml:space="preserve"> برابر است با شکاف تولید یا انحراف تولید از مقادیر تعادلی خود. </w:t>
      </w:r>
    </w:p>
    <w:p w14:paraId="679DDEA6" w14:textId="77777777" w:rsidR="00556C10" w:rsidRPr="002614E7" w:rsidRDefault="00556C10" w:rsidP="00556C10">
      <w:pPr>
        <w:spacing w:line="216" w:lineRule="auto"/>
        <w:rPr>
          <w:i/>
          <w:sz w:val="23"/>
          <w:szCs w:val="23"/>
          <w:rtl/>
        </w:rPr>
      </w:pPr>
      <w:r w:rsidRPr="002614E7">
        <w:rPr>
          <w:rFonts w:hint="cs"/>
          <w:i/>
          <w:sz w:val="23"/>
          <w:szCs w:val="23"/>
          <w:rtl/>
        </w:rPr>
        <w:t>معادله‌ی تورم کینزین جدیدِ اقتصاد باز که در فصل نهم بدست آمد، از معادله‌ی (۱۴. ۳۰) استخراج می‌شود و به‌عنوان معادله</w:t>
      </w:r>
      <w:r w:rsidRPr="002614E7">
        <w:rPr>
          <w:rFonts w:hint="cs"/>
          <w:i/>
          <w:sz w:val="23"/>
          <w:szCs w:val="23"/>
          <w:rtl/>
        </w:rPr>
        <w:softHyphen/>
        <w:t>ی تعیین قیمت‌های کالاهای تولید شده در داخل تفسیر می‌شود. بنابراین</w:t>
      </w:r>
    </w:p>
    <w:p w14:paraId="2E736551" w14:textId="77777777" w:rsidR="00556C10" w:rsidRPr="002614E7" w:rsidRDefault="00556C10" w:rsidP="00556C10">
      <w:pPr>
        <w:bidi w:val="0"/>
        <w:spacing w:line="216" w:lineRule="auto"/>
        <w:rPr>
          <w:i/>
          <w:sz w:val="23"/>
          <w:szCs w:val="23"/>
          <w:rtl/>
        </w:rPr>
      </w:pPr>
      <w:r w:rsidRPr="002614E7">
        <w:rPr>
          <w:position w:val="-12"/>
        </w:rPr>
        <w:object w:dxaOrig="3320" w:dyaOrig="360" w14:anchorId="634CA956">
          <v:shape id="_x0000_i7044" type="#_x0000_t75" style="width:165.8pt;height:18.15pt" o:ole="">
            <v:imagedata r:id="rId12152" o:title=""/>
          </v:shape>
          <o:OLEObject Type="Embed" ProgID="Equation.DSMT4" ShapeID="_x0000_i7044" DrawAspect="Content" ObjectID="_1791380988" r:id="rId12153"/>
        </w:object>
      </w:r>
      <w:r w:rsidRPr="002614E7">
        <w:rPr>
          <w:i/>
          <w:sz w:val="23"/>
          <w:szCs w:val="23"/>
        </w:rPr>
        <w:tab/>
      </w:r>
      <w:r w:rsidRPr="002614E7">
        <w:rPr>
          <w:rFonts w:hint="cs"/>
          <w:i/>
          <w:sz w:val="23"/>
          <w:szCs w:val="23"/>
          <w:rtl/>
        </w:rPr>
        <w:t xml:space="preserve"> </w:t>
      </w:r>
      <w:r w:rsidRPr="002614E7">
        <w:rPr>
          <w:rFonts w:hint="cs"/>
          <w:i/>
          <w:sz w:val="23"/>
          <w:szCs w:val="23"/>
          <w:rtl/>
        </w:rPr>
        <w:tab/>
        <w:t xml:space="preserve"> </w:t>
      </w:r>
      <w:r w:rsidRPr="002614E7">
        <w:rPr>
          <w:rFonts w:hint="cs"/>
          <w:i/>
          <w:sz w:val="23"/>
          <w:szCs w:val="23"/>
          <w:rtl/>
        </w:rPr>
        <w:tab/>
      </w:r>
      <w:r w:rsidRPr="002614E7">
        <w:rPr>
          <w:rFonts w:hint="cs"/>
          <w:i/>
          <w:sz w:val="23"/>
          <w:szCs w:val="23"/>
          <w:rtl/>
        </w:rPr>
        <w:tab/>
      </w:r>
      <w:r w:rsidRPr="002614E7">
        <w:rPr>
          <w:i/>
          <w:sz w:val="23"/>
          <w:szCs w:val="23"/>
        </w:rPr>
        <w:tab/>
      </w:r>
      <w:r w:rsidRPr="002614E7">
        <w:rPr>
          <w:i/>
          <w:sz w:val="23"/>
          <w:szCs w:val="23"/>
        </w:rPr>
        <w:tab/>
      </w:r>
      <w:r w:rsidRPr="002614E7">
        <w:rPr>
          <w:i/>
          <w:sz w:val="23"/>
          <w:szCs w:val="23"/>
          <w:rtl/>
        </w:rPr>
        <w:tab/>
      </w:r>
      <w:r w:rsidRPr="002614E7">
        <w:rPr>
          <w:i/>
          <w:sz w:val="23"/>
          <w:szCs w:val="23"/>
        </w:rPr>
        <w:tab/>
      </w:r>
      <w:r>
        <w:rPr>
          <w:i/>
          <w:sz w:val="23"/>
          <w:szCs w:val="23"/>
          <w:rtl/>
        </w:rPr>
        <w:tab/>
      </w:r>
      <w:r w:rsidRPr="002614E7">
        <w:rPr>
          <w:rFonts w:hint="cs"/>
          <w:i/>
          <w:sz w:val="23"/>
          <w:szCs w:val="23"/>
          <w:rtl/>
        </w:rPr>
        <w:tab/>
        <w:t>(۱۴. ۴۸)</w:t>
      </w:r>
      <w:r w:rsidRPr="002614E7">
        <w:rPr>
          <w:i/>
          <w:sz w:val="23"/>
          <w:szCs w:val="23"/>
        </w:rPr>
        <w:t xml:space="preserve"> </w:t>
      </w:r>
    </w:p>
    <w:p w14:paraId="1C029431" w14:textId="77777777" w:rsidR="00556C10" w:rsidRPr="002614E7" w:rsidRDefault="00556C10" w:rsidP="00556C10">
      <w:pPr>
        <w:spacing w:line="216" w:lineRule="auto"/>
        <w:rPr>
          <w:i/>
          <w:sz w:val="23"/>
          <w:szCs w:val="23"/>
          <w:rtl/>
        </w:rPr>
      </w:pPr>
      <w:r w:rsidRPr="002614E7">
        <w:rPr>
          <w:rFonts w:hint="cs"/>
          <w:i/>
          <w:sz w:val="23"/>
          <w:szCs w:val="23"/>
          <w:rtl/>
        </w:rPr>
        <w:lastRenderedPageBreak/>
        <w:t xml:space="preserve">از آنجا که تورمِ مصرف کننده، متوسط وزنی نرخ تورم کالاهای داخلی و وارداتی است لذا </w:t>
      </w:r>
    </w:p>
    <w:p w14:paraId="29FBE562" w14:textId="77777777" w:rsidR="00556C10" w:rsidRPr="002614E7" w:rsidRDefault="00556C10" w:rsidP="00556C10">
      <w:pPr>
        <w:bidi w:val="0"/>
        <w:spacing w:line="216" w:lineRule="auto"/>
        <w:rPr>
          <w:i/>
          <w:sz w:val="23"/>
          <w:szCs w:val="23"/>
          <w:rtl/>
        </w:rPr>
      </w:pPr>
      <w:r w:rsidRPr="002614E7">
        <w:rPr>
          <w:position w:val="-16"/>
        </w:rPr>
        <w:object w:dxaOrig="2580" w:dyaOrig="420" w14:anchorId="0F09465A">
          <v:shape id="_x0000_i7045" type="#_x0000_t75" style="width:129.5pt;height:21.2pt" o:ole="">
            <v:imagedata r:id="rId12154" o:title=""/>
          </v:shape>
          <o:OLEObject Type="Embed" ProgID="Equation.DSMT4" ShapeID="_x0000_i7045" DrawAspect="Content" ObjectID="_1791380989" r:id="rId12155"/>
        </w:object>
      </w:r>
    </w:p>
    <w:p w14:paraId="3F9BA250" w14:textId="77777777" w:rsidR="00556C10" w:rsidRPr="002614E7" w:rsidRDefault="00556C10" w:rsidP="00556C10">
      <w:pPr>
        <w:spacing w:line="216" w:lineRule="auto"/>
        <w:rPr>
          <w:i/>
          <w:sz w:val="23"/>
          <w:szCs w:val="23"/>
        </w:rPr>
      </w:pPr>
      <w:r w:rsidRPr="002614E7">
        <w:rPr>
          <w:rFonts w:hint="cs"/>
          <w:i/>
          <w:sz w:val="23"/>
          <w:szCs w:val="23"/>
          <w:rtl/>
        </w:rPr>
        <w:t>بنابراین معادله‌ی (۱۴. ۴۸) را می‌توان به صورت زیر بازنویسی کرد</w:t>
      </w:r>
    </w:p>
    <w:p w14:paraId="50AEBC5D" w14:textId="77777777" w:rsidR="00556C10" w:rsidRPr="002614E7" w:rsidRDefault="00556C10" w:rsidP="00556C10">
      <w:pPr>
        <w:bidi w:val="0"/>
        <w:spacing w:line="216" w:lineRule="auto"/>
        <w:rPr>
          <w:i/>
          <w:sz w:val="23"/>
          <w:szCs w:val="23"/>
          <w:rtl/>
        </w:rPr>
      </w:pPr>
      <w:r w:rsidRPr="002614E7">
        <w:rPr>
          <w:position w:val="-56"/>
        </w:rPr>
        <w:object w:dxaOrig="3879" w:dyaOrig="1240" w14:anchorId="71DC92B4">
          <v:shape id="_x0000_i7046" type="#_x0000_t75" style="width:194.2pt;height:61.7pt" o:ole="">
            <v:imagedata r:id="rId12156" o:title=""/>
          </v:shape>
          <o:OLEObject Type="Embed" ProgID="Equation.DSMT4" ShapeID="_x0000_i7046" DrawAspect="Content" ObjectID="_1791380990" r:id="rId12157"/>
        </w:object>
      </w:r>
      <w:r w:rsidRPr="002614E7">
        <w:rPr>
          <w:rFonts w:hint="cs"/>
          <w:i/>
          <w:sz w:val="23"/>
          <w:szCs w:val="23"/>
          <w:rtl/>
        </w:rPr>
        <w:tab/>
      </w:r>
      <w:r>
        <w:rPr>
          <w:i/>
          <w:sz w:val="23"/>
          <w:szCs w:val="23"/>
          <w:rtl/>
        </w:rPr>
        <w:tab/>
      </w:r>
      <w:r w:rsidRPr="002614E7">
        <w:rPr>
          <w:rFonts w:hint="cs"/>
          <w:i/>
          <w:sz w:val="23"/>
          <w:szCs w:val="23"/>
          <w:rtl/>
        </w:rPr>
        <w:tab/>
      </w:r>
      <w:r w:rsidRPr="002614E7">
        <w:rPr>
          <w:rFonts w:hint="cs"/>
          <w:i/>
          <w:sz w:val="23"/>
          <w:szCs w:val="23"/>
          <w:rtl/>
        </w:rPr>
        <w:tab/>
      </w:r>
      <w:r>
        <w:rPr>
          <w:i/>
          <w:sz w:val="23"/>
          <w:szCs w:val="23"/>
          <w:rtl/>
        </w:rPr>
        <w:tab/>
      </w:r>
      <w:r w:rsidRPr="002614E7">
        <w:rPr>
          <w:i/>
          <w:sz w:val="23"/>
          <w:szCs w:val="23"/>
        </w:rPr>
        <w:tab/>
      </w:r>
      <w:r w:rsidRPr="002614E7">
        <w:rPr>
          <w:i/>
          <w:sz w:val="23"/>
          <w:szCs w:val="23"/>
        </w:rPr>
        <w:tab/>
      </w:r>
      <w:r w:rsidRPr="002614E7">
        <w:rPr>
          <w:i/>
          <w:sz w:val="23"/>
          <w:szCs w:val="23"/>
        </w:rPr>
        <w:tab/>
      </w:r>
      <w:r w:rsidRPr="002614E7">
        <w:rPr>
          <w:rFonts w:hint="cs"/>
          <w:i/>
          <w:sz w:val="23"/>
          <w:szCs w:val="23"/>
          <w:rtl/>
        </w:rPr>
        <w:t>(۱۴. ۴۹)</w:t>
      </w:r>
      <w:r w:rsidRPr="002614E7">
        <w:rPr>
          <w:i/>
          <w:sz w:val="23"/>
          <w:szCs w:val="23"/>
        </w:rPr>
        <w:t xml:space="preserve"> </w:t>
      </w:r>
    </w:p>
    <w:p w14:paraId="5A7D2BCD" w14:textId="77777777" w:rsidR="00556C10" w:rsidRPr="002614E7" w:rsidRDefault="00556C10" w:rsidP="00556C10">
      <w:pPr>
        <w:spacing w:line="216" w:lineRule="auto"/>
        <w:rPr>
          <w:i/>
          <w:sz w:val="23"/>
          <w:szCs w:val="23"/>
          <w:rtl/>
        </w:rPr>
      </w:pPr>
      <w:r w:rsidRPr="002614E7">
        <w:rPr>
          <w:rFonts w:hint="cs"/>
          <w:i/>
          <w:sz w:val="23"/>
          <w:szCs w:val="23"/>
          <w:rtl/>
        </w:rPr>
        <w:t>با معرفی رابطه</w:t>
      </w:r>
      <w:r w:rsidRPr="002614E7">
        <w:rPr>
          <w:rFonts w:hint="cs"/>
          <w:i/>
          <w:sz w:val="23"/>
          <w:szCs w:val="23"/>
          <w:rtl/>
        </w:rPr>
        <w:softHyphen/>
        <w:t>ی برابری بهره‌ی بدون پوشش این مدل تکمیل خواهد شد</w:t>
      </w:r>
    </w:p>
    <w:p w14:paraId="0F064685" w14:textId="77777777" w:rsidR="00556C10" w:rsidRPr="002614E7" w:rsidRDefault="00556C10" w:rsidP="00556C10">
      <w:pPr>
        <w:bidi w:val="0"/>
        <w:spacing w:line="216" w:lineRule="auto"/>
        <w:rPr>
          <w:i/>
          <w:sz w:val="23"/>
          <w:szCs w:val="23"/>
          <w:rtl/>
        </w:rPr>
      </w:pPr>
      <w:r w:rsidRPr="002614E7">
        <w:rPr>
          <w:position w:val="-10"/>
        </w:rPr>
        <w:object w:dxaOrig="1579" w:dyaOrig="340" w14:anchorId="35F50372">
          <v:shape id="_x0000_i7047" type="#_x0000_t75" style="width:78.65pt;height:16.95pt" o:ole="">
            <v:imagedata r:id="rId12158" o:title=""/>
          </v:shape>
          <o:OLEObject Type="Embed" ProgID="Equation.DSMT4" ShapeID="_x0000_i7047" DrawAspect="Content" ObjectID="_1791380991" r:id="rId12159"/>
        </w:object>
      </w:r>
    </w:p>
    <w:p w14:paraId="7ECC1722" w14:textId="77777777" w:rsidR="00556C10" w:rsidRPr="002614E7" w:rsidRDefault="00556C10" w:rsidP="00556C10">
      <w:pPr>
        <w:spacing w:line="216" w:lineRule="auto"/>
        <w:rPr>
          <w:i/>
          <w:sz w:val="23"/>
          <w:szCs w:val="23"/>
        </w:rPr>
      </w:pPr>
      <w:r w:rsidRPr="002614E7">
        <w:rPr>
          <w:rFonts w:hint="cs"/>
          <w:i/>
          <w:sz w:val="23"/>
          <w:szCs w:val="23"/>
          <w:rtl/>
        </w:rPr>
        <w:t>که در آن</w:t>
      </w:r>
      <w:r w:rsidRPr="002614E7">
        <w:rPr>
          <w:position w:val="-10"/>
        </w:rPr>
        <w:object w:dxaOrig="300" w:dyaOrig="340" w14:anchorId="1391F03A">
          <v:shape id="_x0000_i7048" type="#_x0000_t75" style="width:14.5pt;height:16.95pt" o:ole="">
            <v:imagedata r:id="rId12160" o:title=""/>
          </v:shape>
          <o:OLEObject Type="Embed" ProgID="Equation.DSMT4" ShapeID="_x0000_i7048" DrawAspect="Content" ObjectID="_1791380992" r:id="rId12161"/>
        </w:object>
      </w:r>
      <w:r w:rsidRPr="002614E7">
        <w:rPr>
          <w:rFonts w:hint="cs"/>
          <w:i/>
          <w:sz w:val="23"/>
          <w:szCs w:val="23"/>
          <w:rtl/>
        </w:rPr>
        <w:t xml:space="preserve"> برابر است با نرخ بهره‌ی خارجی. برای ساده</w:t>
      </w:r>
      <w:r w:rsidRPr="002614E7">
        <w:rPr>
          <w:rFonts w:hint="cs"/>
          <w:i/>
          <w:sz w:val="23"/>
          <w:szCs w:val="23"/>
          <w:rtl/>
        </w:rPr>
        <w:softHyphen/>
        <w:t>سازی معادلات (۱۴. ۴۷) و (۱۴. ۴۹) را بازسازی می‌کنیم. بنابراین</w:t>
      </w:r>
    </w:p>
    <w:p w14:paraId="76A063BE" w14:textId="77777777" w:rsidR="00556C10" w:rsidRPr="002614E7" w:rsidRDefault="00556C10" w:rsidP="00556C10">
      <w:pPr>
        <w:bidi w:val="0"/>
        <w:spacing w:line="216" w:lineRule="auto"/>
        <w:rPr>
          <w:i/>
          <w:sz w:val="23"/>
          <w:szCs w:val="23"/>
          <w:rtl/>
        </w:rPr>
      </w:pPr>
      <w:r w:rsidRPr="002614E7">
        <w:rPr>
          <w:position w:val="-26"/>
        </w:rPr>
        <w:object w:dxaOrig="5679" w:dyaOrig="600" w14:anchorId="60B9A34E">
          <v:shape id="_x0000_i7049" type="#_x0000_t75" style="width:283.75pt;height:29.65pt" o:ole="">
            <v:imagedata r:id="rId12162" o:title=""/>
          </v:shape>
          <o:OLEObject Type="Embed" ProgID="Equation.DSMT4" ShapeID="_x0000_i7049" DrawAspect="Content" ObjectID="_1791380993" r:id="rId12163"/>
        </w:object>
      </w:r>
      <w:r w:rsidRPr="002614E7">
        <w:rPr>
          <w:rFonts w:hint="cs"/>
          <w:i/>
          <w:sz w:val="23"/>
          <w:szCs w:val="23"/>
          <w:rtl/>
        </w:rPr>
        <w:t xml:space="preserve"> </w:t>
      </w:r>
      <w:r>
        <w:rPr>
          <w:i/>
          <w:sz w:val="23"/>
          <w:szCs w:val="23"/>
          <w:rtl/>
        </w:rPr>
        <w:tab/>
      </w:r>
      <w:r w:rsidRPr="002614E7">
        <w:rPr>
          <w:rFonts w:hint="cs"/>
          <w:i/>
          <w:sz w:val="23"/>
          <w:szCs w:val="23"/>
          <w:rtl/>
        </w:rPr>
        <w:t>(۱۴. ۵۱)</w:t>
      </w:r>
      <w:r w:rsidRPr="002614E7">
        <w:rPr>
          <w:i/>
          <w:sz w:val="23"/>
          <w:szCs w:val="23"/>
        </w:rPr>
        <w:t xml:space="preserve"> </w:t>
      </w:r>
    </w:p>
    <w:p w14:paraId="021F5B8D" w14:textId="77777777" w:rsidR="00556C10" w:rsidRPr="002614E7" w:rsidRDefault="00556C10" w:rsidP="00556C10">
      <w:pPr>
        <w:bidi w:val="0"/>
        <w:spacing w:line="216" w:lineRule="auto"/>
        <w:rPr>
          <w:i/>
          <w:sz w:val="23"/>
          <w:szCs w:val="23"/>
          <w:rtl/>
        </w:rPr>
      </w:pPr>
      <w:r w:rsidRPr="002614E7">
        <w:rPr>
          <w:position w:val="-12"/>
        </w:rPr>
        <w:object w:dxaOrig="5260" w:dyaOrig="360" w14:anchorId="4CBAD70E">
          <v:shape id="_x0000_i7050" type="#_x0000_t75" style="width:263.2pt;height:18.15pt" o:ole="">
            <v:imagedata r:id="rId12164" o:title=""/>
          </v:shape>
          <o:OLEObject Type="Embed" ProgID="Equation.DSMT4" ShapeID="_x0000_i7050" DrawAspect="Content" ObjectID="_1791380994" r:id="rId12165"/>
        </w:object>
      </w:r>
      <w:r w:rsidRPr="002614E7">
        <w:rPr>
          <w:sz w:val="23"/>
          <w:szCs w:val="23"/>
          <w:rtl/>
        </w:rPr>
        <w:tab/>
      </w:r>
      <w:r w:rsidRPr="002614E7">
        <w:rPr>
          <w:rFonts w:hint="cs"/>
          <w:sz w:val="23"/>
          <w:szCs w:val="23"/>
          <w:rtl/>
        </w:rPr>
        <w:t xml:space="preserve">  </w:t>
      </w:r>
      <w:r>
        <w:rPr>
          <w:rFonts w:hint="cs"/>
          <w:sz w:val="23"/>
          <w:szCs w:val="23"/>
          <w:rtl/>
        </w:rPr>
        <w:t xml:space="preserve"> </w:t>
      </w:r>
      <w:r>
        <w:rPr>
          <w:sz w:val="23"/>
          <w:szCs w:val="23"/>
          <w:rtl/>
        </w:rPr>
        <w:tab/>
      </w:r>
      <w:r w:rsidRPr="002614E7">
        <w:rPr>
          <w:rFonts w:hint="cs"/>
          <w:i/>
          <w:sz w:val="23"/>
          <w:szCs w:val="23"/>
          <w:rtl/>
        </w:rPr>
        <w:t>(۱۴. ۵۲)</w:t>
      </w:r>
      <w:r>
        <w:rPr>
          <w:rFonts w:hint="cs"/>
          <w:i/>
          <w:sz w:val="23"/>
          <w:szCs w:val="23"/>
          <w:rtl/>
        </w:rPr>
        <w:t xml:space="preserve">  </w:t>
      </w:r>
      <w:r w:rsidRPr="002614E7">
        <w:rPr>
          <w:rFonts w:hint="cs"/>
          <w:i/>
          <w:sz w:val="23"/>
          <w:szCs w:val="23"/>
          <w:rtl/>
        </w:rPr>
        <w:t xml:space="preserve"> </w:t>
      </w:r>
      <w:r>
        <w:rPr>
          <w:i/>
          <w:sz w:val="23"/>
          <w:szCs w:val="23"/>
          <w:rtl/>
        </w:rPr>
        <w:tab/>
      </w:r>
    </w:p>
    <w:p w14:paraId="0807D684" w14:textId="77777777" w:rsidR="00556C10" w:rsidRPr="002614E7" w:rsidRDefault="00556C10" w:rsidP="00556C10">
      <w:pPr>
        <w:spacing w:line="216" w:lineRule="auto"/>
        <w:rPr>
          <w:i/>
          <w:sz w:val="23"/>
          <w:szCs w:val="23"/>
          <w:rtl/>
        </w:rPr>
      </w:pPr>
      <w:r w:rsidRPr="002614E7">
        <w:rPr>
          <w:rFonts w:hint="cs"/>
          <w:i/>
          <w:sz w:val="23"/>
          <w:szCs w:val="23"/>
          <w:rtl/>
        </w:rPr>
        <w:t xml:space="preserve">که در آن </w:t>
      </w:r>
    </w:p>
    <w:p w14:paraId="2FBD3277" w14:textId="77777777" w:rsidR="00556C10" w:rsidRPr="002614E7" w:rsidRDefault="00556C10" w:rsidP="00556C10">
      <w:pPr>
        <w:bidi w:val="0"/>
        <w:spacing w:line="216" w:lineRule="auto"/>
        <w:rPr>
          <w:i/>
          <w:sz w:val="23"/>
          <w:szCs w:val="23"/>
          <w:rtl/>
        </w:rPr>
      </w:pPr>
      <w:r w:rsidRPr="002614E7">
        <w:rPr>
          <w:position w:val="-44"/>
        </w:rPr>
        <w:object w:dxaOrig="3200" w:dyaOrig="980" w14:anchorId="36D90742">
          <v:shape id="_x0000_i7051" type="#_x0000_t75" style="width:160.35pt;height:49pt" o:ole="">
            <v:imagedata r:id="rId12166" o:title=""/>
          </v:shape>
          <o:OLEObject Type="Embed" ProgID="Equation.DSMT4" ShapeID="_x0000_i7051" DrawAspect="Content" ObjectID="_1791380995" r:id="rId12167"/>
        </w:object>
      </w:r>
    </w:p>
    <w:p w14:paraId="0845C5A8" w14:textId="77777777" w:rsidR="00556C10" w:rsidRPr="002614E7" w:rsidRDefault="00556C10" w:rsidP="00556C10">
      <w:pPr>
        <w:spacing w:line="216" w:lineRule="auto"/>
        <w:rPr>
          <w:bCs/>
          <w:i/>
          <w:sz w:val="23"/>
          <w:szCs w:val="23"/>
          <w:rtl/>
        </w:rPr>
      </w:pPr>
    </w:p>
    <w:p w14:paraId="77BC7EBB" w14:textId="77777777" w:rsidR="00556C10" w:rsidRPr="002614E7" w:rsidRDefault="00556C10" w:rsidP="00556C10">
      <w:pPr>
        <w:spacing w:line="216" w:lineRule="auto"/>
        <w:rPr>
          <w:bCs/>
          <w:i/>
          <w:sz w:val="23"/>
          <w:szCs w:val="23"/>
          <w:rtl/>
        </w:rPr>
      </w:pPr>
      <w:r w:rsidRPr="002614E7">
        <w:rPr>
          <w:rFonts w:hint="cs"/>
          <w:bCs/>
          <w:i/>
          <w:sz w:val="23"/>
          <w:szCs w:val="23"/>
          <w:rtl/>
        </w:rPr>
        <w:t>سیاست پولی صلاحدیدی</w:t>
      </w:r>
    </w:p>
    <w:p w14:paraId="1556B313" w14:textId="77777777" w:rsidR="00556C10" w:rsidRPr="002614E7" w:rsidRDefault="00556C10" w:rsidP="00556C10">
      <w:pPr>
        <w:spacing w:line="216" w:lineRule="auto"/>
        <w:rPr>
          <w:i/>
          <w:sz w:val="23"/>
          <w:szCs w:val="23"/>
          <w:rtl/>
        </w:rPr>
      </w:pPr>
      <w:r w:rsidRPr="002614E7">
        <w:rPr>
          <w:rFonts w:hint="cs"/>
          <w:i/>
          <w:sz w:val="23"/>
          <w:szCs w:val="23"/>
          <w:rtl/>
        </w:rPr>
        <w:t>اگر فرض کنیم که بانک مرکزی نرخ بهره</w:t>
      </w:r>
      <w:r w:rsidRPr="002614E7">
        <w:rPr>
          <w:rFonts w:hint="cs"/>
          <w:i/>
          <w:sz w:val="23"/>
          <w:szCs w:val="23"/>
          <w:rtl/>
        </w:rPr>
        <w:softHyphen/>
        <w:t>ی اسمی</w:t>
      </w:r>
      <w:r w:rsidRPr="002614E7">
        <w:rPr>
          <w:position w:val="-10"/>
        </w:rPr>
        <w:object w:dxaOrig="279" w:dyaOrig="320" w14:anchorId="3EF83A48">
          <v:shape id="_x0000_i7052" type="#_x0000_t75" style="width:13.9pt;height:15.75pt" o:ole="">
            <v:imagedata r:id="rId12168" o:title=""/>
          </v:shape>
          <o:OLEObject Type="Embed" ProgID="Equation.DSMT4" ShapeID="_x0000_i7052" DrawAspect="Content" ObjectID="_1791380996" r:id="rId12169"/>
        </w:object>
      </w:r>
      <w:r w:rsidRPr="002614E7">
        <w:rPr>
          <w:rFonts w:hint="cs"/>
          <w:i/>
          <w:sz w:val="23"/>
          <w:szCs w:val="23"/>
          <w:rtl/>
        </w:rPr>
        <w:t xml:space="preserve"> را به صورت صلاحدیدی تعیین می</w:t>
      </w:r>
      <w:r w:rsidRPr="002614E7">
        <w:rPr>
          <w:rFonts w:hint="cs"/>
          <w:i/>
          <w:sz w:val="23"/>
          <w:szCs w:val="23"/>
          <w:rtl/>
        </w:rPr>
        <w:softHyphen/>
        <w:t>‌کند، آنگاه از شرط برابری بهره‌ی بدون پوشش، نرخ ارز برون</w:t>
      </w:r>
      <w:r w:rsidRPr="002614E7">
        <w:rPr>
          <w:rFonts w:hint="cs"/>
          <w:i/>
          <w:sz w:val="23"/>
          <w:szCs w:val="23"/>
          <w:rtl/>
        </w:rPr>
        <w:softHyphen/>
        <w:t>زا خواهد شد و</w:t>
      </w:r>
      <w:r w:rsidRPr="002614E7">
        <w:rPr>
          <w:position w:val="-10"/>
        </w:rPr>
        <w:object w:dxaOrig="680" w:dyaOrig="320" w14:anchorId="53E0A4B0">
          <v:shape id="_x0000_i7053" type="#_x0000_t75" style="width:33.9pt;height:15.75pt" o:ole="">
            <v:imagedata r:id="rId12170" o:title=""/>
          </v:shape>
          <o:OLEObject Type="Embed" ProgID="Equation.DSMT4" ShapeID="_x0000_i7053" DrawAspect="Content" ObjectID="_1791380997" r:id="rId12171"/>
        </w:object>
      </w:r>
      <w:r w:rsidRPr="002614E7">
        <w:rPr>
          <w:rFonts w:hint="cs"/>
          <w:i/>
          <w:sz w:val="23"/>
          <w:szCs w:val="23"/>
          <w:rtl/>
        </w:rPr>
        <w:t xml:space="preserve"> را می‌توان با </w:t>
      </w:r>
      <w:r w:rsidRPr="002614E7">
        <w:rPr>
          <w:position w:val="-10"/>
        </w:rPr>
        <w:object w:dxaOrig="720" w:dyaOrig="340" w14:anchorId="6C1AC72E">
          <v:shape id="_x0000_i7054" type="#_x0000_t75" style="width:36.3pt;height:16.95pt" o:ole="">
            <v:imagedata r:id="rId12172" o:title=""/>
          </v:shape>
          <o:OLEObject Type="Embed" ProgID="Equation.DSMT4" ShapeID="_x0000_i7054" DrawAspect="Content" ObjectID="_1791380998" r:id="rId12173"/>
        </w:object>
      </w:r>
      <w:r w:rsidRPr="002614E7">
        <w:rPr>
          <w:i/>
          <w:sz w:val="23"/>
          <w:szCs w:val="23"/>
        </w:rPr>
        <w:t xml:space="preserve"> </w:t>
      </w:r>
      <w:r w:rsidRPr="002614E7">
        <w:rPr>
          <w:rFonts w:hint="cs"/>
          <w:i/>
          <w:sz w:val="23"/>
          <w:szCs w:val="23"/>
          <w:rtl/>
        </w:rPr>
        <w:t>جایگزین نمود. بنابراین مدل اقتصادی به صورت زیر بازنویسی می</w:t>
      </w:r>
      <w:r w:rsidRPr="002614E7">
        <w:rPr>
          <w:rFonts w:hint="cs"/>
          <w:i/>
          <w:sz w:val="23"/>
          <w:szCs w:val="23"/>
          <w:rtl/>
        </w:rPr>
        <w:softHyphen/>
        <w:t>شود:</w:t>
      </w:r>
    </w:p>
    <w:p w14:paraId="3A20A7C2" w14:textId="77777777" w:rsidR="00556C10" w:rsidRPr="002614E7" w:rsidRDefault="00556C10" w:rsidP="00556C10">
      <w:pPr>
        <w:bidi w:val="0"/>
        <w:spacing w:line="216" w:lineRule="auto"/>
        <w:rPr>
          <w:rFonts w:eastAsiaTheme="minorHAnsi" w:cstheme="minorBidi"/>
          <w:i/>
          <w:sz w:val="23"/>
          <w:szCs w:val="23"/>
          <w:rtl/>
        </w:rPr>
      </w:pPr>
      <w:r w:rsidRPr="002614E7">
        <w:rPr>
          <w:position w:val="-28"/>
        </w:rPr>
        <w:object w:dxaOrig="4160" w:dyaOrig="660" w14:anchorId="5A582858">
          <v:shape id="_x0000_i7055" type="#_x0000_t75" style="width:208.15pt;height:32.65pt" o:ole="">
            <v:imagedata r:id="rId12174" o:title=""/>
          </v:shape>
          <o:OLEObject Type="Embed" ProgID="Equation.DSMT4" ShapeID="_x0000_i7055" DrawAspect="Content" ObjectID="_1791380999" r:id="rId12175"/>
        </w:object>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hint="cs"/>
          <w:i/>
          <w:sz w:val="23"/>
          <w:szCs w:val="23"/>
          <w:rtl/>
        </w:rPr>
        <w:t xml:space="preserve"> </w:t>
      </w:r>
      <w:r>
        <w:rPr>
          <w:rFonts w:eastAsiaTheme="minorHAnsi" w:cstheme="minorBidi"/>
          <w:i/>
          <w:sz w:val="23"/>
          <w:szCs w:val="23"/>
          <w:rtl/>
        </w:rPr>
        <w:tab/>
      </w:r>
      <w:r w:rsidRPr="002614E7">
        <w:rPr>
          <w:rFonts w:eastAsiaTheme="minorHAnsi" w:cstheme="minorBidi" w:hint="cs"/>
          <w:i/>
          <w:sz w:val="23"/>
          <w:szCs w:val="23"/>
          <w:rtl/>
        </w:rPr>
        <w:tab/>
      </w:r>
      <w:r w:rsidRPr="002614E7">
        <w:rPr>
          <w:rFonts w:eastAsiaTheme="minorHAnsi" w:cstheme="minorBidi"/>
          <w:i/>
          <w:sz w:val="23"/>
          <w:szCs w:val="23"/>
          <w:rtl/>
        </w:rPr>
        <w:tab/>
      </w:r>
      <w:r w:rsidRPr="002614E7">
        <w:rPr>
          <w:rFonts w:eastAsiaTheme="minorHAnsi" w:cstheme="minorBidi" w:hint="cs"/>
          <w:i/>
          <w:sz w:val="23"/>
          <w:szCs w:val="23"/>
          <w:rtl/>
        </w:rPr>
        <w:t>(۱۴. ۵۳)</w:t>
      </w:r>
    </w:p>
    <w:p w14:paraId="11D09EBD" w14:textId="77777777" w:rsidR="00556C10" w:rsidRPr="002614E7" w:rsidRDefault="00556C10" w:rsidP="00556C10">
      <w:pPr>
        <w:bidi w:val="0"/>
        <w:spacing w:line="216" w:lineRule="auto"/>
        <w:rPr>
          <w:i/>
          <w:sz w:val="23"/>
          <w:szCs w:val="23"/>
          <w:rtl/>
        </w:rPr>
      </w:pPr>
      <w:r w:rsidRPr="002614E7">
        <w:rPr>
          <w:position w:val="-12"/>
        </w:rPr>
        <w:object w:dxaOrig="4959" w:dyaOrig="360" w14:anchorId="0310A2E5">
          <v:shape id="_x0000_i7056" type="#_x0000_t75" style="width:248.05pt;height:18.15pt" o:ole="">
            <v:imagedata r:id="rId12176" o:title=""/>
          </v:shape>
          <o:OLEObject Type="Embed" ProgID="Equation.DSMT4" ShapeID="_x0000_i7056" DrawAspect="Content" ObjectID="_1791381000" r:id="rId12177"/>
        </w:object>
      </w:r>
      <w:r w:rsidRPr="002614E7">
        <w:rPr>
          <w:i/>
          <w:sz w:val="23"/>
          <w:szCs w:val="23"/>
        </w:rPr>
        <w:t xml:space="preserve"> </w:t>
      </w:r>
      <w:r w:rsidRPr="002614E7">
        <w:rPr>
          <w:rFonts w:hint="cs"/>
          <w:i/>
          <w:sz w:val="23"/>
          <w:szCs w:val="23"/>
          <w:rtl/>
        </w:rPr>
        <w:tab/>
      </w:r>
      <w:r>
        <w:rPr>
          <w:i/>
          <w:sz w:val="23"/>
          <w:szCs w:val="23"/>
          <w:rtl/>
        </w:rPr>
        <w:tab/>
      </w:r>
      <w:r>
        <w:rPr>
          <w:i/>
          <w:sz w:val="23"/>
          <w:szCs w:val="23"/>
          <w:rtl/>
        </w:rPr>
        <w:tab/>
      </w:r>
      <w:r w:rsidRPr="002614E7">
        <w:rPr>
          <w:rFonts w:hint="cs"/>
          <w:i/>
          <w:sz w:val="23"/>
          <w:szCs w:val="23"/>
          <w:rtl/>
        </w:rPr>
        <w:tab/>
        <w:t>(۱۴. ۵۴)</w:t>
      </w:r>
      <w:r w:rsidRPr="002614E7">
        <w:rPr>
          <w:i/>
          <w:sz w:val="23"/>
          <w:szCs w:val="23"/>
        </w:rPr>
        <w:t xml:space="preserve"> </w:t>
      </w:r>
    </w:p>
    <w:p w14:paraId="0B66634C" w14:textId="77777777" w:rsidR="00556C10" w:rsidRPr="002614E7" w:rsidRDefault="00556C10" w:rsidP="00556C10">
      <w:pPr>
        <w:spacing w:line="216" w:lineRule="auto"/>
        <w:rPr>
          <w:i/>
          <w:sz w:val="23"/>
          <w:szCs w:val="23"/>
          <w:rtl/>
        </w:rPr>
      </w:pPr>
      <w:r w:rsidRPr="002614E7">
        <w:rPr>
          <w:rFonts w:hint="cs"/>
          <w:i/>
          <w:sz w:val="23"/>
          <w:szCs w:val="23"/>
          <w:rtl/>
        </w:rPr>
        <w:t xml:space="preserve">که در آن </w:t>
      </w:r>
    </w:p>
    <w:p w14:paraId="71FC1BA5" w14:textId="77777777" w:rsidR="00556C10" w:rsidRPr="002614E7" w:rsidRDefault="00556C10" w:rsidP="00556C10">
      <w:pPr>
        <w:bidi w:val="0"/>
        <w:spacing w:line="216" w:lineRule="auto"/>
        <w:rPr>
          <w:i/>
          <w:sz w:val="23"/>
          <w:szCs w:val="23"/>
          <w:rtl/>
        </w:rPr>
      </w:pPr>
      <w:r w:rsidRPr="002614E7">
        <w:rPr>
          <w:position w:val="-44"/>
        </w:rPr>
        <w:object w:dxaOrig="5539" w:dyaOrig="980" w14:anchorId="3045E663">
          <v:shape id="_x0000_i7057" type="#_x0000_t75" style="width:277.1pt;height:49pt" o:ole="">
            <v:imagedata r:id="rId12178" o:title=""/>
          </v:shape>
          <o:OLEObject Type="Embed" ProgID="Equation.DSMT4" ShapeID="_x0000_i7057" DrawAspect="Content" ObjectID="_1791381001" r:id="rId12179"/>
        </w:object>
      </w:r>
    </w:p>
    <w:p w14:paraId="6FBD7C41" w14:textId="77777777" w:rsidR="00556C10" w:rsidRPr="002614E7" w:rsidRDefault="00556C10" w:rsidP="00556C10">
      <w:pPr>
        <w:spacing w:line="216" w:lineRule="auto"/>
        <w:rPr>
          <w:i/>
          <w:sz w:val="23"/>
          <w:szCs w:val="23"/>
        </w:rPr>
      </w:pPr>
      <w:r w:rsidRPr="002614E7">
        <w:rPr>
          <w:rFonts w:hint="cs"/>
          <w:i/>
          <w:sz w:val="23"/>
          <w:szCs w:val="23"/>
          <w:rtl/>
        </w:rPr>
        <w:lastRenderedPageBreak/>
        <w:t>ساختار پویای مدل اقتصادی همانند مدل اقتصاد بسته کینزین جدید تحت شرایط سیاست پولی صلاحدیدی یعنی معادلات (۱۴. ۳۰) و (۱۴. ۳۱) می‌باشد، و حل تورم همانند معادله‌ی (۱۴. ۳۵) خواهد بود. تفاوت در جمله</w:t>
      </w:r>
      <w:r w:rsidRPr="002614E7">
        <w:rPr>
          <w:rFonts w:hint="cs"/>
          <w:i/>
          <w:sz w:val="23"/>
          <w:szCs w:val="23"/>
          <w:rtl/>
        </w:rPr>
        <w:softHyphen/>
        <w:t>ی</w:t>
      </w:r>
      <w:r w:rsidRPr="002614E7">
        <w:rPr>
          <w:position w:val="-10"/>
        </w:rPr>
        <w:object w:dxaOrig="220" w:dyaOrig="320" w14:anchorId="04A42A7B">
          <v:shape id="_x0000_i7058" type="#_x0000_t75" style="width:10.9pt;height:15.75pt" o:ole="">
            <v:imagedata r:id="rId12180" o:title=""/>
          </v:shape>
          <o:OLEObject Type="Embed" ProgID="Equation.DSMT4" ShapeID="_x0000_i7058" DrawAspect="Content" ObjectID="_1791381002" r:id="rId12181"/>
        </w:object>
      </w:r>
      <w:r w:rsidRPr="002614E7">
        <w:rPr>
          <w:i/>
          <w:sz w:val="23"/>
          <w:szCs w:val="23"/>
        </w:rPr>
        <w:t xml:space="preserve"> </w:t>
      </w:r>
      <w:r w:rsidRPr="002614E7">
        <w:rPr>
          <w:rFonts w:hint="cs"/>
          <w:i/>
          <w:sz w:val="23"/>
          <w:szCs w:val="23"/>
          <w:rtl/>
        </w:rPr>
        <w:t>در معادله‌ی (۱۴. ۳۳) است که برابر خواهد بود با</w:t>
      </w:r>
    </w:p>
    <w:p w14:paraId="5354B86E" w14:textId="77777777" w:rsidR="00556C10" w:rsidRPr="002614E7" w:rsidRDefault="00556C10" w:rsidP="00556C10">
      <w:pPr>
        <w:bidi w:val="0"/>
        <w:spacing w:line="216" w:lineRule="auto"/>
        <w:rPr>
          <w:i/>
          <w:sz w:val="23"/>
          <w:szCs w:val="23"/>
          <w:rtl/>
        </w:rPr>
      </w:pPr>
      <w:r w:rsidRPr="002614E7">
        <w:rPr>
          <w:position w:val="-28"/>
        </w:rPr>
        <w:object w:dxaOrig="6720" w:dyaOrig="680" w14:anchorId="28FE51E1">
          <v:shape id="_x0000_i7059" type="#_x0000_t75" style="width:335.8pt;height:33.9pt" o:ole="">
            <v:imagedata r:id="rId12182" o:title=""/>
          </v:shape>
          <o:OLEObject Type="Embed" ProgID="Equation.DSMT4" ShapeID="_x0000_i7059" DrawAspect="Content" ObjectID="_1791381003" r:id="rId12183"/>
        </w:object>
      </w:r>
    </w:p>
    <w:p w14:paraId="743446AC" w14:textId="77777777" w:rsidR="00556C10" w:rsidRPr="002614E7" w:rsidRDefault="00556C10" w:rsidP="00556C10">
      <w:pPr>
        <w:spacing w:line="216" w:lineRule="auto"/>
        <w:rPr>
          <w:i/>
          <w:sz w:val="23"/>
          <w:szCs w:val="23"/>
          <w:rtl/>
        </w:rPr>
      </w:pPr>
      <w:r w:rsidRPr="002614E7">
        <w:rPr>
          <w:rFonts w:hint="cs"/>
          <w:i/>
          <w:sz w:val="23"/>
          <w:szCs w:val="23"/>
          <w:rtl/>
        </w:rPr>
        <w:t>و لذا معادله‌ی تورم عبارت خواهد بود از</w:t>
      </w:r>
    </w:p>
    <w:p w14:paraId="14883836" w14:textId="77777777" w:rsidR="00556C10" w:rsidRPr="002614E7" w:rsidRDefault="00556C10" w:rsidP="00556C10">
      <w:pPr>
        <w:bidi w:val="0"/>
        <w:spacing w:line="216" w:lineRule="auto"/>
        <w:rPr>
          <w:i/>
          <w:sz w:val="23"/>
          <w:szCs w:val="23"/>
          <w:rtl/>
        </w:rPr>
      </w:pPr>
      <w:r w:rsidRPr="002614E7">
        <w:rPr>
          <w:position w:val="-46"/>
        </w:rPr>
        <w:object w:dxaOrig="5280" w:dyaOrig="1020" w14:anchorId="3F97EA1F">
          <v:shape id="_x0000_i7060" type="#_x0000_t75" style="width:263.8pt;height:50.8pt" o:ole="">
            <v:imagedata r:id="rId12184" o:title=""/>
          </v:shape>
          <o:OLEObject Type="Embed" ProgID="Equation.DSMT4" ShapeID="_x0000_i7060" DrawAspect="Content" ObjectID="_1791381004" r:id="rId12185"/>
        </w:object>
      </w:r>
      <w:r>
        <w:rPr>
          <w:rtl/>
        </w:rPr>
        <w:tab/>
      </w:r>
      <w:r w:rsidRPr="002614E7">
        <w:rPr>
          <w:sz w:val="23"/>
          <w:szCs w:val="23"/>
          <w:rtl/>
        </w:rPr>
        <w:tab/>
      </w:r>
      <w:r w:rsidRPr="002614E7">
        <w:rPr>
          <w:sz w:val="23"/>
          <w:szCs w:val="23"/>
          <w:rtl/>
        </w:rPr>
        <w:tab/>
      </w:r>
      <w:r w:rsidRPr="002614E7">
        <w:rPr>
          <w:i/>
          <w:sz w:val="23"/>
          <w:szCs w:val="23"/>
        </w:rPr>
        <w:t xml:space="preserve"> </w:t>
      </w:r>
      <w:r w:rsidRPr="002614E7">
        <w:rPr>
          <w:rFonts w:hint="cs"/>
          <w:i/>
          <w:sz w:val="23"/>
          <w:szCs w:val="23"/>
          <w:rtl/>
        </w:rPr>
        <w:t>(۱۴. ۵۵)</w:t>
      </w:r>
      <w:r w:rsidRPr="002614E7">
        <w:rPr>
          <w:i/>
          <w:sz w:val="23"/>
          <w:szCs w:val="23"/>
        </w:rPr>
        <w:t xml:space="preserve"> </w:t>
      </w:r>
    </w:p>
    <w:p w14:paraId="48E12FAE" w14:textId="77777777" w:rsidR="00556C10" w:rsidRPr="002614E7" w:rsidRDefault="00556C10" w:rsidP="00556C10">
      <w:pPr>
        <w:spacing w:line="216" w:lineRule="auto"/>
        <w:rPr>
          <w:i/>
          <w:sz w:val="23"/>
          <w:szCs w:val="23"/>
          <w:rtl/>
        </w:rPr>
      </w:pPr>
      <w:r w:rsidRPr="002614E7">
        <w:rPr>
          <w:rFonts w:hint="cs"/>
          <w:i/>
          <w:sz w:val="23"/>
          <w:szCs w:val="23"/>
          <w:rtl/>
        </w:rPr>
        <w:t>معادله</w:t>
      </w:r>
      <w:r w:rsidRPr="002614E7">
        <w:rPr>
          <w:rFonts w:hint="cs"/>
          <w:i/>
          <w:sz w:val="23"/>
          <w:szCs w:val="23"/>
          <w:rtl/>
        </w:rPr>
        <w:softHyphen/>
        <w:t>ی (۱۴. ۵۵) نشان می‌دهد که تورم داخلی متأثر از تورم خارجی و نرخ بهره</w:t>
      </w:r>
      <w:r w:rsidRPr="002614E7">
        <w:rPr>
          <w:rFonts w:hint="cs"/>
          <w:i/>
          <w:sz w:val="23"/>
          <w:szCs w:val="23"/>
          <w:rtl/>
        </w:rPr>
        <w:softHyphen/>
        <w:t>ی خارجی است. جهت بررسی اثر سیاست پولی داخلی بر تورم، همانند قبل، رابطه‌ی تورم و نرخ بهره‌ی داخلی را از رابطه‌ی (۱۴. ۵۵) بدست می</w:t>
      </w:r>
      <w:r w:rsidRPr="002614E7">
        <w:rPr>
          <w:rFonts w:hint="cs"/>
          <w:i/>
          <w:sz w:val="23"/>
          <w:szCs w:val="23"/>
          <w:rtl/>
        </w:rPr>
        <w:softHyphen/>
        <w:t>آوریم. در این رابطه تورم تابعی از</w:t>
      </w:r>
      <w:r w:rsidRPr="002614E7">
        <w:rPr>
          <w:position w:val="-10"/>
        </w:rPr>
        <w:object w:dxaOrig="400" w:dyaOrig="320" w14:anchorId="41FD88BE">
          <v:shape id="_x0000_i7061" type="#_x0000_t75" style="width:19.95pt;height:15.75pt" o:ole="">
            <v:imagedata r:id="rId12186" o:title=""/>
          </v:shape>
          <o:OLEObject Type="Embed" ProgID="Equation.DSMT4" ShapeID="_x0000_i7061" DrawAspect="Content" ObjectID="_1791381005" r:id="rId12187"/>
        </w:object>
      </w:r>
      <w:r w:rsidRPr="002614E7">
        <w:rPr>
          <w:rFonts w:hint="cs"/>
          <w:i/>
          <w:sz w:val="23"/>
          <w:szCs w:val="23"/>
          <w:rtl/>
        </w:rPr>
        <w:t>،</w:t>
      </w:r>
      <w:r w:rsidRPr="002614E7">
        <w:rPr>
          <w:position w:val="-10"/>
        </w:rPr>
        <w:object w:dxaOrig="279" w:dyaOrig="320" w14:anchorId="3673C6ED">
          <v:shape id="_x0000_i7062" type="#_x0000_t75" style="width:13.9pt;height:15.75pt" o:ole="">
            <v:imagedata r:id="rId12188" o:title=""/>
          </v:shape>
          <o:OLEObject Type="Embed" ProgID="Equation.DSMT4" ShapeID="_x0000_i7062" DrawAspect="Content" ObjectID="_1791381006" r:id="rId12189"/>
        </w:object>
      </w:r>
      <w:r w:rsidRPr="002614E7">
        <w:rPr>
          <w:rFonts w:hint="cs"/>
          <w:i/>
          <w:sz w:val="23"/>
          <w:szCs w:val="23"/>
          <w:rtl/>
        </w:rPr>
        <w:t xml:space="preserve"> و ارزش آتی انتظاری</w:t>
      </w:r>
      <w:r w:rsidRPr="002614E7">
        <w:rPr>
          <w:position w:val="-10"/>
        </w:rPr>
        <w:object w:dxaOrig="279" w:dyaOrig="320" w14:anchorId="12A34D23">
          <v:shape id="_x0000_i7063" type="#_x0000_t75" style="width:13.9pt;height:15.75pt" o:ole="">
            <v:imagedata r:id="rId12190" o:title=""/>
          </v:shape>
          <o:OLEObject Type="Embed" ProgID="Equation.DSMT4" ShapeID="_x0000_i7063" DrawAspect="Content" ObjectID="_1791381007" r:id="rId12191"/>
        </w:object>
      </w:r>
      <w:r w:rsidRPr="002614E7">
        <w:rPr>
          <w:rFonts w:hint="cs"/>
          <w:i/>
          <w:sz w:val="23"/>
          <w:szCs w:val="23"/>
          <w:rtl/>
        </w:rPr>
        <w:t xml:space="preserve"> است. چنانچه فرض کنیم</w:t>
      </w:r>
      <w:r w:rsidRPr="002614E7">
        <w:rPr>
          <w:i/>
          <w:sz w:val="23"/>
          <w:szCs w:val="23"/>
        </w:rPr>
        <w:t xml:space="preserve"> </w:t>
      </w:r>
      <w:r w:rsidRPr="002614E7">
        <w:rPr>
          <w:rFonts w:hint="cs"/>
          <w:i/>
          <w:sz w:val="23"/>
          <w:szCs w:val="23"/>
          <w:rtl/>
        </w:rPr>
        <w:t>که</w:t>
      </w:r>
      <w:r w:rsidRPr="002614E7">
        <w:rPr>
          <w:i/>
          <w:sz w:val="23"/>
          <w:szCs w:val="23"/>
        </w:rPr>
        <w:t xml:space="preserve"> </w:t>
      </w:r>
      <w:r w:rsidRPr="002614E7">
        <w:rPr>
          <w:rFonts w:hint="cs"/>
          <w:i/>
          <w:sz w:val="23"/>
          <w:szCs w:val="23"/>
          <w:rtl/>
        </w:rPr>
        <w:t>برای هر</w:t>
      </w:r>
      <w:r w:rsidRPr="002614E7">
        <w:rPr>
          <w:position w:val="-6"/>
        </w:rPr>
        <w:object w:dxaOrig="499" w:dyaOrig="260" w14:anchorId="1DD305CB">
          <v:shape id="_x0000_i7064" type="#_x0000_t75" style="width:24.8pt;height:13.3pt" o:ole="">
            <v:imagedata r:id="rId12192" o:title=""/>
          </v:shape>
          <o:OLEObject Type="Embed" ProgID="Equation.DSMT4" ShapeID="_x0000_i7064" DrawAspect="Content" ObjectID="_1791381008" r:id="rId12193"/>
        </w:object>
      </w:r>
      <w:r w:rsidRPr="002614E7">
        <w:rPr>
          <w:rFonts w:hint="cs"/>
          <w:i/>
          <w:sz w:val="23"/>
          <w:szCs w:val="23"/>
          <w:rtl/>
        </w:rPr>
        <w:t>،</w:t>
      </w:r>
      <w:r w:rsidRPr="002614E7">
        <w:rPr>
          <w:position w:val="-10"/>
        </w:rPr>
        <w:object w:dxaOrig="1060" w:dyaOrig="320" w14:anchorId="4391FA90">
          <v:shape id="_x0000_i7065" type="#_x0000_t75" style="width:53.25pt;height:15.75pt" o:ole="">
            <v:imagedata r:id="rId12194" o:title=""/>
          </v:shape>
          <o:OLEObject Type="Embed" ProgID="Equation.DSMT4" ShapeID="_x0000_i7065" DrawAspect="Content" ObjectID="_1791381009" r:id="rId12195"/>
        </w:object>
      </w:r>
      <w:r w:rsidRPr="002614E7">
        <w:rPr>
          <w:rFonts w:hint="cs"/>
          <w:i/>
          <w:sz w:val="23"/>
          <w:szCs w:val="23"/>
          <w:rtl/>
        </w:rPr>
        <w:t xml:space="preserve"> می‌باشد و</w:t>
      </w:r>
      <w:r w:rsidRPr="002614E7">
        <w:rPr>
          <w:position w:val="-10"/>
        </w:rPr>
        <w:object w:dxaOrig="360" w:dyaOrig="320" w14:anchorId="52463A88">
          <v:shape id="_x0000_i7066" type="#_x0000_t75" style="width:18.15pt;height:15.75pt" o:ole="">
            <v:imagedata r:id="rId12196" o:title=""/>
          </v:shape>
          <o:OLEObject Type="Embed" ProgID="Equation.DSMT4" ShapeID="_x0000_i7066" DrawAspect="Content" ObjectID="_1791381010" r:id="rId12197"/>
        </w:object>
      </w:r>
      <w:r w:rsidRPr="002614E7">
        <w:rPr>
          <w:i/>
          <w:sz w:val="23"/>
          <w:szCs w:val="23"/>
        </w:rPr>
        <w:t xml:space="preserve"> </w:t>
      </w:r>
      <w:r w:rsidRPr="002614E7">
        <w:rPr>
          <w:rFonts w:hint="cs"/>
          <w:i/>
          <w:sz w:val="23"/>
          <w:szCs w:val="23"/>
          <w:rtl/>
        </w:rPr>
        <w:t>در زمان</w:t>
      </w:r>
      <w:r w:rsidRPr="002614E7">
        <w:rPr>
          <w:position w:val="-6"/>
        </w:rPr>
        <w:object w:dxaOrig="139" w:dyaOrig="240" w14:anchorId="6B405389">
          <v:shape id="_x0000_i7067" type="#_x0000_t75" style="width:6.65pt;height:11.5pt" o:ole="">
            <v:imagedata r:id="rId12198" o:title=""/>
          </v:shape>
          <o:OLEObject Type="Embed" ProgID="Equation.DSMT4" ShapeID="_x0000_i7067" DrawAspect="Content" ObjectID="_1791381011" r:id="rId12199"/>
        </w:object>
      </w:r>
      <w:r w:rsidRPr="002614E7">
        <w:rPr>
          <w:i/>
          <w:sz w:val="23"/>
          <w:szCs w:val="23"/>
        </w:rPr>
        <w:t xml:space="preserve"> </w:t>
      </w:r>
      <w:r w:rsidRPr="002614E7">
        <w:rPr>
          <w:rFonts w:hint="cs"/>
          <w:i/>
          <w:sz w:val="23"/>
          <w:szCs w:val="23"/>
          <w:rtl/>
        </w:rPr>
        <w:t xml:space="preserve">از قبل تعیین شده باشد، آنگاه </w:t>
      </w:r>
    </w:p>
    <w:p w14:paraId="01EF0BAB" w14:textId="77777777" w:rsidR="00556C10" w:rsidRPr="002614E7" w:rsidRDefault="00556C10" w:rsidP="00556C10">
      <w:pPr>
        <w:bidi w:val="0"/>
        <w:spacing w:line="216" w:lineRule="auto"/>
        <w:rPr>
          <w:i/>
          <w:sz w:val="23"/>
          <w:szCs w:val="23"/>
          <w:rtl/>
        </w:rPr>
      </w:pPr>
      <w:r w:rsidRPr="002614E7">
        <w:rPr>
          <w:position w:val="-48"/>
        </w:rPr>
        <w:object w:dxaOrig="6500" w:dyaOrig="1080" w14:anchorId="1DD1B0B3">
          <v:shape id="_x0000_i7068" type="#_x0000_t75" style="width:324.9pt;height:54.45pt" o:ole="">
            <v:imagedata r:id="rId12200" o:title=""/>
          </v:shape>
          <o:OLEObject Type="Embed" ProgID="Equation.DSMT4" ShapeID="_x0000_i7068" DrawAspect="Content" ObjectID="_1791381012" r:id="rId12201"/>
        </w:object>
      </w:r>
    </w:p>
    <w:p w14:paraId="4A9F5059" w14:textId="77777777" w:rsidR="00556C10" w:rsidRPr="002614E7" w:rsidRDefault="00556C10" w:rsidP="00556C10">
      <w:pPr>
        <w:spacing w:line="216" w:lineRule="auto"/>
        <w:rPr>
          <w:i/>
          <w:sz w:val="23"/>
          <w:szCs w:val="23"/>
          <w:rtl/>
        </w:rPr>
      </w:pPr>
      <w:r w:rsidRPr="002614E7">
        <w:rPr>
          <w:rFonts w:hint="cs"/>
          <w:i/>
          <w:sz w:val="23"/>
          <w:szCs w:val="23"/>
          <w:rtl/>
        </w:rPr>
        <w:t>که در آن</w:t>
      </w:r>
      <w:r w:rsidRPr="002614E7">
        <w:rPr>
          <w:position w:val="-10"/>
        </w:rPr>
        <w:object w:dxaOrig="240" w:dyaOrig="320" w14:anchorId="1074754F">
          <v:shape id="_x0000_i7069" type="#_x0000_t75" style="width:11.5pt;height:15.75pt" o:ole="">
            <v:imagedata r:id="rId12202" o:title=""/>
          </v:shape>
          <o:OLEObject Type="Embed" ProgID="Equation.DSMT4" ShapeID="_x0000_i7069" DrawAspect="Content" ObjectID="_1791381013" r:id="rId12203"/>
        </w:object>
      </w:r>
      <w:r w:rsidRPr="002614E7">
        <w:rPr>
          <w:rFonts w:hint="cs"/>
          <w:i/>
          <w:sz w:val="23"/>
          <w:szCs w:val="23"/>
          <w:rtl/>
        </w:rPr>
        <w:t xml:space="preserve"> اثر ترکیبی متغیرهای از قبل تعیین شده است. اگر چه علامت اثر</w:t>
      </w:r>
      <w:r w:rsidRPr="002614E7">
        <w:rPr>
          <w:position w:val="-10"/>
        </w:rPr>
        <w:object w:dxaOrig="279" w:dyaOrig="320" w14:anchorId="5EC5069A">
          <v:shape id="_x0000_i7070" type="#_x0000_t75" style="width:13.9pt;height:15.75pt" o:ole="">
            <v:imagedata r:id="rId12204" o:title=""/>
          </v:shape>
          <o:OLEObject Type="Embed" ProgID="Equation.DSMT4" ShapeID="_x0000_i7070" DrawAspect="Content" ObjectID="_1791381014" r:id="rId12205"/>
        </w:object>
      </w:r>
      <w:r w:rsidRPr="002614E7">
        <w:rPr>
          <w:rFonts w:hint="cs"/>
          <w:i/>
          <w:sz w:val="23"/>
          <w:szCs w:val="23"/>
          <w:rtl/>
        </w:rPr>
        <w:t xml:space="preserve"> بر</w:t>
      </w:r>
      <w:r w:rsidRPr="002614E7">
        <w:rPr>
          <w:position w:val="-10"/>
        </w:rPr>
        <w:object w:dxaOrig="240" w:dyaOrig="320" w14:anchorId="479B36E9">
          <v:shape id="_x0000_i7071" type="#_x0000_t75" style="width:11.5pt;height:15.75pt" o:ole="">
            <v:imagedata r:id="rId12206" o:title=""/>
          </v:shape>
          <o:OLEObject Type="Embed" ProgID="Equation.DSMT4" ShapeID="_x0000_i7071" DrawAspect="Content" ObjectID="_1791381015" r:id="rId12207"/>
        </w:object>
      </w:r>
      <w:r w:rsidRPr="002614E7">
        <w:rPr>
          <w:rFonts w:hint="cs"/>
          <w:i/>
          <w:sz w:val="23"/>
          <w:szCs w:val="23"/>
          <w:rtl/>
        </w:rPr>
        <w:t>نامشخص است ولی احتمال دارد که این اثر منفی باشد. این نتیجه مغایر مدل کینزین جدید در اقتصاد بسته تحت شرایط سیاست پولی صلاحدیدی است که رابطه</w:t>
      </w:r>
      <w:r w:rsidRPr="002614E7">
        <w:rPr>
          <w:rFonts w:hint="cs"/>
          <w:i/>
          <w:sz w:val="23"/>
          <w:szCs w:val="23"/>
          <w:rtl/>
        </w:rPr>
        <w:softHyphen/>
        <w:t xml:space="preserve">ی بین نرخ بهره‌ی اسمی و تورم در آن مثبت بود. ولی در بلند‌مدت هنوز </w:t>
      </w:r>
      <w:r w:rsidRPr="002614E7">
        <w:rPr>
          <w:position w:val="-10"/>
        </w:rPr>
        <w:object w:dxaOrig="1060" w:dyaOrig="340" w14:anchorId="289650E1">
          <v:shape id="_x0000_i7072" type="#_x0000_t75" style="width:53.25pt;height:16.95pt" o:ole="">
            <v:imagedata r:id="rId12208" o:title=""/>
          </v:shape>
          <o:OLEObject Type="Embed" ProgID="Equation.DSMT4" ShapeID="_x0000_i7072" DrawAspect="Content" ObjectID="_1791381016" r:id="rId12209"/>
        </w:object>
      </w:r>
      <w:r w:rsidRPr="002614E7">
        <w:rPr>
          <w:rFonts w:hint="cs"/>
          <w:i/>
          <w:sz w:val="23"/>
          <w:szCs w:val="23"/>
          <w:rtl/>
        </w:rPr>
        <w:t xml:space="preserve"> و </w:t>
      </w:r>
      <w:r w:rsidRPr="002614E7">
        <w:rPr>
          <w:position w:val="-10"/>
        </w:rPr>
        <w:object w:dxaOrig="700" w:dyaOrig="340" w14:anchorId="29A97F1D">
          <v:shape id="_x0000_i7073" type="#_x0000_t75" style="width:35.1pt;height:16.95pt" o:ole="">
            <v:imagedata r:id="rId12210" o:title=""/>
          </v:shape>
          <o:OLEObject Type="Embed" ProgID="Equation.DSMT4" ShapeID="_x0000_i7073" DrawAspect="Content" ObjectID="_1791381017" r:id="rId12211"/>
        </w:object>
      </w:r>
      <w:r w:rsidRPr="002614E7">
        <w:rPr>
          <w:rFonts w:hint="cs"/>
          <w:i/>
          <w:sz w:val="23"/>
          <w:szCs w:val="23"/>
          <w:rtl/>
        </w:rPr>
        <w:t xml:space="preserve"> می</w:t>
      </w:r>
      <w:r w:rsidRPr="002614E7">
        <w:rPr>
          <w:rFonts w:hint="cs"/>
          <w:i/>
          <w:sz w:val="23"/>
          <w:szCs w:val="23"/>
          <w:rtl/>
        </w:rPr>
        <w:softHyphen/>
        <w:t>باشند</w:t>
      </w:r>
      <w:r w:rsidRPr="002614E7">
        <w:rPr>
          <w:i/>
          <w:sz w:val="23"/>
          <w:szCs w:val="23"/>
        </w:rPr>
        <w:t>.</w:t>
      </w:r>
    </w:p>
    <w:p w14:paraId="5CDA4D22" w14:textId="77777777" w:rsidR="00556C10" w:rsidRDefault="00556C10" w:rsidP="00556C10">
      <w:pPr>
        <w:tabs>
          <w:tab w:val="right" w:pos="1287"/>
        </w:tabs>
        <w:spacing w:line="216" w:lineRule="auto"/>
        <w:rPr>
          <w:bCs/>
          <w:i/>
          <w:sz w:val="23"/>
          <w:szCs w:val="23"/>
          <w:rtl/>
        </w:rPr>
      </w:pPr>
    </w:p>
    <w:p w14:paraId="3DCE0A49" w14:textId="77777777" w:rsidR="00556C10" w:rsidRPr="002614E7" w:rsidRDefault="00556C10" w:rsidP="00556C10">
      <w:pPr>
        <w:tabs>
          <w:tab w:val="right" w:pos="1287"/>
        </w:tabs>
        <w:spacing w:line="216" w:lineRule="auto"/>
        <w:rPr>
          <w:bCs/>
          <w:i/>
          <w:sz w:val="23"/>
          <w:szCs w:val="23"/>
          <w:rtl/>
        </w:rPr>
      </w:pPr>
      <w:r w:rsidRPr="002614E7">
        <w:rPr>
          <w:rFonts w:hint="cs"/>
          <w:bCs/>
          <w:i/>
          <w:sz w:val="23"/>
          <w:szCs w:val="23"/>
          <w:rtl/>
        </w:rPr>
        <w:t>سیاست پولی مبتنی بر قواعد</w:t>
      </w:r>
    </w:p>
    <w:p w14:paraId="246D72CE" w14:textId="77777777" w:rsidR="00556C10" w:rsidRDefault="00556C10" w:rsidP="00556C10">
      <w:pPr>
        <w:tabs>
          <w:tab w:val="right" w:pos="1287"/>
        </w:tabs>
        <w:spacing w:line="216" w:lineRule="auto"/>
        <w:rPr>
          <w:i/>
          <w:sz w:val="23"/>
          <w:szCs w:val="23"/>
          <w:rtl/>
        </w:rPr>
      </w:pPr>
      <w:r w:rsidRPr="002614E7">
        <w:rPr>
          <w:rFonts w:hint="cs"/>
          <w:i/>
          <w:sz w:val="23"/>
          <w:szCs w:val="23"/>
          <w:rtl/>
        </w:rPr>
        <w:t>اکنون فرض می‌کنیم که بانک مرکزی متعهد است تا نرخ بهره را با استفاده از قاعده‌ی تیلور یا معادله‌ی (۱۴. ۳۸) تعیین کند. در نتیجه نرخ بهره</w:t>
      </w:r>
      <w:r w:rsidRPr="002614E7">
        <w:rPr>
          <w:rFonts w:hint="cs"/>
          <w:i/>
          <w:sz w:val="23"/>
          <w:szCs w:val="23"/>
          <w:rtl/>
        </w:rPr>
        <w:softHyphen/>
        <w:t>ی اسمی</w:t>
      </w:r>
      <w:r w:rsidRPr="002614E7">
        <w:rPr>
          <w:position w:val="-10"/>
        </w:rPr>
        <w:object w:dxaOrig="279" w:dyaOrig="320" w14:anchorId="667E37ED">
          <v:shape id="_x0000_i7074" type="#_x0000_t75" style="width:13.9pt;height:15.75pt" o:ole="">
            <v:imagedata r:id="rId12212" o:title=""/>
          </v:shape>
          <o:OLEObject Type="Embed" ProgID="Equation.DSMT4" ShapeID="_x0000_i7074" DrawAspect="Content" ObjectID="_1791381018" r:id="rId12213"/>
        </w:object>
      </w:r>
      <w:r w:rsidRPr="002614E7">
        <w:rPr>
          <w:rFonts w:hint="cs"/>
          <w:i/>
          <w:sz w:val="23"/>
          <w:szCs w:val="23"/>
          <w:rtl/>
        </w:rPr>
        <w:t xml:space="preserve"> به</w:t>
      </w:r>
      <w:r w:rsidRPr="002614E7">
        <w:rPr>
          <w:rFonts w:hint="cs"/>
          <w:i/>
          <w:sz w:val="23"/>
          <w:szCs w:val="23"/>
          <w:rtl/>
        </w:rPr>
        <w:softHyphen/>
        <w:t>همراه</w:t>
      </w:r>
      <w:r w:rsidRPr="002614E7">
        <w:rPr>
          <w:position w:val="-10"/>
        </w:rPr>
        <w:object w:dxaOrig="499" w:dyaOrig="320" w14:anchorId="13346860">
          <v:shape id="_x0000_i7075" type="#_x0000_t75" style="width:24.8pt;height:15.75pt" o:ole="">
            <v:imagedata r:id="rId12214" o:title=""/>
          </v:shape>
          <o:OLEObject Type="Embed" ProgID="Equation.DSMT4" ShapeID="_x0000_i7075" DrawAspect="Content" ObjectID="_1791381019" r:id="rId12215"/>
        </w:object>
      </w:r>
      <w:r w:rsidRPr="002614E7">
        <w:rPr>
          <w:rFonts w:hint="cs"/>
          <w:i/>
          <w:sz w:val="23"/>
          <w:szCs w:val="23"/>
          <w:rtl/>
        </w:rPr>
        <w:t xml:space="preserve"> و</w:t>
      </w:r>
      <w:r w:rsidRPr="002614E7">
        <w:rPr>
          <w:position w:val="-10"/>
        </w:rPr>
        <w:object w:dxaOrig="200" w:dyaOrig="320" w14:anchorId="5C94E637">
          <v:shape id="_x0000_i7076" type="#_x0000_t75" style="width:10.3pt;height:15.75pt" o:ole="">
            <v:imagedata r:id="rId12216" o:title=""/>
          </v:shape>
          <o:OLEObject Type="Embed" ProgID="Equation.DSMT4" ShapeID="_x0000_i7076" DrawAspect="Content" ObjectID="_1791381020" r:id="rId12217"/>
        </w:object>
      </w:r>
      <w:r w:rsidRPr="002614E7">
        <w:rPr>
          <w:rFonts w:hint="cs"/>
          <w:i/>
          <w:sz w:val="23"/>
          <w:szCs w:val="23"/>
          <w:rtl/>
        </w:rPr>
        <w:t xml:space="preserve"> درون</w:t>
      </w:r>
      <w:r w:rsidRPr="002614E7">
        <w:rPr>
          <w:rFonts w:hint="cs"/>
          <w:i/>
          <w:sz w:val="23"/>
          <w:szCs w:val="23"/>
          <w:rtl/>
        </w:rPr>
        <w:softHyphen/>
        <w:t>زا خواهند</w:t>
      </w:r>
    </w:p>
    <w:p w14:paraId="15DA0BF9"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 بود. این مدل را ممکن است با استفاده از اپراتور با وقفه به صورت زیر نوشت:</w:t>
      </w:r>
    </w:p>
    <w:p w14:paraId="690A1FB4"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62"/>
        </w:rPr>
        <w:object w:dxaOrig="3080" w:dyaOrig="1340" w14:anchorId="5750C6C9">
          <v:shape id="_x0000_i7077" type="#_x0000_t75" style="width:154.3pt;height:67.15pt" o:ole="">
            <v:imagedata r:id="rId12218" o:title=""/>
          </v:shape>
          <o:OLEObject Type="Embed" ProgID="Equation.DSMT4" ShapeID="_x0000_i7077" DrawAspect="Content" ObjectID="_1791381021" r:id="rId12219"/>
        </w:object>
      </w:r>
    </w:p>
    <w:p w14:paraId="446F2AD6"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که در آن </w:t>
      </w:r>
    </w:p>
    <w:p w14:paraId="77CB238A"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96"/>
        </w:rPr>
        <w:object w:dxaOrig="5820" w:dyaOrig="2020" w14:anchorId="50E7020F">
          <v:shape id="_x0000_i7078" type="#_x0000_t75" style="width:291.05pt;height:101.05pt" o:ole="">
            <v:imagedata r:id="rId12220" o:title=""/>
          </v:shape>
          <o:OLEObject Type="Embed" ProgID="Equation.DSMT4" ShapeID="_x0000_i7078" DrawAspect="Content" ObjectID="_1791381022" r:id="rId12221"/>
        </w:object>
      </w:r>
    </w:p>
    <w:p w14:paraId="471F5021"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معادله</w:t>
      </w:r>
      <w:r w:rsidRPr="002614E7">
        <w:rPr>
          <w:rFonts w:hint="cs"/>
          <w:i/>
          <w:sz w:val="23"/>
          <w:szCs w:val="23"/>
          <w:rtl/>
        </w:rPr>
        <w:softHyphen/>
        <w:t>ی مشخصه عبارت است از</w:t>
      </w:r>
      <w:r w:rsidRPr="002614E7">
        <w:rPr>
          <w:i/>
          <w:sz w:val="23"/>
          <w:szCs w:val="23"/>
        </w:rPr>
        <w:t xml:space="preserve"> </w:t>
      </w:r>
      <w:r w:rsidRPr="002614E7">
        <w:rPr>
          <w:position w:val="-14"/>
        </w:rPr>
        <w:object w:dxaOrig="980" w:dyaOrig="380" w14:anchorId="4946C8A6">
          <v:shape id="_x0000_i7079" type="#_x0000_t75" style="width:49pt;height:18.75pt" o:ole="">
            <v:imagedata r:id="rId12222" o:title=""/>
          </v:shape>
          <o:OLEObject Type="Embed" ProgID="Equation.DSMT4" ShapeID="_x0000_i7079" DrawAspect="Content" ObjectID="_1791381023" r:id="rId12223"/>
        </w:object>
      </w:r>
      <w:r w:rsidRPr="002614E7">
        <w:rPr>
          <w:rFonts w:hint="cs"/>
          <w:i/>
          <w:sz w:val="23"/>
          <w:szCs w:val="23"/>
          <w:rtl/>
        </w:rPr>
        <w:t>و می‌توان نشان داد که</w:t>
      </w:r>
    </w:p>
    <w:p w14:paraId="1751EA84"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4"/>
        </w:rPr>
        <w:object w:dxaOrig="1900" w:dyaOrig="380" w14:anchorId="3B8C61EB">
          <v:shape id="_x0000_i7080" type="#_x0000_t75" style="width:95pt;height:18.75pt" o:ole="">
            <v:imagedata r:id="rId12224" o:title=""/>
          </v:shape>
          <o:OLEObject Type="Embed" ProgID="Equation.DSMT4" ShapeID="_x0000_i7080" DrawAspect="Content" ObjectID="_1791381024" r:id="rId12225"/>
        </w:object>
      </w:r>
    </w:p>
    <w:p w14:paraId="3C9E8C57"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2"/>
        </w:rPr>
        <w:object w:dxaOrig="3680" w:dyaOrig="360" w14:anchorId="13955781">
          <v:shape id="_x0000_i7081" type="#_x0000_t75" style="width:183.95pt;height:18.15pt" o:ole="">
            <v:imagedata r:id="rId12226" o:title=""/>
          </v:shape>
          <o:OLEObject Type="Embed" ProgID="Equation.DSMT4" ShapeID="_x0000_i7081" DrawAspect="Content" ObjectID="_1791381025" r:id="rId12227"/>
        </w:object>
      </w:r>
    </w:p>
    <w:p w14:paraId="297ABCE6"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که در آن</w:t>
      </w:r>
      <w:r w:rsidRPr="002614E7">
        <w:rPr>
          <w:position w:val="-6"/>
        </w:rPr>
        <w:object w:dxaOrig="540" w:dyaOrig="260" w14:anchorId="634AAF40">
          <v:shape id="_x0000_i7082" type="#_x0000_t75" style="width:26.6pt;height:13.3pt" o:ole="">
            <v:imagedata r:id="rId12228" o:title=""/>
          </v:shape>
          <o:OLEObject Type="Embed" ProgID="Equation.DSMT4" ShapeID="_x0000_i7082" DrawAspect="Content" ObjectID="_1791381026" r:id="rId12229"/>
        </w:object>
      </w:r>
      <w:r w:rsidRPr="002614E7">
        <w:rPr>
          <w:rFonts w:hint="cs"/>
          <w:i/>
          <w:sz w:val="23"/>
          <w:szCs w:val="23"/>
          <w:rtl/>
        </w:rPr>
        <w:t xml:space="preserve"> و </w:t>
      </w:r>
      <w:r w:rsidRPr="002614E7">
        <w:rPr>
          <w:position w:val="-8"/>
        </w:rPr>
        <w:object w:dxaOrig="720" w:dyaOrig="279" w14:anchorId="43321DB7">
          <v:shape id="_x0000_i7083" type="#_x0000_t75" style="width:36.3pt;height:13.9pt" o:ole="">
            <v:imagedata r:id="rId12230" o:title=""/>
          </v:shape>
          <o:OLEObject Type="Embed" ProgID="Equation.DSMT4" ShapeID="_x0000_i7083" DrawAspect="Content" ObjectID="_1791381027" r:id="rId12231"/>
        </w:object>
      </w:r>
      <w:r w:rsidRPr="002614E7">
        <w:rPr>
          <w:rFonts w:hint="cs"/>
          <w:i/>
          <w:sz w:val="23"/>
          <w:szCs w:val="23"/>
          <w:rtl/>
        </w:rPr>
        <w:t xml:space="preserve"> می</w:t>
      </w:r>
      <w:r w:rsidRPr="002614E7">
        <w:rPr>
          <w:rFonts w:hint="cs"/>
          <w:i/>
          <w:sz w:val="23"/>
          <w:szCs w:val="23"/>
          <w:rtl/>
        </w:rPr>
        <w:softHyphen/>
        <w:t>باشد، به</w:t>
      </w:r>
      <w:r w:rsidRPr="002614E7">
        <w:rPr>
          <w:rFonts w:hint="cs"/>
          <w:i/>
          <w:sz w:val="23"/>
          <w:szCs w:val="23"/>
          <w:rtl/>
        </w:rPr>
        <w:softHyphen/>
        <w:t>گونه‌ای که ممکن است فرض کنیم</w:t>
      </w:r>
      <w:r w:rsidRPr="002614E7">
        <w:rPr>
          <w:i/>
          <w:sz w:val="23"/>
          <w:szCs w:val="23"/>
        </w:rPr>
        <w:t xml:space="preserve"> </w:t>
      </w:r>
      <w:r w:rsidRPr="002614E7">
        <w:rPr>
          <w:position w:val="-10"/>
        </w:rPr>
        <w:object w:dxaOrig="580" w:dyaOrig="320" w14:anchorId="74AACBCC">
          <v:shape id="_x0000_i7084" type="#_x0000_t75" style="width:29.05pt;height:15.75pt" o:ole="">
            <v:imagedata r:id="rId12232" o:title=""/>
          </v:shape>
          <o:OLEObject Type="Embed" ProgID="Equation.DSMT4" ShapeID="_x0000_i7084" DrawAspect="Content" ObjectID="_1791381028" r:id="rId12233"/>
        </w:object>
      </w:r>
      <w:r w:rsidRPr="002614E7">
        <w:rPr>
          <w:rFonts w:hint="cs"/>
          <w:i/>
          <w:sz w:val="23"/>
          <w:szCs w:val="23"/>
          <w:rtl/>
        </w:rPr>
        <w:t xml:space="preserve"> و </w:t>
      </w:r>
      <w:r w:rsidRPr="002614E7">
        <w:rPr>
          <w:position w:val="-10"/>
        </w:rPr>
        <w:object w:dxaOrig="1120" w:dyaOrig="320" w14:anchorId="5759348A">
          <v:shape id="_x0000_i7085" type="#_x0000_t75" style="width:56.25pt;height:15.75pt" o:ole="">
            <v:imagedata r:id="rId12234" o:title=""/>
          </v:shape>
          <o:OLEObject Type="Embed" ProgID="Equation.DSMT4" ShapeID="_x0000_i7085" DrawAspect="Content" ObjectID="_1791381029" r:id="rId12235"/>
        </w:object>
      </w:r>
      <w:r w:rsidRPr="002614E7">
        <w:rPr>
          <w:rFonts w:hint="cs"/>
          <w:i/>
          <w:sz w:val="23"/>
          <w:szCs w:val="23"/>
          <w:rtl/>
        </w:rPr>
        <w:t xml:space="preserve"> است، که نشان می‌دهد یک ریشه‌ی مشخصه‌ی باثبات و سه ریشه</w:t>
      </w:r>
      <w:r w:rsidRPr="002614E7">
        <w:rPr>
          <w:rFonts w:hint="cs"/>
          <w:i/>
          <w:sz w:val="23"/>
          <w:szCs w:val="23"/>
          <w:rtl/>
        </w:rPr>
        <w:softHyphen/>
        <w:t>ی مشخصه</w:t>
      </w:r>
      <w:r w:rsidRPr="002614E7">
        <w:rPr>
          <w:rFonts w:hint="cs"/>
          <w:i/>
          <w:sz w:val="23"/>
          <w:szCs w:val="23"/>
          <w:rtl/>
        </w:rPr>
        <w:softHyphen/>
        <w:t>ی بی ثبات، و یا سه ریشه‌ی مشخصه</w:t>
      </w:r>
      <w:r w:rsidRPr="002614E7">
        <w:rPr>
          <w:rFonts w:hint="cs"/>
          <w:i/>
          <w:sz w:val="23"/>
          <w:szCs w:val="23"/>
          <w:rtl/>
        </w:rPr>
        <w:softHyphen/>
        <w:t>ی باثبات و یک ریشه‌ی مشخصه‌ی بی</w:t>
      </w:r>
      <w:r w:rsidRPr="002614E7">
        <w:rPr>
          <w:rFonts w:hint="cs"/>
          <w:i/>
          <w:sz w:val="23"/>
          <w:szCs w:val="23"/>
          <w:rtl/>
        </w:rPr>
        <w:softHyphen/>
        <w:t xml:space="preserve">ثبات وجود خواهد داشت. حالت اول را در نظر گرفته زیرا برابری بهره‌ی بدون پوشش می‌بایست یک ریشه‌ی بی ثبات دیگر را اضافه کند. بنابراین </w:t>
      </w:r>
    </w:p>
    <w:p w14:paraId="64AD8E7B" w14:textId="77777777" w:rsidR="00556C10" w:rsidRPr="002614E7" w:rsidRDefault="00556C10" w:rsidP="00556C10">
      <w:pPr>
        <w:tabs>
          <w:tab w:val="right" w:pos="1287"/>
        </w:tabs>
        <w:bidi w:val="0"/>
        <w:spacing w:line="216" w:lineRule="auto"/>
        <w:rPr>
          <w:i/>
          <w:sz w:val="23"/>
          <w:szCs w:val="23"/>
          <w:rtl/>
        </w:rPr>
      </w:pPr>
      <w:r w:rsidRPr="002614E7">
        <w:rPr>
          <w:position w:val="-16"/>
        </w:rPr>
        <w:object w:dxaOrig="4860" w:dyaOrig="420" w14:anchorId="14416D79">
          <v:shape id="_x0000_i7086" type="#_x0000_t75" style="width:243.25pt;height:21.2pt" o:ole="">
            <v:imagedata r:id="rId12236" o:title=""/>
          </v:shape>
          <o:OLEObject Type="Embed" ProgID="Equation.DSMT4" ShapeID="_x0000_i7086" DrawAspect="Content" ObjectID="_1791381030" r:id="rId12237"/>
        </w:object>
      </w:r>
    </w:p>
    <w:p w14:paraId="713FF719"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با حل سیستم فوق خواهیم داشت:</w:t>
      </w:r>
    </w:p>
    <w:p w14:paraId="3DF761EF"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tl/>
        </w:rPr>
      </w:pPr>
      <w:r w:rsidRPr="002614E7">
        <w:rPr>
          <w:position w:val="-62"/>
        </w:rPr>
        <w:object w:dxaOrig="4239" w:dyaOrig="1340" w14:anchorId="2D117E8B">
          <v:shape id="_x0000_i7087" type="#_x0000_t75" style="width:211.75pt;height:67.15pt" o:ole="">
            <v:imagedata r:id="rId12238" o:title=""/>
          </v:shape>
          <o:OLEObject Type="Embed" ProgID="Equation.DSMT4" ShapeID="_x0000_i7087" DrawAspect="Content" ObjectID="_1791381031" r:id="rId12239"/>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(۱۴. ۵۶)</w:t>
      </w:r>
      <w:r w:rsidRPr="002614E7">
        <w:rPr>
          <w:rFonts w:ascii="Times New Roman" w:hAnsi="Times New Roman" w:cs="B Nazanin"/>
          <w:i/>
          <w:sz w:val="23"/>
          <w:szCs w:val="23"/>
          <w:rtl/>
        </w:rPr>
        <w:t xml:space="preserve"> </w:t>
      </w:r>
    </w:p>
    <w:p w14:paraId="5674DE5F"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که در آن </w:t>
      </w:r>
      <w:r w:rsidRPr="002614E7">
        <w:rPr>
          <w:position w:val="-14"/>
        </w:rPr>
        <w:object w:dxaOrig="1100" w:dyaOrig="380" w14:anchorId="13306E32">
          <v:shape id="_x0000_i7088" type="#_x0000_t75" style="width:55.05pt;height:18.75pt" o:ole="">
            <v:imagedata r:id="rId12240" o:title=""/>
          </v:shape>
          <o:OLEObject Type="Embed" ProgID="Equation.DSMT4" ShapeID="_x0000_i7088" DrawAspect="Content" ObjectID="_1791381032" r:id="rId12241"/>
        </w:object>
      </w:r>
      <w:r w:rsidRPr="002614E7">
        <w:rPr>
          <w:rFonts w:eastAsiaTheme="minorEastAsia"/>
          <w:i/>
          <w:sz w:val="23"/>
          <w:szCs w:val="23"/>
        </w:rPr>
        <w:t xml:space="preserve"> </w:t>
      </w:r>
      <w:r w:rsidRPr="002614E7">
        <w:rPr>
          <w:rFonts w:hint="cs"/>
          <w:i/>
          <w:sz w:val="23"/>
          <w:szCs w:val="23"/>
          <w:rtl/>
        </w:rPr>
        <w:t xml:space="preserve">ماتریس الحاقی از </w:t>
      </w:r>
      <w:r w:rsidRPr="002614E7">
        <w:rPr>
          <w:position w:val="-12"/>
        </w:rPr>
        <w:object w:dxaOrig="580" w:dyaOrig="360" w14:anchorId="44002385">
          <v:shape id="_x0000_i7089" type="#_x0000_t75" style="width:29.05pt;height:18.15pt" o:ole="">
            <v:imagedata r:id="rId12242" o:title=""/>
          </v:shape>
          <o:OLEObject Type="Embed" ProgID="Equation.DSMT4" ShapeID="_x0000_i7089" DrawAspect="Content" ObjectID="_1791381033" r:id="rId12243"/>
        </w:object>
      </w:r>
      <w:r w:rsidRPr="002614E7">
        <w:rPr>
          <w:rFonts w:hint="cs"/>
          <w:i/>
          <w:sz w:val="23"/>
          <w:szCs w:val="23"/>
          <w:rtl/>
        </w:rPr>
        <w:t xml:space="preserve"> است. حل این مدل برای تورم دارای فرم عمومی زیر است</w:t>
      </w:r>
    </w:p>
    <w:p w14:paraId="5C83C677" w14:textId="77777777" w:rsidR="00556C10" w:rsidRPr="002614E7" w:rsidRDefault="00556C10" w:rsidP="00556C10">
      <w:pPr>
        <w:pStyle w:val="MTDisplayEquation"/>
        <w:tabs>
          <w:tab w:val="clear" w:pos="6660"/>
        </w:tabs>
        <w:spacing w:line="216" w:lineRule="auto"/>
        <w:rPr>
          <w:rFonts w:ascii="Times New Roman" w:hAnsi="Times New Roman" w:cs="B Nazanin"/>
          <w:i/>
          <w:sz w:val="23"/>
          <w:szCs w:val="23"/>
          <w:rtl/>
        </w:rPr>
      </w:pPr>
      <w:r w:rsidRPr="002614E7">
        <w:rPr>
          <w:position w:val="-44"/>
        </w:rPr>
        <w:object w:dxaOrig="4840" w:dyaOrig="980" w14:anchorId="545F775D">
          <v:shape id="_x0000_i7090" type="#_x0000_t75" style="width:242pt;height:49pt" o:ole="">
            <v:imagedata r:id="rId12244" o:title=""/>
          </v:shape>
          <o:OLEObject Type="Embed" ProgID="Equation.DSMT4" ShapeID="_x0000_i7090" DrawAspect="Content" ObjectID="_1791381034" r:id="rId12245"/>
        </w:object>
      </w:r>
      <w:r w:rsidRPr="002614E7">
        <w:rPr>
          <w:rFonts w:ascii="Times New Roman" w:hAnsi="Times New Roman" w:cs="B Nazanin"/>
          <w:i/>
          <w:sz w:val="23"/>
          <w:szCs w:val="23"/>
        </w:rPr>
        <w:t xml:space="preserve"> </w:t>
      </w:r>
      <w:r w:rsidRPr="002614E7">
        <w:rPr>
          <w:rFonts w:ascii="Times New Roman" w:hAnsi="Times New Roman" w:cs="B Nazanin"/>
          <w:i/>
          <w:sz w:val="23"/>
          <w:szCs w:val="23"/>
          <w:rtl/>
        </w:rPr>
        <w:tab/>
      </w:r>
      <w:r w:rsidRPr="002614E7">
        <w:rPr>
          <w:rFonts w:ascii="Times New Roman" w:hAnsi="Times New Roman" w:cs="B Nazanin"/>
          <w:i/>
          <w:sz w:val="23"/>
          <w:szCs w:val="23"/>
          <w:rtl/>
        </w:rPr>
        <w:tab/>
      </w:r>
      <w:r>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hint="cs"/>
          <w:i/>
          <w:sz w:val="23"/>
          <w:szCs w:val="23"/>
          <w:rtl/>
        </w:rPr>
        <w:t>(۱۴. ۵۷)</w:t>
      </w:r>
      <w:r w:rsidRPr="002614E7">
        <w:rPr>
          <w:rFonts w:ascii="Times New Roman" w:hAnsi="Times New Roman" w:cs="B Nazanin"/>
          <w:i/>
          <w:sz w:val="23"/>
          <w:szCs w:val="23"/>
          <w:rtl/>
        </w:rPr>
        <w:t xml:space="preserve"> </w:t>
      </w:r>
    </w:p>
    <w:p w14:paraId="4661A8E8"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بنابراین همانند سیاست پولی صلاحدیدی، تورم داخلی به وسیله تورم خارجی تعیین می‌شود، اما برخلاف سیاست پولی صلاحدیدی، ضابطه</w:t>
      </w:r>
      <w:r w:rsidRPr="002614E7">
        <w:rPr>
          <w:rFonts w:hint="cs"/>
          <w:i/>
          <w:sz w:val="23"/>
          <w:szCs w:val="23"/>
          <w:rtl/>
        </w:rPr>
        <w:softHyphen/>
        <w:t>ی تیلور اثر تورم خارجی را لزوماً حذف نکرده، و نرخ بهره</w:t>
      </w:r>
      <w:r w:rsidRPr="002614E7">
        <w:rPr>
          <w:rFonts w:hint="cs"/>
          <w:i/>
          <w:sz w:val="23"/>
          <w:szCs w:val="23"/>
          <w:rtl/>
        </w:rPr>
        <w:softHyphen/>
        <w:t>ی خارجی در آن وجود دارد. این نتایج پیشنهاد می‌کند که سیاست پولی صلاحدیدی بر سیاست پولی مبتنی بر قواعد و یا تعهد به ضابطه</w:t>
      </w:r>
      <w:r w:rsidRPr="002614E7">
        <w:rPr>
          <w:rFonts w:hint="cs"/>
          <w:i/>
          <w:sz w:val="23"/>
          <w:szCs w:val="23"/>
          <w:rtl/>
        </w:rPr>
        <w:softHyphen/>
        <w:t>ی تیلور ارجحیت دارد. به طور شهودی، یک راه آشکار جهت بسط معادله</w:t>
      </w:r>
      <w:r w:rsidRPr="002614E7">
        <w:rPr>
          <w:rFonts w:hint="cs"/>
          <w:i/>
          <w:sz w:val="23"/>
          <w:szCs w:val="23"/>
          <w:rtl/>
        </w:rPr>
        <w:softHyphen/>
        <w:t xml:space="preserve">ی تورم داخلی، تعدیل و اصلاح ضابطه‌ی تیلور با افزودن متغیرهایی همانند تورم خارجی و نرخ بهره‌ی خارجی است. بنابراین نتایج هدف‌‌گذاری تورم بر مبنای مدل کینزین جدید به تصریح مدل و </w:t>
      </w:r>
      <w:r w:rsidRPr="002614E7">
        <w:rPr>
          <w:rFonts w:hint="cs"/>
          <w:i/>
          <w:sz w:val="23"/>
          <w:szCs w:val="23"/>
          <w:rtl/>
        </w:rPr>
        <w:lastRenderedPageBreak/>
        <w:t>همچنین سیاست پولی صلاحدیدی و یا سیاست پولی مبتنی بر قاعده حساس می‌باشد. برای مطالعه بیشتر در خصوص اثر سیاست پولی در اقتصاد باز به کلاریدا و دیگران مراجعه شود.</w:t>
      </w:r>
      <w:r w:rsidRPr="002614E7">
        <w:rPr>
          <w:rStyle w:val="FootnoteReference"/>
          <w:i/>
          <w:sz w:val="23"/>
          <w:szCs w:val="23"/>
          <w:rtl/>
        </w:rPr>
        <w:footnoteReference w:id="348"/>
      </w:r>
    </w:p>
    <w:p w14:paraId="2B99B8C7" w14:textId="77777777" w:rsidR="00556C10" w:rsidRPr="002614E7" w:rsidRDefault="00556C10" w:rsidP="00556C10">
      <w:pPr>
        <w:tabs>
          <w:tab w:val="right" w:pos="1287"/>
        </w:tabs>
        <w:spacing w:line="216" w:lineRule="auto"/>
        <w:rPr>
          <w:i/>
          <w:sz w:val="23"/>
          <w:szCs w:val="23"/>
          <w:rtl/>
        </w:rPr>
      </w:pPr>
    </w:p>
    <w:p w14:paraId="435284BB" w14:textId="77777777" w:rsidR="00556C10" w:rsidRPr="002614E7" w:rsidRDefault="00556C10" w:rsidP="00556C10">
      <w:pPr>
        <w:pStyle w:val="Heading1"/>
        <w:spacing w:before="0" w:line="216" w:lineRule="auto"/>
        <w:rPr>
          <w:rFonts w:ascii="Times New Roman" w:hAnsi="Times New Roman" w:cs="B Nazanin"/>
          <w:b w:val="0"/>
          <w:i/>
          <w:sz w:val="23"/>
          <w:szCs w:val="23"/>
        </w:rPr>
      </w:pPr>
      <w:r w:rsidRPr="002614E7">
        <w:rPr>
          <w:rFonts w:ascii="Times New Roman" w:hAnsi="Times New Roman" w:cs="B Nazanin" w:hint="cs"/>
          <w:b w:val="0"/>
          <w:i/>
          <w:sz w:val="23"/>
          <w:szCs w:val="23"/>
          <w:rtl/>
        </w:rPr>
        <w:t>۱۴. ۴. ۴ نرخ ارز اسمی تحت شرایط هدف‌گذاری تورم</w:t>
      </w:r>
    </w:p>
    <w:p w14:paraId="4FBADCFD"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در فصل سیزدهم، هنگامی که عرضه‌ی پول یک ابزار سیاستی بود نرخ ارز اسمی را تعیین کردیم. اکنون نرخ ارز اسمی را تحت شرایط هدف‌گذاری تورم در مدل کینزین جدید و بر اساس معادلات (۱۴. ۴۹)، (۱۴. ۵۰) و (۱۴. ۵۱) مورد بررسی قرار می‌دهیم. یک سیاست پولی صلاحدیدی مبین آن است که نرخ بهره‌ی اسمی</w:t>
      </w:r>
      <w:r w:rsidRPr="002614E7">
        <w:rPr>
          <w:position w:val="-10"/>
        </w:rPr>
        <w:object w:dxaOrig="279" w:dyaOrig="320" w14:anchorId="6D7300A7">
          <v:shape id="_x0000_i7091" type="#_x0000_t75" style="width:13.9pt;height:15.75pt" o:ole="">
            <v:imagedata r:id="rId12246" o:title=""/>
          </v:shape>
          <o:OLEObject Type="Embed" ProgID="Equation.DSMT4" ShapeID="_x0000_i7091" DrawAspect="Content" ObjectID="_1791381035" r:id="rId12247"/>
        </w:object>
      </w:r>
      <w:r w:rsidRPr="002614E7">
        <w:rPr>
          <w:rFonts w:hint="cs"/>
          <w:i/>
          <w:sz w:val="23"/>
          <w:szCs w:val="23"/>
          <w:rtl/>
        </w:rPr>
        <w:t xml:space="preserve"> برون</w:t>
      </w:r>
      <w:r w:rsidRPr="002614E7">
        <w:rPr>
          <w:rFonts w:hint="cs"/>
          <w:i/>
          <w:sz w:val="23"/>
          <w:szCs w:val="23"/>
          <w:rtl/>
        </w:rPr>
        <w:softHyphen/>
        <w:t>زاست. بنابراین نرخ ارز از معادله‌ی (۱۴. ۵۰) بدست می‌آید و ممکن است به صورت زیر نوشته شود</w:t>
      </w:r>
    </w:p>
    <w:p w14:paraId="4EBCB4B2" w14:textId="77777777" w:rsidR="00556C10" w:rsidRPr="002614E7" w:rsidRDefault="00556C10" w:rsidP="00556C10">
      <w:pPr>
        <w:tabs>
          <w:tab w:val="right" w:pos="1287"/>
        </w:tabs>
        <w:bidi w:val="0"/>
        <w:spacing w:line="216" w:lineRule="auto"/>
        <w:rPr>
          <w:i/>
          <w:sz w:val="23"/>
          <w:szCs w:val="23"/>
          <w:rtl/>
        </w:rPr>
      </w:pPr>
      <w:r w:rsidRPr="002614E7">
        <w:rPr>
          <w:position w:val="-26"/>
        </w:rPr>
        <w:object w:dxaOrig="2020" w:dyaOrig="620" w14:anchorId="6FECE6A6">
          <v:shape id="_x0000_i7092" type="#_x0000_t75" style="width:101.05pt;height:30.85pt" o:ole="">
            <v:imagedata r:id="rId12248" o:title=""/>
          </v:shape>
          <o:OLEObject Type="Embed" ProgID="Equation.DSMT4" ShapeID="_x0000_i7092" DrawAspect="Content" ObjectID="_1791381036" r:id="rId12249"/>
        </w:object>
      </w:r>
    </w:p>
    <w:p w14:paraId="386CE1E3"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همان</w:t>
      </w:r>
      <w:r w:rsidRPr="002614E7">
        <w:rPr>
          <w:rFonts w:hint="cs"/>
          <w:i/>
          <w:sz w:val="23"/>
          <w:szCs w:val="23"/>
          <w:rtl/>
        </w:rPr>
        <w:softHyphen/>
        <w:t xml:space="preserve">طور که در فصل قبل اشاره شد نرخ ارز با توجه به اطلاعات جدید در خصوص نرخ‌های بهره‌ی داخلی و خارجی جاری و آتی سریعاً به سطح مقادیر تعادلی جدید خود حرکت می‌کند. </w:t>
      </w:r>
    </w:p>
    <w:p w14:paraId="44229768"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اگر سیاست پولی بر مبنای ضابطه‌ی تیلور و یا معادله‌ی (۱۴. ۳۸) باشد، آنگاه حل مدل برای نرخ ارز از معادله ی(۱۴. ۵۶)، فرم عمومی مشابهی همانند حل تورم معادله‌ی (۱۴. ۵۷) خواهد داشت. بنابراین می‌توان آن را به صورت زیر نوشت</w:t>
      </w:r>
    </w:p>
    <w:p w14:paraId="7E1757BB" w14:textId="77777777" w:rsidR="00556C10" w:rsidRPr="002614E7" w:rsidRDefault="00556C10" w:rsidP="00556C10">
      <w:pPr>
        <w:tabs>
          <w:tab w:val="right" w:pos="1287"/>
        </w:tabs>
        <w:bidi w:val="0"/>
        <w:spacing w:line="216" w:lineRule="auto"/>
        <w:rPr>
          <w:i/>
          <w:sz w:val="23"/>
          <w:szCs w:val="23"/>
          <w:rtl/>
        </w:rPr>
      </w:pPr>
      <w:r w:rsidRPr="002614E7">
        <w:rPr>
          <w:position w:val="-44"/>
        </w:rPr>
        <w:object w:dxaOrig="5040" w:dyaOrig="980" w14:anchorId="6E59625E">
          <v:shape id="_x0000_i7093" type="#_x0000_t75" style="width:252.3pt;height:49pt" o:ole="">
            <v:imagedata r:id="rId12250" o:title=""/>
          </v:shape>
          <o:OLEObject Type="Embed" ProgID="Equation.DSMT4" ShapeID="_x0000_i7093" DrawAspect="Content" ObjectID="_1791381037" r:id="rId12251"/>
        </w:object>
      </w:r>
      <w:r w:rsidRPr="002614E7">
        <w:rPr>
          <w:i/>
          <w:sz w:val="23"/>
          <w:szCs w:val="23"/>
          <w:rtl/>
        </w:rPr>
        <w:tab/>
      </w:r>
      <w:r>
        <w:rPr>
          <w:i/>
          <w:sz w:val="23"/>
          <w:szCs w:val="23"/>
          <w:rtl/>
        </w:rPr>
        <w:tab/>
      </w:r>
      <w:r>
        <w:rPr>
          <w:i/>
          <w:sz w:val="23"/>
          <w:szCs w:val="23"/>
          <w:rtl/>
        </w:rPr>
        <w:tab/>
      </w:r>
      <w:r w:rsidRPr="002614E7">
        <w:rPr>
          <w:i/>
          <w:sz w:val="23"/>
          <w:szCs w:val="23"/>
          <w:rtl/>
        </w:rPr>
        <w:tab/>
      </w:r>
      <w:r w:rsidRPr="002614E7">
        <w:rPr>
          <w:rFonts w:hint="cs"/>
          <w:i/>
          <w:sz w:val="23"/>
          <w:szCs w:val="23"/>
          <w:rtl/>
        </w:rPr>
        <w:t>(۱۴. ۵۸)</w:t>
      </w:r>
      <w:r w:rsidRPr="002614E7">
        <w:rPr>
          <w:i/>
          <w:sz w:val="23"/>
          <w:szCs w:val="23"/>
        </w:rPr>
        <w:t xml:space="preserve"> </w:t>
      </w:r>
    </w:p>
    <w:p w14:paraId="608D90CD"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که ضرایب متفاوتی نسبت به معادله‌ی (۱۴. ۵۷) دارد. لذا رفتار پویای نرخ ارز تحت سیاست پولی مبتنی بر قواعد، با سیاست پولی صلاحدیدی بسیار متفاوت خواهد بود. زیرا نرخ ارز به نرخ تورم جهانی، شوک‌های داخلی اقتصاد و همچنین نرخ‌های بهره‌ی خارجی واکنش نشان می‌دهد. </w:t>
      </w:r>
    </w:p>
    <w:p w14:paraId="31F8E9A8"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 شوک تورم مثبت در اقتصاد بسته و اقتصاد بازِ با نرخ ارز شناور، و تحت شرایط تعهد به ضابطه‌ی تیلور را می‌توان به صورت عددی با یکدیگر مقایسه کرد. نتایج این مقایسه با کالیبراسیونی خاص، در نمودارهای ۱۴. ۴ و ۱۴. ۵ نشان داده شده است. در هر دو اقتصاد افزایش موقتی تورم و نرخ بهره و کاهش در تولید مشاهده می‌شود. در مدل با نرخ ارز شناور یک افزایش موقتی در قیمت ارز وجود دارد. مهم</w:t>
      </w:r>
      <w:r w:rsidRPr="002614E7">
        <w:rPr>
          <w:rFonts w:hint="cs"/>
          <w:i/>
          <w:sz w:val="23"/>
          <w:szCs w:val="23"/>
          <w:rtl/>
        </w:rPr>
        <w:softHyphen/>
        <w:t>ترین تفاوت در آن است که با نرخ ارز شناور، افزایش در تورم و نرخ بهره و کاهش در تولید کمتر از اقتصاد بسته است.</w:t>
      </w:r>
      <w:r w:rsidRPr="002614E7">
        <w:rPr>
          <w:rStyle w:val="FootnoteReference"/>
          <w:i/>
          <w:sz w:val="23"/>
          <w:szCs w:val="23"/>
          <w:rtl/>
        </w:rPr>
        <w:footnoteReference w:id="349"/>
      </w:r>
      <w:r w:rsidRPr="002614E7">
        <w:rPr>
          <w:rFonts w:hint="cs"/>
          <w:i/>
          <w:sz w:val="23"/>
          <w:szCs w:val="23"/>
          <w:rtl/>
        </w:rPr>
        <w:t xml:space="preserve"> </w:t>
      </w:r>
    </w:p>
    <w:p w14:paraId="35289C10" w14:textId="77777777" w:rsidR="00556C10" w:rsidRPr="002614E7" w:rsidRDefault="00556C10" w:rsidP="00556C10">
      <w:pPr>
        <w:tabs>
          <w:tab w:val="right" w:pos="1287"/>
        </w:tabs>
        <w:spacing w:line="216" w:lineRule="auto"/>
        <w:rPr>
          <w:i/>
          <w:sz w:val="23"/>
          <w:szCs w:val="23"/>
          <w:rtl/>
        </w:rPr>
      </w:pPr>
    </w:p>
    <w:p w14:paraId="71F7D6F8" w14:textId="77777777" w:rsidR="00556C10" w:rsidRPr="002614E7" w:rsidRDefault="00556C10" w:rsidP="00556C10">
      <w:pPr>
        <w:pStyle w:val="Heading1"/>
        <w:spacing w:before="0" w:line="216" w:lineRule="auto"/>
        <w:rPr>
          <w:rFonts w:ascii="Times New Roman" w:hAnsi="Times New Roman" w:cs="B Nazanin"/>
          <w:b w:val="0"/>
          <w:i/>
          <w:sz w:val="23"/>
          <w:szCs w:val="23"/>
          <w:rtl/>
        </w:rPr>
      </w:pPr>
      <w:r w:rsidRPr="002614E7">
        <w:rPr>
          <w:rFonts w:ascii="Times New Roman" w:hAnsi="Times New Roman" w:cs="B Nazanin" w:hint="cs"/>
          <w:b w:val="0"/>
          <w:i/>
          <w:sz w:val="23"/>
          <w:szCs w:val="23"/>
          <w:rtl/>
        </w:rPr>
        <w:lastRenderedPageBreak/>
        <w:t xml:space="preserve">۱۴. ۴. ۵ هدف‌گذاری تورم و شوک‌های عرضه </w:t>
      </w:r>
    </w:p>
    <w:p w14:paraId="4BFEDB09"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سیاست‌های پولی همراه با هدف‌گذاری تورم برای شوک‌های تقاضا مناسب است. زیرا این سیاست‌ها، تولید و تورم را در یک مسیر تحت تأثیر قرار می‌دهد. با شوک مثبت تقاضا که تورم افزایش می‌یابد، سیاست اقتصادی</w:t>
      </w:r>
      <w:r w:rsidRPr="002614E7">
        <w:rPr>
          <w:rFonts w:hint="cs"/>
          <w:i/>
          <w:sz w:val="23"/>
          <w:szCs w:val="23"/>
          <w:rtl/>
        </w:rPr>
        <w:softHyphen/>
        <w:t xml:space="preserve"> مناسب، می‌بایست نرخ بهره را جهت جبران افزایش در تولید و بنابراین تورم افزایش دهد. در مقابل، یک شوک منفی عرضه، همانند شوک قیمت نفت که مصرف</w:t>
      </w:r>
      <w:r w:rsidRPr="002614E7">
        <w:rPr>
          <w:rFonts w:hint="cs"/>
          <w:i/>
          <w:sz w:val="23"/>
          <w:szCs w:val="23"/>
          <w:rtl/>
        </w:rPr>
        <w:softHyphen/>
        <w:t>کنندگان و تولیدکنندگان را تحت تأثیر قرار می‌دهد، ممکن است،‌حتی بطور موقتی، باعث افزایش تورم و کاهش تولید شود. در این صورت پاسخ مناسب نرخ بهره چیست؟ آیا نرخ بهره همانند قبل باید افزایش یابد تا نرخ تورم کاهش یابد، و یا کاهش یابد تا تولید را افزایش دهد؟ بطور شهودی، بانک مرکزی با تعهد بر هدف‌گذاری اکید تورم، می‌بایست نرخ‌های بهره را افزایش دهد. ‌ولی چنانچه بانک مرکزی متعهد به هدف‌گذاری تورم انعطاف‌پذیر باشد، پاسخ، صریح و روشن نیست. زیرا افزایش نرخ‌های بهره ممکن است تولید را بیشتر کاهش دهد. این موضوع را با استفاده از مدل کینزین جدید و اعمال شوک منفیِ عرضه از طریق افزایش قیمت مواد خام وارداتی همانند قیمت نفت بررسی خواهیم کرد. برای اینکه اثرات تورم قیمت وارداتی را در سمت عرضه‌ بدست آوریم، می‌بایست معادله‌ی تورم را تا حدودی تغییر دهیم. معادله‌ی قیمت کینزین جدید ممکن است با جایگزاری قیمت‌های وارداتی به جای دستمزد در معادله‌ی (۹. ۴۲) در فصل نهم بدست آید. بنابراین می‌توان معادله</w:t>
      </w:r>
      <w:r w:rsidRPr="002614E7">
        <w:rPr>
          <w:rFonts w:hint="cs"/>
          <w:i/>
          <w:sz w:val="23"/>
          <w:szCs w:val="23"/>
          <w:rtl/>
        </w:rPr>
        <w:softHyphen/>
        <w:t>ی تورم برای کالاهای تولید شده در داخل را به صورت زیر بازنویسی کرد</w:t>
      </w:r>
    </w:p>
    <w:p w14:paraId="0B25B453" w14:textId="77777777" w:rsidR="00556C10" w:rsidRPr="002614E7" w:rsidRDefault="00556C10" w:rsidP="00556C10">
      <w:pPr>
        <w:tabs>
          <w:tab w:val="right" w:pos="1287"/>
        </w:tabs>
        <w:bidi w:val="0"/>
        <w:spacing w:line="216" w:lineRule="auto"/>
        <w:rPr>
          <w:i/>
          <w:sz w:val="23"/>
          <w:szCs w:val="23"/>
          <w:rtl/>
        </w:rPr>
      </w:pPr>
      <w:r w:rsidRPr="002614E7">
        <w:rPr>
          <w:i/>
          <w:sz w:val="23"/>
          <w:szCs w:val="23"/>
        </w:rPr>
        <w:t xml:space="preserve"> </w:t>
      </w:r>
      <w:r w:rsidRPr="002614E7">
        <w:rPr>
          <w:position w:val="-16"/>
        </w:rPr>
        <w:object w:dxaOrig="4580" w:dyaOrig="420" w14:anchorId="761F97EC">
          <v:shape id="_x0000_i7094" type="#_x0000_t75" style="width:228.7pt;height:21.2pt" o:ole="">
            <v:imagedata r:id="rId12252" o:title=""/>
          </v:shape>
          <o:OLEObject Type="Embed" ProgID="Equation.DSMT4" ShapeID="_x0000_i7094" DrawAspect="Content" ObjectID="_1791381038" r:id="rId12253"/>
        </w:object>
      </w:r>
      <w:r w:rsidRPr="002614E7">
        <w:rPr>
          <w:rFonts w:hint="cs"/>
          <w:i/>
          <w:sz w:val="23"/>
          <w:szCs w:val="23"/>
          <w:rtl/>
        </w:rPr>
        <w:t xml:space="preserve"> </w:t>
      </w:r>
    </w:p>
    <w:p w14:paraId="408395A4"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که در آن</w:t>
      </w:r>
      <w:r w:rsidRPr="002614E7">
        <w:rPr>
          <w:position w:val="-10"/>
        </w:rPr>
        <w:object w:dxaOrig="2160" w:dyaOrig="340" w14:anchorId="3514289A">
          <v:shape id="_x0000_i7095" type="#_x0000_t75" style="width:108.3pt;height:16.95pt" o:ole="">
            <v:imagedata r:id="rId12254" o:title=""/>
          </v:shape>
          <o:OLEObject Type="Embed" ProgID="Equation.DSMT4" ShapeID="_x0000_i7095" DrawAspect="Content" ObjectID="_1791381039" r:id="rId12255"/>
        </w:object>
      </w:r>
      <w:r w:rsidRPr="002614E7">
        <w:rPr>
          <w:rFonts w:hint="cs"/>
          <w:i/>
          <w:sz w:val="23"/>
          <w:szCs w:val="23"/>
          <w:rtl/>
        </w:rPr>
        <w:t xml:space="preserve"> قیمت نهادهای وارداتی نسبت به قیمت تولید کننده‌ی داخلی است،</w:t>
      </w:r>
      <w:r w:rsidRPr="002614E7">
        <w:rPr>
          <w:position w:val="-10"/>
        </w:rPr>
        <w:object w:dxaOrig="200" w:dyaOrig="320" w14:anchorId="61667D20">
          <v:shape id="_x0000_i7096" type="#_x0000_t75" style="width:10.3pt;height:15.75pt" o:ole="">
            <v:imagedata r:id="rId12256" o:title=""/>
          </v:shape>
          <o:OLEObject Type="Embed" ProgID="Equation.DSMT4" ShapeID="_x0000_i7096" DrawAspect="Content" ObjectID="_1791381040" r:id="rId12257"/>
        </w:object>
      </w:r>
      <w:r w:rsidRPr="002614E7">
        <w:rPr>
          <w:rFonts w:hint="cs"/>
          <w:i/>
          <w:sz w:val="23"/>
          <w:szCs w:val="23"/>
          <w:rtl/>
        </w:rPr>
        <w:t xml:space="preserve"> لگاریتم نرخ ارز و</w:t>
      </w:r>
      <w:r w:rsidRPr="002614E7">
        <w:rPr>
          <w:position w:val="-10"/>
        </w:rPr>
        <w:object w:dxaOrig="340" w:dyaOrig="340" w14:anchorId="33DB2505">
          <v:shape id="_x0000_i7097" type="#_x0000_t75" style="width:16.95pt;height:16.95pt" o:ole="">
            <v:imagedata r:id="rId12258" o:title=""/>
          </v:shape>
          <o:OLEObject Type="Embed" ProgID="Equation.DSMT4" ShapeID="_x0000_i7097" DrawAspect="Content" ObjectID="_1791381041" r:id="rId12259"/>
        </w:object>
      </w:r>
      <w:r w:rsidRPr="002614E7">
        <w:rPr>
          <w:rFonts w:hint="cs"/>
          <w:i/>
          <w:sz w:val="23"/>
          <w:szCs w:val="23"/>
          <w:rtl/>
        </w:rPr>
        <w:t xml:space="preserve"> قیمت جهانی است. بنابراین با</w:t>
      </w:r>
      <w:r w:rsidRPr="002614E7">
        <w:rPr>
          <w:position w:val="-10"/>
        </w:rPr>
        <w:object w:dxaOrig="200" w:dyaOrig="320" w14:anchorId="7927F5F9">
          <v:shape id="_x0000_i7098" type="#_x0000_t75" style="width:10.3pt;height:15.75pt" o:ole="">
            <v:imagedata r:id="rId12260" o:title=""/>
          </v:shape>
          <o:OLEObject Type="Embed" ProgID="Equation.DSMT4" ShapeID="_x0000_i7098" DrawAspect="Content" ObjectID="_1791381042" r:id="rId12261"/>
        </w:object>
      </w:r>
      <w:r w:rsidRPr="002614E7">
        <w:rPr>
          <w:rFonts w:hint="cs"/>
          <w:i/>
          <w:sz w:val="23"/>
          <w:szCs w:val="23"/>
          <w:rtl/>
        </w:rPr>
        <w:t xml:space="preserve"> داده شده، افزایش در</w:t>
      </w:r>
      <w:r w:rsidRPr="002614E7">
        <w:rPr>
          <w:position w:val="-10"/>
        </w:rPr>
        <w:object w:dxaOrig="340" w:dyaOrig="340" w14:anchorId="0D144467">
          <v:shape id="_x0000_i7099" type="#_x0000_t75" style="width:16.95pt;height:16.95pt" o:ole="">
            <v:imagedata r:id="rId12262" o:title=""/>
          </v:shape>
          <o:OLEObject Type="Embed" ProgID="Equation.DSMT4" ShapeID="_x0000_i7099" DrawAspect="Content" ObjectID="_1791381043" r:id="rId12263"/>
        </w:object>
      </w:r>
      <w:r w:rsidRPr="002614E7">
        <w:rPr>
          <w:rFonts w:hint="cs"/>
          <w:i/>
          <w:sz w:val="23"/>
          <w:szCs w:val="23"/>
          <w:rtl/>
        </w:rPr>
        <w:t xml:space="preserve"> تورم</w:t>
      </w:r>
    </w:p>
    <w:p w14:paraId="131084FB"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داخلی را افزایش خواهد داد، بطوری</w:t>
      </w:r>
      <w:r w:rsidRPr="002614E7">
        <w:rPr>
          <w:rFonts w:hint="cs"/>
          <w:i/>
          <w:sz w:val="23"/>
          <w:szCs w:val="23"/>
          <w:rtl/>
        </w:rPr>
        <w:softHyphen/>
        <w:t>که</w:t>
      </w:r>
      <w:r w:rsidRPr="002614E7">
        <w:rPr>
          <w:position w:val="-12"/>
        </w:rPr>
        <w:object w:dxaOrig="1920" w:dyaOrig="360" w14:anchorId="5D90C91B">
          <v:shape id="_x0000_i7100" type="#_x0000_t75" style="width:96.2pt;height:18.15pt" o:ole="">
            <v:imagedata r:id="rId12264" o:title=""/>
          </v:shape>
          <o:OLEObject Type="Embed" ProgID="Equation.DSMT4" ShapeID="_x0000_i7100" DrawAspect="Content" ObjectID="_1791381044" r:id="rId12265"/>
        </w:object>
      </w:r>
      <w:r w:rsidRPr="002614E7">
        <w:rPr>
          <w:rFonts w:hint="cs"/>
          <w:i/>
          <w:sz w:val="23"/>
          <w:szCs w:val="23"/>
          <w:rtl/>
        </w:rPr>
        <w:t xml:space="preserve"> و لذا</w:t>
      </w:r>
    </w:p>
    <w:p w14:paraId="7BCA40D6" w14:textId="77777777" w:rsidR="00556C10" w:rsidRPr="002614E7" w:rsidRDefault="00556C10" w:rsidP="00556C10">
      <w:pPr>
        <w:tabs>
          <w:tab w:val="right" w:pos="1287"/>
        </w:tabs>
        <w:bidi w:val="0"/>
        <w:spacing w:line="216" w:lineRule="auto"/>
        <w:rPr>
          <w:i/>
          <w:sz w:val="23"/>
          <w:szCs w:val="23"/>
          <w:rtl/>
        </w:rPr>
      </w:pPr>
      <w:r w:rsidRPr="002614E7">
        <w:rPr>
          <w:position w:val="-44"/>
        </w:rPr>
        <w:object w:dxaOrig="5960" w:dyaOrig="980" w14:anchorId="167FF8A9">
          <v:shape id="_x0000_i7101" type="#_x0000_t75" style="width:298.3pt;height:49pt" o:ole="">
            <v:imagedata r:id="rId12266" o:title=""/>
          </v:shape>
          <o:OLEObject Type="Embed" ProgID="Equation.DSMT4" ShapeID="_x0000_i7101" DrawAspect="Content" ObjectID="_1791381045" r:id="rId12267"/>
        </w:object>
      </w:r>
      <w:r w:rsidRPr="002614E7">
        <w:rPr>
          <w:rFonts w:hint="cs"/>
          <w:i/>
          <w:sz w:val="23"/>
          <w:szCs w:val="23"/>
          <w:rtl/>
        </w:rPr>
        <w:t>(۱۴. ۵۹)</w:t>
      </w:r>
      <w:r w:rsidRPr="002614E7">
        <w:rPr>
          <w:i/>
          <w:sz w:val="23"/>
          <w:szCs w:val="23"/>
        </w:rPr>
        <w:t xml:space="preserve"> </w:t>
      </w:r>
    </w:p>
    <w:p w14:paraId="19263FAA"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با فرض اینکه کالای وارداتی نیز مصرف می‌شود، معادله‌ی </w:t>
      </w:r>
      <w:r w:rsidRPr="002614E7">
        <w:rPr>
          <w:i/>
          <w:sz w:val="23"/>
          <w:szCs w:val="23"/>
        </w:rPr>
        <w:t>IS</w:t>
      </w:r>
      <w:r w:rsidRPr="002614E7">
        <w:rPr>
          <w:rFonts w:hint="cs"/>
          <w:i/>
          <w:sz w:val="23"/>
          <w:szCs w:val="23"/>
          <w:rtl/>
        </w:rPr>
        <w:t xml:space="preserve"> کینزین جدید بسیار مشابه معادله‌ی (۱۴. ۴۷) خواهد بود و برابر است با</w:t>
      </w:r>
    </w:p>
    <w:p w14:paraId="6B652237" w14:textId="77777777" w:rsidR="00556C10" w:rsidRPr="002614E7" w:rsidRDefault="00556C10" w:rsidP="00556C10">
      <w:pPr>
        <w:tabs>
          <w:tab w:val="right" w:pos="1287"/>
        </w:tabs>
        <w:bidi w:val="0"/>
        <w:spacing w:line="216" w:lineRule="auto"/>
        <w:jc w:val="left"/>
        <w:rPr>
          <w:i/>
          <w:sz w:val="23"/>
          <w:szCs w:val="23"/>
          <w:rtl/>
        </w:rPr>
      </w:pPr>
      <w:r w:rsidRPr="002614E7">
        <w:rPr>
          <w:position w:val="-56"/>
        </w:rPr>
        <w:object w:dxaOrig="4520" w:dyaOrig="1219" w14:anchorId="46733BCB">
          <v:shape id="_x0000_i7102" type="#_x0000_t75" style="width:226.3pt;height:61.1pt" o:ole="">
            <v:imagedata r:id="rId12268" o:title=""/>
          </v:shape>
          <o:OLEObject Type="Embed" ProgID="Equation.DSMT4" ShapeID="_x0000_i7102" DrawAspect="Content" ObjectID="_1791381046" r:id="rId12269"/>
        </w:object>
      </w:r>
      <w:r w:rsidRPr="002614E7">
        <w:rPr>
          <w:rFonts w:hint="cs"/>
          <w:i/>
          <w:sz w:val="23"/>
          <w:szCs w:val="23"/>
          <w:rtl/>
        </w:rPr>
        <w:tab/>
      </w:r>
      <w:r w:rsidRPr="002614E7">
        <w:rPr>
          <w:i/>
          <w:sz w:val="23"/>
          <w:szCs w:val="23"/>
        </w:rPr>
        <w:tab/>
      </w:r>
      <w:r w:rsidRPr="002614E7">
        <w:rPr>
          <w:i/>
          <w:sz w:val="23"/>
          <w:szCs w:val="23"/>
          <w:rtl/>
        </w:rPr>
        <w:tab/>
      </w:r>
      <w:r>
        <w:rPr>
          <w:i/>
          <w:sz w:val="23"/>
          <w:szCs w:val="23"/>
          <w:rtl/>
        </w:rPr>
        <w:tab/>
      </w:r>
      <w:r>
        <w:rPr>
          <w:i/>
          <w:sz w:val="23"/>
          <w:szCs w:val="23"/>
          <w:rtl/>
        </w:rPr>
        <w:tab/>
      </w:r>
      <w:r w:rsidRPr="002614E7">
        <w:rPr>
          <w:i/>
          <w:sz w:val="23"/>
          <w:szCs w:val="23"/>
        </w:rPr>
        <w:tab/>
      </w:r>
      <w:r w:rsidRPr="002614E7">
        <w:rPr>
          <w:rFonts w:hint="cs"/>
          <w:i/>
          <w:sz w:val="23"/>
          <w:szCs w:val="23"/>
          <w:rtl/>
        </w:rPr>
        <w:t>(۱۴. ۶۰)</w:t>
      </w:r>
    </w:p>
    <w:p w14:paraId="21DE806F" w14:textId="77777777" w:rsidR="00556C10" w:rsidRPr="002614E7" w:rsidRDefault="00556C10" w:rsidP="00556C10">
      <w:pPr>
        <w:tabs>
          <w:tab w:val="right" w:pos="1287"/>
          <w:tab w:val="left" w:pos="5083"/>
        </w:tabs>
        <w:bidi w:val="0"/>
        <w:spacing w:line="216" w:lineRule="auto"/>
        <w:rPr>
          <w:i/>
          <w:sz w:val="23"/>
          <w:szCs w:val="23"/>
        </w:rPr>
      </w:pPr>
      <w:r w:rsidRPr="002614E7">
        <w:rPr>
          <w:position w:val="-56"/>
        </w:rPr>
        <w:object w:dxaOrig="4520" w:dyaOrig="1219" w14:anchorId="4DC9B0C3">
          <v:shape id="_x0000_i7103" type="#_x0000_t75" style="width:226.3pt;height:61.1pt" o:ole="">
            <v:imagedata r:id="rId12270" o:title=""/>
          </v:shape>
          <o:OLEObject Type="Embed" ProgID="Equation.DSMT4" ShapeID="_x0000_i7103" DrawAspect="Content" ObjectID="_1791381047" r:id="rId12271"/>
        </w:object>
      </w:r>
      <w:r w:rsidRPr="002614E7">
        <w:rPr>
          <w:rFonts w:hint="cs"/>
          <w:i/>
          <w:sz w:val="23"/>
          <w:szCs w:val="23"/>
          <w:rtl/>
        </w:rPr>
        <w:tab/>
      </w:r>
      <w:r w:rsidRPr="002614E7">
        <w:rPr>
          <w:i/>
          <w:sz w:val="23"/>
          <w:szCs w:val="23"/>
        </w:rPr>
        <w:tab/>
      </w:r>
      <w:r>
        <w:rPr>
          <w:i/>
          <w:sz w:val="23"/>
          <w:szCs w:val="23"/>
          <w:rtl/>
        </w:rPr>
        <w:tab/>
      </w:r>
      <w:r>
        <w:rPr>
          <w:i/>
          <w:sz w:val="23"/>
          <w:szCs w:val="23"/>
          <w:rtl/>
        </w:rPr>
        <w:tab/>
      </w:r>
      <w:r w:rsidRPr="002614E7">
        <w:rPr>
          <w:rFonts w:hint="cs"/>
          <w:i/>
          <w:sz w:val="23"/>
          <w:szCs w:val="23"/>
          <w:rtl/>
        </w:rPr>
        <w:tab/>
        <w:t>(۱۴. ۶۰)</w:t>
      </w:r>
    </w:p>
    <w:p w14:paraId="6FF1DDE4" w14:textId="77777777" w:rsidR="00556C10" w:rsidRPr="002614E7" w:rsidRDefault="00556C10" w:rsidP="00556C10">
      <w:pPr>
        <w:tabs>
          <w:tab w:val="right" w:pos="1287"/>
        </w:tabs>
        <w:spacing w:line="216" w:lineRule="auto"/>
        <w:rPr>
          <w:i/>
          <w:sz w:val="23"/>
          <w:szCs w:val="23"/>
          <w:rtl/>
        </w:rPr>
      </w:pPr>
      <w:r w:rsidRPr="002614E7">
        <w:rPr>
          <w:i/>
          <w:sz w:val="23"/>
          <w:szCs w:val="23"/>
        </w:rPr>
        <w:t xml:space="preserve"> </w:t>
      </w:r>
      <w:r w:rsidRPr="002614E7">
        <w:rPr>
          <w:rFonts w:hint="cs"/>
          <w:i/>
          <w:sz w:val="23"/>
          <w:szCs w:val="23"/>
          <w:rtl/>
        </w:rPr>
        <w:t>با</w:t>
      </w:r>
      <w:r w:rsidRPr="002614E7">
        <w:rPr>
          <w:position w:val="-10"/>
        </w:rPr>
        <w:object w:dxaOrig="200" w:dyaOrig="320" w14:anchorId="4D8F16C2">
          <v:shape id="_x0000_i7104" type="#_x0000_t75" style="width:10.3pt;height:15.75pt" o:ole="">
            <v:imagedata r:id="rId12272" o:title=""/>
          </v:shape>
          <o:OLEObject Type="Embed" ProgID="Equation.DSMT4" ShapeID="_x0000_i7104" DrawAspect="Content" ObjectID="_1791381048" r:id="rId12273"/>
        </w:object>
      </w:r>
      <w:r w:rsidRPr="002614E7">
        <w:rPr>
          <w:rFonts w:hint="cs"/>
          <w:i/>
          <w:sz w:val="23"/>
          <w:szCs w:val="23"/>
          <w:rtl/>
        </w:rPr>
        <w:t xml:space="preserve"> داده شده، خواهیم داشت</w:t>
      </w:r>
      <w:r w:rsidRPr="002614E7">
        <w:rPr>
          <w:position w:val="-12"/>
        </w:rPr>
        <w:object w:dxaOrig="1840" w:dyaOrig="360" w14:anchorId="0568FC3A">
          <v:shape id="_x0000_i7105" type="#_x0000_t75" style="width:91.95pt;height:18.15pt" o:ole="">
            <v:imagedata r:id="rId12274" o:title=""/>
          </v:shape>
          <o:OLEObject Type="Embed" ProgID="Equation.DSMT4" ShapeID="_x0000_i7105" DrawAspect="Content" ObjectID="_1791381049" r:id="rId12275"/>
        </w:object>
      </w:r>
      <w:r w:rsidRPr="002614E7">
        <w:rPr>
          <w:rFonts w:hint="cs"/>
          <w:i/>
          <w:sz w:val="23"/>
          <w:szCs w:val="23"/>
          <w:rtl/>
        </w:rPr>
        <w:t>، که نشان می‌دهد شوک مثبت قیمت جهانی باعث افزایش</w:t>
      </w:r>
      <w:r w:rsidRPr="002614E7">
        <w:rPr>
          <w:position w:val="-10"/>
        </w:rPr>
        <w:object w:dxaOrig="240" w:dyaOrig="320" w14:anchorId="27A0F831">
          <v:shape id="_x0000_i7106" type="#_x0000_t75" style="width:11.5pt;height:15.75pt" o:ole="">
            <v:imagedata r:id="rId12276" o:title=""/>
          </v:shape>
          <o:OLEObject Type="Embed" ProgID="Equation.DSMT4" ShapeID="_x0000_i7106" DrawAspect="Content" ObjectID="_1791381050" r:id="rId12277"/>
        </w:object>
      </w:r>
      <w:r w:rsidRPr="002614E7">
        <w:rPr>
          <w:rFonts w:hint="cs"/>
          <w:i/>
          <w:sz w:val="23"/>
          <w:szCs w:val="23"/>
          <w:rtl/>
        </w:rPr>
        <w:t xml:space="preserve"> خواهد شد. در این صورت مدل کامل اقتصادی تحت شرایط نرخ ارز شناور و سیاست پولی مبتنی بر قواعد شامل معادلات (۱۴. ۵۹)، (۱۴. ۶۰)، (۱۴. ۳۸) و (۱۴. ۵۰) خواهد بود.</w:t>
      </w:r>
    </w:p>
    <w:p w14:paraId="2CDA5D2E"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با توجه به پیچیدگی حل این سیستم اقتصادی، ضرایب تکاثر پویای اثر شوک مثبت قیمت جهانی با عنایت به کالیبراسیون مدل به صورت عددی محاسبه شده است. فرض می‌شود که شوک قیمت جهانی از یک فرایند خودهمبسته‌ی مرتبه اول خطی به صورت زیر ایجاد می‌شود</w:t>
      </w:r>
    </w:p>
    <w:p w14:paraId="5035702C" w14:textId="77777777" w:rsidR="00556C10" w:rsidRPr="002614E7" w:rsidRDefault="00556C10" w:rsidP="00556C10">
      <w:pPr>
        <w:tabs>
          <w:tab w:val="right" w:pos="0"/>
        </w:tabs>
        <w:bidi w:val="0"/>
        <w:spacing w:line="216" w:lineRule="auto"/>
        <w:rPr>
          <w:rFonts w:eastAsiaTheme="minorHAnsi" w:cstheme="minorBidi"/>
          <w:i/>
          <w:sz w:val="23"/>
          <w:szCs w:val="23"/>
        </w:rPr>
      </w:pPr>
      <w:r w:rsidRPr="002614E7">
        <w:rPr>
          <w:position w:val="-10"/>
        </w:rPr>
        <w:object w:dxaOrig="1400" w:dyaOrig="340" w14:anchorId="655E2F57">
          <v:shape id="_x0000_i7107" type="#_x0000_t75" style="width:70.2pt;height:16.95pt" o:ole="">
            <v:imagedata r:id="rId12278" o:title=""/>
          </v:shape>
          <o:OLEObject Type="Embed" ProgID="Equation.DSMT4" ShapeID="_x0000_i7107" DrawAspect="Content" ObjectID="_1791381051" r:id="rId12279"/>
        </w:object>
      </w:r>
    </w:p>
    <w:p w14:paraId="2D1D263F"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که در آن</w:t>
      </w:r>
      <w:r w:rsidRPr="002614E7">
        <w:rPr>
          <w:position w:val="-10"/>
        </w:rPr>
        <w:object w:dxaOrig="859" w:dyaOrig="300" w14:anchorId="694AF7A4">
          <v:shape id="_x0000_i7108" type="#_x0000_t75" style="width:42.95pt;height:14.5pt" o:ole="">
            <v:imagedata r:id="rId12280" o:title=""/>
          </v:shape>
          <o:OLEObject Type="Embed" ProgID="Equation.DSMT4" ShapeID="_x0000_i7108" DrawAspect="Content" ObjectID="_1791381052" r:id="rId12281"/>
        </w:object>
      </w:r>
      <w:r w:rsidRPr="002614E7">
        <w:rPr>
          <w:i/>
          <w:sz w:val="23"/>
          <w:szCs w:val="23"/>
        </w:rPr>
        <w:t xml:space="preserve"> </w:t>
      </w:r>
      <w:r w:rsidRPr="002614E7">
        <w:rPr>
          <w:rFonts w:hint="cs"/>
          <w:i/>
          <w:sz w:val="23"/>
          <w:szCs w:val="23"/>
          <w:rtl/>
        </w:rPr>
        <w:t>و</w:t>
      </w:r>
      <w:r w:rsidRPr="002614E7">
        <w:rPr>
          <w:position w:val="-10"/>
        </w:rPr>
        <w:object w:dxaOrig="220" w:dyaOrig="320" w14:anchorId="7C0B4303">
          <v:shape id="_x0000_i7109" type="#_x0000_t75" style="width:10.9pt;height:15.75pt" o:ole="">
            <v:imagedata r:id="rId12282" o:title=""/>
          </v:shape>
          <o:OLEObject Type="Embed" ProgID="Equation.DSMT4" ShapeID="_x0000_i7109" DrawAspect="Content" ObjectID="_1791381053" r:id="rId12283"/>
        </w:object>
      </w:r>
      <w:r w:rsidRPr="002614E7">
        <w:rPr>
          <w:i/>
          <w:sz w:val="23"/>
          <w:szCs w:val="23"/>
        </w:rPr>
        <w:t xml:space="preserve"> </w:t>
      </w:r>
      <w:r w:rsidRPr="002614E7">
        <w:rPr>
          <w:rFonts w:hint="cs"/>
          <w:i/>
          <w:sz w:val="23"/>
          <w:szCs w:val="23"/>
          <w:rtl/>
        </w:rPr>
        <w:t>فرایندی است مستقل با میانگین و واریانس یکسان. اثرات شوک موقتی</w:t>
      </w:r>
      <w:r w:rsidRPr="002614E7">
        <w:rPr>
          <w:position w:val="-12"/>
        </w:rPr>
        <w:object w:dxaOrig="720" w:dyaOrig="360" w14:anchorId="5716D4A2">
          <v:shape id="_x0000_i7110" type="#_x0000_t75" style="width:36.3pt;height:18.15pt" o:ole="">
            <v:imagedata r:id="rId12284" o:title=""/>
          </v:shape>
          <o:OLEObject Type="Embed" ProgID="Equation.DSMT4" ShapeID="_x0000_i7110" DrawAspect="Content" ObjectID="_1791381054" r:id="rId12285"/>
        </w:object>
      </w:r>
      <w:r w:rsidRPr="002614E7">
        <w:rPr>
          <w:rFonts w:hint="cs"/>
          <w:i/>
          <w:sz w:val="23"/>
          <w:szCs w:val="23"/>
          <w:rtl/>
        </w:rPr>
        <w:t xml:space="preserve"> و دائمی</w:t>
      </w:r>
      <w:r w:rsidRPr="002614E7">
        <w:rPr>
          <w:position w:val="-12"/>
        </w:rPr>
        <w:object w:dxaOrig="680" w:dyaOrig="360" w14:anchorId="21E81F26">
          <v:shape id="_x0000_i7111" type="#_x0000_t75" style="width:33.9pt;height:18.15pt" o:ole="">
            <v:imagedata r:id="rId12286" o:title=""/>
          </v:shape>
          <o:OLEObject Type="Embed" ProgID="Equation.DSMT4" ShapeID="_x0000_i7111" DrawAspect="Content" ObjectID="_1791381055" r:id="rId12287"/>
        </w:object>
      </w:r>
      <w:r w:rsidRPr="002614E7">
        <w:rPr>
          <w:i/>
          <w:sz w:val="23"/>
          <w:szCs w:val="23"/>
        </w:rPr>
        <w:t xml:space="preserve"> </w:t>
      </w:r>
      <w:r w:rsidRPr="002614E7">
        <w:rPr>
          <w:rFonts w:hint="cs"/>
          <w:i/>
          <w:sz w:val="23"/>
          <w:szCs w:val="23"/>
          <w:rtl/>
        </w:rPr>
        <w:t>قیمت جهانی در نمودارهای (۱۴. ۶) و (۱۴. ۷) نشان داده شده است. قاعده‌ی مربوط به نرخ ارز عامل مهم است. در یک شوک موقتی، ابتدا نرخ ارز افزایش یافته تا هزینه‌ی افزایش قیمت واردات را بر حسب پول داخلی خنثی کند. این مسئله مستلزم افزایش موقتی نرخ بهره می‌باشد. تولید نقش کمی خواهد داشت. در بلند‌مدت حرکاتِ خنثی کننده</w:t>
      </w:r>
      <w:r w:rsidRPr="002614E7">
        <w:rPr>
          <w:rFonts w:hint="cs"/>
          <w:i/>
          <w:sz w:val="23"/>
          <w:szCs w:val="23"/>
          <w:rtl/>
        </w:rPr>
        <w:softHyphen/>
        <w:t>ی نرخ بهره و نرخ ارز برای کلیه‌ی متغیرها ضرورت دارد تا به سطوح اولیه خود بازگردند. برای یک شوک دائمی، افزایش بیشتر نرخ ارز ضروری است. اگر چه افزایش نرخ بهره کمتر است، ولی این افزایش ماندگار</w:t>
      </w:r>
      <w:r w:rsidRPr="002614E7">
        <w:rPr>
          <w:rFonts w:hint="cs"/>
          <w:i/>
          <w:sz w:val="23"/>
          <w:szCs w:val="23"/>
          <w:rtl/>
        </w:rPr>
        <w:softHyphen/>
        <w:t>تر بوده و لذا نرخ ارز بیشتر افزایش خواهد یافت. اثر بر نرخ تورم بمراتب کم</w:t>
      </w:r>
      <w:r w:rsidRPr="002614E7">
        <w:rPr>
          <w:rFonts w:hint="cs"/>
          <w:i/>
          <w:sz w:val="23"/>
          <w:szCs w:val="23"/>
          <w:rtl/>
        </w:rPr>
        <w:softHyphen/>
        <w:t>تر بوده و تولید کاهش خواهد یافت. این نتایج نشان می‌دهد که حتی با وجود کاهش تولید، مسئله غامض و دشواری برای مسئولین پولی جهت افزایش و یا عدم افزایش نرخ بهره، در پاسخ به شوک دائمی قیمت جهانی وجود ندارد. مسئله</w:t>
      </w:r>
      <w:r w:rsidRPr="002614E7">
        <w:rPr>
          <w:rFonts w:hint="cs"/>
          <w:i/>
          <w:sz w:val="23"/>
          <w:szCs w:val="23"/>
          <w:rtl/>
        </w:rPr>
        <w:softHyphen/>
        <w:t>ی اندازه‌ی افزایش نرخ بهره، و طول دوره‌ی زمانی که نرخ بهره باید افزایش یابد مستلزم قضاوت در خصوص نوع شوک</w:t>
      </w:r>
      <w:r w:rsidRPr="002614E7">
        <w:rPr>
          <w:rFonts w:hint="cs"/>
          <w:i/>
          <w:sz w:val="23"/>
          <w:szCs w:val="23"/>
          <w:rtl/>
        </w:rPr>
        <w:softHyphen/>
        <w:t>های موقتی و یا دائمی است.</w:t>
      </w:r>
    </w:p>
    <w:p w14:paraId="525105B1" w14:textId="77777777" w:rsidR="00556C10" w:rsidRPr="002614E7" w:rsidRDefault="00556C10" w:rsidP="00556C10">
      <w:pPr>
        <w:tabs>
          <w:tab w:val="right" w:pos="1287"/>
        </w:tabs>
        <w:spacing w:line="216" w:lineRule="auto"/>
        <w:rPr>
          <w:i/>
          <w:sz w:val="23"/>
          <w:szCs w:val="23"/>
          <w:rtl/>
        </w:rPr>
      </w:pPr>
    </w:p>
    <w:p w14:paraId="09544A18" w14:textId="77777777" w:rsidR="00556C10" w:rsidRPr="002614E7" w:rsidRDefault="00556C10" w:rsidP="00556C10">
      <w:pPr>
        <w:pStyle w:val="Heading1"/>
        <w:spacing w:before="0" w:line="216" w:lineRule="auto"/>
        <w:rPr>
          <w:rFonts w:ascii="Times New Roman" w:hAnsi="Times New Roman" w:cs="B Nazanin"/>
          <w:b w:val="0"/>
          <w:i/>
          <w:sz w:val="23"/>
          <w:szCs w:val="23"/>
          <w:rtl/>
        </w:rPr>
      </w:pPr>
      <w:r w:rsidRPr="002614E7">
        <w:rPr>
          <w:rFonts w:ascii="Times New Roman" w:hAnsi="Times New Roman" w:cs="B Nazanin" w:hint="cs"/>
          <w:b w:val="0"/>
          <w:i/>
          <w:sz w:val="23"/>
          <w:szCs w:val="23"/>
          <w:rtl/>
        </w:rPr>
        <w:t>۱۴. ۵ هدف‌‌گذاری تورم بهینه</w:t>
      </w:r>
    </w:p>
    <w:p w14:paraId="01AB38B0"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تاکنون اثر تغییرات نرخ بهره بر تورم را مورد بررسی قرار دادیم. منظور از هدف‌‌گذاری تورم بهینه، تعیین نرخ بهره به منظور حداقل کردن تابع هدف ‌مطمح نظر نسبت به قیودی است که به واسطه</w:t>
      </w:r>
      <w:r w:rsidRPr="002614E7">
        <w:rPr>
          <w:rFonts w:hint="cs"/>
          <w:i/>
          <w:sz w:val="23"/>
          <w:szCs w:val="23"/>
          <w:rtl/>
        </w:rPr>
        <w:softHyphen/>
        <w:t>ی ساختار اقتصاد وجود دارد. بانک مرکزی ممکن است تابع هدف ‌خود را انتخاب و یا سعی کند رفاه اجتماعی را حداکثر سازد. فرض مرسوم آن است که بانک مرکزی به دنبال حداقل کردن تابع هدف‌ درجه دوم بین‌دوره</w:t>
      </w:r>
      <w:r w:rsidRPr="002614E7">
        <w:rPr>
          <w:rFonts w:hint="cs"/>
          <w:i/>
          <w:sz w:val="23"/>
          <w:szCs w:val="23"/>
          <w:rtl/>
        </w:rPr>
        <w:softHyphen/>
        <w:t>ای زیر باشد</w:t>
      </w:r>
    </w:p>
    <w:p w14:paraId="20AA73BC" w14:textId="77777777" w:rsidR="00556C10" w:rsidRPr="002614E7" w:rsidRDefault="00556C10" w:rsidP="00556C10">
      <w:pPr>
        <w:tabs>
          <w:tab w:val="right" w:pos="1287"/>
        </w:tabs>
        <w:bidi w:val="0"/>
        <w:spacing w:line="216" w:lineRule="auto"/>
        <w:rPr>
          <w:i/>
          <w:sz w:val="23"/>
          <w:szCs w:val="23"/>
        </w:rPr>
      </w:pPr>
      <w:r w:rsidRPr="002614E7">
        <w:rPr>
          <w:position w:val="-26"/>
        </w:rPr>
        <w:object w:dxaOrig="3159" w:dyaOrig="620" w14:anchorId="60FFB58B">
          <v:shape id="_x0000_i7112" type="#_x0000_t75" style="width:157.9pt;height:30.85pt" o:ole="">
            <v:imagedata r:id="rId12288" o:title=""/>
          </v:shape>
          <o:OLEObject Type="Embed" ProgID="Equation.DSMT4" ShapeID="_x0000_i7112" DrawAspect="Content" ObjectID="_1791381056" r:id="rId12289"/>
        </w:object>
      </w:r>
      <w:r w:rsidRPr="002614E7">
        <w:rPr>
          <w:i/>
          <w:sz w:val="23"/>
          <w:szCs w:val="23"/>
          <w:rtl/>
        </w:rPr>
        <w:tab/>
      </w:r>
      <w:r w:rsidRPr="002614E7">
        <w:rPr>
          <w:i/>
          <w:sz w:val="23"/>
          <w:szCs w:val="23"/>
          <w:rtl/>
        </w:rPr>
        <w:tab/>
      </w:r>
      <w:r w:rsidRPr="002614E7">
        <w:rPr>
          <w:i/>
          <w:sz w:val="23"/>
          <w:szCs w:val="23"/>
          <w:rtl/>
        </w:rPr>
        <w:tab/>
      </w:r>
      <w:r w:rsidRPr="002614E7">
        <w:rPr>
          <w:i/>
          <w:sz w:val="23"/>
          <w:szCs w:val="23"/>
          <w:rtl/>
        </w:rPr>
        <w:tab/>
      </w:r>
      <w:r w:rsidRPr="002614E7">
        <w:rPr>
          <w:i/>
          <w:sz w:val="23"/>
          <w:szCs w:val="23"/>
          <w:rtl/>
        </w:rPr>
        <w:tab/>
      </w:r>
      <w:r w:rsidRPr="002614E7">
        <w:rPr>
          <w:i/>
          <w:sz w:val="23"/>
          <w:szCs w:val="23"/>
          <w:rtl/>
        </w:rPr>
        <w:tab/>
      </w:r>
      <w:r w:rsidRPr="002614E7">
        <w:rPr>
          <w:i/>
          <w:sz w:val="23"/>
          <w:szCs w:val="23"/>
          <w:rtl/>
        </w:rPr>
        <w:tab/>
      </w:r>
      <w:r w:rsidRPr="002614E7">
        <w:rPr>
          <w:i/>
          <w:sz w:val="23"/>
          <w:szCs w:val="23"/>
          <w:rtl/>
        </w:rPr>
        <w:tab/>
      </w:r>
      <w:r w:rsidRPr="002614E7">
        <w:rPr>
          <w:i/>
          <w:sz w:val="23"/>
          <w:szCs w:val="23"/>
          <w:rtl/>
        </w:rPr>
        <w:tab/>
      </w:r>
      <w:r w:rsidRPr="002614E7">
        <w:rPr>
          <w:i/>
          <w:sz w:val="23"/>
          <w:szCs w:val="23"/>
          <w:rtl/>
        </w:rPr>
        <w:tab/>
      </w:r>
      <w:r w:rsidRPr="002614E7">
        <w:rPr>
          <w:i/>
          <w:sz w:val="23"/>
          <w:szCs w:val="23"/>
        </w:rPr>
        <w:t xml:space="preserve"> </w:t>
      </w:r>
      <w:r w:rsidRPr="002614E7">
        <w:rPr>
          <w:rFonts w:hint="cs"/>
          <w:i/>
          <w:sz w:val="23"/>
          <w:szCs w:val="23"/>
          <w:rtl/>
        </w:rPr>
        <w:t>(۱۴. ۶۱)</w:t>
      </w:r>
    </w:p>
    <w:p w14:paraId="4626A4D4" w14:textId="77777777" w:rsidR="00556C10" w:rsidRPr="002614E7" w:rsidRDefault="00556C10" w:rsidP="00556C10">
      <w:pPr>
        <w:tabs>
          <w:tab w:val="right" w:pos="1287"/>
        </w:tabs>
        <w:spacing w:line="216" w:lineRule="auto"/>
        <w:jc w:val="center"/>
        <w:rPr>
          <w:i/>
          <w:sz w:val="23"/>
          <w:szCs w:val="23"/>
          <w:rtl/>
        </w:rPr>
      </w:pPr>
      <w:r w:rsidRPr="002614E7">
        <w:rPr>
          <w:rFonts w:hint="cs"/>
          <w:i/>
          <w:sz w:val="23"/>
          <w:szCs w:val="23"/>
          <w:rtl/>
        </w:rPr>
        <w:t>نمودار ۱۴. ۴ : واکنش‌های اقتصاد بسته به یک شوک موقتی تورم</w:t>
      </w:r>
    </w:p>
    <w:p w14:paraId="538E25F7" w14:textId="77777777" w:rsidR="00556C10" w:rsidRPr="002614E7" w:rsidRDefault="00556C10" w:rsidP="00556C10">
      <w:pPr>
        <w:tabs>
          <w:tab w:val="right" w:pos="1287"/>
        </w:tabs>
        <w:spacing w:line="216" w:lineRule="auto"/>
        <w:jc w:val="center"/>
        <w:rPr>
          <w:i/>
          <w:sz w:val="23"/>
          <w:szCs w:val="23"/>
          <w:rtl/>
        </w:rPr>
      </w:pPr>
      <w:r w:rsidRPr="002614E7">
        <w:rPr>
          <w:i/>
          <w:noProof/>
          <w:sz w:val="23"/>
          <w:szCs w:val="23"/>
          <w:u w:val="single"/>
          <w:lang w:bidi="ar-SA"/>
        </w:rPr>
        <w:lastRenderedPageBreak/>
        <w:drawing>
          <wp:inline distT="0" distB="0" distL="0" distR="0" wp14:anchorId="337AB269" wp14:editId="051B357F">
            <wp:extent cx="3656618" cy="1775012"/>
            <wp:effectExtent l="38100" t="38100" r="39370" b="349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90" cstate="print">
                      <a:extLst>
                        <a:ext uri="{28A0092B-C50C-407E-A947-70E740481C1C}">
                          <a14:useLocalDpi xmlns:a14="http://schemas.microsoft.com/office/drawing/2010/main" val="0"/>
                        </a:ext>
                      </a:extLst>
                    </a:blip>
                    <a:srcRect/>
                    <a:stretch>
                      <a:fillRect/>
                    </a:stretch>
                  </pic:blipFill>
                  <pic:spPr bwMode="auto">
                    <a:xfrm>
                      <a:off x="0" y="0"/>
                      <a:ext cx="3657600" cy="1775489"/>
                    </a:xfrm>
                    <a:prstGeom prst="rect">
                      <a:avLst/>
                    </a:prstGeom>
                    <a:ln w="28575">
                      <a:solidFill>
                        <a:schemeClr val="tx1"/>
                      </a:solidFill>
                    </a:ln>
                  </pic:spPr>
                </pic:pic>
              </a:graphicData>
            </a:graphic>
          </wp:inline>
        </w:drawing>
      </w:r>
    </w:p>
    <w:p w14:paraId="0F53637A" w14:textId="77777777" w:rsidR="00556C10" w:rsidRPr="002614E7" w:rsidRDefault="00556C10" w:rsidP="00556C10">
      <w:pPr>
        <w:tabs>
          <w:tab w:val="right" w:pos="1287"/>
        </w:tabs>
        <w:spacing w:line="216" w:lineRule="auto"/>
        <w:jc w:val="center"/>
        <w:rPr>
          <w:i/>
          <w:sz w:val="23"/>
          <w:szCs w:val="23"/>
          <w:rtl/>
        </w:rPr>
      </w:pPr>
    </w:p>
    <w:p w14:paraId="0D1C04A2" w14:textId="77777777" w:rsidR="00556C10" w:rsidRPr="002614E7" w:rsidRDefault="00556C10" w:rsidP="00556C10">
      <w:pPr>
        <w:tabs>
          <w:tab w:val="right" w:pos="1287"/>
        </w:tabs>
        <w:spacing w:line="216" w:lineRule="auto"/>
        <w:jc w:val="center"/>
        <w:rPr>
          <w:i/>
          <w:sz w:val="23"/>
          <w:szCs w:val="23"/>
          <w:rtl/>
        </w:rPr>
      </w:pPr>
      <w:r w:rsidRPr="002614E7">
        <w:rPr>
          <w:rFonts w:hint="cs"/>
          <w:i/>
          <w:sz w:val="23"/>
          <w:szCs w:val="23"/>
          <w:rtl/>
        </w:rPr>
        <w:t>نمودار ۱۴. ۵ : واکنش‌های یک اقتصاد باز به یک شوک موقتی تورم</w:t>
      </w:r>
    </w:p>
    <w:p w14:paraId="06EA6F01" w14:textId="77777777" w:rsidR="00556C10" w:rsidRPr="002614E7" w:rsidRDefault="00556C10" w:rsidP="00556C10">
      <w:pPr>
        <w:tabs>
          <w:tab w:val="right" w:pos="1287"/>
        </w:tabs>
        <w:spacing w:line="216" w:lineRule="auto"/>
        <w:jc w:val="center"/>
        <w:rPr>
          <w:i/>
          <w:sz w:val="23"/>
          <w:szCs w:val="23"/>
          <w:rtl/>
        </w:rPr>
      </w:pPr>
      <w:r w:rsidRPr="002614E7">
        <w:rPr>
          <w:i/>
          <w:noProof/>
          <w:sz w:val="23"/>
          <w:szCs w:val="23"/>
          <w:u w:val="single"/>
          <w:lang w:bidi="ar-SA"/>
        </w:rPr>
        <w:drawing>
          <wp:inline distT="0" distB="0" distL="0" distR="0" wp14:anchorId="7FE00A52" wp14:editId="50F8ED0A">
            <wp:extent cx="3656326" cy="1684421"/>
            <wp:effectExtent l="38100" t="38100" r="40005" b="3048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91" cstate="print">
                      <a:extLst>
                        <a:ext uri="{28A0092B-C50C-407E-A947-70E740481C1C}">
                          <a14:useLocalDpi xmlns:a14="http://schemas.microsoft.com/office/drawing/2010/main" val="0"/>
                        </a:ext>
                      </a:extLst>
                    </a:blip>
                    <a:srcRect/>
                    <a:stretch>
                      <a:fillRect/>
                    </a:stretch>
                  </pic:blipFill>
                  <pic:spPr bwMode="auto">
                    <a:xfrm>
                      <a:off x="0" y="0"/>
                      <a:ext cx="3669896" cy="1690672"/>
                    </a:xfrm>
                    <a:prstGeom prst="rect">
                      <a:avLst/>
                    </a:prstGeom>
                    <a:ln w="28575">
                      <a:solidFill>
                        <a:schemeClr val="tx1"/>
                      </a:solidFill>
                    </a:ln>
                  </pic:spPr>
                </pic:pic>
              </a:graphicData>
            </a:graphic>
          </wp:inline>
        </w:drawing>
      </w:r>
    </w:p>
    <w:p w14:paraId="6AB13D05" w14:textId="77777777" w:rsidR="00556C10" w:rsidRPr="002614E7" w:rsidRDefault="00556C10" w:rsidP="00556C10">
      <w:pPr>
        <w:tabs>
          <w:tab w:val="right" w:pos="1287"/>
        </w:tabs>
        <w:spacing w:line="216" w:lineRule="auto"/>
        <w:jc w:val="center"/>
        <w:rPr>
          <w:i/>
          <w:sz w:val="23"/>
          <w:szCs w:val="23"/>
          <w:rtl/>
        </w:rPr>
      </w:pPr>
    </w:p>
    <w:p w14:paraId="2C7EE9D8" w14:textId="77777777" w:rsidR="00556C10" w:rsidRPr="002614E7" w:rsidRDefault="00556C10" w:rsidP="00556C10">
      <w:pPr>
        <w:tabs>
          <w:tab w:val="right" w:pos="1287"/>
        </w:tabs>
        <w:spacing w:line="216" w:lineRule="auto"/>
        <w:jc w:val="center"/>
        <w:rPr>
          <w:i/>
          <w:sz w:val="23"/>
          <w:szCs w:val="23"/>
          <w:rtl/>
        </w:rPr>
      </w:pPr>
      <w:r w:rsidRPr="002614E7">
        <w:rPr>
          <w:rFonts w:hint="cs"/>
          <w:i/>
          <w:sz w:val="23"/>
          <w:szCs w:val="23"/>
          <w:rtl/>
        </w:rPr>
        <w:t>نمودار ۱۴. ۶ : واکنش نسبت به یک شوک موقتی قیمت جهانی</w:t>
      </w:r>
    </w:p>
    <w:p w14:paraId="1BDDD511" w14:textId="77777777" w:rsidR="00556C10" w:rsidRPr="002614E7" w:rsidRDefault="00556C10" w:rsidP="00556C10">
      <w:pPr>
        <w:tabs>
          <w:tab w:val="right" w:pos="1287"/>
        </w:tabs>
        <w:spacing w:line="216" w:lineRule="auto"/>
        <w:jc w:val="center"/>
        <w:rPr>
          <w:i/>
          <w:sz w:val="23"/>
          <w:szCs w:val="23"/>
          <w:rtl/>
        </w:rPr>
      </w:pPr>
      <w:r w:rsidRPr="002614E7">
        <w:rPr>
          <w:i/>
          <w:noProof/>
          <w:sz w:val="23"/>
          <w:szCs w:val="23"/>
          <w:u w:val="single"/>
          <w:lang w:bidi="ar-SA"/>
        </w:rPr>
        <w:drawing>
          <wp:inline distT="0" distB="0" distL="0" distR="0" wp14:anchorId="78AA7F35" wp14:editId="3FDF07A5">
            <wp:extent cx="3656330" cy="1791998"/>
            <wp:effectExtent l="38100" t="38100" r="39370" b="3683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92" cstate="print">
                      <a:extLst>
                        <a:ext uri="{28A0092B-C50C-407E-A947-70E740481C1C}">
                          <a14:useLocalDpi xmlns:a14="http://schemas.microsoft.com/office/drawing/2010/main" val="0"/>
                        </a:ext>
                      </a:extLst>
                    </a:blip>
                    <a:srcRect/>
                    <a:stretch>
                      <a:fillRect/>
                    </a:stretch>
                  </pic:blipFill>
                  <pic:spPr bwMode="auto">
                    <a:xfrm>
                      <a:off x="0" y="0"/>
                      <a:ext cx="3665712" cy="1796596"/>
                    </a:xfrm>
                    <a:prstGeom prst="rect">
                      <a:avLst/>
                    </a:prstGeom>
                    <a:ln w="28575">
                      <a:solidFill>
                        <a:schemeClr val="tx1"/>
                      </a:solidFill>
                    </a:ln>
                  </pic:spPr>
                </pic:pic>
              </a:graphicData>
            </a:graphic>
          </wp:inline>
        </w:drawing>
      </w:r>
    </w:p>
    <w:p w14:paraId="2843BF99" w14:textId="77777777" w:rsidR="00556C10" w:rsidRPr="002614E7" w:rsidRDefault="00556C10" w:rsidP="00556C10">
      <w:pPr>
        <w:tabs>
          <w:tab w:val="right" w:pos="1287"/>
        </w:tabs>
        <w:spacing w:line="216" w:lineRule="auto"/>
        <w:jc w:val="center"/>
        <w:rPr>
          <w:i/>
          <w:sz w:val="23"/>
          <w:szCs w:val="23"/>
          <w:rtl/>
        </w:rPr>
      </w:pPr>
      <w:r w:rsidRPr="002614E7">
        <w:rPr>
          <w:rFonts w:hint="cs"/>
          <w:i/>
          <w:sz w:val="23"/>
          <w:szCs w:val="23"/>
          <w:rtl/>
        </w:rPr>
        <w:t>نمودار ۱۴. ۷ : واکنش‌ها نسبت به یک شوک دائمی قیمت جهانی</w:t>
      </w:r>
    </w:p>
    <w:p w14:paraId="4A1A22EE" w14:textId="77777777" w:rsidR="00556C10" w:rsidRPr="002614E7" w:rsidRDefault="00556C10" w:rsidP="00556C10">
      <w:pPr>
        <w:tabs>
          <w:tab w:val="right" w:pos="1287"/>
        </w:tabs>
        <w:spacing w:line="216" w:lineRule="auto"/>
        <w:jc w:val="center"/>
        <w:rPr>
          <w:i/>
          <w:sz w:val="23"/>
          <w:szCs w:val="23"/>
          <w:rtl/>
        </w:rPr>
      </w:pPr>
      <w:r w:rsidRPr="002614E7">
        <w:rPr>
          <w:i/>
          <w:noProof/>
          <w:sz w:val="23"/>
          <w:szCs w:val="23"/>
          <w:u w:val="single"/>
          <w:lang w:bidi="ar-SA"/>
        </w:rPr>
        <w:lastRenderedPageBreak/>
        <w:drawing>
          <wp:inline distT="0" distB="0" distL="0" distR="0" wp14:anchorId="6A35144A" wp14:editId="11584270">
            <wp:extent cx="3655457" cy="1834462"/>
            <wp:effectExtent l="38100" t="38100" r="40640" b="3302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93" cstate="print">
                      <a:extLst>
                        <a:ext uri="{BEBA8EAE-BF5A-486C-A8C5-ECC9F3942E4B}">
                          <a14:imgProps xmlns:a14="http://schemas.microsoft.com/office/drawing/2010/main">
                            <a14:imgLayer r:embed="rId12294">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67052" cy="1840281"/>
                    </a:xfrm>
                    <a:prstGeom prst="rect">
                      <a:avLst/>
                    </a:prstGeom>
                    <a:ln w="28575">
                      <a:solidFill>
                        <a:schemeClr val="tx1"/>
                      </a:solidFill>
                    </a:ln>
                  </pic:spPr>
                </pic:pic>
              </a:graphicData>
            </a:graphic>
          </wp:inline>
        </w:drawing>
      </w:r>
    </w:p>
    <w:p w14:paraId="67BACFD6" w14:textId="77777777" w:rsidR="00556C10" w:rsidRPr="002614E7" w:rsidRDefault="00556C10" w:rsidP="00556C10">
      <w:pPr>
        <w:pStyle w:val="MTDisplayEquation"/>
        <w:tabs>
          <w:tab w:val="clear" w:pos="3320"/>
          <w:tab w:val="clear" w:pos="6660"/>
          <w:tab w:val="right" w:pos="0"/>
        </w:tabs>
        <w:spacing w:line="216" w:lineRule="auto"/>
        <w:rPr>
          <w:rFonts w:ascii="Times New Roman" w:hAnsi="Times New Roman" w:cs="B Nazanin"/>
          <w:i/>
          <w:sz w:val="23"/>
          <w:szCs w:val="23"/>
          <w:rtl/>
        </w:rPr>
      </w:pPr>
      <w:r w:rsidRPr="002614E7">
        <w:rPr>
          <w:rFonts w:ascii="Times New Roman" w:hAnsi="Times New Roman" w:cs="B Nazanin"/>
          <w:i/>
          <w:sz w:val="23"/>
          <w:szCs w:val="23"/>
        </w:rPr>
        <w:tab/>
      </w:r>
    </w:p>
    <w:p w14:paraId="04C43A9C"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که در آن</w:t>
      </w:r>
      <w:r w:rsidRPr="002614E7">
        <w:rPr>
          <w:position w:val="-6"/>
        </w:rPr>
        <w:object w:dxaOrig="279" w:dyaOrig="300" w14:anchorId="4CE46CF0">
          <v:shape id="_x0000_i7113" type="#_x0000_t75" style="width:13.9pt;height:14.5pt" o:ole="">
            <v:imagedata r:id="rId12295" o:title=""/>
          </v:shape>
          <o:OLEObject Type="Embed" ProgID="Equation.DSMT4" ShapeID="_x0000_i7113" DrawAspect="Content" ObjectID="_1791381057" r:id="rId12296"/>
        </w:object>
      </w:r>
      <w:r w:rsidRPr="002614E7">
        <w:rPr>
          <w:rFonts w:hint="cs"/>
          <w:i/>
          <w:sz w:val="23"/>
          <w:szCs w:val="23"/>
          <w:rtl/>
        </w:rPr>
        <w:t xml:space="preserve"> مقدار تورم هدف‌‌گذاری شده،</w:t>
      </w:r>
      <w:r w:rsidRPr="002614E7">
        <w:rPr>
          <w:position w:val="-10"/>
        </w:rPr>
        <w:object w:dxaOrig="240" w:dyaOrig="320" w14:anchorId="72340C0D">
          <v:shape id="_x0000_i7114" type="#_x0000_t75" style="width:11.5pt;height:15.75pt" o:ole="">
            <v:imagedata r:id="rId12297" o:title=""/>
          </v:shape>
          <o:OLEObject Type="Embed" ProgID="Equation.DSMT4" ShapeID="_x0000_i7114" DrawAspect="Content" ObjectID="_1791381058" r:id="rId12298"/>
        </w:object>
      </w:r>
      <w:r w:rsidRPr="002614E7">
        <w:rPr>
          <w:rFonts w:hint="cs"/>
          <w:i/>
          <w:sz w:val="23"/>
          <w:szCs w:val="23"/>
          <w:rtl/>
        </w:rPr>
        <w:t xml:space="preserve"> تولید و</w:t>
      </w:r>
      <w:r w:rsidRPr="002614E7">
        <w:rPr>
          <w:position w:val="-10"/>
        </w:rPr>
        <w:object w:dxaOrig="260" w:dyaOrig="340" w14:anchorId="51BF38E5">
          <v:shape id="_x0000_i7115" type="#_x0000_t75" style="width:13.3pt;height:16.95pt" o:ole="">
            <v:imagedata r:id="rId12299" o:title=""/>
          </v:shape>
          <o:OLEObject Type="Embed" ProgID="Equation.DSMT4" ShapeID="_x0000_i7115" DrawAspect="Content" ObjectID="_1791381059" r:id="rId12300"/>
        </w:object>
      </w:r>
      <w:r w:rsidRPr="002614E7">
        <w:rPr>
          <w:rFonts w:hint="cs"/>
          <w:i/>
          <w:sz w:val="23"/>
          <w:szCs w:val="23"/>
          <w:rtl/>
        </w:rPr>
        <w:t xml:space="preserve"> سطح تولید هدف‌‌گذاری شده یا تولید تعادلی</w:t>
      </w:r>
      <w:r>
        <w:rPr>
          <w:rFonts w:hint="cs"/>
          <w:i/>
          <w:sz w:val="23"/>
          <w:szCs w:val="23"/>
          <w:rtl/>
        </w:rPr>
        <w:t xml:space="preserve"> </w:t>
      </w:r>
      <w:r w:rsidRPr="002614E7">
        <w:rPr>
          <w:rFonts w:hint="cs"/>
          <w:i/>
          <w:sz w:val="23"/>
          <w:szCs w:val="23"/>
          <w:rtl/>
        </w:rPr>
        <w:t>یا تولید با حداکثر ظرفیت می‌باشد. بنابراین هدف بانک مرکزی ‌حداقل کردن ارزش فعلی انحرافات تورم</w:t>
      </w:r>
      <w:r>
        <w:rPr>
          <w:rFonts w:hint="cs"/>
          <w:i/>
          <w:sz w:val="23"/>
          <w:szCs w:val="23"/>
          <w:rtl/>
        </w:rPr>
        <w:t xml:space="preserve"> </w:t>
      </w:r>
      <w:r w:rsidRPr="002614E7">
        <w:rPr>
          <w:rFonts w:hint="cs"/>
          <w:i/>
          <w:sz w:val="23"/>
          <w:szCs w:val="23"/>
          <w:rtl/>
        </w:rPr>
        <w:t>و تولید از سطوح هدف‌‌گذاری شده</w:t>
      </w:r>
      <w:r w:rsidRPr="002614E7">
        <w:rPr>
          <w:rFonts w:hint="cs"/>
          <w:i/>
          <w:sz w:val="23"/>
          <w:szCs w:val="23"/>
          <w:rtl/>
        </w:rPr>
        <w:softHyphen/>
        <w:t>ی آن‌ها است، و پارامتر</w:t>
      </w:r>
      <w:r w:rsidRPr="002614E7">
        <w:rPr>
          <w:position w:val="-6"/>
        </w:rPr>
        <w:object w:dxaOrig="220" w:dyaOrig="200" w14:anchorId="2FF691DE">
          <v:shape id="_x0000_i7116" type="#_x0000_t75" style="width:10.9pt;height:10.3pt" o:ole="">
            <v:imagedata r:id="rId12301" o:title=""/>
          </v:shape>
          <o:OLEObject Type="Embed" ProgID="Equation.DSMT4" ShapeID="_x0000_i7116" DrawAspect="Content" ObjectID="_1791381060" r:id="rId12302"/>
        </w:object>
      </w:r>
      <w:r w:rsidRPr="002614E7">
        <w:rPr>
          <w:rFonts w:hint="cs"/>
          <w:i/>
          <w:sz w:val="23"/>
          <w:szCs w:val="23"/>
          <w:rtl/>
        </w:rPr>
        <w:t xml:space="preserve"> وزن مرتبط به هدف‌</w:t>
      </w:r>
      <w:r w:rsidRPr="002614E7">
        <w:rPr>
          <w:rFonts w:hint="cs"/>
          <w:i/>
          <w:sz w:val="23"/>
          <w:szCs w:val="23"/>
          <w:rtl/>
        </w:rPr>
        <w:softHyphen/>
        <w:t>گذاری</w:t>
      </w:r>
      <w:r w:rsidRPr="002614E7">
        <w:rPr>
          <w:rFonts w:hint="cs"/>
          <w:i/>
          <w:sz w:val="23"/>
          <w:szCs w:val="23"/>
          <w:rtl/>
        </w:rPr>
        <w:softHyphen/>
        <w:t>تولید نسبت به هدف‌</w:t>
      </w:r>
      <w:r w:rsidRPr="002614E7">
        <w:rPr>
          <w:rFonts w:hint="cs"/>
          <w:i/>
          <w:sz w:val="23"/>
          <w:szCs w:val="23"/>
          <w:rtl/>
        </w:rPr>
        <w:softHyphen/>
        <w:t>گذاری تورم است.</w:t>
      </w:r>
      <w:r w:rsidRPr="002614E7">
        <w:rPr>
          <w:i/>
          <w:sz w:val="23"/>
          <w:szCs w:val="23"/>
        </w:rPr>
        <w:t xml:space="preserve"> </w:t>
      </w:r>
      <w:r w:rsidRPr="002614E7">
        <w:rPr>
          <w:rFonts w:hint="cs"/>
          <w:i/>
          <w:sz w:val="23"/>
          <w:szCs w:val="23"/>
          <w:rtl/>
        </w:rPr>
        <w:t>قیود مربوطه شبیه مدل کینزین جدید در خصوص تورم و تولید است.</w:t>
      </w:r>
    </w:p>
    <w:p w14:paraId="77091B6E" w14:textId="77777777" w:rsidR="00556C10" w:rsidRPr="002614E7" w:rsidRDefault="00556C10" w:rsidP="00556C10">
      <w:pPr>
        <w:tabs>
          <w:tab w:val="right" w:pos="0"/>
        </w:tabs>
        <w:spacing w:line="216" w:lineRule="auto"/>
        <w:rPr>
          <w:i/>
          <w:sz w:val="23"/>
          <w:szCs w:val="23"/>
        </w:rPr>
      </w:pPr>
    </w:p>
    <w:p w14:paraId="336E43F9" w14:textId="77777777" w:rsidR="00556C10" w:rsidRPr="002614E7" w:rsidRDefault="00556C10" w:rsidP="00556C10">
      <w:pPr>
        <w:pStyle w:val="Heading1"/>
        <w:spacing w:before="0" w:line="216" w:lineRule="auto"/>
        <w:rPr>
          <w:rFonts w:ascii="Times New Roman" w:hAnsi="Times New Roman" w:cs="B Nazanin"/>
          <w:b w:val="0"/>
          <w:i/>
          <w:sz w:val="23"/>
          <w:szCs w:val="23"/>
        </w:rPr>
      </w:pPr>
      <w:r w:rsidRPr="002614E7">
        <w:rPr>
          <w:rFonts w:ascii="Times New Roman" w:hAnsi="Times New Roman" w:cs="B Nazanin" w:hint="cs"/>
          <w:b w:val="0"/>
          <w:i/>
          <w:sz w:val="23"/>
          <w:szCs w:val="23"/>
          <w:rtl/>
        </w:rPr>
        <w:t>۱۴. ۵. ۱ رفاه اجتماعی و تابع هدف</w:t>
      </w:r>
      <w:r w:rsidRPr="002614E7">
        <w:rPr>
          <w:rFonts w:ascii="Times New Roman" w:hAnsi="Times New Roman" w:cs="B Nazanin"/>
          <w:b w:val="0"/>
          <w:i/>
          <w:sz w:val="23"/>
          <w:szCs w:val="23"/>
        </w:rPr>
        <w:t xml:space="preserve"> </w:t>
      </w:r>
      <w:r w:rsidRPr="002614E7">
        <w:rPr>
          <w:rFonts w:ascii="Times New Roman" w:hAnsi="Times New Roman" w:cs="B Nazanin" w:hint="cs"/>
          <w:b w:val="0"/>
          <w:i/>
          <w:sz w:val="23"/>
          <w:szCs w:val="23"/>
          <w:rtl/>
        </w:rPr>
        <w:t>‌تورم</w:t>
      </w:r>
    </w:p>
    <w:p w14:paraId="2832686C"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 در واقع انتخاب معادله</w:t>
      </w:r>
      <w:r w:rsidRPr="002614E7">
        <w:rPr>
          <w:i/>
          <w:sz w:val="23"/>
          <w:szCs w:val="23"/>
        </w:rPr>
        <w:softHyphen/>
      </w:r>
      <w:r w:rsidRPr="002614E7">
        <w:rPr>
          <w:rFonts w:hint="cs"/>
          <w:i/>
          <w:sz w:val="23"/>
          <w:szCs w:val="23"/>
          <w:rtl/>
        </w:rPr>
        <w:t>ی (۱۴. ۶۱) به‌عنوان تابع هدف، به طور شهودی، عقلانی و قابل قبولاست</w:t>
      </w:r>
      <w:r w:rsidRPr="002614E7">
        <w:rPr>
          <w:i/>
          <w:sz w:val="23"/>
          <w:szCs w:val="23"/>
        </w:rPr>
        <w:t xml:space="preserve"> </w:t>
      </w:r>
      <w:r w:rsidRPr="002614E7">
        <w:rPr>
          <w:rFonts w:hint="cs"/>
          <w:i/>
          <w:sz w:val="23"/>
          <w:szCs w:val="23"/>
          <w:rtl/>
        </w:rPr>
        <w:t>ولی کاملاً ویژه و تک موردی است.</w:t>
      </w:r>
      <w:r w:rsidRPr="002614E7">
        <w:rPr>
          <w:rStyle w:val="FootnoteReference"/>
          <w:i/>
          <w:sz w:val="23"/>
          <w:szCs w:val="23"/>
          <w:rtl/>
        </w:rPr>
        <w:footnoteReference w:id="350"/>
      </w:r>
      <w:r w:rsidRPr="002614E7">
        <w:rPr>
          <w:rFonts w:hint="cs"/>
          <w:i/>
          <w:sz w:val="23"/>
          <w:szCs w:val="23"/>
          <w:rtl/>
        </w:rPr>
        <w:t xml:space="preserve"> باید توجه نمود که انتخاب این تابع صریحاً بر مبنای توجه به رفاه اجتماعی نمی</w:t>
      </w:r>
      <w:r w:rsidRPr="002614E7">
        <w:rPr>
          <w:rFonts w:hint="cs"/>
          <w:i/>
          <w:sz w:val="23"/>
          <w:szCs w:val="23"/>
          <w:rtl/>
        </w:rPr>
        <w:softHyphen/>
        <w:t>باشد. بررسی و تجریه و تحلیل رابطه</w:t>
      </w:r>
      <w:r w:rsidRPr="002614E7">
        <w:rPr>
          <w:rFonts w:hint="cs"/>
          <w:i/>
          <w:sz w:val="23"/>
          <w:szCs w:val="23"/>
          <w:rtl/>
        </w:rPr>
        <w:softHyphen/>
        <w:t>ی بین رفاه اجتماعی و تابع زیان درجه دوم همانند معادله</w:t>
      </w:r>
      <w:r w:rsidRPr="002614E7">
        <w:rPr>
          <w:rFonts w:hint="cs"/>
          <w:i/>
          <w:sz w:val="23"/>
          <w:szCs w:val="23"/>
          <w:rtl/>
        </w:rPr>
        <w:softHyphen/>
        <w:t>ی (۱۴. ۶۱)،</w:t>
      </w:r>
      <w:r w:rsidRPr="002614E7">
        <w:rPr>
          <w:rFonts w:eastAsiaTheme="minorEastAsia" w:hint="cs"/>
          <w:i/>
          <w:sz w:val="23"/>
          <w:szCs w:val="23"/>
          <w:rtl/>
        </w:rPr>
        <w:t xml:space="preserve"> </w:t>
      </w:r>
      <w:r w:rsidRPr="002614E7">
        <w:rPr>
          <w:rFonts w:hint="cs"/>
          <w:i/>
          <w:sz w:val="23"/>
          <w:szCs w:val="23"/>
          <w:rtl/>
        </w:rPr>
        <w:t>به وسیله</w:t>
      </w:r>
      <w:r w:rsidRPr="002614E7">
        <w:rPr>
          <w:rFonts w:hint="cs"/>
          <w:i/>
          <w:sz w:val="23"/>
          <w:szCs w:val="23"/>
          <w:rtl/>
        </w:rPr>
        <w:softHyphen/>
        <w:t>ی روتمبرگ و وودفرد</w:t>
      </w:r>
      <w:r w:rsidRPr="002614E7">
        <w:rPr>
          <w:rStyle w:val="FootnoteReference"/>
          <w:i/>
          <w:sz w:val="23"/>
          <w:szCs w:val="23"/>
          <w:rtl/>
        </w:rPr>
        <w:footnoteReference w:id="351"/>
      </w:r>
      <w:r w:rsidRPr="002614E7">
        <w:rPr>
          <w:rFonts w:hint="cs"/>
          <w:i/>
          <w:sz w:val="23"/>
          <w:szCs w:val="23"/>
          <w:rtl/>
        </w:rPr>
        <w:t xml:space="preserve"> و وودفرد</w:t>
      </w:r>
      <w:r w:rsidRPr="002614E7">
        <w:rPr>
          <w:rStyle w:val="FootnoteReference"/>
          <w:i/>
          <w:sz w:val="23"/>
          <w:szCs w:val="23"/>
          <w:rtl/>
        </w:rPr>
        <w:footnoteReference w:id="352"/>
      </w:r>
      <w:r w:rsidRPr="002614E7">
        <w:rPr>
          <w:rFonts w:hint="cs"/>
          <w:i/>
          <w:sz w:val="23"/>
          <w:szCs w:val="23"/>
          <w:rtl/>
        </w:rPr>
        <w:t xml:space="preserve"> انجام شده است. آن‌ها نشان داده</w:t>
      </w:r>
      <w:r w:rsidRPr="002614E7">
        <w:rPr>
          <w:rFonts w:hint="cs"/>
          <w:i/>
          <w:sz w:val="23"/>
          <w:szCs w:val="23"/>
          <w:rtl/>
        </w:rPr>
        <w:softHyphen/>
        <w:t>اند که رفاه اجتماعی بین‌دوره</w:t>
      </w:r>
      <w:r w:rsidRPr="002614E7">
        <w:rPr>
          <w:rFonts w:hint="cs"/>
          <w:i/>
          <w:sz w:val="23"/>
          <w:szCs w:val="23"/>
          <w:rtl/>
        </w:rPr>
        <w:softHyphen/>
        <w:t xml:space="preserve">ای را به طور تقریبی می‌توان به وسیله معادله‌ی (۱۴. ۶۱) نشان داد. </w:t>
      </w:r>
    </w:p>
    <w:p w14:paraId="30DCBD38" w14:textId="77777777" w:rsidR="00556C10" w:rsidRDefault="00556C10" w:rsidP="00556C10">
      <w:pPr>
        <w:tabs>
          <w:tab w:val="right" w:pos="1287"/>
        </w:tabs>
        <w:spacing w:line="216" w:lineRule="auto"/>
        <w:rPr>
          <w:i/>
          <w:sz w:val="23"/>
          <w:szCs w:val="23"/>
          <w:rtl/>
        </w:rPr>
      </w:pPr>
      <w:r w:rsidRPr="002614E7">
        <w:rPr>
          <w:rFonts w:hint="cs"/>
          <w:i/>
          <w:sz w:val="23"/>
          <w:szCs w:val="23"/>
          <w:rtl/>
        </w:rPr>
        <w:t>قبلاً رفاه اجتماعی را بر حسب تابع مطلوبیت بین‌دوره</w:t>
      </w:r>
      <w:r w:rsidRPr="002614E7">
        <w:rPr>
          <w:rFonts w:hint="cs"/>
          <w:i/>
          <w:sz w:val="23"/>
          <w:szCs w:val="23"/>
          <w:rtl/>
        </w:rPr>
        <w:softHyphen/>
        <w:t>ای خانوار نمونه تعریف کردیم که به</w:t>
      </w:r>
      <w:r>
        <w:rPr>
          <w:rFonts w:hint="cs"/>
          <w:i/>
          <w:sz w:val="23"/>
          <w:szCs w:val="23"/>
          <w:rtl/>
        </w:rPr>
        <w:t xml:space="preserve"> </w:t>
      </w:r>
      <w:r w:rsidRPr="002614E7">
        <w:rPr>
          <w:rFonts w:hint="cs"/>
          <w:i/>
          <w:sz w:val="23"/>
          <w:szCs w:val="23"/>
          <w:rtl/>
        </w:rPr>
        <w:t>متغیرهای حقیقی همانند مصرف، تراز واقعی پول و فراغت وابسته بود. در مقابل معادله (۱۴. ۶۱)</w:t>
      </w:r>
      <w:r w:rsidRPr="002614E7">
        <w:rPr>
          <w:rFonts w:eastAsiaTheme="minorEastAsia"/>
          <w:i/>
          <w:sz w:val="23"/>
          <w:szCs w:val="23"/>
        </w:rPr>
        <w:t xml:space="preserve"> </w:t>
      </w:r>
      <w:r w:rsidRPr="002614E7">
        <w:rPr>
          <w:rFonts w:hint="cs"/>
          <w:i/>
          <w:sz w:val="23"/>
          <w:szCs w:val="23"/>
          <w:rtl/>
        </w:rPr>
        <w:t>دارای اجزای اسمی و حقیقی است. جهت تطبیق این دو تابع هدف ‌می‌بایست نشان داد که چگونه اهدف ‌اسمی با حداکثر</w:t>
      </w:r>
      <w:r w:rsidRPr="002614E7">
        <w:rPr>
          <w:rFonts w:hint="cs"/>
          <w:i/>
          <w:sz w:val="23"/>
          <w:szCs w:val="23"/>
          <w:rtl/>
        </w:rPr>
        <w:softHyphen/>
        <w:t>سازی تابع رفاه اجتماعی بر مبنای متغیرهای حقیقی سازگار است. پاسخ در هزینه‌های حقیقی نهفته است که از طریق تطبیق آهسته</w:t>
      </w:r>
      <w:r w:rsidRPr="002614E7">
        <w:rPr>
          <w:rFonts w:hint="cs"/>
          <w:i/>
          <w:sz w:val="23"/>
          <w:szCs w:val="23"/>
          <w:rtl/>
        </w:rPr>
        <w:softHyphen/>
        <w:t>ی قیمت‌ها، و نه تطبیق کاملاً انعطاف</w:t>
      </w:r>
      <w:r w:rsidRPr="002614E7">
        <w:rPr>
          <w:rFonts w:hint="cs"/>
          <w:i/>
          <w:sz w:val="23"/>
          <w:szCs w:val="23"/>
          <w:rtl/>
        </w:rPr>
        <w:softHyphen/>
        <w:t>پذیر قیمت</w:t>
      </w:r>
      <w:r w:rsidRPr="002614E7">
        <w:rPr>
          <w:rFonts w:hint="cs"/>
          <w:i/>
          <w:sz w:val="23"/>
          <w:szCs w:val="23"/>
          <w:rtl/>
        </w:rPr>
        <w:softHyphen/>
        <w:t xml:space="preserve">ها اعمال </w:t>
      </w:r>
    </w:p>
    <w:p w14:paraId="1F53D9D9" w14:textId="77777777" w:rsidR="00556C10" w:rsidRPr="00A91663" w:rsidRDefault="00556C10" w:rsidP="00556C10">
      <w:pPr>
        <w:tabs>
          <w:tab w:val="right" w:pos="1287"/>
        </w:tabs>
        <w:spacing w:line="216" w:lineRule="auto"/>
        <w:rPr>
          <w:rFonts w:eastAsiaTheme="minorEastAsia"/>
          <w:i/>
          <w:sz w:val="23"/>
          <w:szCs w:val="23"/>
          <w:rtl/>
        </w:rPr>
      </w:pPr>
      <w:r w:rsidRPr="002614E7">
        <w:rPr>
          <w:rFonts w:hint="cs"/>
          <w:i/>
          <w:sz w:val="23"/>
          <w:szCs w:val="23"/>
          <w:rtl/>
        </w:rPr>
        <w:t>می</w:t>
      </w:r>
      <w:r w:rsidRPr="002614E7">
        <w:rPr>
          <w:rFonts w:hint="cs"/>
          <w:i/>
          <w:sz w:val="23"/>
          <w:szCs w:val="23"/>
          <w:rtl/>
        </w:rPr>
        <w:softHyphen/>
        <w:t>شود.</w:t>
      </w:r>
    </w:p>
    <w:p w14:paraId="6ED91EC3"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lastRenderedPageBreak/>
        <w:t xml:space="preserve">فرض کنید که تابع رفاه اجتماعی خانوار نمونه در زمان </w:t>
      </w:r>
      <w:r w:rsidRPr="002614E7">
        <w:rPr>
          <w:i/>
          <w:sz w:val="23"/>
          <w:szCs w:val="23"/>
        </w:rPr>
        <w:t>t</w:t>
      </w:r>
      <w:r w:rsidRPr="002614E7">
        <w:rPr>
          <w:rFonts w:hint="cs"/>
          <w:i/>
          <w:sz w:val="23"/>
          <w:szCs w:val="23"/>
          <w:rtl/>
        </w:rPr>
        <w:t xml:space="preserve"> عبارت است از:</w:t>
      </w:r>
    </w:p>
    <w:p w14:paraId="1A7E233E"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tl/>
        </w:rPr>
      </w:pPr>
      <w:r w:rsidRPr="002614E7">
        <w:rPr>
          <w:position w:val="-12"/>
        </w:rPr>
        <w:object w:dxaOrig="1820" w:dyaOrig="360" w14:anchorId="2146C1F9">
          <v:shape id="_x0000_i7117" type="#_x0000_t75" style="width:91.35pt;height:18.15pt" o:ole="">
            <v:imagedata r:id="rId12303" o:title=""/>
          </v:shape>
          <o:OLEObject Type="Embed" ProgID="Equation.DSMT4" ShapeID="_x0000_i7117" DrawAspect="Content" ObjectID="_1791381061" r:id="rId12304"/>
        </w:object>
      </w:r>
      <w:r w:rsidRPr="002614E7">
        <w:rPr>
          <w:rFonts w:ascii="Times New Roman" w:hAnsi="Times New Roman"/>
          <w:i/>
          <w:sz w:val="23"/>
          <w:szCs w:val="23"/>
          <w:rtl/>
        </w:rPr>
        <w:tab/>
      </w:r>
      <w:r>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ab/>
        <w:t>(۱۴. ۶۲)</w:t>
      </w:r>
    </w:p>
    <w:p w14:paraId="741AB37F" w14:textId="77777777" w:rsidR="00556C10" w:rsidRPr="002614E7" w:rsidRDefault="00556C10" w:rsidP="00556C10">
      <w:pPr>
        <w:tabs>
          <w:tab w:val="right" w:pos="-43"/>
        </w:tabs>
        <w:spacing w:line="216" w:lineRule="auto"/>
        <w:rPr>
          <w:i/>
          <w:sz w:val="23"/>
          <w:szCs w:val="23"/>
        </w:rPr>
      </w:pPr>
      <w:r w:rsidRPr="002614E7">
        <w:rPr>
          <w:rFonts w:hint="cs"/>
          <w:i/>
          <w:sz w:val="23"/>
          <w:szCs w:val="23"/>
          <w:rtl/>
        </w:rPr>
        <w:t>که در آن</w:t>
      </w:r>
      <w:r w:rsidRPr="002614E7">
        <w:rPr>
          <w:position w:val="-10"/>
        </w:rPr>
        <w:object w:dxaOrig="200" w:dyaOrig="320" w14:anchorId="328C3C82">
          <v:shape id="_x0000_i7118" type="#_x0000_t75" style="width:10.3pt;height:15.75pt" o:ole="">
            <v:imagedata r:id="rId12305" o:title=""/>
          </v:shape>
          <o:OLEObject Type="Embed" ProgID="Equation.DSMT4" ShapeID="_x0000_i7118" DrawAspect="Content" ObjectID="_1791381062" r:id="rId12306"/>
        </w:object>
      </w:r>
      <w:r w:rsidRPr="002614E7">
        <w:rPr>
          <w:rFonts w:hint="cs"/>
          <w:i/>
          <w:sz w:val="23"/>
          <w:szCs w:val="23"/>
          <w:rtl/>
        </w:rPr>
        <w:t xml:space="preserve"> شاخص مصرف کل خانوار به وسیله</w:t>
      </w:r>
      <w:r w:rsidRPr="002614E7">
        <w:rPr>
          <w:rFonts w:hint="cs"/>
          <w:i/>
          <w:sz w:val="23"/>
          <w:szCs w:val="23"/>
          <w:rtl/>
        </w:rPr>
        <w:softHyphen/>
        <w:t xml:space="preserve">ی تابع با کشش جانشینی ثابت، </w:t>
      </w:r>
      <w:r w:rsidRPr="002614E7">
        <w:rPr>
          <w:i/>
          <w:sz w:val="23"/>
          <w:szCs w:val="23"/>
        </w:rPr>
        <w:t>CES</w:t>
      </w:r>
      <w:r w:rsidRPr="002614E7">
        <w:rPr>
          <w:rFonts w:hint="cs"/>
          <w:i/>
          <w:sz w:val="23"/>
          <w:szCs w:val="23"/>
          <w:rtl/>
        </w:rPr>
        <w:t xml:space="preserve"> </w:t>
      </w:r>
      <w:r w:rsidRPr="002614E7">
        <w:rPr>
          <w:rStyle w:val="FootnoteReference"/>
          <w:i/>
          <w:sz w:val="23"/>
          <w:szCs w:val="23"/>
        </w:rPr>
        <w:footnoteReference w:id="353"/>
      </w:r>
      <w:r w:rsidRPr="002614E7">
        <w:rPr>
          <w:rFonts w:hint="cs"/>
          <w:i/>
          <w:sz w:val="23"/>
          <w:szCs w:val="23"/>
          <w:rtl/>
        </w:rPr>
        <w:t>، زیر داده شده است.</w:t>
      </w:r>
    </w:p>
    <w:p w14:paraId="3F651542"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tl/>
        </w:rPr>
      </w:pPr>
      <w:r w:rsidRPr="002614E7">
        <w:rPr>
          <w:position w:val="-30"/>
        </w:rPr>
        <w:object w:dxaOrig="3400" w:dyaOrig="760" w14:anchorId="48FA12E7">
          <v:shape id="_x0000_i7119" type="#_x0000_t75" style="width:169.4pt;height:38.1pt" o:ole="">
            <v:imagedata r:id="rId12307" o:title=""/>
          </v:shape>
          <o:OLEObject Type="Embed" ProgID="Equation.DSMT4" ShapeID="_x0000_i7119" DrawAspect="Content" ObjectID="_1791381063" r:id="rId12308"/>
        </w:object>
      </w:r>
      <w:r w:rsidRPr="002614E7">
        <w:rPr>
          <w:rFonts w:ascii="Times New Roman" w:hAnsi="Times New Roman"/>
          <w:i/>
          <w:sz w:val="23"/>
          <w:szCs w:val="23"/>
          <w:rtl/>
        </w:rPr>
        <w:tab/>
      </w:r>
      <w:r w:rsidRPr="002614E7">
        <w:rPr>
          <w:rFonts w:ascii="Times New Roman" w:hAnsi="Times New Roman"/>
          <w:i/>
          <w:sz w:val="23"/>
          <w:szCs w:val="23"/>
          <w:rtl/>
        </w:rPr>
        <w:tab/>
      </w:r>
      <w:r>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(۱۴. ۶۳)</w:t>
      </w:r>
    </w:p>
    <w:p w14:paraId="23ED6436"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و عبارت</w:t>
      </w:r>
      <w:r w:rsidRPr="002614E7">
        <w:rPr>
          <w:position w:val="-12"/>
        </w:rPr>
        <w:object w:dxaOrig="780" w:dyaOrig="360" w14:anchorId="3CB4134A">
          <v:shape id="_x0000_i7120" type="#_x0000_t75" style="width:39.35pt;height:18.15pt" o:ole="">
            <v:imagedata r:id="rId12309" o:title=""/>
          </v:shape>
          <o:OLEObject Type="Embed" ProgID="Equation.DSMT4" ShapeID="_x0000_i7120" DrawAspect="Content" ObjectID="_1791381064" r:id="rId12310"/>
        </w:object>
      </w:r>
      <w:r w:rsidRPr="002614E7">
        <w:rPr>
          <w:rFonts w:hint="cs"/>
          <w:i/>
          <w:sz w:val="23"/>
          <w:szCs w:val="23"/>
          <w:rtl/>
        </w:rPr>
        <w:t xml:space="preserve"> مبین مطلوبیت حاصل از فراغت است، که به طور معکوس به کار جهت تولید کالای</w:t>
      </w:r>
      <w:r w:rsidRPr="002614E7">
        <w:rPr>
          <w:position w:val="-12"/>
        </w:rPr>
        <w:object w:dxaOrig="620" w:dyaOrig="360" w14:anchorId="6354E2E2">
          <v:shape id="_x0000_i7121" type="#_x0000_t75" style="width:30.85pt;height:18.15pt" o:ole="">
            <v:imagedata r:id="rId12311" o:title=""/>
          </v:shape>
          <o:OLEObject Type="Embed" ProgID="Equation.DSMT4" ShapeID="_x0000_i7121" DrawAspect="Content" ObjectID="_1791381065" r:id="rId12312"/>
        </w:object>
      </w:r>
      <w:r w:rsidRPr="002614E7">
        <w:rPr>
          <w:rFonts w:hint="cs"/>
          <w:i/>
          <w:sz w:val="23"/>
          <w:szCs w:val="23"/>
          <w:rtl/>
        </w:rPr>
        <w:t xml:space="preserve"> از کالای </w:t>
      </w:r>
      <w:r w:rsidRPr="002614E7">
        <w:rPr>
          <w:i/>
          <w:sz w:val="23"/>
          <w:szCs w:val="23"/>
        </w:rPr>
        <w:t>z</w:t>
      </w:r>
      <w:r w:rsidRPr="002614E7">
        <w:rPr>
          <w:rFonts w:hint="cs"/>
          <w:i/>
          <w:sz w:val="23"/>
          <w:szCs w:val="23"/>
          <w:rtl/>
        </w:rPr>
        <w:t xml:space="preserve"> مرتبط است. فرض کنید</w:t>
      </w:r>
      <w:r w:rsidRPr="002614E7">
        <w:rPr>
          <w:position w:val="-10"/>
        </w:rPr>
        <w:object w:dxaOrig="260" w:dyaOrig="320" w14:anchorId="4A90F29C">
          <v:shape id="_x0000_i7122" type="#_x0000_t75" style="width:13.3pt;height:15.75pt" o:ole="">
            <v:imagedata r:id="rId12313" o:title=""/>
          </v:shape>
          <o:OLEObject Type="Embed" ProgID="Equation.DSMT4" ShapeID="_x0000_i7122" DrawAspect="Content" ObjectID="_1791381066" r:id="rId12314"/>
        </w:object>
      </w:r>
      <w:r w:rsidRPr="002614E7">
        <w:rPr>
          <w:rFonts w:hint="cs"/>
          <w:i/>
          <w:sz w:val="23"/>
          <w:szCs w:val="23"/>
          <w:rtl/>
        </w:rPr>
        <w:t xml:space="preserve"> شاخص عمومی قیمت</w:t>
      </w:r>
      <w:r w:rsidRPr="002614E7">
        <w:rPr>
          <w:i/>
          <w:sz w:val="23"/>
          <w:szCs w:val="23"/>
        </w:rPr>
        <w:softHyphen/>
      </w:r>
      <w:r w:rsidRPr="002614E7">
        <w:rPr>
          <w:rFonts w:hint="cs"/>
          <w:i/>
          <w:sz w:val="23"/>
          <w:szCs w:val="23"/>
          <w:rtl/>
        </w:rPr>
        <w:t>ها است و به وسیله</w:t>
      </w:r>
      <w:r w:rsidRPr="002614E7">
        <w:rPr>
          <w:rFonts w:hint="cs"/>
          <w:i/>
          <w:sz w:val="23"/>
          <w:szCs w:val="23"/>
          <w:rtl/>
        </w:rPr>
        <w:softHyphen/>
        <w:t>ی رابطه‌ی زیر مشخص می‌شود.</w:t>
      </w:r>
    </w:p>
    <w:p w14:paraId="652A4049" w14:textId="77777777" w:rsidR="00556C10" w:rsidRPr="002614E7" w:rsidRDefault="00556C10" w:rsidP="00556C10">
      <w:pPr>
        <w:pStyle w:val="MTDisplayEquation"/>
        <w:tabs>
          <w:tab w:val="clear" w:pos="6660"/>
          <w:tab w:val="right" w:pos="0"/>
        </w:tabs>
        <w:spacing w:line="216" w:lineRule="auto"/>
        <w:jc w:val="left"/>
        <w:rPr>
          <w:rFonts w:ascii="Times New Roman" w:hAnsi="Times New Roman" w:cs="B Nazanin"/>
          <w:i/>
          <w:sz w:val="23"/>
          <w:szCs w:val="23"/>
        </w:rPr>
      </w:pPr>
      <w:r w:rsidRPr="002614E7">
        <w:rPr>
          <w:position w:val="-30"/>
        </w:rPr>
        <w:object w:dxaOrig="1920" w:dyaOrig="760" w14:anchorId="35B823D6">
          <v:shape id="_x0000_i7123" type="#_x0000_t75" style="width:96.2pt;height:38.1pt" o:ole="">
            <v:imagedata r:id="rId12315" o:title=""/>
          </v:shape>
          <o:OLEObject Type="Embed" ProgID="Equation.DSMT4" ShapeID="_x0000_i7123" DrawAspect="Content" ObjectID="_1791381067" r:id="rId12316"/>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(۱۴. ۶۴)</w:t>
      </w:r>
    </w:p>
    <w:p w14:paraId="20F1141A"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که در آن</w:t>
      </w:r>
      <w:r w:rsidRPr="002614E7">
        <w:rPr>
          <w:position w:val="-12"/>
        </w:rPr>
        <w:object w:dxaOrig="560" w:dyaOrig="360" w14:anchorId="7443A86C">
          <v:shape id="_x0000_i7124" type="#_x0000_t75" style="width:27.85pt;height:18.15pt" o:ole="">
            <v:imagedata r:id="rId12317" o:title=""/>
          </v:shape>
          <o:OLEObject Type="Embed" ProgID="Equation.DSMT4" ShapeID="_x0000_i7124" DrawAspect="Content" ObjectID="_1791381068" r:id="rId12318"/>
        </w:object>
      </w:r>
      <w:r w:rsidRPr="002614E7">
        <w:rPr>
          <w:rFonts w:hint="cs"/>
          <w:i/>
          <w:sz w:val="23"/>
          <w:szCs w:val="23"/>
          <w:rtl/>
        </w:rPr>
        <w:t xml:space="preserve"> قیمت کالای</w:t>
      </w:r>
      <w:r w:rsidRPr="002614E7">
        <w:rPr>
          <w:position w:val="-6"/>
        </w:rPr>
        <w:object w:dxaOrig="180" w:dyaOrig="200" w14:anchorId="62A135B6">
          <v:shape id="_x0000_i7125" type="#_x0000_t75" style="width:9.1pt;height:10.3pt" o:ole="">
            <v:imagedata r:id="rId12319" o:title=""/>
          </v:shape>
          <o:OLEObject Type="Embed" ProgID="Equation.DSMT4" ShapeID="_x0000_i7125" DrawAspect="Content" ObjectID="_1791381069" r:id="rId12320"/>
        </w:object>
      </w:r>
      <w:r w:rsidRPr="002614E7">
        <w:rPr>
          <w:rFonts w:hint="cs"/>
          <w:i/>
          <w:sz w:val="23"/>
          <w:szCs w:val="23"/>
          <w:rtl/>
        </w:rPr>
        <w:t xml:space="preserve"> می‌باشد. قید بودجه‌ی خانوار نمونه عبارت است از:</w:t>
      </w:r>
    </w:p>
    <w:p w14:paraId="5B9CEC48"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12"/>
        </w:rPr>
        <w:object w:dxaOrig="1680" w:dyaOrig="360" w14:anchorId="5D967855">
          <v:shape id="_x0000_i7126" type="#_x0000_t75" style="width:84.1pt;height:18.15pt" o:ole="">
            <v:imagedata r:id="rId12321" o:title=""/>
          </v:shape>
          <o:OLEObject Type="Embed" ProgID="Equation.DSMT4" ShapeID="_x0000_i7126" DrawAspect="Content" ObjectID="_1791381070" r:id="rId12322"/>
        </w:object>
      </w:r>
    </w:p>
    <w:p w14:paraId="2E2160E5"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از فصل نهم و سیزدهم تابع تقاضا برای کالاهای </w:t>
      </w:r>
      <w:r w:rsidRPr="002614E7">
        <w:rPr>
          <w:i/>
          <w:sz w:val="23"/>
          <w:szCs w:val="23"/>
        </w:rPr>
        <w:t>z</w:t>
      </w:r>
      <w:r w:rsidRPr="002614E7">
        <w:rPr>
          <w:rFonts w:hint="cs"/>
          <w:i/>
          <w:sz w:val="23"/>
          <w:szCs w:val="23"/>
          <w:rtl/>
        </w:rPr>
        <w:t xml:space="preserve"> برابر است با </w:t>
      </w:r>
    </w:p>
    <w:p w14:paraId="518F09C2" w14:textId="77777777" w:rsidR="00556C10" w:rsidRPr="002614E7" w:rsidRDefault="00556C10" w:rsidP="00556C10">
      <w:pPr>
        <w:tabs>
          <w:tab w:val="right" w:pos="1287"/>
        </w:tabs>
        <w:bidi w:val="0"/>
        <w:spacing w:line="216" w:lineRule="auto"/>
        <w:rPr>
          <w:i/>
          <w:sz w:val="23"/>
          <w:szCs w:val="23"/>
          <w:rtl/>
        </w:rPr>
      </w:pPr>
      <w:r w:rsidRPr="002614E7">
        <w:rPr>
          <w:position w:val="-30"/>
        </w:rPr>
        <w:object w:dxaOrig="1860" w:dyaOrig="760" w14:anchorId="70934053">
          <v:shape id="_x0000_i7127" type="#_x0000_t75" style="width:93.2pt;height:38.1pt" o:ole="">
            <v:imagedata r:id="rId12323" o:title=""/>
          </v:shape>
          <o:OLEObject Type="Embed" ProgID="Equation.DSMT4" ShapeID="_x0000_i7127" DrawAspect="Content" ObjectID="_1791381071" r:id="rId12324"/>
        </w:object>
      </w:r>
      <w:r w:rsidRPr="002614E7">
        <w:rPr>
          <w:rFonts w:hint="cs"/>
          <w:i/>
          <w:sz w:val="23"/>
          <w:szCs w:val="23"/>
          <w:rtl/>
        </w:rPr>
        <w:t xml:space="preserve"> </w:t>
      </w:r>
    </w:p>
    <w:p w14:paraId="777625C6"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به</w:t>
      </w:r>
      <w:r w:rsidRPr="002614E7">
        <w:rPr>
          <w:rFonts w:hint="cs"/>
          <w:i/>
          <w:sz w:val="23"/>
          <w:szCs w:val="23"/>
          <w:rtl/>
        </w:rPr>
        <w:softHyphen/>
        <w:t>گونه‌ای</w:t>
      </w:r>
      <w:r w:rsidRPr="002614E7">
        <w:rPr>
          <w:rFonts w:hint="cs"/>
          <w:i/>
          <w:sz w:val="23"/>
          <w:szCs w:val="23"/>
          <w:rtl/>
        </w:rPr>
        <w:softHyphen/>
        <w:t xml:space="preserve">که </w:t>
      </w:r>
      <w:r w:rsidRPr="002614E7">
        <w:rPr>
          <w:position w:val="-12"/>
        </w:rPr>
        <w:object w:dxaOrig="1219" w:dyaOrig="360" w14:anchorId="5C179C1F">
          <v:shape id="_x0000_i7128" type="#_x0000_t75" style="width:61.1pt;height:18.15pt" o:ole="">
            <v:imagedata r:id="rId12325" o:title=""/>
          </v:shape>
          <o:OLEObject Type="Embed" ProgID="Equation.DSMT4" ShapeID="_x0000_i7128" DrawAspect="Content" ObjectID="_1791381072" r:id="rId12326"/>
        </w:object>
      </w:r>
      <w:r w:rsidRPr="002614E7">
        <w:rPr>
          <w:rFonts w:eastAsiaTheme="minorEastAsia"/>
          <w:i/>
          <w:sz w:val="23"/>
          <w:szCs w:val="23"/>
        </w:rPr>
        <w:t xml:space="preserve"> </w:t>
      </w:r>
      <w:r w:rsidRPr="002614E7">
        <w:rPr>
          <w:rFonts w:hint="cs"/>
          <w:i/>
          <w:sz w:val="23"/>
          <w:szCs w:val="23"/>
          <w:rtl/>
        </w:rPr>
        <w:t xml:space="preserve">و </w:t>
      </w:r>
      <w:r w:rsidRPr="002614E7">
        <w:rPr>
          <w:position w:val="-10"/>
        </w:rPr>
        <w:object w:dxaOrig="620" w:dyaOrig="320" w14:anchorId="10CD47BA">
          <v:shape id="_x0000_i7129" type="#_x0000_t75" style="width:30.85pt;height:15.75pt" o:ole="">
            <v:imagedata r:id="rId12327" o:title=""/>
          </v:shape>
          <o:OLEObject Type="Embed" ProgID="Equation.DSMT4" ShapeID="_x0000_i7129" DrawAspect="Content" ObjectID="_1791381073" r:id="rId12328"/>
        </w:object>
      </w:r>
      <w:r w:rsidRPr="002614E7">
        <w:rPr>
          <w:rFonts w:hint="cs"/>
          <w:i/>
          <w:sz w:val="23"/>
          <w:szCs w:val="23"/>
          <w:rtl/>
        </w:rPr>
        <w:t xml:space="preserve"> می‌باشد. آنگاه</w:t>
      </w:r>
    </w:p>
    <w:p w14:paraId="0A941604"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Pr>
      </w:pPr>
      <w:r w:rsidRPr="002614E7">
        <w:rPr>
          <w:position w:val="-30"/>
        </w:rPr>
        <w:object w:dxaOrig="1860" w:dyaOrig="760" w14:anchorId="2E4564B7">
          <v:shape id="_x0000_i7130" type="#_x0000_t75" style="width:93.2pt;height:38.1pt" o:ole="">
            <v:imagedata r:id="rId12329" o:title=""/>
          </v:shape>
          <o:OLEObject Type="Embed" ProgID="Equation.DSMT4" ShapeID="_x0000_i7130" DrawAspect="Content" ObjectID="_1791381074" r:id="rId12330"/>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(۱۴. ۶۵)</w:t>
      </w:r>
    </w:p>
    <w:p w14:paraId="6E1D5F4F"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اکنون تقریب مرتبه دوم تابع مطلوبیت در اطراف مقادیر در وضعیت یکنواخت</w:t>
      </w:r>
      <w:r w:rsidRPr="002614E7">
        <w:rPr>
          <w:position w:val="-10"/>
        </w:rPr>
        <w:object w:dxaOrig="200" w:dyaOrig="320" w14:anchorId="37359886">
          <v:shape id="_x0000_i7131" type="#_x0000_t75" style="width:10.3pt;height:15.75pt" o:ole="">
            <v:imagedata r:id="rId12331" o:title=""/>
          </v:shape>
          <o:OLEObject Type="Embed" ProgID="Equation.DSMT4" ShapeID="_x0000_i7131" DrawAspect="Content" ObjectID="_1791381075" r:id="rId12332"/>
        </w:object>
      </w:r>
      <w:r w:rsidRPr="002614E7">
        <w:rPr>
          <w:rFonts w:hint="cs"/>
          <w:i/>
          <w:sz w:val="23"/>
          <w:szCs w:val="23"/>
          <w:rtl/>
        </w:rPr>
        <w:t xml:space="preserve"> و</w:t>
      </w:r>
      <w:r w:rsidRPr="002614E7">
        <w:rPr>
          <w:position w:val="-12"/>
        </w:rPr>
        <w:object w:dxaOrig="540" w:dyaOrig="360" w14:anchorId="1E291091">
          <v:shape id="_x0000_i7132" type="#_x0000_t75" style="width:26.6pt;height:18.15pt" o:ole="">
            <v:imagedata r:id="rId12333" o:title=""/>
          </v:shape>
          <o:OLEObject Type="Embed" ProgID="Equation.DSMT4" ShapeID="_x0000_i7132" DrawAspect="Content" ObjectID="_1791381076" r:id="rId12334"/>
        </w:object>
      </w:r>
      <w:r w:rsidRPr="002614E7">
        <w:rPr>
          <w:rFonts w:hint="cs"/>
          <w:i/>
          <w:sz w:val="23"/>
          <w:szCs w:val="23"/>
          <w:rtl/>
        </w:rPr>
        <w:t xml:space="preserve"> که به وسیله</w:t>
      </w:r>
      <w:r w:rsidRPr="002614E7">
        <w:rPr>
          <w:position w:val="-10"/>
        </w:rPr>
        <w:object w:dxaOrig="240" w:dyaOrig="340" w14:anchorId="286D53E2">
          <v:shape id="_x0000_i7133" type="#_x0000_t75" style="width:11.5pt;height:16.95pt" o:ole="">
            <v:imagedata r:id="rId12335" o:title=""/>
          </v:shape>
          <o:OLEObject Type="Embed" ProgID="Equation.DSMT4" ShapeID="_x0000_i7133" DrawAspect="Content" ObjectID="_1791381077" r:id="rId12336"/>
        </w:object>
      </w:r>
      <w:r w:rsidRPr="002614E7">
        <w:rPr>
          <w:rFonts w:hint="cs"/>
          <w:i/>
          <w:sz w:val="23"/>
          <w:szCs w:val="23"/>
          <w:rtl/>
        </w:rPr>
        <w:t xml:space="preserve"> و</w:t>
      </w:r>
      <w:r w:rsidRPr="002614E7">
        <w:rPr>
          <w:position w:val="-12"/>
        </w:rPr>
        <w:object w:dxaOrig="580" w:dyaOrig="360" w14:anchorId="0537CA57">
          <v:shape id="_x0000_i7134" type="#_x0000_t75" style="width:29.05pt;height:18.15pt" o:ole="">
            <v:imagedata r:id="rId12337" o:title=""/>
          </v:shape>
          <o:OLEObject Type="Embed" ProgID="Equation.DSMT4" ShapeID="_x0000_i7134" DrawAspect="Content" ObjectID="_1791381078" r:id="rId12338"/>
        </w:object>
      </w:r>
      <w:r w:rsidRPr="002614E7">
        <w:rPr>
          <w:rFonts w:eastAsiaTheme="minorEastAsia" w:hint="cs"/>
          <w:i/>
          <w:sz w:val="23"/>
          <w:szCs w:val="23"/>
          <w:rtl/>
        </w:rPr>
        <w:t xml:space="preserve"> </w:t>
      </w:r>
      <w:r w:rsidRPr="002614E7">
        <w:rPr>
          <w:rFonts w:hint="cs"/>
          <w:i/>
          <w:sz w:val="23"/>
          <w:szCs w:val="23"/>
          <w:rtl/>
        </w:rPr>
        <w:t>نشان داده می‌شود را در نظر بگیرید. در این صورت خواهیم داشت</w:t>
      </w:r>
    </w:p>
    <w:p w14:paraId="77DE3AF4" w14:textId="77777777" w:rsidR="00556C10" w:rsidRDefault="00556C10" w:rsidP="00556C10">
      <w:pPr>
        <w:pStyle w:val="MTDisplayEquation"/>
        <w:spacing w:line="216" w:lineRule="auto"/>
        <w:rPr>
          <w:rtl/>
        </w:rPr>
      </w:pPr>
      <w:r w:rsidRPr="00A91663">
        <w:rPr>
          <w:position w:val="-32"/>
        </w:rPr>
        <w:object w:dxaOrig="5660" w:dyaOrig="760" w14:anchorId="485A18C9">
          <v:shape id="_x0000_i7135" type="#_x0000_t75" style="width:283.15pt;height:38.1pt" o:ole="">
            <v:imagedata r:id="rId12339" o:title=""/>
          </v:shape>
          <o:OLEObject Type="Embed" ProgID="Equation.DSMT4" ShapeID="_x0000_i7135" DrawAspect="Content" ObjectID="_1791381079" r:id="rId12340"/>
        </w:object>
      </w:r>
    </w:p>
    <w:p w14:paraId="23889A27" w14:textId="77777777" w:rsidR="00556C10" w:rsidRDefault="00556C10" w:rsidP="00556C10">
      <w:pPr>
        <w:bidi w:val="0"/>
        <w:rPr>
          <w:rtl/>
        </w:rPr>
      </w:pPr>
      <w:r w:rsidRPr="00A91663">
        <w:rPr>
          <w:position w:val="-22"/>
        </w:rPr>
        <w:object w:dxaOrig="3560" w:dyaOrig="560" w14:anchorId="4375C52A">
          <v:shape id="_x0000_i7136" type="#_x0000_t75" style="width:177.9pt;height:27.85pt" o:ole="">
            <v:imagedata r:id="rId12341" o:title=""/>
          </v:shape>
          <o:OLEObject Type="Embed" ProgID="Equation.DSMT4" ShapeID="_x0000_i7136" DrawAspect="Content" ObjectID="_1791381080" r:id="rId12342"/>
        </w:object>
      </w:r>
    </w:p>
    <w:p w14:paraId="4A8E9938" w14:textId="77777777" w:rsidR="00556C10" w:rsidRPr="00A91663" w:rsidRDefault="00556C10" w:rsidP="00556C10">
      <w:pPr>
        <w:bidi w:val="0"/>
      </w:pPr>
      <w:r w:rsidRPr="00A91663">
        <w:rPr>
          <w:position w:val="-22"/>
        </w:rPr>
        <w:object w:dxaOrig="3580" w:dyaOrig="560" w14:anchorId="1819B68D">
          <v:shape id="_x0000_i7137" type="#_x0000_t75" style="width:179.1pt;height:27.85pt" o:ole="">
            <v:imagedata r:id="rId12343" o:title=""/>
          </v:shape>
          <o:OLEObject Type="Embed" ProgID="Equation.DSMT4" ShapeID="_x0000_i7137" DrawAspect="Content" ObjectID="_1791381081" r:id="rId12344"/>
        </w:object>
      </w:r>
    </w:p>
    <w:p w14:paraId="5B98C505"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که در آن</w:t>
      </w:r>
      <w:r w:rsidRPr="002614E7">
        <w:rPr>
          <w:position w:val="-12"/>
        </w:rPr>
        <w:object w:dxaOrig="780" w:dyaOrig="360" w14:anchorId="2D7CEDFB">
          <v:shape id="_x0000_i7138" type="#_x0000_t75" style="width:39.35pt;height:18.15pt" o:ole="">
            <v:imagedata r:id="rId12345" o:title=""/>
          </v:shape>
          <o:OLEObject Type="Embed" ProgID="Equation.DSMT4" ShapeID="_x0000_i7138" DrawAspect="Content" ObjectID="_1791381082" r:id="rId12346"/>
        </w:object>
      </w:r>
      <w:r w:rsidRPr="002614E7">
        <w:rPr>
          <w:rFonts w:hint="cs"/>
          <w:i/>
          <w:sz w:val="23"/>
          <w:szCs w:val="23"/>
          <w:rtl/>
        </w:rPr>
        <w:t xml:space="preserve"> واریانس تولید کل در اطراف وضعیت یکنواخت و یا تقریب مجذور انحراف از وضعیت یکنواخت است. یعنی</w:t>
      </w:r>
    </w:p>
    <w:p w14:paraId="0ECB3C31"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16"/>
        </w:rPr>
        <w:object w:dxaOrig="2160" w:dyaOrig="460" w14:anchorId="2CC276D9">
          <v:shape id="_x0000_i7139" type="#_x0000_t75" style="width:108.3pt;height:23pt" o:ole="">
            <v:imagedata r:id="rId12347" o:title=""/>
          </v:shape>
          <o:OLEObject Type="Embed" ProgID="Equation.DSMT4" ShapeID="_x0000_i7139" DrawAspect="Content" ObjectID="_1791381083" r:id="rId12348"/>
        </w:object>
      </w:r>
    </w:p>
    <w:p w14:paraId="25D0E271" w14:textId="77777777" w:rsidR="00556C10" w:rsidRPr="002614E7" w:rsidRDefault="00556C10" w:rsidP="00556C10">
      <w:pPr>
        <w:pStyle w:val="MTDisplayEquation"/>
        <w:bidi/>
        <w:spacing w:line="216" w:lineRule="auto"/>
        <w:rPr>
          <w:rFonts w:ascii="Times New Roman" w:hAnsi="Times New Roman" w:cs="B Nazanin"/>
          <w:i/>
          <w:sz w:val="23"/>
          <w:szCs w:val="23"/>
        </w:rPr>
      </w:pPr>
      <w:r w:rsidRPr="002614E7">
        <w:rPr>
          <w:position w:val="-14"/>
        </w:rPr>
        <w:object w:dxaOrig="1140" w:dyaOrig="380" w14:anchorId="3B56334E">
          <v:shape id="_x0000_i7140" type="#_x0000_t75" style="width:57.5pt;height:18.75pt" o:ole="">
            <v:imagedata r:id="rId12349" o:title=""/>
          </v:shape>
          <o:OLEObject Type="Embed" ProgID="Equation.DSMT4" ShapeID="_x0000_i7140" DrawAspect="Content" ObjectID="_1791381084" r:id="rId12350"/>
        </w:object>
      </w:r>
      <w:r w:rsidRPr="002614E7">
        <w:rPr>
          <w:rFonts w:ascii="Times New Roman" w:hAnsi="Times New Roman" w:cs="B Nazanin" w:hint="cs"/>
          <w:i/>
          <w:sz w:val="23"/>
          <w:szCs w:val="23"/>
          <w:rtl/>
        </w:rPr>
        <w:t xml:space="preserve"> عبارت است از واریانس تولید در میان خانوارها / بنگاه نسبت به وضعیت یکنواخت. بنابراین فرض می‌شود پراکندگی تولید در میان بنگاه‌ها باعث کاهش رفاه خواهد شد. از معادله</w:t>
      </w:r>
      <w:r w:rsidRPr="002614E7">
        <w:rPr>
          <w:rFonts w:ascii="Times New Roman" w:hAnsi="Times New Roman" w:cs="B Nazanin"/>
          <w:i/>
          <w:sz w:val="23"/>
          <w:szCs w:val="23"/>
          <w:rtl/>
        </w:rPr>
        <w:softHyphen/>
      </w:r>
      <w:r w:rsidRPr="002614E7">
        <w:rPr>
          <w:rFonts w:ascii="Times New Roman" w:hAnsi="Times New Roman" w:cs="B Nazanin" w:hint="cs"/>
          <w:i/>
          <w:sz w:val="23"/>
          <w:szCs w:val="23"/>
          <w:rtl/>
        </w:rPr>
        <w:t>ی    (۱۴. ۴۹) داریم</w:t>
      </w:r>
    </w:p>
    <w:p w14:paraId="598BDD32"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14"/>
        </w:rPr>
        <w:object w:dxaOrig="3240" w:dyaOrig="380" w14:anchorId="74FB1452">
          <v:shape id="_x0000_i7141" type="#_x0000_t75" style="width:162.15pt;height:18.75pt" o:ole="">
            <v:imagedata r:id="rId12351" o:title=""/>
          </v:shape>
          <o:OLEObject Type="Embed" ProgID="Equation.DSMT4" ShapeID="_x0000_i7141" DrawAspect="Content" ObjectID="_1791381085" r:id="rId12352"/>
        </w:object>
      </w:r>
    </w:p>
    <w:p w14:paraId="65B1A054"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که در آن</w:t>
      </w:r>
      <w:r w:rsidRPr="002614E7">
        <w:rPr>
          <w:position w:val="-10"/>
        </w:rPr>
        <w:object w:dxaOrig="400" w:dyaOrig="320" w14:anchorId="5F477796">
          <v:shape id="_x0000_i7142" type="#_x0000_t75" style="width:19.95pt;height:15.75pt" o:ole="">
            <v:imagedata r:id="rId12353" o:title=""/>
          </v:shape>
          <o:OLEObject Type="Embed" ProgID="Equation.DSMT4" ShapeID="_x0000_i7142" DrawAspect="Content" ObjectID="_1791381086" r:id="rId12354"/>
        </w:object>
      </w:r>
      <w:r w:rsidRPr="002614E7">
        <w:rPr>
          <w:rFonts w:hint="cs"/>
          <w:i/>
          <w:sz w:val="23"/>
          <w:szCs w:val="23"/>
          <w:rtl/>
        </w:rPr>
        <w:t xml:space="preserve"> ارزش انتظاریِ</w:t>
      </w:r>
      <w:r w:rsidRPr="002614E7">
        <w:rPr>
          <w:position w:val="-12"/>
        </w:rPr>
        <w:object w:dxaOrig="720" w:dyaOrig="360" w14:anchorId="53C3A19D">
          <v:shape id="_x0000_i7143" type="#_x0000_t75" style="width:36.3pt;height:18.15pt" o:ole="">
            <v:imagedata r:id="rId12355" o:title=""/>
          </v:shape>
          <o:OLEObject Type="Embed" ProgID="Equation.DSMT4" ShapeID="_x0000_i7143" DrawAspect="Content" ObjectID="_1791381087" r:id="rId12356"/>
        </w:object>
      </w:r>
      <w:r w:rsidRPr="002614E7">
        <w:rPr>
          <w:rFonts w:hint="cs"/>
          <w:i/>
          <w:sz w:val="23"/>
          <w:szCs w:val="23"/>
          <w:rtl/>
        </w:rPr>
        <w:t xml:space="preserve"> در وضعیت یکنواخت، و</w:t>
      </w:r>
      <w:r w:rsidRPr="002614E7">
        <w:rPr>
          <w:position w:val="-10"/>
        </w:rPr>
        <w:object w:dxaOrig="420" w:dyaOrig="320" w14:anchorId="131BE200">
          <v:shape id="_x0000_i7144" type="#_x0000_t75" style="width:21.2pt;height:15.75pt" o:ole="">
            <v:imagedata r:id="rId12357" o:title=""/>
          </v:shape>
          <o:OLEObject Type="Embed" ProgID="Equation.DSMT4" ShapeID="_x0000_i7144" DrawAspect="Content" ObjectID="_1791381088" r:id="rId12358"/>
        </w:object>
      </w:r>
      <w:r w:rsidRPr="002614E7">
        <w:rPr>
          <w:rFonts w:hint="cs"/>
          <w:i/>
          <w:sz w:val="23"/>
          <w:szCs w:val="23"/>
          <w:rtl/>
        </w:rPr>
        <w:t xml:space="preserve"> ارزش انتظاری </w:t>
      </w:r>
      <w:r w:rsidRPr="002614E7">
        <w:rPr>
          <w:position w:val="-12"/>
        </w:rPr>
        <w:object w:dxaOrig="740" w:dyaOrig="360" w14:anchorId="2FB9C4EF">
          <v:shape id="_x0000_i7145" type="#_x0000_t75" style="width:36.9pt;height:18.15pt" o:ole="">
            <v:imagedata r:id="rId12359" o:title=""/>
          </v:shape>
          <o:OLEObject Type="Embed" ProgID="Equation.DSMT4" ShapeID="_x0000_i7145" DrawAspect="Content" ObjectID="_1791381089" r:id="rId12360"/>
        </w:object>
      </w:r>
      <w:r w:rsidRPr="002614E7">
        <w:rPr>
          <w:rFonts w:hint="cs"/>
          <w:i/>
          <w:sz w:val="23"/>
          <w:szCs w:val="23"/>
          <w:rtl/>
        </w:rPr>
        <w:t xml:space="preserve"> در وضعیت یکنواخت است. بنابراین</w:t>
      </w:r>
      <w:r w:rsidRPr="002614E7">
        <w:rPr>
          <w:position w:val="-12"/>
        </w:rPr>
        <w:object w:dxaOrig="1260" w:dyaOrig="360" w14:anchorId="04C4E1BD">
          <v:shape id="_x0000_i7146" type="#_x0000_t75" style="width:62.9pt;height:18.15pt" o:ole="">
            <v:imagedata r:id="rId12361" o:title=""/>
          </v:shape>
          <o:OLEObject Type="Embed" ProgID="Equation.DSMT4" ShapeID="_x0000_i7146" DrawAspect="Content" ObjectID="_1791381090" r:id="rId12362"/>
        </w:object>
      </w:r>
      <w:r w:rsidRPr="002614E7">
        <w:rPr>
          <w:rFonts w:hint="cs"/>
          <w:i/>
          <w:sz w:val="23"/>
          <w:szCs w:val="23"/>
          <w:rtl/>
        </w:rPr>
        <w:t xml:space="preserve"> و</w:t>
      </w:r>
      <w:r w:rsidRPr="002614E7">
        <w:rPr>
          <w:position w:val="-12"/>
        </w:rPr>
        <w:object w:dxaOrig="1280" w:dyaOrig="360" w14:anchorId="1014CC21">
          <v:shape id="_x0000_i7147" type="#_x0000_t75" style="width:64.15pt;height:18.15pt" o:ole="">
            <v:imagedata r:id="rId12363" o:title=""/>
          </v:shape>
          <o:OLEObject Type="Embed" ProgID="Equation.DSMT4" ShapeID="_x0000_i7147" DrawAspect="Content" ObjectID="_1791381091" r:id="rId12364"/>
        </w:object>
      </w:r>
      <w:r w:rsidRPr="002614E7">
        <w:rPr>
          <w:rFonts w:hint="cs"/>
          <w:i/>
          <w:position w:val="-12"/>
          <w:sz w:val="23"/>
          <w:szCs w:val="23"/>
          <w:rtl/>
        </w:rPr>
        <w:t xml:space="preserve"> </w:t>
      </w:r>
      <w:r w:rsidRPr="002614E7">
        <w:rPr>
          <w:rFonts w:hint="cs"/>
          <w:i/>
          <w:sz w:val="23"/>
          <w:szCs w:val="23"/>
          <w:rtl/>
        </w:rPr>
        <w:t>انحراف از وضعیت یکنواخت انتظاری است</w:t>
      </w:r>
      <w:r w:rsidRPr="002614E7">
        <w:rPr>
          <w:i/>
          <w:sz w:val="23"/>
          <w:szCs w:val="23"/>
        </w:rPr>
        <w:t>.</w:t>
      </w:r>
      <w:r w:rsidRPr="002614E7">
        <w:rPr>
          <w:rFonts w:hint="cs"/>
          <w:i/>
          <w:sz w:val="23"/>
          <w:szCs w:val="23"/>
          <w:rtl/>
        </w:rPr>
        <w:t xml:space="preserve"> بنابراین</w:t>
      </w:r>
    </w:p>
    <w:p w14:paraId="6A609632"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4"/>
        </w:rPr>
        <w:object w:dxaOrig="2720" w:dyaOrig="380" w14:anchorId="08E7D7DF">
          <v:shape id="_x0000_i7148" type="#_x0000_t75" style="width:136.15pt;height:18.75pt" o:ole="">
            <v:imagedata r:id="rId12365" o:title=""/>
          </v:shape>
          <o:OLEObject Type="Embed" ProgID="Equation.DSMT4" ShapeID="_x0000_i7148" DrawAspect="Content" ObjectID="_1791381092" r:id="rId12366"/>
        </w:object>
      </w:r>
    </w:p>
    <w:p w14:paraId="166EFAA5"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که نشان می‌دهد واریانس تولید در میان بنگاه‌ها متأثر از واریانس قیمت‌های آن‌هاست. عامل زیان رفاه حقیقی، تغییرات قیمت‌ در میان بنگاه‌ها نسبت به مقادیر در وضعیت یکنواخت آن‌هاست.</w:t>
      </w:r>
    </w:p>
    <w:p w14:paraId="3A9256CC"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در اینجا چسبندگی قیمت را با استفاده از مدل کالوو در فصل نهم مورد توجه قرار داده، که در آن، در هر لحظه از زمان بخشی از بنگاه‌ها قادر به تعدیل کامل قیمت‌ها می‌باشند، و مابقی بنگاه‌ها قیمت خود را ثابت نگه داشته، و یا با یک قاعده</w:t>
      </w:r>
      <w:r w:rsidRPr="002614E7">
        <w:rPr>
          <w:rFonts w:hint="cs"/>
          <w:i/>
          <w:sz w:val="23"/>
          <w:szCs w:val="23"/>
          <w:rtl/>
        </w:rPr>
        <w:softHyphen/>
        <w:t>ی سرانگشتی قیمت خود را تعدیل می‌کنند. با تمایز بین سطح قیمت در وضعیت یکنواخت، که برای همه</w:t>
      </w:r>
      <w:r w:rsidRPr="002614E7">
        <w:rPr>
          <w:rFonts w:hint="cs"/>
          <w:i/>
          <w:sz w:val="23"/>
          <w:szCs w:val="23"/>
          <w:rtl/>
        </w:rPr>
        <w:softHyphen/>
        <w:t>ی بنگاه‌ها مرسوم است، و متوسط سطح قیمت در بین بنگاه‌ها، اگر تمامی قیمت‌ها انعطاف</w:t>
      </w:r>
      <w:r w:rsidRPr="002614E7">
        <w:rPr>
          <w:rFonts w:hint="cs"/>
          <w:i/>
          <w:sz w:val="23"/>
          <w:szCs w:val="23"/>
          <w:rtl/>
        </w:rPr>
        <w:softHyphen/>
        <w:t>پذیر باشند، واریانس قیمت‌ها در بین بنگاه‌ها مجذور انحراف متوسط سطح قیمت از مقادیر وضعیت یکنواخت آن‌ها خواهد بود. دلیل اختلاف</w:t>
      </w:r>
      <w:r w:rsidRPr="002614E7">
        <w:rPr>
          <w:position w:val="-14"/>
        </w:rPr>
        <w:object w:dxaOrig="1140" w:dyaOrig="380" w14:anchorId="41513D3C">
          <v:shape id="_x0000_i7149" type="#_x0000_t75" style="width:57.5pt;height:18.75pt" o:ole="">
            <v:imagedata r:id="rId12367" o:title=""/>
          </v:shape>
          <o:OLEObject Type="Embed" ProgID="Equation.DSMT4" ShapeID="_x0000_i7149" DrawAspect="Content" ObjectID="_1791381093" r:id="rId12368"/>
        </w:object>
      </w:r>
      <w:r w:rsidRPr="002614E7">
        <w:rPr>
          <w:rFonts w:hint="cs"/>
          <w:i/>
          <w:sz w:val="23"/>
          <w:szCs w:val="23"/>
          <w:rtl/>
        </w:rPr>
        <w:t xml:space="preserve">، چسبندگی قیمت است. </w:t>
      </w:r>
    </w:p>
    <w:p w14:paraId="1B189532"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با تفسیر مجدد مدل کالوو فرض می</w:t>
      </w:r>
      <w:r w:rsidRPr="002614E7">
        <w:rPr>
          <w:rFonts w:hint="cs"/>
          <w:i/>
          <w:sz w:val="23"/>
          <w:szCs w:val="23"/>
          <w:rtl/>
        </w:rPr>
        <w:softHyphen/>
        <w:t>شود نسبت</w:t>
      </w:r>
      <w:r w:rsidRPr="002614E7">
        <w:rPr>
          <w:position w:val="-10"/>
        </w:rPr>
        <w:object w:dxaOrig="180" w:dyaOrig="240" w14:anchorId="64A6FB9D">
          <v:shape id="_x0000_i7150" type="#_x0000_t75" style="width:9.1pt;height:11.5pt" o:ole="">
            <v:imagedata r:id="rId12369" o:title=""/>
          </v:shape>
          <o:OLEObject Type="Embed" ProgID="Equation.DSMT4" ShapeID="_x0000_i7150" DrawAspect="Content" ObjectID="_1791381094" r:id="rId12370"/>
        </w:object>
      </w:r>
      <w:r w:rsidRPr="002614E7">
        <w:rPr>
          <w:rFonts w:hint="cs"/>
          <w:i/>
          <w:sz w:val="23"/>
          <w:szCs w:val="23"/>
          <w:rtl/>
        </w:rPr>
        <w:t xml:space="preserve"> از بنگاه‌ها در زمان </w:t>
      </w:r>
      <w:r w:rsidRPr="002614E7">
        <w:rPr>
          <w:i/>
          <w:sz w:val="23"/>
          <w:szCs w:val="23"/>
        </w:rPr>
        <w:t>t</w:t>
      </w:r>
      <w:r w:rsidRPr="002614E7">
        <w:rPr>
          <w:rFonts w:hint="cs"/>
          <w:i/>
          <w:sz w:val="23"/>
          <w:szCs w:val="23"/>
          <w:rtl/>
        </w:rPr>
        <w:t xml:space="preserve"> قیمت خود را به سطح بهینه تعدیل می‌کنند و مابقی آن‌ها قیمت خود را تعدیل نمی</w:t>
      </w:r>
      <w:r w:rsidRPr="002614E7">
        <w:rPr>
          <w:rFonts w:hint="cs"/>
          <w:i/>
          <w:sz w:val="23"/>
          <w:szCs w:val="23"/>
          <w:rtl/>
        </w:rPr>
        <w:softHyphen/>
        <w:t xml:space="preserve">کنند. سطح عمومی قیمت‌ها متوسط وزنی این دو قیمت می‌باشد. بنابراین </w:t>
      </w:r>
    </w:p>
    <w:p w14:paraId="192064C6"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2"/>
        </w:rPr>
        <w:object w:dxaOrig="2940" w:dyaOrig="360" w14:anchorId="750FA78C">
          <v:shape id="_x0000_i7151" type="#_x0000_t75" style="width:147.05pt;height:18.15pt" o:ole="">
            <v:imagedata r:id="rId12371" o:title=""/>
          </v:shape>
          <o:OLEObject Type="Embed" ProgID="Equation.DSMT4" ShapeID="_x0000_i7151" DrawAspect="Content" ObjectID="_1791381095" r:id="rId12372"/>
        </w:object>
      </w:r>
    </w:p>
    <w:p w14:paraId="0AC6CFF5"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که در آن</w:t>
      </w:r>
      <w:r w:rsidRPr="002614E7">
        <w:rPr>
          <w:position w:val="-10"/>
        </w:rPr>
        <w:object w:dxaOrig="499" w:dyaOrig="340" w14:anchorId="749BAD2D">
          <v:shape id="_x0000_i7152" type="#_x0000_t75" style="width:24.8pt;height:16.95pt" o:ole="">
            <v:imagedata r:id="rId12373" o:title=""/>
          </v:shape>
          <o:OLEObject Type="Embed" ProgID="Equation.DSMT4" ShapeID="_x0000_i7152" DrawAspect="Content" ObjectID="_1791381096" r:id="rId12374"/>
        </w:object>
      </w:r>
      <w:r w:rsidRPr="002614E7">
        <w:rPr>
          <w:rFonts w:hint="cs"/>
          <w:i/>
          <w:sz w:val="23"/>
          <w:szCs w:val="23"/>
          <w:rtl/>
        </w:rPr>
        <w:t xml:space="preserve"> قیمت بهینه است. لذا همان</w:t>
      </w:r>
      <w:r w:rsidRPr="002614E7">
        <w:rPr>
          <w:rFonts w:hint="cs"/>
          <w:i/>
          <w:sz w:val="23"/>
          <w:szCs w:val="23"/>
          <w:rtl/>
        </w:rPr>
        <w:softHyphen/>
        <w:t>گونه که نسبت</w:t>
      </w:r>
      <w:r w:rsidRPr="002614E7">
        <w:rPr>
          <w:position w:val="-12"/>
        </w:rPr>
        <w:object w:dxaOrig="660" w:dyaOrig="360" w14:anchorId="134F995A">
          <v:shape id="_x0000_i7153" type="#_x0000_t75" style="width:32.65pt;height:18.15pt" o:ole="">
            <v:imagedata r:id="rId12375" o:title=""/>
          </v:shape>
          <o:OLEObject Type="Embed" ProgID="Equation.DSMT4" ShapeID="_x0000_i7153" DrawAspect="Content" ObjectID="_1791381097" r:id="rId12376"/>
        </w:object>
      </w:r>
      <w:r w:rsidRPr="002614E7">
        <w:rPr>
          <w:rFonts w:hint="cs"/>
          <w:i/>
          <w:sz w:val="23"/>
          <w:szCs w:val="23"/>
          <w:rtl/>
        </w:rPr>
        <w:t xml:space="preserve"> از بنگاه‌ها قیمت را تغییر نمی</w:t>
      </w:r>
      <w:r w:rsidRPr="002614E7">
        <w:rPr>
          <w:rFonts w:hint="cs"/>
          <w:i/>
          <w:sz w:val="23"/>
          <w:szCs w:val="23"/>
          <w:rtl/>
        </w:rPr>
        <w:softHyphen/>
        <w:t>دهند، آنگاه</w:t>
      </w:r>
    </w:p>
    <w:p w14:paraId="08249D2F" w14:textId="77777777" w:rsidR="00556C10" w:rsidRPr="002614E7" w:rsidRDefault="00556C10" w:rsidP="00556C10">
      <w:pPr>
        <w:pStyle w:val="MTDisplayEquation"/>
        <w:tabs>
          <w:tab w:val="clear" w:pos="6660"/>
          <w:tab w:val="right" w:pos="0"/>
        </w:tabs>
        <w:spacing w:line="216" w:lineRule="auto"/>
        <w:jc w:val="left"/>
        <w:rPr>
          <w:rFonts w:ascii="Times New Roman" w:hAnsi="Times New Roman" w:cs="B Nazanin"/>
          <w:i/>
          <w:sz w:val="23"/>
          <w:szCs w:val="23"/>
          <w:rtl/>
        </w:rPr>
      </w:pPr>
      <w:r w:rsidRPr="002614E7">
        <w:rPr>
          <w:position w:val="-36"/>
        </w:rPr>
        <w:object w:dxaOrig="4580" w:dyaOrig="820" w14:anchorId="6FBACADD">
          <v:shape id="_x0000_i7154" type="#_x0000_t75" style="width:228.7pt;height:41.15pt" o:ole="">
            <v:imagedata r:id="rId12377" o:title=""/>
          </v:shape>
          <o:OLEObject Type="Embed" ProgID="Equation.DSMT4" ShapeID="_x0000_i7154" DrawAspect="Content" ObjectID="_1791381098" r:id="rId12378"/>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ab/>
        <w:t>(۱۴. ۶۶)</w:t>
      </w:r>
    </w:p>
    <w:p w14:paraId="7FAEC9DF"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با در نظر گرفتن این که هدف ‌مدل کالوو انتخاب</w:t>
      </w:r>
      <w:r w:rsidRPr="002614E7">
        <w:rPr>
          <w:position w:val="-12"/>
        </w:rPr>
        <w:object w:dxaOrig="740" w:dyaOrig="360" w14:anchorId="6C0570D3">
          <v:shape id="_x0000_i7155" type="#_x0000_t75" style="width:36.9pt;height:18.15pt" o:ole="">
            <v:imagedata r:id="rId12379" o:title=""/>
          </v:shape>
          <o:OLEObject Type="Embed" ProgID="Equation.DSMT4" ShapeID="_x0000_i7155" DrawAspect="Content" ObjectID="_1791381099" r:id="rId12380"/>
        </w:object>
      </w:r>
      <w:r w:rsidRPr="002614E7">
        <w:rPr>
          <w:rFonts w:hint="cs"/>
          <w:i/>
          <w:position w:val="-12"/>
          <w:sz w:val="23"/>
          <w:szCs w:val="23"/>
          <w:rtl/>
        </w:rPr>
        <w:t xml:space="preserve"> </w:t>
      </w:r>
      <w:r w:rsidRPr="002614E7">
        <w:rPr>
          <w:rFonts w:hint="cs"/>
          <w:i/>
          <w:sz w:val="23"/>
          <w:szCs w:val="23"/>
          <w:rtl/>
        </w:rPr>
        <w:t>برای حداقل کردن عبارت زیر است</w:t>
      </w:r>
    </w:p>
    <w:p w14:paraId="6F8359E2"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6"/>
        </w:rPr>
        <w:object w:dxaOrig="2620" w:dyaOrig="620" w14:anchorId="27C64843">
          <v:shape id="_x0000_i7156" type="#_x0000_t75" style="width:130.7pt;height:30.85pt" o:ole="">
            <v:imagedata r:id="rId12381" o:title=""/>
          </v:shape>
          <o:OLEObject Type="Embed" ProgID="Equation.DSMT4" ShapeID="_x0000_i7156" DrawAspect="Content" ObjectID="_1791381100" r:id="rId12382"/>
        </w:object>
      </w:r>
    </w:p>
    <w:p w14:paraId="1D1C2645"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که در آن </w:t>
      </w:r>
      <w:r w:rsidRPr="002614E7">
        <w:rPr>
          <w:position w:val="-12"/>
        </w:rPr>
        <w:object w:dxaOrig="1180" w:dyaOrig="360" w14:anchorId="7CCF04AF">
          <v:shape id="_x0000_i7157" type="#_x0000_t75" style="width:58.7pt;height:18.15pt" o:ole="">
            <v:imagedata r:id="rId12383" o:title=""/>
          </v:shape>
          <o:OLEObject Type="Embed" ProgID="Equation.DSMT4" ShapeID="_x0000_i7157" DrawAspect="Content" ObjectID="_1791381101" r:id="rId12384"/>
        </w:object>
      </w:r>
      <w:r w:rsidRPr="002614E7">
        <w:rPr>
          <w:rFonts w:hint="cs"/>
          <w:i/>
          <w:sz w:val="23"/>
          <w:szCs w:val="23"/>
          <w:rtl/>
        </w:rPr>
        <w:t xml:space="preserve"> است، خواهیم داشت</w:t>
      </w:r>
    </w:p>
    <w:p w14:paraId="5BF4DF96"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12"/>
        </w:rPr>
        <w:object w:dxaOrig="3400" w:dyaOrig="360" w14:anchorId="2CF39F51">
          <v:shape id="_x0000_i7158" type="#_x0000_t75" style="width:169.4pt;height:18.15pt" o:ole="">
            <v:imagedata r:id="rId12385" o:title=""/>
          </v:shape>
          <o:OLEObject Type="Embed" ProgID="Equation.DSMT4" ShapeID="_x0000_i7158" DrawAspect="Content" ObjectID="_1791381102" r:id="rId12386"/>
        </w:object>
      </w:r>
    </w:p>
    <w:p w14:paraId="5C325203"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lastRenderedPageBreak/>
        <w:t xml:space="preserve">و بنابراین </w:t>
      </w:r>
    </w:p>
    <w:p w14:paraId="118112BC"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Pr>
      </w:pPr>
      <w:r w:rsidRPr="002614E7">
        <w:rPr>
          <w:position w:val="-22"/>
        </w:rPr>
        <w:object w:dxaOrig="5440" w:dyaOrig="560" w14:anchorId="1933B614">
          <v:shape id="_x0000_i7159" type="#_x0000_t75" style="width:271.65pt;height:27.85pt" o:ole="">
            <v:imagedata r:id="rId12387" o:title=""/>
          </v:shape>
          <o:OLEObject Type="Embed" ProgID="Equation.DSMT4" ShapeID="_x0000_i7159" DrawAspect="Content" ObjectID="_1791381103" r:id="rId12388"/>
        </w:object>
      </w:r>
      <w:r w:rsidRPr="002614E7">
        <w:rPr>
          <w:sz w:val="23"/>
          <w:szCs w:val="23"/>
          <w:rtl/>
        </w:rPr>
        <w:tab/>
      </w:r>
      <w:r w:rsidRPr="002614E7">
        <w:rPr>
          <w:rFonts w:ascii="Times New Roman" w:hAnsi="Times New Roman" w:cs="B Nazanin" w:hint="cs"/>
          <w:i/>
          <w:sz w:val="23"/>
          <w:szCs w:val="23"/>
          <w:rtl/>
        </w:rPr>
        <w:tab/>
        <w:t>(۱۴. ۶۷)</w:t>
      </w:r>
    </w:p>
    <w:p w14:paraId="1FB88161"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 xml:space="preserve"> در نتیجه از معادلات (۱۴. ۶۶) و (۱۴. ۶۷)</w:t>
      </w:r>
    </w:p>
    <w:p w14:paraId="044819DE"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2"/>
        </w:rPr>
        <w:object w:dxaOrig="3360" w:dyaOrig="560" w14:anchorId="6FDCD3F6">
          <v:shape id="_x0000_i7160" type="#_x0000_t75" style="width:168.2pt;height:27.85pt" o:ole="">
            <v:imagedata r:id="rId12389" o:title=""/>
          </v:shape>
          <o:OLEObject Type="Embed" ProgID="Equation.DSMT4" ShapeID="_x0000_i7160" DrawAspect="Content" ObjectID="_1791381104" r:id="rId12390"/>
        </w:object>
      </w:r>
    </w:p>
    <w:p w14:paraId="5D1512E4"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و مطابق آن</w:t>
      </w:r>
    </w:p>
    <w:p w14:paraId="0C82AC58"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tl/>
        </w:rPr>
      </w:pPr>
      <w:r w:rsidRPr="002614E7">
        <w:rPr>
          <w:position w:val="-26"/>
        </w:rPr>
        <w:object w:dxaOrig="3540" w:dyaOrig="680" w14:anchorId="05BC7523">
          <v:shape id="_x0000_i7161" type="#_x0000_t75" style="width:177.3pt;height:33.9pt" o:ole="">
            <v:imagedata r:id="rId12391" o:title=""/>
          </v:shape>
          <o:OLEObject Type="Embed" ProgID="Equation.DSMT4" ShapeID="_x0000_i7161" DrawAspect="Content" ObjectID="_1791381105" r:id="rId12392"/>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ab/>
        <w:t>(۱۴. ۶۸)</w:t>
      </w:r>
    </w:p>
    <w:p w14:paraId="0C1A5495"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که در آن </w:t>
      </w:r>
      <w:r w:rsidRPr="002614E7">
        <w:rPr>
          <w:position w:val="-12"/>
        </w:rPr>
        <w:object w:dxaOrig="1579" w:dyaOrig="360" w14:anchorId="29E6816E">
          <v:shape id="_x0000_i7162" type="#_x0000_t75" style="width:78.65pt;height:18.15pt" o:ole="">
            <v:imagedata r:id="rId12393" o:title=""/>
          </v:shape>
          <o:OLEObject Type="Embed" ProgID="Equation.DSMT4" ShapeID="_x0000_i7162" DrawAspect="Content" ObjectID="_1791381106" r:id="rId12394"/>
        </w:object>
      </w:r>
      <w:r w:rsidRPr="002614E7">
        <w:rPr>
          <w:rFonts w:hint="cs"/>
          <w:i/>
          <w:sz w:val="23"/>
          <w:szCs w:val="23"/>
          <w:rtl/>
        </w:rPr>
        <w:t xml:space="preserve"> و </w:t>
      </w:r>
      <w:r w:rsidRPr="002614E7">
        <w:rPr>
          <w:position w:val="-6"/>
        </w:rPr>
        <w:object w:dxaOrig="220" w:dyaOrig="200" w14:anchorId="0B0017E7">
          <v:shape id="_x0000_i7163" type="#_x0000_t75" style="width:10.9pt;height:10.3pt" o:ole="">
            <v:imagedata r:id="rId12395" o:title=""/>
          </v:shape>
          <o:OLEObject Type="Embed" ProgID="Equation.DSMT4" ShapeID="_x0000_i7163" DrawAspect="Content" ObjectID="_1791381107" r:id="rId12396"/>
        </w:object>
      </w:r>
      <w:r w:rsidRPr="002614E7">
        <w:rPr>
          <w:rFonts w:hint="cs"/>
          <w:i/>
          <w:sz w:val="23"/>
          <w:szCs w:val="23"/>
          <w:rtl/>
        </w:rPr>
        <w:t xml:space="preserve"> مقدار متوسط</w:t>
      </w:r>
      <w:r w:rsidRPr="002614E7">
        <w:rPr>
          <w:position w:val="-12"/>
        </w:rPr>
        <w:object w:dxaOrig="900" w:dyaOrig="360" w14:anchorId="1DA1C293">
          <v:shape id="_x0000_i7164" type="#_x0000_t75" style="width:45.4pt;height:18.15pt" o:ole="">
            <v:imagedata r:id="rId12397" o:title=""/>
          </v:shape>
          <o:OLEObject Type="Embed" ProgID="Equation.DSMT4" ShapeID="_x0000_i7164" DrawAspect="Content" ObjectID="_1791381108" r:id="rId12398"/>
        </w:object>
      </w:r>
      <w:r w:rsidRPr="002614E7">
        <w:rPr>
          <w:rFonts w:hint="cs"/>
          <w:i/>
          <w:sz w:val="23"/>
          <w:szCs w:val="23"/>
          <w:rtl/>
        </w:rPr>
        <w:t xml:space="preserve"> است.</w:t>
      </w:r>
    </w:p>
    <w:p w14:paraId="692B9CD6"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با تلفیق نتایج فوق، و توجه به این نکته که تمام بنگاه‌هایی که قیمت‌ها را تغییر می‌دهند، قیمت</w:t>
      </w:r>
      <w:r w:rsidRPr="002614E7">
        <w:rPr>
          <w:rFonts w:hint="cs"/>
          <w:i/>
          <w:sz w:val="23"/>
          <w:szCs w:val="23"/>
          <w:rtl/>
        </w:rPr>
        <w:softHyphen/>
        <w:t xml:space="preserve">ها را به یک میزان تغییر خواهند داد، آنگاه </w:t>
      </w:r>
      <w:r w:rsidRPr="002614E7">
        <w:rPr>
          <w:position w:val="-12"/>
        </w:rPr>
        <w:object w:dxaOrig="1219" w:dyaOrig="360" w14:anchorId="61B24A15">
          <v:shape id="_x0000_i7165" type="#_x0000_t75" style="width:61.1pt;height:18.15pt" o:ole="">
            <v:imagedata r:id="rId12399" o:title=""/>
          </v:shape>
          <o:OLEObject Type="Embed" ProgID="Equation.DSMT4" ShapeID="_x0000_i7165" DrawAspect="Content" ObjectID="_1791381109" r:id="rId12400"/>
        </w:object>
      </w:r>
      <w:r w:rsidRPr="002614E7">
        <w:rPr>
          <w:rFonts w:hint="cs"/>
          <w:i/>
          <w:sz w:val="23"/>
          <w:szCs w:val="23"/>
          <w:rtl/>
        </w:rPr>
        <w:t xml:space="preserve"> است، و لذا می‌توان تابع رفاه اجتماعی را به صورت تقریبی به صورت زیر بنویسیم.</w:t>
      </w:r>
    </w:p>
    <w:p w14:paraId="492CAD3C"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26"/>
        </w:rPr>
        <w:object w:dxaOrig="4560" w:dyaOrig="680" w14:anchorId="0FD0E8D0">
          <v:shape id="_x0000_i7166" type="#_x0000_t75" style="width:228.1pt;height:33.9pt" o:ole="">
            <v:imagedata r:id="rId12401" o:title=""/>
          </v:shape>
          <o:OLEObject Type="Embed" ProgID="Equation.DSMT4" ShapeID="_x0000_i7166" DrawAspect="Content" ObjectID="_1791381110" r:id="rId12402"/>
        </w:object>
      </w:r>
    </w:p>
    <w:p w14:paraId="51FEBB6D"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Pr>
      </w:pPr>
      <w:r w:rsidRPr="002614E7">
        <w:rPr>
          <w:position w:val="-22"/>
        </w:rPr>
        <w:object w:dxaOrig="3900" w:dyaOrig="560" w14:anchorId="5C803D97">
          <v:shape id="_x0000_i7167" type="#_x0000_t75" style="width:194.8pt;height:27.85pt" o:ole="">
            <v:imagedata r:id="rId12403" o:title=""/>
          </v:shape>
          <o:OLEObject Type="Embed" ProgID="Equation.DSMT4" ShapeID="_x0000_i7167" DrawAspect="Content" ObjectID="_1791381111" r:id="rId12404"/>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ab/>
        <w:t>(۱۴. ۶۹)</w:t>
      </w:r>
    </w:p>
    <w:p w14:paraId="34691C44"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معادله</w:t>
      </w:r>
      <w:r w:rsidRPr="002614E7">
        <w:rPr>
          <w:rFonts w:hint="cs"/>
          <w:i/>
          <w:sz w:val="23"/>
          <w:szCs w:val="23"/>
          <w:rtl/>
        </w:rPr>
        <w:softHyphen/>
        <w:t>ی (۱۴. ۶۹) نشان می‌دهد که رابطه</w:t>
      </w:r>
      <w:r w:rsidRPr="002614E7">
        <w:rPr>
          <w:rFonts w:hint="cs"/>
          <w:i/>
          <w:sz w:val="23"/>
          <w:szCs w:val="23"/>
          <w:rtl/>
        </w:rPr>
        <w:softHyphen/>
        <w:t>ی (۱۴. ۶۱) تقریبی از تابع مطلوبیت بین‌دوره</w:t>
      </w:r>
      <w:r w:rsidRPr="002614E7">
        <w:rPr>
          <w:rFonts w:hint="cs"/>
          <w:i/>
          <w:sz w:val="23"/>
          <w:szCs w:val="23"/>
          <w:rtl/>
        </w:rPr>
        <w:softHyphen/>
        <w:t xml:space="preserve">ای بر مبنای تابع مطلوبیت (۱۴. ۶۲) است، و البته این تقریب به اعتبار مفروضات در نظر گفته شده بستگی دارد. </w:t>
      </w:r>
    </w:p>
    <w:p w14:paraId="3F6E241C" w14:textId="77777777" w:rsidR="00556C10" w:rsidRPr="002614E7" w:rsidRDefault="00556C10" w:rsidP="00556C10">
      <w:pPr>
        <w:tabs>
          <w:tab w:val="right" w:pos="1287"/>
        </w:tabs>
        <w:spacing w:line="216" w:lineRule="auto"/>
        <w:rPr>
          <w:i/>
          <w:sz w:val="23"/>
          <w:szCs w:val="23"/>
        </w:rPr>
      </w:pPr>
    </w:p>
    <w:p w14:paraId="7F6C23FB" w14:textId="77777777" w:rsidR="00556C10" w:rsidRPr="002614E7" w:rsidRDefault="00556C10" w:rsidP="00556C10">
      <w:pPr>
        <w:pStyle w:val="Heading1"/>
        <w:spacing w:before="0" w:line="216" w:lineRule="auto"/>
        <w:rPr>
          <w:rFonts w:ascii="Times New Roman" w:hAnsi="Times New Roman" w:cs="B Nazanin"/>
          <w:b w:val="0"/>
          <w:i/>
          <w:sz w:val="23"/>
          <w:szCs w:val="23"/>
          <w:rtl/>
        </w:rPr>
      </w:pPr>
      <w:r w:rsidRPr="002614E7">
        <w:rPr>
          <w:rFonts w:ascii="Times New Roman" w:hAnsi="Times New Roman" w:cs="B Nazanin" w:hint="cs"/>
          <w:b w:val="0"/>
          <w:i/>
          <w:sz w:val="23"/>
          <w:szCs w:val="23"/>
          <w:rtl/>
        </w:rPr>
        <w:t>۱۴. ۵. ۲ سیاست تورم بهینه در شرایط سیاست پولی صلاحدیدی</w:t>
      </w:r>
    </w:p>
    <w:p w14:paraId="72AD3DE8" w14:textId="77777777" w:rsidR="00556C10" w:rsidRPr="002614E7" w:rsidRDefault="00556C10" w:rsidP="00556C10">
      <w:pPr>
        <w:tabs>
          <w:tab w:val="right" w:pos="1287"/>
        </w:tabs>
        <w:spacing w:line="216" w:lineRule="auto"/>
        <w:rPr>
          <w:bCs/>
          <w:i/>
          <w:sz w:val="23"/>
          <w:szCs w:val="23"/>
          <w:rtl/>
        </w:rPr>
      </w:pPr>
      <w:r w:rsidRPr="002614E7">
        <w:rPr>
          <w:rFonts w:hint="cs"/>
          <w:bCs/>
          <w:i/>
          <w:sz w:val="23"/>
          <w:szCs w:val="23"/>
          <w:rtl/>
        </w:rPr>
        <w:t>مدل بارو- گوردون</w:t>
      </w:r>
      <w:r w:rsidRPr="002614E7">
        <w:rPr>
          <w:rStyle w:val="FootnoteReference"/>
          <w:bCs/>
          <w:i/>
          <w:sz w:val="23"/>
          <w:szCs w:val="23"/>
          <w:rtl/>
        </w:rPr>
        <w:footnoteReference w:id="354"/>
      </w:r>
    </w:p>
    <w:p w14:paraId="7B2CD282"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در خصوص هدف‌‌گذاری تورم بهینه، بارو- گوردون مدلی خاصی را برای اقتصاد و همچنین تابع هدف ‌سیاستی که تا حدودی با معادله (۱۴. ۶۱) متفاوت است در نظر گرفتند.</w:t>
      </w:r>
    </w:p>
    <w:p w14:paraId="0194AE5B" w14:textId="77777777" w:rsidR="00556C10" w:rsidRDefault="00556C10" w:rsidP="00556C10">
      <w:pPr>
        <w:tabs>
          <w:tab w:val="right" w:pos="1287"/>
        </w:tabs>
        <w:spacing w:line="216" w:lineRule="auto"/>
        <w:rPr>
          <w:i/>
          <w:sz w:val="23"/>
          <w:szCs w:val="23"/>
          <w:rtl/>
        </w:rPr>
      </w:pPr>
      <w:r w:rsidRPr="002614E7">
        <w:rPr>
          <w:rFonts w:hint="cs"/>
          <w:i/>
          <w:sz w:val="23"/>
          <w:szCs w:val="23"/>
          <w:rtl/>
        </w:rPr>
        <w:t>فرض کنید که اقتصاد با رابطه</w:t>
      </w:r>
      <w:r w:rsidRPr="002614E7">
        <w:rPr>
          <w:rFonts w:hint="cs"/>
          <w:i/>
          <w:sz w:val="23"/>
          <w:szCs w:val="23"/>
          <w:rtl/>
        </w:rPr>
        <w:softHyphen/>
        <w:t>ی مبادله بین تورم و تولید در کوتاه‌مدت و نه بلندمدت مواجه است. ارتباط بین این دو متغیر به وسیله</w:t>
      </w:r>
      <w:r w:rsidRPr="002614E7">
        <w:rPr>
          <w:rFonts w:hint="cs"/>
          <w:i/>
          <w:sz w:val="23"/>
          <w:szCs w:val="23"/>
          <w:rtl/>
        </w:rPr>
        <w:softHyphen/>
        <w:t>ی نسخه</w:t>
      </w:r>
      <w:r w:rsidRPr="002614E7">
        <w:rPr>
          <w:rFonts w:hint="cs"/>
          <w:i/>
          <w:sz w:val="23"/>
          <w:szCs w:val="23"/>
          <w:rtl/>
        </w:rPr>
        <w:softHyphen/>
        <w:t>ی خاصی از معادله</w:t>
      </w:r>
      <w:r w:rsidRPr="002614E7">
        <w:rPr>
          <w:rFonts w:hint="cs"/>
          <w:i/>
          <w:sz w:val="23"/>
          <w:szCs w:val="23"/>
          <w:rtl/>
        </w:rPr>
        <w:softHyphen/>
        <w:t xml:space="preserve">ی فیلیپس ارائه شده که به وسیله </w:t>
      </w:r>
    </w:p>
    <w:p w14:paraId="3FF1868A"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تابع عرضه</w:t>
      </w:r>
      <w:r w:rsidRPr="002614E7">
        <w:rPr>
          <w:rFonts w:hint="cs"/>
          <w:i/>
          <w:sz w:val="23"/>
          <w:szCs w:val="23"/>
          <w:rtl/>
        </w:rPr>
        <w:softHyphen/>
        <w:t>ی زیر نوشته می‌شود</w:t>
      </w:r>
    </w:p>
    <w:p w14:paraId="2FC33FCA" w14:textId="77777777" w:rsidR="00556C10" w:rsidRPr="002614E7" w:rsidRDefault="00556C10" w:rsidP="00556C10">
      <w:pPr>
        <w:tabs>
          <w:tab w:val="right" w:pos="0"/>
        </w:tabs>
        <w:bidi w:val="0"/>
        <w:spacing w:line="216" w:lineRule="auto"/>
        <w:rPr>
          <w:rFonts w:eastAsiaTheme="minorEastAsia"/>
          <w:i/>
          <w:sz w:val="23"/>
          <w:szCs w:val="23"/>
        </w:rPr>
      </w:pPr>
      <w:r w:rsidRPr="002614E7">
        <w:rPr>
          <w:position w:val="-16"/>
        </w:rPr>
        <w:object w:dxaOrig="2020" w:dyaOrig="420" w14:anchorId="3EC7B561">
          <v:shape id="_x0000_i7168" type="#_x0000_t75" style="width:101.05pt;height:21.2pt" o:ole="">
            <v:imagedata r:id="rId12405" o:title=""/>
          </v:shape>
          <o:OLEObject Type="Embed" ProgID="Equation.DSMT4" ShapeID="_x0000_i7168" DrawAspect="Content" ObjectID="_1791381112" r:id="rId12406"/>
        </w:object>
      </w:r>
      <w:r w:rsidRPr="002614E7">
        <w:rPr>
          <w:rFonts w:hint="cs"/>
          <w:i/>
          <w:sz w:val="23"/>
          <w:szCs w:val="23"/>
          <w:rtl/>
        </w:rPr>
        <w:tab/>
      </w:r>
      <w:r w:rsidRPr="002614E7">
        <w:rPr>
          <w:rFonts w:hint="cs"/>
          <w:i/>
          <w:sz w:val="23"/>
          <w:szCs w:val="23"/>
          <w:rtl/>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rFonts w:hint="cs"/>
          <w:i/>
          <w:sz w:val="23"/>
          <w:szCs w:val="23"/>
          <w:rtl/>
        </w:rPr>
        <w:tab/>
      </w:r>
      <w:r w:rsidRPr="002614E7">
        <w:rPr>
          <w:i/>
          <w:sz w:val="23"/>
          <w:szCs w:val="23"/>
          <w:rtl/>
        </w:rPr>
        <w:tab/>
      </w:r>
      <w:r>
        <w:rPr>
          <w:i/>
          <w:sz w:val="23"/>
          <w:szCs w:val="23"/>
          <w:rtl/>
        </w:rPr>
        <w:tab/>
      </w:r>
      <w:r w:rsidRPr="002614E7">
        <w:rPr>
          <w:rFonts w:hint="cs"/>
          <w:i/>
          <w:sz w:val="23"/>
          <w:szCs w:val="23"/>
          <w:rtl/>
        </w:rPr>
        <w:tab/>
      </w:r>
      <w:r w:rsidRPr="002614E7">
        <w:rPr>
          <w:rFonts w:hint="cs"/>
          <w:i/>
          <w:sz w:val="23"/>
          <w:szCs w:val="23"/>
          <w:rtl/>
        </w:rPr>
        <w:tab/>
      </w:r>
      <w:r w:rsidRPr="002614E7">
        <w:rPr>
          <w:rFonts w:eastAsiaTheme="minorEastAsia" w:hint="cs"/>
          <w:i/>
          <w:sz w:val="23"/>
          <w:szCs w:val="23"/>
          <w:rtl/>
        </w:rPr>
        <w:t>(۱۴. ۷۰)</w:t>
      </w:r>
      <w:r w:rsidRPr="002614E7">
        <w:rPr>
          <w:rFonts w:eastAsiaTheme="minorEastAsia"/>
          <w:i/>
          <w:sz w:val="23"/>
          <w:szCs w:val="23"/>
        </w:rPr>
        <w:t xml:space="preserve"> </w:t>
      </w:r>
    </w:p>
    <w:p w14:paraId="7072FDA6" w14:textId="77777777" w:rsidR="00556C10" w:rsidRPr="002614E7" w:rsidRDefault="00556C10" w:rsidP="00556C10">
      <w:pPr>
        <w:tabs>
          <w:tab w:val="right" w:pos="1287"/>
        </w:tabs>
        <w:spacing w:line="216" w:lineRule="auto"/>
        <w:rPr>
          <w:rFonts w:eastAsiaTheme="minorHAnsi"/>
          <w:i/>
          <w:sz w:val="23"/>
          <w:szCs w:val="23"/>
          <w:rtl/>
        </w:rPr>
      </w:pPr>
      <w:r w:rsidRPr="002614E7">
        <w:rPr>
          <w:rFonts w:hint="cs"/>
          <w:i/>
          <w:sz w:val="23"/>
          <w:szCs w:val="23"/>
          <w:rtl/>
        </w:rPr>
        <w:t>در این رابطه</w:t>
      </w:r>
      <w:r w:rsidRPr="002614E7">
        <w:rPr>
          <w:position w:val="-10"/>
        </w:rPr>
        <w:object w:dxaOrig="260" w:dyaOrig="320" w14:anchorId="0E8616D1">
          <v:shape id="_x0000_i7169" type="#_x0000_t75" style="width:13.3pt;height:15.75pt" o:ole="">
            <v:imagedata r:id="rId12407" o:title=""/>
          </v:shape>
          <o:OLEObject Type="Embed" ProgID="Equation.DSMT4" ShapeID="_x0000_i7169" DrawAspect="Content" ObjectID="_1791381113" r:id="rId12408"/>
        </w:object>
      </w:r>
      <w:r w:rsidRPr="002614E7">
        <w:rPr>
          <w:rFonts w:hint="cs"/>
          <w:i/>
          <w:sz w:val="23"/>
          <w:szCs w:val="23"/>
          <w:rtl/>
        </w:rPr>
        <w:t xml:space="preserve"> برابر با تولید تعادلی و یا ظرفیت تولید در اشتغال کامل،</w:t>
      </w:r>
      <w:r w:rsidRPr="002614E7">
        <w:rPr>
          <w:position w:val="-6"/>
        </w:rPr>
        <w:object w:dxaOrig="279" w:dyaOrig="300" w14:anchorId="49261BD4">
          <v:shape id="_x0000_i7170" type="#_x0000_t75" style="width:13.9pt;height:14.5pt" o:ole="">
            <v:imagedata r:id="rId12409" o:title=""/>
          </v:shape>
          <o:OLEObject Type="Embed" ProgID="Equation.DSMT4" ShapeID="_x0000_i7170" DrawAspect="Content" ObjectID="_1791381114" r:id="rId12410"/>
        </w:object>
      </w:r>
      <w:r w:rsidRPr="002614E7">
        <w:rPr>
          <w:rFonts w:hint="cs"/>
          <w:i/>
          <w:sz w:val="23"/>
          <w:szCs w:val="23"/>
          <w:rtl/>
        </w:rPr>
        <w:t xml:space="preserve"> انتظارات عقلایی از تورم در اقتصاد و</w:t>
      </w:r>
      <w:r w:rsidRPr="002614E7">
        <w:rPr>
          <w:position w:val="-6"/>
        </w:rPr>
        <w:object w:dxaOrig="180" w:dyaOrig="200" w14:anchorId="56066DEE">
          <v:shape id="_x0000_i7171" type="#_x0000_t75" style="width:9.1pt;height:10.3pt" o:ole="">
            <v:imagedata r:id="rId12411" o:title=""/>
          </v:shape>
          <o:OLEObject Type="Embed" ProgID="Equation.DSMT4" ShapeID="_x0000_i7171" DrawAspect="Content" ObjectID="_1791381115" r:id="rId12412"/>
        </w:object>
      </w:r>
      <w:r w:rsidRPr="002614E7">
        <w:rPr>
          <w:rFonts w:hint="cs"/>
          <w:i/>
          <w:sz w:val="23"/>
          <w:szCs w:val="23"/>
          <w:rtl/>
        </w:rPr>
        <w:t xml:space="preserve"> شوک تولید است. فرضِ تا حدودی نامحتمل و غیرمقبول، اما مهم آن است که شوک تولید توسط مراجع و مقامات پولی یا بانک مرکزی مشخص، ولی علنی نیست. این فرض یک مزیت اطلاعاتی برای بانک مرکزی ایجاد خواهد کرد.</w:t>
      </w:r>
    </w:p>
    <w:p w14:paraId="0679BE46"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lastRenderedPageBreak/>
        <w:t xml:space="preserve">ابزار سیاست پولی به وسیله </w:t>
      </w:r>
      <w:r w:rsidRPr="002614E7">
        <w:rPr>
          <w:position w:val="-6"/>
        </w:rPr>
        <w:object w:dxaOrig="180" w:dyaOrig="200" w14:anchorId="4FB41C1A">
          <v:shape id="_x0000_i7172" type="#_x0000_t75" style="width:9.1pt;height:10.3pt" o:ole="">
            <v:imagedata r:id="rId12413" o:title=""/>
          </v:shape>
          <o:OLEObject Type="Embed" ProgID="Equation.DSMT4" ShapeID="_x0000_i7172" DrawAspect="Content" ObjectID="_1791381116" r:id="rId12414"/>
        </w:object>
      </w:r>
      <w:r w:rsidRPr="002614E7">
        <w:rPr>
          <w:i/>
          <w:sz w:val="23"/>
          <w:szCs w:val="23"/>
        </w:rPr>
        <w:t xml:space="preserve"> </w:t>
      </w:r>
      <w:r w:rsidRPr="002614E7">
        <w:rPr>
          <w:rFonts w:hint="cs"/>
          <w:i/>
          <w:sz w:val="23"/>
          <w:szCs w:val="23"/>
          <w:rtl/>
        </w:rPr>
        <w:t>نشان داده شده و فرض می</w:t>
      </w:r>
      <w:r w:rsidRPr="002614E7">
        <w:rPr>
          <w:rFonts w:hint="cs"/>
          <w:i/>
          <w:sz w:val="23"/>
          <w:szCs w:val="23"/>
          <w:rtl/>
        </w:rPr>
        <w:softHyphen/>
        <w:t>شود این ابزار به صورت صلاحدیدی است و نه مبتنی بر یک قاعده و یا ضابطه</w:t>
      </w:r>
      <w:r w:rsidRPr="002614E7">
        <w:rPr>
          <w:rFonts w:hint="cs"/>
          <w:i/>
          <w:sz w:val="23"/>
          <w:szCs w:val="23"/>
          <w:rtl/>
        </w:rPr>
        <w:softHyphen/>
        <w:t>ای خاص.</w:t>
      </w:r>
      <w:r w:rsidRPr="002614E7">
        <w:rPr>
          <w:position w:val="-6"/>
        </w:rPr>
        <w:object w:dxaOrig="180" w:dyaOrig="200" w14:anchorId="4BA6E6B7">
          <v:shape id="_x0000_i7173" type="#_x0000_t75" style="width:9.1pt;height:10.3pt" o:ole="">
            <v:imagedata r:id="rId12415" o:title=""/>
          </v:shape>
          <o:OLEObject Type="Embed" ProgID="Equation.DSMT4" ShapeID="_x0000_i7173" DrawAspect="Content" ObjectID="_1791381117" r:id="rId12416"/>
        </w:object>
      </w:r>
      <w:r w:rsidRPr="002614E7">
        <w:rPr>
          <w:rFonts w:hint="cs"/>
          <w:i/>
          <w:sz w:val="23"/>
          <w:szCs w:val="23"/>
          <w:rtl/>
        </w:rPr>
        <w:t>ممکن است متغیر نرخ بهره</w:t>
      </w:r>
      <w:r w:rsidRPr="002614E7">
        <w:rPr>
          <w:rFonts w:hint="cs"/>
          <w:i/>
          <w:sz w:val="23"/>
          <w:szCs w:val="23"/>
          <w:rtl/>
        </w:rPr>
        <w:softHyphen/>
        <w:t>ی رسمی</w:t>
      </w:r>
      <w:r w:rsidRPr="002614E7">
        <w:rPr>
          <w:position w:val="-6"/>
        </w:rPr>
        <w:object w:dxaOrig="240" w:dyaOrig="260" w14:anchorId="5CEDC914">
          <v:shape id="_x0000_i7174" type="#_x0000_t75" style="width:11.5pt;height:13.3pt" o:ole="">
            <v:imagedata r:id="rId12417" o:title=""/>
          </v:shape>
          <o:OLEObject Type="Embed" ProgID="Equation.DSMT4" ShapeID="_x0000_i7174" DrawAspect="Content" ObjectID="_1791381118" r:id="rId12418"/>
        </w:object>
      </w:r>
      <w:r w:rsidRPr="002614E7">
        <w:rPr>
          <w:rFonts w:hint="cs"/>
          <w:i/>
          <w:sz w:val="23"/>
          <w:szCs w:val="23"/>
          <w:rtl/>
        </w:rPr>
        <w:t xml:space="preserve"> یا نرخ رشد عرضه پول</w:t>
      </w:r>
      <w:r w:rsidRPr="002614E7">
        <w:rPr>
          <w:position w:val="-6"/>
        </w:rPr>
        <w:object w:dxaOrig="400" w:dyaOrig="260" w14:anchorId="2947F2DD">
          <v:shape id="_x0000_i7175" type="#_x0000_t75" style="width:19.95pt;height:13.3pt" o:ole="">
            <v:imagedata r:id="rId12419" o:title=""/>
          </v:shape>
          <o:OLEObject Type="Embed" ProgID="Equation.DSMT4" ShapeID="_x0000_i7175" DrawAspect="Content" ObjectID="_1791381119" r:id="rId12420"/>
        </w:object>
      </w:r>
      <w:r w:rsidRPr="002614E7">
        <w:rPr>
          <w:rFonts w:hint="cs"/>
          <w:i/>
          <w:sz w:val="23"/>
          <w:szCs w:val="23"/>
          <w:rtl/>
        </w:rPr>
        <w:t xml:space="preserve"> باشد. فرضی دیگر جهت سهولت بحث آن است که اثر</w:t>
      </w:r>
      <w:r w:rsidRPr="002614E7">
        <w:rPr>
          <w:i/>
          <w:sz w:val="23"/>
          <w:szCs w:val="23"/>
        </w:rPr>
        <w:t xml:space="preserve"> </w:t>
      </w:r>
      <w:r w:rsidRPr="002614E7">
        <w:rPr>
          <w:position w:val="-6"/>
        </w:rPr>
        <w:object w:dxaOrig="180" w:dyaOrig="200" w14:anchorId="483CBFA8">
          <v:shape id="_x0000_i7176" type="#_x0000_t75" style="width:9.1pt;height:10.3pt" o:ole="">
            <v:imagedata r:id="rId12421" o:title=""/>
          </v:shape>
          <o:OLEObject Type="Embed" ProgID="Equation.DSMT4" ShapeID="_x0000_i7176" DrawAspect="Content" ObjectID="_1791381120" r:id="rId12422"/>
        </w:object>
      </w:r>
      <w:r w:rsidRPr="002614E7">
        <w:rPr>
          <w:rFonts w:hint="cs"/>
          <w:i/>
          <w:sz w:val="23"/>
          <w:szCs w:val="23"/>
          <w:rtl/>
        </w:rPr>
        <w:t>بر نرخ تورم تصادفی است و می‌تواند به وسیله مکانیسم انتقال زیر بدست آید</w:t>
      </w:r>
    </w:p>
    <w:p w14:paraId="07852560" w14:textId="77777777" w:rsidR="00556C10" w:rsidRPr="002614E7" w:rsidRDefault="00556C10" w:rsidP="00556C10">
      <w:pPr>
        <w:tabs>
          <w:tab w:val="right" w:pos="0"/>
        </w:tabs>
        <w:bidi w:val="0"/>
        <w:spacing w:line="216" w:lineRule="auto"/>
        <w:rPr>
          <w:i/>
          <w:sz w:val="23"/>
          <w:szCs w:val="23"/>
          <w:rtl/>
        </w:rPr>
      </w:pPr>
      <w:r w:rsidRPr="002614E7">
        <w:rPr>
          <w:position w:val="-6"/>
        </w:rPr>
        <w:object w:dxaOrig="840" w:dyaOrig="220" w14:anchorId="5D9172C9">
          <v:shape id="_x0000_i7177" type="#_x0000_t75" style="width:41.75pt;height:10.9pt" o:ole="">
            <v:imagedata r:id="rId12423" o:title=""/>
          </v:shape>
          <o:OLEObject Type="Embed" ProgID="Equation.DSMT4" ShapeID="_x0000_i7177" DrawAspect="Content" ObjectID="_1791381121" r:id="rId12424"/>
        </w:object>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Pr>
          <w:rFonts w:eastAsiaTheme="minorHAnsi" w:cstheme="minorBidi"/>
          <w:i/>
          <w:sz w:val="23"/>
          <w:szCs w:val="23"/>
          <w:rtl/>
        </w:rPr>
        <w:tab/>
      </w:r>
      <w:r>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EastAsia" w:hint="cs"/>
          <w:i/>
          <w:sz w:val="23"/>
          <w:szCs w:val="23"/>
          <w:rtl/>
        </w:rPr>
        <w:t>(۱۴. ۷۱)</w:t>
      </w:r>
    </w:p>
    <w:p w14:paraId="19F79238"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 که در آن </w:t>
      </w:r>
      <w:r w:rsidRPr="002614E7">
        <w:rPr>
          <w:position w:val="-6"/>
        </w:rPr>
        <w:object w:dxaOrig="180" w:dyaOrig="200" w14:anchorId="2FED724C">
          <v:shape id="_x0000_i7178" type="#_x0000_t75" style="width:9.1pt;height:10.3pt" o:ole="">
            <v:imagedata r:id="rId12425" o:title=""/>
          </v:shape>
          <o:OLEObject Type="Embed" ProgID="Equation.DSMT4" ShapeID="_x0000_i7178" DrawAspect="Content" ObjectID="_1791381122" r:id="rId12426"/>
        </w:object>
      </w:r>
      <w:r w:rsidRPr="002614E7">
        <w:rPr>
          <w:rFonts w:hint="cs"/>
          <w:i/>
          <w:sz w:val="23"/>
          <w:szCs w:val="23"/>
          <w:rtl/>
        </w:rPr>
        <w:t>شوکی است که توسط بانک مرکزی قابل مشاهده نبوده و میانگین آن صفر می</w:t>
      </w:r>
      <w:r w:rsidRPr="002614E7">
        <w:rPr>
          <w:rFonts w:hint="cs"/>
          <w:i/>
          <w:sz w:val="23"/>
          <w:szCs w:val="23"/>
          <w:rtl/>
        </w:rPr>
        <w:softHyphen/>
        <w:t xml:space="preserve">باشد یا </w:t>
      </w:r>
      <w:r w:rsidRPr="002614E7">
        <w:rPr>
          <w:position w:val="-12"/>
        </w:rPr>
        <w:object w:dxaOrig="859" w:dyaOrig="360" w14:anchorId="434688F4">
          <v:shape id="_x0000_i7179" type="#_x0000_t75" style="width:42.95pt;height:18.15pt" o:ole="">
            <v:imagedata r:id="rId12427" o:title=""/>
          </v:shape>
          <o:OLEObject Type="Embed" ProgID="Equation.DSMT4" ShapeID="_x0000_i7179" DrawAspect="Content" ObjectID="_1791381123" r:id="rId12428"/>
        </w:object>
      </w:r>
      <w:r w:rsidRPr="002614E7">
        <w:rPr>
          <w:rFonts w:hint="cs"/>
          <w:i/>
          <w:sz w:val="23"/>
          <w:szCs w:val="23"/>
          <w:rtl/>
        </w:rPr>
        <w:t xml:space="preserve">. در نتیجه </w:t>
      </w:r>
      <w:r w:rsidRPr="002614E7">
        <w:rPr>
          <w:position w:val="-6"/>
        </w:rPr>
        <w:object w:dxaOrig="180" w:dyaOrig="200" w14:anchorId="0400CD17">
          <v:shape id="_x0000_i7180" type="#_x0000_t75" style="width:9.1pt;height:10.3pt" o:ole="">
            <v:imagedata r:id="rId12429" o:title=""/>
          </v:shape>
          <o:OLEObject Type="Embed" ProgID="Equation.DSMT4" ShapeID="_x0000_i7180" DrawAspect="Content" ObjectID="_1791381124" r:id="rId12430"/>
        </w:object>
      </w:r>
      <w:r w:rsidRPr="002614E7">
        <w:rPr>
          <w:rFonts w:hint="cs"/>
          <w:i/>
          <w:sz w:val="23"/>
          <w:szCs w:val="23"/>
          <w:rtl/>
        </w:rPr>
        <w:t>به طور ناقص تورم</w:t>
      </w:r>
      <w:r w:rsidRPr="002614E7">
        <w:rPr>
          <w:position w:val="-6"/>
        </w:rPr>
        <w:object w:dxaOrig="220" w:dyaOrig="200" w14:anchorId="2DC893AB">
          <v:shape id="_x0000_i7181" type="#_x0000_t75" style="width:10.9pt;height:10.3pt" o:ole="">
            <v:imagedata r:id="rId12431" o:title=""/>
          </v:shape>
          <o:OLEObject Type="Embed" ProgID="Equation.DSMT4" ShapeID="_x0000_i7181" DrawAspect="Content" ObjectID="_1791381125" r:id="rId12432"/>
        </w:object>
      </w:r>
      <w:r w:rsidRPr="002614E7">
        <w:rPr>
          <w:rFonts w:hint="cs"/>
          <w:i/>
          <w:sz w:val="23"/>
          <w:szCs w:val="23"/>
          <w:rtl/>
        </w:rPr>
        <w:t xml:space="preserve"> را کنترل می‌کند. فرض ساده</w:t>
      </w:r>
      <w:r w:rsidRPr="002614E7">
        <w:rPr>
          <w:i/>
          <w:sz w:val="23"/>
          <w:szCs w:val="23"/>
        </w:rPr>
        <w:softHyphen/>
      </w:r>
      <w:r w:rsidRPr="002614E7">
        <w:rPr>
          <w:rFonts w:hint="cs"/>
          <w:i/>
          <w:sz w:val="23"/>
          <w:szCs w:val="23"/>
          <w:rtl/>
        </w:rPr>
        <w:t>سازی دیگر آن است که مکانیسم انتقال فوری و آنی است و فاقد وقفه می‌باشد، و انتظارات عقلایی برای تورم برابر است</w:t>
      </w:r>
      <w:r w:rsidRPr="002614E7">
        <w:rPr>
          <w:i/>
          <w:sz w:val="23"/>
          <w:szCs w:val="23"/>
        </w:rPr>
        <w:t xml:space="preserve"> </w:t>
      </w:r>
      <w:r w:rsidRPr="002614E7">
        <w:rPr>
          <w:rFonts w:hint="cs"/>
          <w:i/>
          <w:sz w:val="23"/>
          <w:szCs w:val="23"/>
          <w:rtl/>
        </w:rPr>
        <w:t>با</w:t>
      </w:r>
    </w:p>
    <w:p w14:paraId="49B1269D" w14:textId="77777777" w:rsidR="00556C10" w:rsidRPr="002614E7" w:rsidRDefault="00556C10" w:rsidP="00556C10">
      <w:pPr>
        <w:tabs>
          <w:tab w:val="right" w:pos="1287"/>
          <w:tab w:val="right" w:pos="9027"/>
        </w:tabs>
        <w:bidi w:val="0"/>
        <w:spacing w:line="216" w:lineRule="auto"/>
        <w:rPr>
          <w:i/>
          <w:sz w:val="23"/>
          <w:szCs w:val="23"/>
          <w:rtl/>
        </w:rPr>
      </w:pPr>
      <w:r w:rsidRPr="002614E7">
        <w:rPr>
          <w:position w:val="-6"/>
        </w:rPr>
        <w:object w:dxaOrig="1160" w:dyaOrig="300" w14:anchorId="02D5D653">
          <v:shape id="_x0000_i7182" type="#_x0000_t75" style="width:58.1pt;height:14.5pt" o:ole="">
            <v:imagedata r:id="rId12433" o:title=""/>
          </v:shape>
          <o:OLEObject Type="Embed" ProgID="Equation.DSMT4" ShapeID="_x0000_i7182" DrawAspect="Content" ObjectID="_1791381126" r:id="rId12434"/>
        </w:object>
      </w:r>
      <w:r w:rsidRPr="002614E7">
        <w:rPr>
          <w:i/>
          <w:sz w:val="23"/>
          <w:szCs w:val="23"/>
        </w:rPr>
        <w:t xml:space="preserve"> </w:t>
      </w:r>
      <w:r>
        <w:rPr>
          <w:i/>
          <w:sz w:val="23"/>
          <w:szCs w:val="23"/>
          <w:rtl/>
        </w:rPr>
        <w:tab/>
      </w:r>
      <w:r w:rsidRPr="002614E7">
        <w:rPr>
          <w:rFonts w:hint="cs"/>
          <w:i/>
          <w:sz w:val="23"/>
          <w:szCs w:val="23"/>
          <w:rtl/>
        </w:rPr>
        <w:tab/>
        <w:t>(۱۴. ۷۲)</w:t>
      </w:r>
    </w:p>
    <w:p w14:paraId="2C233EB0"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بارو و گوردون تابع هدف ‌بانک مرکزی را به صورت زیر مشخص کردند.</w:t>
      </w:r>
    </w:p>
    <w:p w14:paraId="5F289DC2" w14:textId="77777777" w:rsidR="00556C10" w:rsidRPr="002614E7" w:rsidRDefault="00556C10" w:rsidP="00556C10">
      <w:pPr>
        <w:pStyle w:val="MTDisplayEquation"/>
        <w:tabs>
          <w:tab w:val="clear" w:pos="6660"/>
          <w:tab w:val="right" w:pos="0"/>
        </w:tabs>
        <w:spacing w:line="216" w:lineRule="auto"/>
        <w:jc w:val="left"/>
        <w:rPr>
          <w:rFonts w:ascii="Times New Roman" w:hAnsi="Times New Roman" w:cs="B Nazanin"/>
          <w:i/>
          <w:sz w:val="23"/>
          <w:szCs w:val="23"/>
          <w:rtl/>
        </w:rPr>
      </w:pPr>
      <w:r w:rsidRPr="002614E7">
        <w:rPr>
          <w:position w:val="-22"/>
        </w:rPr>
        <w:object w:dxaOrig="2460" w:dyaOrig="560" w14:anchorId="608BE167">
          <v:shape id="_x0000_i7183" type="#_x0000_t75" style="width:122.8pt;height:27.85pt" o:ole="">
            <v:imagedata r:id="rId12435" o:title=""/>
          </v:shape>
          <o:OLEObject Type="Embed" ProgID="Equation.DSMT4" ShapeID="_x0000_i7183" DrawAspect="Content" ObjectID="_1791381127" r:id="rId12436"/>
        </w:object>
      </w:r>
      <w:r>
        <w:rPr>
          <w:rtl/>
        </w:rPr>
        <w:tab/>
      </w:r>
      <w:r w:rsidRPr="002614E7">
        <w:rPr>
          <w:rFonts w:ascii="Times New Roman" w:hAnsi="Times New Roman" w:cs="B Nazanin" w:hint="cs"/>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hint="cs"/>
          <w:i/>
          <w:sz w:val="23"/>
          <w:szCs w:val="23"/>
          <w:rtl/>
        </w:rPr>
        <w:t>(۱۴. ۷۳)</w:t>
      </w:r>
    </w:p>
    <w:p w14:paraId="343901AE"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که در آن</w:t>
      </w:r>
      <w:r w:rsidRPr="002614E7">
        <w:rPr>
          <w:position w:val="-6"/>
        </w:rPr>
        <w:object w:dxaOrig="279" w:dyaOrig="300" w14:anchorId="71530F8C">
          <v:shape id="_x0000_i7184" type="#_x0000_t75" style="width:13.9pt;height:14.5pt" o:ole="">
            <v:imagedata r:id="rId12437" o:title=""/>
          </v:shape>
          <o:OLEObject Type="Embed" ProgID="Equation.DSMT4" ShapeID="_x0000_i7184" DrawAspect="Content" ObjectID="_1791381128" r:id="rId12438"/>
        </w:object>
      </w:r>
      <w:r w:rsidRPr="002614E7">
        <w:rPr>
          <w:rFonts w:hint="cs"/>
          <w:i/>
          <w:sz w:val="23"/>
          <w:szCs w:val="23"/>
          <w:rtl/>
        </w:rPr>
        <w:t xml:space="preserve"> نرخ تورم هدف ‌است. همان</w:t>
      </w:r>
      <w:r w:rsidRPr="002614E7">
        <w:rPr>
          <w:rFonts w:hint="cs"/>
          <w:i/>
          <w:sz w:val="23"/>
          <w:szCs w:val="23"/>
          <w:rtl/>
        </w:rPr>
        <w:softHyphen/>
        <w:t>گونه که ملاحظه می</w:t>
      </w:r>
      <w:r w:rsidRPr="002614E7">
        <w:rPr>
          <w:rFonts w:hint="cs"/>
          <w:i/>
          <w:sz w:val="23"/>
          <w:szCs w:val="23"/>
          <w:rtl/>
        </w:rPr>
        <w:softHyphen/>
        <w:t>شود مدل اقتصادی فاقد وقفه است و لذا تابع هدف ‌برای یک دوره فرموله شده است. حل مدل همانند تابع مطلوبیت بین‌دوره</w:t>
      </w:r>
      <w:r w:rsidRPr="002614E7">
        <w:rPr>
          <w:rFonts w:hint="cs"/>
          <w:i/>
          <w:sz w:val="23"/>
          <w:szCs w:val="23"/>
          <w:rtl/>
        </w:rPr>
        <w:softHyphen/>
        <w:t>ای است. معنی و دلالت ضمنی معادله</w:t>
      </w:r>
      <w:r w:rsidRPr="002614E7">
        <w:rPr>
          <w:rFonts w:hint="cs"/>
          <w:i/>
          <w:sz w:val="23"/>
          <w:szCs w:val="23"/>
          <w:rtl/>
        </w:rPr>
        <w:softHyphen/>
        <w:t>ی (۱۴. ۷۳) آن است که بانک مرکزی ترجیح می‌دهد تولید بیش از سطح طبیعی خود باشد، یعنی</w:t>
      </w:r>
      <w:r w:rsidRPr="002614E7">
        <w:rPr>
          <w:position w:val="-10"/>
        </w:rPr>
        <w:object w:dxaOrig="620" w:dyaOrig="320" w14:anchorId="1A886A9E">
          <v:shape id="_x0000_i7185" type="#_x0000_t75" style="width:30.85pt;height:15.75pt" o:ole="">
            <v:imagedata r:id="rId12439" o:title=""/>
          </v:shape>
          <o:OLEObject Type="Embed" ProgID="Equation.DSMT4" ShapeID="_x0000_i7185" DrawAspect="Content" ObjectID="_1791381129" r:id="rId12440"/>
        </w:object>
      </w:r>
      <w:r w:rsidRPr="002614E7">
        <w:rPr>
          <w:rFonts w:hint="cs"/>
          <w:i/>
          <w:sz w:val="23"/>
          <w:szCs w:val="23"/>
          <w:rtl/>
        </w:rPr>
        <w:t>، اما علاقه</w:t>
      </w:r>
      <w:r w:rsidRPr="002614E7">
        <w:rPr>
          <w:rFonts w:hint="cs"/>
          <w:i/>
          <w:sz w:val="23"/>
          <w:szCs w:val="23"/>
          <w:rtl/>
        </w:rPr>
        <w:softHyphen/>
        <w:t>ای به انحراف تورم از تورم هدف‌</w:t>
      </w:r>
      <w:r w:rsidRPr="002614E7">
        <w:rPr>
          <w:rFonts w:hint="cs"/>
          <w:i/>
          <w:sz w:val="23"/>
          <w:szCs w:val="23"/>
          <w:rtl/>
        </w:rPr>
        <w:softHyphen/>
        <w:t>گذاری شده ندارد، یعنی</w:t>
      </w:r>
      <w:r w:rsidRPr="002614E7">
        <w:rPr>
          <w:i/>
          <w:sz w:val="23"/>
          <w:szCs w:val="23"/>
        </w:rPr>
        <w:t xml:space="preserve"> </w:t>
      </w:r>
      <w:r w:rsidRPr="002614E7">
        <w:rPr>
          <w:position w:val="-6"/>
        </w:rPr>
        <w:object w:dxaOrig="639" w:dyaOrig="300" w14:anchorId="7E6EF381">
          <v:shape id="_x0000_i7186" type="#_x0000_t75" style="width:32.05pt;height:14.5pt" o:ole="">
            <v:imagedata r:id="rId12441" o:title=""/>
          </v:shape>
          <o:OLEObject Type="Embed" ProgID="Equation.DSMT4" ShapeID="_x0000_i7186" DrawAspect="Content" ObjectID="_1791381130" r:id="rId12442"/>
        </w:object>
      </w:r>
      <w:r w:rsidRPr="002614E7">
        <w:rPr>
          <w:rFonts w:hint="cs"/>
          <w:i/>
          <w:sz w:val="23"/>
          <w:szCs w:val="23"/>
          <w:rtl/>
        </w:rPr>
        <w:t>.</w:t>
      </w:r>
      <w:r w:rsidRPr="002614E7">
        <w:rPr>
          <w:i/>
          <w:sz w:val="23"/>
          <w:szCs w:val="23"/>
        </w:rPr>
        <w:t xml:space="preserve"> </w:t>
      </w:r>
      <w:r w:rsidRPr="002614E7">
        <w:rPr>
          <w:rFonts w:hint="cs"/>
          <w:i/>
          <w:sz w:val="23"/>
          <w:szCs w:val="23"/>
          <w:rtl/>
        </w:rPr>
        <w:t>بنابراین هدف‌</w:t>
      </w:r>
      <w:r w:rsidRPr="002614E7">
        <w:rPr>
          <w:rFonts w:hint="cs"/>
          <w:i/>
          <w:sz w:val="23"/>
          <w:szCs w:val="23"/>
          <w:rtl/>
        </w:rPr>
        <w:softHyphen/>
        <w:t>گذاری تورم متقارن، ولی هدف</w:t>
      </w:r>
      <w:r w:rsidRPr="002614E7">
        <w:rPr>
          <w:rFonts w:hint="cs"/>
          <w:i/>
          <w:sz w:val="23"/>
          <w:szCs w:val="23"/>
          <w:rtl/>
        </w:rPr>
        <w:softHyphen/>
        <w:t>گذاری ‌تولید نامتقارن است. نامتقارن بودن هدفِ ‌تولید از آن</w:t>
      </w:r>
      <w:r w:rsidRPr="002614E7">
        <w:rPr>
          <w:rFonts w:hint="cs"/>
          <w:i/>
          <w:sz w:val="23"/>
          <w:szCs w:val="23"/>
          <w:rtl/>
        </w:rPr>
        <w:softHyphen/>
        <w:t>جا ناشی می</w:t>
      </w:r>
      <w:r w:rsidRPr="002614E7">
        <w:rPr>
          <w:rFonts w:hint="cs"/>
          <w:i/>
          <w:sz w:val="23"/>
          <w:szCs w:val="23"/>
          <w:rtl/>
        </w:rPr>
        <w:softHyphen/>
        <w:t>شود که دولت از تولید بیش از مقادیر هدف‌ ناخرسند نیست. زیرا دولت</w:t>
      </w:r>
      <w:r w:rsidRPr="002614E7">
        <w:rPr>
          <w:rFonts w:hint="cs"/>
          <w:i/>
          <w:sz w:val="23"/>
          <w:szCs w:val="23"/>
          <w:rtl/>
        </w:rPr>
        <w:softHyphen/>
        <w:t>ها از این که بانک مرکزی تمایل به محافظه کاری داشته باشند و ترجیح دهد تولید در زیر سطح تعادلی آن نگه داشته شود، ترس و بیم خواهند داشت.</w:t>
      </w:r>
    </w:p>
    <w:p w14:paraId="0A0240C3"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مشکل بانک مرکزی انتخاب</w:t>
      </w:r>
      <w:r w:rsidRPr="002614E7">
        <w:rPr>
          <w:position w:val="-6"/>
        </w:rPr>
        <w:object w:dxaOrig="180" w:dyaOrig="200" w14:anchorId="0180A057">
          <v:shape id="_x0000_i7187" type="#_x0000_t75" style="width:9.1pt;height:10.3pt" o:ole="">
            <v:imagedata r:id="rId12443" o:title=""/>
          </v:shape>
          <o:OLEObject Type="Embed" ProgID="Equation.DSMT4" ShapeID="_x0000_i7187" DrawAspect="Content" ObjectID="_1791381131" r:id="rId12444"/>
        </w:object>
      </w:r>
      <w:r w:rsidRPr="002614E7">
        <w:rPr>
          <w:rFonts w:hint="cs"/>
          <w:i/>
          <w:sz w:val="23"/>
          <w:szCs w:val="23"/>
          <w:rtl/>
        </w:rPr>
        <w:t xml:space="preserve"> جهت حداکثرسازی </w:t>
      </w:r>
      <w:r w:rsidRPr="002614E7">
        <w:rPr>
          <w:position w:val="-6"/>
        </w:rPr>
        <w:object w:dxaOrig="240" w:dyaOrig="260" w14:anchorId="3E93E27A">
          <v:shape id="_x0000_i7188" type="#_x0000_t75" style="width:11.5pt;height:13.3pt" o:ole="">
            <v:imagedata r:id="rId12445" o:title=""/>
          </v:shape>
          <o:OLEObject Type="Embed" ProgID="Equation.DSMT4" ShapeID="_x0000_i7188" DrawAspect="Content" ObjectID="_1791381132" r:id="rId12446"/>
        </w:object>
      </w:r>
      <w:r w:rsidRPr="002614E7">
        <w:rPr>
          <w:rFonts w:hint="cs"/>
          <w:i/>
          <w:sz w:val="23"/>
          <w:szCs w:val="23"/>
          <w:rtl/>
        </w:rPr>
        <w:t xml:space="preserve"> نسبت به قیود اقتصاد یعنی معادلات</w:t>
      </w:r>
      <w:r>
        <w:rPr>
          <w:rFonts w:hint="cs"/>
          <w:i/>
          <w:sz w:val="23"/>
          <w:szCs w:val="23"/>
          <w:rtl/>
        </w:rPr>
        <w:t xml:space="preserve">         </w:t>
      </w:r>
      <w:r w:rsidRPr="002614E7">
        <w:rPr>
          <w:rFonts w:hint="cs"/>
          <w:i/>
          <w:sz w:val="23"/>
          <w:szCs w:val="23"/>
          <w:rtl/>
        </w:rPr>
        <w:t xml:space="preserve"> (۱۴. ۷۰) و (۱۴. ۷۱) است. به خاطر آوریم که</w:t>
      </w:r>
      <w:r w:rsidRPr="002614E7">
        <w:rPr>
          <w:position w:val="-6"/>
        </w:rPr>
        <w:object w:dxaOrig="160" w:dyaOrig="200" w14:anchorId="4A6436FD">
          <v:shape id="_x0000_i7189" type="#_x0000_t75" style="width:7.85pt;height:10.3pt" o:ole="">
            <v:imagedata r:id="rId12447" o:title=""/>
          </v:shape>
          <o:OLEObject Type="Embed" ProgID="Equation.DSMT4" ShapeID="_x0000_i7189" DrawAspect="Content" ObjectID="_1791381133" r:id="rId12448"/>
        </w:object>
      </w:r>
      <w:r w:rsidRPr="002614E7">
        <w:rPr>
          <w:rFonts w:hint="cs"/>
          <w:i/>
          <w:sz w:val="23"/>
          <w:szCs w:val="23"/>
          <w:rtl/>
        </w:rPr>
        <w:t xml:space="preserve"> برای بانک مرکزی شناخته شده ولی</w:t>
      </w:r>
      <w:r w:rsidRPr="002614E7">
        <w:rPr>
          <w:position w:val="-6"/>
        </w:rPr>
        <w:object w:dxaOrig="180" w:dyaOrig="200" w14:anchorId="019E76F5">
          <v:shape id="_x0000_i7190" type="#_x0000_t75" style="width:9.1pt;height:10.3pt" o:ole="">
            <v:imagedata r:id="rId12449" o:title=""/>
          </v:shape>
          <o:OLEObject Type="Embed" ProgID="Equation.DSMT4" ShapeID="_x0000_i7190" DrawAspect="Content" ObjectID="_1791381134" r:id="rId12450"/>
        </w:object>
      </w:r>
      <w:r w:rsidRPr="002614E7">
        <w:rPr>
          <w:rFonts w:hint="cs"/>
          <w:i/>
          <w:sz w:val="23"/>
          <w:szCs w:val="23"/>
          <w:rtl/>
        </w:rPr>
        <w:t xml:space="preserve"> ناشناخته است، و این که</w:t>
      </w:r>
      <w:r w:rsidRPr="002614E7">
        <w:rPr>
          <w:position w:val="-10"/>
        </w:rPr>
        <w:object w:dxaOrig="999" w:dyaOrig="340" w14:anchorId="37464FD3">
          <v:shape id="_x0000_i7191" type="#_x0000_t75" style="width:50.2pt;height:16.95pt" o:ole="">
            <v:imagedata r:id="rId12451" o:title=""/>
          </v:shape>
          <o:OLEObject Type="Embed" ProgID="Equation.DSMT4" ShapeID="_x0000_i7191" DrawAspect="Content" ObjectID="_1791381135" r:id="rId12452"/>
        </w:object>
      </w:r>
      <w:r w:rsidRPr="002614E7">
        <w:rPr>
          <w:rFonts w:hint="cs"/>
          <w:i/>
          <w:sz w:val="23"/>
          <w:szCs w:val="23"/>
          <w:rtl/>
        </w:rPr>
        <w:t xml:space="preserve"> داده شده هستند.</w:t>
      </w:r>
    </w:p>
    <w:p w14:paraId="137B366F"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با بکارگیری تابع عرضه</w:t>
      </w:r>
      <w:r w:rsidRPr="002614E7">
        <w:rPr>
          <w:rFonts w:hint="cs"/>
          <w:i/>
          <w:sz w:val="23"/>
          <w:szCs w:val="23"/>
          <w:rtl/>
        </w:rPr>
        <w:softHyphen/>
        <w:t>ی (۱۴. ۷۰)</w:t>
      </w:r>
      <w:r w:rsidRPr="002614E7">
        <w:rPr>
          <w:rFonts w:eastAsiaTheme="minorEastAsia" w:hint="cs"/>
          <w:i/>
          <w:sz w:val="23"/>
          <w:szCs w:val="23"/>
          <w:rtl/>
        </w:rPr>
        <w:t xml:space="preserve"> </w:t>
      </w:r>
      <w:r w:rsidRPr="002614E7">
        <w:rPr>
          <w:rFonts w:hint="cs"/>
          <w:i/>
          <w:sz w:val="23"/>
          <w:szCs w:val="23"/>
          <w:rtl/>
        </w:rPr>
        <w:t>و حذف</w:t>
      </w:r>
      <w:r w:rsidRPr="002614E7">
        <w:rPr>
          <w:position w:val="-10"/>
        </w:rPr>
        <w:object w:dxaOrig="639" w:dyaOrig="320" w14:anchorId="1F711BAF">
          <v:shape id="_x0000_i7192" type="#_x0000_t75" style="width:32.05pt;height:15.75pt" o:ole="">
            <v:imagedata r:id="rId12453" o:title=""/>
          </v:shape>
          <o:OLEObject Type="Embed" ProgID="Equation.DSMT4" ShapeID="_x0000_i7192" DrawAspect="Content" ObjectID="_1791381136" r:id="rId12454"/>
        </w:object>
      </w:r>
      <w:r w:rsidRPr="002614E7">
        <w:rPr>
          <w:rFonts w:hint="cs"/>
          <w:i/>
          <w:sz w:val="23"/>
          <w:szCs w:val="23"/>
          <w:rtl/>
        </w:rPr>
        <w:t>، و بکارگیری مکانیسم انتقال یا معادله</w:t>
      </w:r>
      <w:r w:rsidRPr="002614E7">
        <w:rPr>
          <w:rFonts w:hint="cs"/>
          <w:i/>
          <w:sz w:val="23"/>
          <w:szCs w:val="23"/>
          <w:rtl/>
        </w:rPr>
        <w:softHyphen/>
        <w:t>ی</w:t>
      </w:r>
      <w:r>
        <w:rPr>
          <w:rFonts w:hint="cs"/>
          <w:i/>
          <w:sz w:val="23"/>
          <w:szCs w:val="23"/>
          <w:rtl/>
        </w:rPr>
        <w:t xml:space="preserve">      </w:t>
      </w:r>
      <w:r w:rsidRPr="002614E7">
        <w:rPr>
          <w:rFonts w:hint="cs"/>
          <w:i/>
          <w:sz w:val="23"/>
          <w:szCs w:val="23"/>
          <w:rtl/>
        </w:rPr>
        <w:t xml:space="preserve"> (۱۴. ۷۱)</w:t>
      </w:r>
      <w:r w:rsidRPr="002614E7">
        <w:rPr>
          <w:rFonts w:eastAsiaTheme="minorEastAsia" w:hint="cs"/>
          <w:i/>
          <w:sz w:val="23"/>
          <w:szCs w:val="23"/>
          <w:rtl/>
        </w:rPr>
        <w:t xml:space="preserve"> برای حذف</w:t>
      </w:r>
      <w:r w:rsidRPr="002614E7">
        <w:rPr>
          <w:position w:val="-6"/>
        </w:rPr>
        <w:object w:dxaOrig="220" w:dyaOrig="200" w14:anchorId="513FD932">
          <v:shape id="_x0000_i7193" type="#_x0000_t75" style="width:10.9pt;height:10.3pt" o:ole="">
            <v:imagedata r:id="rId12455" o:title=""/>
          </v:shape>
          <o:OLEObject Type="Embed" ProgID="Equation.DSMT4" ShapeID="_x0000_i7193" DrawAspect="Content" ObjectID="_1791381137" r:id="rId12456"/>
        </w:object>
      </w:r>
      <w:r w:rsidRPr="002614E7">
        <w:rPr>
          <w:rFonts w:eastAsiaTheme="minorEastAsia" w:hint="cs"/>
          <w:i/>
          <w:sz w:val="23"/>
          <w:szCs w:val="23"/>
          <w:rtl/>
        </w:rPr>
        <w:t xml:space="preserve"> </w:t>
      </w:r>
      <w:r w:rsidRPr="002614E7">
        <w:rPr>
          <w:rFonts w:hint="cs"/>
          <w:i/>
          <w:sz w:val="23"/>
          <w:szCs w:val="23"/>
          <w:rtl/>
        </w:rPr>
        <w:t>خواهیم داشت.</w:t>
      </w:r>
    </w:p>
    <w:p w14:paraId="78E3FFA3" w14:textId="77777777" w:rsidR="00556C10" w:rsidRPr="002614E7" w:rsidRDefault="00556C10" w:rsidP="00556C10">
      <w:pPr>
        <w:pStyle w:val="MTDisplayEquation"/>
        <w:spacing w:line="216" w:lineRule="auto"/>
        <w:rPr>
          <w:rFonts w:ascii="Times New Roman" w:hAnsi="Times New Roman"/>
          <w:i/>
          <w:sz w:val="23"/>
          <w:szCs w:val="23"/>
        </w:rPr>
      </w:pPr>
      <w:r w:rsidRPr="002614E7">
        <w:rPr>
          <w:position w:val="-22"/>
        </w:rPr>
        <w:object w:dxaOrig="6600" w:dyaOrig="560" w14:anchorId="197C3E17">
          <v:shape id="_x0000_i7194" type="#_x0000_t75" style="width:329.75pt;height:27.85pt" o:ole="">
            <v:imagedata r:id="rId12457" o:title=""/>
          </v:shape>
          <o:OLEObject Type="Embed" ProgID="Equation.DSMT4" ShapeID="_x0000_i7194" DrawAspect="Content" ObjectID="_1791381138" r:id="rId12458"/>
        </w:object>
      </w:r>
      <w:r w:rsidRPr="002614E7">
        <w:rPr>
          <w:position w:val="-6"/>
        </w:rPr>
        <w:object w:dxaOrig="100" w:dyaOrig="100" w14:anchorId="4E66B38C">
          <v:shape id="_x0000_i7195" type="#_x0000_t75" style="width:4.85pt;height:4.85pt" o:ole="">
            <v:imagedata r:id="rId12459" o:title=""/>
          </v:shape>
          <o:OLEObject Type="Embed" ProgID="Equation.DSMT4" ShapeID="_x0000_i7195" DrawAspect="Content" ObjectID="_1791381139" r:id="rId12460"/>
        </w:object>
      </w:r>
    </w:p>
    <w:p w14:paraId="5DD2FCB6" w14:textId="77777777" w:rsidR="00556C10" w:rsidRPr="002614E7" w:rsidRDefault="00556C10" w:rsidP="00556C10">
      <w:pPr>
        <w:pStyle w:val="MTDisplayEquation"/>
        <w:bidi/>
        <w:spacing w:line="216" w:lineRule="auto"/>
        <w:rPr>
          <w:rFonts w:ascii="Times New Roman" w:hAnsi="Times New Roman" w:cs="B Nazanin"/>
          <w:i/>
          <w:sz w:val="23"/>
          <w:szCs w:val="23"/>
          <w:rtl/>
        </w:rPr>
      </w:pPr>
      <w:r w:rsidRPr="002614E7">
        <w:rPr>
          <w:rFonts w:ascii="Times New Roman" w:hAnsi="Times New Roman" w:cs="B Nazanin" w:hint="cs"/>
          <w:i/>
          <w:sz w:val="23"/>
          <w:szCs w:val="23"/>
          <w:rtl/>
        </w:rPr>
        <w:t>شرط مرتبه اول عبارت است از:</w:t>
      </w:r>
    </w:p>
    <w:p w14:paraId="0235AC8F"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2"/>
        </w:rPr>
        <w:object w:dxaOrig="2400" w:dyaOrig="560" w14:anchorId="5502EEBB">
          <v:shape id="_x0000_i7196" type="#_x0000_t75" style="width:119.8pt;height:27.85pt" o:ole="">
            <v:imagedata r:id="rId12461" o:title=""/>
          </v:shape>
          <o:OLEObject Type="Embed" ProgID="Equation.DSMT4" ShapeID="_x0000_i7196" DrawAspect="Content" ObjectID="_1791381140" r:id="rId12462"/>
        </w:object>
      </w:r>
    </w:p>
    <w:p w14:paraId="6029A6A4"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و با حل آن برای ابزار سیاستی</w:t>
      </w:r>
      <w:r w:rsidRPr="002614E7">
        <w:rPr>
          <w:position w:val="-6"/>
        </w:rPr>
        <w:object w:dxaOrig="180" w:dyaOrig="200" w14:anchorId="6C8D52D9">
          <v:shape id="_x0000_i7197" type="#_x0000_t75" style="width:9.1pt;height:10.3pt" o:ole="">
            <v:imagedata r:id="rId12463" o:title=""/>
          </v:shape>
          <o:OLEObject Type="Embed" ProgID="Equation.DSMT4" ShapeID="_x0000_i7197" DrawAspect="Content" ObjectID="_1791381141" r:id="rId12464"/>
        </w:object>
      </w:r>
      <w:r w:rsidRPr="002614E7">
        <w:rPr>
          <w:rFonts w:hint="cs"/>
          <w:i/>
          <w:sz w:val="23"/>
          <w:szCs w:val="23"/>
          <w:rtl/>
        </w:rPr>
        <w:t xml:space="preserve"> خواهیم داشت </w:t>
      </w:r>
    </w:p>
    <w:p w14:paraId="38EAC05E"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6"/>
        </w:rPr>
        <w:object w:dxaOrig="1380" w:dyaOrig="300" w14:anchorId="04B043A6">
          <v:shape id="_x0000_i7198" type="#_x0000_t75" style="width:68.95pt;height:14.5pt" o:ole="">
            <v:imagedata r:id="rId12465" o:title=""/>
          </v:shape>
          <o:OLEObject Type="Embed" ProgID="Equation.DSMT4" ShapeID="_x0000_i7198" DrawAspect="Content" ObjectID="_1791381142" r:id="rId12466"/>
        </w:object>
      </w:r>
    </w:p>
    <w:p w14:paraId="20E29803"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lastRenderedPageBreak/>
        <w:t>همان</w:t>
      </w:r>
      <w:r w:rsidRPr="002614E7">
        <w:rPr>
          <w:rFonts w:hint="cs"/>
          <w:i/>
          <w:sz w:val="23"/>
          <w:szCs w:val="23"/>
          <w:rtl/>
        </w:rPr>
        <w:softHyphen/>
        <w:t>گونه که برای بانک مرکزی</w:t>
      </w:r>
      <w:r w:rsidRPr="002614E7">
        <w:rPr>
          <w:position w:val="-6"/>
        </w:rPr>
        <w:object w:dxaOrig="180" w:dyaOrig="200" w14:anchorId="791FF1AC">
          <v:shape id="_x0000_i7199" type="#_x0000_t75" style="width:9.1pt;height:10.3pt" o:ole="">
            <v:imagedata r:id="rId12467" o:title=""/>
          </v:shape>
          <o:OLEObject Type="Embed" ProgID="Equation.DSMT4" ShapeID="_x0000_i7199" DrawAspect="Content" ObjectID="_1791381143" r:id="rId12468"/>
        </w:object>
      </w:r>
      <w:r w:rsidRPr="002614E7">
        <w:rPr>
          <w:rFonts w:hint="cs"/>
          <w:i/>
          <w:sz w:val="23"/>
          <w:szCs w:val="23"/>
          <w:rtl/>
        </w:rPr>
        <w:t xml:space="preserve"> ناشناخته است، لذا بهترین حدس یعنی </w:t>
      </w:r>
      <w:r w:rsidRPr="002614E7">
        <w:rPr>
          <w:position w:val="-12"/>
        </w:rPr>
        <w:object w:dxaOrig="859" w:dyaOrig="360" w14:anchorId="5987406E">
          <v:shape id="_x0000_i7200" type="#_x0000_t75" style="width:42.95pt;height:18.15pt" o:ole="">
            <v:imagedata r:id="rId12469" o:title=""/>
          </v:shape>
          <o:OLEObject Type="Embed" ProgID="Equation.DSMT4" ShapeID="_x0000_i7200" DrawAspect="Content" ObjectID="_1791381144" r:id="rId12470"/>
        </w:object>
      </w:r>
      <w:r w:rsidRPr="002614E7">
        <w:rPr>
          <w:rFonts w:hint="cs"/>
          <w:i/>
          <w:sz w:val="23"/>
          <w:szCs w:val="23"/>
          <w:rtl/>
        </w:rPr>
        <w:t xml:space="preserve"> را به کار خواهد گرفت</w:t>
      </w:r>
      <w:r w:rsidRPr="002614E7">
        <w:rPr>
          <w:rFonts w:eastAsiaTheme="minorEastAsia"/>
          <w:i/>
          <w:sz w:val="23"/>
          <w:szCs w:val="23"/>
        </w:rPr>
        <w:t xml:space="preserve"> .</w:t>
      </w:r>
      <w:r w:rsidRPr="002614E7">
        <w:rPr>
          <w:rFonts w:eastAsiaTheme="minorEastAsia" w:hint="cs"/>
          <w:i/>
          <w:sz w:val="23"/>
          <w:szCs w:val="23"/>
          <w:rtl/>
        </w:rPr>
        <w:t>لذا</w:t>
      </w:r>
      <w:r w:rsidRPr="002614E7">
        <w:rPr>
          <w:rFonts w:hint="cs"/>
          <w:i/>
          <w:sz w:val="23"/>
          <w:szCs w:val="23"/>
          <w:rtl/>
        </w:rPr>
        <w:t xml:space="preserve"> مقدار بهینه</w:t>
      </w:r>
      <w:r w:rsidRPr="002614E7">
        <w:rPr>
          <w:rFonts w:hint="cs"/>
          <w:i/>
          <w:sz w:val="23"/>
          <w:szCs w:val="23"/>
          <w:rtl/>
        </w:rPr>
        <w:softHyphen/>
        <w:t>ی</w:t>
      </w:r>
      <w:r w:rsidRPr="002614E7">
        <w:rPr>
          <w:position w:val="-6"/>
        </w:rPr>
        <w:object w:dxaOrig="180" w:dyaOrig="200" w14:anchorId="34BF99FF">
          <v:shape id="_x0000_i7201" type="#_x0000_t75" style="width:9.1pt;height:10.3pt" o:ole="">
            <v:imagedata r:id="rId12471" o:title=""/>
          </v:shape>
          <o:OLEObject Type="Embed" ProgID="Equation.DSMT4" ShapeID="_x0000_i7201" DrawAspect="Content" ObjectID="_1791381145" r:id="rId12472"/>
        </w:object>
      </w:r>
      <w:r w:rsidRPr="002614E7">
        <w:rPr>
          <w:rFonts w:hint="cs"/>
          <w:i/>
          <w:sz w:val="23"/>
          <w:szCs w:val="23"/>
          <w:rtl/>
        </w:rPr>
        <w:t xml:space="preserve"> برابر خواهد بود با</w:t>
      </w:r>
    </w:p>
    <w:p w14:paraId="2FEE77F8"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8"/>
        </w:rPr>
        <w:object w:dxaOrig="1219" w:dyaOrig="320" w14:anchorId="3583A3E7">
          <v:shape id="_x0000_i7202" type="#_x0000_t75" style="width:61.1pt;height:15.75pt" o:ole="">
            <v:imagedata r:id="rId12473" o:title=""/>
          </v:shape>
          <o:OLEObject Type="Embed" ProgID="Equation.DSMT4" ShapeID="_x0000_i7202" DrawAspect="Content" ObjectID="_1791381146" r:id="rId12474"/>
        </w:object>
      </w:r>
    </w:p>
    <w:p w14:paraId="6A7D2681"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و تورم واقعی برابر است با</w:t>
      </w:r>
    </w:p>
    <w:p w14:paraId="5E3B12A8"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8"/>
        </w:rPr>
        <w:object w:dxaOrig="1460" w:dyaOrig="320" w14:anchorId="1633ADB6">
          <v:shape id="_x0000_i7203" type="#_x0000_t75" style="width:72.6pt;height:15.75pt" o:ole="">
            <v:imagedata r:id="rId12475" o:title=""/>
          </v:shape>
          <o:OLEObject Type="Embed" ProgID="Equation.DSMT4" ShapeID="_x0000_i7203" DrawAspect="Content" ObjectID="_1791381147" r:id="rId12476"/>
        </w:object>
      </w:r>
    </w:p>
    <w:p w14:paraId="1B47912C"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و همچنین انتظارات عقلایی عموم از تورم برابر است با</w:t>
      </w:r>
    </w:p>
    <w:p w14:paraId="23990C2B"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Pr>
      </w:pPr>
      <w:r w:rsidRPr="002614E7">
        <w:rPr>
          <w:position w:val="-12"/>
        </w:rPr>
        <w:object w:dxaOrig="2340" w:dyaOrig="360" w14:anchorId="579BDBF5">
          <v:shape id="_x0000_i7204" type="#_x0000_t75" style="width:117.4pt;height:18.15pt" o:ole="">
            <v:imagedata r:id="rId12477" o:title=""/>
          </v:shape>
          <o:OLEObject Type="Embed" ProgID="Equation.DSMT4" ShapeID="_x0000_i7204" DrawAspect="Content" ObjectID="_1791381148" r:id="rId12478"/>
        </w:object>
      </w:r>
      <w:r w:rsidRPr="002614E7">
        <w:rPr>
          <w:rFonts w:ascii="Times New Roman" w:hAnsi="Times New Roman" w:cs="B Nazanin" w:hint="cs"/>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hint="cs"/>
          <w:i/>
          <w:sz w:val="23"/>
          <w:szCs w:val="23"/>
          <w:rtl/>
        </w:rPr>
        <w:tab/>
        <w:t>(۱۴. ۷۴)</w:t>
      </w:r>
    </w:p>
    <w:p w14:paraId="41749687"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معادله</w:t>
      </w:r>
      <w:r w:rsidRPr="002614E7">
        <w:rPr>
          <w:rFonts w:hint="cs"/>
          <w:i/>
          <w:sz w:val="23"/>
          <w:szCs w:val="23"/>
          <w:rtl/>
        </w:rPr>
        <w:softHyphen/>
        <w:t>ی (۱۴. ۷۴) نتیجه مهم و کلیدی است و نشان می‌دهد که تورم انتظاری بیشتر از تورم هدف ‌است. به عبارتی دیگر، تورش تورمی وجود دارد. چرا؟ زیرا بانک مرکزی علاقه</w:t>
      </w:r>
      <w:r w:rsidRPr="002614E7">
        <w:rPr>
          <w:rFonts w:hint="cs"/>
          <w:i/>
          <w:sz w:val="23"/>
          <w:szCs w:val="23"/>
          <w:rtl/>
        </w:rPr>
        <w:softHyphen/>
        <w:t>مند است که</w:t>
      </w:r>
      <w:r w:rsidRPr="002614E7">
        <w:rPr>
          <w:position w:val="-8"/>
        </w:rPr>
        <w:object w:dxaOrig="200" w:dyaOrig="220" w14:anchorId="115232BA">
          <v:shape id="_x0000_i7205" type="#_x0000_t75" style="width:10.3pt;height:10.9pt" o:ole="">
            <v:imagedata r:id="rId12479" o:title=""/>
          </v:shape>
          <o:OLEObject Type="Embed" ProgID="Equation.DSMT4" ShapeID="_x0000_i7205" DrawAspect="Content" ObjectID="_1791381149" r:id="rId12480"/>
        </w:object>
      </w:r>
      <w:r w:rsidRPr="002614E7">
        <w:rPr>
          <w:rFonts w:eastAsiaTheme="minorEastAsia"/>
          <w:i/>
          <w:sz w:val="23"/>
          <w:szCs w:val="23"/>
        </w:rPr>
        <w:t xml:space="preserve"> </w:t>
      </w:r>
      <w:r w:rsidRPr="002614E7">
        <w:rPr>
          <w:rFonts w:hint="cs"/>
          <w:i/>
          <w:sz w:val="23"/>
          <w:szCs w:val="23"/>
          <w:rtl/>
        </w:rPr>
        <w:t>بزرگتر از</w:t>
      </w:r>
      <w:r w:rsidRPr="002614E7">
        <w:rPr>
          <w:position w:val="-10"/>
        </w:rPr>
        <w:object w:dxaOrig="260" w:dyaOrig="320" w14:anchorId="1970D28E">
          <v:shape id="_x0000_i7206" type="#_x0000_t75" style="width:13.3pt;height:15.75pt" o:ole="">
            <v:imagedata r:id="rId12481" o:title=""/>
          </v:shape>
          <o:OLEObject Type="Embed" ProgID="Equation.DSMT4" ShapeID="_x0000_i7206" DrawAspect="Content" ObjectID="_1791381150" r:id="rId12482"/>
        </w:object>
      </w:r>
      <w:r w:rsidRPr="002614E7">
        <w:rPr>
          <w:rFonts w:hint="cs"/>
          <w:i/>
          <w:sz w:val="23"/>
          <w:szCs w:val="23"/>
          <w:rtl/>
        </w:rPr>
        <w:t xml:space="preserve"> باشد. در نتیجه اگر </w:t>
      </w:r>
      <w:r w:rsidRPr="002614E7">
        <w:rPr>
          <w:position w:val="-6"/>
        </w:rPr>
        <w:object w:dxaOrig="540" w:dyaOrig="260" w14:anchorId="184A41EB">
          <v:shape id="_x0000_i7207" type="#_x0000_t75" style="width:26.6pt;height:13.3pt" o:ole="">
            <v:imagedata r:id="rId12483" o:title=""/>
          </v:shape>
          <o:OLEObject Type="Embed" ProgID="Equation.DSMT4" ShapeID="_x0000_i7207" DrawAspect="Content" ObjectID="_1791381151" r:id="rId12484"/>
        </w:object>
      </w:r>
      <w:r w:rsidRPr="002614E7">
        <w:rPr>
          <w:rFonts w:hint="cs"/>
          <w:i/>
          <w:sz w:val="23"/>
          <w:szCs w:val="23"/>
          <w:rtl/>
        </w:rPr>
        <w:t xml:space="preserve"> باشد آنگاه تورش تورم برابر صفر خواهد بود.</w:t>
      </w:r>
    </w:p>
    <w:p w14:paraId="30BF88C5" w14:textId="77777777" w:rsidR="00556C10" w:rsidRPr="002614E7" w:rsidRDefault="00556C10" w:rsidP="00556C10">
      <w:pPr>
        <w:tabs>
          <w:tab w:val="right" w:pos="1287"/>
        </w:tabs>
        <w:spacing w:line="216" w:lineRule="auto"/>
        <w:rPr>
          <w:rFonts w:eastAsiaTheme="minorEastAsia"/>
          <w:i/>
          <w:sz w:val="23"/>
          <w:szCs w:val="23"/>
          <w:rtl/>
        </w:rPr>
      </w:pPr>
      <w:r w:rsidRPr="002614E7">
        <w:rPr>
          <w:rFonts w:hint="cs"/>
          <w:i/>
          <w:sz w:val="23"/>
          <w:szCs w:val="23"/>
          <w:rtl/>
        </w:rPr>
        <w:t>آیا تورمِ بیشتر که نتیجه توجه بانک مرکزی برای تولید است، سودی را برای اقتصاد برحسب تولید واقعی بیشتر یعنی</w:t>
      </w:r>
      <w:r w:rsidRPr="002614E7">
        <w:rPr>
          <w:position w:val="-10"/>
        </w:rPr>
        <w:object w:dxaOrig="620" w:dyaOrig="320" w14:anchorId="73CF8DEA">
          <v:shape id="_x0000_i7208" type="#_x0000_t75" style="width:30.85pt;height:15.75pt" o:ole="">
            <v:imagedata r:id="rId12485" o:title=""/>
          </v:shape>
          <o:OLEObject Type="Embed" ProgID="Equation.DSMT4" ShapeID="_x0000_i7208" DrawAspect="Content" ObjectID="_1791381152" r:id="rId12486"/>
        </w:object>
      </w:r>
      <w:r w:rsidRPr="002614E7">
        <w:rPr>
          <w:rFonts w:hint="cs"/>
          <w:i/>
          <w:sz w:val="23"/>
          <w:szCs w:val="23"/>
          <w:rtl/>
        </w:rPr>
        <w:t xml:space="preserve"> ایجاد خواهد کرد؟ از تابع عرضه، معادله (۱۴. ۷۰)</w:t>
      </w:r>
      <w:r w:rsidRPr="002614E7">
        <w:rPr>
          <w:rFonts w:eastAsiaTheme="minorEastAsia" w:hint="cs"/>
          <w:i/>
          <w:sz w:val="23"/>
          <w:szCs w:val="23"/>
          <w:rtl/>
        </w:rPr>
        <w:t xml:space="preserve"> داریم،</w:t>
      </w:r>
    </w:p>
    <w:p w14:paraId="3EEEAB3C"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16"/>
        </w:rPr>
        <w:object w:dxaOrig="5920" w:dyaOrig="420" w14:anchorId="7C843706">
          <v:shape id="_x0000_i7209" type="#_x0000_t75" style="width:295.85pt;height:21.2pt" o:ole="">
            <v:imagedata r:id="rId12487" o:title=""/>
          </v:shape>
          <o:OLEObject Type="Embed" ProgID="Equation.DSMT4" ShapeID="_x0000_i7209" DrawAspect="Content" ObjectID="_1791381153" r:id="rId12488"/>
        </w:object>
      </w:r>
    </w:p>
    <w:p w14:paraId="652BE314"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چنانچه</w:t>
      </w:r>
      <w:r w:rsidRPr="002614E7">
        <w:rPr>
          <w:position w:val="-10"/>
        </w:rPr>
        <w:object w:dxaOrig="820" w:dyaOrig="320" w14:anchorId="773FEC78">
          <v:shape id="_x0000_i7210" type="#_x0000_t75" style="width:41.15pt;height:15.75pt" o:ole="">
            <v:imagedata r:id="rId12489" o:title=""/>
          </v:shape>
          <o:OLEObject Type="Embed" ProgID="Equation.DSMT4" ShapeID="_x0000_i7210" DrawAspect="Content" ObjectID="_1791381154" r:id="rId12490"/>
        </w:object>
      </w:r>
      <w:r w:rsidRPr="002614E7">
        <w:rPr>
          <w:rFonts w:hint="cs"/>
          <w:i/>
          <w:sz w:val="23"/>
          <w:szCs w:val="23"/>
          <w:rtl/>
        </w:rPr>
        <w:t>باشد، آنگاه انتظار منافع یا سود تولیدی که منتج از ترجیح بانک مرکزی جهت تولید بیش از سطح تعادلی</w:t>
      </w:r>
      <w:r w:rsidRPr="002614E7">
        <w:rPr>
          <w:rFonts w:hint="cs"/>
          <w:i/>
          <w:sz w:val="23"/>
          <w:szCs w:val="23"/>
          <w:rtl/>
        </w:rPr>
        <w:softHyphen/>
        <w:t>اش است وجود ندارد. به علاوه منافع تولیدی نیز برای عموم از طریق تورم بیش از حد وجود ندارد. اگر بانک مرکزی در تابع هدف‌</w:t>
      </w:r>
      <w:r w:rsidRPr="002614E7">
        <w:rPr>
          <w:position w:val="-6"/>
        </w:rPr>
        <w:object w:dxaOrig="200" w:dyaOrig="260" w14:anchorId="6A5FAB35">
          <v:shape id="_x0000_i7211" type="#_x0000_t75" style="width:10.3pt;height:13.3pt" o:ole="">
            <v:imagedata r:id="rId12491" o:title=""/>
          </v:shape>
          <o:OLEObject Type="Embed" ProgID="Equation.DSMT4" ShapeID="_x0000_i7211" DrawAspect="Content" ObjectID="_1791381155" r:id="rId12492"/>
        </w:object>
      </w:r>
      <w:r w:rsidRPr="002614E7">
        <w:rPr>
          <w:rFonts w:hint="cs"/>
          <w:i/>
          <w:sz w:val="23"/>
          <w:szCs w:val="23"/>
          <w:rtl/>
        </w:rPr>
        <w:t xml:space="preserve"> را برابر صفر قرار دهد، و در نتیجه، همانند هدف‌‌گذاری اکید تورم به جای هدف‌‌گذاری تورم انعطاف</w:t>
      </w:r>
      <w:r w:rsidRPr="002614E7">
        <w:rPr>
          <w:rFonts w:hint="cs"/>
          <w:i/>
          <w:sz w:val="23"/>
          <w:szCs w:val="23"/>
          <w:rtl/>
        </w:rPr>
        <w:softHyphen/>
        <w:t>پذیر عمل کند، تورم کمتر خواهد بود و بر تولید انتظاری تأثیر نخواهد گذاشت.</w:t>
      </w:r>
    </w:p>
    <w:p w14:paraId="5FB35EA4"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اگر چه تورمِ بیشتر، تولید اضافی را به وجود نمی</w:t>
      </w:r>
      <w:r w:rsidRPr="002614E7">
        <w:rPr>
          <w:rFonts w:hint="cs"/>
          <w:i/>
          <w:sz w:val="23"/>
          <w:szCs w:val="23"/>
          <w:rtl/>
        </w:rPr>
        <w:softHyphen/>
        <w:t>آورد، امّا آیا تورم بیشتر، مطلوبیت انتظاری را نیز افزایش نخواهد داد؟ این سوال را می‌توان به صورت زیر مورد ارزیابی قرار داد.</w:t>
      </w:r>
    </w:p>
    <w:p w14:paraId="7F429463"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2"/>
        </w:rPr>
        <w:object w:dxaOrig="4780" w:dyaOrig="560" w14:anchorId="7337F495">
          <v:shape id="_x0000_i7212" type="#_x0000_t75" style="width:239pt;height:27.85pt" o:ole="">
            <v:imagedata r:id="rId12493" o:title=""/>
          </v:shape>
          <o:OLEObject Type="Embed" ProgID="Equation.DSMT4" ShapeID="_x0000_i7212" DrawAspect="Content" ObjectID="_1791381156" r:id="rId12494"/>
        </w:object>
      </w:r>
    </w:p>
    <w:p w14:paraId="38439FDD"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بنابراین مطلوبیت انتظاری برابراست با:</w:t>
      </w:r>
    </w:p>
    <w:p w14:paraId="1558AB8B"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2"/>
        </w:rPr>
        <w:object w:dxaOrig="2320" w:dyaOrig="560" w14:anchorId="44AEDA49">
          <v:shape id="_x0000_i7213" type="#_x0000_t75" style="width:116.15pt;height:27.85pt" o:ole="">
            <v:imagedata r:id="rId12495" o:title=""/>
          </v:shape>
          <o:OLEObject Type="Embed" ProgID="Equation.DSMT4" ShapeID="_x0000_i7213" DrawAspect="Content" ObjectID="_1791381157" r:id="rId12496"/>
        </w:object>
      </w:r>
    </w:p>
    <w:p w14:paraId="05B9A733"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که در آن</w:t>
      </w:r>
      <w:r w:rsidRPr="002614E7">
        <w:rPr>
          <w:position w:val="-10"/>
        </w:rPr>
        <w:object w:dxaOrig="300" w:dyaOrig="340" w14:anchorId="02F8FA90">
          <v:shape id="_x0000_i7214" type="#_x0000_t75" style="width:14.5pt;height:16.95pt" o:ole="">
            <v:imagedata r:id="rId12497" o:title=""/>
          </v:shape>
          <o:OLEObject Type="Embed" ProgID="Equation.DSMT4" ShapeID="_x0000_i7214" DrawAspect="Content" ObjectID="_1791381158" r:id="rId12498"/>
        </w:object>
      </w:r>
      <w:r w:rsidRPr="002614E7">
        <w:rPr>
          <w:rFonts w:hint="cs"/>
          <w:i/>
          <w:sz w:val="23"/>
          <w:szCs w:val="23"/>
          <w:rtl/>
        </w:rPr>
        <w:t xml:space="preserve"> واریانس</w:t>
      </w:r>
      <w:r w:rsidRPr="002614E7">
        <w:rPr>
          <w:position w:val="-6"/>
        </w:rPr>
        <w:object w:dxaOrig="180" w:dyaOrig="200" w14:anchorId="24B12A33">
          <v:shape id="_x0000_i7215" type="#_x0000_t75" style="width:9.1pt;height:10.3pt" o:ole="">
            <v:imagedata r:id="rId12499" o:title=""/>
          </v:shape>
          <o:OLEObject Type="Embed" ProgID="Equation.DSMT4" ShapeID="_x0000_i7215" DrawAspect="Content" ObjectID="_1791381159" r:id="rId12500"/>
        </w:object>
      </w:r>
      <w:r w:rsidRPr="002614E7">
        <w:rPr>
          <w:rFonts w:hint="cs"/>
          <w:i/>
          <w:sz w:val="23"/>
          <w:szCs w:val="23"/>
          <w:rtl/>
        </w:rPr>
        <w:t xml:space="preserve"> است</w:t>
      </w:r>
      <w:r w:rsidRPr="002614E7">
        <w:rPr>
          <w:i/>
          <w:sz w:val="23"/>
          <w:szCs w:val="23"/>
        </w:rPr>
        <w:t>.</w:t>
      </w:r>
      <w:r w:rsidRPr="002614E7">
        <w:rPr>
          <w:rFonts w:hint="cs"/>
          <w:i/>
          <w:sz w:val="23"/>
          <w:szCs w:val="23"/>
          <w:rtl/>
        </w:rPr>
        <w:t xml:space="preserve"> مقدار</w:t>
      </w:r>
      <w:r w:rsidRPr="002614E7">
        <w:rPr>
          <w:position w:val="-6"/>
        </w:rPr>
        <w:object w:dxaOrig="200" w:dyaOrig="260" w14:anchorId="3BACAFBC">
          <v:shape id="_x0000_i7216" type="#_x0000_t75" style="width:10.3pt;height:13.3pt" o:ole="">
            <v:imagedata r:id="rId12501" o:title=""/>
          </v:shape>
          <o:OLEObject Type="Embed" ProgID="Equation.DSMT4" ShapeID="_x0000_i7216" DrawAspect="Content" ObjectID="_1791381160" r:id="rId12502"/>
        </w:object>
      </w:r>
      <w:r w:rsidRPr="002614E7">
        <w:rPr>
          <w:rFonts w:hint="cs"/>
          <w:i/>
          <w:sz w:val="23"/>
          <w:szCs w:val="23"/>
          <w:rtl/>
        </w:rPr>
        <w:t xml:space="preserve"> که</w:t>
      </w:r>
      <w:r w:rsidRPr="002614E7">
        <w:rPr>
          <w:position w:val="-12"/>
        </w:rPr>
        <w:object w:dxaOrig="600" w:dyaOrig="360" w14:anchorId="6ADE9B88">
          <v:shape id="_x0000_i7217" type="#_x0000_t75" style="width:29.65pt;height:18.15pt" o:ole="">
            <v:imagedata r:id="rId12503" o:title=""/>
          </v:shape>
          <o:OLEObject Type="Embed" ProgID="Equation.DSMT4" ShapeID="_x0000_i7217" DrawAspect="Content" ObjectID="_1791381161" r:id="rId12504"/>
        </w:object>
      </w:r>
      <w:r w:rsidRPr="002614E7">
        <w:rPr>
          <w:rFonts w:hint="cs"/>
          <w:i/>
          <w:sz w:val="23"/>
          <w:szCs w:val="23"/>
          <w:rtl/>
        </w:rPr>
        <w:t xml:space="preserve"> را حداکثر می‌کند برابر است با </w:t>
      </w:r>
      <w:r w:rsidRPr="002614E7">
        <w:rPr>
          <w:position w:val="-6"/>
        </w:rPr>
        <w:object w:dxaOrig="540" w:dyaOrig="260" w14:anchorId="7901A13F">
          <v:shape id="_x0000_i7218" type="#_x0000_t75" style="width:26.6pt;height:13.3pt" o:ole="">
            <v:imagedata r:id="rId12505" o:title=""/>
          </v:shape>
          <o:OLEObject Type="Embed" ProgID="Equation.DSMT4" ShapeID="_x0000_i7218" DrawAspect="Content" ObjectID="_1791381162" r:id="rId12506"/>
        </w:object>
      </w:r>
      <w:r w:rsidRPr="002614E7">
        <w:rPr>
          <w:rFonts w:eastAsiaTheme="minorEastAsia"/>
          <w:i/>
          <w:sz w:val="23"/>
          <w:szCs w:val="23"/>
        </w:rPr>
        <w:t>.</w:t>
      </w:r>
      <w:r w:rsidRPr="002614E7">
        <w:rPr>
          <w:rFonts w:hint="cs"/>
          <w:i/>
          <w:sz w:val="23"/>
          <w:szCs w:val="23"/>
          <w:rtl/>
        </w:rPr>
        <w:t xml:space="preserve"> بنابراین هیچ منفعتی وجود ندارد، یعنی سود انتظاری در مطلوبیت، که از توجه بانک مرکزی در خصوص تولید منتج می‌شود وجود نخواهد داشت. در اصل زیان مطلوبیت انتظاری وجود دارد که وقتی </w:t>
      </w:r>
      <w:r w:rsidRPr="002614E7">
        <w:rPr>
          <w:position w:val="-6"/>
        </w:rPr>
        <w:object w:dxaOrig="540" w:dyaOrig="260" w14:anchorId="4E93DD01">
          <v:shape id="_x0000_i7219" type="#_x0000_t75" style="width:26.6pt;height:13.3pt" o:ole="">
            <v:imagedata r:id="rId12507" o:title=""/>
          </v:shape>
          <o:OLEObject Type="Embed" ProgID="Equation.DSMT4" ShapeID="_x0000_i7219" DrawAspect="Content" ObjectID="_1791381163" r:id="rId12508"/>
        </w:object>
      </w:r>
      <w:r w:rsidRPr="002614E7">
        <w:rPr>
          <w:rFonts w:eastAsiaTheme="minorEastAsia"/>
          <w:i/>
          <w:sz w:val="23"/>
          <w:szCs w:val="23"/>
        </w:rPr>
        <w:t xml:space="preserve"> </w:t>
      </w:r>
      <w:r w:rsidRPr="002614E7">
        <w:rPr>
          <w:rFonts w:hint="cs"/>
          <w:i/>
          <w:sz w:val="23"/>
          <w:szCs w:val="23"/>
          <w:rtl/>
        </w:rPr>
        <w:t>است حذف می‌شود. نتیجه آن</w:t>
      </w:r>
      <w:r w:rsidRPr="002614E7">
        <w:rPr>
          <w:rFonts w:hint="cs"/>
          <w:i/>
          <w:sz w:val="23"/>
          <w:szCs w:val="23"/>
          <w:rtl/>
        </w:rPr>
        <w:softHyphen/>
        <w:t>که برای بانک مرکزی، تعقیب سیاست هدف‌‌گذاری اکید تورم، و پرهیز و اجتناب از هر نوع هدف‌ِ تولیدی، بهینه خواهد بود.</w:t>
      </w:r>
    </w:p>
    <w:p w14:paraId="3E500FBE" w14:textId="77777777" w:rsidR="00556C10" w:rsidRPr="002614E7" w:rsidRDefault="00556C10" w:rsidP="00556C10">
      <w:pPr>
        <w:tabs>
          <w:tab w:val="right" w:pos="1287"/>
        </w:tabs>
        <w:spacing w:line="216" w:lineRule="auto"/>
        <w:rPr>
          <w:i/>
          <w:sz w:val="23"/>
          <w:szCs w:val="23"/>
        </w:rPr>
      </w:pPr>
    </w:p>
    <w:p w14:paraId="2078B90D" w14:textId="77777777" w:rsidR="00556C10" w:rsidRDefault="00556C10" w:rsidP="00556C10">
      <w:pPr>
        <w:tabs>
          <w:tab w:val="right" w:pos="1287"/>
        </w:tabs>
        <w:spacing w:line="216" w:lineRule="auto"/>
        <w:rPr>
          <w:bCs/>
          <w:i/>
          <w:sz w:val="23"/>
          <w:szCs w:val="23"/>
          <w:rtl/>
        </w:rPr>
      </w:pPr>
    </w:p>
    <w:p w14:paraId="525FF712" w14:textId="77777777" w:rsidR="00556C10" w:rsidRPr="002614E7" w:rsidRDefault="00556C10" w:rsidP="00556C10">
      <w:pPr>
        <w:tabs>
          <w:tab w:val="right" w:pos="1287"/>
        </w:tabs>
        <w:spacing w:line="216" w:lineRule="auto"/>
        <w:rPr>
          <w:bCs/>
          <w:i/>
          <w:sz w:val="23"/>
          <w:szCs w:val="23"/>
          <w:rtl/>
        </w:rPr>
      </w:pPr>
      <w:r w:rsidRPr="002614E7">
        <w:rPr>
          <w:rFonts w:hint="cs"/>
          <w:bCs/>
          <w:i/>
          <w:sz w:val="23"/>
          <w:szCs w:val="23"/>
          <w:rtl/>
        </w:rPr>
        <w:t>استفاده از یک تابع زیان درجه دوم</w:t>
      </w:r>
    </w:p>
    <w:p w14:paraId="46965517"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lastRenderedPageBreak/>
        <w:t>سوالی که وجود دارد این است که آیا این نتیجه</w:t>
      </w:r>
      <w:r w:rsidRPr="002614E7">
        <w:rPr>
          <w:rFonts w:hint="cs"/>
          <w:i/>
          <w:sz w:val="23"/>
          <w:szCs w:val="23"/>
          <w:rtl/>
        </w:rPr>
        <w:softHyphen/>
        <w:t>ی قطعی به خاطر انتخاب تابع هدف ‌است؟ برای پاسخ به این سوال، این مسئله را با بکارگیری یک تابع هدف‌ درجه دوم یک دوره</w:t>
      </w:r>
      <w:r w:rsidRPr="002614E7">
        <w:rPr>
          <w:rFonts w:hint="cs"/>
          <w:i/>
          <w:sz w:val="23"/>
          <w:szCs w:val="23"/>
          <w:rtl/>
        </w:rPr>
        <w:softHyphen/>
        <w:t xml:space="preserve">ای </w:t>
      </w:r>
      <w:r w:rsidRPr="002614E7">
        <w:rPr>
          <w:i/>
          <w:sz w:val="23"/>
          <w:szCs w:val="23"/>
        </w:rPr>
        <w:t>Q</w:t>
      </w:r>
      <w:r w:rsidRPr="002614E7">
        <w:rPr>
          <w:rFonts w:hint="cs"/>
          <w:i/>
          <w:sz w:val="23"/>
          <w:szCs w:val="23"/>
          <w:rtl/>
        </w:rPr>
        <w:t xml:space="preserve"> بررسی خواهیم کرد که در آن </w:t>
      </w:r>
    </w:p>
    <w:p w14:paraId="104B2E3F" w14:textId="77777777" w:rsidR="00556C10" w:rsidRPr="002614E7" w:rsidRDefault="00556C10" w:rsidP="00556C10">
      <w:pPr>
        <w:pStyle w:val="MTDisplayEquation"/>
        <w:tabs>
          <w:tab w:val="clear" w:pos="6660"/>
          <w:tab w:val="right" w:pos="0"/>
        </w:tabs>
        <w:spacing w:line="216" w:lineRule="auto"/>
        <w:jc w:val="left"/>
        <w:rPr>
          <w:rFonts w:ascii="Times New Roman" w:hAnsi="Times New Roman" w:cs="B Nazanin"/>
          <w:i/>
          <w:sz w:val="23"/>
          <w:szCs w:val="23"/>
        </w:rPr>
      </w:pPr>
      <w:r w:rsidRPr="002614E7">
        <w:rPr>
          <w:position w:val="-22"/>
        </w:rPr>
        <w:object w:dxaOrig="6540" w:dyaOrig="560" w14:anchorId="19925797">
          <v:shape id="_x0000_i7220" type="#_x0000_t75" style="width:326.7pt;height:27.85pt" o:ole="">
            <v:imagedata r:id="rId12509" o:title=""/>
          </v:shape>
          <o:OLEObject Type="Embed" ProgID="Equation.DSMT4" ShapeID="_x0000_i7220" DrawAspect="Content" ObjectID="_1791381164" r:id="rId12510"/>
        </w:object>
      </w:r>
      <w:r w:rsidRPr="002614E7">
        <w:rPr>
          <w:position w:val="-22"/>
        </w:rPr>
        <w:object w:dxaOrig="4480" w:dyaOrig="560" w14:anchorId="1E3708BC">
          <v:shape id="_x0000_i7221" type="#_x0000_t75" style="width:223.85pt;height:27.85pt" o:ole="">
            <v:imagedata r:id="rId12511" o:title=""/>
          </v:shape>
          <o:OLEObject Type="Embed" ProgID="Equation.DSMT4" ShapeID="_x0000_i7221" DrawAspect="Content" ObjectID="_1791381165" r:id="rId12512"/>
        </w:object>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(۱۴. ۷۵)</w:t>
      </w:r>
    </w:p>
    <w:p w14:paraId="2F39E707"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دلیل بکارگیری</w:t>
      </w:r>
      <w:r w:rsidRPr="002614E7">
        <w:rPr>
          <w:position w:val="-6"/>
        </w:rPr>
        <w:object w:dxaOrig="200" w:dyaOrig="260" w14:anchorId="4056D5B6">
          <v:shape id="_x0000_i7222" type="#_x0000_t75" style="width:10.3pt;height:13.3pt" o:ole="">
            <v:imagedata r:id="rId12513" o:title=""/>
          </v:shape>
          <o:OLEObject Type="Embed" ProgID="Equation.DSMT4" ShapeID="_x0000_i7222" DrawAspect="Content" ObjectID="_1791381166" r:id="rId12514"/>
        </w:object>
      </w:r>
      <w:r w:rsidRPr="002614E7">
        <w:rPr>
          <w:i/>
          <w:sz w:val="23"/>
          <w:szCs w:val="23"/>
        </w:rPr>
        <w:t xml:space="preserve"> </w:t>
      </w:r>
      <w:r w:rsidRPr="002614E7">
        <w:rPr>
          <w:rFonts w:hint="cs"/>
          <w:i/>
          <w:sz w:val="23"/>
          <w:szCs w:val="23"/>
          <w:rtl/>
        </w:rPr>
        <w:t>این است که بانک مرکزی هنوز ترجیح می‌دهد</w:t>
      </w:r>
      <w:r w:rsidRPr="002614E7">
        <w:rPr>
          <w:position w:val="-10"/>
        </w:rPr>
        <w:object w:dxaOrig="620" w:dyaOrig="320" w14:anchorId="5E51708C">
          <v:shape id="_x0000_i7223" type="#_x0000_t75" style="width:30.85pt;height:15.75pt" o:ole="">
            <v:imagedata r:id="rId12515" o:title=""/>
          </v:shape>
          <o:OLEObject Type="Embed" ProgID="Equation.DSMT4" ShapeID="_x0000_i7223" DrawAspect="Content" ObjectID="_1791381167" r:id="rId12516"/>
        </w:object>
      </w:r>
      <w:r w:rsidRPr="002614E7">
        <w:rPr>
          <w:rFonts w:hint="cs"/>
          <w:i/>
          <w:sz w:val="23"/>
          <w:szCs w:val="23"/>
          <w:rtl/>
        </w:rPr>
        <w:t xml:space="preserve"> باشد. مسئله</w:t>
      </w:r>
      <w:r w:rsidRPr="002614E7">
        <w:rPr>
          <w:rFonts w:hint="cs"/>
          <w:i/>
          <w:sz w:val="23"/>
          <w:szCs w:val="23"/>
          <w:rtl/>
        </w:rPr>
        <w:softHyphen/>
        <w:t>ی مورد نظر، انتخاب</w:t>
      </w:r>
      <w:r w:rsidRPr="002614E7">
        <w:rPr>
          <w:position w:val="-6"/>
        </w:rPr>
        <w:object w:dxaOrig="180" w:dyaOrig="200" w14:anchorId="755784FF">
          <v:shape id="_x0000_i7224" type="#_x0000_t75" style="width:9.1pt;height:10.3pt" o:ole="">
            <v:imagedata r:id="rId12517" o:title=""/>
          </v:shape>
          <o:OLEObject Type="Embed" ProgID="Equation.DSMT4" ShapeID="_x0000_i7224" DrawAspect="Content" ObjectID="_1791381168" r:id="rId12518"/>
        </w:object>
      </w:r>
      <w:r w:rsidRPr="002614E7">
        <w:rPr>
          <w:rFonts w:hint="cs"/>
          <w:i/>
          <w:sz w:val="23"/>
          <w:szCs w:val="23"/>
          <w:rtl/>
        </w:rPr>
        <w:t xml:space="preserve"> جهت حداقل کردن </w:t>
      </w:r>
      <w:r w:rsidRPr="002614E7">
        <w:rPr>
          <w:i/>
          <w:sz w:val="23"/>
          <w:szCs w:val="23"/>
        </w:rPr>
        <w:t>Q</w:t>
      </w:r>
      <w:r w:rsidRPr="002614E7">
        <w:rPr>
          <w:rFonts w:hint="cs"/>
          <w:i/>
          <w:sz w:val="23"/>
          <w:szCs w:val="23"/>
          <w:rtl/>
        </w:rPr>
        <w:t xml:space="preserve"> است. شرط مرتبه اول عبارت است از</w:t>
      </w:r>
    </w:p>
    <w:p w14:paraId="5B60BD99"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22"/>
        </w:rPr>
        <w:object w:dxaOrig="4360" w:dyaOrig="560" w14:anchorId="3996182F">
          <v:shape id="_x0000_i7225" type="#_x0000_t75" style="width:217.8pt;height:27.85pt" o:ole="">
            <v:imagedata r:id="rId12519" o:title=""/>
          </v:shape>
          <o:OLEObject Type="Embed" ProgID="Equation.DSMT4" ShapeID="_x0000_i7225" DrawAspect="Content" ObjectID="_1791381169" r:id="rId12520"/>
        </w:object>
      </w:r>
    </w:p>
    <w:p w14:paraId="2956906B"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و لذا حل آن بر مبنای </w:t>
      </w:r>
      <w:r w:rsidRPr="002614E7">
        <w:rPr>
          <w:i/>
          <w:sz w:val="23"/>
          <w:szCs w:val="23"/>
        </w:rPr>
        <w:t>z</w:t>
      </w:r>
      <w:r w:rsidRPr="002614E7">
        <w:rPr>
          <w:rFonts w:hint="cs"/>
          <w:i/>
          <w:sz w:val="23"/>
          <w:szCs w:val="23"/>
          <w:rtl/>
        </w:rPr>
        <w:t xml:space="preserve"> برابر است با</w:t>
      </w:r>
    </w:p>
    <w:p w14:paraId="78EF19AE"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2"/>
        </w:rPr>
        <w:object w:dxaOrig="2799" w:dyaOrig="620" w14:anchorId="4E2A8C21">
          <v:shape id="_x0000_i7226" type="#_x0000_t75" style="width:139.75pt;height:30.85pt" o:ole="">
            <v:imagedata r:id="rId12521" o:title=""/>
          </v:shape>
          <o:OLEObject Type="Embed" ProgID="Equation.DSMT4" ShapeID="_x0000_i7226" DrawAspect="Content" ObjectID="_1791381170" r:id="rId12522"/>
        </w:object>
      </w:r>
    </w:p>
    <w:p w14:paraId="07B92CFD"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با در نظر گرفتن این که </w:t>
      </w:r>
      <w:r w:rsidRPr="002614E7">
        <w:rPr>
          <w:position w:val="-12"/>
        </w:rPr>
        <w:object w:dxaOrig="859" w:dyaOrig="360" w14:anchorId="514EABA6">
          <v:shape id="_x0000_i7227" type="#_x0000_t75" style="width:42.95pt;height:18.15pt" o:ole="">
            <v:imagedata r:id="rId12523" o:title=""/>
          </v:shape>
          <o:OLEObject Type="Embed" ProgID="Equation.DSMT4" ShapeID="_x0000_i7227" DrawAspect="Content" ObjectID="_1791381171" r:id="rId12524"/>
        </w:object>
      </w:r>
      <w:r w:rsidRPr="002614E7">
        <w:rPr>
          <w:rFonts w:hint="cs"/>
          <w:i/>
          <w:sz w:val="23"/>
          <w:szCs w:val="23"/>
          <w:rtl/>
        </w:rPr>
        <w:t xml:space="preserve"> است مقدار بهینه</w:t>
      </w:r>
      <w:r w:rsidRPr="002614E7">
        <w:rPr>
          <w:rFonts w:hint="cs"/>
          <w:i/>
          <w:sz w:val="23"/>
          <w:szCs w:val="23"/>
          <w:rtl/>
        </w:rPr>
        <w:softHyphen/>
        <w:t>ی</w:t>
      </w:r>
      <w:r w:rsidRPr="002614E7">
        <w:rPr>
          <w:position w:val="-6"/>
        </w:rPr>
        <w:object w:dxaOrig="180" w:dyaOrig="200" w14:anchorId="521BDB17">
          <v:shape id="_x0000_i7228" type="#_x0000_t75" style="width:9.1pt;height:10.3pt" o:ole="">
            <v:imagedata r:id="rId12525" o:title=""/>
          </v:shape>
          <o:OLEObject Type="Embed" ProgID="Equation.DSMT4" ShapeID="_x0000_i7228" DrawAspect="Content" ObjectID="_1791381172" r:id="rId12526"/>
        </w:object>
      </w:r>
      <w:r w:rsidRPr="002614E7">
        <w:rPr>
          <w:rFonts w:hint="cs"/>
          <w:i/>
          <w:sz w:val="23"/>
          <w:szCs w:val="23"/>
          <w:rtl/>
        </w:rPr>
        <w:t xml:space="preserve"> برابر خواهد بود با</w:t>
      </w:r>
    </w:p>
    <w:p w14:paraId="65FF944A"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22"/>
        </w:rPr>
        <w:object w:dxaOrig="2640" w:dyaOrig="620" w14:anchorId="11B0EEC1">
          <v:shape id="_x0000_i7229" type="#_x0000_t75" style="width:132.5pt;height:30.85pt" o:ole="">
            <v:imagedata r:id="rId12527" o:title=""/>
          </v:shape>
          <o:OLEObject Type="Embed" ProgID="Equation.DSMT4" ShapeID="_x0000_i7229" DrawAspect="Content" ObjectID="_1791381173" r:id="rId12528"/>
        </w:object>
      </w:r>
    </w:p>
    <w:p w14:paraId="18E8C56F"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در نتیجه تورم برابر است با</w:t>
      </w:r>
    </w:p>
    <w:p w14:paraId="34EAF20A" w14:textId="77777777" w:rsidR="00556C10" w:rsidRPr="002614E7" w:rsidRDefault="00556C10" w:rsidP="00556C10">
      <w:pPr>
        <w:tabs>
          <w:tab w:val="right" w:pos="1287"/>
        </w:tabs>
        <w:bidi w:val="0"/>
        <w:spacing w:line="216" w:lineRule="auto"/>
        <w:rPr>
          <w:i/>
          <w:sz w:val="23"/>
          <w:szCs w:val="23"/>
        </w:rPr>
      </w:pPr>
      <w:r w:rsidRPr="002614E7">
        <w:rPr>
          <w:position w:val="-6"/>
        </w:rPr>
        <w:object w:dxaOrig="940" w:dyaOrig="300" w14:anchorId="4BC41D15">
          <v:shape id="_x0000_i7230" type="#_x0000_t75" style="width:47.2pt;height:14.5pt" o:ole="">
            <v:imagedata r:id="rId12529" o:title=""/>
          </v:shape>
          <o:OLEObject Type="Embed" ProgID="Equation.DSMT4" ShapeID="_x0000_i7230" DrawAspect="Content" ObjectID="_1791381174" r:id="rId12530"/>
        </w:object>
      </w:r>
    </w:p>
    <w:p w14:paraId="345444BF"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و همچنین تورم انتظاری برابر است با </w:t>
      </w:r>
    </w:p>
    <w:p w14:paraId="1FDE286F"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tl/>
        </w:rPr>
      </w:pPr>
      <w:r w:rsidRPr="002614E7">
        <w:rPr>
          <w:position w:val="-22"/>
        </w:rPr>
        <w:object w:dxaOrig="5160" w:dyaOrig="600" w14:anchorId="3D9C8698">
          <v:shape id="_x0000_i7231" type="#_x0000_t75" style="width:257.75pt;height:29.65pt" o:ole="">
            <v:imagedata r:id="rId12531" o:title=""/>
          </v:shape>
          <o:OLEObject Type="Embed" ProgID="Equation.DSMT4" ShapeID="_x0000_i7231" DrawAspect="Content" ObjectID="_1791381175" r:id="rId12532"/>
        </w:object>
      </w:r>
      <w:r w:rsidRPr="002614E7">
        <w:rPr>
          <w:rFonts w:ascii="Times New Roman" w:hAnsi="Times New Roman" w:cs="B Nazanin" w:hint="cs"/>
          <w:i/>
          <w:sz w:val="23"/>
          <w:szCs w:val="23"/>
          <w:rtl/>
        </w:rPr>
        <w:tab/>
      </w:r>
      <w:r>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hint="cs"/>
          <w:i/>
          <w:sz w:val="23"/>
          <w:szCs w:val="23"/>
          <w:rtl/>
        </w:rPr>
        <w:t>(۱۴. ۷۶)</w:t>
      </w:r>
    </w:p>
    <w:p w14:paraId="28C1E405"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بنابراین، بار دیگر تورش تورم وجود خواهد داشت. درصورتی</w:t>
      </w:r>
      <w:r w:rsidRPr="002614E7">
        <w:rPr>
          <w:rFonts w:hint="cs"/>
          <w:i/>
          <w:sz w:val="23"/>
          <w:szCs w:val="23"/>
          <w:rtl/>
        </w:rPr>
        <w:softHyphen/>
        <w:t xml:space="preserve">که </w:t>
      </w:r>
      <w:r w:rsidRPr="002614E7">
        <w:rPr>
          <w:position w:val="-6"/>
        </w:rPr>
        <w:object w:dxaOrig="540" w:dyaOrig="260" w14:anchorId="38E45880">
          <v:shape id="_x0000_i7232" type="#_x0000_t75" style="width:26.6pt;height:13.3pt" o:ole="">
            <v:imagedata r:id="rId12533" o:title=""/>
          </v:shape>
          <o:OLEObject Type="Embed" ProgID="Equation.DSMT4" ShapeID="_x0000_i7232" DrawAspect="Content" ObjectID="_1791381176" r:id="rId12534"/>
        </w:object>
      </w:r>
      <w:r w:rsidRPr="002614E7">
        <w:rPr>
          <w:rFonts w:hint="cs"/>
          <w:i/>
          <w:sz w:val="23"/>
          <w:szCs w:val="23"/>
          <w:rtl/>
        </w:rPr>
        <w:t xml:space="preserve"> و یا </w:t>
      </w:r>
      <w:r w:rsidRPr="002614E7">
        <w:rPr>
          <w:position w:val="-6"/>
        </w:rPr>
        <w:object w:dxaOrig="540" w:dyaOrig="260" w14:anchorId="2B23F3D4">
          <v:shape id="_x0000_i7233" type="#_x0000_t75" style="width:26.6pt;height:13.3pt" o:ole="">
            <v:imagedata r:id="rId12535" o:title=""/>
          </v:shape>
          <o:OLEObject Type="Embed" ProgID="Equation.DSMT4" ShapeID="_x0000_i7233" DrawAspect="Content" ObjectID="_1791381177" r:id="rId12536"/>
        </w:object>
      </w:r>
      <w:r w:rsidRPr="002614E7">
        <w:rPr>
          <w:rFonts w:hint="cs"/>
          <w:i/>
          <w:sz w:val="23"/>
          <w:szCs w:val="23"/>
          <w:rtl/>
        </w:rPr>
        <w:t xml:space="preserve"> باشد یعنی بانک مرکزی هدف‌‌گذاری اکید تورم و یا ترجیح </w:t>
      </w:r>
      <w:r w:rsidRPr="002614E7">
        <w:rPr>
          <w:position w:val="-10"/>
        </w:rPr>
        <w:object w:dxaOrig="620" w:dyaOrig="320" w14:anchorId="1D4DD0E1">
          <v:shape id="_x0000_i7234" type="#_x0000_t75" style="width:30.85pt;height:15.75pt" o:ole="">
            <v:imagedata r:id="rId12537" o:title=""/>
          </v:shape>
          <o:OLEObject Type="Embed" ProgID="Equation.DSMT4" ShapeID="_x0000_i7234" DrawAspect="Content" ObjectID="_1791381178" r:id="rId12538"/>
        </w:object>
      </w:r>
      <w:r w:rsidRPr="002614E7">
        <w:rPr>
          <w:rFonts w:hint="cs"/>
          <w:i/>
          <w:sz w:val="23"/>
          <w:szCs w:val="23"/>
          <w:rtl/>
        </w:rPr>
        <w:t xml:space="preserve"> را دنبال نکند، تورش تورم از بین خواهد رفت. آیا منافع تولیدی جهت توجیه تورش تورم وجود خواهد داشت؟ با بکارگیری نتیجه</w:t>
      </w:r>
      <w:r w:rsidRPr="002614E7">
        <w:rPr>
          <w:position w:val="-6"/>
        </w:rPr>
        <w:object w:dxaOrig="1340" w:dyaOrig="300" w14:anchorId="4D52F871">
          <v:shape id="_x0000_i7235" type="#_x0000_t75" style="width:67.15pt;height:14.5pt" o:ole="">
            <v:imagedata r:id="rId12539" o:title=""/>
          </v:shape>
          <o:OLEObject Type="Embed" ProgID="Equation.DSMT4" ShapeID="_x0000_i7235" DrawAspect="Content" ObjectID="_1791381179" r:id="rId12540"/>
        </w:object>
      </w:r>
      <w:r w:rsidRPr="002614E7">
        <w:rPr>
          <w:i/>
          <w:sz w:val="23"/>
          <w:szCs w:val="23"/>
        </w:rPr>
        <w:t xml:space="preserve"> </w:t>
      </w:r>
      <w:r w:rsidRPr="002614E7">
        <w:rPr>
          <w:rFonts w:hint="cs"/>
          <w:i/>
          <w:sz w:val="23"/>
          <w:szCs w:val="23"/>
          <w:rtl/>
        </w:rPr>
        <w:t>مقدار بهینه</w:t>
      </w:r>
      <w:r w:rsidRPr="002614E7">
        <w:rPr>
          <w:rFonts w:hint="cs"/>
          <w:i/>
          <w:sz w:val="23"/>
          <w:szCs w:val="23"/>
          <w:rtl/>
        </w:rPr>
        <w:softHyphen/>
        <w:t>ی</w:t>
      </w:r>
      <w:r w:rsidRPr="002614E7">
        <w:rPr>
          <w:position w:val="-6"/>
        </w:rPr>
        <w:object w:dxaOrig="180" w:dyaOrig="200" w14:anchorId="0311E371">
          <v:shape id="_x0000_i7236" type="#_x0000_t75" style="width:9.1pt;height:10.3pt" o:ole="">
            <v:imagedata r:id="rId12541" o:title=""/>
          </v:shape>
          <o:OLEObject Type="Embed" ProgID="Equation.DSMT4" ShapeID="_x0000_i7236" DrawAspect="Content" ObjectID="_1791381180" r:id="rId12542"/>
        </w:object>
      </w:r>
      <w:r w:rsidRPr="002614E7">
        <w:rPr>
          <w:rFonts w:hint="cs"/>
          <w:i/>
          <w:sz w:val="23"/>
          <w:szCs w:val="23"/>
          <w:rtl/>
        </w:rPr>
        <w:t xml:space="preserve"> برابر است با</w:t>
      </w:r>
    </w:p>
    <w:p w14:paraId="31556869"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2"/>
        </w:rPr>
        <w:object w:dxaOrig="3900" w:dyaOrig="620" w14:anchorId="604F181A">
          <v:shape id="_x0000_i7237" type="#_x0000_t75" style="width:194.8pt;height:30.85pt" o:ole="">
            <v:imagedata r:id="rId12543" o:title=""/>
          </v:shape>
          <o:OLEObject Type="Embed" ProgID="Equation.DSMT4" ShapeID="_x0000_i7237" DrawAspect="Content" ObjectID="_1791381181" r:id="rId12544"/>
        </w:object>
      </w:r>
    </w:p>
    <w:p w14:paraId="349360C2"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و لذا مقادیر واقعی تورم و تولید برابر است با</w:t>
      </w:r>
    </w:p>
    <w:p w14:paraId="14F3B970"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2"/>
        </w:rPr>
        <w:object w:dxaOrig="1820" w:dyaOrig="560" w14:anchorId="555C842C">
          <v:shape id="_x0000_i7238" type="#_x0000_t75" style="width:91.35pt;height:27.85pt" o:ole="">
            <v:imagedata r:id="rId12545" o:title=""/>
          </v:shape>
          <o:OLEObject Type="Embed" ProgID="Equation.DSMT4" ShapeID="_x0000_i7238" DrawAspect="Content" ObjectID="_1791381182" r:id="rId12546"/>
        </w:object>
      </w:r>
    </w:p>
    <w:p w14:paraId="651DB1B0"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26"/>
        </w:rPr>
        <w:object w:dxaOrig="2240" w:dyaOrig="620" w14:anchorId="59477DF3">
          <v:shape id="_x0000_i7239" type="#_x0000_t75" style="width:111.95pt;height:30.85pt" o:ole="">
            <v:imagedata r:id="rId12547" o:title=""/>
          </v:shape>
          <o:OLEObject Type="Embed" ProgID="Equation.DSMT4" ShapeID="_x0000_i7239" DrawAspect="Content" ObjectID="_1791381183" r:id="rId12548"/>
        </w:object>
      </w:r>
    </w:p>
    <w:p w14:paraId="3F368906"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که نشان می‌دهد سطح انتظاری تولید برابر است با</w:t>
      </w:r>
    </w:p>
    <w:p w14:paraId="2A338E16" w14:textId="77777777" w:rsidR="00556C10" w:rsidRPr="002614E7" w:rsidRDefault="00E97D37" w:rsidP="00556C10">
      <w:pPr>
        <w:pStyle w:val="MTDisplayEquation"/>
        <w:bidi/>
        <w:spacing w:line="216" w:lineRule="auto"/>
        <w:rPr>
          <w:rFonts w:cs="B Nazanin"/>
          <w:i/>
          <w:sz w:val="23"/>
          <w:szCs w:val="23"/>
          <w:rtl/>
        </w:rPr>
      </w:pPr>
      <w:r>
        <w:rPr>
          <w:noProof/>
          <w:sz w:val="23"/>
          <w:szCs w:val="23"/>
          <w:rtl/>
        </w:rPr>
        <w:lastRenderedPageBreak/>
        <w:object w:dxaOrig="1440" w:dyaOrig="1440" w14:anchorId="79EB14C3">
          <v:shape id="_x0000_s1026" type="#_x0000_t75" style="position:absolute;left:0;text-align:left;margin-left:0;margin-top:-.3pt;width:52pt;height:18pt;z-index:251658240;mso-position-horizontal:left;mso-position-horizontal-relative:text;mso-position-vertical:absolute;mso-position-vertical-relative:text">
            <v:imagedata r:id="rId12549" o:title=""/>
          </v:shape>
          <o:OLEObject Type="Embed" ProgID="Equation.DSMT4" ShapeID="_x0000_s1026" DrawAspect="Content" ObjectID="_1791382206" r:id="rId12550"/>
        </w:object>
      </w:r>
      <w:r w:rsidR="00556C10" w:rsidRPr="002614E7">
        <w:rPr>
          <w:rFonts w:ascii="Times New Roman" w:hAnsi="Times New Roman" w:cs="B Nazanin"/>
          <w:i/>
          <w:sz w:val="23"/>
          <w:szCs w:val="23"/>
          <w:rtl/>
        </w:rPr>
        <w:br w:type="textWrapping" w:clear="all"/>
      </w:r>
      <w:r w:rsidR="00556C10" w:rsidRPr="002614E7">
        <w:rPr>
          <w:rFonts w:cs="B Nazanin" w:hint="cs"/>
          <w:i/>
          <w:sz w:val="23"/>
          <w:szCs w:val="23"/>
          <w:rtl/>
        </w:rPr>
        <w:t xml:space="preserve">لذا با </w:t>
      </w:r>
      <w:r w:rsidR="00556C10" w:rsidRPr="002614E7">
        <w:rPr>
          <w:position w:val="-8"/>
        </w:rPr>
        <w:object w:dxaOrig="800" w:dyaOrig="279" w14:anchorId="26B7B7AF">
          <v:shape id="_x0000_i7241" type="#_x0000_t75" style="width:39.95pt;height:13.9pt" o:ole="">
            <v:imagedata r:id="rId12551" o:title=""/>
          </v:shape>
          <o:OLEObject Type="Embed" ProgID="Equation.DSMT4" ShapeID="_x0000_i7241" DrawAspect="Content" ObjectID="_1791381184" r:id="rId12552"/>
        </w:object>
      </w:r>
      <w:r w:rsidR="00556C10" w:rsidRPr="002614E7">
        <w:rPr>
          <w:rFonts w:cs="B Nazanin" w:hint="cs"/>
          <w:i/>
          <w:sz w:val="23"/>
          <w:szCs w:val="23"/>
          <w:rtl/>
        </w:rPr>
        <w:t xml:space="preserve"> انتظار هیچ منافع تولیدی وجود نخواهد داشت. </w:t>
      </w:r>
    </w:p>
    <w:p w14:paraId="16DEB2D8"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آیا با تورش تورم سود و منفعت رفاهی وجود خواهد داشت؟ با جایگزاری حل تورم و تولید در تابع هدف</w:t>
      </w:r>
      <w:r>
        <w:rPr>
          <w:rFonts w:hint="cs"/>
          <w:i/>
          <w:sz w:val="23"/>
          <w:szCs w:val="23"/>
          <w:rtl/>
        </w:rPr>
        <w:t xml:space="preserve"> </w:t>
      </w:r>
      <w:r w:rsidRPr="002614E7">
        <w:rPr>
          <w:rFonts w:hint="cs"/>
          <w:i/>
          <w:sz w:val="23"/>
          <w:szCs w:val="23"/>
          <w:rtl/>
        </w:rPr>
        <w:t>‌درجه دوم خواهیم داشت</w:t>
      </w:r>
    </w:p>
    <w:p w14:paraId="787FBB91"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2"/>
        </w:rPr>
        <w:object w:dxaOrig="3040" w:dyaOrig="560" w14:anchorId="710E7755">
          <v:shape id="_x0000_i7242" type="#_x0000_t75" style="width:151.85pt;height:27.85pt" o:ole="">
            <v:imagedata r:id="rId12553" o:title=""/>
          </v:shape>
          <o:OLEObject Type="Embed" ProgID="Equation.DSMT4" ShapeID="_x0000_i7242" DrawAspect="Content" ObjectID="_1791381185" r:id="rId12554"/>
        </w:object>
      </w:r>
    </w:p>
    <w:p w14:paraId="574BA53B"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8"/>
        </w:rPr>
        <w:object w:dxaOrig="5000" w:dyaOrig="700" w14:anchorId="5304F203">
          <v:shape id="_x0000_i7243" type="#_x0000_t75" style="width:249.9pt;height:35.1pt" o:ole="">
            <v:imagedata r:id="rId12555" o:title=""/>
          </v:shape>
          <o:OLEObject Type="Embed" ProgID="Equation.DSMT4" ShapeID="_x0000_i7243" DrawAspect="Content" ObjectID="_1791381186" r:id="rId12556"/>
        </w:object>
      </w:r>
    </w:p>
    <w:p w14:paraId="0C0EB682"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بنابراین رفاه انتظاری برابر خواهد بود با </w:t>
      </w:r>
    </w:p>
    <w:p w14:paraId="2B7C462F" w14:textId="77777777" w:rsidR="00556C10" w:rsidRPr="002614E7" w:rsidRDefault="00556C10" w:rsidP="00556C10">
      <w:pPr>
        <w:pStyle w:val="MTDisplayEquation"/>
        <w:spacing w:line="216" w:lineRule="auto"/>
        <w:rPr>
          <w:rFonts w:ascii="Times New Roman" w:hAnsi="Times New Roman"/>
          <w:i/>
          <w:sz w:val="23"/>
          <w:szCs w:val="23"/>
          <w:rtl/>
        </w:rPr>
      </w:pPr>
      <w:r w:rsidRPr="002614E7">
        <w:rPr>
          <w:position w:val="-34"/>
        </w:rPr>
        <w:object w:dxaOrig="6860" w:dyaOrig="800" w14:anchorId="7FC539EC">
          <v:shape id="_x0000_i7244" type="#_x0000_t75" style="width:343.05pt;height:39.95pt" o:ole="">
            <v:imagedata r:id="rId12557" o:title=""/>
          </v:shape>
          <o:OLEObject Type="Embed" ProgID="Equation.DSMT4" ShapeID="_x0000_i7244" DrawAspect="Content" ObjectID="_1791381187" r:id="rId12558"/>
        </w:object>
      </w:r>
    </w:p>
    <w:p w14:paraId="599D5250" w14:textId="77777777" w:rsidR="00556C10" w:rsidRPr="002614E7" w:rsidRDefault="00556C10" w:rsidP="00556C10">
      <w:pPr>
        <w:pStyle w:val="MTDisplayEquation"/>
        <w:bidi/>
        <w:spacing w:line="216" w:lineRule="auto"/>
        <w:rPr>
          <w:rFonts w:ascii="Times New Roman" w:hAnsi="Times New Roman"/>
          <w:i/>
          <w:sz w:val="23"/>
          <w:szCs w:val="23"/>
          <w:rtl/>
        </w:rPr>
      </w:pPr>
      <w:r w:rsidRPr="002614E7">
        <w:rPr>
          <w:rFonts w:ascii="Times New Roman" w:hAnsi="Times New Roman" w:cs="B Nazanin" w:hint="cs"/>
          <w:i/>
          <w:sz w:val="23"/>
          <w:szCs w:val="23"/>
          <w:rtl/>
        </w:rPr>
        <w:t>جهت حداقل کردن</w:t>
      </w:r>
      <w:r w:rsidRPr="002614E7">
        <w:rPr>
          <w:position w:val="-12"/>
        </w:rPr>
        <w:object w:dxaOrig="580" w:dyaOrig="360" w14:anchorId="4C4C14F6">
          <v:shape id="_x0000_i7245" type="#_x0000_t75" style="width:29.05pt;height:18.15pt" o:ole="">
            <v:imagedata r:id="rId12559" o:title=""/>
          </v:shape>
          <o:OLEObject Type="Embed" ProgID="Equation.DSMT4" ShapeID="_x0000_i7245" DrawAspect="Content" ObjectID="_1791381188" r:id="rId12560"/>
        </w:object>
      </w:r>
      <w:r w:rsidRPr="002614E7">
        <w:rPr>
          <w:rFonts w:ascii="Times New Roman" w:hAnsi="Times New Roman" w:cs="B Nazanin" w:hint="cs"/>
          <w:i/>
          <w:sz w:val="23"/>
          <w:szCs w:val="23"/>
          <w:rtl/>
        </w:rPr>
        <w:t xml:space="preserve"> می‌بایست</w:t>
      </w:r>
      <w:r w:rsidRPr="002614E7">
        <w:rPr>
          <w:position w:val="-6"/>
        </w:rPr>
        <w:object w:dxaOrig="200" w:dyaOrig="260" w14:anchorId="1DCCEF85">
          <v:shape id="_x0000_i7246" type="#_x0000_t75" style="width:10.3pt;height:13.3pt" o:ole="">
            <v:imagedata r:id="rId12561" o:title=""/>
          </v:shape>
          <o:OLEObject Type="Embed" ProgID="Equation.DSMT4" ShapeID="_x0000_i7246" DrawAspect="Content" ObjectID="_1791381189" r:id="rId12562"/>
        </w:object>
      </w:r>
      <w:r w:rsidRPr="002614E7">
        <w:rPr>
          <w:rFonts w:ascii="Times New Roman" w:hAnsi="Times New Roman" w:cs="B Nazanin" w:hint="cs"/>
          <w:i/>
          <w:sz w:val="23"/>
          <w:szCs w:val="23"/>
          <w:rtl/>
        </w:rPr>
        <w:t xml:space="preserve"> را برابر صفر قرار دهیم، یعنی هیچ وزنی برای تولید وجود نداشته باشد. در نتیجه همانند مدل بارو- گوردون منفعت تولید و نه منفعت و سود رفاه با </w:t>
      </w:r>
      <w:r w:rsidRPr="002614E7">
        <w:rPr>
          <w:position w:val="-6"/>
        </w:rPr>
        <w:object w:dxaOrig="540" w:dyaOrig="260" w14:anchorId="5A0D8619">
          <v:shape id="_x0000_i7247" type="#_x0000_t75" style="width:26.6pt;height:13.3pt" o:ole="">
            <v:imagedata r:id="rId12563" o:title=""/>
          </v:shape>
          <o:OLEObject Type="Embed" ProgID="Equation.DSMT4" ShapeID="_x0000_i7247" DrawAspect="Content" ObjectID="_1791381190" r:id="rId12564"/>
        </w:object>
      </w:r>
      <w:r w:rsidRPr="002614E7">
        <w:rPr>
          <w:rFonts w:ascii="Times New Roman" w:eastAsiaTheme="minorEastAsia" w:hAnsi="Times New Roman" w:cs="B Nazanin"/>
          <w:i/>
          <w:sz w:val="23"/>
          <w:szCs w:val="23"/>
        </w:rPr>
        <w:t xml:space="preserve"> </w:t>
      </w:r>
      <w:r w:rsidRPr="002614E7">
        <w:rPr>
          <w:rFonts w:ascii="Times New Roman" w:hAnsi="Times New Roman" w:cs="B Nazanin" w:hint="cs"/>
          <w:i/>
          <w:sz w:val="23"/>
          <w:szCs w:val="23"/>
          <w:rtl/>
        </w:rPr>
        <w:t>وجود نخواهد داشت. رتبه</w:t>
      </w:r>
      <w:r w:rsidRPr="002614E7">
        <w:rPr>
          <w:rFonts w:ascii="Times New Roman" w:hAnsi="Times New Roman" w:cs="B Nazanin" w:hint="cs"/>
          <w:i/>
          <w:sz w:val="23"/>
          <w:szCs w:val="23"/>
          <w:rtl/>
        </w:rPr>
        <w:softHyphen/>
        <w:t>بندی مطلق از هزینه‌های انتظاری ممکن است به صورت زیر نوشته شود</w:t>
      </w:r>
    </w:p>
    <w:p w14:paraId="036BADB8"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12"/>
        </w:rPr>
        <w:object w:dxaOrig="4660" w:dyaOrig="360" w14:anchorId="53DE638B">
          <v:shape id="_x0000_i7248" type="#_x0000_t75" style="width:232.95pt;height:18.15pt" o:ole="">
            <v:imagedata r:id="rId12565" o:title=""/>
          </v:shape>
          <o:OLEObject Type="Embed" ProgID="Equation.DSMT4" ShapeID="_x0000_i7248" DrawAspect="Content" ObjectID="_1791381191" r:id="rId12566"/>
        </w:object>
      </w:r>
    </w:p>
    <w:p w14:paraId="54F41979"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 xml:space="preserve">بنابراین، هزینه‌های رفاه به تنهایی از طریق </w:t>
      </w:r>
      <w:r w:rsidRPr="002614E7">
        <w:rPr>
          <w:position w:val="-6"/>
        </w:rPr>
        <w:object w:dxaOrig="540" w:dyaOrig="260" w14:anchorId="159DAC02">
          <v:shape id="_x0000_i7249" type="#_x0000_t75" style="width:26.6pt;height:13.3pt" o:ole="">
            <v:imagedata r:id="rId12567" o:title=""/>
          </v:shape>
          <o:OLEObject Type="Embed" ProgID="Equation.DSMT4" ShapeID="_x0000_i7249" DrawAspect="Content" ObjectID="_1791381192" r:id="rId12568"/>
        </w:object>
      </w:r>
      <w:r w:rsidRPr="002614E7">
        <w:rPr>
          <w:rFonts w:hint="cs"/>
          <w:i/>
          <w:sz w:val="23"/>
          <w:szCs w:val="23"/>
          <w:rtl/>
        </w:rPr>
        <w:t xml:space="preserve"> حداقل خواهد شد و انتخاب </w:t>
      </w:r>
      <w:r w:rsidRPr="002614E7">
        <w:rPr>
          <w:i/>
          <w:sz w:val="23"/>
          <w:szCs w:val="23"/>
        </w:rPr>
        <w:t>k</w:t>
      </w:r>
      <w:r w:rsidRPr="002614E7">
        <w:rPr>
          <w:rFonts w:hint="cs"/>
          <w:i/>
          <w:sz w:val="23"/>
          <w:szCs w:val="23"/>
          <w:rtl/>
        </w:rPr>
        <w:t xml:space="preserve"> بی</w:t>
      </w:r>
      <w:r w:rsidRPr="002614E7">
        <w:rPr>
          <w:rFonts w:hint="cs"/>
          <w:i/>
          <w:sz w:val="23"/>
          <w:szCs w:val="23"/>
          <w:rtl/>
        </w:rPr>
        <w:softHyphen/>
        <w:t xml:space="preserve">اهمیت است. با این حال بانک مرکزی با انتخاب سیاست پولی صلاحدیدی ممکن است هدف‌‌گذاری اکید تورم را انتخاب کند. هر چند با داشتن </w:t>
      </w:r>
      <w:r w:rsidRPr="002614E7">
        <w:rPr>
          <w:position w:val="-6"/>
        </w:rPr>
        <w:object w:dxaOrig="540" w:dyaOrig="260" w14:anchorId="5CDC7A67">
          <v:shape id="_x0000_i7250" type="#_x0000_t75" style="width:26.6pt;height:13.3pt" o:ole="">
            <v:imagedata r:id="rId12569" o:title=""/>
          </v:shape>
          <o:OLEObject Type="Embed" ProgID="Equation.DSMT4" ShapeID="_x0000_i7250" DrawAspect="Content" ObjectID="_1791381193" r:id="rId12570"/>
        </w:object>
      </w:r>
      <w:r w:rsidRPr="002614E7">
        <w:rPr>
          <w:rFonts w:hint="cs"/>
          <w:i/>
          <w:sz w:val="23"/>
          <w:szCs w:val="23"/>
          <w:rtl/>
        </w:rPr>
        <w:t xml:space="preserve"> مزیتی وجود ندارد. انتخاب تابع هدف ‌این نتیجه را تحت تأثیر قرار نخواهد داد.</w:t>
      </w:r>
    </w:p>
    <w:p w14:paraId="3382288D" w14:textId="77777777" w:rsidR="00556C10" w:rsidRPr="002614E7" w:rsidRDefault="00556C10" w:rsidP="00556C10">
      <w:pPr>
        <w:tabs>
          <w:tab w:val="right" w:pos="1287"/>
        </w:tabs>
        <w:spacing w:line="216" w:lineRule="auto"/>
        <w:rPr>
          <w:i/>
          <w:sz w:val="23"/>
          <w:szCs w:val="23"/>
        </w:rPr>
      </w:pPr>
    </w:p>
    <w:p w14:paraId="235A6AC9" w14:textId="77777777" w:rsidR="00556C10" w:rsidRPr="002614E7" w:rsidRDefault="00556C10" w:rsidP="00556C10">
      <w:pPr>
        <w:pStyle w:val="Heading1"/>
        <w:spacing w:before="0" w:line="216" w:lineRule="auto"/>
        <w:rPr>
          <w:rFonts w:ascii="Times New Roman" w:hAnsi="Times New Roman" w:cs="B Nazanin"/>
          <w:b w:val="0"/>
          <w:i/>
          <w:sz w:val="23"/>
          <w:szCs w:val="23"/>
          <w:rtl/>
        </w:rPr>
      </w:pPr>
      <w:r w:rsidRPr="002614E7">
        <w:rPr>
          <w:rFonts w:ascii="Times New Roman" w:hAnsi="Times New Roman" w:cs="B Nazanin" w:hint="cs"/>
          <w:b w:val="0"/>
          <w:i/>
          <w:sz w:val="23"/>
          <w:szCs w:val="23"/>
          <w:rtl/>
        </w:rPr>
        <w:t>۱۴. ۵. ۳ سیاست تورم بهینه تحت شرایط تعهد به یک قاعده</w:t>
      </w:r>
    </w:p>
    <w:p w14:paraId="5EBF7862"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به جای آن که اجازه دهیم مقام و مرجع پولی اختیار و آزادی عمل کامل در انتخاب</w:t>
      </w:r>
      <w:r w:rsidRPr="002614E7">
        <w:rPr>
          <w:position w:val="-6"/>
        </w:rPr>
        <w:object w:dxaOrig="180" w:dyaOrig="200" w14:anchorId="1150ABAB">
          <v:shape id="_x0000_i7251" type="#_x0000_t75" style="width:9.1pt;height:10.3pt" o:ole="">
            <v:imagedata r:id="rId12571" o:title=""/>
          </v:shape>
          <o:OLEObject Type="Embed" ProgID="Equation.DSMT4" ShapeID="_x0000_i7251" DrawAspect="Content" ObjectID="_1791381194" r:id="rId12572"/>
        </w:object>
      </w:r>
      <w:r w:rsidRPr="002614E7">
        <w:rPr>
          <w:rFonts w:hint="cs"/>
          <w:i/>
          <w:sz w:val="23"/>
          <w:szCs w:val="23"/>
          <w:rtl/>
        </w:rPr>
        <w:t xml:space="preserve"> داشته باشد، اکنون حالتی را بررسی می‌کنیم که بانک مرکزی خود را متعهد به اجرای قاعده زیر ‌کند</w:t>
      </w:r>
    </w:p>
    <w:p w14:paraId="727A3FDC"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6"/>
        </w:rPr>
        <w:object w:dxaOrig="1040" w:dyaOrig="300" w14:anchorId="5ED68853">
          <v:shape id="_x0000_i7252" type="#_x0000_t75" style="width:52.05pt;height:14.5pt" o:ole="">
            <v:imagedata r:id="rId12573" o:title=""/>
          </v:shape>
          <o:OLEObject Type="Embed" ProgID="Equation.DSMT4" ShapeID="_x0000_i7252" DrawAspect="Content" ObjectID="_1791381195" r:id="rId12574"/>
        </w:object>
      </w:r>
    </w:p>
    <w:p w14:paraId="56F0C937"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و این قاعده برای عموم، معلوم و آشکار است. چنانچه</w:t>
      </w:r>
      <w:r w:rsidRPr="002614E7">
        <w:rPr>
          <w:position w:val="-6"/>
        </w:rPr>
        <w:object w:dxaOrig="180" w:dyaOrig="200" w14:anchorId="6738C3BF">
          <v:shape id="_x0000_i7253" type="#_x0000_t75" style="width:9.1pt;height:10.3pt" o:ole="">
            <v:imagedata r:id="rId12575" o:title=""/>
          </v:shape>
          <o:OLEObject Type="Embed" ProgID="Equation.DSMT4" ShapeID="_x0000_i7253" DrawAspect="Content" ObjectID="_1791381196" r:id="rId12576"/>
        </w:object>
      </w:r>
      <w:r w:rsidRPr="002614E7">
        <w:rPr>
          <w:rFonts w:hint="cs"/>
          <w:i/>
          <w:sz w:val="23"/>
          <w:szCs w:val="23"/>
          <w:rtl/>
        </w:rPr>
        <w:t xml:space="preserve"> از طریق یک قاعده انتخاب شود، بانک مرکزی محتاج ارجاع آن به تابع هدف‌خود نیست. بنابراین</w:t>
      </w:r>
    </w:p>
    <w:p w14:paraId="6E642B34"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6"/>
        </w:rPr>
        <w:object w:dxaOrig="1600" w:dyaOrig="300" w14:anchorId="07BA704C">
          <v:shape id="_x0000_i7254" type="#_x0000_t75" style="width:79.85pt;height:14.5pt" o:ole="">
            <v:imagedata r:id="rId12577" o:title=""/>
          </v:shape>
          <o:OLEObject Type="Embed" ProgID="Equation.DSMT4" ShapeID="_x0000_i7254" DrawAspect="Content" ObjectID="_1791381197" r:id="rId12578"/>
        </w:object>
      </w:r>
    </w:p>
    <w:p w14:paraId="13DA5D22"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8"/>
        </w:rPr>
        <w:object w:dxaOrig="1320" w:dyaOrig="320" w14:anchorId="1672DB65">
          <v:shape id="_x0000_i7255" type="#_x0000_t75" style="width:65.95pt;height:15.75pt" o:ole="">
            <v:imagedata r:id="rId12579" o:title=""/>
          </v:shape>
          <o:OLEObject Type="Embed" ProgID="Equation.DSMT4" ShapeID="_x0000_i7255" DrawAspect="Content" ObjectID="_1791381198" r:id="rId12580"/>
        </w:object>
      </w:r>
    </w:p>
    <w:p w14:paraId="3B33A2EA"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6"/>
        </w:rPr>
        <w:object w:dxaOrig="3260" w:dyaOrig="420" w14:anchorId="4F57659E">
          <v:shape id="_x0000_i7256" type="#_x0000_t75" style="width:162.75pt;height:21.2pt" o:ole="">
            <v:imagedata r:id="rId12581" o:title=""/>
          </v:shape>
          <o:OLEObject Type="Embed" ProgID="Equation.DSMT4" ShapeID="_x0000_i7256" DrawAspect="Content" ObjectID="_1791381199" r:id="rId12582"/>
        </w:object>
      </w:r>
    </w:p>
    <w:p w14:paraId="46FDC260"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0"/>
        </w:rPr>
        <w:object w:dxaOrig="760" w:dyaOrig="320" w14:anchorId="66E23384">
          <v:shape id="_x0000_i7257" type="#_x0000_t75" style="width:38.1pt;height:15.75pt" o:ole="">
            <v:imagedata r:id="rId12583" o:title=""/>
          </v:shape>
          <o:OLEObject Type="Embed" ProgID="Equation.DSMT4" ShapeID="_x0000_i7257" DrawAspect="Content" ObjectID="_1791381200" r:id="rId12584"/>
        </w:object>
      </w:r>
    </w:p>
    <w:p w14:paraId="1016AEC6"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و لذا تورش تورم وجود نخواهد داشت و تولید انتظاری همانند سیاست صلاحدیدی می‌باشد.</w:t>
      </w:r>
    </w:p>
    <w:p w14:paraId="513BA9DC"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lastRenderedPageBreak/>
        <w:t>پیامد رفاهی این تعهد از طریق مدل بارو- گوردون و تابع زیان درجه دوم یعنی روابط (۱۴. ۷۳) و (۱۴. ۷۵) به دست خواهد آمد. سپس می‌توان این نتایج را با مدل تحت شرایط سیاست صلاحدیدی مقایسه کرد.</w:t>
      </w:r>
    </w:p>
    <w:p w14:paraId="78F04525" w14:textId="77777777" w:rsidR="00556C10" w:rsidRPr="002614E7" w:rsidRDefault="00556C10" w:rsidP="00556C10">
      <w:pPr>
        <w:tabs>
          <w:tab w:val="right" w:pos="1287"/>
        </w:tabs>
        <w:spacing w:line="216" w:lineRule="auto"/>
        <w:rPr>
          <w:bCs/>
          <w:i/>
          <w:sz w:val="23"/>
          <w:szCs w:val="23"/>
        </w:rPr>
      </w:pPr>
    </w:p>
    <w:p w14:paraId="34998FAF" w14:textId="77777777" w:rsidR="00556C10" w:rsidRPr="002614E7" w:rsidRDefault="00556C10" w:rsidP="00556C10">
      <w:pPr>
        <w:tabs>
          <w:tab w:val="right" w:pos="1287"/>
        </w:tabs>
        <w:spacing w:line="216" w:lineRule="auto"/>
        <w:rPr>
          <w:bCs/>
          <w:i/>
          <w:sz w:val="23"/>
          <w:szCs w:val="23"/>
          <w:rtl/>
        </w:rPr>
      </w:pPr>
      <w:r w:rsidRPr="002614E7">
        <w:rPr>
          <w:rFonts w:hint="cs"/>
          <w:bCs/>
          <w:i/>
          <w:sz w:val="23"/>
          <w:szCs w:val="23"/>
          <w:rtl/>
        </w:rPr>
        <w:t>مدل بارو- گوردون</w:t>
      </w:r>
    </w:p>
    <w:p w14:paraId="0229EE24"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اکنون مقدار</w:t>
      </w:r>
      <w:r w:rsidRPr="002614E7">
        <w:rPr>
          <w:position w:val="-6"/>
        </w:rPr>
        <w:object w:dxaOrig="240" w:dyaOrig="260" w14:anchorId="0EDF35FC">
          <v:shape id="_x0000_i7258" type="#_x0000_t75" style="width:11.5pt;height:13.3pt" o:ole="">
            <v:imagedata r:id="rId12585" o:title=""/>
          </v:shape>
          <o:OLEObject Type="Embed" ProgID="Equation.DSMT4" ShapeID="_x0000_i7258" DrawAspect="Content" ObjectID="_1791381201" r:id="rId12586"/>
        </w:object>
      </w:r>
      <w:r w:rsidRPr="002614E7">
        <w:rPr>
          <w:rFonts w:hint="cs"/>
          <w:i/>
          <w:sz w:val="23"/>
          <w:szCs w:val="23"/>
          <w:rtl/>
        </w:rPr>
        <w:t xml:space="preserve"> را در شرایط تعهد با</w:t>
      </w:r>
      <w:r w:rsidRPr="002614E7">
        <w:rPr>
          <w:position w:val="-6"/>
        </w:rPr>
        <w:object w:dxaOrig="340" w:dyaOrig="300" w14:anchorId="2426AEA9">
          <v:shape id="_x0000_i7259" type="#_x0000_t75" style="width:16.95pt;height:14.5pt" o:ole="">
            <v:imagedata r:id="rId12587" o:title=""/>
          </v:shape>
          <o:OLEObject Type="Embed" ProgID="Equation.DSMT4" ShapeID="_x0000_i7259" DrawAspect="Content" ObjectID="_1791381202" r:id="rId12588"/>
        </w:object>
      </w:r>
      <w:r w:rsidRPr="002614E7">
        <w:rPr>
          <w:rFonts w:eastAsiaTheme="minorEastAsia" w:hint="cs"/>
          <w:i/>
          <w:sz w:val="23"/>
          <w:szCs w:val="23"/>
          <w:rtl/>
        </w:rPr>
        <w:t xml:space="preserve"> </w:t>
      </w:r>
      <w:r w:rsidRPr="002614E7">
        <w:rPr>
          <w:rFonts w:hint="cs"/>
          <w:i/>
          <w:sz w:val="23"/>
          <w:szCs w:val="23"/>
          <w:rtl/>
        </w:rPr>
        <w:t>نشان می‌دهیم. از معادله</w:t>
      </w:r>
      <w:r w:rsidRPr="002614E7">
        <w:rPr>
          <w:rFonts w:hint="cs"/>
          <w:i/>
          <w:sz w:val="23"/>
          <w:szCs w:val="23"/>
          <w:rtl/>
        </w:rPr>
        <w:softHyphen/>
        <w:t>ی (۱۴. ۷۳) داریم</w:t>
      </w:r>
    </w:p>
    <w:p w14:paraId="1DA18C15"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2"/>
        </w:rPr>
        <w:object w:dxaOrig="2060" w:dyaOrig="560" w14:anchorId="7B074004">
          <v:shape id="_x0000_i7260" type="#_x0000_t75" style="width:102.85pt;height:27.85pt" o:ole="">
            <v:imagedata r:id="rId12589" o:title=""/>
          </v:shape>
          <o:OLEObject Type="Embed" ProgID="Equation.DSMT4" ShapeID="_x0000_i7260" DrawAspect="Content" ObjectID="_1791381203" r:id="rId12590"/>
        </w:object>
      </w:r>
    </w:p>
    <w:p w14:paraId="5987D387"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22"/>
        </w:rPr>
        <w:object w:dxaOrig="1520" w:dyaOrig="560" w14:anchorId="602FC340">
          <v:shape id="_x0000_i7261" type="#_x0000_t75" style="width:75.65pt;height:27.85pt" o:ole="">
            <v:imagedata r:id="rId12591" o:title=""/>
          </v:shape>
          <o:OLEObject Type="Embed" ProgID="Equation.DSMT4" ShapeID="_x0000_i7261" DrawAspect="Content" ObjectID="_1791381204" r:id="rId12592"/>
        </w:object>
      </w:r>
    </w:p>
    <w:p w14:paraId="4ACAC0FA"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درحالی</w:t>
      </w:r>
      <w:r w:rsidRPr="002614E7">
        <w:rPr>
          <w:i/>
          <w:sz w:val="23"/>
          <w:szCs w:val="23"/>
        </w:rPr>
        <w:softHyphen/>
      </w:r>
      <w:r w:rsidRPr="002614E7">
        <w:rPr>
          <w:rFonts w:hint="cs"/>
          <w:i/>
          <w:sz w:val="23"/>
          <w:szCs w:val="23"/>
          <w:rtl/>
        </w:rPr>
        <w:t>که رفاه انتظاری در شرایط صلاحدیدی برابر است با</w:t>
      </w:r>
    </w:p>
    <w:p w14:paraId="5F5A15FA"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22"/>
        </w:rPr>
        <w:object w:dxaOrig="3220" w:dyaOrig="560" w14:anchorId="23625A60">
          <v:shape id="_x0000_i7262" type="#_x0000_t75" style="width:160.95pt;height:27.85pt" o:ole="">
            <v:imagedata r:id="rId12593" o:title=""/>
          </v:shape>
          <o:OLEObject Type="Embed" ProgID="Equation.DSMT4" ShapeID="_x0000_i7262" DrawAspect="Content" ObjectID="_1791381205" r:id="rId12594"/>
        </w:object>
      </w:r>
    </w:p>
    <w:p w14:paraId="1E0A0BE3"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بنابراین رفاه انتظاری تحت شرایط تعهد بیشتر از رفاه انتظاری تحت شرایط صلاحدیدی است و لذا به نظر می‌رسد سیاست بانک مرکزی مبتنی بر صلاحدید برای جامعه هزینه</w:t>
      </w:r>
      <w:r w:rsidRPr="002614E7">
        <w:rPr>
          <w:i/>
          <w:sz w:val="23"/>
          <w:szCs w:val="23"/>
        </w:rPr>
        <w:softHyphen/>
      </w:r>
      <w:r w:rsidRPr="002614E7">
        <w:rPr>
          <w:rFonts w:hint="cs"/>
          <w:i/>
          <w:sz w:val="23"/>
          <w:szCs w:val="23"/>
          <w:rtl/>
        </w:rPr>
        <w:t>بر است.</w:t>
      </w:r>
    </w:p>
    <w:p w14:paraId="0276C4CE" w14:textId="77777777" w:rsidR="00556C10" w:rsidRPr="002614E7" w:rsidRDefault="00556C10" w:rsidP="00556C10">
      <w:pPr>
        <w:tabs>
          <w:tab w:val="right" w:pos="1287"/>
        </w:tabs>
        <w:spacing w:line="216" w:lineRule="auto"/>
        <w:jc w:val="right"/>
        <w:rPr>
          <w:i/>
          <w:sz w:val="23"/>
          <w:szCs w:val="23"/>
        </w:rPr>
      </w:pPr>
    </w:p>
    <w:p w14:paraId="2168D54D" w14:textId="77777777" w:rsidR="00556C10" w:rsidRPr="002614E7" w:rsidRDefault="00556C10" w:rsidP="00556C10">
      <w:pPr>
        <w:tabs>
          <w:tab w:val="right" w:pos="1287"/>
        </w:tabs>
        <w:spacing w:line="216" w:lineRule="auto"/>
        <w:rPr>
          <w:bCs/>
          <w:i/>
          <w:sz w:val="23"/>
          <w:szCs w:val="23"/>
          <w:rtl/>
        </w:rPr>
      </w:pPr>
      <w:r w:rsidRPr="002614E7">
        <w:rPr>
          <w:rFonts w:hint="cs"/>
          <w:bCs/>
          <w:i/>
          <w:sz w:val="23"/>
          <w:szCs w:val="23"/>
          <w:rtl/>
        </w:rPr>
        <w:t>زیان درجه دوم</w:t>
      </w:r>
    </w:p>
    <w:p w14:paraId="4DCBA2DF"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به طور مشابه از معادله‌ی (۱۴. ۷۵) زیان‌های واقعی و انتظاری تحت شرایط تعهد برابر است با</w:t>
      </w:r>
    </w:p>
    <w:p w14:paraId="183422D3"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2"/>
        </w:rPr>
        <w:object w:dxaOrig="2760" w:dyaOrig="560" w14:anchorId="0F31CC7A">
          <v:shape id="_x0000_i7263" type="#_x0000_t75" style="width:137.95pt;height:27.85pt" o:ole="">
            <v:imagedata r:id="rId12595" o:title=""/>
          </v:shape>
          <o:OLEObject Type="Embed" ProgID="Equation.DSMT4" ShapeID="_x0000_i7263" DrawAspect="Content" ObjectID="_1791381206" r:id="rId12596"/>
        </w:object>
      </w:r>
    </w:p>
    <w:p w14:paraId="2328BC04"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22"/>
        </w:rPr>
        <w:object w:dxaOrig="3540" w:dyaOrig="560" w14:anchorId="047E0F42">
          <v:shape id="_x0000_i7264" type="#_x0000_t75" style="width:177.3pt;height:27.85pt" o:ole="">
            <v:imagedata r:id="rId12597" o:title=""/>
          </v:shape>
          <o:OLEObject Type="Embed" ProgID="Equation.DSMT4" ShapeID="_x0000_i7264" DrawAspect="Content" ObjectID="_1791381207" r:id="rId12598"/>
        </w:object>
      </w:r>
    </w:p>
    <w:p w14:paraId="6CC1A43E"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زیان انتظاری بانک مرکزی تحت شرایط صلاحدیدی برابر است با</w:t>
      </w:r>
    </w:p>
    <w:p w14:paraId="5BC6C09A"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8"/>
        </w:rPr>
        <w:object w:dxaOrig="3300" w:dyaOrig="660" w14:anchorId="731C0D86">
          <v:shape id="_x0000_i7265" type="#_x0000_t75" style="width:165.2pt;height:32.65pt" o:ole="">
            <v:imagedata r:id="rId12599" o:title=""/>
          </v:shape>
          <o:OLEObject Type="Embed" ProgID="Equation.DSMT4" ShapeID="_x0000_i7265" DrawAspect="Content" ObjectID="_1791381208" r:id="rId12600"/>
        </w:object>
      </w:r>
    </w:p>
    <w:p w14:paraId="72D7CB4E"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و اگر </w:t>
      </w:r>
      <w:r w:rsidRPr="002614E7">
        <w:rPr>
          <w:position w:val="-26"/>
        </w:rPr>
        <w:object w:dxaOrig="1520" w:dyaOrig="620" w14:anchorId="163FB083">
          <v:shape id="_x0000_i7266" type="#_x0000_t75" style="width:75.65pt;height:30.85pt" o:ole="">
            <v:imagedata r:id="rId12601" o:title=""/>
          </v:shape>
          <o:OLEObject Type="Embed" ProgID="Equation.DSMT4" ShapeID="_x0000_i7266" DrawAspect="Content" ObjectID="_1791381209" r:id="rId12602"/>
        </w:object>
      </w:r>
      <w:r w:rsidRPr="002614E7">
        <w:rPr>
          <w:rFonts w:hint="cs"/>
          <w:i/>
          <w:sz w:val="23"/>
          <w:szCs w:val="23"/>
          <w:rtl/>
        </w:rPr>
        <w:t xml:space="preserve"> باشد آنگاه</w:t>
      </w:r>
    </w:p>
    <w:p w14:paraId="5B9F56BC" w14:textId="77777777" w:rsidR="00556C10" w:rsidRPr="002614E7" w:rsidRDefault="00556C10" w:rsidP="00556C10">
      <w:pPr>
        <w:tabs>
          <w:tab w:val="right" w:pos="1287"/>
        </w:tabs>
        <w:bidi w:val="0"/>
        <w:spacing w:line="216" w:lineRule="auto"/>
        <w:rPr>
          <w:i/>
          <w:sz w:val="23"/>
          <w:szCs w:val="23"/>
        </w:rPr>
      </w:pPr>
      <w:r w:rsidRPr="002614E7">
        <w:rPr>
          <w:position w:val="-16"/>
        </w:rPr>
        <w:object w:dxaOrig="1579" w:dyaOrig="420" w14:anchorId="24635B8C">
          <v:shape id="_x0000_i7267" type="#_x0000_t75" style="width:78.65pt;height:21.2pt" o:ole="">
            <v:imagedata r:id="rId12603" o:title=""/>
          </v:shape>
          <o:OLEObject Type="Embed" ProgID="Equation.DSMT4" ShapeID="_x0000_i7267" DrawAspect="Content" ObjectID="_1791381210" r:id="rId12604"/>
        </w:object>
      </w:r>
    </w:p>
    <w:p w14:paraId="0ACF5D9D"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به عبارتی دیگر سیاست تحت شرایط تعهد زیان انتظاری کمتری را نسبت به سیاست تحت شرایط صلاحدیدی ایجاد خواهد کرد. چنانچه </w:t>
      </w:r>
      <w:r w:rsidRPr="002614E7">
        <w:rPr>
          <w:position w:val="-6"/>
        </w:rPr>
        <w:object w:dxaOrig="540" w:dyaOrig="260" w14:anchorId="12BBC80E">
          <v:shape id="_x0000_i7268" type="#_x0000_t75" style="width:26.6pt;height:13.3pt" o:ole="">
            <v:imagedata r:id="rId12605" o:title=""/>
          </v:shape>
          <o:OLEObject Type="Embed" ProgID="Equation.DSMT4" ShapeID="_x0000_i7268" DrawAspect="Content" ObjectID="_1791381211" r:id="rId12606"/>
        </w:object>
      </w:r>
      <w:r w:rsidRPr="002614E7">
        <w:rPr>
          <w:rFonts w:hint="cs"/>
          <w:i/>
          <w:sz w:val="23"/>
          <w:szCs w:val="23"/>
          <w:rtl/>
        </w:rPr>
        <w:t xml:space="preserve"> باشد این هزینه تحت شرایط صلاحدیدی حداقل خواهد بود به علاوه</w:t>
      </w:r>
      <w:r w:rsidRPr="002614E7">
        <w:rPr>
          <w:position w:val="-16"/>
        </w:rPr>
        <w:object w:dxaOrig="1579" w:dyaOrig="420" w14:anchorId="48F66B6C">
          <v:shape id="_x0000_i7269" type="#_x0000_t75" style="width:78.65pt;height:21.2pt" o:ole="">
            <v:imagedata r:id="rId12607" o:title=""/>
          </v:shape>
          <o:OLEObject Type="Embed" ProgID="Equation.DSMT4" ShapeID="_x0000_i7269" DrawAspect="Content" ObjectID="_1791381212" r:id="rId12608"/>
        </w:object>
      </w:r>
      <w:r w:rsidRPr="002614E7">
        <w:rPr>
          <w:i/>
          <w:sz w:val="23"/>
          <w:szCs w:val="23"/>
        </w:rPr>
        <w:t>.</w:t>
      </w:r>
    </w:p>
    <w:p w14:paraId="5047186A"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در نتیجه عموم مردم، سیاست مبتنی بر تعهد را بر سیاست صلاحدیدی که در آن بانک مرکزی هدف</w:t>
      </w:r>
      <w:r w:rsidRPr="002614E7">
        <w:rPr>
          <w:rFonts w:hint="cs"/>
          <w:i/>
          <w:sz w:val="23"/>
          <w:szCs w:val="23"/>
          <w:rtl/>
        </w:rPr>
        <w:softHyphen/>
        <w:t>‌گذاری‌ تورم را دنبال می‌کند ترجیح می‌دهند، هرچند این سیاست برای بانک مرکزی مرجح نیست، و وسوسه و انگیزه</w:t>
      </w:r>
      <w:r w:rsidRPr="002614E7">
        <w:rPr>
          <w:rFonts w:hint="cs"/>
          <w:i/>
          <w:sz w:val="23"/>
          <w:szCs w:val="23"/>
          <w:rtl/>
        </w:rPr>
        <w:softHyphen/>
        <w:t xml:space="preserve">ی بانک مرکزی، رهاسازی سیاست مبتنی بر قاعده و به کارگیری سیاست </w:t>
      </w:r>
      <w:r w:rsidRPr="002614E7">
        <w:rPr>
          <w:rFonts w:hint="cs"/>
          <w:i/>
          <w:sz w:val="23"/>
          <w:szCs w:val="23"/>
          <w:rtl/>
        </w:rPr>
        <w:lastRenderedPageBreak/>
        <w:t>صلاحدیدی است. اگر عموم مردم بدانند که قاعده چیست، آنگاه این قاعده حذف شده و باتوجه به عهدشکنی تعهدات بانک مرکزی، عموم مردم دیگر اعتمادی به قول‌های آتی بانک مرکزی جهت تعهد به بکارگیری یک قاعده را نخواهند داشت. به عبارتی دیگر، بانک مرکزی محبوبیت از دست رفته خود را به سهولت به دست نخواهد آورد. این موضوع را بعداً به وسیله بهینه‌یابی بین‌دوره</w:t>
      </w:r>
      <w:r w:rsidRPr="002614E7">
        <w:rPr>
          <w:rFonts w:hint="cs"/>
          <w:i/>
          <w:sz w:val="23"/>
          <w:szCs w:val="23"/>
          <w:rtl/>
        </w:rPr>
        <w:softHyphen/>
        <w:t>ای مورد بررسی قرار خواهیم داد.</w:t>
      </w:r>
    </w:p>
    <w:p w14:paraId="5280862E"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البته، در عمل، این موضوع به دلیل احتمال بی</w:t>
      </w:r>
      <w:r w:rsidRPr="002614E7">
        <w:rPr>
          <w:rFonts w:hint="cs"/>
          <w:i/>
          <w:sz w:val="23"/>
          <w:szCs w:val="23"/>
          <w:rtl/>
        </w:rPr>
        <w:softHyphen/>
        <w:t>اطلاعی و بی</w:t>
      </w:r>
      <w:r w:rsidRPr="002614E7">
        <w:rPr>
          <w:rFonts w:hint="cs"/>
          <w:i/>
          <w:sz w:val="23"/>
          <w:szCs w:val="23"/>
          <w:rtl/>
        </w:rPr>
        <w:softHyphen/>
        <w:t>خبری عموم از اصلاح ساختار اقتصادی، و حتی با دانش اصلاح ساختار اقتصادی به دلیل اثر شوک‌های غیرمنتظره برنامه</w:t>
      </w:r>
      <w:r w:rsidRPr="002614E7">
        <w:rPr>
          <w:rFonts w:hint="cs"/>
          <w:i/>
          <w:sz w:val="23"/>
          <w:szCs w:val="23"/>
          <w:rtl/>
        </w:rPr>
        <w:softHyphen/>
        <w:t>ریزی شده چندان روشن و واضح نیست.</w:t>
      </w:r>
    </w:p>
    <w:p w14:paraId="27A86D3A" w14:textId="77777777" w:rsidR="00556C10" w:rsidRPr="002614E7" w:rsidRDefault="00556C10" w:rsidP="00556C10">
      <w:pPr>
        <w:tabs>
          <w:tab w:val="right" w:pos="1287"/>
        </w:tabs>
        <w:spacing w:line="216" w:lineRule="auto"/>
        <w:rPr>
          <w:i/>
          <w:sz w:val="23"/>
          <w:szCs w:val="23"/>
        </w:rPr>
      </w:pPr>
    </w:p>
    <w:p w14:paraId="03730DBC" w14:textId="77777777" w:rsidR="00556C10" w:rsidRPr="002614E7" w:rsidRDefault="00556C10" w:rsidP="00556C10">
      <w:pPr>
        <w:pStyle w:val="Heading1"/>
        <w:spacing w:before="0" w:line="216" w:lineRule="auto"/>
        <w:rPr>
          <w:rFonts w:ascii="Times New Roman" w:hAnsi="Times New Roman" w:cs="B Nazanin"/>
          <w:b w:val="0"/>
          <w:i/>
          <w:sz w:val="23"/>
          <w:szCs w:val="23"/>
          <w:rtl/>
        </w:rPr>
      </w:pPr>
      <w:r w:rsidRPr="002614E7">
        <w:rPr>
          <w:rFonts w:ascii="Times New Roman" w:hAnsi="Times New Roman" w:cs="B Nazanin" w:hint="cs"/>
          <w:b w:val="0"/>
          <w:i/>
          <w:sz w:val="23"/>
          <w:szCs w:val="23"/>
          <w:rtl/>
        </w:rPr>
        <w:t>۱۴. ۵. ۴ بهینه‌یابی بین‌دوره</w:t>
      </w:r>
      <w:r w:rsidRPr="002614E7">
        <w:rPr>
          <w:rFonts w:ascii="Times New Roman" w:hAnsi="Times New Roman" w:cs="B Nazanin" w:hint="cs"/>
          <w:b w:val="0"/>
          <w:i/>
          <w:sz w:val="23"/>
          <w:szCs w:val="23"/>
          <w:rtl/>
        </w:rPr>
        <w:softHyphen/>
        <w:t xml:space="preserve">ای و هدف‌‌گذاری تورم زمان- سازگار </w:t>
      </w:r>
    </w:p>
    <w:p w14:paraId="6FE29998"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همان</w:t>
      </w:r>
      <w:r w:rsidRPr="002614E7">
        <w:rPr>
          <w:i/>
          <w:sz w:val="23"/>
          <w:szCs w:val="23"/>
        </w:rPr>
        <w:softHyphen/>
      </w:r>
      <w:r w:rsidRPr="002614E7">
        <w:rPr>
          <w:rFonts w:hint="cs"/>
          <w:i/>
          <w:sz w:val="23"/>
          <w:szCs w:val="23"/>
          <w:rtl/>
        </w:rPr>
        <w:t>گونه که در فصل ششم اشاره شد، وضعیتی که در آن سیاست</w:t>
      </w:r>
      <w:r w:rsidRPr="002614E7">
        <w:rPr>
          <w:i/>
          <w:sz w:val="23"/>
          <w:szCs w:val="23"/>
        </w:rPr>
        <w:softHyphen/>
      </w:r>
      <w:r w:rsidRPr="002614E7">
        <w:rPr>
          <w:rFonts w:hint="cs"/>
          <w:i/>
          <w:sz w:val="23"/>
          <w:szCs w:val="23"/>
          <w:rtl/>
        </w:rPr>
        <w:t>گذار اعمال سیاستی را برای زمانی مشخص اعلام و در زمان سررسید آن، سیاست دیگری را اعمال کند، آن</w:t>
      </w:r>
      <w:r w:rsidRPr="002614E7">
        <w:rPr>
          <w:rFonts w:hint="cs"/>
          <w:i/>
          <w:sz w:val="23"/>
          <w:szCs w:val="23"/>
          <w:rtl/>
        </w:rPr>
        <w:softHyphen/>
        <w:t>را سیاست زمان ناسازگار نامند. اکنون تجزیه و تحلیل تفصیلی</w:t>
      </w:r>
      <w:r w:rsidRPr="002614E7">
        <w:rPr>
          <w:rFonts w:hint="cs"/>
          <w:i/>
          <w:sz w:val="23"/>
          <w:szCs w:val="23"/>
          <w:rtl/>
        </w:rPr>
        <w:softHyphen/>
        <w:t>تر این مسئله را در هدف‌‌گذاری تورم و در مدل بارو- گوردون تحت شرایط صلاحدید و تعهد مورد بررسی قرار می‌دهیم.</w:t>
      </w:r>
    </w:p>
    <w:p w14:paraId="632B542D"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فرض کنید قبل از زمان</w:t>
      </w:r>
      <w:r w:rsidRPr="002614E7">
        <w:rPr>
          <w:position w:val="-6"/>
        </w:rPr>
        <w:object w:dxaOrig="139" w:dyaOrig="240" w14:anchorId="3083D9C3">
          <v:shape id="_x0000_i7270" type="#_x0000_t75" style="width:6.65pt;height:11.5pt" o:ole="">
            <v:imagedata r:id="rId12609" o:title=""/>
          </v:shape>
          <o:OLEObject Type="Embed" ProgID="Equation.DSMT4" ShapeID="_x0000_i7270" DrawAspect="Content" ObjectID="_1791381213" r:id="rId12610"/>
        </w:object>
      </w:r>
      <w:r w:rsidRPr="002614E7">
        <w:rPr>
          <w:rFonts w:hint="cs"/>
          <w:i/>
          <w:sz w:val="23"/>
          <w:szCs w:val="23"/>
          <w:rtl/>
        </w:rPr>
        <w:t xml:space="preserve"> بانک مرکزی متعهد به بکارگیری قاعده و ضابطه</w:t>
      </w:r>
      <w:r w:rsidRPr="002614E7">
        <w:rPr>
          <w:rFonts w:hint="cs"/>
          <w:i/>
          <w:sz w:val="23"/>
          <w:szCs w:val="23"/>
          <w:rtl/>
        </w:rPr>
        <w:softHyphen/>
        <w:t xml:space="preserve">ای خاص ‌باشد و </w:t>
      </w:r>
      <w:r w:rsidRPr="002614E7">
        <w:rPr>
          <w:position w:val="-6"/>
        </w:rPr>
        <w:object w:dxaOrig="180" w:dyaOrig="200" w14:anchorId="4D45EB46">
          <v:shape id="_x0000_i7271" type="#_x0000_t75" style="width:9.1pt;height:10.3pt" o:ole="">
            <v:imagedata r:id="rId12611" o:title=""/>
          </v:shape>
          <o:OLEObject Type="Embed" ProgID="Equation.DSMT4" ShapeID="_x0000_i7271" DrawAspect="Content" ObjectID="_1791381214" r:id="rId12612"/>
        </w:object>
      </w:r>
      <w:r w:rsidRPr="002614E7">
        <w:rPr>
          <w:rFonts w:hint="cs"/>
          <w:i/>
          <w:sz w:val="23"/>
          <w:szCs w:val="23"/>
          <w:rtl/>
        </w:rPr>
        <w:t xml:space="preserve"> را برابر</w:t>
      </w:r>
      <w:r w:rsidRPr="002614E7">
        <w:rPr>
          <w:position w:val="-6"/>
        </w:rPr>
        <w:object w:dxaOrig="360" w:dyaOrig="300" w14:anchorId="0E5FC9AE">
          <v:shape id="_x0000_i7272" type="#_x0000_t75" style="width:18.15pt;height:14.5pt" o:ole="">
            <v:imagedata r:id="rId12613" o:title=""/>
          </v:shape>
          <o:OLEObject Type="Embed" ProgID="Equation.DSMT4" ShapeID="_x0000_i7272" DrawAspect="Content" ObjectID="_1791381215" r:id="rId12614"/>
        </w:object>
      </w:r>
      <w:r w:rsidRPr="002614E7">
        <w:rPr>
          <w:rFonts w:hint="cs"/>
          <w:i/>
          <w:sz w:val="23"/>
          <w:szCs w:val="23"/>
          <w:rtl/>
        </w:rPr>
        <w:t xml:space="preserve">قرار دهد، در نتیجه انتظارات مردم از تورم برابر است با </w:t>
      </w:r>
      <w:r w:rsidRPr="002614E7">
        <w:rPr>
          <w:position w:val="-6"/>
        </w:rPr>
        <w:object w:dxaOrig="720" w:dyaOrig="300" w14:anchorId="0BC8C53F">
          <v:shape id="_x0000_i7273" type="#_x0000_t75" style="width:36.3pt;height:14.5pt" o:ole="">
            <v:imagedata r:id="rId12615" o:title=""/>
          </v:shape>
          <o:OLEObject Type="Embed" ProgID="Equation.DSMT4" ShapeID="_x0000_i7273" DrawAspect="Content" ObjectID="_1791381216" r:id="rId12616"/>
        </w:object>
      </w:r>
      <w:r w:rsidRPr="002614E7">
        <w:rPr>
          <w:rFonts w:hint="cs"/>
          <w:i/>
          <w:sz w:val="23"/>
          <w:szCs w:val="23"/>
          <w:rtl/>
        </w:rPr>
        <w:t>. ولی ممکن است بانک مرکزی در زمان</w:t>
      </w:r>
      <w:r w:rsidRPr="002614E7">
        <w:rPr>
          <w:i/>
          <w:sz w:val="23"/>
          <w:szCs w:val="23"/>
        </w:rPr>
        <w:t xml:space="preserve"> </w:t>
      </w:r>
      <w:r w:rsidRPr="002614E7">
        <w:rPr>
          <w:position w:val="-6"/>
        </w:rPr>
        <w:object w:dxaOrig="139" w:dyaOrig="240" w14:anchorId="3043BBBC">
          <v:shape id="_x0000_i7274" type="#_x0000_t75" style="width:6.65pt;height:11.5pt" o:ole="">
            <v:imagedata r:id="rId12617" o:title=""/>
          </v:shape>
          <o:OLEObject Type="Embed" ProgID="Equation.DSMT4" ShapeID="_x0000_i7274" DrawAspect="Content" ObjectID="_1791381217" r:id="rId12618"/>
        </w:object>
      </w:r>
      <w:r w:rsidRPr="002614E7">
        <w:rPr>
          <w:rFonts w:hint="cs"/>
          <w:i/>
          <w:sz w:val="23"/>
          <w:szCs w:val="23"/>
          <w:rtl/>
        </w:rPr>
        <w:t>بدون آن</w:t>
      </w:r>
      <w:r w:rsidRPr="002614E7">
        <w:rPr>
          <w:rFonts w:hint="cs"/>
          <w:i/>
          <w:sz w:val="23"/>
          <w:szCs w:val="23"/>
          <w:rtl/>
        </w:rPr>
        <w:softHyphen/>
        <w:t xml:space="preserve">که جهت تغییر سیاست خود اخطار و هشدار لازم را به مردم داده باشد، ترجیح ‌دهد سیاست صلاحدیدی را اعمال کند. به خصوص فرض کنید از زمان </w:t>
      </w:r>
      <w:r w:rsidRPr="002614E7">
        <w:rPr>
          <w:position w:val="-6"/>
        </w:rPr>
        <w:object w:dxaOrig="139" w:dyaOrig="240" w14:anchorId="3185D777">
          <v:shape id="_x0000_i7275" type="#_x0000_t75" style="width:6.65pt;height:11.5pt" o:ole="">
            <v:imagedata r:id="rId12619" o:title=""/>
          </v:shape>
          <o:OLEObject Type="Embed" ProgID="Equation.DSMT4" ShapeID="_x0000_i7275" DrawAspect="Content" ObjectID="_1791381218" r:id="rId12620"/>
        </w:object>
      </w:r>
      <w:r w:rsidRPr="002614E7">
        <w:rPr>
          <w:i/>
          <w:sz w:val="23"/>
          <w:szCs w:val="23"/>
        </w:rPr>
        <w:t xml:space="preserve"> </w:t>
      </w:r>
      <w:r w:rsidRPr="002614E7">
        <w:rPr>
          <w:rFonts w:hint="cs"/>
          <w:i/>
          <w:sz w:val="23"/>
          <w:szCs w:val="23"/>
          <w:rtl/>
        </w:rPr>
        <w:t>بانک مرکزی مقدار</w:t>
      </w:r>
      <w:r w:rsidRPr="002614E7">
        <w:rPr>
          <w:i/>
          <w:sz w:val="23"/>
          <w:szCs w:val="23"/>
        </w:rPr>
        <w:t xml:space="preserve"> </w:t>
      </w:r>
      <w:r w:rsidRPr="002614E7">
        <w:rPr>
          <w:position w:val="-6"/>
        </w:rPr>
        <w:object w:dxaOrig="180" w:dyaOrig="200" w14:anchorId="76A7C499">
          <v:shape id="_x0000_i7276" type="#_x0000_t75" style="width:9.1pt;height:10.3pt" o:ole="">
            <v:imagedata r:id="rId12621" o:title=""/>
          </v:shape>
          <o:OLEObject Type="Embed" ProgID="Equation.DSMT4" ShapeID="_x0000_i7276" DrawAspect="Content" ObjectID="_1791381219" r:id="rId12622"/>
        </w:object>
      </w:r>
      <w:r w:rsidRPr="002614E7">
        <w:rPr>
          <w:rFonts w:hint="cs"/>
          <w:i/>
          <w:sz w:val="23"/>
          <w:szCs w:val="23"/>
          <w:rtl/>
        </w:rPr>
        <w:t>را جهت حداقل کردن تابع هدف ‌بین‌دوره</w:t>
      </w:r>
      <w:r w:rsidRPr="002614E7">
        <w:rPr>
          <w:rFonts w:hint="cs"/>
          <w:i/>
          <w:sz w:val="23"/>
          <w:szCs w:val="23"/>
          <w:rtl/>
        </w:rPr>
        <w:softHyphen/>
        <w:t>ای تعیین کند. یعنی</w:t>
      </w:r>
    </w:p>
    <w:p w14:paraId="10493B36"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6"/>
        </w:rPr>
        <w:object w:dxaOrig="2680" w:dyaOrig="620" w14:anchorId="1D2E0FA7">
          <v:shape id="_x0000_i7277" type="#_x0000_t75" style="width:133.7pt;height:30.85pt" o:ole="">
            <v:imagedata r:id="rId12623" o:title=""/>
          </v:shape>
          <o:OLEObject Type="Embed" ProgID="Equation.DSMT4" ShapeID="_x0000_i7277" DrawAspect="Content" ObjectID="_1791381220" r:id="rId12624"/>
        </w:object>
      </w:r>
    </w:p>
    <w:p w14:paraId="64713991"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و</w:t>
      </w:r>
    </w:p>
    <w:p w14:paraId="66BA5D4B"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2"/>
        </w:rPr>
        <w:object w:dxaOrig="2720" w:dyaOrig="560" w14:anchorId="0B1B4D11">
          <v:shape id="_x0000_i7278" type="#_x0000_t75" style="width:136.15pt;height:27.85pt" o:ole="">
            <v:imagedata r:id="rId12625" o:title=""/>
          </v:shape>
          <o:OLEObject Type="Embed" ProgID="Equation.DSMT4" ShapeID="_x0000_i7278" DrawAspect="Content" ObjectID="_1791381221" r:id="rId12626"/>
        </w:object>
      </w:r>
    </w:p>
    <w:p w14:paraId="1699FC7C"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6"/>
        </w:rPr>
        <w:object w:dxaOrig="2240" w:dyaOrig="420" w14:anchorId="31683F06">
          <v:shape id="_x0000_i7279" type="#_x0000_t75" style="width:111.95pt;height:21.2pt" o:ole="">
            <v:imagedata r:id="rId12627" o:title=""/>
          </v:shape>
          <o:OLEObject Type="Embed" ProgID="Equation.DSMT4" ShapeID="_x0000_i7279" DrawAspect="Content" ObjectID="_1791381222" r:id="rId12628"/>
        </w:object>
      </w:r>
    </w:p>
    <w:p w14:paraId="2C77ECA7"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0"/>
        </w:rPr>
        <w:object w:dxaOrig="1060" w:dyaOrig="320" w14:anchorId="0746855A">
          <v:shape id="_x0000_i7280" type="#_x0000_t75" style="width:53.25pt;height:15.75pt" o:ole="">
            <v:imagedata r:id="rId12629" o:title=""/>
          </v:shape>
          <o:OLEObject Type="Embed" ProgID="Equation.DSMT4" ShapeID="_x0000_i7280" DrawAspect="Content" ObjectID="_1791381223" r:id="rId12630"/>
        </w:object>
      </w:r>
    </w:p>
    <w:p w14:paraId="0FBE80B6"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دراین صورت سیاست بانک مرکزی به </w:t>
      </w:r>
      <w:r w:rsidRPr="002614E7">
        <w:rPr>
          <w:position w:val="-10"/>
        </w:rPr>
        <w:object w:dxaOrig="1480" w:dyaOrig="340" w14:anchorId="37767BB4">
          <v:shape id="_x0000_i7281" type="#_x0000_t75" style="width:73.8pt;height:16.95pt" o:ole="">
            <v:imagedata r:id="rId12631" o:title=""/>
          </v:shape>
          <o:OLEObject Type="Embed" ProgID="Equation.DSMT4" ShapeID="_x0000_i7281" DrawAspect="Content" ObjectID="_1791381224" r:id="rId12632"/>
        </w:object>
      </w:r>
      <w:r w:rsidRPr="002614E7">
        <w:rPr>
          <w:rFonts w:hint="cs"/>
          <w:i/>
          <w:sz w:val="23"/>
          <w:szCs w:val="23"/>
          <w:rtl/>
        </w:rPr>
        <w:t xml:space="preserve"> تغییر جهت می</w:t>
      </w:r>
      <w:r w:rsidRPr="002614E7">
        <w:rPr>
          <w:rFonts w:hint="cs"/>
          <w:i/>
          <w:sz w:val="23"/>
          <w:szCs w:val="23"/>
          <w:rtl/>
        </w:rPr>
        <w:softHyphen/>
        <w:t xml:space="preserve">یابد. </w:t>
      </w:r>
    </w:p>
    <w:p w14:paraId="1A5C88E2"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 xml:space="preserve">هنگامی که بانک مرکزی سیاست خود را به صورت صلاحدیدی تغییر دهد، اعتقاد مردم بر آن است که این سیاست ادامه خواهد یافت و بنابراین انتظارت مردم از تورم برای هر </w:t>
      </w:r>
      <w:r w:rsidRPr="002614E7">
        <w:rPr>
          <w:position w:val="-6"/>
        </w:rPr>
        <w:object w:dxaOrig="499" w:dyaOrig="260" w14:anchorId="57747019">
          <v:shape id="_x0000_i7282" type="#_x0000_t75" style="width:24.8pt;height:13.3pt" o:ole="">
            <v:imagedata r:id="rId12633" o:title=""/>
          </v:shape>
          <o:OLEObject Type="Embed" ProgID="Equation.DSMT4" ShapeID="_x0000_i7282" DrawAspect="Content" ObjectID="_1791381225" r:id="rId12634"/>
        </w:object>
      </w:r>
      <w:r w:rsidRPr="002614E7">
        <w:rPr>
          <w:rFonts w:hint="cs"/>
          <w:i/>
          <w:sz w:val="23"/>
          <w:szCs w:val="23"/>
          <w:rtl/>
        </w:rPr>
        <w:t xml:space="preserve"> برابر با</w:t>
      </w:r>
      <w:r w:rsidRPr="002614E7">
        <w:rPr>
          <w:i/>
          <w:sz w:val="23"/>
          <w:szCs w:val="23"/>
        </w:rPr>
        <w:t xml:space="preserve"> </w:t>
      </w:r>
      <w:r w:rsidRPr="002614E7">
        <w:rPr>
          <w:position w:val="-10"/>
        </w:rPr>
        <w:object w:dxaOrig="2060" w:dyaOrig="340" w14:anchorId="28FD4267">
          <v:shape id="_x0000_i7283" type="#_x0000_t75" style="width:102.85pt;height:16.95pt" o:ole="">
            <v:imagedata r:id="rId12635" o:title=""/>
          </v:shape>
          <o:OLEObject Type="Embed" ProgID="Equation.DSMT4" ShapeID="_x0000_i7283" DrawAspect="Content" ObjectID="_1791381226" r:id="rId12636"/>
        </w:object>
      </w:r>
      <w:r w:rsidRPr="002614E7">
        <w:rPr>
          <w:rFonts w:eastAsiaTheme="minorEastAsia"/>
          <w:i/>
          <w:sz w:val="23"/>
          <w:szCs w:val="23"/>
        </w:rPr>
        <w:t xml:space="preserve"> </w:t>
      </w:r>
      <w:r w:rsidRPr="002614E7">
        <w:rPr>
          <w:rFonts w:eastAsiaTheme="minorEastAsia" w:hint="cs"/>
          <w:i/>
          <w:sz w:val="23"/>
          <w:szCs w:val="23"/>
          <w:rtl/>
        </w:rPr>
        <w:t xml:space="preserve">خواهد بود. </w:t>
      </w:r>
      <w:r w:rsidRPr="002614E7">
        <w:rPr>
          <w:rFonts w:hint="cs"/>
          <w:i/>
          <w:sz w:val="23"/>
          <w:szCs w:val="23"/>
          <w:rtl/>
        </w:rPr>
        <w:t>بنابراین</w:t>
      </w:r>
    </w:p>
    <w:p w14:paraId="6AFBF381"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30"/>
        </w:rPr>
        <w:object w:dxaOrig="5940" w:dyaOrig="700" w14:anchorId="16E942A9">
          <v:shape id="_x0000_i7284" type="#_x0000_t75" style="width:297.1pt;height:35.1pt" o:ole="">
            <v:imagedata r:id="rId12637" o:title=""/>
          </v:shape>
          <o:OLEObject Type="Embed" ProgID="Equation.DSMT4" ShapeID="_x0000_i7284" DrawAspect="Content" ObjectID="_1791381227" r:id="rId12638"/>
        </w:object>
      </w:r>
    </w:p>
    <w:p w14:paraId="5EB99EE9"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lastRenderedPageBreak/>
        <w:t>اکنون می‌توان مقدار تابع هدف ‌بین‌دوره</w:t>
      </w:r>
      <w:r w:rsidRPr="002614E7">
        <w:rPr>
          <w:rFonts w:hint="cs"/>
          <w:i/>
          <w:sz w:val="23"/>
          <w:szCs w:val="23"/>
          <w:rtl/>
        </w:rPr>
        <w:softHyphen/>
        <w:t>ای را وقتی که بانک مرکزی سیاست خود را تغییر نمی</w:t>
      </w:r>
      <w:r w:rsidRPr="002614E7">
        <w:rPr>
          <w:rFonts w:hint="cs"/>
          <w:i/>
          <w:sz w:val="23"/>
          <w:szCs w:val="23"/>
          <w:rtl/>
        </w:rPr>
        <w:softHyphen/>
        <w:t>دهد با زمانی که سیاست خود را تغییر می‌دهد مقایسه کرد.</w:t>
      </w:r>
    </w:p>
    <w:p w14:paraId="12124503" w14:textId="77777777" w:rsidR="00556C10" w:rsidRPr="002614E7" w:rsidRDefault="00556C10" w:rsidP="00556C10">
      <w:pPr>
        <w:tabs>
          <w:tab w:val="right" w:pos="1287"/>
        </w:tabs>
        <w:spacing w:line="216" w:lineRule="auto"/>
        <w:rPr>
          <w:i/>
          <w:sz w:val="23"/>
          <w:szCs w:val="23"/>
        </w:rPr>
      </w:pPr>
    </w:p>
    <w:p w14:paraId="61EE3AF0" w14:textId="77777777" w:rsidR="00556C10" w:rsidRPr="002614E7" w:rsidRDefault="00556C10" w:rsidP="00556C10">
      <w:pPr>
        <w:tabs>
          <w:tab w:val="right" w:pos="1287"/>
        </w:tabs>
        <w:spacing w:line="216" w:lineRule="auto"/>
        <w:rPr>
          <w:bCs/>
          <w:i/>
          <w:sz w:val="23"/>
          <w:szCs w:val="23"/>
          <w:rtl/>
        </w:rPr>
      </w:pPr>
      <w:r w:rsidRPr="002614E7">
        <w:rPr>
          <w:rFonts w:hint="cs"/>
          <w:bCs/>
          <w:i/>
          <w:sz w:val="23"/>
          <w:szCs w:val="23"/>
          <w:rtl/>
        </w:rPr>
        <w:t>عدم تغییر سیاست</w:t>
      </w:r>
    </w:p>
    <w:p w14:paraId="0B57E188"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اگر در هر دوره </w:t>
      </w:r>
      <w:r w:rsidRPr="002614E7">
        <w:rPr>
          <w:position w:val="-6"/>
        </w:rPr>
        <w:object w:dxaOrig="620" w:dyaOrig="300" w14:anchorId="0DAF0DB0">
          <v:shape id="_x0000_i7285" type="#_x0000_t75" style="width:30.85pt;height:14.5pt" o:ole="">
            <v:imagedata r:id="rId12639" o:title=""/>
          </v:shape>
          <o:OLEObject Type="Embed" ProgID="Equation.DSMT4" ShapeID="_x0000_i7285" DrawAspect="Content" ObjectID="_1791381228" r:id="rId12640"/>
        </w:object>
      </w:r>
      <w:r w:rsidRPr="002614E7">
        <w:rPr>
          <w:rFonts w:hint="cs"/>
          <w:i/>
          <w:sz w:val="23"/>
          <w:szCs w:val="23"/>
          <w:rtl/>
        </w:rPr>
        <w:t xml:space="preserve"> باشد آنگاه</w:t>
      </w:r>
    </w:p>
    <w:p w14:paraId="4573D7CD"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10"/>
        </w:rPr>
        <w:object w:dxaOrig="1100" w:dyaOrig="340" w14:anchorId="0FACC692">
          <v:shape id="_x0000_i7286" type="#_x0000_t75" style="width:55.05pt;height:16.95pt" o:ole="">
            <v:imagedata r:id="rId12641" o:title=""/>
          </v:shape>
          <o:OLEObject Type="Embed" ProgID="Equation.DSMT4" ShapeID="_x0000_i7286" DrawAspect="Content" ObjectID="_1791381229" r:id="rId12642"/>
        </w:object>
      </w:r>
    </w:p>
    <w:p w14:paraId="082AB28F"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0"/>
        </w:rPr>
        <w:object w:dxaOrig="800" w:dyaOrig="340" w14:anchorId="724A9A44">
          <v:shape id="_x0000_i7287" type="#_x0000_t75" style="width:39.95pt;height:16.95pt" o:ole="">
            <v:imagedata r:id="rId12643" o:title=""/>
          </v:shape>
          <o:OLEObject Type="Embed" ProgID="Equation.DSMT4" ShapeID="_x0000_i7287" DrawAspect="Content" ObjectID="_1791381230" r:id="rId12644"/>
        </w:object>
      </w:r>
    </w:p>
    <w:p w14:paraId="6910DEAE"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0"/>
        </w:rPr>
        <w:object w:dxaOrig="1120" w:dyaOrig="320" w14:anchorId="330D0AA1">
          <v:shape id="_x0000_i7288" type="#_x0000_t75" style="width:56.25pt;height:15.75pt" o:ole="">
            <v:imagedata r:id="rId12645" o:title=""/>
          </v:shape>
          <o:OLEObject Type="Embed" ProgID="Equation.DSMT4" ShapeID="_x0000_i7288" DrawAspect="Content" ObjectID="_1791381231" r:id="rId12646"/>
        </w:object>
      </w:r>
    </w:p>
    <w:p w14:paraId="473BA508"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22"/>
        </w:rPr>
        <w:object w:dxaOrig="1579" w:dyaOrig="560" w14:anchorId="165D99EF">
          <v:shape id="_x0000_i7289" type="#_x0000_t75" style="width:78.65pt;height:27.85pt" o:ole="">
            <v:imagedata r:id="rId12647" o:title=""/>
          </v:shape>
          <o:OLEObject Type="Embed" ProgID="Equation.DSMT4" ShapeID="_x0000_i7289" DrawAspect="Content" ObjectID="_1791381232" r:id="rId12648"/>
        </w:object>
      </w:r>
    </w:p>
    <w:p w14:paraId="56370C5B"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22"/>
        </w:rPr>
        <w:object w:dxaOrig="1480" w:dyaOrig="560" w14:anchorId="1FE71854">
          <v:shape id="_x0000_i7290" type="#_x0000_t75" style="width:73.8pt;height:27.85pt" o:ole="">
            <v:imagedata r:id="rId12649" o:title=""/>
          </v:shape>
          <o:OLEObject Type="Embed" ProgID="Equation.DSMT4" ShapeID="_x0000_i7290" DrawAspect="Content" ObjectID="_1791381233" r:id="rId12650"/>
        </w:object>
      </w:r>
    </w:p>
    <w:p w14:paraId="18E1E0D8"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بنابراین ارزش انتظاری رفاه با بکارگیری تابع رفاه بانک مرکزی برابر است با</w:t>
      </w:r>
    </w:p>
    <w:p w14:paraId="2C7B7385"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6"/>
        </w:rPr>
        <w:object w:dxaOrig="1320" w:dyaOrig="840" w14:anchorId="7F9D1252">
          <v:shape id="_x0000_i7291" type="#_x0000_t75" style="width:65.95pt;height:41.75pt" o:ole="">
            <v:imagedata r:id="rId12651" o:title=""/>
          </v:shape>
          <o:OLEObject Type="Embed" ProgID="Equation.DSMT4" ShapeID="_x0000_i7291" DrawAspect="Content" ObjectID="_1791381234" r:id="rId12652"/>
        </w:object>
      </w:r>
    </w:p>
    <w:p w14:paraId="170B7FDF"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و لذا در مکانیسم انتقال، تنها شوک‌های غیرقابل دسترس</w:t>
      </w:r>
      <w:r w:rsidRPr="002614E7">
        <w:rPr>
          <w:position w:val="-10"/>
        </w:rPr>
        <w:object w:dxaOrig="220" w:dyaOrig="320" w14:anchorId="47D4E2C1">
          <v:shape id="_x0000_i7292" type="#_x0000_t75" style="width:10.9pt;height:15.75pt" o:ole="">
            <v:imagedata r:id="rId12653" o:title=""/>
          </v:shape>
          <o:OLEObject Type="Embed" ProgID="Equation.DSMT4" ShapeID="_x0000_i7292" DrawAspect="Content" ObjectID="_1791381235" r:id="rId12654"/>
        </w:object>
      </w:r>
      <w:r w:rsidRPr="002614E7">
        <w:rPr>
          <w:rFonts w:hint="cs"/>
          <w:i/>
          <w:sz w:val="23"/>
          <w:szCs w:val="23"/>
          <w:rtl/>
        </w:rPr>
        <w:t xml:space="preserve"> علت زیان رفاه خواهند بود</w:t>
      </w:r>
    </w:p>
    <w:p w14:paraId="2F355D96" w14:textId="77777777" w:rsidR="00556C10" w:rsidRPr="002614E7" w:rsidRDefault="00556C10" w:rsidP="00556C10">
      <w:pPr>
        <w:tabs>
          <w:tab w:val="right" w:pos="1287"/>
        </w:tabs>
        <w:spacing w:line="216" w:lineRule="auto"/>
        <w:rPr>
          <w:bCs/>
          <w:i/>
          <w:sz w:val="23"/>
          <w:szCs w:val="23"/>
          <w:rtl/>
        </w:rPr>
      </w:pPr>
    </w:p>
    <w:p w14:paraId="2D541996" w14:textId="77777777" w:rsidR="00556C10" w:rsidRPr="002614E7" w:rsidRDefault="00556C10" w:rsidP="00556C10">
      <w:pPr>
        <w:tabs>
          <w:tab w:val="right" w:pos="1287"/>
        </w:tabs>
        <w:spacing w:line="216" w:lineRule="auto"/>
        <w:rPr>
          <w:bCs/>
          <w:i/>
          <w:sz w:val="23"/>
          <w:szCs w:val="23"/>
        </w:rPr>
      </w:pPr>
      <w:r w:rsidRPr="002614E7">
        <w:rPr>
          <w:rFonts w:hint="cs"/>
          <w:bCs/>
          <w:i/>
          <w:sz w:val="23"/>
          <w:szCs w:val="23"/>
          <w:rtl/>
        </w:rPr>
        <w:t>تغییر سیاست</w:t>
      </w:r>
    </w:p>
    <w:p w14:paraId="0E665E05"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فرض کنید که تغییر سیاست صلاحدیدی در زمان</w:t>
      </w:r>
      <w:r w:rsidRPr="002614E7">
        <w:rPr>
          <w:position w:val="-6"/>
        </w:rPr>
        <w:object w:dxaOrig="139" w:dyaOrig="240" w14:anchorId="4D0BCF78">
          <v:shape id="_x0000_i7293" type="#_x0000_t75" style="width:6.65pt;height:11.5pt" o:ole="">
            <v:imagedata r:id="rId12655" o:title=""/>
          </v:shape>
          <o:OLEObject Type="Embed" ProgID="Equation.DSMT4" ShapeID="_x0000_i7293" DrawAspect="Content" ObjectID="_1791381236" r:id="rId12656"/>
        </w:object>
      </w:r>
      <w:r w:rsidRPr="002614E7">
        <w:rPr>
          <w:rFonts w:hint="cs"/>
          <w:i/>
          <w:sz w:val="23"/>
          <w:szCs w:val="23"/>
          <w:rtl/>
        </w:rPr>
        <w:t xml:space="preserve"> اتفاق افتد و این تغییر تا زمانی که مردم از انتظارات تورمی خود مطلع شوند مشخص نباشد. بنابراین اگر چه</w:t>
      </w:r>
    </w:p>
    <w:p w14:paraId="0831A715"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10"/>
        </w:rPr>
        <w:object w:dxaOrig="1560" w:dyaOrig="340" w14:anchorId="592301C3">
          <v:shape id="_x0000_i7294" type="#_x0000_t75" style="width:78.05pt;height:16.95pt" o:ole="">
            <v:imagedata r:id="rId12657" o:title=""/>
          </v:shape>
          <o:OLEObject Type="Embed" ProgID="Equation.DSMT4" ShapeID="_x0000_i7294" DrawAspect="Content" ObjectID="_1791381237" r:id="rId12658"/>
        </w:object>
      </w:r>
    </w:p>
    <w:p w14:paraId="73E38C1E"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و عموم انتظار تغییر سیاست را ندارند، انتظارات آن‌ها از تورم برابر است با</w:t>
      </w:r>
      <w:r w:rsidRPr="002614E7">
        <w:rPr>
          <w:position w:val="-6"/>
        </w:rPr>
        <w:object w:dxaOrig="279" w:dyaOrig="300" w14:anchorId="2F078782">
          <v:shape id="_x0000_i7295" type="#_x0000_t75" style="width:13.9pt;height:14.5pt" o:ole="">
            <v:imagedata r:id="rId12659" o:title=""/>
          </v:shape>
          <o:OLEObject Type="Embed" ProgID="Equation.DSMT4" ShapeID="_x0000_i7295" DrawAspect="Content" ObjectID="_1791381238" r:id="rId12660"/>
        </w:object>
      </w:r>
      <w:r w:rsidRPr="002614E7">
        <w:rPr>
          <w:rFonts w:eastAsiaTheme="minorEastAsia" w:hint="cs"/>
          <w:i/>
          <w:sz w:val="23"/>
          <w:szCs w:val="23"/>
          <w:rtl/>
        </w:rPr>
        <w:t xml:space="preserve">. </w:t>
      </w:r>
      <w:r w:rsidRPr="002614E7">
        <w:rPr>
          <w:rFonts w:hint="cs"/>
          <w:i/>
          <w:sz w:val="23"/>
          <w:szCs w:val="23"/>
          <w:rtl/>
        </w:rPr>
        <w:t>در نتیجه</w:t>
      </w:r>
      <w:r w:rsidRPr="002614E7">
        <w:rPr>
          <w:rFonts w:hint="cs"/>
          <w:i/>
          <w:sz w:val="23"/>
          <w:szCs w:val="23"/>
          <w:rtl/>
        </w:rPr>
        <w:softHyphen/>
      </w:r>
      <w:r w:rsidRPr="002614E7">
        <w:rPr>
          <w:i/>
          <w:sz w:val="23"/>
          <w:szCs w:val="23"/>
        </w:rPr>
        <w:t xml:space="preserve"> </w:t>
      </w:r>
      <w:r w:rsidRPr="002614E7">
        <w:rPr>
          <w:rFonts w:hint="cs"/>
          <w:i/>
          <w:sz w:val="23"/>
          <w:szCs w:val="23"/>
          <w:rtl/>
        </w:rPr>
        <w:t>با تغییر سیاست، تولید در زمان</w:t>
      </w:r>
      <w:r w:rsidRPr="002614E7">
        <w:rPr>
          <w:position w:val="-6"/>
        </w:rPr>
        <w:object w:dxaOrig="139" w:dyaOrig="240" w14:anchorId="4EE64EC2">
          <v:shape id="_x0000_i7296" type="#_x0000_t75" style="width:6.65pt;height:11.5pt" o:ole="">
            <v:imagedata r:id="rId12661" o:title=""/>
          </v:shape>
          <o:OLEObject Type="Embed" ProgID="Equation.DSMT4" ShapeID="_x0000_i7296" DrawAspect="Content" ObjectID="_1791381239" r:id="rId12662"/>
        </w:object>
      </w:r>
      <w:r w:rsidRPr="002614E7">
        <w:rPr>
          <w:rFonts w:hint="cs"/>
          <w:i/>
          <w:sz w:val="23"/>
          <w:szCs w:val="23"/>
          <w:rtl/>
        </w:rPr>
        <w:t xml:space="preserve"> برابر است با</w:t>
      </w:r>
    </w:p>
    <w:p w14:paraId="7B8363A4"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16"/>
        </w:rPr>
        <w:object w:dxaOrig="4920" w:dyaOrig="420" w14:anchorId="74683BB8">
          <v:shape id="_x0000_i7297" type="#_x0000_t75" style="width:246.25pt;height:21.2pt" o:ole="">
            <v:imagedata r:id="rId12663" o:title=""/>
          </v:shape>
          <o:OLEObject Type="Embed" ProgID="Equation.DSMT4" ShapeID="_x0000_i7297" DrawAspect="Content" ObjectID="_1791381240" r:id="rId12664"/>
        </w:object>
      </w:r>
    </w:p>
    <w:p w14:paraId="7A927772"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0"/>
        </w:rPr>
        <w:object w:dxaOrig="1420" w:dyaOrig="340" w14:anchorId="5DC7FA7A">
          <v:shape id="_x0000_i7298" type="#_x0000_t75" style="width:71.4pt;height:16.95pt" o:ole="">
            <v:imagedata r:id="rId12665" o:title=""/>
          </v:shape>
          <o:OLEObject Type="Embed" ProgID="Equation.DSMT4" ShapeID="_x0000_i7298" DrawAspect="Content" ObjectID="_1791381241" r:id="rId12666"/>
        </w:object>
      </w:r>
    </w:p>
    <w:p w14:paraId="5FFD4DC4"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و لذا به خاطر تغییر سیاست،</w:t>
      </w:r>
      <w:r w:rsidRPr="002614E7">
        <w:rPr>
          <w:i/>
          <w:sz w:val="23"/>
          <w:szCs w:val="23"/>
        </w:rPr>
        <w:t xml:space="preserve"> </w:t>
      </w:r>
      <w:r w:rsidRPr="002614E7">
        <w:rPr>
          <w:rFonts w:hint="cs"/>
          <w:i/>
          <w:sz w:val="23"/>
          <w:szCs w:val="23"/>
          <w:rtl/>
        </w:rPr>
        <w:t>منفعت تولیدی وجود دارد. پیامد مربوط به رفاه نیز در زمان</w:t>
      </w:r>
      <w:r w:rsidRPr="002614E7">
        <w:rPr>
          <w:position w:val="-6"/>
        </w:rPr>
        <w:object w:dxaOrig="139" w:dyaOrig="240" w14:anchorId="5BE1053E">
          <v:shape id="_x0000_i7299" type="#_x0000_t75" style="width:6.65pt;height:11.5pt" o:ole="">
            <v:imagedata r:id="rId12667" o:title=""/>
          </v:shape>
          <o:OLEObject Type="Embed" ProgID="Equation.DSMT4" ShapeID="_x0000_i7299" DrawAspect="Content" ObjectID="_1791381242" r:id="rId12668"/>
        </w:object>
      </w:r>
      <w:r w:rsidRPr="002614E7">
        <w:rPr>
          <w:rFonts w:hint="cs"/>
          <w:i/>
          <w:sz w:val="23"/>
          <w:szCs w:val="23"/>
          <w:rtl/>
        </w:rPr>
        <w:t xml:space="preserve"> برابر است با</w:t>
      </w:r>
    </w:p>
    <w:p w14:paraId="139D5410"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2"/>
        </w:rPr>
        <w:object w:dxaOrig="3260" w:dyaOrig="560" w14:anchorId="6292FD14">
          <v:shape id="_x0000_i7300" type="#_x0000_t75" style="width:162.75pt;height:27.85pt" o:ole="">
            <v:imagedata r:id="rId12669" o:title=""/>
          </v:shape>
          <o:OLEObject Type="Embed" ProgID="Equation.DSMT4" ShapeID="_x0000_i7300" DrawAspect="Content" ObjectID="_1791381243" r:id="rId12670"/>
        </w:object>
      </w:r>
    </w:p>
    <w:p w14:paraId="15AEA6F5"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22"/>
        </w:rPr>
        <w:object w:dxaOrig="3960" w:dyaOrig="560" w14:anchorId="3C03D523">
          <v:shape id="_x0000_i7301" type="#_x0000_t75" style="width:198.45pt;height:27.85pt" o:ole="">
            <v:imagedata r:id="rId12671" o:title=""/>
          </v:shape>
          <o:OLEObject Type="Embed" ProgID="Equation.DSMT4" ShapeID="_x0000_i7301" DrawAspect="Content" ObjectID="_1791381244" r:id="rId12672"/>
        </w:object>
      </w:r>
    </w:p>
    <w:p w14:paraId="6847C0DF" w14:textId="77777777" w:rsidR="00556C10" w:rsidRPr="002614E7" w:rsidRDefault="00556C10" w:rsidP="00556C10">
      <w:pPr>
        <w:tabs>
          <w:tab w:val="right" w:pos="1287"/>
        </w:tabs>
        <w:spacing w:line="216" w:lineRule="auto"/>
        <w:rPr>
          <w:rFonts w:eastAsiaTheme="minorEastAsia"/>
          <w:i/>
          <w:sz w:val="23"/>
          <w:szCs w:val="23"/>
        </w:rPr>
      </w:pPr>
      <w:r w:rsidRPr="002614E7">
        <w:rPr>
          <w:rFonts w:hint="cs"/>
          <w:i/>
          <w:sz w:val="23"/>
          <w:szCs w:val="23"/>
          <w:rtl/>
        </w:rPr>
        <w:t>با افزایش تولید در زمان</w:t>
      </w:r>
      <w:r w:rsidRPr="002614E7">
        <w:rPr>
          <w:position w:val="-6"/>
        </w:rPr>
        <w:object w:dxaOrig="139" w:dyaOrig="240" w14:anchorId="7A1476A1">
          <v:shape id="_x0000_i7302" type="#_x0000_t75" style="width:6.65pt;height:11.5pt" o:ole="">
            <v:imagedata r:id="rId12673" o:title=""/>
          </v:shape>
          <o:OLEObject Type="Embed" ProgID="Equation.DSMT4" ShapeID="_x0000_i7302" DrawAspect="Content" ObjectID="_1791381245" r:id="rId12674"/>
        </w:object>
      </w:r>
      <w:r w:rsidRPr="002614E7">
        <w:rPr>
          <w:rFonts w:hint="cs"/>
          <w:i/>
          <w:sz w:val="23"/>
          <w:szCs w:val="23"/>
          <w:rtl/>
        </w:rPr>
        <w:t xml:space="preserve">، منفعت رفاه نیز برای بانک مرکزی وجود دارد. البته این منفعت موقتی است زیرا انتظارات عموم با درک و فهم تغییر سیاست تغییر خواهد کرد و با فرض تغییر سیاست در </w:t>
      </w:r>
      <w:r w:rsidRPr="002614E7">
        <w:rPr>
          <w:rFonts w:hint="cs"/>
          <w:i/>
          <w:sz w:val="23"/>
          <w:szCs w:val="23"/>
          <w:rtl/>
        </w:rPr>
        <w:lastRenderedPageBreak/>
        <w:t>زمان</w:t>
      </w:r>
      <w:r w:rsidRPr="002614E7">
        <w:rPr>
          <w:position w:val="-6"/>
        </w:rPr>
        <w:object w:dxaOrig="139" w:dyaOrig="240" w14:anchorId="7E17F34C">
          <v:shape id="_x0000_i7303" type="#_x0000_t75" style="width:6.65pt;height:11.5pt" o:ole="">
            <v:imagedata r:id="rId12675" o:title=""/>
          </v:shape>
          <o:OLEObject Type="Embed" ProgID="Equation.DSMT4" ShapeID="_x0000_i7303" DrawAspect="Content" ObjectID="_1791381246" r:id="rId12676"/>
        </w:object>
      </w:r>
      <w:r w:rsidRPr="002614E7">
        <w:rPr>
          <w:rFonts w:hint="cs"/>
          <w:i/>
          <w:sz w:val="23"/>
          <w:szCs w:val="23"/>
          <w:rtl/>
        </w:rPr>
        <w:t xml:space="preserve">، عموم فرض می‌کنند در آینده سیاست صلاحدیدی به کار گرفته خواهد شد. در نتیجه برای هر </w:t>
      </w:r>
      <w:r w:rsidRPr="002614E7">
        <w:rPr>
          <w:position w:val="-6"/>
        </w:rPr>
        <w:object w:dxaOrig="480" w:dyaOrig="260" w14:anchorId="77DDB1B4">
          <v:shape id="_x0000_i7304" type="#_x0000_t75" style="width:24.2pt;height:13.3pt" o:ole="">
            <v:imagedata r:id="rId12677" o:title=""/>
          </v:shape>
          <o:OLEObject Type="Embed" ProgID="Equation.DSMT4" ShapeID="_x0000_i7304" DrawAspect="Content" ObjectID="_1791381247" r:id="rId12678"/>
        </w:object>
      </w:r>
      <w:r w:rsidRPr="002614E7">
        <w:rPr>
          <w:rFonts w:eastAsiaTheme="minorEastAsia" w:hint="cs"/>
          <w:i/>
          <w:sz w:val="23"/>
          <w:szCs w:val="23"/>
          <w:rtl/>
        </w:rPr>
        <w:t xml:space="preserve"> داریم</w:t>
      </w:r>
    </w:p>
    <w:p w14:paraId="23BF09DF" w14:textId="77777777" w:rsidR="00556C10" w:rsidRPr="002614E7" w:rsidRDefault="00556C10" w:rsidP="00556C10">
      <w:pPr>
        <w:tabs>
          <w:tab w:val="right" w:pos="1287"/>
        </w:tabs>
        <w:bidi w:val="0"/>
        <w:spacing w:line="216" w:lineRule="auto"/>
        <w:rPr>
          <w:rFonts w:eastAsiaTheme="minorHAnsi"/>
          <w:i/>
          <w:sz w:val="23"/>
          <w:szCs w:val="23"/>
          <w:rtl/>
        </w:rPr>
      </w:pPr>
      <w:r w:rsidRPr="002614E7">
        <w:rPr>
          <w:rFonts w:eastAsiaTheme="minorEastAsia" w:hint="cs"/>
          <w:i/>
          <w:sz w:val="23"/>
          <w:szCs w:val="23"/>
          <w:rtl/>
        </w:rPr>
        <w:t xml:space="preserve"> </w:t>
      </w:r>
      <w:r w:rsidRPr="002614E7">
        <w:rPr>
          <w:position w:val="-26"/>
        </w:rPr>
        <w:object w:dxaOrig="4400" w:dyaOrig="620" w14:anchorId="0EF7336A">
          <v:shape id="_x0000_i7305" type="#_x0000_t75" style="width:219.65pt;height:30.85pt" o:ole="">
            <v:imagedata r:id="rId12679" o:title=""/>
          </v:shape>
          <o:OLEObject Type="Embed" ProgID="Equation.DSMT4" ShapeID="_x0000_i7305" DrawAspect="Content" ObjectID="_1791381248" r:id="rId12680"/>
        </w:object>
      </w:r>
    </w:p>
    <w:p w14:paraId="72EA8833"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و اگر</w:t>
      </w:r>
      <w:r w:rsidRPr="002614E7">
        <w:rPr>
          <w:position w:val="-22"/>
        </w:rPr>
        <w:object w:dxaOrig="920" w:dyaOrig="560" w14:anchorId="3C7C2813">
          <v:shape id="_x0000_i7306" type="#_x0000_t75" style="width:46pt;height:27.85pt" o:ole="">
            <v:imagedata r:id="rId12681" o:title=""/>
          </v:shape>
          <o:OLEObject Type="Embed" ProgID="Equation.DSMT4" ShapeID="_x0000_i7306" DrawAspect="Content" ObjectID="_1791381249" r:id="rId12682"/>
        </w:object>
      </w:r>
      <w:r w:rsidRPr="002614E7">
        <w:rPr>
          <w:i/>
          <w:sz w:val="23"/>
          <w:szCs w:val="23"/>
        </w:rPr>
        <w:t xml:space="preserve"> </w:t>
      </w:r>
      <w:r w:rsidRPr="002614E7">
        <w:rPr>
          <w:rFonts w:hint="cs"/>
          <w:i/>
          <w:sz w:val="23"/>
          <w:szCs w:val="23"/>
          <w:rtl/>
        </w:rPr>
        <w:t>باشد، آنگاه</w:t>
      </w:r>
    </w:p>
    <w:p w14:paraId="2A7804B7" w14:textId="77777777" w:rsidR="00556C10" w:rsidRPr="002614E7" w:rsidRDefault="00556C10" w:rsidP="00556C10">
      <w:pPr>
        <w:pStyle w:val="MTDisplayEquation"/>
        <w:spacing w:line="216" w:lineRule="auto"/>
        <w:jc w:val="left"/>
        <w:rPr>
          <w:rFonts w:ascii="Times New Roman" w:hAnsi="Times New Roman" w:cs="B Nazanin"/>
          <w:i/>
          <w:sz w:val="23"/>
          <w:szCs w:val="23"/>
          <w:rtl/>
        </w:rPr>
      </w:pPr>
      <w:r w:rsidRPr="002614E7">
        <w:rPr>
          <w:position w:val="-26"/>
        </w:rPr>
        <w:object w:dxaOrig="4380" w:dyaOrig="620" w14:anchorId="021A2E15">
          <v:shape id="_x0000_i7307" type="#_x0000_t75" style="width:219.05pt;height:30.85pt" o:ole="">
            <v:imagedata r:id="rId12683" o:title=""/>
          </v:shape>
          <o:OLEObject Type="Embed" ProgID="Equation.DSMT4" ShapeID="_x0000_i7307" DrawAspect="Content" ObjectID="_1791381250" r:id="rId12684"/>
        </w:object>
      </w:r>
    </w:p>
    <w:p w14:paraId="5959A171"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30"/>
        </w:rPr>
        <w:object w:dxaOrig="5980" w:dyaOrig="740" w14:anchorId="4166928D">
          <v:shape id="_x0000_i7308" type="#_x0000_t75" style="width:298.9pt;height:36.9pt" o:ole="">
            <v:imagedata r:id="rId12685" o:title=""/>
          </v:shape>
          <o:OLEObject Type="Embed" ProgID="Equation.DSMT4" ShapeID="_x0000_i7308" DrawAspect="Content" ObjectID="_1791381251" r:id="rId12686"/>
        </w:object>
      </w:r>
    </w:p>
    <w:p w14:paraId="5E935865"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با افزایش عامل تنزیل</w:t>
      </w:r>
      <w:r w:rsidRPr="002614E7">
        <w:rPr>
          <w:position w:val="-10"/>
        </w:rPr>
        <w:object w:dxaOrig="220" w:dyaOrig="300" w14:anchorId="17110A89">
          <v:shape id="_x0000_i7309" type="#_x0000_t75" style="width:10.9pt;height:14.5pt" o:ole="">
            <v:imagedata r:id="rId12687" o:title=""/>
          </v:shape>
          <o:OLEObject Type="Embed" ProgID="Equation.DSMT4" ShapeID="_x0000_i7309" DrawAspect="Content" ObjectID="_1791381252" r:id="rId12688"/>
        </w:object>
      </w:r>
      <w:r w:rsidRPr="002614E7">
        <w:rPr>
          <w:rFonts w:hint="cs"/>
          <w:i/>
          <w:sz w:val="23"/>
          <w:szCs w:val="23"/>
          <w:rtl/>
        </w:rPr>
        <w:t>، زیان بین‌دوره</w:t>
      </w:r>
      <w:r w:rsidRPr="002614E7">
        <w:rPr>
          <w:rFonts w:hint="cs"/>
          <w:i/>
          <w:sz w:val="23"/>
          <w:szCs w:val="23"/>
          <w:rtl/>
        </w:rPr>
        <w:softHyphen/>
        <w:t xml:space="preserve">ای رفاه به وسیله تغییر سیاست افزایش خواهد یافت. وقتی آینده قویاً تنزیل شود یا </w:t>
      </w:r>
      <w:r w:rsidRPr="002614E7">
        <w:rPr>
          <w:position w:val="-10"/>
        </w:rPr>
        <w:object w:dxaOrig="780" w:dyaOrig="300" w14:anchorId="03CDF60D">
          <v:shape id="_x0000_i7310" type="#_x0000_t75" style="width:39.35pt;height:14.5pt" o:ole="">
            <v:imagedata r:id="rId12689" o:title=""/>
          </v:shape>
          <o:OLEObject Type="Embed" ProgID="Equation.DSMT4" ShapeID="_x0000_i7310" DrawAspect="Content" ObjectID="_1791381253" r:id="rId12690"/>
        </w:object>
      </w:r>
      <w:r w:rsidRPr="002614E7">
        <w:rPr>
          <w:rFonts w:hint="cs"/>
          <w:i/>
          <w:sz w:val="23"/>
          <w:szCs w:val="23"/>
          <w:rtl/>
        </w:rPr>
        <w:t xml:space="preserve"> باشد، منافع تولید، که فقط در زمان </w:t>
      </w:r>
      <w:r w:rsidRPr="002614E7">
        <w:rPr>
          <w:i/>
          <w:sz w:val="23"/>
          <w:szCs w:val="23"/>
        </w:rPr>
        <w:t>t</w:t>
      </w:r>
      <w:r w:rsidRPr="002614E7">
        <w:rPr>
          <w:rFonts w:hint="cs"/>
          <w:i/>
          <w:sz w:val="23"/>
          <w:szCs w:val="23"/>
          <w:rtl/>
        </w:rPr>
        <w:t xml:space="preserve"> اتفاق می‌افتد، برای افزایش رفاه بین‌دوره</w:t>
      </w:r>
      <w:r w:rsidRPr="002614E7">
        <w:rPr>
          <w:rFonts w:hint="cs"/>
          <w:i/>
          <w:sz w:val="23"/>
          <w:szCs w:val="23"/>
          <w:rtl/>
        </w:rPr>
        <w:softHyphen/>
        <w:t>ای کافی است. در زمان بلندمدت</w:t>
      </w:r>
      <w:r w:rsidRPr="002614E7">
        <w:rPr>
          <w:rFonts w:hint="cs"/>
          <w:i/>
          <w:sz w:val="23"/>
          <w:szCs w:val="23"/>
          <w:rtl/>
        </w:rPr>
        <w:softHyphen/>
        <w:t>تر رفاه در هر دوره کمتر است. به</w:t>
      </w:r>
      <w:r w:rsidRPr="002614E7">
        <w:rPr>
          <w:rFonts w:hint="cs"/>
          <w:i/>
          <w:sz w:val="23"/>
          <w:szCs w:val="23"/>
          <w:rtl/>
        </w:rPr>
        <w:softHyphen/>
        <w:t>علاوه هم بانک مرکزی و هم عموم در وضعیت بدتر قرار خواهند گرفت. بنابراین اگر چه تغییر سیاست باعث منافع آنی است ولی استراتژی افزایش رفاه در بلندمدت حاصل نمی</w:t>
      </w:r>
      <w:r w:rsidRPr="002614E7">
        <w:rPr>
          <w:rFonts w:hint="cs"/>
          <w:i/>
          <w:sz w:val="23"/>
          <w:szCs w:val="23"/>
          <w:rtl/>
        </w:rPr>
        <w:softHyphen/>
        <w:t>شود.</w:t>
      </w:r>
      <w:r w:rsidRPr="002614E7">
        <w:rPr>
          <w:i/>
          <w:sz w:val="23"/>
          <w:szCs w:val="23"/>
        </w:rPr>
        <w:t xml:space="preserve"> </w:t>
      </w:r>
      <w:r w:rsidRPr="002614E7">
        <w:rPr>
          <w:rFonts w:hint="cs"/>
          <w:i/>
          <w:sz w:val="23"/>
          <w:szCs w:val="23"/>
          <w:rtl/>
        </w:rPr>
        <w:t xml:space="preserve">در عمل عموم مردم ممکن است در‌یابند که تشخیص این که آیا بانک مرکزی تغییر سیاست داده و یا این که آیا هم تورم و هم </w:t>
      </w:r>
      <w:r w:rsidRPr="002614E7">
        <w:rPr>
          <w:position w:val="-6"/>
        </w:rPr>
        <w:object w:dxaOrig="180" w:dyaOrig="200" w14:anchorId="0F6500C1">
          <v:shape id="_x0000_i7311" type="#_x0000_t75" style="width:9.1pt;height:10.3pt" o:ole="">
            <v:imagedata r:id="rId12691" o:title=""/>
          </v:shape>
          <o:OLEObject Type="Embed" ProgID="Equation.DSMT4" ShapeID="_x0000_i7311" DrawAspect="Content" ObjectID="_1791381254" r:id="rId12692"/>
        </w:object>
      </w:r>
      <w:r w:rsidRPr="002614E7">
        <w:rPr>
          <w:rFonts w:hint="cs"/>
          <w:i/>
          <w:sz w:val="23"/>
          <w:szCs w:val="23"/>
          <w:rtl/>
        </w:rPr>
        <w:t xml:space="preserve"> متأثر از شوک </w:t>
      </w:r>
      <w:r w:rsidRPr="002614E7">
        <w:rPr>
          <w:position w:val="-6"/>
        </w:rPr>
        <w:object w:dxaOrig="180" w:dyaOrig="200" w14:anchorId="30DAB026">
          <v:shape id="_x0000_i7312" type="#_x0000_t75" style="width:9.1pt;height:10.3pt" o:ole="">
            <v:imagedata r:id="rId12693" o:title=""/>
          </v:shape>
          <o:OLEObject Type="Embed" ProgID="Equation.DSMT4" ShapeID="_x0000_i7312" DrawAspect="Content" ObjectID="_1791381255" r:id="rId12694"/>
        </w:object>
      </w:r>
      <w:r w:rsidRPr="002614E7">
        <w:rPr>
          <w:rFonts w:hint="cs"/>
          <w:i/>
          <w:sz w:val="23"/>
          <w:szCs w:val="23"/>
          <w:rtl/>
        </w:rPr>
        <w:t xml:space="preserve"> بوده</w:t>
      </w:r>
      <w:r w:rsidRPr="002614E7">
        <w:rPr>
          <w:rFonts w:hint="cs"/>
          <w:i/>
          <w:sz w:val="23"/>
          <w:szCs w:val="23"/>
          <w:rtl/>
        </w:rPr>
        <w:softHyphen/>
        <w:t xml:space="preserve"> مشکل خواهد بود.</w:t>
      </w:r>
    </w:p>
    <w:p w14:paraId="55B30D8E" w14:textId="77777777" w:rsidR="00556C10" w:rsidRPr="002614E7" w:rsidRDefault="00556C10" w:rsidP="00556C10">
      <w:pPr>
        <w:tabs>
          <w:tab w:val="right" w:pos="1287"/>
        </w:tabs>
        <w:spacing w:line="216" w:lineRule="auto"/>
        <w:rPr>
          <w:i/>
          <w:sz w:val="23"/>
          <w:szCs w:val="23"/>
          <w:rtl/>
        </w:rPr>
      </w:pPr>
    </w:p>
    <w:p w14:paraId="511BEBE2" w14:textId="77777777" w:rsidR="00556C10" w:rsidRPr="002614E7" w:rsidRDefault="00556C10" w:rsidP="00556C10">
      <w:pPr>
        <w:pStyle w:val="Heading1"/>
        <w:spacing w:before="0" w:line="216" w:lineRule="auto"/>
        <w:rPr>
          <w:rFonts w:ascii="Times New Roman" w:hAnsi="Times New Roman" w:cs="B Nazanin"/>
          <w:b w:val="0"/>
          <w:i/>
          <w:sz w:val="23"/>
          <w:szCs w:val="23"/>
          <w:rtl/>
        </w:rPr>
      </w:pPr>
      <w:r w:rsidRPr="002614E7">
        <w:rPr>
          <w:rFonts w:ascii="Times New Roman" w:hAnsi="Times New Roman" w:cs="B Nazanin" w:hint="cs"/>
          <w:b w:val="0"/>
          <w:i/>
          <w:sz w:val="23"/>
          <w:szCs w:val="23"/>
          <w:rtl/>
        </w:rPr>
        <w:t>۱۴. ۵. ۵ ترجیحات بانک مرکزی در مقابل ترجیحات عموم</w:t>
      </w:r>
    </w:p>
    <w:p w14:paraId="37351B23"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تاکنون فقط ترجیحات بانک مرکزی را مورد توجه قرار دادیم. فرض کنید ترجیحات بانک مرکزی با ترجیحات مردم متفاوت بوده و بانک مرکزی وزن بیشتری را نسبت به مردم جهت دسترسی به هدف‌ تورم در نظر بگیرد. به تعبیری بانک مرکزی سطح هدف</w:t>
      </w:r>
      <w:r w:rsidRPr="002614E7">
        <w:rPr>
          <w:rFonts w:hint="cs"/>
          <w:i/>
          <w:sz w:val="23"/>
          <w:szCs w:val="23"/>
          <w:rtl/>
        </w:rPr>
        <w:softHyphen/>
        <w:t>گذاری ‌پایین</w:t>
      </w:r>
      <w:r w:rsidRPr="002614E7">
        <w:rPr>
          <w:rFonts w:hint="cs"/>
          <w:i/>
          <w:sz w:val="23"/>
          <w:szCs w:val="23"/>
          <w:rtl/>
        </w:rPr>
        <w:softHyphen/>
        <w:t>تری را از تورم</w:t>
      </w:r>
      <w:r w:rsidRPr="002614E7">
        <w:rPr>
          <w:position w:val="-6"/>
        </w:rPr>
        <w:object w:dxaOrig="279" w:dyaOrig="300" w14:anchorId="50A478F2">
          <v:shape id="_x0000_i7313" type="#_x0000_t75" style="width:13.9pt;height:14.5pt" o:ole="">
            <v:imagedata r:id="rId12695" o:title=""/>
          </v:shape>
          <o:OLEObject Type="Embed" ProgID="Equation.DSMT4" ShapeID="_x0000_i7313" DrawAspect="Content" ObjectID="_1791381256" r:id="rId12696"/>
        </w:object>
      </w:r>
      <w:r w:rsidRPr="002614E7">
        <w:rPr>
          <w:rFonts w:hint="cs"/>
          <w:i/>
          <w:sz w:val="23"/>
          <w:szCs w:val="23"/>
          <w:rtl/>
        </w:rPr>
        <w:t xml:space="preserve"> نسبت به عموم مردم داشته باشد. به طور کلی بانک مرکزی در خصوص تورم نسبت به مردم محافظه</w:t>
      </w:r>
      <w:r w:rsidRPr="002614E7">
        <w:rPr>
          <w:rFonts w:hint="cs"/>
          <w:i/>
          <w:sz w:val="23"/>
          <w:szCs w:val="23"/>
          <w:rtl/>
        </w:rPr>
        <w:softHyphen/>
        <w:t>کارتر است.</w:t>
      </w:r>
      <w:r w:rsidRPr="002614E7">
        <w:rPr>
          <w:i/>
          <w:sz w:val="23"/>
          <w:szCs w:val="23"/>
        </w:rPr>
        <w:t xml:space="preserve"> </w:t>
      </w:r>
      <w:r w:rsidRPr="002614E7">
        <w:rPr>
          <w:rFonts w:hint="cs"/>
          <w:i/>
          <w:sz w:val="23"/>
          <w:szCs w:val="23"/>
          <w:rtl/>
        </w:rPr>
        <w:t>برای تبیین این نکات فرض کنید تابع رفاه بانک مرکزی عبارت است از</w:t>
      </w:r>
    </w:p>
    <w:p w14:paraId="0B5EE5FC" w14:textId="77777777" w:rsidR="00556C10" w:rsidRPr="002614E7" w:rsidRDefault="00556C10" w:rsidP="00556C10">
      <w:pPr>
        <w:tabs>
          <w:tab w:val="right" w:pos="1287"/>
        </w:tabs>
        <w:bidi w:val="0"/>
        <w:spacing w:line="216" w:lineRule="auto"/>
        <w:rPr>
          <w:i/>
          <w:sz w:val="23"/>
          <w:szCs w:val="23"/>
        </w:rPr>
      </w:pPr>
      <w:r w:rsidRPr="002614E7">
        <w:rPr>
          <w:position w:val="-22"/>
        </w:rPr>
        <w:object w:dxaOrig="3260" w:dyaOrig="560" w14:anchorId="50C0BF45">
          <v:shape id="_x0000_i7314" type="#_x0000_t75" style="width:162.75pt;height:27.85pt" o:ole="">
            <v:imagedata r:id="rId12697" o:title=""/>
          </v:shape>
          <o:OLEObject Type="Embed" ProgID="Equation.DSMT4" ShapeID="_x0000_i7314" DrawAspect="Content" ObjectID="_1791381257" r:id="rId12698"/>
        </w:object>
      </w:r>
      <w:r w:rsidRPr="002614E7">
        <w:rPr>
          <w:sz w:val="23"/>
          <w:szCs w:val="23"/>
          <w:rtl/>
        </w:rPr>
        <w:tab/>
      </w:r>
      <w:r w:rsidRPr="002614E7">
        <w:rPr>
          <w:sz w:val="23"/>
          <w:szCs w:val="23"/>
          <w:rtl/>
        </w:rPr>
        <w:tab/>
      </w:r>
      <w:r w:rsidRPr="002614E7">
        <w:rPr>
          <w:sz w:val="23"/>
          <w:szCs w:val="23"/>
          <w:rtl/>
        </w:rPr>
        <w:tab/>
      </w:r>
      <w:r w:rsidRPr="002614E7">
        <w:rPr>
          <w:sz w:val="23"/>
          <w:szCs w:val="23"/>
          <w:rtl/>
        </w:rPr>
        <w:tab/>
      </w:r>
      <w:r w:rsidRPr="002614E7">
        <w:rPr>
          <w:sz w:val="23"/>
          <w:szCs w:val="23"/>
          <w:rtl/>
        </w:rPr>
        <w:tab/>
      </w:r>
      <w:r w:rsidRPr="002614E7">
        <w:rPr>
          <w:sz w:val="23"/>
          <w:szCs w:val="23"/>
          <w:rtl/>
        </w:rPr>
        <w:tab/>
      </w:r>
      <w:r>
        <w:rPr>
          <w:sz w:val="23"/>
          <w:szCs w:val="23"/>
          <w:rtl/>
        </w:rPr>
        <w:tab/>
      </w:r>
      <w:r>
        <w:rPr>
          <w:sz w:val="23"/>
          <w:szCs w:val="23"/>
          <w:rtl/>
        </w:rPr>
        <w:tab/>
      </w:r>
      <w:r w:rsidRPr="002614E7">
        <w:rPr>
          <w:sz w:val="23"/>
          <w:szCs w:val="23"/>
          <w:rtl/>
        </w:rPr>
        <w:tab/>
      </w:r>
      <w:r w:rsidRPr="002614E7">
        <w:rPr>
          <w:sz w:val="23"/>
          <w:szCs w:val="23"/>
          <w:rtl/>
        </w:rPr>
        <w:tab/>
      </w:r>
      <w:r w:rsidRPr="002614E7">
        <w:rPr>
          <w:rFonts w:hint="cs"/>
          <w:i/>
          <w:sz w:val="23"/>
          <w:szCs w:val="23"/>
          <w:rtl/>
        </w:rPr>
        <w:t xml:space="preserve">(۱۴. ۷۷) </w:t>
      </w:r>
    </w:p>
    <w:p w14:paraId="52A9A6F9" w14:textId="77777777" w:rsidR="00556C10" w:rsidRPr="002614E7" w:rsidRDefault="00556C10" w:rsidP="00556C10">
      <w:pPr>
        <w:tabs>
          <w:tab w:val="right" w:pos="1287"/>
        </w:tabs>
        <w:spacing w:line="216" w:lineRule="auto"/>
        <w:rPr>
          <w:i/>
          <w:sz w:val="23"/>
          <w:szCs w:val="23"/>
          <w:rtl/>
        </w:rPr>
      </w:pPr>
      <w:r w:rsidRPr="002614E7">
        <w:rPr>
          <w:rFonts w:eastAsiaTheme="minorEastAsia" w:hint="cs"/>
          <w:i/>
          <w:sz w:val="23"/>
          <w:szCs w:val="23"/>
          <w:rtl/>
        </w:rPr>
        <w:t xml:space="preserve">که در آن </w:t>
      </w:r>
      <w:r w:rsidRPr="002614E7">
        <w:rPr>
          <w:position w:val="-6"/>
        </w:rPr>
        <w:object w:dxaOrig="540" w:dyaOrig="260" w14:anchorId="0D768E5D">
          <v:shape id="_x0000_i7315" type="#_x0000_t75" style="width:26.6pt;height:13.3pt" o:ole="">
            <v:imagedata r:id="rId12699" o:title=""/>
          </v:shape>
          <o:OLEObject Type="Embed" ProgID="Equation.DSMT4" ShapeID="_x0000_i7315" DrawAspect="Content" ObjectID="_1791381258" r:id="rId12700"/>
        </w:object>
      </w:r>
      <w:r w:rsidRPr="002614E7">
        <w:rPr>
          <w:rFonts w:eastAsiaTheme="minorEastAsia" w:hint="cs"/>
          <w:i/>
          <w:sz w:val="23"/>
          <w:szCs w:val="23"/>
          <w:rtl/>
        </w:rPr>
        <w:t xml:space="preserve"> است. </w:t>
      </w:r>
      <w:r w:rsidRPr="002614E7">
        <w:rPr>
          <w:rFonts w:hint="cs"/>
          <w:i/>
          <w:sz w:val="23"/>
          <w:szCs w:val="23"/>
          <w:rtl/>
        </w:rPr>
        <w:t>ولی مردم ترجیح ‌دهند پارامتر</w:t>
      </w:r>
      <w:r w:rsidRPr="002614E7">
        <w:rPr>
          <w:position w:val="-6"/>
        </w:rPr>
        <w:object w:dxaOrig="279" w:dyaOrig="260" w14:anchorId="18404687">
          <v:shape id="_x0000_i7316" type="#_x0000_t75" style="width:13.9pt;height:13.3pt" o:ole="">
            <v:imagedata r:id="rId12701" o:title=""/>
          </v:shape>
          <o:OLEObject Type="Embed" ProgID="Equation.DSMT4" ShapeID="_x0000_i7316" DrawAspect="Content" ObjectID="_1791381259" r:id="rId12702"/>
        </w:object>
      </w:r>
      <w:r w:rsidRPr="002614E7">
        <w:rPr>
          <w:rFonts w:hint="cs"/>
          <w:i/>
          <w:sz w:val="23"/>
          <w:szCs w:val="23"/>
          <w:rtl/>
        </w:rPr>
        <w:t>برابر صفر باشد. لذا بانک مرکزی نسبت به مردم وزن بیشتری را به هدف</w:t>
      </w:r>
      <w:r w:rsidRPr="002614E7">
        <w:rPr>
          <w:rFonts w:hint="cs"/>
          <w:i/>
          <w:sz w:val="23"/>
          <w:szCs w:val="23"/>
          <w:rtl/>
        </w:rPr>
        <w:softHyphen/>
        <w:t>گذاری ‌تورم خواهد داد. معادله</w:t>
      </w:r>
      <w:r w:rsidRPr="002614E7">
        <w:rPr>
          <w:rFonts w:hint="cs"/>
          <w:i/>
          <w:sz w:val="23"/>
          <w:szCs w:val="23"/>
          <w:rtl/>
        </w:rPr>
        <w:softHyphen/>
        <w:t>ی (۱۴. ۷۷) را می</w:t>
      </w:r>
      <w:r w:rsidRPr="002614E7">
        <w:rPr>
          <w:rFonts w:hint="cs"/>
          <w:i/>
          <w:sz w:val="23"/>
          <w:szCs w:val="23"/>
          <w:rtl/>
        </w:rPr>
        <w:softHyphen/>
        <w:t>توان به صورت زیر نوشت</w:t>
      </w:r>
    </w:p>
    <w:p w14:paraId="517781A9"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26"/>
        </w:rPr>
        <w:object w:dxaOrig="3960" w:dyaOrig="620" w14:anchorId="74DE5A1E">
          <v:shape id="_x0000_i7317" type="#_x0000_t75" style="width:198.45pt;height:30.85pt" o:ole="">
            <v:imagedata r:id="rId12703" o:title=""/>
          </v:shape>
          <o:OLEObject Type="Embed" ProgID="Equation.DSMT4" ShapeID="_x0000_i7317" DrawAspect="Content" ObjectID="_1791381260" r:id="rId12704"/>
        </w:object>
      </w:r>
    </w:p>
    <w:p w14:paraId="70B61D1D"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در واقع، در معادله</w:t>
      </w:r>
      <w:r w:rsidRPr="002614E7">
        <w:rPr>
          <w:rFonts w:hint="cs"/>
          <w:i/>
          <w:sz w:val="23"/>
          <w:szCs w:val="23"/>
          <w:rtl/>
        </w:rPr>
        <w:softHyphen/>
        <w:t>ی اولیه</w:t>
      </w:r>
      <w:r w:rsidRPr="002614E7">
        <w:rPr>
          <w:position w:val="-6"/>
        </w:rPr>
        <w:object w:dxaOrig="200" w:dyaOrig="260" w14:anchorId="11343021">
          <v:shape id="_x0000_i7318" type="#_x0000_t75" style="width:10.3pt;height:13.3pt" o:ole="">
            <v:imagedata r:id="rId12705" o:title=""/>
          </v:shape>
          <o:OLEObject Type="Embed" ProgID="Equation.DSMT4" ShapeID="_x0000_i7318" DrawAspect="Content" ObjectID="_1791381261" r:id="rId12706"/>
        </w:object>
      </w:r>
      <w:r w:rsidRPr="002614E7">
        <w:rPr>
          <w:rFonts w:hint="cs"/>
          <w:i/>
          <w:sz w:val="23"/>
          <w:szCs w:val="23"/>
          <w:rtl/>
        </w:rPr>
        <w:t xml:space="preserve"> را با </w:t>
      </w:r>
      <w:r w:rsidRPr="002614E7">
        <w:rPr>
          <w:position w:val="-22"/>
        </w:rPr>
        <w:object w:dxaOrig="520" w:dyaOrig="560" w14:anchorId="1A2725F3">
          <v:shape id="_x0000_i7319" type="#_x0000_t75" style="width:26pt;height:27.85pt" o:ole="">
            <v:imagedata r:id="rId12707" o:title=""/>
          </v:shape>
          <o:OLEObject Type="Embed" ProgID="Equation.DSMT4" ShapeID="_x0000_i7319" DrawAspect="Content" ObjectID="_1791381262" r:id="rId12708"/>
        </w:object>
      </w:r>
      <w:r w:rsidRPr="002614E7">
        <w:rPr>
          <w:rFonts w:hint="cs"/>
          <w:i/>
          <w:sz w:val="23"/>
          <w:szCs w:val="23"/>
          <w:rtl/>
        </w:rPr>
        <w:t xml:space="preserve"> جایگزین کرده</w:t>
      </w:r>
      <w:r w:rsidRPr="002614E7">
        <w:rPr>
          <w:rFonts w:hint="cs"/>
          <w:i/>
          <w:sz w:val="23"/>
          <w:szCs w:val="23"/>
          <w:rtl/>
        </w:rPr>
        <w:softHyphen/>
        <w:t xml:space="preserve"> تا بتوان تفسیر جدیدی نسبت به نتایج قبل ارائه نمود. نتایج نشان می‌دهد با سیاست بهینه خواهیم داشت</w:t>
      </w:r>
    </w:p>
    <w:p w14:paraId="1587D0E2"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2"/>
        </w:rPr>
        <w:object w:dxaOrig="1780" w:dyaOrig="560" w14:anchorId="6AE7AB73">
          <v:shape id="_x0000_i7320" type="#_x0000_t75" style="width:88.95pt;height:27.85pt" o:ole="">
            <v:imagedata r:id="rId12709" o:title=""/>
          </v:shape>
          <o:OLEObject Type="Embed" ProgID="Equation.DSMT4" ShapeID="_x0000_i7320" DrawAspect="Content" ObjectID="_1791381263" r:id="rId12710"/>
        </w:object>
      </w:r>
    </w:p>
    <w:p w14:paraId="16651E95"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و تورم برابر است با</w:t>
      </w:r>
    </w:p>
    <w:p w14:paraId="4053019C"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2"/>
        </w:rPr>
        <w:object w:dxaOrig="1640" w:dyaOrig="560" w14:anchorId="54A94241">
          <v:shape id="_x0000_i7321" type="#_x0000_t75" style="width:82.3pt;height:27.85pt" o:ole="">
            <v:imagedata r:id="rId12711" o:title=""/>
          </v:shape>
          <o:OLEObject Type="Embed" ProgID="Equation.DSMT4" ShapeID="_x0000_i7321" DrawAspect="Content" ObjectID="_1791381264" r:id="rId12712"/>
        </w:object>
      </w:r>
    </w:p>
    <w:p w14:paraId="4B71A273"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22"/>
        </w:rPr>
        <w:object w:dxaOrig="1359" w:dyaOrig="560" w14:anchorId="7C5F8B9B">
          <v:shape id="_x0000_i7322" type="#_x0000_t75" style="width:67.75pt;height:27.85pt" o:ole="">
            <v:imagedata r:id="rId12713" o:title=""/>
          </v:shape>
          <o:OLEObject Type="Embed" ProgID="Equation.DSMT4" ShapeID="_x0000_i7322" DrawAspect="Content" ObjectID="_1791381265" r:id="rId12714"/>
        </w:object>
      </w:r>
    </w:p>
    <w:p w14:paraId="6171FB61"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در نتیجه با </w:t>
      </w:r>
      <w:r w:rsidRPr="002614E7">
        <w:rPr>
          <w:position w:val="-6"/>
        </w:rPr>
        <w:object w:dxaOrig="540" w:dyaOrig="260" w14:anchorId="787BAAE6">
          <v:shape id="_x0000_i7323" type="#_x0000_t75" style="width:26.6pt;height:13.3pt" o:ole="">
            <v:imagedata r:id="rId12715" o:title=""/>
          </v:shape>
          <o:OLEObject Type="Embed" ProgID="Equation.DSMT4" ShapeID="_x0000_i7323" DrawAspect="Content" ObjectID="_1791381266" r:id="rId12716"/>
        </w:object>
      </w:r>
      <w:r w:rsidRPr="002614E7">
        <w:rPr>
          <w:rFonts w:hint="cs"/>
          <w:i/>
          <w:sz w:val="23"/>
          <w:szCs w:val="23"/>
          <w:rtl/>
        </w:rPr>
        <w:t xml:space="preserve">، </w:t>
      </w:r>
      <w:r w:rsidRPr="002614E7">
        <w:rPr>
          <w:i/>
          <w:sz w:val="23"/>
          <w:szCs w:val="23"/>
        </w:rPr>
        <w:t>z</w:t>
      </w:r>
      <w:r w:rsidRPr="002614E7">
        <w:rPr>
          <w:rFonts w:hint="cs"/>
          <w:i/>
          <w:sz w:val="23"/>
          <w:szCs w:val="23"/>
          <w:rtl/>
        </w:rPr>
        <w:t xml:space="preserve"> و تورش تورم کاهش می</w:t>
      </w:r>
      <w:r w:rsidRPr="002614E7">
        <w:rPr>
          <w:rFonts w:hint="cs"/>
          <w:i/>
          <w:sz w:val="23"/>
          <w:szCs w:val="23"/>
          <w:rtl/>
        </w:rPr>
        <w:softHyphen/>
        <w:t xml:space="preserve">یابد. </w:t>
      </w:r>
    </w:p>
    <w:p w14:paraId="6CC59DC4"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تولید برابر است با</w:t>
      </w:r>
    </w:p>
    <w:p w14:paraId="744246C3"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6"/>
        </w:rPr>
        <w:object w:dxaOrig="4280" w:dyaOrig="620" w14:anchorId="3B58217B">
          <v:shape id="_x0000_i7324" type="#_x0000_t75" style="width:214.2pt;height:30.85pt" o:ole="">
            <v:imagedata r:id="rId12717" o:title=""/>
          </v:shape>
          <o:OLEObject Type="Embed" ProgID="Equation.DSMT4" ShapeID="_x0000_i7324" DrawAspect="Content" ObjectID="_1791381267" r:id="rId12718"/>
        </w:object>
      </w:r>
    </w:p>
    <w:p w14:paraId="2DA189AC"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 xml:space="preserve">و همانند قبل خواهیم داشت </w:t>
      </w:r>
      <w:r w:rsidRPr="002614E7">
        <w:rPr>
          <w:position w:val="-10"/>
        </w:rPr>
        <w:object w:dxaOrig="760" w:dyaOrig="320" w14:anchorId="3F094320">
          <v:shape id="_x0000_i7325" type="#_x0000_t75" style="width:38.1pt;height:15.75pt" o:ole="">
            <v:imagedata r:id="rId12719" o:title=""/>
          </v:shape>
          <o:OLEObject Type="Embed" ProgID="Equation.DSMT4" ShapeID="_x0000_i7325" DrawAspect="Content" ObjectID="_1791381268" r:id="rId12720"/>
        </w:object>
      </w:r>
      <w:r w:rsidRPr="002614E7">
        <w:rPr>
          <w:rFonts w:eastAsiaTheme="minorEastAsia"/>
          <w:i/>
          <w:sz w:val="23"/>
          <w:szCs w:val="23"/>
        </w:rPr>
        <w:t>.</w:t>
      </w:r>
    </w:p>
    <w:p w14:paraId="292B5571"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اندازه</w:t>
      </w:r>
      <w:r w:rsidRPr="002614E7">
        <w:rPr>
          <w:rFonts w:hint="cs"/>
          <w:i/>
          <w:sz w:val="23"/>
          <w:szCs w:val="23"/>
          <w:rtl/>
        </w:rPr>
        <w:softHyphen/>
        <w:t>گیری رفاه به این بستگی دارد که تابع رفاه چه کسی را مورد استفاده قرار دهیم. سطح رفاه بانک مرکزی برابر است با</w:t>
      </w:r>
    </w:p>
    <w:p w14:paraId="7E798E3D"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6"/>
        </w:rPr>
        <w:object w:dxaOrig="3600" w:dyaOrig="680" w14:anchorId="6160FB7D">
          <v:shape id="_x0000_i7326" type="#_x0000_t75" style="width:180.3pt;height:33.9pt" o:ole="">
            <v:imagedata r:id="rId12721" o:title=""/>
          </v:shape>
          <o:OLEObject Type="Embed" ProgID="Equation.DSMT4" ShapeID="_x0000_i7326" DrawAspect="Content" ObjectID="_1791381269" r:id="rId12722"/>
        </w:object>
      </w:r>
    </w:p>
    <w:p w14:paraId="1852B139"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34"/>
        </w:rPr>
        <w:object w:dxaOrig="5300" w:dyaOrig="800" w14:anchorId="609CD495">
          <v:shape id="_x0000_i7327" type="#_x0000_t75" style="width:265pt;height:39.95pt" o:ole="">
            <v:imagedata r:id="rId12723" o:title=""/>
          </v:shape>
          <o:OLEObject Type="Embed" ProgID="Equation.DSMT4" ShapeID="_x0000_i7327" DrawAspect="Content" ObjectID="_1791381270" r:id="rId12724"/>
        </w:object>
      </w:r>
    </w:p>
    <w:p w14:paraId="3765A34F"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که در آن</w:t>
      </w:r>
      <w:r w:rsidRPr="002614E7">
        <w:rPr>
          <w:position w:val="-6"/>
        </w:rPr>
        <w:object w:dxaOrig="340" w:dyaOrig="300" w14:anchorId="7B9440BA">
          <v:shape id="_x0000_i7328" type="#_x0000_t75" style="width:16.95pt;height:14.5pt" o:ole="">
            <v:imagedata r:id="rId12725" o:title=""/>
          </v:shape>
          <o:OLEObject Type="Embed" ProgID="Equation.DSMT4" ShapeID="_x0000_i7328" DrawAspect="Content" ObjectID="_1791381271" r:id="rId12726"/>
        </w:object>
      </w:r>
      <w:r w:rsidRPr="002614E7">
        <w:rPr>
          <w:rFonts w:hint="cs"/>
          <w:i/>
          <w:sz w:val="23"/>
          <w:szCs w:val="23"/>
          <w:rtl/>
        </w:rPr>
        <w:t xml:space="preserve"> برابر است با رفاه عموم مردم.</w:t>
      </w:r>
    </w:p>
    <w:p w14:paraId="5136F21A"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در مقابل، برای بانک مرکزی مقدار بهینه</w:t>
      </w:r>
      <w:r w:rsidRPr="002614E7">
        <w:rPr>
          <w:rFonts w:hint="cs"/>
          <w:i/>
          <w:sz w:val="23"/>
          <w:szCs w:val="23"/>
          <w:rtl/>
        </w:rPr>
        <w:softHyphen/>
        <w:t>ی</w:t>
      </w:r>
      <w:r w:rsidRPr="002614E7">
        <w:rPr>
          <w:position w:val="-6"/>
        </w:rPr>
        <w:object w:dxaOrig="200" w:dyaOrig="260" w14:anchorId="01840F4B">
          <v:shape id="_x0000_i7329" type="#_x0000_t75" style="width:10.3pt;height:13.3pt" o:ole="">
            <v:imagedata r:id="rId12727" o:title=""/>
          </v:shape>
          <o:OLEObject Type="Embed" ProgID="Equation.DSMT4" ShapeID="_x0000_i7329" DrawAspect="Content" ObjectID="_1791381272" r:id="rId12728"/>
        </w:object>
      </w:r>
      <w:r w:rsidRPr="002614E7">
        <w:rPr>
          <w:rFonts w:eastAsiaTheme="minorEastAsia" w:hint="cs"/>
          <w:i/>
          <w:sz w:val="23"/>
          <w:szCs w:val="23"/>
          <w:rtl/>
        </w:rPr>
        <w:t xml:space="preserve"> از شرط </w:t>
      </w:r>
      <w:r w:rsidRPr="002614E7">
        <w:rPr>
          <w:rFonts w:hint="cs"/>
          <w:i/>
          <w:sz w:val="23"/>
          <w:szCs w:val="23"/>
          <w:rtl/>
        </w:rPr>
        <w:t>زیر بدست خواهد آمد</w:t>
      </w:r>
    </w:p>
    <w:p w14:paraId="43F2B892"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32"/>
        </w:rPr>
        <w:object w:dxaOrig="2860" w:dyaOrig="740" w14:anchorId="424B5D21">
          <v:shape id="_x0000_i7330" type="#_x0000_t75" style="width:142.8pt;height:36.9pt" o:ole="">
            <v:imagedata r:id="rId12729" o:title=""/>
          </v:shape>
          <o:OLEObject Type="Embed" ProgID="Equation.DSMT4" ShapeID="_x0000_i7330" DrawAspect="Content" ObjectID="_1791381273" r:id="rId12730"/>
        </w:object>
      </w:r>
    </w:p>
    <w:p w14:paraId="519F8CCF"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و برابر است با</w:t>
      </w:r>
    </w:p>
    <w:p w14:paraId="70E9BDE2"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8"/>
        </w:rPr>
        <w:object w:dxaOrig="999" w:dyaOrig="620" w14:anchorId="60408D42">
          <v:shape id="_x0000_i7331" type="#_x0000_t75" style="width:50.2pt;height:30.85pt" o:ole="">
            <v:imagedata r:id="rId12731" o:title=""/>
          </v:shape>
          <o:OLEObject Type="Embed" ProgID="Equation.DSMT4" ShapeID="_x0000_i7331" DrawAspect="Content" ObjectID="_1791381274" r:id="rId12732"/>
        </w:object>
      </w:r>
    </w:p>
    <w:p w14:paraId="52267B64"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لذا با افزایش</w:t>
      </w:r>
      <w:r w:rsidRPr="002614E7">
        <w:rPr>
          <w:position w:val="-10"/>
        </w:rPr>
        <w:object w:dxaOrig="279" w:dyaOrig="320" w14:anchorId="27781337">
          <v:shape id="_x0000_i7332" type="#_x0000_t75" style="width:13.9pt;height:15.75pt" o:ole="">
            <v:imagedata r:id="rId12733" o:title=""/>
          </v:shape>
          <o:OLEObject Type="Embed" ProgID="Equation.DSMT4" ShapeID="_x0000_i7332" DrawAspect="Content" ObjectID="_1791381275" r:id="rId12734"/>
        </w:object>
      </w:r>
      <w:r w:rsidRPr="002614E7">
        <w:rPr>
          <w:rFonts w:hint="cs"/>
          <w:i/>
          <w:sz w:val="23"/>
          <w:szCs w:val="23"/>
          <w:rtl/>
        </w:rPr>
        <w:t xml:space="preserve"> و کاهش </w:t>
      </w:r>
      <w:r w:rsidRPr="002614E7">
        <w:rPr>
          <w:position w:val="-6"/>
        </w:rPr>
        <w:object w:dxaOrig="220" w:dyaOrig="200" w14:anchorId="4485F095">
          <v:shape id="_x0000_i7333" type="#_x0000_t75" style="width:10.9pt;height:10.3pt" o:ole="">
            <v:imagedata r:id="rId12735" o:title=""/>
          </v:shape>
          <o:OLEObject Type="Embed" ProgID="Equation.DSMT4" ShapeID="_x0000_i7333" DrawAspect="Content" ObjectID="_1791381276" r:id="rId12736"/>
        </w:object>
      </w:r>
      <w:r w:rsidRPr="002614E7">
        <w:rPr>
          <w:rFonts w:hint="cs"/>
          <w:i/>
          <w:sz w:val="23"/>
          <w:szCs w:val="23"/>
          <w:rtl/>
        </w:rPr>
        <w:t>، مقدار</w:t>
      </w:r>
      <w:r w:rsidRPr="002614E7">
        <w:rPr>
          <w:position w:val="-6"/>
        </w:rPr>
        <w:object w:dxaOrig="200" w:dyaOrig="260" w14:anchorId="616B6888">
          <v:shape id="_x0000_i7334" type="#_x0000_t75" style="width:10.3pt;height:13.3pt" o:ole="">
            <v:imagedata r:id="rId12737" o:title=""/>
          </v:shape>
          <o:OLEObject Type="Embed" ProgID="Equation.DSMT4" ShapeID="_x0000_i7334" DrawAspect="Content" ObjectID="_1791381277" r:id="rId12738"/>
        </w:object>
      </w:r>
      <w:r w:rsidRPr="002614E7">
        <w:rPr>
          <w:rFonts w:hint="cs"/>
          <w:i/>
          <w:sz w:val="23"/>
          <w:szCs w:val="23"/>
          <w:rtl/>
        </w:rPr>
        <w:t xml:space="preserve"> نیز کاهش می‌یابد</w:t>
      </w:r>
      <w:r w:rsidRPr="002614E7">
        <w:rPr>
          <w:i/>
          <w:sz w:val="23"/>
          <w:szCs w:val="23"/>
        </w:rPr>
        <w:t>.</w:t>
      </w:r>
      <w:r w:rsidRPr="002614E7">
        <w:rPr>
          <w:rFonts w:hint="cs"/>
          <w:i/>
          <w:sz w:val="23"/>
          <w:szCs w:val="23"/>
          <w:rtl/>
        </w:rPr>
        <w:t xml:space="preserve"> هزینه</w:t>
      </w:r>
      <w:r w:rsidRPr="002614E7">
        <w:rPr>
          <w:rFonts w:hint="cs"/>
          <w:i/>
          <w:sz w:val="23"/>
          <w:szCs w:val="23"/>
          <w:rtl/>
        </w:rPr>
        <w:softHyphen/>
        <w:t>ی شوک‌ها در مکانیسم انتقال با افزایش</w:t>
      </w:r>
      <w:r w:rsidRPr="002614E7">
        <w:rPr>
          <w:position w:val="-6"/>
        </w:rPr>
        <w:object w:dxaOrig="200" w:dyaOrig="260" w14:anchorId="70961287">
          <v:shape id="_x0000_i7335" type="#_x0000_t75" style="width:10.3pt;height:13.3pt" o:ole="">
            <v:imagedata r:id="rId12739" o:title=""/>
          </v:shape>
          <o:OLEObject Type="Embed" ProgID="Equation.DSMT4" ShapeID="_x0000_i7335" DrawAspect="Content" ObjectID="_1791381278" r:id="rId12740"/>
        </w:object>
      </w:r>
      <w:r w:rsidRPr="002614E7">
        <w:rPr>
          <w:rFonts w:hint="cs"/>
          <w:i/>
          <w:sz w:val="23"/>
          <w:szCs w:val="23"/>
          <w:rtl/>
        </w:rPr>
        <w:t xml:space="preserve"> نیز بیشتر خواهد شد. اما برای عموم مردم</w:t>
      </w:r>
    </w:p>
    <w:p w14:paraId="29588193" w14:textId="77777777" w:rsidR="00556C10" w:rsidRPr="002614E7" w:rsidRDefault="00556C10" w:rsidP="00556C10">
      <w:pPr>
        <w:tabs>
          <w:tab w:val="right" w:pos="1287"/>
        </w:tabs>
        <w:bidi w:val="0"/>
        <w:spacing w:line="216" w:lineRule="auto"/>
        <w:rPr>
          <w:rFonts w:eastAsiaTheme="minorEastAsia"/>
          <w:i/>
          <w:sz w:val="23"/>
          <w:szCs w:val="23"/>
          <w:rtl/>
        </w:rPr>
      </w:pPr>
      <w:r w:rsidRPr="002614E7">
        <w:rPr>
          <w:position w:val="-26"/>
        </w:rPr>
        <w:object w:dxaOrig="1980" w:dyaOrig="680" w14:anchorId="4851BF2D">
          <v:shape id="_x0000_i7336" type="#_x0000_t75" style="width:99.25pt;height:33.9pt" o:ole="">
            <v:imagedata r:id="rId12741" o:title=""/>
          </v:shape>
          <o:OLEObject Type="Embed" ProgID="Equation.DSMT4" ShapeID="_x0000_i7336" DrawAspect="Content" ObjectID="_1791381279" r:id="rId12742"/>
        </w:object>
      </w:r>
    </w:p>
    <w:p w14:paraId="436F9A80" w14:textId="77777777" w:rsidR="00556C10" w:rsidRPr="002614E7" w:rsidRDefault="00556C10" w:rsidP="00556C10">
      <w:pPr>
        <w:tabs>
          <w:tab w:val="right" w:pos="1287"/>
        </w:tabs>
        <w:spacing w:line="216" w:lineRule="auto"/>
        <w:rPr>
          <w:rFonts w:eastAsiaTheme="minorHAnsi"/>
          <w:i/>
          <w:sz w:val="23"/>
          <w:szCs w:val="23"/>
          <w:rtl/>
        </w:rPr>
      </w:pPr>
      <w:r w:rsidRPr="002614E7">
        <w:rPr>
          <w:rFonts w:hint="cs"/>
          <w:i/>
          <w:sz w:val="23"/>
          <w:szCs w:val="23"/>
          <w:rtl/>
        </w:rPr>
        <w:t>که نشان می‌دهد محافظه کاری بیشتر بانک مرکزی برای عموم بهتر است.</w:t>
      </w:r>
    </w:p>
    <w:p w14:paraId="2B86FFE3"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این نتایج باتوجه به فرض این</w:t>
      </w:r>
      <w:r w:rsidRPr="002614E7">
        <w:rPr>
          <w:rFonts w:hint="cs"/>
          <w:i/>
          <w:sz w:val="23"/>
          <w:szCs w:val="23"/>
          <w:rtl/>
        </w:rPr>
        <w:softHyphen/>
        <w:t>که بانک مرکزی سیاست صلاحدیدی را اعمال می</w:t>
      </w:r>
      <w:r w:rsidRPr="002614E7">
        <w:rPr>
          <w:rFonts w:hint="cs"/>
          <w:i/>
          <w:sz w:val="23"/>
          <w:szCs w:val="23"/>
          <w:rtl/>
        </w:rPr>
        <w:softHyphen/>
        <w:t xml:space="preserve">کند به دست آمده است، ولی آیا نتایج فوق تحت شرایط تعهد یعنی هنگامی که بانک مرکزی خود را متعهد به تنظیم </w:t>
      </w:r>
      <w:r w:rsidRPr="002614E7">
        <w:rPr>
          <w:position w:val="-6"/>
        </w:rPr>
        <w:object w:dxaOrig="620" w:dyaOrig="300" w14:anchorId="031FFE30">
          <v:shape id="_x0000_i7337" type="#_x0000_t75" style="width:30.85pt;height:14.5pt" o:ole="">
            <v:imagedata r:id="rId12743" o:title=""/>
          </v:shape>
          <o:OLEObject Type="Embed" ProgID="Equation.DSMT4" ShapeID="_x0000_i7337" DrawAspect="Content" ObjectID="_1791381280" r:id="rId12744"/>
        </w:object>
      </w:r>
      <w:r w:rsidRPr="002614E7">
        <w:rPr>
          <w:rFonts w:hint="cs"/>
          <w:i/>
          <w:sz w:val="23"/>
          <w:szCs w:val="23"/>
          <w:rtl/>
        </w:rPr>
        <w:t xml:space="preserve"> می‌کند نیز به دست خواهد آمد؟ در این حالت نه تورش تورم و نه سود تولید انتظاری وجود دارد. ضمناً</w:t>
      </w:r>
    </w:p>
    <w:p w14:paraId="751363B4"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2"/>
        </w:rPr>
        <w:object w:dxaOrig="2220" w:dyaOrig="560" w14:anchorId="7D672CEF">
          <v:shape id="_x0000_i7338" type="#_x0000_t75" style="width:110.7pt;height:27.85pt" o:ole="">
            <v:imagedata r:id="rId12745" o:title=""/>
          </v:shape>
          <o:OLEObject Type="Embed" ProgID="Equation.DSMT4" ShapeID="_x0000_i7338" DrawAspect="Content" ObjectID="_1791381281" r:id="rId12746"/>
        </w:object>
      </w:r>
    </w:p>
    <w:p w14:paraId="03E4F218"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22"/>
        </w:rPr>
        <w:object w:dxaOrig="1540" w:dyaOrig="560" w14:anchorId="7A33C130">
          <v:shape id="_x0000_i7339" type="#_x0000_t75" style="width:76.85pt;height:27.85pt" o:ole="">
            <v:imagedata r:id="rId12747" o:title=""/>
          </v:shape>
          <o:OLEObject Type="Embed" ProgID="Equation.DSMT4" ShapeID="_x0000_i7339" DrawAspect="Content" ObjectID="_1791381282" r:id="rId12748"/>
        </w:object>
      </w:r>
    </w:p>
    <w:p w14:paraId="01284662"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 xml:space="preserve">که یکبار دیگر نشان می‌دهد اگر بانک مرکزی محافظه کارتر باشد هیچ منفعتی برای مردم بوجود نخواهد آمد. </w:t>
      </w:r>
    </w:p>
    <w:p w14:paraId="0120D1E8"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رفاه انتظاری عموم مردم و بانک مرکزی را می‌توان تحت شرایط تعهد به یک قاعده و همچنین شرایط صلاحدید با یکدیگر مقایسه کرد. برای عموم مردم نتایج مشابه</w:t>
      </w:r>
      <w:r w:rsidRPr="002614E7">
        <w:rPr>
          <w:rFonts w:hint="cs"/>
          <w:i/>
          <w:sz w:val="23"/>
          <w:szCs w:val="23"/>
          <w:rtl/>
        </w:rPr>
        <w:softHyphen/>
        <w:t>ی را همانند قبل به دست می‌آوریم:تعهد مرجح است به</w:t>
      </w:r>
      <w:r w:rsidRPr="002614E7">
        <w:rPr>
          <w:rFonts w:hint="cs"/>
          <w:i/>
          <w:sz w:val="23"/>
          <w:szCs w:val="23"/>
          <w:rtl/>
        </w:rPr>
        <w:softHyphen/>
        <w:t>طوری</w:t>
      </w:r>
      <w:r w:rsidRPr="002614E7">
        <w:rPr>
          <w:rFonts w:hint="cs"/>
          <w:i/>
          <w:sz w:val="23"/>
          <w:szCs w:val="23"/>
          <w:rtl/>
        </w:rPr>
        <w:softHyphen/>
        <w:t>که</w:t>
      </w:r>
    </w:p>
    <w:p w14:paraId="63215C84"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6"/>
        </w:rPr>
        <w:object w:dxaOrig="4120" w:dyaOrig="680" w14:anchorId="2E8742A7">
          <v:shape id="_x0000_i7340" type="#_x0000_t75" style="width:205.7pt;height:33.9pt" o:ole="">
            <v:imagedata r:id="rId12749" o:title=""/>
          </v:shape>
          <o:OLEObject Type="Embed" ProgID="Equation.DSMT4" ShapeID="_x0000_i7340" DrawAspect="Content" ObjectID="_1791381283" r:id="rId12750"/>
        </w:object>
      </w:r>
    </w:p>
    <w:p w14:paraId="11E711E0" w14:textId="77777777" w:rsidR="00556C10" w:rsidRPr="002614E7" w:rsidRDefault="00556C10" w:rsidP="00556C10">
      <w:pPr>
        <w:bidi w:val="0"/>
        <w:spacing w:line="216" w:lineRule="auto"/>
        <w:rPr>
          <w:i/>
          <w:sz w:val="23"/>
          <w:szCs w:val="23"/>
        </w:rPr>
      </w:pPr>
      <w:r w:rsidRPr="002614E7">
        <w:rPr>
          <w:position w:val="-26"/>
        </w:rPr>
        <w:object w:dxaOrig="4360" w:dyaOrig="680" w14:anchorId="1614D005">
          <v:shape id="_x0000_i7341" type="#_x0000_t75" style="width:217.8pt;height:33.9pt" o:ole="">
            <v:imagedata r:id="rId12751" o:title=""/>
          </v:shape>
          <o:OLEObject Type="Embed" ProgID="Equation.DSMT4" ShapeID="_x0000_i7341" DrawAspect="Content" ObjectID="_1791381284" r:id="rId12752"/>
        </w:object>
      </w:r>
    </w:p>
    <w:p w14:paraId="68A58867" w14:textId="77777777" w:rsidR="00556C10" w:rsidRPr="002614E7" w:rsidRDefault="00556C10" w:rsidP="00556C10">
      <w:pPr>
        <w:spacing w:line="216" w:lineRule="auto"/>
        <w:rPr>
          <w:i/>
          <w:sz w:val="23"/>
          <w:szCs w:val="23"/>
        </w:rPr>
      </w:pPr>
      <w:r w:rsidRPr="002614E7">
        <w:rPr>
          <w:rFonts w:hint="cs"/>
          <w:i/>
          <w:sz w:val="23"/>
          <w:szCs w:val="23"/>
          <w:rtl/>
        </w:rPr>
        <w:t>بنابراین هیچ دلیلی جهت تغییر نتایج قبلی وجود ندارد یعنی، تا جایی که عموم مردم مورد توجه ‌باشند، بانک مرکزی می‌بایست سیاست هدف</w:t>
      </w:r>
      <w:r w:rsidRPr="002614E7">
        <w:rPr>
          <w:rFonts w:hint="cs"/>
          <w:i/>
          <w:sz w:val="23"/>
          <w:szCs w:val="23"/>
          <w:rtl/>
        </w:rPr>
        <w:softHyphen/>
        <w:t>‌گذاری اکید تورم با تعهد را دنبال کند. اکنون می‌توان شرط دیگری را اضافه نمود: بانک مرکزی نمی</w:t>
      </w:r>
      <w:r w:rsidRPr="002614E7">
        <w:rPr>
          <w:i/>
          <w:sz w:val="23"/>
          <w:szCs w:val="23"/>
        </w:rPr>
        <w:softHyphen/>
      </w:r>
      <w:r w:rsidRPr="002614E7">
        <w:rPr>
          <w:rFonts w:hint="cs"/>
          <w:i/>
          <w:sz w:val="23"/>
          <w:szCs w:val="23"/>
          <w:rtl/>
        </w:rPr>
        <w:t>بایست سیاست خود را تغییر دهد.</w:t>
      </w:r>
    </w:p>
    <w:p w14:paraId="316EC2F1" w14:textId="77777777" w:rsidR="00556C10" w:rsidRPr="002614E7" w:rsidRDefault="00556C10" w:rsidP="00556C10">
      <w:pPr>
        <w:tabs>
          <w:tab w:val="right" w:pos="1287"/>
        </w:tabs>
        <w:spacing w:line="216" w:lineRule="auto"/>
        <w:rPr>
          <w:i/>
          <w:sz w:val="23"/>
          <w:szCs w:val="23"/>
        </w:rPr>
      </w:pPr>
    </w:p>
    <w:p w14:paraId="01396422" w14:textId="77777777" w:rsidR="00556C10" w:rsidRPr="002614E7" w:rsidRDefault="00556C10" w:rsidP="00556C10">
      <w:pPr>
        <w:pStyle w:val="Heading1"/>
        <w:spacing w:before="0" w:line="216" w:lineRule="auto"/>
        <w:rPr>
          <w:rFonts w:ascii="Times New Roman" w:hAnsi="Times New Roman" w:cs="B Nazanin"/>
          <w:b w:val="0"/>
          <w:i/>
          <w:sz w:val="23"/>
          <w:szCs w:val="23"/>
          <w:rtl/>
        </w:rPr>
      </w:pPr>
      <w:r w:rsidRPr="002614E7">
        <w:rPr>
          <w:rFonts w:ascii="Times New Roman" w:hAnsi="Times New Roman" w:cs="B Nazanin" w:hint="cs"/>
          <w:b w:val="0"/>
          <w:i/>
          <w:sz w:val="23"/>
          <w:szCs w:val="23"/>
          <w:rtl/>
        </w:rPr>
        <w:t>۱۴. ۶ سیاست پولی بهینه با استفاده از مدل کینزین جدید</w:t>
      </w:r>
    </w:p>
    <w:p w14:paraId="11C311E5" w14:textId="77777777" w:rsidR="00556C10" w:rsidRPr="002614E7" w:rsidRDefault="00556C10" w:rsidP="00556C10">
      <w:pPr>
        <w:tabs>
          <w:tab w:val="right" w:pos="1287"/>
        </w:tabs>
        <w:spacing w:line="216" w:lineRule="auto"/>
        <w:rPr>
          <w:bCs/>
          <w:i/>
          <w:sz w:val="23"/>
          <w:szCs w:val="23"/>
          <w:rtl/>
        </w:rPr>
      </w:pPr>
      <w:r w:rsidRPr="002614E7">
        <w:rPr>
          <w:rFonts w:hint="cs"/>
          <w:bCs/>
          <w:i/>
          <w:sz w:val="23"/>
          <w:szCs w:val="23"/>
          <w:rtl/>
        </w:rPr>
        <w:t>استفاده از سیاست صلاحدیدی</w:t>
      </w:r>
    </w:p>
    <w:p w14:paraId="039231BF"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مدل بارو- گوردون نسخه</w:t>
      </w:r>
      <w:r w:rsidRPr="002614E7">
        <w:rPr>
          <w:rFonts w:hint="cs"/>
          <w:i/>
          <w:sz w:val="23"/>
          <w:szCs w:val="23"/>
          <w:rtl/>
        </w:rPr>
        <w:softHyphen/>
        <w:t>ی خاصی از مدل کینزین جدید است. اکنون سیاست پولی بهینه را با استفاده از مدل کینزین جدید که قبلاً به دست آوردیم، به وسیله</w:t>
      </w:r>
      <w:r w:rsidRPr="002614E7">
        <w:rPr>
          <w:rFonts w:hint="cs"/>
          <w:i/>
          <w:sz w:val="23"/>
          <w:szCs w:val="23"/>
          <w:rtl/>
        </w:rPr>
        <w:softHyphen/>
        <w:t>ی معادلات (۱۴. ۳۰)</w:t>
      </w:r>
      <w:r w:rsidRPr="002614E7">
        <w:rPr>
          <w:rFonts w:eastAsiaTheme="minorEastAsia" w:hint="cs"/>
          <w:i/>
          <w:sz w:val="23"/>
          <w:szCs w:val="23"/>
          <w:rtl/>
        </w:rPr>
        <w:t xml:space="preserve"> </w:t>
      </w:r>
      <w:r w:rsidRPr="002614E7">
        <w:rPr>
          <w:rFonts w:hint="cs"/>
          <w:i/>
          <w:sz w:val="23"/>
          <w:szCs w:val="23"/>
          <w:rtl/>
        </w:rPr>
        <w:t>و (۱۴. ۳۱) بررسی می‌کنیم. این معادلات عبارت بودند از:</w:t>
      </w:r>
    </w:p>
    <w:p w14:paraId="1A8B2A2B" w14:textId="77777777" w:rsidR="00556C10" w:rsidRPr="002614E7" w:rsidRDefault="00556C10" w:rsidP="00556C10">
      <w:pPr>
        <w:tabs>
          <w:tab w:val="left" w:pos="252"/>
          <w:tab w:val="right" w:pos="1287"/>
          <w:tab w:val="right" w:pos="9027"/>
        </w:tabs>
        <w:bidi w:val="0"/>
        <w:spacing w:line="216" w:lineRule="auto"/>
        <w:rPr>
          <w:i/>
          <w:sz w:val="23"/>
          <w:szCs w:val="23"/>
        </w:rPr>
      </w:pPr>
      <w:r w:rsidRPr="002614E7">
        <w:rPr>
          <w:position w:val="-12"/>
        </w:rPr>
        <w:object w:dxaOrig="3120" w:dyaOrig="360" w14:anchorId="377D1101">
          <v:shape id="_x0000_i7342" type="#_x0000_t75" style="width:156.1pt;height:18.15pt" o:ole="">
            <v:imagedata r:id="rId12753" o:title=""/>
          </v:shape>
          <o:OLEObject Type="Embed" ProgID="Equation.DSMT4" ShapeID="_x0000_i7342" DrawAspect="Content" ObjectID="_1791381285" r:id="rId12754"/>
        </w:object>
      </w:r>
      <w:r w:rsidRPr="002614E7">
        <w:rPr>
          <w:rFonts w:eastAsiaTheme="minorEastAsia"/>
          <w:i/>
          <w:sz w:val="23"/>
          <w:szCs w:val="23"/>
        </w:rPr>
        <w:t xml:space="preserve"> </w:t>
      </w:r>
      <w:r w:rsidRPr="002614E7">
        <w:rPr>
          <w:rFonts w:hint="cs"/>
          <w:i/>
          <w:sz w:val="23"/>
          <w:szCs w:val="23"/>
          <w:rtl/>
        </w:rPr>
        <w:tab/>
        <w:t>(۱۴. ۷۸)</w:t>
      </w:r>
      <w:r w:rsidRPr="002614E7">
        <w:rPr>
          <w:i/>
          <w:sz w:val="23"/>
          <w:szCs w:val="23"/>
        </w:rPr>
        <w:t xml:space="preserve"> </w:t>
      </w:r>
    </w:p>
    <w:p w14:paraId="67DD712C" w14:textId="77777777" w:rsidR="00556C10" w:rsidRPr="002614E7" w:rsidRDefault="00556C10" w:rsidP="00556C10">
      <w:pPr>
        <w:tabs>
          <w:tab w:val="left" w:pos="252"/>
          <w:tab w:val="right" w:pos="1287"/>
          <w:tab w:val="right" w:pos="9027"/>
        </w:tabs>
        <w:bidi w:val="0"/>
        <w:spacing w:line="216" w:lineRule="auto"/>
        <w:rPr>
          <w:i/>
          <w:sz w:val="23"/>
          <w:szCs w:val="23"/>
        </w:rPr>
      </w:pPr>
      <w:r w:rsidRPr="002614E7">
        <w:rPr>
          <w:position w:val="-12"/>
        </w:rPr>
        <w:object w:dxaOrig="3200" w:dyaOrig="360" w14:anchorId="54022E40">
          <v:shape id="_x0000_i7343" type="#_x0000_t75" style="width:160.35pt;height:18.15pt" o:ole="">
            <v:imagedata r:id="rId12755" o:title=""/>
          </v:shape>
          <o:OLEObject Type="Embed" ProgID="Equation.DSMT4" ShapeID="_x0000_i7343" DrawAspect="Content" ObjectID="_1791381286" r:id="rId12756"/>
        </w:object>
      </w:r>
      <w:r w:rsidRPr="002614E7">
        <w:rPr>
          <w:rFonts w:eastAsiaTheme="minorEastAsia"/>
          <w:i/>
          <w:sz w:val="23"/>
          <w:szCs w:val="23"/>
        </w:rPr>
        <w:t xml:space="preserve"> </w:t>
      </w:r>
      <w:r w:rsidRPr="002614E7">
        <w:rPr>
          <w:rFonts w:hint="cs"/>
          <w:i/>
          <w:sz w:val="23"/>
          <w:szCs w:val="23"/>
          <w:rtl/>
        </w:rPr>
        <w:tab/>
        <w:t>(۱۴. ۷۹)</w:t>
      </w:r>
    </w:p>
    <w:p w14:paraId="354B9A5C" w14:textId="77777777" w:rsidR="00556C10" w:rsidRPr="002614E7" w:rsidRDefault="00556C10" w:rsidP="00556C10">
      <w:pPr>
        <w:tabs>
          <w:tab w:val="left" w:pos="252"/>
          <w:tab w:val="right" w:pos="1287"/>
          <w:tab w:val="right" w:pos="9027"/>
        </w:tabs>
        <w:spacing w:line="216" w:lineRule="auto"/>
        <w:rPr>
          <w:i/>
          <w:sz w:val="23"/>
          <w:szCs w:val="23"/>
        </w:rPr>
      </w:pPr>
      <w:r w:rsidRPr="002614E7">
        <w:rPr>
          <w:rFonts w:hint="cs"/>
          <w:i/>
          <w:sz w:val="23"/>
          <w:szCs w:val="23"/>
          <w:rtl/>
        </w:rPr>
        <w:t xml:space="preserve"> که در آن</w:t>
      </w:r>
      <w:r w:rsidRPr="002614E7">
        <w:rPr>
          <w:position w:val="-10"/>
        </w:rPr>
        <w:object w:dxaOrig="1060" w:dyaOrig="320" w14:anchorId="72B533C0">
          <v:shape id="_x0000_i7344" type="#_x0000_t75" style="width:53.25pt;height:15.75pt" o:ole="">
            <v:imagedata r:id="rId12757" o:title=""/>
          </v:shape>
          <o:OLEObject Type="Embed" ProgID="Equation.DSMT4" ShapeID="_x0000_i7344" DrawAspect="Content" ObjectID="_1791381287" r:id="rId12758"/>
        </w:object>
      </w:r>
      <w:r w:rsidRPr="002614E7">
        <w:rPr>
          <w:rFonts w:hint="cs"/>
          <w:i/>
          <w:sz w:val="23"/>
          <w:szCs w:val="23"/>
          <w:rtl/>
        </w:rPr>
        <w:t xml:space="preserve"> برابر است با شکاف تولید،</w:t>
      </w:r>
      <w:r w:rsidRPr="002614E7">
        <w:rPr>
          <w:position w:val="-10"/>
        </w:rPr>
        <w:object w:dxaOrig="279" w:dyaOrig="320" w14:anchorId="2C8F392C">
          <v:shape id="_x0000_i7345" type="#_x0000_t75" style="width:13.9pt;height:15.75pt" o:ole="">
            <v:imagedata r:id="rId12759" o:title=""/>
          </v:shape>
          <o:OLEObject Type="Embed" ProgID="Equation.DSMT4" ShapeID="_x0000_i7345" DrawAspect="Content" ObjectID="_1791381288" r:id="rId12760"/>
        </w:object>
      </w:r>
      <w:r w:rsidRPr="002614E7">
        <w:rPr>
          <w:rFonts w:hint="cs"/>
          <w:i/>
          <w:sz w:val="23"/>
          <w:szCs w:val="23"/>
          <w:rtl/>
        </w:rPr>
        <w:t xml:space="preserve"> و</w:t>
      </w:r>
      <w:r w:rsidRPr="002614E7">
        <w:rPr>
          <w:position w:val="-10"/>
        </w:rPr>
        <w:object w:dxaOrig="279" w:dyaOrig="320" w14:anchorId="0D912088">
          <v:shape id="_x0000_i7346" type="#_x0000_t75" style="width:13.9pt;height:15.75pt" o:ole="">
            <v:imagedata r:id="rId12761" o:title=""/>
          </v:shape>
          <o:OLEObject Type="Embed" ProgID="Equation.DSMT4" ShapeID="_x0000_i7346" DrawAspect="Content" ObjectID="_1791381289" r:id="rId12762"/>
        </w:object>
      </w:r>
      <w:r w:rsidRPr="002614E7">
        <w:rPr>
          <w:rFonts w:eastAsiaTheme="minorEastAsia"/>
          <w:i/>
          <w:sz w:val="23"/>
          <w:szCs w:val="23"/>
        </w:rPr>
        <w:t xml:space="preserve"> </w:t>
      </w:r>
      <w:r w:rsidRPr="002614E7">
        <w:rPr>
          <w:rFonts w:hint="cs"/>
          <w:i/>
          <w:sz w:val="23"/>
          <w:szCs w:val="23"/>
          <w:rtl/>
        </w:rPr>
        <w:t>متغیرهای تصادفی مستقل، با میانگین صفر و ناهمبسته و برای بانک مرکزی ناشناخته</w:t>
      </w:r>
      <w:r w:rsidRPr="002614E7">
        <w:rPr>
          <w:i/>
          <w:sz w:val="23"/>
          <w:szCs w:val="23"/>
          <w:rtl/>
        </w:rPr>
        <w:softHyphen/>
      </w:r>
      <w:r w:rsidRPr="002614E7">
        <w:rPr>
          <w:rFonts w:hint="cs"/>
          <w:i/>
          <w:sz w:val="23"/>
          <w:szCs w:val="23"/>
          <w:rtl/>
        </w:rPr>
        <w:t>اند. تفاوت اصلی بین این مدل و مدل برو- گوردون آن است که این مدل ساختاری پویا دارد.</w:t>
      </w:r>
    </w:p>
    <w:p w14:paraId="306D96D6"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فرض کنید بانک مرکزی با بکارگیری سیاست صلاحدیدی، نرخ بهره</w:t>
      </w:r>
      <w:r w:rsidRPr="002614E7">
        <w:rPr>
          <w:rFonts w:hint="cs"/>
          <w:i/>
          <w:sz w:val="23"/>
          <w:szCs w:val="23"/>
          <w:rtl/>
        </w:rPr>
        <w:softHyphen/>
        <w:t>ی اسمی</w:t>
      </w:r>
      <w:r w:rsidRPr="002614E7">
        <w:rPr>
          <w:position w:val="-10"/>
        </w:rPr>
        <w:object w:dxaOrig="279" w:dyaOrig="320" w14:anchorId="1399C931">
          <v:shape id="_x0000_i7347" type="#_x0000_t75" style="width:13.9pt;height:15.75pt" o:ole="">
            <v:imagedata r:id="rId12763" o:title=""/>
          </v:shape>
          <o:OLEObject Type="Embed" ProgID="Equation.DSMT4" ShapeID="_x0000_i7347" DrawAspect="Content" ObjectID="_1791381290" r:id="rId12764"/>
        </w:object>
      </w:r>
      <w:r w:rsidRPr="002614E7">
        <w:rPr>
          <w:rFonts w:hint="cs"/>
          <w:i/>
          <w:sz w:val="23"/>
          <w:szCs w:val="23"/>
          <w:rtl/>
        </w:rPr>
        <w:t xml:space="preserve"> را برای حداقل کردن تابع هزینه</w:t>
      </w:r>
      <w:r w:rsidRPr="002614E7">
        <w:rPr>
          <w:rFonts w:hint="cs"/>
          <w:i/>
          <w:sz w:val="23"/>
          <w:szCs w:val="23"/>
          <w:rtl/>
        </w:rPr>
        <w:softHyphen/>
        <w:t>ی درجه دومِ یک دوره</w:t>
      </w:r>
      <w:r w:rsidRPr="002614E7">
        <w:rPr>
          <w:rFonts w:hint="cs"/>
          <w:i/>
          <w:sz w:val="23"/>
          <w:szCs w:val="23"/>
          <w:rtl/>
        </w:rPr>
        <w:softHyphen/>
        <w:t>ایِ زیر انتخاب ‌کند.</w:t>
      </w:r>
    </w:p>
    <w:p w14:paraId="77405A4B" w14:textId="77777777" w:rsidR="00556C10" w:rsidRPr="002614E7" w:rsidRDefault="00556C10" w:rsidP="00556C10">
      <w:pPr>
        <w:tabs>
          <w:tab w:val="right" w:pos="1287"/>
          <w:tab w:val="right" w:pos="9027"/>
        </w:tabs>
        <w:bidi w:val="0"/>
        <w:spacing w:line="216" w:lineRule="auto"/>
        <w:rPr>
          <w:i/>
          <w:sz w:val="23"/>
          <w:szCs w:val="23"/>
        </w:rPr>
      </w:pPr>
      <w:r w:rsidRPr="002614E7">
        <w:rPr>
          <w:position w:val="-22"/>
        </w:rPr>
        <w:object w:dxaOrig="3379" w:dyaOrig="560" w14:anchorId="0DC810BB">
          <v:shape id="_x0000_i7348" type="#_x0000_t75" style="width:168.8pt;height:27.85pt" o:ole="">
            <v:imagedata r:id="rId12765" o:title=""/>
          </v:shape>
          <o:OLEObject Type="Embed" ProgID="Equation.DSMT4" ShapeID="_x0000_i7348" DrawAspect="Content" ObjectID="_1791381291" r:id="rId12766"/>
        </w:object>
      </w:r>
      <w:r w:rsidRPr="002614E7">
        <w:rPr>
          <w:rFonts w:hint="cs"/>
          <w:i/>
          <w:sz w:val="23"/>
          <w:szCs w:val="23"/>
          <w:rtl/>
        </w:rPr>
        <w:t xml:space="preserve"> </w:t>
      </w:r>
      <w:r w:rsidRPr="002614E7">
        <w:rPr>
          <w:rFonts w:hint="cs"/>
          <w:i/>
          <w:sz w:val="23"/>
          <w:szCs w:val="23"/>
          <w:rtl/>
        </w:rPr>
        <w:tab/>
      </w:r>
    </w:p>
    <w:p w14:paraId="7AD4E52E"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lastRenderedPageBreak/>
        <w:t>متغیرهای مدل همانند قبل تعریف شده</w:t>
      </w:r>
      <w:r w:rsidRPr="002614E7">
        <w:rPr>
          <w:rFonts w:hint="cs"/>
          <w:i/>
          <w:sz w:val="23"/>
          <w:szCs w:val="23"/>
          <w:rtl/>
        </w:rPr>
        <w:softHyphen/>
        <w:t>اند. می‌توان نشان داد که</w:t>
      </w:r>
    </w:p>
    <w:p w14:paraId="54691251"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30"/>
        </w:rPr>
        <w:object w:dxaOrig="4340" w:dyaOrig="700" w14:anchorId="4F3684B0">
          <v:shape id="_x0000_i7349" type="#_x0000_t75" style="width:217.2pt;height:35.1pt" o:ole="">
            <v:imagedata r:id="rId12767" o:title=""/>
          </v:shape>
          <o:OLEObject Type="Embed" ProgID="Equation.DSMT4" ShapeID="_x0000_i7349" DrawAspect="Content" ObjectID="_1791381292" r:id="rId12768"/>
        </w:object>
      </w:r>
    </w:p>
    <w:p w14:paraId="5DF089F6"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برای ارزیابیِ دو مشتق فوق، می‌بایست حلِ قبلی یعنی معادلات (۱۴. ۳۶) و (۱۴. ۳۷) را مورد استفاده قرار دهیم. بنابراین </w:t>
      </w:r>
    </w:p>
    <w:p w14:paraId="6FE988B7" w14:textId="77777777" w:rsidR="00556C10" w:rsidRPr="002614E7" w:rsidRDefault="00556C10" w:rsidP="00556C10">
      <w:pPr>
        <w:pStyle w:val="MTDisplayEquation"/>
        <w:spacing w:line="216" w:lineRule="auto"/>
        <w:rPr>
          <w:rFonts w:ascii="Times New Roman" w:hAnsi="Times New Roman"/>
          <w:i/>
          <w:sz w:val="23"/>
          <w:szCs w:val="23"/>
          <w:rtl/>
        </w:rPr>
      </w:pPr>
      <w:r w:rsidRPr="002614E7">
        <w:rPr>
          <w:position w:val="-30"/>
        </w:rPr>
        <w:object w:dxaOrig="6039" w:dyaOrig="660" w14:anchorId="798D3AF6">
          <v:shape id="_x0000_i7350" type="#_x0000_t75" style="width:301.9pt;height:32.65pt" o:ole="">
            <v:imagedata r:id="rId12769" o:title=""/>
          </v:shape>
          <o:OLEObject Type="Embed" ProgID="Equation.DSMT4" ShapeID="_x0000_i7350" DrawAspect="Content" ObjectID="_1791381293" r:id="rId12770"/>
        </w:object>
      </w:r>
    </w:p>
    <w:p w14:paraId="6D2ED953" w14:textId="77777777" w:rsidR="00556C10" w:rsidRPr="002614E7" w:rsidRDefault="00556C10" w:rsidP="00556C10">
      <w:pPr>
        <w:bidi w:val="0"/>
        <w:spacing w:line="216" w:lineRule="auto"/>
        <w:rPr>
          <w:i/>
          <w:sz w:val="23"/>
          <w:szCs w:val="23"/>
          <w:rtl/>
        </w:rPr>
      </w:pPr>
      <w:r w:rsidRPr="002614E7">
        <w:rPr>
          <w:position w:val="-28"/>
        </w:rPr>
        <w:object w:dxaOrig="3760" w:dyaOrig="680" w14:anchorId="3A1BE634">
          <v:shape id="_x0000_i7351" type="#_x0000_t75" style="width:188.15pt;height:33.9pt" o:ole="">
            <v:imagedata r:id="rId12771" o:title=""/>
          </v:shape>
          <o:OLEObject Type="Embed" ProgID="Equation.DSMT4" ShapeID="_x0000_i7351" DrawAspect="Content" ObjectID="_1791381294" r:id="rId12772"/>
        </w:object>
      </w:r>
    </w:p>
    <w:p w14:paraId="3954474E" w14:textId="77777777" w:rsidR="00556C10" w:rsidRPr="002614E7" w:rsidRDefault="00556C10" w:rsidP="00556C10">
      <w:pPr>
        <w:bidi w:val="0"/>
        <w:spacing w:line="216" w:lineRule="auto"/>
        <w:rPr>
          <w:i/>
          <w:sz w:val="23"/>
          <w:szCs w:val="23"/>
          <w:rtl/>
        </w:rPr>
      </w:pPr>
      <w:r w:rsidRPr="002614E7">
        <w:rPr>
          <w:position w:val="-48"/>
        </w:rPr>
        <w:object w:dxaOrig="6160" w:dyaOrig="1080" w14:anchorId="5B5B3606">
          <v:shape id="_x0000_i7352" type="#_x0000_t75" style="width:307.95pt;height:54.45pt" o:ole="">
            <v:imagedata r:id="rId12773" o:title=""/>
          </v:shape>
          <o:OLEObject Type="Embed" ProgID="Equation.DSMT4" ShapeID="_x0000_i7352" DrawAspect="Content" ObjectID="_1791381295" r:id="rId12774"/>
        </w:object>
      </w:r>
    </w:p>
    <w:p w14:paraId="71404271"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اگر تغییرات نرخ بهره در زمان </w:t>
      </w:r>
      <w:r w:rsidRPr="002614E7">
        <w:rPr>
          <w:i/>
          <w:sz w:val="23"/>
          <w:szCs w:val="23"/>
        </w:rPr>
        <w:t>t</w:t>
      </w:r>
      <w:r w:rsidRPr="002614E7">
        <w:rPr>
          <w:rFonts w:hint="cs"/>
          <w:i/>
          <w:sz w:val="23"/>
          <w:szCs w:val="23"/>
          <w:rtl/>
        </w:rPr>
        <w:t xml:space="preserve"> موقتی و فقط در همان دوره باشد، آنگاه</w:t>
      </w:r>
    </w:p>
    <w:p w14:paraId="4941D15A"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8"/>
        </w:rPr>
        <w:object w:dxaOrig="1060" w:dyaOrig="639" w14:anchorId="55347BEA">
          <v:shape id="_x0000_i7353" type="#_x0000_t75" style="width:53.25pt;height:32.05pt" o:ole="">
            <v:imagedata r:id="rId12775" o:title=""/>
          </v:shape>
          <o:OLEObject Type="Embed" ProgID="Equation.DSMT4" ShapeID="_x0000_i7353" DrawAspect="Content" ObjectID="_1791381296" r:id="rId12776"/>
        </w:object>
      </w:r>
    </w:p>
    <w:p w14:paraId="7D093D89"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28"/>
        </w:rPr>
        <w:object w:dxaOrig="1020" w:dyaOrig="639" w14:anchorId="5982A3E3">
          <v:shape id="_x0000_i7354" type="#_x0000_t75" style="width:50.8pt;height:32.05pt" o:ole="">
            <v:imagedata r:id="rId12777" o:title=""/>
          </v:shape>
          <o:OLEObject Type="Embed" ProgID="Equation.DSMT4" ShapeID="_x0000_i7354" DrawAspect="Content" ObjectID="_1791381297" r:id="rId12778"/>
        </w:object>
      </w:r>
    </w:p>
    <w:p w14:paraId="668ABAC9"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و لذا</w:t>
      </w:r>
    </w:p>
    <w:p w14:paraId="732CA156" w14:textId="77777777" w:rsidR="00556C10" w:rsidRPr="002614E7" w:rsidRDefault="00556C10" w:rsidP="00556C10">
      <w:pPr>
        <w:tabs>
          <w:tab w:val="right" w:pos="1287"/>
        </w:tabs>
        <w:bidi w:val="0"/>
        <w:spacing w:line="216" w:lineRule="auto"/>
        <w:rPr>
          <w:i/>
          <w:sz w:val="23"/>
          <w:szCs w:val="23"/>
          <w:rtl/>
        </w:rPr>
      </w:pPr>
      <w:r w:rsidRPr="002614E7">
        <w:rPr>
          <w:position w:val="-16"/>
        </w:rPr>
        <w:object w:dxaOrig="2740" w:dyaOrig="420" w14:anchorId="03D61A2E">
          <v:shape id="_x0000_i7355" type="#_x0000_t75" style="width:136.75pt;height:21.2pt" o:ole="">
            <v:imagedata r:id="rId12779" o:title=""/>
          </v:shape>
          <o:OLEObject Type="Embed" ProgID="Equation.DSMT4" ShapeID="_x0000_i7355" DrawAspect="Content" ObjectID="_1791381298" r:id="rId12780"/>
        </w:object>
      </w:r>
    </w:p>
    <w:p w14:paraId="123644CD"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و رابطه</w:t>
      </w:r>
      <w:r w:rsidRPr="002614E7">
        <w:rPr>
          <w:rFonts w:hint="cs"/>
          <w:i/>
          <w:sz w:val="23"/>
          <w:szCs w:val="23"/>
          <w:rtl/>
        </w:rPr>
        <w:softHyphen/>
        <w:t>ی بین تورم و تولید عبارت است از</w:t>
      </w:r>
    </w:p>
    <w:p w14:paraId="46FA16F5"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12"/>
        </w:rPr>
        <w:object w:dxaOrig="2260" w:dyaOrig="360" w14:anchorId="47B6FA9A">
          <v:shape id="_x0000_i7356" type="#_x0000_t75" style="width:113.15pt;height:18.15pt" o:ole="">
            <v:imagedata r:id="rId12781" o:title=""/>
          </v:shape>
          <o:OLEObject Type="Embed" ProgID="Equation.DSMT4" ShapeID="_x0000_i7356" DrawAspect="Content" ObjectID="_1791381299" r:id="rId12782"/>
        </w:object>
      </w:r>
    </w:p>
    <w:p w14:paraId="034F8E79"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با حل این رابطه برای</w:t>
      </w:r>
      <w:r w:rsidRPr="002614E7">
        <w:rPr>
          <w:position w:val="-10"/>
        </w:rPr>
        <w:object w:dxaOrig="440" w:dyaOrig="320" w14:anchorId="51B8C002">
          <v:shape id="_x0000_i7357" type="#_x0000_t75" style="width:21.8pt;height:15.75pt" o:ole="">
            <v:imagedata r:id="rId12783" o:title=""/>
          </v:shape>
          <o:OLEObject Type="Embed" ProgID="Equation.DSMT4" ShapeID="_x0000_i7357" DrawAspect="Content" ObjectID="_1791381300" r:id="rId12784"/>
        </w:object>
      </w:r>
      <w:r w:rsidRPr="002614E7">
        <w:rPr>
          <w:rFonts w:hint="cs"/>
          <w:i/>
          <w:sz w:val="23"/>
          <w:szCs w:val="23"/>
          <w:rtl/>
        </w:rPr>
        <w:t>، و با جای‌گذاری آن در معادله</w:t>
      </w:r>
      <w:r w:rsidRPr="002614E7">
        <w:rPr>
          <w:rFonts w:hint="cs"/>
          <w:i/>
          <w:sz w:val="23"/>
          <w:szCs w:val="23"/>
          <w:rtl/>
        </w:rPr>
        <w:softHyphen/>
        <w:t>ی (۱۴. ۷۸)، حل تورم انتظاری بدست خواهد آمد</w:t>
      </w:r>
    </w:p>
    <w:p w14:paraId="1E1966CA"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92"/>
        </w:rPr>
        <w:object w:dxaOrig="4459" w:dyaOrig="1939" w14:anchorId="37AAF34E">
          <v:shape id="_x0000_i7358" type="#_x0000_t75" style="width:222.65pt;height:97.4pt" o:ole="">
            <v:imagedata r:id="rId12785" o:title=""/>
          </v:shape>
          <o:OLEObject Type="Embed" ProgID="Equation.DSMT4" ShapeID="_x0000_i7358" DrawAspect="Content" ObjectID="_1791381301" r:id="rId12786"/>
        </w:object>
      </w:r>
    </w:p>
    <w:p w14:paraId="4F891B04"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لذا تورم انتظاری به مقادیر پارامترها وابسته است. فرض کنید که</w:t>
      </w:r>
    </w:p>
    <w:p w14:paraId="59DE4BCF"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58"/>
        </w:rPr>
        <w:object w:dxaOrig="1280" w:dyaOrig="1280" w14:anchorId="3444C45D">
          <v:shape id="_x0000_i7359" type="#_x0000_t75" style="width:64.15pt;height:64.15pt" o:ole="">
            <v:imagedata r:id="rId12787" o:title=""/>
          </v:shape>
          <o:OLEObject Type="Embed" ProgID="Equation.DSMT4" ShapeID="_x0000_i7359" DrawAspect="Content" ObjectID="_1791381302" r:id="rId12788"/>
        </w:object>
      </w:r>
    </w:p>
    <w:p w14:paraId="400F187E"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آنگاه حل تورم انتظاری برابر است با</w:t>
      </w:r>
    </w:p>
    <w:p w14:paraId="1E2B80E1"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tl/>
        </w:rPr>
      </w:pPr>
      <w:r w:rsidRPr="002614E7">
        <w:rPr>
          <w:position w:val="-58"/>
        </w:rPr>
        <w:object w:dxaOrig="2240" w:dyaOrig="920" w14:anchorId="4D2DF322">
          <v:shape id="_x0000_i7360" type="#_x0000_t75" style="width:111.95pt;height:46pt" o:ole="">
            <v:imagedata r:id="rId12789" o:title=""/>
          </v:shape>
          <o:OLEObject Type="Embed" ProgID="Equation.DSMT4" ShapeID="_x0000_i7360" DrawAspect="Content" ObjectID="_1791381303" r:id="rId12790"/>
        </w:object>
      </w:r>
      <w:r w:rsidRPr="002614E7">
        <w:rPr>
          <w:rFonts w:ascii="Times New Roman" w:hAnsi="Times New Roman"/>
          <w:i/>
          <w:sz w:val="23"/>
          <w:szCs w:val="23"/>
          <w:rtl/>
        </w:rPr>
        <w:tab/>
      </w:r>
      <w:r>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(۱۴. ۸۰)</w:t>
      </w:r>
      <w:r w:rsidRPr="002614E7">
        <w:rPr>
          <w:rFonts w:ascii="Times New Roman" w:hAnsi="Times New Roman" w:cs="B Nazanin"/>
          <w:i/>
          <w:sz w:val="23"/>
          <w:szCs w:val="23"/>
          <w:rtl/>
        </w:rPr>
        <w:t xml:space="preserve"> </w:t>
      </w:r>
    </w:p>
    <w:p w14:paraId="05FBE8D2" w14:textId="77777777" w:rsidR="00556C10" w:rsidRPr="002614E7" w:rsidRDefault="00556C10" w:rsidP="00556C10">
      <w:pPr>
        <w:pStyle w:val="MTDisplayEquation"/>
        <w:tabs>
          <w:tab w:val="clear" w:pos="6660"/>
          <w:tab w:val="right" w:pos="7110"/>
        </w:tabs>
        <w:bidi/>
        <w:spacing w:line="216" w:lineRule="auto"/>
        <w:rPr>
          <w:rFonts w:ascii="Times New Roman" w:hAnsi="Times New Roman" w:cs="B Nazanin"/>
          <w:i/>
          <w:sz w:val="23"/>
          <w:szCs w:val="23"/>
          <w:rtl/>
        </w:rPr>
      </w:pPr>
      <w:r w:rsidRPr="002614E7">
        <w:rPr>
          <w:rFonts w:ascii="Times New Roman" w:hAnsi="Times New Roman" w:cs="B Nazanin" w:hint="cs"/>
          <w:i/>
          <w:sz w:val="23"/>
          <w:szCs w:val="23"/>
          <w:rtl/>
        </w:rPr>
        <w:t xml:space="preserve">بنابراین </w:t>
      </w:r>
      <w:r w:rsidRPr="002614E7">
        <w:rPr>
          <w:position w:val="-10"/>
        </w:rPr>
        <w:object w:dxaOrig="880" w:dyaOrig="340" w14:anchorId="76D546E6">
          <v:shape id="_x0000_i7361" type="#_x0000_t75" style="width:44.15pt;height:16.95pt" o:ole="">
            <v:imagedata r:id="rId12791" o:title=""/>
          </v:shape>
          <o:OLEObject Type="Embed" ProgID="Equation.DSMT4" ShapeID="_x0000_i7361" DrawAspect="Content" ObjectID="_1791381304" r:id="rId12792"/>
        </w:object>
      </w:r>
      <w:r w:rsidRPr="002614E7">
        <w:rPr>
          <w:rFonts w:ascii="Times New Roman" w:hAnsi="Times New Roman" w:cs="B Nazanin" w:hint="cs"/>
          <w:i/>
          <w:sz w:val="23"/>
          <w:szCs w:val="23"/>
          <w:rtl/>
        </w:rPr>
        <w:t xml:space="preserve"> به </w:t>
      </w:r>
      <w:r w:rsidRPr="002614E7">
        <w:rPr>
          <w:position w:val="-28"/>
        </w:rPr>
        <w:object w:dxaOrig="1280" w:dyaOrig="660" w14:anchorId="6F0DE6CE">
          <v:shape id="_x0000_i7362" type="#_x0000_t75" style="width:64.15pt;height:32.65pt" o:ole="">
            <v:imagedata r:id="rId12793" o:title=""/>
          </v:shape>
          <o:OLEObject Type="Embed" ProgID="Equation.DSMT4" ShapeID="_x0000_i7362" DrawAspect="Content" ObjectID="_1791381305" r:id="rId12794"/>
        </w:object>
      </w:r>
      <w:r w:rsidRPr="002614E7">
        <w:rPr>
          <w:rFonts w:ascii="Times New Roman" w:hAnsi="Times New Roman" w:cs="B Nazanin" w:hint="cs"/>
          <w:i/>
          <w:sz w:val="23"/>
          <w:szCs w:val="23"/>
          <w:rtl/>
        </w:rPr>
        <w:t xml:space="preserve"> وابسته است، و اگر </w:t>
      </w:r>
      <w:r w:rsidRPr="002614E7">
        <w:rPr>
          <w:position w:val="-10"/>
        </w:rPr>
        <w:object w:dxaOrig="540" w:dyaOrig="300" w14:anchorId="035C536B">
          <v:shape id="_x0000_i7363" type="#_x0000_t75" style="width:26.6pt;height:14.5pt" o:ole="">
            <v:imagedata r:id="rId12795" o:title=""/>
          </v:shape>
          <o:OLEObject Type="Embed" ProgID="Equation.DSMT4" ShapeID="_x0000_i7363" DrawAspect="Content" ObjectID="_1791381306" r:id="rId12796"/>
        </w:object>
      </w:r>
      <w:r w:rsidRPr="002614E7">
        <w:rPr>
          <w:rFonts w:ascii="Times New Roman" w:hAnsi="Times New Roman" w:cs="B Nazanin" w:hint="cs"/>
          <w:i/>
          <w:sz w:val="23"/>
          <w:szCs w:val="23"/>
          <w:rtl/>
        </w:rPr>
        <w:t xml:space="preserve"> باشد و یا </w:t>
      </w:r>
      <w:r w:rsidRPr="002614E7">
        <w:rPr>
          <w:position w:val="-6"/>
        </w:rPr>
        <w:object w:dxaOrig="540" w:dyaOrig="260" w14:anchorId="07F8D69D">
          <v:shape id="_x0000_i7364" type="#_x0000_t75" style="width:26.6pt;height:13.3pt" o:ole="">
            <v:imagedata r:id="rId12797" o:title=""/>
          </v:shape>
          <o:OLEObject Type="Embed" ProgID="Equation.DSMT4" ShapeID="_x0000_i7364" DrawAspect="Content" ObjectID="_1791381307" r:id="rId12798"/>
        </w:object>
      </w:r>
      <w:r w:rsidRPr="002614E7">
        <w:rPr>
          <w:rFonts w:ascii="Times New Roman" w:hAnsi="Times New Roman" w:cs="B Nazanin" w:hint="cs"/>
          <w:i/>
          <w:sz w:val="23"/>
          <w:szCs w:val="23"/>
          <w:rtl/>
        </w:rPr>
        <w:t xml:space="preserve"> باشد آنگاه </w:t>
      </w:r>
      <w:r w:rsidRPr="002614E7">
        <w:rPr>
          <w:position w:val="-10"/>
        </w:rPr>
        <w:object w:dxaOrig="859" w:dyaOrig="340" w14:anchorId="704DF4FD">
          <v:shape id="_x0000_i7365" type="#_x0000_t75" style="width:42.95pt;height:16.95pt" o:ole="">
            <v:imagedata r:id="rId12799" o:title=""/>
          </v:shape>
          <o:OLEObject Type="Embed" ProgID="Equation.DSMT4" ShapeID="_x0000_i7365" DrawAspect="Content" ObjectID="_1791381308" r:id="rId12800"/>
        </w:object>
      </w:r>
      <w:r w:rsidRPr="002614E7">
        <w:rPr>
          <w:rFonts w:ascii="Times New Roman" w:hAnsi="Times New Roman" w:cs="B Nazanin" w:hint="cs"/>
          <w:i/>
          <w:sz w:val="23"/>
          <w:szCs w:val="23"/>
          <w:rtl/>
        </w:rPr>
        <w:t xml:space="preserve">. </w:t>
      </w:r>
    </w:p>
    <w:p w14:paraId="2C1F72CB" w14:textId="77777777" w:rsidR="00556C10" w:rsidRPr="002614E7" w:rsidRDefault="00556C10" w:rsidP="00556C10">
      <w:pPr>
        <w:pStyle w:val="MTDisplayEquation"/>
        <w:bidi/>
        <w:spacing w:line="216" w:lineRule="auto"/>
        <w:rPr>
          <w:rFonts w:ascii="Times New Roman" w:hAnsi="Times New Roman" w:cs="B Nazanin"/>
          <w:i/>
          <w:sz w:val="23"/>
          <w:szCs w:val="23"/>
          <w:rtl/>
        </w:rPr>
      </w:pPr>
      <w:r w:rsidRPr="002614E7">
        <w:rPr>
          <w:rFonts w:ascii="Times New Roman" w:hAnsi="Times New Roman" w:cs="B Nazanin" w:hint="cs"/>
          <w:i/>
          <w:sz w:val="23"/>
          <w:szCs w:val="23"/>
          <w:rtl/>
        </w:rPr>
        <w:t>حل تولید انتظاری برابر است با</w:t>
      </w:r>
    </w:p>
    <w:p w14:paraId="4D83998E" w14:textId="77777777" w:rsidR="00556C10" w:rsidRPr="002614E7" w:rsidRDefault="00556C10" w:rsidP="00556C10">
      <w:pPr>
        <w:tabs>
          <w:tab w:val="right" w:pos="1287"/>
        </w:tabs>
        <w:bidi w:val="0"/>
        <w:spacing w:line="216" w:lineRule="auto"/>
        <w:rPr>
          <w:i/>
          <w:sz w:val="23"/>
          <w:szCs w:val="23"/>
          <w:rtl/>
        </w:rPr>
      </w:pPr>
      <w:r w:rsidRPr="002614E7">
        <w:rPr>
          <w:rFonts w:hint="cs"/>
          <w:i/>
          <w:sz w:val="23"/>
          <w:szCs w:val="23"/>
          <w:rtl/>
        </w:rPr>
        <w:t xml:space="preserve"> </w:t>
      </w:r>
      <w:r w:rsidRPr="002614E7">
        <w:rPr>
          <w:position w:val="-58"/>
        </w:rPr>
        <w:object w:dxaOrig="4260" w:dyaOrig="920" w14:anchorId="79BC7156">
          <v:shape id="_x0000_i7366" type="#_x0000_t75" style="width:212.95pt;height:46pt" o:ole="">
            <v:imagedata r:id="rId12801" o:title=""/>
          </v:shape>
          <o:OLEObject Type="Embed" ProgID="Equation.DSMT4" ShapeID="_x0000_i7366" DrawAspect="Content" ObjectID="_1791381309" r:id="rId12802"/>
        </w:object>
      </w:r>
    </w:p>
    <w:p w14:paraId="4CA6C52F"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بنابراین</w:t>
      </w:r>
    </w:p>
    <w:p w14:paraId="34E78BCB"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58"/>
        </w:rPr>
        <w:object w:dxaOrig="1939" w:dyaOrig="920" w14:anchorId="4D54F1F1">
          <v:shape id="_x0000_i7367" type="#_x0000_t75" style="width:97.4pt;height:46pt" o:ole="">
            <v:imagedata r:id="rId12803" o:title=""/>
          </v:shape>
          <o:OLEObject Type="Embed" ProgID="Equation.DSMT4" ShapeID="_x0000_i7367" DrawAspect="Content" ObjectID="_1791381310" r:id="rId12804"/>
        </w:object>
      </w:r>
    </w:p>
    <w:p w14:paraId="31EABDEB"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و برای </w:t>
      </w:r>
      <w:r w:rsidRPr="002614E7">
        <w:rPr>
          <w:position w:val="-10"/>
        </w:rPr>
        <w:object w:dxaOrig="540" w:dyaOrig="300" w14:anchorId="4ED29493">
          <v:shape id="_x0000_i7368" type="#_x0000_t75" style="width:26.6pt;height:14.5pt" o:ole="">
            <v:imagedata r:id="rId12805" o:title=""/>
          </v:shape>
          <o:OLEObject Type="Embed" ProgID="Equation.DSMT4" ShapeID="_x0000_i7368" DrawAspect="Content" ObjectID="_1791381311" r:id="rId12806"/>
        </w:object>
      </w:r>
      <w:r w:rsidRPr="002614E7">
        <w:rPr>
          <w:rFonts w:hint="cs"/>
          <w:i/>
          <w:sz w:val="23"/>
          <w:szCs w:val="23"/>
          <w:rtl/>
        </w:rPr>
        <w:t xml:space="preserve"> خواهیم داشت </w:t>
      </w:r>
      <w:r w:rsidRPr="002614E7">
        <w:rPr>
          <w:position w:val="-10"/>
        </w:rPr>
        <w:object w:dxaOrig="780" w:dyaOrig="320" w14:anchorId="7F9AA610">
          <v:shape id="_x0000_i7369" type="#_x0000_t75" style="width:39.35pt;height:15.75pt" o:ole="">
            <v:imagedata r:id="rId12807" o:title=""/>
          </v:shape>
          <o:OLEObject Type="Embed" ProgID="Equation.DSMT4" ShapeID="_x0000_i7369" DrawAspect="Content" ObjectID="_1791381312" r:id="rId12808"/>
        </w:object>
      </w:r>
      <w:r w:rsidRPr="002614E7">
        <w:rPr>
          <w:rFonts w:hint="cs"/>
          <w:i/>
          <w:sz w:val="23"/>
          <w:szCs w:val="23"/>
          <w:rtl/>
        </w:rPr>
        <w:t xml:space="preserve"> که به </w:t>
      </w:r>
      <w:r w:rsidRPr="002614E7">
        <w:rPr>
          <w:position w:val="-28"/>
        </w:rPr>
        <w:object w:dxaOrig="1260" w:dyaOrig="660" w14:anchorId="6AE1ABC5">
          <v:shape id="_x0000_i7370" type="#_x0000_t75" style="width:62.9pt;height:32.65pt" o:ole="">
            <v:imagedata r:id="rId12809" o:title=""/>
          </v:shape>
          <o:OLEObject Type="Embed" ProgID="Equation.DSMT4" ShapeID="_x0000_i7370" DrawAspect="Content" ObjectID="_1791381313" r:id="rId12810"/>
        </w:object>
      </w:r>
      <w:r w:rsidRPr="002614E7">
        <w:rPr>
          <w:rFonts w:hint="cs"/>
          <w:i/>
          <w:sz w:val="23"/>
          <w:szCs w:val="23"/>
          <w:rtl/>
        </w:rPr>
        <w:t xml:space="preserve"> بستگی دارد، و اگر </w:t>
      </w:r>
      <w:r w:rsidRPr="002614E7">
        <w:rPr>
          <w:position w:val="-10"/>
        </w:rPr>
        <w:object w:dxaOrig="540" w:dyaOrig="300" w14:anchorId="6E879D6C">
          <v:shape id="_x0000_i7371" type="#_x0000_t75" style="width:26.6pt;height:14.5pt" o:ole="">
            <v:imagedata r:id="rId12811" o:title=""/>
          </v:shape>
          <o:OLEObject Type="Embed" ProgID="Equation.DSMT4" ShapeID="_x0000_i7371" DrawAspect="Content" ObjectID="_1791381314" r:id="rId12812"/>
        </w:object>
      </w:r>
      <w:r w:rsidRPr="002614E7">
        <w:rPr>
          <w:rFonts w:hint="cs"/>
          <w:i/>
          <w:sz w:val="23"/>
          <w:szCs w:val="23"/>
          <w:rtl/>
        </w:rPr>
        <w:t xml:space="preserve"> و یا اگر </w:t>
      </w:r>
      <w:r w:rsidRPr="002614E7">
        <w:rPr>
          <w:position w:val="-6"/>
        </w:rPr>
        <w:object w:dxaOrig="600" w:dyaOrig="260" w14:anchorId="63AF37FC">
          <v:shape id="_x0000_i7372" type="#_x0000_t75" style="width:29.65pt;height:13.3pt" o:ole="">
            <v:imagedata r:id="rId12813" o:title=""/>
          </v:shape>
          <o:OLEObject Type="Embed" ProgID="Equation.DSMT4" ShapeID="_x0000_i7372" DrawAspect="Content" ObjectID="_1791381315" r:id="rId12814"/>
        </w:object>
      </w:r>
      <w:r w:rsidRPr="002614E7">
        <w:rPr>
          <w:rFonts w:hint="cs"/>
          <w:i/>
          <w:sz w:val="23"/>
          <w:szCs w:val="23"/>
          <w:rtl/>
        </w:rPr>
        <w:t xml:space="preserve"> باشد آنگاه </w:t>
      </w:r>
      <w:r w:rsidRPr="002614E7">
        <w:rPr>
          <w:position w:val="-10"/>
        </w:rPr>
        <w:object w:dxaOrig="740" w:dyaOrig="320" w14:anchorId="5403B336">
          <v:shape id="_x0000_i7373" type="#_x0000_t75" style="width:36.9pt;height:15.75pt" o:ole="">
            <v:imagedata r:id="rId12815" o:title=""/>
          </v:shape>
          <o:OLEObject Type="Embed" ProgID="Equation.DSMT4" ShapeID="_x0000_i7373" DrawAspect="Content" ObjectID="_1791381316" r:id="rId12816"/>
        </w:object>
      </w:r>
      <w:r w:rsidRPr="002614E7">
        <w:rPr>
          <w:rFonts w:hint="cs"/>
          <w:i/>
          <w:sz w:val="23"/>
          <w:szCs w:val="23"/>
          <w:rtl/>
        </w:rPr>
        <w:t xml:space="preserve"> خواهد بود.</w:t>
      </w:r>
    </w:p>
    <w:p w14:paraId="1584ABAD"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به طور خلاصه، اگر بانک مرکزی هدف‌‌گذاری اکید تورم را دنبال کند و بنابراین</w:t>
      </w:r>
      <w:r w:rsidRPr="002614E7">
        <w:rPr>
          <w:position w:val="-10"/>
        </w:rPr>
        <w:object w:dxaOrig="200" w:dyaOrig="240" w14:anchorId="2CFEF157">
          <v:shape id="_x0000_i7374" type="#_x0000_t75" style="width:10.3pt;height:11.5pt" o:ole="">
            <v:imagedata r:id="rId12817" o:title=""/>
          </v:shape>
          <o:OLEObject Type="Embed" ProgID="Equation.DSMT4" ShapeID="_x0000_i7374" DrawAspect="Content" ObjectID="_1791381317" r:id="rId12818"/>
        </w:object>
      </w:r>
      <w:r w:rsidRPr="002614E7">
        <w:rPr>
          <w:rFonts w:eastAsiaTheme="minorEastAsia"/>
          <w:i/>
          <w:sz w:val="23"/>
          <w:szCs w:val="23"/>
        </w:rPr>
        <w:t xml:space="preserve"> </w:t>
      </w:r>
      <w:r w:rsidRPr="002614E7">
        <w:rPr>
          <w:rFonts w:hint="cs"/>
          <w:i/>
          <w:sz w:val="23"/>
          <w:szCs w:val="23"/>
          <w:rtl/>
        </w:rPr>
        <w:t>را برابر صفر قرار دهد، و یا اگر</w:t>
      </w:r>
      <w:r w:rsidRPr="002614E7">
        <w:rPr>
          <w:position w:val="-6"/>
        </w:rPr>
        <w:object w:dxaOrig="540" w:dyaOrig="260" w14:anchorId="4B7D5E76">
          <v:shape id="_x0000_i7375" type="#_x0000_t75" style="width:26.6pt;height:13.3pt" o:ole="">
            <v:imagedata r:id="rId12819" o:title=""/>
          </v:shape>
          <o:OLEObject Type="Embed" ProgID="Equation.DSMT4" ShapeID="_x0000_i7375" DrawAspect="Content" ObjectID="_1791381318" r:id="rId12820"/>
        </w:object>
      </w:r>
      <w:r w:rsidRPr="002614E7">
        <w:rPr>
          <w:rFonts w:hint="cs"/>
          <w:i/>
          <w:sz w:val="23"/>
          <w:szCs w:val="23"/>
          <w:rtl/>
        </w:rPr>
        <w:t xml:space="preserve"> باشد، سیاست تورم بهینه برمبنای مدل کینزین جدید به اهدافش نائل می‌شود. در هر دو حالت، شکاف تولید انتظاری یا</w:t>
      </w:r>
      <w:r w:rsidRPr="002614E7">
        <w:rPr>
          <w:position w:val="-10"/>
        </w:rPr>
        <w:object w:dxaOrig="380" w:dyaOrig="320" w14:anchorId="239DB620">
          <v:shape id="_x0000_i7376" type="#_x0000_t75" style="width:18.75pt;height:15.75pt" o:ole="">
            <v:imagedata r:id="rId12821" o:title=""/>
          </v:shape>
          <o:OLEObject Type="Embed" ProgID="Equation.DSMT4" ShapeID="_x0000_i7376" DrawAspect="Content" ObjectID="_1791381319" r:id="rId12822"/>
        </w:object>
      </w:r>
      <w:r w:rsidRPr="002614E7">
        <w:rPr>
          <w:rFonts w:hint="cs"/>
          <w:i/>
          <w:sz w:val="23"/>
          <w:szCs w:val="23"/>
          <w:rtl/>
        </w:rPr>
        <w:t xml:space="preserve"> برابر صفر خواهد بود. نرخ بهره</w:t>
      </w:r>
      <w:r w:rsidRPr="002614E7">
        <w:rPr>
          <w:rFonts w:hint="cs"/>
          <w:i/>
          <w:sz w:val="23"/>
          <w:szCs w:val="23"/>
          <w:rtl/>
        </w:rPr>
        <w:softHyphen/>
        <w:t xml:space="preserve">ای که این نتایج را به دست می‌دهد ممکن است از معادله (۱۴. ۷۹) و یا هنگامی که </w:t>
      </w:r>
      <w:r w:rsidRPr="002614E7">
        <w:rPr>
          <w:position w:val="-10"/>
        </w:rPr>
        <w:object w:dxaOrig="740" w:dyaOrig="320" w14:anchorId="7460BA9F">
          <v:shape id="_x0000_i7377" type="#_x0000_t75" style="width:36.9pt;height:15.75pt" o:ole="">
            <v:imagedata r:id="rId12823" o:title=""/>
          </v:shape>
          <o:OLEObject Type="Embed" ProgID="Equation.DSMT4" ShapeID="_x0000_i7377" DrawAspect="Content" ObjectID="_1791381320" r:id="rId12824"/>
        </w:object>
      </w:r>
      <w:r w:rsidRPr="002614E7">
        <w:rPr>
          <w:rFonts w:hint="cs"/>
          <w:i/>
          <w:sz w:val="23"/>
          <w:szCs w:val="23"/>
          <w:rtl/>
        </w:rPr>
        <w:t xml:space="preserve"> است، از معادله‌ی فیشر حاصل ‌شود، که به وسیله رابطه</w:t>
      </w:r>
      <w:r w:rsidRPr="002614E7">
        <w:rPr>
          <w:rFonts w:hint="cs"/>
          <w:i/>
          <w:sz w:val="23"/>
          <w:szCs w:val="23"/>
          <w:rtl/>
        </w:rPr>
        <w:softHyphen/>
        <w:t>ی زیر داده می‌شود،</w:t>
      </w:r>
    </w:p>
    <w:p w14:paraId="1DBAD461"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10"/>
        </w:rPr>
        <w:object w:dxaOrig="2140" w:dyaOrig="340" w14:anchorId="3DE44D2A">
          <v:shape id="_x0000_i7378" type="#_x0000_t75" style="width:107.1pt;height:16.95pt" o:ole="">
            <v:imagedata r:id="rId12825" o:title=""/>
          </v:shape>
          <o:OLEObject Type="Embed" ProgID="Equation.DSMT4" ShapeID="_x0000_i7378" DrawAspect="Content" ObjectID="_1791381321" r:id="rId12826"/>
        </w:object>
      </w:r>
    </w:p>
    <w:p w14:paraId="2372607C"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درنتیجه، انتخاب بهینه عبارت است از تعیین نرخ بهره</w:t>
      </w:r>
      <w:r w:rsidRPr="002614E7">
        <w:rPr>
          <w:rFonts w:hint="cs"/>
          <w:i/>
          <w:sz w:val="23"/>
          <w:szCs w:val="23"/>
          <w:rtl/>
        </w:rPr>
        <w:softHyphen/>
        <w:t>ی اسمی که برابر است با مقدار بلندمدت سازگار با هدف</w:t>
      </w:r>
      <w:r w:rsidRPr="002614E7">
        <w:rPr>
          <w:rFonts w:hint="cs"/>
          <w:i/>
          <w:sz w:val="23"/>
          <w:szCs w:val="23"/>
          <w:rtl/>
        </w:rPr>
        <w:softHyphen/>
        <w:t xml:space="preserve">گذاری ‌تورم. </w:t>
      </w:r>
    </w:p>
    <w:p w14:paraId="75EC4751" w14:textId="77777777" w:rsidR="00556C10" w:rsidRPr="002614E7" w:rsidRDefault="00556C10" w:rsidP="00556C10">
      <w:pPr>
        <w:tabs>
          <w:tab w:val="right" w:pos="1287"/>
        </w:tabs>
        <w:spacing w:line="216" w:lineRule="auto"/>
        <w:rPr>
          <w:i/>
          <w:sz w:val="23"/>
          <w:szCs w:val="23"/>
        </w:rPr>
      </w:pPr>
    </w:p>
    <w:p w14:paraId="0478D934" w14:textId="77777777" w:rsidR="00556C10" w:rsidRPr="002614E7" w:rsidRDefault="00556C10" w:rsidP="00556C10">
      <w:pPr>
        <w:tabs>
          <w:tab w:val="right" w:pos="1287"/>
        </w:tabs>
        <w:spacing w:line="216" w:lineRule="auto"/>
        <w:rPr>
          <w:bCs/>
          <w:i/>
          <w:sz w:val="23"/>
          <w:szCs w:val="23"/>
          <w:rtl/>
        </w:rPr>
      </w:pPr>
      <w:r w:rsidRPr="002614E7">
        <w:rPr>
          <w:rFonts w:hint="cs"/>
          <w:bCs/>
          <w:i/>
          <w:sz w:val="23"/>
          <w:szCs w:val="23"/>
          <w:rtl/>
        </w:rPr>
        <w:t>سیاست مبتنی بر قواعد</w:t>
      </w:r>
    </w:p>
    <w:p w14:paraId="2B314D39"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قبلاً، رفتار تورم و تولید را با اعمال سیاست پولی و بکارگیری قاعده زیر بررسی کردیم</w:t>
      </w:r>
    </w:p>
    <w:p w14:paraId="1D6C596D" w14:textId="77777777" w:rsidR="00556C10" w:rsidRPr="002614E7" w:rsidRDefault="00556C10" w:rsidP="00556C10">
      <w:pPr>
        <w:tabs>
          <w:tab w:val="right" w:pos="1287"/>
        </w:tabs>
        <w:bidi w:val="0"/>
        <w:spacing w:line="216" w:lineRule="auto"/>
        <w:rPr>
          <w:i/>
          <w:sz w:val="23"/>
          <w:szCs w:val="23"/>
          <w:rtl/>
        </w:rPr>
      </w:pPr>
      <w:r w:rsidRPr="002614E7">
        <w:rPr>
          <w:position w:val="-16"/>
        </w:rPr>
        <w:object w:dxaOrig="3100" w:dyaOrig="420" w14:anchorId="7A711135">
          <v:shape id="_x0000_i7379" type="#_x0000_t75" style="width:154.9pt;height:21.2pt" o:ole="">
            <v:imagedata r:id="rId12827" o:title=""/>
          </v:shape>
          <o:OLEObject Type="Embed" ProgID="Equation.DSMT4" ShapeID="_x0000_i7379" DrawAspect="Content" ObjectID="_1791381322" r:id="rId12828"/>
        </w:object>
      </w:r>
      <w:r w:rsidRPr="002614E7">
        <w:rPr>
          <w:rFonts w:eastAsiaTheme="minorHAnsi" w:cstheme="minorBidi"/>
          <w:i/>
          <w:sz w:val="23"/>
          <w:szCs w:val="23"/>
          <w:rtl/>
        </w:rPr>
        <w:tab/>
      </w:r>
      <w:r>
        <w:rPr>
          <w:rFonts w:eastAsiaTheme="minorHAnsi" w:cstheme="minorBidi"/>
          <w:i/>
          <w:sz w:val="23"/>
          <w:szCs w:val="23"/>
          <w:rtl/>
        </w:rPr>
        <w:tab/>
      </w:r>
      <w:r>
        <w:rPr>
          <w:rFonts w:eastAsiaTheme="minorHAnsi" w:cstheme="minorBidi"/>
          <w:i/>
          <w:sz w:val="23"/>
          <w:szCs w:val="23"/>
          <w:rtl/>
        </w:rPr>
        <w:tab/>
      </w:r>
      <w:r>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EastAsia" w:hint="cs"/>
          <w:i/>
          <w:sz w:val="23"/>
          <w:szCs w:val="23"/>
          <w:rtl/>
        </w:rPr>
        <w:t>(۱۴. ۸۱)</w:t>
      </w:r>
      <w:r w:rsidRPr="002614E7">
        <w:rPr>
          <w:rFonts w:eastAsiaTheme="minorEastAsia"/>
          <w:i/>
          <w:sz w:val="23"/>
          <w:szCs w:val="23"/>
        </w:rPr>
        <w:t xml:space="preserve"> </w:t>
      </w:r>
    </w:p>
    <w:p w14:paraId="60AF7CA4"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و به این نتیجه رسیدیم که حل تورم و تولید برابر است با</w:t>
      </w:r>
    </w:p>
    <w:p w14:paraId="474D9BCF" w14:textId="77777777" w:rsidR="00556C10" w:rsidRPr="002614E7" w:rsidRDefault="00556C10" w:rsidP="00556C10">
      <w:pPr>
        <w:pStyle w:val="MTDisplayEquation"/>
        <w:tabs>
          <w:tab w:val="clear" w:pos="6660"/>
          <w:tab w:val="right" w:pos="0"/>
        </w:tabs>
        <w:spacing w:line="216" w:lineRule="auto"/>
        <w:jc w:val="left"/>
        <w:rPr>
          <w:rFonts w:ascii="Times New Roman" w:hAnsi="Times New Roman" w:cs="B Nazanin"/>
          <w:i/>
          <w:sz w:val="23"/>
          <w:szCs w:val="23"/>
        </w:rPr>
      </w:pPr>
      <w:r w:rsidRPr="002614E7">
        <w:rPr>
          <w:position w:val="-30"/>
        </w:rPr>
        <w:object w:dxaOrig="4480" w:dyaOrig="639" w14:anchorId="5EAE0CFF">
          <v:shape id="_x0000_i7380" type="#_x0000_t75" style="width:223.85pt;height:32.05pt" o:ole="">
            <v:imagedata r:id="rId12829" o:title=""/>
          </v:shape>
          <o:OLEObject Type="Embed" ProgID="Equation.DSMT4" ShapeID="_x0000_i7380" DrawAspect="Content" ObjectID="_1791381323" r:id="rId12830"/>
        </w:object>
      </w:r>
      <w:r>
        <w:rPr>
          <w:rtl/>
        </w:rPr>
        <w:tab/>
      </w:r>
      <w:r>
        <w:rPr>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i/>
          <w:sz w:val="23"/>
          <w:szCs w:val="23"/>
          <w:rtl/>
        </w:rPr>
        <w:tab/>
      </w:r>
      <w:r w:rsidRPr="002614E7">
        <w:rPr>
          <w:rFonts w:ascii="Times New Roman" w:hAnsi="Times New Roman" w:cs="B Nazanin" w:hint="cs"/>
          <w:i/>
          <w:sz w:val="23"/>
          <w:szCs w:val="23"/>
          <w:rtl/>
        </w:rPr>
        <w:t>(۱۴. ۸۲)</w:t>
      </w:r>
      <w:r w:rsidRPr="002614E7">
        <w:rPr>
          <w:rFonts w:ascii="Times New Roman" w:hAnsi="Times New Roman" w:cs="B Nazanin"/>
          <w:i/>
          <w:sz w:val="23"/>
          <w:szCs w:val="23"/>
          <w:rtl/>
        </w:rPr>
        <w:t xml:space="preserve"> </w:t>
      </w:r>
    </w:p>
    <w:p w14:paraId="075F3430" w14:textId="77777777" w:rsidR="00556C10" w:rsidRPr="002614E7" w:rsidRDefault="00556C10" w:rsidP="00556C10">
      <w:pPr>
        <w:pStyle w:val="MTDisplayEquation"/>
        <w:tabs>
          <w:tab w:val="clear" w:pos="6660"/>
          <w:tab w:val="right" w:pos="0"/>
        </w:tabs>
        <w:spacing w:line="216" w:lineRule="auto"/>
        <w:jc w:val="left"/>
        <w:rPr>
          <w:rFonts w:ascii="Times New Roman" w:hAnsi="Times New Roman" w:cs="B Nazanin"/>
          <w:i/>
          <w:sz w:val="23"/>
          <w:szCs w:val="23"/>
          <w:rtl/>
        </w:rPr>
      </w:pPr>
      <w:r w:rsidRPr="002614E7">
        <w:rPr>
          <w:position w:val="-30"/>
        </w:rPr>
        <w:object w:dxaOrig="3420" w:dyaOrig="639" w14:anchorId="56357E75">
          <v:shape id="_x0000_i7381" type="#_x0000_t75" style="width:170.6pt;height:32.05pt" o:ole="">
            <v:imagedata r:id="rId12831" o:title=""/>
          </v:shape>
          <o:OLEObject Type="Embed" ProgID="Equation.DSMT4" ShapeID="_x0000_i7381" DrawAspect="Content" ObjectID="_1791381324" r:id="rId12832"/>
        </w:object>
      </w:r>
      <w:r w:rsidRPr="002614E7">
        <w:rPr>
          <w:rFonts w:ascii="Times New Roman" w:hAnsi="Times New Roman" w:cs="B Nazanin" w:hint="cs"/>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Pr>
          <w:rFonts w:ascii="Times New Roman" w:hAnsi="Times New Roman" w:cs="B Nazanin"/>
          <w:i/>
          <w:sz w:val="23"/>
          <w:szCs w:val="23"/>
          <w:rtl/>
        </w:rPr>
        <w:tab/>
      </w:r>
      <w:r>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i/>
          <w:sz w:val="23"/>
          <w:szCs w:val="23"/>
          <w:rtl/>
        </w:rPr>
        <w:tab/>
      </w:r>
      <w:r w:rsidRPr="002614E7">
        <w:rPr>
          <w:rFonts w:ascii="Times New Roman" w:hAnsi="Times New Roman" w:cs="B Nazanin" w:hint="cs"/>
          <w:i/>
          <w:sz w:val="23"/>
          <w:szCs w:val="23"/>
          <w:rtl/>
        </w:rPr>
        <w:t>(۱۴. ۸۳)</w:t>
      </w:r>
    </w:p>
    <w:p w14:paraId="6A61BCB3"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و مقادیر پارامترهای</w:t>
      </w:r>
      <w:r w:rsidRPr="002614E7">
        <w:rPr>
          <w:position w:val="-10"/>
        </w:rPr>
        <w:object w:dxaOrig="220" w:dyaOrig="240" w14:anchorId="5D4136F4">
          <v:shape id="_x0000_i7382" type="#_x0000_t75" style="width:10.9pt;height:11.5pt" o:ole="">
            <v:imagedata r:id="rId12833" o:title=""/>
          </v:shape>
          <o:OLEObject Type="Embed" ProgID="Equation.DSMT4" ShapeID="_x0000_i7382" DrawAspect="Content" ObjectID="_1791381325" r:id="rId12834"/>
        </w:object>
      </w:r>
      <w:r w:rsidRPr="002614E7">
        <w:rPr>
          <w:rFonts w:hint="cs"/>
          <w:i/>
          <w:sz w:val="23"/>
          <w:szCs w:val="23"/>
          <w:rtl/>
        </w:rPr>
        <w:t xml:space="preserve"> و</w:t>
      </w:r>
      <w:r w:rsidRPr="002614E7">
        <w:rPr>
          <w:position w:val="-6"/>
        </w:rPr>
        <w:object w:dxaOrig="180" w:dyaOrig="200" w14:anchorId="29E6106C">
          <v:shape id="_x0000_i7383" type="#_x0000_t75" style="width:9.1pt;height:10.3pt" o:ole="">
            <v:imagedata r:id="rId12835" o:title=""/>
          </v:shape>
          <o:OLEObject Type="Embed" ProgID="Equation.DSMT4" ShapeID="_x0000_i7383" DrawAspect="Content" ObjectID="_1791381326" r:id="rId12836"/>
        </w:object>
      </w:r>
      <w:r w:rsidRPr="002614E7">
        <w:rPr>
          <w:rFonts w:hint="cs"/>
          <w:i/>
          <w:sz w:val="23"/>
          <w:szCs w:val="23"/>
          <w:rtl/>
        </w:rPr>
        <w:t xml:space="preserve"> داده شده بود. برای مثال براساس قاعده تیلور مقادیر</w:t>
      </w:r>
      <w:r w:rsidRPr="002614E7">
        <w:rPr>
          <w:position w:val="-10"/>
        </w:rPr>
        <w:object w:dxaOrig="680" w:dyaOrig="300" w14:anchorId="7A10DAA5">
          <v:shape id="_x0000_i7384" type="#_x0000_t75" style="width:33.9pt;height:14.5pt" o:ole="">
            <v:imagedata r:id="rId12837" o:title=""/>
          </v:shape>
          <o:OLEObject Type="Embed" ProgID="Equation.DSMT4" ShapeID="_x0000_i7384" DrawAspect="Content" ObjectID="_1791381327" r:id="rId12838"/>
        </w:object>
      </w:r>
      <w:r w:rsidRPr="002614E7">
        <w:rPr>
          <w:rFonts w:hint="cs"/>
          <w:i/>
          <w:sz w:val="23"/>
          <w:szCs w:val="23"/>
          <w:rtl/>
        </w:rPr>
        <w:t xml:space="preserve"> و </w:t>
      </w:r>
      <w:r w:rsidRPr="002614E7">
        <w:rPr>
          <w:position w:val="-6"/>
        </w:rPr>
        <w:object w:dxaOrig="680" w:dyaOrig="260" w14:anchorId="73A0DCDB">
          <v:shape id="_x0000_i7385" type="#_x0000_t75" style="width:33.9pt;height:13.3pt" o:ole="">
            <v:imagedata r:id="rId12839" o:title=""/>
          </v:shape>
          <o:OLEObject Type="Embed" ProgID="Equation.DSMT4" ShapeID="_x0000_i7385" DrawAspect="Content" ObjectID="_1791381328" r:id="rId12840"/>
        </w:object>
      </w:r>
      <w:r w:rsidRPr="002614E7">
        <w:rPr>
          <w:rFonts w:hint="cs"/>
          <w:i/>
          <w:sz w:val="23"/>
          <w:szCs w:val="23"/>
          <w:rtl/>
        </w:rPr>
        <w:t xml:space="preserve"> می‌باشد. اکنون مقادیر بهینه</w:t>
      </w:r>
      <w:r w:rsidRPr="002614E7">
        <w:rPr>
          <w:rFonts w:hint="cs"/>
          <w:i/>
          <w:sz w:val="23"/>
          <w:szCs w:val="23"/>
          <w:rtl/>
        </w:rPr>
        <w:softHyphen/>
        <w:t>ی پارامترهای</w:t>
      </w:r>
      <w:r w:rsidRPr="002614E7">
        <w:rPr>
          <w:position w:val="-10"/>
        </w:rPr>
        <w:object w:dxaOrig="279" w:dyaOrig="240" w14:anchorId="7D45B391">
          <v:shape id="_x0000_i7386" type="#_x0000_t75" style="width:13.9pt;height:11.5pt" o:ole="">
            <v:imagedata r:id="rId12841" o:title=""/>
          </v:shape>
          <o:OLEObject Type="Embed" ProgID="Equation.DSMT4" ShapeID="_x0000_i7386" DrawAspect="Content" ObjectID="_1791381329" r:id="rId12842"/>
        </w:object>
      </w:r>
      <w:r w:rsidRPr="002614E7">
        <w:rPr>
          <w:rFonts w:hint="cs"/>
          <w:i/>
          <w:sz w:val="23"/>
          <w:szCs w:val="23"/>
          <w:rtl/>
        </w:rPr>
        <w:t>و</w:t>
      </w:r>
      <w:r w:rsidRPr="002614E7">
        <w:rPr>
          <w:position w:val="-6"/>
        </w:rPr>
        <w:object w:dxaOrig="180" w:dyaOrig="200" w14:anchorId="7606C52C">
          <v:shape id="_x0000_i7387" type="#_x0000_t75" style="width:9.1pt;height:10.3pt" o:ole="">
            <v:imagedata r:id="rId12843" o:title=""/>
          </v:shape>
          <o:OLEObject Type="Embed" ProgID="Equation.DSMT4" ShapeID="_x0000_i7387" DrawAspect="Content" ObjectID="_1791381330" r:id="rId12844"/>
        </w:object>
      </w:r>
      <w:r w:rsidRPr="002614E7">
        <w:rPr>
          <w:rFonts w:eastAsiaTheme="minorEastAsia" w:hint="cs"/>
          <w:i/>
          <w:sz w:val="23"/>
          <w:szCs w:val="23"/>
          <w:rtl/>
        </w:rPr>
        <w:t xml:space="preserve"> </w:t>
      </w:r>
      <w:r w:rsidRPr="002614E7">
        <w:rPr>
          <w:rFonts w:hint="cs"/>
          <w:i/>
          <w:sz w:val="23"/>
          <w:szCs w:val="23"/>
          <w:rtl/>
        </w:rPr>
        <w:t>را بدست خواهیم آورد.</w:t>
      </w:r>
    </w:p>
    <w:p w14:paraId="4290FFC3"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در معادلات (۱۴. ۸۲) و (۱۴. ۸۳)</w:t>
      </w:r>
      <w:r w:rsidRPr="002614E7">
        <w:rPr>
          <w:rFonts w:eastAsiaTheme="minorEastAsia" w:hint="cs"/>
          <w:i/>
          <w:sz w:val="23"/>
          <w:szCs w:val="23"/>
          <w:rtl/>
        </w:rPr>
        <w:t xml:space="preserve"> </w:t>
      </w:r>
      <w:r w:rsidRPr="002614E7">
        <w:rPr>
          <w:rFonts w:hint="cs"/>
          <w:i/>
          <w:sz w:val="23"/>
          <w:szCs w:val="23"/>
          <w:rtl/>
        </w:rPr>
        <w:t>با افزایش</w:t>
      </w:r>
      <w:r w:rsidRPr="002614E7">
        <w:rPr>
          <w:position w:val="-10"/>
        </w:rPr>
        <w:object w:dxaOrig="220" w:dyaOrig="240" w14:anchorId="7CC720CB">
          <v:shape id="_x0000_i7388" type="#_x0000_t75" style="width:10.9pt;height:11.5pt" o:ole="">
            <v:imagedata r:id="rId12845" o:title=""/>
          </v:shape>
          <o:OLEObject Type="Embed" ProgID="Equation.DSMT4" ShapeID="_x0000_i7388" DrawAspect="Content" ObjectID="_1791381331" r:id="rId12846"/>
        </w:object>
      </w:r>
      <w:r w:rsidRPr="002614E7">
        <w:rPr>
          <w:rFonts w:hint="cs"/>
          <w:i/>
          <w:sz w:val="23"/>
          <w:szCs w:val="23"/>
          <w:rtl/>
        </w:rPr>
        <w:t xml:space="preserve"> اثر هر سه شوک بر تورم کاهش یافته، اثر شوک</w:t>
      </w:r>
      <w:r w:rsidRPr="002614E7">
        <w:rPr>
          <w:rFonts w:hint="cs"/>
          <w:i/>
          <w:sz w:val="23"/>
          <w:szCs w:val="23"/>
          <w:rtl/>
        </w:rPr>
        <w:softHyphen/>
        <w:t>های تولید و نرخ بهره بر تولید کاهش یافته، ولی اثر شوک‌ تورم بر تولید افزایش می</w:t>
      </w:r>
      <w:r w:rsidRPr="002614E7">
        <w:rPr>
          <w:rFonts w:hint="cs"/>
          <w:i/>
          <w:sz w:val="23"/>
          <w:szCs w:val="23"/>
          <w:rtl/>
        </w:rPr>
        <w:softHyphen/>
        <w:t>یابد. با افزایش</w:t>
      </w:r>
      <w:r w:rsidRPr="002614E7">
        <w:rPr>
          <w:position w:val="-6"/>
        </w:rPr>
        <w:object w:dxaOrig="180" w:dyaOrig="200" w14:anchorId="7E41F6AA">
          <v:shape id="_x0000_i7389" type="#_x0000_t75" style="width:9.1pt;height:10.3pt" o:ole="">
            <v:imagedata r:id="rId12847" o:title=""/>
          </v:shape>
          <o:OLEObject Type="Embed" ProgID="Equation.DSMT4" ShapeID="_x0000_i7389" DrawAspect="Content" ObjectID="_1791381332" r:id="rId12848"/>
        </w:object>
      </w:r>
      <w:r w:rsidRPr="002614E7">
        <w:rPr>
          <w:rFonts w:hint="cs"/>
          <w:i/>
          <w:sz w:val="23"/>
          <w:szCs w:val="23"/>
          <w:rtl/>
        </w:rPr>
        <w:t xml:space="preserve"> اثر هر سه شوک‌ بر تولید کمتر، و شوک‌های تولید و نرخ بهره بر تورم نیز کمتر است، ولی اثر شوک‌ تورم بر تورم افزایش می</w:t>
      </w:r>
      <w:r w:rsidRPr="002614E7">
        <w:rPr>
          <w:rFonts w:hint="cs"/>
          <w:i/>
          <w:sz w:val="23"/>
          <w:szCs w:val="23"/>
          <w:rtl/>
        </w:rPr>
        <w:softHyphen/>
        <w:t>یابد.</w:t>
      </w:r>
    </w:p>
    <w:p w14:paraId="4FB0A26C"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برای به دست آوردن مقدار بهینه</w:t>
      </w:r>
      <w:r w:rsidRPr="002614E7">
        <w:rPr>
          <w:position w:val="-10"/>
        </w:rPr>
        <w:object w:dxaOrig="220" w:dyaOrig="240" w14:anchorId="43A0DFC1">
          <v:shape id="_x0000_i7390" type="#_x0000_t75" style="width:10.9pt;height:11.5pt" o:ole="">
            <v:imagedata r:id="rId12849" o:title=""/>
          </v:shape>
          <o:OLEObject Type="Embed" ProgID="Equation.DSMT4" ShapeID="_x0000_i7390" DrawAspect="Content" ObjectID="_1791381333" r:id="rId12850"/>
        </w:object>
      </w:r>
      <w:r w:rsidRPr="002614E7">
        <w:rPr>
          <w:rFonts w:hint="cs"/>
          <w:i/>
          <w:sz w:val="23"/>
          <w:szCs w:val="23"/>
          <w:rtl/>
        </w:rPr>
        <w:t xml:space="preserve"> و</w:t>
      </w:r>
      <w:r w:rsidRPr="002614E7">
        <w:rPr>
          <w:position w:val="-6"/>
        </w:rPr>
        <w:object w:dxaOrig="180" w:dyaOrig="200" w14:anchorId="0DB4BCAB">
          <v:shape id="_x0000_i7391" type="#_x0000_t75" style="width:9.1pt;height:10.3pt" o:ole="">
            <v:imagedata r:id="rId12851" o:title=""/>
          </v:shape>
          <o:OLEObject Type="Embed" ProgID="Equation.DSMT4" ShapeID="_x0000_i7391" DrawAspect="Content" ObjectID="_1791381334" r:id="rId12852"/>
        </w:object>
      </w:r>
      <w:r w:rsidRPr="002614E7">
        <w:rPr>
          <w:rFonts w:hint="cs"/>
          <w:i/>
          <w:sz w:val="23"/>
          <w:szCs w:val="23"/>
          <w:rtl/>
        </w:rPr>
        <w:t>، با جایگزاری حل معادلات (۱۴. ۸۲) و (۱۴. ۸۳) در معادله</w:t>
      </w:r>
      <w:r w:rsidRPr="002614E7">
        <w:rPr>
          <w:rFonts w:hint="cs"/>
          <w:i/>
          <w:sz w:val="23"/>
          <w:szCs w:val="23"/>
          <w:rtl/>
        </w:rPr>
        <w:softHyphen/>
        <w:t>ی (۱۴. ۸۰)،</w:t>
      </w:r>
      <w:r w:rsidRPr="002614E7">
        <w:rPr>
          <w:position w:val="-12"/>
        </w:rPr>
        <w:object w:dxaOrig="639" w:dyaOrig="360" w14:anchorId="69B69F85">
          <v:shape id="_x0000_i7392" type="#_x0000_t75" style="width:32.05pt;height:18.15pt" o:ole="">
            <v:imagedata r:id="rId12853" o:title=""/>
          </v:shape>
          <o:OLEObject Type="Embed" ProgID="Equation.DSMT4" ShapeID="_x0000_i7392" DrawAspect="Content" ObjectID="_1791381335" r:id="rId12854"/>
        </w:object>
      </w:r>
      <w:r w:rsidRPr="002614E7">
        <w:rPr>
          <w:rFonts w:eastAsiaTheme="minorEastAsia" w:hint="cs"/>
          <w:i/>
          <w:sz w:val="23"/>
          <w:szCs w:val="23"/>
          <w:rtl/>
        </w:rPr>
        <w:t xml:space="preserve"> </w:t>
      </w:r>
      <w:r w:rsidRPr="002614E7">
        <w:rPr>
          <w:rFonts w:hint="cs"/>
          <w:i/>
          <w:sz w:val="23"/>
          <w:szCs w:val="23"/>
          <w:rtl/>
        </w:rPr>
        <w:t>را ارزیابی می‌کنیم. همان</w:t>
      </w:r>
      <w:r w:rsidRPr="002614E7">
        <w:rPr>
          <w:rFonts w:hint="cs"/>
          <w:i/>
          <w:sz w:val="23"/>
          <w:szCs w:val="23"/>
          <w:rtl/>
        </w:rPr>
        <w:softHyphen/>
        <w:t>طور که فرض شده بود شوک‌ها مستقل از یکدیگرند، بنابراین خواهیم داشت</w:t>
      </w:r>
    </w:p>
    <w:p w14:paraId="4653E71F" w14:textId="77777777" w:rsidR="00556C10" w:rsidRPr="002614E7" w:rsidRDefault="00556C10" w:rsidP="00556C10">
      <w:pPr>
        <w:pStyle w:val="MTDisplayEquation"/>
        <w:spacing w:line="216" w:lineRule="auto"/>
        <w:jc w:val="left"/>
        <w:rPr>
          <w:rFonts w:ascii="Times New Roman" w:hAnsi="Times New Roman" w:cs="B Nazanin"/>
          <w:i/>
          <w:sz w:val="23"/>
          <w:szCs w:val="23"/>
        </w:rPr>
      </w:pPr>
      <w:r w:rsidRPr="002614E7">
        <w:rPr>
          <w:position w:val="-58"/>
        </w:rPr>
        <w:object w:dxaOrig="5660" w:dyaOrig="1280" w14:anchorId="1E12A263">
          <v:shape id="_x0000_i7393" type="#_x0000_t75" style="width:283.15pt;height:64.15pt" o:ole="">
            <v:imagedata r:id="rId12855" o:title=""/>
          </v:shape>
          <o:OLEObject Type="Embed" ProgID="Equation.DSMT4" ShapeID="_x0000_i7393" DrawAspect="Content" ObjectID="_1791381336" r:id="rId12856"/>
        </w:object>
      </w:r>
    </w:p>
    <w:p w14:paraId="1BD65A98"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که در آن</w:t>
      </w:r>
      <w:r w:rsidRPr="002614E7">
        <w:rPr>
          <w:position w:val="-10"/>
        </w:rPr>
        <w:object w:dxaOrig="1080" w:dyaOrig="340" w14:anchorId="4BEC671D">
          <v:shape id="_x0000_i7394" type="#_x0000_t75" style="width:54.45pt;height:16.95pt" o:ole="">
            <v:imagedata r:id="rId12857" o:title=""/>
          </v:shape>
          <o:OLEObject Type="Embed" ProgID="Equation.DSMT4" ShapeID="_x0000_i7394" DrawAspect="Content" ObjectID="_1791381337" r:id="rId12858"/>
        </w:object>
      </w:r>
      <w:r w:rsidRPr="002614E7">
        <w:rPr>
          <w:rFonts w:eastAsiaTheme="minorEastAsia" w:hint="cs"/>
          <w:i/>
          <w:sz w:val="23"/>
          <w:szCs w:val="23"/>
          <w:rtl/>
        </w:rPr>
        <w:t xml:space="preserve"> </w:t>
      </w:r>
      <w:r w:rsidRPr="002614E7">
        <w:rPr>
          <w:rFonts w:hint="cs"/>
          <w:i/>
          <w:sz w:val="23"/>
          <w:szCs w:val="23"/>
          <w:rtl/>
        </w:rPr>
        <w:t>واریانس‌های</w:t>
      </w:r>
      <w:r w:rsidRPr="002614E7">
        <w:rPr>
          <w:position w:val="-10"/>
        </w:rPr>
        <w:object w:dxaOrig="1100" w:dyaOrig="320" w14:anchorId="473C9163">
          <v:shape id="_x0000_i7395" type="#_x0000_t75" style="width:55.05pt;height:15.75pt" o:ole="">
            <v:imagedata r:id="rId12859" o:title=""/>
          </v:shape>
          <o:OLEObject Type="Embed" ProgID="Equation.DSMT4" ShapeID="_x0000_i7395" DrawAspect="Content" ObjectID="_1791381338" r:id="rId12860"/>
        </w:object>
      </w:r>
      <w:r w:rsidRPr="002614E7">
        <w:rPr>
          <w:rFonts w:hint="cs"/>
          <w:i/>
          <w:sz w:val="23"/>
          <w:szCs w:val="23"/>
          <w:rtl/>
        </w:rPr>
        <w:t xml:space="preserve"> می‌باشند. اکنون</w:t>
      </w:r>
      <w:r w:rsidRPr="002614E7">
        <w:rPr>
          <w:position w:val="-12"/>
        </w:rPr>
        <w:object w:dxaOrig="639" w:dyaOrig="360" w14:anchorId="79A2523C">
          <v:shape id="_x0000_i7396" type="#_x0000_t75" style="width:32.05pt;height:18.15pt" o:ole="">
            <v:imagedata r:id="rId12861" o:title=""/>
          </v:shape>
          <o:OLEObject Type="Embed" ProgID="Equation.DSMT4" ShapeID="_x0000_i7396" DrawAspect="Content" ObjectID="_1791381339" r:id="rId12862"/>
        </w:object>
      </w:r>
      <w:r w:rsidRPr="002614E7">
        <w:rPr>
          <w:rFonts w:hint="cs"/>
          <w:i/>
          <w:sz w:val="23"/>
          <w:szCs w:val="23"/>
          <w:rtl/>
        </w:rPr>
        <w:t xml:space="preserve"> را نسبت به </w:t>
      </w:r>
      <w:r w:rsidRPr="002614E7">
        <w:rPr>
          <w:position w:val="-10"/>
        </w:rPr>
        <w:object w:dxaOrig="220" w:dyaOrig="240" w14:anchorId="6339CEBE">
          <v:shape id="_x0000_i7397" type="#_x0000_t75" style="width:10.9pt;height:11.5pt" o:ole="">
            <v:imagedata r:id="rId12863" o:title=""/>
          </v:shape>
          <o:OLEObject Type="Embed" ProgID="Equation.DSMT4" ShapeID="_x0000_i7397" DrawAspect="Content" ObjectID="_1791381340" r:id="rId12864"/>
        </w:object>
      </w:r>
      <w:r w:rsidRPr="002614E7">
        <w:rPr>
          <w:rFonts w:hint="cs"/>
          <w:i/>
          <w:sz w:val="23"/>
          <w:szCs w:val="23"/>
          <w:rtl/>
        </w:rPr>
        <w:t xml:space="preserve"> و</w:t>
      </w:r>
      <w:r w:rsidRPr="002614E7">
        <w:rPr>
          <w:position w:val="-6"/>
        </w:rPr>
        <w:object w:dxaOrig="180" w:dyaOrig="200" w14:anchorId="3BBD2E1C">
          <v:shape id="_x0000_i7398" type="#_x0000_t75" style="width:9.1pt;height:10.3pt" o:ole="">
            <v:imagedata r:id="rId12865" o:title=""/>
          </v:shape>
          <o:OLEObject Type="Embed" ProgID="Equation.DSMT4" ShapeID="_x0000_i7398" DrawAspect="Content" ObjectID="_1791381341" r:id="rId12866"/>
        </w:object>
      </w:r>
      <w:r w:rsidRPr="002614E7">
        <w:rPr>
          <w:rFonts w:eastAsiaTheme="minorEastAsia" w:hint="cs"/>
          <w:i/>
          <w:sz w:val="23"/>
          <w:szCs w:val="23"/>
          <w:rtl/>
        </w:rPr>
        <w:t xml:space="preserve"> </w:t>
      </w:r>
      <w:r w:rsidRPr="002614E7">
        <w:rPr>
          <w:rFonts w:hint="cs"/>
          <w:i/>
          <w:sz w:val="23"/>
          <w:szCs w:val="23"/>
          <w:rtl/>
        </w:rPr>
        <w:t>حداقل می</w:t>
      </w:r>
      <w:r w:rsidRPr="002614E7">
        <w:rPr>
          <w:rFonts w:hint="cs"/>
          <w:i/>
          <w:sz w:val="23"/>
          <w:szCs w:val="23"/>
          <w:rtl/>
        </w:rPr>
        <w:softHyphen/>
        <w:t xml:space="preserve">کنیم. حل عمومی فقط به صورت عددی است و با مقادیر خاص پارامترهای مدل به خاطر غیرخطی بودن شرایط مرتبه اول به دست می‌آید. اما می‌توان حل فرم- بسته را نسبت به یک پارامتر قاعده، و داده شدن دیگری، به دست آورد. برای مثال اگر </w:t>
      </w:r>
      <w:r w:rsidRPr="002614E7">
        <w:rPr>
          <w:position w:val="-6"/>
        </w:rPr>
        <w:object w:dxaOrig="520" w:dyaOrig="260" w14:anchorId="639EAEE7">
          <v:shape id="_x0000_i7399" type="#_x0000_t75" style="width:26pt;height:13.3pt" o:ole="">
            <v:imagedata r:id="rId12867" o:title=""/>
          </v:shape>
          <o:OLEObject Type="Embed" ProgID="Equation.DSMT4" ShapeID="_x0000_i7399" DrawAspect="Content" ObjectID="_1791381342" r:id="rId12868"/>
        </w:object>
      </w:r>
      <w:r w:rsidRPr="002614E7">
        <w:rPr>
          <w:rFonts w:hint="cs"/>
          <w:i/>
          <w:sz w:val="23"/>
          <w:szCs w:val="23"/>
          <w:rtl/>
        </w:rPr>
        <w:t xml:space="preserve"> باشد، با حداقل کردن</w:t>
      </w:r>
      <w:r w:rsidRPr="002614E7">
        <w:rPr>
          <w:position w:val="-12"/>
        </w:rPr>
        <w:object w:dxaOrig="639" w:dyaOrig="360" w14:anchorId="59A8BFBD">
          <v:shape id="_x0000_i7400" type="#_x0000_t75" style="width:32.05pt;height:18.15pt" o:ole="">
            <v:imagedata r:id="rId12869" o:title=""/>
          </v:shape>
          <o:OLEObject Type="Embed" ProgID="Equation.DSMT4" ShapeID="_x0000_i7400" DrawAspect="Content" ObjectID="_1791381343" r:id="rId12870"/>
        </w:object>
      </w:r>
      <w:r w:rsidRPr="002614E7">
        <w:rPr>
          <w:rFonts w:eastAsiaTheme="minorEastAsia"/>
          <w:i/>
          <w:sz w:val="23"/>
          <w:szCs w:val="23"/>
        </w:rPr>
        <w:t xml:space="preserve"> </w:t>
      </w:r>
      <w:r w:rsidRPr="002614E7">
        <w:rPr>
          <w:rFonts w:hint="cs"/>
          <w:i/>
          <w:sz w:val="23"/>
          <w:szCs w:val="23"/>
          <w:rtl/>
        </w:rPr>
        <w:t>برحسب</w:t>
      </w:r>
      <w:r w:rsidRPr="002614E7">
        <w:rPr>
          <w:position w:val="-10"/>
        </w:rPr>
        <w:object w:dxaOrig="220" w:dyaOrig="240" w14:anchorId="39D09E1C">
          <v:shape id="_x0000_i7401" type="#_x0000_t75" style="width:10.9pt;height:11.5pt" o:ole="">
            <v:imagedata r:id="rId12871" o:title=""/>
          </v:shape>
          <o:OLEObject Type="Embed" ProgID="Equation.DSMT4" ShapeID="_x0000_i7401" DrawAspect="Content" ObjectID="_1791381344" r:id="rId12872"/>
        </w:object>
      </w:r>
      <w:r w:rsidRPr="002614E7">
        <w:rPr>
          <w:rFonts w:hint="cs"/>
          <w:i/>
          <w:sz w:val="23"/>
          <w:szCs w:val="23"/>
          <w:rtl/>
        </w:rPr>
        <w:t xml:space="preserve"> خواهیم داشت</w:t>
      </w:r>
    </w:p>
    <w:p w14:paraId="095E33E4" w14:textId="77777777" w:rsidR="00556C10" w:rsidRPr="002614E7" w:rsidRDefault="00556C10" w:rsidP="00556C10">
      <w:pPr>
        <w:pStyle w:val="MTDisplayEquation"/>
        <w:spacing w:line="216" w:lineRule="auto"/>
        <w:rPr>
          <w:rFonts w:ascii="Times New Roman" w:hAnsi="Times New Roman" w:cs="B Nazanin"/>
          <w:i/>
          <w:sz w:val="23"/>
          <w:szCs w:val="23"/>
        </w:rPr>
      </w:pPr>
      <w:r w:rsidRPr="002614E7">
        <w:rPr>
          <w:position w:val="-30"/>
        </w:rPr>
        <w:object w:dxaOrig="3840" w:dyaOrig="700" w14:anchorId="134E79F5">
          <v:shape id="_x0000_i7402" type="#_x0000_t75" style="width:191.8pt;height:35.1pt" o:ole="">
            <v:imagedata r:id="rId12873" o:title=""/>
          </v:shape>
          <o:OLEObject Type="Embed" ProgID="Equation.DSMT4" ShapeID="_x0000_i7402" DrawAspect="Content" ObjectID="_1791381345" r:id="rId12874"/>
        </w:object>
      </w:r>
    </w:p>
    <w:p w14:paraId="7DF96DEB"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بنابراین با افزایش واریانس</w:t>
      </w:r>
      <w:r w:rsidRPr="002614E7">
        <w:rPr>
          <w:rFonts w:hint="cs"/>
          <w:i/>
          <w:sz w:val="23"/>
          <w:szCs w:val="23"/>
          <w:rtl/>
        </w:rPr>
        <w:softHyphen/>
        <w:t>های شوک‌های تولید و نرخ‌های بهره نسبت به واریانس شوک‌های تورم، یعنی</w:t>
      </w:r>
      <w:r w:rsidRPr="002614E7">
        <w:rPr>
          <w:position w:val="-28"/>
        </w:rPr>
        <w:object w:dxaOrig="340" w:dyaOrig="660" w14:anchorId="44A9610E">
          <v:shape id="_x0000_i7403" type="#_x0000_t75" style="width:16.95pt;height:32.65pt" o:ole="">
            <v:imagedata r:id="rId12875" o:title=""/>
          </v:shape>
          <o:OLEObject Type="Embed" ProgID="Equation.DSMT4" ShapeID="_x0000_i7403" DrawAspect="Content" ObjectID="_1791381346" r:id="rId12876"/>
        </w:object>
      </w:r>
      <w:r w:rsidRPr="002614E7">
        <w:rPr>
          <w:rFonts w:hint="cs"/>
          <w:i/>
          <w:sz w:val="23"/>
          <w:szCs w:val="23"/>
          <w:rtl/>
        </w:rPr>
        <w:t xml:space="preserve"> و</w:t>
      </w:r>
      <w:r w:rsidRPr="002614E7">
        <w:rPr>
          <w:position w:val="-28"/>
        </w:rPr>
        <w:object w:dxaOrig="360" w:dyaOrig="660" w14:anchorId="30FD20A4">
          <v:shape id="_x0000_i7404" type="#_x0000_t75" style="width:18.15pt;height:32.65pt" o:ole="">
            <v:imagedata r:id="rId12877" o:title=""/>
          </v:shape>
          <o:OLEObject Type="Embed" ProgID="Equation.DSMT4" ShapeID="_x0000_i7404" DrawAspect="Content" ObjectID="_1791381347" r:id="rId12878"/>
        </w:object>
      </w:r>
      <w:r w:rsidRPr="002614E7">
        <w:rPr>
          <w:rFonts w:hint="cs"/>
          <w:i/>
          <w:sz w:val="23"/>
          <w:szCs w:val="23"/>
          <w:rtl/>
        </w:rPr>
        <w:t xml:space="preserve"> ، نرخ بهره هنگامی</w:t>
      </w:r>
      <w:r w:rsidRPr="002614E7">
        <w:rPr>
          <w:rFonts w:hint="cs"/>
          <w:i/>
          <w:sz w:val="23"/>
          <w:szCs w:val="23"/>
          <w:rtl/>
        </w:rPr>
        <w:softHyphen/>
        <w:t>که تورم بیشتر از هدفش باشد، افزایش خواهد یافت. به عبارت دیگر تحت شرایط هدف‌‌گذاری اکید تورم، هنگامی</w:t>
      </w:r>
      <w:r w:rsidRPr="002614E7">
        <w:rPr>
          <w:rFonts w:hint="cs"/>
          <w:i/>
          <w:sz w:val="23"/>
          <w:szCs w:val="23"/>
          <w:rtl/>
        </w:rPr>
        <w:softHyphen/>
        <w:t xml:space="preserve">که </w:t>
      </w:r>
      <w:r w:rsidRPr="002614E7">
        <w:rPr>
          <w:position w:val="-10"/>
        </w:rPr>
        <w:object w:dxaOrig="540" w:dyaOrig="300" w14:anchorId="79DA0326">
          <v:shape id="_x0000_i7405" type="#_x0000_t75" style="width:26.6pt;height:14.5pt" o:ole="">
            <v:imagedata r:id="rId12879" o:title=""/>
          </v:shape>
          <o:OLEObject Type="Embed" ProgID="Equation.DSMT4" ShapeID="_x0000_i7405" DrawAspect="Content" ObjectID="_1791381348" r:id="rId12880"/>
        </w:object>
      </w:r>
      <w:r w:rsidRPr="002614E7">
        <w:rPr>
          <w:rFonts w:hint="cs"/>
          <w:i/>
          <w:sz w:val="23"/>
          <w:szCs w:val="23"/>
          <w:rtl/>
        </w:rPr>
        <w:t xml:space="preserve"> است داریم</w:t>
      </w:r>
    </w:p>
    <w:p w14:paraId="64FAC422" w14:textId="77777777" w:rsidR="00556C10" w:rsidRPr="002614E7" w:rsidRDefault="00556C10" w:rsidP="00556C10">
      <w:pPr>
        <w:tabs>
          <w:tab w:val="right" w:pos="1287"/>
        </w:tabs>
        <w:bidi w:val="0"/>
        <w:spacing w:line="216" w:lineRule="auto"/>
        <w:rPr>
          <w:i/>
          <w:sz w:val="23"/>
          <w:szCs w:val="23"/>
        </w:rPr>
      </w:pPr>
      <w:r w:rsidRPr="002614E7">
        <w:rPr>
          <w:position w:val="-36"/>
        </w:rPr>
        <w:object w:dxaOrig="5220" w:dyaOrig="700" w14:anchorId="3BB7C543">
          <v:shape id="_x0000_i7406" type="#_x0000_t75" style="width:260.75pt;height:35.1pt" o:ole="">
            <v:imagedata r:id="rId12881" o:title=""/>
          </v:shape>
          <o:OLEObject Type="Embed" ProgID="Equation.DSMT4" ShapeID="_x0000_i7406" DrawAspect="Content" ObjectID="_1791381349" r:id="rId12882"/>
        </w:object>
      </w:r>
    </w:p>
    <w:p w14:paraId="03433E9F"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lastRenderedPageBreak/>
        <w:t>لذا مقدار بهینه</w:t>
      </w:r>
      <w:r w:rsidRPr="002614E7">
        <w:rPr>
          <w:position w:val="-10"/>
        </w:rPr>
        <w:object w:dxaOrig="220" w:dyaOrig="240" w14:anchorId="141769F1">
          <v:shape id="_x0000_i7407" type="#_x0000_t75" style="width:10.9pt;height:11.5pt" o:ole="">
            <v:imagedata r:id="rId12883" o:title=""/>
          </v:shape>
          <o:OLEObject Type="Embed" ProgID="Equation.DSMT4" ShapeID="_x0000_i7407" DrawAspect="Content" ObjectID="_1791381350" r:id="rId12884"/>
        </w:object>
      </w:r>
      <w:r w:rsidRPr="002614E7">
        <w:rPr>
          <w:rFonts w:hint="cs"/>
          <w:i/>
          <w:sz w:val="23"/>
          <w:szCs w:val="23"/>
          <w:rtl/>
        </w:rPr>
        <w:t xml:space="preserve"> بی</w:t>
      </w:r>
      <w:r w:rsidRPr="002614E7">
        <w:rPr>
          <w:rFonts w:hint="cs"/>
          <w:i/>
          <w:sz w:val="23"/>
          <w:szCs w:val="23"/>
          <w:rtl/>
        </w:rPr>
        <w:softHyphen/>
        <w:t>نهایت خواهد بود. در این حالت علی</w:t>
      </w:r>
      <w:r w:rsidRPr="002614E7">
        <w:rPr>
          <w:rFonts w:hint="cs"/>
          <w:i/>
          <w:sz w:val="23"/>
          <w:szCs w:val="23"/>
          <w:rtl/>
        </w:rPr>
        <w:softHyphen/>
        <w:t>رغم انتخاب</w:t>
      </w:r>
      <w:r w:rsidRPr="002614E7">
        <w:rPr>
          <w:position w:val="-6"/>
        </w:rPr>
        <w:object w:dxaOrig="180" w:dyaOrig="200" w14:anchorId="61480AC8">
          <v:shape id="_x0000_i7408" type="#_x0000_t75" style="width:9.1pt;height:10.3pt" o:ole="">
            <v:imagedata r:id="rId12885" o:title=""/>
          </v:shape>
          <o:OLEObject Type="Embed" ProgID="Equation.DSMT4" ShapeID="_x0000_i7408" DrawAspect="Content" ObjectID="_1791381351" r:id="rId12886"/>
        </w:object>
      </w:r>
      <w:r w:rsidRPr="002614E7">
        <w:rPr>
          <w:rFonts w:hint="cs"/>
          <w:i/>
          <w:sz w:val="23"/>
          <w:szCs w:val="23"/>
          <w:rtl/>
        </w:rPr>
        <w:t xml:space="preserve">، مقدار </w:t>
      </w:r>
      <w:r w:rsidRPr="002614E7">
        <w:rPr>
          <w:position w:val="-12"/>
        </w:rPr>
        <w:object w:dxaOrig="980" w:dyaOrig="360" w14:anchorId="23D27865">
          <v:shape id="_x0000_i7409" type="#_x0000_t75" style="width:49pt;height:18.15pt" o:ole="">
            <v:imagedata r:id="rId12887" o:title=""/>
          </v:shape>
          <o:OLEObject Type="Embed" ProgID="Equation.DSMT4" ShapeID="_x0000_i7409" DrawAspect="Content" ObjectID="_1791381352" r:id="rId12888"/>
        </w:object>
      </w:r>
      <w:r w:rsidRPr="002614E7">
        <w:rPr>
          <w:rFonts w:eastAsiaTheme="minorEastAsia" w:hint="cs"/>
          <w:i/>
          <w:sz w:val="23"/>
          <w:szCs w:val="23"/>
          <w:rtl/>
        </w:rPr>
        <w:t xml:space="preserve"> </w:t>
      </w:r>
      <w:r w:rsidRPr="002614E7">
        <w:rPr>
          <w:rFonts w:hint="cs"/>
          <w:i/>
          <w:sz w:val="23"/>
          <w:szCs w:val="23"/>
          <w:rtl/>
        </w:rPr>
        <w:t>می‌باشد. هر چند با انتخاب</w:t>
      </w:r>
      <w:r w:rsidRPr="002614E7">
        <w:rPr>
          <w:position w:val="-10"/>
        </w:rPr>
        <w:object w:dxaOrig="600" w:dyaOrig="240" w14:anchorId="5C617715">
          <v:shape id="_x0000_i7410" type="#_x0000_t75" style="width:29.65pt;height:11.5pt" o:ole="">
            <v:imagedata r:id="rId12889" o:title=""/>
          </v:shape>
          <o:OLEObject Type="Embed" ProgID="Equation.DSMT4" ShapeID="_x0000_i7410" DrawAspect="Content" ObjectID="_1791381353" r:id="rId12890"/>
        </w:object>
      </w:r>
      <w:r w:rsidRPr="002614E7">
        <w:rPr>
          <w:rFonts w:hint="cs"/>
          <w:i/>
          <w:sz w:val="23"/>
          <w:szCs w:val="23"/>
          <w:rtl/>
        </w:rPr>
        <w:t>، نرخ بهره به شدت نوسان</w:t>
      </w:r>
      <w:r w:rsidRPr="002614E7">
        <w:rPr>
          <w:rFonts w:hint="cs"/>
          <w:i/>
          <w:sz w:val="23"/>
          <w:szCs w:val="23"/>
          <w:rtl/>
        </w:rPr>
        <w:softHyphen/>
        <w:t>پذیر خواهد شد.</w:t>
      </w:r>
    </w:p>
    <w:p w14:paraId="45C60D50"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این نتایج مشکل جدیدی را که همان هزینه</w:t>
      </w:r>
      <w:r w:rsidRPr="002614E7">
        <w:rPr>
          <w:rFonts w:hint="cs"/>
          <w:i/>
          <w:sz w:val="23"/>
          <w:szCs w:val="23"/>
          <w:rtl/>
        </w:rPr>
        <w:softHyphen/>
        <w:t>ی اقتصادی نوسان</w:t>
      </w:r>
      <w:r w:rsidRPr="002614E7">
        <w:rPr>
          <w:rFonts w:hint="cs"/>
          <w:i/>
          <w:sz w:val="23"/>
          <w:szCs w:val="23"/>
          <w:rtl/>
        </w:rPr>
        <w:softHyphen/>
        <w:t>پذیری ابزار می‌باشد بوجود خواهد آورد. یک راه برای حل این مشکل آن است که تابع هدف‌ را با جریمه</w:t>
      </w:r>
      <w:r w:rsidRPr="002614E7">
        <w:rPr>
          <w:rFonts w:hint="cs"/>
          <w:i/>
          <w:sz w:val="23"/>
          <w:szCs w:val="23"/>
          <w:rtl/>
        </w:rPr>
        <w:softHyphen/>
        <w:t>ی نوسانات نرخ بهره، برای مثال با اضافه نمودن عبارت</w:t>
      </w:r>
      <w:r w:rsidRPr="002614E7">
        <w:rPr>
          <w:position w:val="-16"/>
        </w:rPr>
        <w:object w:dxaOrig="1260" w:dyaOrig="460" w14:anchorId="222249E8">
          <v:shape id="_x0000_i7411" type="#_x0000_t75" style="width:62.9pt;height:23pt" o:ole="">
            <v:imagedata r:id="rId12891" o:title=""/>
          </v:shape>
          <o:OLEObject Type="Embed" ProgID="Equation.DSMT4" ShapeID="_x0000_i7411" DrawAspect="Content" ObjectID="_1791381354" r:id="rId12892"/>
        </w:object>
      </w:r>
      <w:r w:rsidRPr="002614E7">
        <w:rPr>
          <w:rFonts w:hint="cs"/>
          <w:i/>
          <w:sz w:val="23"/>
          <w:szCs w:val="23"/>
          <w:rtl/>
        </w:rPr>
        <w:t xml:space="preserve"> تعدیل نمود. از آنجایی که این جریمه ممکن است نتایج تکراری تغییر در نرخ بهره را داشته باشد، هر چند کوچکتر، نیازمند اصلاحات بیشتری در تابع هدف می</w:t>
      </w:r>
      <w:r w:rsidRPr="002614E7">
        <w:rPr>
          <w:rFonts w:hint="cs"/>
          <w:i/>
          <w:sz w:val="23"/>
          <w:szCs w:val="23"/>
          <w:rtl/>
        </w:rPr>
        <w:softHyphen/>
        <w:t>باشیم که ممکن است با افزودن عبارت</w:t>
      </w:r>
      <w:r w:rsidRPr="002614E7">
        <w:rPr>
          <w:position w:val="-12"/>
        </w:rPr>
        <w:object w:dxaOrig="639" w:dyaOrig="400" w14:anchorId="187A04A1">
          <v:shape id="_x0000_i7412" type="#_x0000_t75" style="width:32.05pt;height:19.95pt" o:ole="">
            <v:imagedata r:id="rId12893" o:title=""/>
          </v:shape>
          <o:OLEObject Type="Embed" ProgID="Equation.DSMT4" ShapeID="_x0000_i7412" DrawAspect="Content" ObjectID="_1791381355" r:id="rId12894"/>
        </w:object>
      </w:r>
      <w:r w:rsidRPr="002614E7">
        <w:rPr>
          <w:rFonts w:hint="cs"/>
          <w:i/>
          <w:sz w:val="23"/>
          <w:szCs w:val="23"/>
          <w:rtl/>
        </w:rPr>
        <w:t xml:space="preserve"> در تابع هدف همراه باشد. این اصلاحات باعث کاهش نوسانات نرخ بهره خواهد شد. با درنظر گرفتن نکات فوق تابع هدف‌ عبارت خواهد بود با</w:t>
      </w:r>
      <w:r w:rsidRPr="002614E7">
        <w:rPr>
          <w:rStyle w:val="FootnoteReference"/>
          <w:i/>
          <w:sz w:val="23"/>
          <w:szCs w:val="23"/>
          <w:rtl/>
        </w:rPr>
        <w:footnoteReference w:id="355"/>
      </w:r>
    </w:p>
    <w:p w14:paraId="59F98EB4" w14:textId="77777777" w:rsidR="00556C10" w:rsidRPr="002614E7" w:rsidRDefault="00556C10" w:rsidP="00556C10">
      <w:pPr>
        <w:pStyle w:val="MTDisplayEquation"/>
        <w:tabs>
          <w:tab w:val="clear" w:pos="6660"/>
          <w:tab w:val="right" w:pos="0"/>
        </w:tabs>
        <w:spacing w:line="216" w:lineRule="auto"/>
        <w:rPr>
          <w:rFonts w:ascii="Times New Roman" w:hAnsi="Times New Roman" w:cs="B Nazanin"/>
          <w:i/>
          <w:sz w:val="23"/>
          <w:szCs w:val="23"/>
          <w:rtl/>
        </w:rPr>
      </w:pPr>
      <w:r w:rsidRPr="002614E7">
        <w:rPr>
          <w:position w:val="-22"/>
        </w:rPr>
        <w:object w:dxaOrig="5920" w:dyaOrig="560" w14:anchorId="1C104292">
          <v:shape id="_x0000_i7413" type="#_x0000_t75" style="width:295.85pt;height:27.85pt" o:ole="">
            <v:imagedata r:id="rId12895" o:title=""/>
          </v:shape>
          <o:OLEObject Type="Embed" ProgID="Equation.DSMT4" ShapeID="_x0000_i7413" DrawAspect="Content" ObjectID="_1791381356" r:id="rId12896"/>
        </w:object>
      </w:r>
      <w:r w:rsidRPr="002614E7">
        <w:rPr>
          <w:rFonts w:ascii="Times New Roman" w:hAnsi="Times New Roman" w:cs="B Nazanin" w:hint="cs"/>
          <w:i/>
          <w:sz w:val="23"/>
          <w:szCs w:val="23"/>
          <w:rtl/>
        </w:rPr>
        <w:t>(۱۴. ۸۴)</w:t>
      </w:r>
    </w:p>
    <w:p w14:paraId="55E47BA9" w14:textId="77777777" w:rsidR="00556C10" w:rsidRPr="002614E7" w:rsidRDefault="00556C10" w:rsidP="00556C10">
      <w:pPr>
        <w:tabs>
          <w:tab w:val="right" w:pos="1287"/>
        </w:tabs>
        <w:spacing w:line="216" w:lineRule="auto"/>
        <w:rPr>
          <w:i/>
          <w:sz w:val="23"/>
          <w:szCs w:val="23"/>
          <w:rtl/>
        </w:rPr>
      </w:pPr>
    </w:p>
    <w:p w14:paraId="3968EE4B" w14:textId="77777777" w:rsidR="00556C10" w:rsidRPr="002614E7" w:rsidRDefault="00556C10" w:rsidP="00556C10">
      <w:pPr>
        <w:pStyle w:val="Heading1"/>
        <w:spacing w:before="0" w:line="216" w:lineRule="auto"/>
        <w:rPr>
          <w:rFonts w:ascii="Times New Roman" w:hAnsi="Times New Roman" w:cs="B Nazanin"/>
          <w:b w:val="0"/>
          <w:i/>
          <w:sz w:val="23"/>
          <w:szCs w:val="23"/>
          <w:rtl/>
        </w:rPr>
      </w:pPr>
      <w:r w:rsidRPr="002614E7">
        <w:rPr>
          <w:rFonts w:ascii="Times New Roman" w:hAnsi="Times New Roman" w:cs="B Nazanin" w:hint="cs"/>
          <w:b w:val="0"/>
          <w:i/>
          <w:sz w:val="23"/>
          <w:szCs w:val="23"/>
          <w:rtl/>
        </w:rPr>
        <w:t>۱۴. ۷ سیاست پولی و مالی بهینه</w:t>
      </w:r>
    </w:p>
    <w:p w14:paraId="098A7C4E"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در مباحث قبل، کاربرد سیاست پولی را برای کنترل تورم و سیاست مالی را در پایداری مالیه‌ی عمومی مورد بررسی قرار دادیم. همچنین در فصل دهم کاربرد این سیاست‌ها را در خصوص بیکاری ملاحظه کردیم. اکنون به این موضوع خواهیم پرداخت که آیا این وظیفه‌ی سیاست پولی و مالی بهینه است یا خیر. </w:t>
      </w:r>
    </w:p>
    <w:p w14:paraId="20CF73A3"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قاعده و اصل کلی در خصوص سیاست بهینه آن است که حداقل به اندازه‌ی اهداف سیاستی ابزارهای سیاستی مورد نیاز است. این ابزارها ممکن است برای یک هدف خاص و یا ترکیبی از اهداف مورد استفاده قرار گیرند. هنگامی که یک ابزار سیاستی به یک هدف خاص اختصاص داده می‌شود هدف دیگری را تحت تأثیر قرار داده و لذا مقامات سیاستی قادر نخواهند بود بطور مستقل عمل کنند. در چنین شرایطی ممکن است یک مقام سیاستی نسبت به تصمیمات مقام سیاستی دیگر واکنش نشان دهد. تصمیمات مستقل مقامات پولی معمولاً با هدف اکید تورم همانند بانک انگلیس و یا </w:t>
      </w:r>
      <w:r w:rsidRPr="002614E7">
        <w:rPr>
          <w:i/>
          <w:sz w:val="23"/>
          <w:szCs w:val="23"/>
        </w:rPr>
        <w:t>ECB</w:t>
      </w:r>
      <w:r w:rsidRPr="002614E7">
        <w:rPr>
          <w:rFonts w:hint="cs"/>
          <w:i/>
          <w:sz w:val="23"/>
          <w:szCs w:val="23"/>
          <w:rtl/>
        </w:rPr>
        <w:t>، و یا هدف</w:t>
      </w:r>
      <w:r w:rsidRPr="002614E7">
        <w:rPr>
          <w:rFonts w:hint="cs"/>
          <w:i/>
          <w:sz w:val="23"/>
          <w:szCs w:val="23"/>
          <w:rtl/>
        </w:rPr>
        <w:softHyphen/>
        <w:t>گذاری تورم انعطاف‌پذیر همانند فدرال رزرو آمریکا همراه است. انتخاب هدف</w:t>
      </w:r>
      <w:r w:rsidRPr="002614E7">
        <w:rPr>
          <w:rFonts w:hint="cs"/>
          <w:i/>
          <w:sz w:val="23"/>
          <w:szCs w:val="23"/>
          <w:rtl/>
        </w:rPr>
        <w:softHyphen/>
        <w:t xml:space="preserve">گذاری تورم انعطاف‌پذیر ممکن است در تشخیص این واقعیت باشد که سیاست پولی دارای اثرات حقیقی در اقتصاد است. اگر سیاست پولی اهداف مقادیر اسمی را دنبال کند، آنگاه سیاست مالی برای مقادیر حقیقی متغیرها همانند پایداری مالیه‌ی عمومی و تثبیت </w:t>
      </w:r>
      <w:r w:rsidRPr="002614E7">
        <w:rPr>
          <w:i/>
          <w:sz w:val="23"/>
          <w:szCs w:val="23"/>
        </w:rPr>
        <w:t>GDP</w:t>
      </w:r>
      <w:r w:rsidRPr="002614E7">
        <w:rPr>
          <w:rFonts w:hint="cs"/>
          <w:i/>
          <w:sz w:val="23"/>
          <w:szCs w:val="23"/>
          <w:rtl/>
        </w:rPr>
        <w:t xml:space="preserve"> می‌بایست مورد استفاده قرار گیرد. مسئله</w:t>
      </w:r>
      <w:r w:rsidRPr="002614E7">
        <w:rPr>
          <w:rFonts w:hint="cs"/>
          <w:i/>
          <w:sz w:val="23"/>
          <w:szCs w:val="23"/>
          <w:rtl/>
        </w:rPr>
        <w:softHyphen/>
        <w:t>ی مطمح نظر آن است که سیاست پولی نیز تولید و هزینه تأمین مالی بدهی، و سیاست مالی نیز احتمالاً قیمت‌ها را تحت تأثیر قرار می</w:t>
      </w:r>
      <w:r w:rsidRPr="002614E7">
        <w:rPr>
          <w:rFonts w:hint="cs"/>
          <w:i/>
          <w:sz w:val="23"/>
          <w:szCs w:val="23"/>
          <w:rtl/>
        </w:rPr>
        <w:softHyphen/>
        <w:t>دهند. در نتیجه دو مقام سیاست</w:t>
      </w:r>
      <w:r w:rsidRPr="002614E7">
        <w:rPr>
          <w:rFonts w:hint="cs"/>
          <w:i/>
          <w:sz w:val="23"/>
          <w:szCs w:val="23"/>
          <w:rtl/>
        </w:rPr>
        <w:softHyphen/>
        <w:t>گذار اقتصادی نمی</w:t>
      </w:r>
      <w:r w:rsidRPr="002614E7">
        <w:rPr>
          <w:rFonts w:hint="cs"/>
          <w:i/>
          <w:sz w:val="23"/>
          <w:szCs w:val="23"/>
          <w:rtl/>
        </w:rPr>
        <w:softHyphen/>
        <w:t xml:space="preserve">توانند </w:t>
      </w:r>
      <w:r w:rsidRPr="002614E7">
        <w:rPr>
          <w:rFonts w:hint="cs"/>
          <w:i/>
          <w:sz w:val="23"/>
          <w:szCs w:val="23"/>
          <w:rtl/>
        </w:rPr>
        <w:lastRenderedPageBreak/>
        <w:t xml:space="preserve">بطور مستقل سیاست‌های خود ا اعمال کنند. لذا، یکی از آن‌ها و احتمالاً هردوی آن‌ها نسبت به سیاست دیگری واکنش نشان خواهد داد. </w:t>
      </w:r>
    </w:p>
    <w:p w14:paraId="5193E9A3"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در مباحث مربوط به سیاست پولی، به کنترل سطح عمومی قیمت</w:t>
      </w:r>
      <w:r w:rsidRPr="002614E7">
        <w:rPr>
          <w:rFonts w:hint="cs"/>
          <w:i/>
          <w:sz w:val="23"/>
          <w:szCs w:val="23"/>
          <w:rtl/>
        </w:rPr>
        <w:softHyphen/>
        <w:t xml:space="preserve">ها و یا نرخ تغییرات آن یعنی تورم و پیامدهای آن در خصوص نرخ ارز اسمی توجه کردیم. اگر قیمت‌ها و دستمزد‌ها کاملاً انعطاف‌پذیر باشند آنگاه سیاست پولی بر متغیرهای حقیقی همانند </w:t>
      </w:r>
      <w:r w:rsidRPr="002614E7">
        <w:rPr>
          <w:i/>
          <w:sz w:val="23"/>
          <w:szCs w:val="23"/>
        </w:rPr>
        <w:t>GDP</w:t>
      </w:r>
      <w:r w:rsidRPr="002614E7">
        <w:rPr>
          <w:rFonts w:hint="cs"/>
          <w:i/>
          <w:sz w:val="23"/>
          <w:szCs w:val="23"/>
          <w:rtl/>
        </w:rPr>
        <w:t xml:space="preserve"> بی</w:t>
      </w:r>
      <w:r w:rsidRPr="002614E7">
        <w:rPr>
          <w:rFonts w:hint="cs"/>
          <w:i/>
          <w:sz w:val="23"/>
          <w:szCs w:val="23"/>
          <w:rtl/>
        </w:rPr>
        <w:softHyphen/>
        <w:t>تأثیر است. امّا چنانچه قیمت‌ها و دستمزدها چسبنده باشند، آنگاه سیاست پولی در کوتاه‌مدت بر متغیرهای حقیقی تأثیر گذاشته و در بلند‌مدت بر آن‌ها بی</w:t>
      </w:r>
      <w:r w:rsidRPr="002614E7">
        <w:rPr>
          <w:rFonts w:hint="cs"/>
          <w:i/>
          <w:sz w:val="23"/>
          <w:szCs w:val="23"/>
          <w:rtl/>
        </w:rPr>
        <w:softHyphen/>
        <w:t xml:space="preserve">تأثیر است. </w:t>
      </w:r>
    </w:p>
    <w:p w14:paraId="3276FF9C"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در تجزیه و تحلیل سیاست مالی در فصل پنجم، توجه اساسی بر قید بودجه‌ی دولت، و بهترین روش تأمین مالی مخارج دولت و دسترسی به پایداری مالی بود. در آن فصل به این نتیجه رسیدیم که مخارج پیوسته و بلند‌مدت دولت می‌بایست از طریق مالیات</w:t>
      </w:r>
      <w:r w:rsidRPr="002614E7">
        <w:rPr>
          <w:rFonts w:hint="cs"/>
          <w:i/>
          <w:sz w:val="23"/>
          <w:szCs w:val="23"/>
          <w:rtl/>
        </w:rPr>
        <w:softHyphen/>
        <w:t xml:space="preserve">ها تأمین مالی شود، و تأمین مالی مخارج موقتی و کوتاه‌مدت دولت با هموارسازی مالیات، مشروط بر آن که ارزش فعلی قید بودجه‌ی دولت برقرار شود، می‌بایست از طریق بدهی و اوراق قرضه انجام شود. در آن فصل توجهی به کاربرد سیاست مالی برای تثبیت کوتاه‌مدت تورم و تولید نکردیم. </w:t>
      </w:r>
    </w:p>
    <w:p w14:paraId="1A38E502"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 اگرچه در ادبیات اقتصادی مطالعات بیشماری در خصوص کاربرد سیاست</w:t>
      </w:r>
      <w:r w:rsidRPr="002614E7">
        <w:rPr>
          <w:rFonts w:hint="cs"/>
          <w:i/>
          <w:sz w:val="23"/>
          <w:szCs w:val="23"/>
          <w:rtl/>
        </w:rPr>
        <w:softHyphen/>
        <w:t>های مالی جهت تثبیت تولید وجود دارد، اما اجماعی در خصوص اثر بخشی این سیاست</w:t>
      </w:r>
      <w:r w:rsidRPr="002614E7">
        <w:rPr>
          <w:rFonts w:hint="cs"/>
          <w:i/>
          <w:sz w:val="23"/>
          <w:szCs w:val="23"/>
          <w:rtl/>
        </w:rPr>
        <w:softHyphen/>
        <w:t>ها وجود ندارد. کینزین‌ها وکینزین‌های جدید به نقش سیاست</w:t>
      </w:r>
      <w:r w:rsidRPr="002614E7">
        <w:rPr>
          <w:rFonts w:hint="cs"/>
          <w:i/>
          <w:sz w:val="23"/>
          <w:szCs w:val="23"/>
          <w:rtl/>
        </w:rPr>
        <w:softHyphen/>
        <w:t>های مالی در تحریک تقاضای کل متمرکز شده و بر اثر بخشی آن تأکید دارند، و تفاوت در آرای آن‌ها فقط نسبت به طول دوره‌ی اثر بخشی این سیاست است. در مقابل، به زعم اقتصاددانان کلاسیک، و اخیراً به پشتوانه قضیه‌ی هم</w:t>
      </w:r>
      <w:r w:rsidRPr="002614E7">
        <w:rPr>
          <w:rFonts w:hint="cs"/>
          <w:i/>
          <w:sz w:val="23"/>
          <w:szCs w:val="23"/>
          <w:rtl/>
        </w:rPr>
        <w:softHyphen/>
        <w:t>ارزی ریکاردین در فصل پنجم، سیاست‌های مالی نه تنها در بلند‌مدت بلکه در کوتاه‌مدت نیز در تثبیت تولید بی</w:t>
      </w:r>
      <w:r w:rsidRPr="002614E7">
        <w:rPr>
          <w:rFonts w:hint="cs"/>
          <w:i/>
          <w:sz w:val="23"/>
          <w:szCs w:val="23"/>
          <w:rtl/>
        </w:rPr>
        <w:softHyphen/>
        <w:t xml:space="preserve">تأثیر است. </w:t>
      </w:r>
    </w:p>
    <w:p w14:paraId="13B62F55"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در اقتصاد کلان مدرن هیچ گونه اجماعی در خصوص چگونگی استفاده‌ی بهینه‌ی سیاست پولی و مالی وجود ندارد. همان</w:t>
      </w:r>
      <w:r w:rsidRPr="002614E7">
        <w:rPr>
          <w:rFonts w:hint="cs"/>
          <w:i/>
          <w:sz w:val="23"/>
          <w:szCs w:val="23"/>
          <w:rtl/>
        </w:rPr>
        <w:softHyphen/>
        <w:t xml:space="preserve">گونه که در این فصل بدان اشاره شد، تجزیه و تحلیل سیاست پولی معمولاً با استفاده‌ی نسخه‌ای از مدل کینزین جدید که شامل منحنی فیلیپس و معادله‌ی </w:t>
      </w:r>
      <w:r w:rsidRPr="002614E7">
        <w:rPr>
          <w:i/>
          <w:sz w:val="23"/>
          <w:szCs w:val="23"/>
        </w:rPr>
        <w:t>IS</w:t>
      </w:r>
      <w:r w:rsidRPr="002614E7">
        <w:rPr>
          <w:rFonts w:hint="cs"/>
          <w:i/>
          <w:sz w:val="23"/>
          <w:szCs w:val="23"/>
          <w:rtl/>
        </w:rPr>
        <w:t xml:space="preserve"> می‌باشد انجام می‌شود. مهمترین جایگزین، بکارگیری نظریه مالیات بهینه همانند فصل پنجم است که در آن به سمت عرضه</w:t>
      </w:r>
      <w:r w:rsidRPr="002614E7">
        <w:rPr>
          <w:rFonts w:hint="cs"/>
          <w:i/>
          <w:sz w:val="23"/>
          <w:szCs w:val="23"/>
          <w:rtl/>
        </w:rPr>
        <w:softHyphen/>
        <w:t xml:space="preserve">ی اقتصاد بجای سمت تقاضای اقتصاد توجه می‌شود. </w:t>
      </w:r>
    </w:p>
    <w:p w14:paraId="4F428CCC"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اکنون با بکارگیری مدل تعادل عمومی تصادفی پویا و بهم آمیختن مدل کینزین جدید و مالیات بهینه، سیاست پولی و مالی را مورد تجزیه و تحلیل قرار می‌دهیم. این مدل دارای معادله‌ی تورم کینزین جدید است، و ابزارهای سیاست</w:t>
      </w:r>
      <w:r w:rsidRPr="002614E7">
        <w:rPr>
          <w:rFonts w:hint="cs"/>
          <w:i/>
          <w:sz w:val="23"/>
          <w:szCs w:val="23"/>
          <w:rtl/>
        </w:rPr>
        <w:softHyphen/>
        <w:t>های پولی و مالی جهت حداقل</w:t>
      </w:r>
      <w:r w:rsidRPr="002614E7">
        <w:rPr>
          <w:rFonts w:hint="cs"/>
          <w:i/>
          <w:sz w:val="23"/>
          <w:szCs w:val="23"/>
          <w:rtl/>
        </w:rPr>
        <w:softHyphen/>
        <w:t>سازی تابع زیان درجه دوم بین‌دوره‌ای تولید و تورم، نسبت به قید بودجه‌ی دولت، و رفتار بخش خصوصی انتخاب می</w:t>
      </w:r>
      <w:r w:rsidRPr="002614E7">
        <w:rPr>
          <w:rFonts w:hint="cs"/>
          <w:i/>
          <w:sz w:val="23"/>
          <w:szCs w:val="23"/>
          <w:rtl/>
        </w:rPr>
        <w:softHyphen/>
        <w:t xml:space="preserve">شوند. </w:t>
      </w:r>
    </w:p>
    <w:p w14:paraId="47203B6F"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فرض کنید خانوار به دنبال حداکثر کردن مطلوبیت تنزیل شده‌ی بین‌دوره‌ای نسبت به قید بودجه‌ی زیر است</w:t>
      </w:r>
    </w:p>
    <w:p w14:paraId="3A94FC8C" w14:textId="77777777" w:rsidR="00556C10" w:rsidRPr="002614E7" w:rsidRDefault="00556C10" w:rsidP="00556C10">
      <w:pPr>
        <w:pStyle w:val="MTDisplayEquation"/>
        <w:spacing w:line="216" w:lineRule="auto"/>
        <w:rPr>
          <w:rFonts w:ascii="Times New Roman" w:hAnsi="Times New Roman" w:cs="B Nazanin"/>
          <w:i/>
          <w:sz w:val="23"/>
          <w:szCs w:val="23"/>
          <w:rtl/>
        </w:rPr>
      </w:pPr>
      <w:r w:rsidRPr="002614E7">
        <w:rPr>
          <w:position w:val="-26"/>
        </w:rPr>
        <w:object w:dxaOrig="2299" w:dyaOrig="620" w14:anchorId="36D6A9B7">
          <v:shape id="_x0000_i7414" type="#_x0000_t75" style="width:114.95pt;height:30.85pt" o:ole="">
            <v:imagedata r:id="rId12897" o:title=""/>
          </v:shape>
          <o:OLEObject Type="Embed" ProgID="Equation.DSMT4" ShapeID="_x0000_i7414" DrawAspect="Content" ObjectID="_1791381357" r:id="rId12898"/>
        </w:object>
      </w:r>
      <w:r w:rsidRPr="002614E7">
        <w:rPr>
          <w:rFonts w:ascii="Times New Roman" w:hAnsi="Times New Roman" w:cs="B Nazanin" w:hint="cs"/>
          <w:i/>
          <w:sz w:val="23"/>
          <w:szCs w:val="23"/>
          <w:rtl/>
        </w:rPr>
        <w:t xml:space="preserve"> </w:t>
      </w:r>
    </w:p>
    <w:p w14:paraId="00A95DEE" w14:textId="77777777" w:rsidR="00556C10" w:rsidRPr="002614E7" w:rsidRDefault="00556C10" w:rsidP="00556C10">
      <w:pPr>
        <w:bidi w:val="0"/>
        <w:spacing w:line="216" w:lineRule="auto"/>
        <w:rPr>
          <w:i/>
          <w:sz w:val="23"/>
          <w:szCs w:val="23"/>
          <w:rtl/>
        </w:rPr>
      </w:pPr>
      <w:r w:rsidRPr="002614E7">
        <w:rPr>
          <w:position w:val="-12"/>
        </w:rPr>
        <w:object w:dxaOrig="5120" w:dyaOrig="360" w14:anchorId="6439A0AE">
          <v:shape id="_x0000_i7415" type="#_x0000_t75" style="width:255.95pt;height:18.15pt" o:ole="">
            <v:imagedata r:id="rId12899" o:title=""/>
          </v:shape>
          <o:OLEObject Type="Embed" ProgID="Equation.DSMT4" ShapeID="_x0000_i7415" DrawAspect="Content" ObjectID="_1791381358" r:id="rId12900"/>
        </w:object>
      </w:r>
      <w:r>
        <w:rPr>
          <w:rtl/>
        </w:rPr>
        <w:tab/>
      </w:r>
      <w:r>
        <w:rPr>
          <w:rtl/>
        </w:rPr>
        <w:tab/>
      </w:r>
      <w:r w:rsidRPr="002614E7">
        <w:rPr>
          <w:rFonts w:eastAsiaTheme="minorHAnsi" w:cstheme="minorBidi"/>
          <w:i/>
          <w:sz w:val="23"/>
          <w:szCs w:val="23"/>
        </w:rPr>
        <w:tab/>
      </w:r>
      <w:r w:rsidRPr="002614E7">
        <w:rPr>
          <w:rFonts w:hint="cs"/>
          <w:i/>
          <w:sz w:val="23"/>
          <w:szCs w:val="23"/>
          <w:rtl/>
        </w:rPr>
        <w:t>(۱۴. ۸۵)</w:t>
      </w:r>
      <w:r w:rsidRPr="002614E7">
        <w:rPr>
          <w:i/>
          <w:sz w:val="23"/>
          <w:szCs w:val="23"/>
        </w:rPr>
        <w:t xml:space="preserve"> </w:t>
      </w:r>
    </w:p>
    <w:p w14:paraId="7C85297B" w14:textId="77777777" w:rsidR="00556C10" w:rsidRPr="002614E7" w:rsidRDefault="00556C10" w:rsidP="00556C10">
      <w:pPr>
        <w:spacing w:line="216" w:lineRule="auto"/>
        <w:rPr>
          <w:i/>
          <w:sz w:val="23"/>
          <w:szCs w:val="23"/>
          <w:rtl/>
        </w:rPr>
      </w:pPr>
      <w:r w:rsidRPr="002614E7">
        <w:rPr>
          <w:rFonts w:hint="cs"/>
          <w:i/>
          <w:sz w:val="23"/>
          <w:szCs w:val="23"/>
          <w:rtl/>
        </w:rPr>
        <w:lastRenderedPageBreak/>
        <w:t>که در آن</w:t>
      </w:r>
      <w:r w:rsidRPr="002614E7">
        <w:rPr>
          <w:position w:val="-6"/>
        </w:rPr>
        <w:object w:dxaOrig="160" w:dyaOrig="200" w14:anchorId="11D60CD4">
          <v:shape id="_x0000_i7416" type="#_x0000_t75" style="width:7.85pt;height:10.3pt" o:ole="">
            <v:imagedata r:id="rId12901" o:title=""/>
          </v:shape>
          <o:OLEObject Type="Embed" ProgID="Equation.DSMT4" ShapeID="_x0000_i7416" DrawAspect="Content" ObjectID="_1791381359" r:id="rId12902"/>
        </w:object>
      </w:r>
      <w:r w:rsidRPr="002614E7">
        <w:rPr>
          <w:i/>
          <w:sz w:val="23"/>
          <w:szCs w:val="23"/>
        </w:rPr>
        <w:t xml:space="preserve"> </w:t>
      </w:r>
      <w:r w:rsidRPr="002614E7">
        <w:rPr>
          <w:rFonts w:hint="cs"/>
          <w:i/>
          <w:sz w:val="23"/>
          <w:szCs w:val="23"/>
          <w:rtl/>
        </w:rPr>
        <w:t>مصرف،</w:t>
      </w:r>
      <w:r w:rsidRPr="002614E7">
        <w:rPr>
          <w:position w:val="-6"/>
        </w:rPr>
        <w:object w:dxaOrig="200" w:dyaOrig="200" w14:anchorId="5BB6DDC8">
          <v:shape id="_x0000_i7417" type="#_x0000_t75" style="width:10.3pt;height:10.3pt" o:ole="">
            <v:imagedata r:id="rId12903" o:title=""/>
          </v:shape>
          <o:OLEObject Type="Embed" ProgID="Equation.DSMT4" ShapeID="_x0000_i7417" DrawAspect="Content" ObjectID="_1791381360" r:id="rId12904"/>
        </w:object>
      </w:r>
      <w:r w:rsidRPr="002614E7">
        <w:rPr>
          <w:i/>
          <w:sz w:val="23"/>
          <w:szCs w:val="23"/>
        </w:rPr>
        <w:t xml:space="preserve"> </w:t>
      </w:r>
      <w:r w:rsidRPr="002614E7">
        <w:rPr>
          <w:rFonts w:hint="cs"/>
          <w:i/>
          <w:sz w:val="23"/>
          <w:szCs w:val="23"/>
          <w:rtl/>
        </w:rPr>
        <w:t>نیروی کار،</w:t>
      </w:r>
      <w:r w:rsidRPr="002614E7">
        <w:rPr>
          <w:position w:val="-6"/>
        </w:rPr>
        <w:object w:dxaOrig="180" w:dyaOrig="260" w14:anchorId="11672769">
          <v:shape id="_x0000_i7418" type="#_x0000_t75" style="width:9.1pt;height:13.3pt" o:ole="">
            <v:imagedata r:id="rId12905" o:title=""/>
          </v:shape>
          <o:OLEObject Type="Embed" ProgID="Equation.DSMT4" ShapeID="_x0000_i7418" DrawAspect="Content" ObjectID="_1791381361" r:id="rId12906"/>
        </w:object>
      </w:r>
      <w:r w:rsidRPr="002614E7">
        <w:rPr>
          <w:i/>
          <w:sz w:val="23"/>
          <w:szCs w:val="23"/>
        </w:rPr>
        <w:t xml:space="preserve"> </w:t>
      </w:r>
      <w:r w:rsidRPr="002614E7">
        <w:rPr>
          <w:rFonts w:hint="cs"/>
          <w:i/>
          <w:sz w:val="23"/>
          <w:szCs w:val="23"/>
          <w:rtl/>
        </w:rPr>
        <w:t>بدهی یک دوره‌ای دولت،</w:t>
      </w:r>
      <w:r w:rsidRPr="002614E7">
        <w:rPr>
          <w:position w:val="-6"/>
        </w:rPr>
        <w:object w:dxaOrig="260" w:dyaOrig="200" w14:anchorId="3D5FB43F">
          <v:shape id="_x0000_i7419" type="#_x0000_t75" style="width:13.3pt;height:10.3pt" o:ole="">
            <v:imagedata r:id="rId12907" o:title=""/>
          </v:shape>
          <o:OLEObject Type="Embed" ProgID="Equation.DSMT4" ShapeID="_x0000_i7419" DrawAspect="Content" ObjectID="_1791381362" r:id="rId12908"/>
        </w:object>
      </w:r>
      <w:r w:rsidRPr="002614E7">
        <w:rPr>
          <w:i/>
          <w:sz w:val="23"/>
          <w:szCs w:val="23"/>
        </w:rPr>
        <w:t xml:space="preserve"> </w:t>
      </w:r>
      <w:r w:rsidRPr="002614E7">
        <w:rPr>
          <w:rFonts w:hint="cs"/>
          <w:i/>
          <w:sz w:val="23"/>
          <w:szCs w:val="23"/>
          <w:rtl/>
        </w:rPr>
        <w:t>ذخائر حقیقی پول،</w:t>
      </w:r>
      <w:r w:rsidRPr="00025957">
        <w:rPr>
          <w:position w:val="-4"/>
        </w:rPr>
        <w:object w:dxaOrig="240" w:dyaOrig="240" w14:anchorId="1B92AB35">
          <v:shape id="_x0000_i7420" type="#_x0000_t75" style="width:11.5pt;height:11.5pt" o:ole="">
            <v:imagedata r:id="rId12909" o:title=""/>
          </v:shape>
          <o:OLEObject Type="Embed" ProgID="Equation.DSMT4" ShapeID="_x0000_i7420" DrawAspect="Content" ObjectID="_1791381363" r:id="rId12910"/>
        </w:object>
      </w:r>
      <w:r w:rsidRPr="002614E7">
        <w:rPr>
          <w:rFonts w:hint="cs"/>
          <w:i/>
          <w:sz w:val="23"/>
          <w:szCs w:val="23"/>
          <w:rtl/>
        </w:rPr>
        <w:t xml:space="preserve"> مالیات</w:t>
      </w:r>
      <w:r w:rsidRPr="002614E7">
        <w:rPr>
          <w:rFonts w:hint="cs"/>
          <w:i/>
          <w:sz w:val="23"/>
          <w:szCs w:val="23"/>
          <w:rtl/>
        </w:rPr>
        <w:softHyphen/>
        <w:t>های حقیقی یک جا،</w:t>
      </w:r>
      <w:r w:rsidRPr="002614E7">
        <w:rPr>
          <w:position w:val="-6"/>
        </w:rPr>
        <w:object w:dxaOrig="180" w:dyaOrig="200" w14:anchorId="64BECD52">
          <v:shape id="_x0000_i7421" type="#_x0000_t75" style="width:9.1pt;height:10.3pt" o:ole="">
            <v:imagedata r:id="rId12911" o:title=""/>
          </v:shape>
          <o:OLEObject Type="Embed" ProgID="Equation.DSMT4" ShapeID="_x0000_i7421" DrawAspect="Content" ObjectID="_1791381364" r:id="rId12912"/>
        </w:object>
      </w:r>
      <w:r w:rsidRPr="002614E7">
        <w:rPr>
          <w:rFonts w:hint="cs"/>
          <w:i/>
          <w:sz w:val="23"/>
          <w:szCs w:val="23"/>
          <w:rtl/>
        </w:rPr>
        <w:t xml:space="preserve"> مالیات اختلال</w:t>
      </w:r>
      <w:r w:rsidRPr="002614E7">
        <w:rPr>
          <w:i/>
          <w:sz w:val="23"/>
          <w:szCs w:val="23"/>
          <w:rtl/>
        </w:rPr>
        <w:softHyphen/>
      </w:r>
      <w:r w:rsidRPr="002614E7">
        <w:rPr>
          <w:rFonts w:hint="cs"/>
          <w:i/>
          <w:sz w:val="23"/>
          <w:szCs w:val="23"/>
          <w:rtl/>
        </w:rPr>
        <w:t>زای نیروی کار،</w:t>
      </w:r>
      <w:r w:rsidRPr="002614E7">
        <w:rPr>
          <w:position w:val="-6"/>
        </w:rPr>
        <w:object w:dxaOrig="240" w:dyaOrig="260" w14:anchorId="06D79E0E">
          <v:shape id="_x0000_i7422" type="#_x0000_t75" style="width:11.5pt;height:13.3pt" o:ole="">
            <v:imagedata r:id="rId12913" o:title=""/>
          </v:shape>
          <o:OLEObject Type="Embed" ProgID="Equation.DSMT4" ShapeID="_x0000_i7422" DrawAspect="Content" ObjectID="_1791381365" r:id="rId12914"/>
        </w:object>
      </w:r>
      <w:r w:rsidRPr="002614E7">
        <w:rPr>
          <w:rFonts w:hint="cs"/>
          <w:i/>
          <w:sz w:val="23"/>
          <w:szCs w:val="23"/>
          <w:rtl/>
        </w:rPr>
        <w:t>نرخ بهره‌ی اسمی بدون ریسک و</w:t>
      </w:r>
      <w:r w:rsidRPr="002614E7">
        <w:rPr>
          <w:position w:val="-6"/>
        </w:rPr>
        <w:object w:dxaOrig="220" w:dyaOrig="200" w14:anchorId="18D73BB5">
          <v:shape id="_x0000_i7423" type="#_x0000_t75" style="width:10.9pt;height:10.3pt" o:ole="">
            <v:imagedata r:id="rId12915" o:title=""/>
          </v:shape>
          <o:OLEObject Type="Embed" ProgID="Equation.DSMT4" ShapeID="_x0000_i7423" DrawAspect="Content" ObjectID="_1791381366" r:id="rId12916"/>
        </w:object>
      </w:r>
      <w:r w:rsidRPr="002614E7">
        <w:rPr>
          <w:i/>
          <w:sz w:val="23"/>
          <w:szCs w:val="23"/>
        </w:rPr>
        <w:t xml:space="preserve"> </w:t>
      </w:r>
      <w:r w:rsidRPr="002614E7">
        <w:rPr>
          <w:rFonts w:hint="cs"/>
          <w:i/>
          <w:sz w:val="23"/>
          <w:szCs w:val="23"/>
          <w:rtl/>
        </w:rPr>
        <w:t xml:space="preserve">نرخ تورم است. با فرض </w:t>
      </w:r>
      <w:r w:rsidRPr="002614E7">
        <w:rPr>
          <w:i/>
          <w:sz w:val="23"/>
          <w:szCs w:val="23"/>
        </w:rPr>
        <w:softHyphen/>
      </w:r>
      <w:r w:rsidRPr="002614E7">
        <w:rPr>
          <w:rFonts w:hint="cs"/>
          <w:i/>
          <w:sz w:val="23"/>
          <w:szCs w:val="23"/>
          <w:rtl/>
        </w:rPr>
        <w:t>اینکه در بازار پول قید خرید نقدی</w:t>
      </w:r>
      <w:r w:rsidRPr="002614E7">
        <w:rPr>
          <w:position w:val="-10"/>
        </w:rPr>
        <w:object w:dxaOrig="680" w:dyaOrig="320" w14:anchorId="141A4036">
          <v:shape id="_x0000_i7424" type="#_x0000_t75" style="width:33.9pt;height:15.75pt" o:ole="">
            <v:imagedata r:id="rId12917" o:title=""/>
          </v:shape>
          <o:OLEObject Type="Embed" ProgID="Equation.DSMT4" ShapeID="_x0000_i7424" DrawAspect="Content" ObjectID="_1791381367" r:id="rId12918"/>
        </w:object>
      </w:r>
      <w:r w:rsidRPr="002614E7">
        <w:rPr>
          <w:rFonts w:hint="cs"/>
          <w:i/>
          <w:sz w:val="23"/>
          <w:szCs w:val="23"/>
          <w:rtl/>
        </w:rPr>
        <w:t xml:space="preserve"> وجود دارد. اگر</w:t>
      </w:r>
      <w:r w:rsidRPr="002614E7">
        <w:rPr>
          <w:position w:val="-10"/>
        </w:rPr>
        <w:object w:dxaOrig="220" w:dyaOrig="320" w14:anchorId="4E1E0699">
          <v:shape id="_x0000_i7425" type="#_x0000_t75" style="width:10.9pt;height:15.75pt" o:ole="">
            <v:imagedata r:id="rId12919" o:title=""/>
          </v:shape>
          <o:OLEObject Type="Embed" ProgID="Equation.DSMT4" ShapeID="_x0000_i7425" DrawAspect="Content" ObjectID="_1791381368" r:id="rId12920"/>
        </w:object>
      </w:r>
      <w:r w:rsidRPr="002614E7">
        <w:rPr>
          <w:i/>
          <w:sz w:val="23"/>
          <w:szCs w:val="23"/>
        </w:rPr>
        <w:t xml:space="preserve"> </w:t>
      </w:r>
      <w:r w:rsidRPr="002614E7">
        <w:rPr>
          <w:rFonts w:hint="cs"/>
          <w:i/>
          <w:sz w:val="23"/>
          <w:szCs w:val="23"/>
          <w:rtl/>
        </w:rPr>
        <w:t>ضریب لاگرانژ قید بودجه باشد، شرایط مرتبه اول بر حسب</w:t>
      </w:r>
      <w:r w:rsidRPr="002614E7">
        <w:rPr>
          <w:position w:val="-10"/>
        </w:rPr>
        <w:object w:dxaOrig="340" w:dyaOrig="320" w14:anchorId="70EFF126">
          <v:shape id="_x0000_i7426" type="#_x0000_t75" style="width:16.95pt;height:15.75pt" o:ole="">
            <v:imagedata r:id="rId12921" o:title=""/>
          </v:shape>
          <o:OLEObject Type="Embed" ProgID="Equation.DSMT4" ShapeID="_x0000_i7426" DrawAspect="Content" ObjectID="_1791381369" r:id="rId12922"/>
        </w:object>
      </w:r>
      <w:r w:rsidRPr="002614E7">
        <w:rPr>
          <w:rFonts w:hint="cs"/>
          <w:i/>
          <w:sz w:val="23"/>
          <w:szCs w:val="23"/>
          <w:rtl/>
        </w:rPr>
        <w:t>،</w:t>
      </w:r>
      <w:r w:rsidRPr="002614E7">
        <w:rPr>
          <w:i/>
          <w:sz w:val="23"/>
          <w:szCs w:val="23"/>
        </w:rPr>
        <w:t xml:space="preserve"> </w:t>
      </w:r>
      <w:r w:rsidRPr="002614E7">
        <w:rPr>
          <w:position w:val="-10"/>
        </w:rPr>
        <w:object w:dxaOrig="380" w:dyaOrig="320" w14:anchorId="40032947">
          <v:shape id="_x0000_i7427" type="#_x0000_t75" style="width:18.75pt;height:15.75pt" o:ole="">
            <v:imagedata r:id="rId12923" o:title=""/>
          </v:shape>
          <o:OLEObject Type="Embed" ProgID="Equation.DSMT4" ShapeID="_x0000_i7427" DrawAspect="Content" ObjectID="_1791381370" r:id="rId12924"/>
        </w:object>
      </w:r>
      <w:r w:rsidRPr="002614E7">
        <w:rPr>
          <w:rFonts w:hint="cs"/>
          <w:i/>
          <w:sz w:val="23"/>
          <w:szCs w:val="23"/>
          <w:rtl/>
        </w:rPr>
        <w:t>و</w:t>
      </w:r>
      <w:r w:rsidRPr="002614E7">
        <w:rPr>
          <w:position w:val="-10"/>
        </w:rPr>
        <w:object w:dxaOrig="340" w:dyaOrig="320" w14:anchorId="545366FA">
          <v:shape id="_x0000_i7428" type="#_x0000_t75" style="width:16.95pt;height:15.75pt" o:ole="">
            <v:imagedata r:id="rId12925" o:title=""/>
          </v:shape>
          <o:OLEObject Type="Embed" ProgID="Equation.DSMT4" ShapeID="_x0000_i7428" DrawAspect="Content" ObjectID="_1791381371" r:id="rId12926"/>
        </w:object>
      </w:r>
      <w:r w:rsidRPr="002614E7">
        <w:rPr>
          <w:rFonts w:hint="cs"/>
          <w:i/>
          <w:sz w:val="23"/>
          <w:szCs w:val="23"/>
          <w:rtl/>
        </w:rPr>
        <w:t xml:space="preserve"> عبارت است از</w:t>
      </w:r>
    </w:p>
    <w:p w14:paraId="1B955277" w14:textId="77777777" w:rsidR="00556C10" w:rsidRPr="002614E7" w:rsidRDefault="00556C10" w:rsidP="00556C10">
      <w:pPr>
        <w:bidi w:val="0"/>
        <w:spacing w:line="216" w:lineRule="auto"/>
        <w:rPr>
          <w:i/>
          <w:sz w:val="23"/>
          <w:szCs w:val="23"/>
        </w:rPr>
      </w:pPr>
      <w:r w:rsidRPr="002614E7">
        <w:rPr>
          <w:position w:val="-28"/>
        </w:rPr>
        <w:object w:dxaOrig="639" w:dyaOrig="620" w14:anchorId="1EA26B06">
          <v:shape id="_x0000_i7429" type="#_x0000_t75" style="width:32.05pt;height:30.85pt" o:ole="">
            <v:imagedata r:id="rId12927" o:title=""/>
          </v:shape>
          <o:OLEObject Type="Embed" ProgID="Equation.DSMT4" ShapeID="_x0000_i7429" DrawAspect="Content" ObjectID="_1791381372" r:id="rId12928"/>
        </w:object>
      </w:r>
      <w:r w:rsidRPr="002614E7">
        <w:rPr>
          <w:i/>
          <w:sz w:val="23"/>
          <w:szCs w:val="23"/>
        </w:rPr>
        <w:tab/>
      </w:r>
      <w:r w:rsidRPr="002614E7">
        <w:rPr>
          <w:i/>
          <w:sz w:val="23"/>
          <w:szCs w:val="23"/>
        </w:rPr>
        <w:tab/>
      </w:r>
      <w:r w:rsidRPr="002614E7">
        <w:rPr>
          <w:rFonts w:hint="cs"/>
          <w:i/>
          <w:sz w:val="23"/>
          <w:szCs w:val="23"/>
          <w:rtl/>
        </w:rPr>
        <w:tab/>
      </w:r>
      <w:r w:rsidRPr="002614E7">
        <w:rPr>
          <w:rFonts w:hint="cs"/>
          <w:i/>
          <w:sz w:val="23"/>
          <w:szCs w:val="23"/>
          <w:rtl/>
        </w:rPr>
        <w:tab/>
      </w:r>
      <w:r w:rsidRPr="002614E7">
        <w:rPr>
          <w:rFonts w:hint="cs"/>
          <w:i/>
          <w:sz w:val="23"/>
          <w:szCs w:val="23"/>
          <w:rtl/>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rFonts w:hint="cs"/>
          <w:i/>
          <w:sz w:val="23"/>
          <w:szCs w:val="23"/>
          <w:rtl/>
        </w:rPr>
        <w:tab/>
      </w:r>
      <w:r>
        <w:rPr>
          <w:i/>
          <w:sz w:val="23"/>
          <w:szCs w:val="23"/>
          <w:rtl/>
        </w:rPr>
        <w:tab/>
      </w:r>
      <w:r>
        <w:rPr>
          <w:i/>
          <w:sz w:val="23"/>
          <w:szCs w:val="23"/>
          <w:rtl/>
        </w:rPr>
        <w:tab/>
      </w:r>
      <w:r w:rsidRPr="002614E7">
        <w:rPr>
          <w:rFonts w:hint="cs"/>
          <w:i/>
          <w:sz w:val="23"/>
          <w:szCs w:val="23"/>
          <w:rtl/>
        </w:rPr>
        <w:tab/>
        <w:t>(۱۴. ۸۶)</w:t>
      </w:r>
      <w:r w:rsidRPr="002614E7">
        <w:rPr>
          <w:i/>
          <w:sz w:val="23"/>
          <w:szCs w:val="23"/>
        </w:rPr>
        <w:t xml:space="preserve"> </w:t>
      </w:r>
    </w:p>
    <w:p w14:paraId="4A896B22" w14:textId="77777777" w:rsidR="00556C10" w:rsidRPr="002614E7" w:rsidRDefault="00556C10" w:rsidP="00556C10">
      <w:pPr>
        <w:bidi w:val="0"/>
        <w:spacing w:line="216" w:lineRule="auto"/>
        <w:rPr>
          <w:i/>
          <w:sz w:val="23"/>
          <w:szCs w:val="23"/>
        </w:rPr>
      </w:pPr>
      <w:r w:rsidRPr="002614E7">
        <w:rPr>
          <w:position w:val="-28"/>
        </w:rPr>
        <w:object w:dxaOrig="1460" w:dyaOrig="620" w14:anchorId="57F095BA">
          <v:shape id="_x0000_i7430" type="#_x0000_t75" style="width:72.6pt;height:30.85pt" o:ole="">
            <v:imagedata r:id="rId12929" o:title=""/>
          </v:shape>
          <o:OLEObject Type="Embed" ProgID="Equation.DSMT4" ShapeID="_x0000_i7430" DrawAspect="Content" ObjectID="_1791381373" r:id="rId12930"/>
        </w:object>
      </w:r>
      <w:r w:rsidRPr="002614E7">
        <w:rPr>
          <w:i/>
          <w:sz w:val="23"/>
          <w:szCs w:val="23"/>
          <w:rtl/>
        </w:rPr>
        <w:tab/>
      </w:r>
      <w:r w:rsidRPr="002614E7">
        <w:rPr>
          <w:i/>
          <w:sz w:val="23"/>
          <w:szCs w:val="23"/>
          <w:rtl/>
        </w:rPr>
        <w:tab/>
      </w:r>
      <w:r w:rsidRPr="002614E7">
        <w:rPr>
          <w:i/>
          <w:sz w:val="23"/>
          <w:szCs w:val="23"/>
          <w:rtl/>
        </w:rPr>
        <w:tab/>
      </w:r>
      <w:r w:rsidRPr="002614E7">
        <w:rPr>
          <w:i/>
          <w:sz w:val="23"/>
          <w:szCs w:val="23"/>
          <w:rtl/>
        </w:rPr>
        <w:tab/>
      </w:r>
      <w:r w:rsidRPr="002614E7">
        <w:rPr>
          <w:i/>
          <w:sz w:val="23"/>
          <w:szCs w:val="23"/>
          <w:rtl/>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Pr>
          <w:i/>
          <w:sz w:val="23"/>
          <w:szCs w:val="23"/>
          <w:rtl/>
        </w:rPr>
        <w:tab/>
      </w:r>
      <w:r>
        <w:rPr>
          <w:i/>
          <w:sz w:val="23"/>
          <w:szCs w:val="23"/>
          <w:rtl/>
        </w:rPr>
        <w:tab/>
      </w:r>
      <w:r w:rsidRPr="002614E7">
        <w:rPr>
          <w:i/>
          <w:sz w:val="23"/>
          <w:szCs w:val="23"/>
          <w:rtl/>
        </w:rPr>
        <w:tab/>
        <w:t>(</w:t>
      </w:r>
      <w:r w:rsidRPr="002614E7">
        <w:rPr>
          <w:rFonts w:hint="cs"/>
          <w:i/>
          <w:sz w:val="23"/>
          <w:szCs w:val="23"/>
          <w:rtl/>
        </w:rPr>
        <w:t xml:space="preserve">۱۴. ۸۷)           </w:t>
      </w:r>
    </w:p>
    <w:p w14:paraId="14DFD145" w14:textId="77777777" w:rsidR="00556C10" w:rsidRPr="002614E7" w:rsidRDefault="00556C10" w:rsidP="00556C10">
      <w:pPr>
        <w:bidi w:val="0"/>
        <w:spacing w:line="216" w:lineRule="auto"/>
        <w:rPr>
          <w:i/>
          <w:sz w:val="23"/>
          <w:szCs w:val="23"/>
          <w:rtl/>
        </w:rPr>
      </w:pPr>
      <w:r w:rsidRPr="002614E7">
        <w:rPr>
          <w:i/>
          <w:sz w:val="23"/>
          <w:szCs w:val="23"/>
        </w:rPr>
        <w:t xml:space="preserve"> </w:t>
      </w:r>
      <w:r w:rsidRPr="002614E7">
        <w:rPr>
          <w:position w:val="-28"/>
        </w:rPr>
        <w:object w:dxaOrig="2020" w:dyaOrig="639" w14:anchorId="43ACE486">
          <v:shape id="_x0000_i7431" type="#_x0000_t75" style="width:101.05pt;height:32.05pt" o:ole="">
            <v:imagedata r:id="rId12931" o:title=""/>
          </v:shape>
          <o:OLEObject Type="Embed" ProgID="Equation.DSMT4" ShapeID="_x0000_i7431" DrawAspect="Content" ObjectID="_1791381374" r:id="rId12932"/>
        </w:object>
      </w:r>
      <w:r w:rsidRPr="002614E7">
        <w:rPr>
          <w:rFonts w:hint="cs"/>
          <w:i/>
          <w:sz w:val="23"/>
          <w:szCs w:val="23"/>
          <w:rtl/>
        </w:rPr>
        <w:tab/>
      </w:r>
      <w:r w:rsidRPr="002614E7">
        <w:rPr>
          <w:rFonts w:hint="cs"/>
          <w:i/>
          <w:sz w:val="23"/>
          <w:szCs w:val="23"/>
          <w:rtl/>
        </w:rPr>
        <w:tab/>
      </w:r>
      <w:r w:rsidRPr="002614E7">
        <w:rPr>
          <w:rFonts w:hint="cs"/>
          <w:i/>
          <w:sz w:val="23"/>
          <w:szCs w:val="23"/>
          <w:rtl/>
        </w:rPr>
        <w:tab/>
      </w:r>
      <w:r w:rsidRPr="002614E7">
        <w:rPr>
          <w:rFonts w:hint="cs"/>
          <w:i/>
          <w:sz w:val="23"/>
          <w:szCs w:val="23"/>
          <w:rtl/>
        </w:rPr>
        <w:tab/>
      </w:r>
      <w:r w:rsidRPr="002614E7">
        <w:rPr>
          <w:rFonts w:hint="cs"/>
          <w:i/>
          <w:sz w:val="23"/>
          <w:szCs w:val="23"/>
          <w:rtl/>
        </w:rPr>
        <w:tab/>
      </w:r>
      <w:r w:rsidRPr="002614E7">
        <w:rPr>
          <w:rFonts w:hint="cs"/>
          <w:i/>
          <w:sz w:val="23"/>
          <w:szCs w:val="23"/>
          <w:rtl/>
        </w:rPr>
        <w:tab/>
      </w:r>
      <w:r w:rsidRPr="002614E7">
        <w:rPr>
          <w:i/>
          <w:sz w:val="23"/>
          <w:szCs w:val="23"/>
        </w:rPr>
        <w:tab/>
      </w:r>
      <w:r w:rsidRPr="002614E7">
        <w:rPr>
          <w:i/>
          <w:sz w:val="23"/>
          <w:szCs w:val="23"/>
        </w:rPr>
        <w:tab/>
      </w:r>
      <w:r w:rsidRPr="002614E7">
        <w:rPr>
          <w:i/>
          <w:sz w:val="23"/>
          <w:szCs w:val="23"/>
        </w:rPr>
        <w:tab/>
      </w:r>
      <w:r>
        <w:rPr>
          <w:i/>
          <w:sz w:val="23"/>
          <w:szCs w:val="23"/>
          <w:rtl/>
        </w:rPr>
        <w:tab/>
      </w:r>
      <w:r>
        <w:rPr>
          <w:i/>
          <w:sz w:val="23"/>
          <w:szCs w:val="23"/>
          <w:rtl/>
        </w:rPr>
        <w:tab/>
      </w:r>
      <w:r w:rsidRPr="002614E7">
        <w:rPr>
          <w:i/>
          <w:sz w:val="23"/>
          <w:szCs w:val="23"/>
        </w:rPr>
        <w:tab/>
      </w:r>
      <w:r w:rsidRPr="002614E7">
        <w:rPr>
          <w:rFonts w:hint="cs"/>
          <w:i/>
          <w:sz w:val="23"/>
          <w:szCs w:val="23"/>
          <w:rtl/>
        </w:rPr>
        <w:t xml:space="preserve">(۱۴. ۸۸)           </w:t>
      </w:r>
    </w:p>
    <w:p w14:paraId="696BF657" w14:textId="77777777" w:rsidR="00556C10" w:rsidRPr="002614E7" w:rsidRDefault="00556C10" w:rsidP="00556C10">
      <w:pPr>
        <w:spacing w:line="216" w:lineRule="auto"/>
        <w:rPr>
          <w:i/>
          <w:sz w:val="23"/>
          <w:szCs w:val="23"/>
          <w:rtl/>
        </w:rPr>
      </w:pPr>
      <w:r w:rsidRPr="002614E7">
        <w:rPr>
          <w:rFonts w:hint="cs"/>
          <w:i/>
          <w:sz w:val="23"/>
          <w:szCs w:val="23"/>
          <w:rtl/>
        </w:rPr>
        <w:t>بنابراین</w:t>
      </w:r>
    </w:p>
    <w:p w14:paraId="6DD6633C" w14:textId="77777777" w:rsidR="00556C10" w:rsidRPr="002614E7" w:rsidRDefault="00556C10" w:rsidP="00556C10">
      <w:pPr>
        <w:bidi w:val="0"/>
        <w:spacing w:line="216" w:lineRule="auto"/>
        <w:rPr>
          <w:i/>
          <w:sz w:val="23"/>
          <w:szCs w:val="23"/>
          <w:rtl/>
        </w:rPr>
      </w:pPr>
      <w:r w:rsidRPr="002614E7">
        <w:rPr>
          <w:position w:val="-26"/>
        </w:rPr>
        <w:object w:dxaOrig="1420" w:dyaOrig="600" w14:anchorId="5AC7CE5B">
          <v:shape id="_x0000_i7432" type="#_x0000_t75" style="width:71.4pt;height:29.65pt" o:ole="">
            <v:imagedata r:id="rId12933" o:title=""/>
          </v:shape>
          <o:OLEObject Type="Embed" ProgID="Equation.DSMT4" ShapeID="_x0000_i7432" DrawAspect="Content" ObjectID="_1791381375" r:id="rId12934"/>
        </w:object>
      </w:r>
      <w:r w:rsidRPr="002614E7">
        <w:rPr>
          <w:i/>
          <w:sz w:val="23"/>
          <w:szCs w:val="23"/>
          <w:rtl/>
        </w:rPr>
        <w:tab/>
      </w:r>
      <w:r w:rsidRPr="002614E7">
        <w:rPr>
          <w:i/>
          <w:sz w:val="23"/>
          <w:szCs w:val="23"/>
          <w:rtl/>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tl/>
        </w:rPr>
        <w:tab/>
      </w:r>
      <w:r>
        <w:rPr>
          <w:i/>
          <w:sz w:val="23"/>
          <w:szCs w:val="23"/>
          <w:rtl/>
        </w:rPr>
        <w:tab/>
      </w:r>
      <w:r>
        <w:rPr>
          <w:i/>
          <w:sz w:val="23"/>
          <w:szCs w:val="23"/>
          <w:rtl/>
        </w:rPr>
        <w:tab/>
      </w:r>
      <w:r w:rsidRPr="002614E7">
        <w:rPr>
          <w:i/>
          <w:sz w:val="23"/>
          <w:szCs w:val="23"/>
          <w:rtl/>
        </w:rPr>
        <w:tab/>
      </w:r>
      <w:r w:rsidRPr="002614E7">
        <w:rPr>
          <w:rFonts w:hint="cs"/>
          <w:i/>
          <w:sz w:val="23"/>
          <w:szCs w:val="23"/>
          <w:rtl/>
        </w:rPr>
        <w:t xml:space="preserve">(۱۴. ۸۹)           </w:t>
      </w:r>
    </w:p>
    <w:p w14:paraId="54A9E9C2" w14:textId="77777777" w:rsidR="00556C10" w:rsidRPr="002614E7" w:rsidRDefault="00556C10" w:rsidP="00556C10">
      <w:pPr>
        <w:spacing w:line="216" w:lineRule="auto"/>
        <w:rPr>
          <w:i/>
          <w:sz w:val="23"/>
          <w:szCs w:val="23"/>
          <w:rtl/>
        </w:rPr>
      </w:pPr>
      <w:r w:rsidRPr="002614E7">
        <w:rPr>
          <w:rFonts w:hint="cs"/>
          <w:i/>
          <w:sz w:val="23"/>
          <w:szCs w:val="23"/>
          <w:rtl/>
        </w:rPr>
        <w:t xml:space="preserve">یا به طور تقریبی </w:t>
      </w:r>
    </w:p>
    <w:p w14:paraId="1579A626" w14:textId="77777777" w:rsidR="00556C10" w:rsidRPr="002614E7" w:rsidRDefault="00556C10" w:rsidP="00556C10">
      <w:pPr>
        <w:bidi w:val="0"/>
        <w:spacing w:line="216" w:lineRule="auto"/>
        <w:jc w:val="left"/>
        <w:rPr>
          <w:i/>
          <w:sz w:val="23"/>
          <w:szCs w:val="23"/>
        </w:rPr>
      </w:pPr>
      <w:r w:rsidRPr="002614E7">
        <w:rPr>
          <w:position w:val="-10"/>
        </w:rPr>
        <w:object w:dxaOrig="2320" w:dyaOrig="320" w14:anchorId="3E44658E">
          <v:shape id="_x0000_i7433" type="#_x0000_t75" style="width:116.15pt;height:15.75pt" o:ole="">
            <v:imagedata r:id="rId12935" o:title=""/>
          </v:shape>
          <o:OLEObject Type="Embed" ProgID="Equation.DSMT4" ShapeID="_x0000_i7433" DrawAspect="Content" ObjectID="_1791381376" r:id="rId12936"/>
        </w:object>
      </w:r>
      <w:r w:rsidRPr="002614E7">
        <w:rPr>
          <w:rFonts w:hint="cs"/>
          <w:i/>
          <w:sz w:val="23"/>
          <w:szCs w:val="23"/>
          <w:rtl/>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Pr>
          <w:i/>
          <w:sz w:val="23"/>
          <w:szCs w:val="23"/>
          <w:rtl/>
        </w:rPr>
        <w:tab/>
      </w:r>
      <w:r>
        <w:rPr>
          <w:i/>
          <w:sz w:val="23"/>
          <w:szCs w:val="23"/>
          <w:rtl/>
        </w:rPr>
        <w:tab/>
      </w:r>
      <w:r w:rsidRPr="002614E7">
        <w:rPr>
          <w:i/>
          <w:sz w:val="23"/>
          <w:szCs w:val="23"/>
        </w:rPr>
        <w:tab/>
      </w:r>
      <w:r w:rsidRPr="002614E7">
        <w:rPr>
          <w:rFonts w:hint="cs"/>
          <w:i/>
          <w:sz w:val="23"/>
          <w:szCs w:val="23"/>
          <w:rtl/>
        </w:rPr>
        <w:tab/>
      </w:r>
      <w:r w:rsidRPr="002614E7">
        <w:rPr>
          <w:rFonts w:hint="cs"/>
          <w:i/>
          <w:sz w:val="23"/>
          <w:szCs w:val="23"/>
          <w:rtl/>
        </w:rPr>
        <w:tab/>
      </w:r>
      <w:r w:rsidRPr="002614E7">
        <w:rPr>
          <w:i/>
          <w:sz w:val="23"/>
          <w:szCs w:val="23"/>
        </w:rPr>
        <w:t xml:space="preserve"> </w:t>
      </w:r>
      <w:r w:rsidRPr="002614E7">
        <w:rPr>
          <w:rFonts w:hint="cs"/>
          <w:i/>
          <w:sz w:val="23"/>
          <w:szCs w:val="23"/>
          <w:rtl/>
        </w:rPr>
        <w:t xml:space="preserve">(۱۴. ۹۰)         </w:t>
      </w:r>
      <w:r w:rsidRPr="002614E7">
        <w:rPr>
          <w:i/>
          <w:sz w:val="23"/>
          <w:szCs w:val="23"/>
        </w:rPr>
        <w:t xml:space="preserve"> </w:t>
      </w:r>
    </w:p>
    <w:p w14:paraId="76E7BE24" w14:textId="77777777" w:rsidR="00556C10" w:rsidRPr="002614E7" w:rsidRDefault="00556C10" w:rsidP="00556C10">
      <w:pPr>
        <w:spacing w:line="216" w:lineRule="auto"/>
        <w:jc w:val="left"/>
        <w:rPr>
          <w:i/>
          <w:sz w:val="23"/>
          <w:szCs w:val="23"/>
          <w:rtl/>
        </w:rPr>
      </w:pPr>
      <w:r w:rsidRPr="002614E7">
        <w:rPr>
          <w:rFonts w:hint="cs"/>
          <w:i/>
          <w:sz w:val="23"/>
          <w:szCs w:val="23"/>
          <w:rtl/>
        </w:rPr>
        <w:t>تقریب لگاریتم خطی اتحاد درآمد ملی</w:t>
      </w:r>
      <w:r w:rsidRPr="002614E7">
        <w:rPr>
          <w:position w:val="-10"/>
        </w:rPr>
        <w:object w:dxaOrig="1020" w:dyaOrig="320" w14:anchorId="60F8D306">
          <v:shape id="_x0000_i7434" type="#_x0000_t75" style="width:50.8pt;height:15.75pt" o:ole="">
            <v:imagedata r:id="rId12937" o:title=""/>
          </v:shape>
          <o:OLEObject Type="Embed" ProgID="Equation.DSMT4" ShapeID="_x0000_i7434" DrawAspect="Content" ObjectID="_1791381377" r:id="rId12938"/>
        </w:object>
      </w:r>
      <w:r w:rsidRPr="002614E7">
        <w:rPr>
          <w:rFonts w:hint="cs"/>
          <w:i/>
          <w:sz w:val="23"/>
          <w:szCs w:val="23"/>
          <w:rtl/>
        </w:rPr>
        <w:t xml:space="preserve"> در اطراف مقادیر وضعیت یکنواخت برابر است با</w:t>
      </w:r>
    </w:p>
    <w:p w14:paraId="33767014" w14:textId="77777777" w:rsidR="00556C10" w:rsidRPr="002614E7" w:rsidRDefault="00556C10" w:rsidP="00556C10">
      <w:pPr>
        <w:bidi w:val="0"/>
        <w:spacing w:line="216" w:lineRule="auto"/>
        <w:rPr>
          <w:i/>
          <w:sz w:val="23"/>
          <w:szCs w:val="23"/>
          <w:rtl/>
        </w:rPr>
      </w:pPr>
      <w:r w:rsidRPr="002614E7">
        <w:rPr>
          <w:position w:val="-26"/>
        </w:rPr>
        <w:object w:dxaOrig="2200" w:dyaOrig="600" w14:anchorId="44C4703C">
          <v:shape id="_x0000_i7435" type="#_x0000_t75" style="width:110.1pt;height:29.65pt" o:ole="">
            <v:imagedata r:id="rId12939" o:title=""/>
          </v:shape>
          <o:OLEObject Type="Embed" ProgID="Equation.DSMT4" ShapeID="_x0000_i7435" DrawAspect="Content" ObjectID="_1791381378" r:id="rId12940"/>
        </w:object>
      </w:r>
      <w:r w:rsidRPr="002614E7">
        <w:rPr>
          <w:rFonts w:hint="cs"/>
          <w:i/>
          <w:sz w:val="23"/>
          <w:szCs w:val="23"/>
          <w:rtl/>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i/>
          <w:sz w:val="23"/>
          <w:szCs w:val="23"/>
        </w:rPr>
        <w:tab/>
      </w:r>
      <w:r w:rsidRPr="002614E7">
        <w:rPr>
          <w:rFonts w:hint="cs"/>
          <w:i/>
          <w:sz w:val="23"/>
          <w:szCs w:val="23"/>
          <w:rtl/>
        </w:rPr>
        <w:tab/>
      </w:r>
      <w:r w:rsidRPr="002614E7">
        <w:rPr>
          <w:rFonts w:hint="cs"/>
          <w:i/>
          <w:sz w:val="23"/>
          <w:szCs w:val="23"/>
          <w:rtl/>
        </w:rPr>
        <w:tab/>
      </w:r>
      <w:r>
        <w:rPr>
          <w:i/>
          <w:sz w:val="23"/>
          <w:szCs w:val="23"/>
          <w:rtl/>
        </w:rPr>
        <w:tab/>
      </w:r>
      <w:r>
        <w:rPr>
          <w:i/>
          <w:sz w:val="23"/>
          <w:szCs w:val="23"/>
          <w:rtl/>
        </w:rPr>
        <w:tab/>
      </w:r>
      <w:r w:rsidRPr="002614E7">
        <w:rPr>
          <w:rFonts w:hint="cs"/>
          <w:i/>
          <w:sz w:val="23"/>
          <w:szCs w:val="23"/>
          <w:rtl/>
        </w:rPr>
        <w:tab/>
        <w:t xml:space="preserve">(۱۴. ۹۱)            </w:t>
      </w:r>
      <w:r w:rsidRPr="002614E7">
        <w:rPr>
          <w:i/>
          <w:sz w:val="23"/>
          <w:szCs w:val="23"/>
        </w:rPr>
        <w:t xml:space="preserve"> </w:t>
      </w:r>
    </w:p>
    <w:p w14:paraId="61B672A0" w14:textId="77777777" w:rsidR="00556C10" w:rsidRPr="002614E7" w:rsidRDefault="00556C10" w:rsidP="00556C10">
      <w:pPr>
        <w:spacing w:line="216" w:lineRule="auto"/>
        <w:rPr>
          <w:i/>
          <w:sz w:val="23"/>
          <w:szCs w:val="23"/>
          <w:rtl/>
        </w:rPr>
      </w:pPr>
      <w:r w:rsidRPr="002614E7">
        <w:rPr>
          <w:rFonts w:hint="cs"/>
          <w:i/>
          <w:sz w:val="23"/>
          <w:szCs w:val="23"/>
          <w:rtl/>
        </w:rPr>
        <w:t xml:space="preserve">اگر تابع تولید برابر با </w:t>
      </w:r>
      <w:r w:rsidRPr="002614E7">
        <w:rPr>
          <w:position w:val="-10"/>
        </w:rPr>
        <w:object w:dxaOrig="859" w:dyaOrig="320" w14:anchorId="3F128C95">
          <v:shape id="_x0000_i7436" type="#_x0000_t75" style="width:42.95pt;height:15.75pt" o:ole="">
            <v:imagedata r:id="rId12941" o:title=""/>
          </v:shape>
          <o:OLEObject Type="Embed" ProgID="Equation.DSMT4" ShapeID="_x0000_i7436" DrawAspect="Content" ObjectID="_1791381379" r:id="rId12942"/>
        </w:object>
      </w:r>
      <w:r w:rsidRPr="002614E7">
        <w:rPr>
          <w:rFonts w:hint="cs"/>
          <w:i/>
          <w:sz w:val="23"/>
          <w:szCs w:val="23"/>
          <w:rtl/>
        </w:rPr>
        <w:t xml:space="preserve"> باشد، آنگاه می‌توان نشان داد که</w:t>
      </w:r>
    </w:p>
    <w:p w14:paraId="2F584948" w14:textId="77777777" w:rsidR="00556C10" w:rsidRPr="002614E7" w:rsidRDefault="00556C10" w:rsidP="00556C10">
      <w:pPr>
        <w:bidi w:val="0"/>
        <w:spacing w:line="216" w:lineRule="auto"/>
        <w:rPr>
          <w:i/>
          <w:sz w:val="23"/>
          <w:szCs w:val="23"/>
          <w:rtl/>
        </w:rPr>
      </w:pPr>
      <w:r w:rsidRPr="002614E7">
        <w:rPr>
          <w:position w:val="-26"/>
        </w:rPr>
        <w:object w:dxaOrig="3640" w:dyaOrig="600" w14:anchorId="45A8015A">
          <v:shape id="_x0000_i7437" type="#_x0000_t75" style="width:182.1pt;height:29.65pt" o:ole="">
            <v:imagedata r:id="rId12943" o:title=""/>
          </v:shape>
          <o:OLEObject Type="Embed" ProgID="Equation.DSMT4" ShapeID="_x0000_i7437" DrawAspect="Content" ObjectID="_1791381380" r:id="rId12944"/>
        </w:object>
      </w:r>
      <w:r w:rsidRPr="002614E7">
        <w:rPr>
          <w:rFonts w:hint="cs"/>
          <w:i/>
          <w:sz w:val="23"/>
          <w:szCs w:val="23"/>
          <w:rtl/>
        </w:rPr>
        <w:tab/>
      </w:r>
      <w:r w:rsidRPr="002614E7">
        <w:rPr>
          <w:i/>
          <w:sz w:val="23"/>
          <w:szCs w:val="23"/>
        </w:rPr>
        <w:tab/>
      </w:r>
      <w:r w:rsidRPr="002614E7">
        <w:rPr>
          <w:i/>
          <w:sz w:val="23"/>
          <w:szCs w:val="23"/>
        </w:rPr>
        <w:tab/>
      </w:r>
      <w:r w:rsidRPr="002614E7">
        <w:rPr>
          <w:i/>
          <w:sz w:val="23"/>
          <w:szCs w:val="23"/>
        </w:rPr>
        <w:tab/>
      </w:r>
      <w:r>
        <w:rPr>
          <w:i/>
          <w:sz w:val="23"/>
          <w:szCs w:val="23"/>
          <w:rtl/>
        </w:rPr>
        <w:tab/>
      </w:r>
      <w:r>
        <w:rPr>
          <w:i/>
          <w:sz w:val="23"/>
          <w:szCs w:val="23"/>
          <w:rtl/>
        </w:rPr>
        <w:tab/>
      </w:r>
      <w:r w:rsidRPr="002614E7">
        <w:rPr>
          <w:i/>
          <w:sz w:val="23"/>
          <w:szCs w:val="23"/>
        </w:rPr>
        <w:tab/>
      </w:r>
      <w:r w:rsidRPr="002614E7">
        <w:rPr>
          <w:rFonts w:hint="cs"/>
          <w:i/>
          <w:sz w:val="23"/>
          <w:szCs w:val="23"/>
          <w:rtl/>
        </w:rPr>
        <w:t xml:space="preserve">(۱۴. ۹۲)           </w:t>
      </w:r>
      <w:r w:rsidRPr="002614E7">
        <w:rPr>
          <w:i/>
          <w:sz w:val="23"/>
          <w:szCs w:val="23"/>
        </w:rPr>
        <w:t xml:space="preserve"> </w:t>
      </w:r>
    </w:p>
    <w:p w14:paraId="69000ADF" w14:textId="77777777" w:rsidR="00556C10" w:rsidRPr="002614E7" w:rsidRDefault="00556C10" w:rsidP="00556C10">
      <w:pPr>
        <w:spacing w:line="216" w:lineRule="auto"/>
        <w:rPr>
          <w:i/>
          <w:sz w:val="23"/>
          <w:szCs w:val="23"/>
          <w:rtl/>
        </w:rPr>
      </w:pPr>
      <w:r w:rsidRPr="002614E7">
        <w:rPr>
          <w:rFonts w:hint="cs"/>
          <w:i/>
          <w:sz w:val="23"/>
          <w:szCs w:val="23"/>
          <w:rtl/>
        </w:rPr>
        <w:t>چناچه شوک‌های تقاضای کل وجود داشته باشد، آنگاه این شوک‌ها بر تولید نیز تأثیر خواهند گذاشت. معادله‌ی (۱۴. ۹۲) نشان می‌دهد که انبساط مالی از طریق افزایش مخارج دولت و یا کاهش مالیات‌ها، همانند اثر افزایش بهره</w:t>
      </w:r>
      <w:r w:rsidRPr="002614E7">
        <w:rPr>
          <w:rFonts w:hint="cs"/>
          <w:i/>
          <w:sz w:val="23"/>
          <w:szCs w:val="23"/>
          <w:rtl/>
        </w:rPr>
        <w:softHyphen/>
        <w:t>وری باعث افزایش تولید خواهد شد. این نتایج شبیه همان چیزی است که در فصل دهم بدآن اشاره شد. تغییر در مالیات نیروی کار</w:t>
      </w:r>
      <w:r w:rsidRPr="002614E7">
        <w:rPr>
          <w:position w:val="-10"/>
        </w:rPr>
        <w:object w:dxaOrig="220" w:dyaOrig="320" w14:anchorId="5948AFA3">
          <v:shape id="_x0000_i7438" type="#_x0000_t75" style="width:10.9pt;height:15.75pt" o:ole="">
            <v:imagedata r:id="rId12945" o:title=""/>
          </v:shape>
          <o:OLEObject Type="Embed" ProgID="Equation.DSMT4" ShapeID="_x0000_i7438" DrawAspect="Content" ObjectID="_1791381381" r:id="rId12946"/>
        </w:object>
      </w:r>
      <w:r w:rsidRPr="002614E7">
        <w:rPr>
          <w:rFonts w:hint="cs"/>
          <w:i/>
          <w:sz w:val="23"/>
          <w:szCs w:val="23"/>
          <w:rtl/>
        </w:rPr>
        <w:t xml:space="preserve"> تصمیم بر عرضه‌ی نیروی کار را مختل</w:t>
      </w:r>
      <w:r w:rsidRPr="002614E7">
        <w:rPr>
          <w:i/>
          <w:sz w:val="23"/>
          <w:szCs w:val="23"/>
        </w:rPr>
        <w:t xml:space="preserve"> </w:t>
      </w:r>
      <w:r w:rsidRPr="002614E7">
        <w:rPr>
          <w:rFonts w:hint="cs"/>
          <w:i/>
          <w:sz w:val="23"/>
          <w:szCs w:val="23"/>
          <w:rtl/>
        </w:rPr>
        <w:t>خواهد کرد. لذا افزایش</w:t>
      </w:r>
      <w:r w:rsidRPr="002614E7">
        <w:rPr>
          <w:position w:val="-10"/>
        </w:rPr>
        <w:object w:dxaOrig="220" w:dyaOrig="320" w14:anchorId="5486E72A">
          <v:shape id="_x0000_i7439" type="#_x0000_t75" style="width:10.9pt;height:15.75pt" o:ole="">
            <v:imagedata r:id="rId12947" o:title=""/>
          </v:shape>
          <o:OLEObject Type="Embed" ProgID="Equation.DSMT4" ShapeID="_x0000_i7439" DrawAspect="Content" ObjectID="_1791381382" r:id="rId12948"/>
        </w:object>
      </w:r>
      <w:r w:rsidRPr="002614E7">
        <w:rPr>
          <w:rFonts w:hint="cs"/>
          <w:i/>
          <w:sz w:val="23"/>
          <w:szCs w:val="23"/>
          <w:rtl/>
        </w:rPr>
        <w:t xml:space="preserve"> عرضه‌ی کار و سپس مصرف و تولید را کاهش خواهد داد. همان</w:t>
      </w:r>
      <w:r w:rsidRPr="002614E7">
        <w:rPr>
          <w:rFonts w:hint="cs"/>
          <w:i/>
          <w:sz w:val="23"/>
          <w:szCs w:val="23"/>
          <w:rtl/>
        </w:rPr>
        <w:softHyphen/>
        <w:t xml:space="preserve">طور که در معادله‌ی (۱۴. ۸۵) فرض شد اگر در وضعیت یکنواخت </w:t>
      </w:r>
      <w:r w:rsidRPr="002614E7">
        <w:rPr>
          <w:position w:val="-10"/>
        </w:rPr>
        <w:object w:dxaOrig="279" w:dyaOrig="320" w14:anchorId="565F2620">
          <v:shape id="_x0000_i7440" type="#_x0000_t75" style="width:13.9pt;height:15.75pt" o:ole="">
            <v:imagedata r:id="rId12949" o:title=""/>
          </v:shape>
          <o:OLEObject Type="Embed" ProgID="Equation.DSMT4" ShapeID="_x0000_i7440" DrawAspect="Content" ObjectID="_1791381383" r:id="rId12950"/>
        </w:object>
      </w:r>
      <w:r w:rsidRPr="002614E7">
        <w:rPr>
          <w:rFonts w:hint="cs"/>
          <w:i/>
          <w:sz w:val="23"/>
          <w:szCs w:val="23"/>
          <w:rtl/>
        </w:rPr>
        <w:t xml:space="preserve"> برابر واحد باشد، آنگاه دستمزد حقیقی نیز برابر واحد خواهد بود. </w:t>
      </w:r>
    </w:p>
    <w:p w14:paraId="41AE044C" w14:textId="77777777" w:rsidR="00556C10" w:rsidRPr="002614E7" w:rsidRDefault="00556C10" w:rsidP="00556C10">
      <w:pPr>
        <w:spacing w:line="216" w:lineRule="auto"/>
        <w:rPr>
          <w:i/>
          <w:sz w:val="23"/>
          <w:szCs w:val="23"/>
          <w:rtl/>
        </w:rPr>
      </w:pPr>
      <w:r w:rsidRPr="002614E7">
        <w:rPr>
          <w:rFonts w:hint="cs"/>
          <w:i/>
          <w:sz w:val="23"/>
          <w:szCs w:val="23"/>
          <w:rtl/>
        </w:rPr>
        <w:t>قید بودجه‌ی دولت برابر است با</w:t>
      </w:r>
    </w:p>
    <w:p w14:paraId="4BE7B80B" w14:textId="77777777" w:rsidR="00556C10" w:rsidRPr="002614E7" w:rsidRDefault="00556C10" w:rsidP="00556C10">
      <w:pPr>
        <w:spacing w:line="216" w:lineRule="auto"/>
        <w:jc w:val="right"/>
        <w:rPr>
          <w:i/>
          <w:sz w:val="23"/>
          <w:szCs w:val="23"/>
          <w:rtl/>
        </w:rPr>
      </w:pPr>
      <w:r w:rsidRPr="002614E7">
        <w:rPr>
          <w:rFonts w:hint="cs"/>
          <w:i/>
          <w:sz w:val="23"/>
          <w:szCs w:val="23"/>
          <w:rtl/>
        </w:rPr>
        <w:t xml:space="preserve"> </w:t>
      </w:r>
      <w:r w:rsidRPr="002614E7">
        <w:rPr>
          <w:position w:val="-12"/>
        </w:rPr>
        <w:object w:dxaOrig="4700" w:dyaOrig="360" w14:anchorId="1B467ABC">
          <v:shape id="_x0000_i7441" type="#_x0000_t75" style="width:234.75pt;height:18.15pt" o:ole="">
            <v:imagedata r:id="rId12951" o:title=""/>
          </v:shape>
          <o:OLEObject Type="Embed" ProgID="Equation.DSMT4" ShapeID="_x0000_i7441" DrawAspect="Content" ObjectID="_1791381384" r:id="rId12952"/>
        </w:object>
      </w:r>
    </w:p>
    <w:p w14:paraId="138C4F12" w14:textId="77777777" w:rsidR="00556C10" w:rsidRPr="002614E7" w:rsidRDefault="00556C10" w:rsidP="00556C10">
      <w:pPr>
        <w:spacing w:line="216" w:lineRule="auto"/>
        <w:rPr>
          <w:i/>
          <w:sz w:val="23"/>
          <w:szCs w:val="23"/>
          <w:rtl/>
        </w:rPr>
      </w:pPr>
      <w:r w:rsidRPr="002614E7">
        <w:rPr>
          <w:rFonts w:hint="cs"/>
          <w:i/>
          <w:sz w:val="23"/>
          <w:szCs w:val="23"/>
          <w:rtl/>
        </w:rPr>
        <w:t>که تقریب لگاریتم خطی آن برابر است با</w:t>
      </w:r>
    </w:p>
    <w:p w14:paraId="08C22D8D" w14:textId="77777777" w:rsidR="00556C10" w:rsidRPr="002614E7" w:rsidRDefault="00556C10" w:rsidP="00556C10">
      <w:pPr>
        <w:bidi w:val="0"/>
        <w:spacing w:line="216" w:lineRule="auto"/>
        <w:rPr>
          <w:i/>
          <w:sz w:val="23"/>
          <w:szCs w:val="23"/>
          <w:rtl/>
        </w:rPr>
      </w:pPr>
      <w:r w:rsidRPr="002614E7">
        <w:rPr>
          <w:position w:val="-58"/>
        </w:rPr>
        <w:object w:dxaOrig="5319" w:dyaOrig="1260" w14:anchorId="79DF415B">
          <v:shape id="_x0000_i7442" type="#_x0000_t75" style="width:266.2pt;height:62.9pt" o:ole="">
            <v:imagedata r:id="rId12953" o:title=""/>
          </v:shape>
          <o:OLEObject Type="Embed" ProgID="Equation.DSMT4" ShapeID="_x0000_i7442" DrawAspect="Content" ObjectID="_1791381385" r:id="rId12954"/>
        </w:object>
      </w:r>
      <w:r>
        <w:rPr>
          <w:rtl/>
        </w:rPr>
        <w:tab/>
      </w:r>
      <w:r>
        <w:rPr>
          <w:rtl/>
        </w:rPr>
        <w:tab/>
      </w:r>
      <w:r>
        <w:rPr>
          <w:rFonts w:hint="cs"/>
          <w:i/>
          <w:sz w:val="23"/>
          <w:szCs w:val="23"/>
          <w:rtl/>
        </w:rPr>
        <w:t xml:space="preserve">(۱۴. ۹۴) </w:t>
      </w:r>
      <w:r w:rsidRPr="002614E7">
        <w:rPr>
          <w:rFonts w:hint="cs"/>
          <w:i/>
          <w:sz w:val="23"/>
          <w:szCs w:val="23"/>
          <w:rtl/>
        </w:rPr>
        <w:t xml:space="preserve">   </w:t>
      </w:r>
      <w:r w:rsidRPr="002614E7">
        <w:rPr>
          <w:i/>
          <w:sz w:val="23"/>
          <w:szCs w:val="23"/>
        </w:rPr>
        <w:t xml:space="preserve"> </w:t>
      </w:r>
    </w:p>
    <w:p w14:paraId="1C5A1CB1" w14:textId="77777777" w:rsidR="00556C10" w:rsidRPr="002614E7" w:rsidRDefault="00556C10" w:rsidP="00556C10">
      <w:pPr>
        <w:spacing w:line="216" w:lineRule="auto"/>
        <w:rPr>
          <w:i/>
          <w:sz w:val="23"/>
          <w:szCs w:val="23"/>
          <w:rtl/>
        </w:rPr>
      </w:pPr>
      <w:r w:rsidRPr="002614E7">
        <w:rPr>
          <w:rFonts w:hint="cs"/>
          <w:i/>
          <w:sz w:val="23"/>
          <w:szCs w:val="23"/>
          <w:rtl/>
        </w:rPr>
        <w:t>از قید خرید نقدی و معادلات (۱۴. ۹۰) و (۱۴. ۹۲)، معادله‌ی فوق را می‌توان به صورت زیر بازنویسی کرد</w:t>
      </w:r>
    </w:p>
    <w:p w14:paraId="480B7B0E" w14:textId="77777777" w:rsidR="00556C10" w:rsidRPr="002614E7" w:rsidRDefault="00556C10" w:rsidP="00556C10">
      <w:pPr>
        <w:tabs>
          <w:tab w:val="right" w:pos="0"/>
        </w:tabs>
        <w:bidi w:val="0"/>
        <w:spacing w:line="216" w:lineRule="auto"/>
        <w:rPr>
          <w:i/>
          <w:sz w:val="23"/>
          <w:szCs w:val="23"/>
          <w:rtl/>
        </w:rPr>
      </w:pPr>
      <w:r w:rsidRPr="002614E7">
        <w:rPr>
          <w:position w:val="-62"/>
        </w:rPr>
        <w:object w:dxaOrig="4680" w:dyaOrig="1359" w14:anchorId="04DB2FB5">
          <v:shape id="_x0000_i7443" type="#_x0000_t75" style="width:234.15pt;height:67.75pt" o:ole="">
            <v:imagedata r:id="rId12955" o:title=""/>
          </v:shape>
          <o:OLEObject Type="Embed" ProgID="Equation.DSMT4" ShapeID="_x0000_i7443" DrawAspect="Content" ObjectID="_1791381386" r:id="rId12956"/>
        </w:object>
      </w:r>
      <w:r w:rsidRPr="002614E7">
        <w:rPr>
          <w:rFonts w:eastAsiaTheme="minorHAnsi" w:cstheme="minorBidi"/>
          <w:i/>
          <w:sz w:val="23"/>
          <w:szCs w:val="23"/>
          <w:rtl/>
        </w:rPr>
        <w:tab/>
      </w:r>
      <w:r w:rsidRPr="002614E7">
        <w:rPr>
          <w:rFonts w:eastAsiaTheme="minorHAnsi" w:cstheme="minorBidi"/>
          <w:i/>
          <w:sz w:val="23"/>
          <w:szCs w:val="23"/>
          <w:rtl/>
        </w:rPr>
        <w:tab/>
      </w:r>
      <w:r>
        <w:rPr>
          <w:rFonts w:eastAsiaTheme="minorHAnsi" w:cstheme="minorBidi"/>
          <w:i/>
          <w:sz w:val="23"/>
          <w:szCs w:val="23"/>
          <w:rtl/>
        </w:rPr>
        <w:tab/>
      </w:r>
      <w:r>
        <w:rPr>
          <w:rFonts w:eastAsiaTheme="minorHAnsi" w:cstheme="minorBidi"/>
          <w:i/>
          <w:sz w:val="23"/>
          <w:szCs w:val="23"/>
          <w:rtl/>
        </w:rPr>
        <w:tab/>
      </w:r>
      <w:r w:rsidRPr="002614E7">
        <w:rPr>
          <w:rFonts w:eastAsiaTheme="minorHAnsi" w:cstheme="minorBidi"/>
          <w:i/>
          <w:sz w:val="23"/>
          <w:szCs w:val="23"/>
          <w:rtl/>
        </w:rPr>
        <w:tab/>
      </w:r>
      <w:r w:rsidRPr="002614E7">
        <w:rPr>
          <w:i/>
          <w:sz w:val="23"/>
          <w:szCs w:val="23"/>
        </w:rPr>
        <w:t xml:space="preserve"> </w:t>
      </w:r>
      <w:r w:rsidRPr="002614E7">
        <w:rPr>
          <w:rFonts w:hint="cs"/>
          <w:i/>
          <w:sz w:val="23"/>
          <w:szCs w:val="23"/>
          <w:rtl/>
        </w:rPr>
        <w:t>(۱۴ .۹۵)</w:t>
      </w:r>
      <w:r w:rsidRPr="002614E7">
        <w:rPr>
          <w:i/>
          <w:sz w:val="23"/>
          <w:szCs w:val="23"/>
        </w:rPr>
        <w:t xml:space="preserve"> </w:t>
      </w:r>
    </w:p>
    <w:p w14:paraId="7B7CB03C" w14:textId="77777777" w:rsidR="00556C10" w:rsidRPr="002614E7" w:rsidRDefault="00556C10" w:rsidP="00556C10">
      <w:pPr>
        <w:tabs>
          <w:tab w:val="right" w:pos="1287"/>
        </w:tabs>
        <w:bidi w:val="0"/>
        <w:spacing w:line="216" w:lineRule="auto"/>
        <w:rPr>
          <w:i/>
          <w:sz w:val="23"/>
          <w:szCs w:val="23"/>
          <w:rtl/>
        </w:rPr>
      </w:pPr>
      <w:r w:rsidRPr="002614E7">
        <w:rPr>
          <w:position w:val="-62"/>
        </w:rPr>
        <w:object w:dxaOrig="4860" w:dyaOrig="1340" w14:anchorId="67C1D8BE">
          <v:shape id="_x0000_i7444" type="#_x0000_t75" style="width:243.25pt;height:67.15pt" o:ole="">
            <v:imagedata r:id="rId12957" o:title=""/>
          </v:shape>
          <o:OLEObject Type="Embed" ProgID="Equation.DSMT4" ShapeID="_x0000_i7444" DrawAspect="Content" ObjectID="_1791381387" r:id="rId12958"/>
        </w:object>
      </w:r>
    </w:p>
    <w:p w14:paraId="7981DA11"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فرض می‌شود که سمت عرضه‌ی اقتصاد در کوتاه‌مدت بوسیله‌ی منحنی فیلیپس کینزین جدید توصیف می‌شود، یعنی</w:t>
      </w:r>
    </w:p>
    <w:p w14:paraId="0597AA27" w14:textId="77777777" w:rsidR="00556C10" w:rsidRPr="002614E7" w:rsidRDefault="00556C10" w:rsidP="00556C10">
      <w:pPr>
        <w:tabs>
          <w:tab w:val="right" w:pos="0"/>
        </w:tabs>
        <w:bidi w:val="0"/>
        <w:spacing w:line="216" w:lineRule="auto"/>
        <w:rPr>
          <w:i/>
          <w:sz w:val="23"/>
          <w:szCs w:val="23"/>
          <w:rtl/>
        </w:rPr>
      </w:pPr>
      <w:r w:rsidRPr="002614E7">
        <w:rPr>
          <w:position w:val="-16"/>
        </w:rPr>
        <w:object w:dxaOrig="3720" w:dyaOrig="420" w14:anchorId="12A4CE63">
          <v:shape id="_x0000_i7445" type="#_x0000_t75" style="width:185.75pt;height:21.2pt" o:ole="">
            <v:imagedata r:id="rId12959" o:title=""/>
          </v:shape>
          <o:OLEObject Type="Embed" ProgID="Equation.DSMT4" ShapeID="_x0000_i7445" DrawAspect="Content" ObjectID="_1791381388" r:id="rId12960"/>
        </w:object>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hint="cs"/>
          <w:i/>
          <w:sz w:val="23"/>
          <w:szCs w:val="23"/>
          <w:rtl/>
        </w:rPr>
        <w:t>(۱۴. ۹۶)</w:t>
      </w:r>
      <w:r w:rsidRPr="002614E7">
        <w:rPr>
          <w:i/>
          <w:sz w:val="23"/>
          <w:szCs w:val="23"/>
        </w:rPr>
        <w:t xml:space="preserve"> </w:t>
      </w:r>
    </w:p>
    <w:p w14:paraId="266743E8"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که در این رابطه با کاهش ضریب </w:t>
      </w:r>
      <w:r w:rsidRPr="002614E7">
        <w:rPr>
          <w:position w:val="-10"/>
        </w:rPr>
        <w:object w:dxaOrig="180" w:dyaOrig="300" w14:anchorId="578E6BE1">
          <v:shape id="_x0000_i7446" type="#_x0000_t75" style="width:9.1pt;height:14.5pt" o:ole="">
            <v:imagedata r:id="rId12961" o:title=""/>
          </v:shape>
          <o:OLEObject Type="Embed" ProgID="Equation.DSMT4" ShapeID="_x0000_i7446" DrawAspect="Content" ObjectID="_1791381389" r:id="rId12962"/>
        </w:object>
      </w:r>
      <w:r w:rsidRPr="002614E7">
        <w:rPr>
          <w:rFonts w:hint="cs"/>
          <w:i/>
          <w:sz w:val="23"/>
          <w:szCs w:val="23"/>
          <w:rtl/>
        </w:rPr>
        <w:t xml:space="preserve"> چسبندگی قیمت‌ها افزایش خواهد یافت.</w:t>
      </w:r>
      <w:r w:rsidRPr="002614E7">
        <w:rPr>
          <w:position w:val="-8"/>
        </w:rPr>
        <w:object w:dxaOrig="279" w:dyaOrig="320" w14:anchorId="0DCD6E42">
          <v:shape id="_x0000_i7447" type="#_x0000_t75" style="width:13.9pt;height:15.75pt" o:ole="">
            <v:imagedata r:id="rId12963" o:title=""/>
          </v:shape>
          <o:OLEObject Type="Embed" ProgID="Equation.DSMT4" ShapeID="_x0000_i7447" DrawAspect="Content" ObjectID="_1791381390" r:id="rId12964"/>
        </w:object>
      </w:r>
      <w:r w:rsidRPr="002614E7">
        <w:rPr>
          <w:rFonts w:hint="cs"/>
          <w:i/>
          <w:sz w:val="23"/>
          <w:szCs w:val="23"/>
          <w:rtl/>
        </w:rPr>
        <w:t xml:space="preserve"> سطح طبیعی تولید است که از معادله‌ی (۱۴. ۹۲) بوسیله‌ی رابطه‌ی زیر بدست می‌آید</w:t>
      </w:r>
    </w:p>
    <w:p w14:paraId="62A4D56C" w14:textId="77777777" w:rsidR="00556C10" w:rsidRPr="002614E7" w:rsidRDefault="00556C10" w:rsidP="00556C10">
      <w:pPr>
        <w:tabs>
          <w:tab w:val="right" w:pos="0"/>
        </w:tabs>
        <w:bidi w:val="0"/>
        <w:spacing w:line="216" w:lineRule="auto"/>
        <w:rPr>
          <w:i/>
          <w:sz w:val="23"/>
          <w:szCs w:val="23"/>
          <w:rtl/>
        </w:rPr>
      </w:pPr>
      <w:r w:rsidRPr="002614E7">
        <w:rPr>
          <w:position w:val="-30"/>
        </w:rPr>
        <w:object w:dxaOrig="3140" w:dyaOrig="639" w14:anchorId="1D0B9373">
          <v:shape id="_x0000_i7448" type="#_x0000_t75" style="width:157.3pt;height:32.05pt" o:ole="">
            <v:imagedata r:id="rId12965" o:title=""/>
          </v:shape>
          <o:OLEObject Type="Embed" ProgID="Equation.DSMT4" ShapeID="_x0000_i7448" DrawAspect="Content" ObjectID="_1791381391" r:id="rId12966"/>
        </w:object>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sidRPr="002614E7">
        <w:rPr>
          <w:rFonts w:eastAsiaTheme="minorHAnsi" w:cstheme="minorBidi"/>
          <w:i/>
          <w:sz w:val="23"/>
          <w:szCs w:val="23"/>
          <w:rtl/>
        </w:rPr>
        <w:tab/>
      </w:r>
      <w:r>
        <w:rPr>
          <w:rFonts w:eastAsiaTheme="minorHAnsi" w:cstheme="minorBidi"/>
          <w:i/>
          <w:sz w:val="23"/>
          <w:szCs w:val="23"/>
          <w:rtl/>
        </w:rPr>
        <w:tab/>
      </w:r>
      <w:r w:rsidRPr="002614E7">
        <w:rPr>
          <w:rFonts w:eastAsiaTheme="minorHAnsi" w:cstheme="minorBidi"/>
          <w:i/>
          <w:sz w:val="23"/>
          <w:szCs w:val="23"/>
          <w:rtl/>
        </w:rPr>
        <w:tab/>
      </w:r>
      <w:r w:rsidRPr="002614E7">
        <w:rPr>
          <w:rFonts w:hint="cs"/>
          <w:i/>
          <w:sz w:val="23"/>
          <w:szCs w:val="23"/>
          <w:rtl/>
        </w:rPr>
        <w:t>(۱۴. ۹۷)</w:t>
      </w:r>
      <w:r w:rsidRPr="002614E7">
        <w:rPr>
          <w:i/>
          <w:sz w:val="23"/>
          <w:szCs w:val="23"/>
        </w:rPr>
        <w:t xml:space="preserve"> </w:t>
      </w:r>
    </w:p>
    <w:p w14:paraId="689C8EA3"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که در آن</w:t>
      </w:r>
      <w:r w:rsidRPr="002614E7">
        <w:rPr>
          <w:position w:val="-6"/>
        </w:rPr>
        <w:object w:dxaOrig="180" w:dyaOrig="200" w14:anchorId="60246277">
          <v:shape id="_x0000_i7449" type="#_x0000_t75" style="width:9.1pt;height:10.3pt" o:ole="">
            <v:imagedata r:id="rId12967" o:title=""/>
          </v:shape>
          <o:OLEObject Type="Embed" ProgID="Equation.DSMT4" ShapeID="_x0000_i7449" DrawAspect="Content" ObjectID="_1791381392" r:id="rId12968"/>
        </w:object>
      </w:r>
      <w:r w:rsidRPr="002614E7">
        <w:rPr>
          <w:rFonts w:hint="cs"/>
          <w:i/>
          <w:sz w:val="23"/>
          <w:szCs w:val="23"/>
          <w:rtl/>
        </w:rPr>
        <w:t xml:space="preserve"> و</w:t>
      </w:r>
      <w:r w:rsidRPr="002614E7">
        <w:rPr>
          <w:position w:val="-8"/>
        </w:rPr>
        <w:object w:dxaOrig="220" w:dyaOrig="240" w14:anchorId="6EE25834">
          <v:shape id="_x0000_i7450" type="#_x0000_t75" style="width:10.9pt;height:11.5pt" o:ole="">
            <v:imagedata r:id="rId12969" o:title=""/>
          </v:shape>
          <o:OLEObject Type="Embed" ProgID="Equation.DSMT4" ShapeID="_x0000_i7450" DrawAspect="Content" ObjectID="_1791381393" r:id="rId12970"/>
        </w:object>
      </w:r>
      <w:r w:rsidRPr="002614E7">
        <w:rPr>
          <w:rFonts w:hint="cs"/>
          <w:i/>
          <w:sz w:val="23"/>
          <w:szCs w:val="23"/>
          <w:rtl/>
        </w:rPr>
        <w:t xml:space="preserve"> مقادیر در وضعیت یکنواخت است، و</w:t>
      </w:r>
      <w:r w:rsidRPr="00025957">
        <w:rPr>
          <w:position w:val="-4"/>
        </w:rPr>
        <w:object w:dxaOrig="460" w:dyaOrig="240" w14:anchorId="7C5EAF15">
          <v:shape id="_x0000_i7451" type="#_x0000_t75" style="width:23pt;height:11.5pt" o:ole="">
            <v:imagedata r:id="rId12971" o:title=""/>
          </v:shape>
          <o:OLEObject Type="Embed" ProgID="Equation.DSMT4" ShapeID="_x0000_i7451" DrawAspect="Content" ObjectID="_1791381394" r:id="rId12972"/>
        </w:object>
      </w:r>
      <w:r w:rsidRPr="002614E7">
        <w:rPr>
          <w:rFonts w:hint="cs"/>
          <w:i/>
          <w:sz w:val="23"/>
          <w:szCs w:val="23"/>
          <w:rtl/>
        </w:rPr>
        <w:t xml:space="preserve"> در وضعیت یکنواخت برابر صفر است.</w:t>
      </w:r>
    </w:p>
    <w:p w14:paraId="5918ED76"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مسئله‌ی سیاستی دولت حداقل کردن تابع زیان درجه دوم زیر نسبت به قید بودجه‌ی دولت و منحنی فیلیپس می‌باشد</w:t>
      </w:r>
    </w:p>
    <w:p w14:paraId="2C5AB770" w14:textId="77777777" w:rsidR="00556C10" w:rsidRPr="002614E7" w:rsidRDefault="00556C10" w:rsidP="00556C10">
      <w:pPr>
        <w:tabs>
          <w:tab w:val="right" w:pos="1287"/>
        </w:tabs>
        <w:bidi w:val="0"/>
        <w:spacing w:line="216" w:lineRule="auto"/>
        <w:rPr>
          <w:i/>
          <w:sz w:val="23"/>
          <w:szCs w:val="23"/>
          <w:rtl/>
        </w:rPr>
      </w:pPr>
      <w:r w:rsidRPr="002614E7">
        <w:rPr>
          <w:position w:val="-26"/>
        </w:rPr>
        <w:object w:dxaOrig="4400" w:dyaOrig="620" w14:anchorId="576FC3EB">
          <v:shape id="_x0000_i7452" type="#_x0000_t75" style="width:219.65pt;height:30.85pt" o:ole="">
            <v:imagedata r:id="rId12973" o:title=""/>
          </v:shape>
          <o:OLEObject Type="Embed" ProgID="Equation.DSMT4" ShapeID="_x0000_i7452" DrawAspect="Content" ObjectID="_1791381395" r:id="rId12974"/>
        </w:object>
      </w:r>
      <w:r w:rsidRPr="002614E7">
        <w:rPr>
          <w:rFonts w:hint="cs"/>
          <w:i/>
          <w:sz w:val="23"/>
          <w:szCs w:val="23"/>
          <w:rtl/>
        </w:rPr>
        <w:t xml:space="preserve"> </w:t>
      </w:r>
    </w:p>
    <w:p w14:paraId="2F3C08EC"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ابزارهای سیاست پولی و مالی در دسترس دولت عبارتند از</w:t>
      </w:r>
      <w:r w:rsidRPr="002614E7">
        <w:rPr>
          <w:position w:val="-10"/>
        </w:rPr>
        <w:object w:dxaOrig="279" w:dyaOrig="320" w14:anchorId="75BC01FC">
          <v:shape id="_x0000_i7453" type="#_x0000_t75" style="width:13.9pt;height:15.75pt" o:ole="">
            <v:imagedata r:id="rId12975" o:title=""/>
          </v:shape>
          <o:OLEObject Type="Embed" ProgID="Equation.DSMT4" ShapeID="_x0000_i7453" DrawAspect="Content" ObjectID="_1791381396" r:id="rId12976"/>
        </w:object>
      </w:r>
      <w:r w:rsidRPr="002614E7">
        <w:rPr>
          <w:rFonts w:hint="cs"/>
          <w:i/>
          <w:sz w:val="23"/>
          <w:szCs w:val="23"/>
          <w:rtl/>
        </w:rPr>
        <w:t>،</w:t>
      </w:r>
      <w:r w:rsidRPr="002614E7">
        <w:rPr>
          <w:position w:val="-10"/>
        </w:rPr>
        <w:object w:dxaOrig="240" w:dyaOrig="320" w14:anchorId="48A504CD">
          <v:shape id="_x0000_i7454" type="#_x0000_t75" style="width:11.5pt;height:15.75pt" o:ole="">
            <v:imagedata r:id="rId12977" o:title=""/>
          </v:shape>
          <o:OLEObject Type="Embed" ProgID="Equation.DSMT4" ShapeID="_x0000_i7454" DrawAspect="Content" ObjectID="_1791381397" r:id="rId12978"/>
        </w:object>
      </w:r>
      <w:r w:rsidRPr="002614E7">
        <w:rPr>
          <w:rFonts w:hint="cs"/>
          <w:i/>
          <w:sz w:val="23"/>
          <w:szCs w:val="23"/>
          <w:rtl/>
        </w:rPr>
        <w:t>،</w:t>
      </w:r>
      <w:r w:rsidRPr="002614E7">
        <w:rPr>
          <w:position w:val="-10"/>
        </w:rPr>
        <w:object w:dxaOrig="220" w:dyaOrig="320" w14:anchorId="7DB607CF">
          <v:shape id="_x0000_i7455" type="#_x0000_t75" style="width:10.9pt;height:15.75pt" o:ole="">
            <v:imagedata r:id="rId12979" o:title=""/>
          </v:shape>
          <o:OLEObject Type="Embed" ProgID="Equation.DSMT4" ShapeID="_x0000_i7455" DrawAspect="Content" ObjectID="_1791381398" r:id="rId12980"/>
        </w:object>
      </w:r>
      <w:r w:rsidRPr="002614E7">
        <w:rPr>
          <w:rFonts w:hint="cs"/>
          <w:i/>
          <w:sz w:val="23"/>
          <w:szCs w:val="23"/>
          <w:rtl/>
        </w:rPr>
        <w:t>،</w:t>
      </w:r>
      <w:r w:rsidRPr="002614E7">
        <w:rPr>
          <w:position w:val="-10"/>
        </w:rPr>
        <w:object w:dxaOrig="260" w:dyaOrig="320" w14:anchorId="4B567A26">
          <v:shape id="_x0000_i7456" type="#_x0000_t75" style="width:13.3pt;height:15.75pt" o:ole="">
            <v:imagedata r:id="rId12981" o:title=""/>
          </v:shape>
          <o:OLEObject Type="Embed" ProgID="Equation.DSMT4" ShapeID="_x0000_i7456" DrawAspect="Content" ObjectID="_1791381399" r:id="rId12982"/>
        </w:object>
      </w:r>
      <w:r w:rsidRPr="002614E7">
        <w:rPr>
          <w:i/>
          <w:sz w:val="23"/>
          <w:szCs w:val="23"/>
        </w:rPr>
        <w:t xml:space="preserve"> </w:t>
      </w:r>
      <w:r w:rsidRPr="002614E7">
        <w:rPr>
          <w:rFonts w:hint="cs"/>
          <w:i/>
          <w:sz w:val="23"/>
          <w:szCs w:val="23"/>
          <w:rtl/>
        </w:rPr>
        <w:t>و</w:t>
      </w:r>
      <w:r w:rsidRPr="002614E7">
        <w:rPr>
          <w:position w:val="-10"/>
        </w:rPr>
        <w:object w:dxaOrig="220" w:dyaOrig="320" w14:anchorId="4F98D7A6">
          <v:shape id="_x0000_i7457" type="#_x0000_t75" style="width:10.9pt;height:15.75pt" o:ole="">
            <v:imagedata r:id="rId12983" o:title=""/>
          </v:shape>
          <o:OLEObject Type="Embed" ProgID="Equation.DSMT4" ShapeID="_x0000_i7457" DrawAspect="Content" ObjectID="_1791381400" r:id="rId12984"/>
        </w:object>
      </w:r>
      <w:r w:rsidRPr="002614E7">
        <w:rPr>
          <w:i/>
          <w:sz w:val="23"/>
          <w:szCs w:val="23"/>
        </w:rPr>
        <w:t>.</w:t>
      </w:r>
      <w:r w:rsidRPr="002614E7">
        <w:rPr>
          <w:rFonts w:hint="cs"/>
          <w:i/>
          <w:sz w:val="23"/>
          <w:szCs w:val="23"/>
          <w:rtl/>
        </w:rPr>
        <w:t xml:space="preserve"> بنابراین لاگرانژین این مسئله ممکن است به صورت زیر نوشته شود</w:t>
      </w:r>
    </w:p>
    <w:p w14:paraId="2D2F1948" w14:textId="77777777" w:rsidR="00556C10" w:rsidRPr="002614E7" w:rsidRDefault="00556C10" w:rsidP="00556C10">
      <w:pPr>
        <w:tabs>
          <w:tab w:val="right" w:pos="1287"/>
        </w:tabs>
        <w:bidi w:val="0"/>
        <w:spacing w:line="216" w:lineRule="auto"/>
        <w:rPr>
          <w:i/>
          <w:sz w:val="23"/>
          <w:szCs w:val="23"/>
          <w:rtl/>
        </w:rPr>
      </w:pPr>
      <w:r w:rsidRPr="002614E7">
        <w:rPr>
          <w:position w:val="-218"/>
        </w:rPr>
        <w:object w:dxaOrig="6180" w:dyaOrig="4459" w14:anchorId="3595DEF6">
          <v:shape id="_x0000_i7458" type="#_x0000_t75" style="width:309.2pt;height:222.65pt" o:ole="">
            <v:imagedata r:id="rId12985" o:title=""/>
          </v:shape>
          <o:OLEObject Type="Embed" ProgID="Equation.DSMT4" ShapeID="_x0000_i7458" DrawAspect="Content" ObjectID="_1791381401" r:id="rId12986"/>
        </w:object>
      </w:r>
    </w:p>
    <w:p w14:paraId="02E9A6F1"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شرایط مرتبه اول بر حسب متغیرهای</w:t>
      </w:r>
      <w:r w:rsidRPr="002614E7">
        <w:rPr>
          <w:position w:val="-10"/>
        </w:rPr>
        <w:object w:dxaOrig="279" w:dyaOrig="320" w14:anchorId="51974D2C">
          <v:shape id="_x0000_i7459" type="#_x0000_t75" style="width:13.9pt;height:15.75pt" o:ole="">
            <v:imagedata r:id="rId12987" o:title=""/>
          </v:shape>
          <o:OLEObject Type="Embed" ProgID="Equation.DSMT4" ShapeID="_x0000_i7459" DrawAspect="Content" ObjectID="_1791381402" r:id="rId12988"/>
        </w:object>
      </w:r>
      <w:r w:rsidRPr="002614E7">
        <w:rPr>
          <w:rFonts w:hint="cs"/>
          <w:i/>
          <w:sz w:val="23"/>
          <w:szCs w:val="23"/>
          <w:rtl/>
        </w:rPr>
        <w:t>،</w:t>
      </w:r>
      <w:r w:rsidRPr="002614E7">
        <w:rPr>
          <w:position w:val="-10"/>
        </w:rPr>
        <w:object w:dxaOrig="460" w:dyaOrig="320" w14:anchorId="3478679A">
          <v:shape id="_x0000_i7460" type="#_x0000_t75" style="width:23pt;height:15.75pt" o:ole="">
            <v:imagedata r:id="rId12989" o:title=""/>
          </v:shape>
          <o:OLEObject Type="Embed" ProgID="Equation.DSMT4" ShapeID="_x0000_i7460" DrawAspect="Content" ObjectID="_1791381403" r:id="rId12990"/>
        </w:object>
      </w:r>
      <w:r w:rsidRPr="002614E7">
        <w:rPr>
          <w:rFonts w:hint="cs"/>
          <w:i/>
          <w:sz w:val="23"/>
          <w:szCs w:val="23"/>
          <w:rtl/>
        </w:rPr>
        <w:t>،</w:t>
      </w:r>
      <w:r w:rsidRPr="002614E7">
        <w:rPr>
          <w:position w:val="-10"/>
        </w:rPr>
        <w:object w:dxaOrig="220" w:dyaOrig="320" w14:anchorId="0A2B57E4">
          <v:shape id="_x0000_i7461" type="#_x0000_t75" style="width:10.9pt;height:15.75pt" o:ole="">
            <v:imagedata r:id="rId12991" o:title=""/>
          </v:shape>
          <o:OLEObject Type="Embed" ProgID="Equation.DSMT4" ShapeID="_x0000_i7461" DrawAspect="Content" ObjectID="_1791381404" r:id="rId12992"/>
        </w:object>
      </w:r>
      <w:r w:rsidRPr="002614E7">
        <w:rPr>
          <w:rFonts w:hint="cs"/>
          <w:i/>
          <w:sz w:val="23"/>
          <w:szCs w:val="23"/>
          <w:rtl/>
        </w:rPr>
        <w:t>،</w:t>
      </w:r>
      <w:r w:rsidRPr="002614E7">
        <w:rPr>
          <w:position w:val="-10"/>
        </w:rPr>
        <w:object w:dxaOrig="480" w:dyaOrig="320" w14:anchorId="3BD76A3E">
          <v:shape id="_x0000_i7462" type="#_x0000_t75" style="width:24.2pt;height:15.75pt" o:ole="">
            <v:imagedata r:id="rId12993" o:title=""/>
          </v:shape>
          <o:OLEObject Type="Embed" ProgID="Equation.DSMT4" ShapeID="_x0000_i7462" DrawAspect="Content" ObjectID="_1791381405" r:id="rId12994"/>
        </w:object>
      </w:r>
      <w:r w:rsidRPr="002614E7">
        <w:rPr>
          <w:i/>
          <w:sz w:val="23"/>
          <w:szCs w:val="23"/>
        </w:rPr>
        <w:t xml:space="preserve"> </w:t>
      </w:r>
      <w:r w:rsidRPr="002614E7">
        <w:rPr>
          <w:rFonts w:hint="cs"/>
          <w:i/>
          <w:sz w:val="23"/>
          <w:szCs w:val="23"/>
          <w:rtl/>
        </w:rPr>
        <w:t>و</w:t>
      </w:r>
      <w:r w:rsidRPr="002614E7">
        <w:rPr>
          <w:position w:val="-10"/>
        </w:rPr>
        <w:object w:dxaOrig="440" w:dyaOrig="320" w14:anchorId="5213B100">
          <v:shape id="_x0000_i7463" type="#_x0000_t75" style="width:21.8pt;height:15.75pt" o:ole="">
            <v:imagedata r:id="rId12995" o:title=""/>
          </v:shape>
          <o:OLEObject Type="Embed" ProgID="Equation.DSMT4" ShapeID="_x0000_i7463" DrawAspect="Content" ObjectID="_1791381406" r:id="rId12996"/>
        </w:object>
      </w:r>
      <w:r w:rsidRPr="002614E7">
        <w:rPr>
          <w:i/>
          <w:sz w:val="23"/>
          <w:szCs w:val="23"/>
        </w:rPr>
        <w:t xml:space="preserve"> </w:t>
      </w:r>
      <w:r w:rsidRPr="002614E7">
        <w:rPr>
          <w:rFonts w:hint="cs"/>
          <w:i/>
          <w:sz w:val="23"/>
          <w:szCs w:val="23"/>
          <w:rtl/>
        </w:rPr>
        <w:t>عبارتند از</w:t>
      </w:r>
    </w:p>
    <w:p w14:paraId="58B61F7A" w14:textId="77777777" w:rsidR="00556C10" w:rsidRPr="002614E7" w:rsidRDefault="00556C10" w:rsidP="00556C10">
      <w:pPr>
        <w:tabs>
          <w:tab w:val="right" w:pos="1287"/>
        </w:tabs>
        <w:bidi w:val="0"/>
        <w:spacing w:line="216" w:lineRule="auto"/>
        <w:rPr>
          <w:i/>
          <w:sz w:val="23"/>
          <w:szCs w:val="23"/>
          <w:rtl/>
        </w:rPr>
      </w:pPr>
      <w:r w:rsidRPr="002614E7">
        <w:rPr>
          <w:position w:val="-26"/>
        </w:rPr>
        <w:object w:dxaOrig="780" w:dyaOrig="600" w14:anchorId="587A3D17">
          <v:shape id="_x0000_i7464" type="#_x0000_t75" style="width:39.35pt;height:29.65pt" o:ole="">
            <v:imagedata r:id="rId12997" o:title=""/>
          </v:shape>
          <o:OLEObject Type="Embed" ProgID="Equation.DSMT4" ShapeID="_x0000_i7464" DrawAspect="Content" ObjectID="_1791381407" r:id="rId12998"/>
        </w:object>
      </w:r>
    </w:p>
    <w:p w14:paraId="5DE26071" w14:textId="77777777" w:rsidR="00556C10" w:rsidRPr="002614E7" w:rsidRDefault="00556C10" w:rsidP="00556C10">
      <w:pPr>
        <w:tabs>
          <w:tab w:val="right" w:pos="1287"/>
        </w:tabs>
        <w:bidi w:val="0"/>
        <w:spacing w:line="216" w:lineRule="auto"/>
        <w:rPr>
          <w:i/>
          <w:sz w:val="23"/>
          <w:szCs w:val="23"/>
          <w:rtl/>
        </w:rPr>
      </w:pPr>
      <w:r w:rsidRPr="002614E7">
        <w:rPr>
          <w:position w:val="-26"/>
        </w:rPr>
        <w:object w:dxaOrig="820" w:dyaOrig="600" w14:anchorId="6486915E">
          <v:shape id="_x0000_i7465" type="#_x0000_t75" style="width:41.15pt;height:29.65pt" o:ole="">
            <v:imagedata r:id="rId12999" o:title=""/>
          </v:shape>
          <o:OLEObject Type="Embed" ProgID="Equation.DSMT4" ShapeID="_x0000_i7465" DrawAspect="Content" ObjectID="_1791381408" r:id="rId13000"/>
        </w:object>
      </w:r>
    </w:p>
    <w:p w14:paraId="509AA6B7" w14:textId="77777777" w:rsidR="00556C10" w:rsidRPr="002614E7" w:rsidRDefault="00556C10" w:rsidP="00556C10">
      <w:pPr>
        <w:tabs>
          <w:tab w:val="right" w:pos="1287"/>
        </w:tabs>
        <w:bidi w:val="0"/>
        <w:spacing w:line="216" w:lineRule="auto"/>
        <w:rPr>
          <w:i/>
          <w:sz w:val="23"/>
          <w:szCs w:val="23"/>
          <w:rtl/>
        </w:rPr>
      </w:pPr>
      <w:r w:rsidRPr="002614E7">
        <w:rPr>
          <w:position w:val="-28"/>
        </w:rPr>
        <w:object w:dxaOrig="3480" w:dyaOrig="660" w14:anchorId="1983A036">
          <v:shape id="_x0000_i7466" type="#_x0000_t75" style="width:174.25pt;height:32.65pt" o:ole="">
            <v:imagedata r:id="rId13001" o:title=""/>
          </v:shape>
          <o:OLEObject Type="Embed" ProgID="Equation.DSMT4" ShapeID="_x0000_i7466" DrawAspect="Content" ObjectID="_1791381409" r:id="rId13002"/>
        </w:object>
      </w:r>
    </w:p>
    <w:p w14:paraId="57FAA840" w14:textId="77777777" w:rsidR="00556C10" w:rsidRPr="002614E7" w:rsidRDefault="00556C10" w:rsidP="00556C10">
      <w:pPr>
        <w:tabs>
          <w:tab w:val="right" w:pos="1287"/>
        </w:tabs>
        <w:bidi w:val="0"/>
        <w:spacing w:line="216" w:lineRule="auto"/>
        <w:rPr>
          <w:i/>
          <w:sz w:val="23"/>
          <w:szCs w:val="23"/>
          <w:rtl/>
        </w:rPr>
      </w:pPr>
      <w:r w:rsidRPr="002614E7">
        <w:rPr>
          <w:position w:val="-22"/>
        </w:rPr>
        <w:object w:dxaOrig="1520" w:dyaOrig="560" w14:anchorId="69A60205">
          <v:shape id="_x0000_i7467" type="#_x0000_t75" style="width:75.65pt;height:27.85pt" o:ole="">
            <v:imagedata r:id="rId13003" o:title=""/>
          </v:shape>
          <o:OLEObject Type="Embed" ProgID="Equation.DSMT4" ShapeID="_x0000_i7467" DrawAspect="Content" ObjectID="_1791381410" r:id="rId13004"/>
        </w:object>
      </w:r>
    </w:p>
    <w:p w14:paraId="46157D0F"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تفسیر شرایط اولیه‌ی فوق به ابزارهای سیاستی قابل دسترس دولت وابسته است. با </w:t>
      </w:r>
      <w:r w:rsidRPr="002614E7">
        <w:rPr>
          <w:position w:val="-10"/>
        </w:rPr>
        <w:object w:dxaOrig="900" w:dyaOrig="340" w14:anchorId="20A861D2">
          <v:shape id="_x0000_i7468" type="#_x0000_t75" style="width:45.4pt;height:16.95pt" o:ole="">
            <v:imagedata r:id="rId13005" o:title=""/>
          </v:shape>
          <o:OLEObject Type="Embed" ProgID="Equation.DSMT4" ShapeID="_x0000_i7468" DrawAspect="Content" ObjectID="_1791381411" r:id="rId13006"/>
        </w:object>
      </w:r>
      <w:r w:rsidRPr="002614E7">
        <w:rPr>
          <w:i/>
          <w:sz w:val="23"/>
          <w:szCs w:val="23"/>
        </w:rPr>
        <w:t xml:space="preserve"> </w:t>
      </w:r>
      <w:r w:rsidRPr="002614E7">
        <w:rPr>
          <w:rFonts w:hint="cs"/>
          <w:i/>
          <w:sz w:val="23"/>
          <w:szCs w:val="23"/>
          <w:rtl/>
        </w:rPr>
        <w:t xml:space="preserve">معادله‌ی تورم مبین آن خواهد بود که </w:t>
      </w:r>
      <w:r w:rsidRPr="002614E7">
        <w:rPr>
          <w:position w:val="-10"/>
        </w:rPr>
        <w:object w:dxaOrig="700" w:dyaOrig="340" w14:anchorId="76BD6D42">
          <v:shape id="_x0000_i7469" type="#_x0000_t75" style="width:35.1pt;height:16.95pt" o:ole="">
            <v:imagedata r:id="rId13007" o:title=""/>
          </v:shape>
          <o:OLEObject Type="Embed" ProgID="Equation.DSMT4" ShapeID="_x0000_i7469" DrawAspect="Content" ObjectID="_1791381412" r:id="rId13008"/>
        </w:object>
      </w:r>
      <w:r w:rsidRPr="002614E7">
        <w:rPr>
          <w:rFonts w:hint="cs"/>
          <w:i/>
          <w:sz w:val="23"/>
          <w:szCs w:val="23"/>
          <w:rtl/>
        </w:rPr>
        <w:t xml:space="preserve"> و مستلزم آن است که تولید برابر با نرخ طبیعی خود باشد. این شرایط زمانی قابل دسترس است که مالیات‌های کارِ اختلال</w:t>
      </w:r>
      <w:r w:rsidRPr="002614E7">
        <w:rPr>
          <w:i/>
          <w:sz w:val="23"/>
          <w:szCs w:val="23"/>
          <w:rtl/>
        </w:rPr>
        <w:softHyphen/>
      </w:r>
      <w:r w:rsidRPr="002614E7">
        <w:rPr>
          <w:rFonts w:hint="cs"/>
          <w:i/>
          <w:sz w:val="23"/>
          <w:szCs w:val="23"/>
          <w:rtl/>
        </w:rPr>
        <w:t>زا و یا مخارج دولت، هر اخلال در تولید در معادله‌ی (۱۴. ۹۲) را جبران کند. بطور کلی، بودجه متعادل نخواهد بود و سطح حقیقی بدهی</w:t>
      </w:r>
      <w:r w:rsidRPr="002614E7">
        <w:rPr>
          <w:position w:val="-10"/>
        </w:rPr>
        <w:object w:dxaOrig="340" w:dyaOrig="320" w14:anchorId="5C15711D">
          <v:shape id="_x0000_i7470" type="#_x0000_t75" style="width:16.95pt;height:15.75pt" o:ole="">
            <v:imagedata r:id="rId13009" o:title=""/>
          </v:shape>
          <o:OLEObject Type="Embed" ProgID="Equation.DSMT4" ShapeID="_x0000_i7470" DrawAspect="Content" ObjectID="_1791381413" r:id="rId13010"/>
        </w:object>
      </w:r>
      <w:r w:rsidRPr="002614E7">
        <w:rPr>
          <w:rFonts w:hint="cs"/>
          <w:i/>
          <w:sz w:val="23"/>
          <w:szCs w:val="23"/>
          <w:rtl/>
        </w:rPr>
        <w:t xml:space="preserve"> می‌بایست تغییر کند،</w:t>
      </w:r>
      <w:r w:rsidRPr="002614E7">
        <w:rPr>
          <w:position w:val="-10"/>
        </w:rPr>
        <w:object w:dxaOrig="220" w:dyaOrig="320" w14:anchorId="3DA1545B">
          <v:shape id="_x0000_i7471" type="#_x0000_t75" style="width:10.9pt;height:15.75pt" o:ole="">
            <v:imagedata r:id="rId13011" o:title=""/>
          </v:shape>
          <o:OLEObject Type="Embed" ProgID="Equation.DSMT4" ShapeID="_x0000_i7471" DrawAspect="Content" ObjectID="_1791381414" r:id="rId13012"/>
        </w:object>
      </w:r>
      <w:r w:rsidRPr="002614E7">
        <w:rPr>
          <w:i/>
          <w:sz w:val="23"/>
          <w:szCs w:val="23"/>
        </w:rPr>
        <w:t xml:space="preserve"> </w:t>
      </w:r>
      <w:r w:rsidRPr="002614E7">
        <w:rPr>
          <w:rFonts w:hint="cs"/>
          <w:i/>
          <w:sz w:val="23"/>
          <w:szCs w:val="23"/>
          <w:rtl/>
        </w:rPr>
        <w:t>از قبل مشخص است. از اولین دو شرط مرتبه اول با مالیات یکجا و نرخ بهره می‌توان از این مسئله اجتناب کرد. در هر مورد ضریب</w:t>
      </w:r>
      <w:r w:rsidRPr="002614E7">
        <w:rPr>
          <w:position w:val="-10"/>
        </w:rPr>
        <w:object w:dxaOrig="240" w:dyaOrig="320" w14:anchorId="712DF355">
          <v:shape id="_x0000_i7472" type="#_x0000_t75" style="width:11.5pt;height:15.75pt" o:ole="">
            <v:imagedata r:id="rId13013" o:title=""/>
          </v:shape>
          <o:OLEObject Type="Embed" ProgID="Equation.DSMT4" ShapeID="_x0000_i7472" DrawAspect="Content" ObjectID="_1791381415" r:id="rId13014"/>
        </w:object>
      </w:r>
      <w:r w:rsidRPr="002614E7">
        <w:rPr>
          <w:i/>
          <w:sz w:val="23"/>
          <w:szCs w:val="23"/>
        </w:rPr>
        <w:t xml:space="preserve"> </w:t>
      </w:r>
      <w:r w:rsidRPr="002614E7">
        <w:rPr>
          <w:rFonts w:hint="cs"/>
          <w:i/>
          <w:sz w:val="23"/>
          <w:szCs w:val="23"/>
          <w:rtl/>
        </w:rPr>
        <w:t>یا هزینه‌ی سایه‌ای قید بودجه‌ی دولت برابر صفر است. اگر مالیات یکجا قابل دسترس نباشد، آنگاه استفاده از سیاست پولی برای متعادل کردن بودجه اجتناب</w:t>
      </w:r>
      <w:r w:rsidRPr="002614E7">
        <w:rPr>
          <w:rFonts w:hint="cs"/>
          <w:i/>
          <w:sz w:val="23"/>
          <w:szCs w:val="23"/>
          <w:rtl/>
        </w:rPr>
        <w:softHyphen/>
        <w:t xml:space="preserve">ناپذیر است. در این صورت سیاست بهینه مشمول استفاده از مالیات‌ها و مخارج دولتی برای کنترل تولید و سپس تورم، و بکارگیری سیاست پولی جهت دسترسی به پایداری مالی است. </w:t>
      </w:r>
    </w:p>
    <w:p w14:paraId="416B922C"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lastRenderedPageBreak/>
        <w:t xml:space="preserve">قبلاً سیاست پولی را برای کنترل تورم از طریق تقاضای کل مورد استفاده قرار دادیم. اگر شوک سیاستی به تقاضای کل اعمال شود، آنگاه تورم از طریق منحنی فیلیپس افزایش خواهد یافت. سیاست پولی از طریق افزایش نرخ بهره‌ی اسمی این را جبران خواهد کرد. از معادلات (۱۴. ۸۶) و (۱۴. ۸۸) در وضعیت یکنواخت نرخ تنزیل برابر است با </w:t>
      </w:r>
      <w:r w:rsidRPr="002614E7">
        <w:rPr>
          <w:position w:val="-6"/>
        </w:rPr>
        <w:object w:dxaOrig="920" w:dyaOrig="260" w14:anchorId="0ADD00A3">
          <v:shape id="_x0000_i7473" type="#_x0000_t75" style="width:46pt;height:13.3pt" o:ole="">
            <v:imagedata r:id="rId13015" o:title=""/>
          </v:shape>
          <o:OLEObject Type="Embed" ProgID="Equation.DSMT4" ShapeID="_x0000_i7473" DrawAspect="Content" ObjectID="_1791381416" r:id="rId13016"/>
        </w:object>
      </w:r>
      <w:r w:rsidRPr="002614E7">
        <w:rPr>
          <w:rFonts w:hint="cs"/>
          <w:i/>
          <w:sz w:val="23"/>
          <w:szCs w:val="23"/>
          <w:rtl/>
        </w:rPr>
        <w:t xml:space="preserve">. بگونه‌ای که </w:t>
      </w:r>
      <w:r w:rsidRPr="002614E7">
        <w:rPr>
          <w:position w:val="-22"/>
        </w:rPr>
        <w:object w:dxaOrig="880" w:dyaOrig="560" w14:anchorId="5B6E3153">
          <v:shape id="_x0000_i7474" type="#_x0000_t75" style="width:44.15pt;height:27.85pt" o:ole="">
            <v:imagedata r:id="rId13017" o:title=""/>
          </v:shape>
          <o:OLEObject Type="Embed" ProgID="Equation.DSMT4" ShapeID="_x0000_i7474" DrawAspect="Content" ObjectID="_1791381417" r:id="rId13018"/>
        </w:object>
      </w:r>
      <w:r w:rsidRPr="002614E7">
        <w:rPr>
          <w:i/>
          <w:sz w:val="23"/>
          <w:szCs w:val="23"/>
        </w:rPr>
        <w:t xml:space="preserve"> </w:t>
      </w:r>
      <w:r w:rsidRPr="002614E7">
        <w:rPr>
          <w:rFonts w:hint="cs"/>
          <w:i/>
          <w:sz w:val="23"/>
          <w:szCs w:val="23"/>
          <w:rtl/>
        </w:rPr>
        <w:t>است. بنابراین افزایش در نرخ بهره‌ی اسمی در کوتاه‌مدت، هنگامی که قیمت‌ها چسبنده باشند، باعث می‌شود نرخ بهره‌ی حقیقی از</w:t>
      </w:r>
      <w:r w:rsidRPr="002614E7">
        <w:rPr>
          <w:position w:val="-6"/>
        </w:rPr>
        <w:object w:dxaOrig="200" w:dyaOrig="260" w14:anchorId="2D671B44">
          <v:shape id="_x0000_i7475" type="#_x0000_t75" style="width:10.3pt;height:13.3pt" o:ole="">
            <v:imagedata r:id="rId13019" o:title=""/>
          </v:shape>
          <o:OLEObject Type="Embed" ProgID="Equation.DSMT4" ShapeID="_x0000_i7475" DrawAspect="Content" ObjectID="_1791381418" r:id="rId13020"/>
        </w:object>
      </w:r>
      <w:r w:rsidRPr="002614E7">
        <w:rPr>
          <w:rFonts w:hint="cs"/>
          <w:i/>
          <w:sz w:val="23"/>
          <w:szCs w:val="23"/>
          <w:rtl/>
        </w:rPr>
        <w:t xml:space="preserve"> بیشتر شود. لذا جانشینی بین‌دوره‌ای را تحریک نموده به صورتی که مصرف جاری متفاوت باشد. در این مدل، که بدهی دولت دارایی خانوار است، افزایش نرخ بهره، درآمد حاصل از نرخ بهره‌ی آتی را افزایش داده و لذا پرداخت بهره‌ی بدهی دولت را نیز افزایش و کسری بودجه‌ی دولت را بدتر خواهد کرد. اگر مالیات یکجا قابل دسترس نباشد، آنگاه سیاست مالی از طریق افزایش مالیات‌های کار اختلال</w:t>
      </w:r>
      <w:r w:rsidRPr="002614E7">
        <w:rPr>
          <w:i/>
          <w:sz w:val="23"/>
          <w:szCs w:val="23"/>
          <w:rtl/>
        </w:rPr>
        <w:softHyphen/>
      </w:r>
      <w:r w:rsidRPr="002614E7">
        <w:rPr>
          <w:rFonts w:hint="cs"/>
          <w:i/>
          <w:sz w:val="23"/>
          <w:szCs w:val="23"/>
          <w:rtl/>
        </w:rPr>
        <w:t>زا و یا کاهش مخارج دولت مورد نیاز خواهد بود. در نتیجه، هنگامی که سیاست پولی بطور مستقل اعمال می‌شود، سیاست مالی می‌بایست جهت حفظ پایداری مالی نیز بکار گرفته شود.</w:t>
      </w:r>
    </w:p>
    <w:p w14:paraId="56D38723"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این نتایج مبین آن است که سیاست پولی و مالی بهینه به قابلیت دسترسی ابزارهای سیاستی وابسته است. بر طبق این نظریه در صورت فقدان مالیات یکجا، سیاست پولی و مالی می‌بایست هماهنگ بوده و جهت تعیین هدف خاصی مورد استفاده قرار گیرند. هر چند تحقیقات اخیر به این نتیجه رسیده که هزینه‌ی رفاهی تعیین سیاست پولی برای تثبیت تولید و کنترل تورم، و تعیین سیاست مالی برای کنترل بدهی و حفظ پایداری مالی نسبتاً کم است. به نظر می‌رسد که درجه‌ی چسبندگی قیمت‌ها نیز این نتایج را تغییر نمی</w:t>
      </w:r>
      <w:r w:rsidRPr="002614E7">
        <w:rPr>
          <w:rFonts w:hint="cs"/>
          <w:i/>
          <w:sz w:val="23"/>
          <w:szCs w:val="23"/>
          <w:rtl/>
        </w:rPr>
        <w:softHyphen/>
        <w:t>دهد. لذا سیاست پولی و مالی ممکن است بطور جداگانه و بدون هر گونه پیامد ناگواری مورد تجزیه و تحلیل قرار گیرند.</w:t>
      </w:r>
      <w:r w:rsidRPr="002614E7">
        <w:rPr>
          <w:rStyle w:val="FootnoteReference"/>
          <w:i/>
          <w:sz w:val="23"/>
          <w:szCs w:val="23"/>
          <w:rtl/>
        </w:rPr>
        <w:footnoteReference w:id="356"/>
      </w:r>
      <w:r w:rsidRPr="002614E7">
        <w:rPr>
          <w:rFonts w:hint="cs"/>
          <w:i/>
          <w:sz w:val="23"/>
          <w:szCs w:val="23"/>
          <w:rtl/>
        </w:rPr>
        <w:t xml:space="preserve"> </w:t>
      </w:r>
    </w:p>
    <w:p w14:paraId="0BF42BCD" w14:textId="77777777" w:rsidR="00556C10" w:rsidRPr="002614E7" w:rsidRDefault="00556C10" w:rsidP="00556C10">
      <w:pPr>
        <w:tabs>
          <w:tab w:val="right" w:pos="1287"/>
        </w:tabs>
        <w:spacing w:line="216" w:lineRule="auto"/>
        <w:rPr>
          <w:i/>
          <w:sz w:val="23"/>
          <w:szCs w:val="23"/>
          <w:rtl/>
        </w:rPr>
      </w:pPr>
    </w:p>
    <w:p w14:paraId="31410208" w14:textId="77777777" w:rsidR="00556C10" w:rsidRPr="002614E7" w:rsidRDefault="00556C10" w:rsidP="00556C10">
      <w:pPr>
        <w:pStyle w:val="Heading1"/>
        <w:spacing w:before="0" w:line="216" w:lineRule="auto"/>
        <w:rPr>
          <w:rFonts w:ascii="Times New Roman" w:hAnsi="Times New Roman" w:cs="B Nazanin"/>
          <w:b w:val="0"/>
          <w:i/>
          <w:sz w:val="23"/>
          <w:szCs w:val="23"/>
        </w:rPr>
      </w:pPr>
      <w:r w:rsidRPr="002614E7">
        <w:rPr>
          <w:rFonts w:ascii="Times New Roman" w:hAnsi="Times New Roman" w:cs="B Nazanin" w:hint="cs"/>
          <w:b w:val="0"/>
          <w:i/>
          <w:sz w:val="23"/>
          <w:szCs w:val="23"/>
          <w:rtl/>
        </w:rPr>
        <w:t>۱۴. ۸ سیاست پولی در اتحادیه اروپا</w:t>
      </w:r>
    </w:p>
    <w:p w14:paraId="25F7CD57"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بانک مرکزی اروپا نرخ بهره</w:t>
      </w:r>
      <w:r w:rsidRPr="002614E7">
        <w:rPr>
          <w:rFonts w:hint="cs"/>
          <w:i/>
          <w:sz w:val="23"/>
          <w:szCs w:val="23"/>
          <w:rtl/>
        </w:rPr>
        <w:softHyphen/>
        <w:t>ی مشترک و متعارفی را برای کل کشور</w:t>
      </w:r>
      <w:r w:rsidRPr="002614E7">
        <w:rPr>
          <w:rFonts w:hint="cs"/>
          <w:i/>
          <w:sz w:val="23"/>
          <w:szCs w:val="23"/>
          <w:rtl/>
        </w:rPr>
        <w:softHyphen/>
        <w:t>های عضو اتحادیه</w:t>
      </w:r>
      <w:r w:rsidRPr="002614E7">
        <w:rPr>
          <w:rFonts w:hint="cs"/>
          <w:i/>
          <w:sz w:val="23"/>
          <w:szCs w:val="23"/>
          <w:rtl/>
        </w:rPr>
        <w:softHyphen/>
        <w:t>ی اروپا تعیین می‌کند. اکنون نتایج این سیاست را برای تورم و تولید، و در هر یک از کشورهای اتحادیه</w:t>
      </w:r>
      <w:r w:rsidRPr="002614E7">
        <w:rPr>
          <w:rFonts w:hint="cs"/>
          <w:i/>
          <w:sz w:val="23"/>
          <w:szCs w:val="23"/>
          <w:rtl/>
        </w:rPr>
        <w:softHyphen/>
        <w:t xml:space="preserve">ی اروپا بررسی خواهیم کرد. این تجزیه و تحلیل بر مبنای مدل کینزین جدیدِ بسیار خاص، و همچنین اقتصاد ساده‌ی باز و آزاد، و با پول مشترک ارائه شده است. </w:t>
      </w:r>
    </w:p>
    <w:p w14:paraId="2E8D53AE"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در نگاه اول، کشوری که نرخ تورم بالاتری دارد می‌بایست نرخ بهره</w:t>
      </w:r>
      <w:r w:rsidRPr="002614E7">
        <w:rPr>
          <w:rFonts w:hint="cs"/>
          <w:i/>
          <w:sz w:val="23"/>
          <w:szCs w:val="23"/>
          <w:rtl/>
        </w:rPr>
        <w:softHyphen/>
        <w:t>ی بالاتری نیز داشته باشد تا فشار تولید بر تورم را کاهش دهد. اما این نرخ بهره برای کشور عضو که نرخ تورم آن پایین است، جهت تحریک تولید، بالا است. با انتخاب نرخ بهره</w:t>
      </w:r>
      <w:r w:rsidRPr="002614E7">
        <w:rPr>
          <w:rFonts w:hint="cs"/>
          <w:i/>
          <w:sz w:val="23"/>
          <w:szCs w:val="23"/>
          <w:rtl/>
        </w:rPr>
        <w:softHyphen/>
        <w:t>ی مابین- که نرخ بهره‌ی مشترک است- ممکن است مشکل دیگر حادث شود. کشوری که نرخ تورم بالاتر از نرخ بهره‌ی اسمی مشترک دارد، نرخ بهره</w:t>
      </w:r>
      <w:r w:rsidRPr="002614E7">
        <w:rPr>
          <w:rFonts w:hint="cs"/>
          <w:i/>
          <w:sz w:val="23"/>
          <w:szCs w:val="23"/>
          <w:rtl/>
        </w:rPr>
        <w:softHyphen/>
        <w:t>‌ی حقیقی منفی می‌شود و انتظار می‌رود با تحریک اقتصاد، تورم در آن کشور افزایش یابد. درحالی</w:t>
      </w:r>
      <w:r w:rsidRPr="002614E7">
        <w:rPr>
          <w:rFonts w:hint="cs"/>
          <w:i/>
          <w:sz w:val="23"/>
          <w:szCs w:val="23"/>
          <w:rtl/>
        </w:rPr>
        <w:softHyphen/>
        <w:t>که در کشوری که نرخ تورم آن کمتر از نرخ بهره اسمی مشترک است، نرخ بهره</w:t>
      </w:r>
      <w:r w:rsidRPr="002614E7">
        <w:rPr>
          <w:rFonts w:hint="cs"/>
          <w:i/>
          <w:sz w:val="23"/>
          <w:szCs w:val="23"/>
          <w:rtl/>
        </w:rPr>
        <w:softHyphen/>
        <w:t xml:space="preserve">ی حقیقی مثبت خواهد </w:t>
      </w:r>
      <w:r w:rsidRPr="002614E7">
        <w:rPr>
          <w:rFonts w:hint="cs"/>
          <w:i/>
          <w:sz w:val="23"/>
          <w:szCs w:val="23"/>
          <w:rtl/>
        </w:rPr>
        <w:lastRenderedPageBreak/>
        <w:t>بود و تولید و تورم در آن کشور کاهش خواهند یافت. بنابراین نرخ بهره</w:t>
      </w:r>
      <w:r w:rsidRPr="002614E7">
        <w:rPr>
          <w:rFonts w:hint="cs"/>
          <w:i/>
          <w:sz w:val="23"/>
          <w:szCs w:val="23"/>
          <w:rtl/>
        </w:rPr>
        <w:softHyphen/>
        <w:t>ی مشترک، با نرخ‌های تورم مختلف، باعث واگرایی نرخ‌های تورم هر یک از کشورها خواهد شد.</w:t>
      </w:r>
    </w:p>
    <w:p w14:paraId="7ED00237"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در این</w:t>
      </w:r>
      <w:r w:rsidRPr="002614E7">
        <w:rPr>
          <w:rFonts w:hint="cs"/>
          <w:i/>
          <w:sz w:val="23"/>
          <w:szCs w:val="23"/>
          <w:rtl/>
        </w:rPr>
        <w:softHyphen/>
        <w:t>جا می</w:t>
      </w:r>
      <w:r w:rsidRPr="002614E7">
        <w:rPr>
          <w:rFonts w:hint="cs"/>
          <w:i/>
          <w:sz w:val="23"/>
          <w:szCs w:val="23"/>
          <w:rtl/>
        </w:rPr>
        <w:softHyphen/>
        <w:t>بایست به این نکته اشاره کرد که ممکن است عواملی جهت تعدیل اقتصاد وجود داشته باشد. مثلاً کشورهای با نرخ تورم بالا دچار زیان رقابت</w:t>
      </w:r>
      <w:r w:rsidRPr="002614E7">
        <w:rPr>
          <w:rFonts w:hint="cs"/>
          <w:i/>
          <w:sz w:val="23"/>
          <w:szCs w:val="23"/>
          <w:rtl/>
        </w:rPr>
        <w:softHyphen/>
        <w:t>پذیری نسبت به کشورهای با تورم پایین هستند. در کشورهای با تورم بالا تولید و سپس فشار تورمی کاهش یافته، و در کشورهای با نرخ تورم پایین، تولید و سپس تورم افزایش خواهد یافت. بنابراین موضوعِ بحث آن است که آیا اثر رقابت</w:t>
      </w:r>
      <w:r w:rsidRPr="002614E7">
        <w:rPr>
          <w:rFonts w:hint="cs"/>
          <w:i/>
          <w:sz w:val="23"/>
          <w:szCs w:val="23"/>
          <w:rtl/>
        </w:rPr>
        <w:softHyphen/>
        <w:t>پذیری به اندازه‌ی کافی قدرتمند می</w:t>
      </w:r>
      <w:r w:rsidRPr="002614E7">
        <w:rPr>
          <w:rFonts w:hint="cs"/>
          <w:i/>
          <w:sz w:val="23"/>
          <w:szCs w:val="23"/>
          <w:rtl/>
        </w:rPr>
        <w:softHyphen/>
        <w:t>باشد تا نرخ تورم هر یک از کشورهای منفرد را همگرا نموده، و به تبع آن فعالیت</w:t>
      </w:r>
      <w:r w:rsidRPr="002614E7">
        <w:rPr>
          <w:rFonts w:hint="cs"/>
          <w:i/>
          <w:sz w:val="23"/>
          <w:szCs w:val="23"/>
          <w:rtl/>
        </w:rPr>
        <w:softHyphen/>
        <w:t>های اقتصادی را در کشورهای با پول واحد متوازن نماید.</w:t>
      </w:r>
    </w:p>
    <w:p w14:paraId="0CF1E72D"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در نمودارهای ۱۴. ۸ و ۱۴. ۹ تورم اعضای حوزه</w:t>
      </w:r>
      <w:r w:rsidRPr="002614E7">
        <w:rPr>
          <w:i/>
          <w:sz w:val="23"/>
          <w:szCs w:val="23"/>
          <w:rtl/>
        </w:rPr>
        <w:softHyphen/>
      </w:r>
      <w:r w:rsidRPr="002614E7">
        <w:rPr>
          <w:rFonts w:hint="cs"/>
          <w:i/>
          <w:sz w:val="23"/>
          <w:szCs w:val="23"/>
          <w:rtl/>
        </w:rPr>
        <w:t>ی یورو را با دانمارک و انگلستان که از اعضاء حوزه  نمی</w:t>
      </w:r>
      <w:r w:rsidRPr="002614E7">
        <w:rPr>
          <w:rFonts w:hint="cs"/>
          <w:i/>
          <w:sz w:val="23"/>
          <w:szCs w:val="23"/>
          <w:rtl/>
        </w:rPr>
        <w:softHyphen/>
        <w:t>باشند مقایسه کرده</w:t>
      </w:r>
      <w:r w:rsidRPr="002614E7">
        <w:rPr>
          <w:rFonts w:hint="cs"/>
          <w:i/>
          <w:sz w:val="23"/>
          <w:szCs w:val="23"/>
          <w:rtl/>
        </w:rPr>
        <w:softHyphen/>
        <w:t>ایم. نمودار ۱۴. ۸ نرخ‌های تورم سال به سال هر یک از کشورهای اتحادیه</w:t>
      </w:r>
      <w:r w:rsidRPr="002614E7">
        <w:rPr>
          <w:rFonts w:hint="cs"/>
          <w:i/>
          <w:sz w:val="23"/>
          <w:szCs w:val="23"/>
          <w:rtl/>
        </w:rPr>
        <w:softHyphen/>
        <w:t>ی اروپا را به انضمام نرخ تورم اتحادیه</w:t>
      </w:r>
      <w:r w:rsidRPr="002614E7">
        <w:rPr>
          <w:rFonts w:hint="cs"/>
          <w:i/>
          <w:sz w:val="23"/>
          <w:szCs w:val="23"/>
          <w:rtl/>
        </w:rPr>
        <w:softHyphen/>
        <w:t>ی اروپا (خط پهن</w:t>
      </w:r>
      <w:r w:rsidRPr="002614E7">
        <w:rPr>
          <w:rFonts w:hint="cs"/>
          <w:i/>
          <w:sz w:val="23"/>
          <w:szCs w:val="23"/>
          <w:rtl/>
        </w:rPr>
        <w:softHyphen/>
        <w:t>تر) در طی سال‌های ۲۰۰۶- ۱۹۹۰ نشان می‌دهد. نرخ تورم کشور انگلستان به صورت خط نقطه چین است. نرخ تورم اتحادیه</w:t>
      </w:r>
      <w:r w:rsidRPr="002614E7">
        <w:rPr>
          <w:rFonts w:hint="cs"/>
          <w:i/>
          <w:sz w:val="23"/>
          <w:szCs w:val="23"/>
          <w:rtl/>
        </w:rPr>
        <w:softHyphen/>
        <w:t>ی اروپا تا قبل از ایجاد اتحادیه</w:t>
      </w:r>
      <w:r w:rsidRPr="002614E7">
        <w:rPr>
          <w:rFonts w:hint="cs"/>
          <w:i/>
          <w:sz w:val="23"/>
          <w:szCs w:val="23"/>
          <w:rtl/>
        </w:rPr>
        <w:softHyphen/>
        <w:t>ی اروپا در سال ۱۹۹۹، بر روی خط روند است و بعد از آن، نرخ تورم اتحادیه</w:t>
      </w:r>
      <w:r w:rsidRPr="002614E7">
        <w:rPr>
          <w:rFonts w:hint="cs"/>
          <w:i/>
          <w:sz w:val="23"/>
          <w:szCs w:val="23"/>
          <w:rtl/>
        </w:rPr>
        <w:softHyphen/>
        <w:t>ی اروپا در حدود دو درصد نوسان داشته است. به نظر می‌رسد که همگرایی نرخ‌های تورم هر یک از کشورها تا سال ۱۹۹۳ وجود داشته، ولی بعد از سال ۱۹۹۳، تمایل به همگرایی بیشتر مشاهده نشده و در واقع از سال ۲۰۰۵ به نظر می‌رسد که نرخ‌های تورم تا حدودی واگرا هستند.</w:t>
      </w:r>
    </w:p>
    <w:p w14:paraId="373E721B" w14:textId="77777777" w:rsidR="00556C10" w:rsidRDefault="00556C10" w:rsidP="00556C10">
      <w:pPr>
        <w:tabs>
          <w:tab w:val="right" w:pos="1287"/>
        </w:tabs>
        <w:spacing w:line="216" w:lineRule="auto"/>
        <w:rPr>
          <w:i/>
          <w:sz w:val="23"/>
          <w:szCs w:val="23"/>
          <w:rtl/>
        </w:rPr>
      </w:pPr>
      <w:r w:rsidRPr="002614E7">
        <w:rPr>
          <w:rFonts w:hint="cs"/>
          <w:i/>
          <w:sz w:val="23"/>
          <w:szCs w:val="23"/>
          <w:rtl/>
        </w:rPr>
        <w:t>نمودار ۱۴. ۹ لگاریتم طبیعی سطح قیمت کشورهای اتحادیه</w:t>
      </w:r>
      <w:r w:rsidRPr="002614E7">
        <w:rPr>
          <w:rFonts w:hint="cs"/>
          <w:i/>
          <w:sz w:val="23"/>
          <w:szCs w:val="23"/>
          <w:rtl/>
        </w:rPr>
        <w:softHyphen/>
        <w:t xml:space="preserve">ی اروپا را از سال ۱۹۹۹، که سال پایه برای هر سری زمانی است، نشان می‌دهد. نظر به این که لگاریتم طبیعی سطح قیمت هر کشور در فصل اول ۱۹۹۹ برابر با صفر است، این داده‌ها نرخ تورم تجمعی را از سال ۱۹۹۹نشان می‌دهند. </w:t>
      </w:r>
    </w:p>
    <w:p w14:paraId="71AC3798"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مجدداً متوسط سطح قیمت برای اتحادیه اروپا خط پهن</w:t>
      </w:r>
      <w:r w:rsidRPr="002614E7">
        <w:rPr>
          <w:rFonts w:hint="cs"/>
          <w:i/>
          <w:sz w:val="23"/>
          <w:szCs w:val="23"/>
          <w:rtl/>
        </w:rPr>
        <w:softHyphen/>
        <w:t>تر و برای کشور انگلستان خط نقطه چین می‌باشد. بنابراین شیب خطوط، متوسط نرخ تورم را در طی دروه</w:t>
      </w:r>
      <w:r w:rsidRPr="002614E7">
        <w:rPr>
          <w:rFonts w:hint="cs"/>
          <w:i/>
          <w:sz w:val="23"/>
          <w:szCs w:val="23"/>
          <w:rtl/>
        </w:rPr>
        <w:softHyphen/>
        <w:t>ی ۲۰۰۶- ۱۹۹۹اندازه</w:t>
      </w:r>
      <w:r w:rsidRPr="002614E7">
        <w:rPr>
          <w:rFonts w:hint="cs"/>
          <w:i/>
          <w:sz w:val="23"/>
          <w:szCs w:val="23"/>
          <w:rtl/>
        </w:rPr>
        <w:softHyphen/>
        <w:t>گیری می‌کند. بخشی از افزایش پراکندگی خطوط به خاطر انتخاب تصنعی دوره</w:t>
      </w:r>
      <w:r w:rsidRPr="002614E7">
        <w:rPr>
          <w:rFonts w:hint="cs"/>
          <w:i/>
          <w:sz w:val="23"/>
          <w:szCs w:val="23"/>
          <w:rtl/>
        </w:rPr>
        <w:softHyphen/>
        <w:t xml:space="preserve">ی پایه است. </w:t>
      </w:r>
    </w:p>
    <w:p w14:paraId="76DDAE7D" w14:textId="77777777" w:rsidR="00556C10" w:rsidRDefault="00556C10" w:rsidP="00556C10">
      <w:pPr>
        <w:tabs>
          <w:tab w:val="right" w:pos="1287"/>
        </w:tabs>
        <w:spacing w:line="216" w:lineRule="auto"/>
        <w:rPr>
          <w:i/>
          <w:sz w:val="23"/>
          <w:szCs w:val="23"/>
          <w:rtl/>
        </w:rPr>
      </w:pPr>
      <w:r w:rsidRPr="002614E7">
        <w:rPr>
          <w:rFonts w:hint="cs"/>
          <w:i/>
          <w:sz w:val="23"/>
          <w:szCs w:val="23"/>
          <w:rtl/>
        </w:rPr>
        <w:t>چنانچه سال پایه، آخرین دوره، یعنی سال ۲۰۰۶ باشد، نمودارها، همگرایی را در سال آخر و نه سال اول یعنی ۱۹۹۹ نشان می‌دهند ولی شیب خطوط هنوز مبین اطلاعات مربوط به متوسط تورم است. خط بالایی مربوط به ایرلند می‌باشد که دارای بالاترین تورم، و پایین</w:t>
      </w:r>
      <w:r w:rsidRPr="002614E7">
        <w:rPr>
          <w:rFonts w:hint="cs"/>
          <w:i/>
          <w:sz w:val="23"/>
          <w:szCs w:val="23"/>
          <w:rtl/>
        </w:rPr>
        <w:softHyphen/>
        <w:t>ترین خط مربوط به آلمان که کمترین تورم را داشته است. بنابراین سطوح قیمت به طور پیوسته و یکنواخت واگرا بوده، و منفعت و سودِ نسبیِ رقابت</w:t>
      </w:r>
      <w:r w:rsidRPr="002614E7">
        <w:rPr>
          <w:rFonts w:hint="cs"/>
          <w:i/>
          <w:sz w:val="23"/>
          <w:szCs w:val="23"/>
          <w:rtl/>
        </w:rPr>
        <w:softHyphen/>
        <w:t>پذیری را برای کشورهای زیر خط اتحادیه</w:t>
      </w:r>
      <w:r w:rsidRPr="002614E7">
        <w:rPr>
          <w:rFonts w:hint="cs"/>
          <w:i/>
          <w:sz w:val="23"/>
          <w:szCs w:val="23"/>
          <w:rtl/>
        </w:rPr>
        <w:softHyphen/>
        <w:t>ی اروپا، و زیان و خسارتِ نسبیِ</w:t>
      </w:r>
      <w:r w:rsidRPr="002614E7">
        <w:rPr>
          <w:rFonts w:hint="cs"/>
          <w:i/>
          <w:sz w:val="23"/>
          <w:szCs w:val="23"/>
          <w:rtl/>
        </w:rPr>
        <w:softHyphen/>
        <w:t xml:space="preserve"> رقابت</w:t>
      </w:r>
      <w:r w:rsidRPr="002614E7">
        <w:rPr>
          <w:rFonts w:hint="cs"/>
          <w:i/>
          <w:sz w:val="23"/>
          <w:szCs w:val="23"/>
          <w:rtl/>
        </w:rPr>
        <w:softHyphen/>
        <w:t>پذیری را برای کشورهای در بالای خط اتحادیه</w:t>
      </w:r>
      <w:r w:rsidRPr="002614E7">
        <w:rPr>
          <w:rFonts w:hint="cs"/>
          <w:i/>
          <w:sz w:val="23"/>
          <w:szCs w:val="23"/>
          <w:rtl/>
        </w:rPr>
        <w:softHyphen/>
        <w:t>ی اروپا نشان می‌دهد. ضمناً بالاترین رتبه</w:t>
      </w:r>
      <w:r w:rsidRPr="002614E7">
        <w:rPr>
          <w:rFonts w:hint="cs"/>
          <w:i/>
          <w:sz w:val="23"/>
          <w:szCs w:val="23"/>
          <w:rtl/>
        </w:rPr>
        <w:softHyphen/>
        <w:t>ی سود رقابت</w:t>
      </w:r>
      <w:r w:rsidRPr="002614E7">
        <w:rPr>
          <w:rFonts w:hint="cs"/>
          <w:i/>
          <w:sz w:val="23"/>
          <w:szCs w:val="23"/>
          <w:rtl/>
        </w:rPr>
        <w:softHyphen/>
        <w:t>پذیری مربوط به کشورهای آلمان، فرانسه و بلژیک است. شواهد تجربی نشان می‌دهند که نرخ تورم واگرا نبوده ولی همگرا هم نیست که مبین زیان رقابت</w:t>
      </w:r>
      <w:r w:rsidRPr="002614E7">
        <w:rPr>
          <w:rFonts w:hint="cs"/>
          <w:i/>
          <w:sz w:val="23"/>
          <w:szCs w:val="23"/>
          <w:rtl/>
        </w:rPr>
        <w:softHyphen/>
        <w:t>پذیری باثبات و پیوسته برای کشورهای با تورم بالا، و سود و منفعت رقابت</w:t>
      </w:r>
      <w:r w:rsidRPr="002614E7">
        <w:rPr>
          <w:rFonts w:hint="cs"/>
          <w:i/>
          <w:sz w:val="23"/>
          <w:szCs w:val="23"/>
          <w:rtl/>
        </w:rPr>
        <w:softHyphen/>
        <w:t>پذیری برای کشورهای با نرخ تورم پایین است.</w:t>
      </w:r>
    </w:p>
    <w:p w14:paraId="317BDD62" w14:textId="77777777" w:rsidR="00556C10" w:rsidRDefault="00556C10" w:rsidP="00556C10">
      <w:pPr>
        <w:tabs>
          <w:tab w:val="right" w:pos="1287"/>
        </w:tabs>
        <w:spacing w:line="216" w:lineRule="auto"/>
        <w:rPr>
          <w:i/>
          <w:sz w:val="23"/>
          <w:szCs w:val="23"/>
          <w:rtl/>
        </w:rPr>
      </w:pPr>
    </w:p>
    <w:p w14:paraId="77E8C8B2" w14:textId="77777777" w:rsidR="00556C10" w:rsidRPr="002614E7" w:rsidRDefault="00556C10" w:rsidP="00556C10">
      <w:pPr>
        <w:tabs>
          <w:tab w:val="right" w:pos="1287"/>
        </w:tabs>
        <w:spacing w:line="216" w:lineRule="auto"/>
        <w:rPr>
          <w:i/>
          <w:sz w:val="23"/>
          <w:szCs w:val="23"/>
          <w:rtl/>
        </w:rPr>
      </w:pPr>
    </w:p>
    <w:p w14:paraId="38685B89" w14:textId="77777777" w:rsidR="00556C10" w:rsidRPr="002614E7" w:rsidRDefault="00556C10" w:rsidP="00556C10">
      <w:pPr>
        <w:tabs>
          <w:tab w:val="right" w:pos="1287"/>
        </w:tabs>
        <w:spacing w:line="216" w:lineRule="auto"/>
        <w:jc w:val="center"/>
        <w:rPr>
          <w:i/>
          <w:sz w:val="23"/>
          <w:szCs w:val="23"/>
          <w:rtl/>
        </w:rPr>
      </w:pPr>
      <w:r w:rsidRPr="002614E7">
        <w:rPr>
          <w:rFonts w:hint="cs"/>
          <w:i/>
          <w:sz w:val="23"/>
          <w:szCs w:val="23"/>
          <w:rtl/>
        </w:rPr>
        <w:lastRenderedPageBreak/>
        <w:t>نمودار ۱۴. ۸ : نمودار سالانه‌ی اتحادیه‌ی اروپا</w:t>
      </w:r>
    </w:p>
    <w:p w14:paraId="168C6ED0" w14:textId="77777777" w:rsidR="00556C10" w:rsidRPr="002614E7" w:rsidRDefault="00556C10" w:rsidP="00556C10">
      <w:pPr>
        <w:tabs>
          <w:tab w:val="right" w:pos="1287"/>
        </w:tabs>
        <w:spacing w:line="216" w:lineRule="auto"/>
        <w:jc w:val="center"/>
        <w:rPr>
          <w:i/>
          <w:sz w:val="23"/>
          <w:szCs w:val="23"/>
        </w:rPr>
      </w:pPr>
      <w:r w:rsidRPr="002614E7">
        <w:rPr>
          <w:i/>
          <w:noProof/>
          <w:sz w:val="23"/>
          <w:szCs w:val="23"/>
          <w:lang w:bidi="ar-SA"/>
        </w:rPr>
        <w:drawing>
          <wp:inline distT="0" distB="0" distL="0" distR="0" wp14:anchorId="01F97737" wp14:editId="5A5F391E">
            <wp:extent cx="3655068" cy="2022953"/>
            <wp:effectExtent l="38100" t="38100" r="40640" b="3492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21" cstate="print">
                      <a:extLst>
                        <a:ext uri="{BEBA8EAE-BF5A-486C-A8C5-ECC9F3942E4B}">
                          <a14:imgProps xmlns:a14="http://schemas.microsoft.com/office/drawing/2010/main">
                            <a14:imgLayer r:embed="rId1302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68694" cy="2030495"/>
                    </a:xfrm>
                    <a:prstGeom prst="rect">
                      <a:avLst/>
                    </a:prstGeom>
                    <a:ln w="28575">
                      <a:solidFill>
                        <a:schemeClr val="tx1"/>
                      </a:solidFill>
                    </a:ln>
                  </pic:spPr>
                </pic:pic>
              </a:graphicData>
            </a:graphic>
          </wp:inline>
        </w:drawing>
      </w:r>
    </w:p>
    <w:p w14:paraId="2483E573" w14:textId="77777777" w:rsidR="00556C10" w:rsidRPr="002614E7" w:rsidRDefault="00556C10" w:rsidP="00556C10">
      <w:pPr>
        <w:tabs>
          <w:tab w:val="right" w:pos="1287"/>
        </w:tabs>
        <w:spacing w:line="216" w:lineRule="auto"/>
        <w:jc w:val="center"/>
        <w:rPr>
          <w:i/>
          <w:sz w:val="23"/>
          <w:szCs w:val="23"/>
          <w:rtl/>
        </w:rPr>
      </w:pPr>
    </w:p>
    <w:p w14:paraId="730635FB" w14:textId="77777777" w:rsidR="00556C10" w:rsidRPr="002614E7" w:rsidRDefault="00556C10" w:rsidP="00556C10">
      <w:pPr>
        <w:tabs>
          <w:tab w:val="right" w:pos="1287"/>
        </w:tabs>
        <w:spacing w:line="216" w:lineRule="auto"/>
        <w:jc w:val="center"/>
        <w:rPr>
          <w:i/>
          <w:sz w:val="23"/>
          <w:szCs w:val="23"/>
          <w:rtl/>
        </w:rPr>
      </w:pPr>
      <w:r w:rsidRPr="002614E7">
        <w:rPr>
          <w:rFonts w:hint="cs"/>
          <w:i/>
          <w:sz w:val="23"/>
          <w:szCs w:val="23"/>
          <w:rtl/>
        </w:rPr>
        <w:t>نمودار ۱۴. ۹ :‌ لگاریتم طبیعی سطوح قیمت اتحادیه‌ی اروپا ۰=۱۹۹۹</w:t>
      </w:r>
    </w:p>
    <w:p w14:paraId="5051C9C8" w14:textId="77777777" w:rsidR="00556C10" w:rsidRPr="002614E7" w:rsidRDefault="00556C10" w:rsidP="00556C10">
      <w:pPr>
        <w:tabs>
          <w:tab w:val="right" w:pos="1287"/>
        </w:tabs>
        <w:spacing w:line="216" w:lineRule="auto"/>
        <w:jc w:val="center"/>
        <w:rPr>
          <w:i/>
          <w:sz w:val="23"/>
          <w:szCs w:val="23"/>
          <w:rtl/>
        </w:rPr>
      </w:pPr>
      <w:r w:rsidRPr="002614E7">
        <w:rPr>
          <w:i/>
          <w:noProof/>
          <w:sz w:val="23"/>
          <w:szCs w:val="23"/>
          <w:lang w:bidi="ar-SA"/>
        </w:rPr>
        <w:t>4</w:t>
      </w:r>
      <w:r w:rsidRPr="002614E7">
        <w:rPr>
          <w:i/>
          <w:noProof/>
          <w:sz w:val="23"/>
          <w:szCs w:val="23"/>
          <w:lang w:bidi="ar-SA"/>
        </w:rPr>
        <w:drawing>
          <wp:inline distT="0" distB="0" distL="0" distR="0" wp14:anchorId="121F2053" wp14:editId="4F27D443">
            <wp:extent cx="3654387" cy="2054269"/>
            <wp:effectExtent l="38100" t="38100" r="41910" b="4127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23" cstate="print">
                      <a:extLst>
                        <a:ext uri="{BEBA8EAE-BF5A-486C-A8C5-ECC9F3942E4B}">
                          <a14:imgProps xmlns:a14="http://schemas.microsoft.com/office/drawing/2010/main">
                            <a14:imgLayer r:embed="rId13024">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73335" cy="2064920"/>
                    </a:xfrm>
                    <a:prstGeom prst="rect">
                      <a:avLst/>
                    </a:prstGeom>
                    <a:ln w="28575">
                      <a:solidFill>
                        <a:schemeClr val="tx1"/>
                      </a:solidFill>
                    </a:ln>
                  </pic:spPr>
                </pic:pic>
              </a:graphicData>
            </a:graphic>
          </wp:inline>
        </w:drawing>
      </w:r>
    </w:p>
    <w:p w14:paraId="6CB6D133" w14:textId="77777777" w:rsidR="00556C10" w:rsidRDefault="00556C10" w:rsidP="00556C10">
      <w:pPr>
        <w:tabs>
          <w:tab w:val="right" w:pos="1287"/>
        </w:tabs>
        <w:spacing w:line="216" w:lineRule="auto"/>
        <w:rPr>
          <w:i/>
          <w:sz w:val="23"/>
          <w:szCs w:val="23"/>
          <w:rtl/>
        </w:rPr>
      </w:pPr>
    </w:p>
    <w:p w14:paraId="3C847FAC" w14:textId="77777777" w:rsidR="00556C10" w:rsidRPr="002614E7" w:rsidRDefault="00556C10" w:rsidP="00556C10">
      <w:pPr>
        <w:pStyle w:val="Heading1"/>
        <w:spacing w:before="0" w:line="216" w:lineRule="auto"/>
        <w:rPr>
          <w:rFonts w:ascii="Times New Roman" w:hAnsi="Times New Roman" w:cs="B Nazanin"/>
          <w:b w:val="0"/>
          <w:i/>
          <w:sz w:val="23"/>
          <w:szCs w:val="23"/>
          <w:rtl/>
        </w:rPr>
      </w:pPr>
      <w:r w:rsidRPr="002614E7">
        <w:rPr>
          <w:rFonts w:ascii="Times New Roman" w:hAnsi="Times New Roman" w:cs="B Nazanin" w:hint="cs"/>
          <w:b w:val="0"/>
          <w:i/>
          <w:sz w:val="23"/>
          <w:szCs w:val="23"/>
          <w:rtl/>
        </w:rPr>
        <w:t>۱۴. ۸. ۱ مدل کینزین جدید در حوزه</w:t>
      </w:r>
      <w:r w:rsidRPr="002614E7">
        <w:rPr>
          <w:rFonts w:ascii="Times New Roman" w:hAnsi="Times New Roman" w:cs="B Nazanin"/>
          <w:b w:val="0"/>
          <w:i/>
          <w:sz w:val="23"/>
          <w:szCs w:val="23"/>
          <w:rtl/>
        </w:rPr>
        <w:softHyphen/>
      </w:r>
      <w:r w:rsidRPr="002614E7">
        <w:rPr>
          <w:rFonts w:ascii="Times New Roman" w:hAnsi="Times New Roman" w:cs="B Nazanin" w:hint="cs"/>
          <w:b w:val="0"/>
          <w:i/>
          <w:sz w:val="23"/>
          <w:szCs w:val="23"/>
          <w:rtl/>
        </w:rPr>
        <w:t>ی یورو</w:t>
      </w:r>
    </w:p>
    <w:p w14:paraId="4222C3EC"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این مدل برای اتحادیه اروپاست و مبتنی بر نسخه</w:t>
      </w:r>
      <w:r w:rsidRPr="002614E7">
        <w:rPr>
          <w:rFonts w:hint="cs"/>
          <w:i/>
          <w:sz w:val="23"/>
          <w:szCs w:val="23"/>
          <w:rtl/>
        </w:rPr>
        <w:softHyphen/>
        <w:t>ای از مدل کینزین جدید برای اقتصاد باز است. برای سادگی فرض می</w:t>
      </w:r>
      <w:r w:rsidRPr="002614E7">
        <w:rPr>
          <w:rFonts w:hint="cs"/>
          <w:i/>
          <w:sz w:val="23"/>
          <w:szCs w:val="23"/>
          <w:rtl/>
        </w:rPr>
        <w:softHyphen/>
        <w:t>شود که اتحادیه</w:t>
      </w:r>
      <w:r w:rsidRPr="002614E7">
        <w:rPr>
          <w:rFonts w:hint="cs"/>
          <w:i/>
          <w:sz w:val="23"/>
          <w:szCs w:val="23"/>
          <w:rtl/>
        </w:rPr>
        <w:softHyphen/>
        <w:t>ی اروپا شامل فقط دو کشور با اقتصادی بسته است و اقتصاد هر کشور با دو معادله</w:t>
      </w:r>
      <w:r w:rsidRPr="002614E7">
        <w:rPr>
          <w:rFonts w:hint="cs"/>
          <w:i/>
          <w:sz w:val="23"/>
          <w:szCs w:val="23"/>
          <w:rtl/>
        </w:rPr>
        <w:softHyphen/>
        <w:t>ی تقاضای کل اقتصاد باز و معادله</w:t>
      </w:r>
      <w:r w:rsidRPr="002614E7">
        <w:rPr>
          <w:rFonts w:hint="cs"/>
          <w:i/>
          <w:sz w:val="23"/>
          <w:szCs w:val="23"/>
          <w:rtl/>
        </w:rPr>
        <w:softHyphen/>
        <w:t>ی عرضه توضیح داده می</w:t>
      </w:r>
      <w:r w:rsidRPr="002614E7">
        <w:rPr>
          <w:rFonts w:hint="cs"/>
          <w:i/>
          <w:sz w:val="23"/>
          <w:szCs w:val="23"/>
          <w:rtl/>
        </w:rPr>
        <w:softHyphen/>
        <w:t>شود.</w:t>
      </w:r>
    </w:p>
    <w:p w14:paraId="4AC317CA" w14:textId="77777777" w:rsidR="00556C10" w:rsidRPr="002614E7" w:rsidRDefault="00556C10" w:rsidP="00556C10">
      <w:pPr>
        <w:tabs>
          <w:tab w:val="right" w:pos="1287"/>
        </w:tabs>
        <w:bidi w:val="0"/>
        <w:spacing w:line="216" w:lineRule="auto"/>
        <w:rPr>
          <w:i/>
          <w:sz w:val="23"/>
          <w:szCs w:val="23"/>
        </w:rPr>
      </w:pPr>
      <w:r w:rsidRPr="002614E7">
        <w:rPr>
          <w:position w:val="-14"/>
        </w:rPr>
        <w:object w:dxaOrig="4239" w:dyaOrig="380" w14:anchorId="678DB892">
          <v:shape id="_x0000_i7476" type="#_x0000_t75" style="width:211.75pt;height:18.75pt" o:ole="">
            <v:imagedata r:id="rId13025" o:title=""/>
          </v:shape>
          <o:OLEObject Type="Embed" ProgID="Equation.DSMT4" ShapeID="_x0000_i7476" DrawAspect="Content" ObjectID="_1791381419" r:id="rId13026"/>
        </w:object>
      </w:r>
      <w:r>
        <w:rPr>
          <w:rtl/>
        </w:rPr>
        <w:tab/>
      </w:r>
      <w:r>
        <w:rPr>
          <w:rFonts w:hint="cs"/>
          <w:rtl/>
        </w:rPr>
        <w:t xml:space="preserve"> </w:t>
      </w:r>
      <w:r>
        <w:rPr>
          <w:rtl/>
        </w:rPr>
        <w:tab/>
      </w:r>
      <w:r w:rsidRPr="002614E7">
        <w:rPr>
          <w:rFonts w:eastAsiaTheme="minorEastAsia"/>
          <w:i/>
          <w:sz w:val="23"/>
          <w:szCs w:val="23"/>
        </w:rPr>
        <w:t xml:space="preserve"> </w:t>
      </w:r>
      <w:r w:rsidRPr="002614E7">
        <w:rPr>
          <w:rFonts w:eastAsiaTheme="minorEastAsia" w:hint="cs"/>
          <w:i/>
          <w:sz w:val="23"/>
          <w:szCs w:val="23"/>
          <w:rtl/>
        </w:rPr>
        <w:tab/>
      </w:r>
      <w:r w:rsidRPr="002614E7">
        <w:rPr>
          <w:rFonts w:eastAsiaTheme="minorEastAsia" w:hint="cs"/>
          <w:i/>
          <w:sz w:val="23"/>
          <w:szCs w:val="23"/>
          <w:rtl/>
        </w:rPr>
        <w:tab/>
        <w:t>(۱۴. ۹۸)</w:t>
      </w:r>
      <w:r>
        <w:rPr>
          <w:rFonts w:eastAsiaTheme="minorEastAsia" w:hint="cs"/>
          <w:i/>
          <w:sz w:val="23"/>
          <w:szCs w:val="23"/>
          <w:rtl/>
        </w:rPr>
        <w:t xml:space="preserve">  </w:t>
      </w:r>
      <w:r w:rsidRPr="002614E7">
        <w:rPr>
          <w:rFonts w:eastAsiaTheme="minorEastAsia" w:hint="cs"/>
          <w:i/>
          <w:sz w:val="23"/>
          <w:szCs w:val="23"/>
          <w:rtl/>
        </w:rPr>
        <w:t xml:space="preserve">           </w:t>
      </w:r>
      <w:r w:rsidRPr="002614E7">
        <w:rPr>
          <w:rFonts w:eastAsiaTheme="minorEastAsia"/>
          <w:i/>
          <w:sz w:val="23"/>
          <w:szCs w:val="23"/>
        </w:rPr>
        <w:t xml:space="preserve"> </w:t>
      </w:r>
    </w:p>
    <w:p w14:paraId="39747F2B" w14:textId="77777777" w:rsidR="00556C10" w:rsidRPr="002614E7" w:rsidRDefault="00556C10" w:rsidP="00556C10">
      <w:pPr>
        <w:tabs>
          <w:tab w:val="right" w:pos="1287"/>
        </w:tabs>
        <w:bidi w:val="0"/>
        <w:spacing w:line="216" w:lineRule="auto"/>
        <w:rPr>
          <w:i/>
          <w:sz w:val="23"/>
          <w:szCs w:val="23"/>
          <w:rtl/>
        </w:rPr>
      </w:pPr>
      <w:r w:rsidRPr="002614E7">
        <w:rPr>
          <w:position w:val="-12"/>
        </w:rPr>
        <w:object w:dxaOrig="2960" w:dyaOrig="340" w14:anchorId="42EEB412">
          <v:shape id="_x0000_i7477" type="#_x0000_t75" style="width:147.65pt;height:16.95pt" o:ole="">
            <v:imagedata r:id="rId13027" o:title=""/>
          </v:shape>
          <o:OLEObject Type="Embed" ProgID="Equation.DSMT4" ShapeID="_x0000_i7477" DrawAspect="Content" ObjectID="_1791381420" r:id="rId13028"/>
        </w:object>
      </w:r>
      <w:r w:rsidRPr="002614E7">
        <w:rPr>
          <w:i/>
          <w:sz w:val="23"/>
          <w:szCs w:val="23"/>
        </w:rPr>
        <w:t xml:space="preserve"> </w:t>
      </w:r>
      <w:r w:rsidRPr="002614E7">
        <w:rPr>
          <w:rFonts w:hint="cs"/>
          <w:i/>
          <w:sz w:val="23"/>
          <w:szCs w:val="23"/>
          <w:rtl/>
        </w:rPr>
        <w:tab/>
      </w:r>
      <w:r w:rsidRPr="002614E7">
        <w:rPr>
          <w:rFonts w:hint="cs"/>
          <w:i/>
          <w:sz w:val="23"/>
          <w:szCs w:val="23"/>
          <w:rtl/>
        </w:rPr>
        <w:tab/>
        <w:t xml:space="preserve"> </w:t>
      </w:r>
      <w:r w:rsidRPr="002614E7">
        <w:rPr>
          <w:rFonts w:hint="cs"/>
          <w:i/>
          <w:sz w:val="23"/>
          <w:szCs w:val="23"/>
          <w:rtl/>
        </w:rPr>
        <w:tab/>
      </w:r>
      <w:r w:rsidRPr="002614E7">
        <w:rPr>
          <w:i/>
          <w:sz w:val="23"/>
          <w:szCs w:val="23"/>
        </w:rPr>
        <w:tab/>
      </w:r>
      <w:r>
        <w:rPr>
          <w:i/>
          <w:sz w:val="23"/>
          <w:szCs w:val="23"/>
          <w:rtl/>
        </w:rPr>
        <w:tab/>
      </w:r>
      <w:r>
        <w:rPr>
          <w:i/>
          <w:sz w:val="23"/>
          <w:szCs w:val="23"/>
          <w:rtl/>
        </w:rPr>
        <w:tab/>
      </w:r>
      <w:r>
        <w:rPr>
          <w:i/>
          <w:sz w:val="23"/>
          <w:szCs w:val="23"/>
          <w:rtl/>
        </w:rPr>
        <w:tab/>
      </w:r>
      <w:r>
        <w:rPr>
          <w:i/>
          <w:sz w:val="23"/>
          <w:szCs w:val="23"/>
          <w:rtl/>
        </w:rPr>
        <w:tab/>
      </w:r>
      <w:r>
        <w:rPr>
          <w:i/>
          <w:sz w:val="23"/>
          <w:szCs w:val="23"/>
          <w:rtl/>
        </w:rPr>
        <w:tab/>
      </w:r>
      <w:r>
        <w:rPr>
          <w:i/>
          <w:sz w:val="23"/>
          <w:szCs w:val="23"/>
          <w:rtl/>
        </w:rPr>
        <w:tab/>
      </w:r>
      <w:r w:rsidRPr="002614E7">
        <w:rPr>
          <w:rFonts w:hint="cs"/>
          <w:i/>
          <w:sz w:val="23"/>
          <w:szCs w:val="23"/>
          <w:rtl/>
        </w:rPr>
        <w:t xml:space="preserve">(۱۴. ۹۹)   </w:t>
      </w:r>
      <w:r>
        <w:rPr>
          <w:i/>
          <w:sz w:val="23"/>
          <w:szCs w:val="23"/>
          <w:rtl/>
        </w:rPr>
        <w:tab/>
      </w:r>
      <w:r w:rsidRPr="002614E7">
        <w:rPr>
          <w:i/>
          <w:sz w:val="23"/>
          <w:szCs w:val="23"/>
        </w:rPr>
        <w:t xml:space="preserve"> </w:t>
      </w:r>
    </w:p>
    <w:p w14:paraId="453F65D8"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lastRenderedPageBreak/>
        <w:t xml:space="preserve">که در آن </w:t>
      </w:r>
      <w:r w:rsidRPr="002614E7">
        <w:rPr>
          <w:position w:val="-8"/>
        </w:rPr>
        <w:object w:dxaOrig="800" w:dyaOrig="279" w14:anchorId="5A7EFA1E">
          <v:shape id="_x0000_i7478" type="#_x0000_t75" style="width:39.95pt;height:13.9pt" o:ole="">
            <v:imagedata r:id="rId13029" o:title=""/>
          </v:shape>
          <o:OLEObject Type="Embed" ProgID="Equation.DSMT4" ShapeID="_x0000_i7478" DrawAspect="Content" ObjectID="_1791381421" r:id="rId13030"/>
        </w:object>
      </w:r>
      <w:r w:rsidRPr="002614E7">
        <w:rPr>
          <w:rFonts w:hint="cs"/>
          <w:i/>
          <w:sz w:val="23"/>
          <w:szCs w:val="23"/>
          <w:rtl/>
        </w:rPr>
        <w:t xml:space="preserve"> و </w:t>
      </w:r>
      <w:r w:rsidRPr="002614E7">
        <w:rPr>
          <w:position w:val="-10"/>
        </w:rPr>
        <w:object w:dxaOrig="859" w:dyaOrig="300" w14:anchorId="544E3A19">
          <v:shape id="_x0000_i7479" type="#_x0000_t75" style="width:42.95pt;height:14.5pt" o:ole="">
            <v:imagedata r:id="rId13031" o:title=""/>
          </v:shape>
          <o:OLEObject Type="Embed" ProgID="Equation.DSMT4" ShapeID="_x0000_i7479" DrawAspect="Content" ObjectID="_1791381422" r:id="rId13032"/>
        </w:object>
      </w:r>
      <w:r w:rsidRPr="002614E7">
        <w:rPr>
          <w:rFonts w:hint="cs"/>
          <w:i/>
          <w:sz w:val="23"/>
          <w:szCs w:val="23"/>
          <w:rtl/>
        </w:rPr>
        <w:t xml:space="preserve"> ،</w:t>
      </w:r>
      <w:r w:rsidRPr="002614E7">
        <w:rPr>
          <w:position w:val="-10"/>
        </w:rPr>
        <w:object w:dxaOrig="279" w:dyaOrig="320" w14:anchorId="5817ABD2">
          <v:shape id="_x0000_i7480" type="#_x0000_t75" style="width:13.9pt;height:15.75pt" o:ole="">
            <v:imagedata r:id="rId13033" o:title=""/>
          </v:shape>
          <o:OLEObject Type="Embed" ProgID="Equation.DSMT4" ShapeID="_x0000_i7480" DrawAspect="Content" ObjectID="_1791381423" r:id="rId13034"/>
        </w:object>
      </w:r>
      <w:r w:rsidRPr="002614E7">
        <w:rPr>
          <w:rFonts w:hint="cs"/>
          <w:i/>
          <w:sz w:val="23"/>
          <w:szCs w:val="23"/>
          <w:rtl/>
        </w:rPr>
        <w:t xml:space="preserve"> شکاف تولید کشور </w:t>
      </w:r>
      <w:proofErr w:type="spellStart"/>
      <w:r w:rsidRPr="002614E7">
        <w:rPr>
          <w:i/>
          <w:sz w:val="23"/>
          <w:szCs w:val="23"/>
        </w:rPr>
        <w:t>i</w:t>
      </w:r>
      <w:proofErr w:type="spellEnd"/>
      <w:r w:rsidRPr="002614E7">
        <w:rPr>
          <w:rFonts w:hint="cs"/>
          <w:i/>
          <w:sz w:val="23"/>
          <w:szCs w:val="23"/>
          <w:rtl/>
        </w:rPr>
        <w:t xml:space="preserve"> در زمان </w:t>
      </w:r>
      <w:r w:rsidRPr="002614E7">
        <w:rPr>
          <w:i/>
          <w:sz w:val="23"/>
          <w:szCs w:val="23"/>
        </w:rPr>
        <w:t>t</w:t>
      </w:r>
      <w:r w:rsidRPr="002614E7">
        <w:rPr>
          <w:rFonts w:hint="cs"/>
          <w:i/>
          <w:sz w:val="23"/>
          <w:szCs w:val="23"/>
          <w:rtl/>
        </w:rPr>
        <w:t xml:space="preserve"> ،</w:t>
      </w:r>
      <w:r w:rsidRPr="002614E7">
        <w:rPr>
          <w:position w:val="-10"/>
        </w:rPr>
        <w:object w:dxaOrig="279" w:dyaOrig="320" w14:anchorId="1F276FDB">
          <v:shape id="_x0000_i7481" type="#_x0000_t75" style="width:13.9pt;height:15.75pt" o:ole="">
            <v:imagedata r:id="rId13035" o:title=""/>
          </v:shape>
          <o:OLEObject Type="Embed" ProgID="Equation.DSMT4" ShapeID="_x0000_i7481" DrawAspect="Content" ObjectID="_1791381424" r:id="rId13036"/>
        </w:object>
      </w:r>
      <w:r w:rsidRPr="002614E7">
        <w:rPr>
          <w:rFonts w:hint="cs"/>
          <w:i/>
          <w:sz w:val="23"/>
          <w:szCs w:val="23"/>
          <w:rtl/>
        </w:rPr>
        <w:t xml:space="preserve"> تورم کشور </w:t>
      </w:r>
      <w:proofErr w:type="spellStart"/>
      <w:r w:rsidRPr="002614E7">
        <w:rPr>
          <w:i/>
          <w:sz w:val="23"/>
          <w:szCs w:val="23"/>
        </w:rPr>
        <w:t>i</w:t>
      </w:r>
      <w:proofErr w:type="spellEnd"/>
      <w:r w:rsidRPr="002614E7">
        <w:rPr>
          <w:rFonts w:hint="cs"/>
          <w:i/>
          <w:sz w:val="23"/>
          <w:szCs w:val="23"/>
          <w:rtl/>
        </w:rPr>
        <w:t xml:space="preserve"> در زمان </w:t>
      </w:r>
      <w:r w:rsidRPr="002614E7">
        <w:rPr>
          <w:i/>
          <w:sz w:val="23"/>
          <w:szCs w:val="23"/>
        </w:rPr>
        <w:t>t</w:t>
      </w:r>
      <w:r w:rsidRPr="002614E7">
        <w:rPr>
          <w:rFonts w:hint="cs"/>
          <w:i/>
          <w:sz w:val="23"/>
          <w:szCs w:val="23"/>
          <w:rtl/>
        </w:rPr>
        <w:t>،</w:t>
      </w:r>
      <w:r w:rsidRPr="002614E7">
        <w:rPr>
          <w:position w:val="-10"/>
        </w:rPr>
        <w:object w:dxaOrig="220" w:dyaOrig="320" w14:anchorId="46FAF2DC">
          <v:shape id="_x0000_i7482" type="#_x0000_t75" style="width:10.9pt;height:15.75pt" o:ole="">
            <v:imagedata r:id="rId13037" o:title=""/>
          </v:shape>
          <o:OLEObject Type="Embed" ProgID="Equation.DSMT4" ShapeID="_x0000_i7482" DrawAspect="Content" ObjectID="_1791381425" r:id="rId13038"/>
        </w:object>
      </w:r>
      <w:r w:rsidRPr="002614E7">
        <w:rPr>
          <w:rFonts w:hint="cs"/>
          <w:i/>
          <w:sz w:val="23"/>
          <w:szCs w:val="23"/>
          <w:rtl/>
        </w:rPr>
        <w:t xml:space="preserve"> عبارت است نرخ بازدهی حقیقی کشور </w:t>
      </w:r>
      <w:proofErr w:type="spellStart"/>
      <w:r w:rsidRPr="002614E7">
        <w:rPr>
          <w:i/>
          <w:sz w:val="23"/>
          <w:szCs w:val="23"/>
        </w:rPr>
        <w:t>i</w:t>
      </w:r>
      <w:proofErr w:type="spellEnd"/>
      <w:r w:rsidRPr="002614E7">
        <w:rPr>
          <w:rFonts w:hint="cs"/>
          <w:i/>
          <w:sz w:val="23"/>
          <w:szCs w:val="23"/>
          <w:rtl/>
        </w:rPr>
        <w:t xml:space="preserve"> که مبین اثرات مشترک کلیه‌ی متغیرهای برون</w:t>
      </w:r>
      <w:r w:rsidRPr="002614E7">
        <w:rPr>
          <w:rFonts w:hint="cs"/>
          <w:i/>
          <w:sz w:val="23"/>
          <w:szCs w:val="23"/>
          <w:rtl/>
        </w:rPr>
        <w:softHyphen/>
        <w:t>زا بر شکاف تولید است،</w:t>
      </w:r>
      <w:r w:rsidRPr="002614E7">
        <w:rPr>
          <w:position w:val="-10"/>
        </w:rPr>
        <w:object w:dxaOrig="279" w:dyaOrig="320" w14:anchorId="2443B4A5">
          <v:shape id="_x0000_i7483" type="#_x0000_t75" style="width:13.9pt;height:15.75pt" o:ole="">
            <v:imagedata r:id="rId13039" o:title=""/>
          </v:shape>
          <o:OLEObject Type="Embed" ProgID="Equation.DSMT4" ShapeID="_x0000_i7483" DrawAspect="Content" ObjectID="_1791381426" r:id="rId13040"/>
        </w:object>
      </w:r>
      <w:r w:rsidRPr="002614E7">
        <w:rPr>
          <w:rFonts w:hint="cs"/>
          <w:i/>
          <w:sz w:val="23"/>
          <w:szCs w:val="23"/>
          <w:rtl/>
        </w:rPr>
        <w:t xml:space="preserve"> نرخ بهره‌ی اسمی مرسوم که توسط بانک مرکزی اروپا تعیین می‌شود،</w:t>
      </w:r>
      <w:r w:rsidRPr="002614E7">
        <w:rPr>
          <w:position w:val="-12"/>
        </w:rPr>
        <w:object w:dxaOrig="800" w:dyaOrig="340" w14:anchorId="5475E5CC">
          <v:shape id="_x0000_i7484" type="#_x0000_t75" style="width:39.95pt;height:16.95pt" o:ole="">
            <v:imagedata r:id="rId13041" o:title=""/>
          </v:shape>
          <o:OLEObject Type="Embed" ProgID="Equation.DSMT4" ShapeID="_x0000_i7484" DrawAspect="Content" ObjectID="_1791381427" r:id="rId13042"/>
        </w:object>
      </w:r>
      <w:r w:rsidRPr="002614E7">
        <w:rPr>
          <w:rFonts w:hint="cs"/>
          <w:i/>
          <w:sz w:val="23"/>
          <w:szCs w:val="23"/>
          <w:rtl/>
        </w:rPr>
        <w:t xml:space="preserve"> شوک‌های مستقل، نا</w:t>
      </w:r>
      <w:r w:rsidRPr="002614E7">
        <w:rPr>
          <w:rFonts w:hint="cs"/>
          <w:i/>
          <w:sz w:val="23"/>
          <w:szCs w:val="23"/>
          <w:rtl/>
        </w:rPr>
        <w:softHyphen/>
        <w:t xml:space="preserve">همبسته که برای بانک مرکزی در زمان </w:t>
      </w:r>
      <w:r w:rsidRPr="002614E7">
        <w:rPr>
          <w:i/>
          <w:sz w:val="23"/>
          <w:szCs w:val="23"/>
        </w:rPr>
        <w:t xml:space="preserve">t </w:t>
      </w:r>
      <w:r w:rsidRPr="002614E7">
        <w:rPr>
          <w:rFonts w:hint="cs"/>
          <w:i/>
          <w:sz w:val="23"/>
          <w:szCs w:val="23"/>
          <w:rtl/>
        </w:rPr>
        <w:t xml:space="preserve">ناشناخته است و بخشی از اطلاعات در زمان </w:t>
      </w:r>
      <w:r w:rsidRPr="002614E7">
        <w:rPr>
          <w:i/>
          <w:sz w:val="23"/>
          <w:szCs w:val="23"/>
        </w:rPr>
        <w:t>t</w:t>
      </w:r>
      <w:r w:rsidRPr="002614E7">
        <w:rPr>
          <w:rFonts w:hint="cs"/>
          <w:i/>
          <w:sz w:val="23"/>
          <w:szCs w:val="23"/>
          <w:rtl/>
        </w:rPr>
        <w:t xml:space="preserve"> نیست، و لذا </w:t>
      </w:r>
      <w:r w:rsidRPr="002614E7">
        <w:rPr>
          <w:position w:val="-12"/>
        </w:rPr>
        <w:object w:dxaOrig="1560" w:dyaOrig="340" w14:anchorId="49FDA45E">
          <v:shape id="_x0000_i7485" type="#_x0000_t75" style="width:78.05pt;height:16.95pt" o:ole="">
            <v:imagedata r:id="rId13043" o:title=""/>
          </v:shape>
          <o:OLEObject Type="Embed" ProgID="Equation.DSMT4" ShapeID="_x0000_i7485" DrawAspect="Content" ObjectID="_1791381428" r:id="rId13044"/>
        </w:object>
      </w:r>
      <w:r w:rsidRPr="002614E7">
        <w:rPr>
          <w:rFonts w:hint="cs"/>
          <w:i/>
          <w:sz w:val="23"/>
          <w:szCs w:val="23"/>
          <w:rtl/>
        </w:rPr>
        <w:t xml:space="preserve"> می‌باشد. تفاوت تولید در این دو کشور به دلیل تفاوت در انتظارات تورمی، نرخ بازدهی حقیقی و شوک‌ها کشور- خاص است. تفاوت تورم نیز به خاطر تفاوت در انتظارات تورمی، شکاف تولید و شوک‌های تورمی کشور- خاص متفاوت است. با این مدل ممکن است مدل کلی منطقه‌ی یورو را به صورت زیر بدست آوریم</w:t>
      </w:r>
    </w:p>
    <w:p w14:paraId="2C32E56A" w14:textId="77777777" w:rsidR="00556C10" w:rsidRPr="002614E7" w:rsidRDefault="00556C10" w:rsidP="00556C10">
      <w:pPr>
        <w:tabs>
          <w:tab w:val="right" w:pos="1287"/>
        </w:tabs>
        <w:bidi w:val="0"/>
        <w:spacing w:line="216" w:lineRule="auto"/>
        <w:rPr>
          <w:i/>
          <w:sz w:val="23"/>
          <w:szCs w:val="23"/>
          <w:rtl/>
        </w:rPr>
      </w:pPr>
      <w:r w:rsidRPr="002614E7">
        <w:rPr>
          <w:position w:val="-12"/>
        </w:rPr>
        <w:object w:dxaOrig="3200" w:dyaOrig="360" w14:anchorId="22977B26">
          <v:shape id="_x0000_i7486" type="#_x0000_t75" style="width:160.35pt;height:18.15pt" o:ole="">
            <v:imagedata r:id="rId13045" o:title=""/>
          </v:shape>
          <o:OLEObject Type="Embed" ProgID="Equation.DSMT4" ShapeID="_x0000_i7486" DrawAspect="Content" ObjectID="_1791381429" r:id="rId13046"/>
        </w:object>
      </w:r>
      <w:r w:rsidRPr="002614E7">
        <w:rPr>
          <w:rFonts w:hint="cs"/>
          <w:i/>
          <w:sz w:val="23"/>
          <w:szCs w:val="23"/>
          <w:rtl/>
        </w:rPr>
        <w:tab/>
      </w:r>
      <w:r w:rsidRPr="002614E7">
        <w:rPr>
          <w:rFonts w:hint="cs"/>
          <w:i/>
          <w:sz w:val="23"/>
          <w:szCs w:val="23"/>
          <w:rtl/>
        </w:rPr>
        <w:tab/>
      </w:r>
      <w:r w:rsidRPr="002614E7">
        <w:rPr>
          <w:i/>
          <w:sz w:val="23"/>
          <w:szCs w:val="23"/>
        </w:rPr>
        <w:tab/>
      </w:r>
      <w:r w:rsidRPr="002614E7">
        <w:rPr>
          <w:i/>
          <w:sz w:val="23"/>
          <w:szCs w:val="23"/>
        </w:rPr>
        <w:tab/>
      </w:r>
      <w:r>
        <w:rPr>
          <w:i/>
          <w:sz w:val="23"/>
          <w:szCs w:val="23"/>
          <w:rtl/>
        </w:rPr>
        <w:tab/>
      </w:r>
      <w:r>
        <w:rPr>
          <w:i/>
          <w:sz w:val="23"/>
          <w:szCs w:val="23"/>
          <w:rtl/>
        </w:rPr>
        <w:tab/>
      </w:r>
      <w:r w:rsidRPr="002614E7">
        <w:rPr>
          <w:i/>
          <w:sz w:val="23"/>
          <w:szCs w:val="23"/>
        </w:rPr>
        <w:tab/>
      </w:r>
      <w:r w:rsidRPr="002614E7">
        <w:rPr>
          <w:i/>
          <w:sz w:val="23"/>
          <w:szCs w:val="23"/>
        </w:rPr>
        <w:tab/>
      </w:r>
      <w:r w:rsidRPr="002614E7">
        <w:rPr>
          <w:rFonts w:hint="cs"/>
          <w:i/>
          <w:sz w:val="23"/>
          <w:szCs w:val="23"/>
          <w:rtl/>
        </w:rPr>
        <w:t xml:space="preserve">(۱۴. ۱۰۰)         </w:t>
      </w:r>
      <w:r w:rsidRPr="002614E7">
        <w:rPr>
          <w:i/>
          <w:sz w:val="23"/>
          <w:szCs w:val="23"/>
        </w:rPr>
        <w:t xml:space="preserve"> </w:t>
      </w:r>
    </w:p>
    <w:p w14:paraId="3797D419" w14:textId="77777777" w:rsidR="00556C10" w:rsidRPr="002614E7" w:rsidRDefault="00556C10" w:rsidP="00556C10">
      <w:pPr>
        <w:tabs>
          <w:tab w:val="right" w:pos="1287"/>
        </w:tabs>
        <w:bidi w:val="0"/>
        <w:spacing w:line="216" w:lineRule="auto"/>
        <w:rPr>
          <w:i/>
          <w:sz w:val="23"/>
          <w:szCs w:val="23"/>
          <w:rtl/>
        </w:rPr>
      </w:pPr>
      <w:r w:rsidRPr="002614E7">
        <w:rPr>
          <w:position w:val="-10"/>
        </w:rPr>
        <w:object w:dxaOrig="2079" w:dyaOrig="320" w14:anchorId="285C21D8">
          <v:shape id="_x0000_i7487" type="#_x0000_t75" style="width:104.05pt;height:15.75pt" o:ole="">
            <v:imagedata r:id="rId13047" o:title=""/>
          </v:shape>
          <o:OLEObject Type="Embed" ProgID="Equation.DSMT4" ShapeID="_x0000_i7487" DrawAspect="Content" ObjectID="_1791381430" r:id="rId13048"/>
        </w:object>
      </w:r>
      <w:r w:rsidRPr="002614E7">
        <w:rPr>
          <w:rFonts w:hint="cs"/>
          <w:i/>
          <w:sz w:val="23"/>
          <w:szCs w:val="23"/>
          <w:rtl/>
        </w:rPr>
        <w:t xml:space="preserve"> </w:t>
      </w:r>
      <w:r w:rsidRPr="002614E7">
        <w:rPr>
          <w:rFonts w:hint="cs"/>
          <w:i/>
          <w:sz w:val="23"/>
          <w:szCs w:val="23"/>
          <w:rtl/>
        </w:rPr>
        <w:tab/>
      </w:r>
      <w:r w:rsidRPr="002614E7">
        <w:rPr>
          <w:i/>
          <w:sz w:val="23"/>
          <w:szCs w:val="23"/>
        </w:rPr>
        <w:tab/>
      </w:r>
      <w:r w:rsidRPr="002614E7">
        <w:rPr>
          <w:i/>
          <w:sz w:val="23"/>
          <w:szCs w:val="23"/>
        </w:rPr>
        <w:tab/>
      </w:r>
      <w:r w:rsidRPr="002614E7">
        <w:rPr>
          <w:i/>
          <w:sz w:val="23"/>
          <w:szCs w:val="23"/>
        </w:rPr>
        <w:tab/>
      </w:r>
      <w:r w:rsidRPr="002614E7">
        <w:rPr>
          <w:rFonts w:hint="cs"/>
          <w:i/>
          <w:sz w:val="23"/>
          <w:szCs w:val="23"/>
          <w:rtl/>
        </w:rPr>
        <w:tab/>
      </w:r>
      <w:r w:rsidRPr="002614E7">
        <w:rPr>
          <w:i/>
          <w:sz w:val="23"/>
          <w:szCs w:val="23"/>
        </w:rPr>
        <w:tab/>
      </w:r>
      <w:r w:rsidRPr="002614E7">
        <w:rPr>
          <w:i/>
          <w:sz w:val="23"/>
          <w:szCs w:val="23"/>
        </w:rPr>
        <w:tab/>
      </w:r>
      <w:r w:rsidRPr="002614E7">
        <w:rPr>
          <w:i/>
          <w:sz w:val="23"/>
          <w:szCs w:val="23"/>
        </w:rPr>
        <w:tab/>
      </w:r>
      <w:r w:rsidRPr="002614E7">
        <w:rPr>
          <w:i/>
          <w:sz w:val="23"/>
          <w:szCs w:val="23"/>
        </w:rPr>
        <w:tab/>
      </w:r>
      <w:r>
        <w:rPr>
          <w:i/>
          <w:sz w:val="23"/>
          <w:szCs w:val="23"/>
          <w:rtl/>
        </w:rPr>
        <w:tab/>
      </w:r>
      <w:r>
        <w:rPr>
          <w:i/>
          <w:sz w:val="23"/>
          <w:szCs w:val="23"/>
          <w:rtl/>
        </w:rPr>
        <w:tab/>
      </w:r>
      <w:r w:rsidRPr="002614E7">
        <w:rPr>
          <w:rFonts w:hint="cs"/>
          <w:i/>
          <w:sz w:val="23"/>
          <w:szCs w:val="23"/>
          <w:rtl/>
        </w:rPr>
        <w:tab/>
        <w:t xml:space="preserve">(۱۴. ۱۰۱)         </w:t>
      </w:r>
      <w:r w:rsidRPr="002614E7">
        <w:rPr>
          <w:i/>
          <w:sz w:val="23"/>
          <w:szCs w:val="23"/>
        </w:rPr>
        <w:t xml:space="preserve"> </w:t>
      </w:r>
    </w:p>
    <w:p w14:paraId="56B08C96"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که در آن مقادیر متوسط منطقه‌ی یورو برابر است با</w:t>
      </w:r>
    </w:p>
    <w:p w14:paraId="4E0E3799" w14:textId="77777777" w:rsidR="00556C10" w:rsidRPr="002614E7" w:rsidRDefault="00556C10" w:rsidP="00556C10">
      <w:pPr>
        <w:tabs>
          <w:tab w:val="right" w:pos="1287"/>
        </w:tabs>
        <w:bidi w:val="0"/>
        <w:spacing w:line="216" w:lineRule="auto"/>
        <w:rPr>
          <w:i/>
          <w:sz w:val="23"/>
          <w:szCs w:val="23"/>
          <w:rtl/>
        </w:rPr>
      </w:pPr>
      <w:r w:rsidRPr="002614E7">
        <w:rPr>
          <w:rFonts w:hint="cs"/>
          <w:i/>
          <w:sz w:val="23"/>
          <w:szCs w:val="23"/>
          <w:rtl/>
        </w:rPr>
        <w:t xml:space="preserve"> </w:t>
      </w:r>
      <w:r w:rsidRPr="002614E7">
        <w:rPr>
          <w:position w:val="-12"/>
        </w:rPr>
        <w:object w:dxaOrig="1860" w:dyaOrig="360" w14:anchorId="718B286B">
          <v:shape id="_x0000_i7488" type="#_x0000_t75" style="width:93.2pt;height:18.15pt" o:ole="">
            <v:imagedata r:id="rId13049" o:title=""/>
          </v:shape>
          <o:OLEObject Type="Embed" ProgID="Equation.DSMT4" ShapeID="_x0000_i7488" DrawAspect="Content" ObjectID="_1791381431" r:id="rId13050"/>
        </w:object>
      </w:r>
    </w:p>
    <w:p w14:paraId="1277D202"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و</w:t>
      </w:r>
      <w:r w:rsidRPr="002614E7">
        <w:rPr>
          <w:position w:val="-6"/>
        </w:rPr>
        <w:object w:dxaOrig="200" w:dyaOrig="260" w14:anchorId="029A7F9F">
          <v:shape id="_x0000_i7489" type="#_x0000_t75" style="width:10.3pt;height:13.3pt" o:ole="">
            <v:imagedata r:id="rId13051" o:title=""/>
          </v:shape>
          <o:OLEObject Type="Embed" ProgID="Equation.DSMT4" ShapeID="_x0000_i7489" DrawAspect="Content" ObjectID="_1791381432" r:id="rId13052"/>
        </w:object>
      </w:r>
      <w:r w:rsidRPr="002614E7">
        <w:rPr>
          <w:i/>
          <w:sz w:val="23"/>
          <w:szCs w:val="23"/>
        </w:rPr>
        <w:t xml:space="preserve"> </w:t>
      </w:r>
      <w:r w:rsidRPr="002614E7">
        <w:rPr>
          <w:rFonts w:hint="cs"/>
          <w:i/>
          <w:sz w:val="23"/>
          <w:szCs w:val="23"/>
          <w:rtl/>
        </w:rPr>
        <w:t>اندازه</w:t>
      </w:r>
      <w:r w:rsidRPr="002614E7">
        <w:rPr>
          <w:rFonts w:hint="cs"/>
          <w:i/>
          <w:sz w:val="23"/>
          <w:szCs w:val="23"/>
          <w:rtl/>
        </w:rPr>
        <w:softHyphen/>
        <w:t>ی نسبی اقتصادهاست که در اینجا فرض می‌شود</w:t>
      </w:r>
      <w:r w:rsidRPr="002614E7">
        <w:rPr>
          <w:position w:val="-6"/>
        </w:rPr>
        <w:object w:dxaOrig="840" w:dyaOrig="260" w14:anchorId="7C1E95DB">
          <v:shape id="_x0000_i7490" type="#_x0000_t75" style="width:41.75pt;height:13.3pt" o:ole="">
            <v:imagedata r:id="rId13053" o:title=""/>
          </v:shape>
          <o:OLEObject Type="Embed" ProgID="Equation.DSMT4" ShapeID="_x0000_i7490" DrawAspect="Content" ObjectID="_1791381433" r:id="rId13054"/>
        </w:object>
      </w:r>
      <w:r w:rsidRPr="002614E7">
        <w:rPr>
          <w:rFonts w:hint="cs"/>
          <w:i/>
          <w:sz w:val="23"/>
          <w:szCs w:val="23"/>
          <w:rtl/>
        </w:rPr>
        <w:t xml:space="preserve">. برای مثال </w:t>
      </w:r>
      <w:r w:rsidRPr="002614E7">
        <w:rPr>
          <w:position w:val="-22"/>
        </w:rPr>
        <w:object w:dxaOrig="1520" w:dyaOrig="560" w14:anchorId="3C67DB03">
          <v:shape id="_x0000_i7491" type="#_x0000_t75" style="width:75.65pt;height:27.85pt" o:ole="">
            <v:imagedata r:id="rId13055" o:title=""/>
          </v:shape>
          <o:OLEObject Type="Embed" ProgID="Equation.DSMT4" ShapeID="_x0000_i7491" DrawAspect="Content" ObjectID="_1791381434" r:id="rId13056"/>
        </w:object>
      </w:r>
      <w:r w:rsidRPr="002614E7">
        <w:rPr>
          <w:rFonts w:hint="cs"/>
          <w:i/>
          <w:sz w:val="23"/>
          <w:szCs w:val="23"/>
          <w:rtl/>
        </w:rPr>
        <w:t xml:space="preserve"> و </w:t>
      </w:r>
      <w:r w:rsidRPr="002614E7">
        <w:rPr>
          <w:position w:val="-22"/>
        </w:rPr>
        <w:object w:dxaOrig="1500" w:dyaOrig="560" w14:anchorId="7749D495">
          <v:shape id="_x0000_i7492" type="#_x0000_t75" style="width:75.05pt;height:27.85pt" o:ole="">
            <v:imagedata r:id="rId13057" o:title=""/>
          </v:shape>
          <o:OLEObject Type="Embed" ProgID="Equation.DSMT4" ShapeID="_x0000_i7492" DrawAspect="Content" ObjectID="_1791381435" r:id="rId13058"/>
        </w:object>
      </w:r>
      <w:r w:rsidRPr="002614E7">
        <w:rPr>
          <w:rFonts w:hint="cs"/>
          <w:i/>
          <w:sz w:val="23"/>
          <w:szCs w:val="23"/>
          <w:rtl/>
        </w:rPr>
        <w:t xml:space="preserve"> خواهد بود. </w:t>
      </w:r>
    </w:p>
    <w:p w14:paraId="19C06002"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تفاوت بین کشورهای منطقه‌ی یورو را می‌توان به صورت زیر نوشت</w:t>
      </w:r>
    </w:p>
    <w:p w14:paraId="042FF8EF" w14:textId="77777777" w:rsidR="00556C10" w:rsidRPr="002614E7" w:rsidRDefault="00556C10" w:rsidP="00556C10">
      <w:pPr>
        <w:tabs>
          <w:tab w:val="right" w:pos="0"/>
        </w:tabs>
        <w:bidi w:val="0"/>
        <w:spacing w:line="216" w:lineRule="auto"/>
        <w:rPr>
          <w:i/>
          <w:sz w:val="23"/>
          <w:szCs w:val="23"/>
          <w:rtl/>
        </w:rPr>
      </w:pPr>
      <w:r w:rsidRPr="002614E7">
        <w:rPr>
          <w:position w:val="-12"/>
        </w:rPr>
        <w:object w:dxaOrig="2860" w:dyaOrig="360" w14:anchorId="666D57CE">
          <v:shape id="_x0000_i7493" type="#_x0000_t75" style="width:142.8pt;height:18.15pt" o:ole="">
            <v:imagedata r:id="rId13059" o:title=""/>
          </v:shape>
          <o:OLEObject Type="Embed" ProgID="Equation.DSMT4" ShapeID="_x0000_i7493" DrawAspect="Content" ObjectID="_1791381436" r:id="rId13060"/>
        </w:object>
      </w:r>
      <w:r w:rsidRPr="002614E7">
        <w:rPr>
          <w:rFonts w:hint="cs"/>
          <w:i/>
          <w:sz w:val="23"/>
          <w:szCs w:val="23"/>
          <w:rtl/>
        </w:rPr>
        <w:tab/>
      </w:r>
      <w:r w:rsidRPr="002614E7">
        <w:rPr>
          <w:rFonts w:hint="cs"/>
          <w:i/>
          <w:sz w:val="23"/>
          <w:szCs w:val="23"/>
          <w:rtl/>
        </w:rPr>
        <w:tab/>
      </w:r>
      <w:r w:rsidRPr="002614E7">
        <w:rPr>
          <w:i/>
          <w:sz w:val="23"/>
          <w:szCs w:val="23"/>
          <w:rtl/>
        </w:rPr>
        <w:tab/>
      </w:r>
      <w:r w:rsidRPr="002614E7">
        <w:rPr>
          <w:i/>
          <w:sz w:val="23"/>
          <w:szCs w:val="23"/>
          <w:rtl/>
        </w:rPr>
        <w:tab/>
      </w:r>
      <w:r w:rsidRPr="002614E7">
        <w:rPr>
          <w:i/>
          <w:sz w:val="23"/>
          <w:szCs w:val="23"/>
          <w:rtl/>
        </w:rPr>
        <w:tab/>
      </w:r>
      <w:r w:rsidRPr="002614E7">
        <w:rPr>
          <w:rFonts w:hint="cs"/>
          <w:i/>
          <w:sz w:val="23"/>
          <w:szCs w:val="23"/>
          <w:rtl/>
        </w:rPr>
        <w:tab/>
      </w:r>
      <w:r>
        <w:rPr>
          <w:i/>
          <w:sz w:val="23"/>
          <w:szCs w:val="23"/>
          <w:rtl/>
        </w:rPr>
        <w:tab/>
      </w:r>
      <w:r>
        <w:rPr>
          <w:i/>
          <w:sz w:val="23"/>
          <w:szCs w:val="23"/>
          <w:rtl/>
        </w:rPr>
        <w:tab/>
      </w:r>
      <w:r w:rsidRPr="002614E7">
        <w:rPr>
          <w:i/>
          <w:sz w:val="23"/>
          <w:szCs w:val="23"/>
        </w:rPr>
        <w:tab/>
      </w:r>
      <w:r w:rsidRPr="002614E7">
        <w:rPr>
          <w:rFonts w:hint="cs"/>
          <w:i/>
          <w:sz w:val="23"/>
          <w:szCs w:val="23"/>
          <w:rtl/>
        </w:rPr>
        <w:t xml:space="preserve">(۱۴. ۱۰۲)          </w:t>
      </w:r>
      <w:r w:rsidRPr="002614E7">
        <w:rPr>
          <w:i/>
          <w:sz w:val="23"/>
          <w:szCs w:val="23"/>
        </w:rPr>
        <w:t xml:space="preserve"> </w:t>
      </w:r>
    </w:p>
    <w:p w14:paraId="3F6D91E3" w14:textId="77777777" w:rsidR="00556C10" w:rsidRPr="002614E7" w:rsidRDefault="00556C10" w:rsidP="00556C10">
      <w:pPr>
        <w:tabs>
          <w:tab w:val="right" w:pos="1287"/>
        </w:tabs>
        <w:bidi w:val="0"/>
        <w:spacing w:line="216" w:lineRule="auto"/>
        <w:rPr>
          <w:i/>
          <w:sz w:val="23"/>
          <w:szCs w:val="23"/>
          <w:rtl/>
        </w:rPr>
      </w:pPr>
      <w:r w:rsidRPr="002614E7">
        <w:rPr>
          <w:position w:val="-12"/>
        </w:rPr>
        <w:object w:dxaOrig="2160" w:dyaOrig="340" w14:anchorId="0BCE6776">
          <v:shape id="_x0000_i7494" type="#_x0000_t75" style="width:108.3pt;height:16.95pt" o:ole="">
            <v:imagedata r:id="rId13061" o:title=""/>
          </v:shape>
          <o:OLEObject Type="Embed" ProgID="Equation.DSMT4" ShapeID="_x0000_i7494" DrawAspect="Content" ObjectID="_1791381437" r:id="rId13062"/>
        </w:object>
      </w:r>
      <w:r w:rsidRPr="002614E7">
        <w:rPr>
          <w:i/>
          <w:sz w:val="23"/>
          <w:szCs w:val="23"/>
        </w:rPr>
        <w:tab/>
      </w:r>
      <w:r w:rsidRPr="002614E7">
        <w:rPr>
          <w:rFonts w:hint="cs"/>
          <w:i/>
          <w:sz w:val="23"/>
          <w:szCs w:val="23"/>
          <w:rtl/>
        </w:rPr>
        <w:tab/>
      </w:r>
      <w:r w:rsidRPr="002614E7">
        <w:rPr>
          <w:i/>
          <w:sz w:val="23"/>
          <w:szCs w:val="23"/>
        </w:rPr>
        <w:tab/>
      </w:r>
      <w:r w:rsidRPr="002614E7">
        <w:rPr>
          <w:i/>
          <w:sz w:val="23"/>
          <w:szCs w:val="23"/>
          <w:rtl/>
        </w:rPr>
        <w:tab/>
      </w:r>
      <w:r w:rsidRPr="002614E7">
        <w:rPr>
          <w:i/>
          <w:sz w:val="23"/>
          <w:szCs w:val="23"/>
          <w:rtl/>
        </w:rPr>
        <w:tab/>
      </w:r>
      <w:r w:rsidRPr="002614E7">
        <w:rPr>
          <w:i/>
          <w:sz w:val="23"/>
          <w:szCs w:val="23"/>
          <w:rtl/>
        </w:rPr>
        <w:tab/>
      </w:r>
      <w:r w:rsidRPr="002614E7">
        <w:rPr>
          <w:i/>
          <w:sz w:val="23"/>
          <w:szCs w:val="23"/>
          <w:rtl/>
        </w:rPr>
        <w:tab/>
      </w:r>
      <w:r w:rsidRPr="002614E7">
        <w:rPr>
          <w:i/>
          <w:sz w:val="23"/>
          <w:szCs w:val="23"/>
          <w:rtl/>
        </w:rPr>
        <w:tab/>
      </w:r>
      <w:r w:rsidRPr="002614E7">
        <w:rPr>
          <w:i/>
          <w:sz w:val="23"/>
          <w:szCs w:val="23"/>
        </w:rPr>
        <w:tab/>
      </w:r>
      <w:r>
        <w:rPr>
          <w:i/>
          <w:sz w:val="23"/>
          <w:szCs w:val="23"/>
          <w:rtl/>
        </w:rPr>
        <w:tab/>
      </w:r>
      <w:r>
        <w:rPr>
          <w:i/>
          <w:sz w:val="23"/>
          <w:szCs w:val="23"/>
          <w:rtl/>
        </w:rPr>
        <w:tab/>
      </w:r>
      <w:r w:rsidRPr="002614E7">
        <w:rPr>
          <w:i/>
          <w:sz w:val="23"/>
          <w:szCs w:val="23"/>
        </w:rPr>
        <w:tab/>
      </w:r>
      <w:r w:rsidRPr="002614E7">
        <w:rPr>
          <w:rFonts w:hint="cs"/>
          <w:i/>
          <w:sz w:val="23"/>
          <w:szCs w:val="23"/>
          <w:rtl/>
        </w:rPr>
        <w:t xml:space="preserve">(۱۴. ۱۰۳)          </w:t>
      </w:r>
      <w:r w:rsidRPr="002614E7">
        <w:rPr>
          <w:i/>
          <w:sz w:val="23"/>
          <w:szCs w:val="23"/>
        </w:rPr>
        <w:t xml:space="preserve"> </w:t>
      </w:r>
    </w:p>
    <w:p w14:paraId="6982799E"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که در آن علامت مَد مبین تفاضل داده‌های دو کشور است، برای مثال</w:t>
      </w:r>
      <w:r w:rsidRPr="002614E7">
        <w:rPr>
          <w:position w:val="-10"/>
        </w:rPr>
        <w:object w:dxaOrig="1160" w:dyaOrig="320" w14:anchorId="0863C362">
          <v:shape id="_x0000_i7495" type="#_x0000_t75" style="width:58.1pt;height:15.75pt" o:ole="">
            <v:imagedata r:id="rId13063" o:title=""/>
          </v:shape>
          <o:OLEObject Type="Embed" ProgID="Equation.DSMT4" ShapeID="_x0000_i7495" DrawAspect="Content" ObjectID="_1791381438" r:id="rId13064"/>
        </w:object>
      </w:r>
      <w:r w:rsidRPr="002614E7">
        <w:rPr>
          <w:i/>
          <w:sz w:val="23"/>
          <w:szCs w:val="23"/>
        </w:rPr>
        <w:t>.</w:t>
      </w:r>
      <w:r w:rsidRPr="002614E7">
        <w:rPr>
          <w:rFonts w:hint="cs"/>
          <w:i/>
          <w:sz w:val="23"/>
          <w:szCs w:val="23"/>
          <w:rtl/>
        </w:rPr>
        <w:t xml:space="preserve"> همان</w:t>
      </w:r>
      <w:r w:rsidRPr="002614E7">
        <w:rPr>
          <w:rFonts w:hint="cs"/>
          <w:i/>
          <w:sz w:val="23"/>
          <w:szCs w:val="23"/>
          <w:rtl/>
        </w:rPr>
        <w:softHyphen/>
        <w:t>گونه که ملاحظه می‌شود مدل مربوط به تفاضل داده‌های کشورها متأثر از نرخ بهره‌ی</w:t>
      </w:r>
      <w:r w:rsidRPr="002614E7">
        <w:rPr>
          <w:position w:val="-10"/>
        </w:rPr>
        <w:object w:dxaOrig="279" w:dyaOrig="320" w14:anchorId="764B2BD7">
          <v:shape id="_x0000_i7496" type="#_x0000_t75" style="width:13.9pt;height:15.75pt" o:ole="">
            <v:imagedata r:id="rId13065" o:title=""/>
          </v:shape>
          <o:OLEObject Type="Embed" ProgID="Equation.DSMT4" ShapeID="_x0000_i7496" DrawAspect="Content" ObjectID="_1791381439" r:id="rId13066"/>
        </w:object>
      </w:r>
      <w:r w:rsidRPr="002614E7">
        <w:rPr>
          <w:rFonts w:hint="cs"/>
          <w:i/>
          <w:sz w:val="23"/>
          <w:szCs w:val="23"/>
          <w:rtl/>
        </w:rPr>
        <w:t>نیست و لذا سیاست پولی تأثیری بر تفاضل داده‌های کشورها ندارد. دلیل این نتایج فرض ساده</w:t>
      </w:r>
      <w:r w:rsidRPr="002614E7">
        <w:rPr>
          <w:rFonts w:hint="cs"/>
          <w:i/>
          <w:sz w:val="23"/>
          <w:szCs w:val="23"/>
          <w:rtl/>
        </w:rPr>
        <w:softHyphen/>
        <w:t xml:space="preserve">سازی مدل مبنی بر یکسان بودن مدل هر کشور است و تفاوت فقط در ارزش و مقدار متغیرها و شوک‌های آن‌ها خواهد بود. </w:t>
      </w:r>
    </w:p>
    <w:p w14:paraId="4D809F87" w14:textId="77777777" w:rsidR="00556C10" w:rsidRPr="002614E7" w:rsidRDefault="00556C10" w:rsidP="00556C10">
      <w:pPr>
        <w:tabs>
          <w:tab w:val="right" w:pos="1287"/>
        </w:tabs>
        <w:spacing w:line="216" w:lineRule="auto"/>
        <w:rPr>
          <w:i/>
          <w:sz w:val="23"/>
          <w:szCs w:val="23"/>
          <w:rtl/>
        </w:rPr>
      </w:pPr>
    </w:p>
    <w:p w14:paraId="5A74E4EB" w14:textId="77777777" w:rsidR="00556C10" w:rsidRPr="002614E7" w:rsidRDefault="00556C10" w:rsidP="00556C10">
      <w:pPr>
        <w:pStyle w:val="Heading1"/>
        <w:spacing w:before="0" w:line="216" w:lineRule="auto"/>
        <w:rPr>
          <w:rFonts w:ascii="Times New Roman" w:hAnsi="Times New Roman" w:cs="B Nazanin"/>
          <w:b w:val="0"/>
          <w:i/>
          <w:sz w:val="23"/>
          <w:szCs w:val="23"/>
          <w:rtl/>
        </w:rPr>
      </w:pPr>
      <w:r w:rsidRPr="002614E7">
        <w:rPr>
          <w:rFonts w:ascii="Times New Roman" w:hAnsi="Times New Roman" w:cs="B Nazanin" w:hint="cs"/>
          <w:b w:val="0"/>
          <w:i/>
          <w:sz w:val="23"/>
          <w:szCs w:val="23"/>
          <w:rtl/>
        </w:rPr>
        <w:t>۱۴. ۸. ۲ سیاست پولی بهینه منطقه‌ی یورو</w:t>
      </w:r>
    </w:p>
    <w:p w14:paraId="517EF445"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فرض می‌شود بانک مرکزی اروپا هدف‌گذاری اکید تورم را با تابع هزینه‌ی درجه دوم برای کل منطقه‌ی اروپا دنبال می‌کند. بنابراین</w:t>
      </w:r>
    </w:p>
    <w:p w14:paraId="0E6DE04C" w14:textId="77777777" w:rsidR="00556C10" w:rsidRPr="002614E7" w:rsidRDefault="00556C10" w:rsidP="00556C10">
      <w:pPr>
        <w:tabs>
          <w:tab w:val="right" w:pos="1287"/>
        </w:tabs>
        <w:bidi w:val="0"/>
        <w:spacing w:line="216" w:lineRule="auto"/>
        <w:rPr>
          <w:i/>
          <w:sz w:val="23"/>
          <w:szCs w:val="23"/>
          <w:rtl/>
        </w:rPr>
      </w:pPr>
      <w:r w:rsidRPr="002614E7">
        <w:rPr>
          <w:position w:val="-22"/>
        </w:rPr>
        <w:object w:dxaOrig="1520" w:dyaOrig="560" w14:anchorId="3CDDBB83">
          <v:shape id="_x0000_i7497" type="#_x0000_t75" style="width:75.65pt;height:27.85pt" o:ole="">
            <v:imagedata r:id="rId13067" o:title=""/>
          </v:shape>
          <o:OLEObject Type="Embed" ProgID="Equation.DSMT4" ShapeID="_x0000_i7497" DrawAspect="Content" ObjectID="_1791381440" r:id="rId13068"/>
        </w:object>
      </w:r>
    </w:p>
    <w:p w14:paraId="2842864C"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‌هدف سیاست پولی انتخاب نرخ‌های بهره‌ی اسمی</w:t>
      </w:r>
      <w:r w:rsidRPr="002614E7">
        <w:rPr>
          <w:position w:val="-10"/>
        </w:rPr>
        <w:object w:dxaOrig="279" w:dyaOrig="320" w14:anchorId="216F535A">
          <v:shape id="_x0000_i7498" type="#_x0000_t75" style="width:13.9pt;height:15.75pt" o:ole="">
            <v:imagedata r:id="rId13069" o:title=""/>
          </v:shape>
          <o:OLEObject Type="Embed" ProgID="Equation.DSMT4" ShapeID="_x0000_i7498" DrawAspect="Content" ObjectID="_1791381441" r:id="rId13070"/>
        </w:object>
      </w:r>
      <w:r w:rsidRPr="002614E7">
        <w:rPr>
          <w:rFonts w:hint="cs"/>
          <w:i/>
          <w:sz w:val="23"/>
          <w:szCs w:val="23"/>
          <w:rtl/>
        </w:rPr>
        <w:t xml:space="preserve"> است تا ارزش فعلی انتظاری انحرافات تورم از سطح هدف‌گذاری شده‌ی آن یعنی</w:t>
      </w:r>
      <w:r w:rsidRPr="002614E7">
        <w:rPr>
          <w:position w:val="-6"/>
        </w:rPr>
        <w:object w:dxaOrig="279" w:dyaOrig="300" w14:anchorId="46DD7777">
          <v:shape id="_x0000_i7499" type="#_x0000_t75" style="width:13.9pt;height:14.5pt" o:ole="">
            <v:imagedata r:id="rId13071" o:title=""/>
          </v:shape>
          <o:OLEObject Type="Embed" ProgID="Equation.DSMT4" ShapeID="_x0000_i7499" DrawAspect="Content" ObjectID="_1791381442" r:id="rId13072"/>
        </w:object>
      </w:r>
      <w:r w:rsidRPr="002614E7">
        <w:rPr>
          <w:rFonts w:hint="cs"/>
          <w:i/>
          <w:sz w:val="23"/>
          <w:szCs w:val="23"/>
          <w:rtl/>
        </w:rPr>
        <w:t xml:space="preserve"> را حداقل سازد. برای بدست آوردن سیاست بهینه، ابتدا مدل کلی را برای تورم حل نموده، شکاف تولید را حذف و معادله‌ی تورم را بدست می‌آوریم. لذا</w:t>
      </w:r>
    </w:p>
    <w:p w14:paraId="1B26DE6A" w14:textId="77777777" w:rsidR="00556C10" w:rsidRPr="002614E7" w:rsidRDefault="00556C10" w:rsidP="00556C10">
      <w:pPr>
        <w:tabs>
          <w:tab w:val="right" w:pos="1287"/>
        </w:tabs>
        <w:bidi w:val="0"/>
        <w:spacing w:line="216" w:lineRule="auto"/>
        <w:rPr>
          <w:i/>
          <w:sz w:val="23"/>
          <w:szCs w:val="23"/>
          <w:rtl/>
        </w:rPr>
      </w:pPr>
      <w:r w:rsidRPr="002614E7">
        <w:rPr>
          <w:position w:val="-12"/>
        </w:rPr>
        <w:object w:dxaOrig="5260" w:dyaOrig="360" w14:anchorId="393CECEB">
          <v:shape id="_x0000_i7500" type="#_x0000_t75" style="width:263.2pt;height:18.15pt" o:ole="">
            <v:imagedata r:id="rId13073" o:title=""/>
          </v:shape>
          <o:OLEObject Type="Embed" ProgID="Equation.DSMT4" ShapeID="_x0000_i7500" DrawAspect="Content" ObjectID="_1791381443" r:id="rId13074"/>
        </w:object>
      </w:r>
    </w:p>
    <w:p w14:paraId="3D2F42F4"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lastRenderedPageBreak/>
        <w:t>با معرفی اپراتور با وقفه‌ی</w:t>
      </w:r>
      <w:r w:rsidRPr="00025957">
        <w:rPr>
          <w:position w:val="-4"/>
        </w:rPr>
        <w:object w:dxaOrig="220" w:dyaOrig="240" w14:anchorId="7159C14B">
          <v:shape id="_x0000_i7501" type="#_x0000_t75" style="width:10.9pt;height:11.5pt" o:ole="">
            <v:imagedata r:id="rId13075" o:title=""/>
          </v:shape>
          <o:OLEObject Type="Embed" ProgID="Equation.DSMT4" ShapeID="_x0000_i7501" DrawAspect="Content" ObjectID="_1791381444" r:id="rId13076"/>
        </w:object>
      </w:r>
      <w:r w:rsidRPr="002614E7">
        <w:rPr>
          <w:rFonts w:hint="cs"/>
          <w:i/>
          <w:sz w:val="23"/>
          <w:szCs w:val="23"/>
          <w:rtl/>
        </w:rPr>
        <w:t xml:space="preserve"> با خواص</w:t>
      </w:r>
      <w:r w:rsidRPr="002614E7">
        <w:rPr>
          <w:position w:val="-10"/>
        </w:rPr>
        <w:object w:dxaOrig="940" w:dyaOrig="340" w14:anchorId="1B5956DB">
          <v:shape id="_x0000_i7502" type="#_x0000_t75" style="width:47.2pt;height:16.95pt" o:ole="">
            <v:imagedata r:id="rId13077" o:title=""/>
          </v:shape>
          <o:OLEObject Type="Embed" ProgID="Equation.DSMT4" ShapeID="_x0000_i7502" DrawAspect="Content" ObjectID="_1791381445" r:id="rId13078"/>
        </w:object>
      </w:r>
      <w:r w:rsidRPr="002614E7">
        <w:rPr>
          <w:rFonts w:hint="cs"/>
          <w:i/>
          <w:sz w:val="23"/>
          <w:szCs w:val="23"/>
          <w:rtl/>
        </w:rPr>
        <w:t xml:space="preserve"> و</w:t>
      </w:r>
      <w:r w:rsidRPr="002614E7">
        <w:rPr>
          <w:position w:val="-10"/>
        </w:rPr>
        <w:object w:dxaOrig="1240" w:dyaOrig="340" w14:anchorId="4D65C5BB">
          <v:shape id="_x0000_i7503" type="#_x0000_t75" style="width:61.7pt;height:16.95pt" o:ole="">
            <v:imagedata r:id="rId13079" o:title=""/>
          </v:shape>
          <o:OLEObject Type="Embed" ProgID="Equation.DSMT4" ShapeID="_x0000_i7503" DrawAspect="Content" ObjectID="_1791381446" r:id="rId13080"/>
        </w:object>
      </w:r>
      <w:r w:rsidRPr="002614E7">
        <w:rPr>
          <w:rFonts w:hint="cs"/>
          <w:i/>
          <w:sz w:val="23"/>
          <w:szCs w:val="23"/>
          <w:rtl/>
        </w:rPr>
        <w:t>، معادله‌ی تورم را ممکن است به صورت زیر نوشت</w:t>
      </w:r>
    </w:p>
    <w:p w14:paraId="59285831" w14:textId="77777777" w:rsidR="00556C10" w:rsidRPr="002614E7" w:rsidRDefault="00556C10" w:rsidP="00556C10">
      <w:pPr>
        <w:tabs>
          <w:tab w:val="right" w:pos="1287"/>
        </w:tabs>
        <w:bidi w:val="0"/>
        <w:spacing w:line="216" w:lineRule="auto"/>
        <w:rPr>
          <w:i/>
          <w:sz w:val="23"/>
          <w:szCs w:val="23"/>
          <w:rtl/>
        </w:rPr>
      </w:pPr>
      <w:r w:rsidRPr="002614E7">
        <w:rPr>
          <w:position w:val="-34"/>
        </w:rPr>
        <w:object w:dxaOrig="5040" w:dyaOrig="780" w14:anchorId="545F7D49">
          <v:shape id="_x0000_i7504" type="#_x0000_t75" style="width:252.3pt;height:39.35pt" o:ole="">
            <v:imagedata r:id="rId13081" o:title=""/>
          </v:shape>
          <o:OLEObject Type="Embed" ProgID="Equation.DSMT4" ShapeID="_x0000_i7504" DrawAspect="Content" ObjectID="_1791381447" r:id="rId13082"/>
        </w:object>
      </w:r>
    </w:p>
    <w:p w14:paraId="7BCC2990"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همان</w:t>
      </w:r>
      <w:r w:rsidRPr="002614E7">
        <w:rPr>
          <w:rFonts w:hint="cs"/>
          <w:i/>
          <w:sz w:val="23"/>
          <w:szCs w:val="23"/>
          <w:rtl/>
        </w:rPr>
        <w:softHyphen/>
        <w:t xml:space="preserve">گونه که </w:t>
      </w:r>
      <w:r w:rsidRPr="002614E7">
        <w:rPr>
          <w:position w:val="-12"/>
        </w:rPr>
        <w:object w:dxaOrig="2780" w:dyaOrig="360" w14:anchorId="6E563800">
          <v:shape id="_x0000_i7505" type="#_x0000_t75" style="width:139.15pt;height:18.15pt" o:ole="">
            <v:imagedata r:id="rId13083" o:title=""/>
          </v:shape>
          <o:OLEObject Type="Embed" ProgID="Equation.DSMT4" ShapeID="_x0000_i7505" DrawAspect="Content" ObjectID="_1791381448" r:id="rId13084"/>
        </w:object>
      </w:r>
      <w:r w:rsidRPr="002614E7">
        <w:rPr>
          <w:rFonts w:hint="cs"/>
          <w:i/>
          <w:sz w:val="23"/>
          <w:szCs w:val="23"/>
          <w:rtl/>
        </w:rPr>
        <w:t xml:space="preserve">، هر دو ریشه‌ی </w:t>
      </w:r>
      <w:r w:rsidRPr="002614E7">
        <w:rPr>
          <w:position w:val="-12"/>
        </w:rPr>
        <w:object w:dxaOrig="520" w:dyaOrig="360" w14:anchorId="7CAF5A12">
          <v:shape id="_x0000_i7506" type="#_x0000_t75" style="width:26pt;height:18.15pt" o:ole="">
            <v:imagedata r:id="rId13085" o:title=""/>
          </v:shape>
          <o:OLEObject Type="Embed" ProgID="Equation.DSMT4" ShapeID="_x0000_i7506" DrawAspect="Content" ObjectID="_1791381449" r:id="rId13086"/>
        </w:object>
      </w:r>
      <w:r w:rsidRPr="002614E7">
        <w:rPr>
          <w:rFonts w:hint="cs"/>
          <w:i/>
          <w:sz w:val="23"/>
          <w:szCs w:val="23"/>
          <w:rtl/>
        </w:rPr>
        <w:t xml:space="preserve"> کمتر از واحد بوده</w:t>
      </w:r>
      <w:r w:rsidRPr="002614E7">
        <w:rPr>
          <w:position w:val="-10"/>
        </w:rPr>
        <w:object w:dxaOrig="840" w:dyaOrig="320" w14:anchorId="6E1F7154">
          <v:shape id="_x0000_i7507" type="#_x0000_t75" style="width:41.75pt;height:15.75pt" o:ole="">
            <v:imagedata r:id="rId13087" o:title=""/>
          </v:shape>
          <o:OLEObject Type="Embed" ProgID="Equation.DSMT4" ShapeID="_x0000_i7507" DrawAspect="Content" ObjectID="_1791381450" r:id="rId13088"/>
        </w:object>
      </w:r>
      <w:r w:rsidRPr="002614E7">
        <w:rPr>
          <w:rFonts w:hint="cs"/>
          <w:i/>
          <w:sz w:val="23"/>
          <w:szCs w:val="23"/>
          <w:rtl/>
        </w:rPr>
        <w:t>، و حل تورم برابر خواهد بود با</w:t>
      </w:r>
    </w:p>
    <w:p w14:paraId="62636A61" w14:textId="77777777" w:rsidR="00556C10" w:rsidRPr="002614E7" w:rsidRDefault="00556C10" w:rsidP="00556C10">
      <w:pPr>
        <w:tabs>
          <w:tab w:val="right" w:pos="1287"/>
        </w:tabs>
        <w:bidi w:val="0"/>
        <w:spacing w:line="216" w:lineRule="auto"/>
        <w:rPr>
          <w:i/>
          <w:sz w:val="23"/>
          <w:szCs w:val="23"/>
          <w:rtl/>
        </w:rPr>
      </w:pPr>
      <w:r w:rsidRPr="002614E7">
        <w:rPr>
          <w:position w:val="-28"/>
        </w:rPr>
        <w:object w:dxaOrig="5280" w:dyaOrig="639" w14:anchorId="474B890B">
          <v:shape id="_x0000_i7508" type="#_x0000_t75" style="width:263.8pt;height:32.05pt" o:ole="">
            <v:imagedata r:id="rId13089" o:title=""/>
          </v:shape>
          <o:OLEObject Type="Embed" ProgID="Equation.DSMT4" ShapeID="_x0000_i7508" DrawAspect="Content" ObjectID="_1791381451" r:id="rId13090"/>
        </w:object>
      </w:r>
      <w:r w:rsidRPr="002614E7">
        <w:rPr>
          <w:sz w:val="23"/>
          <w:szCs w:val="23"/>
          <w:rtl/>
        </w:rPr>
        <w:tab/>
      </w:r>
      <w:r>
        <w:rPr>
          <w:sz w:val="23"/>
          <w:szCs w:val="23"/>
          <w:rtl/>
        </w:rPr>
        <w:tab/>
      </w:r>
      <w:r>
        <w:rPr>
          <w:sz w:val="23"/>
          <w:szCs w:val="23"/>
          <w:rtl/>
        </w:rPr>
        <w:tab/>
      </w:r>
      <w:r w:rsidRPr="002614E7">
        <w:rPr>
          <w:rFonts w:hint="cs"/>
          <w:i/>
          <w:sz w:val="23"/>
          <w:szCs w:val="23"/>
          <w:rtl/>
        </w:rPr>
        <w:t>(۱۴. ۱۰۵)</w:t>
      </w:r>
    </w:p>
    <w:p w14:paraId="1AF4E8D4"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یا</w:t>
      </w:r>
    </w:p>
    <w:p w14:paraId="4094BB79" w14:textId="77777777" w:rsidR="00556C10" w:rsidRPr="002614E7" w:rsidRDefault="00556C10" w:rsidP="00556C10">
      <w:pPr>
        <w:tabs>
          <w:tab w:val="right" w:pos="1287"/>
        </w:tabs>
        <w:bidi w:val="0"/>
        <w:spacing w:line="216" w:lineRule="auto"/>
        <w:rPr>
          <w:i/>
          <w:sz w:val="23"/>
          <w:szCs w:val="23"/>
          <w:rtl/>
        </w:rPr>
      </w:pPr>
      <w:r w:rsidRPr="002614E7">
        <w:rPr>
          <w:position w:val="-28"/>
        </w:rPr>
        <w:object w:dxaOrig="6120" w:dyaOrig="639" w14:anchorId="37D549A2">
          <v:shape id="_x0000_i7509" type="#_x0000_t75" style="width:289.8pt;height:32.05pt" o:ole="">
            <v:imagedata r:id="rId13091" o:title=""/>
          </v:shape>
          <o:OLEObject Type="Embed" ProgID="Equation.DSMT4" ShapeID="_x0000_i7509" DrawAspect="Content" ObjectID="_1791381452" r:id="rId13092"/>
        </w:object>
      </w:r>
      <w:r>
        <w:rPr>
          <w:rtl/>
        </w:rPr>
        <w:tab/>
      </w:r>
      <w:r w:rsidRPr="002614E7">
        <w:rPr>
          <w:rFonts w:hint="cs"/>
          <w:i/>
          <w:sz w:val="23"/>
          <w:szCs w:val="23"/>
          <w:rtl/>
        </w:rPr>
        <w:t>(۱۴. ۱۰۶)</w:t>
      </w:r>
      <w:r w:rsidRPr="002614E7">
        <w:rPr>
          <w:i/>
          <w:sz w:val="23"/>
          <w:szCs w:val="23"/>
        </w:rPr>
        <w:t xml:space="preserve"> </w:t>
      </w:r>
    </w:p>
    <w:p w14:paraId="24E8DC1D"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مقادیر بهینه‌ی</w:t>
      </w:r>
      <w:r w:rsidRPr="002614E7">
        <w:rPr>
          <w:position w:val="-10"/>
        </w:rPr>
        <w:object w:dxaOrig="279" w:dyaOrig="320" w14:anchorId="0C768F24">
          <v:shape id="_x0000_i7510" type="#_x0000_t75" style="width:13.9pt;height:15.75pt" o:ole="">
            <v:imagedata r:id="rId13093" o:title=""/>
          </v:shape>
          <o:OLEObject Type="Embed" ProgID="Equation.DSMT4" ShapeID="_x0000_i7510" DrawAspect="Content" ObjectID="_1791381453" r:id="rId13094"/>
        </w:object>
      </w:r>
      <w:r w:rsidRPr="002614E7">
        <w:rPr>
          <w:i/>
          <w:sz w:val="23"/>
          <w:szCs w:val="23"/>
        </w:rPr>
        <w:t xml:space="preserve"> </w:t>
      </w:r>
      <w:r w:rsidRPr="002614E7">
        <w:rPr>
          <w:rFonts w:hint="cs"/>
          <w:i/>
          <w:sz w:val="23"/>
          <w:szCs w:val="23"/>
          <w:rtl/>
        </w:rPr>
        <w:t>بوسیله‌ی حداقل کردن</w:t>
      </w:r>
      <w:r w:rsidRPr="002614E7">
        <w:rPr>
          <w:position w:val="-10"/>
        </w:rPr>
        <w:object w:dxaOrig="260" w:dyaOrig="320" w14:anchorId="3B5E0FE6">
          <v:shape id="_x0000_i7511" type="#_x0000_t75" style="width:13.3pt;height:15.75pt" o:ole="">
            <v:imagedata r:id="rId13095" o:title=""/>
          </v:shape>
          <o:OLEObject Type="Embed" ProgID="Equation.DSMT4" ShapeID="_x0000_i7511" DrawAspect="Content" ObjectID="_1791381454" r:id="rId13096"/>
        </w:object>
      </w:r>
      <w:r w:rsidRPr="002614E7">
        <w:rPr>
          <w:i/>
          <w:sz w:val="23"/>
          <w:szCs w:val="23"/>
        </w:rPr>
        <w:t xml:space="preserve"> </w:t>
      </w:r>
      <w:r w:rsidRPr="002614E7">
        <w:rPr>
          <w:rFonts w:hint="cs"/>
          <w:i/>
          <w:sz w:val="23"/>
          <w:szCs w:val="23"/>
          <w:rtl/>
        </w:rPr>
        <w:t>نسبت به</w:t>
      </w:r>
      <w:r w:rsidRPr="002614E7">
        <w:rPr>
          <w:position w:val="-10"/>
        </w:rPr>
        <w:object w:dxaOrig="279" w:dyaOrig="320" w14:anchorId="2294D0C2">
          <v:shape id="_x0000_i7512" type="#_x0000_t75" style="width:13.9pt;height:15.75pt" o:ole="">
            <v:imagedata r:id="rId13097" o:title=""/>
          </v:shape>
          <o:OLEObject Type="Embed" ProgID="Equation.DSMT4" ShapeID="_x0000_i7512" DrawAspect="Content" ObjectID="_1791381455" r:id="rId13098"/>
        </w:object>
      </w:r>
      <w:r w:rsidRPr="002614E7">
        <w:rPr>
          <w:rFonts w:hint="cs"/>
          <w:i/>
          <w:sz w:val="23"/>
          <w:szCs w:val="23"/>
          <w:rtl/>
        </w:rPr>
        <w:t xml:space="preserve"> بدست خواهد آمد. شرایط مرتبه اول عبارت است از</w:t>
      </w:r>
    </w:p>
    <w:p w14:paraId="1450FF22" w14:textId="77777777" w:rsidR="00556C10" w:rsidRPr="002614E7" w:rsidRDefault="00556C10" w:rsidP="00556C10">
      <w:pPr>
        <w:tabs>
          <w:tab w:val="right" w:pos="1287"/>
        </w:tabs>
        <w:bidi w:val="0"/>
        <w:spacing w:line="216" w:lineRule="auto"/>
        <w:rPr>
          <w:i/>
          <w:sz w:val="23"/>
          <w:szCs w:val="23"/>
          <w:rtl/>
        </w:rPr>
      </w:pPr>
      <w:r w:rsidRPr="002614E7">
        <w:rPr>
          <w:position w:val="-28"/>
        </w:rPr>
        <w:object w:dxaOrig="2020" w:dyaOrig="639" w14:anchorId="42197306">
          <v:shape id="_x0000_i7513" type="#_x0000_t75" style="width:101.05pt;height:32.05pt" o:ole="">
            <v:imagedata r:id="rId13099" o:title=""/>
          </v:shape>
          <o:OLEObject Type="Embed" ProgID="Equation.DSMT4" ShapeID="_x0000_i7513" DrawAspect="Content" ObjectID="_1791381456" r:id="rId13100"/>
        </w:object>
      </w:r>
      <w:r w:rsidRPr="002614E7">
        <w:rPr>
          <w:i/>
          <w:sz w:val="23"/>
          <w:szCs w:val="23"/>
        </w:rPr>
        <w:t xml:space="preserve"> </w:t>
      </w:r>
      <w:r w:rsidRPr="002614E7">
        <w:rPr>
          <w:i/>
          <w:sz w:val="23"/>
          <w:szCs w:val="23"/>
        </w:rPr>
        <w:tab/>
      </w:r>
      <w:r w:rsidRPr="002614E7">
        <w:rPr>
          <w:i/>
          <w:sz w:val="23"/>
          <w:szCs w:val="23"/>
          <w:rtl/>
        </w:rPr>
        <w:tab/>
      </w:r>
      <w:r w:rsidRPr="002614E7">
        <w:rPr>
          <w:rFonts w:hint="cs"/>
          <w:i/>
          <w:sz w:val="23"/>
          <w:szCs w:val="23"/>
          <w:rtl/>
        </w:rPr>
        <w:tab/>
      </w:r>
      <w:r w:rsidRPr="002614E7">
        <w:rPr>
          <w:i/>
          <w:sz w:val="23"/>
          <w:szCs w:val="23"/>
          <w:rtl/>
        </w:rPr>
        <w:tab/>
      </w:r>
      <w:r w:rsidRPr="002614E7">
        <w:rPr>
          <w:i/>
          <w:sz w:val="23"/>
          <w:szCs w:val="23"/>
          <w:rtl/>
        </w:rPr>
        <w:tab/>
      </w:r>
      <w:r>
        <w:rPr>
          <w:i/>
          <w:sz w:val="23"/>
          <w:szCs w:val="23"/>
          <w:rtl/>
        </w:rPr>
        <w:tab/>
      </w:r>
      <w:r w:rsidRPr="002614E7">
        <w:rPr>
          <w:i/>
          <w:sz w:val="23"/>
          <w:szCs w:val="23"/>
          <w:rtl/>
        </w:rPr>
        <w:tab/>
      </w:r>
      <w:r w:rsidRPr="002614E7">
        <w:rPr>
          <w:i/>
          <w:sz w:val="23"/>
          <w:szCs w:val="23"/>
          <w:rtl/>
        </w:rPr>
        <w:tab/>
      </w:r>
      <w:r w:rsidRPr="002614E7">
        <w:rPr>
          <w:i/>
          <w:sz w:val="23"/>
          <w:szCs w:val="23"/>
          <w:rtl/>
        </w:rPr>
        <w:tab/>
      </w:r>
      <w:r w:rsidRPr="002614E7">
        <w:rPr>
          <w:rFonts w:hint="cs"/>
          <w:i/>
          <w:sz w:val="23"/>
          <w:szCs w:val="23"/>
          <w:rtl/>
        </w:rPr>
        <w:tab/>
      </w:r>
      <w:r w:rsidRPr="002614E7">
        <w:rPr>
          <w:rFonts w:hint="cs"/>
          <w:i/>
          <w:sz w:val="23"/>
          <w:szCs w:val="23"/>
          <w:rtl/>
        </w:rPr>
        <w:tab/>
      </w:r>
      <w:r w:rsidRPr="002614E7">
        <w:rPr>
          <w:i/>
          <w:sz w:val="23"/>
          <w:szCs w:val="23"/>
        </w:rPr>
        <w:tab/>
      </w:r>
      <w:r w:rsidRPr="002614E7">
        <w:rPr>
          <w:rFonts w:hint="cs"/>
          <w:i/>
          <w:sz w:val="23"/>
          <w:szCs w:val="23"/>
          <w:rtl/>
        </w:rPr>
        <w:t xml:space="preserve">(۱۴. ۱۰۷)         </w:t>
      </w:r>
    </w:p>
    <w:p w14:paraId="0258707B"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با توجه به این که برای هر </w:t>
      </w:r>
      <w:r w:rsidRPr="002614E7">
        <w:rPr>
          <w:position w:val="-6"/>
        </w:rPr>
        <w:object w:dxaOrig="499" w:dyaOrig="260" w14:anchorId="655E9122">
          <v:shape id="_x0000_i7514" type="#_x0000_t75" style="width:24.8pt;height:13.3pt" o:ole="">
            <v:imagedata r:id="rId13101" o:title=""/>
          </v:shape>
          <o:OLEObject Type="Embed" ProgID="Equation.DSMT4" ShapeID="_x0000_i7514" DrawAspect="Content" ObjectID="_1791381457" r:id="rId13102"/>
        </w:object>
      </w:r>
      <w:r w:rsidRPr="002614E7">
        <w:rPr>
          <w:i/>
          <w:sz w:val="23"/>
          <w:szCs w:val="23"/>
        </w:rPr>
        <w:t xml:space="preserve"> </w:t>
      </w:r>
      <w:r w:rsidRPr="002614E7">
        <w:rPr>
          <w:rFonts w:hint="cs"/>
          <w:i/>
          <w:sz w:val="23"/>
          <w:szCs w:val="23"/>
          <w:rtl/>
        </w:rPr>
        <w:t xml:space="preserve">داریم </w:t>
      </w:r>
      <w:r w:rsidRPr="002614E7">
        <w:rPr>
          <w:position w:val="-16"/>
        </w:rPr>
        <w:object w:dxaOrig="1560" w:dyaOrig="420" w14:anchorId="77F2AB07">
          <v:shape id="_x0000_i7515" type="#_x0000_t75" style="width:78.05pt;height:21.2pt" o:ole="">
            <v:imagedata r:id="rId13103" o:title=""/>
          </v:shape>
          <o:OLEObject Type="Embed" ProgID="Equation.DSMT4" ShapeID="_x0000_i7515" DrawAspect="Content" ObjectID="_1791381458" r:id="rId13104"/>
        </w:object>
      </w:r>
      <w:r w:rsidRPr="002614E7">
        <w:rPr>
          <w:rFonts w:hint="cs"/>
          <w:i/>
          <w:sz w:val="23"/>
          <w:szCs w:val="23"/>
          <w:rtl/>
        </w:rPr>
        <w:t xml:space="preserve"> </w:t>
      </w:r>
      <w:r w:rsidRPr="002614E7">
        <w:rPr>
          <w:i/>
          <w:sz w:val="23"/>
          <w:szCs w:val="23"/>
        </w:rPr>
        <w:t>.</w:t>
      </w:r>
      <w:r w:rsidRPr="002614E7">
        <w:rPr>
          <w:rFonts w:hint="cs"/>
          <w:i/>
          <w:sz w:val="23"/>
          <w:szCs w:val="23"/>
          <w:rtl/>
        </w:rPr>
        <w:t xml:space="preserve"> در نتیجه</w:t>
      </w:r>
    </w:p>
    <w:p w14:paraId="15DFC9D8" w14:textId="77777777" w:rsidR="00556C10" w:rsidRPr="002614E7" w:rsidRDefault="00556C10" w:rsidP="00556C10">
      <w:pPr>
        <w:tabs>
          <w:tab w:val="right" w:pos="1287"/>
        </w:tabs>
        <w:bidi w:val="0"/>
        <w:spacing w:line="216" w:lineRule="auto"/>
        <w:rPr>
          <w:rFonts w:eastAsiaTheme="minorHAnsi" w:cstheme="minorBidi"/>
          <w:i/>
          <w:sz w:val="23"/>
          <w:szCs w:val="23"/>
          <w:rtl/>
        </w:rPr>
      </w:pPr>
      <w:r w:rsidRPr="002614E7">
        <w:rPr>
          <w:position w:val="-16"/>
        </w:rPr>
        <w:object w:dxaOrig="6780" w:dyaOrig="420" w14:anchorId="3398180A">
          <v:shape id="_x0000_i7516" type="#_x0000_t75" style="width:338.8pt;height:21.2pt" o:ole="">
            <v:imagedata r:id="rId13105" o:title=""/>
          </v:shape>
          <o:OLEObject Type="Embed" ProgID="Equation.DSMT4" ShapeID="_x0000_i7516" DrawAspect="Content" ObjectID="_1791381459" r:id="rId13106"/>
        </w:object>
      </w:r>
    </w:p>
    <w:p w14:paraId="454F2EED"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لذا در چشم</w:t>
      </w:r>
      <w:r w:rsidRPr="002614E7">
        <w:rPr>
          <w:rFonts w:hint="cs"/>
          <w:i/>
          <w:sz w:val="23"/>
          <w:szCs w:val="23"/>
          <w:rtl/>
        </w:rPr>
        <w:softHyphen/>
        <w:t>انداز بی</w:t>
      </w:r>
      <w:r w:rsidRPr="002614E7">
        <w:rPr>
          <w:rFonts w:hint="cs"/>
          <w:i/>
          <w:sz w:val="23"/>
          <w:szCs w:val="23"/>
          <w:rtl/>
        </w:rPr>
        <w:softHyphen/>
        <w:t>نهایت، سیاست بهینه مستلزم آن است که</w:t>
      </w:r>
      <w:r w:rsidRPr="002614E7">
        <w:rPr>
          <w:position w:val="-10"/>
        </w:rPr>
        <w:object w:dxaOrig="1140" w:dyaOrig="340" w14:anchorId="6CDF1212">
          <v:shape id="_x0000_i7517" type="#_x0000_t75" style="width:57.5pt;height:16.95pt" o:ole="">
            <v:imagedata r:id="rId13107" o:title=""/>
          </v:shape>
          <o:OLEObject Type="Embed" ProgID="Equation.DSMT4" ShapeID="_x0000_i7517" DrawAspect="Content" ObjectID="_1791381460" r:id="rId13108"/>
        </w:object>
      </w:r>
      <w:r w:rsidRPr="002614E7">
        <w:rPr>
          <w:i/>
          <w:sz w:val="23"/>
          <w:szCs w:val="23"/>
        </w:rPr>
        <w:t xml:space="preserve"> </w:t>
      </w:r>
      <w:r w:rsidRPr="002614E7">
        <w:rPr>
          <w:rFonts w:hint="cs"/>
          <w:i/>
          <w:sz w:val="23"/>
          <w:szCs w:val="23"/>
          <w:rtl/>
        </w:rPr>
        <w:t>باشد.</w:t>
      </w:r>
    </w:p>
    <w:p w14:paraId="09C80135"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با جای‌گذاری نرخ بهره‌ی</w:t>
      </w:r>
      <w:r w:rsidRPr="002614E7">
        <w:rPr>
          <w:position w:val="-10"/>
        </w:rPr>
        <w:object w:dxaOrig="279" w:dyaOrig="320" w14:anchorId="44C51F98">
          <v:shape id="_x0000_i7518" type="#_x0000_t75" style="width:13.9pt;height:15.75pt" o:ole="">
            <v:imagedata r:id="rId13109" o:title=""/>
          </v:shape>
          <o:OLEObject Type="Embed" ProgID="Equation.DSMT4" ShapeID="_x0000_i7518" DrawAspect="Content" ObjectID="_1791381461" r:id="rId13110"/>
        </w:object>
      </w:r>
      <w:r w:rsidRPr="002614E7">
        <w:rPr>
          <w:rFonts w:hint="cs"/>
          <w:i/>
          <w:sz w:val="23"/>
          <w:szCs w:val="23"/>
          <w:rtl/>
        </w:rPr>
        <w:t xml:space="preserve"> در معادله‌ی (۱۴. ۹۸) خواهیم داشت</w:t>
      </w:r>
    </w:p>
    <w:p w14:paraId="58E31031" w14:textId="77777777" w:rsidR="00556C10" w:rsidRPr="002614E7" w:rsidRDefault="00556C10" w:rsidP="00556C10">
      <w:pPr>
        <w:tabs>
          <w:tab w:val="right" w:pos="1287"/>
        </w:tabs>
        <w:bidi w:val="0"/>
        <w:spacing w:line="216" w:lineRule="auto"/>
        <w:rPr>
          <w:i/>
          <w:sz w:val="23"/>
          <w:szCs w:val="23"/>
          <w:rtl/>
        </w:rPr>
      </w:pPr>
      <w:r w:rsidRPr="002614E7">
        <w:rPr>
          <w:rFonts w:hint="cs"/>
          <w:i/>
          <w:sz w:val="23"/>
          <w:szCs w:val="23"/>
          <w:rtl/>
        </w:rPr>
        <w:t xml:space="preserve"> </w:t>
      </w:r>
      <w:r w:rsidRPr="002614E7">
        <w:rPr>
          <w:position w:val="-16"/>
        </w:rPr>
        <w:object w:dxaOrig="4280" w:dyaOrig="420" w14:anchorId="5959E927">
          <v:shape id="_x0000_i7519" type="#_x0000_t75" style="width:214.2pt;height:21.2pt" o:ole="">
            <v:imagedata r:id="rId13111" o:title=""/>
          </v:shape>
          <o:OLEObject Type="Embed" ProgID="Equation.DSMT4" ShapeID="_x0000_i7519" DrawAspect="Content" ObjectID="_1791381462" r:id="rId13112"/>
        </w:object>
      </w:r>
    </w:p>
    <w:p w14:paraId="19F0FBA6"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بنابراین از معادله‌ی (۱۴. ۹۹) خواهیم داشت</w:t>
      </w:r>
    </w:p>
    <w:p w14:paraId="4CF2CC98" w14:textId="77777777" w:rsidR="00556C10" w:rsidRPr="002614E7" w:rsidRDefault="00556C10" w:rsidP="00556C10">
      <w:pPr>
        <w:tabs>
          <w:tab w:val="right" w:pos="1287"/>
        </w:tabs>
        <w:bidi w:val="0"/>
        <w:spacing w:line="216" w:lineRule="auto"/>
        <w:rPr>
          <w:i/>
          <w:sz w:val="23"/>
          <w:szCs w:val="23"/>
          <w:rtl/>
        </w:rPr>
      </w:pPr>
      <w:r w:rsidRPr="002614E7">
        <w:rPr>
          <w:position w:val="-34"/>
        </w:rPr>
        <w:object w:dxaOrig="4940" w:dyaOrig="780" w14:anchorId="69525C53">
          <v:shape id="_x0000_i7520" type="#_x0000_t75" style="width:247.45pt;height:39.35pt" o:ole="">
            <v:imagedata r:id="rId13113" o:title=""/>
          </v:shape>
          <o:OLEObject Type="Embed" ProgID="Equation.DSMT4" ShapeID="_x0000_i7520" DrawAspect="Content" ObjectID="_1791381463" r:id="rId13114"/>
        </w:object>
      </w:r>
    </w:p>
    <w:p w14:paraId="199FD364" w14:textId="77777777" w:rsidR="00556C10" w:rsidRPr="002614E7" w:rsidRDefault="00556C10" w:rsidP="00556C10">
      <w:pPr>
        <w:tabs>
          <w:tab w:val="right" w:pos="1287"/>
        </w:tabs>
        <w:spacing w:line="216" w:lineRule="auto"/>
        <w:rPr>
          <w:rFonts w:eastAsiaTheme="minorEastAsia"/>
          <w:i/>
          <w:sz w:val="23"/>
          <w:szCs w:val="23"/>
          <w:rtl/>
        </w:rPr>
      </w:pPr>
      <w:r w:rsidRPr="002614E7">
        <w:rPr>
          <w:rFonts w:eastAsiaTheme="minorEastAsia" w:hint="cs"/>
          <w:i/>
          <w:sz w:val="23"/>
          <w:szCs w:val="23"/>
          <w:rtl/>
        </w:rPr>
        <w:t xml:space="preserve"> و حل آن عبارت است از</w:t>
      </w:r>
    </w:p>
    <w:p w14:paraId="237D5396" w14:textId="77777777" w:rsidR="00556C10" w:rsidRDefault="00556C10" w:rsidP="00556C10">
      <w:pPr>
        <w:tabs>
          <w:tab w:val="right" w:pos="1287"/>
        </w:tabs>
        <w:bidi w:val="0"/>
        <w:spacing w:line="216" w:lineRule="auto"/>
        <w:rPr>
          <w:i/>
          <w:sz w:val="23"/>
          <w:szCs w:val="23"/>
          <w:rtl/>
        </w:rPr>
      </w:pPr>
      <w:r w:rsidRPr="002614E7">
        <w:rPr>
          <w:position w:val="-28"/>
        </w:rPr>
        <w:object w:dxaOrig="4500" w:dyaOrig="639" w14:anchorId="17ACD038">
          <v:shape id="_x0000_i7521" type="#_x0000_t75" style="width:225.1pt;height:32.05pt" o:ole="">
            <v:imagedata r:id="rId13115" o:title=""/>
          </v:shape>
          <o:OLEObject Type="Embed" ProgID="Equation.DSMT4" ShapeID="_x0000_i7521" DrawAspect="Content" ObjectID="_1791381464" r:id="rId13116"/>
        </w:object>
      </w:r>
      <w:r>
        <w:rPr>
          <w:rtl/>
        </w:rPr>
        <w:tab/>
      </w:r>
      <w:r w:rsidRPr="002614E7">
        <w:rPr>
          <w:rFonts w:hint="cs"/>
          <w:i/>
          <w:sz w:val="23"/>
          <w:szCs w:val="23"/>
          <w:rtl/>
        </w:rPr>
        <w:t xml:space="preserve"> </w:t>
      </w:r>
      <w:r>
        <w:rPr>
          <w:i/>
          <w:sz w:val="23"/>
          <w:szCs w:val="23"/>
          <w:rtl/>
        </w:rPr>
        <w:tab/>
      </w:r>
      <w:r>
        <w:rPr>
          <w:i/>
          <w:sz w:val="23"/>
          <w:szCs w:val="23"/>
          <w:rtl/>
        </w:rPr>
        <w:tab/>
      </w:r>
      <w:r>
        <w:rPr>
          <w:i/>
          <w:sz w:val="23"/>
          <w:szCs w:val="23"/>
          <w:rtl/>
        </w:rPr>
        <w:tab/>
      </w:r>
      <w:r>
        <w:rPr>
          <w:i/>
          <w:sz w:val="23"/>
          <w:szCs w:val="23"/>
          <w:rtl/>
        </w:rPr>
        <w:tab/>
      </w:r>
      <w:r w:rsidRPr="002614E7">
        <w:rPr>
          <w:rFonts w:hint="cs"/>
          <w:i/>
          <w:sz w:val="23"/>
          <w:szCs w:val="23"/>
          <w:rtl/>
        </w:rPr>
        <w:tab/>
        <w:t xml:space="preserve">(۱۴. ۱۰۸) </w:t>
      </w:r>
    </w:p>
    <w:p w14:paraId="19FC5412"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در نتیجه انحراف نرخ تورم هر کشور از نرخ تورم هدف‌گذاری شده‌ی منظقه‌ی یورو، از انحرافات نرخ‌های بهره‌ی حقیقی داخلی ( یعنی انحرافات بهره</w:t>
      </w:r>
      <w:r w:rsidRPr="002614E7">
        <w:rPr>
          <w:rFonts w:hint="cs"/>
          <w:i/>
          <w:sz w:val="23"/>
          <w:szCs w:val="23"/>
          <w:rtl/>
        </w:rPr>
        <w:softHyphen/>
        <w:t xml:space="preserve">وری یا نرخ بازدهی سرمایه) از نرخ متوسط منطقه‌ی یورو بدست می‌آید. به عبارتی دیگر، انحراف نرخ تورم هر کشور از نرخ تورم هدف‌گذاری شده‌ی منطقه‌ی یورو بوسیله‌ی اثرات حقیقی خارج از کنترل مقامات پولی بدست می‌آیند. </w:t>
      </w:r>
    </w:p>
    <w:p w14:paraId="00320152"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lastRenderedPageBreak/>
        <w:t>با جایگزاری نرخ بهره‌ی</w:t>
      </w:r>
      <w:r w:rsidRPr="002614E7">
        <w:rPr>
          <w:position w:val="-10"/>
        </w:rPr>
        <w:object w:dxaOrig="279" w:dyaOrig="320" w14:anchorId="5BBCB5AE">
          <v:shape id="_x0000_i7522" type="#_x0000_t75" style="width:13.9pt;height:15.75pt" o:ole="">
            <v:imagedata r:id="rId13117" o:title=""/>
          </v:shape>
          <o:OLEObject Type="Embed" ProgID="Equation.DSMT4" ShapeID="_x0000_i7522" DrawAspect="Content" ObjectID="_1791381465" r:id="rId13118"/>
        </w:object>
      </w:r>
      <w:r w:rsidRPr="002614E7">
        <w:rPr>
          <w:rFonts w:hint="cs"/>
          <w:i/>
          <w:sz w:val="23"/>
          <w:szCs w:val="23"/>
          <w:rtl/>
        </w:rPr>
        <w:t xml:space="preserve"> در معادله‌ی (۴. ۲۱) و حل آن برای</w:t>
      </w:r>
      <w:r w:rsidRPr="002614E7">
        <w:rPr>
          <w:position w:val="-10"/>
        </w:rPr>
        <w:object w:dxaOrig="240" w:dyaOrig="320" w14:anchorId="7192BD08">
          <v:shape id="_x0000_i7523" type="#_x0000_t75" style="width:11.5pt;height:15.75pt" o:ole="">
            <v:imagedata r:id="rId13119" o:title=""/>
          </v:shape>
          <o:OLEObject Type="Embed" ProgID="Equation.DSMT4" ShapeID="_x0000_i7523" DrawAspect="Content" ObjectID="_1791381466" r:id="rId13120"/>
        </w:object>
      </w:r>
      <w:r w:rsidRPr="002614E7">
        <w:rPr>
          <w:rFonts w:hint="cs"/>
          <w:i/>
          <w:sz w:val="23"/>
          <w:szCs w:val="23"/>
          <w:rtl/>
        </w:rPr>
        <w:t>، و یا از معادلات (۱۴. ۱۰۲) و    (۱۴. ۱۰۳) حل تفاضل نرخ تورم کشور برابر خواهد بود با</w:t>
      </w:r>
    </w:p>
    <w:p w14:paraId="196964E8" w14:textId="77777777" w:rsidR="00556C10" w:rsidRPr="002614E7" w:rsidRDefault="00556C10" w:rsidP="00556C10">
      <w:pPr>
        <w:tabs>
          <w:tab w:val="right" w:pos="1287"/>
        </w:tabs>
        <w:bidi w:val="0"/>
        <w:spacing w:line="216" w:lineRule="auto"/>
        <w:rPr>
          <w:i/>
          <w:sz w:val="23"/>
          <w:szCs w:val="23"/>
          <w:rtl/>
        </w:rPr>
      </w:pPr>
      <w:r w:rsidRPr="002614E7">
        <w:rPr>
          <w:position w:val="-12"/>
        </w:rPr>
        <w:object w:dxaOrig="4580" w:dyaOrig="360" w14:anchorId="256AE088">
          <v:shape id="_x0000_i7524" type="#_x0000_t75" style="width:228.7pt;height:18.15pt" o:ole="">
            <v:imagedata r:id="rId13121" o:title=""/>
          </v:shape>
          <o:OLEObject Type="Embed" ProgID="Equation.DSMT4" ShapeID="_x0000_i7524" DrawAspect="Content" ObjectID="_1791381467" r:id="rId13122"/>
        </w:object>
      </w:r>
    </w:p>
    <w:p w14:paraId="7B50E202"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t>بنابراین</w:t>
      </w:r>
    </w:p>
    <w:p w14:paraId="68FB6B1B" w14:textId="77777777" w:rsidR="00556C10" w:rsidRPr="002614E7" w:rsidRDefault="00556C10" w:rsidP="00556C10">
      <w:pPr>
        <w:tabs>
          <w:tab w:val="right" w:pos="1287"/>
        </w:tabs>
        <w:bidi w:val="0"/>
        <w:spacing w:line="216" w:lineRule="auto"/>
        <w:rPr>
          <w:i/>
          <w:sz w:val="23"/>
          <w:szCs w:val="23"/>
          <w:rtl/>
        </w:rPr>
      </w:pPr>
      <w:r w:rsidRPr="002614E7">
        <w:rPr>
          <w:position w:val="-28"/>
        </w:rPr>
        <w:object w:dxaOrig="3060" w:dyaOrig="639" w14:anchorId="1034885E">
          <v:shape id="_x0000_i7525" type="#_x0000_t75" style="width:153.1pt;height:32.05pt" o:ole="">
            <v:imagedata r:id="rId13123" o:title=""/>
          </v:shape>
          <o:OLEObject Type="Embed" ProgID="Equation.DSMT4" ShapeID="_x0000_i7525" DrawAspect="Content" ObjectID="_1791381468" r:id="rId13124"/>
        </w:object>
      </w:r>
      <w:r w:rsidRPr="002614E7">
        <w:rPr>
          <w:rFonts w:hint="cs"/>
          <w:i/>
          <w:sz w:val="23"/>
          <w:szCs w:val="23"/>
          <w:rtl/>
        </w:rPr>
        <w:tab/>
      </w:r>
      <w:r w:rsidRPr="002614E7">
        <w:rPr>
          <w:i/>
          <w:sz w:val="23"/>
          <w:szCs w:val="23"/>
        </w:rPr>
        <w:tab/>
      </w:r>
      <w:r>
        <w:rPr>
          <w:i/>
          <w:sz w:val="23"/>
          <w:szCs w:val="23"/>
          <w:rtl/>
        </w:rPr>
        <w:tab/>
      </w:r>
      <w:r w:rsidRPr="002614E7">
        <w:rPr>
          <w:i/>
          <w:sz w:val="23"/>
          <w:szCs w:val="23"/>
        </w:rPr>
        <w:tab/>
      </w:r>
      <w:r w:rsidRPr="002614E7">
        <w:rPr>
          <w:i/>
          <w:sz w:val="23"/>
          <w:szCs w:val="23"/>
        </w:rPr>
        <w:tab/>
      </w:r>
      <w:r w:rsidRPr="002614E7">
        <w:rPr>
          <w:i/>
          <w:sz w:val="23"/>
          <w:szCs w:val="23"/>
        </w:rPr>
        <w:tab/>
      </w:r>
      <w:r w:rsidRPr="002614E7">
        <w:rPr>
          <w:rFonts w:hint="cs"/>
          <w:i/>
          <w:sz w:val="23"/>
          <w:szCs w:val="23"/>
          <w:rtl/>
        </w:rPr>
        <w:tab/>
      </w:r>
      <w:r w:rsidRPr="002614E7">
        <w:rPr>
          <w:i/>
          <w:sz w:val="23"/>
          <w:szCs w:val="23"/>
          <w:rtl/>
        </w:rPr>
        <w:tab/>
      </w:r>
      <w:r w:rsidRPr="002614E7">
        <w:rPr>
          <w:i/>
          <w:sz w:val="23"/>
          <w:szCs w:val="23"/>
          <w:rtl/>
        </w:rPr>
        <w:tab/>
      </w:r>
      <w:r w:rsidRPr="002614E7">
        <w:rPr>
          <w:rFonts w:hint="cs"/>
          <w:i/>
          <w:sz w:val="23"/>
          <w:szCs w:val="23"/>
          <w:rtl/>
        </w:rPr>
        <w:t xml:space="preserve">(۱۴. ۱۰۹)         </w:t>
      </w:r>
      <w:r w:rsidRPr="002614E7">
        <w:rPr>
          <w:i/>
          <w:sz w:val="23"/>
          <w:szCs w:val="23"/>
        </w:rPr>
        <w:t xml:space="preserve"> </w:t>
      </w:r>
    </w:p>
    <w:p w14:paraId="1048CAF2"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 xml:space="preserve">لذا تفاوت در نرخ تورم کشورها دائمی است، و همگرایی در نرخ‌های تورم وجود ندارد. کشور با نرخ بهره‌ی حقیقی بالاتر، همواره نرخ تورم بالاتری دارد. اگر تفاضل نرخ‌های تورم کشورها دائمی باشد، آنگاه تفاضل سطح قیمت کشورها در طی زمان واگرا خواهد بود. </w:t>
      </w:r>
    </w:p>
    <w:p w14:paraId="539E5B1D"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براحتی با جایگزینی</w:t>
      </w:r>
      <w:r w:rsidRPr="002614E7">
        <w:rPr>
          <w:position w:val="-10"/>
        </w:rPr>
        <w:object w:dxaOrig="380" w:dyaOrig="320" w14:anchorId="4A603226">
          <v:shape id="_x0000_i7526" type="#_x0000_t75" style="width:18.75pt;height:15.75pt" o:ole="">
            <v:imagedata r:id="rId13125" o:title=""/>
          </v:shape>
          <o:OLEObject Type="Embed" ProgID="Equation.DSMT4" ShapeID="_x0000_i7526" DrawAspect="Content" ObjectID="_1791381469" r:id="rId13126"/>
        </w:object>
      </w:r>
      <w:r w:rsidRPr="002614E7">
        <w:rPr>
          <w:rFonts w:hint="cs"/>
          <w:i/>
          <w:sz w:val="23"/>
          <w:szCs w:val="23"/>
          <w:rtl/>
        </w:rPr>
        <w:t xml:space="preserve"> بجای</w:t>
      </w:r>
      <w:r w:rsidRPr="002614E7">
        <w:rPr>
          <w:position w:val="-12"/>
        </w:rPr>
        <w:object w:dxaOrig="1400" w:dyaOrig="340" w14:anchorId="6770B7E4">
          <v:shape id="_x0000_i7527" type="#_x0000_t75" style="width:70.2pt;height:16.95pt" o:ole="">
            <v:imagedata r:id="rId13127" o:title=""/>
          </v:shape>
          <o:OLEObject Type="Embed" ProgID="Equation.DSMT4" ShapeID="_x0000_i7527" DrawAspect="Content" ObjectID="_1791381470" r:id="rId13128"/>
        </w:object>
      </w:r>
      <w:r w:rsidRPr="002614E7">
        <w:rPr>
          <w:rFonts w:hint="cs"/>
          <w:i/>
          <w:sz w:val="23"/>
          <w:szCs w:val="23"/>
          <w:rtl/>
        </w:rPr>
        <w:t>، که در آن</w:t>
      </w:r>
      <w:r w:rsidRPr="002614E7">
        <w:rPr>
          <w:position w:val="-12"/>
        </w:rPr>
        <w:object w:dxaOrig="560" w:dyaOrig="340" w14:anchorId="6A4B88BB">
          <v:shape id="_x0000_i7528" type="#_x0000_t75" style="width:27.85pt;height:16.95pt" o:ole="">
            <v:imagedata r:id="rId13129" o:title=""/>
          </v:shape>
          <o:OLEObject Type="Embed" ProgID="Equation.DSMT4" ShapeID="_x0000_i7528" DrawAspect="Content" ObjectID="_1791381471" r:id="rId13130"/>
        </w:object>
      </w:r>
      <w:r w:rsidRPr="002614E7">
        <w:rPr>
          <w:rFonts w:hint="cs"/>
          <w:i/>
          <w:sz w:val="23"/>
          <w:szCs w:val="23"/>
          <w:rtl/>
        </w:rPr>
        <w:t>مبین نرخ رشد انتظاری هر متغیر برون</w:t>
      </w:r>
      <w:r w:rsidRPr="002614E7">
        <w:rPr>
          <w:rFonts w:hint="cs"/>
          <w:i/>
          <w:sz w:val="23"/>
          <w:szCs w:val="23"/>
          <w:rtl/>
        </w:rPr>
        <w:softHyphen/>
        <w:t>زا در اتحاد درآمد ملی همانند مخارج دولت و یا اثرات برون</w:t>
      </w:r>
      <w:r w:rsidRPr="002614E7">
        <w:rPr>
          <w:rFonts w:hint="cs"/>
          <w:i/>
          <w:sz w:val="23"/>
          <w:szCs w:val="23"/>
          <w:rtl/>
        </w:rPr>
        <w:softHyphen/>
        <w:t>زای تجارت است، می‌توان معادله‌ی تقاضای کل در اقتصاد را نیز بدست آورد و به این نتیجه دست یافت که سیاست‌های مالیِ متفاوت نیز می‌تواند علت تفاوت در نرخ تورم کشورها و واگرایی سطح قیمت کشورها باشد. به تعبیری سیاست مالی را می‌توان برای جبران اثرات تفاوت نرخ بهره‌ی حقیقی و حذف تفاوت در نرخ تورم کشورها بکار گرفت.</w:t>
      </w:r>
    </w:p>
    <w:p w14:paraId="7D1A4006" w14:textId="77777777" w:rsidR="00556C10" w:rsidRPr="002614E7" w:rsidRDefault="00556C10" w:rsidP="00556C10">
      <w:pPr>
        <w:tabs>
          <w:tab w:val="right" w:pos="1287"/>
        </w:tabs>
        <w:spacing w:line="216" w:lineRule="auto"/>
        <w:rPr>
          <w:i/>
          <w:sz w:val="23"/>
          <w:szCs w:val="23"/>
          <w:rtl/>
        </w:rPr>
      </w:pPr>
    </w:p>
    <w:p w14:paraId="731713DF" w14:textId="77777777" w:rsidR="00556C10" w:rsidRPr="002614E7" w:rsidRDefault="00556C10" w:rsidP="00556C10">
      <w:pPr>
        <w:pStyle w:val="Heading1"/>
        <w:spacing w:before="0" w:line="216" w:lineRule="auto"/>
        <w:rPr>
          <w:rFonts w:ascii="Times New Roman" w:hAnsi="Times New Roman" w:cs="B Nazanin"/>
          <w:b w:val="0"/>
          <w:i/>
          <w:sz w:val="23"/>
          <w:szCs w:val="23"/>
          <w:rtl/>
        </w:rPr>
      </w:pPr>
      <w:r w:rsidRPr="002614E7">
        <w:rPr>
          <w:rFonts w:ascii="Times New Roman" w:hAnsi="Times New Roman" w:cs="B Nazanin" w:hint="cs"/>
          <w:b w:val="0"/>
          <w:i/>
          <w:sz w:val="23"/>
          <w:szCs w:val="23"/>
          <w:rtl/>
        </w:rPr>
        <w:t>۱۴. ۹ نتیجه</w:t>
      </w:r>
      <w:r w:rsidRPr="002614E7">
        <w:rPr>
          <w:rFonts w:ascii="Times New Roman" w:hAnsi="Times New Roman" w:cs="B Nazanin" w:hint="cs"/>
          <w:b w:val="0"/>
          <w:i/>
          <w:sz w:val="23"/>
          <w:szCs w:val="23"/>
          <w:rtl/>
        </w:rPr>
        <w:softHyphen/>
        <w:t>گیری</w:t>
      </w:r>
    </w:p>
    <w:p w14:paraId="57624F37"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در این فصل سیاست پولی را در یک اقتصاد بسته</w:t>
      </w:r>
      <w:r w:rsidRPr="002614E7">
        <w:rPr>
          <w:i/>
          <w:sz w:val="23"/>
          <w:szCs w:val="23"/>
        </w:rPr>
        <w:t xml:space="preserve"> </w:t>
      </w:r>
      <w:r w:rsidRPr="002614E7">
        <w:rPr>
          <w:rFonts w:hint="cs"/>
          <w:i/>
          <w:sz w:val="23"/>
          <w:szCs w:val="23"/>
          <w:rtl/>
        </w:rPr>
        <w:t>و بر مبنای هدف‌‌گذاری تورم که در آن ابزار سیاست پولی نرخ بهره</w:t>
      </w:r>
      <w:r w:rsidRPr="002614E7">
        <w:rPr>
          <w:i/>
          <w:sz w:val="23"/>
          <w:szCs w:val="23"/>
        </w:rPr>
        <w:softHyphen/>
      </w:r>
      <w:r w:rsidRPr="002614E7">
        <w:rPr>
          <w:rFonts w:hint="cs"/>
          <w:i/>
          <w:sz w:val="23"/>
          <w:szCs w:val="23"/>
          <w:rtl/>
        </w:rPr>
        <w:t>ی کوتاه‌مدت اسمی تحت کنترل مقام و مرجع پولی یا بانک مرکزی است مورد بررسی قرار دادیم. نرخ بهره ممکن است یا بصورت صلاحدیدی توسط بانک مرکزی، و یا از طریق تعهد به یک قاعده</w:t>
      </w:r>
      <w:r w:rsidRPr="002614E7">
        <w:rPr>
          <w:rFonts w:hint="cs"/>
          <w:i/>
          <w:sz w:val="23"/>
          <w:szCs w:val="23"/>
          <w:rtl/>
        </w:rPr>
        <w:softHyphen/>
        <w:t>ی شناخته شده برای عموم انتخاب شود. پیامدهای اقتصادی این فروض را بر مبنای شکلی از مدل کینزین جدید توضیح داده و اثرات آن را برای تورم و تولید مورد بررسی قرار دادیم.</w:t>
      </w:r>
    </w:p>
    <w:p w14:paraId="7185DEE6"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مهمترین نتایج به دست آمده آن است که هدف از ‌سیاست اقتصادی که به وسیله</w:t>
      </w:r>
      <w:r w:rsidRPr="002614E7">
        <w:rPr>
          <w:rFonts w:hint="cs"/>
          <w:i/>
          <w:sz w:val="23"/>
          <w:szCs w:val="23"/>
          <w:rtl/>
        </w:rPr>
        <w:softHyphen/>
        <w:t>ی تورم، تولید و رفاه اجتماعی تبیین می‌شوند، به بهترین شکل از طریق بانک مرکزی که یک قاعده را به جای سیاست صلاحدیدی بکار گیرد، و فقط به هدف‌‌گذاری تورم و نه تولید متمرکز شود به دست می‌آید. تحت شرایط سیاست پولی صلاحدیدی، به نظر می‌رسد مقدار کمی و یا هیچ منفعتی از اضافه نمودن تولید به تابع هدف‌ بانک مرکزی به دست نمی</w:t>
      </w:r>
      <w:r w:rsidRPr="002614E7">
        <w:rPr>
          <w:rFonts w:hint="cs"/>
          <w:i/>
          <w:sz w:val="23"/>
          <w:szCs w:val="23"/>
          <w:rtl/>
        </w:rPr>
        <w:softHyphen/>
        <w:t>آید، و سعی و تلاش جهت دسترسی سطحی از تولید که بیش از سطح تولید طبیعی است (تولید بیش از تولید در اشتغال کامل و یا تولید تعادلی بلندمدت)، بی فایده است. درحالی</w:t>
      </w:r>
      <w:r w:rsidRPr="002614E7">
        <w:rPr>
          <w:rFonts w:hint="cs"/>
          <w:i/>
          <w:sz w:val="23"/>
          <w:szCs w:val="23"/>
          <w:rtl/>
        </w:rPr>
        <w:softHyphen/>
        <w:t>که به وسیله پیروی از یک قاعده ممکن است به طور متوسط به هدف‌ تورم و نگهداری تولید در سطح طبیعی آن رسید.</w:t>
      </w:r>
    </w:p>
    <w:p w14:paraId="37C5094D"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در این فصل امکان انتخاب یک قاعده در مسیر بهینه، یعنی راهی که رفاه اجتماعی را حداکثر می‌کند بررسی کرده و به این نتیجه رسیدیم که این موضوع مستلزم ارائه وزن بسیار زیاد به تورم در یک قاعده است و باعث می‌شود نرخ بهره به شدت نوسان</w:t>
      </w:r>
      <w:r w:rsidRPr="002614E7">
        <w:rPr>
          <w:rFonts w:hint="cs"/>
          <w:i/>
          <w:sz w:val="23"/>
          <w:szCs w:val="23"/>
          <w:rtl/>
        </w:rPr>
        <w:softHyphen/>
        <w:t xml:space="preserve">پذیر شود. هموار نمودن نرخ بهره باعث اجتناب </w:t>
      </w:r>
      <w:r w:rsidRPr="002614E7">
        <w:rPr>
          <w:rFonts w:hint="cs"/>
          <w:i/>
          <w:sz w:val="23"/>
          <w:szCs w:val="23"/>
          <w:rtl/>
        </w:rPr>
        <w:lastRenderedPageBreak/>
        <w:t>از این موضوع خواهد شد و ممکن است با اضافه نمودن سطح و تغییرات نرخ بهره در تابع هدف‌ بانضمام تورم اجرایی شود.</w:t>
      </w:r>
    </w:p>
    <w:p w14:paraId="1D02B09B"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سپس تجزیه و تحلیل فوق را در یک اقتصاد باز و با نرخ ارز انعطاف</w:t>
      </w:r>
      <w:r w:rsidRPr="002614E7">
        <w:rPr>
          <w:rFonts w:hint="cs"/>
          <w:i/>
          <w:sz w:val="23"/>
          <w:szCs w:val="23"/>
          <w:rtl/>
        </w:rPr>
        <w:softHyphen/>
        <w:t>پذیر بسط دادیم. تحت شرایط برابری بهره</w:t>
      </w:r>
      <w:r w:rsidRPr="002614E7">
        <w:rPr>
          <w:rFonts w:hint="cs"/>
          <w:i/>
          <w:sz w:val="23"/>
          <w:szCs w:val="23"/>
          <w:rtl/>
        </w:rPr>
        <w:softHyphen/>
        <w:t>ی بدون پوشش، با افزایش در نرخ بهره</w:t>
      </w:r>
      <w:r w:rsidRPr="002614E7">
        <w:rPr>
          <w:rFonts w:hint="cs"/>
          <w:i/>
          <w:sz w:val="23"/>
          <w:szCs w:val="23"/>
          <w:rtl/>
        </w:rPr>
        <w:softHyphen/>
        <w:t>ی داخلی بر قیمت پول داخلی افزوده شده که باعث کاهش رقابت</w:t>
      </w:r>
      <w:r w:rsidRPr="002614E7">
        <w:rPr>
          <w:rFonts w:hint="cs"/>
          <w:i/>
          <w:sz w:val="23"/>
          <w:szCs w:val="23"/>
          <w:rtl/>
        </w:rPr>
        <w:softHyphen/>
        <w:t>پذیری و اثر منفی بر تولید و افزایش نرخ بهره</w:t>
      </w:r>
      <w:r w:rsidRPr="002614E7">
        <w:rPr>
          <w:rFonts w:hint="cs"/>
          <w:i/>
          <w:sz w:val="23"/>
          <w:szCs w:val="23"/>
          <w:rtl/>
        </w:rPr>
        <w:softHyphen/>
        <w:t>ی حقیقی خواهد بود. به عبارت دیگر با نرخ ارز انعطاف</w:t>
      </w:r>
      <w:r w:rsidRPr="002614E7">
        <w:rPr>
          <w:rFonts w:hint="cs"/>
          <w:i/>
          <w:sz w:val="23"/>
          <w:szCs w:val="23"/>
          <w:rtl/>
        </w:rPr>
        <w:softHyphen/>
        <w:t>پذیر، مسیر جدید دیگری در مکانیسم انتقال نرخ بهره به تورم ایجاد خواهد شد. به این نتیجه رسیدیم که تحت شرایط سیاست صلاحدیدی و تعهد به یک قاعده، تورم داخلی عمدتاً به وسیله</w:t>
      </w:r>
      <w:r w:rsidRPr="002614E7">
        <w:rPr>
          <w:rFonts w:hint="cs"/>
          <w:i/>
          <w:sz w:val="23"/>
          <w:szCs w:val="23"/>
          <w:rtl/>
        </w:rPr>
        <w:softHyphen/>
        <w:t>ی تورم خارجی تعیین می‌شود. هر چند با بکارگیری سیاست صلاحدیدی امکان حذف تأثیر تورم خارجی وجود دارد، در حالی</w:t>
      </w:r>
      <w:r w:rsidRPr="002614E7">
        <w:rPr>
          <w:rFonts w:hint="cs"/>
          <w:i/>
          <w:sz w:val="23"/>
          <w:szCs w:val="23"/>
          <w:rtl/>
        </w:rPr>
        <w:softHyphen/>
        <w:t>که تحت شرایط قاعده</w:t>
      </w:r>
      <w:r w:rsidRPr="002614E7">
        <w:rPr>
          <w:rFonts w:hint="cs"/>
          <w:i/>
          <w:sz w:val="23"/>
          <w:szCs w:val="23"/>
          <w:rtl/>
        </w:rPr>
        <w:softHyphen/>
        <w:t>ی تیلور به طور کلی جبران جزئی از تورم خارجی وجود دارد و لذا پیشنهاد می‌شود یا سیاست صلاحدیدی و یا قاعدها</w:t>
      </w:r>
      <w:r w:rsidRPr="002614E7">
        <w:rPr>
          <w:rFonts w:hint="cs"/>
          <w:i/>
          <w:sz w:val="23"/>
          <w:szCs w:val="23"/>
          <w:rtl/>
        </w:rPr>
        <w:softHyphen/>
        <w:t>ی متفاوت از قاعده</w:t>
      </w:r>
      <w:r w:rsidRPr="002614E7">
        <w:rPr>
          <w:rFonts w:hint="cs"/>
          <w:i/>
          <w:sz w:val="23"/>
          <w:szCs w:val="23"/>
          <w:rtl/>
        </w:rPr>
        <w:softHyphen/>
        <w:t>ی تیلور به کار گرفته ‌شود.</w:t>
      </w:r>
    </w:p>
    <w:p w14:paraId="0B3DF7CA"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یک دستاورد و پیامد وجود نرخ ارز اسمی ثابت آن است که تورم در اقتصاد داخلی به تورم کشوری گره می</w:t>
      </w:r>
      <w:r w:rsidRPr="002614E7">
        <w:rPr>
          <w:rFonts w:hint="cs"/>
          <w:i/>
          <w:sz w:val="23"/>
          <w:szCs w:val="23"/>
          <w:rtl/>
        </w:rPr>
        <w:softHyphen/>
        <w:t>خورد که نرخ ارز با آن کشور میخکوب است. قاعده</w:t>
      </w:r>
      <w:r w:rsidRPr="002614E7">
        <w:rPr>
          <w:rFonts w:hint="cs"/>
          <w:i/>
          <w:sz w:val="23"/>
          <w:szCs w:val="23"/>
          <w:rtl/>
        </w:rPr>
        <w:softHyphen/>
        <w:t>ی سیاست پولی داخلی نگهداری توازن نرخ ارز خواهد بود. این موضوع تا حدودی در منطقه</w:t>
      </w:r>
      <w:r w:rsidRPr="002614E7">
        <w:rPr>
          <w:rFonts w:hint="cs"/>
          <w:i/>
          <w:sz w:val="23"/>
          <w:szCs w:val="23"/>
          <w:rtl/>
        </w:rPr>
        <w:softHyphen/>
        <w:t xml:space="preserve">ی اروپا متفاوت است. کشورهای عضو، توازن نرخ ارز ثابت را از طریق یک پول مشترک به دست خواهند آورد. </w:t>
      </w:r>
      <w:r w:rsidRPr="002614E7">
        <w:rPr>
          <w:i/>
          <w:sz w:val="23"/>
          <w:szCs w:val="23"/>
        </w:rPr>
        <w:t>ECB</w:t>
      </w:r>
      <w:r w:rsidRPr="002614E7">
        <w:rPr>
          <w:rFonts w:hint="cs"/>
          <w:i/>
          <w:sz w:val="23"/>
          <w:szCs w:val="23"/>
          <w:rtl/>
        </w:rPr>
        <w:t xml:space="preserve"> نرخ بهره</w:t>
      </w:r>
      <w:r w:rsidRPr="002614E7">
        <w:rPr>
          <w:rFonts w:hint="cs"/>
          <w:i/>
          <w:sz w:val="23"/>
          <w:szCs w:val="23"/>
          <w:rtl/>
        </w:rPr>
        <w:softHyphen/>
        <w:t>ی واقعی را تعیین و برای کل کشورهای عضو به وسیله</w:t>
      </w:r>
      <w:r w:rsidRPr="002614E7">
        <w:rPr>
          <w:rFonts w:hint="cs"/>
          <w:i/>
          <w:sz w:val="23"/>
          <w:szCs w:val="23"/>
          <w:rtl/>
        </w:rPr>
        <w:softHyphen/>
        <w:t>ی هدف‌‌گذاری متوسط نرخ تورم در منطقه</w:t>
      </w:r>
      <w:r w:rsidRPr="002614E7">
        <w:rPr>
          <w:rFonts w:hint="cs"/>
          <w:i/>
          <w:sz w:val="23"/>
          <w:szCs w:val="23"/>
          <w:rtl/>
        </w:rPr>
        <w:softHyphen/>
        <w:t>ی اروپا مشخص می‌کند. نشان داده شد حتی اگر نرخ تورم منطقه اروپا روی هدف ‌باشد، ممکن است نرخ بهره</w:t>
      </w:r>
      <w:r w:rsidRPr="002614E7">
        <w:rPr>
          <w:rFonts w:hint="cs"/>
          <w:i/>
          <w:sz w:val="23"/>
          <w:szCs w:val="23"/>
          <w:rtl/>
        </w:rPr>
        <w:softHyphen/>
        <w:t>ی مشترک برای کشورهای با تورم پایین، بسیار بالا، و برای کشورهای با تورم بالا، بسیار پایین باشد. بدلیل اثرات جبران رقابت</w:t>
      </w:r>
      <w:r w:rsidRPr="002614E7">
        <w:rPr>
          <w:rFonts w:hint="cs"/>
          <w:i/>
          <w:sz w:val="23"/>
          <w:szCs w:val="23"/>
          <w:rtl/>
        </w:rPr>
        <w:softHyphen/>
        <w:t>پذیری نشان دادیم که نرخ تورم کشورهای منفرد بعید است که واگرا شوند، ولی سطح قیمت کشورهای منفرد ممکن است واگرا شوند.</w:t>
      </w:r>
    </w:p>
    <w:p w14:paraId="6357ACD0"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هر چند در این فصل سیاست پولی با توجه به بانک مرکزی مستقل و به کارگیری یک ابزار سیاستی منفرد مثلاً نرخ بهره جهت کنترل تورم مورد توجه بود، ولی باید به خاطر بسپاریم که دیگر راه حل‌های سیاستی نیز ممکن است وجود داشته باشد. همان</w:t>
      </w:r>
      <w:r w:rsidRPr="002614E7">
        <w:rPr>
          <w:rFonts w:hint="cs"/>
          <w:i/>
          <w:sz w:val="23"/>
          <w:szCs w:val="23"/>
          <w:rtl/>
        </w:rPr>
        <w:softHyphen/>
        <w:t>گونه که در کوتاه‌مدت نرخ بهره بر تولید و سیاست مالی بر تورم تأثیر می‌گذارد یک رویکرد یا محدویت کمتر ممکن است ترکیب سیاست پولی و مالی برای دسترسی همزمان به اهداف مهم سیاستی یعنی کنترل تورم و تثبیت تولید باشد. البته در بلندمدت انتظار می‌رود که سیاست پولی هیچ اثری بر تولید نداشته، و با عدم حضور مشارکت پولی، سیاست مالی هیچ اثری بر تورم نخواهد گذاشت.</w:t>
      </w:r>
    </w:p>
    <w:p w14:paraId="358D9CC0" w14:textId="77777777" w:rsidR="00556C10" w:rsidRPr="002614E7" w:rsidRDefault="00556C10" w:rsidP="00556C10">
      <w:pPr>
        <w:tabs>
          <w:tab w:val="right" w:pos="1287"/>
        </w:tabs>
        <w:spacing w:line="216" w:lineRule="auto"/>
        <w:rPr>
          <w:i/>
          <w:sz w:val="23"/>
          <w:szCs w:val="23"/>
          <w:rtl/>
        </w:rPr>
      </w:pPr>
      <w:r w:rsidRPr="002614E7">
        <w:rPr>
          <w:rFonts w:hint="cs"/>
          <w:i/>
          <w:sz w:val="23"/>
          <w:szCs w:val="23"/>
          <w:rtl/>
        </w:rPr>
        <w:t>یکی از دلایل مهم ترجیح وا‌گذاری نرخ‌های بهره برای کنترل تورم از طریق بانک مرکزیِ مستقل آن است که سیاست پولی اعتبار و شفافیت بیشتری داشته و برای عموم قابلیت توضیح بیشتر و نسبت به فشارهای سیاسی کوتاه‌مدت کمتر آشکار و علنی باشد. البته ممکن است قیمتی برای این وظیفه پرداخت شود سیاست ممکن است کمتر موثر باشد، مخصوصاً در کوتاه‌مدت و ممکن است اثرات سرریز ناخواسته در جای دیگر اقتصاد همانند نرخ ارز، تولید و بی</w:t>
      </w:r>
      <w:r w:rsidRPr="002614E7">
        <w:rPr>
          <w:rFonts w:hint="cs"/>
          <w:i/>
          <w:sz w:val="23"/>
          <w:szCs w:val="23"/>
          <w:rtl/>
        </w:rPr>
        <w:softHyphen/>
        <w:t xml:space="preserve">کاری داشته باشد. </w:t>
      </w:r>
    </w:p>
    <w:p w14:paraId="14C34EE4" w14:textId="77777777" w:rsidR="00556C10" w:rsidRPr="002614E7" w:rsidRDefault="00556C10" w:rsidP="00556C10">
      <w:pPr>
        <w:tabs>
          <w:tab w:val="right" w:pos="1287"/>
        </w:tabs>
        <w:spacing w:line="216" w:lineRule="auto"/>
        <w:rPr>
          <w:i/>
          <w:sz w:val="23"/>
          <w:szCs w:val="23"/>
        </w:rPr>
      </w:pPr>
      <w:r w:rsidRPr="002614E7">
        <w:rPr>
          <w:rFonts w:hint="cs"/>
          <w:i/>
          <w:sz w:val="23"/>
          <w:szCs w:val="23"/>
          <w:rtl/>
        </w:rPr>
        <w:lastRenderedPageBreak/>
        <w:t>در مجموع ثابت شده است که تنظیم دقیق سیاست مالی در کوتاه‌مدت مشکل است، زیرا اثر مخارج زمان</w:t>
      </w:r>
      <w:r w:rsidRPr="002614E7">
        <w:rPr>
          <w:rFonts w:hint="cs"/>
          <w:i/>
          <w:sz w:val="23"/>
          <w:szCs w:val="23"/>
          <w:rtl/>
        </w:rPr>
        <w:softHyphen/>
        <w:t>بر است، و احتمالاً در بلند‌مدت از صحنه خارج می‌شود. همچنین به دنبال مباحث مربوط به هموارسازی مالیات در فصل پنجم، تغییرات دائم مالیات به دلیل شکست تصمیمات بخش خصوصی هزینه</w:t>
      </w:r>
      <w:r w:rsidRPr="002614E7">
        <w:rPr>
          <w:rFonts w:hint="cs"/>
          <w:i/>
          <w:sz w:val="23"/>
          <w:szCs w:val="23"/>
          <w:rtl/>
        </w:rPr>
        <w:softHyphen/>
        <w:t>بر است. بنابراین اگر چه در اصل، هدف‌‌گذاری تورم ممکن است بهترین راه برای کنترل تورم نباشد، در عمل راه بسیار درازی است که اثبات شود اثربخش</w:t>
      </w:r>
      <w:r w:rsidRPr="002614E7">
        <w:rPr>
          <w:rFonts w:hint="cs"/>
          <w:i/>
          <w:sz w:val="23"/>
          <w:szCs w:val="23"/>
          <w:rtl/>
        </w:rPr>
        <w:softHyphen/>
        <w:t>ترین سیاست اقتصادی است.</w:t>
      </w:r>
    </w:p>
    <w:p w14:paraId="5F836AC8" w14:textId="5FEAA568" w:rsidR="00556C10" w:rsidRDefault="00556C10" w:rsidP="00556C10">
      <w:pPr>
        <w:spacing w:line="216" w:lineRule="auto"/>
        <w:rPr>
          <w:i/>
          <w:sz w:val="23"/>
          <w:szCs w:val="23"/>
          <w:rtl/>
        </w:rPr>
      </w:pPr>
    </w:p>
    <w:p w14:paraId="47D87BF8" w14:textId="5718B63B" w:rsidR="00556C10" w:rsidRDefault="00556C10" w:rsidP="00556C10">
      <w:pPr>
        <w:spacing w:line="216" w:lineRule="auto"/>
        <w:rPr>
          <w:i/>
          <w:sz w:val="23"/>
          <w:szCs w:val="23"/>
          <w:rtl/>
        </w:rPr>
      </w:pPr>
    </w:p>
    <w:p w14:paraId="6A13C6CE" w14:textId="13BEB0B8" w:rsidR="00556C10" w:rsidRDefault="00556C10" w:rsidP="00556C10">
      <w:pPr>
        <w:spacing w:line="216" w:lineRule="auto"/>
        <w:rPr>
          <w:i/>
          <w:sz w:val="23"/>
          <w:szCs w:val="23"/>
          <w:rtl/>
        </w:rPr>
      </w:pPr>
    </w:p>
    <w:p w14:paraId="158E3B31" w14:textId="0C81910F" w:rsidR="00556C10" w:rsidRDefault="00556C10" w:rsidP="00556C10">
      <w:pPr>
        <w:spacing w:line="216" w:lineRule="auto"/>
        <w:rPr>
          <w:i/>
          <w:sz w:val="23"/>
          <w:szCs w:val="23"/>
          <w:rtl/>
        </w:rPr>
      </w:pPr>
    </w:p>
    <w:p w14:paraId="61A6A026" w14:textId="505AB861" w:rsidR="00556C10" w:rsidRDefault="00556C10" w:rsidP="00556C10">
      <w:pPr>
        <w:spacing w:line="216" w:lineRule="auto"/>
        <w:rPr>
          <w:i/>
          <w:sz w:val="23"/>
          <w:szCs w:val="23"/>
          <w:rtl/>
        </w:rPr>
      </w:pPr>
    </w:p>
    <w:p w14:paraId="436054A1" w14:textId="619B73D6" w:rsidR="00556C10" w:rsidRDefault="00556C10" w:rsidP="00556C10">
      <w:pPr>
        <w:spacing w:line="216" w:lineRule="auto"/>
        <w:rPr>
          <w:i/>
          <w:sz w:val="23"/>
          <w:szCs w:val="23"/>
          <w:rtl/>
        </w:rPr>
      </w:pPr>
    </w:p>
    <w:p w14:paraId="23B7C04C" w14:textId="5B58D822" w:rsidR="00556C10" w:rsidRDefault="00556C10" w:rsidP="00556C10">
      <w:pPr>
        <w:spacing w:line="216" w:lineRule="auto"/>
        <w:rPr>
          <w:i/>
          <w:sz w:val="23"/>
          <w:szCs w:val="23"/>
          <w:rtl/>
        </w:rPr>
      </w:pPr>
    </w:p>
    <w:p w14:paraId="7A6876DA" w14:textId="14A4759F" w:rsidR="00556C10" w:rsidRDefault="00556C10" w:rsidP="00556C10">
      <w:pPr>
        <w:spacing w:line="216" w:lineRule="auto"/>
        <w:rPr>
          <w:i/>
          <w:sz w:val="23"/>
          <w:szCs w:val="23"/>
          <w:rtl/>
        </w:rPr>
      </w:pPr>
    </w:p>
    <w:p w14:paraId="044101F3" w14:textId="4CF468B2" w:rsidR="00556C10" w:rsidRDefault="00556C10" w:rsidP="00556C10">
      <w:pPr>
        <w:spacing w:line="216" w:lineRule="auto"/>
        <w:rPr>
          <w:i/>
          <w:sz w:val="23"/>
          <w:szCs w:val="23"/>
          <w:rtl/>
        </w:rPr>
      </w:pPr>
    </w:p>
    <w:p w14:paraId="57614EF4" w14:textId="4B1EBBC2" w:rsidR="00556C10" w:rsidRDefault="00556C10" w:rsidP="00556C10">
      <w:pPr>
        <w:spacing w:line="216" w:lineRule="auto"/>
        <w:rPr>
          <w:i/>
          <w:sz w:val="23"/>
          <w:szCs w:val="23"/>
          <w:rtl/>
        </w:rPr>
      </w:pPr>
    </w:p>
    <w:p w14:paraId="7515E880" w14:textId="64856D56" w:rsidR="00556C10" w:rsidRDefault="00556C10" w:rsidP="00556C10">
      <w:pPr>
        <w:spacing w:line="216" w:lineRule="auto"/>
        <w:rPr>
          <w:i/>
          <w:sz w:val="23"/>
          <w:szCs w:val="23"/>
          <w:rtl/>
        </w:rPr>
      </w:pPr>
    </w:p>
    <w:p w14:paraId="6DC05960" w14:textId="0731AF9D" w:rsidR="00556C10" w:rsidRDefault="00556C10" w:rsidP="00556C10">
      <w:pPr>
        <w:spacing w:line="216" w:lineRule="auto"/>
        <w:rPr>
          <w:i/>
          <w:sz w:val="23"/>
          <w:szCs w:val="23"/>
          <w:rtl/>
        </w:rPr>
      </w:pPr>
    </w:p>
    <w:p w14:paraId="182AD7B4" w14:textId="3EA1DAAC" w:rsidR="00556C10" w:rsidRDefault="00556C10" w:rsidP="00556C10">
      <w:pPr>
        <w:spacing w:line="216" w:lineRule="auto"/>
        <w:rPr>
          <w:i/>
          <w:sz w:val="23"/>
          <w:szCs w:val="23"/>
          <w:rtl/>
        </w:rPr>
      </w:pPr>
    </w:p>
    <w:p w14:paraId="624EE0DC" w14:textId="071532BD" w:rsidR="00556C10" w:rsidRDefault="00556C10" w:rsidP="00556C10">
      <w:pPr>
        <w:spacing w:line="216" w:lineRule="auto"/>
        <w:rPr>
          <w:i/>
          <w:sz w:val="23"/>
          <w:szCs w:val="23"/>
          <w:rtl/>
        </w:rPr>
      </w:pPr>
    </w:p>
    <w:p w14:paraId="534835D4" w14:textId="1445F690" w:rsidR="00556C10" w:rsidRDefault="00556C10" w:rsidP="00556C10">
      <w:pPr>
        <w:spacing w:line="216" w:lineRule="auto"/>
        <w:rPr>
          <w:i/>
          <w:sz w:val="23"/>
          <w:szCs w:val="23"/>
          <w:rtl/>
        </w:rPr>
      </w:pPr>
    </w:p>
    <w:p w14:paraId="5B109F0B" w14:textId="27B253B2" w:rsidR="00556C10" w:rsidRDefault="00556C10" w:rsidP="00556C10">
      <w:pPr>
        <w:spacing w:line="216" w:lineRule="auto"/>
        <w:rPr>
          <w:i/>
          <w:sz w:val="23"/>
          <w:szCs w:val="23"/>
          <w:rtl/>
        </w:rPr>
      </w:pPr>
    </w:p>
    <w:p w14:paraId="7F41A050" w14:textId="13B0164D" w:rsidR="00556C10" w:rsidRDefault="00556C10" w:rsidP="00556C10">
      <w:pPr>
        <w:spacing w:line="216" w:lineRule="auto"/>
        <w:rPr>
          <w:i/>
          <w:sz w:val="23"/>
          <w:szCs w:val="23"/>
          <w:rtl/>
        </w:rPr>
      </w:pPr>
    </w:p>
    <w:p w14:paraId="6554378D" w14:textId="6AE4032C" w:rsidR="00556C10" w:rsidRDefault="00556C10" w:rsidP="00556C10">
      <w:pPr>
        <w:spacing w:line="216" w:lineRule="auto"/>
        <w:rPr>
          <w:i/>
          <w:sz w:val="23"/>
          <w:szCs w:val="23"/>
          <w:rtl/>
        </w:rPr>
      </w:pPr>
    </w:p>
    <w:p w14:paraId="485A9EDA" w14:textId="578CF260" w:rsidR="00556C10" w:rsidRDefault="00556C10" w:rsidP="00556C10">
      <w:pPr>
        <w:spacing w:line="216" w:lineRule="auto"/>
        <w:rPr>
          <w:i/>
          <w:sz w:val="23"/>
          <w:szCs w:val="23"/>
          <w:rtl/>
        </w:rPr>
      </w:pPr>
    </w:p>
    <w:p w14:paraId="553B3D44" w14:textId="5CAA4539" w:rsidR="00556C10" w:rsidRDefault="00556C10" w:rsidP="00556C10">
      <w:pPr>
        <w:spacing w:line="216" w:lineRule="auto"/>
        <w:rPr>
          <w:i/>
          <w:sz w:val="23"/>
          <w:szCs w:val="23"/>
          <w:rtl/>
        </w:rPr>
      </w:pPr>
    </w:p>
    <w:p w14:paraId="0B2E8EA7" w14:textId="14234236" w:rsidR="00556C10" w:rsidRDefault="00556C10" w:rsidP="00556C10">
      <w:pPr>
        <w:spacing w:line="216" w:lineRule="auto"/>
        <w:rPr>
          <w:i/>
          <w:sz w:val="23"/>
          <w:szCs w:val="23"/>
          <w:rtl/>
        </w:rPr>
      </w:pPr>
    </w:p>
    <w:p w14:paraId="27AFC52B" w14:textId="1D2BDB44" w:rsidR="00556C10" w:rsidRDefault="00556C10" w:rsidP="00556C10">
      <w:pPr>
        <w:spacing w:line="216" w:lineRule="auto"/>
        <w:rPr>
          <w:i/>
          <w:sz w:val="23"/>
          <w:szCs w:val="23"/>
          <w:rtl/>
        </w:rPr>
      </w:pPr>
    </w:p>
    <w:p w14:paraId="36876E9C" w14:textId="04AB2547" w:rsidR="00556C10" w:rsidRDefault="00556C10" w:rsidP="00556C10">
      <w:pPr>
        <w:spacing w:line="216" w:lineRule="auto"/>
        <w:rPr>
          <w:i/>
          <w:sz w:val="23"/>
          <w:szCs w:val="23"/>
          <w:rtl/>
        </w:rPr>
      </w:pPr>
    </w:p>
    <w:p w14:paraId="54CB3461" w14:textId="77777777" w:rsidR="00556C10" w:rsidRPr="00551F33" w:rsidRDefault="00556C10" w:rsidP="00556C10">
      <w:pPr>
        <w:pStyle w:val="a3"/>
        <w:spacing w:before="1080" w:after="720" w:line="216" w:lineRule="auto"/>
        <w:ind w:left="0"/>
        <w:rPr>
          <w:rFonts w:cs="B Nazanin"/>
          <w:b w:val="0"/>
          <w:i/>
          <w:sz w:val="40"/>
          <w:szCs w:val="40"/>
          <w:rtl/>
        </w:rPr>
      </w:pPr>
      <w:r w:rsidRPr="00551F33">
        <w:rPr>
          <w:rFonts w:cs="B Nazanin" w:hint="cs"/>
          <w:b w:val="0"/>
          <w:i/>
          <w:color w:val="auto"/>
          <w:sz w:val="40"/>
          <w:szCs w:val="40"/>
          <w:rtl/>
        </w:rPr>
        <w:t>فصل پانزدهم</w:t>
      </w:r>
    </w:p>
    <w:p w14:paraId="12A55AA3" w14:textId="77777777" w:rsidR="00556C10" w:rsidRPr="00551F33" w:rsidRDefault="00556C10" w:rsidP="00556C10">
      <w:pPr>
        <w:pStyle w:val="a4"/>
        <w:pBdr>
          <w:top w:val="none" w:sz="0" w:space="0" w:color="auto"/>
          <w:bottom w:val="none" w:sz="0" w:space="0" w:color="auto"/>
        </w:pBdr>
        <w:shd w:val="clear" w:color="auto" w:fill="auto"/>
        <w:spacing w:after="0" w:line="216" w:lineRule="auto"/>
        <w:rPr>
          <w:rFonts w:ascii="Times New Roman" w:eastAsia="Yu Gothic UI" w:hAnsi="Times New Roman" w:cs="B Nazanin"/>
          <w:b w:val="0"/>
          <w:i/>
          <w:sz w:val="40"/>
          <w:szCs w:val="40"/>
          <w14:glow w14:rad="0">
            <w14:srgbClr w14:val="000000">
              <w14:alpha w14:val="91000"/>
            </w14:srgbClr>
          </w14:glow>
          <w14:shadow w14:blurRad="63500" w14:dist="0" w14:dir="0" w14:sx="1000" w14:sy="1000" w14:kx="0" w14:ky="0" w14:algn="ctr">
            <w14:srgbClr w14:val="000000">
              <w14:alpha w14:val="16000"/>
            </w14:srgbClr>
          </w14:shadow>
        </w:rPr>
      </w:pPr>
      <w:r w:rsidRPr="00551F33">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lastRenderedPageBreak/>
        <w:t>بانک</w:t>
      </w:r>
      <w:r w:rsidRPr="00551F33">
        <w:rPr>
          <w:rFonts w:ascii="Times New Roman" w:eastAsia="Yu Gothic UI" w:hAnsi="Times New Roman" w:cs="B Nazanin"/>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softHyphen/>
      </w:r>
      <w:r w:rsidRPr="00551F33">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t>ها، واسطه</w:t>
      </w:r>
      <w:r w:rsidRPr="00551F33">
        <w:rPr>
          <w:rFonts w:ascii="Times New Roman" w:eastAsia="Yu Gothic UI" w:hAnsi="Times New Roman" w:cs="B Nazanin"/>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softHyphen/>
      </w:r>
      <w:r w:rsidRPr="00551F33">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t>گرهای مالی،</w:t>
      </w:r>
    </w:p>
    <w:p w14:paraId="6C92DA2E" w14:textId="77777777" w:rsidR="00556C10" w:rsidRPr="00551F33" w:rsidRDefault="00556C10" w:rsidP="00556C10">
      <w:pPr>
        <w:pStyle w:val="a4"/>
        <w:pBdr>
          <w:top w:val="none" w:sz="0" w:space="0" w:color="auto"/>
          <w:bottom w:val="none" w:sz="0" w:space="0" w:color="auto"/>
        </w:pBdr>
        <w:shd w:val="clear" w:color="auto" w:fill="auto"/>
        <w:spacing w:after="720" w:line="216" w:lineRule="auto"/>
        <w:rPr>
          <w:rFonts w:ascii="Times New Roman" w:hAnsi="Times New Roman" w:cs="B Nazanin"/>
          <w:b w:val="0"/>
          <w:i/>
          <w:sz w:val="40"/>
          <w:szCs w:val="40"/>
        </w:rPr>
      </w:pPr>
      <w:r w:rsidRPr="00551F33">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t>و سیاست</w:t>
      </w:r>
      <w:r w:rsidRPr="00551F33">
        <w:rPr>
          <w:rFonts w:ascii="Times New Roman" w:eastAsia="Yu Gothic UI" w:hAnsi="Times New Roman" w:cs="B Nazanin"/>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softHyphen/>
      </w:r>
      <w:r w:rsidRPr="00551F33">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t>های پولی غیرسنتی</w:t>
      </w:r>
    </w:p>
    <w:p w14:paraId="58C9150A" w14:textId="77777777" w:rsidR="00556C10" w:rsidRPr="00551F33" w:rsidRDefault="00556C10" w:rsidP="00556C10">
      <w:pPr>
        <w:pStyle w:val="Heading1"/>
        <w:spacing w:before="0" w:after="0" w:line="216" w:lineRule="auto"/>
        <w:rPr>
          <w:rFonts w:ascii="Times New Roman" w:hAnsi="Times New Roman" w:cs="B Nazanin"/>
          <w:b w:val="0"/>
          <w:i/>
          <w:sz w:val="23"/>
          <w:szCs w:val="23"/>
        </w:rPr>
      </w:pPr>
      <w:r w:rsidRPr="00551F33">
        <w:rPr>
          <w:rFonts w:ascii="Times New Roman" w:hAnsi="Times New Roman" w:cs="B Nazanin" w:hint="cs"/>
          <w:b w:val="0"/>
          <w:i/>
          <w:sz w:val="23"/>
          <w:szCs w:val="23"/>
          <w:rtl/>
        </w:rPr>
        <w:t>۱۵. ۱ مقدمه</w:t>
      </w:r>
    </w:p>
    <w:p w14:paraId="35390410" w14:textId="77777777" w:rsidR="00556C10" w:rsidRPr="00551F33" w:rsidRDefault="00556C10" w:rsidP="00556C10">
      <w:pPr>
        <w:spacing w:line="216" w:lineRule="auto"/>
        <w:rPr>
          <w:i/>
          <w:sz w:val="23"/>
          <w:szCs w:val="23"/>
          <w:rtl/>
        </w:rPr>
      </w:pPr>
      <w:r w:rsidRPr="00551F33">
        <w:rPr>
          <w:rFonts w:hint="cs"/>
          <w:i/>
          <w:sz w:val="23"/>
          <w:szCs w:val="23"/>
          <w:rtl/>
        </w:rPr>
        <w:t>در فصول قبل بر پیوند و رابطه</w:t>
      </w:r>
      <w:r w:rsidRPr="00551F33">
        <w:rPr>
          <w:rFonts w:hint="cs"/>
          <w:i/>
          <w:sz w:val="23"/>
          <w:szCs w:val="23"/>
          <w:rtl/>
        </w:rPr>
        <w:softHyphen/>
        <w:t>ی نزدیکِ بین اقتصاد کلان و بخش مالی که مستلزم قیمت</w:t>
      </w:r>
      <w:r w:rsidRPr="00551F33">
        <w:rPr>
          <w:rFonts w:hint="cs"/>
          <w:i/>
          <w:sz w:val="23"/>
          <w:szCs w:val="23"/>
          <w:rtl/>
        </w:rPr>
        <w:softHyphen/>
        <w:t>گذاری دارایی‌های مالی و فیزیکی بود، تأکید کردیم. در آن بخش توضیح داده شد که پاداش ریسک عمدتاً بواسطه‌ی اثر شوک‌های اقتصاد کلان بر قیمت‌ دارایی</w:t>
      </w:r>
      <w:r w:rsidRPr="00551F33">
        <w:rPr>
          <w:rFonts w:hint="cs"/>
          <w:i/>
          <w:sz w:val="23"/>
          <w:szCs w:val="23"/>
          <w:rtl/>
        </w:rPr>
        <w:softHyphen/>
        <w:t>ها بدست می‌آید. بحران مالی اخیر این رابطه</w:t>
      </w:r>
      <w:r w:rsidRPr="00551F33">
        <w:rPr>
          <w:rFonts w:hint="cs"/>
          <w:i/>
          <w:sz w:val="23"/>
          <w:szCs w:val="23"/>
          <w:rtl/>
        </w:rPr>
        <w:softHyphen/>
        <w:t>ی منطقی را قوّت بیشتری بخشید. شوک‌های اقتصاد کلانِ ناشی از بازار مستغلات، و همچنین شکست و قصور در قیمت</w:t>
      </w:r>
      <w:r w:rsidRPr="00551F33">
        <w:rPr>
          <w:rFonts w:hint="cs"/>
          <w:i/>
          <w:sz w:val="23"/>
          <w:szCs w:val="23"/>
          <w:rtl/>
        </w:rPr>
        <w:softHyphen/>
        <w:t>گذاری سهام متکی بر وثیقه،</w:t>
      </w:r>
      <w:r w:rsidRPr="00551F33">
        <w:rPr>
          <w:rStyle w:val="FootnoteReference"/>
          <w:i/>
          <w:sz w:val="23"/>
          <w:szCs w:val="23"/>
          <w:rtl/>
        </w:rPr>
        <w:footnoteReference w:id="357"/>
      </w:r>
      <w:r w:rsidRPr="00551F33">
        <w:rPr>
          <w:rFonts w:hint="cs"/>
          <w:i/>
          <w:sz w:val="23"/>
          <w:szCs w:val="23"/>
          <w:rtl/>
        </w:rPr>
        <w:t xml:space="preserve"> بسیاری از بانک‌های بزرگ جهان را به سمت ورشکستگی و اعسار نزدیک کرد، مالیه‌ی عمومی را بخاطر سعی و تلاش دولت‌ها جهت نجات بانک‌ها تضعیف نمود، و یکی از بزرگ</w:t>
      </w:r>
      <w:r w:rsidRPr="00551F33">
        <w:rPr>
          <w:rFonts w:hint="cs"/>
          <w:i/>
          <w:sz w:val="23"/>
          <w:szCs w:val="23"/>
          <w:rtl/>
        </w:rPr>
        <w:softHyphen/>
        <w:t>ترین بانک‌های سرمایه</w:t>
      </w:r>
      <w:r w:rsidRPr="00551F33">
        <w:rPr>
          <w:rFonts w:hint="cs"/>
          <w:i/>
          <w:sz w:val="23"/>
          <w:szCs w:val="23"/>
          <w:rtl/>
        </w:rPr>
        <w:softHyphen/>
        <w:t xml:space="preserve">گذاری دنیا بنام برادرن لمان را ورشکست و رکود را در بسیاری از جوامع توسعه یافته تحمیل کرد، و به تبع آن مشکلات بعدی سیستم مالی حاصل از استقراض زیاد دولت را ایجاد و تهدیدی در قصور و نکول در پرداخت بدهی‌های دولتی </w:t>
      </w:r>
      <w:r w:rsidRPr="00551F33">
        <w:rPr>
          <w:rFonts w:hint="cs"/>
          <w:i/>
          <w:sz w:val="23"/>
          <w:szCs w:val="23"/>
          <w:rtl/>
        </w:rPr>
        <w:softHyphen/>
        <w:t xml:space="preserve">شد. </w:t>
      </w:r>
    </w:p>
    <w:p w14:paraId="675DB513" w14:textId="77777777" w:rsidR="00556C10" w:rsidRPr="00551F33" w:rsidRDefault="00556C10" w:rsidP="00556C10">
      <w:pPr>
        <w:spacing w:line="216" w:lineRule="auto"/>
        <w:rPr>
          <w:i/>
          <w:sz w:val="23"/>
          <w:szCs w:val="23"/>
          <w:rtl/>
        </w:rPr>
      </w:pPr>
      <w:r w:rsidRPr="00551F33">
        <w:rPr>
          <w:rFonts w:hint="cs"/>
          <w:i/>
          <w:sz w:val="23"/>
          <w:szCs w:val="23"/>
          <w:rtl/>
        </w:rPr>
        <w:t>بحران مالی اخیر، همچنین نیاز به بازنگریِ برخی جنبه‌های تئوریک سیاست‌های اقتصاد کلان را آشکار ساخت. جهت برجسته نمودن اهمیت مباحث مالی در اقتصاد کلان، این بحران توجه به عدم حضور بخش بانکی در بسیاری از مدل‌های اقتصاد کلان را گوشزد نمود و نشان داد که سیاست پولی فقط شامل تعیین نرخ بهره</w:t>
      </w:r>
      <w:r w:rsidRPr="00551F33">
        <w:rPr>
          <w:rFonts w:hint="cs"/>
          <w:i/>
          <w:sz w:val="23"/>
          <w:szCs w:val="23"/>
          <w:rtl/>
        </w:rPr>
        <w:softHyphen/>
        <w:t>ی رسمی نیست، و بانک مرکزی می‌بایست مسئول تأمین نقدینگی سیستم بانکی نیز باشد. دولت‌ها حتی مالیات دهندگان را ملزم به ضمانت بانک‌ها و جلوگیری از ورشکستگی آن</w:t>
      </w:r>
      <w:r w:rsidRPr="00551F33">
        <w:rPr>
          <w:rFonts w:hint="cs"/>
          <w:i/>
          <w:sz w:val="23"/>
          <w:szCs w:val="23"/>
          <w:rtl/>
        </w:rPr>
        <w:softHyphen/>
        <w:t>ها از طریق بانک‌های مرکزی، و اقدام به خرید و نگهداری اوراق قرضه‌ی شرکتی کرده تا آن</w:t>
      </w:r>
      <w:r w:rsidRPr="00551F33">
        <w:rPr>
          <w:rFonts w:hint="cs"/>
          <w:i/>
          <w:sz w:val="23"/>
          <w:szCs w:val="23"/>
          <w:rtl/>
        </w:rPr>
        <w:softHyphen/>
        <w:t xml:space="preserve">ها را تأمین مالی کنند. </w:t>
      </w:r>
    </w:p>
    <w:p w14:paraId="10F87CE3" w14:textId="77777777" w:rsidR="00556C10" w:rsidRPr="00551F33" w:rsidRDefault="00556C10" w:rsidP="00556C10">
      <w:pPr>
        <w:spacing w:line="216" w:lineRule="auto"/>
        <w:rPr>
          <w:i/>
          <w:sz w:val="23"/>
          <w:szCs w:val="23"/>
          <w:rtl/>
        </w:rPr>
      </w:pPr>
      <w:r w:rsidRPr="00551F33">
        <w:rPr>
          <w:rFonts w:hint="cs"/>
          <w:i/>
          <w:sz w:val="23"/>
          <w:szCs w:val="23"/>
          <w:rtl/>
        </w:rPr>
        <w:t>در فصل هشتم، به اختصار استفاده از اعتبار را مورد بررسی قرار دادیم. نظریه مالی را در فصل یازدهم معرفی نموده، و در فصل دوازدهم نشان داده شد که چگونه این نظریه در قیمت</w:t>
      </w:r>
      <w:r w:rsidRPr="00551F33">
        <w:rPr>
          <w:rFonts w:hint="cs"/>
          <w:i/>
          <w:sz w:val="23"/>
          <w:szCs w:val="23"/>
          <w:rtl/>
        </w:rPr>
        <w:softHyphen/>
        <w:t>گذاری برخی دارایی‌های مالی همانند سهام، اوراق قرضه و ارز تعمیم داده می</w:t>
      </w:r>
      <w:r w:rsidRPr="00551F33">
        <w:rPr>
          <w:rFonts w:hint="cs"/>
          <w:i/>
          <w:sz w:val="23"/>
          <w:szCs w:val="23"/>
          <w:rtl/>
        </w:rPr>
        <w:softHyphen/>
        <w:t>شود. در این فصل، بسیاری از موضوعات برخاسته از بحران مالی را با بسط و گسترش مباحث خود در خصوص روابط اقتصاد کلان و مالیه مورد ملاحظه قرار خواهیم داد. برخی از ناکارآمدی‌ها و نقایص بازار مالی همانند قیود تأمین اعتبار بخاطر محدودیت استقراض، نکول و یا قصور در باز</w:t>
      </w:r>
      <w:r w:rsidRPr="00551F33">
        <w:rPr>
          <w:rFonts w:hint="cs"/>
          <w:i/>
          <w:sz w:val="23"/>
          <w:szCs w:val="23"/>
          <w:rtl/>
        </w:rPr>
        <w:softHyphen/>
        <w:t>پرداخت بدهی و اطلاعات ناقص را بررسی خواهیم کرد. نقش و وظیفه‌ی بانک‌ها در واسطه</w:t>
      </w:r>
      <w:r w:rsidRPr="00551F33">
        <w:rPr>
          <w:rFonts w:hint="cs"/>
          <w:i/>
          <w:sz w:val="23"/>
          <w:szCs w:val="23"/>
          <w:rtl/>
        </w:rPr>
        <w:softHyphen/>
        <w:t>گری مالی و نقش بانک مرکزی در تأمین نقدینگی بانک‌ها را در شرایط بحران مالی مورد بررسی قرار خواهیم داد. سپس چگونگی الحاق و یکپارچه</w:t>
      </w:r>
      <w:r w:rsidRPr="00551F33">
        <w:rPr>
          <w:rFonts w:hint="cs"/>
          <w:i/>
          <w:sz w:val="23"/>
          <w:szCs w:val="23"/>
          <w:rtl/>
        </w:rPr>
        <w:softHyphen/>
        <w:t xml:space="preserve">سازی </w:t>
      </w:r>
      <w:r w:rsidRPr="00551F33">
        <w:rPr>
          <w:rFonts w:hint="cs"/>
          <w:i/>
          <w:sz w:val="23"/>
          <w:szCs w:val="23"/>
          <w:rtl/>
        </w:rPr>
        <w:lastRenderedPageBreak/>
        <w:t>ریسک قصور و نکولِ بازپرداخت در مدل‌های تعادل عمومی پویای تصادفی، و همچنین تعیین قیمت آن</w:t>
      </w:r>
      <w:r w:rsidRPr="00551F33">
        <w:rPr>
          <w:rFonts w:hint="cs"/>
          <w:i/>
          <w:sz w:val="23"/>
          <w:szCs w:val="23"/>
          <w:rtl/>
        </w:rPr>
        <w:softHyphen/>
        <w:t>ها را مورد توجه قرار خواهیم داد.</w:t>
      </w:r>
    </w:p>
    <w:p w14:paraId="27DBC1EB" w14:textId="77777777" w:rsidR="00556C10" w:rsidRPr="00551F33" w:rsidRDefault="00556C10" w:rsidP="00556C10">
      <w:pPr>
        <w:spacing w:line="216" w:lineRule="auto"/>
        <w:rPr>
          <w:i/>
          <w:sz w:val="23"/>
          <w:szCs w:val="23"/>
          <w:rtl/>
        </w:rPr>
      </w:pPr>
    </w:p>
    <w:p w14:paraId="34AB29B7" w14:textId="77777777" w:rsidR="00556C10" w:rsidRPr="00551F33" w:rsidRDefault="00556C10" w:rsidP="00556C10">
      <w:pPr>
        <w:pStyle w:val="Heading1"/>
        <w:spacing w:before="0" w:line="216" w:lineRule="auto"/>
        <w:rPr>
          <w:rFonts w:ascii="Times New Roman" w:hAnsi="Times New Roman" w:cs="B Nazanin"/>
          <w:b w:val="0"/>
          <w:i/>
          <w:sz w:val="23"/>
          <w:szCs w:val="23"/>
          <w:rtl/>
        </w:rPr>
      </w:pPr>
      <w:r w:rsidRPr="00551F33">
        <w:rPr>
          <w:rFonts w:ascii="Times New Roman" w:hAnsi="Times New Roman" w:cs="B Nazanin" w:hint="cs"/>
          <w:b w:val="0"/>
          <w:i/>
          <w:sz w:val="23"/>
          <w:szCs w:val="23"/>
          <w:rtl/>
        </w:rPr>
        <w:t>۲.۱۵ درس‌هایی از بحران مالی</w:t>
      </w:r>
    </w:p>
    <w:p w14:paraId="256C270D" w14:textId="77777777" w:rsidR="00556C10" w:rsidRPr="00551F33" w:rsidRDefault="00556C10" w:rsidP="00556C10">
      <w:pPr>
        <w:spacing w:line="216" w:lineRule="auto"/>
        <w:rPr>
          <w:i/>
          <w:sz w:val="23"/>
          <w:szCs w:val="23"/>
          <w:rtl/>
        </w:rPr>
      </w:pPr>
      <w:r w:rsidRPr="00551F33">
        <w:rPr>
          <w:rFonts w:hint="cs"/>
          <w:i/>
          <w:sz w:val="23"/>
          <w:szCs w:val="23"/>
          <w:rtl/>
        </w:rPr>
        <w:t xml:space="preserve"> ارتباط بین بخش مالی و اقتصاد کلان از طریق مسیری  که در آن بحران مالی و اقتصاد مرتبط می</w:t>
      </w:r>
      <w:r w:rsidRPr="00551F33">
        <w:rPr>
          <w:i/>
          <w:sz w:val="23"/>
          <w:szCs w:val="23"/>
          <w:rtl/>
        </w:rPr>
        <w:softHyphen/>
      </w:r>
      <w:r w:rsidRPr="00551F33">
        <w:rPr>
          <w:rFonts w:hint="cs"/>
          <w:i/>
          <w:sz w:val="23"/>
          <w:szCs w:val="23"/>
          <w:rtl/>
        </w:rPr>
        <w:t>شوند آشکار خواهد شد. قیمت</w:t>
      </w:r>
      <w:r w:rsidRPr="00551F33">
        <w:rPr>
          <w:rFonts w:hint="cs"/>
          <w:i/>
          <w:sz w:val="23"/>
          <w:szCs w:val="23"/>
          <w:rtl/>
        </w:rPr>
        <w:softHyphen/>
        <w:t>گذاری دارایی‌ها مستلزم شکل</w:t>
      </w:r>
      <w:r w:rsidRPr="00551F33">
        <w:rPr>
          <w:rFonts w:hint="cs"/>
          <w:i/>
          <w:sz w:val="23"/>
          <w:szCs w:val="23"/>
          <w:rtl/>
        </w:rPr>
        <w:softHyphen/>
        <w:t>گیری انتظارات در باره</w:t>
      </w:r>
      <w:r w:rsidRPr="00551F33">
        <w:rPr>
          <w:i/>
          <w:sz w:val="23"/>
          <w:szCs w:val="23"/>
          <w:rtl/>
        </w:rPr>
        <w:softHyphen/>
      </w:r>
      <w:r w:rsidRPr="00551F33">
        <w:rPr>
          <w:rFonts w:hint="cs"/>
          <w:i/>
          <w:sz w:val="23"/>
          <w:szCs w:val="23"/>
          <w:rtl/>
        </w:rPr>
        <w:t>ی آینده است. اگر پیش</w:t>
      </w:r>
      <w:r w:rsidRPr="00551F33">
        <w:rPr>
          <w:rFonts w:hint="cs"/>
          <w:i/>
          <w:sz w:val="23"/>
          <w:szCs w:val="23"/>
          <w:rtl/>
        </w:rPr>
        <w:softHyphen/>
        <w:t>بینی‌ها با نااطمینانی و عدم قطعیت همراه باشند، آنگاه این دارایی</w:t>
      </w:r>
      <w:r w:rsidRPr="00551F33">
        <w:rPr>
          <w:i/>
          <w:sz w:val="23"/>
          <w:szCs w:val="23"/>
          <w:rtl/>
        </w:rPr>
        <w:softHyphen/>
      </w:r>
      <w:r w:rsidRPr="00551F33">
        <w:rPr>
          <w:rFonts w:hint="cs"/>
          <w:i/>
          <w:sz w:val="23"/>
          <w:szCs w:val="23"/>
          <w:rtl/>
        </w:rPr>
        <w:t>ها نیز توأم با ریسک خواهند بود. با فرض ریسک</w:t>
      </w:r>
      <w:r w:rsidRPr="00551F33">
        <w:rPr>
          <w:rFonts w:hint="cs"/>
          <w:i/>
          <w:sz w:val="23"/>
          <w:szCs w:val="23"/>
          <w:rtl/>
        </w:rPr>
        <w:softHyphen/>
        <w:t>گریزی سرمایه</w:t>
      </w:r>
      <w:r w:rsidRPr="00551F33">
        <w:rPr>
          <w:rFonts w:hint="cs"/>
          <w:i/>
          <w:sz w:val="23"/>
          <w:szCs w:val="23"/>
          <w:rtl/>
        </w:rPr>
        <w:softHyphen/>
        <w:t>گذاران، در قیمت</w:t>
      </w:r>
      <w:r w:rsidRPr="00551F33">
        <w:rPr>
          <w:rFonts w:hint="cs"/>
          <w:i/>
          <w:sz w:val="23"/>
          <w:szCs w:val="23"/>
          <w:rtl/>
        </w:rPr>
        <w:softHyphen/>
        <w:t>گذاری دارایی‌ها پاداش ریسک را نیز باید لحاظ کرد. بحران مالی اخیر عمدتاً به دلیل قصور بخش مالی در</w:t>
      </w:r>
      <w:r w:rsidRPr="00551F33">
        <w:rPr>
          <w:i/>
          <w:sz w:val="23"/>
          <w:szCs w:val="23"/>
        </w:rPr>
        <w:t xml:space="preserve"> </w:t>
      </w:r>
      <w:r w:rsidRPr="00551F33">
        <w:rPr>
          <w:rFonts w:hint="cs"/>
          <w:i/>
          <w:sz w:val="23"/>
          <w:szCs w:val="23"/>
          <w:rtl/>
        </w:rPr>
        <w:t>ارزیابی درستِ ریسک در بازار مستغلات رخ داد. بسیاری از بانک</w:t>
      </w:r>
      <w:r w:rsidRPr="00551F33">
        <w:rPr>
          <w:rFonts w:hint="cs"/>
          <w:i/>
          <w:sz w:val="23"/>
          <w:szCs w:val="23"/>
          <w:rtl/>
        </w:rPr>
        <w:softHyphen/>
        <w:t>ها، که عمده</w:t>
      </w:r>
      <w:r w:rsidRPr="00551F33">
        <w:rPr>
          <w:i/>
          <w:sz w:val="23"/>
          <w:szCs w:val="23"/>
          <w:rtl/>
        </w:rPr>
        <w:softHyphen/>
      </w:r>
      <w:r w:rsidRPr="00551F33">
        <w:rPr>
          <w:rFonts w:hint="cs"/>
          <w:i/>
          <w:sz w:val="23"/>
          <w:szCs w:val="23"/>
          <w:rtl/>
        </w:rPr>
        <w:t>ترین وام</w:t>
      </w:r>
      <w:r w:rsidRPr="00551F33">
        <w:rPr>
          <w:i/>
          <w:sz w:val="23"/>
          <w:szCs w:val="23"/>
          <w:rtl/>
        </w:rPr>
        <w:softHyphen/>
      </w:r>
      <w:r w:rsidRPr="00551F33">
        <w:rPr>
          <w:rFonts w:hint="cs"/>
          <w:i/>
          <w:sz w:val="23"/>
          <w:szCs w:val="23"/>
          <w:rtl/>
        </w:rPr>
        <w:t>دهندگان مبتنی بر وثیقه بودند، متوجه شدند که ارزش این وثیقه</w:t>
      </w:r>
      <w:r w:rsidRPr="00551F33">
        <w:rPr>
          <w:i/>
          <w:sz w:val="23"/>
          <w:szCs w:val="23"/>
          <w:rtl/>
        </w:rPr>
        <w:softHyphen/>
      </w:r>
      <w:r w:rsidRPr="00551F33">
        <w:rPr>
          <w:rFonts w:hint="cs"/>
          <w:i/>
          <w:sz w:val="23"/>
          <w:szCs w:val="23"/>
          <w:rtl/>
        </w:rPr>
        <w:t>ها کم</w:t>
      </w:r>
      <w:r w:rsidRPr="00551F33">
        <w:rPr>
          <w:i/>
          <w:sz w:val="23"/>
          <w:szCs w:val="23"/>
          <w:rtl/>
        </w:rPr>
        <w:softHyphen/>
      </w:r>
      <w:r w:rsidRPr="00551F33">
        <w:rPr>
          <w:rFonts w:hint="cs"/>
          <w:i/>
          <w:sz w:val="23"/>
          <w:szCs w:val="23"/>
          <w:rtl/>
        </w:rPr>
        <w:t>تر از وام</w:t>
      </w:r>
      <w:r w:rsidRPr="00551F33">
        <w:rPr>
          <w:i/>
          <w:sz w:val="23"/>
          <w:szCs w:val="23"/>
          <w:rtl/>
        </w:rPr>
        <w:softHyphen/>
      </w:r>
      <w:r w:rsidRPr="00551F33">
        <w:rPr>
          <w:rFonts w:hint="cs"/>
          <w:i/>
          <w:sz w:val="23"/>
          <w:szCs w:val="23"/>
          <w:rtl/>
        </w:rPr>
        <w:t>های پرداختی شده است، لذا این بانک</w:t>
      </w:r>
      <w:r w:rsidRPr="00551F33">
        <w:rPr>
          <w:rFonts w:hint="cs"/>
          <w:i/>
          <w:sz w:val="23"/>
          <w:szCs w:val="23"/>
          <w:rtl/>
        </w:rPr>
        <w:softHyphen/>
        <w:t>ها از نظر فنی ورشکسته شدند. نقش اولیه و اساسی بانک</w:t>
      </w:r>
      <w:r w:rsidRPr="00551F33">
        <w:rPr>
          <w:i/>
          <w:sz w:val="23"/>
          <w:szCs w:val="23"/>
        </w:rPr>
        <w:t>‌</w:t>
      </w:r>
      <w:r w:rsidRPr="00551F33">
        <w:rPr>
          <w:rFonts w:hint="cs"/>
          <w:i/>
          <w:sz w:val="23"/>
          <w:szCs w:val="23"/>
          <w:rtl/>
        </w:rPr>
        <w:t>ها عبارت است از تبدیل سررسیدهاست؛ یعنی در بلندمدت وام بدهند و با قرض گرفتن در کوتاه</w:t>
      </w:r>
      <w:r w:rsidRPr="00551F33">
        <w:rPr>
          <w:rFonts w:hint="cs"/>
          <w:i/>
          <w:sz w:val="23"/>
          <w:szCs w:val="23"/>
          <w:rtl/>
        </w:rPr>
        <w:softHyphen/>
        <w:t>مدت، آن</w:t>
      </w:r>
      <w:r w:rsidRPr="00551F33">
        <w:rPr>
          <w:i/>
          <w:sz w:val="23"/>
          <w:szCs w:val="23"/>
          <w:rtl/>
        </w:rPr>
        <w:softHyphen/>
      </w:r>
      <w:r w:rsidRPr="00551F33">
        <w:rPr>
          <w:rFonts w:hint="cs"/>
          <w:i/>
          <w:sz w:val="23"/>
          <w:szCs w:val="23"/>
          <w:rtl/>
        </w:rPr>
        <w:t>را تأمین مالی کنند. بانک</w:t>
      </w:r>
      <w:r w:rsidRPr="00551F33">
        <w:rPr>
          <w:rFonts w:hint="cs"/>
          <w:i/>
          <w:sz w:val="23"/>
          <w:szCs w:val="23"/>
          <w:rtl/>
        </w:rPr>
        <w:softHyphen/>
        <w:t>ها بدون اطلاع از این</w:t>
      </w:r>
      <w:r w:rsidRPr="00551F33">
        <w:rPr>
          <w:i/>
          <w:sz w:val="23"/>
          <w:szCs w:val="23"/>
          <w:rtl/>
        </w:rPr>
        <w:softHyphen/>
      </w:r>
      <w:r w:rsidRPr="00551F33">
        <w:rPr>
          <w:rFonts w:hint="cs"/>
          <w:i/>
          <w:sz w:val="23"/>
          <w:szCs w:val="23"/>
          <w:rtl/>
        </w:rPr>
        <w:t xml:space="preserve">که کدام </w:t>
      </w:r>
      <w:r w:rsidRPr="00551F33">
        <w:rPr>
          <w:rFonts w:hint="cs"/>
          <w:i/>
          <w:sz w:val="23"/>
          <w:szCs w:val="23"/>
          <w:rtl/>
        </w:rPr>
        <w:softHyphen/>
        <w:t>یک از بانک‌ها مشکل قصور در دریافت وام‌های وثیقه</w:t>
      </w:r>
      <w:r w:rsidRPr="00551F33">
        <w:rPr>
          <w:rFonts w:hint="cs"/>
          <w:i/>
          <w:sz w:val="23"/>
          <w:szCs w:val="23"/>
          <w:rtl/>
        </w:rPr>
        <w:softHyphen/>
        <w:t>ای و به تبع آن اعسار و ورشکستگی را داشته و دارایی آن</w:t>
      </w:r>
      <w:r w:rsidRPr="00551F33">
        <w:rPr>
          <w:i/>
          <w:sz w:val="23"/>
          <w:szCs w:val="23"/>
          <w:rtl/>
        </w:rPr>
        <w:softHyphen/>
      </w:r>
      <w:r w:rsidRPr="00551F33">
        <w:rPr>
          <w:rFonts w:hint="cs"/>
          <w:i/>
          <w:sz w:val="23"/>
          <w:szCs w:val="23"/>
          <w:rtl/>
        </w:rPr>
        <w:t>ها کم</w:t>
      </w:r>
      <w:r w:rsidRPr="00551F33">
        <w:rPr>
          <w:i/>
          <w:sz w:val="23"/>
          <w:szCs w:val="23"/>
          <w:rtl/>
        </w:rPr>
        <w:softHyphen/>
      </w:r>
      <w:r w:rsidRPr="00551F33">
        <w:rPr>
          <w:rFonts w:hint="cs"/>
          <w:i/>
          <w:sz w:val="23"/>
          <w:szCs w:val="23"/>
          <w:rtl/>
        </w:rPr>
        <w:t>تر از وام</w:t>
      </w:r>
      <w:r w:rsidRPr="00551F33">
        <w:rPr>
          <w:i/>
          <w:sz w:val="23"/>
          <w:szCs w:val="23"/>
          <w:rtl/>
        </w:rPr>
        <w:softHyphen/>
      </w:r>
      <w:r w:rsidRPr="00551F33">
        <w:rPr>
          <w:rFonts w:hint="cs"/>
          <w:i/>
          <w:sz w:val="23"/>
          <w:szCs w:val="23"/>
          <w:rtl/>
        </w:rPr>
        <w:t>های مبتنی بر وثیقه</w:t>
      </w:r>
      <w:r w:rsidRPr="00551F33">
        <w:rPr>
          <w:i/>
          <w:sz w:val="23"/>
          <w:szCs w:val="23"/>
          <w:rtl/>
        </w:rPr>
        <w:softHyphen/>
      </w:r>
      <w:r w:rsidRPr="00551F33">
        <w:rPr>
          <w:rFonts w:hint="cs"/>
          <w:i/>
          <w:sz w:val="23"/>
          <w:szCs w:val="23"/>
          <w:rtl/>
        </w:rPr>
        <w:t xml:space="preserve"> شده، دریافتند که نمی</w:t>
      </w:r>
      <w:r w:rsidRPr="00551F33">
        <w:rPr>
          <w:rFonts w:hint="cs"/>
          <w:i/>
          <w:sz w:val="23"/>
          <w:szCs w:val="23"/>
          <w:rtl/>
        </w:rPr>
        <w:softHyphen/>
        <w:t>توانند استقراض کوتاه</w:t>
      </w:r>
      <w:r w:rsidRPr="00551F33">
        <w:rPr>
          <w:i/>
          <w:sz w:val="23"/>
          <w:szCs w:val="23"/>
          <w:rtl/>
        </w:rPr>
        <w:softHyphen/>
      </w:r>
      <w:r w:rsidRPr="00551F33">
        <w:rPr>
          <w:rFonts w:hint="cs"/>
          <w:i/>
          <w:sz w:val="23"/>
          <w:szCs w:val="23"/>
          <w:rtl/>
        </w:rPr>
        <w:t>مدت خود را تأمین مالی مجدد و یا استمهال کنند. با ایجاد بحران نقدینگی و تضعیف توان بانک</w:t>
      </w:r>
      <w:r w:rsidRPr="00551F33">
        <w:rPr>
          <w:i/>
          <w:sz w:val="23"/>
          <w:szCs w:val="23"/>
          <w:rtl/>
        </w:rPr>
        <w:softHyphen/>
      </w:r>
      <w:r w:rsidRPr="00551F33">
        <w:rPr>
          <w:rFonts w:hint="cs"/>
          <w:i/>
          <w:sz w:val="23"/>
          <w:szCs w:val="23"/>
          <w:rtl/>
        </w:rPr>
        <w:t>ها در وام دادن به سایر بخش‌های اقتصادی، بحران اعتباری و مالی خلق، و با تأثیر آن بر کل اقتصاد، ترتیبات بین</w:t>
      </w:r>
      <w:r w:rsidRPr="00551F33">
        <w:rPr>
          <w:rFonts w:hint="cs"/>
          <w:i/>
          <w:sz w:val="23"/>
          <w:szCs w:val="23"/>
          <w:rtl/>
        </w:rPr>
        <w:softHyphen/>
        <w:t>المللی را تهدید کرد. این بحران، همچنین، محدودیت‌ها و نارسایی‌های سیاست</w:t>
      </w:r>
      <w:r w:rsidRPr="00551F33">
        <w:rPr>
          <w:i/>
          <w:sz w:val="23"/>
          <w:szCs w:val="23"/>
        </w:rPr>
        <w:t>‌</w:t>
      </w:r>
      <w:r w:rsidRPr="00551F33">
        <w:rPr>
          <w:rFonts w:hint="cs"/>
          <w:i/>
          <w:sz w:val="23"/>
          <w:szCs w:val="23"/>
          <w:rtl/>
        </w:rPr>
        <w:t>های پولی و مالی را نیز آشکار ساخت. در سال</w:t>
      </w:r>
      <w:r w:rsidRPr="00551F33">
        <w:rPr>
          <w:i/>
          <w:sz w:val="23"/>
          <w:szCs w:val="23"/>
        </w:rPr>
        <w:t>‌</w:t>
      </w:r>
      <w:r w:rsidRPr="00551F33">
        <w:rPr>
          <w:rFonts w:hint="cs"/>
          <w:i/>
          <w:sz w:val="23"/>
          <w:szCs w:val="23"/>
          <w:rtl/>
        </w:rPr>
        <w:t>های اخیر، بانک</w:t>
      </w:r>
      <w:r w:rsidRPr="00551F33">
        <w:rPr>
          <w:i/>
          <w:sz w:val="23"/>
          <w:szCs w:val="23"/>
        </w:rPr>
        <w:t>‌</w:t>
      </w:r>
      <w:r w:rsidRPr="00551F33">
        <w:rPr>
          <w:rFonts w:hint="cs"/>
          <w:i/>
          <w:sz w:val="23"/>
          <w:szCs w:val="23"/>
          <w:rtl/>
        </w:rPr>
        <w:t>های مرکزی تنها از طریق تعیین نرخ</w:t>
      </w:r>
      <w:r w:rsidRPr="00551F33">
        <w:rPr>
          <w:i/>
          <w:sz w:val="23"/>
          <w:szCs w:val="23"/>
        </w:rPr>
        <w:t>‌</w:t>
      </w:r>
      <w:r w:rsidRPr="00551F33">
        <w:rPr>
          <w:rFonts w:hint="cs"/>
          <w:i/>
          <w:sz w:val="23"/>
          <w:szCs w:val="23"/>
          <w:rtl/>
        </w:rPr>
        <w:t>های بهره سیاست پولی را اعمال می‌کردند. تحریک اقتصاد ایجاب می</w:t>
      </w:r>
      <w:r w:rsidRPr="00551F33">
        <w:rPr>
          <w:i/>
          <w:sz w:val="23"/>
          <w:szCs w:val="23"/>
          <w:rtl/>
        </w:rPr>
        <w:softHyphen/>
      </w:r>
      <w:r w:rsidRPr="00551F33">
        <w:rPr>
          <w:rFonts w:hint="cs"/>
          <w:i/>
          <w:sz w:val="23"/>
          <w:szCs w:val="23"/>
          <w:rtl/>
        </w:rPr>
        <w:t>کرد تا نرخ بهره بشدت کاهش یافته و حتی منفی شود، اما نرخ‌های بهره</w:t>
      </w:r>
      <w:r w:rsidRPr="00551F33">
        <w:rPr>
          <w:i/>
          <w:sz w:val="23"/>
          <w:szCs w:val="23"/>
          <w:rtl/>
        </w:rPr>
        <w:softHyphen/>
      </w:r>
      <w:r w:rsidRPr="00551F33">
        <w:rPr>
          <w:rFonts w:hint="cs"/>
          <w:i/>
          <w:sz w:val="23"/>
          <w:szCs w:val="23"/>
          <w:rtl/>
        </w:rPr>
        <w:t>ی اسمی با قید حدّ پایینی صفر مقید بودند. با این حال، مسئله</w:t>
      </w:r>
      <w:r w:rsidRPr="00551F33">
        <w:rPr>
          <w:i/>
          <w:sz w:val="23"/>
          <w:szCs w:val="23"/>
          <w:rtl/>
        </w:rPr>
        <w:softHyphen/>
      </w:r>
      <w:r w:rsidRPr="00551F33">
        <w:rPr>
          <w:rFonts w:hint="cs"/>
          <w:i/>
          <w:sz w:val="23"/>
          <w:szCs w:val="23"/>
          <w:rtl/>
        </w:rPr>
        <w:t>ی اساسی، تأمین نقدینگی بانک‌ها بود که مستلزم استفاده</w:t>
      </w:r>
      <w:r w:rsidRPr="00551F33">
        <w:rPr>
          <w:i/>
          <w:sz w:val="23"/>
          <w:szCs w:val="23"/>
          <w:rtl/>
        </w:rPr>
        <w:softHyphen/>
      </w:r>
      <w:r w:rsidRPr="00551F33">
        <w:rPr>
          <w:rFonts w:hint="cs"/>
          <w:i/>
          <w:sz w:val="23"/>
          <w:szCs w:val="23"/>
          <w:rtl/>
        </w:rPr>
        <w:t xml:space="preserve"> از ابزارهای سیاست پولی سنتی در مقیاسی بسیار بزرگ‌تر از حدّ معمول بود. با عملیات بازار آزاد، بانک‌های مرکزی، نقدینگی بانک‌ها را از طریق بازخرید اوراق قرضه‌ی دولتی نزد بانک</w:t>
      </w:r>
      <w:r w:rsidRPr="00551F33">
        <w:rPr>
          <w:rFonts w:hint="cs"/>
          <w:i/>
          <w:sz w:val="23"/>
          <w:szCs w:val="23"/>
          <w:rtl/>
        </w:rPr>
        <w:softHyphen/>
        <w:t>ها تأمین می‌کردند. کمبود نقدینگی به حدّی بود که بسیاری از بانک</w:t>
      </w:r>
      <w:r w:rsidRPr="00551F33">
        <w:rPr>
          <w:i/>
          <w:sz w:val="23"/>
          <w:szCs w:val="23"/>
        </w:rPr>
        <w:t>‌</w:t>
      </w:r>
      <w:r w:rsidRPr="00551F33">
        <w:rPr>
          <w:rFonts w:hint="cs"/>
          <w:i/>
          <w:sz w:val="23"/>
          <w:szCs w:val="23"/>
          <w:rtl/>
        </w:rPr>
        <w:t>های مرکزی، سایر دارایی‌ها، مثل بدهی‌های شرکتی را نیز از بانک‌ها خریداری کردند. دول برخی از کشورها با فروش اوراق قرضه‌ی دولتی به بخش عمومی غیربانکی و یا سایر کشورها، و خرید سهام بانک</w:t>
      </w:r>
      <w:r w:rsidRPr="00551F33">
        <w:rPr>
          <w:rFonts w:hint="cs"/>
          <w:i/>
          <w:sz w:val="23"/>
          <w:szCs w:val="23"/>
          <w:rtl/>
        </w:rPr>
        <w:softHyphen/>
        <w:t>ها، بستری را فراهم ساختند تا بانک</w:t>
      </w:r>
      <w:r w:rsidRPr="00551F33">
        <w:rPr>
          <w:i/>
          <w:sz w:val="23"/>
          <w:szCs w:val="23"/>
          <w:rtl/>
        </w:rPr>
        <w:softHyphen/>
      </w:r>
      <w:r w:rsidRPr="00551F33">
        <w:rPr>
          <w:rFonts w:hint="cs"/>
          <w:i/>
          <w:sz w:val="23"/>
          <w:szCs w:val="23"/>
          <w:rtl/>
        </w:rPr>
        <w:t>ها وام‌هایشان را پرداخت کنند.</w:t>
      </w:r>
      <w:r w:rsidRPr="00551F33">
        <w:rPr>
          <w:rFonts w:cs="Times New Roman"/>
          <w:i/>
          <w:sz w:val="23"/>
          <w:szCs w:val="23"/>
          <w:rtl/>
        </w:rPr>
        <w:t> </w:t>
      </w:r>
      <w:r w:rsidRPr="00551F33">
        <w:rPr>
          <w:rFonts w:hint="cs"/>
          <w:i/>
          <w:sz w:val="23"/>
          <w:szCs w:val="23"/>
          <w:rtl/>
        </w:rPr>
        <w:t>این اقدامات در واقع نوعی سیاست مالی بود، زیرا مالیات</w:t>
      </w:r>
      <w:r w:rsidRPr="00551F33">
        <w:rPr>
          <w:rFonts w:hint="cs"/>
          <w:i/>
          <w:sz w:val="23"/>
          <w:szCs w:val="23"/>
          <w:rtl/>
        </w:rPr>
        <w:softHyphen/>
        <w:t>دهندگان، ریسک‌های مربوطه را تقبل و بیمه می</w:t>
      </w:r>
      <w:r w:rsidRPr="00551F33">
        <w:rPr>
          <w:i/>
          <w:sz w:val="23"/>
          <w:szCs w:val="23"/>
          <w:rtl/>
        </w:rPr>
        <w:softHyphen/>
      </w:r>
      <w:r w:rsidRPr="00551F33">
        <w:rPr>
          <w:rFonts w:hint="cs"/>
          <w:i/>
          <w:sz w:val="23"/>
          <w:szCs w:val="23"/>
          <w:rtl/>
        </w:rPr>
        <w:t>کردند. در برخی از کشورها، ابعاد این سیاست</w:t>
      </w:r>
      <w:r w:rsidRPr="00551F33">
        <w:rPr>
          <w:i/>
          <w:sz w:val="23"/>
          <w:szCs w:val="23"/>
          <w:rtl/>
        </w:rPr>
        <w:softHyphen/>
      </w:r>
      <w:r w:rsidRPr="00551F33">
        <w:rPr>
          <w:rFonts w:hint="cs"/>
          <w:i/>
          <w:sz w:val="23"/>
          <w:szCs w:val="23"/>
          <w:rtl/>
        </w:rPr>
        <w:t xml:space="preserve">ها نسبت به </w:t>
      </w:r>
      <w:r w:rsidRPr="00551F33">
        <w:rPr>
          <w:i/>
          <w:sz w:val="23"/>
          <w:szCs w:val="23"/>
        </w:rPr>
        <w:t>GDP</w:t>
      </w:r>
      <w:r w:rsidRPr="00551F33">
        <w:rPr>
          <w:rFonts w:hint="cs"/>
          <w:i/>
          <w:sz w:val="23"/>
          <w:szCs w:val="23"/>
          <w:rtl/>
        </w:rPr>
        <w:t xml:space="preserve"> به قدری بزرگ بود که وضعیت مالی آن کشورها را ناپایدار کرد و تأمین مالی آن</w:t>
      </w:r>
      <w:r w:rsidRPr="00551F33">
        <w:rPr>
          <w:rFonts w:hint="cs"/>
          <w:i/>
          <w:sz w:val="23"/>
          <w:szCs w:val="23"/>
          <w:rtl/>
        </w:rPr>
        <w:softHyphen/>
        <w:t>ها در بازار را نیز به دلیل مابه</w:t>
      </w:r>
      <w:r w:rsidRPr="00551F33">
        <w:rPr>
          <w:rFonts w:hint="cs"/>
          <w:i/>
          <w:sz w:val="23"/>
          <w:szCs w:val="23"/>
          <w:rtl/>
        </w:rPr>
        <w:softHyphen/>
        <w:t>التفاوت ریسک بسیار پرهزینه ساخت. صندوق بین</w:t>
      </w:r>
      <w:r w:rsidRPr="00551F33">
        <w:rPr>
          <w:i/>
          <w:sz w:val="23"/>
          <w:szCs w:val="23"/>
        </w:rPr>
        <w:t>‌</w:t>
      </w:r>
      <w:r w:rsidRPr="00551F33">
        <w:rPr>
          <w:rFonts w:hint="cs"/>
          <w:i/>
          <w:sz w:val="23"/>
          <w:szCs w:val="23"/>
          <w:rtl/>
        </w:rPr>
        <w:t>المللی پول و بانک مرکزی اروپا که با قصور اجتناب</w:t>
      </w:r>
      <w:r w:rsidRPr="00551F33">
        <w:rPr>
          <w:i/>
          <w:sz w:val="23"/>
          <w:szCs w:val="23"/>
        </w:rPr>
        <w:t>‌</w:t>
      </w:r>
      <w:r w:rsidRPr="00551F33">
        <w:rPr>
          <w:rFonts w:hint="cs"/>
          <w:i/>
          <w:sz w:val="23"/>
          <w:szCs w:val="23"/>
          <w:rtl/>
        </w:rPr>
        <w:t>ناپذیر اوراق قرضه‌ی دولتی برخی کشورها روبرو بودند، وام‌هایی را با نرخ‌ بسیار پایین</w:t>
      </w:r>
      <w:r w:rsidRPr="00551F33">
        <w:rPr>
          <w:i/>
          <w:sz w:val="23"/>
          <w:szCs w:val="23"/>
        </w:rPr>
        <w:t>‌</w:t>
      </w:r>
      <w:r w:rsidRPr="00551F33">
        <w:rPr>
          <w:rFonts w:hint="cs"/>
          <w:i/>
          <w:sz w:val="23"/>
          <w:szCs w:val="23"/>
          <w:rtl/>
        </w:rPr>
        <w:t>تر از نرخ بازار به این کشورها اعطا کردند.</w:t>
      </w:r>
    </w:p>
    <w:p w14:paraId="4122E1D5"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hint="cs"/>
          <w:i/>
          <w:sz w:val="23"/>
          <w:szCs w:val="23"/>
          <w:rtl/>
        </w:rPr>
        <w:lastRenderedPageBreak/>
        <w:t>در بسیاری از کشورهای حوزه یورو، استقراض سنگین دولتی برای تأمین مالی کسری</w:t>
      </w:r>
      <w:r w:rsidRPr="00551F33">
        <w:rPr>
          <w:rFonts w:cs="B Nazanin" w:hint="cs"/>
          <w:i/>
          <w:sz w:val="23"/>
          <w:szCs w:val="23"/>
          <w:rtl/>
        </w:rPr>
        <w:softHyphen/>
        <w:t>های مالی، عامل مرکبی جهت افزایش احتمال قصور بدهی‌های دولتی بود. وقتی کشورهای حوزه‌ی یورو، اوراق قرضه‌ی مبتنی بر یورو صادر می</w:t>
      </w:r>
      <w:r w:rsidRPr="00551F33">
        <w:rPr>
          <w:rFonts w:cs="B Nazanin"/>
          <w:i/>
          <w:sz w:val="23"/>
          <w:szCs w:val="23"/>
          <w:rtl/>
        </w:rPr>
        <w:softHyphen/>
      </w:r>
      <w:r w:rsidRPr="00551F33">
        <w:rPr>
          <w:rFonts w:cs="B Nazanin" w:hint="cs"/>
          <w:i/>
          <w:sz w:val="23"/>
          <w:szCs w:val="23"/>
          <w:rtl/>
        </w:rPr>
        <w:t>کردند، قصور در پرداخت بدهی دولتی، تهدیدی برای حیات یورو می</w:t>
      </w:r>
      <w:r w:rsidRPr="00551F33">
        <w:rPr>
          <w:rFonts w:cs="B Nazanin"/>
          <w:i/>
          <w:sz w:val="23"/>
          <w:szCs w:val="23"/>
          <w:rtl/>
        </w:rPr>
        <w:softHyphen/>
      </w:r>
      <w:r w:rsidRPr="00551F33">
        <w:rPr>
          <w:rFonts w:cs="B Nazanin" w:hint="cs"/>
          <w:i/>
          <w:sz w:val="23"/>
          <w:szCs w:val="23"/>
          <w:rtl/>
        </w:rPr>
        <w:t>شد. بنظر می</w:t>
      </w:r>
      <w:r w:rsidRPr="00551F33">
        <w:rPr>
          <w:rFonts w:cs="B Nazanin" w:hint="cs"/>
          <w:i/>
          <w:sz w:val="23"/>
          <w:szCs w:val="23"/>
          <w:rtl/>
        </w:rPr>
        <w:softHyphen/>
        <w:t>رسید که هزینه</w:t>
      </w:r>
      <w:r w:rsidRPr="00551F33">
        <w:rPr>
          <w:rFonts w:cs="B Nazanin"/>
          <w:i/>
          <w:sz w:val="23"/>
          <w:szCs w:val="23"/>
          <w:rtl/>
        </w:rPr>
        <w:softHyphen/>
      </w:r>
      <w:r w:rsidRPr="00551F33">
        <w:rPr>
          <w:rFonts w:cs="B Nazanin" w:hint="cs"/>
          <w:i/>
          <w:sz w:val="23"/>
          <w:szCs w:val="23"/>
          <w:rtl/>
        </w:rPr>
        <w:t>ی قصور و شکست بین کشورهای حوزه‌ی یورو که اغلب این وام</w:t>
      </w:r>
      <w:r w:rsidRPr="00551F33">
        <w:rPr>
          <w:rFonts w:cs="B Nazanin" w:hint="cs"/>
          <w:i/>
          <w:sz w:val="23"/>
          <w:szCs w:val="23"/>
          <w:rtl/>
        </w:rPr>
        <w:softHyphen/>
        <w:t>ها را ارائه می</w:t>
      </w:r>
      <w:r w:rsidRPr="00551F33">
        <w:rPr>
          <w:rFonts w:cs="B Nazanin"/>
          <w:i/>
          <w:sz w:val="23"/>
          <w:szCs w:val="23"/>
          <w:rtl/>
        </w:rPr>
        <w:softHyphen/>
      </w:r>
      <w:r w:rsidRPr="00551F33">
        <w:rPr>
          <w:rFonts w:cs="B Nazanin" w:hint="cs"/>
          <w:i/>
          <w:sz w:val="23"/>
          <w:szCs w:val="23"/>
          <w:rtl/>
        </w:rPr>
        <w:t>کردند، و یا تعهدات کشورهای دچار مشکل را پذیرفته بودند،  تقسیم می</w:t>
      </w:r>
      <w:r w:rsidRPr="00551F33">
        <w:rPr>
          <w:rFonts w:cs="B Nazanin"/>
          <w:i/>
          <w:sz w:val="23"/>
          <w:szCs w:val="23"/>
          <w:rtl/>
        </w:rPr>
        <w:softHyphen/>
      </w:r>
      <w:r w:rsidRPr="00551F33">
        <w:rPr>
          <w:rFonts w:cs="B Nazanin" w:hint="cs"/>
          <w:i/>
          <w:sz w:val="23"/>
          <w:szCs w:val="23"/>
          <w:rtl/>
        </w:rPr>
        <w:t>شد.</w:t>
      </w:r>
    </w:p>
    <w:p w14:paraId="723E867C" w14:textId="77777777" w:rsidR="00556C10" w:rsidRPr="00551F33" w:rsidRDefault="00556C10" w:rsidP="00556C10">
      <w:pPr>
        <w:pStyle w:val="NormalWeb"/>
        <w:bidi/>
        <w:spacing w:before="0" w:beforeAutospacing="0" w:after="0" w:afterAutospacing="0" w:line="216" w:lineRule="auto"/>
        <w:jc w:val="both"/>
        <w:rPr>
          <w:rFonts w:cs="B Nazanin"/>
          <w:i/>
          <w:sz w:val="23"/>
          <w:szCs w:val="23"/>
          <w:lang w:bidi="fa-IR"/>
        </w:rPr>
      </w:pPr>
      <w:r w:rsidRPr="00551F33">
        <w:rPr>
          <w:rFonts w:cs="B Nazanin" w:hint="cs"/>
          <w:i/>
          <w:sz w:val="23"/>
          <w:szCs w:val="23"/>
          <w:rtl/>
        </w:rPr>
        <w:t>بسیاری از اقتصاددانان و روزنامه</w:t>
      </w:r>
      <w:r w:rsidRPr="00551F33">
        <w:rPr>
          <w:rFonts w:cs="B Nazanin" w:hint="cs"/>
          <w:i/>
          <w:sz w:val="23"/>
          <w:szCs w:val="23"/>
          <w:rtl/>
        </w:rPr>
        <w:softHyphen/>
        <w:t xml:space="preserve">نگاران اقتصادی این مشکلات را بر دوش اقتصاد کلان مدرن و به ویژه اقتصاد کلان </w:t>
      </w:r>
      <w:r w:rsidRPr="00551F33">
        <w:rPr>
          <w:rFonts w:cs="B Nazanin"/>
          <w:i/>
          <w:sz w:val="23"/>
          <w:szCs w:val="23"/>
        </w:rPr>
        <w:t>DSGE</w:t>
      </w:r>
      <w:r w:rsidRPr="00551F33">
        <w:rPr>
          <w:rFonts w:cs="B Nazanin" w:hint="cs"/>
          <w:i/>
          <w:sz w:val="23"/>
          <w:szCs w:val="23"/>
          <w:rtl/>
        </w:rPr>
        <w:t xml:space="preserve"> می</w:t>
      </w:r>
      <w:r w:rsidRPr="00551F33">
        <w:rPr>
          <w:rFonts w:cs="B Nazanin" w:hint="cs"/>
          <w:i/>
          <w:sz w:val="23"/>
          <w:szCs w:val="23"/>
          <w:rtl/>
        </w:rPr>
        <w:softHyphen/>
        <w:t>گذاشتند</w:t>
      </w:r>
      <w:r w:rsidRPr="00551F33">
        <w:rPr>
          <w:rFonts w:cs="B Nazanin"/>
          <w:i/>
          <w:sz w:val="23"/>
          <w:szCs w:val="23"/>
        </w:rPr>
        <w:t>.</w:t>
      </w:r>
      <w:r w:rsidRPr="00551F33">
        <w:rPr>
          <w:rFonts w:cs="B Nazanin" w:hint="cs"/>
          <w:i/>
          <w:sz w:val="23"/>
          <w:szCs w:val="23"/>
          <w:rtl/>
        </w:rPr>
        <w:t xml:space="preserve"> آن</w:t>
      </w:r>
      <w:r w:rsidRPr="00551F33">
        <w:rPr>
          <w:rFonts w:cs="B Nazanin" w:hint="cs"/>
          <w:i/>
          <w:sz w:val="23"/>
          <w:szCs w:val="23"/>
          <w:rtl/>
        </w:rPr>
        <w:softHyphen/>
        <w:t>ها فروض انتظارات عقلایی، و اغماض و غفلت از بخش بانکی و بخش مالی در نظریه</w:t>
      </w:r>
      <w:r w:rsidRPr="00551F33">
        <w:rPr>
          <w:rFonts w:cs="B Nazanin" w:hint="cs"/>
          <w:i/>
          <w:sz w:val="23"/>
          <w:szCs w:val="23"/>
          <w:rtl/>
        </w:rPr>
        <w:softHyphen/>
      </w:r>
      <w:r w:rsidRPr="00551F33">
        <w:rPr>
          <w:rFonts w:cs="B Nazanin" w:hint="cs"/>
          <w:i/>
          <w:sz w:val="23"/>
          <w:szCs w:val="23"/>
          <w:rtl/>
        </w:rPr>
        <w:softHyphen/>
        <w:t>های مدرن اقتصاد کلان را نقد می</w:t>
      </w:r>
      <w:r w:rsidRPr="00551F33">
        <w:rPr>
          <w:rFonts w:cs="B Nazanin"/>
          <w:i/>
          <w:sz w:val="23"/>
          <w:szCs w:val="23"/>
          <w:rtl/>
        </w:rPr>
        <w:softHyphen/>
      </w:r>
      <w:r w:rsidRPr="00551F33">
        <w:rPr>
          <w:rFonts w:cs="B Nazanin" w:hint="cs"/>
          <w:i/>
          <w:sz w:val="23"/>
          <w:szCs w:val="23"/>
          <w:rtl/>
        </w:rPr>
        <w:t>کردند.  ویکنز در سال ۲۰۱۰ به بسیاری از این انتقادها و این</w:t>
      </w:r>
      <w:r w:rsidRPr="00551F33">
        <w:rPr>
          <w:rFonts w:cs="B Nazanin"/>
          <w:i/>
          <w:sz w:val="23"/>
          <w:szCs w:val="23"/>
          <w:rtl/>
        </w:rPr>
        <w:softHyphen/>
      </w:r>
      <w:r w:rsidRPr="00551F33">
        <w:rPr>
          <w:rFonts w:cs="B Nazanin" w:hint="cs"/>
          <w:i/>
          <w:sz w:val="23"/>
          <w:szCs w:val="23"/>
          <w:rtl/>
        </w:rPr>
        <w:t>که چگونه سوء تفاهمی در درک مفاهیم اقتصاد کلان جدید رخ داده است پاسخ داد. در این فصل بر نقد دوم یعنی غفلت از مدل‌های مالی در اقتصاد کلان تأکید می</w:t>
      </w:r>
      <w:r w:rsidRPr="00551F33">
        <w:rPr>
          <w:rFonts w:cs="B Nazanin"/>
          <w:i/>
          <w:sz w:val="23"/>
          <w:szCs w:val="23"/>
          <w:rtl/>
        </w:rPr>
        <w:softHyphen/>
      </w:r>
      <w:r w:rsidRPr="00551F33">
        <w:rPr>
          <w:rFonts w:cs="B Nazanin" w:hint="cs"/>
          <w:i/>
          <w:sz w:val="23"/>
          <w:szCs w:val="23"/>
          <w:rtl/>
        </w:rPr>
        <w:t>شود. نقش بازار اوراق قرضه در مکانیزم انتقال پولی سنتی از طریق نرخ</w:t>
      </w:r>
      <w:r w:rsidRPr="00551F33">
        <w:rPr>
          <w:rFonts w:cs="B Nazanin"/>
          <w:i/>
          <w:sz w:val="23"/>
          <w:szCs w:val="23"/>
        </w:rPr>
        <w:t>‌</w:t>
      </w:r>
      <w:r w:rsidRPr="00551F33">
        <w:rPr>
          <w:rFonts w:cs="B Nazanin" w:hint="cs"/>
          <w:i/>
          <w:sz w:val="23"/>
          <w:szCs w:val="23"/>
          <w:rtl/>
        </w:rPr>
        <w:t xml:space="preserve">های بهره با ورود بانک‌ها و بازارهای مالی در مدل‌های اقتصاد کلان </w:t>
      </w:r>
      <w:r w:rsidRPr="00551F33">
        <w:rPr>
          <w:rFonts w:cs="B Nazanin"/>
          <w:i/>
          <w:sz w:val="23"/>
          <w:szCs w:val="23"/>
        </w:rPr>
        <w:t>DSGE</w:t>
      </w:r>
      <w:r w:rsidRPr="00551F33">
        <w:rPr>
          <w:rFonts w:cs="B Nazanin" w:hint="cs"/>
          <w:i/>
          <w:sz w:val="23"/>
          <w:szCs w:val="23"/>
          <w:rtl/>
        </w:rPr>
        <w:t xml:space="preserve"> بررسی خواهد شد. همان</w:t>
      </w:r>
      <w:r w:rsidRPr="00551F33">
        <w:rPr>
          <w:rFonts w:cs="B Nazanin" w:hint="cs"/>
          <w:i/>
          <w:sz w:val="23"/>
          <w:szCs w:val="23"/>
          <w:rtl/>
        </w:rPr>
        <w:softHyphen/>
        <w:t>طور که خواهیم دید مشکلات قابل ملاحظه</w:t>
      </w:r>
      <w:r w:rsidRPr="00551F33">
        <w:rPr>
          <w:rFonts w:cs="B Nazanin" w:hint="cs"/>
          <w:i/>
          <w:sz w:val="23"/>
          <w:szCs w:val="23"/>
          <w:rtl/>
        </w:rPr>
        <w:softHyphen/>
        <w:t>ای در مدل</w:t>
      </w:r>
      <w:r w:rsidRPr="00551F33">
        <w:rPr>
          <w:rFonts w:cs="B Nazanin" w:hint="cs"/>
          <w:i/>
          <w:sz w:val="23"/>
          <w:szCs w:val="23"/>
          <w:rtl/>
        </w:rPr>
        <w:softHyphen/>
        <w:t>سازی سیستم بانکی و مالی به دلیل پیچیدگی آن</w:t>
      </w:r>
      <w:r w:rsidRPr="00551F33">
        <w:rPr>
          <w:rFonts w:cs="B Nazanin"/>
          <w:i/>
          <w:sz w:val="23"/>
          <w:szCs w:val="23"/>
          <w:rtl/>
        </w:rPr>
        <w:softHyphen/>
      </w:r>
      <w:r w:rsidRPr="00551F33">
        <w:rPr>
          <w:rFonts w:cs="B Nazanin" w:hint="cs"/>
          <w:i/>
          <w:sz w:val="23"/>
          <w:szCs w:val="23"/>
          <w:rtl/>
        </w:rPr>
        <w:t xml:space="preserve">ها وجود دارد و هنوز دیدگاه جامع و کامل و مقبولی درباره‌ی بهترین راه انجام این کار در دست نیست. </w:t>
      </w:r>
    </w:p>
    <w:p w14:paraId="63BA48A4"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i/>
          <w:sz w:val="23"/>
          <w:szCs w:val="23"/>
        </w:rPr>
        <w:t xml:space="preserve"> </w:t>
      </w:r>
      <w:r w:rsidRPr="00551F33">
        <w:rPr>
          <w:rFonts w:cs="B Nazanin" w:hint="cs"/>
          <w:i/>
          <w:sz w:val="23"/>
          <w:szCs w:val="23"/>
          <w:rtl/>
        </w:rPr>
        <w:t>در مورد اولین نقد، یعنی فرض انتظارات عقلایی، تصمیمات بین دوره</w:t>
      </w:r>
      <w:r w:rsidRPr="00551F33">
        <w:rPr>
          <w:rFonts w:cs="B Nazanin" w:hint="cs"/>
          <w:i/>
          <w:sz w:val="23"/>
          <w:szCs w:val="23"/>
          <w:rtl/>
        </w:rPr>
        <w:softHyphen/>
        <w:t>ای شامل شکل</w:t>
      </w:r>
      <w:r w:rsidRPr="00551F33">
        <w:rPr>
          <w:rFonts w:cs="B Nazanin" w:hint="cs"/>
          <w:i/>
          <w:sz w:val="23"/>
          <w:szCs w:val="23"/>
          <w:rtl/>
        </w:rPr>
        <w:softHyphen/>
        <w:t>دهی انتظارات آتی است و این فرض اصولاً برای ارائه‌ی چارچوب بهینه</w:t>
      </w:r>
      <w:r w:rsidRPr="00551F33">
        <w:rPr>
          <w:rFonts w:cs="B Nazanin" w:hint="cs"/>
          <w:i/>
          <w:sz w:val="23"/>
          <w:szCs w:val="23"/>
          <w:rtl/>
        </w:rPr>
        <w:softHyphen/>
        <w:t>سازی انتظارات می</w:t>
      </w:r>
      <w:r w:rsidRPr="00551F33">
        <w:rPr>
          <w:rFonts w:cs="B Nazanin" w:hint="cs"/>
          <w:i/>
          <w:sz w:val="23"/>
          <w:szCs w:val="23"/>
          <w:rtl/>
        </w:rPr>
        <w:softHyphen/>
        <w:t>باشد. هدف این است که از اطلاعات به نحوی بهینه بهره برده، و از تکرار اشتباهات جلوگیری شود. راه دیگر، بکارگیری مدل</w:t>
      </w:r>
      <w:r w:rsidRPr="00551F33">
        <w:rPr>
          <w:rFonts w:cs="B Nazanin" w:hint="cs"/>
          <w:i/>
          <w:sz w:val="23"/>
          <w:szCs w:val="23"/>
          <w:rtl/>
        </w:rPr>
        <w:softHyphen/>
        <w:t>هایی است که ویژه</w:t>
      </w:r>
      <w:r w:rsidRPr="00551F33">
        <w:rPr>
          <w:rFonts w:cs="B Nazanin"/>
          <w:i/>
          <w:sz w:val="23"/>
          <w:szCs w:val="23"/>
          <w:rtl/>
        </w:rPr>
        <w:softHyphen/>
      </w:r>
      <w:r w:rsidRPr="00551F33">
        <w:rPr>
          <w:rFonts w:cs="B Nazanin" w:hint="cs"/>
          <w:i/>
          <w:sz w:val="23"/>
          <w:szCs w:val="23"/>
          <w:rtl/>
        </w:rPr>
        <w:t>اند، همانند انتظارات ایستا و تعدیل جزئی، که آن</w:t>
      </w:r>
      <w:r w:rsidRPr="00551F33">
        <w:rPr>
          <w:rFonts w:cs="B Nazanin" w:hint="cs"/>
          <w:i/>
          <w:sz w:val="23"/>
          <w:szCs w:val="23"/>
          <w:rtl/>
        </w:rPr>
        <w:softHyphen/>
        <w:t xml:space="preserve">ها </w:t>
      </w:r>
      <w:r w:rsidRPr="00551F33">
        <w:rPr>
          <w:rFonts w:cs="B Nazanin" w:hint="cs"/>
          <w:i/>
          <w:sz w:val="23"/>
          <w:szCs w:val="23"/>
          <w:rtl/>
        </w:rPr>
        <w:softHyphen/>
        <w:t>را زیربهینه می</w:t>
      </w:r>
      <w:r w:rsidRPr="00551F33">
        <w:rPr>
          <w:rFonts w:cs="B Nazanin" w:hint="cs"/>
          <w:i/>
          <w:sz w:val="23"/>
          <w:szCs w:val="23"/>
          <w:rtl/>
        </w:rPr>
        <w:softHyphen/>
        <w:t>نامیم‌. بطورکلی، این مدل‌ها خطاهای پیش</w:t>
      </w:r>
      <w:r w:rsidRPr="00551F33">
        <w:rPr>
          <w:rFonts w:cs="B Nazanin" w:hint="cs"/>
          <w:i/>
          <w:sz w:val="23"/>
          <w:szCs w:val="23"/>
          <w:rtl/>
        </w:rPr>
        <w:softHyphen/>
        <w:t>بینی پایداری را ایجاد می</w:t>
      </w:r>
      <w:r w:rsidRPr="00551F33">
        <w:rPr>
          <w:rFonts w:cs="B Nazanin"/>
          <w:i/>
          <w:sz w:val="23"/>
          <w:szCs w:val="23"/>
        </w:rPr>
        <w:t>‌</w:t>
      </w:r>
      <w:r w:rsidRPr="00551F33">
        <w:rPr>
          <w:rFonts w:cs="B Nazanin" w:hint="cs"/>
          <w:i/>
          <w:sz w:val="23"/>
          <w:szCs w:val="23"/>
          <w:rtl/>
        </w:rPr>
        <w:t>کنند. چون در عمل، بعید است که بسیاری از مردم عقلایی رفتار کنند، لذا فرض انتظارات عقلایی را به</w:t>
      </w:r>
      <w:r w:rsidRPr="00551F33">
        <w:rPr>
          <w:rFonts w:cs="B Nazanin" w:hint="cs"/>
          <w:i/>
          <w:sz w:val="23"/>
          <w:szCs w:val="23"/>
          <w:rtl/>
        </w:rPr>
        <w:softHyphen/>
        <w:t>عنوان ابزاری تسهیل</w:t>
      </w:r>
      <w:r w:rsidRPr="00551F33">
        <w:rPr>
          <w:rFonts w:cs="B Nazanin" w:hint="cs"/>
          <w:i/>
          <w:sz w:val="23"/>
          <w:szCs w:val="23"/>
          <w:rtl/>
        </w:rPr>
        <w:softHyphen/>
        <w:t>کننده در نظر می</w:t>
      </w:r>
      <w:r w:rsidRPr="00551F33">
        <w:rPr>
          <w:rFonts w:cs="B Nazanin" w:hint="cs"/>
          <w:i/>
          <w:sz w:val="23"/>
          <w:szCs w:val="23"/>
          <w:rtl/>
        </w:rPr>
        <w:softHyphen/>
        <w:t>گیریم. در تلاش</w:t>
      </w:r>
      <w:r w:rsidRPr="00551F33">
        <w:rPr>
          <w:rFonts w:cs="B Nazanin" w:hint="cs"/>
          <w:i/>
          <w:sz w:val="23"/>
          <w:szCs w:val="23"/>
          <w:rtl/>
        </w:rPr>
        <w:softHyphen/>
        <w:t>های اخیر، این دو رویکرد با فرض این</w:t>
      </w:r>
      <w:r w:rsidRPr="00551F33">
        <w:rPr>
          <w:rFonts w:cs="B Nazanin" w:hint="cs"/>
          <w:i/>
          <w:sz w:val="23"/>
          <w:szCs w:val="23"/>
          <w:rtl/>
        </w:rPr>
        <w:softHyphen/>
        <w:t>که مردم با مدل‌های ساده و ویژه آغاز کرده و در طول زمان یاد می‌گیرند که چگونه آن را تعدیل کنند و انتظارات عقلایی را تولید کنند، ترکیب شده است.</w:t>
      </w:r>
      <w:r w:rsidRPr="00551F33">
        <w:rPr>
          <w:rStyle w:val="FootnoteReference"/>
          <w:i/>
          <w:sz w:val="23"/>
          <w:szCs w:val="23"/>
          <w:rtl/>
        </w:rPr>
        <w:footnoteReference w:id="358"/>
      </w:r>
    </w:p>
    <w:p w14:paraId="7C81B6AF"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hint="cs"/>
          <w:i/>
          <w:sz w:val="23"/>
          <w:szCs w:val="23"/>
          <w:rtl/>
        </w:rPr>
        <w:t>علی</w:t>
      </w:r>
      <w:r w:rsidRPr="00551F33">
        <w:rPr>
          <w:rFonts w:cs="B Nazanin" w:hint="cs"/>
          <w:i/>
          <w:sz w:val="23"/>
          <w:szCs w:val="23"/>
          <w:rtl/>
        </w:rPr>
        <w:softHyphen/>
        <w:t>رغم تأکید بر اهمیت نظریه</w:t>
      </w:r>
      <w:r w:rsidRPr="00551F33">
        <w:rPr>
          <w:rFonts w:cs="B Nazanin"/>
          <w:i/>
          <w:sz w:val="23"/>
          <w:szCs w:val="23"/>
          <w:rtl/>
        </w:rPr>
        <w:softHyphen/>
      </w:r>
      <w:r w:rsidRPr="00551F33">
        <w:rPr>
          <w:rFonts w:cs="B Nazanin" w:hint="cs"/>
          <w:i/>
          <w:sz w:val="23"/>
          <w:szCs w:val="23"/>
          <w:rtl/>
        </w:rPr>
        <w:t xml:space="preserve">ی مالی در اقتصاد کلان، انتقاد دوم توجیه بیشتری دارد. در اقتصاد کلان </w:t>
      </w:r>
      <w:r w:rsidRPr="00551F33">
        <w:rPr>
          <w:rFonts w:cs="B Nazanin"/>
          <w:i/>
          <w:sz w:val="23"/>
          <w:szCs w:val="23"/>
        </w:rPr>
        <w:t>DSGE</w:t>
      </w:r>
      <w:r w:rsidRPr="00551F33">
        <w:rPr>
          <w:rFonts w:cs="B Nazanin" w:hint="cs"/>
          <w:i/>
          <w:sz w:val="23"/>
          <w:szCs w:val="23"/>
          <w:rtl/>
        </w:rPr>
        <w:t xml:space="preserve"> بسیاری از تصمیمات بین</w:t>
      </w:r>
      <w:r w:rsidRPr="00551F33">
        <w:rPr>
          <w:rFonts w:cs="B Nazanin"/>
          <w:i/>
          <w:sz w:val="23"/>
          <w:szCs w:val="23"/>
          <w:rtl/>
        </w:rPr>
        <w:softHyphen/>
      </w:r>
      <w:r w:rsidRPr="00551F33">
        <w:rPr>
          <w:rFonts w:cs="B Nazanin" w:hint="cs"/>
          <w:i/>
          <w:sz w:val="23"/>
          <w:szCs w:val="23"/>
          <w:rtl/>
        </w:rPr>
        <w:t>دوره</w:t>
      </w:r>
      <w:r w:rsidRPr="00551F33">
        <w:rPr>
          <w:rFonts w:cs="B Nazanin" w:hint="cs"/>
          <w:i/>
          <w:sz w:val="23"/>
          <w:szCs w:val="23"/>
          <w:rtl/>
        </w:rPr>
        <w:softHyphen/>
        <w:t>ای مستلزم قیمت</w:t>
      </w:r>
      <w:r w:rsidRPr="00551F33">
        <w:rPr>
          <w:rFonts w:cs="B Nazanin"/>
          <w:i/>
          <w:sz w:val="23"/>
          <w:szCs w:val="23"/>
        </w:rPr>
        <w:t>‌</w:t>
      </w:r>
      <w:r w:rsidRPr="00551F33">
        <w:rPr>
          <w:rFonts w:cs="B Nazanin" w:hint="cs"/>
          <w:i/>
          <w:sz w:val="23"/>
          <w:szCs w:val="23"/>
          <w:rtl/>
        </w:rPr>
        <w:t>گذاری دارایی است. ازآن</w:t>
      </w:r>
      <w:r w:rsidRPr="00551F33">
        <w:rPr>
          <w:rFonts w:cs="B Nazanin"/>
          <w:i/>
          <w:sz w:val="23"/>
          <w:szCs w:val="23"/>
          <w:rtl/>
        </w:rPr>
        <w:softHyphen/>
      </w:r>
      <w:r w:rsidRPr="00551F33">
        <w:rPr>
          <w:rFonts w:cs="B Nazanin" w:hint="cs"/>
          <w:i/>
          <w:sz w:val="23"/>
          <w:szCs w:val="23"/>
          <w:rtl/>
        </w:rPr>
        <w:t>جا که آینده غیرقطعی است، ریسک نیز وجود دارد. در علم مالیه، قیمت</w:t>
      </w:r>
      <w:r w:rsidRPr="00551F33">
        <w:rPr>
          <w:rFonts w:cs="B Nazanin"/>
          <w:i/>
          <w:sz w:val="23"/>
          <w:szCs w:val="23"/>
        </w:rPr>
        <w:t>‌</w:t>
      </w:r>
      <w:r w:rsidRPr="00551F33">
        <w:rPr>
          <w:rFonts w:cs="B Nazanin" w:hint="cs"/>
          <w:i/>
          <w:sz w:val="23"/>
          <w:szCs w:val="23"/>
          <w:rtl/>
        </w:rPr>
        <w:t>گذاری ریسک یک مسئله‌ی اساسی است. بخش اعظم این عدم قطعیت قیمت</w:t>
      </w:r>
      <w:r w:rsidRPr="00551F33">
        <w:rPr>
          <w:rFonts w:cs="B Nazanin"/>
          <w:i/>
          <w:sz w:val="23"/>
          <w:szCs w:val="23"/>
        </w:rPr>
        <w:t>‌</w:t>
      </w:r>
      <w:r w:rsidRPr="00551F33">
        <w:rPr>
          <w:rFonts w:cs="B Nazanin" w:hint="cs"/>
          <w:i/>
          <w:sz w:val="23"/>
          <w:szCs w:val="23"/>
          <w:rtl/>
        </w:rPr>
        <w:t>گذاری دارایی و مسائل ریسک‌های سیستمی و همزمانی، در اقتصاد کلان نهفته است که در فصول یازدهم و دوازدهم بدان اشاره شد و در این فصل آن</w:t>
      </w:r>
      <w:r w:rsidRPr="00551F33">
        <w:rPr>
          <w:rFonts w:cs="B Nazanin"/>
          <w:i/>
          <w:sz w:val="23"/>
          <w:szCs w:val="23"/>
          <w:rtl/>
        </w:rPr>
        <w:softHyphen/>
      </w:r>
      <w:r w:rsidRPr="00551F33">
        <w:rPr>
          <w:rFonts w:cs="B Nazanin" w:hint="cs"/>
          <w:i/>
          <w:sz w:val="23"/>
          <w:szCs w:val="23"/>
          <w:rtl/>
        </w:rPr>
        <w:t>را بیشتر بسط خواهیم داد. مشکل دیگر این که آیا در علم مالی و در ارزیابی ریسک، توجه کافی به اقتصاد کلان می</w:t>
      </w:r>
      <w:r w:rsidRPr="00551F33">
        <w:rPr>
          <w:rFonts w:cs="B Nazanin"/>
          <w:i/>
          <w:sz w:val="23"/>
          <w:szCs w:val="23"/>
          <w:rtl/>
        </w:rPr>
        <w:softHyphen/>
      </w:r>
      <w:r w:rsidRPr="00551F33">
        <w:rPr>
          <w:rFonts w:cs="B Nazanin" w:hint="cs"/>
          <w:i/>
          <w:sz w:val="23"/>
          <w:szCs w:val="23"/>
          <w:rtl/>
        </w:rPr>
        <w:t>شود یا خیر. هرچند، در این خصوص چندین مدل بانکی وجود دارد و اغلب آن</w:t>
      </w:r>
      <w:r w:rsidRPr="00551F33">
        <w:rPr>
          <w:rFonts w:cs="B Nazanin"/>
          <w:i/>
          <w:sz w:val="23"/>
          <w:szCs w:val="23"/>
          <w:rtl/>
        </w:rPr>
        <w:softHyphen/>
      </w:r>
      <w:r w:rsidRPr="00551F33">
        <w:rPr>
          <w:rFonts w:cs="B Nazanin" w:hint="cs"/>
          <w:i/>
          <w:sz w:val="23"/>
          <w:szCs w:val="23"/>
          <w:rtl/>
        </w:rPr>
        <w:t>ها به نحوی طراحی شده</w:t>
      </w:r>
      <w:r w:rsidRPr="00551F33">
        <w:rPr>
          <w:rFonts w:cs="B Nazanin"/>
          <w:i/>
          <w:sz w:val="23"/>
          <w:szCs w:val="23"/>
          <w:rtl/>
        </w:rPr>
        <w:softHyphen/>
      </w:r>
      <w:r w:rsidRPr="00551F33">
        <w:rPr>
          <w:rFonts w:cs="B Nazanin" w:hint="cs"/>
          <w:i/>
          <w:sz w:val="23"/>
          <w:szCs w:val="23"/>
          <w:rtl/>
        </w:rPr>
        <w:t xml:space="preserve">اند که در مدل‌های </w:t>
      </w:r>
      <w:r w:rsidRPr="00551F33">
        <w:rPr>
          <w:rFonts w:cs="B Nazanin"/>
          <w:i/>
          <w:sz w:val="23"/>
          <w:szCs w:val="23"/>
        </w:rPr>
        <w:t>DSGE</w:t>
      </w:r>
      <w:r w:rsidRPr="00551F33">
        <w:rPr>
          <w:rFonts w:cs="B Nazanin" w:hint="cs"/>
          <w:i/>
          <w:sz w:val="23"/>
          <w:szCs w:val="23"/>
          <w:rtl/>
        </w:rPr>
        <w:t xml:space="preserve"> جای گرفته و به سوالات برخاسته از بحران مالی اخیر پاسخ می</w:t>
      </w:r>
      <w:r w:rsidRPr="00551F33">
        <w:rPr>
          <w:rFonts w:cs="B Nazanin"/>
          <w:i/>
          <w:sz w:val="23"/>
          <w:szCs w:val="23"/>
          <w:rtl/>
        </w:rPr>
        <w:softHyphen/>
      </w:r>
      <w:r w:rsidRPr="00551F33">
        <w:rPr>
          <w:rFonts w:cs="B Nazanin" w:hint="cs"/>
          <w:i/>
          <w:sz w:val="23"/>
          <w:szCs w:val="23"/>
          <w:rtl/>
        </w:rPr>
        <w:t>دهند، ولی این مدل‌ها بیشتر به قیود تأمین اعتبار و دلایل هجوم به بانک‌ها می‌پردازند و به دیدگاه وسیع</w:t>
      </w:r>
      <w:r w:rsidRPr="00551F33">
        <w:rPr>
          <w:rFonts w:cs="B Nazanin"/>
          <w:i/>
          <w:sz w:val="23"/>
          <w:szCs w:val="23"/>
        </w:rPr>
        <w:t>‌</w:t>
      </w:r>
      <w:r w:rsidRPr="00551F33">
        <w:rPr>
          <w:rFonts w:cs="B Nazanin" w:hint="cs"/>
          <w:i/>
          <w:sz w:val="23"/>
          <w:szCs w:val="23"/>
          <w:rtl/>
        </w:rPr>
        <w:t>تر بانکداری در اقتصاد کلان توجهی ندارند. بعلاوه، در سال‌های اخیر، سیاست</w:t>
      </w:r>
      <w:r w:rsidRPr="00551F33">
        <w:rPr>
          <w:rFonts w:cs="B Nazanin" w:hint="cs"/>
          <w:i/>
          <w:sz w:val="23"/>
          <w:szCs w:val="23"/>
          <w:rtl/>
        </w:rPr>
        <w:softHyphen/>
        <w:t xml:space="preserve">های پولی بر </w:t>
      </w:r>
      <w:r w:rsidRPr="00551F33">
        <w:rPr>
          <w:rFonts w:cs="B Nazanin" w:hint="cs"/>
          <w:i/>
          <w:sz w:val="23"/>
          <w:szCs w:val="23"/>
          <w:rtl/>
        </w:rPr>
        <w:lastRenderedPageBreak/>
        <w:t>نرخ‌های بهره و اثر آن‌ها بر هزینه‌های استقراض که از طریق ساختار زمانی نرخ بهره منتقل می‌شود تأکید داشته تا بر متغیرهای کلی پولی یا واسطه</w:t>
      </w:r>
      <w:r w:rsidRPr="00551F33">
        <w:rPr>
          <w:rFonts w:cs="B Nazanin"/>
          <w:i/>
          <w:sz w:val="23"/>
          <w:szCs w:val="23"/>
        </w:rPr>
        <w:t>‌</w:t>
      </w:r>
      <w:r w:rsidRPr="00551F33">
        <w:rPr>
          <w:rFonts w:cs="B Nazanin" w:hint="cs"/>
          <w:i/>
          <w:sz w:val="23"/>
          <w:szCs w:val="23"/>
          <w:rtl/>
        </w:rPr>
        <w:t xml:space="preserve">گری مالی از طریق سیستم بانکی. بنابراین بر چگونگی تعدیل مدل‌های </w:t>
      </w:r>
      <w:r w:rsidRPr="00551F33">
        <w:rPr>
          <w:rFonts w:cs="B Nazanin"/>
          <w:i/>
          <w:sz w:val="23"/>
          <w:szCs w:val="23"/>
        </w:rPr>
        <w:t>DSGE</w:t>
      </w:r>
      <w:r w:rsidRPr="00551F33">
        <w:rPr>
          <w:rFonts w:cs="B Nazanin" w:hint="cs"/>
          <w:i/>
          <w:sz w:val="23"/>
          <w:szCs w:val="23"/>
          <w:rtl/>
        </w:rPr>
        <w:t xml:space="preserve"> برای در بر گرفتن این جنبه‌های اضافی سیاست پولی تمرکز داشته و این کار علی</w:t>
      </w:r>
      <w:r w:rsidRPr="00551F33">
        <w:rPr>
          <w:rFonts w:cs="B Nazanin"/>
          <w:i/>
          <w:sz w:val="23"/>
          <w:szCs w:val="23"/>
          <w:rtl/>
        </w:rPr>
        <w:softHyphen/>
      </w:r>
      <w:r w:rsidRPr="00551F33">
        <w:rPr>
          <w:rFonts w:cs="B Nazanin" w:hint="cs"/>
          <w:i/>
          <w:sz w:val="23"/>
          <w:szCs w:val="23"/>
          <w:rtl/>
        </w:rPr>
        <w:t>رغم زمینه</w:t>
      </w:r>
      <w:r w:rsidRPr="00551F33">
        <w:rPr>
          <w:rFonts w:cs="B Nazanin"/>
          <w:i/>
          <w:sz w:val="23"/>
          <w:szCs w:val="23"/>
        </w:rPr>
        <w:t>‌</w:t>
      </w:r>
      <w:r w:rsidRPr="00551F33">
        <w:rPr>
          <w:rFonts w:cs="B Nazanin" w:hint="cs"/>
          <w:i/>
          <w:sz w:val="23"/>
          <w:szCs w:val="23"/>
          <w:rtl/>
        </w:rPr>
        <w:t>های بحران مالی انجام خواهد شد. اکنون با بحثی مقدماتی از برخی نقایص‌ کلیدی بازار مالی، و قیود استقراض (جیره</w:t>
      </w:r>
      <w:r w:rsidRPr="00551F33">
        <w:rPr>
          <w:rFonts w:cs="B Nazanin"/>
          <w:i/>
          <w:sz w:val="23"/>
          <w:szCs w:val="23"/>
          <w:rtl/>
        </w:rPr>
        <w:softHyphen/>
      </w:r>
      <w:r w:rsidRPr="00551F33">
        <w:rPr>
          <w:rFonts w:cs="B Nazanin" w:hint="cs"/>
          <w:i/>
          <w:sz w:val="23"/>
          <w:szCs w:val="23"/>
          <w:rtl/>
        </w:rPr>
        <w:t>بندی اعتبارات)، و قصور در پرداخت و اثر اطلاعات ناقص این موضوع را بیشتر مورد بررسی قرار می</w:t>
      </w:r>
      <w:r w:rsidRPr="00551F33">
        <w:rPr>
          <w:rFonts w:cs="B Nazanin"/>
          <w:i/>
          <w:sz w:val="23"/>
          <w:szCs w:val="23"/>
          <w:rtl/>
        </w:rPr>
        <w:softHyphen/>
      </w:r>
      <w:r w:rsidRPr="00551F33">
        <w:rPr>
          <w:rFonts w:cs="B Nazanin" w:hint="cs"/>
          <w:i/>
          <w:sz w:val="23"/>
          <w:szCs w:val="23"/>
          <w:rtl/>
        </w:rPr>
        <w:t xml:space="preserve">دهیم. </w:t>
      </w:r>
    </w:p>
    <w:p w14:paraId="174A4220"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p>
    <w:p w14:paraId="16D7847E" w14:textId="77777777" w:rsidR="00556C10" w:rsidRPr="00551F33" w:rsidRDefault="00556C10" w:rsidP="00556C10">
      <w:pPr>
        <w:pStyle w:val="Heading1"/>
        <w:spacing w:before="0" w:line="216" w:lineRule="auto"/>
        <w:rPr>
          <w:rFonts w:ascii="Times New Roman" w:hAnsi="Times New Roman" w:cs="B Nazanin"/>
          <w:b w:val="0"/>
          <w:i/>
          <w:sz w:val="23"/>
          <w:szCs w:val="23"/>
        </w:rPr>
      </w:pPr>
      <w:r w:rsidRPr="00551F33">
        <w:rPr>
          <w:rFonts w:ascii="Times New Roman" w:hAnsi="Times New Roman" w:cs="B Nazanin"/>
          <w:b w:val="0"/>
          <w:i/>
          <w:sz w:val="23"/>
          <w:szCs w:val="23"/>
        </w:rPr>
        <w:t> </w:t>
      </w:r>
      <w:r w:rsidRPr="00551F33">
        <w:rPr>
          <w:rFonts w:ascii="Times New Roman" w:hAnsi="Times New Roman" w:cs="B Nazanin" w:hint="cs"/>
          <w:b w:val="0"/>
          <w:i/>
          <w:sz w:val="23"/>
          <w:szCs w:val="23"/>
          <w:rtl/>
        </w:rPr>
        <w:t>۱۵. ۳ نقایص بازار مالی</w:t>
      </w:r>
    </w:p>
    <w:p w14:paraId="65029875" w14:textId="77777777" w:rsidR="00556C10" w:rsidRPr="00551F33" w:rsidRDefault="00556C10" w:rsidP="00556C10">
      <w:pPr>
        <w:pStyle w:val="Heading1"/>
        <w:spacing w:before="0" w:line="216" w:lineRule="auto"/>
        <w:rPr>
          <w:rFonts w:ascii="Times New Roman" w:hAnsi="Times New Roman" w:cs="B Nazanin"/>
          <w:b w:val="0"/>
          <w:i/>
          <w:sz w:val="23"/>
          <w:szCs w:val="23"/>
        </w:rPr>
      </w:pPr>
      <w:r w:rsidRPr="00551F33">
        <w:rPr>
          <w:rFonts w:ascii="Times New Roman" w:hAnsi="Times New Roman" w:cs="B Nazanin" w:hint="cs"/>
          <w:b w:val="0"/>
          <w:i/>
          <w:sz w:val="23"/>
          <w:szCs w:val="23"/>
          <w:rtl/>
        </w:rPr>
        <w:t>۱۵. ۳. ۱ قیود استقراض</w:t>
      </w:r>
    </w:p>
    <w:p w14:paraId="2F9FB3AC"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hint="cs"/>
          <w:i/>
          <w:sz w:val="23"/>
          <w:szCs w:val="23"/>
          <w:rtl/>
        </w:rPr>
        <w:t>یکی از پیامد</w:t>
      </w:r>
      <w:r w:rsidRPr="00551F33">
        <w:rPr>
          <w:rFonts w:cs="B Nazanin" w:hint="cs"/>
          <w:i/>
          <w:sz w:val="23"/>
          <w:szCs w:val="23"/>
          <w:rtl/>
        </w:rPr>
        <w:softHyphen/>
        <w:t xml:space="preserve">های بحران بانکی این بود که خانوارها و بنگاه‌ها با قید استقراض روبرو هستند. در فصل چهارم، با فرض عدم وجود قید استقراض برای خانوار این امکان فراهم </w:t>
      </w:r>
      <w:r w:rsidRPr="00551F33">
        <w:rPr>
          <w:rFonts w:cs="B Nazanin"/>
          <w:i/>
          <w:sz w:val="23"/>
          <w:szCs w:val="23"/>
          <w:rtl/>
        </w:rPr>
        <w:softHyphen/>
      </w:r>
      <w:r w:rsidRPr="00551F33">
        <w:rPr>
          <w:rFonts w:cs="B Nazanin" w:hint="cs"/>
          <w:i/>
          <w:sz w:val="23"/>
          <w:szCs w:val="23"/>
          <w:rtl/>
        </w:rPr>
        <w:t>شد تا شوک موقتی درآمدی را تجربه کرده و مصرف را از طریق استقراض هموار سازد. این نتیجه، پیامد مهم فرضیه</w:t>
      </w:r>
      <w:r w:rsidRPr="00551F33">
        <w:rPr>
          <w:rFonts w:cs="B Nazanin"/>
          <w:i/>
          <w:sz w:val="23"/>
          <w:szCs w:val="23"/>
          <w:rtl/>
        </w:rPr>
        <w:softHyphen/>
      </w:r>
      <w:r w:rsidRPr="00551F33">
        <w:rPr>
          <w:rFonts w:cs="B Nazanin" w:hint="cs"/>
          <w:i/>
          <w:sz w:val="23"/>
          <w:szCs w:val="23"/>
          <w:rtl/>
        </w:rPr>
        <w:t xml:space="preserve">ی چرخه‌ی زندگی است. همچنین شوک دائمی درآمد باعث کاهش مصرف دائمی خانوار شده و بر استقراض تأثیری ندارد. اکنون برای شناسایی برخی از اثرات معکوس بحران بانکی، پیامدهای قید استقراض بر خانوارها را بررسی خواهیم کرد. در مدل </w:t>
      </w:r>
      <w:r w:rsidRPr="00551F33">
        <w:rPr>
          <w:rFonts w:cs="B Nazanin"/>
          <w:i/>
          <w:sz w:val="23"/>
          <w:szCs w:val="23"/>
        </w:rPr>
        <w:t>DSGE</w:t>
      </w:r>
      <w:r w:rsidRPr="00551F33">
        <w:rPr>
          <w:rFonts w:cs="B Nazanin" w:hint="cs"/>
          <w:i/>
          <w:sz w:val="23"/>
          <w:szCs w:val="23"/>
          <w:rtl/>
        </w:rPr>
        <w:t xml:space="preserve"> فصل چهارم، مطلوبیت تنزیل شده</w:t>
      </w:r>
      <w:r w:rsidRPr="00551F33">
        <w:rPr>
          <w:rFonts w:cs="B Nazanin"/>
          <w:i/>
          <w:sz w:val="23"/>
          <w:szCs w:val="23"/>
          <w:rtl/>
        </w:rPr>
        <w:softHyphen/>
      </w:r>
      <w:r w:rsidRPr="00551F33">
        <w:rPr>
          <w:rFonts w:cs="B Nazanin" w:hint="cs"/>
          <w:i/>
          <w:sz w:val="23"/>
          <w:szCs w:val="23"/>
          <w:rtl/>
        </w:rPr>
        <w:t>ی خانوار با توجه به قید بودجه یا استقراض خانوار بصورت زیر نوشته می‌شود</w:t>
      </w:r>
    </w:p>
    <w:p w14:paraId="1CBC87EE" w14:textId="77777777" w:rsidR="00556C10" w:rsidRPr="00551F33" w:rsidRDefault="00556C10" w:rsidP="00556C10">
      <w:pPr>
        <w:pStyle w:val="NormalWeb"/>
        <w:spacing w:before="0" w:beforeAutospacing="0" w:after="0" w:afterAutospacing="0" w:line="216" w:lineRule="auto"/>
        <w:jc w:val="both"/>
        <w:rPr>
          <w:rFonts w:cs="B Nazanin"/>
          <w:i/>
          <w:sz w:val="23"/>
          <w:szCs w:val="23"/>
          <w:rtl/>
        </w:rPr>
      </w:pPr>
      <w:r w:rsidRPr="00551F33">
        <w:rPr>
          <w:i/>
          <w:sz w:val="23"/>
          <w:szCs w:val="23"/>
          <w:rtl/>
        </w:rPr>
        <w:t> </w:t>
      </w:r>
      <w:r w:rsidRPr="00551F33">
        <w:rPr>
          <w:position w:val="-42"/>
        </w:rPr>
        <w:object w:dxaOrig="3640" w:dyaOrig="940" w14:anchorId="0D545753">
          <v:shape id="_x0000_i7529" type="#_x0000_t75" style="width:181.5pt;height:47.2pt" o:ole="">
            <v:imagedata r:id="rId13131" o:title=""/>
          </v:shape>
          <o:OLEObject Type="Embed" ProgID="Equation.DSMT4" ShapeID="_x0000_i7529" DrawAspect="Content" ObjectID="_1791381472" r:id="rId13132"/>
        </w:object>
      </w:r>
    </w:p>
    <w:p w14:paraId="07B78304"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hint="cs"/>
          <w:i/>
          <w:sz w:val="23"/>
          <w:szCs w:val="23"/>
          <w:rtl/>
        </w:rPr>
        <w:t>که در آن</w:t>
      </w:r>
      <w:r w:rsidRPr="00551F33">
        <w:rPr>
          <w:position w:val="-10"/>
        </w:rPr>
        <w:object w:dxaOrig="200" w:dyaOrig="320" w14:anchorId="77A6C572">
          <v:shape id="_x0000_i7530" type="#_x0000_t75" style="width:10.3pt;height:15.75pt" o:ole="">
            <v:imagedata r:id="rId13133" o:title=""/>
          </v:shape>
          <o:OLEObject Type="Embed" ProgID="Equation.DSMT4" ShapeID="_x0000_i7530" DrawAspect="Content" ObjectID="_1791381473" r:id="rId13134"/>
        </w:object>
      </w:r>
      <w:r w:rsidRPr="00551F33">
        <w:rPr>
          <w:rFonts w:cs="B Nazanin" w:hint="cs"/>
          <w:i/>
          <w:sz w:val="23"/>
          <w:szCs w:val="23"/>
          <w:rtl/>
        </w:rPr>
        <w:t xml:space="preserve"> مصرف،</w:t>
      </w:r>
      <w:r w:rsidRPr="00551F33">
        <w:rPr>
          <w:position w:val="-10"/>
        </w:rPr>
        <w:object w:dxaOrig="220" w:dyaOrig="320" w14:anchorId="53F18C64">
          <v:shape id="_x0000_i7531" type="#_x0000_t75" style="width:10.9pt;height:15.75pt" o:ole="">
            <v:imagedata r:id="rId13135" o:title=""/>
          </v:shape>
          <o:OLEObject Type="Embed" ProgID="Equation.DSMT4" ShapeID="_x0000_i7531" DrawAspect="Content" ObjectID="_1791381474" r:id="rId13136"/>
        </w:object>
      </w:r>
      <w:r w:rsidRPr="00551F33">
        <w:rPr>
          <w:rFonts w:cs="B Nazanin"/>
          <w:i/>
          <w:sz w:val="23"/>
          <w:szCs w:val="23"/>
        </w:rPr>
        <w:t xml:space="preserve"> </w:t>
      </w:r>
      <w:r w:rsidRPr="00551F33">
        <w:rPr>
          <w:rFonts w:cs="B Nazanin" w:hint="cs"/>
          <w:i/>
          <w:sz w:val="23"/>
          <w:szCs w:val="23"/>
          <w:rtl/>
        </w:rPr>
        <w:t>استقراض خانوار در نرخ بهره‌ی</w:t>
      </w:r>
      <w:r w:rsidRPr="00025957">
        <w:rPr>
          <w:position w:val="-4"/>
        </w:rPr>
        <w:object w:dxaOrig="180" w:dyaOrig="180" w14:anchorId="74A3BA68">
          <v:shape id="_x0000_i7532" type="#_x0000_t75" style="width:9.1pt;height:9.1pt" o:ole="">
            <v:imagedata r:id="rId13137" o:title=""/>
          </v:shape>
          <o:OLEObject Type="Embed" ProgID="Equation.DSMT4" ShapeID="_x0000_i7532" DrawAspect="Content" ObjectID="_1791381475" r:id="rId13138"/>
        </w:object>
      </w:r>
      <w:r w:rsidRPr="00551F33">
        <w:rPr>
          <w:rFonts w:cs="B Nazanin" w:hint="cs"/>
          <w:i/>
          <w:sz w:val="23"/>
          <w:szCs w:val="23"/>
          <w:rtl/>
        </w:rPr>
        <w:t xml:space="preserve"> و</w:t>
      </w:r>
      <w:r w:rsidRPr="00551F33">
        <w:rPr>
          <w:position w:val="-10"/>
        </w:rPr>
        <w:object w:dxaOrig="240" w:dyaOrig="320" w14:anchorId="48331F11">
          <v:shape id="_x0000_i7533" type="#_x0000_t75" style="width:12.1pt;height:15.75pt" o:ole="">
            <v:imagedata r:id="rId13139" o:title=""/>
          </v:shape>
          <o:OLEObject Type="Embed" ProgID="Equation.DSMT4" ShapeID="_x0000_i7533" DrawAspect="Content" ObjectID="_1791381476" r:id="rId13140"/>
        </w:object>
      </w:r>
      <w:r w:rsidRPr="00551F33">
        <w:rPr>
          <w:rFonts w:cs="B Nazanin" w:hint="cs"/>
          <w:i/>
          <w:sz w:val="23"/>
          <w:szCs w:val="23"/>
          <w:rtl/>
        </w:rPr>
        <w:t xml:space="preserve"> برابر است با درآمد خانوار. برای سهولت فرض می‌شود</w:t>
      </w:r>
      <w:r w:rsidRPr="00551F33">
        <w:rPr>
          <w:position w:val="-10"/>
        </w:rPr>
        <w:object w:dxaOrig="560" w:dyaOrig="320" w14:anchorId="6C3BAF9B">
          <v:shape id="_x0000_i7534" type="#_x0000_t75" style="width:27.85pt;height:15.75pt" o:ole="">
            <v:imagedata r:id="rId13141" o:title=""/>
          </v:shape>
          <o:OLEObject Type="Embed" ProgID="Equation.DSMT4" ShapeID="_x0000_i7534" DrawAspect="Content" ObjectID="_1791381477" r:id="rId13142"/>
        </w:object>
      </w:r>
      <w:r w:rsidRPr="00551F33">
        <w:rPr>
          <w:rFonts w:cs="B Nazanin" w:hint="cs"/>
          <w:i/>
          <w:sz w:val="23"/>
          <w:szCs w:val="23"/>
          <w:rtl/>
        </w:rPr>
        <w:t xml:space="preserve"> و</w:t>
      </w:r>
      <w:r w:rsidRPr="00025957">
        <w:rPr>
          <w:position w:val="-4"/>
        </w:rPr>
        <w:object w:dxaOrig="180" w:dyaOrig="180" w14:anchorId="48CCC4BE">
          <v:shape id="_x0000_i7535" type="#_x0000_t75" style="width:9.1pt;height:9.1pt" o:ole="">
            <v:imagedata r:id="rId13143" o:title=""/>
          </v:shape>
          <o:OLEObject Type="Embed" ProgID="Equation.DSMT4" ShapeID="_x0000_i7535" DrawAspect="Content" ObjectID="_1791381478" r:id="rId13144"/>
        </w:object>
      </w:r>
      <w:r w:rsidRPr="00551F33">
        <w:rPr>
          <w:rFonts w:cs="B Nazanin" w:hint="cs"/>
          <w:i/>
          <w:sz w:val="23"/>
          <w:szCs w:val="23"/>
          <w:rtl/>
        </w:rPr>
        <w:t xml:space="preserve"> ثابت است. این مسئله را با قید استقراض و بدون استقراض و همچنین با شوک‌های درآمدی و بدون شوک‌های درآمدی حل می‌کنیم. اگر قید استقراض و شوک‌های درآمدی وجود نداشته باشد، می</w:t>
      </w:r>
      <w:r w:rsidRPr="00551F33">
        <w:rPr>
          <w:rFonts w:cs="B Nazanin" w:hint="cs"/>
          <w:i/>
          <w:sz w:val="23"/>
          <w:szCs w:val="23"/>
          <w:rtl/>
        </w:rPr>
        <w:softHyphen/>
        <w:t>توان برای هر</w:t>
      </w:r>
      <w:r w:rsidRPr="00551F33">
        <w:rPr>
          <w:position w:val="-6"/>
        </w:rPr>
        <w:object w:dxaOrig="499" w:dyaOrig="260" w14:anchorId="72A49B8A">
          <v:shape id="_x0000_i7536" type="#_x0000_t75" style="width:24.8pt;height:12.7pt" o:ole="">
            <v:imagedata r:id="rId13145" o:title=""/>
          </v:shape>
          <o:OLEObject Type="Embed" ProgID="Equation.DSMT4" ShapeID="_x0000_i7536" DrawAspect="Content" ObjectID="_1791381479" r:id="rId13146"/>
        </w:object>
      </w:r>
      <w:r w:rsidRPr="00551F33">
        <w:rPr>
          <w:rFonts w:cs="B Nazanin" w:hint="cs"/>
          <w:i/>
          <w:sz w:val="23"/>
          <w:szCs w:val="23"/>
          <w:rtl/>
        </w:rPr>
        <w:t xml:space="preserve"> فرض کرد که درآمد ثابت است و یا </w:t>
      </w:r>
      <w:r w:rsidRPr="00551F33">
        <w:rPr>
          <w:position w:val="-10"/>
        </w:rPr>
        <w:object w:dxaOrig="960" w:dyaOrig="320" w14:anchorId="2FEFFA44">
          <v:shape id="_x0000_i7537" type="#_x0000_t75" style="width:47.8pt;height:15.75pt" o:ole="">
            <v:imagedata r:id="rId13147" o:title=""/>
          </v:shape>
          <o:OLEObject Type="Embed" ProgID="Equation.DSMT4" ShapeID="_x0000_i7537" DrawAspect="Content" ObjectID="_1791381480" r:id="rId13148"/>
        </w:object>
      </w:r>
      <w:r w:rsidRPr="00551F33">
        <w:rPr>
          <w:rFonts w:cs="B Nazanin" w:hint="cs"/>
          <w:i/>
          <w:sz w:val="23"/>
          <w:szCs w:val="23"/>
          <w:rtl/>
        </w:rPr>
        <w:t>. دراین</w:t>
      </w:r>
      <w:r w:rsidRPr="00551F33">
        <w:rPr>
          <w:rFonts w:cs="B Nazanin"/>
          <w:i/>
          <w:sz w:val="23"/>
          <w:szCs w:val="23"/>
          <w:rtl/>
        </w:rPr>
        <w:softHyphen/>
      </w:r>
      <w:r w:rsidRPr="00551F33">
        <w:rPr>
          <w:rFonts w:cs="B Nazanin" w:hint="cs"/>
          <w:i/>
          <w:sz w:val="23"/>
          <w:szCs w:val="23"/>
          <w:rtl/>
        </w:rPr>
        <w:t>صورت حل این مسئله به صورت زیر خواهد بود</w:t>
      </w:r>
    </w:p>
    <w:p w14:paraId="2629E3DB" w14:textId="77777777" w:rsidR="00556C10" w:rsidRPr="00551F33" w:rsidRDefault="00556C10" w:rsidP="00556C10">
      <w:pPr>
        <w:pStyle w:val="NormalWeb"/>
        <w:spacing w:before="0" w:beforeAutospacing="0" w:after="0" w:afterAutospacing="0" w:line="216" w:lineRule="auto"/>
        <w:jc w:val="both"/>
        <w:rPr>
          <w:sz w:val="23"/>
          <w:szCs w:val="23"/>
          <w:rtl/>
        </w:rPr>
      </w:pPr>
      <w:r w:rsidRPr="00551F33">
        <w:rPr>
          <w:i/>
          <w:sz w:val="23"/>
          <w:szCs w:val="23"/>
          <w:rtl/>
        </w:rPr>
        <w:t> </w:t>
      </w:r>
      <w:r w:rsidRPr="00551F33">
        <w:rPr>
          <w:position w:val="-34"/>
        </w:rPr>
        <w:object w:dxaOrig="3260" w:dyaOrig="700" w14:anchorId="2460C35E">
          <v:shape id="_x0000_i7538" type="#_x0000_t75" style="width:162.75pt;height:35.1pt" o:ole="">
            <v:imagedata r:id="rId13149" o:title=""/>
          </v:shape>
          <o:OLEObject Type="Embed" ProgID="Equation.DSMT4" ShapeID="_x0000_i7538" DrawAspect="Content" ObjectID="_1791381481" r:id="rId13150"/>
        </w:object>
      </w:r>
    </w:p>
    <w:p w14:paraId="30171343" w14:textId="77777777" w:rsidR="00556C10" w:rsidRPr="00551F33" w:rsidRDefault="00556C10" w:rsidP="00556C10">
      <w:pPr>
        <w:pStyle w:val="NormalWeb"/>
        <w:spacing w:before="0" w:beforeAutospacing="0" w:after="0" w:afterAutospacing="0" w:line="216" w:lineRule="auto"/>
        <w:jc w:val="both"/>
        <w:rPr>
          <w:sz w:val="23"/>
          <w:szCs w:val="23"/>
          <w:rtl/>
        </w:rPr>
      </w:pPr>
      <w:r w:rsidRPr="00551F33">
        <w:rPr>
          <w:position w:val="-10"/>
        </w:rPr>
        <w:object w:dxaOrig="1280" w:dyaOrig="320" w14:anchorId="2F33BD9F">
          <v:shape id="_x0000_i7539" type="#_x0000_t75" style="width:64.15pt;height:15.75pt" o:ole="">
            <v:imagedata r:id="rId13151" o:title=""/>
          </v:shape>
          <o:OLEObject Type="Embed" ProgID="Equation.DSMT4" ShapeID="_x0000_i7539" DrawAspect="Content" ObjectID="_1791381482" r:id="rId13152"/>
        </w:object>
      </w:r>
    </w:p>
    <w:p w14:paraId="004ACEDB" w14:textId="77777777" w:rsidR="00556C10" w:rsidRPr="00551F33" w:rsidRDefault="00556C10" w:rsidP="00556C10">
      <w:pPr>
        <w:pStyle w:val="NormalWeb"/>
        <w:spacing w:before="0" w:beforeAutospacing="0" w:after="0" w:afterAutospacing="0" w:line="216" w:lineRule="auto"/>
        <w:jc w:val="both"/>
        <w:rPr>
          <w:sz w:val="23"/>
          <w:szCs w:val="23"/>
          <w:rtl/>
        </w:rPr>
      </w:pPr>
      <w:r w:rsidRPr="00551F33">
        <w:rPr>
          <w:position w:val="-34"/>
        </w:rPr>
        <w:object w:dxaOrig="2280" w:dyaOrig="740" w14:anchorId="6EFE59BF">
          <v:shape id="_x0000_i7540" type="#_x0000_t75" style="width:113.75pt;height:36.9pt" o:ole="">
            <v:imagedata r:id="rId13153" o:title=""/>
          </v:shape>
          <o:OLEObject Type="Embed" ProgID="Equation.DSMT4" ShapeID="_x0000_i7540" DrawAspect="Content" ObjectID="_1791381483" r:id="rId13154"/>
        </w:object>
      </w:r>
    </w:p>
    <w:p w14:paraId="50EE4F0C" w14:textId="77777777" w:rsidR="00556C10" w:rsidRPr="00551F33" w:rsidRDefault="00556C10" w:rsidP="00556C10">
      <w:pPr>
        <w:pStyle w:val="NormalWeb"/>
        <w:spacing w:before="0" w:beforeAutospacing="0" w:after="0" w:afterAutospacing="0" w:line="216" w:lineRule="auto"/>
        <w:jc w:val="both"/>
        <w:rPr>
          <w:rFonts w:cs="B Nazanin"/>
          <w:i/>
          <w:sz w:val="23"/>
          <w:szCs w:val="23"/>
          <w:rtl/>
        </w:rPr>
      </w:pPr>
      <w:r w:rsidRPr="00551F33">
        <w:rPr>
          <w:position w:val="-10"/>
        </w:rPr>
        <w:object w:dxaOrig="700" w:dyaOrig="320" w14:anchorId="2EC5DE30">
          <v:shape id="_x0000_i7541" type="#_x0000_t75" style="width:35.1pt;height:15.75pt" o:ole="">
            <v:imagedata r:id="rId13155" o:title=""/>
          </v:shape>
          <o:OLEObject Type="Embed" ProgID="Equation.DSMT4" ShapeID="_x0000_i7541" DrawAspect="Content" ObjectID="_1791381484" r:id="rId13156"/>
        </w:object>
      </w:r>
    </w:p>
    <w:p w14:paraId="615B4EA2"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i/>
          <w:sz w:val="23"/>
          <w:szCs w:val="23"/>
        </w:rPr>
        <w:lastRenderedPageBreak/>
        <w:t> </w:t>
      </w:r>
      <w:r w:rsidRPr="00551F33">
        <w:rPr>
          <w:rFonts w:cs="B Nazanin" w:hint="cs"/>
          <w:i/>
          <w:sz w:val="23"/>
          <w:szCs w:val="23"/>
          <w:rtl/>
        </w:rPr>
        <w:t>بنابراین سطح بدهی بهینه‌ در وضعیت یکنواخت برابر است با ارزش فعلی انتظاری پس</w:t>
      </w:r>
      <w:r w:rsidRPr="00551F33">
        <w:rPr>
          <w:rFonts w:cs="B Nazanin" w:hint="cs"/>
          <w:i/>
          <w:sz w:val="23"/>
          <w:szCs w:val="23"/>
          <w:rtl/>
        </w:rPr>
        <w:softHyphen/>
        <w:t>انداز‌هایی که برای بازپرداخت بدهی لازم است. حال فرض کنید که یک شوک درآمدی</w:t>
      </w:r>
      <w:r w:rsidRPr="00551F33">
        <w:rPr>
          <w:position w:val="-8"/>
        </w:rPr>
        <w:object w:dxaOrig="320" w:dyaOrig="279" w14:anchorId="77E99D31">
          <v:shape id="_x0000_i7542" type="#_x0000_t75" style="width:15.75pt;height:13.9pt" o:ole="">
            <v:imagedata r:id="rId13157" o:title=""/>
          </v:shape>
          <o:OLEObject Type="Embed" ProgID="Equation.DSMT4" ShapeID="_x0000_i7542" DrawAspect="Content" ObjectID="_1791381485" r:id="rId13158"/>
        </w:object>
      </w:r>
      <w:r w:rsidRPr="00551F33">
        <w:rPr>
          <w:rFonts w:cs="B Nazanin"/>
          <w:i/>
          <w:sz w:val="23"/>
          <w:szCs w:val="23"/>
        </w:rPr>
        <w:t xml:space="preserve"> </w:t>
      </w:r>
      <w:r w:rsidRPr="00551F33">
        <w:rPr>
          <w:rFonts w:cs="B Nazanin" w:hint="cs"/>
          <w:i/>
          <w:sz w:val="23"/>
          <w:szCs w:val="23"/>
          <w:rtl/>
        </w:rPr>
        <w:t>در هر دوره و با احتمال</w:t>
      </w:r>
      <w:r w:rsidRPr="00551F33">
        <w:rPr>
          <w:position w:val="-6"/>
        </w:rPr>
        <w:object w:dxaOrig="220" w:dyaOrig="200" w14:anchorId="5840651F">
          <v:shape id="_x0000_i7543" type="#_x0000_t75" style="width:10.9pt;height:10.3pt" o:ole="">
            <v:imagedata r:id="rId13159" o:title=""/>
          </v:shape>
          <o:OLEObject Type="Embed" ProgID="Equation.DSMT4" ShapeID="_x0000_i7543" DrawAspect="Content" ObjectID="_1791381486" r:id="rId13160"/>
        </w:object>
      </w:r>
      <w:r w:rsidRPr="00551F33">
        <w:rPr>
          <w:rFonts w:cs="B Nazanin" w:hint="cs"/>
          <w:i/>
          <w:sz w:val="23"/>
          <w:szCs w:val="23"/>
          <w:rtl/>
        </w:rPr>
        <w:t xml:space="preserve"> اعمال شود، آنگاه</w:t>
      </w:r>
    </w:p>
    <w:p w14:paraId="06E48BD3" w14:textId="77777777" w:rsidR="00556C10" w:rsidRPr="00551F33" w:rsidRDefault="00556C10" w:rsidP="00556C10">
      <w:pPr>
        <w:pStyle w:val="NormalWeb"/>
        <w:spacing w:before="0" w:beforeAutospacing="0" w:after="0" w:afterAutospacing="0" w:line="216" w:lineRule="auto"/>
        <w:jc w:val="both"/>
        <w:rPr>
          <w:rFonts w:cs="B Nazanin"/>
          <w:i/>
          <w:sz w:val="23"/>
          <w:szCs w:val="23"/>
        </w:rPr>
      </w:pPr>
      <w:r w:rsidRPr="00551F33">
        <w:rPr>
          <w:position w:val="-12"/>
        </w:rPr>
        <w:object w:dxaOrig="3500" w:dyaOrig="360" w14:anchorId="39744E13">
          <v:shape id="_x0000_i7544" type="#_x0000_t75" style="width:175.45pt;height:18.15pt" o:ole="">
            <v:imagedata r:id="rId13161" o:title=""/>
          </v:shape>
          <o:OLEObject Type="Embed" ProgID="Equation.DSMT4" ShapeID="_x0000_i7544" DrawAspect="Content" ObjectID="_1791381487" r:id="rId13162"/>
        </w:object>
      </w:r>
    </w:p>
    <w:p w14:paraId="08D4D182"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hint="cs"/>
          <w:i/>
          <w:sz w:val="23"/>
          <w:szCs w:val="23"/>
          <w:rtl/>
        </w:rPr>
        <w:t>این شوک، مخارج مصرفی و سطح بدهی را تحت تاثیر قرار داده، و حل‌ بهینه</w:t>
      </w:r>
      <w:r w:rsidRPr="00551F33">
        <w:rPr>
          <w:rFonts w:cs="B Nazanin" w:hint="cs"/>
          <w:i/>
          <w:sz w:val="23"/>
          <w:szCs w:val="23"/>
          <w:rtl/>
        </w:rPr>
        <w:softHyphen/>
        <w:t>ی مصرف و بدهی به این بستگی دارد که آیا شوک مربوطه اعمال شده است یا خیر، و این</w:t>
      </w:r>
      <w:r w:rsidRPr="00551F33">
        <w:rPr>
          <w:rFonts w:cs="B Nazanin" w:hint="cs"/>
          <w:i/>
          <w:sz w:val="23"/>
          <w:szCs w:val="23"/>
          <w:rtl/>
        </w:rPr>
        <w:softHyphen/>
        <w:t xml:space="preserve">که آیا خانوار از آن شوک مطلع است یا خیر. این موارد عبارتند از </w:t>
      </w:r>
    </w:p>
    <w:p w14:paraId="67761003"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hint="cs"/>
          <w:bCs/>
          <w:i/>
          <w:sz w:val="23"/>
          <w:szCs w:val="23"/>
          <w:rtl/>
        </w:rPr>
        <w:t>الف</w:t>
      </w:r>
      <w:r w:rsidRPr="00551F33">
        <w:rPr>
          <w:rFonts w:cs="B Nazanin" w:hint="cs"/>
          <w:i/>
          <w:sz w:val="23"/>
          <w:szCs w:val="23"/>
          <w:rtl/>
        </w:rPr>
        <w:t xml:space="preserve">: معلوم نیست که شوک درآمدی اعمال شده و یا در آینده اعمال خواهد شد. این وضعیت فقط برای دوره‌ی زمانی کنونی مصداق دارد، زیرا در دوره‌های بعد اعمال و یا عدم اعمال شوک درآمدی معلوم خواهد بود. برای دوره‌ی </w:t>
      </w:r>
      <w:r w:rsidRPr="00551F33">
        <w:rPr>
          <w:rFonts w:cs="B Nazanin"/>
          <w:i/>
          <w:sz w:val="23"/>
          <w:szCs w:val="23"/>
        </w:rPr>
        <w:t>t</w:t>
      </w:r>
      <w:r w:rsidRPr="00551F33">
        <w:rPr>
          <w:rFonts w:cs="B Nazanin" w:hint="cs"/>
          <w:i/>
          <w:sz w:val="23"/>
          <w:szCs w:val="23"/>
          <w:rtl/>
        </w:rPr>
        <w:t xml:space="preserve"> حل بهینه مدل عبارت است از</w:t>
      </w:r>
    </w:p>
    <w:p w14:paraId="37512E3D" w14:textId="77777777" w:rsidR="00556C10" w:rsidRPr="00551F33" w:rsidRDefault="00556C10" w:rsidP="00556C10">
      <w:pPr>
        <w:pStyle w:val="NormalWeb"/>
        <w:spacing w:before="0" w:beforeAutospacing="0" w:after="0" w:afterAutospacing="0" w:line="216" w:lineRule="auto"/>
        <w:jc w:val="both"/>
        <w:rPr>
          <w:rFonts w:cs="B Nazanin"/>
          <w:i/>
          <w:sz w:val="23"/>
          <w:szCs w:val="23"/>
        </w:rPr>
      </w:pPr>
      <w:r w:rsidRPr="00551F33">
        <w:rPr>
          <w:rFonts w:cs="B Nazanin"/>
          <w:i/>
          <w:sz w:val="23"/>
          <w:szCs w:val="23"/>
        </w:rPr>
        <w:t> </w:t>
      </w:r>
      <w:r w:rsidRPr="00551F33">
        <w:rPr>
          <w:position w:val="-28"/>
        </w:rPr>
        <w:object w:dxaOrig="1400" w:dyaOrig="660" w14:anchorId="3DE3F363">
          <v:shape id="_x0000_i7545" type="#_x0000_t75" style="width:70.2pt;height:33.3pt" o:ole="">
            <v:imagedata r:id="rId13163" o:title=""/>
          </v:shape>
          <o:OLEObject Type="Embed" ProgID="Equation.DSMT4" ShapeID="_x0000_i7545" DrawAspect="Content" ObjectID="_1791381488" r:id="rId13164"/>
        </w:object>
      </w:r>
    </w:p>
    <w:p w14:paraId="4067AA42"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hint="cs"/>
          <w:i/>
          <w:sz w:val="23"/>
          <w:szCs w:val="23"/>
          <w:rtl/>
        </w:rPr>
        <w:t>بنابراین هنگامی که امکان</w:t>
      </w:r>
      <w:r w:rsidRPr="00551F33">
        <w:rPr>
          <w:rFonts w:cs="B Nazanin"/>
          <w:i/>
          <w:sz w:val="23"/>
          <w:szCs w:val="23"/>
        </w:rPr>
        <w:t xml:space="preserve"> </w:t>
      </w:r>
      <w:r w:rsidRPr="00551F33">
        <w:rPr>
          <w:rFonts w:cs="B Nazanin" w:hint="cs"/>
          <w:i/>
          <w:sz w:val="23"/>
          <w:szCs w:val="23"/>
          <w:rtl/>
        </w:rPr>
        <w:t xml:space="preserve">شوک درآمدی وجود داشته و مشخص نیست که چنین شوکی وارد شده، و یا احتمال وجود شوک در آینده وجود دارد یا خیر، سطح بهینه‌ی مصرف در دوره‌ی </w:t>
      </w:r>
      <w:r w:rsidRPr="00551F33">
        <w:rPr>
          <w:rFonts w:cs="B Nazanin"/>
          <w:i/>
          <w:sz w:val="23"/>
          <w:szCs w:val="23"/>
        </w:rPr>
        <w:t>t</w:t>
      </w:r>
      <w:r w:rsidRPr="00551F33">
        <w:rPr>
          <w:rFonts w:cs="B Nazanin" w:hint="cs"/>
          <w:i/>
          <w:sz w:val="23"/>
          <w:szCs w:val="23"/>
          <w:rtl/>
        </w:rPr>
        <w:t xml:space="preserve"> پایین</w:t>
      </w:r>
      <w:r w:rsidRPr="00551F33">
        <w:rPr>
          <w:rFonts w:cs="B Nazanin" w:hint="cs"/>
          <w:i/>
          <w:sz w:val="23"/>
          <w:szCs w:val="23"/>
          <w:rtl/>
        </w:rPr>
        <w:softHyphen/>
        <w:t>تر است، و سطح استقراض تحت تاثیر قرار نمی</w:t>
      </w:r>
      <w:r w:rsidRPr="00551F33">
        <w:rPr>
          <w:rFonts w:cs="B Nazanin" w:hint="cs"/>
          <w:i/>
          <w:sz w:val="23"/>
          <w:szCs w:val="23"/>
          <w:rtl/>
        </w:rPr>
        <w:softHyphen/>
        <w:t xml:space="preserve">گیرد. برای این راه حل، و تمام راه حل‌های متعاقب آن، به ازای هر </w:t>
      </w:r>
      <w:r w:rsidRPr="00551F33">
        <w:rPr>
          <w:position w:val="-6"/>
        </w:rPr>
        <w:object w:dxaOrig="499" w:dyaOrig="260" w14:anchorId="6CFCF78D">
          <v:shape id="_x0000_i7546" type="#_x0000_t75" style="width:24.8pt;height:12.7pt" o:ole="">
            <v:imagedata r:id="rId13165" o:title=""/>
          </v:shape>
          <o:OLEObject Type="Embed" ProgID="Equation.DSMT4" ShapeID="_x0000_i7546" DrawAspect="Content" ObjectID="_1791381489" r:id="rId13166"/>
        </w:object>
      </w:r>
      <w:r w:rsidRPr="00551F33">
        <w:rPr>
          <w:rFonts w:cs="B Nazanin" w:hint="cs"/>
          <w:i/>
          <w:sz w:val="23"/>
          <w:szCs w:val="23"/>
          <w:rtl/>
        </w:rPr>
        <w:t xml:space="preserve"> خواهیم داشت</w:t>
      </w:r>
      <w:r w:rsidRPr="00551F33">
        <w:rPr>
          <w:position w:val="-10"/>
        </w:rPr>
        <w:object w:dxaOrig="940" w:dyaOrig="320" w14:anchorId="3FB1CD37">
          <v:shape id="_x0000_i7547" type="#_x0000_t75" style="width:47.2pt;height:15.75pt" o:ole="">
            <v:imagedata r:id="rId13167" o:title=""/>
          </v:shape>
          <o:OLEObject Type="Embed" ProgID="Equation.DSMT4" ShapeID="_x0000_i7547" DrawAspect="Content" ObjectID="_1791381490" r:id="rId13168"/>
        </w:object>
      </w:r>
      <w:r w:rsidRPr="00551F33">
        <w:rPr>
          <w:rFonts w:cs="B Nazanin" w:hint="cs"/>
          <w:i/>
          <w:sz w:val="23"/>
          <w:szCs w:val="23"/>
          <w:rtl/>
        </w:rPr>
        <w:t xml:space="preserve">. </w:t>
      </w:r>
    </w:p>
    <w:p w14:paraId="63FB867B"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hint="cs"/>
          <w:bCs/>
          <w:i/>
          <w:sz w:val="23"/>
          <w:szCs w:val="23"/>
          <w:rtl/>
        </w:rPr>
        <w:t>ب:</w:t>
      </w:r>
      <w:r w:rsidRPr="00551F33">
        <w:rPr>
          <w:rFonts w:cs="B Nazanin" w:hint="cs"/>
          <w:i/>
          <w:sz w:val="23"/>
          <w:szCs w:val="23"/>
          <w:rtl/>
        </w:rPr>
        <w:t xml:space="preserve"> در زمان </w:t>
      </w:r>
      <w:r w:rsidRPr="00551F33">
        <w:rPr>
          <w:rFonts w:cs="B Nazanin"/>
          <w:i/>
          <w:sz w:val="23"/>
          <w:szCs w:val="23"/>
        </w:rPr>
        <w:t>t</w:t>
      </w:r>
      <w:r w:rsidRPr="00551F33">
        <w:rPr>
          <w:rFonts w:cs="B Nazanin" w:hint="cs"/>
          <w:i/>
          <w:sz w:val="23"/>
          <w:szCs w:val="23"/>
          <w:rtl/>
        </w:rPr>
        <w:t xml:space="preserve"> هیچ شوکی اعمال نشود، ولی شوک آتی محتمل باشد. آنگاه راه حل مصرف بصورت زیر است</w:t>
      </w:r>
    </w:p>
    <w:p w14:paraId="43631B16" w14:textId="77777777" w:rsidR="00556C10" w:rsidRPr="00551F33" w:rsidRDefault="00556C10" w:rsidP="00556C10">
      <w:pPr>
        <w:pStyle w:val="NormalWeb"/>
        <w:spacing w:before="0" w:beforeAutospacing="0" w:after="0" w:afterAutospacing="0" w:line="216" w:lineRule="auto"/>
        <w:jc w:val="both"/>
        <w:rPr>
          <w:rFonts w:cs="B Nazanin"/>
          <w:i/>
          <w:sz w:val="23"/>
          <w:szCs w:val="23"/>
          <w:rtl/>
        </w:rPr>
      </w:pPr>
      <w:r w:rsidRPr="00551F33">
        <w:rPr>
          <w:position w:val="-68"/>
        </w:rPr>
        <w:object w:dxaOrig="2100" w:dyaOrig="1460" w14:anchorId="231A8D86">
          <v:shape id="_x0000_i7548" type="#_x0000_t75" style="width:105.3pt;height:73.2pt" o:ole="">
            <v:imagedata r:id="rId13169" o:title=""/>
          </v:shape>
          <o:OLEObject Type="Embed" ProgID="Equation.DSMT4" ShapeID="_x0000_i7548" DrawAspect="Content" ObjectID="_1791381491" r:id="rId13170"/>
        </w:object>
      </w:r>
    </w:p>
    <w:p w14:paraId="4C13053D"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hint="cs"/>
          <w:i/>
          <w:sz w:val="23"/>
          <w:szCs w:val="23"/>
          <w:rtl/>
        </w:rPr>
        <w:t xml:space="preserve"> بنابراین مخارج مصرفی در زمان </w:t>
      </w:r>
      <w:r w:rsidRPr="00551F33">
        <w:rPr>
          <w:rFonts w:cs="B Nazanin"/>
          <w:i/>
          <w:sz w:val="23"/>
          <w:szCs w:val="23"/>
        </w:rPr>
        <w:t>t</w:t>
      </w:r>
      <w:r w:rsidRPr="00551F33">
        <w:rPr>
          <w:rFonts w:cs="B Nazanin" w:hint="cs"/>
          <w:i/>
          <w:sz w:val="23"/>
          <w:szCs w:val="23"/>
          <w:rtl/>
          <w:lang w:bidi="fa-IR"/>
        </w:rPr>
        <w:t xml:space="preserve"> </w:t>
      </w:r>
      <w:r w:rsidRPr="00551F33">
        <w:rPr>
          <w:rFonts w:cs="B Nazanin" w:hint="cs"/>
          <w:i/>
          <w:sz w:val="23"/>
          <w:szCs w:val="23"/>
          <w:rtl/>
        </w:rPr>
        <w:t>کم</w:t>
      </w:r>
      <w:r w:rsidRPr="00551F33">
        <w:rPr>
          <w:rFonts w:cs="B Nazanin" w:hint="cs"/>
          <w:i/>
          <w:sz w:val="23"/>
          <w:szCs w:val="23"/>
          <w:rtl/>
        </w:rPr>
        <w:softHyphen/>
        <w:t>تر از هنگامی است که امکان شوک درآمدی در هر زمانی وجود نداشته باشد، و بیشتر از هنگامی است که امکان شوک درآمدی در هر زمانی منجمله زمان</w:t>
      </w:r>
      <w:r w:rsidRPr="00551F33">
        <w:rPr>
          <w:rFonts w:cs="B Nazanin"/>
          <w:i/>
          <w:sz w:val="23"/>
          <w:szCs w:val="23"/>
        </w:rPr>
        <w:t xml:space="preserve">t </w:t>
      </w:r>
      <w:r w:rsidRPr="00551F33">
        <w:rPr>
          <w:rFonts w:cs="B Nazanin" w:hint="cs"/>
          <w:i/>
          <w:sz w:val="23"/>
          <w:szCs w:val="23"/>
          <w:rtl/>
        </w:rPr>
        <w:t xml:space="preserve"> وجود داشته باشد. استقراض نیز بدلیل درآمد جاری بیشتر از انتظار خواهد بود. </w:t>
      </w:r>
    </w:p>
    <w:p w14:paraId="10BCE4BB"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hint="cs"/>
          <w:bCs/>
          <w:i/>
          <w:sz w:val="23"/>
          <w:szCs w:val="23"/>
          <w:rtl/>
        </w:rPr>
        <w:t>ج:</w:t>
      </w:r>
      <w:r w:rsidRPr="00551F33">
        <w:rPr>
          <w:rFonts w:cs="B Nazanin" w:hint="cs"/>
          <w:i/>
          <w:sz w:val="23"/>
          <w:szCs w:val="23"/>
          <w:rtl/>
        </w:rPr>
        <w:t xml:space="preserve"> وقوع شوک در زمان </w:t>
      </w:r>
      <w:r w:rsidRPr="00551F33">
        <w:rPr>
          <w:rFonts w:cs="B Nazanin"/>
          <w:i/>
          <w:sz w:val="23"/>
          <w:szCs w:val="23"/>
        </w:rPr>
        <w:t>t</w:t>
      </w:r>
      <w:r w:rsidRPr="00551F33">
        <w:rPr>
          <w:rFonts w:cs="B Nazanin" w:hint="cs"/>
          <w:i/>
          <w:sz w:val="23"/>
          <w:szCs w:val="23"/>
          <w:rtl/>
        </w:rPr>
        <w:t xml:space="preserve"> معلوم است. در این صورت حل بهینه عبارت است از</w:t>
      </w:r>
    </w:p>
    <w:p w14:paraId="399F9F2B" w14:textId="77777777" w:rsidR="00556C10" w:rsidRPr="00551F33" w:rsidRDefault="00556C10" w:rsidP="00556C10">
      <w:pPr>
        <w:pStyle w:val="NormalWeb"/>
        <w:spacing w:before="0" w:beforeAutospacing="0" w:after="0" w:afterAutospacing="0" w:line="216" w:lineRule="auto"/>
        <w:jc w:val="both"/>
        <w:rPr>
          <w:rFonts w:cs="B Nazanin"/>
          <w:i/>
          <w:sz w:val="23"/>
          <w:szCs w:val="23"/>
          <w:rtl/>
          <w:lang w:bidi="fa-IR"/>
        </w:rPr>
      </w:pPr>
      <w:r w:rsidRPr="00551F33">
        <w:rPr>
          <w:i/>
          <w:sz w:val="23"/>
          <w:szCs w:val="23"/>
          <w:rtl/>
        </w:rPr>
        <w:t> </w:t>
      </w:r>
      <w:r w:rsidRPr="00551F33">
        <w:rPr>
          <w:position w:val="-78"/>
        </w:rPr>
        <w:object w:dxaOrig="2580" w:dyaOrig="1700" w14:anchorId="4CB41FA7">
          <v:shape id="_x0000_i7549" type="#_x0000_t75" style="width:128.85pt;height:84.7pt" o:ole="">
            <v:imagedata r:id="rId13171" o:title=""/>
          </v:shape>
          <o:OLEObject Type="Embed" ProgID="Equation.DSMT4" ShapeID="_x0000_i7549" DrawAspect="Content" ObjectID="_1791381492" r:id="rId13172"/>
        </w:object>
      </w:r>
    </w:p>
    <w:p w14:paraId="3BAA082B"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i/>
          <w:sz w:val="23"/>
          <w:szCs w:val="23"/>
        </w:rPr>
        <w:t> </w:t>
      </w:r>
      <w:r w:rsidRPr="00551F33">
        <w:rPr>
          <w:rFonts w:cs="B Nazanin" w:hint="cs"/>
          <w:i/>
          <w:sz w:val="23"/>
          <w:szCs w:val="23"/>
          <w:rtl/>
        </w:rPr>
        <w:t>به این ترتیب مصرف کاهش بیشتر، و استقراض بیشتر افزایش خواهد یافت.</w:t>
      </w:r>
    </w:p>
    <w:p w14:paraId="05082168"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bCs/>
          <w:i/>
          <w:sz w:val="23"/>
          <w:szCs w:val="23"/>
        </w:rPr>
        <w:lastRenderedPageBreak/>
        <w:t> </w:t>
      </w:r>
      <w:r w:rsidRPr="00551F33">
        <w:rPr>
          <w:rFonts w:cs="B Nazanin" w:hint="cs"/>
          <w:bCs/>
          <w:i/>
          <w:sz w:val="23"/>
          <w:szCs w:val="23"/>
          <w:rtl/>
        </w:rPr>
        <w:t>د:</w:t>
      </w:r>
      <w:r w:rsidRPr="00551F33">
        <w:rPr>
          <w:rFonts w:cs="B Nazanin" w:hint="cs"/>
          <w:i/>
          <w:sz w:val="23"/>
          <w:szCs w:val="23"/>
          <w:rtl/>
        </w:rPr>
        <w:t xml:space="preserve"> فرض می‌کنیم که قید استقراض</w:t>
      </w:r>
      <w:r w:rsidRPr="00551F33">
        <w:rPr>
          <w:rFonts w:cs="B Nazanin"/>
          <w:i/>
          <w:sz w:val="23"/>
          <w:szCs w:val="23"/>
        </w:rPr>
        <w:t>B</w:t>
      </w:r>
      <w:r w:rsidRPr="00551F33">
        <w:rPr>
          <w:rFonts w:cs="B Nazanin" w:hint="cs"/>
          <w:i/>
          <w:sz w:val="23"/>
          <w:szCs w:val="23"/>
          <w:rtl/>
        </w:rPr>
        <w:t xml:space="preserve"> در هر دوره وجود داشته و با</w:t>
      </w:r>
      <w:r w:rsidRPr="00551F33">
        <w:rPr>
          <w:position w:val="-10"/>
        </w:rPr>
        <w:object w:dxaOrig="940" w:dyaOrig="320" w14:anchorId="352F1892">
          <v:shape id="_x0000_i7550" type="#_x0000_t75" style="width:47.2pt;height:15.75pt" o:ole="">
            <v:imagedata r:id="rId13173" o:title=""/>
          </v:shape>
          <o:OLEObject Type="Embed" ProgID="Equation.DSMT4" ShapeID="_x0000_i7550" DrawAspect="Content" ObjectID="_1791381493" r:id="rId13174"/>
        </w:object>
      </w:r>
      <w:r w:rsidRPr="00551F33">
        <w:rPr>
          <w:rFonts w:cs="B Nazanin" w:hint="cs"/>
          <w:i/>
          <w:sz w:val="23"/>
          <w:szCs w:val="23"/>
          <w:rtl/>
        </w:rPr>
        <w:t xml:space="preserve"> خانوار را مقید خواهد ساخت. اکنون اثر قید استقراض را در حالت ج در نظر می</w:t>
      </w:r>
      <w:r w:rsidRPr="00551F33">
        <w:rPr>
          <w:rFonts w:cs="B Nazanin"/>
          <w:i/>
          <w:sz w:val="23"/>
          <w:szCs w:val="23"/>
          <w:rtl/>
        </w:rPr>
        <w:softHyphen/>
      </w:r>
      <w:r w:rsidRPr="00551F33">
        <w:rPr>
          <w:rFonts w:cs="B Nazanin" w:hint="cs"/>
          <w:i/>
          <w:sz w:val="23"/>
          <w:szCs w:val="23"/>
          <w:rtl/>
        </w:rPr>
        <w:t>گیریم. اگر</w:t>
      </w:r>
    </w:p>
    <w:p w14:paraId="23F646B5" w14:textId="77777777" w:rsidR="00556C10" w:rsidRPr="00551F33" w:rsidRDefault="00556C10" w:rsidP="00556C10">
      <w:pPr>
        <w:pStyle w:val="NormalWeb"/>
        <w:spacing w:before="0" w:beforeAutospacing="0" w:after="0" w:afterAutospacing="0" w:line="216" w:lineRule="auto"/>
        <w:jc w:val="both"/>
        <w:rPr>
          <w:rFonts w:cs="B Nazanin"/>
          <w:i/>
          <w:sz w:val="23"/>
          <w:szCs w:val="23"/>
        </w:rPr>
      </w:pPr>
      <w:r w:rsidRPr="00551F33">
        <w:rPr>
          <w:rFonts w:cs="B Nazanin"/>
          <w:i/>
          <w:sz w:val="23"/>
          <w:szCs w:val="23"/>
        </w:rPr>
        <w:t> </w:t>
      </w:r>
      <w:r w:rsidRPr="00551F33">
        <w:rPr>
          <w:position w:val="-22"/>
        </w:rPr>
        <w:object w:dxaOrig="2200" w:dyaOrig="560" w14:anchorId="6ACE56C7">
          <v:shape id="_x0000_i7551" type="#_x0000_t75" style="width:110.1pt;height:27.85pt" o:ole="">
            <v:imagedata r:id="rId13175" o:title=""/>
          </v:shape>
          <o:OLEObject Type="Embed" ProgID="Equation.DSMT4" ShapeID="_x0000_i7551" DrawAspect="Content" ObjectID="_1791381494" r:id="rId13176"/>
        </w:object>
      </w:r>
    </w:p>
    <w:p w14:paraId="3A0362E0"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hint="cs"/>
          <w:i/>
          <w:sz w:val="23"/>
          <w:szCs w:val="23"/>
          <w:rtl/>
        </w:rPr>
        <w:t>لذا قید استقراض، محدود کننده خواهد بود. برای اجتناب از این محدودیت، لازم است خانوار با سطح بدهی کمتر از</w:t>
      </w:r>
      <w:r w:rsidRPr="00551F33">
        <w:rPr>
          <w:position w:val="-14"/>
        </w:rPr>
        <w:object w:dxaOrig="2140" w:dyaOrig="380" w14:anchorId="08E403E9">
          <v:shape id="_x0000_i7552" type="#_x0000_t75" style="width:107.1pt;height:18.75pt" o:ole="">
            <v:imagedata r:id="rId13177" o:title=""/>
          </v:shape>
          <o:OLEObject Type="Embed" ProgID="Equation.DSMT4" ShapeID="_x0000_i7552" DrawAspect="Content" ObjectID="_1791381495" r:id="rId13178"/>
        </w:object>
      </w:r>
      <w:r w:rsidRPr="00551F33">
        <w:rPr>
          <w:rFonts w:cs="B Nazanin" w:hint="cs"/>
          <w:i/>
          <w:sz w:val="23"/>
          <w:szCs w:val="23"/>
          <w:rtl/>
        </w:rPr>
        <w:t xml:space="preserve"> شروع کند</w:t>
      </w:r>
      <w:r w:rsidRPr="00551F33">
        <w:rPr>
          <w:rFonts w:cs="B Nazanin"/>
          <w:i/>
          <w:sz w:val="23"/>
          <w:szCs w:val="23"/>
        </w:rPr>
        <w:t>.</w:t>
      </w:r>
      <w:r w:rsidRPr="00551F33">
        <w:rPr>
          <w:rFonts w:cs="B Nazanin" w:hint="cs"/>
          <w:i/>
          <w:sz w:val="23"/>
          <w:szCs w:val="23"/>
          <w:rtl/>
        </w:rPr>
        <w:t xml:space="preserve"> اگر این رابطه منفی باشد آنگاه لازم است تا خانوار</w:t>
      </w:r>
      <w:r w:rsidRPr="00551F33">
        <w:rPr>
          <w:rFonts w:cs="B Nazanin"/>
          <w:i/>
          <w:sz w:val="23"/>
          <w:szCs w:val="23"/>
        </w:rPr>
        <w:t>‌</w:t>
      </w:r>
      <w:r w:rsidRPr="00551F33">
        <w:rPr>
          <w:rFonts w:cs="B Nazanin" w:hint="cs"/>
          <w:i/>
          <w:sz w:val="23"/>
          <w:szCs w:val="23"/>
          <w:rtl/>
        </w:rPr>
        <w:t xml:space="preserve"> این سطح از دارایی</w:t>
      </w:r>
      <w:r w:rsidRPr="00551F33">
        <w:rPr>
          <w:rFonts w:cs="B Nazanin" w:hint="cs"/>
          <w:i/>
          <w:sz w:val="23"/>
          <w:szCs w:val="23"/>
          <w:rtl/>
        </w:rPr>
        <w:softHyphen/>
        <w:t>ها و نه بدهی</w:t>
      </w:r>
      <w:r w:rsidRPr="00551F33">
        <w:rPr>
          <w:rFonts w:cs="B Nazanin" w:hint="cs"/>
          <w:i/>
          <w:sz w:val="23"/>
          <w:szCs w:val="23"/>
          <w:rtl/>
        </w:rPr>
        <w:softHyphen/>
        <w:t>ها را نگهداری کنند.</w:t>
      </w:r>
    </w:p>
    <w:p w14:paraId="2EF4EC0A"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i/>
          <w:sz w:val="23"/>
          <w:szCs w:val="23"/>
        </w:rPr>
        <w:t> </w:t>
      </w:r>
      <w:r w:rsidRPr="00551F33">
        <w:rPr>
          <w:rFonts w:cs="B Nazanin" w:hint="cs"/>
          <w:i/>
          <w:sz w:val="23"/>
          <w:szCs w:val="23"/>
          <w:rtl/>
        </w:rPr>
        <w:t>اگر قید محدود کننده باشد خانوار نمی</w:t>
      </w:r>
      <w:r w:rsidRPr="00551F33">
        <w:rPr>
          <w:rFonts w:cs="B Nazanin" w:hint="cs"/>
          <w:i/>
          <w:sz w:val="23"/>
          <w:szCs w:val="23"/>
          <w:rtl/>
        </w:rPr>
        <w:softHyphen/>
        <w:t>تواند به اندازه‌ی آنچه برنامه</w:t>
      </w:r>
      <w:r w:rsidRPr="00551F33">
        <w:rPr>
          <w:rFonts w:cs="B Nazanin"/>
          <w:i/>
          <w:sz w:val="23"/>
          <w:szCs w:val="23"/>
        </w:rPr>
        <w:t>‌</w:t>
      </w:r>
      <w:r w:rsidRPr="00551F33">
        <w:rPr>
          <w:rFonts w:cs="B Nazanin" w:hint="cs"/>
          <w:i/>
          <w:sz w:val="23"/>
          <w:szCs w:val="23"/>
          <w:rtl/>
        </w:rPr>
        <w:t>ریزی کرده</w:t>
      </w:r>
      <w:r w:rsidRPr="00551F33">
        <w:rPr>
          <w:rFonts w:cs="B Nazanin"/>
          <w:i/>
          <w:sz w:val="23"/>
          <w:szCs w:val="23"/>
        </w:rPr>
        <w:t>‌</w:t>
      </w:r>
      <w:r w:rsidRPr="00551F33">
        <w:rPr>
          <w:rFonts w:cs="B Nazanin" w:hint="cs"/>
          <w:i/>
          <w:sz w:val="23"/>
          <w:szCs w:val="23"/>
          <w:rtl/>
        </w:rPr>
        <w:t xml:space="preserve"> مصرف کند. حداکثر مقدار مصرف عبارت است از:</w:t>
      </w:r>
    </w:p>
    <w:p w14:paraId="05100C1C" w14:textId="77777777" w:rsidR="00556C10" w:rsidRPr="00551F33" w:rsidRDefault="00556C10" w:rsidP="00556C10">
      <w:pPr>
        <w:pStyle w:val="NormalWeb"/>
        <w:spacing w:before="0" w:beforeAutospacing="0" w:after="0" w:afterAutospacing="0" w:line="216" w:lineRule="auto"/>
        <w:jc w:val="both"/>
        <w:rPr>
          <w:rFonts w:cs="B Nazanin"/>
          <w:i/>
          <w:sz w:val="23"/>
          <w:szCs w:val="23"/>
        </w:rPr>
      </w:pPr>
      <w:r w:rsidRPr="00551F33">
        <w:rPr>
          <w:rFonts w:cs="B Nazanin"/>
          <w:i/>
          <w:sz w:val="23"/>
          <w:szCs w:val="23"/>
        </w:rPr>
        <w:t> </w:t>
      </w:r>
      <w:r w:rsidRPr="00551F33">
        <w:rPr>
          <w:position w:val="-22"/>
        </w:rPr>
        <w:object w:dxaOrig="4880" w:dyaOrig="560" w14:anchorId="2E76BF9D">
          <v:shape id="_x0000_i7553" type="#_x0000_t75" style="width:243.85pt;height:27.85pt" o:ole="">
            <v:imagedata r:id="rId13179" o:title=""/>
          </v:shape>
          <o:OLEObject Type="Embed" ProgID="Equation.DSMT4" ShapeID="_x0000_i7553" DrawAspect="Content" ObjectID="_1791381496" r:id="rId13180"/>
        </w:object>
      </w:r>
    </w:p>
    <w:p w14:paraId="53AD44CB"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hint="cs"/>
          <w:i/>
          <w:sz w:val="23"/>
          <w:szCs w:val="23"/>
          <w:rtl/>
        </w:rPr>
        <w:t>نتایج مشابهی ممکن است برای شوک آتی پیش</w:t>
      </w:r>
      <w:r w:rsidRPr="00551F33">
        <w:rPr>
          <w:rFonts w:cs="B Nazanin" w:hint="cs"/>
          <w:i/>
          <w:sz w:val="23"/>
          <w:szCs w:val="23"/>
          <w:rtl/>
        </w:rPr>
        <w:softHyphen/>
        <w:t>بینی شده</w:t>
      </w:r>
      <w:r w:rsidRPr="00551F33">
        <w:rPr>
          <w:rFonts w:cs="B Nazanin" w:hint="cs"/>
          <w:i/>
          <w:sz w:val="23"/>
          <w:szCs w:val="23"/>
          <w:rtl/>
        </w:rPr>
        <w:softHyphen/>
        <w:t>ی درآمدی به دست آید. بطور خلاصه، یک قید استقراض که مانع هموارسازی مصرف شود، هنگامی که درآمد کاهش می‌یابد یا انتظار می‌رود در آینده کاهش یابد، باعث کاهش مخارج مصرفی می</w:t>
      </w:r>
      <w:r w:rsidRPr="00551F33">
        <w:rPr>
          <w:rFonts w:cs="B Nazanin"/>
          <w:i/>
          <w:sz w:val="23"/>
          <w:szCs w:val="23"/>
          <w:rtl/>
        </w:rPr>
        <w:softHyphen/>
      </w:r>
      <w:r w:rsidRPr="00551F33">
        <w:rPr>
          <w:rFonts w:cs="B Nazanin" w:hint="cs"/>
          <w:i/>
          <w:sz w:val="23"/>
          <w:szCs w:val="23"/>
          <w:rtl/>
        </w:rPr>
        <w:t>شود. به علاوه نوسانات مصرف ممکن است بیشتر شبیه نوسانات درآمد باشد. دلیل این</w:t>
      </w:r>
      <w:r w:rsidRPr="00551F33">
        <w:rPr>
          <w:rFonts w:cs="B Nazanin"/>
          <w:i/>
          <w:sz w:val="23"/>
          <w:szCs w:val="23"/>
          <w:rtl/>
        </w:rPr>
        <w:softHyphen/>
      </w:r>
      <w:r w:rsidRPr="00551F33">
        <w:rPr>
          <w:rFonts w:cs="B Nazanin" w:hint="cs"/>
          <w:i/>
          <w:sz w:val="23"/>
          <w:szCs w:val="23"/>
          <w:rtl/>
        </w:rPr>
        <w:t>که چرا مخارج مصرفی تقریباً به اندازه</w:t>
      </w:r>
      <w:r w:rsidRPr="00551F33">
        <w:rPr>
          <w:rFonts w:cs="B Nazanin" w:hint="cs"/>
          <w:i/>
          <w:sz w:val="23"/>
          <w:szCs w:val="23"/>
          <w:rtl/>
        </w:rPr>
        <w:softHyphen/>
        <w:t>ی تولید فرّار است همین نکته است، (نگاه کنید به فصل شانزدهم). راه حل برطرف کردن قید استقراض که ممکن است در آینده محدود کننده باشد این است که امروز دارایی بیشتری نگهداری کنیم. این موضوع برای خانوار و بانک به یک اندازه مصداق دارد.</w:t>
      </w:r>
    </w:p>
    <w:p w14:paraId="3935098C"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i/>
          <w:sz w:val="23"/>
          <w:szCs w:val="23"/>
        </w:rPr>
        <w:t> </w:t>
      </w:r>
    </w:p>
    <w:p w14:paraId="42BC059E" w14:textId="77777777" w:rsidR="00556C10" w:rsidRPr="00551F33" w:rsidRDefault="00556C10" w:rsidP="00556C10">
      <w:pPr>
        <w:pStyle w:val="Heading1"/>
        <w:spacing w:before="0" w:line="216" w:lineRule="auto"/>
        <w:rPr>
          <w:rFonts w:ascii="Times New Roman" w:hAnsi="Times New Roman" w:cs="B Nazanin"/>
          <w:b w:val="0"/>
          <w:i/>
          <w:sz w:val="23"/>
          <w:szCs w:val="23"/>
        </w:rPr>
      </w:pPr>
      <w:r w:rsidRPr="00551F33">
        <w:rPr>
          <w:rFonts w:ascii="Times New Roman" w:hAnsi="Times New Roman" w:cs="B Nazanin" w:hint="cs"/>
          <w:b w:val="0"/>
          <w:i/>
          <w:sz w:val="23"/>
          <w:szCs w:val="23"/>
          <w:rtl/>
        </w:rPr>
        <w:t>۱۵. ۳. ۲ قصور</w:t>
      </w:r>
    </w:p>
    <w:p w14:paraId="42305C5C"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i/>
          <w:sz w:val="23"/>
          <w:szCs w:val="23"/>
        </w:rPr>
        <w:t> </w:t>
      </w:r>
      <w:r w:rsidRPr="00551F33">
        <w:rPr>
          <w:rFonts w:cs="B Nazanin" w:hint="cs"/>
          <w:i/>
          <w:sz w:val="23"/>
          <w:szCs w:val="23"/>
          <w:rtl/>
        </w:rPr>
        <w:t>قصور ممکن است به دلایل مختلفی رخ دهد. ارزش تنزیل شده</w:t>
      </w:r>
      <w:r w:rsidRPr="00551F33">
        <w:rPr>
          <w:rFonts w:cs="B Nazanin"/>
          <w:i/>
          <w:sz w:val="23"/>
          <w:szCs w:val="23"/>
          <w:rtl/>
        </w:rPr>
        <w:softHyphen/>
      </w:r>
      <w:r w:rsidRPr="00551F33">
        <w:rPr>
          <w:rFonts w:cs="B Nazanin" w:hint="cs"/>
          <w:i/>
          <w:sz w:val="23"/>
          <w:szCs w:val="23"/>
          <w:rtl/>
        </w:rPr>
        <w:t>ی انتظاری یک پروژه‌ی خاص ممکن است از ارزش فعلی انتظاری هزینه‌ی آن بانضمام پرداخت‌های بهره، کمتر شود. به عبارت دیگر، ممکن است ارزش خالص انتظاری پروژه اقتصادی منفی شود. در این صورت اگر سرمایه</w:t>
      </w:r>
      <w:r w:rsidRPr="00551F33">
        <w:rPr>
          <w:rFonts w:cs="B Nazanin"/>
          <w:i/>
          <w:sz w:val="23"/>
          <w:szCs w:val="23"/>
        </w:rPr>
        <w:t>‌</w:t>
      </w:r>
      <w:r w:rsidRPr="00551F33">
        <w:rPr>
          <w:rFonts w:cs="B Nazanin" w:hint="cs"/>
          <w:i/>
          <w:sz w:val="23"/>
          <w:szCs w:val="23"/>
          <w:rtl/>
        </w:rPr>
        <w:t>گذار ورشکست نشود، در این پروژه قصور رخ می</w:t>
      </w:r>
      <w:r w:rsidRPr="00551F33">
        <w:rPr>
          <w:rFonts w:cs="B Nazanin"/>
          <w:i/>
          <w:sz w:val="23"/>
          <w:szCs w:val="23"/>
          <w:rtl/>
        </w:rPr>
        <w:softHyphen/>
      </w:r>
      <w:r w:rsidRPr="00551F33">
        <w:rPr>
          <w:rFonts w:cs="B Nazanin" w:hint="cs"/>
          <w:i/>
          <w:sz w:val="23"/>
          <w:szCs w:val="23"/>
          <w:rtl/>
        </w:rPr>
        <w:t>دهد. اگر ارزش بازاری یک بنگاه منفی شود، آن بنگاه از لحاظ فنی ورشکسته است. به</w:t>
      </w:r>
      <w:r w:rsidRPr="00551F33">
        <w:rPr>
          <w:rFonts w:cs="B Nazanin" w:hint="cs"/>
          <w:i/>
          <w:sz w:val="23"/>
          <w:szCs w:val="23"/>
          <w:rtl/>
        </w:rPr>
        <w:softHyphen/>
        <w:t>طور مشابه، ثروت خالص یک خانوار ممکن است منفی شود و خانوار نتواند پرداخت‌های بهره</w:t>
      </w:r>
      <w:r w:rsidRPr="00551F33">
        <w:rPr>
          <w:rFonts w:cs="B Nazanin" w:hint="cs"/>
          <w:i/>
          <w:sz w:val="23"/>
          <w:szCs w:val="23"/>
          <w:rtl/>
        </w:rPr>
        <w:softHyphen/>
        <w:t xml:space="preserve"> را از درآمد جاری خود بازپرداخت کند. در برخی از مواقع که بدهی از دارایی بیشتر می</w:t>
      </w:r>
      <w:r w:rsidRPr="00551F33">
        <w:rPr>
          <w:rFonts w:cs="B Nazanin"/>
          <w:i/>
          <w:sz w:val="23"/>
          <w:szCs w:val="23"/>
          <w:rtl/>
        </w:rPr>
        <w:softHyphen/>
      </w:r>
      <w:r w:rsidRPr="00551F33">
        <w:rPr>
          <w:rFonts w:cs="B Nazanin" w:hint="cs"/>
          <w:i/>
          <w:sz w:val="23"/>
          <w:szCs w:val="23"/>
          <w:rtl/>
        </w:rPr>
        <w:t>شود، بهتر است تا وام</w:t>
      </w:r>
      <w:r w:rsidRPr="00551F33">
        <w:rPr>
          <w:rFonts w:cs="B Nazanin"/>
          <w:i/>
          <w:sz w:val="23"/>
          <w:szCs w:val="23"/>
          <w:rtl/>
        </w:rPr>
        <w:softHyphen/>
      </w:r>
      <w:r w:rsidRPr="00551F33">
        <w:rPr>
          <w:rFonts w:cs="B Nazanin"/>
          <w:i/>
          <w:sz w:val="23"/>
          <w:szCs w:val="23"/>
          <w:rtl/>
        </w:rPr>
        <w:softHyphen/>
      </w:r>
      <w:r w:rsidRPr="00551F33">
        <w:rPr>
          <w:rFonts w:cs="B Nazanin" w:hint="cs"/>
          <w:i/>
          <w:sz w:val="23"/>
          <w:szCs w:val="23"/>
          <w:rtl/>
        </w:rPr>
        <w:t>دهنده یا بستانکار بخشی از قصور را با قسط</w:t>
      </w:r>
      <w:r w:rsidRPr="00551F33">
        <w:rPr>
          <w:rFonts w:cs="B Nazanin" w:hint="cs"/>
          <w:i/>
          <w:sz w:val="23"/>
          <w:szCs w:val="23"/>
          <w:rtl/>
        </w:rPr>
        <w:softHyphen/>
        <w:t>بندی و ساختار جدید بدهی (یعنی، کاهش اصل وام و یا بهره) به بدهکار ببخشد، و کل دارایی وام</w:t>
      </w:r>
      <w:r w:rsidRPr="00551F33">
        <w:rPr>
          <w:rFonts w:cs="B Nazanin"/>
          <w:i/>
          <w:sz w:val="23"/>
          <w:szCs w:val="23"/>
          <w:rtl/>
        </w:rPr>
        <w:softHyphen/>
      </w:r>
      <w:r w:rsidRPr="00551F33">
        <w:rPr>
          <w:rFonts w:cs="B Nazanin" w:hint="cs"/>
          <w:i/>
          <w:sz w:val="23"/>
          <w:szCs w:val="23"/>
          <w:rtl/>
        </w:rPr>
        <w:t xml:space="preserve">گیرنده را مطالبه نکند تا فقط ارزش فروش آن دارایی به دستش برسد. </w:t>
      </w:r>
    </w:p>
    <w:p w14:paraId="545406B8"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hint="cs"/>
          <w:i/>
          <w:sz w:val="23"/>
          <w:szCs w:val="23"/>
          <w:rtl/>
        </w:rPr>
        <w:t>مجدداً مثال بالا را با شوک‌های درآمدی در نظر می</w:t>
      </w:r>
      <w:r w:rsidRPr="00551F33">
        <w:rPr>
          <w:rFonts w:cs="B Nazanin"/>
          <w:i/>
          <w:sz w:val="23"/>
          <w:szCs w:val="23"/>
          <w:rtl/>
        </w:rPr>
        <w:softHyphen/>
      </w:r>
      <w:r w:rsidRPr="00551F33">
        <w:rPr>
          <w:rFonts w:cs="B Nazanin" w:hint="cs"/>
          <w:i/>
          <w:sz w:val="23"/>
          <w:szCs w:val="23"/>
          <w:rtl/>
        </w:rPr>
        <w:t xml:space="preserve">گیریم. ثروت خانوار برابر است با </w:t>
      </w:r>
    </w:p>
    <w:p w14:paraId="36929DC1" w14:textId="77777777" w:rsidR="00556C10" w:rsidRPr="00551F33" w:rsidRDefault="00556C10" w:rsidP="00556C10">
      <w:pPr>
        <w:pStyle w:val="NormalWeb"/>
        <w:spacing w:before="0" w:beforeAutospacing="0" w:after="0" w:afterAutospacing="0" w:line="216" w:lineRule="auto"/>
        <w:jc w:val="both"/>
        <w:rPr>
          <w:rFonts w:cs="B Nazanin"/>
          <w:i/>
          <w:sz w:val="23"/>
          <w:szCs w:val="23"/>
          <w:rtl/>
        </w:rPr>
      </w:pPr>
      <w:r w:rsidRPr="00551F33">
        <w:rPr>
          <w:position w:val="-34"/>
        </w:rPr>
        <w:object w:dxaOrig="3379" w:dyaOrig="700" w14:anchorId="1CA1A5D5">
          <v:shape id="_x0000_i7554" type="#_x0000_t75" style="width:168.8pt;height:35.1pt" o:ole="">
            <v:imagedata r:id="rId13181" o:title=""/>
          </v:shape>
          <o:OLEObject Type="Embed" ProgID="Equation.DSMT4" ShapeID="_x0000_i7554" DrawAspect="Content" ObjectID="_1791381497" r:id="rId13182"/>
        </w:object>
      </w:r>
    </w:p>
    <w:p w14:paraId="31BAD7F2"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hint="cs"/>
          <w:i/>
          <w:sz w:val="23"/>
          <w:szCs w:val="23"/>
          <w:rtl/>
        </w:rPr>
        <w:lastRenderedPageBreak/>
        <w:t xml:space="preserve">و اگر </w:t>
      </w:r>
      <w:r w:rsidRPr="00551F33">
        <w:rPr>
          <w:position w:val="-10"/>
        </w:rPr>
        <w:object w:dxaOrig="639" w:dyaOrig="320" w14:anchorId="00638DE9">
          <v:shape id="_x0000_i7555" type="#_x0000_t75" style="width:32.05pt;height:15.75pt" o:ole="">
            <v:imagedata r:id="rId13183" o:title=""/>
          </v:shape>
          <o:OLEObject Type="Embed" ProgID="Equation.DSMT4" ShapeID="_x0000_i7555" DrawAspect="Content" ObjectID="_1791381498" r:id="rId13184"/>
        </w:object>
      </w:r>
      <w:r w:rsidRPr="00551F33">
        <w:rPr>
          <w:rFonts w:cs="B Nazanin" w:hint="cs"/>
          <w:i/>
          <w:sz w:val="23"/>
          <w:szCs w:val="23"/>
          <w:rtl/>
        </w:rPr>
        <w:t xml:space="preserve"> باشد آنگاه خانوار ورشکسته است و ناچار است قصور کند. بخشی از بدهی </w:t>
      </w:r>
      <w:r w:rsidRPr="00551F33">
        <w:rPr>
          <w:position w:val="-10"/>
        </w:rPr>
        <w:object w:dxaOrig="220" w:dyaOrig="320" w14:anchorId="0647D999">
          <v:shape id="_x0000_i7556" type="#_x0000_t75" style="width:10.9pt;height:15.75pt" o:ole="">
            <v:imagedata r:id="rId13185" o:title=""/>
          </v:shape>
          <o:OLEObject Type="Embed" ProgID="Equation.DSMT4" ShapeID="_x0000_i7556" DrawAspect="Content" ObjectID="_1791381499" r:id="rId13186"/>
        </w:object>
      </w:r>
      <w:r w:rsidRPr="00551F33">
        <w:rPr>
          <w:rFonts w:hint="cs"/>
          <w:i/>
          <w:sz w:val="23"/>
          <w:szCs w:val="23"/>
          <w:rtl/>
          <w:lang w:bidi="fa-IR"/>
        </w:rPr>
        <w:t xml:space="preserve"> </w:t>
      </w:r>
      <w:r w:rsidRPr="00551F33">
        <w:rPr>
          <w:rFonts w:cs="B Nazanin" w:hint="cs"/>
          <w:i/>
          <w:sz w:val="23"/>
          <w:szCs w:val="23"/>
          <w:rtl/>
        </w:rPr>
        <w:t>که لازم است حذف شود تا خانوار را توانمند سازد، باید در عبارت زیر صدق کند</w:t>
      </w:r>
    </w:p>
    <w:p w14:paraId="67FB28CB" w14:textId="77777777" w:rsidR="00556C10" w:rsidRPr="00551F33" w:rsidRDefault="00556C10" w:rsidP="00556C10">
      <w:pPr>
        <w:pStyle w:val="NormalWeb"/>
        <w:spacing w:before="0" w:beforeAutospacing="0" w:after="0" w:afterAutospacing="0" w:line="216" w:lineRule="auto"/>
        <w:jc w:val="both"/>
        <w:rPr>
          <w:rFonts w:cs="B Nazanin"/>
          <w:i/>
          <w:sz w:val="23"/>
          <w:szCs w:val="23"/>
        </w:rPr>
      </w:pPr>
      <w:r w:rsidRPr="00551F33">
        <w:rPr>
          <w:position w:val="-34"/>
        </w:rPr>
        <w:object w:dxaOrig="2520" w:dyaOrig="700" w14:anchorId="0D736DAC">
          <v:shape id="_x0000_i7557" type="#_x0000_t75" style="width:125.85pt;height:35.1pt" o:ole="">
            <v:imagedata r:id="rId13187" o:title=""/>
          </v:shape>
          <o:OLEObject Type="Embed" ProgID="Equation.DSMT4" ShapeID="_x0000_i7557" DrawAspect="Content" ObjectID="_1791381500" r:id="rId13188"/>
        </w:object>
      </w:r>
    </w:p>
    <w:p w14:paraId="2958D155"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hint="cs"/>
          <w:i/>
          <w:sz w:val="23"/>
          <w:szCs w:val="23"/>
          <w:rtl/>
        </w:rPr>
        <w:t>و بنابراین</w:t>
      </w:r>
    </w:p>
    <w:p w14:paraId="4F637EB2" w14:textId="77777777" w:rsidR="00556C10" w:rsidRPr="00551F33" w:rsidRDefault="00556C10" w:rsidP="00556C10">
      <w:pPr>
        <w:pStyle w:val="NormalWeb"/>
        <w:spacing w:before="0" w:beforeAutospacing="0" w:after="0" w:afterAutospacing="0" w:line="216" w:lineRule="auto"/>
        <w:jc w:val="both"/>
        <w:rPr>
          <w:rFonts w:cs="B Nazanin"/>
          <w:i/>
          <w:sz w:val="23"/>
          <w:szCs w:val="23"/>
        </w:rPr>
      </w:pPr>
      <w:r w:rsidRPr="00551F33">
        <w:rPr>
          <w:position w:val="-34"/>
        </w:rPr>
        <w:object w:dxaOrig="2420" w:dyaOrig="700" w14:anchorId="20430BFB">
          <v:shape id="_x0000_i7558" type="#_x0000_t75" style="width:121pt;height:35.1pt" o:ole="">
            <v:imagedata r:id="rId13189" o:title=""/>
          </v:shape>
          <o:OLEObject Type="Embed" ProgID="Equation.DSMT4" ShapeID="_x0000_i7558" DrawAspect="Content" ObjectID="_1791381501" r:id="rId13190"/>
        </w:object>
      </w:r>
    </w:p>
    <w:p w14:paraId="3700642E"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lang w:bidi="fa-IR"/>
        </w:rPr>
      </w:pPr>
      <w:r w:rsidRPr="00551F33">
        <w:rPr>
          <w:rFonts w:cs="B Nazanin" w:hint="cs"/>
          <w:i/>
          <w:sz w:val="23"/>
          <w:szCs w:val="23"/>
          <w:rtl/>
        </w:rPr>
        <w:t>یعنی اگر ارزش فعلی جریان درآمدی از ارزش بدهی بیشتر شود، قصور رخ نخواهد داد</w:t>
      </w:r>
      <w:r w:rsidRPr="00551F33">
        <w:rPr>
          <w:rFonts w:cs="B Nazanin"/>
          <w:i/>
          <w:sz w:val="23"/>
          <w:szCs w:val="23"/>
        </w:rPr>
        <w:t>.</w:t>
      </w:r>
      <w:r w:rsidRPr="00551F33">
        <w:rPr>
          <w:rFonts w:cs="B Nazanin" w:hint="cs"/>
          <w:i/>
          <w:sz w:val="23"/>
          <w:szCs w:val="23"/>
          <w:rtl/>
        </w:rPr>
        <w:t xml:space="preserve"> اما اگر قصور رخ دهد آنگاه بخشی از بدهی که باید حذف شود تا از ورشکستگی جلوگیری شود افزایش می</w:t>
      </w:r>
      <w:r w:rsidRPr="00551F33">
        <w:rPr>
          <w:rFonts w:cs="B Nazanin"/>
          <w:i/>
          <w:sz w:val="23"/>
          <w:szCs w:val="23"/>
          <w:rtl/>
        </w:rPr>
        <w:softHyphen/>
      </w:r>
      <w:r w:rsidRPr="00551F33">
        <w:rPr>
          <w:rFonts w:cs="B Nazanin" w:hint="cs"/>
          <w:i/>
          <w:sz w:val="23"/>
          <w:szCs w:val="23"/>
          <w:rtl/>
        </w:rPr>
        <w:t xml:space="preserve">یابد تا نسبت ارزش فعلی جریان درآمدی به بدهی افزایش یابد. برای حالت‌های مختلفی که در بالا اشاره شد می‌توان </w:t>
      </w:r>
      <w:r w:rsidRPr="00551F33">
        <w:rPr>
          <w:position w:val="-10"/>
        </w:rPr>
        <w:object w:dxaOrig="220" w:dyaOrig="320" w14:anchorId="472F5B16">
          <v:shape id="_x0000_i7559" type="#_x0000_t75" style="width:10.9pt;height:15.75pt" o:ole="">
            <v:imagedata r:id="rId13191" o:title=""/>
          </v:shape>
          <o:OLEObject Type="Embed" ProgID="Equation.DSMT4" ShapeID="_x0000_i7559" DrawAspect="Content" ObjectID="_1791381502" r:id="rId13192"/>
        </w:object>
      </w:r>
      <w:r w:rsidRPr="00551F33">
        <w:rPr>
          <w:rFonts w:cs="B Nazanin" w:hint="cs"/>
          <w:i/>
          <w:sz w:val="23"/>
          <w:szCs w:val="23"/>
          <w:rtl/>
        </w:rPr>
        <w:t xml:space="preserve"> را ارزشیابی کرد.</w:t>
      </w:r>
    </w:p>
    <w:p w14:paraId="251019AC"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i/>
          <w:sz w:val="23"/>
          <w:szCs w:val="23"/>
        </w:rPr>
        <w:t> </w:t>
      </w:r>
      <w:r w:rsidRPr="00551F33">
        <w:rPr>
          <w:rFonts w:cs="B Nazanin" w:hint="cs"/>
          <w:bCs/>
          <w:i/>
          <w:sz w:val="23"/>
          <w:szCs w:val="23"/>
          <w:rtl/>
        </w:rPr>
        <w:t>الف:</w:t>
      </w:r>
      <w:r w:rsidRPr="00551F33">
        <w:rPr>
          <w:rFonts w:cs="B Nazanin" w:hint="cs"/>
          <w:i/>
          <w:sz w:val="23"/>
          <w:szCs w:val="23"/>
          <w:rtl/>
        </w:rPr>
        <w:t xml:space="preserve"> اگر برای هر</w:t>
      </w:r>
      <w:r w:rsidRPr="00551F33">
        <w:rPr>
          <w:position w:val="-6"/>
        </w:rPr>
        <w:object w:dxaOrig="499" w:dyaOrig="260" w14:anchorId="7EC63457">
          <v:shape id="_x0000_i7560" type="#_x0000_t75" style="width:24.8pt;height:12.7pt" o:ole="">
            <v:imagedata r:id="rId13193" o:title=""/>
          </v:shape>
          <o:OLEObject Type="Embed" ProgID="Equation.DSMT4" ShapeID="_x0000_i7560" DrawAspect="Content" ObjectID="_1791381503" r:id="rId13194"/>
        </w:object>
      </w:r>
      <w:r w:rsidRPr="00551F33">
        <w:rPr>
          <w:rFonts w:cs="B Nazanin" w:hint="cs"/>
          <w:i/>
          <w:sz w:val="23"/>
          <w:szCs w:val="23"/>
          <w:rtl/>
        </w:rPr>
        <w:t xml:space="preserve"> داشته باشیم</w:t>
      </w:r>
      <w:r w:rsidRPr="00551F33">
        <w:rPr>
          <w:position w:val="-10"/>
        </w:rPr>
        <w:object w:dxaOrig="960" w:dyaOrig="320" w14:anchorId="14D2F1EF">
          <v:shape id="_x0000_i7561" type="#_x0000_t75" style="width:47.8pt;height:15.75pt" o:ole="">
            <v:imagedata r:id="rId13195" o:title=""/>
          </v:shape>
          <o:OLEObject Type="Embed" ProgID="Equation.DSMT4" ShapeID="_x0000_i7561" DrawAspect="Content" ObjectID="_1791381504" r:id="rId13196"/>
        </w:object>
      </w:r>
      <w:r w:rsidRPr="00551F33">
        <w:rPr>
          <w:rFonts w:cs="B Nazanin" w:hint="cs"/>
          <w:i/>
          <w:sz w:val="23"/>
          <w:szCs w:val="23"/>
          <w:rtl/>
        </w:rPr>
        <w:t>، آنگاه شوک‌های درآمدی وجود نداشته و</w:t>
      </w:r>
      <w:r w:rsidRPr="00551F33">
        <w:rPr>
          <w:position w:val="-10"/>
        </w:rPr>
        <w:object w:dxaOrig="560" w:dyaOrig="320" w14:anchorId="7B9808E8">
          <v:shape id="_x0000_i7562" type="#_x0000_t75" style="width:27.85pt;height:15.75pt" o:ole="">
            <v:imagedata r:id="rId13197" o:title=""/>
          </v:shape>
          <o:OLEObject Type="Embed" ProgID="Equation.DSMT4" ShapeID="_x0000_i7562" DrawAspect="Content" ObjectID="_1791381505" r:id="rId13198"/>
        </w:object>
      </w:r>
      <w:r w:rsidRPr="00551F33">
        <w:rPr>
          <w:rFonts w:hint="cs"/>
          <w:i/>
          <w:sz w:val="23"/>
          <w:szCs w:val="23"/>
          <w:rtl/>
          <w:lang w:bidi="fa-IR"/>
        </w:rPr>
        <w:t xml:space="preserve"> </w:t>
      </w:r>
      <w:r w:rsidRPr="00551F33">
        <w:rPr>
          <w:rFonts w:cs="B Nazanin" w:hint="cs"/>
          <w:i/>
          <w:sz w:val="23"/>
          <w:szCs w:val="23"/>
          <w:rtl/>
          <w:lang w:bidi="fa-IR"/>
        </w:rPr>
        <w:t>است</w:t>
      </w:r>
      <w:r w:rsidRPr="00551F33">
        <w:rPr>
          <w:rFonts w:cs="B Nazanin" w:hint="cs"/>
          <w:i/>
          <w:sz w:val="23"/>
          <w:szCs w:val="23"/>
          <w:rtl/>
        </w:rPr>
        <w:t>، لذا</w:t>
      </w:r>
    </w:p>
    <w:p w14:paraId="75B5909B" w14:textId="77777777" w:rsidR="00556C10" w:rsidRPr="00551F33" w:rsidRDefault="00556C10" w:rsidP="00556C10">
      <w:pPr>
        <w:pStyle w:val="NormalWeb"/>
        <w:spacing w:before="0" w:beforeAutospacing="0" w:after="0" w:afterAutospacing="0" w:line="216" w:lineRule="auto"/>
        <w:jc w:val="both"/>
        <w:rPr>
          <w:rFonts w:cs="B Nazanin"/>
          <w:i/>
          <w:sz w:val="23"/>
          <w:szCs w:val="23"/>
        </w:rPr>
      </w:pPr>
      <w:r w:rsidRPr="00551F33">
        <w:rPr>
          <w:rFonts w:cs="B Nazanin"/>
          <w:i/>
          <w:sz w:val="23"/>
          <w:szCs w:val="23"/>
        </w:rPr>
        <w:t> </w:t>
      </w:r>
      <w:r w:rsidRPr="00551F33">
        <w:rPr>
          <w:position w:val="-52"/>
        </w:rPr>
        <w:object w:dxaOrig="1400" w:dyaOrig="1140" w14:anchorId="129A9722">
          <v:shape id="_x0000_i7563" type="#_x0000_t75" style="width:70.2pt;height:56.85pt" o:ole="">
            <v:imagedata r:id="rId13199" o:title=""/>
          </v:shape>
          <o:OLEObject Type="Embed" ProgID="Equation.DSMT4" ShapeID="_x0000_i7563" DrawAspect="Content" ObjectID="_1791381506" r:id="rId13200"/>
        </w:object>
      </w:r>
    </w:p>
    <w:p w14:paraId="51798231"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hint="cs"/>
          <w:bCs/>
          <w:i/>
          <w:sz w:val="23"/>
          <w:szCs w:val="23"/>
          <w:rtl/>
        </w:rPr>
        <w:t>ب:</w:t>
      </w:r>
      <w:r w:rsidRPr="00551F33">
        <w:rPr>
          <w:rFonts w:cs="B Nazanin"/>
          <w:i/>
          <w:sz w:val="23"/>
          <w:szCs w:val="23"/>
        </w:rPr>
        <w:t xml:space="preserve"> </w:t>
      </w:r>
      <w:r w:rsidRPr="00551F33">
        <w:rPr>
          <w:rFonts w:cs="B Nazanin" w:hint="cs"/>
          <w:i/>
          <w:sz w:val="23"/>
          <w:szCs w:val="23"/>
          <w:rtl/>
        </w:rPr>
        <w:t>اگر شوک درآمدی</w:t>
      </w:r>
      <w:r w:rsidRPr="00551F33">
        <w:rPr>
          <w:position w:val="-8"/>
        </w:rPr>
        <w:object w:dxaOrig="320" w:dyaOrig="279" w14:anchorId="4FA4A7BA">
          <v:shape id="_x0000_i7564" type="#_x0000_t75" style="width:15.75pt;height:13.9pt" o:ole="">
            <v:imagedata r:id="rId13201" o:title=""/>
          </v:shape>
          <o:OLEObject Type="Embed" ProgID="Equation.DSMT4" ShapeID="_x0000_i7564" DrawAspect="Content" ObjectID="_1791381507" r:id="rId13202"/>
        </w:object>
      </w:r>
      <w:r w:rsidRPr="00551F33">
        <w:rPr>
          <w:rFonts w:cs="B Nazanin" w:hint="cs"/>
          <w:i/>
          <w:sz w:val="23"/>
          <w:szCs w:val="23"/>
          <w:rtl/>
        </w:rPr>
        <w:t>در هر دوره و با احتمال شناخته شده</w:t>
      </w:r>
      <w:r w:rsidRPr="00551F33">
        <w:rPr>
          <w:rFonts w:cs="B Nazanin" w:hint="cs"/>
          <w:i/>
          <w:sz w:val="23"/>
          <w:szCs w:val="23"/>
          <w:rtl/>
        </w:rPr>
        <w:softHyphen/>
        <w:t>ی</w:t>
      </w:r>
      <w:r w:rsidRPr="00551F33">
        <w:rPr>
          <w:position w:val="-6"/>
        </w:rPr>
        <w:object w:dxaOrig="220" w:dyaOrig="200" w14:anchorId="7AC36322">
          <v:shape id="_x0000_i7565" type="#_x0000_t75" style="width:10.9pt;height:10.3pt" o:ole="">
            <v:imagedata r:id="rId13203" o:title=""/>
          </v:shape>
          <o:OLEObject Type="Embed" ProgID="Equation.DSMT4" ShapeID="_x0000_i7565" DrawAspect="Content" ObjectID="_1791381508" r:id="rId13204"/>
        </w:object>
      </w:r>
      <w:r w:rsidRPr="00551F33">
        <w:rPr>
          <w:rFonts w:cs="B Nazanin" w:hint="cs"/>
          <w:i/>
          <w:sz w:val="23"/>
          <w:szCs w:val="23"/>
          <w:rtl/>
        </w:rPr>
        <w:t xml:space="preserve"> رخ دهد، و شوک درآمدی دوره‌ی جاری ناشناخته باشد، آنگاه</w:t>
      </w:r>
    </w:p>
    <w:p w14:paraId="3D84839E" w14:textId="77777777" w:rsidR="00556C10" w:rsidRPr="00551F33" w:rsidRDefault="00556C10" w:rsidP="00556C10">
      <w:pPr>
        <w:pStyle w:val="NormalWeb"/>
        <w:spacing w:before="0" w:beforeAutospacing="0" w:after="0" w:afterAutospacing="0" w:line="216" w:lineRule="auto"/>
        <w:jc w:val="both"/>
        <w:rPr>
          <w:rFonts w:cs="B Nazanin"/>
          <w:i/>
          <w:sz w:val="23"/>
          <w:szCs w:val="23"/>
        </w:rPr>
      </w:pPr>
      <w:r w:rsidRPr="00551F33">
        <w:rPr>
          <w:position w:val="-52"/>
        </w:rPr>
        <w:object w:dxaOrig="2079" w:dyaOrig="1140" w14:anchorId="34BF0404">
          <v:shape id="_x0000_i7566" type="#_x0000_t75" style="width:104.05pt;height:56.85pt" o:ole="">
            <v:imagedata r:id="rId13205" o:title=""/>
          </v:shape>
          <o:OLEObject Type="Embed" ProgID="Equation.DSMT4" ShapeID="_x0000_i7566" DrawAspect="Content" ObjectID="_1791381509" r:id="rId13206"/>
        </w:object>
      </w:r>
    </w:p>
    <w:p w14:paraId="1FBA1ADE"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i/>
          <w:sz w:val="23"/>
          <w:szCs w:val="23"/>
        </w:rPr>
        <w:t> </w:t>
      </w:r>
      <w:r w:rsidRPr="00551F33">
        <w:rPr>
          <w:rFonts w:cs="B Nazanin" w:hint="cs"/>
          <w:bCs/>
          <w:i/>
          <w:sz w:val="23"/>
          <w:szCs w:val="23"/>
          <w:rtl/>
        </w:rPr>
        <w:t>ج:</w:t>
      </w:r>
      <w:r w:rsidRPr="00551F33">
        <w:rPr>
          <w:rFonts w:cs="B Nazanin" w:hint="cs"/>
          <w:i/>
          <w:sz w:val="23"/>
          <w:szCs w:val="23"/>
          <w:rtl/>
        </w:rPr>
        <w:t xml:space="preserve"> اگر وقوع شوک درآمدی در زمان </w:t>
      </w:r>
      <w:r w:rsidRPr="00551F33">
        <w:rPr>
          <w:rFonts w:cs="B Nazanin"/>
          <w:i/>
          <w:sz w:val="23"/>
          <w:szCs w:val="23"/>
        </w:rPr>
        <w:t>t</w:t>
      </w:r>
      <w:r w:rsidRPr="00551F33">
        <w:rPr>
          <w:rFonts w:cs="B Nazanin" w:hint="cs"/>
          <w:i/>
          <w:sz w:val="23"/>
          <w:szCs w:val="23"/>
          <w:rtl/>
        </w:rPr>
        <w:t xml:space="preserve"> مشخص باشد، آنگاه</w:t>
      </w:r>
    </w:p>
    <w:p w14:paraId="41A581A7" w14:textId="77777777" w:rsidR="00556C10" w:rsidRPr="00551F33" w:rsidRDefault="00556C10" w:rsidP="00556C10">
      <w:pPr>
        <w:pStyle w:val="NormalWeb"/>
        <w:spacing w:before="0" w:beforeAutospacing="0" w:after="0" w:afterAutospacing="0" w:line="216" w:lineRule="auto"/>
        <w:jc w:val="both"/>
        <w:rPr>
          <w:rFonts w:cs="B Nazanin"/>
          <w:i/>
          <w:sz w:val="23"/>
          <w:szCs w:val="23"/>
        </w:rPr>
      </w:pPr>
      <w:r w:rsidRPr="00551F33">
        <w:rPr>
          <w:rFonts w:cs="Cambria" w:hint="cs"/>
          <w:i/>
          <w:sz w:val="23"/>
          <w:szCs w:val="23"/>
          <w:rtl/>
        </w:rPr>
        <w:t> </w:t>
      </w:r>
      <w:r w:rsidRPr="00551F33">
        <w:rPr>
          <w:position w:val="-52"/>
        </w:rPr>
        <w:object w:dxaOrig="2320" w:dyaOrig="1140" w14:anchorId="1F09E040">
          <v:shape id="_x0000_i7567" type="#_x0000_t75" style="width:116.15pt;height:56.85pt" o:ole="">
            <v:imagedata r:id="rId13207" o:title=""/>
          </v:shape>
          <o:OLEObject Type="Embed" ProgID="Equation.DSMT4" ShapeID="_x0000_i7567" DrawAspect="Content" ObjectID="_1791381510" r:id="rId13208"/>
        </w:object>
      </w:r>
    </w:p>
    <w:p w14:paraId="056BB6B1"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hint="cs"/>
          <w:i/>
          <w:sz w:val="23"/>
          <w:szCs w:val="23"/>
          <w:rtl/>
        </w:rPr>
        <w:t xml:space="preserve">بنابراین در غیاب شوک‌های درآمدی، اگر </w:t>
      </w:r>
      <w:r w:rsidRPr="00551F33">
        <w:rPr>
          <w:position w:val="-12"/>
        </w:rPr>
        <w:object w:dxaOrig="1500" w:dyaOrig="360" w14:anchorId="58ECC613">
          <v:shape id="_x0000_i7568" type="#_x0000_t75" style="width:75.05pt;height:18.15pt" o:ole="">
            <v:imagedata r:id="rId13209" o:title=""/>
          </v:shape>
          <o:OLEObject Type="Embed" ProgID="Equation.DSMT4" ShapeID="_x0000_i7568" DrawAspect="Content" ObjectID="_1791381511" r:id="rId13210"/>
        </w:object>
      </w:r>
      <w:r w:rsidRPr="00551F33">
        <w:rPr>
          <w:rFonts w:cs="B Nazanin" w:hint="cs"/>
          <w:i/>
          <w:sz w:val="23"/>
          <w:szCs w:val="23"/>
          <w:rtl/>
        </w:rPr>
        <w:t xml:space="preserve"> باشد ورشکستگی رخ نخواهد داد و در واقع پرداخت بهره از درآمد بیشتر نیست. برای</w:t>
      </w:r>
      <w:r w:rsidRPr="00551F33">
        <w:rPr>
          <w:position w:val="-8"/>
        </w:rPr>
        <w:object w:dxaOrig="660" w:dyaOrig="279" w14:anchorId="0E77A40B">
          <v:shape id="_x0000_i7569" type="#_x0000_t75" style="width:33.3pt;height:13.9pt" o:ole="">
            <v:imagedata r:id="rId13211" o:title=""/>
          </v:shape>
          <o:OLEObject Type="Embed" ProgID="Equation.DSMT4" ShapeID="_x0000_i7569" DrawAspect="Content" ObjectID="_1791381512" r:id="rId13212"/>
        </w:object>
      </w:r>
      <w:r w:rsidRPr="00551F33">
        <w:rPr>
          <w:rFonts w:hint="cs"/>
          <w:i/>
          <w:sz w:val="23"/>
          <w:szCs w:val="23"/>
          <w:rtl/>
          <w:lang w:bidi="fa-IR"/>
        </w:rPr>
        <w:t>،</w:t>
      </w:r>
      <w:r w:rsidRPr="00551F33">
        <w:rPr>
          <w:rFonts w:cs="B Nazanin" w:hint="cs"/>
          <w:i/>
          <w:sz w:val="23"/>
          <w:szCs w:val="23"/>
          <w:rtl/>
        </w:rPr>
        <w:t xml:space="preserve"> ارزش</w:t>
      </w:r>
      <w:r w:rsidRPr="00551F33">
        <w:rPr>
          <w:position w:val="-10"/>
        </w:rPr>
        <w:object w:dxaOrig="220" w:dyaOrig="320" w14:anchorId="1EDCE502">
          <v:shape id="_x0000_i7570" type="#_x0000_t75" style="width:10.9pt;height:15.75pt" o:ole="">
            <v:imagedata r:id="rId13213" o:title=""/>
          </v:shape>
          <o:OLEObject Type="Embed" ProgID="Equation.DSMT4" ShapeID="_x0000_i7570" DrawAspect="Content" ObjectID="_1791381513" r:id="rId13214"/>
        </w:object>
      </w:r>
      <w:r w:rsidRPr="00551F33">
        <w:rPr>
          <w:rFonts w:hint="cs"/>
          <w:i/>
          <w:sz w:val="23"/>
          <w:szCs w:val="23"/>
          <w:rtl/>
          <w:lang w:bidi="fa-IR"/>
        </w:rPr>
        <w:t>،</w:t>
      </w:r>
      <w:r w:rsidRPr="00551F33">
        <w:rPr>
          <w:rFonts w:cs="B Nazanin" w:hint="cs"/>
          <w:i/>
          <w:sz w:val="23"/>
          <w:szCs w:val="23"/>
          <w:rtl/>
        </w:rPr>
        <w:t xml:space="preserve"> وقتی</w:t>
      </w:r>
      <w:r w:rsidRPr="00551F33">
        <w:rPr>
          <w:rFonts w:cs="B Nazanin"/>
          <w:i/>
          <w:sz w:val="23"/>
          <w:szCs w:val="23"/>
          <w:rtl/>
        </w:rPr>
        <w:softHyphen/>
      </w:r>
      <w:r w:rsidRPr="00551F33">
        <w:rPr>
          <w:rFonts w:cs="B Nazanin" w:hint="cs"/>
          <w:i/>
          <w:sz w:val="23"/>
          <w:szCs w:val="23"/>
          <w:rtl/>
        </w:rPr>
        <w:t>که از حالت الف به حالت ب منتقل می‌شویم، افزایش می‌یابد. در حالت الف و ب وام</w:t>
      </w:r>
      <w:r w:rsidRPr="00551F33">
        <w:rPr>
          <w:rFonts w:cs="B Nazanin" w:hint="cs"/>
          <w:i/>
          <w:sz w:val="23"/>
          <w:szCs w:val="23"/>
          <w:rtl/>
        </w:rPr>
        <w:softHyphen/>
        <w:t>دهی به خانوار رخ نخواهد داد، هر چند وام‌دهنده مقادیر</w:t>
      </w:r>
      <w:r w:rsidRPr="00551F33">
        <w:rPr>
          <w:position w:val="-8"/>
        </w:rPr>
        <w:object w:dxaOrig="320" w:dyaOrig="279" w14:anchorId="1B4A3B3F">
          <v:shape id="_x0000_i7571" type="#_x0000_t75" style="width:15.75pt;height:13.9pt" o:ole="">
            <v:imagedata r:id="rId13215" o:title=""/>
          </v:shape>
          <o:OLEObject Type="Embed" ProgID="Equation.DSMT4" ShapeID="_x0000_i7571" DrawAspect="Content" ObjectID="_1791381514" r:id="rId13216"/>
        </w:object>
      </w:r>
      <w:r w:rsidRPr="00551F33">
        <w:rPr>
          <w:rFonts w:cs="B Nazanin" w:hint="cs"/>
          <w:i/>
          <w:sz w:val="23"/>
          <w:szCs w:val="23"/>
          <w:rtl/>
        </w:rPr>
        <w:t xml:space="preserve"> و </w:t>
      </w:r>
      <w:r w:rsidRPr="00551F33">
        <w:rPr>
          <w:position w:val="-6"/>
        </w:rPr>
        <w:object w:dxaOrig="220" w:dyaOrig="200" w14:anchorId="09CF983D">
          <v:shape id="_x0000_i7572" type="#_x0000_t75" style="width:10.9pt;height:10.3pt" o:ole="">
            <v:imagedata r:id="rId13217" o:title=""/>
          </v:shape>
          <o:OLEObject Type="Embed" ProgID="Equation.DSMT4" ShapeID="_x0000_i7572" DrawAspect="Content" ObjectID="_1791381515" r:id="rId13218"/>
        </w:object>
      </w:r>
      <w:r w:rsidRPr="00551F33">
        <w:rPr>
          <w:rFonts w:cs="B Nazanin" w:hint="cs"/>
          <w:i/>
          <w:sz w:val="23"/>
          <w:szCs w:val="23"/>
          <w:rtl/>
        </w:rPr>
        <w:t xml:space="preserve"> را بداند. بنابراین می</w:t>
      </w:r>
      <w:r w:rsidRPr="00551F33">
        <w:rPr>
          <w:rFonts w:cs="B Nazanin"/>
          <w:i/>
          <w:sz w:val="23"/>
          <w:szCs w:val="23"/>
        </w:rPr>
        <w:t>‌</w:t>
      </w:r>
      <w:r w:rsidRPr="00551F33">
        <w:rPr>
          <w:rFonts w:cs="B Nazanin" w:hint="cs"/>
          <w:i/>
          <w:sz w:val="23"/>
          <w:szCs w:val="23"/>
          <w:rtl/>
        </w:rPr>
        <w:t xml:space="preserve">توان فرض کرد که در این حالت </w:t>
      </w:r>
      <w:r w:rsidRPr="00551F33">
        <w:rPr>
          <w:position w:val="-10"/>
        </w:rPr>
        <w:object w:dxaOrig="580" w:dyaOrig="320" w14:anchorId="7C10000C">
          <v:shape id="_x0000_i7573" type="#_x0000_t75" style="width:29.05pt;height:15.75pt" o:ole="">
            <v:imagedata r:id="rId13219" o:title=""/>
          </v:shape>
          <o:OLEObject Type="Embed" ProgID="Equation.DSMT4" ShapeID="_x0000_i7573" DrawAspect="Content" ObjectID="_1791381516" r:id="rId13220"/>
        </w:object>
      </w:r>
      <w:r w:rsidRPr="00551F33">
        <w:rPr>
          <w:rFonts w:cs="B Nazanin" w:hint="cs"/>
          <w:i/>
          <w:sz w:val="23"/>
          <w:szCs w:val="23"/>
          <w:rtl/>
        </w:rPr>
        <w:t xml:space="preserve"> است. بنابراین یک شوک درآمدی می</w:t>
      </w:r>
      <w:r w:rsidRPr="00551F33">
        <w:rPr>
          <w:rFonts w:cs="B Nazanin"/>
          <w:i/>
          <w:sz w:val="23"/>
          <w:szCs w:val="23"/>
          <w:rtl/>
        </w:rPr>
        <w:softHyphen/>
      </w:r>
      <w:r w:rsidRPr="00551F33">
        <w:rPr>
          <w:rFonts w:cs="B Nazanin" w:hint="cs"/>
          <w:i/>
          <w:sz w:val="23"/>
          <w:szCs w:val="23"/>
          <w:rtl/>
        </w:rPr>
        <w:t>بایست در دوره‌ی جاری برای وقوع ورشکستگی رخ دهد. اندازه</w:t>
      </w:r>
      <w:r w:rsidRPr="00551F33">
        <w:rPr>
          <w:rFonts w:cs="B Nazanin" w:hint="cs"/>
          <w:i/>
          <w:sz w:val="23"/>
          <w:szCs w:val="23"/>
          <w:rtl/>
        </w:rPr>
        <w:softHyphen/>
        <w:t xml:space="preserve">ی </w:t>
      </w:r>
      <w:r w:rsidRPr="00551F33">
        <w:rPr>
          <w:rFonts w:cs="B Nazanin" w:hint="cs"/>
          <w:i/>
          <w:sz w:val="23"/>
          <w:szCs w:val="23"/>
          <w:rtl/>
        </w:rPr>
        <w:lastRenderedPageBreak/>
        <w:t xml:space="preserve">شوک درآمدیِ لازم را می‌توان از عبارت ثروت در حالات ب و ج بدست آورد. در حالت ب </w:t>
      </w:r>
      <w:r w:rsidRPr="00551F33">
        <w:rPr>
          <w:position w:val="-10"/>
        </w:rPr>
        <w:object w:dxaOrig="639" w:dyaOrig="320" w14:anchorId="0CDECCCA">
          <v:shape id="_x0000_i7574" type="#_x0000_t75" style="width:32.05pt;height:15.75pt" o:ole="">
            <v:imagedata r:id="rId13221" o:title=""/>
          </v:shape>
          <o:OLEObject Type="Embed" ProgID="Equation.DSMT4" ShapeID="_x0000_i7574" DrawAspect="Content" ObjectID="_1791381517" r:id="rId13222"/>
        </w:object>
      </w:r>
      <w:r w:rsidRPr="00551F33">
        <w:rPr>
          <w:rFonts w:cs="B Nazanin" w:hint="cs"/>
          <w:i/>
          <w:sz w:val="23"/>
          <w:szCs w:val="23"/>
          <w:rtl/>
        </w:rPr>
        <w:t xml:space="preserve">، و در حالت ج </w:t>
      </w:r>
      <w:r w:rsidRPr="00551F33">
        <w:rPr>
          <w:position w:val="-10"/>
        </w:rPr>
        <w:object w:dxaOrig="639" w:dyaOrig="320" w14:anchorId="5A6321BF">
          <v:shape id="_x0000_i7575" type="#_x0000_t75" style="width:32.05pt;height:15.75pt" o:ole="">
            <v:imagedata r:id="rId13223" o:title=""/>
          </v:shape>
          <o:OLEObject Type="Embed" ProgID="Equation.DSMT4" ShapeID="_x0000_i7575" DrawAspect="Content" ObjectID="_1791381518" r:id="rId13224"/>
        </w:object>
      </w:r>
      <w:r w:rsidRPr="00551F33">
        <w:rPr>
          <w:rFonts w:cs="B Nazanin" w:hint="cs"/>
          <w:i/>
          <w:sz w:val="23"/>
          <w:szCs w:val="23"/>
          <w:rtl/>
        </w:rPr>
        <w:t>، کاهش درآمد باید بگونه</w:t>
      </w:r>
      <w:r w:rsidRPr="00551F33">
        <w:rPr>
          <w:rFonts w:cs="B Nazanin" w:hint="cs"/>
          <w:i/>
          <w:sz w:val="23"/>
          <w:szCs w:val="23"/>
          <w:rtl/>
        </w:rPr>
        <w:softHyphen/>
        <w:t>ای باشد که</w:t>
      </w:r>
    </w:p>
    <w:p w14:paraId="104C61AC" w14:textId="77777777" w:rsidR="00556C10" w:rsidRPr="00551F33" w:rsidRDefault="00556C10" w:rsidP="00556C10">
      <w:pPr>
        <w:pStyle w:val="NormalWeb"/>
        <w:spacing w:before="0" w:beforeAutospacing="0" w:after="0" w:afterAutospacing="0" w:line="216" w:lineRule="auto"/>
        <w:jc w:val="both"/>
        <w:rPr>
          <w:rFonts w:cs="B Nazanin"/>
          <w:i/>
          <w:sz w:val="23"/>
          <w:szCs w:val="23"/>
        </w:rPr>
      </w:pPr>
      <w:r w:rsidRPr="00551F33">
        <w:rPr>
          <w:position w:val="-30"/>
        </w:rPr>
        <w:object w:dxaOrig="3320" w:dyaOrig="700" w14:anchorId="2812775A">
          <v:shape id="_x0000_i7576" type="#_x0000_t75" style="width:165.8pt;height:35.1pt" o:ole="">
            <v:imagedata r:id="rId13225" o:title=""/>
          </v:shape>
          <o:OLEObject Type="Embed" ProgID="Equation.DSMT4" ShapeID="_x0000_i7576" DrawAspect="Content" ObjectID="_1791381519" r:id="rId13226"/>
        </w:object>
      </w:r>
    </w:p>
    <w:p w14:paraId="5D4BADE4"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i/>
          <w:sz w:val="23"/>
          <w:szCs w:val="23"/>
        </w:rPr>
        <w:t> </w:t>
      </w:r>
      <w:r w:rsidRPr="00551F33">
        <w:rPr>
          <w:rFonts w:cs="B Nazanin" w:hint="cs"/>
          <w:i/>
          <w:sz w:val="23"/>
          <w:szCs w:val="23"/>
          <w:rtl/>
        </w:rPr>
        <w:t>در نتیجه اگر شوک درآمدی پایین</w:t>
      </w:r>
      <w:r w:rsidRPr="00551F33">
        <w:rPr>
          <w:rFonts w:cs="B Nazanin" w:hint="cs"/>
          <w:i/>
          <w:sz w:val="23"/>
          <w:szCs w:val="23"/>
          <w:rtl/>
        </w:rPr>
        <w:softHyphen/>
        <w:t>تر از حد بالایی باشد، ورشکستگی رخ نخواهد داد، اما اگر از حدّ پایین تجاوز کند ورشکستگی رخ خواهد داد. در این فصل و در بخش‌های بعدی قصور را در مدل اقتصادی وارد می‌کنیم</w:t>
      </w:r>
    </w:p>
    <w:p w14:paraId="3B5AFCB0"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lang w:bidi="fa-IR"/>
        </w:rPr>
      </w:pPr>
      <w:r w:rsidRPr="00551F33">
        <w:rPr>
          <w:rFonts w:cs="B Nazanin"/>
          <w:i/>
          <w:sz w:val="23"/>
          <w:szCs w:val="23"/>
        </w:rPr>
        <w:t> </w:t>
      </w:r>
    </w:p>
    <w:p w14:paraId="2C9CC541" w14:textId="77777777" w:rsidR="00556C10" w:rsidRPr="00551F33" w:rsidRDefault="00556C10" w:rsidP="00556C10">
      <w:pPr>
        <w:pStyle w:val="NormalWeb"/>
        <w:bidi/>
        <w:spacing w:before="0" w:beforeAutospacing="0" w:after="0" w:afterAutospacing="0" w:line="216" w:lineRule="auto"/>
        <w:jc w:val="both"/>
        <w:rPr>
          <w:rFonts w:cs="B Nazanin"/>
          <w:bCs/>
          <w:i/>
          <w:sz w:val="23"/>
          <w:szCs w:val="23"/>
        </w:rPr>
      </w:pPr>
      <w:r w:rsidRPr="00551F33">
        <w:rPr>
          <w:rFonts w:cs="B Nazanin" w:hint="cs"/>
          <w:bCs/>
          <w:i/>
          <w:sz w:val="23"/>
          <w:szCs w:val="23"/>
          <w:rtl/>
        </w:rPr>
        <w:t>۱۵. ۳. ۳ اطلاعات ناقص</w:t>
      </w:r>
    </w:p>
    <w:p w14:paraId="154815DF"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hint="cs"/>
          <w:i/>
          <w:sz w:val="23"/>
          <w:szCs w:val="23"/>
          <w:rtl/>
        </w:rPr>
        <w:t>اعمال قید استقراض بدلیل نگرانی وام</w:t>
      </w:r>
      <w:r w:rsidRPr="00551F33">
        <w:rPr>
          <w:rFonts w:cs="B Nazanin" w:hint="cs"/>
          <w:i/>
          <w:sz w:val="23"/>
          <w:szCs w:val="23"/>
          <w:rtl/>
        </w:rPr>
        <w:softHyphen/>
        <w:t>دهنده از وام</w:t>
      </w:r>
      <w:r w:rsidRPr="00551F33">
        <w:rPr>
          <w:rFonts w:cs="B Nazanin" w:hint="cs"/>
          <w:i/>
          <w:sz w:val="23"/>
          <w:szCs w:val="23"/>
          <w:rtl/>
        </w:rPr>
        <w:softHyphen/>
        <w:t>گیرنده است، زیرا ممکن است وام</w:t>
      </w:r>
      <w:r w:rsidRPr="00551F33">
        <w:rPr>
          <w:rFonts w:cs="B Nazanin" w:hint="cs"/>
          <w:i/>
          <w:sz w:val="23"/>
          <w:szCs w:val="23"/>
          <w:rtl/>
        </w:rPr>
        <w:softHyphen/>
        <w:t>گیرنده نسبت به بازپرداخت قروض خود قصور کند. هنگامی</w:t>
      </w:r>
      <w:r w:rsidRPr="00551F33">
        <w:rPr>
          <w:rFonts w:cs="B Nazanin"/>
          <w:i/>
          <w:sz w:val="23"/>
          <w:szCs w:val="23"/>
          <w:rtl/>
        </w:rPr>
        <w:softHyphen/>
      </w:r>
      <w:r w:rsidRPr="00551F33">
        <w:rPr>
          <w:rFonts w:cs="B Nazanin" w:hint="cs"/>
          <w:i/>
          <w:sz w:val="23"/>
          <w:szCs w:val="23"/>
          <w:rtl/>
        </w:rPr>
        <w:t>که با اطلاعات ناقص درباره‌ی احتمال وقوع قصور روبرو باشیم، آنگاه وام</w:t>
      </w:r>
      <w:r w:rsidRPr="00551F33">
        <w:rPr>
          <w:rFonts w:cs="B Nazanin" w:hint="cs"/>
          <w:i/>
          <w:sz w:val="23"/>
          <w:szCs w:val="23"/>
          <w:rtl/>
        </w:rPr>
        <w:softHyphen/>
        <w:t>دهندگان نه تنها اعتبارات خود را جیره</w:t>
      </w:r>
      <w:r w:rsidRPr="00551F33">
        <w:rPr>
          <w:rFonts w:cs="B Nazanin" w:hint="cs"/>
          <w:i/>
          <w:sz w:val="23"/>
          <w:szCs w:val="23"/>
          <w:rtl/>
        </w:rPr>
        <w:softHyphen/>
        <w:t>بندی می</w:t>
      </w:r>
      <w:r w:rsidRPr="00551F33">
        <w:rPr>
          <w:rFonts w:cs="B Nazanin"/>
          <w:i/>
          <w:sz w:val="23"/>
          <w:szCs w:val="23"/>
        </w:rPr>
        <w:t>‌</w:t>
      </w:r>
      <w:r w:rsidRPr="00551F33">
        <w:rPr>
          <w:rFonts w:cs="B Nazanin" w:hint="cs"/>
          <w:i/>
          <w:sz w:val="23"/>
          <w:szCs w:val="23"/>
          <w:rtl/>
        </w:rPr>
        <w:t>کنند، بلکه ممکن است حتی از وام‌گیرنده نرخ‌های بهره</w:t>
      </w:r>
      <w:r w:rsidRPr="00551F33">
        <w:rPr>
          <w:rFonts w:cs="B Nazanin"/>
          <w:i/>
          <w:sz w:val="23"/>
          <w:szCs w:val="23"/>
          <w:rtl/>
        </w:rPr>
        <w:softHyphen/>
      </w:r>
      <w:r w:rsidRPr="00551F33">
        <w:rPr>
          <w:rFonts w:cs="B Nazanin" w:hint="cs"/>
          <w:i/>
          <w:sz w:val="23"/>
          <w:szCs w:val="23"/>
          <w:rtl/>
        </w:rPr>
        <w:t>ی بالاتر را نیز مطالبه و دریافت کنند. این مسئله را گزینش معکوس نامند. اخذ نرخ‌های مختلف وام ممکن است رفتار وام</w:t>
      </w:r>
      <w:r w:rsidRPr="00551F33">
        <w:rPr>
          <w:rFonts w:cs="B Nazanin" w:hint="cs"/>
          <w:i/>
          <w:sz w:val="23"/>
          <w:szCs w:val="23"/>
          <w:rtl/>
        </w:rPr>
        <w:softHyphen/>
        <w:t>گیرنده و ریسکی بودن وام‌ها را تحت تاثیر قرار دهد. کسانی که مایلند در نرخ</w:t>
      </w:r>
      <w:r w:rsidRPr="00551F33">
        <w:rPr>
          <w:rFonts w:cs="B Nazanin"/>
          <w:i/>
          <w:sz w:val="23"/>
          <w:szCs w:val="23"/>
        </w:rPr>
        <w:t>‌</w:t>
      </w:r>
      <w:r w:rsidRPr="00551F33">
        <w:rPr>
          <w:rFonts w:cs="B Nazanin" w:hint="cs"/>
          <w:i/>
          <w:sz w:val="23"/>
          <w:szCs w:val="23"/>
          <w:rtl/>
        </w:rPr>
        <w:t>های بهره‌ی بالاتری قرض کنند، به طور متوسط، بیشتر  قصور می</w:t>
      </w:r>
      <w:r w:rsidRPr="00551F33">
        <w:rPr>
          <w:rFonts w:cs="B Nazanin"/>
          <w:i/>
          <w:sz w:val="23"/>
          <w:szCs w:val="23"/>
          <w:rtl/>
        </w:rPr>
        <w:softHyphen/>
      </w:r>
      <w:r w:rsidRPr="00551F33">
        <w:rPr>
          <w:rFonts w:cs="B Nazanin" w:hint="cs"/>
          <w:i/>
          <w:sz w:val="23"/>
          <w:szCs w:val="23"/>
          <w:rtl/>
        </w:rPr>
        <w:t>کنند. این موضوع که از ویژگی‌ بحران مالی اخیر بود، ابتدا توسط استیگلیتز و ویس</w:t>
      </w:r>
      <w:r w:rsidRPr="00551F33">
        <w:rPr>
          <w:rStyle w:val="FootnoteReference"/>
          <w:i/>
          <w:sz w:val="23"/>
          <w:szCs w:val="23"/>
          <w:rtl/>
        </w:rPr>
        <w:footnoteReference w:id="359"/>
      </w:r>
      <w:r w:rsidRPr="00551F33">
        <w:rPr>
          <w:rFonts w:cs="B Nazanin" w:hint="cs"/>
          <w:i/>
          <w:sz w:val="23"/>
          <w:szCs w:val="23"/>
          <w:rtl/>
        </w:rPr>
        <w:t xml:space="preserve"> در سال ۱۹۸۱ به بحث گذاشته شد. مباحث بعدی مبتنی است بر مدل آن دو محقق و توضیحات آن در کتاب والش</w:t>
      </w:r>
      <w:r w:rsidRPr="00551F33">
        <w:rPr>
          <w:rStyle w:val="FootnoteReference"/>
          <w:i/>
          <w:sz w:val="23"/>
          <w:szCs w:val="23"/>
          <w:rtl/>
        </w:rPr>
        <w:footnoteReference w:id="360"/>
      </w:r>
      <w:r w:rsidRPr="00551F33">
        <w:rPr>
          <w:rFonts w:cs="B Nazanin" w:hint="cs"/>
          <w:i/>
          <w:sz w:val="23"/>
          <w:szCs w:val="23"/>
          <w:rtl/>
        </w:rPr>
        <w:t xml:space="preserve">. </w:t>
      </w:r>
    </w:p>
    <w:p w14:paraId="097BDBE4"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hint="cs"/>
          <w:i/>
          <w:sz w:val="23"/>
          <w:szCs w:val="23"/>
          <w:rtl/>
        </w:rPr>
        <w:t>فرض کنید استقراض</w:t>
      </w:r>
      <w:r w:rsidRPr="00551F33">
        <w:rPr>
          <w:rFonts w:cs="B Nazanin" w:hint="cs"/>
          <w:i/>
          <w:sz w:val="23"/>
          <w:szCs w:val="23"/>
          <w:rtl/>
        </w:rPr>
        <w:softHyphen/>
        <w:t>کنندگان (بنگاه</w:t>
      </w:r>
      <w:r w:rsidRPr="00551F33">
        <w:rPr>
          <w:rFonts w:cs="B Nazanin" w:hint="cs"/>
          <w:i/>
          <w:sz w:val="23"/>
          <w:szCs w:val="23"/>
          <w:rtl/>
        </w:rPr>
        <w:softHyphen/>
        <w:t>ها)، و وام</w:t>
      </w:r>
      <w:r w:rsidRPr="00551F33">
        <w:rPr>
          <w:rFonts w:cs="B Nazanin" w:hint="cs"/>
          <w:i/>
          <w:sz w:val="23"/>
          <w:szCs w:val="23"/>
          <w:rtl/>
        </w:rPr>
        <w:softHyphen/>
        <w:t>دهندگانِ (بانک‌های) بسیاری وجود دارند که در جستجوی بازدهی قروض و وام‌هایشان هستند. بر حسب ریسکی بودن بازدهی سرمایه</w:t>
      </w:r>
      <w:r w:rsidRPr="00551F33">
        <w:rPr>
          <w:rFonts w:cs="B Nazanin" w:hint="cs"/>
          <w:i/>
          <w:sz w:val="23"/>
          <w:szCs w:val="23"/>
          <w:rtl/>
        </w:rPr>
        <w:softHyphen/>
        <w:t>گذاری، که بوسیله‌ی وام تأمین مالی شده است، استقراض</w:t>
      </w:r>
      <w:r w:rsidRPr="00551F33">
        <w:rPr>
          <w:rFonts w:cs="B Nazanin" w:hint="cs"/>
          <w:i/>
          <w:sz w:val="23"/>
          <w:szCs w:val="23"/>
          <w:rtl/>
        </w:rPr>
        <w:softHyphen/>
        <w:t>کنندگان را می</w:t>
      </w:r>
      <w:r w:rsidRPr="00551F33">
        <w:rPr>
          <w:rFonts w:cs="B Nazanin"/>
          <w:i/>
          <w:sz w:val="23"/>
          <w:szCs w:val="23"/>
        </w:rPr>
        <w:t>‌</w:t>
      </w:r>
      <w:r w:rsidRPr="00551F33">
        <w:rPr>
          <w:rFonts w:cs="B Nazanin" w:hint="cs"/>
          <w:i/>
          <w:sz w:val="23"/>
          <w:szCs w:val="23"/>
          <w:rtl/>
        </w:rPr>
        <w:t>توان به دو دسته</w:t>
      </w:r>
      <w:r w:rsidRPr="00551F33">
        <w:rPr>
          <w:rFonts w:cs="B Nazanin"/>
          <w:i/>
          <w:sz w:val="23"/>
          <w:szCs w:val="23"/>
          <w:rtl/>
        </w:rPr>
        <w:softHyphen/>
      </w:r>
      <w:r w:rsidRPr="00551F33">
        <w:rPr>
          <w:rFonts w:cs="B Nazanin" w:hint="cs"/>
          <w:i/>
          <w:sz w:val="23"/>
          <w:szCs w:val="23"/>
          <w:rtl/>
        </w:rPr>
        <w:t>ی ریسک‌های خوب</w:t>
      </w:r>
      <w:r w:rsidRPr="00551F33">
        <w:rPr>
          <w:position w:val="-8"/>
        </w:rPr>
        <w:object w:dxaOrig="220" w:dyaOrig="240" w14:anchorId="67797ECD">
          <v:shape id="_x0000_i7577" type="#_x0000_t75" style="width:10.9pt;height:12.1pt" o:ole="">
            <v:imagedata r:id="rId13227" o:title=""/>
          </v:shape>
          <o:OLEObject Type="Embed" ProgID="Equation.DSMT4" ShapeID="_x0000_i7577" DrawAspect="Content" ObjectID="_1791381520" r:id="rId13228"/>
        </w:object>
      </w:r>
      <w:r w:rsidRPr="00551F33">
        <w:rPr>
          <w:rFonts w:cs="B Nazanin"/>
          <w:i/>
          <w:sz w:val="23"/>
          <w:szCs w:val="23"/>
        </w:rPr>
        <w:t xml:space="preserve"> , </w:t>
      </w:r>
      <w:r w:rsidRPr="00551F33">
        <w:rPr>
          <w:rFonts w:cs="B Nazanin" w:hint="cs"/>
          <w:i/>
          <w:sz w:val="23"/>
          <w:szCs w:val="23"/>
          <w:rtl/>
        </w:rPr>
        <w:t>و ریسک‌های بد</w:t>
      </w:r>
      <w:r w:rsidRPr="00551F33">
        <w:rPr>
          <w:position w:val="-6"/>
        </w:rPr>
        <w:object w:dxaOrig="180" w:dyaOrig="260" w14:anchorId="3B0266C6">
          <v:shape id="_x0000_i7578" type="#_x0000_t75" style="width:9.1pt;height:12.7pt" o:ole="">
            <v:imagedata r:id="rId13229" o:title=""/>
          </v:shape>
          <o:OLEObject Type="Embed" ProgID="Equation.DSMT4" ShapeID="_x0000_i7578" DrawAspect="Content" ObjectID="_1791381521" r:id="rId13230"/>
        </w:object>
      </w:r>
      <w:r w:rsidRPr="00551F33">
        <w:rPr>
          <w:rFonts w:hint="cs"/>
          <w:i/>
          <w:sz w:val="23"/>
          <w:szCs w:val="23"/>
          <w:rtl/>
          <w:lang w:bidi="fa-IR"/>
        </w:rPr>
        <w:t xml:space="preserve"> </w:t>
      </w:r>
      <w:r w:rsidRPr="00551F33">
        <w:rPr>
          <w:rFonts w:cs="B Nazanin" w:hint="cs"/>
          <w:i/>
          <w:sz w:val="23"/>
          <w:szCs w:val="23"/>
          <w:rtl/>
        </w:rPr>
        <w:t>تقسیم کرد. یک بنگاه منفرد، مقدار</w:t>
      </w:r>
      <w:r w:rsidRPr="00025957">
        <w:rPr>
          <w:position w:val="-4"/>
        </w:rPr>
        <w:object w:dxaOrig="220" w:dyaOrig="240" w14:anchorId="662D8DC6">
          <v:shape id="_x0000_i7579" type="#_x0000_t75" style="width:10.9pt;height:12.1pt" o:ole="">
            <v:imagedata r:id="rId13231" o:title=""/>
          </v:shape>
          <o:OLEObject Type="Embed" ProgID="Equation.DSMT4" ShapeID="_x0000_i7579" DrawAspect="Content" ObjectID="_1791381522" r:id="rId13232"/>
        </w:object>
      </w:r>
      <w:r w:rsidRPr="00551F33">
        <w:rPr>
          <w:rFonts w:cs="B Nazanin" w:hint="cs"/>
          <w:i/>
          <w:sz w:val="23"/>
          <w:szCs w:val="23"/>
          <w:rtl/>
        </w:rPr>
        <w:t xml:space="preserve"> را با نرخ بهره</w:t>
      </w:r>
      <w:r w:rsidRPr="00025957">
        <w:rPr>
          <w:position w:val="-4"/>
        </w:rPr>
        <w:object w:dxaOrig="260" w:dyaOrig="279" w14:anchorId="7CA4C895">
          <v:shape id="_x0000_i7580" type="#_x0000_t75" style="width:12.7pt;height:13.9pt" o:ole="">
            <v:imagedata r:id="rId13233" o:title=""/>
          </v:shape>
          <o:OLEObject Type="Embed" ProgID="Equation.DSMT4" ShapeID="_x0000_i7580" DrawAspect="Content" ObjectID="_1791381523" r:id="rId13234"/>
        </w:object>
      </w:r>
      <w:r w:rsidRPr="00551F33">
        <w:rPr>
          <w:rFonts w:cs="B Nazanin" w:hint="cs"/>
          <w:i/>
          <w:sz w:val="23"/>
          <w:szCs w:val="23"/>
          <w:rtl/>
        </w:rPr>
        <w:t xml:space="preserve"> قرض کرده، و اگر هزینه</w:t>
      </w:r>
      <w:r w:rsidRPr="00551F33">
        <w:rPr>
          <w:position w:val="-16"/>
        </w:rPr>
        <w:object w:dxaOrig="900" w:dyaOrig="420" w14:anchorId="58AFEC4C">
          <v:shape id="_x0000_i7581" type="#_x0000_t75" style="width:44.75pt;height:21.2pt" o:ole="">
            <v:imagedata r:id="rId13235" o:title=""/>
          </v:shape>
          <o:OLEObject Type="Embed" ProgID="Equation.DSMT4" ShapeID="_x0000_i7581" DrawAspect="Content" ObjectID="_1791381524" r:id="rId13236"/>
        </w:object>
      </w:r>
      <w:r w:rsidRPr="00551F33">
        <w:rPr>
          <w:rFonts w:cs="B Nazanin" w:hint="cs"/>
          <w:i/>
          <w:sz w:val="23"/>
          <w:szCs w:val="23"/>
          <w:rtl/>
        </w:rPr>
        <w:t>از مجموع بازدهی ناخالص سرمایه</w:t>
      </w:r>
      <w:r w:rsidRPr="00551F33">
        <w:rPr>
          <w:rFonts w:cs="B Nazanin"/>
          <w:i/>
          <w:sz w:val="23"/>
          <w:szCs w:val="23"/>
        </w:rPr>
        <w:t>‌</w:t>
      </w:r>
      <w:r w:rsidRPr="00551F33">
        <w:rPr>
          <w:rFonts w:cs="B Nazanin" w:hint="cs"/>
          <w:i/>
          <w:sz w:val="23"/>
          <w:szCs w:val="23"/>
          <w:rtl/>
        </w:rPr>
        <w:t>گذارای</w:t>
      </w:r>
      <w:r w:rsidRPr="00551F33">
        <w:rPr>
          <w:position w:val="-12"/>
        </w:rPr>
        <w:object w:dxaOrig="859" w:dyaOrig="360" w14:anchorId="7008F64C">
          <v:shape id="_x0000_i7582" type="#_x0000_t75" style="width:42.95pt;height:18.15pt" o:ole="">
            <v:imagedata r:id="rId13237" o:title=""/>
          </v:shape>
          <o:OLEObject Type="Embed" ProgID="Equation.DSMT4" ShapeID="_x0000_i7582" DrawAspect="Content" ObjectID="_1791381525" r:id="rId13238"/>
        </w:object>
      </w:r>
      <w:r w:rsidRPr="00551F33">
        <w:rPr>
          <w:rFonts w:cs="B Nazanin" w:hint="cs"/>
          <w:i/>
          <w:sz w:val="23"/>
          <w:szCs w:val="23"/>
          <w:rtl/>
        </w:rPr>
        <w:t xml:space="preserve"> بعلاوه‌ی هر وثیقه‌ی</w:t>
      </w:r>
      <w:r w:rsidRPr="00025957">
        <w:rPr>
          <w:position w:val="-4"/>
        </w:rPr>
        <w:object w:dxaOrig="240" w:dyaOrig="240" w14:anchorId="22DDC7E2">
          <v:shape id="_x0000_i7583" type="#_x0000_t75" style="width:12.1pt;height:12.1pt" o:ole="">
            <v:imagedata r:id="rId13239" o:title=""/>
          </v:shape>
          <o:OLEObject Type="Embed" ProgID="Equation.DSMT4" ShapeID="_x0000_i7583" DrawAspect="Content" ObjectID="_1791381526" r:id="rId13240"/>
        </w:object>
      </w:r>
      <w:r w:rsidRPr="00551F33">
        <w:rPr>
          <w:rFonts w:cs="B Nazanin" w:hint="cs"/>
          <w:i/>
          <w:sz w:val="23"/>
          <w:szCs w:val="23"/>
          <w:rtl/>
        </w:rPr>
        <w:t xml:space="preserve"> بیشتر باشد، یعنی اگر</w:t>
      </w:r>
      <w:r w:rsidRPr="00551F33">
        <w:rPr>
          <w:position w:val="-16"/>
        </w:rPr>
        <w:object w:dxaOrig="2280" w:dyaOrig="420" w14:anchorId="3149EFC3">
          <v:shape id="_x0000_i7584" type="#_x0000_t75" style="width:113.75pt;height:21.2pt" o:ole="">
            <v:imagedata r:id="rId13241" o:title=""/>
          </v:shape>
          <o:OLEObject Type="Embed" ProgID="Equation.DSMT4" ShapeID="_x0000_i7584" DrawAspect="Content" ObjectID="_1791381527" r:id="rId13242"/>
        </w:object>
      </w:r>
      <w:r w:rsidRPr="00551F33">
        <w:rPr>
          <w:rFonts w:cs="B Nazanin" w:hint="cs"/>
          <w:i/>
          <w:sz w:val="23"/>
          <w:szCs w:val="23"/>
          <w:rtl/>
        </w:rPr>
        <w:t xml:space="preserve"> باشد، آنگاه آن بنگاه قصور خواهد کرد. بازدهی</w:t>
      </w:r>
      <w:r w:rsidRPr="00551F33">
        <w:rPr>
          <w:position w:val="-6"/>
        </w:rPr>
        <w:object w:dxaOrig="240" w:dyaOrig="260" w14:anchorId="7C7FCA54">
          <v:shape id="_x0000_i7585" type="#_x0000_t75" style="width:12.1pt;height:12.7pt" o:ole="">
            <v:imagedata r:id="rId13243" o:title=""/>
          </v:shape>
          <o:OLEObject Type="Embed" ProgID="Equation.DSMT4" ShapeID="_x0000_i7585" DrawAspect="Content" ObjectID="_1791381528" r:id="rId13244"/>
        </w:object>
      </w:r>
      <w:r w:rsidRPr="00551F33">
        <w:rPr>
          <w:rFonts w:cs="B Nazanin" w:hint="cs"/>
          <w:i/>
          <w:sz w:val="23"/>
          <w:szCs w:val="23"/>
          <w:rtl/>
        </w:rPr>
        <w:t xml:space="preserve"> متغیری تصادفی است که مقادیر</w:t>
      </w:r>
      <w:r w:rsidRPr="00551F33">
        <w:rPr>
          <w:position w:val="-10"/>
        </w:rPr>
        <w:object w:dxaOrig="560" w:dyaOrig="279" w14:anchorId="4D81E516">
          <v:shape id="_x0000_i7586" type="#_x0000_t75" style="width:27.85pt;height:13.9pt" o:ole="">
            <v:imagedata r:id="rId13245" o:title=""/>
          </v:shape>
          <o:OLEObject Type="Embed" ProgID="Equation.DSMT4" ShapeID="_x0000_i7586" DrawAspect="Content" ObjectID="_1791381529" r:id="rId13246"/>
        </w:object>
      </w:r>
      <w:r w:rsidRPr="00551F33">
        <w:rPr>
          <w:rFonts w:cs="B Nazanin" w:hint="cs"/>
          <w:i/>
          <w:sz w:val="23"/>
          <w:szCs w:val="23"/>
          <w:rtl/>
        </w:rPr>
        <w:t xml:space="preserve"> را با احتمال ۰.۵ اختیار می‌کند، و واریانس</w:t>
      </w:r>
      <w:r w:rsidRPr="00551F33">
        <w:rPr>
          <w:position w:val="-6"/>
        </w:rPr>
        <w:object w:dxaOrig="240" w:dyaOrig="260" w14:anchorId="0B3E5E7A">
          <v:shape id="_x0000_i7587" type="#_x0000_t75" style="width:12.1pt;height:12.7pt" o:ole="">
            <v:imagedata r:id="rId13247" o:title=""/>
          </v:shape>
          <o:OLEObject Type="Embed" ProgID="Equation.DSMT4" ShapeID="_x0000_i7587" DrawAspect="Content" ObjectID="_1791381530" r:id="rId13248"/>
        </w:object>
      </w:r>
      <w:r w:rsidRPr="00551F33">
        <w:rPr>
          <w:rFonts w:cs="B Nazanin" w:hint="cs"/>
          <w:i/>
          <w:sz w:val="23"/>
          <w:szCs w:val="23"/>
          <w:rtl/>
        </w:rPr>
        <w:t xml:space="preserve"> برابر است با</w:t>
      </w:r>
      <w:r w:rsidRPr="00551F33">
        <w:rPr>
          <w:position w:val="-6"/>
        </w:rPr>
        <w:object w:dxaOrig="300" w:dyaOrig="300" w14:anchorId="72BB2DDB">
          <v:shape id="_x0000_i7588" type="#_x0000_t75" style="width:15.15pt;height:15.15pt" o:ole="">
            <v:imagedata r:id="rId13249" o:title=""/>
          </v:shape>
          <o:OLEObject Type="Embed" ProgID="Equation.DSMT4" ShapeID="_x0000_i7588" DrawAspect="Content" ObjectID="_1791381531" r:id="rId13250"/>
        </w:object>
      </w:r>
      <w:r w:rsidRPr="00551F33">
        <w:rPr>
          <w:rFonts w:cs="B Nazanin" w:hint="cs"/>
          <w:i/>
          <w:sz w:val="23"/>
          <w:szCs w:val="23"/>
          <w:rtl/>
        </w:rPr>
        <w:t>. اگر بازدهی برابر با</w:t>
      </w:r>
      <w:r w:rsidRPr="00551F33">
        <w:rPr>
          <w:position w:val="-10"/>
        </w:rPr>
        <w:object w:dxaOrig="560" w:dyaOrig="260" w14:anchorId="11DB2BF7">
          <v:shape id="_x0000_i7589" type="#_x0000_t75" style="width:27.85pt;height:12.7pt" o:ole="">
            <v:imagedata r:id="rId13251" o:title=""/>
          </v:shape>
          <o:OLEObject Type="Embed" ProgID="Equation.DSMT4" ShapeID="_x0000_i7589" DrawAspect="Content" ObjectID="_1791381532" r:id="rId13252"/>
        </w:object>
      </w:r>
      <w:r w:rsidRPr="00551F33">
        <w:rPr>
          <w:rFonts w:cs="B Nazanin" w:hint="cs"/>
          <w:i/>
          <w:sz w:val="23"/>
          <w:szCs w:val="23"/>
          <w:rtl/>
        </w:rPr>
        <w:t xml:space="preserve"> باشد </w:t>
      </w:r>
      <w:r w:rsidRPr="00551F33">
        <w:rPr>
          <w:rFonts w:cs="B Nazanin"/>
          <w:i/>
          <w:sz w:val="23"/>
          <w:szCs w:val="23"/>
        </w:rPr>
        <w:t>)</w:t>
      </w:r>
      <w:r w:rsidRPr="00551F33">
        <w:rPr>
          <w:rFonts w:cs="B Nazanin" w:hint="cs"/>
          <w:i/>
          <w:sz w:val="23"/>
          <w:szCs w:val="23"/>
          <w:rtl/>
        </w:rPr>
        <w:t>پیش آمد خوب</w:t>
      </w:r>
      <w:r w:rsidRPr="00551F33">
        <w:rPr>
          <w:rFonts w:cs="B Nazanin"/>
          <w:i/>
          <w:sz w:val="23"/>
          <w:szCs w:val="23"/>
        </w:rPr>
        <w:t>(</w:t>
      </w:r>
      <w:r w:rsidRPr="00551F33">
        <w:rPr>
          <w:rFonts w:cs="B Nazanin" w:hint="cs"/>
          <w:i/>
          <w:sz w:val="23"/>
          <w:szCs w:val="23"/>
          <w:rtl/>
        </w:rPr>
        <w:t>، وام</w:t>
      </w:r>
      <w:r w:rsidRPr="00551F33">
        <w:rPr>
          <w:rFonts w:cs="B Nazanin" w:hint="cs"/>
          <w:i/>
          <w:sz w:val="23"/>
          <w:szCs w:val="23"/>
          <w:rtl/>
        </w:rPr>
        <w:softHyphen/>
        <w:t>گیرنده  منفعت</w:t>
      </w:r>
      <w:r w:rsidRPr="00551F33">
        <w:rPr>
          <w:position w:val="-16"/>
        </w:rPr>
        <w:object w:dxaOrig="1300" w:dyaOrig="420" w14:anchorId="20324A85">
          <v:shape id="_x0000_i7590" type="#_x0000_t75" style="width:64.75pt;height:21.2pt" o:ole="">
            <v:imagedata r:id="rId13253" o:title=""/>
          </v:shape>
          <o:OLEObject Type="Embed" ProgID="Equation.DSMT4" ShapeID="_x0000_i7590" DrawAspect="Content" ObjectID="_1791381533" r:id="rId13254"/>
        </w:object>
      </w:r>
      <w:r w:rsidRPr="00551F33">
        <w:rPr>
          <w:rFonts w:cs="B Nazanin" w:hint="cs"/>
          <w:i/>
          <w:sz w:val="23"/>
          <w:szCs w:val="23"/>
          <w:rtl/>
        </w:rPr>
        <w:t xml:space="preserve"> را بدست خواهد آورد، و اگر بازدهی برابر با </w:t>
      </w:r>
      <w:r w:rsidRPr="00551F33">
        <w:rPr>
          <w:position w:val="-10"/>
        </w:rPr>
        <w:object w:dxaOrig="560" w:dyaOrig="240" w14:anchorId="4461951A">
          <v:shape id="_x0000_i7591" type="#_x0000_t75" style="width:27.85pt;height:12.1pt" o:ole="">
            <v:imagedata r:id="rId13255" o:title=""/>
          </v:shape>
          <o:OLEObject Type="Embed" ProgID="Equation.DSMT4" ShapeID="_x0000_i7591" DrawAspect="Content" ObjectID="_1791381534" r:id="rId13256"/>
        </w:object>
      </w:r>
      <w:r w:rsidRPr="00551F33">
        <w:rPr>
          <w:rFonts w:cs="B Nazanin" w:hint="cs"/>
          <w:i/>
          <w:sz w:val="23"/>
          <w:szCs w:val="23"/>
          <w:rtl/>
        </w:rPr>
        <w:t xml:space="preserve"> باشد (پیش آمد بد)، حداکثر زیانی معادل وثیقه</w:t>
      </w:r>
      <w:r w:rsidRPr="00025957">
        <w:rPr>
          <w:position w:val="-4"/>
        </w:rPr>
        <w:object w:dxaOrig="240" w:dyaOrig="240" w14:anchorId="6EA1D68B">
          <v:shape id="_x0000_i7592" type="#_x0000_t75" style="width:12.1pt;height:12.1pt" o:ole="">
            <v:imagedata r:id="rId13257" o:title=""/>
          </v:shape>
          <o:OLEObject Type="Embed" ProgID="Equation.DSMT4" ShapeID="_x0000_i7592" DrawAspect="Content" ObjectID="_1791381535" r:id="rId13258"/>
        </w:object>
      </w:r>
      <w:r w:rsidRPr="00551F33">
        <w:rPr>
          <w:rFonts w:cs="B Nazanin" w:hint="cs"/>
          <w:i/>
          <w:sz w:val="23"/>
          <w:szCs w:val="23"/>
          <w:rtl/>
        </w:rPr>
        <w:t xml:space="preserve"> را متحمل خواهد شد و قصور خواهد کرد. سود انتظاری وام‌گیرنده برابر است با</w:t>
      </w:r>
    </w:p>
    <w:p w14:paraId="6FAF5F11" w14:textId="77777777" w:rsidR="00556C10" w:rsidRPr="00551F33" w:rsidRDefault="00556C10" w:rsidP="00556C10">
      <w:pPr>
        <w:pStyle w:val="NormalWeb"/>
        <w:spacing w:before="0" w:beforeAutospacing="0" w:after="0" w:afterAutospacing="0" w:line="216" w:lineRule="auto"/>
        <w:jc w:val="both"/>
        <w:rPr>
          <w:rFonts w:cs="B Nazanin"/>
          <w:i/>
          <w:sz w:val="23"/>
          <w:szCs w:val="23"/>
          <w:rtl/>
        </w:rPr>
      </w:pPr>
      <w:r w:rsidRPr="00551F33">
        <w:rPr>
          <w:position w:val="-18"/>
        </w:rPr>
        <w:object w:dxaOrig="4900" w:dyaOrig="460" w14:anchorId="51B07301">
          <v:shape id="_x0000_i7593" type="#_x0000_t75" style="width:245.05pt;height:23pt" o:ole="">
            <v:imagedata r:id="rId13259" o:title=""/>
          </v:shape>
          <o:OLEObject Type="Embed" ProgID="Equation.DSMT4" ShapeID="_x0000_i7593" DrawAspect="Content" ObjectID="_1791381536" r:id="rId13260"/>
        </w:object>
      </w:r>
      <w:r w:rsidRPr="00551F33">
        <w:rPr>
          <w:i/>
          <w:sz w:val="23"/>
          <w:szCs w:val="23"/>
          <w:rtl/>
          <w:lang w:bidi="fa-IR"/>
        </w:rPr>
        <w:tab/>
      </w:r>
      <w:r w:rsidRPr="00551F33">
        <w:rPr>
          <w:i/>
          <w:sz w:val="23"/>
          <w:szCs w:val="23"/>
          <w:rtl/>
          <w:lang w:bidi="fa-IR"/>
        </w:rPr>
        <w:tab/>
      </w:r>
      <w:r>
        <w:rPr>
          <w:i/>
          <w:sz w:val="23"/>
          <w:szCs w:val="23"/>
          <w:rtl/>
          <w:lang w:bidi="fa-IR"/>
        </w:rPr>
        <w:tab/>
      </w:r>
      <w:r w:rsidRPr="00551F33">
        <w:rPr>
          <w:i/>
          <w:sz w:val="23"/>
          <w:szCs w:val="23"/>
          <w:rtl/>
          <w:lang w:bidi="fa-IR"/>
        </w:rPr>
        <w:tab/>
      </w:r>
      <w:r w:rsidRPr="00551F33">
        <w:rPr>
          <w:rFonts w:cs="B Nazanin"/>
          <w:i/>
          <w:sz w:val="23"/>
          <w:szCs w:val="23"/>
        </w:rPr>
        <w:t xml:space="preserve"> </w:t>
      </w:r>
      <w:r w:rsidRPr="00551F33">
        <w:rPr>
          <w:rFonts w:cs="B Nazanin" w:hint="cs"/>
          <w:i/>
          <w:sz w:val="23"/>
          <w:szCs w:val="23"/>
          <w:rtl/>
        </w:rPr>
        <w:t xml:space="preserve">(۱۵. ۱) </w:t>
      </w:r>
    </w:p>
    <w:p w14:paraId="35DEF395"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hint="cs"/>
          <w:i/>
          <w:sz w:val="23"/>
          <w:szCs w:val="23"/>
          <w:rtl/>
        </w:rPr>
        <w:lastRenderedPageBreak/>
        <w:t xml:space="preserve">پیشامد خوب اتفاق خواهد افتاد اگر </w:t>
      </w:r>
      <w:r w:rsidRPr="00551F33">
        <w:rPr>
          <w:position w:val="-16"/>
        </w:rPr>
        <w:object w:dxaOrig="1920" w:dyaOrig="420" w14:anchorId="7938C567">
          <v:shape id="_x0000_i7594" type="#_x0000_t75" style="width:96.2pt;height:21.2pt" o:ole="">
            <v:imagedata r:id="rId13261" o:title=""/>
          </v:shape>
          <o:OLEObject Type="Embed" ProgID="Equation.DSMT4" ShapeID="_x0000_i7594" DrawAspect="Content" ObjectID="_1791381537" r:id="rId13262"/>
        </w:object>
      </w:r>
      <w:r w:rsidRPr="00551F33">
        <w:rPr>
          <w:rFonts w:cs="B Nazanin" w:hint="cs"/>
          <w:i/>
          <w:sz w:val="23"/>
          <w:szCs w:val="23"/>
          <w:rtl/>
        </w:rPr>
        <w:t xml:space="preserve"> باشد، که نشان می‌دهد سود انتظاری سرمایه</w:t>
      </w:r>
      <w:r w:rsidRPr="00551F33">
        <w:rPr>
          <w:rFonts w:cs="B Nazanin" w:hint="cs"/>
          <w:i/>
          <w:sz w:val="23"/>
          <w:szCs w:val="23"/>
          <w:rtl/>
        </w:rPr>
        <w:softHyphen/>
        <w:t>گذاری مثبت است و جزء تصادفی بازده بیشتر از تفاوت بین بازدهی انتظاری بعلاوه</w:t>
      </w:r>
      <w:r w:rsidRPr="00551F33">
        <w:rPr>
          <w:position w:val="-6"/>
        </w:rPr>
        <w:object w:dxaOrig="900" w:dyaOrig="260" w14:anchorId="11F9EAAB">
          <v:shape id="_x0000_i7595" type="#_x0000_t75" style="width:44.75pt;height:12.7pt" o:ole="">
            <v:imagedata r:id="rId13263" o:title=""/>
          </v:shape>
          <o:OLEObject Type="Embed" ProgID="Equation.DSMT4" ShapeID="_x0000_i7595" DrawAspect="Content" ObjectID="_1791381538" r:id="rId13264"/>
        </w:object>
      </w:r>
      <w:r w:rsidRPr="00551F33">
        <w:rPr>
          <w:rFonts w:cs="B Nazanin" w:hint="cs"/>
          <w:i/>
          <w:sz w:val="23"/>
          <w:szCs w:val="23"/>
          <w:rtl/>
        </w:rPr>
        <w:t>، یعنی بخشی از وام که وثیقه آن را می‌پوشاند، خواهد بود. هر چه</w:t>
      </w:r>
      <w:r w:rsidRPr="00025957">
        <w:rPr>
          <w:position w:val="-4"/>
        </w:rPr>
        <w:object w:dxaOrig="260" w:dyaOrig="279" w14:anchorId="3BAC6B7A">
          <v:shape id="_x0000_i7596" type="#_x0000_t75" style="width:12.7pt;height:13.9pt" o:ole="">
            <v:imagedata r:id="rId13265" o:title=""/>
          </v:shape>
          <o:OLEObject Type="Embed" ProgID="Equation.DSMT4" ShapeID="_x0000_i7596" DrawAspect="Content" ObjectID="_1791381539" r:id="rId13266"/>
        </w:object>
      </w:r>
      <w:r w:rsidRPr="00551F33">
        <w:rPr>
          <w:rFonts w:cs="B Nazanin" w:hint="cs"/>
          <w:i/>
          <w:sz w:val="23"/>
          <w:szCs w:val="23"/>
          <w:rtl/>
        </w:rPr>
        <w:t xml:space="preserve"> بزرگتر باشد،</w:t>
      </w:r>
      <w:r w:rsidRPr="00551F33">
        <w:rPr>
          <w:position w:val="-6"/>
        </w:rPr>
        <w:object w:dxaOrig="279" w:dyaOrig="300" w14:anchorId="60A3FA7D">
          <v:shape id="_x0000_i7597" type="#_x0000_t75" style="width:13.9pt;height:15.15pt" o:ole="">
            <v:imagedata r:id="rId13267" o:title=""/>
          </v:shape>
          <o:OLEObject Type="Embed" ProgID="Equation.DSMT4" ShapeID="_x0000_i7597" DrawAspect="Content" ObjectID="_1791381540" r:id="rId13268"/>
        </w:object>
      </w:r>
      <w:r w:rsidRPr="00551F33">
        <w:rPr>
          <w:rFonts w:cs="B Nazanin" w:hint="cs"/>
          <w:i/>
          <w:sz w:val="23"/>
          <w:szCs w:val="23"/>
          <w:rtl/>
        </w:rPr>
        <w:t xml:space="preserve"> بالاتر است و احتمال این</w:t>
      </w:r>
      <w:r w:rsidRPr="00551F33">
        <w:rPr>
          <w:rFonts w:cs="B Nazanin"/>
          <w:i/>
          <w:sz w:val="23"/>
          <w:szCs w:val="23"/>
          <w:rtl/>
        </w:rPr>
        <w:softHyphen/>
      </w:r>
      <w:r w:rsidRPr="00551F33">
        <w:rPr>
          <w:rFonts w:cs="B Nazanin" w:hint="cs"/>
          <w:i/>
          <w:sz w:val="23"/>
          <w:szCs w:val="23"/>
          <w:rtl/>
        </w:rPr>
        <w:t>که سود انتظاری مثبت باشد کمتر می</w:t>
      </w:r>
      <w:r w:rsidRPr="00551F33">
        <w:rPr>
          <w:rFonts w:cs="B Nazanin"/>
          <w:i/>
          <w:sz w:val="23"/>
          <w:szCs w:val="23"/>
          <w:rtl/>
        </w:rPr>
        <w:softHyphen/>
      </w:r>
      <w:r w:rsidRPr="00551F33">
        <w:rPr>
          <w:rFonts w:cs="B Nazanin" w:hint="cs"/>
          <w:i/>
          <w:sz w:val="23"/>
          <w:szCs w:val="23"/>
          <w:rtl/>
        </w:rPr>
        <w:t>شود. اگر سود به صفر میل کند، بنگاه دست از استقراض می‌کشد. استقراض کننده‌ی خوب یا بد را می</w:t>
      </w:r>
      <w:r w:rsidRPr="00551F33">
        <w:rPr>
          <w:rFonts w:cs="B Nazanin" w:hint="cs"/>
          <w:i/>
          <w:sz w:val="23"/>
          <w:szCs w:val="23"/>
          <w:rtl/>
        </w:rPr>
        <w:softHyphen/>
        <w:t>توان با اندازه‌ی</w:t>
      </w:r>
      <w:r w:rsidRPr="00551F33">
        <w:rPr>
          <w:position w:val="-6"/>
        </w:rPr>
        <w:object w:dxaOrig="220" w:dyaOrig="200" w14:anchorId="0DCD7F14">
          <v:shape id="_x0000_i7598" type="#_x0000_t75" style="width:10.9pt;height:10.3pt" o:ole="">
            <v:imagedata r:id="rId13269" o:title=""/>
          </v:shape>
          <o:OLEObject Type="Embed" ProgID="Equation.DSMT4" ShapeID="_x0000_i7598" DrawAspect="Content" ObjectID="_1791381541" r:id="rId13270"/>
        </w:object>
      </w:r>
      <w:r w:rsidRPr="00551F33">
        <w:rPr>
          <w:rFonts w:cs="B Nazanin" w:hint="cs"/>
          <w:i/>
          <w:sz w:val="23"/>
          <w:szCs w:val="23"/>
          <w:rtl/>
        </w:rPr>
        <w:t xml:space="preserve"> تعیین کرد که ممکن است</w:t>
      </w:r>
      <w:r w:rsidRPr="00551F33">
        <w:rPr>
          <w:position w:val="-6"/>
        </w:rPr>
        <w:object w:dxaOrig="300" w:dyaOrig="300" w14:anchorId="1F90EACC">
          <v:shape id="_x0000_i7599" type="#_x0000_t75" style="width:15.15pt;height:15.15pt" o:ole="">
            <v:imagedata r:id="rId13271" o:title=""/>
          </v:shape>
          <o:OLEObject Type="Embed" ProgID="Equation.DSMT4" ShapeID="_x0000_i7599" DrawAspect="Content" ObjectID="_1791381542" r:id="rId13272"/>
        </w:object>
      </w:r>
      <w:r w:rsidRPr="00551F33">
        <w:rPr>
          <w:rFonts w:cs="B Nazanin" w:hint="cs"/>
          <w:i/>
          <w:sz w:val="23"/>
          <w:szCs w:val="23"/>
          <w:rtl/>
        </w:rPr>
        <w:t xml:space="preserve"> و یا </w:t>
      </w:r>
      <w:r w:rsidRPr="00551F33">
        <w:rPr>
          <w:position w:val="-6"/>
        </w:rPr>
        <w:object w:dxaOrig="279" w:dyaOrig="300" w14:anchorId="158C675C">
          <v:shape id="_x0000_i7600" type="#_x0000_t75" style="width:13.9pt;height:15.15pt" o:ole="">
            <v:imagedata r:id="rId13273" o:title=""/>
          </v:shape>
          <o:OLEObject Type="Embed" ProgID="Equation.DSMT4" ShapeID="_x0000_i7600" DrawAspect="Content" ObjectID="_1791381543" r:id="rId13274"/>
        </w:object>
      </w:r>
      <w:r w:rsidRPr="00551F33">
        <w:rPr>
          <w:rFonts w:cs="B Nazanin" w:hint="cs"/>
          <w:i/>
          <w:sz w:val="23"/>
          <w:szCs w:val="23"/>
          <w:rtl/>
        </w:rPr>
        <w:t xml:space="preserve"> باشد، که در آن</w:t>
      </w:r>
      <w:r w:rsidRPr="00551F33">
        <w:rPr>
          <w:position w:val="-6"/>
        </w:rPr>
        <w:object w:dxaOrig="780" w:dyaOrig="300" w14:anchorId="4665E054">
          <v:shape id="_x0000_i7601" type="#_x0000_t75" style="width:38.7pt;height:15.15pt" o:ole="">
            <v:imagedata r:id="rId13275" o:title=""/>
          </v:shape>
          <o:OLEObject Type="Embed" ProgID="Equation.DSMT4" ShapeID="_x0000_i7601" DrawAspect="Content" ObjectID="_1791381544" r:id="rId13276"/>
        </w:object>
      </w:r>
      <w:r w:rsidRPr="00551F33">
        <w:rPr>
          <w:rFonts w:cs="B Nazanin" w:hint="cs"/>
          <w:i/>
          <w:sz w:val="23"/>
          <w:szCs w:val="23"/>
          <w:rtl/>
        </w:rPr>
        <w:t xml:space="preserve"> خواهد بود. هر دو نوع استقراض کننده، سود کسب می</w:t>
      </w:r>
      <w:r w:rsidRPr="00551F33">
        <w:rPr>
          <w:rFonts w:cs="B Nazanin"/>
          <w:i/>
          <w:sz w:val="23"/>
          <w:szCs w:val="23"/>
        </w:rPr>
        <w:t>‌</w:t>
      </w:r>
      <w:r w:rsidRPr="00551F33">
        <w:rPr>
          <w:rFonts w:cs="B Nazanin" w:hint="cs"/>
          <w:i/>
          <w:sz w:val="23"/>
          <w:szCs w:val="23"/>
          <w:rtl/>
        </w:rPr>
        <w:t>کنند. بااین</w:t>
      </w:r>
      <w:r w:rsidRPr="00551F33">
        <w:rPr>
          <w:rFonts w:cs="B Nazanin" w:hint="cs"/>
          <w:i/>
          <w:sz w:val="23"/>
          <w:szCs w:val="23"/>
          <w:rtl/>
        </w:rPr>
        <w:softHyphen/>
        <w:t>حال هر چه نرخ وام</w:t>
      </w:r>
      <w:r w:rsidRPr="00025957">
        <w:rPr>
          <w:position w:val="-4"/>
        </w:rPr>
        <w:object w:dxaOrig="260" w:dyaOrig="279" w14:anchorId="4D5BE14A">
          <v:shape id="_x0000_i7602" type="#_x0000_t75" style="width:12.7pt;height:13.9pt" o:ole="">
            <v:imagedata r:id="rId13277" o:title=""/>
          </v:shape>
          <o:OLEObject Type="Embed" ProgID="Equation.DSMT4" ShapeID="_x0000_i7602" DrawAspect="Content" ObjectID="_1791381545" r:id="rId13278"/>
        </w:object>
      </w:r>
      <w:r w:rsidRPr="00551F33">
        <w:rPr>
          <w:rFonts w:cs="B Nazanin" w:hint="cs"/>
          <w:i/>
          <w:sz w:val="23"/>
          <w:szCs w:val="23"/>
          <w:rtl/>
        </w:rPr>
        <w:t xml:space="preserve"> بالاتر باشد، احتمال این</w:t>
      </w:r>
      <w:r w:rsidRPr="00551F33">
        <w:rPr>
          <w:rFonts w:cs="B Nazanin"/>
          <w:i/>
          <w:sz w:val="23"/>
          <w:szCs w:val="23"/>
          <w:rtl/>
        </w:rPr>
        <w:softHyphen/>
      </w:r>
      <w:r w:rsidRPr="00551F33">
        <w:rPr>
          <w:rFonts w:cs="B Nazanin" w:hint="cs"/>
          <w:i/>
          <w:sz w:val="23"/>
          <w:szCs w:val="23"/>
          <w:rtl/>
        </w:rPr>
        <w:t>که نوع خوب مایل باشد قرض کند کمتر می</w:t>
      </w:r>
      <w:r w:rsidRPr="00551F33">
        <w:rPr>
          <w:rFonts w:cs="B Nazanin"/>
          <w:i/>
          <w:sz w:val="23"/>
          <w:szCs w:val="23"/>
        </w:rPr>
        <w:t>‌</w:t>
      </w:r>
      <w:r w:rsidRPr="00551F33">
        <w:rPr>
          <w:rFonts w:cs="B Nazanin" w:hint="cs"/>
          <w:i/>
          <w:sz w:val="23"/>
          <w:szCs w:val="23"/>
          <w:rtl/>
        </w:rPr>
        <w:t>شود. از آنجا که تنها استقراض کنندگانی که در گروه ریسک‌های بد هستند به استقراض ادامه می</w:t>
      </w:r>
      <w:r w:rsidRPr="00551F33">
        <w:rPr>
          <w:rFonts w:cs="B Nazanin"/>
          <w:i/>
          <w:sz w:val="23"/>
          <w:szCs w:val="23"/>
        </w:rPr>
        <w:t>‌</w:t>
      </w:r>
      <w:r w:rsidRPr="00551F33">
        <w:rPr>
          <w:rFonts w:cs="B Nazanin" w:hint="cs"/>
          <w:i/>
          <w:sz w:val="23"/>
          <w:szCs w:val="23"/>
          <w:rtl/>
        </w:rPr>
        <w:t>دهند، گزینش معکوس رخ می‌دهد</w:t>
      </w:r>
      <w:r w:rsidRPr="00551F33">
        <w:rPr>
          <w:rFonts w:cs="B Nazanin"/>
          <w:i/>
          <w:sz w:val="23"/>
          <w:szCs w:val="23"/>
        </w:rPr>
        <w:t>.</w:t>
      </w:r>
    </w:p>
    <w:p w14:paraId="45335DE4" w14:textId="77777777" w:rsidR="00556C10" w:rsidRPr="00551F33" w:rsidRDefault="00556C10" w:rsidP="00556C10">
      <w:pPr>
        <w:pStyle w:val="NormalWeb"/>
        <w:bidi/>
        <w:spacing w:before="0" w:beforeAutospacing="0" w:after="0" w:afterAutospacing="0" w:line="216" w:lineRule="auto"/>
        <w:jc w:val="both"/>
        <w:rPr>
          <w:rFonts w:cs="B Nazanin"/>
          <w:i/>
          <w:sz w:val="23"/>
          <w:szCs w:val="23"/>
          <w:lang w:bidi="fa-IR"/>
        </w:rPr>
      </w:pPr>
      <w:r w:rsidRPr="00551F33">
        <w:rPr>
          <w:rFonts w:cs="B Nazanin"/>
          <w:i/>
          <w:sz w:val="23"/>
          <w:szCs w:val="23"/>
        </w:rPr>
        <w:t> </w:t>
      </w:r>
      <w:r w:rsidRPr="00551F33">
        <w:rPr>
          <w:rFonts w:cs="B Nazanin" w:hint="cs"/>
          <w:i/>
          <w:sz w:val="23"/>
          <w:szCs w:val="23"/>
          <w:rtl/>
        </w:rPr>
        <w:t>بانک‌ها که وام می</w:t>
      </w:r>
      <w:r w:rsidRPr="00551F33">
        <w:rPr>
          <w:rFonts w:cs="B Nazanin" w:hint="cs"/>
          <w:i/>
          <w:sz w:val="23"/>
          <w:szCs w:val="23"/>
          <w:rtl/>
        </w:rPr>
        <w:softHyphen/>
        <w:t>دهند، نمی</w:t>
      </w:r>
      <w:r w:rsidRPr="00551F33">
        <w:rPr>
          <w:rFonts w:cs="B Nazanin" w:hint="cs"/>
          <w:i/>
          <w:sz w:val="23"/>
          <w:szCs w:val="23"/>
          <w:rtl/>
        </w:rPr>
        <w:softHyphen/>
        <w:t>توانند نوع استقراض کننده و یا پیشامد بازده او را از وام مشخص کنند. درآمد بانک، یا مقداری است که وعده شده یعنی</w:t>
      </w:r>
      <w:r w:rsidRPr="00551F33">
        <w:rPr>
          <w:position w:val="-16"/>
        </w:rPr>
        <w:object w:dxaOrig="920" w:dyaOrig="420" w14:anchorId="58DEA780">
          <v:shape id="_x0000_i7603" type="#_x0000_t75" style="width:46pt;height:21.2pt" o:ole="">
            <v:imagedata r:id="rId13279" o:title=""/>
          </v:shape>
          <o:OLEObject Type="Embed" ProgID="Equation.DSMT4" ShapeID="_x0000_i7603" DrawAspect="Content" ObjectID="_1791381546" r:id="rId13280"/>
        </w:object>
      </w:r>
      <w:r w:rsidRPr="00551F33">
        <w:rPr>
          <w:rFonts w:cs="B Nazanin" w:hint="cs"/>
          <w:i/>
          <w:sz w:val="23"/>
          <w:szCs w:val="23"/>
          <w:rtl/>
        </w:rPr>
        <w:t>، و یا حداکثر مقداری است که از وقوع قصور بدست می</w:t>
      </w:r>
      <w:r w:rsidRPr="00551F33">
        <w:rPr>
          <w:rFonts w:cs="B Nazanin"/>
          <w:i/>
          <w:sz w:val="23"/>
          <w:szCs w:val="23"/>
          <w:rtl/>
        </w:rPr>
        <w:softHyphen/>
      </w:r>
      <w:r w:rsidRPr="00551F33">
        <w:rPr>
          <w:rFonts w:cs="B Nazanin" w:hint="cs"/>
          <w:i/>
          <w:sz w:val="23"/>
          <w:szCs w:val="23"/>
          <w:rtl/>
        </w:rPr>
        <w:t>آید، یعنی</w:t>
      </w:r>
      <w:r w:rsidRPr="00551F33">
        <w:rPr>
          <w:position w:val="-12"/>
        </w:rPr>
        <w:object w:dxaOrig="1260" w:dyaOrig="360" w14:anchorId="70CCCE9C">
          <v:shape id="_x0000_i7604" type="#_x0000_t75" style="width:62.9pt;height:18.15pt" o:ole="">
            <v:imagedata r:id="rId13281" o:title=""/>
          </v:shape>
          <o:OLEObject Type="Embed" ProgID="Equation.DSMT4" ShapeID="_x0000_i7604" DrawAspect="Content" ObjectID="_1791381547" r:id="rId13282"/>
        </w:object>
      </w:r>
      <w:r w:rsidRPr="00551F33">
        <w:rPr>
          <w:rFonts w:cs="B Nazanin" w:hint="cs"/>
          <w:i/>
          <w:sz w:val="23"/>
          <w:szCs w:val="23"/>
          <w:rtl/>
        </w:rPr>
        <w:t xml:space="preserve">. بنابراین سود انتظاری بانک برابر است با </w:t>
      </w:r>
    </w:p>
    <w:p w14:paraId="5EA5C799" w14:textId="77777777" w:rsidR="00556C10" w:rsidRPr="00551F33" w:rsidRDefault="00556C10" w:rsidP="00556C10">
      <w:pPr>
        <w:pStyle w:val="NormalWeb"/>
        <w:spacing w:before="0" w:beforeAutospacing="0" w:after="0" w:afterAutospacing="0" w:line="216" w:lineRule="auto"/>
        <w:jc w:val="both"/>
        <w:rPr>
          <w:rFonts w:cs="B Nazanin"/>
          <w:i/>
          <w:sz w:val="23"/>
          <w:szCs w:val="23"/>
        </w:rPr>
      </w:pPr>
      <w:r w:rsidRPr="00551F33">
        <w:rPr>
          <w:position w:val="-38"/>
        </w:rPr>
        <w:object w:dxaOrig="3240" w:dyaOrig="859" w14:anchorId="7C1F3333">
          <v:shape id="_x0000_i7605" type="#_x0000_t75" style="width:162.15pt;height:42.95pt" o:ole="">
            <v:imagedata r:id="rId13283" o:title=""/>
          </v:shape>
          <o:OLEObject Type="Embed" ProgID="Equation.DSMT4" ShapeID="_x0000_i7605" DrawAspect="Content" ObjectID="_1791381548" r:id="rId13284"/>
        </w:object>
      </w:r>
      <w:r w:rsidRPr="00551F33">
        <w:rPr>
          <w:rFonts w:cs="B Nazanin" w:hint="cs"/>
          <w:i/>
          <w:sz w:val="23"/>
          <w:szCs w:val="23"/>
          <w:rtl/>
        </w:rPr>
        <w:tab/>
      </w:r>
      <w:r w:rsidRPr="00551F33">
        <w:rPr>
          <w:rFonts w:cs="B Nazanin" w:hint="cs"/>
          <w:i/>
          <w:sz w:val="23"/>
          <w:szCs w:val="23"/>
          <w:rtl/>
        </w:rPr>
        <w:tab/>
      </w:r>
      <w:r w:rsidRPr="00551F33">
        <w:rPr>
          <w:rFonts w:cs="B Nazanin" w:hint="cs"/>
          <w:i/>
          <w:sz w:val="23"/>
          <w:szCs w:val="23"/>
          <w:rtl/>
        </w:rPr>
        <w:tab/>
      </w:r>
      <w:r w:rsidRPr="00551F33">
        <w:rPr>
          <w:rFonts w:cs="B Nazanin"/>
          <w:i/>
          <w:sz w:val="23"/>
          <w:szCs w:val="23"/>
          <w:rtl/>
        </w:rPr>
        <w:tab/>
      </w:r>
      <w:r w:rsidRPr="00551F33">
        <w:rPr>
          <w:rFonts w:cs="B Nazanin"/>
          <w:i/>
          <w:sz w:val="23"/>
          <w:szCs w:val="23"/>
          <w:rtl/>
        </w:rPr>
        <w:tab/>
      </w:r>
      <w:r>
        <w:rPr>
          <w:rFonts w:cs="B Nazanin"/>
          <w:i/>
          <w:sz w:val="23"/>
          <w:szCs w:val="23"/>
          <w:rtl/>
        </w:rPr>
        <w:tab/>
      </w:r>
      <w:r w:rsidRPr="00551F33">
        <w:rPr>
          <w:rFonts w:cs="B Nazanin"/>
          <w:i/>
          <w:sz w:val="23"/>
          <w:szCs w:val="23"/>
        </w:rPr>
        <w:tab/>
      </w:r>
      <w:r w:rsidRPr="00551F33">
        <w:rPr>
          <w:rFonts w:cs="B Nazanin"/>
          <w:i/>
          <w:sz w:val="23"/>
          <w:szCs w:val="23"/>
          <w:rtl/>
        </w:rPr>
        <w:tab/>
      </w:r>
      <w:r w:rsidRPr="00551F33">
        <w:rPr>
          <w:rFonts w:cs="B Nazanin"/>
          <w:i/>
          <w:sz w:val="23"/>
          <w:szCs w:val="23"/>
          <w:rtl/>
        </w:rPr>
        <w:tab/>
      </w:r>
      <w:r w:rsidRPr="00551F33">
        <w:rPr>
          <w:rFonts w:cs="B Nazanin"/>
          <w:i/>
          <w:sz w:val="23"/>
          <w:szCs w:val="23"/>
          <w:rtl/>
        </w:rPr>
        <w:tab/>
      </w:r>
      <w:r w:rsidRPr="00551F33">
        <w:rPr>
          <w:rFonts w:cs="B Nazanin"/>
          <w:i/>
          <w:sz w:val="23"/>
          <w:szCs w:val="23"/>
        </w:rPr>
        <w:t xml:space="preserve"> </w:t>
      </w:r>
      <w:r w:rsidRPr="00551F33">
        <w:rPr>
          <w:rFonts w:cs="B Nazanin" w:hint="cs"/>
          <w:i/>
          <w:sz w:val="23"/>
          <w:szCs w:val="23"/>
          <w:rtl/>
        </w:rPr>
        <w:t>(۱۵. ۲)</w:t>
      </w:r>
    </w:p>
    <w:p w14:paraId="18E71545"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hint="cs"/>
          <w:i/>
          <w:sz w:val="23"/>
          <w:szCs w:val="23"/>
          <w:rtl/>
        </w:rPr>
        <w:t>که در</w:t>
      </w:r>
      <w:r w:rsidRPr="00025957">
        <w:rPr>
          <w:position w:val="-4"/>
        </w:rPr>
        <w:object w:dxaOrig="180" w:dyaOrig="180" w14:anchorId="53FC2788">
          <v:shape id="_x0000_i7606" type="#_x0000_t75" style="width:9.1pt;height:9.1pt" o:ole="">
            <v:imagedata r:id="rId13285" o:title=""/>
          </v:shape>
          <o:OLEObject Type="Embed" ProgID="Equation.DSMT4" ShapeID="_x0000_i7606" DrawAspect="Content" ObjectID="_1791381549" r:id="rId13286"/>
        </w:object>
      </w:r>
      <w:r w:rsidRPr="00551F33">
        <w:rPr>
          <w:rFonts w:cs="B Nazanin" w:hint="cs"/>
          <w:i/>
          <w:sz w:val="23"/>
          <w:szCs w:val="23"/>
          <w:rtl/>
        </w:rPr>
        <w:t xml:space="preserve"> هزینه</w:t>
      </w:r>
      <w:r w:rsidRPr="00551F33">
        <w:rPr>
          <w:rFonts w:cs="B Nazanin"/>
          <w:i/>
          <w:sz w:val="23"/>
          <w:szCs w:val="23"/>
          <w:rtl/>
        </w:rPr>
        <w:softHyphen/>
      </w:r>
      <w:r w:rsidRPr="00551F33">
        <w:rPr>
          <w:rFonts w:cs="B Nazanin" w:hint="cs"/>
          <w:i/>
          <w:sz w:val="23"/>
          <w:szCs w:val="23"/>
          <w:rtl/>
        </w:rPr>
        <w:t>ی فرصت وام، همانند بازدهی سرمایه</w:t>
      </w:r>
      <w:r w:rsidRPr="00551F33">
        <w:rPr>
          <w:rFonts w:cs="B Nazanin" w:hint="cs"/>
          <w:i/>
          <w:sz w:val="23"/>
          <w:szCs w:val="23"/>
          <w:rtl/>
        </w:rPr>
        <w:softHyphen/>
        <w:t>گذاری آلترناتیو است که بانک می‌تواند انجام دهد. هر چه</w:t>
      </w:r>
      <w:r w:rsidRPr="00025957">
        <w:rPr>
          <w:position w:val="-4"/>
        </w:rPr>
        <w:object w:dxaOrig="260" w:dyaOrig="279" w14:anchorId="0B857DED">
          <v:shape id="_x0000_i7607" type="#_x0000_t75" style="width:12.7pt;height:13.9pt" o:ole="">
            <v:imagedata r:id="rId13287" o:title=""/>
          </v:shape>
          <o:OLEObject Type="Embed" ProgID="Equation.DSMT4" ShapeID="_x0000_i7607" DrawAspect="Content" ObjectID="_1791381550" r:id="rId13288"/>
        </w:object>
      </w:r>
      <w:r w:rsidRPr="00551F33">
        <w:rPr>
          <w:rFonts w:cs="B Nazanin" w:hint="cs"/>
          <w:i/>
          <w:sz w:val="23"/>
          <w:szCs w:val="23"/>
          <w:rtl/>
        </w:rPr>
        <w:t xml:space="preserve"> بزرگتر باشد، سود انتظاری بانک بیشتر است.</w:t>
      </w:r>
    </w:p>
    <w:p w14:paraId="7427C5FD" w14:textId="77777777" w:rsidR="00556C10" w:rsidRPr="00551F33" w:rsidRDefault="00556C10" w:rsidP="00556C10">
      <w:pPr>
        <w:pStyle w:val="NormalWeb"/>
        <w:bidi/>
        <w:spacing w:before="0" w:beforeAutospacing="0" w:after="0" w:afterAutospacing="0" w:line="216" w:lineRule="auto"/>
        <w:jc w:val="both"/>
        <w:rPr>
          <w:rFonts w:cs="B Nazanin"/>
          <w:i/>
          <w:sz w:val="23"/>
          <w:szCs w:val="23"/>
          <w:lang w:bidi="fa-IR"/>
        </w:rPr>
      </w:pPr>
      <w:r w:rsidRPr="00551F33">
        <w:rPr>
          <w:rFonts w:cs="B Nazanin" w:hint="cs"/>
          <w:i/>
          <w:sz w:val="23"/>
          <w:szCs w:val="23"/>
          <w:rtl/>
        </w:rPr>
        <w:t>اگر استقراض</w:t>
      </w:r>
      <w:r w:rsidRPr="00551F33">
        <w:rPr>
          <w:rFonts w:cs="B Nazanin" w:hint="cs"/>
          <w:i/>
          <w:sz w:val="23"/>
          <w:szCs w:val="23"/>
          <w:rtl/>
        </w:rPr>
        <w:softHyphen/>
        <w:t>کنندگان خوب به اندازه‌ی استقراض</w:t>
      </w:r>
      <w:r w:rsidRPr="00551F33">
        <w:rPr>
          <w:rFonts w:cs="B Nazanin" w:hint="cs"/>
          <w:i/>
          <w:sz w:val="23"/>
          <w:szCs w:val="23"/>
          <w:rtl/>
        </w:rPr>
        <w:softHyphen/>
        <w:t>کنندگان بد باشند، آنگاه سود انتظاری وام‌دهنده هنگامی که</w:t>
      </w:r>
      <w:r w:rsidRPr="00551F33">
        <w:rPr>
          <w:position w:val="-6"/>
        </w:rPr>
        <w:object w:dxaOrig="760" w:dyaOrig="300" w14:anchorId="1B3CA7B2">
          <v:shape id="_x0000_i7608" type="#_x0000_t75" style="width:38.1pt;height:15.15pt" o:ole="">
            <v:imagedata r:id="rId13289" o:title=""/>
          </v:shape>
          <o:OLEObject Type="Embed" ProgID="Equation.DSMT4" ShapeID="_x0000_i7608" DrawAspect="Content" ObjectID="_1791381551" r:id="rId13290"/>
        </w:object>
      </w:r>
      <w:r w:rsidRPr="00551F33">
        <w:rPr>
          <w:rFonts w:cs="B Nazanin" w:hint="cs"/>
          <w:i/>
          <w:sz w:val="23"/>
          <w:szCs w:val="23"/>
          <w:rtl/>
        </w:rPr>
        <w:t xml:space="preserve"> است برابر خواهد بود با</w:t>
      </w:r>
    </w:p>
    <w:p w14:paraId="34E37784" w14:textId="77777777" w:rsidR="00556C10" w:rsidRPr="00551F33" w:rsidRDefault="00556C10" w:rsidP="00556C10">
      <w:pPr>
        <w:pStyle w:val="NormalWeb"/>
        <w:spacing w:before="0" w:beforeAutospacing="0" w:after="0" w:afterAutospacing="0" w:line="216" w:lineRule="auto"/>
        <w:jc w:val="both"/>
        <w:rPr>
          <w:rFonts w:cs="B Nazanin"/>
          <w:i/>
          <w:sz w:val="23"/>
          <w:szCs w:val="23"/>
        </w:rPr>
      </w:pPr>
      <w:r w:rsidRPr="00551F33">
        <w:rPr>
          <w:rFonts w:cs="B Nazanin"/>
          <w:i/>
          <w:sz w:val="23"/>
          <w:szCs w:val="23"/>
        </w:rPr>
        <w:t> </w:t>
      </w:r>
      <w:r w:rsidRPr="00551F33">
        <w:rPr>
          <w:position w:val="-40"/>
        </w:rPr>
        <w:object w:dxaOrig="4540" w:dyaOrig="900" w14:anchorId="00FA0CCB">
          <v:shape id="_x0000_i7609" type="#_x0000_t75" style="width:226.9pt;height:44.75pt" o:ole="">
            <v:imagedata r:id="rId13291" o:title=""/>
          </v:shape>
          <o:OLEObject Type="Embed" ProgID="Equation.DSMT4" ShapeID="_x0000_i7609" DrawAspect="Content" ObjectID="_1791381552" r:id="rId13292"/>
        </w:object>
      </w:r>
      <w:r w:rsidRPr="00551F33">
        <w:rPr>
          <w:rFonts w:cs="B Nazanin"/>
          <w:i/>
          <w:sz w:val="23"/>
          <w:szCs w:val="23"/>
        </w:rPr>
        <w:t xml:space="preserve"> </w:t>
      </w:r>
      <w:r w:rsidRPr="00551F33">
        <w:rPr>
          <w:rFonts w:cs="B Nazanin" w:hint="cs"/>
          <w:i/>
          <w:sz w:val="23"/>
          <w:szCs w:val="23"/>
          <w:rtl/>
        </w:rPr>
        <w:tab/>
      </w:r>
      <w:r>
        <w:rPr>
          <w:rFonts w:cs="B Nazanin"/>
          <w:i/>
          <w:sz w:val="23"/>
          <w:szCs w:val="23"/>
          <w:rtl/>
        </w:rPr>
        <w:tab/>
      </w:r>
      <w:r w:rsidRPr="00551F33">
        <w:rPr>
          <w:rFonts w:cs="B Nazanin" w:hint="cs"/>
          <w:i/>
          <w:sz w:val="23"/>
          <w:szCs w:val="23"/>
          <w:rtl/>
        </w:rPr>
        <w:tab/>
      </w:r>
      <w:r w:rsidRPr="00551F33">
        <w:rPr>
          <w:rFonts w:cs="B Nazanin"/>
          <w:i/>
          <w:sz w:val="23"/>
          <w:szCs w:val="23"/>
          <w:rtl/>
        </w:rPr>
        <w:tab/>
      </w:r>
      <w:r w:rsidRPr="00551F33">
        <w:rPr>
          <w:rFonts w:cs="B Nazanin"/>
          <w:i/>
          <w:sz w:val="23"/>
          <w:szCs w:val="23"/>
          <w:rtl/>
        </w:rPr>
        <w:tab/>
      </w:r>
      <w:r w:rsidRPr="00551F33">
        <w:rPr>
          <w:rFonts w:cs="B Nazanin"/>
          <w:i/>
          <w:sz w:val="23"/>
          <w:szCs w:val="23"/>
        </w:rPr>
        <w:t xml:space="preserve"> </w:t>
      </w:r>
      <w:r w:rsidRPr="00551F33">
        <w:rPr>
          <w:rFonts w:cs="B Nazanin" w:hint="cs"/>
          <w:i/>
          <w:sz w:val="23"/>
          <w:szCs w:val="23"/>
          <w:rtl/>
        </w:rPr>
        <w:t xml:space="preserve">(۱۵. ۳) </w:t>
      </w:r>
    </w:p>
    <w:p w14:paraId="156CDF7E"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hint="cs"/>
          <w:i/>
          <w:sz w:val="23"/>
          <w:szCs w:val="23"/>
          <w:rtl/>
        </w:rPr>
        <w:t>افزایش</w:t>
      </w:r>
      <w:r w:rsidRPr="00025957">
        <w:rPr>
          <w:position w:val="-4"/>
        </w:rPr>
        <w:object w:dxaOrig="260" w:dyaOrig="279" w14:anchorId="13C972E8">
          <v:shape id="_x0000_i7610" type="#_x0000_t75" style="width:12.7pt;height:13.9pt" o:ole="">
            <v:imagedata r:id="rId13293" o:title=""/>
          </v:shape>
          <o:OLEObject Type="Embed" ProgID="Equation.DSMT4" ShapeID="_x0000_i7610" DrawAspect="Content" ObjectID="_1791381553" r:id="rId13294"/>
        </w:object>
      </w:r>
      <w:r w:rsidRPr="00551F33">
        <w:rPr>
          <w:rFonts w:cs="B Nazanin" w:hint="cs"/>
          <w:i/>
          <w:sz w:val="23"/>
          <w:szCs w:val="23"/>
          <w:rtl/>
        </w:rPr>
        <w:t xml:space="preserve"> سبب می</w:t>
      </w:r>
      <w:r w:rsidRPr="00551F33">
        <w:rPr>
          <w:rFonts w:cs="B Nazanin"/>
          <w:i/>
          <w:sz w:val="23"/>
          <w:szCs w:val="23"/>
        </w:rPr>
        <w:t>‌</w:t>
      </w:r>
      <w:r w:rsidRPr="00551F33">
        <w:rPr>
          <w:rFonts w:cs="B Nazanin" w:hint="cs"/>
          <w:i/>
          <w:sz w:val="23"/>
          <w:szCs w:val="23"/>
          <w:rtl/>
        </w:rPr>
        <w:t xml:space="preserve">شود تا سرانجام </w:t>
      </w:r>
      <w:r w:rsidRPr="00551F33">
        <w:rPr>
          <w:position w:val="-6"/>
        </w:rPr>
        <w:object w:dxaOrig="760" w:dyaOrig="300" w14:anchorId="3249F9BD">
          <v:shape id="_x0000_i7611" type="#_x0000_t75" style="width:38.1pt;height:15.15pt" o:ole="">
            <v:imagedata r:id="rId13295" o:title=""/>
          </v:shape>
          <o:OLEObject Type="Embed" ProgID="Equation.DSMT4" ShapeID="_x0000_i7611" DrawAspect="Content" ObjectID="_1791381554" r:id="rId13296"/>
        </w:object>
      </w:r>
      <w:r w:rsidRPr="00551F33">
        <w:rPr>
          <w:rFonts w:cs="B Nazanin" w:hint="cs"/>
          <w:i/>
          <w:sz w:val="23"/>
          <w:szCs w:val="23"/>
          <w:rtl/>
        </w:rPr>
        <w:t xml:space="preserve"> گردد، و افزایش بیشتر</w:t>
      </w:r>
      <w:r w:rsidRPr="00025957">
        <w:rPr>
          <w:position w:val="-4"/>
        </w:rPr>
        <w:object w:dxaOrig="260" w:dyaOrig="279" w14:anchorId="5AFE8344">
          <v:shape id="_x0000_i7612" type="#_x0000_t75" style="width:13.3pt;height:13.9pt" o:ole="">
            <v:imagedata r:id="rId13297" o:title=""/>
          </v:shape>
          <o:OLEObject Type="Embed" ProgID="Equation.DSMT4" ShapeID="_x0000_i7612" DrawAspect="Content" ObjectID="_1791381555" r:id="rId13298"/>
        </w:object>
      </w:r>
      <w:r w:rsidRPr="00551F33">
        <w:rPr>
          <w:rFonts w:cs="B Nazanin" w:hint="cs"/>
          <w:i/>
          <w:sz w:val="23"/>
          <w:szCs w:val="23"/>
          <w:rtl/>
        </w:rPr>
        <w:t xml:space="preserve"> باعث می</w:t>
      </w:r>
      <w:r w:rsidRPr="00551F33">
        <w:rPr>
          <w:rFonts w:cs="B Nazanin" w:hint="cs"/>
          <w:i/>
          <w:sz w:val="23"/>
          <w:szCs w:val="23"/>
          <w:rtl/>
        </w:rPr>
        <w:softHyphen/>
        <w:t>شود تا نوع خوب وام</w:t>
      </w:r>
      <w:r w:rsidRPr="00551F33">
        <w:rPr>
          <w:rFonts w:cs="B Nazanin" w:hint="cs"/>
          <w:i/>
          <w:sz w:val="23"/>
          <w:szCs w:val="23"/>
          <w:rtl/>
        </w:rPr>
        <w:softHyphen/>
        <w:t>گیرندگان (نه نوع بد) از وام</w:t>
      </w:r>
      <w:r w:rsidRPr="00551F33">
        <w:rPr>
          <w:rFonts w:cs="B Nazanin" w:hint="cs"/>
          <w:i/>
          <w:sz w:val="23"/>
          <w:szCs w:val="23"/>
          <w:rtl/>
        </w:rPr>
        <w:softHyphen/>
        <w:t>گیری خودداری کنند. سپس با</w:t>
      </w:r>
      <w:r w:rsidRPr="00551F33">
        <w:rPr>
          <w:position w:val="-6"/>
        </w:rPr>
        <w:object w:dxaOrig="1219" w:dyaOrig="300" w14:anchorId="70FEA15A">
          <v:shape id="_x0000_i7613" type="#_x0000_t75" style="width:61.1pt;height:14.5pt" o:ole="">
            <v:imagedata r:id="rId13299" o:title=""/>
          </v:shape>
          <o:OLEObject Type="Embed" ProgID="Equation.DSMT4" ShapeID="_x0000_i7613" DrawAspect="Content" ObjectID="_1791381556" r:id="rId13300"/>
        </w:object>
      </w:r>
      <w:r w:rsidRPr="00551F33">
        <w:rPr>
          <w:rFonts w:cs="B Nazanin" w:hint="cs"/>
          <w:i/>
          <w:sz w:val="23"/>
          <w:szCs w:val="23"/>
          <w:rtl/>
        </w:rPr>
        <w:t xml:space="preserve"> سودهای انتظاری بانک به</w:t>
      </w:r>
    </w:p>
    <w:p w14:paraId="0CC6A4C4" w14:textId="77777777" w:rsidR="00556C10" w:rsidRPr="00551F33" w:rsidRDefault="00556C10" w:rsidP="00556C10">
      <w:pPr>
        <w:pStyle w:val="NormalWeb"/>
        <w:spacing w:before="0" w:beforeAutospacing="0" w:after="0" w:afterAutospacing="0" w:line="216" w:lineRule="auto"/>
        <w:jc w:val="both"/>
        <w:rPr>
          <w:rFonts w:cs="B Nazanin"/>
          <w:i/>
          <w:sz w:val="23"/>
          <w:szCs w:val="23"/>
          <w:lang w:bidi="fa-IR"/>
        </w:rPr>
      </w:pPr>
      <w:r w:rsidRPr="00551F33">
        <w:rPr>
          <w:position w:val="-16"/>
        </w:rPr>
        <w:object w:dxaOrig="3080" w:dyaOrig="420" w14:anchorId="7380F387">
          <v:shape id="_x0000_i7614" type="#_x0000_t75" style="width:154.3pt;height:21.2pt" o:ole="">
            <v:imagedata r:id="rId13301" o:title=""/>
          </v:shape>
          <o:OLEObject Type="Embed" ProgID="Equation.DSMT4" ShapeID="_x0000_i7614" DrawAspect="Content" ObjectID="_1791381557" r:id="rId13302"/>
        </w:object>
      </w:r>
      <w:r w:rsidRPr="00551F33">
        <w:rPr>
          <w:rFonts w:cs="B Nazanin"/>
          <w:i/>
          <w:sz w:val="23"/>
          <w:szCs w:val="23"/>
        </w:rPr>
        <w:t xml:space="preserve"> </w:t>
      </w:r>
      <w:r w:rsidRPr="00551F33">
        <w:rPr>
          <w:rFonts w:cs="B Nazanin" w:hint="cs"/>
          <w:i/>
          <w:sz w:val="23"/>
          <w:szCs w:val="23"/>
          <w:rtl/>
        </w:rPr>
        <w:tab/>
      </w:r>
      <w:r w:rsidRPr="00551F33">
        <w:rPr>
          <w:rFonts w:cs="B Nazanin" w:hint="cs"/>
          <w:i/>
          <w:sz w:val="23"/>
          <w:szCs w:val="23"/>
          <w:rtl/>
        </w:rPr>
        <w:tab/>
      </w:r>
      <w:r w:rsidRPr="00551F33">
        <w:rPr>
          <w:rFonts w:cs="B Nazanin" w:hint="cs"/>
          <w:i/>
          <w:sz w:val="23"/>
          <w:szCs w:val="23"/>
          <w:rtl/>
        </w:rPr>
        <w:tab/>
      </w:r>
      <w:r w:rsidRPr="00551F33">
        <w:rPr>
          <w:rFonts w:cs="B Nazanin" w:hint="cs"/>
          <w:i/>
          <w:sz w:val="23"/>
          <w:szCs w:val="23"/>
          <w:rtl/>
        </w:rPr>
        <w:tab/>
      </w:r>
      <w:r w:rsidRPr="00551F33">
        <w:rPr>
          <w:rFonts w:cs="B Nazanin"/>
          <w:i/>
          <w:sz w:val="23"/>
          <w:szCs w:val="23"/>
          <w:rtl/>
        </w:rPr>
        <w:tab/>
      </w:r>
      <w:r w:rsidRPr="00551F33">
        <w:rPr>
          <w:rFonts w:cs="B Nazanin"/>
          <w:i/>
          <w:sz w:val="23"/>
          <w:szCs w:val="23"/>
          <w:rtl/>
        </w:rPr>
        <w:tab/>
      </w:r>
      <w:r w:rsidRPr="00551F33">
        <w:rPr>
          <w:rFonts w:cs="B Nazanin"/>
          <w:i/>
          <w:sz w:val="23"/>
          <w:szCs w:val="23"/>
          <w:rtl/>
        </w:rPr>
        <w:tab/>
      </w:r>
      <w:r w:rsidRPr="00551F33">
        <w:rPr>
          <w:rFonts w:cs="B Nazanin"/>
          <w:i/>
          <w:sz w:val="23"/>
          <w:szCs w:val="23"/>
          <w:rtl/>
        </w:rPr>
        <w:tab/>
      </w:r>
      <w:r>
        <w:rPr>
          <w:rFonts w:cs="B Nazanin"/>
          <w:i/>
          <w:sz w:val="23"/>
          <w:szCs w:val="23"/>
          <w:rtl/>
        </w:rPr>
        <w:tab/>
      </w:r>
      <w:r w:rsidRPr="00551F33">
        <w:rPr>
          <w:rFonts w:cs="B Nazanin"/>
          <w:i/>
          <w:sz w:val="23"/>
          <w:szCs w:val="23"/>
          <w:rtl/>
        </w:rPr>
        <w:tab/>
      </w:r>
      <w:r w:rsidRPr="00551F33">
        <w:rPr>
          <w:rFonts w:cs="B Nazanin"/>
          <w:i/>
          <w:sz w:val="23"/>
          <w:szCs w:val="23"/>
        </w:rPr>
        <w:t xml:space="preserve"> </w:t>
      </w:r>
      <w:r w:rsidRPr="00551F33">
        <w:rPr>
          <w:rFonts w:cs="B Nazanin" w:hint="cs"/>
          <w:i/>
          <w:sz w:val="23"/>
          <w:szCs w:val="23"/>
          <w:rtl/>
        </w:rPr>
        <w:t>(۱۵. ۴)</w:t>
      </w:r>
    </w:p>
    <w:p w14:paraId="3BABAB53"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hint="cs"/>
          <w:i/>
          <w:sz w:val="23"/>
          <w:szCs w:val="23"/>
          <w:rtl/>
        </w:rPr>
        <w:t>کاهش خواهد یافت. معادلات (۱۵. ۲) الی (۱۵. ۴) نشان می‌دهند که سود با نرخ وام</w:t>
      </w:r>
      <w:r w:rsidRPr="00025957">
        <w:rPr>
          <w:position w:val="-4"/>
        </w:rPr>
        <w:object w:dxaOrig="260" w:dyaOrig="279" w14:anchorId="350B695F">
          <v:shape id="_x0000_i7615" type="#_x0000_t75" style="width:13.3pt;height:13.9pt" o:ole="">
            <v:imagedata r:id="rId13303" o:title=""/>
          </v:shape>
          <o:OLEObject Type="Embed" ProgID="Equation.DSMT4" ShapeID="_x0000_i7615" DrawAspect="Content" ObjectID="_1791381558" r:id="rId13304"/>
        </w:object>
      </w:r>
      <w:r w:rsidRPr="00551F33">
        <w:rPr>
          <w:rFonts w:cs="B Nazanin" w:hint="cs"/>
          <w:i/>
          <w:sz w:val="23"/>
          <w:szCs w:val="23"/>
          <w:rtl/>
        </w:rPr>
        <w:t xml:space="preserve"> رابطه</w:t>
      </w:r>
      <w:r w:rsidRPr="00551F33">
        <w:rPr>
          <w:rFonts w:cs="B Nazanin"/>
          <w:i/>
          <w:sz w:val="23"/>
          <w:szCs w:val="23"/>
          <w:rtl/>
        </w:rPr>
        <w:softHyphen/>
      </w:r>
      <w:r w:rsidRPr="00551F33">
        <w:rPr>
          <w:rFonts w:cs="B Nazanin" w:hint="cs"/>
          <w:i/>
          <w:sz w:val="23"/>
          <w:szCs w:val="23"/>
          <w:rtl/>
        </w:rPr>
        <w:t>ی مستقیم دارد، اما این رابطه بطور پیوسته رخ نخواهد داد، زیرا وقتی که نرخ وام از سر وام‌گیرندگان خوب گذشت، سودها بلافاصله سقوط می‌کند. بنابراین، سود فقط به وام‌گیرندگان بد وابسته است. نرخ وام آستانه</w:t>
      </w:r>
      <w:r w:rsidRPr="00551F33">
        <w:rPr>
          <w:rFonts w:cs="B Nazanin" w:hint="cs"/>
          <w:i/>
          <w:sz w:val="23"/>
          <w:szCs w:val="23"/>
          <w:rtl/>
        </w:rPr>
        <w:softHyphen/>
        <w:t>ای که بالاتر از آن استقراض</w:t>
      </w:r>
      <w:r w:rsidRPr="00551F33">
        <w:rPr>
          <w:rFonts w:cs="B Nazanin" w:hint="cs"/>
          <w:i/>
          <w:sz w:val="23"/>
          <w:szCs w:val="23"/>
          <w:rtl/>
        </w:rPr>
        <w:softHyphen/>
        <w:t>کنندگان دست از وام</w:t>
      </w:r>
      <w:r w:rsidRPr="00551F33">
        <w:rPr>
          <w:rFonts w:cs="B Nazanin" w:hint="cs"/>
          <w:i/>
          <w:sz w:val="23"/>
          <w:szCs w:val="23"/>
          <w:rtl/>
        </w:rPr>
        <w:softHyphen/>
        <w:t>گیری می‌کشند در نقطه</w:t>
      </w:r>
      <w:r w:rsidRPr="00551F33">
        <w:rPr>
          <w:rFonts w:cs="B Nazanin" w:hint="cs"/>
          <w:i/>
          <w:sz w:val="23"/>
          <w:szCs w:val="23"/>
          <w:rtl/>
        </w:rPr>
        <w:softHyphen/>
        <w:t xml:space="preserve">ای تعیین می‌شود که سود از معادله‌ی (۱۵. ۳) به معادله‌ی (۱۵. ۴) منتقل شود. یعنی هنگامی که سود از </w:t>
      </w:r>
      <w:r w:rsidRPr="00551F33">
        <w:rPr>
          <w:rFonts w:cs="B Nazanin" w:hint="cs"/>
          <w:i/>
          <w:sz w:val="23"/>
          <w:szCs w:val="23"/>
          <w:rtl/>
        </w:rPr>
        <w:lastRenderedPageBreak/>
        <w:t>مثبت به منفی تبدیل می‌شود. در این مثال وقتی سود متوسط از روابط (۱۵. ۳) و (۱۵. ۴) بدست آید نرخ وام عبارت است از</w:t>
      </w:r>
    </w:p>
    <w:p w14:paraId="43D86ADD" w14:textId="77777777" w:rsidR="00556C10" w:rsidRPr="00551F33" w:rsidRDefault="00556C10" w:rsidP="00556C10">
      <w:pPr>
        <w:pStyle w:val="NormalWeb"/>
        <w:spacing w:before="0" w:beforeAutospacing="0" w:after="0" w:afterAutospacing="0" w:line="216" w:lineRule="auto"/>
        <w:jc w:val="both"/>
        <w:rPr>
          <w:rFonts w:cs="B Nazanin"/>
          <w:i/>
          <w:sz w:val="23"/>
          <w:szCs w:val="23"/>
          <w:rtl/>
          <w:lang w:bidi="fa-IR"/>
        </w:rPr>
      </w:pPr>
      <w:r w:rsidRPr="00551F33">
        <w:rPr>
          <w:position w:val="-10"/>
        </w:rPr>
        <w:object w:dxaOrig="2940" w:dyaOrig="340" w14:anchorId="11D62793">
          <v:shape id="_x0000_i7616" type="#_x0000_t75" style="width:147.05pt;height:16.95pt" o:ole="">
            <v:imagedata r:id="rId13305" o:title=""/>
          </v:shape>
          <o:OLEObject Type="Embed" ProgID="Equation.DSMT4" ShapeID="_x0000_i7616" DrawAspect="Content" ObjectID="_1791381559" r:id="rId13306"/>
        </w:object>
      </w:r>
    </w:p>
    <w:p w14:paraId="608886B6" w14:textId="77777777" w:rsidR="00556C10"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hint="cs"/>
          <w:i/>
          <w:sz w:val="23"/>
          <w:szCs w:val="23"/>
          <w:rtl/>
        </w:rPr>
        <w:t>در این نرخ، سود به یک حداکثر محلی می</w:t>
      </w:r>
      <w:r w:rsidRPr="00551F33">
        <w:rPr>
          <w:rFonts w:cs="B Nazanin"/>
          <w:i/>
          <w:sz w:val="23"/>
          <w:szCs w:val="23"/>
        </w:rPr>
        <w:t>‌</w:t>
      </w:r>
      <w:r w:rsidRPr="00551F33">
        <w:rPr>
          <w:rFonts w:cs="B Nazanin" w:hint="cs"/>
          <w:i/>
          <w:sz w:val="23"/>
          <w:szCs w:val="23"/>
          <w:rtl/>
        </w:rPr>
        <w:t>رسد، و هرگونه افزایش در نرخ وام سبب پرش به یک حداقل محلی می‌شود، نمودار  (۱۵. ۱) سود انتظاری وام‌دهنده در حالت گزینش معکوس را نشان می</w:t>
      </w:r>
      <w:r w:rsidRPr="00551F33">
        <w:rPr>
          <w:rFonts w:cs="B Nazanin"/>
          <w:i/>
          <w:sz w:val="23"/>
          <w:szCs w:val="23"/>
          <w:rtl/>
        </w:rPr>
        <w:softHyphen/>
      </w:r>
      <w:r w:rsidRPr="00551F33">
        <w:rPr>
          <w:rFonts w:cs="B Nazanin" w:hint="cs"/>
          <w:i/>
          <w:sz w:val="23"/>
          <w:szCs w:val="23"/>
          <w:rtl/>
        </w:rPr>
        <w:t>دهد. این امر می</w:t>
      </w:r>
      <w:r w:rsidRPr="00551F33">
        <w:rPr>
          <w:rFonts w:cs="B Nazanin"/>
          <w:i/>
          <w:sz w:val="23"/>
          <w:szCs w:val="23"/>
        </w:rPr>
        <w:t>‌</w:t>
      </w:r>
      <w:r w:rsidRPr="00551F33">
        <w:rPr>
          <w:rFonts w:cs="B Nazanin" w:hint="cs"/>
          <w:i/>
          <w:sz w:val="23"/>
          <w:szCs w:val="23"/>
          <w:rtl/>
        </w:rPr>
        <w:t>تواند تقاضای اضافی برای وام‌ها ایجاد کند. واکنش معمول عرضه کننده به مازاد تقاضا افزایش قیمت است، اما چون این کار سبب کاهش شدید سودها می‌شود، وام</w:t>
      </w:r>
      <w:r w:rsidRPr="00551F33">
        <w:rPr>
          <w:rFonts w:cs="B Nazanin" w:hint="cs"/>
          <w:i/>
          <w:sz w:val="23"/>
          <w:szCs w:val="23"/>
          <w:rtl/>
        </w:rPr>
        <w:softHyphen/>
        <w:t>دهندگان مایل نیستند نرخ وام را در</w:t>
      </w:r>
      <w:r w:rsidRPr="00025957">
        <w:rPr>
          <w:position w:val="-4"/>
        </w:rPr>
        <w:object w:dxaOrig="240" w:dyaOrig="279" w14:anchorId="5FB8DF82">
          <v:shape id="_x0000_i7617" type="#_x0000_t75" style="width:11.5pt;height:13.9pt" o:ole="">
            <v:imagedata r:id="rId13307" o:title=""/>
          </v:shape>
          <o:OLEObject Type="Embed" ProgID="Equation.DSMT4" ShapeID="_x0000_i7617" DrawAspect="Content" ObjectID="_1791381560" r:id="rId13308"/>
        </w:object>
      </w:r>
      <w:r w:rsidRPr="00551F33">
        <w:rPr>
          <w:rFonts w:cs="B Nazanin" w:hint="cs"/>
          <w:i/>
          <w:sz w:val="23"/>
          <w:szCs w:val="23"/>
          <w:rtl/>
        </w:rPr>
        <w:t xml:space="preserve"> بیشتر کنند. اگر در</w:t>
      </w:r>
      <w:r w:rsidRPr="00025957">
        <w:rPr>
          <w:position w:val="-4"/>
        </w:rPr>
        <w:object w:dxaOrig="240" w:dyaOrig="279" w14:anchorId="52636567">
          <v:shape id="_x0000_i7618" type="#_x0000_t75" style="width:11.5pt;height:13.9pt" o:ole="">
            <v:imagedata r:id="rId13309" o:title=""/>
          </v:shape>
          <o:OLEObject Type="Embed" ProgID="Equation.DSMT4" ShapeID="_x0000_i7618" DrawAspect="Content" ObjectID="_1791381561" r:id="rId13310"/>
        </w:object>
      </w:r>
      <w:r w:rsidRPr="00551F33">
        <w:rPr>
          <w:rFonts w:cs="B Nazanin" w:hint="cs"/>
          <w:i/>
          <w:sz w:val="23"/>
          <w:szCs w:val="23"/>
          <w:rtl/>
        </w:rPr>
        <w:t xml:space="preserve"> مازاد تقاضایی برای وام‌ها وجود داشته باشد، آنگاه ممکن است بانک‌ها وام‌ها را جیره</w:t>
      </w:r>
      <w:r w:rsidRPr="00551F33">
        <w:rPr>
          <w:rFonts w:cs="B Nazanin" w:hint="cs"/>
          <w:i/>
          <w:sz w:val="23"/>
          <w:szCs w:val="23"/>
          <w:rtl/>
        </w:rPr>
        <w:softHyphen/>
        <w:t>بندی کنند.</w:t>
      </w:r>
    </w:p>
    <w:p w14:paraId="70A4D991"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hint="cs"/>
          <w:i/>
          <w:sz w:val="23"/>
          <w:szCs w:val="23"/>
          <w:rtl/>
        </w:rPr>
        <w:t>در این مثال، بازدهی بنگاه برون</w:t>
      </w:r>
      <w:r w:rsidRPr="00551F33">
        <w:rPr>
          <w:rFonts w:cs="B Nazanin" w:hint="cs"/>
          <w:i/>
          <w:sz w:val="23"/>
          <w:szCs w:val="23"/>
          <w:rtl/>
        </w:rPr>
        <w:softHyphen/>
        <w:t>زاست. حال بجای آن فرض کنید بنگاه‌ها در تأمین مالی پروژه</w:t>
      </w:r>
      <w:r w:rsidRPr="00551F33">
        <w:rPr>
          <w:rFonts w:cs="B Nazanin"/>
          <w:i/>
          <w:sz w:val="23"/>
          <w:szCs w:val="23"/>
          <w:rtl/>
        </w:rPr>
        <w:softHyphen/>
      </w:r>
      <w:r w:rsidRPr="00551F33">
        <w:rPr>
          <w:rFonts w:cs="B Nazanin" w:hint="cs"/>
          <w:i/>
          <w:sz w:val="23"/>
          <w:szCs w:val="23"/>
          <w:rtl/>
        </w:rPr>
        <w:t>ها مختار باشند. پروژه‌ها ریسک‌های متفاوتی دارند که برای بنگاه‌ها شناخته شده اما برای بانک‌ها ناشناخته است. اگر بانک‌ها نتوانند ریسک‌ها را درست ارزیابی کنند، آنگاه در معرض خطر اخلاقی قرار گرفته که برای بانک نامعلوم است، و بنگاه‌ها ممکن است پروژه</w:t>
      </w:r>
      <w:r w:rsidRPr="00551F33">
        <w:rPr>
          <w:rFonts w:cs="B Nazanin"/>
          <w:i/>
          <w:sz w:val="23"/>
          <w:szCs w:val="23"/>
        </w:rPr>
        <w:t>‌</w:t>
      </w:r>
      <w:r w:rsidRPr="00551F33">
        <w:rPr>
          <w:rFonts w:cs="B Nazanin" w:hint="cs"/>
          <w:i/>
          <w:sz w:val="23"/>
          <w:szCs w:val="23"/>
          <w:rtl/>
        </w:rPr>
        <w:t>های دارای ریسک بالاتر را انتخاب کنند.</w:t>
      </w:r>
    </w:p>
    <w:p w14:paraId="7F3B8DA0"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hint="cs"/>
          <w:i/>
          <w:sz w:val="23"/>
          <w:szCs w:val="23"/>
          <w:rtl/>
        </w:rPr>
        <w:t>مجدداً مثال قبلی را در نظر بگیرید. فرض کنید دو پروژه</w:t>
      </w:r>
      <w:r w:rsidRPr="00551F33">
        <w:rPr>
          <w:rFonts w:cs="B Nazanin"/>
          <w:i/>
          <w:sz w:val="23"/>
          <w:szCs w:val="23"/>
        </w:rPr>
        <w:t xml:space="preserve"> X </w:t>
      </w:r>
      <w:r w:rsidRPr="00551F33">
        <w:rPr>
          <w:rFonts w:cs="B Nazanin" w:hint="cs"/>
          <w:i/>
          <w:sz w:val="23"/>
          <w:szCs w:val="23"/>
          <w:rtl/>
        </w:rPr>
        <w:t>و</w:t>
      </w:r>
      <w:r w:rsidRPr="00551F33">
        <w:rPr>
          <w:rFonts w:cs="B Nazanin"/>
          <w:i/>
          <w:sz w:val="23"/>
          <w:szCs w:val="23"/>
        </w:rPr>
        <w:t xml:space="preserve"> Y </w:t>
      </w:r>
      <w:r w:rsidRPr="00551F33">
        <w:rPr>
          <w:rFonts w:cs="B Nazanin" w:hint="cs"/>
          <w:i/>
          <w:sz w:val="23"/>
          <w:szCs w:val="23"/>
          <w:rtl/>
        </w:rPr>
        <w:t xml:space="preserve">وجود دارد که بازدهی هرکدام </w:t>
      </w:r>
      <w:r w:rsidRPr="00025957">
        <w:rPr>
          <w:position w:val="-4"/>
        </w:rPr>
        <w:object w:dxaOrig="220" w:dyaOrig="279" w14:anchorId="4A35FED4">
          <v:shape id="_x0000_i7619" type="#_x0000_t75" style="width:10.9pt;height:13.9pt" o:ole="">
            <v:imagedata r:id="rId13311" o:title=""/>
          </v:shape>
          <o:OLEObject Type="Embed" ProgID="Equation.DSMT4" ShapeID="_x0000_i7619" DrawAspect="Content" ObjectID="_1791381562" r:id="rId13312"/>
        </w:object>
      </w:r>
      <w:r w:rsidRPr="00551F33">
        <w:rPr>
          <w:rFonts w:cs="B Nazanin"/>
          <w:i/>
          <w:sz w:val="23"/>
          <w:szCs w:val="23"/>
        </w:rPr>
        <w:t xml:space="preserve"> </w:t>
      </w:r>
      <w:r w:rsidRPr="00551F33">
        <w:rPr>
          <w:rFonts w:cs="B Nazanin" w:hint="cs"/>
          <w:i/>
          <w:sz w:val="23"/>
          <w:szCs w:val="23"/>
          <w:rtl/>
        </w:rPr>
        <w:t>و</w:t>
      </w:r>
      <w:r w:rsidRPr="00551F33">
        <w:rPr>
          <w:position w:val="-8"/>
        </w:rPr>
        <w:object w:dxaOrig="780" w:dyaOrig="279" w14:anchorId="147DDFC3">
          <v:shape id="_x0000_i7620" type="#_x0000_t75" style="width:39.35pt;height:13.9pt" o:ole="">
            <v:imagedata r:id="rId13313" o:title=""/>
          </v:shape>
          <o:OLEObject Type="Embed" ProgID="Equation.DSMT4" ShapeID="_x0000_i7620" DrawAspect="Content" ObjectID="_1791381563" r:id="rId13314"/>
        </w:object>
      </w:r>
      <w:r w:rsidRPr="00551F33">
        <w:rPr>
          <w:rFonts w:cs="B Nazanin" w:hint="cs"/>
          <w:i/>
          <w:sz w:val="23"/>
          <w:szCs w:val="23"/>
          <w:rtl/>
        </w:rPr>
        <w:t xml:space="preserve"> در حالت خوب، و صفر در حالت بد باشد، و </w:t>
      </w:r>
      <w:r w:rsidRPr="00025957">
        <w:rPr>
          <w:position w:val="-4"/>
        </w:rPr>
        <w:object w:dxaOrig="720" w:dyaOrig="279" w14:anchorId="3BFE0006">
          <v:shape id="_x0000_i7621" type="#_x0000_t75" style="width:36.3pt;height:13.9pt" o:ole="">
            <v:imagedata r:id="rId13315" o:title=""/>
          </v:shape>
          <o:OLEObject Type="Embed" ProgID="Equation.DSMT4" ShapeID="_x0000_i7621" DrawAspect="Content" ObjectID="_1791381564" r:id="rId13316"/>
        </w:object>
      </w:r>
      <w:r w:rsidRPr="00551F33">
        <w:rPr>
          <w:rFonts w:cs="B Nazanin" w:hint="cs"/>
          <w:i/>
          <w:sz w:val="23"/>
          <w:szCs w:val="23"/>
          <w:rtl/>
        </w:rPr>
        <w:t>. احتمال هرحالت برابر با</w:t>
      </w:r>
      <w:r w:rsidRPr="00551F33">
        <w:rPr>
          <w:position w:val="-8"/>
        </w:rPr>
        <w:object w:dxaOrig="260" w:dyaOrig="320" w14:anchorId="1A53CB43">
          <v:shape id="_x0000_i7622" type="#_x0000_t75" style="width:13.3pt;height:15.75pt" o:ole="">
            <v:imagedata r:id="rId13317" o:title=""/>
          </v:shape>
          <o:OLEObject Type="Embed" ProgID="Equation.DSMT4" ShapeID="_x0000_i7622" DrawAspect="Content" ObjectID="_1791381565" r:id="rId13318"/>
        </w:object>
      </w:r>
      <w:r w:rsidRPr="00551F33">
        <w:rPr>
          <w:rFonts w:cs="B Nazanin" w:hint="cs"/>
          <w:i/>
          <w:sz w:val="23"/>
          <w:szCs w:val="23"/>
          <w:rtl/>
        </w:rPr>
        <w:t xml:space="preserve"> و</w:t>
      </w:r>
      <w:r w:rsidRPr="00551F33">
        <w:rPr>
          <w:position w:val="-8"/>
        </w:rPr>
        <w:object w:dxaOrig="820" w:dyaOrig="320" w14:anchorId="1BA97E18">
          <v:shape id="_x0000_i7623" type="#_x0000_t75" style="width:40.55pt;height:15.75pt" o:ole="">
            <v:imagedata r:id="rId13319" o:title=""/>
          </v:shape>
          <o:OLEObject Type="Embed" ProgID="Equation.DSMT4" ShapeID="_x0000_i7623" DrawAspect="Content" ObjectID="_1791381566" r:id="rId13320"/>
        </w:object>
      </w:r>
      <w:r w:rsidRPr="00551F33">
        <w:rPr>
          <w:rFonts w:cs="B Nazanin" w:hint="cs"/>
          <w:i/>
          <w:sz w:val="23"/>
          <w:szCs w:val="23"/>
          <w:rtl/>
        </w:rPr>
        <w:t xml:space="preserve"> است</w:t>
      </w:r>
      <w:r w:rsidRPr="00551F33">
        <w:rPr>
          <w:rFonts w:cs="B Nazanin"/>
          <w:i/>
          <w:sz w:val="23"/>
          <w:szCs w:val="23"/>
        </w:rPr>
        <w:t>.</w:t>
      </w:r>
      <w:r w:rsidRPr="00551F33">
        <w:rPr>
          <w:rFonts w:cs="B Nazanin" w:hint="cs"/>
          <w:i/>
          <w:sz w:val="23"/>
          <w:szCs w:val="23"/>
          <w:rtl/>
        </w:rPr>
        <w:t xml:space="preserve"> بنابراین</w:t>
      </w:r>
      <w:r w:rsidRPr="00025957">
        <w:rPr>
          <w:position w:val="-4"/>
        </w:rPr>
        <w:object w:dxaOrig="240" w:dyaOrig="240" w14:anchorId="50570D66">
          <v:shape id="_x0000_i7624" type="#_x0000_t75" style="width:11.5pt;height:11.5pt" o:ole="">
            <v:imagedata r:id="rId13321" o:title=""/>
          </v:shape>
          <o:OLEObject Type="Embed" ProgID="Equation.DSMT4" ShapeID="_x0000_i7624" DrawAspect="Content" ObjectID="_1791381567" r:id="rId13322"/>
        </w:object>
      </w:r>
      <w:r w:rsidRPr="00551F33">
        <w:rPr>
          <w:rFonts w:cs="B Nazanin" w:hint="cs"/>
          <w:i/>
          <w:sz w:val="23"/>
          <w:szCs w:val="23"/>
          <w:rtl/>
        </w:rPr>
        <w:t xml:space="preserve"> پروژه پرریسک</w:t>
      </w:r>
      <w:r w:rsidRPr="00551F33">
        <w:rPr>
          <w:rFonts w:cs="B Nazanin" w:hint="cs"/>
          <w:i/>
          <w:sz w:val="23"/>
          <w:szCs w:val="23"/>
          <w:rtl/>
        </w:rPr>
        <w:softHyphen/>
        <w:t>تر است. سود انتظاری حاصل از دو پروژه برابر است با</w:t>
      </w:r>
    </w:p>
    <w:p w14:paraId="2AB5405E" w14:textId="77777777" w:rsidR="00556C10" w:rsidRPr="00551F33" w:rsidRDefault="00556C10" w:rsidP="00556C10">
      <w:pPr>
        <w:pStyle w:val="NormalWeb"/>
        <w:spacing w:before="0" w:beforeAutospacing="0" w:after="0" w:afterAutospacing="0" w:line="216" w:lineRule="auto"/>
        <w:jc w:val="both"/>
        <w:rPr>
          <w:rFonts w:cs="B Nazanin"/>
          <w:i/>
          <w:sz w:val="23"/>
          <w:szCs w:val="23"/>
        </w:rPr>
      </w:pPr>
      <w:r w:rsidRPr="00551F33">
        <w:rPr>
          <w:position w:val="-18"/>
        </w:rPr>
        <w:object w:dxaOrig="6580" w:dyaOrig="460" w14:anchorId="36A9E21D">
          <v:shape id="_x0000_i7625" type="#_x0000_t75" style="width:329.15pt;height:23pt" o:ole="">
            <v:imagedata r:id="rId13323" o:title=""/>
          </v:shape>
          <o:OLEObject Type="Embed" ProgID="Equation.DSMT4" ShapeID="_x0000_i7625" DrawAspect="Content" ObjectID="_1791381568" r:id="rId13324"/>
        </w:object>
      </w:r>
    </w:p>
    <w:p w14:paraId="067318C3"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hint="cs"/>
          <w:i/>
          <w:sz w:val="23"/>
          <w:szCs w:val="23"/>
          <w:rtl/>
        </w:rPr>
        <w:t xml:space="preserve">بنگاه‌ها پروژه‌ی </w:t>
      </w:r>
      <w:r w:rsidRPr="00551F33">
        <w:rPr>
          <w:rFonts w:cs="B Nazanin"/>
          <w:i/>
          <w:sz w:val="23"/>
          <w:szCs w:val="23"/>
        </w:rPr>
        <w:t>X</w:t>
      </w:r>
      <w:r w:rsidRPr="00551F33">
        <w:rPr>
          <w:rFonts w:cs="B Nazanin" w:hint="cs"/>
          <w:i/>
          <w:sz w:val="23"/>
          <w:szCs w:val="23"/>
          <w:rtl/>
        </w:rPr>
        <w:t xml:space="preserve"> را انتخاب می‌کنند اگر</w:t>
      </w:r>
      <w:r w:rsidRPr="00551F33">
        <w:rPr>
          <w:position w:val="-6"/>
        </w:rPr>
        <w:object w:dxaOrig="1579" w:dyaOrig="300" w14:anchorId="2E544721">
          <v:shape id="_x0000_i7626" type="#_x0000_t75" style="width:79.25pt;height:14.5pt" o:ole="">
            <v:imagedata r:id="rId13325" o:title=""/>
          </v:shape>
          <o:OLEObject Type="Embed" ProgID="Equation.DSMT4" ShapeID="_x0000_i7626" DrawAspect="Content" ObjectID="_1791381569" r:id="rId13326"/>
        </w:object>
      </w:r>
      <w:r w:rsidRPr="00551F33">
        <w:rPr>
          <w:rFonts w:cs="B Nazanin" w:hint="cs"/>
          <w:i/>
          <w:sz w:val="23"/>
          <w:szCs w:val="23"/>
          <w:rtl/>
        </w:rPr>
        <w:t xml:space="preserve"> باشد که مستلزم آن است که نرخ وام در رابطه‌ی زیر صدق کند</w:t>
      </w:r>
    </w:p>
    <w:p w14:paraId="0889B6AD" w14:textId="77777777" w:rsidR="00556C10" w:rsidRPr="00551F33" w:rsidRDefault="00556C10" w:rsidP="00556C10">
      <w:pPr>
        <w:pStyle w:val="NormalWeb"/>
        <w:spacing w:before="0" w:beforeAutospacing="0" w:after="0" w:afterAutospacing="0" w:line="216" w:lineRule="auto"/>
        <w:jc w:val="both"/>
        <w:rPr>
          <w:rFonts w:cs="B Nazanin"/>
          <w:i/>
          <w:sz w:val="23"/>
          <w:szCs w:val="23"/>
          <w:rtl/>
        </w:rPr>
      </w:pPr>
      <w:r w:rsidRPr="00551F33">
        <w:rPr>
          <w:position w:val="-26"/>
        </w:rPr>
        <w:object w:dxaOrig="2020" w:dyaOrig="639" w14:anchorId="72399999">
          <v:shape id="_x0000_i7627" type="#_x0000_t75" style="width:101.05pt;height:32.05pt" o:ole="">
            <v:imagedata r:id="rId13327" o:title=""/>
          </v:shape>
          <o:OLEObject Type="Embed" ProgID="Equation.DSMT4" ShapeID="_x0000_i7627" DrawAspect="Content" ObjectID="_1791381570" r:id="rId13328"/>
        </w:object>
      </w:r>
    </w:p>
    <w:p w14:paraId="2631C96A"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hint="cs"/>
          <w:i/>
          <w:sz w:val="23"/>
          <w:szCs w:val="23"/>
          <w:rtl/>
        </w:rPr>
        <w:t>اگر</w:t>
      </w:r>
      <w:r w:rsidRPr="00025957">
        <w:rPr>
          <w:position w:val="-4"/>
        </w:rPr>
        <w:object w:dxaOrig="680" w:dyaOrig="279" w14:anchorId="26C66FE7">
          <v:shape id="_x0000_i7628" type="#_x0000_t75" style="width:33.9pt;height:13.9pt" o:ole="">
            <v:imagedata r:id="rId13329" o:title=""/>
          </v:shape>
          <o:OLEObject Type="Embed" ProgID="Equation.DSMT4" ShapeID="_x0000_i7628" DrawAspect="Content" ObjectID="_1791381571" r:id="rId13330"/>
        </w:object>
      </w:r>
      <w:r w:rsidRPr="00551F33">
        <w:rPr>
          <w:rFonts w:cs="B Nazanin" w:hint="cs"/>
          <w:i/>
          <w:sz w:val="23"/>
          <w:szCs w:val="23"/>
          <w:rtl/>
        </w:rPr>
        <w:t>باشد، آنگاه سود انتظاری دو پروژه یکسان است. اگر</w:t>
      </w:r>
      <w:r w:rsidRPr="00025957">
        <w:rPr>
          <w:position w:val="-4"/>
        </w:rPr>
        <w:object w:dxaOrig="680" w:dyaOrig="279" w14:anchorId="25BFCB5C">
          <v:shape id="_x0000_i7629" type="#_x0000_t75" style="width:33.9pt;height:13.9pt" o:ole="">
            <v:imagedata r:id="rId13331" o:title=""/>
          </v:shape>
          <o:OLEObject Type="Embed" ProgID="Equation.DSMT4" ShapeID="_x0000_i7629" DrawAspect="Content" ObjectID="_1791381572" r:id="rId13332"/>
        </w:object>
      </w:r>
      <w:r w:rsidRPr="00551F33">
        <w:rPr>
          <w:rFonts w:cs="B Nazanin" w:hint="cs"/>
          <w:i/>
          <w:sz w:val="23"/>
          <w:szCs w:val="23"/>
          <w:rtl/>
        </w:rPr>
        <w:t xml:space="preserve"> باشد آنگاه، بنگاه</w:t>
      </w:r>
    </w:p>
    <w:p w14:paraId="5F08B4AF" w14:textId="77777777" w:rsidR="00556C10" w:rsidRPr="00551F33" w:rsidRDefault="00556C10" w:rsidP="00556C10">
      <w:pPr>
        <w:pStyle w:val="NormalWeb"/>
        <w:bidi/>
        <w:spacing w:before="0" w:beforeAutospacing="0" w:after="0" w:afterAutospacing="0" w:line="216" w:lineRule="auto"/>
        <w:jc w:val="center"/>
        <w:rPr>
          <w:rFonts w:cs="B Nazanin"/>
          <w:i/>
          <w:sz w:val="23"/>
          <w:szCs w:val="23"/>
          <w:rtl/>
        </w:rPr>
      </w:pPr>
      <w:r w:rsidRPr="00551F33">
        <w:rPr>
          <w:rFonts w:cs="B Nazanin" w:hint="cs"/>
          <w:i/>
          <w:sz w:val="23"/>
          <w:szCs w:val="23"/>
          <w:rtl/>
        </w:rPr>
        <w:t>نمودار ۱۵. ۱: سود انتظاری وام‌دهنده در حالت گزینش معکوس</w:t>
      </w:r>
    </w:p>
    <w:p w14:paraId="6C087ADC" w14:textId="77777777" w:rsidR="00556C10" w:rsidRPr="00551F33" w:rsidRDefault="00556C10" w:rsidP="00556C10">
      <w:pPr>
        <w:pStyle w:val="NormalWeb"/>
        <w:bidi/>
        <w:spacing w:before="0" w:beforeAutospacing="0" w:after="0" w:afterAutospacing="0" w:line="216" w:lineRule="auto"/>
        <w:jc w:val="center"/>
        <w:rPr>
          <w:rFonts w:cs="B Nazanin"/>
          <w:i/>
          <w:sz w:val="23"/>
          <w:szCs w:val="23"/>
          <w:rtl/>
        </w:rPr>
      </w:pPr>
      <w:r w:rsidRPr="00551F33">
        <w:rPr>
          <w:rFonts w:cs="B Nazanin"/>
          <w:i/>
          <w:noProof/>
          <w:sz w:val="23"/>
          <w:szCs w:val="23"/>
          <w:u w:val="single"/>
        </w:rPr>
        <w:lastRenderedPageBreak/>
        <w:drawing>
          <wp:inline distT="0" distB="0" distL="0" distR="0" wp14:anchorId="53AA0A46" wp14:editId="3D58FDFD">
            <wp:extent cx="3653879" cy="2020388"/>
            <wp:effectExtent l="38100" t="38100" r="41910" b="3746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33" cstate="print">
                      <a:extLst>
                        <a:ext uri="{28A0092B-C50C-407E-A947-70E740481C1C}">
                          <a14:useLocalDpi xmlns:a14="http://schemas.microsoft.com/office/drawing/2010/main" val="0"/>
                        </a:ext>
                      </a:extLst>
                    </a:blip>
                    <a:srcRect/>
                    <a:stretch>
                      <a:fillRect/>
                    </a:stretch>
                  </pic:blipFill>
                  <pic:spPr bwMode="auto">
                    <a:xfrm>
                      <a:off x="0" y="0"/>
                      <a:ext cx="3675542" cy="2032367"/>
                    </a:xfrm>
                    <a:prstGeom prst="rect">
                      <a:avLst/>
                    </a:prstGeom>
                    <a:ln w="28575">
                      <a:solidFill>
                        <a:schemeClr val="tx1"/>
                      </a:solidFill>
                    </a:ln>
                  </pic:spPr>
                </pic:pic>
              </a:graphicData>
            </a:graphic>
          </wp:inline>
        </w:drawing>
      </w:r>
    </w:p>
    <w:p w14:paraId="1C5E293C" w14:textId="77777777" w:rsidR="00556C10" w:rsidRPr="00551F33" w:rsidRDefault="00556C10" w:rsidP="00556C10">
      <w:pPr>
        <w:pStyle w:val="NormalWeb"/>
        <w:spacing w:before="0" w:beforeAutospacing="0" w:after="0" w:afterAutospacing="0" w:line="216" w:lineRule="auto"/>
        <w:jc w:val="both"/>
        <w:rPr>
          <w:i/>
          <w:sz w:val="23"/>
          <w:szCs w:val="23"/>
          <w:rtl/>
          <w:lang w:bidi="fa-IR"/>
        </w:rPr>
      </w:pPr>
    </w:p>
    <w:p w14:paraId="63609812" w14:textId="77777777" w:rsidR="00556C10" w:rsidRPr="00551F33" w:rsidRDefault="00556C10" w:rsidP="00556C10">
      <w:pPr>
        <w:pStyle w:val="NormalWeb"/>
        <w:spacing w:before="0" w:beforeAutospacing="0" w:after="0" w:afterAutospacing="0" w:line="216" w:lineRule="auto"/>
        <w:jc w:val="both"/>
        <w:rPr>
          <w:rFonts w:cs="B Nazanin"/>
          <w:i/>
          <w:sz w:val="23"/>
          <w:szCs w:val="23"/>
        </w:rPr>
      </w:pPr>
      <w:r w:rsidRPr="00551F33">
        <w:rPr>
          <w:rFonts w:cs="Cambria" w:hint="cs"/>
          <w:i/>
          <w:sz w:val="23"/>
          <w:szCs w:val="23"/>
          <w:rtl/>
        </w:rPr>
        <w:t> </w:t>
      </w:r>
    </w:p>
    <w:p w14:paraId="0BB6CA00"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hint="cs"/>
          <w:i/>
          <w:sz w:val="23"/>
          <w:szCs w:val="23"/>
          <w:rtl/>
        </w:rPr>
        <w:t xml:space="preserve">پروژه‌ی </w:t>
      </w:r>
      <w:r w:rsidRPr="00551F33">
        <w:rPr>
          <w:rFonts w:cs="B Nazanin"/>
          <w:i/>
          <w:sz w:val="23"/>
          <w:szCs w:val="23"/>
        </w:rPr>
        <w:t>X</w:t>
      </w:r>
      <w:r w:rsidRPr="00551F33">
        <w:rPr>
          <w:rFonts w:cs="B Nazanin" w:hint="cs"/>
          <w:i/>
          <w:sz w:val="23"/>
          <w:szCs w:val="23"/>
          <w:rtl/>
        </w:rPr>
        <w:t xml:space="preserve"> را ترجیح می‌دهد، و اگر</w:t>
      </w:r>
      <w:r w:rsidRPr="00025957">
        <w:rPr>
          <w:position w:val="-4"/>
        </w:rPr>
        <w:object w:dxaOrig="680" w:dyaOrig="279" w14:anchorId="49E9451D">
          <v:shape id="_x0000_i7630" type="#_x0000_t75" style="width:33.9pt;height:13.9pt" o:ole="">
            <v:imagedata r:id="rId13334" o:title=""/>
          </v:shape>
          <o:OLEObject Type="Embed" ProgID="Equation.DSMT4" ShapeID="_x0000_i7630" DrawAspect="Content" ObjectID="_1791381573" r:id="rId13335"/>
        </w:object>
      </w:r>
      <w:r w:rsidRPr="00551F33">
        <w:rPr>
          <w:rFonts w:cs="B Nazanin" w:hint="cs"/>
          <w:i/>
          <w:sz w:val="23"/>
          <w:szCs w:val="23"/>
          <w:rtl/>
        </w:rPr>
        <w:t xml:space="preserve"> باشد آنگاه، پروژه‌ی </w:t>
      </w:r>
      <w:r w:rsidRPr="00551F33">
        <w:rPr>
          <w:rFonts w:cs="B Nazanin"/>
          <w:i/>
          <w:sz w:val="23"/>
          <w:szCs w:val="23"/>
        </w:rPr>
        <w:t>Y</w:t>
      </w:r>
      <w:r w:rsidRPr="00551F33">
        <w:rPr>
          <w:rFonts w:cs="B Nazanin" w:hint="cs"/>
          <w:i/>
          <w:sz w:val="23"/>
          <w:szCs w:val="23"/>
          <w:rtl/>
        </w:rPr>
        <w:t xml:space="preserve"> مرجح است. </w:t>
      </w:r>
    </w:p>
    <w:p w14:paraId="7E702535"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hint="cs"/>
          <w:i/>
          <w:sz w:val="23"/>
          <w:szCs w:val="23"/>
          <w:rtl/>
        </w:rPr>
        <w:t>اگر</w:t>
      </w:r>
      <w:r w:rsidRPr="00025957">
        <w:rPr>
          <w:position w:val="-4"/>
        </w:rPr>
        <w:object w:dxaOrig="680" w:dyaOrig="279" w14:anchorId="150D4853">
          <v:shape id="_x0000_i7631" type="#_x0000_t75" style="width:33.9pt;height:13.9pt" o:ole="">
            <v:imagedata r:id="rId13336" o:title=""/>
          </v:shape>
          <o:OLEObject Type="Embed" ProgID="Equation.DSMT4" ShapeID="_x0000_i7631" DrawAspect="Content" ObjectID="_1791381574" r:id="rId13337"/>
        </w:object>
      </w:r>
      <w:r w:rsidRPr="00551F33">
        <w:rPr>
          <w:rFonts w:cs="B Nazanin" w:hint="cs"/>
          <w:i/>
          <w:sz w:val="23"/>
          <w:szCs w:val="23"/>
          <w:rtl/>
        </w:rPr>
        <w:t xml:space="preserve"> باشد سود انتظاری بانک برابر است با </w:t>
      </w:r>
    </w:p>
    <w:p w14:paraId="2F505FD6" w14:textId="77777777" w:rsidR="00556C10" w:rsidRPr="00551F33" w:rsidRDefault="00556C10" w:rsidP="00556C10">
      <w:pPr>
        <w:pStyle w:val="NormalWeb"/>
        <w:spacing w:before="0" w:beforeAutospacing="0" w:after="0" w:afterAutospacing="0" w:line="216" w:lineRule="auto"/>
        <w:jc w:val="both"/>
        <w:rPr>
          <w:rFonts w:cs="B Nazanin"/>
          <w:i/>
          <w:sz w:val="23"/>
          <w:szCs w:val="23"/>
          <w:rtl/>
          <w:lang w:bidi="fa-IR"/>
        </w:rPr>
      </w:pPr>
      <w:r w:rsidRPr="00551F33">
        <w:rPr>
          <w:position w:val="-18"/>
        </w:rPr>
        <w:object w:dxaOrig="3640" w:dyaOrig="460" w14:anchorId="399C4303">
          <v:shape id="_x0000_i7632" type="#_x0000_t75" style="width:181.5pt;height:23pt" o:ole="">
            <v:imagedata r:id="rId13338" o:title=""/>
          </v:shape>
          <o:OLEObject Type="Embed" ProgID="Equation.DSMT4" ShapeID="_x0000_i7632" DrawAspect="Content" ObjectID="_1791381575" r:id="rId13339"/>
        </w:object>
      </w:r>
    </w:p>
    <w:p w14:paraId="397958B4"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hint="cs"/>
          <w:i/>
          <w:sz w:val="23"/>
          <w:szCs w:val="23"/>
          <w:rtl/>
        </w:rPr>
        <w:t>و اگر</w:t>
      </w:r>
      <w:r w:rsidRPr="00025957">
        <w:rPr>
          <w:position w:val="-4"/>
        </w:rPr>
        <w:object w:dxaOrig="680" w:dyaOrig="279" w14:anchorId="3AC3A009">
          <v:shape id="_x0000_i7633" type="#_x0000_t75" style="width:33.9pt;height:13.9pt" o:ole="">
            <v:imagedata r:id="rId13340" o:title=""/>
          </v:shape>
          <o:OLEObject Type="Embed" ProgID="Equation.DSMT4" ShapeID="_x0000_i7633" DrawAspect="Content" ObjectID="_1791381576" r:id="rId13341"/>
        </w:object>
      </w:r>
      <w:r w:rsidRPr="00551F33">
        <w:rPr>
          <w:rFonts w:cs="B Nazanin" w:hint="cs"/>
          <w:i/>
          <w:sz w:val="23"/>
          <w:szCs w:val="23"/>
          <w:rtl/>
        </w:rPr>
        <w:t xml:space="preserve"> باشد سود انتظاری بانک برابر است با </w:t>
      </w:r>
    </w:p>
    <w:p w14:paraId="7F4CC18F" w14:textId="77777777" w:rsidR="00556C10" w:rsidRPr="00551F33" w:rsidRDefault="00556C10" w:rsidP="00556C10">
      <w:pPr>
        <w:pStyle w:val="NormalWeb"/>
        <w:spacing w:before="0" w:beforeAutospacing="0" w:after="0" w:afterAutospacing="0" w:line="216" w:lineRule="auto"/>
        <w:jc w:val="both"/>
        <w:rPr>
          <w:i/>
          <w:sz w:val="23"/>
          <w:szCs w:val="23"/>
          <w:rtl/>
          <w:lang w:bidi="fa-IR"/>
        </w:rPr>
      </w:pPr>
    </w:p>
    <w:p w14:paraId="3EAA98CA" w14:textId="77777777" w:rsidR="00556C10" w:rsidRPr="00551F33" w:rsidRDefault="00556C10" w:rsidP="00556C10">
      <w:pPr>
        <w:pStyle w:val="NormalWeb"/>
        <w:spacing w:before="0" w:beforeAutospacing="0" w:after="0" w:afterAutospacing="0" w:line="216" w:lineRule="auto"/>
        <w:jc w:val="both"/>
        <w:rPr>
          <w:rFonts w:cs="B Nazanin"/>
          <w:i/>
          <w:sz w:val="23"/>
          <w:szCs w:val="23"/>
          <w:rtl/>
        </w:rPr>
      </w:pPr>
      <w:r w:rsidRPr="00551F33">
        <w:rPr>
          <w:position w:val="-18"/>
        </w:rPr>
        <w:object w:dxaOrig="3600" w:dyaOrig="460" w14:anchorId="7DDF39DB">
          <v:shape id="_x0000_i7634" type="#_x0000_t75" style="width:180.3pt;height:23pt" o:ole="">
            <v:imagedata r:id="rId13342" o:title=""/>
          </v:shape>
          <o:OLEObject Type="Embed" ProgID="Equation.DSMT4" ShapeID="_x0000_i7634" DrawAspect="Content" ObjectID="_1791381577" r:id="rId13343"/>
        </w:object>
      </w:r>
    </w:p>
    <w:p w14:paraId="31B45161"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hint="cs"/>
          <w:i/>
          <w:sz w:val="23"/>
          <w:szCs w:val="23"/>
          <w:rtl/>
        </w:rPr>
        <w:t>به شرط آن</w:t>
      </w:r>
      <w:r w:rsidRPr="00551F33">
        <w:rPr>
          <w:rFonts w:cs="B Nazanin" w:hint="cs"/>
          <w:i/>
          <w:sz w:val="23"/>
          <w:szCs w:val="23"/>
          <w:rtl/>
        </w:rPr>
        <w:softHyphen/>
        <w:t xml:space="preserve">که </w:t>
      </w:r>
      <w:r w:rsidRPr="00551F33">
        <w:rPr>
          <w:position w:val="-16"/>
        </w:rPr>
        <w:object w:dxaOrig="2140" w:dyaOrig="420" w14:anchorId="77BB766C">
          <v:shape id="_x0000_i7635" type="#_x0000_t75" style="width:107.1pt;height:21.2pt" o:ole="">
            <v:imagedata r:id="rId13344" o:title=""/>
          </v:shape>
          <o:OLEObject Type="Embed" ProgID="Equation.DSMT4" ShapeID="_x0000_i7635" DrawAspect="Content" ObjectID="_1791381578" r:id="rId13345"/>
        </w:object>
      </w:r>
      <w:r w:rsidRPr="00551F33">
        <w:rPr>
          <w:rFonts w:cs="B Nazanin"/>
          <w:i/>
          <w:sz w:val="23"/>
          <w:szCs w:val="23"/>
        </w:rPr>
        <w:t>.</w:t>
      </w:r>
      <w:r w:rsidRPr="00551F33">
        <w:rPr>
          <w:rFonts w:cs="B Nazanin" w:hint="cs"/>
          <w:i/>
          <w:sz w:val="23"/>
          <w:szCs w:val="23"/>
          <w:rtl/>
        </w:rPr>
        <w:t xml:space="preserve"> بنابراین اگر چه سود‌های بانک با افزایش نرخ وام افزایش می‌یابد، مجدداً در نرخ</w:t>
      </w:r>
      <w:r w:rsidRPr="00551F33">
        <w:rPr>
          <w:rFonts w:cs="B Nazanin"/>
          <w:i/>
          <w:sz w:val="23"/>
          <w:szCs w:val="23"/>
        </w:rPr>
        <w:t xml:space="preserve"> </w:t>
      </w:r>
      <w:r w:rsidRPr="00551F33">
        <w:rPr>
          <w:rFonts w:cs="B Nazanin" w:hint="cs"/>
          <w:i/>
          <w:sz w:val="23"/>
          <w:szCs w:val="23"/>
          <w:rtl/>
        </w:rPr>
        <w:t>وام</w:t>
      </w:r>
      <w:r w:rsidRPr="00025957">
        <w:rPr>
          <w:position w:val="-4"/>
        </w:rPr>
        <w:object w:dxaOrig="240" w:dyaOrig="279" w14:anchorId="6DBB14C7">
          <v:shape id="_x0000_i7636" type="#_x0000_t75" style="width:11.5pt;height:13.9pt" o:ole="">
            <v:imagedata r:id="rId13346" o:title=""/>
          </v:shape>
          <o:OLEObject Type="Embed" ProgID="Equation.DSMT4" ShapeID="_x0000_i7636" DrawAspect="Content" ObjectID="_1791381579" r:id="rId13347"/>
        </w:object>
      </w:r>
      <w:r w:rsidRPr="00551F33">
        <w:rPr>
          <w:rFonts w:cs="B Nazanin" w:hint="cs"/>
          <w:i/>
          <w:sz w:val="23"/>
          <w:szCs w:val="23"/>
          <w:rtl/>
        </w:rPr>
        <w:t xml:space="preserve"> سودهای ناپیوسته وجود دارد، اگر نرخ وام از</w:t>
      </w:r>
      <w:r w:rsidRPr="00025957">
        <w:rPr>
          <w:position w:val="-4"/>
        </w:rPr>
        <w:object w:dxaOrig="240" w:dyaOrig="279" w14:anchorId="3D1906C3">
          <v:shape id="_x0000_i7637" type="#_x0000_t75" style="width:11.5pt;height:13.9pt" o:ole="">
            <v:imagedata r:id="rId13348" o:title=""/>
          </v:shape>
          <o:OLEObject Type="Embed" ProgID="Equation.DSMT4" ShapeID="_x0000_i7637" DrawAspect="Content" ObjectID="_1791381580" r:id="rId13349"/>
        </w:object>
      </w:r>
      <w:r w:rsidRPr="00551F33">
        <w:rPr>
          <w:rFonts w:cs="B Nazanin" w:hint="cs"/>
          <w:i/>
          <w:sz w:val="23"/>
          <w:szCs w:val="23"/>
          <w:rtl/>
        </w:rPr>
        <w:t xml:space="preserve"> بیشتر شود، سودها کاهش می‌یابند. </w:t>
      </w:r>
    </w:p>
    <w:p w14:paraId="6DA2C177" w14:textId="77777777" w:rsidR="00556C10" w:rsidRPr="00551F33" w:rsidRDefault="00556C10" w:rsidP="00556C10">
      <w:pPr>
        <w:pStyle w:val="NormalWeb"/>
        <w:bidi/>
        <w:spacing w:before="0" w:beforeAutospacing="0" w:after="0" w:afterAutospacing="0" w:line="216" w:lineRule="auto"/>
        <w:jc w:val="both"/>
        <w:rPr>
          <w:rFonts w:cs="B Nazanin"/>
          <w:i/>
          <w:sz w:val="23"/>
          <w:szCs w:val="23"/>
        </w:rPr>
      </w:pPr>
      <w:r w:rsidRPr="00551F33">
        <w:rPr>
          <w:rFonts w:cs="B Nazanin" w:hint="cs"/>
          <w:i/>
          <w:sz w:val="23"/>
          <w:szCs w:val="23"/>
          <w:rtl/>
        </w:rPr>
        <w:t>پیامد این نتایج آن است که نرخ وام بر کیفیت وام و همچنین سود وام‌دهنده اثر دارد و هرچه نرخ وام بالاتر باشد، آن وام ریسکی</w:t>
      </w:r>
      <w:r w:rsidRPr="00551F33">
        <w:rPr>
          <w:rFonts w:cs="B Nazanin" w:hint="cs"/>
          <w:i/>
          <w:sz w:val="23"/>
          <w:szCs w:val="23"/>
          <w:rtl/>
        </w:rPr>
        <w:softHyphen/>
        <w:t>تر است. یک راه برای کاهش ریسک وام نظارت بر وام</w:t>
      </w:r>
      <w:r w:rsidRPr="00551F33">
        <w:rPr>
          <w:rFonts w:cs="B Nazanin" w:hint="cs"/>
          <w:i/>
          <w:sz w:val="23"/>
          <w:szCs w:val="23"/>
          <w:rtl/>
        </w:rPr>
        <w:softHyphen/>
        <w:t>هاست. با</w:t>
      </w:r>
      <w:r w:rsidRPr="00551F33">
        <w:rPr>
          <w:rFonts w:cs="B Nazanin" w:hint="cs"/>
          <w:i/>
          <w:sz w:val="23"/>
          <w:szCs w:val="23"/>
          <w:rtl/>
        </w:rPr>
        <w:softHyphen/>
        <w:t>این</w:t>
      </w:r>
      <w:r w:rsidRPr="00551F33">
        <w:rPr>
          <w:rFonts w:cs="B Nazanin" w:hint="cs"/>
          <w:i/>
          <w:sz w:val="23"/>
          <w:szCs w:val="23"/>
          <w:rtl/>
        </w:rPr>
        <w:softHyphen/>
        <w:t>حال نظارت بر وام هزینه</w:t>
      </w:r>
      <w:r w:rsidRPr="00551F33">
        <w:rPr>
          <w:rFonts w:cs="B Nazanin" w:hint="cs"/>
          <w:i/>
          <w:sz w:val="23"/>
          <w:szCs w:val="23"/>
          <w:rtl/>
        </w:rPr>
        <w:softHyphen/>
        <w:t>بر است و سود وام‌دهنده را کاهش می</w:t>
      </w:r>
      <w:r w:rsidRPr="00551F33">
        <w:rPr>
          <w:rFonts w:cs="B Nazanin" w:hint="cs"/>
          <w:i/>
          <w:sz w:val="23"/>
          <w:szCs w:val="23"/>
          <w:rtl/>
        </w:rPr>
        <w:softHyphen/>
        <w:t>دهد.</w:t>
      </w:r>
      <w:r w:rsidRPr="00551F33">
        <w:rPr>
          <w:rStyle w:val="FootnoteReference"/>
          <w:i/>
          <w:sz w:val="23"/>
          <w:szCs w:val="23"/>
          <w:rtl/>
        </w:rPr>
        <w:footnoteReference w:id="361"/>
      </w:r>
      <w:r w:rsidRPr="00551F33">
        <w:rPr>
          <w:rFonts w:cs="B Nazanin" w:hint="cs"/>
          <w:i/>
          <w:sz w:val="23"/>
          <w:szCs w:val="23"/>
          <w:rtl/>
        </w:rPr>
        <w:t xml:space="preserve"> در واقع، در بازار اعتبارات، وام</w:t>
      </w:r>
      <w:r w:rsidRPr="00551F33">
        <w:rPr>
          <w:rFonts w:cs="B Nazanin"/>
          <w:i/>
          <w:sz w:val="23"/>
          <w:szCs w:val="23"/>
        </w:rPr>
        <w:t>‌</w:t>
      </w:r>
      <w:r w:rsidRPr="00551F33">
        <w:rPr>
          <w:rFonts w:cs="B Nazanin" w:hint="cs"/>
          <w:i/>
          <w:sz w:val="23"/>
          <w:szCs w:val="23"/>
          <w:rtl/>
        </w:rPr>
        <w:t>گیرندگان اطلاعات را کنترل می</w:t>
      </w:r>
      <w:r w:rsidRPr="00551F33">
        <w:rPr>
          <w:rFonts w:cs="B Nazanin"/>
          <w:i/>
          <w:sz w:val="23"/>
          <w:szCs w:val="23"/>
        </w:rPr>
        <w:t>‌</w:t>
      </w:r>
      <w:r w:rsidRPr="00551F33">
        <w:rPr>
          <w:rFonts w:cs="B Nazanin" w:hint="cs"/>
          <w:i/>
          <w:sz w:val="23"/>
          <w:szCs w:val="23"/>
          <w:rtl/>
        </w:rPr>
        <w:t>کنند و بنابراین ممکن است گفته شود عامل وام</w:t>
      </w:r>
      <w:r w:rsidRPr="00551F33">
        <w:rPr>
          <w:rFonts w:cs="B Nazanin" w:hint="cs"/>
          <w:i/>
          <w:sz w:val="23"/>
          <w:szCs w:val="23"/>
          <w:rtl/>
        </w:rPr>
        <w:softHyphen/>
        <w:t>دهنده هستند. فقدان اطلاعات در خصوص تصمیمات وام‌گیرنده ممکن است نهایتاً به گزینش معکوس، خطر اخلاقی و همچنین هزینه</w:t>
      </w:r>
      <w:r w:rsidRPr="00551F33">
        <w:rPr>
          <w:rFonts w:cs="B Nazanin"/>
          <w:i/>
          <w:sz w:val="23"/>
          <w:szCs w:val="23"/>
        </w:rPr>
        <w:t>‌</w:t>
      </w:r>
      <w:r w:rsidRPr="00551F33">
        <w:rPr>
          <w:rFonts w:cs="B Nazanin" w:hint="cs"/>
          <w:i/>
          <w:sz w:val="23"/>
          <w:szCs w:val="23"/>
          <w:rtl/>
        </w:rPr>
        <w:t>های نظارتی منجر شود. این</w:t>
      </w:r>
      <w:r w:rsidRPr="00551F33">
        <w:rPr>
          <w:rFonts w:cs="B Nazanin" w:hint="cs"/>
          <w:i/>
          <w:sz w:val="23"/>
          <w:szCs w:val="23"/>
          <w:rtl/>
        </w:rPr>
        <w:softHyphen/>
        <w:t>ها را در مجموع هزینه</w:t>
      </w:r>
      <w:r w:rsidRPr="00551F33">
        <w:rPr>
          <w:rFonts w:cs="B Nazanin"/>
          <w:i/>
          <w:sz w:val="23"/>
          <w:szCs w:val="23"/>
        </w:rPr>
        <w:t>‌</w:t>
      </w:r>
      <w:r w:rsidRPr="00551F33">
        <w:rPr>
          <w:rFonts w:cs="B Nazanin" w:hint="cs"/>
          <w:i/>
          <w:sz w:val="23"/>
          <w:szCs w:val="23"/>
          <w:rtl/>
        </w:rPr>
        <w:t>های عامل گویند. برنانکی و گرتلر</w:t>
      </w:r>
      <w:r w:rsidRPr="00551F33">
        <w:rPr>
          <w:rStyle w:val="FootnoteReference"/>
          <w:i/>
          <w:sz w:val="23"/>
          <w:szCs w:val="23"/>
          <w:rtl/>
        </w:rPr>
        <w:footnoteReference w:id="362"/>
      </w:r>
      <w:r w:rsidRPr="00551F33">
        <w:rPr>
          <w:rFonts w:cs="B Nazanin" w:hint="cs"/>
          <w:i/>
          <w:sz w:val="23"/>
          <w:szCs w:val="23"/>
          <w:rtl/>
        </w:rPr>
        <w:t xml:space="preserve"> نقش هزینه‌های عامل در مدل نئوکلاسیکی نسل‌های هم پوش را تحلیل کرده‌اند. آن</w:t>
      </w:r>
      <w:r w:rsidRPr="00551F33">
        <w:rPr>
          <w:rFonts w:cs="B Nazanin" w:hint="cs"/>
          <w:i/>
          <w:sz w:val="23"/>
          <w:szCs w:val="23"/>
          <w:rtl/>
        </w:rPr>
        <w:softHyphen/>
        <w:t xml:space="preserve">ها </w:t>
      </w:r>
      <w:r w:rsidRPr="00551F33">
        <w:rPr>
          <w:rFonts w:cs="B Nazanin" w:hint="cs"/>
          <w:i/>
          <w:sz w:val="23"/>
          <w:szCs w:val="23"/>
          <w:rtl/>
        </w:rPr>
        <w:lastRenderedPageBreak/>
        <w:t>دریافتند که هر چه ثروت خالص وام</w:t>
      </w:r>
      <w:r w:rsidRPr="00551F33">
        <w:rPr>
          <w:rFonts w:cs="B Nazanin" w:hint="cs"/>
          <w:i/>
          <w:sz w:val="23"/>
          <w:szCs w:val="23"/>
          <w:rtl/>
        </w:rPr>
        <w:softHyphen/>
        <w:t>گیرنده بیشتر باشد هزینه‌ی عامل کمتر است. در نتیجه، ترازنامه</w:t>
      </w:r>
      <w:r w:rsidRPr="00551F33">
        <w:rPr>
          <w:rFonts w:cs="B Nazanin" w:hint="cs"/>
          <w:i/>
          <w:sz w:val="23"/>
          <w:szCs w:val="23"/>
          <w:rtl/>
        </w:rPr>
        <w:softHyphen/>
        <w:t>ی قدرتمند بانک‌ها که در زمان‌های خوب ظاهر می</w:t>
      </w:r>
      <w:r w:rsidRPr="00551F33">
        <w:rPr>
          <w:rFonts w:cs="B Nazanin"/>
          <w:i/>
          <w:sz w:val="23"/>
          <w:szCs w:val="23"/>
        </w:rPr>
        <w:t>‌</w:t>
      </w:r>
      <w:r w:rsidRPr="00551F33">
        <w:rPr>
          <w:rFonts w:cs="B Nazanin" w:hint="cs"/>
          <w:i/>
          <w:sz w:val="23"/>
          <w:szCs w:val="23"/>
          <w:rtl/>
        </w:rPr>
        <w:t>شود سرمایه</w:t>
      </w:r>
      <w:r w:rsidRPr="00551F33">
        <w:rPr>
          <w:rFonts w:cs="B Nazanin"/>
          <w:i/>
          <w:sz w:val="23"/>
          <w:szCs w:val="23"/>
        </w:rPr>
        <w:t>‌</w:t>
      </w:r>
      <w:r w:rsidRPr="00551F33">
        <w:rPr>
          <w:rFonts w:cs="B Nazanin" w:hint="cs"/>
          <w:i/>
          <w:sz w:val="23"/>
          <w:szCs w:val="23"/>
          <w:rtl/>
        </w:rPr>
        <w:t>گذاری را تشویق می</w:t>
      </w:r>
      <w:r w:rsidRPr="00551F33">
        <w:rPr>
          <w:rFonts w:cs="B Nazanin" w:hint="cs"/>
          <w:i/>
          <w:sz w:val="23"/>
          <w:szCs w:val="23"/>
          <w:rtl/>
        </w:rPr>
        <w:softHyphen/>
        <w:t>کند.</w:t>
      </w:r>
    </w:p>
    <w:p w14:paraId="17E4DA29"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کیوتاکی و مور</w:t>
      </w:r>
      <w:r w:rsidRPr="00551F33">
        <w:rPr>
          <w:rStyle w:val="FootnoteReference"/>
          <w:i/>
          <w:sz w:val="23"/>
          <w:szCs w:val="23"/>
          <w:rtl/>
          <w:lang w:eastAsia="en-GB"/>
        </w:rPr>
        <w:footnoteReference w:id="363"/>
      </w:r>
      <w:r w:rsidRPr="00551F33">
        <w:rPr>
          <w:rFonts w:hint="cs"/>
          <w:i/>
          <w:sz w:val="23"/>
          <w:szCs w:val="23"/>
          <w:rtl/>
          <w:lang w:eastAsia="en-GB"/>
        </w:rPr>
        <w:t xml:space="preserve"> چگونگی تعامل قیود اعتباری با فعالیت</w:t>
      </w:r>
      <w:r w:rsidRPr="00551F33">
        <w:rPr>
          <w:i/>
          <w:sz w:val="23"/>
          <w:szCs w:val="23"/>
          <w:lang w:eastAsia="en-GB"/>
        </w:rPr>
        <w:t>‌</w:t>
      </w:r>
      <w:r w:rsidRPr="00551F33">
        <w:rPr>
          <w:rFonts w:hint="cs"/>
          <w:i/>
          <w:sz w:val="23"/>
          <w:szCs w:val="23"/>
          <w:rtl/>
          <w:lang w:eastAsia="en-GB"/>
        </w:rPr>
        <w:t>های اقتصادی را در یک چرخه‌ی تجاری بررسی کرده‌اند. در مدل آن</w:t>
      </w:r>
      <w:r w:rsidRPr="00551F33">
        <w:rPr>
          <w:i/>
          <w:sz w:val="23"/>
          <w:szCs w:val="23"/>
          <w:rtl/>
          <w:lang w:eastAsia="en-GB"/>
        </w:rPr>
        <w:softHyphen/>
      </w:r>
      <w:r w:rsidRPr="00551F33">
        <w:rPr>
          <w:rFonts w:hint="cs"/>
          <w:i/>
          <w:sz w:val="23"/>
          <w:szCs w:val="23"/>
          <w:rtl/>
          <w:lang w:eastAsia="en-GB"/>
        </w:rPr>
        <w:t>ها دارائی‌های بادوام بنگاه‌ها نظیر زمین، ساختمان و ماشین</w:t>
      </w:r>
      <w:r w:rsidRPr="00551F33">
        <w:rPr>
          <w:rFonts w:hint="cs"/>
          <w:i/>
          <w:sz w:val="23"/>
          <w:szCs w:val="23"/>
          <w:rtl/>
          <w:lang w:eastAsia="en-GB"/>
        </w:rPr>
        <w:softHyphen/>
        <w:t>آلات، هم وثیقه است و هم عامل تولید. افزایش ارزش این دارایی‌ها محدودیت اعتباری بنگاه را کاهش داده و بنابراین استقراض و مخارج سرمایه</w:t>
      </w:r>
      <w:r w:rsidRPr="00551F33">
        <w:rPr>
          <w:rFonts w:hint="cs"/>
          <w:i/>
          <w:sz w:val="23"/>
          <w:szCs w:val="23"/>
          <w:rtl/>
          <w:lang w:eastAsia="en-GB"/>
        </w:rPr>
        <w:softHyphen/>
        <w:t>گذاری بیشتر می‌شود، درحالی</w:t>
      </w:r>
      <w:r w:rsidRPr="00551F33">
        <w:rPr>
          <w:rFonts w:hint="cs"/>
          <w:i/>
          <w:sz w:val="23"/>
          <w:szCs w:val="23"/>
          <w:rtl/>
          <w:lang w:eastAsia="en-GB"/>
        </w:rPr>
        <w:softHyphen/>
        <w:t>که کاهش ارزش این دارایی‌ها اثر عکس دارد. تعامل پویا میان حدود اعتباری و قیمت</w:t>
      </w:r>
      <w:r w:rsidRPr="00551F33">
        <w:rPr>
          <w:i/>
          <w:sz w:val="23"/>
          <w:szCs w:val="23"/>
          <w:lang w:eastAsia="en-GB"/>
        </w:rPr>
        <w:t>‌</w:t>
      </w:r>
      <w:r w:rsidRPr="00551F33">
        <w:rPr>
          <w:rFonts w:hint="cs"/>
          <w:i/>
          <w:sz w:val="23"/>
          <w:szCs w:val="23"/>
          <w:rtl/>
          <w:lang w:eastAsia="en-GB"/>
        </w:rPr>
        <w:t>های دارایی نیز مکانیزم انتقال قدرتمندی است که با آن اثرات شوک</w:t>
      </w:r>
      <w:r w:rsidRPr="00551F33">
        <w:rPr>
          <w:i/>
          <w:sz w:val="23"/>
          <w:szCs w:val="23"/>
          <w:lang w:eastAsia="en-GB"/>
        </w:rPr>
        <w:t>‌</w:t>
      </w:r>
      <w:r w:rsidRPr="00551F33">
        <w:rPr>
          <w:rFonts w:hint="cs"/>
          <w:i/>
          <w:sz w:val="23"/>
          <w:szCs w:val="23"/>
          <w:rtl/>
          <w:lang w:eastAsia="en-GB"/>
        </w:rPr>
        <w:t>های تکنولوژی تشدید شده و ماندگاری بیشتر ایجاد می‌کند</w:t>
      </w:r>
    </w:p>
    <w:p w14:paraId="419207F9" w14:textId="77777777" w:rsidR="00556C10" w:rsidRPr="00551F33" w:rsidRDefault="00556C10" w:rsidP="00556C10">
      <w:pPr>
        <w:spacing w:line="216" w:lineRule="auto"/>
        <w:rPr>
          <w:i/>
          <w:sz w:val="23"/>
          <w:szCs w:val="23"/>
          <w:lang w:eastAsia="en-GB"/>
        </w:rPr>
      </w:pPr>
    </w:p>
    <w:p w14:paraId="1A48B453" w14:textId="77777777" w:rsidR="00556C10" w:rsidRPr="00551F33" w:rsidRDefault="00556C10" w:rsidP="00556C10">
      <w:pPr>
        <w:spacing w:line="216" w:lineRule="auto"/>
        <w:rPr>
          <w:bCs/>
          <w:i/>
          <w:sz w:val="23"/>
          <w:szCs w:val="23"/>
          <w:rtl/>
          <w:lang w:eastAsia="en-GB"/>
        </w:rPr>
      </w:pPr>
      <w:r w:rsidRPr="00551F33">
        <w:rPr>
          <w:i/>
          <w:sz w:val="23"/>
          <w:szCs w:val="23"/>
          <w:lang w:eastAsia="en-GB"/>
        </w:rPr>
        <w:t> </w:t>
      </w:r>
      <w:r w:rsidRPr="00551F33">
        <w:rPr>
          <w:rFonts w:hint="cs"/>
          <w:bCs/>
          <w:i/>
          <w:sz w:val="23"/>
          <w:szCs w:val="23"/>
          <w:rtl/>
          <w:lang w:eastAsia="en-GB"/>
        </w:rPr>
        <w:t>۱۵. ۴ بانکداری مدرن: تاریخچه ای مختصر و نقش آن در بحران</w:t>
      </w:r>
      <w:r w:rsidRPr="00551F33">
        <w:rPr>
          <w:rFonts w:hint="cs"/>
          <w:bCs/>
          <w:i/>
          <w:sz w:val="23"/>
          <w:szCs w:val="23"/>
          <w:rtl/>
          <w:lang w:eastAsia="en-GB"/>
        </w:rPr>
        <w:softHyphen/>
        <w:t>های مالی</w:t>
      </w:r>
    </w:p>
    <w:p w14:paraId="723A97F6" w14:textId="77777777" w:rsidR="00556C10" w:rsidRPr="00551F33" w:rsidRDefault="00556C10" w:rsidP="00556C10">
      <w:pPr>
        <w:spacing w:line="216" w:lineRule="auto"/>
        <w:rPr>
          <w:rFonts w:eastAsiaTheme="minorHAnsi"/>
          <w:i/>
          <w:sz w:val="23"/>
          <w:szCs w:val="23"/>
        </w:rPr>
      </w:pPr>
      <w:r w:rsidRPr="00551F33">
        <w:rPr>
          <w:rFonts w:hint="cs"/>
          <w:i/>
          <w:sz w:val="23"/>
          <w:szCs w:val="23"/>
          <w:rtl/>
          <w:lang w:eastAsia="en-GB"/>
        </w:rPr>
        <w:t>یکی از انتقاد</w:t>
      </w:r>
      <w:r w:rsidRPr="00551F33">
        <w:rPr>
          <w:rFonts w:hint="cs"/>
          <w:i/>
          <w:sz w:val="23"/>
          <w:szCs w:val="23"/>
          <w:rtl/>
          <w:lang w:eastAsia="en-GB"/>
        </w:rPr>
        <w:softHyphen/>
        <w:t xml:space="preserve">های موجه بر اقتصاد کلان جدید، عدم حضور بخش بانکی در مدل‌های اقتصاد کلان </w:t>
      </w:r>
      <w:r w:rsidRPr="00551F33">
        <w:rPr>
          <w:i/>
          <w:sz w:val="23"/>
          <w:szCs w:val="23"/>
          <w:lang w:eastAsia="en-GB"/>
        </w:rPr>
        <w:t>DSGE</w:t>
      </w:r>
      <w:r w:rsidRPr="00551F33">
        <w:rPr>
          <w:rFonts w:hint="cs"/>
          <w:i/>
          <w:sz w:val="23"/>
          <w:szCs w:val="23"/>
          <w:rtl/>
          <w:lang w:eastAsia="en-GB"/>
        </w:rPr>
        <w:t xml:space="preserve"> است. قبلاً و به طور ضمنی اشاره کردیم که جزئیات دقیق چگونگی شکل</w:t>
      </w:r>
      <w:r w:rsidRPr="00551F33">
        <w:rPr>
          <w:i/>
          <w:sz w:val="23"/>
          <w:szCs w:val="23"/>
          <w:lang w:eastAsia="en-GB"/>
        </w:rPr>
        <w:t>‌</w:t>
      </w:r>
      <w:r w:rsidRPr="00551F33">
        <w:rPr>
          <w:rFonts w:hint="cs"/>
          <w:i/>
          <w:sz w:val="23"/>
          <w:szCs w:val="23"/>
          <w:rtl/>
          <w:lang w:eastAsia="en-GB"/>
        </w:rPr>
        <w:t>گیری پس‌انداز خانوار و قرض</w:t>
      </w:r>
      <w:r w:rsidRPr="00551F33">
        <w:rPr>
          <w:rFonts w:hint="cs"/>
          <w:i/>
          <w:sz w:val="23"/>
          <w:szCs w:val="23"/>
          <w:rtl/>
          <w:lang w:eastAsia="en-GB"/>
        </w:rPr>
        <w:softHyphen/>
        <w:t>دادن آن مورد غفلت قرار گرفته است. فرض می‌شود وام</w:t>
      </w:r>
      <w:r w:rsidRPr="00551F33">
        <w:rPr>
          <w:rFonts w:hint="cs"/>
          <w:i/>
          <w:sz w:val="23"/>
          <w:szCs w:val="23"/>
          <w:rtl/>
          <w:lang w:eastAsia="en-GB"/>
        </w:rPr>
        <w:softHyphen/>
        <w:t>گیرندگان (خانوارها، بنگاه</w:t>
      </w:r>
      <w:r w:rsidRPr="00551F33">
        <w:rPr>
          <w:i/>
          <w:sz w:val="23"/>
          <w:szCs w:val="23"/>
          <w:lang w:eastAsia="en-GB"/>
        </w:rPr>
        <w:t>‌</w:t>
      </w:r>
      <w:r w:rsidRPr="00551F33">
        <w:rPr>
          <w:rFonts w:hint="cs"/>
          <w:i/>
          <w:sz w:val="23"/>
          <w:szCs w:val="23"/>
          <w:rtl/>
          <w:lang w:eastAsia="en-GB"/>
        </w:rPr>
        <w:t>ها و دولت) اوراق قرضه‌ی یک دوره</w:t>
      </w:r>
      <w:r w:rsidRPr="00551F33">
        <w:rPr>
          <w:rFonts w:hint="cs"/>
          <w:i/>
          <w:sz w:val="23"/>
          <w:szCs w:val="23"/>
          <w:rtl/>
          <w:lang w:eastAsia="en-GB"/>
        </w:rPr>
        <w:softHyphen/>
        <w:t xml:space="preserve">ای صادر می‌کنند. </w:t>
      </w:r>
      <w:r w:rsidRPr="00551F33">
        <w:rPr>
          <w:rFonts w:hint="cs"/>
          <w:i/>
          <w:sz w:val="23"/>
          <w:szCs w:val="23"/>
          <w:rtl/>
        </w:rPr>
        <w:t>در فصل دوازدهم دارایی‌های سهام و اوراق قرضه‌ی بلندمدت را معرفی کردیم. در اقتصاد افراد با سایر افراد  دیگر معاملات مالی انجام داده و در عمل واسطه‌های مالی نظیر بانک‌ها هستند که فضا و بازاری برای تصمیم</w:t>
      </w:r>
      <w:r w:rsidRPr="00551F33">
        <w:rPr>
          <w:i/>
          <w:sz w:val="23"/>
          <w:szCs w:val="23"/>
        </w:rPr>
        <w:t>‌</w:t>
      </w:r>
      <w:r w:rsidRPr="00551F33">
        <w:rPr>
          <w:rFonts w:hint="cs"/>
          <w:i/>
          <w:sz w:val="23"/>
          <w:szCs w:val="23"/>
          <w:rtl/>
        </w:rPr>
        <w:t>گیری</w:t>
      </w:r>
      <w:r w:rsidRPr="00551F33">
        <w:rPr>
          <w:i/>
          <w:sz w:val="23"/>
          <w:szCs w:val="23"/>
        </w:rPr>
        <w:t>‌</w:t>
      </w:r>
      <w:r w:rsidRPr="00551F33">
        <w:rPr>
          <w:rFonts w:hint="cs"/>
          <w:i/>
          <w:sz w:val="23"/>
          <w:szCs w:val="23"/>
          <w:rtl/>
        </w:rPr>
        <w:t>های مالی افراد ایجاد می</w:t>
      </w:r>
      <w:r w:rsidRPr="00551F33">
        <w:rPr>
          <w:rFonts w:hint="cs"/>
          <w:i/>
          <w:sz w:val="23"/>
          <w:szCs w:val="23"/>
          <w:rtl/>
        </w:rPr>
        <w:softHyphen/>
        <w:t xml:space="preserve">کنند. </w:t>
      </w:r>
    </w:p>
    <w:p w14:paraId="4CE4A0F7"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نقش سنتی بانک این است که سپرده‌های خانوارها، بانک‌ها و دولت را جذب و آن‌ها را به خانوارها، بنگاه و سایر بانک‌ها قرض دهد. این امر مستلزم تبدیل سررسیدهاست، زیرا وام‌ها معمولاً بلندمدت است در حالی که سپرده</w:t>
      </w:r>
      <w:r w:rsidRPr="00551F33">
        <w:rPr>
          <w:i/>
          <w:sz w:val="23"/>
          <w:szCs w:val="23"/>
          <w:lang w:eastAsia="en-GB"/>
        </w:rPr>
        <w:t>‌</w:t>
      </w:r>
      <w:r w:rsidRPr="00551F33">
        <w:rPr>
          <w:rFonts w:hint="cs"/>
          <w:i/>
          <w:sz w:val="23"/>
          <w:szCs w:val="23"/>
          <w:rtl/>
          <w:lang w:eastAsia="en-GB"/>
        </w:rPr>
        <w:t>ها و هر نوع استقراض مکمل معمولاً کوتاه</w:t>
      </w:r>
      <w:r w:rsidRPr="00551F33">
        <w:rPr>
          <w:rFonts w:hint="cs"/>
          <w:i/>
          <w:sz w:val="23"/>
          <w:szCs w:val="23"/>
          <w:rtl/>
          <w:lang w:eastAsia="en-GB"/>
        </w:rPr>
        <w:softHyphen/>
        <w:t>مدت می</w:t>
      </w:r>
      <w:r w:rsidRPr="00551F33">
        <w:rPr>
          <w:rFonts w:hint="cs"/>
          <w:i/>
          <w:sz w:val="23"/>
          <w:szCs w:val="23"/>
          <w:rtl/>
          <w:lang w:eastAsia="en-GB"/>
        </w:rPr>
        <w:softHyphen/>
        <w:t>باشد. چون این وام‌ها به صورت سپرده‌های شخصی مجدداً به بانک</w:t>
      </w:r>
      <w:r w:rsidRPr="00551F33">
        <w:rPr>
          <w:i/>
          <w:sz w:val="23"/>
          <w:szCs w:val="23"/>
          <w:rtl/>
          <w:lang w:eastAsia="en-GB"/>
        </w:rPr>
        <w:softHyphen/>
      </w:r>
      <w:r w:rsidRPr="00551F33">
        <w:rPr>
          <w:rFonts w:hint="cs"/>
          <w:i/>
          <w:sz w:val="23"/>
          <w:szCs w:val="23"/>
          <w:rtl/>
          <w:lang w:eastAsia="en-GB"/>
        </w:rPr>
        <w:t>ها برمی</w:t>
      </w:r>
      <w:r w:rsidRPr="00551F33">
        <w:rPr>
          <w:i/>
          <w:sz w:val="23"/>
          <w:szCs w:val="23"/>
          <w:lang w:eastAsia="en-GB"/>
        </w:rPr>
        <w:t>‌</w:t>
      </w:r>
      <w:r w:rsidRPr="00551F33">
        <w:rPr>
          <w:rFonts w:hint="cs"/>
          <w:i/>
          <w:sz w:val="23"/>
          <w:szCs w:val="23"/>
          <w:rtl/>
          <w:lang w:eastAsia="en-GB"/>
        </w:rPr>
        <w:t>گردد، لذا چرخه</w:t>
      </w:r>
      <w:r w:rsidRPr="00551F33">
        <w:rPr>
          <w:rFonts w:hint="cs"/>
          <w:i/>
          <w:sz w:val="23"/>
          <w:szCs w:val="23"/>
          <w:rtl/>
          <w:lang w:eastAsia="en-GB"/>
        </w:rPr>
        <w:softHyphen/>
        <w:t>ی دیگری از سپرده یا پس</w:t>
      </w:r>
      <w:r w:rsidRPr="00551F33">
        <w:rPr>
          <w:rFonts w:hint="cs"/>
          <w:i/>
          <w:sz w:val="23"/>
          <w:szCs w:val="23"/>
          <w:rtl/>
          <w:lang w:eastAsia="en-GB"/>
        </w:rPr>
        <w:softHyphen/>
        <w:t>انداز و وام را بوجود می</w:t>
      </w:r>
      <w:r w:rsidRPr="00551F33">
        <w:rPr>
          <w:rFonts w:hint="cs"/>
          <w:i/>
          <w:sz w:val="23"/>
          <w:szCs w:val="23"/>
          <w:rtl/>
          <w:lang w:eastAsia="en-GB"/>
        </w:rPr>
        <w:softHyphen/>
        <w:t>آورد. این فرآیند را ضریب تکاثری سپرده یا پول ‌نامند و مجموع کل این سپرده‌ها را پول درونی گویند. عرضه‌ی پول در یک اقتصاد شامل این پول درونی بعلاوه نقدینگی است که بانک مرکزی ایجاد می‌کند و آن را پول بیرونی ‌گویند. تزریق اسکناس جدید از سوی بانک مرکزی با توجه به ضریب تکاثری سپرده، افزایش بیشتری در کل عرضه‌ی پول بوجود می</w:t>
      </w:r>
      <w:r w:rsidRPr="00551F33">
        <w:rPr>
          <w:i/>
          <w:sz w:val="23"/>
          <w:szCs w:val="23"/>
          <w:lang w:eastAsia="en-GB"/>
        </w:rPr>
        <w:t>‌</w:t>
      </w:r>
      <w:r w:rsidRPr="00551F33">
        <w:rPr>
          <w:rFonts w:hint="cs"/>
          <w:i/>
          <w:sz w:val="23"/>
          <w:szCs w:val="23"/>
          <w:rtl/>
          <w:lang w:eastAsia="en-GB"/>
        </w:rPr>
        <w:t>آورد. علاوه بر پرداخت وام به بنگاه‌ها، اوراق قرضه‌ی بنگاه‌ها (اوراق قرضه‌ی شرکتی) نیز توسط بانک</w:t>
      </w:r>
      <w:r w:rsidRPr="00551F33">
        <w:rPr>
          <w:rFonts w:hint="cs"/>
          <w:i/>
          <w:sz w:val="23"/>
          <w:szCs w:val="23"/>
          <w:rtl/>
          <w:lang w:eastAsia="en-GB"/>
        </w:rPr>
        <w:softHyphen/>
        <w:t>ها خریداری می</w:t>
      </w:r>
      <w:r w:rsidRPr="00551F33">
        <w:rPr>
          <w:rFonts w:hint="cs"/>
          <w:i/>
          <w:sz w:val="23"/>
          <w:szCs w:val="23"/>
          <w:rtl/>
          <w:lang w:eastAsia="en-GB"/>
        </w:rPr>
        <w:softHyphen/>
        <w:t>شود‌.</w:t>
      </w:r>
    </w:p>
    <w:p w14:paraId="7A001372" w14:textId="77777777" w:rsidR="00556C10" w:rsidRPr="00551F33" w:rsidRDefault="00556C10" w:rsidP="00556C10">
      <w:pPr>
        <w:spacing w:line="216" w:lineRule="auto"/>
        <w:rPr>
          <w:rFonts w:eastAsiaTheme="minorHAnsi"/>
          <w:i/>
          <w:sz w:val="23"/>
          <w:szCs w:val="23"/>
        </w:rPr>
      </w:pPr>
      <w:r w:rsidRPr="00551F33">
        <w:rPr>
          <w:rFonts w:hint="cs"/>
          <w:i/>
          <w:sz w:val="23"/>
          <w:szCs w:val="23"/>
          <w:rtl/>
        </w:rPr>
        <w:t>وام</w:t>
      </w:r>
      <w:r w:rsidRPr="00551F33">
        <w:rPr>
          <w:rFonts w:hint="cs"/>
          <w:i/>
          <w:sz w:val="23"/>
          <w:szCs w:val="23"/>
          <w:rtl/>
        </w:rPr>
        <w:softHyphen/>
        <w:t xml:space="preserve">دهی بانک به سایر بانک‌ها معمولاً برای </w:t>
      </w:r>
      <w:r w:rsidRPr="00551F33">
        <w:rPr>
          <w:rFonts w:hint="cs"/>
          <w:i/>
          <w:sz w:val="23"/>
          <w:szCs w:val="23"/>
          <w:rtl/>
        </w:rPr>
        <w:softHyphen/>
        <w:t>دوره</w:t>
      </w:r>
      <w:r w:rsidRPr="00551F33">
        <w:rPr>
          <w:rFonts w:hint="cs"/>
          <w:i/>
          <w:sz w:val="23"/>
          <w:szCs w:val="23"/>
          <w:rtl/>
        </w:rPr>
        <w:softHyphen/>
        <w:t>ی بسیار کوتاه</w:t>
      </w:r>
      <w:r w:rsidRPr="00551F33">
        <w:rPr>
          <w:rFonts w:hint="cs"/>
          <w:i/>
          <w:sz w:val="23"/>
          <w:szCs w:val="23"/>
          <w:rtl/>
        </w:rPr>
        <w:softHyphen/>
        <w:t>مدت، نظیر یک شبه، از طریق بازار بین بانکی است که هدف آن تأمین نقدینگی کوتاه</w:t>
      </w:r>
      <w:r w:rsidRPr="00551F33">
        <w:rPr>
          <w:rFonts w:hint="cs"/>
          <w:i/>
          <w:sz w:val="23"/>
          <w:szCs w:val="23"/>
          <w:rtl/>
        </w:rPr>
        <w:softHyphen/>
        <w:t>مدت بانک</w:t>
      </w:r>
      <w:r w:rsidRPr="00551F33">
        <w:rPr>
          <w:rFonts w:hint="cs"/>
          <w:i/>
          <w:sz w:val="23"/>
          <w:szCs w:val="23"/>
          <w:rtl/>
        </w:rPr>
        <w:softHyphen/>
        <w:t>هاست. خاصیت تقریباً غیر منتظره بحران مالی اخیر نیز این است که در بازار بین بانکی، بانک</w:t>
      </w:r>
      <w:r w:rsidRPr="00551F33">
        <w:rPr>
          <w:rFonts w:hint="cs"/>
          <w:i/>
          <w:sz w:val="23"/>
          <w:szCs w:val="23"/>
          <w:rtl/>
        </w:rPr>
        <w:softHyphen/>
        <w:t>ها از وام</w:t>
      </w:r>
      <w:r w:rsidRPr="00551F33">
        <w:rPr>
          <w:rFonts w:hint="cs"/>
          <w:i/>
          <w:sz w:val="23"/>
          <w:szCs w:val="23"/>
          <w:rtl/>
        </w:rPr>
        <w:softHyphen/>
        <w:t>دهی به دیگر بانک</w:t>
      </w:r>
      <w:r w:rsidRPr="00551F33">
        <w:rPr>
          <w:rFonts w:hint="cs"/>
          <w:i/>
          <w:sz w:val="23"/>
          <w:szCs w:val="23"/>
          <w:rtl/>
        </w:rPr>
        <w:softHyphen/>
        <w:t>ها خودداری کرده، زیرا می‌ترسند که بانک</w:t>
      </w:r>
      <w:r w:rsidRPr="00551F33">
        <w:rPr>
          <w:rFonts w:hint="cs"/>
          <w:i/>
          <w:sz w:val="23"/>
          <w:szCs w:val="23"/>
          <w:rtl/>
        </w:rPr>
        <w:softHyphen/>
        <w:t>های وام</w:t>
      </w:r>
      <w:r w:rsidRPr="00551F33">
        <w:rPr>
          <w:rFonts w:hint="cs"/>
          <w:i/>
          <w:sz w:val="23"/>
          <w:szCs w:val="23"/>
          <w:rtl/>
        </w:rPr>
        <w:softHyphen/>
        <w:t>گیرنده قصور کنند. در شرایط عادی، بانک</w:t>
      </w:r>
      <w:r w:rsidRPr="00551F33">
        <w:rPr>
          <w:i/>
          <w:sz w:val="23"/>
          <w:szCs w:val="23"/>
        </w:rPr>
        <w:t>‌</w:t>
      </w:r>
      <w:r w:rsidRPr="00551F33">
        <w:rPr>
          <w:rFonts w:hint="cs"/>
          <w:i/>
          <w:sz w:val="23"/>
          <w:szCs w:val="23"/>
          <w:rtl/>
        </w:rPr>
        <w:t>ها با خرید بدهی</w:t>
      </w:r>
      <w:r w:rsidRPr="00551F33">
        <w:rPr>
          <w:i/>
          <w:sz w:val="23"/>
          <w:szCs w:val="23"/>
        </w:rPr>
        <w:t>‌</w:t>
      </w:r>
      <w:r w:rsidRPr="00551F33">
        <w:rPr>
          <w:rFonts w:hint="cs"/>
          <w:i/>
          <w:sz w:val="23"/>
          <w:szCs w:val="23"/>
          <w:rtl/>
        </w:rPr>
        <w:t>های دولت</w:t>
      </w:r>
      <w:r w:rsidRPr="00551F33">
        <w:rPr>
          <w:rFonts w:hint="cs"/>
          <w:i/>
          <w:sz w:val="23"/>
          <w:szCs w:val="23"/>
          <w:rtl/>
        </w:rPr>
        <w:softHyphen/>
        <w:t>ها در واقع به آن</w:t>
      </w:r>
      <w:r w:rsidRPr="00551F33">
        <w:rPr>
          <w:rFonts w:hint="cs"/>
          <w:i/>
          <w:sz w:val="23"/>
          <w:szCs w:val="23"/>
          <w:rtl/>
        </w:rPr>
        <w:softHyphen/>
        <w:t xml:space="preserve">ها وام می‌دهند. هدف اصلی سیاست تسهیل کمّی اخیر که فدرال رزرو آمریکا و بانک </w:t>
      </w:r>
      <w:r w:rsidRPr="00551F33">
        <w:rPr>
          <w:rFonts w:hint="cs"/>
          <w:i/>
          <w:sz w:val="23"/>
          <w:szCs w:val="23"/>
          <w:rtl/>
        </w:rPr>
        <w:lastRenderedPageBreak/>
        <w:t>مرکزی انگلستان در پیش گرفتند، معکوس کردن این وضعیت بود. به منظور تأمین نقدینگی کوتاه</w:t>
      </w:r>
      <w:r w:rsidRPr="00551F33">
        <w:rPr>
          <w:rFonts w:hint="cs"/>
          <w:i/>
          <w:sz w:val="23"/>
          <w:szCs w:val="23"/>
          <w:rtl/>
        </w:rPr>
        <w:softHyphen/>
        <w:t>مدت که از بازار بین</w:t>
      </w:r>
      <w:r w:rsidRPr="00551F33">
        <w:rPr>
          <w:rFonts w:hint="cs"/>
          <w:i/>
          <w:sz w:val="23"/>
          <w:szCs w:val="23"/>
          <w:rtl/>
        </w:rPr>
        <w:softHyphen/>
        <w:t>بانکی تأمین نمی</w:t>
      </w:r>
      <w:r w:rsidRPr="00551F33">
        <w:rPr>
          <w:i/>
          <w:sz w:val="23"/>
          <w:szCs w:val="23"/>
        </w:rPr>
        <w:t>‌</w:t>
      </w:r>
      <w:r w:rsidRPr="00551F33">
        <w:rPr>
          <w:rFonts w:hint="cs"/>
          <w:i/>
          <w:sz w:val="23"/>
          <w:szCs w:val="23"/>
          <w:rtl/>
        </w:rPr>
        <w:t>شد، بانک‌های مرکزی با خرید اوراق قرضه‌ی دولتی از این بانک‌ها، نقدینگی لازم را فراهم می</w:t>
      </w:r>
      <w:r w:rsidRPr="00551F33">
        <w:rPr>
          <w:i/>
          <w:sz w:val="23"/>
          <w:szCs w:val="23"/>
        </w:rPr>
        <w:t>‌</w:t>
      </w:r>
      <w:r w:rsidRPr="00551F33">
        <w:rPr>
          <w:rFonts w:hint="cs"/>
          <w:i/>
          <w:sz w:val="23"/>
          <w:szCs w:val="23"/>
          <w:rtl/>
        </w:rPr>
        <w:t>کرند. در واقع، بانک‌های مرکزی عملیات سنتی بازار آزاد را با نقد کردن دارایی‌های بانکی از طریق مبادله</w:t>
      </w:r>
      <w:r w:rsidRPr="00551F33">
        <w:rPr>
          <w:rFonts w:hint="cs"/>
          <w:i/>
          <w:sz w:val="23"/>
          <w:szCs w:val="23"/>
          <w:rtl/>
        </w:rPr>
        <w:softHyphen/>
        <w:t>ی آن با وجه نقد اجرا می</w:t>
      </w:r>
      <w:r w:rsidRPr="00551F33">
        <w:rPr>
          <w:i/>
          <w:sz w:val="23"/>
          <w:szCs w:val="23"/>
        </w:rPr>
        <w:t>‌</w:t>
      </w:r>
      <w:r w:rsidRPr="00551F33">
        <w:rPr>
          <w:rFonts w:hint="cs"/>
          <w:i/>
          <w:sz w:val="23"/>
          <w:szCs w:val="23"/>
          <w:rtl/>
        </w:rPr>
        <w:t>کردند.</w:t>
      </w:r>
    </w:p>
    <w:p w14:paraId="6FF6F5F2" w14:textId="77777777" w:rsidR="00556C10" w:rsidRPr="00551F33" w:rsidRDefault="00556C10" w:rsidP="00556C10">
      <w:pPr>
        <w:spacing w:line="216" w:lineRule="auto"/>
        <w:rPr>
          <w:i/>
          <w:sz w:val="23"/>
          <w:szCs w:val="23"/>
        </w:rPr>
      </w:pPr>
      <w:r w:rsidRPr="00551F33">
        <w:rPr>
          <w:rFonts w:hint="cs"/>
          <w:i/>
          <w:sz w:val="23"/>
          <w:szCs w:val="23"/>
          <w:rtl/>
        </w:rPr>
        <w:t>به طور سنتی، بانک‌ها درآمد خود را از طریق اخذ بهره</w:t>
      </w:r>
      <w:r w:rsidRPr="00551F33">
        <w:rPr>
          <w:rFonts w:hint="cs"/>
          <w:i/>
          <w:sz w:val="23"/>
          <w:szCs w:val="23"/>
          <w:rtl/>
        </w:rPr>
        <w:softHyphen/>
        <w:t>ای بیش از نرخ</w:t>
      </w:r>
      <w:r w:rsidRPr="00551F33">
        <w:rPr>
          <w:rFonts w:hint="cs"/>
          <w:i/>
          <w:sz w:val="23"/>
          <w:szCs w:val="23"/>
          <w:rtl/>
        </w:rPr>
        <w:softHyphen/>
        <w:t>های بهره</w:t>
      </w:r>
      <w:r w:rsidRPr="00551F33">
        <w:rPr>
          <w:rFonts w:hint="cs"/>
          <w:i/>
          <w:sz w:val="23"/>
          <w:szCs w:val="23"/>
          <w:rtl/>
        </w:rPr>
        <w:softHyphen/>
        <w:t>ی سپرده‌ها به دست می‌آورند. اخیراً بانک</w:t>
      </w:r>
      <w:r w:rsidRPr="00551F33">
        <w:rPr>
          <w:rFonts w:hint="cs"/>
          <w:i/>
          <w:sz w:val="23"/>
          <w:szCs w:val="23"/>
          <w:rtl/>
        </w:rPr>
        <w:softHyphen/>
        <w:t>ها به سپرده های حساب جاری نیز بهره پرداخت می</w:t>
      </w:r>
      <w:r w:rsidRPr="00551F33">
        <w:rPr>
          <w:rFonts w:hint="cs"/>
          <w:i/>
          <w:sz w:val="23"/>
          <w:szCs w:val="23"/>
          <w:rtl/>
        </w:rPr>
        <w:softHyphen/>
        <w:t>کنند. نرخ</w:t>
      </w:r>
      <w:r w:rsidRPr="00551F33">
        <w:rPr>
          <w:i/>
          <w:sz w:val="23"/>
          <w:szCs w:val="23"/>
        </w:rPr>
        <w:t>‌</w:t>
      </w:r>
      <w:r w:rsidRPr="00551F33">
        <w:rPr>
          <w:rFonts w:hint="cs"/>
          <w:i/>
          <w:sz w:val="23"/>
          <w:szCs w:val="23"/>
          <w:rtl/>
        </w:rPr>
        <w:t>های بهره وام‌ها معمولاً بزرگ</w:t>
      </w:r>
      <w:r w:rsidRPr="00551F33">
        <w:rPr>
          <w:rFonts w:hint="cs"/>
          <w:i/>
          <w:sz w:val="23"/>
          <w:szCs w:val="23"/>
          <w:rtl/>
        </w:rPr>
        <w:softHyphen/>
        <w:t>تر از نرخ‌های سپرده است. عوامل مختلفی است که اندازه‌ی این تفاوت را تعیین می‌کند و به</w:t>
      </w:r>
      <w:r w:rsidRPr="00551F33">
        <w:rPr>
          <w:rFonts w:hint="cs"/>
          <w:i/>
          <w:sz w:val="23"/>
          <w:szCs w:val="23"/>
          <w:rtl/>
        </w:rPr>
        <w:softHyphen/>
        <w:t>عنوان مابه التفاوت اعتبار یا وام شناخته می‌شود. نخست وجود ریسک قصور است. وقتی ریسکی بودن وام نامعلوم باشد و وام با دارایی‌های وثیقه</w:t>
      </w:r>
      <w:r w:rsidRPr="00551F33">
        <w:rPr>
          <w:rFonts w:hint="cs"/>
          <w:i/>
          <w:sz w:val="23"/>
          <w:szCs w:val="23"/>
          <w:rtl/>
        </w:rPr>
        <w:softHyphen/>
        <w:t>ای پوشش داده نشود، یا هنگامی که ریسک‌های شناخته شده بالا باشد، پاداش ریسک قابل ملاحظه</w:t>
      </w:r>
      <w:r w:rsidRPr="00551F33">
        <w:rPr>
          <w:i/>
          <w:sz w:val="23"/>
          <w:szCs w:val="23"/>
        </w:rPr>
        <w:t>‌</w:t>
      </w:r>
      <w:r w:rsidRPr="00551F33">
        <w:rPr>
          <w:rFonts w:hint="cs"/>
          <w:i/>
          <w:sz w:val="23"/>
          <w:szCs w:val="23"/>
          <w:rtl/>
        </w:rPr>
        <w:t>ای برای وام در نظر گرفته می‌شود. به این دلیل است که نرخ کارت‌های اعتباری بسیار بیش از نرخ وام‌های دارای وثیقه است. دوم، این</w:t>
      </w:r>
      <w:r w:rsidRPr="00551F33">
        <w:rPr>
          <w:rFonts w:hint="cs"/>
          <w:i/>
          <w:sz w:val="23"/>
          <w:szCs w:val="23"/>
          <w:rtl/>
        </w:rPr>
        <w:softHyphen/>
        <w:t>که نرخ‌های وام معمولاً نرخ‌های اسمی است، و برای وام‌های بلندمدت با نرخ ثابت، این ریسک وجود دارد که تورم ارزش حقیقی وام را تا زمان بازپرداخت آن کاهش دهد. وام‌های با نرخ متغیر که با تورم تعدیل می‌شود مانع وقوع این نوع از ریسک خواهد بود. سوم، ما به التفاوت وام دربرگیرنده‌ی هزینه</w:t>
      </w:r>
      <w:r w:rsidRPr="00551F33">
        <w:rPr>
          <w:rFonts w:hint="cs"/>
          <w:i/>
          <w:sz w:val="23"/>
          <w:szCs w:val="23"/>
          <w:rtl/>
        </w:rPr>
        <w:softHyphen/>
        <w:t>ای است که برای پرداخت وام در نظر گرفته می‌شود. تمام این سه مورد برای بانک درآمد زاست.</w:t>
      </w:r>
    </w:p>
    <w:p w14:paraId="704636BA" w14:textId="77777777" w:rsidR="00556C10" w:rsidRPr="00551F33" w:rsidRDefault="00556C10" w:rsidP="00556C10">
      <w:pPr>
        <w:spacing w:line="216" w:lineRule="auto"/>
        <w:rPr>
          <w:i/>
          <w:sz w:val="23"/>
          <w:szCs w:val="23"/>
        </w:rPr>
      </w:pPr>
      <w:r w:rsidRPr="00551F33">
        <w:rPr>
          <w:rFonts w:hint="cs"/>
          <w:i/>
          <w:sz w:val="23"/>
          <w:szCs w:val="23"/>
          <w:rtl/>
        </w:rPr>
        <w:t>این روزها بانک‌ها با حساب خود معامله می</w:t>
      </w:r>
      <w:r w:rsidRPr="00551F33">
        <w:rPr>
          <w:rFonts w:hint="cs"/>
          <w:i/>
          <w:sz w:val="23"/>
          <w:szCs w:val="23"/>
          <w:rtl/>
        </w:rPr>
        <w:softHyphen/>
        <w:t>کنند، به این معنی که بانک به صورت یک سرمایه</w:t>
      </w:r>
      <w:r w:rsidRPr="00551F33">
        <w:rPr>
          <w:rFonts w:hint="cs"/>
          <w:i/>
          <w:sz w:val="23"/>
          <w:szCs w:val="23"/>
          <w:rtl/>
        </w:rPr>
        <w:softHyphen/>
        <w:t>گذار معمولی پرتفوی دارایی‌های خود را تعیین می</w:t>
      </w:r>
      <w:r w:rsidRPr="00551F33">
        <w:rPr>
          <w:rFonts w:hint="cs"/>
          <w:i/>
          <w:sz w:val="23"/>
          <w:szCs w:val="23"/>
          <w:rtl/>
        </w:rPr>
        <w:softHyphen/>
        <w:t>کند. این اقدام بانک</w:t>
      </w:r>
      <w:r w:rsidRPr="00551F33">
        <w:rPr>
          <w:rFonts w:hint="cs"/>
          <w:i/>
          <w:sz w:val="23"/>
          <w:szCs w:val="23"/>
          <w:rtl/>
        </w:rPr>
        <w:softHyphen/>
        <w:t>ها عامل دیگر بحران مالی اخیر بود. برخی از بزرگترین و شناخته شده</w:t>
      </w:r>
      <w:r w:rsidRPr="00551F33">
        <w:rPr>
          <w:rFonts w:hint="cs"/>
          <w:i/>
          <w:sz w:val="23"/>
          <w:szCs w:val="23"/>
          <w:rtl/>
        </w:rPr>
        <w:softHyphen/>
        <w:t>ترین بانک‌ها دارایی</w:t>
      </w:r>
      <w:r w:rsidRPr="00551F33">
        <w:rPr>
          <w:rFonts w:hint="cs"/>
          <w:i/>
          <w:sz w:val="23"/>
          <w:szCs w:val="23"/>
          <w:rtl/>
        </w:rPr>
        <w:softHyphen/>
        <w:t>ها بویژه سهام مبتنی بر وثیقه خریداری کرده بودند و این دارایی</w:t>
      </w:r>
      <w:r w:rsidRPr="00551F33">
        <w:rPr>
          <w:rFonts w:hint="cs"/>
          <w:i/>
          <w:sz w:val="23"/>
          <w:szCs w:val="23"/>
          <w:rtl/>
        </w:rPr>
        <w:softHyphen/>
        <w:t>ها بخش اعظم ارزش خود را در عرض چند ساعت به دلیل نرخ بالای قصور و کاهش ارزش وثیقه‌ها از دست دادند. دیگر واسطه</w:t>
      </w:r>
      <w:r w:rsidRPr="00551F33">
        <w:rPr>
          <w:i/>
          <w:sz w:val="23"/>
          <w:szCs w:val="23"/>
        </w:rPr>
        <w:t>‌</w:t>
      </w:r>
      <w:r w:rsidRPr="00551F33">
        <w:rPr>
          <w:rFonts w:hint="cs"/>
          <w:i/>
          <w:sz w:val="23"/>
          <w:szCs w:val="23"/>
          <w:rtl/>
        </w:rPr>
        <w:t>گران مالی، حمایت بیمه</w:t>
      </w:r>
      <w:r w:rsidRPr="00551F33">
        <w:rPr>
          <w:rFonts w:hint="cs"/>
          <w:i/>
          <w:sz w:val="23"/>
          <w:szCs w:val="23"/>
          <w:rtl/>
        </w:rPr>
        <w:softHyphen/>
        <w:t>ای را در صورت قصور فروخته بودند که به آن معامله تعویض قصور اعتبار گویند. وقتی قصور سیستمی باشد و نه فردی، و متنوع باشد، این واسطه</w:t>
      </w:r>
      <w:r w:rsidRPr="00551F33">
        <w:rPr>
          <w:i/>
          <w:sz w:val="23"/>
          <w:szCs w:val="23"/>
        </w:rPr>
        <w:t>‌</w:t>
      </w:r>
      <w:r w:rsidRPr="00551F33">
        <w:rPr>
          <w:rFonts w:hint="cs"/>
          <w:i/>
          <w:sz w:val="23"/>
          <w:szCs w:val="23"/>
          <w:rtl/>
        </w:rPr>
        <w:t>گران مالی همان</w:t>
      </w:r>
      <w:r w:rsidRPr="00551F33">
        <w:rPr>
          <w:rFonts w:hint="cs"/>
          <w:i/>
          <w:sz w:val="23"/>
          <w:szCs w:val="23"/>
          <w:rtl/>
        </w:rPr>
        <w:softHyphen/>
        <w:t>طور که انتظار می‌رفت در معرض خطر قرار گرفتند. وقتی نمی دانستند بدون دانستن این</w:t>
      </w:r>
      <w:r w:rsidRPr="00551F33">
        <w:rPr>
          <w:rFonts w:hint="cs"/>
          <w:i/>
          <w:sz w:val="23"/>
          <w:szCs w:val="23"/>
          <w:rtl/>
        </w:rPr>
        <w:softHyphen/>
        <w:t>که کدام یک از بانک</w:t>
      </w:r>
      <w:r w:rsidRPr="00551F33">
        <w:rPr>
          <w:i/>
          <w:sz w:val="23"/>
          <w:szCs w:val="23"/>
        </w:rPr>
        <w:t>‌</w:t>
      </w:r>
      <w:r w:rsidRPr="00551F33">
        <w:rPr>
          <w:rFonts w:hint="cs"/>
          <w:i/>
          <w:sz w:val="23"/>
          <w:szCs w:val="23"/>
          <w:rtl/>
        </w:rPr>
        <w:t>ها این دارایی</w:t>
      </w:r>
      <w:r w:rsidRPr="00551F33">
        <w:rPr>
          <w:i/>
          <w:sz w:val="23"/>
          <w:szCs w:val="23"/>
        </w:rPr>
        <w:t>‌</w:t>
      </w:r>
      <w:r w:rsidRPr="00551F33">
        <w:rPr>
          <w:rFonts w:hint="cs"/>
          <w:i/>
          <w:sz w:val="23"/>
          <w:szCs w:val="23"/>
          <w:rtl/>
        </w:rPr>
        <w:t>های زهرآگین را نگه می‌دارند، بانک‌ها قرض دادن به یکدیگر را در بازار بین</w:t>
      </w:r>
      <w:r w:rsidRPr="00551F33">
        <w:rPr>
          <w:rFonts w:hint="cs"/>
          <w:i/>
          <w:sz w:val="23"/>
          <w:szCs w:val="23"/>
          <w:rtl/>
        </w:rPr>
        <w:softHyphen/>
        <w:t>بانکی متوقف کردند. در اوایل، تنها بانک‌های سرمایه</w:t>
      </w:r>
      <w:r w:rsidRPr="00551F33">
        <w:rPr>
          <w:rFonts w:hint="cs"/>
          <w:i/>
          <w:sz w:val="23"/>
          <w:szCs w:val="23"/>
          <w:rtl/>
        </w:rPr>
        <w:softHyphen/>
        <w:t>گذاری با حساب خود معامله می‌کردند، بانک‌های تجاری تنها سپرده پذیرفته و وام می</w:t>
      </w:r>
      <w:r w:rsidRPr="00551F33">
        <w:rPr>
          <w:i/>
          <w:sz w:val="23"/>
          <w:szCs w:val="23"/>
        </w:rPr>
        <w:t>‌</w:t>
      </w:r>
      <w:r w:rsidRPr="00551F33">
        <w:rPr>
          <w:rFonts w:hint="cs"/>
          <w:i/>
          <w:sz w:val="23"/>
          <w:szCs w:val="23"/>
          <w:rtl/>
        </w:rPr>
        <w:t>دادند. رویه فعلی این است که اغلب بانک هم به صورت بانک تجاری و هم بانک سرمایه</w:t>
      </w:r>
      <w:r w:rsidRPr="00551F33">
        <w:rPr>
          <w:rFonts w:hint="cs"/>
          <w:i/>
          <w:sz w:val="23"/>
          <w:szCs w:val="23"/>
          <w:rtl/>
        </w:rPr>
        <w:softHyphen/>
        <w:t>گذاری عمل کند. برای این که اهمیت این موضوع را نشان دهیم در سال ۱۹۶۰ کل دارایی‌های بانک‌های انگلیس حدود ۴۰ درصد</w:t>
      </w:r>
      <w:r w:rsidRPr="00551F33">
        <w:rPr>
          <w:i/>
          <w:sz w:val="23"/>
          <w:szCs w:val="23"/>
        </w:rPr>
        <w:t xml:space="preserve">GDP </w:t>
      </w:r>
      <w:r w:rsidRPr="00551F33">
        <w:rPr>
          <w:rFonts w:hint="cs"/>
          <w:i/>
          <w:sz w:val="23"/>
          <w:szCs w:val="23"/>
          <w:rtl/>
        </w:rPr>
        <w:t xml:space="preserve"> بود، و در سال ۲۰۱۰ به ۴۵۰ درصد رسید.</w:t>
      </w:r>
    </w:p>
    <w:p w14:paraId="50AE7A7A"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ویژگی دیگر بازارهای مالی مدرن این است که شرکت</w:t>
      </w:r>
      <w:r w:rsidRPr="00551F33">
        <w:rPr>
          <w:i/>
          <w:sz w:val="23"/>
          <w:szCs w:val="23"/>
          <w:lang w:eastAsia="en-GB"/>
        </w:rPr>
        <w:t>‌</w:t>
      </w:r>
      <w:r w:rsidRPr="00551F33">
        <w:rPr>
          <w:rFonts w:hint="cs"/>
          <w:i/>
          <w:sz w:val="23"/>
          <w:szCs w:val="23"/>
          <w:rtl/>
          <w:lang w:eastAsia="en-GB"/>
        </w:rPr>
        <w:t>های وثیقه</w:t>
      </w:r>
      <w:r w:rsidRPr="00551F33">
        <w:rPr>
          <w:i/>
          <w:sz w:val="23"/>
          <w:szCs w:val="23"/>
          <w:lang w:eastAsia="en-GB"/>
        </w:rPr>
        <w:t>‌</w:t>
      </w:r>
      <w:r w:rsidRPr="00551F33">
        <w:rPr>
          <w:rFonts w:hint="cs"/>
          <w:i/>
          <w:sz w:val="23"/>
          <w:szCs w:val="23"/>
          <w:rtl/>
          <w:lang w:eastAsia="en-GB"/>
        </w:rPr>
        <w:t>ای (یا شرکت</w:t>
      </w:r>
      <w:r w:rsidRPr="00551F33">
        <w:rPr>
          <w:i/>
          <w:sz w:val="23"/>
          <w:szCs w:val="23"/>
          <w:lang w:eastAsia="en-GB"/>
        </w:rPr>
        <w:t>‌</w:t>
      </w:r>
      <w:r w:rsidRPr="00551F33">
        <w:rPr>
          <w:rFonts w:hint="cs"/>
          <w:i/>
          <w:sz w:val="23"/>
          <w:szCs w:val="23"/>
          <w:rtl/>
          <w:lang w:eastAsia="en-GB"/>
        </w:rPr>
        <w:t>های ساختمانی) بیشتر شبیه بانک‌ها عمل می‌کنند. به جای این که فقط سپرده پذیرفته و آن را به صورت وثیقه وام‌دهند، بسیاری از شرکت</w:t>
      </w:r>
      <w:r w:rsidRPr="00551F33">
        <w:rPr>
          <w:i/>
          <w:sz w:val="23"/>
          <w:szCs w:val="23"/>
          <w:lang w:eastAsia="en-GB"/>
        </w:rPr>
        <w:t>‌</w:t>
      </w:r>
      <w:r w:rsidRPr="00551F33">
        <w:rPr>
          <w:rFonts w:hint="cs"/>
          <w:i/>
          <w:sz w:val="23"/>
          <w:szCs w:val="23"/>
          <w:rtl/>
          <w:lang w:eastAsia="en-GB"/>
        </w:rPr>
        <w:t>های وثیقه</w:t>
      </w:r>
      <w:r w:rsidRPr="00551F33">
        <w:rPr>
          <w:rFonts w:hint="cs"/>
          <w:i/>
          <w:sz w:val="23"/>
          <w:szCs w:val="23"/>
          <w:rtl/>
          <w:lang w:eastAsia="en-GB"/>
        </w:rPr>
        <w:softHyphen/>
        <w:t>ای انواع تسهیلات بانکی را پیشنهاد می‌کردند. ابتدا مقدار وجوه شرکت‌های وثیقه</w:t>
      </w:r>
      <w:r w:rsidRPr="00551F33">
        <w:rPr>
          <w:rFonts w:hint="cs"/>
          <w:i/>
          <w:sz w:val="23"/>
          <w:szCs w:val="23"/>
          <w:rtl/>
          <w:lang w:eastAsia="en-GB"/>
        </w:rPr>
        <w:softHyphen/>
        <w:t>ای که می‌توانستند وام‌دهند به سپرده آن‌ها و بازپرداخت وام‌ها بستگی داشت. برای این</w:t>
      </w:r>
      <w:r w:rsidRPr="00551F33">
        <w:rPr>
          <w:i/>
          <w:sz w:val="23"/>
          <w:szCs w:val="23"/>
          <w:rtl/>
          <w:lang w:eastAsia="en-GB"/>
        </w:rPr>
        <w:softHyphen/>
      </w:r>
      <w:r w:rsidRPr="00551F33">
        <w:rPr>
          <w:rFonts w:hint="cs"/>
          <w:i/>
          <w:sz w:val="23"/>
          <w:szCs w:val="23"/>
          <w:rtl/>
          <w:lang w:eastAsia="en-GB"/>
        </w:rPr>
        <w:t>که وام‌ها را افزایش دهند لازم بود تا سپرده‌های بیشتری را از طریق نرخ‌های سپرده</w:t>
      </w:r>
      <w:r w:rsidRPr="00551F33">
        <w:rPr>
          <w:rFonts w:hint="cs"/>
          <w:i/>
          <w:sz w:val="23"/>
          <w:szCs w:val="23"/>
          <w:rtl/>
          <w:lang w:eastAsia="en-GB"/>
        </w:rPr>
        <w:softHyphen/>
        <w:t xml:space="preserve">ی بالاتر جذب </w:t>
      </w:r>
      <w:r w:rsidRPr="00551F33">
        <w:rPr>
          <w:rFonts w:hint="cs"/>
          <w:i/>
          <w:sz w:val="23"/>
          <w:szCs w:val="23"/>
          <w:rtl/>
          <w:lang w:eastAsia="en-GB"/>
        </w:rPr>
        <w:lastRenderedPageBreak/>
        <w:t>کنند. این قید نیز عمدتاً با مجموعه</w:t>
      </w:r>
      <w:r w:rsidRPr="00551F33">
        <w:rPr>
          <w:rFonts w:hint="cs"/>
          <w:i/>
          <w:sz w:val="23"/>
          <w:szCs w:val="23"/>
          <w:rtl/>
          <w:lang w:eastAsia="en-GB"/>
        </w:rPr>
        <w:softHyphen/>
        <w:t>ای از مهندسی‌های مالی هوشمندانه برداشته شد. شرکت‌های وثیقه</w:t>
      </w:r>
      <w:r w:rsidRPr="00551F33">
        <w:rPr>
          <w:rFonts w:hint="cs"/>
          <w:i/>
          <w:sz w:val="23"/>
          <w:szCs w:val="23"/>
          <w:rtl/>
          <w:lang w:eastAsia="en-GB"/>
        </w:rPr>
        <w:softHyphen/>
        <w:t>ای همراه با بانک‌ها که وثیقه صادر می‌کردند، مقدار پول در دسترس برای وام‌های وثیقه</w:t>
      </w:r>
      <w:r w:rsidRPr="00551F33">
        <w:rPr>
          <w:rFonts w:hint="cs"/>
          <w:i/>
          <w:sz w:val="23"/>
          <w:szCs w:val="23"/>
          <w:rtl/>
          <w:lang w:eastAsia="en-GB"/>
        </w:rPr>
        <w:softHyphen/>
        <w:t xml:space="preserve">ای را با صادر کردن اوراق قرضه افزایش دادند که به نام سهام مبتنی بر وثیقه </w:t>
      </w:r>
      <w:r w:rsidRPr="00551F33">
        <w:rPr>
          <w:i/>
          <w:sz w:val="23"/>
          <w:szCs w:val="23"/>
          <w:lang w:eastAsia="en-GB"/>
        </w:rPr>
        <w:t>MBS</w:t>
      </w:r>
      <w:r w:rsidRPr="00551F33">
        <w:rPr>
          <w:rFonts w:hint="cs"/>
          <w:i/>
          <w:sz w:val="23"/>
          <w:szCs w:val="23"/>
          <w:rtl/>
          <w:lang w:eastAsia="en-GB"/>
        </w:rPr>
        <w:t xml:space="preserve"> شناخته می‌شد. برای شرکت</w:t>
      </w:r>
      <w:r w:rsidRPr="00551F33">
        <w:rPr>
          <w:i/>
          <w:sz w:val="23"/>
          <w:szCs w:val="23"/>
          <w:lang w:eastAsia="en-GB"/>
        </w:rPr>
        <w:t>‌</w:t>
      </w:r>
      <w:r w:rsidRPr="00551F33">
        <w:rPr>
          <w:rFonts w:hint="cs"/>
          <w:i/>
          <w:sz w:val="23"/>
          <w:szCs w:val="23"/>
          <w:rtl/>
          <w:lang w:eastAsia="en-GB"/>
        </w:rPr>
        <w:t>های وثیقه</w:t>
      </w:r>
      <w:r w:rsidRPr="00551F33">
        <w:rPr>
          <w:rFonts w:hint="cs"/>
          <w:i/>
          <w:sz w:val="23"/>
          <w:szCs w:val="23"/>
          <w:rtl/>
          <w:lang w:eastAsia="en-GB"/>
        </w:rPr>
        <w:softHyphen/>
        <w:t>ای، وام وثیقه</w:t>
      </w:r>
      <w:r w:rsidRPr="00551F33">
        <w:rPr>
          <w:rFonts w:hint="cs"/>
          <w:i/>
          <w:sz w:val="23"/>
          <w:szCs w:val="23"/>
          <w:rtl/>
          <w:lang w:eastAsia="en-GB"/>
        </w:rPr>
        <w:softHyphen/>
        <w:t>ای یک دارایی است و بازپرداخت اقساط آن‌ها یک جریان درآمدی به شمار می‌رود. بنابراین بخش زیادی از دارایی‌ها تا موقعی که وام بازپرداخت شود مسدود می</w:t>
      </w:r>
      <w:r w:rsidRPr="00551F33">
        <w:rPr>
          <w:rFonts w:hint="cs"/>
          <w:i/>
          <w:sz w:val="23"/>
          <w:szCs w:val="23"/>
          <w:rtl/>
          <w:lang w:eastAsia="en-GB"/>
        </w:rPr>
        <w:softHyphen/>
        <w:t xml:space="preserve">شود. هدف </w:t>
      </w:r>
      <w:r w:rsidRPr="00551F33">
        <w:rPr>
          <w:i/>
          <w:sz w:val="23"/>
          <w:szCs w:val="23"/>
          <w:lang w:eastAsia="en-GB"/>
        </w:rPr>
        <w:t>MBS</w:t>
      </w:r>
      <w:r w:rsidRPr="00551F33">
        <w:rPr>
          <w:rFonts w:hint="cs"/>
          <w:i/>
          <w:sz w:val="23"/>
          <w:szCs w:val="23"/>
          <w:rtl/>
          <w:lang w:eastAsia="en-GB"/>
        </w:rPr>
        <w:t xml:space="preserve"> این است که این پول را آزاد کند تا بتوان دوباره وام داد. این امر با ترکیب وثیقه‌های زیاد و فروش آن‌ها به صورت اوراق قرضه میسر است که عواید حاصل از آن برای وام دهی مجدد به عنوان وثیقه مجدد بکار می‌رود. می‌توان بازپرداخت وثیقه را برای ایجاد یک کوپن برای </w:t>
      </w:r>
      <w:r w:rsidRPr="00551F33">
        <w:rPr>
          <w:i/>
          <w:sz w:val="23"/>
          <w:szCs w:val="23"/>
          <w:lang w:eastAsia="en-GB"/>
        </w:rPr>
        <w:t>MBS</w:t>
      </w:r>
      <w:r w:rsidRPr="00551F33">
        <w:rPr>
          <w:rFonts w:hint="cs"/>
          <w:i/>
          <w:sz w:val="23"/>
          <w:szCs w:val="23"/>
          <w:rtl/>
          <w:lang w:eastAsia="en-GB"/>
        </w:rPr>
        <w:t xml:space="preserve"> استفاده کرد. در نتیجه</w:t>
      </w:r>
      <w:r w:rsidRPr="00551F33">
        <w:rPr>
          <w:rFonts w:hint="cs"/>
          <w:i/>
          <w:sz w:val="23"/>
          <w:szCs w:val="23"/>
          <w:rtl/>
          <w:lang w:eastAsia="en-GB"/>
        </w:rPr>
        <w:softHyphen/>
        <w:t>ی تبدیل کردن این وثیقه‌ها به سهام، دیگر شرکت</w:t>
      </w:r>
      <w:r w:rsidRPr="00551F33">
        <w:rPr>
          <w:i/>
          <w:sz w:val="23"/>
          <w:szCs w:val="23"/>
          <w:lang w:eastAsia="en-GB"/>
        </w:rPr>
        <w:t>‌</w:t>
      </w:r>
      <w:r w:rsidRPr="00551F33">
        <w:rPr>
          <w:rFonts w:hint="cs"/>
          <w:i/>
          <w:sz w:val="23"/>
          <w:szCs w:val="23"/>
          <w:rtl/>
          <w:lang w:eastAsia="en-GB"/>
        </w:rPr>
        <w:t>های وثیقه</w:t>
      </w:r>
      <w:r w:rsidRPr="00551F33">
        <w:rPr>
          <w:rFonts w:hint="cs"/>
          <w:i/>
          <w:sz w:val="23"/>
          <w:szCs w:val="23"/>
          <w:rtl/>
          <w:lang w:eastAsia="en-GB"/>
        </w:rPr>
        <w:softHyphen/>
        <w:t>ای لازم نیست به سپرده‌های جدید متکی باشند.</w:t>
      </w:r>
    </w:p>
    <w:p w14:paraId="509D6C5E" w14:textId="77777777" w:rsidR="00556C10" w:rsidRPr="00551F33" w:rsidRDefault="00556C10" w:rsidP="00556C10">
      <w:pPr>
        <w:spacing w:line="216" w:lineRule="auto"/>
        <w:rPr>
          <w:rFonts w:eastAsiaTheme="minorHAnsi"/>
          <w:i/>
          <w:sz w:val="23"/>
          <w:szCs w:val="23"/>
        </w:rPr>
      </w:pPr>
      <w:r w:rsidRPr="00551F33">
        <w:rPr>
          <w:rFonts w:hint="cs"/>
          <w:i/>
          <w:sz w:val="23"/>
          <w:szCs w:val="23"/>
          <w:rtl/>
          <w:lang w:eastAsia="en-GB"/>
        </w:rPr>
        <w:t>شرکت‌های وثیقه</w:t>
      </w:r>
      <w:r w:rsidRPr="00551F33">
        <w:rPr>
          <w:i/>
          <w:sz w:val="23"/>
          <w:szCs w:val="23"/>
          <w:lang w:eastAsia="en-GB"/>
        </w:rPr>
        <w:t>‌</w:t>
      </w:r>
      <w:r w:rsidRPr="00551F33">
        <w:rPr>
          <w:rFonts w:hint="cs"/>
          <w:i/>
          <w:sz w:val="23"/>
          <w:szCs w:val="23"/>
          <w:rtl/>
          <w:lang w:eastAsia="en-GB"/>
        </w:rPr>
        <w:t>ای درآمد خود را فقط از طریق مابه</w:t>
      </w:r>
      <w:r w:rsidRPr="00551F33">
        <w:rPr>
          <w:rFonts w:hint="cs"/>
          <w:i/>
          <w:sz w:val="23"/>
          <w:szCs w:val="23"/>
          <w:rtl/>
          <w:lang w:eastAsia="en-GB"/>
        </w:rPr>
        <w:softHyphen/>
        <w:t>التفاوت میان نرخ سپرده و نرخ</w:t>
      </w:r>
      <w:r w:rsidRPr="00551F33">
        <w:rPr>
          <w:rFonts w:hint="cs"/>
          <w:i/>
          <w:sz w:val="23"/>
          <w:szCs w:val="23"/>
          <w:rtl/>
          <w:lang w:eastAsia="en-GB"/>
        </w:rPr>
        <w:softHyphen/>
        <w:t xml:space="preserve"> وام وثیقه به دست می‌آوردند.</w:t>
      </w:r>
      <w:r w:rsidRPr="00551F33">
        <w:rPr>
          <w:i/>
          <w:sz w:val="23"/>
          <w:szCs w:val="23"/>
          <w:lang w:eastAsia="en-GB"/>
        </w:rPr>
        <w:t xml:space="preserve"> </w:t>
      </w:r>
      <w:r w:rsidRPr="00551F33">
        <w:rPr>
          <w:rFonts w:hint="cs"/>
          <w:i/>
          <w:sz w:val="23"/>
          <w:szCs w:val="23"/>
          <w:rtl/>
        </w:rPr>
        <w:t>درآمد اضافی از مابه</w:t>
      </w:r>
      <w:r w:rsidRPr="00551F33">
        <w:rPr>
          <w:rFonts w:hint="cs"/>
          <w:i/>
          <w:sz w:val="23"/>
          <w:szCs w:val="23"/>
          <w:rtl/>
        </w:rPr>
        <w:softHyphen/>
        <w:t xml:space="preserve">التفاوت میان نرخ کوپن روی </w:t>
      </w:r>
      <w:r w:rsidRPr="00551F33">
        <w:rPr>
          <w:i/>
          <w:sz w:val="23"/>
          <w:szCs w:val="23"/>
        </w:rPr>
        <w:t>MBS</w:t>
      </w:r>
      <w:r w:rsidRPr="00551F33">
        <w:rPr>
          <w:rFonts w:hint="cs"/>
          <w:i/>
          <w:sz w:val="23"/>
          <w:szCs w:val="23"/>
          <w:rtl/>
        </w:rPr>
        <w:t xml:space="preserve"> و نرخ وثیقه به دست می‌آید. به علاوه این درآمد اضافی را نیز می</w:t>
      </w:r>
      <w:r w:rsidRPr="00551F33">
        <w:rPr>
          <w:i/>
          <w:sz w:val="23"/>
          <w:szCs w:val="23"/>
        </w:rPr>
        <w:t>‌</w:t>
      </w:r>
      <w:r w:rsidRPr="00551F33">
        <w:rPr>
          <w:rFonts w:hint="cs"/>
          <w:i/>
          <w:sz w:val="23"/>
          <w:szCs w:val="23"/>
          <w:rtl/>
        </w:rPr>
        <w:t>توان هنگامی که قیمت اوراق قرضه بیش</w:t>
      </w:r>
      <w:r w:rsidRPr="00551F33">
        <w:rPr>
          <w:rFonts w:hint="cs"/>
          <w:i/>
          <w:sz w:val="23"/>
          <w:szCs w:val="23"/>
          <w:rtl/>
        </w:rPr>
        <w:softHyphen/>
        <w:t>تر از ارزش وثیقه زیربنایی</w:t>
      </w:r>
      <w:r w:rsidRPr="00551F33">
        <w:rPr>
          <w:rStyle w:val="FootnoteReference"/>
          <w:i/>
          <w:sz w:val="23"/>
          <w:szCs w:val="23"/>
          <w:rtl/>
        </w:rPr>
        <w:footnoteReference w:id="364"/>
      </w:r>
      <w:r w:rsidRPr="00551F33">
        <w:rPr>
          <w:rFonts w:hint="cs"/>
          <w:i/>
          <w:sz w:val="23"/>
          <w:szCs w:val="23"/>
          <w:rtl/>
        </w:rPr>
        <w:t xml:space="preserve"> است به دست آورد. این درآمد را می</w:t>
      </w:r>
      <w:r w:rsidRPr="00551F33">
        <w:rPr>
          <w:i/>
          <w:sz w:val="23"/>
          <w:szCs w:val="23"/>
        </w:rPr>
        <w:t>‌</w:t>
      </w:r>
      <w:r w:rsidRPr="00551F33">
        <w:rPr>
          <w:rFonts w:hint="cs"/>
          <w:i/>
          <w:sz w:val="23"/>
          <w:szCs w:val="23"/>
          <w:rtl/>
        </w:rPr>
        <w:t>توان</w:t>
      </w:r>
      <w:r w:rsidRPr="00551F33">
        <w:rPr>
          <w:i/>
          <w:sz w:val="23"/>
          <w:szCs w:val="23"/>
        </w:rPr>
        <w:t xml:space="preserve"> </w:t>
      </w:r>
      <w:r w:rsidRPr="00551F33">
        <w:rPr>
          <w:rFonts w:hint="cs"/>
          <w:i/>
          <w:sz w:val="23"/>
          <w:szCs w:val="23"/>
          <w:rtl/>
        </w:rPr>
        <w:t>با ترکیب وثیقه‌های با ریسک</w:t>
      </w:r>
      <w:r w:rsidRPr="00551F33">
        <w:rPr>
          <w:i/>
          <w:sz w:val="23"/>
          <w:szCs w:val="23"/>
        </w:rPr>
        <w:softHyphen/>
      </w:r>
      <w:r w:rsidRPr="00551F33">
        <w:rPr>
          <w:rFonts w:hint="cs"/>
          <w:i/>
          <w:sz w:val="23"/>
          <w:szCs w:val="23"/>
          <w:rtl/>
        </w:rPr>
        <w:t>های بالا و پایین و دریافت نرخ ریسک پایین اوراق قرضه حاصل از موسسات رتبه</w:t>
      </w:r>
      <w:r w:rsidRPr="00551F33">
        <w:rPr>
          <w:i/>
          <w:sz w:val="23"/>
          <w:szCs w:val="23"/>
        </w:rPr>
        <w:t>‌</w:t>
      </w:r>
      <w:r w:rsidRPr="00551F33">
        <w:rPr>
          <w:rFonts w:hint="cs"/>
          <w:i/>
          <w:sz w:val="23"/>
          <w:szCs w:val="23"/>
          <w:rtl/>
        </w:rPr>
        <w:t>بندی اعتباری، افزایش داد. نرخ</w:t>
      </w:r>
      <w:r w:rsidRPr="00551F33">
        <w:rPr>
          <w:i/>
          <w:sz w:val="23"/>
          <w:szCs w:val="23"/>
        </w:rPr>
        <w:t>‌</w:t>
      </w:r>
      <w:r w:rsidRPr="00551F33">
        <w:rPr>
          <w:rFonts w:hint="cs"/>
          <w:i/>
          <w:sz w:val="23"/>
          <w:szCs w:val="23"/>
          <w:rtl/>
        </w:rPr>
        <w:t>های بالای قصور غیرمنتظره</w:t>
      </w:r>
      <w:r w:rsidRPr="00551F33">
        <w:rPr>
          <w:rFonts w:hint="cs"/>
          <w:i/>
          <w:sz w:val="23"/>
          <w:szCs w:val="23"/>
          <w:rtl/>
        </w:rPr>
        <w:softHyphen/>
        <w:t xml:space="preserve">ی وثیقه‌ها ارزش بازاری </w:t>
      </w:r>
      <w:r w:rsidRPr="00551F33">
        <w:rPr>
          <w:i/>
          <w:sz w:val="23"/>
          <w:szCs w:val="23"/>
        </w:rPr>
        <w:t>MBS</w:t>
      </w:r>
      <w:r w:rsidRPr="00551F33">
        <w:rPr>
          <w:rFonts w:hint="cs"/>
          <w:i/>
          <w:sz w:val="23"/>
          <w:szCs w:val="23"/>
          <w:rtl/>
        </w:rPr>
        <w:t xml:space="preserve">های همراه با آن را کاهش می‌دهد. در نتیجه، یک </w:t>
      </w:r>
      <w:r w:rsidRPr="00551F33">
        <w:rPr>
          <w:i/>
          <w:sz w:val="23"/>
          <w:szCs w:val="23"/>
        </w:rPr>
        <w:t>MBS</w:t>
      </w:r>
      <w:r w:rsidRPr="00551F33">
        <w:rPr>
          <w:rFonts w:hint="cs"/>
          <w:i/>
          <w:sz w:val="23"/>
          <w:szCs w:val="23"/>
          <w:rtl/>
        </w:rPr>
        <w:t xml:space="preserve"> در بازارهای مالی، دارایی بالقوه زهرآگین و سمی تلقی می‌شود، و این امر اعتماد به توانایی مالی بانک‌ها را که دارندگان عمده </w:t>
      </w:r>
      <w:r w:rsidRPr="00551F33">
        <w:rPr>
          <w:i/>
          <w:sz w:val="23"/>
          <w:szCs w:val="23"/>
        </w:rPr>
        <w:t>MBS</w:t>
      </w:r>
      <w:r w:rsidRPr="00551F33">
        <w:rPr>
          <w:rFonts w:hint="cs"/>
          <w:i/>
          <w:sz w:val="23"/>
          <w:szCs w:val="23"/>
          <w:rtl/>
        </w:rPr>
        <w:t>‌ها هستند از بین می‌برد. عدم اطمینان در خصوص توانایی بازپرداخت بدهی بانک</w:t>
      </w:r>
      <w:r w:rsidRPr="00551F33">
        <w:rPr>
          <w:rFonts w:hint="cs"/>
          <w:i/>
          <w:sz w:val="23"/>
          <w:szCs w:val="23"/>
          <w:rtl/>
        </w:rPr>
        <w:softHyphen/>
        <w:t>های منفرد، بازار بین</w:t>
      </w:r>
      <w:r w:rsidRPr="00551F33">
        <w:rPr>
          <w:rFonts w:hint="cs"/>
          <w:i/>
          <w:sz w:val="23"/>
          <w:szCs w:val="23"/>
          <w:rtl/>
        </w:rPr>
        <w:softHyphen/>
        <w:t>بانکی که منبع اصلی اعتبارات کوتاه</w:t>
      </w:r>
      <w:r w:rsidRPr="00551F33">
        <w:rPr>
          <w:rFonts w:hint="cs"/>
          <w:i/>
          <w:sz w:val="23"/>
          <w:szCs w:val="23"/>
          <w:rtl/>
        </w:rPr>
        <w:softHyphen/>
        <w:t>مدت است به شدت وام</w:t>
      </w:r>
      <w:r w:rsidRPr="00551F33">
        <w:rPr>
          <w:rFonts w:hint="cs"/>
          <w:i/>
          <w:sz w:val="23"/>
          <w:szCs w:val="23"/>
          <w:rtl/>
        </w:rPr>
        <w:softHyphen/>
        <w:t xml:space="preserve">دهی به بانک‌ها را کاهش داده و به این وسیله بحران نقدینگی به وجود می‌آید. </w:t>
      </w:r>
    </w:p>
    <w:p w14:paraId="42532804" w14:textId="77777777" w:rsidR="00556C10" w:rsidRPr="00551F33" w:rsidRDefault="00556C10" w:rsidP="00556C10">
      <w:pPr>
        <w:spacing w:line="216" w:lineRule="auto"/>
        <w:rPr>
          <w:rFonts w:eastAsiaTheme="minorHAnsi"/>
          <w:i/>
          <w:sz w:val="23"/>
          <w:szCs w:val="23"/>
          <w:rtl/>
        </w:rPr>
      </w:pPr>
      <w:r w:rsidRPr="00551F33">
        <w:rPr>
          <w:rFonts w:hint="cs"/>
          <w:i/>
          <w:sz w:val="23"/>
          <w:szCs w:val="23"/>
          <w:rtl/>
        </w:rPr>
        <w:t>عامل دیگری که مانع وام دهی به بانک‌ها از طریق شبکه</w:t>
      </w:r>
      <w:r w:rsidRPr="00551F33">
        <w:rPr>
          <w:rFonts w:hint="cs"/>
          <w:i/>
          <w:sz w:val="23"/>
          <w:szCs w:val="23"/>
          <w:rtl/>
        </w:rPr>
        <w:softHyphen/>
        <w:t>ی بین</w:t>
      </w:r>
      <w:r w:rsidRPr="00551F33">
        <w:rPr>
          <w:rFonts w:hint="cs"/>
          <w:i/>
          <w:sz w:val="23"/>
          <w:szCs w:val="23"/>
          <w:rtl/>
        </w:rPr>
        <w:softHyphen/>
        <w:t>بانکی است نسبت‌های بسیار بالای اهرمی (نسبت بدهی به سرمایه) بسیاری از بانک</w:t>
      </w:r>
      <w:r w:rsidRPr="00551F33">
        <w:rPr>
          <w:i/>
          <w:sz w:val="23"/>
          <w:szCs w:val="23"/>
        </w:rPr>
        <w:t>‌</w:t>
      </w:r>
      <w:r w:rsidRPr="00551F33">
        <w:rPr>
          <w:rFonts w:hint="cs"/>
          <w:i/>
          <w:sz w:val="23"/>
          <w:szCs w:val="23"/>
          <w:rtl/>
        </w:rPr>
        <w:t>هاست. در برخی از بانک</w:t>
      </w:r>
      <w:r w:rsidRPr="00551F33">
        <w:rPr>
          <w:i/>
          <w:sz w:val="23"/>
          <w:szCs w:val="23"/>
        </w:rPr>
        <w:t>‌</w:t>
      </w:r>
      <w:r w:rsidRPr="00551F33">
        <w:rPr>
          <w:rFonts w:hint="cs"/>
          <w:i/>
          <w:sz w:val="23"/>
          <w:szCs w:val="23"/>
          <w:rtl/>
        </w:rPr>
        <w:t>ها این وضعیت به جایی می</w:t>
      </w:r>
      <w:r w:rsidRPr="00551F33">
        <w:rPr>
          <w:i/>
          <w:sz w:val="23"/>
          <w:szCs w:val="23"/>
        </w:rPr>
        <w:t>‌</w:t>
      </w:r>
      <w:r w:rsidRPr="00551F33">
        <w:rPr>
          <w:rFonts w:hint="cs"/>
          <w:i/>
          <w:sz w:val="23"/>
          <w:szCs w:val="23"/>
          <w:rtl/>
        </w:rPr>
        <w:t>رسد که تنها یک زیان کوچک دارایی‌ها لازم است تا ارزش سرمایه سهامی آن‌ها افزایش یابد و آن‌ها را از لحاظ فنی فاقد توانایی لازم برای پرداخت دیون می‌سازد. اگرچه لمان برادرز یک بانک نبود که ورشکسته شد، نسبت اهرمی ۴۴ داشت در حالی که وضعیت برخی از بانک‌های انگلستان بدتر بود و برای برخی نسبت اهرمی از ۵۰ تجاوز کرده بود برای همین بود که یک زیان فقط ۲ درصدی در ارزش</w:t>
      </w:r>
      <w:r>
        <w:rPr>
          <w:rFonts w:hint="cs"/>
          <w:i/>
          <w:sz w:val="23"/>
          <w:szCs w:val="23"/>
          <w:rtl/>
        </w:rPr>
        <w:t xml:space="preserve"> </w:t>
      </w:r>
      <w:r w:rsidRPr="00551F33">
        <w:rPr>
          <w:rFonts w:hint="cs"/>
          <w:i/>
          <w:sz w:val="23"/>
          <w:szCs w:val="23"/>
          <w:rtl/>
        </w:rPr>
        <w:t>دارایی‌های بانک‌ها آن‌ها را از لحاظ فنی فاقد توانایی لازم برای پرداخت دیون می</w:t>
      </w:r>
      <w:r w:rsidRPr="00551F33">
        <w:rPr>
          <w:rFonts w:hint="cs"/>
          <w:i/>
          <w:sz w:val="23"/>
          <w:szCs w:val="23"/>
          <w:rtl/>
        </w:rPr>
        <w:softHyphen/>
        <w:t>ساخت، زیرا سرمایه‌ی سهامی نمی</w:t>
      </w:r>
      <w:r w:rsidRPr="00551F33">
        <w:rPr>
          <w:rFonts w:hint="cs"/>
          <w:i/>
          <w:sz w:val="23"/>
          <w:szCs w:val="23"/>
          <w:rtl/>
        </w:rPr>
        <w:softHyphen/>
        <w:t>توانست زیان را بپوشاند. وقتی بازار وثیقه فروریخت، بازار بین بانکی که نمی</w:t>
      </w:r>
      <w:r w:rsidRPr="00551F33">
        <w:rPr>
          <w:i/>
          <w:sz w:val="23"/>
          <w:szCs w:val="23"/>
        </w:rPr>
        <w:t>‌</w:t>
      </w:r>
      <w:r w:rsidRPr="00551F33">
        <w:rPr>
          <w:rFonts w:hint="cs"/>
          <w:i/>
          <w:sz w:val="23"/>
          <w:szCs w:val="23"/>
          <w:rtl/>
        </w:rPr>
        <w:t>دانست کدام بانک‌ها به این طریق عمل کرده‌اند با خودداری از وام دادن از پذیرش ریسک خودداری کرد</w:t>
      </w:r>
      <w:r w:rsidRPr="00551F33">
        <w:rPr>
          <w:i/>
          <w:sz w:val="23"/>
          <w:szCs w:val="23"/>
        </w:rPr>
        <w:t>.</w:t>
      </w:r>
    </w:p>
    <w:p w14:paraId="0B330171" w14:textId="77777777" w:rsidR="00556C10" w:rsidRPr="00551F33" w:rsidRDefault="00556C10" w:rsidP="00556C10">
      <w:pPr>
        <w:spacing w:line="216" w:lineRule="auto"/>
        <w:jc w:val="center"/>
        <w:rPr>
          <w:i/>
          <w:sz w:val="23"/>
          <w:szCs w:val="23"/>
          <w:rtl/>
          <w:lang w:eastAsia="en-GB"/>
        </w:rPr>
      </w:pPr>
      <w:r w:rsidRPr="00551F33">
        <w:rPr>
          <w:rFonts w:hint="cs"/>
          <w:i/>
          <w:sz w:val="23"/>
          <w:szCs w:val="23"/>
          <w:rtl/>
          <w:lang w:eastAsia="en-GB"/>
        </w:rPr>
        <w:t xml:space="preserve">نمودار ‍۱۵. ۲ : مابه التفاوت نرخ‌های </w:t>
      </w:r>
      <w:r w:rsidRPr="00551F33">
        <w:rPr>
          <w:i/>
          <w:sz w:val="23"/>
          <w:szCs w:val="23"/>
          <w:lang w:eastAsia="en-GB"/>
        </w:rPr>
        <w:t>LIBOR</w:t>
      </w:r>
      <w:r w:rsidRPr="00551F33">
        <w:rPr>
          <w:rFonts w:hint="cs"/>
          <w:i/>
          <w:sz w:val="23"/>
          <w:szCs w:val="23"/>
          <w:rtl/>
          <w:lang w:eastAsia="en-GB"/>
        </w:rPr>
        <w:t xml:space="preserve"> و </w:t>
      </w:r>
      <w:r w:rsidRPr="00551F33">
        <w:rPr>
          <w:i/>
          <w:sz w:val="23"/>
          <w:szCs w:val="23"/>
          <w:lang w:eastAsia="en-GB"/>
        </w:rPr>
        <w:t>OIS</w:t>
      </w:r>
    </w:p>
    <w:p w14:paraId="3ECAF350" w14:textId="77777777" w:rsidR="00556C10" w:rsidRPr="00551F33" w:rsidRDefault="00556C10" w:rsidP="00556C10">
      <w:pPr>
        <w:spacing w:line="216" w:lineRule="auto"/>
        <w:jc w:val="center"/>
        <w:rPr>
          <w:i/>
          <w:sz w:val="23"/>
          <w:szCs w:val="23"/>
          <w:rtl/>
          <w:lang w:eastAsia="en-GB" w:bidi="ar-SA"/>
        </w:rPr>
      </w:pPr>
      <w:r w:rsidRPr="00551F33">
        <w:rPr>
          <w:i/>
          <w:noProof/>
          <w:sz w:val="23"/>
          <w:szCs w:val="23"/>
          <w:u w:val="single"/>
          <w:lang w:bidi="ar-SA"/>
        </w:rPr>
        <w:lastRenderedPageBreak/>
        <w:drawing>
          <wp:inline distT="0" distB="0" distL="0" distR="0" wp14:anchorId="1A14B598" wp14:editId="2787442A">
            <wp:extent cx="3654602" cy="2028825"/>
            <wp:effectExtent l="38100" t="38100" r="41275" b="2857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50">
                      <a:extLst>
                        <a:ext uri="{BEBA8EAE-BF5A-486C-A8C5-ECC9F3942E4B}">
                          <a14:imgProps xmlns:a14="http://schemas.microsoft.com/office/drawing/2010/main">
                            <a14:imgLayer r:embed="rId13351">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64403" cy="2034266"/>
                    </a:xfrm>
                    <a:prstGeom prst="rect">
                      <a:avLst/>
                    </a:prstGeom>
                    <a:ln w="28575">
                      <a:solidFill>
                        <a:schemeClr val="tx1"/>
                      </a:solidFill>
                    </a:ln>
                  </pic:spPr>
                </pic:pic>
              </a:graphicData>
            </a:graphic>
          </wp:inline>
        </w:drawing>
      </w:r>
    </w:p>
    <w:p w14:paraId="0AE524CC" w14:textId="77777777" w:rsidR="00556C10" w:rsidRPr="00551F33" w:rsidRDefault="00556C10" w:rsidP="00556C10">
      <w:pPr>
        <w:spacing w:line="216" w:lineRule="auto"/>
        <w:rPr>
          <w:i/>
          <w:sz w:val="23"/>
          <w:szCs w:val="23"/>
          <w:rtl/>
        </w:rPr>
      </w:pPr>
    </w:p>
    <w:p w14:paraId="13C16CB2"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اندازه‌ی بازاری ریسک قصور را ممکن است از قیمت معامله تعویضی قصور اعتبار به دست آورد. مابه</w:t>
      </w:r>
      <w:r w:rsidRPr="00551F33">
        <w:rPr>
          <w:rFonts w:hint="cs"/>
          <w:i/>
          <w:sz w:val="23"/>
          <w:szCs w:val="23"/>
          <w:rtl/>
          <w:lang w:eastAsia="en-GB"/>
        </w:rPr>
        <w:softHyphen/>
        <w:t xml:space="preserve">التفاوت میان نرخ بهره‌ی بین بانکی پیشنهادی </w:t>
      </w:r>
      <w:r w:rsidRPr="00551F33">
        <w:rPr>
          <w:i/>
          <w:sz w:val="23"/>
          <w:szCs w:val="23"/>
          <w:lang w:eastAsia="en-GB"/>
        </w:rPr>
        <w:t>LIBOR</w:t>
      </w:r>
      <w:r w:rsidRPr="00551F33">
        <w:rPr>
          <w:rFonts w:hint="cs"/>
          <w:i/>
          <w:sz w:val="23"/>
          <w:szCs w:val="23"/>
          <w:rtl/>
          <w:lang w:eastAsia="en-GB"/>
        </w:rPr>
        <w:t xml:space="preserve"> (یعنی نرخی که بانک‌ها در آن نرخ به هم قرض می</w:t>
      </w:r>
      <w:r w:rsidRPr="00551F33">
        <w:rPr>
          <w:i/>
          <w:sz w:val="23"/>
          <w:szCs w:val="23"/>
          <w:lang w:eastAsia="en-GB"/>
        </w:rPr>
        <w:t>‌</w:t>
      </w:r>
      <w:r w:rsidRPr="00551F33">
        <w:rPr>
          <w:rFonts w:hint="cs"/>
          <w:i/>
          <w:sz w:val="23"/>
          <w:szCs w:val="23"/>
          <w:rtl/>
          <w:lang w:eastAsia="en-GB"/>
        </w:rPr>
        <w:t>دهند) و نرخ بدون ریسک معامله تعویضی شاخص شبانه (</w:t>
      </w:r>
      <w:r w:rsidRPr="00551F33">
        <w:rPr>
          <w:i/>
          <w:sz w:val="23"/>
          <w:szCs w:val="23"/>
          <w:lang w:eastAsia="en-GB"/>
        </w:rPr>
        <w:t>OIS</w:t>
      </w:r>
      <w:r w:rsidRPr="00551F33">
        <w:rPr>
          <w:rFonts w:hint="cs"/>
          <w:i/>
          <w:sz w:val="23"/>
          <w:szCs w:val="23"/>
          <w:rtl/>
          <w:lang w:eastAsia="en-GB"/>
        </w:rPr>
        <w:t>) از نظر تاریخی به بالاترین حد رسید که در نمودار ۱۵. ۲ نشان داده شده است. این نرخ که معمولاً نزدیک به صفر بود در اوج بحران مالی در اکتبر سال ۲۰۰۸ به ۳۷۰ واحد هزارم رسید. بنابراین وقتی وام</w:t>
      </w:r>
      <w:r w:rsidRPr="00551F33">
        <w:rPr>
          <w:rFonts w:hint="cs"/>
          <w:i/>
          <w:sz w:val="23"/>
          <w:szCs w:val="23"/>
          <w:rtl/>
          <w:lang w:eastAsia="en-GB"/>
        </w:rPr>
        <w:softHyphen/>
        <w:t>دهی بین بانکی وجود داشت بسیار گران بود</w:t>
      </w:r>
    </w:p>
    <w:p w14:paraId="7E73A02F"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بحران بلافاصله پس از ترکیب سیاست</w:t>
      </w:r>
      <w:r w:rsidRPr="00551F33">
        <w:rPr>
          <w:i/>
          <w:sz w:val="23"/>
          <w:szCs w:val="23"/>
          <w:lang w:eastAsia="en-GB"/>
        </w:rPr>
        <w:t>‌</w:t>
      </w:r>
      <w:r w:rsidRPr="00551F33">
        <w:rPr>
          <w:rFonts w:hint="cs"/>
          <w:i/>
          <w:sz w:val="23"/>
          <w:szCs w:val="23"/>
          <w:rtl/>
          <w:lang w:eastAsia="en-GB"/>
        </w:rPr>
        <w:t>های پولی و مالی حل شد. بانک‌های مرکزی سیاست</w:t>
      </w:r>
      <w:r w:rsidRPr="00551F33">
        <w:rPr>
          <w:i/>
          <w:sz w:val="23"/>
          <w:szCs w:val="23"/>
          <w:lang w:eastAsia="en-GB"/>
        </w:rPr>
        <w:t>‌</w:t>
      </w:r>
      <w:r w:rsidRPr="00551F33">
        <w:rPr>
          <w:rFonts w:hint="cs"/>
          <w:i/>
          <w:sz w:val="23"/>
          <w:szCs w:val="23"/>
          <w:rtl/>
          <w:lang w:eastAsia="en-GB"/>
        </w:rPr>
        <w:t>های تسهیل کمّی (</w:t>
      </w:r>
      <w:r w:rsidRPr="00551F33">
        <w:rPr>
          <w:i/>
          <w:sz w:val="23"/>
          <w:szCs w:val="23"/>
          <w:lang w:eastAsia="en-GB"/>
        </w:rPr>
        <w:t>QE</w:t>
      </w:r>
      <w:r w:rsidRPr="00551F33">
        <w:rPr>
          <w:rFonts w:hint="cs"/>
          <w:i/>
          <w:sz w:val="23"/>
          <w:szCs w:val="23"/>
          <w:rtl/>
          <w:lang w:eastAsia="en-GB"/>
        </w:rPr>
        <w:t>) را در پیش گرفتند و با خرید بخشی از اوراق قرضه‌ی دولتی آن</w:t>
      </w:r>
      <w:r w:rsidRPr="00551F33">
        <w:rPr>
          <w:rFonts w:hint="cs"/>
          <w:i/>
          <w:sz w:val="23"/>
          <w:szCs w:val="23"/>
          <w:rtl/>
          <w:lang w:eastAsia="en-GB"/>
        </w:rPr>
        <w:softHyphen/>
        <w:t>ها، به بانک‌ها وجه نقد تزریق ‌کردند. در عمل، این موضوع همان عملیات سنتی بازار آزاد است که در آن پول با دارایی‌های قابل مبادله بانکی (اوراق قرضه‌ی دولتی) معامله می‌شود. از آنجا که بدهی‌ها برای نخستین بار جهت پرداخت کسری‌های دولت صادر می‌شد، تسهیل کمّی نشان می</w:t>
      </w:r>
      <w:r w:rsidRPr="00551F33">
        <w:rPr>
          <w:rFonts w:hint="cs"/>
          <w:i/>
          <w:sz w:val="23"/>
          <w:szCs w:val="23"/>
          <w:rtl/>
          <w:lang w:eastAsia="en-GB"/>
        </w:rPr>
        <w:softHyphen/>
        <w:t>دهد که کسری‌های اولیه، حداقل تا اندازه</w:t>
      </w:r>
      <w:r w:rsidRPr="00551F33">
        <w:rPr>
          <w:rFonts w:hint="cs"/>
          <w:i/>
          <w:sz w:val="23"/>
          <w:szCs w:val="23"/>
          <w:rtl/>
          <w:lang w:eastAsia="en-GB"/>
        </w:rPr>
        <w:softHyphen/>
        <w:t>ای با چاپ پول، تأمین مالی شد. شاید مهمتر از تسهیل کمّی در تمایل دولت</w:t>
      </w:r>
      <w:r w:rsidRPr="00551F33">
        <w:rPr>
          <w:rFonts w:hint="cs"/>
          <w:i/>
          <w:sz w:val="23"/>
          <w:szCs w:val="23"/>
          <w:rtl/>
          <w:lang w:eastAsia="en-GB"/>
        </w:rPr>
        <w:softHyphen/>
        <w:t>ها به تضمین سپرده‌های بانکی و پرداخت وام به آن</w:t>
      </w:r>
      <w:r w:rsidRPr="00551F33">
        <w:rPr>
          <w:i/>
          <w:sz w:val="23"/>
          <w:szCs w:val="23"/>
          <w:rtl/>
          <w:lang w:eastAsia="en-GB"/>
        </w:rPr>
        <w:softHyphen/>
      </w:r>
      <w:r w:rsidRPr="00551F33">
        <w:rPr>
          <w:rFonts w:hint="cs"/>
          <w:i/>
          <w:sz w:val="23"/>
          <w:szCs w:val="23"/>
          <w:rtl/>
          <w:lang w:eastAsia="en-GB"/>
        </w:rPr>
        <w:t>ها بود، که گاهی اوقات به صورت خرید سرمایه سهامی بانک‌ها انجام می</w:t>
      </w:r>
      <w:r w:rsidRPr="00551F33">
        <w:rPr>
          <w:i/>
          <w:sz w:val="23"/>
          <w:szCs w:val="23"/>
          <w:lang w:eastAsia="en-GB"/>
        </w:rPr>
        <w:t>‌</w:t>
      </w:r>
      <w:r w:rsidRPr="00551F33">
        <w:rPr>
          <w:rFonts w:hint="cs"/>
          <w:i/>
          <w:sz w:val="23"/>
          <w:szCs w:val="23"/>
          <w:rtl/>
          <w:lang w:eastAsia="en-GB"/>
        </w:rPr>
        <w:t>شد. این را می‌توان سیاست مالی نامید زیرا پرداخت کننده‌ی نهایی، مالیات دهندگان بودند. اگرچه تسهیل کمّی برای تأمین نقدینگی بانک‌ها موثر بود و وام‌های دولتی تهدید فوری اعسار بانکی را از بین برد و به این وسیله تا اندازه</w:t>
      </w:r>
      <w:r w:rsidRPr="00551F33">
        <w:rPr>
          <w:rFonts w:hint="cs"/>
          <w:i/>
          <w:sz w:val="23"/>
          <w:szCs w:val="23"/>
          <w:rtl/>
          <w:lang w:eastAsia="en-GB"/>
        </w:rPr>
        <w:softHyphen/>
        <w:t>ای اعتماد به سیستم بانکی را بالا برد، سیاست‌ها تنها در تشویق بانک‌ها به پرداخت وام به مردم (غیر از بانک‌ها) و بنابراین تأمین مالی بهبود اقتصادی موفقیت محدودی داشت.</w:t>
      </w:r>
    </w:p>
    <w:p w14:paraId="34D51BC4"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در عمل، دلیل بحران مالی شکست در ارزیابی درست ریسک‌های انباشته شده در سیستم بانکی بود. این ریسک‌ها از عملیات بانک‌ها با نسبت‌های اهرمی بسیار بالا نتیجه می</w:t>
      </w:r>
      <w:r w:rsidRPr="00551F33">
        <w:rPr>
          <w:i/>
          <w:sz w:val="23"/>
          <w:szCs w:val="23"/>
          <w:lang w:eastAsia="en-GB"/>
        </w:rPr>
        <w:t>‌</w:t>
      </w:r>
      <w:r w:rsidRPr="00551F33">
        <w:rPr>
          <w:rFonts w:hint="cs"/>
          <w:i/>
          <w:sz w:val="23"/>
          <w:szCs w:val="23"/>
          <w:rtl/>
          <w:lang w:eastAsia="en-GB"/>
        </w:rPr>
        <w:t xml:space="preserve">شد که بسیار </w:t>
      </w:r>
      <w:r w:rsidRPr="00551F33">
        <w:rPr>
          <w:i/>
          <w:sz w:val="23"/>
          <w:szCs w:val="23"/>
          <w:lang w:eastAsia="en-GB"/>
        </w:rPr>
        <w:t>MBS</w:t>
      </w:r>
      <w:r w:rsidRPr="00551F33">
        <w:rPr>
          <w:rFonts w:hint="cs"/>
          <w:i/>
          <w:sz w:val="23"/>
          <w:szCs w:val="23"/>
          <w:rtl/>
          <w:lang w:eastAsia="en-GB"/>
        </w:rPr>
        <w:t>‌ها را در معرض خطر قرار می</w:t>
      </w:r>
      <w:r w:rsidRPr="00551F33">
        <w:rPr>
          <w:i/>
          <w:sz w:val="23"/>
          <w:szCs w:val="23"/>
          <w:lang w:eastAsia="en-GB"/>
        </w:rPr>
        <w:t>‌</w:t>
      </w:r>
      <w:r w:rsidRPr="00551F33">
        <w:rPr>
          <w:rFonts w:hint="cs"/>
          <w:i/>
          <w:sz w:val="23"/>
          <w:szCs w:val="23"/>
          <w:rtl/>
          <w:lang w:eastAsia="en-GB"/>
        </w:rPr>
        <w:t xml:space="preserve">داد. با بسته کردن وثیقه‌ها‌ی بسیار تصور می‌شد ریسک‌های تأمین قصور کاهش </w:t>
      </w:r>
      <w:r w:rsidRPr="00551F33">
        <w:rPr>
          <w:rFonts w:hint="cs"/>
          <w:i/>
          <w:sz w:val="23"/>
          <w:szCs w:val="23"/>
          <w:rtl/>
          <w:lang w:eastAsia="en-GB"/>
        </w:rPr>
        <w:lastRenderedPageBreak/>
        <w:t>یابد زیرا پرتفوی وثیقه‌ها که اوراق قرضه را شکل می‌داد متنوع شده بود و تصور می‌رفت این امر که ریسک را کاهش می</w:t>
      </w:r>
      <w:r w:rsidRPr="00551F33">
        <w:rPr>
          <w:i/>
          <w:sz w:val="23"/>
          <w:szCs w:val="23"/>
          <w:lang w:eastAsia="en-GB"/>
        </w:rPr>
        <w:t>‌</w:t>
      </w:r>
      <w:r w:rsidRPr="00551F33">
        <w:rPr>
          <w:rFonts w:hint="cs"/>
          <w:i/>
          <w:sz w:val="23"/>
          <w:szCs w:val="23"/>
          <w:rtl/>
          <w:lang w:eastAsia="en-GB"/>
        </w:rPr>
        <w:t xml:space="preserve">دهد قیمت </w:t>
      </w:r>
      <w:r w:rsidRPr="00551F33">
        <w:rPr>
          <w:i/>
          <w:sz w:val="23"/>
          <w:szCs w:val="23"/>
          <w:lang w:eastAsia="en-GB"/>
        </w:rPr>
        <w:t>MBS</w:t>
      </w:r>
      <w:r w:rsidRPr="00551F33">
        <w:rPr>
          <w:rFonts w:hint="cs"/>
          <w:i/>
          <w:sz w:val="23"/>
          <w:szCs w:val="23"/>
          <w:rtl/>
          <w:lang w:eastAsia="en-GB"/>
        </w:rPr>
        <w:t>‌ها را بالا می‌برد. اگر ریسک‌های قصور وثیقه‌ها مستقل بود، منطق این استدلال درست بود. در حقیقت این ریسک‌ها بسیار همبسته هستند زیرا ریسک زیربنایی از لحاظ ماهوی اقتصاد کلان سیستمی بود و اغلب خانوار‌ها را، و نه خانوار</w:t>
      </w:r>
      <w:r w:rsidRPr="00551F33">
        <w:rPr>
          <w:i/>
          <w:sz w:val="23"/>
          <w:szCs w:val="23"/>
          <w:lang w:eastAsia="en-GB"/>
        </w:rPr>
        <w:t>‌</w:t>
      </w:r>
      <w:r w:rsidRPr="00551F33">
        <w:rPr>
          <w:rFonts w:hint="cs"/>
          <w:i/>
          <w:sz w:val="23"/>
          <w:szCs w:val="23"/>
          <w:rtl/>
          <w:lang w:eastAsia="en-GB"/>
        </w:rPr>
        <w:t>های مشخص را تحت تاثیر قرار می‌داد. تا این تاریخ درباره چگونگی اصلاح سیستم مالی برای اجتناب از تکرار بحران اجماعی وجود ندارد، گرچه اغلب موافق هستند که داشتن بانک‌هایی که تصور می‌رود بسیار بزرگ</w:t>
      </w:r>
      <w:r w:rsidRPr="00551F33">
        <w:rPr>
          <w:rFonts w:hint="cs"/>
          <w:i/>
          <w:sz w:val="23"/>
          <w:szCs w:val="23"/>
          <w:rtl/>
          <w:lang w:eastAsia="en-GB"/>
        </w:rPr>
        <w:softHyphen/>
        <w:t>تر از آن هستند که قصور کنند و شکست بخورند هنوز تهدیدی برای اقتصاد به شمار می</w:t>
      </w:r>
      <w:r w:rsidRPr="00551F33">
        <w:rPr>
          <w:i/>
          <w:sz w:val="23"/>
          <w:szCs w:val="23"/>
          <w:lang w:eastAsia="en-GB"/>
        </w:rPr>
        <w:t>‌</w:t>
      </w:r>
      <w:r w:rsidRPr="00551F33">
        <w:rPr>
          <w:rFonts w:hint="cs"/>
          <w:i/>
          <w:sz w:val="23"/>
          <w:szCs w:val="23"/>
          <w:rtl/>
          <w:lang w:eastAsia="en-GB"/>
        </w:rPr>
        <w:t>رود. یافته</w:t>
      </w:r>
      <w:r w:rsidRPr="00551F33">
        <w:rPr>
          <w:i/>
          <w:sz w:val="23"/>
          <w:szCs w:val="23"/>
          <w:lang w:eastAsia="en-GB"/>
        </w:rPr>
        <w:t>‌</w:t>
      </w:r>
      <w:r w:rsidRPr="00551F33">
        <w:rPr>
          <w:rFonts w:hint="cs"/>
          <w:i/>
          <w:sz w:val="23"/>
          <w:szCs w:val="23"/>
          <w:rtl/>
          <w:lang w:eastAsia="en-GB"/>
        </w:rPr>
        <w:t>های رینهارت و رگوف</w:t>
      </w:r>
      <w:r w:rsidRPr="00551F33">
        <w:rPr>
          <w:rStyle w:val="FootnoteReference"/>
          <w:i/>
          <w:sz w:val="23"/>
          <w:szCs w:val="23"/>
          <w:rtl/>
          <w:lang w:eastAsia="en-GB"/>
        </w:rPr>
        <w:footnoteReference w:id="365"/>
      </w:r>
      <w:r w:rsidRPr="00551F33">
        <w:rPr>
          <w:rFonts w:hint="cs"/>
          <w:i/>
          <w:sz w:val="23"/>
          <w:szCs w:val="23"/>
          <w:rtl/>
          <w:lang w:eastAsia="en-GB"/>
        </w:rPr>
        <w:t xml:space="preserve"> درباره‌ی تواتر بحران‌های بانکی، دلگرمی کمی از یافتن یک راه</w:t>
      </w:r>
      <w:r w:rsidRPr="00551F33">
        <w:rPr>
          <w:i/>
          <w:sz w:val="23"/>
          <w:szCs w:val="23"/>
          <w:lang w:eastAsia="en-GB"/>
        </w:rPr>
        <w:t>‌</w:t>
      </w:r>
      <w:r w:rsidRPr="00551F33">
        <w:rPr>
          <w:rFonts w:hint="cs"/>
          <w:i/>
          <w:sz w:val="23"/>
          <w:szCs w:val="23"/>
          <w:rtl/>
          <w:lang w:eastAsia="en-GB"/>
        </w:rPr>
        <w:t xml:space="preserve"> حل دائمی به دست می‌دهد. با این حال آنچه روشن است این است که درک بهتر اقتصاد کلان و پیامدهای آن برای ریسک‌های مالی می</w:t>
      </w:r>
      <w:r w:rsidRPr="00551F33">
        <w:rPr>
          <w:i/>
          <w:sz w:val="23"/>
          <w:szCs w:val="23"/>
          <w:lang w:eastAsia="en-GB"/>
        </w:rPr>
        <w:t>‌</w:t>
      </w:r>
      <w:r w:rsidRPr="00551F33">
        <w:rPr>
          <w:rFonts w:hint="cs"/>
          <w:i/>
          <w:sz w:val="23"/>
          <w:szCs w:val="23"/>
          <w:rtl/>
          <w:lang w:eastAsia="en-GB"/>
        </w:rPr>
        <w:t>تواند به اجتناب از بحران دیگری کمک کند</w:t>
      </w:r>
    </w:p>
    <w:p w14:paraId="6E970F3C" w14:textId="77777777" w:rsidR="00556C10" w:rsidRPr="00551F33" w:rsidRDefault="00556C10" w:rsidP="00556C10">
      <w:pPr>
        <w:spacing w:line="216" w:lineRule="auto"/>
        <w:rPr>
          <w:i/>
          <w:sz w:val="23"/>
          <w:szCs w:val="23"/>
          <w:lang w:eastAsia="en-GB"/>
        </w:rPr>
      </w:pPr>
    </w:p>
    <w:p w14:paraId="34305341" w14:textId="77777777" w:rsidR="00556C10" w:rsidRPr="00551F33" w:rsidRDefault="00556C10" w:rsidP="00556C10">
      <w:pPr>
        <w:spacing w:line="216" w:lineRule="auto"/>
        <w:rPr>
          <w:bCs/>
          <w:i/>
          <w:sz w:val="23"/>
          <w:szCs w:val="23"/>
          <w:lang w:eastAsia="en-GB"/>
        </w:rPr>
      </w:pPr>
      <w:r w:rsidRPr="00551F33">
        <w:rPr>
          <w:rFonts w:hint="cs"/>
          <w:bCs/>
          <w:i/>
          <w:sz w:val="23"/>
          <w:szCs w:val="23"/>
          <w:rtl/>
          <w:lang w:eastAsia="en-GB"/>
        </w:rPr>
        <w:t>۱۵. ۵ بانکداری بر اساس درصدی از ذخایر</w:t>
      </w:r>
    </w:p>
    <w:p w14:paraId="3CF6B22A"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مدل سنتی بانکداری، سیستم مبتنی بر درصدی از ذخایر است. ترازنامه‌ی یک بانک عبارت است از</w:t>
      </w:r>
    </w:p>
    <w:p w14:paraId="5F1DCF05" w14:textId="77777777" w:rsidR="00556C10" w:rsidRPr="00551F33" w:rsidRDefault="00556C10" w:rsidP="00556C10">
      <w:pPr>
        <w:pStyle w:val="MTDisplayEquation"/>
        <w:tabs>
          <w:tab w:val="clear" w:pos="3320"/>
          <w:tab w:val="center" w:pos="0"/>
        </w:tabs>
        <w:spacing w:line="216" w:lineRule="auto"/>
        <w:jc w:val="left"/>
        <w:rPr>
          <w:rFonts w:ascii="Times New Roman" w:eastAsia="Times New Roman" w:hAnsi="Times New Roman" w:cs="B Nazanin"/>
          <w:i/>
          <w:sz w:val="23"/>
          <w:szCs w:val="23"/>
          <w:lang w:eastAsia="en-GB"/>
        </w:rPr>
      </w:pPr>
      <w:r w:rsidRPr="00551F33">
        <w:rPr>
          <w:position w:val="-10"/>
        </w:rPr>
        <w:object w:dxaOrig="1160" w:dyaOrig="320" w14:anchorId="0425330C">
          <v:shape id="_x0000_i7638" type="#_x0000_t75" style="width:58.1pt;height:15.75pt" o:ole="">
            <v:imagedata r:id="rId13352" o:title=""/>
          </v:shape>
          <o:OLEObject Type="Embed" ProgID="Equation.DSMT4" ShapeID="_x0000_i7638" DrawAspect="Content" ObjectID="_1791381581" r:id="rId13353"/>
        </w:object>
      </w:r>
      <w:r w:rsidRPr="00551F33">
        <w:rPr>
          <w:rFonts w:ascii="Times New Roman" w:hAnsi="Times New Roman" w:cs="B Nazanin" w:hint="cs"/>
          <w:i/>
          <w:sz w:val="23"/>
          <w:szCs w:val="23"/>
          <w:rtl/>
        </w:rPr>
        <w:t xml:space="preserve"> </w:t>
      </w:r>
    </w:p>
    <w:p w14:paraId="159BE3E3"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که در آن</w:t>
      </w:r>
      <w:r w:rsidRPr="00551F33">
        <w:rPr>
          <w:position w:val="-10"/>
        </w:rPr>
        <w:object w:dxaOrig="300" w:dyaOrig="320" w14:anchorId="2223FC6C">
          <v:shape id="_x0000_i7639" type="#_x0000_t75" style="width:14.5pt;height:15.75pt" o:ole="">
            <v:imagedata r:id="rId13354" o:title=""/>
          </v:shape>
          <o:OLEObject Type="Embed" ProgID="Equation.DSMT4" ShapeID="_x0000_i7639" DrawAspect="Content" ObjectID="_1791381582" r:id="rId13355"/>
        </w:object>
      </w:r>
      <w:r w:rsidRPr="00551F33">
        <w:rPr>
          <w:rFonts w:hint="cs"/>
          <w:i/>
          <w:sz w:val="23"/>
          <w:szCs w:val="23"/>
          <w:rtl/>
          <w:lang w:eastAsia="en-GB"/>
        </w:rPr>
        <w:t xml:space="preserve"> پول پرقدرت یا ذخائر بانکی است که نزد بانک مرکزی نگه داشته می‌شود،</w:t>
      </w:r>
      <w:r w:rsidRPr="00551F33">
        <w:rPr>
          <w:position w:val="-10"/>
        </w:rPr>
        <w:object w:dxaOrig="260" w:dyaOrig="320" w14:anchorId="59978364">
          <v:shape id="_x0000_i7640" type="#_x0000_t75" style="width:13.3pt;height:15.75pt" o:ole="">
            <v:imagedata r:id="rId13356" o:title=""/>
          </v:shape>
          <o:OLEObject Type="Embed" ProgID="Equation.DSMT4" ShapeID="_x0000_i7640" DrawAspect="Content" ObjectID="_1791381583" r:id="rId13357"/>
        </w:object>
      </w:r>
      <w:r w:rsidRPr="00551F33">
        <w:rPr>
          <w:rFonts w:hint="cs"/>
          <w:i/>
          <w:sz w:val="23"/>
          <w:szCs w:val="23"/>
          <w:rtl/>
          <w:lang w:eastAsia="en-GB"/>
        </w:rPr>
        <w:t xml:space="preserve"> وام‌های بانکی و</w:t>
      </w:r>
      <w:r w:rsidRPr="00551F33">
        <w:rPr>
          <w:position w:val="-10"/>
        </w:rPr>
        <w:object w:dxaOrig="279" w:dyaOrig="320" w14:anchorId="24986A19">
          <v:shape id="_x0000_i7641" type="#_x0000_t75" style="width:13.9pt;height:15.75pt" o:ole="">
            <v:imagedata r:id="rId13358" o:title=""/>
          </v:shape>
          <o:OLEObject Type="Embed" ProgID="Equation.DSMT4" ShapeID="_x0000_i7641" DrawAspect="Content" ObjectID="_1791381584" r:id="rId13359"/>
        </w:object>
      </w:r>
      <w:r w:rsidRPr="00551F33">
        <w:rPr>
          <w:rFonts w:hint="cs"/>
          <w:i/>
          <w:sz w:val="23"/>
          <w:szCs w:val="23"/>
          <w:rtl/>
          <w:lang w:eastAsia="en-GB"/>
        </w:rPr>
        <w:t xml:space="preserve"> سپرده‌های بانکی است که عندالمطالبه در دسترس است. در این نوع بانکداری ذخائر عبارت است از بخشی (</w:t>
      </w:r>
      <w:r w:rsidRPr="00551F33">
        <w:rPr>
          <w:position w:val="-10"/>
        </w:rPr>
        <w:object w:dxaOrig="180" w:dyaOrig="300" w14:anchorId="062B0199">
          <v:shape id="_x0000_i7642" type="#_x0000_t75" style="width:9.1pt;height:14.5pt" o:ole="">
            <v:imagedata r:id="rId13360" o:title=""/>
          </v:shape>
          <o:OLEObject Type="Embed" ProgID="Equation.DSMT4" ShapeID="_x0000_i7642" DrawAspect="Content" ObjectID="_1791381585" r:id="rId13361"/>
        </w:object>
      </w:r>
      <w:r w:rsidRPr="00551F33">
        <w:rPr>
          <w:rFonts w:hint="cs"/>
          <w:i/>
          <w:sz w:val="23"/>
          <w:szCs w:val="23"/>
          <w:rtl/>
          <w:lang w:eastAsia="en-GB"/>
        </w:rPr>
        <w:t>) از سپرده‌ها به نحوی که</w:t>
      </w:r>
      <w:r w:rsidRPr="00551F33">
        <w:rPr>
          <w:position w:val="-10"/>
        </w:rPr>
        <w:object w:dxaOrig="880" w:dyaOrig="320" w14:anchorId="3AE90D1E">
          <v:shape id="_x0000_i7643" type="#_x0000_t75" style="width:44.15pt;height:15.75pt" o:ole="">
            <v:imagedata r:id="rId13362" o:title=""/>
          </v:shape>
          <o:OLEObject Type="Embed" ProgID="Equation.DSMT4" ShapeID="_x0000_i7643" DrawAspect="Content" ObjectID="_1791381586" r:id="rId13363"/>
        </w:object>
      </w:r>
      <w:r w:rsidRPr="00551F33">
        <w:rPr>
          <w:rFonts w:hint="cs"/>
          <w:i/>
          <w:sz w:val="23"/>
          <w:szCs w:val="23"/>
          <w:rtl/>
        </w:rPr>
        <w:t>.</w:t>
      </w:r>
      <w:r w:rsidRPr="00551F33">
        <w:rPr>
          <w:i/>
          <w:sz w:val="23"/>
          <w:szCs w:val="23"/>
        </w:rPr>
        <w:t xml:space="preserve"> </w:t>
      </w:r>
      <w:r w:rsidRPr="00551F33">
        <w:rPr>
          <w:rFonts w:hint="cs"/>
          <w:i/>
          <w:sz w:val="23"/>
          <w:szCs w:val="23"/>
          <w:rtl/>
          <w:lang w:eastAsia="en-GB"/>
        </w:rPr>
        <w:t>در نتیجه وام‌های بانکی بر اساس رابطه‌ی زیر تعیین می‌شود:</w:t>
      </w:r>
    </w:p>
    <w:p w14:paraId="1882329D" w14:textId="77777777" w:rsidR="00556C10" w:rsidRPr="00551F33" w:rsidRDefault="00556C10" w:rsidP="00556C10">
      <w:pPr>
        <w:bidi w:val="0"/>
        <w:spacing w:line="216" w:lineRule="auto"/>
        <w:rPr>
          <w:i/>
          <w:sz w:val="23"/>
          <w:szCs w:val="23"/>
          <w:lang w:eastAsia="en-GB"/>
        </w:rPr>
      </w:pPr>
      <w:r w:rsidRPr="00551F33">
        <w:rPr>
          <w:position w:val="-12"/>
        </w:rPr>
        <w:object w:dxaOrig="1280" w:dyaOrig="360" w14:anchorId="19A91D21">
          <v:shape id="_x0000_i7644" type="#_x0000_t75" style="width:64.15pt;height:18.15pt" o:ole="">
            <v:imagedata r:id="rId13364" o:title=""/>
          </v:shape>
          <o:OLEObject Type="Embed" ProgID="Equation.DSMT4" ShapeID="_x0000_i7644" DrawAspect="Content" ObjectID="_1791381587" r:id="rId13365"/>
        </w:object>
      </w:r>
    </w:p>
    <w:p w14:paraId="55DC7EE2"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 xml:space="preserve">ذخایر قانونی پایین </w:t>
      </w:r>
      <w:r w:rsidRPr="00551F33">
        <w:rPr>
          <w:i/>
          <w:sz w:val="23"/>
          <w:szCs w:val="23"/>
          <w:lang w:eastAsia="en-GB"/>
        </w:rPr>
        <w:t>)</w:t>
      </w:r>
      <w:r w:rsidRPr="00551F33">
        <w:rPr>
          <w:rFonts w:hint="cs"/>
          <w:i/>
          <w:sz w:val="23"/>
          <w:szCs w:val="23"/>
          <w:rtl/>
          <w:lang w:eastAsia="en-GB"/>
        </w:rPr>
        <w:t>مقدار کوچک</w:t>
      </w:r>
      <w:r w:rsidRPr="00551F33">
        <w:rPr>
          <w:position w:val="-10"/>
        </w:rPr>
        <w:object w:dxaOrig="180" w:dyaOrig="300" w14:anchorId="07CF3DAE">
          <v:shape id="_x0000_i7645" type="#_x0000_t75" style="width:9.1pt;height:14.5pt" o:ole="">
            <v:imagedata r:id="rId13366" o:title=""/>
          </v:shape>
          <o:OLEObject Type="Embed" ProgID="Equation.DSMT4" ShapeID="_x0000_i7645" DrawAspect="Content" ObjectID="_1791381588" r:id="rId13367"/>
        </w:object>
      </w:r>
      <w:r w:rsidRPr="00551F33">
        <w:rPr>
          <w:rFonts w:hint="cs"/>
          <w:i/>
          <w:sz w:val="23"/>
          <w:szCs w:val="23"/>
          <w:rtl/>
        </w:rPr>
        <w:t xml:space="preserve">) </w:t>
      </w:r>
      <w:r w:rsidRPr="00551F33">
        <w:rPr>
          <w:rFonts w:hint="cs"/>
          <w:i/>
          <w:sz w:val="23"/>
          <w:szCs w:val="23"/>
          <w:rtl/>
          <w:lang w:eastAsia="en-GB"/>
        </w:rPr>
        <w:t>حجم وام‌ها را افزایش می‌دهد. با نگه</w:t>
      </w:r>
      <w:r w:rsidRPr="00551F33">
        <w:rPr>
          <w:rFonts w:hint="cs"/>
          <w:i/>
          <w:sz w:val="23"/>
          <w:szCs w:val="23"/>
          <w:rtl/>
          <w:lang w:eastAsia="en-GB"/>
        </w:rPr>
        <w:softHyphen/>
        <w:t>داری دارایی‌های ذخیره، وام‌های بانکی و بنابراین سوددهی بانک کاهش می</w:t>
      </w:r>
      <w:r w:rsidRPr="00551F33">
        <w:rPr>
          <w:rFonts w:hint="cs"/>
          <w:i/>
          <w:sz w:val="23"/>
          <w:szCs w:val="23"/>
          <w:rtl/>
          <w:lang w:eastAsia="en-GB"/>
        </w:rPr>
        <w:softHyphen/>
        <w:t>یابد، بانکِ تسویه بین</w:t>
      </w:r>
      <w:r w:rsidRPr="00551F33">
        <w:rPr>
          <w:rFonts w:hint="cs"/>
          <w:i/>
          <w:sz w:val="23"/>
          <w:szCs w:val="23"/>
          <w:rtl/>
          <w:lang w:eastAsia="en-GB"/>
        </w:rPr>
        <w:softHyphen/>
        <w:t xml:space="preserve">المللی تحت توافقات باسل </w:t>
      </w:r>
      <w:r w:rsidRPr="00551F33">
        <w:rPr>
          <w:i/>
          <w:sz w:val="23"/>
          <w:szCs w:val="23"/>
          <w:lang w:eastAsia="en-GB"/>
        </w:rPr>
        <w:t>II</w:t>
      </w:r>
      <w:r w:rsidRPr="00551F33">
        <w:rPr>
          <w:rFonts w:hint="cs"/>
          <w:i/>
          <w:sz w:val="23"/>
          <w:szCs w:val="23"/>
          <w:rtl/>
          <w:lang w:eastAsia="en-GB"/>
        </w:rPr>
        <w:t xml:space="preserve"> تقریباً ذخیره قانونی را حذف می‌کند. به جای آن، از بانک</w:t>
      </w:r>
      <w:r w:rsidRPr="00551F33">
        <w:rPr>
          <w:i/>
          <w:sz w:val="23"/>
          <w:szCs w:val="23"/>
          <w:lang w:eastAsia="en-GB"/>
        </w:rPr>
        <w:t>‌</w:t>
      </w:r>
      <w:r w:rsidRPr="00551F33">
        <w:rPr>
          <w:rFonts w:hint="cs"/>
          <w:i/>
          <w:sz w:val="23"/>
          <w:szCs w:val="23"/>
          <w:rtl/>
          <w:lang w:eastAsia="en-GB"/>
        </w:rPr>
        <w:t>ها انتظار می‌رود از نظریه پرتفو برای تعیین سطح ذخائر خود استفاده کنند، و به این ترتیب وام‌ها را به عنوان دارایی با بازده ریسکی همانند هر دارایی ریسکی دیگر تلقی می</w:t>
      </w:r>
      <w:r w:rsidRPr="00551F33">
        <w:rPr>
          <w:i/>
          <w:sz w:val="23"/>
          <w:szCs w:val="23"/>
          <w:lang w:eastAsia="en-GB"/>
        </w:rPr>
        <w:t>‌</w:t>
      </w:r>
      <w:r w:rsidRPr="00551F33">
        <w:rPr>
          <w:rFonts w:hint="cs"/>
          <w:i/>
          <w:sz w:val="23"/>
          <w:szCs w:val="23"/>
          <w:rtl/>
          <w:lang w:eastAsia="en-GB"/>
        </w:rPr>
        <w:t>کند. از آنجاکه استقراض بانک‌ها دارایی</w:t>
      </w:r>
      <w:r w:rsidRPr="00551F33">
        <w:rPr>
          <w:i/>
          <w:sz w:val="23"/>
          <w:szCs w:val="23"/>
          <w:lang w:eastAsia="en-GB"/>
        </w:rPr>
        <w:t>‌</w:t>
      </w:r>
      <w:r w:rsidRPr="00551F33">
        <w:rPr>
          <w:rFonts w:hint="cs"/>
          <w:i/>
          <w:sz w:val="23"/>
          <w:szCs w:val="23"/>
          <w:rtl/>
          <w:lang w:eastAsia="en-GB"/>
        </w:rPr>
        <w:t xml:space="preserve"> دیگر است، اما بازده منفی دارد، بانک‌ها می‌توانند وام‌های خود را با قرض کردن برای وام دادن اهرم </w:t>
      </w:r>
      <w:r w:rsidRPr="00551F33">
        <w:rPr>
          <w:i/>
          <w:sz w:val="23"/>
          <w:szCs w:val="23"/>
          <w:lang w:eastAsia="en-GB"/>
        </w:rPr>
        <w:t>‌</w:t>
      </w:r>
      <w:r w:rsidRPr="00551F33">
        <w:rPr>
          <w:rFonts w:hint="cs"/>
          <w:i/>
          <w:sz w:val="23"/>
          <w:szCs w:val="23"/>
          <w:rtl/>
          <w:lang w:eastAsia="en-GB"/>
        </w:rPr>
        <w:t>کنند و سپس از نظریه پورتفو برای تعیین میزان اهرم استفاده کنند. نظریه</w:t>
      </w:r>
      <w:r w:rsidRPr="00551F33">
        <w:rPr>
          <w:rFonts w:hint="cs"/>
          <w:i/>
          <w:sz w:val="23"/>
          <w:szCs w:val="23"/>
          <w:rtl/>
          <w:lang w:eastAsia="en-GB"/>
        </w:rPr>
        <w:softHyphen/>
        <w:t>ی پرتفو با رابطه</w:t>
      </w:r>
      <w:r w:rsidRPr="00551F33">
        <w:rPr>
          <w:rFonts w:hint="cs"/>
          <w:i/>
          <w:sz w:val="23"/>
          <w:szCs w:val="23"/>
          <w:rtl/>
          <w:lang w:eastAsia="en-GB"/>
        </w:rPr>
        <w:softHyphen/>
        <w:t>ی بین ریسک و بازدهی مرتبط است. این قصور بانک</w:t>
      </w:r>
      <w:r w:rsidRPr="00551F33">
        <w:rPr>
          <w:rFonts w:hint="cs"/>
          <w:i/>
          <w:sz w:val="23"/>
          <w:szCs w:val="23"/>
          <w:rtl/>
          <w:lang w:eastAsia="en-GB"/>
        </w:rPr>
        <w:softHyphen/>
        <w:t>ها در ارزیابی صحیح ریسک‌های وام دهی بود که عامل اصلی، اما احتمالاً نه فقط تنها عامل بحران‌های مالی به شمار می‌رود. با این حال، نظریه بانکداری درصدی از ذخایر سبب می</w:t>
      </w:r>
      <w:r w:rsidRPr="00551F33">
        <w:rPr>
          <w:i/>
          <w:sz w:val="23"/>
          <w:szCs w:val="23"/>
          <w:lang w:eastAsia="en-GB"/>
        </w:rPr>
        <w:t>‌</w:t>
      </w:r>
      <w:r w:rsidRPr="00551F33">
        <w:rPr>
          <w:rFonts w:hint="cs"/>
          <w:i/>
          <w:sz w:val="23"/>
          <w:szCs w:val="23"/>
          <w:rtl/>
          <w:lang w:eastAsia="en-GB"/>
        </w:rPr>
        <w:t>شود روش مناسبی برای مدل</w:t>
      </w:r>
      <w:r w:rsidRPr="00551F33">
        <w:rPr>
          <w:rFonts w:hint="cs"/>
          <w:i/>
          <w:sz w:val="23"/>
          <w:szCs w:val="23"/>
          <w:rtl/>
          <w:lang w:eastAsia="en-GB"/>
        </w:rPr>
        <w:softHyphen/>
        <w:t>سازی سیستم بانکی باشد.</w:t>
      </w:r>
    </w:p>
    <w:p w14:paraId="06FC99BE" w14:textId="77777777" w:rsidR="00556C10" w:rsidRDefault="00556C10" w:rsidP="00556C10">
      <w:pPr>
        <w:spacing w:line="216" w:lineRule="auto"/>
        <w:rPr>
          <w:i/>
          <w:sz w:val="23"/>
          <w:szCs w:val="23"/>
          <w:rtl/>
          <w:lang w:eastAsia="en-GB"/>
        </w:rPr>
      </w:pPr>
      <w:r w:rsidRPr="00551F33">
        <w:rPr>
          <w:i/>
          <w:sz w:val="23"/>
          <w:szCs w:val="23"/>
          <w:lang w:eastAsia="en-GB"/>
        </w:rPr>
        <w:t> </w:t>
      </w:r>
    </w:p>
    <w:p w14:paraId="23A2C83F" w14:textId="77777777" w:rsidR="00556C10" w:rsidRPr="00551F33" w:rsidRDefault="00556C10" w:rsidP="00556C10">
      <w:pPr>
        <w:spacing w:line="216" w:lineRule="auto"/>
        <w:rPr>
          <w:i/>
          <w:sz w:val="23"/>
          <w:szCs w:val="23"/>
          <w:lang w:eastAsia="en-GB"/>
        </w:rPr>
      </w:pPr>
    </w:p>
    <w:p w14:paraId="36E8D189" w14:textId="77777777" w:rsidR="00556C10" w:rsidRPr="00551F33" w:rsidRDefault="00556C10" w:rsidP="00556C10">
      <w:pPr>
        <w:spacing w:line="216" w:lineRule="auto"/>
        <w:rPr>
          <w:bCs/>
          <w:i/>
          <w:sz w:val="23"/>
          <w:szCs w:val="23"/>
          <w:lang w:eastAsia="en-GB"/>
        </w:rPr>
      </w:pPr>
      <w:r w:rsidRPr="00551F33">
        <w:rPr>
          <w:rFonts w:hint="cs"/>
          <w:bCs/>
          <w:i/>
          <w:sz w:val="23"/>
          <w:szCs w:val="23"/>
          <w:rtl/>
          <w:lang w:eastAsia="en-GB"/>
        </w:rPr>
        <w:t>۱۵. ۶ نظریه‌ی هجوم به بانک‌ها</w:t>
      </w:r>
    </w:p>
    <w:p w14:paraId="1CBB3489" w14:textId="77777777" w:rsidR="00556C10" w:rsidRPr="00551F33" w:rsidRDefault="00556C10" w:rsidP="00556C10">
      <w:pPr>
        <w:pStyle w:val="NormalWeb"/>
        <w:bidi/>
        <w:spacing w:before="0" w:beforeAutospacing="0" w:after="0" w:afterAutospacing="0"/>
        <w:jc w:val="both"/>
        <w:rPr>
          <w:rFonts w:cs="B Nazanin"/>
          <w:i/>
          <w:sz w:val="23"/>
          <w:szCs w:val="23"/>
        </w:rPr>
      </w:pPr>
      <w:r w:rsidRPr="00551F33">
        <w:rPr>
          <w:rFonts w:cs="B Nazanin"/>
          <w:i/>
          <w:sz w:val="23"/>
          <w:szCs w:val="23"/>
        </w:rPr>
        <w:lastRenderedPageBreak/>
        <w:t> </w:t>
      </w:r>
      <w:r w:rsidRPr="00551F33">
        <w:rPr>
          <w:rFonts w:cs="B Nazanin" w:hint="cs"/>
          <w:i/>
          <w:sz w:val="23"/>
          <w:szCs w:val="23"/>
          <w:rtl/>
        </w:rPr>
        <w:t>یکی از واضح</w:t>
      </w:r>
      <w:r w:rsidRPr="00551F33">
        <w:rPr>
          <w:rFonts w:cs="B Nazanin" w:hint="cs"/>
          <w:i/>
          <w:sz w:val="23"/>
          <w:szCs w:val="23"/>
          <w:rtl/>
        </w:rPr>
        <w:softHyphen/>
        <w:t>ترین و پویاترین علامت</w:t>
      </w:r>
      <w:r w:rsidRPr="00551F33">
        <w:rPr>
          <w:rFonts w:cs="B Nazanin" w:hint="cs"/>
          <w:i/>
          <w:sz w:val="23"/>
          <w:szCs w:val="23"/>
          <w:rtl/>
        </w:rPr>
        <w:softHyphen/>
        <w:t>های بحران بانکی هجوم سپرده</w:t>
      </w:r>
      <w:r w:rsidRPr="00551F33">
        <w:rPr>
          <w:rFonts w:cs="B Nazanin" w:hint="cs"/>
          <w:i/>
          <w:sz w:val="23"/>
          <w:szCs w:val="23"/>
          <w:rtl/>
        </w:rPr>
        <w:softHyphen/>
        <w:t>گذاران به بانک‌هاست که می</w:t>
      </w:r>
      <w:r w:rsidRPr="00551F33">
        <w:rPr>
          <w:rFonts w:cs="B Nazanin"/>
          <w:i/>
          <w:sz w:val="23"/>
          <w:szCs w:val="23"/>
        </w:rPr>
        <w:t>‌</w:t>
      </w:r>
      <w:r w:rsidRPr="00551F33">
        <w:rPr>
          <w:rFonts w:cs="B Nazanin" w:hint="cs"/>
          <w:i/>
          <w:sz w:val="23"/>
          <w:szCs w:val="23"/>
          <w:rtl/>
        </w:rPr>
        <w:t>خواهند وجوه خود را پس بگیرند، و ریسک از دست دادن سپرده</w:t>
      </w:r>
      <w:r w:rsidRPr="00551F33">
        <w:rPr>
          <w:rFonts w:cs="B Nazanin" w:hint="cs"/>
          <w:i/>
          <w:sz w:val="23"/>
          <w:szCs w:val="23"/>
          <w:rtl/>
        </w:rPr>
        <w:softHyphen/>
        <w:t>ها را در صورت ورشکستگی بانک نپذیرند. چون پیامد برداشت همگانی سپرده</w:t>
      </w:r>
      <w:r w:rsidRPr="00551F33">
        <w:rPr>
          <w:rFonts w:cs="B Nazanin"/>
          <w:i/>
          <w:sz w:val="23"/>
          <w:szCs w:val="23"/>
        </w:rPr>
        <w:t>‌</w:t>
      </w:r>
      <w:r w:rsidRPr="00551F33">
        <w:rPr>
          <w:rFonts w:cs="B Nazanin" w:hint="cs"/>
          <w:i/>
          <w:sz w:val="23"/>
          <w:szCs w:val="23"/>
          <w:rtl/>
        </w:rPr>
        <w:t>ها، شکست بانکی را فراگیر می</w:t>
      </w:r>
      <w:r w:rsidRPr="00551F33">
        <w:rPr>
          <w:rFonts w:cs="B Nazanin"/>
          <w:i/>
          <w:sz w:val="23"/>
          <w:szCs w:val="23"/>
        </w:rPr>
        <w:t>‌</w:t>
      </w:r>
      <w:r w:rsidRPr="00551F33">
        <w:rPr>
          <w:rFonts w:cs="B Nazanin" w:hint="cs"/>
          <w:i/>
          <w:sz w:val="23"/>
          <w:szCs w:val="23"/>
          <w:rtl/>
        </w:rPr>
        <w:t>کند، حمایت بانک مرکزی از بانک</w:t>
      </w:r>
      <w:r w:rsidRPr="00551F33">
        <w:rPr>
          <w:rFonts w:cs="B Nazanin" w:hint="cs"/>
          <w:i/>
          <w:sz w:val="23"/>
          <w:szCs w:val="23"/>
          <w:rtl/>
        </w:rPr>
        <w:softHyphen/>
        <w:t>ها نیز الزام</w:t>
      </w:r>
      <w:r w:rsidRPr="00551F33">
        <w:rPr>
          <w:rFonts w:cs="B Nazanin" w:hint="cs"/>
          <w:i/>
          <w:sz w:val="23"/>
          <w:szCs w:val="23"/>
          <w:rtl/>
        </w:rPr>
        <w:softHyphen/>
        <w:t>آور است. این کار را می‌توان به شکل تأمین نقدی بانک یا ضمانت سپرده‌ها انجام داد. نظریه</w:t>
      </w:r>
      <w:r w:rsidRPr="00551F33">
        <w:rPr>
          <w:rFonts w:cs="B Nazanin" w:hint="cs"/>
          <w:i/>
          <w:sz w:val="23"/>
          <w:szCs w:val="23"/>
          <w:rtl/>
        </w:rPr>
        <w:softHyphen/>
        <w:t>ی غالب، پرتفو بانکداری جدید در مدل دیاموند و دیبویگ</w:t>
      </w:r>
      <w:r w:rsidRPr="00551F33">
        <w:rPr>
          <w:rStyle w:val="FootnoteReference"/>
          <w:i/>
          <w:sz w:val="23"/>
          <w:szCs w:val="23"/>
          <w:rtl/>
        </w:rPr>
        <w:footnoteReference w:id="366"/>
      </w:r>
      <w:r w:rsidRPr="00551F33">
        <w:rPr>
          <w:rFonts w:cs="B Nazanin" w:hint="cs"/>
          <w:i/>
          <w:sz w:val="23"/>
          <w:szCs w:val="23"/>
          <w:rtl/>
        </w:rPr>
        <w:t xml:space="preserve"> است. این نظریه تفسیر عمومی از بانکداری نیست، بلکه تفسیری تجریدی برای پاسخگویی به یک موضوع خاص است: چگونه هجوم به بانک رخ می</w:t>
      </w:r>
      <w:r w:rsidRPr="00551F33">
        <w:rPr>
          <w:rFonts w:cs="B Nazanin"/>
          <w:i/>
          <w:sz w:val="23"/>
          <w:szCs w:val="23"/>
        </w:rPr>
        <w:t>‌</w:t>
      </w:r>
      <w:r w:rsidRPr="00551F33">
        <w:rPr>
          <w:rFonts w:cs="B Nazanin" w:hint="cs"/>
          <w:i/>
          <w:sz w:val="23"/>
          <w:szCs w:val="23"/>
          <w:rtl/>
        </w:rPr>
        <w:t>دهد و به اعسار بانکی می‌انجامد. در مطالعات آلن و دیگران</w:t>
      </w:r>
      <w:r w:rsidRPr="00551F33">
        <w:rPr>
          <w:rStyle w:val="FootnoteReference"/>
          <w:i/>
          <w:sz w:val="23"/>
          <w:szCs w:val="23"/>
          <w:rtl/>
        </w:rPr>
        <w:footnoteReference w:id="367"/>
      </w:r>
      <w:r w:rsidRPr="00551F33">
        <w:rPr>
          <w:rFonts w:cs="B Nazanin" w:hint="cs"/>
          <w:i/>
          <w:sz w:val="23"/>
          <w:szCs w:val="23"/>
          <w:rtl/>
        </w:rPr>
        <w:t xml:space="preserve"> تفسیر کلی</w:t>
      </w:r>
      <w:r w:rsidRPr="00551F33">
        <w:rPr>
          <w:rFonts w:cs="B Nazanin" w:hint="cs"/>
          <w:i/>
          <w:sz w:val="23"/>
          <w:szCs w:val="23"/>
          <w:rtl/>
        </w:rPr>
        <w:softHyphen/>
        <w:t>تری از هجوم به بانک‌ها ارائه، و نقش بازار بین بانکی و مداخلات و سیاست پولی از طریق عملیات بازار آزاد بانک مرکزی نشان داده شده است.</w:t>
      </w:r>
      <w:r w:rsidRPr="00551F33">
        <w:rPr>
          <w:rStyle w:val="FootnoteReference"/>
          <w:i/>
          <w:sz w:val="23"/>
          <w:szCs w:val="23"/>
        </w:rPr>
        <w:footnoteReference w:id="368"/>
      </w:r>
    </w:p>
    <w:p w14:paraId="54DB3559" w14:textId="77777777" w:rsidR="00556C10" w:rsidRPr="00551F33" w:rsidRDefault="00556C10" w:rsidP="00556C10">
      <w:pPr>
        <w:rPr>
          <w:i/>
          <w:sz w:val="23"/>
          <w:szCs w:val="23"/>
          <w:lang w:eastAsia="en-GB"/>
        </w:rPr>
      </w:pPr>
      <w:r w:rsidRPr="00551F33">
        <w:rPr>
          <w:rFonts w:hint="cs"/>
          <w:i/>
          <w:sz w:val="23"/>
          <w:szCs w:val="23"/>
          <w:rtl/>
          <w:lang w:eastAsia="en-GB"/>
        </w:rPr>
        <w:t>ایده‌های اصلی مدل‌های دیاموند و دیبویگ و همچنین آلن و دیگران این است که خانوارها سپرده</w:t>
      </w:r>
      <w:r w:rsidRPr="00551F33">
        <w:rPr>
          <w:rFonts w:hint="cs"/>
          <w:i/>
          <w:sz w:val="23"/>
          <w:szCs w:val="23"/>
          <w:rtl/>
          <w:lang w:eastAsia="en-GB"/>
        </w:rPr>
        <w:softHyphen/>
        <w:t>گذاری می‌کنند. برخی از خانوارها تمایل دارند تا سپرده</w:t>
      </w:r>
      <w:r w:rsidRPr="00551F33">
        <w:rPr>
          <w:rFonts w:hint="cs"/>
          <w:i/>
          <w:sz w:val="23"/>
          <w:szCs w:val="23"/>
          <w:rtl/>
          <w:lang w:eastAsia="en-GB"/>
        </w:rPr>
        <w:softHyphen/>
        <w:t>ها‌ی خود را از قبل مصرف کنند و برخی دیگر بعدها مصرف می</w:t>
      </w:r>
      <w:r w:rsidRPr="00551F33">
        <w:rPr>
          <w:rFonts w:hint="cs"/>
          <w:i/>
          <w:sz w:val="23"/>
          <w:szCs w:val="23"/>
          <w:rtl/>
          <w:lang w:eastAsia="en-GB"/>
        </w:rPr>
        <w:softHyphen/>
        <w:t>کنند. بانک</w:t>
      </w:r>
      <w:r w:rsidRPr="00551F33">
        <w:rPr>
          <w:rFonts w:hint="cs"/>
          <w:i/>
          <w:sz w:val="23"/>
          <w:szCs w:val="23"/>
          <w:rtl/>
          <w:lang w:eastAsia="en-GB"/>
        </w:rPr>
        <w:softHyphen/>
        <w:t>ها این سپرده</w:t>
      </w:r>
      <w:r w:rsidRPr="00551F33">
        <w:rPr>
          <w:rFonts w:hint="cs"/>
          <w:i/>
          <w:sz w:val="23"/>
          <w:szCs w:val="23"/>
          <w:rtl/>
          <w:lang w:eastAsia="en-GB"/>
        </w:rPr>
        <w:softHyphen/>
        <w:t>ها را برای دو دوره سرمایه</w:t>
      </w:r>
      <w:r w:rsidRPr="00551F33">
        <w:rPr>
          <w:rFonts w:hint="cs"/>
          <w:i/>
          <w:sz w:val="23"/>
          <w:szCs w:val="23"/>
          <w:rtl/>
          <w:lang w:eastAsia="en-GB"/>
        </w:rPr>
        <w:softHyphen/>
        <w:t>گذاری کرده و تا آن زمان بازدهی را دریافت نمی</w:t>
      </w:r>
      <w:r w:rsidRPr="00551F33">
        <w:rPr>
          <w:i/>
          <w:sz w:val="23"/>
          <w:szCs w:val="23"/>
          <w:lang w:eastAsia="en-GB"/>
        </w:rPr>
        <w:t>‌</w:t>
      </w:r>
      <w:r w:rsidRPr="00551F33">
        <w:rPr>
          <w:rFonts w:hint="cs"/>
          <w:i/>
          <w:sz w:val="23"/>
          <w:szCs w:val="23"/>
          <w:rtl/>
          <w:lang w:eastAsia="en-GB"/>
        </w:rPr>
        <w:t>کنند. خانوارهایی تمایل دارند تا در دوره‌ی اول مصرف کنند که بازدهی اولیه سپرده‌های خود را دریافت کرده</w:t>
      </w:r>
      <w:r w:rsidRPr="00551F33">
        <w:rPr>
          <w:rFonts w:hint="cs"/>
          <w:i/>
          <w:sz w:val="23"/>
          <w:szCs w:val="23"/>
          <w:rtl/>
          <w:lang w:eastAsia="en-GB"/>
        </w:rPr>
        <w:softHyphen/>
        <w:t>اند، خانوارهایی که صبر می‌کنند تا در دوره‌ی دوم مصرف کنند یک بازدهی مثبت از سرمایه</w:t>
      </w:r>
      <w:r w:rsidRPr="00551F33">
        <w:rPr>
          <w:i/>
          <w:sz w:val="23"/>
          <w:szCs w:val="23"/>
          <w:lang w:eastAsia="en-GB"/>
        </w:rPr>
        <w:t>‌</w:t>
      </w:r>
      <w:r w:rsidRPr="00551F33">
        <w:rPr>
          <w:rFonts w:hint="cs"/>
          <w:i/>
          <w:sz w:val="23"/>
          <w:szCs w:val="23"/>
          <w:rtl/>
          <w:lang w:eastAsia="en-GB"/>
        </w:rPr>
        <w:t>گذاری خود بدست می‌آورند. مشکل بانک</w:t>
      </w:r>
      <w:r w:rsidRPr="00551F33">
        <w:rPr>
          <w:rFonts w:hint="cs"/>
          <w:i/>
          <w:sz w:val="23"/>
          <w:szCs w:val="23"/>
          <w:rtl/>
          <w:lang w:eastAsia="en-GB"/>
        </w:rPr>
        <w:softHyphen/>
        <w:t>ها این است که هنگامی که سرمایه</w:t>
      </w:r>
      <w:r w:rsidRPr="00551F33">
        <w:rPr>
          <w:rFonts w:hint="cs"/>
          <w:i/>
          <w:sz w:val="23"/>
          <w:szCs w:val="23"/>
          <w:rtl/>
          <w:lang w:eastAsia="en-GB"/>
        </w:rPr>
        <w:softHyphen/>
        <w:t>گذاری اولیه را انجام می</w:t>
      </w:r>
      <w:r w:rsidRPr="00551F33">
        <w:rPr>
          <w:rFonts w:hint="cs"/>
          <w:i/>
          <w:sz w:val="23"/>
          <w:szCs w:val="23"/>
          <w:rtl/>
          <w:lang w:eastAsia="en-GB"/>
        </w:rPr>
        <w:softHyphen/>
        <w:t>دهند، نمی</w:t>
      </w:r>
      <w:r w:rsidRPr="00551F33">
        <w:rPr>
          <w:rFonts w:hint="cs"/>
          <w:i/>
          <w:sz w:val="23"/>
          <w:szCs w:val="23"/>
          <w:rtl/>
          <w:lang w:eastAsia="en-GB"/>
        </w:rPr>
        <w:softHyphen/>
        <w:t>دانند چه تعدادی از سپرده</w:t>
      </w:r>
      <w:r w:rsidRPr="00551F33">
        <w:rPr>
          <w:rFonts w:hint="cs"/>
          <w:i/>
          <w:sz w:val="23"/>
          <w:szCs w:val="23"/>
          <w:rtl/>
          <w:lang w:eastAsia="en-GB"/>
        </w:rPr>
        <w:softHyphen/>
        <w:t>گذاران مصرف اولیه را دارند، و بنابراین مطمئن نیستند در بازار بین</w:t>
      </w:r>
      <w:r w:rsidRPr="00551F33">
        <w:rPr>
          <w:rFonts w:hint="cs"/>
          <w:i/>
          <w:sz w:val="23"/>
          <w:szCs w:val="23"/>
          <w:rtl/>
          <w:lang w:eastAsia="en-GB"/>
        </w:rPr>
        <w:softHyphen/>
        <w:t>بانکی دارایی نقدی کافی داشته باشند تا بازدهی سپرده آن‌ها را بازپس دهند. اگر بانک</w:t>
      </w:r>
      <w:r w:rsidRPr="00551F33">
        <w:rPr>
          <w:rFonts w:hint="cs"/>
          <w:i/>
          <w:sz w:val="23"/>
          <w:szCs w:val="23"/>
          <w:rtl/>
          <w:lang w:eastAsia="en-GB"/>
        </w:rPr>
        <w:softHyphen/>
        <w:t xml:space="preserve"> تعداد آن‌ها را کمتر از حد برآورد کند، دچار کمبود نقدینگی خواهد شد، مگر این</w:t>
      </w:r>
      <w:r w:rsidRPr="00551F33">
        <w:rPr>
          <w:i/>
          <w:sz w:val="23"/>
          <w:szCs w:val="23"/>
          <w:rtl/>
          <w:lang w:eastAsia="en-GB"/>
        </w:rPr>
        <w:softHyphen/>
      </w:r>
      <w:r w:rsidRPr="00551F33">
        <w:rPr>
          <w:rFonts w:hint="cs"/>
          <w:i/>
          <w:sz w:val="23"/>
          <w:szCs w:val="23"/>
          <w:rtl/>
          <w:lang w:eastAsia="en-GB"/>
        </w:rPr>
        <w:t>که از بازار بین بانکی قرض کند و به این ترتیب هجوم به بانک‌ها آغاز می‌شود و در این</w:t>
      </w:r>
      <w:r w:rsidRPr="00551F33">
        <w:rPr>
          <w:rFonts w:hint="cs"/>
          <w:i/>
          <w:sz w:val="23"/>
          <w:szCs w:val="23"/>
          <w:rtl/>
          <w:lang w:eastAsia="en-GB"/>
        </w:rPr>
        <w:softHyphen/>
        <w:t>صورت سپرده</w:t>
      </w:r>
      <w:r w:rsidRPr="00551F33">
        <w:rPr>
          <w:rFonts w:hint="cs"/>
          <w:i/>
          <w:sz w:val="23"/>
          <w:szCs w:val="23"/>
          <w:rtl/>
          <w:lang w:eastAsia="en-GB"/>
        </w:rPr>
        <w:softHyphen/>
        <w:t>گذاران سعی می</w:t>
      </w:r>
      <w:r w:rsidRPr="00551F33">
        <w:rPr>
          <w:rFonts w:hint="cs"/>
          <w:i/>
          <w:sz w:val="23"/>
          <w:szCs w:val="23"/>
          <w:rtl/>
          <w:lang w:eastAsia="en-GB"/>
        </w:rPr>
        <w:softHyphen/>
        <w:t>کنند کل سپرده</w:t>
      </w:r>
      <w:r w:rsidRPr="00551F33">
        <w:rPr>
          <w:rFonts w:hint="cs"/>
          <w:i/>
          <w:sz w:val="23"/>
          <w:szCs w:val="23"/>
          <w:rtl/>
          <w:lang w:eastAsia="en-GB"/>
        </w:rPr>
        <w:softHyphen/>
        <w:t>های خود را مطالبه کنند. دیاموند و دیبویگ برای جلوگیری از این واقعه، بیمه</w:t>
      </w:r>
      <w:r w:rsidRPr="00551F33">
        <w:rPr>
          <w:rFonts w:hint="cs"/>
          <w:i/>
          <w:sz w:val="23"/>
          <w:szCs w:val="23"/>
          <w:rtl/>
          <w:lang w:eastAsia="en-GB"/>
        </w:rPr>
        <w:softHyphen/>
        <w:t>ی سپرده‌ها را توسط دولت پیشنهاد می</w:t>
      </w:r>
      <w:r w:rsidRPr="00551F33">
        <w:rPr>
          <w:rFonts w:hint="cs"/>
          <w:i/>
          <w:sz w:val="23"/>
          <w:szCs w:val="23"/>
          <w:rtl/>
          <w:lang w:eastAsia="en-GB"/>
        </w:rPr>
        <w:softHyphen/>
        <w:t>کنند، و تأمین مالی این بیمه را با مالیات بهینه بر تمام مصرف کنندگان می</w:t>
      </w:r>
      <w:r w:rsidRPr="00551F33">
        <w:rPr>
          <w:rFonts w:hint="cs"/>
          <w:i/>
          <w:sz w:val="23"/>
          <w:szCs w:val="23"/>
          <w:rtl/>
          <w:lang w:eastAsia="en-GB"/>
        </w:rPr>
        <w:softHyphen/>
        <w:t>دانند. آلن و دیگران نشان می‌دهند چگونه عملیات بازار آزاد به وسیله بانک مرکزی از طریق بازار بین بانکی با تأمین نقدینگی از محل مالیات‌های دولتی می‌تواند ریسک هجوم به بانک را از بین برده و به اقتصاد اجازه می‌دهد تا به راه حل بهینه‌ی خود برسد. چون مدل آلن و دیگران عمومیت بیشتری دارد مدل آن</w:t>
      </w:r>
      <w:r w:rsidRPr="00551F33">
        <w:rPr>
          <w:i/>
          <w:sz w:val="23"/>
          <w:szCs w:val="23"/>
          <w:rtl/>
          <w:lang w:eastAsia="en-GB"/>
        </w:rPr>
        <w:softHyphen/>
      </w:r>
      <w:r w:rsidRPr="00551F33">
        <w:rPr>
          <w:rFonts w:hint="cs"/>
          <w:i/>
          <w:sz w:val="23"/>
          <w:szCs w:val="23"/>
          <w:rtl/>
          <w:lang w:eastAsia="en-GB"/>
        </w:rPr>
        <w:t>ها را با جزئیات کامل توضیح خواهیم داد</w:t>
      </w:r>
      <w:r>
        <w:rPr>
          <w:rFonts w:hint="cs"/>
          <w:i/>
          <w:sz w:val="23"/>
          <w:szCs w:val="23"/>
          <w:rtl/>
          <w:lang w:eastAsia="en-GB"/>
        </w:rPr>
        <w:t>.</w:t>
      </w:r>
    </w:p>
    <w:p w14:paraId="789A7F68" w14:textId="77777777" w:rsidR="00556C10" w:rsidRPr="00551F33" w:rsidRDefault="00556C10" w:rsidP="00556C10">
      <w:pPr>
        <w:pStyle w:val="Heading1"/>
        <w:spacing w:before="0" w:line="216" w:lineRule="auto"/>
        <w:rPr>
          <w:rFonts w:ascii="Times New Roman" w:hAnsi="Times New Roman" w:cs="B Nazanin"/>
          <w:b w:val="0"/>
          <w:i/>
          <w:sz w:val="23"/>
          <w:szCs w:val="23"/>
          <w:lang w:eastAsia="en-GB"/>
        </w:rPr>
      </w:pPr>
      <w:r w:rsidRPr="00551F33">
        <w:rPr>
          <w:rFonts w:ascii="Times New Roman" w:hAnsi="Times New Roman" w:cs="B Nazanin" w:hint="cs"/>
          <w:b w:val="0"/>
          <w:i/>
          <w:sz w:val="23"/>
          <w:szCs w:val="23"/>
          <w:rtl/>
          <w:lang w:eastAsia="en-GB"/>
        </w:rPr>
        <w:lastRenderedPageBreak/>
        <w:t>۱۵. ۶. ۱ خانوارها و بانک</w:t>
      </w:r>
      <w:r w:rsidRPr="00551F33">
        <w:rPr>
          <w:rFonts w:ascii="Times New Roman" w:hAnsi="Times New Roman" w:cs="B Nazanin" w:hint="cs"/>
          <w:b w:val="0"/>
          <w:i/>
          <w:sz w:val="23"/>
          <w:szCs w:val="23"/>
          <w:rtl/>
          <w:lang w:eastAsia="en-GB"/>
        </w:rPr>
        <w:softHyphen/>
        <w:t>ها</w:t>
      </w:r>
    </w:p>
    <w:p w14:paraId="5A169E15"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در این مدل برنامه</w:t>
      </w:r>
      <w:r w:rsidRPr="00551F33">
        <w:rPr>
          <w:i/>
          <w:sz w:val="23"/>
          <w:szCs w:val="23"/>
          <w:lang w:eastAsia="en-GB"/>
        </w:rPr>
        <w:t>‌</w:t>
      </w:r>
      <w:r w:rsidRPr="00551F33">
        <w:rPr>
          <w:rFonts w:hint="cs"/>
          <w:i/>
          <w:sz w:val="23"/>
          <w:szCs w:val="23"/>
          <w:rtl/>
          <w:lang w:eastAsia="en-GB"/>
        </w:rPr>
        <w:t>ریز مرکزی رفاه خانوارها را با معین بودن سیستم بانکی حداکثر می</w:t>
      </w:r>
      <w:r w:rsidRPr="00551F33">
        <w:rPr>
          <w:rFonts w:hint="cs"/>
          <w:i/>
          <w:sz w:val="23"/>
          <w:szCs w:val="23"/>
          <w:rtl/>
          <w:lang w:eastAsia="en-GB"/>
        </w:rPr>
        <w:softHyphen/>
        <w:t>کند و فرض می</w:t>
      </w:r>
      <w:r w:rsidRPr="00551F33">
        <w:rPr>
          <w:i/>
          <w:sz w:val="23"/>
          <w:szCs w:val="23"/>
          <w:lang w:eastAsia="en-GB"/>
        </w:rPr>
        <w:t>‌</w:t>
      </w:r>
      <w:r w:rsidRPr="00551F33">
        <w:rPr>
          <w:rFonts w:hint="cs"/>
          <w:i/>
          <w:sz w:val="23"/>
          <w:szCs w:val="23"/>
          <w:rtl/>
          <w:lang w:eastAsia="en-GB"/>
        </w:rPr>
        <w:t xml:space="preserve">شود که سه دوره‌ی زمانی </w:t>
      </w:r>
      <w:r w:rsidRPr="00551F33">
        <w:rPr>
          <w:position w:val="-8"/>
        </w:rPr>
        <w:object w:dxaOrig="820" w:dyaOrig="279" w14:anchorId="347DE2A6">
          <v:shape id="_x0000_i7646" type="#_x0000_t75" style="width:40.55pt;height:13.9pt" o:ole="">
            <v:imagedata r:id="rId13368" o:title=""/>
          </v:shape>
          <o:OLEObject Type="Embed" ProgID="Equation.DSMT4" ShapeID="_x0000_i7646" DrawAspect="Content" ObjectID="_1791381589" r:id="rId13369"/>
        </w:object>
      </w:r>
      <w:r w:rsidRPr="00551F33">
        <w:rPr>
          <w:rFonts w:hint="cs"/>
          <w:i/>
          <w:sz w:val="23"/>
          <w:szCs w:val="23"/>
          <w:rtl/>
        </w:rPr>
        <w:t xml:space="preserve"> وجود دارد</w:t>
      </w:r>
      <w:r w:rsidRPr="00551F33">
        <w:rPr>
          <w:rFonts w:hint="cs"/>
          <w:i/>
          <w:sz w:val="23"/>
          <w:szCs w:val="23"/>
          <w:rtl/>
          <w:lang w:eastAsia="en-GB"/>
        </w:rPr>
        <w:t>. خانوارها در دوره‌ی صفر یک واحد در بانک سرمایه</w:t>
      </w:r>
      <w:r w:rsidRPr="00551F33">
        <w:rPr>
          <w:rFonts w:hint="cs"/>
          <w:i/>
          <w:sz w:val="23"/>
          <w:szCs w:val="23"/>
          <w:rtl/>
          <w:lang w:eastAsia="en-GB"/>
        </w:rPr>
        <w:softHyphen/>
        <w:t>گداری کرده و اگر از مصرف</w:t>
      </w:r>
      <w:r w:rsidRPr="00551F33">
        <w:rPr>
          <w:rFonts w:hint="cs"/>
          <w:i/>
          <w:sz w:val="23"/>
          <w:szCs w:val="23"/>
          <w:rtl/>
          <w:lang w:eastAsia="en-GB"/>
        </w:rPr>
        <w:softHyphen/>
        <w:t>کنندگانی باشند که زود مصرف می‌کنند در دوره‌ی یک مصرف کرده، و اگر دیر مصرف کنند آنگاه در دوره‌ی دو مصرف خواهند کرد. اگر در دوره یک مصرف کنند، سپرده‌ی آن‌ها بازگردانده می</w:t>
      </w:r>
      <w:r w:rsidRPr="00551F33">
        <w:rPr>
          <w:i/>
          <w:sz w:val="23"/>
          <w:szCs w:val="23"/>
          <w:lang w:eastAsia="en-GB"/>
        </w:rPr>
        <w:t>‌</w:t>
      </w:r>
      <w:r w:rsidRPr="00551F33">
        <w:rPr>
          <w:rFonts w:hint="cs"/>
          <w:i/>
          <w:sz w:val="23"/>
          <w:szCs w:val="23"/>
          <w:rtl/>
          <w:lang w:eastAsia="en-GB"/>
        </w:rPr>
        <w:t xml:space="preserve">شود، و اگر در دوره دو مصرف کنند آنگاه </w:t>
      </w:r>
      <w:r w:rsidRPr="00551F33">
        <w:rPr>
          <w:position w:val="-6"/>
        </w:rPr>
        <w:object w:dxaOrig="560" w:dyaOrig="260" w14:anchorId="5C6CDB1C">
          <v:shape id="_x0000_i7647" type="#_x0000_t75" style="width:27.85pt;height:13.3pt" o:ole="">
            <v:imagedata r:id="rId13370" o:title=""/>
          </v:shape>
          <o:OLEObject Type="Embed" ProgID="Equation.DSMT4" ShapeID="_x0000_i7647" DrawAspect="Content" ObjectID="_1791381590" r:id="rId13371"/>
        </w:object>
      </w:r>
      <w:r w:rsidRPr="00551F33">
        <w:rPr>
          <w:i/>
          <w:sz w:val="23"/>
          <w:szCs w:val="23"/>
        </w:rPr>
        <w:t xml:space="preserve"> </w:t>
      </w:r>
      <w:r w:rsidRPr="00551F33">
        <w:rPr>
          <w:rFonts w:hint="cs"/>
          <w:i/>
          <w:sz w:val="23"/>
          <w:szCs w:val="23"/>
          <w:rtl/>
        </w:rPr>
        <w:t xml:space="preserve">واحد دریافت می‌کنند. </w:t>
      </w:r>
      <w:r w:rsidRPr="00551F33">
        <w:rPr>
          <w:rFonts w:hint="cs"/>
          <w:i/>
          <w:sz w:val="23"/>
          <w:szCs w:val="23"/>
          <w:rtl/>
          <w:lang w:eastAsia="en-GB"/>
        </w:rPr>
        <w:t>خانوارها هنگامی که سرمایه</w:t>
      </w:r>
      <w:r w:rsidRPr="00551F33">
        <w:rPr>
          <w:i/>
          <w:sz w:val="23"/>
          <w:szCs w:val="23"/>
          <w:lang w:eastAsia="en-GB"/>
        </w:rPr>
        <w:t>‌</w:t>
      </w:r>
      <w:r w:rsidRPr="00551F33">
        <w:rPr>
          <w:rFonts w:hint="cs"/>
          <w:i/>
          <w:sz w:val="23"/>
          <w:szCs w:val="23"/>
          <w:rtl/>
          <w:lang w:eastAsia="en-GB"/>
        </w:rPr>
        <w:t>گذاری می</w:t>
      </w:r>
      <w:r w:rsidRPr="00551F33">
        <w:rPr>
          <w:i/>
          <w:sz w:val="23"/>
          <w:szCs w:val="23"/>
          <w:lang w:eastAsia="en-GB"/>
        </w:rPr>
        <w:t>‌</w:t>
      </w:r>
      <w:r w:rsidRPr="00551F33">
        <w:rPr>
          <w:rFonts w:hint="cs"/>
          <w:i/>
          <w:sz w:val="23"/>
          <w:szCs w:val="23"/>
          <w:rtl/>
          <w:lang w:eastAsia="en-GB"/>
        </w:rPr>
        <w:t>کنند مطمئن نیستند موقعی که سپرده</w:t>
      </w:r>
      <w:r w:rsidRPr="00551F33">
        <w:rPr>
          <w:i/>
          <w:sz w:val="23"/>
          <w:szCs w:val="23"/>
          <w:lang w:eastAsia="en-GB"/>
        </w:rPr>
        <w:t>‌</w:t>
      </w:r>
      <w:r w:rsidRPr="00551F33">
        <w:rPr>
          <w:rFonts w:hint="cs"/>
          <w:i/>
          <w:sz w:val="23"/>
          <w:szCs w:val="23"/>
          <w:rtl/>
          <w:lang w:eastAsia="en-GB"/>
        </w:rPr>
        <w:t>گذاری می</w:t>
      </w:r>
      <w:r w:rsidRPr="00551F33">
        <w:rPr>
          <w:i/>
          <w:sz w:val="23"/>
          <w:szCs w:val="23"/>
          <w:lang w:eastAsia="en-GB"/>
        </w:rPr>
        <w:t>‌</w:t>
      </w:r>
      <w:r w:rsidRPr="00551F33">
        <w:rPr>
          <w:rFonts w:hint="cs"/>
          <w:i/>
          <w:sz w:val="23"/>
          <w:szCs w:val="23"/>
          <w:rtl/>
          <w:lang w:eastAsia="en-GB"/>
        </w:rPr>
        <w:t>کنند مصرف</w:t>
      </w:r>
      <w:r w:rsidRPr="00551F33">
        <w:rPr>
          <w:rFonts w:hint="cs"/>
          <w:i/>
          <w:sz w:val="23"/>
          <w:szCs w:val="23"/>
          <w:rtl/>
          <w:lang w:eastAsia="en-GB"/>
        </w:rPr>
        <w:softHyphen/>
        <w:t>کنندگان زود هنگام هستند یا مصرف</w:t>
      </w:r>
      <w:r w:rsidRPr="00551F33">
        <w:rPr>
          <w:rFonts w:hint="cs"/>
          <w:i/>
          <w:sz w:val="23"/>
          <w:szCs w:val="23"/>
          <w:rtl/>
          <w:lang w:eastAsia="en-GB"/>
        </w:rPr>
        <w:softHyphen/>
        <w:t>کنندگان دیر هنگام. احتمال مصرف</w:t>
      </w:r>
      <w:r w:rsidRPr="00551F33">
        <w:rPr>
          <w:rFonts w:hint="cs"/>
          <w:i/>
          <w:sz w:val="23"/>
          <w:szCs w:val="23"/>
          <w:rtl/>
          <w:lang w:eastAsia="en-GB"/>
        </w:rPr>
        <w:softHyphen/>
        <w:t xml:space="preserve"> زود هنگام برابر با </w:t>
      </w:r>
      <w:r w:rsidRPr="00551F33">
        <w:rPr>
          <w:position w:val="-6"/>
        </w:rPr>
        <w:object w:dxaOrig="200" w:dyaOrig="260" w14:anchorId="571EB516">
          <v:shape id="_x0000_i7648" type="#_x0000_t75" style="width:10.3pt;height:13.3pt" o:ole="">
            <v:imagedata r:id="rId13372" o:title=""/>
          </v:shape>
          <o:OLEObject Type="Embed" ProgID="Equation.DSMT4" ShapeID="_x0000_i7648" DrawAspect="Content" ObjectID="_1791381591" r:id="rId13373"/>
        </w:object>
      </w:r>
      <w:r w:rsidRPr="00551F33">
        <w:rPr>
          <w:rFonts w:hint="cs"/>
          <w:i/>
          <w:sz w:val="23"/>
          <w:szCs w:val="23"/>
          <w:rtl/>
        </w:rPr>
        <w:t xml:space="preserve"> و</w:t>
      </w:r>
      <w:r w:rsidRPr="00551F33">
        <w:rPr>
          <w:rFonts w:hint="cs"/>
          <w:i/>
          <w:sz w:val="23"/>
          <w:szCs w:val="23"/>
          <w:rtl/>
          <w:lang w:eastAsia="en-GB"/>
        </w:rPr>
        <w:t xml:space="preserve"> مصرف دیرهنگام برابر با </w:t>
      </w:r>
      <w:r w:rsidRPr="00551F33">
        <w:rPr>
          <w:position w:val="-6"/>
        </w:rPr>
        <w:object w:dxaOrig="480" w:dyaOrig="260" w14:anchorId="5015E6C1">
          <v:shape id="_x0000_i7649" type="#_x0000_t75" style="width:24.2pt;height:13.3pt" o:ole="">
            <v:imagedata r:id="rId13374" o:title=""/>
          </v:shape>
          <o:OLEObject Type="Embed" ProgID="Equation.DSMT4" ShapeID="_x0000_i7649" DrawAspect="Content" ObjectID="_1791381592" r:id="rId13375"/>
        </w:object>
      </w:r>
      <w:r w:rsidRPr="00551F33">
        <w:rPr>
          <w:rFonts w:hint="cs"/>
          <w:i/>
          <w:sz w:val="23"/>
          <w:szCs w:val="23"/>
          <w:rtl/>
        </w:rPr>
        <w:t xml:space="preserve"> است.</w:t>
      </w:r>
      <w:r w:rsidRPr="00551F33">
        <w:rPr>
          <w:rFonts w:hint="cs"/>
          <w:i/>
          <w:sz w:val="23"/>
          <w:szCs w:val="23"/>
          <w:rtl/>
          <w:lang w:eastAsia="en-GB"/>
        </w:rPr>
        <w:t xml:space="preserve"> عدم قطعیت تعیین ضریب </w:t>
      </w:r>
      <w:r w:rsidRPr="00551F33">
        <w:rPr>
          <w:position w:val="-6"/>
        </w:rPr>
        <w:object w:dxaOrig="200" w:dyaOrig="260" w14:anchorId="73426B2D">
          <v:shape id="_x0000_i7650" type="#_x0000_t75" style="width:10.3pt;height:13.3pt" o:ole="">
            <v:imagedata r:id="rId13376" o:title=""/>
          </v:shape>
          <o:OLEObject Type="Embed" ProgID="Equation.DSMT4" ShapeID="_x0000_i7650" DrawAspect="Content" ObjectID="_1791381593" r:id="rId13377"/>
        </w:object>
      </w:r>
      <w:r w:rsidRPr="00551F33">
        <w:rPr>
          <w:rFonts w:hint="cs"/>
          <w:i/>
          <w:sz w:val="23"/>
          <w:szCs w:val="23"/>
          <w:rtl/>
        </w:rPr>
        <w:t xml:space="preserve"> نیز </w:t>
      </w:r>
      <w:r w:rsidRPr="00551F33">
        <w:rPr>
          <w:rFonts w:hint="cs"/>
          <w:i/>
          <w:sz w:val="23"/>
          <w:szCs w:val="23"/>
          <w:rtl/>
          <w:lang w:eastAsia="en-GB"/>
        </w:rPr>
        <w:t>با رابطه‌ی زیر تعریف می‌شود</w:t>
      </w:r>
    </w:p>
    <w:p w14:paraId="30BB7BA6" w14:textId="77777777" w:rsidR="00556C10" w:rsidRPr="00551F33" w:rsidRDefault="00556C10" w:rsidP="00556C10">
      <w:pPr>
        <w:bidi w:val="0"/>
        <w:spacing w:line="216" w:lineRule="auto"/>
        <w:rPr>
          <w:i/>
          <w:sz w:val="23"/>
          <w:szCs w:val="23"/>
          <w:lang w:eastAsia="en-GB"/>
        </w:rPr>
      </w:pPr>
      <w:r w:rsidRPr="00551F33">
        <w:rPr>
          <w:position w:val="-10"/>
        </w:rPr>
        <w:object w:dxaOrig="1219" w:dyaOrig="320" w14:anchorId="5616A138">
          <v:shape id="_x0000_i7651" type="#_x0000_t75" style="width:61.1pt;height:15.75pt" o:ole="">
            <v:imagedata r:id="rId13378" o:title=""/>
          </v:shape>
          <o:OLEObject Type="Embed" ProgID="Equation.DSMT4" ShapeID="_x0000_i7651" DrawAspect="Content" ObjectID="_1791381594" r:id="rId13379"/>
        </w:object>
      </w:r>
    </w:p>
    <w:p w14:paraId="238357FD"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که در آن</w:t>
      </w:r>
      <w:r w:rsidRPr="00551F33">
        <w:rPr>
          <w:position w:val="-6"/>
        </w:rPr>
        <w:object w:dxaOrig="180" w:dyaOrig="200" w14:anchorId="3D33D58F">
          <v:shape id="_x0000_i7652" type="#_x0000_t75" style="width:9.1pt;height:10.3pt" o:ole="">
            <v:imagedata r:id="rId13380" o:title=""/>
          </v:shape>
          <o:OLEObject Type="Embed" ProgID="Equation.DSMT4" ShapeID="_x0000_i7652" DrawAspect="Content" ObjectID="_1791381595" r:id="rId13381"/>
        </w:object>
      </w:r>
      <w:r w:rsidRPr="00551F33">
        <w:rPr>
          <w:rFonts w:hint="cs"/>
          <w:i/>
          <w:sz w:val="23"/>
          <w:szCs w:val="23"/>
          <w:rtl/>
          <w:lang w:eastAsia="en-GB"/>
        </w:rPr>
        <w:t xml:space="preserve"> شوک کلان است. از این رو سطح کلی از تقاضای نقدینگی تصادفی و بنابراین غیر قطعی است. شوک به حالت بستگی داردبطوری</w:t>
      </w:r>
      <w:r w:rsidRPr="00551F33">
        <w:rPr>
          <w:rFonts w:hint="cs"/>
          <w:i/>
          <w:sz w:val="23"/>
          <w:szCs w:val="23"/>
          <w:rtl/>
          <w:lang w:eastAsia="en-GB"/>
        </w:rPr>
        <w:softHyphen/>
        <w:t>که</w:t>
      </w:r>
      <w:r w:rsidRPr="00551F33">
        <w:rPr>
          <w:position w:val="-6"/>
        </w:rPr>
        <w:object w:dxaOrig="540" w:dyaOrig="260" w14:anchorId="08949E3A">
          <v:shape id="_x0000_i7653" type="#_x0000_t75" style="width:26.6pt;height:13.3pt" o:ole="">
            <v:imagedata r:id="rId13382" o:title=""/>
          </v:shape>
          <o:OLEObject Type="Embed" ProgID="Equation.DSMT4" ShapeID="_x0000_i7653" DrawAspect="Content" ObjectID="_1791381596" r:id="rId13383"/>
        </w:object>
      </w:r>
      <w:r w:rsidRPr="00551F33">
        <w:rPr>
          <w:rFonts w:hint="cs"/>
          <w:i/>
          <w:sz w:val="23"/>
          <w:szCs w:val="23"/>
          <w:rtl/>
          <w:lang w:eastAsia="en-GB"/>
        </w:rPr>
        <w:t xml:space="preserve"> با احتمال</w:t>
      </w:r>
      <w:r w:rsidRPr="00551F33">
        <w:rPr>
          <w:i/>
          <w:sz w:val="23"/>
          <w:szCs w:val="23"/>
          <w:lang w:eastAsia="en-GB"/>
        </w:rPr>
        <w:t xml:space="preserve"> </w:t>
      </w:r>
      <w:r w:rsidRPr="00551F33">
        <w:rPr>
          <w:position w:val="-6"/>
        </w:rPr>
        <w:object w:dxaOrig="220" w:dyaOrig="200" w14:anchorId="4886D14A">
          <v:shape id="_x0000_i7654" type="#_x0000_t75" style="width:10.9pt;height:10.3pt" o:ole="">
            <v:imagedata r:id="rId13384" o:title=""/>
          </v:shape>
          <o:OLEObject Type="Embed" ProgID="Equation.DSMT4" ShapeID="_x0000_i7654" DrawAspect="Content" ObjectID="_1791381597" r:id="rId13385"/>
        </w:object>
      </w:r>
      <w:r w:rsidRPr="00551F33">
        <w:rPr>
          <w:rFonts w:hint="cs"/>
          <w:i/>
          <w:sz w:val="23"/>
          <w:szCs w:val="23"/>
          <w:rtl/>
        </w:rPr>
        <w:t>، و</w:t>
      </w:r>
      <w:r w:rsidRPr="00551F33">
        <w:rPr>
          <w:position w:val="-6"/>
        </w:rPr>
        <w:object w:dxaOrig="499" w:dyaOrig="260" w14:anchorId="7717E2E4">
          <v:shape id="_x0000_i7655" type="#_x0000_t75" style="width:24.8pt;height:13.3pt" o:ole="">
            <v:imagedata r:id="rId13386" o:title=""/>
          </v:shape>
          <o:OLEObject Type="Embed" ProgID="Equation.DSMT4" ShapeID="_x0000_i7655" DrawAspect="Content" ObjectID="_1791381598" r:id="rId13387"/>
        </w:object>
      </w:r>
      <w:r w:rsidRPr="00551F33">
        <w:rPr>
          <w:i/>
          <w:sz w:val="23"/>
          <w:szCs w:val="23"/>
          <w:lang w:eastAsia="en-GB"/>
        </w:rPr>
        <w:t xml:space="preserve"> </w:t>
      </w:r>
      <w:r w:rsidRPr="00551F33">
        <w:rPr>
          <w:rFonts w:hint="cs"/>
          <w:i/>
          <w:sz w:val="23"/>
          <w:szCs w:val="23"/>
          <w:rtl/>
          <w:lang w:eastAsia="en-GB"/>
        </w:rPr>
        <w:t xml:space="preserve">با احتمال </w:t>
      </w:r>
      <w:r w:rsidRPr="00551F33">
        <w:rPr>
          <w:position w:val="-6"/>
        </w:rPr>
        <w:object w:dxaOrig="499" w:dyaOrig="260" w14:anchorId="6A682AF4">
          <v:shape id="_x0000_i7656" type="#_x0000_t75" style="width:24.8pt;height:13.3pt" o:ole="">
            <v:imagedata r:id="rId13388" o:title=""/>
          </v:shape>
          <o:OLEObject Type="Embed" ProgID="Equation.DSMT4" ShapeID="_x0000_i7656" DrawAspect="Content" ObjectID="_1791381599" r:id="rId13389"/>
        </w:object>
      </w:r>
      <w:r w:rsidRPr="00551F33">
        <w:rPr>
          <w:rFonts w:hint="cs"/>
          <w:i/>
          <w:sz w:val="23"/>
          <w:szCs w:val="23"/>
          <w:rtl/>
        </w:rPr>
        <w:t xml:space="preserve">. </w:t>
      </w:r>
      <w:r w:rsidRPr="00551F33">
        <w:rPr>
          <w:position w:val="-10"/>
        </w:rPr>
        <w:object w:dxaOrig="240" w:dyaOrig="320" w14:anchorId="3944C2A9">
          <v:shape id="_x0000_i7657" type="#_x0000_t75" style="width:11.5pt;height:15.75pt" o:ole="">
            <v:imagedata r:id="rId13390" o:title=""/>
          </v:shape>
          <o:OLEObject Type="Embed" ProgID="Equation.DSMT4" ShapeID="_x0000_i7657" DrawAspect="Content" ObjectID="_1791381600" r:id="rId13391"/>
        </w:object>
      </w:r>
      <w:r w:rsidRPr="00551F33">
        <w:rPr>
          <w:rFonts w:hint="cs"/>
          <w:i/>
          <w:sz w:val="23"/>
          <w:szCs w:val="23"/>
          <w:rtl/>
          <w:lang w:eastAsia="en-GB"/>
        </w:rPr>
        <w:t xml:space="preserve"> یک شوک منفرد است</w:t>
      </w:r>
      <w:r w:rsidRPr="00551F33">
        <w:rPr>
          <w:position w:val="-8"/>
        </w:rPr>
        <w:object w:dxaOrig="780" w:dyaOrig="279" w14:anchorId="1DEC9614">
          <v:shape id="_x0000_i7658" type="#_x0000_t75" style="width:39.35pt;height:13.9pt" o:ole="">
            <v:imagedata r:id="rId13392" o:title=""/>
          </v:shape>
          <o:OLEObject Type="Embed" ProgID="Equation.DSMT4" ShapeID="_x0000_i7658" DrawAspect="Content" ObjectID="_1791381601" r:id="rId13393"/>
        </w:object>
      </w:r>
      <w:r w:rsidRPr="00551F33">
        <w:rPr>
          <w:rFonts w:hint="cs"/>
          <w:i/>
          <w:sz w:val="23"/>
          <w:szCs w:val="23"/>
          <w:rtl/>
        </w:rPr>
        <w:t xml:space="preserve">. </w:t>
      </w:r>
      <w:r w:rsidRPr="00551F33">
        <w:rPr>
          <w:rFonts w:hint="cs"/>
          <w:i/>
          <w:sz w:val="23"/>
          <w:szCs w:val="23"/>
          <w:rtl/>
          <w:lang w:eastAsia="en-GB"/>
        </w:rPr>
        <w:t>برای هر سطح معین تقاضای کل نقدینگی،</w:t>
      </w:r>
      <w:r w:rsidRPr="00551F33">
        <w:rPr>
          <w:position w:val="-10"/>
        </w:rPr>
        <w:object w:dxaOrig="240" w:dyaOrig="320" w14:anchorId="18463816">
          <v:shape id="_x0000_i7659" type="#_x0000_t75" style="width:11.5pt;height:15.75pt" o:ole="">
            <v:imagedata r:id="rId13394" o:title=""/>
          </v:shape>
          <o:OLEObject Type="Embed" ProgID="Equation.DSMT4" ShapeID="_x0000_i7659" DrawAspect="Content" ObjectID="_1791381602" r:id="rId13395"/>
        </w:object>
      </w:r>
      <w:r w:rsidRPr="00551F33">
        <w:rPr>
          <w:rFonts w:hint="cs"/>
          <w:i/>
          <w:sz w:val="23"/>
          <w:szCs w:val="23"/>
          <w:rtl/>
        </w:rPr>
        <w:t xml:space="preserve"> </w:t>
      </w:r>
      <w:r w:rsidRPr="00551F33">
        <w:rPr>
          <w:rFonts w:hint="cs"/>
          <w:i/>
          <w:sz w:val="23"/>
          <w:szCs w:val="23"/>
          <w:rtl/>
          <w:lang w:eastAsia="en-GB"/>
        </w:rPr>
        <w:t>مشخص می‌کند که کدام بانک با تقاضای نقدینگی بالا</w:t>
      </w:r>
      <w:r w:rsidRPr="00025957">
        <w:rPr>
          <w:position w:val="-4"/>
        </w:rPr>
        <w:object w:dxaOrig="279" w:dyaOrig="240" w14:anchorId="58E26E05">
          <v:shape id="_x0000_i7660" type="#_x0000_t75" style="width:13.9pt;height:11.5pt" o:ole="">
            <v:imagedata r:id="rId13396" o:title=""/>
          </v:shape>
          <o:OLEObject Type="Embed" ProgID="Equation.DSMT4" ShapeID="_x0000_i7660" DrawAspect="Content" ObjectID="_1791381603" r:id="rId13397"/>
        </w:object>
      </w:r>
      <w:r w:rsidRPr="00551F33">
        <w:rPr>
          <w:rFonts w:hint="cs"/>
          <w:i/>
          <w:sz w:val="23"/>
          <w:szCs w:val="23"/>
          <w:rtl/>
          <w:lang w:eastAsia="en-GB"/>
        </w:rPr>
        <w:t xml:space="preserve"> یا پایین</w:t>
      </w:r>
      <w:r w:rsidRPr="00025957">
        <w:rPr>
          <w:position w:val="-4"/>
        </w:rPr>
        <w:object w:dxaOrig="220" w:dyaOrig="240" w14:anchorId="01A3A158">
          <v:shape id="_x0000_i7661" type="#_x0000_t75" style="width:10.9pt;height:11.5pt" o:ole="">
            <v:imagedata r:id="rId13398" o:title=""/>
          </v:shape>
          <o:OLEObject Type="Embed" ProgID="Equation.DSMT4" ShapeID="_x0000_i7661" DrawAspect="Content" ObjectID="_1791381604" r:id="rId13399"/>
        </w:object>
      </w:r>
      <w:r w:rsidRPr="00551F33">
        <w:rPr>
          <w:rFonts w:hint="cs"/>
          <w:i/>
          <w:sz w:val="23"/>
          <w:szCs w:val="23"/>
          <w:rtl/>
        </w:rPr>
        <w:t xml:space="preserve"> </w:t>
      </w:r>
      <w:r w:rsidRPr="00551F33">
        <w:rPr>
          <w:rFonts w:hint="cs"/>
          <w:i/>
          <w:sz w:val="23"/>
          <w:szCs w:val="23"/>
          <w:rtl/>
          <w:lang w:eastAsia="en-GB"/>
        </w:rPr>
        <w:t xml:space="preserve">روبروست، و با احتمال ۰.۵، </w:t>
      </w:r>
      <w:r w:rsidRPr="00551F33">
        <w:rPr>
          <w:position w:val="-10"/>
        </w:rPr>
        <w:object w:dxaOrig="240" w:dyaOrig="320" w14:anchorId="7D71532E">
          <v:shape id="_x0000_i7662" type="#_x0000_t75" style="width:11.5pt;height:15.75pt" o:ole="">
            <v:imagedata r:id="rId13400" o:title=""/>
          </v:shape>
          <o:OLEObject Type="Embed" ProgID="Equation.DSMT4" ShapeID="_x0000_i7662" DrawAspect="Content" ObjectID="_1791381605" r:id="rId13401"/>
        </w:object>
      </w:r>
      <w:r w:rsidRPr="00551F33">
        <w:rPr>
          <w:rFonts w:hint="cs"/>
          <w:i/>
          <w:sz w:val="23"/>
          <w:szCs w:val="23"/>
          <w:rtl/>
        </w:rPr>
        <w:t xml:space="preserve"> </w:t>
      </w:r>
      <w:r w:rsidRPr="00551F33">
        <w:rPr>
          <w:rFonts w:hint="cs"/>
          <w:i/>
          <w:sz w:val="23"/>
          <w:szCs w:val="23"/>
          <w:rtl/>
          <w:lang w:eastAsia="en-GB"/>
        </w:rPr>
        <w:t>مقادیر زیر را اختیار می</w:t>
      </w:r>
      <w:r w:rsidRPr="00551F33">
        <w:rPr>
          <w:rFonts w:hint="cs"/>
          <w:i/>
          <w:sz w:val="23"/>
          <w:szCs w:val="23"/>
          <w:rtl/>
          <w:lang w:eastAsia="en-GB"/>
        </w:rPr>
        <w:softHyphen/>
        <w:t>کند</w:t>
      </w:r>
    </w:p>
    <w:p w14:paraId="00D33FBC" w14:textId="77777777" w:rsidR="00556C10" w:rsidRPr="00551F33" w:rsidRDefault="00556C10" w:rsidP="00556C10">
      <w:pPr>
        <w:bidi w:val="0"/>
        <w:spacing w:line="216" w:lineRule="auto"/>
        <w:rPr>
          <w:i/>
          <w:sz w:val="23"/>
          <w:szCs w:val="23"/>
          <w:lang w:eastAsia="en-GB"/>
        </w:rPr>
      </w:pPr>
      <w:r w:rsidRPr="00551F33">
        <w:rPr>
          <w:position w:val="-26"/>
        </w:rPr>
        <w:object w:dxaOrig="1100" w:dyaOrig="620" w14:anchorId="7F90FDF9">
          <v:shape id="_x0000_i7663" type="#_x0000_t75" style="width:55.05pt;height:31.45pt" o:ole="">
            <v:imagedata r:id="rId13402" o:title=""/>
          </v:shape>
          <o:OLEObject Type="Embed" ProgID="Equation.DSMT4" ShapeID="_x0000_i7663" DrawAspect="Content" ObjectID="_1791381606" r:id="rId13403"/>
        </w:object>
      </w:r>
    </w:p>
    <w:p w14:paraId="4340B2F6" w14:textId="77777777" w:rsidR="00556C10" w:rsidRPr="00551F33" w:rsidRDefault="00556C10" w:rsidP="00556C10">
      <w:pPr>
        <w:spacing w:line="216" w:lineRule="auto"/>
        <w:rPr>
          <w:i/>
          <w:sz w:val="23"/>
          <w:szCs w:val="23"/>
          <w:rtl/>
          <w:lang w:eastAsia="en-GB"/>
        </w:rPr>
      </w:pPr>
      <w:r w:rsidRPr="00551F33">
        <w:rPr>
          <w:rFonts w:hint="cs"/>
          <w:i/>
          <w:sz w:val="23"/>
          <w:szCs w:val="23"/>
          <w:rtl/>
        </w:rPr>
        <w:t>که در آن</w:t>
      </w:r>
      <w:r w:rsidRPr="00551F33">
        <w:rPr>
          <w:position w:val="-6"/>
        </w:rPr>
        <w:object w:dxaOrig="360" w:dyaOrig="260" w14:anchorId="786C4558">
          <v:shape id="_x0000_i7664" type="#_x0000_t75" style="width:18.15pt;height:13.3pt" o:ole="">
            <v:imagedata r:id="rId13404" o:title=""/>
          </v:shape>
          <o:OLEObject Type="Embed" ProgID="Equation.DSMT4" ShapeID="_x0000_i7664" DrawAspect="Content" ObjectID="_1791381607" r:id="rId13405"/>
        </w:object>
      </w:r>
      <w:r w:rsidRPr="00551F33">
        <w:rPr>
          <w:rFonts w:hint="cs"/>
          <w:i/>
          <w:sz w:val="23"/>
          <w:szCs w:val="23"/>
          <w:rtl/>
        </w:rPr>
        <w:t xml:space="preserve"> به </w:t>
      </w:r>
      <w:r w:rsidRPr="00551F33">
        <w:rPr>
          <w:rFonts w:hint="cs"/>
          <w:i/>
          <w:sz w:val="23"/>
          <w:szCs w:val="23"/>
          <w:rtl/>
          <w:lang w:eastAsia="en-GB"/>
        </w:rPr>
        <w:t>حالت تقاضای نقدینگی کم و</w:t>
      </w:r>
      <w:r w:rsidRPr="00551F33">
        <w:rPr>
          <w:position w:val="-6"/>
        </w:rPr>
        <w:object w:dxaOrig="420" w:dyaOrig="260" w14:anchorId="6CAD45F7">
          <v:shape id="_x0000_i7665" type="#_x0000_t75" style="width:21.2pt;height:13.3pt" o:ole="">
            <v:imagedata r:id="rId13406" o:title=""/>
          </v:shape>
          <o:OLEObject Type="Embed" ProgID="Equation.DSMT4" ShapeID="_x0000_i7665" DrawAspect="Content" ObjectID="_1791381608" r:id="rId13407"/>
        </w:object>
      </w:r>
      <w:r w:rsidRPr="00551F33">
        <w:rPr>
          <w:rFonts w:hint="cs"/>
          <w:i/>
          <w:sz w:val="23"/>
          <w:szCs w:val="23"/>
          <w:rtl/>
          <w:lang w:eastAsia="en-GB"/>
        </w:rPr>
        <w:t xml:space="preserve"> به حالت تقاضای نقدینگی بالا مربوط است، و بنابراین </w:t>
      </w:r>
      <w:r w:rsidRPr="00551F33">
        <w:rPr>
          <w:position w:val="-6"/>
        </w:rPr>
        <w:object w:dxaOrig="1579" w:dyaOrig="260" w14:anchorId="4E61FE74">
          <v:shape id="_x0000_i7666" type="#_x0000_t75" style="width:79.25pt;height:13.3pt" o:ole="">
            <v:imagedata r:id="rId13408" o:title=""/>
          </v:shape>
          <o:OLEObject Type="Embed" ProgID="Equation.DSMT4" ShapeID="_x0000_i7666" DrawAspect="Content" ObjectID="_1791381609" r:id="rId13409"/>
        </w:object>
      </w:r>
      <w:r w:rsidRPr="00551F33">
        <w:rPr>
          <w:i/>
          <w:sz w:val="23"/>
          <w:szCs w:val="23"/>
        </w:rPr>
        <w:t>.</w:t>
      </w:r>
      <w:r w:rsidRPr="00551F33">
        <w:rPr>
          <w:rFonts w:hint="cs"/>
          <w:i/>
          <w:sz w:val="23"/>
          <w:szCs w:val="23"/>
          <w:rtl/>
          <w:lang w:eastAsia="en-GB"/>
        </w:rPr>
        <w:t xml:space="preserve"> لذا وقتی </w:t>
      </w:r>
      <w:r w:rsidRPr="00551F33">
        <w:rPr>
          <w:position w:val="-6"/>
        </w:rPr>
        <w:object w:dxaOrig="540" w:dyaOrig="260" w14:anchorId="206B8D5F">
          <v:shape id="_x0000_i7667" type="#_x0000_t75" style="width:26.6pt;height:13.3pt" o:ole="">
            <v:imagedata r:id="rId13410" o:title=""/>
          </v:shape>
          <o:OLEObject Type="Embed" ProgID="Equation.DSMT4" ShapeID="_x0000_i7667" DrawAspect="Content" ObjectID="_1791381610" r:id="rId13411"/>
        </w:object>
      </w:r>
      <w:r w:rsidRPr="00551F33">
        <w:rPr>
          <w:rFonts w:hint="cs"/>
          <w:i/>
          <w:sz w:val="23"/>
          <w:szCs w:val="23"/>
          <w:rtl/>
        </w:rPr>
        <w:t xml:space="preserve"> </w:t>
      </w:r>
      <w:r w:rsidRPr="00551F33">
        <w:rPr>
          <w:rFonts w:hint="cs"/>
          <w:i/>
          <w:sz w:val="23"/>
          <w:szCs w:val="23"/>
          <w:rtl/>
          <w:lang w:eastAsia="en-GB"/>
        </w:rPr>
        <w:t>داریم</w:t>
      </w:r>
      <w:r w:rsidRPr="00551F33">
        <w:rPr>
          <w:position w:val="-10"/>
        </w:rPr>
        <w:object w:dxaOrig="680" w:dyaOrig="320" w14:anchorId="591B3832">
          <v:shape id="_x0000_i7668" type="#_x0000_t75" style="width:33.9pt;height:15.75pt" o:ole="">
            <v:imagedata r:id="rId13412" o:title=""/>
          </v:shape>
          <o:OLEObject Type="Embed" ProgID="Equation.DSMT4" ShapeID="_x0000_i7668" DrawAspect="Content" ObjectID="_1791381611" r:id="rId13413"/>
        </w:object>
      </w:r>
      <w:r w:rsidRPr="00551F33">
        <w:rPr>
          <w:rFonts w:hint="cs"/>
          <w:i/>
          <w:sz w:val="23"/>
          <w:szCs w:val="23"/>
          <w:rtl/>
        </w:rPr>
        <w:t xml:space="preserve">، </w:t>
      </w:r>
      <w:r w:rsidRPr="00551F33">
        <w:rPr>
          <w:rFonts w:hint="cs"/>
          <w:i/>
          <w:sz w:val="23"/>
          <w:szCs w:val="23"/>
          <w:rtl/>
          <w:lang w:eastAsia="en-GB"/>
        </w:rPr>
        <w:t>و وقتی</w:t>
      </w:r>
      <w:r w:rsidRPr="00551F33">
        <w:rPr>
          <w:position w:val="-6"/>
        </w:rPr>
        <w:object w:dxaOrig="499" w:dyaOrig="260" w14:anchorId="0447C955">
          <v:shape id="_x0000_i7669" type="#_x0000_t75" style="width:24.8pt;height:13.3pt" o:ole="">
            <v:imagedata r:id="rId13414" o:title=""/>
          </v:shape>
          <o:OLEObject Type="Embed" ProgID="Equation.DSMT4" ShapeID="_x0000_i7669" DrawAspect="Content" ObjectID="_1791381612" r:id="rId13415"/>
        </w:object>
      </w:r>
      <w:r w:rsidRPr="00551F33">
        <w:rPr>
          <w:rFonts w:hint="cs"/>
          <w:i/>
          <w:sz w:val="23"/>
          <w:szCs w:val="23"/>
          <w:rtl/>
          <w:lang w:eastAsia="en-GB"/>
        </w:rPr>
        <w:t xml:space="preserve"> داریم </w:t>
      </w:r>
      <w:r w:rsidRPr="00551F33">
        <w:rPr>
          <w:position w:val="-10"/>
        </w:rPr>
        <w:object w:dxaOrig="999" w:dyaOrig="320" w14:anchorId="51037C52">
          <v:shape id="_x0000_i7670" type="#_x0000_t75" style="width:50.2pt;height:15.75pt" o:ole="">
            <v:imagedata r:id="rId13416" o:title=""/>
          </v:shape>
          <o:OLEObject Type="Embed" ProgID="Equation.DSMT4" ShapeID="_x0000_i7670" DrawAspect="Content" ObjectID="_1791381613" r:id="rId13417"/>
        </w:object>
      </w:r>
      <w:r w:rsidRPr="00551F33">
        <w:rPr>
          <w:i/>
          <w:sz w:val="23"/>
          <w:szCs w:val="23"/>
        </w:rPr>
        <w:t>.</w:t>
      </w:r>
      <w:r w:rsidRPr="00551F33">
        <w:rPr>
          <w:rFonts w:hint="cs"/>
          <w:i/>
          <w:sz w:val="23"/>
          <w:szCs w:val="23"/>
          <w:rtl/>
          <w:lang w:eastAsia="en-GB"/>
        </w:rPr>
        <w:t xml:space="preserve"> تابع مطلوبیت یک دوره ای خانوار عبارت است از</w:t>
      </w:r>
      <w:r w:rsidRPr="00551F33">
        <w:rPr>
          <w:position w:val="-8"/>
        </w:rPr>
        <w:object w:dxaOrig="440" w:dyaOrig="279" w14:anchorId="0DC549B5">
          <v:shape id="_x0000_i7671" type="#_x0000_t75" style="width:21.8pt;height:13.9pt" o:ole="">
            <v:imagedata r:id="rId13418" o:title=""/>
          </v:shape>
          <o:OLEObject Type="Embed" ProgID="Equation.DSMT4" ShapeID="_x0000_i7671" DrawAspect="Content" ObjectID="_1791381614" r:id="rId13419"/>
        </w:object>
      </w:r>
      <w:r w:rsidRPr="00551F33">
        <w:rPr>
          <w:rFonts w:hint="cs"/>
          <w:i/>
          <w:sz w:val="23"/>
          <w:szCs w:val="23"/>
          <w:rtl/>
          <w:lang w:eastAsia="en-GB"/>
        </w:rPr>
        <w:t xml:space="preserve"> و مطلوبیت کل انتظاری در زمان صفر، وقتی سپرده</w:t>
      </w:r>
      <w:r w:rsidRPr="00551F33">
        <w:rPr>
          <w:rFonts w:hint="cs"/>
          <w:i/>
          <w:sz w:val="23"/>
          <w:szCs w:val="23"/>
          <w:rtl/>
          <w:lang w:eastAsia="en-GB"/>
        </w:rPr>
        <w:softHyphen/>
        <w:t>گذاری می‌شود، اما هنوز معلوم نیست خانوار زود مصرف می</w:t>
      </w:r>
      <w:r w:rsidRPr="00551F33">
        <w:rPr>
          <w:i/>
          <w:sz w:val="23"/>
          <w:szCs w:val="23"/>
          <w:lang w:eastAsia="en-GB"/>
        </w:rPr>
        <w:t>‌</w:t>
      </w:r>
      <w:r w:rsidRPr="00551F33">
        <w:rPr>
          <w:rFonts w:hint="cs"/>
          <w:i/>
          <w:sz w:val="23"/>
          <w:szCs w:val="23"/>
          <w:rtl/>
          <w:lang w:eastAsia="en-GB"/>
        </w:rPr>
        <w:t>کند یا دیر عبارت است از</w:t>
      </w:r>
    </w:p>
    <w:p w14:paraId="241E72E4" w14:textId="77777777" w:rsidR="00556C10" w:rsidRPr="00551F33" w:rsidRDefault="00556C10" w:rsidP="00556C10">
      <w:pPr>
        <w:bidi w:val="0"/>
        <w:spacing w:line="216" w:lineRule="auto"/>
        <w:rPr>
          <w:i/>
          <w:sz w:val="23"/>
          <w:szCs w:val="23"/>
          <w:lang w:eastAsia="en-GB"/>
        </w:rPr>
      </w:pPr>
      <w:r w:rsidRPr="00551F33">
        <w:rPr>
          <w:i/>
          <w:sz w:val="23"/>
          <w:szCs w:val="23"/>
          <w:lang w:eastAsia="en-GB"/>
        </w:rPr>
        <w:t> </w:t>
      </w:r>
      <w:r w:rsidRPr="00551F33">
        <w:rPr>
          <w:position w:val="-14"/>
        </w:rPr>
        <w:object w:dxaOrig="3220" w:dyaOrig="380" w14:anchorId="64A95827">
          <v:shape id="_x0000_i7672" type="#_x0000_t75" style="width:160.95pt;height:18.75pt" o:ole="">
            <v:imagedata r:id="rId13420" o:title=""/>
          </v:shape>
          <o:OLEObject Type="Embed" ProgID="Equation.DSMT4" ShapeID="_x0000_i7672" DrawAspect="Content" ObjectID="_1791381615" r:id="rId13421"/>
        </w:object>
      </w:r>
      <w:r w:rsidRPr="00551F33">
        <w:rPr>
          <w:rFonts w:hint="cs"/>
          <w:i/>
          <w:sz w:val="23"/>
          <w:szCs w:val="23"/>
          <w:rtl/>
        </w:rPr>
        <w:tab/>
      </w:r>
      <w:r w:rsidRPr="00551F33">
        <w:rPr>
          <w:rFonts w:hint="cs"/>
          <w:i/>
          <w:sz w:val="23"/>
          <w:szCs w:val="23"/>
          <w:rtl/>
        </w:rPr>
        <w:tab/>
      </w:r>
      <w:r w:rsidRPr="00551F33">
        <w:rPr>
          <w:i/>
          <w:sz w:val="23"/>
          <w:szCs w:val="23"/>
          <w:rtl/>
        </w:rPr>
        <w:tab/>
      </w:r>
      <w:r w:rsidRPr="00551F33">
        <w:rPr>
          <w:i/>
          <w:sz w:val="23"/>
          <w:szCs w:val="23"/>
          <w:rtl/>
        </w:rPr>
        <w:tab/>
      </w:r>
      <w:r w:rsidRPr="00551F33">
        <w:rPr>
          <w:i/>
          <w:sz w:val="23"/>
          <w:szCs w:val="23"/>
          <w:rtl/>
        </w:rPr>
        <w:tab/>
      </w:r>
      <w:r w:rsidRPr="00551F33">
        <w:rPr>
          <w:i/>
          <w:sz w:val="23"/>
          <w:szCs w:val="23"/>
          <w:rtl/>
        </w:rPr>
        <w:tab/>
      </w:r>
      <w:r>
        <w:rPr>
          <w:i/>
          <w:sz w:val="23"/>
          <w:szCs w:val="23"/>
          <w:rtl/>
        </w:rPr>
        <w:tab/>
      </w:r>
      <w:r>
        <w:rPr>
          <w:i/>
          <w:sz w:val="23"/>
          <w:szCs w:val="23"/>
          <w:rtl/>
        </w:rPr>
        <w:tab/>
      </w:r>
      <w:r w:rsidRPr="00551F33">
        <w:rPr>
          <w:rFonts w:hint="cs"/>
          <w:i/>
          <w:sz w:val="23"/>
          <w:szCs w:val="23"/>
          <w:rtl/>
        </w:rPr>
        <w:tab/>
      </w:r>
      <w:r w:rsidRPr="00551F33">
        <w:rPr>
          <w:rFonts w:hint="cs"/>
          <w:i/>
          <w:sz w:val="23"/>
          <w:szCs w:val="23"/>
          <w:rtl/>
        </w:rPr>
        <w:tab/>
      </w:r>
      <w:r w:rsidRPr="00551F33">
        <w:rPr>
          <w:i/>
          <w:sz w:val="23"/>
          <w:szCs w:val="23"/>
        </w:rPr>
        <w:t xml:space="preserve"> </w:t>
      </w:r>
      <w:r w:rsidRPr="00551F33">
        <w:rPr>
          <w:rFonts w:hint="cs"/>
          <w:i/>
          <w:sz w:val="23"/>
          <w:szCs w:val="23"/>
          <w:rtl/>
        </w:rPr>
        <w:t xml:space="preserve">(۱۵. ۵) </w:t>
      </w:r>
    </w:p>
    <w:p w14:paraId="3F2A6CDF" w14:textId="77777777" w:rsidR="00556C10" w:rsidRPr="00551F33" w:rsidRDefault="00556C10" w:rsidP="00556C10">
      <w:pPr>
        <w:spacing w:line="216" w:lineRule="auto"/>
        <w:rPr>
          <w:i/>
          <w:sz w:val="23"/>
          <w:szCs w:val="23"/>
          <w:lang w:eastAsia="en-GB" w:bidi="ar-SA"/>
        </w:rPr>
      </w:pPr>
      <w:r w:rsidRPr="00551F33">
        <w:rPr>
          <w:rFonts w:hint="cs"/>
          <w:i/>
          <w:sz w:val="23"/>
          <w:szCs w:val="23"/>
          <w:rtl/>
          <w:lang w:eastAsia="en-GB"/>
        </w:rPr>
        <w:t>که در آن</w:t>
      </w:r>
      <w:r w:rsidRPr="00551F33">
        <w:rPr>
          <w:position w:val="-10"/>
        </w:rPr>
        <w:object w:dxaOrig="200" w:dyaOrig="320" w14:anchorId="4FA7C13C">
          <v:shape id="_x0000_i7673" type="#_x0000_t75" style="width:10.3pt;height:15.75pt" o:ole="">
            <v:imagedata r:id="rId13422" o:title=""/>
          </v:shape>
          <o:OLEObject Type="Embed" ProgID="Equation.DSMT4" ShapeID="_x0000_i7673" DrawAspect="Content" ObjectID="_1791381616" r:id="rId13423"/>
        </w:object>
      </w:r>
      <w:r w:rsidRPr="00551F33">
        <w:rPr>
          <w:rFonts w:hint="cs"/>
          <w:i/>
          <w:sz w:val="23"/>
          <w:szCs w:val="23"/>
          <w:rtl/>
          <w:lang w:eastAsia="en-GB"/>
        </w:rPr>
        <w:t xml:space="preserve"> مصرف در دوره </w:t>
      </w:r>
      <w:r w:rsidRPr="00551F33">
        <w:rPr>
          <w:position w:val="-8"/>
        </w:rPr>
        <w:object w:dxaOrig="639" w:dyaOrig="279" w14:anchorId="71ACF84E">
          <v:shape id="_x0000_i7674" type="#_x0000_t75" style="width:32.05pt;height:13.9pt" o:ole="">
            <v:imagedata r:id="rId13424" o:title=""/>
          </v:shape>
          <o:OLEObject Type="Embed" ProgID="Equation.DSMT4" ShapeID="_x0000_i7674" DrawAspect="Content" ObjectID="_1791381617" r:id="rId13425"/>
        </w:object>
      </w:r>
      <w:r w:rsidRPr="00551F33">
        <w:rPr>
          <w:rFonts w:hint="cs"/>
          <w:i/>
          <w:sz w:val="23"/>
          <w:szCs w:val="23"/>
          <w:rtl/>
        </w:rPr>
        <w:t xml:space="preserve"> </w:t>
      </w:r>
      <w:r w:rsidRPr="00551F33">
        <w:rPr>
          <w:rFonts w:hint="cs"/>
          <w:i/>
          <w:sz w:val="23"/>
          <w:szCs w:val="23"/>
          <w:rtl/>
          <w:lang w:eastAsia="en-GB"/>
        </w:rPr>
        <w:t>است</w:t>
      </w:r>
      <w:r w:rsidRPr="00551F33">
        <w:rPr>
          <w:i/>
          <w:sz w:val="23"/>
          <w:szCs w:val="23"/>
          <w:lang w:eastAsia="en-GB"/>
        </w:rPr>
        <w:t>.</w:t>
      </w:r>
      <w:r w:rsidRPr="00551F33">
        <w:rPr>
          <w:rFonts w:hint="cs"/>
          <w:i/>
          <w:sz w:val="23"/>
          <w:szCs w:val="23"/>
          <w:rtl/>
          <w:lang w:eastAsia="en-GB"/>
        </w:rPr>
        <w:t xml:space="preserve"> </w:t>
      </w:r>
    </w:p>
    <w:p w14:paraId="599F6AE5"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بانک‌ها سپرده‌های دوره صفر را در دارایی‌های کوتاه</w:t>
      </w:r>
      <w:r w:rsidRPr="00551F33">
        <w:rPr>
          <w:rFonts w:hint="cs"/>
          <w:i/>
          <w:sz w:val="23"/>
          <w:szCs w:val="23"/>
          <w:rtl/>
          <w:lang w:eastAsia="en-GB"/>
        </w:rPr>
        <w:softHyphen/>
        <w:t>مدت و بلند</w:t>
      </w:r>
      <w:r w:rsidRPr="00551F33">
        <w:rPr>
          <w:rFonts w:hint="cs"/>
          <w:i/>
          <w:sz w:val="23"/>
          <w:szCs w:val="23"/>
          <w:rtl/>
          <w:lang w:eastAsia="en-GB"/>
        </w:rPr>
        <w:softHyphen/>
        <w:t>مدت سرمایه</w:t>
      </w:r>
      <w:r w:rsidRPr="00551F33">
        <w:rPr>
          <w:i/>
          <w:sz w:val="23"/>
          <w:szCs w:val="23"/>
          <w:lang w:eastAsia="en-GB"/>
        </w:rPr>
        <w:t>‌</w:t>
      </w:r>
      <w:r w:rsidRPr="00551F33">
        <w:rPr>
          <w:rFonts w:hint="cs"/>
          <w:i/>
          <w:sz w:val="23"/>
          <w:szCs w:val="23"/>
          <w:rtl/>
          <w:lang w:eastAsia="en-GB"/>
        </w:rPr>
        <w:t>گذاری می</w:t>
      </w:r>
      <w:r w:rsidRPr="00551F33">
        <w:rPr>
          <w:i/>
          <w:sz w:val="23"/>
          <w:szCs w:val="23"/>
          <w:lang w:eastAsia="en-GB"/>
        </w:rPr>
        <w:t>‌</w:t>
      </w:r>
      <w:r w:rsidRPr="00551F33">
        <w:rPr>
          <w:rFonts w:hint="cs"/>
          <w:i/>
          <w:sz w:val="23"/>
          <w:szCs w:val="23"/>
          <w:rtl/>
          <w:lang w:eastAsia="en-GB"/>
        </w:rPr>
        <w:t>کنند که هر دوره بدون ریسک است. سررسید سهام کوتاه</w:t>
      </w:r>
      <w:r w:rsidRPr="00551F33">
        <w:rPr>
          <w:rFonts w:hint="cs"/>
          <w:i/>
          <w:sz w:val="23"/>
          <w:szCs w:val="23"/>
          <w:rtl/>
          <w:lang w:eastAsia="en-GB"/>
        </w:rPr>
        <w:softHyphen/>
        <w:t>مدت در دوره یک است و عایدی آن برابر با یک است، و سهام بلندمدت در دوره</w:t>
      </w:r>
      <w:r w:rsidRPr="00551F33">
        <w:rPr>
          <w:rFonts w:hint="cs"/>
          <w:i/>
          <w:sz w:val="23"/>
          <w:szCs w:val="23"/>
          <w:rtl/>
          <w:lang w:eastAsia="en-GB"/>
        </w:rPr>
        <w:softHyphen/>
        <w:t>ی دو سررسید می</w:t>
      </w:r>
      <w:r w:rsidRPr="00551F33">
        <w:rPr>
          <w:i/>
          <w:sz w:val="23"/>
          <w:szCs w:val="23"/>
          <w:lang w:eastAsia="en-GB"/>
        </w:rPr>
        <w:t>‌</w:t>
      </w:r>
      <w:r w:rsidRPr="00551F33">
        <w:rPr>
          <w:rFonts w:hint="cs"/>
          <w:i/>
          <w:sz w:val="23"/>
          <w:szCs w:val="23"/>
          <w:rtl/>
          <w:lang w:eastAsia="en-GB"/>
        </w:rPr>
        <w:t xml:space="preserve">شود و عایدی آن برابر </w:t>
      </w:r>
      <w:r w:rsidRPr="00551F33">
        <w:rPr>
          <w:position w:val="-6"/>
        </w:rPr>
        <w:object w:dxaOrig="240" w:dyaOrig="260" w14:anchorId="13BEBC8E">
          <v:shape id="_x0000_i7675" type="#_x0000_t75" style="width:11.5pt;height:13.3pt" o:ole="">
            <v:imagedata r:id="rId13426" o:title=""/>
          </v:shape>
          <o:OLEObject Type="Embed" ProgID="Equation.DSMT4" ShapeID="_x0000_i7675" DrawAspect="Content" ObjectID="_1791381618" r:id="rId13427"/>
        </w:object>
      </w:r>
      <w:r w:rsidRPr="00551F33">
        <w:rPr>
          <w:rFonts w:hint="cs"/>
          <w:i/>
          <w:sz w:val="23"/>
          <w:szCs w:val="23"/>
          <w:rtl/>
          <w:lang w:eastAsia="en-GB"/>
        </w:rPr>
        <w:t xml:space="preserve"> است. سهام بلند</w:t>
      </w:r>
      <w:r w:rsidRPr="00551F33">
        <w:rPr>
          <w:rFonts w:hint="cs"/>
          <w:i/>
          <w:sz w:val="23"/>
          <w:szCs w:val="23"/>
          <w:rtl/>
          <w:lang w:eastAsia="en-GB"/>
        </w:rPr>
        <w:softHyphen/>
        <w:t>مدت را می</w:t>
      </w:r>
      <w:r w:rsidRPr="00551F33">
        <w:rPr>
          <w:rFonts w:hint="cs"/>
          <w:i/>
          <w:sz w:val="23"/>
          <w:szCs w:val="23"/>
          <w:rtl/>
          <w:lang w:eastAsia="en-GB"/>
        </w:rPr>
        <w:softHyphen/>
        <w:t>توان به قیمت</w:t>
      </w:r>
      <w:r w:rsidRPr="00551F33">
        <w:rPr>
          <w:position w:val="-10"/>
        </w:rPr>
        <w:object w:dxaOrig="279" w:dyaOrig="320" w14:anchorId="17543C93">
          <v:shape id="_x0000_i7676" type="#_x0000_t75" style="width:13.9pt;height:15.75pt" o:ole="">
            <v:imagedata r:id="rId13428" o:title=""/>
          </v:shape>
          <o:OLEObject Type="Embed" ProgID="Equation.DSMT4" ShapeID="_x0000_i7676" DrawAspect="Content" ObjectID="_1791381619" r:id="rId13429"/>
        </w:object>
      </w:r>
      <w:r w:rsidRPr="00551F33">
        <w:rPr>
          <w:rFonts w:hint="cs"/>
          <w:i/>
          <w:sz w:val="23"/>
          <w:szCs w:val="23"/>
          <w:rtl/>
          <w:lang w:eastAsia="en-GB"/>
        </w:rPr>
        <w:t xml:space="preserve"> در دوره</w:t>
      </w:r>
      <w:r w:rsidRPr="00551F33">
        <w:rPr>
          <w:i/>
          <w:sz w:val="23"/>
          <w:szCs w:val="23"/>
          <w:lang w:eastAsia="en-GB"/>
        </w:rPr>
        <w:t>‌</w:t>
      </w:r>
      <w:r w:rsidRPr="00551F33">
        <w:rPr>
          <w:rFonts w:hint="cs"/>
          <w:i/>
          <w:sz w:val="23"/>
          <w:szCs w:val="23"/>
          <w:rtl/>
          <w:lang w:eastAsia="en-GB"/>
        </w:rPr>
        <w:t>ی یک فروخت که به مقدار</w:t>
      </w:r>
      <w:r w:rsidRPr="00551F33">
        <w:rPr>
          <w:position w:val="-6"/>
        </w:rPr>
        <w:object w:dxaOrig="200" w:dyaOrig="260" w14:anchorId="15A49498">
          <v:shape id="_x0000_i7677" type="#_x0000_t75" style="width:10.3pt;height:13.3pt" o:ole="">
            <v:imagedata r:id="rId13430" o:title=""/>
          </v:shape>
          <o:OLEObject Type="Embed" ProgID="Equation.DSMT4" ShapeID="_x0000_i7677" DrawAspect="Content" ObjectID="_1791381620" r:id="rId13431"/>
        </w:object>
      </w:r>
      <w:r w:rsidRPr="00551F33">
        <w:rPr>
          <w:rFonts w:hint="cs"/>
          <w:i/>
          <w:sz w:val="23"/>
          <w:szCs w:val="23"/>
          <w:rtl/>
          <w:lang w:eastAsia="en-GB"/>
        </w:rPr>
        <w:t xml:space="preserve"> بستگی دارد. بانک‌ها </w:t>
      </w:r>
      <w:r w:rsidRPr="00551F33">
        <w:rPr>
          <w:position w:val="-8"/>
        </w:rPr>
        <w:object w:dxaOrig="200" w:dyaOrig="220" w14:anchorId="65E53FBE">
          <v:shape id="_x0000_i7678" type="#_x0000_t75" style="width:10.3pt;height:10.9pt" o:ole="">
            <v:imagedata r:id="rId13432" o:title=""/>
          </v:shape>
          <o:OLEObject Type="Embed" ProgID="Equation.DSMT4" ShapeID="_x0000_i7678" DrawAspect="Content" ObjectID="_1791381621" r:id="rId13433"/>
        </w:object>
      </w:r>
      <w:r w:rsidRPr="00551F33">
        <w:rPr>
          <w:rFonts w:hint="cs"/>
          <w:i/>
          <w:sz w:val="23"/>
          <w:szCs w:val="23"/>
          <w:rtl/>
          <w:lang w:eastAsia="en-GB"/>
        </w:rPr>
        <w:t xml:space="preserve"> را در سهام کوتاه</w:t>
      </w:r>
      <w:r w:rsidRPr="00551F33">
        <w:rPr>
          <w:rFonts w:hint="cs"/>
          <w:i/>
          <w:sz w:val="23"/>
          <w:szCs w:val="23"/>
          <w:rtl/>
          <w:lang w:eastAsia="en-GB"/>
        </w:rPr>
        <w:softHyphen/>
        <w:t>مدت و</w:t>
      </w:r>
      <w:r w:rsidRPr="00551F33">
        <w:rPr>
          <w:position w:val="-8"/>
        </w:rPr>
        <w:object w:dxaOrig="480" w:dyaOrig="279" w14:anchorId="26CB4287">
          <v:shape id="_x0000_i7679" type="#_x0000_t75" style="width:24.2pt;height:13.9pt" o:ole="">
            <v:imagedata r:id="rId13434" o:title=""/>
          </v:shape>
          <o:OLEObject Type="Embed" ProgID="Equation.DSMT4" ShapeID="_x0000_i7679" DrawAspect="Content" ObjectID="_1791381622" r:id="rId13435"/>
        </w:object>
      </w:r>
      <w:r w:rsidRPr="00551F33">
        <w:rPr>
          <w:rFonts w:hint="cs"/>
          <w:i/>
          <w:sz w:val="23"/>
          <w:szCs w:val="23"/>
          <w:rtl/>
        </w:rPr>
        <w:t xml:space="preserve"> را در سهام</w:t>
      </w:r>
      <w:r w:rsidRPr="00551F33">
        <w:rPr>
          <w:rFonts w:hint="cs"/>
          <w:i/>
          <w:sz w:val="23"/>
          <w:szCs w:val="23"/>
          <w:rtl/>
          <w:lang w:eastAsia="en-GB"/>
        </w:rPr>
        <w:t xml:space="preserve"> بلندمدت برای هر خانوار سرمایه</w:t>
      </w:r>
      <w:r w:rsidRPr="00551F33">
        <w:rPr>
          <w:i/>
          <w:sz w:val="23"/>
          <w:szCs w:val="23"/>
          <w:lang w:eastAsia="en-GB"/>
        </w:rPr>
        <w:t>‌</w:t>
      </w:r>
      <w:r w:rsidRPr="00551F33">
        <w:rPr>
          <w:rFonts w:hint="cs"/>
          <w:i/>
          <w:sz w:val="23"/>
          <w:szCs w:val="23"/>
          <w:rtl/>
          <w:lang w:eastAsia="en-GB"/>
        </w:rPr>
        <w:t>گذاری می</w:t>
      </w:r>
      <w:r w:rsidRPr="00551F33">
        <w:rPr>
          <w:i/>
          <w:sz w:val="23"/>
          <w:szCs w:val="23"/>
          <w:lang w:eastAsia="en-GB"/>
        </w:rPr>
        <w:t>‌</w:t>
      </w:r>
      <w:r w:rsidRPr="00551F33">
        <w:rPr>
          <w:rFonts w:hint="cs"/>
          <w:i/>
          <w:sz w:val="23"/>
          <w:szCs w:val="23"/>
          <w:rtl/>
          <w:lang w:eastAsia="en-GB"/>
        </w:rPr>
        <w:t xml:space="preserve">کنند. آن‌ها به هر خانوار قراردادی را پیشنهاد می‌دهند که بتوانند </w:t>
      </w:r>
      <w:r w:rsidRPr="00551F33">
        <w:rPr>
          <w:position w:val="-6"/>
        </w:rPr>
        <w:object w:dxaOrig="200" w:dyaOrig="260" w14:anchorId="5EC3FB19">
          <v:shape id="_x0000_i7680" type="#_x0000_t75" style="width:10.3pt;height:13.3pt" o:ole="">
            <v:imagedata r:id="rId13436" o:title=""/>
          </v:shape>
          <o:OLEObject Type="Embed" ProgID="Equation.DSMT4" ShapeID="_x0000_i7680" DrawAspect="Content" ObjectID="_1791381623" r:id="rId13437"/>
        </w:object>
      </w:r>
      <w:r w:rsidRPr="00551F33">
        <w:rPr>
          <w:rFonts w:hint="cs"/>
          <w:i/>
          <w:sz w:val="23"/>
          <w:szCs w:val="23"/>
          <w:rtl/>
          <w:lang w:eastAsia="en-GB"/>
        </w:rPr>
        <w:t xml:space="preserve"> را در زمان یک و یا باقیمانده دارایی</w:t>
      </w:r>
      <w:r w:rsidRPr="00551F33">
        <w:rPr>
          <w:rFonts w:hint="cs"/>
          <w:i/>
          <w:sz w:val="23"/>
          <w:szCs w:val="23"/>
          <w:rtl/>
          <w:lang w:eastAsia="en-GB"/>
        </w:rPr>
        <w:softHyphen/>
        <w:t>های بانک را در زمان دو برداشت کنند، و این دارایی‌ها به طور مساوی بین خانوارهای باقیمانده تقسیم می‌شود. این مقدار حداقل</w:t>
      </w:r>
      <w:r w:rsidRPr="00551F33">
        <w:rPr>
          <w:position w:val="-6"/>
        </w:rPr>
        <w:object w:dxaOrig="200" w:dyaOrig="260" w14:anchorId="1F84E7EB">
          <v:shape id="_x0000_i7681" type="#_x0000_t75" style="width:10.3pt;height:13.3pt" o:ole="">
            <v:imagedata r:id="rId13438" o:title=""/>
          </v:shape>
          <o:OLEObject Type="Embed" ProgID="Equation.DSMT4" ShapeID="_x0000_i7681" DrawAspect="Content" ObjectID="_1791381624" r:id="rId13439"/>
        </w:object>
      </w:r>
      <w:r w:rsidRPr="00551F33">
        <w:rPr>
          <w:rFonts w:hint="cs"/>
          <w:i/>
          <w:sz w:val="23"/>
          <w:szCs w:val="23"/>
          <w:rtl/>
          <w:lang w:eastAsia="en-GB"/>
        </w:rPr>
        <w:t xml:space="preserve"> واحد است اگر و تنها اگر</w:t>
      </w:r>
    </w:p>
    <w:p w14:paraId="53D4C2C2" w14:textId="77777777" w:rsidR="00556C10" w:rsidRPr="00551F33" w:rsidRDefault="00556C10" w:rsidP="00556C10">
      <w:pPr>
        <w:bidi w:val="0"/>
        <w:spacing w:line="216" w:lineRule="auto"/>
        <w:rPr>
          <w:i/>
          <w:sz w:val="23"/>
          <w:szCs w:val="23"/>
          <w:rtl/>
          <w:lang w:eastAsia="en-GB"/>
        </w:rPr>
      </w:pPr>
      <w:r w:rsidRPr="00551F33">
        <w:rPr>
          <w:position w:val="-22"/>
        </w:rPr>
        <w:object w:dxaOrig="2880" w:dyaOrig="580" w14:anchorId="48C1E32F">
          <v:shape id="_x0000_i7682" type="#_x0000_t75" style="width:2in;height:29.05pt" o:ole="">
            <v:imagedata r:id="rId13440" o:title=""/>
          </v:shape>
          <o:OLEObject Type="Embed" ProgID="Equation.DSMT4" ShapeID="_x0000_i7682" DrawAspect="Content" ObjectID="_1791381625" r:id="rId13441"/>
        </w:object>
      </w:r>
      <w:r w:rsidRPr="00551F33">
        <w:rPr>
          <w:rFonts w:hint="cs"/>
          <w:i/>
          <w:sz w:val="23"/>
          <w:szCs w:val="23"/>
          <w:rtl/>
        </w:rPr>
        <w:tab/>
      </w:r>
      <w:r w:rsidRPr="00551F33">
        <w:rPr>
          <w:rFonts w:hint="cs"/>
          <w:i/>
          <w:sz w:val="23"/>
          <w:szCs w:val="23"/>
          <w:rtl/>
        </w:rPr>
        <w:tab/>
      </w:r>
      <w:r w:rsidRPr="00551F33">
        <w:rPr>
          <w:rFonts w:hint="cs"/>
          <w:i/>
          <w:sz w:val="23"/>
          <w:szCs w:val="23"/>
          <w:rtl/>
        </w:rPr>
        <w:tab/>
      </w:r>
      <w:r w:rsidRPr="00551F33">
        <w:rPr>
          <w:rFonts w:hint="cs"/>
          <w:i/>
          <w:sz w:val="23"/>
          <w:szCs w:val="23"/>
          <w:rtl/>
        </w:rPr>
        <w:tab/>
      </w:r>
      <w:r w:rsidRPr="00551F33">
        <w:rPr>
          <w:i/>
          <w:sz w:val="23"/>
          <w:szCs w:val="23"/>
          <w:rtl/>
        </w:rPr>
        <w:tab/>
      </w:r>
      <w:r w:rsidRPr="00551F33">
        <w:rPr>
          <w:i/>
          <w:sz w:val="23"/>
          <w:szCs w:val="23"/>
          <w:rtl/>
        </w:rPr>
        <w:tab/>
      </w:r>
      <w:r w:rsidRPr="00551F33">
        <w:rPr>
          <w:i/>
          <w:sz w:val="23"/>
          <w:szCs w:val="23"/>
          <w:rtl/>
        </w:rPr>
        <w:tab/>
      </w:r>
      <w:r w:rsidRPr="00551F33">
        <w:rPr>
          <w:i/>
          <w:sz w:val="23"/>
          <w:szCs w:val="23"/>
          <w:rtl/>
        </w:rPr>
        <w:tab/>
      </w:r>
      <w:r>
        <w:rPr>
          <w:i/>
          <w:sz w:val="23"/>
          <w:szCs w:val="23"/>
          <w:rtl/>
        </w:rPr>
        <w:tab/>
      </w:r>
      <w:r w:rsidRPr="00551F33">
        <w:rPr>
          <w:rFonts w:hint="cs"/>
          <w:i/>
          <w:sz w:val="23"/>
          <w:szCs w:val="23"/>
          <w:rtl/>
        </w:rPr>
        <w:tab/>
      </w:r>
      <w:r w:rsidRPr="00551F33">
        <w:rPr>
          <w:rFonts w:hint="cs"/>
          <w:i/>
          <w:sz w:val="23"/>
          <w:szCs w:val="23"/>
          <w:rtl/>
        </w:rPr>
        <w:tab/>
      </w:r>
      <w:r w:rsidRPr="00551F33">
        <w:rPr>
          <w:i/>
          <w:sz w:val="23"/>
          <w:szCs w:val="23"/>
        </w:rPr>
        <w:t xml:space="preserve"> </w:t>
      </w:r>
      <w:r w:rsidRPr="00551F33">
        <w:rPr>
          <w:rFonts w:hint="cs"/>
          <w:i/>
          <w:sz w:val="23"/>
          <w:szCs w:val="23"/>
          <w:rtl/>
        </w:rPr>
        <w:t xml:space="preserve">(۱۵. ۶) </w:t>
      </w:r>
    </w:p>
    <w:p w14:paraId="24407813" w14:textId="77777777" w:rsidR="00556C10" w:rsidRPr="00551F33" w:rsidRDefault="00556C10" w:rsidP="00556C10">
      <w:pPr>
        <w:spacing w:line="216" w:lineRule="auto"/>
        <w:rPr>
          <w:i/>
          <w:sz w:val="23"/>
          <w:szCs w:val="23"/>
          <w:lang w:eastAsia="en-GB" w:bidi="ar-SA"/>
        </w:rPr>
      </w:pPr>
      <w:r w:rsidRPr="00551F33">
        <w:rPr>
          <w:i/>
          <w:sz w:val="23"/>
          <w:szCs w:val="23"/>
          <w:lang w:eastAsia="en-GB"/>
        </w:rPr>
        <w:t> </w:t>
      </w:r>
      <w:r w:rsidRPr="00551F33">
        <w:rPr>
          <w:rFonts w:hint="cs"/>
          <w:i/>
          <w:sz w:val="23"/>
          <w:szCs w:val="23"/>
          <w:rtl/>
          <w:lang w:eastAsia="en-GB"/>
        </w:rPr>
        <w:t>سمت چپ رابطه</w:t>
      </w:r>
      <w:r w:rsidRPr="00551F33">
        <w:rPr>
          <w:rFonts w:hint="cs"/>
          <w:i/>
          <w:sz w:val="23"/>
          <w:szCs w:val="23"/>
          <w:rtl/>
          <w:lang w:eastAsia="en-GB"/>
        </w:rPr>
        <w:softHyphen/>
        <w:t>ی (۱۵. ۶) ارزش فعلی مصرف در دوره یک است. نخستین جمله مربوط می</w:t>
      </w:r>
      <w:r w:rsidRPr="00551F33">
        <w:rPr>
          <w:i/>
          <w:sz w:val="23"/>
          <w:szCs w:val="23"/>
          <w:lang w:eastAsia="en-GB"/>
        </w:rPr>
        <w:t>‌</w:t>
      </w:r>
      <w:r w:rsidRPr="00551F33">
        <w:rPr>
          <w:rFonts w:hint="cs"/>
          <w:i/>
          <w:sz w:val="23"/>
          <w:szCs w:val="23"/>
          <w:rtl/>
          <w:lang w:eastAsia="en-GB"/>
        </w:rPr>
        <w:t>شود به مصرف</w:t>
      </w:r>
      <w:r w:rsidRPr="00551F33">
        <w:rPr>
          <w:i/>
          <w:sz w:val="23"/>
          <w:szCs w:val="23"/>
          <w:lang w:eastAsia="en-GB"/>
        </w:rPr>
        <w:t>‌</w:t>
      </w:r>
      <w:r w:rsidRPr="00551F33">
        <w:rPr>
          <w:rFonts w:hint="cs"/>
          <w:i/>
          <w:sz w:val="23"/>
          <w:szCs w:val="23"/>
          <w:rtl/>
          <w:lang w:eastAsia="en-GB"/>
        </w:rPr>
        <w:t>کنندگان زودهنگام که با احتمال</w:t>
      </w:r>
      <w:r w:rsidRPr="00551F33">
        <w:rPr>
          <w:position w:val="-6"/>
        </w:rPr>
        <w:object w:dxaOrig="200" w:dyaOrig="260" w14:anchorId="5135607C">
          <v:shape id="_x0000_i7683" type="#_x0000_t75" style="width:10.3pt;height:13.3pt" o:ole="">
            <v:imagedata r:id="rId13442" o:title=""/>
          </v:shape>
          <o:OLEObject Type="Embed" ProgID="Equation.DSMT4" ShapeID="_x0000_i7683" DrawAspect="Content" ObjectID="_1791381626" r:id="rId13443"/>
        </w:object>
      </w:r>
      <w:r w:rsidRPr="00551F33">
        <w:rPr>
          <w:rFonts w:hint="cs"/>
          <w:i/>
          <w:sz w:val="23"/>
          <w:szCs w:val="23"/>
          <w:rtl/>
          <w:lang w:eastAsia="en-GB"/>
        </w:rPr>
        <w:t xml:space="preserve"> مقدار</w:t>
      </w:r>
      <w:r w:rsidRPr="00551F33">
        <w:rPr>
          <w:position w:val="-6"/>
        </w:rPr>
        <w:object w:dxaOrig="200" w:dyaOrig="260" w14:anchorId="07C349CB">
          <v:shape id="_x0000_i7684" type="#_x0000_t75" style="width:10.3pt;height:13.3pt" o:ole="">
            <v:imagedata r:id="rId13444" o:title=""/>
          </v:shape>
          <o:OLEObject Type="Embed" ProgID="Equation.DSMT4" ShapeID="_x0000_i7684" DrawAspect="Content" ObjectID="_1791381627" r:id="rId13445"/>
        </w:object>
      </w:r>
      <w:r w:rsidRPr="00551F33">
        <w:rPr>
          <w:rFonts w:hint="cs"/>
          <w:i/>
          <w:sz w:val="23"/>
          <w:szCs w:val="23"/>
          <w:rtl/>
          <w:lang w:eastAsia="en-GB"/>
        </w:rPr>
        <w:t xml:space="preserve"> به آن‌ها پرداخت می‌شود. جمله‌ی دوم به مصرف</w:t>
      </w:r>
      <w:r w:rsidRPr="00551F33">
        <w:rPr>
          <w:i/>
          <w:sz w:val="23"/>
          <w:szCs w:val="23"/>
          <w:lang w:eastAsia="en-GB"/>
        </w:rPr>
        <w:t>‌</w:t>
      </w:r>
      <w:r w:rsidRPr="00551F33">
        <w:rPr>
          <w:rFonts w:hint="cs"/>
          <w:i/>
          <w:sz w:val="23"/>
          <w:szCs w:val="23"/>
          <w:rtl/>
          <w:lang w:eastAsia="en-GB"/>
        </w:rPr>
        <w:t>کنندگان دیرهنگام مربوط می</w:t>
      </w:r>
      <w:r w:rsidRPr="00551F33">
        <w:rPr>
          <w:i/>
          <w:sz w:val="23"/>
          <w:szCs w:val="23"/>
          <w:lang w:eastAsia="en-GB"/>
        </w:rPr>
        <w:t>‌</w:t>
      </w:r>
      <w:r w:rsidRPr="00551F33">
        <w:rPr>
          <w:rFonts w:hint="cs"/>
          <w:i/>
          <w:sz w:val="23"/>
          <w:szCs w:val="23"/>
          <w:rtl/>
          <w:lang w:eastAsia="en-GB"/>
        </w:rPr>
        <w:t>شود (که ممکن است ادعا کنند مصرف</w:t>
      </w:r>
      <w:r w:rsidRPr="00551F33">
        <w:rPr>
          <w:rFonts w:hint="cs"/>
          <w:i/>
          <w:sz w:val="23"/>
          <w:szCs w:val="23"/>
          <w:rtl/>
          <w:lang w:eastAsia="en-GB"/>
        </w:rPr>
        <w:softHyphen/>
        <w:t>کنندگان زود هنگام هستند). آن‌ها با احتمال</w:t>
      </w:r>
      <w:r w:rsidRPr="00551F33">
        <w:rPr>
          <w:position w:val="-6"/>
        </w:rPr>
        <w:object w:dxaOrig="480" w:dyaOrig="260" w14:anchorId="69F2B4EE">
          <v:shape id="_x0000_i7685" type="#_x0000_t75" style="width:24.2pt;height:13.3pt" o:ole="">
            <v:imagedata r:id="rId13446" o:title=""/>
          </v:shape>
          <o:OLEObject Type="Embed" ProgID="Equation.DSMT4" ShapeID="_x0000_i7685" DrawAspect="Content" ObjectID="_1791381628" r:id="rId13447"/>
        </w:object>
      </w:r>
      <w:r w:rsidRPr="00551F33">
        <w:rPr>
          <w:rFonts w:hint="cs"/>
          <w:i/>
          <w:sz w:val="23"/>
          <w:szCs w:val="23"/>
          <w:rtl/>
          <w:lang w:eastAsia="en-GB"/>
        </w:rPr>
        <w:t xml:space="preserve"> مقدار</w:t>
      </w:r>
      <w:r w:rsidRPr="00551F33">
        <w:rPr>
          <w:i/>
          <w:sz w:val="23"/>
          <w:szCs w:val="23"/>
          <w:lang w:eastAsia="en-GB"/>
        </w:rPr>
        <w:t xml:space="preserve"> </w:t>
      </w:r>
      <w:r w:rsidRPr="00551F33">
        <w:rPr>
          <w:position w:val="-6"/>
        </w:rPr>
        <w:object w:dxaOrig="200" w:dyaOrig="260" w14:anchorId="1F13F38B">
          <v:shape id="_x0000_i7686" type="#_x0000_t75" style="width:10.3pt;height:13.3pt" o:ole="">
            <v:imagedata r:id="rId13448" o:title=""/>
          </v:shape>
          <o:OLEObject Type="Embed" ProgID="Equation.DSMT4" ShapeID="_x0000_i7686" DrawAspect="Content" ObjectID="_1791381629" r:id="rId13449"/>
        </w:object>
      </w:r>
      <w:r w:rsidRPr="00551F33">
        <w:rPr>
          <w:rFonts w:hint="cs"/>
          <w:i/>
          <w:sz w:val="23"/>
          <w:szCs w:val="23"/>
          <w:rtl/>
          <w:lang w:eastAsia="en-GB"/>
        </w:rPr>
        <w:t xml:space="preserve"> را دریافت کرده اما آن را تا دوره</w:t>
      </w:r>
      <w:r w:rsidRPr="00551F33">
        <w:rPr>
          <w:rFonts w:hint="cs"/>
          <w:i/>
          <w:sz w:val="23"/>
          <w:szCs w:val="23"/>
          <w:rtl/>
          <w:lang w:eastAsia="en-GB"/>
        </w:rPr>
        <w:softHyphen/>
        <w:t>ی دو ذخیره می‌کنند. از آنجا که قیمت یک واحد دارایی بلندمدت در زمان یک برابر است با</w:t>
      </w:r>
      <w:r w:rsidRPr="00551F33">
        <w:rPr>
          <w:position w:val="-10"/>
        </w:rPr>
        <w:object w:dxaOrig="279" w:dyaOrig="320" w14:anchorId="5B72D03F">
          <v:shape id="_x0000_i7687" type="#_x0000_t75" style="width:13.9pt;height:15.75pt" o:ole="">
            <v:imagedata r:id="rId13450" o:title=""/>
          </v:shape>
          <o:OLEObject Type="Embed" ProgID="Equation.DSMT4" ShapeID="_x0000_i7687" DrawAspect="Content" ObjectID="_1791381630" r:id="rId13451"/>
        </w:object>
      </w:r>
      <w:r w:rsidRPr="00551F33">
        <w:rPr>
          <w:rFonts w:hint="cs"/>
          <w:i/>
          <w:sz w:val="23"/>
          <w:szCs w:val="23"/>
          <w:rtl/>
        </w:rPr>
        <w:t xml:space="preserve"> </w:t>
      </w:r>
      <w:r w:rsidRPr="00551F33">
        <w:rPr>
          <w:rFonts w:hint="cs"/>
          <w:i/>
          <w:sz w:val="23"/>
          <w:szCs w:val="23"/>
          <w:rtl/>
          <w:lang w:eastAsia="en-GB"/>
        </w:rPr>
        <w:t>و عایدی آن در زمان دو برابر است با</w:t>
      </w:r>
      <w:r w:rsidRPr="00551F33">
        <w:rPr>
          <w:position w:val="-6"/>
        </w:rPr>
        <w:object w:dxaOrig="240" w:dyaOrig="260" w14:anchorId="5EABD5EE">
          <v:shape id="_x0000_i7688" type="#_x0000_t75" style="width:11.5pt;height:13.3pt" o:ole="">
            <v:imagedata r:id="rId13452" o:title=""/>
          </v:shape>
          <o:OLEObject Type="Embed" ProgID="Equation.DSMT4" ShapeID="_x0000_i7688" DrawAspect="Content" ObjectID="_1791381631" r:id="rId13453"/>
        </w:object>
      </w:r>
      <w:r w:rsidRPr="00551F33">
        <w:rPr>
          <w:rFonts w:hint="cs"/>
          <w:i/>
          <w:sz w:val="23"/>
          <w:szCs w:val="23"/>
          <w:rtl/>
        </w:rPr>
        <w:t xml:space="preserve">، </w:t>
      </w:r>
      <w:r w:rsidRPr="00551F33">
        <w:rPr>
          <w:rFonts w:hint="cs"/>
          <w:i/>
          <w:sz w:val="23"/>
          <w:szCs w:val="23"/>
          <w:rtl/>
          <w:lang w:eastAsia="en-GB"/>
        </w:rPr>
        <w:t xml:space="preserve">ارزش فعلی یک واحد مصرف در زمان دو برابر است با </w:t>
      </w:r>
      <w:r w:rsidRPr="00551F33">
        <w:rPr>
          <w:position w:val="-10"/>
        </w:rPr>
        <w:object w:dxaOrig="600" w:dyaOrig="320" w14:anchorId="013AEB86">
          <v:shape id="_x0000_i7689" type="#_x0000_t75" style="width:29.65pt;height:15.75pt" o:ole="">
            <v:imagedata r:id="rId13454" o:title=""/>
          </v:shape>
          <o:OLEObject Type="Embed" ProgID="Equation.DSMT4" ShapeID="_x0000_i7689" DrawAspect="Content" ObjectID="_1791381632" r:id="rId13455"/>
        </w:object>
      </w:r>
      <w:r w:rsidRPr="00551F33">
        <w:rPr>
          <w:rFonts w:hint="cs"/>
          <w:i/>
          <w:sz w:val="23"/>
          <w:szCs w:val="23"/>
          <w:rtl/>
        </w:rPr>
        <w:t xml:space="preserve">. </w:t>
      </w:r>
      <w:r w:rsidRPr="00551F33">
        <w:rPr>
          <w:rFonts w:hint="cs"/>
          <w:i/>
          <w:sz w:val="23"/>
          <w:szCs w:val="23"/>
          <w:rtl/>
          <w:lang w:eastAsia="en-GB"/>
        </w:rPr>
        <w:t>طرف راست رابطه‌ی (۱۵. ۶) ارزش پرتفو بانک است. بانک‌ها</w:t>
      </w:r>
      <w:r w:rsidRPr="00551F33">
        <w:rPr>
          <w:position w:val="-8"/>
        </w:rPr>
        <w:object w:dxaOrig="200" w:dyaOrig="220" w14:anchorId="4C6A21E9">
          <v:shape id="_x0000_i7690" type="#_x0000_t75" style="width:10.3pt;height:10.9pt" o:ole="">
            <v:imagedata r:id="rId13456" o:title=""/>
          </v:shape>
          <o:OLEObject Type="Embed" ProgID="Equation.DSMT4" ShapeID="_x0000_i7690" DrawAspect="Content" ObjectID="_1791381633" r:id="rId13457"/>
        </w:object>
      </w:r>
      <w:r w:rsidRPr="00551F33">
        <w:rPr>
          <w:rFonts w:hint="cs"/>
          <w:i/>
          <w:sz w:val="23"/>
          <w:szCs w:val="23"/>
          <w:rtl/>
          <w:lang w:eastAsia="en-GB"/>
        </w:rPr>
        <w:t xml:space="preserve"> واحد در زمان یک از دارایی کوتاه</w:t>
      </w:r>
      <w:r w:rsidRPr="00551F33">
        <w:rPr>
          <w:rFonts w:hint="cs"/>
          <w:i/>
          <w:sz w:val="23"/>
          <w:szCs w:val="23"/>
          <w:rtl/>
          <w:lang w:eastAsia="en-GB"/>
        </w:rPr>
        <w:softHyphen/>
        <w:t>مدت دریافت کرده و</w:t>
      </w:r>
      <w:r w:rsidRPr="00551F33">
        <w:rPr>
          <w:position w:val="-8"/>
        </w:rPr>
        <w:object w:dxaOrig="480" w:dyaOrig="279" w14:anchorId="1EA3C442">
          <v:shape id="_x0000_i7691" type="#_x0000_t75" style="width:24.2pt;height:13.9pt" o:ole="">
            <v:imagedata r:id="rId13458" o:title=""/>
          </v:shape>
          <o:OLEObject Type="Embed" ProgID="Equation.DSMT4" ShapeID="_x0000_i7691" DrawAspect="Content" ObjectID="_1791381634" r:id="rId13459"/>
        </w:object>
      </w:r>
      <w:r w:rsidRPr="00551F33">
        <w:rPr>
          <w:i/>
          <w:sz w:val="23"/>
          <w:szCs w:val="23"/>
        </w:rPr>
        <w:t xml:space="preserve"> </w:t>
      </w:r>
      <w:r w:rsidRPr="00551F33">
        <w:rPr>
          <w:rFonts w:hint="cs"/>
          <w:i/>
          <w:sz w:val="23"/>
          <w:szCs w:val="23"/>
          <w:rtl/>
          <w:lang w:eastAsia="en-GB"/>
        </w:rPr>
        <w:t>واحد را به قیمت</w:t>
      </w:r>
      <w:r w:rsidRPr="00551F33">
        <w:rPr>
          <w:position w:val="-10"/>
        </w:rPr>
        <w:object w:dxaOrig="279" w:dyaOrig="320" w14:anchorId="0BACEA67">
          <v:shape id="_x0000_i7692" type="#_x0000_t75" style="width:13.9pt;height:15.75pt" o:ole="">
            <v:imagedata r:id="rId13460" o:title=""/>
          </v:shape>
          <o:OLEObject Type="Embed" ProgID="Equation.DSMT4" ShapeID="_x0000_i7692" DrawAspect="Content" ObjectID="_1791381635" r:id="rId13461"/>
        </w:object>
      </w:r>
      <w:r w:rsidRPr="00551F33">
        <w:rPr>
          <w:rFonts w:hint="cs"/>
          <w:i/>
          <w:sz w:val="23"/>
          <w:szCs w:val="23"/>
          <w:rtl/>
          <w:lang w:eastAsia="en-GB"/>
        </w:rPr>
        <w:t xml:space="preserve"> بر حسب هر واحد از دارای بلندمدت دریافت می</w:t>
      </w:r>
      <w:r w:rsidRPr="00551F33">
        <w:rPr>
          <w:i/>
          <w:sz w:val="23"/>
          <w:szCs w:val="23"/>
          <w:lang w:eastAsia="en-GB"/>
        </w:rPr>
        <w:t>‌</w:t>
      </w:r>
      <w:r w:rsidRPr="00551F33">
        <w:rPr>
          <w:rFonts w:hint="cs"/>
          <w:i/>
          <w:sz w:val="23"/>
          <w:szCs w:val="23"/>
          <w:rtl/>
          <w:lang w:eastAsia="en-GB"/>
        </w:rPr>
        <w:t>کنند</w:t>
      </w:r>
      <w:r w:rsidRPr="00551F33">
        <w:rPr>
          <w:i/>
          <w:sz w:val="23"/>
          <w:szCs w:val="23"/>
          <w:lang w:eastAsia="en-GB"/>
        </w:rPr>
        <w:t>.</w:t>
      </w:r>
      <w:r w:rsidRPr="00551F33">
        <w:rPr>
          <w:rFonts w:hint="cs"/>
          <w:i/>
          <w:sz w:val="23"/>
          <w:szCs w:val="23"/>
          <w:rtl/>
          <w:lang w:eastAsia="en-GB"/>
        </w:rPr>
        <w:t xml:space="preserve"> </w:t>
      </w:r>
    </w:p>
    <w:p w14:paraId="584B4472"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رابطه‌ی (۱۵. ۶) به</w:t>
      </w:r>
      <w:r w:rsidRPr="00551F33">
        <w:rPr>
          <w:rFonts w:hint="cs"/>
          <w:i/>
          <w:sz w:val="23"/>
          <w:szCs w:val="23"/>
          <w:rtl/>
          <w:lang w:eastAsia="en-GB"/>
        </w:rPr>
        <w:softHyphen/>
        <w:t>طور همزمان قید بودجه و سازگاری انگیزه را برآورده می‌نماید. اگر سازگاری انگیزه برآورده نشود، مصرف</w:t>
      </w:r>
      <w:r w:rsidRPr="00551F33">
        <w:rPr>
          <w:rFonts w:hint="cs"/>
          <w:i/>
          <w:sz w:val="23"/>
          <w:szCs w:val="23"/>
          <w:rtl/>
          <w:lang w:eastAsia="en-GB"/>
        </w:rPr>
        <w:softHyphen/>
        <w:t>کنندگان دیرهنگام از مصرف</w:t>
      </w:r>
      <w:r w:rsidRPr="00551F33">
        <w:rPr>
          <w:rFonts w:hint="cs"/>
          <w:i/>
          <w:sz w:val="23"/>
          <w:szCs w:val="23"/>
          <w:rtl/>
          <w:lang w:eastAsia="en-GB"/>
        </w:rPr>
        <w:softHyphen/>
        <w:t>کنندگان زود هنگام کم</w:t>
      </w:r>
      <w:r w:rsidRPr="00551F33">
        <w:rPr>
          <w:rFonts w:hint="cs"/>
          <w:i/>
          <w:sz w:val="23"/>
          <w:szCs w:val="23"/>
          <w:rtl/>
          <w:lang w:eastAsia="en-GB"/>
        </w:rPr>
        <w:softHyphen/>
        <w:t>تر دریافت کرده، و بنابراین انگیزه دارند در زمان یک برداشت کند، که مسبب هجوم به بانک می</w:t>
      </w:r>
      <w:r w:rsidRPr="00551F33">
        <w:rPr>
          <w:rFonts w:hint="cs"/>
          <w:i/>
          <w:sz w:val="23"/>
          <w:szCs w:val="23"/>
          <w:rtl/>
          <w:lang w:eastAsia="en-GB"/>
        </w:rPr>
        <w:softHyphen/>
        <w:t>شوند. این نتیجه‌های کلیدی مدل دیاموند و دیبویگ نشان می‌دهد که چگونه کمبود نقدینگی که از فقدان اطلاعات درباره‌ی رفتار خانوارها ناشی می‌شود، یعنی کمبود اطلاعات از زودهنگام بودن مصرف</w:t>
      </w:r>
      <w:r w:rsidRPr="00551F33">
        <w:rPr>
          <w:i/>
          <w:sz w:val="23"/>
          <w:szCs w:val="23"/>
          <w:lang w:eastAsia="en-GB"/>
        </w:rPr>
        <w:t>‌</w:t>
      </w:r>
      <w:r w:rsidRPr="00551F33">
        <w:rPr>
          <w:rFonts w:hint="cs"/>
          <w:i/>
          <w:sz w:val="23"/>
          <w:szCs w:val="23"/>
          <w:rtl/>
          <w:lang w:eastAsia="en-GB"/>
        </w:rPr>
        <w:t>کنندگان یا دیرهنگام بودن آن</w:t>
      </w:r>
      <w:r w:rsidRPr="00551F33">
        <w:rPr>
          <w:rFonts w:hint="cs"/>
          <w:i/>
          <w:sz w:val="23"/>
          <w:szCs w:val="23"/>
          <w:rtl/>
          <w:lang w:eastAsia="en-GB"/>
        </w:rPr>
        <w:softHyphen/>
        <w:t>ها، هجوم به بانک</w:t>
      </w:r>
      <w:r w:rsidRPr="00551F33">
        <w:rPr>
          <w:rFonts w:hint="cs"/>
          <w:i/>
          <w:sz w:val="23"/>
          <w:szCs w:val="23"/>
          <w:rtl/>
          <w:lang w:eastAsia="en-GB"/>
        </w:rPr>
        <w:softHyphen/>
        <w:t>ها آغاز می</w:t>
      </w:r>
      <w:r w:rsidRPr="00551F33">
        <w:rPr>
          <w:rFonts w:hint="cs"/>
          <w:i/>
          <w:sz w:val="23"/>
          <w:szCs w:val="23"/>
          <w:rtl/>
          <w:lang w:eastAsia="en-GB"/>
        </w:rPr>
        <w:softHyphen/>
        <w:t>شود. تمام عدم قطعیت در زمان یک حل می‌شود. سپس خانوارها یاد می‌گیرند که مصرف</w:t>
      </w:r>
      <w:r w:rsidRPr="00551F33">
        <w:rPr>
          <w:rFonts w:hint="cs"/>
          <w:i/>
          <w:sz w:val="23"/>
          <w:szCs w:val="23"/>
          <w:rtl/>
          <w:lang w:eastAsia="en-GB"/>
        </w:rPr>
        <w:softHyphen/>
        <w:t>کننده دیرهنگام هستند یا زود هنگام، و عموم مردم مقدار</w:t>
      </w:r>
      <w:r w:rsidRPr="00551F33">
        <w:rPr>
          <w:position w:val="-10"/>
        </w:rPr>
        <w:object w:dxaOrig="240" w:dyaOrig="320" w14:anchorId="03A91D68">
          <v:shape id="_x0000_i7693" type="#_x0000_t75" style="width:11.5pt;height:15.75pt" o:ole="">
            <v:imagedata r:id="rId13462" o:title=""/>
          </v:shape>
          <o:OLEObject Type="Embed" ProgID="Equation.DSMT4" ShapeID="_x0000_i7693" DrawAspect="Content" ObjectID="_1791381636" r:id="rId13463"/>
        </w:object>
      </w:r>
      <w:r w:rsidRPr="00551F33">
        <w:rPr>
          <w:rFonts w:hint="cs"/>
          <w:i/>
          <w:sz w:val="23"/>
          <w:szCs w:val="23"/>
          <w:rtl/>
          <w:lang w:eastAsia="en-GB"/>
        </w:rPr>
        <w:t xml:space="preserve"> و</w:t>
      </w:r>
      <w:r w:rsidRPr="00551F33">
        <w:rPr>
          <w:position w:val="-6"/>
        </w:rPr>
        <w:object w:dxaOrig="200" w:dyaOrig="260" w14:anchorId="09D9C3CD">
          <v:shape id="_x0000_i7694" type="#_x0000_t75" style="width:10.3pt;height:13.3pt" o:ole="">
            <v:imagedata r:id="rId13464" o:title=""/>
          </v:shape>
          <o:OLEObject Type="Embed" ProgID="Equation.DSMT4" ShapeID="_x0000_i7694" DrawAspect="Content" ObjectID="_1791381637" r:id="rId13465"/>
        </w:object>
      </w:r>
      <w:r w:rsidRPr="00551F33">
        <w:rPr>
          <w:rFonts w:hint="cs"/>
          <w:i/>
          <w:sz w:val="23"/>
          <w:szCs w:val="23"/>
          <w:rtl/>
          <w:lang w:eastAsia="en-GB"/>
        </w:rPr>
        <w:t xml:space="preserve"> را مشاهده می‌کنند، اما برای بانک</w:t>
      </w:r>
      <w:r w:rsidRPr="00551F33">
        <w:rPr>
          <w:i/>
          <w:sz w:val="23"/>
          <w:szCs w:val="23"/>
          <w:lang w:eastAsia="en-GB"/>
        </w:rPr>
        <w:t>‌</w:t>
      </w:r>
      <w:r w:rsidRPr="00551F33">
        <w:rPr>
          <w:rFonts w:hint="cs"/>
          <w:i/>
          <w:sz w:val="23"/>
          <w:szCs w:val="23"/>
          <w:rtl/>
          <w:lang w:eastAsia="en-GB"/>
        </w:rPr>
        <w:t>ها بسیار دیر است که نسبت به آن واکنش نشان دهند زیرا آن</w:t>
      </w:r>
      <w:r w:rsidRPr="00551F33">
        <w:rPr>
          <w:rFonts w:hint="cs"/>
          <w:i/>
          <w:sz w:val="23"/>
          <w:szCs w:val="23"/>
          <w:rtl/>
          <w:lang w:eastAsia="en-GB"/>
        </w:rPr>
        <w:softHyphen/>
        <w:t>ها باید در زمان صفر سرمایه</w:t>
      </w:r>
      <w:r w:rsidRPr="00551F33">
        <w:rPr>
          <w:rFonts w:hint="cs"/>
          <w:i/>
          <w:sz w:val="23"/>
          <w:szCs w:val="23"/>
          <w:rtl/>
          <w:lang w:eastAsia="en-GB"/>
        </w:rPr>
        <w:softHyphen/>
        <w:t>گذاری کنند.</w:t>
      </w:r>
    </w:p>
    <w:p w14:paraId="5A8DB78F"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حل بهینه‌ی برنامه</w:t>
      </w:r>
      <w:r w:rsidRPr="00551F33">
        <w:rPr>
          <w:rFonts w:hint="cs"/>
          <w:i/>
          <w:sz w:val="23"/>
          <w:szCs w:val="23"/>
          <w:rtl/>
          <w:lang w:eastAsia="en-GB"/>
        </w:rPr>
        <w:softHyphen/>
        <w:t>ریز متمرکز شامل انتخاب</w:t>
      </w:r>
      <w:r w:rsidRPr="00551F33">
        <w:rPr>
          <w:position w:val="-8"/>
        </w:rPr>
        <w:object w:dxaOrig="200" w:dyaOrig="220" w14:anchorId="0239389D">
          <v:shape id="_x0000_i7695" type="#_x0000_t75" style="width:10.3pt;height:10.9pt" o:ole="">
            <v:imagedata r:id="rId13466" o:title=""/>
          </v:shape>
          <o:OLEObject Type="Embed" ProgID="Equation.DSMT4" ShapeID="_x0000_i7695" DrawAspect="Content" ObjectID="_1791381638" r:id="rId13467"/>
        </w:object>
      </w:r>
      <w:r w:rsidRPr="00551F33">
        <w:rPr>
          <w:rFonts w:hint="cs"/>
          <w:i/>
          <w:sz w:val="23"/>
          <w:szCs w:val="23"/>
          <w:rtl/>
          <w:lang w:eastAsia="en-GB"/>
        </w:rPr>
        <w:t xml:space="preserve"> و</w:t>
      </w:r>
      <w:r w:rsidRPr="00551F33">
        <w:rPr>
          <w:position w:val="-6"/>
        </w:rPr>
        <w:object w:dxaOrig="200" w:dyaOrig="260" w14:anchorId="683D87CB">
          <v:shape id="_x0000_i7696" type="#_x0000_t75" style="width:10.3pt;height:13.3pt" o:ole="">
            <v:imagedata r:id="rId13468" o:title=""/>
          </v:shape>
          <o:OLEObject Type="Embed" ProgID="Equation.DSMT4" ShapeID="_x0000_i7696" DrawAspect="Content" ObjectID="_1791381639" r:id="rId13469"/>
        </w:object>
      </w:r>
      <w:r w:rsidRPr="00551F33">
        <w:rPr>
          <w:rFonts w:hint="cs"/>
          <w:i/>
          <w:sz w:val="23"/>
          <w:szCs w:val="23"/>
          <w:rtl/>
          <w:lang w:eastAsia="en-GB"/>
        </w:rPr>
        <w:t xml:space="preserve"> برای حداکثر کردن مطلوبیت انتظاری خانوار است که در رابطه زیر داده شده است</w:t>
      </w:r>
    </w:p>
    <w:p w14:paraId="09C7C33E" w14:textId="77777777" w:rsidR="00556C10" w:rsidRPr="00551F33" w:rsidRDefault="00556C10" w:rsidP="00556C10">
      <w:pPr>
        <w:bidi w:val="0"/>
        <w:spacing w:line="216" w:lineRule="auto"/>
        <w:rPr>
          <w:i/>
          <w:sz w:val="23"/>
          <w:szCs w:val="23"/>
          <w:lang w:eastAsia="en-GB"/>
        </w:rPr>
      </w:pPr>
      <w:r w:rsidRPr="00551F33">
        <w:rPr>
          <w:position w:val="-14"/>
        </w:rPr>
        <w:object w:dxaOrig="5840" w:dyaOrig="380" w14:anchorId="1B8F6FC3">
          <v:shape id="_x0000_i7697" type="#_x0000_t75" style="width:292.25pt;height:18.75pt" o:ole="">
            <v:imagedata r:id="rId13470" o:title=""/>
          </v:shape>
          <o:OLEObject Type="Embed" ProgID="Equation.DSMT4" ShapeID="_x0000_i7697" DrawAspect="Content" ObjectID="_1791381640" r:id="rId13471"/>
        </w:object>
      </w:r>
      <w:r>
        <w:rPr>
          <w:rtl/>
        </w:rPr>
        <w:tab/>
      </w:r>
      <w:r w:rsidRPr="00551F33">
        <w:rPr>
          <w:i/>
          <w:sz w:val="23"/>
          <w:szCs w:val="23"/>
          <w:rtl/>
        </w:rPr>
        <w:tab/>
      </w:r>
      <w:r w:rsidRPr="00551F33">
        <w:rPr>
          <w:rFonts w:hint="cs"/>
          <w:i/>
          <w:sz w:val="23"/>
          <w:szCs w:val="23"/>
          <w:rtl/>
        </w:rPr>
        <w:t xml:space="preserve">(۱۵. ۷) </w:t>
      </w:r>
    </w:p>
    <w:p w14:paraId="4F99D047" w14:textId="77777777" w:rsidR="00556C10" w:rsidRPr="00551F33" w:rsidRDefault="00556C10" w:rsidP="00556C10">
      <w:pPr>
        <w:spacing w:line="216" w:lineRule="auto"/>
        <w:rPr>
          <w:i/>
          <w:sz w:val="23"/>
          <w:szCs w:val="23"/>
          <w:lang w:eastAsia="en-GB" w:bidi="ar-SA"/>
        </w:rPr>
      </w:pPr>
      <w:r w:rsidRPr="00551F33">
        <w:rPr>
          <w:rFonts w:hint="cs"/>
          <w:i/>
          <w:sz w:val="23"/>
          <w:szCs w:val="23"/>
          <w:rtl/>
          <w:lang w:eastAsia="en-GB"/>
        </w:rPr>
        <w:t>وقتی</w:t>
      </w:r>
      <w:r w:rsidRPr="00551F33">
        <w:rPr>
          <w:position w:val="-6"/>
        </w:rPr>
        <w:object w:dxaOrig="540" w:dyaOrig="260" w14:anchorId="68BF3D5E">
          <v:shape id="_x0000_i7698" type="#_x0000_t75" style="width:26.6pt;height:13.3pt" o:ole="">
            <v:imagedata r:id="rId13472" o:title=""/>
          </v:shape>
          <o:OLEObject Type="Embed" ProgID="Equation.DSMT4" ShapeID="_x0000_i7698" DrawAspect="Content" ObjectID="_1791381641" r:id="rId13473"/>
        </w:object>
      </w:r>
      <w:r w:rsidRPr="00551F33">
        <w:rPr>
          <w:rFonts w:hint="cs"/>
          <w:i/>
          <w:sz w:val="23"/>
          <w:szCs w:val="23"/>
          <w:rtl/>
          <w:lang w:eastAsia="en-GB"/>
        </w:rPr>
        <w:t xml:space="preserve"> که با احتمال</w:t>
      </w:r>
      <w:r w:rsidRPr="00551F33">
        <w:rPr>
          <w:position w:val="-6"/>
        </w:rPr>
        <w:object w:dxaOrig="220" w:dyaOrig="200" w14:anchorId="0BA21B77">
          <v:shape id="_x0000_i7699" type="#_x0000_t75" style="width:10.9pt;height:10.3pt" o:ole="">
            <v:imagedata r:id="rId13474" o:title=""/>
          </v:shape>
          <o:OLEObject Type="Embed" ProgID="Equation.DSMT4" ShapeID="_x0000_i7699" DrawAspect="Content" ObjectID="_1791381642" r:id="rId13475"/>
        </w:object>
      </w:r>
      <w:r w:rsidRPr="00551F33">
        <w:rPr>
          <w:rFonts w:hint="cs"/>
          <w:i/>
          <w:sz w:val="23"/>
          <w:szCs w:val="23"/>
          <w:rtl/>
          <w:lang w:eastAsia="en-GB"/>
        </w:rPr>
        <w:t xml:space="preserve"> بوقوع می</w:t>
      </w:r>
      <w:r w:rsidRPr="00551F33">
        <w:rPr>
          <w:rFonts w:hint="cs"/>
          <w:i/>
          <w:sz w:val="23"/>
          <w:szCs w:val="23"/>
          <w:rtl/>
          <w:lang w:eastAsia="en-GB"/>
        </w:rPr>
        <w:softHyphen/>
        <w:t>پیوندد، مصرف</w:t>
      </w:r>
      <w:r w:rsidRPr="00551F33">
        <w:rPr>
          <w:rFonts w:hint="cs"/>
          <w:i/>
          <w:sz w:val="23"/>
          <w:szCs w:val="23"/>
          <w:rtl/>
          <w:lang w:eastAsia="en-GB"/>
        </w:rPr>
        <w:softHyphen/>
        <w:t>کنندگان زودهنگام مقدار</w:t>
      </w:r>
      <w:r w:rsidRPr="00551F33">
        <w:rPr>
          <w:position w:val="-6"/>
        </w:rPr>
        <w:object w:dxaOrig="200" w:dyaOrig="260" w14:anchorId="65044F50">
          <v:shape id="_x0000_i7700" type="#_x0000_t75" style="width:10.3pt;height:13.3pt" o:ole="">
            <v:imagedata r:id="rId13476" o:title=""/>
          </v:shape>
          <o:OLEObject Type="Embed" ProgID="Equation.DSMT4" ShapeID="_x0000_i7700" DrawAspect="Content" ObjectID="_1791381643" r:id="rId13477"/>
        </w:object>
      </w:r>
      <w:r w:rsidRPr="00551F33">
        <w:rPr>
          <w:rFonts w:hint="cs"/>
          <w:i/>
          <w:sz w:val="23"/>
          <w:szCs w:val="23"/>
          <w:rtl/>
          <w:lang w:eastAsia="en-GB"/>
        </w:rPr>
        <w:t xml:space="preserve"> را دریافت کرده و مصرف</w:t>
      </w:r>
      <w:r w:rsidRPr="00551F33">
        <w:rPr>
          <w:rFonts w:hint="cs"/>
          <w:i/>
          <w:sz w:val="23"/>
          <w:szCs w:val="23"/>
          <w:rtl/>
          <w:lang w:eastAsia="en-GB"/>
        </w:rPr>
        <w:softHyphen/>
        <w:t>کنندگان دیرهنگام</w:t>
      </w:r>
      <w:r w:rsidRPr="00551F33">
        <w:rPr>
          <w:position w:val="-10"/>
        </w:rPr>
        <w:object w:dxaOrig="300" w:dyaOrig="320" w14:anchorId="71639AE8">
          <v:shape id="_x0000_i7701" type="#_x0000_t75" style="width:14.5pt;height:15.75pt" o:ole="">
            <v:imagedata r:id="rId13478" o:title=""/>
          </v:shape>
          <o:OLEObject Type="Embed" ProgID="Equation.DSMT4" ShapeID="_x0000_i7701" DrawAspect="Content" ObjectID="_1791381644" r:id="rId13479"/>
        </w:object>
      </w:r>
      <w:r w:rsidRPr="00551F33">
        <w:rPr>
          <w:rFonts w:hint="cs"/>
          <w:i/>
          <w:sz w:val="23"/>
          <w:szCs w:val="23"/>
          <w:rtl/>
          <w:lang w:eastAsia="en-GB"/>
        </w:rPr>
        <w:t xml:space="preserve"> را دریافت می</w:t>
      </w:r>
      <w:r w:rsidRPr="00551F33">
        <w:rPr>
          <w:rFonts w:hint="cs"/>
          <w:i/>
          <w:sz w:val="23"/>
          <w:szCs w:val="23"/>
          <w:rtl/>
          <w:lang w:eastAsia="en-GB"/>
        </w:rPr>
        <w:softHyphen/>
        <w:t>کنند؛ وقتی</w:t>
      </w:r>
      <w:r w:rsidRPr="00551F33">
        <w:rPr>
          <w:position w:val="-6"/>
        </w:rPr>
        <w:object w:dxaOrig="499" w:dyaOrig="260" w14:anchorId="153AB73C">
          <v:shape id="_x0000_i7702" type="#_x0000_t75" style="width:24.8pt;height:13.3pt" o:ole="">
            <v:imagedata r:id="rId13480" o:title=""/>
          </v:shape>
          <o:OLEObject Type="Embed" ProgID="Equation.DSMT4" ShapeID="_x0000_i7702" DrawAspect="Content" ObjectID="_1791381645" r:id="rId13481"/>
        </w:object>
      </w:r>
      <w:r w:rsidRPr="00551F33">
        <w:rPr>
          <w:rFonts w:hint="cs"/>
          <w:i/>
          <w:sz w:val="23"/>
          <w:szCs w:val="23"/>
          <w:rtl/>
          <w:lang w:eastAsia="en-GB"/>
        </w:rPr>
        <w:t xml:space="preserve"> مصرف</w:t>
      </w:r>
      <w:r w:rsidRPr="00551F33">
        <w:rPr>
          <w:rFonts w:hint="cs"/>
          <w:i/>
          <w:sz w:val="23"/>
          <w:szCs w:val="23"/>
          <w:rtl/>
          <w:lang w:eastAsia="en-GB"/>
        </w:rPr>
        <w:softHyphen/>
        <w:t xml:space="preserve">کنندگان دیرهنگام </w:t>
      </w:r>
      <w:r w:rsidRPr="00551F33">
        <w:rPr>
          <w:position w:val="-10"/>
        </w:rPr>
        <w:object w:dxaOrig="300" w:dyaOrig="320" w14:anchorId="08944381">
          <v:shape id="_x0000_i7703" type="#_x0000_t75" style="width:14.5pt;height:15.75pt" o:ole="">
            <v:imagedata r:id="rId13482" o:title=""/>
          </v:shape>
          <o:OLEObject Type="Embed" ProgID="Equation.DSMT4" ShapeID="_x0000_i7703" DrawAspect="Content" ObjectID="_1791381646" r:id="rId13483"/>
        </w:object>
      </w:r>
      <w:r w:rsidRPr="00551F33">
        <w:rPr>
          <w:rFonts w:hint="cs"/>
          <w:i/>
          <w:sz w:val="23"/>
          <w:szCs w:val="23"/>
          <w:rtl/>
          <w:lang w:eastAsia="en-GB"/>
        </w:rPr>
        <w:t xml:space="preserve"> را دریافت می</w:t>
      </w:r>
      <w:r w:rsidRPr="00551F33">
        <w:rPr>
          <w:i/>
          <w:sz w:val="23"/>
          <w:szCs w:val="23"/>
          <w:lang w:eastAsia="en-GB"/>
        </w:rPr>
        <w:t>‌</w:t>
      </w:r>
      <w:r w:rsidRPr="00551F33">
        <w:rPr>
          <w:rFonts w:hint="cs"/>
          <w:i/>
          <w:sz w:val="23"/>
          <w:szCs w:val="23"/>
          <w:rtl/>
          <w:lang w:eastAsia="en-GB"/>
        </w:rPr>
        <w:t>کنند. برنامه ریز مترکز</w:t>
      </w:r>
      <w:r w:rsidRPr="00551F33">
        <w:rPr>
          <w:position w:val="-6"/>
        </w:rPr>
        <w:object w:dxaOrig="240" w:dyaOrig="260" w14:anchorId="3AEE6303">
          <v:shape id="_x0000_i7704" type="#_x0000_t75" style="width:11.5pt;height:13.3pt" o:ole="">
            <v:imagedata r:id="rId13484" o:title=""/>
          </v:shape>
          <o:OLEObject Type="Embed" ProgID="Equation.DSMT4" ShapeID="_x0000_i7704" DrawAspect="Content" ObjectID="_1791381647" r:id="rId13485"/>
        </w:object>
      </w:r>
      <w:r w:rsidRPr="00551F33">
        <w:rPr>
          <w:rFonts w:hint="cs"/>
          <w:i/>
          <w:sz w:val="23"/>
          <w:szCs w:val="23"/>
          <w:rtl/>
          <w:lang w:eastAsia="en-GB"/>
        </w:rPr>
        <w:t xml:space="preserve"> را نسبت به چهار قید که به پیشامد</w:t>
      </w:r>
      <w:r w:rsidRPr="00551F33">
        <w:rPr>
          <w:position w:val="-6"/>
        </w:rPr>
        <w:object w:dxaOrig="200" w:dyaOrig="260" w14:anchorId="665937F0">
          <v:shape id="_x0000_i7705" type="#_x0000_t75" style="width:10.3pt;height:13.3pt" o:ole="">
            <v:imagedata r:id="rId13486" o:title=""/>
          </v:shape>
          <o:OLEObject Type="Embed" ProgID="Equation.DSMT4" ShapeID="_x0000_i7705" DrawAspect="Content" ObjectID="_1791381648" r:id="rId13487"/>
        </w:object>
      </w:r>
      <w:r w:rsidRPr="00551F33">
        <w:rPr>
          <w:rFonts w:hint="cs"/>
          <w:i/>
          <w:sz w:val="23"/>
          <w:szCs w:val="23"/>
          <w:rtl/>
          <w:lang w:eastAsia="en-GB"/>
        </w:rPr>
        <w:t xml:space="preserve"> بستگی دارد حداکثر می‌کند</w:t>
      </w:r>
    </w:p>
    <w:p w14:paraId="5AD81AD1" w14:textId="77777777" w:rsidR="00556C10" w:rsidRPr="00551F33" w:rsidRDefault="00556C10" w:rsidP="00556C10">
      <w:pPr>
        <w:bidi w:val="0"/>
        <w:spacing w:line="216" w:lineRule="auto"/>
        <w:rPr>
          <w:i/>
          <w:sz w:val="23"/>
          <w:szCs w:val="23"/>
          <w:rtl/>
          <w:lang w:eastAsia="en-GB"/>
        </w:rPr>
      </w:pPr>
      <w:r w:rsidRPr="00551F33">
        <w:rPr>
          <w:position w:val="-10"/>
        </w:rPr>
        <w:object w:dxaOrig="740" w:dyaOrig="320" w14:anchorId="07C3E7D4">
          <v:shape id="_x0000_i7706" type="#_x0000_t75" style="width:36.9pt;height:15.75pt" o:ole="">
            <v:imagedata r:id="rId13488" o:title=""/>
          </v:shape>
          <o:OLEObject Type="Embed" ProgID="Equation.DSMT4" ShapeID="_x0000_i7706" DrawAspect="Content" ObjectID="_1791381649" r:id="rId13489"/>
        </w:object>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i/>
          <w:sz w:val="23"/>
          <w:szCs w:val="23"/>
          <w:lang w:eastAsia="en-GB"/>
        </w:rPr>
        <w:t xml:space="preserve"> </w:t>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rFonts w:hint="cs"/>
          <w:i/>
          <w:sz w:val="23"/>
          <w:szCs w:val="23"/>
          <w:rtl/>
          <w:lang w:eastAsia="en-GB"/>
        </w:rPr>
        <w:tab/>
        <w:t xml:space="preserve">(۱۵. ۸) </w:t>
      </w:r>
    </w:p>
    <w:p w14:paraId="2F89BAC3" w14:textId="77777777" w:rsidR="00556C10" w:rsidRPr="00551F33" w:rsidRDefault="00556C10" w:rsidP="00556C10">
      <w:pPr>
        <w:bidi w:val="0"/>
        <w:spacing w:line="216" w:lineRule="auto"/>
        <w:rPr>
          <w:i/>
          <w:sz w:val="23"/>
          <w:szCs w:val="23"/>
          <w:rtl/>
          <w:lang w:eastAsia="en-GB" w:bidi="ar-SA"/>
        </w:rPr>
      </w:pPr>
      <w:r w:rsidRPr="00551F33">
        <w:rPr>
          <w:position w:val="-12"/>
        </w:rPr>
        <w:object w:dxaOrig="2799" w:dyaOrig="360" w14:anchorId="01A16A3D">
          <v:shape id="_x0000_i7707" type="#_x0000_t75" style="width:139.75pt;height:18.15pt" o:ole="">
            <v:imagedata r:id="rId13490" o:title=""/>
          </v:shape>
          <o:OLEObject Type="Embed" ProgID="Equation.DSMT4" ShapeID="_x0000_i7707" DrawAspect="Content" ObjectID="_1791381650" r:id="rId13491"/>
        </w:object>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t xml:space="preserve"> </w:t>
      </w:r>
      <w:r w:rsidRPr="00551F33">
        <w:rPr>
          <w:i/>
          <w:sz w:val="23"/>
          <w:szCs w:val="23"/>
          <w:rtl/>
          <w:lang w:eastAsia="en-GB"/>
        </w:rPr>
        <w:tab/>
      </w:r>
      <w:r>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rFonts w:hint="cs"/>
          <w:i/>
          <w:sz w:val="23"/>
          <w:szCs w:val="23"/>
          <w:rtl/>
          <w:lang w:eastAsia="en-GB"/>
        </w:rPr>
        <w:tab/>
        <w:t xml:space="preserve">(۱۵. ۹) </w:t>
      </w:r>
    </w:p>
    <w:p w14:paraId="51CEA7D3"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 xml:space="preserve">با </w:t>
      </w:r>
      <w:r w:rsidRPr="00551F33">
        <w:rPr>
          <w:position w:val="-6"/>
        </w:rPr>
        <w:object w:dxaOrig="540" w:dyaOrig="260" w14:anchorId="28755ECF">
          <v:shape id="_x0000_i7708" type="#_x0000_t75" style="width:26.6pt;height:13.3pt" o:ole="">
            <v:imagedata r:id="rId13492" o:title=""/>
          </v:shape>
          <o:OLEObject Type="Embed" ProgID="Equation.DSMT4" ShapeID="_x0000_i7708" DrawAspect="Content" ObjectID="_1791381651" r:id="rId13493"/>
        </w:object>
      </w:r>
      <w:r w:rsidRPr="00551F33">
        <w:rPr>
          <w:rFonts w:hint="cs"/>
          <w:i/>
          <w:sz w:val="23"/>
          <w:szCs w:val="23"/>
          <w:rtl/>
          <w:lang w:eastAsia="en-GB"/>
        </w:rPr>
        <w:t xml:space="preserve"> و</w:t>
      </w:r>
      <w:r w:rsidRPr="00551F33">
        <w:rPr>
          <w:position w:val="-8"/>
        </w:rPr>
        <w:object w:dxaOrig="840" w:dyaOrig="279" w14:anchorId="39C2EAF7">
          <v:shape id="_x0000_i7709" type="#_x0000_t75" style="width:41.75pt;height:13.9pt" o:ole="">
            <v:imagedata r:id="rId13494" o:title=""/>
          </v:shape>
          <o:OLEObject Type="Embed" ProgID="Equation.DSMT4" ShapeID="_x0000_i7709" DrawAspect="Content" ObjectID="_1791381652" r:id="rId13495"/>
        </w:object>
      </w:r>
      <w:r w:rsidRPr="00551F33">
        <w:rPr>
          <w:i/>
          <w:sz w:val="23"/>
          <w:szCs w:val="23"/>
          <w:lang w:eastAsia="en-GB"/>
        </w:rPr>
        <w:t>.</w:t>
      </w:r>
      <w:r w:rsidRPr="00551F33">
        <w:rPr>
          <w:rFonts w:hint="cs"/>
          <w:i/>
          <w:sz w:val="23"/>
          <w:szCs w:val="23"/>
          <w:rtl/>
          <w:lang w:eastAsia="en-GB"/>
        </w:rPr>
        <w:t xml:space="preserve"> وقتی</w:t>
      </w:r>
      <w:r w:rsidRPr="00551F33">
        <w:rPr>
          <w:rFonts w:hint="cs"/>
          <w:i/>
          <w:sz w:val="23"/>
          <w:szCs w:val="23"/>
          <w:rtl/>
          <w:lang w:eastAsia="en-GB"/>
        </w:rPr>
        <w:softHyphen/>
        <w:t xml:space="preserve"> </w:t>
      </w:r>
      <w:r w:rsidRPr="00551F33">
        <w:rPr>
          <w:position w:val="-6"/>
        </w:rPr>
        <w:object w:dxaOrig="540" w:dyaOrig="260" w14:anchorId="05BCDAD1">
          <v:shape id="_x0000_i7710" type="#_x0000_t75" style="width:26.6pt;height:13.3pt" o:ole="">
            <v:imagedata r:id="rId13496" o:title=""/>
          </v:shape>
          <o:OLEObject Type="Embed" ProgID="Equation.DSMT4" ShapeID="_x0000_i7710" DrawAspect="Content" ObjectID="_1791381653" r:id="rId13497"/>
        </w:object>
      </w:r>
      <w:r w:rsidRPr="00551F33">
        <w:rPr>
          <w:rFonts w:hint="cs"/>
          <w:i/>
          <w:sz w:val="23"/>
          <w:szCs w:val="23"/>
          <w:rtl/>
          <w:lang w:eastAsia="en-GB"/>
        </w:rPr>
        <w:t xml:space="preserve"> است قیود فیزیکی بر مصرف وجود دارد. نخستین قید برای زمان یک است و بر مبنای آن امکان مصرف بیش از تولید وجود ندارد. دومین قید برای زمان دو است و بر مبنای آن کل موجودی قابل دسترس برای</w:t>
      </w:r>
      <w:r w:rsidRPr="00551F33">
        <w:rPr>
          <w:position w:val="-10"/>
        </w:rPr>
        <w:object w:dxaOrig="540" w:dyaOrig="320" w14:anchorId="39232DE3">
          <v:shape id="_x0000_i7711" type="#_x0000_t75" style="width:26.6pt;height:15.75pt" o:ole="">
            <v:imagedata r:id="rId13498" o:title=""/>
          </v:shape>
          <o:OLEObject Type="Embed" ProgID="Equation.DSMT4" ShapeID="_x0000_i7711" DrawAspect="Content" ObjectID="_1791381654" r:id="rId13499"/>
        </w:object>
      </w:r>
      <w:r w:rsidRPr="00551F33">
        <w:rPr>
          <w:rFonts w:hint="cs"/>
          <w:i/>
          <w:sz w:val="23"/>
          <w:szCs w:val="23"/>
          <w:rtl/>
          <w:lang w:eastAsia="en-GB"/>
        </w:rPr>
        <w:t xml:space="preserve"> مصرف</w:t>
      </w:r>
      <w:r w:rsidRPr="00551F33">
        <w:rPr>
          <w:i/>
          <w:sz w:val="23"/>
          <w:szCs w:val="23"/>
          <w:lang w:eastAsia="en-GB"/>
        </w:rPr>
        <w:t>‌</w:t>
      </w:r>
      <w:r w:rsidRPr="00551F33">
        <w:rPr>
          <w:rFonts w:hint="cs"/>
          <w:i/>
          <w:sz w:val="23"/>
          <w:szCs w:val="23"/>
          <w:rtl/>
          <w:lang w:eastAsia="en-GB"/>
        </w:rPr>
        <w:t>کننده دیرهنگام برابر است</w:t>
      </w:r>
      <w:r w:rsidRPr="00551F33">
        <w:rPr>
          <w:i/>
          <w:sz w:val="23"/>
          <w:szCs w:val="23"/>
          <w:lang w:eastAsia="en-GB"/>
        </w:rPr>
        <w:t xml:space="preserve"> </w:t>
      </w:r>
      <w:r w:rsidRPr="00551F33">
        <w:rPr>
          <w:rFonts w:hint="cs"/>
          <w:i/>
          <w:sz w:val="23"/>
          <w:szCs w:val="23"/>
          <w:rtl/>
          <w:lang w:eastAsia="en-GB"/>
        </w:rPr>
        <w:t>با</w:t>
      </w:r>
      <w:r w:rsidRPr="00551F33">
        <w:rPr>
          <w:position w:val="-10"/>
        </w:rPr>
        <w:object w:dxaOrig="300" w:dyaOrig="320" w14:anchorId="15A42C84">
          <v:shape id="_x0000_i7712" type="#_x0000_t75" style="width:14.5pt;height:15.75pt" o:ole="">
            <v:imagedata r:id="rId13500" o:title=""/>
          </v:shape>
          <o:OLEObject Type="Embed" ProgID="Equation.DSMT4" ShapeID="_x0000_i7712" DrawAspect="Content" ObjectID="_1791381655" r:id="rId13501"/>
        </w:object>
      </w:r>
      <w:r w:rsidRPr="00551F33">
        <w:rPr>
          <w:i/>
          <w:sz w:val="23"/>
          <w:szCs w:val="23"/>
          <w:lang w:eastAsia="en-GB"/>
        </w:rPr>
        <w:t>.</w:t>
      </w:r>
      <w:r w:rsidRPr="00551F33">
        <w:rPr>
          <w:rFonts w:hint="cs"/>
          <w:i/>
          <w:sz w:val="23"/>
          <w:szCs w:val="23"/>
          <w:rtl/>
          <w:lang w:eastAsia="en-GB"/>
        </w:rPr>
        <w:t xml:space="preserve"> این </w:t>
      </w:r>
      <w:r w:rsidRPr="00551F33">
        <w:rPr>
          <w:rFonts w:hint="cs"/>
          <w:i/>
          <w:sz w:val="23"/>
          <w:szCs w:val="23"/>
          <w:rtl/>
          <w:lang w:eastAsia="en-GB"/>
        </w:rPr>
        <w:lastRenderedPageBreak/>
        <w:t>همان مقداری است که در زمان یک مصرف نشده، یعنی</w:t>
      </w:r>
      <w:r w:rsidRPr="00551F33">
        <w:rPr>
          <w:position w:val="-10"/>
        </w:rPr>
        <w:object w:dxaOrig="700" w:dyaOrig="320" w14:anchorId="564C8FA1">
          <v:shape id="_x0000_i7713" type="#_x0000_t75" style="width:35.1pt;height:15.75pt" o:ole="">
            <v:imagedata r:id="rId13502" o:title=""/>
          </v:shape>
          <o:OLEObject Type="Embed" ProgID="Equation.DSMT4" ShapeID="_x0000_i7713" DrawAspect="Content" ObjectID="_1791381656" r:id="rId13503"/>
        </w:object>
      </w:r>
      <w:r w:rsidRPr="00551F33">
        <w:rPr>
          <w:rFonts w:hint="cs"/>
          <w:i/>
          <w:sz w:val="23"/>
          <w:szCs w:val="23"/>
          <w:rtl/>
          <w:lang w:eastAsia="en-GB"/>
        </w:rPr>
        <w:t xml:space="preserve">، همراه با آنچه در زمان دو تولید شده که برابر است با </w:t>
      </w:r>
      <w:r w:rsidRPr="00551F33">
        <w:rPr>
          <w:position w:val="-12"/>
        </w:rPr>
        <w:object w:dxaOrig="820" w:dyaOrig="360" w14:anchorId="522EFEDC">
          <v:shape id="_x0000_i7714" type="#_x0000_t75" style="width:40.55pt;height:18.15pt" o:ole="">
            <v:imagedata r:id="rId13504" o:title=""/>
          </v:shape>
          <o:OLEObject Type="Embed" ProgID="Equation.DSMT4" ShapeID="_x0000_i7714" DrawAspect="Content" ObjectID="_1791381657" r:id="rId13505"/>
        </w:object>
      </w:r>
      <w:r w:rsidRPr="00551F33">
        <w:rPr>
          <w:i/>
          <w:sz w:val="23"/>
          <w:szCs w:val="23"/>
          <w:lang w:eastAsia="en-GB"/>
        </w:rPr>
        <w:t>.</w:t>
      </w:r>
      <w:r w:rsidRPr="00551F33">
        <w:rPr>
          <w:rFonts w:hint="cs"/>
          <w:i/>
          <w:sz w:val="23"/>
          <w:szCs w:val="23"/>
          <w:rtl/>
          <w:lang w:eastAsia="en-GB"/>
        </w:rPr>
        <w:t xml:space="preserve"> وقتی</w:t>
      </w:r>
      <w:r w:rsidRPr="00551F33">
        <w:rPr>
          <w:position w:val="-6"/>
        </w:rPr>
        <w:object w:dxaOrig="499" w:dyaOrig="260" w14:anchorId="6FF422EC">
          <v:shape id="_x0000_i7715" type="#_x0000_t75" style="width:24.8pt;height:13.3pt" o:ole="">
            <v:imagedata r:id="rId13506" o:title=""/>
          </v:shape>
          <o:OLEObject Type="Embed" ProgID="Equation.DSMT4" ShapeID="_x0000_i7715" DrawAspect="Content" ObjectID="_1791381658" r:id="rId13507"/>
        </w:object>
      </w:r>
      <w:r w:rsidRPr="00551F33">
        <w:rPr>
          <w:i/>
          <w:sz w:val="23"/>
          <w:szCs w:val="23"/>
          <w:lang w:eastAsia="en-GB"/>
        </w:rPr>
        <w:t xml:space="preserve"> </w:t>
      </w:r>
      <w:r w:rsidRPr="00551F33">
        <w:rPr>
          <w:rFonts w:hint="cs"/>
          <w:i/>
          <w:sz w:val="23"/>
          <w:szCs w:val="23"/>
          <w:rtl/>
          <w:lang w:eastAsia="en-GB"/>
        </w:rPr>
        <w:t>باشد، قیود تفسیرهای مشابهی دارند.</w:t>
      </w:r>
    </w:p>
    <w:p w14:paraId="00093375"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باید توجه کرد که</w:t>
      </w:r>
      <w:r w:rsidRPr="00551F33">
        <w:rPr>
          <w:position w:val="-6"/>
        </w:rPr>
        <w:object w:dxaOrig="340" w:dyaOrig="260" w14:anchorId="03ECB23F">
          <v:shape id="_x0000_i7716" type="#_x0000_t75" style="width:16.95pt;height:13.3pt" o:ole="">
            <v:imagedata r:id="rId13508" o:title=""/>
          </v:shape>
          <o:OLEObject Type="Embed" ProgID="Equation.DSMT4" ShapeID="_x0000_i7716" DrawAspect="Content" ObjectID="_1791381659" r:id="rId13509"/>
        </w:object>
      </w:r>
      <w:r w:rsidRPr="00551F33">
        <w:rPr>
          <w:rFonts w:hint="cs"/>
          <w:i/>
          <w:sz w:val="23"/>
          <w:szCs w:val="23"/>
          <w:rtl/>
          <w:lang w:eastAsia="en-GB"/>
        </w:rPr>
        <w:t xml:space="preserve"> و حل بهینه</w:t>
      </w:r>
      <w:r w:rsidRPr="00551F33">
        <w:rPr>
          <w:position w:val="-8"/>
        </w:rPr>
        <w:object w:dxaOrig="260" w:dyaOrig="320" w14:anchorId="2A7ECDC4">
          <v:shape id="_x0000_i7717" type="#_x0000_t75" style="width:13.3pt;height:15.75pt" o:ole="">
            <v:imagedata r:id="rId13510" o:title=""/>
          </v:shape>
          <o:OLEObject Type="Embed" ProgID="Equation.DSMT4" ShapeID="_x0000_i7717" DrawAspect="Content" ObjectID="_1791381660" r:id="rId13511"/>
        </w:object>
      </w:r>
      <w:r w:rsidRPr="00551F33">
        <w:rPr>
          <w:rFonts w:hint="cs"/>
          <w:i/>
          <w:sz w:val="23"/>
          <w:szCs w:val="23"/>
          <w:rtl/>
          <w:lang w:eastAsia="en-GB"/>
        </w:rPr>
        <w:t xml:space="preserve"> باید در عبارت زیر صدق کنند</w:t>
      </w:r>
    </w:p>
    <w:p w14:paraId="7C07AEE5" w14:textId="77777777" w:rsidR="00556C10" w:rsidRPr="00551F33" w:rsidRDefault="00556C10" w:rsidP="00556C10">
      <w:pPr>
        <w:bidi w:val="0"/>
        <w:spacing w:line="216" w:lineRule="auto"/>
        <w:rPr>
          <w:i/>
          <w:sz w:val="23"/>
          <w:szCs w:val="23"/>
          <w:lang w:eastAsia="en-GB"/>
        </w:rPr>
      </w:pPr>
      <w:r w:rsidRPr="00551F33">
        <w:rPr>
          <w:position w:val="-12"/>
        </w:rPr>
        <w:object w:dxaOrig="2580" w:dyaOrig="360" w14:anchorId="5DA8987D">
          <v:shape id="_x0000_i7718" type="#_x0000_t75" style="width:129.5pt;height:18.15pt" o:ole="">
            <v:imagedata r:id="rId13512" o:title=""/>
          </v:shape>
          <o:OLEObject Type="Embed" ProgID="Equation.DSMT4" ShapeID="_x0000_i7718" DrawAspect="Content" ObjectID="_1791381661" r:id="rId13513"/>
        </w:object>
      </w:r>
      <w:r w:rsidRPr="00551F33">
        <w:rPr>
          <w:rFonts w:hint="cs"/>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i/>
          <w:sz w:val="23"/>
          <w:szCs w:val="23"/>
          <w:rtl/>
          <w:lang w:eastAsia="en-GB"/>
        </w:rPr>
        <w:tab/>
      </w:r>
      <w:r w:rsidRPr="00551F33">
        <w:rPr>
          <w:rFonts w:hint="cs"/>
          <w:i/>
          <w:sz w:val="23"/>
          <w:szCs w:val="23"/>
          <w:rtl/>
          <w:lang w:eastAsia="en-GB"/>
        </w:rPr>
        <w:t xml:space="preserve">(۱۵. ۱۰)           </w:t>
      </w:r>
    </w:p>
    <w:p w14:paraId="4DCD8B84" w14:textId="77777777" w:rsidR="00556C10" w:rsidRPr="00551F33" w:rsidRDefault="00556C10" w:rsidP="00556C10">
      <w:pPr>
        <w:spacing w:line="216" w:lineRule="auto"/>
        <w:rPr>
          <w:i/>
          <w:sz w:val="23"/>
          <w:szCs w:val="23"/>
          <w:rtl/>
          <w:lang w:eastAsia="en-GB" w:bidi="ar-SA"/>
        </w:rPr>
      </w:pPr>
      <w:r w:rsidRPr="00551F33">
        <w:rPr>
          <w:rFonts w:hint="cs"/>
          <w:i/>
          <w:sz w:val="23"/>
          <w:szCs w:val="23"/>
          <w:rtl/>
          <w:lang w:eastAsia="en-GB"/>
        </w:rPr>
        <w:t>بنابراین مسئله‌ی برنامه</w:t>
      </w:r>
      <w:r w:rsidRPr="00551F33">
        <w:rPr>
          <w:rFonts w:hint="cs"/>
          <w:i/>
          <w:sz w:val="23"/>
          <w:szCs w:val="23"/>
          <w:rtl/>
          <w:lang w:eastAsia="en-GB"/>
        </w:rPr>
        <w:softHyphen/>
        <w:t>ریزی مرکزی انتخاب</w:t>
      </w:r>
      <w:r w:rsidRPr="00551F33">
        <w:rPr>
          <w:position w:val="-6"/>
        </w:rPr>
        <w:object w:dxaOrig="200" w:dyaOrig="260" w14:anchorId="27EEEDC5">
          <v:shape id="_x0000_i7719" type="#_x0000_t75" style="width:10.3pt;height:13.3pt" o:ole="">
            <v:imagedata r:id="rId13514" o:title=""/>
          </v:shape>
          <o:OLEObject Type="Embed" ProgID="Equation.DSMT4" ShapeID="_x0000_i7719" DrawAspect="Content" ObjectID="_1791381662" r:id="rId13515"/>
        </w:object>
      </w:r>
      <w:r w:rsidRPr="00551F33">
        <w:rPr>
          <w:rFonts w:hint="cs"/>
          <w:i/>
          <w:sz w:val="23"/>
          <w:szCs w:val="23"/>
          <w:rtl/>
          <w:lang w:eastAsia="en-GB"/>
        </w:rPr>
        <w:t xml:space="preserve"> است برای حداکثر کردن </w:t>
      </w:r>
    </w:p>
    <w:p w14:paraId="616E2609" w14:textId="77777777" w:rsidR="00556C10" w:rsidRPr="00551F33" w:rsidRDefault="00556C10" w:rsidP="00556C10">
      <w:pPr>
        <w:bidi w:val="0"/>
        <w:spacing w:line="216" w:lineRule="auto"/>
        <w:rPr>
          <w:i/>
          <w:sz w:val="23"/>
          <w:szCs w:val="23"/>
          <w:lang w:eastAsia="en-GB"/>
        </w:rPr>
      </w:pPr>
      <w:r w:rsidRPr="00551F33">
        <w:rPr>
          <w:position w:val="-80"/>
        </w:rPr>
        <w:object w:dxaOrig="4300" w:dyaOrig="1700" w14:anchorId="142469CC">
          <v:shape id="_x0000_i7720" type="#_x0000_t75" style="width:214.8pt;height:85.3pt" o:ole="">
            <v:imagedata r:id="rId13516" o:title=""/>
          </v:shape>
          <o:OLEObject Type="Embed" ProgID="Equation.DSMT4" ShapeID="_x0000_i7720" DrawAspect="Content" ObjectID="_1791381663" r:id="rId13517"/>
        </w:object>
      </w:r>
      <w:r w:rsidRPr="00551F33">
        <w:rPr>
          <w:i/>
          <w:sz w:val="23"/>
          <w:szCs w:val="23"/>
          <w:rtl/>
        </w:rPr>
        <w:tab/>
      </w:r>
      <w:r>
        <w:rPr>
          <w:i/>
          <w:sz w:val="23"/>
          <w:szCs w:val="23"/>
          <w:rtl/>
        </w:rPr>
        <w:tab/>
      </w:r>
      <w:r w:rsidRPr="00551F33">
        <w:rPr>
          <w:rFonts w:hint="cs"/>
          <w:i/>
          <w:sz w:val="23"/>
          <w:szCs w:val="23"/>
          <w:rtl/>
        </w:rPr>
        <w:tab/>
      </w:r>
      <w:r w:rsidRPr="00551F33">
        <w:rPr>
          <w:i/>
          <w:sz w:val="23"/>
          <w:szCs w:val="23"/>
          <w:rtl/>
        </w:rPr>
        <w:tab/>
      </w:r>
      <w:r w:rsidRPr="00551F33">
        <w:rPr>
          <w:i/>
          <w:sz w:val="23"/>
          <w:szCs w:val="23"/>
        </w:rPr>
        <w:t xml:space="preserve"> </w:t>
      </w:r>
      <w:r w:rsidRPr="00551F33">
        <w:rPr>
          <w:rFonts w:hint="cs"/>
          <w:i/>
          <w:sz w:val="23"/>
          <w:szCs w:val="23"/>
          <w:rtl/>
        </w:rPr>
        <w:t xml:space="preserve">(۱۵. ۱۱)          </w:t>
      </w:r>
    </w:p>
    <w:p w14:paraId="59B6145D" w14:textId="77777777" w:rsidR="00556C10" w:rsidRPr="00551F33" w:rsidRDefault="00556C10" w:rsidP="00556C10">
      <w:pPr>
        <w:spacing w:line="216" w:lineRule="auto"/>
        <w:rPr>
          <w:i/>
          <w:sz w:val="23"/>
          <w:szCs w:val="23"/>
          <w:rtl/>
          <w:lang w:eastAsia="en-GB" w:bidi="ar-SA"/>
        </w:rPr>
      </w:pPr>
      <w:r w:rsidRPr="00551F33">
        <w:rPr>
          <w:rFonts w:hint="cs"/>
          <w:i/>
          <w:sz w:val="23"/>
          <w:szCs w:val="23"/>
          <w:rtl/>
          <w:lang w:eastAsia="en-GB"/>
        </w:rPr>
        <w:t>شرط مرتبه اول برای این مسئله عبارت است از</w:t>
      </w:r>
    </w:p>
    <w:p w14:paraId="39381F9C" w14:textId="77777777" w:rsidR="00556C10" w:rsidRPr="00551F33" w:rsidRDefault="00556C10" w:rsidP="00556C10">
      <w:pPr>
        <w:bidi w:val="0"/>
        <w:spacing w:line="216" w:lineRule="auto"/>
        <w:rPr>
          <w:i/>
          <w:sz w:val="23"/>
          <w:szCs w:val="23"/>
          <w:rtl/>
          <w:lang w:eastAsia="en-GB"/>
        </w:rPr>
      </w:pPr>
      <w:r w:rsidRPr="00551F33">
        <w:rPr>
          <w:position w:val="-80"/>
        </w:rPr>
        <w:object w:dxaOrig="4720" w:dyaOrig="1700" w14:anchorId="53FB78AC">
          <v:shape id="_x0000_i7721" type="#_x0000_t75" style="width:235.95pt;height:85.3pt" o:ole="">
            <v:imagedata r:id="rId13518" o:title=""/>
          </v:shape>
          <o:OLEObject Type="Embed" ProgID="Equation.DSMT4" ShapeID="_x0000_i7721" DrawAspect="Content" ObjectID="_1791381664" r:id="rId13519"/>
        </w:object>
      </w:r>
      <w:r w:rsidRPr="00551F33">
        <w:rPr>
          <w:sz w:val="23"/>
          <w:szCs w:val="23"/>
          <w:rtl/>
        </w:rPr>
        <w:tab/>
      </w:r>
      <w:r>
        <w:rPr>
          <w:sz w:val="23"/>
          <w:szCs w:val="23"/>
          <w:rtl/>
        </w:rPr>
        <w:tab/>
      </w:r>
      <w:r w:rsidRPr="00551F33">
        <w:rPr>
          <w:sz w:val="23"/>
          <w:szCs w:val="23"/>
          <w:rtl/>
        </w:rPr>
        <w:tab/>
      </w:r>
      <w:r w:rsidRPr="00551F33">
        <w:rPr>
          <w:rFonts w:hint="cs"/>
          <w:i/>
          <w:sz w:val="23"/>
          <w:szCs w:val="23"/>
          <w:rtl/>
          <w:lang w:eastAsia="en-GB"/>
        </w:rPr>
        <w:tab/>
        <w:t xml:space="preserve">(۱۵. ۱۲)      </w:t>
      </w:r>
      <w:r w:rsidRPr="00551F33">
        <w:rPr>
          <w:i/>
          <w:sz w:val="23"/>
          <w:szCs w:val="23"/>
          <w:rtl/>
          <w:lang w:eastAsia="en-GB"/>
        </w:rPr>
        <w:tab/>
      </w:r>
      <w:r w:rsidRPr="00551F33">
        <w:rPr>
          <w:rFonts w:hint="cs"/>
          <w:i/>
          <w:sz w:val="23"/>
          <w:szCs w:val="23"/>
          <w:rtl/>
          <w:lang w:eastAsia="en-GB"/>
        </w:rPr>
        <w:t xml:space="preserve">     </w:t>
      </w:r>
    </w:p>
    <w:p w14:paraId="392165C2" w14:textId="77777777" w:rsidR="00556C10" w:rsidRPr="00551F33" w:rsidRDefault="00556C10" w:rsidP="00556C10">
      <w:pPr>
        <w:spacing w:line="216" w:lineRule="auto"/>
        <w:rPr>
          <w:i/>
          <w:sz w:val="23"/>
          <w:szCs w:val="23"/>
          <w:lang w:eastAsia="en-GB" w:bidi="ar-SA"/>
        </w:rPr>
      </w:pPr>
      <w:r w:rsidRPr="00551F33">
        <w:rPr>
          <w:rFonts w:hint="cs"/>
          <w:i/>
          <w:sz w:val="23"/>
          <w:szCs w:val="23"/>
          <w:rtl/>
          <w:lang w:eastAsia="en-GB"/>
        </w:rPr>
        <w:t xml:space="preserve">که با </w:t>
      </w:r>
      <w:r w:rsidRPr="00551F33">
        <w:rPr>
          <w:position w:val="-6"/>
        </w:rPr>
        <w:object w:dxaOrig="600" w:dyaOrig="260" w14:anchorId="715135D9">
          <v:shape id="_x0000_i7722" type="#_x0000_t75" style="width:29.65pt;height:13.3pt" o:ole="">
            <v:imagedata r:id="rId13520" o:title=""/>
          </v:shape>
          <o:OLEObject Type="Embed" ProgID="Equation.DSMT4" ShapeID="_x0000_i7722" DrawAspect="Content" ObjectID="_1791381665" r:id="rId13521"/>
        </w:object>
      </w:r>
      <w:r w:rsidRPr="00551F33">
        <w:rPr>
          <w:rFonts w:hint="cs"/>
          <w:i/>
          <w:sz w:val="23"/>
          <w:szCs w:val="23"/>
          <w:rtl/>
          <w:lang w:eastAsia="en-GB"/>
        </w:rPr>
        <w:t>، راه</w:t>
      </w:r>
      <w:r w:rsidRPr="00551F33">
        <w:rPr>
          <w:i/>
          <w:sz w:val="23"/>
          <w:szCs w:val="23"/>
          <w:lang w:eastAsia="en-GB"/>
        </w:rPr>
        <w:t xml:space="preserve">‌ </w:t>
      </w:r>
      <w:r w:rsidRPr="00551F33">
        <w:rPr>
          <w:rFonts w:hint="cs"/>
          <w:i/>
          <w:sz w:val="23"/>
          <w:szCs w:val="23"/>
          <w:rtl/>
          <w:lang w:eastAsia="en-GB"/>
        </w:rPr>
        <w:t xml:space="preserve">حل یگانه است. </w:t>
      </w:r>
    </w:p>
    <w:p w14:paraId="5149A542" w14:textId="77777777" w:rsidR="00556C10" w:rsidRPr="00551F33" w:rsidRDefault="00556C10" w:rsidP="00556C10">
      <w:pPr>
        <w:spacing w:line="216" w:lineRule="auto"/>
        <w:rPr>
          <w:i/>
          <w:sz w:val="23"/>
          <w:szCs w:val="23"/>
          <w:rtl/>
          <w:lang w:eastAsia="en-GB"/>
        </w:rPr>
      </w:pPr>
    </w:p>
    <w:p w14:paraId="1155B064" w14:textId="77777777" w:rsidR="00556C10" w:rsidRPr="00551F33" w:rsidRDefault="00556C10" w:rsidP="00556C10">
      <w:pPr>
        <w:pStyle w:val="Heading1"/>
        <w:spacing w:before="0" w:line="216" w:lineRule="auto"/>
        <w:rPr>
          <w:rFonts w:ascii="Times New Roman" w:hAnsi="Times New Roman" w:cs="B Nazanin"/>
          <w:b w:val="0"/>
          <w:i/>
          <w:sz w:val="23"/>
          <w:szCs w:val="23"/>
          <w:rtl/>
          <w:lang w:eastAsia="en-GB"/>
        </w:rPr>
      </w:pPr>
      <w:r w:rsidRPr="00551F33">
        <w:rPr>
          <w:rFonts w:ascii="Times New Roman" w:hAnsi="Times New Roman" w:cs="B Nazanin" w:hint="cs"/>
          <w:b w:val="0"/>
          <w:i/>
          <w:sz w:val="23"/>
          <w:szCs w:val="23"/>
          <w:rtl/>
          <w:lang w:eastAsia="en-GB"/>
        </w:rPr>
        <w:t>۱۵. ۶. ۲ بازار بین</w:t>
      </w:r>
      <w:r w:rsidRPr="00551F33">
        <w:rPr>
          <w:rFonts w:ascii="Times New Roman" w:hAnsi="Times New Roman" w:cs="B Nazanin" w:hint="cs"/>
          <w:b w:val="0"/>
          <w:i/>
          <w:sz w:val="23"/>
          <w:szCs w:val="23"/>
          <w:rtl/>
          <w:lang w:eastAsia="en-GB"/>
        </w:rPr>
        <w:softHyphen/>
        <w:t>بانکی</w:t>
      </w:r>
    </w:p>
    <w:p w14:paraId="1F5CB6E2"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نقش کلیدی بازارهای بین بانکی توانایی بخشیدن به بانک‌هاست تا عدم توازن نقدینگی خود را با تخصیص مجدد مازاد دارایی‌های نقدی یک بانک به بانکی دیگر که دچار کمبود دارایی‌های نقدی است بهبود بخشند. این کار با فروش دارایی‌های مالی بانک‌های با مازاد نقدینگی و خرید دارایی‌های بانک‌ها که دچار کمبود نقدینگی است انجام می</w:t>
      </w:r>
      <w:r w:rsidRPr="00551F33">
        <w:rPr>
          <w:i/>
          <w:sz w:val="23"/>
          <w:szCs w:val="23"/>
          <w:lang w:eastAsia="en-GB"/>
        </w:rPr>
        <w:t>‌</w:t>
      </w:r>
      <w:r w:rsidRPr="00551F33">
        <w:rPr>
          <w:rFonts w:hint="cs"/>
          <w:i/>
          <w:sz w:val="23"/>
          <w:szCs w:val="23"/>
          <w:rtl/>
          <w:lang w:eastAsia="en-GB"/>
        </w:rPr>
        <w:t>شود. در این مدل، در زمان صفر، بانک‌ها از سپرده</w:t>
      </w:r>
      <w:r w:rsidRPr="00551F33">
        <w:rPr>
          <w:rFonts w:hint="cs"/>
          <w:i/>
          <w:sz w:val="23"/>
          <w:szCs w:val="23"/>
          <w:rtl/>
          <w:lang w:eastAsia="en-GB"/>
        </w:rPr>
        <w:softHyphen/>
        <w:t>ها‌ی خانوار استفاده کرده تا دو دارایی را خریداری کنند، خرید</w:t>
      </w:r>
      <w:r w:rsidRPr="00551F33">
        <w:rPr>
          <w:position w:val="-8"/>
        </w:rPr>
        <w:object w:dxaOrig="200" w:dyaOrig="220" w14:anchorId="538BBE17">
          <v:shape id="_x0000_i7723" type="#_x0000_t75" style="width:10.3pt;height:10.9pt" o:ole="">
            <v:imagedata r:id="rId13522" o:title=""/>
          </v:shape>
          <o:OLEObject Type="Embed" ProgID="Equation.DSMT4" ShapeID="_x0000_i7723" DrawAspect="Content" ObjectID="_1791381666" r:id="rId13523"/>
        </w:object>
      </w:r>
      <w:r w:rsidRPr="00551F33">
        <w:rPr>
          <w:rFonts w:hint="cs"/>
          <w:i/>
          <w:sz w:val="23"/>
          <w:szCs w:val="23"/>
          <w:rtl/>
          <w:lang w:eastAsia="en-GB"/>
        </w:rPr>
        <w:t xml:space="preserve"> از دارایی امن یک دوره</w:t>
      </w:r>
      <w:r w:rsidRPr="00551F33">
        <w:rPr>
          <w:rFonts w:hint="cs"/>
          <w:i/>
          <w:sz w:val="23"/>
          <w:szCs w:val="23"/>
          <w:rtl/>
          <w:lang w:eastAsia="en-GB"/>
        </w:rPr>
        <w:softHyphen/>
        <w:t>ای و</w:t>
      </w:r>
      <w:r w:rsidRPr="00551F33">
        <w:rPr>
          <w:position w:val="-8"/>
        </w:rPr>
        <w:object w:dxaOrig="480" w:dyaOrig="279" w14:anchorId="330866BA">
          <v:shape id="_x0000_i7724" type="#_x0000_t75" style="width:24.2pt;height:13.9pt" o:ole="">
            <v:imagedata r:id="rId13524" o:title=""/>
          </v:shape>
          <o:OLEObject Type="Embed" ProgID="Equation.DSMT4" ShapeID="_x0000_i7724" DrawAspect="Content" ObjectID="_1791381667" r:id="rId13525"/>
        </w:object>
      </w:r>
      <w:r w:rsidRPr="00551F33">
        <w:rPr>
          <w:rFonts w:hint="cs"/>
          <w:i/>
          <w:sz w:val="23"/>
          <w:szCs w:val="23"/>
          <w:rtl/>
          <w:lang w:eastAsia="en-GB"/>
        </w:rPr>
        <w:t xml:space="preserve"> از دارایی بلندمدت، که دومی در بازار بین بانکی برای تخصیص مجدد نقدینگی مورد استفاده قرار می‌گیرد. بانک‌ها همچنین ارزش</w:t>
      </w:r>
      <w:r w:rsidRPr="00551F33">
        <w:rPr>
          <w:position w:val="-6"/>
        </w:rPr>
        <w:object w:dxaOrig="200" w:dyaOrig="260" w14:anchorId="6459B666">
          <v:shape id="_x0000_i7725" type="#_x0000_t75" style="width:10.3pt;height:13.3pt" o:ole="">
            <v:imagedata r:id="rId13526" o:title=""/>
          </v:shape>
          <o:OLEObject Type="Embed" ProgID="Equation.DSMT4" ShapeID="_x0000_i7725" DrawAspect="Content" ObjectID="_1791381668" r:id="rId13527"/>
        </w:object>
      </w:r>
      <w:r w:rsidRPr="00551F33">
        <w:rPr>
          <w:rFonts w:hint="cs"/>
          <w:i/>
          <w:sz w:val="23"/>
          <w:szCs w:val="23"/>
          <w:rtl/>
          <w:lang w:eastAsia="en-GB"/>
        </w:rPr>
        <w:t xml:space="preserve"> را نیز تعیین می‌کنند. در زمان یک کل نقدینگی لازم برای جواب</w:t>
      </w:r>
      <w:r w:rsidRPr="00551F33">
        <w:rPr>
          <w:rFonts w:hint="cs"/>
          <w:i/>
          <w:sz w:val="23"/>
          <w:szCs w:val="23"/>
          <w:rtl/>
          <w:lang w:eastAsia="en-GB"/>
        </w:rPr>
        <w:softHyphen/>
        <w:t>گویی به سپرده‌ها را کشف می</w:t>
      </w:r>
      <w:r w:rsidRPr="00551F33">
        <w:rPr>
          <w:i/>
          <w:sz w:val="23"/>
          <w:szCs w:val="23"/>
          <w:lang w:eastAsia="en-GB"/>
        </w:rPr>
        <w:t>‌</w:t>
      </w:r>
      <w:r w:rsidRPr="00551F33">
        <w:rPr>
          <w:rFonts w:hint="cs"/>
          <w:i/>
          <w:sz w:val="23"/>
          <w:szCs w:val="23"/>
          <w:rtl/>
          <w:lang w:eastAsia="en-GB"/>
        </w:rPr>
        <w:t>کنند. این نیز به شوک</w:t>
      </w:r>
      <w:r w:rsidRPr="00551F33">
        <w:rPr>
          <w:rFonts w:hint="cs"/>
          <w:i/>
          <w:sz w:val="23"/>
          <w:szCs w:val="23"/>
          <w:rtl/>
          <w:lang w:eastAsia="en-GB"/>
        </w:rPr>
        <w:softHyphen/>
        <w:t>های منفرد بستگی دارد که در زمان یک رخ می‌دهد. در نتیجه، ممکن است لازم باشد تا دارایی بلندمدت را بخرند و یا بفروشند، که این در بازار بین بانکی به قیمت</w:t>
      </w:r>
      <w:r w:rsidRPr="00551F33">
        <w:rPr>
          <w:position w:val="-10"/>
        </w:rPr>
        <w:object w:dxaOrig="279" w:dyaOrig="320" w14:anchorId="60B7562C">
          <v:shape id="_x0000_i7726" type="#_x0000_t75" style="width:13.9pt;height:15.75pt" o:ole="">
            <v:imagedata r:id="rId13528" o:title=""/>
          </v:shape>
          <o:OLEObject Type="Embed" ProgID="Equation.DSMT4" ShapeID="_x0000_i7726" DrawAspect="Content" ObjectID="_1791381669" r:id="rId13529"/>
        </w:object>
      </w:r>
      <w:r w:rsidRPr="00551F33">
        <w:rPr>
          <w:rFonts w:hint="cs"/>
          <w:i/>
          <w:sz w:val="23"/>
          <w:szCs w:val="23"/>
          <w:rtl/>
          <w:lang w:eastAsia="en-GB"/>
        </w:rPr>
        <w:t xml:space="preserve"> انجام می‌شود</w:t>
      </w:r>
      <w:r w:rsidRPr="00551F33">
        <w:rPr>
          <w:i/>
          <w:sz w:val="23"/>
          <w:szCs w:val="23"/>
          <w:lang w:eastAsia="en-GB"/>
        </w:rPr>
        <w:t>.</w:t>
      </w:r>
    </w:p>
    <w:p w14:paraId="42E0CBAD"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در زمان دو برای اجتناب از ورشکستگی بانک، مصرف مصرف</w:t>
      </w:r>
      <w:r w:rsidRPr="00551F33">
        <w:rPr>
          <w:i/>
          <w:sz w:val="23"/>
          <w:szCs w:val="23"/>
          <w:lang w:eastAsia="en-GB"/>
        </w:rPr>
        <w:t>‌</w:t>
      </w:r>
      <w:r w:rsidRPr="00551F33">
        <w:rPr>
          <w:rFonts w:hint="cs"/>
          <w:i/>
          <w:sz w:val="23"/>
          <w:szCs w:val="23"/>
          <w:rtl/>
          <w:lang w:eastAsia="en-GB"/>
        </w:rPr>
        <w:t>کنندگان دیرهنگام</w:t>
      </w:r>
      <w:r w:rsidRPr="00551F33">
        <w:rPr>
          <w:position w:val="-10"/>
        </w:rPr>
        <w:object w:dxaOrig="340" w:dyaOrig="320" w14:anchorId="7471BE22">
          <v:shape id="_x0000_i7727" type="#_x0000_t75" style="width:16.95pt;height:15.75pt" o:ole="">
            <v:imagedata r:id="rId13530" o:title=""/>
          </v:shape>
          <o:OLEObject Type="Embed" ProgID="Equation.DSMT4" ShapeID="_x0000_i7727" DrawAspect="Content" ObjectID="_1791381670" r:id="rId13531"/>
        </w:object>
      </w:r>
      <w:r w:rsidRPr="00551F33">
        <w:rPr>
          <w:rFonts w:hint="cs"/>
          <w:i/>
          <w:sz w:val="23"/>
          <w:szCs w:val="23"/>
          <w:rtl/>
          <w:lang w:eastAsia="en-GB"/>
        </w:rPr>
        <w:t xml:space="preserve"> به نحوی تعیین می‌شود که قید انگیزه</w:t>
      </w:r>
      <w:r w:rsidRPr="00551F33">
        <w:rPr>
          <w:rFonts w:hint="cs"/>
          <w:i/>
          <w:sz w:val="23"/>
          <w:szCs w:val="23"/>
          <w:rtl/>
          <w:lang w:eastAsia="en-GB"/>
        </w:rPr>
        <w:softHyphen/>
        <w:t>ای (۱۵. ۹) برآورده شود. این نکته رابطه‌ی زیر را به دست می‌دهد</w:t>
      </w:r>
    </w:p>
    <w:p w14:paraId="44F281F1" w14:textId="77777777" w:rsidR="00556C10" w:rsidRPr="00551F33" w:rsidRDefault="00556C10" w:rsidP="00556C10">
      <w:pPr>
        <w:bidi w:val="0"/>
        <w:spacing w:line="216" w:lineRule="auto"/>
        <w:rPr>
          <w:i/>
          <w:sz w:val="23"/>
          <w:szCs w:val="23"/>
          <w:lang w:eastAsia="en-GB"/>
        </w:rPr>
      </w:pPr>
      <w:r w:rsidRPr="00551F33">
        <w:rPr>
          <w:position w:val="-28"/>
        </w:rPr>
        <w:object w:dxaOrig="2960" w:dyaOrig="740" w14:anchorId="4A980A9F">
          <v:shape id="_x0000_i7728" type="#_x0000_t75" style="width:148.25pt;height:36.9pt" o:ole="">
            <v:imagedata r:id="rId13532" o:title=""/>
          </v:shape>
          <o:OLEObject Type="Embed" ProgID="Equation.DSMT4" ShapeID="_x0000_i7728" DrawAspect="Content" ObjectID="_1791381671" r:id="rId13533"/>
        </w:object>
      </w:r>
      <w:r w:rsidRPr="00551F33">
        <w:rPr>
          <w:rFonts w:hint="cs"/>
          <w:i/>
          <w:sz w:val="23"/>
          <w:szCs w:val="23"/>
          <w:rtl/>
          <w:lang w:eastAsia="en-GB"/>
        </w:rPr>
        <w:tab/>
      </w:r>
      <w:r w:rsidRPr="00551F33">
        <w:rPr>
          <w:rFonts w:hint="cs"/>
          <w:i/>
          <w:sz w:val="23"/>
          <w:szCs w:val="23"/>
          <w:rtl/>
          <w:lang w:eastAsia="en-GB"/>
        </w:rPr>
        <w:tab/>
      </w:r>
      <w:r w:rsidRPr="00551F33">
        <w:rPr>
          <w:i/>
          <w:sz w:val="23"/>
          <w:szCs w:val="23"/>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Pr>
          <w:i/>
          <w:sz w:val="23"/>
          <w:szCs w:val="23"/>
          <w:rtl/>
          <w:lang w:eastAsia="en-GB"/>
        </w:rPr>
        <w:tab/>
      </w:r>
      <w:r w:rsidRPr="00551F33">
        <w:rPr>
          <w:rFonts w:hint="cs"/>
          <w:i/>
          <w:sz w:val="23"/>
          <w:szCs w:val="23"/>
          <w:rtl/>
          <w:lang w:eastAsia="en-GB"/>
        </w:rPr>
        <w:tab/>
      </w:r>
      <w:r w:rsidRPr="00551F33">
        <w:rPr>
          <w:i/>
          <w:sz w:val="23"/>
          <w:szCs w:val="23"/>
          <w:lang w:eastAsia="en-GB"/>
        </w:rPr>
        <w:t xml:space="preserve"> </w:t>
      </w:r>
      <w:r w:rsidRPr="00551F33">
        <w:rPr>
          <w:rFonts w:hint="cs"/>
          <w:i/>
          <w:sz w:val="23"/>
          <w:szCs w:val="23"/>
          <w:rtl/>
          <w:lang w:eastAsia="en-GB"/>
        </w:rPr>
        <w:t xml:space="preserve"> </w:t>
      </w:r>
      <w:r w:rsidRPr="00551F33">
        <w:rPr>
          <w:rFonts w:hint="cs"/>
          <w:i/>
          <w:sz w:val="23"/>
          <w:szCs w:val="23"/>
          <w:rtl/>
          <w:lang w:eastAsia="en-GB"/>
        </w:rPr>
        <w:tab/>
        <w:t>(۱۵. ۱۳)</w:t>
      </w:r>
    </w:p>
    <w:p w14:paraId="266FC914" w14:textId="77777777" w:rsidR="00556C10" w:rsidRPr="00551F33" w:rsidRDefault="00556C10" w:rsidP="00556C10">
      <w:pPr>
        <w:spacing w:line="216" w:lineRule="auto"/>
        <w:rPr>
          <w:i/>
          <w:sz w:val="23"/>
          <w:szCs w:val="23"/>
          <w:rtl/>
          <w:lang w:eastAsia="en-GB" w:bidi="ar-SA"/>
        </w:rPr>
      </w:pPr>
      <w:r w:rsidRPr="00551F33">
        <w:rPr>
          <w:rFonts w:hint="cs"/>
          <w:i/>
          <w:sz w:val="23"/>
          <w:szCs w:val="23"/>
          <w:rtl/>
          <w:lang w:eastAsia="en-GB"/>
        </w:rPr>
        <w:t xml:space="preserve"> برای</w:t>
      </w:r>
      <w:r w:rsidRPr="00551F33">
        <w:rPr>
          <w:position w:val="-6"/>
        </w:rPr>
        <w:object w:dxaOrig="540" w:dyaOrig="260" w14:anchorId="45DC61BC">
          <v:shape id="_x0000_i7729" type="#_x0000_t75" style="width:26.6pt;height:13.3pt" o:ole="">
            <v:imagedata r:id="rId13534" o:title=""/>
          </v:shape>
          <o:OLEObject Type="Embed" ProgID="Equation.DSMT4" ShapeID="_x0000_i7729" DrawAspect="Content" ObjectID="_1791381672" r:id="rId13535"/>
        </w:object>
      </w:r>
      <w:r w:rsidRPr="00551F33">
        <w:rPr>
          <w:rFonts w:hint="cs"/>
          <w:i/>
          <w:sz w:val="23"/>
          <w:szCs w:val="23"/>
          <w:rtl/>
          <w:lang w:eastAsia="en-GB"/>
        </w:rPr>
        <w:t xml:space="preserve"> و</w:t>
      </w:r>
      <w:r w:rsidRPr="00551F33">
        <w:rPr>
          <w:position w:val="-8"/>
        </w:rPr>
        <w:object w:dxaOrig="780" w:dyaOrig="279" w14:anchorId="329E3952">
          <v:shape id="_x0000_i7730" type="#_x0000_t75" style="width:39.35pt;height:13.9pt" o:ole="">
            <v:imagedata r:id="rId13536" o:title=""/>
          </v:shape>
          <o:OLEObject Type="Embed" ProgID="Equation.DSMT4" ShapeID="_x0000_i7730" DrawAspect="Content" ObjectID="_1791381673" r:id="rId13537"/>
        </w:object>
      </w:r>
      <w:r w:rsidRPr="00551F33">
        <w:rPr>
          <w:rFonts w:hint="cs"/>
          <w:i/>
          <w:sz w:val="23"/>
          <w:szCs w:val="23"/>
          <w:rtl/>
          <w:lang w:eastAsia="en-GB"/>
        </w:rPr>
        <w:t>. جمله درون براکت</w:t>
      </w:r>
      <w:r w:rsidRPr="00551F33">
        <w:rPr>
          <w:i/>
          <w:sz w:val="23"/>
          <w:szCs w:val="23"/>
          <w:lang w:eastAsia="en-GB"/>
        </w:rPr>
        <w:t>‌</w:t>
      </w:r>
      <w:r w:rsidRPr="00551F33">
        <w:rPr>
          <w:rFonts w:hint="cs"/>
          <w:i/>
          <w:sz w:val="23"/>
          <w:szCs w:val="23"/>
          <w:rtl/>
          <w:lang w:eastAsia="en-GB"/>
        </w:rPr>
        <w:t>ها در معادله‌ی (۱۵. ۱۳) مقدار دارایی بلندمدت نگهداری شده به وسیله بانک‌ها در زمان دو را نشان می</w:t>
      </w:r>
      <w:r w:rsidRPr="00551F33">
        <w:rPr>
          <w:rFonts w:hint="cs"/>
          <w:i/>
          <w:sz w:val="23"/>
          <w:szCs w:val="23"/>
          <w:rtl/>
          <w:lang w:eastAsia="en-GB"/>
        </w:rPr>
        <w:softHyphen/>
        <w:t>دهد،؛</w:t>
      </w:r>
      <w:r w:rsidRPr="00551F33">
        <w:rPr>
          <w:position w:val="-8"/>
        </w:rPr>
        <w:object w:dxaOrig="480" w:dyaOrig="279" w14:anchorId="7B09D853">
          <v:shape id="_x0000_i7731" type="#_x0000_t75" style="width:24.2pt;height:13.9pt" o:ole="">
            <v:imagedata r:id="rId13538" o:title=""/>
          </v:shape>
          <o:OLEObject Type="Embed" ProgID="Equation.DSMT4" ShapeID="_x0000_i7731" DrawAspect="Content" ObjectID="_1791381674" r:id="rId13539"/>
        </w:object>
      </w:r>
      <w:r w:rsidRPr="00551F33">
        <w:rPr>
          <w:rFonts w:hint="cs"/>
          <w:i/>
          <w:sz w:val="23"/>
          <w:szCs w:val="23"/>
          <w:rtl/>
          <w:lang w:eastAsia="en-GB"/>
        </w:rPr>
        <w:t xml:space="preserve"> مقدار اولیه‌ی دارایی بلندمدت نگهداری شده در زمان صفر و</w:t>
      </w:r>
      <w:r w:rsidRPr="00551F33">
        <w:rPr>
          <w:position w:val="-10"/>
        </w:rPr>
        <w:object w:dxaOrig="760" w:dyaOrig="320" w14:anchorId="43BCEAAD">
          <v:shape id="_x0000_i7732" type="#_x0000_t75" style="width:38.1pt;height:15.75pt" o:ole="">
            <v:imagedata r:id="rId13540" o:title=""/>
          </v:shape>
          <o:OLEObject Type="Embed" ProgID="Equation.DSMT4" ShapeID="_x0000_i7732" DrawAspect="Content" ObjectID="_1791381675" r:id="rId13541"/>
        </w:object>
      </w:r>
      <w:r w:rsidRPr="00551F33">
        <w:rPr>
          <w:rFonts w:hint="cs"/>
          <w:i/>
          <w:sz w:val="23"/>
          <w:szCs w:val="23"/>
          <w:rtl/>
          <w:lang w:eastAsia="en-GB"/>
        </w:rPr>
        <w:t xml:space="preserve"> مازاد نقدینگی در زمان یک است،که ممکن است مثبت و یا منفی باشد</w:t>
      </w:r>
      <w:r w:rsidRPr="00551F33">
        <w:rPr>
          <w:i/>
          <w:sz w:val="23"/>
          <w:szCs w:val="23"/>
          <w:lang w:eastAsia="en-GB"/>
        </w:rPr>
        <w:t>.</w:t>
      </w:r>
      <w:r w:rsidRPr="00551F33">
        <w:rPr>
          <w:rFonts w:hint="cs"/>
          <w:i/>
          <w:sz w:val="23"/>
          <w:szCs w:val="23"/>
          <w:rtl/>
          <w:lang w:eastAsia="en-GB"/>
        </w:rPr>
        <w:t xml:space="preserve"> هر واحد از دارایی بلندمدت که هزینه</w:t>
      </w:r>
      <w:r w:rsidRPr="00551F33">
        <w:rPr>
          <w:rFonts w:hint="cs"/>
          <w:i/>
          <w:sz w:val="23"/>
          <w:szCs w:val="23"/>
          <w:rtl/>
          <w:lang w:eastAsia="en-GB"/>
        </w:rPr>
        <w:softHyphen/>
        <w:t>اش</w:t>
      </w:r>
      <w:r w:rsidRPr="00551F33">
        <w:rPr>
          <w:position w:val="-10"/>
        </w:rPr>
        <w:object w:dxaOrig="279" w:dyaOrig="320" w14:anchorId="4183D8DF">
          <v:shape id="_x0000_i7733" type="#_x0000_t75" style="width:13.9pt;height:15.75pt" o:ole="">
            <v:imagedata r:id="rId13542" o:title=""/>
          </v:shape>
          <o:OLEObject Type="Embed" ProgID="Equation.DSMT4" ShapeID="_x0000_i7733" DrawAspect="Content" ObjectID="_1791381676" r:id="rId13543"/>
        </w:object>
      </w:r>
      <w:r w:rsidRPr="00551F33">
        <w:rPr>
          <w:rFonts w:hint="cs"/>
          <w:i/>
          <w:sz w:val="23"/>
          <w:szCs w:val="23"/>
          <w:rtl/>
          <w:lang w:eastAsia="en-GB"/>
        </w:rPr>
        <w:t xml:space="preserve"> است، عایدی برابر با </w:t>
      </w:r>
      <w:r w:rsidRPr="00551F33">
        <w:rPr>
          <w:position w:val="-6"/>
        </w:rPr>
        <w:object w:dxaOrig="240" w:dyaOrig="260" w14:anchorId="7A23BDAC">
          <v:shape id="_x0000_i7734" type="#_x0000_t75" style="width:11.5pt;height:13.3pt" o:ole="">
            <v:imagedata r:id="rId13544" o:title=""/>
          </v:shape>
          <o:OLEObject Type="Embed" ProgID="Equation.DSMT4" ShapeID="_x0000_i7734" DrawAspect="Content" ObjectID="_1791381677" r:id="rId13545"/>
        </w:object>
      </w:r>
      <w:r w:rsidRPr="00551F33">
        <w:rPr>
          <w:i/>
          <w:sz w:val="23"/>
          <w:szCs w:val="23"/>
          <w:lang w:eastAsia="en-GB"/>
        </w:rPr>
        <w:t xml:space="preserve"> </w:t>
      </w:r>
      <w:r w:rsidRPr="00551F33">
        <w:rPr>
          <w:rFonts w:hint="cs"/>
          <w:i/>
          <w:sz w:val="23"/>
          <w:szCs w:val="23"/>
          <w:rtl/>
          <w:lang w:eastAsia="en-GB"/>
        </w:rPr>
        <w:t>دارد. کل مبلغ باید میان</w:t>
      </w:r>
      <w:r w:rsidRPr="00551F33">
        <w:rPr>
          <w:position w:val="-10"/>
        </w:rPr>
        <w:object w:dxaOrig="580" w:dyaOrig="320" w14:anchorId="48306772">
          <v:shape id="_x0000_i7735" type="#_x0000_t75" style="width:29.05pt;height:15.75pt" o:ole="">
            <v:imagedata r:id="rId13546" o:title=""/>
          </v:shape>
          <o:OLEObject Type="Embed" ProgID="Equation.DSMT4" ShapeID="_x0000_i7735" DrawAspect="Content" ObjectID="_1791381678" r:id="rId13547"/>
        </w:object>
      </w:r>
      <w:r w:rsidRPr="00551F33">
        <w:rPr>
          <w:rFonts w:hint="cs"/>
          <w:i/>
          <w:sz w:val="23"/>
          <w:szCs w:val="23"/>
          <w:rtl/>
          <w:lang w:eastAsia="en-GB"/>
        </w:rPr>
        <w:t xml:space="preserve"> مصرف</w:t>
      </w:r>
      <w:r w:rsidRPr="00551F33">
        <w:rPr>
          <w:rFonts w:hint="cs"/>
          <w:i/>
          <w:sz w:val="23"/>
          <w:szCs w:val="23"/>
          <w:rtl/>
          <w:lang w:eastAsia="en-GB"/>
        </w:rPr>
        <w:softHyphen/>
        <w:t>کنندگان دیرهنگام تقسیم شود</w:t>
      </w:r>
      <w:r w:rsidRPr="00551F33">
        <w:rPr>
          <w:i/>
          <w:sz w:val="23"/>
          <w:szCs w:val="23"/>
          <w:lang w:eastAsia="en-GB"/>
        </w:rPr>
        <w:t>.</w:t>
      </w:r>
    </w:p>
    <w:p w14:paraId="2981C588"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مسئله</w:t>
      </w:r>
      <w:r w:rsidRPr="00551F33">
        <w:rPr>
          <w:rFonts w:hint="cs"/>
          <w:i/>
          <w:sz w:val="23"/>
          <w:szCs w:val="23"/>
          <w:rtl/>
          <w:lang w:eastAsia="en-GB"/>
        </w:rPr>
        <w:softHyphen/>
        <w:t>ای که بانک‌ها باید در زمان صفر حل کنند انتخاب</w:t>
      </w:r>
      <w:r w:rsidRPr="00551F33">
        <w:rPr>
          <w:position w:val="-8"/>
        </w:rPr>
        <w:object w:dxaOrig="200" w:dyaOrig="220" w14:anchorId="03FD52EA">
          <v:shape id="_x0000_i7736" type="#_x0000_t75" style="width:10.3pt;height:10.9pt" o:ole="">
            <v:imagedata r:id="rId13548" o:title=""/>
          </v:shape>
          <o:OLEObject Type="Embed" ProgID="Equation.DSMT4" ShapeID="_x0000_i7736" DrawAspect="Content" ObjectID="_1791381679" r:id="rId13549"/>
        </w:object>
      </w:r>
      <w:r w:rsidRPr="00551F33">
        <w:rPr>
          <w:rFonts w:hint="cs"/>
          <w:i/>
          <w:sz w:val="23"/>
          <w:szCs w:val="23"/>
          <w:rtl/>
          <w:lang w:eastAsia="en-GB"/>
        </w:rPr>
        <w:t xml:space="preserve"> و</w:t>
      </w:r>
      <w:r w:rsidRPr="00551F33">
        <w:rPr>
          <w:position w:val="-6"/>
        </w:rPr>
        <w:object w:dxaOrig="200" w:dyaOrig="260" w14:anchorId="28628DF6">
          <v:shape id="_x0000_i7737" type="#_x0000_t75" style="width:10.3pt;height:13.3pt" o:ole="">
            <v:imagedata r:id="rId13550" o:title=""/>
          </v:shape>
          <o:OLEObject Type="Embed" ProgID="Equation.DSMT4" ShapeID="_x0000_i7737" DrawAspect="Content" ObjectID="_1791381680" r:id="rId13551"/>
        </w:object>
      </w:r>
      <w:r w:rsidRPr="00551F33">
        <w:rPr>
          <w:rFonts w:hint="cs"/>
          <w:i/>
          <w:sz w:val="23"/>
          <w:szCs w:val="23"/>
          <w:rtl/>
          <w:lang w:eastAsia="en-GB"/>
        </w:rPr>
        <w:t xml:space="preserve"> برای حداکثر کردن مطلوبیت انتظاری است. یعنی</w:t>
      </w:r>
    </w:p>
    <w:p w14:paraId="7283ADE6" w14:textId="77777777" w:rsidR="00556C10" w:rsidRPr="00551F33" w:rsidRDefault="00556C10" w:rsidP="00556C10">
      <w:pPr>
        <w:bidi w:val="0"/>
        <w:spacing w:line="216" w:lineRule="auto"/>
        <w:rPr>
          <w:i/>
          <w:sz w:val="23"/>
          <w:szCs w:val="23"/>
          <w:lang w:eastAsia="en-GB"/>
        </w:rPr>
      </w:pPr>
      <w:r w:rsidRPr="00551F33">
        <w:rPr>
          <w:position w:val="-36"/>
        </w:rPr>
        <w:object w:dxaOrig="6420" w:dyaOrig="820" w14:anchorId="67ECDD9F">
          <v:shape id="_x0000_i7738" type="#_x0000_t75" style="width:297.7pt;height:40.55pt" o:ole="">
            <v:imagedata r:id="rId13552" o:title=""/>
          </v:shape>
          <o:OLEObject Type="Embed" ProgID="Equation.DSMT4" ShapeID="_x0000_i7738" DrawAspect="Content" ObjectID="_1791381681" r:id="rId13553"/>
        </w:object>
      </w:r>
      <w:r w:rsidRPr="00551F33">
        <w:rPr>
          <w:rFonts w:hint="cs"/>
          <w:i/>
          <w:sz w:val="23"/>
          <w:szCs w:val="23"/>
          <w:rtl/>
          <w:lang w:eastAsia="en-GB"/>
        </w:rPr>
        <w:t>(۱۵. ۱۴)</w:t>
      </w:r>
    </w:p>
    <w:p w14:paraId="40B332F0" w14:textId="77777777" w:rsidR="00556C10" w:rsidRPr="00551F33" w:rsidRDefault="00556C10" w:rsidP="00556C10">
      <w:pPr>
        <w:spacing w:line="216" w:lineRule="auto"/>
        <w:rPr>
          <w:i/>
          <w:sz w:val="23"/>
          <w:szCs w:val="23"/>
          <w:rtl/>
          <w:lang w:eastAsia="en-GB" w:bidi="ar-SA"/>
        </w:rPr>
      </w:pPr>
      <w:r w:rsidRPr="00551F33">
        <w:rPr>
          <w:rFonts w:hint="cs"/>
          <w:i/>
          <w:sz w:val="23"/>
          <w:szCs w:val="23"/>
          <w:rtl/>
          <w:lang w:eastAsia="en-GB"/>
        </w:rPr>
        <w:t>که در آن</w:t>
      </w:r>
      <w:r w:rsidRPr="00551F33">
        <w:rPr>
          <w:position w:val="-10"/>
        </w:rPr>
        <w:object w:dxaOrig="260" w:dyaOrig="320" w14:anchorId="04FF1301">
          <v:shape id="_x0000_i7739" type="#_x0000_t75" style="width:13.3pt;height:15.75pt" o:ole="">
            <v:imagedata r:id="rId13554" o:title=""/>
          </v:shape>
          <o:OLEObject Type="Embed" ProgID="Equation.DSMT4" ShapeID="_x0000_i7739" DrawAspect="Content" ObjectID="_1791381682" r:id="rId13555"/>
        </w:object>
      </w:r>
      <w:r w:rsidRPr="00551F33">
        <w:rPr>
          <w:rFonts w:hint="cs"/>
          <w:i/>
          <w:sz w:val="23"/>
          <w:szCs w:val="23"/>
          <w:rtl/>
          <w:lang w:eastAsia="en-GB"/>
        </w:rPr>
        <w:t xml:space="preserve"> و</w:t>
      </w:r>
      <w:r w:rsidRPr="00551F33">
        <w:rPr>
          <w:position w:val="-10"/>
        </w:rPr>
        <w:object w:dxaOrig="260" w:dyaOrig="320" w14:anchorId="4888B29A">
          <v:shape id="_x0000_i7740" type="#_x0000_t75" style="width:13.3pt;height:15.75pt" o:ole="">
            <v:imagedata r:id="rId13556" o:title=""/>
          </v:shape>
          <o:OLEObject Type="Embed" ProgID="Equation.DSMT4" ShapeID="_x0000_i7740" DrawAspect="Content" ObjectID="_1791381683" r:id="rId13557"/>
        </w:object>
      </w:r>
      <w:r w:rsidRPr="00551F33">
        <w:rPr>
          <w:rFonts w:hint="cs"/>
          <w:i/>
          <w:sz w:val="23"/>
          <w:szCs w:val="23"/>
          <w:rtl/>
          <w:lang w:eastAsia="en-GB"/>
        </w:rPr>
        <w:t xml:space="preserve"> داده شده است. با استفاده از معادله‌ی (۱۵. ۱۳) شرایط مرتبه اول نسبت به</w:t>
      </w:r>
      <w:r w:rsidRPr="00551F33">
        <w:rPr>
          <w:position w:val="-8"/>
        </w:rPr>
        <w:object w:dxaOrig="200" w:dyaOrig="220" w14:anchorId="3F38A259">
          <v:shape id="_x0000_i7741" type="#_x0000_t75" style="width:10.3pt;height:10.9pt" o:ole="">
            <v:imagedata r:id="rId13558" o:title=""/>
          </v:shape>
          <o:OLEObject Type="Embed" ProgID="Equation.DSMT4" ShapeID="_x0000_i7741" DrawAspect="Content" ObjectID="_1791381684" r:id="rId13559"/>
        </w:object>
      </w:r>
      <w:r w:rsidRPr="00551F33">
        <w:rPr>
          <w:i/>
          <w:sz w:val="23"/>
          <w:szCs w:val="23"/>
          <w:lang w:eastAsia="en-GB"/>
        </w:rPr>
        <w:t xml:space="preserve"> </w:t>
      </w:r>
      <w:r w:rsidRPr="00551F33">
        <w:rPr>
          <w:rFonts w:hint="cs"/>
          <w:i/>
          <w:sz w:val="23"/>
          <w:szCs w:val="23"/>
          <w:rtl/>
          <w:lang w:eastAsia="en-GB"/>
        </w:rPr>
        <w:t>و</w:t>
      </w:r>
      <w:r w:rsidRPr="00551F33">
        <w:rPr>
          <w:position w:val="-6"/>
        </w:rPr>
        <w:object w:dxaOrig="200" w:dyaOrig="260" w14:anchorId="7AB91974">
          <v:shape id="_x0000_i7742" type="#_x0000_t75" style="width:10.3pt;height:13.3pt" o:ole="">
            <v:imagedata r:id="rId13560" o:title=""/>
          </v:shape>
          <o:OLEObject Type="Embed" ProgID="Equation.DSMT4" ShapeID="_x0000_i7742" DrawAspect="Content" ObjectID="_1791381685" r:id="rId13561"/>
        </w:object>
      </w:r>
      <w:r w:rsidRPr="00551F33">
        <w:rPr>
          <w:rFonts w:hint="cs"/>
          <w:i/>
          <w:sz w:val="23"/>
          <w:szCs w:val="23"/>
          <w:rtl/>
          <w:lang w:eastAsia="en-GB"/>
        </w:rPr>
        <w:t xml:space="preserve"> عبارت است از</w:t>
      </w:r>
    </w:p>
    <w:p w14:paraId="35B5E7B2" w14:textId="77777777" w:rsidR="00556C10" w:rsidRPr="00551F33" w:rsidRDefault="00556C10" w:rsidP="00556C10">
      <w:pPr>
        <w:bidi w:val="0"/>
        <w:spacing w:line="216" w:lineRule="auto"/>
        <w:rPr>
          <w:i/>
          <w:sz w:val="23"/>
          <w:szCs w:val="23"/>
          <w:rtl/>
          <w:lang w:eastAsia="en-GB"/>
        </w:rPr>
      </w:pPr>
      <w:r w:rsidRPr="00551F33">
        <w:rPr>
          <w:i/>
          <w:sz w:val="23"/>
          <w:szCs w:val="23"/>
          <w:lang w:eastAsia="en-GB"/>
        </w:rPr>
        <w:t> </w:t>
      </w:r>
      <w:r w:rsidRPr="00551F33">
        <w:rPr>
          <w:position w:val="-30"/>
        </w:rPr>
        <w:object w:dxaOrig="5899" w:dyaOrig="700" w14:anchorId="2A127147">
          <v:shape id="_x0000_i7743" type="#_x0000_t75" style="width:291.65pt;height:35.1pt" o:ole="">
            <v:imagedata r:id="rId13562" o:title=""/>
          </v:shape>
          <o:OLEObject Type="Embed" ProgID="Equation.DSMT4" ShapeID="_x0000_i7743" DrawAspect="Content" ObjectID="_1791381686" r:id="rId13563"/>
        </w:object>
      </w:r>
      <w:r w:rsidRPr="00551F33">
        <w:rPr>
          <w:rFonts w:eastAsiaTheme="minorHAnsi" w:cstheme="minorBidi" w:hint="cs"/>
          <w:i/>
          <w:sz w:val="23"/>
          <w:szCs w:val="23"/>
          <w:rtl/>
        </w:rPr>
        <w:t xml:space="preserve"> </w:t>
      </w:r>
      <w:r w:rsidRPr="00551F33">
        <w:rPr>
          <w:rFonts w:hint="cs"/>
          <w:i/>
          <w:sz w:val="23"/>
          <w:szCs w:val="23"/>
          <w:rtl/>
          <w:lang w:eastAsia="en-GB"/>
        </w:rPr>
        <w:t xml:space="preserve">(۱۵. </w:t>
      </w:r>
      <w:r w:rsidRPr="00860776">
        <w:rPr>
          <w:rFonts w:ascii="NPIZar" w:hAnsi="NPIZar"/>
          <w:i/>
          <w:sz w:val="23"/>
          <w:szCs w:val="23"/>
          <w:rtl/>
          <w:lang w:eastAsia="en-GB"/>
        </w:rPr>
        <w:t>۱5</w:t>
      </w:r>
      <w:r w:rsidRPr="00551F33">
        <w:rPr>
          <w:rFonts w:hint="cs"/>
          <w:i/>
          <w:sz w:val="23"/>
          <w:szCs w:val="23"/>
          <w:rtl/>
          <w:lang w:eastAsia="en-GB"/>
        </w:rPr>
        <w:t xml:space="preserve">) </w:t>
      </w:r>
      <w:r w:rsidRPr="00551F33">
        <w:rPr>
          <w:position w:val="-66"/>
        </w:rPr>
        <w:object w:dxaOrig="5500" w:dyaOrig="1420" w14:anchorId="20906745">
          <v:shape id="_x0000_i7744" type="#_x0000_t75" style="width:275.3pt;height:70.8pt" o:ole="">
            <v:imagedata r:id="rId13564" o:title=""/>
          </v:shape>
          <o:OLEObject Type="Embed" ProgID="Equation.DSMT4" ShapeID="_x0000_i7744" DrawAspect="Content" ObjectID="_1791381687" r:id="rId13565"/>
        </w:object>
      </w:r>
      <w:r w:rsidRPr="00551F33">
        <w:rPr>
          <w:i/>
          <w:sz w:val="23"/>
          <w:szCs w:val="23"/>
          <w:rtl/>
        </w:rPr>
        <w:tab/>
      </w:r>
      <w:r w:rsidRPr="00551F33">
        <w:rPr>
          <w:i/>
          <w:sz w:val="23"/>
          <w:szCs w:val="23"/>
          <w:rtl/>
        </w:rPr>
        <w:tab/>
      </w:r>
      <w:r w:rsidRPr="00551F33">
        <w:rPr>
          <w:rFonts w:hint="cs"/>
          <w:i/>
          <w:sz w:val="23"/>
          <w:szCs w:val="23"/>
          <w:rtl/>
          <w:lang w:eastAsia="en-GB"/>
        </w:rPr>
        <w:t>(۱۵. ۱۶)</w:t>
      </w:r>
    </w:p>
    <w:p w14:paraId="1E866E95" w14:textId="77777777" w:rsidR="00556C10" w:rsidRPr="00551F33" w:rsidRDefault="00556C10" w:rsidP="00556C10">
      <w:pPr>
        <w:spacing w:line="216" w:lineRule="auto"/>
        <w:rPr>
          <w:i/>
          <w:sz w:val="23"/>
          <w:szCs w:val="23"/>
          <w:lang w:eastAsia="en-GB" w:bidi="ar-SA"/>
        </w:rPr>
      </w:pPr>
      <w:r w:rsidRPr="00551F33">
        <w:rPr>
          <w:rFonts w:hint="cs"/>
          <w:i/>
          <w:sz w:val="23"/>
          <w:szCs w:val="23"/>
          <w:rtl/>
          <w:lang w:eastAsia="en-GB"/>
        </w:rPr>
        <w:t xml:space="preserve"> شوک‌های منفرد که بر بانک‌ها تاثیر می</w:t>
      </w:r>
      <w:r w:rsidRPr="00551F33">
        <w:rPr>
          <w:i/>
          <w:sz w:val="23"/>
          <w:szCs w:val="23"/>
          <w:lang w:eastAsia="en-GB"/>
        </w:rPr>
        <w:t>‌</w:t>
      </w:r>
      <w:r w:rsidRPr="00551F33">
        <w:rPr>
          <w:rFonts w:hint="cs"/>
          <w:i/>
          <w:sz w:val="23"/>
          <w:szCs w:val="23"/>
          <w:rtl/>
          <w:lang w:eastAsia="en-GB"/>
        </w:rPr>
        <w:t>گذارد سبب می</w:t>
      </w:r>
      <w:r w:rsidRPr="00551F33">
        <w:rPr>
          <w:rFonts w:hint="cs"/>
          <w:i/>
          <w:sz w:val="23"/>
          <w:szCs w:val="23"/>
          <w:rtl/>
          <w:lang w:eastAsia="en-GB"/>
        </w:rPr>
        <w:softHyphen/>
        <w:t>شود نیمی از بانک‌ها</w:t>
      </w:r>
      <w:r w:rsidRPr="00551F33">
        <w:rPr>
          <w:position w:val="-10"/>
        </w:rPr>
        <w:object w:dxaOrig="320" w:dyaOrig="320" w14:anchorId="5ED67790">
          <v:shape id="_x0000_i7745" type="#_x0000_t75" style="width:15.75pt;height:15.75pt" o:ole="">
            <v:imagedata r:id="rId13566" o:title=""/>
          </v:shape>
          <o:OLEObject Type="Embed" ProgID="Equation.DSMT4" ShapeID="_x0000_i7745" DrawAspect="Content" ObjectID="_1791381688" r:id="rId13567"/>
        </w:object>
      </w:r>
      <w:r w:rsidRPr="00551F33">
        <w:rPr>
          <w:rFonts w:hint="cs"/>
          <w:i/>
          <w:sz w:val="23"/>
          <w:szCs w:val="23"/>
          <w:rtl/>
          <w:lang w:eastAsia="en-GB"/>
        </w:rPr>
        <w:t xml:space="preserve"> و نیمی دیگر</w:t>
      </w:r>
      <w:r w:rsidRPr="00551F33">
        <w:rPr>
          <w:position w:val="-10"/>
        </w:rPr>
        <w:object w:dxaOrig="300" w:dyaOrig="320" w14:anchorId="64B5C3AD">
          <v:shape id="_x0000_i7746" type="#_x0000_t75" style="width:14.5pt;height:15.75pt" o:ole="">
            <v:imagedata r:id="rId13568" o:title=""/>
          </v:shape>
          <o:OLEObject Type="Embed" ProgID="Equation.DSMT4" ShapeID="_x0000_i7746" DrawAspect="Content" ObjectID="_1791381689" r:id="rId13569"/>
        </w:object>
      </w:r>
      <w:r w:rsidRPr="00551F33">
        <w:rPr>
          <w:rFonts w:hint="cs"/>
          <w:i/>
          <w:sz w:val="23"/>
          <w:szCs w:val="23"/>
          <w:rtl/>
          <w:lang w:eastAsia="en-GB"/>
        </w:rPr>
        <w:t xml:space="preserve"> داشته باشند وقتی </w:t>
      </w:r>
      <w:r w:rsidRPr="00551F33">
        <w:rPr>
          <w:position w:val="-6"/>
        </w:rPr>
        <w:object w:dxaOrig="540" w:dyaOrig="260" w14:anchorId="2C20A10F">
          <v:shape id="_x0000_i7747" type="#_x0000_t75" style="width:26.6pt;height:13.3pt" o:ole="">
            <v:imagedata r:id="rId13570" o:title=""/>
          </v:shape>
          <o:OLEObject Type="Embed" ProgID="Equation.DSMT4" ShapeID="_x0000_i7747" DrawAspect="Content" ObjectID="_1791381690" r:id="rId13571"/>
        </w:object>
      </w:r>
      <w:r w:rsidRPr="00551F33">
        <w:rPr>
          <w:rFonts w:hint="cs"/>
          <w:i/>
          <w:sz w:val="23"/>
          <w:szCs w:val="23"/>
          <w:rtl/>
          <w:lang w:eastAsia="en-GB"/>
        </w:rPr>
        <w:t xml:space="preserve">، </w:t>
      </w:r>
      <w:r w:rsidRPr="00551F33">
        <w:rPr>
          <w:position w:val="-10"/>
        </w:rPr>
        <w:object w:dxaOrig="940" w:dyaOrig="320" w14:anchorId="7ACF94C9">
          <v:shape id="_x0000_i7748" type="#_x0000_t75" style="width:47.2pt;height:15.75pt" o:ole="">
            <v:imagedata r:id="rId13572" o:title=""/>
          </v:shape>
          <o:OLEObject Type="Embed" ProgID="Equation.DSMT4" ShapeID="_x0000_i7748" DrawAspect="Content" ObjectID="_1791381691" r:id="rId13573"/>
        </w:object>
      </w:r>
      <w:r w:rsidRPr="00551F33">
        <w:rPr>
          <w:i/>
          <w:sz w:val="23"/>
          <w:szCs w:val="23"/>
          <w:lang w:eastAsia="en-GB"/>
        </w:rPr>
        <w:t>.</w:t>
      </w:r>
      <w:r w:rsidRPr="00551F33">
        <w:rPr>
          <w:rFonts w:hint="cs"/>
          <w:i/>
          <w:sz w:val="23"/>
          <w:szCs w:val="23"/>
          <w:rtl/>
          <w:lang w:eastAsia="en-GB"/>
        </w:rPr>
        <w:t xml:space="preserve"> بانک</w:t>
      </w:r>
      <w:r w:rsidRPr="00551F33">
        <w:rPr>
          <w:i/>
          <w:sz w:val="23"/>
          <w:szCs w:val="23"/>
          <w:lang w:eastAsia="en-GB"/>
        </w:rPr>
        <w:t>‌</w:t>
      </w:r>
      <w:r w:rsidRPr="00551F33">
        <w:rPr>
          <w:rFonts w:hint="cs"/>
          <w:i/>
          <w:sz w:val="23"/>
          <w:szCs w:val="23"/>
          <w:rtl/>
          <w:lang w:eastAsia="en-GB"/>
        </w:rPr>
        <w:t>های با تقاضای بالای نقدینگی باید با فروش برخی از دارایی‌های بلندمدت خود در بازار بین</w:t>
      </w:r>
      <w:r w:rsidRPr="00551F33">
        <w:rPr>
          <w:rFonts w:hint="cs"/>
          <w:i/>
          <w:sz w:val="23"/>
          <w:szCs w:val="23"/>
          <w:rtl/>
          <w:lang w:eastAsia="en-GB"/>
        </w:rPr>
        <w:softHyphen/>
        <w:t>بانکی وجه نقد اضافه ایجاد کنند، و بانک‌های با تقاضای پایین نقدینگی دارایی بلند</w:t>
      </w:r>
      <w:r w:rsidRPr="00551F33">
        <w:rPr>
          <w:rFonts w:hint="cs"/>
          <w:i/>
          <w:sz w:val="23"/>
          <w:szCs w:val="23"/>
          <w:rtl/>
          <w:lang w:eastAsia="en-GB"/>
        </w:rPr>
        <w:softHyphen/>
        <w:t>مدت بیشتری می</w:t>
      </w:r>
      <w:r w:rsidRPr="00551F33">
        <w:rPr>
          <w:rFonts w:hint="cs"/>
          <w:i/>
          <w:sz w:val="23"/>
          <w:szCs w:val="23"/>
          <w:rtl/>
          <w:lang w:eastAsia="en-GB"/>
        </w:rPr>
        <w:softHyphen/>
        <w:t>خرند. چون ورشکستگی بهینه نیست، مبلغ کل نقدینگی</w:t>
      </w:r>
      <w:r w:rsidRPr="00551F33">
        <w:rPr>
          <w:position w:val="-8"/>
        </w:rPr>
        <w:object w:dxaOrig="200" w:dyaOrig="220" w14:anchorId="088BE925">
          <v:shape id="_x0000_i7749" type="#_x0000_t75" style="width:10.3pt;height:10.9pt" o:ole="">
            <v:imagedata r:id="rId13574" o:title=""/>
          </v:shape>
          <o:OLEObject Type="Embed" ProgID="Equation.DSMT4" ShapeID="_x0000_i7749" DrawAspect="Content" ObjectID="_1791381692" r:id="rId13575"/>
        </w:object>
      </w:r>
      <w:r w:rsidRPr="00551F33">
        <w:rPr>
          <w:rFonts w:hint="cs"/>
          <w:i/>
          <w:sz w:val="23"/>
          <w:szCs w:val="23"/>
          <w:rtl/>
          <w:lang w:eastAsia="en-GB"/>
        </w:rPr>
        <w:t xml:space="preserve"> باید برای پوشش تقاضا در حالت</w:t>
      </w:r>
      <w:r w:rsidRPr="00551F33">
        <w:rPr>
          <w:position w:val="-6"/>
        </w:rPr>
        <w:object w:dxaOrig="499" w:dyaOrig="260" w14:anchorId="7A7BE94F">
          <v:shape id="_x0000_i7750" type="#_x0000_t75" style="width:24.8pt;height:13.3pt" o:ole="">
            <v:imagedata r:id="rId13576" o:title=""/>
          </v:shape>
          <o:OLEObject Type="Embed" ProgID="Equation.DSMT4" ShapeID="_x0000_i7750" DrawAspect="Content" ObjectID="_1791381693" r:id="rId13577"/>
        </w:object>
      </w:r>
      <w:r w:rsidRPr="00551F33">
        <w:rPr>
          <w:rFonts w:hint="cs"/>
          <w:i/>
          <w:sz w:val="23"/>
          <w:szCs w:val="23"/>
          <w:rtl/>
          <w:lang w:eastAsia="en-GB"/>
        </w:rPr>
        <w:t xml:space="preserve"> کافی باشد. در نتیجه </w:t>
      </w:r>
    </w:p>
    <w:p w14:paraId="264D1895" w14:textId="77777777" w:rsidR="00556C10" w:rsidRPr="00551F33" w:rsidRDefault="00556C10" w:rsidP="00556C10">
      <w:pPr>
        <w:bidi w:val="0"/>
        <w:spacing w:line="216" w:lineRule="auto"/>
        <w:rPr>
          <w:i/>
          <w:sz w:val="23"/>
          <w:szCs w:val="23"/>
          <w:lang w:eastAsia="en-GB"/>
        </w:rPr>
      </w:pPr>
      <w:r w:rsidRPr="00551F33">
        <w:rPr>
          <w:i/>
          <w:sz w:val="23"/>
          <w:szCs w:val="23"/>
          <w:lang w:eastAsia="en-GB"/>
        </w:rPr>
        <w:t> </w:t>
      </w:r>
      <w:r w:rsidRPr="00551F33">
        <w:rPr>
          <w:position w:val="-12"/>
        </w:rPr>
        <w:object w:dxaOrig="1719" w:dyaOrig="360" w14:anchorId="7EB276BA">
          <v:shape id="_x0000_i7751" type="#_x0000_t75" style="width:85.9pt;height:18.15pt" o:ole="">
            <v:imagedata r:id="rId13578" o:title=""/>
          </v:shape>
          <o:OLEObject Type="Embed" ProgID="Equation.DSMT4" ShapeID="_x0000_i7751" DrawAspect="Content" ObjectID="_1791381694" r:id="rId13579"/>
        </w:object>
      </w:r>
    </w:p>
    <w:p w14:paraId="76B4C66C"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 xml:space="preserve">و از آنجا که </w:t>
      </w:r>
      <w:r w:rsidRPr="00551F33">
        <w:rPr>
          <w:position w:val="-6"/>
        </w:rPr>
        <w:object w:dxaOrig="520" w:dyaOrig="260" w14:anchorId="1F81C7AA">
          <v:shape id="_x0000_i7752" type="#_x0000_t75" style="width:26pt;height:13.3pt" o:ole="">
            <v:imagedata r:id="rId13580" o:title=""/>
          </v:shape>
          <o:OLEObject Type="Embed" ProgID="Equation.DSMT4" ShapeID="_x0000_i7752" DrawAspect="Content" ObjectID="_1791381695" r:id="rId13581"/>
        </w:object>
      </w:r>
    </w:p>
    <w:p w14:paraId="102D0337" w14:textId="77777777" w:rsidR="00556C10" w:rsidRPr="00551F33" w:rsidRDefault="00556C10" w:rsidP="00556C10">
      <w:pPr>
        <w:bidi w:val="0"/>
        <w:spacing w:line="216" w:lineRule="auto"/>
        <w:rPr>
          <w:i/>
          <w:sz w:val="23"/>
          <w:szCs w:val="23"/>
          <w:lang w:eastAsia="en-GB"/>
        </w:rPr>
      </w:pPr>
      <w:r w:rsidRPr="00551F33">
        <w:rPr>
          <w:position w:val="-10"/>
        </w:rPr>
        <w:object w:dxaOrig="1240" w:dyaOrig="320" w14:anchorId="50D5959B">
          <v:shape id="_x0000_i7753" type="#_x0000_t75" style="width:61.7pt;height:15.75pt" o:ole="">
            <v:imagedata r:id="rId13582" o:title=""/>
          </v:shape>
          <o:OLEObject Type="Embed" ProgID="Equation.DSMT4" ShapeID="_x0000_i7753" DrawAspect="Content" ObjectID="_1791381696" r:id="rId13583"/>
        </w:object>
      </w:r>
      <w:r>
        <w:rPr>
          <w:rtl/>
        </w:rPr>
        <w:tab/>
      </w:r>
    </w:p>
    <w:p w14:paraId="29E110B3" w14:textId="77777777" w:rsidR="00556C10" w:rsidRPr="00551F33" w:rsidRDefault="00556C10" w:rsidP="00556C10">
      <w:pPr>
        <w:spacing w:line="216" w:lineRule="auto"/>
        <w:rPr>
          <w:i/>
          <w:sz w:val="23"/>
          <w:szCs w:val="23"/>
          <w:lang w:eastAsia="en-GB" w:bidi="ar-SA"/>
        </w:rPr>
      </w:pPr>
      <w:r w:rsidRPr="00551F33">
        <w:rPr>
          <w:rFonts w:hint="cs"/>
          <w:i/>
          <w:sz w:val="23"/>
          <w:szCs w:val="23"/>
          <w:rtl/>
          <w:lang w:eastAsia="en-GB"/>
        </w:rPr>
        <w:t xml:space="preserve">به این معنی که در حالت </w:t>
      </w:r>
      <w:r w:rsidRPr="00551F33">
        <w:rPr>
          <w:position w:val="-6"/>
        </w:rPr>
        <w:object w:dxaOrig="540" w:dyaOrig="260" w14:anchorId="2CD934C6">
          <v:shape id="_x0000_i7754" type="#_x0000_t75" style="width:26.6pt;height:13.3pt" o:ole="">
            <v:imagedata r:id="rId13584" o:title=""/>
          </v:shape>
          <o:OLEObject Type="Embed" ProgID="Equation.DSMT4" ShapeID="_x0000_i7754" DrawAspect="Content" ObjectID="_1791381697" r:id="rId13585"/>
        </w:object>
      </w:r>
      <w:r w:rsidRPr="00551F33">
        <w:rPr>
          <w:i/>
          <w:sz w:val="23"/>
          <w:szCs w:val="23"/>
          <w:lang w:eastAsia="en-GB"/>
        </w:rPr>
        <w:t xml:space="preserve"> </w:t>
      </w:r>
      <w:r w:rsidRPr="00551F33">
        <w:rPr>
          <w:rFonts w:hint="cs"/>
          <w:i/>
          <w:sz w:val="23"/>
          <w:szCs w:val="23"/>
          <w:rtl/>
          <w:lang w:eastAsia="en-GB"/>
        </w:rPr>
        <w:t>نقدینگی مازاد در زمان یک وجود دارد.</w:t>
      </w:r>
    </w:p>
    <w:p w14:paraId="3A4A73F3"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شرط لازم برای تسویه</w:t>
      </w:r>
      <w:r w:rsidRPr="00551F33">
        <w:rPr>
          <w:rFonts w:hint="cs"/>
          <w:i/>
          <w:sz w:val="23"/>
          <w:szCs w:val="23"/>
          <w:rtl/>
          <w:lang w:eastAsia="en-GB"/>
        </w:rPr>
        <w:softHyphen/>
        <w:t>ی بازار بین بانکی این است که دارایی‌های بلندمدت در زمان صفر قیمت</w:t>
      </w:r>
      <w:r w:rsidRPr="00551F33">
        <w:rPr>
          <w:rFonts w:hint="cs"/>
          <w:i/>
          <w:sz w:val="23"/>
          <w:szCs w:val="23"/>
          <w:rtl/>
          <w:lang w:eastAsia="en-GB"/>
        </w:rPr>
        <w:softHyphen/>
        <w:t>گذاری شود به نحوی که</w:t>
      </w:r>
      <w:r w:rsidRPr="00551F33">
        <w:rPr>
          <w:position w:val="-10"/>
        </w:rPr>
        <w:object w:dxaOrig="680" w:dyaOrig="320" w14:anchorId="23CA6520">
          <v:shape id="_x0000_i7755" type="#_x0000_t75" style="width:33.9pt;height:15.75pt" o:ole="">
            <v:imagedata r:id="rId13586" o:title=""/>
          </v:shape>
          <o:OLEObject Type="Embed" ProgID="Equation.DSMT4" ShapeID="_x0000_i7755" DrawAspect="Content" ObjectID="_1791381698" r:id="rId13587"/>
        </w:object>
      </w:r>
      <w:r w:rsidRPr="00551F33">
        <w:rPr>
          <w:i/>
          <w:sz w:val="23"/>
          <w:szCs w:val="23"/>
          <w:lang w:eastAsia="en-GB"/>
        </w:rPr>
        <w:t>.</w:t>
      </w:r>
      <w:r w:rsidRPr="00551F33">
        <w:rPr>
          <w:rFonts w:hint="cs"/>
          <w:i/>
          <w:sz w:val="23"/>
          <w:szCs w:val="23"/>
          <w:rtl/>
          <w:lang w:eastAsia="en-GB"/>
        </w:rPr>
        <w:t xml:space="preserve"> بین زمان یک و دو، بانک‌ها هم دارایی بلندمدت و هم مازاد نقدینگی دارند. اگر</w:t>
      </w:r>
      <w:r w:rsidRPr="00551F33">
        <w:rPr>
          <w:position w:val="-10"/>
        </w:rPr>
        <w:object w:dxaOrig="680" w:dyaOrig="320" w14:anchorId="26964442">
          <v:shape id="_x0000_i7756" type="#_x0000_t75" style="width:33.9pt;height:15.75pt" o:ole="">
            <v:imagedata r:id="rId13588" o:title=""/>
          </v:shape>
          <o:OLEObject Type="Embed" ProgID="Equation.DSMT4" ShapeID="_x0000_i7756" DrawAspect="Content" ObjectID="_1791381699" r:id="rId13589"/>
        </w:object>
      </w:r>
      <w:r w:rsidRPr="00551F33">
        <w:rPr>
          <w:rFonts w:hint="cs"/>
          <w:i/>
          <w:sz w:val="23"/>
          <w:szCs w:val="23"/>
          <w:rtl/>
          <w:lang w:eastAsia="en-GB"/>
        </w:rPr>
        <w:t xml:space="preserve"> باشد آن‌ها مایل خواهند بود تنها دارایی‌های بلندمدت نگهداری کنند، و اگر</w:t>
      </w:r>
      <w:r w:rsidRPr="00551F33">
        <w:rPr>
          <w:position w:val="-10"/>
        </w:rPr>
        <w:object w:dxaOrig="680" w:dyaOrig="320" w14:anchorId="6DC56453">
          <v:shape id="_x0000_i7757" type="#_x0000_t75" style="width:33.9pt;height:15.75pt" o:ole="">
            <v:imagedata r:id="rId13590" o:title=""/>
          </v:shape>
          <o:OLEObject Type="Embed" ProgID="Equation.DSMT4" ShapeID="_x0000_i7757" DrawAspect="Content" ObjectID="_1791381700" r:id="rId13591"/>
        </w:object>
      </w:r>
      <w:r w:rsidRPr="00551F33">
        <w:rPr>
          <w:i/>
          <w:sz w:val="23"/>
          <w:szCs w:val="23"/>
          <w:lang w:eastAsia="en-GB"/>
        </w:rPr>
        <w:t xml:space="preserve"> </w:t>
      </w:r>
      <w:r w:rsidRPr="00551F33">
        <w:rPr>
          <w:rFonts w:hint="cs"/>
          <w:i/>
          <w:sz w:val="23"/>
          <w:szCs w:val="23"/>
          <w:rtl/>
          <w:lang w:eastAsia="en-GB"/>
        </w:rPr>
        <w:t>باشد آن‌ها تنها دارایی کوتاه</w:t>
      </w:r>
      <w:r w:rsidRPr="00551F33">
        <w:rPr>
          <w:rFonts w:hint="cs"/>
          <w:i/>
          <w:sz w:val="23"/>
          <w:szCs w:val="23"/>
          <w:rtl/>
          <w:lang w:eastAsia="en-GB"/>
        </w:rPr>
        <w:softHyphen/>
        <w:t xml:space="preserve">مدت نگهداری می‌کنند. اگر </w:t>
      </w:r>
      <w:r w:rsidRPr="00551F33">
        <w:rPr>
          <w:position w:val="-12"/>
        </w:rPr>
        <w:object w:dxaOrig="1180" w:dyaOrig="360" w14:anchorId="48A6C7E0">
          <v:shape id="_x0000_i7758" type="#_x0000_t75" style="width:58.7pt;height:18.15pt" o:ole="">
            <v:imagedata r:id="rId13592" o:title=""/>
          </v:shape>
          <o:OLEObject Type="Embed" ProgID="Equation.DSMT4" ShapeID="_x0000_i7758" DrawAspect="Content" ObjectID="_1791381701" r:id="rId13593"/>
        </w:object>
      </w:r>
      <w:r w:rsidRPr="00551F33">
        <w:rPr>
          <w:i/>
          <w:sz w:val="23"/>
          <w:szCs w:val="23"/>
          <w:lang w:eastAsia="en-GB"/>
        </w:rPr>
        <w:t xml:space="preserve"> </w:t>
      </w:r>
      <w:r w:rsidRPr="00551F33">
        <w:rPr>
          <w:rFonts w:hint="cs"/>
          <w:i/>
          <w:sz w:val="23"/>
          <w:szCs w:val="23"/>
          <w:rtl/>
          <w:lang w:eastAsia="en-GB"/>
        </w:rPr>
        <w:t xml:space="preserve">باشد استدلالی </w:t>
      </w:r>
      <w:r w:rsidRPr="00551F33">
        <w:rPr>
          <w:rFonts w:hint="cs"/>
          <w:i/>
          <w:sz w:val="23"/>
          <w:szCs w:val="23"/>
          <w:rtl/>
          <w:lang w:eastAsia="en-GB"/>
        </w:rPr>
        <w:lastRenderedPageBreak/>
        <w:t xml:space="preserve">مشابه برای حالت </w:t>
      </w:r>
      <w:r w:rsidRPr="00551F33">
        <w:rPr>
          <w:position w:val="-6"/>
        </w:rPr>
        <w:object w:dxaOrig="499" w:dyaOrig="260" w14:anchorId="414EC2CD">
          <v:shape id="_x0000_i7759" type="#_x0000_t75" style="width:24.8pt;height:13.3pt" o:ole="">
            <v:imagedata r:id="rId13594" o:title=""/>
          </v:shape>
          <o:OLEObject Type="Embed" ProgID="Equation.DSMT4" ShapeID="_x0000_i7759" DrawAspect="Content" ObjectID="_1791381702" r:id="rId13595"/>
        </w:object>
      </w:r>
      <w:r w:rsidRPr="00551F33">
        <w:rPr>
          <w:rFonts w:hint="cs"/>
          <w:i/>
          <w:sz w:val="23"/>
          <w:szCs w:val="23"/>
          <w:rtl/>
          <w:lang w:eastAsia="en-GB"/>
        </w:rPr>
        <w:t xml:space="preserve"> مصداق دارد، اگر داشته باشیم </w:t>
      </w:r>
      <w:r w:rsidRPr="00551F33">
        <w:rPr>
          <w:position w:val="-10"/>
        </w:rPr>
        <w:object w:dxaOrig="660" w:dyaOrig="320" w14:anchorId="059417EE">
          <v:shape id="_x0000_i7760" type="#_x0000_t75" style="width:32.65pt;height:15.75pt" o:ole="">
            <v:imagedata r:id="rId13596" o:title=""/>
          </v:shape>
          <o:OLEObject Type="Embed" ProgID="Equation.DSMT4" ShapeID="_x0000_i7760" DrawAspect="Content" ObjectID="_1791381703" r:id="rId13597"/>
        </w:object>
      </w:r>
      <w:r w:rsidRPr="00551F33">
        <w:rPr>
          <w:i/>
          <w:sz w:val="23"/>
          <w:szCs w:val="23"/>
          <w:lang w:eastAsia="en-GB"/>
        </w:rPr>
        <w:t>.</w:t>
      </w:r>
      <w:r w:rsidRPr="00551F33">
        <w:rPr>
          <w:rFonts w:hint="cs"/>
          <w:i/>
          <w:sz w:val="23"/>
          <w:szCs w:val="23"/>
          <w:rtl/>
          <w:lang w:eastAsia="en-GB"/>
        </w:rPr>
        <w:t xml:space="preserve"> با این حال اگر</w:t>
      </w:r>
      <w:r w:rsidRPr="00551F33">
        <w:rPr>
          <w:position w:val="-10"/>
        </w:rPr>
        <w:object w:dxaOrig="680" w:dyaOrig="320" w14:anchorId="1D66B6B1">
          <v:shape id="_x0000_i7761" type="#_x0000_t75" style="width:33.9pt;height:15.75pt" o:ole="">
            <v:imagedata r:id="rId13598" o:title=""/>
          </v:shape>
          <o:OLEObject Type="Embed" ProgID="Equation.DSMT4" ShapeID="_x0000_i7761" DrawAspect="Content" ObjectID="_1791381704" r:id="rId13599"/>
        </w:object>
      </w:r>
      <w:r w:rsidRPr="00551F33">
        <w:rPr>
          <w:rFonts w:hint="cs"/>
          <w:i/>
          <w:sz w:val="23"/>
          <w:szCs w:val="23"/>
          <w:rtl/>
          <w:lang w:eastAsia="en-GB"/>
        </w:rPr>
        <w:t xml:space="preserve"> باشد این نمی</w:t>
      </w:r>
      <w:r w:rsidRPr="00551F33">
        <w:rPr>
          <w:rFonts w:hint="cs"/>
          <w:i/>
          <w:sz w:val="23"/>
          <w:szCs w:val="23"/>
          <w:rtl/>
          <w:lang w:eastAsia="en-GB"/>
        </w:rPr>
        <w:softHyphen/>
        <w:t>تواند یک تعادل باشد، زیرا دارایی بلندمدت مابین زمان‌های صفر و یک بر دارایی کوتاه</w:t>
      </w:r>
      <w:r w:rsidRPr="00551F33">
        <w:rPr>
          <w:i/>
          <w:sz w:val="23"/>
          <w:szCs w:val="23"/>
          <w:lang w:eastAsia="en-GB"/>
        </w:rPr>
        <w:t>‌</w:t>
      </w:r>
      <w:r w:rsidRPr="00551F33">
        <w:rPr>
          <w:rFonts w:hint="cs"/>
          <w:i/>
          <w:sz w:val="23"/>
          <w:szCs w:val="23"/>
          <w:rtl/>
          <w:lang w:eastAsia="en-GB"/>
        </w:rPr>
        <w:t>مدت مسلط است و بنابراین در دارایی کوتاه</w:t>
      </w:r>
      <w:r w:rsidRPr="00551F33">
        <w:rPr>
          <w:i/>
          <w:sz w:val="23"/>
          <w:szCs w:val="23"/>
          <w:lang w:eastAsia="en-GB"/>
        </w:rPr>
        <w:t>‌</w:t>
      </w:r>
      <w:r w:rsidRPr="00551F33">
        <w:rPr>
          <w:rFonts w:hint="cs"/>
          <w:i/>
          <w:sz w:val="23"/>
          <w:szCs w:val="23"/>
          <w:rtl/>
          <w:lang w:eastAsia="en-GB"/>
        </w:rPr>
        <w:t>مدت سرمایه</w:t>
      </w:r>
      <w:r w:rsidRPr="00551F33">
        <w:rPr>
          <w:i/>
          <w:sz w:val="23"/>
          <w:szCs w:val="23"/>
          <w:lang w:eastAsia="en-GB"/>
        </w:rPr>
        <w:t>‌</w:t>
      </w:r>
      <w:r w:rsidRPr="00551F33">
        <w:rPr>
          <w:rFonts w:hint="cs"/>
          <w:i/>
          <w:sz w:val="23"/>
          <w:szCs w:val="23"/>
          <w:rtl/>
          <w:lang w:eastAsia="en-GB"/>
        </w:rPr>
        <w:t xml:space="preserve">گذاری صورت نخواهد گرفت. معنی این جمله این است که تعادل باید شرط زیر را برآورده کند. </w:t>
      </w:r>
    </w:p>
    <w:p w14:paraId="554F11B6" w14:textId="77777777" w:rsidR="00556C10" w:rsidRPr="00551F33" w:rsidRDefault="00556C10" w:rsidP="00556C10">
      <w:pPr>
        <w:bidi w:val="0"/>
        <w:spacing w:line="216" w:lineRule="auto"/>
        <w:rPr>
          <w:i/>
          <w:sz w:val="23"/>
          <w:szCs w:val="23"/>
          <w:rtl/>
          <w:lang w:eastAsia="en-GB"/>
        </w:rPr>
      </w:pPr>
      <w:r w:rsidRPr="00551F33">
        <w:rPr>
          <w:position w:val="-12"/>
        </w:rPr>
        <w:object w:dxaOrig="1719" w:dyaOrig="360" w14:anchorId="087B64BE">
          <v:shape id="_x0000_i7762" type="#_x0000_t75" style="width:85.9pt;height:18.15pt" o:ole="">
            <v:imagedata r:id="rId13600" o:title=""/>
          </v:shape>
          <o:OLEObject Type="Embed" ProgID="Equation.DSMT4" ShapeID="_x0000_i7762" DrawAspect="Content" ObjectID="_1791381705" r:id="rId13601"/>
        </w:object>
      </w:r>
    </w:p>
    <w:p w14:paraId="55674430"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 xml:space="preserve"> به علاوه نشان می</w:t>
      </w:r>
      <w:r w:rsidRPr="00551F33">
        <w:rPr>
          <w:rFonts w:hint="cs"/>
          <w:i/>
          <w:sz w:val="23"/>
          <w:szCs w:val="23"/>
          <w:rtl/>
          <w:lang w:eastAsia="en-GB"/>
        </w:rPr>
        <w:softHyphen/>
        <w:t>دهد که</w:t>
      </w:r>
      <w:r w:rsidRPr="00551F33">
        <w:rPr>
          <w:position w:val="-10"/>
        </w:rPr>
        <w:object w:dxaOrig="580" w:dyaOrig="320" w14:anchorId="00D48898">
          <v:shape id="_x0000_i7763" type="#_x0000_t75" style="width:29.05pt;height:15.75pt" o:ole="">
            <v:imagedata r:id="rId13602" o:title=""/>
          </v:shape>
          <o:OLEObject Type="Embed" ProgID="Equation.DSMT4" ShapeID="_x0000_i7763" DrawAspect="Content" ObjectID="_1791381706" r:id="rId13603"/>
        </w:object>
      </w:r>
      <w:r w:rsidRPr="00551F33">
        <w:rPr>
          <w:rFonts w:hint="cs"/>
          <w:i/>
          <w:sz w:val="23"/>
          <w:szCs w:val="23"/>
          <w:rtl/>
          <w:lang w:eastAsia="en-GB"/>
        </w:rPr>
        <w:t>، در غیر این صورت دارایی بلندمدت بر دارایی کوتاه</w:t>
      </w:r>
      <w:r w:rsidRPr="00551F33">
        <w:rPr>
          <w:rFonts w:hint="cs"/>
          <w:i/>
          <w:sz w:val="23"/>
          <w:szCs w:val="23"/>
          <w:rtl/>
          <w:lang w:eastAsia="en-GB"/>
        </w:rPr>
        <w:softHyphen/>
        <w:t>مدت بین زمان صفر و یک مسلط است.</w:t>
      </w:r>
    </w:p>
    <w:p w14:paraId="75AFD3CE"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اگر عدم قطعیت کلی نسبت به عدم قطعیت انفرادی به اندازه‌ی کافی بزرگ باشد، بازار بین</w:t>
      </w:r>
      <w:r w:rsidRPr="00551F33">
        <w:rPr>
          <w:rFonts w:hint="cs"/>
          <w:i/>
          <w:sz w:val="23"/>
          <w:szCs w:val="23"/>
          <w:rtl/>
          <w:lang w:eastAsia="en-GB"/>
        </w:rPr>
        <w:softHyphen/>
        <w:t>بانکی نمی</w:t>
      </w:r>
      <w:r w:rsidRPr="00551F33">
        <w:rPr>
          <w:i/>
          <w:sz w:val="23"/>
          <w:szCs w:val="23"/>
          <w:lang w:eastAsia="en-GB"/>
        </w:rPr>
        <w:t>‌</w:t>
      </w:r>
      <w:r w:rsidRPr="00551F33">
        <w:rPr>
          <w:rFonts w:hint="cs"/>
          <w:i/>
          <w:sz w:val="23"/>
          <w:szCs w:val="23"/>
          <w:rtl/>
          <w:lang w:eastAsia="en-GB"/>
        </w:rPr>
        <w:t>تواند نقدینگی لازم برای بانک‌ها را تهیه کند و بنابراین بانک‌ها در عمل نباید از معامله با یکدیگر دست بکشند. اگر تقاضای نقدینگی کلی نیز بالا باشد به نحوی</w:t>
      </w:r>
      <w:r w:rsidRPr="00551F33">
        <w:rPr>
          <w:rFonts w:hint="cs"/>
          <w:i/>
          <w:sz w:val="23"/>
          <w:szCs w:val="23"/>
          <w:rtl/>
          <w:lang w:eastAsia="en-GB"/>
        </w:rPr>
        <w:softHyphen/>
        <w:t>که</w:t>
      </w:r>
      <w:r w:rsidRPr="00551F33">
        <w:rPr>
          <w:position w:val="-10"/>
        </w:rPr>
        <w:object w:dxaOrig="1260" w:dyaOrig="320" w14:anchorId="7488F234">
          <v:shape id="_x0000_i7764" type="#_x0000_t75" style="width:62.9pt;height:15.75pt" o:ole="">
            <v:imagedata r:id="rId13604" o:title=""/>
          </v:shape>
          <o:OLEObject Type="Embed" ProgID="Equation.DSMT4" ShapeID="_x0000_i7764" DrawAspect="Content" ObjectID="_1791381707" r:id="rId13605"/>
        </w:object>
      </w:r>
      <w:r w:rsidRPr="00551F33">
        <w:rPr>
          <w:rFonts w:hint="cs"/>
          <w:i/>
          <w:sz w:val="23"/>
          <w:szCs w:val="23"/>
          <w:rtl/>
          <w:lang w:eastAsia="en-GB"/>
        </w:rPr>
        <w:t>احتمال وقوع این امر بیشتر است</w:t>
      </w:r>
    </w:p>
    <w:p w14:paraId="755D7507" w14:textId="77777777" w:rsidR="00556C10" w:rsidRPr="00551F33" w:rsidRDefault="00556C10" w:rsidP="00556C10">
      <w:pPr>
        <w:spacing w:line="216" w:lineRule="auto"/>
        <w:rPr>
          <w:i/>
          <w:sz w:val="23"/>
          <w:szCs w:val="23"/>
          <w:lang w:eastAsia="en-GB"/>
        </w:rPr>
      </w:pPr>
    </w:p>
    <w:p w14:paraId="1D5F7CAA" w14:textId="77777777" w:rsidR="00556C10" w:rsidRPr="00551F33" w:rsidRDefault="00556C10" w:rsidP="00556C10">
      <w:pPr>
        <w:pStyle w:val="Heading1"/>
        <w:spacing w:before="0" w:line="216" w:lineRule="auto"/>
        <w:rPr>
          <w:rFonts w:ascii="Times New Roman" w:hAnsi="Times New Roman" w:cs="B Nazanin"/>
          <w:b w:val="0"/>
          <w:i/>
          <w:sz w:val="23"/>
          <w:szCs w:val="23"/>
          <w:lang w:eastAsia="en-GB"/>
        </w:rPr>
      </w:pPr>
      <w:r w:rsidRPr="00551F33">
        <w:rPr>
          <w:rFonts w:ascii="Times New Roman" w:hAnsi="Times New Roman" w:cs="B Nazanin" w:hint="cs"/>
          <w:b w:val="0"/>
          <w:i/>
          <w:sz w:val="23"/>
          <w:szCs w:val="23"/>
          <w:rtl/>
          <w:lang w:eastAsia="en-GB"/>
        </w:rPr>
        <w:t>۱۵. ۶. ۳ مداخله بانک مرکزی</w:t>
      </w:r>
    </w:p>
    <w:p w14:paraId="733E479E"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سیاست پولی از طریق نرخ بهره</w:t>
      </w:r>
      <w:r w:rsidRPr="00551F33">
        <w:rPr>
          <w:rFonts w:hint="cs"/>
          <w:i/>
          <w:sz w:val="23"/>
          <w:szCs w:val="23"/>
          <w:rtl/>
          <w:lang w:eastAsia="en-GB"/>
        </w:rPr>
        <w:softHyphen/>
        <w:t>ی یک شبه اجرا می‌گردد. معمولاً بانک مرکزی این نرخ سیاستی را با خرید و فروش مشتقات در عملیات بازار آزاد تعیین می</w:t>
      </w:r>
      <w:r w:rsidRPr="00551F33">
        <w:rPr>
          <w:rFonts w:hint="cs"/>
          <w:i/>
          <w:sz w:val="23"/>
          <w:szCs w:val="23"/>
          <w:rtl/>
          <w:lang w:eastAsia="en-GB"/>
        </w:rPr>
        <w:softHyphen/>
        <w:t>کند. بانک‌های مرکزی مقدار زیادی از مشتقات در پرتفوی خود دارند که در اینجا فرض می‌شود دولت</w:t>
      </w:r>
      <w:r w:rsidRPr="00551F33">
        <w:rPr>
          <w:rFonts w:hint="cs"/>
          <w:i/>
          <w:sz w:val="23"/>
          <w:szCs w:val="23"/>
          <w:rtl/>
          <w:lang w:eastAsia="en-GB"/>
        </w:rPr>
        <w:softHyphen/>
        <w:t>ها از طریق مالیات دهندگان آن را تأمین مالی می</w:t>
      </w:r>
      <w:r w:rsidRPr="00551F33">
        <w:rPr>
          <w:i/>
          <w:sz w:val="23"/>
          <w:szCs w:val="23"/>
          <w:lang w:eastAsia="en-GB"/>
        </w:rPr>
        <w:t>‌</w:t>
      </w:r>
      <w:r w:rsidRPr="00551F33">
        <w:rPr>
          <w:rFonts w:hint="cs"/>
          <w:i/>
          <w:sz w:val="23"/>
          <w:szCs w:val="23"/>
          <w:rtl/>
          <w:lang w:eastAsia="en-GB"/>
        </w:rPr>
        <w:t>کنند. اکنون آنچه که مدل درباره‌ی اجرای مناسب عملیات بازار آزاد تصریح می</w:t>
      </w:r>
      <w:r w:rsidRPr="00551F33">
        <w:rPr>
          <w:rFonts w:hint="cs"/>
          <w:i/>
          <w:sz w:val="23"/>
          <w:szCs w:val="23"/>
          <w:rtl/>
          <w:lang w:eastAsia="en-GB"/>
        </w:rPr>
        <w:softHyphen/>
        <w:t>کند را بررسی می‌کنیم. هدف بانک مرکزی اطمینان و تضمین این نکته است که تخصیص بهینه‌ی مقدار</w:t>
      </w:r>
      <w:r w:rsidRPr="00551F33">
        <w:rPr>
          <w:position w:val="-8"/>
        </w:rPr>
        <w:object w:dxaOrig="260" w:dyaOrig="320" w14:anchorId="44C09D91">
          <v:shape id="_x0000_i7765" type="#_x0000_t75" style="width:13.3pt;height:15.75pt" o:ole="">
            <v:imagedata r:id="rId13606" o:title=""/>
          </v:shape>
          <o:OLEObject Type="Embed" ProgID="Equation.DSMT4" ShapeID="_x0000_i7765" DrawAspect="Content" ObjectID="_1791381708" r:id="rId13607"/>
        </w:object>
      </w:r>
      <w:r w:rsidRPr="00551F33">
        <w:rPr>
          <w:rFonts w:hint="cs"/>
          <w:i/>
          <w:sz w:val="23"/>
          <w:szCs w:val="23"/>
          <w:rtl/>
          <w:lang w:eastAsia="en-GB"/>
        </w:rPr>
        <w:t>،</w:t>
      </w:r>
      <w:r w:rsidRPr="00551F33">
        <w:rPr>
          <w:position w:val="-6"/>
        </w:rPr>
        <w:object w:dxaOrig="260" w:dyaOrig="300" w14:anchorId="2C699F9D">
          <v:shape id="_x0000_i7766" type="#_x0000_t75" style="width:13.3pt;height:14.5pt" o:ole="">
            <v:imagedata r:id="rId13608" o:title=""/>
          </v:shape>
          <o:OLEObject Type="Embed" ProgID="Equation.DSMT4" ShapeID="_x0000_i7766" DrawAspect="Content" ObjectID="_1791381709" r:id="rId13609"/>
        </w:object>
      </w:r>
      <w:r w:rsidRPr="00551F33">
        <w:rPr>
          <w:rFonts w:hint="cs"/>
          <w:i/>
          <w:sz w:val="23"/>
          <w:szCs w:val="23"/>
          <w:rtl/>
          <w:lang w:eastAsia="en-GB"/>
        </w:rPr>
        <w:t xml:space="preserve"> و </w:t>
      </w:r>
      <w:r w:rsidRPr="00551F33">
        <w:rPr>
          <w:position w:val="-10"/>
        </w:rPr>
        <w:object w:dxaOrig="240" w:dyaOrig="340" w14:anchorId="6B1D1F00">
          <v:shape id="_x0000_i7767" type="#_x0000_t75" style="width:11.5pt;height:16.95pt" o:ole="">
            <v:imagedata r:id="rId13610" o:title=""/>
          </v:shape>
          <o:OLEObject Type="Embed" ProgID="Equation.DSMT4" ShapeID="_x0000_i7767" DrawAspect="Content" ObjectID="_1791381710" r:id="rId13611"/>
        </w:object>
      </w:r>
      <w:r w:rsidRPr="00551F33">
        <w:rPr>
          <w:rFonts w:hint="cs"/>
          <w:i/>
          <w:sz w:val="23"/>
          <w:szCs w:val="23"/>
          <w:rtl/>
          <w:lang w:eastAsia="en-GB"/>
        </w:rPr>
        <w:t xml:space="preserve"> که در بالا استخراج شده است اجرایی شود</w:t>
      </w:r>
      <w:r w:rsidRPr="00551F33">
        <w:rPr>
          <w:i/>
          <w:sz w:val="23"/>
          <w:szCs w:val="23"/>
          <w:lang w:eastAsia="en-GB"/>
        </w:rPr>
        <w:t>.</w:t>
      </w:r>
      <w:r w:rsidRPr="00551F33">
        <w:rPr>
          <w:rFonts w:hint="cs"/>
          <w:i/>
          <w:sz w:val="23"/>
          <w:szCs w:val="23"/>
          <w:rtl/>
          <w:lang w:eastAsia="en-GB"/>
        </w:rPr>
        <w:t xml:space="preserve"> دو</w:t>
      </w:r>
      <w:r w:rsidRPr="00551F33">
        <w:rPr>
          <w:i/>
          <w:sz w:val="23"/>
          <w:szCs w:val="23"/>
          <w:lang w:eastAsia="en-GB"/>
        </w:rPr>
        <w:t xml:space="preserve"> </w:t>
      </w:r>
      <w:r w:rsidRPr="00551F33">
        <w:rPr>
          <w:rFonts w:hint="cs"/>
          <w:i/>
          <w:sz w:val="23"/>
          <w:szCs w:val="23"/>
          <w:rtl/>
          <w:lang w:eastAsia="en-GB"/>
        </w:rPr>
        <w:t>حالت را بررسی می</w:t>
      </w:r>
      <w:r w:rsidRPr="00551F33">
        <w:rPr>
          <w:i/>
          <w:sz w:val="23"/>
          <w:szCs w:val="23"/>
          <w:lang w:eastAsia="en-GB"/>
        </w:rPr>
        <w:t>‌</w:t>
      </w:r>
      <w:r w:rsidRPr="00551F33">
        <w:rPr>
          <w:rFonts w:hint="cs"/>
          <w:i/>
          <w:sz w:val="23"/>
          <w:szCs w:val="23"/>
          <w:rtl/>
          <w:lang w:eastAsia="en-GB"/>
        </w:rPr>
        <w:t xml:space="preserve">کنیم: وقتی که فقط شوک‌های انفرادی وجود دارد به نحوی که </w:t>
      </w:r>
      <w:r w:rsidRPr="00551F33">
        <w:rPr>
          <w:position w:val="-10"/>
        </w:rPr>
        <w:object w:dxaOrig="1060" w:dyaOrig="300" w14:anchorId="573B4274">
          <v:shape id="_x0000_i7768" type="#_x0000_t75" style="width:53.25pt;height:14.5pt" o:ole="">
            <v:imagedata r:id="rId13612" o:title=""/>
          </v:shape>
          <o:OLEObject Type="Embed" ProgID="Equation.DSMT4" ShapeID="_x0000_i7768" DrawAspect="Content" ObjectID="_1791381711" r:id="rId13613"/>
        </w:object>
      </w:r>
      <w:r w:rsidRPr="00551F33">
        <w:rPr>
          <w:rFonts w:hint="cs"/>
          <w:i/>
          <w:sz w:val="23"/>
          <w:szCs w:val="23"/>
          <w:rtl/>
          <w:lang w:eastAsia="en-GB"/>
        </w:rPr>
        <w:t xml:space="preserve"> و وقتی که فقط ریسک کلی وجود دارد به نحوی که</w:t>
      </w:r>
      <w:r w:rsidRPr="00551F33">
        <w:rPr>
          <w:position w:val="-10"/>
        </w:rPr>
        <w:object w:dxaOrig="1060" w:dyaOrig="300" w14:anchorId="177134EF">
          <v:shape id="_x0000_i7769" type="#_x0000_t75" style="width:53.25pt;height:14.5pt" o:ole="">
            <v:imagedata r:id="rId13614" o:title=""/>
          </v:shape>
          <o:OLEObject Type="Embed" ProgID="Equation.DSMT4" ShapeID="_x0000_i7769" DrawAspect="Content" ObjectID="_1791381712" r:id="rId13615"/>
        </w:object>
      </w:r>
      <w:r w:rsidRPr="00551F33">
        <w:rPr>
          <w:i/>
          <w:sz w:val="23"/>
          <w:szCs w:val="23"/>
          <w:lang w:eastAsia="en-GB"/>
        </w:rPr>
        <w:t>.</w:t>
      </w:r>
    </w:p>
    <w:p w14:paraId="374E6BA4"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حالت الف: ریسک انفرادی. چون ریسک کلی وجود ندارد استفاده از دارایی کوتاه</w:t>
      </w:r>
      <w:r w:rsidRPr="00551F33">
        <w:rPr>
          <w:rFonts w:hint="cs"/>
          <w:i/>
          <w:sz w:val="23"/>
          <w:szCs w:val="23"/>
          <w:rtl/>
          <w:lang w:eastAsia="en-GB"/>
        </w:rPr>
        <w:softHyphen/>
        <w:t>مدت برای تأمین مالی مصرف زودهنگام و دارایی بلندمدت برای مصرف دیرهنگام کاراست. چون می</w:t>
      </w:r>
      <w:r w:rsidRPr="00551F33">
        <w:rPr>
          <w:i/>
          <w:sz w:val="23"/>
          <w:szCs w:val="23"/>
          <w:lang w:eastAsia="en-GB"/>
        </w:rPr>
        <w:t>‌</w:t>
      </w:r>
      <w:r w:rsidRPr="00551F33">
        <w:rPr>
          <w:rFonts w:hint="cs"/>
          <w:i/>
          <w:sz w:val="23"/>
          <w:szCs w:val="23"/>
          <w:rtl/>
          <w:lang w:eastAsia="en-GB"/>
        </w:rPr>
        <w:t xml:space="preserve">توان از </w:t>
      </w:r>
      <w:r w:rsidRPr="00551F33">
        <w:rPr>
          <w:position w:val="-6"/>
        </w:rPr>
        <w:object w:dxaOrig="200" w:dyaOrig="260" w14:anchorId="6D0871AA">
          <v:shape id="_x0000_i7770" type="#_x0000_t75" style="width:10.3pt;height:13.3pt" o:ole="">
            <v:imagedata r:id="rId13616" o:title=""/>
          </v:shape>
          <o:OLEObject Type="Embed" ProgID="Equation.DSMT4" ShapeID="_x0000_i7770" DrawAspect="Content" ObjectID="_1791381713" r:id="rId13617"/>
        </w:object>
      </w:r>
      <w:r w:rsidRPr="00551F33">
        <w:rPr>
          <w:rFonts w:hint="cs"/>
          <w:i/>
          <w:sz w:val="23"/>
          <w:szCs w:val="23"/>
          <w:rtl/>
          <w:lang w:eastAsia="en-GB"/>
        </w:rPr>
        <w:t xml:space="preserve"> صرفنظر نمود رابطه زیر به دست می‌آید </w:t>
      </w:r>
    </w:p>
    <w:p w14:paraId="56843424" w14:textId="77777777" w:rsidR="00556C10" w:rsidRPr="00551F33" w:rsidRDefault="00556C10" w:rsidP="00556C10">
      <w:pPr>
        <w:bidi w:val="0"/>
        <w:spacing w:line="216" w:lineRule="auto"/>
        <w:rPr>
          <w:i/>
          <w:sz w:val="23"/>
          <w:szCs w:val="23"/>
          <w:lang w:eastAsia="en-GB"/>
        </w:rPr>
      </w:pPr>
      <w:r w:rsidRPr="00551F33">
        <w:rPr>
          <w:position w:val="-44"/>
        </w:rPr>
        <w:object w:dxaOrig="1359" w:dyaOrig="999" w14:anchorId="77FD737A">
          <v:shape id="_x0000_i7771" type="#_x0000_t75" style="width:67.75pt;height:50.2pt" o:ole="">
            <v:imagedata r:id="rId13618" o:title=""/>
          </v:shape>
          <o:OLEObject Type="Embed" ProgID="Equation.DSMT4" ShapeID="_x0000_i7771" DrawAspect="Content" ObjectID="_1791381714" r:id="rId13619"/>
        </w:object>
      </w:r>
    </w:p>
    <w:p w14:paraId="28D12072"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پرتفو دارایی‌هایی که بانک مرکزی نگهداری می</w:t>
      </w:r>
      <w:r w:rsidRPr="00551F33">
        <w:rPr>
          <w:i/>
          <w:sz w:val="23"/>
          <w:szCs w:val="23"/>
          <w:lang w:eastAsia="en-GB"/>
        </w:rPr>
        <w:t>‌</w:t>
      </w:r>
      <w:r w:rsidRPr="00551F33">
        <w:rPr>
          <w:rFonts w:hint="cs"/>
          <w:i/>
          <w:sz w:val="23"/>
          <w:szCs w:val="23"/>
          <w:rtl/>
          <w:lang w:eastAsia="en-GB"/>
        </w:rPr>
        <w:t>کند و برای مداخله مورد استفاده قرار می</w:t>
      </w:r>
      <w:r w:rsidRPr="00551F33">
        <w:rPr>
          <w:rFonts w:hint="cs"/>
          <w:i/>
          <w:sz w:val="23"/>
          <w:szCs w:val="23"/>
          <w:rtl/>
          <w:lang w:eastAsia="en-GB"/>
        </w:rPr>
        <w:softHyphen/>
        <w:t>گیرد را فرض می‌کنیم در زمان صفر با مالیات مقطوع بر خانوارها به میزان</w:t>
      </w:r>
      <w:r w:rsidRPr="00551F33">
        <w:rPr>
          <w:position w:val="-10"/>
        </w:rPr>
        <w:object w:dxaOrig="260" w:dyaOrig="320" w14:anchorId="5143FEBD">
          <v:shape id="_x0000_i7772" type="#_x0000_t75" style="width:13.3pt;height:15.75pt" o:ole="">
            <v:imagedata r:id="rId13620" o:title=""/>
          </v:shape>
          <o:OLEObject Type="Embed" ProgID="Equation.DSMT4" ShapeID="_x0000_i7772" DrawAspect="Content" ObjectID="_1791381715" r:id="rId13621"/>
        </w:object>
      </w:r>
      <w:r w:rsidRPr="00551F33">
        <w:rPr>
          <w:i/>
          <w:sz w:val="23"/>
          <w:szCs w:val="23"/>
          <w:lang w:eastAsia="en-GB"/>
        </w:rPr>
        <w:t xml:space="preserve"> </w:t>
      </w:r>
      <w:r w:rsidRPr="00551F33">
        <w:rPr>
          <w:rFonts w:hint="cs"/>
          <w:i/>
          <w:sz w:val="23"/>
          <w:szCs w:val="23"/>
          <w:rtl/>
          <w:lang w:eastAsia="en-GB"/>
        </w:rPr>
        <w:t>تأمین مالی می</w:t>
      </w:r>
      <w:r w:rsidRPr="00551F33">
        <w:rPr>
          <w:rFonts w:hint="cs"/>
          <w:i/>
          <w:sz w:val="23"/>
          <w:szCs w:val="23"/>
          <w:rtl/>
          <w:lang w:eastAsia="en-GB"/>
        </w:rPr>
        <w:softHyphen/>
        <w:t>شود. این امر برای خانوارها مبلغ</w:t>
      </w:r>
      <w:r w:rsidRPr="00551F33">
        <w:rPr>
          <w:position w:val="-10"/>
        </w:rPr>
        <w:object w:dxaOrig="540" w:dyaOrig="320" w14:anchorId="38907665">
          <v:shape id="_x0000_i7773" type="#_x0000_t75" style="width:26.6pt;height:15.75pt" o:ole="">
            <v:imagedata r:id="rId13622" o:title=""/>
          </v:shape>
          <o:OLEObject Type="Embed" ProgID="Equation.DSMT4" ShapeID="_x0000_i7773" DrawAspect="Content" ObjectID="_1791381716" r:id="rId13623"/>
        </w:object>
      </w:r>
      <w:r w:rsidRPr="00551F33">
        <w:rPr>
          <w:rFonts w:hint="cs"/>
          <w:i/>
          <w:sz w:val="23"/>
          <w:szCs w:val="23"/>
          <w:rtl/>
          <w:lang w:eastAsia="en-GB"/>
        </w:rPr>
        <w:t xml:space="preserve"> باقی می</w:t>
      </w:r>
      <w:r w:rsidRPr="00551F33">
        <w:rPr>
          <w:i/>
          <w:sz w:val="23"/>
          <w:szCs w:val="23"/>
          <w:lang w:eastAsia="en-GB"/>
        </w:rPr>
        <w:t>‌</w:t>
      </w:r>
      <w:r w:rsidRPr="00551F33">
        <w:rPr>
          <w:rFonts w:hint="cs"/>
          <w:i/>
          <w:sz w:val="23"/>
          <w:szCs w:val="23"/>
          <w:rtl/>
          <w:lang w:eastAsia="en-GB"/>
        </w:rPr>
        <w:t>گذارد تا در بانک‌ها سپرده</w:t>
      </w:r>
      <w:r w:rsidRPr="00551F33">
        <w:rPr>
          <w:rFonts w:hint="cs"/>
          <w:i/>
          <w:sz w:val="23"/>
          <w:szCs w:val="23"/>
          <w:rtl/>
          <w:lang w:eastAsia="en-GB"/>
        </w:rPr>
        <w:softHyphen/>
        <w:t>گذاری کنند. بانک مرکزی از این مالیات برای خرید دارایی کوتاه</w:t>
      </w:r>
      <w:r w:rsidRPr="00551F33">
        <w:rPr>
          <w:rFonts w:hint="cs"/>
          <w:i/>
          <w:sz w:val="23"/>
          <w:szCs w:val="23"/>
          <w:rtl/>
          <w:lang w:eastAsia="en-GB"/>
        </w:rPr>
        <w:softHyphen/>
        <w:t>مدت استفاده می‌کند. فرض می‌کنیم بین زمان صفر و یک بانک‌ها</w:t>
      </w:r>
      <w:r w:rsidRPr="00551F33">
        <w:rPr>
          <w:position w:val="-8"/>
        </w:rPr>
        <w:object w:dxaOrig="639" w:dyaOrig="320" w14:anchorId="191AE373">
          <v:shape id="_x0000_i7774" type="#_x0000_t75" style="width:32.05pt;height:15.75pt" o:ole="">
            <v:imagedata r:id="rId13624" o:title=""/>
          </v:shape>
          <o:OLEObject Type="Embed" ProgID="Equation.DSMT4" ShapeID="_x0000_i7774" DrawAspect="Content" ObjectID="_1791381717" r:id="rId13625"/>
        </w:object>
      </w:r>
      <w:r w:rsidRPr="00551F33">
        <w:rPr>
          <w:rFonts w:hint="cs"/>
          <w:i/>
          <w:sz w:val="23"/>
          <w:szCs w:val="23"/>
          <w:rtl/>
          <w:lang w:eastAsia="en-GB"/>
        </w:rPr>
        <w:t xml:space="preserve"> را در دارایی کوتاه</w:t>
      </w:r>
      <w:r w:rsidRPr="00551F33">
        <w:rPr>
          <w:rFonts w:hint="cs"/>
          <w:i/>
          <w:sz w:val="23"/>
          <w:szCs w:val="23"/>
          <w:rtl/>
          <w:lang w:eastAsia="en-GB"/>
        </w:rPr>
        <w:softHyphen/>
        <w:t>مدت و</w:t>
      </w:r>
      <w:r w:rsidRPr="00551F33">
        <w:rPr>
          <w:position w:val="-8"/>
        </w:rPr>
        <w:object w:dxaOrig="540" w:dyaOrig="320" w14:anchorId="379475B0">
          <v:shape id="_x0000_i7775" type="#_x0000_t75" style="width:26.6pt;height:15.75pt" o:ole="">
            <v:imagedata r:id="rId13626" o:title=""/>
          </v:shape>
          <o:OLEObject Type="Embed" ProgID="Equation.DSMT4" ShapeID="_x0000_i7775" DrawAspect="Content" ObjectID="_1791381718" r:id="rId13627"/>
        </w:object>
      </w:r>
      <w:r w:rsidRPr="00551F33">
        <w:rPr>
          <w:rFonts w:hint="cs"/>
          <w:i/>
          <w:sz w:val="23"/>
          <w:szCs w:val="23"/>
          <w:rtl/>
          <w:lang w:eastAsia="en-GB"/>
        </w:rPr>
        <w:t xml:space="preserve"> را در دارایی بلندمدت نگه می‌دارند. </w:t>
      </w:r>
    </w:p>
    <w:p w14:paraId="79D6874F"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lastRenderedPageBreak/>
        <w:t>در زمان یک نیمی از بانک‌ها مصرف</w:t>
      </w:r>
      <w:r w:rsidRPr="00551F33">
        <w:rPr>
          <w:i/>
          <w:sz w:val="23"/>
          <w:szCs w:val="23"/>
          <w:lang w:eastAsia="en-GB"/>
        </w:rPr>
        <w:t>‌</w:t>
      </w:r>
      <w:r w:rsidRPr="00551F33">
        <w:rPr>
          <w:rFonts w:hint="cs"/>
          <w:i/>
          <w:sz w:val="23"/>
          <w:szCs w:val="23"/>
          <w:rtl/>
          <w:lang w:eastAsia="en-GB"/>
        </w:rPr>
        <w:t>کنندگان زودهنگام به میزان</w:t>
      </w:r>
      <w:r w:rsidRPr="00551F33">
        <w:rPr>
          <w:position w:val="-10"/>
        </w:rPr>
        <w:object w:dxaOrig="1020" w:dyaOrig="320" w14:anchorId="5573C2A5">
          <v:shape id="_x0000_i7776" type="#_x0000_t75" style="width:50.8pt;height:15.75pt" o:ole="">
            <v:imagedata r:id="rId13628" o:title=""/>
          </v:shape>
          <o:OLEObject Type="Embed" ProgID="Equation.DSMT4" ShapeID="_x0000_i7776" DrawAspect="Content" ObjectID="_1791381719" r:id="rId13629"/>
        </w:object>
      </w:r>
      <w:r w:rsidRPr="00551F33">
        <w:rPr>
          <w:rFonts w:hint="cs"/>
          <w:i/>
          <w:sz w:val="23"/>
          <w:szCs w:val="23"/>
          <w:rtl/>
          <w:lang w:eastAsia="en-GB"/>
        </w:rPr>
        <w:t xml:space="preserve"> و نیمی مصرف</w:t>
      </w:r>
      <w:r w:rsidRPr="00551F33">
        <w:rPr>
          <w:i/>
          <w:sz w:val="23"/>
          <w:szCs w:val="23"/>
          <w:lang w:eastAsia="en-GB"/>
        </w:rPr>
        <w:t>‌</w:t>
      </w:r>
      <w:r w:rsidRPr="00551F33">
        <w:rPr>
          <w:rFonts w:hint="cs"/>
          <w:i/>
          <w:sz w:val="23"/>
          <w:szCs w:val="23"/>
          <w:rtl/>
          <w:lang w:eastAsia="en-GB"/>
        </w:rPr>
        <w:t>کنندگان دیرهنگام</w:t>
      </w:r>
      <w:r w:rsidRPr="00551F33">
        <w:rPr>
          <w:position w:val="-10"/>
        </w:rPr>
        <w:object w:dxaOrig="980" w:dyaOrig="320" w14:anchorId="54FF0862">
          <v:shape id="_x0000_i7777" type="#_x0000_t75" style="width:49pt;height:15.75pt" o:ole="">
            <v:imagedata r:id="rId13630" o:title=""/>
          </v:shape>
          <o:OLEObject Type="Embed" ProgID="Equation.DSMT4" ShapeID="_x0000_i7777" DrawAspect="Content" ObjectID="_1791381720" r:id="rId13631"/>
        </w:object>
      </w:r>
      <w:r w:rsidRPr="00551F33">
        <w:rPr>
          <w:rFonts w:hint="cs"/>
          <w:i/>
          <w:sz w:val="23"/>
          <w:szCs w:val="23"/>
          <w:rtl/>
          <w:lang w:eastAsia="en-GB"/>
        </w:rPr>
        <w:t xml:space="preserve"> دارند</w:t>
      </w:r>
      <w:r w:rsidRPr="00551F33">
        <w:rPr>
          <w:i/>
          <w:sz w:val="23"/>
          <w:szCs w:val="23"/>
          <w:lang w:eastAsia="en-GB"/>
        </w:rPr>
        <w:t>.</w:t>
      </w:r>
      <w:r w:rsidRPr="00551F33">
        <w:rPr>
          <w:rFonts w:hint="cs"/>
          <w:i/>
          <w:sz w:val="23"/>
          <w:szCs w:val="23"/>
          <w:rtl/>
          <w:lang w:eastAsia="en-GB"/>
        </w:rPr>
        <w:t xml:space="preserve"> نیاز به نقدینگی بانک‌ها برابر با</w:t>
      </w:r>
      <w:r w:rsidRPr="00551F33">
        <w:rPr>
          <w:position w:val="-10"/>
        </w:rPr>
        <w:object w:dxaOrig="1240" w:dyaOrig="340" w14:anchorId="56F18CA3">
          <v:shape id="_x0000_i7778" type="#_x0000_t75" style="width:61.7pt;height:16.95pt" o:ole="">
            <v:imagedata r:id="rId13632" o:title=""/>
          </v:shape>
          <o:OLEObject Type="Embed" ProgID="Equation.DSMT4" ShapeID="_x0000_i7778" DrawAspect="Content" ObjectID="_1791381721" r:id="rId13633"/>
        </w:object>
      </w:r>
      <w:r w:rsidRPr="00551F33">
        <w:rPr>
          <w:rFonts w:hint="cs"/>
          <w:i/>
          <w:sz w:val="23"/>
          <w:szCs w:val="23"/>
          <w:rtl/>
          <w:lang w:eastAsia="en-GB"/>
        </w:rPr>
        <w:t xml:space="preserve"> و تأمین نقدینگی برابر با </w:t>
      </w:r>
      <w:r w:rsidRPr="00551F33">
        <w:rPr>
          <w:position w:val="-10"/>
        </w:rPr>
        <w:object w:dxaOrig="660" w:dyaOrig="340" w14:anchorId="0BAD3EC8">
          <v:shape id="_x0000_i7779" type="#_x0000_t75" style="width:32.65pt;height:16.95pt" o:ole="">
            <v:imagedata r:id="rId13634" o:title=""/>
          </v:shape>
          <o:OLEObject Type="Embed" ProgID="Equation.DSMT4" ShapeID="_x0000_i7779" DrawAspect="Content" ObjectID="_1791381722" r:id="rId13635"/>
        </w:object>
      </w:r>
      <w:r w:rsidRPr="00551F33">
        <w:rPr>
          <w:i/>
          <w:sz w:val="23"/>
          <w:szCs w:val="23"/>
          <w:lang w:eastAsia="en-GB"/>
        </w:rPr>
        <w:t xml:space="preserve"> </w:t>
      </w:r>
      <w:r w:rsidRPr="00551F33">
        <w:rPr>
          <w:rFonts w:hint="cs"/>
          <w:i/>
          <w:sz w:val="23"/>
          <w:szCs w:val="23"/>
          <w:rtl/>
          <w:lang w:eastAsia="en-GB"/>
        </w:rPr>
        <w:t xml:space="preserve">، و نقدینگی مازاد آن‌ها برابر است با </w:t>
      </w:r>
      <w:r w:rsidRPr="00551F33">
        <w:rPr>
          <w:position w:val="-10"/>
        </w:rPr>
        <w:object w:dxaOrig="1240" w:dyaOrig="340" w14:anchorId="104E31E9">
          <v:shape id="_x0000_i7780" type="#_x0000_t75" style="width:61.7pt;height:16.95pt" o:ole="">
            <v:imagedata r:id="rId13636" o:title=""/>
          </v:shape>
          <o:OLEObject Type="Embed" ProgID="Equation.DSMT4" ShapeID="_x0000_i7780" DrawAspect="Content" ObjectID="_1791381723" r:id="rId13637"/>
        </w:object>
      </w:r>
      <w:r w:rsidRPr="00551F33">
        <w:rPr>
          <w:i/>
          <w:sz w:val="23"/>
          <w:szCs w:val="23"/>
          <w:lang w:eastAsia="en-GB"/>
        </w:rPr>
        <w:t>.</w:t>
      </w:r>
      <w:r w:rsidRPr="00551F33">
        <w:rPr>
          <w:rFonts w:hint="cs"/>
          <w:i/>
          <w:sz w:val="23"/>
          <w:szCs w:val="23"/>
          <w:rtl/>
          <w:lang w:eastAsia="en-GB"/>
        </w:rPr>
        <w:t xml:space="preserve"> اگر این مقدار مثبت باشد آن‌ها دارایی بلندمدت می‌خرند و اگر منفی باشد دارایی بلندمدت را می‌فروشند. بانک مرکزی قیمت دارایی بلندمدت را</w:t>
      </w:r>
      <w:r w:rsidRPr="00025957">
        <w:rPr>
          <w:position w:val="-4"/>
        </w:rPr>
        <w:object w:dxaOrig="540" w:dyaOrig="240" w14:anchorId="22DD746A">
          <v:shape id="_x0000_i7781" type="#_x0000_t75" style="width:26.6pt;height:11.5pt" o:ole="">
            <v:imagedata r:id="rId13638" o:title=""/>
          </v:shape>
          <o:OLEObject Type="Embed" ProgID="Equation.DSMT4" ShapeID="_x0000_i7781" DrawAspect="Content" ObjectID="_1791381724" r:id="rId13639"/>
        </w:object>
      </w:r>
      <w:r w:rsidRPr="00551F33">
        <w:rPr>
          <w:rFonts w:hint="cs"/>
          <w:i/>
          <w:sz w:val="23"/>
          <w:szCs w:val="23"/>
          <w:rtl/>
          <w:lang w:eastAsia="en-GB"/>
        </w:rPr>
        <w:t xml:space="preserve"> تعیین می</w:t>
      </w:r>
      <w:r w:rsidRPr="00551F33">
        <w:rPr>
          <w:rFonts w:hint="cs"/>
          <w:i/>
          <w:sz w:val="23"/>
          <w:szCs w:val="23"/>
          <w:rtl/>
          <w:lang w:eastAsia="en-GB"/>
        </w:rPr>
        <w:softHyphen/>
        <w:t>کند و از دارایی بلندمدت،</w:t>
      </w:r>
      <w:r w:rsidRPr="00551F33">
        <w:rPr>
          <w:position w:val="-10"/>
        </w:rPr>
        <w:object w:dxaOrig="260" w:dyaOrig="320" w14:anchorId="24C7C5E6">
          <v:shape id="_x0000_i7782" type="#_x0000_t75" style="width:13.3pt;height:15.75pt" o:ole="">
            <v:imagedata r:id="rId13640" o:title=""/>
          </v:shape>
          <o:OLEObject Type="Embed" ProgID="Equation.DSMT4" ShapeID="_x0000_i7782" DrawAspect="Content" ObjectID="_1791381725" r:id="rId13641"/>
        </w:object>
      </w:r>
      <w:r w:rsidRPr="00551F33">
        <w:rPr>
          <w:rFonts w:hint="cs"/>
          <w:i/>
          <w:sz w:val="23"/>
          <w:szCs w:val="23"/>
          <w:rtl/>
          <w:lang w:eastAsia="en-GB"/>
        </w:rPr>
        <w:t xml:space="preserve"> را در بازار بین بانکی خرید و فروش می</w:t>
      </w:r>
      <w:r w:rsidRPr="00551F33">
        <w:rPr>
          <w:i/>
          <w:sz w:val="23"/>
          <w:szCs w:val="23"/>
          <w:lang w:eastAsia="en-GB"/>
        </w:rPr>
        <w:t>‌</w:t>
      </w:r>
      <w:r w:rsidRPr="00551F33">
        <w:rPr>
          <w:rFonts w:hint="cs"/>
          <w:i/>
          <w:sz w:val="23"/>
          <w:szCs w:val="23"/>
          <w:rtl/>
          <w:lang w:eastAsia="en-GB"/>
        </w:rPr>
        <w:t>کند</w:t>
      </w:r>
      <w:r w:rsidRPr="00551F33">
        <w:rPr>
          <w:i/>
          <w:sz w:val="23"/>
          <w:szCs w:val="23"/>
          <w:lang w:eastAsia="en-GB"/>
        </w:rPr>
        <w:t>.</w:t>
      </w:r>
      <w:r w:rsidRPr="00551F33">
        <w:rPr>
          <w:rFonts w:hint="cs"/>
          <w:i/>
          <w:sz w:val="23"/>
          <w:szCs w:val="23"/>
          <w:rtl/>
          <w:lang w:eastAsia="en-GB"/>
        </w:rPr>
        <w:t xml:space="preserve"> به دلیل شرط تسویه بازار بین بانکی</w:t>
      </w:r>
    </w:p>
    <w:p w14:paraId="3611CFFF" w14:textId="77777777" w:rsidR="00556C10" w:rsidRPr="00551F33" w:rsidRDefault="00556C10" w:rsidP="00556C10">
      <w:pPr>
        <w:bidi w:val="0"/>
        <w:spacing w:line="216" w:lineRule="auto"/>
        <w:rPr>
          <w:i/>
          <w:sz w:val="23"/>
          <w:szCs w:val="23"/>
          <w:rtl/>
          <w:lang w:eastAsia="en-GB"/>
        </w:rPr>
      </w:pPr>
      <w:r w:rsidRPr="00551F33">
        <w:rPr>
          <w:position w:val="-22"/>
        </w:rPr>
        <w:object w:dxaOrig="5160" w:dyaOrig="560" w14:anchorId="1EFFD5A9">
          <v:shape id="_x0000_i7783" type="#_x0000_t75" style="width:257.75pt;height:27.85pt" o:ole="">
            <v:imagedata r:id="rId13642" o:title=""/>
          </v:shape>
          <o:OLEObject Type="Embed" ProgID="Equation.DSMT4" ShapeID="_x0000_i7783" DrawAspect="Content" ObjectID="_1791381726" r:id="rId13643"/>
        </w:object>
      </w:r>
      <w:r w:rsidRPr="00551F33">
        <w:rPr>
          <w:i/>
          <w:sz w:val="23"/>
          <w:szCs w:val="23"/>
          <w:lang w:eastAsia="en-GB"/>
        </w:rPr>
        <w:t> </w:t>
      </w:r>
    </w:p>
    <w:p w14:paraId="64652B7F"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 xml:space="preserve">بانک از نوع </w:t>
      </w:r>
      <w:proofErr w:type="spellStart"/>
      <w:r w:rsidRPr="00551F33">
        <w:rPr>
          <w:i/>
          <w:sz w:val="23"/>
          <w:szCs w:val="23"/>
          <w:lang w:eastAsia="en-GB"/>
        </w:rPr>
        <w:t>i</w:t>
      </w:r>
      <w:proofErr w:type="spellEnd"/>
      <w:r w:rsidRPr="00551F33">
        <w:rPr>
          <w:rFonts w:hint="cs"/>
          <w:i/>
          <w:sz w:val="23"/>
          <w:szCs w:val="23"/>
          <w:rtl/>
          <w:lang w:eastAsia="en-GB"/>
        </w:rPr>
        <w:t xml:space="preserve"> مقدار زیر را از دارایی بلندمدت نگهداری می‌کند</w:t>
      </w:r>
    </w:p>
    <w:p w14:paraId="18429A61" w14:textId="77777777" w:rsidR="00556C10" w:rsidRPr="00551F33" w:rsidRDefault="00556C10" w:rsidP="00556C10">
      <w:pPr>
        <w:bidi w:val="0"/>
        <w:spacing w:line="216" w:lineRule="auto"/>
        <w:rPr>
          <w:i/>
          <w:sz w:val="23"/>
          <w:szCs w:val="23"/>
          <w:lang w:eastAsia="en-GB"/>
        </w:rPr>
      </w:pPr>
      <w:r w:rsidRPr="00551F33">
        <w:rPr>
          <w:i/>
          <w:sz w:val="23"/>
          <w:szCs w:val="23"/>
          <w:lang w:eastAsia="en-GB"/>
        </w:rPr>
        <w:t> </w:t>
      </w:r>
      <w:r w:rsidRPr="00551F33">
        <w:rPr>
          <w:position w:val="-16"/>
        </w:rPr>
        <w:object w:dxaOrig="3540" w:dyaOrig="420" w14:anchorId="57B46459">
          <v:shape id="_x0000_i7784" type="#_x0000_t75" style="width:177.3pt;height:21.2pt" o:ole="">
            <v:imagedata r:id="rId13644" o:title=""/>
          </v:shape>
          <o:OLEObject Type="Embed" ProgID="Equation.DSMT4" ShapeID="_x0000_i7784" DrawAspect="Content" ObjectID="_1791381727" r:id="rId13645"/>
        </w:object>
      </w:r>
    </w:p>
    <w:p w14:paraId="4E293CA6"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در زمان دو این امر به بانک‌ها امکان می</w:t>
      </w:r>
      <w:r w:rsidRPr="00551F33">
        <w:rPr>
          <w:i/>
          <w:sz w:val="23"/>
          <w:szCs w:val="23"/>
          <w:lang w:eastAsia="en-GB"/>
        </w:rPr>
        <w:t>‌</w:t>
      </w:r>
      <w:r w:rsidRPr="00551F33">
        <w:rPr>
          <w:rFonts w:hint="cs"/>
          <w:i/>
          <w:sz w:val="23"/>
          <w:szCs w:val="23"/>
          <w:rtl/>
          <w:lang w:eastAsia="en-GB"/>
        </w:rPr>
        <w:t>دهد تا مبلغ</w:t>
      </w:r>
    </w:p>
    <w:p w14:paraId="1F089C1A" w14:textId="77777777" w:rsidR="00556C10" w:rsidRPr="00551F33" w:rsidRDefault="00556C10" w:rsidP="00556C10">
      <w:pPr>
        <w:bidi w:val="0"/>
        <w:spacing w:line="216" w:lineRule="auto"/>
        <w:rPr>
          <w:i/>
          <w:sz w:val="23"/>
          <w:szCs w:val="23"/>
          <w:lang w:eastAsia="en-GB"/>
        </w:rPr>
      </w:pPr>
      <w:r w:rsidRPr="00551F33">
        <w:rPr>
          <w:i/>
          <w:sz w:val="23"/>
          <w:szCs w:val="23"/>
          <w:lang w:eastAsia="en-GB"/>
        </w:rPr>
        <w:t> </w:t>
      </w:r>
      <w:r w:rsidRPr="00551F33">
        <w:rPr>
          <w:position w:val="-28"/>
        </w:rPr>
        <w:object w:dxaOrig="2020" w:dyaOrig="720" w14:anchorId="3E7A8DC3">
          <v:shape id="_x0000_i7785" type="#_x0000_t75" style="width:101.05pt;height:36.3pt" o:ole="">
            <v:imagedata r:id="rId13646" o:title=""/>
          </v:shape>
          <o:OLEObject Type="Embed" ProgID="Equation.DSMT4" ShapeID="_x0000_i7785" DrawAspect="Content" ObjectID="_1791381728" r:id="rId13647"/>
        </w:object>
      </w:r>
    </w:p>
    <w:p w14:paraId="28594539"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را به مصرف</w:t>
      </w:r>
      <w:r w:rsidRPr="00551F33">
        <w:rPr>
          <w:i/>
          <w:sz w:val="23"/>
          <w:szCs w:val="23"/>
          <w:lang w:eastAsia="en-GB"/>
        </w:rPr>
        <w:t>‌</w:t>
      </w:r>
      <w:r w:rsidRPr="00551F33">
        <w:rPr>
          <w:rFonts w:hint="cs"/>
          <w:i/>
          <w:sz w:val="23"/>
          <w:szCs w:val="23"/>
          <w:rtl/>
          <w:lang w:eastAsia="en-GB"/>
        </w:rPr>
        <w:t>کنندگان دیرهنگام بپردازند</w:t>
      </w:r>
      <w:r w:rsidRPr="00551F33">
        <w:rPr>
          <w:i/>
          <w:sz w:val="23"/>
          <w:szCs w:val="23"/>
          <w:lang w:eastAsia="en-GB"/>
        </w:rPr>
        <w:t>.</w:t>
      </w:r>
      <w:r w:rsidRPr="00551F33">
        <w:rPr>
          <w:rFonts w:hint="cs"/>
          <w:i/>
          <w:sz w:val="23"/>
          <w:szCs w:val="23"/>
          <w:rtl/>
          <w:lang w:eastAsia="en-GB"/>
        </w:rPr>
        <w:t xml:space="preserve"> </w:t>
      </w:r>
    </w:p>
    <w:p w14:paraId="03C162E5"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بانک مرکزی دارایی‌هایی به ارزش</w:t>
      </w:r>
      <w:r w:rsidRPr="00551F33">
        <w:rPr>
          <w:position w:val="-10"/>
        </w:rPr>
        <w:object w:dxaOrig="440" w:dyaOrig="320" w14:anchorId="7E9D4D19">
          <v:shape id="_x0000_i7786" type="#_x0000_t75" style="width:21.8pt;height:15.75pt" o:ole="">
            <v:imagedata r:id="rId13648" o:title=""/>
          </v:shape>
          <o:OLEObject Type="Embed" ProgID="Equation.DSMT4" ShapeID="_x0000_i7786" DrawAspect="Content" ObjectID="_1791381729" r:id="rId13649"/>
        </w:object>
      </w:r>
      <w:r w:rsidRPr="00551F33">
        <w:rPr>
          <w:rFonts w:hint="cs"/>
          <w:i/>
          <w:sz w:val="23"/>
          <w:szCs w:val="23"/>
          <w:rtl/>
          <w:lang w:eastAsia="en-GB"/>
        </w:rPr>
        <w:t xml:space="preserve"> در اختیار دارد. این مقدار به دولت بازگردانده می‌شود که سپس آن‌ها را به صورت کمک مقطوع به تمام</w:t>
      </w:r>
      <w:r w:rsidRPr="00551F33">
        <w:rPr>
          <w:position w:val="-6"/>
        </w:rPr>
        <w:object w:dxaOrig="480" w:dyaOrig="260" w14:anchorId="73A3C16C">
          <v:shape id="_x0000_i7787" type="#_x0000_t75" style="width:24.2pt;height:13.3pt" o:ole="">
            <v:imagedata r:id="rId13650" o:title=""/>
          </v:shape>
          <o:OLEObject Type="Embed" ProgID="Equation.DSMT4" ShapeID="_x0000_i7787" DrawAspect="Content" ObjectID="_1791381730" r:id="rId13651"/>
        </w:object>
      </w:r>
      <w:r w:rsidRPr="00551F33">
        <w:rPr>
          <w:rFonts w:hint="cs"/>
          <w:i/>
          <w:sz w:val="23"/>
          <w:szCs w:val="23"/>
          <w:rtl/>
          <w:lang w:eastAsia="en-GB"/>
        </w:rPr>
        <w:t xml:space="preserve"> مصرف</w:t>
      </w:r>
      <w:r w:rsidRPr="00551F33">
        <w:rPr>
          <w:rFonts w:hint="cs"/>
          <w:i/>
          <w:sz w:val="23"/>
          <w:szCs w:val="23"/>
          <w:rtl/>
          <w:lang w:eastAsia="en-GB"/>
        </w:rPr>
        <w:softHyphen/>
        <w:t>کنندگان دیرهنگام می</w:t>
      </w:r>
      <w:r w:rsidRPr="00551F33">
        <w:rPr>
          <w:i/>
          <w:sz w:val="23"/>
          <w:szCs w:val="23"/>
          <w:lang w:eastAsia="en-GB"/>
        </w:rPr>
        <w:t>‌</w:t>
      </w:r>
      <w:r w:rsidRPr="00551F33">
        <w:rPr>
          <w:rFonts w:hint="cs"/>
          <w:i/>
          <w:sz w:val="23"/>
          <w:szCs w:val="23"/>
          <w:rtl/>
          <w:lang w:eastAsia="en-GB"/>
        </w:rPr>
        <w:t>پردازد و هر کدام</w:t>
      </w:r>
      <w:r w:rsidRPr="00551F33">
        <w:rPr>
          <w:position w:val="-12"/>
        </w:rPr>
        <w:object w:dxaOrig="1160" w:dyaOrig="360" w14:anchorId="6C404A7C">
          <v:shape id="_x0000_i7788" type="#_x0000_t75" style="width:58.1pt;height:18.15pt" o:ole="">
            <v:imagedata r:id="rId13652" o:title=""/>
          </v:shape>
          <o:OLEObject Type="Embed" ProgID="Equation.DSMT4" ShapeID="_x0000_i7788" DrawAspect="Content" ObjectID="_1791381731" r:id="rId13653"/>
        </w:object>
      </w:r>
      <w:r w:rsidRPr="00551F33">
        <w:rPr>
          <w:rFonts w:hint="cs"/>
          <w:i/>
          <w:sz w:val="23"/>
          <w:szCs w:val="23"/>
          <w:rtl/>
          <w:lang w:eastAsia="en-GB"/>
        </w:rPr>
        <w:t xml:space="preserve"> دریافت می‌کنند. برای این</w:t>
      </w:r>
      <w:r w:rsidRPr="00551F33">
        <w:rPr>
          <w:i/>
          <w:sz w:val="23"/>
          <w:szCs w:val="23"/>
          <w:rtl/>
          <w:lang w:eastAsia="en-GB"/>
        </w:rPr>
        <w:softHyphen/>
      </w:r>
      <w:r w:rsidRPr="00551F33">
        <w:rPr>
          <w:rFonts w:hint="cs"/>
          <w:i/>
          <w:sz w:val="23"/>
          <w:szCs w:val="23"/>
          <w:rtl/>
          <w:lang w:eastAsia="en-GB"/>
        </w:rPr>
        <w:t xml:space="preserve">که قید تخصیص کارا برآورده شود این مبلغ پرداختی‌ باید برابر </w:t>
      </w:r>
      <w:r w:rsidRPr="00551F33">
        <w:rPr>
          <w:position w:val="-10"/>
        </w:rPr>
        <w:object w:dxaOrig="240" w:dyaOrig="340" w14:anchorId="797679CB">
          <v:shape id="_x0000_i7789" type="#_x0000_t75" style="width:11.5pt;height:16.95pt" o:ole="">
            <v:imagedata r:id="rId13654" o:title=""/>
          </v:shape>
          <o:OLEObject Type="Embed" ProgID="Equation.DSMT4" ShapeID="_x0000_i7789" DrawAspect="Content" ObjectID="_1791381732" r:id="rId13655"/>
        </w:object>
      </w:r>
      <w:r w:rsidRPr="00551F33">
        <w:rPr>
          <w:rFonts w:hint="cs"/>
          <w:i/>
          <w:sz w:val="23"/>
          <w:szCs w:val="23"/>
          <w:rtl/>
          <w:lang w:eastAsia="en-GB"/>
        </w:rPr>
        <w:t xml:space="preserve"> باشد. این موضوع مستلزم رابطه‌ی زیر است</w:t>
      </w:r>
    </w:p>
    <w:p w14:paraId="2CFB8DBC" w14:textId="77777777" w:rsidR="00556C10" w:rsidRPr="00551F33" w:rsidRDefault="00556C10" w:rsidP="00556C10">
      <w:pPr>
        <w:bidi w:val="0"/>
        <w:spacing w:line="216" w:lineRule="auto"/>
        <w:rPr>
          <w:i/>
          <w:sz w:val="23"/>
          <w:szCs w:val="23"/>
          <w:lang w:eastAsia="en-GB"/>
        </w:rPr>
      </w:pPr>
      <w:r w:rsidRPr="00551F33">
        <w:rPr>
          <w:i/>
          <w:sz w:val="23"/>
          <w:szCs w:val="23"/>
          <w:lang w:eastAsia="en-GB"/>
        </w:rPr>
        <w:t> </w:t>
      </w:r>
      <w:r w:rsidRPr="00551F33">
        <w:rPr>
          <w:position w:val="-22"/>
        </w:rPr>
        <w:object w:dxaOrig="2480" w:dyaOrig="660" w14:anchorId="512B5F99">
          <v:shape id="_x0000_i7790" type="#_x0000_t75" style="width:124.05pt;height:32.65pt" o:ole="">
            <v:imagedata r:id="rId13656" o:title=""/>
          </v:shape>
          <o:OLEObject Type="Embed" ProgID="Equation.DSMT4" ShapeID="_x0000_i7790" DrawAspect="Content" ObjectID="_1791381733" r:id="rId13657"/>
        </w:object>
      </w:r>
    </w:p>
    <w:p w14:paraId="49793505"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چون</w:t>
      </w:r>
      <w:r w:rsidRPr="00551F33">
        <w:rPr>
          <w:position w:val="-8"/>
        </w:rPr>
        <w:object w:dxaOrig="760" w:dyaOrig="320" w14:anchorId="07FF5E5B">
          <v:shape id="_x0000_i7791" type="#_x0000_t75" style="width:38.1pt;height:15.75pt" o:ole="">
            <v:imagedata r:id="rId13658" o:title=""/>
          </v:shape>
          <o:OLEObject Type="Embed" ProgID="Equation.DSMT4" ShapeID="_x0000_i7791" DrawAspect="Content" ObjectID="_1791381734" r:id="rId13659"/>
        </w:object>
      </w:r>
      <w:r w:rsidRPr="00551F33">
        <w:rPr>
          <w:rFonts w:hint="cs"/>
          <w:i/>
          <w:sz w:val="23"/>
          <w:szCs w:val="23"/>
          <w:rtl/>
          <w:lang w:eastAsia="en-GB"/>
        </w:rPr>
        <w:t xml:space="preserve"> این امر به این معنی است که</w:t>
      </w:r>
      <w:r w:rsidRPr="00551F33">
        <w:rPr>
          <w:position w:val="-10"/>
        </w:rPr>
        <w:object w:dxaOrig="980" w:dyaOrig="340" w14:anchorId="6AD38081">
          <v:shape id="_x0000_i7792" type="#_x0000_t75" style="width:49pt;height:16.95pt" o:ole="">
            <v:imagedata r:id="rId13660" o:title=""/>
          </v:shape>
          <o:OLEObject Type="Embed" ProgID="Equation.DSMT4" ShapeID="_x0000_i7792" DrawAspect="Content" ObjectID="_1791381735" r:id="rId13661"/>
        </w:object>
      </w:r>
      <w:r w:rsidRPr="00551F33">
        <w:rPr>
          <w:i/>
          <w:sz w:val="23"/>
          <w:szCs w:val="23"/>
          <w:lang w:eastAsia="en-GB"/>
        </w:rPr>
        <w:t xml:space="preserve"> </w:t>
      </w:r>
      <w:r w:rsidRPr="00551F33">
        <w:rPr>
          <w:rFonts w:hint="cs"/>
          <w:i/>
          <w:sz w:val="23"/>
          <w:szCs w:val="23"/>
          <w:rtl/>
          <w:lang w:eastAsia="en-GB"/>
        </w:rPr>
        <w:t>برای هر مقدار از</w:t>
      </w:r>
      <w:r w:rsidRPr="00551F33">
        <w:rPr>
          <w:position w:val="-10"/>
        </w:rPr>
        <w:object w:dxaOrig="220" w:dyaOrig="320" w14:anchorId="4EF5BE96">
          <v:shape id="_x0000_i7793" type="#_x0000_t75" style="width:10.9pt;height:15.75pt" o:ole="">
            <v:imagedata r:id="rId13662" o:title=""/>
          </v:shape>
          <o:OLEObject Type="Embed" ProgID="Equation.DSMT4" ShapeID="_x0000_i7793" DrawAspect="Content" ObjectID="_1791381736" r:id="rId13663"/>
        </w:object>
      </w:r>
      <w:r w:rsidRPr="00551F33">
        <w:rPr>
          <w:rFonts w:hint="cs"/>
          <w:i/>
          <w:sz w:val="23"/>
          <w:szCs w:val="23"/>
          <w:rtl/>
          <w:lang w:eastAsia="en-GB"/>
        </w:rPr>
        <w:t xml:space="preserve"> باشد</w:t>
      </w:r>
      <w:r w:rsidRPr="00551F33">
        <w:rPr>
          <w:i/>
          <w:sz w:val="23"/>
          <w:szCs w:val="23"/>
          <w:lang w:eastAsia="en-GB"/>
        </w:rPr>
        <w:t>.</w:t>
      </w:r>
      <w:r w:rsidRPr="00551F33">
        <w:rPr>
          <w:rFonts w:hint="cs"/>
          <w:i/>
          <w:sz w:val="23"/>
          <w:szCs w:val="23"/>
          <w:rtl/>
          <w:lang w:eastAsia="en-GB"/>
        </w:rPr>
        <w:t xml:space="preserve"> در نتیجه بانک مرکزی با نگهداری</w:t>
      </w:r>
      <w:r w:rsidRPr="00551F33">
        <w:rPr>
          <w:position w:val="-6"/>
        </w:rPr>
        <w:object w:dxaOrig="560" w:dyaOrig="300" w14:anchorId="449D65B8">
          <v:shape id="_x0000_i7794" type="#_x0000_t75" style="width:27.85pt;height:14.5pt" o:ole="">
            <v:imagedata r:id="rId13664" o:title=""/>
          </v:shape>
          <o:OLEObject Type="Embed" ProgID="Equation.DSMT4" ShapeID="_x0000_i7794" DrawAspect="Content" ObjectID="_1791381737" r:id="rId13665"/>
        </w:object>
      </w:r>
      <w:r w:rsidRPr="00551F33">
        <w:rPr>
          <w:rFonts w:hint="cs"/>
          <w:i/>
          <w:sz w:val="23"/>
          <w:szCs w:val="23"/>
          <w:rtl/>
          <w:lang w:eastAsia="en-GB"/>
        </w:rPr>
        <w:t xml:space="preserve"> از دارایی کوتاه</w:t>
      </w:r>
      <w:r w:rsidRPr="00551F33">
        <w:rPr>
          <w:rFonts w:hint="cs"/>
          <w:i/>
          <w:sz w:val="23"/>
          <w:szCs w:val="23"/>
          <w:rtl/>
          <w:lang w:eastAsia="en-GB"/>
        </w:rPr>
        <w:softHyphen/>
        <w:t>مدت و تعیین قیمت</w:t>
      </w:r>
      <w:r w:rsidRPr="00025957">
        <w:rPr>
          <w:position w:val="-4"/>
        </w:rPr>
        <w:object w:dxaOrig="540" w:dyaOrig="240" w14:anchorId="65542CE4">
          <v:shape id="_x0000_i7795" type="#_x0000_t75" style="width:26.6pt;height:11.5pt" o:ole="">
            <v:imagedata r:id="rId13666" o:title=""/>
          </v:shape>
          <o:OLEObject Type="Embed" ProgID="Equation.DSMT4" ShapeID="_x0000_i7795" DrawAspect="Content" ObjectID="_1791381738" r:id="rId13667"/>
        </w:object>
      </w:r>
      <w:r w:rsidRPr="00551F33">
        <w:rPr>
          <w:rFonts w:hint="cs"/>
          <w:i/>
          <w:sz w:val="23"/>
          <w:szCs w:val="23"/>
          <w:rtl/>
          <w:lang w:eastAsia="en-GB"/>
        </w:rPr>
        <w:t>بانک‌ها را قادر می</w:t>
      </w:r>
      <w:r w:rsidRPr="00551F33">
        <w:rPr>
          <w:i/>
          <w:sz w:val="23"/>
          <w:szCs w:val="23"/>
          <w:lang w:eastAsia="en-GB"/>
        </w:rPr>
        <w:t>‌</w:t>
      </w:r>
      <w:r w:rsidRPr="00551F33">
        <w:rPr>
          <w:rFonts w:hint="cs"/>
          <w:i/>
          <w:sz w:val="23"/>
          <w:szCs w:val="23"/>
          <w:rtl/>
          <w:lang w:eastAsia="en-GB"/>
        </w:rPr>
        <w:t>سازد بین داشتن مصرف</w:t>
      </w:r>
      <w:r w:rsidRPr="00551F33">
        <w:rPr>
          <w:rFonts w:hint="cs"/>
          <w:i/>
          <w:sz w:val="23"/>
          <w:szCs w:val="23"/>
          <w:rtl/>
          <w:lang w:eastAsia="en-GB"/>
        </w:rPr>
        <w:softHyphen/>
        <w:t>کنندگان زود هنگام و دیرهنگام بی</w:t>
      </w:r>
      <w:r w:rsidRPr="00551F33">
        <w:rPr>
          <w:rFonts w:hint="cs"/>
          <w:i/>
          <w:sz w:val="23"/>
          <w:szCs w:val="23"/>
          <w:rtl/>
          <w:lang w:eastAsia="en-GB"/>
        </w:rPr>
        <w:softHyphen/>
        <w:t>تفاوت و در نتیجه در مقابل شوک فردی نیز بی</w:t>
      </w:r>
      <w:r w:rsidRPr="00551F33">
        <w:rPr>
          <w:i/>
          <w:sz w:val="23"/>
          <w:szCs w:val="23"/>
          <w:lang w:eastAsia="en-GB"/>
        </w:rPr>
        <w:t>‌</w:t>
      </w:r>
      <w:r w:rsidRPr="00551F33">
        <w:rPr>
          <w:rFonts w:hint="cs"/>
          <w:i/>
          <w:sz w:val="23"/>
          <w:szCs w:val="23"/>
          <w:rtl/>
          <w:lang w:eastAsia="en-GB"/>
        </w:rPr>
        <w:t>تفاوت باشند. بانک‌ها به مصرف</w:t>
      </w:r>
      <w:r w:rsidRPr="00551F33">
        <w:rPr>
          <w:i/>
          <w:sz w:val="23"/>
          <w:szCs w:val="23"/>
          <w:lang w:eastAsia="en-GB"/>
        </w:rPr>
        <w:t>‌</w:t>
      </w:r>
      <w:r w:rsidRPr="00551F33">
        <w:rPr>
          <w:rFonts w:hint="cs"/>
          <w:i/>
          <w:sz w:val="23"/>
          <w:szCs w:val="23"/>
          <w:rtl/>
          <w:lang w:eastAsia="en-GB"/>
        </w:rPr>
        <w:t>کنندگان زودهنگام</w:t>
      </w:r>
      <w:r w:rsidRPr="00551F33">
        <w:rPr>
          <w:position w:val="-6"/>
        </w:rPr>
        <w:object w:dxaOrig="260" w:dyaOrig="300" w14:anchorId="694B19FE">
          <v:shape id="_x0000_i7796" type="#_x0000_t75" style="width:13.3pt;height:14.5pt" o:ole="">
            <v:imagedata r:id="rId13668" o:title=""/>
          </v:shape>
          <o:OLEObject Type="Embed" ProgID="Equation.DSMT4" ShapeID="_x0000_i7796" DrawAspect="Content" ObjectID="_1791381739" r:id="rId13669"/>
        </w:object>
      </w:r>
      <w:r w:rsidRPr="00551F33">
        <w:rPr>
          <w:rFonts w:hint="cs"/>
          <w:i/>
          <w:sz w:val="23"/>
          <w:szCs w:val="23"/>
          <w:rtl/>
          <w:lang w:eastAsia="en-GB"/>
        </w:rPr>
        <w:t xml:space="preserve"> و به مصرف</w:t>
      </w:r>
      <w:r w:rsidRPr="00551F33">
        <w:rPr>
          <w:i/>
          <w:sz w:val="23"/>
          <w:szCs w:val="23"/>
          <w:lang w:eastAsia="en-GB"/>
        </w:rPr>
        <w:t>‌</w:t>
      </w:r>
      <w:r w:rsidRPr="00551F33">
        <w:rPr>
          <w:rFonts w:hint="cs"/>
          <w:i/>
          <w:sz w:val="23"/>
          <w:szCs w:val="23"/>
          <w:rtl/>
          <w:lang w:eastAsia="en-GB"/>
        </w:rPr>
        <w:t>کنندگان دیرهنگام مقدار زیر را می</w:t>
      </w:r>
      <w:r w:rsidRPr="00551F33">
        <w:rPr>
          <w:i/>
          <w:sz w:val="23"/>
          <w:szCs w:val="23"/>
          <w:lang w:eastAsia="en-GB"/>
        </w:rPr>
        <w:t>‌</w:t>
      </w:r>
      <w:r w:rsidRPr="00551F33">
        <w:rPr>
          <w:rFonts w:hint="cs"/>
          <w:i/>
          <w:sz w:val="23"/>
          <w:szCs w:val="23"/>
          <w:rtl/>
          <w:lang w:eastAsia="en-GB"/>
        </w:rPr>
        <w:t>پردازند</w:t>
      </w:r>
    </w:p>
    <w:p w14:paraId="49F3E4D8" w14:textId="77777777" w:rsidR="00556C10" w:rsidRPr="00551F33" w:rsidRDefault="00556C10" w:rsidP="00556C10">
      <w:pPr>
        <w:bidi w:val="0"/>
        <w:spacing w:line="216" w:lineRule="auto"/>
        <w:rPr>
          <w:i/>
          <w:sz w:val="23"/>
          <w:szCs w:val="23"/>
          <w:lang w:eastAsia="en-GB"/>
        </w:rPr>
      </w:pPr>
      <w:r w:rsidRPr="00551F33">
        <w:rPr>
          <w:i/>
          <w:sz w:val="23"/>
          <w:szCs w:val="23"/>
          <w:lang w:eastAsia="en-GB"/>
        </w:rPr>
        <w:t> </w:t>
      </w:r>
      <w:r w:rsidRPr="00551F33">
        <w:rPr>
          <w:position w:val="-28"/>
        </w:rPr>
        <w:object w:dxaOrig="2600" w:dyaOrig="720" w14:anchorId="01310616">
          <v:shape id="_x0000_i7797" type="#_x0000_t75" style="width:130.1pt;height:36.3pt" o:ole="">
            <v:imagedata r:id="rId13670" o:title=""/>
          </v:shape>
          <o:OLEObject Type="Embed" ProgID="Equation.DSMT4" ShapeID="_x0000_i7797" DrawAspect="Content" ObjectID="_1791381740" r:id="rId13671"/>
        </w:object>
      </w:r>
    </w:p>
    <w:p w14:paraId="2C9F1F1E"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فرض شده است که</w:t>
      </w:r>
      <w:r w:rsidRPr="00551F33">
        <w:rPr>
          <w:position w:val="-10"/>
        </w:rPr>
        <w:object w:dxaOrig="260" w:dyaOrig="320" w14:anchorId="50C3212E">
          <v:shape id="_x0000_i7798" type="#_x0000_t75" style="width:13.3pt;height:15.75pt" o:ole="">
            <v:imagedata r:id="rId13672" o:title=""/>
          </v:shape>
          <o:OLEObject Type="Embed" ProgID="Equation.DSMT4" ShapeID="_x0000_i7798" DrawAspect="Content" ObjectID="_1791381741" r:id="rId13673"/>
        </w:object>
      </w:r>
      <w:r w:rsidRPr="00551F33">
        <w:rPr>
          <w:rFonts w:hint="cs"/>
          <w:i/>
          <w:sz w:val="23"/>
          <w:szCs w:val="23"/>
          <w:rtl/>
          <w:lang w:eastAsia="en-GB"/>
        </w:rPr>
        <w:t xml:space="preserve"> یک مالیات مقطوع و</w:t>
      </w:r>
      <w:r w:rsidRPr="00551F33">
        <w:rPr>
          <w:position w:val="-6"/>
        </w:rPr>
        <w:object w:dxaOrig="600" w:dyaOrig="300" w14:anchorId="68DCBB79">
          <v:shape id="_x0000_i7799" type="#_x0000_t75" style="width:29.65pt;height:14.5pt" o:ole="">
            <v:imagedata r:id="rId13674" o:title=""/>
          </v:shape>
          <o:OLEObject Type="Embed" ProgID="Equation.DSMT4" ShapeID="_x0000_i7799" DrawAspect="Content" ObjectID="_1791381742" r:id="rId13675"/>
        </w:object>
      </w:r>
      <w:r w:rsidRPr="00551F33">
        <w:rPr>
          <w:rFonts w:hint="cs"/>
          <w:i/>
          <w:sz w:val="23"/>
          <w:szCs w:val="23"/>
          <w:rtl/>
          <w:lang w:eastAsia="en-GB"/>
        </w:rPr>
        <w:t xml:space="preserve"> است</w:t>
      </w:r>
      <w:r w:rsidRPr="00551F33">
        <w:rPr>
          <w:i/>
          <w:sz w:val="23"/>
          <w:szCs w:val="23"/>
          <w:lang w:eastAsia="en-GB"/>
        </w:rPr>
        <w:t>.</w:t>
      </w:r>
      <w:r w:rsidRPr="00551F33">
        <w:rPr>
          <w:rFonts w:hint="cs"/>
          <w:i/>
          <w:sz w:val="23"/>
          <w:szCs w:val="23"/>
          <w:rtl/>
          <w:lang w:eastAsia="en-GB"/>
        </w:rPr>
        <w:t xml:space="preserve"> اما اگر ریسک</w:t>
      </w:r>
      <w:r w:rsidRPr="00551F33">
        <w:rPr>
          <w:rFonts w:hint="cs"/>
          <w:i/>
          <w:sz w:val="23"/>
          <w:szCs w:val="23"/>
          <w:rtl/>
          <w:lang w:eastAsia="en-GB"/>
        </w:rPr>
        <w:softHyphen/>
        <w:t>گریزی نسبی به اندازه‌ی کافی کمتر از واحد نباشد،</w:t>
      </w:r>
      <w:r w:rsidRPr="00551F33">
        <w:rPr>
          <w:position w:val="-6"/>
        </w:rPr>
        <w:object w:dxaOrig="600" w:dyaOrig="300" w14:anchorId="77110D7C">
          <v:shape id="_x0000_i7800" type="#_x0000_t75" style="width:29.65pt;height:14.5pt" o:ole="">
            <v:imagedata r:id="rId13676" o:title=""/>
          </v:shape>
          <o:OLEObject Type="Embed" ProgID="Equation.DSMT4" ShapeID="_x0000_i7800" DrawAspect="Content" ObjectID="_1791381743" r:id="rId13677"/>
        </w:object>
      </w:r>
      <w:r w:rsidRPr="00551F33">
        <w:rPr>
          <w:i/>
          <w:sz w:val="23"/>
          <w:szCs w:val="23"/>
          <w:lang w:eastAsia="en-GB"/>
        </w:rPr>
        <w:t xml:space="preserve"> </w:t>
      </w:r>
      <w:r w:rsidRPr="00551F33">
        <w:rPr>
          <w:rFonts w:hint="cs"/>
          <w:i/>
          <w:sz w:val="23"/>
          <w:szCs w:val="23"/>
          <w:rtl/>
          <w:lang w:eastAsia="en-GB"/>
        </w:rPr>
        <w:t>است هنگامی</w:t>
      </w:r>
      <w:r w:rsidRPr="00551F33">
        <w:rPr>
          <w:rFonts w:hint="cs"/>
          <w:i/>
          <w:sz w:val="23"/>
          <w:szCs w:val="23"/>
          <w:rtl/>
          <w:lang w:eastAsia="en-GB"/>
        </w:rPr>
        <w:softHyphen/>
        <w:t xml:space="preserve">که </w:t>
      </w:r>
      <w:r w:rsidRPr="00551F33">
        <w:rPr>
          <w:position w:val="-10"/>
        </w:rPr>
        <w:object w:dxaOrig="620" w:dyaOrig="320" w14:anchorId="643F49E7">
          <v:shape id="_x0000_i7801" type="#_x0000_t75" style="width:31.45pt;height:15.75pt" o:ole="">
            <v:imagedata r:id="rId13678" o:title=""/>
          </v:shape>
          <o:OLEObject Type="Embed" ProgID="Equation.DSMT4" ShapeID="_x0000_i7801" DrawAspect="Content" ObjectID="_1791381744" r:id="rId13679"/>
        </w:object>
      </w:r>
      <w:r w:rsidRPr="00551F33">
        <w:rPr>
          <w:i/>
          <w:sz w:val="23"/>
          <w:szCs w:val="23"/>
          <w:lang w:eastAsia="en-GB"/>
        </w:rPr>
        <w:t>.</w:t>
      </w:r>
      <w:r w:rsidRPr="00551F33">
        <w:rPr>
          <w:rFonts w:hint="cs"/>
          <w:i/>
          <w:sz w:val="23"/>
          <w:szCs w:val="23"/>
          <w:rtl/>
          <w:lang w:eastAsia="en-GB"/>
        </w:rPr>
        <w:t xml:space="preserve"> در این حالت، مالیات به کمک و هدیه تبدیل می‌شود و در زمان صفر برای بانک تعهدی به وجود می‌آورد و بنابراین شبیه پول است نه دارایی. سپس در زمان یک بانک مرکزی باید یک دارایی را برای از بین بردن پول از سیستم بفروشد </w:t>
      </w:r>
      <w:r w:rsidRPr="00551F33">
        <w:rPr>
          <w:rFonts w:hint="cs"/>
          <w:i/>
          <w:sz w:val="23"/>
          <w:szCs w:val="23"/>
          <w:rtl/>
          <w:lang w:eastAsia="en-GB"/>
        </w:rPr>
        <w:lastRenderedPageBreak/>
        <w:t>و در زمان دو باید مالیاتی وضع کند و به این ترتیب یک دارایی بلند مدت را تکرار کند و به وجود آورد.</w:t>
      </w:r>
    </w:p>
    <w:p w14:paraId="6F7983E8" w14:textId="77777777" w:rsidR="00556C10" w:rsidRPr="00551F33" w:rsidRDefault="00556C10" w:rsidP="00556C10">
      <w:pPr>
        <w:spacing w:line="216" w:lineRule="auto"/>
        <w:rPr>
          <w:i/>
          <w:sz w:val="23"/>
          <w:szCs w:val="23"/>
          <w:lang w:eastAsia="en-GB"/>
        </w:rPr>
      </w:pPr>
      <w:r w:rsidRPr="00551F33">
        <w:rPr>
          <w:i/>
          <w:sz w:val="23"/>
          <w:szCs w:val="23"/>
          <w:lang w:eastAsia="en-GB"/>
        </w:rPr>
        <w:t> </w:t>
      </w:r>
      <w:r w:rsidRPr="00551F33">
        <w:rPr>
          <w:rFonts w:hint="cs"/>
          <w:i/>
          <w:sz w:val="23"/>
          <w:szCs w:val="23"/>
          <w:rtl/>
          <w:lang w:eastAsia="en-GB"/>
        </w:rPr>
        <w:t>حالت ب: ریسک کلی. وقتی فقط ریسک کلی وجود دارد می</w:t>
      </w:r>
      <w:r w:rsidRPr="00551F33">
        <w:rPr>
          <w:i/>
          <w:sz w:val="23"/>
          <w:szCs w:val="23"/>
          <w:lang w:eastAsia="en-GB"/>
        </w:rPr>
        <w:t>‌</w:t>
      </w:r>
      <w:r w:rsidRPr="00551F33">
        <w:rPr>
          <w:rFonts w:hint="cs"/>
          <w:i/>
          <w:sz w:val="23"/>
          <w:szCs w:val="23"/>
          <w:rtl/>
          <w:lang w:eastAsia="en-GB"/>
        </w:rPr>
        <w:t>توان قید راه حل کارا را با عملیات بازار آزاد بانک مرکزی که</w:t>
      </w:r>
      <w:r w:rsidRPr="00551F33">
        <w:rPr>
          <w:position w:val="-10"/>
        </w:rPr>
        <w:object w:dxaOrig="1020" w:dyaOrig="320" w14:anchorId="6B03067F">
          <v:shape id="_x0000_i7802" type="#_x0000_t75" style="width:50.8pt;height:15.75pt" o:ole="">
            <v:imagedata r:id="rId13680" o:title=""/>
          </v:shape>
          <o:OLEObject Type="Embed" ProgID="Equation.DSMT4" ShapeID="_x0000_i7802" DrawAspect="Content" ObjectID="_1791381745" r:id="rId13681"/>
        </w:object>
      </w:r>
      <w:r w:rsidRPr="00551F33">
        <w:rPr>
          <w:rFonts w:hint="cs"/>
          <w:i/>
          <w:sz w:val="23"/>
          <w:szCs w:val="23"/>
          <w:rtl/>
          <w:lang w:eastAsia="en-GB"/>
        </w:rPr>
        <w:t xml:space="preserve"> را برقرار می‌کند به دست آورد. اگر </w:t>
      </w:r>
      <w:r w:rsidRPr="00551F33">
        <w:rPr>
          <w:position w:val="-10"/>
        </w:rPr>
        <w:object w:dxaOrig="880" w:dyaOrig="340" w14:anchorId="6E1D1F55">
          <v:shape id="_x0000_i7803" type="#_x0000_t75" style="width:44.15pt;height:16.95pt" o:ole="">
            <v:imagedata r:id="rId13682" o:title=""/>
          </v:shape>
          <o:OLEObject Type="Embed" ProgID="Equation.DSMT4" ShapeID="_x0000_i7803" DrawAspect="Content" ObjectID="_1791381746" r:id="rId13683"/>
        </w:object>
      </w:r>
      <w:r w:rsidRPr="00551F33">
        <w:rPr>
          <w:rFonts w:hint="cs"/>
          <w:i/>
          <w:sz w:val="23"/>
          <w:szCs w:val="23"/>
          <w:rtl/>
          <w:lang w:eastAsia="en-GB"/>
        </w:rPr>
        <w:t xml:space="preserve"> نشان دهنده‌ی حل بهینه باشند، آنگاه از نتایج فوق به عبارت زیر می‌رسیم</w:t>
      </w:r>
    </w:p>
    <w:p w14:paraId="23C65C76" w14:textId="77777777" w:rsidR="00556C10" w:rsidRPr="00551F33" w:rsidRDefault="00556C10" w:rsidP="00556C10">
      <w:pPr>
        <w:bidi w:val="0"/>
        <w:spacing w:line="216" w:lineRule="auto"/>
        <w:rPr>
          <w:i/>
          <w:sz w:val="23"/>
          <w:szCs w:val="23"/>
          <w:lang w:eastAsia="en-GB"/>
        </w:rPr>
      </w:pPr>
      <w:r w:rsidRPr="00551F33">
        <w:rPr>
          <w:position w:val="-12"/>
        </w:rPr>
        <w:object w:dxaOrig="2020" w:dyaOrig="360" w14:anchorId="6E4800FA">
          <v:shape id="_x0000_i7804" type="#_x0000_t75" style="width:101.05pt;height:18.15pt" o:ole="">
            <v:imagedata r:id="rId13684" o:title=""/>
          </v:shape>
          <o:OLEObject Type="Embed" ProgID="Equation.DSMT4" ShapeID="_x0000_i7804" DrawAspect="Content" ObjectID="_1791381747" r:id="rId13685"/>
        </w:object>
      </w:r>
    </w:p>
    <w:p w14:paraId="0BD5D40A" w14:textId="77777777" w:rsidR="00556C10" w:rsidRPr="00551F33" w:rsidRDefault="00556C10" w:rsidP="00556C10">
      <w:pPr>
        <w:bidi w:val="0"/>
        <w:spacing w:line="216" w:lineRule="auto"/>
        <w:rPr>
          <w:i/>
          <w:sz w:val="23"/>
          <w:szCs w:val="23"/>
          <w:lang w:eastAsia="en-GB"/>
        </w:rPr>
      </w:pPr>
      <w:r w:rsidRPr="00551F33">
        <w:rPr>
          <w:position w:val="-28"/>
        </w:rPr>
        <w:object w:dxaOrig="4040" w:dyaOrig="720" w14:anchorId="5B5A75D3">
          <v:shape id="_x0000_i7805" type="#_x0000_t75" style="width:202.1pt;height:36.3pt" o:ole="">
            <v:imagedata r:id="rId13686" o:title=""/>
          </v:shape>
          <o:OLEObject Type="Embed" ProgID="Equation.DSMT4" ShapeID="_x0000_i7805" DrawAspect="Content" ObjectID="_1791381748" r:id="rId13687"/>
        </w:object>
      </w:r>
    </w:p>
    <w:p w14:paraId="25344DD0" w14:textId="77777777" w:rsidR="00556C10" w:rsidRPr="00551F33" w:rsidRDefault="00556C10" w:rsidP="00556C10">
      <w:pPr>
        <w:bidi w:val="0"/>
        <w:spacing w:line="216" w:lineRule="auto"/>
        <w:rPr>
          <w:i/>
          <w:sz w:val="23"/>
          <w:szCs w:val="23"/>
          <w:rtl/>
          <w:lang w:eastAsia="en-GB"/>
        </w:rPr>
      </w:pPr>
      <w:r w:rsidRPr="00551F33">
        <w:rPr>
          <w:position w:val="-28"/>
        </w:rPr>
        <w:object w:dxaOrig="1420" w:dyaOrig="720" w14:anchorId="3866F4FF">
          <v:shape id="_x0000_i7806" type="#_x0000_t75" style="width:70.8pt;height:36.3pt" o:ole="">
            <v:imagedata r:id="rId13688" o:title=""/>
          </v:shape>
          <o:OLEObject Type="Embed" ProgID="Equation.DSMT4" ShapeID="_x0000_i7806" DrawAspect="Content" ObjectID="_1791381749" r:id="rId13689"/>
        </w:object>
      </w:r>
    </w:p>
    <w:p w14:paraId="6299F7A8"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در زمان</w:t>
      </w:r>
      <w:r w:rsidRPr="00551F33">
        <w:rPr>
          <w:i/>
          <w:sz w:val="23"/>
          <w:szCs w:val="23"/>
          <w:lang w:eastAsia="en-GB"/>
        </w:rPr>
        <w:t xml:space="preserve"> </w:t>
      </w:r>
      <w:r w:rsidRPr="00551F33">
        <w:rPr>
          <w:rFonts w:hint="cs"/>
          <w:i/>
          <w:sz w:val="23"/>
          <w:szCs w:val="23"/>
          <w:rtl/>
          <w:lang w:eastAsia="en-GB"/>
        </w:rPr>
        <w:t>صفر بانک‌ها مقدار</w:t>
      </w:r>
      <w:r w:rsidRPr="00551F33">
        <w:rPr>
          <w:position w:val="-8"/>
        </w:rPr>
        <w:object w:dxaOrig="260" w:dyaOrig="320" w14:anchorId="60D1B034">
          <v:shape id="_x0000_i7807" type="#_x0000_t75" style="width:13.3pt;height:15.75pt" o:ole="">
            <v:imagedata r:id="rId13690" o:title=""/>
          </v:shape>
          <o:OLEObject Type="Embed" ProgID="Equation.DSMT4" ShapeID="_x0000_i7807" DrawAspect="Content" ObjectID="_1791381750" r:id="rId13691"/>
        </w:object>
      </w:r>
      <w:r w:rsidRPr="00025957">
        <w:rPr>
          <w:position w:val="-4"/>
        </w:rPr>
        <w:object w:dxaOrig="180" w:dyaOrig="260" w14:anchorId="6761A55D">
          <v:shape id="_x0000_i7808" type="#_x0000_t75" style="width:9.1pt;height:13.3pt" o:ole="">
            <v:imagedata r:id="rId1079" o:title=""/>
          </v:shape>
          <o:OLEObject Type="Embed" ProgID="Equation.DSMT4" ShapeID="_x0000_i7808" DrawAspect="Content" ObjectID="_1791381751" r:id="rId13692"/>
        </w:object>
      </w:r>
      <w:r w:rsidRPr="00551F33">
        <w:rPr>
          <w:rFonts w:hint="cs"/>
          <w:i/>
          <w:sz w:val="23"/>
          <w:szCs w:val="23"/>
          <w:rtl/>
          <w:lang w:eastAsia="en-GB"/>
        </w:rPr>
        <w:t>از دارایی کوتاه مدت و</w:t>
      </w:r>
      <w:r w:rsidRPr="00551F33">
        <w:rPr>
          <w:position w:val="-8"/>
        </w:rPr>
        <w:object w:dxaOrig="540" w:dyaOrig="320" w14:anchorId="2811BEE6">
          <v:shape id="_x0000_i7809" type="#_x0000_t75" style="width:26.6pt;height:15.75pt" o:ole="">
            <v:imagedata r:id="rId13693" o:title=""/>
          </v:shape>
          <o:OLEObject Type="Embed" ProgID="Equation.DSMT4" ShapeID="_x0000_i7809" DrawAspect="Content" ObjectID="_1791381752" r:id="rId13694"/>
        </w:object>
      </w:r>
      <w:r w:rsidRPr="00551F33">
        <w:rPr>
          <w:rFonts w:hint="cs"/>
          <w:i/>
          <w:sz w:val="23"/>
          <w:szCs w:val="23"/>
          <w:rtl/>
          <w:lang w:eastAsia="en-GB"/>
        </w:rPr>
        <w:t xml:space="preserve"> از دارایی بلندمدت نگهداری می‌کنند. در زمان یک در حالت </w:t>
      </w:r>
      <w:r w:rsidRPr="00551F33">
        <w:rPr>
          <w:position w:val="-6"/>
        </w:rPr>
        <w:object w:dxaOrig="540" w:dyaOrig="260" w14:anchorId="4BD5366D">
          <v:shape id="_x0000_i7810" type="#_x0000_t75" style="width:26.6pt;height:13.3pt" o:ole="">
            <v:imagedata r:id="rId13695" o:title=""/>
          </v:shape>
          <o:OLEObject Type="Embed" ProgID="Equation.DSMT4" ShapeID="_x0000_i7810" DrawAspect="Content" ObjectID="_1791381753" r:id="rId13696"/>
        </w:object>
      </w:r>
      <w:r w:rsidRPr="00551F33">
        <w:rPr>
          <w:rFonts w:hint="cs"/>
          <w:i/>
          <w:sz w:val="23"/>
          <w:szCs w:val="23"/>
          <w:rtl/>
          <w:lang w:eastAsia="en-GB"/>
        </w:rPr>
        <w:t xml:space="preserve"> لازم است بانک مرکزی نقدینگی مازاد را برای اطمینان از این</w:t>
      </w:r>
      <w:r w:rsidRPr="00551F33">
        <w:rPr>
          <w:rFonts w:hint="cs"/>
          <w:i/>
          <w:sz w:val="23"/>
          <w:szCs w:val="23"/>
          <w:rtl/>
          <w:lang w:eastAsia="en-GB"/>
        </w:rPr>
        <w:softHyphen/>
        <w:t>که</w:t>
      </w:r>
      <w:r w:rsidRPr="00551F33">
        <w:rPr>
          <w:position w:val="-10"/>
        </w:rPr>
        <w:object w:dxaOrig="600" w:dyaOrig="320" w14:anchorId="4D95C844">
          <v:shape id="_x0000_i7811" type="#_x0000_t75" style="width:29.65pt;height:15.75pt" o:ole="">
            <v:imagedata r:id="rId13697" o:title=""/>
          </v:shape>
          <o:OLEObject Type="Embed" ProgID="Equation.DSMT4" ShapeID="_x0000_i7811" DrawAspect="Content" ObjectID="_1791381754" r:id="rId13698"/>
        </w:object>
      </w:r>
      <w:r w:rsidRPr="00551F33">
        <w:rPr>
          <w:i/>
          <w:sz w:val="23"/>
          <w:szCs w:val="23"/>
          <w:lang w:eastAsia="en-GB"/>
        </w:rPr>
        <w:t xml:space="preserve"> </w:t>
      </w:r>
      <w:r w:rsidRPr="00551F33">
        <w:rPr>
          <w:rFonts w:hint="cs"/>
          <w:i/>
          <w:sz w:val="23"/>
          <w:szCs w:val="23"/>
          <w:rtl/>
          <w:lang w:eastAsia="en-GB"/>
        </w:rPr>
        <w:t>است حذف کند. برای این</w:t>
      </w:r>
      <w:r w:rsidRPr="00551F33">
        <w:rPr>
          <w:rFonts w:hint="cs"/>
          <w:i/>
          <w:sz w:val="23"/>
          <w:szCs w:val="23"/>
          <w:rtl/>
          <w:lang w:eastAsia="en-GB"/>
        </w:rPr>
        <w:softHyphen/>
        <w:t>که بانک مرکزی عملیات بازار آزاد را اجرا کند، دولت باید مقدار</w:t>
      </w:r>
      <w:r w:rsidRPr="00551F33">
        <w:rPr>
          <w:position w:val="-10"/>
        </w:rPr>
        <w:object w:dxaOrig="800" w:dyaOrig="340" w14:anchorId="0630BC49">
          <v:shape id="_x0000_i7812" type="#_x0000_t75" style="width:39.95pt;height:16.95pt" o:ole="">
            <v:imagedata r:id="rId13699" o:title=""/>
          </v:shape>
          <o:OLEObject Type="Embed" ProgID="Equation.DSMT4" ShapeID="_x0000_i7812" DrawAspect="Content" ObjectID="_1791381755" r:id="rId13700"/>
        </w:object>
      </w:r>
      <w:r w:rsidRPr="00551F33">
        <w:rPr>
          <w:rFonts w:hint="cs"/>
          <w:i/>
          <w:sz w:val="23"/>
          <w:szCs w:val="23"/>
          <w:rtl/>
          <w:lang w:eastAsia="en-GB"/>
        </w:rPr>
        <w:t xml:space="preserve"> از بدهی که در زمان دو مقدار</w:t>
      </w:r>
      <w:r w:rsidRPr="00551F33">
        <w:rPr>
          <w:position w:val="-6"/>
        </w:rPr>
        <w:object w:dxaOrig="240" w:dyaOrig="260" w14:anchorId="16B3FF5C">
          <v:shape id="_x0000_i7813" type="#_x0000_t75" style="width:11.5pt;height:13.3pt" o:ole="">
            <v:imagedata r:id="rId13701" o:title=""/>
          </v:shape>
          <o:OLEObject Type="Embed" ProgID="Equation.DSMT4" ShapeID="_x0000_i7813" DrawAspect="Content" ObjectID="_1791381756" r:id="rId13702"/>
        </w:object>
      </w:r>
      <w:r w:rsidRPr="00551F33">
        <w:rPr>
          <w:rFonts w:hint="cs"/>
          <w:i/>
          <w:sz w:val="23"/>
          <w:szCs w:val="23"/>
          <w:rtl/>
          <w:lang w:eastAsia="en-GB"/>
        </w:rPr>
        <w:t xml:space="preserve"> را می</w:t>
      </w:r>
      <w:r w:rsidRPr="00551F33">
        <w:rPr>
          <w:i/>
          <w:sz w:val="23"/>
          <w:szCs w:val="23"/>
          <w:lang w:eastAsia="en-GB"/>
        </w:rPr>
        <w:t>‌</w:t>
      </w:r>
      <w:r w:rsidRPr="00551F33">
        <w:rPr>
          <w:rFonts w:hint="cs"/>
          <w:i/>
          <w:sz w:val="23"/>
          <w:szCs w:val="23"/>
          <w:rtl/>
          <w:lang w:eastAsia="en-GB"/>
        </w:rPr>
        <w:t>پردازد صادر کند. برای حذف نقدینگی مازاد بانک مرکزی این بدهی را در زمان یک برای</w:t>
      </w:r>
      <w:r w:rsidRPr="00551F33">
        <w:rPr>
          <w:position w:val="-10"/>
        </w:rPr>
        <w:object w:dxaOrig="600" w:dyaOrig="320" w14:anchorId="125820CD">
          <v:shape id="_x0000_i7814" type="#_x0000_t75" style="width:29.65pt;height:15.75pt" o:ole="">
            <v:imagedata r:id="rId13703" o:title=""/>
          </v:shape>
          <o:OLEObject Type="Embed" ProgID="Equation.DSMT4" ShapeID="_x0000_i7814" DrawAspect="Content" ObjectID="_1791381757" r:id="rId13704"/>
        </w:object>
      </w:r>
      <w:r w:rsidRPr="00551F33">
        <w:rPr>
          <w:rFonts w:hint="cs"/>
          <w:i/>
          <w:sz w:val="23"/>
          <w:szCs w:val="23"/>
          <w:rtl/>
          <w:lang w:eastAsia="en-GB"/>
        </w:rPr>
        <w:t xml:space="preserve"> می</w:t>
      </w:r>
      <w:r w:rsidRPr="00551F33">
        <w:rPr>
          <w:i/>
          <w:sz w:val="23"/>
          <w:szCs w:val="23"/>
          <w:lang w:eastAsia="en-GB"/>
        </w:rPr>
        <w:t>‌</w:t>
      </w:r>
      <w:r w:rsidRPr="00551F33">
        <w:rPr>
          <w:rFonts w:hint="cs"/>
          <w:i/>
          <w:sz w:val="23"/>
          <w:szCs w:val="23"/>
          <w:rtl/>
          <w:lang w:eastAsia="en-GB"/>
        </w:rPr>
        <w:t>فروشد</w:t>
      </w:r>
      <w:r w:rsidRPr="00551F33">
        <w:rPr>
          <w:i/>
          <w:sz w:val="23"/>
          <w:szCs w:val="23"/>
          <w:lang w:eastAsia="en-GB"/>
        </w:rPr>
        <w:t>.</w:t>
      </w:r>
      <w:r w:rsidRPr="00551F33">
        <w:rPr>
          <w:rFonts w:hint="cs"/>
          <w:i/>
          <w:sz w:val="23"/>
          <w:szCs w:val="23"/>
          <w:rtl/>
          <w:lang w:eastAsia="en-GB"/>
        </w:rPr>
        <w:t xml:space="preserve"> این امر مانع می</w:t>
      </w:r>
      <w:r w:rsidRPr="00551F33">
        <w:rPr>
          <w:i/>
          <w:sz w:val="23"/>
          <w:szCs w:val="23"/>
          <w:lang w:eastAsia="en-GB"/>
        </w:rPr>
        <w:t>‌</w:t>
      </w:r>
      <w:r w:rsidRPr="00551F33">
        <w:rPr>
          <w:rFonts w:hint="cs"/>
          <w:i/>
          <w:sz w:val="23"/>
          <w:szCs w:val="23"/>
          <w:rtl/>
          <w:lang w:eastAsia="en-GB"/>
        </w:rPr>
        <w:t>شود قیمت دارایی بلندمدت، به دلیل نقدینگی مازاد به</w:t>
      </w:r>
      <w:r w:rsidRPr="00551F33">
        <w:rPr>
          <w:position w:val="-10"/>
        </w:rPr>
        <w:object w:dxaOrig="680" w:dyaOrig="320" w14:anchorId="59EF0AAC">
          <v:shape id="_x0000_i7815" type="#_x0000_t75" style="width:33.9pt;height:15.75pt" o:ole="">
            <v:imagedata r:id="rId13705" o:title=""/>
          </v:shape>
          <o:OLEObject Type="Embed" ProgID="Equation.DSMT4" ShapeID="_x0000_i7815" DrawAspect="Content" ObjectID="_1791381758" r:id="rId13706"/>
        </w:object>
      </w:r>
      <w:r w:rsidRPr="00551F33">
        <w:rPr>
          <w:rFonts w:hint="cs"/>
          <w:i/>
          <w:sz w:val="23"/>
          <w:szCs w:val="23"/>
          <w:rtl/>
          <w:lang w:eastAsia="en-GB"/>
        </w:rPr>
        <w:t xml:space="preserve"> افزایش یابد. بعد از عملیات بازار آزاد بانک مرکزی، بانک‌ها مقدار</w:t>
      </w:r>
      <w:r w:rsidRPr="00551F33">
        <w:rPr>
          <w:position w:val="-8"/>
        </w:rPr>
        <w:object w:dxaOrig="1060" w:dyaOrig="320" w14:anchorId="42795D26">
          <v:shape id="_x0000_i7816" type="#_x0000_t75" style="width:53.25pt;height:15.75pt" o:ole="">
            <v:imagedata r:id="rId13707" o:title=""/>
          </v:shape>
          <o:OLEObject Type="Embed" ProgID="Equation.DSMT4" ShapeID="_x0000_i7816" DrawAspect="Content" ObjectID="_1791381759" r:id="rId13708"/>
        </w:object>
      </w:r>
      <w:r w:rsidRPr="00551F33">
        <w:rPr>
          <w:rFonts w:hint="cs"/>
          <w:i/>
          <w:sz w:val="23"/>
          <w:szCs w:val="23"/>
          <w:rtl/>
          <w:lang w:eastAsia="en-GB"/>
        </w:rPr>
        <w:t xml:space="preserve"> از دارایی بلندمدت مالک می</w:t>
      </w:r>
      <w:r w:rsidRPr="00551F33">
        <w:rPr>
          <w:i/>
          <w:sz w:val="23"/>
          <w:szCs w:val="23"/>
          <w:lang w:eastAsia="en-GB"/>
        </w:rPr>
        <w:t>‌</w:t>
      </w:r>
      <w:r w:rsidRPr="00551F33">
        <w:rPr>
          <w:rFonts w:hint="cs"/>
          <w:i/>
          <w:sz w:val="23"/>
          <w:szCs w:val="23"/>
          <w:rtl/>
          <w:lang w:eastAsia="en-GB"/>
        </w:rPr>
        <w:t>شوند. در زمان دو این دارایی آن‌ها را قادر می</w:t>
      </w:r>
      <w:r w:rsidRPr="00551F33">
        <w:rPr>
          <w:i/>
          <w:sz w:val="23"/>
          <w:szCs w:val="23"/>
          <w:lang w:eastAsia="en-GB"/>
        </w:rPr>
        <w:t>‌</w:t>
      </w:r>
      <w:r w:rsidRPr="00551F33">
        <w:rPr>
          <w:rFonts w:hint="cs"/>
          <w:i/>
          <w:sz w:val="23"/>
          <w:szCs w:val="23"/>
          <w:rtl/>
          <w:lang w:eastAsia="en-GB"/>
        </w:rPr>
        <w:t>سازد مقدار زیر را به هر یک از</w:t>
      </w:r>
      <w:r w:rsidRPr="00551F33">
        <w:rPr>
          <w:position w:val="-10"/>
        </w:rPr>
        <w:object w:dxaOrig="540" w:dyaOrig="320" w14:anchorId="44F74D87">
          <v:shape id="_x0000_i7817" type="#_x0000_t75" style="width:26.6pt;height:15.75pt" o:ole="">
            <v:imagedata r:id="rId13709" o:title=""/>
          </v:shape>
          <o:OLEObject Type="Embed" ProgID="Equation.DSMT4" ShapeID="_x0000_i7817" DrawAspect="Content" ObjectID="_1791381760" r:id="rId13710"/>
        </w:object>
      </w:r>
      <w:r w:rsidRPr="00551F33">
        <w:rPr>
          <w:i/>
          <w:sz w:val="23"/>
          <w:szCs w:val="23"/>
          <w:lang w:eastAsia="en-GB"/>
        </w:rPr>
        <w:t xml:space="preserve"> </w:t>
      </w:r>
      <w:r w:rsidRPr="00551F33">
        <w:rPr>
          <w:rFonts w:hint="cs"/>
          <w:i/>
          <w:sz w:val="23"/>
          <w:szCs w:val="23"/>
          <w:rtl/>
          <w:lang w:eastAsia="en-GB"/>
        </w:rPr>
        <w:t>از مصرف</w:t>
      </w:r>
      <w:r w:rsidRPr="00551F33">
        <w:rPr>
          <w:rFonts w:hint="cs"/>
          <w:i/>
          <w:sz w:val="23"/>
          <w:szCs w:val="23"/>
          <w:rtl/>
          <w:lang w:eastAsia="en-GB"/>
        </w:rPr>
        <w:softHyphen/>
        <w:t>کنندگان دیرهنگام بپردازند</w:t>
      </w:r>
    </w:p>
    <w:p w14:paraId="47BED2BB" w14:textId="77777777" w:rsidR="00556C10" w:rsidRPr="00551F33" w:rsidRDefault="00556C10" w:rsidP="00556C10">
      <w:pPr>
        <w:bidi w:val="0"/>
        <w:spacing w:line="216" w:lineRule="auto"/>
        <w:rPr>
          <w:i/>
          <w:sz w:val="23"/>
          <w:szCs w:val="23"/>
          <w:rtl/>
          <w:lang w:eastAsia="en-GB"/>
        </w:rPr>
      </w:pPr>
      <w:r w:rsidRPr="00551F33">
        <w:rPr>
          <w:position w:val="-28"/>
        </w:rPr>
        <w:object w:dxaOrig="1980" w:dyaOrig="720" w14:anchorId="5E65FBE6">
          <v:shape id="_x0000_i7818" type="#_x0000_t75" style="width:99.25pt;height:36.3pt" o:ole="">
            <v:imagedata r:id="rId13711" o:title=""/>
          </v:shape>
          <o:OLEObject Type="Embed" ProgID="Equation.DSMT4" ShapeID="_x0000_i7818" DrawAspect="Content" ObjectID="_1791381761" r:id="rId13712"/>
        </w:object>
      </w:r>
    </w:p>
    <w:p w14:paraId="7EA71C95"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در زمان دو بانک مرکزی</w:t>
      </w:r>
      <w:r w:rsidRPr="00551F33">
        <w:rPr>
          <w:position w:val="-10"/>
        </w:rPr>
        <w:object w:dxaOrig="800" w:dyaOrig="340" w14:anchorId="097D87D1">
          <v:shape id="_x0000_i7819" type="#_x0000_t75" style="width:39.95pt;height:16.95pt" o:ole="">
            <v:imagedata r:id="rId13713" o:title=""/>
          </v:shape>
          <o:OLEObject Type="Embed" ProgID="Equation.DSMT4" ShapeID="_x0000_i7819" DrawAspect="Content" ObjectID="_1791381762" r:id="rId13714"/>
        </w:object>
      </w:r>
      <w:r w:rsidRPr="00551F33">
        <w:rPr>
          <w:i/>
          <w:sz w:val="23"/>
          <w:szCs w:val="23"/>
          <w:lang w:eastAsia="en-GB"/>
        </w:rPr>
        <w:t xml:space="preserve"> </w:t>
      </w:r>
      <w:r w:rsidRPr="00551F33">
        <w:rPr>
          <w:rFonts w:hint="cs"/>
          <w:i/>
          <w:sz w:val="23"/>
          <w:szCs w:val="23"/>
          <w:rtl/>
          <w:lang w:eastAsia="en-GB"/>
        </w:rPr>
        <w:t>از دارایی کوتاه</w:t>
      </w:r>
      <w:r w:rsidRPr="00551F33">
        <w:rPr>
          <w:rFonts w:hint="cs"/>
          <w:i/>
          <w:sz w:val="23"/>
          <w:szCs w:val="23"/>
          <w:rtl/>
          <w:lang w:eastAsia="en-GB"/>
        </w:rPr>
        <w:softHyphen/>
        <w:t>مدت نگه</w:t>
      </w:r>
      <w:r w:rsidRPr="00551F33">
        <w:rPr>
          <w:i/>
          <w:sz w:val="23"/>
          <w:szCs w:val="23"/>
          <w:lang w:eastAsia="en-GB"/>
        </w:rPr>
        <w:t xml:space="preserve"> </w:t>
      </w:r>
      <w:r w:rsidRPr="00551F33">
        <w:rPr>
          <w:rFonts w:hint="cs"/>
          <w:i/>
          <w:sz w:val="23"/>
          <w:szCs w:val="23"/>
          <w:rtl/>
          <w:lang w:eastAsia="en-GB"/>
        </w:rPr>
        <w:t>میدارد درحالی</w:t>
      </w:r>
      <w:r w:rsidRPr="00551F33">
        <w:rPr>
          <w:rFonts w:hint="cs"/>
          <w:i/>
          <w:sz w:val="23"/>
          <w:szCs w:val="23"/>
          <w:rtl/>
          <w:lang w:eastAsia="en-GB"/>
        </w:rPr>
        <w:softHyphen/>
        <w:t xml:space="preserve">که دولت مقدار </w:t>
      </w:r>
      <w:r w:rsidRPr="00551F33">
        <w:rPr>
          <w:position w:val="-6"/>
        </w:rPr>
        <w:object w:dxaOrig="380" w:dyaOrig="300" w14:anchorId="2FD00790">
          <v:shape id="_x0000_i7820" type="#_x0000_t75" style="width:18.75pt;height:14.5pt" o:ole="">
            <v:imagedata r:id="rId13715" o:title=""/>
          </v:shape>
          <o:OLEObject Type="Embed" ProgID="Equation.DSMT4" ShapeID="_x0000_i7820" DrawAspect="Content" ObjectID="_1791381763" r:id="rId13716"/>
        </w:object>
      </w:r>
      <w:r w:rsidRPr="00551F33">
        <w:rPr>
          <w:rFonts w:hint="cs"/>
          <w:i/>
          <w:sz w:val="23"/>
          <w:szCs w:val="23"/>
          <w:rtl/>
          <w:lang w:eastAsia="en-GB"/>
        </w:rPr>
        <w:t xml:space="preserve"> از منابع دارد و</w:t>
      </w:r>
      <w:r w:rsidRPr="00551F33">
        <w:rPr>
          <w:position w:val="-6"/>
        </w:rPr>
        <w:object w:dxaOrig="560" w:dyaOrig="300" w14:anchorId="5ABEE059">
          <v:shape id="_x0000_i7821" type="#_x0000_t75" style="width:27.85pt;height:14.5pt" o:ole="">
            <v:imagedata r:id="rId13717" o:title=""/>
          </v:shape>
          <o:OLEObject Type="Embed" ProgID="Equation.DSMT4" ShapeID="_x0000_i7821" DrawAspect="Content" ObjectID="_1791381764" r:id="rId13718"/>
        </w:object>
      </w:r>
      <w:r w:rsidRPr="00551F33">
        <w:rPr>
          <w:rFonts w:hint="cs"/>
          <w:i/>
          <w:sz w:val="23"/>
          <w:szCs w:val="23"/>
          <w:rtl/>
          <w:lang w:eastAsia="en-GB"/>
        </w:rPr>
        <w:t xml:space="preserve"> از بدهی بلندمدت را مالک است</w:t>
      </w:r>
      <w:r w:rsidRPr="00551F33">
        <w:rPr>
          <w:i/>
          <w:sz w:val="23"/>
          <w:szCs w:val="23"/>
          <w:lang w:eastAsia="en-GB"/>
        </w:rPr>
        <w:t>.</w:t>
      </w:r>
      <w:r w:rsidRPr="00551F33">
        <w:rPr>
          <w:rFonts w:hint="cs"/>
          <w:i/>
          <w:sz w:val="23"/>
          <w:szCs w:val="23"/>
          <w:rtl/>
          <w:lang w:eastAsia="en-GB"/>
        </w:rPr>
        <w:t xml:space="preserve"> بنابراین لازم است یک مالیات مقطوع </w:t>
      </w:r>
      <w:r w:rsidRPr="00551F33">
        <w:rPr>
          <w:position w:val="-16"/>
        </w:rPr>
        <w:object w:dxaOrig="1980" w:dyaOrig="420" w14:anchorId="67B1A9A5">
          <v:shape id="_x0000_i7822" type="#_x0000_t75" style="width:99.25pt;height:21.2pt" o:ole="">
            <v:imagedata r:id="rId13719" o:title=""/>
          </v:shape>
          <o:OLEObject Type="Embed" ProgID="Equation.DSMT4" ShapeID="_x0000_i7822" DrawAspect="Content" ObjectID="_1791381765" r:id="rId13720"/>
        </w:object>
      </w:r>
      <w:r w:rsidRPr="00551F33">
        <w:rPr>
          <w:i/>
          <w:sz w:val="23"/>
          <w:szCs w:val="23"/>
          <w:lang w:eastAsia="en-GB"/>
        </w:rPr>
        <w:t xml:space="preserve"> </w:t>
      </w:r>
      <w:r w:rsidRPr="00551F33">
        <w:rPr>
          <w:rFonts w:hint="cs"/>
          <w:i/>
          <w:sz w:val="23"/>
          <w:szCs w:val="23"/>
          <w:rtl/>
          <w:lang w:eastAsia="en-GB"/>
        </w:rPr>
        <w:t>بر هر یک از</w:t>
      </w:r>
      <w:r w:rsidRPr="00551F33">
        <w:rPr>
          <w:i/>
          <w:sz w:val="23"/>
          <w:szCs w:val="23"/>
          <w:lang w:eastAsia="en-GB"/>
        </w:rPr>
        <w:t xml:space="preserve"> </w:t>
      </w:r>
      <w:r w:rsidRPr="00551F33">
        <w:rPr>
          <w:position w:val="-10"/>
        </w:rPr>
        <w:object w:dxaOrig="540" w:dyaOrig="320" w14:anchorId="25C60DB0">
          <v:shape id="_x0000_i7823" type="#_x0000_t75" style="width:26.6pt;height:15.75pt" o:ole="">
            <v:imagedata r:id="rId13721" o:title=""/>
          </v:shape>
          <o:OLEObject Type="Embed" ProgID="Equation.DSMT4" ShapeID="_x0000_i7823" DrawAspect="Content" ObjectID="_1791381766" r:id="rId13722"/>
        </w:object>
      </w:r>
      <w:r w:rsidRPr="00551F33">
        <w:rPr>
          <w:rFonts w:hint="cs"/>
          <w:i/>
          <w:sz w:val="23"/>
          <w:szCs w:val="23"/>
          <w:rtl/>
          <w:lang w:eastAsia="en-GB"/>
        </w:rPr>
        <w:t>مصرف</w:t>
      </w:r>
      <w:r w:rsidRPr="00551F33">
        <w:rPr>
          <w:rFonts w:hint="cs"/>
          <w:i/>
          <w:sz w:val="23"/>
          <w:szCs w:val="23"/>
          <w:rtl/>
          <w:lang w:eastAsia="en-GB"/>
        </w:rPr>
        <w:softHyphen/>
        <w:t>کنندگان دیرهنگام</w:t>
      </w:r>
      <w:r w:rsidRPr="00551F33">
        <w:rPr>
          <w:position w:val="-10"/>
        </w:rPr>
        <w:object w:dxaOrig="300" w:dyaOrig="340" w14:anchorId="3A07DE3F">
          <v:shape id="_x0000_i7824" type="#_x0000_t75" style="width:14.5pt;height:16.95pt" o:ole="">
            <v:imagedata r:id="rId13723" o:title=""/>
          </v:shape>
          <o:OLEObject Type="Embed" ProgID="Equation.DSMT4" ShapeID="_x0000_i7824" DrawAspect="Content" ObjectID="_1791381767" r:id="rId13724"/>
        </w:object>
      </w:r>
      <w:r w:rsidRPr="00551F33">
        <w:rPr>
          <w:rFonts w:hint="cs"/>
          <w:i/>
          <w:sz w:val="23"/>
          <w:szCs w:val="23"/>
          <w:rtl/>
          <w:lang w:eastAsia="en-GB"/>
        </w:rPr>
        <w:t xml:space="preserve"> داده شده در بالا را دریافت کند (دولت دریافت می‌کند).</w:t>
      </w:r>
    </w:p>
    <w:p w14:paraId="6C00795C"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در زمان یک در حالت</w:t>
      </w:r>
      <w:r w:rsidRPr="00551F33">
        <w:rPr>
          <w:position w:val="-6"/>
        </w:rPr>
        <w:object w:dxaOrig="499" w:dyaOrig="260" w14:anchorId="5AE5F166">
          <v:shape id="_x0000_i7825" type="#_x0000_t75" style="width:24.8pt;height:13.3pt" o:ole="">
            <v:imagedata r:id="rId13725" o:title=""/>
          </v:shape>
          <o:OLEObject Type="Embed" ProgID="Equation.DSMT4" ShapeID="_x0000_i7825" DrawAspect="Content" ObjectID="_1791381768" r:id="rId13726"/>
        </w:object>
      </w:r>
      <w:r w:rsidRPr="00551F33">
        <w:rPr>
          <w:i/>
          <w:sz w:val="23"/>
          <w:szCs w:val="23"/>
          <w:lang w:eastAsia="en-GB"/>
        </w:rPr>
        <w:t xml:space="preserve"> </w:t>
      </w:r>
      <w:r w:rsidRPr="00551F33">
        <w:rPr>
          <w:rFonts w:hint="cs"/>
          <w:i/>
          <w:sz w:val="23"/>
          <w:szCs w:val="23"/>
          <w:rtl/>
          <w:lang w:eastAsia="en-GB"/>
        </w:rPr>
        <w:t>بانک</w:t>
      </w:r>
      <w:r w:rsidRPr="00551F33">
        <w:rPr>
          <w:i/>
          <w:sz w:val="23"/>
          <w:szCs w:val="23"/>
          <w:lang w:eastAsia="en-GB"/>
        </w:rPr>
        <w:t>‌</w:t>
      </w:r>
      <w:r w:rsidRPr="00551F33">
        <w:rPr>
          <w:rFonts w:hint="cs"/>
          <w:i/>
          <w:sz w:val="23"/>
          <w:szCs w:val="23"/>
          <w:rtl/>
          <w:lang w:eastAsia="en-GB"/>
        </w:rPr>
        <w:t>ها</w:t>
      </w:r>
      <w:r w:rsidRPr="00551F33">
        <w:rPr>
          <w:position w:val="-6"/>
        </w:rPr>
        <w:object w:dxaOrig="260" w:dyaOrig="300" w14:anchorId="426AC014">
          <v:shape id="_x0000_i7826" type="#_x0000_t75" style="width:13.3pt;height:14.5pt" o:ole="">
            <v:imagedata r:id="rId13727" o:title=""/>
          </v:shape>
          <o:OLEObject Type="Embed" ProgID="Equation.DSMT4" ShapeID="_x0000_i7826" DrawAspect="Content" ObjectID="_1791381769" r:id="rId13728"/>
        </w:object>
      </w:r>
      <w:r w:rsidRPr="00551F33">
        <w:rPr>
          <w:i/>
          <w:sz w:val="23"/>
          <w:szCs w:val="23"/>
          <w:lang w:eastAsia="en-GB"/>
        </w:rPr>
        <w:t xml:space="preserve"> </w:t>
      </w:r>
      <w:r w:rsidRPr="00551F33">
        <w:rPr>
          <w:rFonts w:hint="cs"/>
          <w:i/>
          <w:sz w:val="23"/>
          <w:szCs w:val="23"/>
          <w:rtl/>
          <w:lang w:eastAsia="en-GB"/>
        </w:rPr>
        <w:t>را به مصرف</w:t>
      </w:r>
      <w:r w:rsidRPr="00551F33">
        <w:rPr>
          <w:i/>
          <w:sz w:val="23"/>
          <w:szCs w:val="23"/>
          <w:lang w:eastAsia="en-GB"/>
        </w:rPr>
        <w:t>‌</w:t>
      </w:r>
      <w:r w:rsidRPr="00551F33">
        <w:rPr>
          <w:rFonts w:hint="cs"/>
          <w:i/>
          <w:sz w:val="23"/>
          <w:szCs w:val="23"/>
          <w:rtl/>
          <w:lang w:eastAsia="en-GB"/>
        </w:rPr>
        <w:t>کنندگان زودهنگام می</w:t>
      </w:r>
      <w:r w:rsidRPr="00551F33">
        <w:rPr>
          <w:i/>
          <w:sz w:val="23"/>
          <w:szCs w:val="23"/>
          <w:lang w:eastAsia="en-GB"/>
        </w:rPr>
        <w:t>‌</w:t>
      </w:r>
      <w:r w:rsidRPr="00551F33">
        <w:rPr>
          <w:rFonts w:hint="cs"/>
          <w:i/>
          <w:sz w:val="23"/>
          <w:szCs w:val="23"/>
          <w:rtl/>
          <w:lang w:eastAsia="en-GB"/>
        </w:rPr>
        <w:t>پردازند</w:t>
      </w:r>
      <w:r w:rsidRPr="00551F33">
        <w:rPr>
          <w:i/>
          <w:sz w:val="23"/>
          <w:szCs w:val="23"/>
          <w:lang w:eastAsia="en-GB"/>
        </w:rPr>
        <w:t>.</w:t>
      </w:r>
      <w:r w:rsidRPr="00551F33">
        <w:rPr>
          <w:rFonts w:hint="cs"/>
          <w:i/>
          <w:sz w:val="23"/>
          <w:szCs w:val="23"/>
          <w:rtl/>
          <w:lang w:eastAsia="en-GB"/>
        </w:rPr>
        <w:t xml:space="preserve"> در نتیجه دارایی کوتاه مدت ندارند و فقط</w:t>
      </w:r>
      <w:r w:rsidRPr="00551F33">
        <w:rPr>
          <w:position w:val="-8"/>
        </w:rPr>
        <w:object w:dxaOrig="540" w:dyaOrig="320" w14:anchorId="145799EF">
          <v:shape id="_x0000_i7827" type="#_x0000_t75" style="width:26.6pt;height:15.75pt" o:ole="">
            <v:imagedata r:id="rId13729" o:title=""/>
          </v:shape>
          <o:OLEObject Type="Embed" ProgID="Equation.DSMT4" ShapeID="_x0000_i7827" DrawAspect="Content" ObjectID="_1791381770" r:id="rId13730"/>
        </w:object>
      </w:r>
      <w:r w:rsidRPr="00551F33">
        <w:rPr>
          <w:rFonts w:hint="cs"/>
          <w:i/>
          <w:sz w:val="23"/>
          <w:szCs w:val="23"/>
          <w:rtl/>
          <w:lang w:eastAsia="en-GB"/>
        </w:rPr>
        <w:t xml:space="preserve"> از دارایی بلندمدت دارند</w:t>
      </w:r>
      <w:r w:rsidRPr="00551F33">
        <w:rPr>
          <w:i/>
          <w:sz w:val="23"/>
          <w:szCs w:val="23"/>
          <w:lang w:eastAsia="en-GB"/>
        </w:rPr>
        <w:t>.</w:t>
      </w:r>
      <w:r w:rsidRPr="00551F33">
        <w:rPr>
          <w:rFonts w:hint="cs"/>
          <w:i/>
          <w:sz w:val="23"/>
          <w:szCs w:val="23"/>
          <w:rtl/>
          <w:lang w:eastAsia="en-GB"/>
        </w:rPr>
        <w:t xml:space="preserve"> بانک مرکزی</w:t>
      </w:r>
      <w:r w:rsidRPr="00025957">
        <w:rPr>
          <w:position w:val="-4"/>
        </w:rPr>
        <w:object w:dxaOrig="540" w:dyaOrig="240" w14:anchorId="7FB9110E">
          <v:shape id="_x0000_i7828" type="#_x0000_t75" style="width:26.6pt;height:11.5pt" o:ole="">
            <v:imagedata r:id="rId13731" o:title=""/>
          </v:shape>
          <o:OLEObject Type="Embed" ProgID="Equation.DSMT4" ShapeID="_x0000_i7828" DrawAspect="Content" ObjectID="_1791381771" r:id="rId13732"/>
        </w:object>
      </w:r>
      <w:r w:rsidRPr="00551F33">
        <w:rPr>
          <w:rFonts w:hint="cs"/>
          <w:i/>
          <w:sz w:val="23"/>
          <w:szCs w:val="23"/>
          <w:rtl/>
          <w:lang w:eastAsia="en-GB"/>
        </w:rPr>
        <w:t xml:space="preserve"> را برقرار می</w:t>
      </w:r>
      <w:r w:rsidRPr="00551F33">
        <w:rPr>
          <w:i/>
          <w:sz w:val="23"/>
          <w:szCs w:val="23"/>
          <w:lang w:eastAsia="en-GB"/>
        </w:rPr>
        <w:t>‌</w:t>
      </w:r>
      <w:r w:rsidRPr="00551F33">
        <w:rPr>
          <w:rFonts w:hint="cs"/>
          <w:i/>
          <w:sz w:val="23"/>
          <w:szCs w:val="23"/>
          <w:rtl/>
          <w:lang w:eastAsia="en-GB"/>
        </w:rPr>
        <w:t>سازد اما نیازی ندارد برای رسیدن به این هدف عملیات بازار آزاد را انجام دهد. بنابراین در زمان دو مقدار</w:t>
      </w:r>
      <w:r w:rsidRPr="00551F33">
        <w:rPr>
          <w:position w:val="-16"/>
        </w:rPr>
        <w:object w:dxaOrig="920" w:dyaOrig="420" w14:anchorId="79D03EDE">
          <v:shape id="_x0000_i7829" type="#_x0000_t75" style="width:46pt;height:21.2pt" o:ole="">
            <v:imagedata r:id="rId13733" o:title=""/>
          </v:shape>
          <o:OLEObject Type="Embed" ProgID="Equation.DSMT4" ShapeID="_x0000_i7829" DrawAspect="Content" ObjectID="_1791381772" r:id="rId13734"/>
        </w:object>
      </w:r>
      <w:r w:rsidRPr="00551F33">
        <w:rPr>
          <w:rFonts w:hint="cs"/>
          <w:i/>
          <w:sz w:val="23"/>
          <w:szCs w:val="23"/>
          <w:rtl/>
          <w:lang w:eastAsia="en-GB"/>
        </w:rPr>
        <w:t xml:space="preserve"> را به</w:t>
      </w:r>
      <w:r w:rsidRPr="00551F33">
        <w:rPr>
          <w:position w:val="-10"/>
        </w:rPr>
        <w:object w:dxaOrig="520" w:dyaOrig="320" w14:anchorId="4508C35C">
          <v:shape id="_x0000_i7830" type="#_x0000_t75" style="width:26pt;height:15.75pt" o:ole="">
            <v:imagedata r:id="rId13735" o:title=""/>
          </v:shape>
          <o:OLEObject Type="Embed" ProgID="Equation.DSMT4" ShapeID="_x0000_i7830" DrawAspect="Content" ObjectID="_1791381773" r:id="rId13736"/>
        </w:object>
      </w:r>
      <w:r w:rsidRPr="00551F33">
        <w:rPr>
          <w:rFonts w:hint="cs"/>
          <w:i/>
          <w:sz w:val="23"/>
          <w:szCs w:val="23"/>
          <w:rtl/>
          <w:lang w:eastAsia="en-GB"/>
        </w:rPr>
        <w:t xml:space="preserve"> مصرف</w:t>
      </w:r>
      <w:r w:rsidRPr="00551F33">
        <w:rPr>
          <w:rFonts w:hint="cs"/>
          <w:i/>
          <w:sz w:val="23"/>
          <w:szCs w:val="23"/>
          <w:rtl/>
          <w:lang w:eastAsia="en-GB"/>
        </w:rPr>
        <w:softHyphen/>
        <w:t>کنندگان دیرهنگام می</w:t>
      </w:r>
      <w:r w:rsidRPr="00551F33">
        <w:rPr>
          <w:i/>
          <w:sz w:val="23"/>
          <w:szCs w:val="23"/>
          <w:lang w:eastAsia="en-GB"/>
        </w:rPr>
        <w:t>‌</w:t>
      </w:r>
      <w:r w:rsidRPr="00551F33">
        <w:rPr>
          <w:rFonts w:hint="cs"/>
          <w:i/>
          <w:sz w:val="23"/>
          <w:szCs w:val="23"/>
          <w:rtl/>
          <w:lang w:eastAsia="en-GB"/>
        </w:rPr>
        <w:t>پردازد که هرکدام</w:t>
      </w:r>
      <w:r w:rsidRPr="00551F33">
        <w:rPr>
          <w:position w:val="-10"/>
        </w:rPr>
        <w:object w:dxaOrig="300" w:dyaOrig="340" w14:anchorId="7C3B6BDF">
          <v:shape id="_x0000_i7831" type="#_x0000_t75" style="width:14.5pt;height:16.95pt" o:ole="">
            <v:imagedata r:id="rId13737" o:title=""/>
          </v:shape>
          <o:OLEObject Type="Embed" ProgID="Equation.DSMT4" ShapeID="_x0000_i7831" DrawAspect="Content" ObjectID="_1791381774" r:id="rId13738"/>
        </w:object>
      </w:r>
      <w:r w:rsidRPr="00551F33">
        <w:rPr>
          <w:rFonts w:hint="cs"/>
          <w:i/>
          <w:sz w:val="23"/>
          <w:szCs w:val="23"/>
          <w:rtl/>
          <w:lang w:eastAsia="en-GB"/>
        </w:rPr>
        <w:t xml:space="preserve"> داده شده در بالا را دریافت کنند</w:t>
      </w:r>
      <w:r w:rsidRPr="00551F33">
        <w:rPr>
          <w:i/>
          <w:sz w:val="23"/>
          <w:szCs w:val="23"/>
          <w:lang w:eastAsia="en-GB"/>
        </w:rPr>
        <w:t>.</w:t>
      </w:r>
      <w:r w:rsidRPr="00551F33">
        <w:rPr>
          <w:rFonts w:hint="cs"/>
          <w:i/>
          <w:sz w:val="23"/>
          <w:szCs w:val="23"/>
          <w:rtl/>
          <w:lang w:eastAsia="en-GB"/>
        </w:rPr>
        <w:t xml:space="preserve"> به این طریق بانک‌ها می</w:t>
      </w:r>
      <w:r w:rsidRPr="00551F33">
        <w:rPr>
          <w:i/>
          <w:sz w:val="23"/>
          <w:szCs w:val="23"/>
          <w:lang w:eastAsia="en-GB"/>
        </w:rPr>
        <w:t>‌</w:t>
      </w:r>
      <w:r w:rsidRPr="00551F33">
        <w:rPr>
          <w:rFonts w:hint="cs"/>
          <w:i/>
          <w:sz w:val="23"/>
          <w:szCs w:val="23"/>
          <w:rtl/>
          <w:lang w:eastAsia="en-GB"/>
        </w:rPr>
        <w:t>توانند در غیاب شوک نقدینگی کلی راه</w:t>
      </w:r>
      <w:r w:rsidRPr="00551F33">
        <w:rPr>
          <w:i/>
          <w:sz w:val="23"/>
          <w:szCs w:val="23"/>
          <w:lang w:eastAsia="en-GB"/>
        </w:rPr>
        <w:t>‌</w:t>
      </w:r>
      <w:r w:rsidRPr="00551F33">
        <w:rPr>
          <w:rFonts w:hint="cs"/>
          <w:i/>
          <w:sz w:val="23"/>
          <w:szCs w:val="23"/>
          <w:rtl/>
          <w:lang w:eastAsia="en-GB"/>
        </w:rPr>
        <w:t>حل کارای مقید را به اجرا بگذارند</w:t>
      </w:r>
    </w:p>
    <w:p w14:paraId="693CBABA" w14:textId="77777777" w:rsidR="00556C10" w:rsidRPr="00551F33" w:rsidRDefault="00556C10" w:rsidP="00556C10">
      <w:pPr>
        <w:spacing w:line="216" w:lineRule="auto"/>
        <w:rPr>
          <w:i/>
          <w:sz w:val="23"/>
          <w:szCs w:val="23"/>
          <w:lang w:eastAsia="en-GB"/>
        </w:rPr>
      </w:pPr>
    </w:p>
    <w:p w14:paraId="59D45898" w14:textId="77777777" w:rsidR="00556C10" w:rsidRPr="00551F33" w:rsidRDefault="00556C10" w:rsidP="00556C10">
      <w:pPr>
        <w:pStyle w:val="Heading1"/>
        <w:spacing w:before="0" w:line="216" w:lineRule="auto"/>
        <w:rPr>
          <w:rFonts w:ascii="Times New Roman" w:hAnsi="Times New Roman" w:cs="B Nazanin"/>
          <w:b w:val="0"/>
          <w:i/>
          <w:sz w:val="23"/>
          <w:szCs w:val="23"/>
          <w:rtl/>
          <w:lang w:eastAsia="en-GB"/>
        </w:rPr>
      </w:pPr>
      <w:r w:rsidRPr="00551F33">
        <w:rPr>
          <w:rFonts w:ascii="Times New Roman" w:hAnsi="Times New Roman" w:cs="B Nazanin" w:hint="cs"/>
          <w:b w:val="0"/>
          <w:i/>
          <w:sz w:val="23"/>
          <w:szCs w:val="23"/>
          <w:rtl/>
          <w:lang w:eastAsia="en-GB"/>
        </w:rPr>
        <w:lastRenderedPageBreak/>
        <w:t>۱۵. ۶. ۴ اظهار نظر</w:t>
      </w:r>
    </w:p>
    <w:p w14:paraId="4257B60E" w14:textId="77777777" w:rsidR="00556C10" w:rsidRPr="00551F33" w:rsidRDefault="00556C10" w:rsidP="00556C10">
      <w:pPr>
        <w:spacing w:line="216" w:lineRule="auto"/>
        <w:rPr>
          <w:i/>
          <w:sz w:val="23"/>
          <w:szCs w:val="23"/>
          <w:rtl/>
          <w:lang w:eastAsia="en-GB"/>
        </w:rPr>
      </w:pPr>
      <w:r w:rsidRPr="00551F33">
        <w:rPr>
          <w:i/>
          <w:sz w:val="23"/>
          <w:szCs w:val="23"/>
          <w:lang w:eastAsia="en-GB"/>
        </w:rPr>
        <w:t> </w:t>
      </w:r>
      <w:r w:rsidRPr="00551F33">
        <w:rPr>
          <w:rFonts w:hint="cs"/>
          <w:i/>
          <w:sz w:val="23"/>
          <w:szCs w:val="23"/>
          <w:rtl/>
          <w:lang w:eastAsia="en-GB"/>
        </w:rPr>
        <w:t>تمرکز مدل دیاموند و دیبویگ به دلیل هجوم به بانک‌ها و شکست</w:t>
      </w:r>
      <w:r w:rsidRPr="00551F33">
        <w:rPr>
          <w:rFonts w:hint="cs"/>
          <w:i/>
          <w:sz w:val="23"/>
          <w:szCs w:val="23"/>
          <w:rtl/>
          <w:lang w:eastAsia="en-GB"/>
        </w:rPr>
        <w:softHyphen/>
        <w:t>های بانکی بود. آن‌ها برای اجتناب از این پیامد، بیمه سپرده‌ی دولتی را معرفی کردند. در مدل آلن و دیگران عدم قطعیت کافی که سبب شود بانک‌ها شکست بخورند وجود ندارد. بازار بین</w:t>
      </w:r>
      <w:r w:rsidRPr="00551F33">
        <w:rPr>
          <w:rFonts w:hint="cs"/>
          <w:i/>
          <w:sz w:val="23"/>
          <w:szCs w:val="23"/>
          <w:rtl/>
          <w:lang w:eastAsia="en-GB"/>
        </w:rPr>
        <w:softHyphen/>
        <w:t>بانکی یک تخصیص مجدد نقدینگی را میان بانک‌ها، که به تحقق شوک‌های کلی و انفرادی بستگی دارد، اعمال می‌کند و بانک‌ها در می‌یابند نگهداری نقدینگی کافی برای بیمه خود در مقابل شوک‌های نقدینگی کلی بهینه است. قیمت‌های دارایی‌ها در بازار بین</w:t>
      </w:r>
      <w:r w:rsidRPr="00551F33">
        <w:rPr>
          <w:rFonts w:hint="cs"/>
          <w:i/>
          <w:sz w:val="23"/>
          <w:szCs w:val="23"/>
          <w:rtl/>
          <w:lang w:eastAsia="en-GB"/>
        </w:rPr>
        <w:softHyphen/>
        <w:t>بانکی تعدیل می</w:t>
      </w:r>
      <w:r w:rsidRPr="00551F33">
        <w:rPr>
          <w:i/>
          <w:sz w:val="23"/>
          <w:szCs w:val="23"/>
          <w:lang w:eastAsia="en-GB"/>
        </w:rPr>
        <w:t>‌</w:t>
      </w:r>
      <w:r w:rsidRPr="00551F33">
        <w:rPr>
          <w:rFonts w:hint="cs"/>
          <w:i/>
          <w:sz w:val="23"/>
          <w:szCs w:val="23"/>
          <w:rtl/>
          <w:lang w:eastAsia="en-GB"/>
        </w:rPr>
        <w:t>شود تا بانک‌ها به نقدینگی لازم دسترسی داشته باشند.</w:t>
      </w:r>
    </w:p>
    <w:p w14:paraId="39F01413"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یک ویژگی کلیدی مدل آلن و دیگران وارد کردن یک بانک مرکزی است و نقش آن این است که از عملیات بازار آزاد استفاده کرده تا قیمت دارایی بلندمدت در بازار بین</w:t>
      </w:r>
      <w:r w:rsidRPr="00551F33">
        <w:rPr>
          <w:rFonts w:hint="cs"/>
          <w:i/>
          <w:sz w:val="23"/>
          <w:szCs w:val="23"/>
          <w:rtl/>
          <w:lang w:eastAsia="en-GB"/>
        </w:rPr>
        <w:softHyphen/>
        <w:t>بانکی ثابت شود و عدم کارایی ناشی از فقدان فرض فرصت‌های تأمینی از بین برود. با ثابت کردن این قیمت‌ها به نحو صحیح ،بانک‌ها قادرند هرگونه مازاد یا کمبود نقدینگی را از طریق خرید یا فروش دارایی‌ها در بازار بین بانکی از بین برده و از هجوم به بانک‌ها یا ورشکستگی جلوگیری کنند.</w:t>
      </w:r>
    </w:p>
    <w:p w14:paraId="4A3EE056"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آلن و دیگران مدل خود را به زمان‌های چندگانه بسط می‌دهند. به این ترتیب بانک‌ها پرتفویی از دارایی‌ها با سررسید‌های متفاوت دارند تا نیازهای نقدینگی سپرده</w:t>
      </w:r>
      <w:r w:rsidRPr="00551F33">
        <w:rPr>
          <w:rFonts w:hint="cs"/>
          <w:i/>
          <w:sz w:val="23"/>
          <w:szCs w:val="23"/>
          <w:rtl/>
          <w:lang w:eastAsia="en-GB"/>
        </w:rPr>
        <w:softHyphen/>
        <w:t>گذاران را جواب دهند، و بتوانند در بازارهای اوراق قرضه معامله شوند تا تقاضای بالا و غیرمنتظره نقدینگی را در هر زمان پاسخ دهند. بانک مرکزی هنگامی دخالت می</w:t>
      </w:r>
      <w:r w:rsidRPr="00551F33">
        <w:rPr>
          <w:i/>
          <w:sz w:val="23"/>
          <w:szCs w:val="23"/>
          <w:lang w:eastAsia="en-GB"/>
        </w:rPr>
        <w:t>‌</w:t>
      </w:r>
      <w:r w:rsidRPr="00551F33">
        <w:rPr>
          <w:rFonts w:hint="cs"/>
          <w:i/>
          <w:sz w:val="23"/>
          <w:szCs w:val="23"/>
          <w:rtl/>
          <w:lang w:eastAsia="en-GB"/>
        </w:rPr>
        <w:t>کند که لازم باشد قیمت‌های اوراق قرضه هموار شود و به خصوص هنگامی که تهدید فروش انفجاری دارایی‌های بانکی برای حل مشکل کمبود نقدینگی وجود داشته باشد.</w:t>
      </w:r>
    </w:p>
    <w:p w14:paraId="69312F5D"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پیامد مدل این است که بانک</w:t>
      </w:r>
      <w:r w:rsidRPr="00551F33">
        <w:rPr>
          <w:i/>
          <w:sz w:val="23"/>
          <w:szCs w:val="23"/>
          <w:lang w:eastAsia="en-GB"/>
        </w:rPr>
        <w:t>‌</w:t>
      </w:r>
      <w:r w:rsidRPr="00551F33">
        <w:rPr>
          <w:rFonts w:hint="cs"/>
          <w:i/>
          <w:sz w:val="23"/>
          <w:szCs w:val="23"/>
          <w:rtl/>
          <w:lang w:eastAsia="en-GB"/>
        </w:rPr>
        <w:t>ها قادر نیستند نیازهای نقدینگی را، خود از طریق بازار بین بانکی حل کنند و دخالت بانک مرکزی برای این کار لازم است. در زمان</w:t>
      </w:r>
      <w:r w:rsidRPr="00551F33">
        <w:rPr>
          <w:i/>
          <w:sz w:val="23"/>
          <w:szCs w:val="23"/>
          <w:lang w:eastAsia="en-GB"/>
        </w:rPr>
        <w:t>‌</w:t>
      </w:r>
      <w:r w:rsidRPr="00551F33">
        <w:rPr>
          <w:rFonts w:hint="cs"/>
          <w:i/>
          <w:sz w:val="23"/>
          <w:szCs w:val="23"/>
          <w:rtl/>
          <w:lang w:eastAsia="en-GB"/>
        </w:rPr>
        <w:t>های عادی، به دلیل وجود منابع خارجی فراوان، بازار بین</w:t>
      </w:r>
      <w:r w:rsidRPr="00551F33">
        <w:rPr>
          <w:rFonts w:hint="cs"/>
          <w:i/>
          <w:sz w:val="23"/>
          <w:szCs w:val="23"/>
          <w:rtl/>
          <w:lang w:eastAsia="en-GB"/>
        </w:rPr>
        <w:softHyphen/>
        <w:t>بانکی عمق کافی دارد تا نقدینگی لازم را فراهم کند، اگر چه این کار ممکن است با نرخ بهره</w:t>
      </w:r>
      <w:r w:rsidRPr="00551F33">
        <w:rPr>
          <w:rFonts w:hint="cs"/>
          <w:i/>
          <w:sz w:val="23"/>
          <w:szCs w:val="23"/>
          <w:rtl/>
          <w:lang w:eastAsia="en-GB"/>
        </w:rPr>
        <w:softHyphen/>
        <w:t>ی بالایی برقرار شود که در آن بانک‌ها بتوانند از بازار قرض کنند، بر اساس مدل، ممکن است برای دارایی‌های بلندمدت بانکی قیمت پایین وضع شود. در طول دوره‌ی بحران مالی مابه التفاوت میان نرخ بین</w:t>
      </w:r>
      <w:r w:rsidRPr="00551F33">
        <w:rPr>
          <w:rFonts w:hint="cs"/>
          <w:i/>
          <w:sz w:val="23"/>
          <w:szCs w:val="23"/>
          <w:rtl/>
          <w:lang w:eastAsia="en-GB"/>
        </w:rPr>
        <w:softHyphen/>
        <w:t>بانکی و نرخ سیاستی ( نرخی که بانک مرکزی اعلام می‌کند) بسیار زیاد شد. این امر نشان می</w:t>
      </w:r>
      <w:r w:rsidRPr="00551F33">
        <w:rPr>
          <w:i/>
          <w:sz w:val="23"/>
          <w:szCs w:val="23"/>
          <w:lang w:eastAsia="en-GB"/>
        </w:rPr>
        <w:t>‌</w:t>
      </w:r>
      <w:r w:rsidRPr="00551F33">
        <w:rPr>
          <w:rFonts w:hint="cs"/>
          <w:i/>
          <w:sz w:val="23"/>
          <w:szCs w:val="23"/>
          <w:rtl/>
          <w:lang w:eastAsia="en-GB"/>
        </w:rPr>
        <w:t>داد وام دادن به بانک</w:t>
      </w:r>
      <w:r w:rsidRPr="00551F33">
        <w:rPr>
          <w:i/>
          <w:sz w:val="23"/>
          <w:szCs w:val="23"/>
          <w:lang w:eastAsia="en-GB"/>
        </w:rPr>
        <w:t>‌</w:t>
      </w:r>
      <w:r w:rsidRPr="00551F33">
        <w:rPr>
          <w:rFonts w:hint="cs"/>
          <w:i/>
          <w:sz w:val="23"/>
          <w:szCs w:val="23"/>
          <w:rtl/>
          <w:lang w:eastAsia="en-GB"/>
        </w:rPr>
        <w:t>ها پر ریسک است آن هم در حالتی که بسیاری از دارایی‌های آن‌ها کمّی است و مجبورند به جای تقاضای مازاد برای نقدینگی که از تعداد زیاد و غیر منتظره مصرف کنندگان زودهنگام ناشی می</w:t>
      </w:r>
      <w:r w:rsidRPr="00551F33">
        <w:rPr>
          <w:i/>
          <w:sz w:val="23"/>
          <w:szCs w:val="23"/>
          <w:lang w:eastAsia="en-GB"/>
        </w:rPr>
        <w:t>‌</w:t>
      </w:r>
      <w:r w:rsidRPr="00551F33">
        <w:rPr>
          <w:rFonts w:hint="cs"/>
          <w:i/>
          <w:sz w:val="23"/>
          <w:szCs w:val="23"/>
          <w:rtl/>
          <w:lang w:eastAsia="en-GB"/>
        </w:rPr>
        <w:t>شود قصور کنند. با این حال وقتی بازار بین بانکی از تأمین مالی کوتاه</w:t>
      </w:r>
      <w:r w:rsidRPr="00551F33">
        <w:rPr>
          <w:rFonts w:hint="cs"/>
          <w:i/>
          <w:sz w:val="23"/>
          <w:szCs w:val="23"/>
          <w:rtl/>
          <w:lang w:eastAsia="en-GB"/>
        </w:rPr>
        <w:softHyphen/>
        <w:t>مدت بانک‌ها سر باز زند، عملیات بازار آزاد بانک مرکزی نقدینگی لازم برای بانک</w:t>
      </w:r>
      <w:r w:rsidRPr="00551F33">
        <w:rPr>
          <w:i/>
          <w:sz w:val="23"/>
          <w:szCs w:val="23"/>
          <w:lang w:eastAsia="en-GB"/>
        </w:rPr>
        <w:t>‌</w:t>
      </w:r>
      <w:r w:rsidRPr="00551F33">
        <w:rPr>
          <w:rFonts w:hint="cs"/>
          <w:i/>
          <w:sz w:val="23"/>
          <w:szCs w:val="23"/>
          <w:rtl/>
          <w:lang w:eastAsia="en-GB"/>
        </w:rPr>
        <w:t>ها را تأمین می‌کند. این موضوع نقش قاطع بانک مرکزی به عنوان آخرین قرض دهنده به بانک‌ها را نشان می</w:t>
      </w:r>
      <w:r w:rsidRPr="00551F33">
        <w:rPr>
          <w:i/>
          <w:sz w:val="23"/>
          <w:szCs w:val="23"/>
          <w:lang w:eastAsia="en-GB"/>
        </w:rPr>
        <w:t>‌</w:t>
      </w:r>
      <w:r w:rsidRPr="00551F33">
        <w:rPr>
          <w:rFonts w:hint="cs"/>
          <w:i/>
          <w:sz w:val="23"/>
          <w:szCs w:val="23"/>
          <w:rtl/>
          <w:lang w:eastAsia="en-GB"/>
        </w:rPr>
        <w:t>دهد. این تنها پس از این که تعدادی از دولت</w:t>
      </w:r>
      <w:r w:rsidRPr="00551F33">
        <w:rPr>
          <w:i/>
          <w:sz w:val="23"/>
          <w:szCs w:val="23"/>
          <w:lang w:eastAsia="en-GB"/>
        </w:rPr>
        <w:t>‌</w:t>
      </w:r>
      <w:r w:rsidRPr="00551F33">
        <w:rPr>
          <w:rFonts w:hint="cs"/>
          <w:i/>
          <w:sz w:val="23"/>
          <w:szCs w:val="23"/>
          <w:rtl/>
          <w:lang w:eastAsia="en-GB"/>
        </w:rPr>
        <w:t>ها تعهدات بانک</w:t>
      </w:r>
      <w:r w:rsidRPr="00551F33">
        <w:rPr>
          <w:i/>
          <w:sz w:val="23"/>
          <w:szCs w:val="23"/>
          <w:lang w:eastAsia="en-GB"/>
        </w:rPr>
        <w:t>‌</w:t>
      </w:r>
      <w:r w:rsidRPr="00551F33">
        <w:rPr>
          <w:rFonts w:hint="cs"/>
          <w:i/>
          <w:sz w:val="23"/>
          <w:szCs w:val="23"/>
          <w:rtl/>
          <w:lang w:eastAsia="en-GB"/>
        </w:rPr>
        <w:t>ها را به عهده گرفتند و بازار بین</w:t>
      </w:r>
      <w:r w:rsidRPr="00551F33">
        <w:rPr>
          <w:rFonts w:hint="cs"/>
          <w:i/>
          <w:sz w:val="23"/>
          <w:szCs w:val="23"/>
          <w:rtl/>
          <w:lang w:eastAsia="en-GB"/>
        </w:rPr>
        <w:softHyphen/>
        <w:t>بانکی قصور کرد ریسک قصور و شکست بانک تا حد زیادی کاهش یافته بود که نقش خود را به عنوان تأمین کننده‌ی نقدینگی بانکی از سر گرفت.</w:t>
      </w:r>
    </w:p>
    <w:p w14:paraId="1EF2E0BF" w14:textId="77777777" w:rsidR="00556C10" w:rsidRPr="00551F33" w:rsidRDefault="00556C10" w:rsidP="00556C10">
      <w:pPr>
        <w:spacing w:line="216" w:lineRule="auto"/>
        <w:rPr>
          <w:rFonts w:eastAsiaTheme="minorHAnsi"/>
          <w:i/>
          <w:sz w:val="23"/>
          <w:szCs w:val="23"/>
        </w:rPr>
      </w:pPr>
      <w:r w:rsidRPr="00551F33">
        <w:rPr>
          <w:rFonts w:hint="cs"/>
          <w:i/>
          <w:sz w:val="23"/>
          <w:szCs w:val="23"/>
          <w:rtl/>
        </w:rPr>
        <w:lastRenderedPageBreak/>
        <w:t>قبل از رویکرد دیاموند و دیبویگ، کاراکن و والاس</w:t>
      </w:r>
      <w:r w:rsidRPr="00551F33">
        <w:rPr>
          <w:rStyle w:val="FootnoteReference"/>
          <w:i/>
          <w:sz w:val="23"/>
          <w:szCs w:val="23"/>
          <w:rtl/>
        </w:rPr>
        <w:footnoteReference w:id="369"/>
      </w:r>
      <w:r w:rsidRPr="00551F33">
        <w:rPr>
          <w:rFonts w:hint="cs"/>
          <w:i/>
          <w:sz w:val="23"/>
          <w:szCs w:val="23"/>
          <w:rtl/>
        </w:rPr>
        <w:t xml:space="preserve"> مدلی را ارائه کردند که فرض می‌کرد خانوار و بانک‌ها اطلاعات کاملی دارند و بنابراین خانوارها به طور کامل از بخش بانکی اطلاعات دارند. در نتیجه، قصور و خطر اخلاقی نمی</w:t>
      </w:r>
      <w:r w:rsidRPr="00551F33">
        <w:rPr>
          <w:rFonts w:hint="cs"/>
          <w:i/>
          <w:sz w:val="23"/>
          <w:szCs w:val="23"/>
          <w:rtl/>
        </w:rPr>
        <w:softHyphen/>
        <w:t>تواند وجود داشته باشد، و به نظر می</w:t>
      </w:r>
      <w:r w:rsidRPr="00551F33">
        <w:rPr>
          <w:i/>
          <w:sz w:val="23"/>
          <w:szCs w:val="23"/>
        </w:rPr>
        <w:t>‌</w:t>
      </w:r>
      <w:r w:rsidRPr="00551F33">
        <w:rPr>
          <w:rFonts w:hint="cs"/>
          <w:i/>
          <w:sz w:val="23"/>
          <w:szCs w:val="23"/>
          <w:rtl/>
        </w:rPr>
        <w:t>رسد بیش از آنچه تصور می</w:t>
      </w:r>
      <w:r w:rsidRPr="00551F33">
        <w:rPr>
          <w:i/>
          <w:sz w:val="23"/>
          <w:szCs w:val="23"/>
        </w:rPr>
        <w:t>‌</w:t>
      </w:r>
      <w:r w:rsidRPr="00551F33">
        <w:rPr>
          <w:rFonts w:hint="cs"/>
          <w:i/>
          <w:sz w:val="23"/>
          <w:szCs w:val="23"/>
          <w:rtl/>
        </w:rPr>
        <w:t>رود سپرده</w:t>
      </w:r>
      <w:r w:rsidRPr="00551F33">
        <w:rPr>
          <w:i/>
          <w:sz w:val="23"/>
          <w:szCs w:val="23"/>
        </w:rPr>
        <w:t>‌</w:t>
      </w:r>
      <w:r w:rsidRPr="00551F33">
        <w:rPr>
          <w:rFonts w:hint="cs"/>
          <w:i/>
          <w:sz w:val="23"/>
          <w:szCs w:val="23"/>
          <w:rtl/>
        </w:rPr>
        <w:t>گذاران بانک‌ها را امن می</w:t>
      </w:r>
      <w:r w:rsidRPr="00551F33">
        <w:rPr>
          <w:i/>
          <w:sz w:val="23"/>
          <w:szCs w:val="23"/>
        </w:rPr>
        <w:t>‌</w:t>
      </w:r>
      <w:r w:rsidRPr="00551F33">
        <w:rPr>
          <w:rFonts w:hint="cs"/>
          <w:i/>
          <w:sz w:val="23"/>
          <w:szCs w:val="23"/>
          <w:rtl/>
        </w:rPr>
        <w:t>دانند. به دنبال هر اخلالی بازار قیمت</w:t>
      </w:r>
      <w:r w:rsidRPr="00551F33">
        <w:rPr>
          <w:i/>
          <w:sz w:val="23"/>
          <w:szCs w:val="23"/>
        </w:rPr>
        <w:t>‌</w:t>
      </w:r>
      <w:r w:rsidRPr="00551F33">
        <w:rPr>
          <w:rFonts w:hint="cs"/>
          <w:i/>
          <w:sz w:val="23"/>
          <w:szCs w:val="23"/>
          <w:rtl/>
        </w:rPr>
        <w:t>ها را تعدیل می</w:t>
      </w:r>
      <w:r w:rsidRPr="00551F33">
        <w:rPr>
          <w:i/>
          <w:sz w:val="23"/>
          <w:szCs w:val="23"/>
        </w:rPr>
        <w:t>‌</w:t>
      </w:r>
      <w:r w:rsidRPr="00551F33">
        <w:rPr>
          <w:rFonts w:hint="cs"/>
          <w:i/>
          <w:sz w:val="23"/>
          <w:szCs w:val="23"/>
          <w:rtl/>
        </w:rPr>
        <w:t>کند تا تعادل دوباره برقرار شود و دخالت دولت را غیرضروری می‌کند. چنین فرضیاتی درباره اطلاعات بسیار قوی است. اگرچه در مدل</w:t>
      </w:r>
      <w:r w:rsidRPr="00551F33">
        <w:rPr>
          <w:i/>
          <w:sz w:val="23"/>
          <w:szCs w:val="23"/>
        </w:rPr>
        <w:t>‌</w:t>
      </w:r>
      <w:r w:rsidRPr="00551F33">
        <w:rPr>
          <w:rFonts w:hint="cs"/>
          <w:i/>
          <w:sz w:val="23"/>
          <w:szCs w:val="23"/>
          <w:rtl/>
        </w:rPr>
        <w:t xml:space="preserve">های </w:t>
      </w:r>
      <w:r w:rsidRPr="00551F33">
        <w:rPr>
          <w:i/>
          <w:sz w:val="23"/>
          <w:szCs w:val="23"/>
        </w:rPr>
        <w:t>DSGE</w:t>
      </w:r>
      <w:r w:rsidRPr="00551F33">
        <w:rPr>
          <w:rFonts w:hint="cs"/>
          <w:i/>
          <w:sz w:val="23"/>
          <w:szCs w:val="23"/>
          <w:rtl/>
        </w:rPr>
        <w:t xml:space="preserve"> اقتصاد کلان، فرض اطلاعات کامل و متقارن اتخاذ می</w:t>
      </w:r>
      <w:r w:rsidRPr="00551F33">
        <w:rPr>
          <w:i/>
          <w:sz w:val="23"/>
          <w:szCs w:val="23"/>
        </w:rPr>
        <w:t>‌</w:t>
      </w:r>
      <w:r w:rsidRPr="00551F33">
        <w:rPr>
          <w:rFonts w:hint="cs"/>
          <w:i/>
          <w:sz w:val="23"/>
          <w:szCs w:val="23"/>
          <w:rtl/>
        </w:rPr>
        <w:t xml:space="preserve">شود، بحران مالی نشان داد این فرض نیز ظاهراً بسیار قوی است. </w:t>
      </w:r>
    </w:p>
    <w:p w14:paraId="66A4D0AF" w14:textId="77777777" w:rsidR="00556C10" w:rsidRPr="00551F33" w:rsidRDefault="00556C10" w:rsidP="00556C10">
      <w:pPr>
        <w:spacing w:line="216" w:lineRule="auto"/>
        <w:rPr>
          <w:i/>
          <w:sz w:val="23"/>
          <w:szCs w:val="23"/>
          <w:lang w:eastAsia="en-GB"/>
        </w:rPr>
      </w:pPr>
      <w:r w:rsidRPr="00551F33">
        <w:rPr>
          <w:rFonts w:hint="cs"/>
          <w:i/>
          <w:sz w:val="23"/>
          <w:szCs w:val="23"/>
          <w:rtl/>
        </w:rPr>
        <w:t>از زمان بحران مالی گرتلر و دیگران</w:t>
      </w:r>
      <w:r w:rsidRPr="00551F33">
        <w:rPr>
          <w:rStyle w:val="FootnoteReference"/>
          <w:i/>
          <w:sz w:val="23"/>
          <w:szCs w:val="23"/>
          <w:rtl/>
        </w:rPr>
        <w:footnoteReference w:id="370"/>
      </w:r>
      <w:r w:rsidRPr="00551F33">
        <w:rPr>
          <w:rFonts w:hint="cs"/>
          <w:i/>
          <w:sz w:val="23"/>
          <w:szCs w:val="23"/>
          <w:rtl/>
        </w:rPr>
        <w:t xml:space="preserve"> یک مدل</w:t>
      </w:r>
      <w:r w:rsidRPr="00551F33">
        <w:rPr>
          <w:i/>
          <w:sz w:val="23"/>
          <w:szCs w:val="23"/>
        </w:rPr>
        <w:t xml:space="preserve"> DSGE</w:t>
      </w:r>
      <w:r w:rsidRPr="00551F33">
        <w:rPr>
          <w:rFonts w:hint="cs"/>
          <w:i/>
          <w:sz w:val="23"/>
          <w:szCs w:val="23"/>
          <w:rtl/>
        </w:rPr>
        <w:t xml:space="preserve"> از واسطه</w:t>
      </w:r>
      <w:r w:rsidRPr="00551F33">
        <w:rPr>
          <w:rFonts w:hint="cs"/>
          <w:i/>
          <w:sz w:val="23"/>
          <w:szCs w:val="23"/>
          <w:rtl/>
        </w:rPr>
        <w:softHyphen/>
        <w:t>گری مالی بسط دادند که بر ریسک نقدینگی، و این</w:t>
      </w:r>
      <w:r w:rsidRPr="00551F33">
        <w:rPr>
          <w:i/>
          <w:sz w:val="23"/>
          <w:szCs w:val="23"/>
          <w:rtl/>
        </w:rPr>
        <w:softHyphen/>
      </w:r>
      <w:r w:rsidRPr="00551F33">
        <w:rPr>
          <w:rFonts w:hint="cs"/>
          <w:i/>
          <w:sz w:val="23"/>
          <w:szCs w:val="23"/>
          <w:rtl/>
        </w:rPr>
        <w:t>که چگونه ریسک بازده دارایی قصور می‌شود و همچنین سیاست مداخله ای دولت، تمرکز داشت و بر ریسکی که واسطه</w:t>
      </w:r>
      <w:r w:rsidRPr="00551F33">
        <w:rPr>
          <w:rFonts w:hint="cs"/>
          <w:i/>
          <w:sz w:val="23"/>
          <w:szCs w:val="23"/>
          <w:rtl/>
        </w:rPr>
        <w:softHyphen/>
        <w:t>گر مالی خود را در معرض آن قرار می</w:t>
      </w:r>
      <w:r w:rsidRPr="00551F33">
        <w:rPr>
          <w:i/>
          <w:sz w:val="23"/>
          <w:szCs w:val="23"/>
        </w:rPr>
        <w:t>‌</w:t>
      </w:r>
      <w:r w:rsidRPr="00551F33">
        <w:rPr>
          <w:rFonts w:hint="cs"/>
          <w:i/>
          <w:sz w:val="23"/>
          <w:szCs w:val="23"/>
          <w:rtl/>
        </w:rPr>
        <w:t>داد تاثیر گذاشت. در این نظریه، بانک‌ها با ریسک اعتباری ناشی از پذیرش سهام سرمایه</w:t>
      </w:r>
      <w:r w:rsidRPr="00551F33">
        <w:rPr>
          <w:rFonts w:hint="cs"/>
          <w:i/>
          <w:sz w:val="23"/>
          <w:szCs w:val="23"/>
          <w:rtl/>
        </w:rPr>
        <w:softHyphen/>
        <w:t xml:space="preserve">ای بنگاه در ازای پرداخت وام به آن‌ها روبرو هستند. </w:t>
      </w:r>
      <w:r w:rsidRPr="00551F33">
        <w:rPr>
          <w:rFonts w:hint="cs"/>
          <w:i/>
          <w:sz w:val="23"/>
          <w:szCs w:val="23"/>
          <w:rtl/>
          <w:lang w:eastAsia="en-GB"/>
        </w:rPr>
        <w:t>یک جنبه‌ی ناراضی کننده‌ی این نظریه این است که در عمل، فرض می</w:t>
      </w:r>
      <w:r w:rsidRPr="00551F33">
        <w:rPr>
          <w:i/>
          <w:sz w:val="23"/>
          <w:szCs w:val="23"/>
          <w:lang w:eastAsia="en-GB"/>
        </w:rPr>
        <w:t>‌</w:t>
      </w:r>
      <w:r w:rsidRPr="00551F33">
        <w:rPr>
          <w:rFonts w:hint="cs"/>
          <w:i/>
          <w:sz w:val="23"/>
          <w:szCs w:val="23"/>
          <w:rtl/>
          <w:lang w:eastAsia="en-GB"/>
        </w:rPr>
        <w:t>کند بنگاه</w:t>
      </w:r>
      <w:r w:rsidRPr="00551F33">
        <w:rPr>
          <w:i/>
          <w:sz w:val="23"/>
          <w:szCs w:val="23"/>
          <w:lang w:eastAsia="en-GB"/>
        </w:rPr>
        <w:t>‌</w:t>
      </w:r>
      <w:r w:rsidRPr="00551F33">
        <w:rPr>
          <w:rFonts w:hint="cs"/>
          <w:i/>
          <w:sz w:val="23"/>
          <w:szCs w:val="23"/>
          <w:rtl/>
          <w:lang w:eastAsia="en-GB"/>
        </w:rPr>
        <w:t>ها قادرند ریسک‌های خود را به بانک منتقل کنند و چون ریسک قصور وجود ندارد، و بانک</w:t>
      </w:r>
      <w:r w:rsidRPr="00551F33">
        <w:rPr>
          <w:i/>
          <w:sz w:val="23"/>
          <w:szCs w:val="23"/>
          <w:lang w:eastAsia="en-GB"/>
        </w:rPr>
        <w:t>‌</w:t>
      </w:r>
      <w:r w:rsidRPr="00551F33">
        <w:rPr>
          <w:rFonts w:hint="cs"/>
          <w:i/>
          <w:sz w:val="23"/>
          <w:szCs w:val="23"/>
          <w:rtl/>
          <w:lang w:eastAsia="en-GB"/>
        </w:rPr>
        <w:t>ها هیچ</w:t>
      </w:r>
      <w:r w:rsidRPr="00551F33">
        <w:rPr>
          <w:i/>
          <w:sz w:val="23"/>
          <w:szCs w:val="23"/>
          <w:lang w:eastAsia="en-GB"/>
        </w:rPr>
        <w:t>‌</w:t>
      </w:r>
      <w:r w:rsidRPr="00551F33">
        <w:rPr>
          <w:rFonts w:hint="cs"/>
          <w:i/>
          <w:sz w:val="23"/>
          <w:szCs w:val="23"/>
          <w:rtl/>
          <w:lang w:eastAsia="en-GB"/>
        </w:rPr>
        <w:t>گونه مابه</w:t>
      </w:r>
      <w:r w:rsidRPr="00551F33">
        <w:rPr>
          <w:rFonts w:hint="cs"/>
          <w:i/>
          <w:sz w:val="23"/>
          <w:szCs w:val="23"/>
          <w:rtl/>
          <w:lang w:eastAsia="en-GB"/>
        </w:rPr>
        <w:softHyphen/>
        <w:t>التفاوت ریسکی از این وام</w:t>
      </w:r>
      <w:r w:rsidRPr="00551F33">
        <w:rPr>
          <w:i/>
          <w:sz w:val="23"/>
          <w:szCs w:val="23"/>
          <w:lang w:eastAsia="en-GB"/>
        </w:rPr>
        <w:t>‌</w:t>
      </w:r>
      <w:r w:rsidRPr="00551F33">
        <w:rPr>
          <w:rFonts w:hint="cs"/>
          <w:i/>
          <w:sz w:val="23"/>
          <w:szCs w:val="23"/>
          <w:rtl/>
          <w:lang w:eastAsia="en-GB"/>
        </w:rPr>
        <w:t>ها اخذ نمی</w:t>
      </w:r>
      <w:r w:rsidRPr="00551F33">
        <w:rPr>
          <w:i/>
          <w:sz w:val="23"/>
          <w:szCs w:val="23"/>
          <w:lang w:eastAsia="en-GB"/>
        </w:rPr>
        <w:t>‌</w:t>
      </w:r>
      <w:r w:rsidRPr="00551F33">
        <w:rPr>
          <w:rFonts w:hint="cs"/>
          <w:i/>
          <w:sz w:val="23"/>
          <w:szCs w:val="23"/>
          <w:rtl/>
          <w:lang w:eastAsia="en-GB"/>
        </w:rPr>
        <w:t>کند، هر چند ریسک‌هایی ناشی از نوسان ارزش سهام سرمایه</w:t>
      </w:r>
      <w:r w:rsidRPr="00551F33">
        <w:rPr>
          <w:rFonts w:hint="cs"/>
          <w:i/>
          <w:sz w:val="23"/>
          <w:szCs w:val="23"/>
          <w:rtl/>
          <w:lang w:eastAsia="en-GB"/>
        </w:rPr>
        <w:softHyphen/>
        <w:t>ای بنگاه وجود دارد.</w:t>
      </w:r>
    </w:p>
    <w:p w14:paraId="5BE6A67C"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 xml:space="preserve"> گرتلر و کیوتاکی</w:t>
      </w:r>
      <w:r w:rsidRPr="00551F33">
        <w:rPr>
          <w:rStyle w:val="FootnoteReference"/>
          <w:i/>
          <w:sz w:val="23"/>
          <w:szCs w:val="23"/>
          <w:rtl/>
          <w:lang w:eastAsia="en-GB"/>
        </w:rPr>
        <w:footnoteReference w:id="371"/>
      </w:r>
      <w:r w:rsidRPr="00551F33">
        <w:rPr>
          <w:rFonts w:hint="cs"/>
          <w:i/>
          <w:sz w:val="23"/>
          <w:szCs w:val="23"/>
          <w:rtl/>
          <w:lang w:eastAsia="en-GB"/>
        </w:rPr>
        <w:t xml:space="preserve"> یک مدل مرتبط با آن ساخته تا نشان دهند چگونه اخلال در واسطه</w:t>
      </w:r>
      <w:r w:rsidRPr="00551F33">
        <w:rPr>
          <w:rFonts w:hint="cs"/>
          <w:i/>
          <w:sz w:val="23"/>
          <w:szCs w:val="23"/>
          <w:rtl/>
          <w:lang w:eastAsia="en-GB"/>
        </w:rPr>
        <w:softHyphen/>
        <w:t>گری مالی می</w:t>
      </w:r>
      <w:r w:rsidRPr="00551F33">
        <w:rPr>
          <w:i/>
          <w:sz w:val="23"/>
          <w:szCs w:val="23"/>
          <w:lang w:eastAsia="en-GB"/>
        </w:rPr>
        <w:t>‌</w:t>
      </w:r>
      <w:r w:rsidRPr="00551F33">
        <w:rPr>
          <w:rFonts w:hint="cs"/>
          <w:i/>
          <w:sz w:val="23"/>
          <w:szCs w:val="23"/>
          <w:rtl/>
          <w:lang w:eastAsia="en-GB"/>
        </w:rPr>
        <w:t>تواند بحرانی بوجود آورد که بر فعالیت</w:t>
      </w:r>
      <w:r w:rsidRPr="00551F33">
        <w:rPr>
          <w:i/>
          <w:sz w:val="23"/>
          <w:szCs w:val="23"/>
          <w:lang w:eastAsia="en-GB"/>
        </w:rPr>
        <w:t>‌</w:t>
      </w:r>
      <w:r w:rsidRPr="00551F33">
        <w:rPr>
          <w:rFonts w:hint="cs"/>
          <w:i/>
          <w:sz w:val="23"/>
          <w:szCs w:val="23"/>
          <w:rtl/>
          <w:lang w:eastAsia="en-GB"/>
        </w:rPr>
        <w:t>های واقعی تاثیر بگذارد. در این مدل اصطکاک مالی منبع اخلال این است که بانک</w:t>
      </w:r>
      <w:r w:rsidRPr="00551F33">
        <w:rPr>
          <w:i/>
          <w:sz w:val="23"/>
          <w:szCs w:val="23"/>
          <w:lang w:eastAsia="en-GB"/>
        </w:rPr>
        <w:t>‌</w:t>
      </w:r>
      <w:r w:rsidRPr="00551F33">
        <w:rPr>
          <w:rFonts w:hint="cs"/>
          <w:i/>
          <w:sz w:val="23"/>
          <w:szCs w:val="23"/>
          <w:rtl/>
          <w:lang w:eastAsia="en-GB"/>
        </w:rPr>
        <w:t>ها می</w:t>
      </w:r>
      <w:r w:rsidRPr="00551F33">
        <w:rPr>
          <w:i/>
          <w:sz w:val="23"/>
          <w:szCs w:val="23"/>
          <w:lang w:eastAsia="en-GB"/>
        </w:rPr>
        <w:t>‌</w:t>
      </w:r>
      <w:r w:rsidRPr="00551F33">
        <w:rPr>
          <w:rFonts w:hint="cs"/>
          <w:i/>
          <w:sz w:val="23"/>
          <w:szCs w:val="23"/>
          <w:rtl/>
          <w:lang w:eastAsia="en-GB"/>
        </w:rPr>
        <w:t>توانند وجوهی را که از بازار بین</w:t>
      </w:r>
      <w:r w:rsidRPr="00551F33">
        <w:rPr>
          <w:rFonts w:hint="cs"/>
          <w:i/>
          <w:sz w:val="23"/>
          <w:szCs w:val="23"/>
          <w:rtl/>
          <w:lang w:eastAsia="en-GB"/>
        </w:rPr>
        <w:softHyphen/>
        <w:t>بانکی به دست می</w:t>
      </w:r>
      <w:r w:rsidRPr="00551F33">
        <w:rPr>
          <w:i/>
          <w:sz w:val="23"/>
          <w:szCs w:val="23"/>
          <w:lang w:eastAsia="en-GB"/>
        </w:rPr>
        <w:t>‌</w:t>
      </w:r>
      <w:r w:rsidRPr="00551F33">
        <w:rPr>
          <w:rFonts w:hint="cs"/>
          <w:i/>
          <w:sz w:val="23"/>
          <w:szCs w:val="23"/>
          <w:rtl/>
          <w:lang w:eastAsia="en-GB"/>
        </w:rPr>
        <w:t>آورند به استفاده‌های خصوصی و غیر مولد منحرف کنند. این موضوع بر ترازنامه‌های بانک‌ها و بر تأمین اعتبار قید گذاشته، مخارج سرمایه</w:t>
      </w:r>
      <w:r w:rsidRPr="00551F33">
        <w:rPr>
          <w:i/>
          <w:sz w:val="23"/>
          <w:szCs w:val="23"/>
          <w:lang w:eastAsia="en-GB"/>
        </w:rPr>
        <w:t>‌</w:t>
      </w:r>
      <w:r w:rsidRPr="00551F33">
        <w:rPr>
          <w:rFonts w:hint="cs"/>
          <w:i/>
          <w:sz w:val="23"/>
          <w:szCs w:val="23"/>
          <w:rtl/>
          <w:lang w:eastAsia="en-GB"/>
        </w:rPr>
        <w:t>گذاری را محدود می</w:t>
      </w:r>
      <w:r w:rsidRPr="00551F33">
        <w:rPr>
          <w:i/>
          <w:sz w:val="23"/>
          <w:szCs w:val="23"/>
          <w:lang w:eastAsia="en-GB"/>
        </w:rPr>
        <w:t>‌</w:t>
      </w:r>
      <w:r w:rsidRPr="00551F33">
        <w:rPr>
          <w:rFonts w:hint="cs"/>
          <w:i/>
          <w:sz w:val="23"/>
          <w:szCs w:val="23"/>
          <w:rtl/>
          <w:lang w:eastAsia="en-GB"/>
        </w:rPr>
        <w:t>کند و به این ترتیب فعالیت‌های واقعی را تحت تاثیر قرار می‌دهد. نقش بانک مرکزی برطرف کردن این قیود مالی است و این کار را با تزریق نقدینگی به بانک‌ها و با ارائه وجوه مستقیم به بخش خصوصی انجام می‌دهد. یک نارسایی این مدل برای توضیح بحران مالی این است که اگرچه برخی مشکلات در واسطه</w:t>
      </w:r>
      <w:r w:rsidRPr="00551F33">
        <w:rPr>
          <w:rFonts w:hint="cs"/>
          <w:i/>
          <w:sz w:val="23"/>
          <w:szCs w:val="23"/>
          <w:rtl/>
          <w:lang w:eastAsia="en-GB"/>
        </w:rPr>
        <w:softHyphen/>
        <w:t>گری مالی را مورد توجه قرار می</w:t>
      </w:r>
      <w:r w:rsidRPr="00551F33">
        <w:rPr>
          <w:i/>
          <w:sz w:val="23"/>
          <w:szCs w:val="23"/>
          <w:lang w:eastAsia="en-GB"/>
        </w:rPr>
        <w:t>‌</w:t>
      </w:r>
      <w:r w:rsidRPr="00551F33">
        <w:rPr>
          <w:rFonts w:hint="cs"/>
          <w:i/>
          <w:sz w:val="23"/>
          <w:szCs w:val="23"/>
          <w:rtl/>
          <w:lang w:eastAsia="en-GB"/>
        </w:rPr>
        <w:t>دهد، موضوع مهم قصور را در نظر نمی</w:t>
      </w:r>
      <w:r w:rsidRPr="00551F33">
        <w:rPr>
          <w:i/>
          <w:sz w:val="23"/>
          <w:szCs w:val="23"/>
          <w:lang w:eastAsia="en-GB"/>
        </w:rPr>
        <w:t>‌</w:t>
      </w:r>
      <w:r w:rsidRPr="00551F33">
        <w:rPr>
          <w:rFonts w:hint="cs"/>
          <w:i/>
          <w:sz w:val="23"/>
          <w:szCs w:val="23"/>
          <w:rtl/>
          <w:lang w:eastAsia="en-GB"/>
        </w:rPr>
        <w:t>گیرد.</w:t>
      </w:r>
    </w:p>
    <w:p w14:paraId="3A8DC5E1" w14:textId="77777777" w:rsidR="00556C10" w:rsidRPr="00551F33" w:rsidRDefault="00556C10" w:rsidP="00556C10">
      <w:pPr>
        <w:spacing w:line="216" w:lineRule="auto"/>
        <w:rPr>
          <w:i/>
          <w:sz w:val="23"/>
          <w:szCs w:val="23"/>
          <w:lang w:eastAsia="en-GB"/>
        </w:rPr>
      </w:pPr>
    </w:p>
    <w:p w14:paraId="6BED129D" w14:textId="77777777" w:rsidR="00556C10" w:rsidRPr="00551F33" w:rsidRDefault="00556C10" w:rsidP="00556C10">
      <w:pPr>
        <w:pStyle w:val="Heading1"/>
        <w:spacing w:before="0" w:line="216" w:lineRule="auto"/>
        <w:rPr>
          <w:rFonts w:ascii="Times New Roman" w:hAnsi="Times New Roman" w:cs="B Nazanin"/>
          <w:b w:val="0"/>
          <w:i/>
          <w:sz w:val="23"/>
          <w:szCs w:val="23"/>
          <w:rtl/>
          <w:lang w:eastAsia="en-GB"/>
        </w:rPr>
      </w:pPr>
      <w:r w:rsidRPr="00551F33">
        <w:rPr>
          <w:rFonts w:ascii="Times New Roman" w:hAnsi="Times New Roman" w:cs="B Nazanin" w:hint="cs"/>
          <w:b w:val="0"/>
          <w:i/>
          <w:sz w:val="23"/>
          <w:szCs w:val="23"/>
          <w:rtl/>
          <w:lang w:eastAsia="en-GB"/>
        </w:rPr>
        <w:t>۱۵. ۷ یک نظریه</w:t>
      </w:r>
      <w:r w:rsidRPr="00551F33">
        <w:rPr>
          <w:rFonts w:ascii="Times New Roman" w:hAnsi="Times New Roman" w:cs="B Nazanin" w:hint="cs"/>
          <w:b w:val="0"/>
          <w:i/>
          <w:sz w:val="23"/>
          <w:szCs w:val="23"/>
          <w:rtl/>
          <w:lang w:eastAsia="en-GB"/>
        </w:rPr>
        <w:softHyphen/>
        <w:t>ی سیاست پولی غیرسنتی</w:t>
      </w:r>
    </w:p>
    <w:p w14:paraId="00F014FD" w14:textId="77777777" w:rsidR="00556C10" w:rsidRPr="00551F33" w:rsidRDefault="00556C10" w:rsidP="00556C10">
      <w:pPr>
        <w:spacing w:line="216" w:lineRule="auto"/>
        <w:rPr>
          <w:i/>
          <w:sz w:val="23"/>
          <w:szCs w:val="23"/>
          <w:rtl/>
        </w:rPr>
      </w:pPr>
      <w:r w:rsidRPr="00551F33">
        <w:rPr>
          <w:rFonts w:hint="cs"/>
          <w:i/>
          <w:sz w:val="23"/>
          <w:szCs w:val="23"/>
          <w:rtl/>
          <w:lang w:eastAsia="en-GB"/>
        </w:rPr>
        <w:t>قبلاً ملاحظه شد که سیاست پولی سنتیِ مبتنی بر تعیین نرخ بهره</w:t>
      </w:r>
      <w:r w:rsidRPr="00551F33">
        <w:rPr>
          <w:i/>
          <w:sz w:val="23"/>
          <w:szCs w:val="23"/>
          <w:rtl/>
          <w:lang w:eastAsia="en-GB"/>
        </w:rPr>
        <w:softHyphen/>
      </w:r>
      <w:r w:rsidRPr="00551F33">
        <w:rPr>
          <w:rFonts w:hint="cs"/>
          <w:i/>
          <w:sz w:val="23"/>
          <w:szCs w:val="23"/>
          <w:rtl/>
          <w:lang w:eastAsia="en-GB"/>
        </w:rPr>
        <w:t>ی رسمی، هنگامی که با حدّ پایینی نرخ</w:t>
      </w:r>
      <w:r w:rsidRPr="00551F33">
        <w:rPr>
          <w:i/>
          <w:sz w:val="23"/>
          <w:szCs w:val="23"/>
          <w:lang w:eastAsia="en-GB"/>
        </w:rPr>
        <w:t>‌</w:t>
      </w:r>
      <w:r w:rsidRPr="00551F33">
        <w:rPr>
          <w:rFonts w:hint="cs"/>
          <w:i/>
          <w:sz w:val="23"/>
          <w:szCs w:val="23"/>
          <w:rtl/>
          <w:lang w:eastAsia="en-GB"/>
        </w:rPr>
        <w:t xml:space="preserve"> بهره</w:t>
      </w:r>
      <w:r w:rsidRPr="00551F33">
        <w:rPr>
          <w:i/>
          <w:sz w:val="23"/>
          <w:szCs w:val="23"/>
          <w:rtl/>
          <w:lang w:eastAsia="en-GB"/>
        </w:rPr>
        <w:softHyphen/>
      </w:r>
      <w:r w:rsidRPr="00551F33">
        <w:rPr>
          <w:rFonts w:hint="cs"/>
          <w:i/>
          <w:sz w:val="23"/>
          <w:szCs w:val="23"/>
          <w:rtl/>
          <w:lang w:eastAsia="en-GB"/>
        </w:rPr>
        <w:t>ی صفر مقید می</w:t>
      </w:r>
      <w:r w:rsidRPr="00551F33">
        <w:rPr>
          <w:i/>
          <w:sz w:val="23"/>
          <w:szCs w:val="23"/>
          <w:lang w:eastAsia="en-GB"/>
        </w:rPr>
        <w:t>‌</w:t>
      </w:r>
      <w:r w:rsidRPr="00551F33">
        <w:rPr>
          <w:rFonts w:hint="cs"/>
          <w:i/>
          <w:sz w:val="23"/>
          <w:szCs w:val="23"/>
          <w:rtl/>
          <w:lang w:eastAsia="en-GB"/>
        </w:rPr>
        <w:t>شود، ناکافی است. همچنین سیاست پولی غیرسنتی که گاهی اوقات تسهیل کمّی نیز نامیده می</w:t>
      </w:r>
      <w:r w:rsidRPr="00551F33">
        <w:rPr>
          <w:i/>
          <w:sz w:val="23"/>
          <w:szCs w:val="23"/>
          <w:lang w:eastAsia="en-GB"/>
        </w:rPr>
        <w:t>‌</w:t>
      </w:r>
      <w:r w:rsidRPr="00551F33">
        <w:rPr>
          <w:rFonts w:hint="cs"/>
          <w:i/>
          <w:sz w:val="23"/>
          <w:szCs w:val="23"/>
          <w:rtl/>
          <w:lang w:eastAsia="en-GB"/>
        </w:rPr>
        <w:t xml:space="preserve">شود ممکن است برای حفظ نقدینگی سیستم بانکی لازم باشد. کوردیا و </w:t>
      </w:r>
      <w:r w:rsidRPr="00551F33">
        <w:rPr>
          <w:rFonts w:hint="cs"/>
          <w:i/>
          <w:sz w:val="23"/>
          <w:szCs w:val="23"/>
          <w:rtl/>
          <w:lang w:eastAsia="en-GB"/>
        </w:rPr>
        <w:lastRenderedPageBreak/>
        <w:t>وودفورد</w:t>
      </w:r>
      <w:r w:rsidRPr="00551F33">
        <w:rPr>
          <w:rStyle w:val="FootnoteReference"/>
          <w:i/>
          <w:sz w:val="23"/>
          <w:szCs w:val="23"/>
          <w:rtl/>
          <w:lang w:eastAsia="en-GB"/>
        </w:rPr>
        <w:footnoteReference w:id="372"/>
      </w:r>
      <w:r w:rsidRPr="00551F33">
        <w:rPr>
          <w:rFonts w:hint="cs"/>
          <w:i/>
          <w:sz w:val="23"/>
          <w:szCs w:val="23"/>
          <w:rtl/>
          <w:lang w:eastAsia="en-GB"/>
        </w:rPr>
        <w:t xml:space="preserve"> به این موضوعات و با استفاده از یک مدل </w:t>
      </w:r>
      <w:r w:rsidRPr="00551F33">
        <w:rPr>
          <w:i/>
          <w:sz w:val="23"/>
          <w:szCs w:val="23"/>
          <w:lang w:eastAsia="en-GB"/>
        </w:rPr>
        <w:t>DSGE</w:t>
      </w:r>
      <w:r w:rsidRPr="00551F33">
        <w:rPr>
          <w:rFonts w:hint="cs"/>
          <w:i/>
          <w:sz w:val="23"/>
          <w:szCs w:val="23"/>
          <w:rtl/>
          <w:lang w:eastAsia="en-GB"/>
        </w:rPr>
        <w:t xml:space="preserve"> که بر ترازنامه</w:t>
      </w:r>
      <w:r w:rsidRPr="00551F33">
        <w:rPr>
          <w:i/>
          <w:sz w:val="23"/>
          <w:szCs w:val="23"/>
          <w:rtl/>
          <w:lang w:eastAsia="en-GB"/>
        </w:rPr>
        <w:softHyphen/>
      </w:r>
      <w:r w:rsidRPr="00551F33">
        <w:rPr>
          <w:rFonts w:hint="cs"/>
          <w:i/>
          <w:sz w:val="23"/>
          <w:szCs w:val="23"/>
          <w:rtl/>
          <w:lang w:eastAsia="en-GB"/>
        </w:rPr>
        <w:t>ی بانک مرکزی تمرکز دارد پرداخته‌اند. مدل آن‌ها یک مدل استاندارد کینزین جدید است، و اجازه می</w:t>
      </w:r>
      <w:r w:rsidRPr="00551F33">
        <w:rPr>
          <w:i/>
          <w:sz w:val="23"/>
          <w:szCs w:val="23"/>
          <w:lang w:eastAsia="en-GB"/>
        </w:rPr>
        <w:t>‌</w:t>
      </w:r>
      <w:r w:rsidRPr="00551F33">
        <w:rPr>
          <w:rFonts w:hint="cs"/>
          <w:i/>
          <w:sz w:val="23"/>
          <w:szCs w:val="23"/>
          <w:rtl/>
          <w:lang w:eastAsia="en-GB"/>
        </w:rPr>
        <w:t>دهد خانوارها ناهمگن باشند و به</w:t>
      </w:r>
      <w:r w:rsidRPr="00551F33">
        <w:rPr>
          <w:rFonts w:hint="cs"/>
          <w:i/>
          <w:sz w:val="23"/>
          <w:szCs w:val="23"/>
          <w:rtl/>
          <w:lang w:eastAsia="en-GB"/>
        </w:rPr>
        <w:softHyphen/>
        <w:t>طور تصادفی به قرض</w:t>
      </w:r>
      <w:r w:rsidRPr="00551F33">
        <w:rPr>
          <w:rFonts w:hint="cs"/>
          <w:i/>
          <w:sz w:val="23"/>
          <w:szCs w:val="23"/>
          <w:rtl/>
          <w:lang w:eastAsia="en-GB"/>
        </w:rPr>
        <w:softHyphen/>
        <w:t>گیرنده و قرض</w:t>
      </w:r>
      <w:r w:rsidRPr="00551F33">
        <w:rPr>
          <w:rFonts w:hint="cs"/>
          <w:i/>
          <w:sz w:val="23"/>
          <w:szCs w:val="23"/>
          <w:rtl/>
          <w:lang w:eastAsia="en-GB"/>
        </w:rPr>
        <w:softHyphen/>
        <w:t>دهنده تبدیل شوند. به علت اصطکاک مالی، وام</w:t>
      </w:r>
      <w:r w:rsidRPr="00551F33">
        <w:rPr>
          <w:rFonts w:hint="cs"/>
          <w:i/>
          <w:sz w:val="23"/>
          <w:szCs w:val="23"/>
          <w:rtl/>
          <w:lang w:eastAsia="en-GB"/>
        </w:rPr>
        <w:softHyphen/>
        <w:t>گیری و وام</w:t>
      </w:r>
      <w:r w:rsidRPr="00551F33">
        <w:rPr>
          <w:rFonts w:hint="cs"/>
          <w:i/>
          <w:sz w:val="23"/>
          <w:szCs w:val="23"/>
          <w:rtl/>
          <w:lang w:eastAsia="en-GB"/>
        </w:rPr>
        <w:softHyphen/>
        <w:t>دهی فقط از طریق واسطه</w:t>
      </w:r>
      <w:r w:rsidRPr="00551F33">
        <w:rPr>
          <w:rFonts w:hint="cs"/>
          <w:i/>
          <w:sz w:val="23"/>
          <w:szCs w:val="23"/>
          <w:rtl/>
          <w:lang w:eastAsia="en-GB"/>
        </w:rPr>
        <w:softHyphen/>
        <w:t>گری‌های مالی نظیر بانک‌ها میسر است، و این وام</w:t>
      </w:r>
      <w:r w:rsidRPr="00551F33">
        <w:rPr>
          <w:rFonts w:hint="cs"/>
          <w:i/>
          <w:sz w:val="23"/>
          <w:szCs w:val="23"/>
          <w:rtl/>
          <w:lang w:eastAsia="en-GB"/>
        </w:rPr>
        <w:softHyphen/>
        <w:t>ها ممکن است به</w:t>
      </w:r>
      <w:r w:rsidRPr="00551F33">
        <w:rPr>
          <w:rFonts w:hint="cs"/>
          <w:i/>
          <w:sz w:val="23"/>
          <w:szCs w:val="23"/>
          <w:rtl/>
          <w:lang w:eastAsia="en-GB"/>
        </w:rPr>
        <w:softHyphen/>
        <w:t>طور کامل به آن‌ها برگردانده نشده و با هزینه‌ی منبع واقعی برای عرضه‌ی وام‌ها روبرو باشند. این هزینه</w:t>
      </w:r>
      <w:r w:rsidRPr="00551F33">
        <w:rPr>
          <w:i/>
          <w:sz w:val="23"/>
          <w:szCs w:val="23"/>
          <w:lang w:eastAsia="en-GB"/>
        </w:rPr>
        <w:t>‌</w:t>
      </w:r>
      <w:r w:rsidRPr="00551F33">
        <w:rPr>
          <w:rFonts w:hint="cs"/>
          <w:i/>
          <w:sz w:val="23"/>
          <w:szCs w:val="23"/>
          <w:rtl/>
          <w:lang w:eastAsia="en-GB"/>
        </w:rPr>
        <w:t>های اضافی اصطکاک مالی سبب می‌شود نرخ استقراض و وام</w:t>
      </w:r>
      <w:r w:rsidRPr="00551F33">
        <w:rPr>
          <w:rFonts w:hint="cs"/>
          <w:i/>
          <w:sz w:val="23"/>
          <w:szCs w:val="23"/>
          <w:rtl/>
          <w:lang w:eastAsia="en-GB"/>
        </w:rPr>
        <w:softHyphen/>
        <w:t>دهی متفاوت باشد و مابه</w:t>
      </w:r>
      <w:r w:rsidRPr="00551F33">
        <w:rPr>
          <w:rFonts w:hint="cs"/>
          <w:i/>
          <w:sz w:val="23"/>
          <w:szCs w:val="23"/>
          <w:rtl/>
          <w:lang w:eastAsia="en-GB"/>
        </w:rPr>
        <w:softHyphen/>
        <w:t>التفاوت اعتبار ایجاد شود. واسطه</w:t>
      </w:r>
      <w:r w:rsidRPr="00551F33">
        <w:rPr>
          <w:i/>
          <w:sz w:val="23"/>
          <w:szCs w:val="23"/>
          <w:lang w:eastAsia="en-GB"/>
        </w:rPr>
        <w:t>‌</w:t>
      </w:r>
      <w:r w:rsidRPr="00551F33">
        <w:rPr>
          <w:rFonts w:hint="cs"/>
          <w:i/>
          <w:sz w:val="23"/>
          <w:szCs w:val="23"/>
          <w:rtl/>
          <w:lang w:eastAsia="en-GB"/>
        </w:rPr>
        <w:t>گران مالی با انتشار بدهی خود را تأمین مالی می‌کنند. ن</w:t>
      </w:r>
      <w:r w:rsidRPr="00551F33">
        <w:rPr>
          <w:rFonts w:hint="cs"/>
          <w:i/>
          <w:sz w:val="23"/>
          <w:szCs w:val="23"/>
          <w:rtl/>
        </w:rPr>
        <w:t>قش بانک مرکزی این است که ذخائر بانکی را عرضه کرده و اعتبارات را از طریق خرید اوراق قرضه‌ی دولتی در عملیات بازار آزاد افزایش دهد، که هزینه منبع واقعی تحمیل کرده، و نرخ بهره پرداختی به ذخایر (نرخ رسمی) را تعیین کند. به این ترتیب ترازنامه بانک مرکزی شامل تعهداتی (در این مدل پایه‌ی پولی) است که دو استفاده دارد: خرید اوراق قرضه‌ی دولتی، و تأمین مالی مستقیم خانوارها بدون مراجعه به واسطه</w:t>
      </w:r>
      <w:r w:rsidRPr="00551F33">
        <w:rPr>
          <w:rFonts w:hint="cs"/>
          <w:i/>
          <w:sz w:val="23"/>
          <w:szCs w:val="23"/>
          <w:rtl/>
        </w:rPr>
        <w:softHyphen/>
        <w:t xml:space="preserve">گران مالی (یک فرض قوی). </w:t>
      </w:r>
    </w:p>
    <w:p w14:paraId="1561DC72" w14:textId="77777777" w:rsidR="00556C10" w:rsidRPr="00551F33" w:rsidRDefault="00556C10" w:rsidP="00556C10">
      <w:pPr>
        <w:spacing w:line="216" w:lineRule="auto"/>
        <w:rPr>
          <w:i/>
          <w:sz w:val="23"/>
          <w:szCs w:val="23"/>
          <w:lang w:eastAsia="en-GB"/>
        </w:rPr>
      </w:pPr>
      <w:r w:rsidRPr="00551F33">
        <w:rPr>
          <w:rFonts w:hint="cs"/>
          <w:i/>
          <w:sz w:val="23"/>
          <w:szCs w:val="23"/>
          <w:rtl/>
        </w:rPr>
        <w:t>سیاست پولی در مدل سه جنبه دارد.: گزینه مقدار پولی که بانک مرکزی خلق می</w:t>
      </w:r>
      <w:r w:rsidRPr="00551F33">
        <w:rPr>
          <w:i/>
          <w:sz w:val="23"/>
          <w:szCs w:val="23"/>
        </w:rPr>
        <w:t>‌</w:t>
      </w:r>
      <w:r w:rsidRPr="00551F33">
        <w:rPr>
          <w:rFonts w:hint="cs"/>
          <w:i/>
          <w:sz w:val="23"/>
          <w:szCs w:val="23"/>
          <w:rtl/>
        </w:rPr>
        <w:t>کند (اندازه ترازنامه بانک مرکزی)، تخصیص آن بین اوراق قرضه‌ی دولتی و وام‌ها (تصمیم پرتفو)، و نرخ بهره پرداختی به ذخائر (سیاست نرخ بهره‌ی سنتی)، که به منظور کاهش هزینه‌ی منبع بانکداری خصوصی نگهداری می</w:t>
      </w:r>
      <w:r w:rsidRPr="00551F33">
        <w:rPr>
          <w:i/>
          <w:sz w:val="23"/>
          <w:szCs w:val="23"/>
        </w:rPr>
        <w:t>‌</w:t>
      </w:r>
      <w:r w:rsidRPr="00551F33">
        <w:rPr>
          <w:rFonts w:hint="cs"/>
          <w:i/>
          <w:sz w:val="23"/>
          <w:szCs w:val="23"/>
          <w:rtl/>
        </w:rPr>
        <w:t>شود. ما در اینجا نوع ساده شده</w:t>
      </w:r>
      <w:r w:rsidRPr="00551F33">
        <w:rPr>
          <w:rFonts w:hint="cs"/>
          <w:i/>
          <w:sz w:val="23"/>
          <w:szCs w:val="23"/>
          <w:rtl/>
        </w:rPr>
        <w:softHyphen/>
        <w:t>ای از مدل کوردیا و وودفورد را که درآن خواص معینی همانند جنبه</w:t>
      </w:r>
      <w:r w:rsidRPr="00551F33">
        <w:rPr>
          <w:i/>
          <w:sz w:val="23"/>
          <w:szCs w:val="23"/>
        </w:rPr>
        <w:t>‌</w:t>
      </w:r>
      <w:r w:rsidRPr="00551F33">
        <w:rPr>
          <w:rFonts w:hint="cs"/>
          <w:i/>
          <w:sz w:val="23"/>
          <w:szCs w:val="23"/>
          <w:rtl/>
        </w:rPr>
        <w:t>های نئوکینزی تعیین قیمت و بازار کار را حذف کرده بررسی می</w:t>
      </w:r>
      <w:r w:rsidRPr="00551F33">
        <w:rPr>
          <w:i/>
          <w:sz w:val="23"/>
          <w:szCs w:val="23"/>
        </w:rPr>
        <w:t>‌</w:t>
      </w:r>
      <w:r w:rsidRPr="00551F33">
        <w:rPr>
          <w:rFonts w:hint="cs"/>
          <w:i/>
          <w:sz w:val="23"/>
          <w:szCs w:val="23"/>
          <w:rtl/>
        </w:rPr>
        <w:t>کنیم. اظهارنظرهایی سودمند در مورد این مدل در دلاس</w:t>
      </w:r>
      <w:r w:rsidRPr="00551F33">
        <w:rPr>
          <w:rStyle w:val="FootnoteReference"/>
          <w:i/>
          <w:sz w:val="23"/>
          <w:szCs w:val="23"/>
          <w:rtl/>
        </w:rPr>
        <w:footnoteReference w:id="373"/>
      </w:r>
      <w:r w:rsidRPr="00551F33">
        <w:rPr>
          <w:rFonts w:hint="cs"/>
          <w:i/>
          <w:sz w:val="23"/>
          <w:szCs w:val="23"/>
          <w:rtl/>
        </w:rPr>
        <w:t xml:space="preserve"> آمده است.</w:t>
      </w:r>
    </w:p>
    <w:p w14:paraId="6652AD2C" w14:textId="77777777" w:rsidR="00556C10" w:rsidRPr="00551F33" w:rsidRDefault="00556C10" w:rsidP="00556C10">
      <w:pPr>
        <w:spacing w:line="216" w:lineRule="auto"/>
        <w:rPr>
          <w:i/>
          <w:sz w:val="23"/>
          <w:szCs w:val="23"/>
          <w:lang w:eastAsia="en-GB"/>
        </w:rPr>
      </w:pPr>
    </w:p>
    <w:p w14:paraId="0CCA5953" w14:textId="77777777" w:rsidR="00556C10" w:rsidRPr="00551F33" w:rsidRDefault="00556C10" w:rsidP="00556C10">
      <w:pPr>
        <w:pStyle w:val="Heading1"/>
        <w:spacing w:before="0" w:line="216" w:lineRule="auto"/>
        <w:rPr>
          <w:rFonts w:ascii="Times New Roman" w:hAnsi="Times New Roman" w:cs="B Nazanin"/>
          <w:b w:val="0"/>
          <w:i/>
          <w:sz w:val="23"/>
          <w:szCs w:val="23"/>
          <w:lang w:eastAsia="en-GB"/>
        </w:rPr>
      </w:pPr>
      <w:r w:rsidRPr="00551F33">
        <w:rPr>
          <w:rFonts w:ascii="Times New Roman" w:hAnsi="Times New Roman" w:cs="B Nazanin" w:hint="cs"/>
          <w:b w:val="0"/>
          <w:i/>
          <w:sz w:val="23"/>
          <w:szCs w:val="23"/>
          <w:rtl/>
          <w:lang w:eastAsia="en-GB"/>
        </w:rPr>
        <w:t xml:space="preserve">۱۵. ۷. ۱ خانوارها </w:t>
      </w:r>
    </w:p>
    <w:p w14:paraId="49D18956"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این مدل از صورت</w:t>
      </w:r>
      <w:r w:rsidRPr="00551F33">
        <w:rPr>
          <w:rFonts w:hint="cs"/>
          <w:i/>
          <w:sz w:val="23"/>
          <w:szCs w:val="23"/>
          <w:rtl/>
          <w:lang w:eastAsia="en-GB"/>
        </w:rPr>
        <w:softHyphen/>
        <w:t xml:space="preserve">بندی معمول کارگزار نمونه، با فرض این که دو نوع خانوار </w:t>
      </w:r>
      <w:r w:rsidRPr="00551F33">
        <w:rPr>
          <w:position w:val="-8"/>
        </w:rPr>
        <w:object w:dxaOrig="820" w:dyaOrig="279" w14:anchorId="0EA646D8">
          <v:shape id="_x0000_i7832" type="#_x0000_t75" style="width:40.55pt;height:13.9pt" o:ole="">
            <v:imagedata r:id="rId13739" o:title=""/>
          </v:shape>
          <o:OLEObject Type="Embed" ProgID="Equation.DSMT4" ShapeID="_x0000_i7832" DrawAspect="Content" ObjectID="_1791381775" r:id="rId13740"/>
        </w:object>
      </w:r>
      <w:r w:rsidRPr="00551F33">
        <w:rPr>
          <w:rFonts w:hint="cs"/>
          <w:i/>
          <w:sz w:val="23"/>
          <w:szCs w:val="23"/>
          <w:rtl/>
          <w:lang w:eastAsia="en-GB"/>
        </w:rPr>
        <w:t xml:space="preserve"> که از لحاظ بی</w:t>
      </w:r>
      <w:r w:rsidRPr="00551F33">
        <w:rPr>
          <w:rFonts w:hint="cs"/>
          <w:i/>
          <w:sz w:val="23"/>
          <w:szCs w:val="23"/>
          <w:rtl/>
          <w:lang w:eastAsia="en-GB"/>
        </w:rPr>
        <w:softHyphen/>
        <w:t>صبریشان برای مصرف از یکدیگر متفاوتند فاصله می</w:t>
      </w:r>
      <w:r w:rsidRPr="00551F33">
        <w:rPr>
          <w:i/>
          <w:sz w:val="23"/>
          <w:szCs w:val="23"/>
          <w:lang w:eastAsia="en-GB"/>
        </w:rPr>
        <w:t>‌</w:t>
      </w:r>
      <w:r w:rsidRPr="00551F33">
        <w:rPr>
          <w:rFonts w:hint="cs"/>
          <w:i/>
          <w:sz w:val="23"/>
          <w:szCs w:val="23"/>
          <w:rtl/>
          <w:lang w:eastAsia="en-GB"/>
        </w:rPr>
        <w:t>گیرد. یک خانوار به طور تصادفی استقراض کننده یا پس</w:t>
      </w:r>
      <w:r w:rsidRPr="00551F33">
        <w:rPr>
          <w:rFonts w:hint="cs"/>
          <w:i/>
          <w:sz w:val="23"/>
          <w:szCs w:val="23"/>
          <w:rtl/>
          <w:lang w:eastAsia="en-GB"/>
        </w:rPr>
        <w:softHyphen/>
        <w:t>انداز کننده (سپرده</w:t>
      </w:r>
      <w:r w:rsidRPr="00551F33">
        <w:rPr>
          <w:rFonts w:hint="cs"/>
          <w:i/>
          <w:sz w:val="23"/>
          <w:szCs w:val="23"/>
          <w:rtl/>
          <w:lang w:eastAsia="en-GB"/>
        </w:rPr>
        <w:softHyphen/>
        <w:t>گذار) است. توابع مطلوبیت بین</w:t>
      </w:r>
      <w:r w:rsidRPr="00551F33">
        <w:rPr>
          <w:rFonts w:hint="cs"/>
          <w:i/>
          <w:sz w:val="23"/>
          <w:szCs w:val="23"/>
          <w:rtl/>
          <w:lang w:eastAsia="en-GB"/>
        </w:rPr>
        <w:softHyphen/>
        <w:t>دوره</w:t>
      </w:r>
      <w:r w:rsidRPr="00551F33">
        <w:rPr>
          <w:rFonts w:hint="cs"/>
          <w:i/>
          <w:sz w:val="23"/>
          <w:szCs w:val="23"/>
          <w:rtl/>
          <w:lang w:eastAsia="en-GB"/>
        </w:rPr>
        <w:softHyphen/>
        <w:t xml:space="preserve">ای هر خانوار عبارت است از </w:t>
      </w:r>
    </w:p>
    <w:p w14:paraId="068E8D53" w14:textId="77777777" w:rsidR="00556C10" w:rsidRPr="00551F33" w:rsidRDefault="00556C10" w:rsidP="00556C10">
      <w:pPr>
        <w:bidi w:val="0"/>
        <w:spacing w:line="216" w:lineRule="auto"/>
        <w:rPr>
          <w:i/>
          <w:sz w:val="23"/>
          <w:szCs w:val="23"/>
          <w:lang w:eastAsia="en-GB"/>
        </w:rPr>
      </w:pPr>
      <w:r w:rsidRPr="00551F33">
        <w:rPr>
          <w:position w:val="-26"/>
        </w:rPr>
        <w:object w:dxaOrig="1980" w:dyaOrig="620" w14:anchorId="1BF897A0">
          <v:shape id="_x0000_i7833" type="#_x0000_t75" style="width:99.25pt;height:31.45pt" o:ole="">
            <v:imagedata r:id="rId13741" o:title=""/>
          </v:shape>
          <o:OLEObject Type="Embed" ProgID="Equation.DSMT4" ShapeID="_x0000_i7833" DrawAspect="Content" ObjectID="_1791381776" r:id="rId13742"/>
        </w:object>
      </w:r>
    </w:p>
    <w:p w14:paraId="25D05DE7" w14:textId="77777777" w:rsidR="00556C10" w:rsidRPr="00551F33" w:rsidRDefault="00556C10" w:rsidP="00556C10">
      <w:pPr>
        <w:bidi w:val="0"/>
        <w:spacing w:line="216" w:lineRule="auto"/>
        <w:rPr>
          <w:i/>
          <w:sz w:val="23"/>
          <w:szCs w:val="23"/>
          <w:rtl/>
          <w:lang w:eastAsia="en-GB"/>
        </w:rPr>
      </w:pPr>
      <w:r w:rsidRPr="00551F33">
        <w:rPr>
          <w:position w:val="-22"/>
        </w:rPr>
        <w:object w:dxaOrig="1800" w:dyaOrig="720" w14:anchorId="2ADD8FB8">
          <v:shape id="_x0000_i7834" type="#_x0000_t75" style="width:90.15pt;height:36.3pt" o:ole="">
            <v:imagedata r:id="rId13743" o:title=""/>
          </v:shape>
          <o:OLEObject Type="Embed" ProgID="Equation.DSMT4" ShapeID="_x0000_i7834" DrawAspect="Content" ObjectID="_1791381777" r:id="rId13744"/>
        </w:object>
      </w:r>
    </w:p>
    <w:p w14:paraId="45AF3BF6" w14:textId="77777777" w:rsidR="00556C10" w:rsidRPr="00551F33" w:rsidRDefault="00556C10" w:rsidP="00556C10">
      <w:pPr>
        <w:pStyle w:val="NormalWeb"/>
        <w:bidi/>
        <w:spacing w:before="0" w:beforeAutospacing="0" w:after="0" w:afterAutospacing="0" w:line="216" w:lineRule="auto"/>
        <w:jc w:val="both"/>
        <w:rPr>
          <w:rFonts w:cs="B Nazanin"/>
          <w:i/>
          <w:sz w:val="23"/>
          <w:szCs w:val="23"/>
          <w:rtl/>
        </w:rPr>
      </w:pPr>
      <w:r w:rsidRPr="00551F33">
        <w:rPr>
          <w:rFonts w:cs="B Nazanin" w:hint="cs"/>
          <w:i/>
          <w:sz w:val="23"/>
          <w:szCs w:val="23"/>
          <w:rtl/>
        </w:rPr>
        <w:t>که در آن</w:t>
      </w:r>
      <w:r w:rsidRPr="00551F33">
        <w:rPr>
          <w:position w:val="-10"/>
        </w:rPr>
        <w:object w:dxaOrig="260" w:dyaOrig="340" w14:anchorId="10DF6156">
          <v:shape id="_x0000_i7835" type="#_x0000_t75" style="width:13.3pt;height:16.95pt" o:ole="">
            <v:imagedata r:id="rId13745" o:title=""/>
          </v:shape>
          <o:OLEObject Type="Embed" ProgID="Equation.DSMT4" ShapeID="_x0000_i7835" DrawAspect="Content" ObjectID="_1791381778" r:id="rId13746"/>
        </w:object>
      </w:r>
      <w:r w:rsidRPr="00551F33">
        <w:rPr>
          <w:rFonts w:cs="B Nazanin" w:hint="cs"/>
          <w:i/>
          <w:sz w:val="23"/>
          <w:szCs w:val="23"/>
          <w:rtl/>
        </w:rPr>
        <w:t xml:space="preserve"> جمله‌ی اخلال برون</w:t>
      </w:r>
      <w:r w:rsidRPr="00551F33">
        <w:rPr>
          <w:rFonts w:cs="B Nazanin"/>
          <w:i/>
          <w:sz w:val="23"/>
          <w:szCs w:val="23"/>
        </w:rPr>
        <w:t>‌</w:t>
      </w:r>
      <w:r w:rsidRPr="00551F33">
        <w:rPr>
          <w:rFonts w:cs="B Nazanin" w:hint="cs"/>
          <w:i/>
          <w:sz w:val="23"/>
          <w:szCs w:val="23"/>
          <w:rtl/>
        </w:rPr>
        <w:t>زاست که سبب می</w:t>
      </w:r>
      <w:r w:rsidRPr="00551F33">
        <w:rPr>
          <w:rFonts w:cs="B Nazanin"/>
          <w:i/>
          <w:sz w:val="23"/>
          <w:szCs w:val="23"/>
        </w:rPr>
        <w:t>‌</w:t>
      </w:r>
      <w:r w:rsidRPr="00551F33">
        <w:rPr>
          <w:rFonts w:cs="B Nazanin" w:hint="cs"/>
          <w:i/>
          <w:sz w:val="23"/>
          <w:szCs w:val="23"/>
          <w:rtl/>
        </w:rPr>
        <w:t>شود خانوارها میان استقراض کننده و پس</w:t>
      </w:r>
      <w:r w:rsidRPr="00551F33">
        <w:rPr>
          <w:rFonts w:cs="B Nazanin" w:hint="cs"/>
          <w:i/>
          <w:sz w:val="23"/>
          <w:szCs w:val="23"/>
          <w:rtl/>
        </w:rPr>
        <w:softHyphen/>
        <w:t>انداز کننده در رفت و آمد باشند. فرض می</w:t>
      </w:r>
      <w:r w:rsidRPr="00551F33">
        <w:rPr>
          <w:rFonts w:cs="B Nazanin" w:hint="cs"/>
          <w:i/>
          <w:sz w:val="23"/>
          <w:szCs w:val="23"/>
          <w:rtl/>
        </w:rPr>
        <w:softHyphen/>
        <w:t>شود در هر دوره یک پیشامد وجود دارد که با احتمال</w:t>
      </w:r>
      <w:r w:rsidRPr="00551F33">
        <w:rPr>
          <w:position w:val="-6"/>
        </w:rPr>
        <w:object w:dxaOrig="499" w:dyaOrig="260" w14:anchorId="64A5CB66">
          <v:shape id="_x0000_i7836" type="#_x0000_t75" style="width:24.8pt;height:13.3pt" o:ole="">
            <v:imagedata r:id="rId13747" o:title=""/>
          </v:shape>
          <o:OLEObject Type="Embed" ProgID="Equation.DSMT4" ShapeID="_x0000_i7836" DrawAspect="Content" ObjectID="_1791381779" r:id="rId13748"/>
        </w:object>
      </w:r>
      <w:r w:rsidRPr="00551F33">
        <w:rPr>
          <w:rFonts w:cs="B Nazanin" w:hint="cs"/>
          <w:i/>
          <w:sz w:val="23"/>
          <w:szCs w:val="23"/>
          <w:rtl/>
        </w:rPr>
        <w:t xml:space="preserve"> خانوار بین یکی از دو طبقه قرار گیرد. اگر پیشامد رخ ندهد، خانوار همچنان از نوعی خواهد بود که </w:t>
      </w:r>
      <w:r w:rsidRPr="00551F33">
        <w:rPr>
          <w:rFonts w:cs="B Nazanin" w:hint="cs"/>
          <w:i/>
          <w:sz w:val="23"/>
          <w:szCs w:val="23"/>
          <w:rtl/>
        </w:rPr>
        <w:lastRenderedPageBreak/>
        <w:t>قبلاً بود. اگر پیشآمد رخ دهد احتمال</w:t>
      </w:r>
      <w:r w:rsidRPr="00551F33">
        <w:rPr>
          <w:position w:val="-10"/>
        </w:rPr>
        <w:object w:dxaOrig="260" w:dyaOrig="320" w14:anchorId="4778F9DF">
          <v:shape id="_x0000_i7837" type="#_x0000_t75" style="width:13.3pt;height:15.75pt" o:ole="">
            <v:imagedata r:id="rId13749" o:title=""/>
          </v:shape>
          <o:OLEObject Type="Embed" ProgID="Equation.DSMT4" ShapeID="_x0000_i7837" DrawAspect="Content" ObjectID="_1791381780" r:id="rId13750"/>
        </w:object>
      </w:r>
      <w:r w:rsidRPr="00551F33">
        <w:rPr>
          <w:rFonts w:cs="B Nazanin" w:hint="cs"/>
          <w:i/>
          <w:sz w:val="23"/>
          <w:szCs w:val="23"/>
          <w:rtl/>
        </w:rPr>
        <w:t xml:space="preserve"> وجود دارد که خانوار قرض گیرنده باشد و احتمالی دیگر</w:t>
      </w:r>
      <w:r w:rsidRPr="00551F33">
        <w:rPr>
          <w:position w:val="-10"/>
        </w:rPr>
        <w:object w:dxaOrig="279" w:dyaOrig="320" w14:anchorId="0716B67C">
          <v:shape id="_x0000_i7838" type="#_x0000_t75" style="width:13.9pt;height:15.75pt" o:ole="">
            <v:imagedata r:id="rId13751" o:title=""/>
          </v:shape>
          <o:OLEObject Type="Embed" ProgID="Equation.DSMT4" ShapeID="_x0000_i7838" DrawAspect="Content" ObjectID="_1791381781" r:id="rId13752"/>
        </w:object>
      </w:r>
      <w:r w:rsidRPr="00551F33">
        <w:rPr>
          <w:rFonts w:cs="B Nazanin" w:hint="cs"/>
          <w:i/>
          <w:sz w:val="23"/>
          <w:szCs w:val="23"/>
          <w:rtl/>
        </w:rPr>
        <w:t>که به یک پس</w:t>
      </w:r>
      <w:r w:rsidRPr="00551F33">
        <w:rPr>
          <w:rFonts w:cs="B Nazanin" w:hint="cs"/>
          <w:i/>
          <w:sz w:val="23"/>
          <w:szCs w:val="23"/>
          <w:rtl/>
        </w:rPr>
        <w:softHyphen/>
        <w:t>انداز</w:t>
      </w:r>
      <w:r w:rsidRPr="00551F33">
        <w:rPr>
          <w:rFonts w:cs="B Nazanin" w:hint="cs"/>
          <w:i/>
          <w:sz w:val="23"/>
          <w:szCs w:val="23"/>
          <w:rtl/>
        </w:rPr>
        <w:softHyphen/>
        <w:t>کننده تبدیل شود و</w:t>
      </w:r>
      <w:r w:rsidRPr="00551F33">
        <w:rPr>
          <w:position w:val="-10"/>
        </w:rPr>
        <w:object w:dxaOrig="1020" w:dyaOrig="320" w14:anchorId="0D6357B1">
          <v:shape id="_x0000_i7839" type="#_x0000_t75" style="width:50.8pt;height:15.75pt" o:ole="">
            <v:imagedata r:id="rId13753" o:title=""/>
          </v:shape>
          <o:OLEObject Type="Embed" ProgID="Equation.DSMT4" ShapeID="_x0000_i7839" DrawAspect="Content" ObjectID="_1791381782" r:id="rId13754"/>
        </w:object>
      </w:r>
      <w:r w:rsidRPr="00551F33">
        <w:rPr>
          <w:rFonts w:cs="B Nazanin"/>
          <w:i/>
          <w:sz w:val="23"/>
          <w:szCs w:val="23"/>
        </w:rPr>
        <w:t>.</w:t>
      </w:r>
      <w:r w:rsidRPr="00551F33">
        <w:rPr>
          <w:rFonts w:cs="B Nazanin" w:hint="cs"/>
          <w:i/>
          <w:sz w:val="23"/>
          <w:szCs w:val="23"/>
          <w:rtl/>
        </w:rPr>
        <w:t xml:space="preserve"> بر اساس ساختار احتمالی زنجیره‌ی مارکوف، خانوارها نمی</w:t>
      </w:r>
      <w:r w:rsidRPr="00551F33">
        <w:rPr>
          <w:rFonts w:cs="B Nazanin" w:hint="cs"/>
          <w:i/>
          <w:sz w:val="23"/>
          <w:szCs w:val="23"/>
          <w:rtl/>
        </w:rPr>
        <w:softHyphen/>
        <w:t>دانند در آینده استقراض کننده‌اند یا پس</w:t>
      </w:r>
      <w:r w:rsidRPr="00551F33">
        <w:rPr>
          <w:rFonts w:cs="B Nazanin" w:hint="cs"/>
          <w:i/>
          <w:sz w:val="23"/>
          <w:szCs w:val="23"/>
          <w:rtl/>
        </w:rPr>
        <w:softHyphen/>
        <w:t>انداز کننده. با این حال، از هر نوع اقتصاد، یک نسبت ثابت</w:t>
      </w:r>
      <w:r w:rsidRPr="00551F33">
        <w:rPr>
          <w:position w:val="-10"/>
        </w:rPr>
        <w:object w:dxaOrig="260" w:dyaOrig="320" w14:anchorId="3727CDF5">
          <v:shape id="_x0000_i7840" type="#_x0000_t75" style="width:13.3pt;height:15.75pt" o:ole="">
            <v:imagedata r:id="rId13755" o:title=""/>
          </v:shape>
          <o:OLEObject Type="Embed" ProgID="Equation.DSMT4" ShapeID="_x0000_i7840" DrawAspect="Content" ObjectID="_1791381783" r:id="rId13756"/>
        </w:object>
      </w:r>
      <w:r w:rsidRPr="00551F33">
        <w:rPr>
          <w:rFonts w:cs="B Nazanin" w:hint="cs"/>
          <w:i/>
          <w:sz w:val="23"/>
          <w:szCs w:val="23"/>
          <w:rtl/>
        </w:rPr>
        <w:t xml:space="preserve"> از هر نوع وجود دارد که بنابر دو نوع متفاوت سطح مصرف،</w:t>
      </w:r>
      <w:r w:rsidRPr="00551F33">
        <w:rPr>
          <w:position w:val="-6"/>
        </w:rPr>
        <w:object w:dxaOrig="880" w:dyaOrig="300" w14:anchorId="0D1513BD">
          <v:shape id="_x0000_i7841" type="#_x0000_t75" style="width:44.15pt;height:14.5pt" o:ole="">
            <v:imagedata r:id="rId13757" o:title=""/>
          </v:shape>
          <o:OLEObject Type="Embed" ProgID="Equation.DSMT4" ShapeID="_x0000_i7841" DrawAspect="Content" ObjectID="_1791381784" r:id="rId13758"/>
        </w:object>
      </w:r>
      <w:r w:rsidRPr="00551F33">
        <w:rPr>
          <w:rFonts w:cs="B Nazanin"/>
          <w:i/>
          <w:sz w:val="23"/>
          <w:szCs w:val="23"/>
        </w:rPr>
        <w:t>.</w:t>
      </w:r>
    </w:p>
    <w:p w14:paraId="6E9C2C6C"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خانوارهایی که پس</w:t>
      </w:r>
      <w:r w:rsidRPr="00551F33">
        <w:rPr>
          <w:rFonts w:hint="cs"/>
          <w:i/>
          <w:sz w:val="23"/>
          <w:szCs w:val="23"/>
          <w:rtl/>
          <w:lang w:eastAsia="en-GB"/>
        </w:rPr>
        <w:softHyphen/>
        <w:t>انداز می</w:t>
      </w:r>
      <w:r w:rsidRPr="00551F33">
        <w:rPr>
          <w:i/>
          <w:sz w:val="23"/>
          <w:szCs w:val="23"/>
          <w:lang w:eastAsia="en-GB"/>
        </w:rPr>
        <w:t>‌</w:t>
      </w:r>
      <w:r w:rsidRPr="00551F33">
        <w:rPr>
          <w:rFonts w:hint="cs"/>
          <w:i/>
          <w:sz w:val="23"/>
          <w:szCs w:val="23"/>
          <w:rtl/>
          <w:lang w:eastAsia="en-GB"/>
        </w:rPr>
        <w:t>کنند سپرده‌هایی نزد واسطه</w:t>
      </w:r>
      <w:r w:rsidRPr="00551F33">
        <w:rPr>
          <w:i/>
          <w:sz w:val="23"/>
          <w:szCs w:val="23"/>
          <w:lang w:eastAsia="en-GB"/>
        </w:rPr>
        <w:t>‌</w:t>
      </w:r>
      <w:r w:rsidRPr="00551F33">
        <w:rPr>
          <w:rFonts w:hint="cs"/>
          <w:i/>
          <w:sz w:val="23"/>
          <w:szCs w:val="23"/>
          <w:rtl/>
          <w:lang w:eastAsia="en-GB"/>
        </w:rPr>
        <w:t>گر مالی می</w:t>
      </w:r>
      <w:r w:rsidRPr="00551F33">
        <w:rPr>
          <w:i/>
          <w:sz w:val="23"/>
          <w:szCs w:val="23"/>
          <w:lang w:eastAsia="en-GB"/>
        </w:rPr>
        <w:t>‌</w:t>
      </w:r>
      <w:r w:rsidRPr="00551F33">
        <w:rPr>
          <w:rFonts w:hint="cs"/>
          <w:i/>
          <w:sz w:val="23"/>
          <w:szCs w:val="23"/>
          <w:rtl/>
          <w:lang w:eastAsia="en-GB"/>
        </w:rPr>
        <w:t>گذارند که با استفاده از قراردادهای یک دوره</w:t>
      </w:r>
      <w:r w:rsidRPr="00551F33">
        <w:rPr>
          <w:rFonts w:hint="cs"/>
          <w:i/>
          <w:sz w:val="23"/>
          <w:szCs w:val="23"/>
          <w:rtl/>
          <w:lang w:eastAsia="en-GB"/>
        </w:rPr>
        <w:softHyphen/>
        <w:t>ای است و در آن نرخ بدون ریسک</w:t>
      </w:r>
      <w:r w:rsidRPr="00551F33">
        <w:rPr>
          <w:position w:val="-10"/>
        </w:rPr>
        <w:object w:dxaOrig="260" w:dyaOrig="340" w14:anchorId="7CA2E411">
          <v:shape id="_x0000_i7842" type="#_x0000_t75" style="width:13.3pt;height:16.95pt" o:ole="">
            <v:imagedata r:id="rId13759" o:title=""/>
          </v:shape>
          <o:OLEObject Type="Embed" ProgID="Equation.DSMT4" ShapeID="_x0000_i7842" DrawAspect="Content" ObjectID="_1791381785" r:id="rId13760"/>
        </w:object>
      </w:r>
      <w:r w:rsidRPr="00551F33">
        <w:rPr>
          <w:rFonts w:hint="cs"/>
          <w:i/>
          <w:sz w:val="23"/>
          <w:szCs w:val="23"/>
          <w:rtl/>
          <w:lang w:eastAsia="en-GB"/>
        </w:rPr>
        <w:t>پرداخت می</w:t>
      </w:r>
      <w:r w:rsidRPr="00551F33">
        <w:rPr>
          <w:i/>
          <w:sz w:val="23"/>
          <w:szCs w:val="23"/>
          <w:lang w:eastAsia="en-GB"/>
        </w:rPr>
        <w:t>‌</w:t>
      </w:r>
      <w:r w:rsidRPr="00551F33">
        <w:rPr>
          <w:rFonts w:hint="cs"/>
          <w:i/>
          <w:sz w:val="23"/>
          <w:szCs w:val="23"/>
          <w:rtl/>
          <w:lang w:eastAsia="en-GB"/>
        </w:rPr>
        <w:t>شود. استقراض از واسطه</w:t>
      </w:r>
      <w:r w:rsidRPr="00551F33">
        <w:rPr>
          <w:rFonts w:hint="cs"/>
          <w:i/>
          <w:sz w:val="23"/>
          <w:szCs w:val="23"/>
          <w:rtl/>
          <w:lang w:eastAsia="en-GB"/>
        </w:rPr>
        <w:softHyphen/>
        <w:t>گران مالی و بانک</w:t>
      </w:r>
      <w:r w:rsidRPr="00551F33">
        <w:rPr>
          <w:rFonts w:hint="cs"/>
          <w:i/>
          <w:sz w:val="23"/>
          <w:szCs w:val="23"/>
          <w:rtl/>
          <w:lang w:eastAsia="en-GB"/>
        </w:rPr>
        <w:softHyphen/>
        <w:t>مرکزی از طریق قراردادهای یک دوره</w:t>
      </w:r>
      <w:r w:rsidRPr="00551F33">
        <w:rPr>
          <w:rFonts w:hint="cs"/>
          <w:i/>
          <w:sz w:val="23"/>
          <w:szCs w:val="23"/>
          <w:rtl/>
          <w:lang w:eastAsia="en-GB"/>
        </w:rPr>
        <w:softHyphen/>
        <w:t>ای است که در نرخ بهره</w:t>
      </w:r>
      <w:r w:rsidRPr="00551F33">
        <w:rPr>
          <w:position w:val="-10"/>
        </w:rPr>
        <w:object w:dxaOrig="240" w:dyaOrig="340" w14:anchorId="1014590A">
          <v:shape id="_x0000_i7843" type="#_x0000_t75" style="width:11.5pt;height:16.95pt" o:ole="">
            <v:imagedata r:id="rId13761" o:title=""/>
          </v:shape>
          <o:OLEObject Type="Embed" ProgID="Equation.DSMT4" ShapeID="_x0000_i7843" DrawAspect="Content" ObjectID="_1791381786" r:id="rId13762"/>
        </w:object>
      </w:r>
      <w:r w:rsidRPr="00551F33">
        <w:rPr>
          <w:rFonts w:hint="cs"/>
          <w:i/>
          <w:sz w:val="23"/>
          <w:szCs w:val="23"/>
          <w:rtl/>
        </w:rPr>
        <w:t xml:space="preserve"> </w:t>
      </w:r>
      <w:r w:rsidRPr="00551F33">
        <w:rPr>
          <w:rFonts w:hint="cs"/>
          <w:i/>
          <w:sz w:val="23"/>
          <w:szCs w:val="23"/>
          <w:rtl/>
          <w:lang w:eastAsia="en-GB"/>
        </w:rPr>
        <w:t>به کار می‌رود</w:t>
      </w:r>
      <w:r w:rsidRPr="00551F33">
        <w:rPr>
          <w:i/>
          <w:sz w:val="23"/>
          <w:szCs w:val="23"/>
          <w:lang w:eastAsia="en-GB"/>
        </w:rPr>
        <w:t>.</w:t>
      </w:r>
      <w:r w:rsidRPr="00551F33">
        <w:rPr>
          <w:rFonts w:hint="cs"/>
          <w:i/>
          <w:sz w:val="23"/>
          <w:szCs w:val="23"/>
          <w:rtl/>
          <w:lang w:eastAsia="en-GB"/>
        </w:rPr>
        <w:t xml:space="preserve"> برای خانواری که پس</w:t>
      </w:r>
      <w:r w:rsidRPr="00551F33">
        <w:rPr>
          <w:rFonts w:hint="cs"/>
          <w:i/>
          <w:sz w:val="23"/>
          <w:szCs w:val="23"/>
          <w:rtl/>
          <w:lang w:eastAsia="en-GB"/>
        </w:rPr>
        <w:softHyphen/>
        <w:t>انداز می‌کند قید بودجه</w:t>
      </w:r>
      <w:r w:rsidRPr="00551F33">
        <w:rPr>
          <w:rFonts w:hint="cs"/>
          <w:i/>
          <w:sz w:val="23"/>
          <w:szCs w:val="23"/>
          <w:rtl/>
          <w:lang w:eastAsia="en-GB"/>
        </w:rPr>
        <w:softHyphen/>
        <w:t>ای عبارت است از</w:t>
      </w:r>
    </w:p>
    <w:p w14:paraId="78612630" w14:textId="77777777" w:rsidR="00556C10" w:rsidRPr="00551F33" w:rsidRDefault="00556C10" w:rsidP="00556C10">
      <w:pPr>
        <w:bidi w:val="0"/>
        <w:spacing w:line="216" w:lineRule="auto"/>
        <w:rPr>
          <w:i/>
          <w:sz w:val="23"/>
          <w:szCs w:val="23"/>
          <w:lang w:eastAsia="en-GB"/>
        </w:rPr>
      </w:pPr>
      <w:r w:rsidRPr="00551F33">
        <w:rPr>
          <w:i/>
          <w:sz w:val="23"/>
          <w:szCs w:val="23"/>
          <w:lang w:eastAsia="en-GB"/>
        </w:rPr>
        <w:t> </w:t>
      </w:r>
      <w:r w:rsidRPr="00551F33">
        <w:rPr>
          <w:position w:val="-16"/>
        </w:rPr>
        <w:object w:dxaOrig="3100" w:dyaOrig="420" w14:anchorId="77A887A8">
          <v:shape id="_x0000_i7844" type="#_x0000_t75" style="width:154.9pt;height:21.2pt" o:ole="">
            <v:imagedata r:id="rId13763" o:title=""/>
          </v:shape>
          <o:OLEObject Type="Embed" ProgID="Equation.DSMT4" ShapeID="_x0000_i7844" DrawAspect="Content" ObjectID="_1791381787" r:id="rId13764"/>
        </w:object>
      </w:r>
    </w:p>
    <w:p w14:paraId="4203027D"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که در آن</w:t>
      </w:r>
      <w:r w:rsidRPr="00551F33">
        <w:rPr>
          <w:position w:val="-10"/>
        </w:rPr>
        <w:object w:dxaOrig="279" w:dyaOrig="340" w14:anchorId="17692C9F">
          <v:shape id="_x0000_i7845" type="#_x0000_t75" style="width:13.9pt;height:16.95pt" o:ole="">
            <v:imagedata r:id="rId13765" o:title=""/>
          </v:shape>
          <o:OLEObject Type="Embed" ProgID="Equation.DSMT4" ShapeID="_x0000_i7845" DrawAspect="Content" ObjectID="_1791381788" r:id="rId13766"/>
        </w:object>
      </w:r>
      <w:r w:rsidRPr="00551F33">
        <w:rPr>
          <w:rFonts w:hint="cs"/>
          <w:i/>
          <w:sz w:val="23"/>
          <w:szCs w:val="23"/>
          <w:rtl/>
          <w:lang w:eastAsia="en-GB"/>
        </w:rPr>
        <w:t xml:space="preserve"> مصرف،</w:t>
      </w:r>
      <w:r w:rsidRPr="00551F33">
        <w:rPr>
          <w:position w:val="-10"/>
        </w:rPr>
        <w:object w:dxaOrig="300" w:dyaOrig="340" w14:anchorId="38E19B84">
          <v:shape id="_x0000_i7846" type="#_x0000_t75" style="width:14.5pt;height:16.95pt" o:ole="">
            <v:imagedata r:id="rId13767" o:title=""/>
          </v:shape>
          <o:OLEObject Type="Embed" ProgID="Equation.DSMT4" ShapeID="_x0000_i7846" DrawAspect="Content" ObjectID="_1791381789" r:id="rId13768"/>
        </w:object>
      </w:r>
      <w:r w:rsidRPr="00551F33">
        <w:rPr>
          <w:rFonts w:hint="cs"/>
          <w:i/>
          <w:sz w:val="23"/>
          <w:szCs w:val="23"/>
          <w:rtl/>
          <w:lang w:eastAsia="en-GB"/>
        </w:rPr>
        <w:t xml:space="preserve"> درآمد برونزا،</w:t>
      </w:r>
      <w:r w:rsidRPr="00551F33">
        <w:rPr>
          <w:position w:val="-10"/>
        </w:rPr>
        <w:object w:dxaOrig="240" w:dyaOrig="320" w14:anchorId="4217E2EE">
          <v:shape id="_x0000_i7847" type="#_x0000_t75" style="width:11.5pt;height:15.75pt" o:ole="">
            <v:imagedata r:id="rId13769" o:title=""/>
          </v:shape>
          <o:OLEObject Type="Embed" ProgID="Equation.DSMT4" ShapeID="_x0000_i7847" DrawAspect="Content" ObjectID="_1791381790" r:id="rId13770"/>
        </w:object>
      </w:r>
      <w:r w:rsidRPr="00551F33">
        <w:rPr>
          <w:rFonts w:hint="cs"/>
          <w:i/>
          <w:sz w:val="23"/>
          <w:szCs w:val="23"/>
          <w:rtl/>
          <w:lang w:eastAsia="en-GB"/>
        </w:rPr>
        <w:t xml:space="preserve"> سطح عمومی قیمت،</w:t>
      </w:r>
      <w:r w:rsidRPr="00551F33">
        <w:rPr>
          <w:position w:val="-10"/>
        </w:rPr>
        <w:object w:dxaOrig="279" w:dyaOrig="320" w14:anchorId="2969A558">
          <v:shape id="_x0000_i7848" type="#_x0000_t75" style="width:13.9pt;height:15.75pt" o:ole="">
            <v:imagedata r:id="rId13771" o:title=""/>
          </v:shape>
          <o:OLEObject Type="Embed" ProgID="Equation.DSMT4" ShapeID="_x0000_i7848" DrawAspect="Content" ObjectID="_1791381791" r:id="rId13772"/>
        </w:object>
      </w:r>
      <w:r w:rsidRPr="00551F33">
        <w:rPr>
          <w:rFonts w:hint="cs"/>
          <w:i/>
          <w:sz w:val="23"/>
          <w:szCs w:val="23"/>
          <w:rtl/>
          <w:lang w:eastAsia="en-GB"/>
        </w:rPr>
        <w:t xml:space="preserve"> سپرده‌های پس</w:t>
      </w:r>
      <w:r w:rsidRPr="00551F33">
        <w:rPr>
          <w:rFonts w:hint="cs"/>
          <w:i/>
          <w:sz w:val="23"/>
          <w:szCs w:val="23"/>
          <w:rtl/>
          <w:lang w:eastAsia="en-GB"/>
        </w:rPr>
        <w:softHyphen/>
        <w:t>انداز آغاز دوره، و</w:t>
      </w:r>
      <w:r w:rsidRPr="00551F33">
        <w:rPr>
          <w:position w:val="-10"/>
        </w:rPr>
        <w:object w:dxaOrig="320" w:dyaOrig="340" w14:anchorId="54F8F57D">
          <v:shape id="_x0000_i7849" type="#_x0000_t75" style="width:15.75pt;height:16.95pt" o:ole="">
            <v:imagedata r:id="rId13773" o:title=""/>
          </v:shape>
          <o:OLEObject Type="Embed" ProgID="Equation.DSMT4" ShapeID="_x0000_i7849" DrawAspect="Content" ObjectID="_1791381792" r:id="rId13774"/>
        </w:object>
      </w:r>
      <w:r w:rsidRPr="00551F33">
        <w:rPr>
          <w:rFonts w:hint="cs"/>
          <w:i/>
          <w:sz w:val="23"/>
          <w:szCs w:val="23"/>
          <w:rtl/>
          <w:lang w:eastAsia="en-GB"/>
        </w:rPr>
        <w:t xml:space="preserve"> سود دریافتی از واسطه</w:t>
      </w:r>
      <w:r w:rsidRPr="00551F33">
        <w:rPr>
          <w:i/>
          <w:sz w:val="23"/>
          <w:szCs w:val="23"/>
          <w:lang w:eastAsia="en-GB"/>
        </w:rPr>
        <w:t>‌</w:t>
      </w:r>
      <w:r w:rsidRPr="00551F33">
        <w:rPr>
          <w:rFonts w:hint="cs"/>
          <w:i/>
          <w:sz w:val="23"/>
          <w:szCs w:val="23"/>
          <w:rtl/>
          <w:lang w:eastAsia="en-GB"/>
        </w:rPr>
        <w:t>گر مالی است که فرض می‌شود برای هر نوع خانوار یکسان است. برای خانوار‌هایی که قرض می‌گیرند قید بودجه عبارت است از</w:t>
      </w:r>
    </w:p>
    <w:p w14:paraId="0883436A" w14:textId="77777777" w:rsidR="00556C10" w:rsidRPr="00551F33" w:rsidRDefault="00556C10" w:rsidP="00556C10">
      <w:pPr>
        <w:bidi w:val="0"/>
        <w:spacing w:line="216" w:lineRule="auto"/>
        <w:rPr>
          <w:i/>
          <w:sz w:val="23"/>
          <w:szCs w:val="23"/>
          <w:lang w:eastAsia="en-GB"/>
        </w:rPr>
      </w:pPr>
      <w:r w:rsidRPr="00551F33">
        <w:rPr>
          <w:i/>
          <w:sz w:val="23"/>
          <w:szCs w:val="23"/>
          <w:lang w:eastAsia="en-GB"/>
        </w:rPr>
        <w:t> </w:t>
      </w:r>
      <w:r w:rsidRPr="00551F33">
        <w:rPr>
          <w:position w:val="-16"/>
        </w:rPr>
        <w:object w:dxaOrig="3180" w:dyaOrig="420" w14:anchorId="6DEE920D">
          <v:shape id="_x0000_i7850" type="#_x0000_t75" style="width:159.15pt;height:21.2pt" o:ole="">
            <v:imagedata r:id="rId13775" o:title=""/>
          </v:shape>
          <o:OLEObject Type="Embed" ProgID="Equation.DSMT4" ShapeID="_x0000_i7850" DrawAspect="Content" ObjectID="_1791381793" r:id="rId13776"/>
        </w:object>
      </w:r>
    </w:p>
    <w:p w14:paraId="2EBDF05B"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که در آن</w:t>
      </w:r>
      <w:r w:rsidRPr="00551F33">
        <w:rPr>
          <w:position w:val="-10"/>
        </w:rPr>
        <w:object w:dxaOrig="300" w:dyaOrig="340" w14:anchorId="7465EE29">
          <v:shape id="_x0000_i7851" type="#_x0000_t75" style="width:14.5pt;height:16.95pt" o:ole="">
            <v:imagedata r:id="rId13777" o:title=""/>
          </v:shape>
          <o:OLEObject Type="Embed" ProgID="Equation.DSMT4" ShapeID="_x0000_i7851" DrawAspect="Content" ObjectID="_1791381794" r:id="rId13778"/>
        </w:object>
      </w:r>
      <w:r w:rsidRPr="00551F33">
        <w:rPr>
          <w:rFonts w:hint="cs"/>
          <w:i/>
          <w:sz w:val="23"/>
          <w:szCs w:val="23"/>
          <w:rtl/>
          <w:lang w:eastAsia="en-GB"/>
        </w:rPr>
        <w:t xml:space="preserve"> درآمد برون</w:t>
      </w:r>
      <w:r w:rsidRPr="00551F33">
        <w:rPr>
          <w:rFonts w:hint="cs"/>
          <w:i/>
          <w:sz w:val="23"/>
          <w:szCs w:val="23"/>
          <w:rtl/>
          <w:lang w:eastAsia="en-GB"/>
        </w:rPr>
        <w:softHyphen/>
        <w:t>زا،</w:t>
      </w:r>
      <w:r w:rsidRPr="00551F33">
        <w:rPr>
          <w:position w:val="-10"/>
        </w:rPr>
        <w:object w:dxaOrig="279" w:dyaOrig="320" w14:anchorId="056E9B67">
          <v:shape id="_x0000_i7852" type="#_x0000_t75" style="width:13.9pt;height:15.75pt" o:ole="">
            <v:imagedata r:id="rId13779" o:title=""/>
          </v:shape>
          <o:OLEObject Type="Embed" ProgID="Equation.DSMT4" ShapeID="_x0000_i7852" DrawAspect="Content" ObjectID="_1791381795" r:id="rId13780"/>
        </w:object>
      </w:r>
      <w:r w:rsidRPr="00551F33">
        <w:rPr>
          <w:i/>
          <w:sz w:val="23"/>
          <w:szCs w:val="23"/>
          <w:lang w:eastAsia="en-GB"/>
        </w:rPr>
        <w:t xml:space="preserve"> </w:t>
      </w:r>
      <w:r w:rsidRPr="00551F33">
        <w:rPr>
          <w:rFonts w:hint="cs"/>
          <w:i/>
          <w:sz w:val="23"/>
          <w:szCs w:val="23"/>
          <w:rtl/>
          <w:lang w:eastAsia="en-GB"/>
        </w:rPr>
        <w:t xml:space="preserve">استقراض اسمی در آغاز دوره </w:t>
      </w:r>
      <w:r w:rsidRPr="00551F33">
        <w:rPr>
          <w:i/>
          <w:sz w:val="23"/>
          <w:szCs w:val="23"/>
          <w:lang w:eastAsia="en-GB"/>
        </w:rPr>
        <w:t>t</w:t>
      </w:r>
      <w:r w:rsidRPr="00551F33">
        <w:rPr>
          <w:rFonts w:hint="cs"/>
          <w:i/>
          <w:sz w:val="23"/>
          <w:szCs w:val="23"/>
          <w:rtl/>
          <w:lang w:eastAsia="en-GB"/>
        </w:rPr>
        <w:t xml:space="preserve"> و</w:t>
      </w:r>
      <w:r w:rsidRPr="00551F33">
        <w:rPr>
          <w:position w:val="-10"/>
        </w:rPr>
        <w:object w:dxaOrig="320" w:dyaOrig="340" w14:anchorId="7F4C5F4F">
          <v:shape id="_x0000_i7853" type="#_x0000_t75" style="width:15.75pt;height:16.95pt" o:ole="">
            <v:imagedata r:id="rId13781" o:title=""/>
          </v:shape>
          <o:OLEObject Type="Embed" ProgID="Equation.DSMT4" ShapeID="_x0000_i7853" DrawAspect="Content" ObjectID="_1791381796" r:id="rId13782"/>
        </w:object>
      </w:r>
      <w:r w:rsidRPr="00551F33">
        <w:rPr>
          <w:rFonts w:hint="cs"/>
          <w:i/>
          <w:sz w:val="23"/>
          <w:szCs w:val="23"/>
          <w:rtl/>
          <w:lang w:eastAsia="en-GB"/>
        </w:rPr>
        <w:t xml:space="preserve"> سود دریافتی از واسطه</w:t>
      </w:r>
      <w:r w:rsidRPr="00551F33">
        <w:rPr>
          <w:rFonts w:hint="cs"/>
          <w:i/>
          <w:sz w:val="23"/>
          <w:szCs w:val="23"/>
          <w:rtl/>
          <w:lang w:eastAsia="en-GB"/>
        </w:rPr>
        <w:softHyphen/>
        <w:t xml:space="preserve">گر مالی است. </w:t>
      </w:r>
    </w:p>
    <w:p w14:paraId="47BAAB66"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 xml:space="preserve">با حداکثر کردن مطلوبیت هر نوع از خانوار مشروط به قید بودجه حقیقی شرایط مرتبه اول زیر به دست می‌آید. </w:t>
      </w:r>
    </w:p>
    <w:p w14:paraId="5F4E47D0" w14:textId="77777777" w:rsidR="00556C10" w:rsidRPr="00551F33" w:rsidRDefault="00556C10" w:rsidP="00556C10">
      <w:pPr>
        <w:bidi w:val="0"/>
        <w:spacing w:line="216" w:lineRule="auto"/>
        <w:rPr>
          <w:i/>
          <w:sz w:val="23"/>
          <w:szCs w:val="23"/>
          <w:rtl/>
          <w:lang w:eastAsia="en-GB"/>
        </w:rPr>
      </w:pPr>
      <w:r w:rsidRPr="00551F33">
        <w:rPr>
          <w:position w:val="-48"/>
        </w:rPr>
        <w:object w:dxaOrig="2400" w:dyaOrig="1060" w14:anchorId="2FF14FF0">
          <v:shape id="_x0000_i7854" type="#_x0000_t75" style="width:119.8pt;height:53.25pt" o:ole="">
            <v:imagedata r:id="rId13783" o:title=""/>
          </v:shape>
          <o:OLEObject Type="Embed" ProgID="Equation.DSMT4" ShapeID="_x0000_i7854" DrawAspect="Content" ObjectID="_1791381797" r:id="rId13784"/>
        </w:object>
      </w:r>
      <w:r>
        <w:rPr>
          <w:rtl/>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rFonts w:hint="cs"/>
          <w:i/>
          <w:sz w:val="23"/>
          <w:szCs w:val="23"/>
          <w:rtl/>
          <w:lang w:eastAsia="en-GB"/>
        </w:rPr>
        <w:tab/>
      </w:r>
      <w:r w:rsidRPr="00551F33">
        <w:rPr>
          <w:rFonts w:hint="cs"/>
          <w:i/>
          <w:sz w:val="23"/>
          <w:szCs w:val="23"/>
          <w:rtl/>
          <w:lang w:eastAsia="en-GB"/>
        </w:rPr>
        <w:tab/>
        <w:t xml:space="preserve">(۱۵. ۱۷) </w:t>
      </w:r>
    </w:p>
    <w:p w14:paraId="5925D5A5" w14:textId="77777777" w:rsidR="00556C10" w:rsidRPr="00551F33" w:rsidRDefault="00556C10" w:rsidP="00556C10">
      <w:pPr>
        <w:spacing w:line="216" w:lineRule="auto"/>
        <w:rPr>
          <w:i/>
          <w:sz w:val="23"/>
          <w:szCs w:val="23"/>
          <w:lang w:eastAsia="en-GB" w:bidi="ar-SA"/>
        </w:rPr>
      </w:pPr>
      <w:r w:rsidRPr="00551F33">
        <w:rPr>
          <w:rFonts w:hint="cs"/>
          <w:i/>
          <w:sz w:val="23"/>
          <w:szCs w:val="23"/>
          <w:rtl/>
          <w:lang w:eastAsia="en-GB"/>
        </w:rPr>
        <w:t>که در آن</w:t>
      </w:r>
      <w:r w:rsidRPr="00551F33">
        <w:rPr>
          <w:position w:val="-10"/>
        </w:rPr>
        <w:object w:dxaOrig="279" w:dyaOrig="340" w14:anchorId="579475F0">
          <v:shape id="_x0000_i7855" type="#_x0000_t75" style="width:13.9pt;height:16.95pt" o:ole="">
            <v:imagedata r:id="rId13785" o:title=""/>
          </v:shape>
          <o:OLEObject Type="Embed" ProgID="Equation.DSMT4" ShapeID="_x0000_i7855" DrawAspect="Content" ObjectID="_1791381798" r:id="rId13786"/>
        </w:object>
      </w:r>
      <w:r w:rsidRPr="00551F33">
        <w:rPr>
          <w:rFonts w:hint="cs"/>
          <w:i/>
          <w:sz w:val="23"/>
          <w:szCs w:val="23"/>
          <w:rtl/>
          <w:lang w:eastAsia="en-GB"/>
        </w:rPr>
        <w:t xml:space="preserve"> ضریب لاگرانژ برای یک خانوار از نوع</w:t>
      </w:r>
      <w:r w:rsidRPr="00551F33">
        <w:rPr>
          <w:position w:val="-6"/>
        </w:rPr>
        <w:object w:dxaOrig="180" w:dyaOrig="200" w14:anchorId="757D6A86">
          <v:shape id="_x0000_i7856" type="#_x0000_t75" style="width:9.1pt;height:10.3pt" o:ole="">
            <v:imagedata r:id="rId13787" o:title=""/>
          </v:shape>
          <o:OLEObject Type="Embed" ProgID="Equation.DSMT4" ShapeID="_x0000_i7856" DrawAspect="Content" ObjectID="_1791381799" r:id="rId13788"/>
        </w:object>
      </w:r>
      <w:r w:rsidRPr="00551F33">
        <w:rPr>
          <w:rFonts w:hint="cs"/>
          <w:i/>
          <w:sz w:val="23"/>
          <w:szCs w:val="23"/>
          <w:rtl/>
          <w:lang w:eastAsia="en-GB"/>
        </w:rPr>
        <w:t xml:space="preserve"> است و </w:t>
      </w:r>
      <w:r w:rsidRPr="00551F33">
        <w:rPr>
          <w:position w:val="-10"/>
        </w:rPr>
        <w:object w:dxaOrig="1540" w:dyaOrig="320" w14:anchorId="676C9DEC">
          <v:shape id="_x0000_i7857" type="#_x0000_t75" style="width:76.85pt;height:15.75pt" o:ole="">
            <v:imagedata r:id="rId13789" o:title=""/>
          </v:shape>
          <o:OLEObject Type="Embed" ProgID="Equation.DSMT4" ShapeID="_x0000_i7857" DrawAspect="Content" ObjectID="_1791381800" r:id="rId13790"/>
        </w:object>
      </w:r>
      <w:r w:rsidRPr="00551F33">
        <w:rPr>
          <w:i/>
          <w:sz w:val="23"/>
          <w:szCs w:val="23"/>
          <w:lang w:eastAsia="en-GB"/>
        </w:rPr>
        <w:t>.</w:t>
      </w:r>
      <w:r w:rsidRPr="00551F33">
        <w:rPr>
          <w:rFonts w:hint="cs"/>
          <w:i/>
          <w:sz w:val="23"/>
          <w:szCs w:val="23"/>
          <w:rtl/>
          <w:lang w:eastAsia="en-GB"/>
        </w:rPr>
        <w:t xml:space="preserve"> تکامل تعادل مطلوبیت نهایی تمام خانوار</w:t>
      </w:r>
      <w:r w:rsidRPr="00551F33">
        <w:rPr>
          <w:i/>
          <w:sz w:val="23"/>
          <w:szCs w:val="23"/>
          <w:lang w:eastAsia="en-GB"/>
        </w:rPr>
        <w:t>‌</w:t>
      </w:r>
      <w:r w:rsidRPr="00551F33">
        <w:rPr>
          <w:rFonts w:hint="cs"/>
          <w:i/>
          <w:sz w:val="23"/>
          <w:szCs w:val="23"/>
          <w:rtl/>
          <w:lang w:eastAsia="en-GB"/>
        </w:rPr>
        <w:t>ها، احتمال تغییر نوع در آینده را می</w:t>
      </w:r>
      <w:r w:rsidRPr="00551F33">
        <w:rPr>
          <w:i/>
          <w:sz w:val="23"/>
          <w:szCs w:val="23"/>
          <w:lang w:eastAsia="en-GB"/>
        </w:rPr>
        <w:t>‌</w:t>
      </w:r>
      <w:r w:rsidRPr="00551F33">
        <w:rPr>
          <w:rFonts w:hint="cs"/>
          <w:i/>
          <w:sz w:val="23"/>
          <w:szCs w:val="23"/>
          <w:rtl/>
          <w:lang w:eastAsia="en-GB"/>
        </w:rPr>
        <w:t>دهد که در دو معادله اویلر زیر داده شده است</w:t>
      </w:r>
    </w:p>
    <w:p w14:paraId="1B82080A" w14:textId="77777777" w:rsidR="00556C10" w:rsidRPr="00551F33" w:rsidRDefault="00556C10" w:rsidP="00556C10">
      <w:pPr>
        <w:bidi w:val="0"/>
        <w:spacing w:line="216" w:lineRule="auto"/>
        <w:rPr>
          <w:i/>
          <w:sz w:val="23"/>
          <w:szCs w:val="23"/>
          <w:lang w:eastAsia="en-GB"/>
        </w:rPr>
      </w:pPr>
      <w:r w:rsidRPr="00551F33">
        <w:rPr>
          <w:position w:val="-30"/>
        </w:rPr>
        <w:object w:dxaOrig="4920" w:dyaOrig="700" w14:anchorId="4CF361B1">
          <v:shape id="_x0000_i7858" type="#_x0000_t75" style="width:246.25pt;height:35.1pt" o:ole="">
            <v:imagedata r:id="rId13791" o:title=""/>
          </v:shape>
          <o:OLEObject Type="Embed" ProgID="Equation.DSMT4" ShapeID="_x0000_i7858" DrawAspect="Content" ObjectID="_1791381801" r:id="rId13792"/>
        </w:object>
      </w:r>
      <w:r>
        <w:rPr>
          <w:rtl/>
        </w:rPr>
        <w:tab/>
      </w:r>
      <w:r w:rsidRPr="00551F33">
        <w:rPr>
          <w:i/>
          <w:sz w:val="23"/>
          <w:szCs w:val="23"/>
          <w:rtl/>
          <w:lang w:eastAsia="en-GB"/>
        </w:rPr>
        <w:tab/>
      </w:r>
      <w:r w:rsidRPr="00551F33">
        <w:rPr>
          <w:rFonts w:hint="cs"/>
          <w:i/>
          <w:sz w:val="23"/>
          <w:szCs w:val="23"/>
          <w:rtl/>
          <w:lang w:eastAsia="en-GB"/>
        </w:rPr>
        <w:tab/>
        <w:t>(۱۵. ۱۸)</w:t>
      </w:r>
    </w:p>
    <w:p w14:paraId="667B2D17" w14:textId="77777777" w:rsidR="00556C10" w:rsidRPr="00551F33" w:rsidRDefault="00556C10" w:rsidP="00556C10">
      <w:pPr>
        <w:bidi w:val="0"/>
        <w:spacing w:line="216" w:lineRule="auto"/>
        <w:rPr>
          <w:i/>
          <w:sz w:val="23"/>
          <w:szCs w:val="23"/>
          <w:rtl/>
          <w:lang w:eastAsia="en-GB" w:bidi="ar-SA"/>
        </w:rPr>
      </w:pPr>
      <w:r w:rsidRPr="00551F33">
        <w:rPr>
          <w:position w:val="-30"/>
        </w:rPr>
        <w:object w:dxaOrig="5160" w:dyaOrig="700" w14:anchorId="2FF79FEA">
          <v:shape id="_x0000_i7859" type="#_x0000_t75" style="width:257.75pt;height:35.1pt" o:ole="">
            <v:imagedata r:id="rId13793" o:title=""/>
          </v:shape>
          <o:OLEObject Type="Embed" ProgID="Equation.DSMT4" ShapeID="_x0000_i7859" DrawAspect="Content" ObjectID="_1791381802" r:id="rId13794"/>
        </w:object>
      </w:r>
      <w:r>
        <w:rPr>
          <w:rtl/>
        </w:rPr>
        <w:tab/>
      </w:r>
      <w:r w:rsidRPr="00551F33">
        <w:rPr>
          <w:rFonts w:hint="cs"/>
          <w:i/>
          <w:sz w:val="23"/>
          <w:szCs w:val="23"/>
          <w:rtl/>
          <w:lang w:eastAsia="en-GB"/>
        </w:rPr>
        <w:tab/>
        <w:t>(۱۵. ۱۹)</w:t>
      </w:r>
    </w:p>
    <w:p w14:paraId="1E7DB3CF" w14:textId="77777777" w:rsidR="00556C10" w:rsidRPr="00551F33" w:rsidRDefault="00556C10" w:rsidP="00556C10">
      <w:pPr>
        <w:spacing w:line="216" w:lineRule="auto"/>
        <w:rPr>
          <w:i/>
          <w:sz w:val="23"/>
          <w:szCs w:val="23"/>
          <w:rtl/>
          <w:lang w:eastAsia="en-GB"/>
        </w:rPr>
      </w:pPr>
      <w:r w:rsidRPr="00551F33">
        <w:rPr>
          <w:i/>
          <w:sz w:val="23"/>
          <w:szCs w:val="23"/>
          <w:lang w:eastAsia="en-GB"/>
        </w:rPr>
        <w:t> </w:t>
      </w:r>
      <w:r w:rsidRPr="00551F33">
        <w:rPr>
          <w:rFonts w:hint="cs"/>
          <w:i/>
          <w:sz w:val="23"/>
          <w:szCs w:val="23"/>
          <w:rtl/>
          <w:lang w:eastAsia="en-GB"/>
        </w:rPr>
        <w:t>اگر</w:t>
      </w:r>
      <w:r w:rsidRPr="00551F33">
        <w:rPr>
          <w:position w:val="-6"/>
        </w:rPr>
        <w:object w:dxaOrig="520" w:dyaOrig="260" w14:anchorId="49BE9AF7">
          <v:shape id="_x0000_i7860" type="#_x0000_t75" style="width:26pt;height:13.3pt" o:ole="">
            <v:imagedata r:id="rId13795" o:title=""/>
          </v:shape>
          <o:OLEObject Type="Embed" ProgID="Equation.DSMT4" ShapeID="_x0000_i7860" DrawAspect="Content" ObjectID="_1791381803" r:id="rId13796"/>
        </w:object>
      </w:r>
      <w:r w:rsidRPr="00551F33">
        <w:rPr>
          <w:rFonts w:hint="cs"/>
          <w:i/>
          <w:sz w:val="23"/>
          <w:szCs w:val="23"/>
          <w:rtl/>
          <w:lang w:eastAsia="en-GB"/>
        </w:rPr>
        <w:t xml:space="preserve"> باشد آنگاه معادلات (۱۵. ۱۸) و (۱۵. ۱۹) به معادله‌ی (۱۵. ۱۷) بازگشت می‌کند.</w:t>
      </w:r>
    </w:p>
    <w:p w14:paraId="5767C79E" w14:textId="77777777" w:rsidR="00556C10" w:rsidRPr="00551F33" w:rsidRDefault="00556C10" w:rsidP="00556C10">
      <w:pPr>
        <w:spacing w:line="216" w:lineRule="auto"/>
        <w:rPr>
          <w:i/>
          <w:sz w:val="23"/>
          <w:szCs w:val="23"/>
          <w:lang w:eastAsia="en-GB"/>
        </w:rPr>
      </w:pPr>
      <w:r w:rsidRPr="00551F33">
        <w:rPr>
          <w:i/>
          <w:sz w:val="23"/>
          <w:szCs w:val="23"/>
          <w:lang w:eastAsia="en-GB"/>
        </w:rPr>
        <w:t> </w:t>
      </w:r>
    </w:p>
    <w:p w14:paraId="4361D3D0" w14:textId="77777777" w:rsidR="00556C10" w:rsidRPr="00551F33" w:rsidRDefault="00556C10" w:rsidP="00556C10">
      <w:pPr>
        <w:pStyle w:val="Heading1"/>
        <w:spacing w:before="0" w:line="216" w:lineRule="auto"/>
        <w:rPr>
          <w:rFonts w:ascii="Times New Roman" w:hAnsi="Times New Roman" w:cs="B Nazanin"/>
          <w:b w:val="0"/>
          <w:i/>
          <w:sz w:val="23"/>
          <w:szCs w:val="23"/>
          <w:lang w:eastAsia="en-GB"/>
        </w:rPr>
      </w:pPr>
      <w:r w:rsidRPr="00551F33">
        <w:rPr>
          <w:rFonts w:ascii="Times New Roman" w:hAnsi="Times New Roman" w:cs="B Nazanin" w:hint="cs"/>
          <w:b w:val="0"/>
          <w:i/>
          <w:sz w:val="23"/>
          <w:szCs w:val="23"/>
          <w:rtl/>
          <w:lang w:eastAsia="en-GB"/>
        </w:rPr>
        <w:lastRenderedPageBreak/>
        <w:t>۱۵. ۷. ۲ واسطه گران مالی</w:t>
      </w:r>
    </w:p>
    <w:p w14:paraId="1B079D1E"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واسطه</w:t>
      </w:r>
      <w:r w:rsidRPr="00551F33">
        <w:rPr>
          <w:i/>
          <w:sz w:val="23"/>
          <w:szCs w:val="23"/>
          <w:lang w:eastAsia="en-GB"/>
        </w:rPr>
        <w:t>‌</w:t>
      </w:r>
      <w:r w:rsidRPr="00551F33">
        <w:rPr>
          <w:rFonts w:hint="cs"/>
          <w:i/>
          <w:sz w:val="23"/>
          <w:szCs w:val="23"/>
          <w:rtl/>
          <w:lang w:eastAsia="en-GB"/>
        </w:rPr>
        <w:t>گران مالی بنگاه‌های یکسان و رقابتی کاملی هستند که سپرده اخذ می‌کنند و وام یک دوره</w:t>
      </w:r>
      <w:r w:rsidRPr="00551F33">
        <w:rPr>
          <w:rFonts w:hint="cs"/>
          <w:i/>
          <w:sz w:val="23"/>
          <w:szCs w:val="23"/>
          <w:rtl/>
          <w:lang w:eastAsia="en-GB"/>
        </w:rPr>
        <w:softHyphen/>
        <w:t>ای</w:t>
      </w:r>
      <w:r w:rsidRPr="00551F33">
        <w:rPr>
          <w:position w:val="-10"/>
        </w:rPr>
        <w:object w:dxaOrig="260" w:dyaOrig="320" w14:anchorId="304BD018">
          <v:shape id="_x0000_i7861" type="#_x0000_t75" style="width:13.3pt;height:15.75pt" o:ole="">
            <v:imagedata r:id="rId13797" o:title=""/>
          </v:shape>
          <o:OLEObject Type="Embed" ProgID="Equation.DSMT4" ShapeID="_x0000_i7861" DrawAspect="Content" ObjectID="_1791381804" r:id="rId13798"/>
        </w:object>
      </w:r>
      <w:r w:rsidRPr="00551F33">
        <w:rPr>
          <w:rFonts w:hint="cs"/>
          <w:i/>
          <w:sz w:val="23"/>
          <w:szCs w:val="23"/>
          <w:rtl/>
          <w:lang w:eastAsia="en-GB"/>
        </w:rPr>
        <w:t xml:space="preserve"> در نرخ‌های داده شده در بالا را به خانوارها می</w:t>
      </w:r>
      <w:r w:rsidRPr="00551F33">
        <w:rPr>
          <w:i/>
          <w:sz w:val="23"/>
          <w:szCs w:val="23"/>
          <w:lang w:eastAsia="en-GB"/>
        </w:rPr>
        <w:t>‌</w:t>
      </w:r>
      <w:r w:rsidRPr="00551F33">
        <w:rPr>
          <w:rFonts w:hint="cs"/>
          <w:i/>
          <w:sz w:val="23"/>
          <w:szCs w:val="23"/>
          <w:rtl/>
          <w:lang w:eastAsia="en-GB"/>
        </w:rPr>
        <w:t xml:space="preserve">پردازند. به علاوه آن‌ها ذخیره‌های </w:t>
      </w:r>
      <w:r w:rsidRPr="00551F33">
        <w:rPr>
          <w:position w:val="-10"/>
        </w:rPr>
        <w:object w:dxaOrig="340" w:dyaOrig="320" w14:anchorId="677B04CE">
          <v:shape id="_x0000_i7862" type="#_x0000_t75" style="width:16.95pt;height:15.75pt" o:ole="">
            <v:imagedata r:id="rId13799" o:title=""/>
          </v:shape>
          <o:OLEObject Type="Embed" ProgID="Equation.DSMT4" ShapeID="_x0000_i7862" DrawAspect="Content" ObjectID="_1791381805" r:id="rId13800"/>
        </w:object>
      </w:r>
      <w:r w:rsidRPr="00551F33">
        <w:rPr>
          <w:rFonts w:hint="cs"/>
          <w:i/>
          <w:sz w:val="23"/>
          <w:szCs w:val="23"/>
          <w:rtl/>
          <w:lang w:eastAsia="en-GB"/>
        </w:rPr>
        <w:t>را در بانک مرکزی می‌سپارند که از آن درآمده بهره</w:t>
      </w:r>
      <w:r w:rsidRPr="00551F33">
        <w:rPr>
          <w:i/>
          <w:sz w:val="23"/>
          <w:szCs w:val="23"/>
          <w:lang w:eastAsia="en-GB"/>
        </w:rPr>
        <w:t>‌</w:t>
      </w:r>
      <w:r w:rsidRPr="00551F33">
        <w:rPr>
          <w:rFonts w:hint="cs"/>
          <w:i/>
          <w:sz w:val="23"/>
          <w:szCs w:val="23"/>
          <w:rtl/>
          <w:lang w:eastAsia="en-GB"/>
        </w:rPr>
        <w:t>ای</w:t>
      </w:r>
      <w:r w:rsidRPr="00551F33">
        <w:rPr>
          <w:position w:val="-10"/>
        </w:rPr>
        <w:object w:dxaOrig="279" w:dyaOrig="340" w14:anchorId="757435BD">
          <v:shape id="_x0000_i7863" type="#_x0000_t75" style="width:13.9pt;height:16.95pt" o:ole="">
            <v:imagedata r:id="rId13801" o:title=""/>
          </v:shape>
          <o:OLEObject Type="Embed" ProgID="Equation.DSMT4" ShapeID="_x0000_i7863" DrawAspect="Content" ObjectID="_1791381806" r:id="rId13802"/>
        </w:object>
      </w:r>
      <w:r w:rsidRPr="00551F33">
        <w:rPr>
          <w:rFonts w:hint="cs"/>
          <w:i/>
          <w:sz w:val="23"/>
          <w:szCs w:val="23"/>
          <w:rtl/>
          <w:lang w:eastAsia="en-GB"/>
        </w:rPr>
        <w:t xml:space="preserve"> به دست می</w:t>
      </w:r>
      <w:r w:rsidRPr="00551F33">
        <w:rPr>
          <w:i/>
          <w:sz w:val="23"/>
          <w:szCs w:val="23"/>
          <w:lang w:eastAsia="en-GB"/>
        </w:rPr>
        <w:t>‌</w:t>
      </w:r>
      <w:r w:rsidRPr="00551F33">
        <w:rPr>
          <w:rFonts w:hint="cs"/>
          <w:i/>
          <w:sz w:val="23"/>
          <w:szCs w:val="23"/>
          <w:rtl/>
          <w:lang w:eastAsia="en-GB"/>
        </w:rPr>
        <w:t>آورند</w:t>
      </w:r>
      <w:r w:rsidRPr="00551F33">
        <w:rPr>
          <w:i/>
          <w:sz w:val="23"/>
          <w:szCs w:val="23"/>
          <w:lang w:eastAsia="en-GB"/>
        </w:rPr>
        <w:t>.</w:t>
      </w:r>
      <w:r w:rsidRPr="00551F33">
        <w:rPr>
          <w:rFonts w:hint="cs"/>
          <w:i/>
          <w:sz w:val="23"/>
          <w:szCs w:val="23"/>
          <w:rtl/>
          <w:lang w:eastAsia="en-GB"/>
        </w:rPr>
        <w:t xml:space="preserve"> فرض کلیدی این است که برای وام اولیه به میزان</w:t>
      </w:r>
      <w:r w:rsidRPr="00551F33">
        <w:rPr>
          <w:position w:val="-12"/>
        </w:rPr>
        <w:object w:dxaOrig="980" w:dyaOrig="360" w14:anchorId="063E8AE0">
          <v:shape id="_x0000_i7864" type="#_x0000_t75" style="width:49pt;height:18.15pt" o:ole="">
            <v:imagedata r:id="rId13803" o:title=""/>
          </v:shape>
          <o:OLEObject Type="Embed" ProgID="Equation.DSMT4" ShapeID="_x0000_i7864" DrawAspect="Content" ObjectID="_1791381807" r:id="rId13804"/>
        </w:object>
      </w:r>
      <w:r w:rsidRPr="00551F33">
        <w:rPr>
          <w:rFonts w:hint="cs"/>
          <w:i/>
          <w:sz w:val="23"/>
          <w:szCs w:val="23"/>
          <w:rtl/>
          <w:lang w:eastAsia="en-GB"/>
        </w:rPr>
        <w:t xml:space="preserve"> هزینه منبعی وجود دارد، که در آن </w:t>
      </w:r>
      <w:r w:rsidRPr="00551F33">
        <w:rPr>
          <w:position w:val="-10"/>
        </w:rPr>
        <w:object w:dxaOrig="2180" w:dyaOrig="320" w14:anchorId="2862668E">
          <v:shape id="_x0000_i7865" type="#_x0000_t75" style="width:108.9pt;height:15.75pt" o:ole="">
            <v:imagedata r:id="rId13805" o:title=""/>
          </v:shape>
          <o:OLEObject Type="Embed" ProgID="Equation.DSMT4" ShapeID="_x0000_i7865" DrawAspect="Content" ObjectID="_1791381808" r:id="rId13806"/>
        </w:object>
      </w:r>
      <w:r w:rsidRPr="00551F33">
        <w:rPr>
          <w:i/>
          <w:sz w:val="23"/>
          <w:szCs w:val="23"/>
          <w:lang w:eastAsia="en-GB"/>
        </w:rPr>
        <w:t xml:space="preserve"> .</w:t>
      </w:r>
      <w:r w:rsidRPr="00551F33">
        <w:rPr>
          <w:rFonts w:hint="cs"/>
          <w:i/>
          <w:sz w:val="23"/>
          <w:szCs w:val="23"/>
          <w:rtl/>
          <w:lang w:eastAsia="en-GB"/>
        </w:rPr>
        <w:t>اگر هزینه</w:t>
      </w:r>
      <w:r w:rsidRPr="00551F33">
        <w:rPr>
          <w:rFonts w:hint="cs"/>
          <w:i/>
          <w:sz w:val="23"/>
          <w:szCs w:val="23"/>
          <w:rtl/>
          <w:lang w:eastAsia="en-GB"/>
        </w:rPr>
        <w:softHyphen/>
        <w:t>ی منبع حقیقی</w:t>
      </w:r>
      <w:r w:rsidRPr="00551F33">
        <w:rPr>
          <w:position w:val="-10"/>
        </w:rPr>
        <w:object w:dxaOrig="1120" w:dyaOrig="320" w14:anchorId="62050B62">
          <v:shape id="_x0000_i7866" type="#_x0000_t75" style="width:56.25pt;height:15.75pt" o:ole="">
            <v:imagedata r:id="rId13807" o:title=""/>
          </v:shape>
          <o:OLEObject Type="Embed" ProgID="Equation.DSMT4" ShapeID="_x0000_i7866" DrawAspect="Content" ObjectID="_1791381809" r:id="rId13808"/>
        </w:object>
      </w:r>
      <w:r w:rsidRPr="00551F33">
        <w:rPr>
          <w:rFonts w:hint="cs"/>
          <w:i/>
          <w:sz w:val="23"/>
          <w:szCs w:val="23"/>
          <w:rtl/>
          <w:lang w:eastAsia="en-GB"/>
        </w:rPr>
        <w:t>، تقاضا برای ذخائر برآورده خواهد شد، پایین</w:t>
      </w:r>
      <w:r w:rsidRPr="00551F33">
        <w:rPr>
          <w:i/>
          <w:sz w:val="23"/>
          <w:szCs w:val="23"/>
          <w:lang w:eastAsia="en-GB"/>
        </w:rPr>
        <w:t>‌</w:t>
      </w:r>
      <w:r w:rsidRPr="00551F33">
        <w:rPr>
          <w:rFonts w:hint="cs"/>
          <w:i/>
          <w:sz w:val="23"/>
          <w:szCs w:val="23"/>
          <w:rtl/>
          <w:lang w:eastAsia="en-GB"/>
        </w:rPr>
        <w:t>ترین سطح</w:t>
      </w:r>
      <w:r w:rsidRPr="00551F33">
        <w:rPr>
          <w:position w:val="-10"/>
        </w:rPr>
        <w:object w:dxaOrig="340" w:dyaOrig="320" w14:anchorId="76929879">
          <v:shape id="_x0000_i7867" type="#_x0000_t75" style="width:16.95pt;height:15.75pt" o:ole="">
            <v:imagedata r:id="rId13809" o:title=""/>
          </v:shape>
          <o:OLEObject Type="Embed" ProgID="Equation.DSMT4" ShapeID="_x0000_i7867" DrawAspect="Content" ObjectID="_1791381810" r:id="rId13810"/>
        </w:object>
      </w:r>
      <w:r w:rsidRPr="00551F33">
        <w:rPr>
          <w:rFonts w:hint="cs"/>
          <w:i/>
          <w:sz w:val="23"/>
          <w:szCs w:val="23"/>
          <w:rtl/>
          <w:lang w:eastAsia="en-GB"/>
        </w:rPr>
        <w:t>که این را برآورده می</w:t>
      </w:r>
      <w:r w:rsidRPr="00551F33">
        <w:rPr>
          <w:i/>
          <w:sz w:val="23"/>
          <w:szCs w:val="23"/>
          <w:lang w:eastAsia="en-GB"/>
        </w:rPr>
        <w:t>‌</w:t>
      </w:r>
      <w:r w:rsidRPr="00551F33">
        <w:rPr>
          <w:rFonts w:hint="cs"/>
          <w:i/>
          <w:sz w:val="23"/>
          <w:szCs w:val="23"/>
          <w:rtl/>
          <w:lang w:eastAsia="en-GB"/>
        </w:rPr>
        <w:t>سازد، سطح اشباع ذخائر است. به علاوه یک هزینه به خاطر وام‌های بد نیز با</w:t>
      </w:r>
      <w:r w:rsidRPr="00551F33">
        <w:rPr>
          <w:position w:val="-12"/>
        </w:rPr>
        <w:object w:dxaOrig="620" w:dyaOrig="360" w14:anchorId="70F04D0B">
          <v:shape id="_x0000_i7868" type="#_x0000_t75" style="width:31.45pt;height:18.15pt" o:ole="">
            <v:imagedata r:id="rId13811" o:title=""/>
          </v:shape>
          <o:OLEObject Type="Embed" ProgID="Equation.DSMT4" ShapeID="_x0000_i7868" DrawAspect="Content" ObjectID="_1791381811" r:id="rId13812"/>
        </w:object>
      </w:r>
      <w:r w:rsidRPr="00551F33">
        <w:rPr>
          <w:rFonts w:hint="cs"/>
          <w:i/>
          <w:sz w:val="23"/>
          <w:szCs w:val="23"/>
          <w:rtl/>
          <w:lang w:eastAsia="en-GB"/>
        </w:rPr>
        <w:t xml:space="preserve"> نشان داده می‌شود که </w:t>
      </w:r>
      <w:r w:rsidRPr="00551F33">
        <w:rPr>
          <w:position w:val="-10"/>
        </w:rPr>
        <w:object w:dxaOrig="680" w:dyaOrig="320" w14:anchorId="4DC89F33">
          <v:shape id="_x0000_i7869" type="#_x0000_t75" style="width:33.9pt;height:15.75pt" o:ole="">
            <v:imagedata r:id="rId13813" o:title=""/>
          </v:shape>
          <o:OLEObject Type="Embed" ProgID="Equation.DSMT4" ShapeID="_x0000_i7869" DrawAspect="Content" ObjectID="_1791381812" r:id="rId13814"/>
        </w:object>
      </w:r>
      <w:r w:rsidRPr="00551F33">
        <w:rPr>
          <w:rFonts w:hint="cs"/>
          <w:i/>
          <w:sz w:val="23"/>
          <w:szCs w:val="23"/>
          <w:rtl/>
          <w:lang w:eastAsia="en-GB"/>
        </w:rPr>
        <w:t>.</w:t>
      </w:r>
      <w:r w:rsidRPr="00551F33">
        <w:rPr>
          <w:i/>
          <w:sz w:val="23"/>
          <w:szCs w:val="23"/>
          <w:lang w:eastAsia="en-GB"/>
        </w:rPr>
        <w:t> </w:t>
      </w:r>
      <w:r w:rsidRPr="00551F33">
        <w:rPr>
          <w:rFonts w:hint="cs"/>
          <w:i/>
          <w:sz w:val="23"/>
          <w:szCs w:val="23"/>
          <w:rtl/>
          <w:lang w:eastAsia="en-GB"/>
        </w:rPr>
        <w:t>سود واسطه</w:t>
      </w:r>
      <w:r w:rsidRPr="00551F33">
        <w:rPr>
          <w:i/>
          <w:sz w:val="23"/>
          <w:szCs w:val="23"/>
          <w:lang w:eastAsia="en-GB"/>
        </w:rPr>
        <w:t>‌</w:t>
      </w:r>
      <w:r w:rsidRPr="00551F33">
        <w:rPr>
          <w:rFonts w:hint="cs"/>
          <w:i/>
          <w:sz w:val="23"/>
          <w:szCs w:val="23"/>
          <w:rtl/>
          <w:lang w:eastAsia="en-GB"/>
        </w:rPr>
        <w:t>گران مالی عبارت است از</w:t>
      </w:r>
    </w:p>
    <w:p w14:paraId="0E23577A" w14:textId="77777777" w:rsidR="00556C10" w:rsidRPr="00551F33" w:rsidRDefault="00556C10" w:rsidP="00556C10">
      <w:pPr>
        <w:bidi w:val="0"/>
        <w:spacing w:line="216" w:lineRule="auto"/>
        <w:rPr>
          <w:i/>
          <w:sz w:val="23"/>
          <w:szCs w:val="23"/>
          <w:lang w:eastAsia="en-GB"/>
        </w:rPr>
      </w:pPr>
      <w:r w:rsidRPr="00551F33">
        <w:rPr>
          <w:position w:val="-34"/>
        </w:rPr>
        <w:object w:dxaOrig="4260" w:dyaOrig="780" w14:anchorId="24903947">
          <v:shape id="_x0000_i7870" type="#_x0000_t75" style="width:212.95pt;height:39.35pt" o:ole="">
            <v:imagedata r:id="rId13815" o:title=""/>
          </v:shape>
          <o:OLEObject Type="Embed" ProgID="Equation.DSMT4" ShapeID="_x0000_i7870" DrawAspect="Content" ObjectID="_1791381813" r:id="rId13816"/>
        </w:object>
      </w:r>
    </w:p>
    <w:p w14:paraId="7CDF930C"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 xml:space="preserve">حداکثر کردن </w:t>
      </w:r>
      <w:r w:rsidRPr="00551F33">
        <w:rPr>
          <w:position w:val="-26"/>
        </w:rPr>
        <w:object w:dxaOrig="880" w:dyaOrig="620" w14:anchorId="4BF212C9">
          <v:shape id="_x0000_i7871" type="#_x0000_t75" style="width:44.15pt;height:31.45pt" o:ole="">
            <v:imagedata r:id="rId13817" o:title=""/>
          </v:shape>
          <o:OLEObject Type="Embed" ProgID="Equation.DSMT4" ShapeID="_x0000_i7871" DrawAspect="Content" ObjectID="_1791381814" r:id="rId13818"/>
        </w:object>
      </w:r>
      <w:r w:rsidRPr="00551F33">
        <w:rPr>
          <w:rFonts w:hint="cs"/>
          <w:i/>
          <w:sz w:val="23"/>
          <w:szCs w:val="23"/>
          <w:rtl/>
          <w:lang w:eastAsia="en-GB"/>
        </w:rPr>
        <w:t>نسبت به وام‌ها و ذخائر نشان می‌دهد که</w:t>
      </w:r>
    </w:p>
    <w:p w14:paraId="28192840" w14:textId="77777777" w:rsidR="00556C10" w:rsidRPr="00551F33" w:rsidRDefault="00556C10" w:rsidP="00556C10">
      <w:pPr>
        <w:bidi w:val="0"/>
        <w:spacing w:line="216" w:lineRule="auto"/>
        <w:rPr>
          <w:i/>
          <w:sz w:val="23"/>
          <w:szCs w:val="23"/>
          <w:lang w:eastAsia="en-GB"/>
        </w:rPr>
      </w:pPr>
      <w:r w:rsidRPr="00551F33">
        <w:rPr>
          <w:position w:val="-58"/>
        </w:rPr>
        <w:object w:dxaOrig="2820" w:dyaOrig="1260" w14:anchorId="20C7997D">
          <v:shape id="_x0000_i7872" type="#_x0000_t75" style="width:140.95pt;height:62.9pt" o:ole="">
            <v:imagedata r:id="rId13819" o:title=""/>
          </v:shape>
          <o:OLEObject Type="Embed" ProgID="Equation.DSMT4" ShapeID="_x0000_i7872" DrawAspect="Content" ObjectID="_1791381815" r:id="rId13820"/>
        </w:object>
      </w:r>
    </w:p>
    <w:p w14:paraId="6829E083"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در تعادل وضعیت یکنواخت مابه</w:t>
      </w:r>
      <w:r w:rsidRPr="00551F33">
        <w:rPr>
          <w:rFonts w:hint="cs"/>
          <w:i/>
          <w:sz w:val="23"/>
          <w:szCs w:val="23"/>
          <w:rtl/>
          <w:lang w:eastAsia="en-GB"/>
        </w:rPr>
        <w:softHyphen/>
        <w:t>التفاوت اعتبار عبارت است از</w:t>
      </w:r>
    </w:p>
    <w:p w14:paraId="2996E373" w14:textId="77777777" w:rsidR="00556C10" w:rsidRPr="00551F33" w:rsidRDefault="00556C10" w:rsidP="00556C10">
      <w:pPr>
        <w:bidi w:val="0"/>
        <w:spacing w:line="216" w:lineRule="auto"/>
        <w:rPr>
          <w:i/>
          <w:sz w:val="23"/>
          <w:szCs w:val="23"/>
          <w:lang w:eastAsia="en-GB"/>
        </w:rPr>
      </w:pPr>
      <w:r w:rsidRPr="00551F33">
        <w:rPr>
          <w:position w:val="-28"/>
        </w:rPr>
        <w:object w:dxaOrig="2799" w:dyaOrig="660" w14:anchorId="24581C8A">
          <v:shape id="_x0000_i7873" type="#_x0000_t75" style="width:139.75pt;height:32.65pt" o:ole="">
            <v:imagedata r:id="rId13821" o:title=""/>
          </v:shape>
          <o:OLEObject Type="Embed" ProgID="Equation.DSMT4" ShapeID="_x0000_i7873" DrawAspect="Content" ObjectID="_1791381816" r:id="rId13822"/>
        </w:object>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i/>
          <w:sz w:val="23"/>
          <w:szCs w:val="23"/>
          <w:rtl/>
          <w:lang w:eastAsia="en-GB"/>
        </w:rPr>
        <w:tab/>
      </w:r>
      <w:r>
        <w:rPr>
          <w:i/>
          <w:sz w:val="23"/>
          <w:szCs w:val="23"/>
          <w:rtl/>
          <w:lang w:eastAsia="en-GB"/>
        </w:rPr>
        <w:tab/>
      </w:r>
      <w:r w:rsidRPr="00551F33">
        <w:rPr>
          <w:i/>
          <w:sz w:val="23"/>
          <w:szCs w:val="23"/>
          <w:rtl/>
          <w:lang w:eastAsia="en-GB"/>
        </w:rPr>
        <w:tab/>
      </w:r>
      <w:r w:rsidRPr="00551F33">
        <w:rPr>
          <w:i/>
          <w:sz w:val="23"/>
          <w:szCs w:val="23"/>
          <w:rtl/>
          <w:lang w:eastAsia="en-GB"/>
        </w:rPr>
        <w:tab/>
      </w:r>
      <w:r>
        <w:rPr>
          <w:i/>
          <w:sz w:val="23"/>
          <w:szCs w:val="23"/>
          <w:rtl/>
          <w:lang w:eastAsia="en-GB"/>
        </w:rPr>
        <w:tab/>
      </w:r>
      <w:r>
        <w:rPr>
          <w:i/>
          <w:sz w:val="23"/>
          <w:szCs w:val="23"/>
          <w:rtl/>
          <w:lang w:eastAsia="en-GB"/>
        </w:rPr>
        <w:tab/>
      </w:r>
      <w:r w:rsidRPr="00551F33">
        <w:rPr>
          <w:rFonts w:hint="cs"/>
          <w:i/>
          <w:sz w:val="23"/>
          <w:szCs w:val="23"/>
          <w:rtl/>
          <w:lang w:eastAsia="en-GB"/>
        </w:rPr>
        <w:tab/>
        <w:t>(۱۵. ۲۰)</w:t>
      </w:r>
      <w:r w:rsidRPr="00551F33">
        <w:rPr>
          <w:i/>
          <w:sz w:val="23"/>
          <w:szCs w:val="23"/>
          <w:lang w:eastAsia="en-GB"/>
        </w:rPr>
        <w:t xml:space="preserve"> </w:t>
      </w:r>
    </w:p>
    <w:p w14:paraId="1CA06ECC" w14:textId="77777777" w:rsidR="00556C10" w:rsidRPr="00551F33" w:rsidRDefault="00556C10" w:rsidP="00556C10">
      <w:pPr>
        <w:spacing w:line="216" w:lineRule="auto"/>
        <w:rPr>
          <w:i/>
          <w:sz w:val="23"/>
          <w:szCs w:val="23"/>
          <w:rtl/>
          <w:lang w:eastAsia="en-GB" w:bidi="ar-SA"/>
        </w:rPr>
      </w:pPr>
      <w:r w:rsidRPr="00551F33">
        <w:rPr>
          <w:rFonts w:hint="cs"/>
          <w:i/>
          <w:sz w:val="23"/>
          <w:szCs w:val="23"/>
          <w:rtl/>
          <w:lang w:eastAsia="en-GB"/>
        </w:rPr>
        <w:t>و مابه</w:t>
      </w:r>
      <w:r w:rsidRPr="00551F33">
        <w:rPr>
          <w:rFonts w:hint="cs"/>
          <w:i/>
          <w:sz w:val="23"/>
          <w:szCs w:val="23"/>
          <w:rtl/>
          <w:lang w:eastAsia="en-GB"/>
        </w:rPr>
        <w:softHyphen/>
        <w:t>التفاوت ذخایر برابر است با</w:t>
      </w:r>
    </w:p>
    <w:p w14:paraId="51C74E8B" w14:textId="77777777" w:rsidR="00556C10" w:rsidRPr="00551F33" w:rsidRDefault="00556C10" w:rsidP="00556C10">
      <w:pPr>
        <w:bidi w:val="0"/>
        <w:spacing w:line="216" w:lineRule="auto"/>
        <w:rPr>
          <w:i/>
          <w:sz w:val="23"/>
          <w:szCs w:val="23"/>
          <w:lang w:eastAsia="en-GB"/>
        </w:rPr>
      </w:pPr>
      <w:r w:rsidRPr="00551F33">
        <w:rPr>
          <w:position w:val="-28"/>
        </w:rPr>
        <w:object w:dxaOrig="2400" w:dyaOrig="660" w14:anchorId="634BA296">
          <v:shape id="_x0000_i7874" type="#_x0000_t75" style="width:119.8pt;height:32.65pt" o:ole="">
            <v:imagedata r:id="rId13823" o:title=""/>
          </v:shape>
          <o:OLEObject Type="Embed" ProgID="Equation.DSMT4" ShapeID="_x0000_i7874" DrawAspect="Content" ObjectID="_1791381817" r:id="rId13824"/>
        </w:object>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Pr>
          <w:i/>
          <w:sz w:val="23"/>
          <w:szCs w:val="23"/>
          <w:rtl/>
          <w:lang w:eastAsia="en-GB"/>
        </w:rPr>
        <w:tab/>
      </w:r>
      <w:r>
        <w:rPr>
          <w:i/>
          <w:sz w:val="23"/>
          <w:szCs w:val="23"/>
          <w:rtl/>
          <w:lang w:eastAsia="en-GB"/>
        </w:rPr>
        <w:tab/>
      </w:r>
      <w:r w:rsidRPr="00551F33">
        <w:rPr>
          <w:i/>
          <w:sz w:val="23"/>
          <w:szCs w:val="23"/>
          <w:rtl/>
          <w:lang w:eastAsia="en-GB"/>
        </w:rPr>
        <w:tab/>
      </w:r>
      <w:r w:rsidRPr="00551F33">
        <w:rPr>
          <w:rFonts w:hint="cs"/>
          <w:i/>
          <w:sz w:val="23"/>
          <w:szCs w:val="23"/>
          <w:rtl/>
          <w:lang w:eastAsia="en-GB"/>
        </w:rPr>
        <w:tab/>
        <w:t>(۱۵. ۲۱)</w:t>
      </w:r>
      <w:r w:rsidRPr="00551F33">
        <w:rPr>
          <w:i/>
          <w:sz w:val="23"/>
          <w:szCs w:val="23"/>
          <w:lang w:eastAsia="en-GB"/>
        </w:rPr>
        <w:t xml:space="preserve"> </w:t>
      </w:r>
    </w:p>
    <w:p w14:paraId="661CFA71" w14:textId="77777777" w:rsidR="00556C10" w:rsidRPr="00551F33" w:rsidRDefault="00556C10" w:rsidP="00556C10">
      <w:pPr>
        <w:spacing w:line="216" w:lineRule="auto"/>
        <w:rPr>
          <w:i/>
          <w:sz w:val="23"/>
          <w:szCs w:val="23"/>
          <w:rtl/>
          <w:lang w:eastAsia="en-GB" w:bidi="ar-SA"/>
        </w:rPr>
      </w:pPr>
      <w:r w:rsidRPr="00551F33">
        <w:rPr>
          <w:rFonts w:hint="cs"/>
          <w:i/>
          <w:sz w:val="23"/>
          <w:szCs w:val="23"/>
          <w:rtl/>
          <w:lang w:eastAsia="en-GB"/>
        </w:rPr>
        <w:t>چون</w:t>
      </w:r>
      <w:r w:rsidRPr="00551F33">
        <w:rPr>
          <w:position w:val="-12"/>
        </w:rPr>
        <w:object w:dxaOrig="760" w:dyaOrig="340" w14:anchorId="67A94721">
          <v:shape id="_x0000_i7875" type="#_x0000_t75" style="width:38.1pt;height:16.95pt" o:ole="">
            <v:imagedata r:id="rId13825" o:title=""/>
          </v:shape>
          <o:OLEObject Type="Embed" ProgID="Equation.DSMT4" ShapeID="_x0000_i7875" DrawAspect="Content" ObjectID="_1791381818" r:id="rId13826"/>
        </w:object>
      </w:r>
      <w:r w:rsidRPr="00551F33">
        <w:rPr>
          <w:rFonts w:hint="cs"/>
          <w:i/>
          <w:sz w:val="23"/>
          <w:szCs w:val="23"/>
          <w:rtl/>
          <w:lang w:eastAsia="en-GB"/>
        </w:rPr>
        <w:t xml:space="preserve"> هرچه مابه</w:t>
      </w:r>
      <w:r w:rsidRPr="00551F33">
        <w:rPr>
          <w:rFonts w:hint="cs"/>
          <w:i/>
          <w:sz w:val="23"/>
          <w:szCs w:val="23"/>
          <w:rtl/>
          <w:lang w:eastAsia="en-GB"/>
        </w:rPr>
        <w:softHyphen/>
        <w:t>التفاوت بیشتر باشد عرضه</w:t>
      </w:r>
      <w:r w:rsidRPr="00551F33">
        <w:rPr>
          <w:rFonts w:hint="cs"/>
          <w:i/>
          <w:sz w:val="23"/>
          <w:szCs w:val="23"/>
          <w:rtl/>
          <w:lang w:eastAsia="en-GB"/>
        </w:rPr>
        <w:softHyphen/>
        <w:t>ی وام بزرگتر است، و چون</w:t>
      </w:r>
      <w:r w:rsidRPr="00551F33">
        <w:rPr>
          <w:position w:val="-12"/>
        </w:rPr>
        <w:object w:dxaOrig="800" w:dyaOrig="340" w14:anchorId="641AB9BE">
          <v:shape id="_x0000_i7876" type="#_x0000_t75" style="width:39.95pt;height:16.95pt" o:ole="">
            <v:imagedata r:id="rId13827" o:title=""/>
          </v:shape>
          <o:OLEObject Type="Embed" ProgID="Equation.DSMT4" ShapeID="_x0000_i7876" DrawAspect="Content" ObjectID="_1791381819" r:id="rId13828"/>
        </w:object>
      </w:r>
      <w:r w:rsidRPr="00551F33">
        <w:rPr>
          <w:rFonts w:hint="cs"/>
          <w:i/>
          <w:sz w:val="23"/>
          <w:szCs w:val="23"/>
          <w:rtl/>
          <w:lang w:eastAsia="en-GB"/>
        </w:rPr>
        <w:t>، هرچه نرخ سپرده نسبت به نرخ ذخائر بیشتر باشد،</w:t>
      </w:r>
      <w:r w:rsidRPr="00551F33">
        <w:rPr>
          <w:position w:val="-10"/>
        </w:rPr>
        <w:object w:dxaOrig="680" w:dyaOrig="340" w14:anchorId="7054986B">
          <v:shape id="_x0000_i7877" type="#_x0000_t75" style="width:33.9pt;height:16.95pt" o:ole="">
            <v:imagedata r:id="rId13829" o:title=""/>
          </v:shape>
          <o:OLEObject Type="Embed" ProgID="Equation.DSMT4" ShapeID="_x0000_i7877" DrawAspect="Content" ObjectID="_1791381820" r:id="rId13830"/>
        </w:object>
      </w:r>
      <w:r w:rsidRPr="00551F33">
        <w:rPr>
          <w:rFonts w:hint="cs"/>
          <w:i/>
          <w:sz w:val="23"/>
          <w:szCs w:val="23"/>
          <w:rtl/>
          <w:lang w:eastAsia="en-GB"/>
        </w:rPr>
        <w:t>، تقاضا برای ذخائر بیشتر خواهد شد.</w:t>
      </w:r>
    </w:p>
    <w:p w14:paraId="00C0B9FD" w14:textId="77777777" w:rsidR="00556C10" w:rsidRPr="00551F33" w:rsidRDefault="00556C10" w:rsidP="00556C10">
      <w:pPr>
        <w:spacing w:line="216" w:lineRule="auto"/>
        <w:rPr>
          <w:i/>
          <w:sz w:val="23"/>
          <w:szCs w:val="23"/>
          <w:lang w:eastAsia="en-GB"/>
        </w:rPr>
      </w:pPr>
      <w:r w:rsidRPr="00551F33">
        <w:rPr>
          <w:i/>
          <w:sz w:val="23"/>
          <w:szCs w:val="23"/>
          <w:lang w:eastAsia="en-GB"/>
        </w:rPr>
        <w:t> </w:t>
      </w:r>
    </w:p>
    <w:p w14:paraId="7CABD8D4" w14:textId="77777777" w:rsidR="00556C10" w:rsidRPr="00551F33" w:rsidRDefault="00556C10" w:rsidP="00556C10">
      <w:pPr>
        <w:pStyle w:val="Heading1"/>
        <w:spacing w:before="0" w:line="216" w:lineRule="auto"/>
        <w:rPr>
          <w:rFonts w:ascii="Times New Roman" w:eastAsiaTheme="majorEastAsia" w:hAnsi="Times New Roman" w:cs="B Nazanin"/>
          <w:b w:val="0"/>
          <w:bCs w:val="0"/>
          <w:i/>
          <w:sz w:val="23"/>
          <w:szCs w:val="23"/>
        </w:rPr>
      </w:pPr>
      <w:r w:rsidRPr="00551F33">
        <w:rPr>
          <w:rFonts w:ascii="Times New Roman" w:hAnsi="Times New Roman" w:cs="B Nazanin" w:hint="cs"/>
          <w:b w:val="0"/>
          <w:bCs w:val="0"/>
          <w:i/>
          <w:sz w:val="23"/>
          <w:szCs w:val="23"/>
          <w:rtl/>
        </w:rPr>
        <w:t>۱۵</w:t>
      </w:r>
      <w:r w:rsidRPr="00551F33">
        <w:rPr>
          <w:rStyle w:val="Heading1Char"/>
          <w:rFonts w:ascii="Times New Roman" w:hAnsi="Times New Roman" w:cs="B Nazanin" w:hint="cs"/>
          <w:bCs/>
          <w:i/>
          <w:sz w:val="23"/>
          <w:szCs w:val="23"/>
          <w:rtl/>
        </w:rPr>
        <w:t>. ۷. ۳ بانک مرکزی</w:t>
      </w:r>
    </w:p>
    <w:p w14:paraId="67AA2684"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 xml:space="preserve"> بانک مرکزی اعتبار</w:t>
      </w:r>
      <w:r w:rsidRPr="00551F33">
        <w:rPr>
          <w:position w:val="-10"/>
        </w:rPr>
        <w:object w:dxaOrig="420" w:dyaOrig="340" w14:anchorId="78683E5F">
          <v:shape id="_x0000_i7878" type="#_x0000_t75" style="width:21.2pt;height:16.95pt" o:ole="">
            <v:imagedata r:id="rId13831" o:title=""/>
          </v:shape>
          <o:OLEObject Type="Embed" ProgID="Equation.DSMT4" ShapeID="_x0000_i7878" DrawAspect="Content" ObjectID="_1791381821" r:id="rId13832"/>
        </w:object>
      </w:r>
      <w:r w:rsidRPr="00551F33">
        <w:rPr>
          <w:rFonts w:hint="cs"/>
          <w:i/>
          <w:sz w:val="23"/>
          <w:szCs w:val="23"/>
          <w:rtl/>
          <w:lang w:eastAsia="en-GB"/>
        </w:rPr>
        <w:t xml:space="preserve"> را با نرخ</w:t>
      </w:r>
      <w:r w:rsidRPr="00551F33">
        <w:rPr>
          <w:position w:val="-10"/>
        </w:rPr>
        <w:object w:dxaOrig="240" w:dyaOrig="340" w14:anchorId="522DCC4E">
          <v:shape id="_x0000_i7879" type="#_x0000_t75" style="width:11.5pt;height:16.95pt" o:ole="">
            <v:imagedata r:id="rId13833" o:title=""/>
          </v:shape>
          <o:OLEObject Type="Embed" ProgID="Equation.DSMT4" ShapeID="_x0000_i7879" DrawAspect="Content" ObjectID="_1791381822" r:id="rId13834"/>
        </w:object>
      </w:r>
      <w:r w:rsidRPr="00551F33">
        <w:rPr>
          <w:rFonts w:hint="cs"/>
          <w:i/>
          <w:sz w:val="23"/>
          <w:szCs w:val="23"/>
          <w:rtl/>
          <w:lang w:eastAsia="en-GB"/>
        </w:rPr>
        <w:t xml:space="preserve"> به خانوار ارائه می‌دهد و ذخائر واسطه</w:t>
      </w:r>
      <w:r w:rsidRPr="00551F33">
        <w:rPr>
          <w:i/>
          <w:sz w:val="23"/>
          <w:szCs w:val="23"/>
          <w:lang w:eastAsia="en-GB"/>
        </w:rPr>
        <w:t>‌</w:t>
      </w:r>
      <w:r w:rsidRPr="00551F33">
        <w:rPr>
          <w:rFonts w:hint="cs"/>
          <w:i/>
          <w:sz w:val="23"/>
          <w:szCs w:val="23"/>
          <w:rtl/>
          <w:lang w:eastAsia="en-GB"/>
        </w:rPr>
        <w:t>گران مالی</w:t>
      </w:r>
      <w:r w:rsidRPr="00551F33">
        <w:rPr>
          <w:position w:val="-10"/>
        </w:rPr>
        <w:object w:dxaOrig="340" w:dyaOrig="320" w14:anchorId="4203A7AC">
          <v:shape id="_x0000_i7880" type="#_x0000_t75" style="width:16.95pt;height:15.75pt" o:ole="">
            <v:imagedata r:id="rId13835" o:title=""/>
          </v:shape>
          <o:OLEObject Type="Embed" ProgID="Equation.DSMT4" ShapeID="_x0000_i7880" DrawAspect="Content" ObjectID="_1791381823" r:id="rId13836"/>
        </w:object>
      </w:r>
      <w:r w:rsidRPr="00551F33">
        <w:rPr>
          <w:rFonts w:hint="cs"/>
          <w:i/>
          <w:sz w:val="23"/>
          <w:szCs w:val="23"/>
          <w:rtl/>
          <w:lang w:eastAsia="en-GB"/>
        </w:rPr>
        <w:t xml:space="preserve"> را نگه می‌دارد و به آن نرخ بهره</w:t>
      </w:r>
      <w:r w:rsidRPr="00551F33">
        <w:rPr>
          <w:rFonts w:hint="cs"/>
          <w:i/>
          <w:sz w:val="23"/>
          <w:szCs w:val="23"/>
          <w:rtl/>
          <w:lang w:eastAsia="en-GB"/>
        </w:rPr>
        <w:softHyphen/>
        <w:t>ای به</w:t>
      </w:r>
      <w:r w:rsidRPr="00551F33">
        <w:rPr>
          <w:rFonts w:hint="cs"/>
          <w:i/>
          <w:sz w:val="23"/>
          <w:szCs w:val="23"/>
          <w:rtl/>
          <w:lang w:eastAsia="en-GB"/>
        </w:rPr>
        <w:softHyphen/>
        <w:t>اندازه‌ی</w:t>
      </w:r>
      <w:r w:rsidRPr="00551F33">
        <w:rPr>
          <w:position w:val="-10"/>
        </w:rPr>
        <w:object w:dxaOrig="279" w:dyaOrig="340" w14:anchorId="21445B6F">
          <v:shape id="_x0000_i7881" type="#_x0000_t75" style="width:13.9pt;height:16.95pt" o:ole="">
            <v:imagedata r:id="rId13837" o:title=""/>
          </v:shape>
          <o:OLEObject Type="Embed" ProgID="Equation.DSMT4" ShapeID="_x0000_i7881" DrawAspect="Content" ObjectID="_1791381824" r:id="rId13838"/>
        </w:object>
      </w:r>
      <w:r w:rsidRPr="00551F33">
        <w:rPr>
          <w:rFonts w:hint="cs"/>
          <w:i/>
          <w:sz w:val="23"/>
          <w:szCs w:val="23"/>
          <w:rtl/>
          <w:lang w:eastAsia="en-GB"/>
        </w:rPr>
        <w:t xml:space="preserve"> می‌پردازد. به علاوه بدهی دولت</w:t>
      </w:r>
      <w:r w:rsidRPr="00551F33">
        <w:rPr>
          <w:position w:val="-10"/>
        </w:rPr>
        <w:object w:dxaOrig="340" w:dyaOrig="340" w14:anchorId="56748505">
          <v:shape id="_x0000_i7882" type="#_x0000_t75" style="width:16.95pt;height:16.95pt" o:ole="">
            <v:imagedata r:id="rId13839" o:title=""/>
          </v:shape>
          <o:OLEObject Type="Embed" ProgID="Equation.DSMT4" ShapeID="_x0000_i7882" DrawAspect="Content" ObjectID="_1791381825" r:id="rId13840"/>
        </w:object>
      </w:r>
      <w:r w:rsidRPr="00551F33">
        <w:rPr>
          <w:rFonts w:hint="cs"/>
          <w:i/>
          <w:sz w:val="23"/>
          <w:szCs w:val="23"/>
          <w:rtl/>
          <w:lang w:eastAsia="en-GB"/>
        </w:rPr>
        <w:t xml:space="preserve"> را در نرخ بهره‌ی</w:t>
      </w:r>
      <w:r w:rsidRPr="00551F33">
        <w:rPr>
          <w:position w:val="-10"/>
        </w:rPr>
        <w:object w:dxaOrig="260" w:dyaOrig="340" w14:anchorId="4F1FE689">
          <v:shape id="_x0000_i7883" type="#_x0000_t75" style="width:13.3pt;height:16.95pt" o:ole="">
            <v:imagedata r:id="rId13841" o:title=""/>
          </v:shape>
          <o:OLEObject Type="Embed" ProgID="Equation.DSMT4" ShapeID="_x0000_i7883" DrawAspect="Content" ObjectID="_1791381826" r:id="rId13842"/>
        </w:object>
      </w:r>
      <w:r w:rsidRPr="00551F33">
        <w:rPr>
          <w:rFonts w:hint="cs"/>
          <w:i/>
          <w:sz w:val="23"/>
          <w:szCs w:val="23"/>
          <w:rtl/>
          <w:lang w:eastAsia="en-GB"/>
        </w:rPr>
        <w:t xml:space="preserve"> می‌خرد</w:t>
      </w:r>
      <w:r w:rsidRPr="00551F33">
        <w:rPr>
          <w:i/>
          <w:sz w:val="23"/>
          <w:szCs w:val="23"/>
          <w:lang w:eastAsia="en-GB"/>
        </w:rPr>
        <w:t>.</w:t>
      </w:r>
      <w:r w:rsidRPr="00551F33">
        <w:rPr>
          <w:rFonts w:hint="cs"/>
          <w:i/>
          <w:sz w:val="23"/>
          <w:szCs w:val="23"/>
          <w:rtl/>
          <w:lang w:eastAsia="en-GB"/>
        </w:rPr>
        <w:t xml:space="preserve"> فرض می‌شود</w:t>
      </w:r>
      <w:r w:rsidRPr="00551F33">
        <w:rPr>
          <w:position w:val="-10"/>
        </w:rPr>
        <w:object w:dxaOrig="1300" w:dyaOrig="340" w14:anchorId="15DBE7D2">
          <v:shape id="_x0000_i7884" type="#_x0000_t75" style="width:64.75pt;height:16.95pt" o:ole="">
            <v:imagedata r:id="rId13843" o:title=""/>
          </v:shape>
          <o:OLEObject Type="Embed" ProgID="Equation.DSMT4" ShapeID="_x0000_i7884" DrawAspect="Content" ObjectID="_1791381827" r:id="rId13844"/>
        </w:object>
      </w:r>
      <w:r w:rsidRPr="00551F33">
        <w:rPr>
          <w:rFonts w:hint="cs"/>
          <w:i/>
          <w:sz w:val="23"/>
          <w:szCs w:val="23"/>
          <w:rtl/>
          <w:lang w:eastAsia="en-GB"/>
        </w:rPr>
        <w:t xml:space="preserve"> و این</w:t>
      </w:r>
      <w:r w:rsidRPr="00551F33">
        <w:rPr>
          <w:rFonts w:hint="cs"/>
          <w:i/>
          <w:sz w:val="23"/>
          <w:szCs w:val="23"/>
          <w:rtl/>
          <w:lang w:eastAsia="en-GB"/>
        </w:rPr>
        <w:softHyphen/>
        <w:t>که</w:t>
      </w:r>
      <w:r w:rsidRPr="00551F33">
        <w:rPr>
          <w:position w:val="-10"/>
        </w:rPr>
        <w:object w:dxaOrig="1420" w:dyaOrig="340" w14:anchorId="305912CB">
          <v:shape id="_x0000_i7885" type="#_x0000_t75" style="width:70.8pt;height:16.95pt" o:ole="">
            <v:imagedata r:id="rId13845" o:title=""/>
          </v:shape>
          <o:OLEObject Type="Embed" ProgID="Equation.DSMT4" ShapeID="_x0000_i7885" DrawAspect="Content" ObjectID="_1791381828" r:id="rId13846"/>
        </w:object>
      </w:r>
      <w:r w:rsidRPr="00551F33">
        <w:rPr>
          <w:rFonts w:hint="cs"/>
          <w:i/>
          <w:sz w:val="23"/>
          <w:szCs w:val="23"/>
          <w:rtl/>
          <w:lang w:eastAsia="en-GB"/>
        </w:rPr>
        <w:t>.</w:t>
      </w:r>
    </w:p>
    <w:p w14:paraId="059471BF" w14:textId="77777777" w:rsidR="00556C10" w:rsidRDefault="00556C10" w:rsidP="00556C10">
      <w:pPr>
        <w:spacing w:line="216" w:lineRule="auto"/>
        <w:rPr>
          <w:i/>
          <w:sz w:val="23"/>
          <w:szCs w:val="23"/>
          <w:rtl/>
          <w:lang w:eastAsia="en-GB"/>
        </w:rPr>
      </w:pPr>
      <w:r w:rsidRPr="00551F33">
        <w:rPr>
          <w:rFonts w:hint="cs"/>
          <w:i/>
          <w:sz w:val="23"/>
          <w:szCs w:val="23"/>
          <w:rtl/>
          <w:lang w:eastAsia="en-GB"/>
        </w:rPr>
        <w:t>بانک مرکزی سه مجرای اعمال سیاست پولی دارد: نرخ سیاستی</w:t>
      </w:r>
      <w:r w:rsidRPr="00551F33">
        <w:rPr>
          <w:position w:val="-10"/>
        </w:rPr>
        <w:object w:dxaOrig="279" w:dyaOrig="340" w14:anchorId="6432D5BA">
          <v:shape id="_x0000_i7886" type="#_x0000_t75" style="width:13.9pt;height:16.95pt" o:ole="">
            <v:imagedata r:id="rId13847" o:title=""/>
          </v:shape>
          <o:OLEObject Type="Embed" ProgID="Equation.DSMT4" ShapeID="_x0000_i7886" DrawAspect="Content" ObjectID="_1791381829" r:id="rId13848"/>
        </w:object>
      </w:r>
      <w:r w:rsidRPr="00551F33">
        <w:rPr>
          <w:i/>
          <w:sz w:val="23"/>
          <w:szCs w:val="23"/>
          <w:lang w:eastAsia="en-GB"/>
        </w:rPr>
        <w:t xml:space="preserve"> </w:t>
      </w:r>
      <w:r w:rsidRPr="00551F33">
        <w:rPr>
          <w:rFonts w:hint="cs"/>
          <w:i/>
          <w:sz w:val="23"/>
          <w:szCs w:val="23"/>
          <w:rtl/>
          <w:lang w:eastAsia="en-GB"/>
        </w:rPr>
        <w:t>را تعیین کند، ذخائر</w:t>
      </w:r>
      <w:r w:rsidRPr="00551F33">
        <w:rPr>
          <w:position w:val="-10"/>
        </w:rPr>
        <w:object w:dxaOrig="340" w:dyaOrig="320" w14:anchorId="0D3E3490">
          <v:shape id="_x0000_i7887" type="#_x0000_t75" style="width:16.95pt;height:15.75pt" o:ole="">
            <v:imagedata r:id="rId13849" o:title=""/>
          </v:shape>
          <o:OLEObject Type="Embed" ProgID="Equation.DSMT4" ShapeID="_x0000_i7887" DrawAspect="Content" ObjectID="_1791381830" r:id="rId13850"/>
        </w:object>
      </w:r>
      <w:r w:rsidRPr="00551F33">
        <w:rPr>
          <w:rFonts w:hint="cs"/>
          <w:i/>
          <w:sz w:val="23"/>
          <w:szCs w:val="23"/>
          <w:rtl/>
          <w:lang w:eastAsia="en-GB"/>
        </w:rPr>
        <w:t xml:space="preserve"> را کنترل کند، و یا از عملیات بازار آزاد استفاده کرده و با خرید وام‌های دولت از خانوارها و کنترل</w:t>
      </w:r>
      <w:r w:rsidRPr="00551F33">
        <w:rPr>
          <w:position w:val="-10"/>
        </w:rPr>
        <w:object w:dxaOrig="420" w:dyaOrig="340" w14:anchorId="267332AF">
          <v:shape id="_x0000_i7888" type="#_x0000_t75" style="width:21.2pt;height:16.95pt" o:ole="">
            <v:imagedata r:id="rId13851" o:title=""/>
          </v:shape>
          <o:OLEObject Type="Embed" ProgID="Equation.DSMT4" ShapeID="_x0000_i7888" DrawAspect="Content" ObjectID="_1791381831" r:id="rId13852"/>
        </w:object>
      </w:r>
      <w:r w:rsidRPr="00551F33">
        <w:rPr>
          <w:rFonts w:hint="cs"/>
          <w:i/>
          <w:sz w:val="23"/>
          <w:szCs w:val="23"/>
          <w:rtl/>
          <w:lang w:eastAsia="en-GB"/>
        </w:rPr>
        <w:t xml:space="preserve"> سیاست پولی را به اجرا بگذارد. بانک مرکزی در انتخاب</w:t>
      </w:r>
      <w:r w:rsidRPr="00551F33">
        <w:rPr>
          <w:position w:val="-10"/>
        </w:rPr>
        <w:object w:dxaOrig="279" w:dyaOrig="340" w14:anchorId="2C6C2A28">
          <v:shape id="_x0000_i7889" type="#_x0000_t75" style="width:13.9pt;height:16.95pt" o:ole="">
            <v:imagedata r:id="rId13853" o:title=""/>
          </v:shape>
          <o:OLEObject Type="Embed" ProgID="Equation.DSMT4" ShapeID="_x0000_i7889" DrawAspect="Content" ObjectID="_1791381832" r:id="rId13854"/>
        </w:object>
      </w:r>
      <w:r w:rsidRPr="00551F33">
        <w:rPr>
          <w:rFonts w:hint="cs"/>
          <w:i/>
          <w:sz w:val="23"/>
          <w:szCs w:val="23"/>
          <w:rtl/>
          <w:lang w:eastAsia="en-GB"/>
        </w:rPr>
        <w:t>، نرخ ذخیره</w:t>
      </w:r>
      <w:r w:rsidRPr="00551F33">
        <w:rPr>
          <w:position w:val="-10"/>
        </w:rPr>
        <w:object w:dxaOrig="260" w:dyaOrig="340" w14:anchorId="4C9A1E6A">
          <v:shape id="_x0000_i7890" type="#_x0000_t75" style="width:13.3pt;height:16.95pt" o:ole="">
            <v:imagedata r:id="rId13855" o:title=""/>
          </v:shape>
          <o:OLEObject Type="Embed" ProgID="Equation.DSMT4" ShapeID="_x0000_i7890" DrawAspect="Content" ObjectID="_1791381833" r:id="rId13856"/>
        </w:object>
      </w:r>
      <w:r w:rsidRPr="00551F33">
        <w:rPr>
          <w:i/>
          <w:sz w:val="23"/>
          <w:szCs w:val="23"/>
          <w:lang w:eastAsia="en-GB"/>
        </w:rPr>
        <w:t xml:space="preserve"> </w:t>
      </w:r>
      <w:r w:rsidRPr="00551F33">
        <w:rPr>
          <w:rFonts w:hint="cs"/>
          <w:i/>
          <w:sz w:val="23"/>
          <w:szCs w:val="23"/>
          <w:rtl/>
          <w:lang w:eastAsia="en-GB"/>
        </w:rPr>
        <w:t xml:space="preserve">را از طریق معادله‌ی </w:t>
      </w:r>
      <w:r w:rsidRPr="00551F33">
        <w:rPr>
          <w:rFonts w:hint="cs"/>
          <w:i/>
          <w:sz w:val="23"/>
          <w:szCs w:val="23"/>
          <w:rtl/>
          <w:lang w:eastAsia="en-GB"/>
        </w:rPr>
        <w:lastRenderedPageBreak/>
        <w:t>(۱۵. ۲۱) کنترل می‌کند. اگر بانک</w:t>
      </w:r>
      <w:r w:rsidRPr="00551F33">
        <w:rPr>
          <w:rFonts w:hint="cs"/>
          <w:i/>
          <w:sz w:val="23"/>
          <w:szCs w:val="23"/>
          <w:rtl/>
          <w:lang w:eastAsia="en-GB"/>
        </w:rPr>
        <w:softHyphen/>
        <w:t>مرکزی ذخائر را هدف قرار دهد، باید معادله‌ی (۱۵. ۲۱) را برای</w:t>
      </w:r>
      <w:r w:rsidRPr="00551F33">
        <w:rPr>
          <w:position w:val="-10"/>
        </w:rPr>
        <w:object w:dxaOrig="340" w:dyaOrig="320" w14:anchorId="4F8DB933">
          <v:shape id="_x0000_i7891" type="#_x0000_t75" style="width:16.95pt;height:15.75pt" o:ole="">
            <v:imagedata r:id="rId13857" o:title=""/>
          </v:shape>
          <o:OLEObject Type="Embed" ProgID="Equation.DSMT4" ShapeID="_x0000_i7891" DrawAspect="Content" ObjectID="_1791381834" r:id="rId13858"/>
        </w:object>
      </w:r>
      <w:r w:rsidRPr="00551F33">
        <w:rPr>
          <w:i/>
          <w:sz w:val="23"/>
          <w:szCs w:val="23"/>
          <w:lang w:eastAsia="en-GB"/>
        </w:rPr>
        <w:t xml:space="preserve"> </w:t>
      </w:r>
      <w:r w:rsidRPr="00551F33">
        <w:rPr>
          <w:rFonts w:hint="cs"/>
          <w:i/>
          <w:sz w:val="23"/>
          <w:szCs w:val="23"/>
          <w:rtl/>
          <w:lang w:eastAsia="en-GB"/>
        </w:rPr>
        <w:t>حل کرده و</w:t>
      </w:r>
      <w:r w:rsidRPr="00551F33">
        <w:rPr>
          <w:position w:val="-10"/>
        </w:rPr>
        <w:object w:dxaOrig="279" w:dyaOrig="340" w14:anchorId="0B06BA90">
          <v:shape id="_x0000_i7892" type="#_x0000_t75" style="width:13.9pt;height:16.95pt" o:ole="">
            <v:imagedata r:id="rId13859" o:title=""/>
          </v:shape>
          <o:OLEObject Type="Embed" ProgID="Equation.DSMT4" ShapeID="_x0000_i7892" DrawAspect="Content" ObjectID="_1791381835" r:id="rId13860"/>
        </w:object>
      </w:r>
      <w:r w:rsidRPr="00551F33">
        <w:rPr>
          <w:rFonts w:hint="cs"/>
          <w:i/>
          <w:sz w:val="23"/>
          <w:szCs w:val="23"/>
          <w:rtl/>
          <w:lang w:eastAsia="en-GB"/>
        </w:rPr>
        <w:t xml:space="preserve"> را تعیین کند. بااین</w:t>
      </w:r>
      <w:r w:rsidRPr="00551F33">
        <w:rPr>
          <w:rFonts w:hint="cs"/>
          <w:i/>
          <w:sz w:val="23"/>
          <w:szCs w:val="23"/>
          <w:rtl/>
          <w:lang w:eastAsia="en-GB"/>
        </w:rPr>
        <w:softHyphen/>
        <w:t>حال نمی</w:t>
      </w:r>
      <w:r w:rsidRPr="00551F33">
        <w:rPr>
          <w:rFonts w:hint="cs"/>
          <w:i/>
          <w:sz w:val="23"/>
          <w:szCs w:val="23"/>
          <w:rtl/>
          <w:lang w:eastAsia="en-GB"/>
        </w:rPr>
        <w:softHyphen/>
        <w:t>تواند مقداری منفی را برای</w:t>
      </w:r>
      <w:r w:rsidRPr="00551F33">
        <w:rPr>
          <w:position w:val="-10"/>
        </w:rPr>
        <w:object w:dxaOrig="279" w:dyaOrig="340" w14:anchorId="1C2FE268">
          <v:shape id="_x0000_i7893" type="#_x0000_t75" style="width:13.9pt;height:16.95pt" o:ole="">
            <v:imagedata r:id="rId13861" o:title=""/>
          </v:shape>
          <o:OLEObject Type="Embed" ProgID="Equation.DSMT4" ShapeID="_x0000_i7893" DrawAspect="Content" ObjectID="_1791381836" r:id="rId13862"/>
        </w:object>
      </w:r>
      <w:r w:rsidRPr="00551F33">
        <w:rPr>
          <w:rFonts w:hint="cs"/>
          <w:i/>
          <w:sz w:val="23"/>
          <w:szCs w:val="23"/>
          <w:rtl/>
          <w:lang w:eastAsia="en-GB"/>
        </w:rPr>
        <w:t xml:space="preserve"> انتخاب کند، به</w:t>
      </w:r>
      <w:r w:rsidRPr="00551F33">
        <w:rPr>
          <w:rFonts w:hint="cs"/>
          <w:i/>
          <w:sz w:val="23"/>
          <w:szCs w:val="23"/>
          <w:rtl/>
          <w:lang w:eastAsia="en-GB"/>
        </w:rPr>
        <w:softHyphen/>
        <w:t>علاوه نمی</w:t>
      </w:r>
      <w:r w:rsidRPr="00551F33">
        <w:rPr>
          <w:i/>
          <w:sz w:val="23"/>
          <w:szCs w:val="23"/>
          <w:lang w:eastAsia="en-GB"/>
        </w:rPr>
        <w:t>‌</w:t>
      </w:r>
      <w:r w:rsidRPr="00551F33">
        <w:rPr>
          <w:rFonts w:hint="cs"/>
          <w:i/>
          <w:sz w:val="23"/>
          <w:szCs w:val="23"/>
          <w:rtl/>
          <w:lang w:eastAsia="en-GB"/>
        </w:rPr>
        <w:t>تواند اجازه دهد ذخائر بسیار کم شود. چون نگهداری ذخایر هزینه واسطه</w:t>
      </w:r>
      <w:r w:rsidRPr="00551F33">
        <w:rPr>
          <w:rFonts w:hint="cs"/>
          <w:i/>
          <w:sz w:val="23"/>
          <w:szCs w:val="23"/>
          <w:rtl/>
          <w:lang w:eastAsia="en-GB"/>
        </w:rPr>
        <w:softHyphen/>
        <w:t>گری مالی را کاهش می‌دهد و هزینه‌ی ذخائر نیز وجود نخواهد داشت. سیاست بهینه‌ی ذخائر مستلزم اشباع تقاضا برای ذخائر است وقتی</w:t>
      </w:r>
      <w:r w:rsidRPr="00551F33">
        <w:rPr>
          <w:rFonts w:hint="cs"/>
          <w:i/>
          <w:sz w:val="23"/>
          <w:szCs w:val="23"/>
          <w:rtl/>
          <w:lang w:eastAsia="en-GB"/>
        </w:rPr>
        <w:softHyphen/>
        <w:t>که</w:t>
      </w:r>
      <w:r w:rsidRPr="00551F33">
        <w:rPr>
          <w:position w:val="-12"/>
        </w:rPr>
        <w:object w:dxaOrig="859" w:dyaOrig="340" w14:anchorId="740D7D2E">
          <v:shape id="_x0000_i7894" type="#_x0000_t75" style="width:42.95pt;height:16.95pt" o:ole="">
            <v:imagedata r:id="rId13863" o:title=""/>
          </v:shape>
          <o:OLEObject Type="Embed" ProgID="Equation.DSMT4" ShapeID="_x0000_i7894" DrawAspect="Content" ObjectID="_1791381837" r:id="rId13864"/>
        </w:object>
      </w:r>
      <w:r w:rsidRPr="00551F33">
        <w:rPr>
          <w:i/>
          <w:sz w:val="23"/>
          <w:szCs w:val="23"/>
          <w:lang w:eastAsia="en-GB"/>
        </w:rPr>
        <w:t>.</w:t>
      </w:r>
      <w:r w:rsidRPr="00551F33">
        <w:rPr>
          <w:rFonts w:hint="cs"/>
          <w:i/>
          <w:sz w:val="23"/>
          <w:szCs w:val="23"/>
          <w:rtl/>
          <w:lang w:eastAsia="en-GB"/>
        </w:rPr>
        <w:t xml:space="preserve"> از معادله</w:t>
      </w:r>
      <w:r w:rsidRPr="00551F33">
        <w:rPr>
          <w:rFonts w:hint="cs"/>
          <w:i/>
          <w:sz w:val="23"/>
          <w:szCs w:val="23"/>
          <w:rtl/>
          <w:lang w:eastAsia="en-GB"/>
        </w:rPr>
        <w:softHyphen/>
        <w:t>ی (۱۵. ۲۱) این امر به این معنی است که نرخ بهینه‌ی سیاستی برابر است با</w:t>
      </w:r>
      <w:r w:rsidRPr="00551F33">
        <w:rPr>
          <w:position w:val="-10"/>
        </w:rPr>
        <w:object w:dxaOrig="720" w:dyaOrig="340" w14:anchorId="44883FE7">
          <v:shape id="_x0000_i7895" type="#_x0000_t75" style="width:36.3pt;height:16.95pt" o:ole="">
            <v:imagedata r:id="rId13865" o:title=""/>
          </v:shape>
          <o:OLEObject Type="Embed" ProgID="Equation.DSMT4" ShapeID="_x0000_i7895" DrawAspect="Content" ObjectID="_1791381838" r:id="rId13866"/>
        </w:object>
      </w:r>
      <w:r w:rsidRPr="00551F33">
        <w:rPr>
          <w:rFonts w:hint="cs"/>
          <w:i/>
          <w:sz w:val="23"/>
          <w:szCs w:val="23"/>
          <w:rtl/>
          <w:lang w:eastAsia="en-GB"/>
        </w:rPr>
        <w:t>. تسهیل مقداری را می‌توان به صورت افزایش عرضه‌ی ذخائر فراتر از این سطح تعبیر کرد، یعنی</w:t>
      </w:r>
      <w:r w:rsidRPr="00551F33">
        <w:rPr>
          <w:position w:val="-10"/>
        </w:rPr>
        <w:object w:dxaOrig="700" w:dyaOrig="340" w14:anchorId="3A0853DD">
          <v:shape id="_x0000_i7896" type="#_x0000_t75" style="width:35.1pt;height:16.95pt" o:ole="">
            <v:imagedata r:id="rId13867" o:title=""/>
          </v:shape>
          <o:OLEObject Type="Embed" ProgID="Equation.DSMT4" ShapeID="_x0000_i7896" DrawAspect="Content" ObjectID="_1791381839" r:id="rId13868"/>
        </w:object>
      </w:r>
      <w:r w:rsidRPr="00551F33">
        <w:rPr>
          <w:rFonts w:hint="cs"/>
          <w:i/>
          <w:sz w:val="23"/>
          <w:szCs w:val="23"/>
          <w:rtl/>
          <w:lang w:eastAsia="en-GB"/>
        </w:rPr>
        <w:t>. چون</w:t>
      </w:r>
      <w:r w:rsidRPr="00551F33">
        <w:rPr>
          <w:position w:val="-10"/>
        </w:rPr>
        <w:object w:dxaOrig="639" w:dyaOrig="340" w14:anchorId="6C86220B">
          <v:shape id="_x0000_i7897" type="#_x0000_t75" style="width:32.05pt;height:16.95pt" o:ole="">
            <v:imagedata r:id="rId13869" o:title=""/>
          </v:shape>
          <o:OLEObject Type="Embed" ProgID="Equation.DSMT4" ShapeID="_x0000_i7897" DrawAspect="Content" ObjectID="_1791381840" r:id="rId13870"/>
        </w:object>
      </w:r>
      <w:r w:rsidRPr="00551F33">
        <w:rPr>
          <w:rFonts w:hint="cs"/>
          <w:i/>
          <w:sz w:val="23"/>
          <w:szCs w:val="23"/>
          <w:rtl/>
          <w:lang w:eastAsia="en-GB"/>
        </w:rPr>
        <w:t xml:space="preserve">، حدی برای اندازه‌ی ذخائر وجود خواهد داشت. انبساط بیشتر پولی مستلزم این است که بانک مرکزی با خرید بدهی دولت (یا دیگر دارایی‌های مالی) از عموم مردم، عملیات بازار آزاد را انجام دهد، و مستلزم آن است که قیمتی بالاتر از آنچه نرخ بهره رایج </w:t>
      </w:r>
      <w:r w:rsidRPr="00551F33">
        <w:rPr>
          <w:position w:val="-10"/>
        </w:rPr>
        <w:object w:dxaOrig="240" w:dyaOrig="340" w14:anchorId="70D4FB40">
          <v:shape id="_x0000_i7898" type="#_x0000_t75" style="width:11.5pt;height:16.95pt" o:ole="">
            <v:imagedata r:id="rId13871" o:title=""/>
          </v:shape>
          <o:OLEObject Type="Embed" ProgID="Equation.DSMT4" ShapeID="_x0000_i7898" DrawAspect="Content" ObjectID="_1791381841" r:id="rId13872"/>
        </w:object>
      </w:r>
      <w:r w:rsidRPr="00551F33">
        <w:rPr>
          <w:i/>
          <w:sz w:val="23"/>
          <w:szCs w:val="23"/>
          <w:lang w:eastAsia="en-GB"/>
        </w:rPr>
        <w:t xml:space="preserve"> </w:t>
      </w:r>
      <w:r w:rsidRPr="00551F33">
        <w:rPr>
          <w:rFonts w:hint="cs"/>
          <w:i/>
          <w:sz w:val="23"/>
          <w:szCs w:val="23"/>
          <w:rtl/>
          <w:lang w:eastAsia="en-GB"/>
        </w:rPr>
        <w:t>ایجاب می‌کند پیشنهاد کند</w:t>
      </w:r>
      <w:r w:rsidRPr="00551F33">
        <w:rPr>
          <w:i/>
          <w:sz w:val="23"/>
          <w:szCs w:val="23"/>
          <w:lang w:eastAsia="en-GB"/>
        </w:rPr>
        <w:t>.</w:t>
      </w:r>
    </w:p>
    <w:p w14:paraId="2ADC4D0F" w14:textId="77777777" w:rsidR="00556C10" w:rsidRPr="00551F33" w:rsidRDefault="00556C10" w:rsidP="00556C10">
      <w:pPr>
        <w:spacing w:line="216" w:lineRule="auto"/>
        <w:rPr>
          <w:i/>
          <w:sz w:val="23"/>
          <w:szCs w:val="23"/>
          <w:rtl/>
          <w:lang w:eastAsia="en-GB" w:bidi="ar-SA"/>
        </w:rPr>
      </w:pPr>
    </w:p>
    <w:p w14:paraId="6084F36B" w14:textId="77777777" w:rsidR="00556C10" w:rsidRPr="00551F33" w:rsidRDefault="00556C10" w:rsidP="00556C10">
      <w:pPr>
        <w:pStyle w:val="Heading1"/>
        <w:spacing w:before="0" w:line="216" w:lineRule="auto"/>
        <w:rPr>
          <w:rFonts w:ascii="Times New Roman" w:hAnsi="Times New Roman" w:cs="B Nazanin"/>
          <w:b w:val="0"/>
          <w:i/>
          <w:sz w:val="23"/>
          <w:szCs w:val="23"/>
          <w:lang w:eastAsia="en-GB"/>
        </w:rPr>
      </w:pPr>
      <w:r w:rsidRPr="00551F33">
        <w:rPr>
          <w:rFonts w:ascii="Times New Roman" w:hAnsi="Times New Roman" w:cs="B Nazanin" w:hint="cs"/>
          <w:b w:val="0"/>
          <w:i/>
          <w:sz w:val="23"/>
          <w:szCs w:val="23"/>
          <w:rtl/>
          <w:lang w:eastAsia="en-GB"/>
        </w:rPr>
        <w:t>۱۵. ۷. ۴ اظهار نظر</w:t>
      </w:r>
    </w:p>
    <w:p w14:paraId="677B27D6"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خاصیت ویژه این مدل این فرض است که هزینه</w:t>
      </w:r>
      <w:r w:rsidRPr="00551F33">
        <w:rPr>
          <w:rFonts w:hint="cs"/>
          <w:i/>
          <w:sz w:val="23"/>
          <w:szCs w:val="23"/>
          <w:rtl/>
          <w:lang w:eastAsia="en-GB"/>
        </w:rPr>
        <w:softHyphen/>
        <w:t>ی منبع حقیقی برای واسطه</w:t>
      </w:r>
      <w:r w:rsidRPr="00551F33">
        <w:rPr>
          <w:i/>
          <w:sz w:val="23"/>
          <w:szCs w:val="23"/>
          <w:lang w:eastAsia="en-GB"/>
        </w:rPr>
        <w:t>‌</w:t>
      </w:r>
      <w:r w:rsidRPr="00551F33">
        <w:rPr>
          <w:rFonts w:hint="cs"/>
          <w:i/>
          <w:sz w:val="23"/>
          <w:szCs w:val="23"/>
          <w:rtl/>
          <w:lang w:eastAsia="en-GB"/>
        </w:rPr>
        <w:t>گر مالی جهت ایجاد و نظارت بر وام‌ها وجود دارد و می‌توان این هزینه را با نگهداری ذخائر کاهش داد. سیاست بهینه ذخائر مستلزم اشباع ذخائر است. بانک مرکزی می</w:t>
      </w:r>
      <w:r w:rsidRPr="00551F33">
        <w:rPr>
          <w:i/>
          <w:sz w:val="23"/>
          <w:szCs w:val="23"/>
          <w:lang w:eastAsia="en-GB"/>
        </w:rPr>
        <w:t>‌</w:t>
      </w:r>
      <w:r w:rsidRPr="00551F33">
        <w:rPr>
          <w:rFonts w:hint="cs"/>
          <w:i/>
          <w:sz w:val="23"/>
          <w:szCs w:val="23"/>
          <w:rtl/>
          <w:lang w:eastAsia="en-GB"/>
        </w:rPr>
        <w:t>تواند با افزایش نرخ بهره</w:t>
      </w:r>
      <w:r w:rsidRPr="00551F33">
        <w:rPr>
          <w:rFonts w:hint="cs"/>
          <w:i/>
          <w:sz w:val="23"/>
          <w:szCs w:val="23"/>
          <w:rtl/>
          <w:lang w:eastAsia="en-GB"/>
        </w:rPr>
        <w:softHyphen/>
        <w:t>ای که به ذخائر می</w:t>
      </w:r>
      <w:r w:rsidRPr="00551F33">
        <w:rPr>
          <w:i/>
          <w:sz w:val="23"/>
          <w:szCs w:val="23"/>
          <w:lang w:eastAsia="en-GB"/>
        </w:rPr>
        <w:t>‌</w:t>
      </w:r>
      <w:r w:rsidRPr="00551F33">
        <w:rPr>
          <w:rFonts w:hint="cs"/>
          <w:i/>
          <w:sz w:val="23"/>
          <w:szCs w:val="23"/>
          <w:rtl/>
          <w:lang w:eastAsia="en-GB"/>
        </w:rPr>
        <w:t>پردازد، افزایشی را در ذخائر به وجود آورد. تقاضای بانک برای ذخائر وقتی اشباع می</w:t>
      </w:r>
      <w:r w:rsidRPr="00551F33">
        <w:rPr>
          <w:i/>
          <w:sz w:val="23"/>
          <w:szCs w:val="23"/>
          <w:lang w:eastAsia="en-GB"/>
        </w:rPr>
        <w:t>‌</w:t>
      </w:r>
      <w:r w:rsidRPr="00551F33">
        <w:rPr>
          <w:rFonts w:hint="cs"/>
          <w:i/>
          <w:sz w:val="23"/>
          <w:szCs w:val="23"/>
          <w:rtl/>
          <w:lang w:eastAsia="en-GB"/>
        </w:rPr>
        <w:t>شود که هزینه‌ی فرصت نگهداری ذخائر، یعنی تفاوت دو نرخ بهره</w:t>
      </w:r>
      <w:r w:rsidRPr="00551F33">
        <w:rPr>
          <w:position w:val="-10"/>
        </w:rPr>
        <w:object w:dxaOrig="680" w:dyaOrig="340" w14:anchorId="35B7BED0">
          <v:shape id="_x0000_i7899" type="#_x0000_t75" style="width:33.9pt;height:16.95pt" o:ole="">
            <v:imagedata r:id="rId13873" o:title=""/>
          </v:shape>
          <o:OLEObject Type="Embed" ProgID="Equation.DSMT4" ShapeID="_x0000_i7899" DrawAspect="Content" ObjectID="_1791381842" r:id="rId13874"/>
        </w:object>
      </w:r>
      <w:r w:rsidRPr="00551F33">
        <w:rPr>
          <w:rFonts w:hint="cs"/>
          <w:i/>
          <w:sz w:val="23"/>
          <w:szCs w:val="23"/>
          <w:rtl/>
          <w:lang w:eastAsia="en-GB"/>
        </w:rPr>
        <w:t xml:space="preserve"> به صفر کاهش یابد. این نتیجه با قاعده فریدمن متفاوت است که در آن مقدار بهینه پول شامل نرخ بهره</w:t>
      </w:r>
      <w:r w:rsidRPr="00551F33">
        <w:rPr>
          <w:position w:val="-10"/>
        </w:rPr>
        <w:object w:dxaOrig="279" w:dyaOrig="340" w14:anchorId="651FEF14">
          <v:shape id="_x0000_i7900" type="#_x0000_t75" style="width:13.9pt;height:16.95pt" o:ole="">
            <v:imagedata r:id="rId13875" o:title=""/>
          </v:shape>
          <o:OLEObject Type="Embed" ProgID="Equation.DSMT4" ShapeID="_x0000_i7900" DrawAspect="Content" ObjectID="_1791381843" r:id="rId13876"/>
        </w:object>
      </w:r>
      <w:r w:rsidRPr="00551F33">
        <w:rPr>
          <w:rFonts w:hint="cs"/>
          <w:i/>
          <w:sz w:val="23"/>
          <w:szCs w:val="23"/>
          <w:rtl/>
          <w:lang w:eastAsia="en-GB"/>
        </w:rPr>
        <w:t xml:space="preserve"> صفر است. تسهیل مقداری یا کمّی که به صورت گسترش ذخائر فراتر از نقطه‌ی اشباع که آن</w:t>
      </w:r>
      <w:r w:rsidRPr="00551F33">
        <w:rPr>
          <w:i/>
          <w:sz w:val="23"/>
          <w:szCs w:val="23"/>
          <w:rtl/>
          <w:lang w:eastAsia="en-GB"/>
        </w:rPr>
        <w:softHyphen/>
      </w:r>
      <w:r w:rsidRPr="00551F33">
        <w:rPr>
          <w:rFonts w:hint="cs"/>
          <w:i/>
          <w:sz w:val="23"/>
          <w:szCs w:val="23"/>
          <w:rtl/>
          <w:lang w:eastAsia="en-GB"/>
        </w:rPr>
        <w:t>هم مستلزم خرید سهام دولتی نباشد خاصیت مفیدی در مدل ندارد. در این نقطه انبساط بیشتر پولی مستلزم سیاست پولی غیرسنتی است که در آن بانک مرکزی دارایی‌های مالی را از بخش خصوصی می</w:t>
      </w:r>
      <w:r w:rsidRPr="00551F33">
        <w:rPr>
          <w:i/>
          <w:sz w:val="23"/>
          <w:szCs w:val="23"/>
          <w:lang w:eastAsia="en-GB"/>
        </w:rPr>
        <w:t>‌</w:t>
      </w:r>
      <w:r w:rsidRPr="00551F33">
        <w:rPr>
          <w:rFonts w:hint="cs"/>
          <w:i/>
          <w:sz w:val="23"/>
          <w:szCs w:val="23"/>
          <w:rtl/>
          <w:lang w:eastAsia="en-GB"/>
        </w:rPr>
        <w:t>خرد. اگر این دارایی‌ها فقط اوراق قرضه‌ی دولتی باشد، آنگاه به طور اکید سیاست سنتی خواهد بود. در عمل، جای بحث دارد که چگونه موجه است فرض کنیم بانک مرکزی به بخش خصوصی قرض می</w:t>
      </w:r>
      <w:r w:rsidRPr="00551F33">
        <w:rPr>
          <w:i/>
          <w:sz w:val="23"/>
          <w:szCs w:val="23"/>
          <w:lang w:eastAsia="en-GB"/>
        </w:rPr>
        <w:t>‌</w:t>
      </w:r>
      <w:r w:rsidRPr="00551F33">
        <w:rPr>
          <w:rFonts w:hint="cs"/>
          <w:i/>
          <w:sz w:val="23"/>
          <w:szCs w:val="23"/>
          <w:rtl/>
          <w:lang w:eastAsia="en-GB"/>
        </w:rPr>
        <w:t>دهد، زیرا این امر مستلزم انتقال ریسک به مالیات دهندگان است و بنابراین یک سیاست مالی به شمار می‌رود.</w:t>
      </w:r>
    </w:p>
    <w:p w14:paraId="7AB42005"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در عمل، به جای پرداخت بهره به ذخائر، بانک مرکزی می</w:t>
      </w:r>
      <w:r w:rsidRPr="00551F33">
        <w:rPr>
          <w:i/>
          <w:sz w:val="23"/>
          <w:szCs w:val="23"/>
          <w:lang w:eastAsia="en-GB"/>
        </w:rPr>
        <w:t>‌</w:t>
      </w:r>
      <w:r w:rsidRPr="00551F33">
        <w:rPr>
          <w:rFonts w:hint="cs"/>
          <w:i/>
          <w:sz w:val="23"/>
          <w:szCs w:val="23"/>
          <w:rtl/>
          <w:lang w:eastAsia="en-GB"/>
        </w:rPr>
        <w:t>توانست برای پذیرش ذخیره هزینه</w:t>
      </w:r>
      <w:r w:rsidRPr="00551F33">
        <w:rPr>
          <w:rFonts w:hint="cs"/>
          <w:i/>
          <w:sz w:val="23"/>
          <w:szCs w:val="23"/>
          <w:rtl/>
          <w:lang w:eastAsia="en-GB"/>
        </w:rPr>
        <w:softHyphen/>
        <w:t>ای اخذ کند، به ویژه اگر واسطه</w:t>
      </w:r>
      <w:r w:rsidRPr="00551F33">
        <w:rPr>
          <w:i/>
          <w:sz w:val="23"/>
          <w:szCs w:val="23"/>
          <w:lang w:eastAsia="en-GB"/>
        </w:rPr>
        <w:t>‌</w:t>
      </w:r>
      <w:r w:rsidRPr="00551F33">
        <w:rPr>
          <w:rFonts w:hint="cs"/>
          <w:i/>
          <w:sz w:val="23"/>
          <w:szCs w:val="23"/>
          <w:rtl/>
          <w:lang w:eastAsia="en-GB"/>
        </w:rPr>
        <w:t>گران مالی از نگهداری ذخیره سود ببرند، همان</w:t>
      </w:r>
      <w:r w:rsidRPr="00551F33">
        <w:rPr>
          <w:rFonts w:hint="cs"/>
          <w:i/>
          <w:sz w:val="23"/>
          <w:szCs w:val="23"/>
          <w:rtl/>
          <w:lang w:eastAsia="en-GB"/>
        </w:rPr>
        <w:softHyphen/>
        <w:t>گونه که در مدل فرض شده است. هدف از این کار این است که بانک‌ها تشویق شوند وام</w:t>
      </w:r>
      <w:r w:rsidRPr="00551F33">
        <w:rPr>
          <w:rFonts w:hint="cs"/>
          <w:i/>
          <w:sz w:val="23"/>
          <w:szCs w:val="23"/>
          <w:rtl/>
          <w:lang w:eastAsia="en-GB"/>
        </w:rPr>
        <w:softHyphen/>
        <w:t>دهی به بخش خصوصی غیربانکی را افزایش دهند. این واکنش در طول بحران مالی مورد بررسی قرار گرفت و بانک سوئدی ریکس آن را اجرا نکرد. در مدل کوریا و وودفورد این نیز زیر بهینه است زیرا هزینه‌ی نهایی ایجاد ذخایر صفر است.</w:t>
      </w:r>
    </w:p>
    <w:p w14:paraId="6B3D5381"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مدل همچنین توضیحی برای ما</w:t>
      </w:r>
      <w:r w:rsidRPr="00551F33">
        <w:rPr>
          <w:rFonts w:hint="cs"/>
          <w:i/>
          <w:sz w:val="23"/>
          <w:szCs w:val="23"/>
          <w:rtl/>
          <w:lang w:eastAsia="en-GB"/>
        </w:rPr>
        <w:softHyphen/>
        <w:t>به</w:t>
      </w:r>
      <w:r w:rsidRPr="00551F33">
        <w:rPr>
          <w:rFonts w:hint="cs"/>
          <w:i/>
          <w:sz w:val="23"/>
          <w:szCs w:val="23"/>
          <w:rtl/>
          <w:lang w:eastAsia="en-GB"/>
        </w:rPr>
        <w:softHyphen/>
        <w:t>التفاوت اعتبار ارائه می</w:t>
      </w:r>
      <w:r w:rsidRPr="00551F33">
        <w:rPr>
          <w:i/>
          <w:sz w:val="23"/>
          <w:szCs w:val="23"/>
          <w:lang w:eastAsia="en-GB"/>
        </w:rPr>
        <w:t>‌</w:t>
      </w:r>
      <w:r w:rsidRPr="00551F33">
        <w:rPr>
          <w:rFonts w:hint="cs"/>
          <w:i/>
          <w:sz w:val="23"/>
          <w:szCs w:val="23"/>
          <w:rtl/>
          <w:lang w:eastAsia="en-GB"/>
        </w:rPr>
        <w:t>کند. این امر به هزینه</w:t>
      </w:r>
      <w:r w:rsidRPr="00551F33">
        <w:rPr>
          <w:rFonts w:hint="cs"/>
          <w:i/>
          <w:sz w:val="23"/>
          <w:szCs w:val="23"/>
          <w:rtl/>
          <w:lang w:eastAsia="en-GB"/>
        </w:rPr>
        <w:softHyphen/>
        <w:t>ی حقیقی ایجاد وام‌ها و وام</w:t>
      </w:r>
      <w:r w:rsidRPr="00551F33">
        <w:rPr>
          <w:i/>
          <w:sz w:val="23"/>
          <w:szCs w:val="23"/>
          <w:lang w:eastAsia="en-GB"/>
        </w:rPr>
        <w:t>‌</w:t>
      </w:r>
      <w:r w:rsidRPr="00551F33">
        <w:rPr>
          <w:rFonts w:hint="cs"/>
          <w:i/>
          <w:sz w:val="23"/>
          <w:szCs w:val="23"/>
          <w:rtl/>
          <w:lang w:eastAsia="en-GB"/>
        </w:rPr>
        <w:t>های بد قابل انتصاب است. کوردیا و وودفورد این جنبه از مدل را ادامه ندادند. اگر چه این کار قصور را در مدل وارد می</w:t>
      </w:r>
      <w:r w:rsidRPr="00551F33">
        <w:rPr>
          <w:i/>
          <w:sz w:val="23"/>
          <w:szCs w:val="23"/>
          <w:lang w:eastAsia="en-GB"/>
        </w:rPr>
        <w:t>‌</w:t>
      </w:r>
      <w:r w:rsidRPr="00551F33">
        <w:rPr>
          <w:rFonts w:hint="cs"/>
          <w:i/>
          <w:sz w:val="23"/>
          <w:szCs w:val="23"/>
          <w:rtl/>
          <w:lang w:eastAsia="en-GB"/>
        </w:rPr>
        <w:t>کند، اما آنرا برون</w:t>
      </w:r>
      <w:r w:rsidRPr="00551F33">
        <w:rPr>
          <w:i/>
          <w:sz w:val="23"/>
          <w:szCs w:val="23"/>
          <w:lang w:eastAsia="en-GB"/>
        </w:rPr>
        <w:t>‌</w:t>
      </w:r>
      <w:r w:rsidRPr="00551F33">
        <w:rPr>
          <w:rFonts w:hint="cs"/>
          <w:i/>
          <w:sz w:val="23"/>
          <w:szCs w:val="23"/>
          <w:rtl/>
          <w:lang w:eastAsia="en-GB"/>
        </w:rPr>
        <w:t>زا و کاملاً قابل پیش</w:t>
      </w:r>
      <w:r w:rsidRPr="00551F33">
        <w:rPr>
          <w:rFonts w:hint="cs"/>
          <w:i/>
          <w:sz w:val="23"/>
          <w:szCs w:val="23"/>
          <w:rtl/>
          <w:lang w:eastAsia="en-GB"/>
        </w:rPr>
        <w:softHyphen/>
        <w:t>بینی می‌کند. بررسی واقع</w:t>
      </w:r>
      <w:r w:rsidRPr="00551F33">
        <w:rPr>
          <w:rFonts w:hint="cs"/>
          <w:i/>
          <w:sz w:val="23"/>
          <w:szCs w:val="23"/>
          <w:rtl/>
          <w:lang w:eastAsia="en-GB"/>
        </w:rPr>
        <w:softHyphen/>
        <w:t>بینانه</w:t>
      </w:r>
      <w:r w:rsidRPr="00551F33">
        <w:rPr>
          <w:rFonts w:hint="cs"/>
          <w:i/>
          <w:sz w:val="23"/>
          <w:szCs w:val="23"/>
          <w:rtl/>
          <w:lang w:eastAsia="en-GB"/>
        </w:rPr>
        <w:softHyphen/>
        <w:t>تر قصور این است که فرض کنیم تصادفی و غیرقابل پیش</w:t>
      </w:r>
      <w:r w:rsidRPr="00551F33">
        <w:rPr>
          <w:i/>
          <w:sz w:val="23"/>
          <w:szCs w:val="23"/>
          <w:lang w:eastAsia="en-GB"/>
        </w:rPr>
        <w:t>‌</w:t>
      </w:r>
      <w:r w:rsidRPr="00551F33">
        <w:rPr>
          <w:rFonts w:hint="cs"/>
          <w:i/>
          <w:sz w:val="23"/>
          <w:szCs w:val="23"/>
          <w:rtl/>
          <w:lang w:eastAsia="en-GB"/>
        </w:rPr>
        <w:t>بینی است. اکنون یک مدل</w:t>
      </w:r>
      <w:r w:rsidRPr="00551F33">
        <w:rPr>
          <w:i/>
          <w:sz w:val="23"/>
          <w:szCs w:val="23"/>
          <w:lang w:eastAsia="en-GB"/>
        </w:rPr>
        <w:t>DSGE</w:t>
      </w:r>
      <w:r w:rsidRPr="00551F33">
        <w:rPr>
          <w:rFonts w:hint="cs"/>
          <w:i/>
          <w:sz w:val="23"/>
          <w:szCs w:val="23"/>
          <w:rtl/>
          <w:lang w:eastAsia="en-GB"/>
        </w:rPr>
        <w:t xml:space="preserve"> را بررسی </w:t>
      </w:r>
      <w:r w:rsidRPr="00551F33">
        <w:rPr>
          <w:rFonts w:hint="cs"/>
          <w:i/>
          <w:sz w:val="23"/>
          <w:szCs w:val="23"/>
          <w:rtl/>
          <w:lang w:eastAsia="en-GB"/>
        </w:rPr>
        <w:lastRenderedPageBreak/>
        <w:t>می</w:t>
      </w:r>
      <w:r w:rsidRPr="00551F33">
        <w:rPr>
          <w:i/>
          <w:sz w:val="23"/>
          <w:szCs w:val="23"/>
          <w:lang w:eastAsia="en-GB"/>
        </w:rPr>
        <w:t>‌</w:t>
      </w:r>
      <w:r w:rsidRPr="00551F33">
        <w:rPr>
          <w:rFonts w:hint="cs"/>
          <w:i/>
          <w:sz w:val="23"/>
          <w:szCs w:val="23"/>
          <w:rtl/>
          <w:lang w:eastAsia="en-GB"/>
        </w:rPr>
        <w:t>کنیم که این رویکرد را دارد. بعلاوه مدل تعادل عمومی برای قیمت</w:t>
      </w:r>
      <w:r w:rsidRPr="00551F33">
        <w:rPr>
          <w:rFonts w:hint="cs"/>
          <w:i/>
          <w:sz w:val="23"/>
          <w:szCs w:val="23"/>
          <w:rtl/>
          <w:lang w:eastAsia="en-GB"/>
        </w:rPr>
        <w:softHyphen/>
        <w:t>گذاری ریسک قصور ایجاد می‌کند.</w:t>
      </w:r>
    </w:p>
    <w:p w14:paraId="2AB96716" w14:textId="77777777" w:rsidR="00556C10" w:rsidRPr="00551F33" w:rsidRDefault="00556C10" w:rsidP="00556C10">
      <w:pPr>
        <w:spacing w:line="216" w:lineRule="auto"/>
        <w:rPr>
          <w:i/>
          <w:sz w:val="23"/>
          <w:szCs w:val="23"/>
          <w:lang w:eastAsia="en-GB"/>
        </w:rPr>
      </w:pPr>
    </w:p>
    <w:p w14:paraId="25B48E23" w14:textId="77777777" w:rsidR="00556C10" w:rsidRPr="00551F33" w:rsidRDefault="00556C10" w:rsidP="00556C10">
      <w:pPr>
        <w:pStyle w:val="Heading1"/>
        <w:spacing w:before="0" w:line="216" w:lineRule="auto"/>
        <w:rPr>
          <w:rFonts w:ascii="Times New Roman" w:hAnsi="Times New Roman" w:cs="B Nazanin"/>
          <w:b w:val="0"/>
          <w:i/>
          <w:sz w:val="23"/>
          <w:szCs w:val="23"/>
          <w:rtl/>
          <w:lang w:eastAsia="en-GB"/>
        </w:rPr>
      </w:pPr>
      <w:r w:rsidRPr="00551F33">
        <w:rPr>
          <w:rFonts w:ascii="Times New Roman" w:hAnsi="Times New Roman" w:cs="B Nazanin" w:hint="cs"/>
          <w:b w:val="0"/>
          <w:i/>
          <w:sz w:val="23"/>
          <w:szCs w:val="23"/>
          <w:rtl/>
          <w:lang w:eastAsia="en-GB"/>
        </w:rPr>
        <w:t xml:space="preserve">۱۵. ۸ یک مدل </w:t>
      </w:r>
      <w:r w:rsidRPr="00551F33">
        <w:rPr>
          <w:rFonts w:ascii="Times New Roman" w:hAnsi="Times New Roman" w:cs="B Nazanin"/>
          <w:b w:val="0"/>
          <w:i/>
          <w:sz w:val="23"/>
          <w:szCs w:val="23"/>
          <w:lang w:eastAsia="en-GB"/>
        </w:rPr>
        <w:t>DSGE</w:t>
      </w:r>
      <w:r w:rsidRPr="00551F33">
        <w:rPr>
          <w:rFonts w:ascii="Times New Roman" w:hAnsi="Times New Roman" w:cs="B Nazanin" w:hint="cs"/>
          <w:b w:val="0"/>
          <w:i/>
          <w:sz w:val="23"/>
          <w:szCs w:val="23"/>
          <w:rtl/>
          <w:lang w:eastAsia="en-GB"/>
        </w:rPr>
        <w:t xml:space="preserve"> با قصور</w:t>
      </w:r>
    </w:p>
    <w:p w14:paraId="1ABD91B6"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در مدل دیاموند و دیبویگ، و مدل آلن و دیگران بر تأمین نقدینگی بانک‌های تجاری به وسیله بازار بین</w:t>
      </w:r>
      <w:r w:rsidRPr="00551F33">
        <w:rPr>
          <w:rFonts w:hint="cs"/>
          <w:i/>
          <w:sz w:val="23"/>
          <w:szCs w:val="23"/>
          <w:rtl/>
          <w:lang w:eastAsia="en-GB"/>
        </w:rPr>
        <w:softHyphen/>
        <w:t>بانکی تأکید می</w:t>
      </w:r>
      <w:r w:rsidRPr="00551F33">
        <w:rPr>
          <w:i/>
          <w:sz w:val="23"/>
          <w:szCs w:val="23"/>
          <w:rtl/>
          <w:lang w:eastAsia="en-GB"/>
        </w:rPr>
        <w:softHyphen/>
      </w:r>
      <w:r w:rsidRPr="00551F33">
        <w:rPr>
          <w:rFonts w:hint="cs"/>
          <w:i/>
          <w:sz w:val="23"/>
          <w:szCs w:val="23"/>
          <w:rtl/>
          <w:lang w:eastAsia="en-GB"/>
        </w:rPr>
        <w:t>شود. یعنی، هنگامی که عدم نقدینگی بانک</w:t>
      </w:r>
      <w:r w:rsidRPr="00551F33">
        <w:rPr>
          <w:i/>
          <w:sz w:val="23"/>
          <w:szCs w:val="23"/>
          <w:rtl/>
          <w:lang w:eastAsia="en-GB"/>
        </w:rPr>
        <w:softHyphen/>
      </w:r>
      <w:r w:rsidRPr="00551F33">
        <w:rPr>
          <w:rFonts w:hint="cs"/>
          <w:i/>
          <w:sz w:val="23"/>
          <w:szCs w:val="23"/>
          <w:rtl/>
          <w:lang w:eastAsia="en-GB"/>
        </w:rPr>
        <w:t>ها منجر به هجوم بانک می</w:t>
      </w:r>
      <w:r w:rsidRPr="00551F33">
        <w:rPr>
          <w:i/>
          <w:sz w:val="23"/>
          <w:szCs w:val="23"/>
          <w:rtl/>
          <w:lang w:eastAsia="en-GB"/>
        </w:rPr>
        <w:softHyphen/>
      </w:r>
      <w:r w:rsidRPr="00551F33">
        <w:rPr>
          <w:rFonts w:hint="cs"/>
          <w:i/>
          <w:sz w:val="23"/>
          <w:szCs w:val="23"/>
          <w:rtl/>
          <w:lang w:eastAsia="en-GB"/>
        </w:rPr>
        <w:t>شود، چگونه می</w:t>
      </w:r>
      <w:r w:rsidRPr="00551F33">
        <w:rPr>
          <w:i/>
          <w:sz w:val="23"/>
          <w:szCs w:val="23"/>
          <w:rtl/>
          <w:lang w:eastAsia="en-GB"/>
        </w:rPr>
        <w:softHyphen/>
      </w:r>
      <w:r w:rsidRPr="00551F33">
        <w:rPr>
          <w:rFonts w:hint="cs"/>
          <w:i/>
          <w:sz w:val="23"/>
          <w:szCs w:val="23"/>
          <w:rtl/>
          <w:lang w:eastAsia="en-GB"/>
        </w:rPr>
        <w:t>توان با مداخله</w:t>
      </w:r>
      <w:r w:rsidRPr="00551F33">
        <w:rPr>
          <w:rFonts w:hint="cs"/>
          <w:i/>
          <w:sz w:val="23"/>
          <w:szCs w:val="23"/>
          <w:rtl/>
          <w:lang w:eastAsia="en-GB"/>
        </w:rPr>
        <w:softHyphen/>
        <w:t>ی سیاست پولی و عملیات بازار آزاد از آن اجتناب کرد. در این مدل‌ها، دارایی‌ها فاقد ریسک</w:t>
      </w:r>
      <w:r w:rsidRPr="00551F33">
        <w:rPr>
          <w:i/>
          <w:sz w:val="23"/>
          <w:szCs w:val="23"/>
          <w:rtl/>
          <w:lang w:eastAsia="en-GB"/>
        </w:rPr>
        <w:softHyphen/>
      </w:r>
      <w:r w:rsidRPr="00551F33">
        <w:rPr>
          <w:rFonts w:hint="cs"/>
          <w:i/>
          <w:sz w:val="23"/>
          <w:szCs w:val="23"/>
          <w:rtl/>
          <w:lang w:eastAsia="en-GB"/>
        </w:rPr>
        <w:t>اند و بنابراین امکان قصور وجود ندارد. در مدل کوردیا و وودفورد وام‌های بد نیز وجود دارد اما این</w:t>
      </w:r>
      <w:r w:rsidRPr="00551F33">
        <w:rPr>
          <w:rFonts w:hint="cs"/>
          <w:i/>
          <w:sz w:val="23"/>
          <w:szCs w:val="23"/>
          <w:rtl/>
          <w:lang w:eastAsia="en-GB"/>
        </w:rPr>
        <w:softHyphen/>
        <w:t xml:space="preserve">ها </w:t>
      </w:r>
      <w:r w:rsidRPr="00551F33">
        <w:rPr>
          <w:rFonts w:hint="cs"/>
          <w:i/>
          <w:sz w:val="23"/>
          <w:szCs w:val="23"/>
          <w:rtl/>
          <w:lang w:eastAsia="en-GB"/>
        </w:rPr>
        <w:softHyphen/>
        <w:t>به</w:t>
      </w:r>
      <w:r w:rsidRPr="00551F33">
        <w:rPr>
          <w:rFonts w:hint="cs"/>
          <w:i/>
          <w:sz w:val="23"/>
          <w:szCs w:val="23"/>
          <w:rtl/>
          <w:lang w:eastAsia="en-GB"/>
        </w:rPr>
        <w:softHyphen/>
        <w:t>طور برون</w:t>
      </w:r>
      <w:r w:rsidRPr="00551F33">
        <w:rPr>
          <w:rFonts w:hint="cs"/>
          <w:i/>
          <w:sz w:val="23"/>
          <w:szCs w:val="23"/>
          <w:rtl/>
          <w:lang w:eastAsia="en-GB"/>
        </w:rPr>
        <w:softHyphen/>
        <w:t>زا ایجاد می‌شوند. یک از ویژگی</w:t>
      </w:r>
      <w:r w:rsidRPr="00551F33">
        <w:rPr>
          <w:i/>
          <w:sz w:val="23"/>
          <w:szCs w:val="23"/>
          <w:rtl/>
          <w:lang w:eastAsia="en-GB"/>
        </w:rPr>
        <w:softHyphen/>
      </w:r>
      <w:r w:rsidRPr="00551F33">
        <w:rPr>
          <w:rFonts w:hint="cs"/>
          <w:i/>
          <w:sz w:val="23"/>
          <w:szCs w:val="23"/>
          <w:rtl/>
          <w:lang w:eastAsia="en-GB"/>
        </w:rPr>
        <w:t>ها و خصوصیات مهم بحران مالی اخیر، قصور بخش خصوصی غیر</w:t>
      </w:r>
      <w:r w:rsidRPr="00551F33">
        <w:rPr>
          <w:rFonts w:hint="cs"/>
          <w:i/>
          <w:sz w:val="23"/>
          <w:szCs w:val="23"/>
          <w:rtl/>
          <w:lang w:eastAsia="en-GB"/>
        </w:rPr>
        <w:softHyphen/>
        <w:t>بانکی و بخش بانکی بود که به</w:t>
      </w:r>
      <w:r w:rsidRPr="00551F33">
        <w:rPr>
          <w:rFonts w:hint="cs"/>
          <w:i/>
          <w:sz w:val="23"/>
          <w:szCs w:val="23"/>
          <w:rtl/>
          <w:lang w:eastAsia="en-GB"/>
        </w:rPr>
        <w:softHyphen/>
        <w:t>طور درون</w:t>
      </w:r>
      <w:r w:rsidRPr="00551F33">
        <w:rPr>
          <w:i/>
          <w:sz w:val="23"/>
          <w:szCs w:val="23"/>
          <w:lang w:eastAsia="en-GB"/>
        </w:rPr>
        <w:t>‌</w:t>
      </w:r>
      <w:r w:rsidRPr="00551F33">
        <w:rPr>
          <w:rFonts w:hint="cs"/>
          <w:i/>
          <w:sz w:val="23"/>
          <w:szCs w:val="23"/>
          <w:rtl/>
          <w:lang w:eastAsia="en-GB"/>
        </w:rPr>
        <w:t>زا ایجاد شد و علت آن نیز قیمت</w:t>
      </w:r>
      <w:r w:rsidRPr="00551F33">
        <w:rPr>
          <w:rFonts w:hint="cs"/>
          <w:i/>
          <w:sz w:val="23"/>
          <w:szCs w:val="23"/>
          <w:rtl/>
          <w:lang w:eastAsia="en-GB"/>
        </w:rPr>
        <w:softHyphen/>
        <w:t>گذاری نادرست وام‌ها از طریق برآورد کم</w:t>
      </w:r>
      <w:r w:rsidRPr="00551F33">
        <w:rPr>
          <w:i/>
          <w:sz w:val="23"/>
          <w:szCs w:val="23"/>
          <w:rtl/>
          <w:lang w:eastAsia="en-GB"/>
        </w:rPr>
        <w:softHyphen/>
      </w:r>
      <w:r w:rsidRPr="00551F33">
        <w:rPr>
          <w:rFonts w:hint="cs"/>
          <w:i/>
          <w:sz w:val="23"/>
          <w:szCs w:val="23"/>
          <w:rtl/>
          <w:lang w:eastAsia="en-GB"/>
        </w:rPr>
        <w:t>تر از حدّ ریسک قصور بود. این امر اثر قابل ملاحظه بر تأمین نقدینگی هر دو بخش داشت و باعث شد تا نرخ وام</w:t>
      </w:r>
      <w:r w:rsidRPr="00551F33">
        <w:rPr>
          <w:rFonts w:hint="cs"/>
          <w:i/>
          <w:sz w:val="23"/>
          <w:szCs w:val="23"/>
          <w:rtl/>
          <w:lang w:eastAsia="en-GB"/>
        </w:rPr>
        <w:softHyphen/>
        <w:t>گیری به</w:t>
      </w:r>
      <w:r w:rsidRPr="00551F33">
        <w:rPr>
          <w:rFonts w:hint="cs"/>
          <w:i/>
          <w:sz w:val="23"/>
          <w:szCs w:val="23"/>
          <w:rtl/>
          <w:lang w:eastAsia="en-GB"/>
        </w:rPr>
        <w:softHyphen/>
        <w:t>طور قابل</w:t>
      </w:r>
      <w:r w:rsidRPr="00551F33">
        <w:rPr>
          <w:i/>
          <w:sz w:val="23"/>
          <w:szCs w:val="23"/>
          <w:lang w:eastAsia="en-GB"/>
        </w:rPr>
        <w:t>‌</w:t>
      </w:r>
      <w:r w:rsidRPr="00551F33">
        <w:rPr>
          <w:rFonts w:hint="cs"/>
          <w:i/>
          <w:sz w:val="23"/>
          <w:szCs w:val="23"/>
          <w:rtl/>
          <w:lang w:eastAsia="en-GB"/>
        </w:rPr>
        <w:t>ملاحظه</w:t>
      </w:r>
      <w:r w:rsidRPr="00551F33">
        <w:rPr>
          <w:i/>
          <w:sz w:val="23"/>
          <w:szCs w:val="23"/>
          <w:lang w:eastAsia="en-GB"/>
        </w:rPr>
        <w:t>‌</w:t>
      </w:r>
      <w:r w:rsidRPr="00551F33">
        <w:rPr>
          <w:rFonts w:hint="cs"/>
          <w:i/>
          <w:sz w:val="23"/>
          <w:szCs w:val="23"/>
          <w:rtl/>
          <w:lang w:eastAsia="en-GB"/>
        </w:rPr>
        <w:t>ای افزایش یابد، و با افزایش مابه</w:t>
      </w:r>
      <w:r w:rsidRPr="00551F33">
        <w:rPr>
          <w:rFonts w:hint="cs"/>
          <w:i/>
          <w:sz w:val="23"/>
          <w:szCs w:val="23"/>
          <w:rtl/>
          <w:lang w:eastAsia="en-GB"/>
        </w:rPr>
        <w:softHyphen/>
        <w:t>التفاوت نرخ سپرده از نرخ وام، وام‌دهندگان تشویق شدند علی</w:t>
      </w:r>
      <w:r w:rsidRPr="00551F33">
        <w:rPr>
          <w:i/>
          <w:sz w:val="23"/>
          <w:szCs w:val="23"/>
          <w:rtl/>
          <w:lang w:eastAsia="en-GB"/>
        </w:rPr>
        <w:softHyphen/>
      </w:r>
      <w:r w:rsidRPr="00551F33">
        <w:rPr>
          <w:rFonts w:hint="cs"/>
          <w:i/>
          <w:sz w:val="23"/>
          <w:szCs w:val="23"/>
          <w:rtl/>
          <w:lang w:eastAsia="en-GB"/>
        </w:rPr>
        <w:t>رغم ریسک قصور، نقدینگی لازم را تأمین کنند. در این</w:t>
      </w:r>
      <w:r w:rsidRPr="00551F33">
        <w:rPr>
          <w:i/>
          <w:sz w:val="23"/>
          <w:szCs w:val="23"/>
          <w:rtl/>
          <w:lang w:eastAsia="en-GB"/>
        </w:rPr>
        <w:softHyphen/>
      </w:r>
      <w:r w:rsidRPr="00551F33">
        <w:rPr>
          <w:rFonts w:hint="cs"/>
          <w:i/>
          <w:sz w:val="23"/>
          <w:szCs w:val="23"/>
          <w:rtl/>
          <w:lang w:eastAsia="en-GB"/>
        </w:rPr>
        <w:t>جا مدلی از بخش بانکی ارائه می</w:t>
      </w:r>
      <w:r w:rsidRPr="00551F33">
        <w:rPr>
          <w:i/>
          <w:sz w:val="23"/>
          <w:szCs w:val="23"/>
          <w:rtl/>
          <w:lang w:eastAsia="en-GB"/>
        </w:rPr>
        <w:softHyphen/>
      </w:r>
      <w:r w:rsidRPr="00551F33">
        <w:rPr>
          <w:rFonts w:hint="cs"/>
          <w:i/>
          <w:sz w:val="23"/>
          <w:szCs w:val="23"/>
          <w:rtl/>
          <w:lang w:eastAsia="en-GB"/>
        </w:rPr>
        <w:t>شود که در آن ریسک قصور به</w:t>
      </w:r>
      <w:r w:rsidRPr="00551F33">
        <w:rPr>
          <w:i/>
          <w:sz w:val="23"/>
          <w:szCs w:val="23"/>
          <w:rtl/>
          <w:lang w:eastAsia="en-GB"/>
        </w:rPr>
        <w:softHyphen/>
      </w:r>
      <w:r w:rsidRPr="00551F33">
        <w:rPr>
          <w:rFonts w:hint="cs"/>
          <w:i/>
          <w:sz w:val="23"/>
          <w:szCs w:val="23"/>
          <w:rtl/>
          <w:lang w:eastAsia="en-GB"/>
        </w:rPr>
        <w:t>طور درون</w:t>
      </w:r>
      <w:r w:rsidRPr="00551F33">
        <w:rPr>
          <w:i/>
          <w:sz w:val="23"/>
          <w:szCs w:val="23"/>
          <w:lang w:eastAsia="en-GB"/>
        </w:rPr>
        <w:t>‌</w:t>
      </w:r>
      <w:r w:rsidRPr="00551F33">
        <w:rPr>
          <w:rFonts w:hint="cs"/>
          <w:i/>
          <w:sz w:val="23"/>
          <w:szCs w:val="23"/>
          <w:rtl/>
          <w:lang w:eastAsia="en-GB"/>
        </w:rPr>
        <w:t>زا قیمت</w:t>
      </w:r>
      <w:r w:rsidRPr="00551F33">
        <w:rPr>
          <w:rFonts w:hint="cs"/>
          <w:i/>
          <w:sz w:val="23"/>
          <w:szCs w:val="23"/>
          <w:rtl/>
          <w:lang w:eastAsia="en-GB"/>
        </w:rPr>
        <w:softHyphen/>
        <w:t xml:space="preserve">گذاری شده، و به چارچوب اقتصاد کلان </w:t>
      </w:r>
      <w:r w:rsidRPr="00551F33">
        <w:rPr>
          <w:i/>
          <w:sz w:val="23"/>
          <w:szCs w:val="23"/>
          <w:lang w:eastAsia="en-GB"/>
        </w:rPr>
        <w:t>DSGE</w:t>
      </w:r>
      <w:r w:rsidRPr="00551F33">
        <w:rPr>
          <w:rFonts w:hint="cs"/>
          <w:i/>
          <w:sz w:val="23"/>
          <w:szCs w:val="23"/>
          <w:rtl/>
          <w:lang w:eastAsia="en-GB"/>
        </w:rPr>
        <w:t xml:space="preserve"> که قبلاً بسط داده شد متصل شود. </w:t>
      </w:r>
    </w:p>
    <w:p w14:paraId="758BA10C" w14:textId="77777777" w:rsidR="00556C10" w:rsidRPr="00551F33" w:rsidRDefault="00556C10" w:rsidP="00556C10">
      <w:pPr>
        <w:spacing w:line="216" w:lineRule="auto"/>
        <w:rPr>
          <w:rFonts w:eastAsiaTheme="minorHAnsi"/>
          <w:i/>
          <w:sz w:val="23"/>
          <w:szCs w:val="23"/>
        </w:rPr>
      </w:pPr>
      <w:r w:rsidRPr="00551F33">
        <w:rPr>
          <w:rFonts w:hint="cs"/>
          <w:i/>
          <w:sz w:val="23"/>
          <w:szCs w:val="23"/>
          <w:rtl/>
        </w:rPr>
        <w:t>به علت پیچیدگی سیستم بانکی که در آن محصولات مالی بسیار گسترده و واسطه</w:t>
      </w:r>
      <w:r w:rsidRPr="00551F33">
        <w:rPr>
          <w:i/>
          <w:sz w:val="23"/>
          <w:szCs w:val="23"/>
        </w:rPr>
        <w:t>‌</w:t>
      </w:r>
      <w:r w:rsidRPr="00551F33">
        <w:rPr>
          <w:rFonts w:hint="cs"/>
          <w:i/>
          <w:sz w:val="23"/>
          <w:szCs w:val="23"/>
          <w:rtl/>
        </w:rPr>
        <w:t>گران فراوان مالی است، مدل ساده</w:t>
      </w:r>
      <w:r w:rsidRPr="00551F33">
        <w:rPr>
          <w:i/>
          <w:sz w:val="23"/>
          <w:szCs w:val="23"/>
          <w:rtl/>
        </w:rPr>
        <w:softHyphen/>
      </w:r>
      <w:r w:rsidRPr="00551F33">
        <w:rPr>
          <w:rFonts w:hint="cs"/>
          <w:i/>
          <w:sz w:val="23"/>
          <w:szCs w:val="23"/>
          <w:rtl/>
        </w:rPr>
        <w:t>ای پیشنهاد می‌شود که بر ارزیابی ریسک و بازده مبتنی است. این مدل دارای سه بخش خانوار-بنگاه یا بخش خصوصی غیربانکی، بخش بانکی- بانک مرکزی و بالاخره بخش دولتی است. خانوار، سپرده</w:t>
      </w:r>
      <w:r w:rsidRPr="00551F33">
        <w:rPr>
          <w:i/>
          <w:sz w:val="23"/>
          <w:szCs w:val="23"/>
        </w:rPr>
        <w:t>‌</w:t>
      </w:r>
      <w:r w:rsidRPr="00551F33">
        <w:rPr>
          <w:rFonts w:hint="cs"/>
          <w:i/>
          <w:sz w:val="23"/>
          <w:szCs w:val="23"/>
          <w:rtl/>
        </w:rPr>
        <w:t>ها را نقداً</w:t>
      </w:r>
      <w:r w:rsidRPr="00551F33">
        <w:rPr>
          <w:rStyle w:val="FootnoteReference"/>
          <w:i/>
          <w:sz w:val="23"/>
          <w:szCs w:val="23"/>
          <w:rtl/>
        </w:rPr>
        <w:footnoteReference w:id="374"/>
      </w:r>
      <w:r w:rsidRPr="00551F33">
        <w:rPr>
          <w:rFonts w:hint="cs"/>
          <w:i/>
          <w:sz w:val="23"/>
          <w:szCs w:val="23"/>
          <w:rtl/>
        </w:rPr>
        <w:t xml:space="preserve"> نگهداری کرده و اوراق قرضه‌ی دولتی را بدلیل حصول بازدهی بدون ریسک در اختیار دارند. خانوار همچنین از بانک‌ها با نرخی که مبین قصور خانوار به دلیل شوک برون</w:t>
      </w:r>
      <w:r w:rsidRPr="00551F33">
        <w:rPr>
          <w:rFonts w:hint="cs"/>
          <w:i/>
          <w:sz w:val="23"/>
          <w:szCs w:val="23"/>
          <w:rtl/>
        </w:rPr>
        <w:softHyphen/>
        <w:t>زای درآمدی یا ثروتی است، وام می</w:t>
      </w:r>
      <w:r w:rsidRPr="00551F33">
        <w:rPr>
          <w:rFonts w:hint="cs"/>
          <w:i/>
          <w:sz w:val="23"/>
          <w:szCs w:val="23"/>
          <w:rtl/>
        </w:rPr>
        <w:softHyphen/>
        <w:t>گیرند. وام‌ها و اوراق قرضه برای یک دوره است. بانک‌ها به سپرده‌ها بهره</w:t>
      </w:r>
      <w:r w:rsidRPr="00551F33">
        <w:rPr>
          <w:rFonts w:hint="cs"/>
          <w:i/>
          <w:sz w:val="23"/>
          <w:szCs w:val="23"/>
          <w:rtl/>
        </w:rPr>
        <w:softHyphen/>
        <w:t>ای نمی</w:t>
      </w:r>
      <w:r w:rsidRPr="00551F33">
        <w:rPr>
          <w:rFonts w:hint="cs"/>
          <w:i/>
          <w:sz w:val="23"/>
          <w:szCs w:val="23"/>
          <w:rtl/>
        </w:rPr>
        <w:softHyphen/>
        <w:t>پردازند اما از وام به خانوار بهره می‌گیرند. آن‌ها ذخائر را در بانک مرکزی نگهداری کرده و از بخش غیربانکی استقراض می</w:t>
      </w:r>
      <w:r w:rsidRPr="00551F33">
        <w:rPr>
          <w:rFonts w:hint="cs"/>
          <w:i/>
          <w:sz w:val="23"/>
          <w:szCs w:val="23"/>
          <w:rtl/>
        </w:rPr>
        <w:softHyphen/>
        <w:t>کنند. اگر قید کمبود نقدینگی وجود داشته باشد، بانک</w:t>
      </w:r>
      <w:r w:rsidRPr="00551F33">
        <w:rPr>
          <w:i/>
          <w:sz w:val="23"/>
          <w:szCs w:val="23"/>
          <w:rtl/>
        </w:rPr>
        <w:softHyphen/>
      </w:r>
      <w:r w:rsidRPr="00551F33">
        <w:rPr>
          <w:rFonts w:hint="cs"/>
          <w:i/>
          <w:sz w:val="23"/>
          <w:szCs w:val="23"/>
          <w:rtl/>
        </w:rPr>
        <w:t>ها با نرخ بازده بدون ریسک از بانک مرکزی نیز استقراض می</w:t>
      </w:r>
      <w:r w:rsidRPr="00551F33">
        <w:rPr>
          <w:i/>
          <w:sz w:val="23"/>
          <w:szCs w:val="23"/>
          <w:rtl/>
        </w:rPr>
        <w:softHyphen/>
      </w:r>
      <w:r w:rsidRPr="00551F33">
        <w:rPr>
          <w:rFonts w:hint="cs"/>
          <w:i/>
          <w:sz w:val="23"/>
          <w:szCs w:val="23"/>
          <w:rtl/>
        </w:rPr>
        <w:t>کنند. ممکن است بانک مرکزی اوراق قرضه</w:t>
      </w:r>
      <w:r w:rsidRPr="00551F33">
        <w:rPr>
          <w:i/>
          <w:sz w:val="23"/>
          <w:szCs w:val="23"/>
          <w:rtl/>
        </w:rPr>
        <w:softHyphen/>
      </w:r>
      <w:r w:rsidRPr="00551F33">
        <w:rPr>
          <w:rFonts w:hint="cs"/>
          <w:i/>
          <w:sz w:val="23"/>
          <w:szCs w:val="23"/>
          <w:rtl/>
        </w:rPr>
        <w:t>ی دولتی را نگهداری کرده و نرخ بدون ریسکی را دریافت کند. دولت اوراق قرضه را منتشر می‌کند، به بانک مرکزی وام می</w:t>
      </w:r>
      <w:r w:rsidRPr="00551F33">
        <w:rPr>
          <w:i/>
          <w:sz w:val="23"/>
          <w:szCs w:val="23"/>
        </w:rPr>
        <w:t>‌</w:t>
      </w:r>
      <w:r w:rsidRPr="00551F33">
        <w:rPr>
          <w:rFonts w:hint="cs"/>
          <w:i/>
          <w:sz w:val="23"/>
          <w:szCs w:val="23"/>
          <w:rtl/>
        </w:rPr>
        <w:t>دهد و ذخایر بانکی را نگهداری می</w:t>
      </w:r>
      <w:r w:rsidRPr="00551F33">
        <w:rPr>
          <w:i/>
          <w:sz w:val="23"/>
          <w:szCs w:val="23"/>
        </w:rPr>
        <w:t>‌</w:t>
      </w:r>
      <w:r w:rsidRPr="00551F33">
        <w:rPr>
          <w:rFonts w:hint="cs"/>
          <w:i/>
          <w:sz w:val="23"/>
          <w:szCs w:val="23"/>
          <w:rtl/>
        </w:rPr>
        <w:t>کند. دولت همچنین مالیات‌ مقطوع را وضع کرده و  مصرف می</w:t>
      </w:r>
      <w:r w:rsidRPr="00551F33">
        <w:rPr>
          <w:i/>
          <w:sz w:val="23"/>
          <w:szCs w:val="23"/>
        </w:rPr>
        <w:t>‌</w:t>
      </w:r>
      <w:r w:rsidRPr="00551F33">
        <w:rPr>
          <w:rFonts w:hint="cs"/>
          <w:i/>
          <w:sz w:val="23"/>
          <w:szCs w:val="23"/>
          <w:rtl/>
        </w:rPr>
        <w:t>کند. در این مدل فرض اطلاعات نامتقارن، یا به دلیل شوک‌ها، اطلاعات کامل وجود ندارد.</w:t>
      </w:r>
    </w:p>
    <w:p w14:paraId="08AE3077" w14:textId="77777777" w:rsidR="00556C10" w:rsidRPr="00551F33" w:rsidRDefault="00556C10" w:rsidP="00556C10">
      <w:pPr>
        <w:spacing w:line="216" w:lineRule="auto"/>
        <w:rPr>
          <w:i/>
          <w:sz w:val="23"/>
          <w:szCs w:val="23"/>
        </w:rPr>
      </w:pPr>
    </w:p>
    <w:p w14:paraId="1D85F650" w14:textId="77777777" w:rsidR="00556C10" w:rsidRPr="00551F33" w:rsidRDefault="00556C10" w:rsidP="00556C10">
      <w:pPr>
        <w:pStyle w:val="Heading1"/>
        <w:spacing w:before="0" w:line="216" w:lineRule="auto"/>
        <w:rPr>
          <w:rFonts w:ascii="Times New Roman" w:hAnsi="Times New Roman" w:cs="B Nazanin"/>
          <w:b w:val="0"/>
          <w:i/>
          <w:sz w:val="23"/>
          <w:szCs w:val="23"/>
          <w:rtl/>
          <w:lang w:eastAsia="en-GB"/>
        </w:rPr>
      </w:pPr>
      <w:r w:rsidRPr="00551F33">
        <w:rPr>
          <w:rFonts w:ascii="Times New Roman" w:hAnsi="Times New Roman" w:cs="B Nazanin" w:hint="cs"/>
          <w:b w:val="0"/>
          <w:i/>
          <w:sz w:val="23"/>
          <w:szCs w:val="23"/>
          <w:rtl/>
          <w:lang w:eastAsia="en-GB"/>
        </w:rPr>
        <w:t>۱۵. ۸. ۱ بخش خصوصی غیربانکی</w:t>
      </w:r>
    </w:p>
    <w:p w14:paraId="37470D91"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هدف بخش خصوصی حداکثر کردن مطلوبیت تنزیل شده</w:t>
      </w:r>
      <w:r w:rsidRPr="00551F33">
        <w:rPr>
          <w:rFonts w:hint="cs"/>
          <w:i/>
          <w:sz w:val="23"/>
          <w:szCs w:val="23"/>
          <w:rtl/>
          <w:lang w:eastAsia="en-GB"/>
        </w:rPr>
        <w:softHyphen/>
        <w:t>ی بین</w:t>
      </w:r>
      <w:r w:rsidRPr="00551F33">
        <w:rPr>
          <w:rFonts w:hint="cs"/>
          <w:i/>
          <w:sz w:val="23"/>
          <w:szCs w:val="23"/>
          <w:rtl/>
          <w:lang w:eastAsia="en-GB"/>
        </w:rPr>
        <w:softHyphen/>
        <w:t>دوره</w:t>
      </w:r>
      <w:r w:rsidRPr="00551F33">
        <w:rPr>
          <w:rFonts w:hint="cs"/>
          <w:i/>
          <w:sz w:val="23"/>
          <w:szCs w:val="23"/>
          <w:rtl/>
          <w:lang w:eastAsia="en-GB"/>
        </w:rPr>
        <w:softHyphen/>
        <w:t>ای زیر است</w:t>
      </w:r>
    </w:p>
    <w:p w14:paraId="3BE0377D" w14:textId="77777777" w:rsidR="00556C10" w:rsidRPr="00551F33" w:rsidRDefault="00556C10" w:rsidP="00556C10">
      <w:pPr>
        <w:bidi w:val="0"/>
        <w:spacing w:line="216" w:lineRule="auto"/>
        <w:rPr>
          <w:i/>
          <w:sz w:val="23"/>
          <w:szCs w:val="23"/>
          <w:lang w:eastAsia="en-GB"/>
        </w:rPr>
      </w:pPr>
      <w:r w:rsidRPr="00551F33">
        <w:rPr>
          <w:position w:val="-26"/>
        </w:rPr>
        <w:object w:dxaOrig="1860" w:dyaOrig="620" w14:anchorId="1523B0FA">
          <v:shape id="_x0000_i7901" type="#_x0000_t75" style="width:93.2pt;height:31.45pt" o:ole="">
            <v:imagedata r:id="rId13877" o:title=""/>
          </v:shape>
          <o:OLEObject Type="Embed" ProgID="Equation.DSMT4" ShapeID="_x0000_i7901" DrawAspect="Content" ObjectID="_1791381844" r:id="rId13878"/>
        </w:object>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Pr>
          <w:i/>
          <w:sz w:val="23"/>
          <w:szCs w:val="23"/>
          <w:rtl/>
          <w:lang w:eastAsia="en-GB"/>
        </w:rPr>
        <w:tab/>
      </w:r>
      <w:r>
        <w:rPr>
          <w:i/>
          <w:sz w:val="23"/>
          <w:szCs w:val="23"/>
          <w:rtl/>
          <w:lang w:eastAsia="en-GB"/>
        </w:rPr>
        <w:tab/>
      </w:r>
      <w:r w:rsidRPr="00551F33">
        <w:rPr>
          <w:i/>
          <w:sz w:val="23"/>
          <w:szCs w:val="23"/>
          <w:rtl/>
          <w:lang w:eastAsia="en-GB"/>
        </w:rPr>
        <w:tab/>
      </w:r>
      <w:r w:rsidRPr="00551F33">
        <w:rPr>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t>(۱۵. ۲۲)</w:t>
      </w:r>
      <w:r w:rsidRPr="00551F33">
        <w:rPr>
          <w:i/>
          <w:sz w:val="23"/>
          <w:szCs w:val="23"/>
          <w:lang w:eastAsia="en-GB"/>
        </w:rPr>
        <w:t xml:space="preserve"> </w:t>
      </w:r>
    </w:p>
    <w:p w14:paraId="23BD78A6"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مشروط به قید بودجه‌ی</w:t>
      </w:r>
    </w:p>
    <w:p w14:paraId="36CA41A9" w14:textId="77777777" w:rsidR="00556C10" w:rsidRPr="00551F33" w:rsidRDefault="00556C10" w:rsidP="00556C10">
      <w:pPr>
        <w:bidi w:val="0"/>
        <w:spacing w:line="216" w:lineRule="auto"/>
        <w:rPr>
          <w:rFonts w:eastAsiaTheme="minorHAnsi" w:cstheme="minorBidi"/>
          <w:i/>
          <w:sz w:val="23"/>
          <w:szCs w:val="23"/>
          <w:rtl/>
        </w:rPr>
      </w:pPr>
      <w:r w:rsidRPr="00551F33">
        <w:rPr>
          <w:position w:val="-12"/>
        </w:rPr>
        <w:object w:dxaOrig="6259" w:dyaOrig="360" w14:anchorId="15493114">
          <v:shape id="_x0000_i7902" type="#_x0000_t75" style="width:312.8pt;height:18.15pt" o:ole="">
            <v:imagedata r:id="rId13879" o:title=""/>
          </v:shape>
          <o:OLEObject Type="Embed" ProgID="Equation.DSMT4" ShapeID="_x0000_i7902" DrawAspect="Content" ObjectID="_1791381845" r:id="rId13880"/>
        </w:object>
      </w:r>
    </w:p>
    <w:p w14:paraId="0845C392"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که در آن</w:t>
      </w:r>
      <w:r w:rsidRPr="00551F33">
        <w:rPr>
          <w:position w:val="-10"/>
        </w:rPr>
        <w:object w:dxaOrig="260" w:dyaOrig="320" w14:anchorId="33EC7FF8">
          <v:shape id="_x0000_i7903" type="#_x0000_t75" style="width:13.3pt;height:15.75pt" o:ole="">
            <v:imagedata r:id="rId13881" o:title=""/>
          </v:shape>
          <o:OLEObject Type="Embed" ProgID="Equation.DSMT4" ShapeID="_x0000_i7903" DrawAspect="Content" ObjectID="_1791381846" r:id="rId13882"/>
        </w:object>
      </w:r>
      <w:r w:rsidRPr="00551F33">
        <w:rPr>
          <w:rFonts w:hint="cs"/>
          <w:i/>
          <w:sz w:val="23"/>
          <w:szCs w:val="23"/>
          <w:rtl/>
          <w:lang w:eastAsia="en-GB"/>
        </w:rPr>
        <w:t xml:space="preserve"> وام بانکی یک دوره</w:t>
      </w:r>
      <w:r w:rsidRPr="00551F33">
        <w:rPr>
          <w:i/>
          <w:sz w:val="23"/>
          <w:szCs w:val="23"/>
          <w:lang w:eastAsia="en-GB"/>
        </w:rPr>
        <w:t>‌</w:t>
      </w:r>
      <w:r w:rsidRPr="00551F33">
        <w:rPr>
          <w:rFonts w:hint="cs"/>
          <w:i/>
          <w:sz w:val="23"/>
          <w:szCs w:val="23"/>
          <w:rtl/>
          <w:lang w:eastAsia="en-GB"/>
        </w:rPr>
        <w:t xml:space="preserve">ای در ابتدای دوره </w:t>
      </w:r>
      <w:r w:rsidRPr="00551F33">
        <w:rPr>
          <w:i/>
          <w:sz w:val="23"/>
          <w:szCs w:val="23"/>
          <w:lang w:eastAsia="en-GB"/>
        </w:rPr>
        <w:t>t</w:t>
      </w:r>
      <w:r w:rsidRPr="00551F33">
        <w:rPr>
          <w:rFonts w:hint="cs"/>
          <w:i/>
          <w:sz w:val="23"/>
          <w:szCs w:val="23"/>
          <w:rtl/>
          <w:lang w:eastAsia="en-GB"/>
        </w:rPr>
        <w:t xml:space="preserve"> است و به آن نرخ بهره‌ی اسمی</w:t>
      </w:r>
      <w:r w:rsidRPr="00551F33">
        <w:rPr>
          <w:i/>
          <w:sz w:val="23"/>
          <w:szCs w:val="23"/>
          <w:lang w:eastAsia="en-GB"/>
        </w:rPr>
        <w:t xml:space="preserve"> </w:t>
      </w:r>
      <w:r w:rsidRPr="00551F33">
        <w:rPr>
          <w:position w:val="-10"/>
        </w:rPr>
        <w:object w:dxaOrig="279" w:dyaOrig="320" w14:anchorId="12F60D4F">
          <v:shape id="_x0000_i7904" type="#_x0000_t75" style="width:13.9pt;height:15.75pt" o:ole="">
            <v:imagedata r:id="rId13883" o:title=""/>
          </v:shape>
          <o:OLEObject Type="Embed" ProgID="Equation.DSMT4" ShapeID="_x0000_i7904" DrawAspect="Content" ObjectID="_1791381847" r:id="rId13884"/>
        </w:object>
      </w:r>
      <w:r w:rsidRPr="00551F33">
        <w:rPr>
          <w:rFonts w:hint="cs"/>
          <w:i/>
          <w:sz w:val="23"/>
          <w:szCs w:val="23"/>
          <w:rtl/>
          <w:lang w:eastAsia="en-GB"/>
        </w:rPr>
        <w:t>تعلق می‌گیرد،</w:t>
      </w:r>
      <w:r w:rsidRPr="00551F33">
        <w:rPr>
          <w:position w:val="-10"/>
        </w:rPr>
        <w:object w:dxaOrig="279" w:dyaOrig="320" w14:anchorId="04695CBB">
          <v:shape id="_x0000_i7905" type="#_x0000_t75" style="width:13.9pt;height:15.75pt" o:ole="">
            <v:imagedata r:id="rId13885" o:title=""/>
          </v:shape>
          <o:OLEObject Type="Embed" ProgID="Equation.DSMT4" ShapeID="_x0000_i7905" DrawAspect="Content" ObjectID="_1791381848" r:id="rId13886"/>
        </w:object>
      </w:r>
      <w:r w:rsidRPr="00551F33">
        <w:rPr>
          <w:rFonts w:hint="cs"/>
          <w:i/>
          <w:sz w:val="23"/>
          <w:szCs w:val="23"/>
          <w:rtl/>
          <w:lang w:eastAsia="en-GB"/>
        </w:rPr>
        <w:t xml:space="preserve"> سپرده‌های اسمی بانک برای مخارج مصرفی با وجه نقد پیشاپیش است، به این معنی</w:t>
      </w:r>
      <w:r w:rsidRPr="00551F33">
        <w:rPr>
          <w:rFonts w:hint="cs"/>
          <w:i/>
          <w:sz w:val="23"/>
          <w:szCs w:val="23"/>
          <w:rtl/>
          <w:lang w:eastAsia="en-GB"/>
        </w:rPr>
        <w:softHyphen/>
        <w:t>که</w:t>
      </w:r>
      <w:r w:rsidRPr="00551F33">
        <w:rPr>
          <w:position w:val="-10"/>
        </w:rPr>
        <w:object w:dxaOrig="840" w:dyaOrig="320" w14:anchorId="59171AEB">
          <v:shape id="_x0000_i7906" type="#_x0000_t75" style="width:41.75pt;height:15.75pt" o:ole="">
            <v:imagedata r:id="rId13887" o:title=""/>
          </v:shape>
          <o:OLEObject Type="Embed" ProgID="Equation.DSMT4" ShapeID="_x0000_i7906" DrawAspect="Content" ObjectID="_1791381849" r:id="rId13888"/>
        </w:object>
      </w:r>
      <w:r w:rsidRPr="00551F33">
        <w:rPr>
          <w:rFonts w:eastAsiaTheme="minorHAnsi" w:cstheme="minorBidi" w:hint="cs"/>
          <w:i/>
          <w:sz w:val="23"/>
          <w:szCs w:val="23"/>
          <w:rtl/>
        </w:rPr>
        <w:t xml:space="preserve">، </w:t>
      </w:r>
      <w:r w:rsidRPr="00551F33">
        <w:rPr>
          <w:position w:val="-10"/>
        </w:rPr>
        <w:object w:dxaOrig="1240" w:dyaOrig="340" w14:anchorId="667090EC">
          <v:shape id="_x0000_i7907" type="#_x0000_t75" style="width:61.7pt;height:16.95pt" o:ole="">
            <v:imagedata r:id="rId13889" o:title=""/>
          </v:shape>
          <o:OLEObject Type="Embed" ProgID="Equation.DSMT4" ShapeID="_x0000_i7907" DrawAspect="Content" ObjectID="_1791381850" r:id="rId13890"/>
        </w:object>
      </w:r>
      <w:r w:rsidRPr="00551F33">
        <w:rPr>
          <w:rFonts w:hint="cs"/>
          <w:i/>
          <w:sz w:val="23"/>
          <w:szCs w:val="23"/>
          <w:rtl/>
          <w:lang w:eastAsia="en-GB"/>
        </w:rPr>
        <w:t xml:space="preserve"> مجموع اوراق صادره‌ی بانکی</w:t>
      </w:r>
      <w:r w:rsidRPr="00551F33">
        <w:rPr>
          <w:position w:val="-10"/>
        </w:rPr>
        <w:object w:dxaOrig="300" w:dyaOrig="340" w14:anchorId="077488A0">
          <v:shape id="_x0000_i7908" type="#_x0000_t75" style="width:14.5pt;height:16.95pt" o:ole="">
            <v:imagedata r:id="rId13891" o:title=""/>
          </v:shape>
          <o:OLEObject Type="Embed" ProgID="Equation.DSMT4" ShapeID="_x0000_i7908" DrawAspect="Content" ObjectID="_1791381851" r:id="rId13892"/>
        </w:object>
      </w:r>
      <w:r w:rsidRPr="00551F33">
        <w:rPr>
          <w:rFonts w:hint="cs"/>
          <w:i/>
          <w:sz w:val="23"/>
          <w:szCs w:val="23"/>
          <w:rtl/>
          <w:lang w:eastAsia="en-GB"/>
        </w:rPr>
        <w:t xml:space="preserve"> و اوراق قرضه‌ی اسمی دولتی</w:t>
      </w:r>
      <w:r w:rsidRPr="00551F33">
        <w:rPr>
          <w:position w:val="-10"/>
        </w:rPr>
        <w:object w:dxaOrig="340" w:dyaOrig="340" w14:anchorId="1CAA2244">
          <v:shape id="_x0000_i7909" type="#_x0000_t75" style="width:16.95pt;height:16.95pt" o:ole="">
            <v:imagedata r:id="rId13893" o:title=""/>
          </v:shape>
          <o:OLEObject Type="Embed" ProgID="Equation.DSMT4" ShapeID="_x0000_i7909" DrawAspect="Content" ObjectID="_1791381852" r:id="rId13894"/>
        </w:object>
      </w:r>
      <w:r w:rsidRPr="00551F33">
        <w:rPr>
          <w:rFonts w:hint="cs"/>
          <w:i/>
          <w:sz w:val="23"/>
          <w:szCs w:val="23"/>
          <w:rtl/>
          <w:lang w:eastAsia="en-GB"/>
        </w:rPr>
        <w:t xml:space="preserve"> است که به هر دو نرخ اسمی بدون ریسک</w:t>
      </w:r>
      <w:r w:rsidRPr="00551F33">
        <w:rPr>
          <w:position w:val="-10"/>
        </w:rPr>
        <w:object w:dxaOrig="320" w:dyaOrig="340" w14:anchorId="45F150C3">
          <v:shape id="_x0000_i7910" type="#_x0000_t75" style="width:15.75pt;height:16.95pt" o:ole="">
            <v:imagedata r:id="rId13895" o:title=""/>
          </v:shape>
          <o:OLEObject Type="Embed" ProgID="Equation.DSMT4" ShapeID="_x0000_i7910" DrawAspect="Content" ObjectID="_1791381853" r:id="rId13896"/>
        </w:object>
      </w:r>
      <w:r w:rsidRPr="00551F33">
        <w:rPr>
          <w:rFonts w:hint="cs"/>
          <w:i/>
          <w:sz w:val="23"/>
          <w:szCs w:val="23"/>
          <w:rtl/>
          <w:lang w:eastAsia="en-GB"/>
        </w:rPr>
        <w:t xml:space="preserve"> تعلق می</w:t>
      </w:r>
      <w:r w:rsidRPr="00551F33">
        <w:rPr>
          <w:i/>
          <w:sz w:val="23"/>
          <w:szCs w:val="23"/>
          <w:lang w:eastAsia="en-GB"/>
        </w:rPr>
        <w:t>‌</w:t>
      </w:r>
      <w:r w:rsidRPr="00551F33">
        <w:rPr>
          <w:rFonts w:hint="cs"/>
          <w:i/>
          <w:sz w:val="23"/>
          <w:szCs w:val="23"/>
          <w:rtl/>
          <w:lang w:eastAsia="en-GB"/>
        </w:rPr>
        <w:t>گیرد،</w:t>
      </w:r>
      <w:r w:rsidRPr="00551F33">
        <w:rPr>
          <w:position w:val="-10"/>
        </w:rPr>
        <w:object w:dxaOrig="240" w:dyaOrig="320" w14:anchorId="55B41C4F">
          <v:shape id="_x0000_i7911" type="#_x0000_t75" style="width:11.5pt;height:15.75pt" o:ole="">
            <v:imagedata r:id="rId13897" o:title=""/>
          </v:shape>
          <o:OLEObject Type="Embed" ProgID="Equation.DSMT4" ShapeID="_x0000_i7911" DrawAspect="Content" ObjectID="_1791381854" r:id="rId13898"/>
        </w:object>
      </w:r>
      <w:r w:rsidRPr="00551F33">
        <w:rPr>
          <w:rFonts w:hint="cs"/>
          <w:i/>
          <w:sz w:val="23"/>
          <w:szCs w:val="23"/>
          <w:rtl/>
          <w:lang w:eastAsia="en-GB"/>
        </w:rPr>
        <w:t xml:space="preserve"> تولید و یا درآمد حاصل از تولید است،</w:t>
      </w:r>
      <w:r w:rsidRPr="00551F33">
        <w:rPr>
          <w:position w:val="-10"/>
        </w:rPr>
        <w:object w:dxaOrig="200" w:dyaOrig="320" w14:anchorId="79AEE9DF">
          <v:shape id="_x0000_i7912" type="#_x0000_t75" style="width:10.3pt;height:15.75pt" o:ole="">
            <v:imagedata r:id="rId13899" o:title=""/>
          </v:shape>
          <o:OLEObject Type="Embed" ProgID="Equation.DSMT4" ShapeID="_x0000_i7912" DrawAspect="Content" ObjectID="_1791381855" r:id="rId13900"/>
        </w:object>
      </w:r>
      <w:r w:rsidRPr="00551F33">
        <w:rPr>
          <w:rFonts w:hint="cs"/>
          <w:i/>
          <w:sz w:val="23"/>
          <w:szCs w:val="23"/>
          <w:rtl/>
          <w:lang w:eastAsia="en-GB"/>
        </w:rPr>
        <w:t xml:space="preserve"> مصرف،</w:t>
      </w:r>
      <w:r w:rsidRPr="00551F33">
        <w:rPr>
          <w:position w:val="-10"/>
        </w:rPr>
        <w:object w:dxaOrig="180" w:dyaOrig="320" w14:anchorId="464F14C9">
          <v:shape id="_x0000_i7913" type="#_x0000_t75" style="width:9.1pt;height:15.75pt" o:ole="">
            <v:imagedata r:id="rId13901" o:title=""/>
          </v:shape>
          <o:OLEObject Type="Embed" ProgID="Equation.DSMT4" ShapeID="_x0000_i7913" DrawAspect="Content" ObjectID="_1791381856" r:id="rId13902"/>
        </w:object>
      </w:r>
      <w:r w:rsidRPr="00551F33">
        <w:rPr>
          <w:rFonts w:hint="cs"/>
          <w:i/>
          <w:sz w:val="23"/>
          <w:szCs w:val="23"/>
          <w:rtl/>
          <w:lang w:eastAsia="en-GB"/>
        </w:rPr>
        <w:t>سرمایه</w:t>
      </w:r>
      <w:r w:rsidRPr="00551F33">
        <w:rPr>
          <w:rFonts w:hint="cs"/>
          <w:i/>
          <w:sz w:val="23"/>
          <w:szCs w:val="23"/>
          <w:rtl/>
          <w:lang w:eastAsia="en-GB"/>
        </w:rPr>
        <w:softHyphen/>
        <w:t>گذاری،</w:t>
      </w:r>
      <w:r w:rsidRPr="00551F33">
        <w:rPr>
          <w:position w:val="-10"/>
        </w:rPr>
        <w:object w:dxaOrig="240" w:dyaOrig="320" w14:anchorId="62DD37C3">
          <v:shape id="_x0000_i7914" type="#_x0000_t75" style="width:11.5pt;height:15.75pt" o:ole="">
            <v:imagedata r:id="rId13903" o:title=""/>
          </v:shape>
          <o:OLEObject Type="Embed" ProgID="Equation.DSMT4" ShapeID="_x0000_i7914" DrawAspect="Content" ObjectID="_1791381857" r:id="rId13904"/>
        </w:object>
      </w:r>
      <w:r w:rsidRPr="00551F33">
        <w:rPr>
          <w:rFonts w:hint="cs"/>
          <w:i/>
          <w:sz w:val="23"/>
          <w:szCs w:val="23"/>
          <w:rtl/>
          <w:lang w:eastAsia="en-GB"/>
        </w:rPr>
        <w:t xml:space="preserve"> مالیات‌های مقطوع و</w:t>
      </w:r>
      <w:r w:rsidRPr="00551F33">
        <w:rPr>
          <w:position w:val="-10"/>
        </w:rPr>
        <w:object w:dxaOrig="240" w:dyaOrig="320" w14:anchorId="5BB11E63">
          <v:shape id="_x0000_i7915" type="#_x0000_t75" style="width:11.5pt;height:15.75pt" o:ole="">
            <v:imagedata r:id="rId13905" o:title=""/>
          </v:shape>
          <o:OLEObject Type="Embed" ProgID="Equation.DSMT4" ShapeID="_x0000_i7915" DrawAspect="Content" ObjectID="_1791381858" r:id="rId13906"/>
        </w:object>
      </w:r>
      <w:r w:rsidRPr="00551F33">
        <w:rPr>
          <w:i/>
          <w:sz w:val="23"/>
          <w:szCs w:val="23"/>
          <w:lang w:eastAsia="en-GB"/>
        </w:rPr>
        <w:t xml:space="preserve"> </w:t>
      </w:r>
      <w:r w:rsidRPr="00551F33">
        <w:rPr>
          <w:rFonts w:hint="cs"/>
          <w:i/>
          <w:sz w:val="23"/>
          <w:szCs w:val="23"/>
          <w:rtl/>
          <w:lang w:eastAsia="en-GB"/>
        </w:rPr>
        <w:t>سطح قیمت است. در هر دوره یک بخش تصادفی</w:t>
      </w:r>
      <w:r w:rsidRPr="00551F33">
        <w:rPr>
          <w:position w:val="-10"/>
        </w:rPr>
        <w:object w:dxaOrig="880" w:dyaOrig="320" w14:anchorId="34E7A10B">
          <v:shape id="_x0000_i7916" type="#_x0000_t75" style="width:44.15pt;height:15.75pt" o:ole="">
            <v:imagedata r:id="rId13907" o:title=""/>
          </v:shape>
          <o:OLEObject Type="Embed" ProgID="Equation.DSMT4" ShapeID="_x0000_i7916" DrawAspect="Content" ObjectID="_1791381859" r:id="rId13908"/>
        </w:object>
      </w:r>
      <w:r w:rsidRPr="00551F33">
        <w:rPr>
          <w:i/>
          <w:sz w:val="23"/>
          <w:szCs w:val="23"/>
          <w:lang w:eastAsia="en-GB"/>
        </w:rPr>
        <w:t xml:space="preserve"> </w:t>
      </w:r>
      <w:r w:rsidRPr="00551F33">
        <w:rPr>
          <w:rFonts w:hint="cs"/>
          <w:i/>
          <w:sz w:val="23"/>
          <w:szCs w:val="23"/>
          <w:rtl/>
          <w:lang w:eastAsia="en-GB"/>
        </w:rPr>
        <w:t>از بازپرداخت وام‌ها (اصل و بهره) با قصور جزئی و یا احتمال قصور وجود دارد. تغییرات منفی غیرمنتظره</w:t>
      </w:r>
      <w:r w:rsidRPr="00551F33">
        <w:rPr>
          <w:i/>
          <w:sz w:val="23"/>
          <w:szCs w:val="23"/>
          <w:rtl/>
          <w:lang w:eastAsia="en-GB"/>
        </w:rPr>
        <w:softHyphen/>
      </w:r>
      <w:r w:rsidRPr="00551F33">
        <w:rPr>
          <w:rFonts w:hint="cs"/>
          <w:i/>
          <w:sz w:val="23"/>
          <w:szCs w:val="23"/>
          <w:rtl/>
          <w:lang w:eastAsia="en-GB"/>
        </w:rPr>
        <w:t>ی</w:t>
      </w:r>
      <w:r w:rsidRPr="00551F33">
        <w:rPr>
          <w:position w:val="-10"/>
        </w:rPr>
        <w:object w:dxaOrig="220" w:dyaOrig="320" w14:anchorId="3519FE1C">
          <v:shape id="_x0000_i7917" type="#_x0000_t75" style="width:10.9pt;height:15.75pt" o:ole="">
            <v:imagedata r:id="rId13909" o:title=""/>
          </v:shape>
          <o:OLEObject Type="Embed" ProgID="Equation.DSMT4" ShapeID="_x0000_i7917" DrawAspect="Content" ObjectID="_1791381860" r:id="rId13910"/>
        </w:object>
      </w:r>
      <w:r w:rsidRPr="00551F33">
        <w:rPr>
          <w:rFonts w:hint="cs"/>
          <w:i/>
          <w:sz w:val="23"/>
          <w:szCs w:val="23"/>
          <w:rtl/>
          <w:lang w:eastAsia="en-GB"/>
        </w:rPr>
        <w:t xml:space="preserve"> به شوک‌های وارده بر درآمد و نرخ وام بستگی دارد. سودهای بانکی</w:t>
      </w:r>
      <w:r w:rsidRPr="00551F33">
        <w:rPr>
          <w:position w:val="-10"/>
        </w:rPr>
        <w:object w:dxaOrig="240" w:dyaOrig="320" w14:anchorId="41364D37">
          <v:shape id="_x0000_i7918" type="#_x0000_t75" style="width:11.5pt;height:15.75pt" o:ole="">
            <v:imagedata r:id="rId13911" o:title=""/>
          </v:shape>
          <o:OLEObject Type="Embed" ProgID="Equation.DSMT4" ShapeID="_x0000_i7918" DrawAspect="Content" ObjectID="_1791381861" r:id="rId13912"/>
        </w:object>
      </w:r>
      <w:r w:rsidRPr="00551F33">
        <w:rPr>
          <w:rFonts w:hint="cs"/>
          <w:i/>
          <w:sz w:val="23"/>
          <w:szCs w:val="23"/>
          <w:rtl/>
          <w:lang w:eastAsia="en-GB"/>
        </w:rPr>
        <w:t xml:space="preserve"> برای بخش خصوصی غیر</w:t>
      </w:r>
      <w:r w:rsidRPr="00551F33">
        <w:rPr>
          <w:rFonts w:hint="cs"/>
          <w:i/>
          <w:sz w:val="23"/>
          <w:szCs w:val="23"/>
          <w:rtl/>
          <w:lang w:eastAsia="en-GB"/>
        </w:rPr>
        <w:softHyphen/>
        <w:t>بانکی برونزا است. اتحاد حسابداری ملی عبارت است از</w:t>
      </w:r>
    </w:p>
    <w:p w14:paraId="776C5CFA" w14:textId="77777777" w:rsidR="00556C10" w:rsidRPr="00551F33" w:rsidRDefault="00556C10" w:rsidP="00556C10">
      <w:pPr>
        <w:bidi w:val="0"/>
        <w:spacing w:line="216" w:lineRule="auto"/>
        <w:rPr>
          <w:i/>
          <w:sz w:val="23"/>
          <w:szCs w:val="23"/>
          <w:lang w:eastAsia="en-GB"/>
        </w:rPr>
      </w:pPr>
      <w:r w:rsidRPr="00551F33">
        <w:rPr>
          <w:position w:val="-12"/>
        </w:rPr>
        <w:object w:dxaOrig="2100" w:dyaOrig="360" w14:anchorId="5B3D170A">
          <v:shape id="_x0000_i7919" type="#_x0000_t75" style="width:105.3pt;height:18.15pt" o:ole="">
            <v:imagedata r:id="rId13913" o:title=""/>
          </v:shape>
          <o:OLEObject Type="Embed" ProgID="Equation.DSMT4" ShapeID="_x0000_i7919" DrawAspect="Content" ObjectID="_1791381862" r:id="rId13914"/>
        </w:object>
      </w:r>
      <w:r w:rsidRPr="00551F33">
        <w:rPr>
          <w:i/>
          <w:sz w:val="23"/>
          <w:szCs w:val="23"/>
        </w:rPr>
        <w:t xml:space="preserve"> </w:t>
      </w:r>
      <w:r w:rsidRPr="00551F33">
        <w:rPr>
          <w:rFonts w:hint="cs"/>
          <w:i/>
          <w:sz w:val="23"/>
          <w:szCs w:val="23"/>
          <w:rtl/>
        </w:rPr>
        <w:tab/>
      </w:r>
      <w:r w:rsidRPr="00551F33">
        <w:rPr>
          <w:rFonts w:hint="cs"/>
          <w:i/>
          <w:sz w:val="23"/>
          <w:szCs w:val="23"/>
          <w:rtl/>
        </w:rPr>
        <w:tab/>
      </w:r>
      <w:r w:rsidRPr="00551F33">
        <w:rPr>
          <w:i/>
          <w:sz w:val="23"/>
          <w:szCs w:val="23"/>
          <w:rtl/>
        </w:rPr>
        <w:tab/>
      </w:r>
      <w:r w:rsidRPr="00551F33">
        <w:rPr>
          <w:i/>
          <w:sz w:val="23"/>
          <w:szCs w:val="23"/>
          <w:rtl/>
        </w:rPr>
        <w:tab/>
      </w:r>
      <w:r w:rsidRPr="00551F33">
        <w:rPr>
          <w:i/>
          <w:sz w:val="23"/>
          <w:szCs w:val="23"/>
          <w:rtl/>
        </w:rPr>
        <w:tab/>
      </w:r>
      <w:r w:rsidRPr="00551F33">
        <w:rPr>
          <w:i/>
          <w:sz w:val="23"/>
          <w:szCs w:val="23"/>
          <w:rtl/>
        </w:rPr>
        <w:tab/>
      </w:r>
      <w:r w:rsidRPr="00551F33">
        <w:rPr>
          <w:i/>
          <w:sz w:val="23"/>
          <w:szCs w:val="23"/>
          <w:rtl/>
        </w:rPr>
        <w:tab/>
      </w:r>
      <w:r w:rsidRPr="00551F33">
        <w:rPr>
          <w:i/>
          <w:sz w:val="23"/>
          <w:szCs w:val="23"/>
          <w:rtl/>
        </w:rPr>
        <w:tab/>
      </w:r>
      <w:r w:rsidRPr="00551F33">
        <w:rPr>
          <w:i/>
          <w:sz w:val="23"/>
          <w:szCs w:val="23"/>
          <w:rtl/>
        </w:rPr>
        <w:tab/>
      </w:r>
      <w:r>
        <w:rPr>
          <w:i/>
          <w:sz w:val="23"/>
          <w:szCs w:val="23"/>
          <w:rtl/>
        </w:rPr>
        <w:tab/>
      </w:r>
      <w:r>
        <w:rPr>
          <w:i/>
          <w:sz w:val="23"/>
          <w:szCs w:val="23"/>
          <w:rtl/>
        </w:rPr>
        <w:tab/>
      </w:r>
      <w:r w:rsidRPr="00551F33">
        <w:rPr>
          <w:i/>
          <w:sz w:val="23"/>
          <w:szCs w:val="23"/>
          <w:rtl/>
        </w:rPr>
        <w:tab/>
      </w:r>
      <w:r w:rsidRPr="00551F33">
        <w:rPr>
          <w:rFonts w:hint="cs"/>
          <w:i/>
          <w:sz w:val="23"/>
          <w:szCs w:val="23"/>
          <w:rtl/>
        </w:rPr>
        <w:tab/>
      </w:r>
      <w:r w:rsidRPr="00551F33">
        <w:rPr>
          <w:rFonts w:hint="cs"/>
          <w:i/>
          <w:sz w:val="23"/>
          <w:szCs w:val="23"/>
          <w:rtl/>
        </w:rPr>
        <w:tab/>
      </w:r>
      <w:r w:rsidRPr="00551F33">
        <w:rPr>
          <w:rFonts w:hint="cs"/>
          <w:i/>
          <w:sz w:val="23"/>
          <w:szCs w:val="23"/>
          <w:rtl/>
          <w:lang w:eastAsia="en-GB"/>
        </w:rPr>
        <w:t>(۱۵. ۲۳)</w:t>
      </w:r>
      <w:r w:rsidRPr="00551F33">
        <w:rPr>
          <w:i/>
          <w:sz w:val="23"/>
          <w:szCs w:val="23"/>
          <w:lang w:eastAsia="en-GB"/>
        </w:rPr>
        <w:t xml:space="preserve"> </w:t>
      </w:r>
    </w:p>
    <w:p w14:paraId="1337D1B8"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که در آن</w:t>
      </w:r>
      <w:r w:rsidRPr="00551F33">
        <w:rPr>
          <w:position w:val="-10"/>
        </w:rPr>
        <w:object w:dxaOrig="220" w:dyaOrig="320" w14:anchorId="51A9AF3A">
          <v:shape id="_x0000_i7920" type="#_x0000_t75" style="width:10.9pt;height:15.75pt" o:ole="">
            <v:imagedata r:id="rId13915" o:title=""/>
          </v:shape>
          <o:OLEObject Type="Embed" ProgID="Equation.DSMT4" ShapeID="_x0000_i7920" DrawAspect="Content" ObjectID="_1791381863" r:id="rId13916"/>
        </w:object>
      </w:r>
      <w:r w:rsidRPr="00551F33">
        <w:rPr>
          <w:rFonts w:hint="cs"/>
          <w:i/>
          <w:sz w:val="23"/>
          <w:szCs w:val="23"/>
          <w:rtl/>
          <w:lang w:eastAsia="en-GB"/>
        </w:rPr>
        <w:t xml:space="preserve"> سرمایه</w:t>
      </w:r>
      <w:r w:rsidRPr="00551F33">
        <w:rPr>
          <w:rFonts w:hint="cs"/>
          <w:i/>
          <w:sz w:val="23"/>
          <w:szCs w:val="23"/>
          <w:rtl/>
          <w:lang w:eastAsia="en-GB"/>
        </w:rPr>
        <w:softHyphen/>
        <w:t>گذاری فیزیکی،</w:t>
      </w:r>
      <w:r w:rsidRPr="00551F33">
        <w:rPr>
          <w:position w:val="-10"/>
        </w:rPr>
        <w:object w:dxaOrig="260" w:dyaOrig="320" w14:anchorId="75B420AE">
          <v:shape id="_x0000_i7921" type="#_x0000_t75" style="width:13.3pt;height:15.75pt" o:ole="">
            <v:imagedata r:id="rId13917" o:title=""/>
          </v:shape>
          <o:OLEObject Type="Embed" ProgID="Equation.DSMT4" ShapeID="_x0000_i7921" DrawAspect="Content" ObjectID="_1791381864" r:id="rId13918"/>
        </w:object>
      </w:r>
      <w:r w:rsidRPr="00551F33">
        <w:rPr>
          <w:rFonts w:hint="cs"/>
          <w:i/>
          <w:sz w:val="23"/>
          <w:szCs w:val="23"/>
          <w:rtl/>
          <w:lang w:eastAsia="en-GB"/>
        </w:rPr>
        <w:t xml:space="preserve"> مخارج مصرفی حقیقی دولت است. انباشت سرمایه نیز از رابطه‌ی زیر تعیین می‌شود</w:t>
      </w:r>
    </w:p>
    <w:p w14:paraId="5F752CB9" w14:textId="77777777" w:rsidR="00556C10" w:rsidRPr="00551F33" w:rsidRDefault="00556C10" w:rsidP="00556C10">
      <w:pPr>
        <w:bidi w:val="0"/>
        <w:spacing w:line="216" w:lineRule="auto"/>
        <w:rPr>
          <w:i/>
          <w:sz w:val="23"/>
          <w:szCs w:val="23"/>
          <w:rtl/>
          <w:lang w:eastAsia="en-GB"/>
        </w:rPr>
      </w:pPr>
      <w:r w:rsidRPr="00551F33">
        <w:rPr>
          <w:position w:val="-10"/>
        </w:rPr>
        <w:object w:dxaOrig="1320" w:dyaOrig="320" w14:anchorId="1A56A089">
          <v:shape id="_x0000_i7922" type="#_x0000_t75" style="width:65.95pt;height:15.75pt" o:ole="">
            <v:imagedata r:id="rId13919" o:title=""/>
          </v:shape>
          <o:OLEObject Type="Embed" ProgID="Equation.DSMT4" ShapeID="_x0000_i7922" DrawAspect="Content" ObjectID="_1791381865" r:id="rId13920"/>
        </w:object>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t xml:space="preserve"> </w:t>
      </w:r>
      <w:r w:rsidRPr="00551F33">
        <w:rPr>
          <w:rFonts w:hint="cs"/>
          <w:i/>
          <w:sz w:val="23"/>
          <w:szCs w:val="23"/>
          <w:rtl/>
          <w:lang w:eastAsia="en-GB"/>
        </w:rPr>
        <w:tab/>
      </w:r>
      <w:r>
        <w:rPr>
          <w:i/>
          <w:sz w:val="23"/>
          <w:szCs w:val="23"/>
          <w:rtl/>
          <w:lang w:eastAsia="en-GB"/>
        </w:rPr>
        <w:tab/>
      </w:r>
      <w:r>
        <w:rPr>
          <w:i/>
          <w:sz w:val="23"/>
          <w:szCs w:val="23"/>
          <w:rtl/>
          <w:lang w:eastAsia="en-GB"/>
        </w:rPr>
        <w:tab/>
      </w:r>
      <w:r w:rsidRPr="00551F33">
        <w:rPr>
          <w:rFonts w:hint="cs"/>
          <w:i/>
          <w:sz w:val="23"/>
          <w:szCs w:val="23"/>
          <w:rtl/>
          <w:lang w:eastAsia="en-GB"/>
        </w:rPr>
        <w:tab/>
        <w:t>(۱۵. ۲۴)</w:t>
      </w:r>
      <w:r w:rsidRPr="00551F33">
        <w:rPr>
          <w:i/>
          <w:sz w:val="23"/>
          <w:szCs w:val="23"/>
          <w:lang w:eastAsia="en-GB"/>
        </w:rPr>
        <w:t xml:space="preserve"> </w:t>
      </w:r>
    </w:p>
    <w:p w14:paraId="2D41ADD8" w14:textId="77777777" w:rsidR="00556C10" w:rsidRPr="00551F33" w:rsidRDefault="00556C10" w:rsidP="00556C10">
      <w:pPr>
        <w:spacing w:line="216" w:lineRule="auto"/>
        <w:rPr>
          <w:i/>
          <w:sz w:val="23"/>
          <w:szCs w:val="23"/>
          <w:rtl/>
          <w:lang w:eastAsia="en-GB" w:bidi="ar-SA"/>
        </w:rPr>
      </w:pPr>
      <w:r w:rsidRPr="00551F33">
        <w:rPr>
          <w:rFonts w:hint="cs"/>
          <w:i/>
          <w:sz w:val="23"/>
          <w:szCs w:val="23"/>
          <w:rtl/>
          <w:lang w:eastAsia="en-GB"/>
        </w:rPr>
        <w:t>بنابراین قید منبع بخش خصوصی غیربانکی را می</w:t>
      </w:r>
      <w:r w:rsidRPr="00551F33">
        <w:rPr>
          <w:i/>
          <w:sz w:val="23"/>
          <w:szCs w:val="23"/>
          <w:rtl/>
          <w:lang w:eastAsia="en-GB"/>
        </w:rPr>
        <w:softHyphen/>
      </w:r>
      <w:r w:rsidRPr="00551F33">
        <w:rPr>
          <w:rFonts w:hint="cs"/>
          <w:i/>
          <w:sz w:val="23"/>
          <w:szCs w:val="23"/>
          <w:rtl/>
          <w:lang w:eastAsia="en-GB"/>
        </w:rPr>
        <w:t>توان به صورت زیر نوشت</w:t>
      </w:r>
    </w:p>
    <w:p w14:paraId="4BB6FBE1" w14:textId="77777777" w:rsidR="00556C10" w:rsidRPr="00551F33" w:rsidRDefault="00556C10" w:rsidP="00556C10">
      <w:pPr>
        <w:bidi w:val="0"/>
        <w:spacing w:line="216" w:lineRule="auto"/>
        <w:rPr>
          <w:i/>
          <w:sz w:val="23"/>
          <w:szCs w:val="23"/>
          <w:lang w:eastAsia="en-GB"/>
        </w:rPr>
      </w:pPr>
      <w:r w:rsidRPr="00551F33">
        <w:rPr>
          <w:position w:val="-36"/>
        </w:rPr>
        <w:object w:dxaOrig="4720" w:dyaOrig="820" w14:anchorId="08595BD9">
          <v:shape id="_x0000_i7923" type="#_x0000_t75" style="width:235.95pt;height:40.55pt" o:ole="">
            <v:imagedata r:id="rId13921" o:title=""/>
          </v:shape>
          <o:OLEObject Type="Embed" ProgID="Equation.DSMT4" ShapeID="_x0000_i7923" DrawAspect="Content" ObjectID="_1791381866" r:id="rId13922"/>
        </w:object>
      </w:r>
      <w:r w:rsidRPr="00551F33">
        <w:rPr>
          <w:rFonts w:hint="cs"/>
          <w:i/>
          <w:sz w:val="23"/>
          <w:szCs w:val="23"/>
          <w:rtl/>
        </w:rPr>
        <w:tab/>
      </w:r>
      <w:r w:rsidRPr="00551F33">
        <w:rPr>
          <w:i/>
          <w:sz w:val="23"/>
          <w:szCs w:val="23"/>
          <w:rtl/>
        </w:rPr>
        <w:tab/>
      </w:r>
      <w:r>
        <w:rPr>
          <w:i/>
          <w:sz w:val="23"/>
          <w:szCs w:val="23"/>
          <w:rtl/>
        </w:rPr>
        <w:tab/>
      </w:r>
      <w:r>
        <w:rPr>
          <w:i/>
          <w:sz w:val="23"/>
          <w:szCs w:val="23"/>
          <w:rtl/>
        </w:rPr>
        <w:tab/>
      </w:r>
      <w:r w:rsidRPr="00551F33">
        <w:rPr>
          <w:rFonts w:hint="cs"/>
          <w:i/>
          <w:sz w:val="23"/>
          <w:szCs w:val="23"/>
          <w:rtl/>
          <w:lang w:eastAsia="en-GB"/>
        </w:rPr>
        <w:tab/>
        <w:t>(۱۵. ۲۵)</w:t>
      </w:r>
      <w:r w:rsidRPr="00551F33">
        <w:rPr>
          <w:i/>
          <w:sz w:val="23"/>
          <w:szCs w:val="23"/>
          <w:lang w:eastAsia="en-GB"/>
        </w:rPr>
        <w:t xml:space="preserve"> </w:t>
      </w:r>
    </w:p>
    <w:p w14:paraId="45E9BA5C" w14:textId="77777777" w:rsidR="00556C10" w:rsidRPr="00551F33" w:rsidRDefault="00556C10" w:rsidP="00556C10">
      <w:pPr>
        <w:spacing w:line="216" w:lineRule="auto"/>
        <w:rPr>
          <w:i/>
          <w:sz w:val="23"/>
          <w:szCs w:val="23"/>
          <w:lang w:eastAsia="en-GB" w:bidi="ar-SA"/>
        </w:rPr>
      </w:pPr>
      <w:r w:rsidRPr="00551F33">
        <w:rPr>
          <w:rFonts w:hint="cs"/>
          <w:i/>
          <w:sz w:val="23"/>
          <w:szCs w:val="23"/>
          <w:rtl/>
          <w:lang w:eastAsia="en-GB"/>
        </w:rPr>
        <w:t>لاگرانژین این مسئله عبارت است از</w:t>
      </w:r>
    </w:p>
    <w:p w14:paraId="329F2A2C" w14:textId="77777777" w:rsidR="00556C10" w:rsidRPr="00551F33" w:rsidRDefault="00556C10" w:rsidP="00556C10">
      <w:pPr>
        <w:bidi w:val="0"/>
        <w:spacing w:line="216" w:lineRule="auto"/>
        <w:rPr>
          <w:i/>
          <w:sz w:val="23"/>
          <w:szCs w:val="23"/>
          <w:rtl/>
          <w:lang w:eastAsia="en-GB"/>
        </w:rPr>
      </w:pPr>
      <w:r w:rsidRPr="00551F33">
        <w:rPr>
          <w:position w:val="-60"/>
        </w:rPr>
        <w:object w:dxaOrig="6060" w:dyaOrig="1300" w14:anchorId="67255086">
          <v:shape id="_x0000_i7924" type="#_x0000_t75" style="width:303.15pt;height:64.75pt" o:ole="">
            <v:imagedata r:id="rId13923" o:title=""/>
          </v:shape>
          <o:OLEObject Type="Embed" ProgID="Equation.DSMT4" ShapeID="_x0000_i7924" DrawAspect="Content" ObjectID="_1791381867" r:id="rId13924"/>
        </w:object>
      </w:r>
      <w:r w:rsidRPr="00551F33">
        <w:rPr>
          <w:rFonts w:hint="cs"/>
          <w:i/>
          <w:sz w:val="23"/>
          <w:szCs w:val="23"/>
          <w:rtl/>
          <w:lang w:eastAsia="en-GB"/>
        </w:rPr>
        <w:t>(۱۵. ۲۶)</w:t>
      </w:r>
    </w:p>
    <w:p w14:paraId="1F21B027" w14:textId="77777777" w:rsidR="00556C10" w:rsidRPr="00551F33" w:rsidRDefault="00556C10" w:rsidP="00556C10">
      <w:pPr>
        <w:spacing w:line="216" w:lineRule="auto"/>
        <w:rPr>
          <w:i/>
          <w:sz w:val="23"/>
          <w:szCs w:val="23"/>
          <w:rtl/>
          <w:lang w:eastAsia="en-GB" w:bidi="ar-SA"/>
        </w:rPr>
      </w:pPr>
      <w:r w:rsidRPr="00551F33">
        <w:rPr>
          <w:rFonts w:hint="cs"/>
          <w:i/>
          <w:sz w:val="23"/>
          <w:szCs w:val="23"/>
          <w:rtl/>
          <w:lang w:eastAsia="en-GB"/>
        </w:rPr>
        <w:t>شرایط مرتبه اول بر حسب مصرف، سرمایه، وام‌های اسمی و دارایی</w:t>
      </w:r>
      <w:r w:rsidRPr="00551F33">
        <w:rPr>
          <w:i/>
          <w:sz w:val="23"/>
          <w:szCs w:val="23"/>
          <w:lang w:eastAsia="en-GB"/>
        </w:rPr>
        <w:t>‌</w:t>
      </w:r>
      <w:r w:rsidRPr="00551F33">
        <w:rPr>
          <w:rFonts w:hint="cs"/>
          <w:i/>
          <w:sz w:val="23"/>
          <w:szCs w:val="23"/>
          <w:rtl/>
          <w:lang w:eastAsia="en-GB"/>
        </w:rPr>
        <w:t xml:space="preserve">های اسمی مالی و برای </w:t>
      </w:r>
      <w:r w:rsidRPr="00551F33">
        <w:rPr>
          <w:position w:val="-6"/>
        </w:rPr>
        <w:object w:dxaOrig="499" w:dyaOrig="260" w14:anchorId="1D8F0377">
          <v:shape id="_x0000_i7925" type="#_x0000_t75" style="width:24.8pt;height:13.3pt" o:ole="">
            <v:imagedata r:id="rId13925" o:title=""/>
          </v:shape>
          <o:OLEObject Type="Embed" ProgID="Equation.DSMT4" ShapeID="_x0000_i7925" DrawAspect="Content" ObjectID="_1791381868" r:id="rId13926"/>
        </w:object>
      </w:r>
      <w:r w:rsidRPr="00551F33">
        <w:rPr>
          <w:rFonts w:eastAsiaTheme="minorHAnsi" w:cstheme="minorBidi" w:hint="cs"/>
          <w:i/>
          <w:sz w:val="23"/>
          <w:szCs w:val="23"/>
          <w:rtl/>
        </w:rPr>
        <w:t xml:space="preserve"> </w:t>
      </w:r>
      <w:r w:rsidRPr="00551F33">
        <w:rPr>
          <w:rFonts w:hint="cs"/>
          <w:i/>
          <w:sz w:val="23"/>
          <w:szCs w:val="23"/>
          <w:rtl/>
          <w:lang w:eastAsia="en-GB"/>
        </w:rPr>
        <w:t>عبارت</w:t>
      </w:r>
      <w:r w:rsidRPr="00551F33">
        <w:rPr>
          <w:rFonts w:hint="cs"/>
          <w:i/>
          <w:sz w:val="23"/>
          <w:szCs w:val="23"/>
          <w:rtl/>
          <w:lang w:eastAsia="en-GB"/>
        </w:rPr>
        <w:softHyphen/>
        <w:t>اند از</w:t>
      </w:r>
    </w:p>
    <w:p w14:paraId="6A6F9DA9" w14:textId="77777777" w:rsidR="00556C10" w:rsidRPr="00551F33" w:rsidRDefault="00556C10" w:rsidP="00556C10">
      <w:pPr>
        <w:bidi w:val="0"/>
        <w:spacing w:line="216" w:lineRule="auto"/>
        <w:rPr>
          <w:i/>
          <w:sz w:val="23"/>
          <w:szCs w:val="23"/>
          <w:lang w:eastAsia="en-GB"/>
        </w:rPr>
      </w:pPr>
      <w:r w:rsidRPr="00551F33">
        <w:rPr>
          <w:position w:val="-28"/>
        </w:rPr>
        <w:object w:dxaOrig="3340" w:dyaOrig="639" w14:anchorId="1284BD75">
          <v:shape id="_x0000_i7926" type="#_x0000_t75" style="width:167pt;height:32.05pt" o:ole="">
            <v:imagedata r:id="rId13927" o:title=""/>
          </v:shape>
          <o:OLEObject Type="Embed" ProgID="Equation.DSMT4" ShapeID="_x0000_i7926" DrawAspect="Content" ObjectID="_1791381869" r:id="rId13928"/>
        </w:object>
      </w:r>
    </w:p>
    <w:p w14:paraId="57003FE6" w14:textId="77777777" w:rsidR="00556C10" w:rsidRPr="00551F33" w:rsidRDefault="00556C10" w:rsidP="00556C10">
      <w:pPr>
        <w:bidi w:val="0"/>
        <w:spacing w:line="216" w:lineRule="auto"/>
        <w:rPr>
          <w:i/>
          <w:sz w:val="23"/>
          <w:szCs w:val="23"/>
          <w:lang w:eastAsia="en-GB"/>
        </w:rPr>
      </w:pPr>
      <w:r w:rsidRPr="00551F33">
        <w:rPr>
          <w:position w:val="-28"/>
        </w:rPr>
        <w:object w:dxaOrig="4760" w:dyaOrig="639" w14:anchorId="0964E116">
          <v:shape id="_x0000_i7927" type="#_x0000_t75" style="width:237.8pt;height:32.05pt" o:ole="">
            <v:imagedata r:id="rId13929" o:title=""/>
          </v:shape>
          <o:OLEObject Type="Embed" ProgID="Equation.DSMT4" ShapeID="_x0000_i7927" DrawAspect="Content" ObjectID="_1791381870" r:id="rId13930"/>
        </w:object>
      </w:r>
    </w:p>
    <w:p w14:paraId="3FA03CC9" w14:textId="77777777" w:rsidR="00556C10" w:rsidRPr="00551F33" w:rsidRDefault="00556C10" w:rsidP="00556C10">
      <w:pPr>
        <w:bidi w:val="0"/>
        <w:spacing w:line="216" w:lineRule="auto"/>
        <w:rPr>
          <w:i/>
          <w:sz w:val="23"/>
          <w:szCs w:val="23"/>
          <w:rtl/>
          <w:lang w:eastAsia="en-GB"/>
        </w:rPr>
      </w:pPr>
      <w:r w:rsidRPr="00551F33">
        <w:rPr>
          <w:position w:val="-28"/>
        </w:rPr>
        <w:object w:dxaOrig="3320" w:dyaOrig="639" w14:anchorId="7E1BC994">
          <v:shape id="_x0000_i7928" type="#_x0000_t75" style="width:165.8pt;height:32.05pt" o:ole="">
            <v:imagedata r:id="rId13931" o:title=""/>
          </v:shape>
          <o:OLEObject Type="Embed" ProgID="Equation.DSMT4" ShapeID="_x0000_i7928" DrawAspect="Content" ObjectID="_1791381871" r:id="rId13932"/>
        </w:object>
      </w:r>
    </w:p>
    <w:p w14:paraId="0148C9E2" w14:textId="77777777" w:rsidR="00556C10" w:rsidRPr="00551F33" w:rsidRDefault="00556C10" w:rsidP="00556C10">
      <w:pPr>
        <w:bidi w:val="0"/>
        <w:spacing w:line="216" w:lineRule="auto"/>
        <w:rPr>
          <w:i/>
          <w:sz w:val="23"/>
          <w:szCs w:val="23"/>
          <w:rtl/>
          <w:lang w:eastAsia="en-GB"/>
        </w:rPr>
      </w:pPr>
      <w:r w:rsidRPr="00551F33">
        <w:rPr>
          <w:position w:val="-28"/>
        </w:rPr>
        <w:object w:dxaOrig="3580" w:dyaOrig="639" w14:anchorId="0B1122A3">
          <v:shape id="_x0000_i7929" type="#_x0000_t75" style="width:178.5pt;height:32.05pt" o:ole="">
            <v:imagedata r:id="rId13933" o:title=""/>
          </v:shape>
          <o:OLEObject Type="Embed" ProgID="Equation.DSMT4" ShapeID="_x0000_i7929" DrawAspect="Content" ObjectID="_1791381872" r:id="rId13934"/>
        </w:object>
      </w:r>
    </w:p>
    <w:p w14:paraId="607594ED"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با یادآوری این</w:t>
      </w:r>
      <w:r w:rsidRPr="00551F33">
        <w:rPr>
          <w:rFonts w:hint="cs"/>
          <w:i/>
          <w:sz w:val="23"/>
          <w:szCs w:val="23"/>
          <w:rtl/>
          <w:lang w:eastAsia="en-GB"/>
        </w:rPr>
        <w:softHyphen/>
        <w:t>که</w:t>
      </w:r>
      <w:r w:rsidRPr="00551F33">
        <w:rPr>
          <w:position w:val="-10"/>
        </w:rPr>
        <w:object w:dxaOrig="400" w:dyaOrig="340" w14:anchorId="2B6A8209">
          <v:shape id="_x0000_i7930" type="#_x0000_t75" style="width:19.95pt;height:16.95pt" o:ole="">
            <v:imagedata r:id="rId13935" o:title=""/>
          </v:shape>
          <o:OLEObject Type="Embed" ProgID="Equation.DSMT4" ShapeID="_x0000_i7930" DrawAspect="Content" ObjectID="_1791381873" r:id="rId13936"/>
        </w:object>
      </w:r>
      <w:r w:rsidRPr="00551F33">
        <w:rPr>
          <w:rFonts w:hint="cs"/>
          <w:i/>
          <w:sz w:val="23"/>
          <w:szCs w:val="23"/>
          <w:rtl/>
          <w:lang w:eastAsia="en-GB"/>
        </w:rPr>
        <w:t xml:space="preserve"> نرخ بدون ریسک است که در زمان </w:t>
      </w:r>
      <w:r w:rsidRPr="00551F33">
        <w:rPr>
          <w:i/>
          <w:sz w:val="23"/>
          <w:szCs w:val="23"/>
          <w:lang w:eastAsia="en-GB"/>
        </w:rPr>
        <w:t>t</w:t>
      </w:r>
      <w:r w:rsidRPr="00551F33">
        <w:rPr>
          <w:rFonts w:hint="cs"/>
          <w:i/>
          <w:sz w:val="23"/>
          <w:szCs w:val="23"/>
          <w:rtl/>
          <w:lang w:eastAsia="en-GB"/>
        </w:rPr>
        <w:t xml:space="preserve"> شناخته شده است، خواهیم داشت</w:t>
      </w:r>
    </w:p>
    <w:p w14:paraId="19DF4049" w14:textId="77777777" w:rsidR="00556C10" w:rsidRPr="00551F33" w:rsidRDefault="00556C10" w:rsidP="00556C10">
      <w:pPr>
        <w:bidi w:val="0"/>
        <w:spacing w:line="216" w:lineRule="auto"/>
        <w:rPr>
          <w:i/>
          <w:sz w:val="23"/>
          <w:szCs w:val="23"/>
          <w:lang w:eastAsia="en-GB"/>
        </w:rPr>
      </w:pPr>
      <w:r w:rsidRPr="00551F33">
        <w:rPr>
          <w:position w:val="-54"/>
        </w:rPr>
        <w:object w:dxaOrig="4459" w:dyaOrig="1480" w14:anchorId="300B5D4D">
          <v:shape id="_x0000_i7931" type="#_x0000_t75" style="width:222.65pt;height:73.8pt" o:ole="">
            <v:imagedata r:id="rId13937" o:title=""/>
          </v:shape>
          <o:OLEObject Type="Embed" ProgID="Equation.DSMT4" ShapeID="_x0000_i7931" DrawAspect="Content" ObjectID="_1791381874" r:id="rId13938"/>
        </w:object>
      </w:r>
    </w:p>
    <w:p w14:paraId="24B1FCF3"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از دو سطر آخر، نرخ وام در معامله‌ی بدون آربیتراژ صدق می‌کند</w:t>
      </w:r>
    </w:p>
    <w:p w14:paraId="5B41B43E" w14:textId="77777777" w:rsidR="00556C10" w:rsidRPr="00551F33" w:rsidRDefault="00556C10" w:rsidP="00556C10">
      <w:pPr>
        <w:bidi w:val="0"/>
        <w:spacing w:line="216" w:lineRule="auto"/>
        <w:rPr>
          <w:i/>
          <w:sz w:val="23"/>
          <w:szCs w:val="23"/>
          <w:lang w:eastAsia="en-GB"/>
        </w:rPr>
      </w:pPr>
      <w:r w:rsidRPr="00551F33">
        <w:rPr>
          <w:position w:val="-52"/>
        </w:rPr>
        <w:object w:dxaOrig="5460" w:dyaOrig="1140" w14:anchorId="3F071822">
          <v:shape id="_x0000_i7932" type="#_x0000_t75" style="width:272.85pt;height:57.5pt" o:ole="">
            <v:imagedata r:id="rId13939" o:title=""/>
          </v:shape>
          <o:OLEObject Type="Embed" ProgID="Equation.DSMT4" ShapeID="_x0000_i7932" DrawAspect="Content" ObjectID="_1791381875" r:id="rId13940"/>
        </w:object>
      </w:r>
      <w:r>
        <w:rPr>
          <w:rtl/>
        </w:rPr>
        <w:tab/>
      </w:r>
      <w:r w:rsidRPr="00551F33">
        <w:rPr>
          <w:rFonts w:hint="cs"/>
          <w:i/>
          <w:sz w:val="23"/>
          <w:szCs w:val="23"/>
          <w:rtl/>
          <w:lang w:eastAsia="en-GB"/>
        </w:rPr>
        <w:t xml:space="preserve">(۱۵. ۲۷) </w:t>
      </w:r>
    </w:p>
    <w:p w14:paraId="02AC90AF" w14:textId="77777777" w:rsidR="00556C10" w:rsidRPr="00551F33" w:rsidRDefault="00556C10" w:rsidP="00556C10">
      <w:pPr>
        <w:spacing w:line="216" w:lineRule="auto"/>
        <w:rPr>
          <w:i/>
          <w:sz w:val="23"/>
          <w:szCs w:val="23"/>
          <w:rtl/>
          <w:lang w:eastAsia="en-GB"/>
        </w:rPr>
      </w:pPr>
      <w:r w:rsidRPr="00551F33">
        <w:rPr>
          <w:i/>
          <w:sz w:val="23"/>
          <w:szCs w:val="23"/>
          <w:lang w:eastAsia="en-GB"/>
        </w:rPr>
        <w:t> </w:t>
      </w:r>
      <w:r w:rsidRPr="00551F33">
        <w:rPr>
          <w:rFonts w:hint="cs"/>
          <w:i/>
          <w:sz w:val="23"/>
          <w:szCs w:val="23"/>
          <w:rtl/>
          <w:lang w:eastAsia="en-GB"/>
        </w:rPr>
        <w:t>که از شرط مرتبه اول مصرف داریم</w:t>
      </w:r>
    </w:p>
    <w:p w14:paraId="31373B1A" w14:textId="77777777" w:rsidR="00556C10" w:rsidRPr="00551F33" w:rsidRDefault="00556C10" w:rsidP="00556C10">
      <w:pPr>
        <w:bidi w:val="0"/>
        <w:spacing w:line="216" w:lineRule="auto"/>
        <w:rPr>
          <w:i/>
          <w:sz w:val="23"/>
          <w:szCs w:val="23"/>
          <w:lang w:eastAsia="en-GB" w:bidi="ar-SA"/>
        </w:rPr>
      </w:pPr>
      <w:r w:rsidRPr="00551F33">
        <w:rPr>
          <w:position w:val="-28"/>
        </w:rPr>
        <w:object w:dxaOrig="4440" w:dyaOrig="620" w14:anchorId="0E359CEF">
          <v:shape id="_x0000_i7933" type="#_x0000_t75" style="width:222.05pt;height:31.45pt" o:ole="">
            <v:imagedata r:id="rId13941" o:title=""/>
          </v:shape>
          <o:OLEObject Type="Embed" ProgID="Equation.DSMT4" ShapeID="_x0000_i7933" DrawAspect="Content" ObjectID="_1791381876" r:id="rId13942"/>
        </w:object>
      </w:r>
      <w:r w:rsidRPr="00551F33">
        <w:rPr>
          <w:rFonts w:hint="cs"/>
          <w:i/>
          <w:sz w:val="23"/>
          <w:szCs w:val="23"/>
          <w:rtl/>
          <w:lang w:eastAsia="en-GB"/>
        </w:rPr>
        <w:t xml:space="preserve"> </w:t>
      </w:r>
      <w:r w:rsidRPr="00551F33">
        <w:rPr>
          <w:rFonts w:hint="cs"/>
          <w:i/>
          <w:sz w:val="23"/>
          <w:szCs w:val="23"/>
          <w:rtl/>
          <w:lang w:eastAsia="en-GB"/>
        </w:rPr>
        <w:tab/>
      </w:r>
      <w:r w:rsidRPr="00551F33">
        <w:rPr>
          <w:rFonts w:hint="cs"/>
          <w:i/>
          <w:sz w:val="23"/>
          <w:szCs w:val="23"/>
          <w:rtl/>
          <w:lang w:eastAsia="en-GB"/>
        </w:rPr>
        <w:tab/>
      </w:r>
      <w:r>
        <w:rPr>
          <w:i/>
          <w:sz w:val="23"/>
          <w:szCs w:val="23"/>
          <w:rtl/>
          <w:lang w:eastAsia="en-GB"/>
        </w:rPr>
        <w:tab/>
      </w:r>
      <w:r>
        <w:rPr>
          <w:i/>
          <w:sz w:val="23"/>
          <w:szCs w:val="23"/>
          <w:rtl/>
          <w:lang w:eastAsia="en-GB"/>
        </w:rPr>
        <w:tab/>
      </w:r>
      <w:r w:rsidRPr="00551F33">
        <w:rPr>
          <w:rFonts w:hint="cs"/>
          <w:i/>
          <w:sz w:val="23"/>
          <w:szCs w:val="23"/>
          <w:rtl/>
          <w:lang w:eastAsia="en-GB"/>
        </w:rPr>
        <w:tab/>
        <w:t>(۱۵. ۲۸)</w:t>
      </w:r>
    </w:p>
    <w:p w14:paraId="2EE330C3"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معادله</w:t>
      </w:r>
      <w:r w:rsidRPr="00551F33">
        <w:rPr>
          <w:rFonts w:hint="cs"/>
          <w:i/>
          <w:sz w:val="23"/>
          <w:szCs w:val="23"/>
          <w:rtl/>
          <w:lang w:eastAsia="en-GB"/>
        </w:rPr>
        <w:softHyphen/>
        <w:t>ی (۱۵. ۲۷) معادله‌ی کلیدی و مهم برای تجزیه و تحلیل عواقب به حساب آوردن امکان قصور در وام‌ها است، و می</w:t>
      </w:r>
      <w:r w:rsidRPr="00551F33">
        <w:rPr>
          <w:i/>
          <w:sz w:val="23"/>
          <w:szCs w:val="23"/>
          <w:lang w:eastAsia="en-GB"/>
        </w:rPr>
        <w:t>‌</w:t>
      </w:r>
      <w:r w:rsidRPr="00551F33">
        <w:rPr>
          <w:rFonts w:hint="cs"/>
          <w:i/>
          <w:sz w:val="23"/>
          <w:szCs w:val="23"/>
          <w:rtl/>
          <w:lang w:eastAsia="en-GB"/>
        </w:rPr>
        <w:t>توان آن را عامل تعیین مابه</w:t>
      </w:r>
      <w:r w:rsidRPr="00551F33">
        <w:rPr>
          <w:rFonts w:hint="cs"/>
          <w:i/>
          <w:sz w:val="23"/>
          <w:szCs w:val="23"/>
          <w:rtl/>
          <w:lang w:eastAsia="en-GB"/>
        </w:rPr>
        <w:softHyphen/>
        <w:t>التفاوت اعتبار یا تفاوت بین نرخ وام و نرخ سپرده دانست. عبارات در سمت راست مثبت می</w:t>
      </w:r>
      <w:r w:rsidRPr="00551F33">
        <w:rPr>
          <w:i/>
          <w:sz w:val="23"/>
          <w:szCs w:val="23"/>
          <w:rtl/>
          <w:lang w:eastAsia="en-GB"/>
        </w:rPr>
        <w:softHyphen/>
      </w:r>
      <w:r w:rsidRPr="00551F33">
        <w:rPr>
          <w:rFonts w:hint="cs"/>
          <w:i/>
          <w:sz w:val="23"/>
          <w:szCs w:val="23"/>
          <w:rtl/>
          <w:lang w:eastAsia="en-GB"/>
        </w:rPr>
        <w:t>باشد. در عبارت با افزایش بخشی از وام که انتظار می</w:t>
      </w:r>
      <w:r w:rsidRPr="00551F33">
        <w:rPr>
          <w:i/>
          <w:sz w:val="23"/>
          <w:szCs w:val="23"/>
          <w:lang w:eastAsia="en-GB"/>
        </w:rPr>
        <w:t>‌</w:t>
      </w:r>
      <w:r w:rsidRPr="00551F33">
        <w:rPr>
          <w:rFonts w:hint="cs"/>
          <w:i/>
          <w:sz w:val="23"/>
          <w:szCs w:val="23"/>
          <w:rtl/>
          <w:lang w:eastAsia="en-GB"/>
        </w:rPr>
        <w:t>رود بازپرداخت نشود (یعنی ریسک قصور افزایش یابد) نرخ وام افزایش خواهد یافت. عبارت دوم نیز مثبت است زیرا شوک مثبت به نرخ وام به طور معکوس با بخشی از وام بازپرداختی همبسته است. آخرین عبارت از اجزاء مابه</w:t>
      </w:r>
      <w:r w:rsidRPr="00551F33">
        <w:rPr>
          <w:rFonts w:hint="cs"/>
          <w:i/>
          <w:sz w:val="23"/>
          <w:szCs w:val="23"/>
          <w:rtl/>
          <w:lang w:eastAsia="en-GB"/>
        </w:rPr>
        <w:softHyphen/>
        <w:t>التفاوت ریسک است که مصرف را به هزینه‌ی استقراض مرتبط می</w:t>
      </w:r>
      <w:r w:rsidRPr="00551F33">
        <w:rPr>
          <w:i/>
          <w:sz w:val="23"/>
          <w:szCs w:val="23"/>
          <w:lang w:eastAsia="en-GB"/>
        </w:rPr>
        <w:t>‌</w:t>
      </w:r>
      <w:r w:rsidRPr="00551F33">
        <w:rPr>
          <w:rFonts w:hint="cs"/>
          <w:i/>
          <w:sz w:val="23"/>
          <w:szCs w:val="23"/>
          <w:rtl/>
          <w:lang w:eastAsia="en-GB"/>
        </w:rPr>
        <w:t>کند. در مجموع این سه جمله در حقیقت مابه</w:t>
      </w:r>
      <w:r w:rsidRPr="00551F33">
        <w:rPr>
          <w:rFonts w:hint="cs"/>
          <w:i/>
          <w:sz w:val="23"/>
          <w:szCs w:val="23"/>
          <w:rtl/>
          <w:lang w:eastAsia="en-GB"/>
        </w:rPr>
        <w:softHyphen/>
        <w:t>التفاوت ریسک وام است.</w:t>
      </w:r>
    </w:p>
    <w:p w14:paraId="5CD26AED"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هرچه</w:t>
      </w:r>
      <w:r w:rsidRPr="00551F33">
        <w:rPr>
          <w:position w:val="-10"/>
        </w:rPr>
        <w:object w:dxaOrig="340" w:dyaOrig="320" w14:anchorId="39D2225D">
          <v:shape id="_x0000_i7934" type="#_x0000_t75" style="width:16.95pt;height:15.75pt" o:ole="">
            <v:imagedata r:id="rId13943" o:title=""/>
          </v:shape>
          <o:OLEObject Type="Embed" ProgID="Equation.DSMT4" ShapeID="_x0000_i7934" DrawAspect="Content" ObjectID="_1791381877" r:id="rId13944"/>
        </w:object>
      </w:r>
      <w:r w:rsidRPr="00551F33">
        <w:rPr>
          <w:rFonts w:hint="cs"/>
          <w:i/>
          <w:sz w:val="23"/>
          <w:szCs w:val="23"/>
          <w:rtl/>
          <w:lang w:eastAsia="en-GB"/>
        </w:rPr>
        <w:t xml:space="preserve"> یعنی بخشی از وام که در دوره‌ی </w:t>
      </w:r>
      <w:r w:rsidRPr="00551F33">
        <w:rPr>
          <w:i/>
          <w:sz w:val="23"/>
          <w:szCs w:val="23"/>
          <w:lang w:eastAsia="en-GB"/>
        </w:rPr>
        <w:t>t+1</w:t>
      </w:r>
      <w:r w:rsidRPr="00551F33">
        <w:rPr>
          <w:rFonts w:hint="cs"/>
          <w:i/>
          <w:sz w:val="23"/>
          <w:szCs w:val="23"/>
          <w:rtl/>
          <w:lang w:eastAsia="en-GB"/>
        </w:rPr>
        <w:t xml:space="preserve"> بازپرداخت می‌شود بیشتر شود، مابه التفاوت ریسک کوچکتر است، و با ثابت بودن سایر شرایط، تقاضا برای وام‌ کم</w:t>
      </w:r>
      <w:r w:rsidRPr="00551F33">
        <w:rPr>
          <w:rFonts w:hint="cs"/>
          <w:i/>
          <w:sz w:val="23"/>
          <w:szCs w:val="23"/>
          <w:rtl/>
          <w:lang w:eastAsia="en-GB"/>
        </w:rPr>
        <w:softHyphen/>
        <w:t>تر خواهد بود. کم</w:t>
      </w:r>
      <w:r w:rsidRPr="00551F33">
        <w:rPr>
          <w:i/>
          <w:sz w:val="23"/>
          <w:szCs w:val="23"/>
          <w:rtl/>
          <w:lang w:eastAsia="en-GB"/>
        </w:rPr>
        <w:softHyphen/>
      </w:r>
      <w:r w:rsidRPr="00551F33">
        <w:rPr>
          <w:rFonts w:hint="cs"/>
          <w:i/>
          <w:sz w:val="23"/>
          <w:szCs w:val="23"/>
          <w:rtl/>
          <w:lang w:eastAsia="en-GB"/>
        </w:rPr>
        <w:t>تر از حدّ برآورد کردن</w:t>
      </w:r>
      <w:r w:rsidRPr="00551F33">
        <w:rPr>
          <w:position w:val="-10"/>
        </w:rPr>
        <w:object w:dxaOrig="340" w:dyaOrig="320" w14:anchorId="4D7D23B3">
          <v:shape id="_x0000_i7935" type="#_x0000_t75" style="width:16.95pt;height:15.75pt" o:ole="">
            <v:imagedata r:id="rId13945" o:title=""/>
          </v:shape>
          <o:OLEObject Type="Embed" ProgID="Equation.DSMT4" ShapeID="_x0000_i7935" DrawAspect="Content" ObjectID="_1791381878" r:id="rId13946"/>
        </w:object>
      </w:r>
      <w:r w:rsidRPr="00551F33">
        <w:rPr>
          <w:rFonts w:hint="cs"/>
          <w:i/>
          <w:sz w:val="23"/>
          <w:szCs w:val="23"/>
          <w:rtl/>
          <w:lang w:eastAsia="en-GB"/>
        </w:rPr>
        <w:t xml:space="preserve"> که در بحران مالی اتفاق افتاد سبب شد وام‌ها کمتر از حدّ قیمت</w:t>
      </w:r>
      <w:r w:rsidRPr="00551F33">
        <w:rPr>
          <w:rFonts w:hint="cs"/>
          <w:i/>
          <w:sz w:val="23"/>
          <w:szCs w:val="23"/>
          <w:rtl/>
          <w:lang w:eastAsia="en-GB"/>
        </w:rPr>
        <w:softHyphen/>
        <w:t>گذاری شوند و تقاضا برای وام افزایش یابد. در دومین عبارت با افزایش همبستگی میان قصور و نرخ وام، مابه</w:t>
      </w:r>
      <w:r w:rsidRPr="00551F33">
        <w:rPr>
          <w:rFonts w:hint="cs"/>
          <w:i/>
          <w:sz w:val="23"/>
          <w:szCs w:val="23"/>
          <w:rtl/>
          <w:lang w:eastAsia="en-GB"/>
        </w:rPr>
        <w:softHyphen/>
        <w:t>التفاوت ریسک بالاتر خواهد بود. آخرین عبارت که جزء معمول مابه</w:t>
      </w:r>
      <w:r w:rsidRPr="00551F33">
        <w:rPr>
          <w:rFonts w:hint="cs"/>
          <w:i/>
          <w:sz w:val="23"/>
          <w:szCs w:val="23"/>
          <w:rtl/>
          <w:lang w:eastAsia="en-GB"/>
        </w:rPr>
        <w:softHyphen/>
        <w:t xml:space="preserve">التفاوت است و با همبستگی میان مصرف و نرخ بازده ریسکی همراه است، بدلیل استفاده از ضریب تکاثری لاگرانژ در این جا به شکلی متفاوت ظاهر شده و برای امکان قصور تعدیل یافته است. اگر قصوری در کار نباشد </w:t>
      </w:r>
      <w:r w:rsidRPr="00551F33">
        <w:rPr>
          <w:position w:val="-10"/>
        </w:rPr>
        <w:object w:dxaOrig="540" w:dyaOrig="320" w14:anchorId="54CF62AB">
          <v:shape id="_x0000_i7936" type="#_x0000_t75" style="width:26.6pt;height:15.75pt" o:ole="">
            <v:imagedata r:id="rId13947" o:title=""/>
          </v:shape>
          <o:OLEObject Type="Embed" ProgID="Equation.DSMT4" ShapeID="_x0000_i7936" DrawAspect="Content" ObjectID="_1791381879" r:id="rId13948"/>
        </w:object>
      </w:r>
      <w:r w:rsidRPr="00551F33">
        <w:rPr>
          <w:rFonts w:hint="cs"/>
          <w:i/>
          <w:sz w:val="23"/>
          <w:szCs w:val="23"/>
          <w:rtl/>
          <w:lang w:eastAsia="en-GB"/>
        </w:rPr>
        <w:t xml:space="preserve"> است و لذا </w:t>
      </w:r>
    </w:p>
    <w:p w14:paraId="0F5CE7E2" w14:textId="77777777" w:rsidR="00556C10" w:rsidRPr="00551F33" w:rsidRDefault="00556C10" w:rsidP="00556C10">
      <w:pPr>
        <w:bidi w:val="0"/>
        <w:spacing w:line="216" w:lineRule="auto"/>
        <w:rPr>
          <w:i/>
          <w:sz w:val="23"/>
          <w:szCs w:val="23"/>
          <w:rtl/>
          <w:lang w:eastAsia="en-GB"/>
        </w:rPr>
      </w:pPr>
      <w:r w:rsidRPr="00551F33">
        <w:rPr>
          <w:position w:val="-28"/>
        </w:rPr>
        <w:object w:dxaOrig="2740" w:dyaOrig="680" w14:anchorId="33090F64">
          <v:shape id="_x0000_i7937" type="#_x0000_t75" style="width:136.75pt;height:33.9pt" o:ole="">
            <v:imagedata r:id="rId13949" o:title=""/>
          </v:shape>
          <o:OLEObject Type="Embed" ProgID="Equation.DSMT4" ShapeID="_x0000_i7937" DrawAspect="Content" ObjectID="_1791381880" r:id="rId13950"/>
        </w:object>
      </w:r>
      <w:r w:rsidRPr="00551F33">
        <w:rPr>
          <w:rFonts w:hint="cs"/>
          <w:i/>
          <w:sz w:val="23"/>
          <w:szCs w:val="23"/>
          <w:rtl/>
          <w:lang w:eastAsia="en-GB"/>
        </w:rPr>
        <w:tab/>
      </w:r>
      <w:r w:rsidRPr="00551F33">
        <w:rPr>
          <w:rFonts w:hint="cs"/>
          <w:i/>
          <w:sz w:val="23"/>
          <w:szCs w:val="23"/>
          <w:rtl/>
          <w:lang w:eastAsia="en-GB"/>
        </w:rPr>
        <w:tab/>
      </w:r>
      <w:r>
        <w:rPr>
          <w:i/>
          <w:sz w:val="23"/>
          <w:szCs w:val="23"/>
          <w:rtl/>
          <w:lang w:eastAsia="en-GB"/>
        </w:rPr>
        <w:tab/>
      </w:r>
      <w:r>
        <w:rPr>
          <w:i/>
          <w:sz w:val="23"/>
          <w:szCs w:val="23"/>
          <w:rtl/>
          <w:lang w:eastAsia="en-GB"/>
        </w:rPr>
        <w:tab/>
      </w:r>
      <w:r>
        <w:rPr>
          <w:i/>
          <w:sz w:val="23"/>
          <w:szCs w:val="23"/>
          <w:rtl/>
          <w:lang w:eastAsia="en-GB"/>
        </w:rPr>
        <w:tab/>
      </w:r>
      <w:r w:rsidRPr="00551F33">
        <w:rPr>
          <w:rFonts w:hint="cs"/>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rFonts w:hint="cs"/>
          <w:i/>
          <w:sz w:val="23"/>
          <w:szCs w:val="23"/>
          <w:rtl/>
          <w:lang w:eastAsia="en-GB"/>
        </w:rPr>
        <w:t xml:space="preserve"> </w:t>
      </w:r>
      <w:r w:rsidRPr="00551F33">
        <w:rPr>
          <w:rFonts w:hint="cs"/>
          <w:i/>
          <w:sz w:val="23"/>
          <w:szCs w:val="23"/>
          <w:rtl/>
          <w:lang w:eastAsia="en-GB"/>
        </w:rPr>
        <w:tab/>
        <w:t>(۱۵. ۲۹)</w:t>
      </w:r>
    </w:p>
    <w:p w14:paraId="7A387E26" w14:textId="77777777" w:rsidR="00556C10" w:rsidRPr="00551F33" w:rsidRDefault="00556C10" w:rsidP="00556C10">
      <w:pPr>
        <w:spacing w:line="216" w:lineRule="auto"/>
        <w:rPr>
          <w:i/>
          <w:sz w:val="23"/>
          <w:szCs w:val="23"/>
          <w:rtl/>
          <w:lang w:eastAsia="en-GB" w:bidi="ar-SA"/>
        </w:rPr>
      </w:pPr>
      <w:r w:rsidRPr="00551F33">
        <w:rPr>
          <w:rFonts w:hint="cs"/>
          <w:i/>
          <w:sz w:val="23"/>
          <w:szCs w:val="23"/>
          <w:rtl/>
          <w:lang w:eastAsia="en-GB"/>
        </w:rPr>
        <w:t>و به این معنی که تنها ریسک قیمت وجود دارد.</w:t>
      </w:r>
    </w:p>
    <w:p w14:paraId="644C68B8"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معادله‌ی عدم آربیتراژ بازده</w:t>
      </w:r>
      <w:r w:rsidRPr="00551F33">
        <w:rPr>
          <w:i/>
          <w:sz w:val="23"/>
          <w:szCs w:val="23"/>
          <w:rtl/>
          <w:lang w:eastAsia="en-GB"/>
        </w:rPr>
        <w:softHyphen/>
      </w:r>
      <w:r w:rsidRPr="00551F33">
        <w:rPr>
          <w:rFonts w:hint="cs"/>
          <w:i/>
          <w:sz w:val="23"/>
          <w:szCs w:val="23"/>
          <w:rtl/>
          <w:lang w:eastAsia="en-GB"/>
        </w:rPr>
        <w:t>ی حقیقی مورد نیاز سرمایه یعنی</w:t>
      </w:r>
      <w:r w:rsidRPr="00551F33">
        <w:rPr>
          <w:position w:val="-12"/>
        </w:rPr>
        <w:object w:dxaOrig="1600" w:dyaOrig="360" w14:anchorId="7DA03DED">
          <v:shape id="_x0000_i7938" type="#_x0000_t75" style="width:79.85pt;height:18.15pt" o:ole="">
            <v:imagedata r:id="rId13951" o:title=""/>
          </v:shape>
          <o:OLEObject Type="Embed" ProgID="Equation.DSMT4" ShapeID="_x0000_i7938" DrawAspect="Content" ObjectID="_1791381881" r:id="rId13952"/>
        </w:object>
      </w:r>
      <w:r w:rsidRPr="00551F33">
        <w:rPr>
          <w:rFonts w:hint="cs"/>
          <w:i/>
          <w:sz w:val="23"/>
          <w:szCs w:val="23"/>
          <w:rtl/>
          <w:lang w:eastAsia="en-GB"/>
        </w:rPr>
        <w:t xml:space="preserve"> عبارت است از </w:t>
      </w:r>
    </w:p>
    <w:p w14:paraId="625A50DB" w14:textId="77777777" w:rsidR="00556C10" w:rsidRPr="00551F33" w:rsidRDefault="00556C10" w:rsidP="00556C10">
      <w:pPr>
        <w:bidi w:val="0"/>
        <w:spacing w:line="216" w:lineRule="auto"/>
        <w:rPr>
          <w:i/>
          <w:sz w:val="23"/>
          <w:szCs w:val="23"/>
          <w:lang w:eastAsia="en-GB"/>
        </w:rPr>
      </w:pPr>
      <w:r w:rsidRPr="00551F33">
        <w:rPr>
          <w:position w:val="-28"/>
        </w:rPr>
        <w:object w:dxaOrig="5620" w:dyaOrig="760" w14:anchorId="07749BB2">
          <v:shape id="_x0000_i7939" type="#_x0000_t75" style="width:280.75pt;height:38.1pt" o:ole="">
            <v:imagedata r:id="rId13953" o:title=""/>
          </v:shape>
          <o:OLEObject Type="Embed" ProgID="Equation.DSMT4" ShapeID="_x0000_i7939" DrawAspect="Content" ObjectID="_1791381882" r:id="rId13954"/>
        </w:object>
      </w:r>
      <w:r>
        <w:rPr>
          <w:rtl/>
        </w:rPr>
        <w:tab/>
      </w:r>
      <w:r>
        <w:rPr>
          <w:rtl/>
        </w:rPr>
        <w:tab/>
      </w:r>
      <w:r w:rsidRPr="00551F33">
        <w:rPr>
          <w:rFonts w:hint="cs"/>
          <w:i/>
          <w:sz w:val="23"/>
          <w:szCs w:val="23"/>
          <w:rtl/>
          <w:lang w:eastAsia="en-GB"/>
        </w:rPr>
        <w:t>(۱۵. ۳۰)</w:t>
      </w:r>
    </w:p>
    <w:p w14:paraId="3DDCBE9F" w14:textId="77777777" w:rsidR="00556C10" w:rsidRPr="00551F33" w:rsidRDefault="00556C10" w:rsidP="00556C10">
      <w:pPr>
        <w:spacing w:line="216" w:lineRule="auto"/>
        <w:rPr>
          <w:i/>
          <w:sz w:val="23"/>
          <w:szCs w:val="23"/>
          <w:lang w:eastAsia="en-GB" w:bidi="ar-SA"/>
        </w:rPr>
      </w:pPr>
      <w:r w:rsidRPr="00551F33">
        <w:rPr>
          <w:rFonts w:hint="cs"/>
          <w:i/>
          <w:sz w:val="23"/>
          <w:szCs w:val="23"/>
          <w:rtl/>
          <w:lang w:eastAsia="en-GB"/>
        </w:rPr>
        <w:t>که در آن</w:t>
      </w:r>
      <w:r w:rsidRPr="00551F33">
        <w:rPr>
          <w:position w:val="-10"/>
        </w:rPr>
        <w:object w:dxaOrig="1620" w:dyaOrig="340" w14:anchorId="1F85B30A">
          <v:shape id="_x0000_i7940" type="#_x0000_t75" style="width:81.1pt;height:16.95pt" o:ole="">
            <v:imagedata r:id="rId13955" o:title=""/>
          </v:shape>
          <o:OLEObject Type="Embed" ProgID="Equation.DSMT4" ShapeID="_x0000_i7940" DrawAspect="Content" ObjectID="_1791381883" r:id="rId13956"/>
        </w:object>
      </w:r>
      <w:r w:rsidRPr="00551F33">
        <w:rPr>
          <w:rFonts w:hint="cs"/>
          <w:i/>
          <w:sz w:val="23"/>
          <w:szCs w:val="23"/>
          <w:rtl/>
          <w:lang w:eastAsia="en-GB"/>
        </w:rPr>
        <w:t xml:space="preserve"> نرخ بازده</w:t>
      </w:r>
      <w:r w:rsidRPr="00551F33">
        <w:rPr>
          <w:i/>
          <w:sz w:val="23"/>
          <w:szCs w:val="23"/>
          <w:rtl/>
          <w:lang w:eastAsia="en-GB"/>
        </w:rPr>
        <w:softHyphen/>
      </w:r>
      <w:r w:rsidRPr="00551F33">
        <w:rPr>
          <w:rFonts w:hint="cs"/>
          <w:i/>
          <w:sz w:val="23"/>
          <w:szCs w:val="23"/>
          <w:rtl/>
          <w:lang w:eastAsia="en-GB"/>
        </w:rPr>
        <w:t>ی حقیقی و</w:t>
      </w:r>
      <w:r w:rsidRPr="00551F33">
        <w:rPr>
          <w:position w:val="-12"/>
        </w:rPr>
        <w:object w:dxaOrig="1719" w:dyaOrig="360" w14:anchorId="67324306">
          <v:shape id="_x0000_i7941" type="#_x0000_t75" style="width:85.9pt;height:18.15pt" o:ole="">
            <v:imagedata r:id="rId13957" o:title=""/>
          </v:shape>
          <o:OLEObject Type="Embed" ProgID="Equation.DSMT4" ShapeID="_x0000_i7941" DrawAspect="Content" ObjectID="_1791381884" r:id="rId13958"/>
        </w:object>
      </w:r>
      <w:r w:rsidRPr="00551F33">
        <w:rPr>
          <w:rFonts w:hint="cs"/>
          <w:i/>
          <w:sz w:val="23"/>
          <w:szCs w:val="23"/>
          <w:rtl/>
          <w:lang w:eastAsia="en-GB"/>
        </w:rPr>
        <w:t xml:space="preserve"> نرخ تورم است. طرف راست، مابه</w:t>
      </w:r>
      <w:r w:rsidRPr="00551F33">
        <w:rPr>
          <w:rFonts w:hint="cs"/>
          <w:i/>
          <w:sz w:val="23"/>
          <w:szCs w:val="23"/>
          <w:rtl/>
          <w:lang w:eastAsia="en-GB"/>
        </w:rPr>
        <w:softHyphen/>
        <w:t>التفاوت ریسک بازده</w:t>
      </w:r>
      <w:r w:rsidRPr="00551F33">
        <w:rPr>
          <w:i/>
          <w:sz w:val="23"/>
          <w:szCs w:val="23"/>
          <w:rtl/>
          <w:lang w:eastAsia="en-GB"/>
        </w:rPr>
        <w:softHyphen/>
      </w:r>
      <w:r w:rsidRPr="00551F33">
        <w:rPr>
          <w:rFonts w:hint="cs"/>
          <w:i/>
          <w:sz w:val="23"/>
          <w:szCs w:val="23"/>
          <w:rtl/>
          <w:lang w:eastAsia="en-GB"/>
        </w:rPr>
        <w:t>ی سرمایه است و به ریسک قصور وابسته نیست.</w:t>
      </w:r>
    </w:p>
    <w:p w14:paraId="5889A42A"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معادله اویلر برای مصرف اندکی از شکل معمول خود متفاوت است و دلیل آن عمدتاً قید پیشاپیش نقدی است و عبارت است از</w:t>
      </w:r>
    </w:p>
    <w:p w14:paraId="336BC742" w14:textId="77777777" w:rsidR="00556C10" w:rsidRPr="00551F33" w:rsidRDefault="00556C10" w:rsidP="00556C10">
      <w:pPr>
        <w:bidi w:val="0"/>
        <w:spacing w:line="216" w:lineRule="auto"/>
        <w:rPr>
          <w:i/>
          <w:sz w:val="23"/>
          <w:szCs w:val="23"/>
          <w:lang w:eastAsia="en-GB"/>
        </w:rPr>
      </w:pPr>
      <w:r w:rsidRPr="00551F33">
        <w:rPr>
          <w:position w:val="-30"/>
        </w:rPr>
        <w:object w:dxaOrig="4120" w:dyaOrig="700" w14:anchorId="0E422675">
          <v:shape id="_x0000_i7942" type="#_x0000_t75" style="width:205.7pt;height:35.1pt" o:ole="">
            <v:imagedata r:id="rId13959" o:title=""/>
          </v:shape>
          <o:OLEObject Type="Embed" ProgID="Equation.DSMT4" ShapeID="_x0000_i7942" DrawAspect="Content" ObjectID="_1791381885" r:id="rId13960"/>
        </w:object>
      </w:r>
      <w:r w:rsidRPr="00551F33">
        <w:rPr>
          <w:rFonts w:hint="cs"/>
          <w:i/>
          <w:sz w:val="23"/>
          <w:szCs w:val="23"/>
          <w:rtl/>
          <w:lang w:eastAsia="en-GB"/>
        </w:rPr>
        <w:t xml:space="preserve"> </w:t>
      </w:r>
      <w:r w:rsidRPr="00551F33">
        <w:rPr>
          <w:rFonts w:hint="cs"/>
          <w:i/>
          <w:sz w:val="23"/>
          <w:szCs w:val="23"/>
          <w:rtl/>
          <w:lang w:eastAsia="en-GB"/>
        </w:rPr>
        <w:tab/>
      </w:r>
      <w:r w:rsidRPr="00551F33">
        <w:rPr>
          <w:rFonts w:hint="cs"/>
          <w:i/>
          <w:sz w:val="23"/>
          <w:szCs w:val="23"/>
          <w:rtl/>
          <w:lang w:eastAsia="en-GB"/>
        </w:rPr>
        <w:tab/>
      </w:r>
      <w:r>
        <w:rPr>
          <w:i/>
          <w:sz w:val="23"/>
          <w:szCs w:val="23"/>
          <w:rtl/>
          <w:lang w:eastAsia="en-GB"/>
        </w:rPr>
        <w:tab/>
      </w:r>
      <w:r>
        <w:rPr>
          <w:i/>
          <w:sz w:val="23"/>
          <w:szCs w:val="23"/>
          <w:rtl/>
          <w:lang w:eastAsia="en-GB"/>
        </w:rPr>
        <w:tab/>
      </w:r>
      <w:r w:rsidRPr="00551F33">
        <w:rPr>
          <w:rFonts w:hint="cs"/>
          <w:i/>
          <w:sz w:val="23"/>
          <w:szCs w:val="23"/>
          <w:rtl/>
          <w:lang w:eastAsia="en-GB"/>
        </w:rPr>
        <w:tab/>
      </w:r>
      <w:r>
        <w:rPr>
          <w:i/>
          <w:sz w:val="23"/>
          <w:szCs w:val="23"/>
          <w:rtl/>
          <w:lang w:eastAsia="en-GB"/>
        </w:rPr>
        <w:tab/>
      </w:r>
      <w:r w:rsidRPr="00551F33">
        <w:rPr>
          <w:i/>
          <w:sz w:val="23"/>
          <w:szCs w:val="23"/>
          <w:rtl/>
          <w:lang w:eastAsia="en-GB"/>
        </w:rPr>
        <w:tab/>
      </w:r>
      <w:r w:rsidRPr="00551F33">
        <w:rPr>
          <w:rFonts w:hint="cs"/>
          <w:i/>
          <w:sz w:val="23"/>
          <w:szCs w:val="23"/>
          <w:rtl/>
          <w:lang w:eastAsia="en-GB"/>
        </w:rPr>
        <w:t>(۱۵. ۳۱)</w:t>
      </w:r>
      <w:r w:rsidRPr="00551F33">
        <w:rPr>
          <w:i/>
          <w:sz w:val="23"/>
          <w:szCs w:val="23"/>
          <w:lang w:eastAsia="en-GB"/>
        </w:rPr>
        <w:t xml:space="preserve"> </w:t>
      </w:r>
    </w:p>
    <w:p w14:paraId="48C80D50"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به دلیل قید پیشاپیش نقدی، مصرف باید از دوره</w:t>
      </w:r>
      <w:r w:rsidRPr="00551F33">
        <w:rPr>
          <w:i/>
          <w:sz w:val="23"/>
          <w:szCs w:val="23"/>
          <w:rtl/>
          <w:lang w:eastAsia="en-GB"/>
        </w:rPr>
        <w:softHyphen/>
      </w:r>
      <w:r w:rsidRPr="00551F33">
        <w:rPr>
          <w:rFonts w:hint="cs"/>
          <w:i/>
          <w:sz w:val="23"/>
          <w:szCs w:val="23"/>
          <w:rtl/>
          <w:lang w:eastAsia="en-GB"/>
        </w:rPr>
        <w:t>ی</w:t>
      </w:r>
      <w:r w:rsidRPr="00551F33">
        <w:rPr>
          <w:i/>
          <w:sz w:val="23"/>
          <w:szCs w:val="23"/>
          <w:rtl/>
          <w:lang w:eastAsia="en-GB"/>
        </w:rPr>
        <w:softHyphen/>
      </w:r>
      <w:r w:rsidRPr="00551F33">
        <w:rPr>
          <w:rFonts w:hint="cs"/>
          <w:i/>
          <w:sz w:val="23"/>
          <w:szCs w:val="23"/>
          <w:rtl/>
          <w:lang w:eastAsia="en-GB"/>
        </w:rPr>
        <w:t xml:space="preserve"> بعد برنامه</w:t>
      </w:r>
      <w:r w:rsidRPr="00551F33">
        <w:rPr>
          <w:rFonts w:hint="cs"/>
          <w:i/>
          <w:sz w:val="23"/>
          <w:szCs w:val="23"/>
          <w:rtl/>
          <w:lang w:eastAsia="en-GB"/>
        </w:rPr>
        <w:softHyphen/>
        <w:t>ریزی شود. معادله‌ی (۱۵. ۳۱) نشان می</w:t>
      </w:r>
      <w:r w:rsidRPr="00551F33">
        <w:rPr>
          <w:i/>
          <w:sz w:val="23"/>
          <w:szCs w:val="23"/>
          <w:lang w:eastAsia="en-GB"/>
        </w:rPr>
        <w:t>‌</w:t>
      </w:r>
      <w:r w:rsidRPr="00551F33">
        <w:rPr>
          <w:rFonts w:hint="cs"/>
          <w:i/>
          <w:sz w:val="23"/>
          <w:szCs w:val="23"/>
          <w:rtl/>
          <w:lang w:eastAsia="en-GB"/>
        </w:rPr>
        <w:t>دهد که قید پیشاپیش نقدی، ریسکی به معادله‌ی اویلر اضافه می</w:t>
      </w:r>
      <w:r w:rsidRPr="00551F33">
        <w:rPr>
          <w:i/>
          <w:sz w:val="23"/>
          <w:szCs w:val="23"/>
          <w:lang w:eastAsia="en-GB"/>
        </w:rPr>
        <w:t>‌</w:t>
      </w:r>
      <w:r w:rsidRPr="00551F33">
        <w:rPr>
          <w:rFonts w:hint="cs"/>
          <w:i/>
          <w:sz w:val="23"/>
          <w:szCs w:val="23"/>
          <w:rtl/>
          <w:lang w:eastAsia="en-GB"/>
        </w:rPr>
        <w:t>کند که با عدم دانستن قیمت آتی همراه است. صرف</w:t>
      </w:r>
      <w:r w:rsidRPr="00551F33">
        <w:rPr>
          <w:rFonts w:hint="cs"/>
          <w:i/>
          <w:sz w:val="23"/>
          <w:szCs w:val="23"/>
          <w:rtl/>
          <w:lang w:eastAsia="en-GB"/>
        </w:rPr>
        <w:softHyphen/>
        <w:t>نظر از تغییر زمان، معادله‌ی (۱۵. ۳۰) به معادله‌ی معمولی اویلر تبدیل می</w:t>
      </w:r>
      <w:r w:rsidRPr="00551F33">
        <w:rPr>
          <w:i/>
          <w:sz w:val="23"/>
          <w:szCs w:val="23"/>
          <w:lang w:eastAsia="en-GB"/>
        </w:rPr>
        <w:t>‌</w:t>
      </w:r>
      <w:r w:rsidRPr="00551F33">
        <w:rPr>
          <w:rFonts w:hint="cs"/>
          <w:i/>
          <w:sz w:val="23"/>
          <w:szCs w:val="23"/>
          <w:rtl/>
          <w:lang w:eastAsia="en-GB"/>
        </w:rPr>
        <w:t xml:space="preserve">شود که در آن تمام متغیرهای تصادفی جای خود را به انتظارات شرطی می‌دهند، و راه حل وضعیت یکنواخت راه حل معمولی است که </w:t>
      </w:r>
      <w:r w:rsidRPr="00551F33">
        <w:rPr>
          <w:position w:val="-10"/>
        </w:rPr>
        <w:object w:dxaOrig="220" w:dyaOrig="300" w14:anchorId="1ACA11DA">
          <v:shape id="_x0000_i7943" type="#_x0000_t75" style="width:10.9pt;height:14.5pt" o:ole="">
            <v:imagedata r:id="rId13961" o:title=""/>
          </v:shape>
          <o:OLEObject Type="Embed" ProgID="Equation.DSMT4" ShapeID="_x0000_i7943" DrawAspect="Content" ObjectID="_1791381886" r:id="rId13962"/>
        </w:object>
      </w:r>
      <w:r w:rsidRPr="00551F33">
        <w:rPr>
          <w:rFonts w:hint="cs"/>
          <w:i/>
          <w:sz w:val="23"/>
          <w:szCs w:val="23"/>
          <w:rtl/>
          <w:lang w:eastAsia="en-GB"/>
        </w:rPr>
        <w:t xml:space="preserve"> مساوی است با نرخ بهره</w:t>
      </w:r>
      <w:r w:rsidRPr="00551F33">
        <w:rPr>
          <w:rFonts w:hint="cs"/>
          <w:i/>
          <w:sz w:val="23"/>
          <w:szCs w:val="23"/>
          <w:rtl/>
          <w:lang w:eastAsia="en-GB"/>
        </w:rPr>
        <w:softHyphen/>
        <w:t>ی حقیقی.</w:t>
      </w:r>
    </w:p>
    <w:p w14:paraId="3DB383D7" w14:textId="77777777" w:rsidR="00556C10" w:rsidRPr="00551F33" w:rsidRDefault="00556C10" w:rsidP="00556C10">
      <w:pPr>
        <w:spacing w:line="216" w:lineRule="auto"/>
        <w:rPr>
          <w:i/>
          <w:sz w:val="23"/>
          <w:szCs w:val="23"/>
          <w:lang w:eastAsia="en-GB" w:bidi="ar-SA"/>
        </w:rPr>
      </w:pPr>
    </w:p>
    <w:p w14:paraId="2AD5976A" w14:textId="77777777" w:rsidR="00556C10" w:rsidRPr="00551F33" w:rsidRDefault="00556C10" w:rsidP="00556C10">
      <w:pPr>
        <w:pStyle w:val="Heading1"/>
        <w:spacing w:before="0" w:line="216" w:lineRule="auto"/>
        <w:rPr>
          <w:rFonts w:ascii="Times New Roman" w:hAnsi="Times New Roman" w:cs="B Nazanin"/>
          <w:b w:val="0"/>
          <w:i/>
          <w:sz w:val="23"/>
          <w:szCs w:val="23"/>
          <w:lang w:eastAsia="en-GB"/>
        </w:rPr>
      </w:pPr>
      <w:r w:rsidRPr="00551F33">
        <w:rPr>
          <w:rFonts w:ascii="Times New Roman" w:hAnsi="Times New Roman" w:cs="B Nazanin" w:hint="cs"/>
          <w:b w:val="0"/>
          <w:i/>
          <w:sz w:val="23"/>
          <w:szCs w:val="23"/>
          <w:rtl/>
          <w:lang w:eastAsia="en-GB"/>
        </w:rPr>
        <w:t>۱۵. ۸. ۲ بانک‌ها</w:t>
      </w:r>
    </w:p>
    <w:p w14:paraId="5F1E7BD9"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سود‌های بانک‌ها از رابطه‌ی زیر بدست می‌آید</w:t>
      </w:r>
    </w:p>
    <w:p w14:paraId="2F821278" w14:textId="77777777" w:rsidR="00556C10" w:rsidRPr="00551F33" w:rsidRDefault="00556C10" w:rsidP="00556C10">
      <w:pPr>
        <w:bidi w:val="0"/>
        <w:spacing w:line="216" w:lineRule="auto"/>
        <w:rPr>
          <w:i/>
          <w:sz w:val="23"/>
          <w:szCs w:val="23"/>
          <w:lang w:eastAsia="en-GB"/>
        </w:rPr>
      </w:pPr>
      <w:r w:rsidRPr="00551F33">
        <w:rPr>
          <w:position w:val="-16"/>
        </w:rPr>
        <w:object w:dxaOrig="5160" w:dyaOrig="420" w14:anchorId="551B8646">
          <v:shape id="_x0000_i7944" type="#_x0000_t75" style="width:257.75pt;height:21.2pt" o:ole="">
            <v:imagedata r:id="rId13963" o:title=""/>
          </v:shape>
          <o:OLEObject Type="Embed" ProgID="Equation.DSMT4" ShapeID="_x0000_i7944" DrawAspect="Content" ObjectID="_1791381887" r:id="rId13964"/>
        </w:object>
      </w:r>
      <w:r w:rsidRPr="00551F33">
        <w:rPr>
          <w:rFonts w:eastAsiaTheme="minorHAnsi" w:cstheme="minorBidi"/>
          <w:i/>
          <w:sz w:val="23"/>
          <w:szCs w:val="23"/>
          <w:rtl/>
        </w:rPr>
        <w:tab/>
      </w:r>
      <w:r>
        <w:rPr>
          <w:rFonts w:eastAsiaTheme="minorHAnsi" w:cstheme="minorBidi"/>
          <w:i/>
          <w:sz w:val="23"/>
          <w:szCs w:val="23"/>
          <w:rtl/>
        </w:rPr>
        <w:tab/>
      </w:r>
      <w:r>
        <w:rPr>
          <w:rFonts w:eastAsiaTheme="minorHAnsi" w:cstheme="minorBidi"/>
          <w:i/>
          <w:sz w:val="23"/>
          <w:szCs w:val="23"/>
          <w:rtl/>
        </w:rPr>
        <w:tab/>
      </w:r>
      <w:r w:rsidRPr="00551F33">
        <w:rPr>
          <w:rFonts w:hint="cs"/>
          <w:i/>
          <w:sz w:val="23"/>
          <w:szCs w:val="23"/>
          <w:rtl/>
          <w:lang w:eastAsia="en-GB"/>
        </w:rPr>
        <w:t>(۱۵. ۳۲)</w:t>
      </w:r>
      <w:r w:rsidRPr="00551F33">
        <w:rPr>
          <w:i/>
          <w:sz w:val="23"/>
          <w:szCs w:val="23"/>
          <w:lang w:eastAsia="en-GB"/>
        </w:rPr>
        <w:t xml:space="preserve"> </w:t>
      </w:r>
    </w:p>
    <w:p w14:paraId="2C0B48E2" w14:textId="77777777" w:rsidR="00556C10" w:rsidRPr="00551F33" w:rsidRDefault="00556C10" w:rsidP="00556C10">
      <w:pPr>
        <w:spacing w:line="216" w:lineRule="auto"/>
        <w:rPr>
          <w:i/>
          <w:sz w:val="23"/>
          <w:szCs w:val="23"/>
          <w:rtl/>
          <w:lang w:eastAsia="en-GB" w:bidi="ar-SA"/>
        </w:rPr>
      </w:pPr>
      <w:r w:rsidRPr="00551F33">
        <w:rPr>
          <w:rFonts w:hint="cs"/>
          <w:i/>
          <w:sz w:val="23"/>
          <w:szCs w:val="23"/>
          <w:rtl/>
          <w:lang w:eastAsia="en-GB"/>
        </w:rPr>
        <w:t>که در آن</w:t>
      </w:r>
      <w:r w:rsidRPr="00551F33">
        <w:rPr>
          <w:position w:val="-10"/>
        </w:rPr>
        <w:object w:dxaOrig="1280" w:dyaOrig="340" w14:anchorId="1BFB2078">
          <v:shape id="_x0000_i7945" type="#_x0000_t75" style="width:64.15pt;height:16.95pt" o:ole="">
            <v:imagedata r:id="rId13965" o:title=""/>
          </v:shape>
          <o:OLEObject Type="Embed" ProgID="Equation.DSMT4" ShapeID="_x0000_i7945" DrawAspect="Content" ObjectID="_1791381888" r:id="rId13966"/>
        </w:object>
      </w:r>
      <w:r w:rsidRPr="00551F33">
        <w:rPr>
          <w:rFonts w:hint="cs"/>
          <w:i/>
          <w:sz w:val="23"/>
          <w:szCs w:val="23"/>
          <w:rtl/>
          <w:lang w:eastAsia="en-GB"/>
        </w:rPr>
        <w:t xml:space="preserve"> مجموع استقراض اسمی بانک از بخش خصوصی غیربانکی یعنی</w:t>
      </w:r>
      <w:r w:rsidRPr="00551F33">
        <w:rPr>
          <w:i/>
          <w:sz w:val="23"/>
          <w:szCs w:val="23"/>
          <w:lang w:eastAsia="en-GB"/>
        </w:rPr>
        <w:t xml:space="preserve"> </w:t>
      </w:r>
      <w:r w:rsidRPr="00551F33">
        <w:rPr>
          <w:position w:val="-10"/>
        </w:rPr>
        <w:object w:dxaOrig="300" w:dyaOrig="340" w14:anchorId="0C196ACC">
          <v:shape id="_x0000_i7946" type="#_x0000_t75" style="width:14.5pt;height:16.95pt" o:ole="">
            <v:imagedata r:id="rId13967" o:title=""/>
          </v:shape>
          <o:OLEObject Type="Embed" ProgID="Equation.DSMT4" ShapeID="_x0000_i7946" DrawAspect="Content" ObjectID="_1791381889" r:id="rId13968"/>
        </w:object>
      </w:r>
      <w:r w:rsidRPr="00551F33">
        <w:rPr>
          <w:rFonts w:hint="cs"/>
          <w:i/>
          <w:sz w:val="23"/>
          <w:szCs w:val="23"/>
          <w:rtl/>
          <w:lang w:eastAsia="en-GB"/>
        </w:rPr>
        <w:t>و استقراض خارج از بانک مرکزی با نرخ بدون ریسک</w:t>
      </w:r>
      <w:r w:rsidRPr="00551F33">
        <w:rPr>
          <w:position w:val="-10"/>
        </w:rPr>
        <w:object w:dxaOrig="380" w:dyaOrig="340" w14:anchorId="4622C75C">
          <v:shape id="_x0000_i7947" type="#_x0000_t75" style="width:18.75pt;height:16.95pt" o:ole="">
            <v:imagedata r:id="rId13969" o:title=""/>
          </v:shape>
          <o:OLEObject Type="Embed" ProgID="Equation.DSMT4" ShapeID="_x0000_i7947" DrawAspect="Content" ObjectID="_1791381890" r:id="rId13970"/>
        </w:object>
      </w:r>
      <w:r w:rsidRPr="00551F33">
        <w:rPr>
          <w:rFonts w:hint="cs"/>
          <w:i/>
          <w:sz w:val="23"/>
          <w:szCs w:val="23"/>
          <w:rtl/>
          <w:lang w:eastAsia="en-GB"/>
        </w:rPr>
        <w:t xml:space="preserve"> است.</w:t>
      </w:r>
      <w:r w:rsidRPr="00551F33">
        <w:rPr>
          <w:position w:val="-10"/>
        </w:rPr>
        <w:object w:dxaOrig="300" w:dyaOrig="320" w14:anchorId="3F46F78D">
          <v:shape id="_x0000_i7948" type="#_x0000_t75" style="width:14.5pt;height:15.75pt" o:ole="">
            <v:imagedata r:id="rId13971" o:title=""/>
          </v:shape>
          <o:OLEObject Type="Embed" ProgID="Equation.DSMT4" ShapeID="_x0000_i7948" DrawAspect="Content" ObjectID="_1791381891" r:id="rId13972"/>
        </w:object>
      </w:r>
      <w:r w:rsidRPr="00551F33">
        <w:rPr>
          <w:rFonts w:hint="cs"/>
          <w:i/>
          <w:sz w:val="23"/>
          <w:szCs w:val="23"/>
          <w:rtl/>
          <w:lang w:eastAsia="en-GB"/>
        </w:rPr>
        <w:t xml:space="preserve"> نشان</w:t>
      </w:r>
      <w:r w:rsidRPr="00551F33">
        <w:rPr>
          <w:rFonts w:hint="cs"/>
          <w:i/>
          <w:sz w:val="23"/>
          <w:szCs w:val="23"/>
          <w:rtl/>
          <w:lang w:eastAsia="en-GB"/>
        </w:rPr>
        <w:softHyphen/>
        <w:t>دهنده</w:t>
      </w:r>
      <w:r w:rsidRPr="00551F33">
        <w:rPr>
          <w:rFonts w:hint="cs"/>
          <w:i/>
          <w:sz w:val="23"/>
          <w:szCs w:val="23"/>
          <w:rtl/>
          <w:lang w:eastAsia="en-GB"/>
        </w:rPr>
        <w:softHyphen/>
        <w:t>ی ذخائر بدون بهره است که در بانک مرکزی نگهداری می‌شود. بنابراین بانک‌ها سود خود را فقط از وام</w:t>
      </w:r>
      <w:r w:rsidRPr="00551F33">
        <w:rPr>
          <w:rFonts w:hint="cs"/>
          <w:i/>
          <w:sz w:val="23"/>
          <w:szCs w:val="23"/>
          <w:rtl/>
          <w:lang w:eastAsia="en-GB"/>
        </w:rPr>
        <w:softHyphen/>
        <w:t>دهی به بخش خصوصی غیربانکی به دست می</w:t>
      </w:r>
      <w:r w:rsidRPr="00551F33">
        <w:rPr>
          <w:i/>
          <w:sz w:val="23"/>
          <w:szCs w:val="23"/>
          <w:lang w:eastAsia="en-GB"/>
        </w:rPr>
        <w:t>‌</w:t>
      </w:r>
      <w:r w:rsidRPr="00551F33">
        <w:rPr>
          <w:rFonts w:hint="cs"/>
          <w:i/>
          <w:sz w:val="23"/>
          <w:szCs w:val="23"/>
          <w:rtl/>
          <w:lang w:eastAsia="en-GB"/>
        </w:rPr>
        <w:t>آورند که می</w:t>
      </w:r>
      <w:r w:rsidRPr="00551F33">
        <w:rPr>
          <w:i/>
          <w:sz w:val="23"/>
          <w:szCs w:val="23"/>
          <w:lang w:eastAsia="en-GB"/>
        </w:rPr>
        <w:t>‌</w:t>
      </w:r>
      <w:r w:rsidRPr="00551F33">
        <w:rPr>
          <w:rFonts w:hint="cs"/>
          <w:i/>
          <w:sz w:val="23"/>
          <w:szCs w:val="23"/>
          <w:rtl/>
          <w:lang w:eastAsia="en-GB"/>
        </w:rPr>
        <w:t xml:space="preserve">تواند با استقراض از بخش خصوصی غیربانکی اهرم شود. در عمل، بانک‌ها ممکن است از خارج از کشور نیز قرض کنند. اگر شرط برابری بهره بدون پوشش </w:t>
      </w:r>
      <w:r w:rsidRPr="00551F33">
        <w:rPr>
          <w:i/>
          <w:sz w:val="23"/>
          <w:szCs w:val="23"/>
          <w:lang w:eastAsia="en-GB"/>
        </w:rPr>
        <w:t>UIP</w:t>
      </w:r>
      <w:r w:rsidRPr="00551F33">
        <w:rPr>
          <w:rFonts w:hint="cs"/>
          <w:i/>
          <w:sz w:val="23"/>
          <w:szCs w:val="23"/>
          <w:rtl/>
          <w:lang w:eastAsia="en-GB"/>
        </w:rPr>
        <w:t xml:space="preserve"> صدق کند، آنگاه تعریف</w:t>
      </w:r>
      <w:r w:rsidRPr="00551F33">
        <w:rPr>
          <w:position w:val="-10"/>
        </w:rPr>
        <w:object w:dxaOrig="279" w:dyaOrig="320" w14:anchorId="2093C1FA">
          <v:shape id="_x0000_i7949" type="#_x0000_t75" style="width:13.9pt;height:15.75pt" o:ole="">
            <v:imagedata r:id="rId13973" o:title=""/>
          </v:shape>
          <o:OLEObject Type="Embed" ProgID="Equation.DSMT4" ShapeID="_x0000_i7949" DrawAspect="Content" ObjectID="_1791381892" r:id="rId13974"/>
        </w:object>
      </w:r>
      <w:r w:rsidRPr="00551F33">
        <w:rPr>
          <w:rFonts w:hint="cs"/>
          <w:i/>
          <w:sz w:val="23"/>
          <w:szCs w:val="23"/>
          <w:rtl/>
          <w:lang w:eastAsia="en-GB"/>
        </w:rPr>
        <w:t xml:space="preserve"> را می‌توان اصلاح کرد تا استقراض خارجی را بدون تفسیر دیگری در برگیرد. نرخ پایین</w:t>
      </w:r>
      <w:r w:rsidRPr="00551F33">
        <w:rPr>
          <w:rFonts w:hint="cs"/>
          <w:i/>
          <w:sz w:val="23"/>
          <w:szCs w:val="23"/>
          <w:rtl/>
          <w:lang w:eastAsia="en-GB"/>
        </w:rPr>
        <w:softHyphen/>
        <w:t>تر استقراض بانک در قیاس با نرخ وام و قرض دادن سپرده منشاء سودهای بانکی است. وام</w:t>
      </w:r>
      <w:r w:rsidRPr="00551F33">
        <w:rPr>
          <w:rFonts w:hint="cs"/>
          <w:i/>
          <w:sz w:val="23"/>
          <w:szCs w:val="23"/>
          <w:rtl/>
          <w:lang w:eastAsia="en-GB"/>
        </w:rPr>
        <w:softHyphen/>
        <w:t>دهی همزمان به بانک‌ها یا استقراض از آن‌ها توسط بخش خصوصی غیربانکی را می‌توان با این فرض که خانوار- بنگاه یک پرتفو متنوع از دارایی‌های ریسکی و بدون ریسک نگهداری می‌کنند، یا با توجه به این نکته که قرض گیرنده‌ی اصلی بنگاه خواهد بود که بازدهی حقیقی، اگرچه ریسکی، روی سرمایه خود داشته باشد را توضیح داد. تراز</w:t>
      </w:r>
      <w:r w:rsidRPr="00551F33">
        <w:rPr>
          <w:rFonts w:hint="cs"/>
          <w:i/>
          <w:sz w:val="23"/>
          <w:szCs w:val="23"/>
          <w:rtl/>
          <w:lang w:eastAsia="en-GB"/>
        </w:rPr>
        <w:softHyphen/>
        <w:t>نامه بانک که پول و اعتبار را ترکیب می</w:t>
      </w:r>
      <w:r w:rsidRPr="00551F33">
        <w:rPr>
          <w:i/>
          <w:sz w:val="23"/>
          <w:szCs w:val="23"/>
          <w:lang w:eastAsia="en-GB"/>
        </w:rPr>
        <w:t>‌</w:t>
      </w:r>
      <w:r w:rsidRPr="00551F33">
        <w:rPr>
          <w:rFonts w:hint="cs"/>
          <w:i/>
          <w:sz w:val="23"/>
          <w:szCs w:val="23"/>
          <w:rtl/>
          <w:lang w:eastAsia="en-GB"/>
        </w:rPr>
        <w:t>کند عبارت است از</w:t>
      </w:r>
    </w:p>
    <w:p w14:paraId="47F7BDEC" w14:textId="77777777" w:rsidR="00556C10" w:rsidRPr="00551F33" w:rsidRDefault="00556C10" w:rsidP="00556C10">
      <w:pPr>
        <w:bidi w:val="0"/>
        <w:spacing w:line="216" w:lineRule="auto"/>
        <w:rPr>
          <w:i/>
          <w:sz w:val="23"/>
          <w:szCs w:val="23"/>
          <w:lang w:eastAsia="en-GB"/>
        </w:rPr>
      </w:pPr>
      <w:r w:rsidRPr="00551F33">
        <w:rPr>
          <w:position w:val="-10"/>
        </w:rPr>
        <w:object w:dxaOrig="1579" w:dyaOrig="320" w14:anchorId="5F8560EC">
          <v:shape id="_x0000_i7950" type="#_x0000_t75" style="width:79.25pt;height:15.75pt" o:ole="">
            <v:imagedata r:id="rId13975" o:title=""/>
          </v:shape>
          <o:OLEObject Type="Embed" ProgID="Equation.DSMT4" ShapeID="_x0000_i7950" DrawAspect="Content" ObjectID="_1791381893" r:id="rId13976"/>
        </w:object>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Pr>
          <w:i/>
          <w:sz w:val="23"/>
          <w:szCs w:val="23"/>
          <w:rtl/>
          <w:lang w:eastAsia="en-GB"/>
        </w:rPr>
        <w:tab/>
      </w:r>
      <w:r w:rsidRPr="00551F33">
        <w:rPr>
          <w:i/>
          <w:sz w:val="23"/>
          <w:szCs w:val="23"/>
          <w:rtl/>
          <w:lang w:eastAsia="en-GB"/>
        </w:rPr>
        <w:tab/>
      </w:r>
      <w:r>
        <w:rPr>
          <w:i/>
          <w:sz w:val="23"/>
          <w:szCs w:val="23"/>
          <w:rtl/>
          <w:lang w:eastAsia="en-GB"/>
        </w:rPr>
        <w:tab/>
      </w:r>
      <w:r w:rsidRPr="00551F33">
        <w:rPr>
          <w:i/>
          <w:sz w:val="23"/>
          <w:szCs w:val="23"/>
          <w:rtl/>
          <w:lang w:eastAsia="en-GB"/>
        </w:rPr>
        <w:tab/>
      </w:r>
      <w:r w:rsidRPr="00551F33">
        <w:rPr>
          <w:rFonts w:hint="cs"/>
          <w:i/>
          <w:sz w:val="23"/>
          <w:szCs w:val="23"/>
          <w:rtl/>
          <w:lang w:eastAsia="en-GB"/>
        </w:rPr>
        <w:tab/>
        <w:t>(۱۵. ۳۳)</w:t>
      </w:r>
      <w:r w:rsidRPr="00551F33">
        <w:rPr>
          <w:i/>
          <w:sz w:val="23"/>
          <w:szCs w:val="23"/>
          <w:lang w:eastAsia="en-GB"/>
        </w:rPr>
        <w:t xml:space="preserve"> </w:t>
      </w:r>
    </w:p>
    <w:p w14:paraId="063DECF1" w14:textId="77777777" w:rsidR="00556C10" w:rsidRPr="00551F33" w:rsidRDefault="00556C10" w:rsidP="00556C10">
      <w:pPr>
        <w:spacing w:line="216" w:lineRule="auto"/>
        <w:rPr>
          <w:i/>
          <w:sz w:val="23"/>
          <w:szCs w:val="23"/>
          <w:rtl/>
          <w:lang w:eastAsia="en-GB" w:bidi="ar-SA"/>
        </w:rPr>
      </w:pPr>
      <w:r w:rsidRPr="00551F33">
        <w:rPr>
          <w:rFonts w:hint="cs"/>
          <w:i/>
          <w:sz w:val="23"/>
          <w:szCs w:val="23"/>
          <w:rtl/>
          <w:lang w:eastAsia="en-GB"/>
        </w:rPr>
        <w:t>که در آن کل عرضه‌ی پول</w:t>
      </w:r>
      <w:r w:rsidRPr="00551F33">
        <w:rPr>
          <w:position w:val="-10"/>
        </w:rPr>
        <w:object w:dxaOrig="279" w:dyaOrig="320" w14:anchorId="1AE4140E">
          <v:shape id="_x0000_i7951" type="#_x0000_t75" style="width:13.9pt;height:15.75pt" o:ole="">
            <v:imagedata r:id="rId13977" o:title=""/>
          </v:shape>
          <o:OLEObject Type="Embed" ProgID="Equation.DSMT4" ShapeID="_x0000_i7951" DrawAspect="Content" ObjectID="_1791381894" r:id="rId13978"/>
        </w:object>
      </w:r>
      <w:r w:rsidRPr="00551F33">
        <w:rPr>
          <w:rFonts w:hint="cs"/>
          <w:i/>
          <w:sz w:val="23"/>
          <w:szCs w:val="23"/>
          <w:rtl/>
          <w:lang w:eastAsia="en-GB"/>
        </w:rPr>
        <w:t>، پول پرقدرت</w:t>
      </w:r>
      <w:r w:rsidRPr="00551F33">
        <w:rPr>
          <w:position w:val="-10"/>
        </w:rPr>
        <w:object w:dxaOrig="300" w:dyaOrig="320" w14:anchorId="3AE21A27">
          <v:shape id="_x0000_i7952" type="#_x0000_t75" style="width:14.5pt;height:15.75pt" o:ole="">
            <v:imagedata r:id="rId13979" o:title=""/>
          </v:shape>
          <o:OLEObject Type="Embed" ProgID="Equation.DSMT4" ShapeID="_x0000_i7952" DrawAspect="Content" ObjectID="_1791381895" r:id="rId13980"/>
        </w:object>
      </w:r>
      <w:r w:rsidRPr="00551F33">
        <w:rPr>
          <w:rFonts w:hint="cs"/>
          <w:i/>
          <w:sz w:val="23"/>
          <w:szCs w:val="23"/>
          <w:rtl/>
          <w:lang w:eastAsia="en-GB"/>
        </w:rPr>
        <w:t>، و</w:t>
      </w:r>
      <w:r w:rsidRPr="00551F33">
        <w:rPr>
          <w:position w:val="-10"/>
        </w:rPr>
        <w:object w:dxaOrig="680" w:dyaOrig="320" w14:anchorId="0F12256F">
          <v:shape id="_x0000_i7953" type="#_x0000_t75" style="width:33.9pt;height:15.75pt" o:ole="">
            <v:imagedata r:id="rId13981" o:title=""/>
          </v:shape>
          <o:OLEObject Type="Embed" ProgID="Equation.DSMT4" ShapeID="_x0000_i7953" DrawAspect="Content" ObjectID="_1791381896" r:id="rId13982"/>
        </w:object>
      </w:r>
      <w:r w:rsidRPr="00551F33">
        <w:rPr>
          <w:rFonts w:hint="cs"/>
          <w:i/>
          <w:sz w:val="23"/>
          <w:szCs w:val="23"/>
          <w:rtl/>
          <w:lang w:eastAsia="en-GB"/>
        </w:rPr>
        <w:t xml:space="preserve"> اعتبار خالص است که بانک‌ها ارائه می‌دهند</w:t>
      </w:r>
      <w:r w:rsidRPr="00551F33">
        <w:rPr>
          <w:i/>
          <w:sz w:val="23"/>
          <w:szCs w:val="23"/>
          <w:lang w:eastAsia="en-GB"/>
        </w:rPr>
        <w:t>.</w:t>
      </w:r>
    </w:p>
    <w:p w14:paraId="10B783BD"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lastRenderedPageBreak/>
        <w:t>فرض می‌شود بانک</w:t>
      </w:r>
      <w:r w:rsidRPr="00551F33">
        <w:rPr>
          <w:i/>
          <w:sz w:val="23"/>
          <w:szCs w:val="23"/>
          <w:lang w:eastAsia="en-GB"/>
        </w:rPr>
        <w:t>‌</w:t>
      </w:r>
      <w:r w:rsidRPr="00551F33">
        <w:rPr>
          <w:rFonts w:hint="cs"/>
          <w:i/>
          <w:sz w:val="23"/>
          <w:szCs w:val="23"/>
          <w:rtl/>
          <w:lang w:eastAsia="en-GB"/>
        </w:rPr>
        <w:t>ها سپرده</w:t>
      </w:r>
      <w:r w:rsidRPr="00551F33">
        <w:rPr>
          <w:i/>
          <w:sz w:val="23"/>
          <w:szCs w:val="23"/>
          <w:lang w:eastAsia="en-GB"/>
        </w:rPr>
        <w:t>‌</w:t>
      </w:r>
      <w:r w:rsidRPr="00551F33">
        <w:rPr>
          <w:rFonts w:hint="cs"/>
          <w:i/>
          <w:sz w:val="23"/>
          <w:szCs w:val="23"/>
          <w:rtl/>
          <w:lang w:eastAsia="en-GB"/>
        </w:rPr>
        <w:t>های</w:t>
      </w:r>
      <w:r w:rsidRPr="00551F33">
        <w:rPr>
          <w:position w:val="-10"/>
        </w:rPr>
        <w:object w:dxaOrig="279" w:dyaOrig="320" w14:anchorId="4632CFF1">
          <v:shape id="_x0000_i7954" type="#_x0000_t75" style="width:13.9pt;height:15.75pt" o:ole="">
            <v:imagedata r:id="rId13983" o:title=""/>
          </v:shape>
          <o:OLEObject Type="Embed" ProgID="Equation.DSMT4" ShapeID="_x0000_i7954" DrawAspect="Content" ObjectID="_1791381897" r:id="rId13984"/>
        </w:object>
      </w:r>
      <w:r w:rsidRPr="00551F33">
        <w:rPr>
          <w:rFonts w:hint="cs"/>
          <w:i/>
          <w:sz w:val="23"/>
          <w:szCs w:val="23"/>
          <w:rtl/>
          <w:lang w:eastAsia="en-GB"/>
        </w:rPr>
        <w:t xml:space="preserve"> را دریافت و ذخیره‌ی قانونی</w:t>
      </w:r>
      <w:r w:rsidRPr="00551F33">
        <w:rPr>
          <w:position w:val="-10"/>
        </w:rPr>
        <w:object w:dxaOrig="300" w:dyaOrig="320" w14:anchorId="2660285E">
          <v:shape id="_x0000_i7955" type="#_x0000_t75" style="width:14.5pt;height:15.75pt" o:ole="">
            <v:imagedata r:id="rId13985" o:title=""/>
          </v:shape>
          <o:OLEObject Type="Embed" ProgID="Equation.DSMT4" ShapeID="_x0000_i7955" DrawAspect="Content" ObjectID="_1791381898" r:id="rId13986"/>
        </w:object>
      </w:r>
      <w:r w:rsidRPr="00551F33">
        <w:rPr>
          <w:i/>
          <w:sz w:val="23"/>
          <w:szCs w:val="23"/>
          <w:lang w:eastAsia="en-GB"/>
        </w:rPr>
        <w:t xml:space="preserve"> </w:t>
      </w:r>
      <w:r w:rsidRPr="00551F33">
        <w:rPr>
          <w:rFonts w:hint="cs"/>
          <w:i/>
          <w:sz w:val="23"/>
          <w:szCs w:val="23"/>
          <w:rtl/>
          <w:lang w:eastAsia="en-GB"/>
        </w:rPr>
        <w:t>داده شده است و</w:t>
      </w:r>
      <w:r w:rsidRPr="00551F33">
        <w:rPr>
          <w:position w:val="-10"/>
        </w:rPr>
        <w:object w:dxaOrig="400" w:dyaOrig="320" w14:anchorId="51F9737E">
          <v:shape id="_x0000_i7956" type="#_x0000_t75" style="width:19.95pt;height:15.75pt" o:ole="">
            <v:imagedata r:id="rId13987" o:title=""/>
          </v:shape>
          <o:OLEObject Type="Embed" ProgID="Equation.DSMT4" ShapeID="_x0000_i7956" DrawAspect="Content" ObjectID="_1791381899" r:id="rId13988"/>
        </w:object>
      </w:r>
      <w:r w:rsidRPr="00551F33">
        <w:rPr>
          <w:rFonts w:hint="cs"/>
          <w:i/>
          <w:sz w:val="23"/>
          <w:szCs w:val="23"/>
          <w:rtl/>
          <w:lang w:eastAsia="en-GB"/>
        </w:rPr>
        <w:t xml:space="preserve"> و</w:t>
      </w:r>
      <w:r w:rsidRPr="00551F33">
        <w:rPr>
          <w:position w:val="-10"/>
        </w:rPr>
        <w:object w:dxaOrig="400" w:dyaOrig="320" w14:anchorId="69D07E57">
          <v:shape id="_x0000_i7957" type="#_x0000_t75" style="width:19.95pt;height:15.75pt" o:ole="">
            <v:imagedata r:id="rId13989" o:title=""/>
          </v:shape>
          <o:OLEObject Type="Embed" ProgID="Equation.DSMT4" ShapeID="_x0000_i7957" DrawAspect="Content" ObjectID="_1791381900" r:id="rId13990"/>
        </w:object>
      </w:r>
      <w:r w:rsidRPr="00551F33">
        <w:rPr>
          <w:rFonts w:hint="cs"/>
          <w:i/>
          <w:sz w:val="23"/>
          <w:szCs w:val="23"/>
          <w:rtl/>
          <w:lang w:eastAsia="en-GB"/>
        </w:rPr>
        <w:t xml:space="preserve"> را برای هر</w:t>
      </w:r>
      <w:r w:rsidRPr="00551F33">
        <w:rPr>
          <w:position w:val="-6"/>
        </w:rPr>
        <w:object w:dxaOrig="499" w:dyaOrig="260" w14:anchorId="7E8BBA13">
          <v:shape id="_x0000_i7958" type="#_x0000_t75" style="width:24.8pt;height:13.3pt" o:ole="">
            <v:imagedata r:id="rId13991" o:title=""/>
          </v:shape>
          <o:OLEObject Type="Embed" ProgID="Equation.DSMT4" ShapeID="_x0000_i7958" DrawAspect="Content" ObjectID="_1791381901" r:id="rId13992"/>
        </w:object>
      </w:r>
      <w:r w:rsidRPr="00551F33">
        <w:rPr>
          <w:rFonts w:hint="cs"/>
          <w:i/>
          <w:sz w:val="23"/>
          <w:szCs w:val="23"/>
          <w:rtl/>
          <w:lang w:eastAsia="en-GB"/>
        </w:rPr>
        <w:t xml:space="preserve"> انتخاب می‌کنند تا رابطه</w:t>
      </w:r>
      <w:r w:rsidRPr="00551F33">
        <w:rPr>
          <w:i/>
          <w:sz w:val="23"/>
          <w:szCs w:val="23"/>
          <w:rtl/>
          <w:lang w:eastAsia="en-GB"/>
        </w:rPr>
        <w:softHyphen/>
      </w:r>
      <w:r w:rsidRPr="00551F33">
        <w:rPr>
          <w:rFonts w:hint="cs"/>
          <w:i/>
          <w:sz w:val="23"/>
          <w:szCs w:val="23"/>
          <w:rtl/>
          <w:lang w:eastAsia="en-GB"/>
        </w:rPr>
        <w:t>ی زیر حداکثر شود</w:t>
      </w:r>
    </w:p>
    <w:p w14:paraId="6B45A740" w14:textId="77777777" w:rsidR="00556C10" w:rsidRPr="00551F33" w:rsidRDefault="00556C10" w:rsidP="00556C10">
      <w:pPr>
        <w:bidi w:val="0"/>
        <w:spacing w:line="216" w:lineRule="auto"/>
        <w:rPr>
          <w:i/>
          <w:sz w:val="23"/>
          <w:szCs w:val="23"/>
          <w:lang w:eastAsia="en-GB"/>
        </w:rPr>
      </w:pPr>
      <w:r w:rsidRPr="00551F33">
        <w:rPr>
          <w:position w:val="-26"/>
        </w:rPr>
        <w:object w:dxaOrig="2580" w:dyaOrig="660" w14:anchorId="516E6F60">
          <v:shape id="_x0000_i7959" type="#_x0000_t75" style="width:129.5pt;height:32.65pt" o:ole="">
            <v:imagedata r:id="rId13993" o:title=""/>
          </v:shape>
          <o:OLEObject Type="Embed" ProgID="Equation.DSMT4" ShapeID="_x0000_i7959" DrawAspect="Content" ObjectID="_1791381902" r:id="rId13994"/>
        </w:object>
      </w:r>
      <w:r w:rsidRPr="00551F33">
        <w:rPr>
          <w:i/>
          <w:sz w:val="23"/>
          <w:szCs w:val="23"/>
          <w:lang w:eastAsia="en-GB"/>
        </w:rPr>
        <w:t xml:space="preserve"> </w:t>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Pr>
          <w:i/>
          <w:sz w:val="23"/>
          <w:szCs w:val="23"/>
          <w:rtl/>
          <w:lang w:eastAsia="en-GB"/>
        </w:rPr>
        <w:tab/>
      </w:r>
      <w:r>
        <w:rPr>
          <w:i/>
          <w:sz w:val="23"/>
          <w:szCs w:val="23"/>
          <w:rtl/>
          <w:lang w:eastAsia="en-GB"/>
        </w:rPr>
        <w:tab/>
      </w:r>
      <w:r w:rsidRPr="00551F33">
        <w:rPr>
          <w:rFonts w:hint="cs"/>
          <w:i/>
          <w:sz w:val="23"/>
          <w:szCs w:val="23"/>
          <w:rtl/>
          <w:lang w:eastAsia="en-GB"/>
        </w:rPr>
        <w:tab/>
        <w:t>(۱۵. ۳۴)</w:t>
      </w:r>
      <w:r w:rsidRPr="00551F33">
        <w:rPr>
          <w:i/>
          <w:sz w:val="23"/>
          <w:szCs w:val="23"/>
          <w:lang w:eastAsia="en-GB"/>
        </w:rPr>
        <w:t xml:space="preserve"> </w:t>
      </w:r>
    </w:p>
    <w:p w14:paraId="6A2E27ED" w14:textId="77777777" w:rsidR="00556C10" w:rsidRPr="00551F33" w:rsidRDefault="00556C10" w:rsidP="00556C10">
      <w:pPr>
        <w:spacing w:line="216" w:lineRule="auto"/>
        <w:rPr>
          <w:i/>
          <w:sz w:val="23"/>
          <w:szCs w:val="23"/>
          <w:rtl/>
          <w:lang w:eastAsia="en-GB" w:bidi="ar-SA"/>
        </w:rPr>
      </w:pPr>
      <w:r w:rsidRPr="00551F33">
        <w:rPr>
          <w:rFonts w:hint="cs"/>
          <w:i/>
          <w:sz w:val="23"/>
          <w:szCs w:val="23"/>
          <w:rtl/>
          <w:lang w:eastAsia="en-GB"/>
        </w:rPr>
        <w:t>که در آن</w:t>
      </w:r>
      <w:r w:rsidRPr="00551F33">
        <w:rPr>
          <w:position w:val="-12"/>
        </w:rPr>
        <w:object w:dxaOrig="620" w:dyaOrig="360" w14:anchorId="14B3951D">
          <v:shape id="_x0000_i7960" type="#_x0000_t75" style="width:31.45pt;height:18.15pt" o:ole="">
            <v:imagedata r:id="rId13995" o:title=""/>
          </v:shape>
          <o:OLEObject Type="Embed" ProgID="Equation.DSMT4" ShapeID="_x0000_i7960" DrawAspect="Content" ObjectID="_1791381903" r:id="rId13996"/>
        </w:object>
      </w:r>
      <w:r w:rsidRPr="00551F33">
        <w:rPr>
          <w:rFonts w:hint="cs"/>
          <w:i/>
          <w:sz w:val="23"/>
          <w:szCs w:val="23"/>
          <w:rtl/>
          <w:lang w:eastAsia="en-GB"/>
        </w:rPr>
        <w:t xml:space="preserve"> مطلوبیت بانک از کسب سود،</w:t>
      </w:r>
      <w:r w:rsidRPr="00551F33">
        <w:rPr>
          <w:position w:val="-12"/>
        </w:rPr>
        <w:object w:dxaOrig="400" w:dyaOrig="340" w14:anchorId="486C27D7">
          <v:shape id="_x0000_i7961" type="#_x0000_t75" style="width:19.95pt;height:16.95pt" o:ole="">
            <v:imagedata r:id="rId13997" o:title=""/>
          </v:shape>
          <o:OLEObject Type="Embed" ProgID="Equation.DSMT4" ShapeID="_x0000_i7961" DrawAspect="Content" ObjectID="_1791381904" r:id="rId13998"/>
        </w:object>
      </w:r>
      <w:r w:rsidRPr="00551F33">
        <w:rPr>
          <w:rFonts w:hint="cs"/>
          <w:i/>
          <w:sz w:val="23"/>
          <w:szCs w:val="23"/>
          <w:rtl/>
          <w:lang w:eastAsia="en-GB"/>
        </w:rPr>
        <w:t xml:space="preserve"> نرخ آتی در زمان</w:t>
      </w:r>
      <w:r w:rsidRPr="00551F33">
        <w:rPr>
          <w:i/>
          <w:sz w:val="23"/>
          <w:szCs w:val="23"/>
          <w:lang w:eastAsia="en-GB"/>
        </w:rPr>
        <w:t xml:space="preserve">t </w:t>
      </w:r>
      <w:r w:rsidRPr="00551F33">
        <w:rPr>
          <w:rFonts w:hint="cs"/>
          <w:i/>
          <w:sz w:val="23"/>
          <w:szCs w:val="23"/>
          <w:rtl/>
          <w:lang w:eastAsia="en-GB"/>
        </w:rPr>
        <w:t xml:space="preserve"> برای</w:t>
      </w:r>
      <w:r w:rsidRPr="00551F33">
        <w:rPr>
          <w:position w:val="-10"/>
        </w:rPr>
        <w:object w:dxaOrig="400" w:dyaOrig="340" w14:anchorId="784146AF">
          <v:shape id="_x0000_i7962" type="#_x0000_t75" style="width:19.95pt;height:16.95pt" o:ole="">
            <v:imagedata r:id="rId13999" o:title=""/>
          </v:shape>
          <o:OLEObject Type="Embed" ProgID="Equation.DSMT4" ShapeID="_x0000_i7962" DrawAspect="Content" ObjectID="_1791381905" r:id="rId14000"/>
        </w:object>
      </w:r>
      <w:r w:rsidRPr="00551F33">
        <w:rPr>
          <w:rFonts w:hint="cs"/>
          <w:i/>
          <w:sz w:val="23"/>
          <w:szCs w:val="23"/>
          <w:rtl/>
          <w:lang w:eastAsia="en-GB"/>
        </w:rPr>
        <w:t xml:space="preserve"> است در زمان</w:t>
      </w:r>
      <w:r w:rsidRPr="00551F33">
        <w:rPr>
          <w:i/>
          <w:sz w:val="23"/>
          <w:szCs w:val="23"/>
          <w:lang w:eastAsia="en-GB"/>
        </w:rPr>
        <w:t xml:space="preserve">t </w:t>
      </w:r>
      <w:r w:rsidRPr="00551F33">
        <w:rPr>
          <w:rFonts w:hint="cs"/>
          <w:i/>
          <w:sz w:val="23"/>
          <w:szCs w:val="23"/>
          <w:rtl/>
          <w:lang w:eastAsia="en-GB"/>
        </w:rPr>
        <w:t xml:space="preserve"> نرخ‌های آتی شناخته شده و همان</w:t>
      </w:r>
      <w:r w:rsidRPr="00551F33">
        <w:rPr>
          <w:rFonts w:hint="cs"/>
          <w:i/>
          <w:sz w:val="23"/>
          <w:szCs w:val="23"/>
          <w:rtl/>
          <w:lang w:eastAsia="en-GB"/>
        </w:rPr>
        <w:softHyphen/>
        <w:t xml:space="preserve">طور که در فصل دوازدهم نشان داده شد برای هر </w:t>
      </w:r>
      <w:r w:rsidRPr="00551F33">
        <w:rPr>
          <w:position w:val="-6"/>
        </w:rPr>
        <w:object w:dxaOrig="499" w:dyaOrig="260" w14:anchorId="7B4190C5">
          <v:shape id="_x0000_i7963" type="#_x0000_t75" style="width:24.8pt;height:13.3pt" o:ole="">
            <v:imagedata r:id="rId14001" o:title=""/>
          </v:shape>
          <o:OLEObject Type="Embed" ProgID="Equation.DSMT4" ShapeID="_x0000_i7963" DrawAspect="Content" ObjectID="_1791381906" r:id="rId14002"/>
        </w:object>
      </w:r>
      <w:r w:rsidRPr="00551F33">
        <w:rPr>
          <w:rFonts w:hint="cs"/>
          <w:i/>
          <w:sz w:val="23"/>
          <w:szCs w:val="23"/>
          <w:rtl/>
          <w:lang w:eastAsia="en-GB"/>
        </w:rPr>
        <w:t xml:space="preserve"> </w:t>
      </w:r>
      <w:r w:rsidRPr="00551F33">
        <w:rPr>
          <w:position w:val="-12"/>
        </w:rPr>
        <w:object w:dxaOrig="1180" w:dyaOrig="360" w14:anchorId="1D5BD6AC">
          <v:shape id="_x0000_i7964" type="#_x0000_t75" style="width:58.7pt;height:18.15pt" o:ole="">
            <v:imagedata r:id="rId14003" o:title=""/>
          </v:shape>
          <o:OLEObject Type="Embed" ProgID="Equation.DSMT4" ShapeID="_x0000_i7964" DrawAspect="Content" ObjectID="_1791381907" r:id="rId14004"/>
        </w:object>
      </w:r>
      <w:r w:rsidRPr="00551F33">
        <w:rPr>
          <w:rFonts w:hint="cs"/>
          <w:i/>
          <w:sz w:val="23"/>
          <w:szCs w:val="23"/>
          <w:rtl/>
          <w:lang w:eastAsia="en-GB"/>
        </w:rPr>
        <w:t xml:space="preserve"> صدق می‌کند. معرفی تابع مطلوبیت بانک برای سود به بانک</w:t>
      </w:r>
      <w:r w:rsidRPr="00551F33">
        <w:rPr>
          <w:i/>
          <w:sz w:val="23"/>
          <w:szCs w:val="23"/>
          <w:lang w:eastAsia="en-GB"/>
        </w:rPr>
        <w:t>‌</w:t>
      </w:r>
      <w:r w:rsidRPr="00551F33">
        <w:rPr>
          <w:rFonts w:hint="cs"/>
          <w:i/>
          <w:sz w:val="23"/>
          <w:szCs w:val="23"/>
          <w:rtl/>
          <w:lang w:eastAsia="en-GB"/>
        </w:rPr>
        <w:t>ها اجازه می</w:t>
      </w:r>
      <w:r w:rsidRPr="00551F33">
        <w:rPr>
          <w:i/>
          <w:sz w:val="23"/>
          <w:szCs w:val="23"/>
          <w:lang w:eastAsia="en-GB"/>
        </w:rPr>
        <w:t>‌</w:t>
      </w:r>
      <w:r w:rsidRPr="00551F33">
        <w:rPr>
          <w:rFonts w:hint="cs"/>
          <w:i/>
          <w:sz w:val="23"/>
          <w:szCs w:val="23"/>
          <w:rtl/>
          <w:lang w:eastAsia="en-GB"/>
        </w:rPr>
        <w:t>دهد اشتهایی برای ریسک داشته باشند. آن</w:t>
      </w:r>
      <w:r w:rsidRPr="00551F33">
        <w:rPr>
          <w:i/>
          <w:sz w:val="23"/>
          <w:szCs w:val="23"/>
          <w:rtl/>
          <w:lang w:eastAsia="en-GB"/>
        </w:rPr>
        <w:softHyphen/>
      </w:r>
      <w:r w:rsidRPr="00551F33">
        <w:rPr>
          <w:rFonts w:hint="cs"/>
          <w:i/>
          <w:sz w:val="23"/>
          <w:szCs w:val="23"/>
          <w:rtl/>
          <w:lang w:eastAsia="en-GB"/>
        </w:rPr>
        <w:t>ها ممکن است ریسک</w:t>
      </w:r>
      <w:r w:rsidRPr="00551F33">
        <w:rPr>
          <w:rFonts w:hint="cs"/>
          <w:i/>
          <w:sz w:val="23"/>
          <w:szCs w:val="23"/>
          <w:rtl/>
          <w:lang w:eastAsia="en-GB"/>
        </w:rPr>
        <w:softHyphen/>
        <w:t>گریز یا ریسک</w:t>
      </w:r>
      <w:r w:rsidRPr="00551F33">
        <w:rPr>
          <w:rFonts w:hint="cs"/>
          <w:i/>
          <w:sz w:val="23"/>
          <w:szCs w:val="23"/>
          <w:rtl/>
          <w:lang w:eastAsia="en-GB"/>
        </w:rPr>
        <w:softHyphen/>
        <w:t>پذیر باشند و نه فقط ریسک خنثی وقتی</w:t>
      </w:r>
      <w:r w:rsidRPr="00551F33">
        <w:rPr>
          <w:rFonts w:hint="cs"/>
          <w:i/>
          <w:sz w:val="23"/>
          <w:szCs w:val="23"/>
          <w:rtl/>
          <w:lang w:eastAsia="en-GB"/>
        </w:rPr>
        <w:softHyphen/>
        <w:t>که</w:t>
      </w:r>
      <w:r w:rsidRPr="00551F33">
        <w:rPr>
          <w:position w:val="-12"/>
        </w:rPr>
        <w:object w:dxaOrig="1140" w:dyaOrig="360" w14:anchorId="674736C2">
          <v:shape id="_x0000_i7965" type="#_x0000_t75" style="width:57.5pt;height:18.15pt" o:ole="">
            <v:imagedata r:id="rId14005" o:title=""/>
          </v:shape>
          <o:OLEObject Type="Embed" ProgID="Equation.DSMT4" ShapeID="_x0000_i7965" DrawAspect="Content" ObjectID="_1791381908" r:id="rId14006"/>
        </w:object>
      </w:r>
      <w:r w:rsidRPr="00551F33">
        <w:rPr>
          <w:rFonts w:hint="cs"/>
          <w:i/>
          <w:sz w:val="23"/>
          <w:szCs w:val="23"/>
          <w:rtl/>
          <w:lang w:eastAsia="en-GB"/>
        </w:rPr>
        <w:t xml:space="preserve">. شرط مرتبه اول برای وام‌های اسمی و استقراض اسمی برای </w:t>
      </w:r>
      <w:r w:rsidRPr="00551F33">
        <w:rPr>
          <w:position w:val="-6"/>
        </w:rPr>
        <w:object w:dxaOrig="499" w:dyaOrig="260" w14:anchorId="320CAC1C">
          <v:shape id="_x0000_i7966" type="#_x0000_t75" style="width:24.8pt;height:13.3pt" o:ole="">
            <v:imagedata r:id="rId14007" o:title=""/>
          </v:shape>
          <o:OLEObject Type="Embed" ProgID="Equation.DSMT4" ShapeID="_x0000_i7966" DrawAspect="Content" ObjectID="_1791381909" r:id="rId14008"/>
        </w:object>
      </w:r>
      <w:r w:rsidRPr="00551F33">
        <w:rPr>
          <w:rFonts w:hint="cs"/>
          <w:i/>
          <w:sz w:val="23"/>
          <w:szCs w:val="23"/>
          <w:rtl/>
          <w:lang w:eastAsia="en-GB"/>
        </w:rPr>
        <w:t xml:space="preserve"> عبارت است از</w:t>
      </w:r>
    </w:p>
    <w:p w14:paraId="07BE9BAC" w14:textId="77777777" w:rsidR="00556C10" w:rsidRPr="00551F33" w:rsidRDefault="00556C10" w:rsidP="00556C10">
      <w:pPr>
        <w:bidi w:val="0"/>
        <w:spacing w:line="216" w:lineRule="auto"/>
        <w:rPr>
          <w:i/>
          <w:sz w:val="23"/>
          <w:szCs w:val="23"/>
          <w:rtl/>
          <w:lang w:eastAsia="en-GB"/>
        </w:rPr>
      </w:pPr>
      <w:r w:rsidRPr="00551F33">
        <w:rPr>
          <w:position w:val="-40"/>
        </w:rPr>
        <w:object w:dxaOrig="4380" w:dyaOrig="900" w14:anchorId="2B337CC6">
          <v:shape id="_x0000_i7967" type="#_x0000_t75" style="width:219.05pt;height:45.4pt" o:ole="">
            <v:imagedata r:id="rId14009" o:title=""/>
          </v:shape>
          <o:OLEObject Type="Embed" ProgID="Equation.DSMT4" ShapeID="_x0000_i7967" DrawAspect="Content" ObjectID="_1791381910" r:id="rId14010"/>
        </w:object>
      </w:r>
      <w:r>
        <w:rPr>
          <w:rtl/>
        </w:rPr>
        <w:tab/>
      </w:r>
      <w:r>
        <w:rPr>
          <w:rtl/>
        </w:rPr>
        <w:tab/>
      </w:r>
      <w:r w:rsidRPr="00551F33">
        <w:rPr>
          <w:i/>
          <w:sz w:val="23"/>
          <w:szCs w:val="23"/>
          <w:rtl/>
        </w:rPr>
        <w:tab/>
      </w:r>
      <w:r w:rsidRPr="00551F33">
        <w:rPr>
          <w:i/>
          <w:sz w:val="23"/>
          <w:szCs w:val="23"/>
          <w:rtl/>
        </w:rPr>
        <w:tab/>
      </w:r>
      <w:r w:rsidRPr="00551F33">
        <w:rPr>
          <w:i/>
          <w:sz w:val="23"/>
          <w:szCs w:val="23"/>
          <w:rtl/>
        </w:rPr>
        <w:tab/>
      </w:r>
      <w:r w:rsidRPr="00551F33">
        <w:rPr>
          <w:rFonts w:hint="cs"/>
          <w:i/>
          <w:sz w:val="23"/>
          <w:szCs w:val="23"/>
          <w:rtl/>
          <w:lang w:eastAsia="en-GB"/>
        </w:rPr>
        <w:tab/>
        <w:t>(۱۵. ۳۵)</w:t>
      </w:r>
      <w:r w:rsidRPr="00551F33">
        <w:rPr>
          <w:i/>
          <w:sz w:val="23"/>
          <w:szCs w:val="23"/>
          <w:lang w:eastAsia="en-GB"/>
        </w:rPr>
        <w:t xml:space="preserve"> </w:t>
      </w:r>
    </w:p>
    <w:p w14:paraId="3666D087" w14:textId="77777777" w:rsidR="00556C10" w:rsidRPr="00551F33" w:rsidRDefault="00556C10" w:rsidP="00556C10">
      <w:pPr>
        <w:bidi w:val="0"/>
        <w:spacing w:line="216" w:lineRule="auto"/>
        <w:rPr>
          <w:i/>
          <w:sz w:val="23"/>
          <w:szCs w:val="23"/>
          <w:lang w:eastAsia="en-GB"/>
        </w:rPr>
      </w:pPr>
      <w:r w:rsidRPr="00551F33">
        <w:rPr>
          <w:position w:val="-40"/>
        </w:rPr>
        <w:object w:dxaOrig="4360" w:dyaOrig="920" w14:anchorId="71468028">
          <v:shape id="_x0000_i7968" type="#_x0000_t75" style="width:217.8pt;height:46pt" o:ole="">
            <v:imagedata r:id="rId14011" o:title=""/>
          </v:shape>
          <o:OLEObject Type="Embed" ProgID="Equation.DSMT4" ShapeID="_x0000_i7968" DrawAspect="Content" ObjectID="_1791381911" r:id="rId14012"/>
        </w:object>
      </w:r>
      <w:r w:rsidRPr="00551F33">
        <w:rPr>
          <w:rFonts w:hint="cs"/>
          <w:i/>
          <w:sz w:val="23"/>
          <w:szCs w:val="23"/>
          <w:rtl/>
          <w:lang w:eastAsia="en-GB"/>
        </w:rPr>
        <w:t xml:space="preserve"> </w:t>
      </w:r>
      <w:r w:rsidRPr="00551F33">
        <w:rPr>
          <w:rFonts w:hint="cs"/>
          <w:i/>
          <w:sz w:val="23"/>
          <w:szCs w:val="23"/>
          <w:rtl/>
          <w:lang w:eastAsia="en-GB"/>
        </w:rPr>
        <w:tab/>
      </w:r>
      <w:r w:rsidRPr="00551F33">
        <w:rPr>
          <w:i/>
          <w:sz w:val="23"/>
          <w:szCs w:val="23"/>
          <w:rtl/>
          <w:lang w:eastAsia="en-GB"/>
        </w:rPr>
        <w:tab/>
      </w:r>
      <w:r>
        <w:rPr>
          <w:i/>
          <w:sz w:val="23"/>
          <w:szCs w:val="23"/>
          <w:rtl/>
          <w:lang w:eastAsia="en-GB"/>
        </w:rPr>
        <w:tab/>
      </w:r>
      <w:r>
        <w:rPr>
          <w:i/>
          <w:sz w:val="23"/>
          <w:szCs w:val="23"/>
          <w:rtl/>
          <w:lang w:eastAsia="en-GB"/>
        </w:rPr>
        <w:tab/>
      </w:r>
      <w:r w:rsidRPr="00551F33">
        <w:rPr>
          <w:rFonts w:hint="cs"/>
          <w:i/>
          <w:sz w:val="23"/>
          <w:szCs w:val="23"/>
          <w:rtl/>
          <w:lang w:eastAsia="en-GB"/>
        </w:rPr>
        <w:tab/>
      </w:r>
      <w:r w:rsidRPr="00551F33">
        <w:rPr>
          <w:rFonts w:hint="cs"/>
          <w:i/>
          <w:sz w:val="23"/>
          <w:szCs w:val="23"/>
          <w:rtl/>
          <w:lang w:eastAsia="en-GB"/>
        </w:rPr>
        <w:tab/>
        <w:t>(۱۵. ۳۶)</w:t>
      </w:r>
      <w:r w:rsidRPr="00551F33">
        <w:rPr>
          <w:i/>
          <w:sz w:val="23"/>
          <w:szCs w:val="23"/>
          <w:lang w:eastAsia="en-GB"/>
        </w:rPr>
        <w:t xml:space="preserve"> </w:t>
      </w:r>
    </w:p>
    <w:p w14:paraId="215AA9FB"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 xml:space="preserve">برای </w:t>
      </w:r>
      <w:r w:rsidRPr="00551F33">
        <w:rPr>
          <w:position w:val="-6"/>
        </w:rPr>
        <w:object w:dxaOrig="480" w:dyaOrig="260" w14:anchorId="38AF82A1">
          <v:shape id="_x0000_i7969" type="#_x0000_t75" style="width:24.2pt;height:13.3pt" o:ole="">
            <v:imagedata r:id="rId14013" o:title=""/>
          </v:shape>
          <o:OLEObject Type="Embed" ProgID="Equation.DSMT4" ShapeID="_x0000_i7969" DrawAspect="Content" ObjectID="_1791381912" r:id="rId14014"/>
        </w:object>
      </w:r>
      <w:r w:rsidRPr="00551F33">
        <w:rPr>
          <w:i/>
          <w:sz w:val="23"/>
          <w:szCs w:val="23"/>
          <w:lang w:eastAsia="en-GB"/>
        </w:rPr>
        <w:t xml:space="preserve"> </w:t>
      </w:r>
      <w:r w:rsidRPr="00551F33">
        <w:rPr>
          <w:rFonts w:hint="cs"/>
          <w:i/>
          <w:sz w:val="23"/>
          <w:szCs w:val="23"/>
          <w:rtl/>
          <w:lang w:eastAsia="en-GB"/>
        </w:rPr>
        <w:t xml:space="preserve">معادله‌ی (۱۵. ۳۶) نشان می‌دهد </w:t>
      </w:r>
    </w:p>
    <w:p w14:paraId="2E37BAFB" w14:textId="77777777" w:rsidR="00556C10" w:rsidRPr="00551F33" w:rsidRDefault="00556C10" w:rsidP="00556C10">
      <w:pPr>
        <w:bidi w:val="0"/>
        <w:spacing w:line="216" w:lineRule="auto"/>
        <w:rPr>
          <w:i/>
          <w:sz w:val="23"/>
          <w:szCs w:val="23"/>
          <w:rtl/>
          <w:lang w:eastAsia="en-GB"/>
        </w:rPr>
      </w:pPr>
      <w:r w:rsidRPr="00551F33">
        <w:rPr>
          <w:position w:val="-20"/>
        </w:rPr>
        <w:object w:dxaOrig="5020" w:dyaOrig="499" w14:anchorId="40333D52">
          <v:shape id="_x0000_i7970" type="#_x0000_t75" style="width:251.1pt;height:24.8pt" o:ole="">
            <v:imagedata r:id="rId14015" o:title=""/>
          </v:shape>
          <o:OLEObject Type="Embed" ProgID="Equation.DSMT4" ShapeID="_x0000_i7970" DrawAspect="Content" ObjectID="_1791381913" r:id="rId14016"/>
        </w:object>
      </w:r>
      <w:r w:rsidRPr="00551F33">
        <w:rPr>
          <w:rFonts w:hint="cs"/>
          <w:i/>
          <w:sz w:val="23"/>
          <w:szCs w:val="23"/>
          <w:rtl/>
          <w:lang w:eastAsia="en-GB"/>
        </w:rPr>
        <w:tab/>
      </w:r>
      <w:r>
        <w:rPr>
          <w:i/>
          <w:sz w:val="23"/>
          <w:szCs w:val="23"/>
          <w:rtl/>
          <w:lang w:eastAsia="en-GB"/>
        </w:rPr>
        <w:tab/>
      </w:r>
      <w:r>
        <w:rPr>
          <w:i/>
          <w:sz w:val="23"/>
          <w:szCs w:val="23"/>
          <w:rtl/>
          <w:lang w:eastAsia="en-GB"/>
        </w:rPr>
        <w:tab/>
      </w:r>
      <w:r>
        <w:rPr>
          <w:i/>
          <w:sz w:val="23"/>
          <w:szCs w:val="23"/>
          <w:rtl/>
          <w:lang w:eastAsia="en-GB"/>
        </w:rPr>
        <w:tab/>
      </w:r>
      <w:r w:rsidRPr="00551F33">
        <w:rPr>
          <w:rFonts w:hint="cs"/>
          <w:i/>
          <w:sz w:val="23"/>
          <w:szCs w:val="23"/>
          <w:rtl/>
          <w:lang w:eastAsia="en-GB"/>
        </w:rPr>
        <w:t>(۱۵. ۳۷)</w:t>
      </w:r>
      <w:r w:rsidRPr="00551F33">
        <w:rPr>
          <w:i/>
          <w:sz w:val="23"/>
          <w:szCs w:val="23"/>
          <w:lang w:eastAsia="en-GB"/>
        </w:rPr>
        <w:t xml:space="preserve"> </w:t>
      </w:r>
    </w:p>
    <w:p w14:paraId="2B0CFCE3" w14:textId="77777777" w:rsidR="00556C10" w:rsidRPr="00551F33" w:rsidRDefault="00556C10" w:rsidP="00556C10">
      <w:pPr>
        <w:spacing w:line="216" w:lineRule="auto"/>
        <w:rPr>
          <w:i/>
          <w:sz w:val="23"/>
          <w:szCs w:val="23"/>
          <w:rtl/>
          <w:lang w:eastAsia="en-GB" w:bidi="ar-SA"/>
        </w:rPr>
      </w:pPr>
      <w:r w:rsidRPr="00551F33">
        <w:rPr>
          <w:rFonts w:hint="cs"/>
          <w:i/>
          <w:sz w:val="23"/>
          <w:szCs w:val="23"/>
          <w:rtl/>
          <w:lang w:eastAsia="en-GB"/>
        </w:rPr>
        <w:t>زیرا</w:t>
      </w:r>
      <w:r w:rsidRPr="00551F33">
        <w:rPr>
          <w:position w:val="-12"/>
        </w:rPr>
        <w:object w:dxaOrig="1180" w:dyaOrig="360" w14:anchorId="08C43CAC">
          <v:shape id="_x0000_i7971" type="#_x0000_t75" style="width:58.7pt;height:18.15pt" o:ole="">
            <v:imagedata r:id="rId14017" o:title=""/>
          </v:shape>
          <o:OLEObject Type="Embed" ProgID="Equation.DSMT4" ShapeID="_x0000_i7971" DrawAspect="Content" ObjectID="_1791381914" r:id="rId14018"/>
        </w:object>
      </w:r>
      <w:r w:rsidRPr="00551F33">
        <w:rPr>
          <w:i/>
          <w:sz w:val="23"/>
          <w:szCs w:val="23"/>
          <w:lang w:eastAsia="en-GB"/>
        </w:rPr>
        <w:t xml:space="preserve"> </w:t>
      </w:r>
      <w:r w:rsidRPr="00551F33">
        <w:rPr>
          <w:rFonts w:hint="cs"/>
          <w:i/>
          <w:sz w:val="23"/>
          <w:szCs w:val="23"/>
          <w:rtl/>
          <w:lang w:eastAsia="en-GB"/>
        </w:rPr>
        <w:t xml:space="preserve">و هر دو در زمان </w:t>
      </w:r>
      <w:r w:rsidRPr="00551F33">
        <w:rPr>
          <w:i/>
          <w:sz w:val="23"/>
          <w:szCs w:val="23"/>
          <w:lang w:eastAsia="en-GB"/>
        </w:rPr>
        <w:t>t</w:t>
      </w:r>
      <w:r w:rsidRPr="00551F33">
        <w:rPr>
          <w:rFonts w:hint="cs"/>
          <w:i/>
          <w:sz w:val="23"/>
          <w:szCs w:val="23"/>
          <w:rtl/>
          <w:lang w:eastAsia="en-GB"/>
        </w:rPr>
        <w:t xml:space="preserve"> شناخته شده است</w:t>
      </w:r>
      <w:r w:rsidRPr="00551F33">
        <w:rPr>
          <w:i/>
          <w:sz w:val="23"/>
          <w:szCs w:val="23"/>
          <w:lang w:eastAsia="en-GB"/>
        </w:rPr>
        <w:t>.</w:t>
      </w:r>
      <w:r w:rsidRPr="00551F33">
        <w:rPr>
          <w:rFonts w:hint="cs"/>
          <w:i/>
          <w:sz w:val="23"/>
          <w:szCs w:val="23"/>
          <w:rtl/>
          <w:lang w:eastAsia="en-GB"/>
        </w:rPr>
        <w:t xml:space="preserve"> مقدار نهایی سود یک فرایند مارتینگل است، و در وضعیت یکنواخت ثابت خواهد بود، طبق ریسک خنثی</w:t>
      </w:r>
      <w:r w:rsidRPr="00551F33">
        <w:rPr>
          <w:rFonts w:hint="cs"/>
          <w:i/>
          <w:sz w:val="23"/>
          <w:szCs w:val="23"/>
          <w:rtl/>
          <w:lang w:eastAsia="en-GB"/>
        </w:rPr>
        <w:softHyphen/>
        <w:t>ای</w:t>
      </w:r>
      <w:r w:rsidRPr="00551F33">
        <w:rPr>
          <w:i/>
          <w:sz w:val="23"/>
          <w:szCs w:val="23"/>
          <w:lang w:eastAsia="en-GB"/>
        </w:rPr>
        <w:t xml:space="preserve"> </w:t>
      </w:r>
      <w:r w:rsidRPr="00551F33">
        <w:rPr>
          <w:rFonts w:hint="cs"/>
          <w:i/>
          <w:sz w:val="23"/>
          <w:szCs w:val="23"/>
          <w:rtl/>
          <w:lang w:eastAsia="en-GB"/>
        </w:rPr>
        <w:t>برای هر</w:t>
      </w:r>
      <w:r w:rsidRPr="00551F33">
        <w:rPr>
          <w:position w:val="-6"/>
        </w:rPr>
        <w:object w:dxaOrig="499" w:dyaOrig="260" w14:anchorId="6B5849B4">
          <v:shape id="_x0000_i7972" type="#_x0000_t75" style="width:24.8pt;height:13.3pt" o:ole="">
            <v:imagedata r:id="rId14019" o:title=""/>
          </v:shape>
          <o:OLEObject Type="Embed" ProgID="Equation.DSMT4" ShapeID="_x0000_i7972" DrawAspect="Content" ObjectID="_1791381915" r:id="rId14020"/>
        </w:object>
      </w:r>
      <w:r w:rsidRPr="00551F33">
        <w:rPr>
          <w:rFonts w:hint="cs"/>
          <w:i/>
          <w:sz w:val="23"/>
          <w:szCs w:val="23"/>
          <w:rtl/>
          <w:lang w:eastAsia="en-GB"/>
        </w:rPr>
        <w:t xml:space="preserve"> داریم </w:t>
      </w:r>
      <w:r w:rsidRPr="00551F33">
        <w:rPr>
          <w:position w:val="-12"/>
        </w:rPr>
        <w:object w:dxaOrig="1060" w:dyaOrig="360" w14:anchorId="35107993">
          <v:shape id="_x0000_i7973" type="#_x0000_t75" style="width:53.25pt;height:18.15pt" o:ole="">
            <v:imagedata r:id="rId14021" o:title=""/>
          </v:shape>
          <o:OLEObject Type="Embed" ProgID="Equation.DSMT4" ShapeID="_x0000_i7973" DrawAspect="Content" ObjectID="_1791381916" r:id="rId14022"/>
        </w:object>
      </w:r>
      <w:r w:rsidRPr="00551F33">
        <w:rPr>
          <w:rFonts w:hint="cs"/>
          <w:i/>
          <w:sz w:val="23"/>
          <w:szCs w:val="23"/>
          <w:rtl/>
          <w:lang w:eastAsia="en-GB"/>
        </w:rPr>
        <w:t xml:space="preserve">. معادله‌ی (۱۵. ۳۵) نشان می‌دهد که </w:t>
      </w:r>
    </w:p>
    <w:p w14:paraId="2C4E51CE" w14:textId="77777777" w:rsidR="00556C10" w:rsidRPr="00551F33" w:rsidRDefault="00556C10" w:rsidP="00556C10">
      <w:pPr>
        <w:bidi w:val="0"/>
        <w:spacing w:line="216" w:lineRule="auto"/>
        <w:rPr>
          <w:i/>
          <w:sz w:val="23"/>
          <w:szCs w:val="23"/>
          <w:rtl/>
          <w:lang w:eastAsia="en-GB"/>
        </w:rPr>
      </w:pPr>
      <w:r w:rsidRPr="00551F33">
        <w:rPr>
          <w:position w:val="-16"/>
        </w:rPr>
        <w:object w:dxaOrig="4160" w:dyaOrig="420" w14:anchorId="5414C78E">
          <v:shape id="_x0000_i7974" type="#_x0000_t75" style="width:208.15pt;height:21.2pt" o:ole="">
            <v:imagedata r:id="rId14023" o:title=""/>
          </v:shape>
          <o:OLEObject Type="Embed" ProgID="Equation.DSMT4" ShapeID="_x0000_i7974" DrawAspect="Content" ObjectID="_1791381917" r:id="rId14024"/>
        </w:object>
      </w:r>
    </w:p>
    <w:p w14:paraId="53A50E4C"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و به این معنی است که مازاد لازم انتظاری بازده وام‌های بانکی به بخش خصوصی غیربانکی به صورت زیر باشد</w:t>
      </w:r>
    </w:p>
    <w:p w14:paraId="7E2257DE" w14:textId="77777777" w:rsidR="00556C10" w:rsidRPr="00551F33" w:rsidRDefault="00556C10" w:rsidP="00556C10">
      <w:pPr>
        <w:bidi w:val="0"/>
        <w:spacing w:line="216" w:lineRule="auto"/>
        <w:rPr>
          <w:i/>
          <w:sz w:val="23"/>
          <w:szCs w:val="23"/>
          <w:lang w:eastAsia="en-GB"/>
        </w:rPr>
      </w:pPr>
      <w:r w:rsidRPr="00551F33">
        <w:rPr>
          <w:position w:val="-52"/>
        </w:rPr>
        <w:object w:dxaOrig="5679" w:dyaOrig="1160" w14:anchorId="3C38738B">
          <v:shape id="_x0000_i7975" type="#_x0000_t75" style="width:283.75pt;height:58.1pt" o:ole="">
            <v:imagedata r:id="rId14025" o:title=""/>
          </v:shape>
          <o:OLEObject Type="Embed" ProgID="Equation.DSMT4" ShapeID="_x0000_i7975" DrawAspect="Content" ObjectID="_1791381918" r:id="rId14026"/>
        </w:object>
      </w:r>
      <w:r w:rsidRPr="00551F33">
        <w:rPr>
          <w:i/>
          <w:sz w:val="23"/>
          <w:szCs w:val="23"/>
          <w:rtl/>
        </w:rPr>
        <w:tab/>
      </w:r>
      <w:r>
        <w:rPr>
          <w:i/>
          <w:sz w:val="23"/>
          <w:szCs w:val="23"/>
          <w:rtl/>
        </w:rPr>
        <w:tab/>
      </w:r>
      <w:r w:rsidRPr="00551F33">
        <w:rPr>
          <w:rFonts w:hint="cs"/>
          <w:i/>
          <w:sz w:val="23"/>
          <w:szCs w:val="23"/>
          <w:rtl/>
          <w:lang w:eastAsia="en-GB"/>
        </w:rPr>
        <w:t>(۱۵. ۳۸)</w:t>
      </w:r>
    </w:p>
    <w:p w14:paraId="0691CCD3" w14:textId="77777777" w:rsidR="00556C10" w:rsidRPr="00551F33" w:rsidRDefault="00556C10" w:rsidP="00556C10">
      <w:pPr>
        <w:spacing w:line="216" w:lineRule="auto"/>
        <w:rPr>
          <w:i/>
          <w:sz w:val="23"/>
          <w:szCs w:val="23"/>
          <w:lang w:eastAsia="en-GB" w:bidi="ar-SA"/>
        </w:rPr>
      </w:pPr>
      <w:r w:rsidRPr="00551F33">
        <w:rPr>
          <w:rFonts w:hint="cs"/>
          <w:i/>
          <w:sz w:val="23"/>
          <w:szCs w:val="23"/>
          <w:rtl/>
          <w:lang w:eastAsia="en-GB"/>
        </w:rPr>
        <w:t>اگر ریسک قصور وجود نداشته باشد آنگاه</w:t>
      </w:r>
    </w:p>
    <w:p w14:paraId="226B60CB" w14:textId="77777777" w:rsidR="00556C10" w:rsidRPr="00551F33" w:rsidRDefault="00556C10" w:rsidP="00556C10">
      <w:pPr>
        <w:bidi w:val="0"/>
        <w:spacing w:line="216" w:lineRule="auto"/>
        <w:rPr>
          <w:i/>
          <w:sz w:val="23"/>
          <w:szCs w:val="23"/>
          <w:rtl/>
          <w:lang w:eastAsia="en-GB"/>
        </w:rPr>
      </w:pPr>
      <w:r w:rsidRPr="00551F33">
        <w:rPr>
          <w:position w:val="-30"/>
        </w:rPr>
        <w:object w:dxaOrig="3379" w:dyaOrig="720" w14:anchorId="5CB576FB">
          <v:shape id="_x0000_i7976" type="#_x0000_t75" style="width:168.8pt;height:36.3pt" o:ole="">
            <v:imagedata r:id="rId14027" o:title=""/>
          </v:shape>
          <o:OLEObject Type="Embed" ProgID="Equation.DSMT4" ShapeID="_x0000_i7976" DrawAspect="Content" ObjectID="_1791381919" r:id="rId14028"/>
        </w:object>
      </w:r>
    </w:p>
    <w:p w14:paraId="0C6D10AF"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lastRenderedPageBreak/>
        <w:t>اگر بانک ریسک خنثی باشد آنگاه آخرین جمله در معادله (۱۵. ۳۸) صفر می‌شود. و اگر علاوه بر آن ریسک قصور وجود نداشته باشد مابه التفاوت ریسک وام صفر است.</w:t>
      </w:r>
    </w:p>
    <w:p w14:paraId="4F25C13F" w14:textId="77777777" w:rsidR="00556C10" w:rsidRPr="00551F33" w:rsidRDefault="00556C10" w:rsidP="00556C10">
      <w:pPr>
        <w:spacing w:line="216" w:lineRule="auto"/>
        <w:rPr>
          <w:i/>
          <w:sz w:val="23"/>
          <w:szCs w:val="23"/>
          <w:lang w:eastAsia="en-GB"/>
        </w:rPr>
      </w:pPr>
      <w:r w:rsidRPr="00551F33">
        <w:rPr>
          <w:i/>
          <w:sz w:val="23"/>
          <w:szCs w:val="23"/>
          <w:lang w:eastAsia="en-GB"/>
        </w:rPr>
        <w:t> </w:t>
      </w:r>
      <w:r w:rsidRPr="00551F33">
        <w:rPr>
          <w:rFonts w:hint="cs"/>
          <w:i/>
          <w:sz w:val="23"/>
          <w:szCs w:val="23"/>
          <w:rtl/>
          <w:lang w:eastAsia="en-GB"/>
        </w:rPr>
        <w:t>معادلات (۱۵. ۲۷) و (۱۵. ۳۸) شرایط تعادلی برای بخش خصوصی غیربانکی و برای بانک</w:t>
      </w:r>
      <w:r w:rsidRPr="00551F33">
        <w:rPr>
          <w:i/>
          <w:sz w:val="23"/>
          <w:szCs w:val="23"/>
          <w:lang w:eastAsia="en-GB"/>
        </w:rPr>
        <w:t>‌</w:t>
      </w:r>
      <w:r w:rsidRPr="00551F33">
        <w:rPr>
          <w:rFonts w:hint="cs"/>
          <w:i/>
          <w:sz w:val="23"/>
          <w:szCs w:val="23"/>
          <w:rtl/>
          <w:lang w:eastAsia="en-GB"/>
        </w:rPr>
        <w:t>ها، تنها در آخرین جزئشان از پاداش ریسک اختلاف دارند. تعادل بازار وام مستلزم این است که دو عبارت یکسان باشند وقتی که</w:t>
      </w:r>
    </w:p>
    <w:p w14:paraId="76736626" w14:textId="77777777" w:rsidR="00556C10" w:rsidRPr="00551F33" w:rsidRDefault="00556C10" w:rsidP="00556C10">
      <w:pPr>
        <w:bidi w:val="0"/>
        <w:spacing w:line="216" w:lineRule="auto"/>
        <w:rPr>
          <w:i/>
          <w:sz w:val="23"/>
          <w:szCs w:val="23"/>
          <w:lang w:eastAsia="en-GB"/>
        </w:rPr>
      </w:pPr>
      <w:r w:rsidRPr="00551F33">
        <w:rPr>
          <w:i/>
          <w:sz w:val="23"/>
          <w:szCs w:val="23"/>
          <w:lang w:eastAsia="en-GB"/>
        </w:rPr>
        <w:t> </w:t>
      </w:r>
      <w:r w:rsidRPr="00551F33">
        <w:rPr>
          <w:position w:val="-30"/>
        </w:rPr>
        <w:object w:dxaOrig="5040" w:dyaOrig="720" w14:anchorId="38A27312">
          <v:shape id="_x0000_i7977" type="#_x0000_t75" style="width:252.3pt;height:36.3pt" o:ole="">
            <v:imagedata r:id="rId14029" o:title=""/>
          </v:shape>
          <o:OLEObject Type="Embed" ProgID="Equation.DSMT4" ShapeID="_x0000_i7977" DrawAspect="Content" ObjectID="_1791381920" r:id="rId14030"/>
        </w:object>
      </w:r>
    </w:p>
    <w:p w14:paraId="4422BEF5"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 xml:space="preserve">برقرار باشد اگر </w:t>
      </w:r>
    </w:p>
    <w:p w14:paraId="0404A04A" w14:textId="77777777" w:rsidR="00556C10" w:rsidRPr="00551F33" w:rsidRDefault="00556C10" w:rsidP="00556C10">
      <w:pPr>
        <w:bidi w:val="0"/>
        <w:spacing w:line="216" w:lineRule="auto"/>
        <w:rPr>
          <w:i/>
          <w:sz w:val="23"/>
          <w:szCs w:val="23"/>
          <w:lang w:eastAsia="en-GB"/>
        </w:rPr>
      </w:pPr>
      <w:r w:rsidRPr="00551F33">
        <w:rPr>
          <w:position w:val="-12"/>
        </w:rPr>
        <w:object w:dxaOrig="2320" w:dyaOrig="360" w14:anchorId="4B2544FE">
          <v:shape id="_x0000_i7978" type="#_x0000_t75" style="width:116.15pt;height:18.15pt" o:ole="">
            <v:imagedata r:id="rId14031" o:title=""/>
          </v:shape>
          <o:OLEObject Type="Embed" ProgID="Equation.DSMT4" ShapeID="_x0000_i7978" DrawAspect="Content" ObjectID="_1791381921" r:id="rId14032"/>
        </w:object>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rFonts w:hint="cs"/>
          <w:i/>
          <w:sz w:val="23"/>
          <w:szCs w:val="23"/>
          <w:rtl/>
          <w:lang w:eastAsia="en-GB"/>
        </w:rPr>
        <w:tab/>
      </w:r>
      <w:r w:rsidRPr="00551F33">
        <w:rPr>
          <w:i/>
          <w:sz w:val="23"/>
          <w:szCs w:val="23"/>
          <w:rtl/>
          <w:lang w:eastAsia="en-GB"/>
        </w:rPr>
        <w:tab/>
      </w:r>
      <w:r>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i/>
          <w:sz w:val="23"/>
          <w:szCs w:val="23"/>
          <w:rtl/>
          <w:lang w:eastAsia="en-GB"/>
        </w:rPr>
        <w:tab/>
      </w:r>
      <w:r w:rsidRPr="00551F33">
        <w:rPr>
          <w:rFonts w:hint="cs"/>
          <w:i/>
          <w:sz w:val="23"/>
          <w:szCs w:val="23"/>
          <w:rtl/>
          <w:lang w:eastAsia="en-GB"/>
        </w:rPr>
        <w:tab/>
        <w:t>(۱۵. ۳۹)</w:t>
      </w:r>
      <w:r w:rsidRPr="00551F33">
        <w:rPr>
          <w:i/>
          <w:sz w:val="23"/>
          <w:szCs w:val="23"/>
          <w:lang w:eastAsia="en-GB"/>
        </w:rPr>
        <w:t xml:space="preserve"> </w:t>
      </w:r>
    </w:p>
    <w:p w14:paraId="4085DDD9" w14:textId="77777777" w:rsidR="00556C10" w:rsidRPr="00551F33" w:rsidRDefault="00556C10" w:rsidP="00556C10">
      <w:pPr>
        <w:spacing w:line="216" w:lineRule="auto"/>
        <w:rPr>
          <w:i/>
          <w:sz w:val="23"/>
          <w:szCs w:val="23"/>
          <w:rtl/>
          <w:lang w:eastAsia="en-GB" w:bidi="ar-SA"/>
        </w:rPr>
      </w:pPr>
      <w:r w:rsidRPr="00551F33">
        <w:rPr>
          <w:rFonts w:hint="cs"/>
          <w:i/>
          <w:sz w:val="23"/>
          <w:szCs w:val="23"/>
          <w:rtl/>
          <w:lang w:eastAsia="en-GB"/>
        </w:rPr>
        <w:t xml:space="preserve">که </w:t>
      </w:r>
      <w:r w:rsidRPr="00551F33">
        <w:rPr>
          <w:position w:val="-10"/>
        </w:rPr>
        <w:object w:dxaOrig="360" w:dyaOrig="340" w14:anchorId="6FD49ABD">
          <v:shape id="_x0000_i7979" type="#_x0000_t75" style="width:18.15pt;height:16.95pt" o:ole="">
            <v:imagedata r:id="rId14033" o:title=""/>
          </v:shape>
          <o:OLEObject Type="Embed" ProgID="Equation.DSMT4" ShapeID="_x0000_i7979" DrawAspect="Content" ObjectID="_1791381922" r:id="rId14034"/>
        </w:object>
      </w:r>
      <w:r w:rsidRPr="00551F33">
        <w:rPr>
          <w:rFonts w:hint="cs"/>
          <w:sz w:val="23"/>
          <w:szCs w:val="23"/>
          <w:rtl/>
        </w:rPr>
        <w:t xml:space="preserve"> </w:t>
      </w:r>
      <w:r w:rsidRPr="00551F33">
        <w:rPr>
          <w:rFonts w:hint="cs"/>
          <w:i/>
          <w:sz w:val="23"/>
          <w:szCs w:val="23"/>
          <w:rtl/>
          <w:lang w:eastAsia="en-GB"/>
        </w:rPr>
        <w:t xml:space="preserve">و </w:t>
      </w:r>
      <w:r w:rsidRPr="00551F33">
        <w:rPr>
          <w:position w:val="-10"/>
        </w:rPr>
        <w:object w:dxaOrig="360" w:dyaOrig="340" w14:anchorId="4A413607">
          <v:shape id="_x0000_i7980" type="#_x0000_t75" style="width:18.15pt;height:16.95pt" o:ole="">
            <v:imagedata r:id="rId14035" o:title=""/>
          </v:shape>
          <o:OLEObject Type="Embed" ProgID="Equation.DSMT4" ShapeID="_x0000_i7980" DrawAspect="Content" ObjectID="_1791381923" r:id="rId14036"/>
        </w:object>
      </w:r>
      <w:r w:rsidRPr="00551F33">
        <w:rPr>
          <w:rFonts w:hint="cs"/>
          <w:i/>
          <w:sz w:val="23"/>
          <w:szCs w:val="23"/>
          <w:rtl/>
          <w:lang w:eastAsia="en-GB"/>
        </w:rPr>
        <w:t xml:space="preserve"> متغیرهای تصادفی بطور سری مستقل از هم، میانگین شرطی صفر و کواریانس شرطی صفر دارند با</w:t>
      </w:r>
      <w:r w:rsidRPr="00551F33">
        <w:rPr>
          <w:position w:val="-12"/>
        </w:rPr>
        <w:object w:dxaOrig="1180" w:dyaOrig="360" w14:anchorId="42C27DA3">
          <v:shape id="_x0000_i7981" type="#_x0000_t75" style="width:58.7pt;height:18.15pt" o:ole="">
            <v:imagedata r:id="rId14037" o:title=""/>
          </v:shape>
          <o:OLEObject Type="Embed" ProgID="Equation.DSMT4" ShapeID="_x0000_i7981" DrawAspect="Content" ObjectID="_1791381924" r:id="rId14038"/>
        </w:object>
      </w:r>
      <w:r w:rsidRPr="00551F33">
        <w:rPr>
          <w:i/>
          <w:sz w:val="23"/>
          <w:szCs w:val="23"/>
          <w:lang w:eastAsia="en-GB"/>
        </w:rPr>
        <w:t>.</w:t>
      </w:r>
      <w:r w:rsidRPr="00551F33">
        <w:rPr>
          <w:rFonts w:hint="cs"/>
          <w:i/>
          <w:sz w:val="23"/>
          <w:szCs w:val="23"/>
          <w:rtl/>
          <w:lang w:eastAsia="en-GB"/>
        </w:rPr>
        <w:t xml:space="preserve"> این امر بدین معنی خواهد بود که </w:t>
      </w:r>
      <w:r w:rsidRPr="00551F33">
        <w:rPr>
          <w:position w:val="-12"/>
        </w:rPr>
        <w:object w:dxaOrig="1760" w:dyaOrig="360" w14:anchorId="3A5AC0EA">
          <v:shape id="_x0000_i7982" type="#_x0000_t75" style="width:87.75pt;height:18.15pt" o:ole="">
            <v:imagedata r:id="rId14039" o:title=""/>
          </v:shape>
          <o:OLEObject Type="Embed" ProgID="Equation.DSMT4" ShapeID="_x0000_i7982" DrawAspect="Content" ObjectID="_1791381925" r:id="rId14040"/>
        </w:object>
      </w:r>
      <w:r w:rsidRPr="00551F33">
        <w:rPr>
          <w:rFonts w:hint="cs"/>
          <w:i/>
          <w:sz w:val="23"/>
          <w:szCs w:val="23"/>
          <w:rtl/>
          <w:lang w:eastAsia="en-GB"/>
        </w:rPr>
        <w:t xml:space="preserve">، و بنابراین </w:t>
      </w:r>
      <w:r w:rsidRPr="00551F33">
        <w:rPr>
          <w:position w:val="-14"/>
        </w:rPr>
        <w:object w:dxaOrig="2000" w:dyaOrig="380" w14:anchorId="46A79DA9">
          <v:shape id="_x0000_i7983" type="#_x0000_t75" style="width:99.85pt;height:18.75pt" o:ole="">
            <v:imagedata r:id="rId14041" o:title=""/>
          </v:shape>
          <o:OLEObject Type="Embed" ProgID="Equation.DSMT4" ShapeID="_x0000_i7983" DrawAspect="Content" ObjectID="_1791381926" r:id="rId14042"/>
        </w:object>
      </w:r>
      <w:r w:rsidRPr="00551F33">
        <w:rPr>
          <w:rFonts w:hint="cs"/>
          <w:i/>
          <w:sz w:val="23"/>
          <w:szCs w:val="23"/>
          <w:rtl/>
          <w:lang w:eastAsia="en-GB"/>
        </w:rPr>
        <w:t>. مطلوبیت نهایی انتظاری بخش خصوصی غیربانکی از یک واحد اضافی سود بانک مساوی می‌شود با مطلوبیت نهایی انتظاری بانک‌ها.</w:t>
      </w:r>
    </w:p>
    <w:p w14:paraId="6A9C92B0" w14:textId="77777777" w:rsidR="00556C10" w:rsidRPr="00551F33" w:rsidRDefault="00556C10" w:rsidP="00556C10">
      <w:pPr>
        <w:spacing w:line="216" w:lineRule="auto"/>
        <w:rPr>
          <w:rFonts w:eastAsiaTheme="minorHAnsi"/>
          <w:i/>
          <w:sz w:val="23"/>
          <w:szCs w:val="23"/>
        </w:rPr>
      </w:pPr>
      <w:r w:rsidRPr="00551F33">
        <w:rPr>
          <w:rFonts w:hint="cs"/>
          <w:i/>
          <w:sz w:val="23"/>
          <w:szCs w:val="23"/>
          <w:rtl/>
        </w:rPr>
        <w:t>اگر به جای آن بانک‌ها و بخش خصوصی غیربانکی از لحاظ اشتیاق به ریسک متفاوت بودند، آنگاه معاملات (۱۵. ۲۷) و (۱۵. ۳۸) نیز تفاوت می‌کرد. اگر بانک</w:t>
      </w:r>
      <w:r w:rsidRPr="00551F33">
        <w:rPr>
          <w:i/>
          <w:sz w:val="23"/>
          <w:szCs w:val="23"/>
        </w:rPr>
        <w:t>‌</w:t>
      </w:r>
      <w:r w:rsidRPr="00551F33">
        <w:rPr>
          <w:rFonts w:hint="cs"/>
          <w:i/>
          <w:sz w:val="23"/>
          <w:szCs w:val="23"/>
          <w:rtl/>
        </w:rPr>
        <w:t>ها ریسک خنثی بودند و فقط سود خود را حداکثر می‌کردند، آنگاه جمله آخر معادله‌ی (۱۵. ۳۸) صفر می</w:t>
      </w:r>
      <w:r w:rsidRPr="00551F33">
        <w:rPr>
          <w:i/>
          <w:sz w:val="23"/>
          <w:szCs w:val="23"/>
        </w:rPr>
        <w:t>‌</w:t>
      </w:r>
      <w:r w:rsidRPr="00551F33">
        <w:rPr>
          <w:rFonts w:hint="cs"/>
          <w:i/>
          <w:sz w:val="23"/>
          <w:szCs w:val="23"/>
          <w:rtl/>
        </w:rPr>
        <w:t>شد. چون جملات باقیمانده در معادلات (۱۵. ۲۷) و (۱۵. ۳۸) یکسان هستند نشان می‌دهد که نرخ وام</w:t>
      </w:r>
      <w:r w:rsidRPr="00551F33">
        <w:rPr>
          <w:rFonts w:hint="cs"/>
          <w:i/>
          <w:sz w:val="23"/>
          <w:szCs w:val="23"/>
          <w:rtl/>
        </w:rPr>
        <w:softHyphen/>
        <w:t>ها که بانک اخذ می</w:t>
      </w:r>
      <w:r w:rsidRPr="00551F33">
        <w:rPr>
          <w:i/>
          <w:sz w:val="23"/>
          <w:szCs w:val="23"/>
        </w:rPr>
        <w:t>‌</w:t>
      </w:r>
      <w:r w:rsidRPr="00551F33">
        <w:rPr>
          <w:rFonts w:hint="cs"/>
          <w:i/>
          <w:sz w:val="23"/>
          <w:szCs w:val="23"/>
          <w:rtl/>
        </w:rPr>
        <w:t>کند و از معادله‌ی (۱۵. ۳۸) به دست می</w:t>
      </w:r>
      <w:r w:rsidRPr="00551F33">
        <w:rPr>
          <w:i/>
          <w:sz w:val="23"/>
          <w:szCs w:val="23"/>
        </w:rPr>
        <w:t>‌</w:t>
      </w:r>
      <w:r w:rsidRPr="00551F33">
        <w:rPr>
          <w:rFonts w:hint="cs"/>
          <w:i/>
          <w:sz w:val="23"/>
          <w:szCs w:val="23"/>
          <w:rtl/>
        </w:rPr>
        <w:t>آید کمتر از نرخی است که عموم مردم غیربانکی مایل به پرداخت هستند. بنابراین یک مازاد تقاضا برای وام‌ها و جیره</w:t>
      </w:r>
      <w:r w:rsidRPr="00551F33">
        <w:rPr>
          <w:i/>
          <w:sz w:val="23"/>
          <w:szCs w:val="23"/>
        </w:rPr>
        <w:t>‌</w:t>
      </w:r>
      <w:r w:rsidRPr="00551F33">
        <w:rPr>
          <w:rFonts w:hint="cs"/>
          <w:i/>
          <w:sz w:val="23"/>
          <w:szCs w:val="23"/>
          <w:rtl/>
        </w:rPr>
        <w:t>بندی اعتبار وجود خواهد داشت، اما نه لزوماً گزینش معکوس یا خطر اخلاقی، زیرا هم وام دهنده و هم وام گیرنده از ریسک قصور آگاهند. در مقام مقایسه، اگر بانک‌ها بیشتر در قیاس با عموم مردم غیربانکی ریسک</w:t>
      </w:r>
      <w:r w:rsidRPr="00551F33">
        <w:rPr>
          <w:rFonts w:hint="cs"/>
          <w:i/>
          <w:sz w:val="23"/>
          <w:szCs w:val="23"/>
          <w:rtl/>
        </w:rPr>
        <w:softHyphen/>
        <w:t>گریز</w:t>
      </w:r>
      <w:r w:rsidRPr="00551F33">
        <w:rPr>
          <w:rFonts w:hint="cs"/>
          <w:i/>
          <w:sz w:val="23"/>
          <w:szCs w:val="23"/>
          <w:rtl/>
        </w:rPr>
        <w:softHyphen/>
        <w:t>تر بودند آنگاه مازاد عرضه‌ی وام‌ها وجود داشت</w:t>
      </w:r>
    </w:p>
    <w:p w14:paraId="13B4675F" w14:textId="77777777" w:rsidR="00556C10" w:rsidRPr="00551F33" w:rsidRDefault="00556C10" w:rsidP="00556C10">
      <w:pPr>
        <w:spacing w:line="216" w:lineRule="auto"/>
        <w:rPr>
          <w:i/>
          <w:sz w:val="23"/>
          <w:szCs w:val="23"/>
          <w:lang w:eastAsia="en-GB"/>
        </w:rPr>
      </w:pPr>
    </w:p>
    <w:p w14:paraId="0AEE5D8A" w14:textId="77777777" w:rsidR="00556C10" w:rsidRPr="00551F33" w:rsidRDefault="00556C10" w:rsidP="00556C10">
      <w:pPr>
        <w:pStyle w:val="Heading1"/>
        <w:spacing w:before="0" w:line="216" w:lineRule="auto"/>
        <w:rPr>
          <w:rFonts w:ascii="Times New Roman" w:hAnsi="Times New Roman" w:cs="B Nazanin"/>
          <w:b w:val="0"/>
          <w:i/>
          <w:sz w:val="23"/>
          <w:szCs w:val="23"/>
          <w:lang w:eastAsia="en-GB"/>
        </w:rPr>
      </w:pPr>
      <w:r w:rsidRPr="00551F33">
        <w:rPr>
          <w:rFonts w:ascii="Times New Roman" w:hAnsi="Times New Roman" w:cs="B Nazanin" w:hint="cs"/>
          <w:b w:val="0"/>
          <w:i/>
          <w:sz w:val="23"/>
          <w:szCs w:val="23"/>
          <w:rtl/>
          <w:lang w:eastAsia="en-GB"/>
        </w:rPr>
        <w:t>۱۵. ۸. ۳ دولت</w:t>
      </w:r>
    </w:p>
    <w:p w14:paraId="7587292F"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مدل با قید بودجه</w:t>
      </w:r>
      <w:r w:rsidRPr="00551F33">
        <w:rPr>
          <w:rFonts w:hint="cs"/>
          <w:i/>
          <w:sz w:val="23"/>
          <w:szCs w:val="23"/>
          <w:rtl/>
          <w:lang w:eastAsia="en-GB"/>
        </w:rPr>
        <w:softHyphen/>
        <w:t>ی دولت - بانک مرکزی یک کاسه شده که به صورت زیر کامل می‌شود</w:t>
      </w:r>
    </w:p>
    <w:p w14:paraId="5D43D6CD" w14:textId="77777777" w:rsidR="00556C10" w:rsidRPr="00551F33" w:rsidRDefault="00556C10" w:rsidP="00556C10">
      <w:pPr>
        <w:bidi w:val="0"/>
        <w:spacing w:line="216" w:lineRule="auto"/>
        <w:rPr>
          <w:i/>
          <w:sz w:val="23"/>
          <w:szCs w:val="23"/>
          <w:lang w:eastAsia="en-GB"/>
        </w:rPr>
      </w:pPr>
      <w:r w:rsidRPr="00551F33">
        <w:rPr>
          <w:position w:val="-16"/>
        </w:rPr>
        <w:object w:dxaOrig="4720" w:dyaOrig="420" w14:anchorId="27582F44">
          <v:shape id="_x0000_i7984" type="#_x0000_t75" style="width:235.95pt;height:21.2pt" o:ole="">
            <v:imagedata r:id="rId14043" o:title=""/>
          </v:shape>
          <o:OLEObject Type="Embed" ProgID="Equation.DSMT4" ShapeID="_x0000_i7984" DrawAspect="Content" ObjectID="_1791381927" r:id="rId14044"/>
        </w:object>
      </w:r>
    </w:p>
    <w:p w14:paraId="0E945184"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دولت هر گونه کسری را با استقراض</w:t>
      </w:r>
      <w:r w:rsidRPr="00551F33">
        <w:rPr>
          <w:position w:val="-10"/>
        </w:rPr>
        <w:object w:dxaOrig="320" w:dyaOrig="340" w14:anchorId="7D1A197E">
          <v:shape id="_x0000_i7985" type="#_x0000_t75" style="width:15.75pt;height:16.95pt" o:ole="">
            <v:imagedata r:id="rId14045" o:title=""/>
          </v:shape>
          <o:OLEObject Type="Embed" ProgID="Equation.DSMT4" ShapeID="_x0000_i7985" DrawAspect="Content" ObjectID="_1791381928" r:id="rId14046"/>
        </w:object>
      </w:r>
      <w:r w:rsidRPr="00551F33">
        <w:rPr>
          <w:rFonts w:hint="cs"/>
          <w:i/>
          <w:sz w:val="23"/>
          <w:szCs w:val="23"/>
          <w:rtl/>
          <w:lang w:eastAsia="en-GB"/>
        </w:rPr>
        <w:t xml:space="preserve"> از بخش خصوصی غیربانکی در نرخ بهره</w:t>
      </w:r>
      <w:r w:rsidRPr="00551F33">
        <w:rPr>
          <w:rFonts w:hint="cs"/>
          <w:i/>
          <w:sz w:val="23"/>
          <w:szCs w:val="23"/>
          <w:rtl/>
          <w:lang w:eastAsia="en-GB"/>
        </w:rPr>
        <w:softHyphen/>
        <w:t xml:space="preserve">ی رسمی </w:t>
      </w:r>
      <w:r w:rsidRPr="00551F33">
        <w:rPr>
          <w:position w:val="-10"/>
        </w:rPr>
        <w:object w:dxaOrig="320" w:dyaOrig="340" w14:anchorId="6D50F626">
          <v:shape id="_x0000_i7986" type="#_x0000_t75" style="width:15.75pt;height:16.95pt" o:ole="">
            <v:imagedata r:id="rId14047" o:title=""/>
          </v:shape>
          <o:OLEObject Type="Embed" ProgID="Equation.DSMT4" ShapeID="_x0000_i7986" DrawAspect="Content" ObjectID="_1791381929" r:id="rId14048"/>
        </w:object>
      </w:r>
      <w:r w:rsidRPr="00551F33">
        <w:rPr>
          <w:rFonts w:hint="cs"/>
          <w:i/>
          <w:sz w:val="23"/>
          <w:szCs w:val="23"/>
          <w:rtl/>
          <w:lang w:eastAsia="en-GB"/>
        </w:rPr>
        <w:t>تأمین مالی می</w:t>
      </w:r>
      <w:r w:rsidRPr="00551F33">
        <w:rPr>
          <w:i/>
          <w:sz w:val="23"/>
          <w:szCs w:val="23"/>
          <w:lang w:eastAsia="en-GB"/>
        </w:rPr>
        <w:t>‌</w:t>
      </w:r>
      <w:r w:rsidRPr="00551F33">
        <w:rPr>
          <w:rFonts w:hint="cs"/>
          <w:i/>
          <w:sz w:val="23"/>
          <w:szCs w:val="23"/>
          <w:rtl/>
          <w:lang w:eastAsia="en-GB"/>
        </w:rPr>
        <w:t>کند</w:t>
      </w:r>
      <w:r w:rsidRPr="00551F33">
        <w:rPr>
          <w:i/>
          <w:sz w:val="23"/>
          <w:szCs w:val="23"/>
          <w:lang w:eastAsia="en-GB"/>
        </w:rPr>
        <w:t>.</w:t>
      </w:r>
      <w:r w:rsidRPr="00551F33">
        <w:rPr>
          <w:rFonts w:hint="cs"/>
          <w:i/>
          <w:sz w:val="23"/>
          <w:szCs w:val="23"/>
          <w:rtl/>
          <w:lang w:eastAsia="en-GB"/>
        </w:rPr>
        <w:t xml:space="preserve"> همچنین ممکن است بدهی را به بانک بفروشد یا مبلغ خالص</w:t>
      </w:r>
      <w:r w:rsidRPr="00551F33">
        <w:rPr>
          <w:position w:val="-10"/>
        </w:rPr>
        <w:object w:dxaOrig="380" w:dyaOrig="340" w14:anchorId="560007EA">
          <v:shape id="_x0000_i7987" type="#_x0000_t75" style="width:18.75pt;height:16.95pt" o:ole="">
            <v:imagedata r:id="rId14049" o:title=""/>
          </v:shape>
          <o:OLEObject Type="Embed" ProgID="Equation.DSMT4" ShapeID="_x0000_i7987" DrawAspect="Content" ObjectID="_1791381930" r:id="rId14050"/>
        </w:object>
      </w:r>
      <w:r w:rsidRPr="00551F33">
        <w:rPr>
          <w:rFonts w:hint="cs"/>
          <w:i/>
          <w:sz w:val="23"/>
          <w:szCs w:val="23"/>
          <w:rtl/>
          <w:lang w:eastAsia="en-GB"/>
        </w:rPr>
        <w:t xml:space="preserve"> را در این نرخ به آن‌ها قرض دهد.</w:t>
      </w:r>
    </w:p>
    <w:p w14:paraId="6B07DCAA" w14:textId="77777777" w:rsidR="00556C10" w:rsidRPr="00551F33" w:rsidRDefault="00556C10" w:rsidP="00556C10">
      <w:pPr>
        <w:spacing w:line="216" w:lineRule="auto"/>
        <w:rPr>
          <w:i/>
          <w:sz w:val="23"/>
          <w:szCs w:val="23"/>
          <w:rtl/>
          <w:lang w:eastAsia="en-GB"/>
        </w:rPr>
      </w:pPr>
    </w:p>
    <w:p w14:paraId="27A949F0" w14:textId="77777777" w:rsidR="00556C10" w:rsidRPr="00551F33" w:rsidRDefault="00556C10" w:rsidP="00556C10">
      <w:pPr>
        <w:pStyle w:val="Heading1"/>
        <w:spacing w:before="0" w:line="216" w:lineRule="auto"/>
        <w:rPr>
          <w:rFonts w:ascii="Times New Roman" w:hAnsi="Times New Roman" w:cs="B Nazanin"/>
          <w:b w:val="0"/>
          <w:i/>
          <w:sz w:val="23"/>
          <w:szCs w:val="23"/>
          <w:rtl/>
          <w:lang w:eastAsia="en-GB"/>
        </w:rPr>
      </w:pPr>
      <w:r w:rsidRPr="00551F33">
        <w:rPr>
          <w:rFonts w:ascii="Times New Roman" w:hAnsi="Times New Roman" w:cs="B Nazanin" w:hint="cs"/>
          <w:b w:val="0"/>
          <w:i/>
          <w:sz w:val="23"/>
          <w:szCs w:val="23"/>
          <w:rtl/>
          <w:lang w:eastAsia="en-GB"/>
        </w:rPr>
        <w:lastRenderedPageBreak/>
        <w:t>۱۵. ۸. ۴ اظهار نظر</w:t>
      </w:r>
    </w:p>
    <w:p w14:paraId="2486507C"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تعادل عمومی مشمول نرخ وامی است که بانک</w:t>
      </w:r>
      <w:r w:rsidRPr="00551F33">
        <w:rPr>
          <w:i/>
          <w:sz w:val="23"/>
          <w:szCs w:val="23"/>
          <w:lang w:eastAsia="en-GB"/>
        </w:rPr>
        <w:t>‌</w:t>
      </w:r>
      <w:r w:rsidRPr="00551F33">
        <w:rPr>
          <w:rFonts w:hint="cs"/>
          <w:i/>
          <w:sz w:val="23"/>
          <w:szCs w:val="23"/>
          <w:rtl/>
          <w:lang w:eastAsia="en-GB"/>
        </w:rPr>
        <w:t>ها تعیین می‌کنند ( معادله‌ی ۱۵. ۳۸)، و بخش خصوصی غیربانکی با آن مواجه است ( معادله‌ی ۱۵. ۲۷). این امر مستلزم آن است که بانک‌ها و بخش خصوصی غیربانکی اشتیاق یکسانی به ریسک داشته باشند- شرط مهم بازار کامل است (نگاه کنید به فصل یازدهم). تقاضا برای وام‌ از سوی بخش خصوصی غیربانکی مساوی عرضه‌ی وام از سوی بانک‌ها خواهد بود. اگر بانک‌ها اشتیاق کمتری به ریسک داشته باشند، تفاوت در اشتیاق به ریسک ممکن است به جیره</w:t>
      </w:r>
      <w:r w:rsidRPr="00551F33">
        <w:rPr>
          <w:i/>
          <w:sz w:val="23"/>
          <w:szCs w:val="23"/>
          <w:lang w:eastAsia="en-GB"/>
        </w:rPr>
        <w:t>‌</w:t>
      </w:r>
      <w:r w:rsidRPr="00551F33">
        <w:rPr>
          <w:rFonts w:hint="cs"/>
          <w:i/>
          <w:sz w:val="23"/>
          <w:szCs w:val="23"/>
          <w:rtl/>
          <w:lang w:eastAsia="en-GB"/>
        </w:rPr>
        <w:t>بندی اعتبار منجر شود، و اگر بانک</w:t>
      </w:r>
      <w:r w:rsidRPr="00551F33">
        <w:rPr>
          <w:i/>
          <w:sz w:val="23"/>
          <w:szCs w:val="23"/>
          <w:lang w:eastAsia="en-GB"/>
        </w:rPr>
        <w:t>‌</w:t>
      </w:r>
      <w:r w:rsidRPr="00551F33">
        <w:rPr>
          <w:rFonts w:hint="cs"/>
          <w:i/>
          <w:sz w:val="23"/>
          <w:szCs w:val="23"/>
          <w:rtl/>
          <w:lang w:eastAsia="en-GB"/>
        </w:rPr>
        <w:t>ها ریسک</w:t>
      </w:r>
      <w:r w:rsidRPr="00551F33">
        <w:rPr>
          <w:rFonts w:hint="cs"/>
          <w:i/>
          <w:sz w:val="23"/>
          <w:szCs w:val="23"/>
          <w:rtl/>
          <w:lang w:eastAsia="en-GB"/>
        </w:rPr>
        <w:softHyphen/>
        <w:t xml:space="preserve">گریزتر باشند به مازاد عرضه‌ی وام منجر </w:t>
      </w:r>
      <w:r w:rsidRPr="00551F33">
        <w:rPr>
          <w:i/>
          <w:sz w:val="23"/>
          <w:szCs w:val="23"/>
          <w:lang w:eastAsia="en-GB"/>
        </w:rPr>
        <w:t>‌</w:t>
      </w:r>
      <w:r w:rsidRPr="00551F33">
        <w:rPr>
          <w:rFonts w:hint="cs"/>
          <w:i/>
          <w:sz w:val="23"/>
          <w:szCs w:val="23"/>
          <w:rtl/>
          <w:lang w:eastAsia="en-GB"/>
        </w:rPr>
        <w:t>خواهد شد. تغییر در درک ریسک بانک‌ها ممکن است نرخ وام، و به تبع آن حجم وام‌ها را تغییر دهد. برای مثال، کاهش در بازپرداخت وام‌ها  باعث افزایش نرخ وام ‌شده، در دور بعد حجم وام را کاهش داده و سود بانک را در دوره</w:t>
      </w:r>
      <w:r w:rsidRPr="00551F33">
        <w:rPr>
          <w:i/>
          <w:sz w:val="23"/>
          <w:szCs w:val="23"/>
          <w:rtl/>
          <w:lang w:eastAsia="en-GB"/>
        </w:rPr>
        <w:softHyphen/>
      </w:r>
      <w:r w:rsidRPr="00551F33">
        <w:rPr>
          <w:rFonts w:hint="cs"/>
          <w:i/>
          <w:sz w:val="23"/>
          <w:szCs w:val="23"/>
          <w:rtl/>
          <w:lang w:eastAsia="en-GB"/>
        </w:rPr>
        <w:t>ی جاری کاهش خواهد داد. در این مدل فرض می</w:t>
      </w:r>
      <w:r w:rsidRPr="00551F33">
        <w:rPr>
          <w:i/>
          <w:sz w:val="23"/>
          <w:szCs w:val="23"/>
          <w:lang w:eastAsia="en-GB"/>
        </w:rPr>
        <w:t>‌</w:t>
      </w:r>
      <w:r w:rsidRPr="00551F33">
        <w:rPr>
          <w:rFonts w:hint="cs"/>
          <w:i/>
          <w:sz w:val="23"/>
          <w:szCs w:val="23"/>
          <w:rtl/>
          <w:lang w:eastAsia="en-GB"/>
        </w:rPr>
        <w:t>شود نرخ قصور به درستی قیمت</w:t>
      </w:r>
      <w:r w:rsidRPr="00551F33">
        <w:rPr>
          <w:rFonts w:hint="cs"/>
          <w:i/>
          <w:sz w:val="23"/>
          <w:szCs w:val="23"/>
          <w:rtl/>
          <w:lang w:eastAsia="en-GB"/>
        </w:rPr>
        <w:softHyphen/>
        <w:t>گذاری شده است. اگر بانک‌ها ریسک قصور را کمتر از حدّ برآورد کنند، آنگاه نرخ بسیار پایینی را برای وام تعیین خواهند کرد، و اگر بخش خصوصی غیربانکی بدرستی احتمالات قصور را ارزیابی کند، ارزش وام‌ها بیشتر از حالتی است که بانک</w:t>
      </w:r>
      <w:r w:rsidRPr="00551F33">
        <w:rPr>
          <w:i/>
          <w:sz w:val="23"/>
          <w:szCs w:val="23"/>
          <w:lang w:eastAsia="en-GB"/>
        </w:rPr>
        <w:t>‌</w:t>
      </w:r>
      <w:r w:rsidRPr="00551F33">
        <w:rPr>
          <w:rFonts w:hint="cs"/>
          <w:i/>
          <w:sz w:val="23"/>
          <w:szCs w:val="23"/>
          <w:rtl/>
          <w:lang w:eastAsia="en-GB"/>
        </w:rPr>
        <w:t>ها نرخ قصور را به درستی برآورد کرده</w:t>
      </w:r>
      <w:r w:rsidRPr="00551F33">
        <w:rPr>
          <w:i/>
          <w:sz w:val="23"/>
          <w:szCs w:val="23"/>
          <w:rtl/>
          <w:lang w:eastAsia="en-GB"/>
        </w:rPr>
        <w:softHyphen/>
      </w:r>
      <w:r w:rsidRPr="00551F33">
        <w:rPr>
          <w:rFonts w:hint="cs"/>
          <w:i/>
          <w:sz w:val="23"/>
          <w:szCs w:val="23"/>
          <w:rtl/>
          <w:lang w:eastAsia="en-GB"/>
        </w:rPr>
        <w:t>اند. بعلاوه بانک‌ها  تشویق می‌شوند سهم بیشتری از نسبت اهرمی این وام</w:t>
      </w:r>
      <w:r w:rsidRPr="00551F33">
        <w:rPr>
          <w:i/>
          <w:sz w:val="23"/>
          <w:szCs w:val="23"/>
          <w:lang w:eastAsia="en-GB"/>
        </w:rPr>
        <w:t>‌</w:t>
      </w:r>
      <w:r w:rsidRPr="00551F33">
        <w:rPr>
          <w:rFonts w:hint="cs"/>
          <w:i/>
          <w:sz w:val="23"/>
          <w:szCs w:val="23"/>
          <w:rtl/>
          <w:lang w:eastAsia="en-GB"/>
        </w:rPr>
        <w:t>ها داشته باشند. بانک‌ها به منظور وام دادن به نرخی بالاتر، در نرخی پایین قرض می‌کنند، اما ممکن است بیش از حدّ قرض کنند.</w:t>
      </w:r>
    </w:p>
    <w:p w14:paraId="4FCA65C9"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برخی فروض‌ مدل به منظور سهولت اتخاذ شده‌ا است. بانک‌ها تمایل دارند در کوتاه</w:t>
      </w:r>
      <w:r w:rsidRPr="00551F33">
        <w:rPr>
          <w:rFonts w:hint="cs"/>
          <w:i/>
          <w:sz w:val="23"/>
          <w:szCs w:val="23"/>
          <w:rtl/>
          <w:lang w:eastAsia="en-GB"/>
        </w:rPr>
        <w:softHyphen/>
        <w:t>مدت قرض کرده و در بلندمدت وام دهند و سود آن</w:t>
      </w:r>
      <w:r w:rsidRPr="00551F33">
        <w:rPr>
          <w:rFonts w:hint="cs"/>
          <w:i/>
          <w:sz w:val="23"/>
          <w:szCs w:val="23"/>
          <w:rtl/>
          <w:lang w:eastAsia="en-GB"/>
        </w:rPr>
        <w:softHyphen/>
        <w:t>ها، محصول استقراض در نرخی پایین</w:t>
      </w:r>
      <w:r w:rsidRPr="00551F33">
        <w:rPr>
          <w:i/>
          <w:sz w:val="23"/>
          <w:szCs w:val="23"/>
          <w:lang w:eastAsia="en-GB"/>
        </w:rPr>
        <w:t>‌</w:t>
      </w:r>
      <w:r w:rsidRPr="00551F33">
        <w:rPr>
          <w:rFonts w:hint="cs"/>
          <w:i/>
          <w:sz w:val="23"/>
          <w:szCs w:val="23"/>
          <w:rtl/>
          <w:lang w:eastAsia="en-GB"/>
        </w:rPr>
        <w:t>تر از بخش خصوصی غیربانکی است. در مدل اقتصادی فرض شده که تمام وام</w:t>
      </w:r>
      <w:r w:rsidRPr="00551F33">
        <w:rPr>
          <w:rFonts w:hint="cs"/>
          <w:i/>
          <w:sz w:val="23"/>
          <w:szCs w:val="23"/>
          <w:rtl/>
          <w:lang w:eastAsia="en-GB"/>
        </w:rPr>
        <w:softHyphen/>
        <w:t>ها برای یک دوره است. ساختار زمانی نرخ بهره را می</w:t>
      </w:r>
      <w:r w:rsidRPr="00551F33">
        <w:rPr>
          <w:i/>
          <w:sz w:val="23"/>
          <w:szCs w:val="23"/>
          <w:lang w:eastAsia="en-GB"/>
        </w:rPr>
        <w:t>‌</w:t>
      </w:r>
      <w:r w:rsidRPr="00551F33">
        <w:rPr>
          <w:rFonts w:hint="cs"/>
          <w:i/>
          <w:sz w:val="23"/>
          <w:szCs w:val="23"/>
          <w:rtl/>
          <w:lang w:eastAsia="en-GB"/>
        </w:rPr>
        <w:t>توان مورد استفاده قرار داد تا نرخ وامی که بخش خصوصی غیربانکی با آن روبروست را بر وام یک دوره</w:t>
      </w:r>
      <w:r w:rsidRPr="00551F33">
        <w:rPr>
          <w:rFonts w:hint="cs"/>
          <w:i/>
          <w:sz w:val="23"/>
          <w:szCs w:val="23"/>
          <w:rtl/>
          <w:lang w:eastAsia="en-GB"/>
        </w:rPr>
        <w:softHyphen/>
        <w:t>ای فرضی پیوند زند. این نکته منبع دیگری از ریسک است که در فصل دوازدهم شرح داده شد.</w:t>
      </w:r>
    </w:p>
    <w:p w14:paraId="22AFA777"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به طور ضمنی، اگر احتمال حتی قصور جزئی وجود داشته باشد، فرض می</w:t>
      </w:r>
      <w:r w:rsidRPr="00551F33">
        <w:rPr>
          <w:i/>
          <w:sz w:val="23"/>
          <w:szCs w:val="23"/>
          <w:rtl/>
          <w:lang w:eastAsia="en-GB"/>
        </w:rPr>
        <w:softHyphen/>
      </w:r>
      <w:r w:rsidRPr="00551F33">
        <w:rPr>
          <w:rFonts w:hint="cs"/>
          <w:i/>
          <w:sz w:val="23"/>
          <w:szCs w:val="23"/>
          <w:rtl/>
          <w:lang w:eastAsia="en-GB"/>
        </w:rPr>
        <w:t>شود که نرخ سپرده از نرخ وام کم</w:t>
      </w:r>
      <w:r w:rsidRPr="00551F33">
        <w:rPr>
          <w:i/>
          <w:sz w:val="23"/>
          <w:szCs w:val="23"/>
          <w:rtl/>
          <w:lang w:eastAsia="en-GB"/>
        </w:rPr>
        <w:softHyphen/>
      </w:r>
      <w:r w:rsidRPr="00551F33">
        <w:rPr>
          <w:rFonts w:hint="cs"/>
          <w:i/>
          <w:sz w:val="23"/>
          <w:szCs w:val="23"/>
          <w:rtl/>
          <w:lang w:eastAsia="en-GB"/>
        </w:rPr>
        <w:t>تر است. و اگر بخش بانکی کمتر رقابتی باشد، این مابه</w:t>
      </w:r>
      <w:r w:rsidRPr="00551F33">
        <w:rPr>
          <w:rFonts w:hint="cs"/>
          <w:i/>
          <w:sz w:val="23"/>
          <w:szCs w:val="23"/>
          <w:rtl/>
          <w:lang w:eastAsia="en-GB"/>
        </w:rPr>
        <w:softHyphen/>
        <w:t>التفاوت ممکن است بزرگ</w:t>
      </w:r>
      <w:r w:rsidRPr="00551F33">
        <w:rPr>
          <w:rFonts w:hint="cs"/>
          <w:i/>
          <w:sz w:val="23"/>
          <w:szCs w:val="23"/>
          <w:rtl/>
          <w:lang w:eastAsia="en-GB"/>
        </w:rPr>
        <w:softHyphen/>
        <w:t>تر نیز باشد. با توجه به یک کاسه بودن سیستم بانک</w:t>
      </w:r>
      <w:r w:rsidRPr="00551F33">
        <w:rPr>
          <w:i/>
          <w:sz w:val="23"/>
          <w:szCs w:val="23"/>
          <w:rtl/>
          <w:lang w:eastAsia="en-GB"/>
        </w:rPr>
        <w:softHyphen/>
      </w:r>
      <w:r w:rsidRPr="00551F33">
        <w:rPr>
          <w:rFonts w:hint="cs"/>
          <w:i/>
          <w:sz w:val="23"/>
          <w:szCs w:val="23"/>
          <w:rtl/>
          <w:lang w:eastAsia="en-GB"/>
        </w:rPr>
        <w:t>داری کشورها، سود انحصاری بانک از مابه</w:t>
      </w:r>
      <w:r w:rsidRPr="00551F33">
        <w:rPr>
          <w:rFonts w:hint="cs"/>
          <w:i/>
          <w:sz w:val="23"/>
          <w:szCs w:val="23"/>
          <w:rtl/>
          <w:lang w:eastAsia="en-GB"/>
        </w:rPr>
        <w:softHyphen/>
        <w:t>التفاوت اعتبار به دست می</w:t>
      </w:r>
      <w:r w:rsidRPr="00551F33">
        <w:rPr>
          <w:i/>
          <w:sz w:val="23"/>
          <w:szCs w:val="23"/>
          <w:rtl/>
          <w:lang w:eastAsia="en-GB"/>
        </w:rPr>
        <w:softHyphen/>
      </w:r>
      <w:r w:rsidRPr="00551F33">
        <w:rPr>
          <w:rFonts w:hint="cs"/>
          <w:i/>
          <w:sz w:val="23"/>
          <w:szCs w:val="23"/>
          <w:rtl/>
          <w:lang w:eastAsia="en-GB"/>
        </w:rPr>
        <w:t>آید.</w:t>
      </w:r>
    </w:p>
    <w:p w14:paraId="47B832BB"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همان</w:t>
      </w:r>
      <w:r w:rsidRPr="00551F33">
        <w:rPr>
          <w:rFonts w:hint="cs"/>
          <w:i/>
          <w:sz w:val="23"/>
          <w:szCs w:val="23"/>
          <w:rtl/>
          <w:lang w:eastAsia="en-GB"/>
        </w:rPr>
        <w:softHyphen/>
        <w:t>طور که قبلاً اشاره شد عملکرد اصلی بازار بین</w:t>
      </w:r>
      <w:r w:rsidRPr="00551F33">
        <w:rPr>
          <w:rFonts w:hint="cs"/>
          <w:i/>
          <w:sz w:val="23"/>
          <w:szCs w:val="23"/>
          <w:rtl/>
          <w:lang w:eastAsia="en-GB"/>
        </w:rPr>
        <w:softHyphen/>
        <w:t>بانکی، تأمین نقدینگی سیستم بانکی از طریق وام‌های شبانه است تا اثرات معاملات مقطوع و سرجمع هموار شود. این معاملات شامل عدم تطابق کوتاه</w:t>
      </w:r>
      <w:r w:rsidRPr="00551F33">
        <w:rPr>
          <w:rFonts w:hint="cs"/>
          <w:i/>
          <w:sz w:val="23"/>
          <w:szCs w:val="23"/>
          <w:rtl/>
          <w:lang w:eastAsia="en-GB"/>
        </w:rPr>
        <w:softHyphen/>
        <w:t>مدت جریان‌ مالی به داخل و خارج بانک‌هاست، بانک‌ها می</w:t>
      </w:r>
      <w:r w:rsidRPr="00551F33">
        <w:rPr>
          <w:i/>
          <w:sz w:val="23"/>
          <w:szCs w:val="23"/>
          <w:lang w:eastAsia="en-GB"/>
        </w:rPr>
        <w:t>‌</w:t>
      </w:r>
      <w:r w:rsidRPr="00551F33">
        <w:rPr>
          <w:rFonts w:hint="cs"/>
          <w:i/>
          <w:sz w:val="23"/>
          <w:szCs w:val="23"/>
          <w:rtl/>
          <w:lang w:eastAsia="en-GB"/>
        </w:rPr>
        <w:t>توانند در کوتاه</w:t>
      </w:r>
      <w:r w:rsidRPr="00551F33">
        <w:rPr>
          <w:i/>
          <w:sz w:val="23"/>
          <w:szCs w:val="23"/>
          <w:lang w:eastAsia="en-GB"/>
        </w:rPr>
        <w:t>‌</w:t>
      </w:r>
      <w:r w:rsidRPr="00551F33">
        <w:rPr>
          <w:rFonts w:hint="cs"/>
          <w:i/>
          <w:sz w:val="23"/>
          <w:szCs w:val="23"/>
          <w:rtl/>
          <w:lang w:eastAsia="en-GB"/>
        </w:rPr>
        <w:t>مدت از بازار بین بانکی استقراض کنند تا عدم تطابق وام‌ها را پوشش دهند. چون بانک‌ها در کوتاه</w:t>
      </w:r>
      <w:r w:rsidRPr="00551F33">
        <w:rPr>
          <w:rFonts w:hint="cs"/>
          <w:i/>
          <w:sz w:val="23"/>
          <w:szCs w:val="23"/>
          <w:rtl/>
          <w:lang w:eastAsia="en-GB"/>
        </w:rPr>
        <w:softHyphen/>
        <w:t>مدت قرض می‌کنند و در بلندمدت وام می‌دهند، احتیاج دارند مبالغ بزرگی را مکرراً تأمین مالی کنند. در دوره</w:t>
      </w:r>
      <w:r w:rsidRPr="00551F33">
        <w:rPr>
          <w:rFonts w:hint="cs"/>
          <w:i/>
          <w:sz w:val="23"/>
          <w:szCs w:val="23"/>
          <w:rtl/>
          <w:lang w:eastAsia="en-GB"/>
        </w:rPr>
        <w:softHyphen/>
        <w:t>ی بحران مالی بدلیل عدم قطعیت و همچنین ریسک قصور بانک‌ها، بازار بین</w:t>
      </w:r>
      <w:r w:rsidRPr="00551F33">
        <w:rPr>
          <w:rFonts w:hint="cs"/>
          <w:i/>
          <w:sz w:val="23"/>
          <w:szCs w:val="23"/>
          <w:rtl/>
          <w:lang w:eastAsia="en-GB"/>
        </w:rPr>
        <w:softHyphen/>
        <w:t>بانکی مایل نبود این نقش را ایفا کند، و به همین دلیل بحران نقدینگی بوجود آمد. در این فصل به جای آن</w:t>
      </w:r>
      <w:r w:rsidRPr="00551F33">
        <w:rPr>
          <w:i/>
          <w:sz w:val="23"/>
          <w:szCs w:val="23"/>
          <w:rtl/>
          <w:lang w:eastAsia="en-GB"/>
        </w:rPr>
        <w:softHyphen/>
      </w:r>
      <w:r w:rsidRPr="00551F33">
        <w:rPr>
          <w:rFonts w:hint="cs"/>
          <w:i/>
          <w:sz w:val="23"/>
          <w:szCs w:val="23"/>
          <w:rtl/>
          <w:lang w:eastAsia="en-GB"/>
        </w:rPr>
        <w:t>که بازار‌ بین</w:t>
      </w:r>
      <w:r w:rsidRPr="00551F33">
        <w:rPr>
          <w:rFonts w:hint="cs"/>
          <w:i/>
          <w:sz w:val="23"/>
          <w:szCs w:val="23"/>
          <w:rtl/>
          <w:lang w:eastAsia="en-GB"/>
        </w:rPr>
        <w:softHyphen/>
        <w:t xml:space="preserve">بانکی را در مدل اقتصادی در نظر بگیریم، کل سیستم بانکی را یک کاسه کردیم. در نتیجه این جنبه مهم بحران مالی </w:t>
      </w:r>
      <w:r w:rsidRPr="00551F33">
        <w:rPr>
          <w:rFonts w:hint="cs"/>
          <w:i/>
          <w:sz w:val="23"/>
          <w:szCs w:val="23"/>
          <w:rtl/>
          <w:lang w:eastAsia="en-GB"/>
        </w:rPr>
        <w:lastRenderedPageBreak/>
        <w:t>را وارد تحلیل نکردیم. بااین</w:t>
      </w:r>
      <w:r w:rsidRPr="00551F33">
        <w:rPr>
          <w:i/>
          <w:sz w:val="23"/>
          <w:szCs w:val="23"/>
          <w:rtl/>
          <w:lang w:eastAsia="en-GB"/>
        </w:rPr>
        <w:softHyphen/>
      </w:r>
      <w:r w:rsidRPr="00551F33">
        <w:rPr>
          <w:rFonts w:hint="cs"/>
          <w:i/>
          <w:sz w:val="23"/>
          <w:szCs w:val="23"/>
          <w:rtl/>
          <w:lang w:eastAsia="en-GB"/>
        </w:rPr>
        <w:t>حال سیستم بانکی را منفک، و وام‌های بین</w:t>
      </w:r>
      <w:r w:rsidRPr="00551F33">
        <w:rPr>
          <w:rFonts w:hint="cs"/>
          <w:i/>
          <w:sz w:val="23"/>
          <w:szCs w:val="23"/>
          <w:rtl/>
          <w:lang w:eastAsia="en-GB"/>
        </w:rPr>
        <w:softHyphen/>
        <w:t>بانکی را توام با ریسک قصور وام‌ها معرفی کردیم ( برای مثال نگاه کنید به گودهارت و دیگران). هر چه ریسک قصور یک بانک بالاتر باشد، هزینه‌ی استقراض از بازار بین</w:t>
      </w:r>
      <w:r w:rsidRPr="00551F33">
        <w:rPr>
          <w:rFonts w:hint="cs"/>
          <w:i/>
          <w:sz w:val="23"/>
          <w:szCs w:val="23"/>
          <w:rtl/>
          <w:lang w:eastAsia="en-GB"/>
        </w:rPr>
        <w:softHyphen/>
        <w:t>بانکی بیشتر خواهد بود.</w:t>
      </w:r>
    </w:p>
    <w:p w14:paraId="007F1A1C"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همچنین فرض شد که نرخ قصور درون</w:t>
      </w:r>
      <w:r w:rsidRPr="00551F33">
        <w:rPr>
          <w:i/>
          <w:sz w:val="23"/>
          <w:szCs w:val="23"/>
          <w:rtl/>
          <w:lang w:eastAsia="en-GB"/>
        </w:rPr>
        <w:softHyphen/>
      </w:r>
      <w:r w:rsidRPr="00551F33">
        <w:rPr>
          <w:rFonts w:hint="cs"/>
          <w:i/>
          <w:sz w:val="23"/>
          <w:szCs w:val="23"/>
          <w:rtl/>
          <w:lang w:eastAsia="en-GB"/>
        </w:rPr>
        <w:t>زاست و به شوک‌های اقتصاد کلان همانند شوک درآمدی و یا شوک نرخ وام وابسته است. هنگامی که ارزش فعلی خالص یک پروژه</w:t>
      </w:r>
      <w:r w:rsidRPr="00551F33">
        <w:rPr>
          <w:i/>
          <w:sz w:val="23"/>
          <w:szCs w:val="23"/>
          <w:rtl/>
          <w:lang w:eastAsia="en-GB"/>
        </w:rPr>
        <w:softHyphen/>
      </w:r>
      <w:r w:rsidRPr="00551F33">
        <w:rPr>
          <w:rFonts w:hint="cs"/>
          <w:i/>
          <w:sz w:val="23"/>
          <w:szCs w:val="23"/>
          <w:rtl/>
          <w:lang w:eastAsia="en-GB"/>
        </w:rPr>
        <w:t>ی سرمایه</w:t>
      </w:r>
      <w:r w:rsidRPr="00551F33">
        <w:rPr>
          <w:rFonts w:hint="cs"/>
          <w:i/>
          <w:sz w:val="23"/>
          <w:szCs w:val="23"/>
          <w:rtl/>
          <w:lang w:eastAsia="en-GB"/>
        </w:rPr>
        <w:softHyphen/>
        <w:t>گذاری منفی باشد، احتمال قصور بسیار بالا است. قصور احتمالاً به عواملی نظیر حساسیت ثروت خالص بخش غیر‌بانکی به شوک‌هایی نظیر نسبت وام‌ها به دارایی‌ها- اثر انباره</w:t>
      </w:r>
      <w:r w:rsidRPr="00551F33">
        <w:rPr>
          <w:rFonts w:hint="cs"/>
          <w:i/>
          <w:sz w:val="23"/>
          <w:szCs w:val="23"/>
          <w:rtl/>
          <w:lang w:eastAsia="en-GB"/>
        </w:rPr>
        <w:softHyphen/>
        <w:t>ای- و نسبت پرداخت‌ بهره</w:t>
      </w:r>
      <w:r w:rsidRPr="00551F33">
        <w:rPr>
          <w:rFonts w:hint="cs"/>
          <w:i/>
          <w:sz w:val="23"/>
          <w:szCs w:val="23"/>
          <w:rtl/>
          <w:lang w:eastAsia="en-GB"/>
        </w:rPr>
        <w:softHyphen/>
        <w:t xml:space="preserve"> به درآمد -اثر جریان- بستگی خواهد داشت. قصور بدلیل اثر منفی ثروت خالص ممکن است به ورشکستگی بیانجامد. تجدید ساختار مدت وام، برای طرفین، اغلب آلترنتیو بهتری است تا قصور.</w:t>
      </w:r>
    </w:p>
    <w:p w14:paraId="27196669" w14:textId="77777777" w:rsidR="00556C10" w:rsidRPr="00551F33" w:rsidRDefault="00556C10" w:rsidP="00556C10">
      <w:pPr>
        <w:spacing w:line="216" w:lineRule="auto"/>
        <w:rPr>
          <w:rFonts w:eastAsiaTheme="minorHAnsi"/>
          <w:i/>
          <w:sz w:val="23"/>
          <w:szCs w:val="23"/>
          <w:rtl/>
        </w:rPr>
      </w:pPr>
      <w:r w:rsidRPr="00551F33">
        <w:rPr>
          <w:rFonts w:hint="cs"/>
          <w:i/>
          <w:sz w:val="23"/>
          <w:szCs w:val="23"/>
          <w:rtl/>
        </w:rPr>
        <w:t>در هنگام قصور و ارائه وام توسط بانک‌ها، به نظر می</w:t>
      </w:r>
      <w:r w:rsidRPr="00551F33">
        <w:rPr>
          <w:i/>
          <w:sz w:val="23"/>
          <w:szCs w:val="23"/>
        </w:rPr>
        <w:t>‌</w:t>
      </w:r>
      <w:r w:rsidRPr="00551F33">
        <w:rPr>
          <w:rFonts w:hint="cs"/>
          <w:i/>
          <w:sz w:val="23"/>
          <w:szCs w:val="23"/>
          <w:rtl/>
        </w:rPr>
        <w:t>رسد که بانک</w:t>
      </w:r>
      <w:r w:rsidRPr="00551F33">
        <w:rPr>
          <w:i/>
          <w:sz w:val="23"/>
          <w:szCs w:val="23"/>
          <w:rtl/>
        </w:rPr>
        <w:softHyphen/>
      </w:r>
      <w:r w:rsidRPr="00551F33">
        <w:rPr>
          <w:rFonts w:hint="cs"/>
          <w:i/>
          <w:sz w:val="23"/>
          <w:szCs w:val="23"/>
          <w:rtl/>
        </w:rPr>
        <w:t>ها فرض می</w:t>
      </w:r>
      <w:r w:rsidRPr="00551F33">
        <w:rPr>
          <w:i/>
          <w:sz w:val="23"/>
          <w:szCs w:val="23"/>
        </w:rPr>
        <w:t>‌</w:t>
      </w:r>
      <w:r w:rsidRPr="00551F33">
        <w:rPr>
          <w:rFonts w:hint="cs"/>
          <w:i/>
          <w:sz w:val="23"/>
          <w:szCs w:val="23"/>
          <w:rtl/>
        </w:rPr>
        <w:t>کنند قصور انفرادی است و لذا با تنوع پرتفوی وام</w:t>
      </w:r>
      <w:r w:rsidRPr="00551F33">
        <w:rPr>
          <w:i/>
          <w:sz w:val="23"/>
          <w:szCs w:val="23"/>
          <w:rtl/>
        </w:rPr>
        <w:softHyphen/>
      </w:r>
      <w:r w:rsidRPr="00551F33">
        <w:rPr>
          <w:rFonts w:hint="cs"/>
          <w:i/>
          <w:sz w:val="23"/>
          <w:szCs w:val="23"/>
          <w:rtl/>
        </w:rPr>
        <w:t>گیرندگان، ریسک خود را کاهش می</w:t>
      </w:r>
      <w:r w:rsidRPr="00551F33">
        <w:rPr>
          <w:i/>
          <w:sz w:val="23"/>
          <w:szCs w:val="23"/>
          <w:rtl/>
        </w:rPr>
        <w:softHyphen/>
      </w:r>
      <w:r w:rsidRPr="00551F33">
        <w:rPr>
          <w:rFonts w:hint="cs"/>
          <w:i/>
          <w:sz w:val="23"/>
          <w:szCs w:val="23"/>
          <w:rtl/>
        </w:rPr>
        <w:t>دهند. هرچند معمولاً  قصور سیستماتیک است و تنوع پرتفو برای کاهش ریسک اثربخشی بسیار کمی دارد. در مدل اقتصادی، ریسک قصور</w:t>
      </w:r>
      <w:r w:rsidRPr="00551F33">
        <w:rPr>
          <w:position w:val="-10"/>
        </w:rPr>
        <w:object w:dxaOrig="220" w:dyaOrig="320" w14:anchorId="5A3C7C70">
          <v:shape id="_x0000_i7988" type="#_x0000_t75" style="width:10.9pt;height:15.75pt" o:ole="">
            <v:imagedata r:id="rId14051" o:title=""/>
          </v:shape>
          <o:OLEObject Type="Embed" ProgID="Equation.DSMT4" ShapeID="_x0000_i7988" DrawAspect="Content" ObjectID="_1791381931" r:id="rId14052"/>
        </w:object>
      </w:r>
      <w:r w:rsidRPr="00551F33">
        <w:rPr>
          <w:rFonts w:hint="cs"/>
          <w:i/>
          <w:sz w:val="23"/>
          <w:szCs w:val="23"/>
          <w:rtl/>
        </w:rPr>
        <w:t xml:space="preserve"> به دو عامل ریسک منفرد</w:t>
      </w:r>
      <w:r w:rsidRPr="00551F33">
        <w:rPr>
          <w:position w:val="-10"/>
        </w:rPr>
        <w:object w:dxaOrig="260" w:dyaOrig="340" w14:anchorId="5D7ECC1F">
          <v:shape id="_x0000_i7989" type="#_x0000_t75" style="width:13.3pt;height:16.95pt" o:ole="">
            <v:imagedata r:id="rId14053" o:title=""/>
          </v:shape>
          <o:OLEObject Type="Embed" ProgID="Equation.DSMT4" ShapeID="_x0000_i7989" DrawAspect="Content" ObjectID="_1791381932" r:id="rId14054"/>
        </w:object>
      </w:r>
      <w:r w:rsidRPr="00551F33">
        <w:rPr>
          <w:rFonts w:hint="cs"/>
          <w:i/>
          <w:sz w:val="23"/>
          <w:szCs w:val="23"/>
          <w:rtl/>
        </w:rPr>
        <w:t xml:space="preserve"> و عامل بسیار بزرگتر ریسک سیستماتیک </w:t>
      </w:r>
      <w:r w:rsidRPr="00551F33">
        <w:rPr>
          <w:position w:val="-10"/>
        </w:rPr>
        <w:object w:dxaOrig="279" w:dyaOrig="340" w14:anchorId="6469AFA1">
          <v:shape id="_x0000_i7990" type="#_x0000_t75" style="width:13.9pt;height:16.95pt" o:ole="">
            <v:imagedata r:id="rId14055" o:title=""/>
          </v:shape>
          <o:OLEObject Type="Embed" ProgID="Equation.DSMT4" ShapeID="_x0000_i7990" DrawAspect="Content" ObjectID="_1791381933" r:id="rId14056"/>
        </w:object>
      </w:r>
      <w:r w:rsidRPr="00551F33">
        <w:rPr>
          <w:rFonts w:hint="cs"/>
          <w:i/>
          <w:sz w:val="23"/>
          <w:szCs w:val="23"/>
          <w:rtl/>
        </w:rPr>
        <w:t xml:space="preserve"> که متأثر از شوک‌های اقتصادی کلان است تجزیه می</w:t>
      </w:r>
      <w:r w:rsidRPr="00551F33">
        <w:rPr>
          <w:rFonts w:hint="cs"/>
          <w:i/>
          <w:sz w:val="23"/>
          <w:szCs w:val="23"/>
          <w:rtl/>
        </w:rPr>
        <w:softHyphen/>
        <w:t>شود، به</w:t>
      </w:r>
      <w:r w:rsidRPr="00551F33">
        <w:rPr>
          <w:i/>
          <w:sz w:val="23"/>
          <w:szCs w:val="23"/>
          <w:rtl/>
        </w:rPr>
        <w:softHyphen/>
      </w:r>
      <w:r w:rsidRPr="00551F33">
        <w:rPr>
          <w:rFonts w:hint="cs"/>
          <w:i/>
          <w:sz w:val="23"/>
          <w:szCs w:val="23"/>
          <w:rtl/>
        </w:rPr>
        <w:t>طوری</w:t>
      </w:r>
      <w:r w:rsidRPr="00551F33">
        <w:rPr>
          <w:i/>
          <w:sz w:val="23"/>
          <w:szCs w:val="23"/>
          <w:rtl/>
        </w:rPr>
        <w:softHyphen/>
      </w:r>
      <w:r w:rsidRPr="00551F33">
        <w:rPr>
          <w:rFonts w:hint="cs"/>
          <w:i/>
          <w:sz w:val="23"/>
          <w:szCs w:val="23"/>
          <w:rtl/>
        </w:rPr>
        <w:t>که</w:t>
      </w:r>
      <w:r w:rsidRPr="00551F33">
        <w:rPr>
          <w:position w:val="-10"/>
        </w:rPr>
        <w:object w:dxaOrig="1080" w:dyaOrig="340" w14:anchorId="4583A2AF">
          <v:shape id="_x0000_i7991" type="#_x0000_t75" style="width:54.45pt;height:16.95pt" o:ole="">
            <v:imagedata r:id="rId14057" o:title=""/>
          </v:shape>
          <o:OLEObject Type="Embed" ProgID="Equation.DSMT4" ShapeID="_x0000_i7991" DrawAspect="Content" ObjectID="_1791381934" r:id="rId14058"/>
        </w:object>
      </w:r>
      <w:r w:rsidRPr="00551F33">
        <w:rPr>
          <w:i/>
          <w:sz w:val="23"/>
          <w:szCs w:val="23"/>
        </w:rPr>
        <w:t>.</w:t>
      </w:r>
      <w:r w:rsidRPr="00551F33">
        <w:rPr>
          <w:rFonts w:hint="cs"/>
          <w:i/>
          <w:sz w:val="23"/>
          <w:szCs w:val="23"/>
          <w:rtl/>
        </w:rPr>
        <w:t xml:space="preserve"> این تجزیه باعث تقویت کواریانس شرطی منفی</w:t>
      </w:r>
      <w:r w:rsidRPr="00551F33">
        <w:rPr>
          <w:position w:val="-10"/>
        </w:rPr>
        <w:object w:dxaOrig="279" w:dyaOrig="340" w14:anchorId="6604DC54">
          <v:shape id="_x0000_i7992" type="#_x0000_t75" style="width:13.9pt;height:16.95pt" o:ole="">
            <v:imagedata r:id="rId14059" o:title=""/>
          </v:shape>
          <o:OLEObject Type="Embed" ProgID="Equation.DSMT4" ShapeID="_x0000_i7992" DrawAspect="Content" ObjectID="_1791381935" r:id="rId14060"/>
        </w:object>
      </w:r>
      <w:r w:rsidRPr="00551F33">
        <w:rPr>
          <w:rFonts w:hint="cs"/>
          <w:i/>
          <w:sz w:val="23"/>
          <w:szCs w:val="23"/>
          <w:rtl/>
        </w:rPr>
        <w:t xml:space="preserve"> با نرخ وام</w:t>
      </w:r>
      <w:r w:rsidRPr="00551F33">
        <w:rPr>
          <w:position w:val="-10"/>
        </w:rPr>
        <w:object w:dxaOrig="279" w:dyaOrig="320" w14:anchorId="63856AAA">
          <v:shape id="_x0000_i7993" type="#_x0000_t75" style="width:13.9pt;height:15.75pt" o:ole="">
            <v:imagedata r:id="rId14061" o:title=""/>
          </v:shape>
          <o:OLEObject Type="Embed" ProgID="Equation.DSMT4" ShapeID="_x0000_i7993" DrawAspect="Content" ObjectID="_1791381936" r:id="rId14062"/>
        </w:object>
      </w:r>
      <w:r w:rsidRPr="00551F33">
        <w:rPr>
          <w:rFonts w:hint="cs"/>
          <w:i/>
          <w:sz w:val="23"/>
          <w:szCs w:val="23"/>
          <w:rtl/>
        </w:rPr>
        <w:t xml:space="preserve"> شده و پاداش ریسک را افزایش می</w:t>
      </w:r>
      <w:r w:rsidRPr="00551F33">
        <w:rPr>
          <w:i/>
          <w:sz w:val="23"/>
          <w:szCs w:val="23"/>
          <w:rtl/>
        </w:rPr>
        <w:softHyphen/>
      </w:r>
      <w:r w:rsidRPr="00551F33">
        <w:rPr>
          <w:rFonts w:hint="cs"/>
          <w:i/>
          <w:sz w:val="23"/>
          <w:szCs w:val="23"/>
          <w:rtl/>
        </w:rPr>
        <w:t xml:space="preserve">دهد. در مقابل، </w:t>
      </w:r>
      <w:r w:rsidRPr="00551F33">
        <w:rPr>
          <w:position w:val="-10"/>
        </w:rPr>
        <w:object w:dxaOrig="260" w:dyaOrig="340" w14:anchorId="1059E808">
          <v:shape id="_x0000_i7994" type="#_x0000_t75" style="width:13.3pt;height:16.95pt" o:ole="">
            <v:imagedata r:id="rId14063" o:title=""/>
          </v:shape>
          <o:OLEObject Type="Embed" ProgID="Equation.DSMT4" ShapeID="_x0000_i7994" DrawAspect="Content" ObjectID="_1791381937" r:id="rId14064"/>
        </w:object>
      </w:r>
      <w:r w:rsidRPr="00551F33">
        <w:rPr>
          <w:rFonts w:eastAsiaTheme="minorHAnsi" w:cstheme="minorBidi" w:hint="cs"/>
          <w:i/>
          <w:sz w:val="23"/>
          <w:szCs w:val="23"/>
          <w:rtl/>
        </w:rPr>
        <w:t xml:space="preserve"> </w:t>
      </w:r>
      <w:r w:rsidRPr="00551F33">
        <w:rPr>
          <w:rFonts w:hint="cs"/>
          <w:i/>
          <w:sz w:val="23"/>
          <w:szCs w:val="23"/>
          <w:rtl/>
        </w:rPr>
        <w:t>تحت تاثیر شوک</w:t>
      </w:r>
      <w:r w:rsidRPr="00551F33">
        <w:rPr>
          <w:i/>
          <w:sz w:val="23"/>
          <w:szCs w:val="23"/>
        </w:rPr>
        <w:t>‌</w:t>
      </w:r>
      <w:r w:rsidRPr="00551F33">
        <w:rPr>
          <w:rFonts w:hint="cs"/>
          <w:i/>
          <w:sz w:val="23"/>
          <w:szCs w:val="23"/>
          <w:rtl/>
        </w:rPr>
        <w:t>های اقتصادی کلان قرار نمی</w:t>
      </w:r>
      <w:r w:rsidRPr="00551F33">
        <w:rPr>
          <w:i/>
          <w:sz w:val="23"/>
          <w:szCs w:val="23"/>
        </w:rPr>
        <w:t>‌</w:t>
      </w:r>
      <w:r w:rsidRPr="00551F33">
        <w:rPr>
          <w:rFonts w:hint="cs"/>
          <w:i/>
          <w:sz w:val="23"/>
          <w:szCs w:val="23"/>
          <w:rtl/>
        </w:rPr>
        <w:t>گیرد.</w:t>
      </w:r>
    </w:p>
    <w:p w14:paraId="147A9381"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در هنگام قصور، سرمایه</w:t>
      </w:r>
      <w:r w:rsidRPr="00551F33">
        <w:rPr>
          <w:i/>
          <w:sz w:val="23"/>
          <w:szCs w:val="23"/>
          <w:rtl/>
          <w:lang w:eastAsia="en-GB"/>
        </w:rPr>
        <w:softHyphen/>
      </w:r>
      <w:r w:rsidRPr="00551F33">
        <w:rPr>
          <w:rFonts w:hint="cs"/>
          <w:i/>
          <w:sz w:val="23"/>
          <w:szCs w:val="23"/>
          <w:rtl/>
          <w:lang w:eastAsia="en-GB"/>
        </w:rPr>
        <w:t>ی بنگاه مورد استفاده قرار می</w:t>
      </w:r>
      <w:r w:rsidRPr="00551F33">
        <w:rPr>
          <w:rFonts w:hint="cs"/>
          <w:i/>
          <w:sz w:val="23"/>
          <w:szCs w:val="23"/>
          <w:rtl/>
          <w:lang w:eastAsia="en-GB"/>
        </w:rPr>
        <w:softHyphen/>
        <w:t>گیرد تا بازپرداخت وام تا اندازه</w:t>
      </w:r>
      <w:r w:rsidRPr="00551F33">
        <w:rPr>
          <w:i/>
          <w:sz w:val="23"/>
          <w:szCs w:val="23"/>
          <w:lang w:eastAsia="en-GB"/>
        </w:rPr>
        <w:t>‌</w:t>
      </w:r>
      <w:r w:rsidRPr="00551F33">
        <w:rPr>
          <w:rFonts w:hint="cs"/>
          <w:i/>
          <w:sz w:val="23"/>
          <w:szCs w:val="23"/>
          <w:rtl/>
          <w:lang w:eastAsia="en-GB"/>
        </w:rPr>
        <w:t>ای جبران شود. وثیقه می‌تواند صددرصدِ وام یا کمتر از آن باشد. در مدل اقتصادی، به سادگی می</w:t>
      </w:r>
      <w:r w:rsidRPr="00551F33">
        <w:rPr>
          <w:i/>
          <w:sz w:val="23"/>
          <w:szCs w:val="23"/>
          <w:lang w:eastAsia="en-GB"/>
        </w:rPr>
        <w:t>‌</w:t>
      </w:r>
      <w:r w:rsidRPr="00551F33">
        <w:rPr>
          <w:rFonts w:hint="cs"/>
          <w:i/>
          <w:sz w:val="23"/>
          <w:szCs w:val="23"/>
          <w:rtl/>
          <w:lang w:eastAsia="en-GB"/>
        </w:rPr>
        <w:t>توان با تعدیل تعریف</w:t>
      </w:r>
      <w:r w:rsidRPr="00551F33">
        <w:rPr>
          <w:position w:val="-10"/>
        </w:rPr>
        <w:object w:dxaOrig="220" w:dyaOrig="320" w14:anchorId="64274070">
          <v:shape id="_x0000_i7995" type="#_x0000_t75" style="width:10.9pt;height:15.75pt" o:ole="">
            <v:imagedata r:id="rId14065" o:title=""/>
          </v:shape>
          <o:OLEObject Type="Embed" ProgID="Equation.DSMT4" ShapeID="_x0000_i7995" DrawAspect="Content" ObjectID="_1791381938" r:id="rId14066"/>
        </w:object>
      </w:r>
      <w:r w:rsidRPr="00551F33">
        <w:rPr>
          <w:i/>
          <w:sz w:val="23"/>
          <w:szCs w:val="23"/>
          <w:rtl/>
        </w:rPr>
        <w:t>،</w:t>
      </w:r>
      <w:r w:rsidRPr="00551F33">
        <w:rPr>
          <w:rFonts w:hint="cs"/>
          <w:i/>
          <w:sz w:val="23"/>
          <w:szCs w:val="23"/>
          <w:rtl/>
          <w:lang w:eastAsia="en-GB"/>
        </w:rPr>
        <w:t xml:space="preserve"> بخشی از وام و بهره</w:t>
      </w:r>
      <w:r w:rsidRPr="00551F33">
        <w:rPr>
          <w:rFonts w:hint="cs"/>
          <w:i/>
          <w:sz w:val="23"/>
          <w:szCs w:val="23"/>
          <w:rtl/>
          <w:lang w:eastAsia="en-GB"/>
        </w:rPr>
        <w:softHyphen/>
        <w:t xml:space="preserve">ی پرداختی وثیقه را به حساب آورد. هرچه نرخ وثیقه بالاتر باشد، مقدار </w:t>
      </w:r>
      <w:r w:rsidRPr="00551F33">
        <w:rPr>
          <w:i/>
          <w:sz w:val="23"/>
          <w:szCs w:val="23"/>
          <w:lang w:eastAsia="en-GB"/>
        </w:rPr>
        <w:t xml:space="preserve"> </w:t>
      </w:r>
      <w:r w:rsidRPr="00551F33">
        <w:rPr>
          <w:position w:val="-10"/>
        </w:rPr>
        <w:object w:dxaOrig="220" w:dyaOrig="320" w14:anchorId="50DFF81B">
          <v:shape id="_x0000_i7996" type="#_x0000_t75" style="width:10.9pt;height:15.75pt" o:ole="">
            <v:imagedata r:id="rId14067" o:title=""/>
          </v:shape>
          <o:OLEObject Type="Embed" ProgID="Equation.DSMT4" ShapeID="_x0000_i7996" DrawAspect="Content" ObjectID="_1791381939" r:id="rId14068"/>
        </w:object>
      </w:r>
      <w:r w:rsidRPr="00551F33">
        <w:rPr>
          <w:rFonts w:hint="cs"/>
          <w:i/>
          <w:sz w:val="23"/>
          <w:szCs w:val="23"/>
          <w:rtl/>
          <w:lang w:eastAsia="en-GB"/>
        </w:rPr>
        <w:t xml:space="preserve">بیشتر خواهد بود. در غیاب وثیقه، اعتبار، که ارزش انتظاری کمتری برای </w:t>
      </w:r>
      <w:r w:rsidRPr="00551F33">
        <w:rPr>
          <w:position w:val="-10"/>
        </w:rPr>
        <w:object w:dxaOrig="220" w:dyaOrig="320" w14:anchorId="3B3E0178">
          <v:shape id="_x0000_i7997" type="#_x0000_t75" style="width:10.9pt;height:15.75pt" o:ole="">
            <v:imagedata r:id="rId14069" o:title=""/>
          </v:shape>
          <o:OLEObject Type="Embed" ProgID="Equation.DSMT4" ShapeID="_x0000_i7997" DrawAspect="Content" ObjectID="_1791381940" r:id="rId14070"/>
        </w:object>
      </w:r>
      <w:r w:rsidRPr="00551F33">
        <w:rPr>
          <w:rFonts w:hint="cs"/>
          <w:i/>
          <w:sz w:val="23"/>
          <w:szCs w:val="23"/>
          <w:rtl/>
          <w:lang w:eastAsia="en-GB"/>
        </w:rPr>
        <w:t xml:space="preserve"> دارد، هزینه</w:t>
      </w:r>
      <w:r w:rsidRPr="00551F33">
        <w:rPr>
          <w:rFonts w:hint="cs"/>
          <w:i/>
          <w:sz w:val="23"/>
          <w:szCs w:val="23"/>
          <w:rtl/>
          <w:lang w:eastAsia="en-GB"/>
        </w:rPr>
        <w:softHyphen/>
        <w:t>ی بیشتر داشته و بسیار گران‌تر از سایر اشکال وام‌گیری است. زیرا وثیقه</w:t>
      </w:r>
      <w:r w:rsidRPr="00551F33">
        <w:rPr>
          <w:i/>
          <w:sz w:val="23"/>
          <w:szCs w:val="23"/>
          <w:lang w:eastAsia="en-GB"/>
        </w:rPr>
        <w:t>‌</w:t>
      </w:r>
      <w:r w:rsidRPr="00551F33">
        <w:rPr>
          <w:rFonts w:hint="cs"/>
          <w:i/>
          <w:sz w:val="23"/>
          <w:szCs w:val="23"/>
          <w:rtl/>
          <w:lang w:eastAsia="en-GB"/>
        </w:rPr>
        <w:t xml:space="preserve"> نشده و بانک</w:t>
      </w:r>
      <w:r w:rsidRPr="00551F33">
        <w:rPr>
          <w:i/>
          <w:sz w:val="23"/>
          <w:szCs w:val="23"/>
          <w:lang w:eastAsia="en-GB"/>
        </w:rPr>
        <w:t>‌</w:t>
      </w:r>
      <w:r w:rsidRPr="00551F33">
        <w:rPr>
          <w:rFonts w:hint="cs"/>
          <w:i/>
          <w:sz w:val="23"/>
          <w:szCs w:val="23"/>
          <w:rtl/>
          <w:lang w:eastAsia="en-GB"/>
        </w:rPr>
        <w:t>ها، از روی اختیار خود، دانش کمی از اوضاع و احوال وثیقه</w:t>
      </w:r>
      <w:r w:rsidRPr="00551F33">
        <w:rPr>
          <w:rFonts w:hint="cs"/>
          <w:i/>
          <w:sz w:val="23"/>
          <w:szCs w:val="23"/>
          <w:rtl/>
          <w:lang w:eastAsia="en-GB"/>
        </w:rPr>
        <w:softHyphen/>
        <w:t>ها دارند. تعجب</w:t>
      </w:r>
      <w:r w:rsidRPr="00551F33">
        <w:rPr>
          <w:i/>
          <w:sz w:val="23"/>
          <w:szCs w:val="23"/>
          <w:lang w:eastAsia="en-GB"/>
        </w:rPr>
        <w:t>‌</w:t>
      </w:r>
      <w:r w:rsidRPr="00551F33">
        <w:rPr>
          <w:rFonts w:hint="cs"/>
          <w:i/>
          <w:sz w:val="23"/>
          <w:szCs w:val="23"/>
          <w:rtl/>
          <w:lang w:eastAsia="en-GB"/>
        </w:rPr>
        <w:t>آور نیست که بانک‌ها نرخ بالای قصور را برای بدهی کارت</w:t>
      </w:r>
      <w:r w:rsidRPr="00551F33">
        <w:rPr>
          <w:i/>
          <w:sz w:val="23"/>
          <w:szCs w:val="23"/>
          <w:rtl/>
          <w:lang w:eastAsia="en-GB"/>
        </w:rPr>
        <w:softHyphen/>
      </w:r>
      <w:r w:rsidRPr="00551F33">
        <w:rPr>
          <w:rFonts w:hint="cs"/>
          <w:i/>
          <w:sz w:val="23"/>
          <w:szCs w:val="23"/>
          <w:rtl/>
          <w:lang w:eastAsia="en-GB"/>
        </w:rPr>
        <w:t>های اعتباری در نظر می‌گیرند.</w:t>
      </w:r>
    </w:p>
    <w:p w14:paraId="3D79742C"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در عمل، بخش عمده</w:t>
      </w:r>
      <w:r w:rsidRPr="00551F33">
        <w:rPr>
          <w:i/>
          <w:sz w:val="23"/>
          <w:szCs w:val="23"/>
          <w:rtl/>
          <w:lang w:eastAsia="en-GB"/>
        </w:rPr>
        <w:softHyphen/>
      </w:r>
      <w:r w:rsidRPr="00551F33">
        <w:rPr>
          <w:rFonts w:hint="cs"/>
          <w:i/>
          <w:sz w:val="23"/>
          <w:szCs w:val="23"/>
          <w:rtl/>
          <w:lang w:eastAsia="en-GB"/>
        </w:rPr>
        <w:t>ای از وام</w:t>
      </w:r>
      <w:r w:rsidRPr="00551F33">
        <w:rPr>
          <w:i/>
          <w:sz w:val="23"/>
          <w:szCs w:val="23"/>
          <w:lang w:eastAsia="en-GB"/>
        </w:rPr>
        <w:t>‌</w:t>
      </w:r>
      <w:r w:rsidRPr="00551F33">
        <w:rPr>
          <w:rFonts w:hint="cs"/>
          <w:i/>
          <w:sz w:val="23"/>
          <w:szCs w:val="23"/>
          <w:rtl/>
          <w:lang w:eastAsia="en-GB"/>
        </w:rPr>
        <w:t xml:space="preserve"> خانوار برای خرید خانه است. مسکن کالاهای بادوام است نه بی</w:t>
      </w:r>
      <w:r w:rsidRPr="00551F33">
        <w:rPr>
          <w:i/>
          <w:sz w:val="23"/>
          <w:szCs w:val="23"/>
          <w:rtl/>
          <w:lang w:eastAsia="en-GB"/>
        </w:rPr>
        <w:softHyphen/>
      </w:r>
      <w:r w:rsidRPr="00551F33">
        <w:rPr>
          <w:rFonts w:hint="cs"/>
          <w:i/>
          <w:sz w:val="23"/>
          <w:szCs w:val="23"/>
          <w:rtl/>
          <w:lang w:eastAsia="en-GB"/>
        </w:rPr>
        <w:t>دوام، درحالی</w:t>
      </w:r>
      <w:r w:rsidRPr="00551F33">
        <w:rPr>
          <w:rFonts w:hint="cs"/>
          <w:i/>
          <w:sz w:val="23"/>
          <w:szCs w:val="23"/>
          <w:rtl/>
          <w:lang w:eastAsia="en-GB"/>
        </w:rPr>
        <w:softHyphen/>
        <w:t>که در مدل اقتصادی فرض می</w:t>
      </w:r>
      <w:r w:rsidRPr="00551F33">
        <w:rPr>
          <w:i/>
          <w:sz w:val="23"/>
          <w:szCs w:val="23"/>
          <w:lang w:eastAsia="en-GB"/>
        </w:rPr>
        <w:t>‌</w:t>
      </w:r>
      <w:r w:rsidRPr="00551F33">
        <w:rPr>
          <w:rFonts w:hint="cs"/>
          <w:i/>
          <w:sz w:val="23"/>
          <w:szCs w:val="23"/>
          <w:rtl/>
          <w:lang w:eastAsia="en-GB"/>
        </w:rPr>
        <w:t>شود مخارج مصرفی صرفاً برای کالاهای بی</w:t>
      </w:r>
      <w:r w:rsidRPr="00551F33">
        <w:rPr>
          <w:rFonts w:hint="cs"/>
          <w:i/>
          <w:sz w:val="23"/>
          <w:szCs w:val="23"/>
          <w:rtl/>
          <w:lang w:eastAsia="en-GB"/>
        </w:rPr>
        <w:softHyphen/>
        <w:t>دوام است. وثیقه</w:t>
      </w:r>
      <w:r w:rsidRPr="00551F33">
        <w:rPr>
          <w:rFonts w:hint="cs"/>
          <w:i/>
          <w:sz w:val="23"/>
          <w:szCs w:val="23"/>
          <w:rtl/>
          <w:lang w:eastAsia="en-GB"/>
        </w:rPr>
        <w:softHyphen/>
        <w:t>ها برای دوره</w:t>
      </w:r>
      <w:r w:rsidRPr="00551F33">
        <w:rPr>
          <w:i/>
          <w:sz w:val="23"/>
          <w:szCs w:val="23"/>
          <w:lang w:eastAsia="en-GB"/>
        </w:rPr>
        <w:t>‌</w:t>
      </w:r>
      <w:r w:rsidRPr="00551F33">
        <w:rPr>
          <w:rFonts w:hint="cs"/>
          <w:i/>
          <w:sz w:val="23"/>
          <w:szCs w:val="23"/>
          <w:rtl/>
          <w:lang w:eastAsia="en-GB"/>
        </w:rPr>
        <w:t>های متعدد چندین ساله اخذ می‌شوند نه برای یک دوره همانند مدل، بعلاوه قصور وثیقه و روش تامین مالی وثیقه</w:t>
      </w:r>
      <w:r w:rsidRPr="00551F33">
        <w:rPr>
          <w:rFonts w:hint="cs"/>
          <w:i/>
          <w:sz w:val="23"/>
          <w:szCs w:val="23"/>
          <w:rtl/>
          <w:lang w:eastAsia="en-GB"/>
        </w:rPr>
        <w:softHyphen/>
        <w:t>ی بانک</w:t>
      </w:r>
      <w:r w:rsidRPr="00551F33">
        <w:rPr>
          <w:rFonts w:hint="cs"/>
          <w:i/>
          <w:sz w:val="23"/>
          <w:szCs w:val="23"/>
          <w:rtl/>
          <w:lang w:eastAsia="en-GB"/>
        </w:rPr>
        <w:softHyphen/>
        <w:t>ها مشکلی را ایجاد می</w:t>
      </w:r>
      <w:r w:rsidRPr="00551F33">
        <w:rPr>
          <w:i/>
          <w:sz w:val="23"/>
          <w:szCs w:val="23"/>
          <w:rtl/>
          <w:lang w:eastAsia="en-GB"/>
        </w:rPr>
        <w:softHyphen/>
      </w:r>
      <w:r w:rsidRPr="00551F33">
        <w:rPr>
          <w:rFonts w:hint="cs"/>
          <w:i/>
          <w:sz w:val="23"/>
          <w:szCs w:val="23"/>
          <w:rtl/>
          <w:lang w:eastAsia="en-GB"/>
        </w:rPr>
        <w:t>کند که به بحران مالی منجر می</w:t>
      </w:r>
      <w:r w:rsidRPr="00551F33">
        <w:rPr>
          <w:i/>
          <w:sz w:val="23"/>
          <w:szCs w:val="23"/>
          <w:rtl/>
          <w:lang w:eastAsia="en-GB"/>
        </w:rPr>
        <w:softHyphen/>
      </w:r>
      <w:r w:rsidRPr="00551F33">
        <w:rPr>
          <w:rFonts w:hint="cs"/>
          <w:i/>
          <w:sz w:val="23"/>
          <w:szCs w:val="23"/>
          <w:rtl/>
          <w:lang w:eastAsia="en-GB"/>
        </w:rPr>
        <w:t>شود. این مشکل را می</w:t>
      </w:r>
      <w:r w:rsidRPr="00551F33">
        <w:rPr>
          <w:i/>
          <w:sz w:val="23"/>
          <w:szCs w:val="23"/>
          <w:rtl/>
          <w:lang w:eastAsia="en-GB"/>
        </w:rPr>
        <w:softHyphen/>
      </w:r>
      <w:r w:rsidRPr="00551F33">
        <w:rPr>
          <w:rFonts w:hint="cs"/>
          <w:i/>
          <w:sz w:val="23"/>
          <w:szCs w:val="23"/>
          <w:rtl/>
          <w:lang w:eastAsia="en-GB"/>
        </w:rPr>
        <w:t>توان با حفظ مخارج مصرفی کالاهای بادوام خانوار همانند فصل چهارم، و بدهی با سررسید بلندمدت در قید بودجه</w:t>
      </w:r>
      <w:r w:rsidRPr="00551F33">
        <w:rPr>
          <w:rFonts w:hint="cs"/>
          <w:i/>
          <w:sz w:val="23"/>
          <w:szCs w:val="23"/>
          <w:rtl/>
          <w:lang w:eastAsia="en-GB"/>
        </w:rPr>
        <w:softHyphen/>
        <w:t>ی بخش خصوصی غیر‌بانکی و بانک‌ها رفع، و هزینه</w:t>
      </w:r>
      <w:r w:rsidRPr="00551F33">
        <w:rPr>
          <w:i/>
          <w:sz w:val="23"/>
          <w:szCs w:val="23"/>
          <w:rtl/>
          <w:lang w:eastAsia="en-GB"/>
        </w:rPr>
        <w:softHyphen/>
      </w:r>
      <w:r w:rsidRPr="00551F33">
        <w:rPr>
          <w:rFonts w:hint="cs"/>
          <w:i/>
          <w:sz w:val="23"/>
          <w:szCs w:val="23"/>
          <w:rtl/>
          <w:lang w:eastAsia="en-GB"/>
        </w:rPr>
        <w:t>ی این بدهی را به وام یک دوره</w:t>
      </w:r>
      <w:r w:rsidRPr="00551F33">
        <w:rPr>
          <w:i/>
          <w:sz w:val="23"/>
          <w:szCs w:val="23"/>
          <w:lang w:eastAsia="en-GB"/>
        </w:rPr>
        <w:t>‌</w:t>
      </w:r>
      <w:r w:rsidRPr="00551F33">
        <w:rPr>
          <w:rFonts w:hint="cs"/>
          <w:i/>
          <w:sz w:val="23"/>
          <w:szCs w:val="23"/>
          <w:rtl/>
          <w:lang w:eastAsia="en-GB"/>
        </w:rPr>
        <w:t>ای و از طریق ساختار زمانی نرخ بهره همانند فصل دوازدهم مرتبط کرد. مابه</w:t>
      </w:r>
      <w:r w:rsidRPr="00551F33">
        <w:rPr>
          <w:rFonts w:hint="cs"/>
          <w:i/>
          <w:sz w:val="23"/>
          <w:szCs w:val="23"/>
          <w:rtl/>
          <w:lang w:eastAsia="en-GB"/>
        </w:rPr>
        <w:softHyphen/>
        <w:t>التفاوت ریسک بدهی</w:t>
      </w:r>
      <w:r w:rsidRPr="00551F33">
        <w:rPr>
          <w:i/>
          <w:sz w:val="23"/>
          <w:szCs w:val="23"/>
          <w:rtl/>
          <w:lang w:eastAsia="en-GB"/>
        </w:rPr>
        <w:softHyphen/>
      </w:r>
      <w:r w:rsidRPr="00551F33">
        <w:rPr>
          <w:rFonts w:hint="cs"/>
          <w:i/>
          <w:sz w:val="23"/>
          <w:szCs w:val="23"/>
          <w:rtl/>
          <w:lang w:eastAsia="en-GB"/>
        </w:rPr>
        <w:t>های وثیقه</w:t>
      </w:r>
      <w:r w:rsidRPr="00551F33">
        <w:rPr>
          <w:rFonts w:hint="cs"/>
          <w:i/>
          <w:sz w:val="23"/>
          <w:szCs w:val="23"/>
          <w:rtl/>
          <w:lang w:eastAsia="en-GB"/>
        </w:rPr>
        <w:softHyphen/>
        <w:t>ای نشان</w:t>
      </w:r>
      <w:r w:rsidRPr="00551F33">
        <w:rPr>
          <w:rFonts w:hint="cs"/>
          <w:i/>
          <w:sz w:val="23"/>
          <w:szCs w:val="23"/>
          <w:rtl/>
          <w:lang w:eastAsia="en-GB"/>
        </w:rPr>
        <w:softHyphen/>
        <w:t>دهنده</w:t>
      </w:r>
      <w:r w:rsidRPr="00551F33">
        <w:rPr>
          <w:rFonts w:hint="cs"/>
          <w:i/>
          <w:sz w:val="23"/>
          <w:szCs w:val="23"/>
          <w:rtl/>
          <w:lang w:eastAsia="en-GB"/>
        </w:rPr>
        <w:softHyphen/>
        <w:t>ی ریسک قصور در مدل، و نقص قیمت</w:t>
      </w:r>
      <w:r w:rsidRPr="00551F33">
        <w:rPr>
          <w:rFonts w:hint="cs"/>
          <w:i/>
          <w:sz w:val="23"/>
          <w:szCs w:val="23"/>
          <w:rtl/>
          <w:lang w:eastAsia="en-GB"/>
        </w:rPr>
        <w:softHyphen/>
        <w:t>گذاری ریسک وثیقه عاملی کلیدی در به وجود آمدن بحران مالی است.</w:t>
      </w:r>
    </w:p>
    <w:p w14:paraId="776A95EF"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lastRenderedPageBreak/>
        <w:t>وقتی امکان قصور وجود داشته باشد، مدل اقتصادی روابطی را توصیف می‌کند تا اقتصاد در تعادل باشد. راه حلی که شرح داده شد فرض می</w:t>
      </w:r>
      <w:r w:rsidRPr="00551F33">
        <w:rPr>
          <w:rFonts w:hint="cs"/>
          <w:i/>
          <w:sz w:val="23"/>
          <w:szCs w:val="23"/>
          <w:rtl/>
          <w:lang w:eastAsia="en-GB"/>
        </w:rPr>
        <w:softHyphen/>
        <w:t>کند بخش خصوصیِ غیربانکی و بانک‌ها، در باره</w:t>
      </w:r>
      <w:r w:rsidRPr="00551F33">
        <w:rPr>
          <w:rFonts w:hint="cs"/>
          <w:i/>
          <w:sz w:val="23"/>
          <w:szCs w:val="23"/>
          <w:rtl/>
          <w:lang w:eastAsia="en-GB"/>
        </w:rPr>
        <w:softHyphen/>
        <w:t>ی ارزیابی</w:t>
      </w:r>
      <w:r w:rsidRPr="00551F33">
        <w:rPr>
          <w:rFonts w:hint="cs"/>
          <w:i/>
          <w:sz w:val="23"/>
          <w:szCs w:val="23"/>
          <w:rtl/>
          <w:lang w:eastAsia="en-GB"/>
        </w:rPr>
        <w:softHyphen/>
        <w:t>شان از نرخ قصور توافق دارند. اگر ارزیابی آن</w:t>
      </w:r>
      <w:r w:rsidRPr="00551F33">
        <w:rPr>
          <w:i/>
          <w:sz w:val="23"/>
          <w:szCs w:val="23"/>
          <w:rtl/>
          <w:lang w:eastAsia="en-GB"/>
        </w:rPr>
        <w:softHyphen/>
      </w:r>
      <w:r w:rsidRPr="00551F33">
        <w:rPr>
          <w:rFonts w:hint="cs"/>
          <w:i/>
          <w:sz w:val="23"/>
          <w:szCs w:val="23"/>
          <w:rtl/>
          <w:lang w:eastAsia="en-GB"/>
        </w:rPr>
        <w:t>ها از نرخ قصور مغایرت داشته باشد، بر راه حل آن</w:t>
      </w:r>
      <w:r w:rsidRPr="00551F33">
        <w:rPr>
          <w:i/>
          <w:sz w:val="23"/>
          <w:szCs w:val="23"/>
          <w:rtl/>
          <w:lang w:eastAsia="en-GB"/>
        </w:rPr>
        <w:softHyphen/>
      </w:r>
      <w:r w:rsidRPr="00551F33">
        <w:rPr>
          <w:rFonts w:hint="cs"/>
          <w:i/>
          <w:sz w:val="23"/>
          <w:szCs w:val="23"/>
          <w:rtl/>
          <w:lang w:eastAsia="en-GB"/>
        </w:rPr>
        <w:t>ها تاثیر خواهد گذاشت. ویژگی عمده</w:t>
      </w:r>
      <w:r w:rsidRPr="00551F33">
        <w:rPr>
          <w:rFonts w:hint="cs"/>
          <w:i/>
          <w:sz w:val="23"/>
          <w:szCs w:val="23"/>
          <w:rtl/>
          <w:lang w:eastAsia="en-GB"/>
        </w:rPr>
        <w:softHyphen/>
        <w:t>ی بحران مالی این است که بانک</w:t>
      </w:r>
      <w:r w:rsidRPr="00551F33">
        <w:rPr>
          <w:i/>
          <w:sz w:val="23"/>
          <w:szCs w:val="23"/>
          <w:lang w:eastAsia="en-GB"/>
        </w:rPr>
        <w:t>‌</w:t>
      </w:r>
      <w:r w:rsidRPr="00551F33">
        <w:rPr>
          <w:rFonts w:hint="cs"/>
          <w:i/>
          <w:sz w:val="23"/>
          <w:szCs w:val="23"/>
          <w:rtl/>
          <w:lang w:eastAsia="en-GB"/>
        </w:rPr>
        <w:t>ها ریسک قصور را کمتر از حد برآورد کردند. بر اساس مدل اقتصادی، این امر می</w:t>
      </w:r>
      <w:r w:rsidRPr="00551F33">
        <w:rPr>
          <w:rFonts w:hint="cs"/>
          <w:i/>
          <w:sz w:val="23"/>
          <w:szCs w:val="23"/>
          <w:rtl/>
          <w:lang w:eastAsia="en-GB"/>
        </w:rPr>
        <w:softHyphen/>
        <w:t>تواند بخاطر اطلاعات غلط از شکل</w:t>
      </w:r>
      <w:r w:rsidRPr="00551F33">
        <w:rPr>
          <w:rFonts w:hint="cs"/>
          <w:i/>
          <w:sz w:val="23"/>
          <w:szCs w:val="23"/>
          <w:rtl/>
          <w:lang w:eastAsia="en-GB"/>
        </w:rPr>
        <w:softHyphen/>
        <w:t>دهی انتظارات و استفاده از توزیع غلط شوک</w:t>
      </w:r>
      <w:r w:rsidRPr="00551F33">
        <w:rPr>
          <w:rFonts w:hint="cs"/>
          <w:i/>
          <w:sz w:val="23"/>
          <w:szCs w:val="23"/>
          <w:rtl/>
          <w:lang w:eastAsia="en-GB"/>
        </w:rPr>
        <w:softHyphen/>
        <w:t>ها بوقوع بپیوندد. اظهار نظرات بعد از بحران این بود که سلسله وقایعی که مسبب بحران مالی شدند بقدری نامحتمل بودند که نادیده گرفته شدند. بنابراین ریسک</w:t>
      </w:r>
      <w:r w:rsidRPr="00551F33">
        <w:rPr>
          <w:rFonts w:hint="cs"/>
          <w:i/>
          <w:sz w:val="23"/>
          <w:szCs w:val="23"/>
          <w:rtl/>
          <w:lang w:eastAsia="en-GB"/>
        </w:rPr>
        <w:softHyphen/>
        <w:t>ها بدرستی قیمت</w:t>
      </w:r>
      <w:r w:rsidRPr="00551F33">
        <w:rPr>
          <w:rFonts w:hint="cs"/>
          <w:i/>
          <w:sz w:val="23"/>
          <w:szCs w:val="23"/>
          <w:rtl/>
          <w:lang w:eastAsia="en-GB"/>
        </w:rPr>
        <w:softHyphen/>
        <w:t>گذاری شده، اما بنابر شانس، مورد بسیار نادری رخ داد. تفسیر بدیل دیگر این است که اگر در مدل</w:t>
      </w:r>
      <w:r w:rsidRPr="00551F33">
        <w:rPr>
          <w:rFonts w:hint="cs"/>
          <w:i/>
          <w:sz w:val="23"/>
          <w:szCs w:val="23"/>
          <w:rtl/>
          <w:lang w:eastAsia="en-GB"/>
        </w:rPr>
        <w:softHyphen/>
        <w:t>های مورد استفاده، این پیشامد بسیار بعید بود، پس احتمال بیشتری وجود داشت که مدل اقتصادی دارای خطای تصریح باشد. این مسئله همان چیزی است که بدان پیشامدهای قوی سیاه نامند. یعنی هنگامی که ناشناخته</w:t>
      </w:r>
      <w:r w:rsidRPr="00551F33">
        <w:rPr>
          <w:rFonts w:hint="cs"/>
          <w:i/>
          <w:sz w:val="23"/>
          <w:szCs w:val="23"/>
          <w:rtl/>
          <w:lang w:eastAsia="en-GB"/>
        </w:rPr>
        <w:softHyphen/>
        <w:t>ای است که ندانیم مسئله است (به عبارت دیگر پرت افتادگانی بسیار حدّی که شناخت درباره</w:t>
      </w:r>
      <w:r w:rsidRPr="00551F33">
        <w:rPr>
          <w:rFonts w:hint="cs"/>
          <w:i/>
          <w:sz w:val="23"/>
          <w:szCs w:val="23"/>
          <w:rtl/>
          <w:lang w:eastAsia="en-GB"/>
        </w:rPr>
        <w:softHyphen/>
        <w:t>ی آن، یک امکان است) اما ناشناخته، ناشناخته است (یعنی حادثه</w:t>
      </w:r>
      <w:r w:rsidRPr="00551F33">
        <w:rPr>
          <w:rFonts w:hint="cs"/>
          <w:i/>
          <w:sz w:val="23"/>
          <w:szCs w:val="23"/>
          <w:rtl/>
          <w:lang w:eastAsia="en-GB"/>
        </w:rPr>
        <w:softHyphen/>
        <w:t xml:space="preserve">ای غیرقابل تصور). حتی اگر ریسک قصور به حساب آورده شود، تضمینی نیست که بحران‌های مالی آتی وجود نداشته باشد </w:t>
      </w:r>
    </w:p>
    <w:p w14:paraId="4F06E12B" w14:textId="77777777" w:rsidR="00556C10" w:rsidRPr="00551F33" w:rsidRDefault="00556C10" w:rsidP="00556C10">
      <w:pPr>
        <w:spacing w:line="216" w:lineRule="auto"/>
        <w:rPr>
          <w:i/>
          <w:sz w:val="23"/>
          <w:szCs w:val="23"/>
          <w:lang w:eastAsia="en-GB"/>
        </w:rPr>
      </w:pPr>
    </w:p>
    <w:p w14:paraId="55F90576" w14:textId="77777777" w:rsidR="00556C10" w:rsidRPr="00551F33" w:rsidRDefault="00556C10" w:rsidP="00556C10">
      <w:pPr>
        <w:spacing w:line="216" w:lineRule="auto"/>
        <w:rPr>
          <w:bCs/>
          <w:i/>
          <w:sz w:val="23"/>
          <w:szCs w:val="23"/>
          <w:rtl/>
          <w:lang w:eastAsia="en-GB"/>
        </w:rPr>
      </w:pPr>
      <w:r w:rsidRPr="00551F33">
        <w:rPr>
          <w:rFonts w:hint="cs"/>
          <w:bCs/>
          <w:i/>
          <w:sz w:val="23"/>
          <w:szCs w:val="23"/>
          <w:rtl/>
          <w:lang w:eastAsia="en-GB"/>
        </w:rPr>
        <w:t>۱۵. ۹ نتیجه</w:t>
      </w:r>
      <w:r w:rsidRPr="00551F33">
        <w:rPr>
          <w:rFonts w:hint="cs"/>
          <w:bCs/>
          <w:i/>
          <w:sz w:val="23"/>
          <w:szCs w:val="23"/>
          <w:rtl/>
          <w:lang w:eastAsia="en-GB"/>
        </w:rPr>
        <w:softHyphen/>
        <w:t>گیری</w:t>
      </w:r>
    </w:p>
    <w:p w14:paraId="4D536DB6"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هدف این فصل بحث و بسط پیوندهای متقابل اقتصاد کلان و بخش مالی بود. این موضوع را در دوره</w:t>
      </w:r>
      <w:r w:rsidRPr="00551F33">
        <w:rPr>
          <w:i/>
          <w:sz w:val="23"/>
          <w:szCs w:val="23"/>
          <w:rtl/>
          <w:lang w:eastAsia="en-GB"/>
        </w:rPr>
        <w:softHyphen/>
      </w:r>
      <w:r w:rsidRPr="00551F33">
        <w:rPr>
          <w:rFonts w:hint="cs"/>
          <w:i/>
          <w:sz w:val="23"/>
          <w:szCs w:val="23"/>
          <w:rtl/>
          <w:lang w:eastAsia="en-GB"/>
        </w:rPr>
        <w:t>ی بحران مالی اخیر دنبال کردیم و نشان دادیم که چقدر اقتصاد کلان و بخش مالی با یکدیگر مرتبط هستند و چگونه می</w:t>
      </w:r>
      <w:r w:rsidRPr="00551F33">
        <w:rPr>
          <w:i/>
          <w:sz w:val="23"/>
          <w:szCs w:val="23"/>
          <w:lang w:eastAsia="en-GB"/>
        </w:rPr>
        <w:t>‌</w:t>
      </w:r>
      <w:r w:rsidRPr="00551F33">
        <w:rPr>
          <w:rFonts w:hint="cs"/>
          <w:i/>
          <w:sz w:val="23"/>
          <w:szCs w:val="23"/>
          <w:rtl/>
          <w:lang w:eastAsia="en-GB"/>
        </w:rPr>
        <w:t>توانند بر اجرای سیاست پولی تاثیر بگذارند. قیود خانوار و بنگاه</w:t>
      </w:r>
      <w:r w:rsidRPr="00551F33">
        <w:rPr>
          <w:rFonts w:hint="cs"/>
          <w:i/>
          <w:sz w:val="23"/>
          <w:szCs w:val="23"/>
          <w:rtl/>
          <w:lang w:eastAsia="en-GB"/>
        </w:rPr>
        <w:softHyphen/>
        <w:t>، و همچنین موضوع قصور و اطلاعات ناقص را بررسی کرده و نشان داده شد که چگونه بخش بانکی و واسطه</w:t>
      </w:r>
      <w:r w:rsidRPr="00551F33">
        <w:rPr>
          <w:i/>
          <w:sz w:val="23"/>
          <w:szCs w:val="23"/>
          <w:rtl/>
          <w:lang w:eastAsia="en-GB"/>
        </w:rPr>
        <w:softHyphen/>
      </w:r>
      <w:r w:rsidRPr="00551F33">
        <w:rPr>
          <w:rFonts w:hint="cs"/>
          <w:i/>
          <w:sz w:val="23"/>
          <w:szCs w:val="23"/>
          <w:rtl/>
          <w:lang w:eastAsia="en-GB"/>
        </w:rPr>
        <w:t>گر مالی می</w:t>
      </w:r>
      <w:r w:rsidRPr="00551F33">
        <w:rPr>
          <w:rFonts w:hint="cs"/>
          <w:i/>
          <w:sz w:val="23"/>
          <w:szCs w:val="23"/>
          <w:rtl/>
          <w:lang w:eastAsia="en-GB"/>
        </w:rPr>
        <w:softHyphen/>
        <w:t>توانند در مدل</w:t>
      </w:r>
      <w:r w:rsidRPr="00551F33">
        <w:rPr>
          <w:rFonts w:hint="cs"/>
          <w:i/>
          <w:sz w:val="23"/>
          <w:szCs w:val="23"/>
          <w:rtl/>
          <w:lang w:eastAsia="en-GB"/>
        </w:rPr>
        <w:softHyphen/>
        <w:t>های اقتصادی کلان گنجانده شوند.</w:t>
      </w:r>
    </w:p>
    <w:p w14:paraId="14A4C3E6" w14:textId="77777777" w:rsidR="00556C10" w:rsidRPr="00551F33" w:rsidRDefault="00556C10" w:rsidP="00556C10">
      <w:pPr>
        <w:spacing w:line="216" w:lineRule="auto"/>
        <w:rPr>
          <w:i/>
          <w:sz w:val="23"/>
          <w:szCs w:val="23"/>
          <w:lang w:eastAsia="en-GB"/>
        </w:rPr>
      </w:pPr>
      <w:r w:rsidRPr="00551F33">
        <w:rPr>
          <w:rFonts w:hint="cs"/>
          <w:i/>
          <w:sz w:val="23"/>
          <w:szCs w:val="23"/>
          <w:rtl/>
          <w:lang w:eastAsia="en-GB"/>
        </w:rPr>
        <w:t>اگر چه نظریه</w:t>
      </w:r>
      <w:r w:rsidRPr="00551F33">
        <w:rPr>
          <w:i/>
          <w:sz w:val="23"/>
          <w:szCs w:val="23"/>
          <w:rtl/>
          <w:lang w:eastAsia="en-GB"/>
        </w:rPr>
        <w:softHyphen/>
      </w:r>
      <w:r w:rsidRPr="00551F33">
        <w:rPr>
          <w:rFonts w:hint="cs"/>
          <w:i/>
          <w:sz w:val="23"/>
          <w:szCs w:val="23"/>
          <w:rtl/>
          <w:lang w:eastAsia="en-GB"/>
        </w:rPr>
        <w:t>هایی در خصوص بخش مالی وجود دارد، ولی دیدگاه مقبولی درباره</w:t>
      </w:r>
      <w:r w:rsidRPr="00551F33">
        <w:rPr>
          <w:rFonts w:hint="cs"/>
          <w:i/>
          <w:sz w:val="23"/>
          <w:szCs w:val="23"/>
          <w:rtl/>
          <w:lang w:eastAsia="en-GB"/>
        </w:rPr>
        <w:softHyphen/>
        <w:t>ی این</w:t>
      </w:r>
      <w:r w:rsidRPr="00551F33">
        <w:rPr>
          <w:rFonts w:hint="cs"/>
          <w:i/>
          <w:sz w:val="23"/>
          <w:szCs w:val="23"/>
          <w:rtl/>
          <w:lang w:eastAsia="en-GB"/>
        </w:rPr>
        <w:softHyphen/>
        <w:t>که کدام نظریه بهترین مبنا برای در بر گرفتن بخش بانکی در مدل اقتصاد کلان است وجود نداشته، و قالب تحقیقات اخیر هنوز به شکل مقالات اولیه است. بسیاری از نظریه‌های بانکی اخیر از مدل هجوم به بانک دیاموند و دیبویگ استخراج شده است. در این فصل مدل آلن و دیگران  مورد بحث قرار گرفت و نشان داده شد که چگونه بانک مرکزی هجوم به بانک نهی کرده و مانع ورشکستگی بانک</w:t>
      </w:r>
      <w:r w:rsidRPr="00551F33">
        <w:rPr>
          <w:i/>
          <w:sz w:val="23"/>
          <w:szCs w:val="23"/>
          <w:rtl/>
          <w:lang w:eastAsia="en-GB"/>
        </w:rPr>
        <w:softHyphen/>
      </w:r>
      <w:r w:rsidRPr="00551F33">
        <w:rPr>
          <w:rFonts w:hint="cs"/>
          <w:i/>
          <w:sz w:val="23"/>
          <w:szCs w:val="23"/>
          <w:rtl/>
          <w:lang w:eastAsia="en-GB"/>
        </w:rPr>
        <w:t>ها می</w:t>
      </w:r>
      <w:r w:rsidRPr="00551F33">
        <w:rPr>
          <w:i/>
          <w:sz w:val="23"/>
          <w:szCs w:val="23"/>
          <w:rtl/>
          <w:lang w:eastAsia="en-GB"/>
        </w:rPr>
        <w:softHyphen/>
      </w:r>
      <w:r w:rsidRPr="00551F33">
        <w:rPr>
          <w:rFonts w:hint="cs"/>
          <w:i/>
          <w:sz w:val="23"/>
          <w:szCs w:val="23"/>
          <w:rtl/>
          <w:lang w:eastAsia="en-GB"/>
        </w:rPr>
        <w:t>شود. محدویت عمده</w:t>
      </w:r>
      <w:r w:rsidRPr="00551F33">
        <w:rPr>
          <w:rFonts w:hint="cs"/>
          <w:i/>
          <w:sz w:val="23"/>
          <w:szCs w:val="23"/>
          <w:rtl/>
          <w:lang w:eastAsia="en-GB"/>
        </w:rPr>
        <w:softHyphen/>
        <w:t>ی این روش مدل</w:t>
      </w:r>
      <w:r w:rsidRPr="00551F33">
        <w:rPr>
          <w:rFonts w:hint="cs"/>
          <w:i/>
          <w:sz w:val="23"/>
          <w:szCs w:val="23"/>
          <w:rtl/>
          <w:lang w:eastAsia="en-GB"/>
        </w:rPr>
        <w:softHyphen/>
        <w:t>سازی بانکی در این است که موضوع قصور وام</w:t>
      </w:r>
      <w:r w:rsidRPr="00551F33">
        <w:rPr>
          <w:rFonts w:hint="cs"/>
          <w:i/>
          <w:sz w:val="23"/>
          <w:szCs w:val="23"/>
          <w:rtl/>
          <w:lang w:eastAsia="en-GB"/>
        </w:rPr>
        <w:softHyphen/>
        <w:t>های بانکی که علت اصلی بحران مالی و هجوم به بانک است را در نظر نمی</w:t>
      </w:r>
      <w:r w:rsidRPr="00551F33">
        <w:rPr>
          <w:rFonts w:hint="cs"/>
          <w:i/>
          <w:sz w:val="23"/>
          <w:szCs w:val="23"/>
          <w:rtl/>
          <w:lang w:eastAsia="en-GB"/>
        </w:rPr>
        <w:softHyphen/>
        <w:t>گیرد. مدل کوردیا و وودفورد وام</w:t>
      </w:r>
      <w:r w:rsidRPr="00551F33">
        <w:rPr>
          <w:rFonts w:hint="cs"/>
          <w:i/>
          <w:sz w:val="23"/>
          <w:szCs w:val="23"/>
          <w:rtl/>
          <w:lang w:eastAsia="en-GB"/>
        </w:rPr>
        <w:softHyphen/>
        <w:t>های بد را در بر می</w:t>
      </w:r>
      <w:r w:rsidRPr="00551F33">
        <w:rPr>
          <w:rFonts w:hint="cs"/>
          <w:i/>
          <w:sz w:val="23"/>
          <w:szCs w:val="23"/>
          <w:rtl/>
          <w:lang w:eastAsia="en-GB"/>
        </w:rPr>
        <w:softHyphen/>
        <w:t xml:space="preserve">گیرند و بیشتر بر نقش سیاست پولی غیرسنتی تمرکز دارند. مدل </w:t>
      </w:r>
      <w:r w:rsidRPr="00551F33">
        <w:rPr>
          <w:i/>
          <w:sz w:val="23"/>
          <w:szCs w:val="23"/>
          <w:lang w:eastAsia="en-GB"/>
        </w:rPr>
        <w:t>DSGE</w:t>
      </w:r>
      <w:r w:rsidRPr="00551F33">
        <w:rPr>
          <w:rFonts w:hint="cs"/>
          <w:i/>
          <w:sz w:val="23"/>
          <w:szCs w:val="23"/>
          <w:rtl/>
          <w:lang w:eastAsia="en-GB"/>
        </w:rPr>
        <w:t xml:space="preserve"> اقتصاد کلان پیشنهاد شد که در آن امکان قصور بخش بانکی درون</w:t>
      </w:r>
      <w:r w:rsidRPr="00551F33">
        <w:rPr>
          <w:rFonts w:hint="cs"/>
          <w:i/>
          <w:sz w:val="23"/>
          <w:szCs w:val="23"/>
          <w:rtl/>
          <w:lang w:eastAsia="en-GB"/>
        </w:rPr>
        <w:softHyphen/>
        <w:t>زاست و با ارزیابی درست ریسک قصور می</w:t>
      </w:r>
      <w:r w:rsidRPr="00551F33">
        <w:rPr>
          <w:rFonts w:hint="cs"/>
          <w:i/>
          <w:sz w:val="23"/>
          <w:szCs w:val="23"/>
          <w:rtl/>
          <w:lang w:eastAsia="en-GB"/>
        </w:rPr>
        <w:softHyphen/>
        <w:t>توان وام</w:t>
      </w:r>
      <w:r w:rsidRPr="00551F33">
        <w:rPr>
          <w:rFonts w:hint="cs"/>
          <w:i/>
          <w:sz w:val="23"/>
          <w:szCs w:val="23"/>
          <w:rtl/>
          <w:lang w:eastAsia="en-GB"/>
        </w:rPr>
        <w:softHyphen/>
        <w:t>ها را بدرستی قیمت</w:t>
      </w:r>
      <w:r w:rsidRPr="00551F33">
        <w:rPr>
          <w:rFonts w:hint="cs"/>
          <w:i/>
          <w:sz w:val="23"/>
          <w:szCs w:val="23"/>
          <w:rtl/>
          <w:lang w:eastAsia="en-GB"/>
        </w:rPr>
        <w:softHyphen/>
        <w:t>گذاری کرد و ریسک بحران مالی را کاهش داد. با این حال اگر وام‌گیرندگان و وام‌دهندگان اشتیاق متفاوتی به ریسک، و یا اطلاعات متفاوتی داشته باشند، آنگاه وام</w:t>
      </w:r>
      <w:r w:rsidRPr="00551F33">
        <w:rPr>
          <w:rFonts w:hint="cs"/>
          <w:i/>
          <w:sz w:val="23"/>
          <w:szCs w:val="23"/>
          <w:rtl/>
          <w:lang w:eastAsia="en-GB"/>
        </w:rPr>
        <w:softHyphen/>
        <w:t>ها بدرستی قیمت</w:t>
      </w:r>
      <w:r w:rsidRPr="00551F33">
        <w:rPr>
          <w:rFonts w:hint="cs"/>
          <w:i/>
          <w:sz w:val="23"/>
          <w:szCs w:val="23"/>
          <w:rtl/>
          <w:lang w:eastAsia="en-GB"/>
        </w:rPr>
        <w:softHyphen/>
        <w:t>گذاری نشده و نرخ‌ قصور کمتر از حد برآورد می</w:t>
      </w:r>
      <w:r w:rsidRPr="00551F33">
        <w:rPr>
          <w:i/>
          <w:sz w:val="23"/>
          <w:szCs w:val="23"/>
          <w:rtl/>
          <w:lang w:eastAsia="en-GB"/>
        </w:rPr>
        <w:softHyphen/>
      </w:r>
      <w:r w:rsidRPr="00551F33">
        <w:rPr>
          <w:rFonts w:hint="cs"/>
          <w:i/>
          <w:sz w:val="23"/>
          <w:szCs w:val="23"/>
          <w:rtl/>
          <w:lang w:eastAsia="en-GB"/>
        </w:rPr>
        <w:t xml:space="preserve">شود. در شرح معروف لویس در سال ۲۰۱۰ بر بحران مالی </w:t>
      </w:r>
      <w:r w:rsidRPr="00551F33">
        <w:rPr>
          <w:rFonts w:hint="cs"/>
          <w:i/>
          <w:sz w:val="23"/>
          <w:szCs w:val="23"/>
          <w:rtl/>
          <w:lang w:eastAsia="en-GB"/>
        </w:rPr>
        <w:lastRenderedPageBreak/>
        <w:t>اشاره شد واسطه</w:t>
      </w:r>
      <w:r w:rsidRPr="00551F33">
        <w:rPr>
          <w:i/>
          <w:sz w:val="23"/>
          <w:szCs w:val="23"/>
          <w:lang w:eastAsia="en-GB"/>
        </w:rPr>
        <w:t>‌</w:t>
      </w:r>
      <w:r w:rsidRPr="00551F33">
        <w:rPr>
          <w:rFonts w:hint="cs"/>
          <w:i/>
          <w:sz w:val="23"/>
          <w:szCs w:val="23"/>
          <w:rtl/>
          <w:lang w:eastAsia="en-GB"/>
        </w:rPr>
        <w:t>گران مالی که وام</w:t>
      </w:r>
      <w:r w:rsidRPr="00551F33">
        <w:rPr>
          <w:rFonts w:hint="cs"/>
          <w:i/>
          <w:sz w:val="23"/>
          <w:szCs w:val="23"/>
          <w:rtl/>
          <w:lang w:eastAsia="en-GB"/>
        </w:rPr>
        <w:softHyphen/>
        <w:t>ها را پایه</w:t>
      </w:r>
      <w:r w:rsidRPr="00551F33">
        <w:rPr>
          <w:i/>
          <w:sz w:val="23"/>
          <w:szCs w:val="23"/>
          <w:lang w:eastAsia="en-GB"/>
        </w:rPr>
        <w:t>‌</w:t>
      </w:r>
      <w:r w:rsidRPr="00551F33">
        <w:rPr>
          <w:rFonts w:hint="cs"/>
          <w:i/>
          <w:sz w:val="23"/>
          <w:szCs w:val="23"/>
          <w:rtl/>
          <w:lang w:eastAsia="en-GB"/>
        </w:rPr>
        <w:t>گذاری و قیمت</w:t>
      </w:r>
      <w:r w:rsidRPr="00551F33">
        <w:rPr>
          <w:rFonts w:hint="cs"/>
          <w:i/>
          <w:sz w:val="23"/>
          <w:szCs w:val="23"/>
          <w:rtl/>
          <w:lang w:eastAsia="en-GB"/>
        </w:rPr>
        <w:softHyphen/>
        <w:t>گذاری می</w:t>
      </w:r>
      <w:r w:rsidRPr="00551F33">
        <w:rPr>
          <w:i/>
          <w:sz w:val="23"/>
          <w:szCs w:val="23"/>
          <w:lang w:eastAsia="en-GB"/>
        </w:rPr>
        <w:t>‌</w:t>
      </w:r>
      <w:r w:rsidRPr="00551F33">
        <w:rPr>
          <w:rFonts w:hint="cs"/>
          <w:i/>
          <w:sz w:val="23"/>
          <w:szCs w:val="23"/>
          <w:rtl/>
          <w:lang w:eastAsia="en-GB"/>
        </w:rPr>
        <w:t>کنند، یا بیمه بر روی سهام مبتنی بر وثیقه می</w:t>
      </w:r>
      <w:r w:rsidRPr="00551F33">
        <w:rPr>
          <w:rFonts w:hint="cs"/>
          <w:i/>
          <w:sz w:val="23"/>
          <w:szCs w:val="23"/>
          <w:rtl/>
          <w:lang w:eastAsia="en-GB"/>
        </w:rPr>
        <w:softHyphen/>
        <w:t>فروشند (معامله</w:t>
      </w:r>
      <w:r w:rsidRPr="00551F33">
        <w:rPr>
          <w:rFonts w:hint="cs"/>
          <w:i/>
          <w:sz w:val="23"/>
          <w:szCs w:val="23"/>
          <w:rtl/>
          <w:lang w:eastAsia="en-GB"/>
        </w:rPr>
        <w:softHyphen/>
        <w:t>ی تعویض قصور اعتبار)، از اندازه</w:t>
      </w:r>
      <w:r w:rsidRPr="00551F33">
        <w:rPr>
          <w:rFonts w:hint="cs"/>
          <w:i/>
          <w:sz w:val="23"/>
          <w:szCs w:val="23"/>
          <w:rtl/>
          <w:lang w:eastAsia="en-GB"/>
        </w:rPr>
        <w:softHyphen/>
        <w:t>ی ریسک</w:t>
      </w:r>
      <w:r w:rsidRPr="00551F33">
        <w:rPr>
          <w:rFonts w:hint="cs"/>
          <w:i/>
          <w:sz w:val="23"/>
          <w:szCs w:val="23"/>
          <w:rtl/>
          <w:lang w:eastAsia="en-GB"/>
        </w:rPr>
        <w:softHyphen/>
        <w:t>هایی که معامله</w:t>
      </w:r>
      <w:r w:rsidRPr="00551F33">
        <w:rPr>
          <w:i/>
          <w:sz w:val="23"/>
          <w:szCs w:val="23"/>
          <w:lang w:eastAsia="en-GB"/>
        </w:rPr>
        <w:t>‌</w:t>
      </w:r>
      <w:r w:rsidRPr="00551F33">
        <w:rPr>
          <w:rFonts w:hint="cs"/>
          <w:i/>
          <w:sz w:val="23"/>
          <w:szCs w:val="23"/>
          <w:rtl/>
          <w:lang w:eastAsia="en-GB"/>
        </w:rPr>
        <w:t>گران در معرض آن بودند اطلاعی نداشتند، و موسسات رتبه</w:t>
      </w:r>
      <w:r w:rsidRPr="00551F33">
        <w:rPr>
          <w:rFonts w:hint="cs"/>
          <w:i/>
          <w:sz w:val="23"/>
          <w:szCs w:val="23"/>
          <w:rtl/>
          <w:lang w:eastAsia="en-GB"/>
        </w:rPr>
        <w:softHyphen/>
        <w:t>بندی اعتباری که نقش</w:t>
      </w:r>
      <w:r w:rsidRPr="00551F33">
        <w:rPr>
          <w:rFonts w:hint="cs"/>
          <w:i/>
          <w:sz w:val="23"/>
          <w:szCs w:val="23"/>
          <w:rtl/>
          <w:lang w:eastAsia="en-GB"/>
        </w:rPr>
        <w:softHyphen/>
        <w:t>شان ارزیابی ریسک قصور است، کاملاً از این ریسک</w:t>
      </w:r>
      <w:r w:rsidRPr="00551F33">
        <w:rPr>
          <w:rFonts w:hint="cs"/>
          <w:i/>
          <w:sz w:val="23"/>
          <w:szCs w:val="23"/>
          <w:rtl/>
          <w:lang w:eastAsia="en-GB"/>
        </w:rPr>
        <w:softHyphen/>
        <w:t>ها بی اطلاع بودند.</w:t>
      </w:r>
    </w:p>
    <w:p w14:paraId="0FFC0DCC" w14:textId="77777777" w:rsidR="00556C10" w:rsidRPr="00551F33" w:rsidRDefault="00556C10" w:rsidP="00556C10">
      <w:pPr>
        <w:spacing w:line="216" w:lineRule="auto"/>
        <w:rPr>
          <w:i/>
          <w:sz w:val="23"/>
          <w:szCs w:val="23"/>
          <w:rtl/>
          <w:lang w:eastAsia="en-GB"/>
        </w:rPr>
      </w:pPr>
      <w:r w:rsidRPr="00551F33">
        <w:rPr>
          <w:rFonts w:hint="cs"/>
          <w:i/>
          <w:sz w:val="23"/>
          <w:szCs w:val="23"/>
          <w:rtl/>
          <w:lang w:eastAsia="en-GB"/>
        </w:rPr>
        <w:t>به عنوان آخرین مشاهده از نقش اقتصاد کلان در ایجاد بحران مالی، بسیار آموزنده است که هیچ</w:t>
      </w:r>
      <w:r w:rsidRPr="00551F33">
        <w:rPr>
          <w:rFonts w:hint="cs"/>
          <w:i/>
          <w:sz w:val="23"/>
          <w:szCs w:val="23"/>
          <w:rtl/>
          <w:lang w:eastAsia="en-GB"/>
        </w:rPr>
        <w:softHyphen/>
        <w:t>یک از صندوق</w:t>
      </w:r>
      <w:r w:rsidRPr="00551F33">
        <w:rPr>
          <w:i/>
          <w:sz w:val="23"/>
          <w:szCs w:val="23"/>
          <w:lang w:eastAsia="en-GB"/>
        </w:rPr>
        <w:t>‌</w:t>
      </w:r>
      <w:r w:rsidRPr="00551F33">
        <w:rPr>
          <w:rFonts w:hint="cs"/>
          <w:i/>
          <w:sz w:val="23"/>
          <w:szCs w:val="23"/>
          <w:rtl/>
          <w:lang w:eastAsia="en-GB"/>
        </w:rPr>
        <w:t>های تامینی اقتصاد کلان در طی بحران پولی از دست ندادند. احتمالاً آن</w:t>
      </w:r>
      <w:r w:rsidRPr="00551F33">
        <w:rPr>
          <w:rFonts w:hint="cs"/>
          <w:i/>
          <w:sz w:val="23"/>
          <w:szCs w:val="23"/>
          <w:rtl/>
          <w:lang w:eastAsia="en-GB"/>
        </w:rPr>
        <w:softHyphen/>
        <w:t>ها نقص رابطه</w:t>
      </w:r>
      <w:r w:rsidRPr="00551F33">
        <w:rPr>
          <w:i/>
          <w:sz w:val="23"/>
          <w:szCs w:val="23"/>
          <w:rtl/>
          <w:lang w:eastAsia="en-GB"/>
        </w:rPr>
        <w:softHyphen/>
      </w:r>
      <w:r w:rsidRPr="00551F33">
        <w:rPr>
          <w:rFonts w:hint="cs"/>
          <w:i/>
          <w:sz w:val="23"/>
          <w:szCs w:val="23"/>
          <w:rtl/>
          <w:lang w:eastAsia="en-GB"/>
        </w:rPr>
        <w:t>ی اقتصاد مالی و اقتصاد کلان را بهتر از دیگران می‌دانستند.</w:t>
      </w:r>
    </w:p>
    <w:p w14:paraId="34C1B6A9" w14:textId="441B9DC7" w:rsidR="00556C10" w:rsidRDefault="00556C10" w:rsidP="00556C10">
      <w:pPr>
        <w:spacing w:line="216" w:lineRule="auto"/>
        <w:rPr>
          <w:i/>
          <w:sz w:val="23"/>
          <w:szCs w:val="23"/>
          <w:rtl/>
        </w:rPr>
      </w:pPr>
    </w:p>
    <w:p w14:paraId="7280A17F" w14:textId="4BC08CE8" w:rsidR="00556C10" w:rsidRDefault="00556C10" w:rsidP="00556C10">
      <w:pPr>
        <w:spacing w:line="216" w:lineRule="auto"/>
        <w:rPr>
          <w:i/>
          <w:sz w:val="23"/>
          <w:szCs w:val="23"/>
          <w:rtl/>
        </w:rPr>
      </w:pPr>
    </w:p>
    <w:p w14:paraId="34EA7F37" w14:textId="231F4024" w:rsidR="00556C10" w:rsidRDefault="00556C10" w:rsidP="00556C10">
      <w:pPr>
        <w:spacing w:line="216" w:lineRule="auto"/>
        <w:rPr>
          <w:i/>
          <w:sz w:val="23"/>
          <w:szCs w:val="23"/>
          <w:rtl/>
        </w:rPr>
      </w:pPr>
    </w:p>
    <w:p w14:paraId="00EC72C8" w14:textId="09FC23FF" w:rsidR="00556C10" w:rsidRDefault="00556C10" w:rsidP="00556C10">
      <w:pPr>
        <w:spacing w:line="216" w:lineRule="auto"/>
        <w:rPr>
          <w:i/>
          <w:sz w:val="23"/>
          <w:szCs w:val="23"/>
          <w:rtl/>
        </w:rPr>
      </w:pPr>
    </w:p>
    <w:p w14:paraId="28FDB01A" w14:textId="275998D8" w:rsidR="00556C10" w:rsidRDefault="00556C10" w:rsidP="00556C10">
      <w:pPr>
        <w:spacing w:line="216" w:lineRule="auto"/>
        <w:rPr>
          <w:i/>
          <w:sz w:val="23"/>
          <w:szCs w:val="23"/>
          <w:rtl/>
        </w:rPr>
      </w:pPr>
    </w:p>
    <w:p w14:paraId="33496BED" w14:textId="22BE2FF0" w:rsidR="00556C10" w:rsidRDefault="00556C10" w:rsidP="00556C10">
      <w:pPr>
        <w:spacing w:line="216" w:lineRule="auto"/>
        <w:rPr>
          <w:i/>
          <w:sz w:val="23"/>
          <w:szCs w:val="23"/>
          <w:rtl/>
        </w:rPr>
      </w:pPr>
    </w:p>
    <w:p w14:paraId="7541DB4B" w14:textId="7A86D147" w:rsidR="00556C10" w:rsidRDefault="00556C10" w:rsidP="00556C10">
      <w:pPr>
        <w:spacing w:line="216" w:lineRule="auto"/>
        <w:rPr>
          <w:i/>
          <w:sz w:val="23"/>
          <w:szCs w:val="23"/>
          <w:rtl/>
        </w:rPr>
      </w:pPr>
    </w:p>
    <w:p w14:paraId="21179126" w14:textId="20281821" w:rsidR="00556C10" w:rsidRDefault="00556C10" w:rsidP="00556C10">
      <w:pPr>
        <w:spacing w:line="216" w:lineRule="auto"/>
        <w:rPr>
          <w:i/>
          <w:sz w:val="23"/>
          <w:szCs w:val="23"/>
          <w:rtl/>
        </w:rPr>
      </w:pPr>
    </w:p>
    <w:p w14:paraId="3D325BBE" w14:textId="4FF652E0" w:rsidR="00556C10" w:rsidRDefault="00556C10" w:rsidP="00556C10">
      <w:pPr>
        <w:spacing w:line="216" w:lineRule="auto"/>
        <w:rPr>
          <w:i/>
          <w:sz w:val="23"/>
          <w:szCs w:val="23"/>
          <w:rtl/>
        </w:rPr>
      </w:pPr>
    </w:p>
    <w:p w14:paraId="37D646D3" w14:textId="3267D243" w:rsidR="00556C10" w:rsidRDefault="00556C10" w:rsidP="00556C10">
      <w:pPr>
        <w:spacing w:line="216" w:lineRule="auto"/>
        <w:rPr>
          <w:i/>
          <w:sz w:val="23"/>
          <w:szCs w:val="23"/>
          <w:rtl/>
        </w:rPr>
      </w:pPr>
    </w:p>
    <w:p w14:paraId="53FA245D" w14:textId="3E51DD53" w:rsidR="00556C10" w:rsidRDefault="00556C10" w:rsidP="00556C10">
      <w:pPr>
        <w:spacing w:line="216" w:lineRule="auto"/>
        <w:rPr>
          <w:i/>
          <w:sz w:val="23"/>
          <w:szCs w:val="23"/>
          <w:rtl/>
        </w:rPr>
      </w:pPr>
    </w:p>
    <w:p w14:paraId="65A49550" w14:textId="760107EF" w:rsidR="00556C10" w:rsidRDefault="00556C10" w:rsidP="00556C10">
      <w:pPr>
        <w:spacing w:line="216" w:lineRule="auto"/>
        <w:rPr>
          <w:i/>
          <w:sz w:val="23"/>
          <w:szCs w:val="23"/>
          <w:rtl/>
        </w:rPr>
      </w:pPr>
    </w:p>
    <w:p w14:paraId="209A4EEB" w14:textId="5AD240D8" w:rsidR="00556C10" w:rsidRDefault="00556C10" w:rsidP="00556C10">
      <w:pPr>
        <w:spacing w:line="216" w:lineRule="auto"/>
        <w:rPr>
          <w:i/>
          <w:sz w:val="23"/>
          <w:szCs w:val="23"/>
          <w:rtl/>
        </w:rPr>
      </w:pPr>
    </w:p>
    <w:p w14:paraId="4F0E9681" w14:textId="7DB0AC40" w:rsidR="00556C10" w:rsidRDefault="00556C10" w:rsidP="00556C10">
      <w:pPr>
        <w:spacing w:line="216" w:lineRule="auto"/>
        <w:rPr>
          <w:i/>
          <w:sz w:val="23"/>
          <w:szCs w:val="23"/>
          <w:rtl/>
        </w:rPr>
      </w:pPr>
    </w:p>
    <w:p w14:paraId="7DCD07D6" w14:textId="3DB28EDC" w:rsidR="00556C10" w:rsidRDefault="00556C10" w:rsidP="00556C10">
      <w:pPr>
        <w:spacing w:line="216" w:lineRule="auto"/>
        <w:rPr>
          <w:i/>
          <w:sz w:val="23"/>
          <w:szCs w:val="23"/>
          <w:rtl/>
        </w:rPr>
      </w:pPr>
    </w:p>
    <w:p w14:paraId="061F59FA" w14:textId="7BCB8D4E" w:rsidR="00556C10" w:rsidRDefault="00556C10" w:rsidP="00556C10">
      <w:pPr>
        <w:spacing w:line="216" w:lineRule="auto"/>
        <w:rPr>
          <w:i/>
          <w:sz w:val="23"/>
          <w:szCs w:val="23"/>
          <w:rtl/>
        </w:rPr>
      </w:pPr>
    </w:p>
    <w:p w14:paraId="4AF8E019" w14:textId="48B9F52D" w:rsidR="00556C10" w:rsidRDefault="00556C10" w:rsidP="00556C10">
      <w:pPr>
        <w:spacing w:line="216" w:lineRule="auto"/>
        <w:rPr>
          <w:i/>
          <w:sz w:val="23"/>
          <w:szCs w:val="23"/>
          <w:rtl/>
        </w:rPr>
      </w:pPr>
    </w:p>
    <w:p w14:paraId="20FF8DE0" w14:textId="06F28BA4" w:rsidR="00556C10" w:rsidRDefault="00556C10" w:rsidP="00556C10">
      <w:pPr>
        <w:spacing w:line="216" w:lineRule="auto"/>
        <w:rPr>
          <w:i/>
          <w:sz w:val="23"/>
          <w:szCs w:val="23"/>
          <w:rtl/>
        </w:rPr>
      </w:pPr>
    </w:p>
    <w:p w14:paraId="21E3CE13" w14:textId="3B656AEC" w:rsidR="00556C10" w:rsidRDefault="00556C10" w:rsidP="00556C10">
      <w:pPr>
        <w:spacing w:line="216" w:lineRule="auto"/>
        <w:rPr>
          <w:i/>
          <w:sz w:val="23"/>
          <w:szCs w:val="23"/>
          <w:rtl/>
        </w:rPr>
      </w:pPr>
    </w:p>
    <w:p w14:paraId="3CC3A62B" w14:textId="38CA8F92" w:rsidR="00556C10" w:rsidRDefault="00556C10" w:rsidP="00556C10">
      <w:pPr>
        <w:spacing w:line="216" w:lineRule="auto"/>
        <w:rPr>
          <w:i/>
          <w:sz w:val="23"/>
          <w:szCs w:val="23"/>
          <w:rtl/>
        </w:rPr>
      </w:pPr>
    </w:p>
    <w:p w14:paraId="4DF2A69C" w14:textId="70EE8EF4" w:rsidR="00556C10" w:rsidRDefault="00556C10" w:rsidP="00556C10">
      <w:pPr>
        <w:spacing w:line="216" w:lineRule="auto"/>
        <w:rPr>
          <w:i/>
          <w:sz w:val="23"/>
          <w:szCs w:val="23"/>
          <w:rtl/>
        </w:rPr>
      </w:pPr>
    </w:p>
    <w:p w14:paraId="0AEF1025" w14:textId="104B0554" w:rsidR="00556C10" w:rsidRDefault="00556C10" w:rsidP="00556C10">
      <w:pPr>
        <w:spacing w:line="216" w:lineRule="auto"/>
        <w:rPr>
          <w:i/>
          <w:sz w:val="23"/>
          <w:szCs w:val="23"/>
          <w:rtl/>
        </w:rPr>
      </w:pPr>
    </w:p>
    <w:p w14:paraId="29182F99" w14:textId="1FE6D062" w:rsidR="00556C10" w:rsidRDefault="00556C10" w:rsidP="00556C10">
      <w:pPr>
        <w:spacing w:line="216" w:lineRule="auto"/>
        <w:rPr>
          <w:i/>
          <w:sz w:val="23"/>
          <w:szCs w:val="23"/>
          <w:rtl/>
        </w:rPr>
      </w:pPr>
    </w:p>
    <w:p w14:paraId="74D5043C" w14:textId="2B105A53" w:rsidR="00556C10" w:rsidRDefault="00556C10" w:rsidP="00556C10">
      <w:pPr>
        <w:spacing w:line="216" w:lineRule="auto"/>
        <w:rPr>
          <w:i/>
          <w:sz w:val="23"/>
          <w:szCs w:val="23"/>
          <w:rtl/>
        </w:rPr>
      </w:pPr>
    </w:p>
    <w:p w14:paraId="2D65E49D" w14:textId="3900394C" w:rsidR="00556C10" w:rsidRDefault="00556C10" w:rsidP="00556C10">
      <w:pPr>
        <w:spacing w:line="216" w:lineRule="auto"/>
        <w:rPr>
          <w:i/>
          <w:sz w:val="23"/>
          <w:szCs w:val="23"/>
          <w:rtl/>
        </w:rPr>
      </w:pPr>
    </w:p>
    <w:p w14:paraId="58A2DF6A" w14:textId="7B61D84B" w:rsidR="00556C10" w:rsidRDefault="00556C10" w:rsidP="00556C10">
      <w:pPr>
        <w:spacing w:line="216" w:lineRule="auto"/>
        <w:rPr>
          <w:i/>
          <w:sz w:val="23"/>
          <w:szCs w:val="23"/>
          <w:rtl/>
        </w:rPr>
      </w:pPr>
    </w:p>
    <w:p w14:paraId="73B3BFEF" w14:textId="51D73C6B" w:rsidR="00556C10" w:rsidRDefault="00556C10" w:rsidP="00556C10">
      <w:pPr>
        <w:spacing w:line="216" w:lineRule="auto"/>
        <w:rPr>
          <w:i/>
          <w:sz w:val="23"/>
          <w:szCs w:val="23"/>
          <w:rtl/>
        </w:rPr>
      </w:pPr>
    </w:p>
    <w:p w14:paraId="5A74D940" w14:textId="77777777" w:rsidR="00556C10" w:rsidRPr="005C611F" w:rsidRDefault="00556C10" w:rsidP="00556C10">
      <w:pPr>
        <w:pStyle w:val="a3"/>
        <w:spacing w:before="1080" w:after="720" w:line="216" w:lineRule="auto"/>
        <w:ind w:left="0"/>
        <w:rPr>
          <w:rFonts w:eastAsia="Yu Gothic UI" w:cs="B Nazanin"/>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pPr>
      <w:r w:rsidRPr="005C611F">
        <w:rPr>
          <w:rFonts w:hint="cs"/>
          <w:b w:val="0"/>
          <w:i/>
          <w:color w:val="000000" w:themeColor="text1"/>
          <w:sz w:val="40"/>
          <w:szCs w:val="40"/>
          <w:rtl/>
        </w:rPr>
        <w:t xml:space="preserve">فصل </w:t>
      </w:r>
      <w:r w:rsidRPr="005C611F">
        <w:rPr>
          <w:rFonts w:hint="cs"/>
          <w:b w:val="0"/>
          <w:i/>
          <w:color w:val="000000" w:themeColor="text1"/>
          <w:sz w:val="40"/>
          <w:szCs w:val="40"/>
          <w:rtl/>
          <w:lang w:bidi="fa-IR"/>
        </w:rPr>
        <w:t>شانزدهم</w:t>
      </w:r>
    </w:p>
    <w:p w14:paraId="4FBF609D" w14:textId="77777777" w:rsidR="00556C10" w:rsidRPr="005C611F" w:rsidRDefault="00556C10" w:rsidP="00556C10">
      <w:pPr>
        <w:pStyle w:val="a4"/>
        <w:pBdr>
          <w:top w:val="none" w:sz="0" w:space="0" w:color="auto"/>
          <w:bottom w:val="none" w:sz="0" w:space="0" w:color="auto"/>
        </w:pBdr>
        <w:shd w:val="clear" w:color="auto" w:fill="auto"/>
        <w:spacing w:after="0" w:line="216" w:lineRule="auto"/>
        <w:rPr>
          <w:rFonts w:ascii="Times New Roman" w:eastAsia="Yu Gothic UI" w:hAnsi="Times New Roman" w:cs="B Nazanin"/>
          <w:b w:val="0"/>
          <w:i/>
          <w:sz w:val="40"/>
          <w:szCs w:val="40"/>
          <w14:glow w14:rad="0">
            <w14:srgbClr w14:val="000000">
              <w14:alpha w14:val="91000"/>
            </w14:srgbClr>
          </w14:glow>
          <w14:shadow w14:blurRad="63500" w14:dist="0" w14:dir="0" w14:sx="1000" w14:sy="1000" w14:kx="0" w14:ky="0" w14:algn="ctr">
            <w14:srgbClr w14:val="000000">
              <w14:alpha w14:val="16000"/>
            </w14:srgbClr>
          </w14:shadow>
        </w:rPr>
      </w:pPr>
      <w:r w:rsidRPr="005C611F">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t>چرخه</w:t>
      </w:r>
      <w:r w:rsidRPr="005C611F">
        <w:rPr>
          <w:rFonts w:ascii="Times New Roman" w:eastAsia="Yu Gothic UI" w:hAnsi="Times New Roman" w:cs="B Nazanin"/>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softHyphen/>
      </w:r>
      <w:r w:rsidRPr="005C611F">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t>های تجاری حقیقی، مدل</w:t>
      </w:r>
      <w:r w:rsidRPr="005C611F">
        <w:rPr>
          <w:rFonts w:ascii="Times New Roman" w:eastAsia="Yu Gothic UI" w:hAnsi="Times New Roman" w:cs="B Nazanin"/>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softHyphen/>
      </w:r>
      <w:r w:rsidRPr="005C611F">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t xml:space="preserve">های </w:t>
      </w:r>
      <w:r w:rsidRPr="00CF64BC">
        <w:rPr>
          <w:rFonts w:ascii="Times New Roman" w:eastAsia="Yu Gothic UI" w:hAnsi="Times New Roman" w:cs="B Nazanin"/>
          <w:b w:val="0"/>
          <w:i/>
          <w:sz w:val="36"/>
          <w:szCs w:val="36"/>
          <w14:glow w14:rad="0">
            <w14:srgbClr w14:val="000000">
              <w14:alpha w14:val="91000"/>
            </w14:srgbClr>
          </w14:glow>
          <w14:shadow w14:blurRad="63500" w14:dist="0" w14:dir="0" w14:sx="1000" w14:sy="1000" w14:kx="0" w14:ky="0" w14:algn="ctr">
            <w14:srgbClr w14:val="000000">
              <w14:alpha w14:val="16000"/>
            </w14:srgbClr>
          </w14:shadow>
        </w:rPr>
        <w:t>DSGE</w:t>
      </w:r>
      <w:r w:rsidRPr="00CF64BC">
        <w:rPr>
          <w:rFonts w:ascii="Times New Roman" w:eastAsia="Yu Gothic UI" w:hAnsi="Times New Roman" w:cs="B Nazanin" w:hint="cs"/>
          <w:b w:val="0"/>
          <w:i/>
          <w:sz w:val="36"/>
          <w:szCs w:val="36"/>
          <w:rtl/>
          <w14:glow w14:rad="0">
            <w14:srgbClr w14:val="000000">
              <w14:alpha w14:val="91000"/>
            </w14:srgbClr>
          </w14:glow>
          <w14:shadow w14:blurRad="63500" w14:dist="0" w14:dir="0" w14:sx="1000" w14:sy="1000" w14:kx="0" w14:ky="0" w14:algn="ctr">
            <w14:srgbClr w14:val="000000">
              <w14:alpha w14:val="16000"/>
            </w14:srgbClr>
          </w14:shadow>
        </w:rPr>
        <w:t xml:space="preserve"> </w:t>
      </w:r>
    </w:p>
    <w:p w14:paraId="7BEA443E" w14:textId="77777777" w:rsidR="00556C10" w:rsidRPr="005C611F" w:rsidRDefault="00556C10" w:rsidP="00556C10">
      <w:pPr>
        <w:pStyle w:val="a4"/>
        <w:pBdr>
          <w:top w:val="none" w:sz="0" w:space="0" w:color="auto"/>
          <w:bottom w:val="none" w:sz="0" w:space="0" w:color="auto"/>
        </w:pBdr>
        <w:shd w:val="clear" w:color="auto" w:fill="auto"/>
        <w:spacing w:after="720" w:line="216" w:lineRule="auto"/>
        <w:rPr>
          <w:i/>
          <w:sz w:val="33"/>
          <w:szCs w:val="40"/>
          <w:rtl/>
        </w:rPr>
      </w:pPr>
      <w:r w:rsidRPr="005C611F">
        <w:rPr>
          <w:rFonts w:ascii="Times New Roman" w:eastAsia="Yu Gothic UI" w:hAnsi="Times New Roman" w:cs="B Nazanin" w:hint="cs"/>
          <w:b w:val="0"/>
          <w:i/>
          <w:sz w:val="40"/>
          <w:szCs w:val="40"/>
          <w:rtl/>
          <w14:glow w14:rad="0">
            <w14:srgbClr w14:val="000000">
              <w14:alpha w14:val="91000"/>
            </w14:srgbClr>
          </w14:glow>
          <w14:shadow w14:blurRad="63500" w14:dist="0" w14:dir="0" w14:sx="1000" w14:sy="1000" w14:kx="0" w14:ky="0" w14:algn="ctr">
            <w14:srgbClr w14:val="000000">
              <w14:alpha w14:val="16000"/>
            </w14:srgbClr>
          </w14:shadow>
        </w:rPr>
        <w:t>و نوسانات اقتصادی</w:t>
      </w:r>
    </w:p>
    <w:p w14:paraId="6548FD3A" w14:textId="77777777" w:rsidR="00556C10" w:rsidRPr="005C611F" w:rsidRDefault="00556C10" w:rsidP="00556C10">
      <w:pPr>
        <w:pStyle w:val="Heading2"/>
        <w:spacing w:line="216" w:lineRule="auto"/>
        <w:rPr>
          <w:rFonts w:ascii="Times New Roman" w:hAnsi="Times New Roman" w:cs="B Nazanin"/>
          <w:b w:val="0"/>
          <w:i/>
          <w:color w:val="auto"/>
          <w:sz w:val="23"/>
          <w:szCs w:val="23"/>
          <w:rtl/>
        </w:rPr>
      </w:pPr>
      <w:r w:rsidRPr="005C611F">
        <w:rPr>
          <w:rFonts w:ascii="Times New Roman" w:hAnsi="Times New Roman" w:cs="B Nazanin" w:hint="cs"/>
          <w:b w:val="0"/>
          <w:i/>
          <w:color w:val="auto"/>
          <w:sz w:val="23"/>
          <w:szCs w:val="23"/>
          <w:rtl/>
        </w:rPr>
        <w:t xml:space="preserve">۱۶. ۱ مقدمه </w:t>
      </w:r>
    </w:p>
    <w:p w14:paraId="3C2779E7"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مهمترین خصوصیات متمایز نظریه</w:t>
      </w:r>
      <w:r w:rsidRPr="005C611F">
        <w:rPr>
          <w:i/>
          <w:sz w:val="23"/>
          <w:szCs w:val="23"/>
        </w:rPr>
        <w:softHyphen/>
      </w:r>
      <w:r w:rsidRPr="005C611F">
        <w:rPr>
          <w:rFonts w:hint="cs"/>
          <w:i/>
          <w:sz w:val="23"/>
          <w:szCs w:val="23"/>
          <w:rtl/>
        </w:rPr>
        <w:t>های اقتصاد کلان در این کتاب، استفاده و بکارگیری مدل‌هایی است که کل اقتصاد را بجای بخشی از آن توضیح می‌دهد، تأکید</w:t>
      </w:r>
      <w:r w:rsidRPr="005C611F">
        <w:rPr>
          <w:i/>
          <w:sz w:val="23"/>
          <w:szCs w:val="23"/>
        </w:rPr>
        <w:t xml:space="preserve"> </w:t>
      </w:r>
      <w:r w:rsidRPr="005C611F">
        <w:rPr>
          <w:rFonts w:hint="cs"/>
          <w:i/>
          <w:sz w:val="23"/>
          <w:szCs w:val="23"/>
          <w:rtl/>
        </w:rPr>
        <w:t>آن بر مدل‌های بین دوره</w:t>
      </w:r>
      <w:r w:rsidRPr="005C611F">
        <w:rPr>
          <w:rFonts w:hint="cs"/>
          <w:i/>
          <w:sz w:val="23"/>
          <w:szCs w:val="23"/>
          <w:rtl/>
        </w:rPr>
        <w:softHyphen/>
        <w:t>ای بجای یک دوره</w:t>
      </w:r>
      <w:r w:rsidRPr="005C611F">
        <w:rPr>
          <w:rFonts w:hint="cs"/>
          <w:i/>
          <w:sz w:val="23"/>
          <w:szCs w:val="23"/>
          <w:rtl/>
        </w:rPr>
        <w:softHyphen/>
        <w:t>ای</w:t>
      </w:r>
      <w:r w:rsidRPr="005C611F">
        <w:rPr>
          <w:i/>
          <w:sz w:val="23"/>
          <w:szCs w:val="23"/>
        </w:rPr>
        <w:t xml:space="preserve"> </w:t>
      </w:r>
      <w:r w:rsidRPr="005C611F">
        <w:rPr>
          <w:rFonts w:hint="cs"/>
          <w:i/>
          <w:sz w:val="23"/>
          <w:szCs w:val="23"/>
          <w:rtl/>
        </w:rPr>
        <w:t xml:space="preserve">است، و اقتصاد کلان مبتنی بر تصمیمات فردی، یعنی اقتصاد کلان خُرد بنیان بجای نظریه‌های اقتصاد کلان با متغیرهای تجمیع و متراکم شده را تبیین </w:t>
      </w:r>
      <w:r w:rsidRPr="005C611F">
        <w:rPr>
          <w:i/>
          <w:sz w:val="23"/>
          <w:szCs w:val="23"/>
          <w:rtl/>
        </w:rPr>
        <w:softHyphen/>
      </w:r>
      <w:r w:rsidRPr="005C611F">
        <w:rPr>
          <w:rFonts w:hint="cs"/>
          <w:i/>
          <w:sz w:val="23"/>
          <w:szCs w:val="23"/>
          <w:rtl/>
        </w:rPr>
        <w:t>کند. این کتاب را با یک مدل اقتصادی کوچک با برنامه</w:t>
      </w:r>
      <w:r w:rsidRPr="005C611F">
        <w:rPr>
          <w:rFonts w:hint="cs"/>
          <w:i/>
          <w:sz w:val="23"/>
          <w:szCs w:val="23"/>
          <w:rtl/>
        </w:rPr>
        <w:softHyphen/>
        <w:t>ریزی متمرکز، و یا مدل کارگزار نمونه آغاز کردیم و آنرا در ابعاد گوناگون بسط و گسترش دادیم. نظریه‌های رشد اقتصادی را در یک فصل و باختصار توضیح داده و تصمیمات اقتصادی را در بازارها، اقتصاد باز و با ورود دولت و بازار پول آن</w:t>
      </w:r>
      <w:r w:rsidRPr="005C611F">
        <w:rPr>
          <w:i/>
          <w:sz w:val="23"/>
          <w:szCs w:val="23"/>
          <w:rtl/>
        </w:rPr>
        <w:softHyphen/>
      </w:r>
      <w:r w:rsidRPr="005C611F">
        <w:rPr>
          <w:rFonts w:hint="cs"/>
          <w:i/>
          <w:sz w:val="23"/>
          <w:szCs w:val="23"/>
          <w:rtl/>
        </w:rPr>
        <w:t>را گسترش داده، و برای ساده</w:t>
      </w:r>
      <w:r w:rsidRPr="005C611F">
        <w:rPr>
          <w:rFonts w:hint="cs"/>
          <w:i/>
          <w:sz w:val="23"/>
          <w:szCs w:val="23"/>
          <w:rtl/>
        </w:rPr>
        <w:softHyphen/>
        <w:t>سازی تا جایی که ممکن بود به مدل اولیه و یا مدل اقتصاد متمرکز بازگشتیم. با این حال از آنجا که تجزیه و تحلیل‌های مدل تعادل عمومی‌ پویا بسیار مشکل است لذا اغلب به خصوصیات بلند‌مدت مدل اقتصادی اکتفا نمودیم. از آنجا که رفتار کارگزار نمونه در کوتاه‌مدت نیز مورد توجه است، در این جا به این نکته نیز توجه می</w:t>
      </w:r>
      <w:r w:rsidRPr="005C611F">
        <w:rPr>
          <w:rFonts w:hint="cs"/>
          <w:i/>
          <w:sz w:val="23"/>
          <w:szCs w:val="23"/>
          <w:rtl/>
        </w:rPr>
        <w:softHyphen/>
        <w:t>کنیم که پاسخ اقتصاد به انواع شوک</w:t>
      </w:r>
      <w:r w:rsidRPr="005C611F">
        <w:rPr>
          <w:rFonts w:hint="cs"/>
          <w:i/>
          <w:sz w:val="23"/>
          <w:szCs w:val="23"/>
          <w:rtl/>
        </w:rPr>
        <w:softHyphen/>
        <w:t>ها چیست و کدام یک از سیاست</w:t>
      </w:r>
      <w:r w:rsidRPr="005C611F">
        <w:rPr>
          <w:rFonts w:hint="cs"/>
          <w:i/>
          <w:sz w:val="23"/>
          <w:szCs w:val="23"/>
          <w:rtl/>
        </w:rPr>
        <w:softHyphen/>
        <w:t>ها مؤثرترند. این موضوعات بخشی از دستور کار تجزیه و تحلیل چرخه</w:t>
      </w:r>
      <w:r w:rsidRPr="005C611F">
        <w:rPr>
          <w:rFonts w:hint="cs"/>
          <w:i/>
          <w:sz w:val="23"/>
          <w:szCs w:val="23"/>
          <w:rtl/>
        </w:rPr>
        <w:softHyphen/>
        <w:t>های تجاری حقیقی است که ابتدا توسط کیدلند و پرسکات در سال ۱۹۸۲ و لانگ و پلاسر در سال ۱۹۸۳ ارائه شده است.</w:t>
      </w:r>
      <w:r w:rsidRPr="005C611F">
        <w:rPr>
          <w:rStyle w:val="FootnoteReference"/>
          <w:i/>
          <w:sz w:val="23"/>
          <w:szCs w:val="23"/>
          <w:rtl/>
        </w:rPr>
        <w:footnoteReference w:id="375"/>
      </w:r>
      <w:r w:rsidRPr="005C611F">
        <w:rPr>
          <w:rFonts w:hint="cs"/>
          <w:i/>
          <w:sz w:val="23"/>
          <w:szCs w:val="23"/>
          <w:rtl/>
        </w:rPr>
        <w:t xml:space="preserve"> اولین مطالعه</w:t>
      </w:r>
      <w:r w:rsidRPr="005C611F">
        <w:rPr>
          <w:rFonts w:hint="cs"/>
          <w:i/>
          <w:sz w:val="23"/>
          <w:szCs w:val="23"/>
          <w:rtl/>
        </w:rPr>
        <w:softHyphen/>
        <w:t>ی تجربی چرخه‌های تجاری حقیقی، اثر شوک‌های بهره</w:t>
      </w:r>
      <w:r w:rsidRPr="005C611F">
        <w:rPr>
          <w:rFonts w:hint="cs"/>
          <w:i/>
          <w:sz w:val="23"/>
          <w:szCs w:val="23"/>
          <w:rtl/>
        </w:rPr>
        <w:softHyphen/>
        <w:t>وری (تکنولوژیکی) را بر متغیرهای مهم اقتصاد کلان و با استفاده از مدل اولیه</w:t>
      </w:r>
      <w:r w:rsidRPr="005C611F">
        <w:rPr>
          <w:i/>
          <w:sz w:val="23"/>
          <w:szCs w:val="23"/>
          <w:rtl/>
        </w:rPr>
        <w:softHyphen/>
      </w:r>
      <w:r w:rsidRPr="005C611F">
        <w:rPr>
          <w:rFonts w:hint="cs"/>
          <w:i/>
          <w:sz w:val="23"/>
          <w:szCs w:val="23"/>
          <w:rtl/>
        </w:rPr>
        <w:t>ی تعادل عمومی ‌پویا مورد بررسی قرار داد. متعاقب آن این روش</w:t>
      </w:r>
      <w:r w:rsidRPr="005C611F">
        <w:rPr>
          <w:i/>
          <w:sz w:val="23"/>
          <w:szCs w:val="23"/>
          <w:rtl/>
        </w:rPr>
        <w:softHyphen/>
      </w:r>
      <w:r w:rsidRPr="005C611F">
        <w:rPr>
          <w:rFonts w:hint="cs"/>
          <w:i/>
          <w:sz w:val="23"/>
          <w:szCs w:val="23"/>
          <w:rtl/>
        </w:rPr>
        <w:t xml:space="preserve">شناسی برای انواع شوک‌ها مورد استفاده قرار گرفت. هر چند بررسی اثر این شوک‌ها مستلزم مدل‌های </w:t>
      </w:r>
      <w:r w:rsidRPr="005C611F">
        <w:rPr>
          <w:rFonts w:hint="cs"/>
          <w:i/>
          <w:sz w:val="23"/>
          <w:szCs w:val="23"/>
          <w:rtl/>
        </w:rPr>
        <w:lastRenderedPageBreak/>
        <w:t>پیچیده</w:t>
      </w:r>
      <w:r w:rsidRPr="005C611F">
        <w:rPr>
          <w:rFonts w:hint="cs"/>
          <w:i/>
          <w:sz w:val="23"/>
          <w:szCs w:val="23"/>
          <w:rtl/>
        </w:rPr>
        <w:softHyphen/>
        <w:t xml:space="preserve">تری است. در این فصل انواع شوک‌های طرف عرضه، شوک‌های طرف تقاضا بخصوص شوک‌های پولی و مالی و شوک‌های خارجی را مورد مطالعه قرار خواهیم داد. </w:t>
      </w:r>
    </w:p>
    <w:p w14:paraId="517C78F8"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هدف ما بررسی خواص تعادل عمومی ‌مدل‌های اقتصاد کلان است. دلایل این‌که چرا در مدل</w:t>
      </w:r>
      <w:r w:rsidRPr="005C611F">
        <w:rPr>
          <w:i/>
          <w:sz w:val="23"/>
          <w:szCs w:val="23"/>
          <w:rtl/>
        </w:rPr>
        <w:softHyphen/>
      </w:r>
      <w:r w:rsidRPr="005C611F">
        <w:rPr>
          <w:rFonts w:hint="cs"/>
          <w:i/>
          <w:sz w:val="23"/>
          <w:szCs w:val="23"/>
          <w:rtl/>
        </w:rPr>
        <w:t>های چرخه‌های تجاری حقیقی، پارامترهای مدل اقتصادی را معمولاً برآورد نکرده و بلکه کالیبره می</w:t>
      </w:r>
      <w:r w:rsidRPr="005C611F">
        <w:rPr>
          <w:i/>
          <w:sz w:val="23"/>
          <w:szCs w:val="23"/>
          <w:rtl/>
        </w:rPr>
        <w:softHyphen/>
      </w:r>
      <w:r w:rsidRPr="005C611F">
        <w:rPr>
          <w:rFonts w:hint="cs"/>
          <w:i/>
          <w:sz w:val="23"/>
          <w:szCs w:val="23"/>
          <w:rtl/>
        </w:rPr>
        <w:t>کنیم را توضیح خواهیم داد.</w:t>
      </w:r>
      <w:r w:rsidRPr="005C611F">
        <w:rPr>
          <w:i/>
          <w:sz w:val="23"/>
          <w:szCs w:val="23"/>
        </w:rPr>
        <w:t xml:space="preserve"> </w:t>
      </w:r>
      <w:r w:rsidRPr="005C611F">
        <w:rPr>
          <w:rFonts w:hint="cs"/>
          <w:i/>
          <w:sz w:val="23"/>
          <w:szCs w:val="23"/>
          <w:rtl/>
        </w:rPr>
        <w:t>سپس روش</w:t>
      </w:r>
      <w:r w:rsidRPr="005C611F">
        <w:rPr>
          <w:rFonts w:hint="cs"/>
          <w:i/>
          <w:sz w:val="23"/>
          <w:szCs w:val="23"/>
          <w:rtl/>
        </w:rPr>
        <w:softHyphen/>
        <w:t>شناسی تجزیه و تحلیل چرخه‌های تجاری حقیقی و استفاده از مدل رشدِ در فصل سوم را توضیح داده و متعاقب آن به شواهد تجربی انواع مدل‌های چرخه‌های تجاری حقیقی همانند مدل اقتصاد باز اشاره خواهیم کرد. نهایتاً مدل اقتصاد کلان تعادل عمومی ‌پویا در اقتصاد پولی که به روش کینزین برآورد شده است را ارائه کرده و با این مدل، انواع شوک‌ها بانضمام شوک‌های پولی را مورد بررسی و ارزیابی قرار خواهیم داد.</w:t>
      </w:r>
    </w:p>
    <w:p w14:paraId="2F39AB12" w14:textId="77777777" w:rsidR="00556C10" w:rsidRPr="005C611F" w:rsidRDefault="00556C10" w:rsidP="00556C10">
      <w:pPr>
        <w:tabs>
          <w:tab w:val="left" w:pos="90"/>
        </w:tabs>
        <w:spacing w:line="216" w:lineRule="auto"/>
        <w:rPr>
          <w:i/>
          <w:sz w:val="23"/>
          <w:szCs w:val="23"/>
          <w:rtl/>
        </w:rPr>
      </w:pPr>
    </w:p>
    <w:p w14:paraId="5264975F" w14:textId="77777777" w:rsidR="00556C10" w:rsidRPr="005C611F" w:rsidRDefault="00556C10" w:rsidP="00556C10">
      <w:pPr>
        <w:pStyle w:val="Heading1"/>
        <w:spacing w:before="0" w:after="0" w:line="216" w:lineRule="auto"/>
        <w:rPr>
          <w:rFonts w:ascii="Times New Roman" w:hAnsi="Times New Roman" w:cs="B Nazanin"/>
          <w:b w:val="0"/>
          <w:i/>
          <w:sz w:val="23"/>
          <w:szCs w:val="23"/>
          <w:rtl/>
        </w:rPr>
      </w:pPr>
      <w:r w:rsidRPr="005C611F">
        <w:rPr>
          <w:rFonts w:ascii="Times New Roman" w:hAnsi="Times New Roman" w:cs="B Nazanin" w:hint="cs"/>
          <w:b w:val="0"/>
          <w:i/>
          <w:sz w:val="23"/>
          <w:szCs w:val="23"/>
          <w:rtl/>
        </w:rPr>
        <w:t xml:space="preserve">۱۶. ۲ روش شناسی تجزیه و تحلیل چرخه‌های تجاری حقیقی </w:t>
      </w:r>
    </w:p>
    <w:p w14:paraId="780FFC70"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در این قسمت با ارائه</w:t>
      </w:r>
      <w:r w:rsidRPr="005C611F">
        <w:rPr>
          <w:rFonts w:hint="cs"/>
          <w:i/>
          <w:sz w:val="23"/>
          <w:szCs w:val="23"/>
          <w:rtl/>
        </w:rPr>
        <w:softHyphen/>
        <w:t>ی یک مثال کاربردی از مدل رشد اقتصاد متمرکز که در فصل سوم بدان اشاره شد، چرخه‌های تجاری حقیقی را مورد بررسی قرار خواهیم داد. برای سهولت فرض شده است که مصرف، کار و موجودی سرمایه به</w:t>
      </w:r>
      <w:r w:rsidRPr="005C611F">
        <w:rPr>
          <w:rFonts w:hint="cs"/>
          <w:i/>
          <w:sz w:val="23"/>
          <w:szCs w:val="23"/>
          <w:rtl/>
        </w:rPr>
        <w:softHyphen/>
        <w:t>گونه</w:t>
      </w:r>
      <w:r w:rsidRPr="005C611F">
        <w:rPr>
          <w:rFonts w:hint="cs"/>
          <w:i/>
          <w:sz w:val="23"/>
          <w:szCs w:val="23"/>
          <w:rtl/>
        </w:rPr>
        <w:softHyphen/>
        <w:t>ای انتخاب می‌شوند که مطلوبیت انتظاری بین</w:t>
      </w:r>
      <w:r w:rsidRPr="005C611F">
        <w:rPr>
          <w:i/>
          <w:sz w:val="23"/>
          <w:szCs w:val="23"/>
          <w:rtl/>
        </w:rPr>
        <w:softHyphen/>
      </w:r>
      <w:r w:rsidRPr="005C611F">
        <w:rPr>
          <w:rFonts w:hint="cs"/>
          <w:i/>
          <w:sz w:val="23"/>
          <w:szCs w:val="23"/>
          <w:rtl/>
        </w:rPr>
        <w:t>دوره</w:t>
      </w:r>
      <w:r w:rsidRPr="005C611F">
        <w:rPr>
          <w:i/>
          <w:sz w:val="23"/>
          <w:szCs w:val="23"/>
          <w:rtl/>
        </w:rPr>
        <w:softHyphen/>
      </w:r>
      <w:r w:rsidRPr="005C611F">
        <w:rPr>
          <w:rFonts w:hint="cs"/>
          <w:i/>
          <w:sz w:val="23"/>
          <w:szCs w:val="23"/>
          <w:rtl/>
        </w:rPr>
        <w:t xml:space="preserve">ای خانوار یعنی </w:t>
      </w:r>
      <w:r w:rsidRPr="00F4704A">
        <w:rPr>
          <w:position w:val="-24"/>
        </w:rPr>
        <w:object w:dxaOrig="1420" w:dyaOrig="600" w14:anchorId="35C018DD">
          <v:shape id="_x0000_i7998" type="#_x0000_t75" style="width:70.8pt;height:30.25pt" o:ole="">
            <v:imagedata r:id="rId14071" o:title=""/>
          </v:shape>
          <o:OLEObject Type="Embed" ProgID="Equation.DSMT4" ShapeID="_x0000_i7998" DrawAspect="Content" ObjectID="_1791381941" r:id="rId14072"/>
        </w:object>
      </w:r>
      <w:r w:rsidRPr="005C611F">
        <w:rPr>
          <w:rFonts w:hint="cs"/>
          <w:i/>
          <w:sz w:val="23"/>
          <w:szCs w:val="23"/>
          <w:rtl/>
        </w:rPr>
        <w:t xml:space="preserve"> نسبت به قید منبع اقتصاد حداکثر شود. همچنین فرض می‌‌شود</w:t>
      </w:r>
      <w:r w:rsidRPr="00F4704A">
        <w:rPr>
          <w:position w:val="-30"/>
        </w:rPr>
        <w:object w:dxaOrig="1520" w:dyaOrig="680" w14:anchorId="2586AABB">
          <v:shape id="_x0000_i7999" type="#_x0000_t75" style="width:76.25pt;height:33.9pt" o:ole="">
            <v:imagedata r:id="rId14073" o:title=""/>
          </v:shape>
          <o:OLEObject Type="Embed" ProgID="Equation.DSMT4" ShapeID="_x0000_i7999" DrawAspect="Content" ObjectID="_1791381942" r:id="rId14074"/>
        </w:object>
      </w:r>
      <w:r w:rsidRPr="005C611F">
        <w:rPr>
          <w:rFonts w:hint="cs"/>
          <w:i/>
          <w:sz w:val="23"/>
          <w:szCs w:val="23"/>
          <w:rtl/>
        </w:rPr>
        <w:t xml:space="preserve"> و </w:t>
      </w:r>
      <w:r w:rsidRPr="00F4704A">
        <w:rPr>
          <w:position w:val="-22"/>
        </w:rPr>
        <w:object w:dxaOrig="880" w:dyaOrig="560" w14:anchorId="3A50969C">
          <v:shape id="_x0000_i8000" type="#_x0000_t75" style="width:44.15pt;height:27.85pt" o:ole="">
            <v:imagedata r:id="rId14075" o:title=""/>
          </v:shape>
          <o:OLEObject Type="Embed" ProgID="Equation.DSMT4" ShapeID="_x0000_i8000" DrawAspect="Content" ObjectID="_1791381943" r:id="rId14076"/>
        </w:object>
      </w:r>
      <w:r w:rsidRPr="005C611F">
        <w:rPr>
          <w:rFonts w:hint="cs"/>
          <w:i/>
          <w:sz w:val="23"/>
          <w:szCs w:val="23"/>
          <w:rtl/>
        </w:rPr>
        <w:t xml:space="preserve"> است. قید منبع اقتصاد نیز از ترکیب اتحاد درآمد ملی، تابع تولید و معادله</w:t>
      </w:r>
      <w:r w:rsidRPr="005C611F">
        <w:rPr>
          <w:rFonts w:hint="cs"/>
          <w:i/>
          <w:sz w:val="23"/>
          <w:szCs w:val="23"/>
          <w:rtl/>
        </w:rPr>
        <w:softHyphen/>
        <w:t>ی انباشت سرمایه بدست می‌آید. لذا</w:t>
      </w:r>
    </w:p>
    <w:p w14:paraId="1854483B" w14:textId="77777777" w:rsidR="00556C10" w:rsidRPr="005C611F" w:rsidRDefault="00556C10" w:rsidP="00556C10">
      <w:pPr>
        <w:tabs>
          <w:tab w:val="left" w:pos="90"/>
        </w:tabs>
        <w:bidi w:val="0"/>
        <w:spacing w:line="216" w:lineRule="auto"/>
        <w:rPr>
          <w:i/>
          <w:sz w:val="23"/>
          <w:szCs w:val="23"/>
          <w:rtl/>
        </w:rPr>
      </w:pPr>
      <w:r w:rsidRPr="00F4704A">
        <w:rPr>
          <w:position w:val="-10"/>
        </w:rPr>
        <w:object w:dxaOrig="1040" w:dyaOrig="320" w14:anchorId="40AEADDF">
          <v:shape id="_x0000_i8001" type="#_x0000_t75" style="width:52.05pt;height:15.75pt" o:ole="">
            <v:imagedata r:id="rId14077" o:title=""/>
          </v:shape>
          <o:OLEObject Type="Embed" ProgID="Equation.DSMT4" ShapeID="_x0000_i8001" DrawAspect="Content" ObjectID="_1791381944" r:id="rId14078"/>
        </w:object>
      </w:r>
    </w:p>
    <w:p w14:paraId="7463B681" w14:textId="77777777" w:rsidR="00556C10" w:rsidRPr="005C611F" w:rsidRDefault="00556C10" w:rsidP="00556C10">
      <w:pPr>
        <w:tabs>
          <w:tab w:val="left" w:pos="90"/>
        </w:tabs>
        <w:bidi w:val="0"/>
        <w:spacing w:line="216" w:lineRule="auto"/>
        <w:rPr>
          <w:i/>
          <w:sz w:val="23"/>
          <w:szCs w:val="23"/>
          <w:rtl/>
        </w:rPr>
      </w:pPr>
      <w:r w:rsidRPr="00F4704A">
        <w:rPr>
          <w:position w:val="-10"/>
        </w:rPr>
        <w:object w:dxaOrig="1400" w:dyaOrig="340" w14:anchorId="08511DA1">
          <v:shape id="_x0000_i8002" type="#_x0000_t75" style="width:70.2pt;height:16.95pt" o:ole="">
            <v:imagedata r:id="rId14079" o:title=""/>
          </v:shape>
          <o:OLEObject Type="Embed" ProgID="Equation.DSMT4" ShapeID="_x0000_i8002" DrawAspect="Content" ObjectID="_1791381945" r:id="rId14080"/>
        </w:object>
      </w:r>
    </w:p>
    <w:p w14:paraId="305D601C" w14:textId="77777777" w:rsidR="00556C10" w:rsidRPr="005C611F" w:rsidRDefault="00556C10" w:rsidP="00556C10">
      <w:pPr>
        <w:tabs>
          <w:tab w:val="left" w:pos="90"/>
        </w:tabs>
        <w:bidi w:val="0"/>
        <w:spacing w:line="216" w:lineRule="auto"/>
        <w:rPr>
          <w:i/>
          <w:sz w:val="23"/>
          <w:szCs w:val="23"/>
          <w:rtl/>
        </w:rPr>
      </w:pPr>
      <w:r w:rsidRPr="00F4704A">
        <w:rPr>
          <w:position w:val="-10"/>
        </w:rPr>
        <w:object w:dxaOrig="1520" w:dyaOrig="320" w14:anchorId="2AEA6642">
          <v:shape id="_x0000_i8003" type="#_x0000_t75" style="width:76.25pt;height:15.75pt" o:ole="">
            <v:imagedata r:id="rId14081" o:title=""/>
          </v:shape>
          <o:OLEObject Type="Embed" ProgID="Equation.DSMT4" ShapeID="_x0000_i8003" DrawAspect="Content" ObjectID="_1791381946" r:id="rId14082"/>
        </w:object>
      </w:r>
    </w:p>
    <w:p w14:paraId="093CE5B8"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در نتیجه قید منبع اقتصاد برابر خواهد بود از</w:t>
      </w:r>
    </w:p>
    <w:p w14:paraId="00458BA1" w14:textId="77777777" w:rsidR="00556C10" w:rsidRPr="005C611F" w:rsidRDefault="00556C10" w:rsidP="00556C10">
      <w:pPr>
        <w:tabs>
          <w:tab w:val="left" w:pos="90"/>
        </w:tabs>
        <w:bidi w:val="0"/>
        <w:spacing w:line="216" w:lineRule="auto"/>
        <w:rPr>
          <w:i/>
          <w:sz w:val="23"/>
          <w:szCs w:val="23"/>
          <w:rtl/>
        </w:rPr>
      </w:pPr>
      <w:r w:rsidRPr="00F4704A">
        <w:rPr>
          <w:position w:val="-12"/>
        </w:rPr>
        <w:object w:dxaOrig="3040" w:dyaOrig="360" w14:anchorId="7D61B15D">
          <v:shape id="_x0000_i8004" type="#_x0000_t75" style="width:151.85pt;height:18.15pt" o:ole="">
            <v:imagedata r:id="rId14083" o:title=""/>
          </v:shape>
          <o:OLEObject Type="Embed" ProgID="Equation.DSMT4" ShapeID="_x0000_i8004" DrawAspect="Content" ObjectID="_1791381947" r:id="rId14084"/>
        </w:object>
      </w:r>
    </w:p>
    <w:p w14:paraId="070A536B"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فرض می‌شود که نیروی کار با نرخ رشد ثابت</w:t>
      </w:r>
      <w:r w:rsidRPr="00F4704A">
        <w:rPr>
          <w:position w:val="-6"/>
        </w:rPr>
        <w:object w:dxaOrig="200" w:dyaOrig="200" w14:anchorId="27DE3040">
          <v:shape id="_x0000_i8005" type="#_x0000_t75" style="width:10.3pt;height:10.3pt" o:ole="">
            <v:imagedata r:id="rId14085" o:title=""/>
          </v:shape>
          <o:OLEObject Type="Embed" ProgID="Equation.DSMT4" ShapeID="_x0000_i8005" DrawAspect="Content" ObjectID="_1791381948" r:id="rId14086"/>
        </w:object>
      </w:r>
      <w:r w:rsidRPr="005C611F">
        <w:rPr>
          <w:i/>
          <w:sz w:val="23"/>
          <w:szCs w:val="23"/>
        </w:rPr>
        <w:t xml:space="preserve"> </w:t>
      </w:r>
      <w:r w:rsidRPr="005C611F">
        <w:rPr>
          <w:rFonts w:hint="cs"/>
          <w:i/>
          <w:sz w:val="23"/>
          <w:szCs w:val="23"/>
          <w:rtl/>
        </w:rPr>
        <w:t xml:space="preserve">افزایش می‌یابد. لذا </w:t>
      </w:r>
    </w:p>
    <w:p w14:paraId="322EDEA1" w14:textId="77777777" w:rsidR="00556C10" w:rsidRPr="005C611F" w:rsidRDefault="00556C10" w:rsidP="00556C10">
      <w:pPr>
        <w:tabs>
          <w:tab w:val="left" w:pos="90"/>
        </w:tabs>
        <w:bidi w:val="0"/>
        <w:spacing w:line="216" w:lineRule="auto"/>
        <w:rPr>
          <w:i/>
          <w:sz w:val="23"/>
          <w:szCs w:val="23"/>
          <w:rtl/>
        </w:rPr>
      </w:pPr>
      <w:r w:rsidRPr="00F4704A">
        <w:rPr>
          <w:position w:val="-12"/>
        </w:rPr>
        <w:object w:dxaOrig="1480" w:dyaOrig="400" w14:anchorId="11EDDDA5">
          <v:shape id="_x0000_i8006" type="#_x0000_t75" style="width:73.8pt;height:19.95pt" o:ole="">
            <v:imagedata r:id="rId14087" o:title=""/>
          </v:shape>
          <o:OLEObject Type="Embed" ProgID="Equation.DSMT4" ShapeID="_x0000_i8006" DrawAspect="Content" ObjectID="_1791381949" r:id="rId14088"/>
        </w:object>
      </w:r>
    </w:p>
    <w:p w14:paraId="4B1F9587"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 هدف از تجزیه و تحلیل چرخه‌های تجاری حقیقی، اندازه</w:t>
      </w:r>
      <w:r w:rsidRPr="005C611F">
        <w:rPr>
          <w:rFonts w:hint="cs"/>
          <w:i/>
          <w:sz w:val="23"/>
          <w:szCs w:val="23"/>
          <w:rtl/>
        </w:rPr>
        <w:softHyphen/>
        <w:t>گیری پاسخ پویای اقتصاد به شوک‌های بهره</w:t>
      </w:r>
      <w:r w:rsidRPr="005C611F">
        <w:rPr>
          <w:rFonts w:hint="cs"/>
          <w:i/>
          <w:sz w:val="23"/>
          <w:szCs w:val="23"/>
          <w:rtl/>
        </w:rPr>
        <w:softHyphen/>
        <w:t>وری است. لازم به توضیح است که پارامتر</w:t>
      </w:r>
      <w:r w:rsidRPr="00F4704A">
        <w:rPr>
          <w:position w:val="-10"/>
        </w:rPr>
        <w:object w:dxaOrig="279" w:dyaOrig="320" w14:anchorId="6D5CC6F9">
          <v:shape id="_x0000_i8007" type="#_x0000_t75" style="width:13.9pt;height:15.75pt" o:ole="">
            <v:imagedata r:id="rId14089" o:title=""/>
          </v:shape>
          <o:OLEObject Type="Embed" ProgID="Equation.DSMT4" ShapeID="_x0000_i8007" DrawAspect="Content" ObjectID="_1791381950" r:id="rId14090"/>
        </w:object>
      </w:r>
      <w:r w:rsidRPr="005C611F">
        <w:rPr>
          <w:rFonts w:hint="cs"/>
          <w:i/>
          <w:sz w:val="23"/>
          <w:szCs w:val="23"/>
          <w:rtl/>
        </w:rPr>
        <w:t xml:space="preserve"> مبین ضریب تکنولوژی است و فرض می‌شود لگاریتم</w:t>
      </w:r>
      <w:r w:rsidRPr="00F4704A">
        <w:rPr>
          <w:position w:val="-10"/>
        </w:rPr>
        <w:object w:dxaOrig="279" w:dyaOrig="320" w14:anchorId="1B4A3BF7">
          <v:shape id="_x0000_i8008" type="#_x0000_t75" style="width:13.9pt;height:15.75pt" o:ole="">
            <v:imagedata r:id="rId14091" o:title=""/>
          </v:shape>
          <o:OLEObject Type="Embed" ProgID="Equation.DSMT4" ShapeID="_x0000_i8008" DrawAspect="Content" ObjectID="_1791381951" r:id="rId14092"/>
        </w:object>
      </w:r>
      <w:r w:rsidRPr="005C611F">
        <w:rPr>
          <w:rFonts w:hint="cs"/>
          <w:i/>
          <w:sz w:val="23"/>
          <w:szCs w:val="23"/>
          <w:rtl/>
        </w:rPr>
        <w:t xml:space="preserve"> متغیری است که بر اساس فرایند گام تصادفیِ با رانش ایجاد می‌شود. لذا</w:t>
      </w:r>
    </w:p>
    <w:p w14:paraId="15B83ED7" w14:textId="77777777" w:rsidR="00556C10" w:rsidRPr="005C611F" w:rsidRDefault="00556C10" w:rsidP="00556C10">
      <w:pPr>
        <w:tabs>
          <w:tab w:val="left" w:pos="90"/>
        </w:tabs>
        <w:bidi w:val="0"/>
        <w:spacing w:line="216" w:lineRule="auto"/>
        <w:rPr>
          <w:i/>
          <w:sz w:val="23"/>
          <w:szCs w:val="23"/>
          <w:rtl/>
        </w:rPr>
      </w:pPr>
      <w:r w:rsidRPr="00F4704A">
        <w:rPr>
          <w:position w:val="-46"/>
        </w:rPr>
        <w:object w:dxaOrig="1900" w:dyaOrig="1080" w14:anchorId="09EB2FCD">
          <v:shape id="_x0000_i8009" type="#_x0000_t75" style="width:95pt;height:53.85pt" o:ole="">
            <v:imagedata r:id="rId14093" o:title=""/>
          </v:shape>
          <o:OLEObject Type="Embed" ProgID="Equation.DSMT4" ShapeID="_x0000_i8009" DrawAspect="Content" ObjectID="_1791381952" r:id="rId14094"/>
        </w:object>
      </w:r>
    </w:p>
    <w:p w14:paraId="584F715B" w14:textId="77777777" w:rsidR="00556C10" w:rsidRPr="005C611F" w:rsidRDefault="00556C10" w:rsidP="00556C10">
      <w:pPr>
        <w:tabs>
          <w:tab w:val="left" w:pos="-36"/>
        </w:tabs>
        <w:spacing w:line="216" w:lineRule="auto"/>
        <w:rPr>
          <w:i/>
          <w:sz w:val="23"/>
          <w:szCs w:val="23"/>
          <w:rtl/>
        </w:rPr>
      </w:pPr>
      <w:r w:rsidRPr="005C611F">
        <w:rPr>
          <w:rFonts w:hint="cs"/>
          <w:i/>
          <w:sz w:val="23"/>
          <w:szCs w:val="23"/>
          <w:rtl/>
        </w:rPr>
        <w:lastRenderedPageBreak/>
        <w:t>و جمله رانش</w:t>
      </w:r>
      <w:r w:rsidRPr="00F4704A">
        <w:rPr>
          <w:position w:val="-10"/>
        </w:rPr>
        <w:object w:dxaOrig="220" w:dyaOrig="240" w14:anchorId="1E958060">
          <v:shape id="_x0000_i8010" type="#_x0000_t75" style="width:10.9pt;height:12.1pt" o:ole="">
            <v:imagedata r:id="rId14095" o:title=""/>
          </v:shape>
          <o:OLEObject Type="Embed" ProgID="Equation.DSMT4" ShapeID="_x0000_i8010" DrawAspect="Content" ObjectID="_1791381953" r:id="rId14096"/>
        </w:object>
      </w:r>
      <w:r w:rsidRPr="005C611F">
        <w:rPr>
          <w:rFonts w:hint="cs"/>
          <w:i/>
          <w:sz w:val="23"/>
          <w:szCs w:val="23"/>
          <w:rtl/>
        </w:rPr>
        <w:t xml:space="preserve"> نرخ رشد بلندمدت پیشرفت تکنولوژی است. متغیر تصادفی </w:t>
      </w:r>
      <w:r w:rsidRPr="00F4704A">
        <w:rPr>
          <w:position w:val="-10"/>
        </w:rPr>
        <w:object w:dxaOrig="200" w:dyaOrig="320" w14:anchorId="686A9F7D">
          <v:shape id="_x0000_i8011" type="#_x0000_t75" style="width:10.3pt;height:15.75pt" o:ole="">
            <v:imagedata r:id="rId14097" o:title=""/>
          </v:shape>
          <o:OLEObject Type="Embed" ProgID="Equation.DSMT4" ShapeID="_x0000_i8011" DrawAspect="Content" ObjectID="_1791381954" r:id="rId14098"/>
        </w:object>
      </w:r>
      <w:r w:rsidRPr="005C611F">
        <w:rPr>
          <w:rFonts w:hint="cs"/>
          <w:i/>
          <w:sz w:val="23"/>
          <w:szCs w:val="23"/>
          <w:rtl/>
        </w:rPr>
        <w:t xml:space="preserve"> مبین شوک بهره</w:t>
      </w:r>
      <w:r w:rsidRPr="005C611F">
        <w:rPr>
          <w:rFonts w:hint="cs"/>
          <w:i/>
          <w:sz w:val="23"/>
          <w:szCs w:val="23"/>
          <w:rtl/>
        </w:rPr>
        <w:softHyphen/>
        <w:t>وری است که ناهمبسته است، و از طریق ساختار پویای اقتصاد، رفتار سریالی همبسته</w:t>
      </w:r>
      <w:r w:rsidRPr="005C611F">
        <w:rPr>
          <w:rFonts w:hint="cs"/>
          <w:i/>
          <w:sz w:val="23"/>
          <w:szCs w:val="23"/>
          <w:rtl/>
        </w:rPr>
        <w:softHyphen/>
        <w:t>ی متغیرهای تجمیع شده</w:t>
      </w:r>
      <w:r w:rsidRPr="005C611F">
        <w:rPr>
          <w:rFonts w:hint="cs"/>
          <w:i/>
          <w:sz w:val="23"/>
          <w:szCs w:val="23"/>
          <w:rtl/>
        </w:rPr>
        <w:softHyphen/>
        <w:t>ی مهم اقتصاد همانند تولید، مصرف، موجودی سرمایه، سرمایه</w:t>
      </w:r>
      <w:r w:rsidRPr="005C611F">
        <w:rPr>
          <w:rFonts w:hint="cs"/>
          <w:i/>
          <w:sz w:val="23"/>
          <w:szCs w:val="23"/>
          <w:rtl/>
        </w:rPr>
        <w:softHyphen/>
        <w:t>گذاری و اشتغال را بوجود می‌آورد. این مفروضات نشان می</w:t>
      </w:r>
      <w:r w:rsidRPr="005C611F">
        <w:rPr>
          <w:rFonts w:hint="cs"/>
          <w:i/>
          <w:sz w:val="23"/>
          <w:szCs w:val="23"/>
          <w:rtl/>
        </w:rPr>
        <w:softHyphen/>
        <w:t>دهد تغییرات تکنولوژیکی</w:t>
      </w:r>
      <w:r w:rsidRPr="00F4704A">
        <w:rPr>
          <w:position w:val="-10"/>
        </w:rPr>
        <w:object w:dxaOrig="279" w:dyaOrig="320" w14:anchorId="5D757C97">
          <v:shape id="_x0000_i8012" type="#_x0000_t75" style="width:13.9pt;height:15.75pt" o:ole="">
            <v:imagedata r:id="rId14099" o:title=""/>
          </v:shape>
          <o:OLEObject Type="Embed" ProgID="Equation.DSMT4" ShapeID="_x0000_i8012" DrawAspect="Content" ObjectID="_1791381955" r:id="rId14100"/>
        </w:object>
      </w:r>
      <w:r w:rsidRPr="005C611F">
        <w:rPr>
          <w:rFonts w:eastAsiaTheme="minorHAnsi" w:cstheme="minorBidi" w:hint="cs"/>
          <w:i/>
          <w:sz w:val="23"/>
          <w:szCs w:val="23"/>
          <w:rtl/>
        </w:rPr>
        <w:t xml:space="preserve"> </w:t>
      </w:r>
      <w:r w:rsidRPr="005C611F">
        <w:rPr>
          <w:rFonts w:hint="cs"/>
          <w:i/>
          <w:sz w:val="23"/>
          <w:szCs w:val="23"/>
          <w:rtl/>
        </w:rPr>
        <w:t>شامل دو جزء روند معین نماییِ</w:t>
      </w:r>
      <w:r w:rsidRPr="00F4704A">
        <w:rPr>
          <w:position w:val="-12"/>
        </w:rPr>
        <w:object w:dxaOrig="700" w:dyaOrig="400" w14:anchorId="7F398232">
          <v:shape id="_x0000_i8013" type="#_x0000_t75" style="width:35.1pt;height:19.95pt" o:ole="">
            <v:imagedata r:id="rId14101" o:title=""/>
          </v:shape>
          <o:OLEObject Type="Embed" ProgID="Equation.DSMT4" ShapeID="_x0000_i8013" DrawAspect="Content" ObjectID="_1791381956" r:id="rId14102"/>
        </w:object>
      </w:r>
      <w:r w:rsidRPr="005C611F">
        <w:rPr>
          <w:rFonts w:hint="cs"/>
          <w:i/>
          <w:sz w:val="23"/>
          <w:szCs w:val="23"/>
          <w:rtl/>
        </w:rPr>
        <w:t xml:space="preserve"> و روند تصادفیِ</w:t>
      </w:r>
      <w:r w:rsidRPr="00F4704A">
        <w:rPr>
          <w:position w:val="-10"/>
        </w:rPr>
        <w:object w:dxaOrig="260" w:dyaOrig="320" w14:anchorId="5C44B418">
          <v:shape id="_x0000_i8014" type="#_x0000_t75" style="width:12.7pt;height:15.75pt" o:ole="">
            <v:imagedata r:id="rId14103" o:title=""/>
          </v:shape>
          <o:OLEObject Type="Embed" ProgID="Equation.DSMT4" ShapeID="_x0000_i8014" DrawAspect="Content" ObjectID="_1791381957" r:id="rId14104"/>
        </w:object>
      </w:r>
      <w:r w:rsidRPr="005C611F">
        <w:rPr>
          <w:rFonts w:hint="cs"/>
          <w:i/>
          <w:sz w:val="23"/>
          <w:szCs w:val="23"/>
          <w:rtl/>
        </w:rPr>
        <w:t xml:space="preserve"> است، که در آن</w:t>
      </w:r>
      <w:r w:rsidRPr="00F4704A">
        <w:rPr>
          <w:position w:val="-26"/>
        </w:rPr>
        <w:object w:dxaOrig="1280" w:dyaOrig="620" w14:anchorId="52BDE757">
          <v:shape id="_x0000_i8015" type="#_x0000_t75" style="width:64.15pt;height:30.85pt" o:ole="">
            <v:imagedata r:id="rId14105" o:title=""/>
          </v:shape>
          <o:OLEObject Type="Embed" ProgID="Equation.DSMT4" ShapeID="_x0000_i8015" DrawAspect="Content" ObjectID="_1791381958" r:id="rId14106"/>
        </w:object>
      </w:r>
      <w:r w:rsidRPr="005C611F">
        <w:rPr>
          <w:rFonts w:hint="cs"/>
          <w:i/>
          <w:sz w:val="23"/>
          <w:szCs w:val="23"/>
          <w:rtl/>
        </w:rPr>
        <w:t xml:space="preserve"> است. در نتیجه تولید، مصرف، موجودی سرمایه و سرمایه</w:t>
      </w:r>
      <w:r w:rsidRPr="005C611F">
        <w:rPr>
          <w:rFonts w:hint="cs"/>
          <w:i/>
          <w:sz w:val="23"/>
          <w:szCs w:val="23"/>
          <w:rtl/>
        </w:rPr>
        <w:softHyphen/>
        <w:t>گذاری، حتی اگر از طریق انحراف از مسیر رشد آن‌ها اندازه</w:t>
      </w:r>
      <w:r w:rsidRPr="005C611F">
        <w:rPr>
          <w:rFonts w:hint="cs"/>
          <w:i/>
          <w:sz w:val="23"/>
          <w:szCs w:val="23"/>
          <w:rtl/>
        </w:rPr>
        <w:softHyphen/>
        <w:t>گیری شوند، همگی متغیرهای نامانا خواهند بود، .</w:t>
      </w:r>
    </w:p>
    <w:p w14:paraId="7ABC932F"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برای به دست آوردن حل مدل، ابتدا کلیه</w:t>
      </w:r>
      <w:r w:rsidRPr="005C611F">
        <w:rPr>
          <w:rFonts w:hint="cs"/>
          <w:i/>
          <w:sz w:val="23"/>
          <w:szCs w:val="23"/>
          <w:rtl/>
        </w:rPr>
        <w:softHyphen/>
        <w:t>ی متغیرهای مدل را بر حسب انحراف از مسیرهای رشد بلند‌مدت آن‌ها به دست می‌آوریم. همان</w:t>
      </w:r>
      <w:r w:rsidRPr="005C611F">
        <w:rPr>
          <w:rFonts w:hint="cs"/>
          <w:i/>
          <w:sz w:val="23"/>
          <w:szCs w:val="23"/>
          <w:rtl/>
        </w:rPr>
        <w:softHyphen/>
        <w:t>طور که در فصل سوم متغیرهای مدل اقتصادی را به صورت متغیرهای سرانه تعریف کردیم، در این جا نیز خواهیم داشت:</w:t>
      </w:r>
    </w:p>
    <w:p w14:paraId="2F677E31" w14:textId="77777777" w:rsidR="00556C10" w:rsidRPr="005C611F" w:rsidRDefault="00556C10" w:rsidP="00556C10">
      <w:pPr>
        <w:tabs>
          <w:tab w:val="left" w:pos="90"/>
        </w:tabs>
        <w:bidi w:val="0"/>
        <w:spacing w:line="216" w:lineRule="auto"/>
        <w:rPr>
          <w:i/>
          <w:sz w:val="23"/>
          <w:szCs w:val="23"/>
          <w:rtl/>
        </w:rPr>
      </w:pPr>
      <w:r w:rsidRPr="00F4704A">
        <w:rPr>
          <w:position w:val="-48"/>
        </w:rPr>
        <w:object w:dxaOrig="3840" w:dyaOrig="840" w14:anchorId="5A60E0A7">
          <v:shape id="_x0000_i8016" type="#_x0000_t75" style="width:191.8pt;height:41.75pt" o:ole="">
            <v:imagedata r:id="rId14107" o:title=""/>
          </v:shape>
          <o:OLEObject Type="Embed" ProgID="Equation.DSMT4" ShapeID="_x0000_i8016" DrawAspect="Content" ObjectID="_1791381959" r:id="rId14108"/>
        </w:object>
      </w:r>
      <w:r w:rsidRPr="005C611F">
        <w:rPr>
          <w:rFonts w:hint="cs"/>
          <w:i/>
          <w:sz w:val="23"/>
          <w:szCs w:val="23"/>
          <w:rtl/>
        </w:rPr>
        <w:t xml:space="preserve"> </w:t>
      </w:r>
    </w:p>
    <w:p w14:paraId="3060EB0E" w14:textId="77777777" w:rsidR="00556C10" w:rsidRPr="005C611F" w:rsidRDefault="00556C10" w:rsidP="00556C10">
      <w:pPr>
        <w:tabs>
          <w:tab w:val="left" w:pos="90"/>
        </w:tabs>
        <w:bidi w:val="0"/>
        <w:spacing w:line="216" w:lineRule="auto"/>
        <w:rPr>
          <w:i/>
          <w:sz w:val="23"/>
          <w:szCs w:val="23"/>
          <w:rtl/>
        </w:rPr>
      </w:pPr>
      <w:r w:rsidRPr="00F4704A">
        <w:rPr>
          <w:position w:val="-48"/>
        </w:rPr>
        <w:object w:dxaOrig="3840" w:dyaOrig="840" w14:anchorId="51973DA9">
          <v:shape id="_x0000_i8017" type="#_x0000_t75" style="width:191.8pt;height:41.75pt" o:ole="">
            <v:imagedata r:id="rId14109" o:title=""/>
          </v:shape>
          <o:OLEObject Type="Embed" ProgID="Equation.DSMT4" ShapeID="_x0000_i8017" DrawAspect="Content" ObjectID="_1791381960" r:id="rId14110"/>
        </w:object>
      </w:r>
    </w:p>
    <w:p w14:paraId="112635FB" w14:textId="77777777" w:rsidR="00556C10" w:rsidRPr="005C611F" w:rsidRDefault="00556C10" w:rsidP="00556C10">
      <w:pPr>
        <w:tabs>
          <w:tab w:val="left" w:pos="90"/>
        </w:tabs>
        <w:bidi w:val="0"/>
        <w:spacing w:line="216" w:lineRule="auto"/>
        <w:rPr>
          <w:i/>
          <w:sz w:val="23"/>
          <w:szCs w:val="23"/>
          <w:rtl/>
        </w:rPr>
      </w:pPr>
      <w:r w:rsidRPr="00F4704A">
        <w:rPr>
          <w:position w:val="-20"/>
        </w:rPr>
        <w:object w:dxaOrig="5560" w:dyaOrig="540" w14:anchorId="322551D0">
          <v:shape id="_x0000_i8018" type="#_x0000_t75" style="width:277.7pt;height:27.25pt" o:ole="">
            <v:imagedata r:id="rId14111" o:title=""/>
          </v:shape>
          <o:OLEObject Type="Embed" ProgID="Equation.DSMT4" ShapeID="_x0000_i8018" DrawAspect="Content" ObjectID="_1791381961" r:id="rId14112"/>
        </w:object>
      </w:r>
    </w:p>
    <w:p w14:paraId="01F19303"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که در آن از تقریب زیر استفاده شده است</w:t>
      </w:r>
    </w:p>
    <w:p w14:paraId="2BA18FBD" w14:textId="77777777" w:rsidR="00556C10" w:rsidRPr="005C611F" w:rsidRDefault="00556C10" w:rsidP="00556C10">
      <w:pPr>
        <w:tabs>
          <w:tab w:val="left" w:pos="90"/>
        </w:tabs>
        <w:bidi w:val="0"/>
        <w:spacing w:line="216" w:lineRule="auto"/>
        <w:rPr>
          <w:i/>
          <w:sz w:val="23"/>
          <w:szCs w:val="23"/>
        </w:rPr>
      </w:pPr>
      <w:r w:rsidRPr="00F4704A">
        <w:rPr>
          <w:position w:val="-22"/>
        </w:rPr>
        <w:object w:dxaOrig="4860" w:dyaOrig="560" w14:anchorId="5CC07519">
          <v:shape id="_x0000_i8019" type="#_x0000_t75" style="width:243.25pt;height:27.85pt" o:ole="">
            <v:imagedata r:id="rId14113" o:title=""/>
          </v:shape>
          <o:OLEObject Type="Embed" ProgID="Equation.DSMT4" ShapeID="_x0000_i8019" DrawAspect="Content" ObjectID="_1791381962" r:id="rId14114"/>
        </w:object>
      </w:r>
      <w:r w:rsidRPr="005C611F">
        <w:rPr>
          <w:rFonts w:hint="cs"/>
          <w:i/>
          <w:sz w:val="23"/>
          <w:szCs w:val="23"/>
          <w:rtl/>
        </w:rPr>
        <w:t xml:space="preserve"> </w:t>
      </w:r>
    </w:p>
    <w:p w14:paraId="70142199"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اتحاد درآمد ملی بر حسب متغیرهای سرانه برابر خواهد بود با</w:t>
      </w:r>
    </w:p>
    <w:p w14:paraId="4F59D68E" w14:textId="77777777" w:rsidR="00556C10" w:rsidRPr="005C611F" w:rsidRDefault="00556C10" w:rsidP="00556C10">
      <w:pPr>
        <w:tabs>
          <w:tab w:val="left" w:pos="90"/>
        </w:tabs>
        <w:bidi w:val="0"/>
        <w:spacing w:line="216" w:lineRule="auto"/>
        <w:rPr>
          <w:i/>
          <w:sz w:val="23"/>
          <w:szCs w:val="23"/>
          <w:rtl/>
        </w:rPr>
      </w:pPr>
      <w:r w:rsidRPr="00F4704A">
        <w:rPr>
          <w:position w:val="-10"/>
        </w:rPr>
        <w:object w:dxaOrig="940" w:dyaOrig="320" w14:anchorId="5E59266F">
          <v:shape id="_x0000_i8020" type="#_x0000_t75" style="width:47.2pt;height:15.75pt" o:ole="">
            <v:imagedata r:id="rId14115" o:title=""/>
          </v:shape>
          <o:OLEObject Type="Embed" ProgID="Equation.DSMT4" ShapeID="_x0000_i8020" DrawAspect="Content" ObjectID="_1791381963" r:id="rId14116"/>
        </w:object>
      </w:r>
      <w:r w:rsidRPr="005C611F">
        <w:rPr>
          <w:rFonts w:hint="cs"/>
          <w:i/>
          <w:sz w:val="23"/>
          <w:szCs w:val="23"/>
          <w:rtl/>
        </w:rPr>
        <w:t xml:space="preserve"> </w:t>
      </w:r>
    </w:p>
    <w:p w14:paraId="4488D5AF"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که در آن</w:t>
      </w:r>
    </w:p>
    <w:p w14:paraId="507A7B15" w14:textId="77777777" w:rsidR="00556C10" w:rsidRPr="005C611F" w:rsidRDefault="00556C10" w:rsidP="00556C10">
      <w:pPr>
        <w:tabs>
          <w:tab w:val="left" w:pos="90"/>
        </w:tabs>
        <w:bidi w:val="0"/>
        <w:spacing w:line="216" w:lineRule="auto"/>
        <w:rPr>
          <w:i/>
          <w:sz w:val="23"/>
          <w:szCs w:val="23"/>
          <w:rtl/>
        </w:rPr>
      </w:pPr>
      <w:r w:rsidRPr="00F4704A">
        <w:rPr>
          <w:position w:val="-34"/>
        </w:rPr>
        <w:object w:dxaOrig="2000" w:dyaOrig="700" w14:anchorId="1D244ED0">
          <v:shape id="_x0000_i8021" type="#_x0000_t75" style="width:99.85pt;height:35.1pt" o:ole="">
            <v:imagedata r:id="rId14117" o:title=""/>
          </v:shape>
          <o:OLEObject Type="Embed" ProgID="Equation.DSMT4" ShapeID="_x0000_i8021" DrawAspect="Content" ObjectID="_1791381964" r:id="rId14118"/>
        </w:object>
      </w:r>
    </w:p>
    <w:p w14:paraId="05D0ACAC" w14:textId="77777777" w:rsidR="00556C10" w:rsidRPr="005C611F" w:rsidRDefault="00556C10" w:rsidP="00556C10">
      <w:pPr>
        <w:tabs>
          <w:tab w:val="left" w:pos="90"/>
        </w:tabs>
        <w:bidi w:val="0"/>
        <w:spacing w:line="216" w:lineRule="auto"/>
        <w:rPr>
          <w:i/>
          <w:sz w:val="23"/>
          <w:szCs w:val="23"/>
          <w:rtl/>
        </w:rPr>
      </w:pPr>
      <w:r w:rsidRPr="00F4704A">
        <w:rPr>
          <w:position w:val="-34"/>
        </w:rPr>
        <w:object w:dxaOrig="1960" w:dyaOrig="700" w14:anchorId="14F036EA">
          <v:shape id="_x0000_i8022" type="#_x0000_t75" style="width:98pt;height:35.1pt" o:ole="">
            <v:imagedata r:id="rId14119" o:title=""/>
          </v:shape>
          <o:OLEObject Type="Embed" ProgID="Equation.DSMT4" ShapeID="_x0000_i8022" DrawAspect="Content" ObjectID="_1791381965" r:id="rId14120"/>
        </w:object>
      </w:r>
    </w:p>
    <w:p w14:paraId="317D065F"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و تابع تولید نیز برابر است با</w:t>
      </w:r>
    </w:p>
    <w:p w14:paraId="246A33B8" w14:textId="77777777" w:rsidR="00556C10" w:rsidRPr="005C611F" w:rsidRDefault="00556C10" w:rsidP="00556C10">
      <w:pPr>
        <w:tabs>
          <w:tab w:val="left" w:pos="90"/>
        </w:tabs>
        <w:bidi w:val="0"/>
        <w:spacing w:line="216" w:lineRule="auto"/>
        <w:rPr>
          <w:i/>
          <w:sz w:val="23"/>
          <w:szCs w:val="23"/>
        </w:rPr>
      </w:pPr>
      <w:r w:rsidRPr="00F4704A">
        <w:rPr>
          <w:position w:val="-10"/>
        </w:rPr>
        <w:object w:dxaOrig="900" w:dyaOrig="340" w14:anchorId="5E776F12">
          <v:shape id="_x0000_i8023" type="#_x0000_t75" style="width:44.75pt;height:16.95pt" o:ole="">
            <v:imagedata r:id="rId14121" o:title=""/>
          </v:shape>
          <o:OLEObject Type="Embed" ProgID="Equation.DSMT4" ShapeID="_x0000_i8023" DrawAspect="Content" ObjectID="_1791381966" r:id="rId14122"/>
        </w:object>
      </w:r>
      <w:r w:rsidRPr="005C611F">
        <w:rPr>
          <w:rFonts w:hint="cs"/>
          <w:i/>
          <w:sz w:val="23"/>
          <w:szCs w:val="23"/>
          <w:rtl/>
        </w:rPr>
        <w:t xml:space="preserve"> </w:t>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Pr>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rFonts w:hint="cs"/>
          <w:i/>
          <w:sz w:val="23"/>
          <w:szCs w:val="23"/>
          <w:rtl/>
        </w:rPr>
        <w:t>(۱۶. ۱)</w:t>
      </w:r>
    </w:p>
    <w:p w14:paraId="194EDF15"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و چون</w:t>
      </w:r>
      <w:r w:rsidRPr="00F4704A">
        <w:rPr>
          <w:position w:val="-10"/>
        </w:rPr>
        <w:object w:dxaOrig="1660" w:dyaOrig="340" w14:anchorId="26ECEAFE">
          <v:shape id="_x0000_i8024" type="#_x0000_t75" style="width:82.9pt;height:16.95pt" o:ole="">
            <v:imagedata r:id="rId14123" o:title=""/>
          </v:shape>
          <o:OLEObject Type="Embed" ProgID="Equation.DSMT4" ShapeID="_x0000_i8024" DrawAspect="Content" ObjectID="_1791381967" r:id="rId14124"/>
        </w:object>
      </w:r>
      <w:r w:rsidRPr="005C611F">
        <w:rPr>
          <w:rFonts w:hint="cs"/>
          <w:i/>
          <w:sz w:val="23"/>
          <w:szCs w:val="23"/>
          <w:rtl/>
        </w:rPr>
        <w:t xml:space="preserve"> است، معادله</w:t>
      </w:r>
      <w:r w:rsidRPr="005C611F">
        <w:rPr>
          <w:rFonts w:hint="cs"/>
          <w:i/>
          <w:sz w:val="23"/>
          <w:szCs w:val="23"/>
          <w:rtl/>
        </w:rPr>
        <w:softHyphen/>
        <w:t>ی انباشت سرمایه را می‌توان به صورت زیر نوشت</w:t>
      </w:r>
    </w:p>
    <w:p w14:paraId="01D0D5D1" w14:textId="77777777" w:rsidR="00556C10" w:rsidRPr="005C611F" w:rsidRDefault="00556C10" w:rsidP="00556C10">
      <w:pPr>
        <w:tabs>
          <w:tab w:val="left" w:pos="90"/>
        </w:tabs>
        <w:bidi w:val="0"/>
        <w:spacing w:line="216" w:lineRule="auto"/>
        <w:rPr>
          <w:i/>
          <w:sz w:val="23"/>
          <w:szCs w:val="23"/>
        </w:rPr>
      </w:pPr>
      <w:r w:rsidRPr="00F4704A">
        <w:rPr>
          <w:position w:val="-10"/>
        </w:rPr>
        <w:object w:dxaOrig="1520" w:dyaOrig="320" w14:anchorId="69FFE9DD">
          <v:shape id="_x0000_i8025" type="#_x0000_t75" style="width:76.25pt;height:15.75pt" o:ole="">
            <v:imagedata r:id="rId14125" o:title=""/>
          </v:shape>
          <o:OLEObject Type="Embed" ProgID="Equation.DSMT4" ShapeID="_x0000_i8025" DrawAspect="Content" ObjectID="_1791381968" r:id="rId14126"/>
        </w:object>
      </w:r>
    </w:p>
    <w:p w14:paraId="43A75458" w14:textId="77777777" w:rsidR="00556C10" w:rsidRPr="005C611F" w:rsidRDefault="00556C10" w:rsidP="00556C10">
      <w:pPr>
        <w:tabs>
          <w:tab w:val="left" w:pos="90"/>
        </w:tabs>
        <w:bidi w:val="0"/>
        <w:spacing w:line="216" w:lineRule="auto"/>
        <w:rPr>
          <w:i/>
          <w:sz w:val="23"/>
          <w:szCs w:val="23"/>
          <w:rtl/>
        </w:rPr>
      </w:pPr>
      <w:r w:rsidRPr="00F4704A">
        <w:rPr>
          <w:position w:val="-28"/>
        </w:rPr>
        <w:object w:dxaOrig="2640" w:dyaOrig="660" w14:anchorId="19BBAA17">
          <v:shape id="_x0000_i8026" type="#_x0000_t75" style="width:131.9pt;height:33.3pt" o:ole="">
            <v:imagedata r:id="rId14127" o:title=""/>
          </v:shape>
          <o:OLEObject Type="Embed" ProgID="Equation.DSMT4" ShapeID="_x0000_i8026" DrawAspect="Content" ObjectID="_1791381969" r:id="rId14128"/>
        </w:object>
      </w:r>
    </w:p>
    <w:p w14:paraId="055B8E43" w14:textId="77777777" w:rsidR="00556C10" w:rsidRPr="005C611F" w:rsidRDefault="00556C10" w:rsidP="00556C10">
      <w:pPr>
        <w:tabs>
          <w:tab w:val="left" w:pos="90"/>
        </w:tabs>
        <w:bidi w:val="0"/>
        <w:spacing w:line="216" w:lineRule="auto"/>
        <w:rPr>
          <w:i/>
          <w:sz w:val="23"/>
          <w:szCs w:val="23"/>
          <w:rtl/>
        </w:rPr>
      </w:pPr>
      <w:r w:rsidRPr="00F4704A">
        <w:rPr>
          <w:position w:val="-12"/>
        </w:rPr>
        <w:object w:dxaOrig="2260" w:dyaOrig="360" w14:anchorId="4F78EFEC">
          <v:shape id="_x0000_i8027" type="#_x0000_t75" style="width:113.15pt;height:18.15pt" o:ole="">
            <v:imagedata r:id="rId14129" o:title=""/>
          </v:shape>
          <o:OLEObject Type="Embed" ProgID="Equation.DSMT4" ShapeID="_x0000_i8027" DrawAspect="Content" ObjectID="_1791381970" r:id="rId14130"/>
        </w:object>
      </w:r>
      <w:r w:rsidRPr="005C611F">
        <w:rPr>
          <w:rFonts w:eastAsiaTheme="minorHAnsi" w:cstheme="minorBidi"/>
          <w:i/>
          <w:sz w:val="23"/>
          <w:szCs w:val="23"/>
          <w:rtl/>
        </w:rPr>
        <w:tab/>
      </w:r>
      <w:r w:rsidRPr="005C611F">
        <w:rPr>
          <w:rFonts w:eastAsiaTheme="minorHAnsi" w:cstheme="minorBidi"/>
          <w:i/>
          <w:sz w:val="23"/>
          <w:szCs w:val="23"/>
          <w:rtl/>
        </w:rPr>
        <w:tab/>
      </w:r>
      <w:r w:rsidRPr="005C611F">
        <w:rPr>
          <w:rFonts w:eastAsiaTheme="minorHAnsi" w:cstheme="minorBidi"/>
          <w:i/>
          <w:sz w:val="23"/>
          <w:szCs w:val="23"/>
          <w:rtl/>
        </w:rPr>
        <w:tab/>
      </w:r>
      <w:r w:rsidRPr="005C611F">
        <w:rPr>
          <w:rFonts w:eastAsiaTheme="minorHAnsi" w:cstheme="minorBidi"/>
          <w:i/>
          <w:sz w:val="23"/>
          <w:szCs w:val="23"/>
          <w:rtl/>
        </w:rPr>
        <w:tab/>
      </w:r>
      <w:r w:rsidRPr="005C611F">
        <w:rPr>
          <w:rFonts w:eastAsiaTheme="minorHAnsi" w:cstheme="minorBidi"/>
          <w:i/>
          <w:sz w:val="23"/>
          <w:szCs w:val="23"/>
          <w:rtl/>
        </w:rPr>
        <w:tab/>
      </w:r>
      <w:r w:rsidRPr="005C611F">
        <w:rPr>
          <w:rFonts w:eastAsiaTheme="minorHAnsi" w:cstheme="minorBidi"/>
          <w:i/>
          <w:sz w:val="23"/>
          <w:szCs w:val="23"/>
          <w:rtl/>
        </w:rPr>
        <w:tab/>
      </w:r>
      <w:r w:rsidRPr="005C611F">
        <w:rPr>
          <w:rFonts w:eastAsiaTheme="minorHAnsi" w:cstheme="minorBidi"/>
          <w:i/>
          <w:sz w:val="23"/>
          <w:szCs w:val="23"/>
          <w:rtl/>
        </w:rPr>
        <w:tab/>
      </w:r>
      <w:r w:rsidRPr="005C611F">
        <w:rPr>
          <w:rFonts w:eastAsiaTheme="minorHAnsi" w:cstheme="minorBidi"/>
          <w:i/>
          <w:sz w:val="23"/>
          <w:szCs w:val="23"/>
          <w:rtl/>
        </w:rPr>
        <w:tab/>
      </w:r>
      <w:r w:rsidRPr="005C611F">
        <w:rPr>
          <w:rFonts w:eastAsiaTheme="minorHAnsi" w:cstheme="minorBidi"/>
          <w:i/>
          <w:sz w:val="23"/>
          <w:szCs w:val="23"/>
          <w:rtl/>
        </w:rPr>
        <w:tab/>
      </w:r>
      <w:r>
        <w:rPr>
          <w:rFonts w:eastAsiaTheme="minorHAnsi" w:cstheme="minorBidi"/>
          <w:i/>
          <w:sz w:val="23"/>
          <w:szCs w:val="23"/>
          <w:rtl/>
        </w:rPr>
        <w:tab/>
      </w:r>
      <w:r>
        <w:rPr>
          <w:rFonts w:eastAsiaTheme="minorHAnsi" w:cstheme="minorBidi"/>
          <w:i/>
          <w:sz w:val="23"/>
          <w:szCs w:val="23"/>
          <w:rtl/>
        </w:rPr>
        <w:tab/>
      </w:r>
      <w:r w:rsidRPr="005C611F">
        <w:rPr>
          <w:rFonts w:eastAsiaTheme="minorHAnsi" w:cstheme="minorBidi"/>
          <w:i/>
          <w:sz w:val="23"/>
          <w:szCs w:val="23"/>
          <w:rtl/>
        </w:rPr>
        <w:tab/>
      </w:r>
      <w:r w:rsidRPr="005C611F">
        <w:rPr>
          <w:rFonts w:eastAsiaTheme="minorHAnsi" w:cstheme="minorBidi"/>
          <w:i/>
          <w:sz w:val="23"/>
          <w:szCs w:val="23"/>
          <w:rtl/>
        </w:rPr>
        <w:tab/>
      </w:r>
      <w:r w:rsidRPr="005C611F">
        <w:rPr>
          <w:rFonts w:eastAsiaTheme="minorHAnsi" w:cstheme="minorBidi"/>
          <w:i/>
          <w:sz w:val="23"/>
          <w:szCs w:val="23"/>
          <w:rtl/>
        </w:rPr>
        <w:tab/>
      </w:r>
      <w:r w:rsidRPr="005C611F">
        <w:rPr>
          <w:rFonts w:eastAsiaTheme="minorHAnsi" w:cstheme="minorBidi" w:hint="cs"/>
          <w:i/>
          <w:sz w:val="23"/>
          <w:szCs w:val="23"/>
          <w:rtl/>
        </w:rPr>
        <w:t>(۱۶. ۲)</w:t>
      </w:r>
    </w:p>
    <w:p w14:paraId="246D661A"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در نتیجه قید منبع اقتصاد برابر خواهد بود با</w:t>
      </w:r>
    </w:p>
    <w:p w14:paraId="13F2AB0C" w14:textId="77777777" w:rsidR="00556C10" w:rsidRPr="005C611F" w:rsidRDefault="00556C10" w:rsidP="00556C10">
      <w:pPr>
        <w:tabs>
          <w:tab w:val="left" w:pos="90"/>
        </w:tabs>
        <w:bidi w:val="0"/>
        <w:spacing w:line="216" w:lineRule="auto"/>
        <w:rPr>
          <w:i/>
          <w:sz w:val="23"/>
          <w:szCs w:val="23"/>
        </w:rPr>
      </w:pPr>
      <w:r w:rsidRPr="00F4704A">
        <w:rPr>
          <w:position w:val="-12"/>
        </w:rPr>
        <w:object w:dxaOrig="2920" w:dyaOrig="360" w14:anchorId="6D991A15">
          <v:shape id="_x0000_i8028" type="#_x0000_t75" style="width:145.8pt;height:18.15pt" o:ole="">
            <v:imagedata r:id="rId14131" o:title=""/>
          </v:shape>
          <o:OLEObject Type="Embed" ProgID="Equation.DSMT4" ShapeID="_x0000_i8028" DrawAspect="Content" ObjectID="_1791381971" r:id="rId14132"/>
        </w:object>
      </w:r>
      <w:r w:rsidRPr="005C611F">
        <w:rPr>
          <w:i/>
          <w:sz w:val="23"/>
          <w:szCs w:val="23"/>
        </w:rPr>
        <w:tab/>
      </w:r>
      <w:r w:rsidRPr="005C611F">
        <w:rPr>
          <w:i/>
          <w:sz w:val="23"/>
          <w:szCs w:val="23"/>
        </w:rPr>
        <w:tab/>
      </w:r>
      <w:r w:rsidRPr="005C611F">
        <w:rPr>
          <w:i/>
          <w:sz w:val="23"/>
          <w:szCs w:val="23"/>
        </w:rPr>
        <w:tab/>
      </w:r>
      <w:r w:rsidRPr="005C611F">
        <w:rPr>
          <w:i/>
          <w:sz w:val="23"/>
          <w:szCs w:val="23"/>
        </w:rPr>
        <w:tab/>
      </w:r>
      <w:r w:rsidRPr="005C611F">
        <w:rPr>
          <w:i/>
          <w:sz w:val="23"/>
          <w:szCs w:val="23"/>
        </w:rPr>
        <w:tab/>
      </w:r>
      <w:r w:rsidRPr="005C611F">
        <w:rPr>
          <w:i/>
          <w:sz w:val="23"/>
          <w:szCs w:val="23"/>
        </w:rPr>
        <w:tab/>
      </w:r>
      <w:r w:rsidRPr="005C611F">
        <w:rPr>
          <w:i/>
          <w:sz w:val="23"/>
          <w:szCs w:val="23"/>
        </w:rPr>
        <w:tab/>
      </w:r>
      <w:r w:rsidRPr="005C611F">
        <w:rPr>
          <w:i/>
          <w:sz w:val="23"/>
          <w:szCs w:val="23"/>
        </w:rPr>
        <w:tab/>
      </w:r>
      <w:r>
        <w:rPr>
          <w:i/>
          <w:sz w:val="23"/>
          <w:szCs w:val="23"/>
          <w:rtl/>
        </w:rPr>
        <w:tab/>
      </w:r>
      <w:r w:rsidRPr="005C611F">
        <w:rPr>
          <w:i/>
          <w:sz w:val="23"/>
          <w:szCs w:val="23"/>
        </w:rPr>
        <w:tab/>
      </w:r>
      <w:r w:rsidRPr="005C611F">
        <w:rPr>
          <w:i/>
          <w:sz w:val="23"/>
          <w:szCs w:val="23"/>
        </w:rPr>
        <w:tab/>
      </w:r>
      <w:r w:rsidRPr="005C611F">
        <w:rPr>
          <w:rFonts w:hint="cs"/>
          <w:i/>
          <w:sz w:val="23"/>
          <w:szCs w:val="23"/>
          <w:rtl/>
        </w:rPr>
        <w:t>(۱۶. ۳)</w:t>
      </w:r>
    </w:p>
    <w:p w14:paraId="5F98964B"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بالاخره تابع مطلوبیت را به صورت زیر تعریف می‌کنیم</w:t>
      </w:r>
    </w:p>
    <w:p w14:paraId="7BCA9827" w14:textId="77777777" w:rsidR="00556C10" w:rsidRPr="005C611F" w:rsidRDefault="00556C10" w:rsidP="00556C10">
      <w:pPr>
        <w:tabs>
          <w:tab w:val="left" w:pos="90"/>
        </w:tabs>
        <w:bidi w:val="0"/>
        <w:spacing w:line="216" w:lineRule="auto"/>
        <w:rPr>
          <w:i/>
          <w:sz w:val="23"/>
          <w:szCs w:val="23"/>
        </w:rPr>
      </w:pPr>
      <w:r w:rsidRPr="00F4704A">
        <w:rPr>
          <w:position w:val="-22"/>
        </w:rPr>
        <w:object w:dxaOrig="2740" w:dyaOrig="780" w14:anchorId="258A804E">
          <v:shape id="_x0000_i8029" type="#_x0000_t75" style="width:136.75pt;height:38.7pt" o:ole="">
            <v:imagedata r:id="rId14133" o:title=""/>
          </v:shape>
          <o:OLEObject Type="Embed" ProgID="Equation.DSMT4" ShapeID="_x0000_i8029" DrawAspect="Content" ObjectID="_1791381972" r:id="rId14134"/>
        </w:object>
      </w:r>
    </w:p>
    <w:p w14:paraId="263C195D"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همان</w:t>
      </w:r>
      <w:r w:rsidRPr="005C611F">
        <w:rPr>
          <w:i/>
          <w:sz w:val="23"/>
          <w:szCs w:val="23"/>
        </w:rPr>
        <w:softHyphen/>
      </w:r>
      <w:r w:rsidRPr="005C611F">
        <w:rPr>
          <w:rFonts w:hint="cs"/>
          <w:i/>
          <w:sz w:val="23"/>
          <w:szCs w:val="23"/>
          <w:rtl/>
        </w:rPr>
        <w:t>گونه که تغییرات تکنولوژی مسئله مورد بررسی را تصادفی خواهد کرد، لذا مقدار تابع</w:t>
      </w:r>
    </w:p>
    <w:p w14:paraId="6AA5CEBD" w14:textId="77777777" w:rsidR="00556C10" w:rsidRPr="005C611F" w:rsidRDefault="00556C10" w:rsidP="00556C10">
      <w:pPr>
        <w:tabs>
          <w:tab w:val="left" w:pos="90"/>
        </w:tabs>
        <w:bidi w:val="0"/>
        <w:spacing w:line="216" w:lineRule="auto"/>
        <w:rPr>
          <w:i/>
          <w:sz w:val="23"/>
          <w:szCs w:val="23"/>
          <w:rtl/>
        </w:rPr>
      </w:pPr>
      <w:r w:rsidRPr="005C611F">
        <w:rPr>
          <w:rFonts w:hint="cs"/>
          <w:i/>
          <w:sz w:val="23"/>
          <w:szCs w:val="23"/>
          <w:rtl/>
        </w:rPr>
        <w:t xml:space="preserve"> </w:t>
      </w:r>
      <w:r w:rsidRPr="00F4704A">
        <w:rPr>
          <w:position w:val="-22"/>
        </w:rPr>
        <w:object w:dxaOrig="4560" w:dyaOrig="780" w14:anchorId="4D6900BC">
          <v:shape id="_x0000_i8030" type="#_x0000_t75" style="width:228.1pt;height:38.7pt" o:ole="">
            <v:imagedata r:id="rId14135" o:title=""/>
          </v:shape>
          <o:OLEObject Type="Embed" ProgID="Equation.DSMT4" ShapeID="_x0000_i8030" DrawAspect="Content" ObjectID="_1791381973" r:id="rId14136"/>
        </w:object>
      </w:r>
    </w:p>
    <w:p w14:paraId="75F90D36"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 بر حسب قید منبع (۱۶. ۳) حداکثر خواهد شد. شرط مرتبه اول برنامه</w:t>
      </w:r>
      <w:r w:rsidRPr="005C611F">
        <w:rPr>
          <w:i/>
          <w:sz w:val="23"/>
          <w:szCs w:val="23"/>
        </w:rPr>
        <w:softHyphen/>
      </w:r>
      <w:r w:rsidRPr="005C611F">
        <w:rPr>
          <w:rFonts w:hint="cs"/>
          <w:i/>
          <w:sz w:val="23"/>
          <w:szCs w:val="23"/>
          <w:rtl/>
        </w:rPr>
        <w:t>ریزی پویای تصادفی عبارت است از:</w:t>
      </w:r>
    </w:p>
    <w:p w14:paraId="6E7CC7AD" w14:textId="77777777" w:rsidR="00556C10" w:rsidRPr="005C611F" w:rsidRDefault="00556C10" w:rsidP="00556C10">
      <w:pPr>
        <w:tabs>
          <w:tab w:val="left" w:pos="90"/>
        </w:tabs>
        <w:bidi w:val="0"/>
        <w:spacing w:line="216" w:lineRule="auto"/>
        <w:rPr>
          <w:i/>
          <w:sz w:val="23"/>
          <w:szCs w:val="23"/>
          <w:rtl/>
        </w:rPr>
      </w:pPr>
      <w:r w:rsidRPr="00F4704A">
        <w:rPr>
          <w:position w:val="-30"/>
        </w:rPr>
        <w:object w:dxaOrig="3940" w:dyaOrig="700" w14:anchorId="504E0250">
          <v:shape id="_x0000_i8031" type="#_x0000_t75" style="width:197.25pt;height:35.1pt" o:ole="">
            <v:imagedata r:id="rId14137" o:title=""/>
          </v:shape>
          <o:OLEObject Type="Embed" ProgID="Equation.DSMT4" ShapeID="_x0000_i8031" DrawAspect="Content" ObjectID="_1791381974" r:id="rId14138"/>
        </w:object>
      </w:r>
    </w:p>
    <w:p w14:paraId="440529D0"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باید توجه داشت که </w:t>
      </w:r>
    </w:p>
    <w:p w14:paraId="1521F50B" w14:textId="77777777" w:rsidR="00556C10" w:rsidRPr="005C611F" w:rsidRDefault="00556C10" w:rsidP="00556C10">
      <w:pPr>
        <w:tabs>
          <w:tab w:val="left" w:pos="90"/>
        </w:tabs>
        <w:bidi w:val="0"/>
        <w:spacing w:line="216" w:lineRule="auto"/>
        <w:rPr>
          <w:i/>
          <w:sz w:val="23"/>
          <w:szCs w:val="23"/>
        </w:rPr>
      </w:pPr>
      <w:r w:rsidRPr="00F4704A">
        <w:rPr>
          <w:position w:val="-10"/>
        </w:rPr>
        <w:object w:dxaOrig="2420" w:dyaOrig="320" w14:anchorId="5BBBA4FB">
          <v:shape id="_x0000_i8032" type="#_x0000_t75" style="width:121pt;height:15.75pt" o:ole="">
            <v:imagedata r:id="rId14139" o:title=""/>
          </v:shape>
          <o:OLEObject Type="Embed" ProgID="Equation.DSMT4" ShapeID="_x0000_i8032" DrawAspect="Content" ObjectID="_1791381975" r:id="rId14140"/>
        </w:object>
      </w:r>
    </w:p>
    <w:p w14:paraId="52C270BA"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و بنابراین </w:t>
      </w:r>
    </w:p>
    <w:p w14:paraId="086B5F39" w14:textId="77777777" w:rsidR="00556C10" w:rsidRPr="005C611F" w:rsidRDefault="00556C10" w:rsidP="00556C10">
      <w:pPr>
        <w:tabs>
          <w:tab w:val="left" w:pos="90"/>
        </w:tabs>
        <w:bidi w:val="0"/>
        <w:spacing w:line="216" w:lineRule="auto"/>
        <w:rPr>
          <w:i/>
          <w:sz w:val="23"/>
          <w:szCs w:val="23"/>
        </w:rPr>
      </w:pPr>
      <w:r w:rsidRPr="00F4704A">
        <w:rPr>
          <w:position w:val="-28"/>
        </w:rPr>
        <w:object w:dxaOrig="2240" w:dyaOrig="639" w14:anchorId="48B51CEE">
          <v:shape id="_x0000_i8033" type="#_x0000_t75" style="width:111.95pt;height:32.05pt" o:ole="">
            <v:imagedata r:id="rId14141" o:title=""/>
          </v:shape>
          <o:OLEObject Type="Embed" ProgID="Equation.DSMT4" ShapeID="_x0000_i8033" DrawAspect="Content" ObjectID="_1791381976" r:id="rId14142"/>
        </w:object>
      </w:r>
    </w:p>
    <w:p w14:paraId="1A30C468"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 و</w:t>
      </w:r>
      <w:r w:rsidRPr="005C611F">
        <w:rPr>
          <w:i/>
          <w:sz w:val="23"/>
          <w:szCs w:val="23"/>
        </w:rPr>
        <w:t xml:space="preserve"> </w:t>
      </w:r>
      <w:r w:rsidRPr="005C611F">
        <w:rPr>
          <w:rFonts w:hint="cs"/>
          <w:i/>
          <w:sz w:val="23"/>
          <w:szCs w:val="23"/>
          <w:rtl/>
        </w:rPr>
        <w:t>این‌که</w:t>
      </w:r>
    </w:p>
    <w:p w14:paraId="5BEB942F" w14:textId="77777777" w:rsidR="00556C10" w:rsidRPr="005C611F" w:rsidRDefault="00556C10" w:rsidP="00556C10">
      <w:pPr>
        <w:tabs>
          <w:tab w:val="left" w:pos="90"/>
        </w:tabs>
        <w:bidi w:val="0"/>
        <w:spacing w:line="216" w:lineRule="auto"/>
        <w:rPr>
          <w:i/>
          <w:sz w:val="23"/>
          <w:szCs w:val="23"/>
          <w:rtl/>
        </w:rPr>
      </w:pPr>
      <w:r w:rsidRPr="00F4704A">
        <w:rPr>
          <w:position w:val="-28"/>
        </w:rPr>
        <w:object w:dxaOrig="1700" w:dyaOrig="639" w14:anchorId="6723B7F1">
          <v:shape id="_x0000_i8034" type="#_x0000_t75" style="width:84.7pt;height:32.05pt" o:ole="">
            <v:imagedata r:id="rId14143" o:title=""/>
          </v:shape>
          <o:OLEObject Type="Embed" ProgID="Equation.DSMT4" ShapeID="_x0000_i8034" DrawAspect="Content" ObjectID="_1791381977" r:id="rId14144"/>
        </w:object>
      </w:r>
    </w:p>
    <w:p w14:paraId="77A0B712" w14:textId="77777777" w:rsidR="00556C10" w:rsidRPr="005C611F" w:rsidRDefault="00556C10" w:rsidP="00556C10">
      <w:pPr>
        <w:tabs>
          <w:tab w:val="left" w:pos="90"/>
        </w:tabs>
        <w:spacing w:line="216" w:lineRule="auto"/>
        <w:rPr>
          <w:i/>
          <w:sz w:val="23"/>
          <w:szCs w:val="23"/>
        </w:rPr>
      </w:pPr>
      <w:r w:rsidRPr="005C611F">
        <w:rPr>
          <w:rFonts w:hint="cs"/>
          <w:i/>
          <w:sz w:val="23"/>
          <w:szCs w:val="23"/>
          <w:rtl/>
        </w:rPr>
        <w:t>از قیود بودجه در دوره</w:t>
      </w:r>
      <w:r w:rsidRPr="005C611F">
        <w:rPr>
          <w:rFonts w:hint="cs"/>
          <w:i/>
          <w:sz w:val="23"/>
          <w:szCs w:val="23"/>
          <w:rtl/>
        </w:rPr>
        <w:softHyphen/>
        <w:t>ی زمانی</w:t>
      </w:r>
      <w:r w:rsidRPr="00F4704A">
        <w:rPr>
          <w:position w:val="-6"/>
        </w:rPr>
        <w:object w:dxaOrig="139" w:dyaOrig="240" w14:anchorId="60547E74">
          <v:shape id="_x0000_i8035" type="#_x0000_t75" style="width:7.25pt;height:12.1pt" o:ole="">
            <v:imagedata r:id="rId14145" o:title=""/>
          </v:shape>
          <o:OLEObject Type="Embed" ProgID="Equation.DSMT4" ShapeID="_x0000_i8035" DrawAspect="Content" ObjectID="_1791381978" r:id="rId14146"/>
        </w:object>
      </w:r>
      <w:r w:rsidRPr="005C611F">
        <w:rPr>
          <w:i/>
          <w:sz w:val="23"/>
          <w:szCs w:val="23"/>
        </w:rPr>
        <w:t xml:space="preserve"> </w:t>
      </w:r>
      <w:r w:rsidRPr="005C611F">
        <w:rPr>
          <w:rFonts w:hint="cs"/>
          <w:i/>
          <w:sz w:val="23"/>
          <w:szCs w:val="23"/>
          <w:rtl/>
        </w:rPr>
        <w:t xml:space="preserve">و </w:t>
      </w:r>
      <w:r w:rsidRPr="00F4704A">
        <w:rPr>
          <w:position w:val="-6"/>
        </w:rPr>
        <w:object w:dxaOrig="440" w:dyaOrig="260" w14:anchorId="2484032E">
          <v:shape id="_x0000_i8036" type="#_x0000_t75" style="width:21.8pt;height:12.7pt" o:ole="">
            <v:imagedata r:id="rId14147" o:title=""/>
          </v:shape>
          <o:OLEObject Type="Embed" ProgID="Equation.DSMT4" ShapeID="_x0000_i8036" DrawAspect="Content" ObjectID="_1791381979" r:id="rId14148"/>
        </w:object>
      </w:r>
      <w:r w:rsidRPr="005C611F">
        <w:rPr>
          <w:rFonts w:hint="cs"/>
          <w:i/>
          <w:sz w:val="23"/>
          <w:szCs w:val="23"/>
          <w:rtl/>
        </w:rPr>
        <w:t xml:space="preserve"> می‌توان نشان داد که</w:t>
      </w:r>
    </w:p>
    <w:p w14:paraId="6B9C323C" w14:textId="77777777" w:rsidR="00556C10" w:rsidRPr="005C611F" w:rsidRDefault="00556C10" w:rsidP="00556C10">
      <w:pPr>
        <w:tabs>
          <w:tab w:val="left" w:pos="90"/>
        </w:tabs>
        <w:bidi w:val="0"/>
        <w:spacing w:line="216" w:lineRule="auto"/>
        <w:rPr>
          <w:i/>
          <w:sz w:val="23"/>
          <w:szCs w:val="23"/>
          <w:rtl/>
        </w:rPr>
      </w:pPr>
      <w:r w:rsidRPr="005C611F">
        <w:rPr>
          <w:rFonts w:hint="cs"/>
          <w:i/>
          <w:sz w:val="23"/>
          <w:szCs w:val="23"/>
          <w:rtl/>
        </w:rPr>
        <w:t xml:space="preserve"> </w:t>
      </w:r>
      <w:r w:rsidRPr="00F4704A">
        <w:rPr>
          <w:position w:val="-30"/>
        </w:rPr>
        <w:object w:dxaOrig="2200" w:dyaOrig="680" w14:anchorId="777AC9C8">
          <v:shape id="_x0000_i8037" type="#_x0000_t75" style="width:110.1pt;height:33.9pt" o:ole="">
            <v:imagedata r:id="rId14149" o:title=""/>
          </v:shape>
          <o:OLEObject Type="Embed" ProgID="Equation.DSMT4" ShapeID="_x0000_i8037" DrawAspect="Content" ObjectID="_1791381980" r:id="rId14150"/>
        </w:object>
      </w:r>
    </w:p>
    <w:p w14:paraId="62401C02"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لذا</w:t>
      </w:r>
    </w:p>
    <w:p w14:paraId="507F6E70" w14:textId="77777777" w:rsidR="00556C10" w:rsidRPr="005C611F" w:rsidRDefault="00556C10" w:rsidP="00556C10">
      <w:pPr>
        <w:tabs>
          <w:tab w:val="left" w:pos="90"/>
        </w:tabs>
        <w:bidi w:val="0"/>
        <w:spacing w:line="216" w:lineRule="auto"/>
        <w:rPr>
          <w:i/>
          <w:sz w:val="23"/>
          <w:szCs w:val="23"/>
        </w:rPr>
      </w:pPr>
      <w:r w:rsidRPr="00F4704A">
        <w:rPr>
          <w:position w:val="-56"/>
        </w:rPr>
        <w:object w:dxaOrig="5840" w:dyaOrig="1219" w14:anchorId="3C9C0833">
          <v:shape id="_x0000_i8038" type="#_x0000_t75" style="width:292.25pt;height:61.1pt" o:ole="">
            <v:imagedata r:id="rId14151" o:title=""/>
          </v:shape>
          <o:OLEObject Type="Embed" ProgID="Equation.DSMT4" ShapeID="_x0000_i8038" DrawAspect="Content" ObjectID="_1791381981" r:id="rId14152"/>
        </w:object>
      </w:r>
    </w:p>
    <w:p w14:paraId="43BCA63D"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و به تبع آن معادله اویلر برابر خواهد بود با</w:t>
      </w:r>
    </w:p>
    <w:p w14:paraId="37424D0D" w14:textId="77777777" w:rsidR="00556C10" w:rsidRPr="005C611F" w:rsidRDefault="00556C10" w:rsidP="00556C10">
      <w:pPr>
        <w:tabs>
          <w:tab w:val="left" w:pos="90"/>
        </w:tabs>
        <w:bidi w:val="0"/>
        <w:spacing w:line="216" w:lineRule="auto"/>
        <w:rPr>
          <w:i/>
          <w:sz w:val="23"/>
          <w:szCs w:val="23"/>
          <w:rtl/>
        </w:rPr>
      </w:pPr>
      <w:r w:rsidRPr="00F4704A">
        <w:rPr>
          <w:position w:val="-36"/>
        </w:rPr>
        <w:object w:dxaOrig="3800" w:dyaOrig="820" w14:anchorId="48F360D2">
          <v:shape id="_x0000_i8039" type="#_x0000_t75" style="width:190pt;height:41.15pt" o:ole="">
            <v:imagedata r:id="rId14153" o:title=""/>
          </v:shape>
          <o:OLEObject Type="Embed" ProgID="Equation.DSMT4" ShapeID="_x0000_i8039" DrawAspect="Content" ObjectID="_1791381982" r:id="rId14154"/>
        </w:object>
      </w:r>
      <w:r w:rsidRPr="005C611F">
        <w:rPr>
          <w:i/>
          <w:sz w:val="23"/>
          <w:szCs w:val="23"/>
        </w:rPr>
        <w:tab/>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Pr>
          <w:i/>
          <w:sz w:val="23"/>
          <w:szCs w:val="23"/>
          <w:rtl/>
        </w:rPr>
        <w:tab/>
      </w:r>
      <w:r>
        <w:rPr>
          <w:i/>
          <w:sz w:val="23"/>
          <w:szCs w:val="23"/>
          <w:rtl/>
        </w:rPr>
        <w:tab/>
      </w:r>
      <w:r w:rsidRPr="005C611F">
        <w:rPr>
          <w:i/>
          <w:sz w:val="23"/>
          <w:szCs w:val="23"/>
        </w:rPr>
        <w:tab/>
      </w:r>
      <w:r w:rsidRPr="005C611F">
        <w:rPr>
          <w:rFonts w:hint="cs"/>
          <w:i/>
          <w:sz w:val="23"/>
          <w:szCs w:val="23"/>
          <w:rtl/>
        </w:rPr>
        <w:t>(‍۱۶. ۴)</w:t>
      </w:r>
    </w:p>
    <w:p w14:paraId="0592ABDD"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جهت حل مدل در تجزیه و تحلیل چرخه‌های تجاری حقیقی معمولاً به هم ارزی قطعی استناد می‌شود. این برابری باعث می‌شود که تمامی‌ متغیرهای تصادفی بوسیله</w:t>
      </w:r>
      <w:r w:rsidRPr="005C611F">
        <w:rPr>
          <w:rFonts w:hint="cs"/>
          <w:i/>
          <w:sz w:val="23"/>
          <w:szCs w:val="23"/>
          <w:rtl/>
        </w:rPr>
        <w:softHyphen/>
        <w:t>ی انتظارات شرطی</w:t>
      </w:r>
      <w:r w:rsidRPr="005C611F">
        <w:rPr>
          <w:rFonts w:hint="cs"/>
          <w:i/>
          <w:sz w:val="23"/>
          <w:szCs w:val="23"/>
          <w:rtl/>
        </w:rPr>
        <w:softHyphen/>
        <w:t xml:space="preserve"> همان متغیر جایگزین شوند. همان</w:t>
      </w:r>
      <w:r w:rsidRPr="005C611F">
        <w:rPr>
          <w:rFonts w:hint="cs"/>
          <w:i/>
          <w:sz w:val="23"/>
          <w:szCs w:val="23"/>
          <w:rtl/>
        </w:rPr>
        <w:softHyphen/>
        <w:t>گونه که در مدل اقتصادی، نرخ بدون ریسک وجود ندارد، در معادله</w:t>
      </w:r>
      <w:r w:rsidRPr="005C611F">
        <w:rPr>
          <w:rFonts w:hint="cs"/>
          <w:i/>
          <w:sz w:val="23"/>
          <w:szCs w:val="23"/>
          <w:rtl/>
        </w:rPr>
        <w:softHyphen/>
        <w:t>ی اولیه می‌بایست از کوواریانس شرطی عبارات</w:t>
      </w:r>
      <w:r w:rsidRPr="00F4704A">
        <w:rPr>
          <w:position w:val="-10"/>
        </w:rPr>
        <w:object w:dxaOrig="1100" w:dyaOrig="320" w14:anchorId="3BD63F64">
          <v:shape id="_x0000_i8040" type="#_x0000_t75" style="width:55.05pt;height:15.75pt" o:ole="">
            <v:imagedata r:id="rId14155" o:title=""/>
          </v:shape>
          <o:OLEObject Type="Embed" ProgID="Equation.DSMT4" ShapeID="_x0000_i8040" DrawAspect="Content" ObjectID="_1791381983" r:id="rId14156"/>
        </w:object>
      </w:r>
      <w:r w:rsidRPr="005C611F">
        <w:rPr>
          <w:rFonts w:hint="cs"/>
          <w:i/>
          <w:sz w:val="23"/>
          <w:szCs w:val="23"/>
          <w:rtl/>
        </w:rPr>
        <w:t xml:space="preserve"> و به خصوص</w:t>
      </w:r>
      <w:r w:rsidRPr="00F4704A">
        <w:rPr>
          <w:position w:val="-12"/>
        </w:rPr>
        <w:object w:dxaOrig="1340" w:dyaOrig="360" w14:anchorId="254AB6C5">
          <v:shape id="_x0000_i8041" type="#_x0000_t75" style="width:67.15pt;height:18.15pt" o:ole="">
            <v:imagedata r:id="rId14157" o:title=""/>
          </v:shape>
          <o:OLEObject Type="Embed" ProgID="Equation.DSMT4" ShapeID="_x0000_i8041" DrawAspect="Content" ObjectID="_1791381984" r:id="rId14158"/>
        </w:object>
      </w:r>
      <w:r w:rsidRPr="005C611F">
        <w:rPr>
          <w:rFonts w:hint="cs"/>
          <w:i/>
          <w:sz w:val="23"/>
          <w:szCs w:val="23"/>
          <w:rtl/>
        </w:rPr>
        <w:t xml:space="preserve"> استفاده نمود.</w:t>
      </w:r>
    </w:p>
    <w:p w14:paraId="66D80357" w14:textId="77777777" w:rsidR="00556C10" w:rsidRPr="005C611F" w:rsidRDefault="00556C10" w:rsidP="00556C10">
      <w:pPr>
        <w:tabs>
          <w:tab w:val="left" w:pos="90"/>
        </w:tabs>
        <w:spacing w:line="216" w:lineRule="auto"/>
        <w:rPr>
          <w:i/>
          <w:sz w:val="23"/>
          <w:szCs w:val="23"/>
        </w:rPr>
      </w:pPr>
    </w:p>
    <w:p w14:paraId="08051A71" w14:textId="77777777" w:rsidR="00556C10" w:rsidRPr="005C611F" w:rsidRDefault="00556C10" w:rsidP="00556C10">
      <w:pPr>
        <w:tabs>
          <w:tab w:val="left" w:pos="90"/>
        </w:tabs>
        <w:spacing w:line="216" w:lineRule="auto"/>
        <w:rPr>
          <w:bCs/>
          <w:i/>
          <w:sz w:val="23"/>
          <w:szCs w:val="23"/>
          <w:rtl/>
        </w:rPr>
      </w:pPr>
      <w:r w:rsidRPr="005C611F">
        <w:rPr>
          <w:rFonts w:hint="cs"/>
          <w:bCs/>
          <w:i/>
          <w:sz w:val="23"/>
          <w:szCs w:val="23"/>
          <w:rtl/>
        </w:rPr>
        <w:t>حل مدل در وضعیت یکنواخت</w:t>
      </w:r>
    </w:p>
    <w:p w14:paraId="46D421DD"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با فرض این‌که حل مدل در وضعیت یکنواخت وجود دارد، برای هر دوره خواهیم داشت</w:t>
      </w:r>
      <w:r w:rsidRPr="00F4704A">
        <w:rPr>
          <w:position w:val="-10"/>
        </w:rPr>
        <w:object w:dxaOrig="1500" w:dyaOrig="320" w14:anchorId="3E527C6F">
          <v:shape id="_x0000_i8042" type="#_x0000_t75" style="width:75.05pt;height:15.75pt" o:ole="">
            <v:imagedata r:id="rId14159" o:title=""/>
          </v:shape>
          <o:OLEObject Type="Embed" ProgID="Equation.DSMT4" ShapeID="_x0000_i8042" DrawAspect="Content" ObjectID="_1791381985" r:id="rId14160"/>
        </w:object>
      </w:r>
      <w:r w:rsidRPr="005C611F">
        <w:rPr>
          <w:rFonts w:hint="cs"/>
          <w:i/>
          <w:sz w:val="23"/>
          <w:szCs w:val="23"/>
          <w:rtl/>
        </w:rPr>
        <w:t xml:space="preserve"> و</w:t>
      </w:r>
      <w:r w:rsidRPr="00F4704A">
        <w:rPr>
          <w:position w:val="-10"/>
        </w:rPr>
        <w:object w:dxaOrig="600" w:dyaOrig="320" w14:anchorId="7D7C7222">
          <v:shape id="_x0000_i8043" type="#_x0000_t75" style="width:30.25pt;height:15.75pt" o:ole="">
            <v:imagedata r:id="rId14161" o:title=""/>
          </v:shape>
          <o:OLEObject Type="Embed" ProgID="Equation.DSMT4" ShapeID="_x0000_i8043" DrawAspect="Content" ObjectID="_1791381986" r:id="rId14162"/>
        </w:object>
      </w:r>
      <w:r w:rsidRPr="005C611F">
        <w:rPr>
          <w:rFonts w:hint="cs"/>
          <w:i/>
          <w:sz w:val="23"/>
          <w:szCs w:val="23"/>
          <w:rtl/>
        </w:rPr>
        <w:t>. بنابراین با حذف زیرنویس زمان در وضعیت یکنواخت خواهیم داشت:</w:t>
      </w:r>
    </w:p>
    <w:p w14:paraId="5323F9B2" w14:textId="77777777" w:rsidR="00556C10" w:rsidRPr="005C611F" w:rsidRDefault="00556C10" w:rsidP="00556C10">
      <w:pPr>
        <w:tabs>
          <w:tab w:val="left" w:pos="90"/>
        </w:tabs>
        <w:bidi w:val="0"/>
        <w:spacing w:line="216" w:lineRule="auto"/>
        <w:rPr>
          <w:i/>
          <w:sz w:val="23"/>
          <w:szCs w:val="23"/>
          <w:rtl/>
        </w:rPr>
      </w:pPr>
      <w:r w:rsidRPr="00F4704A">
        <w:rPr>
          <w:position w:val="-16"/>
        </w:rPr>
        <w:object w:dxaOrig="2600" w:dyaOrig="420" w14:anchorId="2A336AF4">
          <v:shape id="_x0000_i8044" type="#_x0000_t75" style="width:130.1pt;height:21.2pt" o:ole="">
            <v:imagedata r:id="rId14163" o:title=""/>
          </v:shape>
          <o:OLEObject Type="Embed" ProgID="Equation.DSMT4" ShapeID="_x0000_i8044" DrawAspect="Content" ObjectID="_1791381987" r:id="rId14164"/>
        </w:object>
      </w:r>
      <w:r w:rsidRPr="005C611F">
        <w:rPr>
          <w:rFonts w:hint="cs"/>
          <w:i/>
          <w:sz w:val="23"/>
          <w:szCs w:val="23"/>
          <w:rtl/>
        </w:rPr>
        <w:t xml:space="preserve"> </w:t>
      </w:r>
    </w:p>
    <w:p w14:paraId="262EF669"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همان</w:t>
      </w:r>
      <w:r w:rsidRPr="005C611F">
        <w:rPr>
          <w:rFonts w:hint="cs"/>
          <w:i/>
          <w:sz w:val="23"/>
          <w:szCs w:val="23"/>
          <w:rtl/>
        </w:rPr>
        <w:softHyphen/>
        <w:t>گونه که در فصل سوم نشان داده شده است، در تعادل خواهیم داشت</w:t>
      </w:r>
    </w:p>
    <w:p w14:paraId="72AFDE54" w14:textId="77777777" w:rsidR="00556C10" w:rsidRPr="005C611F" w:rsidRDefault="00556C10" w:rsidP="00556C10">
      <w:pPr>
        <w:tabs>
          <w:tab w:val="left" w:pos="90"/>
        </w:tabs>
        <w:bidi w:val="0"/>
        <w:spacing w:line="216" w:lineRule="auto"/>
        <w:rPr>
          <w:i/>
          <w:sz w:val="23"/>
          <w:szCs w:val="23"/>
        </w:rPr>
      </w:pPr>
      <w:r w:rsidRPr="00F4704A">
        <w:rPr>
          <w:position w:val="-58"/>
        </w:rPr>
        <w:object w:dxaOrig="3460" w:dyaOrig="1260" w14:anchorId="119ADC00">
          <v:shape id="_x0000_i8045" type="#_x0000_t75" style="width:173.05pt;height:62.9pt" o:ole="">
            <v:imagedata r:id="rId14165" o:title=""/>
          </v:shape>
          <o:OLEObject Type="Embed" ProgID="Equation.DSMT4" ShapeID="_x0000_i8045" DrawAspect="Content" ObjectID="_1791381988" r:id="rId14166"/>
        </w:object>
      </w:r>
    </w:p>
    <w:p w14:paraId="5FF12198"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اگر چه</w:t>
      </w:r>
      <w:r w:rsidRPr="00F4704A">
        <w:rPr>
          <w:position w:val="-10"/>
        </w:rPr>
        <w:object w:dxaOrig="220" w:dyaOrig="320" w14:anchorId="7CF698CE">
          <v:shape id="_x0000_i8046" type="#_x0000_t75" style="width:10.9pt;height:15.75pt" o:ole="">
            <v:imagedata r:id="rId14167" o:title=""/>
          </v:shape>
          <o:OLEObject Type="Embed" ProgID="Equation.DSMT4" ShapeID="_x0000_i8046" DrawAspect="Content" ObjectID="_1791381989" r:id="rId14168"/>
        </w:object>
      </w:r>
      <w:r w:rsidRPr="005C611F">
        <w:rPr>
          <w:i/>
          <w:sz w:val="23"/>
          <w:szCs w:val="23"/>
        </w:rPr>
        <w:t xml:space="preserve"> </w:t>
      </w:r>
      <w:r w:rsidRPr="005C611F">
        <w:rPr>
          <w:rFonts w:hint="cs"/>
          <w:i/>
          <w:sz w:val="23"/>
          <w:szCs w:val="23"/>
          <w:rtl/>
        </w:rPr>
        <w:t>در وضعیت یکنواخت ثابت است، ولی</w:t>
      </w:r>
      <w:r w:rsidRPr="00F4704A">
        <w:rPr>
          <w:position w:val="-28"/>
        </w:rPr>
        <w:object w:dxaOrig="360" w:dyaOrig="639" w14:anchorId="1B510881">
          <v:shape id="_x0000_i8047" type="#_x0000_t75" style="width:18.15pt;height:32.05pt" o:ole="">
            <v:imagedata r:id="rId14169" o:title=""/>
          </v:shape>
          <o:OLEObject Type="Embed" ProgID="Equation.DSMT4" ShapeID="_x0000_i8047" DrawAspect="Content" ObjectID="_1791381990" r:id="rId14170"/>
        </w:object>
      </w:r>
      <w:r w:rsidRPr="005C611F">
        <w:rPr>
          <w:rFonts w:hint="cs"/>
          <w:i/>
          <w:sz w:val="23"/>
          <w:szCs w:val="23"/>
          <w:rtl/>
        </w:rPr>
        <w:t xml:space="preserve"> یا موجودی سرمایه</w:t>
      </w:r>
      <w:r w:rsidRPr="005C611F">
        <w:rPr>
          <w:rFonts w:hint="cs"/>
          <w:i/>
          <w:sz w:val="23"/>
          <w:szCs w:val="23"/>
          <w:rtl/>
        </w:rPr>
        <w:softHyphen/>
        <w:t xml:space="preserve">ی سرانه در اقتصاد در طی زمان رشد خواهد کرد. از آنجا که </w:t>
      </w:r>
    </w:p>
    <w:p w14:paraId="40A29F68" w14:textId="77777777" w:rsidR="00556C10" w:rsidRPr="005C611F" w:rsidRDefault="00556C10" w:rsidP="00556C10">
      <w:pPr>
        <w:tabs>
          <w:tab w:val="left" w:pos="90"/>
        </w:tabs>
        <w:bidi w:val="0"/>
        <w:spacing w:line="216" w:lineRule="auto"/>
        <w:rPr>
          <w:i/>
          <w:sz w:val="23"/>
          <w:szCs w:val="23"/>
          <w:rtl/>
        </w:rPr>
      </w:pPr>
      <w:r w:rsidRPr="00F4704A">
        <w:rPr>
          <w:position w:val="-48"/>
        </w:rPr>
        <w:object w:dxaOrig="2079" w:dyaOrig="840" w14:anchorId="0EC00579">
          <v:shape id="_x0000_i8048" type="#_x0000_t75" style="width:104.05pt;height:41.75pt" o:ole="">
            <v:imagedata r:id="rId14171" o:title=""/>
          </v:shape>
          <o:OLEObject Type="Embed" ProgID="Equation.DSMT4" ShapeID="_x0000_i8048" DrawAspect="Content" ObjectID="_1791381991" r:id="rId14172"/>
        </w:object>
      </w:r>
    </w:p>
    <w:p w14:paraId="39CA34CB"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مسیر بهینه</w:t>
      </w:r>
      <w:r w:rsidRPr="005C611F">
        <w:rPr>
          <w:rFonts w:hint="cs"/>
          <w:i/>
          <w:sz w:val="23"/>
          <w:szCs w:val="23"/>
          <w:rtl/>
        </w:rPr>
        <w:softHyphen/>
        <w:t>ی موجودی سرمایه</w:t>
      </w:r>
      <w:r w:rsidRPr="005C611F">
        <w:rPr>
          <w:rFonts w:hint="cs"/>
          <w:i/>
          <w:sz w:val="23"/>
          <w:szCs w:val="23"/>
          <w:rtl/>
        </w:rPr>
        <w:softHyphen/>
        <w:t>ی سرانه عبارت خواهد بود با</w:t>
      </w:r>
    </w:p>
    <w:p w14:paraId="1D582BB0" w14:textId="77777777" w:rsidR="00556C10" w:rsidRPr="005C611F" w:rsidRDefault="00556C10" w:rsidP="00556C10">
      <w:pPr>
        <w:tabs>
          <w:tab w:val="left" w:pos="90"/>
        </w:tabs>
        <w:bidi w:val="0"/>
        <w:spacing w:line="216" w:lineRule="auto"/>
        <w:rPr>
          <w:i/>
          <w:sz w:val="23"/>
          <w:szCs w:val="23"/>
          <w:rtl/>
        </w:rPr>
      </w:pPr>
      <w:r w:rsidRPr="00F4704A">
        <w:rPr>
          <w:position w:val="-36"/>
        </w:rPr>
        <w:object w:dxaOrig="4940" w:dyaOrig="880" w14:anchorId="779EA6CE">
          <v:shape id="_x0000_i8049" type="#_x0000_t75" style="width:247.45pt;height:44.15pt" o:ole="">
            <v:imagedata r:id="rId14173" o:title=""/>
          </v:shape>
          <o:OLEObject Type="Embed" ProgID="Equation.DSMT4" ShapeID="_x0000_i8049" DrawAspect="Content" ObjectID="_1791381992" r:id="rId14174"/>
        </w:object>
      </w:r>
    </w:p>
    <w:p w14:paraId="5A90AD8B"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لذا موجودی سرمایه</w:t>
      </w:r>
      <w:r w:rsidRPr="005C611F">
        <w:rPr>
          <w:rFonts w:hint="cs"/>
          <w:i/>
          <w:sz w:val="23"/>
          <w:szCs w:val="23"/>
          <w:rtl/>
        </w:rPr>
        <w:softHyphen/>
        <w:t>ی سرانه با نرخ تقریبی</w:t>
      </w:r>
      <w:r w:rsidRPr="00F4704A">
        <w:rPr>
          <w:position w:val="-12"/>
        </w:rPr>
        <w:object w:dxaOrig="940" w:dyaOrig="360" w14:anchorId="1C72215A">
          <v:shape id="_x0000_i8050" type="#_x0000_t75" style="width:47.2pt;height:18.15pt" o:ole="">
            <v:imagedata r:id="rId14175" o:title=""/>
          </v:shape>
          <o:OLEObject Type="Embed" ProgID="Equation.DSMT4" ShapeID="_x0000_i8050" DrawAspect="Content" ObjectID="_1791381993" r:id="rId14176"/>
        </w:object>
      </w:r>
      <w:r w:rsidRPr="005C611F">
        <w:rPr>
          <w:rFonts w:hint="cs"/>
          <w:i/>
          <w:sz w:val="23"/>
          <w:szCs w:val="23"/>
          <w:rtl/>
        </w:rPr>
        <w:t xml:space="preserve"> رشد خواهد کرد.</w:t>
      </w:r>
    </w:p>
    <w:p w14:paraId="7B5E8695"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برای بدست آوردن نرخ رشد بهینه</w:t>
      </w:r>
      <w:r w:rsidRPr="005C611F">
        <w:rPr>
          <w:rFonts w:hint="cs"/>
          <w:i/>
          <w:sz w:val="23"/>
          <w:szCs w:val="23"/>
          <w:rtl/>
        </w:rPr>
        <w:softHyphen/>
        <w:t>ی تولید سرانه</w:t>
      </w:r>
      <w:r w:rsidRPr="00F4704A">
        <w:rPr>
          <w:position w:val="-28"/>
        </w:rPr>
        <w:object w:dxaOrig="360" w:dyaOrig="639" w14:anchorId="61763E8D">
          <v:shape id="_x0000_i8051" type="#_x0000_t75" style="width:18.15pt;height:32.05pt" o:ole="">
            <v:imagedata r:id="rId14177" o:title=""/>
          </v:shape>
          <o:OLEObject Type="Embed" ProgID="Equation.DSMT4" ShapeID="_x0000_i8051" DrawAspect="Content" ObjectID="_1791381994" r:id="rId14178"/>
        </w:object>
      </w:r>
      <w:r w:rsidRPr="005C611F">
        <w:rPr>
          <w:rFonts w:eastAsiaTheme="minorHAnsi" w:cstheme="minorBidi" w:hint="cs"/>
          <w:i/>
          <w:sz w:val="23"/>
          <w:szCs w:val="23"/>
          <w:rtl/>
        </w:rPr>
        <w:t xml:space="preserve">، </w:t>
      </w:r>
      <w:r w:rsidRPr="005C611F">
        <w:rPr>
          <w:rFonts w:eastAsiaTheme="minorHAnsi" w:hint="cs"/>
          <w:i/>
          <w:sz w:val="23"/>
          <w:szCs w:val="23"/>
          <w:rtl/>
        </w:rPr>
        <w:t>از آن</w:t>
      </w:r>
      <w:r w:rsidRPr="005C611F">
        <w:rPr>
          <w:rFonts w:eastAsiaTheme="minorHAnsi"/>
          <w:i/>
          <w:sz w:val="23"/>
          <w:szCs w:val="23"/>
          <w:rtl/>
        </w:rPr>
        <w:softHyphen/>
      </w:r>
      <w:r w:rsidRPr="005C611F">
        <w:rPr>
          <w:rFonts w:eastAsiaTheme="minorHAnsi" w:hint="cs"/>
          <w:i/>
          <w:sz w:val="23"/>
          <w:szCs w:val="23"/>
          <w:rtl/>
        </w:rPr>
        <w:t>جا که داریم</w:t>
      </w:r>
      <w:r w:rsidRPr="005C611F">
        <w:rPr>
          <w:rFonts w:hint="cs"/>
          <w:i/>
          <w:sz w:val="23"/>
          <w:szCs w:val="23"/>
          <w:vertAlign w:val="subscript"/>
          <w:rtl/>
        </w:rPr>
        <w:t xml:space="preserve"> </w:t>
      </w:r>
    </w:p>
    <w:p w14:paraId="745E0134" w14:textId="77777777" w:rsidR="00556C10" w:rsidRPr="005C611F" w:rsidRDefault="00556C10" w:rsidP="00556C10">
      <w:pPr>
        <w:tabs>
          <w:tab w:val="left" w:pos="90"/>
        </w:tabs>
        <w:bidi w:val="0"/>
        <w:spacing w:line="216" w:lineRule="auto"/>
        <w:rPr>
          <w:i/>
          <w:sz w:val="23"/>
          <w:szCs w:val="23"/>
        </w:rPr>
      </w:pPr>
      <w:r w:rsidRPr="00F4704A">
        <w:rPr>
          <w:position w:val="-48"/>
        </w:rPr>
        <w:object w:dxaOrig="2640" w:dyaOrig="840" w14:anchorId="104AA4A8">
          <v:shape id="_x0000_i8052" type="#_x0000_t75" style="width:131.9pt;height:41.75pt" o:ole="">
            <v:imagedata r:id="rId14179" o:title=""/>
          </v:shape>
          <o:OLEObject Type="Embed" ProgID="Equation.DSMT4" ShapeID="_x0000_i8052" DrawAspect="Content" ObjectID="_1791381995" r:id="rId14180"/>
        </w:object>
      </w:r>
    </w:p>
    <w:p w14:paraId="55612A7D"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و</w:t>
      </w:r>
      <w:r w:rsidRPr="00F4704A">
        <w:rPr>
          <w:position w:val="-10"/>
        </w:rPr>
        <w:object w:dxaOrig="720" w:dyaOrig="340" w14:anchorId="1A9B770F">
          <v:shape id="_x0000_i8053" type="#_x0000_t75" style="width:36.3pt;height:16.95pt" o:ole="">
            <v:imagedata r:id="rId14181" o:title=""/>
          </v:shape>
          <o:OLEObject Type="Embed" ProgID="Equation.DSMT4" ShapeID="_x0000_i8053" DrawAspect="Content" ObjectID="_1791381996" r:id="rId14182"/>
        </w:object>
      </w:r>
      <w:r w:rsidRPr="005C611F">
        <w:rPr>
          <w:rFonts w:hint="cs"/>
          <w:i/>
          <w:sz w:val="23"/>
          <w:szCs w:val="23"/>
          <w:rtl/>
        </w:rPr>
        <w:t xml:space="preserve"> و</w:t>
      </w:r>
      <w:r w:rsidRPr="00F4704A">
        <w:rPr>
          <w:position w:val="-10"/>
        </w:rPr>
        <w:object w:dxaOrig="720" w:dyaOrig="320" w14:anchorId="59332C80">
          <v:shape id="_x0000_i8054" type="#_x0000_t75" style="width:36.3pt;height:15.75pt" o:ole="">
            <v:imagedata r:id="rId14183" o:title=""/>
          </v:shape>
          <o:OLEObject Type="Embed" ProgID="Equation.DSMT4" ShapeID="_x0000_i8054" DrawAspect="Content" ObjectID="_1791381997" r:id="rId14184"/>
        </w:object>
      </w:r>
      <w:r w:rsidRPr="005C611F">
        <w:rPr>
          <w:rFonts w:eastAsiaTheme="minorHAnsi" w:cstheme="minorBidi" w:hint="cs"/>
          <w:i/>
          <w:sz w:val="23"/>
          <w:szCs w:val="23"/>
          <w:rtl/>
        </w:rPr>
        <w:t>،</w:t>
      </w:r>
      <w:r w:rsidRPr="005C611F">
        <w:rPr>
          <w:rFonts w:hint="cs"/>
          <w:i/>
          <w:sz w:val="23"/>
          <w:szCs w:val="23"/>
          <w:rtl/>
        </w:rPr>
        <w:t xml:space="preserve"> لذا </w:t>
      </w:r>
      <w:r w:rsidRPr="00F4704A">
        <w:rPr>
          <w:position w:val="-10"/>
        </w:rPr>
        <w:object w:dxaOrig="840" w:dyaOrig="320" w14:anchorId="1B3F113B">
          <v:shape id="_x0000_i8055" type="#_x0000_t75" style="width:41.75pt;height:15.75pt" o:ole="">
            <v:imagedata r:id="rId14185" o:title=""/>
          </v:shape>
          <o:OLEObject Type="Embed" ProgID="Equation.DSMT4" ShapeID="_x0000_i8055" DrawAspect="Content" ObjectID="_1791381998" r:id="rId14186"/>
        </w:object>
      </w:r>
      <w:r w:rsidRPr="005C611F">
        <w:rPr>
          <w:rFonts w:hint="cs"/>
          <w:i/>
          <w:sz w:val="23"/>
          <w:szCs w:val="23"/>
          <w:rtl/>
        </w:rPr>
        <w:t xml:space="preserve"> خواهد بود. بنابراین نرخ رشد تولید سرانه نیز تقریباً برابر خواهد بود با نرخ رشد موجودی سرمایه</w:t>
      </w:r>
      <w:r w:rsidRPr="005C611F">
        <w:rPr>
          <w:rFonts w:hint="cs"/>
          <w:i/>
          <w:sz w:val="23"/>
          <w:szCs w:val="23"/>
          <w:rtl/>
        </w:rPr>
        <w:softHyphen/>
        <w:t xml:space="preserve">ی سرانه یعنی </w:t>
      </w:r>
      <w:r w:rsidRPr="00F4704A">
        <w:rPr>
          <w:position w:val="-10"/>
        </w:rPr>
        <w:object w:dxaOrig="780" w:dyaOrig="300" w14:anchorId="5D84B908">
          <v:shape id="_x0000_i8056" type="#_x0000_t75" style="width:38.7pt;height:15.15pt" o:ole="">
            <v:imagedata r:id="rId14187" o:title=""/>
          </v:shape>
          <o:OLEObject Type="Embed" ProgID="Equation.DSMT4" ShapeID="_x0000_i8056" DrawAspect="Content" ObjectID="_1791381999" r:id="rId14188"/>
        </w:object>
      </w:r>
      <w:r w:rsidRPr="005C611F">
        <w:rPr>
          <w:i/>
          <w:sz w:val="23"/>
          <w:szCs w:val="23"/>
        </w:rPr>
        <w:t>.</w:t>
      </w:r>
      <w:r w:rsidRPr="005C611F">
        <w:rPr>
          <w:rFonts w:hint="cs"/>
          <w:i/>
          <w:sz w:val="23"/>
          <w:szCs w:val="23"/>
          <w:rtl/>
        </w:rPr>
        <w:t xml:space="preserve"> همچنین نرخ رشد بهینه</w:t>
      </w:r>
      <w:r w:rsidRPr="005C611F">
        <w:rPr>
          <w:i/>
          <w:sz w:val="23"/>
          <w:szCs w:val="23"/>
          <w:rtl/>
        </w:rPr>
        <w:softHyphen/>
      </w:r>
      <w:r w:rsidRPr="005C611F">
        <w:rPr>
          <w:rFonts w:hint="cs"/>
          <w:i/>
          <w:sz w:val="23"/>
          <w:szCs w:val="23"/>
          <w:rtl/>
        </w:rPr>
        <w:t>ی مصرف سرانه</w:t>
      </w:r>
      <w:r w:rsidRPr="00F4704A">
        <w:rPr>
          <w:position w:val="-28"/>
        </w:rPr>
        <w:object w:dxaOrig="360" w:dyaOrig="639" w14:anchorId="47BB5560">
          <v:shape id="_x0000_i8057" type="#_x0000_t75" style="width:18.15pt;height:32.05pt" o:ole="">
            <v:imagedata r:id="rId14189" o:title=""/>
          </v:shape>
          <o:OLEObject Type="Embed" ProgID="Equation.DSMT4" ShapeID="_x0000_i8057" DrawAspect="Content" ObjectID="_1791382000" r:id="rId14190"/>
        </w:object>
      </w:r>
      <w:r w:rsidRPr="005C611F">
        <w:rPr>
          <w:rFonts w:hint="cs"/>
          <w:i/>
          <w:sz w:val="23"/>
          <w:szCs w:val="23"/>
          <w:rtl/>
        </w:rPr>
        <w:t xml:space="preserve"> نیز از شرط </w:t>
      </w:r>
      <w:r w:rsidRPr="00F4704A">
        <w:rPr>
          <w:position w:val="-10"/>
        </w:rPr>
        <w:object w:dxaOrig="840" w:dyaOrig="320" w14:anchorId="78C72C2C">
          <v:shape id="_x0000_i8058" type="#_x0000_t75" style="width:41.75pt;height:15.75pt" o:ole="">
            <v:imagedata r:id="rId14191" o:title=""/>
          </v:shape>
          <o:OLEObject Type="Embed" ProgID="Equation.DSMT4" ShapeID="_x0000_i8058" DrawAspect="Content" ObjectID="_1791382001" r:id="rId14192"/>
        </w:object>
      </w:r>
      <w:r w:rsidRPr="005C611F">
        <w:rPr>
          <w:rFonts w:hint="cs"/>
          <w:i/>
          <w:sz w:val="23"/>
          <w:szCs w:val="23"/>
          <w:rtl/>
        </w:rPr>
        <w:t xml:space="preserve"> و </w:t>
      </w:r>
      <w:r w:rsidRPr="00F4704A">
        <w:rPr>
          <w:position w:val="-20"/>
        </w:rPr>
        <w:object w:dxaOrig="2820" w:dyaOrig="499" w14:anchorId="0BF68E32">
          <v:shape id="_x0000_i8059" type="#_x0000_t75" style="width:140.95pt;height:24.8pt" o:ole="">
            <v:imagedata r:id="rId14193" o:title=""/>
          </v:shape>
          <o:OLEObject Type="Embed" ProgID="Equation.DSMT4" ShapeID="_x0000_i8059" DrawAspect="Content" ObjectID="_1791382002" r:id="rId14194"/>
        </w:object>
      </w:r>
      <w:r w:rsidRPr="005C611F">
        <w:rPr>
          <w:rFonts w:hint="cs"/>
          <w:i/>
          <w:sz w:val="23"/>
          <w:szCs w:val="23"/>
          <w:rtl/>
        </w:rPr>
        <w:t xml:space="preserve"> به دست خواهد آمد. لذا نرخ رشد</w:t>
      </w:r>
      <w:r w:rsidRPr="00F4704A">
        <w:rPr>
          <w:position w:val="-28"/>
        </w:rPr>
        <w:object w:dxaOrig="360" w:dyaOrig="639" w14:anchorId="0CB9D189">
          <v:shape id="_x0000_i8060" type="#_x0000_t75" style="width:18.15pt;height:32.05pt" o:ole="">
            <v:imagedata r:id="rId14195" o:title=""/>
          </v:shape>
          <o:OLEObject Type="Embed" ProgID="Equation.DSMT4" ShapeID="_x0000_i8060" DrawAspect="Content" ObjectID="_1791382003" r:id="rId14196"/>
        </w:object>
      </w:r>
      <w:r w:rsidRPr="005C611F">
        <w:rPr>
          <w:rFonts w:hint="cs"/>
          <w:i/>
          <w:sz w:val="23"/>
          <w:szCs w:val="23"/>
          <w:vertAlign w:val="subscript"/>
          <w:rtl/>
        </w:rPr>
        <w:t xml:space="preserve"> </w:t>
      </w:r>
      <w:r w:rsidRPr="005C611F">
        <w:rPr>
          <w:rFonts w:hint="cs"/>
          <w:i/>
          <w:sz w:val="23"/>
          <w:szCs w:val="23"/>
          <w:rtl/>
        </w:rPr>
        <w:t xml:space="preserve">نیز تقریباً برابر است با </w:t>
      </w:r>
      <w:r w:rsidRPr="00F4704A">
        <w:rPr>
          <w:position w:val="-10"/>
        </w:rPr>
        <w:object w:dxaOrig="780" w:dyaOrig="300" w14:anchorId="4FA81F2E">
          <v:shape id="_x0000_i8061" type="#_x0000_t75" style="width:38.7pt;height:15.15pt" o:ole="">
            <v:imagedata r:id="rId14197" o:title=""/>
          </v:shape>
          <o:OLEObject Type="Embed" ProgID="Equation.DSMT4" ShapeID="_x0000_i8061" DrawAspect="Content" ObjectID="_1791382004" r:id="rId14198"/>
        </w:object>
      </w:r>
      <w:r w:rsidRPr="005C611F">
        <w:rPr>
          <w:rFonts w:hint="cs"/>
          <w:i/>
          <w:sz w:val="23"/>
          <w:szCs w:val="23"/>
          <w:rtl/>
        </w:rPr>
        <w:t xml:space="preserve">. </w:t>
      </w:r>
    </w:p>
    <w:p w14:paraId="0BA7EE55"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نرخ‌های رشد بهینه</w:t>
      </w:r>
      <w:r w:rsidRPr="005C611F">
        <w:rPr>
          <w:rFonts w:hint="cs"/>
          <w:i/>
          <w:sz w:val="23"/>
          <w:szCs w:val="23"/>
          <w:rtl/>
        </w:rPr>
        <w:softHyphen/>
        <w:t>ی تولید کل، موجودی سرمایه کل، و مصرف کل نیز با اضافه کردن نرخ رشد جمعیت به دست خواهد آمد. لذا با اضافه نمودن نرخ رشد جمعیت می‌توان نرخ رشد آن‌ها را به دست آورد یعنی</w:t>
      </w:r>
      <w:r w:rsidRPr="00F4704A">
        <w:rPr>
          <w:position w:val="-14"/>
        </w:rPr>
        <w:object w:dxaOrig="1800" w:dyaOrig="380" w14:anchorId="7FC0FA34">
          <v:shape id="_x0000_i8062" type="#_x0000_t75" style="width:90.15pt;height:18.75pt" o:ole="">
            <v:imagedata r:id="rId14199" o:title=""/>
          </v:shape>
          <o:OLEObject Type="Embed" ProgID="Equation.DSMT4" ShapeID="_x0000_i8062" DrawAspect="Content" ObjectID="_1791382005" r:id="rId14200"/>
        </w:object>
      </w:r>
      <w:r w:rsidRPr="005C611F">
        <w:rPr>
          <w:rFonts w:hint="cs"/>
          <w:i/>
          <w:sz w:val="23"/>
          <w:szCs w:val="23"/>
          <w:rtl/>
        </w:rPr>
        <w:t xml:space="preserve"> .</w:t>
      </w:r>
    </w:p>
    <w:p w14:paraId="446EDC17" w14:textId="77777777" w:rsidR="00556C10" w:rsidRPr="005C611F" w:rsidRDefault="00556C10" w:rsidP="00556C10">
      <w:pPr>
        <w:tabs>
          <w:tab w:val="left" w:pos="90"/>
        </w:tabs>
        <w:spacing w:line="216" w:lineRule="auto"/>
        <w:rPr>
          <w:i/>
          <w:sz w:val="23"/>
          <w:szCs w:val="23"/>
          <w:rtl/>
        </w:rPr>
      </w:pPr>
    </w:p>
    <w:p w14:paraId="6BFE3472" w14:textId="77777777" w:rsidR="00556C10" w:rsidRPr="005C611F" w:rsidRDefault="00556C10" w:rsidP="00556C10">
      <w:pPr>
        <w:tabs>
          <w:tab w:val="left" w:pos="90"/>
        </w:tabs>
        <w:spacing w:line="216" w:lineRule="auto"/>
        <w:rPr>
          <w:bCs/>
          <w:i/>
          <w:sz w:val="23"/>
          <w:szCs w:val="23"/>
          <w:rtl/>
        </w:rPr>
      </w:pPr>
      <w:r w:rsidRPr="005C611F">
        <w:rPr>
          <w:rFonts w:hint="cs"/>
          <w:bCs/>
          <w:i/>
          <w:sz w:val="23"/>
          <w:szCs w:val="23"/>
          <w:rtl/>
        </w:rPr>
        <w:t>پویایی‌های کوتاه‌مدت</w:t>
      </w:r>
    </w:p>
    <w:p w14:paraId="122EEE4E"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اکنون انحرافات کوتاه‌مدت از لگاریتم مسیر رشد متغیرهای مطمح نظر را مورد بررسی قرار می‌دهیم. مدل اقتصادی به دو معادله</w:t>
      </w:r>
      <w:r w:rsidRPr="005C611F">
        <w:rPr>
          <w:rFonts w:hint="cs"/>
          <w:i/>
          <w:sz w:val="23"/>
          <w:szCs w:val="23"/>
          <w:rtl/>
        </w:rPr>
        <w:softHyphen/>
        <w:t>ی اویلر و قید منبع اقتصاد تقلیل می‌یابد. از آنجاکه که این دو معادله غیرخطی می‌باشند آن‌ها را به وسیله</w:t>
      </w:r>
      <w:r w:rsidRPr="005C611F">
        <w:rPr>
          <w:rFonts w:hint="cs"/>
          <w:i/>
          <w:sz w:val="23"/>
          <w:szCs w:val="23"/>
          <w:rtl/>
        </w:rPr>
        <w:softHyphen/>
        <w:t>ی تقریب‌های لگاریتمی‌ هر یک بر اساس بسط تیلور زیر خطی می‌کنیم.</w:t>
      </w:r>
    </w:p>
    <w:p w14:paraId="2D78E79A" w14:textId="77777777" w:rsidR="00556C10" w:rsidRPr="005C611F" w:rsidRDefault="00556C10" w:rsidP="00556C10">
      <w:pPr>
        <w:tabs>
          <w:tab w:val="left" w:pos="90"/>
        </w:tabs>
        <w:bidi w:val="0"/>
        <w:spacing w:line="216" w:lineRule="auto"/>
        <w:rPr>
          <w:i/>
          <w:sz w:val="23"/>
          <w:szCs w:val="23"/>
          <w:rtl/>
        </w:rPr>
      </w:pPr>
      <w:r w:rsidRPr="00F4704A">
        <w:rPr>
          <w:position w:val="-52"/>
        </w:rPr>
        <w:object w:dxaOrig="4220" w:dyaOrig="1140" w14:anchorId="294B9C92">
          <v:shape id="_x0000_i8063" type="#_x0000_t75" style="width:211.15pt;height:56.85pt" o:ole="">
            <v:imagedata r:id="rId14201" o:title=""/>
          </v:shape>
          <o:OLEObject Type="Embed" ProgID="Equation.DSMT4" ShapeID="_x0000_i8063" DrawAspect="Content" ObjectID="_1791382006" r:id="rId14202"/>
        </w:object>
      </w:r>
    </w:p>
    <w:p w14:paraId="1259BA71"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با حذف عرض از مبدا، و توسل به هم ارزی قطعی، و توجه به این نکته که</w:t>
      </w:r>
      <w:r w:rsidRPr="00F4704A">
        <w:rPr>
          <w:position w:val="-10"/>
        </w:rPr>
        <w:object w:dxaOrig="1920" w:dyaOrig="320" w14:anchorId="54C2544C">
          <v:shape id="_x0000_i8064" type="#_x0000_t75" style="width:96.2pt;height:15.75pt" o:ole="">
            <v:imagedata r:id="rId14203" o:title=""/>
          </v:shape>
          <o:OLEObject Type="Embed" ProgID="Equation.DSMT4" ShapeID="_x0000_i8064" DrawAspect="Content" ObjectID="_1791382007" r:id="rId14204"/>
        </w:object>
      </w:r>
      <w:r w:rsidRPr="005C611F">
        <w:rPr>
          <w:rFonts w:hint="cs"/>
          <w:i/>
          <w:sz w:val="23"/>
          <w:szCs w:val="23"/>
          <w:rtl/>
        </w:rPr>
        <w:t xml:space="preserve"> و این‌که در تعادل</w:t>
      </w:r>
      <w:r w:rsidRPr="00F4704A">
        <w:rPr>
          <w:position w:val="-10"/>
        </w:rPr>
        <w:object w:dxaOrig="580" w:dyaOrig="320" w14:anchorId="3E28B77C">
          <v:shape id="_x0000_i8065" type="#_x0000_t75" style="width:29.05pt;height:15.75pt" o:ole="">
            <v:imagedata r:id="rId14205" o:title=""/>
          </v:shape>
          <o:OLEObject Type="Embed" ProgID="Equation.DSMT4" ShapeID="_x0000_i8065" DrawAspect="Content" ObjectID="_1791382008" r:id="rId14206"/>
        </w:object>
      </w:r>
      <w:r w:rsidRPr="005C611F">
        <w:rPr>
          <w:rFonts w:hint="cs"/>
          <w:i/>
          <w:sz w:val="23"/>
          <w:szCs w:val="23"/>
          <w:rtl/>
        </w:rPr>
        <w:t xml:space="preserve"> است، تقریب لگاریتم خطی معادله</w:t>
      </w:r>
      <w:r w:rsidRPr="005C611F">
        <w:rPr>
          <w:i/>
          <w:sz w:val="23"/>
          <w:szCs w:val="23"/>
          <w:rtl/>
        </w:rPr>
        <w:softHyphen/>
      </w:r>
      <w:r w:rsidRPr="005C611F">
        <w:rPr>
          <w:rFonts w:hint="cs"/>
          <w:i/>
          <w:sz w:val="23"/>
          <w:szCs w:val="23"/>
          <w:rtl/>
        </w:rPr>
        <w:t>ی اویلر عبارت خواهد بود با</w:t>
      </w:r>
    </w:p>
    <w:p w14:paraId="17523D12" w14:textId="77777777" w:rsidR="00556C10" w:rsidRPr="005C611F" w:rsidRDefault="00556C10" w:rsidP="00556C10">
      <w:pPr>
        <w:tabs>
          <w:tab w:val="left" w:pos="90"/>
        </w:tabs>
        <w:bidi w:val="0"/>
        <w:spacing w:line="216" w:lineRule="auto"/>
        <w:rPr>
          <w:i/>
          <w:sz w:val="23"/>
          <w:szCs w:val="23"/>
          <w:rtl/>
        </w:rPr>
      </w:pPr>
      <w:r w:rsidRPr="00F4704A">
        <w:rPr>
          <w:position w:val="-26"/>
        </w:rPr>
        <w:object w:dxaOrig="5100" w:dyaOrig="620" w14:anchorId="3B13DBA6">
          <v:shape id="_x0000_i8066" type="#_x0000_t75" style="width:254.7pt;height:30.85pt" o:ole="">
            <v:imagedata r:id="rId14207" o:title=""/>
          </v:shape>
          <o:OLEObject Type="Embed" ProgID="Equation.DSMT4" ShapeID="_x0000_i8066" DrawAspect="Content" ObjectID="_1791382009" r:id="rId14208"/>
        </w:object>
      </w:r>
      <w:r w:rsidRPr="005C611F">
        <w:rPr>
          <w:rFonts w:eastAsiaTheme="minorHAnsi" w:cstheme="minorBidi"/>
          <w:i/>
          <w:sz w:val="23"/>
          <w:szCs w:val="23"/>
        </w:rPr>
        <w:tab/>
      </w:r>
      <w:r>
        <w:rPr>
          <w:rFonts w:eastAsiaTheme="minorHAnsi" w:cstheme="minorBidi"/>
          <w:i/>
          <w:sz w:val="23"/>
          <w:szCs w:val="23"/>
          <w:rtl/>
        </w:rPr>
        <w:tab/>
      </w:r>
      <w:r>
        <w:rPr>
          <w:rFonts w:eastAsiaTheme="minorHAnsi" w:cstheme="minorBidi"/>
          <w:i/>
          <w:sz w:val="23"/>
          <w:szCs w:val="23"/>
          <w:rtl/>
        </w:rPr>
        <w:tab/>
      </w:r>
      <w:r w:rsidRPr="005C611F">
        <w:rPr>
          <w:i/>
          <w:sz w:val="23"/>
          <w:szCs w:val="23"/>
        </w:rPr>
        <w:tab/>
      </w:r>
      <w:r w:rsidRPr="005C611F">
        <w:rPr>
          <w:rFonts w:hint="cs"/>
          <w:i/>
          <w:sz w:val="23"/>
          <w:szCs w:val="23"/>
          <w:rtl/>
        </w:rPr>
        <w:t>(۱۶. ۵)</w:t>
      </w:r>
    </w:p>
    <w:p w14:paraId="48FDA1F9"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با حذف مجدد عرض از مبدا، قید منبع لگاریتم-خطی برابر خواهد بود با</w:t>
      </w:r>
    </w:p>
    <w:p w14:paraId="453B9D68" w14:textId="77777777" w:rsidR="00556C10" w:rsidRPr="005C611F" w:rsidRDefault="00556C10" w:rsidP="00556C10">
      <w:pPr>
        <w:tabs>
          <w:tab w:val="left" w:pos="90"/>
        </w:tabs>
        <w:bidi w:val="0"/>
        <w:spacing w:line="216" w:lineRule="auto"/>
        <w:rPr>
          <w:i/>
          <w:sz w:val="23"/>
          <w:szCs w:val="23"/>
          <w:rtl/>
        </w:rPr>
      </w:pPr>
      <w:r w:rsidRPr="00F4704A">
        <w:rPr>
          <w:position w:val="-56"/>
        </w:rPr>
        <w:object w:dxaOrig="4380" w:dyaOrig="1219" w14:anchorId="03DE53B6">
          <v:shape id="_x0000_i8067" type="#_x0000_t75" style="width:219.05pt;height:61.1pt" o:ole="">
            <v:imagedata r:id="rId14209" o:title=""/>
          </v:shape>
          <o:OLEObject Type="Embed" ProgID="Equation.DSMT4" ShapeID="_x0000_i8067" DrawAspect="Content" ObjectID="_1791382010" r:id="rId14210"/>
        </w:object>
      </w:r>
      <w:r>
        <w:rPr>
          <w:rtl/>
        </w:rPr>
        <w:tab/>
      </w:r>
      <w:r w:rsidRPr="005C611F">
        <w:rPr>
          <w:rFonts w:eastAsiaTheme="minorHAnsi" w:cstheme="minorBidi"/>
          <w:i/>
          <w:sz w:val="23"/>
          <w:szCs w:val="23"/>
          <w:rtl/>
        </w:rPr>
        <w:tab/>
      </w:r>
      <w:r w:rsidRPr="005C611F">
        <w:rPr>
          <w:rFonts w:eastAsiaTheme="minorHAnsi" w:cstheme="minorBidi"/>
          <w:i/>
          <w:sz w:val="23"/>
          <w:szCs w:val="23"/>
          <w:rtl/>
        </w:rPr>
        <w:tab/>
      </w:r>
      <w:r w:rsidRPr="005C611F">
        <w:rPr>
          <w:rFonts w:eastAsiaTheme="minorHAnsi" w:cstheme="minorBidi"/>
          <w:i/>
          <w:sz w:val="23"/>
          <w:szCs w:val="23"/>
          <w:rtl/>
        </w:rPr>
        <w:tab/>
      </w:r>
      <w:r w:rsidRPr="005C611F">
        <w:rPr>
          <w:rFonts w:eastAsiaTheme="minorHAnsi" w:cstheme="minorBidi"/>
          <w:i/>
          <w:sz w:val="23"/>
          <w:szCs w:val="23"/>
        </w:rPr>
        <w:tab/>
      </w:r>
      <w:r w:rsidRPr="005C611F">
        <w:rPr>
          <w:rFonts w:eastAsiaTheme="minorHAnsi" w:cstheme="minorBidi"/>
          <w:i/>
          <w:sz w:val="23"/>
          <w:szCs w:val="23"/>
          <w:rtl/>
        </w:rPr>
        <w:tab/>
      </w:r>
      <w:r w:rsidRPr="005C611F">
        <w:rPr>
          <w:rFonts w:hint="cs"/>
          <w:i/>
          <w:sz w:val="23"/>
          <w:szCs w:val="23"/>
          <w:rtl/>
        </w:rPr>
        <w:t xml:space="preserve">(۱۶. ۶) </w:t>
      </w:r>
    </w:p>
    <w:p w14:paraId="1B12715B"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از معادله</w:t>
      </w:r>
      <w:r w:rsidRPr="005C611F">
        <w:rPr>
          <w:rFonts w:hint="cs"/>
          <w:i/>
          <w:sz w:val="23"/>
          <w:szCs w:val="23"/>
          <w:rtl/>
        </w:rPr>
        <w:softHyphen/>
        <w:t>ی (۱۶. ۵) و (۱۶. ۶) سیستم خطی زیر را به دست می‌آوریم.</w:t>
      </w:r>
    </w:p>
    <w:p w14:paraId="2D9369FB" w14:textId="77777777" w:rsidR="00556C10" w:rsidRPr="005C611F" w:rsidRDefault="00556C10" w:rsidP="00556C10">
      <w:pPr>
        <w:tabs>
          <w:tab w:val="left" w:pos="90"/>
        </w:tabs>
        <w:bidi w:val="0"/>
        <w:spacing w:line="216" w:lineRule="auto"/>
        <w:rPr>
          <w:i/>
          <w:sz w:val="23"/>
          <w:szCs w:val="23"/>
          <w:rtl/>
        </w:rPr>
      </w:pPr>
      <w:r w:rsidRPr="00F4704A">
        <w:rPr>
          <w:position w:val="-104"/>
        </w:rPr>
        <w:object w:dxaOrig="5120" w:dyaOrig="2180" w14:anchorId="033E2FE2">
          <v:shape id="_x0000_i8068" type="#_x0000_t75" style="width:255.95pt;height:108.9pt" o:ole="">
            <v:imagedata r:id="rId14211" o:title=""/>
          </v:shape>
          <o:OLEObject Type="Embed" ProgID="Equation.DSMT4" ShapeID="_x0000_i8068" DrawAspect="Content" ObjectID="_1791382011" r:id="rId14212"/>
        </w:object>
      </w:r>
      <w:r>
        <w:rPr>
          <w:rtl/>
        </w:rPr>
        <w:tab/>
      </w:r>
      <w:r>
        <w:rPr>
          <w:rFonts w:eastAsiaTheme="minorHAnsi" w:cstheme="minorBidi"/>
          <w:i/>
          <w:sz w:val="23"/>
          <w:szCs w:val="23"/>
          <w:rtl/>
        </w:rPr>
        <w:tab/>
      </w:r>
      <w:r w:rsidRPr="005C611F">
        <w:rPr>
          <w:rFonts w:eastAsiaTheme="minorHAnsi" w:cstheme="minorBidi"/>
          <w:i/>
          <w:sz w:val="23"/>
          <w:szCs w:val="23"/>
          <w:rtl/>
        </w:rPr>
        <w:tab/>
      </w:r>
      <w:r w:rsidRPr="005C611F">
        <w:rPr>
          <w:rFonts w:hint="cs"/>
          <w:i/>
          <w:sz w:val="23"/>
          <w:szCs w:val="23"/>
          <w:rtl/>
        </w:rPr>
        <w:t>(۱۶. ۷)</w:t>
      </w:r>
    </w:p>
    <w:p w14:paraId="0B558553"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و یا در شکل ماتریسی خواهیم داشت</w:t>
      </w:r>
    </w:p>
    <w:p w14:paraId="6AE86B09" w14:textId="77777777" w:rsidR="00556C10" w:rsidRPr="005C611F" w:rsidRDefault="00556C10" w:rsidP="00556C10">
      <w:pPr>
        <w:tabs>
          <w:tab w:val="left" w:pos="90"/>
        </w:tabs>
        <w:bidi w:val="0"/>
        <w:spacing w:line="216" w:lineRule="auto"/>
        <w:rPr>
          <w:i/>
          <w:sz w:val="23"/>
          <w:szCs w:val="23"/>
          <w:rtl/>
        </w:rPr>
      </w:pPr>
      <w:r w:rsidRPr="00F4704A">
        <w:rPr>
          <w:position w:val="-10"/>
        </w:rPr>
        <w:object w:dxaOrig="1820" w:dyaOrig="320" w14:anchorId="03BF9E83">
          <v:shape id="_x0000_i8069" type="#_x0000_t75" style="width:90.75pt;height:15.75pt" o:ole="">
            <v:imagedata r:id="rId14213" o:title=""/>
          </v:shape>
          <o:OLEObject Type="Embed" ProgID="Equation.DSMT4" ShapeID="_x0000_i8069" DrawAspect="Content" ObjectID="_1791382012" r:id="rId14214"/>
        </w:object>
      </w:r>
      <w:r w:rsidRPr="005C611F">
        <w:rPr>
          <w:i/>
          <w:sz w:val="23"/>
          <w:szCs w:val="23"/>
        </w:rPr>
        <w:tab/>
      </w:r>
      <w:r w:rsidRPr="005C611F">
        <w:rPr>
          <w:rFonts w:hint="cs"/>
          <w:i/>
          <w:sz w:val="23"/>
          <w:szCs w:val="23"/>
          <w:rtl/>
        </w:rPr>
        <w:tab/>
      </w:r>
      <w:r w:rsidRPr="005C611F">
        <w:rPr>
          <w:rFonts w:hint="cs"/>
          <w:i/>
          <w:sz w:val="23"/>
          <w:szCs w:val="23"/>
          <w:rtl/>
        </w:rPr>
        <w:tab/>
      </w:r>
      <w:r w:rsidRPr="005C611F">
        <w:rPr>
          <w:rFonts w:hint="cs"/>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Pr>
          <w:i/>
          <w:sz w:val="23"/>
          <w:szCs w:val="23"/>
          <w:rtl/>
        </w:rPr>
        <w:tab/>
      </w:r>
      <w:r w:rsidRPr="005C611F">
        <w:rPr>
          <w:i/>
          <w:sz w:val="23"/>
          <w:szCs w:val="23"/>
          <w:rtl/>
        </w:rPr>
        <w:tab/>
      </w:r>
      <w:r w:rsidRPr="005C611F">
        <w:rPr>
          <w:rFonts w:hint="cs"/>
          <w:i/>
          <w:sz w:val="23"/>
          <w:szCs w:val="23"/>
          <w:rtl/>
        </w:rPr>
        <w:tab/>
        <w:t>(۱۶. ۸)</w:t>
      </w:r>
    </w:p>
    <w:p w14:paraId="715F26B6"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که در آن</w:t>
      </w:r>
      <w:r w:rsidRPr="00F4704A">
        <w:rPr>
          <w:position w:val="-12"/>
        </w:rPr>
        <w:object w:dxaOrig="1460" w:dyaOrig="360" w14:anchorId="6930BDEA">
          <v:shape id="_x0000_i8070" type="#_x0000_t75" style="width:73.2pt;height:18.15pt" o:ole="">
            <v:imagedata r:id="rId14215" o:title=""/>
          </v:shape>
          <o:OLEObject Type="Embed" ProgID="Equation.DSMT4" ShapeID="_x0000_i8070" DrawAspect="Content" ObjectID="_1791382013" r:id="rId14216"/>
        </w:object>
      </w:r>
      <w:r w:rsidRPr="005C611F">
        <w:rPr>
          <w:rFonts w:hint="cs"/>
          <w:i/>
          <w:sz w:val="23"/>
          <w:szCs w:val="23"/>
          <w:rtl/>
        </w:rPr>
        <w:t>،</w:t>
      </w:r>
      <w:r w:rsidRPr="00025957">
        <w:rPr>
          <w:position w:val="-4"/>
        </w:rPr>
        <w:object w:dxaOrig="240" w:dyaOrig="240" w14:anchorId="0DF29EEE">
          <v:shape id="_x0000_i8071" type="#_x0000_t75" style="width:12.1pt;height:12.1pt" o:ole="">
            <v:imagedata r:id="rId14217" o:title=""/>
          </v:shape>
          <o:OLEObject Type="Embed" ProgID="Equation.DSMT4" ShapeID="_x0000_i8071" DrawAspect="Content" ObjectID="_1791382014" r:id="rId14218"/>
        </w:object>
      </w:r>
      <w:r w:rsidRPr="005C611F">
        <w:rPr>
          <w:rFonts w:eastAsiaTheme="minorHAnsi" w:cstheme="minorBidi" w:hint="cs"/>
          <w:i/>
          <w:sz w:val="23"/>
          <w:szCs w:val="23"/>
          <w:rtl/>
        </w:rPr>
        <w:t xml:space="preserve"> </w:t>
      </w:r>
      <w:r w:rsidRPr="005C611F">
        <w:rPr>
          <w:rFonts w:hint="cs"/>
          <w:i/>
          <w:sz w:val="23"/>
          <w:szCs w:val="23"/>
          <w:rtl/>
        </w:rPr>
        <w:t>و</w:t>
      </w:r>
      <w:r w:rsidRPr="00F4704A">
        <w:rPr>
          <w:position w:val="-6"/>
        </w:rPr>
        <w:object w:dxaOrig="220" w:dyaOrig="260" w14:anchorId="2FC7CE5A">
          <v:shape id="_x0000_i8072" type="#_x0000_t75" style="width:10.9pt;height:12.7pt" o:ole="">
            <v:imagedata r:id="rId14219" o:title=""/>
          </v:shape>
          <o:OLEObject Type="Embed" ProgID="Equation.DSMT4" ShapeID="_x0000_i8072" DrawAspect="Content" ObjectID="_1791382015" r:id="rId14220"/>
        </w:object>
      </w:r>
      <w:r w:rsidRPr="005C611F">
        <w:rPr>
          <w:rFonts w:hint="cs"/>
          <w:i/>
          <w:sz w:val="23"/>
          <w:szCs w:val="23"/>
          <w:rtl/>
        </w:rPr>
        <w:t xml:space="preserve"> ماتریس‌های</w:t>
      </w:r>
      <w:r w:rsidRPr="00025957">
        <w:rPr>
          <w:position w:val="-4"/>
        </w:rPr>
        <w:object w:dxaOrig="480" w:dyaOrig="240" w14:anchorId="1F442DE3">
          <v:shape id="_x0000_i8073" type="#_x0000_t75" style="width:24.2pt;height:12.1pt" o:ole="">
            <v:imagedata r:id="rId14221" o:title=""/>
          </v:shape>
          <o:OLEObject Type="Embed" ProgID="Equation.DSMT4" ShapeID="_x0000_i8073" DrawAspect="Content" ObjectID="_1791382016" r:id="rId14222"/>
        </w:object>
      </w:r>
      <w:r w:rsidRPr="005C611F">
        <w:rPr>
          <w:rFonts w:hint="cs"/>
          <w:i/>
          <w:sz w:val="23"/>
          <w:szCs w:val="23"/>
          <w:rtl/>
        </w:rPr>
        <w:t xml:space="preserve"> و</w:t>
      </w:r>
      <w:r w:rsidRPr="00025957">
        <w:rPr>
          <w:position w:val="-4"/>
        </w:rPr>
        <w:object w:dxaOrig="260" w:dyaOrig="240" w14:anchorId="15A1131E">
          <v:shape id="_x0000_i8074" type="#_x0000_t75" style="width:12.7pt;height:12.1pt" o:ole="">
            <v:imagedata r:id="rId14223" o:title=""/>
          </v:shape>
          <o:OLEObject Type="Embed" ProgID="Equation.DSMT4" ShapeID="_x0000_i8074" DrawAspect="Content" ObjectID="_1791382017" r:id="rId14224"/>
        </w:object>
      </w:r>
      <w:r w:rsidRPr="005C611F">
        <w:rPr>
          <w:i/>
          <w:sz w:val="23"/>
          <w:szCs w:val="23"/>
        </w:rPr>
        <w:t xml:space="preserve"> </w:t>
      </w:r>
      <w:r w:rsidRPr="005C611F">
        <w:rPr>
          <w:rFonts w:hint="cs"/>
          <w:i/>
          <w:sz w:val="23"/>
          <w:szCs w:val="23"/>
          <w:rtl/>
        </w:rPr>
        <w:t>بردار</w:t>
      </w:r>
      <w:r w:rsidRPr="00025957">
        <w:rPr>
          <w:position w:val="-4"/>
        </w:rPr>
        <w:object w:dxaOrig="440" w:dyaOrig="240" w14:anchorId="5F671B78">
          <v:shape id="_x0000_i8075" type="#_x0000_t75" style="width:21.8pt;height:12.1pt" o:ole="">
            <v:imagedata r:id="rId14225" o:title=""/>
          </v:shape>
          <o:OLEObject Type="Embed" ProgID="Equation.DSMT4" ShapeID="_x0000_i8075" DrawAspect="Content" ObjectID="_1791382018" r:id="rId14226"/>
        </w:object>
      </w:r>
      <w:r w:rsidRPr="005C611F">
        <w:rPr>
          <w:rFonts w:hint="cs"/>
          <w:i/>
          <w:sz w:val="23"/>
          <w:szCs w:val="23"/>
          <w:rtl/>
        </w:rPr>
        <w:t xml:space="preserve"> می‌باشند. می‌توان معادله</w:t>
      </w:r>
      <w:r w:rsidRPr="005C611F">
        <w:rPr>
          <w:rFonts w:hint="cs"/>
          <w:i/>
          <w:sz w:val="23"/>
          <w:szCs w:val="23"/>
          <w:rtl/>
        </w:rPr>
        <w:softHyphen/>
        <w:t>ی (۱۶. ۸) را به صورت زیر بازنویسی کرد</w:t>
      </w:r>
    </w:p>
    <w:p w14:paraId="6A5D0A6D" w14:textId="77777777" w:rsidR="00556C10" w:rsidRPr="005C611F" w:rsidRDefault="00556C10" w:rsidP="00556C10">
      <w:pPr>
        <w:tabs>
          <w:tab w:val="left" w:pos="90"/>
        </w:tabs>
        <w:bidi w:val="0"/>
        <w:spacing w:line="216" w:lineRule="auto"/>
        <w:rPr>
          <w:i/>
          <w:sz w:val="23"/>
          <w:szCs w:val="23"/>
          <w:rtl/>
        </w:rPr>
      </w:pPr>
      <w:r w:rsidRPr="00F4704A">
        <w:rPr>
          <w:position w:val="-10"/>
        </w:rPr>
        <w:object w:dxaOrig="1660" w:dyaOrig="320" w14:anchorId="1195C5EE">
          <v:shape id="_x0000_i8076" type="#_x0000_t75" style="width:82.9pt;height:15.75pt" o:ole="">
            <v:imagedata r:id="rId14227" o:title=""/>
          </v:shape>
          <o:OLEObject Type="Embed" ProgID="Equation.DSMT4" ShapeID="_x0000_i8076" DrawAspect="Content" ObjectID="_1791382019" r:id="rId14228"/>
        </w:object>
      </w:r>
      <w:r w:rsidRPr="005C611F">
        <w:rPr>
          <w:rFonts w:hint="cs"/>
          <w:i/>
          <w:sz w:val="23"/>
          <w:szCs w:val="23"/>
          <w:rtl/>
        </w:rPr>
        <w:tab/>
      </w:r>
      <w:r w:rsidRPr="005C611F">
        <w:rPr>
          <w:rFonts w:hint="cs"/>
          <w:i/>
          <w:sz w:val="23"/>
          <w:szCs w:val="23"/>
          <w:rtl/>
        </w:rPr>
        <w:tab/>
      </w:r>
      <w:r w:rsidRPr="005C611F">
        <w:rPr>
          <w:i/>
          <w:sz w:val="23"/>
          <w:szCs w:val="23"/>
        </w:rPr>
        <w:tab/>
      </w:r>
      <w:r w:rsidRPr="005C611F">
        <w:rPr>
          <w:rFonts w:hint="cs"/>
          <w:i/>
          <w:sz w:val="23"/>
          <w:szCs w:val="23"/>
          <w:rtl/>
        </w:rPr>
        <w:tab/>
      </w:r>
      <w:r w:rsidRPr="005C611F">
        <w:rPr>
          <w:rFonts w:hint="cs"/>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i/>
          <w:sz w:val="23"/>
          <w:szCs w:val="23"/>
          <w:rtl/>
        </w:rPr>
        <w:tab/>
      </w:r>
      <w:r>
        <w:rPr>
          <w:i/>
          <w:sz w:val="23"/>
          <w:szCs w:val="23"/>
          <w:rtl/>
        </w:rPr>
        <w:tab/>
      </w:r>
      <w:r>
        <w:rPr>
          <w:i/>
          <w:sz w:val="23"/>
          <w:szCs w:val="23"/>
          <w:rtl/>
        </w:rPr>
        <w:tab/>
      </w:r>
      <w:r w:rsidRPr="005C611F">
        <w:rPr>
          <w:i/>
          <w:sz w:val="23"/>
          <w:szCs w:val="23"/>
          <w:rtl/>
        </w:rPr>
        <w:tab/>
      </w:r>
      <w:r w:rsidRPr="005C611F">
        <w:rPr>
          <w:i/>
          <w:sz w:val="23"/>
          <w:szCs w:val="23"/>
          <w:rtl/>
        </w:rPr>
        <w:tab/>
      </w:r>
      <w:r w:rsidRPr="005C611F">
        <w:rPr>
          <w:i/>
          <w:sz w:val="23"/>
          <w:szCs w:val="23"/>
          <w:rtl/>
        </w:rPr>
        <w:tab/>
      </w:r>
      <w:r w:rsidRPr="005C611F">
        <w:rPr>
          <w:rFonts w:hint="cs"/>
          <w:i/>
          <w:sz w:val="23"/>
          <w:szCs w:val="23"/>
          <w:rtl/>
        </w:rPr>
        <w:t>(۱۶. ۹)</w:t>
      </w:r>
    </w:p>
    <w:p w14:paraId="0E65F09C"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که در آن</w:t>
      </w:r>
      <w:r w:rsidRPr="00F4704A">
        <w:rPr>
          <w:position w:val="-6"/>
        </w:rPr>
        <w:object w:dxaOrig="940" w:dyaOrig="300" w14:anchorId="39D6EE30">
          <v:shape id="_x0000_i8077" type="#_x0000_t75" style="width:47.2pt;height:15.15pt" o:ole="">
            <v:imagedata r:id="rId14229" o:title=""/>
          </v:shape>
          <o:OLEObject Type="Embed" ProgID="Equation.DSMT4" ShapeID="_x0000_i8077" DrawAspect="Content" ObjectID="_1791382020" r:id="rId14230"/>
        </w:object>
      </w:r>
      <w:r w:rsidRPr="005C611F">
        <w:rPr>
          <w:rFonts w:hint="cs"/>
          <w:i/>
          <w:sz w:val="23"/>
          <w:szCs w:val="23"/>
          <w:rtl/>
        </w:rPr>
        <w:t xml:space="preserve"> و</w:t>
      </w:r>
      <w:r w:rsidRPr="00025957">
        <w:rPr>
          <w:position w:val="-4"/>
        </w:rPr>
        <w:object w:dxaOrig="960" w:dyaOrig="279" w14:anchorId="057C8028">
          <v:shape id="_x0000_i8078" type="#_x0000_t75" style="width:47.8pt;height:13.9pt" o:ole="">
            <v:imagedata r:id="rId14231" o:title=""/>
          </v:shape>
          <o:OLEObject Type="Embed" ProgID="Equation.DSMT4" ShapeID="_x0000_i8078" DrawAspect="Content" ObjectID="_1791382021" r:id="rId14232"/>
        </w:object>
      </w:r>
      <w:r w:rsidRPr="005C611F">
        <w:rPr>
          <w:rFonts w:hint="cs"/>
          <w:i/>
          <w:sz w:val="23"/>
          <w:szCs w:val="23"/>
          <w:rtl/>
        </w:rPr>
        <w:t xml:space="preserve"> می‌باشد. </w:t>
      </w:r>
    </w:p>
    <w:p w14:paraId="77CC518F"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اکنون با معرفی اپراتور وقفه </w:t>
      </w:r>
      <w:r w:rsidRPr="005C611F">
        <w:rPr>
          <w:i/>
          <w:sz w:val="23"/>
          <w:szCs w:val="23"/>
        </w:rPr>
        <w:t>L</w:t>
      </w:r>
      <w:r w:rsidRPr="005C611F">
        <w:rPr>
          <w:rFonts w:hint="cs"/>
          <w:i/>
          <w:sz w:val="23"/>
          <w:szCs w:val="23"/>
          <w:rtl/>
        </w:rPr>
        <w:t xml:space="preserve"> و این‌که داریم</w:t>
      </w:r>
      <w:r w:rsidRPr="00F4704A">
        <w:rPr>
          <w:position w:val="-10"/>
        </w:rPr>
        <w:object w:dxaOrig="1260" w:dyaOrig="340" w14:anchorId="144D3468">
          <v:shape id="_x0000_i8079" type="#_x0000_t75" style="width:62.9pt;height:16.95pt" o:ole="">
            <v:imagedata r:id="rId14233" o:title=""/>
          </v:shape>
          <o:OLEObject Type="Embed" ProgID="Equation.DSMT4" ShapeID="_x0000_i8079" DrawAspect="Content" ObjectID="_1791382022" r:id="rId14234"/>
        </w:object>
      </w:r>
      <w:r w:rsidRPr="005C611F">
        <w:rPr>
          <w:rFonts w:hint="cs"/>
          <w:i/>
          <w:sz w:val="23"/>
          <w:szCs w:val="23"/>
          <w:rtl/>
        </w:rPr>
        <w:t>، سیستم (۱۶. ۹) را می‌توان به صورت زیر بازنویسی کرد.</w:t>
      </w:r>
    </w:p>
    <w:p w14:paraId="7461C053" w14:textId="77777777" w:rsidR="00556C10" w:rsidRPr="005C611F" w:rsidRDefault="00556C10" w:rsidP="00556C10">
      <w:pPr>
        <w:tabs>
          <w:tab w:val="left" w:pos="0"/>
        </w:tabs>
        <w:bidi w:val="0"/>
        <w:spacing w:line="216" w:lineRule="auto"/>
        <w:rPr>
          <w:i/>
          <w:sz w:val="23"/>
          <w:szCs w:val="23"/>
          <w:rtl/>
        </w:rPr>
      </w:pPr>
      <w:r w:rsidRPr="00F4704A">
        <w:rPr>
          <w:position w:val="-16"/>
        </w:rPr>
        <w:object w:dxaOrig="1719" w:dyaOrig="420" w14:anchorId="70E04442">
          <v:shape id="_x0000_i8080" type="#_x0000_t75" style="width:85.9pt;height:21.2pt" o:ole="">
            <v:imagedata r:id="rId14235" o:title=""/>
          </v:shape>
          <o:OLEObject Type="Embed" ProgID="Equation.DSMT4" ShapeID="_x0000_i8080" DrawAspect="Content" ObjectID="_1791382023" r:id="rId14236"/>
        </w:object>
      </w:r>
      <w:r w:rsidRPr="005C611F">
        <w:rPr>
          <w:rFonts w:hint="cs"/>
          <w:i/>
          <w:sz w:val="23"/>
          <w:szCs w:val="23"/>
          <w:rtl/>
        </w:rPr>
        <w:tab/>
      </w:r>
      <w:r w:rsidRPr="005C611F">
        <w:rPr>
          <w:rFonts w:hint="cs"/>
          <w:i/>
          <w:sz w:val="23"/>
          <w:szCs w:val="23"/>
          <w:rtl/>
        </w:rPr>
        <w:tab/>
      </w:r>
      <w:r w:rsidRPr="005C611F">
        <w:rPr>
          <w:i/>
          <w:sz w:val="23"/>
          <w:szCs w:val="23"/>
        </w:rPr>
        <w:tab/>
      </w:r>
      <w:r w:rsidRPr="005C611F">
        <w:rPr>
          <w:i/>
          <w:sz w:val="23"/>
          <w:szCs w:val="23"/>
        </w:rPr>
        <w:tab/>
      </w:r>
      <w:r w:rsidRPr="005C611F">
        <w:rPr>
          <w:i/>
          <w:sz w:val="23"/>
          <w:szCs w:val="23"/>
        </w:rPr>
        <w:tab/>
      </w:r>
      <w:r w:rsidRPr="005C611F">
        <w:rPr>
          <w:i/>
          <w:sz w:val="23"/>
          <w:szCs w:val="23"/>
        </w:rPr>
        <w:tab/>
      </w:r>
      <w:r w:rsidRPr="005C611F">
        <w:rPr>
          <w:i/>
          <w:sz w:val="23"/>
          <w:szCs w:val="23"/>
        </w:rPr>
        <w:tab/>
      </w:r>
      <w:r w:rsidRPr="005C611F">
        <w:rPr>
          <w:i/>
          <w:sz w:val="23"/>
          <w:szCs w:val="23"/>
        </w:rPr>
        <w:tab/>
      </w:r>
      <w:r w:rsidRPr="005C611F">
        <w:rPr>
          <w:i/>
          <w:sz w:val="23"/>
          <w:szCs w:val="23"/>
        </w:rPr>
        <w:tab/>
      </w:r>
      <w:r w:rsidRPr="005C611F">
        <w:rPr>
          <w:i/>
          <w:sz w:val="23"/>
          <w:szCs w:val="23"/>
        </w:rPr>
        <w:tab/>
      </w:r>
      <w:r w:rsidRPr="005C611F">
        <w:rPr>
          <w:i/>
          <w:sz w:val="23"/>
          <w:szCs w:val="23"/>
        </w:rPr>
        <w:tab/>
      </w:r>
      <w:r w:rsidRPr="005C611F">
        <w:rPr>
          <w:i/>
          <w:sz w:val="23"/>
          <w:szCs w:val="23"/>
        </w:rPr>
        <w:tab/>
      </w:r>
      <w:r>
        <w:rPr>
          <w:i/>
          <w:sz w:val="23"/>
          <w:szCs w:val="23"/>
          <w:rtl/>
        </w:rPr>
        <w:tab/>
      </w:r>
      <w:r w:rsidRPr="005C611F">
        <w:rPr>
          <w:rFonts w:hint="cs"/>
          <w:i/>
          <w:sz w:val="23"/>
          <w:szCs w:val="23"/>
          <w:rtl/>
        </w:rPr>
        <w:tab/>
      </w:r>
      <w:r w:rsidRPr="005C611F">
        <w:rPr>
          <w:rFonts w:hint="cs"/>
          <w:i/>
          <w:sz w:val="23"/>
          <w:szCs w:val="23"/>
          <w:rtl/>
        </w:rPr>
        <w:tab/>
      </w:r>
      <w:r w:rsidRPr="005C611F">
        <w:rPr>
          <w:i/>
          <w:sz w:val="23"/>
          <w:szCs w:val="23"/>
        </w:rPr>
        <w:t xml:space="preserve"> </w:t>
      </w:r>
      <w:r w:rsidRPr="005C611F">
        <w:rPr>
          <w:rFonts w:hint="cs"/>
          <w:i/>
          <w:sz w:val="23"/>
          <w:szCs w:val="23"/>
          <w:rtl/>
        </w:rPr>
        <w:t>(۱۶. ۱۰)</w:t>
      </w:r>
    </w:p>
    <w:p w14:paraId="651C2736"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حل پویای معادله</w:t>
      </w:r>
      <w:r w:rsidRPr="005C611F">
        <w:rPr>
          <w:i/>
          <w:sz w:val="23"/>
          <w:szCs w:val="23"/>
          <w:rtl/>
        </w:rPr>
        <w:softHyphen/>
      </w:r>
      <w:r w:rsidRPr="005C611F">
        <w:rPr>
          <w:rFonts w:hint="cs"/>
          <w:i/>
          <w:sz w:val="23"/>
          <w:szCs w:val="23"/>
          <w:rtl/>
        </w:rPr>
        <w:t>ی (۱۶. ۱۰</w:t>
      </w:r>
      <w:r w:rsidRPr="005C611F">
        <w:rPr>
          <w:i/>
          <w:sz w:val="23"/>
          <w:szCs w:val="23"/>
        </w:rPr>
        <w:t>(</w:t>
      </w:r>
      <w:r w:rsidRPr="005C611F">
        <w:rPr>
          <w:rFonts w:hint="cs"/>
          <w:i/>
          <w:sz w:val="23"/>
          <w:szCs w:val="23"/>
          <w:rtl/>
        </w:rPr>
        <w:t xml:space="preserve"> به ریشه‌های ماترس </w:t>
      </w:r>
      <w:r w:rsidRPr="005C611F">
        <w:rPr>
          <w:i/>
          <w:sz w:val="23"/>
          <w:szCs w:val="23"/>
        </w:rPr>
        <w:t>A</w:t>
      </w:r>
      <w:r w:rsidRPr="005C611F">
        <w:rPr>
          <w:rFonts w:hint="cs"/>
          <w:i/>
          <w:sz w:val="23"/>
          <w:szCs w:val="23"/>
          <w:rtl/>
        </w:rPr>
        <w:t xml:space="preserve"> وابسته است که به صورت زیر به دست می‌آید:</w:t>
      </w:r>
    </w:p>
    <w:p w14:paraId="04193496" w14:textId="77777777" w:rsidR="00556C10" w:rsidRPr="005C611F" w:rsidRDefault="00556C10" w:rsidP="00556C10">
      <w:pPr>
        <w:tabs>
          <w:tab w:val="left" w:pos="90"/>
        </w:tabs>
        <w:bidi w:val="0"/>
        <w:spacing w:line="216" w:lineRule="auto"/>
        <w:rPr>
          <w:i/>
          <w:sz w:val="23"/>
          <w:szCs w:val="23"/>
          <w:rtl/>
        </w:rPr>
      </w:pPr>
      <w:r w:rsidRPr="00F4704A">
        <w:rPr>
          <w:position w:val="-12"/>
        </w:rPr>
        <w:object w:dxaOrig="1880" w:dyaOrig="360" w14:anchorId="66A786F1">
          <v:shape id="_x0000_i8081" type="#_x0000_t75" style="width:93.8pt;height:18.15pt" o:ole="">
            <v:imagedata r:id="rId14237" o:title=""/>
          </v:shape>
          <o:OLEObject Type="Embed" ProgID="Equation.DSMT4" ShapeID="_x0000_i8081" DrawAspect="Content" ObjectID="_1791382024" r:id="rId14238"/>
        </w:object>
      </w:r>
      <w:r w:rsidRPr="005C611F">
        <w:rPr>
          <w:rFonts w:hint="cs"/>
          <w:i/>
          <w:sz w:val="23"/>
          <w:szCs w:val="23"/>
          <w:rtl/>
        </w:rPr>
        <w:t xml:space="preserve"> </w:t>
      </w:r>
    </w:p>
    <w:p w14:paraId="56031C88"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و دارای دو ریشه می‌باشد</w:t>
      </w:r>
      <w:r w:rsidRPr="005C611F">
        <w:rPr>
          <w:i/>
          <w:sz w:val="23"/>
          <w:szCs w:val="23"/>
        </w:rPr>
        <w:t>.</w:t>
      </w:r>
      <w:r w:rsidRPr="005C611F">
        <w:rPr>
          <w:rFonts w:hint="cs"/>
          <w:i/>
          <w:sz w:val="23"/>
          <w:szCs w:val="23"/>
          <w:rtl/>
        </w:rPr>
        <w:t xml:space="preserve"> با </w:t>
      </w:r>
      <w:r w:rsidRPr="00025957">
        <w:rPr>
          <w:position w:val="-4"/>
        </w:rPr>
        <w:object w:dxaOrig="540" w:dyaOrig="240" w14:anchorId="43F0CC34">
          <v:shape id="_x0000_i8082" type="#_x0000_t75" style="width:27.25pt;height:12.1pt" o:ole="">
            <v:imagedata r:id="rId14239" o:title=""/>
          </v:shape>
          <o:OLEObject Type="Embed" ProgID="Equation.DSMT4" ShapeID="_x0000_i8082" DrawAspect="Content" ObjectID="_1791382025" r:id="rId14240"/>
        </w:object>
      </w:r>
      <w:r w:rsidRPr="005C611F">
        <w:rPr>
          <w:rFonts w:hint="cs"/>
          <w:i/>
          <w:sz w:val="23"/>
          <w:szCs w:val="23"/>
          <w:rtl/>
        </w:rPr>
        <w:t xml:space="preserve"> سه حالت وجود دارد</w:t>
      </w:r>
      <w:r w:rsidRPr="005C611F">
        <w:rPr>
          <w:i/>
          <w:sz w:val="23"/>
          <w:szCs w:val="23"/>
        </w:rPr>
        <w:t>:</w:t>
      </w:r>
    </w:p>
    <w:p w14:paraId="506A7688"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الف) </w:t>
      </w:r>
      <w:r w:rsidRPr="00F4704A">
        <w:rPr>
          <w:position w:val="-12"/>
        </w:rPr>
        <w:object w:dxaOrig="1600" w:dyaOrig="360" w14:anchorId="07D6BC03">
          <v:shape id="_x0000_i8083" type="#_x0000_t75" style="width:79.85pt;height:18.15pt" o:ole="">
            <v:imagedata r:id="rId14241" o:title=""/>
          </v:shape>
          <o:OLEObject Type="Embed" ProgID="Equation.DSMT4" ShapeID="_x0000_i8083" DrawAspect="Content" ObjectID="_1791382026" r:id="rId14242"/>
        </w:object>
      </w:r>
      <w:r w:rsidRPr="005C611F">
        <w:rPr>
          <w:i/>
          <w:sz w:val="23"/>
          <w:szCs w:val="23"/>
        </w:rPr>
        <w:t xml:space="preserve"> </w:t>
      </w:r>
      <w:r w:rsidRPr="005C611F">
        <w:rPr>
          <w:rFonts w:hint="cs"/>
          <w:i/>
          <w:sz w:val="23"/>
          <w:szCs w:val="23"/>
          <w:rtl/>
        </w:rPr>
        <w:t>که در آن هر دو ریشه یا باثبات و یا بی</w:t>
      </w:r>
      <w:r w:rsidRPr="005C611F">
        <w:rPr>
          <w:i/>
          <w:sz w:val="23"/>
          <w:szCs w:val="23"/>
          <w:rtl/>
        </w:rPr>
        <w:softHyphen/>
      </w:r>
      <w:r w:rsidRPr="005C611F">
        <w:rPr>
          <w:rFonts w:hint="cs"/>
          <w:i/>
          <w:sz w:val="23"/>
          <w:szCs w:val="23"/>
          <w:rtl/>
        </w:rPr>
        <w:t>ثبات است.</w:t>
      </w:r>
    </w:p>
    <w:p w14:paraId="1F52132E"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ب)</w:t>
      </w:r>
      <w:r w:rsidRPr="00F4704A">
        <w:rPr>
          <w:position w:val="-12"/>
        </w:rPr>
        <w:object w:dxaOrig="1600" w:dyaOrig="360" w14:anchorId="53F77FC1">
          <v:shape id="_x0000_i8084" type="#_x0000_t75" style="width:79.85pt;height:18.15pt" o:ole="">
            <v:imagedata r:id="rId14243" o:title=""/>
          </v:shape>
          <o:OLEObject Type="Embed" ProgID="Equation.DSMT4" ShapeID="_x0000_i8084" DrawAspect="Content" ObjectID="_1791382027" r:id="rId14244"/>
        </w:object>
      </w:r>
      <w:r w:rsidRPr="005C611F">
        <w:rPr>
          <w:i/>
          <w:sz w:val="23"/>
          <w:szCs w:val="23"/>
        </w:rPr>
        <w:t xml:space="preserve"> </w:t>
      </w:r>
      <w:r w:rsidRPr="005C611F">
        <w:rPr>
          <w:rFonts w:hint="cs"/>
          <w:i/>
          <w:sz w:val="23"/>
          <w:szCs w:val="23"/>
          <w:rtl/>
        </w:rPr>
        <w:t>که نشان دهنده</w:t>
      </w:r>
      <w:r w:rsidRPr="005C611F">
        <w:rPr>
          <w:rFonts w:hint="cs"/>
          <w:i/>
          <w:sz w:val="23"/>
          <w:szCs w:val="23"/>
          <w:rtl/>
        </w:rPr>
        <w:softHyphen/>
        <w:t>ی حل مسیر زینی است که در آن یکی از ریشه</w:t>
      </w:r>
      <w:r w:rsidRPr="005C611F">
        <w:rPr>
          <w:rFonts w:hint="cs"/>
          <w:i/>
          <w:sz w:val="23"/>
          <w:szCs w:val="23"/>
          <w:rtl/>
        </w:rPr>
        <w:softHyphen/>
        <w:t>ها با ثبات و دیگری بی</w:t>
      </w:r>
      <w:r w:rsidRPr="005C611F">
        <w:rPr>
          <w:rFonts w:hint="cs"/>
          <w:i/>
          <w:sz w:val="23"/>
          <w:szCs w:val="23"/>
          <w:rtl/>
        </w:rPr>
        <w:softHyphen/>
        <w:t>ثبات است.</w:t>
      </w:r>
    </w:p>
    <w:p w14:paraId="2AB68209"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ج)</w:t>
      </w:r>
      <w:r w:rsidRPr="005C611F">
        <w:rPr>
          <w:i/>
          <w:sz w:val="23"/>
          <w:szCs w:val="23"/>
        </w:rPr>
        <w:t xml:space="preserve"> </w:t>
      </w:r>
      <w:r w:rsidRPr="00F4704A">
        <w:rPr>
          <w:position w:val="-12"/>
        </w:rPr>
        <w:object w:dxaOrig="1600" w:dyaOrig="360" w14:anchorId="58ECDF96">
          <v:shape id="_x0000_i8085" type="#_x0000_t75" style="width:79.85pt;height:18.15pt" o:ole="">
            <v:imagedata r:id="rId14245" o:title=""/>
          </v:shape>
          <o:OLEObject Type="Embed" ProgID="Equation.DSMT4" ShapeID="_x0000_i8085" DrawAspect="Content" ObjectID="_1791382028" r:id="rId14246"/>
        </w:object>
      </w:r>
      <w:r w:rsidRPr="005C611F">
        <w:rPr>
          <w:rFonts w:hint="cs"/>
          <w:i/>
          <w:sz w:val="23"/>
          <w:szCs w:val="23"/>
          <w:rtl/>
        </w:rPr>
        <w:t>که حداقل یکی از ریشه</w:t>
      </w:r>
      <w:r w:rsidRPr="005C611F">
        <w:rPr>
          <w:rFonts w:hint="cs"/>
          <w:i/>
          <w:sz w:val="23"/>
          <w:szCs w:val="23"/>
          <w:rtl/>
        </w:rPr>
        <w:softHyphen/>
        <w:t>ها برابر با واحد است.</w:t>
      </w:r>
    </w:p>
    <w:p w14:paraId="36A76132"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با فرض این‌که</w:t>
      </w:r>
      <w:r w:rsidRPr="00F4704A">
        <w:rPr>
          <w:position w:val="-6"/>
        </w:rPr>
        <w:object w:dxaOrig="900" w:dyaOrig="260" w14:anchorId="124A5A7B">
          <v:shape id="_x0000_i8086" type="#_x0000_t75" style="width:45.4pt;height:13.3pt" o:ole="">
            <v:imagedata r:id="rId14247" o:title=""/>
          </v:shape>
          <o:OLEObject Type="Embed" ProgID="Equation.DSMT4" ShapeID="_x0000_i8086" DrawAspect="Content" ObjectID="_1791382029" r:id="rId14248"/>
        </w:object>
      </w:r>
      <w:r w:rsidRPr="005C611F">
        <w:rPr>
          <w:rFonts w:hint="cs"/>
          <w:i/>
          <w:sz w:val="23"/>
          <w:szCs w:val="23"/>
          <w:rtl/>
        </w:rPr>
        <w:t xml:space="preserve"> که شرط لازم است و نه کافی، می‌توان نشان داد که</w:t>
      </w:r>
    </w:p>
    <w:p w14:paraId="4E489168" w14:textId="77777777" w:rsidR="00556C10" w:rsidRPr="005C611F" w:rsidRDefault="00556C10" w:rsidP="00556C10">
      <w:pPr>
        <w:tabs>
          <w:tab w:val="left" w:pos="90"/>
        </w:tabs>
        <w:bidi w:val="0"/>
        <w:spacing w:line="216" w:lineRule="auto"/>
        <w:rPr>
          <w:i/>
          <w:sz w:val="23"/>
          <w:szCs w:val="23"/>
          <w:rtl/>
        </w:rPr>
      </w:pPr>
      <w:r w:rsidRPr="00F4704A">
        <w:rPr>
          <w:position w:val="-32"/>
        </w:rPr>
        <w:object w:dxaOrig="6200" w:dyaOrig="780" w14:anchorId="497DE41E">
          <v:shape id="_x0000_i8087" type="#_x0000_t75" style="width:309.8pt;height:39.35pt" o:ole="">
            <v:imagedata r:id="rId14249" o:title=""/>
          </v:shape>
          <o:OLEObject Type="Embed" ProgID="Equation.DSMT4" ShapeID="_x0000_i8087" DrawAspect="Content" ObjectID="_1791382030" r:id="rId14250"/>
        </w:object>
      </w:r>
    </w:p>
    <w:p w14:paraId="50FF1F3E"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لذا هر دو ریشه </w:t>
      </w:r>
      <w:r w:rsidRPr="00F4704A">
        <w:rPr>
          <w:position w:val="-10"/>
        </w:rPr>
        <w:object w:dxaOrig="580" w:dyaOrig="320" w14:anchorId="7DA53F04">
          <v:shape id="_x0000_i8088" type="#_x0000_t75" style="width:29.05pt;height:15.75pt" o:ole="">
            <v:imagedata r:id="rId14251" o:title=""/>
          </v:shape>
          <o:OLEObject Type="Embed" ProgID="Equation.DSMT4" ShapeID="_x0000_i8088" DrawAspect="Content" ObjectID="_1791382031" r:id="rId14252"/>
        </w:object>
      </w:r>
      <w:r w:rsidRPr="005C611F">
        <w:rPr>
          <w:i/>
          <w:sz w:val="23"/>
          <w:szCs w:val="23"/>
        </w:rPr>
        <w:t xml:space="preserve"> </w:t>
      </w:r>
      <w:r w:rsidRPr="005C611F">
        <w:rPr>
          <w:rFonts w:hint="cs"/>
          <w:i/>
          <w:sz w:val="23"/>
          <w:szCs w:val="23"/>
          <w:rtl/>
        </w:rPr>
        <w:t xml:space="preserve">و </w:t>
      </w:r>
      <w:r w:rsidRPr="00F4704A">
        <w:rPr>
          <w:position w:val="-10"/>
        </w:rPr>
        <w:object w:dxaOrig="580" w:dyaOrig="320" w14:anchorId="476F80C7">
          <v:shape id="_x0000_i8089" type="#_x0000_t75" style="width:29.05pt;height:15.75pt" o:ole="">
            <v:imagedata r:id="rId14253" o:title=""/>
          </v:shape>
          <o:OLEObject Type="Embed" ProgID="Equation.DSMT4" ShapeID="_x0000_i8089" DrawAspect="Content" ObjectID="_1791382032" r:id="rId14254"/>
        </w:object>
      </w:r>
      <w:r w:rsidRPr="005C611F">
        <w:rPr>
          <w:rFonts w:hint="cs"/>
          <w:i/>
          <w:sz w:val="23"/>
          <w:szCs w:val="23"/>
          <w:rtl/>
        </w:rPr>
        <w:t xml:space="preserve"> خواهند بود. بنابراین پویایی‌های کوتاه‌مدت در اطراف مسیر رشد در وضعیت یکنواخت دارای مسیر زینی است. بنابراین معادله‌ی (۱۶. ۱۰) را می‌توان به صورت زیر بازنویسی کرد.</w:t>
      </w:r>
    </w:p>
    <w:p w14:paraId="665E6CE8" w14:textId="77777777" w:rsidR="00556C10" w:rsidRPr="005C611F" w:rsidRDefault="00556C10" w:rsidP="00556C10">
      <w:pPr>
        <w:tabs>
          <w:tab w:val="left" w:pos="90"/>
        </w:tabs>
        <w:bidi w:val="0"/>
        <w:spacing w:line="216" w:lineRule="auto"/>
        <w:rPr>
          <w:i/>
          <w:sz w:val="23"/>
          <w:szCs w:val="23"/>
          <w:rtl/>
        </w:rPr>
      </w:pPr>
      <w:r w:rsidRPr="00F4704A">
        <w:rPr>
          <w:position w:val="-28"/>
        </w:rPr>
        <w:object w:dxaOrig="3600" w:dyaOrig="680" w14:anchorId="1BAC23BE">
          <v:shape id="_x0000_i8090" type="#_x0000_t75" style="width:180.3pt;height:33.9pt" o:ole="">
            <v:imagedata r:id="rId14255" o:title=""/>
          </v:shape>
          <o:OLEObject Type="Embed" ProgID="Equation.DSMT4" ShapeID="_x0000_i8090" DrawAspect="Content" ObjectID="_1791382033" r:id="rId14256"/>
        </w:object>
      </w:r>
    </w:p>
    <w:p w14:paraId="4F84E2E3"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لذا</w:t>
      </w:r>
    </w:p>
    <w:p w14:paraId="3800F9CE" w14:textId="77777777" w:rsidR="00556C10" w:rsidRPr="005C611F" w:rsidRDefault="00556C10" w:rsidP="00556C10">
      <w:pPr>
        <w:bidi w:val="0"/>
        <w:spacing w:line="216" w:lineRule="auto"/>
        <w:rPr>
          <w:i/>
          <w:sz w:val="23"/>
          <w:szCs w:val="23"/>
          <w:rtl/>
        </w:rPr>
      </w:pPr>
      <w:r w:rsidRPr="00F4704A">
        <w:rPr>
          <w:position w:val="-58"/>
        </w:rPr>
        <w:object w:dxaOrig="3900" w:dyaOrig="1260" w14:anchorId="35E3F482">
          <v:shape id="_x0000_i8091" type="#_x0000_t75" style="width:194.8pt;height:62.9pt" o:ole="">
            <v:imagedata r:id="rId14257" o:title=""/>
          </v:shape>
          <o:OLEObject Type="Embed" ProgID="Equation.DSMT4" ShapeID="_x0000_i8091" DrawAspect="Content" ObjectID="_1791382034" r:id="rId14258"/>
        </w:object>
      </w:r>
      <w:r w:rsidRPr="005C611F">
        <w:rPr>
          <w:rFonts w:hint="cs"/>
          <w:i/>
          <w:sz w:val="23"/>
          <w:szCs w:val="23"/>
          <w:rtl/>
        </w:rPr>
        <w:t xml:space="preserve"> </w:t>
      </w:r>
      <w:r w:rsidRPr="005C611F">
        <w:rPr>
          <w:rFonts w:hint="cs"/>
          <w:i/>
          <w:sz w:val="23"/>
          <w:szCs w:val="23"/>
          <w:rtl/>
        </w:rPr>
        <w:tab/>
      </w:r>
      <w:r w:rsidRPr="005C611F">
        <w:rPr>
          <w:rFonts w:hint="cs"/>
          <w:i/>
          <w:sz w:val="23"/>
          <w:szCs w:val="23"/>
          <w:rtl/>
        </w:rPr>
        <w:tab/>
      </w:r>
      <w:r w:rsidRPr="005C611F">
        <w:rPr>
          <w:i/>
          <w:sz w:val="23"/>
          <w:szCs w:val="23"/>
        </w:rPr>
        <w:tab/>
      </w:r>
      <w:r w:rsidRPr="005C611F">
        <w:rPr>
          <w:i/>
          <w:sz w:val="23"/>
          <w:szCs w:val="23"/>
        </w:rPr>
        <w:tab/>
      </w:r>
      <w:r>
        <w:rPr>
          <w:i/>
          <w:sz w:val="23"/>
          <w:szCs w:val="23"/>
          <w:rtl/>
        </w:rPr>
        <w:tab/>
      </w:r>
      <w:r w:rsidRPr="005C611F">
        <w:rPr>
          <w:i/>
          <w:sz w:val="23"/>
          <w:szCs w:val="23"/>
        </w:rPr>
        <w:tab/>
      </w:r>
      <w:r w:rsidRPr="005C611F">
        <w:rPr>
          <w:i/>
          <w:sz w:val="23"/>
          <w:szCs w:val="23"/>
          <w:rtl/>
        </w:rPr>
        <w:tab/>
      </w:r>
      <w:r>
        <w:rPr>
          <w:i/>
          <w:sz w:val="23"/>
          <w:szCs w:val="23"/>
          <w:rtl/>
        </w:rPr>
        <w:tab/>
      </w:r>
      <w:r w:rsidRPr="005C611F">
        <w:rPr>
          <w:rFonts w:hint="cs"/>
          <w:i/>
          <w:sz w:val="23"/>
          <w:szCs w:val="23"/>
          <w:rtl/>
        </w:rPr>
        <w:t>(۱۶. ۱۱)</w:t>
      </w:r>
      <w:r w:rsidRPr="005C611F">
        <w:rPr>
          <w:rFonts w:hint="cs"/>
          <w:i/>
          <w:sz w:val="23"/>
          <w:szCs w:val="23"/>
        </w:rPr>
        <w:t xml:space="preserve"> </w:t>
      </w:r>
    </w:p>
    <w:p w14:paraId="187C176D"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باید توجه نمود که </w:t>
      </w:r>
      <w:r w:rsidRPr="00F4704A">
        <w:rPr>
          <w:position w:val="-14"/>
        </w:rPr>
        <w:object w:dxaOrig="2480" w:dyaOrig="380" w14:anchorId="0527F9D2">
          <v:shape id="_x0000_i8092" type="#_x0000_t75" style="width:124.05pt;height:18.75pt" o:ole="">
            <v:imagedata r:id="rId14259" o:title=""/>
          </v:shape>
          <o:OLEObject Type="Embed" ProgID="Equation.DSMT4" ShapeID="_x0000_i8092" DrawAspect="Content" ObjectID="_1791382035" r:id="rId14260"/>
        </w:object>
      </w:r>
      <w:r w:rsidRPr="005C611F">
        <w:rPr>
          <w:rFonts w:hint="cs"/>
          <w:i/>
          <w:sz w:val="23"/>
          <w:szCs w:val="23"/>
          <w:rtl/>
        </w:rPr>
        <w:t xml:space="preserve"> است. از آنجا که معادله</w:t>
      </w:r>
      <w:r w:rsidRPr="005C611F">
        <w:rPr>
          <w:rFonts w:hint="cs"/>
          <w:i/>
          <w:sz w:val="23"/>
          <w:szCs w:val="23"/>
          <w:rtl/>
        </w:rPr>
        <w:softHyphen/>
        <w:t>ی (۱۶. ۲) نشان می‌دهد که</w:t>
      </w:r>
      <w:r w:rsidRPr="00F4704A">
        <w:rPr>
          <w:position w:val="-10"/>
        </w:rPr>
        <w:object w:dxaOrig="960" w:dyaOrig="320" w14:anchorId="69A7918D">
          <v:shape id="_x0000_i8093" type="#_x0000_t75" style="width:47.8pt;height:15.75pt" o:ole="">
            <v:imagedata r:id="rId14261" o:title=""/>
          </v:shape>
          <o:OLEObject Type="Embed" ProgID="Equation.DSMT4" ShapeID="_x0000_i8093" DrawAspect="Content" ObjectID="_1791382036" r:id="rId14262"/>
        </w:object>
      </w:r>
      <w:r w:rsidRPr="005C611F">
        <w:rPr>
          <w:rFonts w:hint="cs"/>
          <w:i/>
          <w:sz w:val="23"/>
          <w:szCs w:val="23"/>
          <w:rtl/>
        </w:rPr>
        <w:t xml:space="preserve"> برای هر </w:t>
      </w:r>
      <w:r w:rsidRPr="00F4704A">
        <w:rPr>
          <w:position w:val="-6"/>
        </w:rPr>
        <w:object w:dxaOrig="499" w:dyaOrig="260" w14:anchorId="5C87CB20">
          <v:shape id="_x0000_i8094" type="#_x0000_t75" style="width:24.8pt;height:13.3pt" o:ole="">
            <v:imagedata r:id="rId14263" o:title=""/>
          </v:shape>
          <o:OLEObject Type="Embed" ProgID="Equation.DSMT4" ShapeID="_x0000_i8094" DrawAspect="Content" ObjectID="_1791382037" r:id="rId14264"/>
        </w:object>
      </w:r>
      <w:r w:rsidRPr="005C611F">
        <w:rPr>
          <w:rFonts w:hint="cs"/>
          <w:i/>
          <w:sz w:val="23"/>
          <w:szCs w:val="23"/>
          <w:rtl/>
        </w:rPr>
        <w:t xml:space="preserve"> و </w:t>
      </w:r>
      <w:r w:rsidRPr="00F4704A">
        <w:rPr>
          <w:position w:val="-10"/>
        </w:rPr>
        <w:object w:dxaOrig="740" w:dyaOrig="320" w14:anchorId="608882F5">
          <v:shape id="_x0000_i8095" type="#_x0000_t75" style="width:36.9pt;height:15.75pt" o:ole="">
            <v:imagedata r:id="rId14265" o:title=""/>
          </v:shape>
          <o:OLEObject Type="Embed" ProgID="Equation.DSMT4" ShapeID="_x0000_i8095" DrawAspect="Content" ObjectID="_1791382038" r:id="rId14266"/>
        </w:object>
      </w:r>
      <w:r w:rsidRPr="005C611F">
        <w:rPr>
          <w:rFonts w:hint="cs"/>
          <w:i/>
          <w:sz w:val="23"/>
          <w:szCs w:val="23"/>
          <w:rtl/>
        </w:rPr>
        <w:t xml:space="preserve"> است، معادله</w:t>
      </w:r>
      <w:r w:rsidRPr="005C611F">
        <w:rPr>
          <w:rFonts w:hint="cs"/>
          <w:i/>
          <w:sz w:val="23"/>
          <w:szCs w:val="23"/>
          <w:rtl/>
        </w:rPr>
        <w:softHyphen/>
        <w:t>ی (۱۶. ۱۱) را می‌توان به صورت زیر ساده نمود.</w:t>
      </w:r>
    </w:p>
    <w:p w14:paraId="6B9B5DED" w14:textId="77777777" w:rsidR="00556C10" w:rsidRPr="005C611F" w:rsidRDefault="00556C10" w:rsidP="00556C10">
      <w:pPr>
        <w:tabs>
          <w:tab w:val="left" w:pos="90"/>
        </w:tabs>
        <w:bidi w:val="0"/>
        <w:spacing w:line="216" w:lineRule="auto"/>
        <w:rPr>
          <w:i/>
          <w:sz w:val="23"/>
          <w:szCs w:val="23"/>
          <w:rtl/>
        </w:rPr>
      </w:pPr>
      <w:r w:rsidRPr="00F4704A">
        <w:rPr>
          <w:position w:val="-28"/>
        </w:rPr>
        <w:object w:dxaOrig="2299" w:dyaOrig="620" w14:anchorId="7014E644">
          <v:shape id="_x0000_i8096" type="#_x0000_t75" style="width:114.95pt;height:31.45pt" o:ole="">
            <v:imagedata r:id="rId14267" o:title=""/>
          </v:shape>
          <o:OLEObject Type="Embed" ProgID="Equation.DSMT4" ShapeID="_x0000_i8096" DrawAspect="Content" ObjectID="_1791382039" r:id="rId14268"/>
        </w:object>
      </w:r>
      <w:r w:rsidRPr="005C611F">
        <w:rPr>
          <w:rFonts w:hint="cs"/>
          <w:i/>
          <w:sz w:val="23"/>
          <w:szCs w:val="23"/>
          <w:rtl/>
        </w:rPr>
        <w:tab/>
      </w:r>
      <w:r w:rsidRPr="005C611F">
        <w:rPr>
          <w:rFonts w:hint="cs"/>
          <w:i/>
          <w:sz w:val="23"/>
          <w:szCs w:val="23"/>
          <w:rtl/>
        </w:rPr>
        <w:tab/>
      </w:r>
      <w:r w:rsidRPr="005C611F">
        <w:rPr>
          <w:rFonts w:hint="cs"/>
          <w:i/>
          <w:sz w:val="23"/>
          <w:szCs w:val="23"/>
          <w:rtl/>
        </w:rPr>
        <w:tab/>
      </w:r>
      <w:r w:rsidRPr="005C611F">
        <w:rPr>
          <w:i/>
          <w:sz w:val="23"/>
          <w:szCs w:val="23"/>
        </w:rPr>
        <w:tab/>
      </w:r>
      <w:r w:rsidRPr="005C611F">
        <w:rPr>
          <w:i/>
          <w:sz w:val="23"/>
          <w:szCs w:val="23"/>
        </w:rPr>
        <w:tab/>
      </w:r>
      <w:r w:rsidRPr="005C611F">
        <w:rPr>
          <w:i/>
          <w:sz w:val="23"/>
          <w:szCs w:val="23"/>
        </w:rPr>
        <w:tab/>
      </w:r>
      <w:r w:rsidRPr="005C611F">
        <w:rPr>
          <w:i/>
          <w:sz w:val="23"/>
          <w:szCs w:val="23"/>
        </w:rPr>
        <w:tab/>
      </w:r>
      <w:r w:rsidRPr="005C611F">
        <w:rPr>
          <w:i/>
          <w:sz w:val="23"/>
          <w:szCs w:val="23"/>
        </w:rPr>
        <w:tab/>
      </w:r>
      <w:r w:rsidRPr="005C611F">
        <w:rPr>
          <w:i/>
          <w:sz w:val="23"/>
          <w:szCs w:val="23"/>
        </w:rPr>
        <w:tab/>
      </w:r>
      <w:r w:rsidRPr="005C611F">
        <w:rPr>
          <w:i/>
          <w:sz w:val="23"/>
          <w:szCs w:val="23"/>
        </w:rPr>
        <w:tab/>
      </w:r>
      <w:r w:rsidRPr="005C611F">
        <w:rPr>
          <w:i/>
          <w:sz w:val="23"/>
          <w:szCs w:val="23"/>
        </w:rPr>
        <w:tab/>
      </w:r>
      <w:r w:rsidRPr="005C611F">
        <w:rPr>
          <w:i/>
          <w:sz w:val="23"/>
          <w:szCs w:val="23"/>
          <w:rtl/>
        </w:rPr>
        <w:tab/>
      </w:r>
      <w:r>
        <w:rPr>
          <w:i/>
          <w:sz w:val="23"/>
          <w:szCs w:val="23"/>
          <w:rtl/>
        </w:rPr>
        <w:tab/>
      </w:r>
      <w:r w:rsidRPr="005C611F">
        <w:rPr>
          <w:i/>
          <w:sz w:val="23"/>
          <w:szCs w:val="23"/>
        </w:rPr>
        <w:t xml:space="preserve"> </w:t>
      </w:r>
      <w:r w:rsidRPr="005C611F">
        <w:rPr>
          <w:rFonts w:hint="cs"/>
          <w:i/>
          <w:sz w:val="23"/>
          <w:szCs w:val="23"/>
          <w:rtl/>
        </w:rPr>
        <w:t>(۱۶. ۱۲)</w:t>
      </w:r>
    </w:p>
    <w:p w14:paraId="426F492E"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و یا </w:t>
      </w:r>
    </w:p>
    <w:p w14:paraId="42573BC2" w14:textId="77777777" w:rsidR="00556C10" w:rsidRPr="005C611F" w:rsidRDefault="00556C10" w:rsidP="00556C10">
      <w:pPr>
        <w:tabs>
          <w:tab w:val="left" w:pos="90"/>
        </w:tabs>
        <w:bidi w:val="0"/>
        <w:spacing w:line="216" w:lineRule="auto"/>
        <w:rPr>
          <w:i/>
          <w:sz w:val="23"/>
          <w:szCs w:val="23"/>
          <w:rtl/>
        </w:rPr>
      </w:pPr>
      <w:r w:rsidRPr="00F4704A">
        <w:rPr>
          <w:position w:val="-28"/>
        </w:rPr>
        <w:object w:dxaOrig="2560" w:dyaOrig="620" w14:anchorId="6CD2A2CE">
          <v:shape id="_x0000_i8097" type="#_x0000_t75" style="width:127.65pt;height:31.45pt" o:ole="">
            <v:imagedata r:id="rId14269" o:title=""/>
          </v:shape>
          <o:OLEObject Type="Embed" ProgID="Equation.DSMT4" ShapeID="_x0000_i8097" DrawAspect="Content" ObjectID="_1791382040" r:id="rId14270"/>
        </w:object>
      </w:r>
      <w:r w:rsidRPr="005C611F">
        <w:rPr>
          <w:rFonts w:hint="cs"/>
          <w:i/>
          <w:sz w:val="23"/>
          <w:szCs w:val="23"/>
          <w:rtl/>
        </w:rPr>
        <w:tab/>
      </w:r>
      <w:r w:rsidRPr="005C611F">
        <w:rPr>
          <w:rFonts w:hint="cs"/>
          <w:i/>
          <w:sz w:val="23"/>
          <w:szCs w:val="23"/>
          <w:rtl/>
        </w:rPr>
        <w:tab/>
      </w:r>
      <w:r w:rsidRPr="005C611F">
        <w:rPr>
          <w:rFonts w:hint="cs"/>
          <w:i/>
          <w:sz w:val="23"/>
          <w:szCs w:val="23"/>
          <w:rtl/>
        </w:rPr>
        <w:tab/>
      </w:r>
      <w:r w:rsidRPr="005C611F">
        <w:rPr>
          <w:i/>
          <w:sz w:val="23"/>
          <w:szCs w:val="23"/>
        </w:rPr>
        <w:tab/>
      </w:r>
      <w:r w:rsidRPr="005C611F">
        <w:rPr>
          <w:i/>
          <w:sz w:val="23"/>
          <w:szCs w:val="23"/>
        </w:rPr>
        <w:tab/>
      </w:r>
      <w:r w:rsidRPr="005C611F">
        <w:rPr>
          <w:i/>
          <w:sz w:val="23"/>
          <w:szCs w:val="23"/>
        </w:rPr>
        <w:tab/>
      </w:r>
      <w:r w:rsidRPr="005C611F">
        <w:rPr>
          <w:i/>
          <w:sz w:val="23"/>
          <w:szCs w:val="23"/>
        </w:rPr>
        <w:tab/>
      </w:r>
      <w:r w:rsidRPr="005C611F">
        <w:rPr>
          <w:i/>
          <w:sz w:val="23"/>
          <w:szCs w:val="23"/>
        </w:rPr>
        <w:tab/>
      </w:r>
      <w:r w:rsidRPr="005C611F">
        <w:rPr>
          <w:i/>
          <w:sz w:val="23"/>
          <w:szCs w:val="23"/>
        </w:rPr>
        <w:tab/>
      </w:r>
      <w:r w:rsidRPr="005C611F">
        <w:rPr>
          <w:rFonts w:hint="cs"/>
          <w:i/>
          <w:sz w:val="23"/>
          <w:szCs w:val="23"/>
          <w:rtl/>
        </w:rPr>
        <w:tab/>
      </w:r>
      <w:r w:rsidRPr="005C611F">
        <w:rPr>
          <w:rFonts w:hint="cs"/>
          <w:i/>
          <w:sz w:val="23"/>
          <w:szCs w:val="23"/>
          <w:rtl/>
        </w:rPr>
        <w:tab/>
      </w:r>
      <w:r>
        <w:rPr>
          <w:i/>
          <w:sz w:val="23"/>
          <w:szCs w:val="23"/>
          <w:rtl/>
        </w:rPr>
        <w:tab/>
      </w:r>
      <w:r w:rsidRPr="005C611F">
        <w:rPr>
          <w:rFonts w:hint="cs"/>
          <w:i/>
          <w:sz w:val="23"/>
          <w:szCs w:val="23"/>
        </w:rPr>
        <w:t xml:space="preserve"> </w:t>
      </w:r>
      <w:r w:rsidRPr="005C611F">
        <w:rPr>
          <w:rFonts w:hint="cs"/>
          <w:i/>
          <w:sz w:val="23"/>
          <w:szCs w:val="23"/>
          <w:rtl/>
        </w:rPr>
        <w:t>(۱۶. ۱۳)</w:t>
      </w:r>
    </w:p>
    <w:p w14:paraId="279C5759"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که یک بردار انباشته</w:t>
      </w:r>
      <w:r w:rsidRPr="005C611F">
        <w:rPr>
          <w:rFonts w:hint="cs"/>
          <w:i/>
          <w:sz w:val="23"/>
          <w:szCs w:val="23"/>
          <w:rtl/>
        </w:rPr>
        <w:softHyphen/>
        <w:t xml:space="preserve"> و خود همبسته</w:t>
      </w:r>
      <w:r w:rsidRPr="005C611F">
        <w:rPr>
          <w:rFonts w:hint="cs"/>
          <w:i/>
          <w:sz w:val="23"/>
          <w:szCs w:val="23"/>
          <w:rtl/>
        </w:rPr>
        <w:softHyphen/>
        <w:t xml:space="preserve">ی میانگین متحرک </w:t>
      </w:r>
      <w:r w:rsidRPr="005C611F">
        <w:rPr>
          <w:i/>
          <w:sz w:val="23"/>
          <w:szCs w:val="23"/>
        </w:rPr>
        <w:t>VARIMA</w:t>
      </w:r>
      <w:r w:rsidRPr="005C611F">
        <w:rPr>
          <w:rFonts w:hint="cs"/>
          <w:i/>
          <w:sz w:val="23"/>
          <w:szCs w:val="23"/>
          <w:rtl/>
        </w:rPr>
        <w:t xml:space="preserve"> خواهد بود. که در آن</w:t>
      </w:r>
      <w:r w:rsidRPr="00F4704A">
        <w:rPr>
          <w:position w:val="-10"/>
        </w:rPr>
        <w:object w:dxaOrig="300" w:dyaOrig="320" w14:anchorId="67BCAC73">
          <v:shape id="_x0000_i8098" type="#_x0000_t75" style="width:14.5pt;height:15.75pt" o:ole="">
            <v:imagedata r:id="rId14271" o:title=""/>
          </v:shape>
          <o:OLEObject Type="Embed" ProgID="Equation.DSMT4" ShapeID="_x0000_i8098" DrawAspect="Content" ObjectID="_1791382041" r:id="rId14272"/>
        </w:object>
      </w:r>
      <w:r w:rsidRPr="005C611F">
        <w:rPr>
          <w:rFonts w:hint="cs"/>
          <w:i/>
          <w:sz w:val="23"/>
          <w:szCs w:val="23"/>
          <w:rtl/>
        </w:rPr>
        <w:t xml:space="preserve"> و </w:t>
      </w:r>
      <w:r w:rsidRPr="00F4704A">
        <w:rPr>
          <w:position w:val="-10"/>
        </w:rPr>
        <w:object w:dxaOrig="279" w:dyaOrig="320" w14:anchorId="4C309C1B">
          <v:shape id="_x0000_i8099" type="#_x0000_t75" style="width:13.9pt;height:15.75pt" o:ole="">
            <v:imagedata r:id="rId14273" o:title=""/>
          </v:shape>
          <o:OLEObject Type="Embed" ProgID="Equation.DSMT4" ShapeID="_x0000_i8099" DrawAspect="Content" ObjectID="_1791382042" r:id="rId14274"/>
        </w:object>
      </w:r>
      <w:r w:rsidRPr="005C611F">
        <w:rPr>
          <w:rFonts w:hint="cs"/>
          <w:i/>
          <w:sz w:val="23"/>
          <w:szCs w:val="23"/>
          <w:rtl/>
        </w:rPr>
        <w:t xml:space="preserve"> توابعی از پارامترهای مدل بوده و بنابراین مقید می‌باشند.</w:t>
      </w:r>
    </w:p>
    <w:p w14:paraId="33CFAAF4"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معادله‌ی (۱۶. ۱۳) رفتار پویای</w:t>
      </w:r>
      <w:r w:rsidRPr="00F4704A">
        <w:rPr>
          <w:position w:val="-10"/>
        </w:rPr>
        <w:object w:dxaOrig="420" w:dyaOrig="320" w14:anchorId="7FE199F6">
          <v:shape id="_x0000_i8100" type="#_x0000_t75" style="width:21.2pt;height:15.75pt" o:ole="">
            <v:imagedata r:id="rId14275" o:title=""/>
          </v:shape>
          <o:OLEObject Type="Embed" ProgID="Equation.DSMT4" ShapeID="_x0000_i8100" DrawAspect="Content" ObjectID="_1791382043" r:id="rId14276"/>
        </w:object>
      </w:r>
      <w:r w:rsidRPr="005C611F">
        <w:rPr>
          <w:rFonts w:hint="cs"/>
          <w:i/>
          <w:sz w:val="23"/>
          <w:szCs w:val="23"/>
          <w:rtl/>
        </w:rPr>
        <w:t xml:space="preserve"> و</w:t>
      </w:r>
      <w:r w:rsidRPr="00F4704A">
        <w:rPr>
          <w:position w:val="-10"/>
        </w:rPr>
        <w:object w:dxaOrig="440" w:dyaOrig="320" w14:anchorId="0CDC70A0">
          <v:shape id="_x0000_i8101" type="#_x0000_t75" style="width:21.8pt;height:15.75pt" o:ole="">
            <v:imagedata r:id="rId14277" o:title=""/>
          </v:shape>
          <o:OLEObject Type="Embed" ProgID="Equation.DSMT4" ShapeID="_x0000_i8101" DrawAspect="Content" ObjectID="_1791382044" r:id="rId14278"/>
        </w:object>
      </w:r>
      <w:r w:rsidRPr="005C611F">
        <w:rPr>
          <w:rFonts w:hint="cs"/>
          <w:i/>
          <w:sz w:val="23"/>
          <w:szCs w:val="23"/>
          <w:rtl/>
        </w:rPr>
        <w:t xml:space="preserve"> را بر مبنای شوک تکنولوژی </w:t>
      </w:r>
      <w:r w:rsidRPr="005C611F">
        <w:rPr>
          <w:i/>
          <w:sz w:val="23"/>
          <w:szCs w:val="23"/>
        </w:rPr>
        <w:t>e</w:t>
      </w:r>
      <w:r w:rsidRPr="005C611F">
        <w:rPr>
          <w:i/>
          <w:sz w:val="23"/>
          <w:szCs w:val="23"/>
          <w:vertAlign w:val="subscript"/>
        </w:rPr>
        <w:t>t</w:t>
      </w:r>
      <w:r w:rsidRPr="005C611F">
        <w:rPr>
          <w:rFonts w:hint="cs"/>
          <w:i/>
          <w:sz w:val="23"/>
          <w:szCs w:val="23"/>
          <w:rtl/>
        </w:rPr>
        <w:t xml:space="preserve"> نشان خواهد داد. مسیری که در اقتصاد پس از اعمال شوک تکنولوژی دنبال می‌شود به پارامترهای ساختاری (عمیق) مدل وابسته است. این معادله همچنین نشان می‌دهد که سیستم اقتصادی با شوک تکنولوژیِ موقتی، به مقادیر تعادلی بلند‌مدت در وضعیت یکنواخت باز خواهد گشت. به تعبیری دیگر، این سیستم اقتصادی به طور موضعی و در اطراف مقادیر تعادلی بلندمدت باثبات است. اگر شوک</w:t>
      </w:r>
      <w:r w:rsidRPr="005C611F">
        <w:rPr>
          <w:i/>
          <w:sz w:val="23"/>
          <w:szCs w:val="23"/>
        </w:rPr>
        <w:t xml:space="preserve"> </w:t>
      </w:r>
      <w:r w:rsidRPr="005C611F">
        <w:rPr>
          <w:rFonts w:hint="cs"/>
          <w:i/>
          <w:sz w:val="23"/>
          <w:szCs w:val="23"/>
          <w:rtl/>
        </w:rPr>
        <w:t>تکنولوژی</w:t>
      </w:r>
      <w:r w:rsidRPr="00F4704A">
        <w:rPr>
          <w:position w:val="-10"/>
        </w:rPr>
        <w:object w:dxaOrig="200" w:dyaOrig="320" w14:anchorId="7FD96025">
          <v:shape id="_x0000_i8102" type="#_x0000_t75" style="width:10.3pt;height:15.75pt" o:ole="">
            <v:imagedata r:id="rId14279" o:title=""/>
          </v:shape>
          <o:OLEObject Type="Embed" ProgID="Equation.DSMT4" ShapeID="_x0000_i8102" DrawAspect="Content" ObjectID="_1791382045" r:id="rId14280"/>
        </w:object>
      </w:r>
      <w:r w:rsidRPr="005C611F">
        <w:rPr>
          <w:rFonts w:hint="cs"/>
          <w:i/>
          <w:sz w:val="23"/>
          <w:szCs w:val="23"/>
          <w:rtl/>
        </w:rPr>
        <w:t xml:space="preserve"> دائمی‌باشد، به مقادیر تعادلی جدیدی بازگشته و لذا شوک تکنولوژی دارای اثرات دائمی ‌بر متغیرهای</w:t>
      </w:r>
      <w:r w:rsidRPr="00F4704A">
        <w:rPr>
          <w:position w:val="-10"/>
        </w:rPr>
        <w:object w:dxaOrig="420" w:dyaOrig="320" w14:anchorId="514A6A38">
          <v:shape id="_x0000_i8103" type="#_x0000_t75" style="width:21.2pt;height:15.75pt" o:ole="">
            <v:imagedata r:id="rId14281" o:title=""/>
          </v:shape>
          <o:OLEObject Type="Embed" ProgID="Equation.DSMT4" ShapeID="_x0000_i8103" DrawAspect="Content" ObjectID="_1791382046" r:id="rId14282"/>
        </w:object>
      </w:r>
      <w:r w:rsidRPr="005C611F">
        <w:rPr>
          <w:rFonts w:hint="cs"/>
          <w:i/>
          <w:sz w:val="23"/>
          <w:szCs w:val="23"/>
          <w:rtl/>
        </w:rPr>
        <w:t xml:space="preserve"> و</w:t>
      </w:r>
      <w:r w:rsidRPr="00F4704A">
        <w:rPr>
          <w:position w:val="-10"/>
        </w:rPr>
        <w:object w:dxaOrig="440" w:dyaOrig="320" w14:anchorId="2ED9CD12">
          <v:shape id="_x0000_i8104" type="#_x0000_t75" style="width:21.8pt;height:15.75pt" o:ole="">
            <v:imagedata r:id="rId14283" o:title=""/>
          </v:shape>
          <o:OLEObject Type="Embed" ProgID="Equation.DSMT4" ShapeID="_x0000_i8104" DrawAspect="Content" ObjectID="_1791382047" r:id="rId14284"/>
        </w:object>
      </w:r>
      <w:r w:rsidRPr="005C611F">
        <w:rPr>
          <w:rFonts w:hint="cs"/>
          <w:i/>
          <w:sz w:val="23"/>
          <w:szCs w:val="23"/>
          <w:rtl/>
        </w:rPr>
        <w:t xml:space="preserve"> است. از آنجا که پیشرفت تکنولوژی فرایندی خودهمبسته و مانا همانند </w:t>
      </w:r>
      <w:r w:rsidRPr="00F4704A">
        <w:rPr>
          <w:position w:val="-10"/>
        </w:rPr>
        <w:object w:dxaOrig="1240" w:dyaOrig="320" w14:anchorId="749D0680">
          <v:shape id="_x0000_i8105" type="#_x0000_t75" style="width:61.7pt;height:15.75pt" o:ole="">
            <v:imagedata r:id="rId14285" o:title=""/>
          </v:shape>
          <o:OLEObject Type="Embed" ProgID="Equation.DSMT4" ShapeID="_x0000_i8105" DrawAspect="Content" ObjectID="_1791382048" r:id="rId14286"/>
        </w:object>
      </w:r>
      <w:r w:rsidRPr="005C611F">
        <w:rPr>
          <w:rFonts w:hint="cs"/>
          <w:i/>
          <w:sz w:val="23"/>
          <w:szCs w:val="23"/>
          <w:rtl/>
        </w:rPr>
        <w:t xml:space="preserve"> و</w:t>
      </w:r>
      <w:r w:rsidRPr="00F4704A">
        <w:rPr>
          <w:position w:val="-12"/>
        </w:rPr>
        <w:object w:dxaOrig="600" w:dyaOrig="360" w14:anchorId="470F49F8">
          <v:shape id="_x0000_i8106" type="#_x0000_t75" style="width:29.65pt;height:18.15pt" o:ole="">
            <v:imagedata r:id="rId14287" o:title=""/>
          </v:shape>
          <o:OLEObject Type="Embed" ProgID="Equation.DSMT4" ShapeID="_x0000_i8106" DrawAspect="Content" ObjectID="_1791382049" r:id="rId14288"/>
        </w:object>
      </w:r>
      <w:r w:rsidRPr="005C611F">
        <w:rPr>
          <w:rFonts w:hint="cs"/>
          <w:i/>
          <w:sz w:val="23"/>
          <w:szCs w:val="23"/>
          <w:rtl/>
        </w:rPr>
        <w:t xml:space="preserve"> می‌باشد، لذا در وضعیت یکنواخت رشد متغیر برابر صفر است.</w:t>
      </w:r>
    </w:p>
    <w:p w14:paraId="40DE2044"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نشان داده شد که نتیجه‌ی لگاریتم خطی مدل </w:t>
      </w:r>
      <w:r w:rsidRPr="005C611F">
        <w:rPr>
          <w:i/>
          <w:sz w:val="23"/>
          <w:szCs w:val="23"/>
        </w:rPr>
        <w:t>DSGE</w:t>
      </w:r>
      <w:r w:rsidRPr="005C611F">
        <w:rPr>
          <w:rFonts w:hint="cs"/>
          <w:i/>
          <w:sz w:val="23"/>
          <w:szCs w:val="23"/>
          <w:rtl/>
        </w:rPr>
        <w:t xml:space="preserve"> یک مدل </w:t>
      </w:r>
      <w:r w:rsidRPr="005C611F">
        <w:rPr>
          <w:i/>
          <w:sz w:val="23"/>
          <w:szCs w:val="23"/>
        </w:rPr>
        <w:t>VARMA</w:t>
      </w:r>
      <w:r w:rsidRPr="005C611F">
        <w:rPr>
          <w:rFonts w:hint="cs"/>
          <w:i/>
          <w:sz w:val="23"/>
          <w:szCs w:val="23"/>
          <w:rtl/>
        </w:rPr>
        <w:t xml:space="preserve"> و یا </w:t>
      </w:r>
      <w:r w:rsidRPr="005C611F">
        <w:rPr>
          <w:i/>
          <w:sz w:val="23"/>
          <w:szCs w:val="23"/>
        </w:rPr>
        <w:t>VARIMA</w:t>
      </w:r>
      <w:r w:rsidRPr="005C611F">
        <w:rPr>
          <w:rFonts w:hint="cs"/>
          <w:i/>
          <w:sz w:val="23"/>
          <w:szCs w:val="23"/>
          <w:rtl/>
        </w:rPr>
        <w:t xml:space="preserve"> با ماتریس ضرایبی است که تابع پارامترهای ساختاری می‌باشد. بطورکلی، چنانچه در مدل </w:t>
      </w:r>
      <w:r w:rsidRPr="005C611F">
        <w:rPr>
          <w:i/>
          <w:sz w:val="23"/>
          <w:szCs w:val="23"/>
        </w:rPr>
        <w:t>DSGE</w:t>
      </w:r>
      <w:r w:rsidRPr="005C611F">
        <w:rPr>
          <w:rFonts w:hint="cs"/>
          <w:i/>
          <w:sz w:val="23"/>
          <w:szCs w:val="23"/>
          <w:rtl/>
        </w:rPr>
        <w:t xml:space="preserve"> متغیر برون</w:t>
      </w:r>
      <w:r w:rsidRPr="005C611F">
        <w:rPr>
          <w:rFonts w:hint="cs"/>
          <w:i/>
          <w:sz w:val="23"/>
          <w:szCs w:val="23"/>
          <w:rtl/>
        </w:rPr>
        <w:softHyphen/>
        <w:t>زا وجود داشته باشد، آنگاه حل آن، مستلزم انتظارات آتی همانند معادله</w:t>
      </w:r>
      <w:r w:rsidRPr="005C611F">
        <w:rPr>
          <w:rFonts w:hint="cs"/>
          <w:i/>
          <w:sz w:val="23"/>
          <w:szCs w:val="23"/>
          <w:rtl/>
        </w:rPr>
        <w:softHyphen/>
        <w:t>ی (۱۶. ۱۱) می‌باشد. اگر این متغیرهای برون</w:t>
      </w:r>
      <w:r w:rsidRPr="005C611F">
        <w:rPr>
          <w:rFonts w:hint="cs"/>
          <w:i/>
          <w:sz w:val="23"/>
          <w:szCs w:val="23"/>
          <w:rtl/>
        </w:rPr>
        <w:softHyphen/>
        <w:t xml:space="preserve">زا را بتوان به صورت فرایند سری زمانی، همانند یک مدل </w:t>
      </w:r>
      <w:r w:rsidRPr="005C611F">
        <w:rPr>
          <w:i/>
          <w:sz w:val="23"/>
          <w:szCs w:val="23"/>
        </w:rPr>
        <w:t>VAR</w:t>
      </w:r>
      <w:r w:rsidRPr="005C611F">
        <w:rPr>
          <w:rFonts w:hint="cs"/>
          <w:i/>
          <w:sz w:val="23"/>
          <w:szCs w:val="23"/>
          <w:rtl/>
        </w:rPr>
        <w:t xml:space="preserve"> نشان داد، آنگاه با جایگزاری انتظارات آتی بوسیله پیش</w:t>
      </w:r>
      <w:r w:rsidRPr="005C611F">
        <w:rPr>
          <w:rFonts w:hint="cs"/>
          <w:i/>
          <w:sz w:val="23"/>
          <w:szCs w:val="23"/>
          <w:rtl/>
        </w:rPr>
        <w:softHyphen/>
        <w:t xml:space="preserve">بینی مبتنی بر اطلاعات تا زمان </w:t>
      </w:r>
      <w:r w:rsidRPr="005C611F">
        <w:rPr>
          <w:i/>
          <w:sz w:val="23"/>
          <w:szCs w:val="23"/>
        </w:rPr>
        <w:t>t</w:t>
      </w:r>
      <w:r w:rsidRPr="005C611F">
        <w:rPr>
          <w:rFonts w:hint="cs"/>
          <w:i/>
          <w:sz w:val="23"/>
          <w:szCs w:val="23"/>
          <w:rtl/>
        </w:rPr>
        <w:t xml:space="preserve">، مدل </w:t>
      </w:r>
      <w:r w:rsidRPr="005C611F">
        <w:rPr>
          <w:i/>
          <w:sz w:val="23"/>
          <w:szCs w:val="23"/>
        </w:rPr>
        <w:t>DSGE</w:t>
      </w:r>
      <w:r w:rsidRPr="005C611F">
        <w:rPr>
          <w:rFonts w:hint="cs"/>
          <w:i/>
          <w:sz w:val="23"/>
          <w:szCs w:val="23"/>
          <w:rtl/>
        </w:rPr>
        <w:t xml:space="preserve"> تبدیل به مدل خودهمبسته همانند معادله</w:t>
      </w:r>
      <w:r w:rsidRPr="005C611F">
        <w:rPr>
          <w:rFonts w:hint="cs"/>
          <w:i/>
          <w:sz w:val="23"/>
          <w:szCs w:val="23"/>
          <w:rtl/>
        </w:rPr>
        <w:softHyphen/>
        <w:t xml:space="preserve">ی (۱۶. ۱۱) خواهد شد. بنابراین یک مدل </w:t>
      </w:r>
      <w:r w:rsidRPr="005C611F">
        <w:rPr>
          <w:i/>
          <w:sz w:val="23"/>
          <w:szCs w:val="23"/>
        </w:rPr>
        <w:t>DSGE</w:t>
      </w:r>
      <w:r w:rsidRPr="005C611F">
        <w:rPr>
          <w:rFonts w:hint="cs"/>
          <w:i/>
          <w:sz w:val="23"/>
          <w:szCs w:val="23"/>
          <w:rtl/>
        </w:rPr>
        <w:t xml:space="preserve"> اغلب تقریب نزدیکی از مدل‌های سری زمانی چند متغیره خودهمبسته است که ضرایب آن‌ها تابعی از پارامترهای مدل </w:t>
      </w:r>
      <w:r w:rsidRPr="005C611F">
        <w:rPr>
          <w:i/>
          <w:sz w:val="23"/>
          <w:szCs w:val="23"/>
        </w:rPr>
        <w:t>DSGE</w:t>
      </w:r>
      <w:r w:rsidRPr="005C611F">
        <w:rPr>
          <w:rFonts w:hint="cs"/>
          <w:i/>
          <w:sz w:val="23"/>
          <w:szCs w:val="23"/>
          <w:rtl/>
        </w:rPr>
        <w:t xml:space="preserve"> است که مدل سری زمانی را مقید می‌کند. اگر برخی از متغیرهای برون</w:t>
      </w:r>
      <w:r w:rsidRPr="005C611F">
        <w:rPr>
          <w:rFonts w:hint="cs"/>
          <w:i/>
          <w:sz w:val="23"/>
          <w:szCs w:val="23"/>
          <w:rtl/>
        </w:rPr>
        <w:softHyphen/>
        <w:t>زا ابزارهای سیاستی باشند، که تحت قاعده</w:t>
      </w:r>
      <w:r w:rsidRPr="005C611F">
        <w:rPr>
          <w:rFonts w:hint="cs"/>
          <w:i/>
          <w:sz w:val="23"/>
          <w:szCs w:val="23"/>
          <w:rtl/>
        </w:rPr>
        <w:softHyphen/>
        <w:t>ی سیاستی انتخاب نشوند، آنگاه قادر نخواهیم بود تا معادله</w:t>
      </w:r>
      <w:r w:rsidRPr="005C611F">
        <w:rPr>
          <w:rFonts w:hint="cs"/>
          <w:i/>
          <w:sz w:val="23"/>
          <w:szCs w:val="23"/>
          <w:rtl/>
        </w:rPr>
        <w:softHyphen/>
        <w:t>ی (۱۶. ۱۱) را همانند مدل نگاه به گذشته</w:t>
      </w:r>
      <w:r w:rsidRPr="005C611F">
        <w:rPr>
          <w:rFonts w:hint="cs"/>
          <w:i/>
          <w:sz w:val="23"/>
          <w:szCs w:val="23"/>
          <w:rtl/>
        </w:rPr>
        <w:softHyphen/>
        <w:t>ی محض همانند معادله</w:t>
      </w:r>
      <w:r w:rsidRPr="005C611F">
        <w:rPr>
          <w:rFonts w:hint="cs"/>
          <w:i/>
          <w:sz w:val="23"/>
          <w:szCs w:val="23"/>
          <w:rtl/>
        </w:rPr>
        <w:softHyphen/>
        <w:t>ی</w:t>
      </w:r>
      <w:r>
        <w:rPr>
          <w:rFonts w:hint="cs"/>
          <w:i/>
          <w:sz w:val="23"/>
          <w:szCs w:val="23"/>
          <w:rtl/>
        </w:rPr>
        <w:t xml:space="preserve">      </w:t>
      </w:r>
      <w:r w:rsidRPr="005C611F">
        <w:rPr>
          <w:rFonts w:hint="cs"/>
          <w:i/>
          <w:sz w:val="23"/>
          <w:szCs w:val="23"/>
          <w:rtl/>
        </w:rPr>
        <w:t xml:space="preserve"> (۱۶. ۱۳) بازنویسی کنیم.</w:t>
      </w:r>
    </w:p>
    <w:p w14:paraId="2488B170"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lastRenderedPageBreak/>
        <w:t>از حل</w:t>
      </w:r>
      <w:r w:rsidRPr="00F4704A">
        <w:rPr>
          <w:position w:val="-10"/>
        </w:rPr>
        <w:object w:dxaOrig="420" w:dyaOrig="320" w14:anchorId="30959778">
          <v:shape id="_x0000_i8107" type="#_x0000_t75" style="width:21.2pt;height:15.75pt" o:ole="">
            <v:imagedata r:id="rId14289" o:title=""/>
          </v:shape>
          <o:OLEObject Type="Embed" ProgID="Equation.DSMT4" ShapeID="_x0000_i8107" DrawAspect="Content" ObjectID="_1791382050" r:id="rId14290"/>
        </w:object>
      </w:r>
      <w:r w:rsidRPr="005C611F">
        <w:rPr>
          <w:rFonts w:hint="cs"/>
          <w:i/>
          <w:sz w:val="23"/>
          <w:szCs w:val="23"/>
          <w:rtl/>
        </w:rPr>
        <w:t xml:space="preserve"> و</w:t>
      </w:r>
      <w:r w:rsidRPr="00F4704A">
        <w:rPr>
          <w:position w:val="-10"/>
        </w:rPr>
        <w:object w:dxaOrig="440" w:dyaOrig="320" w14:anchorId="75E0B167">
          <v:shape id="_x0000_i8108" type="#_x0000_t75" style="width:21.8pt;height:15.75pt" o:ole="">
            <v:imagedata r:id="rId14291" o:title=""/>
          </v:shape>
          <o:OLEObject Type="Embed" ProgID="Equation.DSMT4" ShapeID="_x0000_i8108" DrawAspect="Content" ObjectID="_1791382051" r:id="rId14292"/>
        </w:object>
      </w:r>
      <w:r w:rsidRPr="005C611F">
        <w:rPr>
          <w:rFonts w:hint="cs"/>
          <w:i/>
          <w:sz w:val="23"/>
          <w:szCs w:val="23"/>
          <w:rtl/>
        </w:rPr>
        <w:t xml:space="preserve"> می‌توان حل متناظر آن یعنی سطح مصرف</w:t>
      </w:r>
      <w:r w:rsidRPr="00F4704A">
        <w:rPr>
          <w:position w:val="-10"/>
        </w:rPr>
        <w:object w:dxaOrig="260" w:dyaOrig="320" w14:anchorId="4802C251">
          <v:shape id="_x0000_i8109" type="#_x0000_t75" style="width:13.3pt;height:15.75pt" o:ole="">
            <v:imagedata r:id="rId14293" o:title=""/>
          </v:shape>
          <o:OLEObject Type="Embed" ProgID="Equation.DSMT4" ShapeID="_x0000_i8109" DrawAspect="Content" ObjectID="_1791382052" r:id="rId14294"/>
        </w:object>
      </w:r>
      <w:r w:rsidRPr="005C611F">
        <w:rPr>
          <w:rFonts w:hint="cs"/>
          <w:i/>
          <w:sz w:val="23"/>
          <w:szCs w:val="23"/>
          <w:rtl/>
        </w:rPr>
        <w:t xml:space="preserve"> و سطح موجودی سرمایه</w:t>
      </w:r>
      <w:r w:rsidRPr="00F4704A">
        <w:rPr>
          <w:position w:val="-10"/>
        </w:rPr>
        <w:object w:dxaOrig="300" w:dyaOrig="320" w14:anchorId="2CE567AE">
          <v:shape id="_x0000_i8110" type="#_x0000_t75" style="width:14.5pt;height:15.75pt" o:ole="">
            <v:imagedata r:id="rId14295" o:title=""/>
          </v:shape>
          <o:OLEObject Type="Embed" ProgID="Equation.DSMT4" ShapeID="_x0000_i8110" DrawAspect="Content" ObjectID="_1791382053" r:id="rId14296"/>
        </w:object>
      </w:r>
      <w:r w:rsidRPr="005C611F">
        <w:rPr>
          <w:rFonts w:hint="cs"/>
          <w:i/>
          <w:sz w:val="23"/>
          <w:szCs w:val="23"/>
          <w:rtl/>
        </w:rPr>
        <w:t xml:space="preserve"> و به تبع آن سطوح </w:t>
      </w:r>
      <w:r w:rsidRPr="00F4704A">
        <w:rPr>
          <w:position w:val="-10"/>
        </w:rPr>
        <w:object w:dxaOrig="240" w:dyaOrig="320" w14:anchorId="77C75846">
          <v:shape id="_x0000_i8111" type="#_x0000_t75" style="width:11.5pt;height:15.75pt" o:ole="">
            <v:imagedata r:id="rId14297" o:title=""/>
          </v:shape>
          <o:OLEObject Type="Embed" ProgID="Equation.DSMT4" ShapeID="_x0000_i8111" DrawAspect="Content" ObjectID="_1791382054" r:id="rId14298"/>
        </w:object>
      </w:r>
      <w:r w:rsidRPr="005C611F">
        <w:rPr>
          <w:rFonts w:hint="cs"/>
          <w:i/>
          <w:sz w:val="23"/>
          <w:szCs w:val="23"/>
          <w:rtl/>
        </w:rPr>
        <w:t xml:space="preserve"> و </w:t>
      </w:r>
      <w:r w:rsidRPr="00F4704A">
        <w:rPr>
          <w:position w:val="-10"/>
        </w:rPr>
        <w:object w:dxaOrig="220" w:dyaOrig="320" w14:anchorId="35925C02">
          <v:shape id="_x0000_i8112" type="#_x0000_t75" style="width:10.9pt;height:15.75pt" o:ole="">
            <v:imagedata r:id="rId14299" o:title=""/>
          </v:shape>
          <o:OLEObject Type="Embed" ProgID="Equation.DSMT4" ShapeID="_x0000_i8112" DrawAspect="Content" ObjectID="_1791382055" r:id="rId14300"/>
        </w:object>
      </w:r>
      <w:r w:rsidRPr="005C611F">
        <w:rPr>
          <w:rFonts w:hint="cs"/>
          <w:i/>
          <w:sz w:val="23"/>
          <w:szCs w:val="23"/>
          <w:rtl/>
        </w:rPr>
        <w:t xml:space="preserve"> را به دست آورد. از آنجا که</w:t>
      </w:r>
      <w:r w:rsidRPr="00F4704A">
        <w:rPr>
          <w:position w:val="-10"/>
        </w:rPr>
        <w:object w:dxaOrig="420" w:dyaOrig="320" w14:anchorId="4AE085D4">
          <v:shape id="_x0000_i8113" type="#_x0000_t75" style="width:21.2pt;height:15.75pt" o:ole="">
            <v:imagedata r:id="rId14301" o:title=""/>
          </v:shape>
          <o:OLEObject Type="Embed" ProgID="Equation.DSMT4" ShapeID="_x0000_i8113" DrawAspect="Content" ObjectID="_1791382056" r:id="rId14302"/>
        </w:object>
      </w:r>
      <w:r w:rsidRPr="005C611F">
        <w:rPr>
          <w:rFonts w:hint="cs"/>
          <w:i/>
          <w:sz w:val="23"/>
          <w:szCs w:val="23"/>
          <w:rtl/>
        </w:rPr>
        <w:t xml:space="preserve"> و</w:t>
      </w:r>
      <w:r w:rsidRPr="00F4704A">
        <w:rPr>
          <w:position w:val="-10"/>
        </w:rPr>
        <w:object w:dxaOrig="440" w:dyaOrig="320" w14:anchorId="227AEC56">
          <v:shape id="_x0000_i8114" type="#_x0000_t75" style="width:21.8pt;height:15.75pt" o:ole="">
            <v:imagedata r:id="rId14303" o:title=""/>
          </v:shape>
          <o:OLEObject Type="Embed" ProgID="Equation.DSMT4" ShapeID="_x0000_i8114" DrawAspect="Content" ObjectID="_1791382057" r:id="rId14304"/>
        </w:object>
      </w:r>
      <w:r w:rsidRPr="005C611F">
        <w:rPr>
          <w:rFonts w:hint="cs"/>
          <w:i/>
          <w:sz w:val="23"/>
          <w:szCs w:val="23"/>
          <w:rtl/>
        </w:rPr>
        <w:t xml:space="preserve"> انحرافات از مسیرهای رشد در وضعیت یکنواخت می‌باشند، می‌بایست ابتدا مسیرهای رشد گذشته آن‌ها را اضافه نماییم. از آنجا که متغیرها سرانه می‌باشند، می‌بایست آن‌ها را به مصرف و موجودی سرمایه کل تبدیل نموده و سپس برای تولید و سرمایه</w:t>
      </w:r>
      <w:r w:rsidRPr="005C611F">
        <w:rPr>
          <w:rFonts w:hint="cs"/>
          <w:i/>
          <w:sz w:val="23"/>
          <w:szCs w:val="23"/>
          <w:rtl/>
        </w:rPr>
        <w:softHyphen/>
        <w:t>گذاری کل، از روابط اتحاد درآمد ملی و معادله</w:t>
      </w:r>
      <w:r w:rsidRPr="005C611F">
        <w:rPr>
          <w:rFonts w:hint="cs"/>
          <w:i/>
          <w:sz w:val="23"/>
          <w:szCs w:val="23"/>
          <w:rtl/>
        </w:rPr>
        <w:softHyphen/>
        <w:t>ی انباشت سرمایه</w:t>
      </w:r>
      <w:r w:rsidRPr="005C611F">
        <w:rPr>
          <w:rFonts w:hint="cs"/>
          <w:i/>
          <w:sz w:val="23"/>
          <w:szCs w:val="23"/>
          <w:rtl/>
        </w:rPr>
        <w:softHyphen/>
        <w:t>، آن‌ها را به دست آورد. همچنین می‌توان نرخ دستمزد ضمنی را از تولید نهایی نیروی کار، و نرخ بهره</w:t>
      </w:r>
      <w:r w:rsidRPr="005C611F">
        <w:rPr>
          <w:i/>
          <w:sz w:val="23"/>
          <w:szCs w:val="23"/>
          <w:rtl/>
        </w:rPr>
        <w:softHyphen/>
      </w:r>
      <w:r w:rsidRPr="005C611F">
        <w:rPr>
          <w:rFonts w:hint="cs"/>
          <w:i/>
          <w:sz w:val="23"/>
          <w:szCs w:val="23"/>
          <w:rtl/>
        </w:rPr>
        <w:t>ی حقیقی ضمنی را از تولید نهایی خالص سرمایه بدست آورد. اگر نیروی کار را وارد مدل نماییم، آنگاه براحتی می</w:t>
      </w:r>
      <w:r w:rsidRPr="005C611F">
        <w:rPr>
          <w:i/>
          <w:sz w:val="23"/>
          <w:szCs w:val="23"/>
          <w:rtl/>
        </w:rPr>
        <w:softHyphen/>
      </w:r>
      <w:r w:rsidRPr="005C611F">
        <w:rPr>
          <w:rFonts w:hint="cs"/>
          <w:i/>
          <w:sz w:val="23"/>
          <w:szCs w:val="23"/>
          <w:rtl/>
        </w:rPr>
        <w:t>توان رفتار کوتاه</w:t>
      </w:r>
      <w:r w:rsidRPr="005C611F">
        <w:rPr>
          <w:i/>
          <w:sz w:val="23"/>
          <w:szCs w:val="23"/>
          <w:rtl/>
        </w:rPr>
        <w:softHyphen/>
      </w:r>
      <w:r w:rsidRPr="005C611F">
        <w:rPr>
          <w:rFonts w:hint="cs"/>
          <w:i/>
          <w:sz w:val="23"/>
          <w:szCs w:val="23"/>
          <w:rtl/>
        </w:rPr>
        <w:t>مدت و پویای هفت متغیر اقتصاد کلان را به دست آورد.</w:t>
      </w:r>
    </w:p>
    <w:p w14:paraId="2B0BDC46" w14:textId="77777777" w:rsidR="00556C10" w:rsidRPr="005C611F" w:rsidRDefault="00556C10" w:rsidP="00556C10">
      <w:pPr>
        <w:tabs>
          <w:tab w:val="left" w:pos="90"/>
        </w:tabs>
        <w:spacing w:line="216" w:lineRule="auto"/>
        <w:rPr>
          <w:i/>
          <w:sz w:val="23"/>
          <w:szCs w:val="23"/>
        </w:rPr>
      </w:pPr>
    </w:p>
    <w:p w14:paraId="010E20F5" w14:textId="77777777" w:rsidR="00556C10" w:rsidRPr="005C611F" w:rsidRDefault="00556C10" w:rsidP="00556C10">
      <w:pPr>
        <w:pStyle w:val="Heading1"/>
        <w:spacing w:before="0" w:after="0" w:line="216" w:lineRule="auto"/>
        <w:rPr>
          <w:rFonts w:ascii="Times New Roman" w:hAnsi="Times New Roman" w:cs="B Nazanin"/>
          <w:b w:val="0"/>
          <w:i/>
          <w:sz w:val="23"/>
          <w:szCs w:val="23"/>
          <w:rtl/>
        </w:rPr>
      </w:pPr>
      <w:r w:rsidRPr="005C611F">
        <w:rPr>
          <w:rFonts w:ascii="Times New Roman" w:hAnsi="Times New Roman" w:cs="B Nazanin" w:hint="cs"/>
          <w:b w:val="0"/>
          <w:i/>
          <w:sz w:val="23"/>
          <w:szCs w:val="23"/>
          <w:rtl/>
        </w:rPr>
        <w:t>۱۶. ۳ روش‌های تجربی</w:t>
      </w:r>
    </w:p>
    <w:p w14:paraId="1612FAF9"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هدف نخست از تجزیه و تحلیل چرخه‌های تجاری حقیقی آن بود که آیا می‌توان داده‌های ایجاد شده به وسیله</w:t>
      </w:r>
      <w:r w:rsidRPr="005C611F">
        <w:rPr>
          <w:i/>
          <w:sz w:val="23"/>
          <w:szCs w:val="23"/>
          <w:rtl/>
        </w:rPr>
        <w:softHyphen/>
      </w:r>
      <w:r w:rsidRPr="005C611F">
        <w:rPr>
          <w:rFonts w:hint="cs"/>
          <w:i/>
          <w:sz w:val="23"/>
          <w:szCs w:val="23"/>
          <w:rtl/>
        </w:rPr>
        <w:t>ی مدل که براساس شوک تکنولوژی به دست می‌آید را با داده‌های اقتصاد کلانِ مشاهده شده تطبیق داد و یا خیر؟ در این ادبیات توجه به تطابق واریانس، کوواریانس و خودهمبستگی متغیرها است. داده‌های تولید شده به وسیله</w:t>
      </w:r>
      <w:r w:rsidRPr="005C611F">
        <w:rPr>
          <w:rFonts w:hint="cs"/>
          <w:i/>
          <w:sz w:val="23"/>
          <w:szCs w:val="23"/>
          <w:rtl/>
        </w:rPr>
        <w:softHyphen/>
        <w:t>ی مدل، تنها یک منبع تصادفی و غیرمترقبه دارند که همان شوک تکنولوژی است. درحالی</w:t>
      </w:r>
      <w:r w:rsidRPr="005C611F">
        <w:rPr>
          <w:i/>
          <w:sz w:val="23"/>
          <w:szCs w:val="23"/>
          <w:rtl/>
        </w:rPr>
        <w:softHyphen/>
      </w:r>
      <w:r w:rsidRPr="005C611F">
        <w:rPr>
          <w:rFonts w:hint="cs"/>
          <w:i/>
          <w:sz w:val="23"/>
          <w:szCs w:val="23"/>
          <w:rtl/>
        </w:rPr>
        <w:t>که داده‌های مشاهده شده، دارای هفت منبع تصادفی و غیرمترقبه</w:t>
      </w:r>
      <w:r w:rsidRPr="005C611F">
        <w:rPr>
          <w:rFonts w:hint="cs"/>
          <w:i/>
          <w:sz w:val="23"/>
          <w:szCs w:val="23"/>
          <w:rtl/>
        </w:rPr>
        <w:softHyphen/>
        <w:t>ی مستقل می‌باشند. در نتیجه یک تکینگی در مارتیس واریانس- کوواریانس خروجی‌های مدل وجود دارد که در مشاهدات ملاحظه نمی</w:t>
      </w:r>
      <w:r w:rsidRPr="005C611F">
        <w:rPr>
          <w:i/>
          <w:sz w:val="23"/>
          <w:szCs w:val="23"/>
          <w:rtl/>
        </w:rPr>
        <w:softHyphen/>
      </w:r>
      <w:r w:rsidRPr="005C611F">
        <w:rPr>
          <w:rFonts w:hint="cs"/>
          <w:i/>
          <w:sz w:val="23"/>
          <w:szCs w:val="23"/>
          <w:rtl/>
        </w:rPr>
        <w:t>شود. یکی از مشکلات مدل‌های چرخه‌های تجاری حقیقی، تعیین و تصریح منابع اضافی تصادفی و غیرمترقبه در مدل اقتصادی است. برای مثال، شوک تصادفی عرضه</w:t>
      </w:r>
      <w:r w:rsidRPr="005C611F">
        <w:rPr>
          <w:rFonts w:hint="cs"/>
          <w:i/>
          <w:sz w:val="23"/>
          <w:szCs w:val="23"/>
          <w:rtl/>
        </w:rPr>
        <w:softHyphen/>
        <w:t>ی نیروی کار به معادله‌ی (۱۶. ۱) اضافه می</w:t>
      </w:r>
      <w:r w:rsidRPr="005C611F">
        <w:rPr>
          <w:i/>
          <w:sz w:val="23"/>
          <w:szCs w:val="23"/>
          <w:rtl/>
        </w:rPr>
        <w:softHyphen/>
      </w:r>
      <w:r w:rsidRPr="005C611F">
        <w:rPr>
          <w:rFonts w:hint="cs"/>
          <w:i/>
          <w:sz w:val="23"/>
          <w:szCs w:val="23"/>
          <w:rtl/>
        </w:rPr>
        <w:t>شود تا دو شوک اتفاقی و غیرمترقبه در حل معادله</w:t>
      </w:r>
      <w:r w:rsidRPr="005C611F">
        <w:rPr>
          <w:rFonts w:hint="cs"/>
          <w:i/>
          <w:sz w:val="23"/>
          <w:szCs w:val="23"/>
          <w:rtl/>
        </w:rPr>
        <w:softHyphen/>
        <w:t>ی (۱۶. ۱۳) بوجود آید. منبع شوک‌های بالقوه</w:t>
      </w:r>
      <w:r w:rsidRPr="005C611F">
        <w:rPr>
          <w:i/>
          <w:sz w:val="23"/>
          <w:szCs w:val="23"/>
          <w:rtl/>
        </w:rPr>
        <w:softHyphen/>
      </w:r>
      <w:r w:rsidRPr="005C611F">
        <w:rPr>
          <w:rFonts w:hint="cs"/>
          <w:i/>
          <w:sz w:val="23"/>
          <w:szCs w:val="23"/>
          <w:rtl/>
        </w:rPr>
        <w:t>ی دیگر عبارتند از شوک‌های ترجیحات آنی تابع مطلوبیت، شوک‌های انباشت سرمایه که احتمالاً از طریق اثرات استهلاک به وجود می‌آیند، شوک‌های رابطه</w:t>
      </w:r>
      <w:r w:rsidRPr="005C611F">
        <w:rPr>
          <w:i/>
          <w:sz w:val="23"/>
          <w:szCs w:val="23"/>
          <w:rtl/>
        </w:rPr>
        <w:softHyphen/>
      </w:r>
      <w:r w:rsidRPr="005C611F">
        <w:rPr>
          <w:rFonts w:hint="cs"/>
          <w:i/>
          <w:sz w:val="23"/>
          <w:szCs w:val="23"/>
          <w:rtl/>
        </w:rPr>
        <w:t>ی بین تولید نهایی، نیروی کار و سرمایه که به دستمزد و نرخ بهره حقیقی مرتبط است، و شوک‌های  تصادفی اتحاد درآمد ملی که به واسطه</w:t>
      </w:r>
      <w:r w:rsidRPr="005C611F">
        <w:rPr>
          <w:rFonts w:hint="cs"/>
          <w:i/>
          <w:sz w:val="23"/>
          <w:szCs w:val="23"/>
          <w:rtl/>
        </w:rPr>
        <w:softHyphen/>
        <w:t>ی اتلاف تولید و یا موجودی انبار ایجاد می</w:t>
      </w:r>
      <w:r w:rsidRPr="005C611F">
        <w:rPr>
          <w:i/>
          <w:sz w:val="23"/>
          <w:szCs w:val="23"/>
          <w:rtl/>
        </w:rPr>
        <w:softHyphen/>
      </w:r>
      <w:r w:rsidRPr="005C611F">
        <w:rPr>
          <w:rFonts w:hint="cs"/>
          <w:i/>
          <w:sz w:val="23"/>
          <w:szCs w:val="23"/>
          <w:rtl/>
        </w:rPr>
        <w:t>شوند. ترکیب تمامی ‌این شوک‌ها این امکان را فراهم می</w:t>
      </w:r>
      <w:r w:rsidRPr="005C611F">
        <w:rPr>
          <w:i/>
          <w:sz w:val="23"/>
          <w:szCs w:val="23"/>
          <w:rtl/>
        </w:rPr>
        <w:softHyphen/>
      </w:r>
      <w:r w:rsidRPr="005C611F">
        <w:rPr>
          <w:rFonts w:hint="cs"/>
          <w:i/>
          <w:sz w:val="23"/>
          <w:szCs w:val="23"/>
          <w:rtl/>
        </w:rPr>
        <w:t>سازد تا هفت شوک مستقل، بتواند هفت شوک متغیر</w:t>
      </w:r>
      <w:r w:rsidRPr="005C611F">
        <w:rPr>
          <w:i/>
          <w:sz w:val="23"/>
          <w:szCs w:val="23"/>
          <w:rtl/>
        </w:rPr>
        <w:softHyphen/>
      </w:r>
      <w:r w:rsidRPr="005C611F">
        <w:rPr>
          <w:rFonts w:hint="cs"/>
          <w:i/>
          <w:sz w:val="23"/>
          <w:szCs w:val="23"/>
          <w:rtl/>
        </w:rPr>
        <w:t>های موجود در مدل اقتصادی را ایجاد و تبیین کند.</w:t>
      </w:r>
    </w:p>
    <w:p w14:paraId="7132DD20"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ماتریس واریانس- کوواریانس متغیرها از طریق بازنویسی معادله‌ی (۱۶. ۱۳) و به صورت مدل میانگین متحرک برداری به دست می‌آید. یعنی</w:t>
      </w:r>
    </w:p>
    <w:p w14:paraId="475A0295" w14:textId="77777777" w:rsidR="00556C10" w:rsidRPr="005C611F" w:rsidRDefault="00556C10" w:rsidP="00556C10">
      <w:pPr>
        <w:tabs>
          <w:tab w:val="left" w:pos="90"/>
        </w:tabs>
        <w:bidi w:val="0"/>
        <w:spacing w:line="216" w:lineRule="auto"/>
        <w:rPr>
          <w:i/>
          <w:sz w:val="23"/>
          <w:szCs w:val="23"/>
          <w:rtl/>
        </w:rPr>
      </w:pPr>
      <w:r w:rsidRPr="00F4704A">
        <w:rPr>
          <w:position w:val="-26"/>
        </w:rPr>
        <w:object w:dxaOrig="3580" w:dyaOrig="620" w14:anchorId="60C95C4F">
          <v:shape id="_x0000_i8115" type="#_x0000_t75" style="width:178.5pt;height:31.45pt" o:ole="">
            <v:imagedata r:id="rId14305" o:title=""/>
          </v:shape>
          <o:OLEObject Type="Embed" ProgID="Equation.DSMT4" ShapeID="_x0000_i8115" DrawAspect="Content" ObjectID="_1791382058" r:id="rId14306"/>
        </w:object>
      </w:r>
    </w:p>
    <w:p w14:paraId="6321EA37"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که در آن</w:t>
      </w:r>
    </w:p>
    <w:p w14:paraId="272322E3" w14:textId="77777777" w:rsidR="00556C10" w:rsidRPr="005C611F" w:rsidRDefault="00556C10" w:rsidP="00556C10">
      <w:pPr>
        <w:tabs>
          <w:tab w:val="left" w:pos="90"/>
        </w:tabs>
        <w:bidi w:val="0"/>
        <w:spacing w:line="216" w:lineRule="auto"/>
        <w:rPr>
          <w:i/>
          <w:sz w:val="23"/>
          <w:szCs w:val="23"/>
        </w:rPr>
      </w:pPr>
      <w:r w:rsidRPr="00F4704A">
        <w:rPr>
          <w:position w:val="-10"/>
        </w:rPr>
        <w:object w:dxaOrig="2060" w:dyaOrig="340" w14:anchorId="27E71DF7">
          <v:shape id="_x0000_i8116" type="#_x0000_t75" style="width:102.85pt;height:16.95pt" o:ole="">
            <v:imagedata r:id="rId14307" o:title=""/>
          </v:shape>
          <o:OLEObject Type="Embed" ProgID="Equation.DSMT4" ShapeID="_x0000_i8116" DrawAspect="Content" ObjectID="_1791382059" r:id="rId14308"/>
        </w:object>
      </w:r>
    </w:p>
    <w:p w14:paraId="09FE2F51"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lastRenderedPageBreak/>
        <w:t>و</w:t>
      </w:r>
      <w:r w:rsidRPr="00F4704A">
        <w:rPr>
          <w:position w:val="-10"/>
        </w:rPr>
        <w:object w:dxaOrig="980" w:dyaOrig="340" w14:anchorId="68754958">
          <v:shape id="_x0000_i8117" type="#_x0000_t75" style="width:49pt;height:16.95pt" o:ole="">
            <v:imagedata r:id="rId14309" o:title=""/>
          </v:shape>
          <o:OLEObject Type="Embed" ProgID="Equation.DSMT4" ShapeID="_x0000_i8117" DrawAspect="Content" ObjectID="_1791382060" r:id="rId14310"/>
        </w:object>
      </w:r>
      <w:r w:rsidRPr="005C611F">
        <w:rPr>
          <w:rFonts w:hint="cs"/>
          <w:i/>
          <w:sz w:val="23"/>
          <w:szCs w:val="23"/>
          <w:rtl/>
        </w:rPr>
        <w:t xml:space="preserve">، </w:t>
      </w:r>
      <w:r w:rsidRPr="00F4704A">
        <w:rPr>
          <w:position w:val="-26"/>
        </w:rPr>
        <w:object w:dxaOrig="1500" w:dyaOrig="620" w14:anchorId="768BB325">
          <v:shape id="_x0000_i8118" type="#_x0000_t75" style="width:75.05pt;height:31.45pt" o:ole="">
            <v:imagedata r:id="rId14311" o:title=""/>
          </v:shape>
          <o:OLEObject Type="Embed" ProgID="Equation.DSMT4" ShapeID="_x0000_i8118" DrawAspect="Content" ObjectID="_1791382061" r:id="rId14312"/>
        </w:object>
      </w:r>
      <w:r w:rsidRPr="005C611F">
        <w:rPr>
          <w:rFonts w:hint="cs"/>
          <w:i/>
          <w:sz w:val="23"/>
          <w:szCs w:val="23"/>
          <w:rtl/>
        </w:rPr>
        <w:t xml:space="preserve"> و </w:t>
      </w:r>
      <w:r w:rsidRPr="00F4704A">
        <w:rPr>
          <w:position w:val="-14"/>
        </w:rPr>
        <w:object w:dxaOrig="1500" w:dyaOrig="380" w14:anchorId="68648E25">
          <v:shape id="_x0000_i8119" type="#_x0000_t75" style="width:75.05pt;height:18.75pt" o:ole="">
            <v:imagedata r:id="rId14313" o:title=""/>
          </v:shape>
          <o:OLEObject Type="Embed" ProgID="Equation.DSMT4" ShapeID="_x0000_i8119" DrawAspect="Content" ObjectID="_1791382062" r:id="rId14314"/>
        </w:object>
      </w:r>
      <w:r w:rsidRPr="005C611F">
        <w:rPr>
          <w:rFonts w:eastAsiaTheme="minorHAnsi" w:hint="cs"/>
          <w:i/>
          <w:sz w:val="23"/>
          <w:szCs w:val="23"/>
          <w:rtl/>
        </w:rPr>
        <w:t xml:space="preserve"> است</w:t>
      </w:r>
      <w:r w:rsidRPr="005C611F">
        <w:rPr>
          <w:i/>
          <w:sz w:val="23"/>
          <w:szCs w:val="23"/>
        </w:rPr>
        <w:t>.</w:t>
      </w:r>
      <w:r w:rsidRPr="005C611F">
        <w:rPr>
          <w:rFonts w:hint="cs"/>
          <w:i/>
          <w:sz w:val="23"/>
          <w:szCs w:val="23"/>
          <w:rtl/>
        </w:rPr>
        <w:t xml:space="preserve"> لذا با تنها یک شوک، </w:t>
      </w:r>
      <w:r w:rsidRPr="00F4704A">
        <w:rPr>
          <w:position w:val="-10"/>
        </w:rPr>
        <w:object w:dxaOrig="700" w:dyaOrig="320" w14:anchorId="74AE1D72">
          <v:shape id="_x0000_i8120" type="#_x0000_t75" style="width:35.1pt;height:15.75pt" o:ole="">
            <v:imagedata r:id="rId14315" o:title=""/>
          </v:shape>
          <o:OLEObject Type="Embed" ProgID="Equation.DSMT4" ShapeID="_x0000_i8120" DrawAspect="Content" ObjectID="_1791382063" r:id="rId14316"/>
        </w:object>
      </w:r>
      <w:r w:rsidRPr="005C611F">
        <w:rPr>
          <w:rFonts w:hint="cs"/>
          <w:i/>
          <w:sz w:val="23"/>
          <w:szCs w:val="23"/>
          <w:rtl/>
        </w:rPr>
        <w:t xml:space="preserve"> ماتریس منحصر به فرد است.</w:t>
      </w:r>
      <w:r w:rsidRPr="00F4704A">
        <w:rPr>
          <w:position w:val="-10"/>
        </w:rPr>
        <w:object w:dxaOrig="320" w:dyaOrig="320" w14:anchorId="56AC8FDB">
          <v:shape id="_x0000_i8121" type="#_x0000_t75" style="width:15.75pt;height:15.75pt" o:ole="">
            <v:imagedata r:id="rId14317" o:title=""/>
          </v:shape>
          <o:OLEObject Type="Embed" ProgID="Equation.DSMT4" ShapeID="_x0000_i8121" DrawAspect="Content" ObjectID="_1791382064" r:id="rId14318"/>
        </w:object>
      </w:r>
      <w:r w:rsidRPr="005C611F">
        <w:rPr>
          <w:rFonts w:eastAsiaTheme="minorHAnsi" w:cstheme="minorBidi" w:hint="cs"/>
          <w:i/>
          <w:sz w:val="23"/>
          <w:szCs w:val="23"/>
          <w:rtl/>
        </w:rPr>
        <w:t xml:space="preserve"> </w:t>
      </w:r>
      <w:r w:rsidRPr="005C611F">
        <w:rPr>
          <w:rFonts w:hint="cs"/>
          <w:i/>
          <w:sz w:val="23"/>
          <w:szCs w:val="23"/>
          <w:rtl/>
        </w:rPr>
        <w:t>توابع خود همبسته و هم توابع ضربه واکنش را برحسب یک واحد شوک بر</w:t>
      </w:r>
      <w:r w:rsidRPr="00F4704A">
        <w:rPr>
          <w:position w:val="-10"/>
        </w:rPr>
        <w:object w:dxaOrig="200" w:dyaOrig="320" w14:anchorId="35179EB3">
          <v:shape id="_x0000_i8122" type="#_x0000_t75" style="width:10.3pt;height:15.75pt" o:ole="">
            <v:imagedata r:id="rId14319" o:title=""/>
          </v:shape>
          <o:OLEObject Type="Embed" ProgID="Equation.DSMT4" ShapeID="_x0000_i8122" DrawAspect="Content" ObjectID="_1791382065" r:id="rId14320"/>
        </w:object>
      </w:r>
      <w:r w:rsidRPr="005C611F">
        <w:rPr>
          <w:rFonts w:hint="cs"/>
          <w:i/>
          <w:sz w:val="23"/>
          <w:szCs w:val="23"/>
          <w:rtl/>
        </w:rPr>
        <w:t xml:space="preserve"> نشان می‌دهد. این نتایج از تابع تولید به صورت زیر به دست می‌آید </w:t>
      </w:r>
    </w:p>
    <w:p w14:paraId="7769E986" w14:textId="77777777" w:rsidR="00556C10" w:rsidRPr="005C611F" w:rsidRDefault="00556C10" w:rsidP="00556C10">
      <w:pPr>
        <w:tabs>
          <w:tab w:val="left" w:pos="90"/>
        </w:tabs>
        <w:bidi w:val="0"/>
        <w:spacing w:line="216" w:lineRule="auto"/>
        <w:rPr>
          <w:i/>
          <w:sz w:val="23"/>
          <w:szCs w:val="23"/>
          <w:rtl/>
        </w:rPr>
      </w:pPr>
      <w:r w:rsidRPr="00F4704A">
        <w:rPr>
          <w:position w:val="-10"/>
        </w:rPr>
        <w:object w:dxaOrig="4940" w:dyaOrig="320" w14:anchorId="66300035">
          <v:shape id="_x0000_i8123" type="#_x0000_t75" style="width:247.45pt;height:15.75pt" o:ole="">
            <v:imagedata r:id="rId14321" o:title=""/>
          </v:shape>
          <o:OLEObject Type="Embed" ProgID="Equation.DSMT4" ShapeID="_x0000_i8123" DrawAspect="Content" ObjectID="_1791382066" r:id="rId14322"/>
        </w:object>
      </w:r>
      <w:r w:rsidRPr="005C611F">
        <w:rPr>
          <w:rFonts w:hint="cs"/>
          <w:i/>
          <w:sz w:val="23"/>
          <w:szCs w:val="23"/>
          <w:rtl/>
        </w:rPr>
        <w:t xml:space="preserve"> </w:t>
      </w:r>
    </w:p>
    <w:p w14:paraId="3530B53D"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که در آن</w:t>
      </w:r>
      <w:r w:rsidRPr="00F4704A">
        <w:rPr>
          <w:position w:val="-10"/>
        </w:rPr>
        <w:object w:dxaOrig="620" w:dyaOrig="320" w14:anchorId="5A84E085">
          <v:shape id="_x0000_i8124" type="#_x0000_t75" style="width:31.45pt;height:15.75pt" o:ole="">
            <v:imagedata r:id="rId14323" o:title=""/>
          </v:shape>
          <o:OLEObject Type="Embed" ProgID="Equation.DSMT4" ShapeID="_x0000_i8124" DrawAspect="Content" ObjectID="_1791382067" r:id="rId14324"/>
        </w:object>
      </w:r>
      <w:r w:rsidRPr="005C611F">
        <w:rPr>
          <w:rFonts w:hint="cs"/>
          <w:i/>
          <w:sz w:val="23"/>
          <w:szCs w:val="23"/>
          <w:rtl/>
        </w:rPr>
        <w:t>،</w:t>
      </w:r>
      <w:r w:rsidRPr="00F4704A">
        <w:rPr>
          <w:position w:val="-10"/>
        </w:rPr>
        <w:object w:dxaOrig="680" w:dyaOrig="320" w14:anchorId="36A64467">
          <v:shape id="_x0000_i8125" type="#_x0000_t75" style="width:33.9pt;height:15.75pt" o:ole="">
            <v:imagedata r:id="rId14325" o:title=""/>
          </v:shape>
          <o:OLEObject Type="Embed" ProgID="Equation.DSMT4" ShapeID="_x0000_i8125" DrawAspect="Content" ObjectID="_1791382068" r:id="rId14326"/>
        </w:object>
      </w:r>
      <w:r w:rsidRPr="005C611F">
        <w:rPr>
          <w:rFonts w:hint="cs"/>
          <w:i/>
          <w:sz w:val="23"/>
          <w:szCs w:val="23"/>
          <w:rtl/>
        </w:rPr>
        <w:t xml:space="preserve"> و</w:t>
      </w:r>
      <w:r w:rsidRPr="00F4704A">
        <w:rPr>
          <w:position w:val="-10"/>
        </w:rPr>
        <w:object w:dxaOrig="680" w:dyaOrig="320" w14:anchorId="239B0773">
          <v:shape id="_x0000_i8126" type="#_x0000_t75" style="width:33.9pt;height:15.75pt" o:ole="">
            <v:imagedata r:id="rId14327" o:title=""/>
          </v:shape>
          <o:OLEObject Type="Embed" ProgID="Equation.DSMT4" ShapeID="_x0000_i8126" DrawAspect="Content" ObjectID="_1791382069" r:id="rId14328"/>
        </w:object>
      </w:r>
      <w:r w:rsidRPr="005C611F">
        <w:rPr>
          <w:rFonts w:hint="cs"/>
          <w:i/>
          <w:sz w:val="23"/>
          <w:szCs w:val="23"/>
          <w:rtl/>
        </w:rPr>
        <w:t xml:space="preserve"> داده‌های مشاهده شده، و</w:t>
      </w:r>
      <w:r w:rsidRPr="00F4704A">
        <w:rPr>
          <w:position w:val="-6"/>
        </w:rPr>
        <w:object w:dxaOrig="220" w:dyaOrig="200" w14:anchorId="0D798D10">
          <v:shape id="_x0000_i8127" type="#_x0000_t75" style="width:10.9pt;height:10.3pt" o:ole="">
            <v:imagedata r:id="rId14329" o:title=""/>
          </v:shape>
          <o:OLEObject Type="Embed" ProgID="Equation.DSMT4" ShapeID="_x0000_i8127" DrawAspect="Content" ObjectID="_1791382070" r:id="rId14330"/>
        </w:object>
      </w:r>
      <w:r w:rsidRPr="005C611F">
        <w:rPr>
          <w:rFonts w:hint="cs"/>
          <w:i/>
          <w:sz w:val="23"/>
          <w:szCs w:val="23"/>
          <w:rtl/>
        </w:rPr>
        <w:t xml:space="preserve"> و</w:t>
      </w:r>
      <w:r w:rsidRPr="00F4704A">
        <w:rPr>
          <w:position w:val="-10"/>
        </w:rPr>
        <w:object w:dxaOrig="220" w:dyaOrig="240" w14:anchorId="0B2560D4">
          <v:shape id="_x0000_i8128" type="#_x0000_t75" style="width:10.9pt;height:11.5pt" o:ole="">
            <v:imagedata r:id="rId14331" o:title=""/>
          </v:shape>
          <o:OLEObject Type="Embed" ProgID="Equation.DSMT4" ShapeID="_x0000_i8128" DrawAspect="Content" ObjectID="_1791382071" r:id="rId14332"/>
        </w:object>
      </w:r>
      <w:r w:rsidRPr="005C611F">
        <w:rPr>
          <w:rFonts w:hint="cs"/>
          <w:i/>
          <w:sz w:val="23"/>
          <w:szCs w:val="23"/>
          <w:rtl/>
        </w:rPr>
        <w:t xml:space="preserve"> پارامترهای برآوردی و یا کالیبره شده می‌باشند، و واریانس</w:t>
      </w:r>
      <w:r w:rsidRPr="00F4704A">
        <w:rPr>
          <w:position w:val="-10"/>
        </w:rPr>
        <w:object w:dxaOrig="200" w:dyaOrig="320" w14:anchorId="34005977">
          <v:shape id="_x0000_i8129" type="#_x0000_t75" style="width:10.3pt;height:15.75pt" o:ole="">
            <v:imagedata r:id="rId14333" o:title=""/>
          </v:shape>
          <o:OLEObject Type="Embed" ProgID="Equation.DSMT4" ShapeID="_x0000_i8129" DrawAspect="Content" ObjectID="_1791382072" r:id="rId14334"/>
        </w:object>
      </w:r>
      <w:r w:rsidRPr="005C611F">
        <w:rPr>
          <w:rFonts w:hint="cs"/>
          <w:i/>
          <w:sz w:val="23"/>
          <w:szCs w:val="23"/>
          <w:rtl/>
        </w:rPr>
        <w:t xml:space="preserve"> نیز برابر</w:t>
      </w:r>
      <w:r w:rsidRPr="00F4704A">
        <w:rPr>
          <w:position w:val="-6"/>
        </w:rPr>
        <w:object w:dxaOrig="300" w:dyaOrig="300" w14:anchorId="0C7509C4">
          <v:shape id="_x0000_i8130" type="#_x0000_t75" style="width:14.5pt;height:14.5pt" o:ole="">
            <v:imagedata r:id="rId14335" o:title=""/>
          </v:shape>
          <o:OLEObject Type="Embed" ProgID="Equation.DSMT4" ShapeID="_x0000_i8130" DrawAspect="Content" ObjectID="_1791382073" r:id="rId14336"/>
        </w:object>
      </w:r>
      <w:r w:rsidRPr="005C611F">
        <w:rPr>
          <w:rFonts w:hint="cs"/>
          <w:i/>
          <w:sz w:val="23"/>
          <w:szCs w:val="23"/>
          <w:rtl/>
        </w:rPr>
        <w:t xml:space="preserve"> خواهد بود.</w:t>
      </w:r>
    </w:p>
    <w:p w14:paraId="28A5ACDE"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در عمل، در بسیاری از مطالعات چرخه‌های تجاری حقیقی، این گشتاورها از طریق شبیه</w:t>
      </w:r>
      <w:r w:rsidRPr="005C611F">
        <w:rPr>
          <w:rFonts w:hint="cs"/>
          <w:i/>
          <w:sz w:val="23"/>
          <w:szCs w:val="23"/>
          <w:rtl/>
        </w:rPr>
        <w:softHyphen/>
        <w:t>سازی عددی به دست می‌آیند، و نه به صورت تحلیلی. بنابراین ضرورتی بر خطی کردن مدل وجود ندارد. شبیه</w:t>
      </w:r>
      <w:r w:rsidRPr="005C611F">
        <w:rPr>
          <w:i/>
          <w:sz w:val="23"/>
          <w:szCs w:val="23"/>
          <w:rtl/>
        </w:rPr>
        <w:softHyphen/>
      </w:r>
      <w:r w:rsidRPr="005C611F">
        <w:rPr>
          <w:rFonts w:hint="cs"/>
          <w:i/>
          <w:sz w:val="23"/>
          <w:szCs w:val="23"/>
          <w:rtl/>
        </w:rPr>
        <w:t>سازی عددی به روش‌های مختلف ممکن است انجام شود. یک روش، ایجاد شوک‌ها از نمونه‌های تصادفی مستقل با میانگین صفر و واریانس داده شده، و سپس محاسبه</w:t>
      </w:r>
      <w:r w:rsidRPr="005C611F">
        <w:rPr>
          <w:rFonts w:hint="cs"/>
          <w:i/>
          <w:sz w:val="23"/>
          <w:szCs w:val="23"/>
          <w:rtl/>
        </w:rPr>
        <w:softHyphen/>
        <w:t>ی داده‌های خروجی مدل می‌باشد. این روش مستلزم حل فرآیند انتظارات عقلائی غیرخطی است.</w:t>
      </w:r>
      <w:r w:rsidRPr="005C611F">
        <w:rPr>
          <w:rStyle w:val="FootnoteReference"/>
          <w:i/>
          <w:sz w:val="23"/>
          <w:szCs w:val="23"/>
          <w:rtl/>
        </w:rPr>
        <w:footnoteReference w:id="376"/>
      </w:r>
      <w:r w:rsidRPr="005C611F">
        <w:rPr>
          <w:i/>
          <w:sz w:val="23"/>
          <w:szCs w:val="23"/>
        </w:rPr>
        <w:t xml:space="preserve"> </w:t>
      </w:r>
      <w:r w:rsidRPr="005C611F">
        <w:rPr>
          <w:rFonts w:hint="cs"/>
          <w:i/>
          <w:sz w:val="23"/>
          <w:szCs w:val="23"/>
          <w:rtl/>
        </w:rPr>
        <w:t>خروجی‌های مدل از طریق فیلتر هودریک -پرسکات (</w:t>
      </w:r>
      <w:r w:rsidRPr="005C611F">
        <w:rPr>
          <w:i/>
          <w:sz w:val="23"/>
          <w:szCs w:val="23"/>
        </w:rPr>
        <w:t>HP</w:t>
      </w:r>
      <w:r w:rsidRPr="005C611F">
        <w:rPr>
          <w:rFonts w:hint="cs"/>
          <w:i/>
          <w:sz w:val="23"/>
          <w:szCs w:val="23"/>
          <w:rtl/>
        </w:rPr>
        <w:t>)</w:t>
      </w:r>
      <w:r w:rsidRPr="005C611F">
        <w:rPr>
          <w:rStyle w:val="FootnoteReference"/>
          <w:i/>
          <w:sz w:val="23"/>
          <w:szCs w:val="23"/>
          <w:rtl/>
        </w:rPr>
        <w:footnoteReference w:id="377"/>
      </w:r>
      <w:r w:rsidRPr="005C611F">
        <w:rPr>
          <w:rFonts w:hint="cs"/>
          <w:i/>
          <w:sz w:val="23"/>
          <w:szCs w:val="23"/>
          <w:rtl/>
        </w:rPr>
        <w:t xml:space="preserve"> روندزدایی شده و گشتاورهای نمونه محاسبه می‌شوند. این فرآیند ممکن است به دفعات زیاد تکرار شود و توزیع عددی هر گشتاور محاسبه شود. سپس میانگین‌ها (یا میانه‌های) توزیع گشتاورها بدست خواهد آمد. نهایتاً میانگین‌های محاسبه شده از گشتاورهای نمونه</w:t>
      </w:r>
      <w:r w:rsidRPr="005C611F">
        <w:rPr>
          <w:rFonts w:hint="cs"/>
          <w:i/>
          <w:sz w:val="23"/>
          <w:szCs w:val="23"/>
          <w:rtl/>
        </w:rPr>
        <w:softHyphen/>
        <w:t>ی ایجاد شده، با گشتاورهای نمونه داده‌های روندزا و مشاهده شده مقایسه می‌شوند.</w:t>
      </w:r>
    </w:p>
    <w:p w14:paraId="76E593F7"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مهمترین تفاوتی که این روش بدان توجه دارد راهی است که شوک‌های نمونه‌های تصادفی ایجاد می‌شوند. در بسیاری از مطالعات، شوک‌های تکنولوژی با بکارگیری پسماند سولو و از داده‌های مشاهده شده</w:t>
      </w:r>
      <w:r w:rsidRPr="005C611F">
        <w:rPr>
          <w:rFonts w:hint="cs"/>
          <w:i/>
          <w:sz w:val="23"/>
          <w:szCs w:val="23"/>
          <w:rtl/>
        </w:rPr>
        <w:softHyphen/>
        <w:t>ی بدون روند از فیلتر هودریک- پرسکات برآورد می‌شوند. بنابراین شوک‌های برآورد شده عبارتند از</w:t>
      </w:r>
    </w:p>
    <w:p w14:paraId="606A6A55" w14:textId="77777777" w:rsidR="00556C10" w:rsidRPr="005C611F" w:rsidRDefault="00556C10" w:rsidP="00556C10">
      <w:pPr>
        <w:pStyle w:val="MTDisplayEquation"/>
        <w:tabs>
          <w:tab w:val="left" w:pos="90"/>
        </w:tabs>
        <w:spacing w:line="216" w:lineRule="auto"/>
        <w:rPr>
          <w:rFonts w:ascii="Times New Roman" w:hAnsi="Times New Roman" w:cs="B Nazanin"/>
          <w:i/>
          <w:sz w:val="23"/>
          <w:szCs w:val="23"/>
        </w:rPr>
      </w:pPr>
      <w:r w:rsidRPr="00F4704A">
        <w:rPr>
          <w:position w:val="-12"/>
        </w:rPr>
        <w:object w:dxaOrig="4420" w:dyaOrig="360" w14:anchorId="01046E63">
          <v:shape id="_x0000_i8131" type="#_x0000_t75" style="width:220.85pt;height:18.15pt" o:ole="">
            <v:imagedata r:id="rId14337" o:title=""/>
          </v:shape>
          <o:OLEObject Type="Embed" ProgID="Equation.DSMT4" ShapeID="_x0000_i8131" DrawAspect="Content" ObjectID="_1791382074" r:id="rId14338"/>
        </w:object>
      </w:r>
      <w:r w:rsidRPr="005C611F">
        <w:rPr>
          <w:rFonts w:ascii="Times New Roman" w:hAnsi="Times New Roman" w:cs="B Nazanin"/>
          <w:i/>
          <w:sz w:val="23"/>
          <w:szCs w:val="23"/>
        </w:rPr>
        <w:t xml:space="preserve"> </w:t>
      </w:r>
    </w:p>
    <w:p w14:paraId="6D7E259A"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که در آن</w:t>
      </w:r>
      <w:r w:rsidRPr="00F4704A">
        <w:rPr>
          <w:position w:val="-10"/>
        </w:rPr>
        <w:object w:dxaOrig="520" w:dyaOrig="340" w14:anchorId="220B78B3">
          <v:shape id="_x0000_i8132" type="#_x0000_t75" style="width:26pt;height:16.95pt" o:ole="">
            <v:imagedata r:id="rId14339" o:title=""/>
          </v:shape>
          <o:OLEObject Type="Embed" ProgID="Equation.DSMT4" ShapeID="_x0000_i8132" DrawAspect="Content" ObjectID="_1791382075" r:id="rId14340"/>
        </w:object>
      </w:r>
      <w:r w:rsidRPr="005C611F">
        <w:rPr>
          <w:i/>
          <w:sz w:val="23"/>
          <w:szCs w:val="23"/>
        </w:rPr>
        <w:t xml:space="preserve"> </w:t>
      </w:r>
      <w:r w:rsidRPr="005C611F">
        <w:rPr>
          <w:rFonts w:hint="cs"/>
          <w:i/>
          <w:sz w:val="23"/>
          <w:szCs w:val="23"/>
          <w:rtl/>
        </w:rPr>
        <w:t>برای</w:t>
      </w:r>
      <w:r w:rsidRPr="00F4704A">
        <w:rPr>
          <w:position w:val="-8"/>
        </w:rPr>
        <w:object w:dxaOrig="1400" w:dyaOrig="279" w14:anchorId="2D222F5D">
          <v:shape id="_x0000_i8133" type="#_x0000_t75" style="width:70.2pt;height:13.9pt" o:ole="">
            <v:imagedata r:id="rId14341" o:title=""/>
          </v:shape>
          <o:OLEObject Type="Embed" ProgID="Equation.DSMT4" ShapeID="_x0000_i8133" DrawAspect="Content" ObjectID="_1791382076" r:id="rId14342"/>
        </w:object>
      </w:r>
      <w:r w:rsidRPr="005C611F">
        <w:rPr>
          <w:rFonts w:hint="cs"/>
          <w:i/>
          <w:sz w:val="23"/>
          <w:szCs w:val="23"/>
          <w:rtl/>
        </w:rPr>
        <w:t xml:space="preserve"> داده‌های روندزدا شده</w:t>
      </w:r>
      <w:r w:rsidRPr="005C611F">
        <w:rPr>
          <w:i/>
          <w:sz w:val="23"/>
          <w:szCs w:val="23"/>
          <w:rtl/>
        </w:rPr>
        <w:softHyphen/>
      </w:r>
      <w:r w:rsidRPr="005C611F">
        <w:rPr>
          <w:rFonts w:hint="cs"/>
          <w:i/>
          <w:sz w:val="23"/>
          <w:szCs w:val="23"/>
          <w:rtl/>
        </w:rPr>
        <w:t>ی متناظر، و</w:t>
      </w:r>
      <w:r w:rsidRPr="00F4704A">
        <w:rPr>
          <w:position w:val="-6"/>
        </w:rPr>
        <w:object w:dxaOrig="220" w:dyaOrig="200" w14:anchorId="137FDAF1">
          <v:shape id="_x0000_i8134" type="#_x0000_t75" style="width:10.9pt;height:10.3pt" o:ole="">
            <v:imagedata r:id="rId14343" o:title=""/>
          </v:shape>
          <o:OLEObject Type="Embed" ProgID="Equation.DSMT4" ShapeID="_x0000_i8134" DrawAspect="Content" ObjectID="_1791382077" r:id="rId14344"/>
        </w:object>
      </w:r>
      <w:r w:rsidRPr="005C611F">
        <w:rPr>
          <w:rFonts w:hint="cs"/>
          <w:i/>
          <w:sz w:val="23"/>
          <w:szCs w:val="23"/>
          <w:rtl/>
        </w:rPr>
        <w:t xml:space="preserve"> و</w:t>
      </w:r>
      <w:r w:rsidRPr="00F4704A">
        <w:rPr>
          <w:position w:val="-10"/>
        </w:rPr>
        <w:object w:dxaOrig="220" w:dyaOrig="240" w14:anchorId="2AFF0AB5">
          <v:shape id="_x0000_i8135" type="#_x0000_t75" style="width:10.9pt;height:11.5pt" o:ole="">
            <v:imagedata r:id="rId14345" o:title=""/>
          </v:shape>
          <o:OLEObject Type="Embed" ProgID="Equation.DSMT4" ShapeID="_x0000_i8135" DrawAspect="Content" ObjectID="_1791382078" r:id="rId14346"/>
        </w:object>
      </w:r>
      <w:r w:rsidRPr="005C611F">
        <w:rPr>
          <w:rFonts w:hint="cs"/>
          <w:i/>
          <w:sz w:val="23"/>
          <w:szCs w:val="23"/>
          <w:rtl/>
        </w:rPr>
        <w:t xml:space="preserve"> پارامترهای کالیبره و یا برآورد شده است. واریانس شوک‌های بکار رفته در روش اول عبارت است از واریانس </w:t>
      </w:r>
      <w:r w:rsidRPr="00F4704A">
        <w:rPr>
          <w:position w:val="-10"/>
        </w:rPr>
        <w:object w:dxaOrig="200" w:dyaOrig="320" w14:anchorId="154A97F6">
          <v:shape id="_x0000_i8136" type="#_x0000_t75" style="width:10.3pt;height:15.75pt" o:ole="">
            <v:imagedata r:id="rId14347" o:title=""/>
          </v:shape>
          <o:OLEObject Type="Embed" ProgID="Equation.DSMT4" ShapeID="_x0000_i8136" DrawAspect="Content" ObjectID="_1791382079" r:id="rId14348"/>
        </w:object>
      </w:r>
      <w:r w:rsidRPr="005C611F">
        <w:rPr>
          <w:rFonts w:hint="cs"/>
          <w:i/>
          <w:sz w:val="23"/>
          <w:szCs w:val="23"/>
          <w:rtl/>
        </w:rPr>
        <w:t xml:space="preserve">. </w:t>
      </w:r>
    </w:p>
    <w:p w14:paraId="1B758646"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گام بعدی در این رویکرد استخراج نمونه تصادفی از پسماندهای برآورد شده، و بکارگیری این نمونه برای تولید خروجی‌های مدل و گشتاورهای آن می‌باشد. با تکرار نمونه</w:t>
      </w:r>
      <w:r w:rsidRPr="005C611F">
        <w:rPr>
          <w:rFonts w:hint="cs"/>
          <w:i/>
          <w:sz w:val="23"/>
          <w:szCs w:val="23"/>
          <w:rtl/>
        </w:rPr>
        <w:softHyphen/>
        <w:t>گیری از شوک‌ها و خروجی‌های مدل و گشتاورهای نمونه</w:t>
      </w:r>
      <w:r w:rsidRPr="005C611F">
        <w:rPr>
          <w:i/>
          <w:sz w:val="23"/>
          <w:szCs w:val="23"/>
          <w:rtl/>
        </w:rPr>
        <w:softHyphen/>
      </w:r>
      <w:r w:rsidRPr="005C611F">
        <w:rPr>
          <w:rFonts w:hint="cs"/>
          <w:i/>
          <w:sz w:val="23"/>
          <w:szCs w:val="23"/>
          <w:rtl/>
        </w:rPr>
        <w:t>ی تکراری، توزیع عددی این گشتاورها به دست خواهد آمد. رویه</w:t>
      </w:r>
      <w:r w:rsidRPr="005C611F">
        <w:rPr>
          <w:rFonts w:hint="cs"/>
          <w:i/>
          <w:sz w:val="23"/>
          <w:szCs w:val="23"/>
          <w:rtl/>
        </w:rPr>
        <w:softHyphen/>
        <w:t>ی دوم را خود راه اندازی نامند.</w:t>
      </w:r>
      <w:r w:rsidRPr="005C611F">
        <w:rPr>
          <w:rStyle w:val="FootnoteReference"/>
          <w:i/>
          <w:sz w:val="23"/>
          <w:szCs w:val="23"/>
          <w:rtl/>
        </w:rPr>
        <w:footnoteReference w:id="378"/>
      </w:r>
    </w:p>
    <w:p w14:paraId="06ACF2B1"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استفاده از پارامترهای کالیبره شده به جای برآورد شده در این روش، بسیار مورد مشاجره و بحث بوده است. به زعم کیدلند و پرسکات در سال ۱۹۸۲، کاربرد کالیبراسیون در نتیجه</w:t>
      </w:r>
      <w:r w:rsidRPr="005C611F">
        <w:rPr>
          <w:rFonts w:hint="cs"/>
          <w:i/>
          <w:sz w:val="23"/>
          <w:szCs w:val="23"/>
          <w:rtl/>
        </w:rPr>
        <w:softHyphen/>
        <w:t xml:space="preserve">ی جستجوی مدل </w:t>
      </w:r>
      <w:r w:rsidRPr="005C611F">
        <w:rPr>
          <w:rFonts w:hint="cs"/>
          <w:i/>
          <w:sz w:val="23"/>
          <w:szCs w:val="23"/>
          <w:rtl/>
        </w:rPr>
        <w:lastRenderedPageBreak/>
        <w:t>در وضعیت مناسب است. آن‌ها معتقدند انتخاب مقادیر پارامترها، مبین تصریح ترجیحات و تکنولوژی در مطالعات کاربردی است، و می‌بایست مقادیری باشند که در آن، مقادیر تعادلی بلند‌مدت مدل در نزدیکی مقادیر متوسط در دوره مورد بررسی باشد.</w:t>
      </w:r>
    </w:p>
    <w:p w14:paraId="33E719D0"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خطر استفاده از برآورد و تخمین پارامترها به روش اقتصادسنجیِ مرسوم آن است که مدل اقتصادی، معمولاً براساس ضوابط آماری همانند تطابق متغیرهای برارزش شده با واقعیت و یا معنی</w:t>
      </w:r>
      <w:r w:rsidRPr="005C611F">
        <w:rPr>
          <w:rFonts w:hint="cs"/>
          <w:i/>
          <w:sz w:val="23"/>
          <w:szCs w:val="23"/>
          <w:rtl/>
        </w:rPr>
        <w:softHyphen/>
        <w:t>داری ضرایب برآورد شده مورد ارزیابی قرار می‌گیرد. در نتیجه، هر خطای تصریح آشکار در مدل اقتصادی، با بسط ساختار پویای مدل و عدم توجه به نظریه‌های اقتصاد کلان تعدیل می‌شود. انگیزه و وسوسه افزودن پویایی مدل، برای تکمیل همزمانی معادله</w:t>
      </w:r>
      <w:r w:rsidRPr="005C611F">
        <w:rPr>
          <w:rFonts w:hint="cs"/>
          <w:i/>
          <w:sz w:val="23"/>
          <w:szCs w:val="23"/>
          <w:rtl/>
        </w:rPr>
        <w:softHyphen/>
        <w:t>ی مدل اقتصادی است. برای هر متغیر درون</w:t>
      </w:r>
      <w:r w:rsidRPr="005C611F">
        <w:rPr>
          <w:rFonts w:hint="cs"/>
          <w:i/>
          <w:sz w:val="23"/>
          <w:szCs w:val="23"/>
          <w:rtl/>
        </w:rPr>
        <w:softHyphen/>
        <w:t>زا یک سری زمانی تک متغیره مشخص، و یا برای گروهی از متغیرها یک بردار خود همبسته‌ وجود دارد. این تصریح یا دقیق است و یا ممکن است با تقریب و با افزودن وقفه‌های مناسب به دست آید. متعاقباً حذف متغیرهای با همبستگی سریالی از مدل ساختاری معمولاً می‌تواند به وسیله وقفه‌های بیشتر متغیرها جبران شود. بعلاوه بدون افزودن متغیرهای حذف شده، خطای تصریح آشکار نمی</w:t>
      </w:r>
      <w:r w:rsidRPr="005C611F">
        <w:rPr>
          <w:i/>
          <w:sz w:val="23"/>
          <w:szCs w:val="23"/>
          <w:rtl/>
        </w:rPr>
        <w:softHyphen/>
      </w:r>
      <w:r w:rsidRPr="005C611F">
        <w:rPr>
          <w:rFonts w:hint="cs"/>
          <w:i/>
          <w:sz w:val="23"/>
          <w:szCs w:val="23"/>
          <w:rtl/>
        </w:rPr>
        <w:t>شود. همان</w:t>
      </w:r>
      <w:r w:rsidRPr="005C611F">
        <w:rPr>
          <w:rFonts w:hint="cs"/>
          <w:i/>
          <w:sz w:val="23"/>
          <w:szCs w:val="23"/>
          <w:rtl/>
        </w:rPr>
        <w:softHyphen/>
        <w:t>گونه که مدل‌های تعادل عمومی‌ پویا و کالیبره شده معمولاً دارای ساختار پویایی نسبتاً ساده هستند، لذا در این مدل‌ها برازش داده</w:t>
      </w:r>
      <w:r w:rsidRPr="005C611F">
        <w:rPr>
          <w:i/>
          <w:sz w:val="23"/>
          <w:szCs w:val="23"/>
          <w:rtl/>
        </w:rPr>
        <w:softHyphen/>
      </w:r>
      <w:r w:rsidRPr="005C611F">
        <w:rPr>
          <w:rFonts w:hint="cs"/>
          <w:i/>
          <w:sz w:val="23"/>
          <w:szCs w:val="23"/>
          <w:rtl/>
        </w:rPr>
        <w:t>ها بوسیله</w:t>
      </w:r>
      <w:r w:rsidRPr="005C611F">
        <w:rPr>
          <w:i/>
          <w:sz w:val="23"/>
          <w:szCs w:val="23"/>
          <w:rtl/>
        </w:rPr>
        <w:softHyphen/>
      </w:r>
      <w:r w:rsidRPr="005C611F">
        <w:rPr>
          <w:rFonts w:hint="cs"/>
          <w:i/>
          <w:sz w:val="23"/>
          <w:szCs w:val="23"/>
          <w:rtl/>
        </w:rPr>
        <w:t>ی مدل نسبت به مدل‌های برآورد شده ضعیف</w:t>
      </w:r>
      <w:r w:rsidRPr="005C611F">
        <w:rPr>
          <w:rFonts w:hint="cs"/>
          <w:i/>
          <w:sz w:val="23"/>
          <w:szCs w:val="23"/>
          <w:rtl/>
        </w:rPr>
        <w:softHyphen/>
        <w:t xml:space="preserve">تر است. </w:t>
      </w:r>
    </w:p>
    <w:p w14:paraId="43D60C2A"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راه بهتر برای قضاوت مدل تعادل عمومی‌پویا، توجه به حل بلند‌مدت آن و مقایسه‌ی ساختار همبستگی متقاطع و شکل توابع واکنش ضربه به شوک‌ها با مدل‌های سری زمانی همانند مدل‌های </w:t>
      </w:r>
      <w:r w:rsidRPr="005C611F">
        <w:rPr>
          <w:i/>
          <w:sz w:val="23"/>
          <w:szCs w:val="23"/>
        </w:rPr>
        <w:t>VAR</w:t>
      </w:r>
      <w:r w:rsidRPr="005C611F">
        <w:rPr>
          <w:rFonts w:hint="cs"/>
          <w:i/>
          <w:sz w:val="23"/>
          <w:szCs w:val="23"/>
          <w:rtl/>
        </w:rPr>
        <w:t xml:space="preserve"> است. اطلاعات مربوط به مقادیر پارامترهای بلند‌مدت معمولاً بهتر در دسترس هستند. در ارزیابی یک ساختار اقتصادی که پارامترهای آن برآورد شده، این امکان وجود دارد که این پارامترهای بلندمدت را در مقابل اطلاعات از قبل تعیین شده آزمون کرد.</w:t>
      </w:r>
    </w:p>
    <w:p w14:paraId="059D8BAA"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در سال‌های اخیر روش‌های بهینه‌ی کالیبراسیون مورد بررسی قرار گرفته و یکی از این روش‌ها، با نام استنتاج غیرمستقیم شناخته می</w:t>
      </w:r>
      <w:r w:rsidRPr="005C611F">
        <w:rPr>
          <w:i/>
          <w:sz w:val="23"/>
          <w:szCs w:val="23"/>
          <w:rtl/>
        </w:rPr>
        <w:softHyphen/>
      </w:r>
      <w:r w:rsidRPr="005C611F">
        <w:rPr>
          <w:rFonts w:hint="cs"/>
          <w:i/>
          <w:sz w:val="23"/>
          <w:szCs w:val="23"/>
          <w:rtl/>
        </w:rPr>
        <w:t>شود. جذابیت این روش از این روست که مدل کالیبره شده را می‌توان با روش‌های استاندارد آماری ارزیابی نمود. مزیت دیگر آن هنگامی است که مدل اقتصادی غیرخطی است. اغلب برآورد مدل‌های غیرخطی به روش‌های اقتصادسنجی، بدون خطی کردن آن‌ها مشکل است. درحالی</w:t>
      </w:r>
      <w:r w:rsidRPr="005C611F">
        <w:rPr>
          <w:i/>
          <w:sz w:val="23"/>
          <w:szCs w:val="23"/>
          <w:rtl/>
        </w:rPr>
        <w:softHyphen/>
      </w:r>
      <w:r w:rsidRPr="005C611F">
        <w:rPr>
          <w:rFonts w:hint="cs"/>
          <w:i/>
          <w:sz w:val="23"/>
          <w:szCs w:val="23"/>
          <w:rtl/>
        </w:rPr>
        <w:t>که در روش کالیبراسیون، خطی کردن مدل معمولاً ضرورتی ندارد.</w:t>
      </w:r>
    </w:p>
    <w:p w14:paraId="0803BB86"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در این روش، ابتدا داده‌های مدل اقتصادی را به کمک برآورد</w:t>
      </w:r>
      <w:r w:rsidRPr="005C611F">
        <w:rPr>
          <w:i/>
          <w:sz w:val="23"/>
          <w:szCs w:val="23"/>
        </w:rPr>
        <w:t xml:space="preserve"> </w:t>
      </w:r>
      <w:r w:rsidRPr="005C611F">
        <w:rPr>
          <w:rFonts w:hint="cs"/>
          <w:i/>
          <w:sz w:val="23"/>
          <w:szCs w:val="23"/>
          <w:rtl/>
        </w:rPr>
        <w:t>پارامترهای آن برازش می‌کنند. این مدل را مدل کمکی نامند که ممکن است یک بردار خود همبسته و یا معادله</w:t>
      </w:r>
      <w:r w:rsidRPr="005C611F">
        <w:rPr>
          <w:i/>
          <w:sz w:val="23"/>
          <w:szCs w:val="23"/>
          <w:rtl/>
        </w:rPr>
        <w:softHyphen/>
      </w:r>
      <w:r w:rsidRPr="005C611F">
        <w:rPr>
          <w:rFonts w:hint="cs"/>
          <w:i/>
          <w:sz w:val="23"/>
          <w:szCs w:val="23"/>
          <w:rtl/>
        </w:rPr>
        <w:t>ای شبیه   (۱۶. ۱۳) باشد. سپس مدل چرخه</w:t>
      </w:r>
      <w:r w:rsidRPr="005C611F">
        <w:rPr>
          <w:i/>
          <w:sz w:val="23"/>
          <w:szCs w:val="23"/>
          <w:rtl/>
        </w:rPr>
        <w:softHyphen/>
      </w:r>
      <w:r w:rsidRPr="005C611F">
        <w:rPr>
          <w:rFonts w:hint="cs"/>
          <w:i/>
          <w:sz w:val="23"/>
          <w:szCs w:val="23"/>
          <w:rtl/>
        </w:rPr>
        <w:t>ی تجارتی حقیقی، کالیبره و سپس شبیه</w:t>
      </w:r>
      <w:r w:rsidRPr="005C611F">
        <w:rPr>
          <w:i/>
          <w:sz w:val="23"/>
          <w:szCs w:val="23"/>
          <w:rtl/>
        </w:rPr>
        <w:softHyphen/>
      </w:r>
      <w:r w:rsidRPr="005C611F">
        <w:rPr>
          <w:rFonts w:hint="cs"/>
          <w:i/>
          <w:sz w:val="23"/>
          <w:szCs w:val="23"/>
          <w:rtl/>
        </w:rPr>
        <w:t>سازی می‌شود تا داده‌های ساختگی و مصنوعی ایجاد شوند. معمولاً در این حالت ضرورتی بر خطی کردن مدل جهت به دست آوردن مقادیر شبیه</w:t>
      </w:r>
      <w:r w:rsidRPr="005C611F">
        <w:rPr>
          <w:i/>
          <w:sz w:val="23"/>
          <w:szCs w:val="23"/>
          <w:rtl/>
        </w:rPr>
        <w:softHyphen/>
      </w:r>
      <w:r w:rsidRPr="005C611F">
        <w:rPr>
          <w:rFonts w:hint="cs"/>
          <w:i/>
          <w:sz w:val="23"/>
          <w:szCs w:val="23"/>
          <w:rtl/>
        </w:rPr>
        <w:t>سازی شده نیست. پس از آن، مدل ساختگی با استفاده از داده‌های شبیه</w:t>
      </w:r>
      <w:r w:rsidRPr="005C611F">
        <w:rPr>
          <w:i/>
          <w:sz w:val="23"/>
          <w:szCs w:val="23"/>
          <w:rtl/>
        </w:rPr>
        <w:softHyphen/>
      </w:r>
      <w:r w:rsidRPr="005C611F">
        <w:rPr>
          <w:rFonts w:hint="cs"/>
          <w:i/>
          <w:sz w:val="23"/>
          <w:szCs w:val="23"/>
          <w:rtl/>
        </w:rPr>
        <w:t>سازی شده برآورد می‌شود. آنگاه گام‌های دوم و سوم با مدل چرخه تجاری حقیقی کالیبره شده‌ی متفاوت تکرار می‌شوند. کالیبراسیون بهینه هنگامی ‌است که مدل ساختگی برآورد شده بر مبنای داده‌های شبیه</w:t>
      </w:r>
      <w:r w:rsidRPr="005C611F">
        <w:rPr>
          <w:i/>
          <w:sz w:val="23"/>
          <w:szCs w:val="23"/>
          <w:rtl/>
        </w:rPr>
        <w:softHyphen/>
      </w:r>
      <w:r w:rsidRPr="005C611F">
        <w:rPr>
          <w:rFonts w:hint="cs"/>
          <w:i/>
          <w:sz w:val="23"/>
          <w:szCs w:val="23"/>
          <w:rtl/>
        </w:rPr>
        <w:t xml:space="preserve">سازی شده، به مدل ساختگی برآورد شده از داده‌های مشاهده شده نزدیکتر باشد. مقایسه‌ی دو </w:t>
      </w:r>
      <w:r w:rsidRPr="005C611F">
        <w:rPr>
          <w:rFonts w:hint="cs"/>
          <w:i/>
          <w:sz w:val="23"/>
          <w:szCs w:val="23"/>
          <w:rtl/>
        </w:rPr>
        <w:lastRenderedPageBreak/>
        <w:t>مجموعه داده‌ها ممکن است بوسیله</w:t>
      </w:r>
      <w:r w:rsidRPr="005C611F">
        <w:rPr>
          <w:i/>
          <w:sz w:val="23"/>
          <w:szCs w:val="23"/>
          <w:rtl/>
        </w:rPr>
        <w:softHyphen/>
      </w:r>
      <w:r w:rsidRPr="005C611F">
        <w:rPr>
          <w:rFonts w:hint="cs"/>
          <w:i/>
          <w:sz w:val="23"/>
          <w:szCs w:val="23"/>
          <w:rtl/>
        </w:rPr>
        <w:t>ی ضرایب برآورد شده مدل ساختگی،</w:t>
      </w:r>
      <w:r w:rsidRPr="005C611F">
        <w:rPr>
          <w:rStyle w:val="FootnoteReference"/>
          <w:i/>
          <w:sz w:val="23"/>
          <w:szCs w:val="23"/>
          <w:rtl/>
        </w:rPr>
        <w:footnoteReference w:id="379"/>
      </w:r>
      <w:r w:rsidRPr="005C611F">
        <w:rPr>
          <w:rFonts w:hint="cs"/>
          <w:i/>
          <w:sz w:val="23"/>
          <w:szCs w:val="23"/>
          <w:rtl/>
        </w:rPr>
        <w:t xml:space="preserve"> و یا به وسیله‌ی مقایسه‌ی نسبت توابع راست نمایی</w:t>
      </w:r>
      <w:r w:rsidRPr="005C611F">
        <w:rPr>
          <w:rStyle w:val="FootnoteReference"/>
          <w:i/>
          <w:sz w:val="23"/>
          <w:szCs w:val="23"/>
          <w:rtl/>
        </w:rPr>
        <w:footnoteReference w:id="380"/>
      </w:r>
      <w:r w:rsidRPr="005C611F">
        <w:rPr>
          <w:rFonts w:hint="cs"/>
          <w:i/>
          <w:sz w:val="23"/>
          <w:szCs w:val="23"/>
          <w:rtl/>
        </w:rPr>
        <w:t xml:space="preserve"> انجام شود.</w:t>
      </w:r>
    </w:p>
    <w:p w14:paraId="123DB117" w14:textId="77777777" w:rsidR="00556C10" w:rsidRPr="005C611F" w:rsidRDefault="00556C10" w:rsidP="00556C10">
      <w:pPr>
        <w:tabs>
          <w:tab w:val="left" w:pos="90"/>
        </w:tabs>
        <w:spacing w:line="216" w:lineRule="auto"/>
        <w:rPr>
          <w:i/>
          <w:sz w:val="23"/>
          <w:szCs w:val="23"/>
        </w:rPr>
      </w:pPr>
      <w:r w:rsidRPr="005C611F">
        <w:rPr>
          <w:rFonts w:hint="cs"/>
          <w:i/>
          <w:sz w:val="23"/>
          <w:szCs w:val="23"/>
          <w:rtl/>
        </w:rPr>
        <w:t>علیرغم کاربرد گسترده</w:t>
      </w:r>
      <w:r w:rsidRPr="005C611F">
        <w:rPr>
          <w:i/>
          <w:sz w:val="23"/>
          <w:szCs w:val="23"/>
          <w:rtl/>
        </w:rPr>
        <w:softHyphen/>
      </w:r>
      <w:r w:rsidRPr="005C611F">
        <w:rPr>
          <w:rFonts w:hint="cs"/>
          <w:i/>
          <w:sz w:val="23"/>
          <w:szCs w:val="23"/>
          <w:rtl/>
        </w:rPr>
        <w:t>ی فیلتر هودریک-پرسکات، این نکته هنوز روشن نیست که آیا این فیلتر بهترین راه برای روندزدایی متغیرهاست. بر طبق نظریه فوق می</w:t>
      </w:r>
      <w:r w:rsidRPr="005C611F">
        <w:rPr>
          <w:i/>
          <w:sz w:val="23"/>
          <w:szCs w:val="23"/>
          <w:rtl/>
        </w:rPr>
        <w:softHyphen/>
      </w:r>
      <w:r w:rsidRPr="005C611F">
        <w:rPr>
          <w:rFonts w:hint="cs"/>
          <w:i/>
          <w:sz w:val="23"/>
          <w:szCs w:val="23"/>
          <w:rtl/>
        </w:rPr>
        <w:t>بایست لگاریتم داده</w:t>
      </w:r>
      <w:r w:rsidRPr="005C611F">
        <w:rPr>
          <w:i/>
          <w:sz w:val="23"/>
          <w:szCs w:val="23"/>
          <w:rtl/>
        </w:rPr>
        <w:softHyphen/>
      </w:r>
      <w:r w:rsidRPr="005C611F">
        <w:rPr>
          <w:rFonts w:hint="cs"/>
          <w:i/>
          <w:sz w:val="23"/>
          <w:szCs w:val="23"/>
          <w:rtl/>
        </w:rPr>
        <w:t>ها را با بکارگیری روند خطی روندزدایی کنیم. یک مشکل استفاده از فیلتر هودریک-پرسکات انعطاف</w:t>
      </w:r>
      <w:r w:rsidRPr="005C611F">
        <w:rPr>
          <w:i/>
          <w:sz w:val="23"/>
          <w:szCs w:val="23"/>
          <w:rtl/>
        </w:rPr>
        <w:softHyphen/>
      </w:r>
      <w:r w:rsidRPr="005C611F">
        <w:rPr>
          <w:rFonts w:hint="cs"/>
          <w:i/>
          <w:sz w:val="23"/>
          <w:szCs w:val="23"/>
          <w:rtl/>
        </w:rPr>
        <w:t xml:space="preserve">پذیری بیش از حدّ آن است که به پارامتر اختیاری </w:t>
      </w:r>
      <w:r w:rsidRPr="005C611F">
        <w:rPr>
          <w:rFonts w:cs="Cambria"/>
          <w:i/>
          <w:sz w:val="23"/>
          <w:szCs w:val="23"/>
        </w:rPr>
        <w:t>λ</w:t>
      </w:r>
      <w:r w:rsidRPr="005C611F">
        <w:rPr>
          <w:rFonts w:hint="cs"/>
          <w:i/>
          <w:sz w:val="23"/>
          <w:szCs w:val="23"/>
          <w:rtl/>
        </w:rPr>
        <w:t xml:space="preserve">، با وزن روند هموار وابسته است. این پارامتر کنترل دو حالت حدّی، که یکی روند دقیق داده‌های حقیقی را، و در دیگری روند خطی را دنبال خواهد کرد را بر عهده دارد. علیرغم آنکه معمولاً ضریب خاصی برای </w:t>
      </w:r>
      <w:r w:rsidRPr="005C611F">
        <w:rPr>
          <w:rFonts w:cs="Cambria"/>
          <w:i/>
          <w:sz w:val="23"/>
          <w:szCs w:val="23"/>
        </w:rPr>
        <w:t>λ</w:t>
      </w:r>
      <w:r w:rsidRPr="005C611F">
        <w:rPr>
          <w:rFonts w:hint="cs"/>
          <w:i/>
          <w:sz w:val="23"/>
          <w:szCs w:val="23"/>
          <w:rtl/>
        </w:rPr>
        <w:t xml:space="preserve"> انتخاب می‌شود، ولی هر انتخابِ بین این دو حالت حدّی، اختیاری است. توجه داریم که در انحراف از مسیر روند خطی، استفاده از فیلتر هودریک-پرسکات، نوسانات منتج از شوک‌ها را کاهش خواهد داد. مشکل بعدیِ استفاده از فیلتر هودریک-پرسکات آن است که این فیلتر چرخه‌ها را بر سری‌های روندزدا شده تحمیل می‌کند، درحالی</w:t>
      </w:r>
      <w:r w:rsidRPr="005C611F">
        <w:rPr>
          <w:i/>
          <w:sz w:val="23"/>
          <w:szCs w:val="23"/>
          <w:rtl/>
        </w:rPr>
        <w:softHyphen/>
      </w:r>
      <w:r w:rsidRPr="005C611F">
        <w:rPr>
          <w:rFonts w:hint="cs"/>
          <w:i/>
          <w:sz w:val="23"/>
          <w:szCs w:val="23"/>
          <w:rtl/>
        </w:rPr>
        <w:t>که داده‌های اصلی فاقد آن است. با استعانت از این دلایل، بکارگیری روند زمانی چند جمله</w:t>
      </w:r>
      <w:r w:rsidRPr="005C611F">
        <w:rPr>
          <w:i/>
          <w:sz w:val="23"/>
          <w:szCs w:val="23"/>
          <w:rtl/>
        </w:rPr>
        <w:softHyphen/>
      </w:r>
      <w:r w:rsidRPr="005C611F">
        <w:rPr>
          <w:rFonts w:hint="cs"/>
          <w:i/>
          <w:sz w:val="23"/>
          <w:szCs w:val="23"/>
          <w:rtl/>
        </w:rPr>
        <w:t xml:space="preserve">ای با درجه‌ی پایین، ممکن است بر استفاده از فیلتر هودریک-پرسکات مرجح باشد. </w:t>
      </w:r>
    </w:p>
    <w:p w14:paraId="63BF75AD"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در این قسمت روش شناسی بکارگرفته شده در ارزیابی مدل‌های چرخه‌های تجاری حقیقی را مورد بررسی قرار دادیم. در واقع، تعدیل این روش شناسی برای مدل‌های اقتصاد کلان تعادل عمومی‌پویای تصادفی که در فصول قبل مورد بررسی قرارگرفت آسان است. در اینجا لازم است تا منابع بیشتری از مقادیر تصادفی در اقتصاد را معرفی نموده و مدل اقتصادی را برآورد و یا کالیبره نمود. در این صورت خصوصیات نتایج عددی مدل را می‌توان بدست آورد.</w:t>
      </w:r>
    </w:p>
    <w:p w14:paraId="43126223" w14:textId="77777777" w:rsidR="00556C10" w:rsidRPr="005C611F" w:rsidRDefault="00556C10" w:rsidP="00556C10">
      <w:pPr>
        <w:tabs>
          <w:tab w:val="left" w:pos="90"/>
        </w:tabs>
        <w:spacing w:line="216" w:lineRule="auto"/>
        <w:rPr>
          <w:i/>
          <w:sz w:val="23"/>
          <w:szCs w:val="23"/>
          <w:rtl/>
        </w:rPr>
      </w:pPr>
    </w:p>
    <w:p w14:paraId="334BAEF5" w14:textId="77777777" w:rsidR="00556C10" w:rsidRPr="005C611F" w:rsidRDefault="00556C10" w:rsidP="00556C10">
      <w:pPr>
        <w:tabs>
          <w:tab w:val="left" w:pos="90"/>
        </w:tabs>
        <w:spacing w:line="216" w:lineRule="auto"/>
        <w:rPr>
          <w:bCs/>
          <w:i/>
          <w:sz w:val="23"/>
          <w:szCs w:val="23"/>
        </w:rPr>
      </w:pPr>
      <w:r w:rsidRPr="005C611F">
        <w:rPr>
          <w:rFonts w:hint="cs"/>
          <w:bCs/>
          <w:i/>
          <w:sz w:val="23"/>
          <w:szCs w:val="23"/>
          <w:rtl/>
        </w:rPr>
        <w:t>شواهد تجربی مدل چرخه‌های تجاری حقیقی</w:t>
      </w:r>
    </w:p>
    <w:p w14:paraId="7983C976"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شواهد تجربی اولیه در خصوص مدل‌های اقتصاد کلان تعادل عمومی‌پویا مربوط به مدل‌های چرخه‌های تجاری حقیقی است و مطالعات بسیار زیادی در این خصوص وجود دارد. هدف ما شناسایی مهم ترین عوامل توضیح چرخه‌های تجاری، و به طور کلی، نوسانات متغیرهای کلیدی اقتصاد کلان است. ابتدا، مدل چرخه</w:t>
      </w:r>
      <w:r w:rsidRPr="005C611F">
        <w:rPr>
          <w:i/>
          <w:sz w:val="23"/>
          <w:szCs w:val="23"/>
          <w:rtl/>
        </w:rPr>
        <w:softHyphen/>
      </w:r>
      <w:r w:rsidRPr="005C611F">
        <w:rPr>
          <w:rFonts w:hint="cs"/>
          <w:i/>
          <w:sz w:val="23"/>
          <w:szCs w:val="23"/>
          <w:rtl/>
        </w:rPr>
        <w:t>های تجاری حقیقی اولیه را مورد توجه قرار داده و سپس آن</w:t>
      </w:r>
      <w:r w:rsidRPr="005C611F">
        <w:rPr>
          <w:i/>
          <w:sz w:val="23"/>
          <w:szCs w:val="23"/>
          <w:rtl/>
        </w:rPr>
        <w:softHyphen/>
      </w:r>
      <w:r w:rsidRPr="005C611F">
        <w:rPr>
          <w:rFonts w:hint="cs"/>
          <w:i/>
          <w:sz w:val="23"/>
          <w:szCs w:val="23"/>
          <w:rtl/>
        </w:rPr>
        <w:t>را بسط می</w:t>
      </w:r>
      <w:r w:rsidRPr="005C611F">
        <w:rPr>
          <w:i/>
          <w:sz w:val="23"/>
          <w:szCs w:val="23"/>
          <w:rtl/>
        </w:rPr>
        <w:softHyphen/>
      </w:r>
      <w:r w:rsidRPr="005C611F">
        <w:rPr>
          <w:rFonts w:hint="cs"/>
          <w:i/>
          <w:sz w:val="23"/>
          <w:szCs w:val="23"/>
          <w:rtl/>
        </w:rPr>
        <w:t>دهیم. پس از آن مدل چرخه</w:t>
      </w:r>
      <w:r w:rsidRPr="005C611F">
        <w:rPr>
          <w:i/>
          <w:sz w:val="23"/>
          <w:szCs w:val="23"/>
          <w:rtl/>
        </w:rPr>
        <w:softHyphen/>
      </w:r>
      <w:r w:rsidRPr="005C611F">
        <w:rPr>
          <w:rFonts w:hint="cs"/>
          <w:i/>
          <w:sz w:val="23"/>
          <w:szCs w:val="23"/>
          <w:rtl/>
        </w:rPr>
        <w:t xml:space="preserve">های تجاری حقیقی را در اقتصاد باز و نهایتاً مدل تعادل عمومی‌پویا در اقتصاد پولی را مورد بررسی قرار خواهیم داد. </w:t>
      </w:r>
    </w:p>
    <w:p w14:paraId="4FD4B99D"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منبع عمومی ‌مناسب و مورد استفاده در خصوص مدل‌های چرخه‌های تجاری حقیقی وب سایت شبکه‌ی چرخه تجاری اتحادیه اروپا یا </w:t>
      </w:r>
      <w:r>
        <w:fldChar w:fldCharType="begin"/>
      </w:r>
      <w:r>
        <w:instrText xml:space="preserve"> HYPERLINK "http://www.ecbcn.org" </w:instrText>
      </w:r>
      <w:r>
        <w:fldChar w:fldCharType="separate"/>
      </w:r>
      <w:r w:rsidRPr="005C611F">
        <w:rPr>
          <w:rStyle w:val="Hyperlink"/>
          <w:i/>
          <w:sz w:val="23"/>
          <w:szCs w:val="23"/>
        </w:rPr>
        <w:t>www.ecbcn.org</w:t>
      </w:r>
      <w:r>
        <w:rPr>
          <w:rStyle w:val="Hyperlink"/>
          <w:i/>
          <w:sz w:val="23"/>
          <w:szCs w:val="23"/>
        </w:rPr>
        <w:fldChar w:fldCharType="end"/>
      </w:r>
      <w:r w:rsidRPr="005C611F">
        <w:rPr>
          <w:rFonts w:hint="cs"/>
          <w:i/>
          <w:sz w:val="23"/>
          <w:szCs w:val="23"/>
          <w:rtl/>
        </w:rPr>
        <w:t xml:space="preserve"> است.</w:t>
      </w:r>
    </w:p>
    <w:p w14:paraId="2EE19EB8" w14:textId="77777777" w:rsidR="00556C10" w:rsidRPr="005C611F" w:rsidRDefault="00556C10" w:rsidP="00556C10">
      <w:pPr>
        <w:tabs>
          <w:tab w:val="left" w:pos="90"/>
        </w:tabs>
        <w:spacing w:line="216" w:lineRule="auto"/>
        <w:rPr>
          <w:i/>
          <w:sz w:val="23"/>
          <w:szCs w:val="23"/>
          <w:rtl/>
        </w:rPr>
      </w:pPr>
    </w:p>
    <w:p w14:paraId="2092B4CA" w14:textId="77777777" w:rsidR="00556C10" w:rsidRPr="005C611F" w:rsidRDefault="00556C10" w:rsidP="00556C10">
      <w:pPr>
        <w:tabs>
          <w:tab w:val="left" w:pos="90"/>
        </w:tabs>
        <w:spacing w:line="216" w:lineRule="auto"/>
        <w:rPr>
          <w:bCs/>
          <w:i/>
          <w:sz w:val="23"/>
          <w:szCs w:val="23"/>
        </w:rPr>
      </w:pPr>
      <w:r w:rsidRPr="005C611F">
        <w:rPr>
          <w:rFonts w:hint="cs"/>
          <w:bCs/>
          <w:i/>
          <w:sz w:val="23"/>
          <w:szCs w:val="23"/>
          <w:rtl/>
        </w:rPr>
        <w:lastRenderedPageBreak/>
        <w:t>مدل چرخه تجاری حقیقی اولیه</w:t>
      </w:r>
    </w:p>
    <w:p w14:paraId="372E68D9" w14:textId="77777777" w:rsidR="00556C10" w:rsidRPr="005C611F" w:rsidRDefault="00556C10" w:rsidP="00556C10">
      <w:pPr>
        <w:tabs>
          <w:tab w:val="left" w:pos="90"/>
        </w:tabs>
        <w:spacing w:line="216" w:lineRule="auto"/>
        <w:rPr>
          <w:i/>
          <w:sz w:val="23"/>
          <w:szCs w:val="23"/>
        </w:rPr>
      </w:pPr>
      <w:r w:rsidRPr="005C611F">
        <w:rPr>
          <w:rFonts w:hint="cs"/>
          <w:i/>
          <w:sz w:val="23"/>
          <w:szCs w:val="23"/>
          <w:rtl/>
        </w:rPr>
        <w:t>مباحث مدل چرخه‌های تجاری حقیقی از مطالعات کینگ و ربلو،</w:t>
      </w:r>
      <w:r w:rsidRPr="005C611F">
        <w:rPr>
          <w:rStyle w:val="FootnoteReference"/>
          <w:i/>
          <w:sz w:val="23"/>
          <w:szCs w:val="23"/>
          <w:rtl/>
        </w:rPr>
        <w:footnoteReference w:id="381"/>
      </w:r>
      <w:r w:rsidRPr="005C611F">
        <w:rPr>
          <w:rFonts w:hint="cs"/>
          <w:i/>
          <w:sz w:val="23"/>
          <w:szCs w:val="23"/>
          <w:rtl/>
        </w:rPr>
        <w:t xml:space="preserve"> و ربلو</w:t>
      </w:r>
      <w:r w:rsidRPr="005C611F">
        <w:rPr>
          <w:rStyle w:val="FootnoteReference"/>
          <w:i/>
          <w:sz w:val="23"/>
          <w:szCs w:val="23"/>
          <w:rtl/>
        </w:rPr>
        <w:footnoteReference w:id="382"/>
      </w:r>
      <w:r w:rsidRPr="005C611F">
        <w:rPr>
          <w:rFonts w:hint="cs"/>
          <w:i/>
          <w:sz w:val="23"/>
          <w:szCs w:val="23"/>
          <w:rtl/>
        </w:rPr>
        <w:t xml:space="preserve"> و همچنین کینگ و پلاسر،</w:t>
      </w:r>
      <w:r w:rsidRPr="005C611F">
        <w:rPr>
          <w:rStyle w:val="FootnoteReference"/>
          <w:i/>
          <w:sz w:val="23"/>
          <w:szCs w:val="23"/>
          <w:rtl/>
        </w:rPr>
        <w:footnoteReference w:id="383"/>
      </w:r>
      <w:r w:rsidRPr="005C611F">
        <w:rPr>
          <w:rFonts w:hint="cs"/>
          <w:i/>
          <w:sz w:val="23"/>
          <w:szCs w:val="23"/>
          <w:rtl/>
        </w:rPr>
        <w:t xml:space="preserve"> کینگ</w:t>
      </w:r>
      <w:r w:rsidRPr="005C611F">
        <w:rPr>
          <w:i/>
          <w:sz w:val="23"/>
          <w:szCs w:val="23"/>
        </w:rPr>
        <w:t xml:space="preserve"> </w:t>
      </w:r>
      <w:r w:rsidRPr="005C611F">
        <w:rPr>
          <w:rFonts w:hint="cs"/>
          <w:i/>
          <w:sz w:val="23"/>
          <w:szCs w:val="23"/>
          <w:rtl/>
        </w:rPr>
        <w:t>و دیگران،</w:t>
      </w:r>
      <w:r w:rsidRPr="005C611F">
        <w:rPr>
          <w:rStyle w:val="FootnoteReference"/>
          <w:i/>
          <w:sz w:val="23"/>
          <w:szCs w:val="23"/>
          <w:rtl/>
        </w:rPr>
        <w:footnoteReference w:id="384"/>
      </w:r>
      <w:r w:rsidRPr="005C611F">
        <w:rPr>
          <w:rFonts w:hint="cs"/>
          <w:i/>
          <w:sz w:val="23"/>
          <w:szCs w:val="23"/>
          <w:rtl/>
        </w:rPr>
        <w:t xml:space="preserve"> کولی،</w:t>
      </w:r>
      <w:r w:rsidRPr="005C611F">
        <w:rPr>
          <w:rStyle w:val="FootnoteReference"/>
          <w:i/>
          <w:sz w:val="23"/>
          <w:szCs w:val="23"/>
          <w:rtl/>
        </w:rPr>
        <w:footnoteReference w:id="385"/>
      </w:r>
      <w:r w:rsidRPr="005C611F">
        <w:rPr>
          <w:rFonts w:hint="cs"/>
          <w:i/>
          <w:sz w:val="23"/>
          <w:szCs w:val="23"/>
          <w:rtl/>
        </w:rPr>
        <w:t xml:space="preserve"> و ماریمون و اسکات</w:t>
      </w:r>
      <w:r w:rsidRPr="005C611F">
        <w:rPr>
          <w:rStyle w:val="FootnoteReference"/>
          <w:i/>
          <w:sz w:val="23"/>
          <w:szCs w:val="23"/>
          <w:rtl/>
        </w:rPr>
        <w:footnoteReference w:id="386"/>
      </w:r>
      <w:r w:rsidRPr="005C611F">
        <w:rPr>
          <w:rFonts w:hint="cs"/>
          <w:i/>
          <w:sz w:val="23"/>
          <w:szCs w:val="23"/>
          <w:rtl/>
        </w:rPr>
        <w:t xml:space="preserve"> بدست آمده است. تنها تمایز معنی</w:t>
      </w:r>
      <w:r w:rsidRPr="005C611F">
        <w:rPr>
          <w:i/>
          <w:sz w:val="23"/>
          <w:szCs w:val="23"/>
          <w:rtl/>
        </w:rPr>
        <w:softHyphen/>
      </w:r>
      <w:r w:rsidRPr="005C611F">
        <w:rPr>
          <w:rFonts w:hint="cs"/>
          <w:i/>
          <w:sz w:val="23"/>
          <w:szCs w:val="23"/>
          <w:rtl/>
        </w:rPr>
        <w:t>دار بین مدل کینگ و ربلو و مدل چرخه‌های تجاری حقیقی فوق در مبحث نیروی کار است. در مدل آن‌ها رشد جمعیت در نظر گرفته نشده و در تابع مطلوبیت فراغت نیز وجود دارد، لذا تابع مطلوبیت آن‌ها به صورت زیر تعریف شده است</w:t>
      </w:r>
    </w:p>
    <w:p w14:paraId="0A7920E8" w14:textId="77777777" w:rsidR="00556C10" w:rsidRPr="005C611F" w:rsidRDefault="00556C10" w:rsidP="00556C10">
      <w:pPr>
        <w:tabs>
          <w:tab w:val="left" w:pos="90"/>
        </w:tabs>
        <w:bidi w:val="0"/>
        <w:spacing w:line="216" w:lineRule="auto"/>
        <w:rPr>
          <w:i/>
          <w:sz w:val="23"/>
          <w:szCs w:val="23"/>
          <w:rtl/>
        </w:rPr>
      </w:pPr>
      <w:r w:rsidRPr="00F4704A">
        <w:rPr>
          <w:position w:val="-26"/>
        </w:rPr>
        <w:object w:dxaOrig="2840" w:dyaOrig="639" w14:anchorId="69B47E29">
          <v:shape id="_x0000_i8137" type="#_x0000_t75" style="width:142.2pt;height:32.05pt" o:ole="">
            <v:imagedata r:id="rId14349" o:title=""/>
          </v:shape>
          <o:OLEObject Type="Embed" ProgID="Equation.DSMT4" ShapeID="_x0000_i8137" DrawAspect="Content" ObjectID="_1791382080" r:id="rId14350"/>
        </w:object>
      </w:r>
    </w:p>
    <w:p w14:paraId="63F0101D"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که در آن </w:t>
      </w:r>
      <w:r w:rsidRPr="00F4704A">
        <w:rPr>
          <w:position w:val="-10"/>
        </w:rPr>
        <w:object w:dxaOrig="260" w:dyaOrig="320" w14:anchorId="4C58DF85">
          <v:shape id="_x0000_i8138" type="#_x0000_t75" style="width:13.3pt;height:15.75pt" o:ole="">
            <v:imagedata r:id="rId14351" o:title=""/>
          </v:shape>
          <o:OLEObject Type="Embed" ProgID="Equation.DSMT4" ShapeID="_x0000_i8138" DrawAspect="Content" ObjectID="_1791382081" r:id="rId14352"/>
        </w:object>
      </w:r>
      <w:r w:rsidRPr="005C611F">
        <w:rPr>
          <w:rFonts w:hint="cs"/>
          <w:i/>
          <w:sz w:val="23"/>
          <w:szCs w:val="23"/>
          <w:rtl/>
        </w:rPr>
        <w:t xml:space="preserve"> فراغت و </w:t>
      </w:r>
      <w:r w:rsidRPr="00F4704A">
        <w:rPr>
          <w:position w:val="-10"/>
        </w:rPr>
        <w:object w:dxaOrig="300" w:dyaOrig="320" w14:anchorId="0883D3C7">
          <v:shape id="_x0000_i8139" type="#_x0000_t75" style="width:14.5pt;height:15.75pt" o:ole="">
            <v:imagedata r:id="rId14353" o:title=""/>
          </v:shape>
          <o:OLEObject Type="Embed" ProgID="Equation.DSMT4" ShapeID="_x0000_i8139" DrawAspect="Content" ObjectID="_1791382082" r:id="rId14354"/>
        </w:object>
      </w:r>
      <w:r w:rsidRPr="005C611F">
        <w:rPr>
          <w:rFonts w:hint="cs"/>
          <w:i/>
          <w:sz w:val="23"/>
          <w:szCs w:val="23"/>
          <w:rtl/>
        </w:rPr>
        <w:t xml:space="preserve"> نشاندهنده‌ی کار و</w:t>
      </w:r>
      <w:r w:rsidRPr="00F4704A">
        <w:rPr>
          <w:position w:val="-10"/>
        </w:rPr>
        <w:object w:dxaOrig="1040" w:dyaOrig="320" w14:anchorId="44602055">
          <v:shape id="_x0000_i8140" type="#_x0000_t75" style="width:52.05pt;height:15.75pt" o:ole="">
            <v:imagedata r:id="rId14355" o:title=""/>
          </v:shape>
          <o:OLEObject Type="Embed" ProgID="Equation.DSMT4" ShapeID="_x0000_i8140" DrawAspect="Content" ObjectID="_1791382083" r:id="rId14356"/>
        </w:object>
      </w:r>
      <w:r w:rsidRPr="005C611F">
        <w:rPr>
          <w:rFonts w:hint="cs"/>
          <w:i/>
          <w:sz w:val="23"/>
          <w:szCs w:val="23"/>
          <w:rtl/>
        </w:rPr>
        <w:t xml:space="preserve"> است. معادلات دیگر همانند فوق است. پیشرفت‌های تکنولوژی نیز برابر است با</w:t>
      </w:r>
    </w:p>
    <w:p w14:paraId="0BA70C58" w14:textId="77777777" w:rsidR="00556C10" w:rsidRPr="005C611F" w:rsidRDefault="00556C10" w:rsidP="00556C10">
      <w:pPr>
        <w:tabs>
          <w:tab w:val="left" w:pos="90"/>
        </w:tabs>
        <w:bidi w:val="0"/>
        <w:spacing w:line="216" w:lineRule="auto"/>
        <w:rPr>
          <w:i/>
          <w:sz w:val="23"/>
          <w:szCs w:val="23"/>
          <w:rtl/>
        </w:rPr>
      </w:pPr>
      <w:r w:rsidRPr="00F4704A">
        <w:rPr>
          <w:position w:val="-10"/>
        </w:rPr>
        <w:object w:dxaOrig="1939" w:dyaOrig="320" w14:anchorId="36C528B5">
          <v:shape id="_x0000_i8141" type="#_x0000_t75" style="width:96.8pt;height:15.75pt" o:ole="">
            <v:imagedata r:id="rId14357" o:title=""/>
          </v:shape>
          <o:OLEObject Type="Embed" ProgID="Equation.DSMT4" ShapeID="_x0000_i8141" DrawAspect="Content" ObjectID="_1791382084" r:id="rId14358"/>
        </w:object>
      </w:r>
    </w:p>
    <w:p w14:paraId="22913D59" w14:textId="77777777" w:rsidR="00556C10" w:rsidRPr="005C611F" w:rsidRDefault="00556C10" w:rsidP="00556C10">
      <w:pPr>
        <w:tabs>
          <w:tab w:val="left" w:pos="90"/>
        </w:tabs>
        <w:bidi w:val="0"/>
        <w:spacing w:line="216" w:lineRule="auto"/>
        <w:rPr>
          <w:i/>
          <w:sz w:val="23"/>
          <w:szCs w:val="23"/>
        </w:rPr>
      </w:pPr>
      <w:r w:rsidRPr="00F4704A">
        <w:rPr>
          <w:position w:val="-10"/>
        </w:rPr>
        <w:object w:dxaOrig="2020" w:dyaOrig="320" w14:anchorId="44B77AB3">
          <v:shape id="_x0000_i8142" type="#_x0000_t75" style="width:101.05pt;height:15.75pt" o:ole="">
            <v:imagedata r:id="rId14359" o:title=""/>
          </v:shape>
          <o:OLEObject Type="Embed" ProgID="Equation.DSMT4" ShapeID="_x0000_i8142" DrawAspect="Content" ObjectID="_1791382085" r:id="rId14360"/>
        </w:object>
      </w:r>
    </w:p>
    <w:p w14:paraId="38EB4DB5" w14:textId="77777777" w:rsidR="00556C10" w:rsidRPr="005C611F" w:rsidRDefault="00556C10" w:rsidP="00556C10">
      <w:pPr>
        <w:tabs>
          <w:tab w:val="left" w:pos="90"/>
        </w:tabs>
        <w:bidi w:val="0"/>
        <w:spacing w:line="216" w:lineRule="auto"/>
        <w:rPr>
          <w:i/>
          <w:sz w:val="23"/>
          <w:szCs w:val="23"/>
          <w:rtl/>
        </w:rPr>
      </w:pPr>
      <w:r w:rsidRPr="00F4704A">
        <w:rPr>
          <w:position w:val="-10"/>
        </w:rPr>
        <w:object w:dxaOrig="1780" w:dyaOrig="320" w14:anchorId="4DEB01CA">
          <v:shape id="_x0000_i8143" type="#_x0000_t75" style="width:88.95pt;height:15.75pt" o:ole="">
            <v:imagedata r:id="rId14361" o:title=""/>
          </v:shape>
          <o:OLEObject Type="Embed" ProgID="Equation.DSMT4" ShapeID="_x0000_i8143" DrawAspect="Content" ObjectID="_1791382086" r:id="rId14362"/>
        </w:object>
      </w:r>
    </w:p>
    <w:p w14:paraId="3610F272"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که در آن</w:t>
      </w:r>
      <w:r w:rsidRPr="005C611F">
        <w:rPr>
          <w:i/>
          <w:sz w:val="23"/>
          <w:szCs w:val="23"/>
        </w:rPr>
        <w:t xml:space="preserve"> </w:t>
      </w:r>
      <w:r w:rsidRPr="00F4704A">
        <w:rPr>
          <w:position w:val="-10"/>
        </w:rPr>
        <w:object w:dxaOrig="220" w:dyaOrig="320" w14:anchorId="4BB07747">
          <v:shape id="_x0000_i8144" type="#_x0000_t75" style="width:10.9pt;height:15.75pt" o:ole="">
            <v:imagedata r:id="rId14363" o:title=""/>
          </v:shape>
          <o:OLEObject Type="Embed" ProgID="Equation.DSMT4" ShapeID="_x0000_i8144" DrawAspect="Content" ObjectID="_1791382087" r:id="rId14364"/>
        </w:object>
      </w:r>
      <w:r w:rsidRPr="005C611F">
        <w:rPr>
          <w:rFonts w:hint="cs"/>
          <w:i/>
          <w:sz w:val="23"/>
          <w:szCs w:val="23"/>
          <w:rtl/>
        </w:rPr>
        <w:t>شوک با توزیع یکسان، میانگین صفر و واریانس</w:t>
      </w:r>
      <w:r w:rsidRPr="00F4704A">
        <w:rPr>
          <w:position w:val="-6"/>
        </w:rPr>
        <w:object w:dxaOrig="300" w:dyaOrig="300" w14:anchorId="4BDCB0EA">
          <v:shape id="_x0000_i8145" type="#_x0000_t75" style="width:14.5pt;height:14.5pt" o:ole="">
            <v:imagedata r:id="rId14365" o:title=""/>
          </v:shape>
          <o:OLEObject Type="Embed" ProgID="Equation.DSMT4" ShapeID="_x0000_i8145" DrawAspect="Content" ObjectID="_1791382088" r:id="rId14366"/>
        </w:object>
      </w:r>
      <w:r w:rsidRPr="005C611F">
        <w:rPr>
          <w:rFonts w:hint="cs"/>
          <w:i/>
          <w:sz w:val="23"/>
          <w:szCs w:val="23"/>
          <w:rtl/>
        </w:rPr>
        <w:t xml:space="preserve"> است. بنابراین شوک‌های دائمی ‌و موقتی تکنولوژیکی وجود دارد که به ترتیب با </w:t>
      </w:r>
      <w:r w:rsidRPr="00F4704A">
        <w:rPr>
          <w:position w:val="-10"/>
        </w:rPr>
        <w:object w:dxaOrig="260" w:dyaOrig="320" w14:anchorId="6C7BDDD7">
          <v:shape id="_x0000_i8146" type="#_x0000_t75" style="width:13.3pt;height:15.75pt" o:ole="">
            <v:imagedata r:id="rId14367" o:title=""/>
          </v:shape>
          <o:OLEObject Type="Embed" ProgID="Equation.DSMT4" ShapeID="_x0000_i8146" DrawAspect="Content" ObjectID="_1791382089" r:id="rId14368"/>
        </w:object>
      </w:r>
      <w:r w:rsidRPr="005C611F">
        <w:rPr>
          <w:rFonts w:hint="cs"/>
          <w:i/>
          <w:sz w:val="23"/>
          <w:szCs w:val="23"/>
          <w:rtl/>
        </w:rPr>
        <w:t xml:space="preserve"> و </w:t>
      </w:r>
      <w:r w:rsidRPr="00F4704A">
        <w:rPr>
          <w:position w:val="-10"/>
        </w:rPr>
        <w:object w:dxaOrig="260" w:dyaOrig="320" w14:anchorId="66FA8354">
          <v:shape id="_x0000_i8147" type="#_x0000_t75" style="width:13.3pt;height:15.75pt" o:ole="">
            <v:imagedata r:id="rId14369" o:title=""/>
          </v:shape>
          <o:OLEObject Type="Embed" ProgID="Equation.DSMT4" ShapeID="_x0000_i8147" DrawAspect="Content" ObjectID="_1791382090" r:id="rId14370"/>
        </w:object>
      </w:r>
      <w:r w:rsidRPr="005C611F">
        <w:rPr>
          <w:rFonts w:hint="cs"/>
          <w:i/>
          <w:sz w:val="23"/>
          <w:szCs w:val="23"/>
          <w:rtl/>
        </w:rPr>
        <w:t xml:space="preserve"> تعریف شده</w:t>
      </w:r>
      <w:r w:rsidRPr="005C611F">
        <w:rPr>
          <w:i/>
          <w:sz w:val="23"/>
          <w:szCs w:val="23"/>
          <w:rtl/>
        </w:rPr>
        <w:softHyphen/>
      </w:r>
      <w:r w:rsidRPr="005C611F">
        <w:rPr>
          <w:rFonts w:hint="cs"/>
          <w:i/>
          <w:sz w:val="23"/>
          <w:szCs w:val="23"/>
          <w:rtl/>
        </w:rPr>
        <w:t>اند. در نتیجه با شرط مرتبه اول، مازاد فراغت وجود خواهد داشت. با این وجود، به</w:t>
      </w:r>
      <w:r w:rsidRPr="005C611F">
        <w:rPr>
          <w:i/>
          <w:sz w:val="23"/>
          <w:szCs w:val="23"/>
          <w:rtl/>
        </w:rPr>
        <w:softHyphen/>
      </w:r>
      <w:r w:rsidRPr="005C611F">
        <w:rPr>
          <w:rFonts w:hint="cs"/>
          <w:i/>
          <w:sz w:val="23"/>
          <w:szCs w:val="23"/>
          <w:rtl/>
        </w:rPr>
        <w:t xml:space="preserve">غیر از تصریح شوک تکنولوژی، حل مدل همانند مدل رشد فصل سوم است. مقادیر پارامترهای انتخاب شده برای کالیبره کردن مدل چرخه‌های تجاری حقیقی کینگ و ربلو در جدول ۱۶. ۱ ارائه شده است. </w:t>
      </w:r>
    </w:p>
    <w:p w14:paraId="4331C326"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با این مدل و پارامترهای کالیبره شده</w:t>
      </w:r>
      <w:r w:rsidRPr="005C611F">
        <w:rPr>
          <w:i/>
          <w:sz w:val="23"/>
          <w:szCs w:val="23"/>
          <w:rtl/>
        </w:rPr>
        <w:softHyphen/>
      </w:r>
      <w:r w:rsidRPr="005C611F">
        <w:rPr>
          <w:rFonts w:hint="cs"/>
          <w:i/>
          <w:sz w:val="23"/>
          <w:szCs w:val="23"/>
          <w:rtl/>
        </w:rPr>
        <w:t>، هدف آن است که مدل پایه</w:t>
      </w:r>
      <w:r w:rsidRPr="005C611F">
        <w:rPr>
          <w:i/>
          <w:sz w:val="23"/>
          <w:szCs w:val="23"/>
          <w:rtl/>
        </w:rPr>
        <w:softHyphen/>
      </w:r>
      <w:r w:rsidRPr="005C611F">
        <w:rPr>
          <w:rFonts w:hint="cs"/>
          <w:i/>
          <w:sz w:val="23"/>
          <w:szCs w:val="23"/>
          <w:rtl/>
        </w:rPr>
        <w:t>ای بتواند آمارهای چرخه</w:t>
      </w:r>
      <w:r w:rsidRPr="005C611F">
        <w:rPr>
          <w:i/>
          <w:sz w:val="23"/>
          <w:szCs w:val="23"/>
          <w:rtl/>
        </w:rPr>
        <w:softHyphen/>
      </w:r>
      <w:r w:rsidRPr="005C611F">
        <w:rPr>
          <w:rFonts w:hint="cs"/>
          <w:i/>
          <w:sz w:val="23"/>
          <w:szCs w:val="23"/>
          <w:rtl/>
        </w:rPr>
        <w:t xml:space="preserve">ی تجاری اقتصاد آمریکا را برای دوره ۱۹۹۶:۰۴-۱۹۷۴:۰۱ بخوبی باز تولید کند. این اعداد در خارج از پرانتز‌های جدول ۱۶. ۲ قراردارند. بجز نرخ بهره حقیقی، مابقی متغیرها بصورت سرانه و بصورت لگاریتمی ‌بوده، و با فیلتر </w:t>
      </w:r>
      <w:r w:rsidRPr="005C611F">
        <w:rPr>
          <w:i/>
          <w:sz w:val="23"/>
          <w:szCs w:val="23"/>
        </w:rPr>
        <w:t>HP</w:t>
      </w:r>
      <w:r w:rsidRPr="005C611F">
        <w:rPr>
          <w:rFonts w:hint="cs"/>
          <w:i/>
          <w:sz w:val="23"/>
          <w:szCs w:val="23"/>
          <w:rtl/>
        </w:rPr>
        <w:t xml:space="preserve"> روند زدایی شده</w:t>
      </w:r>
      <w:r w:rsidRPr="005C611F">
        <w:rPr>
          <w:i/>
          <w:sz w:val="23"/>
          <w:szCs w:val="23"/>
          <w:rtl/>
        </w:rPr>
        <w:softHyphen/>
      </w:r>
      <w:r w:rsidRPr="005C611F">
        <w:rPr>
          <w:rFonts w:hint="cs"/>
          <w:i/>
          <w:sz w:val="23"/>
          <w:szCs w:val="23"/>
          <w:rtl/>
        </w:rPr>
        <w:t>اند. اعداد داخل پرانتز جدول ۱۶. ۲ از مدل پایه بدست آمده</w:t>
      </w:r>
      <w:r w:rsidRPr="005C611F">
        <w:rPr>
          <w:i/>
          <w:sz w:val="23"/>
          <w:szCs w:val="23"/>
          <w:rtl/>
        </w:rPr>
        <w:softHyphen/>
      </w:r>
      <w:r w:rsidRPr="005C611F">
        <w:rPr>
          <w:rFonts w:hint="cs"/>
          <w:i/>
          <w:sz w:val="23"/>
          <w:szCs w:val="23"/>
          <w:rtl/>
        </w:rPr>
        <w:t>اند.</w:t>
      </w:r>
    </w:p>
    <w:p w14:paraId="67186A6F"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داده‌های مشاهد شده نشان می‌دهند که مصرف سرانه بشدت با تولید سرانه همبسته است، مشمول سه فصل از نوسانات تولید سرانه، و دارای فرایند خود همبسته‌ی مرتبه اول مشابه است. نوسانات سرمایه</w:t>
      </w:r>
      <w:r w:rsidRPr="005C611F">
        <w:rPr>
          <w:i/>
          <w:sz w:val="23"/>
          <w:szCs w:val="23"/>
          <w:rtl/>
        </w:rPr>
        <w:softHyphen/>
      </w:r>
      <w:r w:rsidRPr="005C611F">
        <w:rPr>
          <w:rFonts w:hint="cs"/>
          <w:i/>
          <w:sz w:val="23"/>
          <w:szCs w:val="23"/>
          <w:rtl/>
        </w:rPr>
        <w:t>گذاری سرانه تقریباً سه برابر نوسانات تولید سرانه است و تا حدودی با تولید سرانه همبستگی کمتری دارد. نوسانات کار (ساعات کار سرانه) شبیه تولید سرانه است و با تولید سرانه بشدت همبسته است، ولی تولید به ازای هر ساعت کار نوسانات و همبستگی کم</w:t>
      </w:r>
      <w:r w:rsidRPr="005C611F">
        <w:rPr>
          <w:i/>
          <w:sz w:val="23"/>
          <w:szCs w:val="23"/>
          <w:rtl/>
        </w:rPr>
        <w:softHyphen/>
      </w:r>
      <w:r w:rsidRPr="005C611F">
        <w:rPr>
          <w:rFonts w:hint="cs"/>
          <w:i/>
          <w:sz w:val="23"/>
          <w:szCs w:val="23"/>
          <w:rtl/>
        </w:rPr>
        <w:t xml:space="preserve">تری دارد. این نتایج نشان می‌دهد </w:t>
      </w:r>
      <w:r w:rsidRPr="005C611F">
        <w:rPr>
          <w:rFonts w:hint="cs"/>
          <w:i/>
          <w:sz w:val="23"/>
          <w:szCs w:val="23"/>
          <w:rtl/>
        </w:rPr>
        <w:lastRenderedPageBreak/>
        <w:t>که تغییرات کوتاه‌مدت اشتغال عمدتاً متاثر از نوسانات تولید است. نرخ دستمزد حقیقی (به ازای هر ساعت) نسبت به تولید سرانه بمراتب نوسان کمتری داشته و همبستگی بسیار کمی‌ با تولید سرانه دارد که مبین چسبندگی نسبی دستمزدهای حقیقی است. نرخ بهره</w:t>
      </w:r>
      <w:r w:rsidRPr="005C611F">
        <w:rPr>
          <w:i/>
          <w:sz w:val="23"/>
          <w:szCs w:val="23"/>
          <w:rtl/>
        </w:rPr>
        <w:softHyphen/>
      </w:r>
      <w:r w:rsidRPr="005C611F">
        <w:rPr>
          <w:rFonts w:hint="cs"/>
          <w:i/>
          <w:sz w:val="23"/>
          <w:szCs w:val="23"/>
          <w:rtl/>
        </w:rPr>
        <w:t>ی حقیقی نوسانات کمتری داشته و همبستگی آن با تولید سرانه منفی است. بالاخره نوسانات بهره</w:t>
      </w:r>
      <w:r w:rsidRPr="005C611F">
        <w:rPr>
          <w:i/>
          <w:sz w:val="23"/>
          <w:szCs w:val="23"/>
          <w:rtl/>
        </w:rPr>
        <w:softHyphen/>
      </w:r>
      <w:r w:rsidRPr="005C611F">
        <w:rPr>
          <w:rFonts w:hint="cs"/>
          <w:i/>
          <w:sz w:val="23"/>
          <w:szCs w:val="23"/>
          <w:rtl/>
        </w:rPr>
        <w:t>وری کل عوامل تولید، نصف نوسانات تولید سرانه است ولی بشدت همبسته است.</w:t>
      </w:r>
    </w:p>
    <w:p w14:paraId="2EB8182A"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نتایج مربوط به مدل چرخه‌های تجاری حقیقی پایه داخل پرانتز جدول ۱۶. ۲ می‌باشند. بطورکلی متغیرهای شبیه</w:t>
      </w:r>
      <w:r w:rsidRPr="005C611F">
        <w:rPr>
          <w:i/>
          <w:sz w:val="23"/>
          <w:szCs w:val="23"/>
          <w:rtl/>
        </w:rPr>
        <w:softHyphen/>
      </w:r>
      <w:r w:rsidRPr="005C611F">
        <w:rPr>
          <w:rFonts w:hint="cs"/>
          <w:i/>
          <w:sz w:val="23"/>
          <w:szCs w:val="23"/>
          <w:rtl/>
        </w:rPr>
        <w:t>سازی شده نسبت به متغیرهای مشاهده شده نوسانات کمتر و همبستگی بیشتری با تولید دارند. به نظر می‌رسد خودهمبستگی کم شده است. مصرف و سرمایه</w:t>
      </w:r>
      <w:r w:rsidRPr="005C611F">
        <w:rPr>
          <w:i/>
          <w:sz w:val="23"/>
          <w:szCs w:val="23"/>
          <w:rtl/>
        </w:rPr>
        <w:softHyphen/>
      </w:r>
      <w:r w:rsidRPr="005C611F">
        <w:rPr>
          <w:rFonts w:hint="cs"/>
          <w:i/>
          <w:sz w:val="23"/>
          <w:szCs w:val="23"/>
          <w:rtl/>
        </w:rPr>
        <w:t>گذاری بسیار هموار بوده ولی مهمترین تناقض و مغایرت، وجود همبستگی شدیدِ تولید با بهره</w:t>
      </w:r>
      <w:r w:rsidRPr="005C611F">
        <w:rPr>
          <w:i/>
          <w:sz w:val="23"/>
          <w:szCs w:val="23"/>
          <w:rtl/>
        </w:rPr>
        <w:softHyphen/>
      </w:r>
      <w:r w:rsidRPr="005C611F">
        <w:rPr>
          <w:rFonts w:hint="cs"/>
          <w:i/>
          <w:sz w:val="23"/>
          <w:szCs w:val="23"/>
          <w:rtl/>
        </w:rPr>
        <w:t>وری نیروی کار، دستمزدها و نرخ بهره</w:t>
      </w:r>
      <w:r w:rsidRPr="005C611F">
        <w:rPr>
          <w:i/>
          <w:sz w:val="23"/>
          <w:szCs w:val="23"/>
          <w:rtl/>
        </w:rPr>
        <w:softHyphen/>
      </w:r>
      <w:r w:rsidRPr="005C611F">
        <w:rPr>
          <w:rFonts w:hint="cs"/>
          <w:i/>
          <w:sz w:val="23"/>
          <w:szCs w:val="23"/>
          <w:rtl/>
        </w:rPr>
        <w:t>ی حقیقی است، و نرخ بهره‌ی حقیقی بسیار هموار است.</w:t>
      </w:r>
    </w:p>
    <w:p w14:paraId="6783D60D" w14:textId="77777777" w:rsidR="00556C10" w:rsidRPr="005C611F" w:rsidRDefault="00556C10" w:rsidP="00556C10">
      <w:pPr>
        <w:tabs>
          <w:tab w:val="left" w:pos="90"/>
        </w:tabs>
        <w:spacing w:line="216" w:lineRule="auto"/>
        <w:rPr>
          <w:i/>
          <w:sz w:val="23"/>
          <w:szCs w:val="23"/>
        </w:rPr>
      </w:pPr>
    </w:p>
    <w:p w14:paraId="47B7A5E9" w14:textId="77777777" w:rsidR="00556C10" w:rsidRPr="005C611F" w:rsidRDefault="00556C10" w:rsidP="00556C10">
      <w:pPr>
        <w:tabs>
          <w:tab w:val="left" w:pos="90"/>
        </w:tabs>
        <w:spacing w:line="216" w:lineRule="auto"/>
        <w:jc w:val="center"/>
        <w:rPr>
          <w:i/>
          <w:sz w:val="23"/>
          <w:szCs w:val="23"/>
          <w:rtl/>
        </w:rPr>
      </w:pPr>
      <w:r w:rsidRPr="005C611F">
        <w:rPr>
          <w:rFonts w:hint="cs"/>
          <w:i/>
          <w:sz w:val="23"/>
          <w:szCs w:val="23"/>
          <w:rtl/>
        </w:rPr>
        <w:t>جدول ۱۶. ۱</w:t>
      </w:r>
    </w:p>
    <w:p w14:paraId="6B64B8C7" w14:textId="77777777" w:rsidR="00556C10" w:rsidRPr="005C611F" w:rsidRDefault="00556C10" w:rsidP="00556C10">
      <w:pPr>
        <w:tabs>
          <w:tab w:val="left" w:pos="90"/>
        </w:tabs>
        <w:spacing w:line="216" w:lineRule="auto"/>
        <w:jc w:val="center"/>
        <w:rPr>
          <w:i/>
          <w:sz w:val="23"/>
          <w:szCs w:val="23"/>
          <w:rtl/>
        </w:rPr>
      </w:pPr>
      <w:r w:rsidRPr="005C611F">
        <w:rPr>
          <w:rFonts w:hint="cs"/>
          <w:i/>
          <w:sz w:val="23"/>
          <w:szCs w:val="23"/>
          <w:rtl/>
        </w:rPr>
        <w:t>کالیبراسیون مدل مبنای چرخه‌های تجاری حقیقی</w:t>
      </w:r>
    </w:p>
    <w:p w14:paraId="1211A208" w14:textId="77777777" w:rsidR="00556C10" w:rsidRPr="005C611F" w:rsidRDefault="00556C10" w:rsidP="00556C10">
      <w:pPr>
        <w:tabs>
          <w:tab w:val="left" w:pos="90"/>
        </w:tabs>
        <w:spacing w:line="216" w:lineRule="auto"/>
        <w:rPr>
          <w:i/>
          <w:sz w:val="23"/>
          <w:szCs w:val="23"/>
          <w:rtl/>
        </w:rPr>
      </w:pPr>
      <w:r w:rsidRPr="005C611F">
        <w:rPr>
          <w:i/>
          <w:noProof/>
          <w:sz w:val="23"/>
          <w:szCs w:val="23"/>
          <w:lang w:bidi="ar-SA"/>
        </w:rPr>
        <w:drawing>
          <wp:inline distT="0" distB="0" distL="0" distR="0" wp14:anchorId="212AF1B7" wp14:editId="0787C3F7">
            <wp:extent cx="4254500" cy="624205"/>
            <wp:effectExtent l="0" t="0" r="0" b="444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71" cstate="print">
                      <a:extLst>
                        <a:ext uri="{BEBA8EAE-BF5A-486C-A8C5-ECC9F3942E4B}">
                          <a14:imgProps xmlns:a14="http://schemas.microsoft.com/office/drawing/2010/main">
                            <a14:imgLayer r:embed="rId1437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59197" cy="624894"/>
                    </a:xfrm>
                    <a:prstGeom prst="rect">
                      <a:avLst/>
                    </a:prstGeom>
                    <a:noFill/>
                    <a:ln>
                      <a:noFill/>
                    </a:ln>
                  </pic:spPr>
                </pic:pic>
              </a:graphicData>
            </a:graphic>
          </wp:inline>
        </w:drawing>
      </w:r>
    </w:p>
    <w:p w14:paraId="4981CA92" w14:textId="77777777" w:rsidR="00556C10" w:rsidRPr="005C611F" w:rsidRDefault="00556C10" w:rsidP="00556C10">
      <w:pPr>
        <w:tabs>
          <w:tab w:val="left" w:pos="90"/>
        </w:tabs>
        <w:spacing w:line="216" w:lineRule="auto"/>
        <w:jc w:val="center"/>
        <w:rPr>
          <w:i/>
          <w:sz w:val="23"/>
          <w:szCs w:val="23"/>
          <w:rtl/>
        </w:rPr>
      </w:pPr>
      <w:r w:rsidRPr="005C611F">
        <w:rPr>
          <w:rFonts w:hint="cs"/>
          <w:i/>
          <w:sz w:val="23"/>
          <w:szCs w:val="23"/>
          <w:rtl/>
        </w:rPr>
        <w:t>جدول ۱۶. ۲</w:t>
      </w:r>
    </w:p>
    <w:p w14:paraId="13452FB0" w14:textId="77777777" w:rsidR="00556C10" w:rsidRPr="005C611F" w:rsidRDefault="00556C10" w:rsidP="00556C10">
      <w:pPr>
        <w:tabs>
          <w:tab w:val="left" w:pos="90"/>
        </w:tabs>
        <w:spacing w:line="216" w:lineRule="auto"/>
        <w:jc w:val="center"/>
        <w:rPr>
          <w:i/>
          <w:sz w:val="23"/>
          <w:szCs w:val="23"/>
          <w:rtl/>
        </w:rPr>
      </w:pPr>
      <w:r w:rsidRPr="005C611F">
        <w:rPr>
          <w:rFonts w:hint="cs"/>
          <w:i/>
          <w:sz w:val="23"/>
          <w:szCs w:val="23"/>
          <w:rtl/>
        </w:rPr>
        <w:t>چرخه تجاری ایالات متحده آمریکا و آماره ای مدل پایه برای 1996:4-1947:1</w:t>
      </w:r>
    </w:p>
    <w:p w14:paraId="604334F3" w14:textId="77777777" w:rsidR="00556C10" w:rsidRPr="005C611F" w:rsidRDefault="00556C10" w:rsidP="00556C10">
      <w:pPr>
        <w:tabs>
          <w:tab w:val="left" w:pos="90"/>
        </w:tabs>
        <w:spacing w:line="216" w:lineRule="auto"/>
        <w:jc w:val="center"/>
        <w:rPr>
          <w:i/>
          <w:sz w:val="23"/>
          <w:szCs w:val="23"/>
          <w:rtl/>
        </w:rPr>
      </w:pPr>
      <w:r w:rsidRPr="005C611F">
        <w:rPr>
          <w:rFonts w:hint="cs"/>
          <w:i/>
          <w:sz w:val="23"/>
          <w:szCs w:val="23"/>
          <w:rtl/>
        </w:rPr>
        <w:t>(اعداد داخل پرانتز آماره‌های مدل می‌باشند)</w:t>
      </w:r>
    </w:p>
    <w:p w14:paraId="0D532918" w14:textId="77777777" w:rsidR="00556C10" w:rsidRPr="005C611F" w:rsidRDefault="00556C10" w:rsidP="00556C10">
      <w:pPr>
        <w:tabs>
          <w:tab w:val="left" w:pos="90"/>
        </w:tabs>
        <w:spacing w:line="216" w:lineRule="auto"/>
        <w:rPr>
          <w:i/>
          <w:sz w:val="23"/>
          <w:szCs w:val="23"/>
        </w:rPr>
      </w:pPr>
      <w:r w:rsidRPr="005C611F">
        <w:rPr>
          <w:i/>
          <w:noProof/>
          <w:sz w:val="23"/>
          <w:szCs w:val="23"/>
          <w:lang w:bidi="ar-SA"/>
        </w:rPr>
        <w:drawing>
          <wp:inline distT="0" distB="0" distL="0" distR="0" wp14:anchorId="7E757CF8" wp14:editId="7C4836AB">
            <wp:extent cx="4248886" cy="2014695"/>
            <wp:effectExtent l="0" t="0" r="0" b="508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373" cstate="print">
                      <a:extLst>
                        <a:ext uri="{BEBA8EAE-BF5A-486C-A8C5-ECC9F3942E4B}">
                          <a14:imgProps xmlns:a14="http://schemas.microsoft.com/office/drawing/2010/main">
                            <a14:imgLayer r:embed="rId1437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76395" cy="2027739"/>
                    </a:xfrm>
                    <a:prstGeom prst="rect">
                      <a:avLst/>
                    </a:prstGeom>
                    <a:noFill/>
                    <a:ln>
                      <a:noFill/>
                    </a:ln>
                  </pic:spPr>
                </pic:pic>
              </a:graphicData>
            </a:graphic>
          </wp:inline>
        </w:drawing>
      </w:r>
    </w:p>
    <w:p w14:paraId="4A5C36E4" w14:textId="77777777" w:rsidR="00556C10" w:rsidRPr="005C611F" w:rsidRDefault="00556C10" w:rsidP="00556C10">
      <w:pPr>
        <w:tabs>
          <w:tab w:val="left" w:pos="90"/>
        </w:tabs>
        <w:spacing w:line="216" w:lineRule="auto"/>
        <w:rPr>
          <w:i/>
          <w:sz w:val="23"/>
          <w:szCs w:val="23"/>
          <w:rtl/>
        </w:rPr>
      </w:pPr>
    </w:p>
    <w:p w14:paraId="4EB29302"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چه چیزی را می‌توان از کفایت نتایج مدل چرخه‌های تجاری حقیقی آموخت؟ یکی از مشکلات، بازار نیروی کار است. در مدل، تغییرپذیری اشتغال بسیار کم و همبستگی دستمزد‌ها و تولید بسیار زیادتر از بهره</w:t>
      </w:r>
      <w:r w:rsidRPr="005C611F">
        <w:rPr>
          <w:i/>
          <w:sz w:val="23"/>
          <w:szCs w:val="23"/>
          <w:rtl/>
        </w:rPr>
        <w:softHyphen/>
      </w:r>
      <w:r w:rsidRPr="005C611F">
        <w:rPr>
          <w:rFonts w:hint="cs"/>
          <w:i/>
          <w:sz w:val="23"/>
          <w:szCs w:val="23"/>
          <w:rtl/>
        </w:rPr>
        <w:t>وری کار است. بعلاوه، در عمل، دستمزدها بمراتب کمتر و اشتغال بمراتب انعطاف</w:t>
      </w:r>
      <w:r w:rsidRPr="005C611F">
        <w:rPr>
          <w:i/>
          <w:sz w:val="23"/>
          <w:szCs w:val="23"/>
          <w:rtl/>
        </w:rPr>
        <w:softHyphen/>
      </w:r>
      <w:r w:rsidRPr="005C611F">
        <w:rPr>
          <w:rFonts w:hint="cs"/>
          <w:i/>
          <w:sz w:val="23"/>
          <w:szCs w:val="23"/>
          <w:rtl/>
        </w:rPr>
        <w:t xml:space="preserve">پذیرتر از </w:t>
      </w:r>
      <w:r w:rsidRPr="005C611F">
        <w:rPr>
          <w:rFonts w:hint="cs"/>
          <w:i/>
          <w:sz w:val="23"/>
          <w:szCs w:val="23"/>
          <w:rtl/>
        </w:rPr>
        <w:lastRenderedPageBreak/>
        <w:t>مدل می‌باشند. ضمناً بنظر می‌رسد دستمزدها کمتر با تولید نهایی خود مرتبط باشند و اشتغال کمتر نسبت به تولید واکنش نشان دهد. این نتایج با درجه چسبندگی بیشتر دستمزد نسبت به مدل چرخه‌های تجاری حقیقی، و حضور شوک‌های مازاد که احتمالا از طریق شوک طرف عرضه که باعث افزایش نوسانات متغیرهای مهم اقتصاد کلان و کاهش همبستگی با تولید می‌شود، سازگار است.</w:t>
      </w:r>
    </w:p>
    <w:p w14:paraId="33BE86D3"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مهمترین مغایرت، در همبستگی بین نرخ بهره</w:t>
      </w:r>
      <w:r w:rsidRPr="005C611F">
        <w:rPr>
          <w:i/>
          <w:sz w:val="23"/>
          <w:szCs w:val="23"/>
          <w:rtl/>
        </w:rPr>
        <w:softHyphen/>
      </w:r>
      <w:r w:rsidRPr="005C611F">
        <w:rPr>
          <w:rFonts w:hint="cs"/>
          <w:i/>
          <w:sz w:val="23"/>
          <w:szCs w:val="23"/>
          <w:rtl/>
        </w:rPr>
        <w:t>ی حقیقی و تولید ملاحظه می‌شود. در داده‌های مشاهده شده این همبستگی منفی است و در داده‌های شبیه</w:t>
      </w:r>
      <w:r w:rsidRPr="005C611F">
        <w:rPr>
          <w:i/>
          <w:sz w:val="23"/>
          <w:szCs w:val="23"/>
          <w:rtl/>
        </w:rPr>
        <w:softHyphen/>
      </w:r>
      <w:r w:rsidRPr="005C611F">
        <w:rPr>
          <w:rFonts w:hint="cs"/>
          <w:i/>
          <w:sz w:val="23"/>
          <w:szCs w:val="23"/>
          <w:rtl/>
        </w:rPr>
        <w:t>سازی شده این همبستگی نزدیک به یک است. این نتایج نشان می‌دهد که نرخ‌های بهره‌ی حقیقی بازار به تولید نهایی سرمایه مرتبط نیست. این نکته شکاف بین قیمت سرمایه و ارزش بنیادی یک شرکت را نشان می</w:t>
      </w:r>
      <w:r w:rsidRPr="005C611F">
        <w:rPr>
          <w:i/>
          <w:sz w:val="23"/>
          <w:szCs w:val="23"/>
          <w:rtl/>
        </w:rPr>
        <w:softHyphen/>
      </w:r>
      <w:r w:rsidRPr="005C611F">
        <w:rPr>
          <w:rFonts w:hint="cs"/>
          <w:i/>
          <w:sz w:val="23"/>
          <w:szCs w:val="23"/>
          <w:rtl/>
        </w:rPr>
        <w:t>دهد.  همچنین نشان می‌دهد که نرخ‌های بهره حقیقی در بازارهای مالی تعیین می‌شوند و متاثر از سیاست پولی است و نماینده بازدهی حقیقی سرمایه نیست.</w:t>
      </w:r>
    </w:p>
    <w:p w14:paraId="2F4710FD"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مسئله بغرنج و پیچیده</w:t>
      </w:r>
      <w:r w:rsidRPr="005C611F">
        <w:rPr>
          <w:i/>
          <w:sz w:val="23"/>
          <w:szCs w:val="23"/>
          <w:rtl/>
        </w:rPr>
        <w:softHyphen/>
      </w:r>
      <w:r w:rsidRPr="005C611F">
        <w:rPr>
          <w:rFonts w:hint="cs"/>
          <w:i/>
          <w:sz w:val="23"/>
          <w:szCs w:val="23"/>
          <w:rtl/>
        </w:rPr>
        <w:t>ی دیگر در خصوص متغیر مصرف است. در عمل، مصرف بسیار تغییرپذیرتر از « چیزی است که در مدل بدست می</w:t>
      </w:r>
      <w:r w:rsidRPr="005C611F">
        <w:rPr>
          <w:i/>
          <w:sz w:val="23"/>
          <w:szCs w:val="23"/>
          <w:rtl/>
        </w:rPr>
        <w:softHyphen/>
      </w:r>
      <w:r w:rsidRPr="005C611F">
        <w:rPr>
          <w:rFonts w:hint="cs"/>
          <w:i/>
          <w:sz w:val="23"/>
          <w:szCs w:val="23"/>
          <w:rtl/>
        </w:rPr>
        <w:t>آید و تقریباً همانند تغییرپذیری تولید است، ولی همبستگی کمتری با تولید دارد. این نتیجه نشان می‌دهد که شوک جداگانه</w:t>
      </w:r>
      <w:r w:rsidRPr="005C611F">
        <w:rPr>
          <w:i/>
          <w:sz w:val="23"/>
          <w:szCs w:val="23"/>
          <w:rtl/>
        </w:rPr>
        <w:softHyphen/>
      </w:r>
      <w:r w:rsidRPr="005C611F">
        <w:rPr>
          <w:rFonts w:hint="cs"/>
          <w:i/>
          <w:sz w:val="23"/>
          <w:szCs w:val="23"/>
          <w:rtl/>
        </w:rPr>
        <w:t>ای وجود دارد که باعث تفاوف تأثیر آن بر مصرف و تولید است. بر طبق نظریه چرخه</w:t>
      </w:r>
      <w:r w:rsidRPr="005C611F">
        <w:rPr>
          <w:i/>
          <w:sz w:val="23"/>
          <w:szCs w:val="23"/>
          <w:rtl/>
        </w:rPr>
        <w:softHyphen/>
      </w:r>
      <w:r w:rsidRPr="005C611F">
        <w:rPr>
          <w:rFonts w:hint="cs"/>
          <w:i/>
          <w:sz w:val="23"/>
          <w:szCs w:val="23"/>
          <w:rtl/>
        </w:rPr>
        <w:t>ی زندگی، مصرف به درآمد بعد از مالیات و ثروت وابسته است و نه تولید. به علاوه دستمزدها چسبنده</w:t>
      </w:r>
      <w:r w:rsidRPr="005C611F">
        <w:rPr>
          <w:i/>
          <w:sz w:val="23"/>
          <w:szCs w:val="23"/>
          <w:rtl/>
        </w:rPr>
        <w:softHyphen/>
      </w:r>
      <w:r w:rsidRPr="005C611F">
        <w:rPr>
          <w:rFonts w:hint="cs"/>
          <w:i/>
          <w:sz w:val="23"/>
          <w:szCs w:val="23"/>
          <w:rtl/>
        </w:rPr>
        <w:t>اند و اشتغال بیشتر از مدل تغییرپذیر است. این نتیجه مبین آن است که ممکن است عوامل دیگری همانند مالیات‌ها، دیگر منابع ثروت و نوسانات درآمد نیروی کار که احتمالاً ناشی از دوره‌ی بیکاری است، مصرف و نه تولید را تحت تأثیر قرار دهد.</w:t>
      </w:r>
    </w:p>
    <w:p w14:paraId="54638690"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مهمترین مشکل مدل چرخه‌های تجاری حقیقی آن است که این مدل</w:t>
      </w:r>
      <w:r w:rsidRPr="005C611F">
        <w:rPr>
          <w:i/>
          <w:sz w:val="23"/>
          <w:szCs w:val="23"/>
          <w:rtl/>
        </w:rPr>
        <w:softHyphen/>
      </w:r>
      <w:r w:rsidRPr="005C611F">
        <w:rPr>
          <w:rFonts w:hint="cs"/>
          <w:i/>
          <w:sz w:val="23"/>
          <w:szCs w:val="23"/>
          <w:rtl/>
        </w:rPr>
        <w:t>ها فقط مبتنی بر یک نوع شوک تکنولوژی است. توجیه این‌که شوک مثبت نوآوری جدید، همانند کامپیوتر، باعث افزایش تولید شود، و شوک منفی همانند عدم توانایی و موفقیت در برداشت محصول بخصوص در کشوری که به کشاورزی وابسته است، باعث کاهش تولید می‌شود، آسان است. درحالی</w:t>
      </w:r>
      <w:r w:rsidRPr="005C611F">
        <w:rPr>
          <w:i/>
          <w:sz w:val="23"/>
          <w:szCs w:val="23"/>
          <w:rtl/>
        </w:rPr>
        <w:softHyphen/>
      </w:r>
      <w:r w:rsidRPr="005C611F">
        <w:rPr>
          <w:rFonts w:hint="cs"/>
          <w:i/>
          <w:sz w:val="23"/>
          <w:szCs w:val="23"/>
          <w:rtl/>
        </w:rPr>
        <w:t>که بسیار مشکل خواهد بود تا چگونگی اثر شوک منفی تکنولوژی بر رکود و بحران اقتصاد را بررسی کرد، و حتی احتمال کمتری وجود دارد که رکود بزرک را به شوک منفی تکنولوژی منتسب کرد. به علاوه تخمین و برآورد شوک تکنولوژی که بر مبنای پسماند سولو است، در حقیقیت، احتمالاً ترکیبی از اثرات صرفه</w:t>
      </w:r>
      <w:r w:rsidRPr="005C611F">
        <w:rPr>
          <w:i/>
          <w:sz w:val="23"/>
          <w:szCs w:val="23"/>
          <w:rtl/>
        </w:rPr>
        <w:softHyphen/>
      </w:r>
      <w:r w:rsidRPr="005C611F">
        <w:rPr>
          <w:rFonts w:hint="cs"/>
          <w:i/>
          <w:sz w:val="23"/>
          <w:szCs w:val="23"/>
          <w:rtl/>
        </w:rPr>
        <w:t>جویی در عوامل تولید است. در تابع تولید فرض می‌شود که نیروی کار و سرمایه کاملاً مورد استفاده قرار می‌گیرند، ولی در واقع این</w:t>
      </w:r>
      <w:r w:rsidRPr="005C611F">
        <w:rPr>
          <w:i/>
          <w:sz w:val="23"/>
          <w:szCs w:val="23"/>
          <w:rtl/>
        </w:rPr>
        <w:softHyphen/>
      </w:r>
      <w:r w:rsidRPr="005C611F">
        <w:rPr>
          <w:rFonts w:hint="cs"/>
          <w:i/>
          <w:sz w:val="23"/>
          <w:szCs w:val="23"/>
          <w:rtl/>
        </w:rPr>
        <w:t>گونه نیست. بنابراین پسماند سولو شامل اثرات دیگر شوک‌ها خواهد بود.</w:t>
      </w:r>
    </w:p>
    <w:p w14:paraId="092E1530" w14:textId="77777777" w:rsidR="00556C10" w:rsidRPr="005C611F" w:rsidRDefault="00556C10" w:rsidP="00556C10">
      <w:pPr>
        <w:tabs>
          <w:tab w:val="left" w:pos="90"/>
        </w:tabs>
        <w:spacing w:line="216" w:lineRule="auto"/>
        <w:rPr>
          <w:i/>
          <w:sz w:val="23"/>
          <w:szCs w:val="23"/>
          <w:rtl/>
        </w:rPr>
      </w:pPr>
    </w:p>
    <w:p w14:paraId="47EF81DE" w14:textId="77777777" w:rsidR="00556C10" w:rsidRPr="005C611F" w:rsidRDefault="00556C10" w:rsidP="00556C10">
      <w:pPr>
        <w:tabs>
          <w:tab w:val="left" w:pos="90"/>
        </w:tabs>
        <w:spacing w:line="216" w:lineRule="auto"/>
        <w:rPr>
          <w:bCs/>
          <w:i/>
          <w:sz w:val="23"/>
          <w:szCs w:val="23"/>
          <w:rtl/>
        </w:rPr>
      </w:pPr>
      <w:r w:rsidRPr="005C611F">
        <w:rPr>
          <w:rFonts w:hint="cs"/>
          <w:bCs/>
          <w:i/>
          <w:sz w:val="23"/>
          <w:szCs w:val="23"/>
          <w:rtl/>
        </w:rPr>
        <w:t>بسط مدل چرخه‌های تجاری حقیقی اولیه</w:t>
      </w:r>
    </w:p>
    <w:p w14:paraId="4A55FAAA"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با افزودن انواع شوک‌های تقاضا در مدل چرخه‌های تجاری حقیقی امکان بسط مدل اولیه فراهم می‌شود. این شوک</w:t>
      </w:r>
      <w:r w:rsidRPr="005C611F">
        <w:rPr>
          <w:i/>
          <w:sz w:val="23"/>
          <w:szCs w:val="23"/>
          <w:rtl/>
        </w:rPr>
        <w:softHyphen/>
      </w:r>
      <w:r w:rsidRPr="005C611F">
        <w:rPr>
          <w:rFonts w:hint="cs"/>
          <w:i/>
          <w:sz w:val="23"/>
          <w:szCs w:val="23"/>
          <w:rtl/>
        </w:rPr>
        <w:t>ها ممکن است شوک‌های طرف تقاضا همانند شوک‌های پولی و مالی بواسطه</w:t>
      </w:r>
      <w:r w:rsidRPr="005C611F">
        <w:rPr>
          <w:i/>
          <w:sz w:val="23"/>
          <w:szCs w:val="23"/>
          <w:rtl/>
        </w:rPr>
        <w:softHyphen/>
      </w:r>
      <w:r w:rsidRPr="005C611F">
        <w:rPr>
          <w:rFonts w:hint="cs"/>
          <w:i/>
          <w:sz w:val="23"/>
          <w:szCs w:val="23"/>
          <w:rtl/>
        </w:rPr>
        <w:t>ی تغییرات نرخ بهره، مخارج دولت و مالیات، و یا شوک‌های ترجیحات و همچنین شوک‌های تجارت خارجی باشند. از انواع دیگر شوک‌ها می‌توان از شوک‌های عرضه نیروی کار به واسطه</w:t>
      </w:r>
      <w:r w:rsidRPr="005C611F">
        <w:rPr>
          <w:i/>
          <w:sz w:val="23"/>
          <w:szCs w:val="23"/>
          <w:rtl/>
        </w:rPr>
        <w:softHyphen/>
      </w:r>
      <w:r w:rsidRPr="005C611F">
        <w:rPr>
          <w:rFonts w:hint="cs"/>
          <w:i/>
          <w:sz w:val="23"/>
          <w:szCs w:val="23"/>
          <w:rtl/>
        </w:rPr>
        <w:t xml:space="preserve">ی تغییر در مشارکت نیروی کار و جمعیت، شوک‌های قیمت مواد اولیه‌ی خام همانند تغییر در قیمت نفت خام، </w:t>
      </w:r>
      <w:r w:rsidRPr="005C611F">
        <w:rPr>
          <w:rFonts w:hint="cs"/>
          <w:i/>
          <w:sz w:val="23"/>
          <w:szCs w:val="23"/>
          <w:rtl/>
        </w:rPr>
        <w:lastRenderedPageBreak/>
        <w:t>اثرات رابطه مبادله به خاطر شوک‌های بهره</w:t>
      </w:r>
      <w:r w:rsidRPr="005C611F">
        <w:rPr>
          <w:i/>
          <w:sz w:val="23"/>
          <w:szCs w:val="23"/>
          <w:rtl/>
        </w:rPr>
        <w:softHyphen/>
      </w:r>
      <w:r w:rsidRPr="005C611F">
        <w:rPr>
          <w:rFonts w:hint="cs"/>
          <w:i/>
          <w:sz w:val="23"/>
          <w:szCs w:val="23"/>
          <w:rtl/>
        </w:rPr>
        <w:t>وری خارجی و همچنین شوک‌های نرخ ارز نام برد. دیگر مباحث مورد بررسی در این حوزه مربوط به ساختار درونی مدل اقتصادی همانند درجه</w:t>
      </w:r>
      <w:r w:rsidRPr="005C611F">
        <w:rPr>
          <w:i/>
          <w:sz w:val="23"/>
          <w:szCs w:val="23"/>
          <w:rtl/>
        </w:rPr>
        <w:softHyphen/>
      </w:r>
      <w:r w:rsidRPr="005C611F">
        <w:rPr>
          <w:rFonts w:hint="cs"/>
          <w:i/>
          <w:sz w:val="23"/>
          <w:szCs w:val="23"/>
          <w:rtl/>
        </w:rPr>
        <w:t>ی جانشینی بین مصرف و فراغت، عدم تقسیم</w:t>
      </w:r>
      <w:r w:rsidRPr="005C611F">
        <w:rPr>
          <w:i/>
          <w:sz w:val="23"/>
          <w:szCs w:val="23"/>
          <w:rtl/>
        </w:rPr>
        <w:softHyphen/>
      </w:r>
      <w:r w:rsidRPr="005C611F">
        <w:rPr>
          <w:rFonts w:hint="cs"/>
          <w:i/>
          <w:sz w:val="23"/>
          <w:szCs w:val="23"/>
          <w:rtl/>
        </w:rPr>
        <w:t>پذیری نهاده‌ی نیروی کار در انتخاب ساعات کار، و امکان انعطاف</w:t>
      </w:r>
      <w:r w:rsidRPr="005C611F">
        <w:rPr>
          <w:i/>
          <w:sz w:val="23"/>
          <w:szCs w:val="23"/>
          <w:rtl/>
        </w:rPr>
        <w:softHyphen/>
      </w:r>
      <w:r w:rsidRPr="005C611F">
        <w:rPr>
          <w:rFonts w:hint="cs"/>
          <w:i/>
          <w:sz w:val="23"/>
          <w:szCs w:val="23"/>
          <w:rtl/>
        </w:rPr>
        <w:t>پذیری تصمیم در مشارکت و یا عدم مشارکت نیروی کار است. به غیر از شوک‌های ترجیحات، تمامی ‌این موضوعات را قبلاً مورد بررسی قرار داده</w:t>
      </w:r>
      <w:r w:rsidRPr="005C611F">
        <w:rPr>
          <w:i/>
          <w:sz w:val="23"/>
          <w:szCs w:val="23"/>
          <w:rtl/>
        </w:rPr>
        <w:softHyphen/>
      </w:r>
      <w:r w:rsidRPr="005C611F">
        <w:rPr>
          <w:rFonts w:hint="cs"/>
          <w:i/>
          <w:sz w:val="23"/>
          <w:szCs w:val="23"/>
          <w:rtl/>
        </w:rPr>
        <w:t xml:space="preserve">ایم. </w:t>
      </w:r>
    </w:p>
    <w:p w14:paraId="5F7E1D81" w14:textId="77777777" w:rsidR="00556C10" w:rsidRPr="005C611F" w:rsidRDefault="00556C10" w:rsidP="00556C10">
      <w:pPr>
        <w:tabs>
          <w:tab w:val="left" w:pos="90"/>
        </w:tabs>
        <w:spacing w:line="216" w:lineRule="auto"/>
        <w:rPr>
          <w:i/>
          <w:sz w:val="23"/>
          <w:szCs w:val="23"/>
          <w:rtl/>
        </w:rPr>
      </w:pPr>
    </w:p>
    <w:p w14:paraId="043EBE3A" w14:textId="77777777" w:rsidR="00556C10" w:rsidRPr="005C611F" w:rsidRDefault="00556C10" w:rsidP="00556C10">
      <w:pPr>
        <w:tabs>
          <w:tab w:val="left" w:pos="90"/>
        </w:tabs>
        <w:spacing w:line="216" w:lineRule="auto"/>
        <w:rPr>
          <w:bCs/>
          <w:i/>
          <w:sz w:val="23"/>
          <w:szCs w:val="23"/>
          <w:rtl/>
        </w:rPr>
      </w:pPr>
      <w:r w:rsidRPr="005C611F">
        <w:rPr>
          <w:rFonts w:hint="cs"/>
          <w:bCs/>
          <w:i/>
          <w:sz w:val="23"/>
          <w:szCs w:val="23"/>
          <w:rtl/>
        </w:rPr>
        <w:t>مدل چرخه‌های تجاری حقیقی در اقتصاد باز</w:t>
      </w:r>
    </w:p>
    <w:p w14:paraId="76145ACF"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بسیاری از مطالعات در خصوص چرخه‌های تجاری حقیقی مربوط به اقتصاد آمریکاست که تقریباً اقتصادی بسته است. در مقابل، دیگر کشورها دارای اقتصادی باز و کوچک هستند و اقتصاد آن‌ها متأثر از سیاست‌های دیگر کشورها به خصوص ایالات متحده آمریکا است، که احتمالاً مهمترین منبع شوک‌ها‌ی خارجی است. مطالعات اندکی‌ در خصوص مدل‌های چرخه‌های تجاری حقیقی برای اقتصاد باز انجام شده است. شاید اولین و مهمترین آن، مربوط به باکاس، کهو وکیدلند باشد که چرخه‌های تجاری بین</w:t>
      </w:r>
      <w:r w:rsidRPr="005C611F">
        <w:rPr>
          <w:i/>
          <w:sz w:val="23"/>
          <w:szCs w:val="23"/>
          <w:rtl/>
        </w:rPr>
        <w:softHyphen/>
      </w:r>
      <w:r w:rsidRPr="005C611F">
        <w:rPr>
          <w:rFonts w:hint="cs"/>
          <w:i/>
          <w:sz w:val="23"/>
          <w:szCs w:val="23"/>
          <w:rtl/>
        </w:rPr>
        <w:t>المللی را مورد بررسی قرار دادند.</w:t>
      </w:r>
      <w:r w:rsidRPr="005C611F">
        <w:rPr>
          <w:rStyle w:val="FootnoteReference"/>
          <w:i/>
          <w:sz w:val="23"/>
          <w:szCs w:val="23"/>
          <w:rtl/>
        </w:rPr>
        <w:footnoteReference w:id="387"/>
      </w:r>
      <w:r w:rsidRPr="005C611F">
        <w:rPr>
          <w:rFonts w:hint="cs"/>
          <w:i/>
          <w:sz w:val="23"/>
          <w:szCs w:val="23"/>
          <w:rtl/>
        </w:rPr>
        <w:t xml:space="preserve"> آن‌ها مدل چرخه‌های تجاری حقیقی پایه را برای ده کشور </w:t>
      </w:r>
      <w:r w:rsidRPr="005C611F">
        <w:rPr>
          <w:i/>
          <w:sz w:val="23"/>
          <w:szCs w:val="23"/>
        </w:rPr>
        <w:t>OECD</w:t>
      </w:r>
      <w:r w:rsidRPr="005C611F">
        <w:rPr>
          <w:rFonts w:hint="cs"/>
          <w:i/>
          <w:sz w:val="23"/>
          <w:szCs w:val="23"/>
          <w:rtl/>
        </w:rPr>
        <w:t xml:space="preserve"> به کار گرفته، و هم جهتی این کشورها با اقتصاد آمریکا و اثر شوک‌های رابطه</w:t>
      </w:r>
      <w:r w:rsidRPr="005C611F">
        <w:rPr>
          <w:i/>
          <w:sz w:val="23"/>
          <w:szCs w:val="23"/>
          <w:rtl/>
        </w:rPr>
        <w:softHyphen/>
      </w:r>
      <w:r w:rsidRPr="005C611F">
        <w:rPr>
          <w:rFonts w:hint="cs"/>
          <w:i/>
          <w:sz w:val="23"/>
          <w:szCs w:val="23"/>
          <w:rtl/>
        </w:rPr>
        <w:t>ی مبادله را مورد بررسی قرار دادند.</w:t>
      </w:r>
      <w:r w:rsidRPr="005C611F">
        <w:rPr>
          <w:i/>
          <w:sz w:val="23"/>
          <w:szCs w:val="23"/>
        </w:rPr>
        <w:t xml:space="preserve"> </w:t>
      </w:r>
      <w:r w:rsidRPr="005C611F">
        <w:rPr>
          <w:rFonts w:hint="cs"/>
          <w:i/>
          <w:sz w:val="23"/>
          <w:szCs w:val="23"/>
          <w:rtl/>
        </w:rPr>
        <w:t>مدل مبنای آن</w:t>
      </w:r>
      <w:r w:rsidRPr="005C611F">
        <w:rPr>
          <w:i/>
          <w:sz w:val="23"/>
          <w:szCs w:val="23"/>
          <w:rtl/>
        </w:rPr>
        <w:softHyphen/>
      </w:r>
      <w:r w:rsidRPr="005C611F">
        <w:rPr>
          <w:rFonts w:hint="cs"/>
          <w:i/>
          <w:sz w:val="23"/>
          <w:szCs w:val="23"/>
          <w:rtl/>
        </w:rPr>
        <w:t>ها، در واقع، همان مدل پایه</w:t>
      </w:r>
      <w:r w:rsidRPr="005C611F">
        <w:rPr>
          <w:i/>
          <w:sz w:val="23"/>
          <w:szCs w:val="23"/>
          <w:rtl/>
        </w:rPr>
        <w:softHyphen/>
      </w:r>
      <w:r w:rsidRPr="005C611F">
        <w:rPr>
          <w:rFonts w:hint="cs"/>
          <w:i/>
          <w:sz w:val="23"/>
          <w:szCs w:val="23"/>
          <w:rtl/>
        </w:rPr>
        <w:t>ای فوق با افزودن اتحاد درآمد ملی بانضمام مخارج‌های دولت و خالص صادرات است. فرض شده که مخارج دولت براساس یک فرآیند خود همبسته ایجاد می‌شود و خالص صادرات پسماند اتحاد درآمد ملی، یعنی تولید منهای مصرف، سرمایه</w:t>
      </w:r>
      <w:r w:rsidRPr="005C611F">
        <w:rPr>
          <w:i/>
          <w:sz w:val="23"/>
          <w:szCs w:val="23"/>
          <w:rtl/>
        </w:rPr>
        <w:softHyphen/>
      </w:r>
      <w:r w:rsidRPr="005C611F">
        <w:rPr>
          <w:rFonts w:hint="cs"/>
          <w:i/>
          <w:sz w:val="23"/>
          <w:szCs w:val="23"/>
          <w:rtl/>
        </w:rPr>
        <w:t>گذاری و مخارج دولت است. تابع مطلوبیت نیز عبارت است از:</w:t>
      </w:r>
    </w:p>
    <w:p w14:paraId="05ECA9B2" w14:textId="77777777" w:rsidR="00556C10" w:rsidRPr="005C611F" w:rsidRDefault="00556C10" w:rsidP="00556C10">
      <w:pPr>
        <w:tabs>
          <w:tab w:val="left" w:pos="90"/>
        </w:tabs>
        <w:bidi w:val="0"/>
        <w:spacing w:line="216" w:lineRule="auto"/>
        <w:rPr>
          <w:i/>
          <w:sz w:val="23"/>
          <w:szCs w:val="23"/>
          <w:rtl/>
        </w:rPr>
      </w:pPr>
      <w:r w:rsidRPr="00F4704A">
        <w:rPr>
          <w:position w:val="-22"/>
        </w:rPr>
        <w:object w:dxaOrig="2040" w:dyaOrig="600" w14:anchorId="338D2208">
          <v:shape id="_x0000_i8148" type="#_x0000_t75" style="width:102.25pt;height:29.65pt" o:ole="">
            <v:imagedata r:id="rId14375" o:title=""/>
          </v:shape>
          <o:OLEObject Type="Embed" ProgID="Equation.DSMT4" ShapeID="_x0000_i8148" DrawAspect="Content" ObjectID="_1791382091" r:id="rId14376"/>
        </w:object>
      </w:r>
      <w:r w:rsidRPr="005C611F">
        <w:rPr>
          <w:rFonts w:hint="cs"/>
          <w:i/>
          <w:sz w:val="23"/>
          <w:szCs w:val="23"/>
          <w:rtl/>
        </w:rPr>
        <w:t xml:space="preserve"> </w:t>
      </w:r>
    </w:p>
    <w:p w14:paraId="6336B3C1"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که نشان می‌دهد مصرف و فراغت تفکیک</w:t>
      </w:r>
      <w:r w:rsidRPr="005C611F">
        <w:rPr>
          <w:i/>
          <w:sz w:val="23"/>
          <w:szCs w:val="23"/>
          <w:rtl/>
        </w:rPr>
        <w:softHyphen/>
      </w:r>
      <w:r w:rsidRPr="005C611F">
        <w:rPr>
          <w:rFonts w:hint="cs"/>
          <w:i/>
          <w:sz w:val="23"/>
          <w:szCs w:val="23"/>
          <w:rtl/>
        </w:rPr>
        <w:t>ناپذیرند.</w:t>
      </w:r>
      <w:r w:rsidRPr="005C611F">
        <w:rPr>
          <w:i/>
          <w:sz w:val="23"/>
          <w:szCs w:val="23"/>
        </w:rPr>
        <w:t xml:space="preserve"> </w:t>
      </w:r>
      <w:r w:rsidRPr="005C611F">
        <w:rPr>
          <w:rFonts w:hint="cs"/>
          <w:i/>
          <w:sz w:val="23"/>
          <w:szCs w:val="23"/>
          <w:rtl/>
        </w:rPr>
        <w:t>آن‌ها همچنین مدل مبنا را با درون</w:t>
      </w:r>
      <w:r w:rsidRPr="005C611F">
        <w:rPr>
          <w:i/>
          <w:sz w:val="23"/>
          <w:szCs w:val="23"/>
          <w:rtl/>
        </w:rPr>
        <w:softHyphen/>
      </w:r>
      <w:r w:rsidRPr="005C611F">
        <w:rPr>
          <w:rFonts w:hint="cs"/>
          <w:i/>
          <w:sz w:val="23"/>
          <w:szCs w:val="23"/>
          <w:rtl/>
        </w:rPr>
        <w:t>زا نمودن خالص صادرات به منظور بررسی اثر شوک‌های رابطه</w:t>
      </w:r>
      <w:r w:rsidRPr="005C611F">
        <w:rPr>
          <w:i/>
          <w:sz w:val="23"/>
          <w:szCs w:val="23"/>
          <w:rtl/>
        </w:rPr>
        <w:softHyphen/>
      </w:r>
      <w:r w:rsidRPr="005C611F">
        <w:rPr>
          <w:rFonts w:hint="cs"/>
          <w:i/>
          <w:sz w:val="23"/>
          <w:szCs w:val="23"/>
          <w:rtl/>
        </w:rPr>
        <w:t>ی مبادله تعدیل کردند. مدل دو کشوری به</w:t>
      </w:r>
      <w:r w:rsidRPr="005C611F">
        <w:rPr>
          <w:i/>
          <w:sz w:val="23"/>
          <w:szCs w:val="23"/>
          <w:rtl/>
        </w:rPr>
        <w:softHyphen/>
      </w:r>
      <w:r w:rsidRPr="005C611F">
        <w:rPr>
          <w:rFonts w:hint="cs"/>
          <w:i/>
          <w:sz w:val="23"/>
          <w:szCs w:val="23"/>
          <w:rtl/>
        </w:rPr>
        <w:t>گونه</w:t>
      </w:r>
      <w:r w:rsidRPr="005C611F">
        <w:rPr>
          <w:i/>
          <w:sz w:val="23"/>
          <w:szCs w:val="23"/>
          <w:rtl/>
        </w:rPr>
        <w:softHyphen/>
      </w:r>
      <w:r w:rsidRPr="005C611F">
        <w:rPr>
          <w:rFonts w:hint="cs"/>
          <w:i/>
          <w:sz w:val="23"/>
          <w:szCs w:val="23"/>
          <w:rtl/>
        </w:rPr>
        <w:t xml:space="preserve">ای طراحی شده که هر کشور در تولید یک کالا یعنی </w:t>
      </w:r>
      <w:r w:rsidRPr="005C611F">
        <w:rPr>
          <w:i/>
          <w:sz w:val="23"/>
          <w:szCs w:val="23"/>
        </w:rPr>
        <w:t>a</w:t>
      </w:r>
      <w:r w:rsidRPr="005C611F">
        <w:rPr>
          <w:rFonts w:hint="cs"/>
          <w:i/>
          <w:sz w:val="23"/>
          <w:szCs w:val="23"/>
          <w:rtl/>
        </w:rPr>
        <w:t xml:space="preserve"> برای کشور 1 و </w:t>
      </w:r>
      <w:r w:rsidRPr="005C611F">
        <w:rPr>
          <w:i/>
          <w:sz w:val="23"/>
          <w:szCs w:val="23"/>
        </w:rPr>
        <w:t>b</w:t>
      </w:r>
      <w:r w:rsidRPr="005C611F">
        <w:rPr>
          <w:rFonts w:hint="cs"/>
          <w:i/>
          <w:sz w:val="23"/>
          <w:szCs w:val="23"/>
          <w:rtl/>
        </w:rPr>
        <w:t xml:space="preserve"> برای 2 تخصص دارد. قیود منابع برای این دو کشور عبارت است از:</w:t>
      </w:r>
    </w:p>
    <w:p w14:paraId="449AE5C1" w14:textId="77777777" w:rsidR="00556C10" w:rsidRPr="005C611F" w:rsidRDefault="00556C10" w:rsidP="00556C10">
      <w:pPr>
        <w:tabs>
          <w:tab w:val="left" w:pos="90"/>
        </w:tabs>
        <w:bidi w:val="0"/>
        <w:spacing w:line="216" w:lineRule="auto"/>
        <w:rPr>
          <w:i/>
          <w:sz w:val="23"/>
          <w:szCs w:val="23"/>
          <w:rtl/>
        </w:rPr>
      </w:pPr>
      <w:r w:rsidRPr="00F4704A">
        <w:rPr>
          <w:position w:val="-10"/>
        </w:rPr>
        <w:object w:dxaOrig="2340" w:dyaOrig="320" w14:anchorId="485F51B1">
          <v:shape id="_x0000_i8149" type="#_x0000_t75" style="width:117.4pt;height:15.75pt" o:ole="">
            <v:imagedata r:id="rId14377" o:title=""/>
          </v:shape>
          <o:OLEObject Type="Embed" ProgID="Equation.DSMT4" ShapeID="_x0000_i8149" DrawAspect="Content" ObjectID="_1791382092" r:id="rId14378"/>
        </w:object>
      </w:r>
      <w:r w:rsidRPr="005C611F">
        <w:rPr>
          <w:rFonts w:hint="cs"/>
          <w:i/>
          <w:sz w:val="23"/>
          <w:szCs w:val="23"/>
          <w:rtl/>
        </w:rPr>
        <w:t xml:space="preserve"> </w:t>
      </w:r>
    </w:p>
    <w:p w14:paraId="056CF382" w14:textId="77777777" w:rsidR="00556C10" w:rsidRPr="005C611F" w:rsidRDefault="00556C10" w:rsidP="00556C10">
      <w:pPr>
        <w:tabs>
          <w:tab w:val="left" w:pos="90"/>
        </w:tabs>
        <w:bidi w:val="0"/>
        <w:spacing w:line="216" w:lineRule="auto"/>
        <w:rPr>
          <w:i/>
          <w:sz w:val="23"/>
          <w:szCs w:val="23"/>
          <w:rtl/>
        </w:rPr>
      </w:pPr>
      <w:r w:rsidRPr="00F4704A">
        <w:rPr>
          <w:position w:val="-10"/>
        </w:rPr>
        <w:object w:dxaOrig="2320" w:dyaOrig="320" w14:anchorId="0BCDC367">
          <v:shape id="_x0000_i8150" type="#_x0000_t75" style="width:116.15pt;height:15.75pt" o:ole="">
            <v:imagedata r:id="rId14379" o:title=""/>
          </v:shape>
          <o:OLEObject Type="Embed" ProgID="Equation.DSMT4" ShapeID="_x0000_i8150" DrawAspect="Content" ObjectID="_1791382093" r:id="rId14380"/>
        </w:object>
      </w:r>
    </w:p>
    <w:p w14:paraId="3FC68643"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که در آن</w:t>
      </w:r>
      <w:r w:rsidRPr="00F4704A">
        <w:rPr>
          <w:position w:val="-10"/>
        </w:rPr>
        <w:object w:dxaOrig="320" w:dyaOrig="320" w14:anchorId="6FCE008F">
          <v:shape id="_x0000_i8151" type="#_x0000_t75" style="width:15.75pt;height:15.75pt" o:ole="">
            <v:imagedata r:id="rId14381" o:title=""/>
          </v:shape>
          <o:OLEObject Type="Embed" ProgID="Equation.DSMT4" ShapeID="_x0000_i8151" DrawAspect="Content" ObjectID="_1791382094" r:id="rId14382"/>
        </w:object>
      </w:r>
      <w:r w:rsidRPr="005C611F">
        <w:rPr>
          <w:rFonts w:hint="cs"/>
          <w:i/>
          <w:sz w:val="23"/>
          <w:szCs w:val="23"/>
          <w:rtl/>
        </w:rPr>
        <w:t xml:space="preserve"> و</w:t>
      </w:r>
      <w:r w:rsidRPr="00F4704A">
        <w:rPr>
          <w:position w:val="-10"/>
        </w:rPr>
        <w:object w:dxaOrig="260" w:dyaOrig="320" w14:anchorId="4CF86C5A">
          <v:shape id="_x0000_i8152" type="#_x0000_t75" style="width:13.3pt;height:15.75pt" o:ole="">
            <v:imagedata r:id="rId14383" o:title=""/>
          </v:shape>
          <o:OLEObject Type="Embed" ProgID="Equation.DSMT4" ShapeID="_x0000_i8152" DrawAspect="Content" ObjectID="_1791382095" r:id="rId14384"/>
        </w:object>
      </w:r>
      <w:r w:rsidRPr="005C611F">
        <w:rPr>
          <w:rFonts w:hint="cs"/>
          <w:i/>
          <w:sz w:val="23"/>
          <w:szCs w:val="23"/>
          <w:rtl/>
        </w:rPr>
        <w:t xml:space="preserve"> صادرات می‌باشند. توابع تولید عبارت است از:</w:t>
      </w:r>
    </w:p>
    <w:p w14:paraId="3E198F7B" w14:textId="77777777" w:rsidR="00556C10" w:rsidRPr="005C611F" w:rsidRDefault="00556C10" w:rsidP="00556C10">
      <w:pPr>
        <w:tabs>
          <w:tab w:val="left" w:pos="90"/>
        </w:tabs>
        <w:bidi w:val="0"/>
        <w:spacing w:line="216" w:lineRule="auto"/>
        <w:rPr>
          <w:i/>
          <w:sz w:val="23"/>
          <w:szCs w:val="23"/>
          <w:rtl/>
        </w:rPr>
      </w:pPr>
      <w:r w:rsidRPr="00F4704A">
        <w:rPr>
          <w:position w:val="-10"/>
        </w:rPr>
        <w:object w:dxaOrig="2060" w:dyaOrig="340" w14:anchorId="7161A304">
          <v:shape id="_x0000_i8153" type="#_x0000_t75" style="width:102.85pt;height:16.95pt" o:ole="">
            <v:imagedata r:id="rId14385" o:title=""/>
          </v:shape>
          <o:OLEObject Type="Embed" ProgID="Equation.DSMT4" ShapeID="_x0000_i8153" DrawAspect="Content" ObjectID="_1791382096" r:id="rId14386"/>
        </w:object>
      </w:r>
      <w:r w:rsidRPr="005C611F">
        <w:rPr>
          <w:rFonts w:hint="cs"/>
          <w:i/>
          <w:sz w:val="23"/>
          <w:szCs w:val="23"/>
          <w:rtl/>
        </w:rPr>
        <w:t xml:space="preserve"> </w:t>
      </w:r>
    </w:p>
    <w:p w14:paraId="75A24509"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همچنین اثرات زمان ساخت در تابع سرمایه</w:t>
      </w:r>
      <w:r w:rsidRPr="005C611F">
        <w:rPr>
          <w:i/>
          <w:sz w:val="23"/>
          <w:szCs w:val="23"/>
          <w:rtl/>
        </w:rPr>
        <w:softHyphen/>
      </w:r>
      <w:r w:rsidRPr="005C611F">
        <w:rPr>
          <w:rFonts w:hint="cs"/>
          <w:i/>
          <w:sz w:val="23"/>
          <w:szCs w:val="23"/>
          <w:rtl/>
        </w:rPr>
        <w:t>گذاری وجود دارد. بنابراین مخارج سرمایه</w:t>
      </w:r>
      <w:r w:rsidRPr="005C611F">
        <w:rPr>
          <w:i/>
          <w:sz w:val="23"/>
          <w:szCs w:val="23"/>
          <w:rtl/>
        </w:rPr>
        <w:softHyphen/>
      </w:r>
      <w:r w:rsidRPr="005C611F">
        <w:rPr>
          <w:rFonts w:hint="cs"/>
          <w:i/>
          <w:sz w:val="23"/>
          <w:szCs w:val="23"/>
          <w:rtl/>
        </w:rPr>
        <w:t>گذاری برابر خواهد بود با</w:t>
      </w:r>
    </w:p>
    <w:p w14:paraId="6D3F64ED" w14:textId="77777777" w:rsidR="00556C10" w:rsidRPr="005C611F" w:rsidRDefault="00556C10" w:rsidP="00556C10">
      <w:pPr>
        <w:tabs>
          <w:tab w:val="left" w:pos="90"/>
        </w:tabs>
        <w:bidi w:val="0"/>
        <w:spacing w:line="216" w:lineRule="auto"/>
        <w:rPr>
          <w:i/>
          <w:sz w:val="23"/>
          <w:szCs w:val="23"/>
          <w:rtl/>
        </w:rPr>
      </w:pPr>
      <w:r w:rsidRPr="00F4704A">
        <w:rPr>
          <w:position w:val="-28"/>
        </w:rPr>
        <w:object w:dxaOrig="1140" w:dyaOrig="639" w14:anchorId="49B7C6FD">
          <v:shape id="_x0000_i8154" type="#_x0000_t75" style="width:57.5pt;height:32.05pt" o:ole="">
            <v:imagedata r:id="rId14387" o:title=""/>
          </v:shape>
          <o:OLEObject Type="Embed" ProgID="Equation.DSMT4" ShapeID="_x0000_i8154" DrawAspect="Content" ObjectID="_1791382097" r:id="rId14388"/>
        </w:object>
      </w:r>
    </w:p>
    <w:p w14:paraId="340FBF46"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lastRenderedPageBreak/>
        <w:t xml:space="preserve">که در آن </w:t>
      </w:r>
      <w:r w:rsidRPr="00F4704A">
        <w:rPr>
          <w:position w:val="-14"/>
        </w:rPr>
        <w:object w:dxaOrig="320" w:dyaOrig="380" w14:anchorId="2A59BF8A">
          <v:shape id="_x0000_i8155" type="#_x0000_t75" style="width:15.75pt;height:18.75pt" o:ole="">
            <v:imagedata r:id="rId14389" o:title=""/>
          </v:shape>
          <o:OLEObject Type="Embed" ProgID="Equation.DSMT4" ShapeID="_x0000_i8155" DrawAspect="Content" ObjectID="_1791382098" r:id="rId14390"/>
        </w:object>
      </w:r>
      <w:r w:rsidRPr="005C611F">
        <w:rPr>
          <w:rFonts w:hint="cs"/>
          <w:i/>
          <w:sz w:val="23"/>
          <w:szCs w:val="23"/>
          <w:rtl/>
        </w:rPr>
        <w:t>سرمایه</w:t>
      </w:r>
      <w:r w:rsidRPr="005C611F">
        <w:rPr>
          <w:i/>
          <w:sz w:val="23"/>
          <w:szCs w:val="23"/>
          <w:rtl/>
        </w:rPr>
        <w:softHyphen/>
      </w:r>
      <w:r w:rsidRPr="005C611F">
        <w:rPr>
          <w:rFonts w:hint="cs"/>
          <w:i/>
          <w:sz w:val="23"/>
          <w:szCs w:val="23"/>
          <w:rtl/>
        </w:rPr>
        <w:t xml:space="preserve">گذاری در شروع دوره </w:t>
      </w:r>
      <w:r w:rsidRPr="005C611F">
        <w:rPr>
          <w:i/>
          <w:sz w:val="23"/>
          <w:szCs w:val="23"/>
        </w:rPr>
        <w:t>t-j</w:t>
      </w:r>
      <w:r w:rsidRPr="005C611F">
        <w:rPr>
          <w:rFonts w:hint="cs"/>
          <w:i/>
          <w:sz w:val="23"/>
          <w:szCs w:val="23"/>
          <w:rtl/>
        </w:rPr>
        <w:t xml:space="preserve"> است.</w:t>
      </w:r>
    </w:p>
    <w:p w14:paraId="5B29BEEA"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برای معرفی جانشینی ناقص کالاهای داخلی و خارجی، در هر کشور، مخارج کل مصرفی و سرمایه</w:t>
      </w:r>
      <w:r w:rsidRPr="005C611F">
        <w:rPr>
          <w:i/>
          <w:sz w:val="23"/>
          <w:szCs w:val="23"/>
          <w:rtl/>
        </w:rPr>
        <w:softHyphen/>
      </w:r>
      <w:r w:rsidRPr="005C611F">
        <w:rPr>
          <w:rFonts w:hint="cs"/>
          <w:i/>
          <w:sz w:val="23"/>
          <w:szCs w:val="23"/>
          <w:rtl/>
        </w:rPr>
        <w:t>گذاری و مخارج دولتی ترکیبی از کالاهای داخلی و خارجی است، به</w:t>
      </w:r>
      <w:r w:rsidRPr="005C611F">
        <w:rPr>
          <w:i/>
          <w:sz w:val="23"/>
          <w:szCs w:val="23"/>
          <w:rtl/>
        </w:rPr>
        <w:softHyphen/>
      </w:r>
      <w:r w:rsidRPr="005C611F">
        <w:rPr>
          <w:rFonts w:hint="cs"/>
          <w:i/>
          <w:sz w:val="23"/>
          <w:szCs w:val="23"/>
          <w:rtl/>
        </w:rPr>
        <w:t>گونه</w:t>
      </w:r>
      <w:r w:rsidRPr="005C611F">
        <w:rPr>
          <w:i/>
          <w:sz w:val="23"/>
          <w:szCs w:val="23"/>
          <w:rtl/>
        </w:rPr>
        <w:softHyphen/>
      </w:r>
      <w:r w:rsidRPr="005C611F">
        <w:rPr>
          <w:rFonts w:hint="cs"/>
          <w:i/>
          <w:sz w:val="23"/>
          <w:szCs w:val="23"/>
          <w:rtl/>
        </w:rPr>
        <w:t>ای که:</w:t>
      </w:r>
    </w:p>
    <w:p w14:paraId="6B8DF2B8" w14:textId="77777777" w:rsidR="00556C10" w:rsidRPr="005C611F" w:rsidRDefault="00556C10" w:rsidP="00556C10">
      <w:pPr>
        <w:tabs>
          <w:tab w:val="left" w:pos="90"/>
        </w:tabs>
        <w:bidi w:val="0"/>
        <w:spacing w:line="216" w:lineRule="auto"/>
        <w:rPr>
          <w:i/>
          <w:sz w:val="23"/>
          <w:szCs w:val="23"/>
          <w:rtl/>
        </w:rPr>
      </w:pPr>
      <w:r w:rsidRPr="00F4704A">
        <w:rPr>
          <w:position w:val="-10"/>
        </w:rPr>
        <w:object w:dxaOrig="4099" w:dyaOrig="340" w14:anchorId="5015CCA0">
          <v:shape id="_x0000_i8156" type="#_x0000_t75" style="width:205.1pt;height:16.95pt" o:ole="">
            <v:imagedata r:id="rId14391" o:title=""/>
          </v:shape>
          <o:OLEObject Type="Embed" ProgID="Equation.DSMT4" ShapeID="_x0000_i8156" DrawAspect="Content" ObjectID="_1791382099" r:id="rId14392"/>
        </w:object>
      </w:r>
    </w:p>
    <w:p w14:paraId="3FA56345" w14:textId="77777777" w:rsidR="00556C10" w:rsidRPr="005C611F" w:rsidRDefault="00556C10" w:rsidP="00556C10">
      <w:pPr>
        <w:tabs>
          <w:tab w:val="left" w:pos="90"/>
        </w:tabs>
        <w:bidi w:val="0"/>
        <w:spacing w:line="216" w:lineRule="auto"/>
        <w:rPr>
          <w:i/>
          <w:sz w:val="23"/>
          <w:szCs w:val="23"/>
          <w:rtl/>
        </w:rPr>
      </w:pPr>
      <w:r w:rsidRPr="00F4704A">
        <w:rPr>
          <w:position w:val="-10"/>
        </w:rPr>
        <w:object w:dxaOrig="4200" w:dyaOrig="340" w14:anchorId="6F57F881">
          <v:shape id="_x0000_i8157" type="#_x0000_t75" style="width:209.95pt;height:16.95pt" o:ole="">
            <v:imagedata r:id="rId14393" o:title=""/>
          </v:shape>
          <o:OLEObject Type="Embed" ProgID="Equation.DSMT4" ShapeID="_x0000_i8157" DrawAspect="Content" ObjectID="_1791382100" r:id="rId14394"/>
        </w:object>
      </w:r>
      <w:r w:rsidRPr="005C611F">
        <w:rPr>
          <w:rFonts w:hint="cs"/>
          <w:i/>
          <w:sz w:val="23"/>
          <w:szCs w:val="23"/>
          <w:rtl/>
        </w:rPr>
        <w:t xml:space="preserve"> </w:t>
      </w:r>
    </w:p>
    <w:p w14:paraId="46DE3398"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و کشش جانشینی بین کالاهای داخلی و خارجی برابر است با </w:t>
      </w:r>
      <w:r w:rsidRPr="00F4704A">
        <w:rPr>
          <w:position w:val="-26"/>
        </w:rPr>
        <w:object w:dxaOrig="240" w:dyaOrig="600" w14:anchorId="1CE559A9">
          <v:shape id="_x0000_i8158" type="#_x0000_t75" style="width:11.5pt;height:29.65pt" o:ole="">
            <v:imagedata r:id="rId14395" o:title=""/>
          </v:shape>
          <o:OLEObject Type="Embed" ProgID="Equation.DSMT4" ShapeID="_x0000_i8158" DrawAspect="Content" ObjectID="_1791382101" r:id="rId14396"/>
        </w:object>
      </w:r>
      <w:r w:rsidRPr="005C611F">
        <w:rPr>
          <w:rFonts w:hint="cs"/>
          <w:i/>
          <w:sz w:val="23"/>
          <w:szCs w:val="23"/>
          <w:rtl/>
        </w:rPr>
        <w:t>. اگر</w:t>
      </w:r>
      <w:r w:rsidRPr="00F4704A">
        <w:rPr>
          <w:position w:val="-10"/>
        </w:rPr>
        <w:object w:dxaOrig="279" w:dyaOrig="320" w14:anchorId="25AD7858">
          <v:shape id="_x0000_i8159" type="#_x0000_t75" style="width:13.9pt;height:15.75pt" o:ole="">
            <v:imagedata r:id="rId14397" o:title=""/>
          </v:shape>
          <o:OLEObject Type="Embed" ProgID="Equation.DSMT4" ShapeID="_x0000_i8159" DrawAspect="Content" ObjectID="_1791382102" r:id="rId14398"/>
        </w:object>
      </w:r>
      <w:r w:rsidRPr="005C611F">
        <w:rPr>
          <w:rFonts w:hint="cs"/>
          <w:i/>
          <w:sz w:val="23"/>
          <w:szCs w:val="23"/>
          <w:rtl/>
        </w:rPr>
        <w:t xml:space="preserve"> و</w:t>
      </w:r>
      <w:r w:rsidRPr="00F4704A">
        <w:rPr>
          <w:position w:val="-10"/>
        </w:rPr>
        <w:object w:dxaOrig="300" w:dyaOrig="320" w14:anchorId="0AEE9A8B">
          <v:shape id="_x0000_i8160" type="#_x0000_t75" style="width:14.5pt;height:15.75pt" o:ole="">
            <v:imagedata r:id="rId14399" o:title=""/>
          </v:shape>
          <o:OLEObject Type="Embed" ProgID="Equation.DSMT4" ShapeID="_x0000_i8160" DrawAspect="Content" ObjectID="_1791382103" r:id="rId14400"/>
        </w:object>
      </w:r>
      <w:r w:rsidRPr="005C611F">
        <w:rPr>
          <w:rFonts w:hint="cs"/>
          <w:i/>
          <w:sz w:val="23"/>
          <w:szCs w:val="23"/>
          <w:rtl/>
        </w:rPr>
        <w:t xml:space="preserve"> قیمت‌های کالاهای داخلی و خارجی باشند، آنگاه در تعادل، قیمت نسبی آن‌ها و یا رابطه</w:t>
      </w:r>
      <w:r w:rsidRPr="005C611F">
        <w:rPr>
          <w:i/>
          <w:sz w:val="23"/>
          <w:szCs w:val="23"/>
          <w:rtl/>
        </w:rPr>
        <w:softHyphen/>
      </w:r>
      <w:r w:rsidRPr="005C611F">
        <w:rPr>
          <w:rFonts w:hint="cs"/>
          <w:i/>
          <w:sz w:val="23"/>
          <w:szCs w:val="23"/>
          <w:rtl/>
        </w:rPr>
        <w:t>ی مبادله برابر خواهد بود با:</w:t>
      </w:r>
    </w:p>
    <w:p w14:paraId="556E2CC7" w14:textId="77777777" w:rsidR="00556C10" w:rsidRPr="005C611F" w:rsidRDefault="00556C10" w:rsidP="00556C10">
      <w:pPr>
        <w:tabs>
          <w:tab w:val="left" w:pos="90"/>
        </w:tabs>
        <w:bidi w:val="0"/>
        <w:spacing w:line="216" w:lineRule="auto"/>
        <w:rPr>
          <w:i/>
          <w:sz w:val="23"/>
          <w:szCs w:val="23"/>
          <w:rtl/>
        </w:rPr>
      </w:pPr>
      <w:r w:rsidRPr="00F4704A">
        <w:rPr>
          <w:position w:val="-28"/>
        </w:rPr>
        <w:object w:dxaOrig="2820" w:dyaOrig="639" w14:anchorId="7EAB806A">
          <v:shape id="_x0000_i8161" type="#_x0000_t75" style="width:140.95pt;height:32.05pt" o:ole="">
            <v:imagedata r:id="rId14401" o:title=""/>
          </v:shape>
          <o:OLEObject Type="Embed" ProgID="Equation.DSMT4" ShapeID="_x0000_i8161" DrawAspect="Content" ObjectID="_1791382104" r:id="rId14402"/>
        </w:object>
      </w:r>
      <w:r w:rsidRPr="005C611F">
        <w:rPr>
          <w:rFonts w:hint="cs"/>
          <w:i/>
          <w:sz w:val="23"/>
          <w:szCs w:val="23"/>
          <w:rtl/>
        </w:rPr>
        <w:t xml:space="preserve"> </w:t>
      </w:r>
    </w:p>
    <w:p w14:paraId="7EB8B0F8"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تراز تجاری کشور 1 که بر حسب کالاهای داخلی بیان شده برابر است با:</w:t>
      </w:r>
    </w:p>
    <w:p w14:paraId="0E6A22C4" w14:textId="77777777" w:rsidR="00556C10" w:rsidRPr="005C611F" w:rsidRDefault="00556C10" w:rsidP="00556C10">
      <w:pPr>
        <w:tabs>
          <w:tab w:val="left" w:pos="90"/>
        </w:tabs>
        <w:bidi w:val="0"/>
        <w:spacing w:line="216" w:lineRule="auto"/>
        <w:rPr>
          <w:i/>
          <w:sz w:val="23"/>
          <w:szCs w:val="23"/>
          <w:rtl/>
        </w:rPr>
      </w:pPr>
      <w:r w:rsidRPr="00F4704A">
        <w:rPr>
          <w:position w:val="-10"/>
        </w:rPr>
        <w:object w:dxaOrig="1380" w:dyaOrig="320" w14:anchorId="146A4C03">
          <v:shape id="_x0000_i8162" type="#_x0000_t75" style="width:68.95pt;height:15.75pt" o:ole="">
            <v:imagedata r:id="rId14403" o:title=""/>
          </v:shape>
          <o:OLEObject Type="Embed" ProgID="Equation.DSMT4" ShapeID="_x0000_i8162" DrawAspect="Content" ObjectID="_1791382105" r:id="rId14404"/>
        </w:object>
      </w:r>
      <w:r w:rsidRPr="005C611F">
        <w:rPr>
          <w:rFonts w:hint="cs"/>
          <w:i/>
          <w:sz w:val="23"/>
          <w:szCs w:val="23"/>
          <w:rtl/>
        </w:rPr>
        <w:t xml:space="preserve"> </w:t>
      </w:r>
    </w:p>
    <w:p w14:paraId="18C478AC"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شوک‌های تحمیل شده بر اقتصاد این دو کشور عبارتند از شوک‌های مخارج دولت و بهره</w:t>
      </w:r>
      <w:r w:rsidRPr="005C611F">
        <w:rPr>
          <w:i/>
          <w:sz w:val="23"/>
          <w:szCs w:val="23"/>
          <w:rtl/>
        </w:rPr>
        <w:softHyphen/>
      </w:r>
      <w:r w:rsidRPr="005C611F">
        <w:rPr>
          <w:rFonts w:hint="cs"/>
          <w:i/>
          <w:sz w:val="23"/>
          <w:szCs w:val="23"/>
          <w:rtl/>
        </w:rPr>
        <w:t>وری و با مدل خود همبسته‌ی برداری زیر تعیین می‌شوند.</w:t>
      </w:r>
    </w:p>
    <w:p w14:paraId="44560C31" w14:textId="77777777" w:rsidR="00556C10" w:rsidRPr="005C611F" w:rsidRDefault="00556C10" w:rsidP="00556C10">
      <w:pPr>
        <w:tabs>
          <w:tab w:val="left" w:pos="90"/>
        </w:tabs>
        <w:bidi w:val="0"/>
        <w:spacing w:line="216" w:lineRule="auto"/>
        <w:rPr>
          <w:i/>
          <w:sz w:val="23"/>
          <w:szCs w:val="23"/>
          <w:rtl/>
        </w:rPr>
      </w:pPr>
      <w:r w:rsidRPr="00F4704A">
        <w:rPr>
          <w:position w:val="-28"/>
        </w:rPr>
        <w:object w:dxaOrig="1460" w:dyaOrig="660" w14:anchorId="4CF2B8F9">
          <v:shape id="_x0000_i8163" type="#_x0000_t75" style="width:73.2pt;height:32.65pt" o:ole="">
            <v:imagedata r:id="rId14405" o:title=""/>
          </v:shape>
          <o:OLEObject Type="Embed" ProgID="Equation.DSMT4" ShapeID="_x0000_i8163" DrawAspect="Content" ObjectID="_1791382106" r:id="rId14406"/>
        </w:object>
      </w:r>
      <w:r w:rsidRPr="005C611F">
        <w:rPr>
          <w:rFonts w:hint="cs"/>
          <w:i/>
          <w:sz w:val="23"/>
          <w:szCs w:val="23"/>
          <w:rtl/>
        </w:rPr>
        <w:t xml:space="preserve"> </w:t>
      </w:r>
    </w:p>
    <w:p w14:paraId="341E8600"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که در آن</w:t>
      </w:r>
      <w:r w:rsidRPr="00F4704A">
        <w:rPr>
          <w:position w:val="-10"/>
        </w:rPr>
        <w:object w:dxaOrig="1340" w:dyaOrig="320" w14:anchorId="16AF16E7">
          <v:shape id="_x0000_i8164" type="#_x0000_t75" style="width:67.15pt;height:15.75pt" o:ole="">
            <v:imagedata r:id="rId14407" o:title=""/>
          </v:shape>
          <o:OLEObject Type="Embed" ProgID="Equation.DSMT4" ShapeID="_x0000_i8164" DrawAspect="Content" ObjectID="_1791382107" r:id="rId14408"/>
        </w:object>
      </w:r>
      <w:r w:rsidRPr="005C611F">
        <w:rPr>
          <w:rFonts w:hint="cs"/>
          <w:i/>
          <w:sz w:val="23"/>
          <w:szCs w:val="23"/>
          <w:rtl/>
        </w:rPr>
        <w:t xml:space="preserve"> و</w:t>
      </w:r>
      <w:r w:rsidRPr="00F4704A">
        <w:rPr>
          <w:position w:val="-10"/>
        </w:rPr>
        <w:object w:dxaOrig="1280" w:dyaOrig="320" w14:anchorId="560E6BB7">
          <v:shape id="_x0000_i8165" type="#_x0000_t75" style="width:64.15pt;height:15.75pt" o:ole="">
            <v:imagedata r:id="rId14409" o:title=""/>
          </v:shape>
          <o:OLEObject Type="Embed" ProgID="Equation.DSMT4" ShapeID="_x0000_i8165" DrawAspect="Content" ObjectID="_1791382108" r:id="rId14410"/>
        </w:object>
      </w:r>
      <w:r w:rsidRPr="005C611F">
        <w:rPr>
          <w:rFonts w:eastAsiaTheme="minorHAnsi" w:cstheme="minorBidi" w:hint="cs"/>
          <w:i/>
          <w:sz w:val="23"/>
          <w:szCs w:val="23"/>
          <w:rtl/>
        </w:rPr>
        <w:t xml:space="preserve"> </w:t>
      </w:r>
      <w:r w:rsidRPr="005C611F">
        <w:rPr>
          <w:rFonts w:hint="cs"/>
          <w:i/>
          <w:sz w:val="23"/>
          <w:szCs w:val="23"/>
          <w:rtl/>
        </w:rPr>
        <w:t>است و شوک‌های مخارج دولتی ناهمبسته ولی شوک‌های تکنولوژی در این دو کشور همبسته</w:t>
      </w:r>
      <w:r w:rsidRPr="005C611F">
        <w:rPr>
          <w:i/>
          <w:sz w:val="23"/>
          <w:szCs w:val="23"/>
          <w:rtl/>
        </w:rPr>
        <w:softHyphen/>
      </w:r>
      <w:r w:rsidRPr="005C611F">
        <w:rPr>
          <w:rFonts w:hint="cs"/>
          <w:i/>
          <w:sz w:val="23"/>
          <w:szCs w:val="23"/>
          <w:rtl/>
        </w:rPr>
        <w:t xml:space="preserve">اند. با کالیبراسیون پارامترهای مدل عبارتند از، </w:t>
      </w:r>
    </w:p>
    <w:p w14:paraId="12076B72" w14:textId="77777777" w:rsidR="00556C10" w:rsidRPr="005C611F" w:rsidRDefault="00556C10" w:rsidP="00556C10">
      <w:pPr>
        <w:tabs>
          <w:tab w:val="left" w:pos="90"/>
        </w:tabs>
        <w:bidi w:val="0"/>
        <w:spacing w:line="216" w:lineRule="auto"/>
        <w:rPr>
          <w:i/>
          <w:sz w:val="23"/>
          <w:szCs w:val="23"/>
          <w:rtl/>
        </w:rPr>
      </w:pPr>
      <w:r w:rsidRPr="00F4704A">
        <w:rPr>
          <w:position w:val="-10"/>
        </w:rPr>
        <w:object w:dxaOrig="6380" w:dyaOrig="320" w14:anchorId="0247367B">
          <v:shape id="_x0000_i8166" type="#_x0000_t75" style="width:318.85pt;height:15.75pt" o:ole="">
            <v:imagedata r:id="rId14411" o:title=""/>
          </v:shape>
          <o:OLEObject Type="Embed" ProgID="Equation.DSMT4" ShapeID="_x0000_i8166" DrawAspect="Content" ObjectID="_1791382109" r:id="rId14412"/>
        </w:object>
      </w:r>
    </w:p>
    <w:p w14:paraId="41B1A5CB" w14:textId="77777777" w:rsidR="00556C10" w:rsidRPr="005C611F" w:rsidRDefault="00556C10" w:rsidP="00556C10">
      <w:pPr>
        <w:tabs>
          <w:tab w:val="left" w:pos="90"/>
        </w:tabs>
        <w:spacing w:line="216" w:lineRule="auto"/>
        <w:rPr>
          <w:i/>
          <w:sz w:val="23"/>
          <w:szCs w:val="23"/>
        </w:rPr>
      </w:pPr>
      <w:r w:rsidRPr="005C611F">
        <w:rPr>
          <w:rFonts w:hint="cs"/>
          <w:i/>
          <w:sz w:val="23"/>
          <w:szCs w:val="23"/>
          <w:rtl/>
        </w:rPr>
        <w:t xml:space="preserve">و </w:t>
      </w:r>
    </w:p>
    <w:p w14:paraId="57322B1F" w14:textId="77777777" w:rsidR="00556C10" w:rsidRPr="005C611F" w:rsidRDefault="00556C10" w:rsidP="00556C10">
      <w:pPr>
        <w:tabs>
          <w:tab w:val="left" w:pos="90"/>
        </w:tabs>
        <w:bidi w:val="0"/>
        <w:spacing w:line="216" w:lineRule="auto"/>
        <w:rPr>
          <w:i/>
          <w:sz w:val="23"/>
          <w:szCs w:val="23"/>
          <w:rtl/>
        </w:rPr>
      </w:pPr>
      <w:r w:rsidRPr="00F4704A">
        <w:rPr>
          <w:position w:val="-28"/>
        </w:rPr>
        <w:object w:dxaOrig="1900" w:dyaOrig="660" w14:anchorId="0101CED9">
          <v:shape id="_x0000_i8167" type="#_x0000_t75" style="width:95pt;height:32.65pt" o:ole="">
            <v:imagedata r:id="rId14413" o:title=""/>
          </v:shape>
          <o:OLEObject Type="Embed" ProgID="Equation.DSMT4" ShapeID="_x0000_i8167" DrawAspect="Content" ObjectID="_1791382110" r:id="rId14414"/>
        </w:object>
      </w:r>
      <w:r w:rsidRPr="005C611F">
        <w:rPr>
          <w:rFonts w:hint="cs"/>
          <w:i/>
          <w:sz w:val="23"/>
          <w:szCs w:val="23"/>
          <w:rtl/>
        </w:rPr>
        <w:t xml:space="preserve"> </w:t>
      </w:r>
    </w:p>
    <w:p w14:paraId="3AAD1DF4"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و در نتیجه </w:t>
      </w:r>
      <w:r w:rsidRPr="00F4704A">
        <w:rPr>
          <w:position w:val="-10"/>
        </w:rPr>
        <w:object w:dxaOrig="1939" w:dyaOrig="320" w14:anchorId="3D691D39">
          <v:shape id="_x0000_i8168" type="#_x0000_t75" style="width:96.8pt;height:15.75pt" o:ole="">
            <v:imagedata r:id="rId14415" o:title=""/>
          </v:shape>
          <o:OLEObject Type="Embed" ProgID="Equation.DSMT4" ShapeID="_x0000_i8168" DrawAspect="Content" ObjectID="_1791382111" r:id="rId14416"/>
        </w:object>
      </w:r>
      <w:r w:rsidRPr="005C611F">
        <w:rPr>
          <w:rFonts w:hint="cs"/>
          <w:i/>
          <w:sz w:val="23"/>
          <w:szCs w:val="23"/>
          <w:rtl/>
        </w:rPr>
        <w:t xml:space="preserve"> است. </w:t>
      </w:r>
    </w:p>
    <w:p w14:paraId="1E62DD61"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اکنون گشتاورهای مختلف محاسبه شده از داده‌های مشاهده شده را با داده‌های شبیه</w:t>
      </w:r>
      <w:r w:rsidRPr="005C611F">
        <w:rPr>
          <w:i/>
          <w:sz w:val="23"/>
          <w:szCs w:val="23"/>
          <w:rtl/>
        </w:rPr>
        <w:softHyphen/>
      </w:r>
      <w:r w:rsidRPr="005C611F">
        <w:rPr>
          <w:rFonts w:hint="cs"/>
          <w:i/>
          <w:sz w:val="23"/>
          <w:szCs w:val="23"/>
          <w:rtl/>
        </w:rPr>
        <w:t>سازی شده‌ی اقتصاد مبنا چند کشور را با یکدیگر مقایسه می‌کنیم. در این جا فقط برخی از نتایج باکاس، کهو و کیدلند گزارش می‌شوند.</w:t>
      </w:r>
    </w:p>
    <w:p w14:paraId="51D38D81"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جدول ۱۶. ۳ آماره‌های نمونه را برمبنای داده‌های مشاهده شده ایالات متحده، کانادا، آلمان، ژاپن و انگلستان و برای نسخه‌های مختلفی از مدل نشان می‌دهد. داده‌ها به وسیله فیلتر هدریک پرسکات روندزدایی شده و آماره‌های مدل مبتنی است بر بیست شبیه</w:t>
      </w:r>
      <w:r w:rsidRPr="005C611F">
        <w:rPr>
          <w:i/>
          <w:sz w:val="23"/>
          <w:szCs w:val="23"/>
          <w:rtl/>
        </w:rPr>
        <w:softHyphen/>
      </w:r>
      <w:r w:rsidRPr="005C611F">
        <w:rPr>
          <w:rFonts w:hint="cs"/>
          <w:i/>
          <w:sz w:val="23"/>
          <w:szCs w:val="23"/>
          <w:rtl/>
        </w:rPr>
        <w:t>سازی تصادفی و برای یکصد دوره که پس از آن با فیلتر هدریک پرسکات روندزدایی شده</w:t>
      </w:r>
      <w:r w:rsidRPr="005C611F">
        <w:rPr>
          <w:i/>
          <w:sz w:val="23"/>
          <w:szCs w:val="23"/>
          <w:rtl/>
        </w:rPr>
        <w:softHyphen/>
      </w:r>
      <w:r w:rsidRPr="005C611F">
        <w:rPr>
          <w:rFonts w:hint="cs"/>
          <w:i/>
          <w:sz w:val="23"/>
          <w:szCs w:val="23"/>
          <w:rtl/>
        </w:rPr>
        <w:t>اند. بیشتر آماره‌های مشاهده شده</w:t>
      </w:r>
      <w:r w:rsidRPr="005C611F">
        <w:rPr>
          <w:i/>
          <w:sz w:val="23"/>
          <w:szCs w:val="23"/>
          <w:rtl/>
        </w:rPr>
        <w:softHyphen/>
      </w:r>
      <w:r w:rsidRPr="005C611F">
        <w:rPr>
          <w:rFonts w:hint="cs"/>
          <w:i/>
          <w:sz w:val="23"/>
          <w:szCs w:val="23"/>
          <w:rtl/>
        </w:rPr>
        <w:t>ی کشورها تفاوت چندانی ندارند. بنابراین فقط در مباحث خود در خصوص مقایسه‌ی آماره‌های بین مدل‌های مختلف با داده‌های مشاهده شده متمرکز می‌شویم. در مدل مبنا، اثرات رابطه‌ی مبادله وجود ندارد و مخارج دولتی برابر با صفر است. داده‌های مدل به شوک‌های بهره</w:t>
      </w:r>
      <w:r w:rsidRPr="005C611F">
        <w:rPr>
          <w:i/>
          <w:sz w:val="23"/>
          <w:szCs w:val="23"/>
          <w:rtl/>
        </w:rPr>
        <w:softHyphen/>
      </w:r>
      <w:r w:rsidRPr="005C611F">
        <w:rPr>
          <w:rFonts w:hint="cs"/>
          <w:i/>
          <w:sz w:val="23"/>
          <w:szCs w:val="23"/>
          <w:rtl/>
        </w:rPr>
        <w:t xml:space="preserve">وری داخلی منتسب است. مهمترین </w:t>
      </w:r>
      <w:r w:rsidRPr="005C611F">
        <w:rPr>
          <w:rFonts w:hint="cs"/>
          <w:i/>
          <w:sz w:val="23"/>
          <w:szCs w:val="23"/>
          <w:rtl/>
        </w:rPr>
        <w:lastRenderedPageBreak/>
        <w:t>تفاوت با داده‌های مشاهده شده، نوسانات کمتر در مصرف و همبستگی کم سرمایه</w:t>
      </w:r>
      <w:r w:rsidRPr="005C611F">
        <w:rPr>
          <w:i/>
          <w:sz w:val="23"/>
          <w:szCs w:val="23"/>
          <w:rtl/>
        </w:rPr>
        <w:softHyphen/>
      </w:r>
      <w:r w:rsidRPr="005C611F">
        <w:rPr>
          <w:rFonts w:hint="cs"/>
          <w:i/>
          <w:sz w:val="23"/>
          <w:szCs w:val="23"/>
          <w:rtl/>
        </w:rPr>
        <w:t xml:space="preserve">گذاری با تولید است. </w:t>
      </w:r>
    </w:p>
    <w:p w14:paraId="3BE881B4"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نمودارهای ۱۶. ۱ و ۱۶. ۲ توابع ضربه واکنش کشورهای داخلی و خارجی را بر حسب شوک تکنولوژی داخلی نشان می‌دهند. بیشترین اثر در سرمایه</w:t>
      </w:r>
      <w:r w:rsidRPr="005C611F">
        <w:rPr>
          <w:i/>
          <w:sz w:val="23"/>
          <w:szCs w:val="23"/>
          <w:rtl/>
        </w:rPr>
        <w:softHyphen/>
      </w:r>
      <w:r w:rsidRPr="005C611F">
        <w:rPr>
          <w:rFonts w:hint="cs"/>
          <w:i/>
          <w:sz w:val="23"/>
          <w:szCs w:val="23"/>
          <w:rtl/>
        </w:rPr>
        <w:t>گذاری است. این شوک باعث کسری خالص صادرات می‌شود که نشان داده نشده است. نهایتاً شوک بهره</w:t>
      </w:r>
      <w:r w:rsidRPr="005C611F">
        <w:rPr>
          <w:i/>
          <w:sz w:val="23"/>
          <w:szCs w:val="23"/>
          <w:rtl/>
        </w:rPr>
        <w:softHyphen/>
      </w:r>
      <w:r w:rsidRPr="005C611F">
        <w:rPr>
          <w:rFonts w:hint="cs"/>
          <w:i/>
          <w:sz w:val="23"/>
          <w:szCs w:val="23"/>
          <w:rtl/>
        </w:rPr>
        <w:t>وری داخلی بر اقتصاد خارجی از طریق افزایش بهره</w:t>
      </w:r>
      <w:r w:rsidRPr="005C611F">
        <w:rPr>
          <w:i/>
          <w:sz w:val="23"/>
          <w:szCs w:val="23"/>
          <w:rtl/>
        </w:rPr>
        <w:softHyphen/>
      </w:r>
      <w:r w:rsidRPr="005C611F">
        <w:rPr>
          <w:rFonts w:hint="cs"/>
          <w:i/>
          <w:sz w:val="23"/>
          <w:szCs w:val="23"/>
          <w:rtl/>
        </w:rPr>
        <w:t>وری آن کشور تاثیر می‌گذارد. علی</w:t>
      </w:r>
      <w:r w:rsidRPr="005C611F">
        <w:rPr>
          <w:i/>
          <w:sz w:val="23"/>
          <w:szCs w:val="23"/>
          <w:rtl/>
        </w:rPr>
        <w:softHyphen/>
      </w:r>
      <w:r w:rsidRPr="005C611F">
        <w:rPr>
          <w:rFonts w:hint="cs"/>
          <w:i/>
          <w:sz w:val="23"/>
          <w:szCs w:val="23"/>
          <w:rtl/>
        </w:rPr>
        <w:t>رغم این، تولید و سرمایه</w:t>
      </w:r>
      <w:r w:rsidRPr="005C611F">
        <w:rPr>
          <w:i/>
          <w:sz w:val="23"/>
          <w:szCs w:val="23"/>
          <w:rtl/>
        </w:rPr>
        <w:softHyphen/>
      </w:r>
      <w:r w:rsidRPr="005C611F">
        <w:rPr>
          <w:rFonts w:hint="cs"/>
          <w:i/>
          <w:sz w:val="23"/>
          <w:szCs w:val="23"/>
          <w:rtl/>
        </w:rPr>
        <w:t>گذاری خارجی ابتدا کاهش، ولی مصرف تا حدودی افزایش می‌یابد. همبستگی بین متغیرهای مربوطه در هر کشور در جدول ۱۶. ۴ نشان داده شده است. ستون کشورهای اروپایی مبین همبستگی مشاهده شده بین ایالات متحده و اروپاست. بنابراین در مدل مبنا همبستگی مصرف زیاد و مثبت است، که مبین سهم ریسک مصرف است (در بازار کامل این همبستگی برابر یک است)، شوک‌های بهره</w:t>
      </w:r>
      <w:r w:rsidRPr="005C611F">
        <w:rPr>
          <w:i/>
          <w:sz w:val="23"/>
          <w:szCs w:val="23"/>
          <w:rtl/>
        </w:rPr>
        <w:softHyphen/>
      </w:r>
      <w:r w:rsidRPr="005C611F">
        <w:rPr>
          <w:rFonts w:hint="cs"/>
          <w:i/>
          <w:sz w:val="23"/>
          <w:szCs w:val="23"/>
          <w:rtl/>
        </w:rPr>
        <w:t>وری همبستگی مثبت داشته ولی سه همبستگی دیگر منفی می‌باشند. باکاس، کهو و کیدلند این تفاوت در علائم همبستگی بین تولید، سرمایه</w:t>
      </w:r>
      <w:r w:rsidRPr="005C611F">
        <w:rPr>
          <w:i/>
          <w:sz w:val="23"/>
          <w:szCs w:val="23"/>
          <w:rtl/>
        </w:rPr>
        <w:softHyphen/>
      </w:r>
      <w:r w:rsidRPr="005C611F">
        <w:rPr>
          <w:rFonts w:hint="cs"/>
          <w:i/>
          <w:sz w:val="23"/>
          <w:szCs w:val="23"/>
          <w:rtl/>
        </w:rPr>
        <w:t>گذاری و اشتغال را به خاطر انتقال منابع از کشورهای خارجی به داخل، به دلیل ارتقاء بهره</w:t>
      </w:r>
      <w:r w:rsidRPr="005C611F">
        <w:rPr>
          <w:i/>
          <w:sz w:val="23"/>
          <w:szCs w:val="23"/>
          <w:rtl/>
        </w:rPr>
        <w:softHyphen/>
      </w:r>
      <w:r w:rsidRPr="005C611F">
        <w:rPr>
          <w:rFonts w:hint="cs"/>
          <w:i/>
          <w:sz w:val="23"/>
          <w:szCs w:val="23"/>
          <w:rtl/>
        </w:rPr>
        <w:t>وری بالاتر در اقتصاد داخلی دانسته</w:t>
      </w:r>
      <w:r w:rsidRPr="005C611F">
        <w:rPr>
          <w:i/>
          <w:sz w:val="23"/>
          <w:szCs w:val="23"/>
          <w:rtl/>
        </w:rPr>
        <w:softHyphen/>
      </w:r>
      <w:r w:rsidRPr="005C611F">
        <w:rPr>
          <w:rFonts w:hint="cs"/>
          <w:i/>
          <w:sz w:val="23"/>
          <w:szCs w:val="23"/>
          <w:rtl/>
        </w:rPr>
        <w:t>اند و آن را ناهنجاری کمّی‌ نامیدند. آن‌ها اثرات افزودن هزینه‌ی حمل و نقل را در مدل نیز بررسی کردند. این تغییر به طور قابل ملاحظه</w:t>
      </w:r>
      <w:r w:rsidRPr="005C611F">
        <w:rPr>
          <w:i/>
          <w:sz w:val="23"/>
          <w:szCs w:val="23"/>
          <w:rtl/>
        </w:rPr>
        <w:softHyphen/>
      </w:r>
      <w:r w:rsidRPr="005C611F">
        <w:rPr>
          <w:rFonts w:hint="cs"/>
          <w:i/>
          <w:sz w:val="23"/>
          <w:szCs w:val="23"/>
          <w:rtl/>
        </w:rPr>
        <w:t>ای تغییرپذیری خالص صادرات را در مدل کمکی از ۳.۷۷ به ۰.۳۷، و همچنین تغییرپذیری سرمایه</w:t>
      </w:r>
      <w:r w:rsidRPr="005C611F">
        <w:rPr>
          <w:i/>
          <w:sz w:val="23"/>
          <w:szCs w:val="23"/>
          <w:rtl/>
        </w:rPr>
        <w:softHyphen/>
      </w:r>
      <w:r w:rsidRPr="005C611F">
        <w:rPr>
          <w:rFonts w:hint="cs"/>
          <w:i/>
          <w:sz w:val="23"/>
          <w:szCs w:val="23"/>
          <w:rtl/>
        </w:rPr>
        <w:t>گذاری نسبت به تولید را کاهش داده و در مابقی موارد تغییرات نامحسوس بوده است.</w:t>
      </w:r>
    </w:p>
    <w:p w14:paraId="61C4A92F" w14:textId="77777777" w:rsidR="00556C10" w:rsidRDefault="00556C10" w:rsidP="00556C10">
      <w:pPr>
        <w:tabs>
          <w:tab w:val="left" w:pos="90"/>
        </w:tabs>
        <w:spacing w:line="216" w:lineRule="auto"/>
        <w:rPr>
          <w:i/>
          <w:sz w:val="23"/>
          <w:szCs w:val="23"/>
          <w:rtl/>
        </w:rPr>
      </w:pPr>
      <w:r w:rsidRPr="005C611F">
        <w:rPr>
          <w:rFonts w:hint="cs"/>
          <w:i/>
          <w:sz w:val="23"/>
          <w:szCs w:val="23"/>
          <w:rtl/>
        </w:rPr>
        <w:t>اگر تجارت در مورد تمامی‌کالاها و خدمات ممنوع شود، آنگاه اقتصادی خودکفا خواهیم داشت. در این صورت انتظار می‌رود که همبستگی مصرف بین کشورها و بدون در نظر گرفتن علائم، همبستگی بین تولید، سرمایه</w:t>
      </w:r>
      <w:r w:rsidRPr="005C611F">
        <w:rPr>
          <w:i/>
          <w:sz w:val="23"/>
          <w:szCs w:val="23"/>
          <w:rtl/>
        </w:rPr>
        <w:softHyphen/>
      </w:r>
      <w:r w:rsidRPr="005C611F">
        <w:rPr>
          <w:rFonts w:hint="cs"/>
          <w:i/>
          <w:sz w:val="23"/>
          <w:szCs w:val="23"/>
          <w:rtl/>
        </w:rPr>
        <w:t>گذاری و اشتغال نیز کاهش یابد. یک راه برای افزایش همبستگی‌ متغیرها، افزایش همبستگی بین شوک‌های بهره</w:t>
      </w:r>
      <w:r w:rsidRPr="005C611F">
        <w:rPr>
          <w:i/>
          <w:sz w:val="23"/>
          <w:szCs w:val="23"/>
          <w:rtl/>
        </w:rPr>
        <w:softHyphen/>
      </w:r>
      <w:r w:rsidRPr="005C611F">
        <w:rPr>
          <w:rFonts w:hint="cs"/>
          <w:i/>
          <w:sz w:val="23"/>
          <w:szCs w:val="23"/>
          <w:rtl/>
        </w:rPr>
        <w:t>وری است. باکاس، کهو و کیدلند معتقدند که این افزایش همبستگی شوک‌های بهره</w:t>
      </w:r>
      <w:r w:rsidRPr="005C611F">
        <w:rPr>
          <w:i/>
          <w:sz w:val="23"/>
          <w:szCs w:val="23"/>
          <w:rtl/>
        </w:rPr>
        <w:softHyphen/>
      </w:r>
      <w:r w:rsidRPr="005C611F">
        <w:rPr>
          <w:rFonts w:hint="cs"/>
          <w:i/>
          <w:sz w:val="23"/>
          <w:szCs w:val="23"/>
          <w:rtl/>
        </w:rPr>
        <w:t>وری، همبستگی‌های مصرف و تولید را به</w:t>
      </w:r>
      <w:r w:rsidRPr="005C611F">
        <w:rPr>
          <w:i/>
          <w:sz w:val="23"/>
          <w:szCs w:val="23"/>
          <w:rtl/>
        </w:rPr>
        <w:softHyphen/>
      </w:r>
      <w:r w:rsidRPr="005C611F">
        <w:rPr>
          <w:rFonts w:hint="cs"/>
          <w:i/>
          <w:sz w:val="23"/>
          <w:szCs w:val="23"/>
          <w:rtl/>
        </w:rPr>
        <w:t>طور همزمان افزایش نداده و با افزایش یکی، دیگری افزایش نخواهد یافت.</w:t>
      </w:r>
    </w:p>
    <w:p w14:paraId="509B6543" w14:textId="77777777" w:rsidR="00556C10" w:rsidRPr="005C611F" w:rsidRDefault="00556C10" w:rsidP="00556C10">
      <w:pPr>
        <w:tabs>
          <w:tab w:val="left" w:pos="90"/>
        </w:tabs>
        <w:spacing w:line="216" w:lineRule="auto"/>
        <w:rPr>
          <w:i/>
          <w:sz w:val="23"/>
          <w:szCs w:val="23"/>
        </w:rPr>
      </w:pPr>
      <w:r w:rsidRPr="005C611F">
        <w:rPr>
          <w:rFonts w:hint="cs"/>
          <w:i/>
          <w:sz w:val="23"/>
          <w:szCs w:val="23"/>
          <w:rtl/>
        </w:rPr>
        <w:t>در مدل مبنای تعدیل شده که برای تغییرات رابطه</w:t>
      </w:r>
      <w:r w:rsidRPr="005C611F">
        <w:rPr>
          <w:i/>
          <w:sz w:val="23"/>
          <w:szCs w:val="23"/>
          <w:rtl/>
        </w:rPr>
        <w:softHyphen/>
      </w:r>
      <w:r w:rsidRPr="005C611F">
        <w:rPr>
          <w:rFonts w:hint="cs"/>
          <w:i/>
          <w:sz w:val="23"/>
          <w:szCs w:val="23"/>
          <w:rtl/>
        </w:rPr>
        <w:t>ی مبادله طراحی شده</w:t>
      </w:r>
      <w:r w:rsidRPr="00F4704A">
        <w:rPr>
          <w:position w:val="-10"/>
        </w:rPr>
        <w:object w:dxaOrig="840" w:dyaOrig="300" w14:anchorId="0492DBA3">
          <v:shape id="_x0000_i8169" type="#_x0000_t75" style="width:41.75pt;height:14.5pt" o:ole="">
            <v:imagedata r:id="rId14417" o:title=""/>
          </v:shape>
          <o:OLEObject Type="Embed" ProgID="Equation.DSMT4" ShapeID="_x0000_i8169" DrawAspect="Content" ObjectID="_1791382112" r:id="rId14418"/>
        </w:object>
      </w:r>
      <w:r w:rsidRPr="005C611F">
        <w:rPr>
          <w:rFonts w:eastAsiaTheme="minorHAnsi" w:cstheme="minorBidi" w:hint="cs"/>
          <w:i/>
          <w:sz w:val="23"/>
          <w:szCs w:val="23"/>
          <w:rtl/>
        </w:rPr>
        <w:t xml:space="preserve"> </w:t>
      </w:r>
      <w:r w:rsidRPr="005C611F">
        <w:rPr>
          <w:rFonts w:eastAsiaTheme="minorHAnsi" w:hint="cs"/>
          <w:i/>
          <w:sz w:val="23"/>
          <w:szCs w:val="23"/>
          <w:rtl/>
        </w:rPr>
        <w:t>است</w:t>
      </w:r>
      <w:r w:rsidRPr="005C611F">
        <w:rPr>
          <w:rFonts w:hint="cs"/>
          <w:i/>
          <w:sz w:val="23"/>
          <w:szCs w:val="23"/>
          <w:rtl/>
        </w:rPr>
        <w:t xml:space="preserve">، </w:t>
      </w:r>
      <w:r w:rsidRPr="00F4704A">
        <w:rPr>
          <w:position w:val="-6"/>
        </w:rPr>
        <w:object w:dxaOrig="220" w:dyaOrig="200" w14:anchorId="1100AAF9">
          <v:shape id="_x0000_i8170" type="#_x0000_t75" style="width:10.9pt;height:10.3pt" o:ole="">
            <v:imagedata r:id="rId14419" o:title=""/>
          </v:shape>
          <o:OLEObject Type="Embed" ProgID="Equation.DSMT4" ShapeID="_x0000_i8170" DrawAspect="Content" ObjectID="_1791382113" r:id="rId14420"/>
        </w:object>
      </w:r>
      <w:r w:rsidRPr="005C611F">
        <w:rPr>
          <w:rFonts w:hint="cs"/>
          <w:i/>
          <w:sz w:val="23"/>
          <w:szCs w:val="23"/>
          <w:rtl/>
        </w:rPr>
        <w:t xml:space="preserve"> سهم واردات از </w:t>
      </w:r>
      <w:r w:rsidRPr="005C611F">
        <w:rPr>
          <w:i/>
          <w:sz w:val="23"/>
          <w:szCs w:val="23"/>
        </w:rPr>
        <w:t>GDP</w:t>
      </w:r>
      <w:r w:rsidRPr="005C611F">
        <w:rPr>
          <w:rFonts w:hint="cs"/>
          <w:i/>
          <w:sz w:val="23"/>
          <w:szCs w:val="23"/>
          <w:rtl/>
        </w:rPr>
        <w:t xml:space="preserve"> است و برابر است با </w:t>
      </w:r>
      <w:r w:rsidRPr="005C611F">
        <w:rPr>
          <w:i/>
          <w:sz w:val="23"/>
          <w:szCs w:val="23"/>
        </w:rPr>
        <w:t>0.15</w:t>
      </w:r>
      <w:r w:rsidRPr="005C611F">
        <w:rPr>
          <w:rFonts w:hint="cs"/>
          <w:i/>
          <w:sz w:val="23"/>
          <w:szCs w:val="23"/>
          <w:rtl/>
        </w:rPr>
        <w:t xml:space="preserve"> و</w:t>
      </w:r>
      <w:r w:rsidRPr="00F4704A">
        <w:rPr>
          <w:position w:val="-8"/>
        </w:rPr>
        <w:object w:dxaOrig="480" w:dyaOrig="279" w14:anchorId="61ABD31E">
          <v:shape id="_x0000_i8171" type="#_x0000_t75" style="width:24.2pt;height:13.9pt" o:ole="">
            <v:imagedata r:id="rId14421" o:title=""/>
          </v:shape>
          <o:OLEObject Type="Embed" ProgID="Equation.DSMT4" ShapeID="_x0000_i8171" DrawAspect="Content" ObjectID="_1791382114" r:id="rId14422"/>
        </w:object>
      </w:r>
      <w:r w:rsidRPr="005C611F">
        <w:rPr>
          <w:rFonts w:hint="cs"/>
          <w:i/>
          <w:sz w:val="23"/>
          <w:szCs w:val="23"/>
          <w:rtl/>
        </w:rPr>
        <w:t>. نتایج در سه سطر آخر جدول ۱۶. ۳ خلاصه شده است.</w:t>
      </w:r>
    </w:p>
    <w:p w14:paraId="74889879" w14:textId="77777777" w:rsidR="00556C10" w:rsidRPr="005C611F" w:rsidRDefault="00556C10" w:rsidP="00556C10">
      <w:pPr>
        <w:tabs>
          <w:tab w:val="left" w:pos="90"/>
        </w:tabs>
        <w:spacing w:line="216" w:lineRule="auto"/>
        <w:jc w:val="center"/>
        <w:rPr>
          <w:i/>
          <w:sz w:val="23"/>
          <w:szCs w:val="23"/>
          <w:rtl/>
        </w:rPr>
      </w:pPr>
      <w:r w:rsidRPr="005C611F">
        <w:rPr>
          <w:rFonts w:hint="cs"/>
          <w:i/>
          <w:sz w:val="23"/>
          <w:szCs w:val="23"/>
          <w:rtl/>
        </w:rPr>
        <w:t>نمودار ۱۶. ۱: اثرات بر کشور داخلی</w:t>
      </w:r>
    </w:p>
    <w:p w14:paraId="374E51B1" w14:textId="77777777" w:rsidR="00556C10" w:rsidRPr="005C611F" w:rsidRDefault="00556C10" w:rsidP="00556C10">
      <w:pPr>
        <w:tabs>
          <w:tab w:val="left" w:pos="90"/>
        </w:tabs>
        <w:spacing w:line="216" w:lineRule="auto"/>
        <w:jc w:val="center"/>
        <w:rPr>
          <w:i/>
          <w:sz w:val="23"/>
          <w:szCs w:val="23"/>
          <w:rtl/>
        </w:rPr>
      </w:pPr>
      <w:r w:rsidRPr="005C611F">
        <w:rPr>
          <w:i/>
          <w:noProof/>
          <w:sz w:val="23"/>
          <w:szCs w:val="23"/>
          <w:u w:val="single"/>
          <w:lang w:bidi="ar-SA"/>
        </w:rPr>
        <w:lastRenderedPageBreak/>
        <w:drawing>
          <wp:inline distT="0" distB="0" distL="0" distR="0" wp14:anchorId="796632A2" wp14:editId="60B15C13">
            <wp:extent cx="3655981" cy="2022953"/>
            <wp:effectExtent l="38100" t="38100" r="40005" b="349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423" cstate="print">
                      <a:extLst>
                        <a:ext uri="{BEBA8EAE-BF5A-486C-A8C5-ECC9F3942E4B}">
                          <a14:imgProps xmlns:a14="http://schemas.microsoft.com/office/drawing/2010/main">
                            <a14:imgLayer r:embed="rId144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59813" cy="2025073"/>
                    </a:xfrm>
                    <a:prstGeom prst="rect">
                      <a:avLst/>
                    </a:prstGeom>
                    <a:ln w="28575">
                      <a:solidFill>
                        <a:schemeClr val="tx1"/>
                      </a:solidFill>
                    </a:ln>
                  </pic:spPr>
                </pic:pic>
              </a:graphicData>
            </a:graphic>
          </wp:inline>
        </w:drawing>
      </w:r>
    </w:p>
    <w:p w14:paraId="52A0D754" w14:textId="77777777" w:rsidR="00556C10" w:rsidRPr="005C611F" w:rsidRDefault="00556C10" w:rsidP="00556C10">
      <w:pPr>
        <w:tabs>
          <w:tab w:val="left" w:pos="90"/>
        </w:tabs>
        <w:spacing w:line="216" w:lineRule="auto"/>
        <w:jc w:val="center"/>
        <w:rPr>
          <w:i/>
          <w:sz w:val="23"/>
          <w:szCs w:val="23"/>
          <w:rtl/>
        </w:rPr>
      </w:pPr>
    </w:p>
    <w:p w14:paraId="7F719E28" w14:textId="77777777" w:rsidR="00556C10" w:rsidRPr="005C611F" w:rsidRDefault="00556C10" w:rsidP="00556C10">
      <w:pPr>
        <w:tabs>
          <w:tab w:val="left" w:pos="90"/>
        </w:tabs>
        <w:spacing w:line="216" w:lineRule="auto"/>
        <w:jc w:val="center"/>
        <w:rPr>
          <w:i/>
          <w:sz w:val="23"/>
          <w:szCs w:val="23"/>
          <w:rtl/>
        </w:rPr>
      </w:pPr>
      <w:r w:rsidRPr="005C611F">
        <w:rPr>
          <w:rFonts w:hint="cs"/>
          <w:i/>
          <w:sz w:val="23"/>
          <w:szCs w:val="23"/>
          <w:rtl/>
        </w:rPr>
        <w:t>نمودار ۱۶. ۲: ثرات بر کشور خارجی</w:t>
      </w:r>
    </w:p>
    <w:p w14:paraId="44CD7345" w14:textId="77777777" w:rsidR="00556C10" w:rsidRPr="005C611F" w:rsidRDefault="00556C10" w:rsidP="00556C10">
      <w:pPr>
        <w:tabs>
          <w:tab w:val="left" w:pos="90"/>
        </w:tabs>
        <w:spacing w:line="216" w:lineRule="auto"/>
        <w:jc w:val="center"/>
        <w:rPr>
          <w:i/>
          <w:sz w:val="23"/>
          <w:szCs w:val="23"/>
          <w:rtl/>
        </w:rPr>
      </w:pPr>
      <w:r w:rsidRPr="005C611F">
        <w:rPr>
          <w:i/>
          <w:noProof/>
          <w:sz w:val="23"/>
          <w:szCs w:val="23"/>
          <w:u w:val="single"/>
          <w:lang w:bidi="ar-SA"/>
        </w:rPr>
        <w:drawing>
          <wp:inline distT="0" distB="0" distL="0" distR="0" wp14:anchorId="0F261C0C" wp14:editId="440EB55A">
            <wp:extent cx="3653005" cy="2010427"/>
            <wp:effectExtent l="38100" t="38100" r="43180" b="469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425" cstate="print">
                      <a:extLst>
                        <a:ext uri="{BEBA8EAE-BF5A-486C-A8C5-ECC9F3942E4B}">
                          <a14:imgProps xmlns:a14="http://schemas.microsoft.com/office/drawing/2010/main">
                            <a14:imgLayer r:embed="rId144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75704" cy="2022919"/>
                    </a:xfrm>
                    <a:prstGeom prst="rect">
                      <a:avLst/>
                    </a:prstGeom>
                    <a:ln w="28575">
                      <a:solidFill>
                        <a:schemeClr val="tx1"/>
                      </a:solidFill>
                    </a:ln>
                  </pic:spPr>
                </pic:pic>
              </a:graphicData>
            </a:graphic>
          </wp:inline>
        </w:drawing>
      </w:r>
    </w:p>
    <w:p w14:paraId="18CBF8F5" w14:textId="77777777" w:rsidR="00556C10" w:rsidRPr="005C611F" w:rsidRDefault="00556C10" w:rsidP="00556C10">
      <w:pPr>
        <w:tabs>
          <w:tab w:val="left" w:pos="90"/>
        </w:tabs>
        <w:spacing w:line="216" w:lineRule="auto"/>
        <w:rPr>
          <w:i/>
          <w:sz w:val="23"/>
          <w:szCs w:val="23"/>
        </w:rPr>
      </w:pPr>
    </w:p>
    <w:p w14:paraId="641A8F24"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در مدل مبنای تعدیل شده، همبستگی تولید و خالص صادرات تقریباً برابر صفر است و بسیار کمتر از داده‌های مشاهده شده می‌باشد. توضیح بدیهی آن است که شوک‌های بهره</w:t>
      </w:r>
      <w:r w:rsidRPr="005C611F">
        <w:rPr>
          <w:i/>
          <w:sz w:val="23"/>
          <w:szCs w:val="23"/>
          <w:rtl/>
        </w:rPr>
        <w:softHyphen/>
      </w:r>
      <w:r w:rsidRPr="005C611F">
        <w:rPr>
          <w:rFonts w:hint="cs"/>
          <w:i/>
          <w:sz w:val="23"/>
          <w:szCs w:val="23"/>
          <w:rtl/>
        </w:rPr>
        <w:t>وری، اثرات قابل ملاحظه‌ی بر رابطه</w:t>
      </w:r>
      <w:r w:rsidRPr="005C611F">
        <w:rPr>
          <w:i/>
          <w:sz w:val="23"/>
          <w:szCs w:val="23"/>
          <w:rtl/>
        </w:rPr>
        <w:softHyphen/>
      </w:r>
      <w:r w:rsidRPr="005C611F">
        <w:rPr>
          <w:rFonts w:hint="cs"/>
          <w:i/>
          <w:sz w:val="23"/>
          <w:szCs w:val="23"/>
          <w:rtl/>
        </w:rPr>
        <w:t>ی مبادله داشته و اثرات بر خالص صادرات را خنثی می‌کند. هر چند، به استثناء کانادا و آلمان، همبستگی بین رابطه‌ی مبادله و خالص صادرات در مدل تئوریکی و داده‌های اصلی بی</w:t>
      </w:r>
      <w:r w:rsidRPr="005C611F">
        <w:rPr>
          <w:i/>
          <w:sz w:val="23"/>
          <w:szCs w:val="23"/>
          <w:rtl/>
        </w:rPr>
        <w:softHyphen/>
      </w:r>
      <w:r w:rsidRPr="005C611F">
        <w:rPr>
          <w:rFonts w:hint="cs"/>
          <w:i/>
          <w:sz w:val="23"/>
          <w:szCs w:val="23"/>
          <w:rtl/>
        </w:rPr>
        <w:t xml:space="preserve">شباهت نیست. باکاس، کهو و کیدلند آن را ناهنجاری قیمت نامیدند. در مطالعاتی دیگر، شوک‌های مخارج دولت و سهم زیاد واردات از </w:t>
      </w:r>
      <w:r w:rsidRPr="005C611F">
        <w:rPr>
          <w:i/>
          <w:sz w:val="23"/>
          <w:szCs w:val="23"/>
        </w:rPr>
        <w:t>GDP</w:t>
      </w:r>
      <w:r w:rsidRPr="005C611F">
        <w:rPr>
          <w:rFonts w:hint="cs"/>
          <w:i/>
          <w:sz w:val="23"/>
          <w:szCs w:val="23"/>
          <w:rtl/>
        </w:rPr>
        <w:t xml:space="preserve"> مورد بررسی قرار گرفت. نتایج تا حدودی با آنچه که در فوق گفته شد متفاوت است.</w:t>
      </w:r>
    </w:p>
    <w:p w14:paraId="69F2447F" w14:textId="77777777" w:rsidR="00556C10" w:rsidRDefault="00556C10" w:rsidP="00556C10">
      <w:pPr>
        <w:tabs>
          <w:tab w:val="left" w:pos="90"/>
        </w:tabs>
        <w:spacing w:line="216" w:lineRule="auto"/>
        <w:jc w:val="center"/>
        <w:rPr>
          <w:i/>
          <w:sz w:val="23"/>
          <w:szCs w:val="23"/>
          <w:rtl/>
        </w:rPr>
      </w:pPr>
    </w:p>
    <w:p w14:paraId="0E3AB5F9" w14:textId="77777777" w:rsidR="00556C10" w:rsidRPr="005C611F" w:rsidRDefault="00556C10" w:rsidP="00556C10">
      <w:pPr>
        <w:tabs>
          <w:tab w:val="left" w:pos="90"/>
        </w:tabs>
        <w:spacing w:line="216" w:lineRule="auto"/>
        <w:jc w:val="center"/>
        <w:rPr>
          <w:i/>
          <w:sz w:val="23"/>
          <w:szCs w:val="23"/>
          <w:rtl/>
        </w:rPr>
      </w:pPr>
      <w:r w:rsidRPr="005C611F">
        <w:rPr>
          <w:rFonts w:hint="cs"/>
          <w:i/>
          <w:sz w:val="23"/>
          <w:szCs w:val="23"/>
          <w:rtl/>
        </w:rPr>
        <w:t>جدول ۱۶. ۳: چرخه تجاری بین</w:t>
      </w:r>
      <w:r w:rsidRPr="005C611F">
        <w:rPr>
          <w:i/>
          <w:sz w:val="23"/>
          <w:szCs w:val="23"/>
          <w:rtl/>
        </w:rPr>
        <w:softHyphen/>
      </w:r>
      <w:r w:rsidRPr="005C611F">
        <w:rPr>
          <w:rFonts w:hint="cs"/>
          <w:i/>
          <w:sz w:val="23"/>
          <w:szCs w:val="23"/>
          <w:rtl/>
        </w:rPr>
        <w:t>المللی و آماره‌های مدل، ۱۹۷۰ تا اواسط ۱۹۹۰</w:t>
      </w:r>
    </w:p>
    <w:p w14:paraId="7D63D244" w14:textId="77777777" w:rsidR="00556C10" w:rsidRPr="005C611F" w:rsidRDefault="00556C10" w:rsidP="00556C10">
      <w:pPr>
        <w:tabs>
          <w:tab w:val="left" w:pos="90"/>
        </w:tabs>
        <w:spacing w:line="216" w:lineRule="auto"/>
        <w:rPr>
          <w:i/>
          <w:sz w:val="23"/>
          <w:szCs w:val="23"/>
          <w:rtl/>
        </w:rPr>
      </w:pPr>
      <w:r w:rsidRPr="005C611F">
        <w:rPr>
          <w:i/>
          <w:noProof/>
          <w:sz w:val="23"/>
          <w:szCs w:val="23"/>
          <w:lang w:bidi="ar-SA"/>
        </w:rPr>
        <w:lastRenderedPageBreak/>
        <w:drawing>
          <wp:inline distT="0" distB="0" distL="0" distR="0" wp14:anchorId="035011FE" wp14:editId="31CEFE03">
            <wp:extent cx="4137195" cy="192532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427" cstate="print">
                      <a:extLst>
                        <a:ext uri="{BEBA8EAE-BF5A-486C-A8C5-ECC9F3942E4B}">
                          <a14:imgProps xmlns:a14="http://schemas.microsoft.com/office/drawing/2010/main">
                            <a14:imgLayer r:embed="rId144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39128" cy="1926220"/>
                    </a:xfrm>
                    <a:prstGeom prst="rect">
                      <a:avLst/>
                    </a:prstGeom>
                    <a:noFill/>
                    <a:ln>
                      <a:noFill/>
                    </a:ln>
                  </pic:spPr>
                </pic:pic>
              </a:graphicData>
            </a:graphic>
          </wp:inline>
        </w:drawing>
      </w:r>
    </w:p>
    <w:p w14:paraId="79867F79" w14:textId="77777777" w:rsidR="00556C10" w:rsidRPr="005C611F" w:rsidRDefault="00556C10" w:rsidP="00556C10">
      <w:pPr>
        <w:tabs>
          <w:tab w:val="left" w:pos="90"/>
        </w:tabs>
        <w:spacing w:line="216" w:lineRule="auto"/>
        <w:jc w:val="center"/>
        <w:rPr>
          <w:i/>
          <w:sz w:val="23"/>
          <w:szCs w:val="23"/>
          <w:rtl/>
        </w:rPr>
      </w:pPr>
    </w:p>
    <w:p w14:paraId="37D54011" w14:textId="77777777" w:rsidR="00556C10" w:rsidRPr="005C611F" w:rsidRDefault="00556C10" w:rsidP="00556C10">
      <w:pPr>
        <w:tabs>
          <w:tab w:val="left" w:pos="90"/>
        </w:tabs>
        <w:spacing w:line="216" w:lineRule="auto"/>
        <w:jc w:val="center"/>
        <w:rPr>
          <w:i/>
          <w:sz w:val="23"/>
          <w:szCs w:val="23"/>
          <w:rtl/>
        </w:rPr>
      </w:pPr>
      <w:r w:rsidRPr="005C611F">
        <w:rPr>
          <w:rFonts w:hint="cs"/>
          <w:i/>
          <w:sz w:val="23"/>
          <w:szCs w:val="23"/>
          <w:rtl/>
        </w:rPr>
        <w:t>جدول ۱۶. ۴: همبستکی متغیرهای خارجی و داخلی</w:t>
      </w:r>
    </w:p>
    <w:p w14:paraId="0B079070" w14:textId="77777777" w:rsidR="00556C10" w:rsidRPr="005C611F" w:rsidRDefault="00556C10" w:rsidP="00556C10">
      <w:pPr>
        <w:tabs>
          <w:tab w:val="left" w:pos="90"/>
        </w:tabs>
        <w:spacing w:line="216" w:lineRule="auto"/>
        <w:jc w:val="center"/>
        <w:rPr>
          <w:i/>
          <w:sz w:val="23"/>
          <w:szCs w:val="23"/>
          <w:rtl/>
        </w:rPr>
      </w:pPr>
      <w:r w:rsidRPr="005C611F">
        <w:rPr>
          <w:i/>
          <w:noProof/>
          <w:sz w:val="23"/>
          <w:szCs w:val="23"/>
          <w:lang w:bidi="ar-SA"/>
        </w:rPr>
        <w:drawing>
          <wp:inline distT="0" distB="0" distL="0" distR="0" wp14:anchorId="6CF39088" wp14:editId="56FCA146">
            <wp:extent cx="4136474" cy="864158"/>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429" cstate="print">
                      <a:extLst>
                        <a:ext uri="{BEBA8EAE-BF5A-486C-A8C5-ECC9F3942E4B}">
                          <a14:imgProps xmlns:a14="http://schemas.microsoft.com/office/drawing/2010/main">
                            <a14:imgLayer r:embed="rId144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92765" cy="896809"/>
                    </a:xfrm>
                    <a:prstGeom prst="rect">
                      <a:avLst/>
                    </a:prstGeom>
                    <a:noFill/>
                    <a:ln>
                      <a:noFill/>
                    </a:ln>
                  </pic:spPr>
                </pic:pic>
              </a:graphicData>
            </a:graphic>
          </wp:inline>
        </w:drawing>
      </w:r>
    </w:p>
    <w:p w14:paraId="3C3CDE5F" w14:textId="77777777" w:rsidR="00556C10" w:rsidRPr="005C611F" w:rsidRDefault="00556C10" w:rsidP="00556C10">
      <w:pPr>
        <w:tabs>
          <w:tab w:val="left" w:pos="90"/>
        </w:tabs>
        <w:spacing w:line="216" w:lineRule="auto"/>
        <w:rPr>
          <w:i/>
          <w:sz w:val="23"/>
          <w:szCs w:val="23"/>
        </w:rPr>
      </w:pPr>
    </w:p>
    <w:p w14:paraId="062BB982"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این سه محقق گام‌هایی را نیز در خصوص کاربرد مدل‌های چرخه‌های تجاری حقیقی در اقتصاد باز برداشتند. نتایج تحقیقات آن</w:t>
      </w:r>
      <w:r w:rsidRPr="005C611F">
        <w:rPr>
          <w:i/>
          <w:sz w:val="23"/>
          <w:szCs w:val="23"/>
          <w:rtl/>
        </w:rPr>
        <w:softHyphen/>
      </w:r>
      <w:r w:rsidRPr="005C611F">
        <w:rPr>
          <w:rFonts w:hint="cs"/>
          <w:i/>
          <w:sz w:val="23"/>
          <w:szCs w:val="23"/>
          <w:rtl/>
        </w:rPr>
        <w:t>ها برخی مشکلات مدل‌های تئوریکی را آشکار می‌سازد. یکی از کاستی</w:t>
      </w:r>
      <w:r w:rsidRPr="005C611F">
        <w:rPr>
          <w:i/>
          <w:sz w:val="23"/>
          <w:szCs w:val="23"/>
          <w:rtl/>
        </w:rPr>
        <w:softHyphen/>
      </w:r>
      <w:r w:rsidRPr="005C611F">
        <w:rPr>
          <w:rFonts w:hint="cs"/>
          <w:i/>
          <w:sz w:val="23"/>
          <w:szCs w:val="23"/>
          <w:rtl/>
        </w:rPr>
        <w:t>های آشکار مدل‌های تئوریکی آن است که این مدل‌ها برای اقتصاد واقعی است و از اثرات نرخ ارز اسمی ‌چشم</w:t>
      </w:r>
      <w:r w:rsidRPr="005C611F">
        <w:rPr>
          <w:i/>
          <w:sz w:val="23"/>
          <w:szCs w:val="23"/>
          <w:rtl/>
        </w:rPr>
        <w:softHyphen/>
      </w:r>
      <w:r w:rsidRPr="005C611F">
        <w:rPr>
          <w:rFonts w:hint="cs"/>
          <w:i/>
          <w:sz w:val="23"/>
          <w:szCs w:val="23"/>
          <w:rtl/>
        </w:rPr>
        <w:t xml:space="preserve">پوشی می‌کند. در فصل هفتم، اشاره کردیم که تغییرات رابطه‌ی مبادله - و نرخ ارز حقیقی </w:t>
      </w:r>
      <w:r w:rsidRPr="005C611F">
        <w:rPr>
          <w:rFonts w:cs="Times New Roman"/>
          <w:i/>
          <w:sz w:val="23"/>
          <w:szCs w:val="23"/>
          <w:rtl/>
        </w:rPr>
        <w:t>–</w:t>
      </w:r>
      <w:r w:rsidRPr="005C611F">
        <w:rPr>
          <w:rFonts w:hint="cs"/>
          <w:i/>
          <w:sz w:val="23"/>
          <w:szCs w:val="23"/>
          <w:rtl/>
        </w:rPr>
        <w:t xml:space="preserve"> در کوتاه‌مدت به دلیل تغییرات نرخ ارز اسمی ‌است. این اثرات در سطر دوم جدول</w:t>
      </w:r>
      <w:r>
        <w:rPr>
          <w:rFonts w:hint="cs"/>
          <w:i/>
          <w:sz w:val="23"/>
          <w:szCs w:val="23"/>
          <w:rtl/>
        </w:rPr>
        <w:t xml:space="preserve"> </w:t>
      </w:r>
      <w:r w:rsidRPr="005C611F">
        <w:rPr>
          <w:rFonts w:hint="cs"/>
          <w:i/>
          <w:sz w:val="23"/>
          <w:szCs w:val="23"/>
          <w:rtl/>
        </w:rPr>
        <w:t xml:space="preserve"> ۱۶ .۲ برای مدل مبنای تعدیل یافته نشان داده شده، به گونه</w:t>
      </w:r>
      <w:r w:rsidRPr="005C611F">
        <w:rPr>
          <w:i/>
          <w:sz w:val="23"/>
          <w:szCs w:val="23"/>
          <w:rtl/>
        </w:rPr>
        <w:softHyphen/>
      </w:r>
      <w:r w:rsidRPr="005C611F">
        <w:rPr>
          <w:rFonts w:hint="cs"/>
          <w:i/>
          <w:sz w:val="23"/>
          <w:szCs w:val="23"/>
          <w:rtl/>
        </w:rPr>
        <w:t>ای که انحراف معیار ۰.۴۸ است ولی در داده‌ها، این آماره بسیار بزرگتر می‌باشد.</w:t>
      </w:r>
    </w:p>
    <w:p w14:paraId="56785F48" w14:textId="77777777" w:rsidR="00556C10" w:rsidRPr="005C611F" w:rsidRDefault="00556C10" w:rsidP="00556C10">
      <w:pPr>
        <w:tabs>
          <w:tab w:val="left" w:pos="90"/>
        </w:tabs>
        <w:spacing w:line="216" w:lineRule="auto"/>
        <w:rPr>
          <w:i/>
          <w:sz w:val="23"/>
          <w:szCs w:val="23"/>
          <w:rtl/>
        </w:rPr>
      </w:pPr>
    </w:p>
    <w:p w14:paraId="62EC29B1" w14:textId="77777777" w:rsidR="00556C10" w:rsidRPr="005C611F" w:rsidRDefault="00556C10" w:rsidP="00556C10">
      <w:pPr>
        <w:pStyle w:val="Heading1"/>
        <w:spacing w:before="0" w:after="0" w:line="216" w:lineRule="auto"/>
        <w:rPr>
          <w:rFonts w:ascii="Times New Roman" w:hAnsi="Times New Roman" w:cs="B Nazanin"/>
          <w:b w:val="0"/>
          <w:i/>
          <w:sz w:val="23"/>
          <w:szCs w:val="23"/>
          <w:rtl/>
        </w:rPr>
      </w:pPr>
      <w:r w:rsidRPr="005C611F">
        <w:rPr>
          <w:rFonts w:ascii="Times New Roman" w:hAnsi="Times New Roman" w:cs="B Nazanin" w:hint="cs"/>
          <w:b w:val="0"/>
          <w:i/>
          <w:sz w:val="23"/>
          <w:szCs w:val="23"/>
          <w:rtl/>
        </w:rPr>
        <w:t xml:space="preserve">۱۶. ۴ مدل‌های تعادل عمومی‌پویا برای اقتصاد پولی </w:t>
      </w:r>
    </w:p>
    <w:p w14:paraId="190851A8" w14:textId="77777777" w:rsidR="00556C10" w:rsidRPr="005C611F" w:rsidRDefault="00556C10" w:rsidP="00556C10">
      <w:pPr>
        <w:tabs>
          <w:tab w:val="left" w:pos="90"/>
        </w:tabs>
        <w:spacing w:line="216" w:lineRule="auto"/>
        <w:rPr>
          <w:i/>
          <w:sz w:val="23"/>
          <w:szCs w:val="23"/>
        </w:rPr>
      </w:pPr>
      <w:r w:rsidRPr="005C611F">
        <w:rPr>
          <w:rFonts w:hint="cs"/>
          <w:i/>
          <w:sz w:val="23"/>
          <w:szCs w:val="23"/>
          <w:rtl/>
        </w:rPr>
        <w:t>این فصل را با یک مدل تعادل عمومی‌ اقتصاد بسته</w:t>
      </w:r>
      <w:r w:rsidRPr="005C611F">
        <w:rPr>
          <w:i/>
          <w:sz w:val="23"/>
          <w:szCs w:val="23"/>
          <w:rtl/>
        </w:rPr>
        <w:softHyphen/>
      </w:r>
      <w:r w:rsidRPr="005C611F">
        <w:rPr>
          <w:rFonts w:hint="cs"/>
          <w:i/>
          <w:sz w:val="23"/>
          <w:szCs w:val="23"/>
          <w:rtl/>
        </w:rPr>
        <w:t>ی حقیقی آغاز کردیم، سپس آن را برای اقتصاد باز بسط داده و نهایتاً اقتصاد پولی را مورد بررسی قرار دادیم. بسیاری از شواهد تجربی در خصوص اقتصاد پولی به مدل کیزین جدید،</w:t>
      </w:r>
      <w:r w:rsidRPr="005C611F">
        <w:rPr>
          <w:rStyle w:val="FootnoteReference"/>
          <w:i/>
          <w:sz w:val="23"/>
          <w:szCs w:val="23"/>
          <w:rtl/>
        </w:rPr>
        <w:footnoteReference w:id="388"/>
      </w:r>
      <w:r w:rsidRPr="005C611F">
        <w:rPr>
          <w:rFonts w:hint="cs"/>
          <w:i/>
          <w:sz w:val="23"/>
          <w:szCs w:val="23"/>
          <w:rtl/>
        </w:rPr>
        <w:t xml:space="preserve"> و یا مدل‌های اقتصادی خودهمبسته برداری  </w:t>
      </w:r>
      <w:r w:rsidRPr="005C611F">
        <w:rPr>
          <w:i/>
          <w:sz w:val="23"/>
          <w:szCs w:val="23"/>
        </w:rPr>
        <w:t>VAR</w:t>
      </w:r>
      <w:r w:rsidRPr="005C611F">
        <w:rPr>
          <w:rFonts w:hint="cs"/>
          <w:i/>
          <w:sz w:val="23"/>
          <w:szCs w:val="23"/>
          <w:rtl/>
        </w:rPr>
        <w:t xml:space="preserve"> منتسب </w:t>
      </w:r>
      <w:r w:rsidRPr="005C611F">
        <w:rPr>
          <w:rFonts w:hint="cs"/>
          <w:i/>
          <w:sz w:val="23"/>
          <w:szCs w:val="23"/>
          <w:rtl/>
        </w:rPr>
        <w:lastRenderedPageBreak/>
        <w:t>است.</w:t>
      </w:r>
      <w:r w:rsidRPr="005C611F">
        <w:rPr>
          <w:rStyle w:val="FootnoteReference"/>
          <w:i/>
          <w:sz w:val="23"/>
          <w:szCs w:val="23"/>
          <w:rtl/>
        </w:rPr>
        <w:footnoteReference w:id="389"/>
      </w:r>
      <w:r w:rsidRPr="005C611F">
        <w:rPr>
          <w:rFonts w:hint="cs"/>
          <w:i/>
          <w:sz w:val="23"/>
          <w:szCs w:val="23"/>
          <w:rtl/>
        </w:rPr>
        <w:t xml:space="preserve"> این شواهد نشان می‌دهند که شوک‌های پولی اثرات حقیقی مهمی‌ در کوتاه‌مدت دارند. مهمترین ضعف مدل‌های </w:t>
      </w:r>
      <w:r w:rsidRPr="005C611F">
        <w:rPr>
          <w:i/>
          <w:sz w:val="23"/>
          <w:szCs w:val="23"/>
        </w:rPr>
        <w:t>VAR</w:t>
      </w:r>
      <w:r w:rsidRPr="005C611F">
        <w:rPr>
          <w:rFonts w:hint="cs"/>
          <w:i/>
          <w:sz w:val="23"/>
          <w:szCs w:val="23"/>
          <w:rtl/>
        </w:rPr>
        <w:t xml:space="preserve"> تشخیص شوک‌های پولی است.</w:t>
      </w:r>
      <w:r w:rsidRPr="005C611F">
        <w:rPr>
          <w:rStyle w:val="FootnoteReference"/>
          <w:i/>
          <w:sz w:val="23"/>
          <w:szCs w:val="23"/>
          <w:rtl/>
        </w:rPr>
        <w:footnoteReference w:id="390"/>
      </w:r>
      <w:r w:rsidRPr="005C611F">
        <w:rPr>
          <w:rFonts w:hint="cs"/>
          <w:i/>
          <w:sz w:val="23"/>
          <w:szCs w:val="23"/>
          <w:rtl/>
        </w:rPr>
        <w:t xml:space="preserve"> در یک مطالعه‌ی جاه</w:t>
      </w:r>
      <w:r w:rsidRPr="005C611F">
        <w:rPr>
          <w:i/>
          <w:sz w:val="23"/>
          <w:szCs w:val="23"/>
          <w:rtl/>
        </w:rPr>
        <w:softHyphen/>
      </w:r>
      <w:r w:rsidRPr="005C611F">
        <w:rPr>
          <w:rFonts w:hint="cs"/>
          <w:i/>
          <w:sz w:val="23"/>
          <w:szCs w:val="23"/>
          <w:rtl/>
        </w:rPr>
        <w:t>طلبانه و موفق، اسمتس و وترس، یک مدل تعادل عمومی ‌اقتصاد بسته را برای منطقه</w:t>
      </w:r>
      <w:r w:rsidRPr="005C611F">
        <w:rPr>
          <w:i/>
          <w:sz w:val="23"/>
          <w:szCs w:val="23"/>
          <w:rtl/>
        </w:rPr>
        <w:softHyphen/>
      </w:r>
      <w:r w:rsidRPr="005C611F">
        <w:rPr>
          <w:rFonts w:hint="cs"/>
          <w:i/>
          <w:sz w:val="23"/>
          <w:szCs w:val="23"/>
          <w:rtl/>
        </w:rPr>
        <w:t>ی اروپا، بجای آن</w:t>
      </w:r>
      <w:r w:rsidRPr="005C611F">
        <w:rPr>
          <w:i/>
          <w:sz w:val="23"/>
          <w:szCs w:val="23"/>
          <w:rtl/>
        </w:rPr>
        <w:softHyphen/>
      </w:r>
      <w:r w:rsidRPr="005C611F">
        <w:rPr>
          <w:rFonts w:hint="cs"/>
          <w:i/>
          <w:sz w:val="23"/>
          <w:szCs w:val="23"/>
          <w:rtl/>
        </w:rPr>
        <w:t>که کالیبره کنند به روش بیزین برآورد نمودند.</w:t>
      </w:r>
      <w:r w:rsidRPr="005C611F">
        <w:rPr>
          <w:rStyle w:val="FootnoteReference"/>
          <w:i/>
          <w:sz w:val="23"/>
          <w:szCs w:val="23"/>
          <w:rtl/>
        </w:rPr>
        <w:footnoteReference w:id="391"/>
      </w:r>
      <w:r w:rsidRPr="005C611F">
        <w:rPr>
          <w:rFonts w:hint="cs"/>
          <w:i/>
          <w:sz w:val="23"/>
          <w:szCs w:val="23"/>
          <w:rtl/>
        </w:rPr>
        <w:t xml:space="preserve">  مدل آن‌ها بسیاری از خصوصیات کینزین جدید که قبلاً مورد بررسی قرار گرفت، همانند چسبندگی قیمت‌ها و دستمزدهای اسمی‌ در مدل تعدیل مبهوت کالوو را در هم آمیخت. در مدل آن‌ها همچنین دو شوک عرضه یعنی شوک‌های بهره</w:t>
      </w:r>
      <w:r w:rsidRPr="005C611F">
        <w:rPr>
          <w:i/>
          <w:sz w:val="23"/>
          <w:szCs w:val="23"/>
          <w:rtl/>
        </w:rPr>
        <w:softHyphen/>
      </w:r>
      <w:r w:rsidRPr="005C611F">
        <w:rPr>
          <w:rFonts w:hint="cs"/>
          <w:i/>
          <w:sz w:val="23"/>
          <w:szCs w:val="23"/>
          <w:rtl/>
        </w:rPr>
        <w:t>وری و عرضه</w:t>
      </w:r>
      <w:r w:rsidRPr="005C611F">
        <w:rPr>
          <w:i/>
          <w:sz w:val="23"/>
          <w:szCs w:val="23"/>
          <w:rtl/>
        </w:rPr>
        <w:softHyphen/>
      </w:r>
      <w:r w:rsidRPr="005C611F">
        <w:rPr>
          <w:rFonts w:hint="cs"/>
          <w:i/>
          <w:sz w:val="23"/>
          <w:szCs w:val="23"/>
          <w:rtl/>
        </w:rPr>
        <w:t>ی نیروی کار، سه شوک تقاضا یعنی شوک‌های ترجیحات، تقاضا برای سرمایه</w:t>
      </w:r>
      <w:r w:rsidRPr="005C611F">
        <w:rPr>
          <w:i/>
          <w:sz w:val="23"/>
          <w:szCs w:val="23"/>
          <w:rtl/>
        </w:rPr>
        <w:softHyphen/>
      </w:r>
      <w:r w:rsidRPr="005C611F">
        <w:rPr>
          <w:rFonts w:hint="cs"/>
          <w:i/>
          <w:sz w:val="23"/>
          <w:szCs w:val="23"/>
          <w:rtl/>
        </w:rPr>
        <w:t>گذاری و مخارج دولت، سه شوک فشار هزینه یعنی شوک‌های افزایش نرخ اجناس در بازار کالاها و بازار نیروی کار و همچنین پاداش ریسک سرمایه، و همچنین دو شوک سیاست پولی در نظر گرفته شده است.</w:t>
      </w:r>
    </w:p>
    <w:p w14:paraId="6F315226" w14:textId="77777777" w:rsidR="00556C10" w:rsidRPr="005C611F" w:rsidRDefault="00556C10" w:rsidP="00556C10">
      <w:pPr>
        <w:tabs>
          <w:tab w:val="left" w:pos="90"/>
        </w:tabs>
        <w:spacing w:line="216" w:lineRule="auto"/>
        <w:rPr>
          <w:i/>
          <w:sz w:val="23"/>
          <w:szCs w:val="23"/>
          <w:rtl/>
        </w:rPr>
      </w:pPr>
    </w:p>
    <w:p w14:paraId="52297DE1" w14:textId="77777777" w:rsidR="00556C10" w:rsidRPr="005C611F" w:rsidRDefault="00556C10" w:rsidP="00556C10">
      <w:pPr>
        <w:pStyle w:val="Heading1"/>
        <w:spacing w:before="0" w:after="0" w:line="216" w:lineRule="auto"/>
        <w:rPr>
          <w:rFonts w:ascii="Times New Roman" w:hAnsi="Times New Roman" w:cs="B Nazanin"/>
          <w:b w:val="0"/>
          <w:i/>
          <w:sz w:val="23"/>
          <w:szCs w:val="23"/>
          <w:rtl/>
        </w:rPr>
      </w:pPr>
      <w:r w:rsidRPr="005C611F">
        <w:rPr>
          <w:rFonts w:ascii="Times New Roman" w:hAnsi="Times New Roman" w:cs="B Nazanin" w:hint="cs"/>
          <w:b w:val="0"/>
          <w:i/>
          <w:sz w:val="23"/>
          <w:szCs w:val="23"/>
          <w:rtl/>
        </w:rPr>
        <w:t>۱۶. ۴. ۱ مدل اسمتس- وترس</w:t>
      </w:r>
    </w:p>
    <w:p w14:paraId="1CCF072B" w14:textId="77777777" w:rsidR="00556C10" w:rsidRPr="005C611F" w:rsidRDefault="00556C10" w:rsidP="00556C10">
      <w:pPr>
        <w:tabs>
          <w:tab w:val="left" w:pos="90"/>
        </w:tabs>
        <w:spacing w:line="216" w:lineRule="auto"/>
        <w:rPr>
          <w:bCs/>
          <w:i/>
          <w:sz w:val="23"/>
          <w:szCs w:val="23"/>
          <w:rtl/>
        </w:rPr>
      </w:pPr>
      <w:r w:rsidRPr="005C611F">
        <w:rPr>
          <w:rFonts w:hint="cs"/>
          <w:bCs/>
          <w:i/>
          <w:sz w:val="23"/>
          <w:szCs w:val="23"/>
          <w:rtl/>
        </w:rPr>
        <w:t>خانوار</w:t>
      </w:r>
    </w:p>
    <w:p w14:paraId="4D52BBB6"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در مدل این دو تابع مطلوبیت خانوار عبارت است از:</w:t>
      </w:r>
    </w:p>
    <w:p w14:paraId="79F80CB5" w14:textId="77777777" w:rsidR="00556C10" w:rsidRPr="005C611F" w:rsidRDefault="00556C10" w:rsidP="00556C10">
      <w:pPr>
        <w:tabs>
          <w:tab w:val="left" w:pos="90"/>
        </w:tabs>
        <w:bidi w:val="0"/>
        <w:spacing w:line="216" w:lineRule="auto"/>
        <w:rPr>
          <w:i/>
          <w:sz w:val="23"/>
          <w:szCs w:val="23"/>
        </w:rPr>
      </w:pPr>
      <w:r w:rsidRPr="00F4704A">
        <w:rPr>
          <w:position w:val="-34"/>
        </w:rPr>
        <w:object w:dxaOrig="5899" w:dyaOrig="800" w14:anchorId="17CF1CBD">
          <v:shape id="_x0000_i8172" type="#_x0000_t75" style="width:294.65pt;height:39.95pt" o:ole="">
            <v:imagedata r:id="rId14431" o:title=""/>
          </v:shape>
          <o:OLEObject Type="Embed" ProgID="Equation.DSMT4" ShapeID="_x0000_i8172" DrawAspect="Content" ObjectID="_1791382115" r:id="rId14432"/>
        </w:object>
      </w:r>
    </w:p>
    <w:p w14:paraId="3C0C628E"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که در آن </w:t>
      </w:r>
      <w:r w:rsidRPr="00F4704A">
        <w:rPr>
          <w:position w:val="-10"/>
        </w:rPr>
        <w:object w:dxaOrig="540" w:dyaOrig="320" w14:anchorId="7F8E3548">
          <v:shape id="_x0000_i8173" type="#_x0000_t75" style="width:26.6pt;height:15.75pt" o:ole="">
            <v:imagedata r:id="rId14433" o:title=""/>
          </v:shape>
          <o:OLEObject Type="Embed" ProgID="Equation.DSMT4" ShapeID="_x0000_i8173" DrawAspect="Content" ObjectID="_1791382116" r:id="rId14434"/>
        </w:object>
      </w:r>
      <w:r w:rsidRPr="005C611F">
        <w:rPr>
          <w:rFonts w:hint="cs"/>
          <w:i/>
          <w:sz w:val="23"/>
          <w:szCs w:val="23"/>
          <w:rtl/>
        </w:rPr>
        <w:t xml:space="preserve"> و </w:t>
      </w:r>
      <w:r w:rsidRPr="00F4704A">
        <w:rPr>
          <w:position w:val="-10"/>
        </w:rPr>
        <w:object w:dxaOrig="760" w:dyaOrig="320" w14:anchorId="0D9EF4F5">
          <v:shape id="_x0000_i8174" type="#_x0000_t75" style="width:38.1pt;height:15.75pt" o:ole="">
            <v:imagedata r:id="rId14435" o:title=""/>
          </v:shape>
          <o:OLEObject Type="Embed" ProgID="Equation.DSMT4" ShapeID="_x0000_i8174" DrawAspect="Content" ObjectID="_1791382117" r:id="rId14436"/>
        </w:object>
      </w:r>
      <w:r w:rsidRPr="005C611F">
        <w:rPr>
          <w:rFonts w:hint="cs"/>
          <w:i/>
          <w:sz w:val="23"/>
          <w:szCs w:val="23"/>
          <w:rtl/>
        </w:rPr>
        <w:t xml:space="preserve"> نشان دهنده مصرف، کار و تراز پول حقیقی خانوار </w:t>
      </w:r>
      <w:proofErr w:type="spellStart"/>
      <w:r w:rsidRPr="005C611F">
        <w:rPr>
          <w:i/>
          <w:sz w:val="23"/>
          <w:szCs w:val="23"/>
        </w:rPr>
        <w:t>i</w:t>
      </w:r>
      <w:proofErr w:type="spellEnd"/>
      <w:r w:rsidRPr="005C611F">
        <w:rPr>
          <w:rFonts w:hint="cs"/>
          <w:i/>
          <w:sz w:val="23"/>
          <w:szCs w:val="23"/>
          <w:rtl/>
        </w:rPr>
        <w:t xml:space="preserve">ام، </w:t>
      </w:r>
      <w:r w:rsidRPr="00F4704A">
        <w:rPr>
          <w:position w:val="-10"/>
        </w:rPr>
        <w:object w:dxaOrig="1300" w:dyaOrig="340" w14:anchorId="262820C4">
          <v:shape id="_x0000_i8175" type="#_x0000_t75" style="width:64.75pt;height:16.95pt" o:ole="">
            <v:imagedata r:id="rId14437" o:title=""/>
          </v:shape>
          <o:OLEObject Type="Embed" ProgID="Equation.DSMT4" ShapeID="_x0000_i8175" DrawAspect="Content" ObjectID="_1791382118" r:id="rId14438"/>
        </w:object>
      </w:r>
      <w:r w:rsidRPr="005C611F">
        <w:rPr>
          <w:rFonts w:hint="cs"/>
          <w:i/>
          <w:sz w:val="23"/>
          <w:szCs w:val="23"/>
          <w:rtl/>
        </w:rPr>
        <w:t xml:space="preserve"> شوک‌های ترجیحی و </w:t>
      </w:r>
      <w:r w:rsidRPr="00F4704A">
        <w:rPr>
          <w:position w:val="-10"/>
        </w:rPr>
        <w:object w:dxaOrig="240" w:dyaOrig="320" w14:anchorId="6C7DB6CC">
          <v:shape id="_x0000_i8176" type="#_x0000_t75" style="width:11.5pt;height:15.75pt" o:ole="">
            <v:imagedata r:id="rId14439" o:title=""/>
          </v:shape>
          <o:OLEObject Type="Embed" ProgID="Equation.DSMT4" ShapeID="_x0000_i8176" DrawAspect="Content" ObjectID="_1791382119" r:id="rId14440"/>
        </w:object>
      </w:r>
      <w:r w:rsidRPr="005C611F">
        <w:rPr>
          <w:rFonts w:eastAsiaTheme="minorHAnsi" w:cstheme="minorBidi" w:hint="cs"/>
          <w:i/>
          <w:sz w:val="23"/>
          <w:szCs w:val="23"/>
          <w:rtl/>
        </w:rPr>
        <w:t xml:space="preserve"> </w:t>
      </w:r>
      <w:r w:rsidRPr="005C611F">
        <w:rPr>
          <w:rFonts w:hint="cs"/>
          <w:i/>
          <w:sz w:val="23"/>
          <w:szCs w:val="23"/>
          <w:rtl/>
        </w:rPr>
        <w:t xml:space="preserve">سطح عمومی ‌قیمت است. عبارت یا جمله‌ی </w:t>
      </w:r>
      <w:r w:rsidRPr="00F4704A">
        <w:rPr>
          <w:position w:val="-10"/>
        </w:rPr>
        <w:object w:dxaOrig="460" w:dyaOrig="320" w14:anchorId="2DDAA7C5">
          <v:shape id="_x0000_i8177" type="#_x0000_t75" style="width:23pt;height:15.75pt" o:ole="">
            <v:imagedata r:id="rId14441" o:title=""/>
          </v:shape>
          <o:OLEObject Type="Embed" ProgID="Equation.DSMT4" ShapeID="_x0000_i8177" DrawAspect="Content" ObjectID="_1791382120" r:id="rId14442"/>
        </w:object>
      </w:r>
      <w:r w:rsidRPr="005C611F">
        <w:rPr>
          <w:rFonts w:hint="cs"/>
          <w:i/>
          <w:sz w:val="23"/>
          <w:szCs w:val="23"/>
          <w:rtl/>
        </w:rPr>
        <w:t xml:space="preserve"> عادات مصرفی را مشخص کرده و </w:t>
      </w:r>
      <w:r w:rsidRPr="00F4704A">
        <w:rPr>
          <w:position w:val="-10"/>
        </w:rPr>
        <w:object w:dxaOrig="200" w:dyaOrig="320" w14:anchorId="38630D8E">
          <v:shape id="_x0000_i8178" type="#_x0000_t75" style="width:10.3pt;height:15.75pt" o:ole="">
            <v:imagedata r:id="rId14443" o:title=""/>
          </v:shape>
          <o:OLEObject Type="Embed" ProgID="Equation.DSMT4" ShapeID="_x0000_i8178" DrawAspect="Content" ObjectID="_1791382121" r:id="rId14444"/>
        </w:object>
      </w:r>
      <w:r w:rsidRPr="005C611F">
        <w:rPr>
          <w:rFonts w:hint="cs"/>
          <w:i/>
          <w:sz w:val="23"/>
          <w:szCs w:val="23"/>
          <w:rtl/>
        </w:rPr>
        <w:t xml:space="preserve"> نیز مصرف کل می‌باشد. قید بودجه</w:t>
      </w:r>
      <w:r w:rsidRPr="005C611F">
        <w:rPr>
          <w:i/>
          <w:sz w:val="23"/>
          <w:szCs w:val="23"/>
          <w:rtl/>
        </w:rPr>
        <w:softHyphen/>
      </w:r>
      <w:r w:rsidRPr="005C611F">
        <w:rPr>
          <w:rFonts w:hint="cs"/>
          <w:i/>
          <w:sz w:val="23"/>
          <w:szCs w:val="23"/>
          <w:rtl/>
        </w:rPr>
        <w:t>ی حقیقی خانوار برابر است با</w:t>
      </w:r>
    </w:p>
    <w:p w14:paraId="422DC384" w14:textId="77777777" w:rsidR="00556C10" w:rsidRPr="005C611F" w:rsidRDefault="00556C10" w:rsidP="00556C10">
      <w:pPr>
        <w:tabs>
          <w:tab w:val="left" w:pos="90"/>
        </w:tabs>
        <w:bidi w:val="0"/>
        <w:spacing w:line="216" w:lineRule="auto"/>
        <w:rPr>
          <w:i/>
          <w:sz w:val="23"/>
          <w:szCs w:val="23"/>
          <w:rtl/>
        </w:rPr>
      </w:pPr>
      <w:r w:rsidRPr="00F4704A">
        <w:rPr>
          <w:position w:val="-28"/>
        </w:rPr>
        <w:object w:dxaOrig="3780" w:dyaOrig="660" w14:anchorId="4B0BC405">
          <v:shape id="_x0000_i8179" type="#_x0000_t75" style="width:189.4pt;height:32.65pt" o:ole="">
            <v:imagedata r:id="rId14445" o:title=""/>
          </v:shape>
          <o:OLEObject Type="Embed" ProgID="Equation.DSMT4" ShapeID="_x0000_i8179" DrawAspect="Content" ObjectID="_1791382122" r:id="rId14446"/>
        </w:object>
      </w:r>
    </w:p>
    <w:p w14:paraId="70B2884D"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که در آن </w:t>
      </w:r>
      <w:r w:rsidRPr="00F4704A">
        <w:rPr>
          <w:position w:val="-10"/>
        </w:rPr>
        <w:object w:dxaOrig="320" w:dyaOrig="320" w14:anchorId="1D6BDFF1">
          <v:shape id="_x0000_i8180" type="#_x0000_t75" style="width:15.75pt;height:15.75pt" o:ole="">
            <v:imagedata r:id="rId14447" o:title=""/>
          </v:shape>
          <o:OLEObject Type="Embed" ProgID="Equation.DSMT4" ShapeID="_x0000_i8180" DrawAspect="Content" ObjectID="_1791382123" r:id="rId14448"/>
        </w:object>
      </w:r>
      <w:r w:rsidRPr="005C611F">
        <w:rPr>
          <w:rFonts w:hint="cs"/>
          <w:i/>
          <w:sz w:val="23"/>
          <w:szCs w:val="23"/>
          <w:rtl/>
        </w:rPr>
        <w:t>اوراق قرضه‌ی یک دوره</w:t>
      </w:r>
      <w:r w:rsidRPr="005C611F">
        <w:rPr>
          <w:i/>
          <w:sz w:val="23"/>
          <w:szCs w:val="23"/>
          <w:rtl/>
        </w:rPr>
        <w:softHyphen/>
      </w:r>
      <w:r w:rsidRPr="005C611F">
        <w:rPr>
          <w:rFonts w:hint="cs"/>
          <w:i/>
          <w:sz w:val="23"/>
          <w:szCs w:val="23"/>
          <w:rtl/>
        </w:rPr>
        <w:t>ای و با قیمت</w:t>
      </w:r>
      <w:r w:rsidRPr="00F4704A">
        <w:rPr>
          <w:position w:val="-10"/>
        </w:rPr>
        <w:object w:dxaOrig="360" w:dyaOrig="340" w14:anchorId="4E7AD826">
          <v:shape id="_x0000_i8181" type="#_x0000_t75" style="width:18.15pt;height:16.95pt" o:ole="">
            <v:imagedata r:id="rId14449" o:title=""/>
          </v:shape>
          <o:OLEObject Type="Embed" ProgID="Equation.DSMT4" ShapeID="_x0000_i8181" DrawAspect="Content" ObjectID="_1791382124" r:id="rId14450"/>
        </w:object>
      </w:r>
      <w:r w:rsidRPr="005C611F">
        <w:rPr>
          <w:rFonts w:hint="cs"/>
          <w:i/>
          <w:sz w:val="23"/>
          <w:szCs w:val="23"/>
          <w:rtl/>
        </w:rPr>
        <w:t xml:space="preserve"> است. کل درآمد خانوار برابر است با:</w:t>
      </w:r>
    </w:p>
    <w:p w14:paraId="0C23DAA7" w14:textId="77777777" w:rsidR="00556C10" w:rsidRPr="005C611F" w:rsidRDefault="00556C10" w:rsidP="00556C10">
      <w:pPr>
        <w:tabs>
          <w:tab w:val="left" w:pos="90"/>
        </w:tabs>
        <w:bidi w:val="0"/>
        <w:spacing w:line="216" w:lineRule="auto"/>
        <w:rPr>
          <w:i/>
          <w:sz w:val="23"/>
          <w:szCs w:val="23"/>
          <w:rtl/>
        </w:rPr>
      </w:pPr>
      <w:r w:rsidRPr="00F4704A">
        <w:rPr>
          <w:position w:val="-12"/>
        </w:rPr>
        <w:object w:dxaOrig="3940" w:dyaOrig="360" w14:anchorId="59C2FB1A">
          <v:shape id="_x0000_i8182" type="#_x0000_t75" style="width:197.25pt;height:18.15pt" o:ole="">
            <v:imagedata r:id="rId14451" o:title=""/>
          </v:shape>
          <o:OLEObject Type="Embed" ProgID="Equation.DSMT4" ShapeID="_x0000_i8182" DrawAspect="Content" ObjectID="_1791382125" r:id="rId14452"/>
        </w:object>
      </w:r>
    </w:p>
    <w:p w14:paraId="5687E2B4" w14:textId="77777777" w:rsidR="00556C10" w:rsidRPr="005C611F" w:rsidRDefault="00556C10" w:rsidP="00556C10">
      <w:pPr>
        <w:tabs>
          <w:tab w:val="left" w:pos="90"/>
        </w:tabs>
        <w:spacing w:line="216" w:lineRule="auto"/>
        <w:rPr>
          <w:i/>
          <w:sz w:val="23"/>
          <w:szCs w:val="23"/>
        </w:rPr>
      </w:pPr>
      <w:r w:rsidRPr="005C611F">
        <w:rPr>
          <w:rFonts w:hint="cs"/>
          <w:i/>
          <w:sz w:val="23"/>
          <w:szCs w:val="23"/>
          <w:rtl/>
        </w:rPr>
        <w:t>که در آن</w:t>
      </w:r>
      <w:r w:rsidRPr="00F4704A">
        <w:rPr>
          <w:position w:val="-10"/>
        </w:rPr>
        <w:object w:dxaOrig="320" w:dyaOrig="320" w14:anchorId="2827F15C">
          <v:shape id="_x0000_i8183" type="#_x0000_t75" style="width:15.75pt;height:15.75pt" o:ole="">
            <v:imagedata r:id="rId14453" o:title=""/>
          </v:shape>
          <o:OLEObject Type="Embed" ProgID="Equation.DSMT4" ShapeID="_x0000_i8183" DrawAspect="Content" ObjectID="_1791382126" r:id="rId14454"/>
        </w:object>
      </w:r>
      <w:r w:rsidRPr="005C611F">
        <w:rPr>
          <w:i/>
          <w:sz w:val="23"/>
          <w:szCs w:val="23"/>
        </w:rPr>
        <w:t xml:space="preserve"> </w:t>
      </w:r>
      <w:r w:rsidRPr="005C611F">
        <w:rPr>
          <w:rFonts w:hint="cs"/>
          <w:i/>
          <w:sz w:val="23"/>
          <w:szCs w:val="23"/>
          <w:rtl/>
        </w:rPr>
        <w:t>نرخ دستمزد حقیقی،</w:t>
      </w:r>
      <w:r w:rsidRPr="00F4704A">
        <w:rPr>
          <w:position w:val="-10"/>
        </w:rPr>
        <w:object w:dxaOrig="260" w:dyaOrig="320" w14:anchorId="1F6312E4">
          <v:shape id="_x0000_i8184" type="#_x0000_t75" style="width:13.3pt;height:15.75pt" o:ole="">
            <v:imagedata r:id="rId14455" o:title=""/>
          </v:shape>
          <o:OLEObject Type="Embed" ProgID="Equation.DSMT4" ShapeID="_x0000_i8184" DrawAspect="Content" ObjectID="_1791382127" r:id="rId14456"/>
        </w:object>
      </w:r>
      <w:r w:rsidRPr="005C611F">
        <w:rPr>
          <w:rFonts w:hint="cs"/>
          <w:i/>
          <w:sz w:val="23"/>
          <w:szCs w:val="23"/>
          <w:rtl/>
        </w:rPr>
        <w:t xml:space="preserve"> موجودی سرمایه،</w:t>
      </w:r>
      <w:r w:rsidRPr="00F4704A">
        <w:rPr>
          <w:position w:val="-10"/>
        </w:rPr>
        <w:object w:dxaOrig="260" w:dyaOrig="340" w14:anchorId="36D87EB5">
          <v:shape id="_x0000_i8185" type="#_x0000_t75" style="width:13.3pt;height:16.95pt" o:ole="">
            <v:imagedata r:id="rId14457" o:title=""/>
          </v:shape>
          <o:OLEObject Type="Embed" ProgID="Equation.DSMT4" ShapeID="_x0000_i8185" DrawAspect="Content" ObjectID="_1791382128" r:id="rId14458"/>
        </w:object>
      </w:r>
      <w:r w:rsidRPr="005C611F">
        <w:rPr>
          <w:rFonts w:hint="cs"/>
          <w:i/>
          <w:sz w:val="23"/>
          <w:szCs w:val="23"/>
          <w:rtl/>
        </w:rPr>
        <w:t xml:space="preserve"> نرخ بازدهی سرمایه، عبارت</w:t>
      </w:r>
      <w:r w:rsidRPr="00F4704A">
        <w:rPr>
          <w:position w:val="-12"/>
        </w:rPr>
        <w:object w:dxaOrig="1920" w:dyaOrig="360" w14:anchorId="2A81C357">
          <v:shape id="_x0000_i8186" type="#_x0000_t75" style="width:96.2pt;height:18.15pt" o:ole="">
            <v:imagedata r:id="rId14459" o:title=""/>
          </v:shape>
          <o:OLEObject Type="Embed" ProgID="Equation.DSMT4" ShapeID="_x0000_i8186" DrawAspect="Content" ObjectID="_1791382129" r:id="rId14460"/>
        </w:object>
      </w:r>
      <w:r w:rsidRPr="005C611F">
        <w:rPr>
          <w:rFonts w:hint="cs"/>
          <w:i/>
          <w:sz w:val="23"/>
          <w:szCs w:val="23"/>
          <w:rtl/>
        </w:rPr>
        <w:t xml:space="preserve"> درآمد سرمایه پس از استهلاک،</w:t>
      </w:r>
      <w:r w:rsidRPr="00F4704A">
        <w:rPr>
          <w:position w:val="-10"/>
        </w:rPr>
        <w:object w:dxaOrig="260" w:dyaOrig="320" w14:anchorId="4F2FB56C">
          <v:shape id="_x0000_i8187" type="#_x0000_t75" style="width:13.3pt;height:15.75pt" o:ole="">
            <v:imagedata r:id="rId14461" o:title=""/>
          </v:shape>
          <o:OLEObject Type="Embed" ProgID="Equation.DSMT4" ShapeID="_x0000_i8187" DrawAspect="Content" ObjectID="_1791382130" r:id="rId14462"/>
        </w:object>
      </w:r>
      <w:r w:rsidRPr="005C611F">
        <w:rPr>
          <w:rFonts w:hint="cs"/>
          <w:i/>
          <w:sz w:val="23"/>
          <w:szCs w:val="23"/>
          <w:rtl/>
        </w:rPr>
        <w:t>ظرفیت بهره</w:t>
      </w:r>
      <w:r w:rsidRPr="005C611F">
        <w:rPr>
          <w:i/>
          <w:sz w:val="23"/>
          <w:szCs w:val="23"/>
          <w:rtl/>
        </w:rPr>
        <w:softHyphen/>
      </w:r>
      <w:r w:rsidRPr="005C611F">
        <w:rPr>
          <w:rFonts w:hint="cs"/>
          <w:i/>
          <w:sz w:val="23"/>
          <w:szCs w:val="23"/>
          <w:rtl/>
        </w:rPr>
        <w:t>برداری، و</w:t>
      </w:r>
      <w:r w:rsidRPr="00F4704A">
        <w:rPr>
          <w:position w:val="-10"/>
        </w:rPr>
        <w:object w:dxaOrig="279" w:dyaOrig="320" w14:anchorId="744FE1BF">
          <v:shape id="_x0000_i8188" type="#_x0000_t75" style="width:13.9pt;height:15.75pt" o:ole="">
            <v:imagedata r:id="rId14463" o:title=""/>
          </v:shape>
          <o:OLEObject Type="Embed" ProgID="Equation.DSMT4" ShapeID="_x0000_i8188" DrawAspect="Content" ObjectID="_1791382131" r:id="rId14464"/>
        </w:object>
      </w:r>
      <w:r w:rsidRPr="005C611F">
        <w:rPr>
          <w:i/>
          <w:sz w:val="23"/>
          <w:szCs w:val="23"/>
        </w:rPr>
        <w:t xml:space="preserve"> </w:t>
      </w:r>
      <w:r w:rsidRPr="005C611F">
        <w:rPr>
          <w:rFonts w:hint="cs"/>
          <w:i/>
          <w:sz w:val="23"/>
          <w:szCs w:val="23"/>
          <w:rtl/>
        </w:rPr>
        <w:t>درآمد سود سهام می‌باشد. معادله</w:t>
      </w:r>
      <w:r w:rsidRPr="005C611F">
        <w:rPr>
          <w:i/>
          <w:sz w:val="23"/>
          <w:szCs w:val="23"/>
          <w:rtl/>
        </w:rPr>
        <w:softHyphen/>
      </w:r>
      <w:r w:rsidRPr="005C611F">
        <w:rPr>
          <w:rFonts w:hint="cs"/>
          <w:i/>
          <w:sz w:val="23"/>
          <w:szCs w:val="23"/>
          <w:rtl/>
        </w:rPr>
        <w:t>ی اویلر این مسئله عبارت است از</w:t>
      </w:r>
    </w:p>
    <w:p w14:paraId="3610E969" w14:textId="77777777" w:rsidR="00556C10" w:rsidRPr="005C611F" w:rsidRDefault="00556C10" w:rsidP="00556C10">
      <w:pPr>
        <w:tabs>
          <w:tab w:val="left" w:pos="90"/>
        </w:tabs>
        <w:bidi w:val="0"/>
        <w:spacing w:line="216" w:lineRule="auto"/>
        <w:rPr>
          <w:i/>
          <w:sz w:val="23"/>
          <w:szCs w:val="23"/>
          <w:rtl/>
        </w:rPr>
      </w:pPr>
      <w:r w:rsidRPr="00F4704A">
        <w:rPr>
          <w:position w:val="-30"/>
        </w:rPr>
        <w:object w:dxaOrig="1780" w:dyaOrig="700" w14:anchorId="379463B5">
          <v:shape id="_x0000_i8189" type="#_x0000_t75" style="width:88.95pt;height:35.1pt" o:ole="">
            <v:imagedata r:id="rId14465" o:title=""/>
          </v:shape>
          <o:OLEObject Type="Embed" ProgID="Equation.DSMT4" ShapeID="_x0000_i8189" DrawAspect="Content" ObjectID="_1791382132" r:id="rId14466"/>
        </w:object>
      </w:r>
    </w:p>
    <w:p w14:paraId="41D728B4"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lastRenderedPageBreak/>
        <w:t>که در آن</w:t>
      </w:r>
      <w:r w:rsidRPr="00F4704A">
        <w:rPr>
          <w:position w:val="-10"/>
        </w:rPr>
        <w:object w:dxaOrig="279" w:dyaOrig="320" w14:anchorId="52C1F264">
          <v:shape id="_x0000_i8190" type="#_x0000_t75" style="width:13.9pt;height:15.75pt" o:ole="">
            <v:imagedata r:id="rId14467" o:title=""/>
          </v:shape>
          <o:OLEObject Type="Embed" ProgID="Equation.DSMT4" ShapeID="_x0000_i8190" DrawAspect="Content" ObjectID="_1791382133" r:id="rId14468"/>
        </w:object>
      </w:r>
      <w:r w:rsidRPr="005C611F">
        <w:rPr>
          <w:rFonts w:hint="cs"/>
          <w:i/>
          <w:sz w:val="23"/>
          <w:szCs w:val="23"/>
          <w:rtl/>
        </w:rPr>
        <w:t xml:space="preserve"> نرخ بازدهی اسمی‌ ناخالص اوراق قرضه</w:t>
      </w:r>
      <w:r w:rsidRPr="00F4704A">
        <w:rPr>
          <w:position w:val="-28"/>
        </w:rPr>
        <w:object w:dxaOrig="999" w:dyaOrig="620" w14:anchorId="757CC5C9">
          <v:shape id="_x0000_i8191" type="#_x0000_t75" style="width:50.2pt;height:31.45pt" o:ole="">
            <v:imagedata r:id="rId14469" o:title=""/>
          </v:shape>
          <o:OLEObject Type="Embed" ProgID="Equation.DSMT4" ShapeID="_x0000_i8191" DrawAspect="Content" ObjectID="_1791382134" r:id="rId14470"/>
        </w:object>
      </w:r>
      <w:r w:rsidRPr="005C611F">
        <w:rPr>
          <w:rFonts w:hint="cs"/>
          <w:i/>
          <w:sz w:val="23"/>
          <w:szCs w:val="23"/>
          <w:rtl/>
        </w:rPr>
        <w:t xml:space="preserve"> و</w:t>
      </w:r>
      <w:r w:rsidRPr="00F4704A">
        <w:rPr>
          <w:position w:val="-10"/>
        </w:rPr>
        <w:object w:dxaOrig="220" w:dyaOrig="320" w14:anchorId="4EBC9998">
          <v:shape id="_x0000_i8192" type="#_x0000_t75" style="width:10.9pt;height:15.75pt" o:ole="">
            <v:imagedata r:id="rId14471" o:title=""/>
          </v:shape>
          <o:OLEObject Type="Embed" ProgID="Equation.DSMT4" ShapeID="_x0000_i8192" DrawAspect="Content" ObjectID="_1791382135" r:id="rId14472"/>
        </w:object>
      </w:r>
      <w:r w:rsidRPr="005C611F">
        <w:rPr>
          <w:rFonts w:hint="cs"/>
          <w:i/>
          <w:sz w:val="23"/>
          <w:szCs w:val="23"/>
          <w:rtl/>
        </w:rPr>
        <w:t xml:space="preserve"> مطلوبیت نهایی مصرف است. یعنی</w:t>
      </w:r>
    </w:p>
    <w:p w14:paraId="764146C5" w14:textId="77777777" w:rsidR="00556C10" w:rsidRPr="005C611F" w:rsidRDefault="00556C10" w:rsidP="00556C10">
      <w:pPr>
        <w:tabs>
          <w:tab w:val="left" w:pos="90"/>
        </w:tabs>
        <w:bidi w:val="0"/>
        <w:spacing w:line="216" w:lineRule="auto"/>
        <w:rPr>
          <w:i/>
          <w:sz w:val="23"/>
          <w:szCs w:val="23"/>
          <w:rtl/>
        </w:rPr>
      </w:pPr>
      <w:r w:rsidRPr="00F4704A">
        <w:rPr>
          <w:position w:val="-12"/>
        </w:rPr>
        <w:object w:dxaOrig="1880" w:dyaOrig="400" w14:anchorId="345D3383">
          <v:shape id="_x0000_i8193" type="#_x0000_t75" style="width:93.8pt;height:19.95pt" o:ole="">
            <v:imagedata r:id="rId14473" o:title=""/>
          </v:shape>
          <o:OLEObject Type="Embed" ProgID="Equation.DSMT4" ShapeID="_x0000_i8193" DrawAspect="Content" ObjectID="_1791382136" r:id="rId14474"/>
        </w:object>
      </w:r>
    </w:p>
    <w:p w14:paraId="4144FB69"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 تقاضا برای پول عبارت است از</w:t>
      </w:r>
    </w:p>
    <w:p w14:paraId="0E6DD120" w14:textId="77777777" w:rsidR="00556C10" w:rsidRPr="005C611F" w:rsidRDefault="00556C10" w:rsidP="00556C10">
      <w:pPr>
        <w:tabs>
          <w:tab w:val="left" w:pos="90"/>
        </w:tabs>
        <w:bidi w:val="0"/>
        <w:spacing w:line="216" w:lineRule="auto"/>
        <w:rPr>
          <w:i/>
          <w:sz w:val="23"/>
          <w:szCs w:val="23"/>
        </w:rPr>
      </w:pPr>
      <w:r w:rsidRPr="00F4704A">
        <w:rPr>
          <w:position w:val="-30"/>
        </w:rPr>
        <w:object w:dxaOrig="2980" w:dyaOrig="740" w14:anchorId="768DF384">
          <v:shape id="_x0000_i8194" type="#_x0000_t75" style="width:148.85pt;height:36.9pt" o:ole="">
            <v:imagedata r:id="rId14475" o:title=""/>
          </v:shape>
          <o:OLEObject Type="Embed" ProgID="Equation.DSMT4" ShapeID="_x0000_i8194" DrawAspect="Content" ObjectID="_1791382137" r:id="rId14476"/>
        </w:object>
      </w:r>
    </w:p>
    <w:p w14:paraId="25FC7445"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و فرض می‌شود که خانوار در بازار کار قیمت</w:t>
      </w:r>
      <w:r w:rsidRPr="005C611F">
        <w:rPr>
          <w:i/>
          <w:sz w:val="23"/>
          <w:szCs w:val="23"/>
          <w:rtl/>
        </w:rPr>
        <w:softHyphen/>
      </w:r>
      <w:r w:rsidRPr="005C611F">
        <w:rPr>
          <w:rFonts w:hint="cs"/>
          <w:i/>
          <w:sz w:val="23"/>
          <w:szCs w:val="23"/>
          <w:rtl/>
        </w:rPr>
        <w:t>گذار است</w:t>
      </w:r>
      <w:r w:rsidRPr="005C611F">
        <w:rPr>
          <w:i/>
          <w:sz w:val="23"/>
          <w:szCs w:val="23"/>
        </w:rPr>
        <w:t>.</w:t>
      </w:r>
      <w:r w:rsidRPr="005C611F">
        <w:rPr>
          <w:rFonts w:hint="cs"/>
          <w:i/>
          <w:sz w:val="23"/>
          <w:szCs w:val="23"/>
          <w:rtl/>
        </w:rPr>
        <w:t xml:space="preserve"> دستمزدهای اسمی‌ خانوار عبارت است از</w:t>
      </w:r>
    </w:p>
    <w:p w14:paraId="61054505" w14:textId="77777777" w:rsidR="00556C10" w:rsidRPr="005C611F" w:rsidRDefault="00556C10" w:rsidP="00556C10">
      <w:pPr>
        <w:tabs>
          <w:tab w:val="left" w:pos="90"/>
        </w:tabs>
        <w:bidi w:val="0"/>
        <w:spacing w:line="216" w:lineRule="auto"/>
        <w:rPr>
          <w:i/>
          <w:sz w:val="23"/>
          <w:szCs w:val="23"/>
        </w:rPr>
      </w:pPr>
      <w:r w:rsidRPr="00F4704A">
        <w:rPr>
          <w:position w:val="-30"/>
        </w:rPr>
        <w:object w:dxaOrig="1700" w:dyaOrig="740" w14:anchorId="3EC4015E">
          <v:shape id="_x0000_i8195" type="#_x0000_t75" style="width:85.3pt;height:36.9pt" o:ole="">
            <v:imagedata r:id="rId14477" o:title=""/>
          </v:shape>
          <o:OLEObject Type="Embed" ProgID="Equation.DSMT4" ShapeID="_x0000_i8195" DrawAspect="Content" ObjectID="_1791382138" r:id="rId14478"/>
        </w:object>
      </w:r>
    </w:p>
    <w:p w14:paraId="2235B55F"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خانوار دستمزدهای اسمی‌ خود را به گونه</w:t>
      </w:r>
      <w:r w:rsidRPr="005C611F">
        <w:rPr>
          <w:i/>
          <w:sz w:val="23"/>
          <w:szCs w:val="23"/>
          <w:rtl/>
        </w:rPr>
        <w:softHyphen/>
      </w:r>
      <w:r w:rsidRPr="005C611F">
        <w:rPr>
          <w:rFonts w:hint="cs"/>
          <w:i/>
          <w:sz w:val="23"/>
          <w:szCs w:val="23"/>
          <w:rtl/>
        </w:rPr>
        <w:t>ای مشخص می‌کند که تابع هدف بین دوره</w:t>
      </w:r>
      <w:r w:rsidRPr="005C611F">
        <w:rPr>
          <w:i/>
          <w:sz w:val="23"/>
          <w:szCs w:val="23"/>
          <w:rtl/>
        </w:rPr>
        <w:softHyphen/>
      </w:r>
      <w:r w:rsidRPr="005C611F">
        <w:rPr>
          <w:rFonts w:hint="cs"/>
          <w:i/>
          <w:sz w:val="23"/>
          <w:szCs w:val="23"/>
          <w:rtl/>
        </w:rPr>
        <w:t>ای خود را نسبت به قید بودجه و تقاضا برای کار حداکثر کند. در این صورت</w:t>
      </w:r>
    </w:p>
    <w:p w14:paraId="017BCE37" w14:textId="77777777" w:rsidR="00556C10" w:rsidRPr="005C611F" w:rsidRDefault="00556C10" w:rsidP="00556C10">
      <w:pPr>
        <w:tabs>
          <w:tab w:val="left" w:pos="90"/>
        </w:tabs>
        <w:bidi w:val="0"/>
        <w:spacing w:line="216" w:lineRule="auto"/>
        <w:rPr>
          <w:i/>
          <w:sz w:val="23"/>
          <w:szCs w:val="23"/>
          <w:rtl/>
        </w:rPr>
      </w:pPr>
      <w:r w:rsidRPr="00F4704A">
        <w:rPr>
          <w:position w:val="-30"/>
        </w:rPr>
        <w:object w:dxaOrig="2020" w:dyaOrig="760" w14:anchorId="00755B14">
          <v:shape id="_x0000_i8196" type="#_x0000_t75" style="width:101.05pt;height:38.1pt" o:ole="">
            <v:imagedata r:id="rId14479" o:title=""/>
          </v:shape>
          <o:OLEObject Type="Embed" ProgID="Equation.DSMT4" ShapeID="_x0000_i8196" DrawAspect="Content" ObjectID="_1791382139" r:id="rId14480"/>
        </w:object>
      </w:r>
    </w:p>
    <w:p w14:paraId="05A2B926"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که در آن</w:t>
      </w:r>
      <w:r w:rsidRPr="00F4704A">
        <w:rPr>
          <w:position w:val="-10"/>
        </w:rPr>
        <w:object w:dxaOrig="240" w:dyaOrig="320" w14:anchorId="3133BF45">
          <v:shape id="_x0000_i8197" type="#_x0000_t75" style="width:11.5pt;height:15.75pt" o:ole="">
            <v:imagedata r:id="rId14481" o:title=""/>
          </v:shape>
          <o:OLEObject Type="Embed" ProgID="Equation.DSMT4" ShapeID="_x0000_i8197" DrawAspect="Content" ObjectID="_1791382140" r:id="rId14482"/>
        </w:object>
      </w:r>
      <w:r w:rsidRPr="005C611F">
        <w:rPr>
          <w:rFonts w:eastAsiaTheme="minorHAnsi" w:cstheme="minorBidi" w:hint="cs"/>
          <w:i/>
          <w:sz w:val="23"/>
          <w:szCs w:val="23"/>
          <w:rtl/>
        </w:rPr>
        <w:t xml:space="preserve"> </w:t>
      </w:r>
      <w:r w:rsidRPr="005C611F">
        <w:rPr>
          <w:rFonts w:hint="cs"/>
          <w:i/>
          <w:sz w:val="23"/>
          <w:szCs w:val="23"/>
          <w:rtl/>
        </w:rPr>
        <w:t>تقاضای کل کار و</w:t>
      </w:r>
      <w:r w:rsidRPr="00F4704A">
        <w:rPr>
          <w:position w:val="-10"/>
        </w:rPr>
        <w:object w:dxaOrig="279" w:dyaOrig="320" w14:anchorId="293D8BF7">
          <v:shape id="_x0000_i8198" type="#_x0000_t75" style="width:13.9pt;height:15.75pt" o:ole="">
            <v:imagedata r:id="rId14483" o:title=""/>
          </v:shape>
          <o:OLEObject Type="Embed" ProgID="Equation.DSMT4" ShapeID="_x0000_i8198" DrawAspect="Content" ObjectID="_1791382141" r:id="rId14484"/>
        </w:object>
      </w:r>
      <w:r w:rsidRPr="005C611F">
        <w:rPr>
          <w:i/>
          <w:sz w:val="23"/>
          <w:szCs w:val="23"/>
        </w:rPr>
        <w:t xml:space="preserve"> </w:t>
      </w:r>
      <w:r w:rsidRPr="005C611F">
        <w:rPr>
          <w:rFonts w:hint="cs"/>
          <w:i/>
          <w:sz w:val="23"/>
          <w:szCs w:val="23"/>
          <w:rtl/>
        </w:rPr>
        <w:t>دستمزد اسمی‌ کل می‌باشد، به طوری</w:t>
      </w:r>
      <w:r w:rsidRPr="005C611F">
        <w:rPr>
          <w:i/>
          <w:sz w:val="23"/>
          <w:szCs w:val="23"/>
          <w:rtl/>
        </w:rPr>
        <w:softHyphen/>
      </w:r>
      <w:r w:rsidRPr="005C611F">
        <w:rPr>
          <w:rFonts w:hint="cs"/>
          <w:i/>
          <w:sz w:val="23"/>
          <w:szCs w:val="23"/>
          <w:rtl/>
        </w:rPr>
        <w:t xml:space="preserve">که </w:t>
      </w:r>
    </w:p>
    <w:p w14:paraId="4EA59DE1" w14:textId="77777777" w:rsidR="00556C10" w:rsidRPr="005C611F" w:rsidRDefault="00556C10" w:rsidP="00556C10">
      <w:pPr>
        <w:tabs>
          <w:tab w:val="left" w:pos="90"/>
        </w:tabs>
        <w:bidi w:val="0"/>
        <w:spacing w:line="216" w:lineRule="auto"/>
        <w:rPr>
          <w:i/>
          <w:sz w:val="23"/>
          <w:szCs w:val="23"/>
        </w:rPr>
      </w:pPr>
      <w:r w:rsidRPr="00F4704A">
        <w:rPr>
          <w:position w:val="-30"/>
        </w:rPr>
        <w:object w:dxaOrig="2299" w:dyaOrig="740" w14:anchorId="392F562A">
          <v:shape id="_x0000_i8199" type="#_x0000_t75" style="width:114.95pt;height:36.9pt" o:ole="">
            <v:imagedata r:id="rId14485" o:title=""/>
          </v:shape>
          <o:OLEObject Type="Embed" ProgID="Equation.DSMT4" ShapeID="_x0000_i8199" DrawAspect="Content" ObjectID="_1791382142" r:id="rId14486"/>
        </w:object>
      </w:r>
    </w:p>
    <w:p w14:paraId="42A6931E" w14:textId="77777777" w:rsidR="00556C10" w:rsidRPr="005C611F" w:rsidRDefault="00556C10" w:rsidP="00556C10">
      <w:pPr>
        <w:tabs>
          <w:tab w:val="left" w:pos="90"/>
        </w:tabs>
        <w:bidi w:val="0"/>
        <w:spacing w:line="216" w:lineRule="auto"/>
        <w:rPr>
          <w:i/>
          <w:sz w:val="23"/>
          <w:szCs w:val="23"/>
        </w:rPr>
      </w:pPr>
      <w:r w:rsidRPr="00F4704A">
        <w:rPr>
          <w:position w:val="-30"/>
        </w:rPr>
        <w:object w:dxaOrig="2180" w:dyaOrig="740" w14:anchorId="680959C4">
          <v:shape id="_x0000_i8200" type="#_x0000_t75" style="width:108.9pt;height:36.9pt" o:ole="">
            <v:imagedata r:id="rId14487" o:title=""/>
          </v:shape>
          <o:OLEObject Type="Embed" ProgID="Equation.DSMT4" ShapeID="_x0000_i8200" DrawAspect="Content" ObjectID="_1791382143" r:id="rId14488"/>
        </w:object>
      </w:r>
    </w:p>
    <w:p w14:paraId="0B66C057" w14:textId="77777777" w:rsidR="00556C10" w:rsidRPr="005C611F" w:rsidRDefault="00556C10" w:rsidP="00556C10">
      <w:pPr>
        <w:tabs>
          <w:tab w:val="left" w:pos="90"/>
        </w:tabs>
        <w:spacing w:line="216" w:lineRule="auto"/>
        <w:rPr>
          <w:i/>
          <w:sz w:val="23"/>
          <w:szCs w:val="23"/>
        </w:rPr>
      </w:pPr>
      <w:r w:rsidRPr="005C611F">
        <w:rPr>
          <w:rFonts w:hint="cs"/>
          <w:i/>
          <w:sz w:val="23"/>
          <w:szCs w:val="23"/>
          <w:rtl/>
        </w:rPr>
        <w:t>و</w:t>
      </w:r>
    </w:p>
    <w:p w14:paraId="7FED864B" w14:textId="77777777" w:rsidR="00556C10" w:rsidRPr="005C611F" w:rsidRDefault="00556C10" w:rsidP="00556C10">
      <w:pPr>
        <w:tabs>
          <w:tab w:val="left" w:pos="90"/>
        </w:tabs>
        <w:bidi w:val="0"/>
        <w:spacing w:line="216" w:lineRule="auto"/>
        <w:rPr>
          <w:i/>
          <w:sz w:val="23"/>
          <w:szCs w:val="23"/>
        </w:rPr>
      </w:pPr>
      <w:r w:rsidRPr="00F4704A">
        <w:rPr>
          <w:position w:val="-12"/>
        </w:rPr>
        <w:object w:dxaOrig="1240" w:dyaOrig="360" w14:anchorId="49C5A7E4">
          <v:shape id="_x0000_i8201" type="#_x0000_t75" style="width:61.7pt;height:18.15pt" o:ole="">
            <v:imagedata r:id="rId14489" o:title=""/>
          </v:shape>
          <o:OLEObject Type="Embed" ProgID="Equation.DSMT4" ShapeID="_x0000_i8201" DrawAspect="Content" ObjectID="_1791382144" r:id="rId14490"/>
        </w:object>
      </w:r>
    </w:p>
    <w:p w14:paraId="5645F065" w14:textId="77777777" w:rsidR="00556C10" w:rsidRPr="005C611F" w:rsidRDefault="00556C10" w:rsidP="00556C10">
      <w:pPr>
        <w:tabs>
          <w:tab w:val="left" w:pos="90"/>
        </w:tabs>
        <w:spacing w:line="216" w:lineRule="auto"/>
        <w:rPr>
          <w:i/>
          <w:sz w:val="23"/>
          <w:szCs w:val="23"/>
        </w:rPr>
      </w:pPr>
      <w:r w:rsidRPr="005C611F">
        <w:rPr>
          <w:rFonts w:hint="cs"/>
          <w:i/>
          <w:sz w:val="23"/>
          <w:szCs w:val="23"/>
          <w:rtl/>
        </w:rPr>
        <w:t xml:space="preserve">که در آن </w:t>
      </w:r>
      <w:r w:rsidRPr="00F4704A">
        <w:rPr>
          <w:position w:val="-10"/>
        </w:rPr>
        <w:object w:dxaOrig="300" w:dyaOrig="340" w14:anchorId="3EC6C10D">
          <v:shape id="_x0000_i8202" type="#_x0000_t75" style="width:14.5pt;height:16.95pt" o:ole="">
            <v:imagedata r:id="rId14491" o:title=""/>
          </v:shape>
          <o:OLEObject Type="Embed" ProgID="Equation.DSMT4" ShapeID="_x0000_i8202" DrawAspect="Content" ObjectID="_1791382145" r:id="rId14492"/>
        </w:object>
      </w:r>
      <w:r w:rsidRPr="005C611F">
        <w:rPr>
          <w:rFonts w:hint="cs"/>
          <w:i/>
          <w:sz w:val="23"/>
          <w:szCs w:val="23"/>
          <w:rtl/>
        </w:rPr>
        <w:t xml:space="preserve"> یک شوک مستقل و با توزیع یکسان می‌باشد.</w:t>
      </w:r>
    </w:p>
    <w:p w14:paraId="542423FD"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نتیجه‌ی حداکثرسازی برای دستمزد مجدداً بهینه</w:t>
      </w:r>
      <w:r w:rsidRPr="005C611F">
        <w:rPr>
          <w:i/>
          <w:sz w:val="23"/>
          <w:szCs w:val="23"/>
          <w:rtl/>
        </w:rPr>
        <w:softHyphen/>
      </w:r>
      <w:r w:rsidRPr="005C611F">
        <w:rPr>
          <w:rFonts w:hint="cs"/>
          <w:i/>
          <w:sz w:val="23"/>
          <w:szCs w:val="23"/>
          <w:rtl/>
        </w:rPr>
        <w:t>سازی شده، معادله</w:t>
      </w:r>
      <w:r w:rsidRPr="005C611F">
        <w:rPr>
          <w:i/>
          <w:sz w:val="23"/>
          <w:szCs w:val="23"/>
          <w:rtl/>
        </w:rPr>
        <w:softHyphen/>
      </w:r>
      <w:r w:rsidRPr="005C611F">
        <w:rPr>
          <w:rFonts w:hint="cs"/>
          <w:i/>
          <w:sz w:val="23"/>
          <w:szCs w:val="23"/>
          <w:rtl/>
        </w:rPr>
        <w:t>ی زیر می‌باشد</w:t>
      </w:r>
    </w:p>
    <w:p w14:paraId="09857DD3" w14:textId="77777777" w:rsidR="00556C10" w:rsidRPr="005C611F" w:rsidRDefault="00556C10" w:rsidP="00556C10">
      <w:pPr>
        <w:tabs>
          <w:tab w:val="left" w:pos="90"/>
        </w:tabs>
        <w:bidi w:val="0"/>
        <w:spacing w:line="216" w:lineRule="auto"/>
        <w:rPr>
          <w:i/>
          <w:sz w:val="23"/>
          <w:szCs w:val="23"/>
        </w:rPr>
      </w:pPr>
      <w:r w:rsidRPr="00F4704A">
        <w:rPr>
          <w:position w:val="-30"/>
        </w:rPr>
        <w:object w:dxaOrig="5420" w:dyaOrig="740" w14:anchorId="69E8E6C9">
          <v:shape id="_x0000_i8203" type="#_x0000_t75" style="width:270.45pt;height:36.9pt" o:ole="">
            <v:imagedata r:id="rId14493" o:title=""/>
          </v:shape>
          <o:OLEObject Type="Embed" ProgID="Equation.DSMT4" ShapeID="_x0000_i8203" DrawAspect="Content" ObjectID="_1791382146" r:id="rId14494"/>
        </w:object>
      </w:r>
    </w:p>
    <w:p w14:paraId="6138C41E"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که در آن</w:t>
      </w:r>
      <w:r w:rsidRPr="00F4704A">
        <w:rPr>
          <w:position w:val="-10"/>
        </w:rPr>
        <w:object w:dxaOrig="260" w:dyaOrig="320" w14:anchorId="26EAAFC5">
          <v:shape id="_x0000_i8204" type="#_x0000_t75" style="width:13.3pt;height:15.75pt" o:ole="">
            <v:imagedata r:id="rId14495" o:title=""/>
          </v:shape>
          <o:OLEObject Type="Embed" ProgID="Equation.DSMT4" ShapeID="_x0000_i8204" DrawAspect="Content" ObjectID="_1791382147" r:id="rId14496"/>
        </w:object>
      </w:r>
      <w:r w:rsidRPr="005C611F">
        <w:rPr>
          <w:rFonts w:hint="cs"/>
          <w:i/>
          <w:sz w:val="23"/>
          <w:szCs w:val="23"/>
          <w:rtl/>
        </w:rPr>
        <w:t xml:space="preserve"> دستمزد اسمی‌ بهینه‌ی جدید است و اگر دستمزدها کاملاً انعطاف</w:t>
      </w:r>
      <w:r w:rsidRPr="005C611F">
        <w:rPr>
          <w:i/>
          <w:sz w:val="23"/>
          <w:szCs w:val="23"/>
          <w:rtl/>
        </w:rPr>
        <w:softHyphen/>
      </w:r>
      <w:r w:rsidRPr="005C611F">
        <w:rPr>
          <w:rFonts w:hint="cs"/>
          <w:i/>
          <w:sz w:val="23"/>
          <w:szCs w:val="23"/>
          <w:rtl/>
        </w:rPr>
        <w:t xml:space="preserve">پذیر باشند </w:t>
      </w:r>
      <w:r w:rsidRPr="00F4704A">
        <w:rPr>
          <w:position w:val="-10"/>
        </w:rPr>
        <w:object w:dxaOrig="620" w:dyaOrig="320" w14:anchorId="1465F0FC">
          <v:shape id="_x0000_i8205" type="#_x0000_t75" style="width:31.45pt;height:15.75pt" o:ole="">
            <v:imagedata r:id="rId14497" o:title=""/>
          </v:shape>
          <o:OLEObject Type="Embed" ProgID="Equation.DSMT4" ShapeID="_x0000_i8205" DrawAspect="Content" ObjectID="_1791382148" r:id="rId14498"/>
        </w:object>
      </w:r>
      <w:r w:rsidRPr="005C611F">
        <w:rPr>
          <w:rFonts w:hint="cs"/>
          <w:i/>
          <w:sz w:val="23"/>
          <w:szCs w:val="23"/>
          <w:rtl/>
        </w:rPr>
        <w:t xml:space="preserve"> است. دستمزد حقیقی، یک اضافه بها به اندازه</w:t>
      </w:r>
      <w:r w:rsidRPr="005C611F">
        <w:rPr>
          <w:i/>
          <w:sz w:val="23"/>
          <w:szCs w:val="23"/>
          <w:rtl/>
        </w:rPr>
        <w:softHyphen/>
      </w:r>
      <w:r w:rsidRPr="005C611F">
        <w:rPr>
          <w:rFonts w:hint="cs"/>
          <w:i/>
          <w:sz w:val="23"/>
          <w:szCs w:val="23"/>
          <w:rtl/>
        </w:rPr>
        <w:t xml:space="preserve">ی </w:t>
      </w:r>
      <w:r w:rsidRPr="00F4704A">
        <w:rPr>
          <w:position w:val="-12"/>
        </w:rPr>
        <w:object w:dxaOrig="639" w:dyaOrig="340" w14:anchorId="25DAB3EA">
          <v:shape id="_x0000_i8206" type="#_x0000_t75" style="width:32.05pt;height:16.95pt" o:ole="">
            <v:imagedata r:id="rId14499" o:title=""/>
          </v:shape>
          <o:OLEObject Type="Embed" ProgID="Equation.DSMT4" ShapeID="_x0000_i8206" DrawAspect="Content" ObjectID="_1791382149" r:id="rId14500"/>
        </w:object>
      </w:r>
      <w:r w:rsidRPr="005C611F">
        <w:rPr>
          <w:rFonts w:hint="cs"/>
          <w:i/>
          <w:sz w:val="23"/>
          <w:szCs w:val="23"/>
          <w:rtl/>
        </w:rPr>
        <w:t xml:space="preserve"> بیش از نسبت جاری عدم مطلوبیت نهایی کار به مطلوبیت نهایی یک واحد اضافی از مصرف است. در نتیجه دستمزد کل برابر خواهد بود با</w:t>
      </w:r>
    </w:p>
    <w:p w14:paraId="59C8A324" w14:textId="77777777" w:rsidR="00556C10" w:rsidRPr="005C611F" w:rsidRDefault="00556C10" w:rsidP="00556C10">
      <w:pPr>
        <w:tabs>
          <w:tab w:val="left" w:pos="90"/>
        </w:tabs>
        <w:bidi w:val="0"/>
        <w:spacing w:line="216" w:lineRule="auto"/>
        <w:rPr>
          <w:i/>
          <w:sz w:val="23"/>
          <w:szCs w:val="23"/>
          <w:rtl/>
        </w:rPr>
      </w:pPr>
      <w:r w:rsidRPr="00F4704A">
        <w:rPr>
          <w:position w:val="-36"/>
        </w:rPr>
        <w:object w:dxaOrig="3879" w:dyaOrig="859" w14:anchorId="5234CC9B">
          <v:shape id="_x0000_i8207" type="#_x0000_t75" style="width:194.2pt;height:42.95pt" o:ole="">
            <v:imagedata r:id="rId14501" o:title=""/>
          </v:shape>
          <o:OLEObject Type="Embed" ProgID="Equation.DSMT4" ShapeID="_x0000_i8207" DrawAspect="Content" ObjectID="_1791382150" r:id="rId14502"/>
        </w:object>
      </w:r>
    </w:p>
    <w:p w14:paraId="012779AB"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lastRenderedPageBreak/>
        <w:t>خانوار، که صاحبان بنگاه می‌باشند، موجودی سرمایه و سرمایه</w:t>
      </w:r>
      <w:r w:rsidRPr="005C611F">
        <w:rPr>
          <w:i/>
          <w:sz w:val="23"/>
          <w:szCs w:val="23"/>
          <w:rtl/>
        </w:rPr>
        <w:softHyphen/>
      </w:r>
      <w:r w:rsidRPr="005C611F">
        <w:rPr>
          <w:rFonts w:hint="cs"/>
          <w:i/>
          <w:sz w:val="23"/>
          <w:szCs w:val="23"/>
          <w:rtl/>
        </w:rPr>
        <w:t>گذاری را به منظور حداکثر کردن مطلوبیت بین دوره</w:t>
      </w:r>
      <w:r w:rsidRPr="005C611F">
        <w:rPr>
          <w:i/>
          <w:sz w:val="23"/>
          <w:szCs w:val="23"/>
          <w:rtl/>
        </w:rPr>
        <w:softHyphen/>
      </w:r>
      <w:r w:rsidRPr="005C611F">
        <w:rPr>
          <w:rFonts w:hint="cs"/>
          <w:i/>
          <w:sz w:val="23"/>
          <w:szCs w:val="23"/>
          <w:rtl/>
        </w:rPr>
        <w:t>ای و نسبت به قید بودجه و قید انباشت سرمایه‌ی، انتخاب نموده تا در آن:</w:t>
      </w:r>
    </w:p>
    <w:p w14:paraId="62734393" w14:textId="77777777" w:rsidR="00556C10" w:rsidRPr="005C611F" w:rsidRDefault="00556C10" w:rsidP="00556C10">
      <w:pPr>
        <w:tabs>
          <w:tab w:val="left" w:pos="90"/>
        </w:tabs>
        <w:bidi w:val="0"/>
        <w:spacing w:line="216" w:lineRule="auto"/>
        <w:rPr>
          <w:i/>
          <w:sz w:val="23"/>
          <w:szCs w:val="23"/>
          <w:rtl/>
        </w:rPr>
      </w:pPr>
      <w:r w:rsidRPr="00F4704A">
        <w:rPr>
          <w:position w:val="-28"/>
        </w:rPr>
        <w:object w:dxaOrig="2240" w:dyaOrig="660" w14:anchorId="4E9A43C7">
          <v:shape id="_x0000_i8208" type="#_x0000_t75" style="width:111.95pt;height:32.65pt" o:ole="">
            <v:imagedata r:id="rId14503" o:title=""/>
          </v:shape>
          <o:OLEObject Type="Embed" ProgID="Equation.DSMT4" ShapeID="_x0000_i8208" DrawAspect="Content" ObjectID="_1791382151" r:id="rId14504"/>
        </w:object>
      </w:r>
      <w:r w:rsidRPr="005C611F">
        <w:rPr>
          <w:rFonts w:hint="cs"/>
          <w:i/>
          <w:sz w:val="23"/>
          <w:szCs w:val="23"/>
          <w:rtl/>
        </w:rPr>
        <w:t xml:space="preserve"> </w:t>
      </w:r>
    </w:p>
    <w:p w14:paraId="7AF44FEB" w14:textId="77777777" w:rsidR="00556C10" w:rsidRPr="005C611F" w:rsidRDefault="00556C10" w:rsidP="00556C10">
      <w:pPr>
        <w:tabs>
          <w:tab w:val="left" w:pos="90"/>
        </w:tabs>
        <w:spacing w:line="216" w:lineRule="auto"/>
        <w:rPr>
          <w:i/>
          <w:sz w:val="23"/>
          <w:szCs w:val="23"/>
          <w:rtl/>
        </w:rPr>
      </w:pPr>
      <w:r w:rsidRPr="005C611F">
        <w:rPr>
          <w:rFonts w:eastAsiaTheme="minorHAnsi" w:hint="cs"/>
          <w:i/>
          <w:sz w:val="23"/>
          <w:szCs w:val="23"/>
          <w:rtl/>
        </w:rPr>
        <w:t>که در آن</w:t>
      </w:r>
      <w:r w:rsidRPr="00F4704A">
        <w:rPr>
          <w:position w:val="-30"/>
        </w:rPr>
        <w:object w:dxaOrig="780" w:dyaOrig="700" w14:anchorId="0F271199">
          <v:shape id="_x0000_i8209" type="#_x0000_t75" style="width:39.35pt;height:35.1pt" o:ole="">
            <v:imagedata r:id="rId14505" o:title=""/>
          </v:shape>
          <o:OLEObject Type="Embed" ProgID="Equation.DSMT4" ShapeID="_x0000_i8209" DrawAspect="Content" ObjectID="_1791382152" r:id="rId14506"/>
        </w:object>
      </w:r>
      <w:r w:rsidRPr="005C611F">
        <w:rPr>
          <w:rFonts w:hint="cs"/>
          <w:i/>
          <w:sz w:val="23"/>
          <w:szCs w:val="23"/>
          <w:rtl/>
        </w:rPr>
        <w:t xml:space="preserve"> تابع هزینه‌ی تعدیل، و</w:t>
      </w:r>
      <w:r w:rsidRPr="00F4704A">
        <w:rPr>
          <w:position w:val="-10"/>
        </w:rPr>
        <w:object w:dxaOrig="260" w:dyaOrig="340" w14:anchorId="68DAC810">
          <v:shape id="_x0000_i8210" type="#_x0000_t75" style="width:13.3pt;height:16.95pt" o:ole="">
            <v:imagedata r:id="rId14507" o:title=""/>
          </v:shape>
          <o:OLEObject Type="Embed" ProgID="Equation.DSMT4" ShapeID="_x0000_i8210" DrawAspect="Content" ObjectID="_1791382153" r:id="rId14508"/>
        </w:object>
      </w:r>
      <w:r w:rsidRPr="005C611F">
        <w:rPr>
          <w:rFonts w:hint="cs"/>
          <w:i/>
          <w:sz w:val="23"/>
          <w:szCs w:val="23"/>
          <w:rtl/>
        </w:rPr>
        <w:t xml:space="preserve"> موجودی سرمایه</w:t>
      </w:r>
      <w:r w:rsidRPr="005C611F">
        <w:rPr>
          <w:i/>
          <w:sz w:val="23"/>
          <w:szCs w:val="23"/>
          <w:rtl/>
        </w:rPr>
        <w:softHyphen/>
      </w:r>
      <w:r w:rsidRPr="005C611F">
        <w:rPr>
          <w:rFonts w:hint="cs"/>
          <w:i/>
          <w:sz w:val="23"/>
          <w:szCs w:val="23"/>
          <w:rtl/>
        </w:rPr>
        <w:t>گذاری است که بوسیله</w:t>
      </w:r>
      <w:r w:rsidRPr="005C611F">
        <w:rPr>
          <w:i/>
          <w:sz w:val="23"/>
          <w:szCs w:val="23"/>
          <w:rtl/>
        </w:rPr>
        <w:softHyphen/>
      </w:r>
      <w:r w:rsidRPr="005C611F">
        <w:rPr>
          <w:rFonts w:hint="cs"/>
          <w:i/>
          <w:sz w:val="23"/>
          <w:szCs w:val="23"/>
          <w:rtl/>
        </w:rPr>
        <w:t>ی تابع خود همبسته</w:t>
      </w:r>
      <w:r w:rsidRPr="005C611F">
        <w:rPr>
          <w:i/>
          <w:sz w:val="23"/>
          <w:szCs w:val="23"/>
          <w:rtl/>
        </w:rPr>
        <w:softHyphen/>
      </w:r>
      <w:r w:rsidRPr="005C611F">
        <w:rPr>
          <w:rFonts w:hint="cs"/>
          <w:i/>
          <w:sz w:val="23"/>
          <w:szCs w:val="23"/>
          <w:rtl/>
        </w:rPr>
        <w:t>ی زیر تعیین می‌شود</w:t>
      </w:r>
    </w:p>
    <w:p w14:paraId="09AAD6CC" w14:textId="77777777" w:rsidR="00556C10" w:rsidRPr="005C611F" w:rsidRDefault="00556C10" w:rsidP="00556C10">
      <w:pPr>
        <w:tabs>
          <w:tab w:val="left" w:pos="90"/>
        </w:tabs>
        <w:bidi w:val="0"/>
        <w:spacing w:line="216" w:lineRule="auto"/>
        <w:rPr>
          <w:i/>
          <w:sz w:val="23"/>
          <w:szCs w:val="23"/>
          <w:rtl/>
        </w:rPr>
      </w:pPr>
      <w:r w:rsidRPr="00F4704A">
        <w:rPr>
          <w:position w:val="-10"/>
        </w:rPr>
        <w:object w:dxaOrig="1280" w:dyaOrig="340" w14:anchorId="2C39F178">
          <v:shape id="_x0000_i8211" type="#_x0000_t75" style="width:64.15pt;height:16.95pt" o:ole="">
            <v:imagedata r:id="rId14509" o:title=""/>
          </v:shape>
          <o:OLEObject Type="Embed" ProgID="Equation.DSMT4" ShapeID="_x0000_i8211" DrawAspect="Content" ObjectID="_1791382154" r:id="rId14510"/>
        </w:object>
      </w:r>
    </w:p>
    <w:p w14:paraId="79FEFD4A"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با استفاده از شرط مرتبه اول داریم</w:t>
      </w:r>
    </w:p>
    <w:p w14:paraId="4647EE07" w14:textId="77777777" w:rsidR="00556C10" w:rsidRPr="005C611F" w:rsidRDefault="00556C10" w:rsidP="00556C10">
      <w:pPr>
        <w:tabs>
          <w:tab w:val="left" w:pos="90"/>
        </w:tabs>
        <w:bidi w:val="0"/>
        <w:spacing w:line="216" w:lineRule="auto"/>
        <w:rPr>
          <w:rFonts w:eastAsiaTheme="minorHAnsi" w:cstheme="minorBidi"/>
          <w:i/>
          <w:sz w:val="23"/>
          <w:szCs w:val="23"/>
          <w:rtl/>
        </w:rPr>
      </w:pPr>
      <w:r w:rsidRPr="00F4704A">
        <w:rPr>
          <w:position w:val="-30"/>
        </w:rPr>
        <w:object w:dxaOrig="4200" w:dyaOrig="700" w14:anchorId="45F15266">
          <v:shape id="_x0000_i8212" type="#_x0000_t75" style="width:209.95pt;height:35.1pt" o:ole="">
            <v:imagedata r:id="rId14511" o:title=""/>
          </v:shape>
          <o:OLEObject Type="Embed" ProgID="Equation.DSMT4" ShapeID="_x0000_i8212" DrawAspect="Content" ObjectID="_1791382155" r:id="rId14512"/>
        </w:object>
      </w:r>
    </w:p>
    <w:p w14:paraId="50835CFB" w14:textId="77777777" w:rsidR="00556C10" w:rsidRPr="005C611F" w:rsidRDefault="00556C10" w:rsidP="00556C10">
      <w:pPr>
        <w:tabs>
          <w:tab w:val="left" w:pos="90"/>
        </w:tabs>
        <w:bidi w:val="0"/>
        <w:spacing w:line="216" w:lineRule="auto"/>
        <w:rPr>
          <w:i/>
          <w:sz w:val="23"/>
          <w:szCs w:val="23"/>
        </w:rPr>
      </w:pPr>
      <w:r w:rsidRPr="00F4704A">
        <w:rPr>
          <w:position w:val="-48"/>
        </w:rPr>
        <w:object w:dxaOrig="5240" w:dyaOrig="1060" w14:anchorId="55F2E9AC">
          <v:shape id="_x0000_i8213" type="#_x0000_t75" style="width:262pt;height:53.25pt" o:ole="">
            <v:imagedata r:id="rId14513" o:title=""/>
          </v:shape>
          <o:OLEObject Type="Embed" ProgID="Equation.DSMT4" ShapeID="_x0000_i8213" DrawAspect="Content" ObjectID="_1791382156" r:id="rId14514"/>
        </w:object>
      </w:r>
    </w:p>
    <w:p w14:paraId="5A92EC3D"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که در آن </w:t>
      </w:r>
      <w:r w:rsidRPr="00F4704A">
        <w:rPr>
          <w:position w:val="-10"/>
        </w:rPr>
        <w:object w:dxaOrig="260" w:dyaOrig="320" w14:anchorId="62FB446C">
          <v:shape id="_x0000_i8214" type="#_x0000_t75" style="width:13.3pt;height:15.75pt" o:ole="">
            <v:imagedata r:id="rId14515" o:title=""/>
          </v:shape>
          <o:OLEObject Type="Embed" ProgID="Equation.DSMT4" ShapeID="_x0000_i8214" DrawAspect="Content" ObjectID="_1791382157" r:id="rId14516"/>
        </w:object>
      </w:r>
      <w:r w:rsidRPr="005C611F">
        <w:rPr>
          <w:rFonts w:hint="cs"/>
          <w:i/>
          <w:sz w:val="23"/>
          <w:szCs w:val="23"/>
          <w:rtl/>
        </w:rPr>
        <w:t xml:space="preserve"> ارزش سرمایه‌ی نصب شده می‌باشد.</w:t>
      </w:r>
    </w:p>
    <w:p w14:paraId="517DBEF2" w14:textId="77777777" w:rsidR="00556C10" w:rsidRPr="005C611F" w:rsidRDefault="00556C10" w:rsidP="00556C10">
      <w:pPr>
        <w:tabs>
          <w:tab w:val="left" w:pos="90"/>
        </w:tabs>
        <w:spacing w:line="216" w:lineRule="auto"/>
        <w:rPr>
          <w:i/>
          <w:sz w:val="23"/>
          <w:szCs w:val="23"/>
          <w:rtl/>
        </w:rPr>
      </w:pPr>
    </w:p>
    <w:p w14:paraId="60131B22" w14:textId="77777777" w:rsidR="00556C10" w:rsidRPr="005C611F" w:rsidRDefault="00556C10" w:rsidP="00556C10">
      <w:pPr>
        <w:tabs>
          <w:tab w:val="left" w:pos="90"/>
        </w:tabs>
        <w:spacing w:line="216" w:lineRule="auto"/>
        <w:rPr>
          <w:i/>
          <w:sz w:val="23"/>
          <w:szCs w:val="23"/>
          <w:rtl/>
        </w:rPr>
      </w:pPr>
      <w:r w:rsidRPr="005C611F">
        <w:rPr>
          <w:rFonts w:hint="cs"/>
          <w:bCs/>
          <w:i/>
          <w:sz w:val="23"/>
          <w:szCs w:val="23"/>
          <w:rtl/>
        </w:rPr>
        <w:t>بنگاه</w:t>
      </w:r>
      <w:r w:rsidRPr="005C611F">
        <w:rPr>
          <w:rFonts w:hint="cs"/>
          <w:i/>
          <w:sz w:val="23"/>
          <w:szCs w:val="23"/>
          <w:rtl/>
        </w:rPr>
        <w:t>:</w:t>
      </w:r>
    </w:p>
    <w:p w14:paraId="5804E3A8"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در این مدل فرض می</w:t>
      </w:r>
      <w:r w:rsidRPr="005C611F">
        <w:rPr>
          <w:i/>
          <w:sz w:val="23"/>
          <w:szCs w:val="23"/>
          <w:rtl/>
        </w:rPr>
        <w:softHyphen/>
      </w:r>
      <w:r w:rsidRPr="005C611F">
        <w:rPr>
          <w:rFonts w:hint="cs"/>
          <w:i/>
          <w:sz w:val="23"/>
          <w:szCs w:val="23"/>
          <w:rtl/>
        </w:rPr>
        <w:t>شود که یک کالای رقابتی منفرد، و یک زنجیره</w:t>
      </w:r>
      <w:r w:rsidRPr="005C611F">
        <w:rPr>
          <w:i/>
          <w:sz w:val="23"/>
          <w:szCs w:val="23"/>
          <w:rtl/>
        </w:rPr>
        <w:softHyphen/>
      </w:r>
      <w:r w:rsidRPr="005C611F">
        <w:rPr>
          <w:rFonts w:hint="cs"/>
          <w:i/>
          <w:sz w:val="23"/>
          <w:szCs w:val="23"/>
          <w:rtl/>
        </w:rPr>
        <w:t>ای از کالاهای واسطه</w:t>
      </w:r>
      <w:r w:rsidRPr="005C611F">
        <w:rPr>
          <w:i/>
          <w:sz w:val="23"/>
          <w:szCs w:val="23"/>
          <w:rtl/>
        </w:rPr>
        <w:softHyphen/>
      </w:r>
      <w:r w:rsidRPr="005C611F">
        <w:rPr>
          <w:rFonts w:hint="cs"/>
          <w:i/>
          <w:sz w:val="23"/>
          <w:szCs w:val="23"/>
          <w:rtl/>
        </w:rPr>
        <w:t xml:space="preserve">ای و به صورت انحصاری تولید شده که با </w:t>
      </w:r>
      <w:r w:rsidRPr="005C611F">
        <w:rPr>
          <w:i/>
          <w:sz w:val="23"/>
          <w:szCs w:val="23"/>
        </w:rPr>
        <w:t>j</w:t>
      </w:r>
      <w:r w:rsidRPr="005C611F">
        <w:rPr>
          <w:rFonts w:hint="cs"/>
          <w:i/>
          <w:sz w:val="23"/>
          <w:szCs w:val="23"/>
          <w:rtl/>
        </w:rPr>
        <w:t xml:space="preserve"> نشان داده می‌شود و</w:t>
      </w:r>
      <w:r w:rsidRPr="00F4704A">
        <w:rPr>
          <w:position w:val="-12"/>
        </w:rPr>
        <w:object w:dxaOrig="940" w:dyaOrig="360" w14:anchorId="5C7CD460">
          <v:shape id="_x0000_i8215" type="#_x0000_t75" style="width:47.2pt;height:18.15pt" o:ole="">
            <v:imagedata r:id="rId14517" o:title=""/>
          </v:shape>
          <o:OLEObject Type="Embed" ProgID="Equation.DSMT4" ShapeID="_x0000_i8215" DrawAspect="Content" ObjectID="_1791382158" r:id="rId14518"/>
        </w:object>
      </w:r>
      <w:r w:rsidRPr="005C611F">
        <w:rPr>
          <w:rFonts w:hint="cs"/>
          <w:sz w:val="23"/>
          <w:szCs w:val="23"/>
          <w:rtl/>
        </w:rPr>
        <w:t xml:space="preserve"> وجود دارد</w:t>
      </w:r>
      <w:r w:rsidRPr="005C611F">
        <w:rPr>
          <w:rFonts w:hint="cs"/>
          <w:i/>
          <w:sz w:val="23"/>
          <w:szCs w:val="23"/>
          <w:rtl/>
        </w:rPr>
        <w:t>. همچنین کالای نهایی به وسیله</w:t>
      </w:r>
      <w:r w:rsidRPr="005C611F">
        <w:rPr>
          <w:i/>
          <w:sz w:val="23"/>
          <w:szCs w:val="23"/>
          <w:rtl/>
        </w:rPr>
        <w:softHyphen/>
      </w:r>
      <w:r w:rsidRPr="005C611F">
        <w:rPr>
          <w:rFonts w:hint="cs"/>
          <w:i/>
          <w:sz w:val="23"/>
          <w:szCs w:val="23"/>
          <w:rtl/>
        </w:rPr>
        <w:t>ی کالاهای واسطه تولید می‌شود، یعنی</w:t>
      </w:r>
    </w:p>
    <w:p w14:paraId="4E9E8AFB" w14:textId="77777777" w:rsidR="00556C10" w:rsidRPr="005C611F" w:rsidRDefault="00556C10" w:rsidP="00556C10">
      <w:pPr>
        <w:tabs>
          <w:tab w:val="left" w:pos="90"/>
        </w:tabs>
        <w:bidi w:val="0"/>
        <w:spacing w:line="216" w:lineRule="auto"/>
        <w:rPr>
          <w:i/>
          <w:sz w:val="23"/>
          <w:szCs w:val="23"/>
          <w:rtl/>
        </w:rPr>
      </w:pPr>
      <w:r w:rsidRPr="00F4704A">
        <w:rPr>
          <w:position w:val="-22"/>
        </w:rPr>
        <w:object w:dxaOrig="2260" w:dyaOrig="600" w14:anchorId="3BEC4B5B">
          <v:shape id="_x0000_i8216" type="#_x0000_t75" style="width:113.15pt;height:29.65pt" o:ole="">
            <v:imagedata r:id="rId14519" o:title=""/>
          </v:shape>
          <o:OLEObject Type="Embed" ProgID="Equation.DSMT4" ShapeID="_x0000_i8216" DrawAspect="Content" ObjectID="_1791382159" r:id="rId14520"/>
        </w:object>
      </w:r>
      <w:r w:rsidRPr="005C611F">
        <w:rPr>
          <w:rFonts w:hint="cs"/>
          <w:i/>
          <w:sz w:val="23"/>
          <w:szCs w:val="23"/>
          <w:rtl/>
        </w:rPr>
        <w:t xml:space="preserve"> </w:t>
      </w:r>
    </w:p>
    <w:p w14:paraId="3346AF0D"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که در آن</w:t>
      </w:r>
      <w:r w:rsidRPr="00F4704A">
        <w:rPr>
          <w:position w:val="-10"/>
        </w:rPr>
        <w:object w:dxaOrig="260" w:dyaOrig="340" w14:anchorId="7313ABC9">
          <v:shape id="_x0000_i8217" type="#_x0000_t75" style="width:13.3pt;height:16.95pt" o:ole="">
            <v:imagedata r:id="rId14521" o:title=""/>
          </v:shape>
          <o:OLEObject Type="Embed" ProgID="Equation.DSMT4" ShapeID="_x0000_i8217" DrawAspect="Content" ObjectID="_1791382160" r:id="rId14522"/>
        </w:object>
      </w:r>
      <w:r w:rsidRPr="005C611F">
        <w:rPr>
          <w:rFonts w:hint="cs"/>
          <w:i/>
          <w:sz w:val="23"/>
          <w:szCs w:val="23"/>
          <w:rtl/>
        </w:rPr>
        <w:t xml:space="preserve"> کالای واسطه و</w:t>
      </w:r>
      <w:r w:rsidRPr="005C611F">
        <w:rPr>
          <w:i/>
          <w:sz w:val="23"/>
          <w:szCs w:val="23"/>
        </w:rPr>
        <w:t xml:space="preserve"> </w:t>
      </w:r>
      <w:r w:rsidRPr="00F4704A">
        <w:rPr>
          <w:position w:val="-10"/>
        </w:rPr>
        <w:object w:dxaOrig="220" w:dyaOrig="320" w14:anchorId="54B23408">
          <v:shape id="_x0000_i8218" type="#_x0000_t75" style="width:10.9pt;height:15.75pt" o:ole="">
            <v:imagedata r:id="rId14523" o:title=""/>
          </v:shape>
          <o:OLEObject Type="Embed" ProgID="Equation.DSMT4" ShapeID="_x0000_i8218" DrawAspect="Content" ObjectID="_1791382161" r:id="rId14524"/>
        </w:object>
      </w:r>
      <w:r w:rsidRPr="005C611F">
        <w:rPr>
          <w:rFonts w:hint="cs"/>
          <w:i/>
          <w:sz w:val="23"/>
          <w:szCs w:val="23"/>
          <w:rtl/>
        </w:rPr>
        <w:t xml:space="preserve"> افزایش نرخی</w:t>
      </w:r>
      <w:r w:rsidRPr="005C611F">
        <w:rPr>
          <w:i/>
          <w:sz w:val="23"/>
          <w:szCs w:val="23"/>
        </w:rPr>
        <w:t xml:space="preserve"> </w:t>
      </w:r>
      <w:r w:rsidRPr="005C611F">
        <w:rPr>
          <w:rFonts w:hint="cs"/>
          <w:i/>
          <w:sz w:val="23"/>
          <w:szCs w:val="23"/>
          <w:rtl/>
        </w:rPr>
        <w:t>است که بوسیله‌ی رابطه‌ی زیر بوجود می‌آید</w:t>
      </w:r>
    </w:p>
    <w:p w14:paraId="39B666D5" w14:textId="77777777" w:rsidR="00556C10" w:rsidRPr="005C611F" w:rsidRDefault="00556C10" w:rsidP="00556C10">
      <w:pPr>
        <w:tabs>
          <w:tab w:val="left" w:pos="90"/>
        </w:tabs>
        <w:bidi w:val="0"/>
        <w:spacing w:line="216" w:lineRule="auto"/>
        <w:rPr>
          <w:i/>
          <w:sz w:val="23"/>
          <w:szCs w:val="23"/>
          <w:rtl/>
        </w:rPr>
      </w:pPr>
      <w:r w:rsidRPr="00F4704A">
        <w:rPr>
          <w:position w:val="-14"/>
        </w:rPr>
        <w:object w:dxaOrig="1219" w:dyaOrig="380" w14:anchorId="5382F40B">
          <v:shape id="_x0000_i8219" type="#_x0000_t75" style="width:61.1pt;height:18.75pt" o:ole="">
            <v:imagedata r:id="rId14525" o:title=""/>
          </v:shape>
          <o:OLEObject Type="Embed" ProgID="Equation.DSMT4" ShapeID="_x0000_i8219" DrawAspect="Content" ObjectID="_1791382162" r:id="rId14526"/>
        </w:object>
      </w:r>
    </w:p>
    <w:p w14:paraId="2593BC71"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و در آن </w:t>
      </w:r>
      <w:r w:rsidRPr="00F4704A">
        <w:rPr>
          <w:position w:val="-10"/>
        </w:rPr>
        <w:object w:dxaOrig="279" w:dyaOrig="340" w14:anchorId="61D91B5E">
          <v:shape id="_x0000_i8220" type="#_x0000_t75" style="width:13.9pt;height:16.95pt" o:ole="">
            <v:imagedata r:id="rId14527" o:title=""/>
          </v:shape>
          <o:OLEObject Type="Embed" ProgID="Equation.DSMT4" ShapeID="_x0000_i8220" DrawAspect="Content" ObjectID="_1791382163" r:id="rId14528"/>
        </w:object>
      </w:r>
      <w:r w:rsidRPr="005C611F">
        <w:rPr>
          <w:rFonts w:hint="cs"/>
          <w:i/>
          <w:sz w:val="23"/>
          <w:szCs w:val="23"/>
          <w:rtl/>
        </w:rPr>
        <w:t xml:space="preserve"> یک شوک مستقل با توزیع یکسان است. با حداقل کردن هزینه، تابع تقاضا برای کالاهای واسطه به دست خواهد آمد، لذا</w:t>
      </w:r>
    </w:p>
    <w:p w14:paraId="2FB10455" w14:textId="77777777" w:rsidR="00556C10" w:rsidRPr="005C611F" w:rsidRDefault="00556C10" w:rsidP="00556C10">
      <w:pPr>
        <w:tabs>
          <w:tab w:val="left" w:pos="90"/>
        </w:tabs>
        <w:bidi w:val="0"/>
        <w:spacing w:line="216" w:lineRule="auto"/>
        <w:rPr>
          <w:i/>
          <w:sz w:val="23"/>
          <w:szCs w:val="23"/>
          <w:rtl/>
        </w:rPr>
      </w:pPr>
      <w:r w:rsidRPr="00F4704A">
        <w:rPr>
          <w:position w:val="-28"/>
        </w:rPr>
        <w:object w:dxaOrig="1880" w:dyaOrig="639" w14:anchorId="60FBC907">
          <v:shape id="_x0000_i8221" type="#_x0000_t75" style="width:93.8pt;height:32.05pt" o:ole="">
            <v:imagedata r:id="rId14529" o:title=""/>
          </v:shape>
          <o:OLEObject Type="Embed" ProgID="Equation.DSMT4" ShapeID="_x0000_i8221" DrawAspect="Content" ObjectID="_1791382164" r:id="rId14530"/>
        </w:object>
      </w:r>
      <w:r w:rsidRPr="005C611F">
        <w:rPr>
          <w:rFonts w:hint="cs"/>
          <w:i/>
          <w:sz w:val="23"/>
          <w:szCs w:val="23"/>
          <w:rtl/>
        </w:rPr>
        <w:t xml:space="preserve"> </w:t>
      </w:r>
    </w:p>
    <w:p w14:paraId="34FFFD15"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و سطح قیمت کالاهای نهایی برابر خواهد بود با</w:t>
      </w:r>
    </w:p>
    <w:p w14:paraId="5B9CDE0D" w14:textId="77777777" w:rsidR="00556C10" w:rsidRPr="005C611F" w:rsidRDefault="00556C10" w:rsidP="00556C10">
      <w:pPr>
        <w:tabs>
          <w:tab w:val="left" w:pos="90"/>
        </w:tabs>
        <w:bidi w:val="0"/>
        <w:spacing w:line="216" w:lineRule="auto"/>
        <w:rPr>
          <w:i/>
          <w:sz w:val="23"/>
          <w:szCs w:val="23"/>
        </w:rPr>
      </w:pPr>
      <w:r w:rsidRPr="00F4704A">
        <w:rPr>
          <w:position w:val="-30"/>
        </w:rPr>
        <w:object w:dxaOrig="2160" w:dyaOrig="740" w14:anchorId="365BF041">
          <v:shape id="_x0000_i8222" type="#_x0000_t75" style="width:108.3pt;height:36.9pt" o:ole="">
            <v:imagedata r:id="rId14531" o:title=""/>
          </v:shape>
          <o:OLEObject Type="Embed" ProgID="Equation.DSMT4" ShapeID="_x0000_i8222" DrawAspect="Content" ObjectID="_1791382165" r:id="rId14532"/>
        </w:object>
      </w:r>
    </w:p>
    <w:p w14:paraId="2BFF873E"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که در آن</w:t>
      </w:r>
      <w:r w:rsidRPr="00F4704A">
        <w:rPr>
          <w:position w:val="-14"/>
        </w:rPr>
        <w:object w:dxaOrig="320" w:dyaOrig="360" w14:anchorId="001CB7DF">
          <v:shape id="_x0000_i8223" type="#_x0000_t75" style="width:15.75pt;height:18.15pt" o:ole="">
            <v:imagedata r:id="rId14533" o:title=""/>
          </v:shape>
          <o:OLEObject Type="Embed" ProgID="Equation.DSMT4" ShapeID="_x0000_i8223" DrawAspect="Content" ObjectID="_1791382166" r:id="rId14534"/>
        </w:object>
      </w:r>
      <w:r w:rsidRPr="005C611F">
        <w:rPr>
          <w:rFonts w:hint="cs"/>
          <w:i/>
          <w:sz w:val="23"/>
          <w:szCs w:val="23"/>
          <w:rtl/>
        </w:rPr>
        <w:t xml:space="preserve"> قیمت کالاهای واسطه می‌باشد. </w:t>
      </w:r>
    </w:p>
    <w:p w14:paraId="04F42C4B"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lastRenderedPageBreak/>
        <w:t>تابع تولید کالاهای واسطه برابر است با</w:t>
      </w:r>
    </w:p>
    <w:p w14:paraId="2653F9C3" w14:textId="77777777" w:rsidR="00556C10" w:rsidRPr="005C611F" w:rsidRDefault="00556C10" w:rsidP="00556C10">
      <w:pPr>
        <w:tabs>
          <w:tab w:val="left" w:pos="90"/>
        </w:tabs>
        <w:bidi w:val="0"/>
        <w:spacing w:line="216" w:lineRule="auto"/>
        <w:rPr>
          <w:i/>
          <w:sz w:val="23"/>
          <w:szCs w:val="23"/>
        </w:rPr>
      </w:pPr>
      <w:r w:rsidRPr="00F4704A">
        <w:rPr>
          <w:position w:val="-14"/>
        </w:rPr>
        <w:object w:dxaOrig="2020" w:dyaOrig="420" w14:anchorId="68C699B6">
          <v:shape id="_x0000_i8224" type="#_x0000_t75" style="width:101.05pt;height:21.2pt" o:ole="">
            <v:imagedata r:id="rId14535" o:title=""/>
          </v:shape>
          <o:OLEObject Type="Embed" ProgID="Equation.DSMT4" ShapeID="_x0000_i8224" DrawAspect="Content" ObjectID="_1791382167" r:id="rId14536"/>
        </w:object>
      </w:r>
    </w:p>
    <w:p w14:paraId="7EA1705F"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که در آن</w:t>
      </w:r>
      <w:r w:rsidRPr="00F4704A">
        <w:rPr>
          <w:position w:val="-14"/>
        </w:rPr>
        <w:object w:dxaOrig="400" w:dyaOrig="360" w14:anchorId="2603C1B3">
          <v:shape id="_x0000_i8225" type="#_x0000_t75" style="width:19.95pt;height:18.15pt" o:ole="">
            <v:imagedata r:id="rId14537" o:title=""/>
          </v:shape>
          <o:OLEObject Type="Embed" ProgID="Equation.DSMT4" ShapeID="_x0000_i8225" DrawAspect="Content" ObjectID="_1791382168" r:id="rId14538"/>
        </w:object>
      </w:r>
      <w:r w:rsidRPr="005C611F">
        <w:rPr>
          <w:rFonts w:hint="cs"/>
          <w:i/>
          <w:sz w:val="23"/>
          <w:szCs w:val="23"/>
          <w:rtl/>
        </w:rPr>
        <w:t xml:space="preserve"> شاخص انواع مختلف کار است که توسط بنگاه مورد استفاده قرار می‌گیرد،</w:t>
      </w:r>
      <w:r w:rsidRPr="00F4704A">
        <w:rPr>
          <w:position w:val="-10"/>
        </w:rPr>
        <w:object w:dxaOrig="180" w:dyaOrig="300" w14:anchorId="792AA513">
          <v:shape id="_x0000_i8226" type="#_x0000_t75" style="width:9.1pt;height:14.5pt" o:ole="">
            <v:imagedata r:id="rId14539" o:title=""/>
          </v:shape>
          <o:OLEObject Type="Embed" ProgID="Equation.DSMT4" ShapeID="_x0000_i8226" DrawAspect="Content" ObjectID="_1791382169" r:id="rId14540"/>
        </w:object>
      </w:r>
      <w:r w:rsidRPr="005C611F">
        <w:rPr>
          <w:rFonts w:hint="cs"/>
          <w:i/>
          <w:sz w:val="23"/>
          <w:szCs w:val="23"/>
          <w:rtl/>
        </w:rPr>
        <w:t xml:space="preserve"> هزینه ثابت و</w:t>
      </w:r>
      <w:r w:rsidRPr="00F4704A">
        <w:rPr>
          <w:position w:val="-10"/>
        </w:rPr>
        <w:object w:dxaOrig="300" w:dyaOrig="340" w14:anchorId="740BBAD1">
          <v:shape id="_x0000_i8227" type="#_x0000_t75" style="width:14.5pt;height:16.95pt" o:ole="">
            <v:imagedata r:id="rId14541" o:title=""/>
          </v:shape>
          <o:OLEObject Type="Embed" ProgID="Equation.DSMT4" ShapeID="_x0000_i8227" DrawAspect="Content" ObjectID="_1791382170" r:id="rId14542"/>
        </w:object>
      </w:r>
      <w:r w:rsidRPr="005C611F">
        <w:rPr>
          <w:rFonts w:hint="cs"/>
          <w:i/>
          <w:sz w:val="23"/>
          <w:szCs w:val="23"/>
          <w:rtl/>
        </w:rPr>
        <w:t xml:space="preserve"> شوک بهره</w:t>
      </w:r>
      <w:r w:rsidRPr="005C611F">
        <w:rPr>
          <w:i/>
          <w:sz w:val="23"/>
          <w:szCs w:val="23"/>
          <w:rtl/>
        </w:rPr>
        <w:softHyphen/>
      </w:r>
      <w:r w:rsidRPr="005C611F">
        <w:rPr>
          <w:rFonts w:hint="cs"/>
          <w:i/>
          <w:sz w:val="23"/>
          <w:szCs w:val="23"/>
          <w:rtl/>
        </w:rPr>
        <w:t>وری است. با حداقل کردن هزینه داریم</w:t>
      </w:r>
    </w:p>
    <w:p w14:paraId="1260F81B" w14:textId="77777777" w:rsidR="00556C10" w:rsidRPr="005C611F" w:rsidRDefault="00556C10" w:rsidP="00556C10">
      <w:pPr>
        <w:tabs>
          <w:tab w:val="left" w:pos="90"/>
        </w:tabs>
        <w:bidi w:val="0"/>
        <w:spacing w:line="216" w:lineRule="auto"/>
        <w:rPr>
          <w:i/>
          <w:sz w:val="23"/>
          <w:szCs w:val="23"/>
          <w:rtl/>
        </w:rPr>
      </w:pPr>
      <w:r w:rsidRPr="00F4704A">
        <w:rPr>
          <w:position w:val="-30"/>
        </w:rPr>
        <w:object w:dxaOrig="1540" w:dyaOrig="680" w14:anchorId="010AD9F1">
          <v:shape id="_x0000_i8228" type="#_x0000_t75" style="width:76.85pt;height:33.9pt" o:ole="">
            <v:imagedata r:id="rId14543" o:title=""/>
          </v:shape>
          <o:OLEObject Type="Embed" ProgID="Equation.DSMT4" ShapeID="_x0000_i8228" DrawAspect="Content" ObjectID="_1791382171" r:id="rId14544"/>
        </w:object>
      </w:r>
      <w:r w:rsidRPr="005C611F">
        <w:rPr>
          <w:rFonts w:hint="cs"/>
          <w:i/>
          <w:sz w:val="23"/>
          <w:szCs w:val="23"/>
          <w:rtl/>
        </w:rPr>
        <w:t xml:space="preserve"> </w:t>
      </w:r>
    </w:p>
    <w:p w14:paraId="2D1AE692"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هزینه‌ی نهایی بنگاه برابر است با</w:t>
      </w:r>
    </w:p>
    <w:p w14:paraId="7C0C42CE" w14:textId="77777777" w:rsidR="00556C10" w:rsidRPr="005C611F" w:rsidRDefault="00556C10" w:rsidP="00556C10">
      <w:pPr>
        <w:tabs>
          <w:tab w:val="left" w:pos="90"/>
        </w:tabs>
        <w:bidi w:val="0"/>
        <w:spacing w:line="216" w:lineRule="auto"/>
        <w:rPr>
          <w:i/>
          <w:sz w:val="23"/>
          <w:szCs w:val="23"/>
          <w:rtl/>
        </w:rPr>
      </w:pPr>
      <w:r w:rsidRPr="00F4704A">
        <w:rPr>
          <w:position w:val="-28"/>
        </w:rPr>
        <w:object w:dxaOrig="3480" w:dyaOrig="620" w14:anchorId="1857A953">
          <v:shape id="_x0000_i8229" type="#_x0000_t75" style="width:174.25pt;height:31.45pt" o:ole="">
            <v:imagedata r:id="rId14545" o:title=""/>
          </v:shape>
          <o:OLEObject Type="Embed" ProgID="Equation.DSMT4" ShapeID="_x0000_i8229" DrawAspect="Content" ObjectID="_1791382172" r:id="rId14546"/>
        </w:object>
      </w:r>
    </w:p>
    <w:p w14:paraId="7D6BDBE2"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که از کالاهای واسطه‌ی تولید شده مستقل است. سود اسمی ‌بنگاه برابراست با</w:t>
      </w:r>
    </w:p>
    <w:p w14:paraId="2DDF6177" w14:textId="77777777" w:rsidR="00556C10" w:rsidRPr="005C611F" w:rsidRDefault="00556C10" w:rsidP="00556C10">
      <w:pPr>
        <w:tabs>
          <w:tab w:val="left" w:pos="90"/>
        </w:tabs>
        <w:bidi w:val="0"/>
        <w:spacing w:line="216" w:lineRule="auto"/>
        <w:rPr>
          <w:i/>
          <w:sz w:val="23"/>
          <w:szCs w:val="23"/>
          <w:rtl/>
        </w:rPr>
      </w:pPr>
      <w:r w:rsidRPr="00F4704A">
        <w:rPr>
          <w:position w:val="-30"/>
        </w:rPr>
        <w:object w:dxaOrig="3879" w:dyaOrig="760" w14:anchorId="7607A686">
          <v:shape id="_x0000_i8230" type="#_x0000_t75" style="width:194.2pt;height:38.1pt" o:ole="">
            <v:imagedata r:id="rId14547" o:title=""/>
          </v:shape>
          <o:OLEObject Type="Embed" ProgID="Equation.DSMT4" ShapeID="_x0000_i8230" DrawAspect="Content" ObjectID="_1791382173" r:id="rId14548"/>
        </w:object>
      </w:r>
    </w:p>
    <w:p w14:paraId="6DAAEF84"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فرض می‌شود که بنگاه‌ها قادرند قیمت خود را مجدداً و به طور تصادفی و با احتمال </w:t>
      </w:r>
      <w:r w:rsidRPr="00F4704A">
        <w:rPr>
          <w:position w:val="-14"/>
        </w:rPr>
        <w:object w:dxaOrig="540" w:dyaOrig="360" w14:anchorId="1E8C5210">
          <v:shape id="_x0000_i8231" type="#_x0000_t75" style="width:26.6pt;height:18.15pt" o:ole="">
            <v:imagedata r:id="rId14549" o:title=""/>
          </v:shape>
          <o:OLEObject Type="Embed" ProgID="Equation.DSMT4" ShapeID="_x0000_i8231" DrawAspect="Content" ObjectID="_1791382174" r:id="rId14550"/>
        </w:object>
      </w:r>
      <w:r w:rsidRPr="005C611F">
        <w:rPr>
          <w:rFonts w:hint="cs"/>
          <w:i/>
          <w:sz w:val="23"/>
          <w:szCs w:val="23"/>
          <w:rtl/>
        </w:rPr>
        <w:t xml:space="preserve"> همانند مدل کالوو بهینه کنند. قیمت بهینه</w:t>
      </w:r>
      <w:r w:rsidRPr="005C611F">
        <w:rPr>
          <w:i/>
          <w:sz w:val="23"/>
          <w:szCs w:val="23"/>
          <w:rtl/>
        </w:rPr>
        <w:softHyphen/>
      </w:r>
      <w:r w:rsidRPr="005C611F">
        <w:rPr>
          <w:rFonts w:hint="cs"/>
          <w:i/>
          <w:sz w:val="23"/>
          <w:szCs w:val="23"/>
          <w:rtl/>
        </w:rPr>
        <w:t>ی</w:t>
      </w:r>
      <w:r w:rsidRPr="00F4704A">
        <w:rPr>
          <w:position w:val="-10"/>
        </w:rPr>
        <w:object w:dxaOrig="260" w:dyaOrig="320" w14:anchorId="0834F6EC">
          <v:shape id="_x0000_i8232" type="#_x0000_t75" style="width:13.3pt;height:15.75pt" o:ole="">
            <v:imagedata r:id="rId14551" o:title=""/>
          </v:shape>
          <o:OLEObject Type="Embed" ProgID="Equation.DSMT4" ShapeID="_x0000_i8232" DrawAspect="Content" ObjectID="_1791382175" r:id="rId14552"/>
        </w:object>
      </w:r>
      <w:r w:rsidRPr="005C611F">
        <w:rPr>
          <w:rFonts w:hint="cs"/>
          <w:i/>
          <w:sz w:val="23"/>
          <w:szCs w:val="23"/>
          <w:rtl/>
        </w:rPr>
        <w:t xml:space="preserve"> از شرط مرتبه اول زیر به دست می‌آید</w:t>
      </w:r>
    </w:p>
    <w:p w14:paraId="51B37A43" w14:textId="77777777" w:rsidR="00556C10" w:rsidRPr="005C611F" w:rsidRDefault="00556C10" w:rsidP="00556C10">
      <w:pPr>
        <w:tabs>
          <w:tab w:val="left" w:pos="90"/>
        </w:tabs>
        <w:bidi w:val="0"/>
        <w:spacing w:line="216" w:lineRule="auto"/>
        <w:rPr>
          <w:i/>
          <w:sz w:val="23"/>
          <w:szCs w:val="23"/>
        </w:rPr>
      </w:pPr>
      <w:r w:rsidRPr="00F4704A">
        <w:rPr>
          <w:position w:val="-36"/>
        </w:rPr>
        <w:object w:dxaOrig="5440" w:dyaOrig="820" w14:anchorId="72F17DAB">
          <v:shape id="_x0000_i8233" type="#_x0000_t75" style="width:271.65pt;height:40.55pt" o:ole="">
            <v:imagedata r:id="rId14553" o:title=""/>
          </v:shape>
          <o:OLEObject Type="Embed" ProgID="Equation.DSMT4" ShapeID="_x0000_i8233" DrawAspect="Content" ObjectID="_1791382176" r:id="rId14554"/>
        </w:object>
      </w:r>
    </w:p>
    <w:p w14:paraId="6D6637FA"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که نشان می‌دهد قیمت بهینه تابعی از هزینه‌های نهای آتی و یک افزایش نرخ بیش از آن است، مگر آن که </w:t>
      </w:r>
      <w:r w:rsidRPr="00F4704A">
        <w:rPr>
          <w:position w:val="-14"/>
        </w:rPr>
        <w:object w:dxaOrig="639" w:dyaOrig="360" w14:anchorId="356F0355">
          <v:shape id="_x0000_i8234" type="#_x0000_t75" style="width:32.05pt;height:18.15pt" o:ole="">
            <v:imagedata r:id="rId14555" o:title=""/>
          </v:shape>
          <o:OLEObject Type="Embed" ProgID="Equation.DSMT4" ShapeID="_x0000_i8234" DrawAspect="Content" ObjectID="_1791382177" r:id="rId14556"/>
        </w:object>
      </w:r>
      <w:r w:rsidRPr="005C611F">
        <w:rPr>
          <w:rFonts w:hint="cs"/>
          <w:i/>
          <w:sz w:val="23"/>
          <w:szCs w:val="23"/>
          <w:rtl/>
        </w:rPr>
        <w:t xml:space="preserve"> باشد. بنابراین شاخص قیمت عمومی‌ برابر خواهد بود با</w:t>
      </w:r>
    </w:p>
    <w:p w14:paraId="057E5148" w14:textId="77777777" w:rsidR="00556C10" w:rsidRPr="005C611F" w:rsidRDefault="00556C10" w:rsidP="00556C10">
      <w:pPr>
        <w:tabs>
          <w:tab w:val="left" w:pos="90"/>
        </w:tabs>
        <w:bidi w:val="0"/>
        <w:spacing w:line="216" w:lineRule="auto"/>
        <w:rPr>
          <w:i/>
          <w:sz w:val="23"/>
          <w:szCs w:val="23"/>
        </w:rPr>
      </w:pPr>
      <w:r w:rsidRPr="00F4704A">
        <w:rPr>
          <w:position w:val="-36"/>
        </w:rPr>
        <w:object w:dxaOrig="4200" w:dyaOrig="859" w14:anchorId="7EDF913E">
          <v:shape id="_x0000_i8235" type="#_x0000_t75" style="width:209.95pt;height:42.95pt" o:ole="">
            <v:imagedata r:id="rId14557" o:title=""/>
          </v:shape>
          <o:OLEObject Type="Embed" ProgID="Equation.DSMT4" ShapeID="_x0000_i8235" DrawAspect="Content" ObjectID="_1791382178" r:id="rId14558"/>
        </w:object>
      </w:r>
    </w:p>
    <w:p w14:paraId="5A00FA84" w14:textId="77777777" w:rsidR="00556C10" w:rsidRPr="005C611F" w:rsidRDefault="00556C10" w:rsidP="00556C10">
      <w:pPr>
        <w:tabs>
          <w:tab w:val="left" w:pos="90"/>
        </w:tabs>
        <w:spacing w:line="216" w:lineRule="auto"/>
        <w:rPr>
          <w:bCs/>
          <w:i/>
          <w:sz w:val="23"/>
          <w:szCs w:val="23"/>
          <w:rtl/>
        </w:rPr>
      </w:pPr>
    </w:p>
    <w:p w14:paraId="72977F1B" w14:textId="77777777" w:rsidR="00556C10" w:rsidRPr="005C611F" w:rsidRDefault="00556C10" w:rsidP="00556C10">
      <w:pPr>
        <w:tabs>
          <w:tab w:val="left" w:pos="90"/>
        </w:tabs>
        <w:spacing w:line="216" w:lineRule="auto"/>
        <w:rPr>
          <w:bCs/>
          <w:i/>
          <w:sz w:val="23"/>
          <w:szCs w:val="23"/>
        </w:rPr>
      </w:pPr>
      <w:r w:rsidRPr="005C611F">
        <w:rPr>
          <w:rFonts w:hint="cs"/>
          <w:bCs/>
          <w:i/>
          <w:sz w:val="23"/>
          <w:szCs w:val="23"/>
          <w:rtl/>
        </w:rPr>
        <w:t>تعادل بازار</w:t>
      </w:r>
    </w:p>
    <w:p w14:paraId="38F410E4"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تعادل بازار- کالای نهایی، قید درآمد ملی را برآورده می‌کند </w:t>
      </w:r>
    </w:p>
    <w:p w14:paraId="0638CBD4" w14:textId="77777777" w:rsidR="00556C10" w:rsidRPr="005C611F" w:rsidRDefault="00556C10" w:rsidP="00556C10">
      <w:pPr>
        <w:tabs>
          <w:tab w:val="left" w:pos="90"/>
        </w:tabs>
        <w:bidi w:val="0"/>
        <w:spacing w:line="216" w:lineRule="auto"/>
        <w:rPr>
          <w:i/>
          <w:sz w:val="23"/>
          <w:szCs w:val="23"/>
          <w:rtl/>
        </w:rPr>
      </w:pPr>
      <w:r w:rsidRPr="00F4704A">
        <w:rPr>
          <w:position w:val="-12"/>
        </w:rPr>
        <w:object w:dxaOrig="2360" w:dyaOrig="360" w14:anchorId="61D3EEA8">
          <v:shape id="_x0000_i8236" type="#_x0000_t75" style="width:118pt;height:18.15pt" o:ole="">
            <v:imagedata r:id="rId14559" o:title=""/>
          </v:shape>
          <o:OLEObject Type="Embed" ProgID="Equation.DSMT4" ShapeID="_x0000_i8236" DrawAspect="Content" ObjectID="_1791382179" r:id="rId14560"/>
        </w:object>
      </w:r>
    </w:p>
    <w:p w14:paraId="4BF0450E" w14:textId="77777777" w:rsidR="00556C10" w:rsidRDefault="00556C10" w:rsidP="00556C10">
      <w:pPr>
        <w:tabs>
          <w:tab w:val="left" w:pos="90"/>
        </w:tabs>
        <w:spacing w:line="216" w:lineRule="auto"/>
        <w:rPr>
          <w:i/>
          <w:sz w:val="23"/>
          <w:szCs w:val="23"/>
          <w:rtl/>
        </w:rPr>
      </w:pPr>
      <w:r w:rsidRPr="005C611F">
        <w:rPr>
          <w:rFonts w:hint="cs"/>
          <w:i/>
          <w:sz w:val="23"/>
          <w:szCs w:val="23"/>
          <w:rtl/>
        </w:rPr>
        <w:t>برای تجزیه و تحلیل تجربی می‌بایست مدل مورد نظر در اطراف مقادیر تعادلی بلندمدت و وضعیت یکنواخت غیرتصادفی خود، به صورت لگاریتم- خطی تبدیل شود. اگر انحرافات لگاریتم متغیر در اطراف تعادل را با علامت (</w:t>
      </w:r>
      <w:r w:rsidRPr="00025957">
        <w:rPr>
          <w:position w:val="-4"/>
        </w:rPr>
        <w:object w:dxaOrig="200" w:dyaOrig="180" w14:anchorId="1A779C0B">
          <v:shape id="_x0000_i8237" type="#_x0000_t75" style="width:10.3pt;height:9.1pt" o:ole="">
            <v:imagedata r:id="rId14561" o:title=""/>
          </v:shape>
          <o:OLEObject Type="Embed" ProgID="Equation.DSMT4" ShapeID="_x0000_i8237" DrawAspect="Content" ObjectID="_1791382180" r:id="rId14562"/>
        </w:object>
      </w:r>
      <w:r w:rsidRPr="005C611F">
        <w:rPr>
          <w:rFonts w:hint="cs"/>
          <w:i/>
          <w:sz w:val="23"/>
          <w:szCs w:val="23"/>
          <w:rtl/>
        </w:rPr>
        <w:t xml:space="preserve">) نشان دهیم، و متغیرهای در زمان </w:t>
      </w:r>
      <w:r w:rsidRPr="005C611F">
        <w:rPr>
          <w:i/>
          <w:sz w:val="23"/>
          <w:szCs w:val="23"/>
        </w:rPr>
        <w:t>t+1</w:t>
      </w:r>
      <w:r w:rsidRPr="005C611F">
        <w:rPr>
          <w:rFonts w:hint="cs"/>
          <w:i/>
          <w:sz w:val="23"/>
          <w:szCs w:val="23"/>
          <w:rtl/>
        </w:rPr>
        <w:t xml:space="preserve">، انتظارات عقلایی باشند، </w:t>
      </w:r>
    </w:p>
    <w:p w14:paraId="5B95F709"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آنگاه لگاریتم خطی مدل برابر خواهد بود با</w:t>
      </w:r>
    </w:p>
    <w:p w14:paraId="23330304" w14:textId="77777777" w:rsidR="00556C10" w:rsidRPr="005C611F" w:rsidRDefault="00556C10" w:rsidP="00556C10">
      <w:pPr>
        <w:tabs>
          <w:tab w:val="left" w:pos="90"/>
        </w:tabs>
        <w:bidi w:val="0"/>
        <w:spacing w:line="216" w:lineRule="auto"/>
        <w:rPr>
          <w:i/>
          <w:sz w:val="23"/>
          <w:szCs w:val="23"/>
        </w:rPr>
      </w:pPr>
      <w:r w:rsidRPr="00F4704A">
        <w:rPr>
          <w:position w:val="-30"/>
        </w:rPr>
        <w:object w:dxaOrig="5420" w:dyaOrig="639" w14:anchorId="79AA12E1">
          <v:shape id="_x0000_i8238" type="#_x0000_t75" style="width:270.45pt;height:32.05pt" o:ole="">
            <v:imagedata r:id="rId14563" o:title=""/>
          </v:shape>
          <o:OLEObject Type="Embed" ProgID="Equation.DSMT4" ShapeID="_x0000_i8238" DrawAspect="Content" ObjectID="_1791382181" r:id="rId14564"/>
        </w:object>
      </w:r>
    </w:p>
    <w:p w14:paraId="770775C2" w14:textId="77777777" w:rsidR="00556C10" w:rsidRPr="005C611F" w:rsidRDefault="00556C10" w:rsidP="00556C10">
      <w:pPr>
        <w:tabs>
          <w:tab w:val="left" w:pos="90"/>
        </w:tabs>
        <w:bidi w:val="0"/>
        <w:spacing w:line="216" w:lineRule="auto"/>
        <w:rPr>
          <w:i/>
          <w:sz w:val="23"/>
          <w:szCs w:val="23"/>
        </w:rPr>
      </w:pPr>
      <w:r w:rsidRPr="00F4704A">
        <w:rPr>
          <w:position w:val="-26"/>
        </w:rPr>
        <w:object w:dxaOrig="3879" w:dyaOrig="600" w14:anchorId="0CA34D7C">
          <v:shape id="_x0000_i8239" type="#_x0000_t75" style="width:194.2pt;height:29.65pt" o:ole="">
            <v:imagedata r:id="rId14565" o:title=""/>
          </v:shape>
          <o:OLEObject Type="Embed" ProgID="Equation.DSMT4" ShapeID="_x0000_i8239" DrawAspect="Content" ObjectID="_1791382182" r:id="rId14566"/>
        </w:object>
      </w:r>
    </w:p>
    <w:p w14:paraId="743D945A" w14:textId="77777777" w:rsidR="00556C10" w:rsidRPr="005C611F" w:rsidRDefault="00556C10" w:rsidP="00556C10">
      <w:pPr>
        <w:tabs>
          <w:tab w:val="left" w:pos="90"/>
        </w:tabs>
        <w:bidi w:val="0"/>
        <w:spacing w:line="216" w:lineRule="auto"/>
        <w:rPr>
          <w:i/>
          <w:sz w:val="23"/>
          <w:szCs w:val="23"/>
        </w:rPr>
      </w:pPr>
      <w:r w:rsidRPr="00F4704A">
        <w:rPr>
          <w:position w:val="-22"/>
        </w:rPr>
        <w:object w:dxaOrig="4740" w:dyaOrig="600" w14:anchorId="6FE03861">
          <v:shape id="_x0000_i8240" type="#_x0000_t75" style="width:236.55pt;height:29.65pt" o:ole="">
            <v:imagedata r:id="rId14567" o:title=""/>
          </v:shape>
          <o:OLEObject Type="Embed" ProgID="Equation.DSMT4" ShapeID="_x0000_i8240" DrawAspect="Content" ObjectID="_1791382183" r:id="rId14568"/>
        </w:object>
      </w:r>
    </w:p>
    <w:p w14:paraId="79712AB7" w14:textId="77777777" w:rsidR="00556C10" w:rsidRPr="005C611F" w:rsidRDefault="00556C10" w:rsidP="00556C10">
      <w:pPr>
        <w:tabs>
          <w:tab w:val="left" w:pos="90"/>
        </w:tabs>
        <w:bidi w:val="0"/>
        <w:spacing w:line="216" w:lineRule="auto"/>
        <w:rPr>
          <w:i/>
          <w:sz w:val="23"/>
          <w:szCs w:val="23"/>
        </w:rPr>
      </w:pPr>
      <w:r w:rsidRPr="00F4704A">
        <w:rPr>
          <w:position w:val="-32"/>
        </w:rPr>
        <w:object w:dxaOrig="6960" w:dyaOrig="760" w14:anchorId="07DFD322">
          <v:shape id="_x0000_i8241" type="#_x0000_t75" style="width:347.9pt;height:38.1pt" o:ole="">
            <v:imagedata r:id="rId14569" o:title=""/>
          </v:shape>
          <o:OLEObject Type="Embed" ProgID="Equation.DSMT4" ShapeID="_x0000_i8241" DrawAspect="Content" ObjectID="_1791382184" r:id="rId14570"/>
        </w:object>
      </w:r>
      <w:r w:rsidRPr="00F4704A">
        <w:rPr>
          <w:position w:val="-66"/>
        </w:rPr>
        <w:object w:dxaOrig="6720" w:dyaOrig="1420" w14:anchorId="30B3766D">
          <v:shape id="_x0000_i8242" type="#_x0000_t75" style="width:335.8pt;height:70.8pt" o:ole="">
            <v:imagedata r:id="rId14571" o:title=""/>
          </v:shape>
          <o:OLEObject Type="Embed" ProgID="Equation.DSMT4" ShapeID="_x0000_i8242" DrawAspect="Content" ObjectID="_1791382185" r:id="rId14572"/>
        </w:object>
      </w:r>
    </w:p>
    <w:p w14:paraId="0580AF96" w14:textId="77777777" w:rsidR="00556C10" w:rsidRPr="005C611F" w:rsidRDefault="00556C10" w:rsidP="00556C10">
      <w:pPr>
        <w:tabs>
          <w:tab w:val="left" w:pos="90"/>
        </w:tabs>
        <w:bidi w:val="0"/>
        <w:spacing w:line="216" w:lineRule="auto"/>
        <w:rPr>
          <w:i/>
          <w:sz w:val="23"/>
          <w:szCs w:val="23"/>
        </w:rPr>
      </w:pPr>
      <w:r w:rsidRPr="00F4704A">
        <w:rPr>
          <w:position w:val="-12"/>
        </w:rPr>
        <w:object w:dxaOrig="2400" w:dyaOrig="380" w14:anchorId="6FD2FA7A">
          <v:shape id="_x0000_i8243" type="#_x0000_t75" style="width:119.8pt;height:18.75pt" o:ole="">
            <v:imagedata r:id="rId14573" o:title=""/>
          </v:shape>
          <o:OLEObject Type="Embed" ProgID="Equation.DSMT4" ShapeID="_x0000_i8243" DrawAspect="Content" ObjectID="_1791382186" r:id="rId14574"/>
        </w:object>
      </w:r>
    </w:p>
    <w:p w14:paraId="34DCBFC5" w14:textId="77777777" w:rsidR="00556C10" w:rsidRPr="005C611F" w:rsidRDefault="00556C10" w:rsidP="00556C10">
      <w:pPr>
        <w:tabs>
          <w:tab w:val="left" w:pos="90"/>
        </w:tabs>
        <w:bidi w:val="0"/>
        <w:spacing w:line="216" w:lineRule="auto"/>
        <w:rPr>
          <w:i/>
          <w:sz w:val="23"/>
          <w:szCs w:val="23"/>
        </w:rPr>
      </w:pPr>
      <w:r w:rsidRPr="00F4704A">
        <w:rPr>
          <w:position w:val="-18"/>
        </w:rPr>
        <w:object w:dxaOrig="6300" w:dyaOrig="460" w14:anchorId="0BE01415">
          <v:shape id="_x0000_i8244" type="#_x0000_t75" style="width:315.25pt;height:23pt" o:ole="">
            <v:imagedata r:id="rId14575" o:title=""/>
          </v:shape>
          <o:OLEObject Type="Embed" ProgID="Equation.DSMT4" ShapeID="_x0000_i8244" DrawAspect="Content" ObjectID="_1791382187" r:id="rId14576"/>
        </w:object>
      </w:r>
    </w:p>
    <w:p w14:paraId="13B5BDD6" w14:textId="77777777" w:rsidR="00556C10" w:rsidRPr="005C611F" w:rsidRDefault="00556C10" w:rsidP="00556C10">
      <w:pPr>
        <w:tabs>
          <w:tab w:val="left" w:pos="90"/>
        </w:tabs>
        <w:bidi w:val="0"/>
        <w:spacing w:line="216" w:lineRule="auto"/>
        <w:rPr>
          <w:i/>
          <w:sz w:val="23"/>
          <w:szCs w:val="23"/>
        </w:rPr>
      </w:pPr>
      <w:r w:rsidRPr="00F4704A">
        <w:rPr>
          <w:position w:val="-36"/>
        </w:rPr>
        <w:object w:dxaOrig="5600" w:dyaOrig="840" w14:anchorId="2E6F238D">
          <v:shape id="_x0000_i8245" type="#_x0000_t75" style="width:280.15pt;height:41.75pt" o:ole="">
            <v:imagedata r:id="rId14577" o:title=""/>
          </v:shape>
          <o:OLEObject Type="Embed" ProgID="Equation.DSMT4" ShapeID="_x0000_i8245" DrawAspect="Content" ObjectID="_1791382188" r:id="rId14578"/>
        </w:object>
      </w:r>
    </w:p>
    <w:p w14:paraId="3E408958" w14:textId="77777777" w:rsidR="00556C10" w:rsidRPr="005C611F" w:rsidRDefault="00556C10" w:rsidP="00556C10">
      <w:pPr>
        <w:tabs>
          <w:tab w:val="left" w:pos="90"/>
        </w:tabs>
        <w:spacing w:line="216" w:lineRule="auto"/>
        <w:rPr>
          <w:i/>
          <w:sz w:val="23"/>
          <w:szCs w:val="23"/>
        </w:rPr>
      </w:pPr>
      <w:r w:rsidRPr="005C611F">
        <w:rPr>
          <w:rFonts w:hint="cs"/>
          <w:i/>
          <w:sz w:val="23"/>
          <w:szCs w:val="23"/>
          <w:rtl/>
        </w:rPr>
        <w:t xml:space="preserve">که در آن </w:t>
      </w:r>
      <w:r w:rsidRPr="00F4704A">
        <w:rPr>
          <w:position w:val="-26"/>
        </w:rPr>
        <w:object w:dxaOrig="3620" w:dyaOrig="600" w14:anchorId="78B39B5B">
          <v:shape id="_x0000_i8246" type="#_x0000_t75" style="width:181.5pt;height:29.65pt" o:ole="">
            <v:imagedata r:id="rId14579" o:title=""/>
          </v:shape>
          <o:OLEObject Type="Embed" ProgID="Equation.DSMT4" ShapeID="_x0000_i8246" DrawAspect="Content" ObjectID="_1791382189" r:id="rId14580"/>
        </w:object>
      </w:r>
      <w:r w:rsidRPr="005C611F">
        <w:rPr>
          <w:rFonts w:hint="cs"/>
          <w:i/>
          <w:sz w:val="23"/>
          <w:szCs w:val="23"/>
          <w:rtl/>
        </w:rPr>
        <w:t xml:space="preserve"> و </w:t>
      </w:r>
      <w:r w:rsidRPr="00F4704A">
        <w:rPr>
          <w:position w:val="-10"/>
        </w:rPr>
        <w:object w:dxaOrig="300" w:dyaOrig="320" w14:anchorId="1D5BE8AC">
          <v:shape id="_x0000_i8247" type="#_x0000_t75" style="width:14.5pt;height:15.75pt" o:ole="">
            <v:imagedata r:id="rId14581" o:title=""/>
          </v:shape>
          <o:OLEObject Type="Embed" ProgID="Equation.DSMT4" ShapeID="_x0000_i8247" DrawAspect="Content" ObjectID="_1791382190" r:id="rId14582"/>
        </w:object>
      </w:r>
      <w:r w:rsidRPr="005C611F">
        <w:rPr>
          <w:rFonts w:hint="cs"/>
          <w:i/>
          <w:sz w:val="23"/>
          <w:szCs w:val="23"/>
          <w:rtl/>
        </w:rPr>
        <w:t xml:space="preserve"> تورم هدف</w:t>
      </w:r>
      <w:r w:rsidRPr="005C611F">
        <w:rPr>
          <w:i/>
          <w:sz w:val="23"/>
          <w:szCs w:val="23"/>
          <w:rtl/>
        </w:rPr>
        <w:softHyphen/>
      </w:r>
      <w:r w:rsidRPr="005C611F">
        <w:rPr>
          <w:rFonts w:hint="cs"/>
          <w:i/>
          <w:sz w:val="23"/>
          <w:szCs w:val="23"/>
          <w:rtl/>
        </w:rPr>
        <w:t>گذاری شده می‌باشد، و پارامترهای معادلات مقادیر متوسط بلند‌مدت می‌باشند. بنابراین تعداد نه متغیر درون</w:t>
      </w:r>
      <w:r w:rsidRPr="005C611F">
        <w:rPr>
          <w:i/>
          <w:sz w:val="23"/>
          <w:szCs w:val="23"/>
          <w:rtl/>
        </w:rPr>
        <w:softHyphen/>
      </w:r>
      <w:r w:rsidRPr="005C611F">
        <w:rPr>
          <w:rFonts w:hint="cs"/>
          <w:i/>
          <w:sz w:val="23"/>
          <w:szCs w:val="23"/>
          <w:rtl/>
        </w:rPr>
        <w:t>زا و ده شوک مستقل وجود خواهد داشت که عبارتند از پنج شوک تکنولوژیی و ترجیحات یعنی</w:t>
      </w:r>
      <w:r w:rsidRPr="00F4704A">
        <w:rPr>
          <w:position w:val="-10"/>
        </w:rPr>
        <w:object w:dxaOrig="1700" w:dyaOrig="340" w14:anchorId="69F9D6A3">
          <v:shape id="_x0000_i8248" type="#_x0000_t75" style="width:85.3pt;height:16.95pt" o:ole="">
            <v:imagedata r:id="rId14583" o:title=""/>
          </v:shape>
          <o:OLEObject Type="Embed" ProgID="Equation.DSMT4" ShapeID="_x0000_i8248" DrawAspect="Content" ObjectID="_1791382191" r:id="rId14584"/>
        </w:object>
      </w:r>
      <w:r w:rsidRPr="005C611F">
        <w:rPr>
          <w:rFonts w:hint="cs"/>
          <w:i/>
          <w:sz w:val="23"/>
          <w:szCs w:val="23"/>
          <w:rtl/>
        </w:rPr>
        <w:t xml:space="preserve"> که از توابع خود همبسته</w:t>
      </w:r>
      <w:r w:rsidRPr="005C611F">
        <w:rPr>
          <w:i/>
          <w:sz w:val="23"/>
          <w:szCs w:val="23"/>
          <w:rtl/>
        </w:rPr>
        <w:softHyphen/>
      </w:r>
      <w:r w:rsidRPr="005C611F">
        <w:rPr>
          <w:rFonts w:hint="cs"/>
          <w:i/>
          <w:sz w:val="23"/>
          <w:szCs w:val="23"/>
          <w:rtl/>
        </w:rPr>
        <w:t>ی مرتبه اول ایجاد شده، سه شوک هزینه- فشار مستقل با توزیع یکسان</w:t>
      </w:r>
      <w:r w:rsidRPr="00F4704A">
        <w:rPr>
          <w:position w:val="-10"/>
        </w:rPr>
        <w:object w:dxaOrig="1160" w:dyaOrig="340" w14:anchorId="30AC2859">
          <v:shape id="_x0000_i8249" type="#_x0000_t75" style="width:58.1pt;height:16.95pt" o:ole="">
            <v:imagedata r:id="rId14585" o:title=""/>
          </v:shape>
          <o:OLEObject Type="Embed" ProgID="Equation.DSMT4" ShapeID="_x0000_i8249" DrawAspect="Content" ObjectID="_1791382192" r:id="rId14586"/>
        </w:object>
      </w:r>
      <w:r w:rsidRPr="005C611F">
        <w:rPr>
          <w:rFonts w:hint="cs"/>
          <w:i/>
          <w:sz w:val="23"/>
          <w:szCs w:val="23"/>
          <w:rtl/>
        </w:rPr>
        <w:t xml:space="preserve"> و دو شوک پولی</w:t>
      </w:r>
      <w:r w:rsidRPr="00F4704A">
        <w:rPr>
          <w:position w:val="-10"/>
        </w:rPr>
        <w:object w:dxaOrig="800" w:dyaOrig="340" w14:anchorId="57949ED8">
          <v:shape id="_x0000_i8250" type="#_x0000_t75" style="width:39.95pt;height:16.95pt" o:ole="">
            <v:imagedata r:id="rId14587" o:title=""/>
          </v:shape>
          <o:OLEObject Type="Embed" ProgID="Equation.DSMT4" ShapeID="_x0000_i8250" DrawAspect="Content" ObjectID="_1791382193" r:id="rId14588"/>
        </w:object>
      </w:r>
      <w:r w:rsidRPr="005C611F">
        <w:rPr>
          <w:rFonts w:hint="cs"/>
          <w:i/>
          <w:sz w:val="23"/>
          <w:szCs w:val="23"/>
          <w:rtl/>
        </w:rPr>
        <w:t xml:space="preserve"> است.</w:t>
      </w:r>
      <w:r w:rsidRPr="00025957">
        <w:rPr>
          <w:position w:val="-4"/>
        </w:rPr>
        <w:object w:dxaOrig="180" w:dyaOrig="260" w14:anchorId="7B9EAD5D">
          <v:shape id="_x0000_i8251" type="#_x0000_t75" style="width:9.1pt;height:13.3pt" o:ole="">
            <v:imagedata r:id="rId1548" o:title=""/>
          </v:shape>
          <o:OLEObject Type="Embed" ProgID="Equation.DSMT4" ShapeID="_x0000_i8251" DrawAspect="Content" ObjectID="_1791382194" r:id="rId14589"/>
        </w:object>
      </w:r>
      <w:r w:rsidRPr="005C611F">
        <w:rPr>
          <w:rFonts w:hint="cs"/>
          <w:i/>
          <w:sz w:val="23"/>
          <w:szCs w:val="23"/>
          <w:rtl/>
        </w:rPr>
        <w:t xml:space="preserve"> </w:t>
      </w:r>
    </w:p>
    <w:p w14:paraId="4CE1BD33" w14:textId="77777777" w:rsidR="00556C10" w:rsidRPr="005C611F" w:rsidRDefault="00556C10" w:rsidP="00556C10">
      <w:pPr>
        <w:tabs>
          <w:tab w:val="left" w:pos="90"/>
        </w:tabs>
        <w:spacing w:line="216" w:lineRule="auto"/>
        <w:rPr>
          <w:i/>
          <w:sz w:val="23"/>
          <w:szCs w:val="23"/>
          <w:rtl/>
        </w:rPr>
      </w:pPr>
    </w:p>
    <w:p w14:paraId="0B242B44" w14:textId="77777777" w:rsidR="00556C10" w:rsidRPr="005C611F" w:rsidRDefault="00556C10" w:rsidP="00556C10">
      <w:pPr>
        <w:tabs>
          <w:tab w:val="left" w:pos="90"/>
        </w:tabs>
        <w:spacing w:line="216" w:lineRule="auto"/>
        <w:rPr>
          <w:bCs/>
          <w:i/>
          <w:sz w:val="23"/>
          <w:szCs w:val="23"/>
          <w:rtl/>
        </w:rPr>
      </w:pPr>
      <w:r w:rsidRPr="005C611F">
        <w:rPr>
          <w:rFonts w:hint="cs"/>
          <w:bCs/>
          <w:i/>
          <w:sz w:val="23"/>
          <w:szCs w:val="23"/>
          <w:rtl/>
        </w:rPr>
        <w:t>نتابج تجربی</w:t>
      </w:r>
    </w:p>
    <w:p w14:paraId="059C8C19"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مدل فوق به روش بیزین و با استفاده از داده‌های فصلی ۱۹۷۰:۱- ۱۹۹۹:۴ و با استفاده از متغیرهای اقتصاد کلان هفت کشور منطقه</w:t>
      </w:r>
      <w:r w:rsidRPr="005C611F">
        <w:rPr>
          <w:i/>
          <w:sz w:val="23"/>
          <w:szCs w:val="23"/>
          <w:rtl/>
        </w:rPr>
        <w:softHyphen/>
      </w:r>
      <w:r w:rsidRPr="005C611F">
        <w:rPr>
          <w:rFonts w:hint="cs"/>
          <w:i/>
          <w:sz w:val="23"/>
          <w:szCs w:val="23"/>
          <w:rtl/>
        </w:rPr>
        <w:t xml:space="preserve">ی اروپا برآورده شده است. این متغیرها عبارتند از </w:t>
      </w:r>
      <w:r w:rsidRPr="005C611F">
        <w:rPr>
          <w:i/>
          <w:sz w:val="23"/>
          <w:szCs w:val="23"/>
        </w:rPr>
        <w:t>GDP</w:t>
      </w:r>
      <w:r w:rsidRPr="005C611F">
        <w:rPr>
          <w:rFonts w:hint="cs"/>
          <w:i/>
          <w:sz w:val="23"/>
          <w:szCs w:val="23"/>
          <w:rtl/>
        </w:rPr>
        <w:t>، مصرف، سرمایه</w:t>
      </w:r>
      <w:r w:rsidRPr="005C611F">
        <w:rPr>
          <w:i/>
          <w:sz w:val="23"/>
          <w:szCs w:val="23"/>
          <w:rtl/>
        </w:rPr>
        <w:softHyphen/>
      </w:r>
      <w:r w:rsidRPr="005C611F">
        <w:rPr>
          <w:rFonts w:hint="cs"/>
          <w:i/>
          <w:sz w:val="23"/>
          <w:szCs w:val="23"/>
          <w:rtl/>
        </w:rPr>
        <w:t xml:space="preserve">گذاری، اشتغال، شاخص قیمت </w:t>
      </w:r>
      <w:r w:rsidRPr="005C611F">
        <w:rPr>
          <w:i/>
          <w:sz w:val="23"/>
          <w:szCs w:val="23"/>
        </w:rPr>
        <w:t>GDP</w:t>
      </w:r>
      <w:r w:rsidRPr="005C611F">
        <w:rPr>
          <w:rFonts w:hint="cs"/>
          <w:i/>
          <w:sz w:val="23"/>
          <w:szCs w:val="23"/>
          <w:rtl/>
        </w:rPr>
        <w:t>، دستمزدهای حقیقی و نرخ بهره</w:t>
      </w:r>
      <w:r w:rsidRPr="005C611F">
        <w:rPr>
          <w:i/>
          <w:sz w:val="23"/>
          <w:szCs w:val="23"/>
          <w:rtl/>
        </w:rPr>
        <w:softHyphen/>
      </w:r>
      <w:r w:rsidRPr="005C611F">
        <w:rPr>
          <w:rFonts w:hint="cs"/>
          <w:i/>
          <w:sz w:val="23"/>
          <w:szCs w:val="23"/>
          <w:rtl/>
        </w:rPr>
        <w:t>ی اسمی. فرض شده است که نه تنها سرمایه بلکه نرخ اجاره‌ی سرمایه قابل مشاهده نیست. با استفاده از روش بیزین این امکان وجود دارد که پارامترهای مهم و کلیدی کالیبره شده را با اطلاعات نمونه ترکیب نمود. به جای ارزیابی مدل تعادل عمومی ‌پویا بر مبنای فقط آماره‌های گشتاور نمونه، توابع ضربه واکنش نیز مورد استفاده قرار گرفته است. گشتاورها و توابع ضربه واکنشِ مدلِ برآورد شده‌ی تعادل عمومی‌پویا بر مبنای ده هزار میانه‌ی شبیه</w:t>
      </w:r>
      <w:r w:rsidRPr="005C611F">
        <w:rPr>
          <w:i/>
          <w:sz w:val="23"/>
          <w:szCs w:val="23"/>
          <w:rtl/>
        </w:rPr>
        <w:softHyphen/>
      </w:r>
      <w:r w:rsidRPr="005C611F">
        <w:rPr>
          <w:rFonts w:hint="cs"/>
          <w:i/>
          <w:sz w:val="23"/>
          <w:szCs w:val="23"/>
          <w:rtl/>
        </w:rPr>
        <w:t xml:space="preserve">سازی شده‌ی مدل برآورد شده می‌باشد. مدل </w:t>
      </w:r>
      <w:r w:rsidRPr="005C611F">
        <w:rPr>
          <w:i/>
          <w:sz w:val="23"/>
          <w:szCs w:val="23"/>
        </w:rPr>
        <w:t>VAR</w:t>
      </w:r>
      <w:r w:rsidRPr="005C611F">
        <w:rPr>
          <w:rFonts w:hint="cs"/>
          <w:i/>
          <w:sz w:val="23"/>
          <w:szCs w:val="23"/>
          <w:rtl/>
        </w:rPr>
        <w:t xml:space="preserve"> مرتبه سوم، با </w:t>
      </w:r>
      <w:r w:rsidRPr="005C611F">
        <w:rPr>
          <w:rFonts w:hint="cs"/>
          <w:i/>
          <w:sz w:val="23"/>
          <w:szCs w:val="23"/>
          <w:rtl/>
        </w:rPr>
        <w:lastRenderedPageBreak/>
        <w:t>داده‌های اصلی برازش شده و برای تهیه‌ی توابع ضربه واکنش داده‌های اصلی مورد استفاده قرار گرفته است. اکنون نتایج به دست آمده را خلاصه می‌کنیم.</w:t>
      </w:r>
    </w:p>
    <w:p w14:paraId="61B75DFE"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با مقایسه‌ی اتوکوواریانس‌های مدل </w:t>
      </w:r>
      <w:r w:rsidRPr="005C611F">
        <w:rPr>
          <w:i/>
          <w:sz w:val="23"/>
          <w:szCs w:val="23"/>
        </w:rPr>
        <w:t>VAR</w:t>
      </w:r>
      <w:r w:rsidRPr="005C611F">
        <w:rPr>
          <w:rFonts w:hint="cs"/>
          <w:i/>
          <w:sz w:val="23"/>
          <w:szCs w:val="23"/>
          <w:rtl/>
        </w:rPr>
        <w:t xml:space="preserve"> و مدل شبیه</w:t>
      </w:r>
      <w:r w:rsidRPr="005C611F">
        <w:rPr>
          <w:i/>
          <w:sz w:val="23"/>
          <w:szCs w:val="23"/>
          <w:rtl/>
        </w:rPr>
        <w:softHyphen/>
      </w:r>
      <w:r w:rsidRPr="005C611F">
        <w:rPr>
          <w:rFonts w:hint="cs"/>
          <w:i/>
          <w:sz w:val="23"/>
          <w:szCs w:val="23"/>
          <w:rtl/>
        </w:rPr>
        <w:t xml:space="preserve">سازی شده‌ی تعادل عمومی‌ پویا، به طورکلی نتایج دو مدل به یکدیگر نزدیک می‌باشد. اتوکوواریانس‌های مدل </w:t>
      </w:r>
      <w:r w:rsidRPr="005C611F">
        <w:rPr>
          <w:i/>
          <w:sz w:val="23"/>
          <w:szCs w:val="23"/>
        </w:rPr>
        <w:t>VAR</w:t>
      </w:r>
      <w:r w:rsidRPr="005C611F">
        <w:rPr>
          <w:rFonts w:hint="cs"/>
          <w:i/>
          <w:sz w:val="23"/>
          <w:szCs w:val="23"/>
          <w:rtl/>
        </w:rPr>
        <w:t xml:space="preserve"> در فاصله اطمینان مدل </w:t>
      </w:r>
      <w:r w:rsidRPr="005C611F">
        <w:rPr>
          <w:i/>
          <w:sz w:val="23"/>
          <w:szCs w:val="23"/>
        </w:rPr>
        <w:t>DSGE</w:t>
      </w:r>
      <w:r w:rsidRPr="005C611F">
        <w:rPr>
          <w:rFonts w:hint="cs"/>
          <w:i/>
          <w:sz w:val="23"/>
          <w:szCs w:val="23"/>
          <w:rtl/>
        </w:rPr>
        <w:t xml:space="preserve"> قرار می‌گیرند. هر چند این فاصله کاملاً عریض و پهن است و نشان دهنده</w:t>
      </w:r>
      <w:r w:rsidRPr="005C611F">
        <w:rPr>
          <w:i/>
          <w:sz w:val="23"/>
          <w:szCs w:val="23"/>
          <w:rtl/>
        </w:rPr>
        <w:softHyphen/>
      </w:r>
      <w:r w:rsidRPr="005C611F">
        <w:rPr>
          <w:rFonts w:hint="cs"/>
          <w:i/>
          <w:sz w:val="23"/>
          <w:szCs w:val="23"/>
          <w:rtl/>
        </w:rPr>
        <w:t>ی نااطمینانی پارامترها است. مهمترین تفاوت و مغایرت در اتوکوواریانس بین تولید و نرخ بهره</w:t>
      </w:r>
      <w:r w:rsidRPr="005C611F">
        <w:rPr>
          <w:i/>
          <w:sz w:val="23"/>
          <w:szCs w:val="23"/>
          <w:rtl/>
        </w:rPr>
        <w:softHyphen/>
      </w:r>
      <w:r w:rsidRPr="005C611F">
        <w:rPr>
          <w:rFonts w:hint="cs"/>
          <w:i/>
          <w:sz w:val="23"/>
          <w:szCs w:val="23"/>
          <w:rtl/>
        </w:rPr>
        <w:t xml:space="preserve">ی حقیقی انتظاری است. این اتوکوواریانس‌ها در مدل </w:t>
      </w:r>
      <w:r w:rsidRPr="005C611F">
        <w:rPr>
          <w:i/>
          <w:sz w:val="23"/>
          <w:szCs w:val="23"/>
        </w:rPr>
        <w:t>VAR</w:t>
      </w:r>
      <w:r w:rsidRPr="005C611F">
        <w:rPr>
          <w:rFonts w:hint="cs"/>
          <w:i/>
          <w:sz w:val="23"/>
          <w:szCs w:val="23"/>
          <w:rtl/>
        </w:rPr>
        <w:t xml:space="preserve"> بیشتر اما بی معنی است.</w:t>
      </w:r>
    </w:p>
    <w:p w14:paraId="529DBAFB"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 xml:space="preserve">در توابع ضربه واکنش مدل </w:t>
      </w:r>
      <w:r w:rsidRPr="005C611F">
        <w:rPr>
          <w:i/>
          <w:sz w:val="23"/>
          <w:szCs w:val="23"/>
        </w:rPr>
        <w:t>DSGE</w:t>
      </w:r>
      <w:r w:rsidRPr="005C611F">
        <w:rPr>
          <w:rFonts w:hint="cs"/>
          <w:i/>
          <w:sz w:val="23"/>
          <w:szCs w:val="23"/>
          <w:rtl/>
        </w:rPr>
        <w:t>، ابتدا پاسخ‌های مدل را نسبت به شوک مثبت بهره</w:t>
      </w:r>
      <w:r w:rsidRPr="005C611F">
        <w:rPr>
          <w:i/>
          <w:sz w:val="23"/>
          <w:szCs w:val="23"/>
          <w:rtl/>
        </w:rPr>
        <w:softHyphen/>
      </w:r>
      <w:r w:rsidRPr="005C611F">
        <w:rPr>
          <w:rFonts w:hint="cs"/>
          <w:i/>
          <w:sz w:val="23"/>
          <w:szCs w:val="23"/>
          <w:rtl/>
        </w:rPr>
        <w:t>وری</w:t>
      </w:r>
      <w:r w:rsidRPr="00F4704A">
        <w:rPr>
          <w:position w:val="-10"/>
        </w:rPr>
        <w:object w:dxaOrig="300" w:dyaOrig="340" w14:anchorId="116DD461">
          <v:shape id="_x0000_i8252" type="#_x0000_t75" style="width:14.5pt;height:16.95pt" o:ole="">
            <v:imagedata r:id="rId14590" o:title=""/>
          </v:shape>
          <o:OLEObject Type="Embed" ProgID="Equation.DSMT4" ShapeID="_x0000_i8252" DrawAspect="Content" ObjectID="_1791382195" r:id="rId14591"/>
        </w:object>
      </w:r>
      <w:r w:rsidRPr="005C611F">
        <w:rPr>
          <w:rFonts w:hint="cs"/>
          <w:i/>
          <w:sz w:val="23"/>
          <w:szCs w:val="23"/>
          <w:rtl/>
        </w:rPr>
        <w:t xml:space="preserve"> بررسی می‌کنیم. این شوک باعث افزایش تولید، مصرف و سرمایه</w:t>
      </w:r>
      <w:r w:rsidRPr="005C611F">
        <w:rPr>
          <w:i/>
          <w:sz w:val="23"/>
          <w:szCs w:val="23"/>
          <w:rtl/>
        </w:rPr>
        <w:softHyphen/>
      </w:r>
      <w:r w:rsidRPr="005C611F">
        <w:rPr>
          <w:rFonts w:hint="cs"/>
          <w:i/>
          <w:sz w:val="23"/>
          <w:szCs w:val="23"/>
          <w:rtl/>
        </w:rPr>
        <w:t>گذاری شده، ولی انتقال و بکارگیری سرمایه کاهش می‌یابد. دستمزد حقیقی نیز افزایش می‌یابد ولی به تدریج. کاهش اشتغال با ضربه واکنش شوک‌های بهره</w:t>
      </w:r>
      <w:r w:rsidRPr="005C611F">
        <w:rPr>
          <w:i/>
          <w:sz w:val="23"/>
          <w:szCs w:val="23"/>
          <w:rtl/>
        </w:rPr>
        <w:softHyphen/>
      </w:r>
      <w:r w:rsidRPr="005C611F">
        <w:rPr>
          <w:rFonts w:hint="cs"/>
          <w:i/>
          <w:sz w:val="23"/>
          <w:szCs w:val="23"/>
          <w:rtl/>
        </w:rPr>
        <w:t>وری ایالات متحده سازگار، ولی با پیش</w:t>
      </w:r>
      <w:r w:rsidRPr="005C611F">
        <w:rPr>
          <w:i/>
          <w:sz w:val="23"/>
          <w:szCs w:val="23"/>
          <w:rtl/>
        </w:rPr>
        <w:softHyphen/>
      </w:r>
      <w:r w:rsidRPr="005C611F">
        <w:rPr>
          <w:rFonts w:hint="cs"/>
          <w:i/>
          <w:sz w:val="23"/>
          <w:szCs w:val="23"/>
          <w:rtl/>
        </w:rPr>
        <w:t>بینی مدل چرخه‌های تجاری حقیقی در تضاد است. شاید بتوان این</w:t>
      </w:r>
      <w:r w:rsidRPr="005C611F">
        <w:rPr>
          <w:i/>
          <w:sz w:val="23"/>
          <w:szCs w:val="23"/>
          <w:rtl/>
        </w:rPr>
        <w:softHyphen/>
      </w:r>
      <w:r w:rsidRPr="005C611F">
        <w:rPr>
          <w:rFonts w:hint="cs"/>
          <w:i/>
          <w:sz w:val="23"/>
          <w:szCs w:val="23"/>
          <w:rtl/>
        </w:rPr>
        <w:t>گونه توجیه کرد که با افزایش بهره</w:t>
      </w:r>
      <w:r w:rsidRPr="005C611F">
        <w:rPr>
          <w:i/>
          <w:sz w:val="23"/>
          <w:szCs w:val="23"/>
          <w:rtl/>
        </w:rPr>
        <w:softHyphen/>
      </w:r>
      <w:r w:rsidRPr="005C611F">
        <w:rPr>
          <w:rFonts w:hint="cs"/>
          <w:i/>
          <w:sz w:val="23"/>
          <w:szCs w:val="23"/>
          <w:rtl/>
        </w:rPr>
        <w:t>وری، هزینه</w:t>
      </w:r>
      <w:r w:rsidRPr="005C611F">
        <w:rPr>
          <w:i/>
          <w:sz w:val="23"/>
          <w:szCs w:val="23"/>
          <w:rtl/>
        </w:rPr>
        <w:softHyphen/>
      </w:r>
      <w:r w:rsidRPr="005C611F">
        <w:rPr>
          <w:rFonts w:hint="cs"/>
          <w:i/>
          <w:sz w:val="23"/>
          <w:szCs w:val="23"/>
          <w:rtl/>
        </w:rPr>
        <w:t>ی نهایی کاهش می‌یابد و چون سیاست پولی برای جبران این کاهش پاسخ مناسبی نمی‌دهد، لذا تورم به آرامی‌کاهش خواهد یافت. عکس</w:t>
      </w:r>
      <w:r w:rsidRPr="005C611F">
        <w:rPr>
          <w:i/>
          <w:sz w:val="23"/>
          <w:szCs w:val="23"/>
          <w:rtl/>
        </w:rPr>
        <w:softHyphen/>
      </w:r>
      <w:r w:rsidRPr="005C611F">
        <w:rPr>
          <w:rFonts w:hint="cs"/>
          <w:i/>
          <w:sz w:val="23"/>
          <w:szCs w:val="23"/>
          <w:rtl/>
        </w:rPr>
        <w:t>العمل برآورد شده سیاست پولی شوک بهره</w:t>
      </w:r>
      <w:r w:rsidRPr="005C611F">
        <w:rPr>
          <w:i/>
          <w:sz w:val="23"/>
          <w:szCs w:val="23"/>
          <w:rtl/>
        </w:rPr>
        <w:softHyphen/>
      </w:r>
      <w:r w:rsidRPr="005C611F">
        <w:rPr>
          <w:rFonts w:hint="cs"/>
          <w:i/>
          <w:sz w:val="23"/>
          <w:szCs w:val="23"/>
          <w:rtl/>
        </w:rPr>
        <w:t>وری با نتایج ایالات متحده قابل مقایسه است.</w:t>
      </w:r>
    </w:p>
    <w:p w14:paraId="081B03A2"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یک شوک مثبت عرضه‌ی کار نسبت به شوک مثبت بهره</w:t>
      </w:r>
      <w:r w:rsidRPr="005C611F">
        <w:rPr>
          <w:i/>
          <w:sz w:val="23"/>
          <w:szCs w:val="23"/>
          <w:rtl/>
        </w:rPr>
        <w:softHyphen/>
      </w:r>
      <w:r w:rsidRPr="005C611F">
        <w:rPr>
          <w:rFonts w:hint="cs"/>
          <w:i/>
          <w:sz w:val="23"/>
          <w:szCs w:val="23"/>
          <w:rtl/>
        </w:rPr>
        <w:t>وری، اثرات مشابهی بر تولید، تورم و نرخ بهره دارد. به دلیل دوام و ماندگاری قوی شوک عرضه‌ی کار، نرخ بهره‌ی حقیقی قویاً تحت تاثیر قرار نمی‌گیرد. مهمترین تفاوت آن است که اشتغال نیز با تولید افزایش یافته و دستمزد حقیقی بطور معنی</w:t>
      </w:r>
      <w:r w:rsidRPr="005C611F">
        <w:rPr>
          <w:i/>
          <w:sz w:val="23"/>
          <w:szCs w:val="23"/>
          <w:rtl/>
        </w:rPr>
        <w:softHyphen/>
      </w:r>
      <w:r w:rsidRPr="005C611F">
        <w:rPr>
          <w:rFonts w:hint="cs"/>
          <w:i/>
          <w:sz w:val="23"/>
          <w:szCs w:val="23"/>
          <w:rtl/>
        </w:rPr>
        <w:t>داری کاهش می‌یابد. کاهش دستمزد حقیقی باعث کاهش هزینه‌ی نهایی و تورم می‌شود. شوک منفی دستمزد-اضافه بها دارای اثرات مشابهی است، به استثنای این‌که نرخ بهره‌ی حقیقی افزایش می‌یابد، و دستمزد حقیقی و هزینه‌های نهایی بیشتر کاهش می‌یابند. اثرات شوک منفی قیمت-اضافه بها بر تولید، تورم و نرخ بهره نیز مشابه است ولی اثر بر هزینه‌ی نهایی حقیقی، دستمزدهای حقیقی و نرخ اجاره‌ی سرمایه دارای علائم معکوس می‌باشند.</w:t>
      </w:r>
    </w:p>
    <w:p w14:paraId="0F67062B"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شوک مثبت تقاضا، عموماً باعث افزایش نرخ بهره‌ی حقیقی می‌شود. شوک مثبت ترجیحات، هنگامی‌که باعث افزایش مصرف و تولید می‌شود، تقاضا برای سرمایه</w:t>
      </w:r>
      <w:r w:rsidRPr="005C611F">
        <w:rPr>
          <w:i/>
          <w:sz w:val="23"/>
          <w:szCs w:val="23"/>
          <w:rtl/>
        </w:rPr>
        <w:softHyphen/>
      </w:r>
      <w:r w:rsidRPr="005C611F">
        <w:rPr>
          <w:rFonts w:hint="cs"/>
          <w:i/>
          <w:sz w:val="23"/>
          <w:szCs w:val="23"/>
          <w:rtl/>
        </w:rPr>
        <w:t>گذاری را از صحنه خارج می</w:t>
      </w:r>
      <w:r w:rsidRPr="005C611F">
        <w:rPr>
          <w:i/>
          <w:sz w:val="23"/>
          <w:szCs w:val="23"/>
          <w:rtl/>
        </w:rPr>
        <w:softHyphen/>
      </w:r>
      <w:r w:rsidRPr="005C611F">
        <w:rPr>
          <w:rFonts w:hint="cs"/>
          <w:i/>
          <w:sz w:val="23"/>
          <w:szCs w:val="23"/>
          <w:rtl/>
        </w:rPr>
        <w:t>کند. افزایش در ظرفیت لازم جهت افزایش تقاضا به</w:t>
      </w:r>
      <w:r w:rsidRPr="005C611F">
        <w:rPr>
          <w:i/>
          <w:sz w:val="23"/>
          <w:szCs w:val="23"/>
          <w:rtl/>
        </w:rPr>
        <w:softHyphen/>
      </w:r>
      <w:r w:rsidRPr="005C611F">
        <w:rPr>
          <w:rFonts w:hint="cs"/>
          <w:i/>
          <w:sz w:val="23"/>
          <w:szCs w:val="23"/>
          <w:rtl/>
        </w:rPr>
        <w:t>وسیله افزایش در بکارگیری و بهره</w:t>
      </w:r>
      <w:r w:rsidRPr="005C611F">
        <w:rPr>
          <w:i/>
          <w:sz w:val="23"/>
          <w:szCs w:val="23"/>
          <w:rtl/>
        </w:rPr>
        <w:softHyphen/>
      </w:r>
      <w:r w:rsidRPr="005C611F">
        <w:rPr>
          <w:rFonts w:hint="cs"/>
          <w:i/>
          <w:sz w:val="23"/>
          <w:szCs w:val="23"/>
          <w:rtl/>
        </w:rPr>
        <w:t>برداری از سرمایه‌ی نصب شده و اشتغال ایجاد خواهد شد. تقاضا برای افزایش مصرف باعث فشار بر قیمت عوامل تولید شده، و لذا نرخ اجاره‌ی سرمایه و دستمزد حقیقی افزایش خواهند یافت و  هزینه‌ی نهایی و تورم را به سمت بالا منتقل خواهد کرد.</w:t>
      </w:r>
    </w:p>
    <w:p w14:paraId="7E644874" w14:textId="77777777" w:rsidR="00556C10" w:rsidRDefault="00556C10" w:rsidP="00556C10">
      <w:pPr>
        <w:tabs>
          <w:tab w:val="left" w:pos="90"/>
        </w:tabs>
        <w:spacing w:line="216" w:lineRule="auto"/>
        <w:rPr>
          <w:i/>
          <w:sz w:val="23"/>
          <w:szCs w:val="23"/>
          <w:rtl/>
        </w:rPr>
      </w:pPr>
      <w:r w:rsidRPr="005C611F">
        <w:rPr>
          <w:rFonts w:hint="cs"/>
          <w:i/>
          <w:sz w:val="23"/>
          <w:szCs w:val="23"/>
          <w:rtl/>
        </w:rPr>
        <w:t xml:space="preserve">شوک مثبت مخارج دولت باعث افزایش اولیه تولید، ولی کاهش مصرف به جهت افزایش مطلوبیت </w:t>
      </w:r>
    </w:p>
    <w:p w14:paraId="683C8A1E" w14:textId="77777777" w:rsidR="00556C10" w:rsidRDefault="00556C10" w:rsidP="00556C10">
      <w:pPr>
        <w:tabs>
          <w:tab w:val="left" w:pos="90"/>
        </w:tabs>
        <w:spacing w:line="216" w:lineRule="auto"/>
        <w:rPr>
          <w:i/>
          <w:sz w:val="23"/>
          <w:szCs w:val="23"/>
          <w:rtl/>
        </w:rPr>
      </w:pPr>
      <w:r w:rsidRPr="005C611F">
        <w:rPr>
          <w:rFonts w:hint="cs"/>
          <w:i/>
          <w:sz w:val="23"/>
          <w:szCs w:val="23"/>
          <w:rtl/>
        </w:rPr>
        <w:t>نهایی کار و تمایل بیشتر خانوار به کار کردن خواهد شد. در نتیجه اثرات بر دستمزد‌های حقیقی، هزینه‌های نهایی و قیمت‌ها کوچک خواهند بود.</w:t>
      </w:r>
    </w:p>
    <w:p w14:paraId="758B8407"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شوک منفی سیاست پولی از طریق افزایش نرخ بهره</w:t>
      </w:r>
      <w:r w:rsidRPr="005C611F">
        <w:rPr>
          <w:i/>
          <w:sz w:val="23"/>
          <w:szCs w:val="23"/>
          <w:rtl/>
        </w:rPr>
        <w:softHyphen/>
      </w:r>
      <w:r w:rsidRPr="005C611F">
        <w:rPr>
          <w:rFonts w:hint="cs"/>
          <w:i/>
          <w:sz w:val="23"/>
          <w:szCs w:val="23"/>
          <w:rtl/>
        </w:rPr>
        <w:t>ی</w:t>
      </w:r>
      <w:r w:rsidRPr="00F4704A">
        <w:rPr>
          <w:position w:val="-10"/>
        </w:rPr>
        <w:object w:dxaOrig="320" w:dyaOrig="340" w14:anchorId="3D795000">
          <v:shape id="_x0000_i8253" type="#_x0000_t75" style="width:15.75pt;height:16.95pt" o:ole="">
            <v:imagedata r:id="rId14592" o:title=""/>
          </v:shape>
          <o:OLEObject Type="Embed" ProgID="Equation.DSMT4" ShapeID="_x0000_i8253" DrawAspect="Content" ObjectID="_1791382196" r:id="rId14593"/>
        </w:object>
      </w:r>
      <w:r w:rsidRPr="005C611F">
        <w:rPr>
          <w:rFonts w:hint="cs"/>
          <w:i/>
          <w:sz w:val="23"/>
          <w:szCs w:val="23"/>
          <w:rtl/>
        </w:rPr>
        <w:t>، اثرات موقتی بر کلیه‌ی متغیرها (به جز سطح قیمت که به طور دائم کاهش می‌یابد) خواهد داشت. برای دوره‌های اولیه، نرخ بهره</w:t>
      </w:r>
      <w:r w:rsidRPr="005C611F">
        <w:rPr>
          <w:i/>
          <w:sz w:val="23"/>
          <w:szCs w:val="23"/>
          <w:rtl/>
        </w:rPr>
        <w:softHyphen/>
      </w:r>
      <w:r w:rsidRPr="005C611F">
        <w:rPr>
          <w:rFonts w:hint="cs"/>
          <w:i/>
          <w:sz w:val="23"/>
          <w:szCs w:val="23"/>
          <w:rtl/>
        </w:rPr>
        <w:t xml:space="preserve">ی کوتاه‌مدت </w:t>
      </w:r>
      <w:r w:rsidRPr="005C611F">
        <w:rPr>
          <w:rFonts w:hint="cs"/>
          <w:i/>
          <w:sz w:val="23"/>
          <w:szCs w:val="23"/>
          <w:rtl/>
        </w:rPr>
        <w:lastRenderedPageBreak/>
        <w:t>حقیقی و اسمی ‌افزایش، و تولید، مصرف، سرمایه</w:t>
      </w:r>
      <w:r w:rsidRPr="005C611F">
        <w:rPr>
          <w:i/>
          <w:sz w:val="23"/>
          <w:szCs w:val="23"/>
          <w:rtl/>
        </w:rPr>
        <w:softHyphen/>
      </w:r>
      <w:r w:rsidRPr="005C611F">
        <w:rPr>
          <w:rFonts w:hint="cs"/>
          <w:i/>
          <w:sz w:val="23"/>
          <w:szCs w:val="23"/>
          <w:rtl/>
        </w:rPr>
        <w:t>گذاری و دستمزدهای حقیقی کاهش می‌یابند. اثر بر سرمایه</w:t>
      </w:r>
      <w:r w:rsidRPr="005C611F">
        <w:rPr>
          <w:i/>
          <w:sz w:val="23"/>
          <w:szCs w:val="23"/>
          <w:rtl/>
        </w:rPr>
        <w:softHyphen/>
      </w:r>
      <w:r w:rsidRPr="005C611F">
        <w:rPr>
          <w:rFonts w:hint="cs"/>
          <w:i/>
          <w:sz w:val="23"/>
          <w:szCs w:val="23"/>
          <w:rtl/>
        </w:rPr>
        <w:t xml:space="preserve">گذاری سه برابر بزرگتر از اثر بر مصرف است. در مجموع، این اثرات، با دیگر شواهد منطقه‌ی اروپا سازگار بوده، اگر چه اثرات قیمت در مدل، تا حدودی بیشتر از برخی مدل‌های </w:t>
      </w:r>
      <w:r w:rsidRPr="005C611F">
        <w:rPr>
          <w:i/>
          <w:sz w:val="23"/>
          <w:szCs w:val="23"/>
        </w:rPr>
        <w:t>VAR</w:t>
      </w:r>
      <w:r w:rsidRPr="005C611F">
        <w:rPr>
          <w:rFonts w:hint="cs"/>
          <w:i/>
          <w:sz w:val="23"/>
          <w:szCs w:val="23"/>
          <w:rtl/>
        </w:rPr>
        <w:t xml:space="preserve"> برآورد شده است.</w:t>
      </w:r>
    </w:p>
    <w:p w14:paraId="0454E64D"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یک افزایش دائمی‌ در تورم هدف</w:t>
      </w:r>
      <w:r w:rsidRPr="005C611F">
        <w:rPr>
          <w:i/>
          <w:sz w:val="23"/>
          <w:szCs w:val="23"/>
          <w:rtl/>
        </w:rPr>
        <w:softHyphen/>
      </w:r>
      <w:r w:rsidRPr="005C611F">
        <w:rPr>
          <w:rFonts w:hint="cs"/>
          <w:i/>
          <w:sz w:val="23"/>
          <w:szCs w:val="23"/>
          <w:rtl/>
        </w:rPr>
        <w:t xml:space="preserve">گذاری شده </w:t>
      </w:r>
      <w:r w:rsidRPr="00F4704A">
        <w:rPr>
          <w:position w:val="-10"/>
        </w:rPr>
        <w:object w:dxaOrig="300" w:dyaOrig="320" w14:anchorId="71FEE3C4">
          <v:shape id="_x0000_i8254" type="#_x0000_t75" style="width:14.5pt;height:15.75pt" o:ole="">
            <v:imagedata r:id="rId14594" o:title=""/>
          </v:shape>
          <o:OLEObject Type="Embed" ProgID="Equation.DSMT4" ShapeID="_x0000_i8254" DrawAspect="Content" ObjectID="_1791382197" r:id="rId14595"/>
        </w:object>
      </w:r>
      <w:r w:rsidRPr="005C611F">
        <w:rPr>
          <w:rFonts w:hint="cs"/>
          <w:i/>
          <w:sz w:val="23"/>
          <w:szCs w:val="23"/>
          <w:rtl/>
        </w:rPr>
        <w:t xml:space="preserve"> بر تولید، مصرف، اشتغال، نرخ دستمزد حقیقی، یا نرخ بهره‌ی حقیقی اثرات ضعیفی دارد. هر چند تمامی ‌این متغیرها سریعاً افزایش می‌یابند. اثر این شوک بر سرمایه</w:t>
      </w:r>
      <w:r w:rsidRPr="005C611F">
        <w:rPr>
          <w:i/>
          <w:sz w:val="23"/>
          <w:szCs w:val="23"/>
          <w:rtl/>
        </w:rPr>
        <w:softHyphen/>
      </w:r>
      <w:r w:rsidRPr="005C611F">
        <w:rPr>
          <w:rFonts w:hint="cs"/>
          <w:i/>
          <w:sz w:val="23"/>
          <w:szCs w:val="23"/>
          <w:rtl/>
        </w:rPr>
        <w:t>گذاری بیشتر، و البته باعث افزایش دائمی‌سطح قیمت خواهد شد.</w:t>
      </w:r>
    </w:p>
    <w:p w14:paraId="4813BEDC"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سهم هر یک از شوک‌های ساختاری در تغییرات متغیرهای درون</w:t>
      </w:r>
      <w:r w:rsidRPr="005C611F">
        <w:rPr>
          <w:i/>
          <w:sz w:val="23"/>
          <w:szCs w:val="23"/>
          <w:rtl/>
        </w:rPr>
        <w:softHyphen/>
      </w:r>
      <w:r w:rsidRPr="005C611F">
        <w:rPr>
          <w:rFonts w:hint="cs"/>
          <w:i/>
          <w:sz w:val="23"/>
          <w:szCs w:val="23"/>
          <w:rtl/>
        </w:rPr>
        <w:t>زا را می</w:t>
      </w:r>
      <w:r w:rsidRPr="005C611F">
        <w:rPr>
          <w:i/>
          <w:sz w:val="23"/>
          <w:szCs w:val="23"/>
          <w:rtl/>
        </w:rPr>
        <w:softHyphen/>
      </w:r>
      <w:r w:rsidRPr="005C611F">
        <w:rPr>
          <w:rFonts w:hint="cs"/>
          <w:i/>
          <w:sz w:val="23"/>
          <w:szCs w:val="23"/>
          <w:rtl/>
        </w:rPr>
        <w:t>توان از واریانس خطای پیش</w:t>
      </w:r>
      <w:r w:rsidRPr="005C611F">
        <w:rPr>
          <w:i/>
          <w:sz w:val="23"/>
          <w:szCs w:val="23"/>
          <w:rtl/>
        </w:rPr>
        <w:softHyphen/>
      </w:r>
      <w:r w:rsidRPr="005C611F">
        <w:rPr>
          <w:rFonts w:hint="cs"/>
          <w:i/>
          <w:sz w:val="23"/>
          <w:szCs w:val="23"/>
          <w:rtl/>
        </w:rPr>
        <w:t>بینی شده در افق‌های زمانی مختلف به دست آورد. در افق زمانی یک ساله، تغییرات تولید عمدتاً از شوک ترجیحات و شوک سیاست پولی به دست می‌آید. در میان‌مدت هر دوی این شوک‌ها غالب خواهند بود ولی دو شوک عرضه، یعنی شوک‌های بهره</w:t>
      </w:r>
      <w:r w:rsidRPr="005C611F">
        <w:rPr>
          <w:i/>
          <w:sz w:val="23"/>
          <w:szCs w:val="23"/>
          <w:rtl/>
        </w:rPr>
        <w:softHyphen/>
      </w:r>
      <w:r w:rsidRPr="005C611F">
        <w:rPr>
          <w:rFonts w:hint="cs"/>
          <w:i/>
          <w:sz w:val="23"/>
          <w:szCs w:val="23"/>
          <w:rtl/>
        </w:rPr>
        <w:t>وری و عرضه</w:t>
      </w:r>
      <w:r w:rsidRPr="005C611F">
        <w:rPr>
          <w:i/>
          <w:sz w:val="23"/>
          <w:szCs w:val="23"/>
          <w:rtl/>
        </w:rPr>
        <w:softHyphen/>
      </w:r>
      <w:r w:rsidRPr="005C611F">
        <w:rPr>
          <w:rFonts w:hint="cs"/>
          <w:i/>
          <w:sz w:val="23"/>
          <w:szCs w:val="23"/>
          <w:rtl/>
        </w:rPr>
        <w:t>ی کار در حدود ۲۰</w:t>
      </w:r>
      <w:r w:rsidRPr="005C611F">
        <w:rPr>
          <w:rFonts w:cs="Times New Roman"/>
          <w:i/>
          <w:sz w:val="23"/>
          <w:szCs w:val="23"/>
          <w:rtl/>
        </w:rPr>
        <w:t>٪</w:t>
      </w:r>
      <w:r w:rsidRPr="005C611F">
        <w:rPr>
          <w:rFonts w:hint="cs"/>
          <w:i/>
          <w:sz w:val="23"/>
          <w:szCs w:val="23"/>
          <w:rtl/>
        </w:rPr>
        <w:t xml:space="preserve"> واریانس خطای پیش</w:t>
      </w:r>
      <w:r w:rsidRPr="005C611F">
        <w:rPr>
          <w:i/>
          <w:sz w:val="23"/>
          <w:szCs w:val="23"/>
          <w:rtl/>
        </w:rPr>
        <w:softHyphen/>
      </w:r>
      <w:r w:rsidRPr="005C611F">
        <w:rPr>
          <w:rFonts w:hint="cs"/>
          <w:i/>
          <w:sz w:val="23"/>
          <w:szCs w:val="23"/>
          <w:rtl/>
        </w:rPr>
        <w:t>بینی شده را توضیح می‌دهند. در بلند‌مدت شوک عرضه‌ی کار غالب و مسلط است و شوک سیاست پولی تقریباً یک چهارم خطای پیش</w:t>
      </w:r>
      <w:r w:rsidRPr="005C611F">
        <w:rPr>
          <w:i/>
          <w:sz w:val="23"/>
          <w:szCs w:val="23"/>
          <w:rtl/>
        </w:rPr>
        <w:softHyphen/>
      </w:r>
      <w:r w:rsidRPr="005C611F">
        <w:rPr>
          <w:rFonts w:hint="cs"/>
          <w:i/>
          <w:sz w:val="23"/>
          <w:szCs w:val="23"/>
          <w:rtl/>
        </w:rPr>
        <w:t>بینی تولید را توضیح خواهد داد. شوک سیاست پولی عمدتاً از طریق سرمایه</w:t>
      </w:r>
      <w:r w:rsidRPr="005C611F">
        <w:rPr>
          <w:i/>
          <w:sz w:val="23"/>
          <w:szCs w:val="23"/>
          <w:rtl/>
        </w:rPr>
        <w:softHyphen/>
      </w:r>
      <w:r w:rsidRPr="005C611F">
        <w:rPr>
          <w:rFonts w:hint="cs"/>
          <w:i/>
          <w:sz w:val="23"/>
          <w:szCs w:val="23"/>
          <w:rtl/>
        </w:rPr>
        <w:t>گذاری منتقل می‌شود. شوک‌</w:t>
      </w:r>
      <w:r w:rsidRPr="005C611F">
        <w:rPr>
          <w:i/>
          <w:sz w:val="23"/>
          <w:szCs w:val="23"/>
          <w:rtl/>
        </w:rPr>
        <w:softHyphen/>
      </w:r>
      <w:r w:rsidRPr="005C611F">
        <w:rPr>
          <w:rFonts w:hint="cs"/>
          <w:i/>
          <w:sz w:val="23"/>
          <w:szCs w:val="23"/>
          <w:rtl/>
        </w:rPr>
        <w:t>های افزایش قیمت و دستمزد تغییرات تولید را کم</w:t>
      </w:r>
      <w:r w:rsidRPr="005C611F">
        <w:rPr>
          <w:i/>
          <w:sz w:val="23"/>
          <w:szCs w:val="23"/>
          <w:rtl/>
        </w:rPr>
        <w:softHyphen/>
      </w:r>
      <w:r w:rsidRPr="005C611F">
        <w:rPr>
          <w:rFonts w:hint="cs"/>
          <w:i/>
          <w:sz w:val="23"/>
          <w:szCs w:val="23"/>
          <w:rtl/>
        </w:rPr>
        <w:t>تر توضیح خواهند داد. با درنظر گرفتن این نتایج، دو شوک عرضه یعنی شوک‌های بهره</w:t>
      </w:r>
      <w:r w:rsidRPr="005C611F">
        <w:rPr>
          <w:i/>
          <w:sz w:val="23"/>
          <w:szCs w:val="23"/>
          <w:rtl/>
        </w:rPr>
        <w:softHyphen/>
      </w:r>
      <w:r w:rsidRPr="005C611F">
        <w:rPr>
          <w:rFonts w:hint="cs"/>
          <w:i/>
          <w:sz w:val="23"/>
          <w:szCs w:val="23"/>
          <w:rtl/>
        </w:rPr>
        <w:t>وری و شوک نیروی کار فقط ۳۷</w:t>
      </w:r>
      <w:r w:rsidRPr="005C611F">
        <w:rPr>
          <w:rFonts w:cs="Times New Roman"/>
          <w:i/>
          <w:sz w:val="23"/>
          <w:szCs w:val="23"/>
          <w:rtl/>
        </w:rPr>
        <w:t>٪</w:t>
      </w:r>
      <w:r w:rsidRPr="005C611F">
        <w:rPr>
          <w:rFonts w:hint="cs"/>
          <w:i/>
          <w:sz w:val="23"/>
          <w:szCs w:val="23"/>
          <w:rtl/>
        </w:rPr>
        <w:t xml:space="preserve"> از واریانس خطای پیش</w:t>
      </w:r>
      <w:r w:rsidRPr="005C611F">
        <w:rPr>
          <w:i/>
          <w:sz w:val="23"/>
          <w:szCs w:val="23"/>
          <w:rtl/>
        </w:rPr>
        <w:softHyphen/>
      </w:r>
      <w:r w:rsidRPr="005C611F">
        <w:rPr>
          <w:rFonts w:hint="cs"/>
          <w:i/>
          <w:sz w:val="23"/>
          <w:szCs w:val="23"/>
          <w:rtl/>
        </w:rPr>
        <w:t xml:space="preserve">بینی بلند‌مدت تولید که کمتر از بسیاری از مطالعات </w:t>
      </w:r>
      <w:r w:rsidRPr="005C611F">
        <w:rPr>
          <w:i/>
          <w:sz w:val="23"/>
          <w:szCs w:val="23"/>
        </w:rPr>
        <w:t>VAR</w:t>
      </w:r>
      <w:r w:rsidRPr="005C611F">
        <w:rPr>
          <w:rFonts w:hint="cs"/>
          <w:i/>
          <w:sz w:val="23"/>
          <w:szCs w:val="23"/>
          <w:rtl/>
        </w:rPr>
        <w:t xml:space="preserve"> می‌باشد، را توضیح می‌دهد. اهمیت حدود شوک‌های بهره</w:t>
      </w:r>
      <w:r w:rsidRPr="005C611F">
        <w:rPr>
          <w:i/>
          <w:sz w:val="23"/>
          <w:szCs w:val="23"/>
          <w:rtl/>
        </w:rPr>
        <w:softHyphen/>
      </w:r>
      <w:r w:rsidRPr="005C611F">
        <w:rPr>
          <w:rFonts w:hint="cs"/>
          <w:i/>
          <w:sz w:val="23"/>
          <w:szCs w:val="23"/>
          <w:rtl/>
        </w:rPr>
        <w:t>وری که حداکثر ۱۲</w:t>
      </w:r>
      <w:r w:rsidRPr="005C611F">
        <w:rPr>
          <w:rFonts w:cs="Times New Roman"/>
          <w:i/>
          <w:sz w:val="23"/>
          <w:szCs w:val="23"/>
          <w:rtl/>
        </w:rPr>
        <w:t>٪</w:t>
      </w:r>
      <w:r w:rsidRPr="005C611F">
        <w:rPr>
          <w:rFonts w:hint="cs"/>
          <w:i/>
          <w:sz w:val="23"/>
          <w:szCs w:val="23"/>
          <w:rtl/>
        </w:rPr>
        <w:t xml:space="preserve">  واریانس خطای پیش</w:t>
      </w:r>
      <w:r w:rsidRPr="005C611F">
        <w:rPr>
          <w:i/>
          <w:sz w:val="23"/>
          <w:szCs w:val="23"/>
          <w:rtl/>
        </w:rPr>
        <w:softHyphen/>
      </w:r>
      <w:r w:rsidRPr="005C611F">
        <w:rPr>
          <w:rFonts w:hint="cs"/>
          <w:i/>
          <w:sz w:val="23"/>
          <w:szCs w:val="23"/>
          <w:rtl/>
        </w:rPr>
        <w:t xml:space="preserve">بینی تولید را توضیح می‌دهد، احتمالاً بخاطر همبستگی منفی بین تولید و اشتغال است. </w:t>
      </w:r>
    </w:p>
    <w:p w14:paraId="388DE22D"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در کوتاه‌مدت، تغییرات تورم عمدتا</w:t>
      </w:r>
      <w:r>
        <w:rPr>
          <w:rFonts w:hint="cs"/>
          <w:i/>
          <w:sz w:val="23"/>
          <w:szCs w:val="23"/>
          <w:rtl/>
        </w:rPr>
        <w:t>ً بخاطر شوک‌های افزایش قیمت است</w:t>
      </w:r>
      <w:r w:rsidRPr="005C611F">
        <w:rPr>
          <w:rFonts w:hint="cs"/>
          <w:i/>
          <w:sz w:val="23"/>
          <w:szCs w:val="23"/>
          <w:rtl/>
        </w:rPr>
        <w:t xml:space="preserve"> که بنظر می‌رسد فرایندی است بشدت کُند، و فقط تورم بتدریج به تغییرات جاری و انتظاری هزینه</w:t>
      </w:r>
      <w:r w:rsidRPr="005C611F">
        <w:rPr>
          <w:i/>
          <w:sz w:val="23"/>
          <w:szCs w:val="23"/>
          <w:rtl/>
        </w:rPr>
        <w:softHyphen/>
      </w:r>
      <w:r w:rsidRPr="005C611F">
        <w:rPr>
          <w:rFonts w:hint="cs"/>
          <w:i/>
          <w:sz w:val="23"/>
          <w:szCs w:val="23"/>
          <w:rtl/>
        </w:rPr>
        <w:t>ی نهایی پاسخ می‌دهد. در میان‌</w:t>
      </w:r>
      <w:r>
        <w:rPr>
          <w:rFonts w:hint="cs"/>
          <w:i/>
          <w:sz w:val="23"/>
          <w:szCs w:val="23"/>
          <w:rtl/>
        </w:rPr>
        <w:t>مدت و بلند‌مدت، شوک‌های</w:t>
      </w:r>
      <w:r w:rsidRPr="005C611F">
        <w:rPr>
          <w:rFonts w:hint="cs"/>
          <w:i/>
          <w:sz w:val="23"/>
          <w:szCs w:val="23"/>
          <w:rtl/>
        </w:rPr>
        <w:t xml:space="preserve"> ترجیحی</w:t>
      </w:r>
      <w:r>
        <w:rPr>
          <w:rFonts w:hint="cs"/>
          <w:i/>
          <w:sz w:val="23"/>
          <w:szCs w:val="23"/>
          <w:rtl/>
        </w:rPr>
        <w:t>ات</w:t>
      </w:r>
      <w:r w:rsidRPr="005C611F">
        <w:rPr>
          <w:rFonts w:hint="cs"/>
          <w:i/>
          <w:sz w:val="23"/>
          <w:szCs w:val="23"/>
          <w:rtl/>
        </w:rPr>
        <w:t xml:space="preserve"> و شوک‌های عرضه</w:t>
      </w:r>
      <w:r w:rsidRPr="005C611F">
        <w:rPr>
          <w:i/>
          <w:sz w:val="23"/>
          <w:szCs w:val="23"/>
          <w:rtl/>
        </w:rPr>
        <w:softHyphen/>
      </w:r>
      <w:r w:rsidRPr="005C611F">
        <w:rPr>
          <w:rFonts w:hint="cs"/>
          <w:i/>
          <w:sz w:val="23"/>
          <w:szCs w:val="23"/>
          <w:rtl/>
        </w:rPr>
        <w:t>ی کار در حدود ۲۰</w:t>
      </w:r>
      <w:r w:rsidRPr="005C611F">
        <w:rPr>
          <w:rFonts w:cs="Times New Roman"/>
          <w:i/>
          <w:sz w:val="23"/>
          <w:szCs w:val="23"/>
          <w:rtl/>
        </w:rPr>
        <w:t>٪</w:t>
      </w:r>
      <w:r w:rsidRPr="005C611F">
        <w:rPr>
          <w:rFonts w:hint="cs"/>
          <w:i/>
          <w:sz w:val="23"/>
          <w:szCs w:val="23"/>
          <w:rtl/>
        </w:rPr>
        <w:t xml:space="preserve"> تغییرات تورم، و درحالی که شوک‌های سیاست پولی حدودا ۱۵</w:t>
      </w:r>
      <w:r w:rsidRPr="005C611F">
        <w:rPr>
          <w:rFonts w:cs="Times New Roman"/>
          <w:i/>
          <w:sz w:val="23"/>
          <w:szCs w:val="23"/>
          <w:rtl/>
        </w:rPr>
        <w:t>٪</w:t>
      </w:r>
      <w:r w:rsidRPr="005C611F">
        <w:rPr>
          <w:rFonts w:hint="cs"/>
          <w:i/>
          <w:sz w:val="23"/>
          <w:szCs w:val="23"/>
          <w:rtl/>
        </w:rPr>
        <w:t xml:space="preserve"> تغییرات تورم را ایجاد خواهند کرد.</w:t>
      </w:r>
    </w:p>
    <w:p w14:paraId="362AB389"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بطور خلاصه در مطالعات اسمتس و وترس سه شوک ساختاری، بخش معنی</w:t>
      </w:r>
      <w:r w:rsidRPr="005C611F">
        <w:rPr>
          <w:i/>
          <w:sz w:val="23"/>
          <w:szCs w:val="23"/>
          <w:rtl/>
        </w:rPr>
        <w:softHyphen/>
      </w:r>
      <w:r w:rsidRPr="005C611F">
        <w:rPr>
          <w:rFonts w:hint="cs"/>
          <w:i/>
          <w:sz w:val="23"/>
          <w:szCs w:val="23"/>
          <w:rtl/>
        </w:rPr>
        <w:t>داری از تغییرات تولید، تورم و نرخ‌های بهره را در افق زمانی میان‌مدت و بلند‌مدت توضیح می‌دهند. این شوک‌ها عبارتند از شوک دلخواه و ترجیحی، شوک عرضه</w:t>
      </w:r>
      <w:r w:rsidRPr="005C611F">
        <w:rPr>
          <w:i/>
          <w:sz w:val="23"/>
          <w:szCs w:val="23"/>
          <w:rtl/>
        </w:rPr>
        <w:softHyphen/>
      </w:r>
      <w:r w:rsidRPr="005C611F">
        <w:rPr>
          <w:rFonts w:hint="cs"/>
          <w:i/>
          <w:sz w:val="23"/>
          <w:szCs w:val="23"/>
          <w:rtl/>
        </w:rPr>
        <w:t>ی کار و شوک سیاست پولی. بعلاوه شوک افزایش قیمت، نقش مهمی‌ در تورم و نه تولید دارد. درحالی</w:t>
      </w:r>
      <w:r w:rsidRPr="005C611F">
        <w:rPr>
          <w:i/>
          <w:sz w:val="23"/>
          <w:szCs w:val="23"/>
          <w:rtl/>
        </w:rPr>
        <w:softHyphen/>
      </w:r>
      <w:r w:rsidRPr="005C611F">
        <w:rPr>
          <w:rFonts w:hint="cs"/>
          <w:i/>
          <w:sz w:val="23"/>
          <w:szCs w:val="23"/>
          <w:rtl/>
        </w:rPr>
        <w:t>که شوک بهره</w:t>
      </w:r>
      <w:r w:rsidRPr="005C611F">
        <w:rPr>
          <w:i/>
          <w:sz w:val="23"/>
          <w:szCs w:val="23"/>
          <w:rtl/>
        </w:rPr>
        <w:softHyphen/>
      </w:r>
      <w:r w:rsidRPr="005C611F">
        <w:rPr>
          <w:rFonts w:hint="cs"/>
          <w:i/>
          <w:sz w:val="23"/>
          <w:szCs w:val="23"/>
          <w:rtl/>
        </w:rPr>
        <w:t xml:space="preserve">وری در حدود </w:t>
      </w:r>
      <w:r w:rsidRPr="005C611F">
        <w:rPr>
          <w:rFonts w:cs="Times New Roman"/>
          <w:i/>
          <w:sz w:val="23"/>
          <w:szCs w:val="23"/>
          <w:rtl/>
        </w:rPr>
        <w:t>٪</w:t>
      </w:r>
      <w:r w:rsidRPr="005C611F">
        <w:rPr>
          <w:rFonts w:hint="cs"/>
          <w:i/>
          <w:sz w:val="23"/>
          <w:szCs w:val="23"/>
          <w:rtl/>
        </w:rPr>
        <w:t>۱۰ تغییرات تولید را ایجاد کرده و بر تورم بی</w:t>
      </w:r>
      <w:r w:rsidRPr="005C611F">
        <w:rPr>
          <w:i/>
          <w:sz w:val="23"/>
          <w:szCs w:val="23"/>
          <w:rtl/>
        </w:rPr>
        <w:softHyphen/>
      </w:r>
      <w:r w:rsidRPr="005C611F">
        <w:rPr>
          <w:rFonts w:hint="cs"/>
          <w:i/>
          <w:sz w:val="23"/>
          <w:szCs w:val="23"/>
          <w:rtl/>
        </w:rPr>
        <w:t>تاثیر است. این دو محقق نتایج متناظر شوک‌های مخارج دولت را مکتوب و گزارش نکرده، اگرچه این شوک‌ها اثرات موقتی زیادی بر تولید دارند. این نکات نتایج قبلی مدل چرخه‌های تجاری حقیقی را با تاکید بر شوک‌های بهره</w:t>
      </w:r>
      <w:r w:rsidRPr="005C611F">
        <w:rPr>
          <w:i/>
          <w:sz w:val="23"/>
          <w:szCs w:val="23"/>
          <w:rtl/>
        </w:rPr>
        <w:softHyphen/>
      </w:r>
      <w:r w:rsidRPr="005C611F">
        <w:rPr>
          <w:rFonts w:hint="cs"/>
          <w:i/>
          <w:sz w:val="23"/>
          <w:szCs w:val="23"/>
          <w:rtl/>
        </w:rPr>
        <w:t>وری تایید نموده، نماینده‌ی مناسبی برای اقتصاد و حتی تولید نمی‌باشند، و این‌که اثرات سیاست پولی و احتمالا مالی می‌بایست در مدل اقتصاد کلان تعادل عمومی‌ پویا با اثرات عرضه‌ی کار نشان داده شوند.</w:t>
      </w:r>
    </w:p>
    <w:p w14:paraId="1F366AC9" w14:textId="77777777" w:rsidR="00556C10" w:rsidRPr="005C611F" w:rsidRDefault="00556C10" w:rsidP="00556C10">
      <w:pPr>
        <w:tabs>
          <w:tab w:val="left" w:pos="90"/>
        </w:tabs>
        <w:spacing w:line="216" w:lineRule="auto"/>
        <w:rPr>
          <w:i/>
          <w:sz w:val="23"/>
          <w:szCs w:val="23"/>
          <w:rtl/>
        </w:rPr>
      </w:pPr>
    </w:p>
    <w:p w14:paraId="05AB5699" w14:textId="77777777" w:rsidR="00556C10" w:rsidRPr="005C611F" w:rsidRDefault="00556C10" w:rsidP="00556C10">
      <w:pPr>
        <w:tabs>
          <w:tab w:val="left" w:pos="90"/>
        </w:tabs>
        <w:spacing w:line="216" w:lineRule="auto"/>
        <w:rPr>
          <w:bCs/>
          <w:i/>
          <w:sz w:val="23"/>
          <w:szCs w:val="23"/>
          <w:rtl/>
        </w:rPr>
      </w:pPr>
      <w:r w:rsidRPr="005C611F">
        <w:rPr>
          <w:rFonts w:hint="cs"/>
          <w:bCs/>
          <w:i/>
          <w:sz w:val="23"/>
          <w:szCs w:val="23"/>
          <w:rtl/>
        </w:rPr>
        <w:lastRenderedPageBreak/>
        <w:t>نتایج</w:t>
      </w:r>
    </w:p>
    <w:p w14:paraId="1925DA31"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مهمترین هدف ارائه‌ی شواهد تجربی مدل‌های تعادل عمومی ‌پویا، عبارت است از توسعه‌ی نظریه‌های بنیادین و زیربنایی، و دانش و درک و فهم اقتصاد کلان. این هدف یکی از مهمترین جاذبه‌های تجزیه و تحلیل در این فصل بوده است. در این فصل به این نکته اشاره کردیم که هر نقطه ضعفی در توانایی مدل تعادل عمومی ‌پویا برای توضیح داده‌های مشاهده شده می‌بایست با تجدید نظر در نظریه اقتصادی تا تکیه بر مدل و افزودن عبارات اضافی پویایی در مدل اصلاح شود. نقطه‌ی ضعف اقتصادسنجی سری‌های زمانی آن است که در این روش، توجه بسیار زیادی به استخراج مدل‌های با خواص آماری قابل قبول، و عدم توجه کافی به نقش نظریه‌های اقتصاد کلان است. نتیجه شوم و نافرجام آن است که اقتصاد کلان</w:t>
      </w:r>
      <w:r w:rsidRPr="005C611F">
        <w:rPr>
          <w:rFonts w:hint="cs"/>
          <w:i/>
          <w:sz w:val="23"/>
          <w:szCs w:val="23"/>
          <w:rtl/>
        </w:rPr>
        <w:softHyphen/>
        <w:t>دآن‌ها بطور فزاینده</w:t>
      </w:r>
      <w:r w:rsidRPr="005C611F">
        <w:rPr>
          <w:i/>
          <w:sz w:val="23"/>
          <w:szCs w:val="23"/>
          <w:rtl/>
        </w:rPr>
        <w:softHyphen/>
      </w:r>
      <w:r w:rsidRPr="005C611F">
        <w:rPr>
          <w:rFonts w:hint="cs"/>
          <w:i/>
          <w:sz w:val="23"/>
          <w:szCs w:val="23"/>
          <w:rtl/>
        </w:rPr>
        <w:t>ای شواهد تجربی مدل‌های خود را نادیده انگاشته و هنگامی‌که داده‌ها را بکار می‌گیرند خواص آماری ضعیف را می</w:t>
      </w:r>
      <w:r w:rsidRPr="005C611F">
        <w:rPr>
          <w:i/>
          <w:sz w:val="23"/>
          <w:szCs w:val="23"/>
          <w:rtl/>
        </w:rPr>
        <w:softHyphen/>
      </w:r>
      <w:r w:rsidRPr="005C611F">
        <w:rPr>
          <w:rFonts w:hint="cs"/>
          <w:i/>
          <w:sz w:val="23"/>
          <w:szCs w:val="23"/>
          <w:rtl/>
        </w:rPr>
        <w:t>پذیرند. چالش مهم اقتصادسنجی، حفظ رابطه با نظریه</w:t>
      </w:r>
      <w:r w:rsidRPr="005C611F">
        <w:rPr>
          <w:i/>
          <w:sz w:val="23"/>
          <w:szCs w:val="23"/>
          <w:rtl/>
        </w:rPr>
        <w:softHyphen/>
      </w:r>
      <w:r w:rsidRPr="005C611F">
        <w:rPr>
          <w:rFonts w:hint="cs"/>
          <w:i/>
          <w:sz w:val="23"/>
          <w:szCs w:val="23"/>
          <w:rtl/>
        </w:rPr>
        <w:t>های اقتصاد کلان است، و چالش نظریه اقتصاد کلان، وجود شواهد سازگار با قواعد استنتاج</w:t>
      </w:r>
      <w:r w:rsidRPr="005C611F">
        <w:rPr>
          <w:i/>
          <w:sz w:val="23"/>
          <w:szCs w:val="23"/>
          <w:rtl/>
        </w:rPr>
        <w:softHyphen/>
      </w:r>
      <w:r w:rsidRPr="005C611F">
        <w:rPr>
          <w:rFonts w:hint="cs"/>
          <w:i/>
          <w:sz w:val="23"/>
          <w:szCs w:val="23"/>
          <w:rtl/>
        </w:rPr>
        <w:t>های آماری و بدون مصالحه و سازش در خصوص تعادل عمومی‌ است.</w:t>
      </w:r>
    </w:p>
    <w:p w14:paraId="5C303C87" w14:textId="77777777" w:rsidR="00556C10" w:rsidRPr="005C611F" w:rsidRDefault="00556C10" w:rsidP="00556C10">
      <w:pPr>
        <w:tabs>
          <w:tab w:val="left" w:pos="90"/>
        </w:tabs>
        <w:spacing w:line="216" w:lineRule="auto"/>
        <w:rPr>
          <w:i/>
          <w:sz w:val="23"/>
          <w:szCs w:val="23"/>
          <w:rtl/>
        </w:rPr>
      </w:pPr>
      <w:r w:rsidRPr="005C611F">
        <w:rPr>
          <w:rFonts w:hint="cs"/>
          <w:i/>
          <w:sz w:val="23"/>
          <w:szCs w:val="23"/>
          <w:rtl/>
        </w:rPr>
        <w:t>در این فصل، تعداد کمی ‌از مقالات مهم و کلیدی را برای بررسی دقیق و موشکافانه‌ی خصوصیات تجربی انتخاب نمودیم. این مدل‌ها شامل مدل‌های چرخه‌های تجاری حقیقی اقتصاد بسته و باز، و همچنین مدل تعادل عمومی‌ پویای اقتصاد پولی بود. مهمترین یافته‌ها آن بود که اگر چه نوسانات تولید (یعنی چرخه‌های تجاری) متأثر از شوک‌های بهره</w:t>
      </w:r>
      <w:r w:rsidRPr="005C611F">
        <w:rPr>
          <w:i/>
          <w:sz w:val="23"/>
          <w:szCs w:val="23"/>
          <w:rtl/>
        </w:rPr>
        <w:softHyphen/>
      </w:r>
      <w:r w:rsidRPr="005C611F">
        <w:rPr>
          <w:rFonts w:hint="cs"/>
          <w:i/>
          <w:sz w:val="23"/>
          <w:szCs w:val="23"/>
          <w:rtl/>
        </w:rPr>
        <w:t>وری است، ولی شوک‌های دیگری همانند شوک‌های پولی نیز بر تولید تأثیر می‌گذارند. شواهدی مبنی بر اهمیت شوک‌های عرضه‌ی کار و شوک‌های دلبخواه و ترجیحی نیز وجود دارند. بنظر می‌رسد که تورم بواسطه‌ی شوک‌های پولی و شوک‌های افزایش قیمت بوجود می‌آید ولی پاسخ تورم بکندی است. این نتیجه انعطاف</w:t>
      </w:r>
      <w:r w:rsidRPr="005C611F">
        <w:rPr>
          <w:i/>
          <w:sz w:val="23"/>
          <w:szCs w:val="23"/>
          <w:rtl/>
        </w:rPr>
        <w:softHyphen/>
      </w:r>
      <w:r w:rsidRPr="005C611F">
        <w:rPr>
          <w:rFonts w:hint="cs"/>
          <w:i/>
          <w:sz w:val="23"/>
          <w:szCs w:val="23"/>
          <w:rtl/>
        </w:rPr>
        <w:t>پذیری قیمت‌ها را که قبلاً مورد بررسی قرارگرفت و رقابت انحصاری که باعث انعطاف</w:t>
      </w:r>
      <w:r w:rsidRPr="005C611F">
        <w:rPr>
          <w:i/>
          <w:sz w:val="23"/>
          <w:szCs w:val="23"/>
          <w:rtl/>
        </w:rPr>
        <w:softHyphen/>
      </w:r>
      <w:r w:rsidRPr="005C611F">
        <w:rPr>
          <w:rFonts w:hint="cs"/>
          <w:i/>
          <w:sz w:val="23"/>
          <w:szCs w:val="23"/>
          <w:rtl/>
        </w:rPr>
        <w:t>ناپذیری قیمت‌ها می‌شود را مورد تایید قرار می</w:t>
      </w:r>
      <w:r w:rsidRPr="005C611F">
        <w:rPr>
          <w:i/>
          <w:sz w:val="23"/>
          <w:szCs w:val="23"/>
          <w:rtl/>
        </w:rPr>
        <w:softHyphen/>
      </w:r>
      <w:r w:rsidRPr="005C611F">
        <w:rPr>
          <w:rFonts w:hint="cs"/>
          <w:i/>
          <w:sz w:val="23"/>
          <w:szCs w:val="23"/>
          <w:rtl/>
        </w:rPr>
        <w:t>دهد. انعطاف</w:t>
      </w:r>
      <w:r w:rsidRPr="005C611F">
        <w:rPr>
          <w:i/>
          <w:sz w:val="23"/>
          <w:szCs w:val="23"/>
          <w:rtl/>
        </w:rPr>
        <w:softHyphen/>
      </w:r>
      <w:r w:rsidRPr="005C611F">
        <w:rPr>
          <w:rFonts w:hint="cs"/>
          <w:i/>
          <w:sz w:val="23"/>
          <w:szCs w:val="23"/>
          <w:rtl/>
        </w:rPr>
        <w:t>پذیری قیمت‌ها، تعدیل پویای متغیر‌های حقیقی را نیز تحت تاثیر قرار می‌دهد.</w:t>
      </w:r>
    </w:p>
    <w:p w14:paraId="418EDFC2" w14:textId="77777777" w:rsidR="00556C10" w:rsidRPr="005C611F" w:rsidRDefault="00556C10" w:rsidP="00556C10">
      <w:pPr>
        <w:tabs>
          <w:tab w:val="left" w:pos="90"/>
        </w:tabs>
        <w:spacing w:line="216" w:lineRule="auto"/>
        <w:rPr>
          <w:i/>
          <w:sz w:val="23"/>
          <w:szCs w:val="23"/>
        </w:rPr>
      </w:pPr>
      <w:r w:rsidRPr="005C611F">
        <w:rPr>
          <w:rFonts w:hint="cs"/>
          <w:i/>
          <w:sz w:val="23"/>
          <w:szCs w:val="23"/>
          <w:rtl/>
        </w:rPr>
        <w:t>مدل پیچیده</w:t>
      </w:r>
      <w:r w:rsidRPr="005C611F">
        <w:rPr>
          <w:i/>
          <w:sz w:val="23"/>
          <w:szCs w:val="23"/>
        </w:rPr>
        <w:softHyphen/>
      </w:r>
      <w:r w:rsidRPr="005C611F">
        <w:rPr>
          <w:rFonts w:hint="cs"/>
          <w:i/>
          <w:sz w:val="23"/>
          <w:szCs w:val="23"/>
          <w:rtl/>
        </w:rPr>
        <w:t>تر نتیجه</w:t>
      </w:r>
      <w:r w:rsidRPr="005C611F">
        <w:rPr>
          <w:i/>
          <w:sz w:val="23"/>
          <w:szCs w:val="23"/>
          <w:rtl/>
        </w:rPr>
        <w:softHyphen/>
      </w:r>
      <w:r w:rsidRPr="005C611F">
        <w:rPr>
          <w:rFonts w:hint="cs"/>
          <w:i/>
          <w:sz w:val="23"/>
          <w:szCs w:val="23"/>
          <w:rtl/>
        </w:rPr>
        <w:t>ی اعتماد و اطمینان بیشتر به روش‌های عددی و تجزیه و تحلیل پاسخ پویای مدل به شوک‌ها و تغییر سیاست‌هاست. هرچند برای مدل‌های پیچیده تا حدودی ساده</w:t>
      </w:r>
      <w:r w:rsidRPr="005C611F">
        <w:rPr>
          <w:i/>
          <w:sz w:val="23"/>
          <w:szCs w:val="23"/>
          <w:rtl/>
        </w:rPr>
        <w:softHyphen/>
      </w:r>
      <w:r w:rsidRPr="005C611F">
        <w:rPr>
          <w:rFonts w:hint="cs"/>
          <w:i/>
          <w:sz w:val="23"/>
          <w:szCs w:val="23"/>
          <w:rtl/>
        </w:rPr>
        <w:t>تر است تا خواص تعادل عمومی‌ بلندمدت آن‌ها را بصورت تحلیلی استخراج نمود، و با ساده کردن مدل تعادل عمومی ‌پویا این امکان وجود دارد که خواص کوتاه‌مدت آن‌ها را به صورت تحلیلی استخراج نمود. با درنظرگرفتن این دو نکته ممکن است تقریب نزدیکی از این‌که چگونه اقتصاد رفتار می‌کند را بدست آورد.</w:t>
      </w:r>
    </w:p>
    <w:p w14:paraId="4935B3CE" w14:textId="1EEA3E51" w:rsidR="00556C10" w:rsidRDefault="00556C10" w:rsidP="00556C10">
      <w:pPr>
        <w:spacing w:line="216" w:lineRule="auto"/>
        <w:rPr>
          <w:i/>
          <w:sz w:val="23"/>
          <w:szCs w:val="23"/>
          <w:rtl/>
        </w:rPr>
      </w:pPr>
    </w:p>
    <w:p w14:paraId="1B656EE3" w14:textId="1D5BBC8E" w:rsidR="00556C10" w:rsidRDefault="00556C10" w:rsidP="00556C10">
      <w:pPr>
        <w:spacing w:line="216" w:lineRule="auto"/>
        <w:rPr>
          <w:i/>
          <w:sz w:val="23"/>
          <w:szCs w:val="23"/>
          <w:rtl/>
        </w:rPr>
      </w:pPr>
    </w:p>
    <w:p w14:paraId="635D4F01" w14:textId="0DACB4C7" w:rsidR="00556C10" w:rsidRDefault="00556C10" w:rsidP="00556C10">
      <w:pPr>
        <w:spacing w:line="216" w:lineRule="auto"/>
        <w:rPr>
          <w:i/>
          <w:sz w:val="23"/>
          <w:szCs w:val="23"/>
          <w:rtl/>
        </w:rPr>
      </w:pPr>
    </w:p>
    <w:p w14:paraId="35A000D9" w14:textId="564D5468" w:rsidR="00556C10" w:rsidRDefault="00556C10" w:rsidP="00556C10">
      <w:pPr>
        <w:spacing w:line="216" w:lineRule="auto"/>
        <w:rPr>
          <w:i/>
          <w:sz w:val="23"/>
          <w:szCs w:val="23"/>
          <w:rtl/>
        </w:rPr>
      </w:pPr>
    </w:p>
    <w:p w14:paraId="6FABEFDF" w14:textId="321E32E7" w:rsidR="00556C10" w:rsidRDefault="00556C10" w:rsidP="00556C10">
      <w:pPr>
        <w:spacing w:line="216" w:lineRule="auto"/>
        <w:rPr>
          <w:i/>
          <w:sz w:val="23"/>
          <w:szCs w:val="23"/>
          <w:rtl/>
        </w:rPr>
      </w:pPr>
    </w:p>
    <w:p w14:paraId="44CD7211" w14:textId="77777777" w:rsidR="00C51A70" w:rsidRPr="00C51A70" w:rsidRDefault="00C51A70" w:rsidP="00C51A70">
      <w:pPr>
        <w:tabs>
          <w:tab w:val="left" w:pos="0"/>
        </w:tabs>
        <w:bidi w:val="0"/>
        <w:spacing w:after="120" w:line="216" w:lineRule="auto"/>
        <w:jc w:val="right"/>
        <w:rPr>
          <w:b/>
          <w:bCs/>
          <w:sz w:val="28"/>
          <w:szCs w:val="28"/>
          <w:rtl/>
        </w:rPr>
      </w:pPr>
      <w:r w:rsidRPr="00C51A70">
        <w:rPr>
          <w:rFonts w:hint="cs"/>
          <w:b/>
          <w:bCs/>
          <w:sz w:val="28"/>
          <w:szCs w:val="28"/>
          <w:rtl/>
        </w:rPr>
        <w:lastRenderedPageBreak/>
        <w:t>فهرست منابع</w:t>
      </w:r>
    </w:p>
    <w:p w14:paraId="189DC7ED" w14:textId="77777777" w:rsidR="00C51A70" w:rsidRPr="00C51A70" w:rsidRDefault="00C51A70" w:rsidP="00C51A70">
      <w:pPr>
        <w:tabs>
          <w:tab w:val="left" w:pos="0"/>
        </w:tabs>
        <w:bidi w:val="0"/>
        <w:spacing w:after="120" w:line="216" w:lineRule="auto"/>
        <w:jc w:val="right"/>
        <w:rPr>
          <w:b/>
          <w:bCs/>
          <w:sz w:val="28"/>
          <w:szCs w:val="28"/>
          <w:rtl/>
        </w:rPr>
      </w:pPr>
    </w:p>
    <w:p w14:paraId="780B8917" w14:textId="77777777" w:rsidR="00C51A70" w:rsidRPr="00C51A70" w:rsidRDefault="00C51A70" w:rsidP="00C51A70">
      <w:pPr>
        <w:tabs>
          <w:tab w:val="left" w:pos="0"/>
        </w:tabs>
        <w:bidi w:val="0"/>
        <w:spacing w:after="120" w:line="216" w:lineRule="auto"/>
        <w:rPr>
          <w:sz w:val="22"/>
          <w:szCs w:val="22"/>
        </w:rPr>
      </w:pPr>
      <w:r w:rsidRPr="00C51A70">
        <w:rPr>
          <w:sz w:val="22"/>
          <w:szCs w:val="22"/>
        </w:rPr>
        <w:t xml:space="preserve">Buchanan, J. M. 1976. Barro on the Ricardian equivalence theorem. </w:t>
      </w:r>
      <w:r w:rsidRPr="00C51A70">
        <w:rPr>
          <w:iCs/>
          <w:sz w:val="22"/>
          <w:szCs w:val="22"/>
        </w:rPr>
        <w:t xml:space="preserve">Journal of Political Economy </w:t>
      </w:r>
      <w:r w:rsidRPr="00C51A70">
        <w:rPr>
          <w:sz w:val="22"/>
          <w:szCs w:val="22"/>
        </w:rPr>
        <w:t>84:337–42.</w:t>
      </w:r>
    </w:p>
    <w:p w14:paraId="6D9727D2" w14:textId="77777777" w:rsidR="00C51A70" w:rsidRPr="00C51A70" w:rsidRDefault="00C51A70" w:rsidP="00C51A70">
      <w:pPr>
        <w:tabs>
          <w:tab w:val="left" w:pos="0"/>
        </w:tabs>
        <w:bidi w:val="0"/>
        <w:spacing w:after="120" w:line="216" w:lineRule="auto"/>
        <w:rPr>
          <w:sz w:val="22"/>
          <w:szCs w:val="22"/>
        </w:rPr>
      </w:pPr>
      <w:proofErr w:type="spellStart"/>
      <w:r w:rsidRPr="00C51A70">
        <w:rPr>
          <w:sz w:val="22"/>
          <w:szCs w:val="22"/>
          <w:highlight w:val="yellow"/>
        </w:rPr>
        <w:t>Cagan</w:t>
      </w:r>
      <w:proofErr w:type="spellEnd"/>
      <w:r w:rsidRPr="00C51A70">
        <w:rPr>
          <w:sz w:val="22"/>
          <w:szCs w:val="22"/>
          <w:highlight w:val="yellow"/>
        </w:rPr>
        <w:t xml:space="preserve">, P. 1956. The monetary dynamics of hyperinflation. In </w:t>
      </w:r>
      <w:r w:rsidRPr="00C51A70">
        <w:rPr>
          <w:iCs/>
          <w:sz w:val="22"/>
          <w:szCs w:val="22"/>
          <w:highlight w:val="yellow"/>
        </w:rPr>
        <w:t xml:space="preserve">Studies in the Quantity Theory of Money </w:t>
      </w:r>
      <w:r w:rsidRPr="00C51A70">
        <w:rPr>
          <w:sz w:val="22"/>
          <w:szCs w:val="22"/>
          <w:highlight w:val="yellow"/>
        </w:rPr>
        <w:t>(ed. M. Friedman), pp. 25–117. University of Chicago Press.</w:t>
      </w:r>
    </w:p>
    <w:p w14:paraId="5ADF95DA" w14:textId="77777777" w:rsidR="00C51A70" w:rsidRPr="00C51A70" w:rsidRDefault="00C51A70" w:rsidP="00C51A70">
      <w:pPr>
        <w:tabs>
          <w:tab w:val="left" w:pos="0"/>
        </w:tabs>
        <w:bidi w:val="0"/>
        <w:spacing w:after="120" w:line="216" w:lineRule="auto"/>
        <w:rPr>
          <w:rFonts w:ascii="Cambria Math" w:hAnsi="Cambria Math"/>
          <w:sz w:val="22"/>
          <w:szCs w:val="22"/>
          <w:rtl/>
        </w:rPr>
      </w:pPr>
      <w:r w:rsidRPr="00C51A70">
        <w:rPr>
          <w:rFonts w:ascii="Cambria Math" w:hAnsi="Cambria Math"/>
          <w:sz w:val="22"/>
          <w:szCs w:val="22"/>
          <w:highlight w:val="yellow"/>
        </w:rPr>
        <w:t>Calomiris</w:t>
      </w:r>
      <w:r w:rsidRPr="00C51A70">
        <w:rPr>
          <w:rFonts w:ascii="Cambria Math" w:hAnsi="Cambria Math"/>
          <w:sz w:val="22"/>
          <w:szCs w:val="22"/>
          <w:highlight w:val="yellow"/>
          <w:rtl/>
        </w:rPr>
        <w:t>،</w:t>
      </w:r>
      <w:r w:rsidRPr="00C51A70">
        <w:rPr>
          <w:rFonts w:ascii="Cambria Math" w:hAnsi="Cambria Math"/>
          <w:sz w:val="22"/>
          <w:szCs w:val="22"/>
          <w:highlight w:val="yellow"/>
        </w:rPr>
        <w:t xml:space="preserve"> </w:t>
      </w:r>
      <w:proofErr w:type="gramStart"/>
      <w:r w:rsidRPr="00C51A70">
        <w:rPr>
          <w:rFonts w:ascii="Cambria Math" w:hAnsi="Cambria Math"/>
          <w:sz w:val="22"/>
          <w:szCs w:val="22"/>
          <w:highlight w:val="yellow"/>
        </w:rPr>
        <w:t>C,W.</w:t>
      </w:r>
      <w:proofErr w:type="gramEnd"/>
      <w:r w:rsidRPr="00C51A70">
        <w:rPr>
          <w:rFonts w:ascii="Cambria Math" w:hAnsi="Cambria Math"/>
          <w:sz w:val="22"/>
          <w:szCs w:val="22"/>
          <w:highlight w:val="yellow"/>
          <w:rtl/>
        </w:rPr>
        <w:t>،</w:t>
      </w:r>
      <w:r w:rsidRPr="00C51A70">
        <w:rPr>
          <w:rFonts w:ascii="Cambria Math" w:hAnsi="Cambria Math"/>
          <w:sz w:val="22"/>
          <w:szCs w:val="22"/>
          <w:highlight w:val="yellow"/>
        </w:rPr>
        <w:t xml:space="preserve"> and C. Hanes. (1995). "Historical Macroeconomics and American Macroeconomic History." In K.D. Hoover (ed.). Macroeconomics: Developments</w:t>
      </w:r>
      <w:r w:rsidRPr="00C51A70">
        <w:rPr>
          <w:rFonts w:ascii="Cambria Math" w:hAnsi="Cambria Math"/>
          <w:sz w:val="22"/>
          <w:szCs w:val="22"/>
          <w:highlight w:val="yellow"/>
          <w:rtl/>
        </w:rPr>
        <w:t>،</w:t>
      </w:r>
      <w:r w:rsidRPr="00C51A70">
        <w:rPr>
          <w:rFonts w:ascii="Cambria Math" w:hAnsi="Cambria Math"/>
          <w:sz w:val="22"/>
          <w:szCs w:val="22"/>
          <w:highlight w:val="yellow"/>
        </w:rPr>
        <w:t xml:space="preserve">Tensions and </w:t>
      </w:r>
      <w:proofErr w:type="gramStart"/>
      <w:r w:rsidRPr="00C51A70">
        <w:rPr>
          <w:rFonts w:ascii="Cambria Math" w:hAnsi="Cambria Math"/>
          <w:sz w:val="22"/>
          <w:szCs w:val="22"/>
          <w:highlight w:val="yellow"/>
        </w:rPr>
        <w:t xml:space="preserve">Prospects </w:t>
      </w:r>
      <w:r w:rsidRPr="00C51A70">
        <w:rPr>
          <w:rFonts w:ascii="Cambria Math" w:hAnsi="Cambria Math"/>
          <w:sz w:val="22"/>
          <w:szCs w:val="22"/>
          <w:highlight w:val="yellow"/>
          <w:rtl/>
        </w:rPr>
        <w:t xml:space="preserve"> </w:t>
      </w:r>
      <w:r w:rsidRPr="00C51A70">
        <w:rPr>
          <w:rFonts w:ascii="Cambria Math" w:hAnsi="Cambria Math"/>
          <w:sz w:val="22"/>
          <w:szCs w:val="22"/>
          <w:highlight w:val="yellow"/>
        </w:rPr>
        <w:t>(</w:t>
      </w:r>
      <w:proofErr w:type="spellStart"/>
      <w:proofErr w:type="gramEnd"/>
      <w:r w:rsidRPr="00C51A70">
        <w:rPr>
          <w:rFonts w:ascii="Cambria Math" w:hAnsi="Cambria Math"/>
          <w:sz w:val="22"/>
          <w:szCs w:val="22"/>
          <w:highlight w:val="yellow"/>
        </w:rPr>
        <w:t>ch.</w:t>
      </w:r>
      <w:proofErr w:type="spellEnd"/>
      <w:r w:rsidRPr="00C51A70">
        <w:rPr>
          <w:rFonts w:ascii="Cambria Math" w:hAnsi="Cambria Math"/>
          <w:sz w:val="22"/>
          <w:szCs w:val="22"/>
          <w:highlight w:val="yellow"/>
        </w:rPr>
        <w:t xml:space="preserve"> 10).</w:t>
      </w:r>
      <w:r w:rsidRPr="00C51A70">
        <w:rPr>
          <w:rFonts w:ascii="Cambria Math" w:hAnsi="Cambria Math" w:hint="cs"/>
          <w:sz w:val="22"/>
          <w:szCs w:val="22"/>
          <w:highlight w:val="yellow"/>
          <w:rtl/>
        </w:rPr>
        <w:t xml:space="preserve"> </w:t>
      </w:r>
      <w:r w:rsidRPr="00C51A70">
        <w:rPr>
          <w:rFonts w:ascii="Cambria Math" w:hAnsi="Cambria Math"/>
          <w:sz w:val="22"/>
          <w:szCs w:val="22"/>
          <w:highlight w:val="yellow"/>
        </w:rPr>
        <w:t>Boston: Kluwer.</w:t>
      </w:r>
      <w:r w:rsidRPr="00C51A70">
        <w:rPr>
          <w:rFonts w:ascii="Cambria Math" w:hAnsi="Cambria Math"/>
          <w:sz w:val="22"/>
          <w:szCs w:val="22"/>
          <w:rtl/>
        </w:rPr>
        <w:t xml:space="preserve"> </w:t>
      </w:r>
    </w:p>
    <w:p w14:paraId="4E84C20F" w14:textId="77777777" w:rsidR="00C51A70" w:rsidRPr="00C51A70" w:rsidRDefault="00C51A70" w:rsidP="00C51A70">
      <w:pPr>
        <w:tabs>
          <w:tab w:val="left" w:pos="0"/>
        </w:tabs>
        <w:bidi w:val="0"/>
        <w:spacing w:after="120" w:line="216" w:lineRule="auto"/>
        <w:rPr>
          <w:sz w:val="22"/>
          <w:szCs w:val="22"/>
        </w:rPr>
      </w:pPr>
      <w:r w:rsidRPr="00C51A70">
        <w:rPr>
          <w:sz w:val="22"/>
          <w:szCs w:val="22"/>
        </w:rPr>
        <w:t xml:space="preserve">Calvo, G. 1983. Staggered prices in a utility-maximizing framework. </w:t>
      </w:r>
      <w:r w:rsidRPr="00C51A70">
        <w:rPr>
          <w:iCs/>
          <w:sz w:val="22"/>
          <w:szCs w:val="22"/>
        </w:rPr>
        <w:t xml:space="preserve">Journal of Monetary Economics </w:t>
      </w:r>
      <w:r w:rsidRPr="00C51A70">
        <w:rPr>
          <w:sz w:val="22"/>
          <w:szCs w:val="22"/>
        </w:rPr>
        <w:t>12:383–98.</w:t>
      </w:r>
    </w:p>
    <w:p w14:paraId="56158893" w14:textId="77777777" w:rsidR="00C51A70" w:rsidRPr="00C51A70" w:rsidRDefault="00C51A70" w:rsidP="00C51A70">
      <w:pPr>
        <w:tabs>
          <w:tab w:val="left" w:pos="0"/>
        </w:tabs>
        <w:bidi w:val="0"/>
        <w:spacing w:after="120" w:line="216" w:lineRule="auto"/>
        <w:rPr>
          <w:sz w:val="22"/>
          <w:szCs w:val="22"/>
        </w:rPr>
      </w:pPr>
      <w:r w:rsidRPr="00C51A70">
        <w:rPr>
          <w:sz w:val="22"/>
          <w:szCs w:val="22"/>
        </w:rPr>
        <w:t xml:space="preserve">Campbell, J. Y. 2002. Consumption-based asset pricing. In </w:t>
      </w:r>
      <w:r w:rsidRPr="00C51A70">
        <w:rPr>
          <w:iCs/>
          <w:sz w:val="22"/>
          <w:szCs w:val="22"/>
        </w:rPr>
        <w:t xml:space="preserve">Handbook of the Economics of Finance </w:t>
      </w:r>
      <w:r w:rsidRPr="00C51A70">
        <w:rPr>
          <w:sz w:val="22"/>
          <w:szCs w:val="22"/>
        </w:rPr>
        <w:t xml:space="preserve">(ed. G. </w:t>
      </w:r>
      <w:proofErr w:type="spellStart"/>
      <w:r w:rsidRPr="00C51A70">
        <w:rPr>
          <w:sz w:val="22"/>
          <w:szCs w:val="22"/>
        </w:rPr>
        <w:t>Constantinides</w:t>
      </w:r>
      <w:proofErr w:type="spellEnd"/>
      <w:r w:rsidRPr="00C51A70">
        <w:rPr>
          <w:sz w:val="22"/>
          <w:szCs w:val="22"/>
        </w:rPr>
        <w:t xml:space="preserve">, M. Harris, and R. </w:t>
      </w:r>
      <w:proofErr w:type="spellStart"/>
      <w:r w:rsidRPr="00C51A70">
        <w:rPr>
          <w:sz w:val="22"/>
          <w:szCs w:val="22"/>
        </w:rPr>
        <w:t>Stulz</w:t>
      </w:r>
      <w:proofErr w:type="spellEnd"/>
      <w:r w:rsidRPr="00C51A70">
        <w:rPr>
          <w:sz w:val="22"/>
          <w:szCs w:val="22"/>
        </w:rPr>
        <w:t>). Amsterdam: Elsevier.</w:t>
      </w:r>
    </w:p>
    <w:p w14:paraId="1325420D" w14:textId="77777777" w:rsidR="00C51A70" w:rsidRPr="00C51A70" w:rsidRDefault="00C51A70" w:rsidP="00C51A70">
      <w:pPr>
        <w:tabs>
          <w:tab w:val="left" w:pos="0"/>
        </w:tabs>
        <w:bidi w:val="0"/>
        <w:spacing w:after="120" w:line="216" w:lineRule="auto"/>
        <w:rPr>
          <w:color w:val="000000"/>
          <w:sz w:val="22"/>
          <w:szCs w:val="22"/>
        </w:rPr>
      </w:pPr>
      <w:proofErr w:type="spellStart"/>
      <w:r w:rsidRPr="00C51A70">
        <w:rPr>
          <w:color w:val="000000"/>
          <w:sz w:val="22"/>
          <w:szCs w:val="22"/>
        </w:rPr>
        <w:t>Christiano</w:t>
      </w:r>
      <w:proofErr w:type="spellEnd"/>
      <w:r w:rsidRPr="00C51A70">
        <w:rPr>
          <w:color w:val="000000"/>
          <w:sz w:val="22"/>
          <w:szCs w:val="22"/>
        </w:rPr>
        <w:t xml:space="preserve">, L. J., and M. </w:t>
      </w:r>
      <w:proofErr w:type="spellStart"/>
      <w:r w:rsidRPr="00C51A70">
        <w:rPr>
          <w:color w:val="000000"/>
          <w:sz w:val="22"/>
          <w:szCs w:val="22"/>
        </w:rPr>
        <w:t>Eichenbaum</w:t>
      </w:r>
      <w:proofErr w:type="spellEnd"/>
      <w:r w:rsidRPr="00C51A70">
        <w:rPr>
          <w:color w:val="000000"/>
          <w:sz w:val="22"/>
          <w:szCs w:val="22"/>
        </w:rPr>
        <w:t xml:space="preserve">. 1992. Current real business cycle theories and aggregate labor market fluctuations. </w:t>
      </w:r>
      <w:r w:rsidRPr="00C51A70">
        <w:rPr>
          <w:iCs/>
          <w:color w:val="000000"/>
          <w:sz w:val="22"/>
          <w:szCs w:val="22"/>
        </w:rPr>
        <w:t xml:space="preserve">American Economic Review </w:t>
      </w:r>
      <w:r w:rsidRPr="00C51A70">
        <w:rPr>
          <w:color w:val="000000"/>
          <w:sz w:val="22"/>
          <w:szCs w:val="22"/>
        </w:rPr>
        <w:t>82:430–50.</w:t>
      </w:r>
    </w:p>
    <w:p w14:paraId="1763AD9D" w14:textId="77777777" w:rsidR="00C51A70" w:rsidRPr="00C51A70" w:rsidRDefault="00C51A70" w:rsidP="00C51A70">
      <w:pPr>
        <w:tabs>
          <w:tab w:val="left" w:pos="0"/>
        </w:tabs>
        <w:bidi w:val="0"/>
        <w:spacing w:after="120" w:line="216" w:lineRule="auto"/>
        <w:rPr>
          <w:color w:val="000000"/>
          <w:sz w:val="22"/>
          <w:szCs w:val="22"/>
          <w:rtl/>
        </w:rPr>
      </w:pPr>
      <w:proofErr w:type="spellStart"/>
      <w:r w:rsidRPr="00C51A70">
        <w:rPr>
          <w:color w:val="000000"/>
          <w:sz w:val="22"/>
          <w:szCs w:val="22"/>
        </w:rPr>
        <w:t>Christiano</w:t>
      </w:r>
      <w:proofErr w:type="spellEnd"/>
      <w:r w:rsidRPr="00C51A70">
        <w:rPr>
          <w:color w:val="000000"/>
          <w:sz w:val="22"/>
          <w:szCs w:val="22"/>
        </w:rPr>
        <w:t xml:space="preserve">, L. J., M. </w:t>
      </w:r>
      <w:proofErr w:type="spellStart"/>
      <w:r w:rsidRPr="00C51A70">
        <w:rPr>
          <w:color w:val="000000"/>
          <w:sz w:val="22"/>
          <w:szCs w:val="22"/>
        </w:rPr>
        <w:t>Eichenbaum</w:t>
      </w:r>
      <w:proofErr w:type="spellEnd"/>
      <w:r w:rsidRPr="00C51A70">
        <w:rPr>
          <w:color w:val="000000"/>
          <w:sz w:val="22"/>
          <w:szCs w:val="22"/>
        </w:rPr>
        <w:t xml:space="preserve">, and C. L. Evans. 1999. Monetary policy shocks: what have we learned and to what end? In </w:t>
      </w:r>
      <w:r w:rsidRPr="00C51A70">
        <w:rPr>
          <w:iCs/>
          <w:color w:val="000000"/>
          <w:sz w:val="22"/>
          <w:szCs w:val="22"/>
        </w:rPr>
        <w:t xml:space="preserve">Handbook of Macroeconomics </w:t>
      </w:r>
      <w:r w:rsidRPr="00C51A70">
        <w:rPr>
          <w:color w:val="000000"/>
          <w:sz w:val="22"/>
          <w:szCs w:val="22"/>
        </w:rPr>
        <w:t>(ed. J. B. Taylor and M. Woodford), volume 1A, pp. 65–148. Amsterdam: Elsevier</w:t>
      </w:r>
    </w:p>
    <w:p w14:paraId="66081F0C" w14:textId="77777777" w:rsidR="00C51A70" w:rsidRPr="00C51A70" w:rsidRDefault="00C51A70" w:rsidP="00C51A70">
      <w:pPr>
        <w:tabs>
          <w:tab w:val="left" w:pos="0"/>
        </w:tabs>
        <w:bidi w:val="0"/>
        <w:spacing w:after="120" w:line="216" w:lineRule="auto"/>
        <w:rPr>
          <w:color w:val="000000"/>
          <w:sz w:val="22"/>
          <w:szCs w:val="22"/>
        </w:rPr>
      </w:pPr>
      <w:r w:rsidRPr="00C51A70">
        <w:rPr>
          <w:rFonts w:hint="cs"/>
          <w:color w:val="000000"/>
          <w:sz w:val="22"/>
          <w:szCs w:val="22"/>
          <w:rtl/>
        </w:rPr>
        <w:t>------</w:t>
      </w:r>
      <w:r w:rsidRPr="00C51A70">
        <w:rPr>
          <w:color w:val="000000"/>
          <w:sz w:val="22"/>
          <w:szCs w:val="22"/>
        </w:rPr>
        <w:t xml:space="preserve">. 2005. Nominal rigidities and the dynamic effects of a shock to monetary policy. </w:t>
      </w:r>
      <w:r w:rsidRPr="00C51A70">
        <w:rPr>
          <w:iCs/>
          <w:color w:val="000000"/>
          <w:sz w:val="22"/>
          <w:szCs w:val="22"/>
        </w:rPr>
        <w:t xml:space="preserve">Journal of Political Economy </w:t>
      </w:r>
      <w:r w:rsidRPr="00C51A70">
        <w:rPr>
          <w:color w:val="000000"/>
          <w:sz w:val="22"/>
          <w:szCs w:val="22"/>
        </w:rPr>
        <w:t>113:1–45.</w:t>
      </w:r>
    </w:p>
    <w:p w14:paraId="609C0658" w14:textId="77777777" w:rsidR="00C51A70" w:rsidRPr="00C51A70" w:rsidRDefault="00C51A70" w:rsidP="00C51A70">
      <w:pPr>
        <w:tabs>
          <w:tab w:val="left" w:pos="0"/>
        </w:tabs>
        <w:bidi w:val="0"/>
        <w:spacing w:after="120" w:line="216" w:lineRule="auto"/>
        <w:rPr>
          <w:color w:val="000000"/>
          <w:sz w:val="22"/>
          <w:szCs w:val="22"/>
          <w:rtl/>
        </w:rPr>
      </w:pPr>
      <w:proofErr w:type="spellStart"/>
      <w:r w:rsidRPr="00C51A70">
        <w:rPr>
          <w:color w:val="000000"/>
          <w:sz w:val="22"/>
          <w:szCs w:val="22"/>
          <w:highlight w:val="yellow"/>
        </w:rPr>
        <w:t>Clarida</w:t>
      </w:r>
      <w:proofErr w:type="spellEnd"/>
      <w:r w:rsidRPr="00C51A70">
        <w:rPr>
          <w:color w:val="000000"/>
          <w:sz w:val="22"/>
          <w:szCs w:val="22"/>
          <w:highlight w:val="yellow"/>
        </w:rPr>
        <w:t xml:space="preserve">, R., J. </w:t>
      </w:r>
      <w:proofErr w:type="spellStart"/>
      <w:r w:rsidRPr="00C51A70">
        <w:rPr>
          <w:color w:val="000000"/>
          <w:sz w:val="22"/>
          <w:szCs w:val="22"/>
          <w:highlight w:val="yellow"/>
        </w:rPr>
        <w:t>Gali</w:t>
      </w:r>
      <w:proofErr w:type="spellEnd"/>
      <w:r w:rsidRPr="00C51A70">
        <w:rPr>
          <w:color w:val="000000"/>
          <w:sz w:val="22"/>
          <w:szCs w:val="22"/>
          <w:highlight w:val="yellow"/>
        </w:rPr>
        <w:t xml:space="preserve">, and M. Gertler. 1999. The science of monetary policy: a new Keynesian perspective. </w:t>
      </w:r>
      <w:r w:rsidRPr="00C51A70">
        <w:rPr>
          <w:iCs/>
          <w:color w:val="000000"/>
          <w:sz w:val="22"/>
          <w:szCs w:val="22"/>
          <w:highlight w:val="yellow"/>
        </w:rPr>
        <w:t xml:space="preserve">Journal of Economic Perspectives </w:t>
      </w:r>
      <w:r w:rsidRPr="00C51A70">
        <w:rPr>
          <w:color w:val="000000"/>
          <w:sz w:val="22"/>
          <w:szCs w:val="22"/>
          <w:highlight w:val="yellow"/>
        </w:rPr>
        <w:t>37:1661–707.</w:t>
      </w:r>
    </w:p>
    <w:p w14:paraId="5CAC48E4" w14:textId="77777777" w:rsidR="00C51A70" w:rsidRPr="00C51A70" w:rsidRDefault="00C51A70" w:rsidP="00C51A70">
      <w:pPr>
        <w:tabs>
          <w:tab w:val="left" w:pos="0"/>
        </w:tabs>
        <w:bidi w:val="0"/>
        <w:spacing w:after="120" w:line="216" w:lineRule="auto"/>
        <w:rPr>
          <w:color w:val="000000"/>
          <w:sz w:val="22"/>
          <w:szCs w:val="22"/>
          <w:rtl/>
        </w:rPr>
      </w:pPr>
      <w:r w:rsidRPr="00C51A70">
        <w:rPr>
          <w:rFonts w:hint="cs"/>
          <w:color w:val="000000"/>
          <w:sz w:val="22"/>
          <w:szCs w:val="22"/>
          <w:rtl/>
        </w:rPr>
        <w:t>-----</w:t>
      </w:r>
      <w:r w:rsidRPr="00C51A70">
        <w:rPr>
          <w:color w:val="000000"/>
          <w:sz w:val="22"/>
          <w:szCs w:val="22"/>
        </w:rPr>
        <w:t xml:space="preserve"> 2000. Monetary policy rules and macroeconomic stability: evidence and some theory. </w:t>
      </w:r>
      <w:r w:rsidRPr="00C51A70">
        <w:rPr>
          <w:iCs/>
          <w:color w:val="000000"/>
          <w:sz w:val="22"/>
          <w:szCs w:val="22"/>
        </w:rPr>
        <w:t xml:space="preserve">Quarterly Journal of Economics </w:t>
      </w:r>
      <w:r w:rsidRPr="00C51A70">
        <w:rPr>
          <w:color w:val="000000"/>
          <w:sz w:val="22"/>
          <w:szCs w:val="22"/>
        </w:rPr>
        <w:t>115:147–80.</w:t>
      </w:r>
    </w:p>
    <w:p w14:paraId="58753462" w14:textId="77777777" w:rsidR="00C51A70" w:rsidRPr="00C51A70" w:rsidRDefault="00C51A70" w:rsidP="00C51A70">
      <w:pPr>
        <w:tabs>
          <w:tab w:val="left" w:pos="0"/>
        </w:tabs>
        <w:bidi w:val="0"/>
        <w:spacing w:after="120" w:line="216" w:lineRule="auto"/>
        <w:rPr>
          <w:color w:val="000000"/>
          <w:sz w:val="22"/>
          <w:szCs w:val="22"/>
        </w:rPr>
      </w:pPr>
      <w:r w:rsidRPr="00C51A70">
        <w:rPr>
          <w:rFonts w:hint="cs"/>
          <w:color w:val="000000"/>
          <w:sz w:val="22"/>
          <w:szCs w:val="22"/>
          <w:rtl/>
        </w:rPr>
        <w:t>-----</w:t>
      </w:r>
      <w:r w:rsidRPr="00C51A70">
        <w:rPr>
          <w:color w:val="000000"/>
          <w:sz w:val="22"/>
          <w:szCs w:val="22"/>
        </w:rPr>
        <w:t xml:space="preserve"> 2001. Optimal monetary policy in open vs. closed economies. </w:t>
      </w:r>
      <w:r w:rsidRPr="00C51A70">
        <w:rPr>
          <w:iCs/>
          <w:color w:val="000000"/>
          <w:sz w:val="22"/>
          <w:szCs w:val="22"/>
        </w:rPr>
        <w:t xml:space="preserve">American Economic Review </w:t>
      </w:r>
      <w:r w:rsidRPr="00C51A70">
        <w:rPr>
          <w:color w:val="000000"/>
          <w:sz w:val="22"/>
          <w:szCs w:val="22"/>
        </w:rPr>
        <w:t xml:space="preserve">91:253–57. </w:t>
      </w:r>
    </w:p>
    <w:p w14:paraId="23678079" w14:textId="77777777" w:rsidR="00C51A70" w:rsidRPr="00C51A70" w:rsidRDefault="00C51A70" w:rsidP="00C51A70">
      <w:pPr>
        <w:tabs>
          <w:tab w:val="left" w:pos="0"/>
        </w:tabs>
        <w:bidi w:val="0"/>
        <w:spacing w:after="120" w:line="216" w:lineRule="auto"/>
        <w:rPr>
          <w:rFonts w:ascii="ArialRegular" w:eastAsiaTheme="majorEastAsia" w:hAnsi="ArialRegular"/>
          <w:color w:val="000000"/>
          <w:sz w:val="22"/>
          <w:szCs w:val="22"/>
          <w:rtl/>
        </w:rPr>
      </w:pPr>
      <w:r w:rsidRPr="00C51A70">
        <w:rPr>
          <w:rFonts w:ascii="ArialRegular" w:eastAsiaTheme="majorEastAsia" w:hAnsi="ArialRegular"/>
          <w:color w:val="000000"/>
          <w:sz w:val="22"/>
          <w:szCs w:val="22"/>
        </w:rPr>
        <w:t xml:space="preserve">Cochrane, J. H. 2005. </w:t>
      </w:r>
      <w:r w:rsidRPr="00C51A70">
        <w:rPr>
          <w:rFonts w:ascii="ArialItalic" w:eastAsiaTheme="majorEastAsia" w:hAnsi="ArialItalic"/>
          <w:i/>
          <w:iCs/>
          <w:color w:val="000000"/>
          <w:sz w:val="22"/>
          <w:szCs w:val="22"/>
        </w:rPr>
        <w:t>Asset Pricing</w:t>
      </w:r>
      <w:r w:rsidRPr="00C51A70">
        <w:rPr>
          <w:rFonts w:ascii="ArialRegular" w:eastAsiaTheme="majorEastAsia" w:hAnsi="ArialRegular"/>
          <w:color w:val="000000"/>
          <w:sz w:val="22"/>
          <w:szCs w:val="22"/>
        </w:rPr>
        <w:t xml:space="preserve">, 2nd </w:t>
      </w:r>
      <w:proofErr w:type="spellStart"/>
      <w:r w:rsidRPr="00C51A70">
        <w:rPr>
          <w:rFonts w:ascii="ArialRegular" w:eastAsiaTheme="majorEastAsia" w:hAnsi="ArialRegular"/>
          <w:color w:val="000000"/>
          <w:sz w:val="22"/>
          <w:szCs w:val="22"/>
        </w:rPr>
        <w:t>edn</w:t>
      </w:r>
      <w:proofErr w:type="spellEnd"/>
      <w:r w:rsidRPr="00C51A70">
        <w:rPr>
          <w:rFonts w:ascii="ArialRegular" w:eastAsiaTheme="majorEastAsia" w:hAnsi="ArialRegular"/>
          <w:color w:val="000000"/>
          <w:sz w:val="22"/>
          <w:szCs w:val="22"/>
        </w:rPr>
        <w:t>. Princeton University Press.</w:t>
      </w:r>
    </w:p>
    <w:p w14:paraId="54B878DF" w14:textId="77777777" w:rsidR="00C51A70" w:rsidRPr="00C51A70" w:rsidRDefault="00C51A70" w:rsidP="00C51A70">
      <w:pPr>
        <w:tabs>
          <w:tab w:val="left" w:pos="0"/>
        </w:tabs>
        <w:bidi w:val="0"/>
        <w:spacing w:after="120" w:line="216" w:lineRule="auto"/>
        <w:rPr>
          <w:sz w:val="22"/>
          <w:szCs w:val="22"/>
          <w:rtl/>
        </w:rPr>
      </w:pPr>
      <w:r w:rsidRPr="00C51A70">
        <w:rPr>
          <w:rFonts w:ascii="ArialRegular" w:eastAsiaTheme="majorEastAsia" w:hAnsi="ArialRegular"/>
          <w:color w:val="000000"/>
          <w:sz w:val="22"/>
          <w:szCs w:val="22"/>
        </w:rPr>
        <w:t xml:space="preserve">______. 2008. Financial markets and the real economy. In </w:t>
      </w:r>
      <w:r w:rsidRPr="00C51A70">
        <w:rPr>
          <w:rFonts w:ascii="ArialItalic" w:eastAsiaTheme="majorEastAsia" w:hAnsi="ArialItalic"/>
          <w:i/>
          <w:iCs/>
          <w:color w:val="000000"/>
          <w:sz w:val="22"/>
          <w:szCs w:val="22"/>
        </w:rPr>
        <w:t xml:space="preserve">Handbook of The Equity </w:t>
      </w:r>
      <w:proofErr w:type="gramStart"/>
      <w:r w:rsidRPr="00C51A70">
        <w:rPr>
          <w:rFonts w:ascii="ArialItalic" w:eastAsiaTheme="majorEastAsia" w:hAnsi="ArialItalic"/>
          <w:i/>
          <w:iCs/>
          <w:color w:val="000000"/>
          <w:sz w:val="22"/>
          <w:szCs w:val="22"/>
        </w:rPr>
        <w:t xml:space="preserve">Premium </w:t>
      </w:r>
      <w:r w:rsidRPr="00C51A70">
        <w:rPr>
          <w:rFonts w:ascii="ArialRegular" w:eastAsiaTheme="majorEastAsia" w:hAnsi="ArialRegular"/>
          <w:color w:val="000000"/>
          <w:sz w:val="22"/>
          <w:szCs w:val="22"/>
        </w:rPr>
        <w:t>,</w:t>
      </w:r>
      <w:proofErr w:type="gramEnd"/>
      <w:r w:rsidRPr="00C51A70">
        <w:rPr>
          <w:rFonts w:ascii="ArialRegular" w:eastAsiaTheme="majorEastAsia" w:hAnsi="ArialRegular"/>
          <w:color w:val="000000"/>
          <w:sz w:val="22"/>
          <w:szCs w:val="22"/>
        </w:rPr>
        <w:t xml:space="preserve"> pp.</w:t>
      </w:r>
      <w:r w:rsidRPr="00C51A70">
        <w:rPr>
          <w:rFonts w:ascii="ArialRegular" w:eastAsiaTheme="majorEastAsia" w:hAnsi="ArialRegular" w:hint="cs"/>
          <w:color w:val="000000"/>
          <w:sz w:val="22"/>
          <w:szCs w:val="22"/>
          <w:rtl/>
        </w:rPr>
        <w:t xml:space="preserve"> </w:t>
      </w:r>
      <w:r w:rsidRPr="00C51A70">
        <w:rPr>
          <w:rFonts w:ascii="ArialRegular" w:eastAsiaTheme="majorEastAsia" w:hAnsi="ArialRegular"/>
          <w:color w:val="000000"/>
          <w:sz w:val="22"/>
          <w:szCs w:val="22"/>
        </w:rPr>
        <w:t>237–325. Amsterdam: Elsevier.</w:t>
      </w:r>
      <w:r w:rsidRPr="00C51A70">
        <w:rPr>
          <w:sz w:val="22"/>
          <w:szCs w:val="22"/>
        </w:rPr>
        <w:t xml:space="preserve"> </w:t>
      </w:r>
    </w:p>
    <w:p w14:paraId="4401F7D3" w14:textId="77777777" w:rsidR="00C51A70" w:rsidRPr="00C51A70" w:rsidRDefault="00C51A70" w:rsidP="00C51A70">
      <w:pPr>
        <w:tabs>
          <w:tab w:val="left" w:pos="0"/>
        </w:tabs>
        <w:bidi w:val="0"/>
        <w:spacing w:after="120" w:line="216" w:lineRule="auto"/>
        <w:rPr>
          <w:color w:val="000000"/>
          <w:sz w:val="22"/>
          <w:szCs w:val="22"/>
        </w:rPr>
      </w:pPr>
      <w:proofErr w:type="spellStart"/>
      <w:r w:rsidRPr="00C51A70">
        <w:rPr>
          <w:color w:val="000000"/>
          <w:sz w:val="22"/>
          <w:szCs w:val="22"/>
        </w:rPr>
        <w:lastRenderedPageBreak/>
        <w:t>Constantinides</w:t>
      </w:r>
      <w:proofErr w:type="spellEnd"/>
      <w:r w:rsidRPr="00C51A70">
        <w:rPr>
          <w:color w:val="000000"/>
          <w:sz w:val="22"/>
          <w:szCs w:val="22"/>
        </w:rPr>
        <w:t xml:space="preserve">, G. M. 1990. Habit formation: a resolution of the equity premium puzzle. </w:t>
      </w:r>
      <w:r w:rsidRPr="00C51A70">
        <w:rPr>
          <w:iCs/>
          <w:color w:val="000000"/>
          <w:sz w:val="22"/>
          <w:szCs w:val="22"/>
        </w:rPr>
        <w:t xml:space="preserve">Journal of Political Economy </w:t>
      </w:r>
      <w:r w:rsidRPr="00C51A70">
        <w:rPr>
          <w:color w:val="000000"/>
          <w:sz w:val="22"/>
          <w:szCs w:val="22"/>
        </w:rPr>
        <w:t>98:519–43.</w:t>
      </w:r>
    </w:p>
    <w:p w14:paraId="1A8D3A50" w14:textId="77777777" w:rsidR="00C51A70" w:rsidRPr="00C51A70" w:rsidRDefault="00C51A70" w:rsidP="00C51A70">
      <w:pPr>
        <w:tabs>
          <w:tab w:val="left" w:pos="0"/>
        </w:tabs>
        <w:bidi w:val="0"/>
        <w:spacing w:after="120" w:line="216" w:lineRule="auto"/>
        <w:rPr>
          <w:color w:val="000000"/>
          <w:sz w:val="22"/>
          <w:szCs w:val="22"/>
        </w:rPr>
      </w:pPr>
      <w:r w:rsidRPr="00C51A70">
        <w:rPr>
          <w:color w:val="000000"/>
          <w:sz w:val="22"/>
          <w:szCs w:val="22"/>
          <w:highlight w:val="yellow"/>
        </w:rPr>
        <w:t xml:space="preserve">Cooley, T. F. (ed.). 1995. </w:t>
      </w:r>
      <w:r w:rsidRPr="00C51A70">
        <w:rPr>
          <w:iCs/>
          <w:color w:val="000000"/>
          <w:sz w:val="22"/>
          <w:szCs w:val="22"/>
          <w:highlight w:val="yellow"/>
        </w:rPr>
        <w:t>Frontiers of Business Cycle Research</w:t>
      </w:r>
      <w:r w:rsidRPr="00C51A70">
        <w:rPr>
          <w:color w:val="000000"/>
          <w:sz w:val="22"/>
          <w:szCs w:val="22"/>
          <w:highlight w:val="yellow"/>
        </w:rPr>
        <w:t>. Princeton University Press.</w:t>
      </w:r>
    </w:p>
    <w:p w14:paraId="3702CEAD" w14:textId="77777777" w:rsidR="00C51A70" w:rsidRPr="00C51A70" w:rsidRDefault="00C51A70" w:rsidP="00C51A70">
      <w:pPr>
        <w:tabs>
          <w:tab w:val="left" w:pos="0"/>
        </w:tabs>
        <w:bidi w:val="0"/>
        <w:spacing w:after="120" w:line="216" w:lineRule="auto"/>
        <w:rPr>
          <w:rFonts w:ascii="Cambria Math" w:hAnsi="Cambria Math"/>
          <w:sz w:val="22"/>
          <w:szCs w:val="22"/>
        </w:rPr>
      </w:pPr>
      <w:r w:rsidRPr="00C51A70">
        <w:rPr>
          <w:rFonts w:ascii="Cambria Math" w:hAnsi="Cambria Math"/>
          <w:sz w:val="22"/>
          <w:szCs w:val="22"/>
          <w:highlight w:val="yellow"/>
        </w:rPr>
        <w:t xml:space="preserve">Cooley. Thomas F., Stephen LeRoy, and Neil </w:t>
      </w:r>
      <w:proofErr w:type="spellStart"/>
      <w:r w:rsidRPr="00C51A70">
        <w:rPr>
          <w:rFonts w:ascii="Cambria Math" w:hAnsi="Cambria Math"/>
          <w:sz w:val="22"/>
          <w:szCs w:val="22"/>
          <w:highlight w:val="yellow"/>
        </w:rPr>
        <w:t>Raymon</w:t>
      </w:r>
      <w:proofErr w:type="spellEnd"/>
      <w:r w:rsidRPr="00C51A70">
        <w:rPr>
          <w:rFonts w:ascii="Cambria Math" w:hAnsi="Cambria Math"/>
          <w:sz w:val="22"/>
          <w:szCs w:val="22"/>
          <w:highlight w:val="yellow"/>
        </w:rPr>
        <w:t>. (1984). "Econometric Policy Evalu</w:t>
      </w:r>
      <w:r w:rsidRPr="00C51A70">
        <w:rPr>
          <w:rFonts w:ascii="Cambria Math" w:hAnsi="Cambria Math"/>
          <w:sz w:val="22"/>
          <w:szCs w:val="22"/>
          <w:highlight w:val="yellow"/>
        </w:rPr>
        <w:softHyphen/>
        <w:t>ation: Note." American Economic Review 74, 467-470.</w:t>
      </w:r>
    </w:p>
    <w:p w14:paraId="01BFA4DC" w14:textId="77777777" w:rsidR="00C51A70" w:rsidRPr="00C51A70" w:rsidRDefault="00C51A70" w:rsidP="00C51A70">
      <w:pPr>
        <w:tabs>
          <w:tab w:val="left" w:pos="0"/>
        </w:tabs>
        <w:bidi w:val="0"/>
        <w:spacing w:after="120" w:line="216" w:lineRule="auto"/>
        <w:rPr>
          <w:rFonts w:ascii="Cambria Math" w:hAnsi="Cambria Math"/>
          <w:sz w:val="22"/>
          <w:szCs w:val="22"/>
        </w:rPr>
      </w:pPr>
      <w:r w:rsidRPr="00C51A70">
        <w:rPr>
          <w:rFonts w:ascii="Cambria Math" w:hAnsi="Cambria Math"/>
          <w:sz w:val="22"/>
          <w:szCs w:val="22"/>
          <w:highlight w:val="yellow"/>
        </w:rPr>
        <w:t xml:space="preserve">Cooley, Thomas F., Stephen LeRoy. (1985). "Atheoretical </w:t>
      </w:r>
      <w:proofErr w:type="spellStart"/>
      <w:r w:rsidRPr="00C51A70">
        <w:rPr>
          <w:rFonts w:ascii="Cambria Math" w:hAnsi="Cambria Math"/>
          <w:sz w:val="22"/>
          <w:szCs w:val="22"/>
          <w:highlight w:val="yellow"/>
        </w:rPr>
        <w:t>Macroeconometrics</w:t>
      </w:r>
      <w:proofErr w:type="spellEnd"/>
      <w:r w:rsidRPr="00C51A70">
        <w:rPr>
          <w:rFonts w:ascii="Cambria Math" w:hAnsi="Cambria Math"/>
          <w:sz w:val="22"/>
          <w:szCs w:val="22"/>
          <w:highlight w:val="yellow"/>
        </w:rPr>
        <w:t>: A Cri</w:t>
      </w:r>
      <w:r w:rsidRPr="00C51A70">
        <w:rPr>
          <w:rFonts w:ascii="Cambria Math" w:hAnsi="Cambria Math"/>
          <w:sz w:val="22"/>
          <w:szCs w:val="22"/>
          <w:highlight w:val="yellow"/>
        </w:rPr>
        <w:softHyphen/>
        <w:t>tique." Journal of Monetary Economics 16, 283—308.</w:t>
      </w:r>
    </w:p>
    <w:p w14:paraId="30242F84" w14:textId="77777777" w:rsidR="00C51A70" w:rsidRPr="00C51A70" w:rsidRDefault="00C51A70" w:rsidP="00C51A70">
      <w:pPr>
        <w:tabs>
          <w:tab w:val="left" w:pos="0"/>
        </w:tabs>
        <w:bidi w:val="0"/>
        <w:spacing w:after="120" w:line="216" w:lineRule="auto"/>
        <w:rPr>
          <w:color w:val="000000"/>
          <w:sz w:val="22"/>
          <w:szCs w:val="22"/>
        </w:rPr>
      </w:pPr>
      <w:r w:rsidRPr="00C51A70">
        <w:rPr>
          <w:color w:val="000000"/>
          <w:sz w:val="22"/>
          <w:szCs w:val="22"/>
        </w:rPr>
        <w:t xml:space="preserve">Cooper, R. N. 1982. The gold standard: historical facts and </w:t>
      </w:r>
      <w:proofErr w:type="gramStart"/>
      <w:r w:rsidRPr="00C51A70">
        <w:rPr>
          <w:color w:val="000000"/>
          <w:sz w:val="22"/>
          <w:szCs w:val="22"/>
        </w:rPr>
        <w:t>future prospects</w:t>
      </w:r>
      <w:proofErr w:type="gramEnd"/>
      <w:r w:rsidRPr="00C51A70">
        <w:rPr>
          <w:color w:val="000000"/>
          <w:sz w:val="22"/>
          <w:szCs w:val="22"/>
        </w:rPr>
        <w:t xml:space="preserve">. </w:t>
      </w:r>
      <w:r w:rsidRPr="00C51A70">
        <w:rPr>
          <w:iCs/>
          <w:color w:val="000000"/>
          <w:sz w:val="22"/>
          <w:szCs w:val="22"/>
        </w:rPr>
        <w:t xml:space="preserve">Brookings Papers on Economic Activity </w:t>
      </w:r>
      <w:r w:rsidRPr="00C51A70">
        <w:rPr>
          <w:color w:val="000000"/>
          <w:sz w:val="22"/>
          <w:szCs w:val="22"/>
        </w:rPr>
        <w:t>1:1–45.</w:t>
      </w:r>
    </w:p>
    <w:p w14:paraId="773F9925" w14:textId="77777777" w:rsidR="00C51A70" w:rsidRPr="00C51A70" w:rsidRDefault="00C51A70" w:rsidP="00C51A70">
      <w:pPr>
        <w:tabs>
          <w:tab w:val="left" w:pos="0"/>
        </w:tabs>
        <w:bidi w:val="0"/>
        <w:spacing w:after="120" w:line="216" w:lineRule="auto"/>
        <w:rPr>
          <w:color w:val="000000"/>
          <w:sz w:val="22"/>
          <w:szCs w:val="22"/>
        </w:rPr>
      </w:pPr>
      <w:r w:rsidRPr="00C51A70">
        <w:rPr>
          <w:color w:val="000000"/>
          <w:sz w:val="22"/>
          <w:szCs w:val="22"/>
        </w:rPr>
        <w:t xml:space="preserve">Correia, I., and P. </w:t>
      </w:r>
      <w:proofErr w:type="spellStart"/>
      <w:r w:rsidRPr="00C51A70">
        <w:rPr>
          <w:color w:val="000000"/>
          <w:sz w:val="22"/>
          <w:szCs w:val="22"/>
        </w:rPr>
        <w:t>Teles</w:t>
      </w:r>
      <w:proofErr w:type="spellEnd"/>
      <w:r w:rsidRPr="00C51A70">
        <w:rPr>
          <w:color w:val="000000"/>
          <w:sz w:val="22"/>
          <w:szCs w:val="22"/>
        </w:rPr>
        <w:t>. 1996. Is the Friedman rule optimal when money is an</w:t>
      </w:r>
      <w:r w:rsidRPr="00C51A70">
        <w:rPr>
          <w:rFonts w:hint="cs"/>
          <w:color w:val="000000"/>
          <w:sz w:val="22"/>
          <w:szCs w:val="22"/>
          <w:rtl/>
        </w:rPr>
        <w:t xml:space="preserve"> </w:t>
      </w:r>
      <w:r w:rsidRPr="00C51A70">
        <w:rPr>
          <w:color w:val="000000"/>
          <w:sz w:val="22"/>
          <w:szCs w:val="22"/>
        </w:rPr>
        <w:t xml:space="preserve">intermediate good? </w:t>
      </w:r>
      <w:r w:rsidRPr="00C51A70">
        <w:rPr>
          <w:iCs/>
          <w:color w:val="000000"/>
          <w:sz w:val="22"/>
          <w:szCs w:val="22"/>
        </w:rPr>
        <w:t xml:space="preserve">Journal of Monetary Economics </w:t>
      </w:r>
      <w:r w:rsidRPr="00C51A70">
        <w:rPr>
          <w:color w:val="000000"/>
          <w:sz w:val="22"/>
          <w:szCs w:val="22"/>
        </w:rPr>
        <w:t>38:223–44.</w:t>
      </w:r>
    </w:p>
    <w:p w14:paraId="5DE30824" w14:textId="77777777" w:rsidR="00C51A70" w:rsidRPr="00C51A70" w:rsidRDefault="00C51A70" w:rsidP="00C51A70">
      <w:pPr>
        <w:tabs>
          <w:tab w:val="left" w:pos="0"/>
        </w:tabs>
        <w:bidi w:val="0"/>
        <w:spacing w:after="120" w:line="216" w:lineRule="auto"/>
        <w:rPr>
          <w:sz w:val="22"/>
          <w:szCs w:val="22"/>
        </w:rPr>
      </w:pPr>
      <w:r w:rsidRPr="00C51A70">
        <w:rPr>
          <w:color w:val="000000"/>
          <w:sz w:val="22"/>
          <w:szCs w:val="22"/>
        </w:rPr>
        <w:t xml:space="preserve">Cox, J. C., J. E. Ingersoll, and S. A. Ross. 1981. A reexamination of traditional hypotheses about the term </w:t>
      </w:r>
      <w:proofErr w:type="spellStart"/>
      <w:r w:rsidRPr="00C51A70">
        <w:rPr>
          <w:color w:val="000000"/>
          <w:sz w:val="22"/>
          <w:szCs w:val="22"/>
        </w:rPr>
        <w:t>strucure</w:t>
      </w:r>
      <w:proofErr w:type="spellEnd"/>
      <w:r w:rsidRPr="00C51A70">
        <w:rPr>
          <w:color w:val="000000"/>
          <w:sz w:val="22"/>
          <w:szCs w:val="22"/>
        </w:rPr>
        <w:t xml:space="preserve">. </w:t>
      </w:r>
      <w:r w:rsidRPr="00C51A70">
        <w:rPr>
          <w:iCs/>
          <w:color w:val="000000"/>
          <w:sz w:val="22"/>
          <w:szCs w:val="22"/>
        </w:rPr>
        <w:t xml:space="preserve">Journal of Finance </w:t>
      </w:r>
      <w:r w:rsidRPr="00C51A70">
        <w:rPr>
          <w:color w:val="000000"/>
          <w:sz w:val="22"/>
          <w:szCs w:val="22"/>
        </w:rPr>
        <w:t>36:769–99.</w:t>
      </w:r>
      <w:r w:rsidRPr="00C51A70">
        <w:rPr>
          <w:sz w:val="22"/>
          <w:szCs w:val="22"/>
        </w:rPr>
        <w:t xml:space="preserve"> </w:t>
      </w:r>
    </w:p>
    <w:p w14:paraId="69BC35E7" w14:textId="77777777" w:rsidR="00C51A70" w:rsidRPr="00C51A70" w:rsidRDefault="00C51A70" w:rsidP="00C51A70">
      <w:pPr>
        <w:tabs>
          <w:tab w:val="left" w:pos="0"/>
        </w:tabs>
        <w:bidi w:val="0"/>
        <w:spacing w:after="120" w:line="216" w:lineRule="auto"/>
        <w:rPr>
          <w:color w:val="000000"/>
          <w:sz w:val="22"/>
          <w:szCs w:val="22"/>
        </w:rPr>
      </w:pPr>
      <w:r w:rsidRPr="00C51A70">
        <w:rPr>
          <w:color w:val="000000"/>
          <w:sz w:val="22"/>
          <w:szCs w:val="22"/>
        </w:rPr>
        <w:t xml:space="preserve">Frenkel, J. A., and H. Johnson. 1976. The monetary approach to the balance of payments: essential concepts and historical origins. In </w:t>
      </w:r>
      <w:r w:rsidRPr="00C51A70">
        <w:rPr>
          <w:iCs/>
          <w:color w:val="000000"/>
          <w:sz w:val="22"/>
          <w:szCs w:val="22"/>
        </w:rPr>
        <w:t xml:space="preserve">The Monetary Approach to the Balance of Payments </w:t>
      </w:r>
      <w:r w:rsidRPr="00C51A70">
        <w:rPr>
          <w:color w:val="000000"/>
          <w:sz w:val="22"/>
          <w:szCs w:val="22"/>
        </w:rPr>
        <w:t xml:space="preserve">(ed. J. A. Frenkel and H. Johnson). University of Toronto Press. </w:t>
      </w:r>
    </w:p>
    <w:p w14:paraId="746CBD2D" w14:textId="77777777" w:rsidR="00C51A70" w:rsidRPr="00C51A70" w:rsidRDefault="00C51A70" w:rsidP="00C51A70">
      <w:pPr>
        <w:tabs>
          <w:tab w:val="left" w:pos="0"/>
        </w:tabs>
        <w:bidi w:val="0"/>
        <w:spacing w:after="120" w:line="216" w:lineRule="auto"/>
        <w:rPr>
          <w:color w:val="000000"/>
          <w:sz w:val="22"/>
          <w:szCs w:val="22"/>
          <w:rtl/>
        </w:rPr>
      </w:pPr>
      <w:r w:rsidRPr="00C51A70">
        <w:rPr>
          <w:color w:val="000000"/>
          <w:sz w:val="22"/>
          <w:szCs w:val="22"/>
        </w:rPr>
        <w:t xml:space="preserve">Friedman, M. 1957. </w:t>
      </w:r>
      <w:r w:rsidRPr="00C51A70">
        <w:rPr>
          <w:iCs/>
          <w:color w:val="000000"/>
          <w:sz w:val="22"/>
          <w:szCs w:val="22"/>
        </w:rPr>
        <w:t>A Theory of the Consumption Function</w:t>
      </w:r>
      <w:r w:rsidRPr="00C51A70">
        <w:rPr>
          <w:color w:val="000000"/>
          <w:sz w:val="22"/>
          <w:szCs w:val="22"/>
        </w:rPr>
        <w:t>. Princeton University Press</w:t>
      </w:r>
      <w:r w:rsidRPr="00C51A70">
        <w:rPr>
          <w:rFonts w:hint="cs"/>
          <w:color w:val="000000"/>
          <w:sz w:val="22"/>
          <w:szCs w:val="22"/>
          <w:rtl/>
        </w:rPr>
        <w:t>.</w:t>
      </w:r>
    </w:p>
    <w:p w14:paraId="0AA25486" w14:textId="77777777" w:rsidR="00C51A70" w:rsidRPr="00C51A70" w:rsidRDefault="00C51A70" w:rsidP="00C51A70">
      <w:pPr>
        <w:tabs>
          <w:tab w:val="left" w:pos="0"/>
        </w:tabs>
        <w:bidi w:val="0"/>
        <w:spacing w:after="120" w:line="216" w:lineRule="auto"/>
        <w:rPr>
          <w:color w:val="000000"/>
          <w:sz w:val="22"/>
          <w:szCs w:val="22"/>
          <w:rtl/>
        </w:rPr>
      </w:pPr>
      <w:r w:rsidRPr="00C51A70">
        <w:rPr>
          <w:rFonts w:hint="cs"/>
          <w:color w:val="000000"/>
          <w:sz w:val="22"/>
          <w:szCs w:val="22"/>
          <w:highlight w:val="yellow"/>
          <w:rtl/>
        </w:rPr>
        <w:t>----</w:t>
      </w:r>
      <w:r w:rsidRPr="00C51A70">
        <w:rPr>
          <w:color w:val="000000"/>
          <w:sz w:val="22"/>
          <w:szCs w:val="22"/>
          <w:highlight w:val="yellow"/>
        </w:rPr>
        <w:t xml:space="preserve"> 1968. The role of monetary policy. </w:t>
      </w:r>
      <w:r w:rsidRPr="00C51A70">
        <w:rPr>
          <w:iCs/>
          <w:color w:val="000000"/>
          <w:sz w:val="22"/>
          <w:szCs w:val="22"/>
          <w:highlight w:val="yellow"/>
        </w:rPr>
        <w:t xml:space="preserve">American Economic Review </w:t>
      </w:r>
      <w:r w:rsidRPr="00C51A70">
        <w:rPr>
          <w:color w:val="000000"/>
          <w:sz w:val="22"/>
          <w:szCs w:val="22"/>
          <w:highlight w:val="yellow"/>
        </w:rPr>
        <w:t>58:1–17.</w:t>
      </w:r>
      <w:r w:rsidRPr="00C51A70">
        <w:rPr>
          <w:color w:val="000000"/>
          <w:sz w:val="22"/>
          <w:szCs w:val="22"/>
        </w:rPr>
        <w:t xml:space="preserve"> </w:t>
      </w:r>
    </w:p>
    <w:p w14:paraId="10913ED2" w14:textId="77777777" w:rsidR="00C51A70" w:rsidRPr="00C51A70" w:rsidRDefault="00C51A70" w:rsidP="00C51A70">
      <w:pPr>
        <w:tabs>
          <w:tab w:val="left" w:pos="0"/>
        </w:tabs>
        <w:bidi w:val="0"/>
        <w:spacing w:after="120" w:line="216" w:lineRule="auto"/>
        <w:rPr>
          <w:color w:val="000000"/>
          <w:sz w:val="22"/>
          <w:szCs w:val="22"/>
        </w:rPr>
      </w:pPr>
      <w:r w:rsidRPr="00C51A70">
        <w:rPr>
          <w:rFonts w:hint="cs"/>
          <w:color w:val="000000"/>
          <w:sz w:val="22"/>
          <w:szCs w:val="22"/>
          <w:rtl/>
        </w:rPr>
        <w:t>----</w:t>
      </w:r>
      <w:r w:rsidRPr="00C51A70">
        <w:rPr>
          <w:color w:val="000000"/>
          <w:sz w:val="22"/>
          <w:szCs w:val="22"/>
        </w:rPr>
        <w:t xml:space="preserve"> 1969. The optimum quantity of money. In </w:t>
      </w:r>
      <w:r w:rsidRPr="00C51A70">
        <w:rPr>
          <w:iCs/>
          <w:color w:val="000000"/>
          <w:sz w:val="22"/>
          <w:szCs w:val="22"/>
        </w:rPr>
        <w:t>The Optimum Quantity of Money and</w:t>
      </w:r>
      <w:r w:rsidRPr="00C51A70">
        <w:rPr>
          <w:color w:val="000000"/>
          <w:sz w:val="22"/>
          <w:szCs w:val="22"/>
        </w:rPr>
        <w:t xml:space="preserve"> </w:t>
      </w:r>
      <w:r w:rsidRPr="00C51A70">
        <w:rPr>
          <w:iCs/>
          <w:color w:val="000000"/>
          <w:sz w:val="22"/>
          <w:szCs w:val="22"/>
        </w:rPr>
        <w:t>Other Essays</w:t>
      </w:r>
      <w:r w:rsidRPr="00C51A70">
        <w:rPr>
          <w:color w:val="000000"/>
          <w:sz w:val="22"/>
          <w:szCs w:val="22"/>
        </w:rPr>
        <w:t>, pp. 1–50. Chicago, IL: Aldine.</w:t>
      </w:r>
    </w:p>
    <w:p w14:paraId="2F23C339" w14:textId="77777777" w:rsidR="00C51A70" w:rsidRPr="00C51A70" w:rsidRDefault="00C51A70" w:rsidP="00C51A70">
      <w:pPr>
        <w:tabs>
          <w:tab w:val="left" w:pos="0"/>
        </w:tabs>
        <w:bidi w:val="0"/>
        <w:spacing w:after="120" w:line="216" w:lineRule="auto"/>
        <w:rPr>
          <w:color w:val="000000"/>
          <w:sz w:val="22"/>
          <w:szCs w:val="22"/>
        </w:rPr>
      </w:pPr>
      <w:r w:rsidRPr="00C51A70">
        <w:rPr>
          <w:color w:val="000000"/>
          <w:sz w:val="22"/>
          <w:szCs w:val="22"/>
        </w:rPr>
        <w:t xml:space="preserve">Friedman, M., and A. J. Schwartz. 1963. </w:t>
      </w:r>
      <w:r w:rsidRPr="00C51A70">
        <w:rPr>
          <w:iCs/>
          <w:color w:val="000000"/>
          <w:sz w:val="22"/>
          <w:szCs w:val="22"/>
        </w:rPr>
        <w:t>A Monetary History of the United States, 1867– 1960</w:t>
      </w:r>
      <w:r w:rsidRPr="00C51A70">
        <w:rPr>
          <w:color w:val="000000"/>
          <w:sz w:val="22"/>
          <w:szCs w:val="22"/>
        </w:rPr>
        <w:t>. Princeton University Press.</w:t>
      </w:r>
    </w:p>
    <w:p w14:paraId="0A053FBF" w14:textId="77777777" w:rsidR="00C51A70" w:rsidRPr="00C51A70" w:rsidRDefault="00C51A70" w:rsidP="00C51A70">
      <w:pPr>
        <w:tabs>
          <w:tab w:val="left" w:pos="0"/>
        </w:tabs>
        <w:bidi w:val="0"/>
        <w:spacing w:after="120" w:line="216" w:lineRule="auto"/>
        <w:rPr>
          <w:rFonts w:ascii="Cambria Math" w:hAnsi="Cambria Math"/>
          <w:sz w:val="22"/>
          <w:szCs w:val="22"/>
        </w:rPr>
      </w:pPr>
      <w:r w:rsidRPr="00C51A70">
        <w:rPr>
          <w:rFonts w:ascii="Cambria Math" w:hAnsi="Cambria Math"/>
          <w:sz w:val="22"/>
          <w:szCs w:val="22"/>
        </w:rPr>
        <w:t>Friedman, Milton. (1968). "The Role of Monetary Policy." American Economic Review 58, 1-17.</w:t>
      </w:r>
      <w:r w:rsidRPr="00C51A70">
        <w:rPr>
          <w:rFonts w:ascii="Cambria Math" w:hAnsi="Cambria Math"/>
          <w:sz w:val="22"/>
          <w:szCs w:val="22"/>
          <w:rtl/>
        </w:rPr>
        <w:t xml:space="preserve"> </w:t>
      </w:r>
    </w:p>
    <w:p w14:paraId="066B344B" w14:textId="77777777" w:rsidR="00C51A70" w:rsidRPr="00C51A70" w:rsidRDefault="00C51A70" w:rsidP="00C51A70">
      <w:pPr>
        <w:tabs>
          <w:tab w:val="left" w:pos="0"/>
        </w:tabs>
        <w:autoSpaceDE w:val="0"/>
        <w:autoSpaceDN w:val="0"/>
        <w:bidi w:val="0"/>
        <w:adjustRightInd w:val="0"/>
        <w:spacing w:after="120" w:line="216" w:lineRule="auto"/>
        <w:rPr>
          <w:rFonts w:ascii="Cambria Math" w:hAnsi="Cambria Math"/>
          <w:sz w:val="22"/>
          <w:szCs w:val="22"/>
          <w:highlight w:val="yellow"/>
        </w:rPr>
      </w:pPr>
      <w:r w:rsidRPr="00C51A70">
        <w:rPr>
          <w:rFonts w:ascii="Cambria Math" w:hAnsi="Cambria Math"/>
          <w:sz w:val="22"/>
          <w:szCs w:val="22"/>
          <w:highlight w:val="yellow"/>
        </w:rPr>
        <w:t>Frisch, R. (1933a). Editor's note. Econometrica,1, P1-4.</w:t>
      </w:r>
    </w:p>
    <w:p w14:paraId="59C1D3AC" w14:textId="77777777" w:rsidR="00C51A70" w:rsidRPr="00C51A70" w:rsidRDefault="00C51A70" w:rsidP="00C51A70">
      <w:pPr>
        <w:tabs>
          <w:tab w:val="left" w:pos="0"/>
        </w:tabs>
        <w:bidi w:val="0"/>
        <w:spacing w:after="120" w:line="216" w:lineRule="auto"/>
        <w:rPr>
          <w:rFonts w:ascii="Cambria Math" w:hAnsi="Cambria Math"/>
          <w:sz w:val="22"/>
          <w:szCs w:val="22"/>
        </w:rPr>
      </w:pPr>
      <w:r w:rsidRPr="00C51A70">
        <w:rPr>
          <w:rFonts w:ascii="Cambria Math" w:hAnsi="Cambria Math"/>
          <w:sz w:val="22"/>
          <w:szCs w:val="22"/>
          <w:highlight w:val="yellow"/>
        </w:rPr>
        <w:t>Frisch, Ragnar. (1933b). "Propagation Problems and Impulse Response Problems in Dy</w:t>
      </w:r>
      <w:r w:rsidRPr="00C51A70">
        <w:rPr>
          <w:rFonts w:ascii="Cambria Math" w:hAnsi="Cambria Math"/>
          <w:sz w:val="22"/>
          <w:szCs w:val="22"/>
          <w:highlight w:val="yellow"/>
        </w:rPr>
        <w:softHyphen/>
        <w:t xml:space="preserve">namic Economics." In Economic Essays in </w:t>
      </w:r>
      <w:proofErr w:type="spellStart"/>
      <w:r w:rsidRPr="00C51A70">
        <w:rPr>
          <w:rFonts w:ascii="Cambria Math" w:hAnsi="Cambria Math"/>
          <w:sz w:val="22"/>
          <w:szCs w:val="22"/>
          <w:highlight w:val="yellow"/>
        </w:rPr>
        <w:t>Honour</w:t>
      </w:r>
      <w:proofErr w:type="spellEnd"/>
      <w:r w:rsidRPr="00C51A70">
        <w:rPr>
          <w:rFonts w:ascii="Cambria Math" w:hAnsi="Cambria Math"/>
          <w:sz w:val="22"/>
          <w:szCs w:val="22"/>
          <w:highlight w:val="yellow"/>
        </w:rPr>
        <w:t xml:space="preserve"> of Gustav Cassel: October 20th, 1933. London: George Alien and Unwin.</w:t>
      </w:r>
    </w:p>
    <w:p w14:paraId="7BE250B0" w14:textId="77777777" w:rsidR="00C51A70" w:rsidRPr="00C51A70" w:rsidRDefault="00C51A70" w:rsidP="00C51A70">
      <w:pPr>
        <w:tabs>
          <w:tab w:val="left" w:pos="0"/>
        </w:tabs>
        <w:bidi w:val="0"/>
        <w:spacing w:after="120" w:line="216" w:lineRule="auto"/>
        <w:rPr>
          <w:color w:val="000000"/>
          <w:sz w:val="22"/>
          <w:szCs w:val="22"/>
        </w:rPr>
      </w:pPr>
      <w:r w:rsidRPr="00C51A70">
        <w:rPr>
          <w:color w:val="000000"/>
          <w:sz w:val="22"/>
          <w:szCs w:val="22"/>
        </w:rPr>
        <w:lastRenderedPageBreak/>
        <w:t xml:space="preserve">Froot, K. A, and K. Rogoff. 1995. Perspectives on PPP and long-run real exchange rates. In </w:t>
      </w:r>
      <w:r w:rsidRPr="00C51A70">
        <w:rPr>
          <w:iCs/>
          <w:color w:val="000000"/>
          <w:sz w:val="22"/>
          <w:szCs w:val="22"/>
        </w:rPr>
        <w:t xml:space="preserve">Handbook of International Economics </w:t>
      </w:r>
      <w:r w:rsidRPr="00C51A70">
        <w:rPr>
          <w:color w:val="000000"/>
          <w:sz w:val="22"/>
          <w:szCs w:val="22"/>
        </w:rPr>
        <w:t>(ed. G. M. Grossman and K. Rogoff), volume 3, pp. 1647–88. Amsterdam: Elsevier.</w:t>
      </w:r>
    </w:p>
    <w:p w14:paraId="343E5CA9" w14:textId="77777777" w:rsidR="00C51A70" w:rsidRPr="00C51A70" w:rsidRDefault="00C51A70" w:rsidP="00C51A70">
      <w:pPr>
        <w:tabs>
          <w:tab w:val="left" w:pos="0"/>
        </w:tabs>
        <w:bidi w:val="0"/>
        <w:spacing w:after="120" w:line="216" w:lineRule="auto"/>
        <w:rPr>
          <w:color w:val="000000"/>
          <w:sz w:val="22"/>
          <w:szCs w:val="22"/>
        </w:rPr>
      </w:pPr>
      <w:r w:rsidRPr="00C51A70">
        <w:rPr>
          <w:color w:val="000000"/>
          <w:sz w:val="22"/>
          <w:szCs w:val="22"/>
        </w:rPr>
        <w:t>Froot, K. A, M. Kim, and K. Rogoff. 1995. The law of one price over seven hundred years. NBER Working Paper 5132.</w:t>
      </w:r>
    </w:p>
    <w:p w14:paraId="57758873" w14:textId="77777777" w:rsidR="00C51A70" w:rsidRPr="00C51A70" w:rsidRDefault="00C51A70" w:rsidP="00C51A70">
      <w:pPr>
        <w:tabs>
          <w:tab w:val="left" w:pos="0"/>
        </w:tabs>
        <w:bidi w:val="0"/>
        <w:spacing w:after="120" w:line="216" w:lineRule="auto"/>
        <w:rPr>
          <w:color w:val="000000"/>
          <w:sz w:val="22"/>
          <w:szCs w:val="22"/>
          <w:rtl/>
        </w:rPr>
      </w:pPr>
      <w:r w:rsidRPr="00C51A70">
        <w:rPr>
          <w:color w:val="000000"/>
          <w:sz w:val="22"/>
          <w:szCs w:val="22"/>
        </w:rPr>
        <w:t xml:space="preserve">Fuhrer, J. C., and G. R. Moore. 1995. Inflation persistence. </w:t>
      </w:r>
      <w:r w:rsidRPr="00C51A70">
        <w:rPr>
          <w:iCs/>
          <w:color w:val="000000"/>
          <w:sz w:val="22"/>
          <w:szCs w:val="22"/>
        </w:rPr>
        <w:t xml:space="preserve">Quarterly Journal of Economics </w:t>
      </w:r>
      <w:r w:rsidRPr="00C51A70">
        <w:rPr>
          <w:color w:val="000000"/>
          <w:sz w:val="22"/>
          <w:szCs w:val="22"/>
        </w:rPr>
        <w:t>110:127–59.</w:t>
      </w:r>
    </w:p>
    <w:p w14:paraId="53008170" w14:textId="77777777" w:rsidR="00C51A70" w:rsidRPr="00C51A70" w:rsidRDefault="00C51A70" w:rsidP="00C51A70">
      <w:pPr>
        <w:tabs>
          <w:tab w:val="left" w:pos="0"/>
        </w:tabs>
        <w:bidi w:val="0"/>
        <w:spacing w:after="120" w:line="216" w:lineRule="auto"/>
        <w:rPr>
          <w:color w:val="000000"/>
          <w:sz w:val="22"/>
          <w:szCs w:val="22"/>
          <w:rtl/>
        </w:rPr>
      </w:pPr>
      <w:proofErr w:type="spellStart"/>
      <w:r w:rsidRPr="00C51A70">
        <w:rPr>
          <w:color w:val="000000"/>
          <w:sz w:val="22"/>
          <w:szCs w:val="22"/>
        </w:rPr>
        <w:t>Gali</w:t>
      </w:r>
      <w:proofErr w:type="spellEnd"/>
      <w:r w:rsidRPr="00C51A70">
        <w:rPr>
          <w:color w:val="000000"/>
          <w:sz w:val="22"/>
          <w:szCs w:val="22"/>
        </w:rPr>
        <w:t xml:space="preserve">, J. 2008. </w:t>
      </w:r>
      <w:r w:rsidRPr="00C51A70">
        <w:rPr>
          <w:iCs/>
          <w:color w:val="000000"/>
          <w:sz w:val="22"/>
          <w:szCs w:val="22"/>
        </w:rPr>
        <w:t>Monetary Policy, Inflation, and the Business Cycle</w:t>
      </w:r>
      <w:r w:rsidRPr="00C51A70">
        <w:rPr>
          <w:color w:val="000000"/>
          <w:sz w:val="22"/>
          <w:szCs w:val="22"/>
        </w:rPr>
        <w:t>. Princeton University Press.</w:t>
      </w:r>
    </w:p>
    <w:p w14:paraId="55728179" w14:textId="77777777" w:rsidR="00C51A70" w:rsidRPr="00C51A70" w:rsidRDefault="00C51A70" w:rsidP="00C51A70">
      <w:pPr>
        <w:tabs>
          <w:tab w:val="left" w:pos="0"/>
        </w:tabs>
        <w:bidi w:val="0"/>
        <w:spacing w:after="120" w:line="216" w:lineRule="auto"/>
        <w:rPr>
          <w:color w:val="000000"/>
          <w:sz w:val="22"/>
          <w:szCs w:val="22"/>
          <w:rtl/>
        </w:rPr>
      </w:pPr>
      <w:proofErr w:type="spellStart"/>
      <w:r w:rsidRPr="00C51A70">
        <w:rPr>
          <w:color w:val="000000"/>
          <w:sz w:val="22"/>
          <w:szCs w:val="22"/>
        </w:rPr>
        <w:t>Gali</w:t>
      </w:r>
      <w:proofErr w:type="spellEnd"/>
      <w:r w:rsidRPr="00C51A70">
        <w:rPr>
          <w:color w:val="000000"/>
          <w:sz w:val="22"/>
          <w:szCs w:val="22"/>
        </w:rPr>
        <w:t>, J., M. Gertler, and J. D. Lopez-</w:t>
      </w:r>
      <w:proofErr w:type="spellStart"/>
      <w:r w:rsidRPr="00C51A70">
        <w:rPr>
          <w:color w:val="000000"/>
          <w:sz w:val="22"/>
          <w:szCs w:val="22"/>
        </w:rPr>
        <w:t>Salido</w:t>
      </w:r>
      <w:proofErr w:type="spellEnd"/>
      <w:r w:rsidRPr="00C51A70">
        <w:rPr>
          <w:color w:val="000000"/>
          <w:sz w:val="22"/>
          <w:szCs w:val="22"/>
        </w:rPr>
        <w:t xml:space="preserve">. 2001. European inflation dynamics: a structural econometric analysis. </w:t>
      </w:r>
      <w:r w:rsidRPr="00C51A70">
        <w:rPr>
          <w:iCs/>
          <w:color w:val="000000"/>
          <w:sz w:val="22"/>
          <w:szCs w:val="22"/>
        </w:rPr>
        <w:t xml:space="preserve">European Economic Review </w:t>
      </w:r>
      <w:r w:rsidRPr="00C51A70">
        <w:rPr>
          <w:color w:val="000000"/>
          <w:sz w:val="22"/>
          <w:szCs w:val="22"/>
        </w:rPr>
        <w:t>45:1237–70.</w:t>
      </w:r>
      <w:r w:rsidRPr="00C51A70">
        <w:rPr>
          <w:color w:val="000000"/>
          <w:sz w:val="22"/>
          <w:szCs w:val="22"/>
        </w:rPr>
        <w:br/>
      </w:r>
      <w:proofErr w:type="spellStart"/>
      <w:r w:rsidRPr="00C51A70">
        <w:rPr>
          <w:color w:val="000000"/>
          <w:sz w:val="22"/>
          <w:szCs w:val="22"/>
        </w:rPr>
        <w:t>Gali</w:t>
      </w:r>
      <w:proofErr w:type="spellEnd"/>
      <w:r w:rsidRPr="00C51A70">
        <w:rPr>
          <w:color w:val="000000"/>
          <w:sz w:val="22"/>
          <w:szCs w:val="22"/>
        </w:rPr>
        <w:t>, J., J. D. Lopez-</w:t>
      </w:r>
      <w:proofErr w:type="spellStart"/>
      <w:r w:rsidRPr="00C51A70">
        <w:rPr>
          <w:color w:val="000000"/>
          <w:sz w:val="22"/>
          <w:szCs w:val="22"/>
        </w:rPr>
        <w:t>Salido</w:t>
      </w:r>
      <w:proofErr w:type="spellEnd"/>
      <w:r w:rsidRPr="00C51A70">
        <w:rPr>
          <w:color w:val="000000"/>
          <w:sz w:val="22"/>
          <w:szCs w:val="22"/>
        </w:rPr>
        <w:t xml:space="preserve">, and J. Valles. 2004a. Technology </w:t>
      </w:r>
      <w:proofErr w:type="spellStart"/>
      <w:r w:rsidRPr="00C51A70">
        <w:rPr>
          <w:color w:val="000000"/>
          <w:sz w:val="22"/>
          <w:szCs w:val="22"/>
        </w:rPr>
        <w:t>shocks</w:t>
      </w:r>
      <w:proofErr w:type="spellEnd"/>
      <w:r w:rsidRPr="00C51A70">
        <w:rPr>
          <w:color w:val="000000"/>
          <w:sz w:val="22"/>
          <w:szCs w:val="22"/>
        </w:rPr>
        <w:t xml:space="preserve"> and aggregate fluctuations: assessing the Fed’s performance. </w:t>
      </w:r>
      <w:r w:rsidRPr="00C51A70">
        <w:rPr>
          <w:iCs/>
          <w:color w:val="000000"/>
          <w:sz w:val="22"/>
          <w:szCs w:val="22"/>
        </w:rPr>
        <w:t xml:space="preserve">Journal of Monetary Economics </w:t>
      </w:r>
      <w:r w:rsidRPr="00C51A70">
        <w:rPr>
          <w:color w:val="000000"/>
          <w:sz w:val="22"/>
          <w:szCs w:val="22"/>
        </w:rPr>
        <w:t>50: 723–43.</w:t>
      </w:r>
    </w:p>
    <w:p w14:paraId="24DDEC5B" w14:textId="77777777" w:rsidR="00C51A70" w:rsidRPr="00C51A70" w:rsidRDefault="00C51A70" w:rsidP="00C51A70">
      <w:pPr>
        <w:tabs>
          <w:tab w:val="left" w:pos="0"/>
        </w:tabs>
        <w:bidi w:val="0"/>
        <w:spacing w:after="120" w:line="216" w:lineRule="auto"/>
        <w:rPr>
          <w:color w:val="000000"/>
          <w:sz w:val="22"/>
          <w:szCs w:val="22"/>
        </w:rPr>
      </w:pPr>
      <w:r w:rsidRPr="00C51A70">
        <w:rPr>
          <w:rFonts w:hint="cs"/>
          <w:color w:val="000000"/>
          <w:sz w:val="22"/>
          <w:szCs w:val="22"/>
          <w:rtl/>
        </w:rPr>
        <w:t>----</w:t>
      </w:r>
      <w:r w:rsidRPr="00C51A70">
        <w:rPr>
          <w:color w:val="000000"/>
          <w:sz w:val="22"/>
          <w:szCs w:val="22"/>
        </w:rPr>
        <w:t xml:space="preserve"> 2004b. Rule-of-thumb consumers and the design of interest rules. </w:t>
      </w:r>
      <w:r w:rsidRPr="00C51A70">
        <w:rPr>
          <w:iCs/>
          <w:color w:val="000000"/>
          <w:sz w:val="22"/>
          <w:szCs w:val="22"/>
        </w:rPr>
        <w:t xml:space="preserve">Journal of Money, Credit and Banking </w:t>
      </w:r>
      <w:r w:rsidRPr="00C51A70">
        <w:rPr>
          <w:color w:val="000000"/>
          <w:sz w:val="22"/>
          <w:szCs w:val="22"/>
        </w:rPr>
        <w:t>36:739–63.</w:t>
      </w:r>
    </w:p>
    <w:p w14:paraId="70C11A06" w14:textId="77777777" w:rsidR="00C51A70" w:rsidRPr="00C51A70" w:rsidRDefault="00C51A70" w:rsidP="00C51A70">
      <w:pPr>
        <w:tabs>
          <w:tab w:val="left" w:pos="0"/>
        </w:tabs>
        <w:bidi w:val="0"/>
        <w:spacing w:after="120" w:line="216" w:lineRule="auto"/>
        <w:rPr>
          <w:color w:val="000000"/>
          <w:sz w:val="22"/>
          <w:szCs w:val="22"/>
          <w:rtl/>
        </w:rPr>
      </w:pPr>
      <w:proofErr w:type="spellStart"/>
      <w:r w:rsidRPr="00C51A70">
        <w:rPr>
          <w:color w:val="000000"/>
          <w:sz w:val="22"/>
          <w:szCs w:val="22"/>
        </w:rPr>
        <w:t>Gali</w:t>
      </w:r>
      <w:proofErr w:type="spellEnd"/>
      <w:r w:rsidRPr="00C51A70">
        <w:rPr>
          <w:color w:val="000000"/>
          <w:sz w:val="22"/>
          <w:szCs w:val="22"/>
        </w:rPr>
        <w:t>, J., M. Gertler, and J. D. Lopez-</w:t>
      </w:r>
      <w:proofErr w:type="spellStart"/>
      <w:r w:rsidRPr="00C51A70">
        <w:rPr>
          <w:color w:val="000000"/>
          <w:sz w:val="22"/>
          <w:szCs w:val="22"/>
        </w:rPr>
        <w:t>Salido</w:t>
      </w:r>
      <w:proofErr w:type="spellEnd"/>
      <w:r w:rsidRPr="00C51A70">
        <w:rPr>
          <w:color w:val="000000"/>
          <w:sz w:val="22"/>
          <w:szCs w:val="22"/>
        </w:rPr>
        <w:t xml:space="preserve">. 2005. Robustness of the estimates of the hybrid new Keynesian Phillips curve. </w:t>
      </w:r>
      <w:r w:rsidRPr="00C51A70">
        <w:rPr>
          <w:iCs/>
          <w:color w:val="000000"/>
          <w:sz w:val="22"/>
          <w:szCs w:val="22"/>
        </w:rPr>
        <w:t xml:space="preserve">Journal of Monetary Economics </w:t>
      </w:r>
      <w:r w:rsidRPr="00C51A70">
        <w:rPr>
          <w:color w:val="000000"/>
          <w:sz w:val="22"/>
          <w:szCs w:val="22"/>
        </w:rPr>
        <w:t>52:1107–18.</w:t>
      </w:r>
    </w:p>
    <w:p w14:paraId="3B105682" w14:textId="77777777" w:rsidR="00C51A70" w:rsidRPr="00C51A70" w:rsidRDefault="00C51A70" w:rsidP="00C51A70">
      <w:pPr>
        <w:tabs>
          <w:tab w:val="left" w:pos="0"/>
        </w:tabs>
        <w:bidi w:val="0"/>
        <w:spacing w:after="120" w:line="216" w:lineRule="auto"/>
        <w:rPr>
          <w:color w:val="000000"/>
          <w:sz w:val="22"/>
          <w:szCs w:val="22"/>
        </w:rPr>
      </w:pPr>
      <w:proofErr w:type="spellStart"/>
      <w:r w:rsidRPr="00C51A70">
        <w:rPr>
          <w:color w:val="000000"/>
          <w:sz w:val="22"/>
          <w:szCs w:val="22"/>
        </w:rPr>
        <w:t>Giannoni</w:t>
      </w:r>
      <w:proofErr w:type="spellEnd"/>
      <w:r w:rsidRPr="00C51A70">
        <w:rPr>
          <w:color w:val="000000"/>
          <w:sz w:val="22"/>
          <w:szCs w:val="22"/>
        </w:rPr>
        <w:t xml:space="preserve">, M. P., and M. Woodford. 2005. Optimal inflation targeting rules. In </w:t>
      </w:r>
      <w:r w:rsidRPr="00C51A70">
        <w:rPr>
          <w:iCs/>
          <w:color w:val="000000"/>
          <w:sz w:val="22"/>
          <w:szCs w:val="22"/>
        </w:rPr>
        <w:t xml:space="preserve">Inflation Targeting </w:t>
      </w:r>
      <w:r w:rsidRPr="00C51A70">
        <w:rPr>
          <w:color w:val="000000"/>
          <w:sz w:val="22"/>
          <w:szCs w:val="22"/>
        </w:rPr>
        <w:t xml:space="preserve">(ed. B. S. Bernanke and M. Woodford). University of Chicago Press. </w:t>
      </w:r>
    </w:p>
    <w:p w14:paraId="7CD39CA7" w14:textId="77777777" w:rsidR="00C51A70" w:rsidRPr="00C51A70" w:rsidRDefault="00C51A70" w:rsidP="00C51A70">
      <w:pPr>
        <w:tabs>
          <w:tab w:val="left" w:pos="0"/>
        </w:tabs>
        <w:bidi w:val="0"/>
        <w:spacing w:after="120" w:line="216" w:lineRule="auto"/>
        <w:rPr>
          <w:rFonts w:ascii="ArialRegular" w:eastAsiaTheme="majorEastAsia" w:hAnsi="ArialRegular"/>
          <w:color w:val="000000"/>
          <w:sz w:val="22"/>
          <w:szCs w:val="22"/>
          <w:rtl/>
        </w:rPr>
      </w:pPr>
      <w:r w:rsidRPr="00C51A70">
        <w:rPr>
          <w:rFonts w:ascii="ArialRegular" w:eastAsiaTheme="majorEastAsia" w:hAnsi="ArialRegular"/>
          <w:color w:val="000000"/>
          <w:sz w:val="22"/>
          <w:szCs w:val="22"/>
        </w:rPr>
        <w:t xml:space="preserve">Goldberg, P. K., and M. M. </w:t>
      </w:r>
      <w:proofErr w:type="spellStart"/>
      <w:r w:rsidRPr="00C51A70">
        <w:rPr>
          <w:rFonts w:ascii="ArialRegular" w:eastAsiaTheme="majorEastAsia" w:hAnsi="ArialRegular"/>
          <w:color w:val="000000"/>
          <w:sz w:val="22"/>
          <w:szCs w:val="22"/>
        </w:rPr>
        <w:t>Knetter</w:t>
      </w:r>
      <w:proofErr w:type="spellEnd"/>
      <w:r w:rsidRPr="00C51A70">
        <w:rPr>
          <w:rFonts w:ascii="ArialRegular" w:eastAsiaTheme="majorEastAsia" w:hAnsi="ArialRegular"/>
          <w:color w:val="000000"/>
          <w:sz w:val="22"/>
          <w:szCs w:val="22"/>
        </w:rPr>
        <w:t>. 1997. Goods prices and exchange rates: what have we</w:t>
      </w:r>
      <w:r w:rsidRPr="00C51A70">
        <w:rPr>
          <w:rFonts w:ascii="ArialRegular" w:eastAsiaTheme="majorEastAsia" w:hAnsi="ArialRegular" w:hint="cs"/>
          <w:color w:val="000000"/>
          <w:sz w:val="22"/>
          <w:szCs w:val="22"/>
          <w:rtl/>
        </w:rPr>
        <w:t xml:space="preserve"> </w:t>
      </w:r>
      <w:r w:rsidRPr="00C51A70">
        <w:rPr>
          <w:rFonts w:ascii="ArialRegular" w:eastAsiaTheme="majorEastAsia" w:hAnsi="ArialRegular"/>
          <w:color w:val="000000"/>
          <w:sz w:val="22"/>
          <w:szCs w:val="22"/>
        </w:rPr>
        <w:t xml:space="preserve">learned? </w:t>
      </w:r>
      <w:r w:rsidRPr="00C51A70">
        <w:rPr>
          <w:rFonts w:ascii="ArialItalic" w:eastAsiaTheme="majorEastAsia" w:hAnsi="ArialItalic"/>
          <w:i/>
          <w:iCs/>
          <w:color w:val="000000"/>
          <w:sz w:val="22"/>
          <w:szCs w:val="22"/>
        </w:rPr>
        <w:t xml:space="preserve">Journal of Economic Literature </w:t>
      </w:r>
      <w:r w:rsidRPr="00C51A70">
        <w:rPr>
          <w:rFonts w:ascii="ArialRegular" w:eastAsiaTheme="majorEastAsia" w:hAnsi="ArialRegular"/>
          <w:color w:val="000000"/>
          <w:sz w:val="22"/>
          <w:szCs w:val="22"/>
        </w:rPr>
        <w:t>35:1243–72.</w:t>
      </w:r>
    </w:p>
    <w:p w14:paraId="5D2DB44B" w14:textId="77777777" w:rsidR="00C51A70" w:rsidRPr="00C51A70" w:rsidRDefault="00C51A70" w:rsidP="00C51A70">
      <w:pPr>
        <w:tabs>
          <w:tab w:val="left" w:pos="0"/>
        </w:tabs>
        <w:bidi w:val="0"/>
        <w:spacing w:after="120" w:line="216" w:lineRule="auto"/>
        <w:rPr>
          <w:sz w:val="22"/>
          <w:szCs w:val="22"/>
          <w:rtl/>
        </w:rPr>
      </w:pPr>
      <w:r w:rsidRPr="00C51A70">
        <w:rPr>
          <w:rFonts w:ascii="ArialRegular" w:eastAsiaTheme="majorEastAsia" w:hAnsi="ArialRegular"/>
          <w:color w:val="000000"/>
          <w:sz w:val="22"/>
          <w:szCs w:val="22"/>
        </w:rPr>
        <w:t xml:space="preserve">Goodhart, C. A. E., C. Osorio, and P. </w:t>
      </w:r>
      <w:proofErr w:type="spellStart"/>
      <w:r w:rsidRPr="00C51A70">
        <w:rPr>
          <w:rFonts w:ascii="ArialRegular" w:eastAsiaTheme="majorEastAsia" w:hAnsi="ArialRegular"/>
          <w:color w:val="000000"/>
          <w:sz w:val="22"/>
          <w:szCs w:val="22"/>
        </w:rPr>
        <w:t>Tsomocos</w:t>
      </w:r>
      <w:proofErr w:type="spellEnd"/>
      <w:r w:rsidRPr="00C51A70">
        <w:rPr>
          <w:rFonts w:ascii="ArialRegular" w:eastAsiaTheme="majorEastAsia" w:hAnsi="ArialRegular"/>
          <w:color w:val="000000"/>
          <w:sz w:val="22"/>
          <w:szCs w:val="22"/>
        </w:rPr>
        <w:t>. 2009. The optimal monetary policy instrument,</w:t>
      </w:r>
      <w:r w:rsidRPr="00C51A70">
        <w:rPr>
          <w:rFonts w:ascii="ArialRegular" w:eastAsiaTheme="majorEastAsia" w:hAnsi="ArialRegular" w:hint="cs"/>
          <w:color w:val="000000"/>
          <w:sz w:val="22"/>
          <w:szCs w:val="22"/>
          <w:rtl/>
        </w:rPr>
        <w:t xml:space="preserve"> </w:t>
      </w:r>
      <w:r w:rsidRPr="00C51A70">
        <w:rPr>
          <w:rFonts w:ascii="ArialRegular" w:eastAsiaTheme="majorEastAsia" w:hAnsi="ArialRegular"/>
          <w:color w:val="000000"/>
          <w:sz w:val="22"/>
          <w:szCs w:val="22"/>
        </w:rPr>
        <w:t>inflation versus asset price targeting, and financial stability. Photocopy.</w:t>
      </w:r>
      <w:r w:rsidRPr="00C51A70">
        <w:rPr>
          <w:sz w:val="22"/>
          <w:szCs w:val="22"/>
        </w:rPr>
        <w:t xml:space="preserve"> </w:t>
      </w:r>
    </w:p>
    <w:p w14:paraId="3D6A8460" w14:textId="77777777" w:rsidR="00C51A70" w:rsidRPr="00C51A70" w:rsidRDefault="00C51A70" w:rsidP="00C51A70">
      <w:pPr>
        <w:tabs>
          <w:tab w:val="left" w:pos="0"/>
        </w:tabs>
        <w:bidi w:val="0"/>
        <w:spacing w:after="120" w:line="216" w:lineRule="auto"/>
        <w:rPr>
          <w:color w:val="000000"/>
          <w:sz w:val="22"/>
          <w:szCs w:val="22"/>
        </w:rPr>
      </w:pPr>
      <w:r w:rsidRPr="00C51A70">
        <w:rPr>
          <w:color w:val="000000"/>
          <w:sz w:val="22"/>
          <w:szCs w:val="22"/>
        </w:rPr>
        <w:t xml:space="preserve">Gordon, M. 1962. </w:t>
      </w:r>
      <w:r w:rsidRPr="00C51A70">
        <w:rPr>
          <w:iCs/>
          <w:color w:val="000000"/>
          <w:sz w:val="22"/>
          <w:szCs w:val="22"/>
        </w:rPr>
        <w:t>The Investment, Financing and Valuation of the Corporation</w:t>
      </w:r>
      <w:r w:rsidRPr="00C51A70">
        <w:rPr>
          <w:color w:val="000000"/>
          <w:sz w:val="22"/>
          <w:szCs w:val="22"/>
        </w:rPr>
        <w:t>. Homewood, IL: Irwin.</w:t>
      </w:r>
    </w:p>
    <w:p w14:paraId="3A653CA1" w14:textId="77777777" w:rsidR="00C51A70" w:rsidRPr="00C51A70" w:rsidRDefault="00C51A70" w:rsidP="00C51A70">
      <w:pPr>
        <w:tabs>
          <w:tab w:val="left" w:pos="0"/>
        </w:tabs>
        <w:bidi w:val="0"/>
        <w:spacing w:after="120" w:line="216" w:lineRule="auto"/>
        <w:rPr>
          <w:color w:val="000000"/>
          <w:sz w:val="22"/>
          <w:szCs w:val="22"/>
        </w:rPr>
      </w:pPr>
      <w:r w:rsidRPr="00C51A70">
        <w:rPr>
          <w:color w:val="000000"/>
          <w:sz w:val="22"/>
          <w:szCs w:val="22"/>
        </w:rPr>
        <w:t xml:space="preserve">Gordon, R. J. 1997. The time-varying NAIRU and its implications for policy. </w:t>
      </w:r>
      <w:r w:rsidRPr="00C51A70">
        <w:rPr>
          <w:iCs/>
          <w:color w:val="000000"/>
          <w:sz w:val="22"/>
          <w:szCs w:val="22"/>
        </w:rPr>
        <w:t xml:space="preserve">Journal of Economic Perspectives </w:t>
      </w:r>
      <w:r w:rsidRPr="00C51A70">
        <w:rPr>
          <w:color w:val="000000"/>
          <w:sz w:val="22"/>
          <w:szCs w:val="22"/>
        </w:rPr>
        <w:t>11:11–32.</w:t>
      </w:r>
    </w:p>
    <w:p w14:paraId="58D3B997" w14:textId="77777777" w:rsidR="00C51A70" w:rsidRPr="00C51A70" w:rsidRDefault="00C51A70" w:rsidP="00C51A70">
      <w:pPr>
        <w:tabs>
          <w:tab w:val="left" w:pos="0"/>
        </w:tabs>
        <w:bidi w:val="0"/>
        <w:spacing w:after="120" w:line="216" w:lineRule="auto"/>
        <w:rPr>
          <w:color w:val="000000"/>
          <w:sz w:val="22"/>
          <w:szCs w:val="22"/>
        </w:rPr>
      </w:pPr>
      <w:proofErr w:type="spellStart"/>
      <w:r w:rsidRPr="00C51A70">
        <w:rPr>
          <w:color w:val="000000"/>
          <w:sz w:val="22"/>
          <w:szCs w:val="22"/>
        </w:rPr>
        <w:t>Gourieroux</w:t>
      </w:r>
      <w:proofErr w:type="spellEnd"/>
      <w:r w:rsidRPr="00C51A70">
        <w:rPr>
          <w:color w:val="000000"/>
          <w:sz w:val="22"/>
          <w:szCs w:val="22"/>
        </w:rPr>
        <w:t xml:space="preserve">, C., and A. </w:t>
      </w:r>
      <w:proofErr w:type="spellStart"/>
      <w:r w:rsidRPr="00C51A70">
        <w:rPr>
          <w:color w:val="000000"/>
          <w:sz w:val="22"/>
          <w:szCs w:val="22"/>
        </w:rPr>
        <w:t>Monfort</w:t>
      </w:r>
      <w:proofErr w:type="spellEnd"/>
      <w:r w:rsidRPr="00C51A70">
        <w:rPr>
          <w:color w:val="000000"/>
          <w:sz w:val="22"/>
          <w:szCs w:val="22"/>
        </w:rPr>
        <w:t xml:space="preserve">. 1996. </w:t>
      </w:r>
      <w:r w:rsidRPr="00C51A70">
        <w:rPr>
          <w:iCs/>
          <w:color w:val="000000"/>
          <w:sz w:val="22"/>
          <w:szCs w:val="22"/>
        </w:rPr>
        <w:t>Simulation-Based Econometric Methods</w:t>
      </w:r>
      <w:r w:rsidRPr="00C51A70">
        <w:rPr>
          <w:color w:val="000000"/>
          <w:sz w:val="22"/>
          <w:szCs w:val="22"/>
        </w:rPr>
        <w:t>. Oxford University Press.</w:t>
      </w:r>
    </w:p>
    <w:p w14:paraId="4D83AC2C" w14:textId="77777777" w:rsidR="00C51A70" w:rsidRPr="00C51A70" w:rsidRDefault="00C51A70" w:rsidP="00C51A70">
      <w:pPr>
        <w:tabs>
          <w:tab w:val="left" w:pos="0"/>
        </w:tabs>
        <w:bidi w:val="0"/>
        <w:spacing w:after="120" w:line="216" w:lineRule="auto"/>
        <w:rPr>
          <w:color w:val="000000"/>
          <w:sz w:val="22"/>
          <w:szCs w:val="22"/>
        </w:rPr>
      </w:pPr>
      <w:proofErr w:type="spellStart"/>
      <w:r w:rsidRPr="00C51A70">
        <w:rPr>
          <w:color w:val="000000"/>
          <w:sz w:val="22"/>
          <w:szCs w:val="22"/>
        </w:rPr>
        <w:t>Gourieroux</w:t>
      </w:r>
      <w:proofErr w:type="spellEnd"/>
      <w:r w:rsidRPr="00C51A70">
        <w:rPr>
          <w:color w:val="000000"/>
          <w:sz w:val="22"/>
          <w:szCs w:val="22"/>
        </w:rPr>
        <w:t xml:space="preserve">, C., A. </w:t>
      </w:r>
      <w:proofErr w:type="spellStart"/>
      <w:r w:rsidRPr="00C51A70">
        <w:rPr>
          <w:color w:val="000000"/>
          <w:sz w:val="22"/>
          <w:szCs w:val="22"/>
        </w:rPr>
        <w:t>Monfort</w:t>
      </w:r>
      <w:proofErr w:type="spellEnd"/>
      <w:r w:rsidRPr="00C51A70">
        <w:rPr>
          <w:color w:val="000000"/>
          <w:sz w:val="22"/>
          <w:szCs w:val="22"/>
        </w:rPr>
        <w:t xml:space="preserve">, and E. Renault. 1993. Indirect inference. </w:t>
      </w:r>
      <w:r w:rsidRPr="00C51A70">
        <w:rPr>
          <w:iCs/>
          <w:color w:val="000000"/>
          <w:sz w:val="22"/>
          <w:szCs w:val="22"/>
        </w:rPr>
        <w:t xml:space="preserve">Journal of Applied Econometrics </w:t>
      </w:r>
      <w:proofErr w:type="gramStart"/>
      <w:r w:rsidRPr="00C51A70">
        <w:rPr>
          <w:color w:val="000000"/>
          <w:sz w:val="22"/>
          <w:szCs w:val="22"/>
        </w:rPr>
        <w:t>8:S</w:t>
      </w:r>
      <w:proofErr w:type="gramEnd"/>
      <w:r w:rsidRPr="00C51A70">
        <w:rPr>
          <w:color w:val="000000"/>
          <w:sz w:val="22"/>
          <w:szCs w:val="22"/>
        </w:rPr>
        <w:t>85–S118.</w:t>
      </w:r>
    </w:p>
    <w:p w14:paraId="4F70F76A" w14:textId="77777777" w:rsidR="00C51A70" w:rsidRPr="00C51A70" w:rsidRDefault="00C51A70" w:rsidP="00C51A70">
      <w:pPr>
        <w:tabs>
          <w:tab w:val="left" w:pos="0"/>
        </w:tabs>
        <w:bidi w:val="0"/>
        <w:spacing w:after="120" w:line="216" w:lineRule="auto"/>
        <w:rPr>
          <w:rFonts w:ascii="Cambria Math" w:hAnsi="Cambria Math"/>
          <w:sz w:val="22"/>
          <w:szCs w:val="22"/>
          <w:rtl/>
        </w:rPr>
      </w:pPr>
      <w:r w:rsidRPr="00C51A70">
        <w:rPr>
          <w:color w:val="000000"/>
          <w:sz w:val="22"/>
          <w:szCs w:val="22"/>
        </w:rPr>
        <w:lastRenderedPageBreak/>
        <w:t xml:space="preserve">Gregory, A., and G. Smith. 1993. Calibration in </w:t>
      </w:r>
      <w:proofErr w:type="spellStart"/>
      <w:r w:rsidRPr="00C51A70">
        <w:rPr>
          <w:color w:val="000000"/>
          <w:sz w:val="22"/>
          <w:szCs w:val="22"/>
        </w:rPr>
        <w:t>macoeconomics</w:t>
      </w:r>
      <w:proofErr w:type="spellEnd"/>
      <w:r w:rsidRPr="00C51A70">
        <w:rPr>
          <w:color w:val="000000"/>
          <w:sz w:val="22"/>
          <w:szCs w:val="22"/>
        </w:rPr>
        <w:t xml:space="preserve">. In </w:t>
      </w:r>
      <w:r w:rsidRPr="00C51A70">
        <w:rPr>
          <w:iCs/>
          <w:color w:val="000000"/>
          <w:sz w:val="22"/>
          <w:szCs w:val="22"/>
        </w:rPr>
        <w:t xml:space="preserve">Handbook in Statistics </w:t>
      </w:r>
      <w:r w:rsidRPr="00C51A70">
        <w:rPr>
          <w:color w:val="000000"/>
          <w:sz w:val="22"/>
          <w:szCs w:val="22"/>
        </w:rPr>
        <w:t xml:space="preserve">(ed. G. S. </w:t>
      </w:r>
      <w:proofErr w:type="spellStart"/>
      <w:r w:rsidRPr="00C51A70">
        <w:rPr>
          <w:color w:val="000000"/>
          <w:sz w:val="22"/>
          <w:szCs w:val="22"/>
        </w:rPr>
        <w:t>Maddala</w:t>
      </w:r>
      <w:proofErr w:type="spellEnd"/>
      <w:r w:rsidRPr="00C51A70">
        <w:rPr>
          <w:color w:val="000000"/>
          <w:sz w:val="22"/>
          <w:szCs w:val="22"/>
        </w:rPr>
        <w:t>), pp. 703–19. Amsterdam: North-Holland.</w:t>
      </w:r>
      <w:r w:rsidRPr="00C51A70">
        <w:rPr>
          <w:color w:val="000000"/>
          <w:sz w:val="22"/>
          <w:szCs w:val="22"/>
        </w:rPr>
        <w:br/>
      </w:r>
      <w:proofErr w:type="spellStart"/>
      <w:r w:rsidRPr="00C51A70">
        <w:rPr>
          <w:rFonts w:ascii="Cambria Math" w:hAnsi="Cambria Math"/>
          <w:sz w:val="22"/>
          <w:szCs w:val="22"/>
        </w:rPr>
        <w:t>Haaveimo</w:t>
      </w:r>
      <w:proofErr w:type="spellEnd"/>
      <w:r w:rsidRPr="00C51A70">
        <w:rPr>
          <w:rFonts w:ascii="Cambria Math" w:hAnsi="Cambria Math"/>
          <w:sz w:val="22"/>
          <w:szCs w:val="22"/>
        </w:rPr>
        <w:t xml:space="preserve">, </w:t>
      </w:r>
      <w:proofErr w:type="spellStart"/>
      <w:r w:rsidRPr="00C51A70">
        <w:rPr>
          <w:rFonts w:ascii="Cambria Math" w:hAnsi="Cambria Math"/>
          <w:sz w:val="22"/>
          <w:szCs w:val="22"/>
        </w:rPr>
        <w:t>Trgve</w:t>
      </w:r>
      <w:proofErr w:type="spellEnd"/>
      <w:r w:rsidRPr="00C51A70">
        <w:rPr>
          <w:rFonts w:ascii="Cambria Math" w:hAnsi="Cambria Math"/>
          <w:sz w:val="22"/>
          <w:szCs w:val="22"/>
        </w:rPr>
        <w:t>. (1943). "The Statistical Implications of a System of Simultaneous Equa</w:t>
      </w:r>
      <w:r w:rsidRPr="00C51A70">
        <w:rPr>
          <w:rFonts w:ascii="Cambria Math" w:hAnsi="Cambria Math"/>
          <w:sz w:val="22"/>
          <w:szCs w:val="22"/>
        </w:rPr>
        <w:softHyphen/>
        <w:t xml:space="preserve">tions." </w:t>
      </w:r>
      <w:proofErr w:type="spellStart"/>
      <w:r w:rsidRPr="00C51A70">
        <w:rPr>
          <w:rFonts w:ascii="Cambria Math" w:hAnsi="Cambria Math"/>
          <w:sz w:val="22"/>
          <w:szCs w:val="22"/>
        </w:rPr>
        <w:t>Econometrica</w:t>
      </w:r>
      <w:proofErr w:type="spellEnd"/>
      <w:r w:rsidRPr="00C51A70">
        <w:rPr>
          <w:rFonts w:ascii="Cambria Math" w:hAnsi="Cambria Math"/>
          <w:sz w:val="22"/>
          <w:szCs w:val="22"/>
        </w:rPr>
        <w:t xml:space="preserve"> 11, 1-12.</w:t>
      </w:r>
    </w:p>
    <w:p w14:paraId="3BD078C5" w14:textId="77777777" w:rsidR="00C51A70" w:rsidRPr="00C51A70" w:rsidRDefault="00C51A70" w:rsidP="00C51A70">
      <w:pPr>
        <w:tabs>
          <w:tab w:val="left" w:pos="0"/>
        </w:tabs>
        <w:bidi w:val="0"/>
        <w:spacing w:after="120" w:line="216" w:lineRule="auto"/>
        <w:rPr>
          <w:rFonts w:ascii="ArialRegular" w:eastAsiaTheme="majorEastAsia" w:hAnsi="ArialRegular"/>
          <w:color w:val="000000"/>
          <w:sz w:val="22"/>
          <w:szCs w:val="22"/>
          <w:rtl/>
        </w:rPr>
      </w:pPr>
      <w:r w:rsidRPr="00C51A70">
        <w:rPr>
          <w:color w:val="000000"/>
          <w:sz w:val="22"/>
          <w:szCs w:val="22"/>
        </w:rPr>
        <w:t xml:space="preserve">Hall, R. E. 1978. Stochastic implications of the life cycle–permanent income hypothesis: theory and evidence. </w:t>
      </w:r>
      <w:r w:rsidRPr="00C51A70">
        <w:rPr>
          <w:iCs/>
          <w:color w:val="000000"/>
          <w:sz w:val="22"/>
          <w:szCs w:val="22"/>
        </w:rPr>
        <w:t xml:space="preserve">Journal of Political Economy </w:t>
      </w:r>
      <w:r w:rsidRPr="00C51A70">
        <w:rPr>
          <w:color w:val="000000"/>
          <w:sz w:val="22"/>
          <w:szCs w:val="22"/>
        </w:rPr>
        <w:t>86:971–87.</w:t>
      </w:r>
      <w:r w:rsidRPr="00C51A70">
        <w:rPr>
          <w:color w:val="000000"/>
          <w:sz w:val="22"/>
          <w:szCs w:val="22"/>
        </w:rPr>
        <w:br/>
      </w:r>
      <w:r w:rsidRPr="00C51A70">
        <w:rPr>
          <w:rFonts w:ascii="ArialRegular" w:eastAsiaTheme="majorEastAsia" w:hAnsi="ArialRegular"/>
          <w:color w:val="000000"/>
          <w:sz w:val="22"/>
          <w:szCs w:val="22"/>
        </w:rPr>
        <w:t>_____. 2005. Job loss, job finding, and unemployment in the U.S. economy over the past fifty</w:t>
      </w:r>
      <w:r w:rsidRPr="00C51A70">
        <w:rPr>
          <w:rFonts w:ascii="ArialRegular" w:eastAsiaTheme="majorEastAsia" w:hAnsi="ArialRegular" w:hint="cs"/>
          <w:color w:val="000000"/>
          <w:sz w:val="22"/>
          <w:szCs w:val="22"/>
          <w:rtl/>
        </w:rPr>
        <w:t xml:space="preserve"> </w:t>
      </w:r>
      <w:r w:rsidRPr="00C51A70">
        <w:rPr>
          <w:rFonts w:ascii="ArialRegular" w:eastAsiaTheme="majorEastAsia" w:hAnsi="ArialRegular"/>
          <w:color w:val="000000"/>
          <w:sz w:val="22"/>
          <w:szCs w:val="22"/>
        </w:rPr>
        <w:t xml:space="preserve">years. </w:t>
      </w:r>
      <w:r w:rsidRPr="00C51A70">
        <w:rPr>
          <w:rFonts w:ascii="ArialItalic" w:eastAsiaTheme="majorEastAsia" w:hAnsi="ArialItalic"/>
          <w:i/>
          <w:iCs/>
          <w:color w:val="000000"/>
          <w:sz w:val="22"/>
          <w:szCs w:val="22"/>
        </w:rPr>
        <w:t xml:space="preserve">NBER Macroeconomics Annual </w:t>
      </w:r>
      <w:r w:rsidRPr="00C51A70">
        <w:rPr>
          <w:rFonts w:ascii="ArialRegular" w:eastAsiaTheme="majorEastAsia" w:hAnsi="ArialRegular"/>
          <w:color w:val="000000"/>
          <w:sz w:val="22"/>
          <w:szCs w:val="22"/>
        </w:rPr>
        <w:t>(ed. M. Gertler and K. Rogoff). Cambridge, MA: MIT</w:t>
      </w:r>
      <w:r w:rsidRPr="00C51A70">
        <w:rPr>
          <w:rFonts w:ascii="ArialRegular" w:eastAsiaTheme="majorEastAsia" w:hAnsi="ArialRegular" w:hint="cs"/>
          <w:color w:val="000000"/>
          <w:sz w:val="22"/>
          <w:szCs w:val="22"/>
          <w:rtl/>
        </w:rPr>
        <w:t xml:space="preserve"> </w:t>
      </w:r>
      <w:r w:rsidRPr="00C51A70">
        <w:rPr>
          <w:rFonts w:ascii="ArialRegular" w:eastAsiaTheme="majorEastAsia" w:hAnsi="ArialRegular"/>
          <w:color w:val="000000"/>
          <w:sz w:val="22"/>
          <w:szCs w:val="22"/>
        </w:rPr>
        <w:t>Press.</w:t>
      </w:r>
    </w:p>
    <w:p w14:paraId="47B6008C" w14:textId="77777777" w:rsidR="00C51A70" w:rsidRPr="00C51A70" w:rsidRDefault="00C51A70" w:rsidP="00C51A70">
      <w:pPr>
        <w:tabs>
          <w:tab w:val="left" w:pos="0"/>
        </w:tabs>
        <w:bidi w:val="0"/>
        <w:spacing w:after="120" w:line="216" w:lineRule="auto"/>
        <w:rPr>
          <w:sz w:val="22"/>
          <w:szCs w:val="22"/>
          <w:rtl/>
        </w:rPr>
      </w:pPr>
      <w:r w:rsidRPr="00C51A70">
        <w:rPr>
          <w:rFonts w:ascii="ArialRegular" w:eastAsiaTheme="majorEastAsia" w:hAnsi="ArialRegular"/>
          <w:color w:val="000000"/>
          <w:sz w:val="22"/>
          <w:szCs w:val="22"/>
        </w:rPr>
        <w:t>____. 2009. By how much does GDP rise if the government buys more output? NBER Working</w:t>
      </w:r>
      <w:r w:rsidRPr="00C51A70">
        <w:rPr>
          <w:rFonts w:ascii="ArialRegular" w:eastAsiaTheme="majorEastAsia" w:hAnsi="ArialRegular" w:hint="cs"/>
          <w:color w:val="000000"/>
          <w:sz w:val="22"/>
          <w:szCs w:val="22"/>
          <w:rtl/>
        </w:rPr>
        <w:t xml:space="preserve"> </w:t>
      </w:r>
      <w:r w:rsidRPr="00C51A70">
        <w:rPr>
          <w:rFonts w:ascii="ArialRegular" w:eastAsiaTheme="majorEastAsia" w:hAnsi="ArialRegular"/>
          <w:color w:val="000000"/>
          <w:sz w:val="22"/>
          <w:szCs w:val="22"/>
        </w:rPr>
        <w:t>Paper 15,496.</w:t>
      </w:r>
      <w:r w:rsidRPr="00C51A70">
        <w:rPr>
          <w:sz w:val="22"/>
          <w:szCs w:val="22"/>
        </w:rPr>
        <w:t xml:space="preserve"> </w:t>
      </w:r>
    </w:p>
    <w:p w14:paraId="2C3FD2AD" w14:textId="77777777" w:rsidR="00C51A70" w:rsidRPr="00C51A70" w:rsidRDefault="00C51A70" w:rsidP="00C51A70">
      <w:pPr>
        <w:tabs>
          <w:tab w:val="left" w:pos="0"/>
        </w:tabs>
        <w:bidi w:val="0"/>
        <w:spacing w:after="120" w:line="216" w:lineRule="auto"/>
        <w:rPr>
          <w:rFonts w:ascii="Cambria Math" w:hAnsi="Cambria Math"/>
          <w:sz w:val="22"/>
          <w:szCs w:val="22"/>
        </w:rPr>
      </w:pPr>
      <w:r w:rsidRPr="00C51A70">
        <w:rPr>
          <w:rFonts w:ascii="Cambria Math" w:hAnsi="Cambria Math"/>
          <w:sz w:val="22"/>
          <w:szCs w:val="22"/>
          <w:highlight w:val="yellow"/>
        </w:rPr>
        <w:t>Hamilton</w:t>
      </w:r>
      <w:r w:rsidRPr="00C51A70">
        <w:rPr>
          <w:rFonts w:ascii="Cambria Math" w:hAnsi="Cambria Math"/>
          <w:sz w:val="22"/>
          <w:szCs w:val="22"/>
          <w:highlight w:val="yellow"/>
          <w:rtl/>
        </w:rPr>
        <w:t>،</w:t>
      </w:r>
      <w:r w:rsidRPr="00C51A70">
        <w:rPr>
          <w:rFonts w:ascii="Cambria Math" w:hAnsi="Cambria Math"/>
          <w:sz w:val="22"/>
          <w:szCs w:val="22"/>
          <w:highlight w:val="yellow"/>
        </w:rPr>
        <w:t xml:space="preserve"> J</w:t>
      </w:r>
      <w:r w:rsidRPr="00C51A70">
        <w:rPr>
          <w:rFonts w:ascii="Cambria Math" w:hAnsi="Cambria Math"/>
          <w:sz w:val="22"/>
          <w:szCs w:val="22"/>
          <w:highlight w:val="yellow"/>
          <w:rtl/>
        </w:rPr>
        <w:t>،</w:t>
      </w:r>
      <w:proofErr w:type="gramStart"/>
      <w:r w:rsidRPr="00C51A70">
        <w:rPr>
          <w:rFonts w:ascii="Cambria Math" w:hAnsi="Cambria Math"/>
          <w:sz w:val="22"/>
          <w:szCs w:val="22"/>
          <w:highlight w:val="yellow"/>
        </w:rPr>
        <w:t>D.(</w:t>
      </w:r>
      <w:proofErr w:type="gramEnd"/>
      <w:r w:rsidRPr="00C51A70">
        <w:rPr>
          <w:rFonts w:ascii="Cambria Math" w:hAnsi="Cambria Math"/>
          <w:sz w:val="22"/>
          <w:szCs w:val="22"/>
          <w:highlight w:val="yellow"/>
        </w:rPr>
        <w:t>1994)” Time Series Analysis (</w:t>
      </w:r>
      <w:proofErr w:type="spellStart"/>
      <w:r w:rsidRPr="00C51A70">
        <w:rPr>
          <w:rFonts w:ascii="Cambria Math" w:hAnsi="Cambria Math"/>
          <w:sz w:val="22"/>
          <w:szCs w:val="22"/>
          <w:highlight w:val="yellow"/>
        </w:rPr>
        <w:t>ch.</w:t>
      </w:r>
      <w:proofErr w:type="spellEnd"/>
      <w:r w:rsidRPr="00C51A70">
        <w:rPr>
          <w:rFonts w:ascii="Cambria Math" w:hAnsi="Cambria Math"/>
          <w:sz w:val="22"/>
          <w:szCs w:val="22"/>
          <w:highlight w:val="yellow"/>
        </w:rPr>
        <w:t xml:space="preserve"> 22). Princeton.</w:t>
      </w:r>
      <w:r w:rsidRPr="00C51A70">
        <w:rPr>
          <w:rFonts w:ascii="Cambria Math" w:hAnsi="Cambria Math"/>
          <w:sz w:val="22"/>
          <w:szCs w:val="22"/>
        </w:rPr>
        <w:t xml:space="preserve"> </w:t>
      </w:r>
      <w:r w:rsidRPr="00C51A70">
        <w:rPr>
          <w:rFonts w:ascii="Cambria Math" w:hAnsi="Cambria Math"/>
          <w:sz w:val="22"/>
          <w:szCs w:val="22"/>
          <w:rtl/>
        </w:rPr>
        <w:t xml:space="preserve"> </w:t>
      </w:r>
    </w:p>
    <w:p w14:paraId="27820C31" w14:textId="77777777" w:rsidR="00C51A70" w:rsidRPr="00C51A70" w:rsidRDefault="00C51A70" w:rsidP="00C51A70">
      <w:pPr>
        <w:tabs>
          <w:tab w:val="left" w:pos="0"/>
        </w:tabs>
        <w:bidi w:val="0"/>
        <w:spacing w:after="120" w:line="216" w:lineRule="auto"/>
        <w:rPr>
          <w:color w:val="000000"/>
          <w:sz w:val="22"/>
          <w:szCs w:val="22"/>
        </w:rPr>
      </w:pPr>
      <w:r w:rsidRPr="00C51A70">
        <w:rPr>
          <w:color w:val="000000"/>
          <w:sz w:val="22"/>
          <w:szCs w:val="22"/>
        </w:rPr>
        <w:t xml:space="preserve">Hansen, G. D. 1985. Indivisible labor and the business cycle. </w:t>
      </w:r>
      <w:r w:rsidRPr="00C51A70">
        <w:rPr>
          <w:iCs/>
          <w:color w:val="000000"/>
          <w:sz w:val="22"/>
          <w:szCs w:val="22"/>
        </w:rPr>
        <w:t xml:space="preserve">Journal of Monetary Economics </w:t>
      </w:r>
      <w:r w:rsidRPr="00C51A70">
        <w:rPr>
          <w:color w:val="000000"/>
          <w:sz w:val="22"/>
          <w:szCs w:val="22"/>
        </w:rPr>
        <w:t>16:309–27.</w:t>
      </w:r>
    </w:p>
    <w:p w14:paraId="431A895E" w14:textId="77777777" w:rsidR="00C51A70" w:rsidRPr="00C51A70" w:rsidRDefault="00C51A70" w:rsidP="00C51A70">
      <w:pPr>
        <w:tabs>
          <w:tab w:val="left" w:pos="0"/>
        </w:tabs>
        <w:bidi w:val="0"/>
        <w:spacing w:after="120" w:line="216" w:lineRule="auto"/>
        <w:rPr>
          <w:color w:val="000000"/>
          <w:sz w:val="22"/>
          <w:szCs w:val="22"/>
          <w:rtl/>
        </w:rPr>
      </w:pPr>
      <w:r w:rsidRPr="00C51A70">
        <w:rPr>
          <w:color w:val="000000"/>
          <w:sz w:val="22"/>
          <w:szCs w:val="22"/>
        </w:rPr>
        <w:t xml:space="preserve">Hansen, G. D., and R. Wright. 1992. The labor market in real business cycle theory. </w:t>
      </w:r>
      <w:r w:rsidRPr="00C51A70">
        <w:rPr>
          <w:iCs/>
          <w:color w:val="000000"/>
          <w:sz w:val="22"/>
          <w:szCs w:val="22"/>
        </w:rPr>
        <w:t xml:space="preserve">Federal Reserve Bank of Minneapolis Quarterly Review </w:t>
      </w:r>
      <w:r w:rsidRPr="00C51A70">
        <w:rPr>
          <w:color w:val="000000"/>
          <w:sz w:val="22"/>
          <w:szCs w:val="22"/>
        </w:rPr>
        <w:t>16:2–12.</w:t>
      </w:r>
    </w:p>
    <w:p w14:paraId="6C14C59F" w14:textId="77777777" w:rsidR="00C51A70" w:rsidRPr="00C51A70" w:rsidRDefault="00C51A70" w:rsidP="00C51A70">
      <w:pPr>
        <w:tabs>
          <w:tab w:val="left" w:pos="0"/>
        </w:tabs>
        <w:bidi w:val="0"/>
        <w:spacing w:after="120" w:line="216" w:lineRule="auto"/>
        <w:rPr>
          <w:rFonts w:ascii="Cambria Math" w:hAnsi="Cambria Math"/>
          <w:sz w:val="22"/>
          <w:szCs w:val="22"/>
        </w:rPr>
      </w:pPr>
      <w:r w:rsidRPr="00C51A70">
        <w:rPr>
          <w:rFonts w:ascii="Cambria Math" w:hAnsi="Cambria Math"/>
          <w:sz w:val="22"/>
          <w:szCs w:val="22"/>
          <w:highlight w:val="yellow"/>
        </w:rPr>
        <w:t>Hansen, Lars Peter, and Thomas J. Sargent. (1980). "Estimating and Formulating Dynamic Linear Rational Expectations Models." Reprinted in Robert E. Lucas, Jr. and Thomas J. Sargent (eds.). Rational Expectations and Econometric Practice. London: George Alien and Unwin, 1981.</w:t>
      </w:r>
    </w:p>
    <w:p w14:paraId="73EE42DE" w14:textId="77777777" w:rsidR="00C51A70" w:rsidRPr="00C51A70" w:rsidRDefault="00C51A70" w:rsidP="00C51A70">
      <w:pPr>
        <w:tabs>
          <w:tab w:val="left" w:pos="0"/>
        </w:tabs>
        <w:bidi w:val="0"/>
        <w:spacing w:after="120" w:line="216" w:lineRule="auto"/>
        <w:rPr>
          <w:color w:val="000000"/>
          <w:sz w:val="22"/>
          <w:szCs w:val="22"/>
        </w:rPr>
      </w:pPr>
      <w:r w:rsidRPr="00C51A70">
        <w:rPr>
          <w:color w:val="000000"/>
          <w:sz w:val="22"/>
          <w:szCs w:val="22"/>
        </w:rPr>
        <w:t xml:space="preserve">Hayashi, F. 1982. Tobin’s marginal </w:t>
      </w:r>
      <w:r w:rsidRPr="00C51A70">
        <w:rPr>
          <w:rFonts w:eastAsia="LucidaNewMath-AltItalic"/>
          <w:iCs/>
          <w:color w:val="000000"/>
          <w:sz w:val="22"/>
          <w:szCs w:val="22"/>
        </w:rPr>
        <w:t xml:space="preserve">Q </w:t>
      </w:r>
      <w:r w:rsidRPr="00C51A70">
        <w:rPr>
          <w:color w:val="000000"/>
          <w:sz w:val="22"/>
          <w:szCs w:val="22"/>
        </w:rPr>
        <w:t xml:space="preserve">and average </w:t>
      </w:r>
      <w:r w:rsidRPr="00C51A70">
        <w:rPr>
          <w:rFonts w:eastAsia="LucidaNewMath-AltItalic"/>
          <w:iCs/>
          <w:color w:val="000000"/>
          <w:sz w:val="22"/>
          <w:szCs w:val="22"/>
        </w:rPr>
        <w:t>Q</w:t>
      </w:r>
      <w:r w:rsidRPr="00C51A70">
        <w:rPr>
          <w:color w:val="000000"/>
          <w:sz w:val="22"/>
          <w:szCs w:val="22"/>
        </w:rPr>
        <w:t xml:space="preserve">: a neoclassical interpretation. </w:t>
      </w:r>
      <w:proofErr w:type="spellStart"/>
      <w:r w:rsidRPr="00C51A70">
        <w:rPr>
          <w:iCs/>
          <w:color w:val="000000"/>
          <w:sz w:val="22"/>
          <w:szCs w:val="22"/>
        </w:rPr>
        <w:t>Econometrica</w:t>
      </w:r>
      <w:proofErr w:type="spellEnd"/>
      <w:r w:rsidRPr="00C51A70">
        <w:rPr>
          <w:iCs/>
          <w:color w:val="000000"/>
          <w:sz w:val="22"/>
          <w:szCs w:val="22"/>
        </w:rPr>
        <w:t xml:space="preserve"> </w:t>
      </w:r>
      <w:r w:rsidRPr="00C51A70">
        <w:rPr>
          <w:color w:val="000000"/>
          <w:sz w:val="22"/>
          <w:szCs w:val="22"/>
        </w:rPr>
        <w:t>50:213–24.</w:t>
      </w:r>
    </w:p>
    <w:p w14:paraId="16884440" w14:textId="77777777" w:rsidR="00C51A70" w:rsidRPr="00C51A70" w:rsidRDefault="00C51A70" w:rsidP="00C51A70">
      <w:pPr>
        <w:tabs>
          <w:tab w:val="left" w:pos="0"/>
        </w:tabs>
        <w:bidi w:val="0"/>
        <w:spacing w:after="120" w:line="216" w:lineRule="auto"/>
        <w:rPr>
          <w:sz w:val="22"/>
          <w:szCs w:val="22"/>
          <w:rtl/>
        </w:rPr>
      </w:pPr>
      <w:r w:rsidRPr="00C51A70">
        <w:rPr>
          <w:rFonts w:ascii="ArialRegular" w:eastAsiaTheme="majorEastAsia" w:hAnsi="ArialRegular"/>
          <w:color w:val="000000"/>
          <w:sz w:val="22"/>
          <w:szCs w:val="22"/>
        </w:rPr>
        <w:t>______. 1996. Evaluating the effects of incomplete markets on risk sharing and asset pricing.</w:t>
      </w:r>
      <w:r w:rsidRPr="00C51A70">
        <w:rPr>
          <w:rFonts w:ascii="ArialRegular" w:eastAsiaTheme="majorEastAsia" w:hAnsi="ArialRegular" w:hint="cs"/>
          <w:color w:val="000000"/>
          <w:sz w:val="22"/>
          <w:szCs w:val="22"/>
          <w:rtl/>
        </w:rPr>
        <w:t xml:space="preserve"> </w:t>
      </w:r>
      <w:r w:rsidRPr="00C51A70">
        <w:rPr>
          <w:rFonts w:ascii="ArialItalic" w:eastAsiaTheme="majorEastAsia" w:hAnsi="ArialItalic"/>
          <w:i/>
          <w:iCs/>
          <w:color w:val="000000"/>
          <w:sz w:val="22"/>
          <w:szCs w:val="22"/>
        </w:rPr>
        <w:t xml:space="preserve">Journal of Political Economy </w:t>
      </w:r>
      <w:r w:rsidRPr="00C51A70">
        <w:rPr>
          <w:rFonts w:ascii="ArialRegular" w:eastAsiaTheme="majorEastAsia" w:hAnsi="ArialRegular"/>
          <w:color w:val="000000"/>
          <w:sz w:val="22"/>
          <w:szCs w:val="22"/>
        </w:rPr>
        <w:t>104:443–87.</w:t>
      </w:r>
      <w:r w:rsidRPr="00C51A70">
        <w:rPr>
          <w:sz w:val="22"/>
          <w:szCs w:val="22"/>
        </w:rPr>
        <w:t xml:space="preserve"> </w:t>
      </w:r>
    </w:p>
    <w:p w14:paraId="04AEF9A2" w14:textId="77777777" w:rsidR="00C51A70" w:rsidRPr="00C51A70" w:rsidRDefault="00C51A70" w:rsidP="00C51A70">
      <w:pPr>
        <w:tabs>
          <w:tab w:val="left" w:pos="0"/>
        </w:tabs>
        <w:bidi w:val="0"/>
        <w:spacing w:after="120" w:line="216" w:lineRule="auto"/>
        <w:rPr>
          <w:color w:val="000000"/>
          <w:sz w:val="22"/>
          <w:szCs w:val="22"/>
        </w:rPr>
      </w:pPr>
      <w:r w:rsidRPr="00C51A70">
        <w:rPr>
          <w:color w:val="000000"/>
          <w:sz w:val="22"/>
          <w:szCs w:val="22"/>
        </w:rPr>
        <w:t xml:space="preserve">Heaton, J., and D. J. Lucas. 1996. Evaluating the effects of incomplete markets on risk sharing and asset pricing. </w:t>
      </w:r>
      <w:r w:rsidRPr="00C51A70">
        <w:rPr>
          <w:iCs/>
          <w:color w:val="000000"/>
          <w:sz w:val="22"/>
          <w:szCs w:val="22"/>
        </w:rPr>
        <w:t xml:space="preserve">Journal of Political Economy </w:t>
      </w:r>
      <w:r w:rsidRPr="00C51A70">
        <w:rPr>
          <w:color w:val="000000"/>
          <w:sz w:val="22"/>
          <w:szCs w:val="22"/>
        </w:rPr>
        <w:t>104:443–87.</w:t>
      </w:r>
    </w:p>
    <w:p w14:paraId="47AB8009" w14:textId="77777777" w:rsidR="00C51A70" w:rsidRPr="00C51A70" w:rsidRDefault="00C51A70" w:rsidP="00C51A70">
      <w:pPr>
        <w:tabs>
          <w:tab w:val="left" w:pos="0"/>
        </w:tabs>
        <w:bidi w:val="0"/>
        <w:spacing w:after="120" w:line="216" w:lineRule="auto"/>
        <w:rPr>
          <w:rFonts w:ascii="Cambria Math" w:hAnsi="Cambria Math"/>
          <w:sz w:val="22"/>
          <w:szCs w:val="22"/>
        </w:rPr>
      </w:pPr>
      <w:r w:rsidRPr="00C51A70">
        <w:rPr>
          <w:rFonts w:ascii="Cambria Math" w:hAnsi="Cambria Math"/>
          <w:sz w:val="22"/>
          <w:szCs w:val="22"/>
          <w:highlight w:val="yellow"/>
        </w:rPr>
        <w:t>Hendry, D.F. (1995). Dynamic Econometrics. Oxford: Oxford University Press</w:t>
      </w:r>
      <w:r w:rsidRPr="00C51A70">
        <w:rPr>
          <w:rFonts w:ascii="Cambria Math" w:hAnsi="Cambria Math"/>
          <w:sz w:val="22"/>
          <w:szCs w:val="22"/>
          <w:highlight w:val="yellow"/>
          <w:rtl/>
        </w:rPr>
        <w:t>.</w:t>
      </w:r>
      <w:r w:rsidRPr="00C51A70">
        <w:rPr>
          <w:rFonts w:ascii="Cambria Math" w:hAnsi="Cambria Math"/>
          <w:sz w:val="22"/>
          <w:szCs w:val="22"/>
          <w:highlight w:val="yellow"/>
        </w:rPr>
        <w:t xml:space="preserve"> P33.</w:t>
      </w:r>
    </w:p>
    <w:p w14:paraId="195BBE5A" w14:textId="77777777" w:rsidR="00C51A70" w:rsidRPr="00C51A70" w:rsidRDefault="00C51A70" w:rsidP="00C51A70">
      <w:pPr>
        <w:tabs>
          <w:tab w:val="left" w:pos="0"/>
        </w:tabs>
        <w:bidi w:val="0"/>
        <w:spacing w:after="120" w:line="216" w:lineRule="auto"/>
        <w:rPr>
          <w:rFonts w:ascii="Cambria Math" w:hAnsi="Cambria Math"/>
          <w:sz w:val="22"/>
          <w:szCs w:val="22"/>
        </w:rPr>
      </w:pPr>
      <w:r w:rsidRPr="00C51A70">
        <w:rPr>
          <w:rFonts w:ascii="Cambria Math" w:hAnsi="Cambria Math"/>
          <w:sz w:val="22"/>
          <w:szCs w:val="22"/>
        </w:rPr>
        <w:t xml:space="preserve">Hendry, D.F., A.R. Pagan, and J.D. </w:t>
      </w:r>
      <w:proofErr w:type="spellStart"/>
      <w:r w:rsidRPr="00C51A70">
        <w:rPr>
          <w:rFonts w:ascii="Cambria Math" w:hAnsi="Cambria Math"/>
          <w:sz w:val="22"/>
          <w:szCs w:val="22"/>
        </w:rPr>
        <w:t>Sargan</w:t>
      </w:r>
      <w:proofErr w:type="spellEnd"/>
      <w:r w:rsidRPr="00C51A70">
        <w:rPr>
          <w:rFonts w:ascii="Cambria Math" w:hAnsi="Cambria Math"/>
          <w:sz w:val="22"/>
          <w:szCs w:val="22"/>
        </w:rPr>
        <w:t xml:space="preserve">. (1984). "Dynamic Specification." In Z. </w:t>
      </w:r>
      <w:proofErr w:type="spellStart"/>
      <w:r w:rsidRPr="00C51A70">
        <w:rPr>
          <w:rFonts w:ascii="Cambria Math" w:hAnsi="Cambria Math"/>
          <w:sz w:val="22"/>
          <w:szCs w:val="22"/>
        </w:rPr>
        <w:t>Griliches</w:t>
      </w:r>
      <w:proofErr w:type="spellEnd"/>
      <w:r w:rsidRPr="00C51A70">
        <w:rPr>
          <w:rFonts w:ascii="Cambria Math" w:hAnsi="Cambria Math"/>
          <w:sz w:val="22"/>
          <w:szCs w:val="22"/>
          <w:rtl/>
        </w:rPr>
        <w:t xml:space="preserve"> </w:t>
      </w:r>
      <w:r w:rsidRPr="00C51A70">
        <w:rPr>
          <w:rFonts w:ascii="Cambria Math" w:hAnsi="Cambria Math"/>
          <w:sz w:val="22"/>
          <w:szCs w:val="22"/>
        </w:rPr>
        <w:t xml:space="preserve">and M.D. </w:t>
      </w:r>
      <w:proofErr w:type="spellStart"/>
      <w:r w:rsidRPr="00C51A70">
        <w:rPr>
          <w:rFonts w:ascii="Cambria Math" w:hAnsi="Cambria Math"/>
          <w:sz w:val="22"/>
          <w:szCs w:val="22"/>
        </w:rPr>
        <w:t>Intrilligator</w:t>
      </w:r>
      <w:proofErr w:type="spellEnd"/>
      <w:r w:rsidRPr="00C51A70">
        <w:rPr>
          <w:rFonts w:ascii="Cambria Math" w:hAnsi="Cambria Math"/>
          <w:sz w:val="22"/>
          <w:szCs w:val="22"/>
        </w:rPr>
        <w:t xml:space="preserve"> (eds.). Handbook of Econometrics (Vol. 2) (pp. 1023-1100). Amsterdam: North-Holland. </w:t>
      </w:r>
    </w:p>
    <w:p w14:paraId="6FA23771" w14:textId="77777777" w:rsidR="00C51A70" w:rsidRPr="00C51A70" w:rsidRDefault="00C51A70" w:rsidP="00C51A70">
      <w:pPr>
        <w:tabs>
          <w:tab w:val="left" w:pos="0"/>
        </w:tabs>
        <w:bidi w:val="0"/>
        <w:spacing w:after="120" w:line="216" w:lineRule="auto"/>
        <w:rPr>
          <w:color w:val="000000"/>
          <w:sz w:val="22"/>
          <w:szCs w:val="22"/>
        </w:rPr>
      </w:pPr>
      <w:proofErr w:type="spellStart"/>
      <w:r w:rsidRPr="00C51A70">
        <w:rPr>
          <w:color w:val="000000"/>
          <w:sz w:val="22"/>
          <w:szCs w:val="22"/>
        </w:rPr>
        <w:t>Kydland</w:t>
      </w:r>
      <w:proofErr w:type="spellEnd"/>
      <w:r w:rsidRPr="00C51A70">
        <w:rPr>
          <w:color w:val="000000"/>
          <w:sz w:val="22"/>
          <w:szCs w:val="22"/>
        </w:rPr>
        <w:t xml:space="preserve">, F. E., and E. C Prescott. 1977. Rules rather than discretion: the inconsistency of optimal plans. </w:t>
      </w:r>
      <w:r w:rsidRPr="00C51A70">
        <w:rPr>
          <w:iCs/>
          <w:color w:val="000000"/>
          <w:sz w:val="22"/>
          <w:szCs w:val="22"/>
        </w:rPr>
        <w:t xml:space="preserve">Journal of Political Economy </w:t>
      </w:r>
      <w:r w:rsidRPr="00C51A70">
        <w:rPr>
          <w:color w:val="000000"/>
          <w:sz w:val="22"/>
          <w:szCs w:val="22"/>
        </w:rPr>
        <w:t>85:473–91.</w:t>
      </w:r>
      <w:r w:rsidRPr="00C51A70">
        <w:rPr>
          <w:color w:val="000000"/>
          <w:sz w:val="22"/>
          <w:szCs w:val="22"/>
        </w:rPr>
        <w:br/>
        <w:t xml:space="preserve">. 1982. Time to build and aggregate fluctuations. </w:t>
      </w:r>
      <w:proofErr w:type="spellStart"/>
      <w:r w:rsidRPr="00C51A70">
        <w:rPr>
          <w:iCs/>
          <w:color w:val="000000"/>
          <w:sz w:val="22"/>
          <w:szCs w:val="22"/>
        </w:rPr>
        <w:t>Econometrica</w:t>
      </w:r>
      <w:proofErr w:type="spellEnd"/>
      <w:r w:rsidRPr="00C51A70">
        <w:rPr>
          <w:iCs/>
          <w:color w:val="000000"/>
          <w:sz w:val="22"/>
          <w:szCs w:val="22"/>
        </w:rPr>
        <w:t xml:space="preserve"> </w:t>
      </w:r>
      <w:r w:rsidRPr="00C51A70">
        <w:rPr>
          <w:color w:val="000000"/>
          <w:sz w:val="22"/>
          <w:szCs w:val="22"/>
        </w:rPr>
        <w:t>50:1345–70.</w:t>
      </w:r>
    </w:p>
    <w:p w14:paraId="3D35E575" w14:textId="77777777" w:rsidR="00C51A70" w:rsidRPr="00C51A70" w:rsidRDefault="00C51A70" w:rsidP="00C51A70">
      <w:pPr>
        <w:tabs>
          <w:tab w:val="left" w:pos="0"/>
        </w:tabs>
        <w:bidi w:val="0"/>
        <w:spacing w:after="120" w:line="216" w:lineRule="auto"/>
        <w:rPr>
          <w:color w:val="000000"/>
          <w:sz w:val="22"/>
          <w:szCs w:val="22"/>
        </w:rPr>
      </w:pPr>
      <w:r w:rsidRPr="00C51A70">
        <w:rPr>
          <w:color w:val="000000"/>
          <w:sz w:val="22"/>
          <w:szCs w:val="22"/>
        </w:rPr>
        <w:lastRenderedPageBreak/>
        <w:t xml:space="preserve">Lane, P. 2001. The new open economy macroeconomics: a survey. </w:t>
      </w:r>
      <w:r w:rsidRPr="00C51A70">
        <w:rPr>
          <w:iCs/>
          <w:color w:val="000000"/>
          <w:sz w:val="22"/>
          <w:szCs w:val="22"/>
        </w:rPr>
        <w:t xml:space="preserve">Journal of International Economics </w:t>
      </w:r>
      <w:r w:rsidRPr="00C51A70">
        <w:rPr>
          <w:color w:val="000000"/>
          <w:sz w:val="22"/>
          <w:szCs w:val="22"/>
        </w:rPr>
        <w:t>54:235–66.</w:t>
      </w:r>
    </w:p>
    <w:p w14:paraId="57B099A3" w14:textId="77777777" w:rsidR="00C51A70" w:rsidRPr="00C51A70" w:rsidRDefault="00C51A70" w:rsidP="00C51A70">
      <w:pPr>
        <w:tabs>
          <w:tab w:val="left" w:pos="0"/>
        </w:tabs>
        <w:bidi w:val="0"/>
        <w:spacing w:after="120" w:line="216" w:lineRule="auto"/>
        <w:rPr>
          <w:rFonts w:ascii="Cambria Math" w:hAnsi="Cambria Math"/>
          <w:sz w:val="22"/>
          <w:szCs w:val="22"/>
        </w:rPr>
      </w:pPr>
      <w:r w:rsidRPr="00C51A70">
        <w:rPr>
          <w:rFonts w:ascii="Cambria Math" w:hAnsi="Cambria Math"/>
          <w:sz w:val="22"/>
          <w:szCs w:val="22"/>
          <w:highlight w:val="yellow"/>
        </w:rPr>
        <w:t>Learner, Edward E. (1985). "Vector autoregressions for causal inference?" In Karl Brunner and Allan H. Meltzer (eds.). Understanding Monetary Regimes. Carnegie-Rochester Conference Series on Public Policy, vol. 22. Amsterdam: North-Holland</w:t>
      </w:r>
    </w:p>
    <w:p w14:paraId="2D02DDC7" w14:textId="77777777" w:rsidR="00C51A70" w:rsidRPr="00C51A70" w:rsidRDefault="00C51A70" w:rsidP="00C51A70">
      <w:pPr>
        <w:tabs>
          <w:tab w:val="left" w:pos="0"/>
        </w:tabs>
        <w:bidi w:val="0"/>
        <w:spacing w:after="120" w:line="216" w:lineRule="auto"/>
        <w:rPr>
          <w:rFonts w:ascii="ArialRegular" w:eastAsiaTheme="majorEastAsia" w:hAnsi="ArialRegular"/>
          <w:color w:val="000000"/>
          <w:sz w:val="22"/>
          <w:szCs w:val="22"/>
          <w:rtl/>
        </w:rPr>
      </w:pPr>
      <w:r w:rsidRPr="00C51A70">
        <w:rPr>
          <w:rFonts w:ascii="ArialRegular" w:eastAsiaTheme="majorEastAsia" w:hAnsi="ArialRegular"/>
          <w:color w:val="000000"/>
          <w:sz w:val="22"/>
          <w:szCs w:val="22"/>
        </w:rPr>
        <w:t xml:space="preserve">Le, V. P. M., D. </w:t>
      </w:r>
      <w:proofErr w:type="spellStart"/>
      <w:r w:rsidRPr="00C51A70">
        <w:rPr>
          <w:rFonts w:ascii="ArialRegular" w:eastAsiaTheme="majorEastAsia" w:hAnsi="ArialRegular"/>
          <w:color w:val="000000"/>
          <w:sz w:val="22"/>
          <w:szCs w:val="22"/>
        </w:rPr>
        <w:t>Meenagh</w:t>
      </w:r>
      <w:proofErr w:type="spellEnd"/>
      <w:r w:rsidRPr="00C51A70">
        <w:rPr>
          <w:rFonts w:ascii="ArialRegular" w:eastAsiaTheme="majorEastAsia" w:hAnsi="ArialRegular"/>
          <w:color w:val="000000"/>
          <w:sz w:val="22"/>
          <w:szCs w:val="22"/>
        </w:rPr>
        <w:t xml:space="preserve">, P. A. Minford, and M. R. </w:t>
      </w:r>
      <w:proofErr w:type="spellStart"/>
      <w:r w:rsidRPr="00C51A70">
        <w:rPr>
          <w:rFonts w:ascii="ArialRegular" w:eastAsiaTheme="majorEastAsia" w:hAnsi="ArialRegular"/>
          <w:color w:val="000000"/>
          <w:sz w:val="22"/>
          <w:szCs w:val="22"/>
        </w:rPr>
        <w:t>Wickens</w:t>
      </w:r>
      <w:proofErr w:type="spellEnd"/>
      <w:r w:rsidRPr="00C51A70">
        <w:rPr>
          <w:rFonts w:ascii="ArialRegular" w:eastAsiaTheme="majorEastAsia" w:hAnsi="ArialRegular"/>
          <w:color w:val="000000"/>
          <w:sz w:val="22"/>
          <w:szCs w:val="22"/>
        </w:rPr>
        <w:t>. Forthcoming. How much nominal</w:t>
      </w:r>
      <w:r w:rsidRPr="00C51A70">
        <w:rPr>
          <w:rFonts w:ascii="ArialRegular" w:eastAsiaTheme="majorEastAsia" w:hAnsi="ArialRegular" w:hint="cs"/>
          <w:color w:val="000000"/>
          <w:sz w:val="22"/>
          <w:szCs w:val="22"/>
          <w:rtl/>
        </w:rPr>
        <w:t xml:space="preserve"> </w:t>
      </w:r>
      <w:r w:rsidRPr="00C51A70">
        <w:rPr>
          <w:rFonts w:ascii="ArialRegular" w:eastAsiaTheme="majorEastAsia" w:hAnsi="ArialRegular"/>
          <w:color w:val="000000"/>
          <w:sz w:val="22"/>
          <w:szCs w:val="22"/>
        </w:rPr>
        <w:t>rigidity is there in the US economy? Testing a New Keynesian DSGE model using indirect</w:t>
      </w:r>
      <w:r w:rsidRPr="00C51A70">
        <w:rPr>
          <w:rFonts w:ascii="ArialRegular" w:eastAsiaTheme="majorEastAsia" w:hAnsi="ArialRegular" w:hint="cs"/>
          <w:color w:val="000000"/>
          <w:sz w:val="22"/>
          <w:szCs w:val="22"/>
          <w:rtl/>
        </w:rPr>
        <w:t xml:space="preserve"> </w:t>
      </w:r>
      <w:r w:rsidRPr="00C51A70">
        <w:rPr>
          <w:rFonts w:ascii="ArialRegular" w:eastAsiaTheme="majorEastAsia" w:hAnsi="ArialRegular"/>
          <w:color w:val="000000"/>
          <w:sz w:val="22"/>
          <w:szCs w:val="22"/>
        </w:rPr>
        <w:t xml:space="preserve">inference. </w:t>
      </w:r>
      <w:r w:rsidRPr="00C51A70">
        <w:rPr>
          <w:rFonts w:ascii="ArialItalic" w:eastAsiaTheme="majorEastAsia" w:hAnsi="ArialItalic"/>
          <w:i/>
          <w:iCs/>
          <w:color w:val="000000"/>
          <w:sz w:val="22"/>
          <w:szCs w:val="22"/>
        </w:rPr>
        <w:t xml:space="preserve">Journal of Economics Dynamics and </w:t>
      </w:r>
      <w:proofErr w:type="gramStart"/>
      <w:r w:rsidRPr="00C51A70">
        <w:rPr>
          <w:rFonts w:ascii="ArialItalic" w:eastAsiaTheme="majorEastAsia" w:hAnsi="ArialItalic"/>
          <w:i/>
          <w:iCs/>
          <w:color w:val="000000"/>
          <w:sz w:val="22"/>
          <w:szCs w:val="22"/>
        </w:rPr>
        <w:t xml:space="preserve">Control </w:t>
      </w:r>
      <w:r w:rsidRPr="00C51A70">
        <w:rPr>
          <w:rFonts w:ascii="ArialRegular" w:eastAsiaTheme="majorEastAsia" w:hAnsi="ArialRegular"/>
          <w:color w:val="000000"/>
          <w:sz w:val="22"/>
          <w:szCs w:val="22"/>
        </w:rPr>
        <w:t>,</w:t>
      </w:r>
      <w:proofErr w:type="gramEnd"/>
      <w:r w:rsidRPr="00C51A70">
        <w:rPr>
          <w:rFonts w:ascii="ArialRegular" w:eastAsiaTheme="majorEastAsia" w:hAnsi="ArialRegular"/>
          <w:color w:val="000000"/>
          <w:sz w:val="22"/>
          <w:szCs w:val="22"/>
        </w:rPr>
        <w:t xml:space="preserve"> in press. Leeper, E. M., and T. </w:t>
      </w:r>
      <w:proofErr w:type="spellStart"/>
      <w:r w:rsidRPr="00C51A70">
        <w:rPr>
          <w:rFonts w:ascii="ArialRegular" w:eastAsiaTheme="majorEastAsia" w:hAnsi="ArialRegular"/>
          <w:color w:val="000000"/>
          <w:sz w:val="22"/>
          <w:szCs w:val="22"/>
        </w:rPr>
        <w:t>Zha</w:t>
      </w:r>
      <w:proofErr w:type="spellEnd"/>
      <w:r w:rsidRPr="00C51A70">
        <w:rPr>
          <w:rFonts w:ascii="ArialRegular" w:eastAsiaTheme="majorEastAsia" w:hAnsi="ArialRegular"/>
          <w:color w:val="000000"/>
          <w:sz w:val="22"/>
          <w:szCs w:val="22"/>
        </w:rPr>
        <w:t>.</w:t>
      </w:r>
      <w:r w:rsidRPr="00C51A70">
        <w:rPr>
          <w:rFonts w:ascii="ArialRegular" w:eastAsiaTheme="majorEastAsia" w:hAnsi="ArialRegular" w:hint="cs"/>
          <w:color w:val="000000"/>
          <w:sz w:val="22"/>
          <w:szCs w:val="22"/>
          <w:rtl/>
        </w:rPr>
        <w:t xml:space="preserve"> </w:t>
      </w:r>
    </w:p>
    <w:p w14:paraId="6202F3C8" w14:textId="77777777" w:rsidR="00C51A70" w:rsidRPr="00C51A70" w:rsidRDefault="00C51A70" w:rsidP="00C51A70">
      <w:pPr>
        <w:tabs>
          <w:tab w:val="left" w:pos="0"/>
        </w:tabs>
        <w:bidi w:val="0"/>
        <w:spacing w:after="120" w:line="216" w:lineRule="auto"/>
        <w:rPr>
          <w:sz w:val="22"/>
          <w:szCs w:val="22"/>
          <w:rtl/>
        </w:rPr>
      </w:pPr>
      <w:r w:rsidRPr="00C51A70">
        <w:rPr>
          <w:rFonts w:ascii="ArialRegular" w:eastAsiaTheme="majorEastAsia" w:hAnsi="ArialRegular" w:hint="cs"/>
          <w:color w:val="000000"/>
          <w:sz w:val="22"/>
          <w:szCs w:val="22"/>
          <w:rtl/>
        </w:rPr>
        <w:t>----</w:t>
      </w:r>
      <w:r w:rsidRPr="00C51A70">
        <w:rPr>
          <w:rFonts w:ascii="ArialRegular" w:eastAsiaTheme="majorEastAsia" w:hAnsi="ArialRegular"/>
          <w:color w:val="000000"/>
          <w:sz w:val="22"/>
          <w:szCs w:val="22"/>
        </w:rPr>
        <w:t xml:space="preserve">2001. Assessing simple policy rules: a view from a complete macroeconomic model. </w:t>
      </w:r>
      <w:r w:rsidRPr="00C51A70">
        <w:rPr>
          <w:rFonts w:ascii="ArialItalic" w:eastAsiaTheme="majorEastAsia" w:hAnsi="ArialItalic"/>
          <w:i/>
          <w:iCs/>
          <w:color w:val="000000"/>
          <w:sz w:val="22"/>
          <w:szCs w:val="22"/>
        </w:rPr>
        <w:t>Federal</w:t>
      </w:r>
      <w:r w:rsidRPr="00C51A70">
        <w:rPr>
          <w:rFonts w:ascii="ArialItalic" w:eastAsiaTheme="majorEastAsia" w:hAnsi="ArialItalic" w:hint="cs"/>
          <w:i/>
          <w:iCs/>
          <w:color w:val="000000"/>
          <w:sz w:val="22"/>
          <w:szCs w:val="22"/>
          <w:rtl/>
        </w:rPr>
        <w:t xml:space="preserve"> </w:t>
      </w:r>
      <w:r w:rsidRPr="00C51A70">
        <w:rPr>
          <w:rFonts w:ascii="ArialItalic" w:eastAsiaTheme="majorEastAsia" w:hAnsi="ArialItalic"/>
          <w:i/>
          <w:iCs/>
          <w:color w:val="000000"/>
          <w:sz w:val="22"/>
          <w:szCs w:val="22"/>
        </w:rPr>
        <w:t xml:space="preserve">Reserve Bank of St. Louis Review </w:t>
      </w:r>
      <w:r w:rsidRPr="00C51A70">
        <w:rPr>
          <w:rFonts w:ascii="ArialRegular" w:eastAsiaTheme="majorEastAsia" w:hAnsi="ArialRegular"/>
          <w:color w:val="000000"/>
          <w:sz w:val="22"/>
          <w:szCs w:val="22"/>
        </w:rPr>
        <w:t>83:83–110.</w:t>
      </w:r>
      <w:r w:rsidRPr="00C51A70">
        <w:rPr>
          <w:sz w:val="22"/>
          <w:szCs w:val="22"/>
        </w:rPr>
        <w:t xml:space="preserve"> </w:t>
      </w:r>
    </w:p>
    <w:p w14:paraId="264F2D5A" w14:textId="77777777" w:rsidR="00C51A70" w:rsidRPr="00C51A70" w:rsidRDefault="00C51A70" w:rsidP="00C51A70">
      <w:pPr>
        <w:tabs>
          <w:tab w:val="left" w:pos="0"/>
        </w:tabs>
        <w:bidi w:val="0"/>
        <w:spacing w:after="120" w:line="216" w:lineRule="auto"/>
        <w:rPr>
          <w:sz w:val="22"/>
          <w:szCs w:val="22"/>
        </w:rPr>
      </w:pPr>
      <w:r w:rsidRPr="00C51A70">
        <w:rPr>
          <w:color w:val="000000"/>
          <w:sz w:val="22"/>
          <w:szCs w:val="22"/>
        </w:rPr>
        <w:t xml:space="preserve">Leeper, E. M., C. A. Sims, T. </w:t>
      </w:r>
      <w:proofErr w:type="spellStart"/>
      <w:r w:rsidRPr="00C51A70">
        <w:rPr>
          <w:color w:val="000000"/>
          <w:sz w:val="22"/>
          <w:szCs w:val="22"/>
        </w:rPr>
        <w:t>Zha</w:t>
      </w:r>
      <w:proofErr w:type="spellEnd"/>
      <w:r w:rsidRPr="00C51A70">
        <w:rPr>
          <w:color w:val="000000"/>
          <w:sz w:val="22"/>
          <w:szCs w:val="22"/>
        </w:rPr>
        <w:t xml:space="preserve">, R. E. Hall, and B. S. Bernanke. 1996. What does monetary policy do? </w:t>
      </w:r>
      <w:r w:rsidRPr="00C51A70">
        <w:rPr>
          <w:iCs/>
          <w:color w:val="000000"/>
          <w:sz w:val="22"/>
          <w:szCs w:val="22"/>
        </w:rPr>
        <w:t xml:space="preserve">Brookings Papers in Economic Activity </w:t>
      </w:r>
      <w:r w:rsidRPr="00C51A70">
        <w:rPr>
          <w:color w:val="000000"/>
          <w:sz w:val="22"/>
          <w:szCs w:val="22"/>
        </w:rPr>
        <w:t>2:1–78.</w:t>
      </w:r>
      <w:r w:rsidRPr="00C51A70">
        <w:rPr>
          <w:sz w:val="22"/>
          <w:szCs w:val="22"/>
        </w:rPr>
        <w:t xml:space="preserve"> </w:t>
      </w:r>
    </w:p>
    <w:p w14:paraId="468BAC8A" w14:textId="77777777" w:rsidR="00C51A70" w:rsidRPr="00C51A70" w:rsidRDefault="00C51A70" w:rsidP="00C51A70">
      <w:pPr>
        <w:tabs>
          <w:tab w:val="left" w:pos="0"/>
        </w:tabs>
        <w:bidi w:val="0"/>
        <w:spacing w:after="120" w:line="216" w:lineRule="auto"/>
        <w:rPr>
          <w:color w:val="000000"/>
          <w:sz w:val="22"/>
          <w:szCs w:val="22"/>
          <w:rtl/>
        </w:rPr>
      </w:pPr>
      <w:r w:rsidRPr="00C51A70">
        <w:rPr>
          <w:color w:val="000000"/>
          <w:sz w:val="22"/>
          <w:szCs w:val="22"/>
        </w:rPr>
        <w:t xml:space="preserve">Leeper, E. M., and T. </w:t>
      </w:r>
      <w:proofErr w:type="spellStart"/>
      <w:r w:rsidRPr="00C51A70">
        <w:rPr>
          <w:color w:val="000000"/>
          <w:sz w:val="22"/>
          <w:szCs w:val="22"/>
        </w:rPr>
        <w:t>Zha</w:t>
      </w:r>
      <w:proofErr w:type="spellEnd"/>
      <w:r w:rsidRPr="00C51A70">
        <w:rPr>
          <w:color w:val="000000"/>
          <w:sz w:val="22"/>
          <w:szCs w:val="22"/>
        </w:rPr>
        <w:t xml:space="preserve">. 2001. Assessing simple policy rules: a view from a complete macroeconomic model. </w:t>
      </w:r>
      <w:r w:rsidRPr="00C51A70">
        <w:rPr>
          <w:iCs/>
          <w:color w:val="000000"/>
          <w:sz w:val="22"/>
          <w:szCs w:val="22"/>
        </w:rPr>
        <w:t xml:space="preserve">Federal Reserve Bank of St. Louis Review </w:t>
      </w:r>
      <w:r w:rsidRPr="00C51A70">
        <w:rPr>
          <w:color w:val="000000"/>
          <w:sz w:val="22"/>
          <w:szCs w:val="22"/>
        </w:rPr>
        <w:t>83:83–110.</w:t>
      </w:r>
    </w:p>
    <w:p w14:paraId="7766F19D" w14:textId="77777777" w:rsidR="00C51A70" w:rsidRPr="00C51A70" w:rsidRDefault="00C51A70" w:rsidP="00C51A70">
      <w:pPr>
        <w:tabs>
          <w:tab w:val="left" w:pos="0"/>
        </w:tabs>
        <w:bidi w:val="0"/>
        <w:spacing w:after="120" w:line="216" w:lineRule="auto"/>
        <w:rPr>
          <w:rFonts w:ascii="Cambria Math" w:hAnsi="Cambria Math"/>
          <w:sz w:val="22"/>
          <w:szCs w:val="22"/>
        </w:rPr>
      </w:pPr>
      <w:r w:rsidRPr="00C51A70">
        <w:rPr>
          <w:rFonts w:ascii="Cambria Math" w:hAnsi="Cambria Math"/>
          <w:sz w:val="22"/>
          <w:szCs w:val="22"/>
        </w:rPr>
        <w:t xml:space="preserve">Lipsey, Richard G. (1960). "The Relationship between Unemployment and the Rate of Money Wage Changes in the United Kingdom, 1862-1957: A Further Analysis." </w:t>
      </w:r>
      <w:proofErr w:type="spellStart"/>
      <w:r w:rsidRPr="00C51A70">
        <w:rPr>
          <w:rFonts w:ascii="Cambria Math" w:hAnsi="Cambria Math"/>
          <w:sz w:val="22"/>
          <w:szCs w:val="22"/>
        </w:rPr>
        <w:t>Economica</w:t>
      </w:r>
      <w:proofErr w:type="spellEnd"/>
      <w:r w:rsidRPr="00C51A70">
        <w:rPr>
          <w:rFonts w:ascii="Cambria Math" w:hAnsi="Cambria Math"/>
          <w:sz w:val="22"/>
          <w:szCs w:val="22"/>
        </w:rPr>
        <w:t xml:space="preserve"> NS, 27, 1-31.</w:t>
      </w:r>
    </w:p>
    <w:p w14:paraId="434FF8D0" w14:textId="77777777" w:rsidR="00C51A70" w:rsidRPr="00C51A70" w:rsidRDefault="00C51A70" w:rsidP="00C51A70">
      <w:pPr>
        <w:tabs>
          <w:tab w:val="left" w:pos="0"/>
        </w:tabs>
        <w:bidi w:val="0"/>
        <w:spacing w:after="120" w:line="216" w:lineRule="auto"/>
        <w:rPr>
          <w:color w:val="000000"/>
          <w:sz w:val="22"/>
          <w:szCs w:val="22"/>
        </w:rPr>
      </w:pPr>
      <w:proofErr w:type="spellStart"/>
      <w:r w:rsidRPr="00C51A70">
        <w:rPr>
          <w:color w:val="000000"/>
          <w:sz w:val="22"/>
          <w:szCs w:val="22"/>
        </w:rPr>
        <w:t>Ljungqvist</w:t>
      </w:r>
      <w:proofErr w:type="spellEnd"/>
      <w:r w:rsidRPr="00C51A70">
        <w:rPr>
          <w:color w:val="000000"/>
          <w:sz w:val="22"/>
          <w:szCs w:val="22"/>
        </w:rPr>
        <w:t xml:space="preserve">, L., and T. J. Sargent. 2004. </w:t>
      </w:r>
      <w:r w:rsidRPr="00C51A70">
        <w:rPr>
          <w:iCs/>
          <w:color w:val="000000"/>
          <w:sz w:val="22"/>
          <w:szCs w:val="22"/>
        </w:rPr>
        <w:t>Recursive Macroeconomic Theory</w:t>
      </w:r>
      <w:r w:rsidRPr="00C51A70">
        <w:rPr>
          <w:color w:val="000000"/>
          <w:sz w:val="22"/>
          <w:szCs w:val="22"/>
        </w:rPr>
        <w:t xml:space="preserve">, 2nd </w:t>
      </w:r>
      <w:proofErr w:type="spellStart"/>
      <w:r w:rsidRPr="00C51A70">
        <w:rPr>
          <w:color w:val="000000"/>
          <w:sz w:val="22"/>
          <w:szCs w:val="22"/>
        </w:rPr>
        <w:t>edn</w:t>
      </w:r>
      <w:proofErr w:type="spellEnd"/>
      <w:r w:rsidRPr="00C51A70">
        <w:rPr>
          <w:color w:val="000000"/>
          <w:sz w:val="22"/>
          <w:szCs w:val="22"/>
        </w:rPr>
        <w:t xml:space="preserve"> Cambridge, MA: MIT Press,</w:t>
      </w:r>
    </w:p>
    <w:p w14:paraId="6E09293D" w14:textId="77777777" w:rsidR="00C51A70" w:rsidRPr="00C51A70" w:rsidRDefault="00C51A70" w:rsidP="00C51A70">
      <w:pPr>
        <w:tabs>
          <w:tab w:val="left" w:pos="0"/>
        </w:tabs>
        <w:bidi w:val="0"/>
        <w:spacing w:after="120" w:line="216" w:lineRule="auto"/>
        <w:rPr>
          <w:color w:val="000000"/>
          <w:sz w:val="22"/>
          <w:szCs w:val="22"/>
        </w:rPr>
      </w:pPr>
      <w:r w:rsidRPr="00C51A70">
        <w:rPr>
          <w:color w:val="000000"/>
          <w:sz w:val="22"/>
          <w:szCs w:val="22"/>
        </w:rPr>
        <w:t xml:space="preserve"> Long, J. B., and C. I. </w:t>
      </w:r>
      <w:proofErr w:type="spellStart"/>
      <w:r w:rsidRPr="00C51A70">
        <w:rPr>
          <w:color w:val="000000"/>
          <w:sz w:val="22"/>
          <w:szCs w:val="22"/>
        </w:rPr>
        <w:t>Plosser</w:t>
      </w:r>
      <w:proofErr w:type="spellEnd"/>
      <w:r w:rsidRPr="00C51A70">
        <w:rPr>
          <w:color w:val="000000"/>
          <w:sz w:val="22"/>
          <w:szCs w:val="22"/>
        </w:rPr>
        <w:t xml:space="preserve">. 1983. Real business cycles. </w:t>
      </w:r>
      <w:r w:rsidRPr="00C51A70">
        <w:rPr>
          <w:iCs/>
          <w:color w:val="000000"/>
          <w:sz w:val="22"/>
          <w:szCs w:val="22"/>
        </w:rPr>
        <w:t xml:space="preserve">Journal of Political Economy </w:t>
      </w:r>
      <w:r w:rsidRPr="00C51A70">
        <w:rPr>
          <w:color w:val="000000"/>
          <w:sz w:val="22"/>
          <w:szCs w:val="22"/>
        </w:rPr>
        <w:t>91:31–69.</w:t>
      </w:r>
    </w:p>
    <w:p w14:paraId="707FF5A7" w14:textId="77777777" w:rsidR="00C51A70" w:rsidRPr="00C51A70" w:rsidRDefault="00C51A70" w:rsidP="00C51A70">
      <w:pPr>
        <w:tabs>
          <w:tab w:val="left" w:pos="0"/>
        </w:tabs>
        <w:bidi w:val="0"/>
        <w:spacing w:after="120" w:line="216" w:lineRule="auto"/>
        <w:rPr>
          <w:rFonts w:ascii="Cambria Math" w:hAnsi="Cambria Math"/>
          <w:sz w:val="22"/>
          <w:szCs w:val="22"/>
          <w:highlight w:val="yellow"/>
        </w:rPr>
      </w:pPr>
      <w:r w:rsidRPr="00C51A70">
        <w:rPr>
          <w:rFonts w:ascii="Cambria Math" w:hAnsi="Cambria Math"/>
          <w:sz w:val="22"/>
          <w:szCs w:val="22"/>
          <w:highlight w:val="yellow"/>
        </w:rPr>
        <w:t>Lucas, Robert E., Jr. (1972). "Econometric Testing of the Natural Rate Hypothesis." Reprinted in Studies in Business Cycle Theory. Oxford: Blackwell, 1981.</w:t>
      </w:r>
      <w:r w:rsidRPr="00C51A70">
        <w:rPr>
          <w:rFonts w:ascii="Cambria Math" w:hAnsi="Cambria Math"/>
          <w:sz w:val="22"/>
          <w:szCs w:val="22"/>
          <w:highlight w:val="yellow"/>
          <w:rtl/>
        </w:rPr>
        <w:t xml:space="preserve"> </w:t>
      </w:r>
      <w:r w:rsidRPr="00C51A70">
        <w:rPr>
          <w:rFonts w:ascii="Cambria Math" w:hAnsi="Cambria Math"/>
          <w:sz w:val="22"/>
          <w:szCs w:val="22"/>
          <w:highlight w:val="yellow"/>
        </w:rPr>
        <w:t xml:space="preserve"> </w:t>
      </w:r>
    </w:p>
    <w:p w14:paraId="78000877" w14:textId="77777777" w:rsidR="00C51A70" w:rsidRPr="00C51A70" w:rsidRDefault="00C51A70" w:rsidP="00C51A70">
      <w:pPr>
        <w:tabs>
          <w:tab w:val="left" w:pos="0"/>
        </w:tabs>
        <w:bidi w:val="0"/>
        <w:spacing w:after="120" w:line="216" w:lineRule="auto"/>
        <w:rPr>
          <w:rFonts w:ascii="Cambria Math" w:hAnsi="Cambria Math"/>
          <w:sz w:val="22"/>
          <w:szCs w:val="22"/>
        </w:rPr>
      </w:pPr>
      <w:r w:rsidRPr="00C51A70">
        <w:rPr>
          <w:rFonts w:ascii="Cambria Math" w:hAnsi="Cambria Math"/>
          <w:sz w:val="22"/>
          <w:szCs w:val="22"/>
          <w:highlight w:val="yellow"/>
        </w:rPr>
        <w:t>Lucas, Robert E., Jr. (1972b). "Expectations and the Neutrality of Money." Reprinted in Studies in Business Cycle Theory. Oxford: Blackwell, 1981.</w:t>
      </w:r>
    </w:p>
    <w:p w14:paraId="3451C6BA" w14:textId="77777777" w:rsidR="00C51A70" w:rsidRPr="00C51A70" w:rsidRDefault="00C51A70" w:rsidP="00C51A70">
      <w:pPr>
        <w:tabs>
          <w:tab w:val="left" w:pos="0"/>
        </w:tabs>
        <w:bidi w:val="0"/>
        <w:spacing w:after="120" w:line="216" w:lineRule="auto"/>
        <w:rPr>
          <w:rFonts w:ascii="Cambria Math" w:hAnsi="Cambria Math"/>
          <w:sz w:val="22"/>
          <w:szCs w:val="22"/>
        </w:rPr>
      </w:pPr>
      <w:r w:rsidRPr="00C51A70">
        <w:rPr>
          <w:rFonts w:ascii="Cambria Math" w:hAnsi="Cambria Math"/>
          <w:sz w:val="22"/>
          <w:szCs w:val="22"/>
          <w:rtl/>
        </w:rPr>
        <w:t xml:space="preserve"> </w:t>
      </w:r>
      <w:r w:rsidRPr="00C51A70">
        <w:rPr>
          <w:rFonts w:ascii="Cambria Math" w:hAnsi="Cambria Math"/>
          <w:sz w:val="22"/>
          <w:szCs w:val="22"/>
          <w:highlight w:val="yellow"/>
        </w:rPr>
        <w:t>Lucas, Robert E., Jr. and Rapping, Leonard A. (1969). "Real Wages, Employment and Inflation." Journal of Political Economy 77, 721-54.</w:t>
      </w:r>
      <w:r w:rsidRPr="00C51A70">
        <w:rPr>
          <w:rFonts w:ascii="Cambria Math" w:hAnsi="Cambria Math"/>
          <w:sz w:val="22"/>
          <w:szCs w:val="22"/>
        </w:rPr>
        <w:t xml:space="preserve"> </w:t>
      </w:r>
    </w:p>
    <w:p w14:paraId="40418D09" w14:textId="77777777" w:rsidR="00C51A70" w:rsidRPr="00C51A70" w:rsidRDefault="00C51A70" w:rsidP="00C51A70">
      <w:pPr>
        <w:tabs>
          <w:tab w:val="left" w:pos="0"/>
        </w:tabs>
        <w:bidi w:val="0"/>
        <w:spacing w:after="120" w:line="216" w:lineRule="auto"/>
        <w:rPr>
          <w:rFonts w:ascii="Cambria Math" w:hAnsi="Cambria Math"/>
          <w:sz w:val="22"/>
          <w:szCs w:val="22"/>
        </w:rPr>
      </w:pPr>
      <w:r w:rsidRPr="00C51A70">
        <w:rPr>
          <w:rFonts w:ascii="Cambria Math" w:hAnsi="Cambria Math"/>
          <w:sz w:val="22"/>
          <w:szCs w:val="22"/>
        </w:rPr>
        <w:t>Lucas, Robert E., Jr. and Rapping, Leonard A. (1969). "Price Expectations and the Phillips Curve." American Economic Review 59, 342-350.</w:t>
      </w:r>
    </w:p>
    <w:p w14:paraId="2DCC6657" w14:textId="77777777" w:rsidR="00C51A70" w:rsidRPr="00C51A70" w:rsidRDefault="00C51A70" w:rsidP="00C51A70">
      <w:pPr>
        <w:tabs>
          <w:tab w:val="left" w:pos="0"/>
        </w:tabs>
        <w:bidi w:val="0"/>
        <w:spacing w:after="120" w:line="216" w:lineRule="auto"/>
        <w:rPr>
          <w:rFonts w:ascii="Cambria Math" w:hAnsi="Cambria Math"/>
          <w:sz w:val="22"/>
          <w:szCs w:val="22"/>
        </w:rPr>
      </w:pPr>
      <w:r w:rsidRPr="00C51A70">
        <w:rPr>
          <w:rFonts w:ascii="Cambria Math" w:hAnsi="Cambria Math"/>
          <w:sz w:val="22"/>
          <w:szCs w:val="22"/>
        </w:rPr>
        <w:t xml:space="preserve">Lucas, Robert E., Jr. (1976). "Econometric Policy Evaluation: A Critique." In Karl Brunner and Alien H. </w:t>
      </w:r>
      <w:proofErr w:type="gramStart"/>
      <w:r w:rsidRPr="00C51A70">
        <w:rPr>
          <w:rFonts w:ascii="Cambria Math" w:hAnsi="Cambria Math"/>
          <w:sz w:val="22"/>
          <w:szCs w:val="22"/>
        </w:rPr>
        <w:t xml:space="preserve">Meltzer </w:t>
      </w:r>
      <w:r w:rsidRPr="00C51A70">
        <w:rPr>
          <w:rFonts w:ascii="Cambria Math" w:hAnsi="Cambria Math"/>
          <w:sz w:val="22"/>
          <w:szCs w:val="22"/>
          <w:rtl/>
        </w:rPr>
        <w:t>.</w:t>
      </w:r>
      <w:proofErr w:type="gramEnd"/>
      <w:r w:rsidRPr="00C51A70">
        <w:rPr>
          <w:rFonts w:ascii="Cambria Math" w:hAnsi="Cambria Math"/>
          <w:sz w:val="22"/>
          <w:szCs w:val="22"/>
        </w:rPr>
        <w:t xml:space="preserve">eds.). The Phillips Curve and Labor </w:t>
      </w:r>
      <w:r w:rsidRPr="00C51A70">
        <w:rPr>
          <w:rFonts w:ascii="Cambria Math" w:hAnsi="Cambria Math"/>
          <w:sz w:val="22"/>
          <w:szCs w:val="22"/>
        </w:rPr>
        <w:lastRenderedPageBreak/>
        <w:t>Markets. Carnegie-Rochester Conference Series on Public Policy, Vol. 1. Amsterdam: North-Holland.</w:t>
      </w:r>
      <w:r w:rsidRPr="00C51A70">
        <w:rPr>
          <w:rFonts w:ascii="Cambria Math" w:hAnsi="Cambria Math"/>
          <w:sz w:val="22"/>
          <w:szCs w:val="22"/>
          <w:rtl/>
        </w:rPr>
        <w:t xml:space="preserve"> </w:t>
      </w:r>
    </w:p>
    <w:p w14:paraId="157EE9CE" w14:textId="77777777" w:rsidR="00C51A70" w:rsidRPr="00C51A70" w:rsidRDefault="00C51A70" w:rsidP="00C51A70">
      <w:pPr>
        <w:tabs>
          <w:tab w:val="left" w:pos="0"/>
        </w:tabs>
        <w:bidi w:val="0"/>
        <w:spacing w:after="120" w:line="216" w:lineRule="auto"/>
        <w:rPr>
          <w:color w:val="000000"/>
          <w:sz w:val="22"/>
          <w:szCs w:val="22"/>
        </w:rPr>
      </w:pPr>
      <w:r w:rsidRPr="00C51A70">
        <w:rPr>
          <w:color w:val="000000"/>
          <w:sz w:val="22"/>
          <w:szCs w:val="22"/>
        </w:rPr>
        <w:t xml:space="preserve">Lucas, R. E. 1975. An equilibrium model of the business cycle. </w:t>
      </w:r>
      <w:r w:rsidRPr="00C51A70">
        <w:rPr>
          <w:iCs/>
          <w:color w:val="000000"/>
          <w:sz w:val="22"/>
          <w:szCs w:val="22"/>
        </w:rPr>
        <w:t xml:space="preserve">Journal of Political Economy </w:t>
      </w:r>
      <w:r w:rsidRPr="00C51A70">
        <w:rPr>
          <w:color w:val="000000"/>
          <w:sz w:val="22"/>
          <w:szCs w:val="22"/>
        </w:rPr>
        <w:t xml:space="preserve">83:1113–44.1976a. </w:t>
      </w:r>
    </w:p>
    <w:p w14:paraId="40DC4147" w14:textId="77777777" w:rsidR="00C51A70" w:rsidRPr="00C51A70" w:rsidRDefault="00C51A70" w:rsidP="00C51A70">
      <w:pPr>
        <w:tabs>
          <w:tab w:val="left" w:pos="0"/>
        </w:tabs>
        <w:bidi w:val="0"/>
        <w:spacing w:after="120" w:line="216" w:lineRule="auto"/>
        <w:rPr>
          <w:color w:val="000000"/>
          <w:sz w:val="22"/>
          <w:szCs w:val="22"/>
          <w:rtl/>
        </w:rPr>
      </w:pPr>
      <w:r w:rsidRPr="00C51A70">
        <w:rPr>
          <w:color w:val="000000"/>
          <w:sz w:val="22"/>
          <w:szCs w:val="22"/>
        </w:rPr>
        <w:t xml:space="preserve">Lucas, R. E., and N. L. </w:t>
      </w:r>
      <w:proofErr w:type="spellStart"/>
      <w:r w:rsidRPr="00C51A70">
        <w:rPr>
          <w:color w:val="000000"/>
          <w:sz w:val="22"/>
          <w:szCs w:val="22"/>
        </w:rPr>
        <w:t>Stokey</w:t>
      </w:r>
      <w:proofErr w:type="spellEnd"/>
      <w:r w:rsidRPr="00C51A70">
        <w:rPr>
          <w:color w:val="000000"/>
          <w:sz w:val="22"/>
          <w:szCs w:val="22"/>
        </w:rPr>
        <w:t xml:space="preserve">. 1983. Optimal fiscal and monetary policy in an economy without capital. </w:t>
      </w:r>
      <w:r w:rsidRPr="00C51A70">
        <w:rPr>
          <w:iCs/>
          <w:color w:val="000000"/>
          <w:sz w:val="22"/>
          <w:szCs w:val="22"/>
        </w:rPr>
        <w:t xml:space="preserve">Journal of Monetary Economics </w:t>
      </w:r>
      <w:r w:rsidRPr="00C51A70">
        <w:rPr>
          <w:color w:val="000000"/>
          <w:sz w:val="22"/>
          <w:szCs w:val="22"/>
        </w:rPr>
        <w:t xml:space="preserve">12:55–93. </w:t>
      </w:r>
    </w:p>
    <w:p w14:paraId="5CC11888" w14:textId="77777777" w:rsidR="00C51A70" w:rsidRPr="00C51A70" w:rsidRDefault="00C51A70" w:rsidP="00C51A70">
      <w:pPr>
        <w:tabs>
          <w:tab w:val="left" w:pos="0"/>
        </w:tabs>
        <w:bidi w:val="0"/>
        <w:spacing w:after="120" w:line="216" w:lineRule="auto"/>
        <w:rPr>
          <w:color w:val="000000"/>
          <w:sz w:val="22"/>
          <w:szCs w:val="22"/>
        </w:rPr>
      </w:pPr>
      <w:r w:rsidRPr="00C51A70">
        <w:rPr>
          <w:color w:val="000000"/>
          <w:sz w:val="22"/>
          <w:szCs w:val="22"/>
        </w:rPr>
        <w:t>Mulligan, C. B., and X. Sala-</w:t>
      </w:r>
      <w:proofErr w:type="spellStart"/>
      <w:r w:rsidRPr="00C51A70">
        <w:rPr>
          <w:color w:val="000000"/>
          <w:sz w:val="22"/>
          <w:szCs w:val="22"/>
        </w:rPr>
        <w:t>i</w:t>
      </w:r>
      <w:proofErr w:type="spellEnd"/>
      <w:r w:rsidRPr="00C51A70">
        <w:rPr>
          <w:color w:val="000000"/>
          <w:sz w:val="22"/>
          <w:szCs w:val="22"/>
        </w:rPr>
        <w:t xml:space="preserve">-Martin. 1997. The optimum quantity of money: theory </w:t>
      </w:r>
      <w:proofErr w:type="spellStart"/>
      <w:r w:rsidRPr="00C51A70">
        <w:rPr>
          <w:color w:val="000000"/>
          <w:sz w:val="22"/>
          <w:szCs w:val="22"/>
        </w:rPr>
        <w:t>andevidence</w:t>
      </w:r>
      <w:proofErr w:type="spellEnd"/>
      <w:r w:rsidRPr="00C51A70">
        <w:rPr>
          <w:color w:val="000000"/>
          <w:sz w:val="22"/>
          <w:szCs w:val="22"/>
        </w:rPr>
        <w:t xml:space="preserve">. </w:t>
      </w:r>
      <w:r w:rsidRPr="00C51A70">
        <w:rPr>
          <w:iCs/>
          <w:color w:val="000000"/>
          <w:sz w:val="22"/>
          <w:szCs w:val="22"/>
        </w:rPr>
        <w:t xml:space="preserve">Journal of Money, Credit and Banking </w:t>
      </w:r>
      <w:r w:rsidRPr="00C51A70">
        <w:rPr>
          <w:color w:val="000000"/>
          <w:sz w:val="22"/>
          <w:szCs w:val="22"/>
        </w:rPr>
        <w:t>24:687–715.</w:t>
      </w:r>
    </w:p>
    <w:p w14:paraId="76D70E24" w14:textId="77777777" w:rsidR="00C51A70" w:rsidRPr="00C51A70" w:rsidRDefault="00C51A70" w:rsidP="00C51A70">
      <w:pPr>
        <w:tabs>
          <w:tab w:val="left" w:pos="0"/>
        </w:tabs>
        <w:bidi w:val="0"/>
        <w:spacing w:after="120" w:line="216" w:lineRule="auto"/>
        <w:rPr>
          <w:color w:val="000000"/>
          <w:sz w:val="22"/>
          <w:szCs w:val="22"/>
        </w:rPr>
      </w:pPr>
      <w:r w:rsidRPr="00C51A70">
        <w:rPr>
          <w:color w:val="000000"/>
          <w:sz w:val="22"/>
          <w:szCs w:val="22"/>
        </w:rPr>
        <w:t xml:space="preserve">Mundell, R. A. 1963. Capital mobility and stabilization policy under fixed and </w:t>
      </w:r>
      <w:proofErr w:type="spellStart"/>
      <w:r w:rsidRPr="00C51A70">
        <w:rPr>
          <w:color w:val="000000"/>
          <w:sz w:val="22"/>
          <w:szCs w:val="22"/>
        </w:rPr>
        <w:t>flexibleexchange</w:t>
      </w:r>
      <w:proofErr w:type="spellEnd"/>
      <w:r w:rsidRPr="00C51A70">
        <w:rPr>
          <w:color w:val="000000"/>
          <w:sz w:val="22"/>
          <w:szCs w:val="22"/>
        </w:rPr>
        <w:t xml:space="preserve"> rates. </w:t>
      </w:r>
      <w:r w:rsidRPr="00C51A70">
        <w:rPr>
          <w:iCs/>
          <w:color w:val="000000"/>
          <w:sz w:val="22"/>
          <w:szCs w:val="22"/>
        </w:rPr>
        <w:t xml:space="preserve">Canadian Journal of Economics and Political Science </w:t>
      </w:r>
      <w:r w:rsidRPr="00C51A70">
        <w:rPr>
          <w:color w:val="000000"/>
          <w:sz w:val="22"/>
          <w:szCs w:val="22"/>
        </w:rPr>
        <w:t>29:475–85.</w:t>
      </w:r>
    </w:p>
    <w:p w14:paraId="33467B22" w14:textId="77777777" w:rsidR="00C51A70" w:rsidRPr="00C51A70" w:rsidRDefault="00C51A70" w:rsidP="00C51A70">
      <w:pPr>
        <w:tabs>
          <w:tab w:val="left" w:pos="0"/>
        </w:tabs>
        <w:bidi w:val="0"/>
        <w:spacing w:after="120" w:line="216" w:lineRule="auto"/>
        <w:rPr>
          <w:color w:val="000000"/>
          <w:sz w:val="22"/>
          <w:szCs w:val="22"/>
          <w:rtl/>
        </w:rPr>
      </w:pPr>
      <w:proofErr w:type="spellStart"/>
      <w:r w:rsidRPr="00C51A70">
        <w:rPr>
          <w:color w:val="000000"/>
          <w:sz w:val="22"/>
          <w:szCs w:val="22"/>
        </w:rPr>
        <w:t>Mussa</w:t>
      </w:r>
      <w:proofErr w:type="spellEnd"/>
      <w:r w:rsidRPr="00C51A70">
        <w:rPr>
          <w:color w:val="000000"/>
          <w:sz w:val="22"/>
          <w:szCs w:val="22"/>
        </w:rPr>
        <w:t xml:space="preserve">, M. 1976. The exchange rate, the balance of payments, and monetary and </w:t>
      </w:r>
      <w:proofErr w:type="spellStart"/>
      <w:r w:rsidRPr="00C51A70">
        <w:rPr>
          <w:color w:val="000000"/>
          <w:sz w:val="22"/>
          <w:szCs w:val="22"/>
        </w:rPr>
        <w:t>fiscalpolicy</w:t>
      </w:r>
      <w:proofErr w:type="spellEnd"/>
      <w:r w:rsidRPr="00C51A70">
        <w:rPr>
          <w:color w:val="000000"/>
          <w:sz w:val="22"/>
          <w:szCs w:val="22"/>
        </w:rPr>
        <w:t xml:space="preserve"> under a regime of controlled floating. </w:t>
      </w:r>
      <w:r w:rsidRPr="00C51A70">
        <w:rPr>
          <w:iCs/>
          <w:color w:val="000000"/>
          <w:sz w:val="22"/>
          <w:szCs w:val="22"/>
        </w:rPr>
        <w:t xml:space="preserve">Scandinavian Journal of Economics </w:t>
      </w:r>
      <w:r w:rsidRPr="00C51A70">
        <w:rPr>
          <w:color w:val="000000"/>
          <w:sz w:val="22"/>
          <w:szCs w:val="22"/>
        </w:rPr>
        <w:t>78: 229–</w:t>
      </w:r>
      <w:proofErr w:type="gramStart"/>
      <w:r w:rsidRPr="00C51A70">
        <w:rPr>
          <w:color w:val="000000"/>
          <w:sz w:val="22"/>
          <w:szCs w:val="22"/>
        </w:rPr>
        <w:t>48..</w:t>
      </w:r>
      <w:proofErr w:type="gramEnd"/>
      <w:r w:rsidRPr="00C51A70">
        <w:rPr>
          <w:color w:val="000000"/>
          <w:sz w:val="22"/>
          <w:szCs w:val="22"/>
        </w:rPr>
        <w:t xml:space="preserve"> </w:t>
      </w:r>
    </w:p>
    <w:p w14:paraId="31EE8B2A" w14:textId="77777777" w:rsidR="00C51A70" w:rsidRPr="00C51A70" w:rsidRDefault="00C51A70" w:rsidP="00C51A70">
      <w:pPr>
        <w:tabs>
          <w:tab w:val="left" w:pos="0"/>
        </w:tabs>
        <w:bidi w:val="0"/>
        <w:spacing w:after="120" w:line="216" w:lineRule="auto"/>
        <w:rPr>
          <w:color w:val="000000"/>
          <w:sz w:val="22"/>
          <w:szCs w:val="22"/>
        </w:rPr>
      </w:pPr>
      <w:r w:rsidRPr="00C51A70">
        <w:rPr>
          <w:rFonts w:hint="cs"/>
          <w:color w:val="000000"/>
          <w:sz w:val="22"/>
          <w:szCs w:val="22"/>
          <w:rtl/>
        </w:rPr>
        <w:t>ـــــ</w:t>
      </w:r>
      <w:r w:rsidRPr="00C51A70">
        <w:rPr>
          <w:color w:val="000000"/>
          <w:sz w:val="22"/>
          <w:szCs w:val="22"/>
        </w:rPr>
        <w:t xml:space="preserve">1982. A model of exchange rate dynamics. </w:t>
      </w:r>
      <w:r w:rsidRPr="00C51A70">
        <w:rPr>
          <w:iCs/>
          <w:color w:val="000000"/>
          <w:sz w:val="22"/>
          <w:szCs w:val="22"/>
        </w:rPr>
        <w:t xml:space="preserve">Journal of Political Economy </w:t>
      </w:r>
      <w:r w:rsidRPr="00C51A70">
        <w:rPr>
          <w:color w:val="000000"/>
          <w:sz w:val="22"/>
          <w:szCs w:val="22"/>
        </w:rPr>
        <w:t>90:74–104.</w:t>
      </w:r>
    </w:p>
    <w:p w14:paraId="275D8C7F" w14:textId="77777777" w:rsidR="00C51A70" w:rsidRPr="00C51A70" w:rsidRDefault="00C51A70" w:rsidP="00C51A70">
      <w:pPr>
        <w:tabs>
          <w:tab w:val="left" w:pos="0"/>
        </w:tabs>
        <w:bidi w:val="0"/>
        <w:spacing w:after="120" w:line="216" w:lineRule="auto"/>
        <w:rPr>
          <w:color w:val="000000"/>
          <w:sz w:val="22"/>
          <w:szCs w:val="22"/>
          <w:highlight w:val="yellow"/>
        </w:rPr>
      </w:pPr>
      <w:proofErr w:type="spellStart"/>
      <w:r w:rsidRPr="00C51A70">
        <w:rPr>
          <w:color w:val="000000"/>
          <w:sz w:val="22"/>
          <w:szCs w:val="22"/>
          <w:highlight w:val="yellow"/>
        </w:rPr>
        <w:t>Muth</w:t>
      </w:r>
      <w:proofErr w:type="spellEnd"/>
      <w:r w:rsidRPr="00C51A70">
        <w:rPr>
          <w:color w:val="000000"/>
          <w:sz w:val="22"/>
          <w:szCs w:val="22"/>
          <w:highlight w:val="yellow"/>
        </w:rPr>
        <w:t xml:space="preserve">, J. F. 1960. Optimal properties of exponentially weighted forecasts. </w:t>
      </w:r>
      <w:r w:rsidRPr="00C51A70">
        <w:rPr>
          <w:iCs/>
          <w:color w:val="000000"/>
          <w:sz w:val="22"/>
          <w:szCs w:val="22"/>
          <w:highlight w:val="yellow"/>
        </w:rPr>
        <w:t xml:space="preserve">Journal of the American Statistical Association </w:t>
      </w:r>
      <w:r w:rsidRPr="00C51A70">
        <w:rPr>
          <w:color w:val="000000"/>
          <w:sz w:val="22"/>
          <w:szCs w:val="22"/>
          <w:highlight w:val="yellow"/>
        </w:rPr>
        <w:t>55:299–306.</w:t>
      </w:r>
    </w:p>
    <w:p w14:paraId="4AE3AD7E" w14:textId="77777777" w:rsidR="00C51A70" w:rsidRPr="00C51A70" w:rsidRDefault="00C51A70" w:rsidP="00C51A70">
      <w:pPr>
        <w:tabs>
          <w:tab w:val="left" w:pos="0"/>
          <w:tab w:val="right" w:pos="8788"/>
        </w:tabs>
        <w:bidi w:val="0"/>
        <w:spacing w:after="120" w:line="216" w:lineRule="auto"/>
        <w:rPr>
          <w:rFonts w:ascii="Cambria Math" w:hAnsi="Cambria Math"/>
          <w:sz w:val="22"/>
          <w:szCs w:val="22"/>
        </w:rPr>
      </w:pPr>
      <w:r w:rsidRPr="00C51A70">
        <w:rPr>
          <w:rFonts w:ascii="Cambria Math" w:hAnsi="Cambria Math"/>
          <w:sz w:val="22"/>
          <w:szCs w:val="22"/>
          <w:highlight w:val="yellow"/>
          <w:rtl/>
        </w:rPr>
        <w:t xml:space="preserve"> </w:t>
      </w:r>
      <w:proofErr w:type="spellStart"/>
      <w:r w:rsidRPr="00C51A70">
        <w:rPr>
          <w:rFonts w:ascii="Cambria Math" w:hAnsi="Cambria Math"/>
          <w:sz w:val="22"/>
          <w:szCs w:val="22"/>
          <w:highlight w:val="yellow"/>
        </w:rPr>
        <w:t>Muth</w:t>
      </w:r>
      <w:proofErr w:type="spellEnd"/>
      <w:r w:rsidRPr="00C51A70">
        <w:rPr>
          <w:rFonts w:ascii="Cambria Math" w:hAnsi="Cambria Math"/>
          <w:sz w:val="22"/>
          <w:szCs w:val="22"/>
          <w:highlight w:val="yellow"/>
        </w:rPr>
        <w:t>, John F. (1961). "Rational Expectations and the Theory of Price Movements." Re</w:t>
      </w:r>
      <w:r w:rsidRPr="00C51A70">
        <w:rPr>
          <w:rFonts w:ascii="Cambria Math" w:hAnsi="Cambria Math"/>
          <w:sz w:val="22"/>
          <w:szCs w:val="22"/>
          <w:highlight w:val="yellow"/>
        </w:rPr>
        <w:softHyphen/>
        <w:t>printed in Robert E. Lucas, Jr. and Thomas J. Sargent (eds.). Rational Expectations and Econometric Practice. London: George Alien &amp; Unwin, 1981</w:t>
      </w:r>
    </w:p>
    <w:p w14:paraId="1B838DF2" w14:textId="77777777" w:rsidR="00C51A70" w:rsidRPr="00C51A70" w:rsidRDefault="00C51A70" w:rsidP="00C51A70">
      <w:pPr>
        <w:tabs>
          <w:tab w:val="left" w:pos="0"/>
        </w:tabs>
        <w:bidi w:val="0"/>
        <w:spacing w:after="120" w:line="216" w:lineRule="auto"/>
        <w:rPr>
          <w:color w:val="000000"/>
          <w:sz w:val="22"/>
          <w:szCs w:val="22"/>
        </w:rPr>
      </w:pPr>
      <w:r w:rsidRPr="00C51A70">
        <w:rPr>
          <w:color w:val="000000"/>
          <w:sz w:val="22"/>
          <w:szCs w:val="22"/>
        </w:rPr>
        <w:t xml:space="preserve">Okun, A. M. 1962. Potential GNP: its measurement and significance. In </w:t>
      </w:r>
      <w:r w:rsidRPr="00C51A70">
        <w:rPr>
          <w:iCs/>
          <w:color w:val="000000"/>
          <w:sz w:val="22"/>
          <w:szCs w:val="22"/>
        </w:rPr>
        <w:t>Proceedings of the Business and Economics Statistics Section, American Statistical Association</w:t>
      </w:r>
      <w:r w:rsidRPr="00C51A70">
        <w:rPr>
          <w:color w:val="000000"/>
          <w:sz w:val="22"/>
          <w:szCs w:val="22"/>
        </w:rPr>
        <w:t>, pp. 98–103. Washington, DC: American Statistical Association.</w:t>
      </w:r>
    </w:p>
    <w:p w14:paraId="20E94838" w14:textId="77777777" w:rsidR="00C51A70" w:rsidRPr="00C51A70" w:rsidRDefault="00C51A70" w:rsidP="00C51A70">
      <w:pPr>
        <w:tabs>
          <w:tab w:val="left" w:pos="0"/>
        </w:tabs>
        <w:bidi w:val="0"/>
        <w:spacing w:after="120" w:line="216" w:lineRule="auto"/>
        <w:rPr>
          <w:color w:val="000000"/>
          <w:sz w:val="22"/>
          <w:szCs w:val="22"/>
        </w:rPr>
      </w:pPr>
      <w:r w:rsidRPr="00C51A70">
        <w:rPr>
          <w:color w:val="000000"/>
          <w:sz w:val="22"/>
          <w:szCs w:val="22"/>
        </w:rPr>
        <w:t xml:space="preserve">Patinkin, D. 1965. </w:t>
      </w:r>
      <w:r w:rsidRPr="00C51A70">
        <w:rPr>
          <w:iCs/>
          <w:color w:val="000000"/>
          <w:sz w:val="22"/>
          <w:szCs w:val="22"/>
        </w:rPr>
        <w:t>Money, Interest, and Prices: An Integration of Monetary and Value Theory</w:t>
      </w:r>
      <w:r w:rsidRPr="00C51A70">
        <w:rPr>
          <w:color w:val="000000"/>
          <w:sz w:val="22"/>
          <w:szCs w:val="22"/>
        </w:rPr>
        <w:t xml:space="preserve">, 2nd </w:t>
      </w:r>
      <w:proofErr w:type="spellStart"/>
      <w:r w:rsidRPr="00C51A70">
        <w:rPr>
          <w:color w:val="000000"/>
          <w:sz w:val="22"/>
          <w:szCs w:val="22"/>
        </w:rPr>
        <w:t>edn</w:t>
      </w:r>
      <w:proofErr w:type="spellEnd"/>
      <w:r w:rsidRPr="00C51A70">
        <w:rPr>
          <w:color w:val="000000"/>
          <w:sz w:val="22"/>
          <w:szCs w:val="22"/>
        </w:rPr>
        <w:t>. New York: Harper &amp; Row.</w:t>
      </w:r>
    </w:p>
    <w:p w14:paraId="308454E0" w14:textId="77777777" w:rsidR="00C51A70" w:rsidRPr="00C51A70" w:rsidRDefault="00C51A70" w:rsidP="00C51A70">
      <w:pPr>
        <w:autoSpaceDE w:val="0"/>
        <w:autoSpaceDN w:val="0"/>
        <w:bidi w:val="0"/>
        <w:adjustRightInd w:val="0"/>
        <w:spacing w:after="120" w:line="216" w:lineRule="auto"/>
        <w:rPr>
          <w:rFonts w:ascii="Cambria Math" w:hAnsi="Cambria Math"/>
          <w:sz w:val="22"/>
          <w:szCs w:val="22"/>
        </w:rPr>
      </w:pPr>
      <w:proofErr w:type="spellStart"/>
      <w:r w:rsidRPr="00C51A70">
        <w:rPr>
          <w:rFonts w:ascii="Cambria Math" w:hAnsi="Cambria Math"/>
          <w:sz w:val="22"/>
          <w:szCs w:val="22"/>
          <w:highlight w:val="yellow"/>
        </w:rPr>
        <w:t>Pesaran</w:t>
      </w:r>
      <w:proofErr w:type="spellEnd"/>
      <w:r w:rsidRPr="00C51A70">
        <w:rPr>
          <w:rFonts w:ascii="Cambria Math" w:hAnsi="Cambria Math"/>
          <w:sz w:val="22"/>
          <w:szCs w:val="22"/>
          <w:highlight w:val="yellow"/>
        </w:rPr>
        <w:t>, M. H. &amp; Smith, R. (1995). The role of theory in econometrics. Journal of Econometrics, 67, P 61-79.</w:t>
      </w:r>
    </w:p>
    <w:p w14:paraId="5FB8E89E" w14:textId="77777777" w:rsidR="00C51A70" w:rsidRPr="00C51A70" w:rsidRDefault="00C51A70" w:rsidP="00C51A70">
      <w:pPr>
        <w:tabs>
          <w:tab w:val="left" w:pos="90"/>
        </w:tabs>
        <w:bidi w:val="0"/>
        <w:spacing w:after="120" w:line="216" w:lineRule="auto"/>
        <w:rPr>
          <w:rFonts w:ascii="ArialRegular" w:eastAsiaTheme="majorEastAsia" w:hAnsi="ArialRegular"/>
          <w:color w:val="000000"/>
          <w:sz w:val="22"/>
          <w:szCs w:val="22"/>
          <w:rtl/>
        </w:rPr>
      </w:pPr>
      <w:r w:rsidRPr="00C51A70">
        <w:rPr>
          <w:rFonts w:ascii="ArialRegular" w:eastAsiaTheme="majorEastAsia" w:hAnsi="ArialRegular"/>
          <w:color w:val="000000"/>
          <w:sz w:val="22"/>
          <w:szCs w:val="22"/>
        </w:rPr>
        <w:t xml:space="preserve">Patinkin, D. 1965. </w:t>
      </w:r>
      <w:r w:rsidRPr="00C51A70">
        <w:rPr>
          <w:rFonts w:ascii="ArialItalic" w:eastAsiaTheme="majorEastAsia" w:hAnsi="ArialItalic"/>
          <w:i/>
          <w:iCs/>
          <w:color w:val="000000"/>
          <w:sz w:val="22"/>
          <w:szCs w:val="22"/>
        </w:rPr>
        <w:t xml:space="preserve">Money, Interest, and Prices: An Integration of Monetary and Value </w:t>
      </w:r>
      <w:proofErr w:type="gramStart"/>
      <w:r w:rsidRPr="00C51A70">
        <w:rPr>
          <w:rFonts w:ascii="ArialItalic" w:eastAsiaTheme="majorEastAsia" w:hAnsi="ArialItalic"/>
          <w:i/>
          <w:iCs/>
          <w:color w:val="000000"/>
          <w:sz w:val="22"/>
          <w:szCs w:val="22"/>
        </w:rPr>
        <w:t xml:space="preserve">Theory </w:t>
      </w:r>
      <w:r w:rsidRPr="00C51A70">
        <w:rPr>
          <w:rFonts w:ascii="ArialRegular" w:eastAsiaTheme="majorEastAsia" w:hAnsi="ArialRegular"/>
          <w:color w:val="000000"/>
          <w:sz w:val="22"/>
          <w:szCs w:val="22"/>
        </w:rPr>
        <w:t>,</w:t>
      </w:r>
      <w:proofErr w:type="gramEnd"/>
      <w:r w:rsidRPr="00C51A70">
        <w:rPr>
          <w:rFonts w:ascii="ArialRegular" w:eastAsiaTheme="majorEastAsia" w:hAnsi="ArialRegular" w:hint="cs"/>
          <w:color w:val="000000"/>
          <w:sz w:val="22"/>
          <w:szCs w:val="22"/>
          <w:rtl/>
        </w:rPr>
        <w:t xml:space="preserve"> </w:t>
      </w:r>
      <w:r w:rsidRPr="00C51A70">
        <w:rPr>
          <w:rFonts w:ascii="ArialRegular" w:eastAsiaTheme="majorEastAsia" w:hAnsi="ArialRegular"/>
          <w:color w:val="000000"/>
          <w:sz w:val="22"/>
          <w:szCs w:val="22"/>
        </w:rPr>
        <w:t xml:space="preserve">2nd </w:t>
      </w:r>
      <w:proofErr w:type="spellStart"/>
      <w:r w:rsidRPr="00C51A70">
        <w:rPr>
          <w:rFonts w:ascii="ArialRegular" w:eastAsiaTheme="majorEastAsia" w:hAnsi="ArialRegular"/>
          <w:color w:val="000000"/>
          <w:sz w:val="22"/>
          <w:szCs w:val="22"/>
        </w:rPr>
        <w:t>edn</w:t>
      </w:r>
      <w:proofErr w:type="spellEnd"/>
      <w:r w:rsidRPr="00C51A70">
        <w:rPr>
          <w:rFonts w:ascii="ArialRegular" w:eastAsiaTheme="majorEastAsia" w:hAnsi="ArialRegular"/>
          <w:color w:val="000000"/>
          <w:sz w:val="22"/>
          <w:szCs w:val="22"/>
        </w:rPr>
        <w:t>. New York: Harper &amp; Row.</w:t>
      </w:r>
    </w:p>
    <w:p w14:paraId="53C0EE08" w14:textId="77777777" w:rsidR="00C51A70" w:rsidRPr="00C51A70" w:rsidRDefault="00C51A70" w:rsidP="00C51A70">
      <w:pPr>
        <w:tabs>
          <w:tab w:val="left" w:pos="0"/>
        </w:tabs>
        <w:bidi w:val="0"/>
        <w:spacing w:after="120" w:line="216" w:lineRule="auto"/>
        <w:rPr>
          <w:rFonts w:ascii="Cambria Math" w:hAnsi="Cambria Math"/>
          <w:sz w:val="22"/>
          <w:szCs w:val="22"/>
          <w:highlight w:val="yellow"/>
        </w:rPr>
      </w:pPr>
      <w:r w:rsidRPr="00C51A70">
        <w:rPr>
          <w:rFonts w:ascii="Cambria Math" w:hAnsi="Cambria Math"/>
          <w:sz w:val="22"/>
          <w:szCs w:val="22"/>
          <w:highlight w:val="yellow"/>
        </w:rPr>
        <w:t>Phelps, Edmund S. (1967). "Phillips Curves, Expectations of Inflation and Optimal Unem</w:t>
      </w:r>
      <w:r w:rsidRPr="00C51A70">
        <w:rPr>
          <w:rFonts w:ascii="Cambria Math" w:hAnsi="Cambria Math"/>
          <w:sz w:val="22"/>
          <w:szCs w:val="22"/>
          <w:highlight w:val="yellow"/>
        </w:rPr>
        <w:softHyphen/>
        <w:t xml:space="preserve">ployment Over Time." </w:t>
      </w:r>
      <w:proofErr w:type="spellStart"/>
      <w:r w:rsidRPr="00C51A70">
        <w:rPr>
          <w:rFonts w:ascii="Cambria Math" w:hAnsi="Cambria Math"/>
          <w:sz w:val="22"/>
          <w:szCs w:val="22"/>
          <w:highlight w:val="yellow"/>
        </w:rPr>
        <w:t>Economica</w:t>
      </w:r>
      <w:proofErr w:type="spellEnd"/>
      <w:r w:rsidRPr="00C51A70">
        <w:rPr>
          <w:rFonts w:ascii="Cambria Math" w:hAnsi="Cambria Math"/>
          <w:sz w:val="22"/>
          <w:szCs w:val="22"/>
          <w:highlight w:val="yellow"/>
        </w:rPr>
        <w:t xml:space="preserve"> NS, 34, 254-281.</w:t>
      </w:r>
      <w:r w:rsidRPr="00C51A70">
        <w:rPr>
          <w:rFonts w:ascii="Cambria Math" w:hAnsi="Cambria Math"/>
          <w:sz w:val="22"/>
          <w:szCs w:val="22"/>
          <w:highlight w:val="yellow"/>
          <w:rtl/>
        </w:rPr>
        <w:t xml:space="preserve"> </w:t>
      </w:r>
    </w:p>
    <w:p w14:paraId="2B7893AE" w14:textId="77777777" w:rsidR="00C51A70" w:rsidRPr="00C51A70" w:rsidRDefault="00C51A70" w:rsidP="00C51A70">
      <w:pPr>
        <w:tabs>
          <w:tab w:val="left" w:pos="90"/>
        </w:tabs>
        <w:bidi w:val="0"/>
        <w:spacing w:after="120" w:line="216" w:lineRule="auto"/>
        <w:rPr>
          <w:rFonts w:ascii="ArialRegular" w:eastAsiaTheme="majorEastAsia" w:hAnsi="ArialRegular"/>
          <w:color w:val="000000"/>
          <w:sz w:val="22"/>
          <w:szCs w:val="22"/>
          <w:rtl/>
        </w:rPr>
      </w:pPr>
      <w:r w:rsidRPr="00C51A70">
        <w:rPr>
          <w:rFonts w:ascii="ArialRegular" w:eastAsiaTheme="majorEastAsia" w:hAnsi="ArialRegular"/>
          <w:color w:val="000000"/>
          <w:sz w:val="22"/>
          <w:szCs w:val="22"/>
          <w:highlight w:val="yellow"/>
        </w:rPr>
        <w:t xml:space="preserve">Phelps, E. S. 1966. </w:t>
      </w:r>
      <w:r w:rsidRPr="00C51A70">
        <w:rPr>
          <w:rFonts w:ascii="ArialItalic" w:eastAsiaTheme="majorEastAsia" w:hAnsi="ArialItalic"/>
          <w:i/>
          <w:iCs/>
          <w:color w:val="000000"/>
          <w:sz w:val="22"/>
          <w:szCs w:val="22"/>
          <w:highlight w:val="yellow"/>
        </w:rPr>
        <w:t>Golden Rules of Economic Growth</w:t>
      </w:r>
      <w:r w:rsidRPr="00C51A70">
        <w:rPr>
          <w:rFonts w:ascii="ArialRegular" w:eastAsiaTheme="majorEastAsia" w:hAnsi="ArialRegular"/>
          <w:color w:val="000000"/>
          <w:sz w:val="22"/>
          <w:szCs w:val="22"/>
          <w:highlight w:val="yellow"/>
        </w:rPr>
        <w:t>. New York: W. W. Norton &amp; Co.</w:t>
      </w:r>
    </w:p>
    <w:p w14:paraId="4BC64DD5" w14:textId="77777777" w:rsidR="00C51A70" w:rsidRPr="00C51A70" w:rsidRDefault="00C51A70" w:rsidP="00C51A70">
      <w:pPr>
        <w:tabs>
          <w:tab w:val="left" w:pos="90"/>
        </w:tabs>
        <w:bidi w:val="0"/>
        <w:spacing w:after="120" w:line="216" w:lineRule="auto"/>
        <w:rPr>
          <w:rFonts w:ascii="ArialRegular" w:eastAsiaTheme="majorEastAsia" w:hAnsi="ArialRegular"/>
          <w:color w:val="000000"/>
          <w:sz w:val="22"/>
          <w:szCs w:val="22"/>
          <w:rtl/>
        </w:rPr>
      </w:pPr>
      <w:r w:rsidRPr="00C51A70">
        <w:rPr>
          <w:rFonts w:ascii="ArialRegular" w:eastAsiaTheme="majorEastAsia" w:hAnsi="ArialRegular"/>
          <w:color w:val="000000"/>
          <w:sz w:val="22"/>
          <w:szCs w:val="22"/>
          <w:highlight w:val="yellow"/>
        </w:rPr>
        <w:lastRenderedPageBreak/>
        <w:t xml:space="preserve">______. 1968. Money–wage dynamics and labor market equilibrium. </w:t>
      </w:r>
      <w:r w:rsidRPr="00C51A70">
        <w:rPr>
          <w:rFonts w:ascii="ArialItalic" w:eastAsiaTheme="majorEastAsia" w:hAnsi="ArialItalic"/>
          <w:i/>
          <w:iCs/>
          <w:color w:val="000000"/>
          <w:sz w:val="22"/>
          <w:szCs w:val="22"/>
          <w:highlight w:val="yellow"/>
        </w:rPr>
        <w:t>Journal of Political Economy</w:t>
      </w:r>
      <w:r w:rsidRPr="00C51A70">
        <w:rPr>
          <w:rFonts w:ascii="ArialItalic" w:eastAsiaTheme="majorEastAsia" w:hAnsi="ArialItalic" w:hint="cs"/>
          <w:i/>
          <w:iCs/>
          <w:color w:val="000000"/>
          <w:sz w:val="22"/>
          <w:szCs w:val="22"/>
          <w:highlight w:val="yellow"/>
          <w:rtl/>
        </w:rPr>
        <w:t xml:space="preserve"> </w:t>
      </w:r>
      <w:r w:rsidRPr="00C51A70">
        <w:rPr>
          <w:rFonts w:ascii="ArialRegular" w:eastAsiaTheme="majorEastAsia" w:hAnsi="ArialRegular"/>
          <w:color w:val="000000"/>
          <w:sz w:val="22"/>
          <w:szCs w:val="22"/>
          <w:highlight w:val="yellow"/>
        </w:rPr>
        <w:t>76:678–711</w:t>
      </w:r>
      <w:r w:rsidRPr="00C51A70">
        <w:rPr>
          <w:rFonts w:ascii="ArialRegular" w:eastAsiaTheme="majorEastAsia" w:hAnsi="ArialRegular"/>
          <w:color w:val="000000"/>
          <w:sz w:val="22"/>
          <w:szCs w:val="22"/>
        </w:rPr>
        <w:t>.</w:t>
      </w:r>
    </w:p>
    <w:p w14:paraId="11A4B322" w14:textId="77777777" w:rsidR="00C51A70" w:rsidRPr="00C51A70" w:rsidRDefault="00C51A70" w:rsidP="00C51A70">
      <w:pPr>
        <w:tabs>
          <w:tab w:val="left" w:pos="90"/>
        </w:tabs>
        <w:bidi w:val="0"/>
        <w:spacing w:after="120" w:line="216" w:lineRule="auto"/>
        <w:rPr>
          <w:rFonts w:ascii="ArialRegular" w:eastAsiaTheme="majorEastAsia" w:hAnsi="ArialRegular"/>
          <w:color w:val="000000"/>
          <w:sz w:val="22"/>
          <w:szCs w:val="22"/>
          <w:rtl/>
        </w:rPr>
      </w:pPr>
      <w:r w:rsidRPr="00C51A70">
        <w:rPr>
          <w:rFonts w:ascii="ArialRegular" w:eastAsiaTheme="majorEastAsia" w:hAnsi="ArialRegular"/>
          <w:color w:val="000000"/>
          <w:sz w:val="22"/>
          <w:szCs w:val="22"/>
        </w:rPr>
        <w:t xml:space="preserve">______. 1970. </w:t>
      </w:r>
      <w:r w:rsidRPr="00C51A70">
        <w:rPr>
          <w:rFonts w:ascii="ArialItalic" w:eastAsiaTheme="majorEastAsia" w:hAnsi="ArialItalic"/>
          <w:i/>
          <w:iCs/>
          <w:color w:val="000000"/>
          <w:sz w:val="22"/>
          <w:szCs w:val="22"/>
        </w:rPr>
        <w:t xml:space="preserve">Foundations of Employment and Inflation </w:t>
      </w:r>
      <w:proofErr w:type="gramStart"/>
      <w:r w:rsidRPr="00C51A70">
        <w:rPr>
          <w:rFonts w:ascii="ArialItalic" w:eastAsiaTheme="majorEastAsia" w:hAnsi="ArialItalic"/>
          <w:i/>
          <w:iCs/>
          <w:color w:val="000000"/>
          <w:sz w:val="22"/>
          <w:szCs w:val="22"/>
        </w:rPr>
        <w:t xml:space="preserve">Theory </w:t>
      </w:r>
      <w:r w:rsidRPr="00C51A70">
        <w:rPr>
          <w:rFonts w:ascii="ArialRegular" w:eastAsiaTheme="majorEastAsia" w:hAnsi="ArialRegular"/>
          <w:color w:val="000000"/>
          <w:sz w:val="22"/>
          <w:szCs w:val="22"/>
        </w:rPr>
        <w:t>.</w:t>
      </w:r>
      <w:proofErr w:type="gramEnd"/>
      <w:r w:rsidRPr="00C51A70">
        <w:rPr>
          <w:rFonts w:ascii="ArialRegular" w:eastAsiaTheme="majorEastAsia" w:hAnsi="ArialRegular"/>
          <w:color w:val="000000"/>
          <w:sz w:val="22"/>
          <w:szCs w:val="22"/>
        </w:rPr>
        <w:t xml:space="preserve"> New York: W. W. Norton &amp; Co.</w:t>
      </w:r>
    </w:p>
    <w:p w14:paraId="7678CF27" w14:textId="77777777" w:rsidR="00C51A70" w:rsidRPr="00C51A70" w:rsidRDefault="00C51A70" w:rsidP="00C51A70">
      <w:pPr>
        <w:tabs>
          <w:tab w:val="left" w:pos="90"/>
        </w:tabs>
        <w:bidi w:val="0"/>
        <w:spacing w:after="120" w:line="216" w:lineRule="auto"/>
        <w:rPr>
          <w:color w:val="000000"/>
          <w:sz w:val="22"/>
          <w:szCs w:val="22"/>
        </w:rPr>
      </w:pPr>
      <w:r w:rsidRPr="00C51A70">
        <w:rPr>
          <w:rFonts w:ascii="ArialRegular" w:eastAsiaTheme="majorEastAsia" w:hAnsi="ArialRegular"/>
          <w:color w:val="000000"/>
          <w:sz w:val="22"/>
          <w:szCs w:val="22"/>
        </w:rPr>
        <w:t xml:space="preserve">______. 1973. Inflation in the theory of public finance. </w:t>
      </w:r>
      <w:r w:rsidRPr="00C51A70">
        <w:rPr>
          <w:rFonts w:ascii="ArialItalic" w:eastAsiaTheme="majorEastAsia" w:hAnsi="ArialItalic"/>
          <w:i/>
          <w:iCs/>
          <w:color w:val="000000"/>
          <w:sz w:val="22"/>
          <w:szCs w:val="22"/>
        </w:rPr>
        <w:t xml:space="preserve">Swedish Journal of Economics </w:t>
      </w:r>
      <w:r w:rsidRPr="00C51A70">
        <w:rPr>
          <w:rFonts w:ascii="ArialRegular" w:eastAsiaTheme="majorEastAsia" w:hAnsi="ArialRegular"/>
          <w:color w:val="000000"/>
          <w:sz w:val="22"/>
          <w:szCs w:val="22"/>
        </w:rPr>
        <w:t>75: 67–82.</w:t>
      </w:r>
      <w:r w:rsidRPr="00C51A70">
        <w:rPr>
          <w:sz w:val="22"/>
          <w:szCs w:val="22"/>
        </w:rPr>
        <w:t xml:space="preserve"> </w:t>
      </w:r>
    </w:p>
    <w:p w14:paraId="13B00707" w14:textId="77777777" w:rsidR="00C51A70" w:rsidRPr="00C51A70" w:rsidRDefault="00C51A70" w:rsidP="00C51A70">
      <w:pPr>
        <w:tabs>
          <w:tab w:val="left" w:pos="90"/>
        </w:tabs>
        <w:bidi w:val="0"/>
        <w:spacing w:after="120" w:line="216" w:lineRule="auto"/>
        <w:rPr>
          <w:color w:val="000000"/>
          <w:sz w:val="22"/>
          <w:szCs w:val="22"/>
          <w:rtl/>
        </w:rPr>
      </w:pPr>
      <w:r w:rsidRPr="00C51A70">
        <w:rPr>
          <w:color w:val="000000"/>
          <w:sz w:val="22"/>
          <w:szCs w:val="22"/>
        </w:rPr>
        <w:t xml:space="preserve">Phillips, A. W. 1958. The relationship between unemployment and the rate of change of money wages in the United Kingdom, 1861–1957. </w:t>
      </w:r>
      <w:proofErr w:type="spellStart"/>
      <w:r w:rsidRPr="00C51A70">
        <w:rPr>
          <w:iCs/>
          <w:color w:val="000000"/>
          <w:sz w:val="22"/>
          <w:szCs w:val="22"/>
        </w:rPr>
        <w:t>Economica</w:t>
      </w:r>
      <w:proofErr w:type="spellEnd"/>
      <w:r w:rsidRPr="00C51A70">
        <w:rPr>
          <w:iCs/>
          <w:color w:val="000000"/>
          <w:sz w:val="22"/>
          <w:szCs w:val="22"/>
        </w:rPr>
        <w:t xml:space="preserve"> </w:t>
      </w:r>
      <w:r w:rsidRPr="00C51A70">
        <w:rPr>
          <w:color w:val="000000"/>
          <w:sz w:val="22"/>
          <w:szCs w:val="22"/>
        </w:rPr>
        <w:t>25:283–99.</w:t>
      </w:r>
      <w:r w:rsidRPr="00C51A70">
        <w:rPr>
          <w:color w:val="000000"/>
          <w:sz w:val="22"/>
          <w:szCs w:val="22"/>
        </w:rPr>
        <w:br/>
      </w:r>
    </w:p>
    <w:p w14:paraId="630A54C2" w14:textId="77777777" w:rsidR="00C51A70" w:rsidRPr="00C51A70" w:rsidRDefault="00C51A70" w:rsidP="00C51A70">
      <w:pPr>
        <w:tabs>
          <w:tab w:val="left" w:pos="90"/>
        </w:tabs>
        <w:bidi w:val="0"/>
        <w:spacing w:after="120" w:line="216" w:lineRule="auto"/>
        <w:rPr>
          <w:sz w:val="22"/>
          <w:szCs w:val="22"/>
          <w:rtl/>
        </w:rPr>
      </w:pPr>
      <w:r w:rsidRPr="00C51A70">
        <w:rPr>
          <w:rFonts w:ascii="ArialRegular" w:eastAsiaTheme="majorEastAsia" w:hAnsi="ArialRegular"/>
          <w:color w:val="000000"/>
          <w:sz w:val="22"/>
          <w:szCs w:val="22"/>
        </w:rPr>
        <w:t>Samuelson, P. A. 1958. An exact consumption–loan model of interest with or without the social</w:t>
      </w:r>
      <w:r w:rsidRPr="00C51A70">
        <w:rPr>
          <w:rFonts w:ascii="ArialRegular" w:eastAsiaTheme="majorEastAsia" w:hAnsi="ArialRegular" w:hint="cs"/>
          <w:color w:val="000000"/>
          <w:sz w:val="22"/>
          <w:szCs w:val="22"/>
          <w:rtl/>
        </w:rPr>
        <w:t xml:space="preserve"> </w:t>
      </w:r>
      <w:r w:rsidRPr="00C51A70">
        <w:rPr>
          <w:rFonts w:ascii="ArialRegular" w:eastAsiaTheme="majorEastAsia" w:hAnsi="ArialRegular"/>
          <w:color w:val="000000"/>
          <w:sz w:val="22"/>
          <w:szCs w:val="22"/>
        </w:rPr>
        <w:t xml:space="preserve">contrivance of money. </w:t>
      </w:r>
      <w:r w:rsidRPr="00C51A70">
        <w:rPr>
          <w:rFonts w:ascii="ArialItalic" w:eastAsiaTheme="majorEastAsia" w:hAnsi="ArialItalic"/>
          <w:i/>
          <w:iCs/>
          <w:color w:val="000000"/>
          <w:sz w:val="22"/>
          <w:szCs w:val="22"/>
        </w:rPr>
        <w:t xml:space="preserve">Journal of Political Economy </w:t>
      </w:r>
      <w:r w:rsidRPr="00C51A70">
        <w:rPr>
          <w:rFonts w:ascii="ArialRegular" w:eastAsiaTheme="majorEastAsia" w:hAnsi="ArialRegular"/>
          <w:color w:val="000000"/>
          <w:sz w:val="22"/>
          <w:szCs w:val="22"/>
        </w:rPr>
        <w:t>66:467–82</w:t>
      </w:r>
      <w:r w:rsidRPr="00C51A70">
        <w:rPr>
          <w:sz w:val="22"/>
          <w:szCs w:val="22"/>
        </w:rPr>
        <w:t xml:space="preserve"> </w:t>
      </w:r>
    </w:p>
    <w:p w14:paraId="1E627FAE" w14:textId="77777777" w:rsidR="00C51A70" w:rsidRPr="00C51A70" w:rsidRDefault="00C51A70" w:rsidP="00C51A70">
      <w:pPr>
        <w:tabs>
          <w:tab w:val="left" w:pos="90"/>
        </w:tabs>
        <w:bidi w:val="0"/>
        <w:spacing w:after="120" w:line="216" w:lineRule="auto"/>
        <w:rPr>
          <w:color w:val="000000"/>
          <w:sz w:val="22"/>
          <w:szCs w:val="22"/>
          <w:rtl/>
        </w:rPr>
      </w:pPr>
      <w:r w:rsidRPr="00C51A70">
        <w:rPr>
          <w:color w:val="000000"/>
          <w:sz w:val="22"/>
          <w:szCs w:val="22"/>
        </w:rPr>
        <w:t xml:space="preserve">Sargent, T., and N. Wallace. 1981. Some unpleasant monetarist arithmetic. </w:t>
      </w:r>
      <w:r w:rsidRPr="00C51A70">
        <w:rPr>
          <w:iCs/>
          <w:color w:val="000000"/>
          <w:sz w:val="22"/>
          <w:szCs w:val="22"/>
        </w:rPr>
        <w:t xml:space="preserve">Federal Reserve Bank of Minneapolis Quarterly Review </w:t>
      </w:r>
      <w:r w:rsidRPr="00C51A70">
        <w:rPr>
          <w:color w:val="000000"/>
          <w:sz w:val="22"/>
          <w:szCs w:val="22"/>
        </w:rPr>
        <w:t>3:1–19.</w:t>
      </w:r>
    </w:p>
    <w:p w14:paraId="43C8EA96" w14:textId="77777777" w:rsidR="00C51A70" w:rsidRPr="00C51A70" w:rsidRDefault="00C51A70" w:rsidP="00C51A70">
      <w:pPr>
        <w:bidi w:val="0"/>
        <w:spacing w:after="120" w:line="216" w:lineRule="auto"/>
        <w:rPr>
          <w:rFonts w:ascii="Cambria Math" w:hAnsi="Cambria Math"/>
          <w:sz w:val="22"/>
          <w:szCs w:val="22"/>
        </w:rPr>
      </w:pPr>
      <w:r w:rsidRPr="00C51A70">
        <w:rPr>
          <w:rFonts w:ascii="Cambria Math" w:hAnsi="Cambria Math"/>
          <w:sz w:val="22"/>
          <w:szCs w:val="22"/>
          <w:highlight w:val="yellow"/>
        </w:rPr>
        <w:t>Sargent, Thomas (1981). "Interpreting Economic Time Series." Journal of Political Economy 89,213-48.</w:t>
      </w:r>
    </w:p>
    <w:p w14:paraId="0DDC5510" w14:textId="77777777" w:rsidR="00C51A70" w:rsidRPr="00C51A70" w:rsidRDefault="00C51A70" w:rsidP="00C51A70">
      <w:pPr>
        <w:tabs>
          <w:tab w:val="left" w:pos="90"/>
        </w:tabs>
        <w:bidi w:val="0"/>
        <w:spacing w:after="120" w:line="216" w:lineRule="auto"/>
        <w:rPr>
          <w:rFonts w:ascii="ArialRegular" w:eastAsiaTheme="majorEastAsia" w:hAnsi="ArialRegular"/>
          <w:color w:val="000000"/>
          <w:sz w:val="22"/>
          <w:szCs w:val="22"/>
          <w:rtl/>
        </w:rPr>
      </w:pPr>
      <w:proofErr w:type="spellStart"/>
      <w:r w:rsidRPr="00C51A70">
        <w:rPr>
          <w:rFonts w:ascii="ArialRegular" w:eastAsiaTheme="majorEastAsia" w:hAnsi="ArialRegular"/>
          <w:color w:val="000000"/>
          <w:sz w:val="22"/>
          <w:szCs w:val="22"/>
        </w:rPr>
        <w:t>Schmitte</w:t>
      </w:r>
      <w:proofErr w:type="spellEnd"/>
      <w:r w:rsidRPr="00C51A70">
        <w:rPr>
          <w:rFonts w:ascii="ArialRegular" w:eastAsiaTheme="majorEastAsia" w:hAnsi="ArialRegular"/>
          <w:color w:val="000000"/>
          <w:sz w:val="22"/>
          <w:szCs w:val="22"/>
        </w:rPr>
        <w:t>-Grohe, S., and M. Uribe. 2004a. Optimal fiscal and monetary policy under imperfect</w:t>
      </w:r>
      <w:r w:rsidRPr="00C51A70">
        <w:rPr>
          <w:rFonts w:ascii="ArialRegular" w:eastAsiaTheme="majorEastAsia" w:hAnsi="ArialRegular" w:hint="cs"/>
          <w:color w:val="000000"/>
          <w:sz w:val="22"/>
          <w:szCs w:val="22"/>
          <w:rtl/>
        </w:rPr>
        <w:t xml:space="preserve"> </w:t>
      </w:r>
      <w:r w:rsidRPr="00C51A70">
        <w:rPr>
          <w:rFonts w:ascii="ArialRegular" w:eastAsiaTheme="majorEastAsia" w:hAnsi="ArialRegular"/>
          <w:color w:val="000000"/>
          <w:sz w:val="22"/>
          <w:szCs w:val="22"/>
        </w:rPr>
        <w:t xml:space="preserve">competition. </w:t>
      </w:r>
      <w:r w:rsidRPr="00C51A70">
        <w:rPr>
          <w:rFonts w:ascii="ArialItalic" w:eastAsiaTheme="majorEastAsia" w:hAnsi="ArialItalic"/>
          <w:i/>
          <w:iCs/>
          <w:color w:val="000000"/>
          <w:sz w:val="22"/>
          <w:szCs w:val="22"/>
        </w:rPr>
        <w:t>Journal of</w:t>
      </w:r>
      <w:r w:rsidRPr="00C51A70">
        <w:rPr>
          <w:rFonts w:ascii="ArialItalic" w:eastAsiaTheme="majorEastAsia" w:hAnsi="ArialItalic" w:hint="cs"/>
          <w:i/>
          <w:iCs/>
          <w:color w:val="000000"/>
          <w:sz w:val="22"/>
          <w:szCs w:val="22"/>
          <w:rtl/>
        </w:rPr>
        <w:t xml:space="preserve"> </w:t>
      </w:r>
      <w:r w:rsidRPr="00C51A70">
        <w:rPr>
          <w:rFonts w:ascii="ArialItalic" w:eastAsiaTheme="majorEastAsia" w:hAnsi="ArialItalic"/>
          <w:i/>
          <w:iCs/>
          <w:color w:val="000000"/>
          <w:sz w:val="22"/>
          <w:szCs w:val="22"/>
        </w:rPr>
        <w:t xml:space="preserve">Macroeconomics </w:t>
      </w:r>
      <w:r w:rsidRPr="00C51A70">
        <w:rPr>
          <w:rFonts w:ascii="ArialRegular" w:eastAsiaTheme="majorEastAsia" w:hAnsi="ArialRegular"/>
          <w:color w:val="000000"/>
          <w:sz w:val="22"/>
          <w:szCs w:val="22"/>
        </w:rPr>
        <w:t>26:183–209.</w:t>
      </w:r>
    </w:p>
    <w:p w14:paraId="58B7EEC0" w14:textId="77777777" w:rsidR="00C51A70" w:rsidRPr="00C51A70" w:rsidRDefault="00C51A70" w:rsidP="00C51A70">
      <w:pPr>
        <w:tabs>
          <w:tab w:val="left" w:pos="90"/>
        </w:tabs>
        <w:bidi w:val="0"/>
        <w:spacing w:after="120" w:line="216" w:lineRule="auto"/>
        <w:rPr>
          <w:rFonts w:ascii="ArialRegular" w:eastAsiaTheme="majorEastAsia" w:hAnsi="ArialRegular"/>
          <w:color w:val="000000"/>
          <w:sz w:val="22"/>
          <w:szCs w:val="22"/>
          <w:rtl/>
        </w:rPr>
      </w:pPr>
      <w:proofErr w:type="spellStart"/>
      <w:r w:rsidRPr="00C51A70">
        <w:rPr>
          <w:rFonts w:ascii="ArialRegular" w:eastAsiaTheme="majorEastAsia" w:hAnsi="ArialRegular"/>
          <w:color w:val="000000"/>
          <w:sz w:val="22"/>
          <w:szCs w:val="22"/>
        </w:rPr>
        <w:t>Schmitte</w:t>
      </w:r>
      <w:proofErr w:type="spellEnd"/>
      <w:r w:rsidRPr="00C51A70">
        <w:rPr>
          <w:rFonts w:ascii="ArialRegular" w:eastAsiaTheme="majorEastAsia" w:hAnsi="ArialRegular"/>
          <w:color w:val="000000"/>
          <w:sz w:val="22"/>
          <w:szCs w:val="22"/>
        </w:rPr>
        <w:t>-Grohe, S., and M. Uribe. 2004b. Optimal fiscal and monetary policy under sticky prices.</w:t>
      </w:r>
      <w:r w:rsidRPr="00C51A70">
        <w:rPr>
          <w:rFonts w:ascii="ArialRegular" w:eastAsiaTheme="majorEastAsia" w:hAnsi="ArialRegular" w:hint="cs"/>
          <w:color w:val="000000"/>
          <w:sz w:val="22"/>
          <w:szCs w:val="22"/>
          <w:rtl/>
        </w:rPr>
        <w:t xml:space="preserve"> </w:t>
      </w:r>
      <w:r w:rsidRPr="00C51A70">
        <w:rPr>
          <w:rFonts w:ascii="ArialItalic" w:eastAsiaTheme="majorEastAsia" w:hAnsi="ArialItalic"/>
          <w:i/>
          <w:iCs/>
          <w:color w:val="000000"/>
          <w:sz w:val="22"/>
          <w:szCs w:val="22"/>
        </w:rPr>
        <w:t xml:space="preserve">Journal of Economic Theory </w:t>
      </w:r>
      <w:r w:rsidRPr="00C51A70">
        <w:rPr>
          <w:rFonts w:ascii="ArialRegular" w:eastAsiaTheme="majorEastAsia" w:hAnsi="ArialRegular"/>
          <w:color w:val="000000"/>
          <w:sz w:val="22"/>
          <w:szCs w:val="22"/>
        </w:rPr>
        <w:t>114:198–230.</w:t>
      </w:r>
    </w:p>
    <w:p w14:paraId="234F0E79" w14:textId="77777777" w:rsidR="00C51A70" w:rsidRPr="00C51A70" w:rsidRDefault="00C51A70" w:rsidP="00C51A70">
      <w:pPr>
        <w:tabs>
          <w:tab w:val="left" w:pos="90"/>
        </w:tabs>
        <w:bidi w:val="0"/>
        <w:spacing w:after="120" w:line="216" w:lineRule="auto"/>
        <w:rPr>
          <w:sz w:val="22"/>
          <w:szCs w:val="22"/>
          <w:rtl/>
        </w:rPr>
      </w:pPr>
      <w:r w:rsidRPr="00C51A70">
        <w:rPr>
          <w:rFonts w:ascii="ArialRegular" w:eastAsiaTheme="majorEastAsia" w:hAnsi="ArialRegular"/>
          <w:color w:val="000000"/>
          <w:sz w:val="22"/>
          <w:szCs w:val="22"/>
        </w:rPr>
        <w:t>Shapiro, C., and J. E. Stiglitz. 1984. Equilibrium unemployment as a worker discipline device.</w:t>
      </w:r>
      <w:r w:rsidRPr="00C51A70">
        <w:rPr>
          <w:rFonts w:ascii="ArialRegular" w:eastAsiaTheme="majorEastAsia" w:hAnsi="ArialRegular" w:hint="cs"/>
          <w:color w:val="000000"/>
          <w:sz w:val="22"/>
          <w:szCs w:val="22"/>
          <w:rtl/>
        </w:rPr>
        <w:t xml:space="preserve"> </w:t>
      </w:r>
      <w:r w:rsidRPr="00C51A70">
        <w:rPr>
          <w:rFonts w:ascii="ArialItalic" w:eastAsiaTheme="majorEastAsia" w:hAnsi="ArialItalic"/>
          <w:i/>
          <w:iCs/>
          <w:color w:val="000000"/>
          <w:sz w:val="22"/>
          <w:szCs w:val="22"/>
        </w:rPr>
        <w:t xml:space="preserve">American Economic Review </w:t>
      </w:r>
      <w:r w:rsidRPr="00C51A70">
        <w:rPr>
          <w:rFonts w:ascii="ArialRegular" w:eastAsiaTheme="majorEastAsia" w:hAnsi="ArialRegular"/>
          <w:color w:val="000000"/>
          <w:sz w:val="22"/>
          <w:szCs w:val="22"/>
        </w:rPr>
        <w:t>74:433–444.</w:t>
      </w:r>
      <w:r w:rsidRPr="00C51A70">
        <w:rPr>
          <w:sz w:val="22"/>
          <w:szCs w:val="22"/>
        </w:rPr>
        <w:t xml:space="preserve"> </w:t>
      </w:r>
    </w:p>
    <w:p w14:paraId="2AEAFFD1" w14:textId="77777777" w:rsidR="00C51A70" w:rsidRPr="00C51A70" w:rsidRDefault="00C51A70" w:rsidP="00C51A70">
      <w:pPr>
        <w:tabs>
          <w:tab w:val="left" w:pos="90"/>
        </w:tabs>
        <w:bidi w:val="0"/>
        <w:spacing w:after="120" w:line="216" w:lineRule="auto"/>
        <w:rPr>
          <w:color w:val="000000"/>
          <w:sz w:val="22"/>
          <w:szCs w:val="22"/>
        </w:rPr>
      </w:pPr>
      <w:r w:rsidRPr="00C51A70">
        <w:rPr>
          <w:color w:val="000000"/>
          <w:sz w:val="22"/>
          <w:szCs w:val="22"/>
        </w:rPr>
        <w:t xml:space="preserve">Sharpe, W. F. 1964. Capital asset prices: a theory of market equilibrium under conditions of risk. </w:t>
      </w:r>
      <w:r w:rsidRPr="00C51A70">
        <w:rPr>
          <w:iCs/>
          <w:color w:val="000000"/>
          <w:sz w:val="22"/>
          <w:szCs w:val="22"/>
        </w:rPr>
        <w:t xml:space="preserve">Journal of Finance </w:t>
      </w:r>
      <w:r w:rsidRPr="00C51A70">
        <w:rPr>
          <w:color w:val="000000"/>
          <w:sz w:val="22"/>
          <w:szCs w:val="22"/>
        </w:rPr>
        <w:t>19:425–42.</w:t>
      </w:r>
    </w:p>
    <w:p w14:paraId="1464AFD3" w14:textId="77777777" w:rsidR="00C51A70" w:rsidRPr="00C51A70" w:rsidRDefault="00C51A70" w:rsidP="00C51A70">
      <w:pPr>
        <w:tabs>
          <w:tab w:val="left" w:pos="90"/>
        </w:tabs>
        <w:bidi w:val="0"/>
        <w:spacing w:after="120" w:line="216" w:lineRule="auto"/>
        <w:rPr>
          <w:color w:val="000000"/>
          <w:sz w:val="22"/>
          <w:szCs w:val="22"/>
        </w:rPr>
      </w:pPr>
      <w:proofErr w:type="spellStart"/>
      <w:r w:rsidRPr="00C51A70">
        <w:rPr>
          <w:color w:val="000000"/>
          <w:sz w:val="22"/>
          <w:szCs w:val="22"/>
        </w:rPr>
        <w:t>Sheffrin</w:t>
      </w:r>
      <w:proofErr w:type="spellEnd"/>
      <w:r w:rsidRPr="00C51A70">
        <w:rPr>
          <w:color w:val="000000"/>
          <w:sz w:val="22"/>
          <w:szCs w:val="22"/>
        </w:rPr>
        <w:t xml:space="preserve">, S. M., and W. T. Woo. 1990. Present value tests of an intertemporal model of the current account. </w:t>
      </w:r>
      <w:r w:rsidRPr="00C51A70">
        <w:rPr>
          <w:iCs/>
          <w:color w:val="000000"/>
          <w:sz w:val="22"/>
          <w:szCs w:val="22"/>
        </w:rPr>
        <w:t xml:space="preserve">Journal of International Economics </w:t>
      </w:r>
      <w:r w:rsidRPr="00C51A70">
        <w:rPr>
          <w:color w:val="000000"/>
          <w:sz w:val="22"/>
          <w:szCs w:val="22"/>
        </w:rPr>
        <w:t>29:237–53.</w:t>
      </w:r>
    </w:p>
    <w:p w14:paraId="75B9DC49" w14:textId="77777777" w:rsidR="00C51A70" w:rsidRPr="00C51A70" w:rsidRDefault="00C51A70" w:rsidP="00C51A70">
      <w:pPr>
        <w:tabs>
          <w:tab w:val="left" w:pos="90"/>
        </w:tabs>
        <w:bidi w:val="0"/>
        <w:spacing w:after="120" w:line="216" w:lineRule="auto"/>
        <w:rPr>
          <w:color w:val="000000"/>
          <w:sz w:val="22"/>
          <w:szCs w:val="22"/>
        </w:rPr>
      </w:pPr>
      <w:r w:rsidRPr="00C51A70">
        <w:rPr>
          <w:color w:val="000000"/>
          <w:sz w:val="22"/>
          <w:szCs w:val="22"/>
        </w:rPr>
        <w:t xml:space="preserve">Shell, K. 1967. A model of inventive activity and capital accumulation. In </w:t>
      </w:r>
      <w:r w:rsidRPr="00C51A70">
        <w:rPr>
          <w:iCs/>
          <w:color w:val="000000"/>
          <w:sz w:val="22"/>
          <w:szCs w:val="22"/>
        </w:rPr>
        <w:t xml:space="preserve">Essays on the Theory of Optimal Economic Growth </w:t>
      </w:r>
      <w:r w:rsidRPr="00C51A70">
        <w:rPr>
          <w:color w:val="000000"/>
          <w:sz w:val="22"/>
          <w:szCs w:val="22"/>
        </w:rPr>
        <w:t>(ed. K. Shell), pp. 67–85. Cambridge, MA: MIT Press.</w:t>
      </w:r>
    </w:p>
    <w:p w14:paraId="7644C3EB" w14:textId="77777777" w:rsidR="00C51A70" w:rsidRPr="00C51A70" w:rsidRDefault="00C51A70" w:rsidP="00C51A70">
      <w:pPr>
        <w:tabs>
          <w:tab w:val="left" w:pos="90"/>
        </w:tabs>
        <w:bidi w:val="0"/>
        <w:spacing w:after="120" w:line="216" w:lineRule="auto"/>
        <w:rPr>
          <w:color w:val="000000"/>
          <w:sz w:val="22"/>
          <w:szCs w:val="22"/>
        </w:rPr>
      </w:pPr>
      <w:proofErr w:type="spellStart"/>
      <w:r w:rsidRPr="00C51A70">
        <w:rPr>
          <w:color w:val="000000"/>
          <w:sz w:val="22"/>
          <w:szCs w:val="22"/>
        </w:rPr>
        <w:t>Sidrauski</w:t>
      </w:r>
      <w:proofErr w:type="spellEnd"/>
      <w:r w:rsidRPr="00C51A70">
        <w:rPr>
          <w:color w:val="000000"/>
          <w:sz w:val="22"/>
          <w:szCs w:val="22"/>
        </w:rPr>
        <w:t xml:space="preserve">, M. 1967. Rational choice and patterns of growth in a monetary economy. </w:t>
      </w:r>
      <w:r w:rsidRPr="00C51A70">
        <w:rPr>
          <w:iCs/>
          <w:color w:val="000000"/>
          <w:sz w:val="22"/>
          <w:szCs w:val="22"/>
        </w:rPr>
        <w:t xml:space="preserve">American Economic Review </w:t>
      </w:r>
      <w:r w:rsidRPr="00C51A70">
        <w:rPr>
          <w:color w:val="000000"/>
          <w:sz w:val="22"/>
          <w:szCs w:val="22"/>
        </w:rPr>
        <w:t>57:534–44.</w:t>
      </w:r>
    </w:p>
    <w:p w14:paraId="471D01B0" w14:textId="77777777" w:rsidR="00C51A70" w:rsidRPr="00C51A70" w:rsidRDefault="00C51A70" w:rsidP="00C51A70">
      <w:pPr>
        <w:bidi w:val="0"/>
        <w:spacing w:after="120" w:line="216" w:lineRule="auto"/>
        <w:rPr>
          <w:rFonts w:ascii="Cambria Math" w:hAnsi="Cambria Math"/>
          <w:sz w:val="22"/>
          <w:szCs w:val="22"/>
        </w:rPr>
      </w:pPr>
      <w:r w:rsidRPr="00C51A70">
        <w:rPr>
          <w:rFonts w:ascii="Cambria Math" w:hAnsi="Cambria Math"/>
          <w:sz w:val="22"/>
          <w:szCs w:val="22"/>
          <w:highlight w:val="yellow"/>
        </w:rPr>
        <w:t xml:space="preserve">Sims, Christopher A. (1980). "Macroeconomics and Reality." </w:t>
      </w:r>
      <w:proofErr w:type="spellStart"/>
      <w:r w:rsidRPr="00C51A70">
        <w:rPr>
          <w:rFonts w:ascii="Cambria Math" w:hAnsi="Cambria Math"/>
          <w:sz w:val="22"/>
          <w:szCs w:val="22"/>
          <w:highlight w:val="yellow"/>
        </w:rPr>
        <w:t>Econometrica</w:t>
      </w:r>
      <w:proofErr w:type="spellEnd"/>
      <w:r w:rsidRPr="00C51A70">
        <w:rPr>
          <w:rFonts w:ascii="Cambria Math" w:hAnsi="Cambria Math"/>
          <w:sz w:val="22"/>
          <w:szCs w:val="22"/>
          <w:highlight w:val="yellow"/>
        </w:rPr>
        <w:t xml:space="preserve"> 48, 1-48.</w:t>
      </w:r>
      <w:r w:rsidRPr="00C51A70">
        <w:rPr>
          <w:rFonts w:ascii="Cambria Math" w:hAnsi="Cambria Math"/>
          <w:sz w:val="22"/>
          <w:szCs w:val="22"/>
          <w:rtl/>
        </w:rPr>
        <w:t xml:space="preserve"> </w:t>
      </w:r>
    </w:p>
    <w:p w14:paraId="3ED68565" w14:textId="77777777" w:rsidR="00C51A70" w:rsidRPr="00C51A70" w:rsidRDefault="00C51A70" w:rsidP="00C51A70">
      <w:pPr>
        <w:bidi w:val="0"/>
        <w:spacing w:after="120" w:line="216" w:lineRule="auto"/>
        <w:rPr>
          <w:rFonts w:ascii="Cambria Math" w:hAnsi="Cambria Math"/>
          <w:sz w:val="22"/>
          <w:szCs w:val="22"/>
        </w:rPr>
      </w:pPr>
      <w:r w:rsidRPr="00C51A70">
        <w:rPr>
          <w:rFonts w:ascii="Cambria Math" w:hAnsi="Cambria Math"/>
          <w:sz w:val="22"/>
          <w:szCs w:val="22"/>
          <w:highlight w:val="yellow"/>
        </w:rPr>
        <w:t>Sims, Christopher A. (1982). "Policy Analysis with Econometric Models." Brookings Papers on Economic Activity 13(1), 107-152.</w:t>
      </w:r>
      <w:r w:rsidRPr="00C51A70">
        <w:rPr>
          <w:rFonts w:ascii="Cambria Math" w:hAnsi="Cambria Math"/>
          <w:sz w:val="22"/>
          <w:szCs w:val="22"/>
          <w:rtl/>
        </w:rPr>
        <w:t xml:space="preserve"> </w:t>
      </w:r>
      <w:r w:rsidRPr="00C51A70">
        <w:rPr>
          <w:rFonts w:ascii="Cambria Math" w:hAnsi="Cambria Math"/>
          <w:sz w:val="22"/>
          <w:szCs w:val="22"/>
        </w:rPr>
        <w:t xml:space="preserve"> </w:t>
      </w:r>
    </w:p>
    <w:p w14:paraId="46C83FF8" w14:textId="77777777" w:rsidR="00C51A70" w:rsidRPr="00C51A70" w:rsidRDefault="00C51A70" w:rsidP="00C51A70">
      <w:pPr>
        <w:bidi w:val="0"/>
        <w:spacing w:after="120" w:line="216" w:lineRule="auto"/>
        <w:rPr>
          <w:rFonts w:ascii="Cambria Math" w:hAnsi="Cambria Math"/>
          <w:sz w:val="22"/>
          <w:szCs w:val="22"/>
        </w:rPr>
      </w:pPr>
      <w:r w:rsidRPr="00C51A70">
        <w:rPr>
          <w:rFonts w:ascii="Cambria Math" w:hAnsi="Cambria Math"/>
          <w:sz w:val="22"/>
          <w:szCs w:val="22"/>
          <w:highlight w:val="yellow"/>
        </w:rPr>
        <w:lastRenderedPageBreak/>
        <w:t>Sims, Christopher A. (1986). "Are Forecasting Models Usable for Policy Analysis?" Federal Reserve Bank of Minneapolis Quarterly Review 10, 2-15.</w:t>
      </w:r>
    </w:p>
    <w:p w14:paraId="0B4AE37D" w14:textId="77777777" w:rsidR="00C51A70" w:rsidRPr="00C51A70" w:rsidRDefault="00C51A70" w:rsidP="00C51A70">
      <w:pPr>
        <w:bidi w:val="0"/>
        <w:spacing w:after="120" w:line="216" w:lineRule="auto"/>
        <w:rPr>
          <w:color w:val="000000"/>
          <w:sz w:val="22"/>
          <w:szCs w:val="22"/>
        </w:rPr>
      </w:pPr>
      <w:r w:rsidRPr="00C51A70">
        <w:rPr>
          <w:color w:val="000000"/>
          <w:sz w:val="22"/>
          <w:szCs w:val="22"/>
        </w:rPr>
        <w:t xml:space="preserve">Sims, C. A. 1980. Macroeconomics and reality. </w:t>
      </w:r>
      <w:proofErr w:type="spellStart"/>
      <w:r w:rsidRPr="00C51A70">
        <w:rPr>
          <w:iCs/>
          <w:color w:val="000000"/>
          <w:sz w:val="22"/>
          <w:szCs w:val="22"/>
        </w:rPr>
        <w:t>Econometrica</w:t>
      </w:r>
      <w:proofErr w:type="spellEnd"/>
      <w:r w:rsidRPr="00C51A70">
        <w:rPr>
          <w:iCs/>
          <w:color w:val="000000"/>
          <w:sz w:val="22"/>
          <w:szCs w:val="22"/>
        </w:rPr>
        <w:t xml:space="preserve"> </w:t>
      </w:r>
      <w:r w:rsidRPr="00C51A70">
        <w:rPr>
          <w:color w:val="000000"/>
          <w:sz w:val="22"/>
          <w:szCs w:val="22"/>
        </w:rPr>
        <w:t>48:1–48.</w:t>
      </w:r>
    </w:p>
    <w:p w14:paraId="5305F672" w14:textId="77777777" w:rsidR="00C51A70" w:rsidRPr="00C51A70" w:rsidRDefault="00C51A70" w:rsidP="00C51A70">
      <w:pPr>
        <w:bidi w:val="0"/>
        <w:spacing w:after="120" w:line="216" w:lineRule="auto"/>
        <w:rPr>
          <w:rFonts w:ascii="ArialRegular" w:eastAsiaTheme="majorEastAsia" w:hAnsi="ArialRegular"/>
          <w:color w:val="000000"/>
          <w:sz w:val="22"/>
          <w:szCs w:val="22"/>
          <w:rtl/>
        </w:rPr>
      </w:pPr>
      <w:r w:rsidRPr="00C51A70">
        <w:rPr>
          <w:rFonts w:ascii="ArialRegular" w:eastAsiaTheme="majorEastAsia" w:hAnsi="ArialRegular"/>
          <w:color w:val="000000"/>
          <w:sz w:val="22"/>
          <w:szCs w:val="22"/>
        </w:rPr>
        <w:t>______. 1994. A simple model for the study of the determination of the price level and the</w:t>
      </w:r>
      <w:r w:rsidRPr="00C51A70">
        <w:rPr>
          <w:rFonts w:ascii="ArialRegular" w:eastAsiaTheme="majorEastAsia" w:hAnsi="ArialRegular" w:hint="cs"/>
          <w:color w:val="000000"/>
          <w:sz w:val="22"/>
          <w:szCs w:val="22"/>
          <w:rtl/>
        </w:rPr>
        <w:t xml:space="preserve"> </w:t>
      </w:r>
      <w:r w:rsidRPr="00C51A70">
        <w:rPr>
          <w:rFonts w:ascii="ArialRegular" w:eastAsiaTheme="majorEastAsia" w:hAnsi="ArialRegular"/>
          <w:color w:val="000000"/>
          <w:sz w:val="22"/>
          <w:szCs w:val="22"/>
        </w:rPr>
        <w:t xml:space="preserve">interaction of monetary and fiscal policy. </w:t>
      </w:r>
      <w:r w:rsidRPr="00C51A70">
        <w:rPr>
          <w:rFonts w:ascii="ArialItalic" w:eastAsiaTheme="majorEastAsia" w:hAnsi="ArialItalic"/>
          <w:i/>
          <w:iCs/>
          <w:color w:val="000000"/>
          <w:sz w:val="22"/>
          <w:szCs w:val="22"/>
        </w:rPr>
        <w:t xml:space="preserve">Economic Theory </w:t>
      </w:r>
      <w:r w:rsidRPr="00C51A70">
        <w:rPr>
          <w:rFonts w:ascii="ArialRegular" w:eastAsiaTheme="majorEastAsia" w:hAnsi="ArialRegular"/>
          <w:color w:val="000000"/>
          <w:sz w:val="22"/>
          <w:szCs w:val="22"/>
        </w:rPr>
        <w:t>4:381–99.</w:t>
      </w:r>
    </w:p>
    <w:p w14:paraId="26CC4A8F" w14:textId="77777777" w:rsidR="00C51A70" w:rsidRPr="00C51A70" w:rsidRDefault="00C51A70" w:rsidP="00C51A70">
      <w:pPr>
        <w:bidi w:val="0"/>
        <w:spacing w:after="120" w:line="216" w:lineRule="auto"/>
        <w:rPr>
          <w:sz w:val="22"/>
          <w:szCs w:val="22"/>
          <w:rtl/>
        </w:rPr>
      </w:pPr>
      <w:r w:rsidRPr="00C51A70">
        <w:rPr>
          <w:rFonts w:ascii="ArialRegular" w:eastAsiaTheme="majorEastAsia" w:hAnsi="ArialRegular"/>
          <w:color w:val="000000"/>
          <w:sz w:val="22"/>
          <w:szCs w:val="22"/>
        </w:rPr>
        <w:t xml:space="preserve">______. 2001. Solving linear rational expectations models. </w:t>
      </w:r>
      <w:r w:rsidRPr="00C51A70">
        <w:rPr>
          <w:rFonts w:ascii="ArialItalic" w:eastAsiaTheme="majorEastAsia" w:hAnsi="ArialItalic"/>
          <w:i/>
          <w:iCs/>
          <w:color w:val="000000"/>
          <w:sz w:val="22"/>
          <w:szCs w:val="22"/>
        </w:rPr>
        <w:t xml:space="preserve">Computational Economics </w:t>
      </w:r>
      <w:r w:rsidRPr="00C51A70">
        <w:rPr>
          <w:rFonts w:ascii="ArialRegular" w:eastAsiaTheme="majorEastAsia" w:hAnsi="ArialRegular"/>
          <w:color w:val="000000"/>
          <w:sz w:val="22"/>
          <w:szCs w:val="22"/>
        </w:rPr>
        <w:t>20: 1–20.</w:t>
      </w:r>
      <w:r w:rsidRPr="00C51A70">
        <w:rPr>
          <w:sz w:val="22"/>
          <w:szCs w:val="22"/>
        </w:rPr>
        <w:t xml:space="preserve"> </w:t>
      </w:r>
    </w:p>
    <w:p w14:paraId="06550CF2" w14:textId="77777777" w:rsidR="00C51A70" w:rsidRPr="00C51A70" w:rsidRDefault="00C51A70" w:rsidP="00C51A70">
      <w:pPr>
        <w:bidi w:val="0"/>
        <w:spacing w:after="120" w:line="216" w:lineRule="auto"/>
        <w:rPr>
          <w:color w:val="000000"/>
          <w:sz w:val="22"/>
          <w:szCs w:val="22"/>
        </w:rPr>
      </w:pPr>
      <w:r w:rsidRPr="00C51A70">
        <w:rPr>
          <w:color w:val="000000"/>
          <w:sz w:val="22"/>
          <w:szCs w:val="22"/>
        </w:rPr>
        <w:t xml:space="preserve">Singleton, K. J. 2006. </w:t>
      </w:r>
      <w:r w:rsidRPr="00C51A70">
        <w:rPr>
          <w:iCs/>
          <w:color w:val="000000"/>
          <w:sz w:val="22"/>
          <w:szCs w:val="22"/>
        </w:rPr>
        <w:t>Empirical Dynamic Asset Pricing</w:t>
      </w:r>
      <w:r w:rsidRPr="00C51A70">
        <w:rPr>
          <w:color w:val="000000"/>
          <w:sz w:val="22"/>
          <w:szCs w:val="22"/>
        </w:rPr>
        <w:t>. Princeton University Press.</w:t>
      </w:r>
    </w:p>
    <w:p w14:paraId="07DE4DD9" w14:textId="77777777" w:rsidR="00C51A70" w:rsidRPr="00C51A70" w:rsidRDefault="00C51A70" w:rsidP="00C51A70">
      <w:pPr>
        <w:bidi w:val="0"/>
        <w:spacing w:after="120" w:line="216" w:lineRule="auto"/>
        <w:rPr>
          <w:sz w:val="22"/>
          <w:szCs w:val="22"/>
        </w:rPr>
      </w:pPr>
      <w:proofErr w:type="spellStart"/>
      <w:r w:rsidRPr="00C51A70">
        <w:rPr>
          <w:color w:val="000000"/>
          <w:sz w:val="22"/>
          <w:szCs w:val="22"/>
        </w:rPr>
        <w:t>Skidelski</w:t>
      </w:r>
      <w:proofErr w:type="spellEnd"/>
      <w:r w:rsidRPr="00C51A70">
        <w:rPr>
          <w:color w:val="000000"/>
          <w:sz w:val="22"/>
          <w:szCs w:val="22"/>
        </w:rPr>
        <w:t xml:space="preserve">, R. 1992. </w:t>
      </w:r>
      <w:r w:rsidRPr="00C51A70">
        <w:rPr>
          <w:iCs/>
          <w:color w:val="000000"/>
          <w:sz w:val="22"/>
          <w:szCs w:val="22"/>
        </w:rPr>
        <w:t xml:space="preserve">John Maynard Keynes. Volume 2: The Economist as </w:t>
      </w:r>
      <w:proofErr w:type="spellStart"/>
      <w:r w:rsidRPr="00C51A70">
        <w:rPr>
          <w:iCs/>
          <w:color w:val="000000"/>
          <w:sz w:val="22"/>
          <w:szCs w:val="22"/>
        </w:rPr>
        <w:t>Saviour</w:t>
      </w:r>
      <w:proofErr w:type="spellEnd"/>
      <w:r w:rsidRPr="00C51A70">
        <w:rPr>
          <w:iCs/>
          <w:color w:val="000000"/>
          <w:sz w:val="22"/>
          <w:szCs w:val="22"/>
        </w:rPr>
        <w:t xml:space="preserve"> 1920–1937</w:t>
      </w:r>
      <w:r w:rsidRPr="00C51A70">
        <w:rPr>
          <w:color w:val="000000"/>
          <w:sz w:val="22"/>
          <w:szCs w:val="22"/>
        </w:rPr>
        <w:t>. London: Macmillan</w:t>
      </w:r>
      <w:r w:rsidRPr="00C51A70">
        <w:rPr>
          <w:sz w:val="22"/>
          <w:szCs w:val="22"/>
        </w:rPr>
        <w:t xml:space="preserve"> </w:t>
      </w:r>
    </w:p>
    <w:p w14:paraId="765D3E91" w14:textId="77777777" w:rsidR="00C51A70" w:rsidRPr="00C51A70" w:rsidRDefault="00C51A70" w:rsidP="00C51A70">
      <w:pPr>
        <w:tabs>
          <w:tab w:val="left" w:pos="90"/>
        </w:tabs>
        <w:bidi w:val="0"/>
        <w:spacing w:after="120" w:line="216" w:lineRule="auto"/>
        <w:rPr>
          <w:rFonts w:ascii="ArialRegular" w:eastAsiaTheme="majorEastAsia" w:hAnsi="ArialRegular"/>
          <w:color w:val="000000"/>
          <w:sz w:val="22"/>
          <w:szCs w:val="22"/>
          <w:rtl/>
        </w:rPr>
      </w:pPr>
      <w:r w:rsidRPr="00C51A70">
        <w:rPr>
          <w:rFonts w:ascii="ArialRegular" w:eastAsiaTheme="majorEastAsia" w:hAnsi="ArialRegular"/>
          <w:color w:val="000000"/>
          <w:sz w:val="22"/>
          <w:szCs w:val="22"/>
        </w:rPr>
        <w:t>______. 2010b. What’s wrong with modern macroeconomics? Why its critics have missed the</w:t>
      </w:r>
      <w:r w:rsidRPr="00C51A70">
        <w:rPr>
          <w:rFonts w:ascii="ArialRegular" w:eastAsiaTheme="majorEastAsia" w:hAnsi="ArialRegular" w:hint="cs"/>
          <w:color w:val="000000"/>
          <w:sz w:val="22"/>
          <w:szCs w:val="22"/>
          <w:rtl/>
        </w:rPr>
        <w:t xml:space="preserve"> </w:t>
      </w:r>
      <w:r w:rsidRPr="00C51A70">
        <w:rPr>
          <w:rFonts w:ascii="ArialRegular" w:eastAsiaTheme="majorEastAsia" w:hAnsi="ArialRegular"/>
          <w:color w:val="000000"/>
          <w:sz w:val="22"/>
          <w:szCs w:val="22"/>
        </w:rPr>
        <w:t xml:space="preserve">point. </w:t>
      </w:r>
      <w:proofErr w:type="spellStart"/>
      <w:r w:rsidRPr="00C51A70">
        <w:rPr>
          <w:rFonts w:ascii="ArialItalic" w:eastAsiaTheme="majorEastAsia" w:hAnsi="ArialItalic"/>
          <w:i/>
          <w:iCs/>
          <w:color w:val="000000"/>
          <w:sz w:val="22"/>
          <w:szCs w:val="22"/>
        </w:rPr>
        <w:t>CESifo</w:t>
      </w:r>
      <w:proofErr w:type="spellEnd"/>
      <w:r w:rsidRPr="00C51A70">
        <w:rPr>
          <w:rFonts w:ascii="ArialItalic" w:eastAsiaTheme="majorEastAsia" w:hAnsi="ArialItalic"/>
          <w:i/>
          <w:iCs/>
          <w:color w:val="000000"/>
          <w:sz w:val="22"/>
          <w:szCs w:val="22"/>
        </w:rPr>
        <w:t xml:space="preserve"> Economic Studies </w:t>
      </w:r>
      <w:r w:rsidRPr="00C51A70">
        <w:rPr>
          <w:rFonts w:ascii="ArialRegular" w:eastAsiaTheme="majorEastAsia" w:hAnsi="ArialRegular"/>
          <w:color w:val="000000"/>
          <w:sz w:val="22"/>
          <w:szCs w:val="22"/>
        </w:rPr>
        <w:t>56:536–53.</w:t>
      </w:r>
    </w:p>
    <w:p w14:paraId="72363E7A" w14:textId="77777777" w:rsidR="00C51A70" w:rsidRPr="00C51A70" w:rsidRDefault="00C51A70" w:rsidP="00C51A70">
      <w:pPr>
        <w:tabs>
          <w:tab w:val="left" w:pos="90"/>
        </w:tabs>
        <w:bidi w:val="0"/>
        <w:spacing w:after="120" w:line="216" w:lineRule="auto"/>
        <w:rPr>
          <w:rFonts w:ascii="ArialRegular" w:eastAsiaTheme="majorEastAsia" w:hAnsi="ArialRegular"/>
          <w:color w:val="000000"/>
          <w:sz w:val="22"/>
          <w:szCs w:val="22"/>
        </w:rPr>
      </w:pPr>
      <w:proofErr w:type="spellStart"/>
      <w:r w:rsidRPr="00C51A70">
        <w:rPr>
          <w:rFonts w:ascii="ArialRegular" w:eastAsiaTheme="majorEastAsia" w:hAnsi="ArialRegular"/>
          <w:color w:val="000000"/>
          <w:sz w:val="22"/>
          <w:szCs w:val="22"/>
        </w:rPr>
        <w:t>Wickens</w:t>
      </w:r>
      <w:proofErr w:type="spellEnd"/>
      <w:r w:rsidRPr="00C51A70">
        <w:rPr>
          <w:rFonts w:ascii="ArialRegular" w:eastAsiaTheme="majorEastAsia" w:hAnsi="ArialRegular"/>
          <w:color w:val="000000"/>
          <w:sz w:val="22"/>
          <w:szCs w:val="22"/>
        </w:rPr>
        <w:t xml:space="preserve">, M. R., and R. Motto. 2000. Estimating shocks and impulse response functions. </w:t>
      </w:r>
      <w:r w:rsidRPr="00C51A70">
        <w:rPr>
          <w:rFonts w:ascii="ArialItalic" w:eastAsiaTheme="majorEastAsia" w:hAnsi="ArialItalic"/>
          <w:i/>
          <w:iCs/>
          <w:color w:val="000000"/>
          <w:sz w:val="22"/>
          <w:szCs w:val="22"/>
        </w:rPr>
        <w:t>Journal</w:t>
      </w:r>
      <w:r w:rsidRPr="00C51A70">
        <w:rPr>
          <w:rFonts w:ascii="ArialItalic" w:eastAsiaTheme="majorEastAsia" w:hAnsi="ArialItalic" w:hint="cs"/>
          <w:i/>
          <w:iCs/>
          <w:color w:val="000000"/>
          <w:sz w:val="22"/>
          <w:szCs w:val="22"/>
          <w:rtl/>
        </w:rPr>
        <w:t xml:space="preserve"> </w:t>
      </w:r>
      <w:r w:rsidRPr="00C51A70">
        <w:rPr>
          <w:rFonts w:ascii="ArialItalic" w:eastAsiaTheme="majorEastAsia" w:hAnsi="ArialItalic"/>
          <w:i/>
          <w:iCs/>
          <w:color w:val="000000"/>
          <w:sz w:val="22"/>
          <w:szCs w:val="22"/>
        </w:rPr>
        <w:t xml:space="preserve">of Applied Econometrics </w:t>
      </w:r>
      <w:r w:rsidRPr="00C51A70">
        <w:rPr>
          <w:rFonts w:ascii="ArialRegular" w:eastAsiaTheme="majorEastAsia" w:hAnsi="ArialRegular"/>
          <w:color w:val="000000"/>
          <w:sz w:val="22"/>
          <w:szCs w:val="22"/>
        </w:rPr>
        <w:t>16:371–87.</w:t>
      </w:r>
      <w:r w:rsidRPr="00C51A70">
        <w:rPr>
          <w:rFonts w:ascii="ArialRegular" w:hAnsi="ArialRegular"/>
          <w:color w:val="000000"/>
          <w:sz w:val="22"/>
          <w:szCs w:val="22"/>
        </w:rPr>
        <w:br/>
      </w:r>
    </w:p>
    <w:p w14:paraId="2607CDA0" w14:textId="77777777" w:rsidR="00C51A70" w:rsidRPr="00C51A70" w:rsidRDefault="00C51A70" w:rsidP="00C51A70">
      <w:pPr>
        <w:tabs>
          <w:tab w:val="left" w:pos="90"/>
        </w:tabs>
        <w:bidi w:val="0"/>
        <w:spacing w:after="120" w:line="216" w:lineRule="auto"/>
        <w:rPr>
          <w:rFonts w:ascii="ArialRegular" w:eastAsiaTheme="majorEastAsia" w:hAnsi="ArialRegular"/>
          <w:color w:val="000000"/>
          <w:sz w:val="22"/>
          <w:szCs w:val="22"/>
        </w:rPr>
      </w:pPr>
      <w:proofErr w:type="spellStart"/>
      <w:r w:rsidRPr="00C51A70">
        <w:rPr>
          <w:rFonts w:ascii="ArialRegular" w:eastAsiaTheme="majorEastAsia" w:hAnsi="ArialRegular"/>
          <w:color w:val="000000"/>
          <w:sz w:val="22"/>
          <w:szCs w:val="22"/>
        </w:rPr>
        <w:t>Wickens</w:t>
      </w:r>
      <w:proofErr w:type="spellEnd"/>
      <w:r w:rsidRPr="00C51A70">
        <w:rPr>
          <w:rFonts w:ascii="ArialRegular" w:eastAsiaTheme="majorEastAsia" w:hAnsi="ArialRegular"/>
          <w:color w:val="000000"/>
          <w:sz w:val="22"/>
          <w:szCs w:val="22"/>
        </w:rPr>
        <w:t>, M. R., and P. N. Smith. 2001. Macroeconomic sources of FOREX risk. Photocopy,</w:t>
      </w:r>
      <w:r w:rsidRPr="00C51A70">
        <w:rPr>
          <w:rFonts w:ascii="ArialRegular" w:eastAsiaTheme="majorEastAsia" w:hAnsi="ArialRegular" w:hint="cs"/>
          <w:color w:val="000000"/>
          <w:sz w:val="22"/>
          <w:szCs w:val="22"/>
          <w:rtl/>
        </w:rPr>
        <w:t xml:space="preserve"> </w:t>
      </w:r>
      <w:r w:rsidRPr="00C51A70">
        <w:rPr>
          <w:rFonts w:ascii="ArialRegular" w:eastAsiaTheme="majorEastAsia" w:hAnsi="ArialRegular"/>
          <w:color w:val="000000"/>
          <w:sz w:val="22"/>
          <w:szCs w:val="22"/>
        </w:rPr>
        <w:t>University of York.</w:t>
      </w:r>
    </w:p>
    <w:p w14:paraId="14683DFB" w14:textId="77777777" w:rsidR="00C51A70" w:rsidRPr="00C51A70" w:rsidRDefault="00C51A70" w:rsidP="00C51A70">
      <w:pPr>
        <w:tabs>
          <w:tab w:val="left" w:pos="90"/>
        </w:tabs>
        <w:bidi w:val="0"/>
        <w:spacing w:after="120" w:line="216" w:lineRule="auto"/>
        <w:rPr>
          <w:rFonts w:ascii="ArialRegular" w:eastAsiaTheme="majorEastAsia" w:hAnsi="ArialRegular"/>
          <w:color w:val="000000"/>
          <w:sz w:val="16"/>
          <w:szCs w:val="16"/>
          <w:rtl/>
        </w:rPr>
      </w:pPr>
      <w:proofErr w:type="spellStart"/>
      <w:r w:rsidRPr="00C51A70">
        <w:rPr>
          <w:rFonts w:ascii="ArialRegular" w:eastAsiaTheme="majorEastAsia" w:hAnsi="ArialRegular"/>
          <w:color w:val="000000"/>
          <w:sz w:val="22"/>
          <w:szCs w:val="22"/>
          <w:highlight w:val="yellow"/>
        </w:rPr>
        <w:t>Wickens</w:t>
      </w:r>
      <w:proofErr w:type="spellEnd"/>
      <w:r w:rsidRPr="00C51A70">
        <w:rPr>
          <w:rFonts w:ascii="ArialRegular" w:eastAsiaTheme="majorEastAsia" w:hAnsi="ArialRegular"/>
          <w:color w:val="000000"/>
          <w:sz w:val="22"/>
          <w:szCs w:val="22"/>
          <w:highlight w:val="yellow"/>
        </w:rPr>
        <w:t xml:space="preserve">, M. R., 2013. Theory, A Dynamic </w:t>
      </w:r>
      <w:proofErr w:type="spellStart"/>
      <w:r w:rsidRPr="00C51A70">
        <w:rPr>
          <w:rFonts w:ascii="ArialRegular" w:eastAsiaTheme="majorEastAsia" w:hAnsi="ArialRegular"/>
          <w:color w:val="000000"/>
          <w:sz w:val="22"/>
          <w:szCs w:val="22"/>
          <w:highlight w:val="yellow"/>
        </w:rPr>
        <w:t>Gerelal</w:t>
      </w:r>
      <w:proofErr w:type="spellEnd"/>
      <w:r w:rsidRPr="00C51A70">
        <w:rPr>
          <w:rFonts w:ascii="ArialRegular" w:eastAsiaTheme="majorEastAsia" w:hAnsi="ArialRegular"/>
          <w:color w:val="000000"/>
          <w:sz w:val="22"/>
          <w:szCs w:val="22"/>
          <w:highlight w:val="yellow"/>
        </w:rPr>
        <w:t xml:space="preserve"> Equilibrium Approach, second </w:t>
      </w:r>
      <w:proofErr w:type="gramStart"/>
      <w:r w:rsidRPr="00C51A70">
        <w:rPr>
          <w:rFonts w:ascii="ArialRegular" w:eastAsiaTheme="majorEastAsia" w:hAnsi="ArialRegular"/>
          <w:color w:val="000000"/>
          <w:sz w:val="22"/>
          <w:szCs w:val="22"/>
          <w:highlight w:val="yellow"/>
        </w:rPr>
        <w:t xml:space="preserve">edition, </w:t>
      </w:r>
      <w:r w:rsidRPr="00C51A70">
        <w:rPr>
          <w:rFonts w:ascii="ArialRegular" w:eastAsiaTheme="majorEastAsia" w:hAnsi="ArialRegular" w:hint="cs"/>
          <w:color w:val="000000"/>
          <w:sz w:val="22"/>
          <w:szCs w:val="22"/>
          <w:highlight w:val="yellow"/>
          <w:rtl/>
        </w:rPr>
        <w:t xml:space="preserve"> </w:t>
      </w:r>
      <w:r w:rsidRPr="00C51A70">
        <w:rPr>
          <w:rFonts w:ascii="ArialBold" w:hAnsi="ArialBold"/>
          <w:color w:val="000000"/>
          <w:sz w:val="22"/>
          <w:szCs w:val="22"/>
          <w:highlight w:val="yellow"/>
        </w:rPr>
        <w:t>Princeton</w:t>
      </w:r>
      <w:proofErr w:type="gramEnd"/>
      <w:r w:rsidRPr="00C51A70">
        <w:rPr>
          <w:rFonts w:ascii="ArialBold" w:hAnsi="ArialBold"/>
          <w:color w:val="000000"/>
          <w:sz w:val="22"/>
          <w:szCs w:val="22"/>
          <w:highlight w:val="yellow"/>
        </w:rPr>
        <w:t xml:space="preserve"> University Press</w:t>
      </w:r>
    </w:p>
    <w:p w14:paraId="7E1E8B44" w14:textId="77777777" w:rsidR="00C51A70" w:rsidRPr="00C51A70" w:rsidRDefault="00C51A70" w:rsidP="00C51A70">
      <w:pPr>
        <w:tabs>
          <w:tab w:val="left" w:pos="90"/>
        </w:tabs>
        <w:bidi w:val="0"/>
        <w:spacing w:after="120" w:line="216" w:lineRule="auto"/>
        <w:rPr>
          <w:rFonts w:ascii="ArialRegular" w:eastAsiaTheme="majorEastAsia" w:hAnsi="ArialRegular"/>
          <w:color w:val="000000"/>
          <w:sz w:val="22"/>
          <w:szCs w:val="22"/>
          <w:rtl/>
        </w:rPr>
      </w:pPr>
      <w:r w:rsidRPr="00C51A70">
        <w:rPr>
          <w:rFonts w:ascii="ArialRegular" w:eastAsiaTheme="majorEastAsia" w:hAnsi="ArialRegular"/>
          <w:color w:val="000000"/>
          <w:sz w:val="22"/>
          <w:szCs w:val="22"/>
        </w:rPr>
        <w:t xml:space="preserve">Wilcox, D. W. 1989. The sustainability of government deficits: implications of the </w:t>
      </w:r>
      <w:proofErr w:type="gramStart"/>
      <w:r w:rsidRPr="00C51A70">
        <w:rPr>
          <w:rFonts w:ascii="ArialRegular" w:eastAsiaTheme="majorEastAsia" w:hAnsi="ArialRegular"/>
          <w:color w:val="000000"/>
          <w:sz w:val="22"/>
          <w:szCs w:val="22"/>
        </w:rPr>
        <w:t>present-value</w:t>
      </w:r>
      <w:proofErr w:type="gramEnd"/>
      <w:r w:rsidRPr="00C51A70">
        <w:rPr>
          <w:rFonts w:ascii="ArialRegular" w:eastAsiaTheme="majorEastAsia" w:hAnsi="ArialRegular" w:hint="cs"/>
          <w:color w:val="000000"/>
          <w:sz w:val="22"/>
          <w:szCs w:val="22"/>
          <w:rtl/>
        </w:rPr>
        <w:t xml:space="preserve"> </w:t>
      </w:r>
      <w:r w:rsidRPr="00C51A70">
        <w:rPr>
          <w:rFonts w:ascii="ArialRegular" w:eastAsiaTheme="majorEastAsia" w:hAnsi="ArialRegular"/>
          <w:color w:val="000000"/>
          <w:sz w:val="22"/>
          <w:szCs w:val="22"/>
        </w:rPr>
        <w:t xml:space="preserve">borrowing constraint. </w:t>
      </w:r>
      <w:r w:rsidRPr="00C51A70">
        <w:rPr>
          <w:rFonts w:ascii="ArialItalic" w:eastAsiaTheme="majorEastAsia" w:hAnsi="ArialItalic"/>
          <w:i/>
          <w:iCs/>
          <w:color w:val="000000"/>
          <w:sz w:val="22"/>
          <w:szCs w:val="22"/>
        </w:rPr>
        <w:t xml:space="preserve">Journal of Money, Credit and Banking </w:t>
      </w:r>
      <w:r w:rsidRPr="00C51A70">
        <w:rPr>
          <w:rFonts w:ascii="ArialRegular" w:eastAsiaTheme="majorEastAsia" w:hAnsi="ArialRegular"/>
          <w:color w:val="000000"/>
          <w:sz w:val="22"/>
          <w:szCs w:val="22"/>
        </w:rPr>
        <w:t>21:291</w:t>
      </w:r>
      <w:r w:rsidRPr="00C51A70">
        <w:rPr>
          <w:rFonts w:ascii="ArialRegular" w:eastAsiaTheme="majorEastAsia" w:hAnsi="ArialRegular" w:hint="cs"/>
          <w:color w:val="000000"/>
          <w:sz w:val="22"/>
          <w:szCs w:val="22"/>
          <w:rtl/>
        </w:rPr>
        <w:t>-</w:t>
      </w:r>
      <w:r w:rsidRPr="00C51A70">
        <w:rPr>
          <w:rFonts w:ascii="ArialRegular" w:eastAsiaTheme="majorEastAsia" w:hAnsi="ArialRegular"/>
          <w:color w:val="000000"/>
          <w:sz w:val="22"/>
          <w:szCs w:val="22"/>
        </w:rPr>
        <w:t xml:space="preserve"> 306.</w:t>
      </w:r>
    </w:p>
    <w:p w14:paraId="74D19BAC" w14:textId="77777777" w:rsidR="00C51A70" w:rsidRPr="00C51A70" w:rsidRDefault="00C51A70" w:rsidP="00C51A70">
      <w:pPr>
        <w:tabs>
          <w:tab w:val="left" w:pos="90"/>
        </w:tabs>
        <w:bidi w:val="0"/>
        <w:spacing w:after="120" w:line="216" w:lineRule="auto"/>
        <w:rPr>
          <w:rFonts w:ascii="ArialRegular" w:eastAsiaTheme="majorEastAsia" w:hAnsi="ArialRegular"/>
          <w:color w:val="000000"/>
          <w:sz w:val="22"/>
          <w:szCs w:val="22"/>
          <w:rtl/>
        </w:rPr>
      </w:pPr>
      <w:r w:rsidRPr="00C51A70">
        <w:rPr>
          <w:rFonts w:ascii="ArialRegular" w:eastAsiaTheme="majorEastAsia" w:hAnsi="ArialRegular"/>
          <w:color w:val="000000"/>
          <w:sz w:val="22"/>
          <w:szCs w:val="22"/>
        </w:rPr>
        <w:t xml:space="preserve">Williamson, J. 1993. Exchange rate management. </w:t>
      </w:r>
      <w:r w:rsidRPr="00C51A70">
        <w:rPr>
          <w:rFonts w:ascii="ArialItalic" w:eastAsiaTheme="majorEastAsia" w:hAnsi="ArialItalic"/>
          <w:i/>
          <w:iCs/>
          <w:color w:val="000000"/>
          <w:sz w:val="22"/>
          <w:szCs w:val="22"/>
        </w:rPr>
        <w:t xml:space="preserve">Economic Journal </w:t>
      </w:r>
      <w:r w:rsidRPr="00C51A70">
        <w:rPr>
          <w:rFonts w:ascii="ArialRegular" w:eastAsiaTheme="majorEastAsia" w:hAnsi="ArialRegular"/>
          <w:color w:val="000000"/>
          <w:sz w:val="22"/>
          <w:szCs w:val="22"/>
        </w:rPr>
        <w:t>103:188–97.</w:t>
      </w:r>
    </w:p>
    <w:p w14:paraId="4B93892E" w14:textId="76028B90" w:rsidR="00556C10" w:rsidRDefault="00556C10" w:rsidP="00556C10">
      <w:pPr>
        <w:spacing w:line="216" w:lineRule="auto"/>
        <w:rPr>
          <w:i/>
          <w:sz w:val="23"/>
          <w:szCs w:val="23"/>
          <w:rtl/>
        </w:rPr>
      </w:pPr>
    </w:p>
    <w:p w14:paraId="5AB11C0E" w14:textId="578E31F5" w:rsidR="00556C10" w:rsidRDefault="00556C10" w:rsidP="00556C10">
      <w:pPr>
        <w:spacing w:line="216" w:lineRule="auto"/>
        <w:rPr>
          <w:i/>
          <w:sz w:val="23"/>
          <w:szCs w:val="23"/>
          <w:rtl/>
        </w:rPr>
      </w:pPr>
    </w:p>
    <w:p w14:paraId="051F5AED" w14:textId="1EEFDE30" w:rsidR="00556C10" w:rsidRDefault="00556C10" w:rsidP="00556C10">
      <w:pPr>
        <w:spacing w:line="216" w:lineRule="auto"/>
        <w:rPr>
          <w:i/>
          <w:sz w:val="23"/>
          <w:szCs w:val="23"/>
          <w:rtl/>
        </w:rPr>
      </w:pPr>
    </w:p>
    <w:p w14:paraId="732B91BB" w14:textId="698298E9" w:rsidR="00556C10" w:rsidRDefault="00556C10" w:rsidP="00556C10">
      <w:pPr>
        <w:spacing w:line="216" w:lineRule="auto"/>
        <w:rPr>
          <w:i/>
          <w:sz w:val="23"/>
          <w:szCs w:val="23"/>
          <w:rtl/>
        </w:rPr>
      </w:pPr>
    </w:p>
    <w:p w14:paraId="523104BA" w14:textId="77777777" w:rsidR="00556C10" w:rsidRDefault="00556C10" w:rsidP="00556C10">
      <w:pPr>
        <w:spacing w:line="216" w:lineRule="auto"/>
        <w:rPr>
          <w:i/>
          <w:sz w:val="23"/>
          <w:szCs w:val="23"/>
          <w:rtl/>
        </w:rPr>
      </w:pPr>
    </w:p>
    <w:p w14:paraId="25753857" w14:textId="1CFF22F2" w:rsidR="00556C10" w:rsidRDefault="00556C10" w:rsidP="00556C10">
      <w:pPr>
        <w:spacing w:line="216" w:lineRule="auto"/>
        <w:rPr>
          <w:i/>
          <w:sz w:val="23"/>
          <w:szCs w:val="23"/>
          <w:rtl/>
        </w:rPr>
      </w:pPr>
    </w:p>
    <w:p w14:paraId="02EC6061" w14:textId="77777777" w:rsidR="00556C10" w:rsidRDefault="00556C10" w:rsidP="00556C10">
      <w:pPr>
        <w:spacing w:line="216" w:lineRule="auto"/>
        <w:rPr>
          <w:i/>
          <w:sz w:val="23"/>
          <w:szCs w:val="23"/>
          <w:rtl/>
        </w:rPr>
      </w:pPr>
    </w:p>
    <w:p w14:paraId="5CAD87BE" w14:textId="083D6D4D" w:rsidR="00556C10" w:rsidRDefault="00556C10" w:rsidP="00556C10">
      <w:pPr>
        <w:spacing w:line="216" w:lineRule="auto"/>
        <w:rPr>
          <w:i/>
          <w:sz w:val="23"/>
          <w:szCs w:val="23"/>
          <w:rtl/>
        </w:rPr>
      </w:pPr>
    </w:p>
    <w:p w14:paraId="3796DE51" w14:textId="31DB9DDF" w:rsidR="00556C10" w:rsidRDefault="00556C10" w:rsidP="00556C10">
      <w:pPr>
        <w:spacing w:line="216" w:lineRule="auto"/>
        <w:rPr>
          <w:i/>
          <w:sz w:val="23"/>
          <w:szCs w:val="23"/>
          <w:rtl/>
        </w:rPr>
      </w:pPr>
    </w:p>
    <w:p w14:paraId="514442B0" w14:textId="42BF2923" w:rsidR="00556C10" w:rsidRDefault="00556C10" w:rsidP="00556C10">
      <w:pPr>
        <w:spacing w:line="216" w:lineRule="auto"/>
        <w:rPr>
          <w:i/>
          <w:sz w:val="23"/>
          <w:szCs w:val="23"/>
          <w:rtl/>
        </w:rPr>
      </w:pPr>
    </w:p>
    <w:p w14:paraId="3A99FD54" w14:textId="409862A5" w:rsidR="00556C10" w:rsidRDefault="00556C10" w:rsidP="00556C10">
      <w:pPr>
        <w:spacing w:line="216" w:lineRule="auto"/>
        <w:rPr>
          <w:i/>
          <w:sz w:val="23"/>
          <w:szCs w:val="23"/>
          <w:rtl/>
        </w:rPr>
      </w:pPr>
    </w:p>
    <w:p w14:paraId="310D39B2" w14:textId="636B2EC3" w:rsidR="00556C10" w:rsidRDefault="00556C10" w:rsidP="00556C10">
      <w:pPr>
        <w:spacing w:line="216" w:lineRule="auto"/>
        <w:rPr>
          <w:i/>
          <w:sz w:val="23"/>
          <w:szCs w:val="23"/>
          <w:rtl/>
        </w:rPr>
      </w:pPr>
    </w:p>
    <w:p w14:paraId="21EDEB86" w14:textId="3F7130BF" w:rsidR="00556C10" w:rsidRDefault="00556C10" w:rsidP="00556C10">
      <w:pPr>
        <w:spacing w:line="216" w:lineRule="auto"/>
        <w:rPr>
          <w:i/>
          <w:sz w:val="23"/>
          <w:szCs w:val="23"/>
          <w:rtl/>
        </w:rPr>
      </w:pPr>
    </w:p>
    <w:p w14:paraId="7467EAA6" w14:textId="51A1C549" w:rsidR="00556C10" w:rsidRDefault="00556C10" w:rsidP="00556C10">
      <w:pPr>
        <w:spacing w:line="216" w:lineRule="auto"/>
        <w:rPr>
          <w:i/>
          <w:sz w:val="23"/>
          <w:szCs w:val="23"/>
          <w:rtl/>
        </w:rPr>
      </w:pPr>
    </w:p>
    <w:p w14:paraId="461A5969" w14:textId="7BE4ED74" w:rsidR="00556C10" w:rsidRDefault="00556C10" w:rsidP="00556C10">
      <w:pPr>
        <w:spacing w:line="216" w:lineRule="auto"/>
        <w:rPr>
          <w:i/>
          <w:sz w:val="23"/>
          <w:szCs w:val="23"/>
          <w:rtl/>
        </w:rPr>
      </w:pPr>
    </w:p>
    <w:p w14:paraId="187672F4" w14:textId="1324BF34" w:rsidR="00556C10" w:rsidRDefault="00556C10" w:rsidP="00556C10">
      <w:pPr>
        <w:spacing w:line="216" w:lineRule="auto"/>
        <w:rPr>
          <w:i/>
          <w:sz w:val="23"/>
          <w:szCs w:val="23"/>
          <w:rtl/>
        </w:rPr>
      </w:pPr>
    </w:p>
    <w:p w14:paraId="03C7E917" w14:textId="77777777" w:rsidR="00556C10" w:rsidRDefault="00556C10" w:rsidP="00556C10">
      <w:pPr>
        <w:spacing w:line="216" w:lineRule="auto"/>
        <w:rPr>
          <w:i/>
          <w:sz w:val="23"/>
          <w:szCs w:val="23"/>
          <w:rtl/>
        </w:rPr>
      </w:pPr>
    </w:p>
    <w:p w14:paraId="70BA21BE" w14:textId="2FAD69DD" w:rsidR="00556C10" w:rsidRDefault="00556C10" w:rsidP="00556C10">
      <w:pPr>
        <w:spacing w:line="216" w:lineRule="auto"/>
        <w:rPr>
          <w:i/>
          <w:sz w:val="23"/>
          <w:szCs w:val="23"/>
          <w:rtl/>
        </w:rPr>
      </w:pPr>
    </w:p>
    <w:p w14:paraId="2AC3163B" w14:textId="77777777" w:rsidR="00556C10" w:rsidRPr="00B6450D" w:rsidRDefault="00556C10" w:rsidP="00556C10">
      <w:pPr>
        <w:spacing w:line="216" w:lineRule="auto"/>
        <w:rPr>
          <w:i/>
          <w:sz w:val="23"/>
          <w:szCs w:val="23"/>
        </w:rPr>
      </w:pPr>
    </w:p>
    <w:p w14:paraId="794B35E8" w14:textId="77777777" w:rsidR="00411620" w:rsidRPr="006B3D33" w:rsidRDefault="00411620" w:rsidP="00411620">
      <w:pPr>
        <w:spacing w:line="216" w:lineRule="auto"/>
        <w:rPr>
          <w:rFonts w:eastAsiaTheme="minorEastAsia"/>
          <w:i/>
          <w:sz w:val="23"/>
          <w:szCs w:val="23"/>
          <w:rtl/>
        </w:rPr>
      </w:pPr>
    </w:p>
    <w:p w14:paraId="0ECE870F" w14:textId="241FF469" w:rsidR="00411620" w:rsidRDefault="00411620" w:rsidP="009015D3">
      <w:pPr>
        <w:tabs>
          <w:tab w:val="left" w:pos="90"/>
        </w:tabs>
        <w:spacing w:line="216" w:lineRule="auto"/>
        <w:rPr>
          <w:i/>
          <w:sz w:val="23"/>
          <w:szCs w:val="23"/>
          <w:rtl/>
        </w:rPr>
      </w:pPr>
    </w:p>
    <w:p w14:paraId="78F02F31" w14:textId="77777777" w:rsidR="00411620" w:rsidRDefault="00411620" w:rsidP="009015D3">
      <w:pPr>
        <w:tabs>
          <w:tab w:val="left" w:pos="90"/>
        </w:tabs>
        <w:spacing w:line="216" w:lineRule="auto"/>
        <w:rPr>
          <w:i/>
          <w:sz w:val="23"/>
          <w:szCs w:val="23"/>
          <w:rtl/>
        </w:rPr>
      </w:pPr>
    </w:p>
    <w:p w14:paraId="68DC9435" w14:textId="712EB4EE" w:rsidR="00411620" w:rsidRDefault="00411620" w:rsidP="009015D3">
      <w:pPr>
        <w:tabs>
          <w:tab w:val="left" w:pos="90"/>
        </w:tabs>
        <w:spacing w:line="216" w:lineRule="auto"/>
        <w:rPr>
          <w:i/>
          <w:sz w:val="23"/>
          <w:szCs w:val="23"/>
          <w:rtl/>
        </w:rPr>
      </w:pPr>
    </w:p>
    <w:p w14:paraId="27DFFC15" w14:textId="56D68194" w:rsidR="00411620" w:rsidRDefault="00411620" w:rsidP="009015D3">
      <w:pPr>
        <w:tabs>
          <w:tab w:val="left" w:pos="90"/>
        </w:tabs>
        <w:spacing w:line="216" w:lineRule="auto"/>
        <w:rPr>
          <w:i/>
          <w:sz w:val="23"/>
          <w:szCs w:val="23"/>
          <w:rtl/>
        </w:rPr>
      </w:pPr>
    </w:p>
    <w:p w14:paraId="7E35DD55" w14:textId="73790C86" w:rsidR="00411620" w:rsidRDefault="00411620" w:rsidP="009015D3">
      <w:pPr>
        <w:tabs>
          <w:tab w:val="left" w:pos="90"/>
        </w:tabs>
        <w:spacing w:line="216" w:lineRule="auto"/>
        <w:rPr>
          <w:i/>
          <w:sz w:val="23"/>
          <w:szCs w:val="23"/>
          <w:rtl/>
        </w:rPr>
      </w:pPr>
    </w:p>
    <w:p w14:paraId="05E25A42" w14:textId="57AD46E7" w:rsidR="00411620" w:rsidRDefault="00411620" w:rsidP="009015D3">
      <w:pPr>
        <w:tabs>
          <w:tab w:val="left" w:pos="90"/>
        </w:tabs>
        <w:spacing w:line="216" w:lineRule="auto"/>
        <w:rPr>
          <w:i/>
          <w:sz w:val="23"/>
          <w:szCs w:val="23"/>
          <w:rtl/>
        </w:rPr>
      </w:pPr>
    </w:p>
    <w:p w14:paraId="2D85FD36" w14:textId="084FCCAC" w:rsidR="00411620" w:rsidRDefault="00411620" w:rsidP="009015D3">
      <w:pPr>
        <w:tabs>
          <w:tab w:val="left" w:pos="90"/>
        </w:tabs>
        <w:spacing w:line="216" w:lineRule="auto"/>
        <w:rPr>
          <w:i/>
          <w:sz w:val="23"/>
          <w:szCs w:val="23"/>
          <w:rtl/>
        </w:rPr>
      </w:pPr>
    </w:p>
    <w:p w14:paraId="786BA3F8" w14:textId="547E57DB" w:rsidR="00411620" w:rsidRDefault="00411620" w:rsidP="009015D3">
      <w:pPr>
        <w:tabs>
          <w:tab w:val="left" w:pos="90"/>
        </w:tabs>
        <w:spacing w:line="216" w:lineRule="auto"/>
        <w:rPr>
          <w:i/>
          <w:sz w:val="23"/>
          <w:szCs w:val="23"/>
          <w:rtl/>
        </w:rPr>
      </w:pPr>
    </w:p>
    <w:p w14:paraId="0DFD42A8" w14:textId="47F2CF31" w:rsidR="00411620" w:rsidRDefault="00411620" w:rsidP="009015D3">
      <w:pPr>
        <w:tabs>
          <w:tab w:val="left" w:pos="90"/>
        </w:tabs>
        <w:spacing w:line="216" w:lineRule="auto"/>
        <w:rPr>
          <w:i/>
          <w:sz w:val="23"/>
          <w:szCs w:val="23"/>
          <w:rtl/>
        </w:rPr>
      </w:pPr>
    </w:p>
    <w:p w14:paraId="4903726D" w14:textId="2449A175" w:rsidR="00411620" w:rsidRDefault="00411620" w:rsidP="009015D3">
      <w:pPr>
        <w:tabs>
          <w:tab w:val="left" w:pos="90"/>
        </w:tabs>
        <w:spacing w:line="216" w:lineRule="auto"/>
        <w:rPr>
          <w:i/>
          <w:sz w:val="23"/>
          <w:szCs w:val="23"/>
          <w:rtl/>
        </w:rPr>
      </w:pPr>
    </w:p>
    <w:p w14:paraId="37C3C186" w14:textId="6BE3F81C" w:rsidR="00411620" w:rsidRDefault="00411620" w:rsidP="009015D3">
      <w:pPr>
        <w:tabs>
          <w:tab w:val="left" w:pos="90"/>
        </w:tabs>
        <w:spacing w:line="216" w:lineRule="auto"/>
        <w:rPr>
          <w:i/>
          <w:sz w:val="23"/>
          <w:szCs w:val="23"/>
          <w:rtl/>
        </w:rPr>
      </w:pPr>
    </w:p>
    <w:p w14:paraId="23B2407C" w14:textId="77777777" w:rsidR="00411620" w:rsidRPr="00BF1AA2" w:rsidRDefault="00411620" w:rsidP="009015D3">
      <w:pPr>
        <w:tabs>
          <w:tab w:val="left" w:pos="90"/>
        </w:tabs>
        <w:spacing w:line="216" w:lineRule="auto"/>
        <w:rPr>
          <w:i/>
          <w:sz w:val="23"/>
          <w:szCs w:val="23"/>
          <w:rtl/>
        </w:rPr>
      </w:pPr>
    </w:p>
    <w:sectPr w:rsidR="00411620" w:rsidRPr="00BF1AA2" w:rsidSect="00F8576C">
      <w:footnotePr>
        <w:numRestart w:val="eachPage"/>
      </w:footnotePr>
      <w:type w:val="oddPage"/>
      <w:pgSz w:w="9639" w:h="13892" w:code="150"/>
      <w:pgMar w:top="1987" w:right="1253" w:bottom="1584" w:left="1584" w:header="1310" w:footer="0" w:gutter="0"/>
      <w:pgNumType w:fmt="arabicAlpha"/>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FDB653" w14:textId="77777777" w:rsidR="00E97D37" w:rsidRDefault="00E97D37" w:rsidP="008028DA">
      <w:r>
        <w:separator/>
      </w:r>
    </w:p>
  </w:endnote>
  <w:endnote w:type="continuationSeparator" w:id="0">
    <w:p w14:paraId="7A327654" w14:textId="77777777" w:rsidR="00E97D37" w:rsidRDefault="00E97D37" w:rsidP="008028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embedItalic r:id="rId1" w:subsetted="1" w:fontKey="{2F2B69AD-437C-4DB4-AD8F-22869D85CD84}"/>
  </w:font>
  <w:font w:name="Tahoma">
    <w:panose1 w:val="020B0604030504040204"/>
    <w:charset w:val="00"/>
    <w:family w:val="swiss"/>
    <w:pitch w:val="variable"/>
    <w:sig w:usb0="E1002EFF" w:usb1="C000605B" w:usb2="00000029" w:usb3="00000000" w:csb0="000101FF" w:csb1="00000000"/>
    <w:embedRegular r:id="rId2" w:subsetted="1" w:fontKey="{B53EF598-08E3-4408-BCAE-4E799E5B360B}"/>
    <w:embedItalic r:id="rId3" w:subsetted="1" w:fontKey="{709CD7B3-4CFD-48C7-B8EB-38B5D1A52DEE}"/>
  </w:font>
  <w:font w:name="B Nazanin">
    <w:panose1 w:val="00000400000000000000"/>
    <w:charset w:val="B2"/>
    <w:family w:val="auto"/>
    <w:pitch w:val="variable"/>
    <w:sig w:usb0="00002001" w:usb1="80000000" w:usb2="00000008" w:usb3="00000000" w:csb0="00000040" w:csb1="00000000"/>
    <w:embedRegular r:id="rId4" w:fontKey="{F6AF6D2D-1E92-448B-B080-A8D49967A0D0}"/>
    <w:embedBold r:id="rId5" w:fontKey="{275E8D53-381C-4AE3-A1FE-9CC59A77F937}"/>
    <w:embedItalic r:id="rId6" w:fontKey="{7E61E8C1-8E91-4B93-9100-74E7918964D3}"/>
    <w:embedBoldItalic r:id="rId7" w:fontKey="{DD81BCE8-5B6E-4DFD-A091-3DB1ED12F8FD}"/>
  </w:font>
  <w:font w:name="Arial">
    <w:panose1 w:val="020B0604020202020204"/>
    <w:charset w:val="00"/>
    <w:family w:val="swiss"/>
    <w:pitch w:val="variable"/>
    <w:sig w:usb0="E0002EFF" w:usb1="C000785B" w:usb2="00000009" w:usb3="00000000" w:csb0="000001FF" w:csb1="00000000"/>
  </w:font>
  <w:font w:name="B Compset">
    <w:panose1 w:val="00000400000000000000"/>
    <w:charset w:val="B2"/>
    <w:family w:val="auto"/>
    <w:pitch w:val="variable"/>
    <w:sig w:usb0="00002001" w:usb1="80000000" w:usb2="00000008" w:usb3="00000000" w:csb0="00000040" w:csb1="00000000"/>
  </w:font>
  <w:font w:name="Mitra">
    <w:panose1 w:val="00000400000000000000"/>
    <w:charset w:val="B2"/>
    <w:family w:val="auto"/>
    <w:pitch w:val="variable"/>
    <w:sig w:usb0="00002001" w:usb1="80000000" w:usb2="00000008" w:usb3="00000000" w:csb0="00000040" w:csb1="00000000"/>
  </w:font>
  <w:font w:name="Times New Roman Bold">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embedRegular r:id="rId8" w:subsetted="1" w:fontKey="{A1716125-102D-4B8E-80BE-0C4D584948A1}"/>
    <w:embedItalic r:id="rId9" w:subsetted="1" w:fontKey="{080EC6AE-2D49-45CA-A1CC-C0AC2857460B}"/>
  </w:font>
  <w:font w:name="B Lotus">
    <w:panose1 w:val="000004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embedRegular r:id="rId10" w:fontKey="{62C69E4E-6AC4-4E50-AA12-D98EED038DD5}"/>
    <w:embedBold r:id="rId11" w:fontKey="{05B6AB6F-8A2F-43D8-A71E-0A3F7F21976B}"/>
    <w:embedItalic r:id="rId12" w:fontKey="{03B019B7-DAED-4C5B-BA9A-A969C7AB0A55}"/>
    <w:embedBoldItalic r:id="rId13" w:fontKey="{050A0CA9-2CF9-429D-9E29-E62DDD5FC60B}"/>
  </w:font>
  <w:font w:name="B Compes">
    <w:altName w:val="Times New Roman"/>
    <w:panose1 w:val="00000000000000000000"/>
    <w:charset w:val="00"/>
    <w:family w:val="roman"/>
    <w:notTrueType/>
    <w:pitch w:val="default"/>
  </w:font>
  <w:font w:name="IranNastaliq">
    <w:panose1 w:val="02020505000000020003"/>
    <w:charset w:val="00"/>
    <w:family w:val="roman"/>
    <w:pitch w:val="variable"/>
    <w:sig w:usb0="61002A87" w:usb1="80000000" w:usb2="00000008" w:usb3="00000000" w:csb0="000101FF" w:csb1="00000000"/>
  </w:font>
  <w:font w:name="Traditional Arabic">
    <w:panose1 w:val="02020603050405020304"/>
    <w:charset w:val="00"/>
    <w:family w:val="roman"/>
    <w:pitch w:val="variable"/>
    <w:sig w:usb0="00002003" w:usb1="80000000" w:usb2="00000008" w:usb3="00000000" w:csb0="00000041" w:csb1="00000000"/>
  </w:font>
  <w:font w:name="B Traffic">
    <w:panose1 w:val="00000400000000000000"/>
    <w:charset w:val="B2"/>
    <w:family w:val="auto"/>
    <w:pitch w:val="variable"/>
    <w:sig w:usb0="00002001" w:usb1="80000000" w:usb2="00000008" w:usb3="00000000" w:csb0="00000040" w:csb1="00000000"/>
  </w:font>
  <w:font w:name="B Yagut">
    <w:panose1 w:val="00000400000000000000"/>
    <w:charset w:val="B2"/>
    <w:family w:val="auto"/>
    <w:pitch w:val="variable"/>
    <w:sig w:usb0="00002001" w:usb1="80000000" w:usb2="00000008" w:usb3="00000000" w:csb0="00000040" w:csb1="00000000"/>
  </w:font>
  <w:font w:name="Lotus">
    <w:panose1 w:val="00000400000000000000"/>
    <w:charset w:val="B2"/>
    <w:family w:val="auto"/>
    <w:pitch w:val="variable"/>
    <w:sig w:usb0="00002001" w:usb1="80000000" w:usb2="00000008" w:usb3="00000000" w:csb0="00000040" w:csb1="00000000"/>
  </w:font>
  <w:font w:name="B Titr">
    <w:panose1 w:val="000007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E00006FF" w:usb1="420024FF" w:usb2="02000000" w:usb3="00000000" w:csb0="0000019F" w:csb1="00000000"/>
    <w:embedRegular r:id="rId14" w:fontKey="{EBCB17C4-8177-4988-A67E-CB4BA76F4674}"/>
    <w:embedBold r:id="rId15" w:fontKey="{EE1E994C-5CED-4D22-A644-434CB37807E3}"/>
    <w:embedItalic r:id="rId16" w:fontKey="{CD3A2EDC-40B2-4593-B0EA-B58FE9AE239E}"/>
    <w:embedBoldItalic r:id="rId17" w:fontKey="{4E6C7C01-0645-4430-A2BD-A98994D5E393}"/>
  </w:font>
  <w:font w:name="B Mitra">
    <w:panose1 w:val="00000400000000000000"/>
    <w:charset w:val="B2"/>
    <w:family w:val="auto"/>
    <w:pitch w:val="variable"/>
    <w:sig w:usb0="00002001" w:usb1="80000000" w:usb2="00000008" w:usb3="00000000" w:csb0="00000040" w:csb1="00000000"/>
    <w:embedRegular r:id="rId18" w:subsetted="1" w:fontKey="{F1A20EBC-4533-410C-9BBB-7709309D1957}"/>
  </w:font>
  <w:font w:name="Calibri Light">
    <w:panose1 w:val="020F0302020204030204"/>
    <w:charset w:val="00"/>
    <w:family w:val="swiss"/>
    <w:pitch w:val="variable"/>
    <w:sig w:usb0="E4002EFF" w:usb1="C200247B" w:usb2="00000009" w:usb3="00000000" w:csb0="000001FF" w:csb1="00000000"/>
  </w:font>
  <w:font w:name="Bodoni MT">
    <w:panose1 w:val="02070603080606020203"/>
    <w:charset w:val="00"/>
    <w:family w:val="roman"/>
    <w:pitch w:val="variable"/>
    <w:sig w:usb0="00000003" w:usb1="00000000" w:usb2="00000000" w:usb3="00000000" w:csb0="00000001" w:csb1="00000000"/>
  </w:font>
  <w:font w:name="ZapfHumanist601BT-Roman">
    <w:altName w:val="Times New Roman"/>
    <w:panose1 w:val="00000000000000000000"/>
    <w:charset w:val="00"/>
    <w:family w:val="roman"/>
    <w:notTrueType/>
    <w:pitch w:val="default"/>
  </w:font>
  <w:font w:name="LucidaBright">
    <w:altName w:val="Times New Roman"/>
    <w:panose1 w:val="00000000000000000000"/>
    <w:charset w:val="00"/>
    <w:family w:val="roman"/>
    <w:notTrueType/>
    <w:pitch w:val="default"/>
  </w:font>
  <w:font w:name="LucidaBright-Italic">
    <w:altName w:val="Times New Roman"/>
    <w:panose1 w:val="00000000000000000000"/>
    <w:charset w:val="00"/>
    <w:family w:val="roman"/>
    <w:notTrueType/>
    <w:pitch w:val="default"/>
  </w:font>
  <w:font w:name="LucidaNewMath-AltItalic">
    <w:altName w:val="MS Gothic"/>
    <w:panose1 w:val="00000000000000000000"/>
    <w:charset w:val="80"/>
    <w:family w:val="auto"/>
    <w:notTrueType/>
    <w:pitch w:val="default"/>
    <w:sig w:usb0="00000001" w:usb1="08070000" w:usb2="00000010" w:usb3="00000000" w:csb0="00020000" w:csb1="00000000"/>
  </w:font>
  <w:font w:name="NPIZar">
    <w:altName w:val="Calibri"/>
    <w:charset w:val="00"/>
    <w:family w:val="auto"/>
    <w:pitch w:val="variable"/>
    <w:sig w:usb0="A000002F" w:usb1="0000000A" w:usb2="00000000" w:usb3="00000000" w:csb0="00000111" w:csb1="00000000"/>
  </w:font>
  <w:font w:name="Yu Gothic UI">
    <w:panose1 w:val="020B0500000000000000"/>
    <w:charset w:val="80"/>
    <w:family w:val="swiss"/>
    <w:pitch w:val="variable"/>
    <w:sig w:usb0="E00002FF" w:usb1="2AC7FDFF" w:usb2="00000016" w:usb3="00000000" w:csb0="0002009F" w:csb1="00000000"/>
  </w:font>
  <w:font w:name="Arial Narrow">
    <w:panose1 w:val="020B0606020202030204"/>
    <w:charset w:val="00"/>
    <w:family w:val="swiss"/>
    <w:pitch w:val="variable"/>
    <w:sig w:usb0="00000287" w:usb1="00000800" w:usb2="00000000" w:usb3="00000000" w:csb0="0000009F" w:csb1="00000000"/>
  </w:font>
  <w:font w:name="NPIYagut">
    <w:altName w:val="Calibri"/>
    <w:charset w:val="00"/>
    <w:family w:val="auto"/>
    <w:pitch w:val="variable"/>
    <w:sig w:usb0="A000002F" w:usb1="0000000A" w:usb2="00000000" w:usb3="00000000" w:csb0="00000111" w:csb1="00000000"/>
  </w:font>
  <w:font w:name="Cambria">
    <w:panose1 w:val="02040503050406030204"/>
    <w:charset w:val="00"/>
    <w:family w:val="roman"/>
    <w:pitch w:val="variable"/>
    <w:sig w:usb0="E00006FF" w:usb1="420024FF" w:usb2="02000000" w:usb3="00000000" w:csb0="0000019F" w:csb1="00000000"/>
    <w:embedRegular r:id="rId19" w:subsetted="1" w:fontKey="{6BE9ABE5-4505-487A-94CC-DBC44B1E92FD}"/>
  </w:font>
  <w:font w:name="MTSY">
    <w:altName w:val="Malgun Gothic"/>
    <w:panose1 w:val="00000000000000000000"/>
    <w:charset w:val="81"/>
    <w:family w:val="auto"/>
    <w:notTrueType/>
    <w:pitch w:val="default"/>
    <w:sig w:usb0="00000001" w:usb1="09060000" w:usb2="00000010" w:usb3="00000000" w:csb0="00080000" w:csb1="00000000"/>
  </w:font>
  <w:font w:name="IRNarges">
    <w:charset w:val="00"/>
    <w:family w:val="auto"/>
    <w:pitch w:val="variable"/>
    <w:sig w:usb0="00002003" w:usb1="00000000" w:usb2="00000000" w:usb3="00000000" w:csb0="00000041" w:csb1="00000000"/>
  </w:font>
  <w:font w:name="Sakkal Majalla">
    <w:panose1 w:val="02000000000000000000"/>
    <w:charset w:val="00"/>
    <w:family w:val="auto"/>
    <w:pitch w:val="variable"/>
    <w:sig w:usb0="A0002027" w:usb1="80000000" w:usb2="00000108" w:usb3="00000000" w:csb0="000000D3" w:csb1="00000000"/>
    <w:embedRegular r:id="rId20" w:subsetted="1" w:fontKey="{A4F5BF64-1934-4310-AB05-5DF2B5619E77}"/>
  </w:font>
  <w:font w:name="ArialRegular">
    <w:altName w:val="Times New Roman"/>
    <w:panose1 w:val="00000000000000000000"/>
    <w:charset w:val="00"/>
    <w:family w:val="roman"/>
    <w:notTrueType/>
    <w:pitch w:val="default"/>
  </w:font>
  <w:font w:name="ArialItalic">
    <w:altName w:val="Times New Roman"/>
    <w:panose1 w:val="00000000000000000000"/>
    <w:charset w:val="00"/>
    <w:family w:val="roman"/>
    <w:notTrueType/>
    <w:pitch w:val="default"/>
  </w:font>
  <w:font w:name="ArialBold">
    <w:altName w:val="Arial"/>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CB615A" w14:textId="77777777" w:rsidR="00E97D37" w:rsidRDefault="00E97D37" w:rsidP="00A10551">
      <w:r>
        <w:continuationSeparator/>
      </w:r>
    </w:p>
  </w:footnote>
  <w:footnote w:type="continuationSeparator" w:id="0">
    <w:p w14:paraId="7576FED1" w14:textId="77777777" w:rsidR="00E97D37" w:rsidRDefault="00E97D37" w:rsidP="008028DA">
      <w:r>
        <w:continuationSeparator/>
      </w:r>
    </w:p>
  </w:footnote>
  <w:footnote w:id="1">
    <w:p w14:paraId="6C210251" w14:textId="77777777" w:rsidR="00411620" w:rsidRPr="00D4756F" w:rsidRDefault="00411620" w:rsidP="00411620">
      <w:pPr>
        <w:pStyle w:val="FootnoteText"/>
        <w:bidi w:val="0"/>
        <w:rPr>
          <w:sz w:val="18"/>
          <w:szCs w:val="18"/>
        </w:rPr>
      </w:pPr>
      <w:r w:rsidRPr="00D4756F">
        <w:rPr>
          <w:rStyle w:val="FootnoteReference"/>
          <w:sz w:val="18"/>
          <w:szCs w:val="18"/>
        </w:rPr>
        <w:footnoteRef/>
      </w:r>
      <w:r w:rsidRPr="00D4756F">
        <w:rPr>
          <w:rFonts w:hint="cs"/>
          <w:sz w:val="18"/>
          <w:szCs w:val="18"/>
          <w:rtl/>
        </w:rPr>
        <w:t xml:space="preserve"> </w:t>
      </w:r>
      <w:r w:rsidRPr="00D4756F">
        <w:rPr>
          <w:sz w:val="18"/>
          <w:szCs w:val="18"/>
        </w:rPr>
        <w:t>Cowls Commission</w:t>
      </w:r>
    </w:p>
  </w:footnote>
  <w:footnote w:id="2">
    <w:p w14:paraId="4962BF35"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Frisch, 1933</w:t>
      </w:r>
    </w:p>
  </w:footnote>
  <w:footnote w:id="3">
    <w:p w14:paraId="6C4E2FBD"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proofErr w:type="spellStart"/>
      <w:r w:rsidRPr="00D4756F">
        <w:rPr>
          <w:rFonts w:ascii="Cambria Math" w:hAnsi="Cambria Math"/>
          <w:sz w:val="18"/>
          <w:szCs w:val="18"/>
        </w:rPr>
        <w:t>Pesaran</w:t>
      </w:r>
      <w:proofErr w:type="spellEnd"/>
      <w:r w:rsidRPr="00D4756F">
        <w:rPr>
          <w:rFonts w:ascii="Cambria Math" w:hAnsi="Cambria Math"/>
          <w:sz w:val="18"/>
          <w:szCs w:val="18"/>
        </w:rPr>
        <w:t xml:space="preserve"> et al, 1995</w:t>
      </w:r>
    </w:p>
  </w:footnote>
  <w:footnote w:id="4">
    <w:p w14:paraId="0E8A5D8C" w14:textId="77777777" w:rsidR="00411620" w:rsidRPr="00D4756F" w:rsidRDefault="00411620" w:rsidP="00411620">
      <w:pPr>
        <w:pStyle w:val="FootnoteText"/>
        <w:rPr>
          <w:rFonts w:ascii="Arial Narrow" w:hAnsi="Arial Narrow"/>
          <w:sz w:val="18"/>
          <w:szCs w:val="18"/>
        </w:rPr>
      </w:pPr>
      <w:r w:rsidRPr="00D4756F">
        <w:rPr>
          <w:rStyle w:val="FootnoteReference"/>
          <w:sz w:val="18"/>
          <w:szCs w:val="18"/>
        </w:rPr>
        <w:footnoteRef/>
      </w:r>
      <w:r>
        <w:rPr>
          <w:rFonts w:hint="cs"/>
          <w:sz w:val="18"/>
          <w:szCs w:val="18"/>
          <w:rtl/>
        </w:rPr>
        <w:t xml:space="preserve"> برای مطالعه</w:t>
      </w:r>
      <w:r>
        <w:rPr>
          <w:rFonts w:hint="cs"/>
          <w:sz w:val="18"/>
          <w:szCs w:val="18"/>
          <w:rtl/>
        </w:rPr>
        <w:softHyphen/>
        <w:t>ی بیشتر ن.ک</w:t>
      </w:r>
      <w:r w:rsidRPr="00D4756F">
        <w:rPr>
          <w:rFonts w:hint="cs"/>
          <w:sz w:val="18"/>
          <w:szCs w:val="18"/>
          <w:rtl/>
        </w:rPr>
        <w:t xml:space="preserve">. کریم امامی (۱۳۹۷) الگوی اقتصاد کلان سنجی ایران با استفاده از داده های فصلی، تهران، انتشارات آماره، فصول اول و دوم. </w:t>
      </w:r>
    </w:p>
  </w:footnote>
  <w:footnote w:id="5">
    <w:p w14:paraId="6D338F4F"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Friedman, 1968</w:t>
      </w:r>
    </w:p>
  </w:footnote>
  <w:footnote w:id="6">
    <w:p w14:paraId="6E0DC687"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Phelps, 1967</w:t>
      </w:r>
    </w:p>
  </w:footnote>
  <w:footnote w:id="7">
    <w:p w14:paraId="21861A90"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Lucas et al, 1969</w:t>
      </w:r>
    </w:p>
  </w:footnote>
  <w:footnote w:id="8">
    <w:p w14:paraId="30B5C0FC"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proofErr w:type="spellStart"/>
      <w:r w:rsidRPr="00D4756F">
        <w:rPr>
          <w:rFonts w:ascii="Cambria Math" w:hAnsi="Cambria Math"/>
          <w:sz w:val="18"/>
          <w:szCs w:val="18"/>
        </w:rPr>
        <w:t>Muth</w:t>
      </w:r>
      <w:proofErr w:type="spellEnd"/>
      <w:r w:rsidRPr="00D4756F">
        <w:rPr>
          <w:rFonts w:ascii="Cambria Math" w:hAnsi="Cambria Math"/>
          <w:sz w:val="18"/>
          <w:szCs w:val="18"/>
        </w:rPr>
        <w:t>, 1961</w:t>
      </w:r>
    </w:p>
  </w:footnote>
  <w:footnote w:id="9">
    <w:p w14:paraId="47B93FA4"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proofErr w:type="spellStart"/>
      <w:r w:rsidRPr="00D4756F">
        <w:rPr>
          <w:rFonts w:ascii="Cambria Math" w:hAnsi="Cambria Math"/>
          <w:sz w:val="18"/>
          <w:szCs w:val="18"/>
        </w:rPr>
        <w:t>Cagan</w:t>
      </w:r>
      <w:proofErr w:type="spellEnd"/>
      <w:r w:rsidRPr="00D4756F">
        <w:rPr>
          <w:rFonts w:ascii="Cambria Math" w:hAnsi="Cambria Math"/>
          <w:sz w:val="18"/>
          <w:szCs w:val="18"/>
        </w:rPr>
        <w:t>, 1956</w:t>
      </w:r>
    </w:p>
  </w:footnote>
  <w:footnote w:id="10">
    <w:p w14:paraId="28CB43FB" w14:textId="77777777" w:rsidR="00411620" w:rsidRPr="00D4756F" w:rsidRDefault="00411620" w:rsidP="00411620">
      <w:pPr>
        <w:bidi w:val="0"/>
        <w:ind w:left="180" w:hanging="180"/>
        <w:rPr>
          <w:rFonts w:ascii="Cambria Math" w:hAnsi="Cambria Math" w:cs="Times New Roman"/>
          <w:sz w:val="18"/>
          <w:szCs w:val="18"/>
        </w:rPr>
      </w:pPr>
      <w:r w:rsidRPr="00D4756F">
        <w:rPr>
          <w:rStyle w:val="FootnoteReference"/>
          <w:rFonts w:ascii="Cambria Math" w:hAnsi="Cambria Math" w:cs="Times New Roman"/>
          <w:sz w:val="18"/>
          <w:szCs w:val="18"/>
        </w:rPr>
        <w:footnoteRef/>
      </w:r>
      <w:r w:rsidRPr="00D4756F">
        <w:rPr>
          <w:rFonts w:ascii="Cambria Math" w:hAnsi="Cambria Math" w:hint="cs"/>
          <w:sz w:val="18"/>
          <w:szCs w:val="18"/>
          <w:rtl/>
        </w:rPr>
        <w:t xml:space="preserve"> </w:t>
      </w:r>
      <w:r w:rsidRPr="00D4756F">
        <w:rPr>
          <w:rFonts w:ascii="Cambria Math" w:hAnsi="Cambria Math" w:cs="Times New Roman"/>
          <w:sz w:val="18"/>
          <w:szCs w:val="18"/>
        </w:rPr>
        <w:t>Lucas, Robert E., Jr. (1972a)</w:t>
      </w:r>
      <w:r w:rsidRPr="00D4756F">
        <w:rPr>
          <w:rFonts w:ascii="Cambria Math" w:hAnsi="Cambria Math" w:cs="Times New Roman"/>
          <w:sz w:val="18"/>
          <w:szCs w:val="18"/>
          <w:rtl/>
        </w:rPr>
        <w:t xml:space="preserve"> </w:t>
      </w:r>
    </w:p>
  </w:footnote>
  <w:footnote w:id="11">
    <w:p w14:paraId="18FBC004" w14:textId="77777777" w:rsidR="00411620" w:rsidRPr="00D4756F" w:rsidRDefault="00411620" w:rsidP="00411620">
      <w:pPr>
        <w:pStyle w:val="FootnoteText"/>
        <w:bidi w:val="0"/>
        <w:rPr>
          <w:rFonts w:ascii="Cambria Math" w:hAnsi="Cambria Math" w:cs="B Lotus"/>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Lucas,</w:t>
      </w:r>
      <w:r w:rsidRPr="00D4756F">
        <w:rPr>
          <w:rFonts w:ascii="Cambria Math" w:hAnsi="Cambria Math" w:hint="cs"/>
          <w:sz w:val="18"/>
          <w:szCs w:val="18"/>
          <w:rtl/>
        </w:rPr>
        <w:t xml:space="preserve"> 1972</w:t>
      </w:r>
      <w:r w:rsidRPr="00D4756F">
        <w:rPr>
          <w:rFonts w:ascii="Cambria Math" w:hAnsi="Cambria Math"/>
          <w:sz w:val="18"/>
          <w:szCs w:val="18"/>
        </w:rPr>
        <w:t>a</w:t>
      </w:r>
    </w:p>
  </w:footnote>
  <w:footnote w:id="12">
    <w:p w14:paraId="0D02060A" w14:textId="77777777" w:rsidR="00411620" w:rsidRPr="00D4756F" w:rsidRDefault="00411620" w:rsidP="00411620">
      <w:pPr>
        <w:pStyle w:val="FootnoteText"/>
        <w:bidi w:val="0"/>
        <w:rPr>
          <w:rFonts w:ascii="Cambria Math" w:hAnsi="Cambria Math"/>
          <w:sz w:val="18"/>
          <w:szCs w:val="18"/>
          <w:lang w:bidi="ar-SA"/>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Lucas,</w:t>
      </w:r>
      <w:r w:rsidRPr="00D4756F">
        <w:rPr>
          <w:rFonts w:ascii="Cambria Math" w:hAnsi="Cambria Math" w:hint="cs"/>
          <w:sz w:val="18"/>
          <w:szCs w:val="18"/>
          <w:rtl/>
        </w:rPr>
        <w:t xml:space="preserve"> 1972</w:t>
      </w:r>
      <w:r w:rsidRPr="00D4756F">
        <w:rPr>
          <w:rFonts w:ascii="Cambria Math" w:hAnsi="Cambria Math"/>
          <w:sz w:val="18"/>
          <w:szCs w:val="18"/>
        </w:rPr>
        <w:t>b</w:t>
      </w:r>
    </w:p>
  </w:footnote>
  <w:footnote w:id="13">
    <w:p w14:paraId="21AE6408"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cs="Times New Roman"/>
          <w:sz w:val="18"/>
          <w:szCs w:val="18"/>
          <w:rtl/>
        </w:rPr>
        <w:t xml:space="preserve"> </w:t>
      </w:r>
      <w:r w:rsidRPr="00D4756F">
        <w:rPr>
          <w:rFonts w:ascii="Cambria Math" w:hAnsi="Cambria Math" w:cs="Times New Roman"/>
          <w:sz w:val="18"/>
          <w:szCs w:val="18"/>
        </w:rPr>
        <w:t>Lucas Critique</w:t>
      </w:r>
      <w:r w:rsidRPr="00D4756F">
        <w:rPr>
          <w:rFonts w:ascii="Cambria Math" w:hAnsi="Cambria Math" w:hint="cs"/>
          <w:sz w:val="18"/>
          <w:szCs w:val="18"/>
          <w:rtl/>
        </w:rPr>
        <w:t xml:space="preserve"> </w:t>
      </w:r>
    </w:p>
  </w:footnote>
  <w:footnote w:id="14">
    <w:p w14:paraId="3A405BCD" w14:textId="77777777" w:rsidR="00411620" w:rsidRPr="00D4756F" w:rsidRDefault="00411620" w:rsidP="00411620">
      <w:pPr>
        <w:pStyle w:val="FootnoteText"/>
        <w:bidi w:val="0"/>
        <w:rPr>
          <w:rFonts w:ascii="Cambria Math" w:hAnsi="Cambria Math"/>
          <w:sz w:val="18"/>
          <w:szCs w:val="18"/>
          <w:lang w:bidi="ar-SA"/>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Lucas, 1976</w:t>
      </w:r>
    </w:p>
  </w:footnote>
  <w:footnote w:id="15">
    <w:p w14:paraId="520E9998" w14:textId="77777777" w:rsidR="00411620" w:rsidRPr="00D4756F" w:rsidRDefault="00411620" w:rsidP="00411620">
      <w:pPr>
        <w:pStyle w:val="FootnoteText"/>
        <w:tabs>
          <w:tab w:val="right" w:pos="8505"/>
        </w:tabs>
        <w:bidi w:val="0"/>
        <w:ind w:left="180" w:hanging="180"/>
        <w:rPr>
          <w:rFonts w:ascii="Cambria Math" w:hAnsi="Cambria Math" w:cs="Times New Roman"/>
          <w:sz w:val="18"/>
          <w:szCs w:val="18"/>
        </w:rPr>
      </w:pPr>
      <w:r w:rsidRPr="00D4756F">
        <w:rPr>
          <w:rStyle w:val="FootnoteReference"/>
          <w:rFonts w:ascii="Cambria Math" w:hAnsi="Cambria Math" w:cs="Times New Roman"/>
          <w:sz w:val="18"/>
          <w:szCs w:val="18"/>
        </w:rPr>
        <w:footnoteRef/>
      </w:r>
      <w:r w:rsidRPr="00D4756F">
        <w:rPr>
          <w:rFonts w:ascii="Cambria Math" w:hAnsi="Cambria Math" w:cs="Times New Roman"/>
          <w:sz w:val="18"/>
          <w:szCs w:val="18"/>
          <w:rtl/>
        </w:rPr>
        <w:t xml:space="preserve"> </w:t>
      </w:r>
      <w:r w:rsidRPr="00D4756F">
        <w:rPr>
          <w:rFonts w:ascii="Cambria Math" w:hAnsi="Cambria Math" w:cs="Times New Roman"/>
          <w:sz w:val="18"/>
          <w:szCs w:val="18"/>
        </w:rPr>
        <w:t>Structural Form</w:t>
      </w:r>
    </w:p>
  </w:footnote>
  <w:footnote w:id="16">
    <w:p w14:paraId="1527390F" w14:textId="77777777" w:rsidR="00411620" w:rsidRPr="00D4756F" w:rsidRDefault="00411620" w:rsidP="00411620">
      <w:pPr>
        <w:pStyle w:val="FootnoteText"/>
        <w:bidi w:val="0"/>
        <w:ind w:left="180" w:hanging="180"/>
        <w:rPr>
          <w:rFonts w:ascii="Cambria Math" w:hAnsi="Cambria Math" w:cs="Times New Roman"/>
          <w:sz w:val="18"/>
          <w:szCs w:val="18"/>
        </w:rPr>
      </w:pPr>
      <w:r w:rsidRPr="00D4756F">
        <w:rPr>
          <w:rStyle w:val="FootnoteReference"/>
          <w:rFonts w:ascii="Cambria Math" w:hAnsi="Cambria Math" w:cs="Times New Roman"/>
          <w:sz w:val="18"/>
          <w:szCs w:val="18"/>
        </w:rPr>
        <w:footnoteRef/>
      </w:r>
      <w:r w:rsidRPr="00D4756F">
        <w:rPr>
          <w:rFonts w:ascii="Cambria Math" w:hAnsi="Cambria Math" w:cs="Times New Roman"/>
          <w:sz w:val="18"/>
          <w:szCs w:val="18"/>
          <w:rtl/>
        </w:rPr>
        <w:t xml:space="preserve"> </w:t>
      </w:r>
      <w:r w:rsidRPr="00D4756F">
        <w:rPr>
          <w:rFonts w:ascii="Cambria Math" w:hAnsi="Cambria Math" w:cs="Times New Roman"/>
          <w:sz w:val="18"/>
          <w:szCs w:val="18"/>
        </w:rPr>
        <w:t>Reduced Form</w:t>
      </w:r>
    </w:p>
  </w:footnote>
  <w:footnote w:id="17">
    <w:p w14:paraId="1CC4A9F3" w14:textId="77777777" w:rsidR="00411620" w:rsidRPr="00D4756F" w:rsidRDefault="00411620" w:rsidP="00411620">
      <w:pPr>
        <w:pStyle w:val="FootnoteText"/>
        <w:bidi w:val="0"/>
        <w:rPr>
          <w:rFonts w:ascii="Cambria Math" w:hAnsi="Cambria Math" w:cs="B Lotus"/>
          <w:sz w:val="18"/>
          <w:szCs w:val="18"/>
          <w:lang w:bidi="ar-SA"/>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Hansen et al, 1980</w:t>
      </w:r>
    </w:p>
  </w:footnote>
  <w:footnote w:id="18">
    <w:p w14:paraId="3FB89D47"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Sargent, 1981</w:t>
      </w:r>
    </w:p>
  </w:footnote>
  <w:footnote w:id="19">
    <w:p w14:paraId="28768A01"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Sims, 1980</w:t>
      </w:r>
    </w:p>
  </w:footnote>
  <w:footnote w:id="20">
    <w:p w14:paraId="669920B4" w14:textId="77777777" w:rsidR="00411620" w:rsidRPr="00D4756F" w:rsidRDefault="00411620" w:rsidP="00411620">
      <w:pPr>
        <w:pStyle w:val="FootnoteText"/>
        <w:bidi w:val="0"/>
        <w:ind w:left="180" w:hanging="180"/>
        <w:rPr>
          <w:rFonts w:ascii="Cambria Math" w:hAnsi="Cambria Math" w:cs="Times New Roman"/>
          <w:sz w:val="18"/>
          <w:szCs w:val="18"/>
        </w:rPr>
      </w:pPr>
      <w:r w:rsidRPr="00D4756F">
        <w:rPr>
          <w:rStyle w:val="FootnoteReference"/>
          <w:rFonts w:ascii="Cambria Math" w:hAnsi="Cambria Math" w:cs="Times New Roman"/>
          <w:sz w:val="18"/>
          <w:szCs w:val="18"/>
        </w:rPr>
        <w:footnoteRef/>
      </w:r>
      <w:r w:rsidRPr="00D4756F">
        <w:rPr>
          <w:rFonts w:ascii="Cambria Math" w:hAnsi="Cambria Math" w:cs="Times New Roman"/>
          <w:sz w:val="18"/>
          <w:szCs w:val="18"/>
          <w:rtl/>
        </w:rPr>
        <w:t xml:space="preserve"> </w:t>
      </w:r>
      <w:r w:rsidRPr="00D4756F">
        <w:rPr>
          <w:rFonts w:ascii="Cambria Math" w:hAnsi="Cambria Math" w:cs="Times New Roman"/>
          <w:sz w:val="18"/>
          <w:szCs w:val="18"/>
        </w:rPr>
        <w:t>Vector Auto Regressive</w:t>
      </w:r>
    </w:p>
  </w:footnote>
  <w:footnote w:id="21">
    <w:p w14:paraId="1B887927" w14:textId="77777777" w:rsidR="00411620" w:rsidRPr="00D4756F" w:rsidRDefault="00411620" w:rsidP="00411620">
      <w:pPr>
        <w:pStyle w:val="FootnoteText"/>
        <w:bidi w:val="0"/>
        <w:rPr>
          <w:rFonts w:ascii="Arial Narrow" w:hAnsi="Arial Narrow" w:cs="B Lotus"/>
          <w:sz w:val="18"/>
          <w:szCs w:val="18"/>
        </w:rPr>
      </w:pPr>
      <w:r w:rsidRPr="00D4756F">
        <w:rPr>
          <w:rStyle w:val="FootnoteReference"/>
          <w:sz w:val="18"/>
          <w:szCs w:val="18"/>
        </w:rPr>
        <w:footnoteRef/>
      </w:r>
      <w:r w:rsidRPr="00D4756F">
        <w:rPr>
          <w:rFonts w:hint="cs"/>
          <w:sz w:val="18"/>
          <w:szCs w:val="18"/>
          <w:rtl/>
        </w:rPr>
        <w:t xml:space="preserve"> </w:t>
      </w:r>
      <w:r w:rsidRPr="00D4756F">
        <w:rPr>
          <w:sz w:val="18"/>
          <w:szCs w:val="18"/>
        </w:rPr>
        <w:t>Impulse Response Function</w:t>
      </w:r>
    </w:p>
  </w:footnote>
  <w:footnote w:id="22">
    <w:p w14:paraId="5D9C85E3" w14:textId="77777777" w:rsidR="00411620" w:rsidRPr="00D4756F" w:rsidRDefault="00411620" w:rsidP="00411620">
      <w:pPr>
        <w:bidi w:val="0"/>
        <w:rPr>
          <w:rFonts w:ascii="Cambria Math" w:hAnsi="Cambria Math" w:cs="Times New Roman"/>
          <w:sz w:val="18"/>
          <w:szCs w:val="18"/>
        </w:rPr>
      </w:pPr>
      <w:r w:rsidRPr="00D4756F">
        <w:rPr>
          <w:rStyle w:val="FootnoteReference"/>
          <w:rFonts w:ascii="Cambria Math" w:hAnsi="Cambria Math" w:cs="Times New Roman"/>
          <w:sz w:val="18"/>
          <w:szCs w:val="18"/>
        </w:rPr>
        <w:footnoteRef/>
      </w:r>
      <w:r w:rsidRPr="00D4756F">
        <w:rPr>
          <w:rFonts w:ascii="Cambria Math" w:hAnsi="Cambria Math" w:cs="Times New Roman"/>
          <w:sz w:val="18"/>
          <w:szCs w:val="18"/>
          <w:rtl/>
        </w:rPr>
        <w:t xml:space="preserve"> </w:t>
      </w:r>
      <w:r w:rsidRPr="00D4756F">
        <w:rPr>
          <w:rFonts w:ascii="Cambria Math" w:hAnsi="Cambria Math" w:cs="Times New Roman"/>
          <w:sz w:val="18"/>
          <w:szCs w:val="18"/>
        </w:rPr>
        <w:t>Sims, Christopher A. (1982) and Sims, Christopher A. (1986)</w:t>
      </w:r>
    </w:p>
  </w:footnote>
  <w:footnote w:id="23">
    <w:p w14:paraId="58C9428F" w14:textId="77777777" w:rsidR="00411620" w:rsidRPr="00D4756F" w:rsidRDefault="00411620" w:rsidP="00411620">
      <w:pPr>
        <w:pStyle w:val="FootnoteText"/>
        <w:bidi w:val="0"/>
        <w:rPr>
          <w:rFonts w:ascii="Cambria Math" w:hAnsi="Cambria Math" w:cs="B Lotus"/>
          <w:sz w:val="18"/>
          <w:szCs w:val="18"/>
          <w:lang w:bidi="ar-SA"/>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Cooley et al, 1985</w:t>
      </w:r>
    </w:p>
  </w:footnote>
  <w:footnote w:id="24">
    <w:p w14:paraId="3C0B53C6"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Learner, 1985</w:t>
      </w:r>
    </w:p>
  </w:footnote>
  <w:footnote w:id="25">
    <w:p w14:paraId="19999505" w14:textId="77777777" w:rsidR="00411620" w:rsidRPr="00D4756F" w:rsidRDefault="00411620" w:rsidP="00411620">
      <w:pPr>
        <w:pStyle w:val="FootnoteText"/>
        <w:bidi w:val="0"/>
        <w:rPr>
          <w:rFonts w:ascii="Cambria Math" w:hAnsi="Cambria Math" w:cs="Times New Roman"/>
          <w:sz w:val="18"/>
          <w:szCs w:val="18"/>
        </w:rPr>
      </w:pPr>
      <w:r w:rsidRPr="00D4756F">
        <w:rPr>
          <w:rStyle w:val="FootnoteReference"/>
          <w:rFonts w:ascii="Cambria Math" w:hAnsi="Cambria Math" w:cs="Times New Roman"/>
          <w:sz w:val="18"/>
          <w:szCs w:val="18"/>
        </w:rPr>
        <w:footnoteRef/>
      </w:r>
      <w:r w:rsidRPr="00D4756F">
        <w:rPr>
          <w:rFonts w:ascii="Cambria Math" w:hAnsi="Cambria Math" w:cs="Times New Roman"/>
          <w:sz w:val="18"/>
          <w:szCs w:val="18"/>
          <w:rtl/>
        </w:rPr>
        <w:t xml:space="preserve"> </w:t>
      </w:r>
      <w:r w:rsidRPr="00D4756F">
        <w:rPr>
          <w:rFonts w:ascii="Cambria Math" w:hAnsi="Cambria Math" w:cs="Times New Roman"/>
          <w:sz w:val="18"/>
          <w:szCs w:val="18"/>
        </w:rPr>
        <w:t>Structural VAR</w:t>
      </w:r>
    </w:p>
  </w:footnote>
  <w:footnote w:id="26">
    <w:p w14:paraId="33F69C3C" w14:textId="77777777" w:rsidR="00411620" w:rsidRPr="00D4756F" w:rsidRDefault="00411620" w:rsidP="00411620">
      <w:pPr>
        <w:pStyle w:val="FootnoteText"/>
        <w:bidi w:val="0"/>
        <w:rPr>
          <w:rFonts w:ascii="Cambria Math" w:hAnsi="Cambria Math" w:cs="B Lotus"/>
          <w:sz w:val="18"/>
          <w:szCs w:val="18"/>
          <w:lang w:bidi="ar-SA"/>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proofErr w:type="spellStart"/>
      <w:r w:rsidRPr="00D4756F">
        <w:rPr>
          <w:rFonts w:ascii="Cambria Math" w:hAnsi="Cambria Math"/>
          <w:sz w:val="18"/>
          <w:szCs w:val="18"/>
        </w:rPr>
        <w:t>Kydland</w:t>
      </w:r>
      <w:proofErr w:type="spellEnd"/>
      <w:r w:rsidRPr="00D4756F">
        <w:rPr>
          <w:rFonts w:ascii="Cambria Math" w:hAnsi="Cambria Math"/>
          <w:sz w:val="18"/>
          <w:szCs w:val="18"/>
        </w:rPr>
        <w:t xml:space="preserve"> et al, 1995</w:t>
      </w:r>
    </w:p>
  </w:footnote>
  <w:footnote w:id="27">
    <w:p w14:paraId="16D48536"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Frisch, 1933</w:t>
      </w:r>
    </w:p>
  </w:footnote>
  <w:footnote w:id="28">
    <w:p w14:paraId="7207332B" w14:textId="77777777" w:rsidR="00411620" w:rsidRPr="00D4756F" w:rsidRDefault="00411620" w:rsidP="00411620">
      <w:pPr>
        <w:pStyle w:val="FootnoteText"/>
        <w:bidi w:val="0"/>
        <w:rPr>
          <w:rFonts w:ascii="Arial Narrow" w:hAnsi="Arial Narrow"/>
          <w:sz w:val="18"/>
          <w:szCs w:val="18"/>
        </w:rPr>
      </w:pPr>
      <w:r w:rsidRPr="00D4756F">
        <w:rPr>
          <w:rStyle w:val="FootnoteReference"/>
          <w:sz w:val="18"/>
          <w:szCs w:val="18"/>
        </w:rPr>
        <w:footnoteRef/>
      </w:r>
      <w:r w:rsidRPr="00D4756F">
        <w:rPr>
          <w:rFonts w:hint="cs"/>
          <w:sz w:val="18"/>
          <w:szCs w:val="18"/>
          <w:rtl/>
        </w:rPr>
        <w:t xml:space="preserve"> </w:t>
      </w:r>
      <w:proofErr w:type="spellStart"/>
      <w:proofErr w:type="gramStart"/>
      <w:r w:rsidRPr="00D4756F">
        <w:rPr>
          <w:sz w:val="18"/>
          <w:szCs w:val="18"/>
        </w:rPr>
        <w:t>LeRoy,S</w:t>
      </w:r>
      <w:proofErr w:type="gramEnd"/>
      <w:r w:rsidRPr="00D4756F">
        <w:rPr>
          <w:sz w:val="18"/>
          <w:szCs w:val="18"/>
        </w:rPr>
        <w:t>.F</w:t>
      </w:r>
      <w:proofErr w:type="spellEnd"/>
      <w:r w:rsidRPr="00D4756F">
        <w:rPr>
          <w:sz w:val="18"/>
          <w:szCs w:val="18"/>
        </w:rPr>
        <w:t>, 1995</w:t>
      </w:r>
    </w:p>
  </w:footnote>
  <w:footnote w:id="29">
    <w:p w14:paraId="1942EE90" w14:textId="77777777" w:rsidR="00411620" w:rsidRPr="00D4756F" w:rsidRDefault="00411620" w:rsidP="00411620">
      <w:pPr>
        <w:pStyle w:val="FootnoteText"/>
        <w:bidi w:val="0"/>
        <w:rPr>
          <w:rFonts w:ascii="Cambria Math" w:hAnsi="Cambria Math"/>
          <w:sz w:val="18"/>
          <w:szCs w:val="18"/>
          <w:lang w:bidi="ar-SA"/>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Cooley et al, 1984</w:t>
      </w:r>
    </w:p>
  </w:footnote>
  <w:footnote w:id="30">
    <w:p w14:paraId="37C6BA31"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Hamilton, 1994</w:t>
      </w:r>
    </w:p>
  </w:footnote>
  <w:footnote w:id="31">
    <w:p w14:paraId="5DE1C643"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Calomiris et al, 1995</w:t>
      </w:r>
    </w:p>
  </w:footnote>
  <w:footnote w:id="32">
    <w:p w14:paraId="397FD7B9" w14:textId="77777777" w:rsidR="00411620" w:rsidRPr="00D4756F" w:rsidRDefault="00411620" w:rsidP="00411620">
      <w:pPr>
        <w:pStyle w:val="FootnoteText"/>
        <w:bidi w:val="0"/>
        <w:ind w:left="180" w:hanging="180"/>
        <w:rPr>
          <w:rFonts w:ascii="Cambria Math" w:hAnsi="Cambria Math" w:cs="Times New Roman"/>
          <w:sz w:val="18"/>
          <w:szCs w:val="18"/>
        </w:rPr>
      </w:pPr>
      <w:r w:rsidRPr="00D4756F">
        <w:rPr>
          <w:rStyle w:val="FootnoteReference"/>
          <w:rFonts w:ascii="Cambria Math" w:hAnsi="Cambria Math" w:cs="Times New Roman"/>
          <w:sz w:val="18"/>
          <w:szCs w:val="18"/>
        </w:rPr>
        <w:footnoteRef/>
      </w:r>
      <w:r w:rsidRPr="00D4756F">
        <w:rPr>
          <w:rFonts w:ascii="Cambria Math" w:hAnsi="Cambria Math" w:cs="Times New Roman"/>
          <w:sz w:val="18"/>
          <w:szCs w:val="18"/>
          <w:rtl/>
        </w:rPr>
        <w:t xml:space="preserve"> </w:t>
      </w:r>
      <w:r w:rsidRPr="00D4756F">
        <w:rPr>
          <w:rFonts w:ascii="Cambria Math" w:hAnsi="Cambria Math" w:cs="Times New Roman"/>
          <w:sz w:val="18"/>
          <w:szCs w:val="18"/>
        </w:rPr>
        <w:t>London School of Economics</w:t>
      </w:r>
    </w:p>
  </w:footnote>
  <w:footnote w:id="33">
    <w:p w14:paraId="7883B6CF" w14:textId="77777777" w:rsidR="00411620" w:rsidRPr="00D4756F" w:rsidRDefault="00411620" w:rsidP="00411620">
      <w:pPr>
        <w:pStyle w:val="FootnoteText"/>
        <w:rPr>
          <w:rFonts w:ascii="Arial Narrow" w:hAnsi="Arial Narrow" w:cs="B Lotus"/>
          <w:sz w:val="18"/>
          <w:szCs w:val="18"/>
        </w:rPr>
      </w:pPr>
      <w:r w:rsidRPr="00D4756F">
        <w:rPr>
          <w:rStyle w:val="FootnoteReference"/>
          <w:sz w:val="18"/>
          <w:szCs w:val="18"/>
        </w:rPr>
        <w:footnoteRef/>
      </w:r>
      <w:r w:rsidRPr="00D4756F">
        <w:rPr>
          <w:rFonts w:hint="cs"/>
          <w:sz w:val="18"/>
          <w:szCs w:val="18"/>
          <w:rtl/>
        </w:rPr>
        <w:t xml:space="preserve"> برای مطالعه</w:t>
      </w:r>
      <w:r w:rsidRPr="00D4756F">
        <w:rPr>
          <w:rFonts w:hint="cs"/>
          <w:sz w:val="18"/>
          <w:szCs w:val="18"/>
          <w:rtl/>
        </w:rPr>
        <w:softHyphen/>
        <w:t xml:space="preserve">ی بیشتر ن.ک . کریم امامی (۱۳۹۷) الگوی اقتصاد کلان سنجی ایران با استفاده از داده های فصلی، تهران، انتشارات آماره، فصل پنجم. </w:t>
      </w:r>
    </w:p>
  </w:footnote>
  <w:footnote w:id="34">
    <w:p w14:paraId="700924E6"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Hendry, 1995</w:t>
      </w:r>
    </w:p>
  </w:footnote>
  <w:footnote w:id="35">
    <w:p w14:paraId="29D97594"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Ericsson et al, 1998</w:t>
      </w:r>
    </w:p>
  </w:footnote>
  <w:footnote w:id="36">
    <w:p w14:paraId="16808982" w14:textId="77777777" w:rsidR="00411620" w:rsidRPr="00D4756F" w:rsidRDefault="00411620" w:rsidP="00411620">
      <w:pPr>
        <w:pStyle w:val="FootnoteText"/>
        <w:bidi w:val="0"/>
        <w:rPr>
          <w:rFonts w:ascii="Cambria Math" w:hAnsi="Cambria Math"/>
          <w:sz w:val="18"/>
          <w:szCs w:val="18"/>
          <w:lang w:bidi="ar-SA"/>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lang w:bidi="ar-AE"/>
        </w:rPr>
        <w:t>Dynamic Stochastic General Equilibrium Models</w:t>
      </w:r>
    </w:p>
  </w:footnote>
  <w:footnote w:id="37">
    <w:p w14:paraId="5C27F26D"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sz w:val="18"/>
          <w:szCs w:val="18"/>
        </w:rPr>
        <w:t xml:space="preserve"> Pareto Optimal</w:t>
      </w:r>
    </w:p>
  </w:footnote>
  <w:footnote w:id="38">
    <w:p w14:paraId="038C3444" w14:textId="77777777" w:rsidR="00411620" w:rsidRPr="00D4756F" w:rsidRDefault="00411620" w:rsidP="00411620">
      <w:pPr>
        <w:pStyle w:val="FootnoteText"/>
        <w:bidi w:val="0"/>
        <w:rPr>
          <w:rFonts w:ascii="Cambria Math" w:hAnsi="Cambria Math" w:cs="B Lotus"/>
          <w:sz w:val="18"/>
          <w:szCs w:val="18"/>
          <w:rtl/>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proofErr w:type="spellStart"/>
      <w:r w:rsidRPr="00D4756F">
        <w:rPr>
          <w:rFonts w:ascii="Cambria Math" w:hAnsi="Cambria Math"/>
          <w:sz w:val="18"/>
          <w:szCs w:val="18"/>
        </w:rPr>
        <w:t>Kydland</w:t>
      </w:r>
      <w:proofErr w:type="spellEnd"/>
      <w:r w:rsidRPr="00D4756F">
        <w:rPr>
          <w:rFonts w:ascii="Cambria Math" w:hAnsi="Cambria Math"/>
          <w:sz w:val="18"/>
          <w:szCs w:val="18"/>
        </w:rPr>
        <w:t xml:space="preserve"> and Prescott, 1982</w:t>
      </w:r>
      <w:r w:rsidRPr="00D4756F">
        <w:rPr>
          <w:rFonts w:ascii="Cambria Math" w:hAnsi="Cambria Math" w:hint="cs"/>
          <w:sz w:val="18"/>
          <w:szCs w:val="18"/>
          <w:rtl/>
        </w:rPr>
        <w:t xml:space="preserve">، </w:t>
      </w:r>
      <w:proofErr w:type="spellStart"/>
      <w:r w:rsidRPr="00D4756F">
        <w:rPr>
          <w:rFonts w:ascii="Cambria Math" w:hAnsi="Cambria Math"/>
          <w:sz w:val="18"/>
          <w:szCs w:val="18"/>
        </w:rPr>
        <w:t>Christiano</w:t>
      </w:r>
      <w:proofErr w:type="spellEnd"/>
      <w:r w:rsidRPr="00D4756F">
        <w:rPr>
          <w:rFonts w:ascii="Cambria Math" w:hAnsi="Cambria Math"/>
          <w:sz w:val="18"/>
          <w:szCs w:val="18"/>
        </w:rPr>
        <w:t xml:space="preserve"> and </w:t>
      </w:r>
      <w:proofErr w:type="spellStart"/>
      <w:r w:rsidRPr="00D4756F">
        <w:rPr>
          <w:rFonts w:ascii="Cambria Math" w:hAnsi="Cambria Math"/>
          <w:sz w:val="18"/>
          <w:szCs w:val="18"/>
        </w:rPr>
        <w:t>Eichenbaum</w:t>
      </w:r>
      <w:proofErr w:type="spellEnd"/>
      <w:r w:rsidRPr="00D4756F">
        <w:rPr>
          <w:rFonts w:ascii="Cambria Math" w:hAnsi="Cambria Math"/>
          <w:sz w:val="18"/>
          <w:szCs w:val="18"/>
        </w:rPr>
        <w:t>, 1992</w:t>
      </w:r>
      <w:r w:rsidRPr="00D4756F">
        <w:rPr>
          <w:rFonts w:ascii="Cambria Math" w:hAnsi="Cambria Math" w:hint="cs"/>
          <w:sz w:val="18"/>
          <w:szCs w:val="18"/>
          <w:rtl/>
        </w:rPr>
        <w:t xml:space="preserve"> </w:t>
      </w:r>
    </w:p>
  </w:footnote>
  <w:footnote w:id="39">
    <w:p w14:paraId="34BDC110"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Cooley and Hansen, 1995</w:t>
      </w:r>
      <w:r w:rsidRPr="00D4756F">
        <w:rPr>
          <w:rFonts w:ascii="Cambria Math" w:hAnsi="Cambria Math" w:hint="cs"/>
          <w:sz w:val="18"/>
          <w:szCs w:val="18"/>
          <w:rtl/>
        </w:rPr>
        <w:t xml:space="preserve"> </w:t>
      </w:r>
      <w:r w:rsidRPr="00D4756F">
        <w:rPr>
          <w:rFonts w:ascii="Cambria Math" w:hAnsi="Cambria Math" w:hint="cs"/>
          <w:sz w:val="18"/>
          <w:szCs w:val="18"/>
          <w:rtl/>
        </w:rPr>
        <w:t xml:space="preserve">و </w:t>
      </w:r>
      <w:proofErr w:type="spellStart"/>
      <w:r w:rsidRPr="00D4756F">
        <w:rPr>
          <w:rFonts w:ascii="Cambria Math" w:hAnsi="Cambria Math"/>
          <w:sz w:val="18"/>
          <w:szCs w:val="18"/>
        </w:rPr>
        <w:t>Kydland</w:t>
      </w:r>
      <w:proofErr w:type="spellEnd"/>
      <w:r w:rsidRPr="00D4756F">
        <w:rPr>
          <w:rFonts w:ascii="Cambria Math" w:hAnsi="Cambria Math"/>
          <w:sz w:val="18"/>
          <w:szCs w:val="18"/>
        </w:rPr>
        <w:t xml:space="preserve"> and Prescott, 1982</w:t>
      </w:r>
    </w:p>
  </w:footnote>
  <w:footnote w:id="40">
    <w:p w14:paraId="6EA44AAB"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proofErr w:type="spellStart"/>
      <w:r w:rsidRPr="00D4756F">
        <w:rPr>
          <w:rFonts w:ascii="Cambria Math" w:hAnsi="Cambria Math"/>
          <w:sz w:val="18"/>
          <w:szCs w:val="18"/>
        </w:rPr>
        <w:t>Christiano</w:t>
      </w:r>
      <w:proofErr w:type="spellEnd"/>
      <w:r w:rsidRPr="00D4756F">
        <w:rPr>
          <w:rFonts w:ascii="Cambria Math" w:hAnsi="Cambria Math"/>
          <w:sz w:val="18"/>
          <w:szCs w:val="18"/>
        </w:rPr>
        <w:t>, et al. 1991</w:t>
      </w:r>
    </w:p>
  </w:footnote>
  <w:footnote w:id="41">
    <w:p w14:paraId="2FD16361" w14:textId="77777777" w:rsidR="00411620" w:rsidRPr="00D4756F" w:rsidRDefault="00411620" w:rsidP="00411620">
      <w:pPr>
        <w:pStyle w:val="FootnoteText"/>
        <w:bidi w:val="0"/>
        <w:rPr>
          <w:rFonts w:ascii="Cambria Math" w:hAnsi="Cambria Math" w:cs="B Lotus"/>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Stadler, 1990</w:t>
      </w:r>
      <w:r w:rsidRPr="00D4756F">
        <w:rPr>
          <w:rFonts w:ascii="Cambria Math" w:hAnsi="Cambria Math" w:hint="cs"/>
          <w:sz w:val="18"/>
          <w:szCs w:val="18"/>
          <w:rtl/>
        </w:rPr>
        <w:t xml:space="preserve">، </w:t>
      </w:r>
      <w:proofErr w:type="spellStart"/>
      <w:r w:rsidRPr="00D4756F">
        <w:rPr>
          <w:rFonts w:ascii="Cambria Math" w:hAnsi="Cambria Math"/>
          <w:sz w:val="18"/>
          <w:szCs w:val="18"/>
        </w:rPr>
        <w:t>Hercowitz</w:t>
      </w:r>
      <w:proofErr w:type="spellEnd"/>
      <w:r w:rsidRPr="00D4756F">
        <w:rPr>
          <w:rFonts w:ascii="Cambria Math" w:hAnsi="Cambria Math"/>
          <w:sz w:val="18"/>
          <w:szCs w:val="18"/>
        </w:rPr>
        <w:t xml:space="preserve"> and </w:t>
      </w:r>
      <w:proofErr w:type="spellStart"/>
      <w:r w:rsidRPr="00D4756F">
        <w:rPr>
          <w:rFonts w:ascii="Cambria Math" w:hAnsi="Cambria Math"/>
          <w:sz w:val="18"/>
          <w:szCs w:val="18"/>
        </w:rPr>
        <w:t>Samoson</w:t>
      </w:r>
      <w:proofErr w:type="spellEnd"/>
      <w:r w:rsidRPr="00D4756F">
        <w:rPr>
          <w:rFonts w:ascii="Cambria Math" w:hAnsi="Cambria Math"/>
          <w:sz w:val="18"/>
          <w:szCs w:val="18"/>
        </w:rPr>
        <w:t>, 1991</w:t>
      </w:r>
    </w:p>
  </w:footnote>
  <w:footnote w:id="42">
    <w:p w14:paraId="0EDE5164"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proofErr w:type="spellStart"/>
      <w:r w:rsidRPr="00D4756F">
        <w:rPr>
          <w:rFonts w:ascii="Cambria Math" w:hAnsi="Cambria Math"/>
          <w:sz w:val="18"/>
          <w:szCs w:val="18"/>
        </w:rPr>
        <w:t>Kasa</w:t>
      </w:r>
      <w:proofErr w:type="spellEnd"/>
      <w:r w:rsidRPr="00D4756F">
        <w:rPr>
          <w:rFonts w:ascii="Cambria Math" w:hAnsi="Cambria Math"/>
          <w:sz w:val="18"/>
          <w:szCs w:val="18"/>
        </w:rPr>
        <w:t>, 2000</w:t>
      </w:r>
    </w:p>
  </w:footnote>
  <w:footnote w:id="43">
    <w:p w14:paraId="01E511F2"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r w:rsidRPr="00D4756F">
        <w:rPr>
          <w:rFonts w:ascii="Cambria Math" w:hAnsi="Cambria Math"/>
          <w:sz w:val="18"/>
          <w:szCs w:val="18"/>
        </w:rPr>
        <w:t>Cooley and Hansen, 1989, 1995</w:t>
      </w:r>
    </w:p>
  </w:footnote>
  <w:footnote w:id="44">
    <w:p w14:paraId="4BEE0F42" w14:textId="77777777" w:rsidR="00411620" w:rsidRPr="00D4756F" w:rsidRDefault="00411620" w:rsidP="00411620">
      <w:pPr>
        <w:pStyle w:val="FootnoteText"/>
        <w:bidi w:val="0"/>
        <w:rPr>
          <w:rFonts w:ascii="Cambria Math" w:hAnsi="Cambria Math"/>
          <w:sz w:val="18"/>
          <w:szCs w:val="18"/>
        </w:rPr>
      </w:pPr>
      <w:r w:rsidRPr="00D4756F">
        <w:rPr>
          <w:rStyle w:val="FootnoteReference"/>
          <w:rFonts w:ascii="Cambria Math" w:hAnsi="Cambria Math"/>
          <w:sz w:val="18"/>
          <w:szCs w:val="18"/>
        </w:rPr>
        <w:footnoteRef/>
      </w:r>
      <w:r w:rsidRPr="00D4756F">
        <w:rPr>
          <w:rFonts w:ascii="Cambria Math" w:hAnsi="Cambria Math" w:hint="cs"/>
          <w:sz w:val="18"/>
          <w:szCs w:val="18"/>
          <w:rtl/>
        </w:rPr>
        <w:t xml:space="preserve"> </w:t>
      </w:r>
      <w:proofErr w:type="spellStart"/>
      <w:r w:rsidRPr="00D4756F">
        <w:rPr>
          <w:rFonts w:ascii="Cambria Math" w:hAnsi="Cambria Math"/>
          <w:sz w:val="18"/>
          <w:szCs w:val="18"/>
        </w:rPr>
        <w:t>Clarida</w:t>
      </w:r>
      <w:proofErr w:type="spellEnd"/>
      <w:r w:rsidRPr="00D4756F">
        <w:rPr>
          <w:rFonts w:ascii="Cambria Math" w:hAnsi="Cambria Math"/>
          <w:sz w:val="18"/>
          <w:szCs w:val="18"/>
        </w:rPr>
        <w:t>, et al. 1999</w:t>
      </w:r>
    </w:p>
  </w:footnote>
  <w:footnote w:id="45">
    <w:p w14:paraId="06CC467A" w14:textId="77777777" w:rsidR="00411620" w:rsidRPr="000F6252" w:rsidRDefault="00411620" w:rsidP="00411620">
      <w:pPr>
        <w:pStyle w:val="FootnoteText"/>
        <w:rPr>
          <w:rFonts w:ascii="Arial Narrow" w:hAnsi="Arial Narrow"/>
          <w:sz w:val="18"/>
          <w:szCs w:val="18"/>
        </w:rPr>
      </w:pPr>
      <w:r w:rsidRPr="00D4756F">
        <w:rPr>
          <w:rStyle w:val="FootnoteReference"/>
          <w:sz w:val="18"/>
          <w:szCs w:val="18"/>
        </w:rPr>
        <w:footnoteRef/>
      </w:r>
      <w:r w:rsidRPr="00D4756F">
        <w:rPr>
          <w:rFonts w:hint="cs"/>
          <w:sz w:val="18"/>
          <w:szCs w:val="18"/>
          <w:rtl/>
        </w:rPr>
        <w:t xml:space="preserve"> </w:t>
      </w:r>
      <w:r w:rsidRPr="00D4756F">
        <w:rPr>
          <w:rFonts w:ascii="Cambria Math" w:hAnsi="Cambria Math" w:hint="cs"/>
          <w:sz w:val="18"/>
          <w:szCs w:val="18"/>
          <w:rtl/>
        </w:rPr>
        <w:t xml:space="preserve">نگاه کنید به: </w:t>
      </w:r>
      <w:proofErr w:type="spellStart"/>
      <w:r w:rsidRPr="00D4756F">
        <w:rPr>
          <w:rFonts w:ascii="Cambria Math" w:hAnsi="Cambria Math"/>
          <w:sz w:val="18"/>
          <w:szCs w:val="18"/>
        </w:rPr>
        <w:t>Clarida</w:t>
      </w:r>
      <w:proofErr w:type="spellEnd"/>
      <w:r w:rsidRPr="00D4756F">
        <w:rPr>
          <w:rFonts w:ascii="Cambria Math" w:hAnsi="Cambria Math"/>
          <w:sz w:val="18"/>
          <w:szCs w:val="18"/>
        </w:rPr>
        <w:t>, et al. 2000</w:t>
      </w:r>
      <w:r w:rsidRPr="00D4756F">
        <w:rPr>
          <w:rFonts w:ascii="Cambria Math" w:hAnsi="Cambria Math" w:hint="cs"/>
          <w:sz w:val="18"/>
          <w:szCs w:val="18"/>
          <w:rtl/>
        </w:rPr>
        <w:t xml:space="preserve">، و </w:t>
      </w:r>
      <w:proofErr w:type="spellStart"/>
      <w:r w:rsidRPr="00D4756F">
        <w:rPr>
          <w:rFonts w:ascii="Cambria Math" w:hAnsi="Cambria Math"/>
          <w:sz w:val="18"/>
          <w:szCs w:val="18"/>
        </w:rPr>
        <w:t>Favero</w:t>
      </w:r>
      <w:proofErr w:type="spellEnd"/>
      <w:r w:rsidRPr="00D4756F">
        <w:rPr>
          <w:rFonts w:ascii="Cambria Math" w:hAnsi="Cambria Math"/>
          <w:sz w:val="18"/>
          <w:szCs w:val="18"/>
        </w:rPr>
        <w:t xml:space="preserve"> and </w:t>
      </w:r>
      <w:proofErr w:type="spellStart"/>
      <w:r w:rsidRPr="00D4756F">
        <w:rPr>
          <w:rFonts w:ascii="Cambria Math" w:hAnsi="Cambria Math"/>
          <w:sz w:val="18"/>
          <w:szCs w:val="18"/>
        </w:rPr>
        <w:t>Rovelli</w:t>
      </w:r>
      <w:proofErr w:type="spellEnd"/>
      <w:r w:rsidRPr="00D4756F">
        <w:rPr>
          <w:rFonts w:ascii="Cambria Math" w:hAnsi="Cambria Math"/>
          <w:sz w:val="18"/>
          <w:szCs w:val="18"/>
        </w:rPr>
        <w:t>, 2003</w:t>
      </w:r>
      <w:r w:rsidRPr="00D4756F">
        <w:rPr>
          <w:rFonts w:ascii="Cambria Math" w:hAnsi="Cambria Math" w:hint="cs"/>
          <w:sz w:val="18"/>
          <w:szCs w:val="18"/>
          <w:rtl/>
        </w:rPr>
        <w:t>.</w:t>
      </w:r>
    </w:p>
  </w:footnote>
  <w:footnote w:id="46">
    <w:p w14:paraId="7C18640F"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tl/>
        </w:rPr>
        <w:t xml:space="preserve"> </w:t>
      </w:r>
      <w:r w:rsidRPr="000C79C4">
        <w:rPr>
          <w:rFonts w:ascii="Cambria Math" w:hAnsi="Cambria Math"/>
          <w:sz w:val="18"/>
          <w:szCs w:val="18"/>
        </w:rPr>
        <w:t>real terms</w:t>
      </w:r>
    </w:p>
  </w:footnote>
  <w:footnote w:id="47">
    <w:p w14:paraId="4EC39287" w14:textId="77777777" w:rsidR="00411620" w:rsidRPr="000C79C4" w:rsidRDefault="00411620" w:rsidP="00411620">
      <w:pPr>
        <w:pStyle w:val="FootnoteText"/>
        <w:bidi w:val="0"/>
        <w:rPr>
          <w:rFonts w:ascii="Cambria Math" w:hAnsi="Cambria Math"/>
          <w:sz w:val="18"/>
          <w:szCs w:val="18"/>
          <w:rtl/>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Frank </w:t>
      </w:r>
      <w:proofErr w:type="gramStart"/>
      <w:r w:rsidRPr="000C79C4">
        <w:rPr>
          <w:rFonts w:ascii="Cambria Math" w:hAnsi="Cambria Math"/>
          <w:sz w:val="18"/>
          <w:szCs w:val="18"/>
        </w:rPr>
        <w:t>Ramsey</w:t>
      </w:r>
      <w:r w:rsidRPr="000C79C4">
        <w:rPr>
          <w:rFonts w:ascii="Cambria Math" w:hAnsi="Cambria Math"/>
          <w:sz w:val="18"/>
          <w:szCs w:val="18"/>
          <w:lang w:val="en-GB"/>
        </w:rPr>
        <w:t>(</w:t>
      </w:r>
      <w:proofErr w:type="gramEnd"/>
      <w:r w:rsidRPr="000C79C4">
        <w:rPr>
          <w:rFonts w:ascii="Cambria Math" w:hAnsi="Cambria Math"/>
          <w:sz w:val="18"/>
          <w:szCs w:val="18"/>
          <w:lang w:val="en-GB"/>
        </w:rPr>
        <w:t>1928)</w:t>
      </w:r>
    </w:p>
  </w:footnote>
  <w:footnote w:id="48">
    <w:p w14:paraId="3FD92148" w14:textId="77777777" w:rsidR="00411620" w:rsidRPr="000C79C4" w:rsidRDefault="00411620" w:rsidP="00411620">
      <w:pPr>
        <w:pStyle w:val="FootnoteText"/>
        <w:bidi w:val="0"/>
        <w:rPr>
          <w:rFonts w:ascii="Cambria Math" w:hAnsi="Cambria Math"/>
          <w:sz w:val="18"/>
          <w:szCs w:val="18"/>
          <w:rtl/>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Central Planner</w:t>
      </w:r>
    </w:p>
  </w:footnote>
  <w:footnote w:id="49">
    <w:p w14:paraId="07DE91A4"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Representative-agent model</w:t>
      </w:r>
    </w:p>
  </w:footnote>
  <w:footnote w:id="50">
    <w:p w14:paraId="0085E2D3"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Cass 1965; Koopmans 1965</w:t>
      </w:r>
    </w:p>
  </w:footnote>
  <w:footnote w:id="51">
    <w:p w14:paraId="2B5B6C81"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Diminishing Rate </w:t>
      </w:r>
    </w:p>
  </w:footnote>
  <w:footnote w:id="52">
    <w:p w14:paraId="6D5E5F03" w14:textId="77777777" w:rsidR="00411620" w:rsidRPr="000C79C4" w:rsidRDefault="00411620" w:rsidP="00411620">
      <w:pPr>
        <w:pStyle w:val="FootnoteText"/>
        <w:bidi w:val="0"/>
        <w:rPr>
          <w:rFonts w:ascii="Cambria Math" w:hAnsi="Cambria Math"/>
          <w:sz w:val="18"/>
          <w:szCs w:val="18"/>
          <w:lang w:val="en-GB"/>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w:t>
      </w:r>
      <w:r w:rsidRPr="000C79C4">
        <w:rPr>
          <w:rFonts w:ascii="Cambria Math" w:hAnsi="Cambria Math"/>
          <w:sz w:val="18"/>
          <w:szCs w:val="18"/>
          <w:lang w:val="en-GB"/>
        </w:rPr>
        <w:t>Inada, 1964</w:t>
      </w:r>
    </w:p>
  </w:footnote>
  <w:footnote w:id="53">
    <w:p w14:paraId="586FECBD"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Investment Goods</w:t>
      </w:r>
    </w:p>
  </w:footnote>
  <w:footnote w:id="54">
    <w:p w14:paraId="58D9ED71" w14:textId="77777777" w:rsidR="00411620" w:rsidRPr="000C79C4" w:rsidRDefault="00411620" w:rsidP="00411620">
      <w:pPr>
        <w:pStyle w:val="FootnoteText"/>
        <w:bidi w:val="0"/>
        <w:rPr>
          <w:rFonts w:ascii="Cambria Math" w:hAnsi="Cambria Math"/>
          <w:sz w:val="18"/>
          <w:szCs w:val="18"/>
          <w:lang w:val="en-GB"/>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w:t>
      </w:r>
      <w:proofErr w:type="spellStart"/>
      <w:r w:rsidRPr="000C79C4">
        <w:rPr>
          <w:rFonts w:ascii="Cambria Math" w:hAnsi="Cambria Math"/>
          <w:sz w:val="18"/>
          <w:szCs w:val="18"/>
        </w:rPr>
        <w:t>Sustanable</w:t>
      </w:r>
      <w:proofErr w:type="spellEnd"/>
    </w:p>
  </w:footnote>
  <w:footnote w:id="55">
    <w:p w14:paraId="3B76FFA3"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Golden Rule</w:t>
      </w:r>
    </w:p>
  </w:footnote>
  <w:footnote w:id="56">
    <w:p w14:paraId="5F39E628"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Optimal Solution</w:t>
      </w:r>
    </w:p>
  </w:footnote>
  <w:footnote w:id="57">
    <w:p w14:paraId="4B3F737B" w14:textId="77777777" w:rsidR="00411620" w:rsidRDefault="00411620" w:rsidP="00411620">
      <w:pPr>
        <w:pStyle w:val="FootnoteText"/>
        <w:bidi w:val="0"/>
        <w:jc w:val="left"/>
        <w:rPr>
          <w:sz w:val="18"/>
          <w:szCs w:val="18"/>
          <w:rtl/>
        </w:rPr>
      </w:pPr>
      <w:r w:rsidRPr="000C79C4">
        <w:rPr>
          <w:rStyle w:val="FootnoteReference"/>
          <w:sz w:val="18"/>
          <w:szCs w:val="18"/>
        </w:rPr>
        <w:footnoteRef/>
      </w:r>
      <w:r w:rsidRPr="000C79C4">
        <w:rPr>
          <w:sz w:val="18"/>
          <w:szCs w:val="18"/>
          <w:rtl/>
        </w:rPr>
        <w:t xml:space="preserve"> </w:t>
      </w:r>
      <w:r w:rsidRPr="000C79C4">
        <w:rPr>
          <w:sz w:val="18"/>
          <w:szCs w:val="18"/>
        </w:rPr>
        <w:t xml:space="preserve">Static </w:t>
      </w:r>
      <w:proofErr w:type="spellStart"/>
      <w:r w:rsidRPr="000C79C4">
        <w:rPr>
          <w:sz w:val="18"/>
          <w:szCs w:val="18"/>
        </w:rPr>
        <w:t>Eqilibrium</w:t>
      </w:r>
      <w:proofErr w:type="spellEnd"/>
    </w:p>
    <w:p w14:paraId="5C3E258D" w14:textId="77777777" w:rsidR="00411620" w:rsidRPr="000C79C4" w:rsidRDefault="00411620" w:rsidP="00411620">
      <w:pPr>
        <w:pStyle w:val="FootnoteText"/>
        <w:bidi w:val="0"/>
        <w:jc w:val="right"/>
        <w:rPr>
          <w:sz w:val="18"/>
          <w:szCs w:val="18"/>
          <w:rtl/>
        </w:rPr>
      </w:pPr>
      <w:r>
        <w:rPr>
          <w:rFonts w:hint="cs"/>
          <w:sz w:val="18"/>
          <w:szCs w:val="18"/>
          <w:rtl/>
        </w:rPr>
        <w:t>تعادل ایستا وضعیتی است که در آن فرض می</w:t>
      </w:r>
      <w:r>
        <w:rPr>
          <w:sz w:val="18"/>
          <w:szCs w:val="18"/>
          <w:rtl/>
        </w:rPr>
        <w:softHyphen/>
      </w:r>
      <w:r>
        <w:rPr>
          <w:rFonts w:hint="cs"/>
          <w:sz w:val="18"/>
          <w:szCs w:val="18"/>
          <w:rtl/>
        </w:rPr>
        <w:t>شود متغیرهای اقتصادی در بلندمدت تغییر نمی</w:t>
      </w:r>
      <w:r>
        <w:rPr>
          <w:sz w:val="18"/>
          <w:szCs w:val="18"/>
          <w:rtl/>
        </w:rPr>
        <w:softHyphen/>
      </w:r>
      <w:r>
        <w:rPr>
          <w:rFonts w:hint="cs"/>
          <w:sz w:val="18"/>
          <w:szCs w:val="18"/>
          <w:rtl/>
        </w:rPr>
        <w:t>کنند و رشد آن</w:t>
      </w:r>
      <w:r>
        <w:rPr>
          <w:sz w:val="18"/>
          <w:szCs w:val="18"/>
          <w:rtl/>
        </w:rPr>
        <w:softHyphen/>
      </w:r>
      <w:r>
        <w:rPr>
          <w:rFonts w:hint="cs"/>
          <w:sz w:val="18"/>
          <w:szCs w:val="18"/>
          <w:rtl/>
        </w:rPr>
        <w:t>ها ثابت و برابر با صفر می</w:t>
      </w:r>
      <w:r>
        <w:rPr>
          <w:sz w:val="18"/>
          <w:szCs w:val="18"/>
          <w:rtl/>
        </w:rPr>
        <w:softHyphen/>
      </w:r>
      <w:r>
        <w:rPr>
          <w:rFonts w:hint="cs"/>
          <w:sz w:val="18"/>
          <w:szCs w:val="18"/>
          <w:rtl/>
        </w:rPr>
        <w:t>باشد. در این</w:t>
      </w:r>
      <w:r>
        <w:rPr>
          <w:sz w:val="18"/>
          <w:szCs w:val="18"/>
          <w:rtl/>
        </w:rPr>
        <w:softHyphen/>
      </w:r>
      <w:r>
        <w:rPr>
          <w:rFonts w:hint="cs"/>
          <w:sz w:val="18"/>
          <w:szCs w:val="18"/>
          <w:rtl/>
        </w:rPr>
        <w:t>خصوص در فصل سوم بیشتر توضیح داده خواهد شد.</w:t>
      </w:r>
    </w:p>
  </w:footnote>
  <w:footnote w:id="58">
    <w:p w14:paraId="57337354" w14:textId="77777777" w:rsidR="00411620" w:rsidRPr="000C79C4" w:rsidRDefault="00411620" w:rsidP="00411620">
      <w:pPr>
        <w:pStyle w:val="FootnoteText"/>
        <w:bidi w:val="0"/>
        <w:rPr>
          <w:sz w:val="18"/>
          <w:szCs w:val="18"/>
        </w:rPr>
      </w:pPr>
      <w:r w:rsidRPr="000C79C4">
        <w:rPr>
          <w:rStyle w:val="FootnoteReference"/>
          <w:rFonts w:eastAsiaTheme="majorEastAsia"/>
          <w:sz w:val="18"/>
          <w:szCs w:val="18"/>
        </w:rPr>
        <w:footnoteRef/>
      </w:r>
      <w:r w:rsidRPr="000C79C4">
        <w:rPr>
          <w:sz w:val="18"/>
          <w:szCs w:val="18"/>
        </w:rPr>
        <w:t xml:space="preserve"> Steady State</w:t>
      </w:r>
    </w:p>
  </w:footnote>
  <w:footnote w:id="59">
    <w:p w14:paraId="6BDC46F0"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Replacement Investment</w:t>
      </w:r>
    </w:p>
  </w:footnote>
  <w:footnote w:id="60">
    <w:p w14:paraId="7C9A54D4" w14:textId="77777777" w:rsidR="00411620" w:rsidRDefault="00411620" w:rsidP="00411620">
      <w:pPr>
        <w:pStyle w:val="FootnoteText"/>
        <w:rPr>
          <w:rtl/>
        </w:rPr>
      </w:pPr>
      <w:r>
        <w:rPr>
          <w:rStyle w:val="FootnoteReference"/>
        </w:rPr>
        <w:footnoteRef/>
      </w:r>
      <w:r>
        <w:rPr>
          <w:rtl/>
        </w:rPr>
        <w:t xml:space="preserve"> </w:t>
      </w:r>
      <w:r w:rsidRPr="003B3803">
        <w:rPr>
          <w:rStyle w:val="fontstyle01"/>
          <w:rFonts w:eastAsiaTheme="majorEastAsia" w:hint="default"/>
          <w:rtl/>
        </w:rPr>
        <w:t>ارنست وبر و گوستاو فچنر، روان</w:t>
      </w:r>
      <w:r>
        <w:rPr>
          <w:rStyle w:val="fontstyle01"/>
          <w:rFonts w:eastAsiaTheme="majorEastAsia" w:hint="default"/>
          <w:rtl/>
        </w:rPr>
        <w:softHyphen/>
      </w:r>
      <w:r w:rsidRPr="003B3803">
        <w:rPr>
          <w:rStyle w:val="fontstyle01"/>
          <w:rFonts w:eastAsiaTheme="majorEastAsia" w:hint="default"/>
          <w:rtl/>
        </w:rPr>
        <w:t>شناسان قـرن</w:t>
      </w:r>
      <w:r>
        <w:rPr>
          <w:rStyle w:val="fontstyle01"/>
          <w:rFonts w:eastAsiaTheme="majorEastAsia" w:hint="default"/>
          <w:rtl/>
        </w:rPr>
        <w:t xml:space="preserve"> نوزدهم</w:t>
      </w:r>
      <w:r w:rsidRPr="003B3803">
        <w:rPr>
          <w:rStyle w:val="fontstyle01"/>
          <w:rFonts w:eastAsiaTheme="majorEastAsia" w:hint="default"/>
          <w:rtl/>
        </w:rPr>
        <w:t xml:space="preserve"> قـانون</w:t>
      </w:r>
      <w:r>
        <w:rPr>
          <w:rStyle w:val="fontstyle01"/>
          <w:rFonts w:eastAsiaTheme="majorEastAsia" w:hint="default"/>
          <w:rtl/>
        </w:rPr>
        <w:t>ی</w:t>
      </w:r>
      <w:r w:rsidRPr="003B3803">
        <w:rPr>
          <w:rStyle w:val="fontstyle01"/>
          <w:rFonts w:eastAsiaTheme="majorEastAsia" w:hint="default"/>
          <w:rtl/>
        </w:rPr>
        <w:t xml:space="preserve"> را وضع کردند که </w:t>
      </w:r>
      <w:r>
        <w:rPr>
          <w:rStyle w:val="fontstyle01"/>
          <w:rFonts w:eastAsiaTheme="majorEastAsia" w:hint="default"/>
          <w:rtl/>
        </w:rPr>
        <w:t xml:space="preserve">بر مبنای آن </w:t>
      </w:r>
      <w:r w:rsidRPr="003B3803">
        <w:rPr>
          <w:rStyle w:val="fontstyle01"/>
          <w:rFonts w:eastAsiaTheme="majorEastAsia" w:hint="default"/>
          <w:rtl/>
        </w:rPr>
        <w:t>افراد نسبت به محرك</w:t>
      </w:r>
      <w:r>
        <w:rPr>
          <w:rStyle w:val="fontstyle01"/>
          <w:rFonts w:eastAsiaTheme="majorEastAsia" w:hint="default"/>
          <w:rtl/>
        </w:rPr>
        <w:softHyphen/>
        <w:t>هاي فیزیکی</w:t>
      </w:r>
      <w:r w:rsidRPr="003B3803">
        <w:rPr>
          <w:rStyle w:val="fontstyle01"/>
          <w:rFonts w:eastAsiaTheme="majorEastAsia" w:hint="default"/>
          <w:rtl/>
        </w:rPr>
        <w:t xml:space="preserve"> عکس</w:t>
      </w:r>
      <w:r>
        <w:rPr>
          <w:rStyle w:val="fontstyle01"/>
          <w:rFonts w:eastAsiaTheme="majorEastAsia" w:hint="default"/>
          <w:rtl/>
        </w:rPr>
        <w:softHyphen/>
      </w:r>
      <w:r w:rsidRPr="003B3803">
        <w:rPr>
          <w:rStyle w:val="fontstyle01"/>
          <w:rFonts w:eastAsiaTheme="majorEastAsia" w:hint="default"/>
          <w:rtl/>
        </w:rPr>
        <w:t>العمـل</w:t>
      </w:r>
      <w:r>
        <w:rPr>
          <w:rFonts w:hint="cs"/>
          <w:color w:val="000000"/>
          <w:rtl/>
        </w:rPr>
        <w:t xml:space="preserve"> مختلف </w:t>
      </w:r>
      <w:r w:rsidRPr="003B3803">
        <w:rPr>
          <w:rStyle w:val="fontstyle01"/>
          <w:rFonts w:eastAsiaTheme="majorEastAsia" w:hint="default"/>
          <w:rtl/>
        </w:rPr>
        <w:t>نشان می</w:t>
      </w:r>
      <w:r>
        <w:rPr>
          <w:rStyle w:val="fontstyle01"/>
          <w:rFonts w:eastAsiaTheme="majorEastAsia" w:hint="default"/>
          <w:rtl/>
        </w:rPr>
        <w:softHyphen/>
      </w:r>
      <w:r w:rsidRPr="003B3803">
        <w:rPr>
          <w:rStyle w:val="fontstyle01"/>
          <w:rFonts w:eastAsiaTheme="majorEastAsia" w:hint="default"/>
          <w:rtl/>
        </w:rPr>
        <w:t>دهند. در یک رشته آزمون</w:t>
      </w:r>
      <w:r>
        <w:rPr>
          <w:rStyle w:val="fontstyle01"/>
          <w:rFonts w:eastAsiaTheme="majorEastAsia" w:hint="default"/>
          <w:rtl/>
        </w:rPr>
        <w:softHyphen/>
        <w:t>هاي تجربی، آن</w:t>
      </w:r>
      <w:r>
        <w:rPr>
          <w:rStyle w:val="fontstyle01"/>
          <w:rFonts w:eastAsiaTheme="majorEastAsia" w:hint="default"/>
          <w:rtl/>
        </w:rPr>
        <w:softHyphen/>
        <w:t>ها</w:t>
      </w:r>
      <w:r w:rsidRPr="003B3803">
        <w:rPr>
          <w:rStyle w:val="fontstyle01"/>
          <w:rFonts w:eastAsiaTheme="majorEastAsia" w:hint="default"/>
          <w:rtl/>
        </w:rPr>
        <w:t xml:space="preserve"> از افراد با چشم بسته خواست</w:t>
      </w:r>
      <w:r>
        <w:rPr>
          <w:rStyle w:val="fontstyle01"/>
          <w:rFonts w:eastAsiaTheme="majorEastAsia" w:hint="default"/>
          <w:rtl/>
        </w:rPr>
        <w:t>ند</w:t>
      </w:r>
      <w:r w:rsidRPr="003B3803">
        <w:rPr>
          <w:rStyle w:val="fontstyle01"/>
          <w:rFonts w:eastAsiaTheme="majorEastAsia" w:hint="default"/>
          <w:rtl/>
        </w:rPr>
        <w:t xml:space="preserve"> تا وزنه</w:t>
      </w:r>
      <w:r>
        <w:rPr>
          <w:rStyle w:val="fontstyle01"/>
          <w:rFonts w:eastAsiaTheme="majorEastAsia" w:hint="default"/>
          <w:rtl/>
        </w:rPr>
        <w:softHyphen/>
        <w:t>هایی را نگ</w:t>
      </w:r>
      <w:r w:rsidRPr="003B3803">
        <w:rPr>
          <w:rStyle w:val="fontstyle01"/>
          <w:rFonts w:eastAsiaTheme="majorEastAsia" w:hint="default"/>
          <w:rtl/>
        </w:rPr>
        <w:t>ه</w:t>
      </w:r>
      <w:r>
        <w:rPr>
          <w:rStyle w:val="fontstyle01"/>
          <w:rFonts w:eastAsiaTheme="majorEastAsia" w:hint="default"/>
          <w:rtl/>
        </w:rPr>
        <w:t xml:space="preserve"> دارند و</w:t>
      </w:r>
      <w:r w:rsidRPr="003B3803">
        <w:rPr>
          <w:rStyle w:val="fontstyle01"/>
          <w:rFonts w:eastAsiaTheme="majorEastAsia" w:hint="default"/>
          <w:rtl/>
        </w:rPr>
        <w:t xml:space="preserve"> به تدریج به وزن این وزنه</w:t>
      </w:r>
      <w:r>
        <w:rPr>
          <w:rStyle w:val="fontstyle01"/>
          <w:rFonts w:eastAsiaTheme="majorEastAsia" w:hint="default"/>
          <w:rtl/>
        </w:rPr>
        <w:softHyphen/>
      </w:r>
      <w:r w:rsidRPr="003B3803">
        <w:rPr>
          <w:rStyle w:val="fontstyle01"/>
          <w:rFonts w:eastAsiaTheme="majorEastAsia" w:hint="default"/>
          <w:rtl/>
        </w:rPr>
        <w:t>ها اضافه می</w:t>
      </w:r>
      <w:r>
        <w:rPr>
          <w:rStyle w:val="fontstyle01"/>
          <w:rFonts w:eastAsiaTheme="majorEastAsia" w:hint="default"/>
          <w:rtl/>
        </w:rPr>
        <w:softHyphen/>
      </w:r>
      <w:r w:rsidRPr="003B3803">
        <w:rPr>
          <w:rStyle w:val="fontstyle01"/>
          <w:rFonts w:eastAsiaTheme="majorEastAsia" w:hint="default"/>
          <w:rtl/>
        </w:rPr>
        <w:t>کر</w:t>
      </w:r>
      <w:r>
        <w:rPr>
          <w:rStyle w:val="fontstyle01"/>
          <w:rFonts w:eastAsiaTheme="majorEastAsia" w:hint="default"/>
          <w:rtl/>
        </w:rPr>
        <w:t>دن</w:t>
      </w:r>
      <w:r w:rsidRPr="003B3803">
        <w:rPr>
          <w:rStyle w:val="fontstyle01"/>
          <w:rFonts w:eastAsiaTheme="majorEastAsia" w:hint="default"/>
          <w:rtl/>
        </w:rPr>
        <w:t>د تا آنجا کـه افـراد بگوینـد</w:t>
      </w:r>
      <w:r>
        <w:rPr>
          <w:rStyle w:val="fontstyle01"/>
          <w:rFonts w:eastAsiaTheme="majorEastAsia" w:hint="default"/>
          <w:rtl/>
        </w:rPr>
        <w:t xml:space="preserve"> </w:t>
      </w:r>
      <w:r w:rsidRPr="003B3803">
        <w:rPr>
          <w:rStyle w:val="fontstyle01"/>
          <w:rFonts w:eastAsiaTheme="majorEastAsia" w:hint="default"/>
          <w:rtl/>
        </w:rPr>
        <w:t>وزنـه سـنگین</w:t>
      </w:r>
      <w:r>
        <w:rPr>
          <w:rStyle w:val="fontstyle01"/>
          <w:rFonts w:eastAsiaTheme="majorEastAsia" w:hint="default"/>
          <w:rtl/>
        </w:rPr>
        <w:softHyphen/>
      </w:r>
      <w:r w:rsidRPr="003B3803">
        <w:rPr>
          <w:rStyle w:val="fontstyle01"/>
          <w:rFonts w:eastAsiaTheme="majorEastAsia" w:hint="default"/>
          <w:rtl/>
        </w:rPr>
        <w:t>تـر شـده</w:t>
      </w:r>
      <w:r>
        <w:rPr>
          <w:rStyle w:val="fontstyle01"/>
          <w:rFonts w:eastAsiaTheme="majorEastAsia" w:hint="default"/>
          <w:rtl/>
        </w:rPr>
        <w:t xml:space="preserve"> است. افر</w:t>
      </w:r>
      <w:r w:rsidRPr="003B3803">
        <w:rPr>
          <w:rStyle w:val="fontstyle01"/>
          <w:rFonts w:eastAsiaTheme="majorEastAsia" w:hint="default"/>
          <w:rtl/>
        </w:rPr>
        <w:t>دي که با وزنه</w:t>
      </w:r>
      <w:r>
        <w:rPr>
          <w:rStyle w:val="fontstyle01"/>
          <w:rFonts w:eastAsiaTheme="majorEastAsia" w:hint="default"/>
          <w:rtl/>
        </w:rPr>
        <w:softHyphen/>
      </w:r>
      <w:r w:rsidRPr="003B3803">
        <w:rPr>
          <w:rStyle w:val="fontstyle01"/>
          <w:rFonts w:eastAsiaTheme="majorEastAsia" w:hint="default"/>
          <w:rtl/>
        </w:rPr>
        <w:t>ي چنـدگرمی</w:t>
      </w:r>
      <w:r>
        <w:rPr>
          <w:rStyle w:val="fontstyle01"/>
          <w:rFonts w:eastAsiaTheme="majorEastAsia" w:hint="default"/>
          <w:rtl/>
        </w:rPr>
        <w:t xml:space="preserve"> شـروع کـرده بودنـد، وقتـی</w:t>
      </w:r>
      <w:r w:rsidRPr="003B3803">
        <w:rPr>
          <w:rFonts w:hint="cs"/>
          <w:color w:val="000000"/>
        </w:rPr>
        <w:br/>
      </w:r>
      <w:r>
        <w:rPr>
          <w:rStyle w:val="fontstyle01"/>
          <w:rFonts w:eastAsiaTheme="majorEastAsia" w:hint="default"/>
        </w:rPr>
        <w:t xml:space="preserve"> </w:t>
      </w:r>
      <w:r>
        <w:rPr>
          <w:rStyle w:val="fontstyle01"/>
          <w:rFonts w:eastAsiaTheme="majorEastAsia" w:hint="default"/>
          <w:rtl/>
        </w:rPr>
        <w:t>چندگرم</w:t>
      </w:r>
      <w:r w:rsidRPr="003B3803">
        <w:rPr>
          <w:rStyle w:val="fontstyle01"/>
          <w:rFonts w:eastAsiaTheme="majorEastAsia" w:hint="default"/>
          <w:rtl/>
        </w:rPr>
        <w:t xml:space="preserve"> به وزنه</w:t>
      </w:r>
      <w:r>
        <w:rPr>
          <w:rStyle w:val="fontstyle01"/>
          <w:rFonts w:eastAsiaTheme="majorEastAsia" w:hint="default"/>
          <w:rtl/>
        </w:rPr>
        <w:softHyphen/>
      </w:r>
      <w:r w:rsidRPr="003B3803">
        <w:rPr>
          <w:rStyle w:val="fontstyle01"/>
          <w:rFonts w:eastAsiaTheme="majorEastAsia" w:hint="default"/>
          <w:rtl/>
        </w:rPr>
        <w:t>ي آنها اضافه می</w:t>
      </w:r>
      <w:r>
        <w:rPr>
          <w:rStyle w:val="fontstyle01"/>
          <w:rFonts w:eastAsiaTheme="majorEastAsia" w:hint="default"/>
          <w:rtl/>
        </w:rPr>
        <w:softHyphen/>
      </w:r>
      <w:r w:rsidRPr="003B3803">
        <w:rPr>
          <w:rStyle w:val="fontstyle01"/>
          <w:rFonts w:eastAsiaTheme="majorEastAsia" w:hint="default"/>
          <w:rtl/>
        </w:rPr>
        <w:t>شد،</w:t>
      </w:r>
      <w:r>
        <w:rPr>
          <w:rStyle w:val="fontstyle01"/>
          <w:rFonts w:eastAsiaTheme="majorEastAsia" w:hint="default"/>
          <w:rtl/>
        </w:rPr>
        <w:t xml:space="preserve"> تفاوت را احساس می</w:t>
      </w:r>
      <w:r>
        <w:rPr>
          <w:rStyle w:val="fontstyle01"/>
          <w:rFonts w:eastAsiaTheme="majorEastAsia" w:hint="default"/>
          <w:rtl/>
        </w:rPr>
        <w:softHyphen/>
        <w:t>کردند، اما</w:t>
      </w:r>
      <w:r w:rsidRPr="003B3803">
        <w:rPr>
          <w:rStyle w:val="fontstyle01"/>
          <w:rFonts w:eastAsiaTheme="majorEastAsia" w:hint="default"/>
          <w:rtl/>
        </w:rPr>
        <w:t xml:space="preserve"> </w:t>
      </w:r>
      <w:r>
        <w:rPr>
          <w:rStyle w:val="fontstyle01"/>
          <w:rFonts w:eastAsiaTheme="majorEastAsia" w:hint="default"/>
          <w:rtl/>
        </w:rPr>
        <w:t>ا</w:t>
      </w:r>
      <w:r w:rsidRPr="003B3803">
        <w:rPr>
          <w:rStyle w:val="fontstyle01"/>
          <w:rFonts w:eastAsiaTheme="majorEastAsia" w:hint="default"/>
          <w:rtl/>
        </w:rPr>
        <w:t>فرد</w:t>
      </w:r>
      <w:r>
        <w:rPr>
          <w:rStyle w:val="fontstyle01"/>
          <w:rFonts w:eastAsiaTheme="majorEastAsia" w:hint="default"/>
          <w:rtl/>
        </w:rPr>
        <w:t>ی</w:t>
      </w:r>
      <w:r w:rsidRPr="003B3803">
        <w:rPr>
          <w:rStyle w:val="fontstyle01"/>
          <w:rFonts w:eastAsiaTheme="majorEastAsia" w:hint="default"/>
          <w:rtl/>
        </w:rPr>
        <w:t xml:space="preserve"> </w:t>
      </w:r>
      <w:r>
        <w:rPr>
          <w:rStyle w:val="fontstyle01"/>
          <w:rFonts w:eastAsiaTheme="majorEastAsia" w:hint="default"/>
          <w:rtl/>
        </w:rPr>
        <w:t xml:space="preserve">که </w:t>
      </w:r>
      <w:r w:rsidRPr="003B3803">
        <w:rPr>
          <w:rStyle w:val="fontstyle01"/>
          <w:rFonts w:eastAsiaTheme="majorEastAsia" w:hint="default"/>
          <w:rtl/>
        </w:rPr>
        <w:t>با وزنـه</w:t>
      </w:r>
      <w:r>
        <w:rPr>
          <w:rStyle w:val="fontstyle01"/>
          <w:rFonts w:eastAsiaTheme="majorEastAsia" w:hint="default"/>
          <w:rtl/>
        </w:rPr>
        <w:softHyphen/>
        <w:t>ها</w:t>
      </w:r>
      <w:r>
        <w:rPr>
          <w:rStyle w:val="fontstyle01"/>
          <w:rFonts w:eastAsiaTheme="majorEastAsia" w:hint="default"/>
          <w:rtl/>
        </w:rPr>
        <w:softHyphen/>
      </w:r>
      <w:r w:rsidRPr="003B3803">
        <w:rPr>
          <w:rStyle w:val="fontstyle01"/>
          <w:rFonts w:eastAsiaTheme="majorEastAsia" w:hint="default"/>
          <w:rtl/>
        </w:rPr>
        <w:t>ي سـن</w:t>
      </w:r>
      <w:r>
        <w:rPr>
          <w:rStyle w:val="fontstyle01"/>
          <w:rFonts w:eastAsiaTheme="majorEastAsia" w:hint="default"/>
          <w:rtl/>
        </w:rPr>
        <w:t>گین</w:t>
      </w:r>
      <w:r w:rsidRPr="003B3803">
        <w:rPr>
          <w:rFonts w:hint="cs"/>
          <w:color w:val="000000"/>
        </w:rPr>
        <w:br/>
      </w:r>
      <w:r w:rsidRPr="003B3803">
        <w:rPr>
          <w:rStyle w:val="fontstyle01"/>
          <w:rFonts w:eastAsiaTheme="majorEastAsia" w:hint="default"/>
          <w:rtl/>
        </w:rPr>
        <w:t>شروع کرده بو</w:t>
      </w:r>
      <w:r>
        <w:rPr>
          <w:rStyle w:val="fontstyle01"/>
          <w:rFonts w:eastAsiaTheme="majorEastAsia" w:hint="default"/>
          <w:rtl/>
        </w:rPr>
        <w:t>دند، چند گرم اضافی را احساس نمی</w:t>
      </w:r>
      <w:r>
        <w:rPr>
          <w:rStyle w:val="fontstyle01"/>
          <w:rFonts w:eastAsiaTheme="majorEastAsia" w:hint="default"/>
          <w:rtl/>
        </w:rPr>
        <w:softHyphen/>
        <w:t xml:space="preserve">کردند. در </w:t>
      </w:r>
      <w:r w:rsidRPr="003B3803">
        <w:rPr>
          <w:rStyle w:val="fontstyle01"/>
          <w:rFonts w:eastAsiaTheme="majorEastAsia" w:hint="default"/>
        </w:rPr>
        <w:t xml:space="preserve"> </w:t>
      </w:r>
      <w:r>
        <w:rPr>
          <w:rStyle w:val="fontstyle01"/>
          <w:rFonts w:eastAsiaTheme="majorEastAsia" w:hint="default"/>
          <w:rtl/>
        </w:rPr>
        <w:t>نتیجه</w:t>
      </w:r>
      <w:r w:rsidRPr="003B3803">
        <w:rPr>
          <w:rStyle w:val="fontstyle01"/>
          <w:rFonts w:eastAsiaTheme="majorEastAsia" w:hint="default"/>
          <w:rtl/>
        </w:rPr>
        <w:t xml:space="preserve"> مقدار </w:t>
      </w:r>
      <w:r>
        <w:rPr>
          <w:rStyle w:val="fontstyle01"/>
          <w:rFonts w:eastAsiaTheme="majorEastAsia" w:hint="default"/>
          <w:rtl/>
        </w:rPr>
        <w:t xml:space="preserve">وزن </w:t>
      </w:r>
      <w:r w:rsidRPr="003B3803">
        <w:rPr>
          <w:rStyle w:val="fontstyle01"/>
          <w:rFonts w:eastAsiaTheme="majorEastAsia" w:hint="default"/>
          <w:rtl/>
        </w:rPr>
        <w:t>قابـل</w:t>
      </w:r>
      <w:r>
        <w:rPr>
          <w:rStyle w:val="fontstyle01"/>
          <w:rFonts w:eastAsiaTheme="majorEastAsia" w:hint="default"/>
          <w:rtl/>
        </w:rPr>
        <w:t xml:space="preserve"> </w:t>
      </w:r>
      <w:r w:rsidRPr="003B3803">
        <w:rPr>
          <w:rStyle w:val="fontstyle01"/>
          <w:rFonts w:eastAsiaTheme="majorEastAsia" w:hint="default"/>
          <w:rtl/>
        </w:rPr>
        <w:t>ادراك</w:t>
      </w:r>
      <w:r w:rsidRPr="003B3803">
        <w:rPr>
          <w:rFonts w:hint="cs"/>
          <w:color w:val="000000"/>
        </w:rPr>
        <w:br/>
      </w:r>
      <w:r w:rsidRPr="003B3803">
        <w:rPr>
          <w:rStyle w:val="fontstyle01"/>
          <w:rFonts w:eastAsiaTheme="majorEastAsia" w:hint="default"/>
          <w:rtl/>
        </w:rPr>
        <w:t>متناسب با وزن اولیه است</w:t>
      </w:r>
      <w:r>
        <w:rPr>
          <w:rStyle w:val="fontstyle01"/>
          <w:rFonts w:eastAsiaTheme="majorEastAsia" w:hint="default"/>
          <w:rtl/>
        </w:rPr>
        <w:t>.</w:t>
      </w:r>
      <w:r>
        <w:rPr>
          <w:rStyle w:val="fontstyle01"/>
          <w:rFonts w:eastAsiaTheme="majorEastAsia" w:hint="default"/>
        </w:rPr>
        <w:t xml:space="preserve"> </w:t>
      </w:r>
      <w:r>
        <w:rPr>
          <w:rStyle w:val="fontstyle01"/>
          <w:rFonts w:eastAsiaTheme="majorEastAsia" w:hint="default"/>
          <w:rtl/>
        </w:rPr>
        <w:t xml:space="preserve"> به همین ترتیب تابع مطلوبیت و مفروضات آن، از همین قانون روان شناختی تبعیت می</w:t>
      </w:r>
      <w:r>
        <w:rPr>
          <w:rStyle w:val="fontstyle01"/>
          <w:rFonts w:eastAsiaTheme="majorEastAsia" w:hint="default"/>
          <w:rtl/>
        </w:rPr>
        <w:softHyphen/>
        <w:t>کند.</w:t>
      </w:r>
    </w:p>
  </w:footnote>
  <w:footnote w:id="61">
    <w:p w14:paraId="47B53BBB"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Dynamic </w:t>
      </w:r>
      <w:proofErr w:type="spellStart"/>
      <w:r w:rsidRPr="000C79C4">
        <w:rPr>
          <w:rFonts w:ascii="Cambria Math" w:hAnsi="Cambria Math"/>
          <w:sz w:val="18"/>
          <w:szCs w:val="18"/>
        </w:rPr>
        <w:t>Progrmaing</w:t>
      </w:r>
      <w:proofErr w:type="spellEnd"/>
    </w:p>
  </w:footnote>
  <w:footnote w:id="62">
    <w:p w14:paraId="0EC1525F"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Calculus of Variations</w:t>
      </w:r>
    </w:p>
  </w:footnote>
  <w:footnote w:id="63">
    <w:p w14:paraId="2981CD65"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Maximum Principle</w:t>
      </w:r>
    </w:p>
  </w:footnote>
  <w:footnote w:id="64">
    <w:p w14:paraId="73B16F15"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Lagrange multiplier analysis</w:t>
      </w:r>
    </w:p>
  </w:footnote>
  <w:footnote w:id="65">
    <w:p w14:paraId="78FF7F32"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Transversality Condition</w:t>
      </w:r>
    </w:p>
  </w:footnote>
  <w:footnote w:id="66">
    <w:p w14:paraId="7CBFAA0E" w14:textId="77777777" w:rsidR="00411620" w:rsidRPr="000C79C4" w:rsidRDefault="00411620" w:rsidP="00411620">
      <w:pPr>
        <w:pStyle w:val="FootnoteText"/>
        <w:bidi w:val="0"/>
        <w:rPr>
          <w:rFonts w:ascii="Cambria Math" w:hAnsi="Cambria Math"/>
          <w:sz w:val="18"/>
          <w:szCs w:val="18"/>
          <w:rtl/>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Intertemporal Optimization</w:t>
      </w:r>
    </w:p>
  </w:footnote>
  <w:footnote w:id="67">
    <w:p w14:paraId="5FEBD5E4"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Intertemporal Production Possibility Frontier</w:t>
      </w:r>
    </w:p>
  </w:footnote>
  <w:footnote w:id="68">
    <w:p w14:paraId="757980F0"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Production Possibility Frontier</w:t>
      </w:r>
    </w:p>
  </w:footnote>
  <w:footnote w:id="69">
    <w:p w14:paraId="515473B8" w14:textId="77777777" w:rsidR="00411620" w:rsidRPr="000C79C4" w:rsidRDefault="00411620" w:rsidP="00411620">
      <w:pPr>
        <w:pStyle w:val="FootnoteText"/>
        <w:bidi w:val="0"/>
        <w:rPr>
          <w:rFonts w:ascii="Cambria Math" w:hAnsi="Cambria Math"/>
          <w:sz w:val="18"/>
          <w:szCs w:val="18"/>
          <w:rtl/>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Indifference Curve </w:t>
      </w:r>
    </w:p>
  </w:footnote>
  <w:footnote w:id="70">
    <w:p w14:paraId="2FE82F7D"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Static Equilibrium Solution</w:t>
      </w:r>
    </w:p>
  </w:footnote>
  <w:footnote w:id="71">
    <w:p w14:paraId="7972997C" w14:textId="77777777" w:rsidR="00411620" w:rsidRPr="000C79C4" w:rsidRDefault="00411620" w:rsidP="00411620">
      <w:pPr>
        <w:pStyle w:val="FootnoteText"/>
        <w:rPr>
          <w:sz w:val="18"/>
          <w:szCs w:val="18"/>
          <w:rtl/>
        </w:rPr>
      </w:pPr>
      <w:r w:rsidRPr="000C79C4">
        <w:rPr>
          <w:rStyle w:val="FootnoteReference"/>
          <w:rFonts w:eastAsiaTheme="majorEastAsia"/>
          <w:sz w:val="18"/>
          <w:szCs w:val="18"/>
        </w:rPr>
        <w:footnoteRef/>
      </w:r>
      <w:r w:rsidRPr="000C79C4">
        <w:rPr>
          <w:sz w:val="18"/>
          <w:szCs w:val="18"/>
        </w:rPr>
        <w:t xml:space="preserve"> </w:t>
      </w:r>
      <w:r w:rsidRPr="000C79C4">
        <w:rPr>
          <w:rFonts w:hint="cs"/>
          <w:sz w:val="18"/>
          <w:szCs w:val="18"/>
          <w:rtl/>
        </w:rPr>
        <w:t xml:space="preserve">مقادیر تعادلی ایستا به روش راه حل طلایی را با اندیس </w:t>
      </w:r>
      <w:r w:rsidRPr="000C79C4">
        <w:rPr>
          <w:sz w:val="18"/>
          <w:szCs w:val="18"/>
        </w:rPr>
        <w:t>#</w:t>
      </w:r>
      <w:r w:rsidRPr="000C79C4">
        <w:rPr>
          <w:rFonts w:hint="cs"/>
          <w:sz w:val="18"/>
          <w:szCs w:val="18"/>
          <w:rtl/>
        </w:rPr>
        <w:t xml:space="preserve"> و به روش راه حل بهینه با اندیس </w:t>
      </w:r>
      <w:r w:rsidRPr="000C79C4">
        <w:rPr>
          <w:sz w:val="18"/>
          <w:szCs w:val="18"/>
        </w:rPr>
        <w:t>*</w:t>
      </w:r>
      <w:r w:rsidRPr="000C79C4">
        <w:rPr>
          <w:rFonts w:hint="cs"/>
          <w:sz w:val="18"/>
          <w:szCs w:val="18"/>
          <w:rtl/>
        </w:rPr>
        <w:t xml:space="preserve"> نشان داده</w:t>
      </w:r>
      <w:r w:rsidRPr="000C79C4">
        <w:rPr>
          <w:sz w:val="18"/>
          <w:szCs w:val="18"/>
          <w:rtl/>
        </w:rPr>
        <w:softHyphen/>
      </w:r>
      <w:r w:rsidRPr="000C79C4">
        <w:rPr>
          <w:rFonts w:hint="cs"/>
          <w:sz w:val="18"/>
          <w:szCs w:val="18"/>
          <w:rtl/>
        </w:rPr>
        <w:t>ایم.</w:t>
      </w:r>
    </w:p>
  </w:footnote>
  <w:footnote w:id="72">
    <w:p w14:paraId="3C772A66"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Power Function</w:t>
      </w:r>
    </w:p>
  </w:footnote>
  <w:footnote w:id="73">
    <w:p w14:paraId="42A26ABD"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Relative Risk Aversion</w:t>
      </w:r>
    </w:p>
  </w:footnote>
  <w:footnote w:id="74">
    <w:p w14:paraId="6BE5ACC6" w14:textId="77777777" w:rsidR="00411620" w:rsidRPr="000C79C4" w:rsidRDefault="00411620" w:rsidP="00411620">
      <w:pPr>
        <w:pStyle w:val="FootnoteText"/>
        <w:bidi w:val="0"/>
        <w:rPr>
          <w:rFonts w:ascii="Cambria Math" w:hAnsi="Cambria Math"/>
          <w:sz w:val="18"/>
          <w:szCs w:val="18"/>
          <w:lang w:val="en-GB"/>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w:t>
      </w:r>
      <w:r w:rsidRPr="000C79C4">
        <w:rPr>
          <w:rFonts w:ascii="Cambria Math" w:hAnsi="Cambria Math"/>
          <w:sz w:val="18"/>
          <w:szCs w:val="18"/>
          <w:lang w:val="en-GB"/>
        </w:rPr>
        <w:t>Phase Diagram</w:t>
      </w:r>
    </w:p>
  </w:footnote>
  <w:footnote w:id="75">
    <w:p w14:paraId="65221925"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Taylor Series Expansion</w:t>
      </w:r>
    </w:p>
  </w:footnote>
  <w:footnote w:id="76">
    <w:p w14:paraId="682B8BF6" w14:textId="77777777" w:rsidR="00411620" w:rsidRPr="000C79C4" w:rsidRDefault="00411620" w:rsidP="00411620">
      <w:pPr>
        <w:pStyle w:val="FootnoteText"/>
        <w:bidi w:val="0"/>
        <w:rPr>
          <w:rFonts w:ascii="Cambria Math" w:hAnsi="Cambria Math"/>
          <w:sz w:val="18"/>
          <w:szCs w:val="18"/>
          <w:rtl/>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w:t>
      </w:r>
      <w:proofErr w:type="spellStart"/>
      <w:r w:rsidRPr="000C79C4">
        <w:rPr>
          <w:rFonts w:ascii="Cambria Math" w:hAnsi="Cambria Math"/>
          <w:sz w:val="18"/>
          <w:szCs w:val="18"/>
        </w:rPr>
        <w:t>Saddlepath</w:t>
      </w:r>
      <w:proofErr w:type="spellEnd"/>
    </w:p>
  </w:footnote>
  <w:footnote w:id="77">
    <w:p w14:paraId="69A54F4E"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Stability</w:t>
      </w:r>
    </w:p>
  </w:footnote>
  <w:footnote w:id="78">
    <w:p w14:paraId="05E0559B" w14:textId="77777777" w:rsidR="00411620" w:rsidRPr="000C79C4" w:rsidRDefault="00411620" w:rsidP="00411620">
      <w:pPr>
        <w:pStyle w:val="FootnoteText"/>
        <w:bidi w:val="0"/>
        <w:rPr>
          <w:rFonts w:ascii="Cambria Math" w:hAnsi="Cambria Math"/>
          <w:sz w:val="18"/>
          <w:szCs w:val="18"/>
          <w:rtl/>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Local Linear Approximation</w:t>
      </w:r>
    </w:p>
  </w:footnote>
  <w:footnote w:id="79">
    <w:p w14:paraId="0A40CEDD"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First-Order Vector Autoregression</w:t>
      </w:r>
    </w:p>
  </w:footnote>
  <w:footnote w:id="80">
    <w:p w14:paraId="734CA68F"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Real-Business-Cycle Dynamics</w:t>
      </w:r>
    </w:p>
  </w:footnote>
  <w:footnote w:id="81">
    <w:p w14:paraId="5E9EB794"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Anticipated</w:t>
      </w:r>
    </w:p>
  </w:footnote>
  <w:footnote w:id="82">
    <w:p w14:paraId="09F59DE2"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Unanticipated</w:t>
      </w:r>
    </w:p>
  </w:footnote>
  <w:footnote w:id="83">
    <w:p w14:paraId="2EB696E8"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Stabilization Policy </w:t>
      </w:r>
    </w:p>
  </w:footnote>
  <w:footnote w:id="84">
    <w:p w14:paraId="2DC817C7"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Market Imperfections </w:t>
      </w:r>
    </w:p>
  </w:footnote>
  <w:footnote w:id="85">
    <w:p w14:paraId="7044EA6F" w14:textId="77777777" w:rsidR="00411620" w:rsidRPr="000C79C4" w:rsidRDefault="00411620" w:rsidP="00411620">
      <w:pPr>
        <w:rPr>
          <w:rFonts w:ascii="Cambria Math" w:hAnsi="Cambria Math"/>
          <w:sz w:val="18"/>
          <w:szCs w:val="18"/>
          <w:rtl/>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w:t>
      </w:r>
      <w:r w:rsidRPr="000C79C4">
        <w:rPr>
          <w:rFonts w:ascii="Cambria Math" w:hAnsi="Cambria Math"/>
          <w:sz w:val="18"/>
          <w:szCs w:val="18"/>
          <w:rtl/>
        </w:rPr>
        <w:t>- تابع ...</w:t>
      </w:r>
      <w:r w:rsidRPr="00B92922">
        <w:rPr>
          <w:position w:val="-12"/>
        </w:rPr>
        <w:object w:dxaOrig="680" w:dyaOrig="360" w14:anchorId="17C86A08">
          <v:shape id="_x0000_i8256" type="#_x0000_t75" style="width:33.9pt;height:18.15pt" o:ole="">
            <v:imagedata r:id="rId1" o:title=""/>
          </v:shape>
          <o:OLEObject Type="Embed" ProgID="Equation.DSMT4" ShapeID="_x0000_i8256" DrawAspect="Content" ObjectID="_1791382198" r:id="rId2"/>
        </w:object>
      </w:r>
      <w:r w:rsidRPr="000C79C4">
        <w:rPr>
          <w:sz w:val="18"/>
          <w:szCs w:val="18"/>
        </w:rPr>
        <w:t>...</w:t>
      </w:r>
      <w:r w:rsidRPr="000C79C4">
        <w:rPr>
          <w:rFonts w:ascii="Cambria Math" w:eastAsiaTheme="minorEastAsia" w:hAnsi="Cambria Math"/>
          <w:sz w:val="18"/>
          <w:szCs w:val="18"/>
          <w:rtl/>
          <w:lang w:val="en-GB"/>
        </w:rPr>
        <w:t xml:space="preserve"> </w:t>
      </w:r>
      <w:r w:rsidRPr="000C79C4">
        <w:rPr>
          <w:rFonts w:ascii="Cambria Math" w:hAnsi="Cambria Math"/>
          <w:sz w:val="18"/>
          <w:szCs w:val="18"/>
          <w:rtl/>
        </w:rPr>
        <w:t xml:space="preserve">همگن از درجه </w:t>
      </w:r>
      <w:r w:rsidRPr="00B92922">
        <w:rPr>
          <w:position w:val="-6"/>
        </w:rPr>
        <w:object w:dxaOrig="220" w:dyaOrig="200" w14:anchorId="7E986169">
          <v:shape id="_x0000_i8258" type="#_x0000_t75" style="width:10.3pt;height:10.3pt" o:ole="">
            <v:imagedata r:id="rId3" o:title=""/>
          </v:shape>
          <o:OLEObject Type="Embed" ProgID="Equation.DSMT4" ShapeID="_x0000_i8258" DrawAspect="Content" ObjectID="_1791382199" r:id="rId4"/>
        </w:object>
      </w:r>
      <w:r w:rsidRPr="000C79C4">
        <w:rPr>
          <w:rFonts w:ascii="Cambria Math" w:hAnsi="Cambria Math"/>
          <w:sz w:val="18"/>
          <w:szCs w:val="18"/>
          <w:rtl/>
        </w:rPr>
        <w:t xml:space="preserve"> است اگر شرط</w:t>
      </w:r>
      <w:r w:rsidRPr="00B92922">
        <w:rPr>
          <w:position w:val="-12"/>
        </w:rPr>
        <w:object w:dxaOrig="2000" w:dyaOrig="360" w14:anchorId="36DDF54D">
          <v:shape id="_x0000_i8260" type="#_x0000_t75" style="width:100.45pt;height:18.15pt" o:ole="">
            <v:imagedata r:id="rId5" o:title=""/>
          </v:shape>
          <o:OLEObject Type="Embed" ProgID="Equation.DSMT4" ShapeID="_x0000_i8260" DrawAspect="Content" ObjectID="_1791382200" r:id="rId6"/>
        </w:object>
      </w:r>
      <w:r w:rsidRPr="000C79C4">
        <w:rPr>
          <w:rFonts w:ascii="Cambria Math" w:eastAsiaTheme="minorEastAsia" w:hAnsi="Cambria Math"/>
          <w:sz w:val="18"/>
          <w:szCs w:val="18"/>
          <w:rtl/>
          <w:lang w:val="en-GB"/>
        </w:rPr>
        <w:t xml:space="preserve"> </w:t>
      </w:r>
      <w:r w:rsidRPr="000C79C4">
        <w:rPr>
          <w:rFonts w:ascii="Cambria Math" w:hAnsi="Cambria Math"/>
          <w:sz w:val="18"/>
          <w:szCs w:val="18"/>
          <w:rtl/>
        </w:rPr>
        <w:t xml:space="preserve">را تأمین ‌کند. </w:t>
      </w:r>
    </w:p>
  </w:footnote>
  <w:footnote w:id="86">
    <w:p w14:paraId="1EE2868F"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Implied Wage Rate </w:t>
      </w:r>
    </w:p>
  </w:footnote>
  <w:footnote w:id="87">
    <w:p w14:paraId="7350D484"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Installation Costs</w:t>
      </w:r>
    </w:p>
  </w:footnote>
  <w:footnote w:id="88">
    <w:p w14:paraId="7EF5D179"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Tobin’s (1969) q-theory of Investment</w:t>
      </w:r>
    </w:p>
  </w:footnote>
  <w:footnote w:id="89">
    <w:p w14:paraId="3772032C"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Hayashi, 1982 </w:t>
      </w:r>
    </w:p>
  </w:footnote>
  <w:footnote w:id="90">
    <w:p w14:paraId="2BF07E56" w14:textId="77777777" w:rsidR="00411620" w:rsidRPr="000C79C4" w:rsidRDefault="00411620" w:rsidP="00411620">
      <w:pPr>
        <w:pStyle w:val="FootnoteText"/>
        <w:bidi w:val="0"/>
        <w:rPr>
          <w:rFonts w:ascii="Cambria Math" w:hAnsi="Cambria Math"/>
          <w:sz w:val="18"/>
          <w:szCs w:val="18"/>
          <w:lang w:val="en-GB"/>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w:t>
      </w:r>
      <w:proofErr w:type="spellStart"/>
      <w:r w:rsidRPr="000C79C4">
        <w:rPr>
          <w:rFonts w:ascii="Cambria Math" w:hAnsi="Cambria Math"/>
          <w:sz w:val="18"/>
          <w:szCs w:val="18"/>
          <w:lang w:val="en-GB"/>
        </w:rPr>
        <w:t>Kydland</w:t>
      </w:r>
      <w:proofErr w:type="spellEnd"/>
      <w:r w:rsidRPr="000C79C4">
        <w:rPr>
          <w:rFonts w:ascii="Cambria Math" w:hAnsi="Cambria Math"/>
          <w:sz w:val="18"/>
          <w:szCs w:val="18"/>
          <w:lang w:val="en-GB"/>
        </w:rPr>
        <w:t xml:space="preserve"> and Prescott, 1982</w:t>
      </w:r>
    </w:p>
  </w:footnote>
  <w:footnote w:id="91">
    <w:p w14:paraId="442B6A6E"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Time to Build</w:t>
      </w:r>
    </w:p>
  </w:footnote>
  <w:footnote w:id="92">
    <w:p w14:paraId="509ED8D9"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Linear Approximation</w:t>
      </w:r>
    </w:p>
  </w:footnote>
  <w:footnote w:id="93">
    <w:p w14:paraId="78F1E355" w14:textId="77777777" w:rsidR="00411620" w:rsidRPr="000C79C4" w:rsidRDefault="00411620" w:rsidP="00411620">
      <w:pPr>
        <w:pStyle w:val="FootnoteText"/>
        <w:bidi w:val="0"/>
        <w:rPr>
          <w:rFonts w:ascii="Cambria Math" w:hAnsi="Cambria Math"/>
          <w:sz w:val="18"/>
          <w:szCs w:val="18"/>
          <w:rtl/>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Forward-Looking </w:t>
      </w:r>
    </w:p>
  </w:footnote>
  <w:footnote w:id="94">
    <w:p w14:paraId="72AB204C" w14:textId="77777777" w:rsidR="00411620" w:rsidRPr="000C79C4" w:rsidRDefault="00411620" w:rsidP="00411620">
      <w:pPr>
        <w:pStyle w:val="FootnoteText"/>
        <w:bidi w:val="0"/>
        <w:rPr>
          <w:rFonts w:ascii="Cambria Math" w:hAnsi="Cambria Math"/>
          <w:sz w:val="18"/>
          <w:szCs w:val="18"/>
        </w:rPr>
      </w:pPr>
      <w:r w:rsidRPr="000C79C4">
        <w:rPr>
          <w:rStyle w:val="FootnoteReference"/>
          <w:rFonts w:ascii="Cambria Math" w:eastAsiaTheme="majorEastAsia" w:hAnsi="Cambria Math"/>
          <w:sz w:val="18"/>
          <w:szCs w:val="18"/>
        </w:rPr>
        <w:footnoteRef/>
      </w:r>
      <w:r w:rsidRPr="000C79C4">
        <w:rPr>
          <w:rFonts w:ascii="Cambria Math" w:hAnsi="Cambria Math"/>
          <w:sz w:val="18"/>
          <w:szCs w:val="18"/>
        </w:rPr>
        <w:t xml:space="preserve"> </w:t>
      </w:r>
      <w:proofErr w:type="spellStart"/>
      <w:r w:rsidRPr="000C79C4">
        <w:rPr>
          <w:rFonts w:ascii="Cambria Math" w:hAnsi="Cambria Math"/>
          <w:sz w:val="18"/>
          <w:szCs w:val="18"/>
        </w:rPr>
        <w:t>Kydland</w:t>
      </w:r>
      <w:proofErr w:type="spellEnd"/>
      <w:r w:rsidRPr="000C79C4">
        <w:rPr>
          <w:rFonts w:ascii="Cambria Math" w:hAnsi="Cambria Math"/>
          <w:sz w:val="18"/>
          <w:szCs w:val="18"/>
        </w:rPr>
        <w:t xml:space="preserve"> and Prescott (1982)</w:t>
      </w:r>
    </w:p>
  </w:footnote>
  <w:footnote w:id="95">
    <w:p w14:paraId="2A02FD85" w14:textId="77777777" w:rsidR="00411620" w:rsidRPr="000C79C4" w:rsidRDefault="00411620" w:rsidP="00411620">
      <w:pPr>
        <w:pStyle w:val="FootnoteText"/>
        <w:rPr>
          <w:sz w:val="18"/>
          <w:szCs w:val="18"/>
          <w:rtl/>
        </w:rPr>
      </w:pPr>
      <w:r w:rsidRPr="000C79C4">
        <w:rPr>
          <w:rStyle w:val="FootnoteReference"/>
          <w:rFonts w:eastAsiaTheme="majorEastAsia"/>
          <w:sz w:val="18"/>
          <w:szCs w:val="18"/>
        </w:rPr>
        <w:footnoteRef/>
      </w:r>
      <w:r w:rsidRPr="000C79C4">
        <w:rPr>
          <w:sz w:val="18"/>
          <w:szCs w:val="18"/>
        </w:rPr>
        <w:t xml:space="preserve"> </w:t>
      </w:r>
      <w:r w:rsidRPr="000C79C4">
        <w:rPr>
          <w:i/>
          <w:sz w:val="18"/>
          <w:szCs w:val="18"/>
          <w:rtl/>
        </w:rPr>
        <w:t xml:space="preserve">همچنین </w:t>
      </w:r>
      <w:r w:rsidRPr="000C79C4">
        <w:rPr>
          <w:rFonts w:hint="cs"/>
          <w:i/>
          <w:sz w:val="18"/>
          <w:szCs w:val="18"/>
          <w:rtl/>
        </w:rPr>
        <w:t xml:space="preserve">مراجعه کنید </w:t>
      </w:r>
      <w:r w:rsidRPr="000C79C4">
        <w:rPr>
          <w:i/>
          <w:sz w:val="18"/>
          <w:szCs w:val="18"/>
          <w:rtl/>
        </w:rPr>
        <w:t xml:space="preserve">به </w:t>
      </w:r>
      <w:proofErr w:type="spellStart"/>
      <w:r w:rsidRPr="000C79C4">
        <w:rPr>
          <w:iCs/>
          <w:sz w:val="18"/>
          <w:szCs w:val="18"/>
        </w:rPr>
        <w:t>Altug</w:t>
      </w:r>
      <w:proofErr w:type="spellEnd"/>
      <w:r w:rsidRPr="000C79C4">
        <w:rPr>
          <w:iCs/>
          <w:sz w:val="18"/>
          <w:szCs w:val="18"/>
        </w:rPr>
        <w:t>, 1989</w:t>
      </w:r>
      <w:r w:rsidRPr="000C79C4">
        <w:rPr>
          <w:rFonts w:hint="cs"/>
          <w:iCs/>
          <w:sz w:val="18"/>
          <w:szCs w:val="18"/>
          <w:rtl/>
        </w:rPr>
        <w:t xml:space="preserve"> </w:t>
      </w:r>
    </w:p>
  </w:footnote>
  <w:footnote w:id="96">
    <w:p w14:paraId="37380532" w14:textId="77777777" w:rsidR="00411620" w:rsidRPr="00CA6862" w:rsidRDefault="00411620" w:rsidP="00411620">
      <w:pPr>
        <w:pStyle w:val="FootnoteText"/>
        <w:bidi w:val="0"/>
        <w:rPr>
          <w:sz w:val="18"/>
          <w:szCs w:val="18"/>
        </w:rPr>
      </w:pPr>
      <w:r w:rsidRPr="00CA6862">
        <w:rPr>
          <w:rStyle w:val="FootnoteReference"/>
          <w:sz w:val="18"/>
          <w:szCs w:val="18"/>
        </w:rPr>
        <w:footnoteRef/>
      </w:r>
      <w:r w:rsidRPr="00CA6862">
        <w:rPr>
          <w:sz w:val="18"/>
          <w:szCs w:val="18"/>
          <w:rtl/>
        </w:rPr>
        <w:t xml:space="preserve"> </w:t>
      </w:r>
      <w:r w:rsidRPr="00CA6862">
        <w:rPr>
          <w:sz w:val="18"/>
          <w:szCs w:val="18"/>
        </w:rPr>
        <w:t>Static Equilibrium</w:t>
      </w:r>
    </w:p>
  </w:footnote>
  <w:footnote w:id="97">
    <w:p w14:paraId="7B2C1D03" w14:textId="77777777" w:rsidR="00411620" w:rsidRPr="00CA6862" w:rsidRDefault="00411620" w:rsidP="00411620">
      <w:pPr>
        <w:pStyle w:val="FootnoteText"/>
        <w:bidi w:val="0"/>
        <w:jc w:val="left"/>
        <w:rPr>
          <w:sz w:val="18"/>
          <w:szCs w:val="18"/>
        </w:rPr>
      </w:pPr>
      <w:r w:rsidRPr="00CA6862">
        <w:rPr>
          <w:rStyle w:val="FootnoteReference"/>
          <w:sz w:val="18"/>
          <w:szCs w:val="18"/>
        </w:rPr>
        <w:footnoteRef/>
      </w:r>
      <w:r>
        <w:rPr>
          <w:sz w:val="18"/>
          <w:szCs w:val="18"/>
        </w:rPr>
        <w:t xml:space="preserve"> </w:t>
      </w:r>
      <w:proofErr w:type="spellStart"/>
      <w:r w:rsidRPr="00CA6862">
        <w:rPr>
          <w:sz w:val="18"/>
          <w:szCs w:val="18"/>
        </w:rPr>
        <w:t>Growht</w:t>
      </w:r>
      <w:proofErr w:type="spellEnd"/>
      <w:r w:rsidRPr="00CA6862">
        <w:rPr>
          <w:sz w:val="18"/>
          <w:szCs w:val="18"/>
        </w:rPr>
        <w:t xml:space="preserve"> Equilibrium</w:t>
      </w:r>
    </w:p>
  </w:footnote>
  <w:footnote w:id="98">
    <w:p w14:paraId="6661F1BA" w14:textId="77777777" w:rsidR="00411620" w:rsidRPr="00CA6862" w:rsidRDefault="00411620" w:rsidP="00411620">
      <w:pPr>
        <w:pStyle w:val="FootnoteText"/>
        <w:bidi w:val="0"/>
        <w:rPr>
          <w:sz w:val="18"/>
          <w:szCs w:val="18"/>
        </w:rPr>
      </w:pPr>
      <w:r w:rsidRPr="00CA6862">
        <w:rPr>
          <w:rStyle w:val="FootnoteReference"/>
          <w:rFonts w:eastAsiaTheme="minorHAnsi"/>
          <w:sz w:val="18"/>
          <w:szCs w:val="18"/>
        </w:rPr>
        <w:footnoteRef/>
      </w:r>
      <w:r w:rsidRPr="00CA6862">
        <w:rPr>
          <w:rFonts w:cs="Times New Roman"/>
          <w:sz w:val="18"/>
          <w:szCs w:val="18"/>
          <w:rtl/>
        </w:rPr>
        <w:t xml:space="preserve"> </w:t>
      </w:r>
      <w:r w:rsidRPr="00CA6862">
        <w:rPr>
          <w:rFonts w:cs="Times New Roman"/>
          <w:sz w:val="18"/>
          <w:szCs w:val="18"/>
        </w:rPr>
        <w:t>Pen World Tables</w:t>
      </w:r>
    </w:p>
  </w:footnote>
  <w:footnote w:id="99">
    <w:p w14:paraId="56834D4D" w14:textId="77777777" w:rsidR="00411620" w:rsidRDefault="00411620" w:rsidP="00411620">
      <w:pPr>
        <w:pStyle w:val="FootnoteText"/>
      </w:pPr>
      <w:r w:rsidRPr="003A1576">
        <w:rPr>
          <w:rStyle w:val="FootnoteReference"/>
          <w:rFonts w:ascii="NPIYagut" w:hAnsi="NPIYagut"/>
        </w:rPr>
        <w:footnoteRef/>
      </w:r>
      <w:r>
        <w:rPr>
          <w:rtl/>
        </w:rPr>
        <w:t xml:space="preserve"> </w:t>
      </w:r>
      <w:r>
        <w:rPr>
          <w:rFonts w:hint="cs"/>
          <w:rtl/>
        </w:rPr>
        <w:t>فابل توجه افرادی که این</w:t>
      </w:r>
      <w:r>
        <w:rPr>
          <w:rtl/>
        </w:rPr>
        <w:softHyphen/>
      </w:r>
      <w:r>
        <w:rPr>
          <w:rFonts w:hint="cs"/>
          <w:rtl/>
        </w:rPr>
        <w:t>روزها ده</w:t>
      </w:r>
      <w:r>
        <w:rPr>
          <w:rtl/>
        </w:rPr>
        <w:softHyphen/>
      </w:r>
      <w:r>
        <w:rPr>
          <w:rFonts w:hint="cs"/>
          <w:rtl/>
        </w:rPr>
        <w:t>ها پست سازمانی را اشغال کرده</w:t>
      </w:r>
      <w:r>
        <w:rPr>
          <w:rtl/>
        </w:rPr>
        <w:softHyphen/>
      </w:r>
      <w:r>
        <w:rPr>
          <w:rFonts w:hint="cs"/>
          <w:rtl/>
        </w:rPr>
        <w:t xml:space="preserve">اند! </w:t>
      </w:r>
    </w:p>
  </w:footnote>
  <w:footnote w:id="100">
    <w:p w14:paraId="06396FEC" w14:textId="77777777" w:rsidR="00411620" w:rsidRPr="00CA6862" w:rsidRDefault="00411620" w:rsidP="00411620">
      <w:pPr>
        <w:pStyle w:val="FootnoteText"/>
        <w:bidi w:val="0"/>
        <w:rPr>
          <w:sz w:val="18"/>
          <w:szCs w:val="18"/>
        </w:rPr>
      </w:pPr>
      <w:r w:rsidRPr="00CA6862">
        <w:rPr>
          <w:rStyle w:val="FootnoteReference"/>
          <w:rFonts w:eastAsiaTheme="minorHAnsi"/>
          <w:sz w:val="18"/>
          <w:szCs w:val="18"/>
        </w:rPr>
        <w:footnoteRef/>
      </w:r>
      <w:r w:rsidRPr="00CA6862">
        <w:rPr>
          <w:rFonts w:cs="Times New Roman"/>
          <w:sz w:val="18"/>
          <w:szCs w:val="18"/>
          <w:rtl/>
        </w:rPr>
        <w:t xml:space="preserve"> </w:t>
      </w:r>
      <w:r w:rsidRPr="00CA6862">
        <w:rPr>
          <w:rFonts w:cs="Times New Roman"/>
          <w:sz w:val="18"/>
          <w:szCs w:val="18"/>
        </w:rPr>
        <w:t>Nonrival</w:t>
      </w:r>
    </w:p>
  </w:footnote>
  <w:footnote w:id="101">
    <w:p w14:paraId="64876841" w14:textId="77777777" w:rsidR="00411620" w:rsidRPr="00CA6862" w:rsidRDefault="00411620" w:rsidP="00411620">
      <w:pPr>
        <w:pStyle w:val="FootnoteText"/>
        <w:bidi w:val="0"/>
        <w:rPr>
          <w:sz w:val="18"/>
          <w:szCs w:val="18"/>
        </w:rPr>
      </w:pPr>
      <w:r w:rsidRPr="00CA6862">
        <w:rPr>
          <w:rStyle w:val="FootnoteReference"/>
          <w:rFonts w:eastAsiaTheme="minorHAnsi"/>
          <w:sz w:val="18"/>
          <w:szCs w:val="18"/>
        </w:rPr>
        <w:footnoteRef/>
      </w:r>
      <w:r w:rsidRPr="00CA6862">
        <w:rPr>
          <w:rFonts w:cs="Times New Roman"/>
          <w:sz w:val="18"/>
          <w:szCs w:val="18"/>
          <w:rtl/>
        </w:rPr>
        <w:t xml:space="preserve"> </w:t>
      </w:r>
      <w:r w:rsidRPr="00CA6862">
        <w:rPr>
          <w:rFonts w:cs="Times New Roman"/>
          <w:sz w:val="18"/>
          <w:szCs w:val="18"/>
        </w:rPr>
        <w:t>Inada conditions, 1963</w:t>
      </w:r>
    </w:p>
  </w:footnote>
  <w:footnote w:id="102">
    <w:p w14:paraId="39B7764E" w14:textId="77777777" w:rsidR="00411620" w:rsidRPr="00CA6862" w:rsidRDefault="00411620" w:rsidP="00411620">
      <w:pPr>
        <w:pStyle w:val="FootnoteText"/>
        <w:bidi w:val="0"/>
        <w:rPr>
          <w:sz w:val="18"/>
          <w:szCs w:val="18"/>
        </w:rPr>
      </w:pPr>
      <w:r w:rsidRPr="00CA6862">
        <w:rPr>
          <w:rStyle w:val="FootnoteReference"/>
          <w:rFonts w:eastAsiaTheme="minorHAnsi"/>
          <w:sz w:val="18"/>
          <w:szCs w:val="18"/>
        </w:rPr>
        <w:footnoteRef/>
      </w:r>
      <w:r w:rsidRPr="00CA6862">
        <w:rPr>
          <w:rFonts w:cs="Times New Roman"/>
          <w:sz w:val="18"/>
          <w:szCs w:val="18"/>
          <w:rtl/>
        </w:rPr>
        <w:t xml:space="preserve"> </w:t>
      </w:r>
      <w:r w:rsidRPr="00CA6862">
        <w:rPr>
          <w:rFonts w:cs="Times New Roman"/>
          <w:sz w:val="18"/>
          <w:szCs w:val="18"/>
        </w:rPr>
        <w:t>Essentiality</w:t>
      </w:r>
    </w:p>
  </w:footnote>
  <w:footnote w:id="103">
    <w:p w14:paraId="4E426F5E" w14:textId="77777777" w:rsidR="00411620" w:rsidRPr="00CA6862" w:rsidRDefault="00411620" w:rsidP="00411620">
      <w:pPr>
        <w:pStyle w:val="FootnoteText"/>
        <w:bidi w:val="0"/>
        <w:rPr>
          <w:sz w:val="18"/>
          <w:szCs w:val="18"/>
          <w:rtl/>
        </w:rPr>
      </w:pPr>
      <w:r w:rsidRPr="00CA6862">
        <w:rPr>
          <w:rStyle w:val="FootnoteReference"/>
          <w:rFonts w:eastAsiaTheme="minorHAnsi"/>
          <w:sz w:val="18"/>
          <w:szCs w:val="18"/>
        </w:rPr>
        <w:footnoteRef/>
      </w:r>
      <w:r w:rsidRPr="00CA6862">
        <w:rPr>
          <w:rFonts w:cs="Times New Roman"/>
          <w:sz w:val="18"/>
          <w:szCs w:val="18"/>
          <w:rtl/>
        </w:rPr>
        <w:t xml:space="preserve"> </w:t>
      </w:r>
      <w:r w:rsidRPr="00CA6862">
        <w:rPr>
          <w:rFonts w:cs="Times New Roman"/>
          <w:sz w:val="18"/>
          <w:szCs w:val="18"/>
        </w:rPr>
        <w:t>Balanced Growth</w:t>
      </w:r>
    </w:p>
  </w:footnote>
  <w:footnote w:id="104">
    <w:p w14:paraId="65B74B9A" w14:textId="77777777" w:rsidR="00411620" w:rsidRPr="00CA6862" w:rsidRDefault="00411620" w:rsidP="00411620">
      <w:pPr>
        <w:pStyle w:val="FootnoteText"/>
        <w:bidi w:val="0"/>
        <w:rPr>
          <w:sz w:val="18"/>
          <w:szCs w:val="18"/>
        </w:rPr>
      </w:pPr>
      <w:r w:rsidRPr="00CA6862">
        <w:rPr>
          <w:rStyle w:val="FootnoteReference"/>
          <w:sz w:val="18"/>
          <w:szCs w:val="18"/>
        </w:rPr>
        <w:footnoteRef/>
      </w:r>
      <w:r w:rsidRPr="00CA6862">
        <w:rPr>
          <w:sz w:val="18"/>
          <w:szCs w:val="18"/>
          <w:rtl/>
        </w:rPr>
        <w:t xml:space="preserve"> </w:t>
      </w:r>
      <w:r w:rsidRPr="00CA6862">
        <w:rPr>
          <w:sz w:val="18"/>
          <w:szCs w:val="18"/>
        </w:rPr>
        <w:t>Unbalanced Growth</w:t>
      </w:r>
    </w:p>
  </w:footnote>
  <w:footnote w:id="105">
    <w:p w14:paraId="43DC46B6" w14:textId="77777777" w:rsidR="00411620" w:rsidRPr="00CA6862" w:rsidRDefault="00411620" w:rsidP="00411620">
      <w:pPr>
        <w:pStyle w:val="FootnoteText"/>
        <w:bidi w:val="0"/>
        <w:rPr>
          <w:sz w:val="18"/>
          <w:szCs w:val="18"/>
          <w:lang w:val="en-GB"/>
        </w:rPr>
      </w:pPr>
      <w:r w:rsidRPr="00CA6862">
        <w:rPr>
          <w:rStyle w:val="FootnoteReference"/>
          <w:rFonts w:eastAsiaTheme="minorHAnsi"/>
          <w:sz w:val="18"/>
          <w:szCs w:val="18"/>
        </w:rPr>
        <w:footnoteRef/>
      </w:r>
      <w:r w:rsidRPr="00CA6862">
        <w:rPr>
          <w:rFonts w:cs="Times New Roman"/>
          <w:sz w:val="18"/>
          <w:szCs w:val="18"/>
          <w:rtl/>
        </w:rPr>
        <w:t xml:space="preserve"> </w:t>
      </w:r>
      <w:r w:rsidRPr="00CA6862">
        <w:rPr>
          <w:rFonts w:cs="Times New Roman"/>
          <w:sz w:val="18"/>
          <w:szCs w:val="18"/>
          <w:lang w:val="en-GB"/>
        </w:rPr>
        <w:t>Labour Augmenting</w:t>
      </w:r>
    </w:p>
  </w:footnote>
  <w:footnote w:id="106">
    <w:p w14:paraId="74917FF1" w14:textId="77777777" w:rsidR="00411620" w:rsidRPr="00CA6862" w:rsidRDefault="00411620" w:rsidP="00411620">
      <w:pPr>
        <w:pStyle w:val="FootnoteText"/>
        <w:bidi w:val="0"/>
        <w:rPr>
          <w:sz w:val="18"/>
          <w:szCs w:val="18"/>
        </w:rPr>
      </w:pPr>
      <w:r w:rsidRPr="00CA6862">
        <w:rPr>
          <w:rStyle w:val="FootnoteReference"/>
          <w:rFonts w:eastAsiaTheme="minorHAnsi"/>
          <w:sz w:val="18"/>
          <w:szCs w:val="18"/>
        </w:rPr>
        <w:footnoteRef/>
      </w:r>
      <w:r w:rsidRPr="00CA6862">
        <w:rPr>
          <w:rFonts w:cs="Times New Roman"/>
          <w:sz w:val="18"/>
          <w:szCs w:val="18"/>
          <w:rtl/>
        </w:rPr>
        <w:t xml:space="preserve"> </w:t>
      </w:r>
      <w:r w:rsidRPr="00CA6862">
        <w:rPr>
          <w:rFonts w:ascii="Cambria Math" w:hAnsi="Cambria Math"/>
          <w:iCs/>
          <w:sz w:val="18"/>
          <w:szCs w:val="18"/>
        </w:rPr>
        <w:t>Isoquant</w:t>
      </w:r>
    </w:p>
  </w:footnote>
  <w:footnote w:id="107">
    <w:p w14:paraId="0CE639DD" w14:textId="77777777" w:rsidR="00411620" w:rsidRPr="00CA6862" w:rsidRDefault="00411620" w:rsidP="00411620">
      <w:pPr>
        <w:bidi w:val="0"/>
        <w:ind w:hanging="1"/>
        <w:rPr>
          <w:sz w:val="18"/>
          <w:szCs w:val="18"/>
          <w:lang w:val="en-GB"/>
        </w:rPr>
      </w:pPr>
      <w:r w:rsidRPr="00CA6862">
        <w:rPr>
          <w:rStyle w:val="FootnoteReference"/>
          <w:rFonts w:eastAsiaTheme="minorHAnsi"/>
          <w:sz w:val="18"/>
          <w:szCs w:val="18"/>
        </w:rPr>
        <w:footnoteRef/>
      </w:r>
      <w:r w:rsidRPr="00CA6862">
        <w:rPr>
          <w:rFonts w:cs="Times New Roman"/>
          <w:sz w:val="18"/>
          <w:szCs w:val="18"/>
          <w:rtl/>
        </w:rPr>
        <w:t xml:space="preserve"> </w:t>
      </w:r>
      <w:r w:rsidRPr="00CA6862">
        <w:rPr>
          <w:rFonts w:cs="Times New Roman"/>
          <w:sz w:val="18"/>
          <w:szCs w:val="18"/>
          <w:rtl/>
        </w:rPr>
        <w:t>.</w:t>
      </w:r>
      <w:r w:rsidRPr="00A62FF4">
        <w:rPr>
          <w:position w:val="-34"/>
        </w:rPr>
        <w:object w:dxaOrig="5660" w:dyaOrig="800" w14:anchorId="545E0D7B">
          <v:shape id="_x0000_i8262" type="#_x0000_t75" style="width:283.15pt;height:39.95pt" o:ole="">
            <v:imagedata r:id="rId7" o:title=""/>
          </v:shape>
          <o:OLEObject Type="Embed" ProgID="Equation.DSMT4" ShapeID="_x0000_i8262" DrawAspect="Content" ObjectID="_1791382201" r:id="rId8"/>
        </w:object>
      </w:r>
    </w:p>
  </w:footnote>
  <w:footnote w:id="108">
    <w:p w14:paraId="774689C1" w14:textId="77777777" w:rsidR="00411620" w:rsidRPr="00CA6862" w:rsidRDefault="00411620" w:rsidP="00411620">
      <w:pPr>
        <w:pStyle w:val="FootnoteText"/>
        <w:bidi w:val="0"/>
        <w:rPr>
          <w:sz w:val="18"/>
          <w:szCs w:val="18"/>
        </w:rPr>
      </w:pPr>
      <w:r w:rsidRPr="00CA6862">
        <w:rPr>
          <w:rStyle w:val="FootnoteReference"/>
          <w:sz w:val="18"/>
          <w:szCs w:val="18"/>
        </w:rPr>
        <w:footnoteRef/>
      </w:r>
      <w:r w:rsidRPr="00CA6862">
        <w:rPr>
          <w:sz w:val="18"/>
          <w:szCs w:val="18"/>
          <w:rtl/>
        </w:rPr>
        <w:t xml:space="preserve"> </w:t>
      </w:r>
      <w:r w:rsidRPr="00CA6862">
        <w:rPr>
          <w:sz w:val="18"/>
          <w:szCs w:val="18"/>
        </w:rPr>
        <w:t>Romer, P. M (1986)</w:t>
      </w:r>
    </w:p>
  </w:footnote>
  <w:footnote w:id="109">
    <w:p w14:paraId="681FB356" w14:textId="77777777" w:rsidR="00411620" w:rsidRPr="00CA6862" w:rsidRDefault="00411620" w:rsidP="00411620">
      <w:pPr>
        <w:pStyle w:val="FootnoteText"/>
        <w:bidi w:val="0"/>
        <w:rPr>
          <w:sz w:val="18"/>
          <w:szCs w:val="18"/>
        </w:rPr>
      </w:pPr>
      <w:r w:rsidRPr="00CA6862">
        <w:rPr>
          <w:rStyle w:val="FootnoteReference"/>
          <w:sz w:val="18"/>
          <w:szCs w:val="18"/>
        </w:rPr>
        <w:footnoteRef/>
      </w:r>
      <w:r w:rsidRPr="00CA6862">
        <w:rPr>
          <w:sz w:val="18"/>
          <w:szCs w:val="18"/>
          <w:rtl/>
        </w:rPr>
        <w:t xml:space="preserve"> </w:t>
      </w:r>
      <w:proofErr w:type="spellStart"/>
      <w:r w:rsidRPr="00CA6862">
        <w:rPr>
          <w:sz w:val="18"/>
          <w:szCs w:val="18"/>
        </w:rPr>
        <w:t>Rebelo</w:t>
      </w:r>
      <w:proofErr w:type="spellEnd"/>
      <w:r w:rsidRPr="00CA6862">
        <w:rPr>
          <w:sz w:val="18"/>
          <w:szCs w:val="18"/>
        </w:rPr>
        <w:t>, S (1991)</w:t>
      </w:r>
    </w:p>
  </w:footnote>
  <w:footnote w:id="110">
    <w:p w14:paraId="232FDEC2" w14:textId="77777777" w:rsidR="00411620" w:rsidRPr="00CA6862" w:rsidRDefault="00411620" w:rsidP="00411620">
      <w:pPr>
        <w:pStyle w:val="FootnoteText"/>
        <w:bidi w:val="0"/>
        <w:rPr>
          <w:sz w:val="18"/>
          <w:szCs w:val="18"/>
        </w:rPr>
      </w:pPr>
      <w:r w:rsidRPr="00CA6862">
        <w:rPr>
          <w:rStyle w:val="FootnoteReference"/>
          <w:sz w:val="18"/>
          <w:szCs w:val="18"/>
        </w:rPr>
        <w:footnoteRef/>
      </w:r>
      <w:r w:rsidRPr="00CA6862">
        <w:rPr>
          <w:sz w:val="18"/>
          <w:szCs w:val="18"/>
          <w:rtl/>
        </w:rPr>
        <w:t xml:space="preserve"> </w:t>
      </w:r>
      <w:r w:rsidRPr="00CA6862">
        <w:rPr>
          <w:sz w:val="18"/>
          <w:szCs w:val="18"/>
        </w:rPr>
        <w:t xml:space="preserve">Barro, R. J and X, </w:t>
      </w:r>
      <w:proofErr w:type="spellStart"/>
      <w:r w:rsidRPr="00CA6862">
        <w:rPr>
          <w:sz w:val="18"/>
          <w:szCs w:val="18"/>
        </w:rPr>
        <w:t>Slalai</w:t>
      </w:r>
      <w:proofErr w:type="spellEnd"/>
      <w:r w:rsidRPr="00CA6862">
        <w:rPr>
          <w:sz w:val="18"/>
          <w:szCs w:val="18"/>
        </w:rPr>
        <w:t>-Martin (2004)</w:t>
      </w:r>
    </w:p>
  </w:footnote>
  <w:footnote w:id="111">
    <w:p w14:paraId="7E817D42" w14:textId="77777777" w:rsidR="00411620" w:rsidRPr="00CA6862" w:rsidRDefault="00411620" w:rsidP="00411620">
      <w:pPr>
        <w:pStyle w:val="FootnoteText"/>
        <w:rPr>
          <w:sz w:val="18"/>
          <w:szCs w:val="18"/>
          <w:rtl/>
        </w:rPr>
      </w:pPr>
      <w:r w:rsidRPr="00CA6862">
        <w:rPr>
          <w:rStyle w:val="FootnoteReference"/>
          <w:rFonts w:eastAsiaTheme="minorHAnsi"/>
          <w:sz w:val="18"/>
          <w:szCs w:val="18"/>
        </w:rPr>
        <w:footnoteRef/>
      </w:r>
      <w:r w:rsidRPr="00CA6862">
        <w:rPr>
          <w:rFonts w:cs="Times New Roman"/>
          <w:sz w:val="18"/>
          <w:szCs w:val="18"/>
          <w:rtl/>
        </w:rPr>
        <w:t xml:space="preserve"> </w:t>
      </w:r>
      <w:r w:rsidRPr="00CA6862">
        <w:rPr>
          <w:rFonts w:cs="Times New Roman" w:hint="cs"/>
          <w:sz w:val="18"/>
          <w:szCs w:val="18"/>
          <w:rtl/>
        </w:rPr>
        <w:t>برای مطالعه</w:t>
      </w:r>
      <w:r w:rsidRPr="00CA6862">
        <w:rPr>
          <w:rFonts w:cs="Times New Roman"/>
          <w:sz w:val="18"/>
          <w:szCs w:val="18"/>
          <w:rtl/>
        </w:rPr>
        <w:softHyphen/>
      </w:r>
      <w:r w:rsidRPr="00CA6862">
        <w:rPr>
          <w:rFonts w:cs="Times New Roman" w:hint="cs"/>
          <w:sz w:val="18"/>
          <w:szCs w:val="18"/>
          <w:rtl/>
        </w:rPr>
        <w:t>ی بیشتر به</w:t>
      </w:r>
      <w:proofErr w:type="spellStart"/>
      <w:r w:rsidRPr="00CA6862">
        <w:rPr>
          <w:rFonts w:cs="Times New Roman"/>
          <w:sz w:val="18"/>
          <w:szCs w:val="18"/>
        </w:rPr>
        <w:t>Rebelo</w:t>
      </w:r>
      <w:proofErr w:type="spellEnd"/>
      <w:r w:rsidRPr="00CA6862">
        <w:rPr>
          <w:rFonts w:cs="Times New Roman"/>
          <w:sz w:val="18"/>
          <w:szCs w:val="18"/>
        </w:rPr>
        <w:t xml:space="preserve"> (1991) </w:t>
      </w:r>
      <w:r w:rsidRPr="00CA6862">
        <w:rPr>
          <w:rFonts w:cs="Times New Roman" w:hint="cs"/>
          <w:sz w:val="18"/>
          <w:szCs w:val="18"/>
          <w:rtl/>
        </w:rPr>
        <w:t xml:space="preserve">و </w:t>
      </w:r>
      <w:r w:rsidRPr="00CA6862">
        <w:rPr>
          <w:rFonts w:cs="Times New Roman"/>
          <w:sz w:val="18"/>
          <w:szCs w:val="18"/>
        </w:rPr>
        <w:t>Barro and Sala-</w:t>
      </w:r>
      <w:proofErr w:type="spellStart"/>
      <w:r w:rsidRPr="00CA6862">
        <w:rPr>
          <w:rFonts w:cs="Times New Roman"/>
          <w:sz w:val="18"/>
          <w:szCs w:val="18"/>
        </w:rPr>
        <w:t>i</w:t>
      </w:r>
      <w:proofErr w:type="spellEnd"/>
      <w:r w:rsidRPr="00CA6862">
        <w:rPr>
          <w:rFonts w:cs="Times New Roman"/>
          <w:sz w:val="18"/>
          <w:szCs w:val="18"/>
        </w:rPr>
        <w:t>-Martin (2004)</w:t>
      </w:r>
      <w:r w:rsidRPr="00CA6862">
        <w:rPr>
          <w:rFonts w:cs="Times New Roman" w:hint="cs"/>
          <w:sz w:val="18"/>
          <w:szCs w:val="18"/>
          <w:rtl/>
        </w:rPr>
        <w:t xml:space="preserve"> مراجعه شود.</w:t>
      </w:r>
    </w:p>
  </w:footnote>
  <w:footnote w:id="112">
    <w:p w14:paraId="48AF4370" w14:textId="77777777" w:rsidR="00411620" w:rsidRPr="00CA6862" w:rsidRDefault="00411620" w:rsidP="00411620">
      <w:pPr>
        <w:pStyle w:val="FootnoteText"/>
        <w:bidi w:val="0"/>
        <w:rPr>
          <w:sz w:val="18"/>
          <w:szCs w:val="18"/>
        </w:rPr>
      </w:pPr>
      <w:r w:rsidRPr="00CA6862">
        <w:rPr>
          <w:rStyle w:val="FootnoteReference"/>
          <w:rFonts w:eastAsiaTheme="minorHAnsi"/>
          <w:sz w:val="18"/>
          <w:szCs w:val="18"/>
        </w:rPr>
        <w:footnoteRef/>
      </w:r>
      <w:r w:rsidRPr="00CA6862">
        <w:rPr>
          <w:rFonts w:cs="Times New Roman"/>
          <w:sz w:val="18"/>
          <w:szCs w:val="18"/>
          <w:rtl/>
        </w:rPr>
        <w:t xml:space="preserve"> </w:t>
      </w:r>
      <w:proofErr w:type="spellStart"/>
      <w:r w:rsidRPr="00CA6862">
        <w:rPr>
          <w:rFonts w:cs="Times New Roman"/>
          <w:sz w:val="18"/>
          <w:szCs w:val="18"/>
        </w:rPr>
        <w:t>Uzawa</w:t>
      </w:r>
      <w:proofErr w:type="spellEnd"/>
      <w:r w:rsidRPr="00CA6862">
        <w:rPr>
          <w:rFonts w:cs="Times New Roman"/>
          <w:sz w:val="18"/>
          <w:szCs w:val="18"/>
        </w:rPr>
        <w:t xml:space="preserve"> (1965)</w:t>
      </w:r>
    </w:p>
  </w:footnote>
  <w:footnote w:id="113">
    <w:p w14:paraId="4B45ABE9" w14:textId="77777777" w:rsidR="00411620" w:rsidRPr="00B73413" w:rsidRDefault="00411620" w:rsidP="00411620">
      <w:pPr>
        <w:pStyle w:val="FootnoteText"/>
        <w:bidi w:val="0"/>
        <w:rPr>
          <w:rFonts w:ascii="Cambria Math" w:hAnsi="Cambria Math"/>
          <w:sz w:val="18"/>
          <w:szCs w:val="18"/>
        </w:rPr>
      </w:pPr>
      <w:r w:rsidRPr="00B73413">
        <w:rPr>
          <w:rStyle w:val="FootnoteReference"/>
          <w:rFonts w:ascii="Cambria Math" w:eastAsiaTheme="majorEastAsia" w:hAnsi="Cambria Math"/>
          <w:sz w:val="18"/>
          <w:szCs w:val="18"/>
        </w:rPr>
        <w:footnoteRef/>
      </w:r>
      <w:r w:rsidRPr="00B73413">
        <w:rPr>
          <w:rFonts w:ascii="Cambria Math" w:eastAsiaTheme="minorEastAsia" w:hAnsi="Cambria Math"/>
          <w:sz w:val="18"/>
          <w:szCs w:val="18"/>
        </w:rPr>
        <w:t xml:space="preserve"> Coefficient of relative Risk aversion (</w:t>
      </w:r>
      <w:proofErr w:type="gramStart"/>
      <w:r w:rsidRPr="00B73413">
        <w:rPr>
          <w:rFonts w:ascii="Cambria Math" w:eastAsiaTheme="minorEastAsia" w:hAnsi="Cambria Math"/>
          <w:sz w:val="18"/>
          <w:szCs w:val="18"/>
        </w:rPr>
        <w:t>CRRA</w:t>
      </w:r>
      <w:r w:rsidRPr="00B73413">
        <w:rPr>
          <w:rFonts w:ascii="Cambria Math" w:hAnsi="Cambria Math"/>
          <w:sz w:val="18"/>
          <w:szCs w:val="18"/>
          <w:rtl/>
        </w:rPr>
        <w:t xml:space="preserve"> </w:t>
      </w:r>
      <w:r w:rsidRPr="00B73413">
        <w:rPr>
          <w:rFonts w:ascii="Cambria Math" w:hAnsi="Cambria Math"/>
          <w:sz w:val="18"/>
          <w:szCs w:val="18"/>
        </w:rPr>
        <w:t>)</w:t>
      </w:r>
      <w:proofErr w:type="gramEnd"/>
    </w:p>
  </w:footnote>
  <w:footnote w:id="114">
    <w:p w14:paraId="4AE0DADE" w14:textId="77777777" w:rsidR="00411620" w:rsidRPr="00B73413" w:rsidRDefault="00411620" w:rsidP="00411620">
      <w:pPr>
        <w:pStyle w:val="FootnoteText"/>
        <w:rPr>
          <w:sz w:val="18"/>
          <w:szCs w:val="18"/>
          <w:rtl/>
        </w:rPr>
      </w:pPr>
      <w:r w:rsidRPr="00B73413">
        <w:rPr>
          <w:rStyle w:val="FootnoteReference"/>
          <w:rFonts w:ascii="Cambria Math" w:eastAsiaTheme="majorEastAsia" w:hAnsi="Cambria Math"/>
          <w:sz w:val="18"/>
          <w:szCs w:val="18"/>
        </w:rPr>
        <w:footnoteRef/>
      </w:r>
      <w:r w:rsidRPr="00B73413">
        <w:rPr>
          <w:sz w:val="18"/>
          <w:szCs w:val="18"/>
        </w:rPr>
        <w:t xml:space="preserve"> </w:t>
      </w:r>
      <w:r w:rsidRPr="00B73413">
        <w:rPr>
          <w:rFonts w:hint="cs"/>
          <w:sz w:val="18"/>
          <w:szCs w:val="18"/>
          <w:rtl/>
        </w:rPr>
        <w:t>فرض کنید</w:t>
      </w:r>
    </w:p>
    <w:p w14:paraId="2F394C98" w14:textId="77777777" w:rsidR="00411620" w:rsidRPr="00B73413" w:rsidRDefault="00411620" w:rsidP="00411620">
      <w:pPr>
        <w:pStyle w:val="FootnoteText"/>
        <w:bidi w:val="0"/>
        <w:rPr>
          <w:rFonts w:ascii="Cambria Math" w:eastAsiaTheme="minorEastAsia" w:hAnsi="Cambria Math"/>
          <w:sz w:val="18"/>
          <w:szCs w:val="18"/>
        </w:rPr>
      </w:pPr>
      <w:r w:rsidRPr="00005251">
        <w:rPr>
          <w:position w:val="-30"/>
        </w:rPr>
        <w:object w:dxaOrig="6480" w:dyaOrig="639" w14:anchorId="408C11BA">
          <v:shape id="_x0000_i8264" type="#_x0000_t75" style="width:324.3pt;height:32.05pt" o:ole="">
            <v:imagedata r:id="rId9" o:title=""/>
          </v:shape>
          <o:OLEObject Type="Embed" ProgID="Equation.DSMT4" ShapeID="_x0000_i8264" DrawAspect="Content" ObjectID="_1791382202" r:id="rId10"/>
        </w:object>
      </w:r>
      <w:r w:rsidRPr="00005251">
        <w:rPr>
          <w:position w:val="-32"/>
        </w:rPr>
        <w:object w:dxaOrig="5200" w:dyaOrig="1020" w14:anchorId="5890EFA0">
          <v:shape id="_x0000_i8266" type="#_x0000_t75" style="width:260.75pt;height:50.8pt" o:ole="">
            <v:imagedata r:id="rId11" o:title=""/>
          </v:shape>
          <o:OLEObject Type="Embed" ProgID="Equation.DSMT4" ShapeID="_x0000_i8266" DrawAspect="Content" ObjectID="_1791382203" r:id="rId12"/>
        </w:object>
      </w:r>
    </w:p>
  </w:footnote>
  <w:footnote w:id="115">
    <w:p w14:paraId="443C23CF" w14:textId="77777777" w:rsidR="00411620" w:rsidRPr="00B73413" w:rsidRDefault="00411620" w:rsidP="00411620">
      <w:pPr>
        <w:pStyle w:val="FootnoteText"/>
        <w:bidi w:val="0"/>
        <w:rPr>
          <w:rFonts w:ascii="Cambria Math" w:hAnsi="Cambria Math" w:cs="Times New Roman"/>
          <w:sz w:val="18"/>
          <w:szCs w:val="18"/>
        </w:rPr>
      </w:pPr>
      <w:r w:rsidRPr="00B73413">
        <w:rPr>
          <w:rStyle w:val="FootnoteReference"/>
          <w:rFonts w:ascii="Cambria Math" w:eastAsiaTheme="majorEastAsia" w:hAnsi="Cambria Math" w:cs="Times New Roman"/>
          <w:sz w:val="18"/>
          <w:szCs w:val="18"/>
        </w:rPr>
        <w:footnoteRef/>
      </w:r>
      <w:r w:rsidRPr="00B73413">
        <w:rPr>
          <w:rFonts w:ascii="Cambria Math" w:hAnsi="Cambria Math" w:cs="Times New Roman"/>
          <w:sz w:val="18"/>
          <w:szCs w:val="18"/>
        </w:rPr>
        <w:t xml:space="preserve"> </w:t>
      </w:r>
      <w:r w:rsidRPr="00B73413">
        <w:rPr>
          <w:rFonts w:ascii="Cambria Math" w:hAnsi="Cambria Math" w:cs="Times New Roman"/>
          <w:sz w:val="18"/>
          <w:szCs w:val="18"/>
          <w:rtl/>
        </w:rPr>
        <w:t>-</w:t>
      </w:r>
      <w:r w:rsidRPr="00B73413">
        <w:rPr>
          <w:rFonts w:ascii="Cambria Math" w:hAnsi="Cambria Math" w:cs="Times New Roman"/>
          <w:sz w:val="18"/>
          <w:szCs w:val="18"/>
        </w:rPr>
        <w:t xml:space="preserve"> Rational</w:t>
      </w:r>
      <w:r w:rsidRPr="00B73413">
        <w:rPr>
          <w:rFonts w:ascii="Cambria Math" w:hAnsi="Cambria Math" w:cs="Times New Roman"/>
          <w:sz w:val="18"/>
          <w:szCs w:val="18"/>
          <w:rtl/>
        </w:rPr>
        <w:t xml:space="preserve"> </w:t>
      </w:r>
      <w:r w:rsidRPr="00B73413">
        <w:rPr>
          <w:rFonts w:ascii="Cambria Math" w:hAnsi="Cambria Math" w:cs="Times New Roman"/>
          <w:sz w:val="18"/>
          <w:szCs w:val="18"/>
          <w:lang w:val="en-GB"/>
        </w:rPr>
        <w:t>Expectations</w:t>
      </w:r>
      <w:r w:rsidRPr="00B73413">
        <w:rPr>
          <w:rFonts w:ascii="Cambria Math" w:hAnsi="Cambria Math" w:cs="Times New Roman"/>
          <w:sz w:val="18"/>
          <w:szCs w:val="18"/>
        </w:rPr>
        <w:t xml:space="preserve"> </w:t>
      </w:r>
    </w:p>
  </w:footnote>
  <w:footnote w:id="116">
    <w:p w14:paraId="523685B4" w14:textId="77777777" w:rsidR="00411620" w:rsidRPr="00B73413" w:rsidRDefault="00411620" w:rsidP="00411620">
      <w:pPr>
        <w:pStyle w:val="FootnoteText"/>
        <w:bidi w:val="0"/>
        <w:rPr>
          <w:rFonts w:ascii="Cambria Math" w:hAnsi="Cambria Math" w:cs="Times New Roman"/>
          <w:sz w:val="18"/>
          <w:szCs w:val="18"/>
        </w:rPr>
      </w:pPr>
      <w:r w:rsidRPr="00B73413">
        <w:rPr>
          <w:rStyle w:val="FootnoteReference"/>
          <w:rFonts w:ascii="Cambria Math" w:eastAsiaTheme="majorEastAsia" w:hAnsi="Cambria Math" w:cs="Times New Roman"/>
          <w:sz w:val="18"/>
          <w:szCs w:val="18"/>
        </w:rPr>
        <w:footnoteRef/>
      </w:r>
      <w:r w:rsidRPr="00B73413">
        <w:rPr>
          <w:rFonts w:ascii="Cambria Math" w:hAnsi="Cambria Math" w:cs="Times New Roman"/>
          <w:sz w:val="18"/>
          <w:szCs w:val="18"/>
        </w:rPr>
        <w:t xml:space="preserve">  Martingale Process </w:t>
      </w:r>
    </w:p>
  </w:footnote>
  <w:footnote w:id="117">
    <w:p w14:paraId="10B42B80" w14:textId="77777777" w:rsidR="00411620" w:rsidRPr="00B73413" w:rsidRDefault="00411620" w:rsidP="00411620">
      <w:pPr>
        <w:pStyle w:val="FootnoteText"/>
        <w:bidi w:val="0"/>
        <w:rPr>
          <w:rFonts w:ascii="Cambria Math" w:hAnsi="Cambria Math" w:cs="Times New Roman"/>
          <w:sz w:val="18"/>
          <w:szCs w:val="18"/>
        </w:rPr>
      </w:pPr>
      <w:r w:rsidRPr="00B73413">
        <w:rPr>
          <w:rStyle w:val="FootnoteReference"/>
          <w:rFonts w:ascii="Cambria Math" w:eastAsiaTheme="majorEastAsia" w:hAnsi="Cambria Math" w:cs="Times New Roman"/>
          <w:sz w:val="18"/>
          <w:szCs w:val="18"/>
        </w:rPr>
        <w:footnoteRef/>
      </w:r>
      <w:r w:rsidRPr="00B73413">
        <w:rPr>
          <w:rFonts w:ascii="Cambria Math" w:hAnsi="Cambria Math" w:cs="Times New Roman"/>
          <w:sz w:val="18"/>
          <w:szCs w:val="18"/>
          <w:rtl/>
        </w:rPr>
        <w:t>-</w:t>
      </w:r>
      <w:r w:rsidRPr="00B73413">
        <w:rPr>
          <w:rFonts w:ascii="Cambria Math" w:hAnsi="Cambria Math" w:cs="Times New Roman"/>
          <w:sz w:val="18"/>
          <w:szCs w:val="18"/>
        </w:rPr>
        <w:t xml:space="preserve"> Random Walk </w:t>
      </w:r>
    </w:p>
  </w:footnote>
  <w:footnote w:id="118">
    <w:p w14:paraId="6AF5908F" w14:textId="77777777" w:rsidR="00411620" w:rsidRPr="00B73413" w:rsidRDefault="00411620" w:rsidP="00411620">
      <w:pPr>
        <w:pStyle w:val="FootnoteText"/>
        <w:bidi w:val="0"/>
        <w:rPr>
          <w:rFonts w:ascii="Cambria Math" w:hAnsi="Cambria Math" w:cs="Times New Roman"/>
          <w:sz w:val="18"/>
          <w:szCs w:val="18"/>
        </w:rPr>
      </w:pPr>
      <w:r w:rsidRPr="00B73413">
        <w:rPr>
          <w:rStyle w:val="FootnoteReference"/>
          <w:rFonts w:ascii="Cambria Math" w:eastAsiaTheme="majorEastAsia" w:hAnsi="Cambria Math" w:cs="Times New Roman"/>
          <w:sz w:val="18"/>
          <w:szCs w:val="18"/>
        </w:rPr>
        <w:footnoteRef/>
      </w:r>
      <w:r w:rsidRPr="00B73413">
        <w:rPr>
          <w:rFonts w:ascii="Cambria Math" w:hAnsi="Cambria Math" w:cs="Times New Roman"/>
          <w:sz w:val="18"/>
          <w:szCs w:val="18"/>
        </w:rPr>
        <w:t xml:space="preserve">  Robert Hall (1978) </w:t>
      </w:r>
    </w:p>
  </w:footnote>
  <w:footnote w:id="119">
    <w:p w14:paraId="69B7AD97" w14:textId="77777777" w:rsidR="00411620" w:rsidRPr="00B73413" w:rsidRDefault="00411620" w:rsidP="00411620">
      <w:pPr>
        <w:pStyle w:val="FootnoteText"/>
        <w:bidi w:val="0"/>
        <w:rPr>
          <w:rFonts w:ascii="Cambria Math" w:hAnsi="Cambria Math" w:cs="Times New Roman"/>
          <w:sz w:val="18"/>
          <w:szCs w:val="18"/>
        </w:rPr>
      </w:pPr>
      <w:r w:rsidRPr="00B73413">
        <w:rPr>
          <w:rStyle w:val="FootnoteReference"/>
          <w:rFonts w:ascii="Cambria Math" w:eastAsiaTheme="majorEastAsia" w:hAnsi="Cambria Math" w:cs="Times New Roman"/>
          <w:sz w:val="18"/>
          <w:szCs w:val="18"/>
        </w:rPr>
        <w:footnoteRef/>
      </w:r>
      <w:r w:rsidRPr="00B73413">
        <w:rPr>
          <w:rFonts w:ascii="Cambria Math" w:hAnsi="Cambria Math" w:cs="Times New Roman"/>
          <w:sz w:val="18"/>
          <w:szCs w:val="18"/>
        </w:rPr>
        <w:t xml:space="preserve">  Lower Segment </w:t>
      </w:r>
    </w:p>
  </w:footnote>
  <w:footnote w:id="120">
    <w:p w14:paraId="468B6C92" w14:textId="77777777" w:rsidR="00411620" w:rsidRPr="00B73413" w:rsidRDefault="00411620" w:rsidP="00411620">
      <w:pPr>
        <w:bidi w:val="0"/>
        <w:rPr>
          <w:rFonts w:ascii="Cambria Math" w:hAnsi="Cambria Math"/>
          <w:sz w:val="18"/>
          <w:szCs w:val="18"/>
        </w:rPr>
      </w:pPr>
      <w:r w:rsidRPr="00B73413">
        <w:rPr>
          <w:rStyle w:val="FootnoteReference"/>
          <w:rFonts w:ascii="Cambria Math" w:eastAsiaTheme="majorEastAsia" w:hAnsi="Cambria Math"/>
          <w:sz w:val="18"/>
          <w:szCs w:val="18"/>
        </w:rPr>
        <w:footnoteRef/>
      </w:r>
      <w:r w:rsidRPr="00B73413">
        <w:rPr>
          <w:rFonts w:ascii="Cambria Math" w:hAnsi="Cambria Math"/>
          <w:sz w:val="18"/>
          <w:szCs w:val="18"/>
          <w:rtl/>
        </w:rPr>
        <w:t xml:space="preserve"> </w:t>
      </w:r>
      <w:r w:rsidRPr="00B73413">
        <w:rPr>
          <w:rFonts w:ascii="Cambria Math" w:hAnsi="Cambria Math"/>
          <w:bCs/>
          <w:sz w:val="18"/>
          <w:szCs w:val="18"/>
        </w:rPr>
        <w:t>Perpetual Youth</w:t>
      </w:r>
    </w:p>
  </w:footnote>
  <w:footnote w:id="121">
    <w:p w14:paraId="6DD0FA66" w14:textId="77777777" w:rsidR="00411620" w:rsidRPr="00B73413" w:rsidRDefault="00411620" w:rsidP="00411620">
      <w:pPr>
        <w:pStyle w:val="FootnoteText"/>
        <w:bidi w:val="0"/>
        <w:rPr>
          <w:rFonts w:ascii="Cambria Math" w:hAnsi="Cambria Math"/>
          <w:sz w:val="18"/>
          <w:szCs w:val="18"/>
        </w:rPr>
      </w:pPr>
      <w:r w:rsidRPr="00B73413">
        <w:rPr>
          <w:rStyle w:val="FootnoteReference"/>
          <w:rFonts w:ascii="Cambria Math" w:eastAsiaTheme="majorEastAsia" w:hAnsi="Cambria Math"/>
          <w:sz w:val="18"/>
          <w:szCs w:val="18"/>
        </w:rPr>
        <w:footnoteRef/>
      </w:r>
      <w:r w:rsidRPr="00B73413">
        <w:rPr>
          <w:rFonts w:ascii="Cambria Math" w:hAnsi="Cambria Math"/>
          <w:sz w:val="18"/>
          <w:szCs w:val="18"/>
        </w:rPr>
        <w:t xml:space="preserve"> Blanchard </w:t>
      </w:r>
      <w:r w:rsidRPr="00B73413">
        <w:rPr>
          <w:rFonts w:ascii="Cambria Math" w:hAnsi="Cambria Math"/>
          <w:sz w:val="18"/>
          <w:szCs w:val="18"/>
          <w:lang w:val="en-GB"/>
        </w:rPr>
        <w:t xml:space="preserve">and </w:t>
      </w:r>
      <w:r w:rsidRPr="00B73413">
        <w:rPr>
          <w:rFonts w:ascii="Cambria Math" w:hAnsi="Cambria Math"/>
          <w:sz w:val="18"/>
          <w:szCs w:val="18"/>
        </w:rPr>
        <w:t>Fischer, 198</w:t>
      </w:r>
      <w:r w:rsidRPr="00B73413">
        <w:rPr>
          <w:rFonts w:ascii="Cambria Math" w:hAnsi="Cambria Math"/>
          <w:sz w:val="18"/>
          <w:szCs w:val="18"/>
          <w:rtl/>
        </w:rPr>
        <w:t>9</w:t>
      </w:r>
    </w:p>
  </w:footnote>
  <w:footnote w:id="122">
    <w:p w14:paraId="05230156" w14:textId="77777777" w:rsidR="00411620" w:rsidRPr="00B73413" w:rsidRDefault="00411620" w:rsidP="00411620">
      <w:pPr>
        <w:pStyle w:val="FootnoteText"/>
        <w:bidi w:val="0"/>
        <w:rPr>
          <w:rFonts w:ascii="Cambria Math" w:hAnsi="Cambria Math"/>
          <w:sz w:val="18"/>
          <w:szCs w:val="18"/>
        </w:rPr>
      </w:pPr>
      <w:r w:rsidRPr="00B73413">
        <w:rPr>
          <w:rStyle w:val="FootnoteReference"/>
          <w:rFonts w:ascii="Cambria Math" w:eastAsiaTheme="majorEastAsia" w:hAnsi="Cambria Math"/>
          <w:sz w:val="18"/>
          <w:szCs w:val="18"/>
        </w:rPr>
        <w:footnoteRef/>
      </w:r>
      <w:r w:rsidRPr="00B73413">
        <w:rPr>
          <w:rFonts w:ascii="Cambria Math" w:hAnsi="Cambria Math"/>
          <w:sz w:val="18"/>
          <w:szCs w:val="18"/>
          <w:rtl/>
        </w:rPr>
        <w:t xml:space="preserve"> </w:t>
      </w:r>
      <w:proofErr w:type="spellStart"/>
      <w:r w:rsidRPr="00B73413">
        <w:rPr>
          <w:rFonts w:ascii="Cambria Math" w:hAnsi="Cambria Math"/>
          <w:sz w:val="18"/>
          <w:szCs w:val="18"/>
        </w:rPr>
        <w:t>yaari</w:t>
      </w:r>
      <w:proofErr w:type="spellEnd"/>
      <w:r w:rsidRPr="00B73413">
        <w:rPr>
          <w:rFonts w:ascii="Cambria Math" w:hAnsi="Cambria Math"/>
          <w:sz w:val="18"/>
          <w:szCs w:val="18"/>
        </w:rPr>
        <w:t xml:space="preserve"> 1965</w:t>
      </w:r>
    </w:p>
  </w:footnote>
  <w:footnote w:id="123">
    <w:p w14:paraId="2AF6F179" w14:textId="77777777" w:rsidR="00411620" w:rsidRPr="00B73413" w:rsidRDefault="00411620" w:rsidP="00411620">
      <w:pPr>
        <w:pStyle w:val="FootnoteText"/>
        <w:bidi w:val="0"/>
        <w:rPr>
          <w:sz w:val="18"/>
          <w:szCs w:val="18"/>
        </w:rPr>
      </w:pPr>
      <w:r w:rsidRPr="00B73413">
        <w:rPr>
          <w:rStyle w:val="FootnoteReference"/>
          <w:rFonts w:eastAsiaTheme="majorEastAsia"/>
          <w:sz w:val="18"/>
          <w:szCs w:val="18"/>
        </w:rPr>
        <w:footnoteRef/>
      </w:r>
      <w:r w:rsidRPr="00B73413">
        <w:rPr>
          <w:sz w:val="18"/>
          <w:szCs w:val="18"/>
          <w:rtl/>
        </w:rPr>
        <w:t xml:space="preserve"> </w:t>
      </w:r>
      <w:r w:rsidRPr="00B73413">
        <w:rPr>
          <w:sz w:val="18"/>
          <w:szCs w:val="18"/>
        </w:rPr>
        <w:t>payoffs</w:t>
      </w:r>
    </w:p>
  </w:footnote>
  <w:footnote w:id="124">
    <w:p w14:paraId="5E9A6F65" w14:textId="77777777" w:rsidR="00411620" w:rsidRPr="00B73413" w:rsidRDefault="00411620" w:rsidP="00411620">
      <w:pPr>
        <w:pStyle w:val="FootnoteText"/>
        <w:bidi w:val="0"/>
        <w:rPr>
          <w:rFonts w:ascii="Cambria Math" w:hAnsi="Cambria Math"/>
          <w:sz w:val="18"/>
          <w:szCs w:val="18"/>
        </w:rPr>
      </w:pPr>
      <w:r w:rsidRPr="00B73413">
        <w:rPr>
          <w:rStyle w:val="FootnoteReference"/>
          <w:rFonts w:ascii="Cambria Math" w:eastAsiaTheme="majorEastAsia" w:hAnsi="Cambria Math"/>
          <w:sz w:val="18"/>
          <w:szCs w:val="18"/>
        </w:rPr>
        <w:footnoteRef/>
      </w:r>
      <w:r w:rsidRPr="00B73413">
        <w:rPr>
          <w:rFonts w:ascii="Cambria Math" w:hAnsi="Cambria Math"/>
          <w:sz w:val="18"/>
          <w:szCs w:val="18"/>
          <w:rtl/>
        </w:rPr>
        <w:t xml:space="preserve"> </w:t>
      </w:r>
      <w:r w:rsidRPr="00B73413">
        <w:rPr>
          <w:rFonts w:ascii="Cambria Math" w:hAnsi="Cambria Math"/>
          <w:sz w:val="18"/>
          <w:szCs w:val="18"/>
        </w:rPr>
        <w:t>smooth</w:t>
      </w:r>
    </w:p>
  </w:footnote>
  <w:footnote w:id="125">
    <w:p w14:paraId="65B0579F" w14:textId="77777777" w:rsidR="00411620" w:rsidRPr="00B73413" w:rsidRDefault="00411620" w:rsidP="00411620">
      <w:pPr>
        <w:pStyle w:val="FootnoteText"/>
        <w:bidi w:val="0"/>
        <w:rPr>
          <w:rFonts w:ascii="Cambria Math" w:hAnsi="Cambria Math"/>
          <w:sz w:val="18"/>
          <w:szCs w:val="18"/>
          <w:lang w:val="en-GB"/>
        </w:rPr>
      </w:pPr>
      <w:r w:rsidRPr="00B73413">
        <w:rPr>
          <w:rStyle w:val="FootnoteReference"/>
          <w:rFonts w:ascii="Cambria Math" w:eastAsiaTheme="majorEastAsia" w:hAnsi="Cambria Math"/>
          <w:sz w:val="18"/>
          <w:szCs w:val="18"/>
        </w:rPr>
        <w:footnoteRef/>
      </w:r>
      <w:r w:rsidRPr="00B73413">
        <w:rPr>
          <w:rFonts w:ascii="Cambria Math" w:hAnsi="Cambria Math"/>
          <w:sz w:val="18"/>
          <w:szCs w:val="18"/>
          <w:rtl/>
        </w:rPr>
        <w:t xml:space="preserve"> </w:t>
      </w:r>
      <w:r w:rsidRPr="00B73413">
        <w:rPr>
          <w:rFonts w:ascii="Cambria Math" w:hAnsi="Cambria Math"/>
          <w:sz w:val="18"/>
          <w:szCs w:val="18"/>
          <w:lang w:val="en-GB"/>
        </w:rPr>
        <w:t>Flow</w:t>
      </w:r>
    </w:p>
  </w:footnote>
  <w:footnote w:id="126">
    <w:p w14:paraId="391E581D" w14:textId="77777777" w:rsidR="00411620" w:rsidRPr="00B73413" w:rsidRDefault="00411620" w:rsidP="00411620">
      <w:pPr>
        <w:pStyle w:val="FootnoteText"/>
        <w:bidi w:val="0"/>
        <w:rPr>
          <w:rFonts w:ascii="Cambria Math" w:hAnsi="Cambria Math"/>
          <w:sz w:val="18"/>
          <w:szCs w:val="18"/>
          <w:lang w:val="en-GB"/>
        </w:rPr>
      </w:pPr>
      <w:r w:rsidRPr="00B73413">
        <w:rPr>
          <w:rStyle w:val="FootnoteReference"/>
          <w:rFonts w:ascii="Cambria Math" w:eastAsiaTheme="majorEastAsia" w:hAnsi="Cambria Math"/>
          <w:sz w:val="18"/>
          <w:szCs w:val="18"/>
        </w:rPr>
        <w:footnoteRef/>
      </w:r>
      <w:r w:rsidRPr="00B73413">
        <w:rPr>
          <w:rFonts w:ascii="Cambria Math" w:hAnsi="Cambria Math"/>
          <w:sz w:val="18"/>
          <w:szCs w:val="18"/>
          <w:rtl/>
        </w:rPr>
        <w:t xml:space="preserve"> </w:t>
      </w:r>
      <w:r w:rsidRPr="00B73413">
        <w:rPr>
          <w:rFonts w:ascii="Cambria Math" w:hAnsi="Cambria Math"/>
          <w:sz w:val="18"/>
          <w:szCs w:val="18"/>
          <w:lang w:val="en-GB"/>
        </w:rPr>
        <w:t>Stock</w:t>
      </w:r>
    </w:p>
  </w:footnote>
  <w:footnote w:id="127">
    <w:p w14:paraId="5C2712D8" w14:textId="77777777" w:rsidR="00411620" w:rsidRPr="00B73413" w:rsidRDefault="00411620" w:rsidP="00411620">
      <w:pPr>
        <w:pStyle w:val="FootnoteText"/>
        <w:bidi w:val="0"/>
        <w:rPr>
          <w:rFonts w:ascii="Cambria Math" w:hAnsi="Cambria Math" w:cs="Times New Roman"/>
          <w:sz w:val="18"/>
          <w:szCs w:val="18"/>
        </w:rPr>
      </w:pPr>
      <w:r w:rsidRPr="00B73413">
        <w:rPr>
          <w:rStyle w:val="FootnoteReference"/>
          <w:rFonts w:ascii="Cambria Math" w:eastAsiaTheme="majorEastAsia" w:hAnsi="Cambria Math" w:cs="Times New Roman"/>
          <w:sz w:val="18"/>
          <w:szCs w:val="18"/>
        </w:rPr>
        <w:footnoteRef/>
      </w:r>
      <w:r w:rsidRPr="00B73413">
        <w:rPr>
          <w:rFonts w:ascii="Cambria Math" w:hAnsi="Cambria Math" w:cs="Times New Roman"/>
          <w:sz w:val="18"/>
          <w:szCs w:val="18"/>
        </w:rPr>
        <w:t xml:space="preserve">Stock of Outstanding Firm Debt </w:t>
      </w:r>
    </w:p>
  </w:footnote>
  <w:footnote w:id="128">
    <w:p w14:paraId="620ADF27" w14:textId="77777777" w:rsidR="00411620" w:rsidRPr="00B73413" w:rsidRDefault="00411620" w:rsidP="00411620">
      <w:pPr>
        <w:pStyle w:val="FootnoteText"/>
        <w:bidi w:val="0"/>
        <w:rPr>
          <w:rFonts w:ascii="Cambria Math" w:hAnsi="Cambria Math" w:cs="Times New Roman"/>
          <w:sz w:val="18"/>
          <w:szCs w:val="18"/>
        </w:rPr>
      </w:pPr>
      <w:r w:rsidRPr="00B73413">
        <w:rPr>
          <w:rStyle w:val="FootnoteReference"/>
          <w:rFonts w:ascii="Cambria Math" w:eastAsiaTheme="majorEastAsia" w:hAnsi="Cambria Math" w:cs="Times New Roman"/>
          <w:sz w:val="18"/>
          <w:szCs w:val="18"/>
        </w:rPr>
        <w:footnoteRef/>
      </w:r>
      <w:r w:rsidRPr="00B73413">
        <w:rPr>
          <w:rFonts w:ascii="Cambria Math" w:hAnsi="Cambria Math" w:cs="Times New Roman"/>
          <w:sz w:val="18"/>
          <w:szCs w:val="18"/>
        </w:rPr>
        <w:t xml:space="preserve"> Corporate Debt </w:t>
      </w:r>
    </w:p>
  </w:footnote>
  <w:footnote w:id="129">
    <w:p w14:paraId="561FD094" w14:textId="77777777" w:rsidR="00411620" w:rsidRPr="00B73413" w:rsidRDefault="00411620" w:rsidP="00411620">
      <w:pPr>
        <w:pStyle w:val="FootnoteText"/>
        <w:bidi w:val="0"/>
        <w:rPr>
          <w:rFonts w:ascii="Cambria Math" w:hAnsi="Cambria Math"/>
          <w:sz w:val="18"/>
          <w:szCs w:val="18"/>
        </w:rPr>
      </w:pPr>
      <w:r w:rsidRPr="00B73413">
        <w:rPr>
          <w:rStyle w:val="FootnoteReference"/>
          <w:rFonts w:ascii="Cambria Math" w:eastAsiaTheme="majorEastAsia" w:hAnsi="Cambria Math"/>
          <w:sz w:val="18"/>
          <w:szCs w:val="18"/>
        </w:rPr>
        <w:footnoteRef/>
      </w:r>
      <w:r w:rsidRPr="00B73413">
        <w:rPr>
          <w:rFonts w:ascii="Cambria Math" w:hAnsi="Cambria Math"/>
          <w:sz w:val="18"/>
          <w:szCs w:val="18"/>
          <w:rtl/>
        </w:rPr>
        <w:t xml:space="preserve"> </w:t>
      </w:r>
      <w:r w:rsidRPr="00B73413">
        <w:rPr>
          <w:rFonts w:ascii="Cambria Math" w:hAnsi="Cambria Math"/>
          <w:sz w:val="18"/>
          <w:szCs w:val="18"/>
        </w:rPr>
        <w:t>Inverse Function</w:t>
      </w:r>
    </w:p>
  </w:footnote>
  <w:footnote w:id="130">
    <w:p w14:paraId="1D91AFCF" w14:textId="77777777" w:rsidR="00411620" w:rsidRPr="00B73413" w:rsidRDefault="00411620" w:rsidP="00411620">
      <w:pPr>
        <w:pStyle w:val="Header"/>
        <w:bidi w:val="0"/>
        <w:rPr>
          <w:rFonts w:ascii="Cambria Math" w:hAnsi="Cambria Math"/>
          <w:sz w:val="18"/>
          <w:szCs w:val="18"/>
        </w:rPr>
      </w:pPr>
      <w:r w:rsidRPr="00B73413">
        <w:rPr>
          <w:rStyle w:val="FootnoteReference"/>
          <w:rFonts w:ascii="Cambria Math" w:eastAsiaTheme="majorEastAsia" w:hAnsi="Cambria Math"/>
          <w:sz w:val="18"/>
          <w:szCs w:val="18"/>
        </w:rPr>
        <w:footnoteRef/>
      </w:r>
      <w:r w:rsidRPr="00B73413">
        <w:rPr>
          <w:rFonts w:ascii="Cambria Math" w:hAnsi="Cambria Math"/>
          <w:sz w:val="18"/>
          <w:szCs w:val="18"/>
          <w:rtl/>
        </w:rPr>
        <w:t xml:space="preserve"> </w:t>
      </w:r>
      <w:r w:rsidRPr="00B73413">
        <w:rPr>
          <w:rFonts w:ascii="Cambria Math" w:hAnsi="Cambria Math" w:cs="Times New Roman"/>
          <w:sz w:val="18"/>
          <w:szCs w:val="18"/>
        </w:rPr>
        <w:t>Modigliani–Miller (1958)</w:t>
      </w:r>
    </w:p>
  </w:footnote>
  <w:footnote w:id="131">
    <w:p w14:paraId="79125D34" w14:textId="77777777" w:rsidR="00411620" w:rsidRPr="00B73413" w:rsidRDefault="00411620" w:rsidP="00411620">
      <w:pPr>
        <w:pStyle w:val="FootnoteText"/>
        <w:bidi w:val="0"/>
        <w:rPr>
          <w:rFonts w:ascii="Cambria Math" w:hAnsi="Cambria Math"/>
          <w:sz w:val="18"/>
          <w:szCs w:val="18"/>
        </w:rPr>
      </w:pPr>
      <w:r w:rsidRPr="00B73413">
        <w:rPr>
          <w:rStyle w:val="FootnoteReference"/>
          <w:rFonts w:ascii="Cambria Math" w:eastAsiaTheme="majorEastAsia" w:hAnsi="Cambria Math"/>
          <w:sz w:val="18"/>
          <w:szCs w:val="18"/>
        </w:rPr>
        <w:footnoteRef/>
      </w:r>
      <w:r w:rsidRPr="00B73413">
        <w:rPr>
          <w:rFonts w:ascii="Cambria Math" w:hAnsi="Cambria Math"/>
          <w:sz w:val="18"/>
          <w:szCs w:val="18"/>
          <w:rtl/>
        </w:rPr>
        <w:t xml:space="preserve"> </w:t>
      </w:r>
      <w:r w:rsidRPr="00B73413">
        <w:rPr>
          <w:rFonts w:ascii="Cambria Math" w:hAnsi="Cambria Math"/>
          <w:sz w:val="18"/>
          <w:szCs w:val="18"/>
          <w:lang w:val="en-GB"/>
        </w:rPr>
        <w:t>T</w:t>
      </w:r>
      <w:proofErr w:type="spellStart"/>
      <w:r w:rsidRPr="00B73413">
        <w:rPr>
          <w:rFonts w:ascii="Cambria Math" w:hAnsi="Cambria Math"/>
          <w:sz w:val="18"/>
          <w:szCs w:val="18"/>
        </w:rPr>
        <w:t>urnover</w:t>
      </w:r>
      <w:proofErr w:type="spellEnd"/>
      <w:r w:rsidRPr="00B73413">
        <w:rPr>
          <w:rFonts w:ascii="Cambria Math" w:hAnsi="Cambria Math"/>
          <w:sz w:val="18"/>
          <w:szCs w:val="18"/>
        </w:rPr>
        <w:t xml:space="preserve"> </w:t>
      </w:r>
    </w:p>
  </w:footnote>
  <w:footnote w:id="132">
    <w:p w14:paraId="508E9F42" w14:textId="77777777" w:rsidR="00411620" w:rsidRPr="00B73413" w:rsidRDefault="00411620" w:rsidP="00411620">
      <w:pPr>
        <w:pStyle w:val="FootnoteText"/>
        <w:bidi w:val="0"/>
        <w:rPr>
          <w:rFonts w:ascii="Cambria Math" w:hAnsi="Cambria Math" w:cs="Times New Roman"/>
          <w:sz w:val="18"/>
          <w:szCs w:val="18"/>
        </w:rPr>
      </w:pPr>
      <w:r w:rsidRPr="00B73413">
        <w:rPr>
          <w:rStyle w:val="FootnoteReference"/>
          <w:rFonts w:ascii="Cambria Math" w:eastAsiaTheme="majorEastAsia" w:hAnsi="Cambria Math" w:cs="Times New Roman"/>
          <w:sz w:val="18"/>
          <w:szCs w:val="18"/>
        </w:rPr>
        <w:footnoteRef/>
      </w:r>
      <w:r w:rsidRPr="00B73413">
        <w:rPr>
          <w:rFonts w:ascii="Cambria Math" w:hAnsi="Cambria Math" w:cs="Times New Roman"/>
          <w:sz w:val="18"/>
          <w:szCs w:val="18"/>
        </w:rPr>
        <w:t xml:space="preserve"> A Single Hourly Wage Rate </w:t>
      </w:r>
    </w:p>
  </w:footnote>
  <w:footnote w:id="133">
    <w:p w14:paraId="0A807B20" w14:textId="77777777" w:rsidR="00411620" w:rsidRPr="00B73413" w:rsidRDefault="00411620" w:rsidP="00411620">
      <w:pPr>
        <w:pStyle w:val="FootnoteText"/>
        <w:bidi w:val="0"/>
        <w:rPr>
          <w:rFonts w:ascii="Cambria Math" w:hAnsi="Cambria Math"/>
          <w:sz w:val="18"/>
          <w:szCs w:val="18"/>
          <w:lang w:val="en-GB"/>
        </w:rPr>
      </w:pPr>
      <w:r w:rsidRPr="00B73413">
        <w:rPr>
          <w:rStyle w:val="FootnoteReference"/>
          <w:rFonts w:ascii="Cambria Math" w:eastAsiaTheme="majorEastAsia" w:hAnsi="Cambria Math"/>
          <w:sz w:val="18"/>
          <w:szCs w:val="18"/>
        </w:rPr>
        <w:footnoteRef/>
      </w:r>
      <w:r w:rsidRPr="00B73413">
        <w:rPr>
          <w:rFonts w:ascii="Cambria Math" w:hAnsi="Cambria Math"/>
          <w:sz w:val="18"/>
          <w:szCs w:val="18"/>
          <w:rtl/>
        </w:rPr>
        <w:t xml:space="preserve"> </w:t>
      </w:r>
      <w:r w:rsidRPr="00B73413">
        <w:rPr>
          <w:rFonts w:ascii="Cambria Math" w:hAnsi="Cambria Math" w:cs="Times New Roman"/>
          <w:sz w:val="18"/>
          <w:szCs w:val="18"/>
        </w:rPr>
        <w:t xml:space="preserve">Man-Hours </w:t>
      </w:r>
    </w:p>
  </w:footnote>
  <w:footnote w:id="134">
    <w:p w14:paraId="7E002D6C" w14:textId="77777777" w:rsidR="00411620" w:rsidRPr="00B73413" w:rsidRDefault="00411620" w:rsidP="00411620">
      <w:pPr>
        <w:pStyle w:val="FootnoteText"/>
        <w:bidi w:val="0"/>
        <w:rPr>
          <w:rFonts w:ascii="Cambria Math" w:hAnsi="Cambria Math"/>
          <w:sz w:val="18"/>
          <w:szCs w:val="18"/>
        </w:rPr>
      </w:pPr>
      <w:r w:rsidRPr="00B73413">
        <w:rPr>
          <w:rStyle w:val="FootnoteReference"/>
          <w:rFonts w:ascii="Cambria Math" w:eastAsiaTheme="majorEastAsia" w:hAnsi="Cambria Math"/>
          <w:sz w:val="18"/>
          <w:szCs w:val="18"/>
        </w:rPr>
        <w:footnoteRef/>
      </w:r>
      <w:r w:rsidRPr="00B73413">
        <w:rPr>
          <w:rFonts w:ascii="Cambria Math" w:hAnsi="Cambria Math"/>
          <w:sz w:val="18"/>
          <w:szCs w:val="18"/>
          <w:rtl/>
        </w:rPr>
        <w:t xml:space="preserve"> </w:t>
      </w:r>
      <w:r w:rsidRPr="00B73413">
        <w:rPr>
          <w:rFonts w:ascii="Cambria Math" w:hAnsi="Cambria Math" w:cs="Times New Roman"/>
          <w:sz w:val="18"/>
          <w:szCs w:val="18"/>
        </w:rPr>
        <w:t xml:space="preserve">The Bond Market </w:t>
      </w:r>
    </w:p>
  </w:footnote>
  <w:footnote w:id="135">
    <w:p w14:paraId="67DB8E47" w14:textId="77777777" w:rsidR="00411620" w:rsidRPr="00B73413" w:rsidRDefault="00411620" w:rsidP="00411620">
      <w:pPr>
        <w:pStyle w:val="FootnoteText"/>
        <w:bidi w:val="0"/>
        <w:rPr>
          <w:rFonts w:ascii="Cambria Math" w:hAnsi="Cambria Math"/>
          <w:sz w:val="18"/>
          <w:szCs w:val="18"/>
        </w:rPr>
      </w:pPr>
      <w:r w:rsidRPr="00B73413">
        <w:rPr>
          <w:rStyle w:val="FootnoteReference"/>
          <w:rFonts w:ascii="Cambria Math" w:eastAsiaTheme="majorEastAsia" w:hAnsi="Cambria Math"/>
          <w:sz w:val="18"/>
          <w:szCs w:val="18"/>
        </w:rPr>
        <w:footnoteRef/>
      </w:r>
      <w:r w:rsidRPr="00B73413">
        <w:rPr>
          <w:rFonts w:ascii="Cambria Math" w:hAnsi="Cambria Math"/>
          <w:sz w:val="18"/>
          <w:szCs w:val="18"/>
          <w:rtl/>
        </w:rPr>
        <w:t xml:space="preserve"> </w:t>
      </w:r>
      <w:r w:rsidRPr="00B73413">
        <w:rPr>
          <w:rFonts w:ascii="Cambria Math" w:eastAsiaTheme="minorEastAsia" w:hAnsi="Cambria Math"/>
          <w:sz w:val="18"/>
          <w:szCs w:val="18"/>
        </w:rPr>
        <w:t>Partial Equilibrium</w:t>
      </w:r>
    </w:p>
  </w:footnote>
  <w:footnote w:id="136">
    <w:p w14:paraId="6285F3A4" w14:textId="77777777" w:rsidR="00411620" w:rsidRPr="00116818" w:rsidRDefault="00411620" w:rsidP="00411620">
      <w:pPr>
        <w:pStyle w:val="FootnoteText"/>
        <w:bidi w:val="0"/>
        <w:rPr>
          <w:rFonts w:ascii="Cambria Math" w:hAnsi="Cambria Math"/>
          <w:sz w:val="18"/>
          <w:szCs w:val="18"/>
        </w:rPr>
      </w:pPr>
      <w:r w:rsidRPr="00116818">
        <w:rPr>
          <w:rStyle w:val="FootnoteReference"/>
          <w:rFonts w:ascii="Cambria Math" w:eastAsiaTheme="majorEastAsia" w:hAnsi="Cambria Math"/>
          <w:sz w:val="18"/>
          <w:szCs w:val="18"/>
        </w:rPr>
        <w:footnoteRef/>
      </w:r>
      <w:r w:rsidRPr="00116818">
        <w:rPr>
          <w:rFonts w:ascii="Cambria Math" w:hAnsi="Cambria Math" w:cs="Sakkal Majalla"/>
          <w:sz w:val="18"/>
          <w:szCs w:val="18"/>
          <w:rtl/>
        </w:rPr>
        <w:t xml:space="preserve"> </w:t>
      </w:r>
      <w:r w:rsidRPr="00116818">
        <w:rPr>
          <w:rFonts w:ascii="Cambria Math" w:hAnsi="Cambria Math" w:cs="Sakkal Majalla"/>
          <w:sz w:val="18"/>
          <w:szCs w:val="18"/>
        </w:rPr>
        <w:t>Pure public good</w:t>
      </w:r>
    </w:p>
  </w:footnote>
  <w:footnote w:id="137">
    <w:p w14:paraId="47E0C520" w14:textId="77777777" w:rsidR="00411620" w:rsidRPr="00116818" w:rsidRDefault="00411620" w:rsidP="00411620">
      <w:pPr>
        <w:pStyle w:val="FootnoteText"/>
        <w:bidi w:val="0"/>
        <w:rPr>
          <w:rFonts w:ascii="Cambria Math" w:hAnsi="Cambria Math"/>
          <w:sz w:val="18"/>
          <w:szCs w:val="18"/>
        </w:rPr>
      </w:pPr>
      <w:r w:rsidRPr="00116818">
        <w:rPr>
          <w:rStyle w:val="FootnoteReference"/>
          <w:rFonts w:ascii="Cambria Math" w:eastAsiaTheme="majorEastAsia" w:hAnsi="Cambria Math"/>
          <w:sz w:val="18"/>
          <w:szCs w:val="18"/>
        </w:rPr>
        <w:footnoteRef/>
      </w:r>
      <w:r w:rsidRPr="00116818">
        <w:rPr>
          <w:rFonts w:ascii="Cambria Math" w:hAnsi="Cambria Math" w:cs="Sakkal Majalla"/>
          <w:sz w:val="18"/>
          <w:szCs w:val="18"/>
          <w:rtl/>
        </w:rPr>
        <w:t xml:space="preserve"> </w:t>
      </w:r>
      <w:r w:rsidRPr="00116818">
        <w:rPr>
          <w:rFonts w:ascii="Cambria Math" w:eastAsiaTheme="minorEastAsia" w:hAnsi="Cambria Math"/>
          <w:sz w:val="18"/>
          <w:szCs w:val="18"/>
        </w:rPr>
        <w:t>Risk-free return</w:t>
      </w:r>
    </w:p>
  </w:footnote>
  <w:footnote w:id="138">
    <w:p w14:paraId="14F741B5" w14:textId="77777777" w:rsidR="00411620" w:rsidRPr="00116818" w:rsidRDefault="00411620" w:rsidP="00411620">
      <w:pPr>
        <w:pStyle w:val="FootnoteText"/>
        <w:bidi w:val="0"/>
        <w:rPr>
          <w:rFonts w:ascii="Cambria Math" w:hAnsi="Cambria Math"/>
          <w:sz w:val="18"/>
          <w:szCs w:val="18"/>
        </w:rPr>
      </w:pPr>
      <w:r w:rsidRPr="00116818">
        <w:rPr>
          <w:rStyle w:val="FootnoteReference"/>
          <w:rFonts w:ascii="Cambria Math" w:eastAsiaTheme="majorEastAsia" w:hAnsi="Cambria Math"/>
          <w:sz w:val="18"/>
          <w:szCs w:val="18"/>
        </w:rPr>
        <w:footnoteRef/>
      </w:r>
      <w:r w:rsidRPr="00116818">
        <w:rPr>
          <w:rFonts w:ascii="Cambria Math" w:hAnsi="Cambria Math" w:cs="Sakkal Majalla"/>
          <w:sz w:val="18"/>
          <w:szCs w:val="18"/>
          <w:rtl/>
        </w:rPr>
        <w:t xml:space="preserve"> </w:t>
      </w:r>
      <w:r w:rsidRPr="00116818">
        <w:rPr>
          <w:rFonts w:ascii="Cambria Math" w:eastAsiaTheme="minorEastAsia" w:hAnsi="Cambria Math"/>
          <w:sz w:val="18"/>
          <w:szCs w:val="18"/>
        </w:rPr>
        <w:t>Seigniorage</w:t>
      </w:r>
    </w:p>
  </w:footnote>
  <w:footnote w:id="139">
    <w:p w14:paraId="6CA07180" w14:textId="77777777" w:rsidR="00411620" w:rsidRPr="00116818" w:rsidRDefault="00411620" w:rsidP="00411620">
      <w:pPr>
        <w:pStyle w:val="FootnoteText"/>
        <w:bidi w:val="0"/>
        <w:rPr>
          <w:rFonts w:ascii="Cambria Math" w:hAnsi="Cambria Math"/>
          <w:sz w:val="18"/>
          <w:szCs w:val="18"/>
        </w:rPr>
      </w:pPr>
      <w:r w:rsidRPr="00116818">
        <w:rPr>
          <w:rStyle w:val="FootnoteReference"/>
          <w:rFonts w:ascii="Cambria Math" w:eastAsiaTheme="majorEastAsia" w:hAnsi="Cambria Math"/>
          <w:sz w:val="18"/>
          <w:szCs w:val="18"/>
        </w:rPr>
        <w:footnoteRef/>
      </w:r>
      <w:r w:rsidRPr="00116818">
        <w:rPr>
          <w:rFonts w:ascii="Cambria Math" w:hAnsi="Cambria Math"/>
          <w:sz w:val="18"/>
          <w:szCs w:val="18"/>
          <w:rtl/>
        </w:rPr>
        <w:t xml:space="preserve"> </w:t>
      </w:r>
      <w:r w:rsidRPr="00116818">
        <w:rPr>
          <w:rFonts w:ascii="Cambria Math" w:hAnsi="Cambria Math"/>
          <w:sz w:val="18"/>
          <w:szCs w:val="18"/>
        </w:rPr>
        <w:t>Crowded out</w:t>
      </w:r>
    </w:p>
  </w:footnote>
  <w:footnote w:id="140">
    <w:p w14:paraId="622F36E8" w14:textId="77777777" w:rsidR="00411620" w:rsidRPr="00116818" w:rsidRDefault="00411620" w:rsidP="00411620">
      <w:pPr>
        <w:tabs>
          <w:tab w:val="left" w:pos="2840"/>
        </w:tabs>
        <w:rPr>
          <w:rFonts w:ascii="Cambria Math" w:hAnsi="Cambria Math"/>
          <w:sz w:val="18"/>
          <w:szCs w:val="18"/>
          <w:rtl/>
        </w:rPr>
      </w:pPr>
      <w:r w:rsidRPr="00116818">
        <w:rPr>
          <w:rStyle w:val="FootnoteReference"/>
          <w:rFonts w:ascii="Cambria Math" w:eastAsiaTheme="majorEastAsia" w:hAnsi="Cambria Math"/>
          <w:sz w:val="18"/>
          <w:szCs w:val="18"/>
        </w:rPr>
        <w:footnoteRef/>
      </w:r>
      <w:r w:rsidRPr="00116818">
        <w:rPr>
          <w:rFonts w:ascii="Cambria Math" w:hAnsi="Cambria Math"/>
          <w:sz w:val="18"/>
          <w:szCs w:val="18"/>
          <w:rtl/>
        </w:rPr>
        <w:t>از آنجا که تولید حقیقی برابر است با</w:t>
      </w:r>
    </w:p>
    <w:p w14:paraId="485A426A" w14:textId="77777777" w:rsidR="00411620" w:rsidRPr="00116818" w:rsidRDefault="00411620" w:rsidP="00411620">
      <w:pPr>
        <w:tabs>
          <w:tab w:val="left" w:pos="2840"/>
        </w:tabs>
        <w:bidi w:val="0"/>
        <w:rPr>
          <w:rFonts w:ascii="Cambria Math" w:hAnsi="Cambria Math"/>
          <w:sz w:val="18"/>
          <w:szCs w:val="18"/>
          <w:rtl/>
        </w:rPr>
      </w:pPr>
      <w:r w:rsidRPr="00116818">
        <w:rPr>
          <w:rFonts w:ascii="Cambria Math" w:hAnsi="Cambria Math" w:cs="Sakkal Majalla"/>
          <w:sz w:val="18"/>
          <w:szCs w:val="18"/>
        </w:rPr>
        <w:t xml:space="preserve"> .</w:t>
      </w:r>
      <w:r w:rsidRPr="00703635">
        <w:rPr>
          <w:position w:val="-22"/>
        </w:rPr>
        <w:object w:dxaOrig="5360" w:dyaOrig="560" w14:anchorId="597D2339">
          <v:shape id="_x0000_i8268" type="#_x0000_t75" style="width:268.05pt;height:27.85pt" o:ole="">
            <v:imagedata r:id="rId13" o:title=""/>
          </v:shape>
          <o:OLEObject Type="Embed" ProgID="Equation.DSMT4" ShapeID="_x0000_i8268" DrawAspect="Content" ObjectID="_1791382204" r:id="rId14"/>
        </w:object>
      </w:r>
      <w:r w:rsidRPr="00116818">
        <w:rPr>
          <w:rFonts w:ascii="Cambria Math" w:hAnsi="Cambria Math"/>
          <w:sz w:val="18"/>
          <w:szCs w:val="18"/>
        </w:rPr>
        <w:t>.</w:t>
      </w:r>
    </w:p>
    <w:p w14:paraId="49B2B812" w14:textId="77777777" w:rsidR="00411620" w:rsidRPr="00116818" w:rsidRDefault="00411620" w:rsidP="00411620">
      <w:pPr>
        <w:tabs>
          <w:tab w:val="left" w:pos="2840"/>
        </w:tabs>
        <w:rPr>
          <w:rFonts w:ascii="Cambria Math" w:hAnsi="Cambria Math"/>
          <w:sz w:val="18"/>
          <w:szCs w:val="18"/>
        </w:rPr>
      </w:pPr>
      <w:r w:rsidRPr="00116818">
        <w:rPr>
          <w:rFonts w:ascii="Cambria Math" w:hAnsi="Cambria Math"/>
          <w:sz w:val="18"/>
          <w:szCs w:val="18"/>
          <w:rtl/>
        </w:rPr>
        <w:t xml:space="preserve">لذا نرخ رشد تولید اسمی برابر است با تورم بعلاوه نرخ رشد تولید حقیقی. </w:t>
      </w:r>
    </w:p>
  </w:footnote>
  <w:footnote w:id="141">
    <w:p w14:paraId="684C6307" w14:textId="77777777" w:rsidR="00411620" w:rsidRPr="00116818" w:rsidRDefault="00411620" w:rsidP="00411620">
      <w:pPr>
        <w:pStyle w:val="FootnoteText"/>
        <w:bidi w:val="0"/>
        <w:rPr>
          <w:rFonts w:ascii="Cambria Math" w:hAnsi="Cambria Math"/>
          <w:sz w:val="18"/>
          <w:szCs w:val="18"/>
        </w:rPr>
      </w:pPr>
      <w:r w:rsidRPr="00116818">
        <w:rPr>
          <w:rStyle w:val="FootnoteReference"/>
          <w:rFonts w:ascii="Cambria Math" w:eastAsiaTheme="majorEastAsia" w:hAnsi="Cambria Math"/>
          <w:sz w:val="18"/>
          <w:szCs w:val="18"/>
        </w:rPr>
        <w:footnoteRef/>
      </w:r>
      <w:r w:rsidRPr="00116818">
        <w:rPr>
          <w:rFonts w:ascii="Cambria Math" w:eastAsiaTheme="minorEastAsia" w:hAnsi="Cambria Math"/>
          <w:sz w:val="18"/>
          <w:szCs w:val="18"/>
        </w:rPr>
        <w:t>Backward</w:t>
      </w:r>
      <w:r w:rsidRPr="00116818">
        <w:rPr>
          <w:rFonts w:ascii="Cambria Math" w:hAnsi="Cambria Math" w:cs="Sakkal Majalla"/>
          <w:sz w:val="18"/>
          <w:szCs w:val="18"/>
        </w:rPr>
        <w:t xml:space="preserve"> </w:t>
      </w:r>
    </w:p>
  </w:footnote>
  <w:footnote w:id="142">
    <w:p w14:paraId="557FF13D" w14:textId="77777777" w:rsidR="00411620" w:rsidRPr="00116818" w:rsidRDefault="00411620" w:rsidP="00411620">
      <w:pPr>
        <w:pStyle w:val="FootnoteText"/>
        <w:bidi w:val="0"/>
        <w:rPr>
          <w:rFonts w:ascii="Cambria Math" w:hAnsi="Cambria Math"/>
          <w:sz w:val="18"/>
          <w:szCs w:val="18"/>
        </w:rPr>
      </w:pPr>
      <w:r w:rsidRPr="00116818">
        <w:rPr>
          <w:rStyle w:val="FootnoteReference"/>
          <w:rFonts w:ascii="Cambria Math" w:eastAsiaTheme="majorEastAsia" w:hAnsi="Cambria Math"/>
          <w:sz w:val="18"/>
          <w:szCs w:val="18"/>
        </w:rPr>
        <w:footnoteRef/>
      </w:r>
      <w:r w:rsidRPr="00116818">
        <w:rPr>
          <w:rFonts w:ascii="Cambria Math" w:hAnsi="Cambria Math" w:cs="Sakkal Majalla"/>
          <w:sz w:val="18"/>
          <w:szCs w:val="18"/>
        </w:rPr>
        <w:t xml:space="preserve"> </w:t>
      </w:r>
      <w:r w:rsidRPr="00703635">
        <w:rPr>
          <w:position w:val="-72"/>
        </w:rPr>
        <w:object w:dxaOrig="6039" w:dyaOrig="1540" w14:anchorId="30BD201E">
          <v:shape id="_x0000_i8270" type="#_x0000_t75" style="width:301.9pt;height:76.85pt" o:ole="">
            <v:imagedata r:id="rId15" o:title=""/>
          </v:shape>
          <o:OLEObject Type="Embed" ProgID="Equation.DSMT4" ShapeID="_x0000_i8270" DrawAspect="Content" ObjectID="_1791382205" r:id="rId16"/>
        </w:object>
      </w:r>
    </w:p>
  </w:footnote>
  <w:footnote w:id="143">
    <w:p w14:paraId="28568801" w14:textId="77777777" w:rsidR="00411620" w:rsidRPr="00116818" w:rsidRDefault="00411620" w:rsidP="00411620">
      <w:pPr>
        <w:pStyle w:val="FootnoteText"/>
        <w:bidi w:val="0"/>
        <w:rPr>
          <w:rFonts w:ascii="Cambria Math" w:hAnsi="Cambria Math"/>
          <w:sz w:val="18"/>
          <w:szCs w:val="18"/>
        </w:rPr>
      </w:pPr>
      <w:r w:rsidRPr="00116818">
        <w:rPr>
          <w:rStyle w:val="FootnoteReference"/>
          <w:rFonts w:ascii="Cambria Math" w:eastAsiaTheme="majorEastAsia" w:hAnsi="Cambria Math"/>
          <w:sz w:val="18"/>
          <w:szCs w:val="18"/>
        </w:rPr>
        <w:footnoteRef/>
      </w:r>
      <w:r w:rsidRPr="00116818">
        <w:rPr>
          <w:rFonts w:ascii="Cambria Math" w:hAnsi="Cambria Math" w:cs="Sakkal Majalla"/>
          <w:sz w:val="18"/>
          <w:szCs w:val="18"/>
          <w:rtl/>
        </w:rPr>
        <w:t xml:space="preserve"> </w:t>
      </w:r>
      <w:r w:rsidRPr="00116818">
        <w:rPr>
          <w:rFonts w:ascii="Cambria Math" w:hAnsi="Cambria Math" w:cs="Sakkal Majalla"/>
          <w:sz w:val="18"/>
          <w:szCs w:val="18"/>
        </w:rPr>
        <w:t>Forward</w:t>
      </w:r>
    </w:p>
  </w:footnote>
  <w:footnote w:id="144">
    <w:p w14:paraId="1AAC55D9" w14:textId="77777777" w:rsidR="00411620" w:rsidRPr="00116818" w:rsidRDefault="00411620" w:rsidP="00411620">
      <w:pPr>
        <w:pStyle w:val="FootnoteText"/>
        <w:bidi w:val="0"/>
        <w:rPr>
          <w:rFonts w:ascii="Cambria Math" w:hAnsi="Cambria Math"/>
          <w:sz w:val="18"/>
          <w:szCs w:val="18"/>
        </w:rPr>
      </w:pPr>
      <w:r w:rsidRPr="00116818">
        <w:rPr>
          <w:rStyle w:val="FootnoteReference"/>
          <w:rFonts w:ascii="Cambria Math" w:eastAsiaTheme="majorEastAsia" w:hAnsi="Cambria Math"/>
          <w:sz w:val="18"/>
          <w:szCs w:val="18"/>
        </w:rPr>
        <w:footnoteRef/>
      </w:r>
      <w:r w:rsidRPr="00116818">
        <w:rPr>
          <w:rFonts w:ascii="Cambria Math" w:hAnsi="Cambria Math" w:cs="Sakkal Majalla"/>
          <w:sz w:val="18"/>
          <w:szCs w:val="18"/>
          <w:rtl/>
        </w:rPr>
        <w:t xml:space="preserve"> </w:t>
      </w:r>
      <w:r w:rsidRPr="00116818">
        <w:rPr>
          <w:rFonts w:ascii="Cambria Math" w:hAnsi="Cambria Math" w:cs="Sakkal Majalla"/>
          <w:sz w:val="18"/>
          <w:szCs w:val="18"/>
        </w:rPr>
        <w:t>No-Ponzi</w:t>
      </w:r>
    </w:p>
  </w:footnote>
  <w:footnote w:id="145">
    <w:p w14:paraId="6066243F" w14:textId="77777777" w:rsidR="00411620" w:rsidRPr="00116818" w:rsidRDefault="00411620" w:rsidP="00411620">
      <w:pPr>
        <w:pStyle w:val="FootnoteText"/>
        <w:bidi w:val="0"/>
        <w:rPr>
          <w:rFonts w:ascii="Cambria Math" w:hAnsi="Cambria Math"/>
          <w:sz w:val="18"/>
          <w:szCs w:val="18"/>
        </w:rPr>
      </w:pPr>
      <w:r w:rsidRPr="00116818">
        <w:rPr>
          <w:rStyle w:val="FootnoteReference"/>
          <w:rFonts w:ascii="Cambria Math" w:eastAsiaTheme="majorEastAsia" w:hAnsi="Cambria Math"/>
          <w:sz w:val="18"/>
          <w:szCs w:val="18"/>
        </w:rPr>
        <w:footnoteRef/>
      </w:r>
      <w:r w:rsidRPr="00116818">
        <w:rPr>
          <w:rFonts w:ascii="Cambria Math" w:hAnsi="Cambria Math"/>
          <w:sz w:val="18"/>
          <w:szCs w:val="18"/>
          <w:rtl/>
        </w:rPr>
        <w:t xml:space="preserve"> </w:t>
      </w:r>
      <w:r w:rsidRPr="00116818">
        <w:rPr>
          <w:rFonts w:ascii="Cambria Math" w:hAnsi="Cambria Math"/>
          <w:sz w:val="18"/>
          <w:szCs w:val="18"/>
        </w:rPr>
        <w:t>distorting</w:t>
      </w:r>
    </w:p>
  </w:footnote>
  <w:footnote w:id="146">
    <w:p w14:paraId="49896A7D" w14:textId="77777777" w:rsidR="00411620" w:rsidRPr="00116818" w:rsidRDefault="00411620" w:rsidP="00411620">
      <w:pPr>
        <w:pStyle w:val="FootnoteText"/>
        <w:bidi w:val="0"/>
        <w:rPr>
          <w:rFonts w:ascii="Cambria Math" w:hAnsi="Cambria Math"/>
          <w:sz w:val="18"/>
          <w:szCs w:val="18"/>
        </w:rPr>
      </w:pPr>
      <w:r w:rsidRPr="00116818">
        <w:rPr>
          <w:rStyle w:val="FootnoteReference"/>
          <w:rFonts w:ascii="Cambria Math" w:eastAsiaTheme="majorEastAsia" w:hAnsi="Cambria Math"/>
          <w:sz w:val="18"/>
          <w:szCs w:val="18"/>
        </w:rPr>
        <w:footnoteRef/>
      </w:r>
      <w:r w:rsidRPr="00116818">
        <w:rPr>
          <w:rFonts w:ascii="Cambria Math" w:hAnsi="Cambria Math" w:cs="Sakkal Majalla"/>
          <w:sz w:val="18"/>
          <w:szCs w:val="18"/>
        </w:rPr>
        <w:t xml:space="preserve"> </w:t>
      </w:r>
      <w:proofErr w:type="spellStart"/>
      <w:r w:rsidRPr="00116818">
        <w:rPr>
          <w:rFonts w:ascii="Cambria Math" w:hAnsi="Cambria Math" w:cs="Sakkal Majalla"/>
          <w:sz w:val="18"/>
          <w:szCs w:val="18"/>
        </w:rPr>
        <w:t>Implimentability</w:t>
      </w:r>
      <w:proofErr w:type="spellEnd"/>
      <w:r w:rsidRPr="00116818">
        <w:rPr>
          <w:rFonts w:ascii="Cambria Math" w:hAnsi="Cambria Math" w:cs="Sakkal Majalla"/>
          <w:sz w:val="18"/>
          <w:szCs w:val="18"/>
        </w:rPr>
        <w:t xml:space="preserve"> Condition</w:t>
      </w:r>
    </w:p>
  </w:footnote>
  <w:footnote w:id="147">
    <w:p w14:paraId="37C722F0" w14:textId="77777777" w:rsidR="00411620" w:rsidRPr="00116818" w:rsidRDefault="00411620" w:rsidP="00411620">
      <w:pPr>
        <w:pStyle w:val="FootnoteText"/>
        <w:tabs>
          <w:tab w:val="left" w:pos="5040"/>
        </w:tabs>
        <w:bidi w:val="0"/>
        <w:rPr>
          <w:rFonts w:ascii="Cambria Math" w:hAnsi="Cambria Math"/>
          <w:sz w:val="18"/>
          <w:szCs w:val="18"/>
        </w:rPr>
      </w:pPr>
      <w:r w:rsidRPr="00116818">
        <w:rPr>
          <w:rStyle w:val="FootnoteReference"/>
          <w:rFonts w:ascii="Cambria Math" w:eastAsiaTheme="majorEastAsia" w:hAnsi="Cambria Math"/>
          <w:sz w:val="18"/>
          <w:szCs w:val="18"/>
        </w:rPr>
        <w:footnoteRef/>
      </w:r>
      <w:r w:rsidRPr="00116818">
        <w:rPr>
          <w:rFonts w:ascii="Cambria Math" w:hAnsi="Cambria Math"/>
          <w:sz w:val="18"/>
          <w:szCs w:val="18"/>
          <w:rtl/>
        </w:rPr>
        <w:t xml:space="preserve"> </w:t>
      </w:r>
      <w:r w:rsidRPr="00116818">
        <w:rPr>
          <w:rFonts w:ascii="Cambria Math" w:hAnsi="Cambria Math"/>
          <w:sz w:val="18"/>
          <w:szCs w:val="18"/>
        </w:rPr>
        <w:t>Homothetic</w:t>
      </w:r>
    </w:p>
  </w:footnote>
  <w:footnote w:id="148">
    <w:p w14:paraId="6D942FBF" w14:textId="77777777" w:rsidR="00411620" w:rsidRPr="00116818" w:rsidRDefault="00411620" w:rsidP="00411620">
      <w:pPr>
        <w:pStyle w:val="FootnoteText"/>
        <w:bidi w:val="0"/>
        <w:rPr>
          <w:rFonts w:ascii="Cambria Math" w:hAnsi="Cambria Math"/>
          <w:sz w:val="18"/>
          <w:szCs w:val="18"/>
        </w:rPr>
      </w:pPr>
      <w:r w:rsidRPr="00116818">
        <w:rPr>
          <w:rStyle w:val="FootnoteReference"/>
          <w:rFonts w:ascii="Cambria Math" w:eastAsiaTheme="majorEastAsia" w:hAnsi="Cambria Math"/>
          <w:sz w:val="18"/>
          <w:szCs w:val="18"/>
        </w:rPr>
        <w:footnoteRef/>
      </w:r>
      <w:r w:rsidRPr="00116818">
        <w:rPr>
          <w:rFonts w:ascii="Cambria Math" w:hAnsi="Cambria Math" w:cs="Sakkal Majalla"/>
          <w:sz w:val="18"/>
          <w:szCs w:val="18"/>
        </w:rPr>
        <w:t xml:space="preserve"> Lump Sum Tax</w:t>
      </w:r>
    </w:p>
  </w:footnote>
  <w:footnote w:id="149">
    <w:p w14:paraId="68F89511" w14:textId="77777777" w:rsidR="00411620" w:rsidRPr="00116818" w:rsidRDefault="00411620" w:rsidP="00411620">
      <w:pPr>
        <w:pStyle w:val="FootnoteText"/>
        <w:bidi w:val="0"/>
        <w:rPr>
          <w:rFonts w:ascii="Cambria Math" w:hAnsi="Cambria Math"/>
          <w:sz w:val="18"/>
          <w:szCs w:val="18"/>
        </w:rPr>
      </w:pPr>
      <w:r w:rsidRPr="00116818">
        <w:rPr>
          <w:rStyle w:val="FootnoteReference"/>
          <w:rFonts w:ascii="Cambria Math" w:eastAsiaTheme="majorEastAsia" w:hAnsi="Cambria Math"/>
          <w:sz w:val="18"/>
          <w:szCs w:val="18"/>
        </w:rPr>
        <w:footnoteRef/>
      </w:r>
      <w:r w:rsidRPr="00116818">
        <w:rPr>
          <w:rFonts w:ascii="Cambria Math" w:hAnsi="Cambria Math" w:cs="Sakkal Majalla"/>
          <w:sz w:val="18"/>
          <w:szCs w:val="18"/>
          <w:rtl/>
        </w:rPr>
        <w:t xml:space="preserve"> </w:t>
      </w:r>
      <w:r w:rsidRPr="00116818">
        <w:rPr>
          <w:rFonts w:ascii="Cambria Math" w:hAnsi="Cambria Math" w:cs="Sakkal Majalla"/>
          <w:sz w:val="18"/>
          <w:szCs w:val="18"/>
        </w:rPr>
        <w:t>No rival goods</w:t>
      </w:r>
    </w:p>
  </w:footnote>
  <w:footnote w:id="150">
    <w:p w14:paraId="237B8F8F" w14:textId="77777777" w:rsidR="00411620" w:rsidRPr="00116818" w:rsidRDefault="00411620" w:rsidP="00411620">
      <w:pPr>
        <w:pStyle w:val="FootnoteText"/>
        <w:bidi w:val="0"/>
        <w:rPr>
          <w:rFonts w:ascii="Cambria Math" w:hAnsi="Cambria Math"/>
          <w:sz w:val="18"/>
          <w:szCs w:val="18"/>
        </w:rPr>
      </w:pPr>
      <w:r w:rsidRPr="00116818">
        <w:rPr>
          <w:rFonts w:ascii="Cambria Math" w:hAnsi="Cambria Math" w:cs="Sakkal Majalla"/>
          <w:sz w:val="18"/>
          <w:szCs w:val="18"/>
          <w:rtl/>
        </w:rPr>
        <w:t xml:space="preserve"> </w:t>
      </w:r>
      <w:r w:rsidRPr="00116818">
        <w:rPr>
          <w:rStyle w:val="FootnoteReference"/>
          <w:rFonts w:ascii="Cambria Math" w:eastAsiaTheme="majorEastAsia" w:hAnsi="Cambria Math"/>
          <w:sz w:val="18"/>
          <w:szCs w:val="18"/>
        </w:rPr>
        <w:footnoteRef/>
      </w:r>
      <w:r w:rsidRPr="00116818">
        <w:rPr>
          <w:rFonts w:ascii="Cambria Math" w:hAnsi="Cambria Math" w:cs="Sakkal Majalla"/>
          <w:sz w:val="18"/>
          <w:szCs w:val="18"/>
          <w:rtl/>
        </w:rPr>
        <w:t xml:space="preserve"> </w:t>
      </w:r>
      <w:r w:rsidRPr="00116818">
        <w:rPr>
          <w:rFonts w:ascii="Cambria Math" w:hAnsi="Cambria Math" w:cs="Sakkal Majalla"/>
          <w:sz w:val="18"/>
          <w:szCs w:val="18"/>
        </w:rPr>
        <w:t>Exclusive</w:t>
      </w:r>
    </w:p>
  </w:footnote>
  <w:footnote w:id="151">
    <w:p w14:paraId="563F2761" w14:textId="77777777" w:rsidR="00411620" w:rsidRPr="00116818" w:rsidRDefault="00411620" w:rsidP="00411620">
      <w:pPr>
        <w:pStyle w:val="FootnoteText"/>
        <w:bidi w:val="0"/>
        <w:rPr>
          <w:rFonts w:ascii="Cambria Math" w:hAnsi="Cambria Math"/>
          <w:sz w:val="18"/>
          <w:szCs w:val="18"/>
        </w:rPr>
      </w:pPr>
      <w:r w:rsidRPr="00116818">
        <w:rPr>
          <w:rStyle w:val="FootnoteReference"/>
          <w:rFonts w:ascii="Cambria Math" w:eastAsiaTheme="majorEastAsia" w:hAnsi="Cambria Math"/>
          <w:sz w:val="18"/>
          <w:szCs w:val="18"/>
        </w:rPr>
        <w:footnoteRef/>
      </w:r>
      <w:r w:rsidRPr="00116818">
        <w:rPr>
          <w:rFonts w:ascii="Cambria Math" w:hAnsi="Cambria Math" w:cs="Sakkal Majalla"/>
          <w:sz w:val="18"/>
          <w:szCs w:val="18"/>
          <w:rtl/>
        </w:rPr>
        <w:t xml:space="preserve"> </w:t>
      </w:r>
      <w:r w:rsidRPr="00116818">
        <w:rPr>
          <w:rFonts w:ascii="Cambria Math" w:hAnsi="Cambria Math"/>
          <w:sz w:val="18"/>
          <w:szCs w:val="18"/>
        </w:rPr>
        <w:t>Proportional Taxation</w:t>
      </w:r>
    </w:p>
  </w:footnote>
  <w:footnote w:id="152">
    <w:p w14:paraId="4FD6AA8D" w14:textId="77777777" w:rsidR="00411620" w:rsidRPr="00116818" w:rsidRDefault="00411620" w:rsidP="00411620">
      <w:pPr>
        <w:pStyle w:val="FootnoteText"/>
        <w:bidi w:val="0"/>
        <w:rPr>
          <w:rFonts w:ascii="Cambria Math" w:hAnsi="Cambria Math"/>
          <w:sz w:val="18"/>
          <w:szCs w:val="18"/>
        </w:rPr>
      </w:pPr>
      <w:r w:rsidRPr="00116818">
        <w:rPr>
          <w:rStyle w:val="FootnoteReference"/>
          <w:rFonts w:ascii="Cambria Math" w:eastAsiaTheme="majorEastAsia" w:hAnsi="Cambria Math"/>
          <w:sz w:val="18"/>
          <w:szCs w:val="18"/>
        </w:rPr>
        <w:footnoteRef/>
      </w:r>
      <w:r w:rsidRPr="00116818">
        <w:rPr>
          <w:rFonts w:ascii="Cambria Math" w:hAnsi="Cambria Math" w:cs="Sakkal Majalla"/>
          <w:sz w:val="18"/>
          <w:szCs w:val="18"/>
          <w:rtl/>
        </w:rPr>
        <w:t xml:space="preserve"> </w:t>
      </w:r>
      <w:r w:rsidRPr="00116818">
        <w:rPr>
          <w:rFonts w:ascii="Cambria Math" w:eastAsiaTheme="minorEastAsia" w:hAnsi="Cambria Math"/>
          <w:sz w:val="18"/>
          <w:szCs w:val="18"/>
        </w:rPr>
        <w:t>regressive</w:t>
      </w:r>
      <w:r w:rsidRPr="00116818">
        <w:rPr>
          <w:rFonts w:ascii="Cambria Math" w:eastAsiaTheme="minorEastAsia" w:hAnsi="Cambria Math"/>
          <w:sz w:val="18"/>
          <w:szCs w:val="18"/>
          <w:rtl/>
        </w:rPr>
        <w:t xml:space="preserve"> </w:t>
      </w:r>
    </w:p>
  </w:footnote>
  <w:footnote w:id="153">
    <w:p w14:paraId="7959B5CA" w14:textId="77777777" w:rsidR="00411620" w:rsidRPr="00116818" w:rsidRDefault="00411620" w:rsidP="00411620">
      <w:pPr>
        <w:pStyle w:val="FootnoteText"/>
        <w:bidi w:val="0"/>
        <w:rPr>
          <w:rFonts w:ascii="Cambria Math" w:hAnsi="Cambria Math"/>
          <w:sz w:val="18"/>
          <w:szCs w:val="18"/>
        </w:rPr>
      </w:pPr>
      <w:r w:rsidRPr="00116818">
        <w:rPr>
          <w:rStyle w:val="FootnoteReference"/>
          <w:rFonts w:ascii="Cambria Math" w:eastAsiaTheme="majorEastAsia" w:hAnsi="Cambria Math"/>
          <w:sz w:val="18"/>
          <w:szCs w:val="18"/>
        </w:rPr>
        <w:footnoteRef/>
      </w:r>
      <w:r w:rsidRPr="00116818">
        <w:rPr>
          <w:rFonts w:ascii="Cambria Math" w:hAnsi="Cambria Math" w:cs="Sakkal Majalla"/>
          <w:sz w:val="18"/>
          <w:szCs w:val="18"/>
          <w:rtl/>
        </w:rPr>
        <w:t xml:space="preserve"> </w:t>
      </w:r>
      <w:r w:rsidRPr="00116818">
        <w:rPr>
          <w:rFonts w:ascii="Cambria Math" w:hAnsi="Cambria Math" w:cs="Sakkal Majalla"/>
          <w:sz w:val="18"/>
          <w:szCs w:val="18"/>
        </w:rPr>
        <w:t>Random Walk</w:t>
      </w:r>
    </w:p>
  </w:footnote>
  <w:footnote w:id="154">
    <w:p w14:paraId="49785E53" w14:textId="77777777" w:rsidR="00411620" w:rsidRPr="003B2ADE" w:rsidRDefault="00411620" w:rsidP="00411620">
      <w:pPr>
        <w:pStyle w:val="FootnoteText"/>
        <w:bidi w:val="0"/>
        <w:rPr>
          <w:rFonts w:ascii="Cambria Math" w:hAnsi="Cambria Math"/>
          <w:sz w:val="18"/>
          <w:szCs w:val="18"/>
        </w:rPr>
      </w:pPr>
      <w:r w:rsidRPr="003B2ADE">
        <w:rPr>
          <w:rStyle w:val="FootnoteReference"/>
          <w:rFonts w:ascii="Cambria Math" w:eastAsiaTheme="majorEastAsia" w:hAnsi="Cambria Math"/>
          <w:sz w:val="18"/>
          <w:szCs w:val="18"/>
        </w:rPr>
        <w:footnoteRef/>
      </w:r>
      <w:r w:rsidRPr="003B2ADE">
        <w:rPr>
          <w:rFonts w:ascii="Cambria Math" w:hAnsi="Cambria Math"/>
          <w:sz w:val="18"/>
          <w:szCs w:val="18"/>
        </w:rPr>
        <w:t>Time Inconsistency</w:t>
      </w:r>
    </w:p>
  </w:footnote>
  <w:footnote w:id="155">
    <w:p w14:paraId="29C76C06" w14:textId="77777777" w:rsidR="00411620" w:rsidRPr="003B2ADE" w:rsidRDefault="00411620" w:rsidP="00411620">
      <w:pPr>
        <w:pStyle w:val="FootnoteText"/>
        <w:bidi w:val="0"/>
        <w:rPr>
          <w:rFonts w:ascii="Cambria Math" w:hAnsi="Cambria Math"/>
          <w:sz w:val="18"/>
          <w:szCs w:val="18"/>
        </w:rPr>
      </w:pPr>
      <w:r w:rsidRPr="003B2ADE">
        <w:rPr>
          <w:rStyle w:val="FootnoteReference"/>
          <w:rFonts w:ascii="Cambria Math" w:eastAsiaTheme="majorEastAsia" w:hAnsi="Cambria Math"/>
          <w:sz w:val="18"/>
          <w:szCs w:val="18"/>
        </w:rPr>
        <w:footnoteRef/>
      </w:r>
      <w:r w:rsidRPr="003B2ADE">
        <w:rPr>
          <w:rFonts w:ascii="Cambria Math" w:hAnsi="Cambria Math"/>
          <w:sz w:val="18"/>
          <w:szCs w:val="18"/>
        </w:rPr>
        <w:t>Pensions</w:t>
      </w:r>
      <w:r w:rsidRPr="003B2ADE">
        <w:rPr>
          <w:rFonts w:ascii="Cambria Math" w:hAnsi="Cambria Math"/>
          <w:sz w:val="18"/>
          <w:szCs w:val="18"/>
          <w:rtl/>
        </w:rPr>
        <w:t xml:space="preserve"> </w:t>
      </w:r>
    </w:p>
  </w:footnote>
  <w:footnote w:id="156">
    <w:p w14:paraId="6287DBCC" w14:textId="77777777" w:rsidR="00411620" w:rsidRPr="003B2ADE" w:rsidRDefault="00411620" w:rsidP="00411620">
      <w:pPr>
        <w:pStyle w:val="FootnoteText"/>
        <w:bidi w:val="0"/>
        <w:rPr>
          <w:rFonts w:ascii="Cambria Math" w:hAnsi="Cambria Math"/>
          <w:sz w:val="18"/>
          <w:szCs w:val="18"/>
        </w:rPr>
      </w:pPr>
      <w:r w:rsidRPr="003B2ADE">
        <w:rPr>
          <w:rStyle w:val="FootnoteReference"/>
          <w:rFonts w:ascii="Cambria Math" w:eastAsiaTheme="majorEastAsia" w:hAnsi="Cambria Math"/>
          <w:sz w:val="18"/>
          <w:szCs w:val="18"/>
        </w:rPr>
        <w:footnoteRef/>
      </w:r>
      <w:r w:rsidRPr="003B2ADE">
        <w:rPr>
          <w:rFonts w:ascii="Cambria Math" w:hAnsi="Cambria Math"/>
          <w:sz w:val="18"/>
          <w:szCs w:val="18"/>
          <w:rtl/>
        </w:rPr>
        <w:t xml:space="preserve"> </w:t>
      </w:r>
      <w:r w:rsidRPr="003B2ADE">
        <w:rPr>
          <w:rFonts w:ascii="Cambria Math" w:hAnsi="Cambria Math"/>
          <w:sz w:val="18"/>
          <w:szCs w:val="18"/>
        </w:rPr>
        <w:t>Overlapping Generation Models</w:t>
      </w:r>
    </w:p>
  </w:footnote>
  <w:footnote w:id="157">
    <w:p w14:paraId="1108151A" w14:textId="77777777" w:rsidR="00411620" w:rsidRPr="003B2ADE" w:rsidRDefault="00411620" w:rsidP="00411620">
      <w:pPr>
        <w:pStyle w:val="FootnoteText"/>
        <w:bidi w:val="0"/>
        <w:rPr>
          <w:rFonts w:ascii="Cambria Math" w:hAnsi="Cambria Math"/>
          <w:sz w:val="18"/>
          <w:szCs w:val="18"/>
        </w:rPr>
      </w:pPr>
      <w:r w:rsidRPr="003B2ADE">
        <w:rPr>
          <w:rStyle w:val="FootnoteReference"/>
          <w:rFonts w:ascii="Cambria Math" w:eastAsiaTheme="majorEastAsia" w:hAnsi="Cambria Math"/>
          <w:sz w:val="18"/>
          <w:szCs w:val="18"/>
        </w:rPr>
        <w:footnoteRef/>
      </w:r>
      <w:r w:rsidRPr="003B2ADE">
        <w:rPr>
          <w:rFonts w:ascii="Cambria Math" w:hAnsi="Cambria Math"/>
          <w:sz w:val="18"/>
          <w:szCs w:val="18"/>
          <w:rtl/>
        </w:rPr>
        <w:t xml:space="preserve"> </w:t>
      </w:r>
      <w:r w:rsidRPr="003B2ADE">
        <w:rPr>
          <w:rFonts w:ascii="Cambria Math" w:hAnsi="Cambria Math"/>
          <w:sz w:val="18"/>
          <w:szCs w:val="18"/>
        </w:rPr>
        <w:t>Funded and Unfunded Pension Scheme</w:t>
      </w:r>
    </w:p>
  </w:footnote>
  <w:footnote w:id="158">
    <w:p w14:paraId="7E1E40D0" w14:textId="77777777" w:rsidR="00411620" w:rsidRPr="003B2ADE" w:rsidRDefault="00411620" w:rsidP="00411620">
      <w:pPr>
        <w:pStyle w:val="FootnoteText"/>
        <w:bidi w:val="0"/>
        <w:rPr>
          <w:rFonts w:ascii="Cambria Math" w:hAnsi="Cambria Math"/>
          <w:sz w:val="18"/>
          <w:szCs w:val="18"/>
        </w:rPr>
      </w:pPr>
      <w:r w:rsidRPr="003B2ADE">
        <w:rPr>
          <w:rStyle w:val="FootnoteReference"/>
          <w:rFonts w:ascii="Cambria Math" w:eastAsiaTheme="majorEastAsia" w:hAnsi="Cambria Math"/>
          <w:sz w:val="18"/>
          <w:szCs w:val="18"/>
        </w:rPr>
        <w:footnoteRef/>
      </w:r>
      <w:r w:rsidRPr="003B2ADE">
        <w:rPr>
          <w:rFonts w:ascii="Cambria Math" w:hAnsi="Cambria Math"/>
          <w:sz w:val="18"/>
          <w:szCs w:val="18"/>
          <w:rtl/>
        </w:rPr>
        <w:t xml:space="preserve"> </w:t>
      </w:r>
      <w:r w:rsidRPr="003B2ADE">
        <w:rPr>
          <w:rFonts w:ascii="Cambria Math" w:hAnsi="Cambria Math"/>
          <w:sz w:val="18"/>
          <w:szCs w:val="18"/>
        </w:rPr>
        <w:t xml:space="preserve">Chari and </w:t>
      </w:r>
      <w:proofErr w:type="spellStart"/>
      <w:r w:rsidRPr="003B2ADE">
        <w:rPr>
          <w:rFonts w:ascii="Cambria Math" w:hAnsi="Cambria Math"/>
          <w:sz w:val="18"/>
          <w:szCs w:val="18"/>
        </w:rPr>
        <w:t>Kehoc</w:t>
      </w:r>
      <w:proofErr w:type="spellEnd"/>
      <w:r w:rsidRPr="003B2ADE">
        <w:rPr>
          <w:rFonts w:ascii="Cambria Math" w:hAnsi="Cambria Math"/>
          <w:sz w:val="18"/>
          <w:szCs w:val="18"/>
        </w:rPr>
        <w:t>, 2006</w:t>
      </w:r>
    </w:p>
  </w:footnote>
  <w:footnote w:id="159">
    <w:p w14:paraId="69A95882" w14:textId="77777777" w:rsidR="00411620" w:rsidRPr="003B2ADE" w:rsidRDefault="00411620" w:rsidP="00411620">
      <w:pPr>
        <w:pStyle w:val="FootnoteText"/>
        <w:bidi w:val="0"/>
        <w:rPr>
          <w:rFonts w:ascii="Cambria Math" w:hAnsi="Cambria Math"/>
          <w:sz w:val="18"/>
          <w:szCs w:val="18"/>
        </w:rPr>
      </w:pPr>
      <w:r w:rsidRPr="003B2ADE">
        <w:rPr>
          <w:rStyle w:val="FootnoteReference"/>
          <w:rFonts w:ascii="Cambria Math" w:eastAsiaTheme="majorEastAsia" w:hAnsi="Cambria Math"/>
          <w:sz w:val="18"/>
          <w:szCs w:val="18"/>
        </w:rPr>
        <w:footnoteRef/>
      </w:r>
      <w:r w:rsidRPr="003B2ADE">
        <w:rPr>
          <w:rFonts w:ascii="Cambria Math" w:hAnsi="Cambria Math"/>
          <w:sz w:val="18"/>
          <w:szCs w:val="18"/>
        </w:rPr>
        <w:t xml:space="preserve"> Fisher, 1980</w:t>
      </w:r>
    </w:p>
  </w:footnote>
  <w:footnote w:id="160">
    <w:p w14:paraId="20B55144" w14:textId="77777777" w:rsidR="00411620" w:rsidRPr="003B2ADE" w:rsidRDefault="00411620" w:rsidP="00411620">
      <w:pPr>
        <w:pStyle w:val="FootnoteText"/>
        <w:bidi w:val="0"/>
        <w:rPr>
          <w:rFonts w:ascii="Cambria Math" w:hAnsi="Cambria Math"/>
          <w:sz w:val="18"/>
          <w:szCs w:val="18"/>
        </w:rPr>
      </w:pPr>
      <w:r w:rsidRPr="003B2ADE">
        <w:rPr>
          <w:rStyle w:val="FootnoteReference"/>
          <w:rFonts w:ascii="Cambria Math" w:eastAsiaTheme="majorEastAsia" w:hAnsi="Cambria Math"/>
          <w:sz w:val="18"/>
          <w:szCs w:val="18"/>
        </w:rPr>
        <w:footnoteRef/>
      </w:r>
      <w:r w:rsidRPr="003B2ADE">
        <w:rPr>
          <w:rFonts w:ascii="Cambria Math" w:hAnsi="Cambria Math"/>
          <w:sz w:val="18"/>
          <w:szCs w:val="18"/>
          <w:rtl/>
        </w:rPr>
        <w:t xml:space="preserve"> </w:t>
      </w:r>
      <w:r w:rsidRPr="003B2ADE">
        <w:rPr>
          <w:rFonts w:ascii="Cambria Math" w:hAnsi="Cambria Math"/>
          <w:sz w:val="18"/>
          <w:szCs w:val="18"/>
        </w:rPr>
        <w:t xml:space="preserve">distortionary </w:t>
      </w:r>
      <w:proofErr w:type="spellStart"/>
      <w:r w:rsidRPr="003B2ADE">
        <w:rPr>
          <w:rFonts w:ascii="Cambria Math" w:hAnsi="Cambria Math"/>
          <w:sz w:val="18"/>
          <w:szCs w:val="18"/>
        </w:rPr>
        <w:t>Taxaion</w:t>
      </w:r>
      <w:proofErr w:type="spellEnd"/>
    </w:p>
  </w:footnote>
  <w:footnote w:id="161">
    <w:p w14:paraId="66FB4F9A" w14:textId="77777777" w:rsidR="00411620" w:rsidRPr="003B2ADE" w:rsidRDefault="00411620" w:rsidP="00411620">
      <w:pPr>
        <w:bidi w:val="0"/>
        <w:rPr>
          <w:rFonts w:ascii="Cambria Math" w:hAnsi="Cambria Math"/>
          <w:sz w:val="18"/>
          <w:szCs w:val="18"/>
        </w:rPr>
      </w:pPr>
      <w:r w:rsidRPr="003B2ADE">
        <w:rPr>
          <w:rStyle w:val="FootnoteReference"/>
          <w:rFonts w:ascii="Cambria Math" w:eastAsiaTheme="majorEastAsia" w:hAnsi="Cambria Math"/>
          <w:sz w:val="18"/>
          <w:szCs w:val="18"/>
        </w:rPr>
        <w:footnoteRef/>
      </w:r>
      <w:r w:rsidRPr="003B2ADE">
        <w:rPr>
          <w:rFonts w:ascii="Cambria Math" w:hAnsi="Cambria Math"/>
          <w:sz w:val="18"/>
          <w:szCs w:val="18"/>
          <w:rtl/>
        </w:rPr>
        <w:t xml:space="preserve"> </w:t>
      </w:r>
      <w:r w:rsidRPr="003B2ADE">
        <w:rPr>
          <w:rFonts w:ascii="Cambria Math" w:hAnsi="Cambria Math"/>
          <w:sz w:val="18"/>
          <w:szCs w:val="18"/>
        </w:rPr>
        <w:t>The overlapping –generation model</w:t>
      </w:r>
    </w:p>
  </w:footnote>
  <w:footnote w:id="162">
    <w:p w14:paraId="5229C619" w14:textId="77777777" w:rsidR="00411620" w:rsidRPr="003B2ADE" w:rsidRDefault="00411620" w:rsidP="00411620">
      <w:pPr>
        <w:pStyle w:val="FootnoteText"/>
        <w:bidi w:val="0"/>
        <w:rPr>
          <w:rFonts w:ascii="Cambria Math" w:hAnsi="Cambria Math"/>
          <w:sz w:val="18"/>
          <w:szCs w:val="18"/>
        </w:rPr>
      </w:pPr>
      <w:r w:rsidRPr="003B2ADE">
        <w:rPr>
          <w:rStyle w:val="FootnoteReference"/>
          <w:rFonts w:ascii="Cambria Math" w:eastAsiaTheme="majorEastAsia" w:hAnsi="Cambria Math"/>
          <w:sz w:val="18"/>
          <w:szCs w:val="18"/>
        </w:rPr>
        <w:footnoteRef/>
      </w:r>
      <w:r w:rsidRPr="003B2ADE">
        <w:rPr>
          <w:rFonts w:ascii="Cambria Math" w:hAnsi="Cambria Math"/>
          <w:sz w:val="18"/>
          <w:szCs w:val="18"/>
        </w:rPr>
        <w:t>diamond 1965</w:t>
      </w:r>
      <w:r w:rsidRPr="003B2ADE">
        <w:rPr>
          <w:rFonts w:ascii="Cambria Math" w:hAnsi="Cambria Math"/>
          <w:sz w:val="18"/>
          <w:szCs w:val="18"/>
          <w:rtl/>
        </w:rPr>
        <w:t xml:space="preserve"> </w:t>
      </w:r>
    </w:p>
  </w:footnote>
  <w:footnote w:id="163">
    <w:p w14:paraId="27A1904A" w14:textId="77777777" w:rsidR="00411620" w:rsidRPr="003B2ADE" w:rsidRDefault="00411620" w:rsidP="00411620">
      <w:pPr>
        <w:pStyle w:val="FootnoteText"/>
        <w:bidi w:val="0"/>
        <w:rPr>
          <w:rFonts w:ascii="Cambria Math" w:hAnsi="Cambria Math"/>
          <w:sz w:val="18"/>
          <w:szCs w:val="18"/>
        </w:rPr>
      </w:pPr>
      <w:r w:rsidRPr="003B2ADE">
        <w:rPr>
          <w:rStyle w:val="FootnoteReference"/>
          <w:rFonts w:ascii="Cambria Math" w:eastAsiaTheme="majorEastAsia" w:hAnsi="Cambria Math"/>
          <w:sz w:val="18"/>
          <w:szCs w:val="18"/>
        </w:rPr>
        <w:footnoteRef/>
      </w:r>
      <w:r w:rsidRPr="003B2ADE">
        <w:rPr>
          <w:rFonts w:ascii="Cambria Math" w:hAnsi="Cambria Math"/>
          <w:sz w:val="18"/>
          <w:szCs w:val="18"/>
          <w:rtl/>
        </w:rPr>
        <w:t xml:space="preserve"> </w:t>
      </w:r>
      <w:r w:rsidRPr="003B2ADE">
        <w:rPr>
          <w:rFonts w:ascii="Cambria Math" w:hAnsi="Cambria Math"/>
          <w:sz w:val="18"/>
          <w:szCs w:val="18"/>
        </w:rPr>
        <w:t xml:space="preserve">Blanchard </w:t>
      </w:r>
      <w:proofErr w:type="spellStart"/>
      <w:r w:rsidRPr="003B2ADE">
        <w:rPr>
          <w:rFonts w:ascii="Cambria Math" w:hAnsi="Cambria Math"/>
          <w:sz w:val="18"/>
          <w:szCs w:val="18"/>
        </w:rPr>
        <w:t>Ficsher</w:t>
      </w:r>
      <w:proofErr w:type="spellEnd"/>
      <w:r w:rsidRPr="003B2ADE">
        <w:rPr>
          <w:rFonts w:ascii="Cambria Math" w:hAnsi="Cambria Math"/>
          <w:sz w:val="18"/>
          <w:szCs w:val="18"/>
        </w:rPr>
        <w:t xml:space="preserve"> 1989</w:t>
      </w:r>
    </w:p>
  </w:footnote>
  <w:footnote w:id="164">
    <w:p w14:paraId="7C292D3D" w14:textId="77777777" w:rsidR="00411620" w:rsidRPr="003B2ADE" w:rsidRDefault="00411620" w:rsidP="00411620">
      <w:pPr>
        <w:pStyle w:val="FootnoteText"/>
        <w:bidi w:val="0"/>
        <w:rPr>
          <w:rFonts w:ascii="Cambria Math" w:hAnsi="Cambria Math"/>
          <w:sz w:val="18"/>
          <w:szCs w:val="18"/>
        </w:rPr>
      </w:pPr>
      <w:r w:rsidRPr="003B2ADE">
        <w:rPr>
          <w:rStyle w:val="FootnoteReference"/>
          <w:rFonts w:ascii="Cambria Math" w:eastAsiaTheme="majorEastAsia" w:hAnsi="Cambria Math"/>
          <w:sz w:val="18"/>
          <w:szCs w:val="18"/>
        </w:rPr>
        <w:footnoteRef/>
      </w:r>
      <w:r w:rsidRPr="003B2ADE">
        <w:rPr>
          <w:rFonts w:ascii="Cambria Math" w:hAnsi="Cambria Math"/>
          <w:sz w:val="18"/>
          <w:szCs w:val="18"/>
          <w:rtl/>
        </w:rPr>
        <w:t xml:space="preserve"> </w:t>
      </w:r>
      <w:proofErr w:type="spellStart"/>
      <w:r w:rsidRPr="003B2ADE">
        <w:rPr>
          <w:rFonts w:ascii="Cambria Math" w:hAnsi="Cambria Math"/>
          <w:sz w:val="18"/>
          <w:szCs w:val="18"/>
        </w:rPr>
        <w:t>Brro</w:t>
      </w:r>
      <w:proofErr w:type="spellEnd"/>
      <w:r w:rsidRPr="003B2ADE">
        <w:rPr>
          <w:rFonts w:ascii="Cambria Math" w:hAnsi="Cambria Math"/>
          <w:sz w:val="18"/>
          <w:szCs w:val="18"/>
        </w:rPr>
        <w:t xml:space="preserve"> and </w:t>
      </w:r>
      <w:proofErr w:type="spellStart"/>
      <w:r w:rsidRPr="003B2ADE">
        <w:rPr>
          <w:rFonts w:ascii="Cambria Math" w:hAnsi="Cambria Math"/>
          <w:sz w:val="18"/>
          <w:szCs w:val="18"/>
        </w:rPr>
        <w:t>salaimartin</w:t>
      </w:r>
      <w:proofErr w:type="spellEnd"/>
      <w:r w:rsidRPr="003B2ADE">
        <w:rPr>
          <w:rFonts w:ascii="Cambria Math" w:hAnsi="Cambria Math"/>
          <w:sz w:val="18"/>
          <w:szCs w:val="18"/>
        </w:rPr>
        <w:t xml:space="preserve"> 2004</w:t>
      </w:r>
    </w:p>
  </w:footnote>
  <w:footnote w:id="165">
    <w:p w14:paraId="52B96C81" w14:textId="77777777" w:rsidR="00411620" w:rsidRPr="003B2ADE" w:rsidRDefault="00411620" w:rsidP="00411620">
      <w:pPr>
        <w:pStyle w:val="FootnoteText"/>
        <w:bidi w:val="0"/>
        <w:rPr>
          <w:rFonts w:ascii="Cambria Math" w:hAnsi="Cambria Math"/>
          <w:sz w:val="18"/>
          <w:szCs w:val="18"/>
        </w:rPr>
      </w:pPr>
      <w:r w:rsidRPr="003B2ADE">
        <w:rPr>
          <w:rStyle w:val="FootnoteReference"/>
          <w:rFonts w:ascii="Cambria Math" w:eastAsiaTheme="majorEastAsia" w:hAnsi="Cambria Math"/>
          <w:sz w:val="18"/>
          <w:szCs w:val="18"/>
        </w:rPr>
        <w:footnoteRef/>
      </w:r>
      <w:r w:rsidRPr="003B2ADE">
        <w:rPr>
          <w:rFonts w:ascii="Cambria Math" w:hAnsi="Cambria Math"/>
          <w:sz w:val="18"/>
          <w:szCs w:val="18"/>
          <w:rtl/>
        </w:rPr>
        <w:t xml:space="preserve"> </w:t>
      </w:r>
      <w:r w:rsidRPr="003B2ADE">
        <w:rPr>
          <w:rFonts w:ascii="Cambria Math" w:hAnsi="Cambria Math"/>
          <w:sz w:val="18"/>
          <w:szCs w:val="18"/>
        </w:rPr>
        <w:t>Michael</w:t>
      </w:r>
      <w:r w:rsidRPr="003B2ADE">
        <w:rPr>
          <w:rFonts w:ascii="Cambria Math" w:hAnsi="Cambria Math"/>
          <w:sz w:val="18"/>
          <w:szCs w:val="18"/>
          <w:rtl/>
        </w:rPr>
        <w:t xml:space="preserve"> </w:t>
      </w:r>
      <w:r w:rsidRPr="003B2ADE">
        <w:rPr>
          <w:rFonts w:ascii="Cambria Math" w:hAnsi="Cambria Math"/>
          <w:sz w:val="18"/>
          <w:szCs w:val="18"/>
        </w:rPr>
        <w:t xml:space="preserve">and </w:t>
      </w:r>
      <w:proofErr w:type="spellStart"/>
      <w:r w:rsidRPr="003B2ADE">
        <w:rPr>
          <w:rFonts w:ascii="Cambria Math" w:hAnsi="Cambria Math"/>
          <w:sz w:val="18"/>
          <w:szCs w:val="18"/>
        </w:rPr>
        <w:t>Delacroic</w:t>
      </w:r>
      <w:proofErr w:type="spellEnd"/>
      <w:r w:rsidRPr="003B2ADE">
        <w:rPr>
          <w:rFonts w:ascii="Cambria Math" w:hAnsi="Cambria Math"/>
          <w:sz w:val="18"/>
          <w:szCs w:val="18"/>
        </w:rPr>
        <w:t xml:space="preserve"> 2002</w:t>
      </w:r>
    </w:p>
  </w:footnote>
  <w:footnote w:id="166">
    <w:p w14:paraId="2E8467B5" w14:textId="77777777" w:rsidR="00411620" w:rsidRPr="003B2ADE" w:rsidRDefault="00411620" w:rsidP="00411620">
      <w:pPr>
        <w:pStyle w:val="FootnoteText"/>
        <w:bidi w:val="0"/>
        <w:rPr>
          <w:rFonts w:ascii="Cambria Math" w:hAnsi="Cambria Math"/>
          <w:sz w:val="18"/>
          <w:szCs w:val="18"/>
        </w:rPr>
      </w:pPr>
      <w:r w:rsidRPr="003B2ADE">
        <w:rPr>
          <w:rStyle w:val="FootnoteReference"/>
          <w:rFonts w:ascii="Cambria Math" w:eastAsiaTheme="majorEastAsia" w:hAnsi="Cambria Math"/>
          <w:sz w:val="18"/>
          <w:szCs w:val="18"/>
        </w:rPr>
        <w:footnoteRef/>
      </w:r>
      <w:r w:rsidRPr="003B2ADE">
        <w:rPr>
          <w:rFonts w:ascii="Cambria Math" w:hAnsi="Cambria Math"/>
          <w:sz w:val="18"/>
          <w:szCs w:val="18"/>
        </w:rPr>
        <w:t xml:space="preserve"> </w:t>
      </w:r>
      <w:proofErr w:type="spellStart"/>
      <w:r w:rsidRPr="003B2ADE">
        <w:rPr>
          <w:rFonts w:ascii="Cambria Math" w:hAnsi="Cambria Math"/>
          <w:sz w:val="18"/>
          <w:szCs w:val="18"/>
        </w:rPr>
        <w:t>localy</w:t>
      </w:r>
      <w:proofErr w:type="spellEnd"/>
    </w:p>
  </w:footnote>
  <w:footnote w:id="167">
    <w:p w14:paraId="288B523D" w14:textId="77777777" w:rsidR="00411620" w:rsidRPr="003B2ADE" w:rsidRDefault="00411620" w:rsidP="00411620">
      <w:pPr>
        <w:pStyle w:val="FootnoteText"/>
        <w:bidi w:val="0"/>
        <w:rPr>
          <w:rFonts w:ascii="Cambria Math" w:hAnsi="Cambria Math"/>
          <w:sz w:val="18"/>
          <w:szCs w:val="18"/>
        </w:rPr>
      </w:pPr>
      <w:r w:rsidRPr="003B2ADE">
        <w:rPr>
          <w:rStyle w:val="FootnoteReference"/>
          <w:rFonts w:ascii="Cambria Math" w:eastAsiaTheme="majorEastAsia" w:hAnsi="Cambria Math"/>
          <w:sz w:val="18"/>
          <w:szCs w:val="18"/>
        </w:rPr>
        <w:footnoteRef/>
      </w:r>
      <w:r w:rsidRPr="003B2ADE">
        <w:rPr>
          <w:rFonts w:ascii="Cambria Math" w:hAnsi="Cambria Math"/>
          <w:sz w:val="18"/>
          <w:szCs w:val="18"/>
          <w:rtl/>
        </w:rPr>
        <w:t xml:space="preserve"> </w:t>
      </w:r>
      <w:proofErr w:type="spellStart"/>
      <w:r w:rsidRPr="003B2ADE">
        <w:rPr>
          <w:rFonts w:ascii="Cambria Math" w:hAnsi="Cambria Math"/>
          <w:sz w:val="18"/>
          <w:szCs w:val="18"/>
        </w:rPr>
        <w:t>Globaly</w:t>
      </w:r>
      <w:proofErr w:type="spellEnd"/>
    </w:p>
  </w:footnote>
  <w:footnote w:id="168">
    <w:p w14:paraId="03DEAC94" w14:textId="77777777" w:rsidR="00411620" w:rsidRPr="003B2ADE" w:rsidRDefault="00411620" w:rsidP="00411620">
      <w:pPr>
        <w:pStyle w:val="FootnoteText"/>
        <w:bidi w:val="0"/>
        <w:rPr>
          <w:rFonts w:ascii="Cambria Math" w:hAnsi="Cambria Math"/>
          <w:sz w:val="18"/>
          <w:szCs w:val="18"/>
        </w:rPr>
      </w:pPr>
      <w:r w:rsidRPr="003B2ADE">
        <w:rPr>
          <w:rStyle w:val="FootnoteReference"/>
          <w:rFonts w:ascii="Cambria Math" w:eastAsiaTheme="majorEastAsia" w:hAnsi="Cambria Math"/>
          <w:sz w:val="18"/>
          <w:szCs w:val="18"/>
        </w:rPr>
        <w:footnoteRef/>
      </w:r>
      <w:r w:rsidRPr="003B2ADE">
        <w:rPr>
          <w:rFonts w:ascii="Cambria Math" w:hAnsi="Cambria Math"/>
          <w:sz w:val="18"/>
          <w:szCs w:val="18"/>
          <w:rtl/>
        </w:rPr>
        <w:t xml:space="preserve"> </w:t>
      </w:r>
      <w:r w:rsidRPr="003B2ADE">
        <w:rPr>
          <w:rFonts w:ascii="Cambria Math" w:hAnsi="Cambria Math"/>
          <w:sz w:val="18"/>
          <w:szCs w:val="18"/>
        </w:rPr>
        <w:t>Fully Funded Pensions</w:t>
      </w:r>
    </w:p>
  </w:footnote>
  <w:footnote w:id="169">
    <w:p w14:paraId="108F6902" w14:textId="77777777" w:rsidR="00411620" w:rsidRPr="003B2ADE" w:rsidRDefault="00411620" w:rsidP="00411620">
      <w:pPr>
        <w:pStyle w:val="FootnoteText"/>
        <w:bidi w:val="0"/>
        <w:rPr>
          <w:rFonts w:ascii="Cambria Math" w:hAnsi="Cambria Math"/>
          <w:sz w:val="18"/>
          <w:szCs w:val="18"/>
        </w:rPr>
      </w:pPr>
      <w:r w:rsidRPr="003B2ADE">
        <w:rPr>
          <w:rStyle w:val="FootnoteReference"/>
          <w:rFonts w:ascii="Cambria Math" w:eastAsiaTheme="majorEastAsia" w:hAnsi="Cambria Math"/>
          <w:sz w:val="18"/>
          <w:szCs w:val="18"/>
        </w:rPr>
        <w:footnoteRef/>
      </w:r>
      <w:r w:rsidRPr="003B2ADE">
        <w:rPr>
          <w:rFonts w:ascii="Cambria Math" w:hAnsi="Cambria Math"/>
          <w:sz w:val="18"/>
          <w:szCs w:val="18"/>
        </w:rPr>
        <w:t xml:space="preserve"> Unfunded Pension</w:t>
      </w:r>
    </w:p>
  </w:footnote>
  <w:footnote w:id="170">
    <w:p w14:paraId="68BC30E4" w14:textId="77777777" w:rsidR="00411620" w:rsidRPr="003B2ADE" w:rsidRDefault="00411620" w:rsidP="00411620">
      <w:pPr>
        <w:pStyle w:val="FootnoteText"/>
        <w:rPr>
          <w:rFonts w:ascii="Cambria Math" w:hAnsi="Cambria Math"/>
          <w:sz w:val="18"/>
          <w:szCs w:val="18"/>
          <w:rtl/>
        </w:rPr>
      </w:pPr>
      <w:r w:rsidRPr="003B2ADE">
        <w:rPr>
          <w:rStyle w:val="FootnoteReference"/>
          <w:rFonts w:ascii="Cambria Math" w:eastAsiaTheme="majorEastAsia" w:hAnsi="Cambria Math"/>
          <w:sz w:val="18"/>
          <w:szCs w:val="18"/>
        </w:rPr>
        <w:footnoteRef/>
      </w:r>
      <w:r w:rsidRPr="003B2ADE">
        <w:rPr>
          <w:rFonts w:ascii="Cambria Math" w:hAnsi="Cambria Math"/>
          <w:sz w:val="18"/>
          <w:szCs w:val="18"/>
          <w:rtl/>
        </w:rPr>
        <w:t xml:space="preserve"> </w:t>
      </w:r>
      <w:r w:rsidRPr="003B2ADE">
        <w:rPr>
          <w:rFonts w:ascii="Cambria Math" w:hAnsi="Cambria Math"/>
          <w:sz w:val="18"/>
          <w:szCs w:val="18"/>
        </w:rPr>
        <w:t>Pay-as-you-go</w:t>
      </w:r>
      <w:r w:rsidRPr="003B2ADE">
        <w:rPr>
          <w:rFonts w:ascii="Cambria Math" w:hAnsi="Cambria Math"/>
          <w:sz w:val="18"/>
          <w:szCs w:val="18"/>
          <w:rtl/>
        </w:rPr>
        <w:t xml:space="preserve"> سیستمی است که بر اساس آن کلیه</w:t>
      </w:r>
      <w:r w:rsidRPr="003B2ADE">
        <w:rPr>
          <w:rFonts w:ascii="Cambria Math" w:hAnsi="Cambria Math"/>
          <w:sz w:val="18"/>
          <w:szCs w:val="18"/>
          <w:rtl/>
        </w:rPr>
        <w:softHyphen/>
        <w:t>ی هزینه</w:t>
      </w:r>
      <w:r w:rsidRPr="003B2ADE">
        <w:rPr>
          <w:rFonts w:ascii="Cambria Math" w:hAnsi="Cambria Math"/>
          <w:sz w:val="18"/>
          <w:szCs w:val="18"/>
          <w:rtl/>
        </w:rPr>
        <w:softHyphen/>
        <w:t>های پرداخت حقوق تأمین اجتماعی بازنشستگان هر سال از محل درآمد جاری حق بیمه</w:t>
      </w:r>
      <w:r w:rsidRPr="003B2ADE">
        <w:rPr>
          <w:rFonts w:ascii="Cambria Math" w:hAnsi="Cambria Math"/>
          <w:sz w:val="18"/>
          <w:szCs w:val="18"/>
          <w:rtl/>
        </w:rPr>
        <w:softHyphen/>
        <w:t xml:space="preserve">های وصولی در همان سال از صندوق در همان سال پرداخت </w:t>
      </w:r>
      <w:r w:rsidRPr="003B2ADE">
        <w:rPr>
          <w:rFonts w:ascii="Cambria Math" w:hAnsi="Cambria Math"/>
          <w:sz w:val="18"/>
          <w:szCs w:val="18"/>
          <w:rtl/>
        </w:rPr>
        <w:softHyphen/>
        <w:t xml:space="preserve">شود و از وام و استقراض استفاده نشود. </w:t>
      </w:r>
    </w:p>
  </w:footnote>
  <w:footnote w:id="171">
    <w:p w14:paraId="16AC7964" w14:textId="77777777" w:rsidR="00411620" w:rsidRPr="003B2ADE" w:rsidRDefault="00411620" w:rsidP="00411620">
      <w:pPr>
        <w:pStyle w:val="FootnoteText"/>
        <w:bidi w:val="0"/>
        <w:rPr>
          <w:rFonts w:ascii="Cambria Math" w:hAnsi="Cambria Math"/>
          <w:sz w:val="18"/>
          <w:szCs w:val="18"/>
        </w:rPr>
      </w:pPr>
      <w:r w:rsidRPr="003B2ADE">
        <w:rPr>
          <w:rStyle w:val="FootnoteReference"/>
          <w:rFonts w:ascii="Cambria Math" w:eastAsiaTheme="majorEastAsia" w:hAnsi="Cambria Math"/>
          <w:sz w:val="18"/>
          <w:szCs w:val="18"/>
        </w:rPr>
        <w:footnoteRef/>
      </w:r>
      <w:r w:rsidRPr="003B2ADE">
        <w:rPr>
          <w:rFonts w:ascii="Cambria Math" w:hAnsi="Cambria Math"/>
          <w:sz w:val="18"/>
          <w:szCs w:val="18"/>
          <w:rtl/>
        </w:rPr>
        <w:t xml:space="preserve"> </w:t>
      </w:r>
      <w:r w:rsidRPr="003B2ADE">
        <w:rPr>
          <w:rFonts w:ascii="Cambria Math" w:hAnsi="Cambria Math"/>
          <w:sz w:val="18"/>
          <w:szCs w:val="18"/>
        </w:rPr>
        <w:t>unfounded state pensions</w:t>
      </w:r>
    </w:p>
  </w:footnote>
  <w:footnote w:id="172">
    <w:p w14:paraId="5A8E17F4" w14:textId="77777777" w:rsidR="00411620" w:rsidRPr="008A6B22" w:rsidRDefault="00411620" w:rsidP="00411620">
      <w:pPr>
        <w:pStyle w:val="FootnoteText"/>
        <w:bidi w:val="0"/>
        <w:rPr>
          <w:rFonts w:ascii="Cambria Math" w:hAnsi="Cambria Math"/>
          <w:sz w:val="18"/>
          <w:szCs w:val="18"/>
        </w:rPr>
      </w:pPr>
      <w:r w:rsidRPr="008A6B22">
        <w:rPr>
          <w:rStyle w:val="FootnoteReference"/>
          <w:rFonts w:ascii="Cambria Math" w:eastAsiaTheme="majorEastAsia" w:hAnsi="Cambria Math"/>
          <w:sz w:val="18"/>
          <w:szCs w:val="18"/>
        </w:rPr>
        <w:footnoteRef/>
      </w:r>
      <w:r w:rsidRPr="008A6B22">
        <w:rPr>
          <w:rFonts w:ascii="Cambria Math" w:hAnsi="Cambria Math"/>
          <w:sz w:val="18"/>
          <w:szCs w:val="18"/>
        </w:rPr>
        <w:t xml:space="preserve"> Real Terms of Trade</w:t>
      </w:r>
    </w:p>
  </w:footnote>
  <w:footnote w:id="173">
    <w:p w14:paraId="1839CAEA" w14:textId="77777777" w:rsidR="00411620" w:rsidRPr="008A6B22" w:rsidRDefault="00411620" w:rsidP="00411620">
      <w:pPr>
        <w:pStyle w:val="FootnoteText"/>
        <w:bidi w:val="0"/>
        <w:rPr>
          <w:rFonts w:ascii="Cambria Math" w:hAnsi="Cambria Math"/>
          <w:sz w:val="18"/>
          <w:szCs w:val="18"/>
        </w:rPr>
      </w:pPr>
      <w:r w:rsidRPr="008A6B22">
        <w:rPr>
          <w:rStyle w:val="FootnoteReference"/>
          <w:rFonts w:ascii="Cambria Math" w:eastAsiaTheme="majorEastAsia" w:hAnsi="Cambria Math"/>
          <w:sz w:val="18"/>
          <w:szCs w:val="18"/>
        </w:rPr>
        <w:footnoteRef/>
      </w:r>
      <w:r w:rsidRPr="008A6B22">
        <w:rPr>
          <w:rFonts w:ascii="Cambria Math" w:hAnsi="Cambria Math"/>
          <w:sz w:val="18"/>
          <w:szCs w:val="18"/>
        </w:rPr>
        <w:t xml:space="preserve"> Real Exchange Rate</w:t>
      </w:r>
    </w:p>
  </w:footnote>
  <w:footnote w:id="174">
    <w:p w14:paraId="7C2A37F0" w14:textId="77777777" w:rsidR="00411620" w:rsidRPr="008A6B22" w:rsidRDefault="00411620" w:rsidP="00411620">
      <w:pPr>
        <w:pStyle w:val="FootnoteText"/>
        <w:bidi w:val="0"/>
        <w:rPr>
          <w:rFonts w:ascii="Cambria Math" w:hAnsi="Cambria Math" w:cs="Sakkal Majalla"/>
          <w:sz w:val="18"/>
          <w:szCs w:val="18"/>
        </w:rPr>
      </w:pPr>
      <w:r w:rsidRPr="008A6B22">
        <w:rPr>
          <w:rStyle w:val="FootnoteReference"/>
          <w:rFonts w:ascii="Cambria Math" w:eastAsiaTheme="majorEastAsia" w:hAnsi="Cambria Math"/>
          <w:sz w:val="18"/>
          <w:szCs w:val="18"/>
        </w:rPr>
        <w:footnoteRef/>
      </w:r>
      <w:r w:rsidRPr="008A6B22">
        <w:rPr>
          <w:rFonts w:ascii="Cambria Math" w:hAnsi="Cambria Math"/>
          <w:sz w:val="18"/>
          <w:szCs w:val="18"/>
        </w:rPr>
        <w:t xml:space="preserve"> </w:t>
      </w:r>
      <w:r w:rsidRPr="008A6B22">
        <w:rPr>
          <w:rFonts w:ascii="Cambria Math" w:hAnsi="Cambria Math" w:cs="Sakkal Majalla"/>
          <w:sz w:val="18"/>
          <w:szCs w:val="18"/>
        </w:rPr>
        <w:t>Balance of Payments</w:t>
      </w:r>
    </w:p>
  </w:footnote>
  <w:footnote w:id="175">
    <w:p w14:paraId="7AB0F695" w14:textId="77777777" w:rsidR="00411620" w:rsidRPr="008A6B22" w:rsidRDefault="00411620" w:rsidP="00411620">
      <w:pPr>
        <w:pStyle w:val="FootnoteText"/>
        <w:bidi w:val="0"/>
        <w:rPr>
          <w:rFonts w:ascii="Cambria Math" w:hAnsi="Cambria Math"/>
          <w:sz w:val="18"/>
          <w:szCs w:val="18"/>
        </w:rPr>
      </w:pPr>
      <w:r w:rsidRPr="008A6B22">
        <w:rPr>
          <w:rStyle w:val="FootnoteReference"/>
          <w:rFonts w:ascii="Cambria Math" w:eastAsiaTheme="majorEastAsia" w:hAnsi="Cambria Math"/>
          <w:sz w:val="18"/>
          <w:szCs w:val="18"/>
        </w:rPr>
        <w:footnoteRef/>
      </w:r>
      <w:r w:rsidRPr="008A6B22">
        <w:rPr>
          <w:rFonts w:ascii="Cambria Math" w:hAnsi="Cambria Math"/>
          <w:sz w:val="18"/>
          <w:szCs w:val="18"/>
        </w:rPr>
        <w:t xml:space="preserve"> Trade Account</w:t>
      </w:r>
    </w:p>
  </w:footnote>
  <w:footnote w:id="176">
    <w:p w14:paraId="71F0B0D4" w14:textId="77777777" w:rsidR="00411620" w:rsidRPr="008A6B22" w:rsidRDefault="00411620" w:rsidP="00411620">
      <w:pPr>
        <w:pStyle w:val="FootnoteText"/>
        <w:bidi w:val="0"/>
        <w:rPr>
          <w:rFonts w:ascii="Cambria Math" w:hAnsi="Cambria Math"/>
          <w:sz w:val="18"/>
          <w:szCs w:val="18"/>
          <w:rtl/>
        </w:rPr>
      </w:pPr>
      <w:r w:rsidRPr="008A6B22">
        <w:rPr>
          <w:rStyle w:val="FootnoteReference"/>
          <w:rFonts w:ascii="Cambria Math" w:eastAsiaTheme="majorEastAsia" w:hAnsi="Cambria Math"/>
          <w:sz w:val="18"/>
          <w:szCs w:val="18"/>
        </w:rPr>
        <w:footnoteRef/>
      </w:r>
      <w:r w:rsidRPr="008A6B22">
        <w:rPr>
          <w:rFonts w:ascii="Cambria Math" w:hAnsi="Cambria Math"/>
          <w:sz w:val="18"/>
          <w:szCs w:val="18"/>
        </w:rPr>
        <w:t xml:space="preserve">Current </w:t>
      </w:r>
      <w:proofErr w:type="spellStart"/>
      <w:r w:rsidRPr="008A6B22">
        <w:rPr>
          <w:rFonts w:ascii="Cambria Math" w:hAnsi="Cambria Math"/>
          <w:sz w:val="18"/>
          <w:szCs w:val="18"/>
        </w:rPr>
        <w:t>Acount</w:t>
      </w:r>
      <w:proofErr w:type="spellEnd"/>
    </w:p>
  </w:footnote>
  <w:footnote w:id="177">
    <w:p w14:paraId="39BCBB37" w14:textId="77777777" w:rsidR="00411620" w:rsidRPr="008A6B22" w:rsidRDefault="00411620" w:rsidP="00411620">
      <w:pPr>
        <w:pStyle w:val="FootnoteText"/>
        <w:bidi w:val="0"/>
        <w:rPr>
          <w:rFonts w:ascii="Cambria Math" w:hAnsi="Cambria Math" w:cs="Tahoma"/>
          <w:sz w:val="18"/>
          <w:szCs w:val="18"/>
          <w:rtl/>
        </w:rPr>
      </w:pPr>
      <w:r w:rsidRPr="008A6B22">
        <w:rPr>
          <w:rStyle w:val="FootnoteReference"/>
          <w:rFonts w:ascii="Cambria Math" w:eastAsiaTheme="majorEastAsia" w:hAnsi="Cambria Math"/>
          <w:sz w:val="18"/>
          <w:szCs w:val="18"/>
        </w:rPr>
        <w:footnoteRef/>
      </w:r>
      <w:r w:rsidRPr="008A6B22">
        <w:rPr>
          <w:rFonts w:ascii="Cambria Math" w:hAnsi="Cambria Math"/>
          <w:sz w:val="18"/>
          <w:szCs w:val="18"/>
          <w:rtl/>
        </w:rPr>
        <w:t xml:space="preserve"> </w:t>
      </w:r>
      <w:r w:rsidRPr="008A6B22">
        <w:rPr>
          <w:rFonts w:ascii="Cambria Math" w:hAnsi="Cambria Math"/>
          <w:sz w:val="18"/>
          <w:szCs w:val="18"/>
        </w:rPr>
        <w:t>Steady State</w:t>
      </w:r>
    </w:p>
  </w:footnote>
  <w:footnote w:id="178">
    <w:p w14:paraId="1866ECBF" w14:textId="77777777" w:rsidR="00411620" w:rsidRPr="008A6B22" w:rsidRDefault="00411620" w:rsidP="00411620">
      <w:pPr>
        <w:bidi w:val="0"/>
        <w:spacing w:line="216" w:lineRule="auto"/>
        <w:rPr>
          <w:rFonts w:ascii="Cambria Math" w:hAnsi="Cambria Math"/>
          <w:sz w:val="18"/>
          <w:szCs w:val="18"/>
          <w:rtl/>
        </w:rPr>
      </w:pPr>
      <w:r w:rsidRPr="008A6B22">
        <w:rPr>
          <w:rStyle w:val="FootnoteReference"/>
          <w:rFonts w:ascii="Cambria Math" w:eastAsiaTheme="majorEastAsia" w:hAnsi="Cambria Math"/>
          <w:sz w:val="18"/>
          <w:szCs w:val="18"/>
        </w:rPr>
        <w:footnoteRef/>
      </w:r>
      <w:r w:rsidRPr="008A6B22">
        <w:rPr>
          <w:rFonts w:ascii="Cambria Math" w:hAnsi="Cambria Math"/>
          <w:sz w:val="18"/>
          <w:szCs w:val="18"/>
        </w:rPr>
        <w:t xml:space="preserve"> M</w:t>
      </w:r>
      <w:r w:rsidRPr="008A6B22">
        <w:rPr>
          <w:rFonts w:ascii="Cambria Math" w:eastAsiaTheme="minorEastAsia" w:hAnsi="Cambria Math"/>
          <w:sz w:val="18"/>
          <w:szCs w:val="18"/>
        </w:rPr>
        <w:t>arshal-</w:t>
      </w:r>
      <w:proofErr w:type="spellStart"/>
      <w:r w:rsidRPr="008A6B22">
        <w:rPr>
          <w:rFonts w:ascii="Cambria Math" w:eastAsiaTheme="minorEastAsia" w:hAnsi="Cambria Math"/>
          <w:sz w:val="18"/>
          <w:szCs w:val="18"/>
        </w:rPr>
        <w:t>Lener</w:t>
      </w:r>
      <w:proofErr w:type="spellEnd"/>
    </w:p>
  </w:footnote>
  <w:footnote w:id="179">
    <w:p w14:paraId="3F9524F7" w14:textId="77777777" w:rsidR="00411620" w:rsidRPr="008A6B22" w:rsidRDefault="00411620" w:rsidP="00411620">
      <w:pPr>
        <w:pStyle w:val="FootnoteText"/>
        <w:bidi w:val="0"/>
        <w:rPr>
          <w:rFonts w:ascii="Cambria Math" w:hAnsi="Cambria Math"/>
          <w:sz w:val="18"/>
          <w:szCs w:val="18"/>
        </w:rPr>
      </w:pPr>
      <w:r w:rsidRPr="008A6B22">
        <w:rPr>
          <w:rStyle w:val="FootnoteReference"/>
          <w:rFonts w:ascii="Cambria Math" w:eastAsiaTheme="majorEastAsia" w:hAnsi="Cambria Math"/>
          <w:sz w:val="18"/>
          <w:szCs w:val="18"/>
        </w:rPr>
        <w:footnoteRef/>
      </w:r>
      <w:r w:rsidRPr="008A6B22">
        <w:rPr>
          <w:rFonts w:ascii="Cambria Math" w:hAnsi="Cambria Math"/>
          <w:sz w:val="18"/>
          <w:szCs w:val="18"/>
        </w:rPr>
        <w:t xml:space="preserve"> Constant Elasticity of Substitution</w:t>
      </w:r>
    </w:p>
  </w:footnote>
  <w:footnote w:id="180">
    <w:p w14:paraId="57B7FFCE" w14:textId="77777777" w:rsidR="00411620" w:rsidRPr="008A6B22" w:rsidRDefault="00411620" w:rsidP="00411620">
      <w:pPr>
        <w:pStyle w:val="FootnoteText"/>
        <w:bidi w:val="0"/>
        <w:rPr>
          <w:rFonts w:ascii="Cambria Math" w:hAnsi="Cambria Math"/>
          <w:sz w:val="18"/>
          <w:szCs w:val="18"/>
          <w:rtl/>
        </w:rPr>
      </w:pPr>
      <w:r w:rsidRPr="008A6B22">
        <w:rPr>
          <w:rStyle w:val="FootnoteReference"/>
          <w:rFonts w:ascii="Cambria Math" w:eastAsiaTheme="majorEastAsia" w:hAnsi="Cambria Math"/>
          <w:sz w:val="18"/>
          <w:szCs w:val="18"/>
        </w:rPr>
        <w:footnoteRef/>
      </w:r>
      <w:r w:rsidRPr="008A6B22">
        <w:rPr>
          <w:rFonts w:ascii="Cambria Math" w:hAnsi="Cambria Math"/>
          <w:sz w:val="18"/>
          <w:szCs w:val="18"/>
        </w:rPr>
        <w:t xml:space="preserve"> real depreciation</w:t>
      </w:r>
    </w:p>
  </w:footnote>
  <w:footnote w:id="181">
    <w:p w14:paraId="48DD6724" w14:textId="77777777" w:rsidR="00411620" w:rsidRPr="008A6B22" w:rsidRDefault="00411620" w:rsidP="00411620">
      <w:pPr>
        <w:pStyle w:val="FootnoteText"/>
        <w:bidi w:val="0"/>
        <w:rPr>
          <w:rFonts w:ascii="Cambria Math" w:hAnsi="Cambria Math"/>
          <w:sz w:val="18"/>
          <w:szCs w:val="18"/>
        </w:rPr>
      </w:pPr>
      <w:r w:rsidRPr="008A6B22">
        <w:rPr>
          <w:rStyle w:val="FootnoteReference"/>
          <w:rFonts w:ascii="Cambria Math" w:eastAsiaTheme="majorEastAsia" w:hAnsi="Cambria Math"/>
          <w:sz w:val="18"/>
          <w:szCs w:val="18"/>
        </w:rPr>
        <w:footnoteRef/>
      </w:r>
      <w:r w:rsidRPr="008A6B22">
        <w:rPr>
          <w:rFonts w:ascii="Cambria Math" w:hAnsi="Cambria Math"/>
          <w:sz w:val="18"/>
          <w:szCs w:val="18"/>
        </w:rPr>
        <w:t xml:space="preserve"> Goods Arbitrage</w:t>
      </w:r>
    </w:p>
  </w:footnote>
  <w:footnote w:id="182">
    <w:p w14:paraId="70CA99BB" w14:textId="77777777" w:rsidR="00411620" w:rsidRPr="008A6B22" w:rsidRDefault="00411620" w:rsidP="00411620">
      <w:pPr>
        <w:pStyle w:val="FootnoteText"/>
        <w:bidi w:val="0"/>
        <w:rPr>
          <w:rFonts w:ascii="Cambria Math" w:hAnsi="Cambria Math"/>
          <w:sz w:val="18"/>
          <w:szCs w:val="18"/>
          <w:rtl/>
        </w:rPr>
      </w:pPr>
      <w:r w:rsidRPr="008A6B22">
        <w:rPr>
          <w:rStyle w:val="FootnoteReference"/>
          <w:rFonts w:ascii="Cambria Math" w:eastAsiaTheme="majorEastAsia" w:hAnsi="Cambria Math"/>
          <w:sz w:val="18"/>
          <w:szCs w:val="18"/>
        </w:rPr>
        <w:footnoteRef/>
      </w:r>
      <w:r w:rsidRPr="008A6B22">
        <w:rPr>
          <w:rFonts w:ascii="Cambria Math" w:hAnsi="Cambria Math"/>
          <w:sz w:val="18"/>
          <w:szCs w:val="18"/>
        </w:rPr>
        <w:t xml:space="preserve"> Purchasing </w:t>
      </w:r>
      <w:r w:rsidRPr="008A6B22">
        <w:rPr>
          <w:rFonts w:ascii="Cambria Math" w:hAnsi="Cambria Math" w:cs="Calibri"/>
          <w:sz w:val="18"/>
          <w:szCs w:val="18"/>
        </w:rPr>
        <w:t>P</w:t>
      </w:r>
      <w:r w:rsidRPr="008A6B22">
        <w:rPr>
          <w:rFonts w:ascii="Cambria Math" w:hAnsi="Cambria Math"/>
          <w:sz w:val="18"/>
          <w:szCs w:val="18"/>
        </w:rPr>
        <w:t>ower Parity</w:t>
      </w:r>
    </w:p>
  </w:footnote>
  <w:footnote w:id="183">
    <w:p w14:paraId="277889FB" w14:textId="77777777" w:rsidR="00411620" w:rsidRPr="008A6B22" w:rsidRDefault="00411620" w:rsidP="00411620">
      <w:pPr>
        <w:pStyle w:val="FootnoteText"/>
        <w:bidi w:val="0"/>
        <w:rPr>
          <w:rFonts w:ascii="Cambria Math" w:hAnsi="Cambria Math"/>
          <w:sz w:val="18"/>
          <w:szCs w:val="18"/>
          <w:rtl/>
        </w:rPr>
      </w:pPr>
      <w:r w:rsidRPr="008A6B22">
        <w:rPr>
          <w:rStyle w:val="FootnoteReference"/>
          <w:rFonts w:ascii="Cambria Math" w:eastAsiaTheme="majorEastAsia" w:hAnsi="Cambria Math"/>
          <w:sz w:val="18"/>
          <w:szCs w:val="18"/>
        </w:rPr>
        <w:footnoteRef/>
      </w:r>
      <w:r w:rsidRPr="008A6B22">
        <w:rPr>
          <w:rFonts w:ascii="Cambria Math" w:hAnsi="Cambria Math"/>
          <w:sz w:val="18"/>
          <w:szCs w:val="18"/>
        </w:rPr>
        <w:t xml:space="preserve"> Balassa- Samuelsson</w:t>
      </w:r>
    </w:p>
  </w:footnote>
  <w:footnote w:id="184">
    <w:p w14:paraId="56521D27" w14:textId="77777777" w:rsidR="00411620" w:rsidRPr="008A6B22" w:rsidRDefault="00411620" w:rsidP="00411620">
      <w:pPr>
        <w:pStyle w:val="FootnoteText"/>
        <w:bidi w:val="0"/>
        <w:rPr>
          <w:rFonts w:ascii="Cambria Math" w:hAnsi="Cambria Math"/>
          <w:sz w:val="18"/>
          <w:szCs w:val="18"/>
          <w:rtl/>
        </w:rPr>
      </w:pPr>
      <w:r w:rsidRPr="008A6B22">
        <w:rPr>
          <w:rStyle w:val="FootnoteReference"/>
          <w:rFonts w:ascii="Cambria Math" w:eastAsiaTheme="majorEastAsia" w:hAnsi="Cambria Math"/>
          <w:sz w:val="18"/>
          <w:szCs w:val="18"/>
        </w:rPr>
        <w:footnoteRef/>
      </w:r>
      <w:r w:rsidRPr="008A6B22">
        <w:rPr>
          <w:rFonts w:ascii="Cambria Math" w:hAnsi="Cambria Math"/>
          <w:sz w:val="18"/>
          <w:szCs w:val="18"/>
        </w:rPr>
        <w:t xml:space="preserve"> Obstfeld</w:t>
      </w:r>
    </w:p>
  </w:footnote>
  <w:footnote w:id="185">
    <w:p w14:paraId="27353923" w14:textId="77777777" w:rsidR="00411620" w:rsidRPr="008A6B22" w:rsidRDefault="00411620" w:rsidP="00411620">
      <w:pPr>
        <w:pStyle w:val="FootnoteText"/>
        <w:bidi w:val="0"/>
        <w:rPr>
          <w:rFonts w:ascii="Cambria Math" w:hAnsi="Cambria Math"/>
          <w:sz w:val="18"/>
          <w:szCs w:val="18"/>
          <w:rtl/>
        </w:rPr>
      </w:pPr>
      <w:r w:rsidRPr="008A6B22">
        <w:rPr>
          <w:rStyle w:val="FootnoteReference"/>
          <w:rFonts w:ascii="Cambria Math" w:eastAsiaTheme="majorEastAsia" w:hAnsi="Cambria Math"/>
          <w:sz w:val="18"/>
          <w:szCs w:val="18"/>
        </w:rPr>
        <w:footnoteRef/>
      </w:r>
      <w:r w:rsidRPr="008A6B22">
        <w:rPr>
          <w:rFonts w:ascii="Cambria Math" w:hAnsi="Cambria Math"/>
          <w:sz w:val="18"/>
          <w:szCs w:val="18"/>
        </w:rPr>
        <w:t xml:space="preserve"> Pricing to market</w:t>
      </w:r>
      <w:r w:rsidRPr="008A6B22">
        <w:rPr>
          <w:rFonts w:ascii="Cambria Math" w:hAnsi="Cambria Math"/>
          <w:i/>
          <w:sz w:val="18"/>
          <w:szCs w:val="18"/>
        </w:rPr>
        <w:t xml:space="preserve"> </w:t>
      </w:r>
    </w:p>
  </w:footnote>
  <w:footnote w:id="186">
    <w:p w14:paraId="3FDDB0A2" w14:textId="77777777" w:rsidR="00411620" w:rsidRPr="008A6B22" w:rsidRDefault="00411620" w:rsidP="00411620">
      <w:pPr>
        <w:pStyle w:val="FootnoteText"/>
        <w:bidi w:val="0"/>
        <w:rPr>
          <w:rFonts w:ascii="Cambria Math" w:hAnsi="Cambria Math"/>
          <w:sz w:val="18"/>
          <w:szCs w:val="18"/>
          <w:rtl/>
        </w:rPr>
      </w:pPr>
      <w:r w:rsidRPr="008A6B22">
        <w:rPr>
          <w:rStyle w:val="FootnoteReference"/>
          <w:rFonts w:ascii="Cambria Math" w:eastAsiaTheme="majorEastAsia" w:hAnsi="Cambria Math"/>
          <w:sz w:val="18"/>
          <w:szCs w:val="18"/>
        </w:rPr>
        <w:footnoteRef/>
      </w:r>
      <w:r w:rsidRPr="008A6B22">
        <w:rPr>
          <w:rFonts w:ascii="Cambria Math" w:hAnsi="Cambria Math"/>
          <w:sz w:val="18"/>
          <w:szCs w:val="18"/>
        </w:rPr>
        <w:t>local currency pricing</w:t>
      </w:r>
    </w:p>
  </w:footnote>
  <w:footnote w:id="187">
    <w:p w14:paraId="36CE042E" w14:textId="77777777" w:rsidR="00411620" w:rsidRPr="008A6B22" w:rsidRDefault="00411620" w:rsidP="00411620">
      <w:pPr>
        <w:pStyle w:val="FootnoteText"/>
        <w:bidi w:val="0"/>
        <w:rPr>
          <w:rFonts w:ascii="Cambria Math" w:hAnsi="Cambria Math"/>
          <w:sz w:val="18"/>
          <w:szCs w:val="18"/>
          <w:rtl/>
        </w:rPr>
      </w:pPr>
      <w:r w:rsidRPr="008A6B22">
        <w:rPr>
          <w:rStyle w:val="FootnoteReference"/>
          <w:rFonts w:ascii="Cambria Math" w:eastAsiaTheme="majorEastAsia" w:hAnsi="Cambria Math"/>
          <w:sz w:val="18"/>
          <w:szCs w:val="18"/>
        </w:rPr>
        <w:footnoteRef/>
      </w:r>
      <w:r w:rsidRPr="008A6B22">
        <w:rPr>
          <w:rFonts w:ascii="Cambria Math" w:hAnsi="Cambria Math"/>
          <w:sz w:val="18"/>
          <w:szCs w:val="18"/>
        </w:rPr>
        <w:t xml:space="preserve"> producer currency pricing</w:t>
      </w:r>
      <w:r w:rsidRPr="008A6B22">
        <w:rPr>
          <w:rFonts w:ascii="Cambria Math" w:hAnsi="Cambria Math"/>
          <w:sz w:val="18"/>
          <w:szCs w:val="18"/>
          <w:rtl/>
        </w:rPr>
        <w:t xml:space="preserve"> </w:t>
      </w:r>
    </w:p>
  </w:footnote>
  <w:footnote w:id="188">
    <w:p w14:paraId="18831D93" w14:textId="77777777" w:rsidR="00411620" w:rsidRPr="008A6B22" w:rsidRDefault="00411620" w:rsidP="00411620">
      <w:pPr>
        <w:pStyle w:val="FootnoteText"/>
        <w:bidi w:val="0"/>
        <w:rPr>
          <w:rFonts w:ascii="Cambria Math" w:hAnsi="Cambria Math" w:cs="Sakkal Majalla"/>
          <w:sz w:val="18"/>
          <w:szCs w:val="18"/>
          <w:rtl/>
        </w:rPr>
      </w:pPr>
      <w:r w:rsidRPr="008A6B22">
        <w:rPr>
          <w:rStyle w:val="FootnoteReference"/>
          <w:rFonts w:ascii="Cambria Math" w:eastAsiaTheme="majorEastAsia" w:hAnsi="Cambria Math"/>
          <w:sz w:val="18"/>
          <w:szCs w:val="18"/>
        </w:rPr>
        <w:footnoteRef/>
      </w:r>
      <w:r w:rsidRPr="008A6B22">
        <w:rPr>
          <w:rFonts w:ascii="Cambria Math" w:hAnsi="Cambria Math"/>
          <w:sz w:val="18"/>
          <w:szCs w:val="18"/>
        </w:rPr>
        <w:t xml:space="preserve"> </w:t>
      </w:r>
      <w:r w:rsidRPr="008A6B22">
        <w:rPr>
          <w:rFonts w:ascii="Cambria Math" w:eastAsiaTheme="minorEastAsia" w:hAnsi="Cambria Math"/>
          <w:sz w:val="18"/>
          <w:szCs w:val="18"/>
        </w:rPr>
        <w:t>The Twin Deficits</w:t>
      </w:r>
    </w:p>
  </w:footnote>
  <w:footnote w:id="189">
    <w:p w14:paraId="7912411A" w14:textId="77777777" w:rsidR="00411620" w:rsidRPr="008A6B22" w:rsidRDefault="00411620" w:rsidP="00411620">
      <w:pPr>
        <w:pStyle w:val="FootnoteText"/>
        <w:rPr>
          <w:rFonts w:ascii="Cambria Math" w:hAnsi="Cambria Math"/>
          <w:sz w:val="18"/>
          <w:szCs w:val="18"/>
          <w:rtl/>
        </w:rPr>
      </w:pPr>
      <w:r w:rsidRPr="008A6B22">
        <w:rPr>
          <w:rStyle w:val="FootnoteReference"/>
          <w:rFonts w:ascii="Cambria Math" w:eastAsiaTheme="majorEastAsia" w:hAnsi="Cambria Math"/>
          <w:sz w:val="18"/>
          <w:szCs w:val="18"/>
        </w:rPr>
        <w:footnoteRef/>
      </w:r>
      <w:r w:rsidRPr="008A6B22">
        <w:rPr>
          <w:rFonts w:ascii="Cambria Math" w:hAnsi="Cambria Math"/>
          <w:sz w:val="18"/>
          <w:szCs w:val="18"/>
        </w:rPr>
        <w:t xml:space="preserve"> </w:t>
      </w:r>
      <w:r w:rsidRPr="008A6B22">
        <w:rPr>
          <w:rFonts w:ascii="Cambria Math" w:hAnsi="Cambria Math"/>
          <w:sz w:val="18"/>
          <w:szCs w:val="18"/>
          <w:rtl/>
        </w:rPr>
        <w:t xml:space="preserve">برای مطالعه‌ی بیشتر به </w:t>
      </w:r>
      <w:r w:rsidRPr="008A6B22">
        <w:rPr>
          <w:rFonts w:ascii="Cambria Math" w:hAnsi="Cambria Math"/>
          <w:sz w:val="18"/>
          <w:szCs w:val="18"/>
        </w:rPr>
        <w:t>Obstfeld and Rogoff, 1995b</w:t>
      </w:r>
      <w:r w:rsidRPr="008A6B22">
        <w:rPr>
          <w:rFonts w:ascii="Cambria Math" w:hAnsi="Cambria Math"/>
          <w:sz w:val="18"/>
          <w:szCs w:val="18"/>
          <w:rtl/>
        </w:rPr>
        <w:t xml:space="preserve"> و </w:t>
      </w:r>
      <w:proofErr w:type="spellStart"/>
      <w:r w:rsidRPr="008A6B22">
        <w:rPr>
          <w:rFonts w:ascii="Cambria Math" w:hAnsi="Cambria Math"/>
          <w:sz w:val="18"/>
          <w:szCs w:val="18"/>
        </w:rPr>
        <w:t>Sheffrin</w:t>
      </w:r>
      <w:proofErr w:type="spellEnd"/>
      <w:r w:rsidRPr="008A6B22">
        <w:rPr>
          <w:rFonts w:ascii="Cambria Math" w:hAnsi="Cambria Math"/>
          <w:sz w:val="18"/>
          <w:szCs w:val="18"/>
        </w:rPr>
        <w:t xml:space="preserve"> and Woo, 1990</w:t>
      </w:r>
      <w:r w:rsidRPr="008A6B22">
        <w:rPr>
          <w:rFonts w:ascii="Cambria Math" w:hAnsi="Cambria Math"/>
          <w:sz w:val="18"/>
          <w:szCs w:val="18"/>
          <w:rtl/>
        </w:rPr>
        <w:t xml:space="preserve"> مراجعه شود.</w:t>
      </w:r>
    </w:p>
  </w:footnote>
  <w:footnote w:id="190">
    <w:p w14:paraId="4C588532" w14:textId="77777777" w:rsidR="00411620" w:rsidRPr="008A6B22" w:rsidRDefault="00411620" w:rsidP="00411620">
      <w:pPr>
        <w:pStyle w:val="FootnoteText"/>
        <w:bidi w:val="0"/>
        <w:rPr>
          <w:rFonts w:ascii="Cambria Math" w:hAnsi="Cambria Math"/>
          <w:sz w:val="18"/>
          <w:szCs w:val="18"/>
        </w:rPr>
      </w:pPr>
      <w:r w:rsidRPr="008A6B22">
        <w:rPr>
          <w:rStyle w:val="FootnoteReference"/>
          <w:rFonts w:ascii="Cambria Math" w:eastAsiaTheme="majorEastAsia" w:hAnsi="Cambria Math"/>
          <w:sz w:val="18"/>
          <w:szCs w:val="18"/>
        </w:rPr>
        <w:footnoteRef/>
      </w:r>
      <w:r w:rsidRPr="008A6B22">
        <w:rPr>
          <w:rFonts w:ascii="Cambria Math" w:hAnsi="Cambria Math"/>
          <w:sz w:val="18"/>
          <w:szCs w:val="18"/>
        </w:rPr>
        <w:t xml:space="preserve"> Obstfeld and Rogoff, 1995a</w:t>
      </w:r>
    </w:p>
  </w:footnote>
  <w:footnote w:id="191">
    <w:p w14:paraId="1E81A8B1" w14:textId="77777777" w:rsidR="00411620" w:rsidRPr="00434B4B" w:rsidRDefault="00411620" w:rsidP="00411620">
      <w:pPr>
        <w:pStyle w:val="FootnoteText"/>
        <w:bidi w:val="0"/>
        <w:rPr>
          <w:rFonts w:ascii="Cambria Math" w:hAnsi="Cambria Math" w:cs="Times New Roman"/>
          <w:sz w:val="18"/>
          <w:szCs w:val="18"/>
        </w:rPr>
      </w:pPr>
      <w:r w:rsidRPr="00434B4B">
        <w:rPr>
          <w:rStyle w:val="FootnoteReference"/>
          <w:rFonts w:ascii="Cambria Math" w:eastAsiaTheme="majorEastAsia" w:hAnsi="Cambria Math" w:cs="Times New Roman"/>
          <w:sz w:val="18"/>
          <w:szCs w:val="18"/>
        </w:rPr>
        <w:footnoteRef/>
      </w:r>
      <w:r w:rsidRPr="00434B4B">
        <w:rPr>
          <w:rFonts w:ascii="Cambria Math" w:hAnsi="Cambria Math" w:cs="Times New Roman"/>
          <w:sz w:val="18"/>
          <w:szCs w:val="18"/>
        </w:rPr>
        <w:t xml:space="preserve"> Cashless economy</w:t>
      </w:r>
    </w:p>
  </w:footnote>
  <w:footnote w:id="192">
    <w:p w14:paraId="6F315734" w14:textId="77777777" w:rsidR="00411620" w:rsidRPr="00434B4B" w:rsidRDefault="00411620" w:rsidP="00411620">
      <w:pPr>
        <w:pStyle w:val="FootnoteText"/>
        <w:bidi w:val="0"/>
        <w:rPr>
          <w:rFonts w:ascii="Cambria Math" w:hAnsi="Cambria Math" w:cs="Times New Roman"/>
          <w:sz w:val="18"/>
          <w:szCs w:val="18"/>
        </w:rPr>
      </w:pPr>
      <w:r w:rsidRPr="00434B4B">
        <w:rPr>
          <w:rStyle w:val="FootnoteReference"/>
          <w:rFonts w:ascii="Cambria Math" w:eastAsiaTheme="majorEastAsia" w:hAnsi="Cambria Math" w:cs="Times New Roman"/>
          <w:sz w:val="18"/>
          <w:szCs w:val="18"/>
        </w:rPr>
        <w:footnoteRef/>
      </w:r>
      <w:r w:rsidRPr="00434B4B">
        <w:rPr>
          <w:rFonts w:ascii="Cambria Math" w:hAnsi="Cambria Math" w:cs="Times New Roman"/>
          <w:sz w:val="18"/>
          <w:szCs w:val="18"/>
        </w:rPr>
        <w:t xml:space="preserve"> Cash-in-advance</w:t>
      </w:r>
    </w:p>
  </w:footnote>
  <w:footnote w:id="193">
    <w:p w14:paraId="52EB5BFA" w14:textId="77777777" w:rsidR="00411620" w:rsidRPr="00434B4B" w:rsidRDefault="00411620" w:rsidP="00411620">
      <w:pPr>
        <w:pStyle w:val="FootnoteText"/>
        <w:bidi w:val="0"/>
        <w:rPr>
          <w:rFonts w:ascii="Cambria Math" w:hAnsi="Cambria Math" w:cs="Times New Roman"/>
          <w:sz w:val="18"/>
          <w:szCs w:val="18"/>
        </w:rPr>
      </w:pPr>
      <w:r w:rsidRPr="00434B4B">
        <w:rPr>
          <w:rStyle w:val="FootnoteReference"/>
          <w:rFonts w:ascii="Cambria Math" w:eastAsiaTheme="majorEastAsia" w:hAnsi="Cambria Math" w:cs="Times New Roman"/>
          <w:sz w:val="18"/>
          <w:szCs w:val="18"/>
        </w:rPr>
        <w:footnoteRef/>
      </w:r>
      <w:r w:rsidRPr="00434B4B">
        <w:rPr>
          <w:rFonts w:ascii="Cambria Math" w:hAnsi="Cambria Math" w:cs="Times New Roman"/>
          <w:sz w:val="18"/>
          <w:szCs w:val="18"/>
        </w:rPr>
        <w:t xml:space="preserve"> Money-in-utility </w:t>
      </w:r>
    </w:p>
  </w:footnote>
  <w:footnote w:id="194">
    <w:p w14:paraId="2A3469DA" w14:textId="77777777" w:rsidR="00411620" w:rsidRPr="00434B4B" w:rsidRDefault="00411620" w:rsidP="00411620">
      <w:pPr>
        <w:pStyle w:val="FootnoteText"/>
        <w:bidi w:val="0"/>
        <w:rPr>
          <w:rFonts w:ascii="Cambria Math" w:hAnsi="Cambria Math" w:cs="Times New Roman"/>
          <w:sz w:val="18"/>
          <w:szCs w:val="18"/>
        </w:rPr>
      </w:pPr>
      <w:r w:rsidRPr="00434B4B">
        <w:rPr>
          <w:rStyle w:val="FootnoteReference"/>
          <w:rFonts w:ascii="Cambria Math" w:eastAsiaTheme="majorEastAsia" w:hAnsi="Cambria Math" w:cs="Times New Roman"/>
          <w:sz w:val="18"/>
          <w:szCs w:val="18"/>
        </w:rPr>
        <w:footnoteRef/>
      </w:r>
      <w:r w:rsidRPr="00434B4B">
        <w:rPr>
          <w:rFonts w:ascii="Cambria Math" w:hAnsi="Cambria Math" w:cs="Times New Roman"/>
          <w:sz w:val="18"/>
          <w:szCs w:val="18"/>
        </w:rPr>
        <w:t xml:space="preserve"> Money as an intermediate goods</w:t>
      </w:r>
    </w:p>
  </w:footnote>
  <w:footnote w:id="195">
    <w:p w14:paraId="37CD967B" w14:textId="77777777" w:rsidR="00411620" w:rsidRPr="00434B4B" w:rsidRDefault="00411620" w:rsidP="00411620">
      <w:pPr>
        <w:pStyle w:val="FootnoteText"/>
        <w:rPr>
          <w:rFonts w:ascii="Cambria Math" w:hAnsi="Cambria Math" w:cs="Times New Roman"/>
          <w:sz w:val="18"/>
          <w:szCs w:val="18"/>
          <w:rtl/>
        </w:rPr>
      </w:pPr>
      <w:r w:rsidRPr="00434B4B">
        <w:rPr>
          <w:rStyle w:val="FootnoteReference"/>
          <w:rFonts w:ascii="Cambria Math" w:eastAsiaTheme="majorEastAsia" w:hAnsi="Cambria Math" w:cs="Times New Roman"/>
          <w:sz w:val="18"/>
          <w:szCs w:val="18"/>
        </w:rPr>
        <w:footnoteRef/>
      </w:r>
      <w:r w:rsidRPr="00434B4B">
        <w:rPr>
          <w:rFonts w:ascii="Cambria Math" w:hAnsi="Cambria Math" w:cs="Times New Roman"/>
          <w:sz w:val="18"/>
          <w:szCs w:val="18"/>
        </w:rPr>
        <w:t xml:space="preserve"> </w:t>
      </w:r>
      <w:r w:rsidRPr="00434B4B">
        <w:rPr>
          <w:rFonts w:ascii="Cambria Math" w:hAnsi="Cambria Math" w:cs="Times New Roman"/>
          <w:sz w:val="18"/>
          <w:szCs w:val="18"/>
          <w:rtl/>
        </w:rPr>
        <w:t xml:space="preserve">برای مطالعه‌ی بیشتر به کتاب </w:t>
      </w:r>
      <w:r w:rsidRPr="00434B4B">
        <w:rPr>
          <w:rFonts w:ascii="Cambria Math" w:hAnsi="Cambria Math" w:cs="Times New Roman"/>
          <w:sz w:val="18"/>
          <w:szCs w:val="18"/>
        </w:rPr>
        <w:t>Walsh, 2005</w:t>
      </w:r>
      <w:r w:rsidRPr="00434B4B">
        <w:rPr>
          <w:rFonts w:ascii="Cambria Math" w:hAnsi="Cambria Math" w:cs="Times New Roman"/>
          <w:sz w:val="18"/>
          <w:szCs w:val="18"/>
          <w:rtl/>
        </w:rPr>
        <w:t xml:space="preserve"> مراجعه شود.</w:t>
      </w:r>
    </w:p>
  </w:footnote>
  <w:footnote w:id="196">
    <w:p w14:paraId="6512AEB2" w14:textId="77777777" w:rsidR="00411620" w:rsidRPr="00434B4B" w:rsidRDefault="00411620" w:rsidP="00411620">
      <w:pPr>
        <w:pStyle w:val="FootnoteText"/>
        <w:bidi w:val="0"/>
        <w:rPr>
          <w:rFonts w:ascii="Cambria Math" w:hAnsi="Cambria Math" w:cs="Times New Roman"/>
          <w:sz w:val="18"/>
          <w:szCs w:val="18"/>
        </w:rPr>
      </w:pPr>
      <w:r w:rsidRPr="00434B4B">
        <w:rPr>
          <w:rStyle w:val="FootnoteReference"/>
          <w:rFonts w:ascii="Cambria Math" w:eastAsiaTheme="majorEastAsia" w:hAnsi="Cambria Math" w:cs="Times New Roman"/>
          <w:sz w:val="18"/>
          <w:szCs w:val="18"/>
        </w:rPr>
        <w:footnoteRef/>
      </w:r>
      <w:r w:rsidRPr="00434B4B">
        <w:rPr>
          <w:rFonts w:ascii="Cambria Math" w:hAnsi="Cambria Math" w:cs="Times New Roman"/>
          <w:sz w:val="18"/>
          <w:szCs w:val="18"/>
        </w:rPr>
        <w:t xml:space="preserve"> </w:t>
      </w:r>
      <w:proofErr w:type="spellStart"/>
      <w:r w:rsidRPr="00434B4B">
        <w:rPr>
          <w:rFonts w:ascii="Cambria Math" w:hAnsi="Cambria Math" w:cs="Times New Roman"/>
          <w:sz w:val="18"/>
          <w:szCs w:val="18"/>
        </w:rPr>
        <w:t>Sidrauski</w:t>
      </w:r>
      <w:proofErr w:type="spellEnd"/>
      <w:r w:rsidRPr="00434B4B">
        <w:rPr>
          <w:rFonts w:ascii="Cambria Math" w:hAnsi="Cambria Math" w:cs="Times New Roman"/>
          <w:sz w:val="18"/>
          <w:szCs w:val="18"/>
        </w:rPr>
        <w:t>, 1967</w:t>
      </w:r>
    </w:p>
  </w:footnote>
  <w:footnote w:id="197">
    <w:p w14:paraId="18C4BD7B" w14:textId="77777777" w:rsidR="00411620" w:rsidRPr="00434B4B" w:rsidRDefault="00411620" w:rsidP="00411620">
      <w:pPr>
        <w:pStyle w:val="FootnoteText"/>
        <w:bidi w:val="0"/>
        <w:rPr>
          <w:rFonts w:ascii="Cambria Math" w:hAnsi="Cambria Math" w:cs="Times New Roman"/>
          <w:sz w:val="18"/>
          <w:szCs w:val="18"/>
        </w:rPr>
      </w:pPr>
      <w:r w:rsidRPr="00434B4B">
        <w:rPr>
          <w:rStyle w:val="FootnoteReference"/>
          <w:rFonts w:ascii="Cambria Math" w:eastAsiaTheme="majorEastAsia" w:hAnsi="Cambria Math" w:cs="Times New Roman"/>
          <w:sz w:val="18"/>
          <w:szCs w:val="18"/>
        </w:rPr>
        <w:footnoteRef/>
      </w:r>
      <w:r w:rsidRPr="00434B4B">
        <w:rPr>
          <w:rFonts w:ascii="Cambria Math" w:hAnsi="Cambria Math" w:cs="Times New Roman"/>
          <w:sz w:val="18"/>
          <w:szCs w:val="18"/>
        </w:rPr>
        <w:t xml:space="preserve"> Brock, 1974, 1990</w:t>
      </w:r>
    </w:p>
  </w:footnote>
  <w:footnote w:id="198">
    <w:p w14:paraId="4EA5D0DA" w14:textId="77777777" w:rsidR="00411620" w:rsidRPr="00434B4B" w:rsidRDefault="00411620" w:rsidP="00411620">
      <w:pPr>
        <w:pStyle w:val="FootnoteText"/>
        <w:bidi w:val="0"/>
        <w:rPr>
          <w:rFonts w:ascii="Cambria Math" w:hAnsi="Cambria Math" w:cs="Times New Roman"/>
          <w:sz w:val="18"/>
          <w:szCs w:val="18"/>
        </w:rPr>
      </w:pPr>
      <w:r w:rsidRPr="00434B4B">
        <w:rPr>
          <w:rStyle w:val="FootnoteReference"/>
          <w:rFonts w:ascii="Cambria Math" w:eastAsiaTheme="majorEastAsia" w:hAnsi="Cambria Math" w:cs="Times New Roman"/>
          <w:sz w:val="18"/>
          <w:szCs w:val="18"/>
        </w:rPr>
        <w:footnoteRef/>
      </w:r>
      <w:r w:rsidRPr="00434B4B">
        <w:rPr>
          <w:rFonts w:ascii="Cambria Math" w:hAnsi="Cambria Math" w:cs="Times New Roman"/>
          <w:sz w:val="18"/>
          <w:szCs w:val="18"/>
        </w:rPr>
        <w:t xml:space="preserve"> </w:t>
      </w:r>
      <w:proofErr w:type="spellStart"/>
      <w:r w:rsidRPr="00434B4B">
        <w:rPr>
          <w:rFonts w:ascii="Cambria Math" w:hAnsi="Cambria Math" w:cs="Times New Roman"/>
          <w:sz w:val="18"/>
          <w:szCs w:val="18"/>
        </w:rPr>
        <w:t>Feenstra</w:t>
      </w:r>
      <w:proofErr w:type="spellEnd"/>
      <w:r w:rsidRPr="00434B4B">
        <w:rPr>
          <w:rFonts w:ascii="Cambria Math" w:hAnsi="Cambria Math" w:cs="Times New Roman"/>
          <w:sz w:val="18"/>
          <w:szCs w:val="18"/>
        </w:rPr>
        <w:t>, 1989</w:t>
      </w:r>
    </w:p>
  </w:footnote>
  <w:footnote w:id="199">
    <w:p w14:paraId="4A4A2BBD" w14:textId="77777777" w:rsidR="00411620" w:rsidRPr="00434B4B" w:rsidRDefault="00411620" w:rsidP="00411620">
      <w:pPr>
        <w:pStyle w:val="FootnoteText"/>
        <w:bidi w:val="0"/>
        <w:rPr>
          <w:rFonts w:ascii="Cambria Math" w:hAnsi="Cambria Math" w:cs="Times New Roman"/>
          <w:sz w:val="18"/>
          <w:szCs w:val="18"/>
        </w:rPr>
      </w:pPr>
      <w:r w:rsidRPr="00434B4B">
        <w:rPr>
          <w:rStyle w:val="FootnoteReference"/>
          <w:rFonts w:ascii="Cambria Math" w:eastAsiaTheme="majorEastAsia" w:hAnsi="Cambria Math" w:cs="Times New Roman"/>
          <w:sz w:val="18"/>
          <w:szCs w:val="18"/>
        </w:rPr>
        <w:footnoteRef/>
      </w:r>
      <w:r w:rsidRPr="00434B4B">
        <w:rPr>
          <w:rFonts w:ascii="Cambria Math" w:hAnsi="Cambria Math" w:cs="Times New Roman"/>
          <w:sz w:val="18"/>
          <w:szCs w:val="18"/>
        </w:rPr>
        <w:t xml:space="preserve"> </w:t>
      </w:r>
      <w:proofErr w:type="gramStart"/>
      <w:r w:rsidRPr="00434B4B">
        <w:rPr>
          <w:rFonts w:ascii="Cambria Math" w:hAnsi="Cambria Math" w:cs="Times New Roman"/>
          <w:sz w:val="18"/>
          <w:szCs w:val="18"/>
        </w:rPr>
        <w:t>Closed-form</w:t>
      </w:r>
      <w:proofErr w:type="gramEnd"/>
    </w:p>
  </w:footnote>
  <w:footnote w:id="200">
    <w:p w14:paraId="1A7CC4C2" w14:textId="77777777" w:rsidR="00411620" w:rsidRPr="00434B4B" w:rsidRDefault="00411620" w:rsidP="00411620">
      <w:pPr>
        <w:pStyle w:val="FootnoteText"/>
        <w:bidi w:val="0"/>
        <w:rPr>
          <w:rFonts w:ascii="Cambria Math" w:hAnsi="Cambria Math"/>
          <w:sz w:val="18"/>
          <w:szCs w:val="18"/>
        </w:rPr>
      </w:pPr>
      <w:r w:rsidRPr="00434B4B">
        <w:rPr>
          <w:rStyle w:val="FootnoteReference"/>
          <w:rFonts w:ascii="Cambria Math" w:eastAsiaTheme="majorEastAsia" w:hAnsi="Cambria Math"/>
          <w:sz w:val="18"/>
          <w:szCs w:val="18"/>
        </w:rPr>
        <w:footnoteRef/>
      </w:r>
      <w:r w:rsidRPr="00434B4B">
        <w:rPr>
          <w:rFonts w:ascii="Cambria Math" w:hAnsi="Cambria Math"/>
          <w:sz w:val="18"/>
          <w:szCs w:val="18"/>
          <w:rtl/>
        </w:rPr>
        <w:t xml:space="preserve"> </w:t>
      </w:r>
      <w:r w:rsidRPr="00434B4B">
        <w:rPr>
          <w:rFonts w:ascii="Cambria Math" w:hAnsi="Cambria Math" w:cs="Times New Roman"/>
          <w:sz w:val="18"/>
          <w:szCs w:val="18"/>
        </w:rPr>
        <w:t>Money as an intermediate goods</w:t>
      </w:r>
    </w:p>
  </w:footnote>
  <w:footnote w:id="201">
    <w:p w14:paraId="3F950AD0" w14:textId="77777777" w:rsidR="00411620" w:rsidRPr="00434B4B" w:rsidRDefault="00411620" w:rsidP="00411620">
      <w:pPr>
        <w:pStyle w:val="FootnoteText"/>
        <w:bidi w:val="0"/>
        <w:rPr>
          <w:rFonts w:ascii="Cambria Math" w:hAnsi="Cambria Math" w:cstheme="majorBidi"/>
          <w:sz w:val="18"/>
          <w:szCs w:val="18"/>
        </w:rPr>
      </w:pPr>
      <w:r w:rsidRPr="00434B4B">
        <w:rPr>
          <w:rStyle w:val="FootnoteReference"/>
          <w:rFonts w:ascii="Cambria Math" w:eastAsiaTheme="majorEastAsia" w:hAnsi="Cambria Math"/>
          <w:sz w:val="18"/>
          <w:szCs w:val="18"/>
        </w:rPr>
        <w:footnoteRef/>
      </w:r>
      <w:r w:rsidRPr="00434B4B">
        <w:rPr>
          <w:rFonts w:ascii="Cambria Math" w:hAnsi="Cambria Math" w:cstheme="majorBidi"/>
          <w:sz w:val="18"/>
          <w:szCs w:val="18"/>
          <w:rtl/>
        </w:rPr>
        <w:t xml:space="preserve"> </w:t>
      </w:r>
      <w:proofErr w:type="spellStart"/>
      <w:r w:rsidRPr="00434B4B">
        <w:rPr>
          <w:rFonts w:ascii="Cambria Math" w:hAnsi="Cambria Math" w:cstheme="majorBidi"/>
          <w:sz w:val="18"/>
          <w:szCs w:val="18"/>
        </w:rPr>
        <w:t>Ljunqvist</w:t>
      </w:r>
      <w:proofErr w:type="spellEnd"/>
      <w:r w:rsidRPr="00434B4B">
        <w:rPr>
          <w:rFonts w:ascii="Cambria Math" w:hAnsi="Cambria Math" w:cstheme="majorBidi"/>
          <w:sz w:val="18"/>
          <w:szCs w:val="18"/>
        </w:rPr>
        <w:t xml:space="preserve"> and Sargent (2004)</w:t>
      </w:r>
    </w:p>
  </w:footnote>
  <w:footnote w:id="202">
    <w:p w14:paraId="53CC9A37" w14:textId="77777777" w:rsidR="00411620" w:rsidRPr="00434B4B" w:rsidRDefault="00411620" w:rsidP="00411620">
      <w:pPr>
        <w:pStyle w:val="FootnoteText"/>
        <w:bidi w:val="0"/>
        <w:rPr>
          <w:rFonts w:ascii="Cambria Math" w:hAnsi="Cambria Math" w:cs="Times New Roman"/>
          <w:sz w:val="18"/>
          <w:szCs w:val="18"/>
        </w:rPr>
      </w:pPr>
      <w:r w:rsidRPr="00434B4B">
        <w:rPr>
          <w:rStyle w:val="FootnoteReference"/>
          <w:rFonts w:ascii="Cambria Math" w:eastAsiaTheme="majorEastAsia" w:hAnsi="Cambria Math" w:cs="Times New Roman"/>
          <w:sz w:val="18"/>
          <w:szCs w:val="18"/>
        </w:rPr>
        <w:footnoteRef/>
      </w:r>
      <w:r w:rsidRPr="00434B4B">
        <w:rPr>
          <w:rFonts w:ascii="Cambria Math" w:hAnsi="Cambria Math" w:cs="Times New Roman"/>
          <w:sz w:val="18"/>
          <w:szCs w:val="18"/>
        </w:rPr>
        <w:t xml:space="preserve"> Walsh, 2005</w:t>
      </w:r>
    </w:p>
  </w:footnote>
  <w:footnote w:id="203">
    <w:p w14:paraId="6B4502D9" w14:textId="77777777" w:rsidR="00411620" w:rsidRPr="00434B4B" w:rsidRDefault="00411620" w:rsidP="00411620">
      <w:pPr>
        <w:pStyle w:val="FootnoteText"/>
        <w:bidi w:val="0"/>
        <w:rPr>
          <w:rFonts w:ascii="Cambria Math" w:hAnsi="Cambria Math" w:cs="Times New Roman"/>
          <w:sz w:val="18"/>
          <w:szCs w:val="18"/>
        </w:rPr>
      </w:pPr>
      <w:r w:rsidRPr="00434B4B">
        <w:rPr>
          <w:rStyle w:val="FootnoteReference"/>
          <w:rFonts w:ascii="Cambria Math" w:eastAsiaTheme="majorEastAsia" w:hAnsi="Cambria Math" w:cs="Times New Roman"/>
          <w:sz w:val="18"/>
          <w:szCs w:val="18"/>
        </w:rPr>
        <w:footnoteRef/>
      </w:r>
      <w:r w:rsidRPr="00434B4B">
        <w:rPr>
          <w:rFonts w:ascii="Cambria Math" w:hAnsi="Cambria Math" w:cs="Times New Roman"/>
          <w:sz w:val="18"/>
          <w:szCs w:val="18"/>
        </w:rPr>
        <w:t xml:space="preserve"> Lucas and Stocky, 1983, 1987</w:t>
      </w:r>
    </w:p>
  </w:footnote>
  <w:footnote w:id="204">
    <w:p w14:paraId="518B3AFD" w14:textId="77777777" w:rsidR="00411620" w:rsidRPr="00434B4B" w:rsidRDefault="00411620" w:rsidP="00411620">
      <w:pPr>
        <w:pStyle w:val="FootnoteText"/>
        <w:bidi w:val="0"/>
        <w:rPr>
          <w:rFonts w:ascii="Cambria Math" w:hAnsi="Cambria Math" w:cs="Times New Roman"/>
          <w:sz w:val="18"/>
          <w:szCs w:val="18"/>
        </w:rPr>
      </w:pPr>
      <w:r w:rsidRPr="00434B4B">
        <w:rPr>
          <w:rStyle w:val="FootnoteReference"/>
          <w:rFonts w:ascii="Cambria Math" w:eastAsiaTheme="majorEastAsia" w:hAnsi="Cambria Math" w:cs="Times New Roman"/>
          <w:sz w:val="18"/>
          <w:szCs w:val="18"/>
        </w:rPr>
        <w:footnoteRef/>
      </w:r>
      <w:r w:rsidRPr="00434B4B">
        <w:rPr>
          <w:rFonts w:ascii="Cambria Math" w:hAnsi="Cambria Math" w:cs="Times New Roman"/>
          <w:sz w:val="18"/>
          <w:szCs w:val="18"/>
        </w:rPr>
        <w:t xml:space="preserve"> Walsh, 2005</w:t>
      </w:r>
    </w:p>
  </w:footnote>
  <w:footnote w:id="205">
    <w:p w14:paraId="6562D4FF" w14:textId="77777777" w:rsidR="00411620" w:rsidRPr="00434B4B" w:rsidRDefault="00411620" w:rsidP="00411620">
      <w:pPr>
        <w:pStyle w:val="FootnoteText"/>
        <w:bidi w:val="0"/>
        <w:rPr>
          <w:rFonts w:ascii="Cambria Math" w:hAnsi="Cambria Math" w:cs="Times New Roman"/>
          <w:sz w:val="18"/>
          <w:szCs w:val="18"/>
        </w:rPr>
      </w:pPr>
      <w:r w:rsidRPr="00434B4B">
        <w:rPr>
          <w:rStyle w:val="FootnoteReference"/>
          <w:rFonts w:ascii="Cambria Math" w:eastAsiaTheme="majorEastAsia" w:hAnsi="Cambria Math" w:cs="Times New Roman"/>
          <w:sz w:val="18"/>
          <w:szCs w:val="18"/>
        </w:rPr>
        <w:footnoteRef/>
      </w:r>
      <w:r w:rsidRPr="00434B4B">
        <w:rPr>
          <w:rFonts w:ascii="Cambria Math" w:hAnsi="Cambria Math" w:cs="Times New Roman"/>
          <w:sz w:val="18"/>
          <w:szCs w:val="18"/>
          <w:rtl/>
        </w:rPr>
        <w:t xml:space="preserve"> </w:t>
      </w:r>
      <w:r w:rsidRPr="00434B4B">
        <w:rPr>
          <w:rFonts w:ascii="Cambria Math" w:hAnsi="Cambria Math" w:cs="Times New Roman"/>
          <w:sz w:val="18"/>
          <w:szCs w:val="18"/>
        </w:rPr>
        <w:t>Interest bearing time deposit</w:t>
      </w:r>
    </w:p>
  </w:footnote>
  <w:footnote w:id="206">
    <w:p w14:paraId="1B9239B8" w14:textId="77777777" w:rsidR="00411620" w:rsidRPr="00434B4B" w:rsidRDefault="00411620" w:rsidP="00411620">
      <w:pPr>
        <w:pStyle w:val="FootnoteText"/>
        <w:bidi w:val="0"/>
        <w:rPr>
          <w:rFonts w:ascii="Cambria Math" w:hAnsi="Cambria Math"/>
          <w:sz w:val="18"/>
          <w:szCs w:val="18"/>
        </w:rPr>
      </w:pPr>
      <w:r w:rsidRPr="00434B4B">
        <w:rPr>
          <w:rStyle w:val="FootnoteReference"/>
          <w:rFonts w:ascii="Cambria Math" w:eastAsiaTheme="majorEastAsia" w:hAnsi="Cambria Math"/>
          <w:sz w:val="18"/>
          <w:szCs w:val="18"/>
        </w:rPr>
        <w:footnoteRef/>
      </w:r>
      <w:r w:rsidRPr="00434B4B">
        <w:rPr>
          <w:rFonts w:ascii="Cambria Math" w:hAnsi="Cambria Math"/>
          <w:sz w:val="18"/>
          <w:szCs w:val="18"/>
          <w:rtl/>
        </w:rPr>
        <w:t xml:space="preserve"> </w:t>
      </w:r>
      <w:proofErr w:type="spellStart"/>
      <w:r w:rsidRPr="00434B4B">
        <w:rPr>
          <w:rFonts w:ascii="Cambria Math" w:hAnsi="Cambria Math"/>
          <w:sz w:val="18"/>
          <w:szCs w:val="18"/>
        </w:rPr>
        <w:t>Cagan</w:t>
      </w:r>
      <w:proofErr w:type="spellEnd"/>
      <w:r w:rsidRPr="00434B4B">
        <w:rPr>
          <w:rFonts w:ascii="Cambria Math" w:hAnsi="Cambria Math"/>
          <w:sz w:val="18"/>
          <w:szCs w:val="18"/>
        </w:rPr>
        <w:t xml:space="preserve">, </w:t>
      </w:r>
      <w:proofErr w:type="gramStart"/>
      <w:r w:rsidRPr="00434B4B">
        <w:rPr>
          <w:rFonts w:ascii="Cambria Math" w:hAnsi="Cambria Math"/>
          <w:sz w:val="18"/>
          <w:szCs w:val="18"/>
        </w:rPr>
        <w:t>Philip(</w:t>
      </w:r>
      <w:proofErr w:type="gramEnd"/>
      <w:r w:rsidRPr="00434B4B">
        <w:rPr>
          <w:rFonts w:ascii="Cambria Math" w:hAnsi="Cambria Math"/>
          <w:sz w:val="18"/>
          <w:szCs w:val="18"/>
        </w:rPr>
        <w:t>1965)</w:t>
      </w:r>
    </w:p>
  </w:footnote>
  <w:footnote w:id="207">
    <w:p w14:paraId="53BCFDB7" w14:textId="77777777" w:rsidR="00411620" w:rsidRPr="00434B4B" w:rsidRDefault="00411620" w:rsidP="00411620">
      <w:pPr>
        <w:pStyle w:val="FootnoteText"/>
        <w:bidi w:val="0"/>
        <w:rPr>
          <w:rFonts w:ascii="Cambria Math" w:hAnsi="Cambria Math" w:cs="Times New Roman"/>
          <w:sz w:val="18"/>
          <w:szCs w:val="18"/>
          <w:rtl/>
        </w:rPr>
      </w:pPr>
      <w:r w:rsidRPr="00434B4B">
        <w:rPr>
          <w:rStyle w:val="FootnoteReference"/>
          <w:rFonts w:ascii="Cambria Math" w:eastAsiaTheme="majorEastAsia" w:hAnsi="Cambria Math"/>
          <w:sz w:val="18"/>
          <w:szCs w:val="18"/>
        </w:rPr>
        <w:footnoteRef/>
      </w:r>
      <w:r w:rsidRPr="00434B4B">
        <w:rPr>
          <w:rFonts w:ascii="Cambria Math" w:hAnsi="Cambria Math"/>
          <w:sz w:val="18"/>
          <w:szCs w:val="18"/>
          <w:rtl/>
        </w:rPr>
        <w:t xml:space="preserve"> </w:t>
      </w:r>
      <w:proofErr w:type="spellStart"/>
      <w:r w:rsidRPr="00434B4B">
        <w:rPr>
          <w:rFonts w:ascii="Cambria Math" w:hAnsi="Cambria Math"/>
          <w:sz w:val="18"/>
          <w:szCs w:val="18"/>
        </w:rPr>
        <w:t>Cagan</w:t>
      </w:r>
      <w:proofErr w:type="spellEnd"/>
      <w:r w:rsidRPr="00434B4B">
        <w:rPr>
          <w:rFonts w:ascii="Cambria Math" w:hAnsi="Cambria Math"/>
          <w:sz w:val="18"/>
          <w:szCs w:val="18"/>
        </w:rPr>
        <w:t xml:space="preserve">, </w:t>
      </w:r>
      <w:proofErr w:type="gramStart"/>
      <w:r w:rsidRPr="00434B4B">
        <w:rPr>
          <w:rFonts w:ascii="Cambria Math" w:hAnsi="Cambria Math"/>
          <w:sz w:val="18"/>
          <w:szCs w:val="18"/>
        </w:rPr>
        <w:t>Philip(</w:t>
      </w:r>
      <w:proofErr w:type="gramEnd"/>
      <w:r w:rsidRPr="00434B4B">
        <w:rPr>
          <w:rFonts w:ascii="Cambria Math" w:hAnsi="Cambria Math"/>
          <w:sz w:val="18"/>
          <w:szCs w:val="18"/>
        </w:rPr>
        <w:t>19</w:t>
      </w:r>
    </w:p>
  </w:footnote>
  <w:footnote w:id="208">
    <w:p w14:paraId="145E4653" w14:textId="77777777" w:rsidR="00411620" w:rsidRPr="00434B4B" w:rsidRDefault="00411620" w:rsidP="00411620">
      <w:pPr>
        <w:pStyle w:val="FootnoteText"/>
        <w:bidi w:val="0"/>
        <w:rPr>
          <w:rFonts w:ascii="Cambria Math" w:hAnsi="Cambria Math" w:cs="Times New Roman"/>
          <w:sz w:val="18"/>
          <w:szCs w:val="18"/>
          <w:rtl/>
        </w:rPr>
      </w:pPr>
      <w:r w:rsidRPr="00434B4B">
        <w:rPr>
          <w:rStyle w:val="FootnoteReference"/>
          <w:rFonts w:ascii="Cambria Math" w:eastAsiaTheme="majorEastAsia" w:hAnsi="Cambria Math" w:cs="Times New Roman"/>
          <w:sz w:val="18"/>
          <w:szCs w:val="18"/>
        </w:rPr>
        <w:footnoteRef/>
      </w:r>
      <w:r w:rsidRPr="00434B4B">
        <w:rPr>
          <w:rFonts w:ascii="Cambria Math" w:hAnsi="Cambria Math" w:cs="Times New Roman"/>
          <w:sz w:val="18"/>
          <w:szCs w:val="18"/>
        </w:rPr>
        <w:t xml:space="preserve"> real yield on money</w:t>
      </w:r>
      <w:r w:rsidRPr="00434B4B">
        <w:rPr>
          <w:rFonts w:ascii="Cambria Math" w:hAnsi="Cambria Math" w:cs="Times New Roman"/>
          <w:sz w:val="18"/>
          <w:szCs w:val="18"/>
          <w:rtl/>
        </w:rPr>
        <w:t xml:space="preserve"> </w:t>
      </w:r>
    </w:p>
  </w:footnote>
  <w:footnote w:id="209">
    <w:p w14:paraId="7FBCA6C1" w14:textId="77777777" w:rsidR="00411620" w:rsidRPr="00434B4B" w:rsidRDefault="00411620" w:rsidP="00411620">
      <w:pPr>
        <w:pStyle w:val="FootnoteText"/>
        <w:bidi w:val="0"/>
        <w:rPr>
          <w:rFonts w:ascii="Cambria Math" w:hAnsi="Cambria Math" w:cstheme="majorBidi"/>
          <w:sz w:val="18"/>
          <w:szCs w:val="18"/>
        </w:rPr>
      </w:pPr>
      <w:r w:rsidRPr="00434B4B">
        <w:rPr>
          <w:rStyle w:val="FootnoteReference"/>
          <w:rFonts w:ascii="Cambria Math" w:eastAsiaTheme="majorEastAsia" w:hAnsi="Cambria Math"/>
          <w:sz w:val="18"/>
          <w:szCs w:val="18"/>
        </w:rPr>
        <w:footnoteRef/>
      </w:r>
      <w:r w:rsidRPr="00434B4B">
        <w:rPr>
          <w:rFonts w:ascii="Cambria Math" w:hAnsi="Cambria Math" w:cstheme="majorBidi"/>
          <w:sz w:val="18"/>
          <w:szCs w:val="18"/>
          <w:rtl/>
        </w:rPr>
        <w:t xml:space="preserve"> </w:t>
      </w:r>
      <w:r w:rsidRPr="00434B4B">
        <w:rPr>
          <w:rFonts w:ascii="Cambria Math" w:hAnsi="Cambria Math" w:cstheme="majorBidi"/>
          <w:sz w:val="18"/>
          <w:szCs w:val="18"/>
        </w:rPr>
        <w:t>Homothetic function</w:t>
      </w:r>
    </w:p>
  </w:footnote>
  <w:footnote w:id="210">
    <w:p w14:paraId="03563AB2" w14:textId="77777777" w:rsidR="00411620" w:rsidRPr="00434B4B" w:rsidRDefault="00411620" w:rsidP="00411620">
      <w:pPr>
        <w:pStyle w:val="FootnoteText"/>
        <w:bidi w:val="0"/>
        <w:rPr>
          <w:rFonts w:ascii="Cambria Math" w:hAnsi="Cambria Math" w:cstheme="majorBidi"/>
          <w:sz w:val="18"/>
          <w:szCs w:val="18"/>
        </w:rPr>
      </w:pPr>
      <w:r w:rsidRPr="00434B4B">
        <w:rPr>
          <w:rStyle w:val="FootnoteReference"/>
          <w:rFonts w:ascii="Cambria Math" w:eastAsiaTheme="majorEastAsia" w:hAnsi="Cambria Math"/>
          <w:sz w:val="18"/>
          <w:szCs w:val="18"/>
        </w:rPr>
        <w:footnoteRef/>
      </w:r>
      <w:r w:rsidRPr="00434B4B">
        <w:rPr>
          <w:rFonts w:ascii="Cambria Math" w:hAnsi="Cambria Math" w:cstheme="majorBidi"/>
          <w:sz w:val="18"/>
          <w:szCs w:val="18"/>
          <w:rtl/>
        </w:rPr>
        <w:t xml:space="preserve"> </w:t>
      </w:r>
      <w:r w:rsidRPr="00434B4B">
        <w:rPr>
          <w:rFonts w:ascii="Cambria Math" w:hAnsi="Cambria Math" w:cstheme="majorBidi"/>
          <w:sz w:val="18"/>
          <w:szCs w:val="18"/>
        </w:rPr>
        <w:t>Mulligan and Sala-</w:t>
      </w:r>
      <w:proofErr w:type="spellStart"/>
      <w:r w:rsidRPr="00434B4B">
        <w:rPr>
          <w:rFonts w:ascii="Cambria Math" w:hAnsi="Cambria Math" w:cstheme="majorBidi"/>
          <w:sz w:val="18"/>
          <w:szCs w:val="18"/>
        </w:rPr>
        <w:t>i</w:t>
      </w:r>
      <w:proofErr w:type="spellEnd"/>
      <w:r w:rsidRPr="00434B4B">
        <w:rPr>
          <w:rFonts w:ascii="Cambria Math" w:hAnsi="Cambria Math" w:cstheme="majorBidi"/>
          <w:sz w:val="18"/>
          <w:szCs w:val="18"/>
        </w:rPr>
        <w:t>-Martin (1997)</w:t>
      </w:r>
    </w:p>
  </w:footnote>
  <w:footnote w:id="211">
    <w:p w14:paraId="1E166674" w14:textId="77777777" w:rsidR="00411620" w:rsidRPr="00434B4B" w:rsidRDefault="00411620" w:rsidP="00411620">
      <w:pPr>
        <w:pStyle w:val="FootnoteText"/>
        <w:bidi w:val="0"/>
        <w:rPr>
          <w:rFonts w:ascii="Cambria Math" w:hAnsi="Cambria Math" w:cs="Times New Roman"/>
          <w:sz w:val="18"/>
          <w:szCs w:val="18"/>
        </w:rPr>
      </w:pPr>
      <w:r w:rsidRPr="00434B4B">
        <w:rPr>
          <w:rStyle w:val="FootnoteReference"/>
          <w:rFonts w:ascii="Cambria Math" w:eastAsiaTheme="majorEastAsia" w:hAnsi="Cambria Math" w:cs="Times New Roman"/>
          <w:sz w:val="18"/>
          <w:szCs w:val="18"/>
        </w:rPr>
        <w:footnoteRef/>
      </w:r>
      <w:r w:rsidRPr="00434B4B">
        <w:rPr>
          <w:rFonts w:ascii="Cambria Math" w:hAnsi="Cambria Math" w:cs="Times New Roman"/>
          <w:sz w:val="18"/>
          <w:szCs w:val="18"/>
        </w:rPr>
        <w:t xml:space="preserve"> Money balances</w:t>
      </w:r>
    </w:p>
  </w:footnote>
  <w:footnote w:id="212">
    <w:p w14:paraId="5C6534EC" w14:textId="77777777" w:rsidR="00411620" w:rsidRPr="00434B4B" w:rsidRDefault="00411620" w:rsidP="00411620">
      <w:pPr>
        <w:pStyle w:val="FootnoteText"/>
        <w:bidi w:val="0"/>
        <w:rPr>
          <w:rFonts w:ascii="Cambria Math" w:hAnsi="Cambria Math" w:cs="Times New Roman"/>
          <w:sz w:val="18"/>
          <w:szCs w:val="18"/>
        </w:rPr>
      </w:pPr>
      <w:r w:rsidRPr="00434B4B">
        <w:rPr>
          <w:rStyle w:val="FootnoteReference"/>
          <w:rFonts w:ascii="Cambria Math" w:eastAsiaTheme="majorEastAsia" w:hAnsi="Cambria Math" w:cs="Times New Roman"/>
          <w:sz w:val="18"/>
          <w:szCs w:val="18"/>
        </w:rPr>
        <w:footnoteRef/>
      </w:r>
      <w:r w:rsidRPr="00434B4B">
        <w:rPr>
          <w:rFonts w:ascii="Cambria Math" w:hAnsi="Cambria Math" w:cs="Times New Roman"/>
          <w:sz w:val="18"/>
          <w:szCs w:val="18"/>
        </w:rPr>
        <w:t xml:space="preserve"> Secured assets</w:t>
      </w:r>
    </w:p>
  </w:footnote>
  <w:footnote w:id="213">
    <w:p w14:paraId="6EE0DC6A"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cs="Sakkal Majalla"/>
          <w:sz w:val="18"/>
          <w:szCs w:val="18"/>
          <w:rtl/>
        </w:rPr>
        <w:t xml:space="preserve"> </w:t>
      </w:r>
      <w:r w:rsidRPr="00EE7103">
        <w:rPr>
          <w:rFonts w:ascii="Cambria Math" w:hAnsi="Cambria Math" w:cs="Sakkal Majalla"/>
          <w:sz w:val="18"/>
          <w:szCs w:val="18"/>
        </w:rPr>
        <w:t>Voluntary Unemployment</w:t>
      </w:r>
    </w:p>
  </w:footnote>
  <w:footnote w:id="214">
    <w:p w14:paraId="4374D24F"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cs="Sakkal Majalla"/>
          <w:sz w:val="18"/>
          <w:szCs w:val="18"/>
        </w:rPr>
        <w:t xml:space="preserve"> Involuntary Unemployment</w:t>
      </w:r>
    </w:p>
  </w:footnote>
  <w:footnote w:id="215">
    <w:p w14:paraId="73B4E7A7"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cs="Sakkal Majalla"/>
          <w:sz w:val="18"/>
          <w:szCs w:val="18"/>
        </w:rPr>
        <w:t xml:space="preserve"> Search Theory</w:t>
      </w:r>
    </w:p>
  </w:footnote>
  <w:footnote w:id="216">
    <w:p w14:paraId="7E27F264"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cs="Sakkal Majalla"/>
          <w:sz w:val="18"/>
          <w:szCs w:val="18"/>
        </w:rPr>
        <w:t xml:space="preserve"> Efficiency-Wage Theory</w:t>
      </w:r>
    </w:p>
  </w:footnote>
  <w:footnote w:id="217">
    <w:p w14:paraId="5D8AE8ED"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cs="Sakkal Majalla"/>
          <w:sz w:val="18"/>
          <w:szCs w:val="18"/>
          <w:rtl/>
        </w:rPr>
        <w:t xml:space="preserve"> </w:t>
      </w:r>
      <w:r w:rsidRPr="00EE7103">
        <w:rPr>
          <w:rFonts w:ascii="Cambria Math" w:hAnsi="Cambria Math" w:cs="Sakkal Majalla"/>
          <w:sz w:val="18"/>
          <w:szCs w:val="18"/>
        </w:rPr>
        <w:t>Frictional Unemployment</w:t>
      </w:r>
    </w:p>
  </w:footnote>
  <w:footnote w:id="218">
    <w:p w14:paraId="3516BD04"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cs="Sakkal Majalla"/>
          <w:sz w:val="18"/>
          <w:szCs w:val="18"/>
        </w:rPr>
        <w:t xml:space="preserve"> Extensive Margin</w:t>
      </w:r>
    </w:p>
  </w:footnote>
  <w:footnote w:id="219">
    <w:p w14:paraId="445E1207"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cs="Sakkal Majalla"/>
          <w:sz w:val="18"/>
          <w:szCs w:val="18"/>
        </w:rPr>
        <w:t xml:space="preserve"> Intensive Margin</w:t>
      </w:r>
    </w:p>
  </w:footnote>
  <w:footnote w:id="220">
    <w:p w14:paraId="67E66CA2"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cs="Sakkal Majalla"/>
          <w:sz w:val="18"/>
          <w:szCs w:val="18"/>
          <w:rtl/>
        </w:rPr>
        <w:t xml:space="preserve"> </w:t>
      </w:r>
      <w:r w:rsidRPr="00EE7103">
        <w:rPr>
          <w:rFonts w:ascii="Cambria Math" w:hAnsi="Cambria Math" w:cs="Sakkal Majalla"/>
          <w:sz w:val="18"/>
          <w:szCs w:val="18"/>
        </w:rPr>
        <w:t>Peter Diamond</w:t>
      </w:r>
    </w:p>
  </w:footnote>
  <w:footnote w:id="221">
    <w:p w14:paraId="0DE277BE"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cs="Sakkal Majalla"/>
          <w:sz w:val="18"/>
          <w:szCs w:val="18"/>
          <w:rtl/>
        </w:rPr>
        <w:t xml:space="preserve"> </w:t>
      </w:r>
      <w:r w:rsidRPr="00EE7103">
        <w:rPr>
          <w:rFonts w:ascii="Cambria Math" w:hAnsi="Cambria Math" w:cs="Sakkal Majalla"/>
          <w:sz w:val="18"/>
          <w:szCs w:val="18"/>
        </w:rPr>
        <w:t>Dale Mortensen</w:t>
      </w:r>
    </w:p>
  </w:footnote>
  <w:footnote w:id="222">
    <w:p w14:paraId="44187549"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cs="Sakkal Majalla"/>
          <w:sz w:val="18"/>
          <w:szCs w:val="18"/>
          <w:rtl/>
        </w:rPr>
        <w:t xml:space="preserve"> </w:t>
      </w:r>
      <w:r w:rsidRPr="00EE7103">
        <w:rPr>
          <w:rFonts w:ascii="Cambria Math" w:hAnsi="Cambria Math" w:cs="Sakkal Majalla"/>
          <w:sz w:val="18"/>
          <w:szCs w:val="18"/>
        </w:rPr>
        <w:t xml:space="preserve">Christopher </w:t>
      </w:r>
      <w:proofErr w:type="spellStart"/>
      <w:r w:rsidRPr="00EE7103">
        <w:rPr>
          <w:rFonts w:ascii="Cambria Math" w:hAnsi="Cambria Math" w:cs="Sakkal Majalla"/>
          <w:sz w:val="18"/>
          <w:szCs w:val="18"/>
        </w:rPr>
        <w:t>Pissarides</w:t>
      </w:r>
      <w:proofErr w:type="spellEnd"/>
    </w:p>
  </w:footnote>
  <w:footnote w:id="223">
    <w:p w14:paraId="7958535F"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cs="Sakkal Majalla"/>
          <w:sz w:val="18"/>
          <w:szCs w:val="18"/>
        </w:rPr>
        <w:t xml:space="preserve"> Phelps 1970; Mortensen 1970, 1982; Diamond 1982a, 1982b; Mortensen and </w:t>
      </w:r>
      <w:proofErr w:type="spellStart"/>
      <w:r w:rsidRPr="00EE7103">
        <w:rPr>
          <w:rFonts w:ascii="Cambria Math" w:hAnsi="Cambria Math" w:cs="Sakkal Majalla"/>
          <w:sz w:val="18"/>
          <w:szCs w:val="18"/>
        </w:rPr>
        <w:t>Pissarides</w:t>
      </w:r>
      <w:proofErr w:type="spellEnd"/>
      <w:r w:rsidRPr="00EE7103">
        <w:rPr>
          <w:rFonts w:ascii="Cambria Math" w:hAnsi="Cambria Math" w:cs="Sakkal Majalla"/>
          <w:sz w:val="18"/>
          <w:szCs w:val="18"/>
        </w:rPr>
        <w:t xml:space="preserve"> 1994.</w:t>
      </w:r>
    </w:p>
  </w:footnote>
  <w:footnote w:id="224">
    <w:p w14:paraId="4C836C41"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cs="Sakkal Majalla"/>
          <w:sz w:val="18"/>
          <w:szCs w:val="18"/>
          <w:rtl/>
        </w:rPr>
        <w:t xml:space="preserve"> </w:t>
      </w:r>
      <w:r w:rsidRPr="00EE7103">
        <w:rPr>
          <w:rFonts w:ascii="Cambria Math" w:hAnsi="Cambria Math" w:cs="Sakkal Majalla"/>
          <w:sz w:val="18"/>
          <w:szCs w:val="18"/>
        </w:rPr>
        <w:t>Merz 1</w:t>
      </w:r>
      <w:r w:rsidRPr="00EE7103">
        <w:rPr>
          <w:rFonts w:ascii="Cambria Math" w:hAnsi="Cambria Math" w:cs="Sakkal Majalla"/>
          <w:sz w:val="18"/>
          <w:szCs w:val="18"/>
          <w:rtl/>
        </w:rPr>
        <w:t>9</w:t>
      </w:r>
      <w:r w:rsidRPr="00EE7103">
        <w:rPr>
          <w:rFonts w:ascii="Cambria Math" w:hAnsi="Cambria Math" w:cs="Sakkal Majalla"/>
          <w:sz w:val="18"/>
          <w:szCs w:val="18"/>
        </w:rPr>
        <w:t xml:space="preserve">95; </w:t>
      </w:r>
      <w:proofErr w:type="spellStart"/>
      <w:r w:rsidRPr="00EE7103">
        <w:rPr>
          <w:rFonts w:ascii="Cambria Math" w:hAnsi="Cambria Math" w:cs="Sakkal Majalla"/>
          <w:sz w:val="18"/>
          <w:szCs w:val="18"/>
        </w:rPr>
        <w:t>Trigar</w:t>
      </w:r>
      <w:proofErr w:type="spellEnd"/>
      <w:r w:rsidRPr="00EE7103">
        <w:rPr>
          <w:rFonts w:ascii="Cambria Math" w:hAnsi="Cambria Math" w:cs="Sakkal Majalla"/>
          <w:sz w:val="18"/>
          <w:szCs w:val="18"/>
        </w:rPr>
        <w:t xml:space="preserve"> 2004, 2009; Hall 2005; Blanchard and </w:t>
      </w:r>
      <w:proofErr w:type="spellStart"/>
      <w:r w:rsidRPr="00EE7103">
        <w:rPr>
          <w:rFonts w:ascii="Cambria Math" w:hAnsi="Cambria Math" w:cs="Sakkal Majalla"/>
          <w:sz w:val="18"/>
          <w:szCs w:val="18"/>
        </w:rPr>
        <w:t>Gali</w:t>
      </w:r>
      <w:proofErr w:type="spellEnd"/>
      <w:r w:rsidRPr="00EE7103">
        <w:rPr>
          <w:rFonts w:ascii="Cambria Math" w:hAnsi="Cambria Math" w:cs="Sakkal Majalla"/>
          <w:sz w:val="18"/>
          <w:szCs w:val="18"/>
        </w:rPr>
        <w:t xml:space="preserve"> 2010; </w:t>
      </w:r>
      <w:proofErr w:type="spellStart"/>
      <w:r w:rsidRPr="00EE7103">
        <w:rPr>
          <w:rFonts w:ascii="Cambria Math" w:hAnsi="Cambria Math" w:cs="Sakkal Majalla"/>
          <w:sz w:val="18"/>
          <w:szCs w:val="18"/>
        </w:rPr>
        <w:t>Christiano</w:t>
      </w:r>
      <w:proofErr w:type="spellEnd"/>
      <w:r w:rsidRPr="00EE7103">
        <w:rPr>
          <w:rFonts w:ascii="Cambria Math" w:hAnsi="Cambria Math" w:cs="Sakkal Majalla"/>
          <w:sz w:val="18"/>
          <w:szCs w:val="18"/>
        </w:rPr>
        <w:t xml:space="preserve"> et all 2010</w:t>
      </w:r>
    </w:p>
  </w:footnote>
  <w:footnote w:id="225">
    <w:p w14:paraId="68DCE67B"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sz w:val="18"/>
          <w:szCs w:val="18"/>
          <w:rtl/>
        </w:rPr>
        <w:t xml:space="preserve"> </w:t>
      </w:r>
      <w:r w:rsidRPr="00EE7103">
        <w:rPr>
          <w:rFonts w:ascii="Cambria Math" w:eastAsiaTheme="minorEastAsia" w:hAnsi="Cambria Math"/>
          <w:sz w:val="18"/>
          <w:szCs w:val="18"/>
        </w:rPr>
        <w:t>Beveridge curve</w:t>
      </w:r>
    </w:p>
  </w:footnote>
  <w:footnote w:id="226">
    <w:p w14:paraId="7D82F9F6"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cs="Sakkal Majalla"/>
          <w:sz w:val="18"/>
          <w:szCs w:val="18"/>
        </w:rPr>
        <w:t xml:space="preserve"> Nash Bargain</w:t>
      </w:r>
    </w:p>
  </w:footnote>
  <w:footnote w:id="227">
    <w:p w14:paraId="24BC472F"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cs="Sakkal Majalla"/>
          <w:sz w:val="18"/>
          <w:szCs w:val="18"/>
        </w:rPr>
        <w:t xml:space="preserve"> </w:t>
      </w:r>
      <w:proofErr w:type="gramStart"/>
      <w:r w:rsidRPr="00EE7103">
        <w:rPr>
          <w:rFonts w:ascii="Cambria Math" w:hAnsi="Cambria Math" w:cs="Sakkal Majalla"/>
          <w:sz w:val="18"/>
          <w:szCs w:val="18"/>
        </w:rPr>
        <w:t>Closed-form</w:t>
      </w:r>
      <w:proofErr w:type="gramEnd"/>
    </w:p>
  </w:footnote>
  <w:footnote w:id="228">
    <w:p w14:paraId="66039071"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cs="Sakkal Majalla"/>
          <w:sz w:val="18"/>
          <w:szCs w:val="18"/>
        </w:rPr>
        <w:t xml:space="preserve"> Rogerson and Shimer, 2010</w:t>
      </w:r>
    </w:p>
  </w:footnote>
  <w:footnote w:id="229">
    <w:p w14:paraId="31C92BFF" w14:textId="77777777" w:rsidR="00411620" w:rsidRPr="00EE7103" w:rsidRDefault="00411620" w:rsidP="00411620">
      <w:pPr>
        <w:pStyle w:val="FootnoteText"/>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sz w:val="18"/>
          <w:szCs w:val="18"/>
          <w:rtl/>
        </w:rPr>
        <w:t xml:space="preserve"> </w:t>
      </w:r>
      <w:r w:rsidRPr="00EE7103">
        <w:rPr>
          <w:rFonts w:ascii="Cambria Math" w:hAnsi="Cambria Math"/>
          <w:sz w:val="18"/>
          <w:szCs w:val="18"/>
          <w:rtl/>
        </w:rPr>
        <w:t xml:space="preserve">برای مطالعه‌ی بیشتر نگاه کنید به </w:t>
      </w:r>
      <w:r w:rsidRPr="00EE7103">
        <w:rPr>
          <w:rFonts w:ascii="Cambria Math" w:hAnsi="Cambria Math"/>
          <w:sz w:val="18"/>
          <w:szCs w:val="18"/>
        </w:rPr>
        <w:t>Yellen, 1984</w:t>
      </w:r>
      <w:r w:rsidRPr="00EE7103">
        <w:rPr>
          <w:rFonts w:ascii="Cambria Math" w:hAnsi="Cambria Math"/>
          <w:sz w:val="18"/>
          <w:szCs w:val="18"/>
          <w:rtl/>
        </w:rPr>
        <w:t xml:space="preserve"> و </w:t>
      </w:r>
      <w:proofErr w:type="spellStart"/>
      <w:r w:rsidRPr="00EE7103">
        <w:rPr>
          <w:rFonts w:ascii="Cambria Math" w:hAnsi="Cambria Math"/>
          <w:sz w:val="18"/>
          <w:szCs w:val="18"/>
        </w:rPr>
        <w:t>Akerlof</w:t>
      </w:r>
      <w:proofErr w:type="spellEnd"/>
      <w:r w:rsidRPr="00EE7103">
        <w:rPr>
          <w:rFonts w:ascii="Cambria Math" w:hAnsi="Cambria Math"/>
          <w:sz w:val="18"/>
          <w:szCs w:val="18"/>
        </w:rPr>
        <w:t xml:space="preserve"> and Yellen, 1986 </w:t>
      </w:r>
    </w:p>
  </w:footnote>
  <w:footnote w:id="230">
    <w:p w14:paraId="0DA9B386"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cs="Sakkal Majalla"/>
          <w:sz w:val="18"/>
          <w:szCs w:val="18"/>
          <w:rtl/>
        </w:rPr>
        <w:t xml:space="preserve"> </w:t>
      </w:r>
      <w:r w:rsidRPr="00EE7103">
        <w:rPr>
          <w:rFonts w:ascii="Cambria Math" w:hAnsi="Cambria Math" w:cs="Sakkal Majalla"/>
          <w:sz w:val="18"/>
          <w:szCs w:val="18"/>
        </w:rPr>
        <w:t>Labor-Shirking model of Shapiro and Stiglitz, 1984</w:t>
      </w:r>
    </w:p>
  </w:footnote>
  <w:footnote w:id="231">
    <w:p w14:paraId="4258E602"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cs="Sakkal Majalla"/>
          <w:sz w:val="18"/>
          <w:szCs w:val="18"/>
          <w:rtl/>
        </w:rPr>
        <w:t xml:space="preserve"> </w:t>
      </w:r>
      <w:r w:rsidRPr="00EE7103">
        <w:rPr>
          <w:rFonts w:ascii="Cambria Math" w:hAnsi="Cambria Math" w:cs="Sakkal Majalla"/>
          <w:sz w:val="18"/>
          <w:szCs w:val="18"/>
        </w:rPr>
        <w:t>Labor-turnover model of Salop, 1979</w:t>
      </w:r>
    </w:p>
  </w:footnote>
  <w:footnote w:id="232">
    <w:p w14:paraId="677CBBC2"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cs="Sakkal Majalla"/>
          <w:sz w:val="18"/>
          <w:szCs w:val="18"/>
        </w:rPr>
        <w:t xml:space="preserve"> Adverse-selection model of Stiglitz, 1976; and Weiss 1980</w:t>
      </w:r>
    </w:p>
  </w:footnote>
  <w:footnote w:id="233">
    <w:p w14:paraId="373BE3EF" w14:textId="77777777" w:rsidR="00411620" w:rsidRPr="00EE7103" w:rsidRDefault="00411620" w:rsidP="00411620">
      <w:pPr>
        <w:pStyle w:val="FootnoteText"/>
        <w:rPr>
          <w:rFonts w:ascii="Cambria Math" w:hAnsi="Cambria Math"/>
          <w:sz w:val="18"/>
          <w:szCs w:val="18"/>
          <w:rtl/>
        </w:rPr>
      </w:pPr>
      <w:r w:rsidRPr="00EE7103">
        <w:rPr>
          <w:rStyle w:val="FootnoteReference"/>
          <w:rFonts w:ascii="Cambria Math" w:eastAsiaTheme="majorEastAsia" w:hAnsi="Cambria Math"/>
          <w:sz w:val="18"/>
          <w:szCs w:val="18"/>
        </w:rPr>
        <w:footnoteRef/>
      </w:r>
      <w:r w:rsidRPr="00EE7103">
        <w:rPr>
          <w:rFonts w:ascii="Cambria Math" w:hAnsi="Cambria Math"/>
          <w:sz w:val="18"/>
          <w:szCs w:val="18"/>
          <w:rtl/>
        </w:rPr>
        <w:t xml:space="preserve"> </w:t>
      </w:r>
      <w:r w:rsidRPr="00EE7103">
        <w:rPr>
          <w:rFonts w:ascii="Cambria Math" w:hAnsi="Cambria Math"/>
          <w:sz w:val="18"/>
          <w:szCs w:val="18"/>
          <w:rtl/>
        </w:rPr>
        <w:t xml:space="preserve">برای مطاعه‌ی بیشتر به </w:t>
      </w:r>
      <w:proofErr w:type="spellStart"/>
      <w:r w:rsidRPr="00EE7103">
        <w:rPr>
          <w:rFonts w:ascii="Cambria Math" w:hAnsi="Cambria Math"/>
          <w:sz w:val="18"/>
          <w:szCs w:val="18"/>
        </w:rPr>
        <w:t>Ercit</w:t>
      </w:r>
      <w:proofErr w:type="spellEnd"/>
      <w:r w:rsidRPr="00EE7103">
        <w:rPr>
          <w:rFonts w:ascii="Cambria Math" w:hAnsi="Cambria Math"/>
          <w:sz w:val="18"/>
          <w:szCs w:val="18"/>
        </w:rPr>
        <w:t xml:space="preserve"> et al. 2000</w:t>
      </w:r>
      <w:r w:rsidRPr="00EE7103">
        <w:rPr>
          <w:rFonts w:ascii="Cambria Math" w:hAnsi="Cambria Math"/>
          <w:sz w:val="18"/>
          <w:szCs w:val="18"/>
          <w:rtl/>
        </w:rPr>
        <w:t xml:space="preserve"> مراجعه شود.</w:t>
      </w:r>
    </w:p>
  </w:footnote>
  <w:footnote w:id="234">
    <w:p w14:paraId="0FA4153A" w14:textId="77777777" w:rsidR="00411620" w:rsidRDefault="00411620" w:rsidP="00411620">
      <w:pPr>
        <w:pStyle w:val="FootnoteText"/>
        <w:bidi w:val="0"/>
      </w:pPr>
      <w:r>
        <w:rPr>
          <w:rStyle w:val="FootnoteReference"/>
        </w:rPr>
        <w:footnoteRef/>
      </w:r>
      <w:r>
        <w:rPr>
          <w:rtl/>
        </w:rPr>
        <w:t xml:space="preserve"> </w:t>
      </w:r>
      <w:r>
        <w:t>Ad-hoc</w:t>
      </w:r>
    </w:p>
  </w:footnote>
  <w:footnote w:id="235">
    <w:p w14:paraId="24CF1DE6" w14:textId="77777777" w:rsidR="00411620" w:rsidRPr="00EE7103" w:rsidRDefault="00411620" w:rsidP="00411620">
      <w:pPr>
        <w:pStyle w:val="FootnoteText"/>
        <w:bidi w:val="0"/>
        <w:rPr>
          <w:rFonts w:ascii="Cambria Math" w:hAnsi="Cambria Math"/>
          <w:sz w:val="18"/>
          <w:szCs w:val="18"/>
        </w:rPr>
      </w:pPr>
      <w:r w:rsidRPr="00EE7103">
        <w:rPr>
          <w:rStyle w:val="FootnoteReference"/>
          <w:rFonts w:ascii="Cambria Math" w:eastAsiaTheme="majorEastAsia" w:hAnsi="Cambria Math"/>
          <w:sz w:val="18"/>
          <w:szCs w:val="18"/>
        </w:rPr>
        <w:footnoteRef/>
      </w:r>
      <w:r w:rsidRPr="00EE7103">
        <w:rPr>
          <w:rFonts w:ascii="Cambria Math" w:hAnsi="Cambria Math" w:cs="Sakkal Majalla"/>
          <w:sz w:val="18"/>
          <w:szCs w:val="18"/>
          <w:rtl/>
        </w:rPr>
        <w:t xml:space="preserve"> </w:t>
      </w:r>
      <w:r w:rsidRPr="00EE7103">
        <w:rPr>
          <w:rFonts w:ascii="Cambria Math" w:hAnsi="Cambria Math" w:cs="Sakkal Majalla"/>
          <w:sz w:val="18"/>
          <w:szCs w:val="18"/>
        </w:rPr>
        <w:t>Dixon and Rankin, 1994</w:t>
      </w:r>
    </w:p>
  </w:footnote>
  <w:footnote w:id="236">
    <w:p w14:paraId="6302E9CE" w14:textId="77777777" w:rsidR="00411620" w:rsidRPr="00723D40" w:rsidRDefault="00411620" w:rsidP="00411620">
      <w:pPr>
        <w:pStyle w:val="FootnoteText"/>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Risk premium</w:t>
      </w:r>
    </w:p>
  </w:footnote>
  <w:footnote w:id="237">
    <w:p w14:paraId="01D06B8A" w14:textId="77777777" w:rsidR="00411620" w:rsidRPr="00723D40" w:rsidRDefault="00411620" w:rsidP="00411620">
      <w:pPr>
        <w:pStyle w:val="FootnoteText"/>
        <w:bidi w:val="0"/>
        <w:rPr>
          <w:rFonts w:ascii="Cambria Math" w:hAnsi="Cambria Math"/>
          <w:sz w:val="18"/>
          <w:szCs w:val="18"/>
          <w:rtl/>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Contingent-Claims Analysis</w:t>
      </w:r>
    </w:p>
    <w:p w14:paraId="33BA4F98" w14:textId="77777777" w:rsidR="00411620" w:rsidRPr="00723D40" w:rsidRDefault="00411620" w:rsidP="00411620">
      <w:pPr>
        <w:pStyle w:val="FootnoteText"/>
        <w:rPr>
          <w:rFonts w:ascii="Cambria Math" w:hAnsi="Cambria Math"/>
          <w:sz w:val="18"/>
          <w:szCs w:val="18"/>
        </w:rPr>
      </w:pPr>
      <w:r w:rsidRPr="00723D40">
        <w:rPr>
          <w:rFonts w:ascii="Cambria Math" w:hAnsi="Cambria Math"/>
          <w:sz w:val="18"/>
          <w:szCs w:val="18"/>
          <w:rtl/>
        </w:rPr>
        <w:t>بازدهی مطالبات مشروط همانند بازدهی قراردادهای آتی، اختیار معامله یا معاوضه</w:t>
      </w:r>
      <w:r w:rsidRPr="00723D40">
        <w:rPr>
          <w:rFonts w:ascii="Cambria Math" w:hAnsi="Cambria Math" w:hint="cs"/>
          <w:sz w:val="18"/>
          <w:szCs w:val="18"/>
          <w:rtl/>
        </w:rPr>
        <w:t>،</w:t>
      </w:r>
      <w:r w:rsidRPr="00723D40">
        <w:rPr>
          <w:rFonts w:ascii="Cambria Math" w:hAnsi="Cambria Math"/>
          <w:sz w:val="18"/>
          <w:szCs w:val="18"/>
          <w:rtl/>
        </w:rPr>
        <w:t xml:space="preserve"> به ارزش دیگر دارایی</w:t>
      </w:r>
      <w:r w:rsidRPr="00723D40">
        <w:rPr>
          <w:rFonts w:ascii="Cambria Math" w:hAnsi="Cambria Math"/>
          <w:sz w:val="18"/>
          <w:szCs w:val="18"/>
          <w:rtl/>
        </w:rPr>
        <w:softHyphen/>
        <w:t>ها مانند قیمت کالاها، اوراق قرضه و سهام و یا ارزش شاخص بازار وابسته است.</w:t>
      </w:r>
    </w:p>
  </w:footnote>
  <w:footnote w:id="238">
    <w:p w14:paraId="0D8C587C" w14:textId="77777777" w:rsidR="00411620" w:rsidRPr="00723D40" w:rsidRDefault="00411620" w:rsidP="00411620">
      <w:pPr>
        <w:pStyle w:val="FootnoteText"/>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Risk premium</w:t>
      </w:r>
    </w:p>
  </w:footnote>
  <w:footnote w:id="239">
    <w:p w14:paraId="5C2B447E" w14:textId="77777777" w:rsidR="00411620" w:rsidRPr="00723D40" w:rsidRDefault="00411620" w:rsidP="00411620">
      <w:pPr>
        <w:pStyle w:val="FootnoteText"/>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Payoff</w:t>
      </w:r>
    </w:p>
  </w:footnote>
  <w:footnote w:id="240">
    <w:p w14:paraId="02EF7F80" w14:textId="77777777" w:rsidR="00411620" w:rsidRPr="00723D40" w:rsidRDefault="00411620" w:rsidP="00411620">
      <w:pPr>
        <w:pStyle w:val="FootnoteText"/>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Jensen’s inequality</w:t>
      </w:r>
    </w:p>
  </w:footnote>
  <w:footnote w:id="241">
    <w:p w14:paraId="38FB104A" w14:textId="77777777" w:rsidR="00411620" w:rsidRPr="00723D40" w:rsidRDefault="00411620" w:rsidP="00411620">
      <w:pPr>
        <w:pStyle w:val="FootnoteText"/>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Risk Premium</w:t>
      </w:r>
    </w:p>
  </w:footnote>
  <w:footnote w:id="242">
    <w:p w14:paraId="12ACC8F8" w14:textId="77777777" w:rsidR="00411620" w:rsidRPr="00723D40" w:rsidRDefault="00411620" w:rsidP="00411620">
      <w:pPr>
        <w:pStyle w:val="FootnoteText"/>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Insurance premium</w:t>
      </w:r>
    </w:p>
  </w:footnote>
  <w:footnote w:id="243">
    <w:p w14:paraId="09A693A9" w14:textId="77777777" w:rsidR="00411620" w:rsidRPr="00723D40" w:rsidRDefault="00411620" w:rsidP="00411620">
      <w:pPr>
        <w:pStyle w:val="FootnoteText"/>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Random walk with drift</w:t>
      </w:r>
    </w:p>
  </w:footnote>
  <w:footnote w:id="244">
    <w:p w14:paraId="567B6B66" w14:textId="77777777" w:rsidR="00411620" w:rsidRPr="00723D40" w:rsidRDefault="00411620" w:rsidP="00411620">
      <w:pPr>
        <w:pStyle w:val="FootnoteText"/>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Future contracts</w:t>
      </w:r>
    </w:p>
  </w:footnote>
  <w:footnote w:id="245">
    <w:p w14:paraId="57D3F9F3" w14:textId="77777777" w:rsidR="00411620" w:rsidRPr="00723D40" w:rsidRDefault="00411620" w:rsidP="00411620">
      <w:pPr>
        <w:pStyle w:val="FootnoteText"/>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Option contracts</w:t>
      </w:r>
    </w:p>
  </w:footnote>
  <w:footnote w:id="246">
    <w:p w14:paraId="7A28CD92" w14:textId="77777777" w:rsidR="00411620" w:rsidRPr="00723D40" w:rsidRDefault="00411620" w:rsidP="00411620">
      <w:pPr>
        <w:pStyle w:val="FootnoteText"/>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Swap contracts</w:t>
      </w:r>
    </w:p>
  </w:footnote>
  <w:footnote w:id="247">
    <w:p w14:paraId="0A634245" w14:textId="77777777" w:rsidR="00411620" w:rsidRPr="00723D40" w:rsidRDefault="00411620" w:rsidP="00411620">
      <w:pPr>
        <w:pStyle w:val="FootnoteText"/>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w:t>
      </w:r>
      <w:r w:rsidRPr="00723D40">
        <w:rPr>
          <w:rFonts w:ascii="Cambria Math" w:hAnsi="Cambria Math"/>
          <w:sz w:val="18"/>
          <w:szCs w:val="18"/>
          <w:rtl/>
        </w:rPr>
        <w:t xml:space="preserve">برای مطاله‌ی بیشتر مراجعه شود به </w:t>
      </w:r>
      <w:r w:rsidRPr="00723D40">
        <w:rPr>
          <w:rFonts w:ascii="Cambria Math" w:hAnsi="Cambria Math"/>
          <w:sz w:val="18"/>
          <w:szCs w:val="18"/>
        </w:rPr>
        <w:t>Cochrane (2005)</w:t>
      </w:r>
    </w:p>
  </w:footnote>
  <w:footnote w:id="248">
    <w:p w14:paraId="1CF1F7A8" w14:textId="77777777" w:rsidR="00411620" w:rsidRPr="00723D40" w:rsidRDefault="00411620" w:rsidP="00411620">
      <w:pPr>
        <w:pStyle w:val="FootnoteText"/>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Consumption-Based Capita-Asset-Pricing Model(C-CAPM)</w:t>
      </w:r>
    </w:p>
  </w:footnote>
  <w:footnote w:id="249">
    <w:p w14:paraId="09B6B06A" w14:textId="77777777" w:rsidR="00411620" w:rsidRPr="00723D40" w:rsidRDefault="00411620" w:rsidP="00411620">
      <w:pPr>
        <w:pStyle w:val="FootnoteText"/>
        <w:tabs>
          <w:tab w:val="left" w:pos="5400"/>
        </w:tabs>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w:t>
      </w:r>
      <w:proofErr w:type="spellStart"/>
      <w:r w:rsidRPr="00723D40">
        <w:rPr>
          <w:rFonts w:ascii="Cambria Math" w:hAnsi="Cambria Math"/>
          <w:sz w:val="18"/>
          <w:szCs w:val="18"/>
        </w:rPr>
        <w:t>Breedon</w:t>
      </w:r>
      <w:proofErr w:type="spellEnd"/>
      <w:r w:rsidRPr="00723D40">
        <w:rPr>
          <w:rFonts w:ascii="Cambria Math" w:hAnsi="Cambria Math"/>
          <w:sz w:val="18"/>
          <w:szCs w:val="18"/>
        </w:rPr>
        <w:t>, 1979</w:t>
      </w:r>
    </w:p>
  </w:footnote>
  <w:footnote w:id="250">
    <w:p w14:paraId="409A97D1" w14:textId="77777777" w:rsidR="00411620" w:rsidRPr="00723D40" w:rsidRDefault="00411620" w:rsidP="00411620">
      <w:pPr>
        <w:pStyle w:val="FootnoteText"/>
        <w:rPr>
          <w:rFonts w:ascii="Cambria Math" w:hAnsi="Cambria Math"/>
          <w:sz w:val="18"/>
          <w:szCs w:val="18"/>
          <w:rtl/>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w:t>
      </w:r>
      <w:r w:rsidRPr="00723D40">
        <w:rPr>
          <w:rFonts w:ascii="Cambria Math" w:hAnsi="Cambria Math"/>
          <w:sz w:val="18"/>
          <w:szCs w:val="18"/>
          <w:rtl/>
        </w:rPr>
        <w:t xml:space="preserve">برای مطالعه‌ی بیشتر به </w:t>
      </w:r>
      <w:r w:rsidRPr="00723D40">
        <w:rPr>
          <w:rFonts w:ascii="Cambria Math" w:hAnsi="Cambria Math"/>
          <w:sz w:val="18"/>
          <w:szCs w:val="18"/>
        </w:rPr>
        <w:t xml:space="preserve">Kreps, </w:t>
      </w:r>
      <w:proofErr w:type="spellStart"/>
      <w:r w:rsidRPr="00723D40">
        <w:rPr>
          <w:rFonts w:ascii="Cambria Math" w:hAnsi="Cambria Math"/>
          <w:sz w:val="18"/>
          <w:szCs w:val="18"/>
        </w:rPr>
        <w:t>Porteus</w:t>
      </w:r>
      <w:proofErr w:type="spellEnd"/>
      <w:r w:rsidRPr="00723D40">
        <w:rPr>
          <w:rFonts w:ascii="Cambria Math" w:hAnsi="Cambria Math"/>
          <w:sz w:val="18"/>
          <w:szCs w:val="18"/>
        </w:rPr>
        <w:t xml:space="preserve"> 1978</w:t>
      </w:r>
      <w:r w:rsidRPr="00723D40">
        <w:rPr>
          <w:rFonts w:ascii="Cambria Math" w:hAnsi="Cambria Math"/>
          <w:sz w:val="18"/>
          <w:szCs w:val="18"/>
          <w:rtl/>
        </w:rPr>
        <w:t xml:space="preserve"> مراجعه شود.</w:t>
      </w:r>
    </w:p>
  </w:footnote>
  <w:footnote w:id="251">
    <w:p w14:paraId="05BF0771" w14:textId="77777777" w:rsidR="00411620" w:rsidRPr="00723D40" w:rsidRDefault="00411620" w:rsidP="00411620">
      <w:pPr>
        <w:pStyle w:val="FootnoteText"/>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Sharpe, 1964</w:t>
      </w:r>
    </w:p>
  </w:footnote>
  <w:footnote w:id="252">
    <w:p w14:paraId="0C8D3DB7" w14:textId="77777777" w:rsidR="00411620" w:rsidRPr="00723D40" w:rsidRDefault="00411620" w:rsidP="00411620">
      <w:pPr>
        <w:pStyle w:val="FootnoteText"/>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Lintner, 1965</w:t>
      </w:r>
    </w:p>
  </w:footnote>
  <w:footnote w:id="253">
    <w:p w14:paraId="218549C8" w14:textId="77777777" w:rsidR="00411620" w:rsidRPr="00723D40" w:rsidRDefault="00411620" w:rsidP="00411620">
      <w:pPr>
        <w:pStyle w:val="FootnoteText"/>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w:t>
      </w:r>
      <w:proofErr w:type="spellStart"/>
      <w:r w:rsidRPr="00723D40">
        <w:rPr>
          <w:rFonts w:ascii="Cambria Math" w:hAnsi="Cambria Math"/>
          <w:sz w:val="18"/>
          <w:szCs w:val="18"/>
        </w:rPr>
        <w:t>Mossin</w:t>
      </w:r>
      <w:proofErr w:type="spellEnd"/>
      <w:r w:rsidRPr="00723D40">
        <w:rPr>
          <w:rFonts w:ascii="Cambria Math" w:hAnsi="Cambria Math"/>
          <w:sz w:val="18"/>
          <w:szCs w:val="18"/>
        </w:rPr>
        <w:t>, 1966</w:t>
      </w:r>
    </w:p>
  </w:footnote>
  <w:footnote w:id="254">
    <w:p w14:paraId="116C4F42" w14:textId="77777777" w:rsidR="00411620" w:rsidRPr="00723D40" w:rsidRDefault="00411620" w:rsidP="00411620">
      <w:pPr>
        <w:pStyle w:val="FootnoteText"/>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Jensen effect</w:t>
      </w:r>
    </w:p>
  </w:footnote>
  <w:footnote w:id="255">
    <w:p w14:paraId="0329430A" w14:textId="77777777" w:rsidR="00411620" w:rsidRPr="00723D40" w:rsidRDefault="00411620" w:rsidP="00411620">
      <w:pPr>
        <w:pStyle w:val="FootnoteText"/>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Capital-Asset-Pricing Model</w:t>
      </w:r>
    </w:p>
  </w:footnote>
  <w:footnote w:id="256">
    <w:p w14:paraId="60FD829D" w14:textId="77777777" w:rsidR="00411620" w:rsidRPr="00723D40" w:rsidRDefault="00411620" w:rsidP="00411620">
      <w:pPr>
        <w:pStyle w:val="FootnoteText"/>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w:t>
      </w:r>
      <w:proofErr w:type="gramStart"/>
      <w:r w:rsidRPr="00723D40">
        <w:rPr>
          <w:rFonts w:ascii="Cambria Math" w:hAnsi="Cambria Math"/>
          <w:sz w:val="18"/>
          <w:szCs w:val="18"/>
        </w:rPr>
        <w:t>Sharpe(</w:t>
      </w:r>
      <w:proofErr w:type="gramEnd"/>
      <w:r w:rsidRPr="00723D40">
        <w:rPr>
          <w:rFonts w:ascii="Cambria Math" w:hAnsi="Cambria Math"/>
          <w:sz w:val="18"/>
          <w:szCs w:val="18"/>
        </w:rPr>
        <w:t>1964)</w:t>
      </w:r>
    </w:p>
  </w:footnote>
  <w:footnote w:id="257">
    <w:p w14:paraId="7888B2C7" w14:textId="77777777" w:rsidR="00411620" w:rsidRPr="00723D40" w:rsidRDefault="00411620" w:rsidP="00411620">
      <w:pPr>
        <w:pStyle w:val="FootnoteText"/>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Lintner (1965)</w:t>
      </w:r>
    </w:p>
  </w:footnote>
  <w:footnote w:id="258">
    <w:p w14:paraId="2F3F62CC" w14:textId="77777777" w:rsidR="00411620" w:rsidRPr="00723D40" w:rsidRDefault="00411620" w:rsidP="00411620">
      <w:pPr>
        <w:pStyle w:val="FootnoteText"/>
        <w:bidi w:val="0"/>
        <w:rPr>
          <w:rFonts w:ascii="Cambria Math" w:hAnsi="Cambria Math"/>
          <w:sz w:val="18"/>
          <w:szCs w:val="18"/>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w:t>
      </w:r>
      <w:proofErr w:type="spellStart"/>
      <w:r w:rsidRPr="00723D40">
        <w:rPr>
          <w:rFonts w:ascii="Cambria Math" w:hAnsi="Cambria Math"/>
          <w:sz w:val="18"/>
          <w:szCs w:val="18"/>
        </w:rPr>
        <w:t>Mossin</w:t>
      </w:r>
      <w:proofErr w:type="spellEnd"/>
      <w:r w:rsidRPr="00723D40">
        <w:rPr>
          <w:rFonts w:ascii="Cambria Math" w:hAnsi="Cambria Math"/>
          <w:sz w:val="18"/>
          <w:szCs w:val="18"/>
        </w:rPr>
        <w:t xml:space="preserve"> (1966)</w:t>
      </w:r>
    </w:p>
  </w:footnote>
  <w:footnote w:id="259">
    <w:p w14:paraId="2DBDF22B" w14:textId="77777777" w:rsidR="00411620" w:rsidRPr="00723D40" w:rsidRDefault="00411620" w:rsidP="00411620">
      <w:pPr>
        <w:pStyle w:val="FootnoteText"/>
        <w:bidi w:val="0"/>
        <w:rPr>
          <w:rFonts w:ascii="Cambria Math" w:hAnsi="Cambria Math"/>
          <w:sz w:val="18"/>
          <w:szCs w:val="18"/>
          <w:rtl/>
        </w:rPr>
      </w:pPr>
      <w:r w:rsidRPr="00723D40">
        <w:rPr>
          <w:rStyle w:val="FootnoteReference"/>
          <w:rFonts w:ascii="Cambria Math" w:eastAsiaTheme="majorEastAsia" w:hAnsi="Cambria Math"/>
          <w:sz w:val="18"/>
          <w:szCs w:val="18"/>
        </w:rPr>
        <w:footnoteRef/>
      </w:r>
      <w:r w:rsidRPr="00723D40">
        <w:rPr>
          <w:rFonts w:ascii="Cambria Math" w:hAnsi="Cambria Math"/>
          <w:sz w:val="18"/>
          <w:szCs w:val="18"/>
        </w:rPr>
        <w:t xml:space="preserve"> </w:t>
      </w:r>
      <w:r w:rsidRPr="00723D40">
        <w:rPr>
          <w:rFonts w:ascii="Cambria Math" w:hAnsi="Cambria Math"/>
          <w:sz w:val="18"/>
          <w:szCs w:val="18"/>
          <w:rtl/>
        </w:rPr>
        <w:t xml:space="preserve">به </w:t>
      </w:r>
      <w:r w:rsidRPr="00723D40">
        <w:rPr>
          <w:rFonts w:ascii="Cambria Math" w:hAnsi="Cambria Math"/>
          <w:sz w:val="18"/>
          <w:szCs w:val="18"/>
        </w:rPr>
        <w:t>Heaton and Lucas, 1995, 1996</w:t>
      </w:r>
      <w:r w:rsidRPr="00723D40">
        <w:rPr>
          <w:rFonts w:ascii="Cambria Math" w:hAnsi="Cambria Math"/>
          <w:sz w:val="18"/>
          <w:szCs w:val="18"/>
          <w:rtl/>
        </w:rPr>
        <w:t xml:space="preserve"> مراجعه شود.</w:t>
      </w:r>
    </w:p>
  </w:footnote>
  <w:footnote w:id="260">
    <w:p w14:paraId="3EFBC22C" w14:textId="77777777" w:rsidR="00556C10" w:rsidRPr="004B01CB" w:rsidRDefault="00556C10" w:rsidP="00556C10">
      <w:pPr>
        <w:pStyle w:val="FootnoteText"/>
        <w:bidi w:val="0"/>
        <w:rPr>
          <w:rFonts w:ascii="Cambria Math" w:hAnsi="Cambria Math"/>
          <w:sz w:val="18"/>
          <w:szCs w:val="18"/>
          <w:rtl/>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Payoff</w:t>
      </w:r>
    </w:p>
  </w:footnote>
  <w:footnote w:id="261">
    <w:p w14:paraId="5B54F065" w14:textId="77777777" w:rsidR="00556C10" w:rsidRPr="004B01CB" w:rsidRDefault="00556C10" w:rsidP="00556C10">
      <w:pPr>
        <w:pStyle w:val="NormalWeb"/>
        <w:bidi/>
        <w:spacing w:before="0" w:beforeAutospacing="0" w:after="0" w:afterAutospacing="0"/>
        <w:jc w:val="both"/>
        <w:rPr>
          <w:rFonts w:ascii="Cambria Math" w:hAnsi="Cambria Math" w:cs="B Nazanin"/>
          <w:sz w:val="18"/>
          <w:szCs w:val="18"/>
        </w:rPr>
      </w:pPr>
      <w:r w:rsidRPr="004B01CB">
        <w:rPr>
          <w:rStyle w:val="FootnoteReference"/>
          <w:rFonts w:ascii="Cambria Math" w:eastAsiaTheme="majorEastAsia" w:hAnsi="Cambria Math" w:cs="B Nazanin"/>
          <w:sz w:val="18"/>
          <w:szCs w:val="18"/>
        </w:rPr>
        <w:footnoteRef/>
      </w:r>
      <w:r w:rsidRPr="004B01CB">
        <w:rPr>
          <w:rFonts w:ascii="Cambria Math" w:hAnsi="Cambria Math" w:cs="B Nazanin"/>
          <w:sz w:val="18"/>
          <w:szCs w:val="18"/>
        </w:rPr>
        <w:t xml:space="preserve"> </w:t>
      </w:r>
      <w:r w:rsidRPr="004B01CB">
        <w:rPr>
          <w:rFonts w:ascii="Cambria Math" w:hAnsi="Cambria Math" w:cs="B Nazanin"/>
          <w:sz w:val="18"/>
          <w:szCs w:val="18"/>
          <w:rtl/>
        </w:rPr>
        <w:t>برای مباحث کلی بحث شده در این فصل مراجعه شود</w:t>
      </w:r>
      <w:r w:rsidRPr="004B01CB">
        <w:rPr>
          <w:rFonts w:ascii="Cambria Math" w:hAnsi="Cambria Math" w:cs="B Nazanin"/>
          <w:sz w:val="18"/>
          <w:szCs w:val="18"/>
        </w:rPr>
        <w:t xml:space="preserve"> </w:t>
      </w:r>
      <w:r w:rsidRPr="004B01CB">
        <w:rPr>
          <w:rFonts w:ascii="Cambria Math" w:hAnsi="Cambria Math" w:cs="B Nazanin"/>
          <w:sz w:val="18"/>
          <w:szCs w:val="18"/>
          <w:rtl/>
        </w:rPr>
        <w:t>به</w:t>
      </w:r>
    </w:p>
    <w:p w14:paraId="6497276F" w14:textId="77777777" w:rsidR="00556C10" w:rsidRPr="004B01CB" w:rsidRDefault="00556C10" w:rsidP="00556C10">
      <w:pPr>
        <w:pStyle w:val="NormalWeb"/>
        <w:spacing w:before="0" w:beforeAutospacing="0" w:after="0" w:afterAutospacing="0"/>
        <w:jc w:val="both"/>
        <w:rPr>
          <w:rFonts w:ascii="Cambria Math" w:hAnsi="Cambria Math" w:cs="B Nazanin"/>
          <w:sz w:val="18"/>
          <w:szCs w:val="18"/>
        </w:rPr>
      </w:pPr>
      <w:proofErr w:type="spellStart"/>
      <w:r w:rsidRPr="004B01CB">
        <w:rPr>
          <w:rFonts w:ascii="Cambria Math" w:hAnsi="Cambria Math" w:cs="B Nazanin"/>
          <w:sz w:val="18"/>
          <w:szCs w:val="18"/>
        </w:rPr>
        <w:t>Ferson</w:t>
      </w:r>
      <w:proofErr w:type="spellEnd"/>
      <w:r w:rsidRPr="004B01CB">
        <w:rPr>
          <w:rFonts w:ascii="Cambria Math" w:hAnsi="Cambria Math" w:cs="B Nazanin"/>
          <w:sz w:val="18"/>
          <w:szCs w:val="18"/>
        </w:rPr>
        <w:t xml:space="preserve"> (1995), Campbell et al, (1997) Cochrane (2005) and Smith and </w:t>
      </w:r>
      <w:proofErr w:type="spellStart"/>
      <w:r w:rsidRPr="004B01CB">
        <w:rPr>
          <w:rFonts w:ascii="Cambria Math" w:hAnsi="Cambria Math" w:cs="B Nazanin"/>
          <w:sz w:val="18"/>
          <w:szCs w:val="18"/>
        </w:rPr>
        <w:t>Wickens</w:t>
      </w:r>
      <w:proofErr w:type="spellEnd"/>
      <w:r w:rsidRPr="004B01CB">
        <w:rPr>
          <w:rFonts w:ascii="Cambria Math" w:hAnsi="Cambria Math" w:cs="B Nazanin"/>
          <w:sz w:val="18"/>
          <w:szCs w:val="18"/>
        </w:rPr>
        <w:t xml:space="preserve"> (2002)</w:t>
      </w:r>
    </w:p>
  </w:footnote>
  <w:footnote w:id="262">
    <w:p w14:paraId="15D0B7E0"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Equity</w:t>
      </w:r>
    </w:p>
  </w:footnote>
  <w:footnote w:id="263">
    <w:p w14:paraId="032ACB18"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Gordon (1962)</w:t>
      </w:r>
    </w:p>
  </w:footnote>
  <w:footnote w:id="264">
    <w:p w14:paraId="1BBE0C79" w14:textId="77777777" w:rsidR="00556C10" w:rsidRPr="004B01CB" w:rsidRDefault="00556C10" w:rsidP="00556C10">
      <w:pPr>
        <w:pStyle w:val="FootnoteText"/>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w:t>
      </w:r>
      <w:r w:rsidRPr="004B01CB">
        <w:rPr>
          <w:rFonts w:ascii="Cambria Math" w:hAnsi="Cambria Math"/>
          <w:sz w:val="18"/>
          <w:szCs w:val="18"/>
          <w:rtl/>
        </w:rPr>
        <w:t xml:space="preserve">برای مطالعه‌ی بیشتر به </w:t>
      </w:r>
      <w:r w:rsidRPr="004B01CB">
        <w:rPr>
          <w:rFonts w:ascii="Cambria Math" w:hAnsi="Cambria Math"/>
          <w:sz w:val="18"/>
          <w:szCs w:val="18"/>
        </w:rPr>
        <w:t>Campbell et al (1997)</w:t>
      </w:r>
      <w:r w:rsidRPr="004B01CB">
        <w:rPr>
          <w:rFonts w:ascii="Cambria Math" w:hAnsi="Cambria Math"/>
          <w:sz w:val="18"/>
          <w:szCs w:val="18"/>
          <w:rtl/>
        </w:rPr>
        <w:t xml:space="preserve"> مرا</w:t>
      </w:r>
      <w:r w:rsidRPr="004B01CB">
        <w:rPr>
          <w:rFonts w:ascii="Cambria Math" w:hAnsi="Cambria Math" w:hint="cs"/>
          <w:sz w:val="18"/>
          <w:szCs w:val="18"/>
          <w:rtl/>
        </w:rPr>
        <w:t>ج</w:t>
      </w:r>
      <w:r w:rsidRPr="004B01CB">
        <w:rPr>
          <w:rFonts w:ascii="Cambria Math" w:hAnsi="Cambria Math"/>
          <w:sz w:val="18"/>
          <w:szCs w:val="18"/>
          <w:rtl/>
        </w:rPr>
        <w:t>عه شود.</w:t>
      </w:r>
    </w:p>
  </w:footnote>
  <w:footnote w:id="265">
    <w:p w14:paraId="64F12CA3" w14:textId="77777777" w:rsidR="00556C10" w:rsidRPr="004B01CB" w:rsidRDefault="00556C10" w:rsidP="00556C10">
      <w:pPr>
        <w:pStyle w:val="FootnoteText"/>
        <w:bidi w:val="0"/>
        <w:rPr>
          <w:rFonts w:ascii="Cambria Math" w:hAnsi="Cambria Math"/>
          <w:sz w:val="18"/>
          <w:szCs w:val="18"/>
          <w:rtl/>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Abel (1990)</w:t>
      </w:r>
    </w:p>
  </w:footnote>
  <w:footnote w:id="266">
    <w:p w14:paraId="134A6047"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w:t>
      </w:r>
      <w:proofErr w:type="spellStart"/>
      <w:r w:rsidRPr="004B01CB">
        <w:rPr>
          <w:rFonts w:ascii="Cambria Math" w:hAnsi="Cambria Math"/>
          <w:sz w:val="18"/>
          <w:szCs w:val="18"/>
        </w:rPr>
        <w:t>Constantinides</w:t>
      </w:r>
      <w:proofErr w:type="spellEnd"/>
      <w:r w:rsidRPr="004B01CB">
        <w:rPr>
          <w:rFonts w:ascii="Cambria Math" w:hAnsi="Cambria Math"/>
          <w:sz w:val="18"/>
          <w:szCs w:val="18"/>
        </w:rPr>
        <w:t xml:space="preserve"> (1990)</w:t>
      </w:r>
    </w:p>
  </w:footnote>
  <w:footnote w:id="267">
    <w:p w14:paraId="275C4F53"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Smith et al (2006)</w:t>
      </w:r>
    </w:p>
  </w:footnote>
  <w:footnote w:id="268">
    <w:p w14:paraId="1B5BDA3A"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Kreps-</w:t>
      </w:r>
      <w:proofErr w:type="spellStart"/>
      <w:r w:rsidRPr="004B01CB">
        <w:rPr>
          <w:rFonts w:ascii="Cambria Math" w:hAnsi="Cambria Math"/>
          <w:sz w:val="18"/>
          <w:szCs w:val="18"/>
        </w:rPr>
        <w:t>Porteus</w:t>
      </w:r>
      <w:proofErr w:type="spellEnd"/>
      <w:r w:rsidRPr="004B01CB">
        <w:rPr>
          <w:rFonts w:ascii="Cambria Math" w:hAnsi="Cambria Math"/>
          <w:sz w:val="18"/>
          <w:szCs w:val="18"/>
        </w:rPr>
        <w:t xml:space="preserve"> </w:t>
      </w:r>
    </w:p>
  </w:footnote>
  <w:footnote w:id="269">
    <w:p w14:paraId="2DCFA9F4" w14:textId="77777777" w:rsidR="00556C10" w:rsidRPr="004B01CB" w:rsidRDefault="00556C10" w:rsidP="00556C10">
      <w:pPr>
        <w:pStyle w:val="FootnoteText"/>
        <w:bidi w:val="0"/>
        <w:rPr>
          <w:rFonts w:ascii="Cambria Math" w:hAnsi="Cambria Math"/>
          <w:sz w:val="18"/>
          <w:szCs w:val="18"/>
          <w:rtl/>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Epstein and Zin (1989)</w:t>
      </w:r>
    </w:p>
  </w:footnote>
  <w:footnote w:id="270">
    <w:p w14:paraId="12B7C90A" w14:textId="77777777" w:rsidR="00556C10" w:rsidRPr="004B01CB" w:rsidRDefault="00556C10" w:rsidP="00556C10">
      <w:pPr>
        <w:tabs>
          <w:tab w:val="right" w:pos="-83"/>
          <w:tab w:val="right" w:pos="7"/>
        </w:tabs>
        <w:rPr>
          <w:rFonts w:ascii="Cambria Math" w:hAnsi="Cambria Math"/>
          <w:sz w:val="18"/>
          <w:szCs w:val="18"/>
          <w:rtl/>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w:t>
      </w:r>
      <w:r w:rsidRPr="004B01CB">
        <w:rPr>
          <w:rFonts w:ascii="Cambria Math" w:hAnsi="Cambria Math"/>
          <w:color w:val="000000"/>
          <w:sz w:val="18"/>
          <w:szCs w:val="18"/>
          <w:rtl/>
        </w:rPr>
        <w:t xml:space="preserve">برای آزمون این مدل مراجعه شود به </w:t>
      </w:r>
      <w:r w:rsidRPr="004B01CB">
        <w:rPr>
          <w:rFonts w:ascii="Cambria Math" w:hAnsi="Cambria Math"/>
          <w:sz w:val="18"/>
          <w:szCs w:val="18"/>
        </w:rPr>
        <w:t>Smith et al (2006)</w:t>
      </w:r>
      <w:r w:rsidRPr="004B01CB">
        <w:rPr>
          <w:rFonts w:ascii="Cambria Math" w:hAnsi="Cambria Math" w:cs="Cambria"/>
          <w:color w:val="000000"/>
          <w:sz w:val="18"/>
          <w:szCs w:val="18"/>
          <w:rtl/>
        </w:rPr>
        <w:t> </w:t>
      </w:r>
    </w:p>
  </w:footnote>
  <w:footnote w:id="271">
    <w:p w14:paraId="2FA83E7B"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Mehra and Prescott (1985)</w:t>
      </w:r>
    </w:p>
  </w:footnote>
  <w:footnote w:id="272">
    <w:p w14:paraId="6471B0D9" w14:textId="77777777" w:rsidR="00556C10" w:rsidRPr="004B01CB" w:rsidRDefault="00556C10" w:rsidP="00556C10">
      <w:pPr>
        <w:pStyle w:val="FootnoteText"/>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w:t>
      </w:r>
      <w:r w:rsidRPr="004B01CB">
        <w:rPr>
          <w:rFonts w:ascii="Cambria Math" w:hAnsi="Cambria Math"/>
          <w:color w:val="000000"/>
          <w:sz w:val="18"/>
          <w:szCs w:val="18"/>
          <w:rtl/>
        </w:rPr>
        <w:t xml:space="preserve">برای مثال نگاه کنید به </w:t>
      </w:r>
      <w:proofErr w:type="spellStart"/>
      <w:r w:rsidRPr="004B01CB">
        <w:rPr>
          <w:rFonts w:ascii="Cambria Math" w:hAnsi="Cambria Math"/>
          <w:color w:val="000000"/>
          <w:sz w:val="18"/>
          <w:szCs w:val="18"/>
        </w:rPr>
        <w:t>Fama</w:t>
      </w:r>
      <w:proofErr w:type="spellEnd"/>
      <w:r w:rsidRPr="004B01CB">
        <w:rPr>
          <w:rFonts w:ascii="Cambria Math" w:hAnsi="Cambria Math"/>
          <w:color w:val="000000"/>
          <w:sz w:val="18"/>
          <w:szCs w:val="18"/>
        </w:rPr>
        <w:t xml:space="preserve"> and French (1995, 1996, 2003)</w:t>
      </w:r>
      <w:r w:rsidRPr="004B01CB">
        <w:rPr>
          <w:rFonts w:ascii="Cambria Math" w:hAnsi="Cambria Math" w:cs="Times New Roman"/>
          <w:color w:val="000000"/>
          <w:sz w:val="18"/>
          <w:szCs w:val="18"/>
          <w:rtl/>
        </w:rPr>
        <w:t xml:space="preserve"> </w:t>
      </w:r>
    </w:p>
  </w:footnote>
  <w:footnote w:id="273">
    <w:p w14:paraId="789A6F90" w14:textId="77777777" w:rsidR="00556C10" w:rsidRPr="004B01CB" w:rsidRDefault="00556C10" w:rsidP="00556C10">
      <w:pPr>
        <w:pStyle w:val="FootnoteText"/>
        <w:bidi w:val="0"/>
        <w:rPr>
          <w:rFonts w:ascii="Cambria Math" w:hAnsi="Cambria Math"/>
          <w:sz w:val="18"/>
          <w:szCs w:val="18"/>
        </w:rPr>
      </w:pPr>
      <w:r w:rsidRPr="004B01CB">
        <w:rPr>
          <w:rFonts w:ascii="Cambria Math" w:hAnsi="Cambria Math"/>
          <w:sz w:val="18"/>
          <w:szCs w:val="18"/>
        </w:rPr>
        <w:t>1-Treasury bill</w:t>
      </w:r>
    </w:p>
  </w:footnote>
  <w:footnote w:id="274">
    <w:p w14:paraId="57B6D562"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Index-Linked debt</w:t>
      </w:r>
    </w:p>
  </w:footnote>
  <w:footnote w:id="275">
    <w:p w14:paraId="1C24E400" w14:textId="77777777" w:rsidR="00556C10" w:rsidRPr="004B01CB" w:rsidRDefault="00556C10" w:rsidP="00556C10">
      <w:pPr>
        <w:pStyle w:val="FootnoteText"/>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w:t>
      </w:r>
      <w:r w:rsidRPr="004B01CB">
        <w:rPr>
          <w:rFonts w:ascii="Cambria Math" w:eastAsiaTheme="minorEastAsia" w:hAnsi="Cambria Math"/>
          <w:sz w:val="18"/>
          <w:szCs w:val="18"/>
          <w:rtl/>
        </w:rPr>
        <w:t>برای مطالعه بیشتر مراجعه شود</w:t>
      </w:r>
      <w:r w:rsidRPr="004B01CB">
        <w:rPr>
          <w:rFonts w:ascii="Cambria Math" w:eastAsiaTheme="minorEastAsia" w:hAnsi="Cambria Math" w:hint="cs"/>
          <w:sz w:val="18"/>
          <w:szCs w:val="18"/>
          <w:rtl/>
        </w:rPr>
        <w:t xml:space="preserve"> </w:t>
      </w:r>
      <w:r w:rsidRPr="004B01CB">
        <w:rPr>
          <w:rFonts w:ascii="Cambria Math" w:eastAsiaTheme="minorEastAsia" w:hAnsi="Cambria Math"/>
          <w:sz w:val="18"/>
          <w:szCs w:val="18"/>
          <w:rtl/>
        </w:rPr>
        <w:t>به</w:t>
      </w:r>
      <w:r w:rsidRPr="004B01CB">
        <w:rPr>
          <w:rFonts w:ascii="Cambria Math" w:eastAsiaTheme="minorEastAsia" w:hAnsi="Cambria Math" w:hint="cs"/>
          <w:sz w:val="18"/>
          <w:szCs w:val="18"/>
          <w:rtl/>
        </w:rPr>
        <w:t xml:space="preserve">   </w:t>
      </w:r>
      <w:proofErr w:type="spellStart"/>
      <w:r w:rsidRPr="004B01CB">
        <w:rPr>
          <w:rFonts w:ascii="Cambria Math" w:eastAsiaTheme="minorEastAsia" w:hAnsi="Cambria Math"/>
          <w:sz w:val="18"/>
          <w:szCs w:val="18"/>
        </w:rPr>
        <w:t>Dia</w:t>
      </w:r>
      <w:proofErr w:type="spellEnd"/>
      <w:r w:rsidRPr="004B01CB">
        <w:rPr>
          <w:rFonts w:ascii="Cambria Math" w:eastAsiaTheme="minorEastAsia" w:hAnsi="Cambria Math"/>
          <w:sz w:val="18"/>
          <w:szCs w:val="18"/>
        </w:rPr>
        <w:t xml:space="preserve"> and singleton 2001, </w:t>
      </w:r>
      <w:proofErr w:type="spellStart"/>
      <w:r w:rsidRPr="004B01CB">
        <w:rPr>
          <w:rFonts w:ascii="Cambria Math" w:eastAsiaTheme="minorEastAsia" w:hAnsi="Cambria Math"/>
          <w:sz w:val="18"/>
          <w:szCs w:val="18"/>
        </w:rPr>
        <w:t>campell</w:t>
      </w:r>
      <w:proofErr w:type="spellEnd"/>
      <w:r w:rsidRPr="004B01CB">
        <w:rPr>
          <w:rFonts w:ascii="Cambria Math" w:eastAsiaTheme="minorEastAsia" w:hAnsi="Cambria Math"/>
          <w:sz w:val="18"/>
          <w:szCs w:val="18"/>
        </w:rPr>
        <w:t xml:space="preserve"> et al 1997</w:t>
      </w:r>
      <w:r w:rsidRPr="004B01CB">
        <w:rPr>
          <w:rFonts w:ascii="Cambria Math" w:eastAsiaTheme="minorEastAsia" w:hAnsi="Cambria Math"/>
          <w:sz w:val="18"/>
          <w:szCs w:val="18"/>
          <w:rtl/>
        </w:rPr>
        <w:t xml:space="preserve"> و </w:t>
      </w:r>
      <w:r w:rsidRPr="004B01CB">
        <w:rPr>
          <w:rFonts w:ascii="Cambria Math" w:eastAsiaTheme="minorEastAsia" w:hAnsi="Cambria Math"/>
          <w:sz w:val="18"/>
          <w:szCs w:val="18"/>
        </w:rPr>
        <w:t>singleton 2006</w:t>
      </w:r>
    </w:p>
  </w:footnote>
  <w:footnote w:id="276">
    <w:p w14:paraId="4E4B8DD8" w14:textId="77777777" w:rsidR="00556C10" w:rsidRPr="004B01CB" w:rsidRDefault="00556C10" w:rsidP="00556C10">
      <w:pPr>
        <w:pStyle w:val="FootnoteText"/>
        <w:bidi w:val="0"/>
        <w:rPr>
          <w:rFonts w:ascii="Cambria Math" w:hAnsi="Cambria Math"/>
          <w:sz w:val="18"/>
          <w:szCs w:val="18"/>
          <w:rtl/>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The term structure of interest rates</w:t>
      </w:r>
    </w:p>
  </w:footnote>
  <w:footnote w:id="277">
    <w:p w14:paraId="438D7A00"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Yield</w:t>
      </w:r>
    </w:p>
  </w:footnote>
  <w:footnote w:id="278">
    <w:p w14:paraId="258E265F"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Yield curve</w:t>
      </w:r>
    </w:p>
  </w:footnote>
  <w:footnote w:id="279">
    <w:p w14:paraId="5962D238"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Forward-rate curve</w:t>
      </w:r>
    </w:p>
  </w:footnote>
  <w:footnote w:id="280">
    <w:p w14:paraId="3F2781AA"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London Interbank Offer Rate</w:t>
      </w:r>
    </w:p>
  </w:footnote>
  <w:footnote w:id="281">
    <w:p w14:paraId="69A62FFF" w14:textId="77777777" w:rsidR="00556C10" w:rsidRPr="004B01CB" w:rsidRDefault="00556C10" w:rsidP="00556C10">
      <w:pPr>
        <w:pStyle w:val="FootnoteText"/>
        <w:bidi w:val="0"/>
        <w:rPr>
          <w:sz w:val="18"/>
          <w:szCs w:val="18"/>
        </w:rPr>
      </w:pPr>
      <w:r w:rsidRPr="004B01CB">
        <w:rPr>
          <w:rStyle w:val="FootnoteReference"/>
          <w:sz w:val="18"/>
          <w:szCs w:val="18"/>
        </w:rPr>
        <w:footnoteRef/>
      </w:r>
      <w:r w:rsidRPr="004B01CB">
        <w:rPr>
          <w:sz w:val="18"/>
          <w:szCs w:val="18"/>
          <w:rtl/>
        </w:rPr>
        <w:t xml:space="preserve"> </w:t>
      </w:r>
      <w:r w:rsidRPr="004B01CB">
        <w:rPr>
          <w:rFonts w:ascii="Cambria Math" w:hAnsi="Cambria Math"/>
          <w:sz w:val="18"/>
          <w:szCs w:val="18"/>
        </w:rPr>
        <w:t>term spread</w:t>
      </w:r>
    </w:p>
  </w:footnote>
  <w:footnote w:id="282">
    <w:p w14:paraId="278C304A" w14:textId="77777777" w:rsidR="00556C10" w:rsidRPr="004B01CB" w:rsidRDefault="00556C10" w:rsidP="00556C10">
      <w:pPr>
        <w:pStyle w:val="FootnoteText"/>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w:t>
      </w:r>
      <w:r w:rsidRPr="004B01CB">
        <w:rPr>
          <w:rFonts w:ascii="Cambria Math" w:hAnsi="Cambria Math"/>
          <w:sz w:val="18"/>
          <w:szCs w:val="18"/>
          <w:rtl/>
        </w:rPr>
        <w:t>نگاه کنید ب</w:t>
      </w:r>
      <w:r w:rsidRPr="004B01CB">
        <w:rPr>
          <w:rFonts w:ascii="Cambria Math" w:hAnsi="Cambria Math" w:hint="cs"/>
          <w:sz w:val="18"/>
          <w:szCs w:val="18"/>
          <w:rtl/>
        </w:rPr>
        <w:t>ه</w:t>
      </w:r>
      <w:r w:rsidRPr="004B01CB">
        <w:rPr>
          <w:rFonts w:ascii="Cambria Math" w:hAnsi="Cambria Math"/>
          <w:sz w:val="18"/>
          <w:szCs w:val="18"/>
          <w:rtl/>
        </w:rPr>
        <w:t xml:space="preserve"> </w:t>
      </w:r>
      <w:r w:rsidRPr="004B01CB">
        <w:rPr>
          <w:rFonts w:ascii="Cambria Math" w:hAnsi="Cambria Math"/>
          <w:sz w:val="18"/>
          <w:szCs w:val="18"/>
        </w:rPr>
        <w:t>cox et al (1981)</w:t>
      </w:r>
      <w:r w:rsidRPr="004B01CB">
        <w:rPr>
          <w:rFonts w:ascii="Cambria Math" w:hAnsi="Cambria Math"/>
          <w:sz w:val="18"/>
          <w:szCs w:val="18"/>
          <w:rtl/>
        </w:rPr>
        <w:t xml:space="preserve"> </w:t>
      </w:r>
    </w:p>
  </w:footnote>
  <w:footnote w:id="283">
    <w:p w14:paraId="48255AE1"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Yield curve</w:t>
      </w:r>
    </w:p>
  </w:footnote>
  <w:footnote w:id="284">
    <w:p w14:paraId="5C1C34F7" w14:textId="77777777" w:rsidR="00556C10" w:rsidRPr="004B01CB" w:rsidRDefault="00556C10" w:rsidP="00556C10">
      <w:pPr>
        <w:pStyle w:val="FootnoteText"/>
        <w:bidi w:val="0"/>
        <w:rPr>
          <w:sz w:val="18"/>
          <w:szCs w:val="18"/>
        </w:rPr>
      </w:pPr>
      <w:r w:rsidRPr="004B01CB">
        <w:rPr>
          <w:rStyle w:val="FootnoteReference"/>
          <w:sz w:val="18"/>
          <w:szCs w:val="18"/>
        </w:rPr>
        <w:footnoteRef/>
      </w:r>
      <w:r w:rsidRPr="004B01CB">
        <w:rPr>
          <w:sz w:val="18"/>
          <w:szCs w:val="18"/>
          <w:rtl/>
        </w:rPr>
        <w:t xml:space="preserve"> </w:t>
      </w:r>
      <w:r w:rsidRPr="004B01CB">
        <w:rPr>
          <w:rFonts w:ascii="Cambria Math" w:hAnsi="Cambria Math"/>
          <w:sz w:val="18"/>
          <w:szCs w:val="18"/>
        </w:rPr>
        <w:t>term premium</w:t>
      </w:r>
    </w:p>
  </w:footnote>
  <w:footnote w:id="285">
    <w:p w14:paraId="4128CFA8"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Affine Latent Factor Models of the Term Premium</w:t>
      </w:r>
    </w:p>
  </w:footnote>
  <w:footnote w:id="286">
    <w:p w14:paraId="55B33766"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Cox-Ingersoll-Ross (1985)</w:t>
      </w:r>
    </w:p>
  </w:footnote>
  <w:footnote w:id="287">
    <w:p w14:paraId="576115F3"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w:t>
      </w:r>
      <w:proofErr w:type="spellStart"/>
      <w:r w:rsidRPr="004B01CB">
        <w:rPr>
          <w:rFonts w:ascii="Cambria Math" w:hAnsi="Cambria Math"/>
          <w:sz w:val="18"/>
          <w:szCs w:val="18"/>
        </w:rPr>
        <w:t>Vasicek</w:t>
      </w:r>
      <w:proofErr w:type="spellEnd"/>
      <w:r w:rsidRPr="004B01CB">
        <w:rPr>
          <w:rFonts w:ascii="Cambria Math" w:hAnsi="Cambria Math"/>
          <w:sz w:val="18"/>
          <w:szCs w:val="18"/>
        </w:rPr>
        <w:t xml:space="preserve"> (1977)</w:t>
      </w:r>
    </w:p>
  </w:footnote>
  <w:footnote w:id="288">
    <w:p w14:paraId="4293F992"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Stochastic Discount Factor</w:t>
      </w:r>
    </w:p>
  </w:footnote>
  <w:footnote w:id="289">
    <w:p w14:paraId="41DA3E44" w14:textId="77777777" w:rsidR="00556C10" w:rsidRPr="004B01CB" w:rsidRDefault="00556C10" w:rsidP="00556C10">
      <w:pPr>
        <w:pStyle w:val="FootnoteText"/>
        <w:bidi w:val="0"/>
        <w:rPr>
          <w:rFonts w:ascii="Cambria Math" w:hAnsi="Cambria Math"/>
          <w:sz w:val="18"/>
          <w:szCs w:val="18"/>
          <w:rtl/>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Dai and Singleton (2000)</w:t>
      </w:r>
    </w:p>
  </w:footnote>
  <w:footnote w:id="290">
    <w:p w14:paraId="6C938394" w14:textId="77777777" w:rsidR="00556C10" w:rsidRPr="004B01CB" w:rsidRDefault="00556C10" w:rsidP="00556C10">
      <w:pPr>
        <w:pStyle w:val="FootnoteText"/>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w:t>
      </w:r>
      <w:r w:rsidRPr="004B01CB">
        <w:rPr>
          <w:rFonts w:ascii="Cambria Math" w:hAnsi="Cambria Math"/>
          <w:sz w:val="18"/>
          <w:szCs w:val="18"/>
          <w:rtl/>
        </w:rPr>
        <w:t xml:space="preserve">برای مثال نگاه کنید به </w:t>
      </w:r>
      <w:r w:rsidRPr="004B01CB">
        <w:rPr>
          <w:rFonts w:ascii="Cambria Math" w:hAnsi="Cambria Math"/>
          <w:sz w:val="18"/>
          <w:szCs w:val="18"/>
        </w:rPr>
        <w:t>Marsh (1995)</w:t>
      </w:r>
    </w:p>
  </w:footnote>
  <w:footnote w:id="291">
    <w:p w14:paraId="722BAC8A"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w:t>
      </w:r>
      <w:proofErr w:type="spellStart"/>
      <w:r w:rsidRPr="004B01CB">
        <w:rPr>
          <w:rFonts w:ascii="Cambria Math" w:hAnsi="Cambria Math"/>
          <w:sz w:val="18"/>
          <w:szCs w:val="18"/>
        </w:rPr>
        <w:t>Balfoussia</w:t>
      </w:r>
      <w:proofErr w:type="spellEnd"/>
      <w:r w:rsidRPr="004B01CB">
        <w:rPr>
          <w:rFonts w:ascii="Cambria Math" w:hAnsi="Cambria Math"/>
          <w:sz w:val="18"/>
          <w:szCs w:val="18"/>
        </w:rPr>
        <w:t xml:space="preserve"> and </w:t>
      </w:r>
      <w:proofErr w:type="spellStart"/>
      <w:proofErr w:type="gramStart"/>
      <w:r w:rsidRPr="004B01CB">
        <w:rPr>
          <w:rFonts w:ascii="Cambria Math" w:hAnsi="Cambria Math"/>
          <w:sz w:val="18"/>
          <w:szCs w:val="18"/>
        </w:rPr>
        <w:t>Wickens</w:t>
      </w:r>
      <w:proofErr w:type="spellEnd"/>
      <w:r w:rsidRPr="004B01CB">
        <w:rPr>
          <w:rFonts w:ascii="Cambria Math" w:hAnsi="Cambria Math"/>
          <w:sz w:val="18"/>
          <w:szCs w:val="18"/>
        </w:rPr>
        <w:t>(</w:t>
      </w:r>
      <w:proofErr w:type="gramEnd"/>
      <w:r w:rsidRPr="004B01CB">
        <w:rPr>
          <w:rFonts w:ascii="Cambria Math" w:hAnsi="Cambria Math"/>
          <w:sz w:val="18"/>
          <w:szCs w:val="18"/>
        </w:rPr>
        <w:t>2007)</w:t>
      </w:r>
    </w:p>
  </w:footnote>
  <w:footnote w:id="292">
    <w:p w14:paraId="10871A01"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Ang and </w:t>
      </w:r>
      <w:proofErr w:type="spellStart"/>
      <w:r w:rsidRPr="004B01CB">
        <w:rPr>
          <w:rFonts w:ascii="Cambria Math" w:hAnsi="Cambria Math"/>
          <w:sz w:val="18"/>
          <w:szCs w:val="18"/>
        </w:rPr>
        <w:t>Piazzesi</w:t>
      </w:r>
      <w:proofErr w:type="spellEnd"/>
      <w:r w:rsidRPr="004B01CB">
        <w:rPr>
          <w:rFonts w:ascii="Cambria Math" w:hAnsi="Cambria Math"/>
          <w:sz w:val="18"/>
          <w:szCs w:val="18"/>
        </w:rPr>
        <w:t xml:space="preserve"> (2003)</w:t>
      </w:r>
    </w:p>
  </w:footnote>
  <w:footnote w:id="293">
    <w:p w14:paraId="29FD532F" w14:textId="77777777" w:rsidR="00556C10" w:rsidRPr="004B01CB" w:rsidRDefault="00556C10" w:rsidP="00556C10">
      <w:pPr>
        <w:pStyle w:val="FootnoteText"/>
        <w:bidi w:val="0"/>
        <w:rPr>
          <w:sz w:val="18"/>
          <w:szCs w:val="18"/>
        </w:rPr>
      </w:pPr>
      <w:r w:rsidRPr="004B01CB">
        <w:rPr>
          <w:rStyle w:val="FootnoteReference"/>
          <w:sz w:val="18"/>
          <w:szCs w:val="18"/>
        </w:rPr>
        <w:footnoteRef/>
      </w:r>
      <w:r w:rsidRPr="004B01CB">
        <w:rPr>
          <w:sz w:val="18"/>
          <w:szCs w:val="18"/>
          <w:rtl/>
        </w:rPr>
        <w:t xml:space="preserve"> </w:t>
      </w:r>
      <w:r w:rsidRPr="004B01CB">
        <w:rPr>
          <w:rFonts w:ascii="Cambria Math" w:hAnsi="Cambria Math"/>
          <w:sz w:val="18"/>
          <w:szCs w:val="18"/>
        </w:rPr>
        <w:t xml:space="preserve">indexed-linked </w:t>
      </w:r>
    </w:p>
  </w:footnote>
  <w:footnote w:id="294">
    <w:p w14:paraId="766CFC1A"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Treasury Inflation Protected Securities</w:t>
      </w:r>
    </w:p>
  </w:footnote>
  <w:footnote w:id="295">
    <w:p w14:paraId="4E105CF8"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Ang and </w:t>
      </w:r>
      <w:proofErr w:type="spellStart"/>
      <w:r w:rsidRPr="004B01CB">
        <w:rPr>
          <w:rFonts w:ascii="Cambria Math" w:hAnsi="Cambria Math"/>
          <w:sz w:val="18"/>
          <w:szCs w:val="18"/>
        </w:rPr>
        <w:t>Piazzesi</w:t>
      </w:r>
      <w:proofErr w:type="spellEnd"/>
      <w:r w:rsidRPr="004B01CB">
        <w:rPr>
          <w:rFonts w:ascii="Cambria Math" w:hAnsi="Cambria Math"/>
          <w:sz w:val="18"/>
          <w:szCs w:val="18"/>
        </w:rPr>
        <w:t xml:space="preserve"> (2003)</w:t>
      </w:r>
    </w:p>
  </w:footnote>
  <w:footnote w:id="296">
    <w:p w14:paraId="64CB62BE"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Rudebusch and Wu (2008)</w:t>
      </w:r>
    </w:p>
  </w:footnote>
  <w:footnote w:id="297">
    <w:p w14:paraId="69980C41"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Diebold et al (2006)</w:t>
      </w:r>
    </w:p>
  </w:footnote>
  <w:footnote w:id="298">
    <w:p w14:paraId="091B15C6" w14:textId="77777777" w:rsidR="00556C10" w:rsidRPr="004B01CB" w:rsidRDefault="00556C10" w:rsidP="00556C10">
      <w:pPr>
        <w:pStyle w:val="FootnoteText"/>
        <w:bidi w:val="0"/>
        <w:rPr>
          <w:sz w:val="18"/>
          <w:szCs w:val="18"/>
        </w:rPr>
      </w:pPr>
      <w:r w:rsidRPr="004B01CB">
        <w:rPr>
          <w:rStyle w:val="FootnoteReference"/>
          <w:sz w:val="18"/>
          <w:szCs w:val="18"/>
        </w:rPr>
        <w:footnoteRef/>
      </w:r>
      <w:r w:rsidRPr="004B01CB">
        <w:rPr>
          <w:sz w:val="18"/>
          <w:szCs w:val="18"/>
          <w:rtl/>
        </w:rPr>
        <w:t xml:space="preserve"> </w:t>
      </w:r>
      <w:r w:rsidRPr="004B01CB">
        <w:rPr>
          <w:sz w:val="18"/>
          <w:szCs w:val="18"/>
        </w:rPr>
        <w:t>Principal Component</w:t>
      </w:r>
    </w:p>
  </w:footnote>
  <w:footnote w:id="299">
    <w:p w14:paraId="6F1EFF94"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Nelson and </w:t>
      </w:r>
      <w:proofErr w:type="spellStart"/>
      <w:r w:rsidRPr="004B01CB">
        <w:rPr>
          <w:rFonts w:ascii="Cambria Math" w:hAnsi="Cambria Math"/>
          <w:sz w:val="18"/>
          <w:szCs w:val="18"/>
        </w:rPr>
        <w:t>Seigle</w:t>
      </w:r>
      <w:proofErr w:type="spellEnd"/>
      <w:r w:rsidRPr="004B01CB">
        <w:rPr>
          <w:rFonts w:ascii="Cambria Math" w:hAnsi="Cambria Math"/>
          <w:sz w:val="18"/>
          <w:szCs w:val="18"/>
        </w:rPr>
        <w:t xml:space="preserve"> (1987)</w:t>
      </w:r>
    </w:p>
  </w:footnote>
  <w:footnote w:id="300">
    <w:p w14:paraId="133FC8E1" w14:textId="77777777" w:rsidR="00556C10" w:rsidRPr="004B01CB" w:rsidRDefault="00556C10" w:rsidP="00556C10">
      <w:pPr>
        <w:pStyle w:val="FootnoteText"/>
        <w:rPr>
          <w:rFonts w:ascii="Cambria Math" w:hAnsi="Cambria Math"/>
          <w:sz w:val="18"/>
          <w:szCs w:val="18"/>
          <w:rtl/>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w:t>
      </w:r>
      <w:proofErr w:type="spellStart"/>
      <w:r w:rsidRPr="004B01CB">
        <w:rPr>
          <w:rFonts w:ascii="Cambria Math" w:hAnsi="Cambria Math"/>
          <w:sz w:val="18"/>
          <w:szCs w:val="18"/>
        </w:rPr>
        <w:t>Consol</w:t>
      </w:r>
      <w:proofErr w:type="spellEnd"/>
      <w:r w:rsidRPr="004B01CB">
        <w:rPr>
          <w:rFonts w:ascii="Cambria Math" w:hAnsi="Cambria Math"/>
          <w:sz w:val="18"/>
          <w:szCs w:val="18"/>
          <w:rtl/>
        </w:rPr>
        <w:t xml:space="preserve"> اوراق قرضه‌ی دولتی انگلستان است که در سال ۱۷۵۱ و بدون سررسید منتشر شده و نرخ ابدی را پرداخت می‌کند</w:t>
      </w:r>
    </w:p>
  </w:footnote>
  <w:footnote w:id="301">
    <w:p w14:paraId="110A19D0"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Uncovered interest parity</w:t>
      </w:r>
    </w:p>
  </w:footnote>
  <w:footnote w:id="302">
    <w:p w14:paraId="4B8CEB45"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w:t>
      </w:r>
      <w:proofErr w:type="spellStart"/>
      <w:r w:rsidRPr="004B01CB">
        <w:rPr>
          <w:rFonts w:ascii="Cambria Math" w:hAnsi="Cambria Math"/>
          <w:sz w:val="18"/>
          <w:szCs w:val="18"/>
        </w:rPr>
        <w:t>Fama</w:t>
      </w:r>
      <w:proofErr w:type="spellEnd"/>
      <w:r w:rsidRPr="004B01CB">
        <w:rPr>
          <w:rFonts w:ascii="Cambria Math" w:hAnsi="Cambria Math"/>
          <w:sz w:val="18"/>
          <w:szCs w:val="18"/>
        </w:rPr>
        <w:t xml:space="preserve"> (1984)</w:t>
      </w:r>
    </w:p>
  </w:footnote>
  <w:footnote w:id="303">
    <w:p w14:paraId="782AA46F"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Mark and Wu (1998)</w:t>
      </w:r>
    </w:p>
  </w:footnote>
  <w:footnote w:id="304">
    <w:p w14:paraId="16F32585"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Carry trade</w:t>
      </w:r>
    </w:p>
  </w:footnote>
  <w:footnote w:id="305">
    <w:p w14:paraId="08F32813"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Nonstationary</w:t>
      </w:r>
    </w:p>
  </w:footnote>
  <w:footnote w:id="306">
    <w:p w14:paraId="735522B0"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Cointegration</w:t>
      </w:r>
    </w:p>
  </w:footnote>
  <w:footnote w:id="307">
    <w:p w14:paraId="2420A636" w14:textId="77777777" w:rsidR="00556C10" w:rsidRPr="004B01CB" w:rsidRDefault="00556C10" w:rsidP="00556C10">
      <w:pPr>
        <w:pStyle w:val="FootnoteText"/>
        <w:bidi w:val="0"/>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w:t>
      </w:r>
      <w:r w:rsidRPr="004B01CB">
        <w:rPr>
          <w:rFonts w:ascii="Cambria Math" w:hAnsi="Cambria Math"/>
          <w:sz w:val="18"/>
          <w:szCs w:val="18"/>
          <w:rtl/>
        </w:rPr>
        <w:t xml:space="preserve">برای مثال نگاه کنید به </w:t>
      </w:r>
      <w:r w:rsidRPr="004B01CB">
        <w:rPr>
          <w:rFonts w:ascii="Cambria Math" w:hAnsi="Cambria Math"/>
          <w:sz w:val="18"/>
          <w:szCs w:val="18"/>
        </w:rPr>
        <w:t>Lewis (1995)</w:t>
      </w:r>
    </w:p>
  </w:footnote>
  <w:footnote w:id="308">
    <w:p w14:paraId="13952B3B" w14:textId="77777777" w:rsidR="00556C10" w:rsidRPr="004B01CB" w:rsidRDefault="00556C10" w:rsidP="00556C10">
      <w:pPr>
        <w:pStyle w:val="FootnoteText"/>
        <w:rPr>
          <w:rFonts w:ascii="Cambria Math" w:hAnsi="Cambria Math"/>
          <w:sz w:val="18"/>
          <w:szCs w:val="18"/>
        </w:rPr>
      </w:pPr>
      <w:r w:rsidRPr="004B01CB">
        <w:rPr>
          <w:rStyle w:val="FootnoteReference"/>
          <w:rFonts w:ascii="Cambria Math" w:eastAsiaTheme="majorEastAsia" w:hAnsi="Cambria Math"/>
          <w:sz w:val="18"/>
          <w:szCs w:val="18"/>
        </w:rPr>
        <w:footnoteRef/>
      </w:r>
      <w:r w:rsidRPr="004B01CB">
        <w:rPr>
          <w:rFonts w:ascii="Cambria Math" w:hAnsi="Cambria Math"/>
          <w:sz w:val="18"/>
          <w:szCs w:val="18"/>
        </w:rPr>
        <w:t xml:space="preserve"> </w:t>
      </w:r>
      <w:r w:rsidRPr="004B01CB">
        <w:rPr>
          <w:rFonts w:ascii="Cambria Math" w:hAnsi="Cambria Math"/>
          <w:sz w:val="18"/>
          <w:szCs w:val="18"/>
          <w:rtl/>
        </w:rPr>
        <w:t xml:space="preserve">برای مدل سازی پاداش ریسک </w:t>
      </w:r>
      <w:r w:rsidRPr="004B01CB">
        <w:rPr>
          <w:rFonts w:ascii="Cambria Math" w:hAnsi="Cambria Math"/>
          <w:sz w:val="18"/>
          <w:szCs w:val="18"/>
        </w:rPr>
        <w:t>FOREX</w:t>
      </w:r>
      <w:r w:rsidRPr="004B01CB">
        <w:rPr>
          <w:rFonts w:ascii="Cambria Math" w:hAnsi="Cambria Math"/>
          <w:sz w:val="18"/>
          <w:szCs w:val="18"/>
          <w:rtl/>
        </w:rPr>
        <w:t xml:space="preserve"> و بکارگیری مدل قیمت گذاری عامل خویشاوند نگاه کنید به </w:t>
      </w:r>
      <w:r w:rsidRPr="004B01CB">
        <w:rPr>
          <w:rFonts w:ascii="Cambria Math" w:hAnsi="Cambria Math"/>
          <w:sz w:val="18"/>
          <w:szCs w:val="18"/>
        </w:rPr>
        <w:t>Backus et al(1996)</w:t>
      </w:r>
      <w:r w:rsidRPr="004B01CB">
        <w:rPr>
          <w:rFonts w:ascii="Cambria Math" w:hAnsi="Cambria Math"/>
          <w:sz w:val="18"/>
          <w:szCs w:val="18"/>
          <w:rtl/>
        </w:rPr>
        <w:t xml:space="preserve"> </w:t>
      </w:r>
    </w:p>
  </w:footnote>
  <w:footnote w:id="309">
    <w:p w14:paraId="02669597" w14:textId="77777777" w:rsidR="00556C10" w:rsidRPr="0017228B" w:rsidRDefault="00556C10" w:rsidP="00556C10">
      <w:pPr>
        <w:pStyle w:val="FootnoteText"/>
        <w:bidi w:val="0"/>
        <w:rPr>
          <w:rFonts w:ascii="Cambria Math" w:hAnsi="Cambria Math" w:cstheme="minorBidi"/>
          <w:sz w:val="18"/>
          <w:szCs w:val="18"/>
          <w:rtl/>
        </w:rPr>
      </w:pPr>
      <w:r w:rsidRPr="0017228B">
        <w:rPr>
          <w:rStyle w:val="FootnoteReference"/>
          <w:rFonts w:ascii="Cambria Math" w:hAnsi="Cambria Math"/>
          <w:sz w:val="18"/>
          <w:szCs w:val="18"/>
        </w:rPr>
        <w:footnoteRef/>
      </w:r>
      <w:r w:rsidRPr="0017228B">
        <w:rPr>
          <w:rFonts w:ascii="Cambria Math" w:hAnsi="Cambria Math"/>
          <w:sz w:val="18"/>
          <w:szCs w:val="18"/>
        </w:rPr>
        <w:t xml:space="preserve"> Bretton woods</w:t>
      </w:r>
    </w:p>
  </w:footnote>
  <w:footnote w:id="310">
    <w:p w14:paraId="34856705" w14:textId="77777777" w:rsidR="00556C10" w:rsidRPr="0017228B" w:rsidRDefault="00556C10" w:rsidP="00556C10">
      <w:pPr>
        <w:pStyle w:val="FootnoteText"/>
        <w:bidi w:val="0"/>
        <w:rPr>
          <w:rFonts w:ascii="Cambria Math" w:hAnsi="Cambria Math"/>
          <w:sz w:val="18"/>
          <w:szCs w:val="18"/>
          <w:rtl/>
        </w:rPr>
      </w:pPr>
      <w:r w:rsidRPr="0017228B">
        <w:rPr>
          <w:rStyle w:val="FootnoteReference"/>
          <w:rFonts w:ascii="Cambria Math" w:hAnsi="Cambria Math"/>
          <w:sz w:val="18"/>
          <w:szCs w:val="18"/>
        </w:rPr>
        <w:footnoteRef/>
      </w:r>
      <w:r w:rsidRPr="0017228B">
        <w:rPr>
          <w:rFonts w:ascii="Cambria Math" w:hAnsi="Cambria Math"/>
          <w:sz w:val="18"/>
          <w:szCs w:val="18"/>
        </w:rPr>
        <w:t xml:space="preserve"> Gold Standard System, GSS</w:t>
      </w:r>
    </w:p>
  </w:footnote>
  <w:footnote w:id="311">
    <w:p w14:paraId="7CCE0840" w14:textId="77777777" w:rsidR="00556C10" w:rsidRPr="0017228B" w:rsidRDefault="00556C10" w:rsidP="00556C10">
      <w:pPr>
        <w:pStyle w:val="FootnoteText"/>
        <w:bidi w:val="0"/>
        <w:rPr>
          <w:rFonts w:ascii="Cambria Math" w:hAnsi="Cambria Math"/>
          <w:sz w:val="18"/>
          <w:szCs w:val="18"/>
          <w:rtl/>
        </w:rPr>
      </w:pPr>
      <w:r w:rsidRPr="0017228B">
        <w:rPr>
          <w:rStyle w:val="FootnoteReference"/>
          <w:rFonts w:ascii="Cambria Math" w:hAnsi="Cambria Math"/>
          <w:sz w:val="18"/>
          <w:szCs w:val="18"/>
        </w:rPr>
        <w:footnoteRef/>
      </w:r>
      <w:r w:rsidRPr="0017228B">
        <w:rPr>
          <w:rFonts w:ascii="Cambria Math" w:hAnsi="Cambria Math"/>
          <w:sz w:val="18"/>
          <w:szCs w:val="18"/>
        </w:rPr>
        <w:t xml:space="preserve"> Exchange Rate Mechanism</w:t>
      </w:r>
    </w:p>
  </w:footnote>
  <w:footnote w:id="312">
    <w:p w14:paraId="071F8381" w14:textId="77777777" w:rsidR="00556C10" w:rsidRPr="0017228B" w:rsidRDefault="00556C10" w:rsidP="00556C10">
      <w:pPr>
        <w:pStyle w:val="FootnoteText"/>
        <w:bidi w:val="0"/>
        <w:rPr>
          <w:rFonts w:ascii="Cambria Math" w:hAnsi="Cambria Math"/>
          <w:sz w:val="18"/>
          <w:szCs w:val="18"/>
        </w:rPr>
      </w:pPr>
      <w:r w:rsidRPr="0017228B">
        <w:rPr>
          <w:rStyle w:val="FootnoteReference"/>
          <w:rFonts w:ascii="Cambria Math" w:hAnsi="Cambria Math"/>
          <w:sz w:val="18"/>
          <w:szCs w:val="18"/>
        </w:rPr>
        <w:footnoteRef/>
      </w:r>
      <w:r w:rsidRPr="0017228B">
        <w:rPr>
          <w:rFonts w:ascii="Cambria Math" w:hAnsi="Cambria Math"/>
          <w:sz w:val="18"/>
          <w:szCs w:val="18"/>
        </w:rPr>
        <w:t xml:space="preserve"> European Monetary Union</w:t>
      </w:r>
    </w:p>
  </w:footnote>
  <w:footnote w:id="313">
    <w:p w14:paraId="5F048FE7" w14:textId="77777777" w:rsidR="00556C10" w:rsidRPr="0017228B" w:rsidRDefault="00556C10" w:rsidP="00556C10">
      <w:pPr>
        <w:pStyle w:val="NormalWeb"/>
        <w:bidi/>
        <w:jc w:val="both"/>
        <w:rPr>
          <w:rFonts w:ascii="Cambria Math" w:hAnsi="Cambria Math"/>
          <w:sz w:val="18"/>
          <w:szCs w:val="18"/>
        </w:rPr>
      </w:pPr>
      <w:r w:rsidRPr="0017228B">
        <w:rPr>
          <w:rStyle w:val="FootnoteReference"/>
          <w:rFonts w:ascii="Cambria Math" w:eastAsiaTheme="majorEastAsia" w:hAnsi="Cambria Math"/>
          <w:sz w:val="18"/>
          <w:szCs w:val="18"/>
        </w:rPr>
        <w:footnoteRef/>
      </w:r>
      <w:r w:rsidRPr="0017228B">
        <w:rPr>
          <w:rFonts w:ascii="Cambria Math" w:hAnsi="Cambria Math"/>
          <w:sz w:val="18"/>
          <w:szCs w:val="18"/>
        </w:rPr>
        <w:t xml:space="preserve"> </w:t>
      </w:r>
      <w:r w:rsidRPr="0017228B">
        <w:rPr>
          <w:rFonts w:ascii="Cambria Math" w:hAnsi="Cambria Math" w:cs="B Nazanin" w:hint="cs"/>
          <w:sz w:val="18"/>
          <w:szCs w:val="18"/>
          <w:rtl/>
        </w:rPr>
        <w:t xml:space="preserve">برای مطالعه بیشتر به </w:t>
      </w:r>
      <w:r w:rsidRPr="0017228B">
        <w:rPr>
          <w:rFonts w:ascii="Cambria Math" w:hAnsi="Cambria Math" w:cs="B Nazanin"/>
          <w:sz w:val="18"/>
          <w:szCs w:val="18"/>
        </w:rPr>
        <w:t>Rivera-</w:t>
      </w:r>
      <w:proofErr w:type="spellStart"/>
      <w:r w:rsidRPr="0017228B">
        <w:rPr>
          <w:rFonts w:ascii="Cambria Math" w:hAnsi="Cambria Math" w:cs="B Nazanin"/>
          <w:sz w:val="18"/>
          <w:szCs w:val="18"/>
        </w:rPr>
        <w:t>Batiz</w:t>
      </w:r>
      <w:proofErr w:type="spellEnd"/>
      <w:r w:rsidRPr="0017228B">
        <w:rPr>
          <w:rFonts w:ascii="Cambria Math" w:hAnsi="Cambria Math" w:cs="B Nazanin"/>
          <w:sz w:val="18"/>
          <w:szCs w:val="18"/>
        </w:rPr>
        <w:t>(1985)</w:t>
      </w:r>
      <w:r w:rsidRPr="0017228B">
        <w:rPr>
          <w:rFonts w:ascii="Cambria Math" w:hAnsi="Cambria Math" w:cs="B Nazanin" w:hint="cs"/>
          <w:sz w:val="18"/>
          <w:szCs w:val="18"/>
          <w:rtl/>
        </w:rPr>
        <w:t xml:space="preserve"> و </w:t>
      </w:r>
      <w:r w:rsidRPr="0017228B">
        <w:rPr>
          <w:rFonts w:ascii="Cambria Math" w:hAnsi="Cambria Math" w:cs="B Nazanin"/>
          <w:sz w:val="18"/>
          <w:szCs w:val="18"/>
        </w:rPr>
        <w:t>Branson-Henderson(1985)</w:t>
      </w:r>
      <w:r w:rsidRPr="0017228B">
        <w:rPr>
          <w:rFonts w:ascii="Cambria Math" w:hAnsi="Cambria Math" w:cs="B Nazanin" w:hint="cs"/>
          <w:sz w:val="18"/>
          <w:szCs w:val="18"/>
          <w:rtl/>
        </w:rPr>
        <w:t xml:space="preserve"> مراجعه شود</w:t>
      </w:r>
      <w:r w:rsidRPr="0017228B">
        <w:rPr>
          <w:rFonts w:ascii="Cambria Math" w:hAnsi="Cambria Math" w:cs="B Nazanin"/>
          <w:sz w:val="18"/>
          <w:szCs w:val="18"/>
        </w:rPr>
        <w:t>.</w:t>
      </w:r>
    </w:p>
  </w:footnote>
  <w:footnote w:id="314">
    <w:p w14:paraId="4D1178EB" w14:textId="77777777" w:rsidR="00556C10" w:rsidRPr="0017228B" w:rsidRDefault="00556C10" w:rsidP="00556C10">
      <w:pPr>
        <w:pStyle w:val="FootnoteText"/>
        <w:bidi w:val="0"/>
        <w:rPr>
          <w:rFonts w:ascii="Cambria Math" w:hAnsi="Cambria Math"/>
          <w:sz w:val="18"/>
          <w:szCs w:val="18"/>
          <w:rtl/>
        </w:rPr>
      </w:pPr>
      <w:r w:rsidRPr="0017228B">
        <w:rPr>
          <w:rStyle w:val="FootnoteReference"/>
          <w:rFonts w:ascii="Cambria Math" w:hAnsi="Cambria Math"/>
          <w:sz w:val="18"/>
          <w:szCs w:val="18"/>
        </w:rPr>
        <w:footnoteRef/>
      </w:r>
      <w:r w:rsidRPr="0017228B">
        <w:rPr>
          <w:rFonts w:ascii="Cambria Math" w:hAnsi="Cambria Math"/>
          <w:sz w:val="18"/>
          <w:szCs w:val="18"/>
        </w:rPr>
        <w:t xml:space="preserve"> Monetary approach to the balance of payments</w:t>
      </w:r>
    </w:p>
  </w:footnote>
  <w:footnote w:id="315">
    <w:p w14:paraId="3258ADB5" w14:textId="77777777" w:rsidR="00556C10" w:rsidRPr="0017228B" w:rsidRDefault="00556C10" w:rsidP="00556C10">
      <w:pPr>
        <w:pStyle w:val="FootnoteText"/>
        <w:bidi w:val="0"/>
        <w:rPr>
          <w:rFonts w:ascii="Cambria Math" w:hAnsi="Cambria Math"/>
          <w:sz w:val="18"/>
          <w:szCs w:val="18"/>
        </w:rPr>
      </w:pPr>
      <w:r w:rsidRPr="0017228B">
        <w:rPr>
          <w:rStyle w:val="FootnoteReference"/>
          <w:rFonts w:ascii="Cambria Math" w:hAnsi="Cambria Math"/>
          <w:sz w:val="18"/>
          <w:szCs w:val="18"/>
        </w:rPr>
        <w:footnoteRef/>
      </w:r>
      <w:r w:rsidRPr="0017228B">
        <w:rPr>
          <w:rFonts w:ascii="Cambria Math" w:hAnsi="Cambria Math"/>
          <w:sz w:val="18"/>
          <w:szCs w:val="18"/>
        </w:rPr>
        <w:t xml:space="preserve"> Frankel and Johnson (1976)</w:t>
      </w:r>
    </w:p>
  </w:footnote>
  <w:footnote w:id="316">
    <w:p w14:paraId="0F0CC688" w14:textId="77777777" w:rsidR="00556C10" w:rsidRPr="0017228B" w:rsidRDefault="00556C10" w:rsidP="00556C10">
      <w:pPr>
        <w:pStyle w:val="FootnoteText"/>
        <w:bidi w:val="0"/>
        <w:rPr>
          <w:rFonts w:ascii="Cambria Math" w:hAnsi="Cambria Math"/>
          <w:sz w:val="18"/>
          <w:szCs w:val="18"/>
        </w:rPr>
      </w:pPr>
      <w:r w:rsidRPr="0017228B">
        <w:rPr>
          <w:rStyle w:val="FootnoteReference"/>
          <w:rFonts w:ascii="Cambria Math" w:hAnsi="Cambria Math"/>
          <w:sz w:val="18"/>
          <w:szCs w:val="18"/>
        </w:rPr>
        <w:footnoteRef/>
      </w:r>
      <w:r w:rsidRPr="0017228B">
        <w:rPr>
          <w:rFonts w:ascii="Cambria Math" w:hAnsi="Cambria Math"/>
          <w:sz w:val="18"/>
          <w:szCs w:val="18"/>
        </w:rPr>
        <w:t xml:space="preserve"> Peso effect</w:t>
      </w:r>
    </w:p>
  </w:footnote>
  <w:footnote w:id="317">
    <w:p w14:paraId="782917B5" w14:textId="77777777" w:rsidR="00556C10" w:rsidRPr="0017228B" w:rsidRDefault="00556C10" w:rsidP="00556C10">
      <w:pPr>
        <w:pStyle w:val="FootnoteText"/>
        <w:bidi w:val="0"/>
        <w:rPr>
          <w:sz w:val="18"/>
          <w:szCs w:val="18"/>
        </w:rPr>
      </w:pPr>
      <w:r w:rsidRPr="0017228B">
        <w:rPr>
          <w:rStyle w:val="FootnoteReference"/>
          <w:sz w:val="18"/>
          <w:szCs w:val="18"/>
        </w:rPr>
        <w:footnoteRef/>
      </w:r>
      <w:r w:rsidRPr="0017228B">
        <w:rPr>
          <w:sz w:val="18"/>
          <w:szCs w:val="18"/>
          <w:rtl/>
        </w:rPr>
        <w:t xml:space="preserve"> </w:t>
      </w:r>
      <w:r w:rsidRPr="0017228B">
        <w:rPr>
          <w:rFonts w:ascii="Cambria Math" w:hAnsi="Cambria Math"/>
          <w:sz w:val="18"/>
          <w:szCs w:val="18"/>
        </w:rPr>
        <w:t>crowded out</w:t>
      </w:r>
    </w:p>
  </w:footnote>
  <w:footnote w:id="318">
    <w:p w14:paraId="5B7F85D2" w14:textId="77777777" w:rsidR="00556C10" w:rsidRPr="0017228B" w:rsidRDefault="00556C10" w:rsidP="00556C10">
      <w:pPr>
        <w:pStyle w:val="FootnoteText"/>
        <w:rPr>
          <w:rFonts w:ascii="Cambria Math" w:hAnsi="Cambria Math"/>
          <w:sz w:val="18"/>
          <w:szCs w:val="18"/>
        </w:rPr>
      </w:pPr>
      <w:r w:rsidRPr="0017228B">
        <w:rPr>
          <w:rStyle w:val="FootnoteReference"/>
          <w:rFonts w:ascii="Cambria Math" w:hAnsi="Cambria Math"/>
          <w:sz w:val="18"/>
          <w:szCs w:val="18"/>
        </w:rPr>
        <w:footnoteRef/>
      </w:r>
      <w:r w:rsidRPr="0017228B">
        <w:rPr>
          <w:rFonts w:ascii="Cambria Math" w:hAnsi="Cambria Math"/>
          <w:sz w:val="18"/>
          <w:szCs w:val="18"/>
        </w:rPr>
        <w:t xml:space="preserve"> </w:t>
      </w:r>
      <w:r w:rsidRPr="0017228B">
        <w:rPr>
          <w:rFonts w:ascii="Cambria Math" w:hAnsi="Cambria Math"/>
          <w:sz w:val="18"/>
          <w:szCs w:val="18"/>
          <w:rtl/>
        </w:rPr>
        <w:t xml:space="preserve">مراجه شود به </w:t>
      </w:r>
      <w:r w:rsidRPr="0017228B">
        <w:rPr>
          <w:rFonts w:ascii="Cambria Math" w:hAnsi="Cambria Math"/>
          <w:sz w:val="18"/>
          <w:szCs w:val="18"/>
        </w:rPr>
        <w:t xml:space="preserve">Frenkel (1976), </w:t>
      </w:r>
      <w:proofErr w:type="spellStart"/>
      <w:r w:rsidRPr="0017228B">
        <w:rPr>
          <w:rFonts w:ascii="Cambria Math" w:hAnsi="Cambria Math"/>
          <w:sz w:val="18"/>
          <w:szCs w:val="18"/>
        </w:rPr>
        <w:t>Mussa</w:t>
      </w:r>
      <w:proofErr w:type="spellEnd"/>
      <w:r w:rsidRPr="0017228B">
        <w:rPr>
          <w:rFonts w:ascii="Cambria Math" w:hAnsi="Cambria Math"/>
          <w:sz w:val="18"/>
          <w:szCs w:val="18"/>
        </w:rPr>
        <w:t xml:space="preserve"> (1976, 1982)</w:t>
      </w:r>
    </w:p>
  </w:footnote>
  <w:footnote w:id="319">
    <w:p w14:paraId="463DA7EC" w14:textId="77777777" w:rsidR="00556C10" w:rsidRPr="0017228B" w:rsidRDefault="00556C10" w:rsidP="00556C10">
      <w:pPr>
        <w:pStyle w:val="FootnoteText"/>
        <w:bidi w:val="0"/>
        <w:rPr>
          <w:rFonts w:ascii="Cambria Math" w:hAnsi="Cambria Math"/>
          <w:sz w:val="18"/>
          <w:szCs w:val="18"/>
        </w:rPr>
      </w:pPr>
      <w:r w:rsidRPr="0017228B">
        <w:rPr>
          <w:rStyle w:val="FootnoteReference"/>
          <w:rFonts w:ascii="Cambria Math" w:hAnsi="Cambria Math"/>
          <w:sz w:val="18"/>
          <w:szCs w:val="18"/>
        </w:rPr>
        <w:footnoteRef/>
      </w:r>
      <w:r w:rsidRPr="0017228B">
        <w:rPr>
          <w:rFonts w:ascii="Cambria Math" w:hAnsi="Cambria Math"/>
          <w:sz w:val="18"/>
          <w:szCs w:val="18"/>
        </w:rPr>
        <w:t xml:space="preserve"> Dornbusch (1976)</w:t>
      </w:r>
    </w:p>
  </w:footnote>
  <w:footnote w:id="320">
    <w:p w14:paraId="465FF262" w14:textId="77777777" w:rsidR="00556C10" w:rsidRDefault="00556C10" w:rsidP="00556C10">
      <w:pPr>
        <w:pStyle w:val="FootnoteText"/>
        <w:bidi w:val="0"/>
      </w:pPr>
      <w:r>
        <w:rPr>
          <w:rStyle w:val="FootnoteReference"/>
        </w:rPr>
        <w:footnoteRef/>
      </w:r>
      <w:r>
        <w:rPr>
          <w:rtl/>
        </w:rPr>
        <w:t xml:space="preserve"> </w:t>
      </w:r>
      <w:r>
        <w:t xml:space="preserve">Exchange rate Overshooting  </w:t>
      </w:r>
    </w:p>
  </w:footnote>
  <w:footnote w:id="321">
    <w:p w14:paraId="69E277C9" w14:textId="77777777" w:rsidR="00556C10" w:rsidRPr="0017228B" w:rsidRDefault="00556C10" w:rsidP="00556C10">
      <w:pPr>
        <w:pStyle w:val="FootnoteText"/>
        <w:bidi w:val="0"/>
        <w:rPr>
          <w:rFonts w:ascii="Cambria Math" w:hAnsi="Cambria Math"/>
          <w:sz w:val="18"/>
          <w:szCs w:val="18"/>
        </w:rPr>
      </w:pPr>
      <w:r w:rsidRPr="0017228B">
        <w:rPr>
          <w:rStyle w:val="FootnoteReference"/>
          <w:rFonts w:ascii="Cambria Math" w:hAnsi="Cambria Math"/>
          <w:sz w:val="18"/>
          <w:szCs w:val="18"/>
        </w:rPr>
        <w:footnoteRef/>
      </w:r>
      <w:r w:rsidRPr="0017228B">
        <w:rPr>
          <w:rFonts w:ascii="Cambria Math" w:hAnsi="Cambria Math"/>
          <w:sz w:val="18"/>
          <w:szCs w:val="18"/>
        </w:rPr>
        <w:t xml:space="preserve"> Overshooting</w:t>
      </w:r>
    </w:p>
  </w:footnote>
  <w:footnote w:id="322">
    <w:p w14:paraId="301A4039" w14:textId="77777777" w:rsidR="00556C10" w:rsidRPr="0017228B" w:rsidRDefault="00556C10" w:rsidP="00556C10">
      <w:pPr>
        <w:pStyle w:val="FootnoteText"/>
        <w:bidi w:val="0"/>
        <w:rPr>
          <w:rFonts w:ascii="Cambria Math" w:hAnsi="Cambria Math"/>
          <w:sz w:val="18"/>
          <w:szCs w:val="18"/>
        </w:rPr>
      </w:pPr>
      <w:r w:rsidRPr="0017228B">
        <w:rPr>
          <w:rStyle w:val="FootnoteReference"/>
          <w:rFonts w:ascii="Cambria Math" w:hAnsi="Cambria Math"/>
          <w:sz w:val="18"/>
          <w:szCs w:val="18"/>
        </w:rPr>
        <w:footnoteRef/>
      </w:r>
      <w:r w:rsidRPr="0017228B">
        <w:rPr>
          <w:rFonts w:ascii="Cambria Math" w:hAnsi="Cambria Math"/>
          <w:sz w:val="18"/>
          <w:szCs w:val="18"/>
        </w:rPr>
        <w:t xml:space="preserve"> The Obstfeld-Rogoff Redux Model</w:t>
      </w:r>
    </w:p>
  </w:footnote>
  <w:footnote w:id="323">
    <w:p w14:paraId="7A1E9B40" w14:textId="77777777" w:rsidR="00556C10" w:rsidRDefault="00556C10" w:rsidP="00556C10">
      <w:pPr>
        <w:pStyle w:val="FootnoteText"/>
        <w:bidi w:val="0"/>
      </w:pPr>
      <w:r>
        <w:rPr>
          <w:rStyle w:val="FootnoteReference"/>
        </w:rPr>
        <w:footnoteRef/>
      </w:r>
      <w:r>
        <w:rPr>
          <w:rtl/>
        </w:rPr>
        <w:t xml:space="preserve"> </w:t>
      </w:r>
      <w:r>
        <w:t>Baseline</w:t>
      </w:r>
    </w:p>
  </w:footnote>
  <w:footnote w:id="324">
    <w:p w14:paraId="0336F092" w14:textId="77777777" w:rsidR="00556C10" w:rsidRPr="0017228B" w:rsidRDefault="00556C10" w:rsidP="00556C10">
      <w:pPr>
        <w:pStyle w:val="FootnoteText"/>
        <w:rPr>
          <w:rFonts w:ascii="Cambria Math" w:hAnsi="Cambria Math"/>
          <w:sz w:val="18"/>
          <w:szCs w:val="18"/>
          <w:rtl/>
        </w:rPr>
      </w:pPr>
      <w:r w:rsidRPr="0017228B">
        <w:rPr>
          <w:rStyle w:val="FootnoteReference"/>
          <w:rFonts w:ascii="Cambria Math" w:hAnsi="Cambria Math"/>
          <w:sz w:val="18"/>
          <w:szCs w:val="18"/>
        </w:rPr>
        <w:footnoteRef/>
      </w:r>
      <w:r w:rsidRPr="0017228B">
        <w:rPr>
          <w:rFonts w:ascii="Cambria Math" w:hAnsi="Cambria Math"/>
          <w:sz w:val="18"/>
          <w:szCs w:val="18"/>
        </w:rPr>
        <w:t xml:space="preserve"> </w:t>
      </w:r>
      <w:r w:rsidRPr="0017228B">
        <w:rPr>
          <w:rFonts w:ascii="Cambria Math" w:hAnsi="Cambria Math" w:hint="cs"/>
          <w:sz w:val="18"/>
          <w:szCs w:val="18"/>
          <w:rtl/>
        </w:rPr>
        <w:t>نگاه کنید به</w:t>
      </w:r>
      <w:r w:rsidRPr="0017228B">
        <w:rPr>
          <w:rFonts w:ascii="Cambria Math" w:hAnsi="Cambria Math" w:cstheme="majorBidi"/>
          <w:sz w:val="18"/>
          <w:szCs w:val="18"/>
          <w:rtl/>
        </w:rPr>
        <w:t xml:space="preserve"> </w:t>
      </w:r>
      <w:r w:rsidRPr="0017228B">
        <w:rPr>
          <w:rFonts w:ascii="Cambria Math" w:hAnsi="Cambria Math" w:cstheme="majorBidi"/>
          <w:sz w:val="18"/>
          <w:szCs w:val="18"/>
        </w:rPr>
        <w:t>Betts and Devereux(1996, 2000); Devereux(1997); Devereux and Engle(2003)</w:t>
      </w:r>
      <w:r w:rsidRPr="0017228B">
        <w:rPr>
          <w:rFonts w:ascii="Cambria Math" w:hAnsi="Cambria Math"/>
          <w:sz w:val="18"/>
          <w:szCs w:val="18"/>
        </w:rPr>
        <w:t xml:space="preserve"> </w:t>
      </w:r>
    </w:p>
  </w:footnote>
  <w:footnote w:id="325">
    <w:p w14:paraId="6DB7D080" w14:textId="77777777" w:rsidR="00556C10" w:rsidRPr="0017228B" w:rsidRDefault="00556C10" w:rsidP="00556C10">
      <w:pPr>
        <w:pStyle w:val="FootnoteText"/>
        <w:rPr>
          <w:rFonts w:ascii="Cambria Math" w:hAnsi="Cambria Math"/>
          <w:sz w:val="18"/>
          <w:szCs w:val="18"/>
        </w:rPr>
      </w:pPr>
      <w:r w:rsidRPr="0017228B">
        <w:rPr>
          <w:rStyle w:val="FootnoteReference"/>
          <w:rFonts w:ascii="Cambria Math" w:hAnsi="Cambria Math"/>
          <w:sz w:val="18"/>
          <w:szCs w:val="18"/>
        </w:rPr>
        <w:footnoteRef/>
      </w:r>
      <w:r w:rsidRPr="0017228B">
        <w:rPr>
          <w:rFonts w:ascii="Cambria Math" w:hAnsi="Cambria Math"/>
          <w:sz w:val="18"/>
          <w:szCs w:val="18"/>
        </w:rPr>
        <w:t xml:space="preserve"> </w:t>
      </w:r>
      <w:r w:rsidRPr="0017228B">
        <w:rPr>
          <w:rFonts w:ascii="Cambria Math" w:hAnsi="Cambria Math" w:hint="cs"/>
          <w:sz w:val="18"/>
          <w:szCs w:val="18"/>
          <w:rtl/>
        </w:rPr>
        <w:t>برای بررسی و مرور مدل‌های اقتصاد کلان باز جدید که سعی می‌کنند انعطاف</w:t>
      </w:r>
      <w:r w:rsidRPr="0017228B">
        <w:rPr>
          <w:rFonts w:ascii="Cambria Math" w:hAnsi="Cambria Math" w:hint="cs"/>
          <w:sz w:val="18"/>
          <w:szCs w:val="18"/>
          <w:rtl/>
        </w:rPr>
        <w:softHyphen/>
        <w:t>ناپذیری اسمی کینزین و چسبندگی قیمت اقتصاد باز بین</w:t>
      </w:r>
      <w:r w:rsidRPr="0017228B">
        <w:rPr>
          <w:rFonts w:ascii="Cambria Math" w:hAnsi="Cambria Math" w:hint="cs"/>
          <w:sz w:val="18"/>
          <w:szCs w:val="18"/>
          <w:rtl/>
        </w:rPr>
        <w:softHyphen/>
        <w:t xml:space="preserve">دوره‌ای را تلفیق کنند به </w:t>
      </w:r>
      <w:r w:rsidRPr="0017228B">
        <w:rPr>
          <w:rFonts w:ascii="Cambria Math" w:hAnsi="Cambria Math"/>
          <w:sz w:val="18"/>
          <w:szCs w:val="18"/>
        </w:rPr>
        <w:t>Lane(2001)</w:t>
      </w:r>
      <w:r w:rsidRPr="0017228B">
        <w:rPr>
          <w:rFonts w:ascii="Cambria Math" w:hAnsi="Cambria Math" w:hint="cs"/>
          <w:sz w:val="18"/>
          <w:szCs w:val="18"/>
          <w:rtl/>
        </w:rPr>
        <w:t xml:space="preserve"> و </w:t>
      </w:r>
      <w:proofErr w:type="spellStart"/>
      <w:r w:rsidRPr="0017228B">
        <w:rPr>
          <w:rFonts w:ascii="Cambria Math" w:hAnsi="Cambria Math"/>
          <w:sz w:val="18"/>
          <w:szCs w:val="18"/>
        </w:rPr>
        <w:t>Obstreld</w:t>
      </w:r>
      <w:proofErr w:type="spellEnd"/>
      <w:r w:rsidRPr="0017228B">
        <w:rPr>
          <w:rFonts w:ascii="Cambria Math" w:hAnsi="Cambria Math"/>
          <w:sz w:val="18"/>
          <w:szCs w:val="18"/>
        </w:rPr>
        <w:t xml:space="preserve"> (2001)</w:t>
      </w:r>
      <w:r w:rsidRPr="0017228B">
        <w:rPr>
          <w:rFonts w:ascii="Cambria Math" w:hAnsi="Cambria Math" w:hint="cs"/>
          <w:sz w:val="18"/>
          <w:szCs w:val="18"/>
          <w:rtl/>
        </w:rPr>
        <w:t xml:space="preserve"> مراجعه شود. </w:t>
      </w:r>
    </w:p>
  </w:footnote>
  <w:footnote w:id="326">
    <w:p w14:paraId="4606EC73" w14:textId="77777777" w:rsidR="00556C10" w:rsidRPr="009A03AB" w:rsidRDefault="00556C10" w:rsidP="00556C10">
      <w:pPr>
        <w:pStyle w:val="FootnoteText"/>
        <w:bidi w:val="0"/>
        <w:rPr>
          <w:rFonts w:ascii="Cambria Math" w:eastAsiaTheme="minorHAnsi" w:hAnsi="Cambria Math" w:cstheme="minorBidi"/>
          <w:sz w:val="18"/>
          <w:szCs w:val="18"/>
          <w:rtl/>
        </w:rPr>
      </w:pPr>
      <w:r w:rsidRPr="009A03AB">
        <w:rPr>
          <w:rStyle w:val="FootnoteReference"/>
          <w:rFonts w:ascii="Cambria Math" w:hAnsi="Cambria Math"/>
          <w:sz w:val="18"/>
          <w:szCs w:val="18"/>
        </w:rPr>
        <w:footnoteRef/>
      </w:r>
      <w:r w:rsidRPr="009A03AB">
        <w:rPr>
          <w:rFonts w:ascii="Cambria Math" w:hAnsi="Cambria Math"/>
          <w:sz w:val="18"/>
          <w:szCs w:val="18"/>
          <w:rtl/>
        </w:rPr>
        <w:t xml:space="preserve"> </w:t>
      </w:r>
      <w:r w:rsidRPr="009A03AB">
        <w:rPr>
          <w:rFonts w:ascii="Cambria Math" w:hAnsi="Cambria Math"/>
          <w:sz w:val="18"/>
          <w:szCs w:val="18"/>
        </w:rPr>
        <w:t>Anderson and Jordon (1968)</w:t>
      </w:r>
    </w:p>
  </w:footnote>
  <w:footnote w:id="327">
    <w:p w14:paraId="12A9D704" w14:textId="77777777" w:rsidR="00556C10" w:rsidRPr="009A03AB" w:rsidRDefault="00556C10" w:rsidP="00556C10">
      <w:pPr>
        <w:pStyle w:val="FootnoteText"/>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hint="cs"/>
          <w:sz w:val="18"/>
          <w:szCs w:val="18"/>
          <w:rtl/>
        </w:rPr>
        <w:t xml:space="preserve"> برای مثال نگاه کنید به: </w:t>
      </w:r>
      <w:r w:rsidRPr="009A03AB">
        <w:rPr>
          <w:rFonts w:ascii="Cambria Math" w:hAnsi="Cambria Math"/>
          <w:sz w:val="18"/>
          <w:szCs w:val="18"/>
        </w:rPr>
        <w:t xml:space="preserve">Sims, 1980; </w:t>
      </w:r>
      <w:proofErr w:type="spellStart"/>
      <w:r w:rsidRPr="009A03AB">
        <w:rPr>
          <w:rFonts w:ascii="Cambria Math" w:hAnsi="Cambria Math"/>
          <w:sz w:val="18"/>
          <w:szCs w:val="18"/>
        </w:rPr>
        <w:t>Christiano</w:t>
      </w:r>
      <w:proofErr w:type="spellEnd"/>
      <w:r w:rsidRPr="009A03AB">
        <w:rPr>
          <w:rFonts w:ascii="Cambria Math" w:hAnsi="Cambria Math"/>
          <w:sz w:val="18"/>
          <w:szCs w:val="18"/>
        </w:rPr>
        <w:t xml:space="preserve"> et al. 1999; Canova and De Nicolo, 2002</w:t>
      </w:r>
    </w:p>
  </w:footnote>
  <w:footnote w:id="328">
    <w:p w14:paraId="18AA62C3" w14:textId="77777777" w:rsidR="00556C10" w:rsidRPr="009A03AB" w:rsidRDefault="00556C10" w:rsidP="00556C10">
      <w:pPr>
        <w:pStyle w:val="FootnoteText"/>
        <w:bidi w:val="0"/>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hint="cs"/>
          <w:sz w:val="18"/>
          <w:szCs w:val="18"/>
          <w:rtl/>
        </w:rPr>
        <w:t xml:space="preserve"> </w:t>
      </w:r>
      <w:r w:rsidRPr="009A03AB">
        <w:rPr>
          <w:rFonts w:ascii="Cambria Math" w:hAnsi="Cambria Math"/>
          <w:sz w:val="18"/>
          <w:szCs w:val="18"/>
        </w:rPr>
        <w:t>European Exchange Rate Mechanism</w:t>
      </w:r>
    </w:p>
  </w:footnote>
  <w:footnote w:id="329">
    <w:p w14:paraId="5B9B900E" w14:textId="77777777" w:rsidR="00556C10" w:rsidRPr="009A03AB" w:rsidRDefault="00556C10" w:rsidP="00556C10">
      <w:pPr>
        <w:pStyle w:val="FootnoteText"/>
        <w:bidi w:val="0"/>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hint="cs"/>
          <w:sz w:val="18"/>
          <w:szCs w:val="18"/>
          <w:rtl/>
        </w:rPr>
        <w:t xml:space="preserve"> </w:t>
      </w:r>
      <w:r w:rsidRPr="009A03AB">
        <w:rPr>
          <w:rFonts w:ascii="Cambria Math" w:hAnsi="Cambria Math"/>
          <w:sz w:val="18"/>
          <w:szCs w:val="18"/>
        </w:rPr>
        <w:t>European Central Bank</w:t>
      </w:r>
    </w:p>
  </w:footnote>
  <w:footnote w:id="330">
    <w:p w14:paraId="79F25248" w14:textId="77777777" w:rsidR="00556C10" w:rsidRPr="009A03AB" w:rsidRDefault="00556C10" w:rsidP="00556C10">
      <w:pPr>
        <w:pStyle w:val="FootnoteText"/>
        <w:bidi w:val="0"/>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sz w:val="18"/>
          <w:szCs w:val="18"/>
        </w:rPr>
        <w:t xml:space="preserve"> Phillips 1958</w:t>
      </w:r>
    </w:p>
  </w:footnote>
  <w:footnote w:id="331">
    <w:p w14:paraId="604B9542" w14:textId="77777777" w:rsidR="00556C10" w:rsidRPr="009A03AB" w:rsidRDefault="00556C10" w:rsidP="00556C10">
      <w:pPr>
        <w:pStyle w:val="FootnoteText"/>
        <w:bidi w:val="0"/>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hint="cs"/>
          <w:sz w:val="18"/>
          <w:szCs w:val="18"/>
          <w:rtl/>
        </w:rPr>
        <w:t xml:space="preserve"> </w:t>
      </w:r>
      <w:r w:rsidRPr="009A03AB">
        <w:rPr>
          <w:rFonts w:ascii="Cambria Math" w:hAnsi="Cambria Math"/>
          <w:sz w:val="18"/>
          <w:szCs w:val="18"/>
        </w:rPr>
        <w:t>Phelps 1968, 1973</w:t>
      </w:r>
    </w:p>
  </w:footnote>
  <w:footnote w:id="332">
    <w:p w14:paraId="4EA9DD9E" w14:textId="77777777" w:rsidR="00556C10" w:rsidRPr="009A03AB" w:rsidRDefault="00556C10" w:rsidP="00556C10">
      <w:pPr>
        <w:pStyle w:val="FootnoteText"/>
        <w:bidi w:val="0"/>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hint="cs"/>
          <w:sz w:val="18"/>
          <w:szCs w:val="18"/>
          <w:rtl/>
        </w:rPr>
        <w:t xml:space="preserve"> </w:t>
      </w:r>
      <w:r w:rsidRPr="009A03AB">
        <w:rPr>
          <w:rFonts w:ascii="Cambria Math" w:hAnsi="Cambria Math"/>
          <w:sz w:val="18"/>
          <w:szCs w:val="18"/>
        </w:rPr>
        <w:t>Lucas 1976a, Gordon 1997</w:t>
      </w:r>
    </w:p>
  </w:footnote>
  <w:footnote w:id="333">
    <w:p w14:paraId="65A7CBAA" w14:textId="77777777" w:rsidR="00556C10" w:rsidRPr="009A03AB" w:rsidRDefault="00556C10" w:rsidP="00556C10">
      <w:pPr>
        <w:pStyle w:val="FootnoteText"/>
        <w:bidi w:val="0"/>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sz w:val="18"/>
          <w:szCs w:val="18"/>
        </w:rPr>
        <w:t xml:space="preserve"> Okun law, 1962</w:t>
      </w:r>
    </w:p>
  </w:footnote>
  <w:footnote w:id="334">
    <w:p w14:paraId="713D2DB8" w14:textId="77777777" w:rsidR="00556C10" w:rsidRPr="009A03AB" w:rsidRDefault="00556C10" w:rsidP="00556C10">
      <w:pPr>
        <w:pStyle w:val="FootnoteText"/>
        <w:bidi w:val="0"/>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hint="cs"/>
          <w:sz w:val="18"/>
          <w:szCs w:val="18"/>
          <w:rtl/>
        </w:rPr>
        <w:t xml:space="preserve"> </w:t>
      </w:r>
      <w:r w:rsidRPr="009A03AB">
        <w:rPr>
          <w:rFonts w:ascii="Cambria Math" w:hAnsi="Cambria Math"/>
          <w:sz w:val="18"/>
          <w:szCs w:val="18"/>
        </w:rPr>
        <w:t>Goodhart’s law</w:t>
      </w:r>
    </w:p>
  </w:footnote>
  <w:footnote w:id="335">
    <w:p w14:paraId="530FDA70" w14:textId="77777777" w:rsidR="00556C10" w:rsidRPr="009A03AB" w:rsidRDefault="00556C10" w:rsidP="00556C10">
      <w:pPr>
        <w:pStyle w:val="FootnoteText"/>
        <w:bidi w:val="0"/>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sz w:val="18"/>
          <w:szCs w:val="18"/>
        </w:rPr>
        <w:t xml:space="preserve"> Lucas, 1976</w:t>
      </w:r>
    </w:p>
  </w:footnote>
  <w:footnote w:id="336">
    <w:p w14:paraId="223BD86D" w14:textId="77777777" w:rsidR="00556C10" w:rsidRPr="009A03AB" w:rsidRDefault="00556C10" w:rsidP="00556C10">
      <w:pPr>
        <w:pStyle w:val="FootnoteText"/>
        <w:bidi w:val="0"/>
        <w:rPr>
          <w:rFonts w:ascii="Cambria Math" w:hAnsi="Cambria Math" w:cstheme="minorBidi"/>
          <w:sz w:val="18"/>
          <w:szCs w:val="18"/>
        </w:rPr>
      </w:pPr>
      <w:r w:rsidRPr="009A03AB">
        <w:rPr>
          <w:rStyle w:val="FootnoteReference"/>
          <w:rFonts w:ascii="Cambria Math" w:hAnsi="Cambria Math"/>
          <w:sz w:val="18"/>
          <w:szCs w:val="18"/>
        </w:rPr>
        <w:footnoteRef/>
      </w:r>
      <w:r w:rsidRPr="009A03AB">
        <w:rPr>
          <w:rFonts w:ascii="Cambria Math" w:hAnsi="Cambria Math"/>
          <w:sz w:val="18"/>
          <w:szCs w:val="18"/>
          <w:rtl/>
        </w:rPr>
        <w:t xml:space="preserve"> </w:t>
      </w:r>
      <w:proofErr w:type="spellStart"/>
      <w:r w:rsidRPr="009A03AB">
        <w:rPr>
          <w:rFonts w:ascii="Cambria Math" w:hAnsi="Cambria Math" w:cs="B Mitra"/>
          <w:sz w:val="18"/>
          <w:szCs w:val="18"/>
        </w:rPr>
        <w:t>Muth</w:t>
      </w:r>
      <w:proofErr w:type="spellEnd"/>
      <w:r w:rsidRPr="009A03AB">
        <w:rPr>
          <w:rFonts w:ascii="Cambria Math" w:hAnsi="Cambria Math" w:cs="B Mitra"/>
          <w:sz w:val="18"/>
          <w:szCs w:val="18"/>
        </w:rPr>
        <w:t>, 1961</w:t>
      </w:r>
    </w:p>
  </w:footnote>
  <w:footnote w:id="337">
    <w:p w14:paraId="6CEA89FD" w14:textId="77777777" w:rsidR="00556C10" w:rsidRPr="009A03AB" w:rsidRDefault="00556C10" w:rsidP="00556C10">
      <w:pPr>
        <w:pStyle w:val="FootnoteText"/>
        <w:bidi w:val="0"/>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cs="B Mitra" w:hint="cs"/>
          <w:sz w:val="18"/>
          <w:szCs w:val="18"/>
          <w:rtl/>
        </w:rPr>
        <w:t xml:space="preserve"> </w:t>
      </w:r>
      <w:proofErr w:type="spellStart"/>
      <w:r w:rsidRPr="009A03AB">
        <w:rPr>
          <w:rFonts w:ascii="Cambria Math" w:hAnsi="Cambria Math" w:cs="B Mitra"/>
          <w:sz w:val="18"/>
          <w:szCs w:val="18"/>
        </w:rPr>
        <w:t>Cagan</w:t>
      </w:r>
      <w:proofErr w:type="spellEnd"/>
      <w:r w:rsidRPr="009A03AB">
        <w:rPr>
          <w:rFonts w:ascii="Cambria Math" w:hAnsi="Cambria Math" w:cs="B Mitra"/>
          <w:sz w:val="18"/>
          <w:szCs w:val="18"/>
        </w:rPr>
        <w:t>, 1956</w:t>
      </w:r>
      <w:r w:rsidRPr="009A03AB">
        <w:rPr>
          <w:rFonts w:ascii="Cambria Math" w:hAnsi="Cambria Math"/>
          <w:sz w:val="18"/>
          <w:szCs w:val="18"/>
          <w:rtl/>
        </w:rPr>
        <w:t xml:space="preserve"> </w:t>
      </w:r>
    </w:p>
  </w:footnote>
  <w:footnote w:id="338">
    <w:p w14:paraId="7CBC982E" w14:textId="77777777" w:rsidR="00556C10" w:rsidRPr="009A03AB" w:rsidRDefault="00556C10" w:rsidP="00556C10">
      <w:pPr>
        <w:pStyle w:val="FootnoteText"/>
        <w:bidi w:val="0"/>
        <w:rPr>
          <w:rFonts w:ascii="Cambria Math" w:hAnsi="Cambria Math" w:cstheme="minorBidi"/>
          <w:sz w:val="18"/>
          <w:szCs w:val="18"/>
        </w:rPr>
      </w:pPr>
      <w:r w:rsidRPr="009A03AB">
        <w:rPr>
          <w:rStyle w:val="FootnoteReference"/>
          <w:rFonts w:ascii="Cambria Math" w:hAnsi="Cambria Math"/>
          <w:sz w:val="18"/>
          <w:szCs w:val="18"/>
        </w:rPr>
        <w:footnoteRef/>
      </w:r>
      <w:r w:rsidRPr="009A03AB">
        <w:rPr>
          <w:rFonts w:ascii="Cambria Math" w:hAnsi="Cambria Math"/>
          <w:sz w:val="18"/>
          <w:szCs w:val="18"/>
          <w:rtl/>
        </w:rPr>
        <w:t xml:space="preserve"> </w:t>
      </w:r>
      <w:r w:rsidRPr="009A03AB">
        <w:rPr>
          <w:rFonts w:ascii="Cambria Math" w:hAnsi="Cambria Math"/>
          <w:sz w:val="18"/>
          <w:szCs w:val="18"/>
        </w:rPr>
        <w:t>L</w:t>
      </w:r>
      <w:r w:rsidRPr="009A03AB">
        <w:rPr>
          <w:rFonts w:ascii="Cambria Math" w:hAnsi="Cambria Math" w:cs="B Mitra"/>
          <w:sz w:val="18"/>
          <w:szCs w:val="18"/>
        </w:rPr>
        <w:t>ucas, 1972a</w:t>
      </w:r>
    </w:p>
  </w:footnote>
  <w:footnote w:id="339">
    <w:p w14:paraId="6A2724DA" w14:textId="77777777" w:rsidR="00556C10" w:rsidRPr="009A03AB" w:rsidRDefault="00556C10" w:rsidP="00556C10">
      <w:pPr>
        <w:pStyle w:val="FootnoteText"/>
        <w:bidi w:val="0"/>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sz w:val="18"/>
          <w:szCs w:val="18"/>
          <w:rtl/>
        </w:rPr>
        <w:t xml:space="preserve"> </w:t>
      </w:r>
      <w:r w:rsidRPr="009A03AB">
        <w:rPr>
          <w:rFonts w:ascii="Cambria Math" w:hAnsi="Cambria Math" w:cs="B Mitra"/>
          <w:sz w:val="18"/>
          <w:szCs w:val="18"/>
        </w:rPr>
        <w:t>Lucas, 1972b</w:t>
      </w:r>
    </w:p>
  </w:footnote>
  <w:footnote w:id="340">
    <w:p w14:paraId="7ABDC10B" w14:textId="77777777" w:rsidR="00556C10" w:rsidRPr="009A03AB" w:rsidRDefault="00556C10" w:rsidP="00556C10">
      <w:pPr>
        <w:pStyle w:val="FootnoteText"/>
        <w:bidi w:val="0"/>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cs="Times New Roman"/>
          <w:sz w:val="18"/>
          <w:szCs w:val="18"/>
        </w:rPr>
        <w:t>Lucas Critique</w:t>
      </w:r>
      <w:r w:rsidRPr="009A03AB">
        <w:rPr>
          <w:rFonts w:ascii="Cambria Math" w:hAnsi="Cambria Math"/>
          <w:sz w:val="18"/>
          <w:szCs w:val="18"/>
          <w:rtl/>
        </w:rPr>
        <w:t xml:space="preserve"> </w:t>
      </w:r>
    </w:p>
  </w:footnote>
  <w:footnote w:id="341">
    <w:p w14:paraId="5CA3BAE1" w14:textId="77777777" w:rsidR="00556C10" w:rsidRPr="009A03AB" w:rsidRDefault="00556C10" w:rsidP="00556C10">
      <w:pPr>
        <w:pStyle w:val="FootnoteText"/>
        <w:bidi w:val="0"/>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sz w:val="18"/>
          <w:szCs w:val="18"/>
          <w:rtl/>
        </w:rPr>
        <w:t xml:space="preserve"> </w:t>
      </w:r>
      <w:r w:rsidRPr="009A03AB">
        <w:rPr>
          <w:rFonts w:ascii="Cambria Math" w:hAnsi="Cambria Math" w:cs="B Mitra"/>
          <w:sz w:val="18"/>
          <w:szCs w:val="18"/>
        </w:rPr>
        <w:t>Lucas, 1976</w:t>
      </w:r>
    </w:p>
  </w:footnote>
  <w:footnote w:id="342">
    <w:p w14:paraId="10453B8F" w14:textId="77777777" w:rsidR="00556C10" w:rsidRPr="009A03AB" w:rsidRDefault="00556C10" w:rsidP="00556C10">
      <w:pPr>
        <w:pStyle w:val="FootnoteText"/>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hint="cs"/>
          <w:sz w:val="18"/>
          <w:szCs w:val="18"/>
          <w:rtl/>
        </w:rPr>
        <w:t xml:space="preserve"> برای مطالعه‌ی بیشتر به </w:t>
      </w:r>
      <w:r w:rsidRPr="009A03AB">
        <w:rPr>
          <w:rFonts w:ascii="Cambria Math" w:hAnsi="Cambria Math"/>
          <w:sz w:val="18"/>
          <w:szCs w:val="18"/>
        </w:rPr>
        <w:t>Moore (1995)</w:t>
      </w:r>
      <w:r w:rsidRPr="009A03AB">
        <w:rPr>
          <w:rFonts w:ascii="Cambria Math" w:hAnsi="Cambria Math" w:hint="cs"/>
          <w:sz w:val="18"/>
          <w:szCs w:val="18"/>
          <w:rtl/>
        </w:rPr>
        <w:t xml:space="preserve"> و </w:t>
      </w:r>
      <w:r w:rsidRPr="009A03AB">
        <w:rPr>
          <w:rFonts w:ascii="Cambria Math" w:hAnsi="Cambria Math"/>
          <w:sz w:val="18"/>
          <w:szCs w:val="18"/>
        </w:rPr>
        <w:t>Roberts (1995, 1997)</w:t>
      </w:r>
      <w:r w:rsidRPr="009A03AB">
        <w:rPr>
          <w:rFonts w:ascii="Cambria Math" w:hAnsi="Cambria Math" w:hint="cs"/>
          <w:sz w:val="18"/>
          <w:szCs w:val="18"/>
          <w:rtl/>
        </w:rPr>
        <w:t xml:space="preserve"> مراجعه شود.</w:t>
      </w:r>
    </w:p>
  </w:footnote>
  <w:footnote w:id="343">
    <w:p w14:paraId="4B0A8D0E" w14:textId="77777777" w:rsidR="00556C10" w:rsidRPr="009A03AB" w:rsidRDefault="00556C10" w:rsidP="00556C10">
      <w:pPr>
        <w:pStyle w:val="FootnoteText"/>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hint="cs"/>
          <w:sz w:val="18"/>
          <w:szCs w:val="18"/>
          <w:rtl/>
        </w:rPr>
        <w:t xml:space="preserve"> برای مطالعه‌ی بیشتر مراجعه شود به</w:t>
      </w:r>
    </w:p>
    <w:p w14:paraId="6ED21D16" w14:textId="77777777" w:rsidR="00556C10" w:rsidRPr="009A03AB" w:rsidRDefault="00556C10" w:rsidP="00556C10">
      <w:pPr>
        <w:pStyle w:val="FootnoteText"/>
        <w:bidi w:val="0"/>
        <w:rPr>
          <w:rFonts w:ascii="Cambria Math" w:hAnsi="Cambria Math"/>
          <w:sz w:val="18"/>
          <w:szCs w:val="18"/>
        </w:rPr>
      </w:pPr>
      <w:r w:rsidRPr="009A03AB">
        <w:rPr>
          <w:rFonts w:ascii="Cambria Math" w:hAnsi="Cambria Math" w:hint="cs"/>
          <w:sz w:val="18"/>
          <w:szCs w:val="18"/>
          <w:rtl/>
        </w:rPr>
        <w:t xml:space="preserve"> </w:t>
      </w:r>
      <w:proofErr w:type="spellStart"/>
      <w:r w:rsidRPr="009A03AB">
        <w:rPr>
          <w:rFonts w:ascii="Cambria Math" w:hAnsi="Cambria Math"/>
          <w:sz w:val="18"/>
          <w:szCs w:val="18"/>
        </w:rPr>
        <w:t>Clarida</w:t>
      </w:r>
      <w:proofErr w:type="spellEnd"/>
      <w:r w:rsidRPr="009A03AB">
        <w:rPr>
          <w:rFonts w:ascii="Cambria Math" w:hAnsi="Cambria Math"/>
          <w:sz w:val="18"/>
          <w:szCs w:val="18"/>
        </w:rPr>
        <w:t xml:space="preserve"> et al (1999), Walsh (2003), Woodford (2003), Berna</w:t>
      </w:r>
      <w:r>
        <w:rPr>
          <w:rFonts w:ascii="Cambria Math" w:hAnsi="Cambria Math"/>
          <w:sz w:val="18"/>
          <w:szCs w:val="18"/>
        </w:rPr>
        <w:t>n</w:t>
      </w:r>
      <w:r w:rsidRPr="009A03AB">
        <w:rPr>
          <w:rFonts w:ascii="Cambria Math" w:hAnsi="Cambria Math"/>
          <w:sz w:val="18"/>
          <w:szCs w:val="18"/>
        </w:rPr>
        <w:t xml:space="preserve">ke and Woodford (2005) and </w:t>
      </w:r>
      <w:proofErr w:type="spellStart"/>
      <w:r w:rsidRPr="009A03AB">
        <w:rPr>
          <w:rFonts w:ascii="Cambria Math" w:hAnsi="Cambria Math"/>
          <w:sz w:val="18"/>
          <w:szCs w:val="18"/>
        </w:rPr>
        <w:t>Gali</w:t>
      </w:r>
      <w:proofErr w:type="spellEnd"/>
      <w:r w:rsidRPr="009A03AB">
        <w:rPr>
          <w:rFonts w:ascii="Cambria Math" w:hAnsi="Cambria Math"/>
          <w:sz w:val="18"/>
          <w:szCs w:val="18"/>
        </w:rPr>
        <w:t xml:space="preserve"> (2008)</w:t>
      </w:r>
    </w:p>
  </w:footnote>
  <w:footnote w:id="344">
    <w:p w14:paraId="0DB2CE61" w14:textId="77777777" w:rsidR="00556C10" w:rsidRPr="009A03AB" w:rsidRDefault="00556C10" w:rsidP="00556C10">
      <w:pPr>
        <w:pStyle w:val="FootnoteText"/>
        <w:rPr>
          <w:rFonts w:ascii="Cambria Math" w:hAnsi="Cambria Math"/>
          <w:sz w:val="18"/>
          <w:szCs w:val="18"/>
        </w:rPr>
      </w:pPr>
      <w:r w:rsidRPr="009A03AB">
        <w:rPr>
          <w:rFonts w:ascii="Cambria Math" w:hAnsi="Cambria Math" w:hint="cs"/>
          <w:sz w:val="18"/>
          <w:szCs w:val="18"/>
          <w:rtl/>
        </w:rPr>
        <w:t xml:space="preserve"> </w:t>
      </w:r>
      <w:r w:rsidRPr="009A03AB">
        <w:rPr>
          <w:rStyle w:val="FootnoteReference"/>
          <w:rFonts w:ascii="Cambria Math" w:hAnsi="Cambria Math"/>
          <w:sz w:val="18"/>
          <w:szCs w:val="18"/>
        </w:rPr>
        <w:footnoteRef/>
      </w:r>
      <w:r w:rsidRPr="009A03AB">
        <w:rPr>
          <w:rFonts w:ascii="Cambria Math" w:hAnsi="Cambria Math"/>
          <w:sz w:val="18"/>
          <w:szCs w:val="18"/>
        </w:rPr>
        <w:t xml:space="preserve"> </w:t>
      </w:r>
      <w:r w:rsidRPr="009A03AB">
        <w:rPr>
          <w:rFonts w:ascii="Cambria Math" w:hAnsi="Cambria Math" w:hint="cs"/>
          <w:sz w:val="18"/>
          <w:szCs w:val="18"/>
          <w:rtl/>
        </w:rPr>
        <w:t xml:space="preserve">جهت درک و فهم بیشتر مباحث تئوریکی مدل کینزین جدید به </w:t>
      </w:r>
      <w:r w:rsidRPr="009A03AB">
        <w:rPr>
          <w:rFonts w:ascii="Cambria Math" w:hAnsi="Cambria Math"/>
          <w:sz w:val="18"/>
          <w:szCs w:val="18"/>
        </w:rPr>
        <w:t xml:space="preserve">Smith and </w:t>
      </w:r>
      <w:proofErr w:type="spellStart"/>
      <w:r w:rsidRPr="009A03AB">
        <w:rPr>
          <w:rFonts w:ascii="Cambria Math" w:hAnsi="Cambria Math"/>
          <w:sz w:val="18"/>
          <w:szCs w:val="18"/>
        </w:rPr>
        <w:t>wickens</w:t>
      </w:r>
      <w:proofErr w:type="spellEnd"/>
      <w:r w:rsidRPr="009A03AB">
        <w:rPr>
          <w:rFonts w:ascii="Cambria Math" w:hAnsi="Cambria Math"/>
          <w:sz w:val="18"/>
          <w:szCs w:val="18"/>
        </w:rPr>
        <w:t xml:space="preserve"> 2007</w:t>
      </w:r>
      <w:r w:rsidRPr="009A03AB">
        <w:rPr>
          <w:rFonts w:ascii="Cambria Math" w:hAnsi="Cambria Math" w:hint="cs"/>
          <w:sz w:val="18"/>
          <w:szCs w:val="18"/>
          <w:rtl/>
        </w:rPr>
        <w:t xml:space="preserve"> مراجعه شود.</w:t>
      </w:r>
    </w:p>
  </w:footnote>
  <w:footnote w:id="345">
    <w:p w14:paraId="1FA41C9B" w14:textId="77777777" w:rsidR="00556C10" w:rsidRPr="009A03AB" w:rsidRDefault="00556C10" w:rsidP="00556C10">
      <w:pPr>
        <w:pStyle w:val="FootnoteText"/>
        <w:bidi w:val="0"/>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sz w:val="18"/>
          <w:szCs w:val="18"/>
        </w:rPr>
        <w:t xml:space="preserve"> Discretion</w:t>
      </w:r>
    </w:p>
  </w:footnote>
  <w:footnote w:id="346">
    <w:p w14:paraId="75EA3714" w14:textId="77777777" w:rsidR="00556C10" w:rsidRPr="009A03AB" w:rsidRDefault="00556C10" w:rsidP="00556C10">
      <w:pPr>
        <w:pStyle w:val="FootnoteText"/>
        <w:bidi w:val="0"/>
        <w:rPr>
          <w:rFonts w:ascii="Cambria Math" w:hAnsi="Cambria Math"/>
          <w:sz w:val="18"/>
          <w:szCs w:val="18"/>
          <w:rtl/>
        </w:rPr>
      </w:pPr>
      <w:r w:rsidRPr="009A03AB">
        <w:rPr>
          <w:rStyle w:val="FootnoteReference"/>
          <w:rFonts w:ascii="Cambria Math" w:hAnsi="Cambria Math"/>
          <w:sz w:val="18"/>
          <w:szCs w:val="18"/>
        </w:rPr>
        <w:footnoteRef/>
      </w:r>
      <w:r w:rsidRPr="009A03AB">
        <w:rPr>
          <w:rFonts w:ascii="Cambria Math" w:hAnsi="Cambria Math" w:hint="cs"/>
          <w:sz w:val="18"/>
          <w:szCs w:val="18"/>
          <w:rtl/>
        </w:rPr>
        <w:t xml:space="preserve"> </w:t>
      </w:r>
      <w:r w:rsidRPr="009A03AB">
        <w:rPr>
          <w:rFonts w:ascii="Cambria Math" w:hAnsi="Cambria Math"/>
          <w:sz w:val="18"/>
          <w:szCs w:val="18"/>
        </w:rPr>
        <w:t>Ad hoc model</w:t>
      </w:r>
      <w:r>
        <w:rPr>
          <w:rFonts w:ascii="Cambria Math" w:hAnsi="Cambria Math"/>
          <w:sz w:val="18"/>
          <w:szCs w:val="18"/>
        </w:rPr>
        <w:t>s</w:t>
      </w:r>
    </w:p>
  </w:footnote>
  <w:footnote w:id="347">
    <w:p w14:paraId="354FF320" w14:textId="77777777" w:rsidR="00556C10" w:rsidRPr="009A03AB" w:rsidRDefault="00556C10" w:rsidP="00556C10">
      <w:pPr>
        <w:pStyle w:val="FootnoteText"/>
        <w:bidi w:val="0"/>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sz w:val="18"/>
          <w:szCs w:val="18"/>
        </w:rPr>
        <w:t xml:space="preserve"> Rules- based policy</w:t>
      </w:r>
    </w:p>
  </w:footnote>
  <w:footnote w:id="348">
    <w:p w14:paraId="572EEC03" w14:textId="77777777" w:rsidR="00556C10" w:rsidRPr="009A03AB" w:rsidRDefault="00556C10" w:rsidP="00556C10">
      <w:pPr>
        <w:pStyle w:val="FootnoteText"/>
        <w:bidi w:val="0"/>
        <w:rPr>
          <w:rFonts w:ascii="Cambria Math" w:hAnsi="Cambria Math"/>
          <w:sz w:val="18"/>
          <w:szCs w:val="18"/>
          <w:rtl/>
        </w:rPr>
      </w:pPr>
      <w:r w:rsidRPr="009A03AB">
        <w:rPr>
          <w:rStyle w:val="FootnoteReference"/>
          <w:rFonts w:ascii="Cambria Math" w:hAnsi="Cambria Math"/>
          <w:sz w:val="18"/>
          <w:szCs w:val="18"/>
        </w:rPr>
        <w:footnoteRef/>
      </w:r>
      <w:r w:rsidRPr="009A03AB">
        <w:rPr>
          <w:rFonts w:ascii="Cambria Math" w:hAnsi="Cambria Math"/>
          <w:sz w:val="18"/>
          <w:szCs w:val="18"/>
        </w:rPr>
        <w:t xml:space="preserve"> </w:t>
      </w:r>
      <w:proofErr w:type="spellStart"/>
      <w:r w:rsidRPr="009A03AB">
        <w:rPr>
          <w:rFonts w:ascii="Cambria Math" w:hAnsi="Cambria Math"/>
          <w:sz w:val="18"/>
          <w:szCs w:val="18"/>
        </w:rPr>
        <w:t>Clarida</w:t>
      </w:r>
      <w:proofErr w:type="spellEnd"/>
      <w:r w:rsidRPr="009A03AB">
        <w:rPr>
          <w:rFonts w:ascii="Cambria Math" w:hAnsi="Cambria Math"/>
          <w:sz w:val="18"/>
          <w:szCs w:val="18"/>
        </w:rPr>
        <w:t xml:space="preserve"> et all 2001</w:t>
      </w:r>
    </w:p>
  </w:footnote>
  <w:footnote w:id="349">
    <w:p w14:paraId="3E2123AE" w14:textId="77777777" w:rsidR="00556C10" w:rsidRPr="009A03AB" w:rsidRDefault="00556C10" w:rsidP="00556C10">
      <w:pPr>
        <w:pStyle w:val="FootnoteText"/>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hint="cs"/>
          <w:sz w:val="18"/>
          <w:szCs w:val="18"/>
          <w:rtl/>
        </w:rPr>
        <w:t xml:space="preserve"> </w:t>
      </w:r>
      <w:r w:rsidRPr="009A03AB">
        <w:rPr>
          <w:rFonts w:ascii="Cambria Math" w:hAnsi="Cambria Math" w:hint="cs"/>
          <w:sz w:val="18"/>
          <w:szCs w:val="18"/>
          <w:rtl/>
        </w:rPr>
        <w:t xml:space="preserve">برای مطالعه ی بیشتر در خصوص سیاست پولی در اقتصاد باز مراجعه شود به </w:t>
      </w:r>
      <w:proofErr w:type="spellStart"/>
      <w:r w:rsidRPr="009A03AB">
        <w:rPr>
          <w:rFonts w:ascii="Cambria Math" w:hAnsi="Cambria Math"/>
          <w:sz w:val="18"/>
          <w:szCs w:val="18"/>
        </w:rPr>
        <w:t>Clarida</w:t>
      </w:r>
      <w:proofErr w:type="spellEnd"/>
      <w:r w:rsidRPr="009A03AB">
        <w:rPr>
          <w:rFonts w:ascii="Cambria Math" w:hAnsi="Cambria Math"/>
          <w:sz w:val="18"/>
          <w:szCs w:val="18"/>
        </w:rPr>
        <w:t xml:space="preserve"> et al. 2001</w:t>
      </w:r>
    </w:p>
  </w:footnote>
  <w:footnote w:id="350">
    <w:p w14:paraId="186295F7" w14:textId="77777777" w:rsidR="00556C10" w:rsidRPr="009A03AB" w:rsidRDefault="00556C10" w:rsidP="00556C10">
      <w:pPr>
        <w:pStyle w:val="FootnoteText"/>
        <w:bidi w:val="0"/>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hint="cs"/>
          <w:sz w:val="18"/>
          <w:szCs w:val="18"/>
          <w:rtl/>
        </w:rPr>
        <w:t xml:space="preserve"> </w:t>
      </w:r>
      <w:r w:rsidRPr="009A03AB">
        <w:rPr>
          <w:rFonts w:ascii="Cambria Math" w:hAnsi="Cambria Math"/>
          <w:sz w:val="18"/>
          <w:szCs w:val="18"/>
        </w:rPr>
        <w:t>Ad hoc</w:t>
      </w:r>
    </w:p>
  </w:footnote>
  <w:footnote w:id="351">
    <w:p w14:paraId="191FF0B6" w14:textId="77777777" w:rsidR="00556C10" w:rsidRPr="009A03AB" w:rsidRDefault="00556C10" w:rsidP="00556C10">
      <w:pPr>
        <w:pStyle w:val="FootnoteText"/>
        <w:bidi w:val="0"/>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sz w:val="18"/>
          <w:szCs w:val="18"/>
        </w:rPr>
        <w:t xml:space="preserve"> </w:t>
      </w:r>
      <w:proofErr w:type="spellStart"/>
      <w:r w:rsidRPr="009A03AB">
        <w:rPr>
          <w:rFonts w:ascii="Cambria Math" w:hAnsi="Cambria Math"/>
          <w:sz w:val="18"/>
          <w:szCs w:val="18"/>
        </w:rPr>
        <w:t>Rotemberg</w:t>
      </w:r>
      <w:proofErr w:type="spellEnd"/>
      <w:r w:rsidRPr="009A03AB">
        <w:rPr>
          <w:rFonts w:ascii="Cambria Math" w:hAnsi="Cambria Math"/>
          <w:sz w:val="18"/>
          <w:szCs w:val="18"/>
        </w:rPr>
        <w:t xml:space="preserve"> and Woodford, 1998</w:t>
      </w:r>
    </w:p>
  </w:footnote>
  <w:footnote w:id="352">
    <w:p w14:paraId="796230A2" w14:textId="77777777" w:rsidR="00556C10" w:rsidRPr="009A03AB" w:rsidRDefault="00556C10" w:rsidP="00556C10">
      <w:pPr>
        <w:pStyle w:val="FootnoteText"/>
        <w:bidi w:val="0"/>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hint="cs"/>
          <w:sz w:val="18"/>
          <w:szCs w:val="18"/>
          <w:rtl/>
        </w:rPr>
        <w:t xml:space="preserve"> </w:t>
      </w:r>
      <w:r w:rsidRPr="009A03AB">
        <w:rPr>
          <w:rFonts w:ascii="Cambria Math" w:hAnsi="Cambria Math"/>
          <w:sz w:val="18"/>
          <w:szCs w:val="18"/>
        </w:rPr>
        <w:t>Woodford, 2003 Chapter 6.</w:t>
      </w:r>
    </w:p>
  </w:footnote>
  <w:footnote w:id="353">
    <w:p w14:paraId="46F0B1BC" w14:textId="77777777" w:rsidR="00556C10" w:rsidRPr="009A03AB" w:rsidRDefault="00556C10" w:rsidP="00556C10">
      <w:pPr>
        <w:pStyle w:val="FootnoteText"/>
        <w:bidi w:val="0"/>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hint="cs"/>
          <w:sz w:val="18"/>
          <w:szCs w:val="18"/>
          <w:rtl/>
        </w:rPr>
        <w:t xml:space="preserve"> </w:t>
      </w:r>
      <w:r w:rsidRPr="009A03AB">
        <w:rPr>
          <w:rFonts w:ascii="Cambria Math" w:hAnsi="Cambria Math"/>
          <w:sz w:val="18"/>
          <w:szCs w:val="18"/>
        </w:rPr>
        <w:t xml:space="preserve">Constant </w:t>
      </w:r>
      <w:proofErr w:type="spellStart"/>
      <w:r w:rsidRPr="009A03AB">
        <w:rPr>
          <w:rFonts w:ascii="Cambria Math" w:hAnsi="Cambria Math"/>
          <w:sz w:val="18"/>
          <w:szCs w:val="18"/>
        </w:rPr>
        <w:t>Elastisity</w:t>
      </w:r>
      <w:proofErr w:type="spellEnd"/>
      <w:r w:rsidRPr="009A03AB">
        <w:rPr>
          <w:rFonts w:ascii="Cambria Math" w:hAnsi="Cambria Math"/>
          <w:sz w:val="18"/>
          <w:szCs w:val="18"/>
        </w:rPr>
        <w:t xml:space="preserve"> of Substitution</w:t>
      </w:r>
    </w:p>
  </w:footnote>
  <w:footnote w:id="354">
    <w:p w14:paraId="1ADF4EF1" w14:textId="77777777" w:rsidR="00556C10" w:rsidRPr="009A03AB" w:rsidRDefault="00556C10" w:rsidP="00556C10">
      <w:pPr>
        <w:pStyle w:val="FootnoteText"/>
        <w:bidi w:val="0"/>
        <w:rPr>
          <w:rFonts w:ascii="Cambria Math" w:hAnsi="Cambria Math" w:cstheme="minorBidi"/>
          <w:sz w:val="18"/>
          <w:szCs w:val="18"/>
        </w:rPr>
      </w:pPr>
      <w:r w:rsidRPr="009A03AB">
        <w:rPr>
          <w:rStyle w:val="FootnoteReference"/>
          <w:rFonts w:ascii="Cambria Math" w:hAnsi="Cambria Math"/>
          <w:sz w:val="18"/>
          <w:szCs w:val="18"/>
        </w:rPr>
        <w:footnoteRef/>
      </w:r>
      <w:r w:rsidRPr="009A03AB">
        <w:rPr>
          <w:rFonts w:ascii="Cambria Math" w:hAnsi="Cambria Math"/>
          <w:sz w:val="18"/>
          <w:szCs w:val="18"/>
          <w:rtl/>
        </w:rPr>
        <w:t xml:space="preserve"> </w:t>
      </w:r>
      <w:r w:rsidRPr="009A03AB">
        <w:rPr>
          <w:rFonts w:ascii="Cambria Math" w:hAnsi="Cambria Math"/>
          <w:sz w:val="18"/>
          <w:szCs w:val="18"/>
        </w:rPr>
        <w:t>Barro and Gordon (1983)</w:t>
      </w:r>
    </w:p>
  </w:footnote>
  <w:footnote w:id="355">
    <w:p w14:paraId="03E43EA2" w14:textId="77777777" w:rsidR="00556C10" w:rsidRDefault="00556C10" w:rsidP="00556C10">
      <w:pPr>
        <w:tabs>
          <w:tab w:val="right" w:pos="0"/>
        </w:tabs>
        <w:jc w:val="left"/>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hint="cs"/>
          <w:sz w:val="18"/>
          <w:szCs w:val="18"/>
          <w:rtl/>
        </w:rPr>
        <w:t xml:space="preserve"> برای مطالعات بیشتر اجرای سیاست‌های پولی و دیگر سیاست مربوط به هدف‌‌گذاری تورم بهینه مراجعه شود به</w:t>
      </w:r>
    </w:p>
    <w:p w14:paraId="6643807A" w14:textId="77777777" w:rsidR="00556C10" w:rsidRPr="009A03AB" w:rsidRDefault="00556C10" w:rsidP="00556C10">
      <w:pPr>
        <w:tabs>
          <w:tab w:val="right" w:pos="1287"/>
        </w:tabs>
        <w:ind w:firstLine="54"/>
        <w:jc w:val="right"/>
        <w:rPr>
          <w:rFonts w:ascii="Cambria Math" w:hAnsi="Cambria Math"/>
          <w:sz w:val="18"/>
          <w:szCs w:val="18"/>
        </w:rPr>
      </w:pPr>
      <w:r w:rsidRPr="009A03AB">
        <w:rPr>
          <w:rFonts w:ascii="Cambria Math" w:hAnsi="Cambria Math" w:hint="cs"/>
          <w:sz w:val="18"/>
          <w:szCs w:val="18"/>
          <w:rtl/>
        </w:rPr>
        <w:t xml:space="preserve"> </w:t>
      </w:r>
      <w:proofErr w:type="spellStart"/>
      <w:r w:rsidRPr="009A03AB">
        <w:rPr>
          <w:rFonts w:ascii="Cambria Math" w:hAnsi="Cambria Math"/>
          <w:sz w:val="18"/>
          <w:szCs w:val="18"/>
        </w:rPr>
        <w:t>Clarida</w:t>
      </w:r>
      <w:proofErr w:type="spellEnd"/>
      <w:r w:rsidRPr="009A03AB">
        <w:rPr>
          <w:rFonts w:ascii="Cambria Math" w:hAnsi="Cambria Math"/>
          <w:sz w:val="18"/>
          <w:szCs w:val="18"/>
        </w:rPr>
        <w:t xml:space="preserve"> et al. 1999, 2000, 2001. </w:t>
      </w:r>
      <w:proofErr w:type="spellStart"/>
      <w:r w:rsidRPr="009A03AB">
        <w:rPr>
          <w:rFonts w:ascii="Cambria Math" w:hAnsi="Cambria Math"/>
          <w:sz w:val="18"/>
          <w:szCs w:val="18"/>
        </w:rPr>
        <w:t>Gali</w:t>
      </w:r>
      <w:proofErr w:type="spellEnd"/>
      <w:r w:rsidRPr="009A03AB">
        <w:rPr>
          <w:rFonts w:ascii="Cambria Math" w:hAnsi="Cambria Math"/>
          <w:sz w:val="18"/>
          <w:szCs w:val="18"/>
        </w:rPr>
        <w:t xml:space="preserve"> et al, 2004b. </w:t>
      </w:r>
      <w:proofErr w:type="spellStart"/>
      <w:r w:rsidRPr="009A03AB">
        <w:rPr>
          <w:rFonts w:ascii="Cambria Math" w:hAnsi="Cambria Math"/>
          <w:sz w:val="18"/>
          <w:szCs w:val="18"/>
        </w:rPr>
        <w:t>Gali</w:t>
      </w:r>
      <w:proofErr w:type="spellEnd"/>
      <w:r w:rsidRPr="009A03AB">
        <w:rPr>
          <w:rFonts w:ascii="Cambria Math" w:hAnsi="Cambria Math"/>
          <w:sz w:val="18"/>
          <w:szCs w:val="18"/>
        </w:rPr>
        <w:t xml:space="preserve">, 2008. </w:t>
      </w:r>
      <w:proofErr w:type="spellStart"/>
      <w:r w:rsidRPr="009A03AB">
        <w:rPr>
          <w:rFonts w:ascii="Cambria Math" w:hAnsi="Cambria Math"/>
          <w:sz w:val="18"/>
          <w:szCs w:val="18"/>
        </w:rPr>
        <w:t>Giannoni</w:t>
      </w:r>
      <w:proofErr w:type="spellEnd"/>
      <w:r w:rsidRPr="009A03AB">
        <w:rPr>
          <w:rFonts w:ascii="Cambria Math" w:hAnsi="Cambria Math"/>
          <w:sz w:val="18"/>
          <w:szCs w:val="18"/>
        </w:rPr>
        <w:t xml:space="preserve"> and Woodford, 2005. Leeper et al 1996. Leeper and </w:t>
      </w:r>
      <w:proofErr w:type="spellStart"/>
      <w:r w:rsidRPr="009A03AB">
        <w:rPr>
          <w:rFonts w:ascii="Cambria Math" w:hAnsi="Cambria Math"/>
          <w:sz w:val="18"/>
          <w:szCs w:val="18"/>
        </w:rPr>
        <w:t>Zha</w:t>
      </w:r>
      <w:proofErr w:type="spellEnd"/>
      <w:r w:rsidRPr="009A03AB">
        <w:rPr>
          <w:rFonts w:ascii="Cambria Math" w:hAnsi="Cambria Math"/>
          <w:sz w:val="18"/>
          <w:szCs w:val="18"/>
        </w:rPr>
        <w:t xml:space="preserve">, 2001. McCallum and Nelson, 1999. </w:t>
      </w:r>
      <w:proofErr w:type="spellStart"/>
      <w:r w:rsidRPr="009A03AB">
        <w:rPr>
          <w:rFonts w:ascii="Cambria Math" w:hAnsi="Cambria Math"/>
          <w:sz w:val="18"/>
          <w:szCs w:val="18"/>
        </w:rPr>
        <w:t>Svensson</w:t>
      </w:r>
      <w:proofErr w:type="spellEnd"/>
      <w:r w:rsidRPr="009A03AB">
        <w:rPr>
          <w:rFonts w:ascii="Cambria Math" w:hAnsi="Cambria Math"/>
          <w:sz w:val="18"/>
          <w:szCs w:val="18"/>
        </w:rPr>
        <w:t xml:space="preserve"> and Woodford, 2003, 2004. Walsh, 2003. And Woodford, 2003.</w:t>
      </w:r>
    </w:p>
    <w:p w14:paraId="46A4A7EE" w14:textId="77777777" w:rsidR="00556C10" w:rsidRPr="009A03AB" w:rsidRDefault="00556C10" w:rsidP="00556C10">
      <w:pPr>
        <w:pStyle w:val="FootnoteText"/>
        <w:rPr>
          <w:rFonts w:ascii="Cambria Math" w:hAnsi="Cambria Math"/>
          <w:sz w:val="18"/>
          <w:szCs w:val="18"/>
        </w:rPr>
      </w:pPr>
    </w:p>
  </w:footnote>
  <w:footnote w:id="356">
    <w:p w14:paraId="35CB269C" w14:textId="77777777" w:rsidR="00556C10" w:rsidRPr="009A03AB" w:rsidRDefault="00556C10" w:rsidP="00556C10">
      <w:pPr>
        <w:pStyle w:val="FootnoteText"/>
        <w:rPr>
          <w:rFonts w:ascii="Cambria Math" w:hAnsi="Cambria Math"/>
          <w:sz w:val="18"/>
          <w:szCs w:val="18"/>
        </w:rPr>
      </w:pPr>
      <w:r w:rsidRPr="009A03AB">
        <w:rPr>
          <w:rStyle w:val="FootnoteReference"/>
          <w:rFonts w:ascii="Cambria Math" w:hAnsi="Cambria Math"/>
          <w:sz w:val="18"/>
          <w:szCs w:val="18"/>
        </w:rPr>
        <w:footnoteRef/>
      </w:r>
      <w:r w:rsidRPr="009A03AB">
        <w:rPr>
          <w:rFonts w:ascii="Cambria Math" w:hAnsi="Cambria Math" w:hint="cs"/>
          <w:sz w:val="18"/>
          <w:szCs w:val="18"/>
          <w:rtl/>
        </w:rPr>
        <w:t xml:space="preserve"> </w:t>
      </w:r>
      <w:r w:rsidRPr="009A03AB">
        <w:rPr>
          <w:rFonts w:ascii="Cambria Math" w:hAnsi="Cambria Math" w:hint="cs"/>
          <w:sz w:val="18"/>
          <w:szCs w:val="18"/>
          <w:rtl/>
        </w:rPr>
        <w:t xml:space="preserve">برای مطالعه ی بیشتر به </w:t>
      </w:r>
      <w:proofErr w:type="spellStart"/>
      <w:r w:rsidRPr="009A03AB">
        <w:rPr>
          <w:rFonts w:ascii="Cambria Math" w:hAnsi="Cambria Math"/>
          <w:sz w:val="18"/>
          <w:szCs w:val="18"/>
        </w:rPr>
        <w:t>Kirsanova</w:t>
      </w:r>
      <w:proofErr w:type="spellEnd"/>
      <w:r w:rsidRPr="009A03AB">
        <w:rPr>
          <w:rFonts w:ascii="Cambria Math" w:hAnsi="Cambria Math"/>
          <w:sz w:val="18"/>
          <w:szCs w:val="18"/>
        </w:rPr>
        <w:t xml:space="preserve"> et al. (2009) Woodford (2010), </w:t>
      </w:r>
      <w:r w:rsidRPr="009A03AB">
        <w:rPr>
          <w:rFonts w:ascii="Cambria Math" w:hAnsi="Cambria Math" w:hint="cs"/>
          <w:sz w:val="18"/>
          <w:szCs w:val="18"/>
          <w:rtl/>
        </w:rPr>
        <w:t xml:space="preserve">و </w:t>
      </w:r>
      <w:r w:rsidRPr="009A03AB">
        <w:rPr>
          <w:rFonts w:ascii="Cambria Math" w:hAnsi="Cambria Math"/>
          <w:sz w:val="18"/>
          <w:szCs w:val="18"/>
        </w:rPr>
        <w:t>Hall (2009)</w:t>
      </w:r>
      <w:r w:rsidRPr="009A03AB">
        <w:rPr>
          <w:rFonts w:ascii="Cambria Math" w:hAnsi="Cambria Math" w:hint="cs"/>
          <w:sz w:val="18"/>
          <w:szCs w:val="18"/>
          <w:rtl/>
        </w:rPr>
        <w:t xml:space="preserve"> مراجعه شود.</w:t>
      </w:r>
    </w:p>
  </w:footnote>
  <w:footnote w:id="357">
    <w:p w14:paraId="0B4EBEBA" w14:textId="77777777" w:rsidR="00556C10" w:rsidRPr="0043582E" w:rsidRDefault="00556C10" w:rsidP="00556C10">
      <w:pPr>
        <w:pStyle w:val="FootnoteText"/>
        <w:bidi w:val="0"/>
        <w:rPr>
          <w:rFonts w:ascii="Cambria Math" w:eastAsiaTheme="minorHAnsi" w:hAnsi="Cambria Math"/>
          <w:sz w:val="18"/>
          <w:szCs w:val="18"/>
          <w:rtl/>
        </w:rPr>
      </w:pPr>
      <w:r w:rsidRPr="0043582E">
        <w:rPr>
          <w:rStyle w:val="FootnoteReference"/>
          <w:rFonts w:ascii="Cambria Math" w:hAnsi="Cambria Math"/>
          <w:sz w:val="18"/>
          <w:szCs w:val="18"/>
        </w:rPr>
        <w:footnoteRef/>
      </w:r>
      <w:r w:rsidRPr="0043582E">
        <w:rPr>
          <w:rFonts w:ascii="Cambria Math" w:hAnsi="Cambria Math"/>
          <w:sz w:val="18"/>
          <w:szCs w:val="18"/>
        </w:rPr>
        <w:t xml:space="preserve"> Mortgage-backed security</w:t>
      </w:r>
    </w:p>
  </w:footnote>
  <w:footnote w:id="358">
    <w:p w14:paraId="66F79346" w14:textId="77777777" w:rsidR="00556C10" w:rsidRPr="0043582E" w:rsidRDefault="00556C10" w:rsidP="00556C10">
      <w:pPr>
        <w:pStyle w:val="FootnoteText"/>
        <w:rPr>
          <w:rFonts w:ascii="Cambria Math" w:hAnsi="Cambria Math"/>
          <w:sz w:val="18"/>
          <w:szCs w:val="18"/>
        </w:rPr>
      </w:pPr>
      <w:r w:rsidRPr="0043582E">
        <w:rPr>
          <w:rStyle w:val="FootnoteReference"/>
          <w:rFonts w:ascii="Cambria Math" w:hAnsi="Cambria Math"/>
          <w:sz w:val="18"/>
          <w:szCs w:val="18"/>
        </w:rPr>
        <w:footnoteRef/>
      </w:r>
      <w:r w:rsidRPr="0043582E">
        <w:rPr>
          <w:rFonts w:ascii="Cambria Math" w:hAnsi="Cambria Math"/>
          <w:sz w:val="18"/>
          <w:szCs w:val="18"/>
        </w:rPr>
        <w:t xml:space="preserve"> </w:t>
      </w:r>
      <w:r w:rsidRPr="0043582E">
        <w:rPr>
          <w:rFonts w:ascii="Cambria Math" w:hAnsi="Cambria Math" w:hint="cs"/>
          <w:sz w:val="18"/>
          <w:szCs w:val="18"/>
          <w:rtl/>
        </w:rPr>
        <w:t>برای مروری بر شکل</w:t>
      </w:r>
      <w:r w:rsidRPr="0043582E">
        <w:rPr>
          <w:rFonts w:ascii="Cambria Math" w:hAnsi="Cambria Math"/>
          <w:sz w:val="18"/>
          <w:szCs w:val="18"/>
        </w:rPr>
        <w:t>‌</w:t>
      </w:r>
      <w:r w:rsidRPr="0043582E">
        <w:rPr>
          <w:rFonts w:ascii="Cambria Math" w:hAnsi="Cambria Math" w:hint="cs"/>
          <w:sz w:val="18"/>
          <w:szCs w:val="18"/>
          <w:rtl/>
        </w:rPr>
        <w:t xml:space="preserve">گیری انتظارات از طریقه یادگیری نگاه کنید به </w:t>
      </w:r>
      <w:r w:rsidRPr="0043582E">
        <w:rPr>
          <w:rFonts w:ascii="Cambria Math" w:hAnsi="Cambria Math"/>
          <w:sz w:val="18"/>
          <w:szCs w:val="18"/>
        </w:rPr>
        <w:t xml:space="preserve">Evans and </w:t>
      </w:r>
      <w:proofErr w:type="spellStart"/>
      <w:r w:rsidRPr="0043582E">
        <w:rPr>
          <w:rFonts w:ascii="Cambria Math" w:hAnsi="Cambria Math"/>
          <w:sz w:val="18"/>
          <w:szCs w:val="18"/>
        </w:rPr>
        <w:t>Honkapohja</w:t>
      </w:r>
      <w:proofErr w:type="spellEnd"/>
      <w:r w:rsidRPr="0043582E">
        <w:rPr>
          <w:rFonts w:ascii="Cambria Math" w:hAnsi="Cambria Math"/>
          <w:sz w:val="18"/>
          <w:szCs w:val="18"/>
        </w:rPr>
        <w:t xml:space="preserve"> (2001)</w:t>
      </w:r>
    </w:p>
  </w:footnote>
  <w:footnote w:id="359">
    <w:p w14:paraId="42D9DCFD" w14:textId="77777777" w:rsidR="00556C10" w:rsidRPr="0043582E" w:rsidRDefault="00556C10" w:rsidP="00556C10">
      <w:pPr>
        <w:pStyle w:val="FootnoteText"/>
        <w:bidi w:val="0"/>
        <w:rPr>
          <w:rFonts w:ascii="Cambria Math" w:hAnsi="Cambria Math"/>
          <w:sz w:val="18"/>
          <w:szCs w:val="18"/>
        </w:rPr>
      </w:pPr>
      <w:r w:rsidRPr="0043582E">
        <w:rPr>
          <w:rStyle w:val="FootnoteReference"/>
          <w:rFonts w:ascii="Cambria Math" w:hAnsi="Cambria Math"/>
          <w:sz w:val="18"/>
          <w:szCs w:val="18"/>
        </w:rPr>
        <w:footnoteRef/>
      </w:r>
      <w:r w:rsidRPr="0043582E">
        <w:rPr>
          <w:rFonts w:ascii="Cambria Math" w:hAnsi="Cambria Math"/>
          <w:sz w:val="18"/>
          <w:szCs w:val="18"/>
        </w:rPr>
        <w:t xml:space="preserve"> Stiglitz and Weiss (1981)</w:t>
      </w:r>
    </w:p>
  </w:footnote>
  <w:footnote w:id="360">
    <w:p w14:paraId="3AFFB9B7" w14:textId="77777777" w:rsidR="00556C10" w:rsidRPr="0043582E" w:rsidRDefault="00556C10" w:rsidP="00556C10">
      <w:pPr>
        <w:pStyle w:val="FootnoteText"/>
        <w:bidi w:val="0"/>
        <w:rPr>
          <w:rFonts w:ascii="Cambria Math" w:hAnsi="Cambria Math"/>
          <w:sz w:val="18"/>
          <w:szCs w:val="18"/>
          <w:lang w:bidi="ar-SA"/>
        </w:rPr>
      </w:pPr>
      <w:r w:rsidRPr="0043582E">
        <w:rPr>
          <w:rStyle w:val="FootnoteReference"/>
          <w:rFonts w:ascii="Cambria Math" w:hAnsi="Cambria Math"/>
          <w:sz w:val="18"/>
          <w:szCs w:val="18"/>
        </w:rPr>
        <w:footnoteRef/>
      </w:r>
      <w:r w:rsidRPr="0043582E">
        <w:rPr>
          <w:rFonts w:ascii="Cambria Math" w:hAnsi="Cambria Math"/>
          <w:sz w:val="18"/>
          <w:szCs w:val="18"/>
        </w:rPr>
        <w:t xml:space="preserve"> Walsh (2003)</w:t>
      </w:r>
    </w:p>
  </w:footnote>
  <w:footnote w:id="361">
    <w:p w14:paraId="7F847938" w14:textId="77777777" w:rsidR="00556C10" w:rsidRPr="0043582E" w:rsidRDefault="00556C10" w:rsidP="00556C10">
      <w:pPr>
        <w:pStyle w:val="FootnoteText"/>
        <w:rPr>
          <w:rFonts w:ascii="Cambria Math" w:hAnsi="Cambria Math"/>
          <w:sz w:val="18"/>
          <w:szCs w:val="18"/>
        </w:rPr>
      </w:pPr>
      <w:r w:rsidRPr="0043582E">
        <w:rPr>
          <w:rStyle w:val="FootnoteReference"/>
          <w:rFonts w:ascii="Cambria Math" w:hAnsi="Cambria Math"/>
          <w:sz w:val="18"/>
          <w:szCs w:val="18"/>
        </w:rPr>
        <w:footnoteRef/>
      </w:r>
      <w:r w:rsidRPr="0043582E">
        <w:rPr>
          <w:rFonts w:ascii="Cambria Math" w:hAnsi="Cambria Math"/>
          <w:sz w:val="18"/>
          <w:szCs w:val="18"/>
        </w:rPr>
        <w:t xml:space="preserve"> </w:t>
      </w:r>
      <w:r w:rsidRPr="0043582E">
        <w:rPr>
          <w:rFonts w:ascii="Cambria Math" w:hAnsi="Cambria Math" w:hint="cs"/>
          <w:sz w:val="18"/>
          <w:szCs w:val="18"/>
          <w:rtl/>
        </w:rPr>
        <w:t xml:space="preserve">نگاه کنید به </w:t>
      </w:r>
      <w:r w:rsidRPr="0043582E">
        <w:rPr>
          <w:rFonts w:ascii="Cambria Math" w:hAnsi="Cambria Math"/>
          <w:sz w:val="18"/>
          <w:szCs w:val="18"/>
        </w:rPr>
        <w:t>Williamson (1987)</w:t>
      </w:r>
      <w:r w:rsidRPr="0043582E">
        <w:rPr>
          <w:rFonts w:ascii="Cambria Math" w:hAnsi="Cambria Math" w:hint="cs"/>
          <w:sz w:val="18"/>
          <w:szCs w:val="18"/>
          <w:rtl/>
        </w:rPr>
        <w:t xml:space="preserve"> و </w:t>
      </w:r>
      <w:r w:rsidRPr="0043582E">
        <w:rPr>
          <w:rFonts w:ascii="Cambria Math" w:hAnsi="Cambria Math"/>
          <w:sz w:val="18"/>
          <w:szCs w:val="18"/>
        </w:rPr>
        <w:t>Walsh(2003)</w:t>
      </w:r>
      <w:r w:rsidRPr="0043582E">
        <w:rPr>
          <w:rFonts w:ascii="Cambria Math" w:hAnsi="Cambria Math" w:hint="cs"/>
          <w:sz w:val="18"/>
          <w:szCs w:val="18"/>
          <w:rtl/>
        </w:rPr>
        <w:t xml:space="preserve">. </w:t>
      </w:r>
    </w:p>
  </w:footnote>
  <w:footnote w:id="362">
    <w:p w14:paraId="182B4E16" w14:textId="77777777" w:rsidR="00556C10" w:rsidRPr="0043582E" w:rsidRDefault="00556C10" w:rsidP="00556C10">
      <w:pPr>
        <w:pStyle w:val="FootnoteText"/>
        <w:bidi w:val="0"/>
        <w:rPr>
          <w:rFonts w:ascii="Cambria Math" w:hAnsi="Cambria Math"/>
          <w:sz w:val="18"/>
          <w:szCs w:val="18"/>
        </w:rPr>
      </w:pPr>
      <w:r w:rsidRPr="0043582E">
        <w:rPr>
          <w:rStyle w:val="FootnoteReference"/>
          <w:rFonts w:ascii="Cambria Math" w:hAnsi="Cambria Math"/>
          <w:sz w:val="18"/>
          <w:szCs w:val="18"/>
        </w:rPr>
        <w:footnoteRef/>
      </w:r>
      <w:r w:rsidRPr="0043582E">
        <w:rPr>
          <w:rFonts w:ascii="Cambria Math" w:hAnsi="Cambria Math"/>
          <w:sz w:val="18"/>
          <w:szCs w:val="18"/>
        </w:rPr>
        <w:t xml:space="preserve"> Bernanke and </w:t>
      </w:r>
      <w:proofErr w:type="gramStart"/>
      <w:r w:rsidRPr="0043582E">
        <w:rPr>
          <w:rFonts w:ascii="Cambria Math" w:hAnsi="Cambria Math"/>
          <w:sz w:val="18"/>
          <w:szCs w:val="18"/>
        </w:rPr>
        <w:t>Gertler(</w:t>
      </w:r>
      <w:proofErr w:type="gramEnd"/>
      <w:r w:rsidRPr="0043582E">
        <w:rPr>
          <w:rFonts w:ascii="Cambria Math" w:hAnsi="Cambria Math"/>
          <w:sz w:val="18"/>
          <w:szCs w:val="18"/>
        </w:rPr>
        <w:t>1989)</w:t>
      </w:r>
    </w:p>
  </w:footnote>
  <w:footnote w:id="363">
    <w:p w14:paraId="505F5578" w14:textId="77777777" w:rsidR="00556C10" w:rsidRPr="0043582E" w:rsidRDefault="00556C10" w:rsidP="00556C10">
      <w:pPr>
        <w:pStyle w:val="FootnoteText"/>
        <w:bidi w:val="0"/>
        <w:rPr>
          <w:rFonts w:ascii="Cambria Math" w:hAnsi="Cambria Math"/>
          <w:sz w:val="18"/>
          <w:szCs w:val="18"/>
          <w:rtl/>
        </w:rPr>
      </w:pPr>
      <w:r w:rsidRPr="0043582E">
        <w:rPr>
          <w:rStyle w:val="FootnoteReference"/>
          <w:rFonts w:ascii="Cambria Math" w:hAnsi="Cambria Math"/>
          <w:sz w:val="18"/>
          <w:szCs w:val="18"/>
        </w:rPr>
        <w:footnoteRef/>
      </w:r>
      <w:r w:rsidRPr="0043582E">
        <w:rPr>
          <w:rFonts w:ascii="Cambria Math" w:hAnsi="Cambria Math"/>
          <w:sz w:val="18"/>
          <w:szCs w:val="18"/>
        </w:rPr>
        <w:t xml:space="preserve"> </w:t>
      </w:r>
      <w:proofErr w:type="spellStart"/>
      <w:r w:rsidRPr="0043582E">
        <w:rPr>
          <w:rFonts w:ascii="Cambria Math" w:hAnsi="Cambria Math"/>
          <w:sz w:val="18"/>
          <w:szCs w:val="18"/>
        </w:rPr>
        <w:t>Kiyotaki</w:t>
      </w:r>
      <w:proofErr w:type="spellEnd"/>
      <w:r w:rsidRPr="0043582E">
        <w:rPr>
          <w:rFonts w:ascii="Cambria Math" w:hAnsi="Cambria Math"/>
          <w:sz w:val="18"/>
          <w:szCs w:val="18"/>
        </w:rPr>
        <w:t xml:space="preserve"> and Moore (1997)</w:t>
      </w:r>
    </w:p>
  </w:footnote>
  <w:footnote w:id="364">
    <w:p w14:paraId="745EAE43" w14:textId="77777777" w:rsidR="00556C10" w:rsidRPr="0043582E" w:rsidRDefault="00556C10" w:rsidP="00556C10">
      <w:pPr>
        <w:pStyle w:val="FootnoteText"/>
        <w:bidi w:val="0"/>
        <w:rPr>
          <w:rFonts w:asciiTheme="minorHAnsi" w:hAnsiTheme="minorHAnsi" w:cstheme="minorBidi"/>
          <w:sz w:val="18"/>
          <w:szCs w:val="18"/>
        </w:rPr>
      </w:pPr>
      <w:r w:rsidRPr="0043582E">
        <w:rPr>
          <w:rStyle w:val="FootnoteReference"/>
          <w:sz w:val="18"/>
          <w:szCs w:val="18"/>
        </w:rPr>
        <w:footnoteRef/>
      </w:r>
      <w:r w:rsidRPr="0043582E">
        <w:rPr>
          <w:sz w:val="18"/>
          <w:szCs w:val="18"/>
          <w:rtl/>
        </w:rPr>
        <w:t xml:space="preserve"> </w:t>
      </w:r>
      <w:r w:rsidRPr="0043582E">
        <w:rPr>
          <w:sz w:val="18"/>
          <w:szCs w:val="18"/>
        </w:rPr>
        <w:t>underlying</w:t>
      </w:r>
    </w:p>
  </w:footnote>
  <w:footnote w:id="365">
    <w:p w14:paraId="6F504017" w14:textId="77777777" w:rsidR="00556C10" w:rsidRPr="0043582E" w:rsidRDefault="00556C10" w:rsidP="00556C10">
      <w:pPr>
        <w:pStyle w:val="FootnoteText"/>
        <w:bidi w:val="0"/>
        <w:rPr>
          <w:rFonts w:ascii="Cambria Math" w:hAnsi="Cambria Math"/>
          <w:sz w:val="18"/>
          <w:szCs w:val="18"/>
        </w:rPr>
      </w:pPr>
      <w:r w:rsidRPr="0043582E">
        <w:rPr>
          <w:rStyle w:val="FootnoteReference"/>
          <w:rFonts w:ascii="Cambria Math" w:hAnsi="Cambria Math"/>
          <w:sz w:val="18"/>
          <w:szCs w:val="18"/>
        </w:rPr>
        <w:footnoteRef/>
      </w:r>
      <w:r w:rsidRPr="0043582E">
        <w:rPr>
          <w:rFonts w:ascii="Cambria Math" w:hAnsi="Cambria Math"/>
          <w:sz w:val="18"/>
          <w:szCs w:val="18"/>
        </w:rPr>
        <w:t xml:space="preserve"> Reinhart and Rogoff (2008)</w:t>
      </w:r>
    </w:p>
  </w:footnote>
  <w:footnote w:id="366">
    <w:p w14:paraId="74B7A704" w14:textId="77777777" w:rsidR="00556C10" w:rsidRPr="0043582E" w:rsidRDefault="00556C10" w:rsidP="00556C10">
      <w:pPr>
        <w:pStyle w:val="FootnoteText"/>
        <w:bidi w:val="0"/>
        <w:rPr>
          <w:rFonts w:ascii="Cambria Math" w:hAnsi="Cambria Math"/>
          <w:sz w:val="18"/>
          <w:szCs w:val="18"/>
        </w:rPr>
      </w:pPr>
      <w:r w:rsidRPr="0043582E">
        <w:rPr>
          <w:rStyle w:val="FootnoteReference"/>
          <w:rFonts w:ascii="Cambria Math" w:hAnsi="Cambria Math"/>
          <w:sz w:val="18"/>
          <w:szCs w:val="18"/>
        </w:rPr>
        <w:footnoteRef/>
      </w:r>
      <w:r w:rsidRPr="0043582E">
        <w:rPr>
          <w:rFonts w:ascii="Cambria Math" w:hAnsi="Cambria Math"/>
          <w:sz w:val="18"/>
          <w:szCs w:val="18"/>
        </w:rPr>
        <w:t xml:space="preserve"> Diamond and </w:t>
      </w:r>
      <w:proofErr w:type="spellStart"/>
      <w:proofErr w:type="gramStart"/>
      <w:r w:rsidRPr="0043582E">
        <w:rPr>
          <w:rFonts w:ascii="Cambria Math" w:hAnsi="Cambria Math"/>
          <w:sz w:val="18"/>
          <w:szCs w:val="18"/>
        </w:rPr>
        <w:t>Dybvig</w:t>
      </w:r>
      <w:proofErr w:type="spellEnd"/>
      <w:r w:rsidRPr="0043582E">
        <w:rPr>
          <w:rFonts w:ascii="Cambria Math" w:hAnsi="Cambria Math"/>
          <w:sz w:val="18"/>
          <w:szCs w:val="18"/>
        </w:rPr>
        <w:t>(</w:t>
      </w:r>
      <w:proofErr w:type="gramEnd"/>
      <w:r w:rsidRPr="0043582E">
        <w:rPr>
          <w:rFonts w:ascii="Cambria Math" w:hAnsi="Cambria Math"/>
          <w:sz w:val="18"/>
          <w:szCs w:val="18"/>
        </w:rPr>
        <w:t>1983)</w:t>
      </w:r>
    </w:p>
  </w:footnote>
  <w:footnote w:id="367">
    <w:p w14:paraId="448F3D9D" w14:textId="77777777" w:rsidR="00556C10" w:rsidRPr="0043582E" w:rsidRDefault="00556C10" w:rsidP="00556C10">
      <w:pPr>
        <w:pStyle w:val="FootnoteText"/>
        <w:bidi w:val="0"/>
        <w:rPr>
          <w:rFonts w:ascii="Cambria Math" w:hAnsi="Cambria Math"/>
          <w:sz w:val="18"/>
          <w:szCs w:val="18"/>
        </w:rPr>
      </w:pPr>
      <w:r w:rsidRPr="0043582E">
        <w:rPr>
          <w:rStyle w:val="FootnoteReference"/>
          <w:rFonts w:ascii="Cambria Math" w:hAnsi="Cambria Math"/>
          <w:sz w:val="18"/>
          <w:szCs w:val="18"/>
        </w:rPr>
        <w:footnoteRef/>
      </w:r>
      <w:r w:rsidRPr="0043582E">
        <w:rPr>
          <w:rFonts w:ascii="Cambria Math" w:hAnsi="Cambria Math"/>
          <w:sz w:val="18"/>
          <w:szCs w:val="18"/>
        </w:rPr>
        <w:t xml:space="preserve"> Allen et al. (2008)</w:t>
      </w:r>
    </w:p>
  </w:footnote>
  <w:footnote w:id="368">
    <w:p w14:paraId="463B7EEF" w14:textId="77777777" w:rsidR="00556C10" w:rsidRPr="0043582E" w:rsidRDefault="00556C10" w:rsidP="00556C10">
      <w:pPr>
        <w:pStyle w:val="FootnoteText"/>
        <w:rPr>
          <w:rFonts w:ascii="Cambria Math" w:hAnsi="Cambria Math"/>
          <w:sz w:val="18"/>
          <w:szCs w:val="18"/>
        </w:rPr>
      </w:pPr>
      <w:r w:rsidRPr="0043582E">
        <w:rPr>
          <w:rStyle w:val="FootnoteReference"/>
          <w:rFonts w:ascii="Cambria Math" w:hAnsi="Cambria Math"/>
          <w:sz w:val="18"/>
          <w:szCs w:val="18"/>
        </w:rPr>
        <w:footnoteRef/>
      </w:r>
      <w:r w:rsidRPr="0043582E">
        <w:rPr>
          <w:rFonts w:ascii="Cambria Math" w:hAnsi="Cambria Math"/>
          <w:sz w:val="18"/>
          <w:szCs w:val="18"/>
        </w:rPr>
        <w:t xml:space="preserve"> </w:t>
      </w:r>
      <w:r w:rsidRPr="0043582E">
        <w:rPr>
          <w:rFonts w:ascii="Cambria Math" w:hAnsi="Cambria Math" w:hint="cs"/>
          <w:sz w:val="18"/>
          <w:szCs w:val="18"/>
          <w:rtl/>
        </w:rPr>
        <w:t xml:space="preserve">برای توضیح بیشتر موضوعات نگاه کنید به </w:t>
      </w:r>
      <w:r w:rsidRPr="0043582E">
        <w:rPr>
          <w:rFonts w:ascii="Cambria Math" w:hAnsi="Cambria Math"/>
          <w:sz w:val="18"/>
          <w:szCs w:val="18"/>
        </w:rPr>
        <w:t>Allen and Gale(2007)</w:t>
      </w:r>
      <w:r w:rsidRPr="0043582E">
        <w:rPr>
          <w:rFonts w:ascii="Cambria Math" w:hAnsi="Cambria Math" w:hint="cs"/>
          <w:sz w:val="18"/>
          <w:szCs w:val="18"/>
          <w:rtl/>
        </w:rPr>
        <w:t xml:space="preserve"> و همچنین </w:t>
      </w:r>
      <w:r w:rsidRPr="0043582E">
        <w:rPr>
          <w:rFonts w:ascii="Cambria Math" w:hAnsi="Cambria Math"/>
          <w:sz w:val="18"/>
          <w:szCs w:val="18"/>
        </w:rPr>
        <w:t>Miller et al. (2010)</w:t>
      </w:r>
    </w:p>
  </w:footnote>
  <w:footnote w:id="369">
    <w:p w14:paraId="73817AED" w14:textId="77777777" w:rsidR="00556C10" w:rsidRPr="0043582E" w:rsidRDefault="00556C10" w:rsidP="00556C10">
      <w:pPr>
        <w:pStyle w:val="FootnoteText"/>
        <w:bidi w:val="0"/>
        <w:rPr>
          <w:rFonts w:ascii="Cambria Math" w:hAnsi="Cambria Math"/>
          <w:sz w:val="18"/>
          <w:szCs w:val="18"/>
        </w:rPr>
      </w:pPr>
      <w:r w:rsidRPr="0043582E">
        <w:rPr>
          <w:rStyle w:val="FootnoteReference"/>
          <w:rFonts w:ascii="Cambria Math" w:hAnsi="Cambria Math"/>
          <w:sz w:val="18"/>
          <w:szCs w:val="18"/>
        </w:rPr>
        <w:footnoteRef/>
      </w:r>
      <w:r w:rsidRPr="0043582E">
        <w:rPr>
          <w:rFonts w:ascii="Cambria Math" w:hAnsi="Cambria Math"/>
          <w:sz w:val="18"/>
          <w:szCs w:val="18"/>
        </w:rPr>
        <w:t xml:space="preserve"> </w:t>
      </w:r>
      <w:proofErr w:type="spellStart"/>
      <w:r w:rsidRPr="0043582E">
        <w:rPr>
          <w:rFonts w:ascii="Cambria Math" w:hAnsi="Cambria Math"/>
          <w:sz w:val="18"/>
          <w:szCs w:val="18"/>
        </w:rPr>
        <w:t>Karaken</w:t>
      </w:r>
      <w:proofErr w:type="spellEnd"/>
      <w:r w:rsidRPr="0043582E">
        <w:rPr>
          <w:rFonts w:ascii="Cambria Math" w:hAnsi="Cambria Math"/>
          <w:sz w:val="18"/>
          <w:szCs w:val="18"/>
        </w:rPr>
        <w:t xml:space="preserve"> and </w:t>
      </w:r>
      <w:proofErr w:type="gramStart"/>
      <w:r w:rsidRPr="0043582E">
        <w:rPr>
          <w:rFonts w:ascii="Cambria Math" w:hAnsi="Cambria Math"/>
          <w:sz w:val="18"/>
          <w:szCs w:val="18"/>
        </w:rPr>
        <w:t>Wallace(</w:t>
      </w:r>
      <w:proofErr w:type="gramEnd"/>
      <w:r w:rsidRPr="0043582E">
        <w:rPr>
          <w:rFonts w:ascii="Cambria Math" w:hAnsi="Cambria Math"/>
          <w:sz w:val="18"/>
          <w:szCs w:val="18"/>
        </w:rPr>
        <w:t>1978)</w:t>
      </w:r>
    </w:p>
  </w:footnote>
  <w:footnote w:id="370">
    <w:p w14:paraId="4955C9B6" w14:textId="77777777" w:rsidR="00556C10" w:rsidRPr="0043582E" w:rsidRDefault="00556C10" w:rsidP="00556C10">
      <w:pPr>
        <w:pStyle w:val="FootnoteText"/>
        <w:bidi w:val="0"/>
        <w:rPr>
          <w:rFonts w:ascii="Cambria Math" w:hAnsi="Cambria Math"/>
          <w:sz w:val="18"/>
          <w:szCs w:val="18"/>
        </w:rPr>
      </w:pPr>
      <w:r w:rsidRPr="0043582E">
        <w:rPr>
          <w:rStyle w:val="FootnoteReference"/>
          <w:rFonts w:ascii="Cambria Math" w:hAnsi="Cambria Math"/>
          <w:sz w:val="18"/>
          <w:szCs w:val="18"/>
        </w:rPr>
        <w:footnoteRef/>
      </w:r>
      <w:r w:rsidRPr="0043582E">
        <w:rPr>
          <w:rFonts w:ascii="Cambria Math" w:hAnsi="Cambria Math"/>
          <w:sz w:val="18"/>
          <w:szCs w:val="18"/>
        </w:rPr>
        <w:t xml:space="preserve"> Gertler </w:t>
      </w:r>
      <w:proofErr w:type="gramStart"/>
      <w:r w:rsidRPr="0043582E">
        <w:rPr>
          <w:rFonts w:ascii="Cambria Math" w:hAnsi="Cambria Math"/>
          <w:sz w:val="18"/>
          <w:szCs w:val="18"/>
        </w:rPr>
        <w:t>et al.(</w:t>
      </w:r>
      <w:proofErr w:type="gramEnd"/>
      <w:r w:rsidRPr="0043582E">
        <w:rPr>
          <w:rFonts w:ascii="Cambria Math" w:hAnsi="Cambria Math"/>
          <w:sz w:val="18"/>
          <w:szCs w:val="18"/>
        </w:rPr>
        <w:t>2010)</w:t>
      </w:r>
    </w:p>
  </w:footnote>
  <w:footnote w:id="371">
    <w:p w14:paraId="7B282F71" w14:textId="77777777" w:rsidR="00556C10" w:rsidRPr="0043582E" w:rsidRDefault="00556C10" w:rsidP="00556C10">
      <w:pPr>
        <w:pStyle w:val="FootnoteText"/>
        <w:bidi w:val="0"/>
        <w:rPr>
          <w:rFonts w:ascii="Cambria Math" w:hAnsi="Cambria Math"/>
          <w:sz w:val="18"/>
          <w:szCs w:val="18"/>
        </w:rPr>
      </w:pPr>
      <w:r w:rsidRPr="0043582E">
        <w:rPr>
          <w:rStyle w:val="FootnoteReference"/>
          <w:rFonts w:ascii="Cambria Math" w:hAnsi="Cambria Math"/>
          <w:sz w:val="18"/>
          <w:szCs w:val="18"/>
        </w:rPr>
        <w:footnoteRef/>
      </w:r>
      <w:r w:rsidRPr="0043582E">
        <w:rPr>
          <w:rFonts w:ascii="Cambria Math" w:hAnsi="Cambria Math"/>
          <w:sz w:val="18"/>
          <w:szCs w:val="18"/>
        </w:rPr>
        <w:t xml:space="preserve"> </w:t>
      </w:r>
      <w:proofErr w:type="spellStart"/>
      <w:r w:rsidRPr="0043582E">
        <w:rPr>
          <w:rFonts w:ascii="Cambria Math" w:hAnsi="Cambria Math"/>
          <w:sz w:val="18"/>
          <w:szCs w:val="18"/>
        </w:rPr>
        <w:t>Getler</w:t>
      </w:r>
      <w:proofErr w:type="spellEnd"/>
      <w:r w:rsidRPr="0043582E">
        <w:rPr>
          <w:rFonts w:ascii="Cambria Math" w:hAnsi="Cambria Math"/>
          <w:sz w:val="18"/>
          <w:szCs w:val="18"/>
        </w:rPr>
        <w:t xml:space="preserve"> and </w:t>
      </w:r>
      <w:proofErr w:type="spellStart"/>
      <w:r w:rsidRPr="0043582E">
        <w:rPr>
          <w:rFonts w:ascii="Cambria Math" w:hAnsi="Cambria Math"/>
          <w:sz w:val="18"/>
          <w:szCs w:val="18"/>
        </w:rPr>
        <w:t>Kiyotaki</w:t>
      </w:r>
      <w:proofErr w:type="spellEnd"/>
      <w:r w:rsidRPr="0043582E">
        <w:rPr>
          <w:rFonts w:ascii="Cambria Math" w:hAnsi="Cambria Math"/>
          <w:sz w:val="18"/>
          <w:szCs w:val="18"/>
        </w:rPr>
        <w:t xml:space="preserve"> (2010)</w:t>
      </w:r>
    </w:p>
  </w:footnote>
  <w:footnote w:id="372">
    <w:p w14:paraId="4FB10A92" w14:textId="77777777" w:rsidR="00556C10" w:rsidRPr="0043582E" w:rsidRDefault="00556C10" w:rsidP="00556C10">
      <w:pPr>
        <w:pStyle w:val="FootnoteText"/>
        <w:bidi w:val="0"/>
        <w:rPr>
          <w:rFonts w:ascii="Cambria Math" w:hAnsi="Cambria Math"/>
          <w:sz w:val="18"/>
          <w:szCs w:val="18"/>
        </w:rPr>
      </w:pPr>
      <w:r w:rsidRPr="0043582E">
        <w:rPr>
          <w:rStyle w:val="FootnoteReference"/>
          <w:rFonts w:ascii="Cambria Math" w:hAnsi="Cambria Math"/>
          <w:sz w:val="18"/>
          <w:szCs w:val="18"/>
        </w:rPr>
        <w:footnoteRef/>
      </w:r>
      <w:r w:rsidRPr="0043582E">
        <w:rPr>
          <w:rFonts w:ascii="Cambria Math" w:hAnsi="Cambria Math"/>
          <w:sz w:val="18"/>
          <w:szCs w:val="18"/>
        </w:rPr>
        <w:t xml:space="preserve"> </w:t>
      </w:r>
      <w:proofErr w:type="spellStart"/>
      <w:r w:rsidRPr="0043582E">
        <w:rPr>
          <w:rFonts w:ascii="Cambria Math" w:hAnsi="Cambria Math"/>
          <w:sz w:val="18"/>
          <w:szCs w:val="18"/>
        </w:rPr>
        <w:t>Curdia</w:t>
      </w:r>
      <w:proofErr w:type="spellEnd"/>
      <w:r w:rsidRPr="0043582E">
        <w:rPr>
          <w:rFonts w:ascii="Cambria Math" w:hAnsi="Cambria Math"/>
          <w:sz w:val="18"/>
          <w:szCs w:val="18"/>
        </w:rPr>
        <w:t xml:space="preserve"> and </w:t>
      </w:r>
      <w:proofErr w:type="gramStart"/>
      <w:r w:rsidRPr="0043582E">
        <w:rPr>
          <w:rFonts w:ascii="Cambria Math" w:hAnsi="Cambria Math"/>
          <w:sz w:val="18"/>
          <w:szCs w:val="18"/>
        </w:rPr>
        <w:t>Woodford(</w:t>
      </w:r>
      <w:proofErr w:type="gramEnd"/>
      <w:r w:rsidRPr="0043582E">
        <w:rPr>
          <w:rFonts w:ascii="Cambria Math" w:hAnsi="Cambria Math"/>
          <w:sz w:val="18"/>
          <w:szCs w:val="18"/>
        </w:rPr>
        <w:t>2008, 2011)</w:t>
      </w:r>
    </w:p>
  </w:footnote>
  <w:footnote w:id="373">
    <w:p w14:paraId="55EF5B14" w14:textId="77777777" w:rsidR="00556C10" w:rsidRPr="0043582E" w:rsidRDefault="00556C10" w:rsidP="00556C10">
      <w:pPr>
        <w:pStyle w:val="FootnoteText"/>
        <w:bidi w:val="0"/>
        <w:rPr>
          <w:rFonts w:ascii="Cambria Math" w:hAnsi="Cambria Math"/>
          <w:sz w:val="18"/>
          <w:szCs w:val="18"/>
        </w:rPr>
      </w:pPr>
      <w:r w:rsidRPr="0043582E">
        <w:rPr>
          <w:rStyle w:val="FootnoteReference"/>
          <w:rFonts w:ascii="Cambria Math" w:hAnsi="Cambria Math"/>
          <w:sz w:val="18"/>
          <w:szCs w:val="18"/>
        </w:rPr>
        <w:footnoteRef/>
      </w:r>
      <w:r w:rsidRPr="0043582E">
        <w:rPr>
          <w:rFonts w:ascii="Cambria Math" w:hAnsi="Cambria Math"/>
          <w:sz w:val="18"/>
          <w:szCs w:val="18"/>
        </w:rPr>
        <w:t xml:space="preserve"> </w:t>
      </w:r>
      <w:proofErr w:type="spellStart"/>
      <w:r w:rsidRPr="0043582E">
        <w:rPr>
          <w:rFonts w:ascii="Cambria Math" w:hAnsi="Cambria Math"/>
          <w:sz w:val="18"/>
          <w:szCs w:val="18"/>
        </w:rPr>
        <w:t>Dellas</w:t>
      </w:r>
      <w:proofErr w:type="spellEnd"/>
      <w:r w:rsidRPr="0043582E">
        <w:rPr>
          <w:rFonts w:ascii="Cambria Math" w:hAnsi="Cambria Math"/>
          <w:sz w:val="18"/>
          <w:szCs w:val="18"/>
        </w:rPr>
        <w:t xml:space="preserve"> (2011)</w:t>
      </w:r>
    </w:p>
  </w:footnote>
  <w:footnote w:id="374">
    <w:p w14:paraId="5A85F883" w14:textId="77777777" w:rsidR="00556C10" w:rsidRPr="0043582E" w:rsidRDefault="00556C10" w:rsidP="00556C10">
      <w:pPr>
        <w:pStyle w:val="FootnoteText"/>
        <w:bidi w:val="0"/>
        <w:rPr>
          <w:rFonts w:asciiTheme="minorHAnsi" w:hAnsiTheme="minorHAnsi" w:cstheme="minorBidi"/>
          <w:sz w:val="18"/>
          <w:szCs w:val="18"/>
        </w:rPr>
      </w:pPr>
      <w:r w:rsidRPr="0043582E">
        <w:rPr>
          <w:rStyle w:val="FootnoteReference"/>
          <w:sz w:val="18"/>
          <w:szCs w:val="18"/>
        </w:rPr>
        <w:footnoteRef/>
      </w:r>
      <w:r w:rsidRPr="0043582E">
        <w:rPr>
          <w:sz w:val="18"/>
          <w:szCs w:val="18"/>
          <w:rtl/>
        </w:rPr>
        <w:t xml:space="preserve"> </w:t>
      </w:r>
      <w:r w:rsidRPr="0043582E">
        <w:rPr>
          <w:sz w:val="18"/>
          <w:szCs w:val="18"/>
        </w:rPr>
        <w:t>Cash in advance</w:t>
      </w:r>
    </w:p>
  </w:footnote>
  <w:footnote w:id="375">
    <w:p w14:paraId="34C3DB9D" w14:textId="77777777" w:rsidR="00556C10" w:rsidRPr="008C5351" w:rsidRDefault="00556C10" w:rsidP="00556C10">
      <w:pPr>
        <w:pStyle w:val="FootnoteText"/>
        <w:rPr>
          <w:rFonts w:ascii="Cambria Math" w:eastAsiaTheme="minorHAnsi" w:hAnsi="Cambria Math" w:cstheme="minorBidi"/>
          <w:sz w:val="18"/>
          <w:szCs w:val="18"/>
          <w:rtl/>
        </w:rPr>
      </w:pPr>
      <w:r w:rsidRPr="008C5351">
        <w:rPr>
          <w:rStyle w:val="FootnoteReference"/>
          <w:rFonts w:ascii="Cambria Math" w:hAnsi="Cambria Math"/>
          <w:sz w:val="18"/>
          <w:szCs w:val="18"/>
        </w:rPr>
        <w:footnoteRef/>
      </w:r>
      <w:r w:rsidRPr="008C5351">
        <w:rPr>
          <w:rFonts w:ascii="Cambria Math" w:hAnsi="Cambria Math"/>
          <w:sz w:val="18"/>
          <w:szCs w:val="18"/>
        </w:rPr>
        <w:t xml:space="preserve"> </w:t>
      </w:r>
      <w:r w:rsidRPr="008C5351">
        <w:rPr>
          <w:rFonts w:ascii="Cambria Math" w:hAnsi="Cambria Math"/>
          <w:sz w:val="18"/>
          <w:szCs w:val="18"/>
          <w:rtl/>
        </w:rPr>
        <w:t xml:space="preserve">برای مطالعه‌ی بیشتر به </w:t>
      </w:r>
      <w:r w:rsidRPr="008C5351">
        <w:rPr>
          <w:rFonts w:ascii="Cambria Math" w:hAnsi="Cambria Math"/>
          <w:sz w:val="18"/>
          <w:szCs w:val="18"/>
        </w:rPr>
        <w:t xml:space="preserve">King and </w:t>
      </w:r>
      <w:proofErr w:type="spellStart"/>
      <w:r w:rsidRPr="008C5351">
        <w:rPr>
          <w:rFonts w:ascii="Cambria Math" w:hAnsi="Cambria Math"/>
          <w:sz w:val="18"/>
          <w:szCs w:val="18"/>
        </w:rPr>
        <w:t>Rebelo</w:t>
      </w:r>
      <w:proofErr w:type="spellEnd"/>
      <w:r w:rsidRPr="008C5351">
        <w:rPr>
          <w:rFonts w:ascii="Cambria Math" w:hAnsi="Cambria Math"/>
          <w:sz w:val="18"/>
          <w:szCs w:val="18"/>
        </w:rPr>
        <w:t>, 1999</w:t>
      </w:r>
      <w:r w:rsidRPr="008C5351">
        <w:rPr>
          <w:rFonts w:ascii="Cambria Math" w:hAnsi="Cambria Math"/>
          <w:sz w:val="18"/>
          <w:szCs w:val="18"/>
          <w:rtl/>
        </w:rPr>
        <w:t xml:space="preserve"> مراجعه شود.</w:t>
      </w:r>
    </w:p>
  </w:footnote>
  <w:footnote w:id="376">
    <w:p w14:paraId="58CCE010" w14:textId="77777777" w:rsidR="00556C10" w:rsidRPr="008C5351" w:rsidRDefault="00556C10" w:rsidP="00556C10">
      <w:pPr>
        <w:pStyle w:val="FootnoteText"/>
        <w:rPr>
          <w:rFonts w:ascii="Cambria Math" w:hAnsi="Cambria Math"/>
          <w:sz w:val="18"/>
          <w:szCs w:val="18"/>
          <w:rtl/>
        </w:rPr>
      </w:pPr>
      <w:r w:rsidRPr="008C5351">
        <w:rPr>
          <w:rStyle w:val="FootnoteReference"/>
          <w:rFonts w:ascii="Cambria Math" w:hAnsi="Cambria Math"/>
          <w:sz w:val="18"/>
          <w:szCs w:val="18"/>
        </w:rPr>
        <w:footnoteRef/>
      </w:r>
      <w:r w:rsidRPr="008C5351">
        <w:rPr>
          <w:rFonts w:ascii="Cambria Math" w:hAnsi="Cambria Math"/>
          <w:sz w:val="18"/>
          <w:szCs w:val="18"/>
        </w:rPr>
        <w:t xml:space="preserve"> </w:t>
      </w:r>
      <w:r w:rsidRPr="008C5351">
        <w:rPr>
          <w:rFonts w:ascii="Cambria Math" w:hAnsi="Cambria Math" w:cs="B Zar" w:hint="cs"/>
          <w:sz w:val="18"/>
          <w:szCs w:val="18"/>
          <w:rtl/>
        </w:rPr>
        <w:t xml:space="preserve">برای مثال نگاه کنید به </w:t>
      </w:r>
      <w:r w:rsidRPr="008C5351">
        <w:rPr>
          <w:rFonts w:ascii="Cambria Math" w:hAnsi="Cambria Math" w:cs="B Zar"/>
          <w:sz w:val="18"/>
          <w:szCs w:val="18"/>
        </w:rPr>
        <w:t>De Jong and Dave, 2007</w:t>
      </w:r>
      <w:r w:rsidRPr="008C5351">
        <w:rPr>
          <w:rFonts w:ascii="Cambria Math" w:hAnsi="Cambria Math" w:cs="B Zar" w:hint="cs"/>
          <w:sz w:val="18"/>
          <w:szCs w:val="18"/>
          <w:rtl/>
        </w:rPr>
        <w:t xml:space="preserve"> و </w:t>
      </w:r>
      <w:r w:rsidRPr="008C5351">
        <w:rPr>
          <w:rFonts w:ascii="Cambria Math" w:hAnsi="Cambria Math" w:cs="B Zar"/>
          <w:sz w:val="18"/>
          <w:szCs w:val="18"/>
        </w:rPr>
        <w:t>Canova, 2005</w:t>
      </w:r>
      <w:r w:rsidRPr="008C5351">
        <w:rPr>
          <w:rFonts w:ascii="Cambria Math" w:hAnsi="Cambria Math" w:cs="B Zar" w:hint="cs"/>
          <w:sz w:val="18"/>
          <w:szCs w:val="18"/>
          <w:rtl/>
        </w:rPr>
        <w:t xml:space="preserve"> </w:t>
      </w:r>
    </w:p>
  </w:footnote>
  <w:footnote w:id="377">
    <w:p w14:paraId="46BCB156" w14:textId="77777777" w:rsidR="00556C10" w:rsidRPr="008C5351" w:rsidRDefault="00556C10" w:rsidP="00556C10">
      <w:pPr>
        <w:pStyle w:val="FootnoteText"/>
        <w:bidi w:val="0"/>
        <w:rPr>
          <w:rFonts w:ascii="Cambria Math" w:hAnsi="Cambria Math"/>
          <w:sz w:val="18"/>
          <w:szCs w:val="18"/>
          <w:rtl/>
        </w:rPr>
      </w:pPr>
      <w:r w:rsidRPr="008C5351">
        <w:rPr>
          <w:rStyle w:val="FootnoteReference"/>
          <w:rFonts w:ascii="Cambria Math" w:hAnsi="Cambria Math"/>
          <w:sz w:val="18"/>
          <w:szCs w:val="18"/>
        </w:rPr>
        <w:footnoteRef/>
      </w:r>
      <w:r w:rsidRPr="008C5351">
        <w:rPr>
          <w:rFonts w:ascii="Cambria Math" w:hAnsi="Cambria Math"/>
          <w:sz w:val="18"/>
          <w:szCs w:val="18"/>
        </w:rPr>
        <w:t xml:space="preserve"> </w:t>
      </w:r>
      <w:proofErr w:type="spellStart"/>
      <w:r w:rsidRPr="008C5351">
        <w:rPr>
          <w:rFonts w:ascii="Cambria Math" w:hAnsi="Cambria Math"/>
          <w:sz w:val="18"/>
          <w:szCs w:val="18"/>
        </w:rPr>
        <w:t>Hodrik</w:t>
      </w:r>
      <w:proofErr w:type="spellEnd"/>
      <w:r w:rsidRPr="008C5351">
        <w:rPr>
          <w:rFonts w:ascii="Cambria Math" w:hAnsi="Cambria Math"/>
          <w:sz w:val="18"/>
          <w:szCs w:val="18"/>
        </w:rPr>
        <w:t>-Prescott</w:t>
      </w:r>
    </w:p>
  </w:footnote>
  <w:footnote w:id="378">
    <w:p w14:paraId="4FEBFCD1" w14:textId="77777777" w:rsidR="00556C10" w:rsidRPr="008C5351" w:rsidRDefault="00556C10" w:rsidP="00556C10">
      <w:pPr>
        <w:pStyle w:val="FootnoteText"/>
        <w:bidi w:val="0"/>
        <w:rPr>
          <w:rFonts w:ascii="Cambria Math" w:hAnsi="Cambria Math"/>
          <w:sz w:val="18"/>
          <w:szCs w:val="18"/>
        </w:rPr>
      </w:pPr>
      <w:r w:rsidRPr="008C5351">
        <w:rPr>
          <w:rStyle w:val="FootnoteReference"/>
          <w:rFonts w:ascii="Cambria Math" w:hAnsi="Cambria Math"/>
          <w:sz w:val="18"/>
          <w:szCs w:val="18"/>
        </w:rPr>
        <w:footnoteRef/>
      </w:r>
      <w:r w:rsidRPr="008C5351">
        <w:rPr>
          <w:rFonts w:ascii="Cambria Math" w:hAnsi="Cambria Math"/>
          <w:sz w:val="18"/>
          <w:szCs w:val="18"/>
        </w:rPr>
        <w:t xml:space="preserve"> </w:t>
      </w:r>
      <w:r w:rsidRPr="008C5351">
        <w:rPr>
          <w:rFonts w:ascii="Cambria Math" w:hAnsi="Cambria Math" w:cs="B Zar"/>
          <w:sz w:val="18"/>
          <w:szCs w:val="18"/>
        </w:rPr>
        <w:t>bootstrapping</w:t>
      </w:r>
    </w:p>
  </w:footnote>
  <w:footnote w:id="379">
    <w:p w14:paraId="2B4ED031" w14:textId="77777777" w:rsidR="00556C10" w:rsidRPr="008C5351" w:rsidRDefault="00556C10" w:rsidP="00556C10">
      <w:pPr>
        <w:pStyle w:val="FootnoteText"/>
        <w:rPr>
          <w:rFonts w:ascii="Cambria Math" w:hAnsi="Cambria Math"/>
          <w:sz w:val="18"/>
          <w:szCs w:val="18"/>
          <w:rtl/>
        </w:rPr>
      </w:pPr>
      <w:r w:rsidRPr="008C5351">
        <w:rPr>
          <w:rStyle w:val="FootnoteReference"/>
          <w:rFonts w:ascii="Cambria Math" w:hAnsi="Cambria Math"/>
          <w:sz w:val="18"/>
          <w:szCs w:val="18"/>
        </w:rPr>
        <w:footnoteRef/>
      </w:r>
      <w:r w:rsidRPr="008C5351">
        <w:rPr>
          <w:rFonts w:ascii="Cambria Math" w:hAnsi="Cambria Math"/>
          <w:sz w:val="18"/>
          <w:szCs w:val="18"/>
        </w:rPr>
        <w:t xml:space="preserve"> </w:t>
      </w:r>
      <w:r w:rsidRPr="008C5351">
        <w:rPr>
          <w:rFonts w:ascii="Cambria Math" w:hAnsi="Cambria Math"/>
          <w:sz w:val="18"/>
          <w:szCs w:val="18"/>
          <w:rtl/>
        </w:rPr>
        <w:t xml:space="preserve">نگاه کنید به </w:t>
      </w:r>
      <w:r w:rsidRPr="008C5351">
        <w:rPr>
          <w:rFonts w:ascii="Cambria Math" w:hAnsi="Cambria Math" w:cs="B Zar"/>
          <w:sz w:val="18"/>
          <w:szCs w:val="18"/>
        </w:rPr>
        <w:t>Gregory and Smith, 1993</w:t>
      </w:r>
      <w:r w:rsidRPr="008C5351">
        <w:rPr>
          <w:rFonts w:ascii="Cambria Math" w:hAnsi="Cambria Math" w:cs="B Zar" w:hint="cs"/>
          <w:sz w:val="18"/>
          <w:szCs w:val="18"/>
          <w:rtl/>
        </w:rPr>
        <w:t xml:space="preserve"> </w:t>
      </w:r>
    </w:p>
  </w:footnote>
  <w:footnote w:id="380">
    <w:p w14:paraId="0995C1B8" w14:textId="77777777" w:rsidR="00556C10" w:rsidRPr="008C5351" w:rsidRDefault="00556C10" w:rsidP="00556C10">
      <w:pPr>
        <w:rPr>
          <w:rFonts w:ascii="Cambria Math" w:hAnsi="Cambria Math" w:cstheme="minorBidi"/>
          <w:sz w:val="18"/>
          <w:szCs w:val="18"/>
          <w:rtl/>
        </w:rPr>
      </w:pPr>
      <w:r w:rsidRPr="008C5351">
        <w:rPr>
          <w:rStyle w:val="FootnoteReference"/>
          <w:rFonts w:ascii="Cambria Math" w:hAnsi="Cambria Math"/>
          <w:sz w:val="18"/>
          <w:szCs w:val="18"/>
        </w:rPr>
        <w:footnoteRef/>
      </w:r>
      <w:r w:rsidRPr="008C5351">
        <w:rPr>
          <w:rFonts w:ascii="Cambria Math" w:hAnsi="Cambria Math"/>
          <w:sz w:val="18"/>
          <w:szCs w:val="18"/>
        </w:rPr>
        <w:t xml:space="preserve"> </w:t>
      </w:r>
      <w:r w:rsidRPr="008C5351">
        <w:rPr>
          <w:rFonts w:ascii="Cambria Math" w:hAnsi="Cambria Math" w:cs="B Zar" w:hint="cs"/>
          <w:sz w:val="18"/>
          <w:szCs w:val="18"/>
          <w:rtl/>
        </w:rPr>
        <w:t>در خصوص ارزیابی کالیبراسیون بهینه و شبیه</w:t>
      </w:r>
      <w:r w:rsidRPr="008C5351">
        <w:rPr>
          <w:rFonts w:ascii="Cambria Math" w:hAnsi="Cambria Math" w:cs="B Zar"/>
          <w:sz w:val="18"/>
          <w:szCs w:val="18"/>
          <w:rtl/>
        </w:rPr>
        <w:softHyphen/>
      </w:r>
      <w:r w:rsidRPr="008C5351">
        <w:rPr>
          <w:rFonts w:ascii="Cambria Math" w:hAnsi="Cambria Math" w:cs="B Zar" w:hint="cs"/>
          <w:sz w:val="18"/>
          <w:szCs w:val="18"/>
          <w:rtl/>
        </w:rPr>
        <w:t xml:space="preserve">سازی مدل اقتصاد کلان به </w:t>
      </w:r>
      <w:r w:rsidRPr="008C5351">
        <w:rPr>
          <w:rFonts w:ascii="Cambria Math" w:hAnsi="Cambria Math" w:cs="B Zar"/>
          <w:sz w:val="18"/>
          <w:szCs w:val="18"/>
        </w:rPr>
        <w:t>Canova, 2005, De Jong and David, 2007</w:t>
      </w:r>
      <w:r w:rsidRPr="008C5351">
        <w:rPr>
          <w:rFonts w:ascii="Cambria Math" w:hAnsi="Cambria Math" w:cs="B Zar" w:hint="cs"/>
          <w:sz w:val="18"/>
          <w:szCs w:val="18"/>
          <w:rtl/>
        </w:rPr>
        <w:t xml:space="preserve"> و </w:t>
      </w:r>
      <w:proofErr w:type="spellStart"/>
      <w:r w:rsidRPr="008C5351">
        <w:rPr>
          <w:rFonts w:ascii="Cambria Math" w:hAnsi="Cambria Math" w:cs="B Zar"/>
          <w:sz w:val="18"/>
          <w:szCs w:val="18"/>
        </w:rPr>
        <w:t>Gourieroux</w:t>
      </w:r>
      <w:proofErr w:type="spellEnd"/>
      <w:r w:rsidRPr="008C5351">
        <w:rPr>
          <w:rFonts w:ascii="Cambria Math" w:hAnsi="Cambria Math" w:cs="B Zar"/>
          <w:sz w:val="18"/>
          <w:szCs w:val="18"/>
        </w:rPr>
        <w:t xml:space="preserve"> and </w:t>
      </w:r>
      <w:proofErr w:type="spellStart"/>
      <w:r w:rsidRPr="008C5351">
        <w:rPr>
          <w:rFonts w:ascii="Cambria Math" w:hAnsi="Cambria Math" w:cs="B Zar"/>
          <w:sz w:val="18"/>
          <w:szCs w:val="18"/>
        </w:rPr>
        <w:t>Manfort</w:t>
      </w:r>
      <w:proofErr w:type="spellEnd"/>
      <w:r w:rsidRPr="008C5351">
        <w:rPr>
          <w:rFonts w:ascii="Cambria Math" w:hAnsi="Cambria Math" w:cs="B Zar"/>
          <w:sz w:val="18"/>
          <w:szCs w:val="18"/>
        </w:rPr>
        <w:t>, 1996</w:t>
      </w:r>
      <w:r w:rsidRPr="008C5351">
        <w:rPr>
          <w:rFonts w:ascii="Cambria Math" w:hAnsi="Cambria Math" w:cs="B Zar" w:hint="cs"/>
          <w:sz w:val="18"/>
          <w:szCs w:val="18"/>
          <w:rtl/>
        </w:rPr>
        <w:t xml:space="preserve"> مراجعه شود.</w:t>
      </w:r>
    </w:p>
  </w:footnote>
  <w:footnote w:id="381">
    <w:p w14:paraId="5135621F" w14:textId="77777777" w:rsidR="00556C10" w:rsidRPr="008C5351" w:rsidRDefault="00556C10" w:rsidP="00556C10">
      <w:pPr>
        <w:pStyle w:val="FootnoteText"/>
        <w:bidi w:val="0"/>
        <w:rPr>
          <w:rFonts w:ascii="Cambria Math" w:hAnsi="Cambria Math"/>
          <w:sz w:val="18"/>
          <w:szCs w:val="18"/>
          <w:rtl/>
        </w:rPr>
      </w:pPr>
      <w:r w:rsidRPr="008C5351">
        <w:rPr>
          <w:rStyle w:val="FootnoteReference"/>
          <w:rFonts w:ascii="Cambria Math" w:hAnsi="Cambria Math"/>
          <w:sz w:val="18"/>
          <w:szCs w:val="18"/>
        </w:rPr>
        <w:footnoteRef/>
      </w:r>
      <w:r w:rsidRPr="008C5351">
        <w:rPr>
          <w:rFonts w:ascii="Cambria Math" w:hAnsi="Cambria Math"/>
          <w:sz w:val="18"/>
          <w:szCs w:val="18"/>
        </w:rPr>
        <w:t xml:space="preserve"> </w:t>
      </w:r>
      <w:r w:rsidRPr="008C5351">
        <w:rPr>
          <w:rFonts w:ascii="Cambria Math" w:hAnsi="Cambria Math" w:cs="B Zar"/>
          <w:sz w:val="18"/>
          <w:szCs w:val="18"/>
        </w:rPr>
        <w:t xml:space="preserve">king &amp; </w:t>
      </w:r>
      <w:proofErr w:type="spellStart"/>
      <w:r w:rsidRPr="008C5351">
        <w:rPr>
          <w:rFonts w:ascii="Cambria Math" w:hAnsi="Cambria Math" w:cs="B Zar"/>
          <w:sz w:val="18"/>
          <w:szCs w:val="18"/>
        </w:rPr>
        <w:t>Rebelo</w:t>
      </w:r>
      <w:proofErr w:type="spellEnd"/>
      <w:r w:rsidRPr="008C5351">
        <w:rPr>
          <w:rFonts w:ascii="Cambria Math" w:hAnsi="Cambria Math" w:cs="B Zar"/>
          <w:sz w:val="18"/>
          <w:szCs w:val="18"/>
        </w:rPr>
        <w:t>, 1999</w:t>
      </w:r>
    </w:p>
  </w:footnote>
  <w:footnote w:id="382">
    <w:p w14:paraId="08021489" w14:textId="77777777" w:rsidR="00556C10" w:rsidRPr="008C5351" w:rsidRDefault="00556C10" w:rsidP="00556C10">
      <w:pPr>
        <w:pStyle w:val="FootnoteText"/>
        <w:bidi w:val="0"/>
        <w:rPr>
          <w:rFonts w:ascii="Cambria Math" w:hAnsi="Cambria Math"/>
          <w:sz w:val="18"/>
          <w:szCs w:val="18"/>
          <w:rtl/>
        </w:rPr>
      </w:pPr>
      <w:r w:rsidRPr="008C5351">
        <w:rPr>
          <w:rStyle w:val="FootnoteReference"/>
          <w:rFonts w:ascii="Cambria Math" w:hAnsi="Cambria Math"/>
          <w:sz w:val="18"/>
          <w:szCs w:val="18"/>
        </w:rPr>
        <w:footnoteRef/>
      </w:r>
      <w:r w:rsidRPr="008C5351">
        <w:rPr>
          <w:rFonts w:ascii="Cambria Math" w:hAnsi="Cambria Math"/>
          <w:sz w:val="18"/>
          <w:szCs w:val="18"/>
        </w:rPr>
        <w:t xml:space="preserve"> </w:t>
      </w:r>
      <w:proofErr w:type="spellStart"/>
      <w:r w:rsidRPr="008C5351">
        <w:rPr>
          <w:rFonts w:ascii="Cambria Math" w:hAnsi="Cambria Math" w:cs="B Zar"/>
          <w:sz w:val="18"/>
          <w:szCs w:val="18"/>
        </w:rPr>
        <w:t>Rebelo</w:t>
      </w:r>
      <w:proofErr w:type="spellEnd"/>
      <w:r w:rsidRPr="008C5351">
        <w:rPr>
          <w:rFonts w:ascii="Cambria Math" w:hAnsi="Cambria Math" w:cs="B Zar"/>
          <w:sz w:val="18"/>
          <w:szCs w:val="18"/>
        </w:rPr>
        <w:t>, 2005</w:t>
      </w:r>
    </w:p>
  </w:footnote>
  <w:footnote w:id="383">
    <w:p w14:paraId="52DA7401" w14:textId="77777777" w:rsidR="00556C10" w:rsidRPr="008C5351" w:rsidRDefault="00556C10" w:rsidP="00556C10">
      <w:pPr>
        <w:pStyle w:val="FootnoteText"/>
        <w:bidi w:val="0"/>
        <w:rPr>
          <w:rFonts w:ascii="Cambria Math" w:hAnsi="Cambria Math"/>
          <w:sz w:val="18"/>
          <w:szCs w:val="18"/>
          <w:rtl/>
        </w:rPr>
      </w:pPr>
      <w:r w:rsidRPr="008C5351">
        <w:rPr>
          <w:rStyle w:val="FootnoteReference"/>
          <w:rFonts w:ascii="Cambria Math" w:hAnsi="Cambria Math"/>
          <w:sz w:val="18"/>
          <w:szCs w:val="18"/>
        </w:rPr>
        <w:footnoteRef/>
      </w:r>
      <w:r w:rsidRPr="008C5351">
        <w:rPr>
          <w:rFonts w:ascii="Cambria Math" w:hAnsi="Cambria Math"/>
          <w:sz w:val="18"/>
          <w:szCs w:val="18"/>
        </w:rPr>
        <w:t xml:space="preserve"> </w:t>
      </w:r>
      <w:r w:rsidRPr="008C5351">
        <w:rPr>
          <w:rFonts w:ascii="Cambria Math" w:hAnsi="Cambria Math" w:cs="B Zar"/>
          <w:sz w:val="18"/>
          <w:szCs w:val="18"/>
        </w:rPr>
        <w:t xml:space="preserve">king &amp; </w:t>
      </w:r>
      <w:proofErr w:type="spellStart"/>
      <w:r w:rsidRPr="008C5351">
        <w:rPr>
          <w:rFonts w:ascii="Cambria Math" w:hAnsi="Cambria Math" w:cs="B Zar"/>
          <w:sz w:val="18"/>
          <w:szCs w:val="18"/>
        </w:rPr>
        <w:t>plosser</w:t>
      </w:r>
      <w:proofErr w:type="spellEnd"/>
      <w:r w:rsidRPr="008C5351">
        <w:rPr>
          <w:rFonts w:ascii="Cambria Math" w:hAnsi="Cambria Math" w:cs="B Zar"/>
          <w:sz w:val="18"/>
          <w:szCs w:val="18"/>
        </w:rPr>
        <w:t>, 1988</w:t>
      </w:r>
      <w:r w:rsidRPr="008C5351">
        <w:rPr>
          <w:rFonts w:ascii="Cambria Math" w:hAnsi="Cambria Math" w:cs="B Zar" w:hint="cs"/>
          <w:sz w:val="18"/>
          <w:szCs w:val="18"/>
          <w:rtl/>
        </w:rPr>
        <w:t xml:space="preserve"> </w:t>
      </w:r>
    </w:p>
  </w:footnote>
  <w:footnote w:id="384">
    <w:p w14:paraId="21A138F6" w14:textId="77777777" w:rsidR="00556C10" w:rsidRPr="008C5351" w:rsidRDefault="00556C10" w:rsidP="00556C10">
      <w:pPr>
        <w:pStyle w:val="FootnoteText"/>
        <w:bidi w:val="0"/>
        <w:rPr>
          <w:rFonts w:ascii="Cambria Math" w:hAnsi="Cambria Math"/>
          <w:sz w:val="18"/>
          <w:szCs w:val="18"/>
        </w:rPr>
      </w:pPr>
      <w:r w:rsidRPr="008C5351">
        <w:rPr>
          <w:rStyle w:val="FootnoteReference"/>
          <w:rFonts w:ascii="Cambria Math" w:hAnsi="Cambria Math"/>
          <w:sz w:val="18"/>
          <w:szCs w:val="18"/>
        </w:rPr>
        <w:footnoteRef/>
      </w:r>
      <w:r w:rsidRPr="008C5351">
        <w:rPr>
          <w:rFonts w:ascii="Cambria Math" w:hAnsi="Cambria Math"/>
          <w:sz w:val="18"/>
          <w:szCs w:val="18"/>
        </w:rPr>
        <w:t xml:space="preserve"> </w:t>
      </w:r>
      <w:r w:rsidRPr="008C5351">
        <w:rPr>
          <w:rFonts w:ascii="Cambria Math" w:hAnsi="Cambria Math" w:cs="B Zar"/>
          <w:sz w:val="18"/>
          <w:szCs w:val="18"/>
        </w:rPr>
        <w:t>King, 1988</w:t>
      </w:r>
    </w:p>
  </w:footnote>
  <w:footnote w:id="385">
    <w:p w14:paraId="4112ECBD" w14:textId="77777777" w:rsidR="00556C10" w:rsidRPr="008C5351" w:rsidRDefault="00556C10" w:rsidP="00556C10">
      <w:pPr>
        <w:pStyle w:val="FootnoteText"/>
        <w:bidi w:val="0"/>
        <w:rPr>
          <w:rFonts w:ascii="Cambria Math" w:hAnsi="Cambria Math"/>
          <w:sz w:val="18"/>
          <w:szCs w:val="18"/>
          <w:rtl/>
        </w:rPr>
      </w:pPr>
      <w:r w:rsidRPr="008C5351">
        <w:rPr>
          <w:rStyle w:val="FootnoteReference"/>
          <w:rFonts w:ascii="Cambria Math" w:hAnsi="Cambria Math"/>
          <w:sz w:val="18"/>
          <w:szCs w:val="18"/>
        </w:rPr>
        <w:footnoteRef/>
      </w:r>
      <w:r w:rsidRPr="008C5351">
        <w:rPr>
          <w:rFonts w:ascii="Cambria Math" w:hAnsi="Cambria Math"/>
          <w:sz w:val="18"/>
          <w:szCs w:val="18"/>
        </w:rPr>
        <w:t xml:space="preserve"> </w:t>
      </w:r>
      <w:proofErr w:type="spellStart"/>
      <w:r w:rsidRPr="008C5351">
        <w:rPr>
          <w:rFonts w:ascii="Cambria Math" w:hAnsi="Cambria Math" w:cs="B Zar"/>
          <w:sz w:val="18"/>
          <w:szCs w:val="18"/>
        </w:rPr>
        <w:t>Cooly</w:t>
      </w:r>
      <w:proofErr w:type="spellEnd"/>
      <w:r w:rsidRPr="008C5351">
        <w:rPr>
          <w:rFonts w:ascii="Cambria Math" w:hAnsi="Cambria Math" w:cs="B Zar"/>
          <w:sz w:val="18"/>
          <w:szCs w:val="18"/>
        </w:rPr>
        <w:t>, 1995</w:t>
      </w:r>
    </w:p>
  </w:footnote>
  <w:footnote w:id="386">
    <w:p w14:paraId="0E10F16B" w14:textId="77777777" w:rsidR="00556C10" w:rsidRPr="008C5351" w:rsidRDefault="00556C10" w:rsidP="00556C10">
      <w:pPr>
        <w:pStyle w:val="FootnoteText"/>
        <w:bidi w:val="0"/>
        <w:rPr>
          <w:rFonts w:ascii="Cambria Math" w:hAnsi="Cambria Math"/>
          <w:sz w:val="18"/>
          <w:szCs w:val="18"/>
          <w:rtl/>
        </w:rPr>
      </w:pPr>
      <w:r w:rsidRPr="008C5351">
        <w:rPr>
          <w:rStyle w:val="FootnoteReference"/>
          <w:rFonts w:ascii="Cambria Math" w:hAnsi="Cambria Math"/>
          <w:sz w:val="18"/>
          <w:szCs w:val="18"/>
        </w:rPr>
        <w:footnoteRef/>
      </w:r>
      <w:r w:rsidRPr="008C5351">
        <w:rPr>
          <w:rFonts w:ascii="Cambria Math" w:hAnsi="Cambria Math"/>
          <w:sz w:val="18"/>
          <w:szCs w:val="18"/>
        </w:rPr>
        <w:t xml:space="preserve"> </w:t>
      </w:r>
      <w:proofErr w:type="spellStart"/>
      <w:r w:rsidRPr="008C5351">
        <w:rPr>
          <w:rFonts w:ascii="Cambria Math" w:hAnsi="Cambria Math" w:cs="B Zar"/>
          <w:sz w:val="18"/>
          <w:szCs w:val="18"/>
        </w:rPr>
        <w:t>Marimon</w:t>
      </w:r>
      <w:proofErr w:type="spellEnd"/>
      <w:r w:rsidRPr="008C5351">
        <w:rPr>
          <w:rFonts w:ascii="Cambria Math" w:hAnsi="Cambria Math" w:cs="B Zar"/>
          <w:sz w:val="18"/>
          <w:szCs w:val="18"/>
        </w:rPr>
        <w:t xml:space="preserve"> &amp; Scott, 1999</w:t>
      </w:r>
      <w:r w:rsidRPr="008C5351">
        <w:rPr>
          <w:rFonts w:ascii="Cambria Math" w:hAnsi="Cambria Math" w:cs="B Zar" w:hint="cs"/>
          <w:sz w:val="18"/>
          <w:szCs w:val="18"/>
          <w:rtl/>
        </w:rPr>
        <w:t xml:space="preserve"> </w:t>
      </w:r>
    </w:p>
  </w:footnote>
  <w:footnote w:id="387">
    <w:p w14:paraId="3B0A58C8" w14:textId="77777777" w:rsidR="00556C10" w:rsidRPr="008C5351" w:rsidRDefault="00556C10" w:rsidP="00556C10">
      <w:pPr>
        <w:pStyle w:val="FootnoteText"/>
        <w:bidi w:val="0"/>
        <w:rPr>
          <w:rFonts w:ascii="Cambria Math" w:hAnsi="Cambria Math"/>
          <w:sz w:val="18"/>
          <w:szCs w:val="18"/>
        </w:rPr>
      </w:pPr>
      <w:r w:rsidRPr="008C5351">
        <w:rPr>
          <w:rStyle w:val="FootnoteReference"/>
          <w:rFonts w:ascii="Cambria Math" w:hAnsi="Cambria Math"/>
          <w:sz w:val="18"/>
          <w:szCs w:val="18"/>
        </w:rPr>
        <w:footnoteRef/>
      </w:r>
      <w:r w:rsidRPr="008C5351">
        <w:rPr>
          <w:rFonts w:ascii="Cambria Math" w:hAnsi="Cambria Math"/>
          <w:sz w:val="18"/>
          <w:szCs w:val="18"/>
        </w:rPr>
        <w:t xml:space="preserve"> Backus, Kehoe and </w:t>
      </w:r>
      <w:proofErr w:type="spellStart"/>
      <w:r w:rsidRPr="008C5351">
        <w:rPr>
          <w:rFonts w:ascii="Cambria Math" w:hAnsi="Cambria Math"/>
          <w:sz w:val="18"/>
          <w:szCs w:val="18"/>
        </w:rPr>
        <w:t>Kydland</w:t>
      </w:r>
      <w:proofErr w:type="spellEnd"/>
      <w:r w:rsidRPr="008C5351">
        <w:rPr>
          <w:rFonts w:ascii="Cambria Math" w:hAnsi="Cambria Math"/>
          <w:sz w:val="18"/>
          <w:szCs w:val="18"/>
        </w:rPr>
        <w:t>, 1992, 1995</w:t>
      </w:r>
    </w:p>
  </w:footnote>
  <w:footnote w:id="388">
    <w:p w14:paraId="16FCD25E" w14:textId="77777777" w:rsidR="00556C10" w:rsidRPr="008C5351" w:rsidRDefault="00556C10" w:rsidP="00556C10">
      <w:pPr>
        <w:pStyle w:val="FootnoteText"/>
        <w:rPr>
          <w:rFonts w:ascii="Cambria Math" w:hAnsi="Cambria Math"/>
          <w:sz w:val="18"/>
          <w:szCs w:val="18"/>
        </w:rPr>
      </w:pPr>
      <w:r w:rsidRPr="008C5351">
        <w:rPr>
          <w:rStyle w:val="FootnoteReference"/>
          <w:rFonts w:ascii="Cambria Math" w:hAnsi="Cambria Math"/>
          <w:sz w:val="18"/>
          <w:szCs w:val="18"/>
        </w:rPr>
        <w:footnoteRef/>
      </w:r>
      <w:r w:rsidRPr="008C5351">
        <w:rPr>
          <w:rFonts w:ascii="Cambria Math" w:hAnsi="Cambria Math"/>
          <w:sz w:val="18"/>
          <w:szCs w:val="18"/>
        </w:rPr>
        <w:t xml:space="preserve"> </w:t>
      </w:r>
      <w:r w:rsidRPr="008C5351">
        <w:rPr>
          <w:rFonts w:ascii="Cambria Math" w:hAnsi="Cambria Math" w:cs="B Zar" w:hint="cs"/>
          <w:sz w:val="18"/>
          <w:szCs w:val="18"/>
          <w:rtl/>
        </w:rPr>
        <w:t xml:space="preserve">برای مثال نگاه کنید به </w:t>
      </w:r>
      <w:proofErr w:type="spellStart"/>
      <w:r w:rsidRPr="008C5351">
        <w:rPr>
          <w:rFonts w:ascii="Cambria Math" w:hAnsi="Cambria Math" w:cs="B Zar"/>
          <w:sz w:val="18"/>
          <w:szCs w:val="18"/>
        </w:rPr>
        <w:t>Batim</w:t>
      </w:r>
      <w:proofErr w:type="spellEnd"/>
      <w:r w:rsidRPr="008C5351">
        <w:rPr>
          <w:rFonts w:ascii="Cambria Math" w:hAnsi="Cambria Math" w:cs="B Zar"/>
          <w:sz w:val="18"/>
          <w:szCs w:val="18"/>
        </w:rPr>
        <w:t xml:space="preserve"> et al. 2005</w:t>
      </w:r>
      <w:r w:rsidRPr="008C5351">
        <w:rPr>
          <w:rFonts w:ascii="Cambria Math" w:hAnsi="Cambria Math" w:cs="B Zar" w:hint="cs"/>
          <w:sz w:val="18"/>
          <w:szCs w:val="18"/>
          <w:rtl/>
        </w:rPr>
        <w:t xml:space="preserve">، </w:t>
      </w:r>
      <w:proofErr w:type="spellStart"/>
      <w:r w:rsidRPr="008C5351">
        <w:rPr>
          <w:rFonts w:ascii="Cambria Math" w:hAnsi="Cambria Math" w:cs="B Zar"/>
          <w:sz w:val="18"/>
          <w:szCs w:val="18"/>
        </w:rPr>
        <w:t>Gali</w:t>
      </w:r>
      <w:proofErr w:type="spellEnd"/>
      <w:r w:rsidRPr="008C5351">
        <w:rPr>
          <w:rFonts w:ascii="Cambria Math" w:hAnsi="Cambria Math" w:cs="B Zar"/>
          <w:sz w:val="18"/>
          <w:szCs w:val="18"/>
        </w:rPr>
        <w:t xml:space="preserve"> et al. 2001, 2005</w:t>
      </w:r>
      <w:r w:rsidRPr="008C5351">
        <w:rPr>
          <w:rFonts w:ascii="Cambria Math" w:hAnsi="Cambria Math" w:cs="B Zar" w:hint="cs"/>
          <w:sz w:val="18"/>
          <w:szCs w:val="18"/>
          <w:rtl/>
        </w:rPr>
        <w:t xml:space="preserve">، </w:t>
      </w:r>
      <w:r w:rsidRPr="008C5351">
        <w:rPr>
          <w:rFonts w:ascii="Cambria Math" w:hAnsi="Cambria Math" w:cs="B Zar"/>
          <w:sz w:val="18"/>
          <w:szCs w:val="18"/>
        </w:rPr>
        <w:t xml:space="preserve">King and </w:t>
      </w:r>
      <w:proofErr w:type="spellStart"/>
      <w:r w:rsidRPr="008C5351">
        <w:rPr>
          <w:rFonts w:ascii="Cambria Math" w:hAnsi="Cambria Math" w:cs="B Zar"/>
          <w:sz w:val="18"/>
          <w:szCs w:val="18"/>
        </w:rPr>
        <w:t>Plosser</w:t>
      </w:r>
      <w:proofErr w:type="spellEnd"/>
      <w:r w:rsidRPr="008C5351">
        <w:rPr>
          <w:rFonts w:ascii="Cambria Math" w:hAnsi="Cambria Math" w:cs="B Zar"/>
          <w:sz w:val="18"/>
          <w:szCs w:val="18"/>
        </w:rPr>
        <w:t xml:space="preserve"> 2005</w:t>
      </w:r>
      <w:r w:rsidRPr="008C5351">
        <w:rPr>
          <w:rFonts w:ascii="Cambria Math" w:hAnsi="Cambria Math" w:cs="B Zar" w:hint="cs"/>
          <w:sz w:val="18"/>
          <w:szCs w:val="18"/>
          <w:rtl/>
        </w:rPr>
        <w:t xml:space="preserve">، </w:t>
      </w:r>
      <w:r w:rsidRPr="008C5351">
        <w:rPr>
          <w:rFonts w:ascii="Cambria Math" w:hAnsi="Cambria Math" w:cs="B Zar"/>
          <w:sz w:val="18"/>
          <w:szCs w:val="18"/>
        </w:rPr>
        <w:t xml:space="preserve">lepper and </w:t>
      </w:r>
      <w:proofErr w:type="spellStart"/>
      <w:r w:rsidRPr="008C5351">
        <w:rPr>
          <w:rFonts w:ascii="Cambria Math" w:hAnsi="Cambria Math" w:cs="B Zar"/>
          <w:sz w:val="18"/>
          <w:szCs w:val="18"/>
        </w:rPr>
        <w:t>Zha</w:t>
      </w:r>
      <w:proofErr w:type="spellEnd"/>
      <w:r w:rsidRPr="008C5351">
        <w:rPr>
          <w:rFonts w:ascii="Cambria Math" w:hAnsi="Cambria Math" w:cs="B Zar"/>
          <w:sz w:val="18"/>
          <w:szCs w:val="18"/>
        </w:rPr>
        <w:t>. 2000</w:t>
      </w:r>
      <w:r w:rsidRPr="008C5351">
        <w:rPr>
          <w:rFonts w:ascii="Cambria Math" w:hAnsi="Cambria Math" w:cs="B Zar" w:hint="cs"/>
          <w:sz w:val="18"/>
          <w:szCs w:val="18"/>
          <w:rtl/>
        </w:rPr>
        <w:t xml:space="preserve"> ، </w:t>
      </w:r>
      <w:r w:rsidRPr="008C5351">
        <w:rPr>
          <w:rFonts w:ascii="Cambria Math" w:hAnsi="Cambria Math" w:cs="B Zar"/>
          <w:sz w:val="18"/>
          <w:szCs w:val="18"/>
        </w:rPr>
        <w:t>Roberts. 1995</w:t>
      </w:r>
      <w:r w:rsidRPr="008C5351">
        <w:rPr>
          <w:rFonts w:ascii="Cambria Math" w:hAnsi="Cambria Math" w:cs="B Zar" w:hint="cs"/>
          <w:sz w:val="18"/>
          <w:szCs w:val="18"/>
          <w:rtl/>
        </w:rPr>
        <w:t xml:space="preserve"> </w:t>
      </w:r>
      <w:proofErr w:type="gramStart"/>
      <w:r w:rsidRPr="008C5351">
        <w:rPr>
          <w:rFonts w:ascii="Cambria Math" w:hAnsi="Cambria Math" w:cs="B Zar" w:hint="cs"/>
          <w:sz w:val="18"/>
          <w:szCs w:val="18"/>
          <w:rtl/>
        </w:rPr>
        <w:t xml:space="preserve">و </w:t>
      </w:r>
      <w:r w:rsidRPr="008C5351">
        <w:rPr>
          <w:rFonts w:ascii="Cambria Math" w:hAnsi="Cambria Math" w:cs="B Zar"/>
          <w:sz w:val="18"/>
          <w:szCs w:val="18"/>
        </w:rPr>
        <w:t>.Smith</w:t>
      </w:r>
      <w:proofErr w:type="gramEnd"/>
      <w:r w:rsidRPr="008C5351">
        <w:rPr>
          <w:rFonts w:ascii="Cambria Math" w:hAnsi="Cambria Math" w:cs="B Zar"/>
          <w:sz w:val="18"/>
          <w:szCs w:val="18"/>
        </w:rPr>
        <w:t xml:space="preserve"> and </w:t>
      </w:r>
      <w:proofErr w:type="spellStart"/>
      <w:r w:rsidRPr="008C5351">
        <w:rPr>
          <w:rFonts w:ascii="Cambria Math" w:hAnsi="Cambria Math" w:cs="B Zar"/>
          <w:sz w:val="18"/>
          <w:szCs w:val="18"/>
        </w:rPr>
        <w:t>Wickens</w:t>
      </w:r>
      <w:proofErr w:type="spellEnd"/>
      <w:r w:rsidRPr="008C5351">
        <w:rPr>
          <w:rFonts w:ascii="Cambria Math" w:hAnsi="Cambria Math" w:cs="B Zar"/>
          <w:sz w:val="18"/>
          <w:szCs w:val="18"/>
        </w:rPr>
        <w:t>. 2007</w:t>
      </w:r>
    </w:p>
  </w:footnote>
  <w:footnote w:id="389">
    <w:p w14:paraId="7C1F0E3A" w14:textId="77777777" w:rsidR="00556C10" w:rsidRPr="008C5351" w:rsidRDefault="00556C10" w:rsidP="00556C10">
      <w:pPr>
        <w:pStyle w:val="FootnoteText"/>
        <w:rPr>
          <w:rFonts w:ascii="Cambria Math" w:hAnsi="Cambria Math"/>
          <w:sz w:val="18"/>
          <w:szCs w:val="18"/>
          <w:rtl/>
        </w:rPr>
      </w:pPr>
      <w:r w:rsidRPr="008C5351">
        <w:rPr>
          <w:rStyle w:val="FootnoteReference"/>
          <w:rFonts w:ascii="Cambria Math" w:hAnsi="Cambria Math"/>
          <w:sz w:val="18"/>
          <w:szCs w:val="18"/>
        </w:rPr>
        <w:footnoteRef/>
      </w:r>
      <w:r w:rsidRPr="008C5351">
        <w:rPr>
          <w:rFonts w:ascii="Cambria Math" w:hAnsi="Cambria Math"/>
          <w:sz w:val="18"/>
          <w:szCs w:val="18"/>
        </w:rPr>
        <w:t xml:space="preserve"> </w:t>
      </w:r>
      <w:r w:rsidRPr="008C5351">
        <w:rPr>
          <w:rFonts w:ascii="Cambria Math" w:hAnsi="Cambria Math" w:cs="B Zar" w:hint="cs"/>
          <w:sz w:val="18"/>
          <w:szCs w:val="18"/>
          <w:rtl/>
        </w:rPr>
        <w:t>نگاه کنید به</w:t>
      </w:r>
      <w:r w:rsidRPr="008C5351">
        <w:rPr>
          <w:rFonts w:ascii="Cambria Math" w:hAnsi="Cambria Math" w:cs="B Zar"/>
          <w:sz w:val="18"/>
          <w:szCs w:val="18"/>
        </w:rPr>
        <w:t>2002 Canova and De Nicolo.</w:t>
      </w:r>
      <w:r w:rsidRPr="008C5351">
        <w:rPr>
          <w:rFonts w:ascii="Cambria Math" w:hAnsi="Cambria Math" w:cs="B Zar" w:hint="cs"/>
          <w:sz w:val="18"/>
          <w:szCs w:val="18"/>
          <w:rtl/>
        </w:rPr>
        <w:t>،</w:t>
      </w:r>
      <w:r w:rsidRPr="008C5351">
        <w:rPr>
          <w:rFonts w:ascii="Cambria Math" w:hAnsi="Cambria Math" w:cs="B Zar"/>
          <w:sz w:val="18"/>
          <w:szCs w:val="18"/>
        </w:rPr>
        <w:t xml:space="preserve"> </w:t>
      </w:r>
      <w:proofErr w:type="spellStart"/>
      <w:r w:rsidRPr="008C5351">
        <w:rPr>
          <w:rFonts w:ascii="Cambria Math" w:hAnsi="Cambria Math" w:cs="B Zar"/>
          <w:sz w:val="18"/>
          <w:szCs w:val="18"/>
        </w:rPr>
        <w:t>Christiano</w:t>
      </w:r>
      <w:proofErr w:type="spellEnd"/>
      <w:r w:rsidRPr="008C5351">
        <w:rPr>
          <w:rFonts w:ascii="Cambria Math" w:hAnsi="Cambria Math" w:cs="B Zar"/>
          <w:sz w:val="18"/>
          <w:szCs w:val="18"/>
        </w:rPr>
        <w:t xml:space="preserve"> et al. 1999, 2005 </w:t>
      </w:r>
      <w:r w:rsidRPr="008C5351">
        <w:rPr>
          <w:rFonts w:ascii="Cambria Math" w:hAnsi="Cambria Math" w:cs="B Zar" w:hint="cs"/>
          <w:sz w:val="18"/>
          <w:szCs w:val="18"/>
          <w:rtl/>
        </w:rPr>
        <w:t xml:space="preserve">و </w:t>
      </w:r>
      <w:r w:rsidRPr="008C5351">
        <w:rPr>
          <w:rFonts w:ascii="Cambria Math" w:hAnsi="Cambria Math" w:cs="B Zar"/>
          <w:sz w:val="18"/>
          <w:szCs w:val="18"/>
        </w:rPr>
        <w:t>Leeper et al. 1996</w:t>
      </w:r>
      <w:r w:rsidRPr="008C5351">
        <w:rPr>
          <w:rFonts w:ascii="Cambria Math" w:hAnsi="Cambria Math" w:cs="B Zar" w:hint="cs"/>
          <w:sz w:val="18"/>
          <w:szCs w:val="18"/>
          <w:rtl/>
        </w:rPr>
        <w:t>.</w:t>
      </w:r>
    </w:p>
  </w:footnote>
  <w:footnote w:id="390">
    <w:p w14:paraId="4E71BC1C" w14:textId="77777777" w:rsidR="00556C10" w:rsidRPr="008C5351" w:rsidRDefault="00556C10" w:rsidP="00556C10">
      <w:pPr>
        <w:rPr>
          <w:rFonts w:ascii="Cambria Math" w:hAnsi="Cambria Math"/>
          <w:sz w:val="18"/>
          <w:szCs w:val="18"/>
          <w:rtl/>
        </w:rPr>
      </w:pPr>
      <w:r w:rsidRPr="008C5351">
        <w:rPr>
          <w:rStyle w:val="FootnoteReference"/>
          <w:rFonts w:ascii="Cambria Math" w:hAnsi="Cambria Math"/>
          <w:sz w:val="18"/>
          <w:szCs w:val="18"/>
        </w:rPr>
        <w:footnoteRef/>
      </w:r>
      <w:r w:rsidRPr="008C5351">
        <w:rPr>
          <w:rFonts w:ascii="Cambria Math" w:hAnsi="Cambria Math"/>
          <w:sz w:val="18"/>
          <w:szCs w:val="18"/>
        </w:rPr>
        <w:t xml:space="preserve"> </w:t>
      </w:r>
      <w:r w:rsidRPr="008C5351">
        <w:rPr>
          <w:rFonts w:ascii="Cambria Math" w:hAnsi="Cambria Math" w:cs="B Zar" w:hint="cs"/>
          <w:sz w:val="18"/>
          <w:szCs w:val="18"/>
          <w:rtl/>
        </w:rPr>
        <w:t xml:space="preserve">برای مثال مراجعه شود به </w:t>
      </w:r>
      <w:proofErr w:type="spellStart"/>
      <w:r w:rsidRPr="008C5351">
        <w:rPr>
          <w:rFonts w:ascii="Cambria Math" w:hAnsi="Cambria Math" w:cs="B Zar"/>
          <w:sz w:val="18"/>
          <w:szCs w:val="18"/>
        </w:rPr>
        <w:t>Wickens</w:t>
      </w:r>
      <w:proofErr w:type="spellEnd"/>
      <w:r w:rsidRPr="008C5351">
        <w:rPr>
          <w:rFonts w:ascii="Cambria Math" w:hAnsi="Cambria Math" w:cs="B Zar"/>
          <w:sz w:val="18"/>
          <w:szCs w:val="18"/>
        </w:rPr>
        <w:t xml:space="preserve"> and Motto. </w:t>
      </w:r>
      <w:proofErr w:type="gramStart"/>
      <w:r w:rsidRPr="008C5351">
        <w:rPr>
          <w:rFonts w:ascii="Cambria Math" w:hAnsi="Cambria Math" w:cs="B Zar"/>
          <w:sz w:val="18"/>
          <w:szCs w:val="18"/>
        </w:rPr>
        <w:t>2000 ,Canova</w:t>
      </w:r>
      <w:proofErr w:type="gramEnd"/>
      <w:r w:rsidRPr="008C5351">
        <w:rPr>
          <w:rFonts w:ascii="Cambria Math" w:hAnsi="Cambria Math" w:cs="B Zar"/>
          <w:sz w:val="18"/>
          <w:szCs w:val="18"/>
        </w:rPr>
        <w:t>. 1995</w:t>
      </w:r>
      <w:r w:rsidRPr="008C5351">
        <w:rPr>
          <w:rFonts w:ascii="Cambria Math" w:hAnsi="Cambria Math" w:cs="B Zar" w:hint="cs"/>
          <w:sz w:val="18"/>
          <w:szCs w:val="18"/>
          <w:rtl/>
        </w:rPr>
        <w:t>.</w:t>
      </w:r>
    </w:p>
  </w:footnote>
  <w:footnote w:id="391">
    <w:p w14:paraId="7C4A4D85" w14:textId="77777777" w:rsidR="00556C10" w:rsidRPr="008C5351" w:rsidRDefault="00556C10" w:rsidP="00556C10">
      <w:pPr>
        <w:pStyle w:val="FootnoteText"/>
        <w:bidi w:val="0"/>
        <w:rPr>
          <w:rFonts w:ascii="Cambria Math" w:hAnsi="Cambria Math"/>
          <w:sz w:val="18"/>
          <w:szCs w:val="18"/>
          <w:rtl/>
        </w:rPr>
      </w:pPr>
      <w:r w:rsidRPr="008C5351">
        <w:rPr>
          <w:rStyle w:val="FootnoteReference"/>
          <w:rFonts w:ascii="Cambria Math" w:hAnsi="Cambria Math"/>
          <w:sz w:val="18"/>
          <w:szCs w:val="18"/>
        </w:rPr>
        <w:footnoteRef/>
      </w:r>
      <w:r w:rsidRPr="008C5351">
        <w:rPr>
          <w:rFonts w:ascii="Cambria Math" w:hAnsi="Cambria Math"/>
          <w:sz w:val="18"/>
          <w:szCs w:val="18"/>
        </w:rPr>
        <w:t xml:space="preserve"> </w:t>
      </w:r>
      <w:proofErr w:type="spellStart"/>
      <w:r w:rsidRPr="008C5351">
        <w:rPr>
          <w:rFonts w:ascii="Cambria Math" w:hAnsi="Cambria Math" w:cs="B Zar"/>
          <w:sz w:val="18"/>
          <w:szCs w:val="18"/>
        </w:rPr>
        <w:t>Smets</w:t>
      </w:r>
      <w:proofErr w:type="spellEnd"/>
      <w:r w:rsidRPr="008C5351">
        <w:rPr>
          <w:rFonts w:ascii="Cambria Math" w:hAnsi="Cambria Math" w:cs="B Zar"/>
          <w:sz w:val="18"/>
          <w:szCs w:val="18"/>
        </w:rPr>
        <w:t xml:space="preserve"> and </w:t>
      </w:r>
      <w:proofErr w:type="spellStart"/>
      <w:r w:rsidRPr="008C5351">
        <w:rPr>
          <w:rFonts w:ascii="Cambria Math" w:hAnsi="Cambria Math" w:cs="B Zar"/>
          <w:sz w:val="18"/>
          <w:szCs w:val="18"/>
        </w:rPr>
        <w:t>Wouters</w:t>
      </w:r>
      <w:proofErr w:type="spellEnd"/>
      <w:r w:rsidRPr="008C5351">
        <w:rPr>
          <w:rFonts w:ascii="Cambria Math" w:hAnsi="Cambria Math" w:cs="B Zar"/>
          <w:sz w:val="18"/>
          <w:szCs w:val="18"/>
        </w:rPr>
        <w:t xml:space="preserve"> 2003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10867"/>
    <w:multiLevelType w:val="hybridMultilevel"/>
    <w:tmpl w:val="C36C7B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1ED62126"/>
    <w:multiLevelType w:val="hybridMultilevel"/>
    <w:tmpl w:val="B5389A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2ACF0AA0"/>
    <w:multiLevelType w:val="hybridMultilevel"/>
    <w:tmpl w:val="1ED4F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9C6226E"/>
    <w:multiLevelType w:val="hybridMultilevel"/>
    <w:tmpl w:val="43186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4AF4092"/>
    <w:multiLevelType w:val="hybridMultilevel"/>
    <w:tmpl w:val="B4D618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4A207B83"/>
    <w:multiLevelType w:val="hybridMultilevel"/>
    <w:tmpl w:val="5B3C7952"/>
    <w:lvl w:ilvl="0" w:tplc="A7BC8442">
      <w:start w:val="1"/>
      <w:numFmt w:val="decimal"/>
      <w:pStyle w:val="1"/>
      <w:lvlText w:val="%1."/>
      <w:lvlJc w:val="left"/>
      <w:pPr>
        <w:ind w:left="36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CF4756D"/>
    <w:multiLevelType w:val="hybridMultilevel"/>
    <w:tmpl w:val="4B881506"/>
    <w:lvl w:ilvl="0" w:tplc="04090001">
      <w:start w:val="1"/>
      <w:numFmt w:val="bullet"/>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start w:val="1"/>
      <w:numFmt w:val="bullet"/>
      <w:lvlText w:val=""/>
      <w:lvlJc w:val="left"/>
      <w:pPr>
        <w:ind w:left="2444" w:hanging="360"/>
      </w:pPr>
      <w:rPr>
        <w:rFonts w:ascii="Wingdings" w:hAnsi="Wingdings" w:hint="default"/>
      </w:rPr>
    </w:lvl>
    <w:lvl w:ilvl="3" w:tplc="04090001">
      <w:start w:val="1"/>
      <w:numFmt w:val="bullet"/>
      <w:lvlText w:val=""/>
      <w:lvlJc w:val="left"/>
      <w:pPr>
        <w:ind w:left="3164" w:hanging="360"/>
      </w:pPr>
      <w:rPr>
        <w:rFonts w:ascii="Symbol" w:hAnsi="Symbol" w:hint="default"/>
      </w:rPr>
    </w:lvl>
    <w:lvl w:ilvl="4" w:tplc="04090003">
      <w:start w:val="1"/>
      <w:numFmt w:val="bullet"/>
      <w:lvlText w:val="o"/>
      <w:lvlJc w:val="left"/>
      <w:pPr>
        <w:ind w:left="3884" w:hanging="360"/>
      </w:pPr>
      <w:rPr>
        <w:rFonts w:ascii="Courier New" w:hAnsi="Courier New" w:cs="Courier New" w:hint="default"/>
      </w:rPr>
    </w:lvl>
    <w:lvl w:ilvl="5" w:tplc="04090005">
      <w:start w:val="1"/>
      <w:numFmt w:val="bullet"/>
      <w:lvlText w:val=""/>
      <w:lvlJc w:val="left"/>
      <w:pPr>
        <w:ind w:left="4604" w:hanging="360"/>
      </w:pPr>
      <w:rPr>
        <w:rFonts w:ascii="Wingdings" w:hAnsi="Wingdings" w:hint="default"/>
      </w:rPr>
    </w:lvl>
    <w:lvl w:ilvl="6" w:tplc="04090001">
      <w:start w:val="1"/>
      <w:numFmt w:val="bullet"/>
      <w:lvlText w:val=""/>
      <w:lvlJc w:val="left"/>
      <w:pPr>
        <w:ind w:left="5324" w:hanging="360"/>
      </w:pPr>
      <w:rPr>
        <w:rFonts w:ascii="Symbol" w:hAnsi="Symbol" w:hint="default"/>
      </w:rPr>
    </w:lvl>
    <w:lvl w:ilvl="7" w:tplc="04090003">
      <w:start w:val="1"/>
      <w:numFmt w:val="bullet"/>
      <w:lvlText w:val="o"/>
      <w:lvlJc w:val="left"/>
      <w:pPr>
        <w:ind w:left="6044" w:hanging="360"/>
      </w:pPr>
      <w:rPr>
        <w:rFonts w:ascii="Courier New" w:hAnsi="Courier New" w:cs="Courier New" w:hint="default"/>
      </w:rPr>
    </w:lvl>
    <w:lvl w:ilvl="8" w:tplc="04090005">
      <w:start w:val="1"/>
      <w:numFmt w:val="bullet"/>
      <w:lvlText w:val=""/>
      <w:lvlJc w:val="left"/>
      <w:pPr>
        <w:ind w:left="6764" w:hanging="360"/>
      </w:pPr>
      <w:rPr>
        <w:rFonts w:ascii="Wingdings" w:hAnsi="Wingdings" w:hint="default"/>
      </w:rPr>
    </w:lvl>
  </w:abstractNum>
  <w:abstractNum w:abstractNumId="7" w15:restartNumberingAfterBreak="0">
    <w:nsid w:val="4E5679C5"/>
    <w:multiLevelType w:val="hybridMultilevel"/>
    <w:tmpl w:val="9990C238"/>
    <w:lvl w:ilvl="0" w:tplc="04090001">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8" w15:restartNumberingAfterBreak="0">
    <w:nsid w:val="73387811"/>
    <w:multiLevelType w:val="hybridMultilevel"/>
    <w:tmpl w:val="120491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743A234F"/>
    <w:multiLevelType w:val="hybridMultilevel"/>
    <w:tmpl w:val="4DD2FF02"/>
    <w:lvl w:ilvl="0" w:tplc="04090001">
      <w:start w:val="1"/>
      <w:numFmt w:val="bullet"/>
      <w:lvlText w:val=""/>
      <w:lvlJc w:val="left"/>
      <w:pPr>
        <w:ind w:left="774" w:hanging="360"/>
      </w:pPr>
      <w:rPr>
        <w:rFonts w:ascii="Symbol" w:hAnsi="Symbol" w:hint="default"/>
      </w:rPr>
    </w:lvl>
    <w:lvl w:ilvl="1" w:tplc="04090003">
      <w:start w:val="1"/>
      <w:numFmt w:val="bullet"/>
      <w:lvlText w:val="o"/>
      <w:lvlJc w:val="left"/>
      <w:pPr>
        <w:ind w:left="1494" w:hanging="360"/>
      </w:pPr>
      <w:rPr>
        <w:rFonts w:ascii="Courier New" w:hAnsi="Courier New" w:cs="Courier New" w:hint="default"/>
      </w:rPr>
    </w:lvl>
    <w:lvl w:ilvl="2" w:tplc="04090005">
      <w:start w:val="1"/>
      <w:numFmt w:val="bullet"/>
      <w:lvlText w:val=""/>
      <w:lvlJc w:val="left"/>
      <w:pPr>
        <w:ind w:left="2214" w:hanging="360"/>
      </w:pPr>
      <w:rPr>
        <w:rFonts w:ascii="Wingdings" w:hAnsi="Wingdings" w:hint="default"/>
      </w:rPr>
    </w:lvl>
    <w:lvl w:ilvl="3" w:tplc="04090001">
      <w:start w:val="1"/>
      <w:numFmt w:val="bullet"/>
      <w:lvlText w:val=""/>
      <w:lvlJc w:val="left"/>
      <w:pPr>
        <w:ind w:left="2934" w:hanging="360"/>
      </w:pPr>
      <w:rPr>
        <w:rFonts w:ascii="Symbol" w:hAnsi="Symbol" w:hint="default"/>
      </w:rPr>
    </w:lvl>
    <w:lvl w:ilvl="4" w:tplc="04090003">
      <w:start w:val="1"/>
      <w:numFmt w:val="bullet"/>
      <w:lvlText w:val="o"/>
      <w:lvlJc w:val="left"/>
      <w:pPr>
        <w:ind w:left="3654" w:hanging="360"/>
      </w:pPr>
      <w:rPr>
        <w:rFonts w:ascii="Courier New" w:hAnsi="Courier New" w:cs="Courier New" w:hint="default"/>
      </w:rPr>
    </w:lvl>
    <w:lvl w:ilvl="5" w:tplc="04090005">
      <w:start w:val="1"/>
      <w:numFmt w:val="bullet"/>
      <w:lvlText w:val=""/>
      <w:lvlJc w:val="left"/>
      <w:pPr>
        <w:ind w:left="4374" w:hanging="360"/>
      </w:pPr>
      <w:rPr>
        <w:rFonts w:ascii="Wingdings" w:hAnsi="Wingdings" w:hint="default"/>
      </w:rPr>
    </w:lvl>
    <w:lvl w:ilvl="6" w:tplc="04090001">
      <w:start w:val="1"/>
      <w:numFmt w:val="bullet"/>
      <w:lvlText w:val=""/>
      <w:lvlJc w:val="left"/>
      <w:pPr>
        <w:ind w:left="5094" w:hanging="360"/>
      </w:pPr>
      <w:rPr>
        <w:rFonts w:ascii="Symbol" w:hAnsi="Symbol" w:hint="default"/>
      </w:rPr>
    </w:lvl>
    <w:lvl w:ilvl="7" w:tplc="04090003">
      <w:start w:val="1"/>
      <w:numFmt w:val="bullet"/>
      <w:lvlText w:val="o"/>
      <w:lvlJc w:val="left"/>
      <w:pPr>
        <w:ind w:left="5814" w:hanging="360"/>
      </w:pPr>
      <w:rPr>
        <w:rFonts w:ascii="Courier New" w:hAnsi="Courier New" w:cs="Courier New" w:hint="default"/>
      </w:rPr>
    </w:lvl>
    <w:lvl w:ilvl="8" w:tplc="04090005">
      <w:start w:val="1"/>
      <w:numFmt w:val="bullet"/>
      <w:lvlText w:val=""/>
      <w:lvlJc w:val="left"/>
      <w:pPr>
        <w:ind w:left="6534" w:hanging="360"/>
      </w:pPr>
      <w:rPr>
        <w:rFonts w:ascii="Wingdings" w:hAnsi="Wingdings" w:hint="default"/>
      </w:rPr>
    </w:lvl>
  </w:abstractNum>
  <w:num w:numId="1">
    <w:abstractNumId w:val="5"/>
  </w:num>
  <w:num w:numId="2">
    <w:abstractNumId w:val="2"/>
  </w:num>
  <w:num w:numId="3">
    <w:abstractNumId w:val="1"/>
  </w:num>
  <w:num w:numId="4">
    <w:abstractNumId w:val="7"/>
  </w:num>
  <w:num w:numId="5">
    <w:abstractNumId w:val="3"/>
  </w:num>
  <w:num w:numId="6">
    <w:abstractNumId w:val="0"/>
  </w:num>
  <w:num w:numId="7">
    <w:abstractNumId w:val="9"/>
  </w:num>
  <w:num w:numId="8">
    <w:abstractNumId w:val="8"/>
  </w:num>
  <w:num w:numId="9">
    <w:abstractNumId w:val="4"/>
  </w:num>
  <w:num w:numId="10">
    <w:abstractNumId w:val="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embedTrueTypeFonts/>
  <w:saveSubsetFonts/>
  <w:mirrorMargins/>
  <w:hideSpellingErrors/>
  <w:hideGrammaticalErrors/>
  <w:proofState w:spelling="clean" w:grammar="clean"/>
  <w:defaultTabStop w:val="284"/>
  <w:evenAndOddHeaders/>
  <w:drawingGridHorizontalSpacing w:val="6"/>
  <w:drawingGridVerticalSpacing w:val="6"/>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5C70"/>
    <w:rsid w:val="00001CE8"/>
    <w:rsid w:val="00010C04"/>
    <w:rsid w:val="0001148C"/>
    <w:rsid w:val="00012895"/>
    <w:rsid w:val="00014BEB"/>
    <w:rsid w:val="00016EE6"/>
    <w:rsid w:val="00017602"/>
    <w:rsid w:val="00017C48"/>
    <w:rsid w:val="00021FB7"/>
    <w:rsid w:val="000246AD"/>
    <w:rsid w:val="00025929"/>
    <w:rsid w:val="00030346"/>
    <w:rsid w:val="00035F91"/>
    <w:rsid w:val="00037A4C"/>
    <w:rsid w:val="00041570"/>
    <w:rsid w:val="00043F3E"/>
    <w:rsid w:val="000440B9"/>
    <w:rsid w:val="00053FE3"/>
    <w:rsid w:val="00054395"/>
    <w:rsid w:val="0005645B"/>
    <w:rsid w:val="00056ADE"/>
    <w:rsid w:val="000574EF"/>
    <w:rsid w:val="000578B2"/>
    <w:rsid w:val="00060499"/>
    <w:rsid w:val="00062128"/>
    <w:rsid w:val="000675F9"/>
    <w:rsid w:val="00070284"/>
    <w:rsid w:val="00071E80"/>
    <w:rsid w:val="000764C9"/>
    <w:rsid w:val="00077B56"/>
    <w:rsid w:val="00081984"/>
    <w:rsid w:val="0008544E"/>
    <w:rsid w:val="00085DAB"/>
    <w:rsid w:val="000860A0"/>
    <w:rsid w:val="00090A00"/>
    <w:rsid w:val="00090C71"/>
    <w:rsid w:val="000916E3"/>
    <w:rsid w:val="0009421A"/>
    <w:rsid w:val="0009527C"/>
    <w:rsid w:val="00097E46"/>
    <w:rsid w:val="000A1FF1"/>
    <w:rsid w:val="000A3344"/>
    <w:rsid w:val="000A5053"/>
    <w:rsid w:val="000B5D40"/>
    <w:rsid w:val="000B745C"/>
    <w:rsid w:val="000C01EC"/>
    <w:rsid w:val="000C04D2"/>
    <w:rsid w:val="000C0A49"/>
    <w:rsid w:val="000C1A0D"/>
    <w:rsid w:val="000C2544"/>
    <w:rsid w:val="000C33F4"/>
    <w:rsid w:val="000C3A78"/>
    <w:rsid w:val="000C5A4F"/>
    <w:rsid w:val="000D0755"/>
    <w:rsid w:val="000D0F91"/>
    <w:rsid w:val="000D280F"/>
    <w:rsid w:val="000D403D"/>
    <w:rsid w:val="000D4E3A"/>
    <w:rsid w:val="000D611B"/>
    <w:rsid w:val="000E21E0"/>
    <w:rsid w:val="000E5D29"/>
    <w:rsid w:val="000F1934"/>
    <w:rsid w:val="000F3951"/>
    <w:rsid w:val="000F67D2"/>
    <w:rsid w:val="000F6F51"/>
    <w:rsid w:val="000F7B0F"/>
    <w:rsid w:val="00100A27"/>
    <w:rsid w:val="0010111A"/>
    <w:rsid w:val="00102984"/>
    <w:rsid w:val="00104512"/>
    <w:rsid w:val="00105791"/>
    <w:rsid w:val="00107FCD"/>
    <w:rsid w:val="00110F5A"/>
    <w:rsid w:val="001137C6"/>
    <w:rsid w:val="00120792"/>
    <w:rsid w:val="00121069"/>
    <w:rsid w:val="00121F59"/>
    <w:rsid w:val="001243FA"/>
    <w:rsid w:val="00124E81"/>
    <w:rsid w:val="00127FF5"/>
    <w:rsid w:val="00132A06"/>
    <w:rsid w:val="00134846"/>
    <w:rsid w:val="00135A79"/>
    <w:rsid w:val="00141FF0"/>
    <w:rsid w:val="00143472"/>
    <w:rsid w:val="001441B4"/>
    <w:rsid w:val="00144DB0"/>
    <w:rsid w:val="001501F3"/>
    <w:rsid w:val="001561EA"/>
    <w:rsid w:val="00160041"/>
    <w:rsid w:val="00160761"/>
    <w:rsid w:val="00160796"/>
    <w:rsid w:val="00162DB0"/>
    <w:rsid w:val="00166D07"/>
    <w:rsid w:val="00171E04"/>
    <w:rsid w:val="00177AC8"/>
    <w:rsid w:val="001802D4"/>
    <w:rsid w:val="00181569"/>
    <w:rsid w:val="001829DD"/>
    <w:rsid w:val="0018597A"/>
    <w:rsid w:val="001865D0"/>
    <w:rsid w:val="00192F87"/>
    <w:rsid w:val="0019309D"/>
    <w:rsid w:val="0019661A"/>
    <w:rsid w:val="00197ADE"/>
    <w:rsid w:val="001A32B6"/>
    <w:rsid w:val="001A4909"/>
    <w:rsid w:val="001A4A6C"/>
    <w:rsid w:val="001A52C2"/>
    <w:rsid w:val="001B0258"/>
    <w:rsid w:val="001C1E2B"/>
    <w:rsid w:val="001C1FC9"/>
    <w:rsid w:val="001C702B"/>
    <w:rsid w:val="001C70EE"/>
    <w:rsid w:val="001D0DE3"/>
    <w:rsid w:val="001D1AD8"/>
    <w:rsid w:val="001D21D1"/>
    <w:rsid w:val="001D28FB"/>
    <w:rsid w:val="001D6155"/>
    <w:rsid w:val="001E00F6"/>
    <w:rsid w:val="001E5333"/>
    <w:rsid w:val="001E62CA"/>
    <w:rsid w:val="001F1086"/>
    <w:rsid w:val="001F1359"/>
    <w:rsid w:val="001F1F2B"/>
    <w:rsid w:val="001F3C7F"/>
    <w:rsid w:val="001F5736"/>
    <w:rsid w:val="001F72C3"/>
    <w:rsid w:val="00202A13"/>
    <w:rsid w:val="00202EBC"/>
    <w:rsid w:val="002108AD"/>
    <w:rsid w:val="00211236"/>
    <w:rsid w:val="00212187"/>
    <w:rsid w:val="00213BD9"/>
    <w:rsid w:val="00224FA9"/>
    <w:rsid w:val="00231994"/>
    <w:rsid w:val="00234CB5"/>
    <w:rsid w:val="002377BD"/>
    <w:rsid w:val="00237F03"/>
    <w:rsid w:val="002407C5"/>
    <w:rsid w:val="0024154E"/>
    <w:rsid w:val="00243129"/>
    <w:rsid w:val="002433CF"/>
    <w:rsid w:val="00244106"/>
    <w:rsid w:val="00244D2E"/>
    <w:rsid w:val="00246B87"/>
    <w:rsid w:val="00246D34"/>
    <w:rsid w:val="00246FA9"/>
    <w:rsid w:val="00250D61"/>
    <w:rsid w:val="00252B5F"/>
    <w:rsid w:val="0025672A"/>
    <w:rsid w:val="00257A38"/>
    <w:rsid w:val="00261AAD"/>
    <w:rsid w:val="002626EE"/>
    <w:rsid w:val="00262DF2"/>
    <w:rsid w:val="00264214"/>
    <w:rsid w:val="002724C4"/>
    <w:rsid w:val="0027404B"/>
    <w:rsid w:val="00274C2C"/>
    <w:rsid w:val="00274CC7"/>
    <w:rsid w:val="00276646"/>
    <w:rsid w:val="00277E32"/>
    <w:rsid w:val="00282A17"/>
    <w:rsid w:val="00284964"/>
    <w:rsid w:val="00294EEB"/>
    <w:rsid w:val="002961D3"/>
    <w:rsid w:val="00296B41"/>
    <w:rsid w:val="002A18E3"/>
    <w:rsid w:val="002A3A9D"/>
    <w:rsid w:val="002A467E"/>
    <w:rsid w:val="002A50AE"/>
    <w:rsid w:val="002A6E68"/>
    <w:rsid w:val="002A7A01"/>
    <w:rsid w:val="002B010D"/>
    <w:rsid w:val="002B0772"/>
    <w:rsid w:val="002B27FC"/>
    <w:rsid w:val="002B5AB2"/>
    <w:rsid w:val="002B63C9"/>
    <w:rsid w:val="002B6BEB"/>
    <w:rsid w:val="002C08FF"/>
    <w:rsid w:val="002C1F1A"/>
    <w:rsid w:val="002C26CF"/>
    <w:rsid w:val="002C2B63"/>
    <w:rsid w:val="002C2F08"/>
    <w:rsid w:val="002C3F58"/>
    <w:rsid w:val="002C6F46"/>
    <w:rsid w:val="002D2E18"/>
    <w:rsid w:val="002E09C2"/>
    <w:rsid w:val="002E2A46"/>
    <w:rsid w:val="002E30AC"/>
    <w:rsid w:val="002E4AD6"/>
    <w:rsid w:val="002E7548"/>
    <w:rsid w:val="002F044E"/>
    <w:rsid w:val="002F2AB4"/>
    <w:rsid w:val="002F4729"/>
    <w:rsid w:val="002F4A6D"/>
    <w:rsid w:val="002F535E"/>
    <w:rsid w:val="00300BA9"/>
    <w:rsid w:val="00302418"/>
    <w:rsid w:val="00303715"/>
    <w:rsid w:val="00305E6F"/>
    <w:rsid w:val="00305FA8"/>
    <w:rsid w:val="00306192"/>
    <w:rsid w:val="003078B6"/>
    <w:rsid w:val="00311CB1"/>
    <w:rsid w:val="00311E0D"/>
    <w:rsid w:val="00312E0B"/>
    <w:rsid w:val="00313B9C"/>
    <w:rsid w:val="00313C53"/>
    <w:rsid w:val="00317FB5"/>
    <w:rsid w:val="00320BD5"/>
    <w:rsid w:val="00327C71"/>
    <w:rsid w:val="00327FD1"/>
    <w:rsid w:val="0033043B"/>
    <w:rsid w:val="0033189A"/>
    <w:rsid w:val="00331A3B"/>
    <w:rsid w:val="00332CF7"/>
    <w:rsid w:val="00332E6E"/>
    <w:rsid w:val="003333E9"/>
    <w:rsid w:val="00335845"/>
    <w:rsid w:val="00340B91"/>
    <w:rsid w:val="0034101D"/>
    <w:rsid w:val="003418BC"/>
    <w:rsid w:val="00345021"/>
    <w:rsid w:val="00345A3B"/>
    <w:rsid w:val="00347927"/>
    <w:rsid w:val="003513D3"/>
    <w:rsid w:val="00351B74"/>
    <w:rsid w:val="00352F10"/>
    <w:rsid w:val="0035330E"/>
    <w:rsid w:val="003551CF"/>
    <w:rsid w:val="0035759F"/>
    <w:rsid w:val="00362FE4"/>
    <w:rsid w:val="003640CA"/>
    <w:rsid w:val="00367625"/>
    <w:rsid w:val="00370301"/>
    <w:rsid w:val="003730ED"/>
    <w:rsid w:val="00373D13"/>
    <w:rsid w:val="003745BC"/>
    <w:rsid w:val="003750BC"/>
    <w:rsid w:val="0037568A"/>
    <w:rsid w:val="00375FD4"/>
    <w:rsid w:val="003820A0"/>
    <w:rsid w:val="00383CAB"/>
    <w:rsid w:val="003918D5"/>
    <w:rsid w:val="00392F1C"/>
    <w:rsid w:val="003932A9"/>
    <w:rsid w:val="00394190"/>
    <w:rsid w:val="0039447B"/>
    <w:rsid w:val="00394A88"/>
    <w:rsid w:val="003A2127"/>
    <w:rsid w:val="003A4D86"/>
    <w:rsid w:val="003A5AFD"/>
    <w:rsid w:val="003A65E4"/>
    <w:rsid w:val="003B2068"/>
    <w:rsid w:val="003B2D4E"/>
    <w:rsid w:val="003B48B5"/>
    <w:rsid w:val="003B4D0C"/>
    <w:rsid w:val="003C0068"/>
    <w:rsid w:val="003C1000"/>
    <w:rsid w:val="003C299D"/>
    <w:rsid w:val="003C2B92"/>
    <w:rsid w:val="003C3108"/>
    <w:rsid w:val="003C4310"/>
    <w:rsid w:val="003C6922"/>
    <w:rsid w:val="003D0D84"/>
    <w:rsid w:val="003D1C0B"/>
    <w:rsid w:val="003D35E3"/>
    <w:rsid w:val="003D3A1A"/>
    <w:rsid w:val="003D3E36"/>
    <w:rsid w:val="003D71DC"/>
    <w:rsid w:val="003E0035"/>
    <w:rsid w:val="003E0EF7"/>
    <w:rsid w:val="003E553E"/>
    <w:rsid w:val="003E75E2"/>
    <w:rsid w:val="003E766C"/>
    <w:rsid w:val="003F26B9"/>
    <w:rsid w:val="003F4122"/>
    <w:rsid w:val="004021BD"/>
    <w:rsid w:val="004030D9"/>
    <w:rsid w:val="00406E8B"/>
    <w:rsid w:val="00407E46"/>
    <w:rsid w:val="00411620"/>
    <w:rsid w:val="0041191E"/>
    <w:rsid w:val="00415323"/>
    <w:rsid w:val="00416762"/>
    <w:rsid w:val="00420655"/>
    <w:rsid w:val="00423494"/>
    <w:rsid w:val="004307E9"/>
    <w:rsid w:val="004356EA"/>
    <w:rsid w:val="004378AB"/>
    <w:rsid w:val="00437DB3"/>
    <w:rsid w:val="00440FCB"/>
    <w:rsid w:val="00441FBE"/>
    <w:rsid w:val="00443122"/>
    <w:rsid w:val="00445B07"/>
    <w:rsid w:val="00446436"/>
    <w:rsid w:val="00450212"/>
    <w:rsid w:val="00450D48"/>
    <w:rsid w:val="00451D85"/>
    <w:rsid w:val="00452DD5"/>
    <w:rsid w:val="0045380F"/>
    <w:rsid w:val="00453B1D"/>
    <w:rsid w:val="00456143"/>
    <w:rsid w:val="004565C0"/>
    <w:rsid w:val="004578FB"/>
    <w:rsid w:val="0046098C"/>
    <w:rsid w:val="00461254"/>
    <w:rsid w:val="004639BA"/>
    <w:rsid w:val="00464D42"/>
    <w:rsid w:val="00467DB7"/>
    <w:rsid w:val="0047044E"/>
    <w:rsid w:val="00472BA1"/>
    <w:rsid w:val="004732F5"/>
    <w:rsid w:val="00474143"/>
    <w:rsid w:val="00475CD0"/>
    <w:rsid w:val="00476577"/>
    <w:rsid w:val="00477FD0"/>
    <w:rsid w:val="00480494"/>
    <w:rsid w:val="00483AA5"/>
    <w:rsid w:val="00484DFC"/>
    <w:rsid w:val="00487EF0"/>
    <w:rsid w:val="0049655C"/>
    <w:rsid w:val="0049793D"/>
    <w:rsid w:val="004A024D"/>
    <w:rsid w:val="004B0CAE"/>
    <w:rsid w:val="004B3C18"/>
    <w:rsid w:val="004B5E69"/>
    <w:rsid w:val="004B6B8F"/>
    <w:rsid w:val="004B77E6"/>
    <w:rsid w:val="004C0401"/>
    <w:rsid w:val="004C2965"/>
    <w:rsid w:val="004C4D83"/>
    <w:rsid w:val="004C5332"/>
    <w:rsid w:val="004C5D45"/>
    <w:rsid w:val="004D7856"/>
    <w:rsid w:val="004D7C96"/>
    <w:rsid w:val="004E42FC"/>
    <w:rsid w:val="004E61CF"/>
    <w:rsid w:val="004E7567"/>
    <w:rsid w:val="004E7E79"/>
    <w:rsid w:val="004F01C7"/>
    <w:rsid w:val="004F3143"/>
    <w:rsid w:val="004F32BD"/>
    <w:rsid w:val="00500A31"/>
    <w:rsid w:val="00503000"/>
    <w:rsid w:val="0050496D"/>
    <w:rsid w:val="00511593"/>
    <w:rsid w:val="00514A20"/>
    <w:rsid w:val="005163D4"/>
    <w:rsid w:val="0051717D"/>
    <w:rsid w:val="00520A93"/>
    <w:rsid w:val="00522418"/>
    <w:rsid w:val="00523F6F"/>
    <w:rsid w:val="00525917"/>
    <w:rsid w:val="00526434"/>
    <w:rsid w:val="0052785E"/>
    <w:rsid w:val="0053035C"/>
    <w:rsid w:val="00532C87"/>
    <w:rsid w:val="005356FD"/>
    <w:rsid w:val="00536FF1"/>
    <w:rsid w:val="0055008C"/>
    <w:rsid w:val="0055104B"/>
    <w:rsid w:val="00554C1D"/>
    <w:rsid w:val="00555ACE"/>
    <w:rsid w:val="00556C10"/>
    <w:rsid w:val="00560BE2"/>
    <w:rsid w:val="005635E1"/>
    <w:rsid w:val="00567F49"/>
    <w:rsid w:val="00571B27"/>
    <w:rsid w:val="00577979"/>
    <w:rsid w:val="00580018"/>
    <w:rsid w:val="0058222E"/>
    <w:rsid w:val="00586239"/>
    <w:rsid w:val="005918AE"/>
    <w:rsid w:val="00591961"/>
    <w:rsid w:val="005941AE"/>
    <w:rsid w:val="0059430B"/>
    <w:rsid w:val="00595645"/>
    <w:rsid w:val="005964C0"/>
    <w:rsid w:val="005968F3"/>
    <w:rsid w:val="00597128"/>
    <w:rsid w:val="005A3D8B"/>
    <w:rsid w:val="005B18DE"/>
    <w:rsid w:val="005B2967"/>
    <w:rsid w:val="005B2E57"/>
    <w:rsid w:val="005B335E"/>
    <w:rsid w:val="005C3BD5"/>
    <w:rsid w:val="005C586B"/>
    <w:rsid w:val="005D194E"/>
    <w:rsid w:val="005D1F53"/>
    <w:rsid w:val="005D38FF"/>
    <w:rsid w:val="005D3F23"/>
    <w:rsid w:val="005D7F59"/>
    <w:rsid w:val="005E457D"/>
    <w:rsid w:val="005F024F"/>
    <w:rsid w:val="005F0B2D"/>
    <w:rsid w:val="005F1A64"/>
    <w:rsid w:val="005F3E21"/>
    <w:rsid w:val="00601077"/>
    <w:rsid w:val="00605993"/>
    <w:rsid w:val="00605AB7"/>
    <w:rsid w:val="00611E5B"/>
    <w:rsid w:val="00613B9B"/>
    <w:rsid w:val="0061459F"/>
    <w:rsid w:val="006161F2"/>
    <w:rsid w:val="00616CEA"/>
    <w:rsid w:val="0062227F"/>
    <w:rsid w:val="006256FE"/>
    <w:rsid w:val="00625E28"/>
    <w:rsid w:val="0062719E"/>
    <w:rsid w:val="00627CE1"/>
    <w:rsid w:val="00630063"/>
    <w:rsid w:val="00630E17"/>
    <w:rsid w:val="006319A5"/>
    <w:rsid w:val="00631E71"/>
    <w:rsid w:val="00632B9C"/>
    <w:rsid w:val="00634979"/>
    <w:rsid w:val="00637C05"/>
    <w:rsid w:val="00646D30"/>
    <w:rsid w:val="00653983"/>
    <w:rsid w:val="00654387"/>
    <w:rsid w:val="006552F5"/>
    <w:rsid w:val="00656484"/>
    <w:rsid w:val="00657864"/>
    <w:rsid w:val="00661991"/>
    <w:rsid w:val="00677619"/>
    <w:rsid w:val="00677C76"/>
    <w:rsid w:val="00682317"/>
    <w:rsid w:val="006832EB"/>
    <w:rsid w:val="00685B37"/>
    <w:rsid w:val="00686956"/>
    <w:rsid w:val="00687EA9"/>
    <w:rsid w:val="0069010C"/>
    <w:rsid w:val="006911E0"/>
    <w:rsid w:val="0069274B"/>
    <w:rsid w:val="00694F3E"/>
    <w:rsid w:val="00695699"/>
    <w:rsid w:val="00696295"/>
    <w:rsid w:val="006A3200"/>
    <w:rsid w:val="006A788A"/>
    <w:rsid w:val="006B5BED"/>
    <w:rsid w:val="006C1A3A"/>
    <w:rsid w:val="006C285F"/>
    <w:rsid w:val="006C31D2"/>
    <w:rsid w:val="006C3E30"/>
    <w:rsid w:val="006C7338"/>
    <w:rsid w:val="006D2FA7"/>
    <w:rsid w:val="006D3502"/>
    <w:rsid w:val="006D3C4C"/>
    <w:rsid w:val="006D559C"/>
    <w:rsid w:val="006D6FED"/>
    <w:rsid w:val="006E0FAA"/>
    <w:rsid w:val="006E20FE"/>
    <w:rsid w:val="006E3075"/>
    <w:rsid w:val="006E4C1C"/>
    <w:rsid w:val="006E6647"/>
    <w:rsid w:val="006E6DF8"/>
    <w:rsid w:val="006F24CD"/>
    <w:rsid w:val="006F28CB"/>
    <w:rsid w:val="006F2BE5"/>
    <w:rsid w:val="006F4DD4"/>
    <w:rsid w:val="006F6E9E"/>
    <w:rsid w:val="006F71BD"/>
    <w:rsid w:val="006F71BF"/>
    <w:rsid w:val="007069E7"/>
    <w:rsid w:val="00715D09"/>
    <w:rsid w:val="007170C9"/>
    <w:rsid w:val="00722987"/>
    <w:rsid w:val="007240F6"/>
    <w:rsid w:val="007241B9"/>
    <w:rsid w:val="00725D14"/>
    <w:rsid w:val="00726029"/>
    <w:rsid w:val="00732C47"/>
    <w:rsid w:val="0073403E"/>
    <w:rsid w:val="007356A8"/>
    <w:rsid w:val="00737CD5"/>
    <w:rsid w:val="00743DBB"/>
    <w:rsid w:val="00743FD0"/>
    <w:rsid w:val="007450B0"/>
    <w:rsid w:val="0074672C"/>
    <w:rsid w:val="00751463"/>
    <w:rsid w:val="007518B2"/>
    <w:rsid w:val="00754885"/>
    <w:rsid w:val="00756442"/>
    <w:rsid w:val="00757A37"/>
    <w:rsid w:val="00767315"/>
    <w:rsid w:val="007701A1"/>
    <w:rsid w:val="00771959"/>
    <w:rsid w:val="00773EFF"/>
    <w:rsid w:val="007752B6"/>
    <w:rsid w:val="0078161E"/>
    <w:rsid w:val="00782630"/>
    <w:rsid w:val="00783567"/>
    <w:rsid w:val="00784514"/>
    <w:rsid w:val="00785871"/>
    <w:rsid w:val="0078668B"/>
    <w:rsid w:val="00790C69"/>
    <w:rsid w:val="00793049"/>
    <w:rsid w:val="00795D90"/>
    <w:rsid w:val="007A0A76"/>
    <w:rsid w:val="007A1ADC"/>
    <w:rsid w:val="007A3DC2"/>
    <w:rsid w:val="007A46C1"/>
    <w:rsid w:val="007B1A76"/>
    <w:rsid w:val="007B2F19"/>
    <w:rsid w:val="007B422F"/>
    <w:rsid w:val="007B53B3"/>
    <w:rsid w:val="007B5E5B"/>
    <w:rsid w:val="007C03F5"/>
    <w:rsid w:val="007C2FFF"/>
    <w:rsid w:val="007C69F4"/>
    <w:rsid w:val="007D13C9"/>
    <w:rsid w:val="007D2B36"/>
    <w:rsid w:val="007D3C69"/>
    <w:rsid w:val="007D4E4C"/>
    <w:rsid w:val="007E26AA"/>
    <w:rsid w:val="007F0B60"/>
    <w:rsid w:val="007F103A"/>
    <w:rsid w:val="007F3276"/>
    <w:rsid w:val="007F3B65"/>
    <w:rsid w:val="007F71D5"/>
    <w:rsid w:val="00800156"/>
    <w:rsid w:val="0080075A"/>
    <w:rsid w:val="008028DA"/>
    <w:rsid w:val="008041F5"/>
    <w:rsid w:val="00804A32"/>
    <w:rsid w:val="008050CC"/>
    <w:rsid w:val="0080597F"/>
    <w:rsid w:val="00805F9C"/>
    <w:rsid w:val="0080685D"/>
    <w:rsid w:val="00806FFC"/>
    <w:rsid w:val="008123DD"/>
    <w:rsid w:val="00812715"/>
    <w:rsid w:val="008134C6"/>
    <w:rsid w:val="00815170"/>
    <w:rsid w:val="00816251"/>
    <w:rsid w:val="008162B5"/>
    <w:rsid w:val="00821026"/>
    <w:rsid w:val="008227DE"/>
    <w:rsid w:val="00836BD4"/>
    <w:rsid w:val="00837EFB"/>
    <w:rsid w:val="00837F0E"/>
    <w:rsid w:val="008403B8"/>
    <w:rsid w:val="008417CB"/>
    <w:rsid w:val="00842132"/>
    <w:rsid w:val="00847312"/>
    <w:rsid w:val="00852B19"/>
    <w:rsid w:val="00853661"/>
    <w:rsid w:val="008547D7"/>
    <w:rsid w:val="0085514B"/>
    <w:rsid w:val="00862397"/>
    <w:rsid w:val="00865100"/>
    <w:rsid w:val="00872EBB"/>
    <w:rsid w:val="0087321E"/>
    <w:rsid w:val="00874874"/>
    <w:rsid w:val="00875150"/>
    <w:rsid w:val="00876A6C"/>
    <w:rsid w:val="0088451E"/>
    <w:rsid w:val="00884F56"/>
    <w:rsid w:val="00885895"/>
    <w:rsid w:val="00890057"/>
    <w:rsid w:val="00890C02"/>
    <w:rsid w:val="00892293"/>
    <w:rsid w:val="0089271E"/>
    <w:rsid w:val="00894358"/>
    <w:rsid w:val="00897945"/>
    <w:rsid w:val="008A0CC6"/>
    <w:rsid w:val="008A4744"/>
    <w:rsid w:val="008A5EF4"/>
    <w:rsid w:val="008A6EAD"/>
    <w:rsid w:val="008B23DE"/>
    <w:rsid w:val="008B4514"/>
    <w:rsid w:val="008B528E"/>
    <w:rsid w:val="008B5824"/>
    <w:rsid w:val="008B6A89"/>
    <w:rsid w:val="008B7963"/>
    <w:rsid w:val="008B7F06"/>
    <w:rsid w:val="008C351B"/>
    <w:rsid w:val="008C614F"/>
    <w:rsid w:val="008C6CCC"/>
    <w:rsid w:val="008D14B2"/>
    <w:rsid w:val="008D27EC"/>
    <w:rsid w:val="008D29F6"/>
    <w:rsid w:val="008D4A61"/>
    <w:rsid w:val="008D77E9"/>
    <w:rsid w:val="008E1A0C"/>
    <w:rsid w:val="008E2723"/>
    <w:rsid w:val="008E5BE6"/>
    <w:rsid w:val="008E64C1"/>
    <w:rsid w:val="008E73A7"/>
    <w:rsid w:val="008E79B8"/>
    <w:rsid w:val="008F37F5"/>
    <w:rsid w:val="008F3A19"/>
    <w:rsid w:val="008F54F6"/>
    <w:rsid w:val="009015D3"/>
    <w:rsid w:val="009029A3"/>
    <w:rsid w:val="00906504"/>
    <w:rsid w:val="00906670"/>
    <w:rsid w:val="0090736A"/>
    <w:rsid w:val="00907612"/>
    <w:rsid w:val="00911142"/>
    <w:rsid w:val="00912CC7"/>
    <w:rsid w:val="00913C67"/>
    <w:rsid w:val="00914374"/>
    <w:rsid w:val="0092132A"/>
    <w:rsid w:val="009219CD"/>
    <w:rsid w:val="00921AFB"/>
    <w:rsid w:val="00921B17"/>
    <w:rsid w:val="00922014"/>
    <w:rsid w:val="009266CC"/>
    <w:rsid w:val="00927107"/>
    <w:rsid w:val="00934E3A"/>
    <w:rsid w:val="0093591E"/>
    <w:rsid w:val="00936C71"/>
    <w:rsid w:val="00941254"/>
    <w:rsid w:val="009459D7"/>
    <w:rsid w:val="009470F6"/>
    <w:rsid w:val="009508AE"/>
    <w:rsid w:val="009529D8"/>
    <w:rsid w:val="009613BF"/>
    <w:rsid w:val="00964A4B"/>
    <w:rsid w:val="009675C0"/>
    <w:rsid w:val="00971B84"/>
    <w:rsid w:val="009720B5"/>
    <w:rsid w:val="00972B8F"/>
    <w:rsid w:val="00976FBB"/>
    <w:rsid w:val="009820C5"/>
    <w:rsid w:val="00984234"/>
    <w:rsid w:val="0098549C"/>
    <w:rsid w:val="00987A46"/>
    <w:rsid w:val="00994612"/>
    <w:rsid w:val="00997729"/>
    <w:rsid w:val="00997DDF"/>
    <w:rsid w:val="009B2B63"/>
    <w:rsid w:val="009B7F9A"/>
    <w:rsid w:val="009C0102"/>
    <w:rsid w:val="009C3D7A"/>
    <w:rsid w:val="009C4071"/>
    <w:rsid w:val="009C4C74"/>
    <w:rsid w:val="009D058D"/>
    <w:rsid w:val="009D25A5"/>
    <w:rsid w:val="009D3801"/>
    <w:rsid w:val="009D4CB7"/>
    <w:rsid w:val="009E251B"/>
    <w:rsid w:val="009E3657"/>
    <w:rsid w:val="009E67A8"/>
    <w:rsid w:val="009F0E75"/>
    <w:rsid w:val="009F162D"/>
    <w:rsid w:val="009F1E8E"/>
    <w:rsid w:val="009F4463"/>
    <w:rsid w:val="009F7641"/>
    <w:rsid w:val="00A05AD2"/>
    <w:rsid w:val="00A064CA"/>
    <w:rsid w:val="00A0691E"/>
    <w:rsid w:val="00A10551"/>
    <w:rsid w:val="00A144CD"/>
    <w:rsid w:val="00A147DC"/>
    <w:rsid w:val="00A15E1C"/>
    <w:rsid w:val="00A20ECB"/>
    <w:rsid w:val="00A21107"/>
    <w:rsid w:val="00A211C7"/>
    <w:rsid w:val="00A211D7"/>
    <w:rsid w:val="00A2263B"/>
    <w:rsid w:val="00A27F1C"/>
    <w:rsid w:val="00A32EA1"/>
    <w:rsid w:val="00A33B92"/>
    <w:rsid w:val="00A36860"/>
    <w:rsid w:val="00A402B5"/>
    <w:rsid w:val="00A416A0"/>
    <w:rsid w:val="00A42018"/>
    <w:rsid w:val="00A43D80"/>
    <w:rsid w:val="00A51383"/>
    <w:rsid w:val="00A57AC0"/>
    <w:rsid w:val="00A6346C"/>
    <w:rsid w:val="00A64B73"/>
    <w:rsid w:val="00A65791"/>
    <w:rsid w:val="00A67CAD"/>
    <w:rsid w:val="00A71406"/>
    <w:rsid w:val="00A71F0A"/>
    <w:rsid w:val="00A76AAB"/>
    <w:rsid w:val="00A77253"/>
    <w:rsid w:val="00A777BD"/>
    <w:rsid w:val="00A83321"/>
    <w:rsid w:val="00A83639"/>
    <w:rsid w:val="00A83C91"/>
    <w:rsid w:val="00A847CA"/>
    <w:rsid w:val="00A854CB"/>
    <w:rsid w:val="00A95F68"/>
    <w:rsid w:val="00A971E9"/>
    <w:rsid w:val="00AA0094"/>
    <w:rsid w:val="00AA042F"/>
    <w:rsid w:val="00AA1195"/>
    <w:rsid w:val="00AA1353"/>
    <w:rsid w:val="00AA3C8D"/>
    <w:rsid w:val="00AA7804"/>
    <w:rsid w:val="00AB3484"/>
    <w:rsid w:val="00AB381D"/>
    <w:rsid w:val="00AB5D68"/>
    <w:rsid w:val="00AC15A6"/>
    <w:rsid w:val="00AC2292"/>
    <w:rsid w:val="00AC2B63"/>
    <w:rsid w:val="00AC5C50"/>
    <w:rsid w:val="00AC7447"/>
    <w:rsid w:val="00AD021F"/>
    <w:rsid w:val="00AD05FA"/>
    <w:rsid w:val="00AD11CE"/>
    <w:rsid w:val="00AD19F7"/>
    <w:rsid w:val="00AD2599"/>
    <w:rsid w:val="00AD5F44"/>
    <w:rsid w:val="00AE38F3"/>
    <w:rsid w:val="00AE430A"/>
    <w:rsid w:val="00AF1D45"/>
    <w:rsid w:val="00AF2282"/>
    <w:rsid w:val="00AF4320"/>
    <w:rsid w:val="00B01AE2"/>
    <w:rsid w:val="00B03C81"/>
    <w:rsid w:val="00B05A0C"/>
    <w:rsid w:val="00B06B64"/>
    <w:rsid w:val="00B06B78"/>
    <w:rsid w:val="00B13AC6"/>
    <w:rsid w:val="00B161F4"/>
    <w:rsid w:val="00B226A7"/>
    <w:rsid w:val="00B228E2"/>
    <w:rsid w:val="00B2307C"/>
    <w:rsid w:val="00B2401E"/>
    <w:rsid w:val="00B26C4D"/>
    <w:rsid w:val="00B313E2"/>
    <w:rsid w:val="00B339DB"/>
    <w:rsid w:val="00B33F10"/>
    <w:rsid w:val="00B34510"/>
    <w:rsid w:val="00B36475"/>
    <w:rsid w:val="00B404E3"/>
    <w:rsid w:val="00B43CEB"/>
    <w:rsid w:val="00B440DB"/>
    <w:rsid w:val="00B47FA3"/>
    <w:rsid w:val="00B5146C"/>
    <w:rsid w:val="00B5179F"/>
    <w:rsid w:val="00B51E72"/>
    <w:rsid w:val="00B53388"/>
    <w:rsid w:val="00B554A7"/>
    <w:rsid w:val="00B56283"/>
    <w:rsid w:val="00B666F1"/>
    <w:rsid w:val="00B6768E"/>
    <w:rsid w:val="00B72BEC"/>
    <w:rsid w:val="00B72C08"/>
    <w:rsid w:val="00B736F3"/>
    <w:rsid w:val="00B74CA4"/>
    <w:rsid w:val="00B81DF1"/>
    <w:rsid w:val="00B82B56"/>
    <w:rsid w:val="00B877C1"/>
    <w:rsid w:val="00B90721"/>
    <w:rsid w:val="00B94E52"/>
    <w:rsid w:val="00B954D2"/>
    <w:rsid w:val="00B9662D"/>
    <w:rsid w:val="00B97029"/>
    <w:rsid w:val="00BA19D4"/>
    <w:rsid w:val="00BA2E81"/>
    <w:rsid w:val="00BA534B"/>
    <w:rsid w:val="00BA71E9"/>
    <w:rsid w:val="00BB1002"/>
    <w:rsid w:val="00BB1223"/>
    <w:rsid w:val="00BB1926"/>
    <w:rsid w:val="00BB2E79"/>
    <w:rsid w:val="00BB3BE3"/>
    <w:rsid w:val="00BB47B6"/>
    <w:rsid w:val="00BB6AEB"/>
    <w:rsid w:val="00BB7A7A"/>
    <w:rsid w:val="00BC1810"/>
    <w:rsid w:val="00BC1E66"/>
    <w:rsid w:val="00BC3122"/>
    <w:rsid w:val="00BC5A54"/>
    <w:rsid w:val="00BC65E6"/>
    <w:rsid w:val="00BD00B0"/>
    <w:rsid w:val="00BD0165"/>
    <w:rsid w:val="00BD1909"/>
    <w:rsid w:val="00BD3C1D"/>
    <w:rsid w:val="00BD4580"/>
    <w:rsid w:val="00BD5606"/>
    <w:rsid w:val="00BD68C6"/>
    <w:rsid w:val="00BE6D8A"/>
    <w:rsid w:val="00BE6F07"/>
    <w:rsid w:val="00BF16BA"/>
    <w:rsid w:val="00BF1AA2"/>
    <w:rsid w:val="00BF5650"/>
    <w:rsid w:val="00BF56FA"/>
    <w:rsid w:val="00BF6745"/>
    <w:rsid w:val="00BF6910"/>
    <w:rsid w:val="00C00119"/>
    <w:rsid w:val="00C01232"/>
    <w:rsid w:val="00C04D74"/>
    <w:rsid w:val="00C051B8"/>
    <w:rsid w:val="00C112F0"/>
    <w:rsid w:val="00C117DA"/>
    <w:rsid w:val="00C12151"/>
    <w:rsid w:val="00C12F40"/>
    <w:rsid w:val="00C12F8D"/>
    <w:rsid w:val="00C156FE"/>
    <w:rsid w:val="00C170E1"/>
    <w:rsid w:val="00C203E5"/>
    <w:rsid w:val="00C22E47"/>
    <w:rsid w:val="00C23F92"/>
    <w:rsid w:val="00C32457"/>
    <w:rsid w:val="00C36C8A"/>
    <w:rsid w:val="00C453C1"/>
    <w:rsid w:val="00C51A70"/>
    <w:rsid w:val="00C560DE"/>
    <w:rsid w:val="00C6100B"/>
    <w:rsid w:val="00C61341"/>
    <w:rsid w:val="00C67946"/>
    <w:rsid w:val="00C71AFA"/>
    <w:rsid w:val="00C72E77"/>
    <w:rsid w:val="00C75F4A"/>
    <w:rsid w:val="00C765F6"/>
    <w:rsid w:val="00C77057"/>
    <w:rsid w:val="00C82243"/>
    <w:rsid w:val="00C85D67"/>
    <w:rsid w:val="00C90CBD"/>
    <w:rsid w:val="00C92AA8"/>
    <w:rsid w:val="00C94D1E"/>
    <w:rsid w:val="00C9665C"/>
    <w:rsid w:val="00C96D07"/>
    <w:rsid w:val="00CA47C4"/>
    <w:rsid w:val="00CA4ED9"/>
    <w:rsid w:val="00CA5C70"/>
    <w:rsid w:val="00CB2951"/>
    <w:rsid w:val="00CB5723"/>
    <w:rsid w:val="00CB5E17"/>
    <w:rsid w:val="00CC1D08"/>
    <w:rsid w:val="00CC21EA"/>
    <w:rsid w:val="00CC271F"/>
    <w:rsid w:val="00CC426D"/>
    <w:rsid w:val="00CC6A5E"/>
    <w:rsid w:val="00CC6C34"/>
    <w:rsid w:val="00CD0B05"/>
    <w:rsid w:val="00CD1F24"/>
    <w:rsid w:val="00CD1FA6"/>
    <w:rsid w:val="00CE0670"/>
    <w:rsid w:val="00CE0881"/>
    <w:rsid w:val="00CE5406"/>
    <w:rsid w:val="00CE7F13"/>
    <w:rsid w:val="00CF34ED"/>
    <w:rsid w:val="00CF381A"/>
    <w:rsid w:val="00D02B90"/>
    <w:rsid w:val="00D039CD"/>
    <w:rsid w:val="00D046BD"/>
    <w:rsid w:val="00D05BCF"/>
    <w:rsid w:val="00D07F9E"/>
    <w:rsid w:val="00D11663"/>
    <w:rsid w:val="00D118F8"/>
    <w:rsid w:val="00D15C1B"/>
    <w:rsid w:val="00D179E6"/>
    <w:rsid w:val="00D22954"/>
    <w:rsid w:val="00D24642"/>
    <w:rsid w:val="00D32AF9"/>
    <w:rsid w:val="00D3546D"/>
    <w:rsid w:val="00D36346"/>
    <w:rsid w:val="00D40F8E"/>
    <w:rsid w:val="00D45EAD"/>
    <w:rsid w:val="00D50282"/>
    <w:rsid w:val="00D516A1"/>
    <w:rsid w:val="00D52105"/>
    <w:rsid w:val="00D52928"/>
    <w:rsid w:val="00D565FB"/>
    <w:rsid w:val="00D60566"/>
    <w:rsid w:val="00D62540"/>
    <w:rsid w:val="00D656B1"/>
    <w:rsid w:val="00D66E3A"/>
    <w:rsid w:val="00D6754C"/>
    <w:rsid w:val="00D70494"/>
    <w:rsid w:val="00D72A7D"/>
    <w:rsid w:val="00D73F2C"/>
    <w:rsid w:val="00D75B54"/>
    <w:rsid w:val="00D77AC6"/>
    <w:rsid w:val="00D81354"/>
    <w:rsid w:val="00D81AB1"/>
    <w:rsid w:val="00D81D90"/>
    <w:rsid w:val="00D82783"/>
    <w:rsid w:val="00D8506D"/>
    <w:rsid w:val="00D875AC"/>
    <w:rsid w:val="00D9046D"/>
    <w:rsid w:val="00D97DF4"/>
    <w:rsid w:val="00DB0E3F"/>
    <w:rsid w:val="00DB6D6D"/>
    <w:rsid w:val="00DB7FAB"/>
    <w:rsid w:val="00DC006E"/>
    <w:rsid w:val="00DC397B"/>
    <w:rsid w:val="00DC6876"/>
    <w:rsid w:val="00DD15EA"/>
    <w:rsid w:val="00DD41EE"/>
    <w:rsid w:val="00DD5756"/>
    <w:rsid w:val="00DD6637"/>
    <w:rsid w:val="00DE0322"/>
    <w:rsid w:val="00DE0564"/>
    <w:rsid w:val="00DE3D1C"/>
    <w:rsid w:val="00DE6E9F"/>
    <w:rsid w:val="00DE7EDB"/>
    <w:rsid w:val="00DF1A65"/>
    <w:rsid w:val="00DF3F88"/>
    <w:rsid w:val="00DF56AC"/>
    <w:rsid w:val="00E00CA3"/>
    <w:rsid w:val="00E01222"/>
    <w:rsid w:val="00E068C8"/>
    <w:rsid w:val="00E06ECA"/>
    <w:rsid w:val="00E11E6D"/>
    <w:rsid w:val="00E14317"/>
    <w:rsid w:val="00E16FDA"/>
    <w:rsid w:val="00E21E7B"/>
    <w:rsid w:val="00E24C6A"/>
    <w:rsid w:val="00E27F8E"/>
    <w:rsid w:val="00E3086A"/>
    <w:rsid w:val="00E3177D"/>
    <w:rsid w:val="00E32C19"/>
    <w:rsid w:val="00E34608"/>
    <w:rsid w:val="00E359BE"/>
    <w:rsid w:val="00E362BE"/>
    <w:rsid w:val="00E36BB8"/>
    <w:rsid w:val="00E36D67"/>
    <w:rsid w:val="00E453D9"/>
    <w:rsid w:val="00E46085"/>
    <w:rsid w:val="00E5057C"/>
    <w:rsid w:val="00E55884"/>
    <w:rsid w:val="00E5764F"/>
    <w:rsid w:val="00E62FCF"/>
    <w:rsid w:val="00E631D5"/>
    <w:rsid w:val="00E647E0"/>
    <w:rsid w:val="00E67EAB"/>
    <w:rsid w:val="00E71798"/>
    <w:rsid w:val="00E72B1D"/>
    <w:rsid w:val="00E81D36"/>
    <w:rsid w:val="00E82F22"/>
    <w:rsid w:val="00E85643"/>
    <w:rsid w:val="00E8658A"/>
    <w:rsid w:val="00E87511"/>
    <w:rsid w:val="00E915AE"/>
    <w:rsid w:val="00E9477A"/>
    <w:rsid w:val="00E95123"/>
    <w:rsid w:val="00E96097"/>
    <w:rsid w:val="00E96E1A"/>
    <w:rsid w:val="00E97D37"/>
    <w:rsid w:val="00EA10C0"/>
    <w:rsid w:val="00EA2063"/>
    <w:rsid w:val="00EA2895"/>
    <w:rsid w:val="00EA493A"/>
    <w:rsid w:val="00EA61D4"/>
    <w:rsid w:val="00EB3F90"/>
    <w:rsid w:val="00EB5279"/>
    <w:rsid w:val="00EB6332"/>
    <w:rsid w:val="00EB66B3"/>
    <w:rsid w:val="00EC0131"/>
    <w:rsid w:val="00EC0966"/>
    <w:rsid w:val="00EC1B1E"/>
    <w:rsid w:val="00EC1F5A"/>
    <w:rsid w:val="00EC2974"/>
    <w:rsid w:val="00EC421A"/>
    <w:rsid w:val="00ED1AA7"/>
    <w:rsid w:val="00ED2D25"/>
    <w:rsid w:val="00ED30BE"/>
    <w:rsid w:val="00ED3837"/>
    <w:rsid w:val="00ED4F76"/>
    <w:rsid w:val="00ED6C06"/>
    <w:rsid w:val="00EE09A2"/>
    <w:rsid w:val="00EE295D"/>
    <w:rsid w:val="00EF105A"/>
    <w:rsid w:val="00EF264E"/>
    <w:rsid w:val="00EF2D1C"/>
    <w:rsid w:val="00F0030A"/>
    <w:rsid w:val="00F01DA1"/>
    <w:rsid w:val="00F03474"/>
    <w:rsid w:val="00F16274"/>
    <w:rsid w:val="00F16543"/>
    <w:rsid w:val="00F22A66"/>
    <w:rsid w:val="00F233EF"/>
    <w:rsid w:val="00F3291B"/>
    <w:rsid w:val="00F402C4"/>
    <w:rsid w:val="00F407B7"/>
    <w:rsid w:val="00F41EE0"/>
    <w:rsid w:val="00F420FF"/>
    <w:rsid w:val="00F45F50"/>
    <w:rsid w:val="00F47CC0"/>
    <w:rsid w:val="00F50BBD"/>
    <w:rsid w:val="00F52EBA"/>
    <w:rsid w:val="00F53766"/>
    <w:rsid w:val="00F56C75"/>
    <w:rsid w:val="00F57635"/>
    <w:rsid w:val="00F57F7B"/>
    <w:rsid w:val="00F6190C"/>
    <w:rsid w:val="00F61A0B"/>
    <w:rsid w:val="00F66589"/>
    <w:rsid w:val="00F670DA"/>
    <w:rsid w:val="00F671A6"/>
    <w:rsid w:val="00F70A8C"/>
    <w:rsid w:val="00F74AC9"/>
    <w:rsid w:val="00F75A7D"/>
    <w:rsid w:val="00F7706A"/>
    <w:rsid w:val="00F80C9A"/>
    <w:rsid w:val="00F8236E"/>
    <w:rsid w:val="00F8576C"/>
    <w:rsid w:val="00F860DA"/>
    <w:rsid w:val="00F8638F"/>
    <w:rsid w:val="00F8720F"/>
    <w:rsid w:val="00F90AAB"/>
    <w:rsid w:val="00F931E7"/>
    <w:rsid w:val="00F93CB8"/>
    <w:rsid w:val="00F94978"/>
    <w:rsid w:val="00F94994"/>
    <w:rsid w:val="00F95347"/>
    <w:rsid w:val="00F96FEA"/>
    <w:rsid w:val="00FA0A76"/>
    <w:rsid w:val="00FA0CB3"/>
    <w:rsid w:val="00FA6BD4"/>
    <w:rsid w:val="00FA6C48"/>
    <w:rsid w:val="00FB03BD"/>
    <w:rsid w:val="00FB062A"/>
    <w:rsid w:val="00FB0D5B"/>
    <w:rsid w:val="00FB0F07"/>
    <w:rsid w:val="00FB2B4F"/>
    <w:rsid w:val="00FB3D4E"/>
    <w:rsid w:val="00FB58FA"/>
    <w:rsid w:val="00FB718E"/>
    <w:rsid w:val="00FC6ABA"/>
    <w:rsid w:val="00FD4799"/>
    <w:rsid w:val="00FD57FC"/>
    <w:rsid w:val="00FD6217"/>
    <w:rsid w:val="00FE4570"/>
    <w:rsid w:val="00FE6517"/>
    <w:rsid w:val="00FE7005"/>
    <w:rsid w:val="00FF0EE6"/>
    <w:rsid w:val="00FF58A6"/>
    <w:rsid w:val="00FF7538"/>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442926"/>
  <w15:docId w15:val="{72C5833F-44A8-4788-B7F0-1BF0DCFDEB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28DA"/>
    <w:pPr>
      <w:bidi/>
      <w:jc w:val="both"/>
    </w:pPr>
    <w:rPr>
      <w:rFonts w:ascii="Times New Roman" w:eastAsia="Times New Roman" w:hAnsi="Times New Roman" w:cs="B Nazanin"/>
      <w:sz w:val="20"/>
      <w:szCs w:val="20"/>
      <w:lang w:bidi="fa-IR"/>
    </w:rPr>
  </w:style>
  <w:style w:type="paragraph" w:styleId="Heading1">
    <w:name w:val="heading 1"/>
    <w:aliases w:val="Table of ...,تيتر1,تیتر1"/>
    <w:basedOn w:val="Normal"/>
    <w:next w:val="Normal"/>
    <w:link w:val="Heading1Char"/>
    <w:uiPriority w:val="9"/>
    <w:qFormat/>
    <w:rsid w:val="008028DA"/>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unhideWhenUsed/>
    <w:qFormat/>
    <w:rsid w:val="008028DA"/>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autoRedefine/>
    <w:uiPriority w:val="9"/>
    <w:qFormat/>
    <w:rsid w:val="004B3C18"/>
    <w:pPr>
      <w:keepNext/>
      <w:tabs>
        <w:tab w:val="left" w:pos="288"/>
        <w:tab w:val="right" w:pos="6792"/>
      </w:tabs>
      <w:jc w:val="center"/>
      <w:outlineLvl w:val="2"/>
    </w:pPr>
    <w:rPr>
      <w:rFonts w:ascii="Arial" w:hAnsi="Arial" w:cs="B Compset"/>
      <w:b/>
      <w:bCs/>
      <w:sz w:val="22"/>
      <w:szCs w:val="22"/>
      <w:lang w:bidi="ar-SA"/>
    </w:rPr>
  </w:style>
  <w:style w:type="paragraph" w:styleId="Heading4">
    <w:name w:val="heading 4"/>
    <w:basedOn w:val="Normal"/>
    <w:next w:val="Normal"/>
    <w:link w:val="Heading4Char"/>
    <w:uiPriority w:val="9"/>
    <w:unhideWhenUsed/>
    <w:qFormat/>
    <w:rsid w:val="008028DA"/>
    <w:pPr>
      <w:keepNext/>
      <w:keepLines/>
      <w:spacing w:before="200" w:line="276" w:lineRule="auto"/>
      <w:jc w:val="left"/>
      <w:outlineLvl w:val="3"/>
    </w:pPr>
    <w:rPr>
      <w:rFonts w:asciiTheme="majorHAnsi" w:eastAsiaTheme="majorEastAsia" w:hAnsiTheme="majorHAnsi" w:cstheme="majorBidi"/>
      <w:b/>
      <w:bCs/>
      <w:i/>
      <w:iCs/>
      <w:color w:val="5B9BD5" w:themeColor="accent1"/>
      <w:sz w:val="22"/>
      <w:szCs w:val="22"/>
    </w:rPr>
  </w:style>
  <w:style w:type="paragraph" w:styleId="Heading5">
    <w:name w:val="heading 5"/>
    <w:basedOn w:val="Normal"/>
    <w:next w:val="Normal"/>
    <w:link w:val="Heading5Char"/>
    <w:uiPriority w:val="9"/>
    <w:semiHidden/>
    <w:unhideWhenUsed/>
    <w:qFormat/>
    <w:rsid w:val="008028DA"/>
    <w:pPr>
      <w:keepNext/>
      <w:keepLines/>
      <w:spacing w:before="200" w:line="276" w:lineRule="auto"/>
      <w:jc w:val="left"/>
      <w:outlineLvl w:val="4"/>
    </w:pPr>
    <w:rPr>
      <w:rFonts w:asciiTheme="majorHAnsi" w:eastAsiaTheme="majorEastAsia" w:hAnsiTheme="majorHAnsi" w:cstheme="majorBidi"/>
      <w:color w:val="1F4D78" w:themeColor="accent1" w:themeShade="7F"/>
      <w:sz w:val="22"/>
      <w:szCs w:val="22"/>
    </w:rPr>
  </w:style>
  <w:style w:type="paragraph" w:styleId="Heading6">
    <w:name w:val="heading 6"/>
    <w:basedOn w:val="Normal"/>
    <w:next w:val="Normal"/>
    <w:link w:val="Heading6Char"/>
    <w:uiPriority w:val="9"/>
    <w:semiHidden/>
    <w:unhideWhenUsed/>
    <w:qFormat/>
    <w:rsid w:val="008028DA"/>
    <w:pPr>
      <w:keepNext/>
      <w:keepLines/>
      <w:spacing w:before="200" w:line="276" w:lineRule="auto"/>
      <w:jc w:val="left"/>
      <w:outlineLvl w:val="5"/>
    </w:pPr>
    <w:rPr>
      <w:rFonts w:asciiTheme="majorHAnsi" w:eastAsiaTheme="majorEastAsia" w:hAnsiTheme="majorHAnsi" w:cstheme="majorBidi"/>
      <w:i/>
      <w:iCs/>
      <w:color w:val="1F4D78" w:themeColor="accent1" w:themeShade="7F"/>
      <w:sz w:val="22"/>
      <w:szCs w:val="22"/>
    </w:rPr>
  </w:style>
  <w:style w:type="paragraph" w:styleId="Heading7">
    <w:name w:val="heading 7"/>
    <w:basedOn w:val="Normal"/>
    <w:next w:val="Normal"/>
    <w:link w:val="Heading7Char"/>
    <w:uiPriority w:val="9"/>
    <w:semiHidden/>
    <w:unhideWhenUsed/>
    <w:qFormat/>
    <w:rsid w:val="008028DA"/>
    <w:pPr>
      <w:keepNext/>
      <w:keepLines/>
      <w:spacing w:before="200" w:line="276" w:lineRule="auto"/>
      <w:jc w:val="left"/>
      <w:outlineLvl w:val="6"/>
    </w:pPr>
    <w:rPr>
      <w:rFonts w:asciiTheme="majorHAnsi" w:eastAsiaTheme="majorEastAsia" w:hAnsiTheme="majorHAnsi" w:cstheme="majorBidi"/>
      <w:i/>
      <w:iCs/>
      <w:color w:val="404040" w:themeColor="text1" w:themeTint="BF"/>
      <w:sz w:val="22"/>
      <w:szCs w:val="22"/>
    </w:rPr>
  </w:style>
  <w:style w:type="paragraph" w:styleId="Heading8">
    <w:name w:val="heading 8"/>
    <w:basedOn w:val="Normal"/>
    <w:next w:val="Normal"/>
    <w:link w:val="Heading8Char"/>
    <w:uiPriority w:val="9"/>
    <w:semiHidden/>
    <w:unhideWhenUsed/>
    <w:qFormat/>
    <w:rsid w:val="008028DA"/>
    <w:pPr>
      <w:keepNext/>
      <w:keepLines/>
      <w:spacing w:before="200" w:line="276" w:lineRule="auto"/>
      <w:jc w:val="left"/>
      <w:outlineLvl w:val="7"/>
    </w:pPr>
    <w:rPr>
      <w:rFonts w:asciiTheme="majorHAnsi" w:eastAsiaTheme="majorEastAsia" w:hAnsiTheme="majorHAnsi" w:cstheme="majorBidi"/>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able of ... Char,تيتر1 Char1,تیتر1 Char1"/>
    <w:basedOn w:val="DefaultParagraphFont"/>
    <w:link w:val="Heading1"/>
    <w:uiPriority w:val="9"/>
    <w:rsid w:val="008028DA"/>
    <w:rPr>
      <w:rFonts w:ascii="Arial" w:eastAsia="Times New Roman" w:hAnsi="Arial" w:cs="Arial"/>
      <w:b/>
      <w:bCs/>
      <w:kern w:val="32"/>
      <w:sz w:val="32"/>
      <w:szCs w:val="32"/>
      <w:lang w:bidi="fa-IR"/>
    </w:rPr>
  </w:style>
  <w:style w:type="character" w:customStyle="1" w:styleId="Heading2Char">
    <w:name w:val="Heading 2 Char"/>
    <w:basedOn w:val="DefaultParagraphFont"/>
    <w:link w:val="Heading2"/>
    <w:uiPriority w:val="9"/>
    <w:rsid w:val="008028DA"/>
    <w:rPr>
      <w:rFonts w:asciiTheme="majorHAnsi" w:eastAsiaTheme="majorEastAsia" w:hAnsiTheme="majorHAnsi" w:cstheme="majorBidi"/>
      <w:b/>
      <w:bCs/>
      <w:color w:val="5B9BD5" w:themeColor="accent1"/>
      <w:sz w:val="26"/>
      <w:szCs w:val="26"/>
      <w:lang w:bidi="fa-IR"/>
    </w:rPr>
  </w:style>
  <w:style w:type="character" w:customStyle="1" w:styleId="Heading3Char">
    <w:name w:val="Heading 3 Char"/>
    <w:basedOn w:val="DefaultParagraphFont"/>
    <w:link w:val="Heading3"/>
    <w:uiPriority w:val="9"/>
    <w:rsid w:val="004B3C18"/>
    <w:rPr>
      <w:rFonts w:ascii="Arial" w:eastAsia="Times New Roman" w:hAnsi="Arial" w:cs="B Compset"/>
      <w:b/>
      <w:bCs/>
    </w:rPr>
  </w:style>
  <w:style w:type="character" w:customStyle="1" w:styleId="Heading4Char">
    <w:name w:val="Heading 4 Char"/>
    <w:basedOn w:val="DefaultParagraphFont"/>
    <w:link w:val="Heading4"/>
    <w:uiPriority w:val="9"/>
    <w:rsid w:val="008028DA"/>
    <w:rPr>
      <w:rFonts w:asciiTheme="majorHAnsi" w:eastAsiaTheme="majorEastAsia" w:hAnsiTheme="majorHAnsi" w:cstheme="majorBidi"/>
      <w:b/>
      <w:bCs/>
      <w:i/>
      <w:iCs/>
      <w:color w:val="5B9BD5" w:themeColor="accent1"/>
      <w:lang w:bidi="fa-IR"/>
    </w:rPr>
  </w:style>
  <w:style w:type="character" w:customStyle="1" w:styleId="Heading5Char">
    <w:name w:val="Heading 5 Char"/>
    <w:basedOn w:val="DefaultParagraphFont"/>
    <w:link w:val="Heading5"/>
    <w:uiPriority w:val="9"/>
    <w:semiHidden/>
    <w:rsid w:val="008028DA"/>
    <w:rPr>
      <w:rFonts w:asciiTheme="majorHAnsi" w:eastAsiaTheme="majorEastAsia" w:hAnsiTheme="majorHAnsi" w:cstheme="majorBidi"/>
      <w:color w:val="1F4D78" w:themeColor="accent1" w:themeShade="7F"/>
      <w:lang w:bidi="fa-IR"/>
    </w:rPr>
  </w:style>
  <w:style w:type="character" w:customStyle="1" w:styleId="Heading6Char">
    <w:name w:val="Heading 6 Char"/>
    <w:basedOn w:val="DefaultParagraphFont"/>
    <w:link w:val="Heading6"/>
    <w:uiPriority w:val="9"/>
    <w:semiHidden/>
    <w:rsid w:val="008028DA"/>
    <w:rPr>
      <w:rFonts w:asciiTheme="majorHAnsi" w:eastAsiaTheme="majorEastAsia" w:hAnsiTheme="majorHAnsi" w:cstheme="majorBidi"/>
      <w:i/>
      <w:iCs/>
      <w:color w:val="1F4D78" w:themeColor="accent1" w:themeShade="7F"/>
      <w:lang w:bidi="fa-IR"/>
    </w:rPr>
  </w:style>
  <w:style w:type="character" w:customStyle="1" w:styleId="Heading7Char">
    <w:name w:val="Heading 7 Char"/>
    <w:basedOn w:val="DefaultParagraphFont"/>
    <w:link w:val="Heading7"/>
    <w:uiPriority w:val="9"/>
    <w:semiHidden/>
    <w:rsid w:val="008028DA"/>
    <w:rPr>
      <w:rFonts w:asciiTheme="majorHAnsi" w:eastAsiaTheme="majorEastAsia" w:hAnsiTheme="majorHAnsi" w:cstheme="majorBidi"/>
      <w:i/>
      <w:iCs/>
      <w:color w:val="404040" w:themeColor="text1" w:themeTint="BF"/>
      <w:lang w:bidi="fa-IR"/>
    </w:rPr>
  </w:style>
  <w:style w:type="character" w:customStyle="1" w:styleId="Heading8Char">
    <w:name w:val="Heading 8 Char"/>
    <w:basedOn w:val="DefaultParagraphFont"/>
    <w:link w:val="Heading8"/>
    <w:uiPriority w:val="9"/>
    <w:semiHidden/>
    <w:rsid w:val="008028DA"/>
    <w:rPr>
      <w:rFonts w:asciiTheme="majorHAnsi" w:eastAsiaTheme="majorEastAsia" w:hAnsiTheme="majorHAnsi" w:cstheme="majorBidi"/>
      <w:color w:val="404040" w:themeColor="text1" w:themeTint="BF"/>
      <w:sz w:val="20"/>
      <w:szCs w:val="20"/>
      <w:lang w:bidi="fa-IR"/>
    </w:rPr>
  </w:style>
  <w:style w:type="table" w:styleId="TableGrid">
    <w:name w:val="Table Grid"/>
    <w:basedOn w:val="TableNormal"/>
    <w:uiPriority w:val="59"/>
    <w:rsid w:val="008028DA"/>
    <w:pPr>
      <w:bidi/>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Char Char Char Char, Char, Char Char Char, Char Char Char Char Char, Char Char Char Char Char Char Char Char, Char Char Char Char Char Char Char,Char,Char2, Char2 Char, Char Char Char Char Char Char Char Char Char Char Char,Footnote Text3"/>
    <w:basedOn w:val="Normal"/>
    <w:link w:val="FootnoteTextChar"/>
    <w:qFormat/>
    <w:rsid w:val="008028DA"/>
  </w:style>
  <w:style w:type="character" w:customStyle="1" w:styleId="FootnoteTextChar">
    <w:name w:val="Footnote Text Char"/>
    <w:aliases w:val="Char Char Char Char Char, Char Char, Char Char Char Char, Char Char Char Char Char Char, Char Char Char Char Char Char Char Char Char, Char Char Char Char Char Char Char Char1,Char Char,Char2 Char, Char2 Char Char,Footnote Text3 Char"/>
    <w:basedOn w:val="DefaultParagraphFont"/>
    <w:link w:val="FootnoteText"/>
    <w:rsid w:val="008028DA"/>
    <w:rPr>
      <w:rFonts w:ascii="Times New Roman" w:eastAsia="Times New Roman" w:hAnsi="Times New Roman" w:cs="B Nazanin"/>
      <w:sz w:val="20"/>
      <w:szCs w:val="20"/>
      <w:lang w:bidi="fa-IR"/>
    </w:rPr>
  </w:style>
  <w:style w:type="character" w:styleId="FootnoteReference">
    <w:name w:val="footnote reference"/>
    <w:aliases w:val="شماره زيرنويس"/>
    <w:basedOn w:val="DefaultParagraphFont"/>
    <w:uiPriority w:val="99"/>
    <w:rsid w:val="008028DA"/>
    <w:rPr>
      <w:vertAlign w:val="superscript"/>
    </w:rPr>
  </w:style>
  <w:style w:type="character" w:styleId="Hyperlink">
    <w:name w:val="Hyperlink"/>
    <w:basedOn w:val="DefaultParagraphFont"/>
    <w:uiPriority w:val="99"/>
    <w:rsid w:val="008028DA"/>
    <w:rPr>
      <w:color w:val="0000FF"/>
      <w:u w:val="single"/>
    </w:rPr>
  </w:style>
  <w:style w:type="paragraph" w:styleId="Footer">
    <w:name w:val="footer"/>
    <w:basedOn w:val="Normal"/>
    <w:link w:val="FooterChar"/>
    <w:uiPriority w:val="99"/>
    <w:rsid w:val="008028DA"/>
    <w:pPr>
      <w:tabs>
        <w:tab w:val="center" w:pos="4153"/>
        <w:tab w:val="right" w:pos="8306"/>
      </w:tabs>
    </w:pPr>
  </w:style>
  <w:style w:type="character" w:customStyle="1" w:styleId="FooterChar">
    <w:name w:val="Footer Char"/>
    <w:basedOn w:val="DefaultParagraphFont"/>
    <w:link w:val="Footer"/>
    <w:uiPriority w:val="99"/>
    <w:rsid w:val="008028DA"/>
    <w:rPr>
      <w:rFonts w:ascii="Times New Roman" w:eastAsia="Times New Roman" w:hAnsi="Times New Roman" w:cs="B Nazanin"/>
      <w:sz w:val="20"/>
      <w:szCs w:val="20"/>
      <w:lang w:bidi="fa-IR"/>
    </w:rPr>
  </w:style>
  <w:style w:type="character" w:styleId="PageNumber">
    <w:name w:val="page number"/>
    <w:basedOn w:val="DefaultParagraphFont"/>
    <w:rsid w:val="008028DA"/>
  </w:style>
  <w:style w:type="paragraph" w:styleId="BalloonText">
    <w:name w:val="Balloon Text"/>
    <w:basedOn w:val="Normal"/>
    <w:link w:val="BalloonTextChar"/>
    <w:uiPriority w:val="99"/>
    <w:rsid w:val="008028DA"/>
    <w:rPr>
      <w:rFonts w:ascii="Tahoma" w:hAnsi="Tahoma" w:cs="Tahoma"/>
      <w:sz w:val="16"/>
      <w:szCs w:val="16"/>
    </w:rPr>
  </w:style>
  <w:style w:type="character" w:customStyle="1" w:styleId="BalloonTextChar">
    <w:name w:val="Balloon Text Char"/>
    <w:basedOn w:val="DefaultParagraphFont"/>
    <w:link w:val="BalloonText"/>
    <w:uiPriority w:val="99"/>
    <w:rsid w:val="008028DA"/>
    <w:rPr>
      <w:rFonts w:ascii="Tahoma" w:eastAsia="Times New Roman" w:hAnsi="Tahoma" w:cs="Tahoma"/>
      <w:sz w:val="16"/>
      <w:szCs w:val="16"/>
      <w:lang w:bidi="fa-IR"/>
    </w:rPr>
  </w:style>
  <w:style w:type="paragraph" w:styleId="NormalWeb">
    <w:name w:val="Normal (Web)"/>
    <w:basedOn w:val="Normal"/>
    <w:link w:val="NormalWebChar"/>
    <w:uiPriority w:val="99"/>
    <w:unhideWhenUsed/>
    <w:rsid w:val="008028DA"/>
    <w:pPr>
      <w:bidi w:val="0"/>
      <w:spacing w:before="100" w:beforeAutospacing="1" w:after="100" w:afterAutospacing="1"/>
      <w:jc w:val="left"/>
    </w:pPr>
    <w:rPr>
      <w:rFonts w:cs="Times New Roman"/>
      <w:sz w:val="24"/>
      <w:szCs w:val="24"/>
      <w:lang w:bidi="ar-SA"/>
    </w:rPr>
  </w:style>
  <w:style w:type="character" w:customStyle="1" w:styleId="apple-style-span">
    <w:name w:val="apple-style-span"/>
    <w:basedOn w:val="DefaultParagraphFont"/>
    <w:rsid w:val="008028DA"/>
  </w:style>
  <w:style w:type="paragraph" w:styleId="Header">
    <w:name w:val="header"/>
    <w:basedOn w:val="Normal"/>
    <w:link w:val="HeaderChar"/>
    <w:uiPriority w:val="99"/>
    <w:rsid w:val="008028DA"/>
    <w:pPr>
      <w:tabs>
        <w:tab w:val="center" w:pos="4513"/>
        <w:tab w:val="right" w:pos="9026"/>
      </w:tabs>
    </w:pPr>
  </w:style>
  <w:style w:type="character" w:customStyle="1" w:styleId="HeaderChar">
    <w:name w:val="Header Char"/>
    <w:basedOn w:val="DefaultParagraphFont"/>
    <w:link w:val="Header"/>
    <w:uiPriority w:val="99"/>
    <w:rsid w:val="008028DA"/>
    <w:rPr>
      <w:rFonts w:ascii="Times New Roman" w:eastAsia="Times New Roman" w:hAnsi="Times New Roman" w:cs="B Nazanin"/>
      <w:sz w:val="20"/>
      <w:szCs w:val="20"/>
      <w:lang w:bidi="fa-IR"/>
    </w:rPr>
  </w:style>
  <w:style w:type="paragraph" w:styleId="ListParagraph">
    <w:name w:val="List Paragraph"/>
    <w:basedOn w:val="Normal"/>
    <w:uiPriority w:val="34"/>
    <w:qFormat/>
    <w:rsid w:val="008028DA"/>
    <w:pPr>
      <w:ind w:left="720"/>
      <w:contextualSpacing/>
    </w:pPr>
  </w:style>
  <w:style w:type="character" w:styleId="CommentReference">
    <w:name w:val="annotation reference"/>
    <w:basedOn w:val="DefaultParagraphFont"/>
    <w:uiPriority w:val="99"/>
    <w:rsid w:val="008028DA"/>
    <w:rPr>
      <w:sz w:val="16"/>
      <w:szCs w:val="16"/>
    </w:rPr>
  </w:style>
  <w:style w:type="paragraph" w:styleId="CommentText">
    <w:name w:val="annotation text"/>
    <w:basedOn w:val="Normal"/>
    <w:link w:val="CommentTextChar"/>
    <w:uiPriority w:val="99"/>
    <w:rsid w:val="008028DA"/>
  </w:style>
  <w:style w:type="character" w:customStyle="1" w:styleId="CommentTextChar">
    <w:name w:val="Comment Text Char"/>
    <w:basedOn w:val="DefaultParagraphFont"/>
    <w:link w:val="CommentText"/>
    <w:uiPriority w:val="99"/>
    <w:rsid w:val="008028DA"/>
    <w:rPr>
      <w:rFonts w:ascii="Times New Roman" w:eastAsia="Times New Roman" w:hAnsi="Times New Roman" w:cs="B Nazanin"/>
      <w:sz w:val="20"/>
      <w:szCs w:val="20"/>
      <w:lang w:bidi="fa-IR"/>
    </w:rPr>
  </w:style>
  <w:style w:type="paragraph" w:styleId="CommentSubject">
    <w:name w:val="annotation subject"/>
    <w:basedOn w:val="CommentText"/>
    <w:next w:val="CommentText"/>
    <w:link w:val="CommentSubjectChar"/>
    <w:uiPriority w:val="99"/>
    <w:rsid w:val="008028DA"/>
    <w:rPr>
      <w:b/>
      <w:bCs/>
    </w:rPr>
  </w:style>
  <w:style w:type="character" w:customStyle="1" w:styleId="CommentSubjectChar">
    <w:name w:val="Comment Subject Char"/>
    <w:basedOn w:val="CommentTextChar"/>
    <w:link w:val="CommentSubject"/>
    <w:uiPriority w:val="99"/>
    <w:rsid w:val="008028DA"/>
    <w:rPr>
      <w:rFonts w:ascii="Times New Roman" w:eastAsia="Times New Roman" w:hAnsi="Times New Roman" w:cs="B Nazanin"/>
      <w:b/>
      <w:bCs/>
      <w:sz w:val="20"/>
      <w:szCs w:val="20"/>
      <w:lang w:bidi="fa-IR"/>
    </w:rPr>
  </w:style>
  <w:style w:type="paragraph" w:styleId="Revision">
    <w:name w:val="Revision"/>
    <w:hidden/>
    <w:uiPriority w:val="99"/>
    <w:semiHidden/>
    <w:rsid w:val="008028DA"/>
    <w:rPr>
      <w:rFonts w:ascii="Times New Roman" w:eastAsia="Times New Roman" w:hAnsi="Times New Roman" w:cs="B Nazanin"/>
      <w:sz w:val="20"/>
      <w:szCs w:val="20"/>
      <w:lang w:bidi="fa-IR"/>
    </w:rPr>
  </w:style>
  <w:style w:type="paragraph" w:styleId="BodyText">
    <w:name w:val="Body Text"/>
    <w:basedOn w:val="Normal"/>
    <w:link w:val="BodyTextChar"/>
    <w:rsid w:val="008028DA"/>
    <w:rPr>
      <w:rFonts w:cs="Mitra"/>
      <w:b/>
      <w:bCs/>
      <w:sz w:val="24"/>
      <w:szCs w:val="24"/>
    </w:rPr>
  </w:style>
  <w:style w:type="character" w:customStyle="1" w:styleId="BodyTextChar">
    <w:name w:val="Body Text Char"/>
    <w:basedOn w:val="DefaultParagraphFont"/>
    <w:link w:val="BodyText"/>
    <w:rsid w:val="008028DA"/>
    <w:rPr>
      <w:rFonts w:ascii="Times New Roman" w:eastAsia="Times New Roman" w:hAnsi="Times New Roman" w:cs="Mitra"/>
      <w:b/>
      <w:bCs/>
      <w:sz w:val="24"/>
      <w:szCs w:val="24"/>
      <w:lang w:bidi="fa-IR"/>
    </w:rPr>
  </w:style>
  <w:style w:type="paragraph" w:styleId="BodyText2">
    <w:name w:val="Body Text 2"/>
    <w:basedOn w:val="Normal"/>
    <w:link w:val="BodyText2Char"/>
    <w:uiPriority w:val="99"/>
    <w:rsid w:val="008028DA"/>
    <w:rPr>
      <w:rFonts w:cs="Mitra"/>
      <w:sz w:val="28"/>
      <w:szCs w:val="28"/>
    </w:rPr>
  </w:style>
  <w:style w:type="character" w:customStyle="1" w:styleId="BodyText2Char">
    <w:name w:val="Body Text 2 Char"/>
    <w:basedOn w:val="DefaultParagraphFont"/>
    <w:link w:val="BodyText2"/>
    <w:uiPriority w:val="99"/>
    <w:rsid w:val="008028DA"/>
    <w:rPr>
      <w:rFonts w:ascii="Times New Roman" w:eastAsia="Times New Roman" w:hAnsi="Times New Roman" w:cs="Mitra"/>
      <w:sz w:val="28"/>
      <w:szCs w:val="28"/>
      <w:lang w:bidi="fa-IR"/>
    </w:rPr>
  </w:style>
  <w:style w:type="paragraph" w:styleId="TOC1">
    <w:name w:val="toc 1"/>
    <w:basedOn w:val="Normal"/>
    <w:next w:val="Normal"/>
    <w:autoRedefine/>
    <w:uiPriority w:val="39"/>
    <w:unhideWhenUsed/>
    <w:rsid w:val="00E82F22"/>
    <w:pPr>
      <w:tabs>
        <w:tab w:val="right" w:leader="dot" w:pos="6794"/>
      </w:tabs>
      <w:spacing w:before="200" w:line="216" w:lineRule="auto"/>
    </w:pPr>
    <w:rPr>
      <w:rFonts w:ascii="Times New Roman Bold" w:eastAsia="Calibri" w:hAnsi="Times New Roman Bold" w:cs="B Lotus"/>
      <w:b/>
      <w:bCs/>
      <w:smallCaps/>
      <w:noProof/>
      <w:sz w:val="18"/>
      <w:szCs w:val="22"/>
    </w:rPr>
  </w:style>
  <w:style w:type="paragraph" w:styleId="TOC3">
    <w:name w:val="toc 3"/>
    <w:basedOn w:val="Normal"/>
    <w:next w:val="Normal"/>
    <w:autoRedefine/>
    <w:uiPriority w:val="39"/>
    <w:unhideWhenUsed/>
    <w:rsid w:val="00D118F8"/>
    <w:pPr>
      <w:tabs>
        <w:tab w:val="left" w:pos="397"/>
        <w:tab w:val="right" w:leader="dot" w:pos="6804"/>
      </w:tabs>
      <w:spacing w:line="216" w:lineRule="auto"/>
      <w:jc w:val="left"/>
    </w:pPr>
    <w:rPr>
      <w:rFonts w:eastAsia="Calibri" w:cs="B Lotus"/>
      <w:noProof/>
      <w:spacing w:val="-4"/>
      <w:sz w:val="18"/>
      <w:szCs w:val="22"/>
    </w:rPr>
  </w:style>
  <w:style w:type="paragraph" w:styleId="TOC2">
    <w:name w:val="toc 2"/>
    <w:basedOn w:val="Normal"/>
    <w:next w:val="Normal"/>
    <w:autoRedefine/>
    <w:uiPriority w:val="39"/>
    <w:unhideWhenUsed/>
    <w:rsid w:val="00E82F22"/>
    <w:pPr>
      <w:tabs>
        <w:tab w:val="right" w:leader="dot" w:pos="6794"/>
      </w:tabs>
      <w:spacing w:line="228" w:lineRule="auto"/>
      <w:jc w:val="left"/>
    </w:pPr>
    <w:rPr>
      <w:rFonts w:eastAsia="Calibri" w:cs="B Lotus"/>
      <w:smallCaps/>
      <w:noProof/>
      <w:sz w:val="18"/>
      <w:szCs w:val="22"/>
    </w:rPr>
  </w:style>
  <w:style w:type="paragraph" w:styleId="TOC4">
    <w:name w:val="toc 4"/>
    <w:basedOn w:val="Normal"/>
    <w:next w:val="Normal"/>
    <w:autoRedefine/>
    <w:uiPriority w:val="39"/>
    <w:unhideWhenUsed/>
    <w:rsid w:val="0045380F"/>
    <w:pPr>
      <w:tabs>
        <w:tab w:val="right" w:leader="dot" w:pos="6804"/>
      </w:tabs>
      <w:ind w:left="284"/>
      <w:jc w:val="left"/>
    </w:pPr>
    <w:rPr>
      <w:rFonts w:asciiTheme="minorHAnsi" w:eastAsia="Calibri" w:hAnsiTheme="minorHAnsi" w:cs="B Zar"/>
      <w:noProof/>
      <w:sz w:val="24"/>
      <w:szCs w:val="24"/>
    </w:rPr>
  </w:style>
  <w:style w:type="paragraph" w:customStyle="1" w:styleId="10">
    <w:name w:val="فصل 1"/>
    <w:basedOn w:val="Heading1"/>
    <w:rsid w:val="008028DA"/>
    <w:pPr>
      <w:keepLines/>
      <w:spacing w:before="480" w:after="0" w:line="360" w:lineRule="auto"/>
      <w:jc w:val="left"/>
    </w:pPr>
    <w:rPr>
      <w:rFonts w:asciiTheme="majorHAnsi" w:eastAsiaTheme="majorEastAsia" w:hAnsiTheme="majorHAnsi" w:cs="B Zar"/>
      <w:b w:val="0"/>
      <w:kern w:val="0"/>
      <w:sz w:val="96"/>
      <w:szCs w:val="96"/>
    </w:rPr>
  </w:style>
  <w:style w:type="paragraph" w:customStyle="1" w:styleId="1-2">
    <w:name w:val="1-2"/>
    <w:basedOn w:val="Normal"/>
    <w:qFormat/>
    <w:rsid w:val="008028DA"/>
    <w:pPr>
      <w:spacing w:after="200"/>
      <w:ind w:left="-45"/>
      <w:jc w:val="left"/>
    </w:pPr>
    <w:rPr>
      <w:rFonts w:ascii="B Compes" w:eastAsia="Calibri" w:hAnsi="B Compes" w:cs="B Zar"/>
      <w:b/>
      <w:bCs/>
      <w:sz w:val="28"/>
      <w:szCs w:val="28"/>
    </w:rPr>
  </w:style>
  <w:style w:type="paragraph" w:styleId="Subtitle">
    <w:name w:val="Subtitle"/>
    <w:basedOn w:val="Normal"/>
    <w:next w:val="Normal"/>
    <w:link w:val="SubtitleChar"/>
    <w:uiPriority w:val="11"/>
    <w:qFormat/>
    <w:rsid w:val="008028DA"/>
    <w:pPr>
      <w:numPr>
        <w:ilvl w:val="1"/>
      </w:numPr>
      <w:spacing w:after="200" w:line="276" w:lineRule="auto"/>
      <w:jc w:val="left"/>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8028DA"/>
    <w:rPr>
      <w:rFonts w:asciiTheme="majorHAnsi" w:eastAsiaTheme="majorEastAsia" w:hAnsiTheme="majorHAnsi" w:cstheme="majorBidi"/>
      <w:i/>
      <w:iCs/>
      <w:color w:val="5B9BD5" w:themeColor="accent1"/>
      <w:spacing w:val="15"/>
      <w:sz w:val="24"/>
      <w:szCs w:val="24"/>
      <w:lang w:bidi="fa-IR"/>
    </w:rPr>
  </w:style>
  <w:style w:type="paragraph" w:customStyle="1" w:styleId="1-4">
    <w:name w:val="1-4"/>
    <w:basedOn w:val="Normal"/>
    <w:qFormat/>
    <w:rsid w:val="008028DA"/>
    <w:pPr>
      <w:spacing w:after="200"/>
      <w:ind w:left="-45"/>
      <w:jc w:val="left"/>
    </w:pPr>
    <w:rPr>
      <w:rFonts w:ascii="B Compes" w:eastAsia="Calibri" w:hAnsi="B Compes" w:cs="B Zar"/>
      <w:b/>
      <w:sz w:val="28"/>
      <w:szCs w:val="28"/>
    </w:rPr>
  </w:style>
  <w:style w:type="paragraph" w:customStyle="1" w:styleId="1-5">
    <w:name w:val="1-5"/>
    <w:basedOn w:val="Normal"/>
    <w:rsid w:val="008028DA"/>
    <w:pPr>
      <w:spacing w:after="200"/>
      <w:ind w:left="-45"/>
      <w:jc w:val="left"/>
    </w:pPr>
    <w:rPr>
      <w:rFonts w:ascii="B Compes" w:eastAsia="Calibri" w:hAnsi="B Compes" w:cs="B Zar"/>
      <w:b/>
      <w:bCs/>
      <w:sz w:val="28"/>
      <w:szCs w:val="28"/>
    </w:rPr>
  </w:style>
  <w:style w:type="paragraph" w:customStyle="1" w:styleId="1-6">
    <w:name w:val="1-6"/>
    <w:basedOn w:val="Normal"/>
    <w:rsid w:val="008028DA"/>
    <w:pPr>
      <w:spacing w:after="200"/>
      <w:jc w:val="left"/>
    </w:pPr>
    <w:rPr>
      <w:rFonts w:ascii="B Compes" w:eastAsia="Calibri" w:hAnsi="B Compes" w:cs="B Zar"/>
      <w:b/>
      <w:bCs/>
      <w:sz w:val="28"/>
      <w:szCs w:val="28"/>
    </w:rPr>
  </w:style>
  <w:style w:type="paragraph" w:customStyle="1" w:styleId="1-7">
    <w:name w:val="1-7"/>
    <w:basedOn w:val="Normal"/>
    <w:qFormat/>
    <w:rsid w:val="008028DA"/>
    <w:pPr>
      <w:spacing w:after="200"/>
      <w:jc w:val="left"/>
    </w:pPr>
    <w:rPr>
      <w:rFonts w:ascii="B Compes" w:eastAsia="Calibri" w:hAnsi="B Compes" w:cs="B Zar"/>
      <w:b/>
      <w:bCs/>
      <w:sz w:val="28"/>
      <w:szCs w:val="28"/>
    </w:rPr>
  </w:style>
  <w:style w:type="paragraph" w:customStyle="1" w:styleId="1-8">
    <w:name w:val="1-8"/>
    <w:basedOn w:val="Heading8"/>
    <w:qFormat/>
    <w:rsid w:val="008028DA"/>
    <w:pPr>
      <w:spacing w:line="240" w:lineRule="auto"/>
    </w:pPr>
    <w:rPr>
      <w:rFonts w:ascii="B Compes" w:hAnsi="B Compes" w:cs="B Zar"/>
      <w:b/>
      <w:bCs/>
      <w:color w:val="auto"/>
      <w:sz w:val="28"/>
      <w:szCs w:val="28"/>
    </w:rPr>
  </w:style>
  <w:style w:type="paragraph" w:customStyle="1" w:styleId="1-1">
    <w:name w:val="1-1"/>
    <w:basedOn w:val="Normal"/>
    <w:qFormat/>
    <w:rsid w:val="008028DA"/>
    <w:pPr>
      <w:spacing w:after="200" w:line="276" w:lineRule="auto"/>
      <w:jc w:val="left"/>
    </w:pPr>
    <w:rPr>
      <w:rFonts w:ascii="B Zar" w:eastAsia="Calibri" w:hAnsi="B Zar" w:cs="Arial"/>
      <w:b/>
      <w:sz w:val="28"/>
      <w:szCs w:val="22"/>
    </w:rPr>
  </w:style>
  <w:style w:type="paragraph" w:customStyle="1" w:styleId="1-3">
    <w:name w:val="1-3"/>
    <w:basedOn w:val="Normal"/>
    <w:qFormat/>
    <w:rsid w:val="008028DA"/>
    <w:pPr>
      <w:keepNext/>
      <w:keepLines/>
      <w:spacing w:before="200"/>
      <w:ind w:left="379"/>
      <w:jc w:val="left"/>
      <w:outlineLvl w:val="2"/>
    </w:pPr>
    <w:rPr>
      <w:rFonts w:ascii="B Compes" w:eastAsiaTheme="majorEastAsia" w:hAnsi="B Compes" w:cs="B Zar"/>
      <w:b/>
      <w:bCs/>
      <w:sz w:val="28"/>
      <w:szCs w:val="28"/>
    </w:rPr>
  </w:style>
  <w:style w:type="paragraph" w:customStyle="1" w:styleId="2">
    <w:name w:val="مقدمه2"/>
    <w:basedOn w:val="Heading1"/>
    <w:qFormat/>
    <w:rsid w:val="008028DA"/>
    <w:pPr>
      <w:keepLines/>
      <w:spacing w:before="120" w:after="120" w:line="276" w:lineRule="auto"/>
      <w:ind w:left="720" w:firstLine="340"/>
      <w:jc w:val="left"/>
    </w:pPr>
    <w:rPr>
      <w:rFonts w:ascii="B Compes" w:eastAsiaTheme="majorEastAsia" w:hAnsi="B Compes" w:cs="B Zar"/>
      <w:b w:val="0"/>
      <w:kern w:val="0"/>
      <w:sz w:val="28"/>
      <w:szCs w:val="28"/>
    </w:rPr>
  </w:style>
  <w:style w:type="paragraph" w:customStyle="1" w:styleId="2-1">
    <w:name w:val="2-1"/>
    <w:basedOn w:val="Normal"/>
    <w:qFormat/>
    <w:rsid w:val="008028DA"/>
    <w:pPr>
      <w:spacing w:after="200" w:line="360" w:lineRule="auto"/>
      <w:ind w:left="1004" w:hanging="720"/>
      <w:jc w:val="left"/>
    </w:pPr>
    <w:rPr>
      <w:rFonts w:ascii="B Zar" w:eastAsia="Calibri" w:hAnsi="B Zar" w:cs="B Zar"/>
      <w:sz w:val="28"/>
      <w:szCs w:val="28"/>
    </w:rPr>
  </w:style>
  <w:style w:type="paragraph" w:customStyle="1" w:styleId="2-1-2">
    <w:name w:val="2-1-2"/>
    <w:basedOn w:val="Normal"/>
    <w:qFormat/>
    <w:rsid w:val="008028DA"/>
    <w:pPr>
      <w:spacing w:after="200" w:line="276" w:lineRule="auto"/>
      <w:ind w:left="720"/>
      <w:jc w:val="left"/>
    </w:pPr>
    <w:rPr>
      <w:rFonts w:ascii="B Zar" w:eastAsia="Calibri" w:hAnsi="B Zar" w:cs="B Zar"/>
      <w:b/>
      <w:bCs/>
      <w:sz w:val="28"/>
      <w:szCs w:val="28"/>
    </w:rPr>
  </w:style>
  <w:style w:type="paragraph" w:customStyle="1" w:styleId="2-1-3">
    <w:name w:val="2-1-3"/>
    <w:basedOn w:val="Normal"/>
    <w:qFormat/>
    <w:rsid w:val="008028DA"/>
    <w:pPr>
      <w:numPr>
        <w:ilvl w:val="1"/>
      </w:numPr>
      <w:spacing w:after="200" w:line="276" w:lineRule="auto"/>
      <w:ind w:left="720"/>
      <w:jc w:val="left"/>
    </w:pPr>
    <w:rPr>
      <w:rFonts w:ascii="B Zar" w:eastAsiaTheme="majorEastAsia" w:hAnsi="B Zar" w:cs="B Zar"/>
      <w:b/>
      <w:bCs/>
      <w:spacing w:val="15"/>
      <w:sz w:val="28"/>
      <w:szCs w:val="28"/>
    </w:rPr>
  </w:style>
  <w:style w:type="paragraph" w:customStyle="1" w:styleId="2-2">
    <w:name w:val="2-2"/>
    <w:basedOn w:val="Normal"/>
    <w:qFormat/>
    <w:rsid w:val="008028DA"/>
    <w:pPr>
      <w:spacing w:after="200" w:line="360" w:lineRule="auto"/>
      <w:ind w:left="720"/>
      <w:jc w:val="left"/>
    </w:pPr>
    <w:rPr>
      <w:rFonts w:ascii="B Zar" w:eastAsia="Calibri" w:hAnsi="B Zar" w:cs="B Zar"/>
      <w:b/>
      <w:sz w:val="28"/>
      <w:szCs w:val="28"/>
    </w:rPr>
  </w:style>
  <w:style w:type="paragraph" w:customStyle="1" w:styleId="2-3">
    <w:name w:val="2-3"/>
    <w:basedOn w:val="Normal"/>
    <w:qFormat/>
    <w:rsid w:val="008028DA"/>
    <w:pPr>
      <w:spacing w:after="200" w:line="276" w:lineRule="auto"/>
      <w:ind w:left="720"/>
      <w:jc w:val="left"/>
    </w:pPr>
    <w:rPr>
      <w:rFonts w:ascii="B Zar" w:eastAsia="Calibri" w:hAnsi="B Zar" w:cs="B Zar"/>
      <w:b/>
      <w:sz w:val="28"/>
      <w:szCs w:val="28"/>
    </w:rPr>
  </w:style>
  <w:style w:type="paragraph" w:customStyle="1" w:styleId="2-3-1">
    <w:name w:val="2-3-1"/>
    <w:basedOn w:val="Normal"/>
    <w:qFormat/>
    <w:rsid w:val="008028DA"/>
    <w:pPr>
      <w:spacing w:after="200" w:line="276" w:lineRule="auto"/>
      <w:ind w:left="720"/>
      <w:jc w:val="left"/>
    </w:pPr>
    <w:rPr>
      <w:rFonts w:ascii="B Zar" w:eastAsia="Calibri" w:hAnsi="B Zar" w:cs="B Zar"/>
      <w:b/>
      <w:bCs/>
      <w:sz w:val="28"/>
      <w:szCs w:val="28"/>
    </w:rPr>
  </w:style>
  <w:style w:type="paragraph" w:customStyle="1" w:styleId="2-3-2">
    <w:name w:val="2-3-2"/>
    <w:basedOn w:val="Normal"/>
    <w:qFormat/>
    <w:rsid w:val="008028DA"/>
    <w:pPr>
      <w:spacing w:after="200" w:line="276" w:lineRule="auto"/>
      <w:ind w:left="1394" w:hanging="1080"/>
      <w:jc w:val="left"/>
    </w:pPr>
    <w:rPr>
      <w:rFonts w:ascii="B Zar" w:eastAsia="Calibri" w:hAnsi="B Zar" w:cs="B Zar"/>
      <w:b/>
      <w:bCs/>
      <w:sz w:val="28"/>
      <w:szCs w:val="28"/>
    </w:rPr>
  </w:style>
  <w:style w:type="paragraph" w:customStyle="1" w:styleId="a">
    <w:name w:val="فصل دوم"/>
    <w:basedOn w:val="Heading1"/>
    <w:qFormat/>
    <w:rsid w:val="008028DA"/>
    <w:pPr>
      <w:keepLines/>
      <w:spacing w:before="480" w:after="0" w:line="276" w:lineRule="auto"/>
      <w:ind w:left="720"/>
      <w:jc w:val="center"/>
    </w:pPr>
    <w:rPr>
      <w:rFonts w:asciiTheme="majorHAnsi" w:eastAsiaTheme="majorEastAsia" w:hAnsiTheme="majorHAnsi" w:cs="B Zar"/>
      <w:b w:val="0"/>
      <w:kern w:val="0"/>
      <w:sz w:val="96"/>
      <w:szCs w:val="88"/>
    </w:rPr>
  </w:style>
  <w:style w:type="paragraph" w:customStyle="1" w:styleId="2-1-1">
    <w:name w:val="2-1-1"/>
    <w:basedOn w:val="Normal"/>
    <w:next w:val="Normal"/>
    <w:qFormat/>
    <w:rsid w:val="008028DA"/>
    <w:pPr>
      <w:spacing w:after="200" w:line="276" w:lineRule="auto"/>
      <w:jc w:val="left"/>
    </w:pPr>
    <w:rPr>
      <w:rFonts w:ascii="B Zar" w:eastAsia="Calibri" w:hAnsi="B Zar" w:cs="B Zar"/>
      <w:b/>
      <w:bCs/>
      <w:sz w:val="28"/>
      <w:szCs w:val="28"/>
    </w:rPr>
  </w:style>
  <w:style w:type="paragraph" w:customStyle="1" w:styleId="2-4">
    <w:name w:val="2-4"/>
    <w:basedOn w:val="Subtitle"/>
    <w:qFormat/>
    <w:rsid w:val="008028DA"/>
    <w:pPr>
      <w:ind w:left="855"/>
      <w:jc w:val="both"/>
    </w:pPr>
    <w:rPr>
      <w:rFonts w:ascii="B Zar" w:hAnsi="B Zar" w:cs="B Zar"/>
      <w:b/>
      <w:bCs/>
      <w:i w:val="0"/>
      <w:color w:val="auto"/>
      <w:sz w:val="28"/>
      <w:szCs w:val="28"/>
    </w:rPr>
  </w:style>
  <w:style w:type="paragraph" w:customStyle="1" w:styleId="3-1">
    <w:name w:val="3-1"/>
    <w:basedOn w:val="Normal"/>
    <w:rsid w:val="008028DA"/>
    <w:pPr>
      <w:spacing w:after="200" w:line="360" w:lineRule="auto"/>
      <w:jc w:val="left"/>
    </w:pPr>
    <w:rPr>
      <w:rFonts w:ascii="B Zar" w:eastAsia="Calibri" w:hAnsi="B Zar"/>
      <w:b/>
      <w:sz w:val="28"/>
      <w:szCs w:val="22"/>
    </w:rPr>
  </w:style>
  <w:style w:type="paragraph" w:customStyle="1" w:styleId="1-1-4">
    <w:name w:val="1-1-4"/>
    <w:basedOn w:val="Subtitle"/>
    <w:qFormat/>
    <w:rsid w:val="008028DA"/>
    <w:pPr>
      <w:spacing w:line="360" w:lineRule="auto"/>
    </w:pPr>
    <w:rPr>
      <w:rFonts w:cs="B Zar"/>
      <w:sz w:val="28"/>
      <w:szCs w:val="28"/>
    </w:rPr>
  </w:style>
  <w:style w:type="paragraph" w:customStyle="1" w:styleId="3-1-2">
    <w:name w:val="3-1-2"/>
    <w:basedOn w:val="Normal"/>
    <w:qFormat/>
    <w:rsid w:val="008028DA"/>
    <w:pPr>
      <w:spacing w:after="200" w:line="360" w:lineRule="auto"/>
      <w:jc w:val="left"/>
    </w:pPr>
    <w:rPr>
      <w:rFonts w:ascii="B Zar" w:eastAsia="Calibri" w:hAnsi="B Zar" w:cs="B Zar"/>
      <w:b/>
      <w:bCs/>
      <w:sz w:val="28"/>
      <w:szCs w:val="28"/>
    </w:rPr>
  </w:style>
  <w:style w:type="paragraph" w:customStyle="1" w:styleId="3-2">
    <w:name w:val="3-2"/>
    <w:basedOn w:val="Normal"/>
    <w:qFormat/>
    <w:rsid w:val="008028DA"/>
    <w:pPr>
      <w:spacing w:after="200" w:line="360" w:lineRule="auto"/>
      <w:jc w:val="left"/>
    </w:pPr>
    <w:rPr>
      <w:rFonts w:ascii="B Zar" w:eastAsia="Calibri" w:hAnsi="B Zar" w:cs="B Zar"/>
      <w:b/>
      <w:sz w:val="28"/>
      <w:szCs w:val="28"/>
    </w:rPr>
  </w:style>
  <w:style w:type="paragraph" w:customStyle="1" w:styleId="3-2-1">
    <w:name w:val="3-2-1"/>
    <w:basedOn w:val="Normal"/>
    <w:qFormat/>
    <w:rsid w:val="008028DA"/>
    <w:pPr>
      <w:spacing w:after="200" w:line="360" w:lineRule="auto"/>
      <w:jc w:val="left"/>
    </w:pPr>
    <w:rPr>
      <w:rFonts w:ascii="B Zar" w:eastAsia="Calibri" w:hAnsi="B Zar" w:cs="B Zar"/>
      <w:b/>
      <w:bCs/>
      <w:iCs/>
      <w:sz w:val="28"/>
      <w:szCs w:val="28"/>
    </w:rPr>
  </w:style>
  <w:style w:type="paragraph" w:customStyle="1" w:styleId="3-2-2">
    <w:name w:val="3-2-2"/>
    <w:basedOn w:val="Normal"/>
    <w:qFormat/>
    <w:rsid w:val="008028DA"/>
    <w:pPr>
      <w:spacing w:after="200" w:line="360" w:lineRule="auto"/>
      <w:jc w:val="left"/>
    </w:pPr>
    <w:rPr>
      <w:rFonts w:ascii="B Zar" w:eastAsia="Calibri" w:hAnsi="B Zar" w:cs="B Zar"/>
      <w:b/>
      <w:bCs/>
      <w:sz w:val="28"/>
      <w:szCs w:val="28"/>
    </w:rPr>
  </w:style>
  <w:style w:type="paragraph" w:customStyle="1" w:styleId="3-1-1">
    <w:name w:val="3-1-1"/>
    <w:basedOn w:val="Normal"/>
    <w:rsid w:val="008028DA"/>
    <w:pPr>
      <w:spacing w:after="200" w:line="360" w:lineRule="auto"/>
    </w:pPr>
    <w:rPr>
      <w:rFonts w:ascii="B Zar" w:eastAsia="Calibri" w:hAnsi="B Zar" w:cs="B Zar"/>
      <w:b/>
      <w:sz w:val="28"/>
      <w:szCs w:val="28"/>
    </w:rPr>
  </w:style>
  <w:style w:type="paragraph" w:customStyle="1" w:styleId="3-4">
    <w:name w:val="3-4"/>
    <w:basedOn w:val="Normal"/>
    <w:qFormat/>
    <w:rsid w:val="008028DA"/>
    <w:pPr>
      <w:spacing w:after="200" w:line="360" w:lineRule="auto"/>
      <w:jc w:val="left"/>
    </w:pPr>
    <w:rPr>
      <w:rFonts w:ascii="B Zar" w:eastAsia="Calibri" w:hAnsi="B Zar" w:cs="B Zar"/>
      <w:b/>
      <w:iCs/>
      <w:sz w:val="28"/>
      <w:szCs w:val="28"/>
    </w:rPr>
  </w:style>
  <w:style w:type="paragraph" w:customStyle="1" w:styleId="3-4-2">
    <w:name w:val="3-4-2"/>
    <w:basedOn w:val="Normal"/>
    <w:qFormat/>
    <w:rsid w:val="008028DA"/>
    <w:pPr>
      <w:spacing w:after="200" w:line="360" w:lineRule="auto"/>
    </w:pPr>
    <w:rPr>
      <w:rFonts w:ascii="B Zar" w:eastAsia="Calibri" w:hAnsi="B Zar" w:cs="B Zar"/>
      <w:b/>
      <w:bCs/>
      <w:sz w:val="28"/>
      <w:szCs w:val="28"/>
      <w:lang w:bidi="ar-SA"/>
    </w:rPr>
  </w:style>
  <w:style w:type="paragraph" w:customStyle="1" w:styleId="3-4-2-1">
    <w:name w:val="3-4-2-1"/>
    <w:basedOn w:val="Normal"/>
    <w:qFormat/>
    <w:rsid w:val="008028DA"/>
    <w:pPr>
      <w:spacing w:after="200" w:line="360" w:lineRule="auto"/>
      <w:ind w:left="-45"/>
    </w:pPr>
    <w:rPr>
      <w:rFonts w:ascii="B Zar" w:eastAsia="Calibri" w:hAnsi="B Zar" w:cs="B Zar"/>
      <w:b/>
      <w:bCs/>
      <w:sz w:val="28"/>
      <w:szCs w:val="28"/>
      <w:lang w:bidi="ar-SA"/>
    </w:rPr>
  </w:style>
  <w:style w:type="paragraph" w:customStyle="1" w:styleId="3">
    <w:name w:val="فصل3"/>
    <w:basedOn w:val="Normal"/>
    <w:qFormat/>
    <w:rsid w:val="008028DA"/>
    <w:pPr>
      <w:bidi w:val="0"/>
      <w:spacing w:after="200" w:line="360" w:lineRule="auto"/>
      <w:jc w:val="center"/>
    </w:pPr>
    <w:rPr>
      <w:rFonts w:ascii="B Zar" w:eastAsia="Calibri" w:hAnsi="B Zar" w:cs="B Zar"/>
      <w:b/>
      <w:sz w:val="96"/>
      <w:szCs w:val="96"/>
    </w:rPr>
  </w:style>
  <w:style w:type="paragraph" w:customStyle="1" w:styleId="3-3">
    <w:name w:val="3-3"/>
    <w:basedOn w:val="Normal"/>
    <w:qFormat/>
    <w:rsid w:val="008028DA"/>
    <w:pPr>
      <w:spacing w:after="200" w:line="276" w:lineRule="auto"/>
      <w:ind w:left="288"/>
      <w:jc w:val="left"/>
    </w:pPr>
    <w:rPr>
      <w:rFonts w:ascii="B Zar" w:eastAsia="Calibri" w:hAnsi="B Zar" w:cs="B Zar"/>
      <w:b/>
      <w:bCs/>
      <w:sz w:val="28"/>
      <w:szCs w:val="28"/>
      <w:lang w:bidi="ar-SA"/>
    </w:rPr>
  </w:style>
  <w:style w:type="paragraph" w:customStyle="1" w:styleId="3-4-2-2">
    <w:name w:val="3-4-2-2"/>
    <w:basedOn w:val="Normal"/>
    <w:qFormat/>
    <w:rsid w:val="008028DA"/>
    <w:pPr>
      <w:spacing w:after="200" w:line="276" w:lineRule="auto"/>
      <w:ind w:left="571"/>
    </w:pPr>
    <w:rPr>
      <w:rFonts w:ascii="B Compes" w:eastAsiaTheme="minorHAnsi" w:hAnsi="B Compes" w:cs="B Zar"/>
      <w:b/>
      <w:bCs/>
      <w:sz w:val="28"/>
      <w:szCs w:val="28"/>
      <w:lang w:bidi="ar-SA"/>
    </w:rPr>
  </w:style>
  <w:style w:type="paragraph" w:customStyle="1" w:styleId="3-4-3">
    <w:name w:val="3-4-3"/>
    <w:basedOn w:val="Normal"/>
    <w:qFormat/>
    <w:rsid w:val="008028DA"/>
    <w:pPr>
      <w:spacing w:after="200" w:line="276" w:lineRule="auto"/>
      <w:ind w:left="288"/>
    </w:pPr>
    <w:rPr>
      <w:rFonts w:ascii="B Zar" w:eastAsiaTheme="minorHAnsi" w:hAnsi="B Zar" w:cs="B Zar"/>
      <w:b/>
      <w:bCs/>
      <w:sz w:val="28"/>
      <w:szCs w:val="28"/>
      <w:lang w:bidi="ar-SA"/>
    </w:rPr>
  </w:style>
  <w:style w:type="paragraph" w:customStyle="1" w:styleId="3-4-3-1">
    <w:name w:val="3-4-3-1"/>
    <w:basedOn w:val="Normal"/>
    <w:qFormat/>
    <w:rsid w:val="008028DA"/>
    <w:pPr>
      <w:spacing w:after="200" w:line="276" w:lineRule="auto"/>
      <w:ind w:left="429"/>
    </w:pPr>
    <w:rPr>
      <w:rFonts w:ascii="B Zar" w:eastAsiaTheme="minorHAnsi" w:hAnsi="B Zar" w:cs="B Zar"/>
      <w:b/>
      <w:bCs/>
      <w:sz w:val="28"/>
      <w:szCs w:val="28"/>
      <w:lang w:bidi="ar-SA"/>
    </w:rPr>
  </w:style>
  <w:style w:type="paragraph" w:customStyle="1" w:styleId="3-4-3-2">
    <w:name w:val="3-4-3-2"/>
    <w:basedOn w:val="Normal"/>
    <w:qFormat/>
    <w:rsid w:val="008028DA"/>
    <w:pPr>
      <w:spacing w:after="200" w:line="276" w:lineRule="auto"/>
      <w:ind w:left="429"/>
    </w:pPr>
    <w:rPr>
      <w:rFonts w:ascii="B Zar" w:eastAsiaTheme="minorHAnsi" w:hAnsi="B Zar" w:cs="B Zar"/>
      <w:b/>
      <w:bCs/>
      <w:sz w:val="28"/>
      <w:szCs w:val="28"/>
      <w:lang w:bidi="ar-SA"/>
    </w:rPr>
  </w:style>
  <w:style w:type="paragraph" w:customStyle="1" w:styleId="3-4-3-3">
    <w:name w:val="3-4-3-3"/>
    <w:basedOn w:val="Normal"/>
    <w:qFormat/>
    <w:rsid w:val="008028DA"/>
    <w:pPr>
      <w:spacing w:after="200" w:line="276" w:lineRule="auto"/>
      <w:ind w:left="429"/>
    </w:pPr>
    <w:rPr>
      <w:rFonts w:ascii="B Zar" w:eastAsiaTheme="minorHAnsi" w:hAnsi="B Zar" w:cs="B Zar"/>
      <w:b/>
      <w:bCs/>
      <w:sz w:val="28"/>
      <w:szCs w:val="28"/>
    </w:rPr>
  </w:style>
  <w:style w:type="paragraph" w:styleId="TOC5">
    <w:name w:val="toc 5"/>
    <w:basedOn w:val="Normal"/>
    <w:next w:val="Normal"/>
    <w:autoRedefine/>
    <w:uiPriority w:val="39"/>
    <w:unhideWhenUsed/>
    <w:rsid w:val="008028DA"/>
    <w:pPr>
      <w:spacing w:line="276" w:lineRule="auto"/>
      <w:ind w:left="880"/>
      <w:jc w:val="left"/>
    </w:pPr>
    <w:rPr>
      <w:rFonts w:asciiTheme="minorHAnsi" w:eastAsia="Calibri" w:hAnsiTheme="minorHAnsi" w:cs="Times New Roman"/>
      <w:sz w:val="18"/>
      <w:szCs w:val="21"/>
    </w:rPr>
  </w:style>
  <w:style w:type="paragraph" w:styleId="TOC6">
    <w:name w:val="toc 6"/>
    <w:basedOn w:val="Normal"/>
    <w:next w:val="Normal"/>
    <w:autoRedefine/>
    <w:uiPriority w:val="39"/>
    <w:unhideWhenUsed/>
    <w:rsid w:val="008028DA"/>
    <w:pPr>
      <w:spacing w:line="276" w:lineRule="auto"/>
      <w:ind w:left="1100"/>
      <w:jc w:val="left"/>
    </w:pPr>
    <w:rPr>
      <w:rFonts w:asciiTheme="minorHAnsi" w:eastAsia="Calibri" w:hAnsiTheme="minorHAnsi" w:cs="Times New Roman"/>
      <w:sz w:val="18"/>
      <w:szCs w:val="21"/>
    </w:rPr>
  </w:style>
  <w:style w:type="paragraph" w:styleId="TOC7">
    <w:name w:val="toc 7"/>
    <w:basedOn w:val="Normal"/>
    <w:next w:val="Normal"/>
    <w:autoRedefine/>
    <w:uiPriority w:val="39"/>
    <w:unhideWhenUsed/>
    <w:rsid w:val="008028DA"/>
    <w:pPr>
      <w:spacing w:line="276" w:lineRule="auto"/>
      <w:ind w:left="1320"/>
      <w:jc w:val="left"/>
    </w:pPr>
    <w:rPr>
      <w:rFonts w:asciiTheme="minorHAnsi" w:eastAsia="Calibri" w:hAnsiTheme="minorHAnsi" w:cs="Times New Roman"/>
      <w:sz w:val="18"/>
      <w:szCs w:val="21"/>
    </w:rPr>
  </w:style>
  <w:style w:type="paragraph" w:styleId="TOC8">
    <w:name w:val="toc 8"/>
    <w:basedOn w:val="Normal"/>
    <w:next w:val="Normal"/>
    <w:autoRedefine/>
    <w:uiPriority w:val="39"/>
    <w:unhideWhenUsed/>
    <w:rsid w:val="008028DA"/>
    <w:pPr>
      <w:spacing w:line="276" w:lineRule="auto"/>
      <w:ind w:left="1540"/>
      <w:jc w:val="left"/>
    </w:pPr>
    <w:rPr>
      <w:rFonts w:asciiTheme="minorHAnsi" w:eastAsia="Calibri" w:hAnsiTheme="minorHAnsi" w:cs="Times New Roman"/>
      <w:sz w:val="18"/>
      <w:szCs w:val="21"/>
    </w:rPr>
  </w:style>
  <w:style w:type="paragraph" w:styleId="TOC9">
    <w:name w:val="toc 9"/>
    <w:basedOn w:val="Normal"/>
    <w:next w:val="Normal"/>
    <w:autoRedefine/>
    <w:uiPriority w:val="39"/>
    <w:unhideWhenUsed/>
    <w:rsid w:val="008028DA"/>
    <w:pPr>
      <w:spacing w:line="276" w:lineRule="auto"/>
      <w:ind w:left="1760"/>
      <w:jc w:val="left"/>
    </w:pPr>
    <w:rPr>
      <w:rFonts w:asciiTheme="minorHAnsi" w:eastAsia="Calibri" w:hAnsiTheme="minorHAnsi" w:cs="Times New Roman"/>
      <w:sz w:val="18"/>
      <w:szCs w:val="21"/>
    </w:rPr>
  </w:style>
  <w:style w:type="paragraph" w:customStyle="1" w:styleId="4">
    <w:name w:val="فصل4"/>
    <w:basedOn w:val="Heading1"/>
    <w:qFormat/>
    <w:rsid w:val="008028DA"/>
    <w:pPr>
      <w:keepLines/>
      <w:bidi w:val="0"/>
      <w:spacing w:before="480" w:after="0" w:line="360" w:lineRule="auto"/>
      <w:jc w:val="center"/>
    </w:pPr>
    <w:rPr>
      <w:rFonts w:asciiTheme="majorHAnsi" w:eastAsiaTheme="majorEastAsia" w:hAnsiTheme="majorHAnsi" w:cs="B Zar"/>
      <w:b w:val="0"/>
      <w:kern w:val="0"/>
      <w:sz w:val="96"/>
      <w:szCs w:val="96"/>
      <w:lang w:bidi="ar-SA"/>
    </w:rPr>
  </w:style>
  <w:style w:type="paragraph" w:customStyle="1" w:styleId="4-1">
    <w:name w:val="4-1"/>
    <w:basedOn w:val="Normal"/>
    <w:qFormat/>
    <w:rsid w:val="008028DA"/>
    <w:pPr>
      <w:spacing w:after="200" w:line="276" w:lineRule="auto"/>
      <w:ind w:left="146"/>
    </w:pPr>
    <w:rPr>
      <w:rFonts w:ascii="B Zar" w:eastAsiaTheme="minorHAnsi" w:hAnsi="B Zar" w:cs="B Zar"/>
      <w:b/>
      <w:bCs/>
      <w:iCs/>
      <w:sz w:val="28"/>
      <w:szCs w:val="28"/>
    </w:rPr>
  </w:style>
  <w:style w:type="paragraph" w:customStyle="1" w:styleId="4-1-1">
    <w:name w:val="4-1-1"/>
    <w:basedOn w:val="Normal"/>
    <w:qFormat/>
    <w:rsid w:val="008028DA"/>
    <w:pPr>
      <w:spacing w:after="200" w:line="276" w:lineRule="auto"/>
      <w:ind w:left="146"/>
    </w:pPr>
    <w:rPr>
      <w:rFonts w:ascii="B Zar" w:eastAsiaTheme="minorHAnsi" w:hAnsi="B Zar" w:cs="B Zar"/>
      <w:b/>
      <w:bCs/>
      <w:iCs/>
      <w:sz w:val="28"/>
      <w:szCs w:val="28"/>
    </w:rPr>
  </w:style>
  <w:style w:type="paragraph" w:customStyle="1" w:styleId="4-1-2">
    <w:name w:val="4-1-2"/>
    <w:basedOn w:val="Normal"/>
    <w:qFormat/>
    <w:rsid w:val="008028DA"/>
    <w:pPr>
      <w:spacing w:after="200" w:line="276" w:lineRule="auto"/>
      <w:ind w:left="146"/>
    </w:pPr>
    <w:rPr>
      <w:rFonts w:ascii="B Zar" w:eastAsiaTheme="minorHAnsi" w:hAnsi="B Zar" w:cs="B Zar"/>
      <w:b/>
      <w:bCs/>
      <w:iCs/>
      <w:sz w:val="28"/>
      <w:szCs w:val="28"/>
    </w:rPr>
  </w:style>
  <w:style w:type="paragraph" w:customStyle="1" w:styleId="4-1-3">
    <w:name w:val="4-1-3"/>
    <w:basedOn w:val="Normal"/>
    <w:qFormat/>
    <w:rsid w:val="008028DA"/>
    <w:pPr>
      <w:spacing w:after="200" w:line="276" w:lineRule="auto"/>
      <w:ind w:left="146"/>
    </w:pPr>
    <w:rPr>
      <w:rFonts w:ascii="B Zar" w:eastAsiaTheme="minorHAnsi" w:hAnsi="B Zar" w:cs="B Zar"/>
      <w:b/>
      <w:bCs/>
      <w:iCs/>
      <w:sz w:val="28"/>
      <w:szCs w:val="28"/>
    </w:rPr>
  </w:style>
  <w:style w:type="paragraph" w:customStyle="1" w:styleId="4-2">
    <w:name w:val="4-2"/>
    <w:basedOn w:val="Normal"/>
    <w:qFormat/>
    <w:rsid w:val="008028DA"/>
    <w:pPr>
      <w:spacing w:after="200" w:line="276" w:lineRule="auto"/>
      <w:ind w:left="146"/>
    </w:pPr>
    <w:rPr>
      <w:rFonts w:ascii="B Zar" w:eastAsiaTheme="minorHAnsi" w:hAnsi="B Zar" w:cs="B Zar"/>
      <w:b/>
      <w:bCs/>
      <w:iCs/>
      <w:sz w:val="28"/>
      <w:szCs w:val="28"/>
    </w:rPr>
  </w:style>
  <w:style w:type="paragraph" w:customStyle="1" w:styleId="4-2-1">
    <w:name w:val="4-2-1"/>
    <w:basedOn w:val="Normal"/>
    <w:qFormat/>
    <w:rsid w:val="008028DA"/>
    <w:pPr>
      <w:spacing w:after="200" w:line="276" w:lineRule="auto"/>
      <w:ind w:left="146"/>
    </w:pPr>
    <w:rPr>
      <w:rFonts w:ascii="B Zar" w:eastAsiaTheme="minorHAnsi" w:hAnsi="B Zar" w:cs="B Zar"/>
      <w:b/>
      <w:bCs/>
      <w:iCs/>
      <w:sz w:val="28"/>
      <w:szCs w:val="28"/>
    </w:rPr>
  </w:style>
  <w:style w:type="paragraph" w:customStyle="1" w:styleId="4-2-2">
    <w:name w:val="4-2-2"/>
    <w:basedOn w:val="Normal"/>
    <w:qFormat/>
    <w:rsid w:val="008028DA"/>
    <w:pPr>
      <w:spacing w:after="200" w:line="276" w:lineRule="auto"/>
      <w:ind w:left="146"/>
    </w:pPr>
    <w:rPr>
      <w:rFonts w:ascii="B Zar" w:eastAsiaTheme="minorHAnsi" w:hAnsi="B Zar" w:cs="B Zar"/>
      <w:b/>
      <w:bCs/>
      <w:iCs/>
      <w:sz w:val="28"/>
      <w:szCs w:val="28"/>
    </w:rPr>
  </w:style>
  <w:style w:type="paragraph" w:customStyle="1" w:styleId="4-3">
    <w:name w:val="4-3"/>
    <w:basedOn w:val="Normal"/>
    <w:qFormat/>
    <w:rsid w:val="008028DA"/>
    <w:pPr>
      <w:spacing w:after="200" w:line="276" w:lineRule="auto"/>
      <w:ind w:left="146"/>
      <w:jc w:val="left"/>
    </w:pPr>
    <w:rPr>
      <w:rFonts w:ascii="B Zar" w:eastAsiaTheme="minorHAnsi" w:hAnsi="B Zar" w:cs="B Zar"/>
      <w:b/>
      <w:bCs/>
      <w:iCs/>
      <w:sz w:val="28"/>
      <w:szCs w:val="28"/>
    </w:rPr>
  </w:style>
  <w:style w:type="paragraph" w:customStyle="1" w:styleId="4-10">
    <w:name w:val="نمودار 4-1"/>
    <w:basedOn w:val="Normal"/>
    <w:qFormat/>
    <w:rsid w:val="008028DA"/>
    <w:pPr>
      <w:spacing w:after="200" w:line="276" w:lineRule="auto"/>
      <w:jc w:val="center"/>
    </w:pPr>
    <w:rPr>
      <w:rFonts w:asciiTheme="minorHAnsi" w:eastAsiaTheme="minorHAnsi" w:hAnsiTheme="minorHAnsi" w:cs="B Zar"/>
      <w:noProof/>
      <w:sz w:val="28"/>
      <w:szCs w:val="28"/>
    </w:rPr>
  </w:style>
  <w:style w:type="paragraph" w:customStyle="1" w:styleId="4-30">
    <w:name w:val="نمودار 4-3"/>
    <w:basedOn w:val="TableofFigures"/>
    <w:qFormat/>
    <w:rsid w:val="008028DA"/>
    <w:pPr>
      <w:spacing w:after="200"/>
      <w:jc w:val="center"/>
    </w:pPr>
    <w:rPr>
      <w:rFonts w:asciiTheme="minorHAnsi" w:eastAsiaTheme="minorHAnsi" w:hAnsiTheme="minorHAnsi" w:cs="B Zar"/>
      <w:i/>
      <w:iCs/>
      <w:noProof/>
      <w:color w:val="000000" w:themeColor="text1"/>
      <w:sz w:val="28"/>
      <w:szCs w:val="28"/>
    </w:rPr>
  </w:style>
  <w:style w:type="paragraph" w:styleId="TableofFigures">
    <w:name w:val="table of figures"/>
    <w:basedOn w:val="Normal"/>
    <w:next w:val="Normal"/>
    <w:uiPriority w:val="99"/>
    <w:semiHidden/>
    <w:unhideWhenUsed/>
    <w:rsid w:val="008028DA"/>
    <w:pPr>
      <w:spacing w:line="276" w:lineRule="auto"/>
      <w:jc w:val="left"/>
    </w:pPr>
    <w:rPr>
      <w:rFonts w:ascii="Calibri" w:eastAsia="Calibri" w:hAnsi="Calibri" w:cs="Arial"/>
      <w:sz w:val="22"/>
      <w:szCs w:val="22"/>
    </w:rPr>
  </w:style>
  <w:style w:type="paragraph" w:customStyle="1" w:styleId="4-4">
    <w:name w:val="نمودار 4-4"/>
    <w:basedOn w:val="Normal"/>
    <w:qFormat/>
    <w:rsid w:val="008028DA"/>
    <w:pPr>
      <w:spacing w:after="200" w:line="276" w:lineRule="auto"/>
      <w:jc w:val="center"/>
    </w:pPr>
    <w:rPr>
      <w:rFonts w:asciiTheme="minorHAnsi" w:eastAsiaTheme="minorHAnsi" w:hAnsiTheme="minorHAnsi" w:cs="B Zar"/>
      <w:noProof/>
      <w:sz w:val="28"/>
      <w:szCs w:val="28"/>
    </w:rPr>
  </w:style>
  <w:style w:type="paragraph" w:customStyle="1" w:styleId="4-5">
    <w:name w:val="نمودار 4-5"/>
    <w:basedOn w:val="Normal"/>
    <w:qFormat/>
    <w:rsid w:val="008028DA"/>
    <w:pPr>
      <w:tabs>
        <w:tab w:val="left" w:pos="1725"/>
      </w:tabs>
      <w:spacing w:after="200" w:line="276" w:lineRule="auto"/>
      <w:jc w:val="center"/>
    </w:pPr>
    <w:rPr>
      <w:rFonts w:asciiTheme="minorHAnsi" w:eastAsiaTheme="minorHAnsi" w:hAnsiTheme="minorHAnsi" w:cs="B Zar"/>
      <w:noProof/>
      <w:sz w:val="28"/>
      <w:szCs w:val="28"/>
    </w:rPr>
  </w:style>
  <w:style w:type="paragraph" w:customStyle="1" w:styleId="4-6">
    <w:name w:val="نمودار 4-6"/>
    <w:basedOn w:val="Normal"/>
    <w:qFormat/>
    <w:rsid w:val="008028DA"/>
    <w:pPr>
      <w:spacing w:after="200" w:line="276" w:lineRule="auto"/>
      <w:jc w:val="center"/>
    </w:pPr>
    <w:rPr>
      <w:rFonts w:asciiTheme="minorHAnsi" w:eastAsiaTheme="minorHAnsi" w:hAnsiTheme="minorHAnsi" w:cs="B Zar"/>
      <w:noProof/>
      <w:sz w:val="28"/>
      <w:szCs w:val="28"/>
    </w:rPr>
  </w:style>
  <w:style w:type="paragraph" w:customStyle="1" w:styleId="4-7">
    <w:name w:val="نمودار 4-7"/>
    <w:basedOn w:val="Normal"/>
    <w:qFormat/>
    <w:rsid w:val="008028DA"/>
    <w:pPr>
      <w:spacing w:after="200" w:line="276" w:lineRule="auto"/>
      <w:jc w:val="center"/>
    </w:pPr>
    <w:rPr>
      <w:rFonts w:asciiTheme="minorHAnsi" w:eastAsiaTheme="minorHAnsi" w:hAnsiTheme="minorHAnsi" w:cs="B Zar"/>
      <w:noProof/>
      <w:sz w:val="28"/>
      <w:szCs w:val="28"/>
    </w:rPr>
  </w:style>
  <w:style w:type="paragraph" w:customStyle="1" w:styleId="1-7-1">
    <w:name w:val="1-7-1"/>
    <w:basedOn w:val="Normal"/>
    <w:qFormat/>
    <w:rsid w:val="008028DA"/>
    <w:pPr>
      <w:spacing w:after="200" w:line="276" w:lineRule="auto"/>
      <w:ind w:left="386"/>
    </w:pPr>
    <w:rPr>
      <w:rFonts w:ascii="B Compes" w:eastAsia="Calibri" w:hAnsi="B Compes" w:cs="B Zar"/>
      <w:b/>
      <w:bCs/>
      <w:sz w:val="28"/>
      <w:szCs w:val="28"/>
    </w:rPr>
  </w:style>
  <w:style w:type="paragraph" w:customStyle="1" w:styleId="1-7-2">
    <w:name w:val="1-7-2"/>
    <w:basedOn w:val="Normal"/>
    <w:qFormat/>
    <w:rsid w:val="008028DA"/>
    <w:pPr>
      <w:spacing w:after="200" w:line="276" w:lineRule="auto"/>
      <w:ind w:left="386"/>
    </w:pPr>
    <w:rPr>
      <w:rFonts w:ascii="B Compes" w:eastAsia="Calibri" w:hAnsi="B Compes" w:cs="B Zar"/>
      <w:b/>
      <w:bCs/>
      <w:sz w:val="28"/>
      <w:szCs w:val="28"/>
    </w:rPr>
  </w:style>
  <w:style w:type="paragraph" w:customStyle="1" w:styleId="1-7-3">
    <w:name w:val="1-7-3"/>
    <w:basedOn w:val="Normal"/>
    <w:qFormat/>
    <w:rsid w:val="008028DA"/>
    <w:pPr>
      <w:spacing w:after="200"/>
      <w:ind w:left="386"/>
    </w:pPr>
    <w:rPr>
      <w:rFonts w:ascii="B Compes" w:eastAsia="Calibri" w:hAnsi="B Compes" w:cs="B Zar"/>
      <w:b/>
      <w:bCs/>
      <w:sz w:val="28"/>
      <w:szCs w:val="28"/>
    </w:rPr>
  </w:style>
  <w:style w:type="paragraph" w:customStyle="1" w:styleId="1-7-4">
    <w:name w:val="1-7-4"/>
    <w:basedOn w:val="Normal"/>
    <w:qFormat/>
    <w:rsid w:val="008028DA"/>
    <w:pPr>
      <w:tabs>
        <w:tab w:val="right" w:pos="476"/>
      </w:tabs>
      <w:spacing w:after="200" w:line="276" w:lineRule="auto"/>
      <w:ind w:left="386"/>
    </w:pPr>
    <w:rPr>
      <w:rFonts w:ascii="B Compes" w:eastAsia="Calibri" w:hAnsi="B Compes" w:cs="B Zar"/>
      <w:b/>
      <w:bCs/>
      <w:sz w:val="28"/>
      <w:szCs w:val="28"/>
    </w:rPr>
  </w:style>
  <w:style w:type="paragraph" w:customStyle="1" w:styleId="1-7-5">
    <w:name w:val="1-7-5"/>
    <w:basedOn w:val="Normal"/>
    <w:qFormat/>
    <w:rsid w:val="008028DA"/>
    <w:pPr>
      <w:spacing w:after="200"/>
      <w:ind w:left="386"/>
    </w:pPr>
    <w:rPr>
      <w:rFonts w:ascii="B Compes" w:eastAsia="Calibri" w:hAnsi="B Compes" w:cs="B Zar"/>
      <w:b/>
      <w:bCs/>
      <w:sz w:val="28"/>
      <w:szCs w:val="28"/>
    </w:rPr>
  </w:style>
  <w:style w:type="paragraph" w:customStyle="1" w:styleId="1-7-6">
    <w:name w:val="1-7-6"/>
    <w:basedOn w:val="Normal"/>
    <w:qFormat/>
    <w:rsid w:val="008028DA"/>
    <w:pPr>
      <w:spacing w:after="200"/>
      <w:ind w:left="386"/>
    </w:pPr>
    <w:rPr>
      <w:rFonts w:ascii="B Compes" w:eastAsia="Calibri" w:hAnsi="B Compes" w:cs="B Zar"/>
      <w:b/>
      <w:bCs/>
      <w:sz w:val="28"/>
      <w:szCs w:val="28"/>
    </w:rPr>
  </w:style>
  <w:style w:type="paragraph" w:customStyle="1" w:styleId="1-7-7">
    <w:name w:val="1-7-7"/>
    <w:basedOn w:val="Normal"/>
    <w:qFormat/>
    <w:rsid w:val="008028DA"/>
    <w:pPr>
      <w:spacing w:after="200"/>
      <w:ind w:left="386"/>
    </w:pPr>
    <w:rPr>
      <w:rFonts w:ascii="B Compes" w:eastAsia="Calibri" w:hAnsi="B Compes" w:cs="B Zar"/>
      <w:b/>
      <w:bCs/>
      <w:sz w:val="28"/>
      <w:szCs w:val="28"/>
    </w:rPr>
  </w:style>
  <w:style w:type="paragraph" w:customStyle="1" w:styleId="1-7-8">
    <w:name w:val="1-7-8"/>
    <w:basedOn w:val="Normal"/>
    <w:qFormat/>
    <w:rsid w:val="008028DA"/>
    <w:pPr>
      <w:spacing w:after="200"/>
      <w:ind w:left="386"/>
    </w:pPr>
    <w:rPr>
      <w:rFonts w:ascii="B Compes" w:eastAsia="Calibri" w:hAnsi="B Compes" w:cs="B Zar"/>
      <w:b/>
      <w:bCs/>
      <w:sz w:val="28"/>
      <w:szCs w:val="28"/>
    </w:rPr>
  </w:style>
  <w:style w:type="paragraph" w:customStyle="1" w:styleId="5">
    <w:name w:val="فصل5"/>
    <w:basedOn w:val="4"/>
    <w:qFormat/>
    <w:rsid w:val="008028DA"/>
    <w:pPr>
      <w:bidi/>
    </w:pPr>
    <w:rPr>
      <w:sz w:val="80"/>
      <w:szCs w:val="80"/>
    </w:rPr>
  </w:style>
  <w:style w:type="paragraph" w:customStyle="1" w:styleId="5-1">
    <w:name w:val="5-1"/>
    <w:basedOn w:val="Normal"/>
    <w:qFormat/>
    <w:rsid w:val="008028DA"/>
    <w:pPr>
      <w:spacing w:after="200" w:line="276" w:lineRule="auto"/>
    </w:pPr>
    <w:rPr>
      <w:rFonts w:ascii="B Zar" w:eastAsia="Calibri" w:hAnsi="B Zar" w:cs="B Zar"/>
      <w:b/>
      <w:bCs/>
      <w:sz w:val="28"/>
      <w:szCs w:val="28"/>
    </w:rPr>
  </w:style>
  <w:style w:type="paragraph" w:customStyle="1" w:styleId="5-2">
    <w:name w:val="5-2"/>
    <w:basedOn w:val="Normal"/>
    <w:qFormat/>
    <w:rsid w:val="008028DA"/>
    <w:pPr>
      <w:spacing w:after="200" w:line="276" w:lineRule="auto"/>
    </w:pPr>
    <w:rPr>
      <w:rFonts w:ascii="B Zar" w:eastAsia="Calibri" w:hAnsi="B Zar" w:cs="B Zar"/>
      <w:b/>
      <w:bCs/>
      <w:sz w:val="28"/>
      <w:szCs w:val="28"/>
    </w:rPr>
  </w:style>
  <w:style w:type="paragraph" w:customStyle="1" w:styleId="a0">
    <w:name w:val="منابع"/>
    <w:basedOn w:val="4"/>
    <w:qFormat/>
    <w:rsid w:val="008028DA"/>
    <w:pPr>
      <w:bidi/>
      <w:spacing w:line="480" w:lineRule="auto"/>
      <w:jc w:val="left"/>
    </w:pPr>
    <w:rPr>
      <w:rFonts w:ascii="B Zar" w:hAnsi="B Zar"/>
      <w:b/>
      <w:sz w:val="28"/>
      <w:szCs w:val="80"/>
    </w:rPr>
  </w:style>
  <w:style w:type="paragraph" w:customStyle="1" w:styleId="6-1">
    <w:name w:val="6-1"/>
    <w:basedOn w:val="Normal"/>
    <w:qFormat/>
    <w:rsid w:val="008028DA"/>
    <w:pPr>
      <w:spacing w:after="200" w:line="276" w:lineRule="auto"/>
      <w:ind w:left="-45"/>
    </w:pPr>
    <w:rPr>
      <w:rFonts w:ascii="B Compes" w:eastAsia="Calibri" w:hAnsi="B Compes" w:cs="B Zar"/>
      <w:b/>
      <w:bCs/>
      <w:sz w:val="28"/>
      <w:szCs w:val="28"/>
    </w:rPr>
  </w:style>
  <w:style w:type="paragraph" w:customStyle="1" w:styleId="6-2">
    <w:name w:val="6-2"/>
    <w:basedOn w:val="Normal"/>
    <w:qFormat/>
    <w:rsid w:val="008028DA"/>
    <w:pPr>
      <w:spacing w:after="200" w:line="276" w:lineRule="auto"/>
    </w:pPr>
    <w:rPr>
      <w:rFonts w:ascii="B Zar" w:eastAsia="Calibri" w:hAnsi="B Zar" w:cs="B Zar"/>
      <w:b/>
      <w:bCs/>
      <w:sz w:val="28"/>
      <w:szCs w:val="28"/>
    </w:rPr>
  </w:style>
  <w:style w:type="paragraph" w:customStyle="1" w:styleId="7-1">
    <w:name w:val="7-1"/>
    <w:basedOn w:val="Normal"/>
    <w:qFormat/>
    <w:rsid w:val="008028DA"/>
    <w:pPr>
      <w:spacing w:after="200" w:line="720" w:lineRule="auto"/>
      <w:jc w:val="center"/>
    </w:pPr>
    <w:rPr>
      <w:rFonts w:ascii="B Zar" w:eastAsia="Calibri" w:hAnsi="B Zar" w:cs="B Zar"/>
      <w:sz w:val="144"/>
      <w:szCs w:val="144"/>
    </w:rPr>
  </w:style>
  <w:style w:type="character" w:styleId="PlaceholderText">
    <w:name w:val="Placeholder Text"/>
    <w:basedOn w:val="DefaultParagraphFont"/>
    <w:uiPriority w:val="99"/>
    <w:semiHidden/>
    <w:rsid w:val="008028DA"/>
    <w:rPr>
      <w:color w:val="808080"/>
    </w:rPr>
  </w:style>
  <w:style w:type="paragraph" w:customStyle="1" w:styleId="3-5">
    <w:name w:val="3-5"/>
    <w:basedOn w:val="Normal"/>
    <w:qFormat/>
    <w:rsid w:val="008028DA"/>
    <w:pPr>
      <w:spacing w:after="200" w:line="276" w:lineRule="auto"/>
      <w:ind w:left="-33" w:firstLine="90"/>
      <w:jc w:val="left"/>
    </w:pPr>
    <w:rPr>
      <w:rFonts w:ascii="B Zar" w:eastAsia="Calibri" w:hAnsi="B Zar" w:cs="B Zar"/>
      <w:b/>
      <w:bCs/>
      <w:sz w:val="28"/>
      <w:szCs w:val="28"/>
    </w:rPr>
  </w:style>
  <w:style w:type="paragraph" w:customStyle="1" w:styleId="3-4-1">
    <w:name w:val="3-4-1"/>
    <w:basedOn w:val="Normal"/>
    <w:qFormat/>
    <w:rsid w:val="008028DA"/>
    <w:pPr>
      <w:spacing w:after="240" w:line="300" w:lineRule="auto"/>
      <w:ind w:left="147"/>
    </w:pPr>
    <w:rPr>
      <w:rFonts w:ascii="B Zar" w:eastAsia="Calibri" w:hAnsi="B Zar" w:cs="B Zar"/>
      <w:b/>
      <w:bCs/>
      <w:sz w:val="28"/>
      <w:szCs w:val="28"/>
    </w:rPr>
  </w:style>
  <w:style w:type="paragraph" w:customStyle="1" w:styleId="1-9">
    <w:name w:val="1-9"/>
    <w:basedOn w:val="Normal"/>
    <w:qFormat/>
    <w:rsid w:val="008028DA"/>
    <w:pPr>
      <w:spacing w:after="200" w:line="300" w:lineRule="auto"/>
      <w:ind w:left="-2" w:firstLine="31"/>
      <w:jc w:val="lowKashida"/>
    </w:pPr>
    <w:rPr>
      <w:rFonts w:ascii="B Zar" w:eastAsia="Calibri" w:hAnsi="B Zar" w:cs="B Zar"/>
      <w:b/>
      <w:bCs/>
      <w:sz w:val="28"/>
      <w:szCs w:val="28"/>
    </w:rPr>
  </w:style>
  <w:style w:type="paragraph" w:customStyle="1" w:styleId="30">
    <w:name w:val="مقدمه 3"/>
    <w:basedOn w:val="3-1"/>
    <w:qFormat/>
    <w:rsid w:val="008028DA"/>
    <w:pPr>
      <w:spacing w:before="240" w:after="120" w:line="120" w:lineRule="atLeast"/>
    </w:pPr>
    <w:rPr>
      <w:rFonts w:cs="B Zar"/>
    </w:rPr>
  </w:style>
  <w:style w:type="paragraph" w:customStyle="1" w:styleId="40">
    <w:name w:val="مقدمه 4"/>
    <w:basedOn w:val="4-1"/>
    <w:qFormat/>
    <w:rsid w:val="008028DA"/>
    <w:pPr>
      <w:spacing w:line="300" w:lineRule="auto"/>
      <w:ind w:left="-46"/>
    </w:pPr>
    <w:rPr>
      <w:iCs w:val="0"/>
    </w:rPr>
  </w:style>
  <w:style w:type="paragraph" w:customStyle="1" w:styleId="4-40">
    <w:name w:val="4-4"/>
    <w:basedOn w:val="Normal"/>
    <w:qFormat/>
    <w:rsid w:val="008028DA"/>
    <w:pPr>
      <w:tabs>
        <w:tab w:val="right" w:pos="140"/>
        <w:tab w:val="left" w:pos="565"/>
      </w:tabs>
      <w:spacing w:after="200" w:line="300" w:lineRule="auto"/>
      <w:jc w:val="mediumKashida"/>
    </w:pPr>
    <w:rPr>
      <w:rFonts w:ascii="B Zar" w:eastAsia="Calibri" w:hAnsi="B Zar" w:cs="B Zar"/>
      <w:b/>
      <w:bCs/>
      <w:sz w:val="28"/>
      <w:szCs w:val="28"/>
    </w:rPr>
  </w:style>
  <w:style w:type="paragraph" w:customStyle="1" w:styleId="20">
    <w:name w:val="2"/>
    <w:basedOn w:val="Normal"/>
    <w:qFormat/>
    <w:rsid w:val="008028DA"/>
    <w:pPr>
      <w:tabs>
        <w:tab w:val="left" w:pos="2531"/>
        <w:tab w:val="center" w:pos="4513"/>
      </w:tabs>
      <w:spacing w:after="200" w:line="276" w:lineRule="auto"/>
      <w:jc w:val="center"/>
    </w:pPr>
    <w:rPr>
      <w:rFonts w:ascii="IranNastaliq" w:eastAsia="Calibri" w:hAnsi="IranNastaliq" w:cs="IranNastaliq"/>
      <w:sz w:val="96"/>
      <w:szCs w:val="96"/>
    </w:rPr>
  </w:style>
  <w:style w:type="table" w:customStyle="1" w:styleId="LightShading1">
    <w:name w:val="Light Shading1"/>
    <w:basedOn w:val="TableNormal"/>
    <w:uiPriority w:val="60"/>
    <w:rsid w:val="008028DA"/>
    <w:rPr>
      <w:color w:val="000000" w:themeColor="text1" w:themeShade="BF"/>
      <w:lang w:bidi="fa-I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2">
    <w:name w:val="Light Shading2"/>
    <w:basedOn w:val="TableNormal"/>
    <w:uiPriority w:val="60"/>
    <w:rsid w:val="008028DA"/>
    <w:rPr>
      <w:color w:val="000000" w:themeColor="text1" w:themeShade="BF"/>
      <w:lang w:bidi="fa-I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EndnoteText">
    <w:name w:val="endnote text"/>
    <w:basedOn w:val="Normal"/>
    <w:link w:val="EndnoteTextChar"/>
    <w:uiPriority w:val="99"/>
    <w:rsid w:val="008028DA"/>
    <w:pPr>
      <w:jc w:val="left"/>
    </w:pPr>
    <w:rPr>
      <w:rFonts w:cs="Times New Roman"/>
      <w:szCs w:val="24"/>
      <w:lang w:bidi="ar-SA"/>
    </w:rPr>
  </w:style>
  <w:style w:type="character" w:customStyle="1" w:styleId="EndnoteTextChar">
    <w:name w:val="Endnote Text Char"/>
    <w:basedOn w:val="DefaultParagraphFont"/>
    <w:link w:val="EndnoteText"/>
    <w:uiPriority w:val="99"/>
    <w:rsid w:val="008028DA"/>
    <w:rPr>
      <w:rFonts w:ascii="Times New Roman" w:eastAsia="Times New Roman" w:hAnsi="Times New Roman" w:cs="Times New Roman"/>
      <w:sz w:val="20"/>
      <w:szCs w:val="24"/>
    </w:rPr>
  </w:style>
  <w:style w:type="paragraph" w:styleId="BodyTextIndent">
    <w:name w:val="Body Text Indent"/>
    <w:basedOn w:val="Normal"/>
    <w:link w:val="BodyTextIndentChar"/>
    <w:unhideWhenUsed/>
    <w:rsid w:val="008028DA"/>
    <w:pPr>
      <w:bidi w:val="0"/>
      <w:spacing w:after="120" w:line="276" w:lineRule="auto"/>
      <w:ind w:left="360"/>
      <w:jc w:val="left"/>
    </w:pPr>
    <w:rPr>
      <w:rFonts w:asciiTheme="minorHAnsi" w:eastAsiaTheme="minorHAnsi" w:hAnsiTheme="minorHAnsi" w:cstheme="minorBidi"/>
      <w:sz w:val="22"/>
      <w:szCs w:val="22"/>
      <w:lang w:bidi="ar-SA"/>
    </w:rPr>
  </w:style>
  <w:style w:type="character" w:customStyle="1" w:styleId="BodyTextIndentChar">
    <w:name w:val="Body Text Indent Char"/>
    <w:basedOn w:val="DefaultParagraphFont"/>
    <w:link w:val="BodyTextIndent"/>
    <w:rsid w:val="008028DA"/>
  </w:style>
  <w:style w:type="character" w:styleId="LineNumber">
    <w:name w:val="line number"/>
    <w:basedOn w:val="DefaultParagraphFont"/>
    <w:rsid w:val="008028DA"/>
  </w:style>
  <w:style w:type="table" w:customStyle="1" w:styleId="TableStyle1">
    <w:name w:val="Table Style1"/>
    <w:basedOn w:val="TableGrid"/>
    <w:rsid w:val="008028DA"/>
    <w:rPr>
      <w:lang w:bidi="fa-IR"/>
    </w:rPr>
    <w:tblPr/>
    <w:tblStylePr w:type="firstRow">
      <w:rPr>
        <w:rFonts w:cs="Calibri"/>
        <w:szCs w:val="24"/>
      </w:rPr>
    </w:tblStylePr>
    <w:tblStylePr w:type="lastCol">
      <w:rPr>
        <w:rFonts w:cs="Calibri"/>
        <w:szCs w:val="24"/>
      </w:rPr>
    </w:tblStylePr>
  </w:style>
  <w:style w:type="paragraph" w:styleId="Caption">
    <w:name w:val="caption"/>
    <w:basedOn w:val="Normal"/>
    <w:next w:val="Normal"/>
    <w:qFormat/>
    <w:rsid w:val="008028DA"/>
    <w:pPr>
      <w:jc w:val="left"/>
    </w:pPr>
    <w:rPr>
      <w:rFonts w:cs="Traditional Arabic"/>
      <w:b/>
      <w:bCs/>
      <w:lang w:bidi="ar-SA"/>
    </w:rPr>
  </w:style>
  <w:style w:type="character" w:customStyle="1" w:styleId="hps">
    <w:name w:val="hps"/>
    <w:basedOn w:val="DefaultParagraphFont"/>
    <w:rsid w:val="008028DA"/>
  </w:style>
  <w:style w:type="character" w:customStyle="1" w:styleId="longtext">
    <w:name w:val="long_text"/>
    <w:basedOn w:val="DefaultParagraphFont"/>
    <w:rsid w:val="008028DA"/>
  </w:style>
  <w:style w:type="character" w:customStyle="1" w:styleId="BodyTextIndent3Char">
    <w:name w:val="Body Text Indent 3 Char"/>
    <w:basedOn w:val="DefaultParagraphFont"/>
    <w:link w:val="BodyTextIndent3"/>
    <w:uiPriority w:val="99"/>
    <w:semiHidden/>
    <w:rsid w:val="008028DA"/>
    <w:rPr>
      <w:sz w:val="16"/>
      <w:szCs w:val="16"/>
    </w:rPr>
  </w:style>
  <w:style w:type="paragraph" w:styleId="BodyTextIndent3">
    <w:name w:val="Body Text Indent 3"/>
    <w:basedOn w:val="Normal"/>
    <w:link w:val="BodyTextIndent3Char"/>
    <w:uiPriority w:val="99"/>
    <w:semiHidden/>
    <w:unhideWhenUsed/>
    <w:rsid w:val="008028DA"/>
    <w:pPr>
      <w:bidi w:val="0"/>
      <w:spacing w:after="120" w:line="276" w:lineRule="auto"/>
      <w:ind w:left="283"/>
      <w:jc w:val="left"/>
    </w:pPr>
    <w:rPr>
      <w:rFonts w:asciiTheme="minorHAnsi" w:eastAsiaTheme="minorHAnsi" w:hAnsiTheme="minorHAnsi" w:cstheme="minorBidi"/>
      <w:sz w:val="16"/>
      <w:szCs w:val="16"/>
      <w:lang w:bidi="ar-SA"/>
    </w:rPr>
  </w:style>
  <w:style w:type="paragraph" w:customStyle="1" w:styleId="a1">
    <w:name w:val="متن"/>
    <w:basedOn w:val="Normal"/>
    <w:link w:val="Char"/>
    <w:rsid w:val="008028DA"/>
    <w:pPr>
      <w:widowControl w:val="0"/>
      <w:spacing w:line="360" w:lineRule="auto"/>
      <w:ind w:firstLine="567"/>
      <w:jc w:val="lowKashida"/>
    </w:pPr>
    <w:rPr>
      <w:rFonts w:cs="B Traffic"/>
      <w:sz w:val="28"/>
      <w:szCs w:val="28"/>
    </w:rPr>
  </w:style>
  <w:style w:type="character" w:customStyle="1" w:styleId="Char">
    <w:name w:val="متن Char"/>
    <w:basedOn w:val="DefaultParagraphFont"/>
    <w:link w:val="a1"/>
    <w:rsid w:val="008028DA"/>
    <w:rPr>
      <w:rFonts w:ascii="Times New Roman" w:eastAsia="Times New Roman" w:hAnsi="Times New Roman" w:cs="B Traffic"/>
      <w:sz w:val="28"/>
      <w:szCs w:val="28"/>
      <w:lang w:bidi="fa-IR"/>
    </w:rPr>
  </w:style>
  <w:style w:type="paragraph" w:customStyle="1" w:styleId="a2">
    <w:name w:val="ياقوت"/>
    <w:basedOn w:val="Normal"/>
    <w:rsid w:val="008028DA"/>
    <w:pPr>
      <w:spacing w:before="120" w:line="360" w:lineRule="auto"/>
      <w:jc w:val="lowKashida"/>
    </w:pPr>
    <w:rPr>
      <w:rFonts w:cs="B Yagut"/>
      <w:b/>
      <w:bCs/>
      <w:i/>
      <w:sz w:val="28"/>
      <w:szCs w:val="32"/>
      <w:lang w:bidi="ar-SA"/>
    </w:rPr>
  </w:style>
  <w:style w:type="character" w:styleId="EndnoteReference">
    <w:name w:val="endnote reference"/>
    <w:basedOn w:val="DefaultParagraphFont"/>
    <w:uiPriority w:val="99"/>
    <w:unhideWhenUsed/>
    <w:rsid w:val="008028DA"/>
    <w:rPr>
      <w:vertAlign w:val="superscript"/>
    </w:rPr>
  </w:style>
  <w:style w:type="paragraph" w:customStyle="1" w:styleId="msolistparagraph0">
    <w:name w:val="msolistparagraph"/>
    <w:basedOn w:val="Normal"/>
    <w:rsid w:val="008028DA"/>
    <w:pPr>
      <w:spacing w:after="200" w:line="276" w:lineRule="auto"/>
      <w:ind w:left="720"/>
      <w:contextualSpacing/>
      <w:jc w:val="left"/>
    </w:pPr>
    <w:rPr>
      <w:rFonts w:ascii="Calibri" w:eastAsia="Calibri" w:hAnsi="Calibri" w:cs="Arial"/>
      <w:sz w:val="22"/>
      <w:szCs w:val="22"/>
    </w:rPr>
  </w:style>
  <w:style w:type="character" w:customStyle="1" w:styleId="lg1">
    <w:name w:val="lg1"/>
    <w:basedOn w:val="DefaultParagraphFont"/>
    <w:rsid w:val="008028DA"/>
    <w:rPr>
      <w:color w:val="888888"/>
    </w:rPr>
  </w:style>
  <w:style w:type="character" w:customStyle="1" w:styleId="longtext1">
    <w:name w:val="long_text1"/>
    <w:basedOn w:val="DefaultParagraphFont"/>
    <w:rsid w:val="008028DA"/>
    <w:rPr>
      <w:sz w:val="20"/>
      <w:szCs w:val="20"/>
    </w:rPr>
  </w:style>
  <w:style w:type="paragraph" w:styleId="Title">
    <w:name w:val="Title"/>
    <w:basedOn w:val="Normal"/>
    <w:link w:val="TitleChar"/>
    <w:qFormat/>
    <w:rsid w:val="00A847CA"/>
    <w:pPr>
      <w:jc w:val="center"/>
    </w:pPr>
    <w:rPr>
      <w:rFonts w:cs="Lotus"/>
      <w:b/>
      <w:bCs/>
      <w:szCs w:val="44"/>
      <w:lang w:bidi="ar-SA"/>
    </w:rPr>
  </w:style>
  <w:style w:type="character" w:customStyle="1" w:styleId="TitleChar">
    <w:name w:val="Title Char"/>
    <w:basedOn w:val="DefaultParagraphFont"/>
    <w:link w:val="Title"/>
    <w:rsid w:val="00A847CA"/>
    <w:rPr>
      <w:rFonts w:ascii="Times New Roman" w:eastAsia="Times New Roman" w:hAnsi="Times New Roman" w:cs="Lotus"/>
      <w:b/>
      <w:bCs/>
      <w:sz w:val="20"/>
      <w:szCs w:val="44"/>
    </w:rPr>
  </w:style>
  <w:style w:type="character" w:customStyle="1" w:styleId="apple-converted-space">
    <w:name w:val="apple-converted-space"/>
    <w:basedOn w:val="DefaultParagraphFont"/>
    <w:rsid w:val="00A847CA"/>
  </w:style>
  <w:style w:type="character" w:customStyle="1" w:styleId="FootnoteTextChar1">
    <w:name w:val="Footnote Text Char1"/>
    <w:aliases w:val="Footnote Text Char Char Char Char Char2,Footnote Text11 Char1,Footnote Text Char Char11 Char1,Footnote Text Char Char Char Char Char Char Char Char Char Char Char1,Footnote Text Char Char Char Char Char Char1,Footnote Text21 Char1"/>
    <w:rsid w:val="00A847CA"/>
    <w:rPr>
      <w:rFonts w:cs="B Lotus"/>
      <w:lang w:val="en-US" w:eastAsia="en-US" w:bidi="ar-SA"/>
    </w:rPr>
  </w:style>
  <w:style w:type="character" w:customStyle="1" w:styleId="citation">
    <w:name w:val="citation"/>
    <w:basedOn w:val="DefaultParagraphFont"/>
    <w:rsid w:val="00A847CA"/>
    <w:rPr>
      <w:i w:val="0"/>
      <w:iCs w:val="0"/>
    </w:rPr>
  </w:style>
  <w:style w:type="character" w:customStyle="1" w:styleId="BodyTextFirstIndentChar">
    <w:name w:val="Body Text First Indent Char"/>
    <w:basedOn w:val="BodyTextChar"/>
    <w:link w:val="BodyTextFirstIndent"/>
    <w:uiPriority w:val="99"/>
    <w:semiHidden/>
    <w:rsid w:val="00A847CA"/>
    <w:rPr>
      <w:rFonts w:ascii="Times New Roman" w:eastAsia="Times New Roman" w:hAnsi="Times New Roman" w:cs="Mitra"/>
      <w:b w:val="0"/>
      <w:bCs w:val="0"/>
      <w:sz w:val="24"/>
      <w:szCs w:val="24"/>
      <w:lang w:bidi="fa-IR"/>
    </w:rPr>
  </w:style>
  <w:style w:type="paragraph" w:styleId="BodyTextFirstIndent">
    <w:name w:val="Body Text First Indent"/>
    <w:basedOn w:val="BodyText"/>
    <w:link w:val="BodyTextFirstIndentChar"/>
    <w:uiPriority w:val="99"/>
    <w:semiHidden/>
    <w:unhideWhenUsed/>
    <w:rsid w:val="00A847CA"/>
    <w:pPr>
      <w:bidi w:val="0"/>
      <w:spacing w:after="200" w:line="276" w:lineRule="auto"/>
      <w:ind w:firstLine="360"/>
      <w:jc w:val="left"/>
    </w:pPr>
    <w:rPr>
      <w:rFonts w:asciiTheme="minorHAnsi" w:eastAsiaTheme="minorHAnsi" w:hAnsiTheme="minorHAnsi" w:cstheme="minorBidi"/>
      <w:b w:val="0"/>
      <w:bCs w:val="0"/>
      <w:sz w:val="22"/>
      <w:szCs w:val="22"/>
      <w:lang w:bidi="ar-SA"/>
    </w:rPr>
  </w:style>
  <w:style w:type="paragraph" w:customStyle="1" w:styleId="DecimalAligned">
    <w:name w:val="Decimal Aligned"/>
    <w:basedOn w:val="Normal"/>
    <w:uiPriority w:val="40"/>
    <w:qFormat/>
    <w:rsid w:val="00A847CA"/>
    <w:pPr>
      <w:tabs>
        <w:tab w:val="decimal" w:pos="360"/>
      </w:tabs>
      <w:bidi w:val="0"/>
      <w:spacing w:after="200" w:line="276" w:lineRule="auto"/>
      <w:jc w:val="left"/>
    </w:pPr>
    <w:rPr>
      <w:rFonts w:asciiTheme="minorHAnsi" w:eastAsiaTheme="minorEastAsia" w:hAnsiTheme="minorHAnsi" w:cstheme="minorBidi"/>
      <w:sz w:val="22"/>
      <w:szCs w:val="22"/>
      <w:lang w:bidi="ar-SA"/>
    </w:rPr>
  </w:style>
  <w:style w:type="character" w:styleId="SubtleEmphasis">
    <w:name w:val="Subtle Emphasis"/>
    <w:basedOn w:val="DefaultParagraphFont"/>
    <w:uiPriority w:val="19"/>
    <w:qFormat/>
    <w:rsid w:val="00A847CA"/>
    <w:rPr>
      <w:rFonts w:eastAsiaTheme="minorEastAsia" w:cstheme="minorBidi"/>
      <w:bCs w:val="0"/>
      <w:i/>
      <w:iCs/>
      <w:color w:val="808080" w:themeColor="text1" w:themeTint="7F"/>
      <w:szCs w:val="22"/>
      <w:lang w:val="en-US"/>
    </w:rPr>
  </w:style>
  <w:style w:type="table" w:customStyle="1" w:styleId="MediumList11">
    <w:name w:val="Medium List 11"/>
    <w:basedOn w:val="TableNormal"/>
    <w:uiPriority w:val="65"/>
    <w:rsid w:val="00A847CA"/>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NoSpacing">
    <w:name w:val="No Spacing"/>
    <w:link w:val="NoSpacingChar"/>
    <w:uiPriority w:val="1"/>
    <w:qFormat/>
    <w:rsid w:val="00A847CA"/>
    <w:rPr>
      <w:rFonts w:eastAsiaTheme="minorEastAsia"/>
    </w:rPr>
  </w:style>
  <w:style w:type="character" w:customStyle="1" w:styleId="NoSpacingChar">
    <w:name w:val="No Spacing Char"/>
    <w:basedOn w:val="DefaultParagraphFont"/>
    <w:link w:val="NoSpacing"/>
    <w:uiPriority w:val="1"/>
    <w:rsid w:val="00A847CA"/>
    <w:rPr>
      <w:rFonts w:eastAsiaTheme="minorEastAsia"/>
    </w:rPr>
  </w:style>
  <w:style w:type="character" w:customStyle="1" w:styleId="atn">
    <w:name w:val="atn"/>
    <w:basedOn w:val="DefaultParagraphFont"/>
    <w:rsid w:val="00A847CA"/>
  </w:style>
  <w:style w:type="paragraph" w:customStyle="1" w:styleId="Question">
    <w:name w:val="Question"/>
    <w:basedOn w:val="Heading4"/>
    <w:rsid w:val="00A847CA"/>
    <w:pPr>
      <w:keepLines w:val="0"/>
      <w:tabs>
        <w:tab w:val="left" w:pos="146"/>
        <w:tab w:val="num" w:pos="473"/>
      </w:tabs>
      <w:spacing w:before="0" w:line="240" w:lineRule="auto"/>
      <w:ind w:left="283" w:hanging="170"/>
      <w:jc w:val="lowKashida"/>
    </w:pPr>
    <w:rPr>
      <w:rFonts w:ascii="Times New Roman" w:eastAsia="Times New Roman" w:hAnsi="Times New Roman" w:cs="Traditional Arabic"/>
      <w:b w:val="0"/>
      <w:bCs w:val="0"/>
      <w:i w:val="0"/>
      <w:iCs w:val="0"/>
      <w:noProof/>
      <w:color w:val="auto"/>
      <w:sz w:val="24"/>
      <w:szCs w:val="28"/>
      <w:lang w:val="en-GB" w:bidi="ar-SA"/>
    </w:rPr>
  </w:style>
  <w:style w:type="paragraph" w:customStyle="1" w:styleId="Style1">
    <w:name w:val="Style1"/>
    <w:basedOn w:val="Normal"/>
    <w:link w:val="Style1Char"/>
    <w:qFormat/>
    <w:rsid w:val="00A847CA"/>
    <w:pPr>
      <w:tabs>
        <w:tab w:val="left" w:pos="146"/>
      </w:tabs>
      <w:spacing w:after="200" w:line="276" w:lineRule="auto"/>
      <w:jc w:val="lowKashida"/>
    </w:pPr>
    <w:rPr>
      <w:rFonts w:asciiTheme="minorHAnsi" w:eastAsiaTheme="minorEastAsia" w:hAnsiTheme="minorHAnsi"/>
      <w:sz w:val="24"/>
      <w:lang w:val="en-GB" w:bidi="ar-SA"/>
    </w:rPr>
  </w:style>
  <w:style w:type="character" w:customStyle="1" w:styleId="Style1Char">
    <w:name w:val="Style1 Char"/>
    <w:basedOn w:val="DefaultParagraphFont"/>
    <w:link w:val="Style1"/>
    <w:rsid w:val="00A847CA"/>
    <w:rPr>
      <w:rFonts w:eastAsiaTheme="minorEastAsia" w:cs="B Nazanin"/>
      <w:sz w:val="24"/>
      <w:szCs w:val="20"/>
      <w:lang w:val="en-GB"/>
    </w:rPr>
  </w:style>
  <w:style w:type="paragraph" w:customStyle="1" w:styleId="Style2">
    <w:name w:val="Style2"/>
    <w:basedOn w:val="Normal"/>
    <w:link w:val="Style2Char"/>
    <w:autoRedefine/>
    <w:qFormat/>
    <w:rsid w:val="00A847CA"/>
    <w:pPr>
      <w:tabs>
        <w:tab w:val="left" w:pos="146"/>
      </w:tabs>
      <w:spacing w:after="200" w:line="276" w:lineRule="auto"/>
      <w:jc w:val="lowKashida"/>
    </w:pPr>
    <w:rPr>
      <w:rFonts w:asciiTheme="minorHAnsi" w:eastAsiaTheme="minorEastAsia" w:hAnsiTheme="minorHAnsi"/>
      <w:lang w:val="en-GB" w:bidi="ar-SA"/>
    </w:rPr>
  </w:style>
  <w:style w:type="character" w:customStyle="1" w:styleId="Style2Char">
    <w:name w:val="Style2 Char"/>
    <w:basedOn w:val="DefaultParagraphFont"/>
    <w:link w:val="Style2"/>
    <w:rsid w:val="00A847CA"/>
    <w:rPr>
      <w:rFonts w:eastAsiaTheme="minorEastAsia" w:cs="B Nazanin"/>
      <w:sz w:val="20"/>
      <w:szCs w:val="20"/>
      <w:lang w:val="en-GB"/>
    </w:rPr>
  </w:style>
  <w:style w:type="paragraph" w:customStyle="1" w:styleId="Default">
    <w:name w:val="Default"/>
    <w:rsid w:val="00A847CA"/>
    <w:pPr>
      <w:autoSpaceDE w:val="0"/>
      <w:autoSpaceDN w:val="0"/>
      <w:adjustRightInd w:val="0"/>
    </w:pPr>
    <w:rPr>
      <w:rFonts w:ascii="Times New Roman" w:hAnsi="Times New Roman" w:cs="Times New Roman"/>
      <w:color w:val="000000"/>
      <w:sz w:val="24"/>
      <w:szCs w:val="24"/>
      <w:lang w:bidi="fa-IR"/>
    </w:rPr>
  </w:style>
  <w:style w:type="table" w:customStyle="1" w:styleId="TableGrid1">
    <w:name w:val="Table Grid1"/>
    <w:basedOn w:val="TableNormal"/>
    <w:next w:val="TableGrid"/>
    <w:uiPriority w:val="59"/>
    <w:rsid w:val="00F8236E"/>
    <w:pPr>
      <w:jc w:val="both"/>
    </w:pPr>
    <w:rPr>
      <w:lang w:bidi="fa-I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2">
    <w:name w:val="Table Grid2"/>
    <w:basedOn w:val="TableNormal"/>
    <w:next w:val="TableGrid"/>
    <w:uiPriority w:val="59"/>
    <w:rsid w:val="00F823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3">
    <w:name w:val="Light Shading3"/>
    <w:basedOn w:val="TableNormal"/>
    <w:uiPriority w:val="60"/>
    <w:rsid w:val="00F8236E"/>
    <w:rPr>
      <w:color w:val="000000" w:themeColor="text1" w:themeShade="BF"/>
      <w:lang w:bidi="fa-I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a3">
    <w:name w:val="فصل"/>
    <w:basedOn w:val="Normal"/>
    <w:qFormat/>
    <w:rsid w:val="00C94D1E"/>
    <w:pPr>
      <w:spacing w:before="2000" w:after="1200"/>
      <w:ind w:left="4254"/>
      <w:jc w:val="center"/>
    </w:pPr>
    <w:rPr>
      <w:rFonts w:cs="B Zar"/>
      <w:b/>
      <w:bCs/>
      <w:noProof/>
      <w:color w:val="FFFFFF" w:themeColor="background1"/>
      <w:sz w:val="36"/>
      <w:szCs w:val="36"/>
      <w:lang w:bidi="ar-SA"/>
    </w:rPr>
  </w:style>
  <w:style w:type="paragraph" w:customStyle="1" w:styleId="a4">
    <w:name w:val="زیرفصل"/>
    <w:basedOn w:val="Normal"/>
    <w:qFormat/>
    <w:rsid w:val="006E0FAA"/>
    <w:pPr>
      <w:pBdr>
        <w:top w:val="threeDEngrave" w:sz="24" w:space="1" w:color="auto"/>
        <w:bottom w:val="threeDEngrave" w:sz="24" w:space="1" w:color="auto"/>
      </w:pBdr>
      <w:shd w:val="clear" w:color="auto" w:fill="F2F2F2" w:themeFill="background1" w:themeFillShade="F2"/>
      <w:tabs>
        <w:tab w:val="right" w:pos="6792"/>
      </w:tabs>
      <w:spacing w:after="480"/>
      <w:jc w:val="center"/>
    </w:pPr>
    <w:rPr>
      <w:rFonts w:ascii="Times New Roman Bold" w:hAnsi="Times New Roman Bold" w:cs="B Titr"/>
      <w:b/>
      <w:bCs/>
      <w:position w:val="6"/>
      <w:sz w:val="46"/>
      <w:szCs w:val="46"/>
    </w:rPr>
  </w:style>
  <w:style w:type="paragraph" w:customStyle="1" w:styleId="1">
    <w:name w:val="تیتر 1"/>
    <w:basedOn w:val="ListParagraph"/>
    <w:qFormat/>
    <w:rsid w:val="002724C4"/>
    <w:pPr>
      <w:numPr>
        <w:numId w:val="1"/>
      </w:numPr>
      <w:ind w:left="284" w:hanging="284"/>
      <w:jc w:val="lowKashida"/>
    </w:pPr>
    <w:rPr>
      <w:rFonts w:cs="B Zar"/>
      <w:b/>
      <w:bCs/>
      <w:sz w:val="24"/>
      <w:szCs w:val="28"/>
    </w:rPr>
  </w:style>
  <w:style w:type="paragraph" w:customStyle="1" w:styleId="a5">
    <w:name w:val="زیرشکل"/>
    <w:basedOn w:val="Normal"/>
    <w:qFormat/>
    <w:rsid w:val="002724C4"/>
    <w:pPr>
      <w:tabs>
        <w:tab w:val="right" w:pos="6792"/>
      </w:tabs>
      <w:spacing w:before="120"/>
      <w:jc w:val="center"/>
    </w:pPr>
    <w:rPr>
      <w:rFonts w:cs="B Compset"/>
      <w:b/>
      <w:bCs/>
      <w:sz w:val="17"/>
      <w:szCs w:val="21"/>
    </w:rPr>
  </w:style>
  <w:style w:type="paragraph" w:customStyle="1" w:styleId="21">
    <w:name w:val="تیتر 2"/>
    <w:basedOn w:val="Normal"/>
    <w:qFormat/>
    <w:rsid w:val="001865D0"/>
    <w:pPr>
      <w:tabs>
        <w:tab w:val="left" w:pos="288"/>
        <w:tab w:val="right" w:pos="6792"/>
      </w:tabs>
      <w:autoSpaceDE w:val="0"/>
      <w:autoSpaceDN w:val="0"/>
      <w:adjustRightInd w:val="0"/>
      <w:jc w:val="lowKashida"/>
    </w:pPr>
    <w:rPr>
      <w:rFonts w:cs="B Zar"/>
      <w:b/>
      <w:bCs/>
      <w:sz w:val="21"/>
      <w:szCs w:val="25"/>
    </w:rPr>
  </w:style>
  <w:style w:type="paragraph" w:customStyle="1" w:styleId="a6">
    <w:name w:val="جدول"/>
    <w:basedOn w:val="a5"/>
    <w:qFormat/>
    <w:rsid w:val="002724C4"/>
    <w:pPr>
      <w:spacing w:before="0" w:after="120"/>
    </w:pPr>
  </w:style>
  <w:style w:type="character" w:styleId="Emphasis">
    <w:name w:val="Emphasis"/>
    <w:basedOn w:val="DefaultParagraphFont"/>
    <w:uiPriority w:val="20"/>
    <w:qFormat/>
    <w:rsid w:val="007752B6"/>
    <w:rPr>
      <w:i/>
      <w:iCs/>
    </w:rPr>
  </w:style>
  <w:style w:type="character" w:customStyle="1" w:styleId="ptbrand">
    <w:name w:val="ptbrand"/>
    <w:basedOn w:val="DefaultParagraphFont"/>
    <w:rsid w:val="007752B6"/>
  </w:style>
  <w:style w:type="paragraph" w:customStyle="1" w:styleId="articledetails">
    <w:name w:val="articledetails"/>
    <w:basedOn w:val="Normal"/>
    <w:rsid w:val="007752B6"/>
    <w:pPr>
      <w:bidi w:val="0"/>
      <w:spacing w:before="100" w:beforeAutospacing="1" w:after="100" w:afterAutospacing="1"/>
      <w:jc w:val="left"/>
    </w:pPr>
    <w:rPr>
      <w:rFonts w:cs="Times New Roman"/>
      <w:sz w:val="24"/>
      <w:szCs w:val="24"/>
    </w:rPr>
  </w:style>
  <w:style w:type="character" w:customStyle="1" w:styleId="publication-title">
    <w:name w:val="publication-title"/>
    <w:basedOn w:val="DefaultParagraphFont"/>
    <w:rsid w:val="007752B6"/>
  </w:style>
  <w:style w:type="character" w:customStyle="1" w:styleId="source">
    <w:name w:val="source"/>
    <w:basedOn w:val="DefaultParagraphFont"/>
    <w:rsid w:val="007752B6"/>
  </w:style>
  <w:style w:type="character" w:customStyle="1" w:styleId="fn">
    <w:name w:val="fn"/>
    <w:basedOn w:val="DefaultParagraphFont"/>
    <w:rsid w:val="007752B6"/>
  </w:style>
  <w:style w:type="character" w:customStyle="1" w:styleId="Subtitle1">
    <w:name w:val="Subtitle1"/>
    <w:basedOn w:val="DefaultParagraphFont"/>
    <w:rsid w:val="007752B6"/>
  </w:style>
  <w:style w:type="character" w:customStyle="1" w:styleId="BodyTextIndent3Char1">
    <w:name w:val="Body Text Indent 3 Char1"/>
    <w:basedOn w:val="DefaultParagraphFont"/>
    <w:uiPriority w:val="99"/>
    <w:semiHidden/>
    <w:rsid w:val="00D15C1B"/>
    <w:rPr>
      <w:rFonts w:ascii="Times New Roman" w:eastAsia="Times New Roman" w:hAnsi="Times New Roman" w:cs="B Nazanin"/>
      <w:sz w:val="16"/>
      <w:szCs w:val="16"/>
      <w:lang w:bidi="fa-IR"/>
    </w:rPr>
  </w:style>
  <w:style w:type="character" w:customStyle="1" w:styleId="BodyTextFirstIndentChar1">
    <w:name w:val="Body Text First Indent Char1"/>
    <w:basedOn w:val="BodyTextChar"/>
    <w:uiPriority w:val="99"/>
    <w:semiHidden/>
    <w:rsid w:val="00D15C1B"/>
    <w:rPr>
      <w:rFonts w:ascii="Times New Roman" w:eastAsia="Times New Roman" w:hAnsi="Times New Roman" w:cs="Mitra"/>
      <w:b/>
      <w:bCs/>
      <w:sz w:val="24"/>
      <w:szCs w:val="24"/>
      <w:lang w:bidi="fa-IR"/>
    </w:rPr>
  </w:style>
  <w:style w:type="character" w:customStyle="1" w:styleId="MTConvertedEquation">
    <w:name w:val="MTConvertedEquation"/>
    <w:basedOn w:val="DefaultParagraphFont"/>
    <w:rsid w:val="00D15C1B"/>
    <w:rPr>
      <w:rFonts w:ascii="Cambria Math" w:hAnsi="Cambria Math" w:cs="B Nazanin"/>
      <w:b/>
      <w:bCs/>
      <w:i/>
      <w:sz w:val="32"/>
      <w:szCs w:val="36"/>
      <w:lang w:bidi="fa-IR"/>
    </w:rPr>
  </w:style>
  <w:style w:type="paragraph" w:customStyle="1" w:styleId="MTDisplayEquation">
    <w:name w:val="MTDisplayEquation"/>
    <w:basedOn w:val="Normal"/>
    <w:next w:val="Normal"/>
    <w:link w:val="MTDisplayEquationChar"/>
    <w:rsid w:val="00D15C1B"/>
    <w:pPr>
      <w:tabs>
        <w:tab w:val="center" w:pos="3320"/>
        <w:tab w:val="right" w:pos="6660"/>
      </w:tabs>
      <w:bidi w:val="0"/>
    </w:pPr>
    <w:rPr>
      <w:rFonts w:asciiTheme="minorHAnsi" w:eastAsiaTheme="minorHAnsi" w:hAnsiTheme="minorHAnsi" w:cstheme="minorBidi"/>
      <w:sz w:val="22"/>
      <w:szCs w:val="22"/>
      <w:lang w:bidi="ar-SA"/>
    </w:rPr>
  </w:style>
  <w:style w:type="character" w:customStyle="1" w:styleId="MTDisplayEquationChar">
    <w:name w:val="MTDisplayEquation Char"/>
    <w:basedOn w:val="DefaultParagraphFont"/>
    <w:link w:val="MTDisplayEquation"/>
    <w:rsid w:val="00D15C1B"/>
  </w:style>
  <w:style w:type="character" w:customStyle="1" w:styleId="MTEquationSection">
    <w:name w:val="MTEquationSection"/>
    <w:basedOn w:val="DefaultParagraphFont"/>
    <w:rsid w:val="00D15C1B"/>
    <w:rPr>
      <w:rFonts w:ascii="Cambria Math" w:hAnsi="Cambria Math" w:cs="B Nazanin"/>
      <w:i/>
      <w:vanish/>
      <w:color w:val="FF0000"/>
      <w:sz w:val="24"/>
      <w:szCs w:val="24"/>
      <w:lang w:bidi="fa-IR"/>
    </w:rPr>
  </w:style>
  <w:style w:type="character" w:customStyle="1" w:styleId="Heading1Char1">
    <w:name w:val="Heading 1 Char1"/>
    <w:aliases w:val="تيتر1 Char,تیتر1 Char"/>
    <w:basedOn w:val="DefaultParagraphFont"/>
    <w:rsid w:val="00D15C1B"/>
    <w:rPr>
      <w:rFonts w:ascii="B Zar" w:eastAsiaTheme="majorEastAsia" w:hAnsi="B Zar" w:cs="B Zar"/>
      <w:b/>
      <w:bCs/>
      <w:sz w:val="28"/>
      <w:szCs w:val="28"/>
    </w:rPr>
  </w:style>
  <w:style w:type="numbering" w:customStyle="1" w:styleId="NoList1">
    <w:name w:val="No List1"/>
    <w:next w:val="NoList"/>
    <w:uiPriority w:val="99"/>
    <w:semiHidden/>
    <w:unhideWhenUsed/>
    <w:rsid w:val="00D15C1B"/>
  </w:style>
  <w:style w:type="paragraph" w:customStyle="1" w:styleId="Heading11">
    <w:name w:val="Heading 11"/>
    <w:basedOn w:val="Normal"/>
    <w:next w:val="Normal"/>
    <w:uiPriority w:val="9"/>
    <w:qFormat/>
    <w:rsid w:val="00D15C1B"/>
    <w:pPr>
      <w:keepNext/>
      <w:keepLines/>
      <w:bidi w:val="0"/>
      <w:spacing w:before="240" w:line="259" w:lineRule="auto"/>
      <w:jc w:val="left"/>
      <w:outlineLvl w:val="0"/>
    </w:pPr>
    <w:rPr>
      <w:rFonts w:ascii="B Mitra" w:hAnsi="B Mitra" w:cs="B Mitra"/>
      <w:b/>
      <w:bCs/>
      <w:color w:val="000000" w:themeColor="text1"/>
      <w:sz w:val="26"/>
      <w:szCs w:val="26"/>
      <w:lang w:bidi="ar-SA"/>
    </w:rPr>
  </w:style>
  <w:style w:type="paragraph" w:customStyle="1" w:styleId="Heading21">
    <w:name w:val="Heading 21"/>
    <w:basedOn w:val="Normal"/>
    <w:next w:val="Normal"/>
    <w:uiPriority w:val="9"/>
    <w:unhideWhenUsed/>
    <w:qFormat/>
    <w:rsid w:val="00D15C1B"/>
    <w:pPr>
      <w:keepNext/>
      <w:keepLines/>
      <w:bidi w:val="0"/>
      <w:spacing w:before="40" w:line="259" w:lineRule="auto"/>
      <w:jc w:val="left"/>
      <w:outlineLvl w:val="1"/>
    </w:pPr>
    <w:rPr>
      <w:rFonts w:ascii="B Mitra" w:hAnsi="B Mitra" w:cs="Times New Roman"/>
      <w:sz w:val="26"/>
      <w:szCs w:val="26"/>
      <w:lang w:bidi="ar-SA"/>
    </w:rPr>
  </w:style>
  <w:style w:type="paragraph" w:customStyle="1" w:styleId="Heading31">
    <w:name w:val="Heading 31"/>
    <w:basedOn w:val="Normal"/>
    <w:next w:val="Normal"/>
    <w:uiPriority w:val="9"/>
    <w:unhideWhenUsed/>
    <w:qFormat/>
    <w:rsid w:val="00D15C1B"/>
    <w:pPr>
      <w:keepNext/>
      <w:keepLines/>
      <w:bidi w:val="0"/>
      <w:spacing w:before="40" w:line="259" w:lineRule="auto"/>
      <w:jc w:val="left"/>
      <w:outlineLvl w:val="2"/>
    </w:pPr>
    <w:rPr>
      <w:rFonts w:ascii="Calibri Light" w:hAnsi="Calibri Light" w:cs="Times New Roman"/>
      <w:color w:val="1F4D78"/>
      <w:sz w:val="24"/>
      <w:szCs w:val="24"/>
      <w:lang w:bidi="ar-SA"/>
    </w:rPr>
  </w:style>
  <w:style w:type="paragraph" w:customStyle="1" w:styleId="Heading41">
    <w:name w:val="Heading 41"/>
    <w:basedOn w:val="Normal"/>
    <w:next w:val="Normal"/>
    <w:uiPriority w:val="9"/>
    <w:unhideWhenUsed/>
    <w:qFormat/>
    <w:rsid w:val="00D15C1B"/>
    <w:pPr>
      <w:keepNext/>
      <w:keepLines/>
      <w:bidi w:val="0"/>
      <w:spacing w:before="40" w:line="259" w:lineRule="auto"/>
      <w:jc w:val="left"/>
      <w:outlineLvl w:val="3"/>
    </w:pPr>
    <w:rPr>
      <w:rFonts w:ascii="Calibri Light" w:hAnsi="Calibri Light" w:cs="Times New Roman"/>
      <w:i/>
      <w:iCs/>
      <w:color w:val="2E74B5"/>
      <w:sz w:val="32"/>
      <w:szCs w:val="32"/>
      <w:lang w:bidi="ar-SA"/>
    </w:rPr>
  </w:style>
  <w:style w:type="numbering" w:customStyle="1" w:styleId="NoList2">
    <w:name w:val="No List2"/>
    <w:next w:val="NoList"/>
    <w:uiPriority w:val="99"/>
    <w:semiHidden/>
    <w:unhideWhenUsed/>
    <w:rsid w:val="00D15C1B"/>
  </w:style>
  <w:style w:type="paragraph" w:customStyle="1" w:styleId="Title1">
    <w:name w:val="Title1"/>
    <w:basedOn w:val="Normal"/>
    <w:next w:val="Normal"/>
    <w:qFormat/>
    <w:rsid w:val="00D15C1B"/>
    <w:pPr>
      <w:bidi w:val="0"/>
      <w:contextualSpacing/>
      <w:jc w:val="left"/>
    </w:pPr>
    <w:rPr>
      <w:rFonts w:ascii="Calibri Light" w:hAnsi="Calibri Light" w:cs="Times New Roman"/>
      <w:spacing w:val="-10"/>
      <w:kern w:val="28"/>
      <w:sz w:val="56"/>
      <w:szCs w:val="56"/>
      <w:lang w:bidi="ar-SA"/>
    </w:rPr>
  </w:style>
  <w:style w:type="character" w:customStyle="1" w:styleId="SubtleEmphasis1">
    <w:name w:val="Subtle Emphasis1"/>
    <w:basedOn w:val="DefaultParagraphFont"/>
    <w:uiPriority w:val="19"/>
    <w:qFormat/>
    <w:rsid w:val="00D15C1B"/>
    <w:rPr>
      <w:i/>
      <w:iCs/>
      <w:color w:val="404040"/>
    </w:rPr>
  </w:style>
  <w:style w:type="character" w:styleId="Strong">
    <w:name w:val="Strong"/>
    <w:basedOn w:val="DefaultParagraphFont"/>
    <w:qFormat/>
    <w:rsid w:val="00D15C1B"/>
    <w:rPr>
      <w:b/>
      <w:bCs/>
    </w:rPr>
  </w:style>
  <w:style w:type="character" w:customStyle="1" w:styleId="IntenseReference1">
    <w:name w:val="Intense Reference1"/>
    <w:basedOn w:val="DefaultParagraphFont"/>
    <w:uiPriority w:val="32"/>
    <w:qFormat/>
    <w:rsid w:val="00D15C1B"/>
    <w:rPr>
      <w:b/>
      <w:bCs/>
      <w:smallCaps/>
      <w:color w:val="5B9BD5"/>
      <w:spacing w:val="5"/>
    </w:rPr>
  </w:style>
  <w:style w:type="character" w:styleId="BookTitle">
    <w:name w:val="Book Title"/>
    <w:basedOn w:val="DefaultParagraphFont"/>
    <w:uiPriority w:val="33"/>
    <w:qFormat/>
    <w:rsid w:val="00D15C1B"/>
    <w:rPr>
      <w:b/>
      <w:bCs/>
      <w:i/>
      <w:iCs/>
      <w:spacing w:val="5"/>
    </w:rPr>
  </w:style>
  <w:style w:type="character" w:customStyle="1" w:styleId="SubtleReference1">
    <w:name w:val="Subtle Reference1"/>
    <w:basedOn w:val="DefaultParagraphFont"/>
    <w:uiPriority w:val="31"/>
    <w:qFormat/>
    <w:rsid w:val="00D15C1B"/>
    <w:rPr>
      <w:smallCaps/>
      <w:color w:val="5A5A5A"/>
    </w:rPr>
  </w:style>
  <w:style w:type="paragraph" w:styleId="TOCHeading">
    <w:name w:val="TOC Heading"/>
    <w:basedOn w:val="Heading1"/>
    <w:next w:val="Normal"/>
    <w:uiPriority w:val="39"/>
    <w:unhideWhenUsed/>
    <w:qFormat/>
    <w:rsid w:val="00D15C1B"/>
    <w:pPr>
      <w:keepLines/>
      <w:bidi w:val="0"/>
      <w:spacing w:after="0" w:line="259" w:lineRule="auto"/>
      <w:jc w:val="left"/>
      <w:outlineLvl w:val="9"/>
    </w:pPr>
    <w:rPr>
      <w:rFonts w:ascii="B Zar" w:eastAsiaTheme="majorEastAsia" w:hAnsi="B Zar" w:cs="B Zar"/>
      <w:kern w:val="0"/>
      <w:sz w:val="28"/>
      <w:szCs w:val="28"/>
      <w:lang w:bidi="ar-SA"/>
    </w:rPr>
  </w:style>
  <w:style w:type="character" w:customStyle="1" w:styleId="TitleChar1">
    <w:name w:val="Title Char1"/>
    <w:basedOn w:val="DefaultParagraphFont"/>
    <w:uiPriority w:val="10"/>
    <w:rsid w:val="00D15C1B"/>
    <w:rPr>
      <w:rFonts w:asciiTheme="majorHAnsi" w:eastAsiaTheme="majorEastAsia" w:hAnsiTheme="majorHAnsi" w:cstheme="majorBidi"/>
      <w:spacing w:val="-10"/>
      <w:kern w:val="28"/>
      <w:sz w:val="56"/>
      <w:szCs w:val="56"/>
    </w:rPr>
  </w:style>
  <w:style w:type="character" w:customStyle="1" w:styleId="SubtitleChar1">
    <w:name w:val="Subtitle Char1"/>
    <w:basedOn w:val="DefaultParagraphFont"/>
    <w:uiPriority w:val="11"/>
    <w:rsid w:val="00D15C1B"/>
    <w:rPr>
      <w:rFonts w:asciiTheme="minorHAnsi" w:eastAsiaTheme="minorEastAsia" w:hAnsiTheme="minorHAnsi" w:cstheme="minorBidi"/>
      <w:color w:val="5A5A5A" w:themeColor="text1" w:themeTint="A5"/>
      <w:spacing w:val="15"/>
      <w:sz w:val="22"/>
      <w:szCs w:val="22"/>
    </w:rPr>
  </w:style>
  <w:style w:type="character" w:customStyle="1" w:styleId="Heading2Char1">
    <w:name w:val="Heading 2 Char1"/>
    <w:basedOn w:val="DefaultParagraphFont"/>
    <w:uiPriority w:val="9"/>
    <w:semiHidden/>
    <w:rsid w:val="00D15C1B"/>
    <w:rPr>
      <w:rFonts w:asciiTheme="majorHAnsi" w:eastAsiaTheme="majorEastAsia" w:hAnsiTheme="majorHAnsi" w:cstheme="majorBidi"/>
      <w:color w:val="2E74B5" w:themeColor="accent1" w:themeShade="BF"/>
      <w:sz w:val="26"/>
      <w:szCs w:val="26"/>
    </w:rPr>
  </w:style>
  <w:style w:type="character" w:customStyle="1" w:styleId="Heading3Char1">
    <w:name w:val="Heading 3 Char1"/>
    <w:basedOn w:val="DefaultParagraphFont"/>
    <w:uiPriority w:val="9"/>
    <w:semiHidden/>
    <w:rsid w:val="00D15C1B"/>
    <w:rPr>
      <w:rFonts w:asciiTheme="majorHAnsi" w:eastAsiaTheme="majorEastAsia" w:hAnsiTheme="majorHAnsi" w:cstheme="majorBidi"/>
      <w:color w:val="1F4D78" w:themeColor="accent1" w:themeShade="7F"/>
      <w:sz w:val="24"/>
      <w:szCs w:val="24"/>
    </w:rPr>
  </w:style>
  <w:style w:type="character" w:styleId="IntenseReference">
    <w:name w:val="Intense Reference"/>
    <w:basedOn w:val="DefaultParagraphFont"/>
    <w:uiPriority w:val="32"/>
    <w:qFormat/>
    <w:rsid w:val="00D15C1B"/>
    <w:rPr>
      <w:b/>
      <w:bCs/>
      <w:smallCaps/>
      <w:color w:val="5B9BD5" w:themeColor="accent1"/>
      <w:spacing w:val="5"/>
    </w:rPr>
  </w:style>
  <w:style w:type="character" w:styleId="SubtleReference">
    <w:name w:val="Subtle Reference"/>
    <w:basedOn w:val="DefaultParagraphFont"/>
    <w:uiPriority w:val="31"/>
    <w:qFormat/>
    <w:rsid w:val="00D15C1B"/>
    <w:rPr>
      <w:smallCaps/>
      <w:color w:val="5A5A5A" w:themeColor="text1" w:themeTint="A5"/>
    </w:rPr>
  </w:style>
  <w:style w:type="character" w:customStyle="1" w:styleId="Heading4Char1">
    <w:name w:val="Heading 4 Char1"/>
    <w:basedOn w:val="DefaultParagraphFont"/>
    <w:uiPriority w:val="9"/>
    <w:semiHidden/>
    <w:rsid w:val="00D15C1B"/>
    <w:rPr>
      <w:rFonts w:asciiTheme="majorHAnsi" w:eastAsiaTheme="majorEastAsia" w:hAnsiTheme="majorHAnsi" w:cstheme="majorBidi"/>
      <w:i/>
      <w:iCs/>
      <w:color w:val="2E74B5" w:themeColor="accent1" w:themeShade="BF"/>
    </w:rPr>
  </w:style>
  <w:style w:type="numbering" w:customStyle="1" w:styleId="NoList3">
    <w:name w:val="No List3"/>
    <w:next w:val="NoList"/>
    <w:uiPriority w:val="99"/>
    <w:semiHidden/>
    <w:unhideWhenUsed/>
    <w:rsid w:val="00D15C1B"/>
  </w:style>
  <w:style w:type="table" w:customStyle="1" w:styleId="TableGrid3">
    <w:name w:val="Table Grid3"/>
    <w:basedOn w:val="TableNormal"/>
    <w:next w:val="TableGrid"/>
    <w:uiPriority w:val="59"/>
    <w:rsid w:val="00D15C1B"/>
    <w:rPr>
      <w:rFonts w:ascii="Bodoni MT" w:hAnsi="Bodoni MT" w:cs="B Lotus"/>
      <w:sz w:val="32"/>
      <w:szCs w:val="3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D15C1B"/>
  </w:style>
  <w:style w:type="table" w:customStyle="1" w:styleId="TableGrid4">
    <w:name w:val="Table Grid4"/>
    <w:basedOn w:val="TableNormal"/>
    <w:next w:val="TableGrid"/>
    <w:uiPriority w:val="59"/>
    <w:rsid w:val="00D15C1B"/>
    <w:rPr>
      <w:rFonts w:ascii="Bodoni MT" w:hAnsi="Bodoni MT" w:cs="B Lotus"/>
      <w:sz w:val="32"/>
      <w:szCs w:val="3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rsid w:val="00D15C1B"/>
    <w:pPr>
      <w:jc w:val="left"/>
    </w:pPr>
    <w:rPr>
      <w:rFonts w:ascii="Courier New" w:hAnsi="Courier New" w:cs="Courier New"/>
      <w:lang w:bidi="ar-SA"/>
    </w:rPr>
  </w:style>
  <w:style w:type="character" w:customStyle="1" w:styleId="PlainTextChar">
    <w:name w:val="Plain Text Char"/>
    <w:basedOn w:val="DefaultParagraphFont"/>
    <w:link w:val="PlainText"/>
    <w:rsid w:val="00D15C1B"/>
    <w:rPr>
      <w:rFonts w:ascii="Courier New" w:eastAsia="Times New Roman" w:hAnsi="Courier New" w:cs="Courier New"/>
      <w:sz w:val="20"/>
      <w:szCs w:val="20"/>
    </w:rPr>
  </w:style>
  <w:style w:type="paragraph" w:styleId="DocumentMap">
    <w:name w:val="Document Map"/>
    <w:basedOn w:val="Normal"/>
    <w:link w:val="DocumentMapChar"/>
    <w:rsid w:val="00D15C1B"/>
    <w:pPr>
      <w:shd w:val="clear" w:color="auto" w:fill="000080"/>
      <w:jc w:val="left"/>
    </w:pPr>
    <w:rPr>
      <w:rFonts w:ascii="Tahoma" w:hAnsi="Tahoma" w:cs="Tahoma"/>
      <w:lang w:bidi="ar-SA"/>
    </w:rPr>
  </w:style>
  <w:style w:type="character" w:customStyle="1" w:styleId="DocumentMapChar">
    <w:name w:val="Document Map Char"/>
    <w:basedOn w:val="DefaultParagraphFont"/>
    <w:link w:val="DocumentMap"/>
    <w:rsid w:val="00D15C1B"/>
    <w:rPr>
      <w:rFonts w:ascii="Tahoma" w:eastAsia="Times New Roman" w:hAnsi="Tahoma" w:cs="Tahoma"/>
      <w:sz w:val="20"/>
      <w:szCs w:val="20"/>
      <w:shd w:val="clear" w:color="auto" w:fill="000080"/>
    </w:rPr>
  </w:style>
  <w:style w:type="character" w:customStyle="1" w:styleId="yshortcuts">
    <w:name w:val="yshortcuts"/>
    <w:basedOn w:val="DefaultParagraphFont"/>
    <w:rsid w:val="00D15C1B"/>
  </w:style>
  <w:style w:type="table" w:styleId="LightShading-Accent4">
    <w:name w:val="Light Shading Accent 4"/>
    <w:basedOn w:val="TableNormal"/>
    <w:uiPriority w:val="60"/>
    <w:rsid w:val="00D15C1B"/>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character" w:customStyle="1" w:styleId="fontstyle01">
    <w:name w:val="fontstyle01"/>
    <w:basedOn w:val="DefaultParagraphFont"/>
    <w:rsid w:val="00411620"/>
    <w:rPr>
      <w:rFonts w:cs="B Zar" w:hint="cs"/>
      <w:b w:val="0"/>
      <w:bCs w:val="0"/>
      <w:i w:val="0"/>
      <w:iCs w:val="0"/>
      <w:color w:val="000000"/>
      <w:sz w:val="24"/>
      <w:szCs w:val="24"/>
    </w:rPr>
  </w:style>
  <w:style w:type="character" w:customStyle="1" w:styleId="fontstyle21">
    <w:name w:val="fontstyle21"/>
    <w:basedOn w:val="DefaultParagraphFont"/>
    <w:rsid w:val="00411620"/>
    <w:rPr>
      <w:rFonts w:ascii="ZapfHumanist601BT-Roman" w:hAnsi="ZapfHumanist601BT-Roman" w:hint="default"/>
      <w:b w:val="0"/>
      <w:bCs w:val="0"/>
      <w:i w:val="0"/>
      <w:iCs w:val="0"/>
      <w:color w:val="000000"/>
      <w:sz w:val="20"/>
      <w:szCs w:val="20"/>
    </w:rPr>
  </w:style>
  <w:style w:type="character" w:customStyle="1" w:styleId="NormalWebChar">
    <w:name w:val="Normal (Web) Char"/>
    <w:basedOn w:val="DefaultParagraphFont"/>
    <w:link w:val="NormalWeb"/>
    <w:uiPriority w:val="99"/>
    <w:locked/>
    <w:rsid w:val="00411620"/>
    <w:rPr>
      <w:rFonts w:ascii="Times New Roman" w:eastAsia="Times New Roman" w:hAnsi="Times New Roman" w:cs="Times New Roman"/>
      <w:sz w:val="24"/>
      <w:szCs w:val="24"/>
    </w:rPr>
  </w:style>
  <w:style w:type="paragraph" w:customStyle="1" w:styleId="msonormal0">
    <w:name w:val="msonormal"/>
    <w:basedOn w:val="Normal"/>
    <w:rsid w:val="00411620"/>
    <w:pPr>
      <w:bidi w:val="0"/>
      <w:spacing w:before="100" w:beforeAutospacing="1" w:after="100" w:afterAutospacing="1"/>
      <w:jc w:val="left"/>
    </w:pPr>
    <w:rPr>
      <w:rFonts w:cs="Times New Roman"/>
      <w:sz w:val="24"/>
      <w:szCs w:val="24"/>
      <w:lang w:bidi="ar-SA"/>
    </w:rPr>
  </w:style>
  <w:style w:type="character" w:customStyle="1" w:styleId="EndnoteTextChar1">
    <w:name w:val="Endnote Text Char1"/>
    <w:basedOn w:val="DefaultParagraphFont"/>
    <w:uiPriority w:val="99"/>
    <w:semiHidden/>
    <w:rsid w:val="00411620"/>
    <w:rPr>
      <w:sz w:val="20"/>
      <w:szCs w:val="20"/>
    </w:rPr>
  </w:style>
  <w:style w:type="character" w:styleId="FollowedHyperlink">
    <w:name w:val="FollowedHyperlink"/>
    <w:basedOn w:val="DefaultParagraphFont"/>
    <w:uiPriority w:val="99"/>
    <w:semiHidden/>
    <w:unhideWhenUsed/>
    <w:rsid w:val="00556C10"/>
    <w:rPr>
      <w:color w:val="954F72" w:themeColor="followedHyperlink"/>
      <w:u w:val="single"/>
    </w:rPr>
  </w:style>
  <w:style w:type="paragraph" w:customStyle="1" w:styleId="normaltable">
    <w:name w:val="normaltable"/>
    <w:basedOn w:val="Normal"/>
    <w:rsid w:val="00556C10"/>
    <w:pPr>
      <w:pBdr>
        <w:top w:val="single" w:sz="6" w:space="0" w:color="auto"/>
        <w:left w:val="single" w:sz="6" w:space="5" w:color="auto"/>
        <w:bottom w:val="single" w:sz="6" w:space="0" w:color="auto"/>
        <w:right w:val="single" w:sz="6" w:space="5" w:color="auto"/>
      </w:pBdr>
      <w:bidi w:val="0"/>
      <w:spacing w:before="100" w:beforeAutospacing="1" w:after="100" w:afterAutospacing="1"/>
      <w:jc w:val="left"/>
    </w:pPr>
    <w:rPr>
      <w:rFonts w:cs="Times New Roman"/>
      <w:sz w:val="24"/>
      <w:szCs w:val="24"/>
      <w:lang w:bidi="ar-SA"/>
    </w:rPr>
  </w:style>
  <w:style w:type="paragraph" w:customStyle="1" w:styleId="fontstyle0">
    <w:name w:val="fontstyle0"/>
    <w:basedOn w:val="Normal"/>
    <w:rsid w:val="00556C10"/>
    <w:pPr>
      <w:bidi w:val="0"/>
      <w:spacing w:before="100" w:beforeAutospacing="1" w:after="100" w:afterAutospacing="1"/>
      <w:jc w:val="left"/>
    </w:pPr>
    <w:rPr>
      <w:rFonts w:ascii="LucidaBright" w:hAnsi="LucidaBright" w:cs="Times New Roman"/>
      <w:color w:val="000000"/>
      <w:sz w:val="18"/>
      <w:szCs w:val="18"/>
      <w:lang w:bidi="ar-SA"/>
    </w:rPr>
  </w:style>
  <w:style w:type="paragraph" w:customStyle="1" w:styleId="fontstyle1">
    <w:name w:val="fontstyle1"/>
    <w:basedOn w:val="Normal"/>
    <w:rsid w:val="00556C10"/>
    <w:pPr>
      <w:bidi w:val="0"/>
      <w:spacing w:before="100" w:beforeAutospacing="1" w:after="100" w:afterAutospacing="1"/>
      <w:jc w:val="left"/>
    </w:pPr>
    <w:rPr>
      <w:rFonts w:cs="Times New Roman"/>
      <w:color w:val="000000"/>
      <w:sz w:val="24"/>
      <w:szCs w:val="24"/>
      <w:lang w:bidi="ar-SA"/>
    </w:rPr>
  </w:style>
  <w:style w:type="paragraph" w:customStyle="1" w:styleId="fontstyle2">
    <w:name w:val="fontstyle2"/>
    <w:basedOn w:val="Normal"/>
    <w:rsid w:val="00556C10"/>
    <w:pPr>
      <w:bidi w:val="0"/>
      <w:spacing w:before="100" w:beforeAutospacing="1" w:after="100" w:afterAutospacing="1"/>
      <w:jc w:val="left"/>
    </w:pPr>
    <w:rPr>
      <w:rFonts w:ascii="LucidaBright-Italic" w:hAnsi="LucidaBright-Italic" w:cs="Times New Roman"/>
      <w:i/>
      <w:iCs/>
      <w:color w:val="000000"/>
      <w:sz w:val="18"/>
      <w:szCs w:val="18"/>
      <w:lang w:bidi="ar-SA"/>
    </w:rPr>
  </w:style>
  <w:style w:type="paragraph" w:customStyle="1" w:styleId="fontstyle3">
    <w:name w:val="fontstyle3"/>
    <w:basedOn w:val="Normal"/>
    <w:rsid w:val="00556C10"/>
    <w:pPr>
      <w:bidi w:val="0"/>
      <w:spacing w:before="100" w:beforeAutospacing="1" w:after="100" w:afterAutospacing="1"/>
      <w:jc w:val="left"/>
    </w:pPr>
    <w:rPr>
      <w:rFonts w:ascii="LucidaNewMath-AltItalic" w:hAnsi="LucidaNewMath-AltItalic" w:cs="Times New Roman"/>
      <w:i/>
      <w:iCs/>
      <w:color w:val="000000"/>
      <w:sz w:val="18"/>
      <w:szCs w:val="18"/>
      <w:lang w:bidi="ar-SA"/>
    </w:rPr>
  </w:style>
  <w:style w:type="character" w:customStyle="1" w:styleId="fontstyle31">
    <w:name w:val="fontstyle31"/>
    <w:basedOn w:val="DefaultParagraphFont"/>
    <w:rsid w:val="00556C10"/>
    <w:rPr>
      <w:rFonts w:ascii="LucidaNewMath-AltItalic" w:eastAsia="LucidaNewMath-AltItalic" w:hAnsi="LucidaNewMath-AltItalic" w:hint="eastAsia"/>
      <w:b w:val="0"/>
      <w:bCs w:val="0"/>
      <w:i/>
      <w:iCs/>
      <w:color w:val="000000"/>
      <w:sz w:val="18"/>
      <w:szCs w:val="18"/>
    </w:rPr>
  </w:style>
  <w:style w:type="paragraph" w:customStyle="1" w:styleId="headline1">
    <w:name w:val="headline1"/>
    <w:basedOn w:val="Heading1"/>
    <w:link w:val="headline1Char"/>
    <w:rsid w:val="00556C10"/>
    <w:pPr>
      <w:spacing w:before="0"/>
    </w:pPr>
    <w:rPr>
      <w:rFonts w:ascii="Cambria Math" w:hAnsi="Cambria Math"/>
    </w:rPr>
  </w:style>
  <w:style w:type="character" w:customStyle="1" w:styleId="headline1Char">
    <w:name w:val="headline1 Char"/>
    <w:basedOn w:val="Heading1Char"/>
    <w:link w:val="headline1"/>
    <w:rsid w:val="00556C10"/>
    <w:rPr>
      <w:rFonts w:ascii="Cambria Math" w:eastAsia="Times New Roman" w:hAnsi="Cambria Math" w:cs="Arial"/>
      <w:b/>
      <w:bCs/>
      <w:kern w:val="32"/>
      <w:sz w:val="32"/>
      <w:szCs w:val="32"/>
      <w:lang w:bidi="fa-I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007126">
      <w:bodyDiv w:val="1"/>
      <w:marLeft w:val="0"/>
      <w:marRight w:val="0"/>
      <w:marTop w:val="0"/>
      <w:marBottom w:val="0"/>
      <w:divBdr>
        <w:top w:val="none" w:sz="0" w:space="0" w:color="auto"/>
        <w:left w:val="none" w:sz="0" w:space="0" w:color="auto"/>
        <w:bottom w:val="none" w:sz="0" w:space="0" w:color="auto"/>
        <w:right w:val="none" w:sz="0" w:space="0" w:color="auto"/>
      </w:divBdr>
    </w:div>
    <w:div w:id="379674586">
      <w:bodyDiv w:val="1"/>
      <w:marLeft w:val="0"/>
      <w:marRight w:val="0"/>
      <w:marTop w:val="0"/>
      <w:marBottom w:val="0"/>
      <w:divBdr>
        <w:top w:val="none" w:sz="0" w:space="0" w:color="auto"/>
        <w:left w:val="none" w:sz="0" w:space="0" w:color="auto"/>
        <w:bottom w:val="none" w:sz="0" w:space="0" w:color="auto"/>
        <w:right w:val="none" w:sz="0" w:space="0" w:color="auto"/>
      </w:divBdr>
    </w:div>
    <w:div w:id="627392458">
      <w:bodyDiv w:val="1"/>
      <w:marLeft w:val="0"/>
      <w:marRight w:val="0"/>
      <w:marTop w:val="0"/>
      <w:marBottom w:val="0"/>
      <w:divBdr>
        <w:top w:val="none" w:sz="0" w:space="0" w:color="auto"/>
        <w:left w:val="none" w:sz="0" w:space="0" w:color="auto"/>
        <w:bottom w:val="none" w:sz="0" w:space="0" w:color="auto"/>
        <w:right w:val="none" w:sz="0" w:space="0" w:color="auto"/>
      </w:divBdr>
    </w:div>
    <w:div w:id="1538354315">
      <w:bodyDiv w:val="1"/>
      <w:marLeft w:val="0"/>
      <w:marRight w:val="0"/>
      <w:marTop w:val="0"/>
      <w:marBottom w:val="0"/>
      <w:divBdr>
        <w:top w:val="none" w:sz="0" w:space="0" w:color="auto"/>
        <w:left w:val="none" w:sz="0" w:space="0" w:color="auto"/>
        <w:bottom w:val="none" w:sz="0" w:space="0" w:color="auto"/>
        <w:right w:val="none" w:sz="0" w:space="0" w:color="auto"/>
      </w:divBdr>
    </w:div>
    <w:div w:id="1895579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3182" Type="http://schemas.openxmlformats.org/officeDocument/2006/relationships/oleObject" Target="embeddings/oleObject1579.bin"/><Relationship Id="rId4233" Type="http://schemas.openxmlformats.org/officeDocument/2006/relationships/image" Target="media/image2127.wmf"/><Relationship Id="rId8854" Type="http://schemas.microsoft.com/office/2007/relationships/hdphoto" Target="media/hdphoto19.wdp"/><Relationship Id="rId9905" Type="http://schemas.openxmlformats.org/officeDocument/2006/relationships/image" Target="media/image4961.wmf"/><Relationship Id="rId7456" Type="http://schemas.openxmlformats.org/officeDocument/2006/relationships/image" Target="media/image3737.wmf"/><Relationship Id="rId8507" Type="http://schemas.openxmlformats.org/officeDocument/2006/relationships/oleObject" Target="embeddings/oleObject4238.bin"/><Relationship Id="rId10784" Type="http://schemas.openxmlformats.org/officeDocument/2006/relationships/image" Target="media/image5401.wmf"/><Relationship Id="rId11835" Type="http://schemas.openxmlformats.org/officeDocument/2006/relationships/oleObject" Target="embeddings/oleObject5869.bin"/><Relationship Id="rId6058" Type="http://schemas.openxmlformats.org/officeDocument/2006/relationships/oleObject" Target="embeddings/oleObject3018.bin"/><Relationship Id="rId7109" Type="http://schemas.openxmlformats.org/officeDocument/2006/relationships/image" Target="media/image3564.wmf"/><Relationship Id="rId10437" Type="http://schemas.openxmlformats.org/officeDocument/2006/relationships/oleObject" Target="embeddings/oleObject5185.bin"/><Relationship Id="rId987" Type="http://schemas.openxmlformats.org/officeDocument/2006/relationships/image" Target="media/image499.wmf"/><Relationship Id="rId2668" Type="http://schemas.openxmlformats.org/officeDocument/2006/relationships/image" Target="media/image1344.wmf"/><Relationship Id="rId3719" Type="http://schemas.openxmlformats.org/officeDocument/2006/relationships/oleObject" Target="embeddings/oleObject1850.bin"/><Relationship Id="rId4090" Type="http://schemas.openxmlformats.org/officeDocument/2006/relationships/oleObject" Target="embeddings/oleObject2036.bin"/><Relationship Id="rId5141" Type="http://schemas.openxmlformats.org/officeDocument/2006/relationships/oleObject" Target="embeddings/oleObject2560.bin"/><Relationship Id="rId9762" Type="http://schemas.openxmlformats.org/officeDocument/2006/relationships/image" Target="media/image4890.wmf"/><Relationship Id="rId11692" Type="http://schemas.openxmlformats.org/officeDocument/2006/relationships/image" Target="media/image5859.wmf"/><Relationship Id="rId12743" Type="http://schemas.openxmlformats.org/officeDocument/2006/relationships/image" Target="media/image6386.wmf"/><Relationship Id="rId1751" Type="http://schemas.openxmlformats.org/officeDocument/2006/relationships/oleObject" Target="embeddings/oleObject863.bin"/><Relationship Id="rId2802" Type="http://schemas.openxmlformats.org/officeDocument/2006/relationships/image" Target="media/image1411.wmf"/><Relationship Id="rId8364" Type="http://schemas.openxmlformats.org/officeDocument/2006/relationships/image" Target="media/image4191.wmf"/><Relationship Id="rId9415" Type="http://schemas.openxmlformats.org/officeDocument/2006/relationships/oleObject" Target="embeddings/oleObject4688.bin"/><Relationship Id="rId10294" Type="http://schemas.openxmlformats.org/officeDocument/2006/relationships/oleObject" Target="embeddings/oleObject5114.bin"/><Relationship Id="rId11345" Type="http://schemas.openxmlformats.org/officeDocument/2006/relationships/image" Target="media/image5684.wmf"/><Relationship Id="rId1404" Type="http://schemas.openxmlformats.org/officeDocument/2006/relationships/image" Target="media/image707.wmf"/><Relationship Id="rId8017" Type="http://schemas.openxmlformats.org/officeDocument/2006/relationships/oleObject" Target="embeddings/oleObject3993.bin"/><Relationship Id="rId3576" Type="http://schemas.openxmlformats.org/officeDocument/2006/relationships/image" Target="media/image1799.wmf"/><Relationship Id="rId4627" Type="http://schemas.openxmlformats.org/officeDocument/2006/relationships/oleObject" Target="embeddings/oleObject2305.bin"/><Relationship Id="rId4974" Type="http://schemas.openxmlformats.org/officeDocument/2006/relationships/image" Target="media/image2497.wmf"/><Relationship Id="rId14568" Type="http://schemas.openxmlformats.org/officeDocument/2006/relationships/oleObject" Target="embeddings/oleObject7224.bin"/><Relationship Id="rId497" Type="http://schemas.openxmlformats.org/officeDocument/2006/relationships/image" Target="media/image248.wmf"/><Relationship Id="rId2178" Type="http://schemas.openxmlformats.org/officeDocument/2006/relationships/image" Target="media/image1095.wmf"/><Relationship Id="rId3229" Type="http://schemas.openxmlformats.org/officeDocument/2006/relationships/image" Target="media/image1624.wmf"/><Relationship Id="rId7100" Type="http://schemas.openxmlformats.org/officeDocument/2006/relationships/oleObject" Target="embeddings/oleObject3535.bin"/><Relationship Id="rId6799" Type="http://schemas.openxmlformats.org/officeDocument/2006/relationships/image" Target="media/image3409.wmf"/><Relationship Id="rId13651" Type="http://schemas.openxmlformats.org/officeDocument/2006/relationships/oleObject" Target="embeddings/oleObject6771.bin"/><Relationship Id="rId3710" Type="http://schemas.openxmlformats.org/officeDocument/2006/relationships/image" Target="media/image1866.wmf"/><Relationship Id="rId9272" Type="http://schemas.openxmlformats.org/officeDocument/2006/relationships/image" Target="media/image4645.wmf"/><Relationship Id="rId12253" Type="http://schemas.openxmlformats.org/officeDocument/2006/relationships/oleObject" Target="embeddings/oleObject6078.bin"/><Relationship Id="rId13304" Type="http://schemas.openxmlformats.org/officeDocument/2006/relationships/oleObject" Target="embeddings/oleObject6599.bin"/><Relationship Id="rId631" Type="http://schemas.openxmlformats.org/officeDocument/2006/relationships/oleObject" Target="embeddings/oleObject305.bin"/><Relationship Id="rId1261" Type="http://schemas.openxmlformats.org/officeDocument/2006/relationships/oleObject" Target="embeddings/oleObject620.bin"/><Relationship Id="rId2312" Type="http://schemas.openxmlformats.org/officeDocument/2006/relationships/oleObject" Target="embeddings/oleObject1145.bin"/><Relationship Id="rId5882" Type="http://schemas.openxmlformats.org/officeDocument/2006/relationships/oleObject" Target="embeddings/oleObject2930.bin"/><Relationship Id="rId6933" Type="http://schemas.openxmlformats.org/officeDocument/2006/relationships/image" Target="media/image3476.wmf"/><Relationship Id="rId4484" Type="http://schemas.openxmlformats.org/officeDocument/2006/relationships/image" Target="media/image2252.wmf"/><Relationship Id="rId5535" Type="http://schemas.openxmlformats.org/officeDocument/2006/relationships/image" Target="media/image2778.wmf"/><Relationship Id="rId14078" Type="http://schemas.openxmlformats.org/officeDocument/2006/relationships/oleObject" Target="embeddings/oleObject6985.bin"/><Relationship Id="rId3086" Type="http://schemas.openxmlformats.org/officeDocument/2006/relationships/oleObject" Target="embeddings/oleObject1531.bin"/><Relationship Id="rId4137" Type="http://schemas.openxmlformats.org/officeDocument/2006/relationships/image" Target="media/image2079.wmf"/><Relationship Id="rId8758" Type="http://schemas.openxmlformats.org/officeDocument/2006/relationships/oleObject" Target="embeddings/oleObject4362.bin"/><Relationship Id="rId9809" Type="http://schemas.openxmlformats.org/officeDocument/2006/relationships/oleObject" Target="embeddings/oleObject4876.bin"/><Relationship Id="rId10688" Type="http://schemas.openxmlformats.org/officeDocument/2006/relationships/image" Target="media/image5353.wmf"/><Relationship Id="rId11739" Type="http://schemas.openxmlformats.org/officeDocument/2006/relationships/oleObject" Target="embeddings/oleObject5821.bin"/><Relationship Id="rId13161" Type="http://schemas.openxmlformats.org/officeDocument/2006/relationships/image" Target="media/image6595.wmf"/><Relationship Id="rId14212" Type="http://schemas.openxmlformats.org/officeDocument/2006/relationships/oleObject" Target="embeddings/oleObject7052.bin"/><Relationship Id="rId141" Type="http://schemas.openxmlformats.org/officeDocument/2006/relationships/image" Target="media/image69.emf"/><Relationship Id="rId3220" Type="http://schemas.openxmlformats.org/officeDocument/2006/relationships/oleObject" Target="embeddings/oleObject1598.bin"/><Relationship Id="rId6790" Type="http://schemas.openxmlformats.org/officeDocument/2006/relationships/oleObject" Target="embeddings/oleObject3382.bin"/><Relationship Id="rId7841" Type="http://schemas.openxmlformats.org/officeDocument/2006/relationships/oleObject" Target="embeddings/oleObject3905.bin"/><Relationship Id="rId10822" Type="http://schemas.openxmlformats.org/officeDocument/2006/relationships/image" Target="media/image5420.wmf"/><Relationship Id="rId7" Type="http://schemas.openxmlformats.org/officeDocument/2006/relationships/endnotes" Target="endnotes.xml"/><Relationship Id="rId5392" Type="http://schemas.openxmlformats.org/officeDocument/2006/relationships/oleObject" Target="embeddings/oleObject2685.bin"/><Relationship Id="rId6443" Type="http://schemas.openxmlformats.org/officeDocument/2006/relationships/image" Target="media/image3231.wmf"/><Relationship Id="rId5045" Type="http://schemas.openxmlformats.org/officeDocument/2006/relationships/oleObject" Target="embeddings/oleObject2512.bin"/><Relationship Id="rId9666" Type="http://schemas.openxmlformats.org/officeDocument/2006/relationships/image" Target="media/image4842.wmf"/><Relationship Id="rId11596" Type="http://schemas.openxmlformats.org/officeDocument/2006/relationships/oleObject" Target="embeddings/oleObject5751.bin"/><Relationship Id="rId12994" Type="http://schemas.openxmlformats.org/officeDocument/2006/relationships/oleObject" Target="embeddings/oleObject6446.bin"/><Relationship Id="rId1655" Type="http://schemas.openxmlformats.org/officeDocument/2006/relationships/oleObject" Target="embeddings/oleObject815.bin"/><Relationship Id="rId2706" Type="http://schemas.openxmlformats.org/officeDocument/2006/relationships/image" Target="media/image1363.wmf"/><Relationship Id="rId8268" Type="http://schemas.openxmlformats.org/officeDocument/2006/relationships/image" Target="media/image4143.wmf"/><Relationship Id="rId9319" Type="http://schemas.openxmlformats.org/officeDocument/2006/relationships/oleObject" Target="embeddings/oleObject4640.bin"/><Relationship Id="rId10198" Type="http://schemas.openxmlformats.org/officeDocument/2006/relationships/oleObject" Target="embeddings/oleObject5066.bin"/><Relationship Id="rId11249" Type="http://schemas.openxmlformats.org/officeDocument/2006/relationships/image" Target="media/image5636.wmf"/><Relationship Id="rId12647" Type="http://schemas.openxmlformats.org/officeDocument/2006/relationships/image" Target="media/image6338.wmf"/><Relationship Id="rId1308" Type="http://schemas.openxmlformats.org/officeDocument/2006/relationships/image" Target="media/image659.wmf"/><Relationship Id="rId4878" Type="http://schemas.openxmlformats.org/officeDocument/2006/relationships/image" Target="media/image2449.wmf"/><Relationship Id="rId5929" Type="http://schemas.openxmlformats.org/officeDocument/2006/relationships/image" Target="media/image2975.wmf"/><Relationship Id="rId9800" Type="http://schemas.openxmlformats.org/officeDocument/2006/relationships/image" Target="media/image4909.wmf"/><Relationship Id="rId11730" Type="http://schemas.openxmlformats.org/officeDocument/2006/relationships/image" Target="media/image5878.wmf"/><Relationship Id="rId14" Type="http://schemas.openxmlformats.org/officeDocument/2006/relationships/oleObject" Target="embeddings/oleObject3.bin"/><Relationship Id="rId7004" Type="http://schemas.openxmlformats.org/officeDocument/2006/relationships/oleObject" Target="embeddings/oleObject3487.bin"/><Relationship Id="rId7351" Type="http://schemas.openxmlformats.org/officeDocument/2006/relationships/oleObject" Target="embeddings/oleObject3660.bin"/><Relationship Id="rId8402" Type="http://schemas.openxmlformats.org/officeDocument/2006/relationships/image" Target="media/image4210.wmf"/><Relationship Id="rId10332" Type="http://schemas.openxmlformats.org/officeDocument/2006/relationships/oleObject" Target="embeddings/oleObject5133.bin"/><Relationship Id="rId3961" Type="http://schemas.openxmlformats.org/officeDocument/2006/relationships/image" Target="media/image1991.wmf"/><Relationship Id="rId13555" Type="http://schemas.openxmlformats.org/officeDocument/2006/relationships/oleObject" Target="embeddings/oleObject6723.bin"/><Relationship Id="rId882" Type="http://schemas.openxmlformats.org/officeDocument/2006/relationships/image" Target="media/image446.wmf"/><Relationship Id="rId2563" Type="http://schemas.openxmlformats.org/officeDocument/2006/relationships/oleObject" Target="embeddings/oleObject1269.bin"/><Relationship Id="rId3614" Type="http://schemas.openxmlformats.org/officeDocument/2006/relationships/image" Target="media/image1818.wmf"/><Relationship Id="rId9176" Type="http://schemas.openxmlformats.org/officeDocument/2006/relationships/image" Target="media/image4597.wmf"/><Relationship Id="rId12157" Type="http://schemas.openxmlformats.org/officeDocument/2006/relationships/oleObject" Target="embeddings/oleObject6030.bin"/><Relationship Id="rId13208" Type="http://schemas.openxmlformats.org/officeDocument/2006/relationships/oleObject" Target="embeddings/oleObject6551.bin"/><Relationship Id="rId535" Type="http://schemas.openxmlformats.org/officeDocument/2006/relationships/image" Target="media/image267.wmf"/><Relationship Id="rId1165" Type="http://schemas.openxmlformats.org/officeDocument/2006/relationships/image" Target="media/image588.wmf"/><Relationship Id="rId2216" Type="http://schemas.openxmlformats.org/officeDocument/2006/relationships/image" Target="media/image1114.wmf"/><Relationship Id="rId5786" Type="http://schemas.openxmlformats.org/officeDocument/2006/relationships/oleObject" Target="embeddings/oleObject2882.bin"/><Relationship Id="rId6837" Type="http://schemas.openxmlformats.org/officeDocument/2006/relationships/image" Target="media/image3428.wmf"/><Relationship Id="rId4388" Type="http://schemas.openxmlformats.org/officeDocument/2006/relationships/image" Target="media/image2204.wmf"/><Relationship Id="rId5439" Type="http://schemas.openxmlformats.org/officeDocument/2006/relationships/image" Target="media/image2730.wmf"/><Relationship Id="rId9310" Type="http://schemas.openxmlformats.org/officeDocument/2006/relationships/image" Target="media/image4664.wmf"/><Relationship Id="rId11240" Type="http://schemas.openxmlformats.org/officeDocument/2006/relationships/oleObject" Target="embeddings/oleObject5573.bin"/><Relationship Id="rId5920" Type="http://schemas.openxmlformats.org/officeDocument/2006/relationships/oleObject" Target="embeddings/oleObject2949.bin"/><Relationship Id="rId14463" Type="http://schemas.openxmlformats.org/officeDocument/2006/relationships/image" Target="media/image7246.wmf"/><Relationship Id="rId3471" Type="http://schemas.openxmlformats.org/officeDocument/2006/relationships/oleObject" Target="embeddings/oleObject1726.bin"/><Relationship Id="rId4522" Type="http://schemas.openxmlformats.org/officeDocument/2006/relationships/image" Target="media/image2271.wmf"/><Relationship Id="rId13065" Type="http://schemas.openxmlformats.org/officeDocument/2006/relationships/image" Target="media/image6547.wmf"/><Relationship Id="rId14116" Type="http://schemas.openxmlformats.org/officeDocument/2006/relationships/oleObject" Target="embeddings/oleObject7004.bin"/><Relationship Id="rId392" Type="http://schemas.openxmlformats.org/officeDocument/2006/relationships/oleObject" Target="embeddings/oleObject190.bin"/><Relationship Id="rId2073" Type="http://schemas.openxmlformats.org/officeDocument/2006/relationships/oleObject" Target="embeddings/oleObject1024.bin"/><Relationship Id="rId3124" Type="http://schemas.openxmlformats.org/officeDocument/2006/relationships/oleObject" Target="embeddings/oleObject1550.bin"/><Relationship Id="rId6694" Type="http://schemas.openxmlformats.org/officeDocument/2006/relationships/oleObject" Target="embeddings/oleObject3334.bin"/><Relationship Id="rId7745" Type="http://schemas.openxmlformats.org/officeDocument/2006/relationships/oleObject" Target="embeddings/oleObject3857.bin"/><Relationship Id="rId5296" Type="http://schemas.openxmlformats.org/officeDocument/2006/relationships/oleObject" Target="embeddings/oleObject2637.bin"/><Relationship Id="rId6347" Type="http://schemas.openxmlformats.org/officeDocument/2006/relationships/image" Target="media/image3183.wmf"/><Relationship Id="rId10726" Type="http://schemas.openxmlformats.org/officeDocument/2006/relationships/image" Target="media/image5372.wmf"/><Relationship Id="rId12898" Type="http://schemas.openxmlformats.org/officeDocument/2006/relationships/oleObject" Target="embeddings/oleObject6398.bin"/><Relationship Id="rId13949" Type="http://schemas.openxmlformats.org/officeDocument/2006/relationships/image" Target="media/image6989.wmf"/><Relationship Id="rId2957" Type="http://schemas.openxmlformats.org/officeDocument/2006/relationships/image" Target="media/image1488.wmf"/><Relationship Id="rId929" Type="http://schemas.openxmlformats.org/officeDocument/2006/relationships/image" Target="media/image470.wmf"/><Relationship Id="rId1559" Type="http://schemas.openxmlformats.org/officeDocument/2006/relationships/oleObject" Target="embeddings/oleObject766.bin"/><Relationship Id="rId4032" Type="http://schemas.openxmlformats.org/officeDocument/2006/relationships/oleObject" Target="embeddings/oleObject2007.bin"/><Relationship Id="rId5430" Type="http://schemas.openxmlformats.org/officeDocument/2006/relationships/oleObject" Target="embeddings/oleObject2704.bin"/><Relationship Id="rId11981" Type="http://schemas.openxmlformats.org/officeDocument/2006/relationships/oleObject" Target="embeddings/oleObject5942.bin"/><Relationship Id="rId8653" Type="http://schemas.openxmlformats.org/officeDocument/2006/relationships/image" Target="media/image4336.wmf"/><Relationship Id="rId9704" Type="http://schemas.openxmlformats.org/officeDocument/2006/relationships/image" Target="media/image4861.wmf"/><Relationship Id="rId10583" Type="http://schemas.openxmlformats.org/officeDocument/2006/relationships/oleObject" Target="embeddings/oleObject5256.bin"/><Relationship Id="rId11634" Type="http://schemas.openxmlformats.org/officeDocument/2006/relationships/oleObject" Target="embeddings/oleObject5770.bin"/><Relationship Id="rId7255" Type="http://schemas.openxmlformats.org/officeDocument/2006/relationships/oleObject" Target="embeddings/oleObject3612.bin"/><Relationship Id="rId8306" Type="http://schemas.openxmlformats.org/officeDocument/2006/relationships/image" Target="media/image4162.wmf"/><Relationship Id="rId10236" Type="http://schemas.openxmlformats.org/officeDocument/2006/relationships/oleObject" Target="embeddings/oleObject5085.bin"/><Relationship Id="rId3865" Type="http://schemas.openxmlformats.org/officeDocument/2006/relationships/oleObject" Target="embeddings/oleObject1923.bin"/><Relationship Id="rId4916" Type="http://schemas.openxmlformats.org/officeDocument/2006/relationships/image" Target="media/image2468.wmf"/><Relationship Id="rId13459" Type="http://schemas.openxmlformats.org/officeDocument/2006/relationships/oleObject" Target="embeddings/oleObject6675.bin"/><Relationship Id="rId786" Type="http://schemas.openxmlformats.org/officeDocument/2006/relationships/image" Target="media/image398.wmf"/><Relationship Id="rId2467" Type="http://schemas.openxmlformats.org/officeDocument/2006/relationships/oleObject" Target="embeddings/oleObject1221.bin"/><Relationship Id="rId3518" Type="http://schemas.openxmlformats.org/officeDocument/2006/relationships/image" Target="media/image1770.wmf"/><Relationship Id="rId439" Type="http://schemas.openxmlformats.org/officeDocument/2006/relationships/image" Target="media/image219.png"/><Relationship Id="rId1069" Type="http://schemas.openxmlformats.org/officeDocument/2006/relationships/image" Target="media/image540.wmf"/><Relationship Id="rId13940" Type="http://schemas.openxmlformats.org/officeDocument/2006/relationships/oleObject" Target="embeddings/oleObject6916.bin"/><Relationship Id="rId8163" Type="http://schemas.openxmlformats.org/officeDocument/2006/relationships/oleObject" Target="embeddings/oleObject4066.bin"/><Relationship Id="rId9214" Type="http://schemas.openxmlformats.org/officeDocument/2006/relationships/image" Target="media/image4616.wmf"/><Relationship Id="rId9561" Type="http://schemas.openxmlformats.org/officeDocument/2006/relationships/oleObject" Target="embeddings/oleObject4759.bin"/><Relationship Id="rId11491" Type="http://schemas.openxmlformats.org/officeDocument/2006/relationships/image" Target="media/image5757.wmf"/><Relationship Id="rId12542" Type="http://schemas.openxmlformats.org/officeDocument/2006/relationships/oleObject" Target="embeddings/oleObject6220.bin"/><Relationship Id="rId920" Type="http://schemas.openxmlformats.org/officeDocument/2006/relationships/oleObject" Target="embeddings/oleObject451.bin"/><Relationship Id="rId1550" Type="http://schemas.openxmlformats.org/officeDocument/2006/relationships/image" Target="media/image780.wmf"/><Relationship Id="rId2601" Type="http://schemas.openxmlformats.org/officeDocument/2006/relationships/oleObject" Target="embeddings/oleObject1288.bin"/><Relationship Id="rId10093" Type="http://schemas.openxmlformats.org/officeDocument/2006/relationships/image" Target="media/image5055.wmf"/><Relationship Id="rId11144" Type="http://schemas.openxmlformats.org/officeDocument/2006/relationships/oleObject" Target="embeddings/oleObject5525.bin"/><Relationship Id="rId1203" Type="http://schemas.openxmlformats.org/officeDocument/2006/relationships/oleObject" Target="embeddings/oleObject592.bin"/><Relationship Id="rId4773" Type="http://schemas.openxmlformats.org/officeDocument/2006/relationships/oleObject" Target="embeddings/oleObject2378.bin"/><Relationship Id="rId5824" Type="http://schemas.openxmlformats.org/officeDocument/2006/relationships/oleObject" Target="embeddings/oleObject2901.bin"/><Relationship Id="rId14367" Type="http://schemas.openxmlformats.org/officeDocument/2006/relationships/image" Target="media/image7198.wmf"/><Relationship Id="rId3375" Type="http://schemas.openxmlformats.org/officeDocument/2006/relationships/oleObject" Target="embeddings/oleObject1676.bin"/><Relationship Id="rId4426" Type="http://schemas.openxmlformats.org/officeDocument/2006/relationships/image" Target="media/image2223.wmf"/><Relationship Id="rId7996" Type="http://schemas.openxmlformats.org/officeDocument/2006/relationships/image" Target="media/image4007.wmf"/><Relationship Id="rId296" Type="http://schemas.openxmlformats.org/officeDocument/2006/relationships/image" Target="media/image147.wmf"/><Relationship Id="rId3028" Type="http://schemas.openxmlformats.org/officeDocument/2006/relationships/oleObject" Target="embeddings/oleObject1502.bin"/><Relationship Id="rId6598" Type="http://schemas.openxmlformats.org/officeDocument/2006/relationships/oleObject" Target="embeddings/oleObject3286.bin"/><Relationship Id="rId7649" Type="http://schemas.openxmlformats.org/officeDocument/2006/relationships/oleObject" Target="embeddings/oleObject3809.bin"/><Relationship Id="rId10977" Type="http://schemas.openxmlformats.org/officeDocument/2006/relationships/oleObject" Target="embeddings/oleObject5444.bin"/><Relationship Id="rId9071" Type="http://schemas.openxmlformats.org/officeDocument/2006/relationships/image" Target="media/image4545.wmf"/><Relationship Id="rId12052" Type="http://schemas.openxmlformats.org/officeDocument/2006/relationships/image" Target="media/image6039.wmf"/><Relationship Id="rId13450" Type="http://schemas.openxmlformats.org/officeDocument/2006/relationships/image" Target="media/image6740.wmf"/><Relationship Id="rId14501" Type="http://schemas.openxmlformats.org/officeDocument/2006/relationships/image" Target="media/image7265.wmf"/><Relationship Id="rId430" Type="http://schemas.openxmlformats.org/officeDocument/2006/relationships/oleObject" Target="embeddings/oleObject209.bin"/><Relationship Id="rId1060" Type="http://schemas.openxmlformats.org/officeDocument/2006/relationships/oleObject" Target="embeddings/oleObject521.bin"/><Relationship Id="rId2111" Type="http://schemas.openxmlformats.org/officeDocument/2006/relationships/oleObject" Target="embeddings/oleObject1043.bin"/><Relationship Id="rId13103" Type="http://schemas.openxmlformats.org/officeDocument/2006/relationships/image" Target="media/image6566.wmf"/><Relationship Id="rId5681" Type="http://schemas.openxmlformats.org/officeDocument/2006/relationships/image" Target="media/image2851.wmf"/><Relationship Id="rId6732" Type="http://schemas.openxmlformats.org/officeDocument/2006/relationships/oleObject" Target="embeddings/oleObject3353.bin"/><Relationship Id="rId4283" Type="http://schemas.openxmlformats.org/officeDocument/2006/relationships/image" Target="media/image2152.wmf"/><Relationship Id="rId5334" Type="http://schemas.openxmlformats.org/officeDocument/2006/relationships/oleObject" Target="embeddings/oleObject2656.bin"/><Relationship Id="rId9955" Type="http://schemas.openxmlformats.org/officeDocument/2006/relationships/image" Target="media/image4986.wmf"/><Relationship Id="rId11885" Type="http://schemas.openxmlformats.org/officeDocument/2006/relationships/oleObject" Target="embeddings/oleObject5894.bin"/><Relationship Id="rId1944" Type="http://schemas.openxmlformats.org/officeDocument/2006/relationships/image" Target="media/image978.wmf"/><Relationship Id="rId8557" Type="http://schemas.openxmlformats.org/officeDocument/2006/relationships/oleObject" Target="embeddings/oleObject4263.bin"/><Relationship Id="rId9608" Type="http://schemas.openxmlformats.org/officeDocument/2006/relationships/image" Target="media/image4813.wmf"/><Relationship Id="rId10487" Type="http://schemas.openxmlformats.org/officeDocument/2006/relationships/oleObject" Target="embeddings/oleObject5208.bin"/><Relationship Id="rId11538" Type="http://schemas.openxmlformats.org/officeDocument/2006/relationships/oleObject" Target="embeddings/oleObject5722.bin"/><Relationship Id="rId12936" Type="http://schemas.openxmlformats.org/officeDocument/2006/relationships/oleObject" Target="embeddings/oleObject6417.bin"/><Relationship Id="rId7159" Type="http://schemas.openxmlformats.org/officeDocument/2006/relationships/oleObject" Target="embeddings/oleObject3564.bin"/><Relationship Id="rId14011" Type="http://schemas.openxmlformats.org/officeDocument/2006/relationships/image" Target="media/image7020.wmf"/><Relationship Id="rId3769" Type="http://schemas.openxmlformats.org/officeDocument/2006/relationships/oleObject" Target="embeddings/oleObject1875.bin"/><Relationship Id="rId5191" Type="http://schemas.openxmlformats.org/officeDocument/2006/relationships/oleObject" Target="embeddings/oleObject2585.bin"/><Relationship Id="rId6242" Type="http://schemas.openxmlformats.org/officeDocument/2006/relationships/oleObject" Target="embeddings/oleObject3110.bin"/><Relationship Id="rId7640" Type="http://schemas.openxmlformats.org/officeDocument/2006/relationships/image" Target="media/image3829.wmf"/><Relationship Id="rId10621" Type="http://schemas.openxmlformats.org/officeDocument/2006/relationships/oleObject" Target="embeddings/oleObject5275.bin"/><Relationship Id="rId12793" Type="http://schemas.openxmlformats.org/officeDocument/2006/relationships/image" Target="media/image6411.wmf"/><Relationship Id="rId13844" Type="http://schemas.openxmlformats.org/officeDocument/2006/relationships/oleObject" Target="embeddings/oleObject6868.bin"/><Relationship Id="rId2852" Type="http://schemas.openxmlformats.org/officeDocument/2006/relationships/oleObject" Target="embeddings/oleObject1414.bin"/><Relationship Id="rId3903" Type="http://schemas.openxmlformats.org/officeDocument/2006/relationships/oleObject" Target="embeddings/oleObject1942.bin"/><Relationship Id="rId9465" Type="http://schemas.openxmlformats.org/officeDocument/2006/relationships/oleObject" Target="embeddings/oleObject4711.bin"/><Relationship Id="rId11395" Type="http://schemas.openxmlformats.org/officeDocument/2006/relationships/image" Target="media/image5709.wmf"/><Relationship Id="rId12446" Type="http://schemas.openxmlformats.org/officeDocument/2006/relationships/oleObject" Target="embeddings/oleObject6172.bin"/><Relationship Id="rId824" Type="http://schemas.openxmlformats.org/officeDocument/2006/relationships/image" Target="media/image417.wmf"/><Relationship Id="rId1454" Type="http://schemas.openxmlformats.org/officeDocument/2006/relationships/image" Target="media/image732.wmf"/><Relationship Id="rId2505" Type="http://schemas.openxmlformats.org/officeDocument/2006/relationships/oleObject" Target="embeddings/oleObject1240.bin"/><Relationship Id="rId8067" Type="http://schemas.openxmlformats.org/officeDocument/2006/relationships/oleObject" Target="embeddings/oleObject4018.bin"/><Relationship Id="rId9118" Type="http://schemas.openxmlformats.org/officeDocument/2006/relationships/oleObject" Target="embeddings/oleObject4539.bin"/><Relationship Id="rId11048" Type="http://schemas.openxmlformats.org/officeDocument/2006/relationships/image" Target="media/image5534.wmf"/><Relationship Id="rId1107" Type="http://schemas.openxmlformats.org/officeDocument/2006/relationships/image" Target="media/image559.wmf"/><Relationship Id="rId4677" Type="http://schemas.openxmlformats.org/officeDocument/2006/relationships/oleObject" Target="embeddings/oleObject2330.bin"/><Relationship Id="rId5728" Type="http://schemas.openxmlformats.org/officeDocument/2006/relationships/oleObject" Target="embeddings/oleObject2853.bin"/><Relationship Id="rId3279" Type="http://schemas.openxmlformats.org/officeDocument/2006/relationships/oleObject" Target="embeddings/oleObject1628.bin"/><Relationship Id="rId7150" Type="http://schemas.openxmlformats.org/officeDocument/2006/relationships/image" Target="media/image3584.wmf"/><Relationship Id="rId8201" Type="http://schemas.openxmlformats.org/officeDocument/2006/relationships/oleObject" Target="embeddings/oleObject4085.bin"/><Relationship Id="rId10131" Type="http://schemas.openxmlformats.org/officeDocument/2006/relationships/image" Target="media/image5074.wmf"/><Relationship Id="rId3760" Type="http://schemas.openxmlformats.org/officeDocument/2006/relationships/image" Target="media/image1891.wmf"/><Relationship Id="rId4811" Type="http://schemas.openxmlformats.org/officeDocument/2006/relationships/oleObject" Target="embeddings/oleObject2396.bin"/><Relationship Id="rId13354" Type="http://schemas.openxmlformats.org/officeDocument/2006/relationships/image" Target="media/image6692.wmf"/><Relationship Id="rId14405" Type="http://schemas.openxmlformats.org/officeDocument/2006/relationships/image" Target="media/image7217.wmf"/><Relationship Id="rId681" Type="http://schemas.openxmlformats.org/officeDocument/2006/relationships/oleObject" Target="embeddings/oleObject329.bin"/><Relationship Id="rId2362" Type="http://schemas.openxmlformats.org/officeDocument/2006/relationships/oleObject" Target="embeddings/oleObject1170.bin"/><Relationship Id="rId3413" Type="http://schemas.openxmlformats.org/officeDocument/2006/relationships/oleObject" Target="embeddings/oleObject1696.bin"/><Relationship Id="rId6983" Type="http://schemas.openxmlformats.org/officeDocument/2006/relationships/image" Target="media/image3501.wmf"/><Relationship Id="rId13007" Type="http://schemas.openxmlformats.org/officeDocument/2006/relationships/image" Target="media/image6518.wmf"/><Relationship Id="rId334" Type="http://schemas.openxmlformats.org/officeDocument/2006/relationships/image" Target="media/image166.wmf"/><Relationship Id="rId2015" Type="http://schemas.openxmlformats.org/officeDocument/2006/relationships/oleObject" Target="embeddings/oleObject995.bin"/><Relationship Id="rId5585" Type="http://schemas.openxmlformats.org/officeDocument/2006/relationships/image" Target="media/image2803.wmf"/><Relationship Id="rId6636" Type="http://schemas.openxmlformats.org/officeDocument/2006/relationships/oleObject" Target="embeddings/oleObject3305.bin"/><Relationship Id="rId4187" Type="http://schemas.openxmlformats.org/officeDocument/2006/relationships/image" Target="media/image2104.wmf"/><Relationship Id="rId5238" Type="http://schemas.openxmlformats.org/officeDocument/2006/relationships/oleObject" Target="embeddings/oleObject2608.bin"/><Relationship Id="rId9859" Type="http://schemas.openxmlformats.org/officeDocument/2006/relationships/image" Target="media/image4938.wmf"/><Relationship Id="rId11789" Type="http://schemas.openxmlformats.org/officeDocument/2006/relationships/oleObject" Target="embeddings/oleObject5846.bin"/><Relationship Id="rId14262" Type="http://schemas.openxmlformats.org/officeDocument/2006/relationships/oleObject" Target="embeddings/oleObject7077.bin"/><Relationship Id="rId1848" Type="http://schemas.openxmlformats.org/officeDocument/2006/relationships/image" Target="media/image930.wmf"/><Relationship Id="rId3270" Type="http://schemas.openxmlformats.org/officeDocument/2006/relationships/image" Target="media/image1644.wmf"/><Relationship Id="rId4321" Type="http://schemas.openxmlformats.org/officeDocument/2006/relationships/image" Target="media/image2171.wmf"/><Relationship Id="rId191" Type="http://schemas.openxmlformats.org/officeDocument/2006/relationships/oleObject" Target="embeddings/oleObject90.bin"/><Relationship Id="rId7891" Type="http://schemas.openxmlformats.org/officeDocument/2006/relationships/oleObject" Target="embeddings/oleObject3930.bin"/><Relationship Id="rId8942" Type="http://schemas.openxmlformats.org/officeDocument/2006/relationships/oleObject" Target="embeddings/oleObject4451.bin"/><Relationship Id="rId10872" Type="http://schemas.openxmlformats.org/officeDocument/2006/relationships/image" Target="media/image5445.wmf"/><Relationship Id="rId11923" Type="http://schemas.openxmlformats.org/officeDocument/2006/relationships/oleObject" Target="embeddings/oleObject5913.bin"/><Relationship Id="rId5095" Type="http://schemas.openxmlformats.org/officeDocument/2006/relationships/oleObject" Target="embeddings/oleObject2537.bin"/><Relationship Id="rId6493" Type="http://schemas.openxmlformats.org/officeDocument/2006/relationships/image" Target="media/image3256.wmf"/><Relationship Id="rId7544" Type="http://schemas.openxmlformats.org/officeDocument/2006/relationships/image" Target="media/image3781.wmf"/><Relationship Id="rId10525" Type="http://schemas.openxmlformats.org/officeDocument/2006/relationships/oleObject" Target="embeddings/oleObject5227.bin"/><Relationship Id="rId6146" Type="http://schemas.openxmlformats.org/officeDocument/2006/relationships/oleObject" Target="embeddings/oleObject3062.bin"/><Relationship Id="rId12697" Type="http://schemas.openxmlformats.org/officeDocument/2006/relationships/image" Target="media/image6363.wmf"/><Relationship Id="rId13748" Type="http://schemas.openxmlformats.org/officeDocument/2006/relationships/oleObject" Target="embeddings/oleObject6820.bin"/><Relationship Id="rId2756" Type="http://schemas.openxmlformats.org/officeDocument/2006/relationships/image" Target="media/image1388.wmf"/><Relationship Id="rId3807" Type="http://schemas.openxmlformats.org/officeDocument/2006/relationships/oleObject" Target="embeddings/oleObject1894.bin"/><Relationship Id="rId9369" Type="http://schemas.openxmlformats.org/officeDocument/2006/relationships/oleObject" Target="embeddings/oleObject4665.bin"/><Relationship Id="rId11299" Type="http://schemas.openxmlformats.org/officeDocument/2006/relationships/image" Target="media/image5661.wmf"/><Relationship Id="rId728" Type="http://schemas.openxmlformats.org/officeDocument/2006/relationships/image" Target="media/image366.wmf"/><Relationship Id="rId1358" Type="http://schemas.openxmlformats.org/officeDocument/2006/relationships/image" Target="media/image684.wmf"/><Relationship Id="rId2409" Type="http://schemas.openxmlformats.org/officeDocument/2006/relationships/image" Target="media/image1213.wmf"/><Relationship Id="rId5979" Type="http://schemas.openxmlformats.org/officeDocument/2006/relationships/image" Target="media/image3000.wmf"/><Relationship Id="rId64" Type="http://schemas.openxmlformats.org/officeDocument/2006/relationships/oleObject" Target="embeddings/oleObject28.bin"/><Relationship Id="rId8452" Type="http://schemas.openxmlformats.org/officeDocument/2006/relationships/image" Target="media/image4235.wmf"/><Relationship Id="rId9503" Type="http://schemas.openxmlformats.org/officeDocument/2006/relationships/oleObject" Target="embeddings/oleObject4730.bin"/><Relationship Id="rId9850" Type="http://schemas.openxmlformats.org/officeDocument/2006/relationships/oleObject" Target="embeddings/oleObject4897.bin"/><Relationship Id="rId11780" Type="http://schemas.openxmlformats.org/officeDocument/2006/relationships/image" Target="media/image5903.wmf"/><Relationship Id="rId12831" Type="http://schemas.openxmlformats.org/officeDocument/2006/relationships/image" Target="media/image6430.wmf"/><Relationship Id="rId7054" Type="http://schemas.openxmlformats.org/officeDocument/2006/relationships/oleObject" Target="embeddings/oleObject3512.bin"/><Relationship Id="rId8105" Type="http://schemas.openxmlformats.org/officeDocument/2006/relationships/oleObject" Target="embeddings/oleObject4037.bin"/><Relationship Id="rId10382" Type="http://schemas.openxmlformats.org/officeDocument/2006/relationships/oleObject" Target="embeddings/oleObject5158.bin"/><Relationship Id="rId11433" Type="http://schemas.openxmlformats.org/officeDocument/2006/relationships/image" Target="media/image5728.wmf"/><Relationship Id="rId10035" Type="http://schemas.openxmlformats.org/officeDocument/2006/relationships/image" Target="media/image5026.wmf"/><Relationship Id="rId3664" Type="http://schemas.openxmlformats.org/officeDocument/2006/relationships/image" Target="media/image1843.wmf"/><Relationship Id="rId4715" Type="http://schemas.openxmlformats.org/officeDocument/2006/relationships/oleObject" Target="embeddings/oleObject2349.bin"/><Relationship Id="rId13258" Type="http://schemas.openxmlformats.org/officeDocument/2006/relationships/oleObject" Target="embeddings/oleObject6576.bin"/><Relationship Id="rId14309" Type="http://schemas.openxmlformats.org/officeDocument/2006/relationships/image" Target="media/image7169.wmf"/><Relationship Id="rId585" Type="http://schemas.openxmlformats.org/officeDocument/2006/relationships/oleObject" Target="embeddings/oleObject282.bin"/><Relationship Id="rId2266" Type="http://schemas.openxmlformats.org/officeDocument/2006/relationships/oleObject" Target="embeddings/oleObject1120.bin"/><Relationship Id="rId3317" Type="http://schemas.openxmlformats.org/officeDocument/2006/relationships/oleObject" Target="embeddings/oleObject1647.bin"/><Relationship Id="rId6887" Type="http://schemas.openxmlformats.org/officeDocument/2006/relationships/image" Target="media/image3453.wmf"/><Relationship Id="rId7938" Type="http://schemas.openxmlformats.org/officeDocument/2006/relationships/image" Target="media/image3978.wmf"/><Relationship Id="rId238" Type="http://schemas.openxmlformats.org/officeDocument/2006/relationships/image" Target="media/image118.wmf"/><Relationship Id="rId5489" Type="http://schemas.openxmlformats.org/officeDocument/2006/relationships/image" Target="media/image2755.wmf"/><Relationship Id="rId9360" Type="http://schemas.openxmlformats.org/officeDocument/2006/relationships/image" Target="media/image4689.wmf"/><Relationship Id="rId10919" Type="http://schemas.openxmlformats.org/officeDocument/2006/relationships/oleObject" Target="embeddings/oleObject5422.bin"/><Relationship Id="rId11290" Type="http://schemas.openxmlformats.org/officeDocument/2006/relationships/oleObject" Target="embeddings/oleObject5598.bin"/><Relationship Id="rId12341" Type="http://schemas.openxmlformats.org/officeDocument/2006/relationships/image" Target="media/image6185.wmf"/><Relationship Id="rId2400" Type="http://schemas.openxmlformats.org/officeDocument/2006/relationships/oleObject" Target="embeddings/oleObject1189.bin"/><Relationship Id="rId9013" Type="http://schemas.openxmlformats.org/officeDocument/2006/relationships/image" Target="media/image4516.wmf"/><Relationship Id="rId1002" Type="http://schemas.openxmlformats.org/officeDocument/2006/relationships/oleObject" Target="embeddings/oleObject492.bin"/><Relationship Id="rId5970" Type="http://schemas.openxmlformats.org/officeDocument/2006/relationships/oleObject" Target="embeddings/oleObject2974.bin"/><Relationship Id="rId3174" Type="http://schemas.openxmlformats.org/officeDocument/2006/relationships/oleObject" Target="embeddings/oleObject1575.bin"/><Relationship Id="rId4572" Type="http://schemas.openxmlformats.org/officeDocument/2006/relationships/image" Target="media/image2296.wmf"/><Relationship Id="rId5623" Type="http://schemas.openxmlformats.org/officeDocument/2006/relationships/image" Target="media/image2822.wmf"/><Relationship Id="rId14166" Type="http://schemas.openxmlformats.org/officeDocument/2006/relationships/oleObject" Target="embeddings/oleObject7029.bin"/><Relationship Id="rId4225" Type="http://schemas.openxmlformats.org/officeDocument/2006/relationships/image" Target="media/image2123.wmf"/><Relationship Id="rId7795" Type="http://schemas.openxmlformats.org/officeDocument/2006/relationships/oleObject" Target="embeddings/oleObject3882.bin"/><Relationship Id="rId8846" Type="http://schemas.openxmlformats.org/officeDocument/2006/relationships/oleObject" Target="embeddings/oleObject4406.bin"/><Relationship Id="rId10776" Type="http://schemas.openxmlformats.org/officeDocument/2006/relationships/image" Target="media/image5397.wmf"/><Relationship Id="rId11827" Type="http://schemas.openxmlformats.org/officeDocument/2006/relationships/oleObject" Target="embeddings/oleObject5865.bin"/><Relationship Id="rId6397" Type="http://schemas.openxmlformats.org/officeDocument/2006/relationships/image" Target="media/image3208.wmf"/><Relationship Id="rId7448" Type="http://schemas.openxmlformats.org/officeDocument/2006/relationships/image" Target="media/image3733.wmf"/><Relationship Id="rId10429" Type="http://schemas.openxmlformats.org/officeDocument/2006/relationships/oleObject" Target="embeddings/oleObject5181.bin"/><Relationship Id="rId14300" Type="http://schemas.openxmlformats.org/officeDocument/2006/relationships/oleObject" Target="embeddings/oleObject7096.bin"/><Relationship Id="rId13999" Type="http://schemas.openxmlformats.org/officeDocument/2006/relationships/image" Target="media/image7014.wmf"/><Relationship Id="rId979" Type="http://schemas.openxmlformats.org/officeDocument/2006/relationships/image" Target="media/image495.wmf"/><Relationship Id="rId5480" Type="http://schemas.openxmlformats.org/officeDocument/2006/relationships/oleObject" Target="embeddings/oleObject2729.bin"/><Relationship Id="rId6531" Type="http://schemas.openxmlformats.org/officeDocument/2006/relationships/image" Target="media/image3275.wmf"/><Relationship Id="rId10910" Type="http://schemas.openxmlformats.org/officeDocument/2006/relationships/image" Target="media/image5464.wmf"/><Relationship Id="rId4082" Type="http://schemas.openxmlformats.org/officeDocument/2006/relationships/oleObject" Target="embeddings/oleObject2032.bin"/><Relationship Id="rId5133" Type="http://schemas.openxmlformats.org/officeDocument/2006/relationships/oleObject" Target="embeddings/oleObject2556.bin"/><Relationship Id="rId9754" Type="http://schemas.openxmlformats.org/officeDocument/2006/relationships/image" Target="media/image4886.wmf"/><Relationship Id="rId11684" Type="http://schemas.openxmlformats.org/officeDocument/2006/relationships/image" Target="media/image5855.wmf"/><Relationship Id="rId12735" Type="http://schemas.openxmlformats.org/officeDocument/2006/relationships/image" Target="media/image6382.wmf"/><Relationship Id="rId1743" Type="http://schemas.openxmlformats.org/officeDocument/2006/relationships/oleObject" Target="embeddings/oleObject859.bin"/><Relationship Id="rId8009" Type="http://schemas.openxmlformats.org/officeDocument/2006/relationships/oleObject" Target="embeddings/oleObject3989.bin"/><Relationship Id="rId8356" Type="http://schemas.openxmlformats.org/officeDocument/2006/relationships/image" Target="media/image4187.wmf"/><Relationship Id="rId9407" Type="http://schemas.openxmlformats.org/officeDocument/2006/relationships/oleObject" Target="embeddings/oleObject4684.bin"/><Relationship Id="rId10286" Type="http://schemas.openxmlformats.org/officeDocument/2006/relationships/oleObject" Target="embeddings/oleObject5110.bin"/><Relationship Id="rId11337" Type="http://schemas.openxmlformats.org/officeDocument/2006/relationships/image" Target="media/image5680.wmf"/><Relationship Id="rId4966" Type="http://schemas.openxmlformats.org/officeDocument/2006/relationships/image" Target="media/image2493.wmf"/><Relationship Id="rId3568" Type="http://schemas.openxmlformats.org/officeDocument/2006/relationships/image" Target="media/image1795.wmf"/><Relationship Id="rId4619" Type="http://schemas.openxmlformats.org/officeDocument/2006/relationships/oleObject" Target="embeddings/oleObject2301.bin"/><Relationship Id="rId10420" Type="http://schemas.openxmlformats.org/officeDocument/2006/relationships/image" Target="media/image5219.wmf"/><Relationship Id="rId489" Type="http://schemas.openxmlformats.org/officeDocument/2006/relationships/image" Target="media/image244.wmf"/><Relationship Id="rId6041" Type="http://schemas.openxmlformats.org/officeDocument/2006/relationships/image" Target="media/image3031.wmf"/><Relationship Id="rId13990" Type="http://schemas.openxmlformats.org/officeDocument/2006/relationships/oleObject" Target="embeddings/oleObject6941.bin"/><Relationship Id="rId9264" Type="http://schemas.openxmlformats.org/officeDocument/2006/relationships/image" Target="media/image4641.wmf"/><Relationship Id="rId12592" Type="http://schemas.openxmlformats.org/officeDocument/2006/relationships/oleObject" Target="embeddings/oleObject6245.bin"/><Relationship Id="rId13643" Type="http://schemas.openxmlformats.org/officeDocument/2006/relationships/oleObject" Target="embeddings/oleObject6767.bin"/><Relationship Id="rId970" Type="http://schemas.openxmlformats.org/officeDocument/2006/relationships/oleObject" Target="embeddings/oleObject476.bin"/><Relationship Id="rId1253" Type="http://schemas.openxmlformats.org/officeDocument/2006/relationships/oleObject" Target="embeddings/oleObject616.bin"/><Relationship Id="rId2651" Type="http://schemas.openxmlformats.org/officeDocument/2006/relationships/oleObject" Target="embeddings/oleObject1313.bin"/><Relationship Id="rId3702" Type="http://schemas.openxmlformats.org/officeDocument/2006/relationships/image" Target="media/image1862.wmf"/><Relationship Id="rId11194" Type="http://schemas.openxmlformats.org/officeDocument/2006/relationships/oleObject" Target="embeddings/oleObject5550.bin"/><Relationship Id="rId12245" Type="http://schemas.openxmlformats.org/officeDocument/2006/relationships/oleObject" Target="embeddings/oleObject6074.bin"/><Relationship Id="rId623" Type="http://schemas.openxmlformats.org/officeDocument/2006/relationships/oleObject" Target="embeddings/oleObject301.bin"/><Relationship Id="rId2304" Type="http://schemas.openxmlformats.org/officeDocument/2006/relationships/oleObject" Target="embeddings/oleObject1139.bin"/><Relationship Id="rId5874" Type="http://schemas.openxmlformats.org/officeDocument/2006/relationships/oleObject" Target="embeddings/oleObject2926.bin"/><Relationship Id="rId6925" Type="http://schemas.openxmlformats.org/officeDocument/2006/relationships/image" Target="media/image3472.wmf"/><Relationship Id="rId4476" Type="http://schemas.openxmlformats.org/officeDocument/2006/relationships/image" Target="media/image2248.wmf"/><Relationship Id="rId5527" Type="http://schemas.openxmlformats.org/officeDocument/2006/relationships/image" Target="media/image2774.wmf"/><Relationship Id="rId3078" Type="http://schemas.openxmlformats.org/officeDocument/2006/relationships/oleObject" Target="embeddings/oleObject1527.bin"/><Relationship Id="rId4129" Type="http://schemas.openxmlformats.org/officeDocument/2006/relationships/image" Target="media/image2075.wmf"/><Relationship Id="rId7699" Type="http://schemas.openxmlformats.org/officeDocument/2006/relationships/oleObject" Target="embeddings/oleObject3834.bin"/><Relationship Id="rId8000" Type="http://schemas.openxmlformats.org/officeDocument/2006/relationships/image" Target="media/image4009.wmf"/><Relationship Id="rId14551" Type="http://schemas.openxmlformats.org/officeDocument/2006/relationships/image" Target="media/image7290.wmf"/><Relationship Id="rId4610" Type="http://schemas.openxmlformats.org/officeDocument/2006/relationships/image" Target="media/image2315.wmf"/><Relationship Id="rId13153" Type="http://schemas.openxmlformats.org/officeDocument/2006/relationships/image" Target="media/image6591.wmf"/><Relationship Id="rId14204" Type="http://schemas.openxmlformats.org/officeDocument/2006/relationships/oleObject" Target="embeddings/oleObject7048.bin"/><Relationship Id="rId480" Type="http://schemas.openxmlformats.org/officeDocument/2006/relationships/oleObject" Target="embeddings/oleObject231.bin"/><Relationship Id="rId2161" Type="http://schemas.openxmlformats.org/officeDocument/2006/relationships/oleObject" Target="embeddings/oleObject1068.bin"/><Relationship Id="rId3212" Type="http://schemas.openxmlformats.org/officeDocument/2006/relationships/oleObject" Target="embeddings/oleObject1594.bin"/><Relationship Id="rId133" Type="http://schemas.openxmlformats.org/officeDocument/2006/relationships/image" Target="media/image64.wmf"/><Relationship Id="rId5384" Type="http://schemas.openxmlformats.org/officeDocument/2006/relationships/oleObject" Target="embeddings/oleObject2681.bin"/><Relationship Id="rId6782" Type="http://schemas.openxmlformats.org/officeDocument/2006/relationships/oleObject" Target="embeddings/oleObject3378.bin"/><Relationship Id="rId7833" Type="http://schemas.openxmlformats.org/officeDocument/2006/relationships/oleObject" Target="embeddings/oleObject3901.bin"/><Relationship Id="rId10814" Type="http://schemas.openxmlformats.org/officeDocument/2006/relationships/image" Target="media/image5416.wmf"/><Relationship Id="rId5037" Type="http://schemas.openxmlformats.org/officeDocument/2006/relationships/oleObject" Target="embeddings/oleObject2508.bin"/><Relationship Id="rId6435" Type="http://schemas.openxmlformats.org/officeDocument/2006/relationships/image" Target="media/image3227.wmf"/><Relationship Id="rId12986" Type="http://schemas.openxmlformats.org/officeDocument/2006/relationships/oleObject" Target="embeddings/oleObject6442.bin"/><Relationship Id="rId1994" Type="http://schemas.openxmlformats.org/officeDocument/2006/relationships/image" Target="media/image1003.wmf"/><Relationship Id="rId9658" Type="http://schemas.openxmlformats.org/officeDocument/2006/relationships/image" Target="media/image4838.wmf"/><Relationship Id="rId11588" Type="http://schemas.openxmlformats.org/officeDocument/2006/relationships/oleObject" Target="embeddings/oleObject5747.bin"/><Relationship Id="rId12639" Type="http://schemas.openxmlformats.org/officeDocument/2006/relationships/image" Target="media/image6334.wmf"/><Relationship Id="rId1647" Type="http://schemas.openxmlformats.org/officeDocument/2006/relationships/oleObject" Target="embeddings/oleObject811.bin"/><Relationship Id="rId14061" Type="http://schemas.openxmlformats.org/officeDocument/2006/relationships/image" Target="media/image7045.wmf"/><Relationship Id="rId4120" Type="http://schemas.openxmlformats.org/officeDocument/2006/relationships/oleObject" Target="embeddings/oleObject2051.bin"/><Relationship Id="rId7690" Type="http://schemas.openxmlformats.org/officeDocument/2006/relationships/image" Target="media/image3854.wmf"/><Relationship Id="rId8741" Type="http://schemas.openxmlformats.org/officeDocument/2006/relationships/image" Target="media/image4380.wmf"/><Relationship Id="rId6292" Type="http://schemas.openxmlformats.org/officeDocument/2006/relationships/oleObject" Target="embeddings/oleObject3135.bin"/><Relationship Id="rId7343" Type="http://schemas.openxmlformats.org/officeDocument/2006/relationships/oleObject" Target="embeddings/oleObject3656.bin"/><Relationship Id="rId10671" Type="http://schemas.openxmlformats.org/officeDocument/2006/relationships/oleObject" Target="embeddings/oleObject5300.bin"/><Relationship Id="rId11722" Type="http://schemas.openxmlformats.org/officeDocument/2006/relationships/image" Target="media/image5874.wmf"/><Relationship Id="rId10324" Type="http://schemas.openxmlformats.org/officeDocument/2006/relationships/oleObject" Target="embeddings/oleObject5129.bin"/><Relationship Id="rId13894" Type="http://schemas.openxmlformats.org/officeDocument/2006/relationships/oleObject" Target="embeddings/oleObject6893.bin"/><Relationship Id="rId3953" Type="http://schemas.openxmlformats.org/officeDocument/2006/relationships/oleObject" Target="embeddings/oleObject1967.bin"/><Relationship Id="rId9168" Type="http://schemas.openxmlformats.org/officeDocument/2006/relationships/image" Target="media/image4593.wmf"/><Relationship Id="rId12496" Type="http://schemas.openxmlformats.org/officeDocument/2006/relationships/oleObject" Target="embeddings/oleObject6197.bin"/><Relationship Id="rId13547" Type="http://schemas.openxmlformats.org/officeDocument/2006/relationships/oleObject" Target="embeddings/oleObject6719.bin"/><Relationship Id="rId874" Type="http://schemas.openxmlformats.org/officeDocument/2006/relationships/image" Target="media/image442.wmf"/><Relationship Id="rId2555" Type="http://schemas.openxmlformats.org/officeDocument/2006/relationships/oleObject" Target="embeddings/oleObject1265.bin"/><Relationship Id="rId3606" Type="http://schemas.openxmlformats.org/officeDocument/2006/relationships/image" Target="media/image1814.wmf"/><Relationship Id="rId11098" Type="http://schemas.openxmlformats.org/officeDocument/2006/relationships/oleObject" Target="embeddings/oleObject5502.bin"/><Relationship Id="rId12149" Type="http://schemas.openxmlformats.org/officeDocument/2006/relationships/oleObject" Target="embeddings/oleObject6026.bin"/><Relationship Id="rId527" Type="http://schemas.openxmlformats.org/officeDocument/2006/relationships/image" Target="media/image263.wmf"/><Relationship Id="rId1157" Type="http://schemas.openxmlformats.org/officeDocument/2006/relationships/image" Target="media/image584.wmf"/><Relationship Id="rId2208" Type="http://schemas.openxmlformats.org/officeDocument/2006/relationships/image" Target="media/image1110.wmf"/><Relationship Id="rId5778" Type="http://schemas.openxmlformats.org/officeDocument/2006/relationships/oleObject" Target="embeddings/oleObject2878.bin"/><Relationship Id="rId6829" Type="http://schemas.openxmlformats.org/officeDocument/2006/relationships/image" Target="media/image3424.wmf"/><Relationship Id="rId12630" Type="http://schemas.openxmlformats.org/officeDocument/2006/relationships/oleObject" Target="embeddings/oleObject6264.bin"/><Relationship Id="rId8251" Type="http://schemas.openxmlformats.org/officeDocument/2006/relationships/oleObject" Target="embeddings/oleObject4110.bin"/><Relationship Id="rId9302" Type="http://schemas.openxmlformats.org/officeDocument/2006/relationships/image" Target="media/image4660.wmf"/><Relationship Id="rId10181" Type="http://schemas.openxmlformats.org/officeDocument/2006/relationships/image" Target="media/image5099.wmf"/><Relationship Id="rId11232" Type="http://schemas.openxmlformats.org/officeDocument/2006/relationships/oleObject" Target="embeddings/oleObject5569.bin"/><Relationship Id="rId3463" Type="http://schemas.openxmlformats.org/officeDocument/2006/relationships/oleObject" Target="embeddings/oleObject1722.bin"/><Relationship Id="rId4861" Type="http://schemas.openxmlformats.org/officeDocument/2006/relationships/oleObject" Target="embeddings/oleObject2421.bin"/><Relationship Id="rId5912" Type="http://schemas.openxmlformats.org/officeDocument/2006/relationships/oleObject" Target="embeddings/oleObject2945.bin"/><Relationship Id="rId13057" Type="http://schemas.openxmlformats.org/officeDocument/2006/relationships/image" Target="media/image6543.wmf"/><Relationship Id="rId14455" Type="http://schemas.openxmlformats.org/officeDocument/2006/relationships/image" Target="media/image7242.wmf"/><Relationship Id="rId384" Type="http://schemas.openxmlformats.org/officeDocument/2006/relationships/oleObject" Target="embeddings/oleObject186.bin"/><Relationship Id="rId2065" Type="http://schemas.openxmlformats.org/officeDocument/2006/relationships/oleObject" Target="embeddings/oleObject1020.bin"/><Relationship Id="rId3116" Type="http://schemas.openxmlformats.org/officeDocument/2006/relationships/oleObject" Target="embeddings/oleObject1546.bin"/><Relationship Id="rId4514" Type="http://schemas.openxmlformats.org/officeDocument/2006/relationships/image" Target="media/image2267.wmf"/><Relationship Id="rId14108" Type="http://schemas.openxmlformats.org/officeDocument/2006/relationships/oleObject" Target="embeddings/oleObject7000.bin"/><Relationship Id="rId6686" Type="http://schemas.openxmlformats.org/officeDocument/2006/relationships/oleObject" Target="embeddings/oleObject3330.bin"/><Relationship Id="rId7737" Type="http://schemas.openxmlformats.org/officeDocument/2006/relationships/oleObject" Target="embeddings/oleObject3853.bin"/><Relationship Id="rId10718" Type="http://schemas.openxmlformats.org/officeDocument/2006/relationships/image" Target="media/image5368.wmf"/><Relationship Id="rId5288" Type="http://schemas.openxmlformats.org/officeDocument/2006/relationships/oleObject" Target="embeddings/oleObject2633.bin"/><Relationship Id="rId6339" Type="http://schemas.openxmlformats.org/officeDocument/2006/relationships/image" Target="media/image3179.wmf"/><Relationship Id="rId12140" Type="http://schemas.openxmlformats.org/officeDocument/2006/relationships/image" Target="media/image6083.wmf"/><Relationship Id="rId1898" Type="http://schemas.openxmlformats.org/officeDocument/2006/relationships/image" Target="media/image955.wmf"/><Relationship Id="rId2949" Type="http://schemas.openxmlformats.org/officeDocument/2006/relationships/image" Target="media/image1484.wmf"/><Relationship Id="rId6820" Type="http://schemas.openxmlformats.org/officeDocument/2006/relationships/oleObject" Target="embeddings/oleObject3395.bin"/><Relationship Id="rId4371" Type="http://schemas.openxmlformats.org/officeDocument/2006/relationships/oleObject" Target="embeddings/oleObject2177.bin"/><Relationship Id="rId5422" Type="http://schemas.openxmlformats.org/officeDocument/2006/relationships/oleObject" Target="embeddings/oleObject2700.bin"/><Relationship Id="rId4024" Type="http://schemas.openxmlformats.org/officeDocument/2006/relationships/oleObject" Target="embeddings/oleObject2003.bin"/><Relationship Id="rId7594" Type="http://schemas.openxmlformats.org/officeDocument/2006/relationships/image" Target="media/image3806.wmf"/><Relationship Id="rId8992" Type="http://schemas.openxmlformats.org/officeDocument/2006/relationships/oleObject" Target="embeddings/oleObject4476.bin"/><Relationship Id="rId11973" Type="http://schemas.openxmlformats.org/officeDocument/2006/relationships/oleObject" Target="embeddings/oleObject5938.bin"/><Relationship Id="rId6196" Type="http://schemas.openxmlformats.org/officeDocument/2006/relationships/oleObject" Target="embeddings/oleObject3087.bin"/><Relationship Id="rId7247" Type="http://schemas.openxmlformats.org/officeDocument/2006/relationships/oleObject" Target="embeddings/oleObject3608.bin"/><Relationship Id="rId8645" Type="http://schemas.openxmlformats.org/officeDocument/2006/relationships/oleObject" Target="embeddings/oleObject4307.bin"/><Relationship Id="rId10575" Type="http://schemas.openxmlformats.org/officeDocument/2006/relationships/oleObject" Target="embeddings/oleObject5252.bin"/><Relationship Id="rId11626" Type="http://schemas.openxmlformats.org/officeDocument/2006/relationships/oleObject" Target="embeddings/oleObject5766.bin"/><Relationship Id="rId10228" Type="http://schemas.openxmlformats.org/officeDocument/2006/relationships/oleObject" Target="embeddings/oleObject5081.bin"/><Relationship Id="rId13798" Type="http://schemas.openxmlformats.org/officeDocument/2006/relationships/oleObject" Target="embeddings/oleObject6845.bin"/><Relationship Id="rId3857" Type="http://schemas.openxmlformats.org/officeDocument/2006/relationships/oleObject" Target="embeddings/oleObject1919.bin"/><Relationship Id="rId4908" Type="http://schemas.openxmlformats.org/officeDocument/2006/relationships/image" Target="media/image2464.wmf"/><Relationship Id="rId778" Type="http://schemas.openxmlformats.org/officeDocument/2006/relationships/image" Target="media/image394.wmf"/><Relationship Id="rId2459" Type="http://schemas.openxmlformats.org/officeDocument/2006/relationships/image" Target="media/image1239.emf"/><Relationship Id="rId6330" Type="http://schemas.openxmlformats.org/officeDocument/2006/relationships/oleObject" Target="embeddings/oleObject3155.bin"/><Relationship Id="rId9553" Type="http://schemas.openxmlformats.org/officeDocument/2006/relationships/oleObject" Target="embeddings/oleObject4755.bin"/><Relationship Id="rId12881" Type="http://schemas.openxmlformats.org/officeDocument/2006/relationships/image" Target="media/image6455.wmf"/><Relationship Id="rId13932" Type="http://schemas.openxmlformats.org/officeDocument/2006/relationships/oleObject" Target="embeddings/oleObject6912.bin"/><Relationship Id="rId1542" Type="http://schemas.openxmlformats.org/officeDocument/2006/relationships/image" Target="media/image776.wmf"/><Relationship Id="rId2940" Type="http://schemas.openxmlformats.org/officeDocument/2006/relationships/oleObject" Target="embeddings/oleObject1458.bin"/><Relationship Id="rId8155" Type="http://schemas.openxmlformats.org/officeDocument/2006/relationships/oleObject" Target="embeddings/oleObject4062.bin"/><Relationship Id="rId9206" Type="http://schemas.openxmlformats.org/officeDocument/2006/relationships/image" Target="media/image4612.wmf"/><Relationship Id="rId10085" Type="http://schemas.openxmlformats.org/officeDocument/2006/relationships/image" Target="media/image5051.wmf"/><Relationship Id="rId11136" Type="http://schemas.openxmlformats.org/officeDocument/2006/relationships/oleObject" Target="embeddings/oleObject5521.bin"/><Relationship Id="rId11483" Type="http://schemas.openxmlformats.org/officeDocument/2006/relationships/image" Target="media/image5753.wmf"/><Relationship Id="rId12534" Type="http://schemas.openxmlformats.org/officeDocument/2006/relationships/oleObject" Target="embeddings/oleObject6216.bin"/><Relationship Id="rId912" Type="http://schemas.openxmlformats.org/officeDocument/2006/relationships/image" Target="media/image461.wmf"/><Relationship Id="rId4765" Type="http://schemas.openxmlformats.org/officeDocument/2006/relationships/oleObject" Target="embeddings/oleObject2374.bin"/><Relationship Id="rId5816" Type="http://schemas.openxmlformats.org/officeDocument/2006/relationships/oleObject" Target="embeddings/oleObject2897.bin"/><Relationship Id="rId14359" Type="http://schemas.openxmlformats.org/officeDocument/2006/relationships/image" Target="media/image7194.wmf"/><Relationship Id="rId288" Type="http://schemas.openxmlformats.org/officeDocument/2006/relationships/image" Target="media/image143.wmf"/><Relationship Id="rId3367" Type="http://schemas.openxmlformats.org/officeDocument/2006/relationships/oleObject" Target="embeddings/oleObject1672.bin"/><Relationship Id="rId4418" Type="http://schemas.openxmlformats.org/officeDocument/2006/relationships/image" Target="media/image2219.wmf"/><Relationship Id="rId7988" Type="http://schemas.openxmlformats.org/officeDocument/2006/relationships/image" Target="media/image4003.wmf"/><Relationship Id="rId10969" Type="http://schemas.openxmlformats.org/officeDocument/2006/relationships/oleObject" Target="embeddings/oleObject5440.bin"/><Relationship Id="rId12391" Type="http://schemas.openxmlformats.org/officeDocument/2006/relationships/image" Target="media/image6210.wmf"/><Relationship Id="rId13442" Type="http://schemas.openxmlformats.org/officeDocument/2006/relationships/image" Target="media/image6736.wmf"/><Relationship Id="rId2450" Type="http://schemas.openxmlformats.org/officeDocument/2006/relationships/image" Target="media/image1234.wmf"/><Relationship Id="rId3501" Type="http://schemas.openxmlformats.org/officeDocument/2006/relationships/oleObject" Target="embeddings/oleObject1741.bin"/><Relationship Id="rId9063" Type="http://schemas.openxmlformats.org/officeDocument/2006/relationships/image" Target="media/image4541.wmf"/><Relationship Id="rId12044" Type="http://schemas.openxmlformats.org/officeDocument/2006/relationships/image" Target="media/image6035.wmf"/><Relationship Id="rId422" Type="http://schemas.openxmlformats.org/officeDocument/2006/relationships/oleObject" Target="embeddings/oleObject205.bin"/><Relationship Id="rId1052" Type="http://schemas.openxmlformats.org/officeDocument/2006/relationships/oleObject" Target="embeddings/oleObject517.bin"/><Relationship Id="rId2103" Type="http://schemas.openxmlformats.org/officeDocument/2006/relationships/oleObject" Target="embeddings/oleObject1039.bin"/><Relationship Id="rId5673" Type="http://schemas.openxmlformats.org/officeDocument/2006/relationships/image" Target="media/image2847.wmf"/><Relationship Id="rId4275" Type="http://schemas.openxmlformats.org/officeDocument/2006/relationships/image" Target="media/image2148.wmf"/><Relationship Id="rId5326" Type="http://schemas.openxmlformats.org/officeDocument/2006/relationships/oleObject" Target="embeddings/oleObject2652.bin"/><Relationship Id="rId6724" Type="http://schemas.openxmlformats.org/officeDocument/2006/relationships/oleObject" Target="embeddings/oleObject3349.bin"/><Relationship Id="rId8896" Type="http://schemas.openxmlformats.org/officeDocument/2006/relationships/oleObject" Target="embeddings/oleObject4428.bin"/><Relationship Id="rId9947" Type="http://schemas.openxmlformats.org/officeDocument/2006/relationships/image" Target="media/image4982.wmf"/><Relationship Id="rId11877" Type="http://schemas.openxmlformats.org/officeDocument/2006/relationships/oleObject" Target="embeddings/oleObject5890.bin"/><Relationship Id="rId12928" Type="http://schemas.openxmlformats.org/officeDocument/2006/relationships/oleObject" Target="embeddings/oleObject6413.bin"/><Relationship Id="rId1936" Type="http://schemas.openxmlformats.org/officeDocument/2006/relationships/image" Target="media/image974.wmf"/><Relationship Id="rId7498" Type="http://schemas.openxmlformats.org/officeDocument/2006/relationships/image" Target="media/image3758.wmf"/><Relationship Id="rId8549" Type="http://schemas.openxmlformats.org/officeDocument/2006/relationships/oleObject" Target="embeddings/oleObject4259.bin"/><Relationship Id="rId10479" Type="http://schemas.openxmlformats.org/officeDocument/2006/relationships/oleObject" Target="embeddings/oleObject5204.bin"/><Relationship Id="rId14350" Type="http://schemas.openxmlformats.org/officeDocument/2006/relationships/oleObject" Target="embeddings/oleObject7121.bin"/><Relationship Id="rId14003" Type="http://schemas.openxmlformats.org/officeDocument/2006/relationships/image" Target="media/image7016.wmf"/><Relationship Id="rId3011" Type="http://schemas.openxmlformats.org/officeDocument/2006/relationships/image" Target="media/image1515.wmf"/><Relationship Id="rId6581" Type="http://schemas.openxmlformats.org/officeDocument/2006/relationships/image" Target="media/image3300.wmf"/><Relationship Id="rId7632" Type="http://schemas.openxmlformats.org/officeDocument/2006/relationships/image" Target="media/image3825.wmf"/><Relationship Id="rId10960" Type="http://schemas.openxmlformats.org/officeDocument/2006/relationships/image" Target="media/image5490.wmf"/><Relationship Id="rId5183" Type="http://schemas.openxmlformats.org/officeDocument/2006/relationships/oleObject" Target="embeddings/oleObject2581.bin"/><Relationship Id="rId6234" Type="http://schemas.openxmlformats.org/officeDocument/2006/relationships/oleObject" Target="embeddings/oleObject3106.bin"/><Relationship Id="rId10613" Type="http://schemas.openxmlformats.org/officeDocument/2006/relationships/oleObject" Target="embeddings/oleObject5271.bin"/><Relationship Id="rId9457" Type="http://schemas.openxmlformats.org/officeDocument/2006/relationships/oleObject" Target="embeddings/oleObject4707.bin"/><Relationship Id="rId12785" Type="http://schemas.openxmlformats.org/officeDocument/2006/relationships/image" Target="media/image6407.wmf"/><Relationship Id="rId13836" Type="http://schemas.openxmlformats.org/officeDocument/2006/relationships/oleObject" Target="embeddings/oleObject6864.bin"/><Relationship Id="rId1793" Type="http://schemas.openxmlformats.org/officeDocument/2006/relationships/oleObject" Target="embeddings/oleObject884.bin"/><Relationship Id="rId2844" Type="http://schemas.openxmlformats.org/officeDocument/2006/relationships/oleObject" Target="embeddings/oleObject1410.bin"/><Relationship Id="rId8059" Type="http://schemas.openxmlformats.org/officeDocument/2006/relationships/oleObject" Target="embeddings/oleObject4014.bin"/><Relationship Id="rId11387" Type="http://schemas.openxmlformats.org/officeDocument/2006/relationships/image" Target="media/image5705.wmf"/><Relationship Id="rId12438" Type="http://schemas.openxmlformats.org/officeDocument/2006/relationships/oleObject" Target="embeddings/oleObject6168.bin"/><Relationship Id="rId816" Type="http://schemas.openxmlformats.org/officeDocument/2006/relationships/image" Target="media/image413.wmf"/><Relationship Id="rId1446" Type="http://schemas.openxmlformats.org/officeDocument/2006/relationships/image" Target="media/image728.wmf"/><Relationship Id="rId4669" Type="http://schemas.openxmlformats.org/officeDocument/2006/relationships/oleObject" Target="embeddings/oleObject2326.bin"/><Relationship Id="rId8540" Type="http://schemas.openxmlformats.org/officeDocument/2006/relationships/image" Target="media/image4279.wmf"/><Relationship Id="rId10470" Type="http://schemas.openxmlformats.org/officeDocument/2006/relationships/image" Target="media/image5244.wmf"/><Relationship Id="rId11521" Type="http://schemas.openxmlformats.org/officeDocument/2006/relationships/image" Target="media/image5772.wmf"/><Relationship Id="rId6091" Type="http://schemas.openxmlformats.org/officeDocument/2006/relationships/image" Target="media/image3056.wmf"/><Relationship Id="rId7142" Type="http://schemas.openxmlformats.org/officeDocument/2006/relationships/image" Target="media/image3580.wmf"/><Relationship Id="rId10123" Type="http://schemas.openxmlformats.org/officeDocument/2006/relationships/image" Target="media/image5070.wmf"/><Relationship Id="rId13693" Type="http://schemas.openxmlformats.org/officeDocument/2006/relationships/image" Target="media/image6861.wmf"/><Relationship Id="rId3752" Type="http://schemas.openxmlformats.org/officeDocument/2006/relationships/image" Target="media/image1887.wmf"/><Relationship Id="rId12295" Type="http://schemas.openxmlformats.org/officeDocument/2006/relationships/image" Target="media/image6162.wmf"/><Relationship Id="rId13346" Type="http://schemas.openxmlformats.org/officeDocument/2006/relationships/image" Target="media/image6688.wmf"/><Relationship Id="rId673" Type="http://schemas.openxmlformats.org/officeDocument/2006/relationships/oleObject" Target="embeddings/oleObject325.bin"/><Relationship Id="rId2354" Type="http://schemas.openxmlformats.org/officeDocument/2006/relationships/oleObject" Target="embeddings/oleObject1166.bin"/><Relationship Id="rId3405" Type="http://schemas.openxmlformats.org/officeDocument/2006/relationships/oleObject" Target="embeddings/oleObject1692.bin"/><Relationship Id="rId4803" Type="http://schemas.openxmlformats.org/officeDocument/2006/relationships/oleObject" Target="embeddings/oleObject2392.bin"/><Relationship Id="rId326" Type="http://schemas.openxmlformats.org/officeDocument/2006/relationships/image" Target="media/image162.wmf"/><Relationship Id="rId2007" Type="http://schemas.openxmlformats.org/officeDocument/2006/relationships/oleObject" Target="embeddings/oleObject991.bin"/><Relationship Id="rId6975" Type="http://schemas.openxmlformats.org/officeDocument/2006/relationships/image" Target="media/image3497.wmf"/><Relationship Id="rId4179" Type="http://schemas.openxmlformats.org/officeDocument/2006/relationships/image" Target="media/image2100.wmf"/><Relationship Id="rId5577" Type="http://schemas.openxmlformats.org/officeDocument/2006/relationships/image" Target="media/image2799.wmf"/><Relationship Id="rId6628" Type="http://schemas.openxmlformats.org/officeDocument/2006/relationships/oleObject" Target="embeddings/oleObject3301.bin"/><Relationship Id="rId8050" Type="http://schemas.openxmlformats.org/officeDocument/2006/relationships/image" Target="media/image4034.wmf"/><Relationship Id="rId9101" Type="http://schemas.openxmlformats.org/officeDocument/2006/relationships/image" Target="media/image4560.wmf"/><Relationship Id="rId11031" Type="http://schemas.openxmlformats.org/officeDocument/2006/relationships/oleObject" Target="embeddings/oleObject5471.bin"/><Relationship Id="rId4660" Type="http://schemas.openxmlformats.org/officeDocument/2006/relationships/image" Target="media/image2340.wmf"/><Relationship Id="rId5711" Type="http://schemas.openxmlformats.org/officeDocument/2006/relationships/image" Target="media/image2866.wmf"/><Relationship Id="rId14254" Type="http://schemas.openxmlformats.org/officeDocument/2006/relationships/oleObject" Target="embeddings/oleObject7073.bin"/><Relationship Id="rId3262" Type="http://schemas.openxmlformats.org/officeDocument/2006/relationships/image" Target="media/image1640.wmf"/><Relationship Id="rId4313" Type="http://schemas.openxmlformats.org/officeDocument/2006/relationships/image" Target="media/image2167.wmf"/><Relationship Id="rId7883" Type="http://schemas.openxmlformats.org/officeDocument/2006/relationships/oleObject" Target="embeddings/oleObject3926.bin"/><Relationship Id="rId183" Type="http://schemas.openxmlformats.org/officeDocument/2006/relationships/oleObject" Target="embeddings/oleObject86.bin"/><Relationship Id="rId6485" Type="http://schemas.openxmlformats.org/officeDocument/2006/relationships/image" Target="media/image3252.wmf"/><Relationship Id="rId7536" Type="http://schemas.openxmlformats.org/officeDocument/2006/relationships/image" Target="media/image3777.wmf"/><Relationship Id="rId8934" Type="http://schemas.openxmlformats.org/officeDocument/2006/relationships/oleObject" Target="embeddings/oleObject4447.bin"/><Relationship Id="rId10864" Type="http://schemas.openxmlformats.org/officeDocument/2006/relationships/image" Target="media/image5441.wmf"/><Relationship Id="rId11915" Type="http://schemas.openxmlformats.org/officeDocument/2006/relationships/oleObject" Target="embeddings/oleObject5909.bin"/><Relationship Id="rId5087" Type="http://schemas.openxmlformats.org/officeDocument/2006/relationships/oleObject" Target="embeddings/oleObject2533.bin"/><Relationship Id="rId6138" Type="http://schemas.openxmlformats.org/officeDocument/2006/relationships/oleObject" Target="embeddings/oleObject3058.bin"/><Relationship Id="rId10517" Type="http://schemas.openxmlformats.org/officeDocument/2006/relationships/oleObject" Target="embeddings/oleObject5223.bin"/><Relationship Id="rId12689" Type="http://schemas.openxmlformats.org/officeDocument/2006/relationships/image" Target="media/image6359.wmf"/><Relationship Id="rId1697" Type="http://schemas.openxmlformats.org/officeDocument/2006/relationships/oleObject" Target="embeddings/oleObject836.bin"/><Relationship Id="rId2748" Type="http://schemas.openxmlformats.org/officeDocument/2006/relationships/image" Target="media/image1384.wmf"/><Relationship Id="rId4170" Type="http://schemas.openxmlformats.org/officeDocument/2006/relationships/oleObject" Target="embeddings/oleObject2076.bin"/><Relationship Id="rId5221" Type="http://schemas.openxmlformats.org/officeDocument/2006/relationships/image" Target="media/image2621.wmf"/><Relationship Id="rId8791" Type="http://schemas.openxmlformats.org/officeDocument/2006/relationships/image" Target="media/image4405.wmf"/><Relationship Id="rId9842" Type="http://schemas.openxmlformats.org/officeDocument/2006/relationships/oleObject" Target="embeddings/oleObject4893.bin"/><Relationship Id="rId56" Type="http://schemas.openxmlformats.org/officeDocument/2006/relationships/oleObject" Target="embeddings/oleObject24.bin"/><Relationship Id="rId1831" Type="http://schemas.openxmlformats.org/officeDocument/2006/relationships/oleObject" Target="embeddings/oleObject903.bin"/><Relationship Id="rId7393" Type="http://schemas.openxmlformats.org/officeDocument/2006/relationships/oleObject" Target="embeddings/oleObject3681.bin"/><Relationship Id="rId8444" Type="http://schemas.openxmlformats.org/officeDocument/2006/relationships/image" Target="media/image4231.wmf"/><Relationship Id="rId10374" Type="http://schemas.openxmlformats.org/officeDocument/2006/relationships/oleObject" Target="embeddings/oleObject5154.bin"/><Relationship Id="rId11425" Type="http://schemas.openxmlformats.org/officeDocument/2006/relationships/image" Target="media/image5724.wmf"/><Relationship Id="rId11772" Type="http://schemas.openxmlformats.org/officeDocument/2006/relationships/image" Target="media/image5899.wmf"/><Relationship Id="rId12823" Type="http://schemas.openxmlformats.org/officeDocument/2006/relationships/image" Target="media/image6426.wmf"/><Relationship Id="rId7046" Type="http://schemas.openxmlformats.org/officeDocument/2006/relationships/oleObject" Target="embeddings/oleObject3508.bin"/><Relationship Id="rId10027" Type="http://schemas.openxmlformats.org/officeDocument/2006/relationships/image" Target="media/image5022.wmf"/><Relationship Id="rId12199" Type="http://schemas.openxmlformats.org/officeDocument/2006/relationships/oleObject" Target="embeddings/oleObject6051.bin"/><Relationship Id="rId13597" Type="http://schemas.openxmlformats.org/officeDocument/2006/relationships/oleObject" Target="embeddings/oleObject6744.bin"/><Relationship Id="rId577" Type="http://schemas.openxmlformats.org/officeDocument/2006/relationships/oleObject" Target="embeddings/oleObject278.bin"/><Relationship Id="rId2258" Type="http://schemas.openxmlformats.org/officeDocument/2006/relationships/oleObject" Target="embeddings/oleObject1116.bin"/><Relationship Id="rId3656" Type="http://schemas.openxmlformats.org/officeDocument/2006/relationships/image" Target="media/image1839.wmf"/><Relationship Id="rId4707" Type="http://schemas.openxmlformats.org/officeDocument/2006/relationships/oleObject" Target="embeddings/oleObject2345.bin"/><Relationship Id="rId3309" Type="http://schemas.openxmlformats.org/officeDocument/2006/relationships/oleObject" Target="embeddings/oleObject1643.bin"/><Relationship Id="rId6879" Type="http://schemas.openxmlformats.org/officeDocument/2006/relationships/image" Target="media/image3449.wmf"/><Relationship Id="rId12680" Type="http://schemas.openxmlformats.org/officeDocument/2006/relationships/oleObject" Target="embeddings/oleObject6289.bin"/><Relationship Id="rId13731" Type="http://schemas.openxmlformats.org/officeDocument/2006/relationships/image" Target="media/image6880.wmf"/><Relationship Id="rId9352" Type="http://schemas.openxmlformats.org/officeDocument/2006/relationships/image" Target="media/image4685.wmf"/><Relationship Id="rId11282" Type="http://schemas.openxmlformats.org/officeDocument/2006/relationships/oleObject" Target="embeddings/oleObject5594.bin"/><Relationship Id="rId12333" Type="http://schemas.openxmlformats.org/officeDocument/2006/relationships/image" Target="media/image6181.wmf"/><Relationship Id="rId711" Type="http://schemas.openxmlformats.org/officeDocument/2006/relationships/oleObject" Target="embeddings/oleObject344.bin"/><Relationship Id="rId1341" Type="http://schemas.openxmlformats.org/officeDocument/2006/relationships/oleObject" Target="embeddings/oleObject660.bin"/><Relationship Id="rId5962" Type="http://schemas.openxmlformats.org/officeDocument/2006/relationships/oleObject" Target="embeddings/oleObject2970.bin"/><Relationship Id="rId9005" Type="http://schemas.openxmlformats.org/officeDocument/2006/relationships/image" Target="media/image4512.wmf"/><Relationship Id="rId4564" Type="http://schemas.openxmlformats.org/officeDocument/2006/relationships/image" Target="media/image2292.wmf"/><Relationship Id="rId5615" Type="http://schemas.openxmlformats.org/officeDocument/2006/relationships/image" Target="media/image2818.wmf"/><Relationship Id="rId14158" Type="http://schemas.openxmlformats.org/officeDocument/2006/relationships/oleObject" Target="embeddings/oleObject7025.bin"/><Relationship Id="rId3166" Type="http://schemas.openxmlformats.org/officeDocument/2006/relationships/oleObject" Target="embeddings/oleObject1571.bin"/><Relationship Id="rId4217" Type="http://schemas.openxmlformats.org/officeDocument/2006/relationships/image" Target="media/image2119.wmf"/><Relationship Id="rId6389" Type="http://schemas.openxmlformats.org/officeDocument/2006/relationships/image" Target="media/image3204.wmf"/><Relationship Id="rId7787" Type="http://schemas.openxmlformats.org/officeDocument/2006/relationships/oleObject" Target="embeddings/oleObject3878.bin"/><Relationship Id="rId8838" Type="http://schemas.openxmlformats.org/officeDocument/2006/relationships/oleObject" Target="embeddings/oleObject4402.bin"/><Relationship Id="rId10768" Type="http://schemas.openxmlformats.org/officeDocument/2006/relationships/image" Target="media/image5393.wmf"/><Relationship Id="rId11819" Type="http://schemas.openxmlformats.org/officeDocument/2006/relationships/oleObject" Target="embeddings/oleObject5861.bin"/><Relationship Id="rId12190" Type="http://schemas.openxmlformats.org/officeDocument/2006/relationships/image" Target="media/image6108.wmf"/><Relationship Id="rId13241" Type="http://schemas.openxmlformats.org/officeDocument/2006/relationships/image" Target="media/image6635.wmf"/><Relationship Id="rId2999" Type="http://schemas.openxmlformats.org/officeDocument/2006/relationships/image" Target="media/image1509.wmf"/><Relationship Id="rId3300" Type="http://schemas.openxmlformats.org/officeDocument/2006/relationships/image" Target="media/image1659.wmf"/><Relationship Id="rId6870" Type="http://schemas.openxmlformats.org/officeDocument/2006/relationships/oleObject" Target="embeddings/oleObject3420.bin"/><Relationship Id="rId7921" Type="http://schemas.openxmlformats.org/officeDocument/2006/relationships/oleObject" Target="embeddings/oleObject3945.bin"/><Relationship Id="rId221" Type="http://schemas.openxmlformats.org/officeDocument/2006/relationships/oleObject" Target="embeddings/oleObject105.bin"/><Relationship Id="rId5472" Type="http://schemas.openxmlformats.org/officeDocument/2006/relationships/oleObject" Target="embeddings/oleObject2725.bin"/><Relationship Id="rId6523" Type="http://schemas.openxmlformats.org/officeDocument/2006/relationships/image" Target="media/image3271.wmf"/><Relationship Id="rId10902" Type="http://schemas.openxmlformats.org/officeDocument/2006/relationships/image" Target="media/image5460.wmf"/><Relationship Id="rId4074" Type="http://schemas.openxmlformats.org/officeDocument/2006/relationships/oleObject" Target="embeddings/oleObject2028.bin"/><Relationship Id="rId5125" Type="http://schemas.openxmlformats.org/officeDocument/2006/relationships/oleObject" Target="embeddings/oleObject2552.bin"/><Relationship Id="rId8695" Type="http://schemas.openxmlformats.org/officeDocument/2006/relationships/image" Target="media/image4357.wmf"/><Relationship Id="rId9746" Type="http://schemas.openxmlformats.org/officeDocument/2006/relationships/image" Target="media/image4882.wmf"/><Relationship Id="rId7297" Type="http://schemas.openxmlformats.org/officeDocument/2006/relationships/oleObject" Target="embeddings/oleObject3633.bin"/><Relationship Id="rId8348" Type="http://schemas.openxmlformats.org/officeDocument/2006/relationships/image" Target="media/image4183.wmf"/><Relationship Id="rId10278" Type="http://schemas.openxmlformats.org/officeDocument/2006/relationships/oleObject" Target="embeddings/oleObject5106.bin"/><Relationship Id="rId11676" Type="http://schemas.openxmlformats.org/officeDocument/2006/relationships/image" Target="media/image5851.wmf"/><Relationship Id="rId12727" Type="http://schemas.openxmlformats.org/officeDocument/2006/relationships/image" Target="media/image6378.wmf"/><Relationship Id="rId1735" Type="http://schemas.openxmlformats.org/officeDocument/2006/relationships/oleObject" Target="embeddings/oleObject855.bin"/><Relationship Id="rId11329" Type="http://schemas.openxmlformats.org/officeDocument/2006/relationships/image" Target="media/image5676.wmf"/><Relationship Id="rId4958" Type="http://schemas.openxmlformats.org/officeDocument/2006/relationships/image" Target="media/image2489.wmf"/><Relationship Id="rId11810" Type="http://schemas.openxmlformats.org/officeDocument/2006/relationships/image" Target="media/image5918.wmf"/><Relationship Id="rId6380" Type="http://schemas.openxmlformats.org/officeDocument/2006/relationships/oleObject" Target="embeddings/oleObject3180.bin"/><Relationship Id="rId7431" Type="http://schemas.openxmlformats.org/officeDocument/2006/relationships/oleObject" Target="embeddings/oleObject3700.bin"/><Relationship Id="rId10412" Type="http://schemas.openxmlformats.org/officeDocument/2006/relationships/image" Target="media/image5215.wmf"/><Relationship Id="rId13982" Type="http://schemas.openxmlformats.org/officeDocument/2006/relationships/oleObject" Target="embeddings/oleObject6937.bin"/><Relationship Id="rId2990" Type="http://schemas.openxmlformats.org/officeDocument/2006/relationships/oleObject" Target="embeddings/oleObject1483.bin"/><Relationship Id="rId6033" Type="http://schemas.openxmlformats.org/officeDocument/2006/relationships/image" Target="media/image3027.wmf"/><Relationship Id="rId12584" Type="http://schemas.openxmlformats.org/officeDocument/2006/relationships/oleObject" Target="embeddings/oleObject6241.bin"/><Relationship Id="rId13635" Type="http://schemas.openxmlformats.org/officeDocument/2006/relationships/oleObject" Target="embeddings/oleObject6763.bin"/><Relationship Id="rId962" Type="http://schemas.openxmlformats.org/officeDocument/2006/relationships/oleObject" Target="embeddings/oleObject472.bin"/><Relationship Id="rId1592" Type="http://schemas.openxmlformats.org/officeDocument/2006/relationships/image" Target="media/image802.wmf"/><Relationship Id="rId2643" Type="http://schemas.openxmlformats.org/officeDocument/2006/relationships/oleObject" Target="embeddings/oleObject1309.bin"/><Relationship Id="rId9256" Type="http://schemas.openxmlformats.org/officeDocument/2006/relationships/image" Target="media/image4637.wmf"/><Relationship Id="rId11186" Type="http://schemas.openxmlformats.org/officeDocument/2006/relationships/oleObject" Target="embeddings/oleObject5546.bin"/><Relationship Id="rId12237" Type="http://schemas.openxmlformats.org/officeDocument/2006/relationships/oleObject" Target="embeddings/oleObject6070.bin"/><Relationship Id="rId615" Type="http://schemas.openxmlformats.org/officeDocument/2006/relationships/oleObject" Target="embeddings/oleObject297.bin"/><Relationship Id="rId1245" Type="http://schemas.openxmlformats.org/officeDocument/2006/relationships/oleObject" Target="embeddings/oleObject612.bin"/><Relationship Id="rId4468" Type="http://schemas.openxmlformats.org/officeDocument/2006/relationships/image" Target="media/image2244.wmf"/><Relationship Id="rId5866" Type="http://schemas.openxmlformats.org/officeDocument/2006/relationships/oleObject" Target="embeddings/oleObject2922.bin"/><Relationship Id="rId6917" Type="http://schemas.openxmlformats.org/officeDocument/2006/relationships/image" Target="media/image3468.wmf"/><Relationship Id="rId5519" Type="http://schemas.openxmlformats.org/officeDocument/2006/relationships/image" Target="media/image2770.wmf"/><Relationship Id="rId11320" Type="http://schemas.openxmlformats.org/officeDocument/2006/relationships/oleObject" Target="embeddings/oleObject5613.bin"/><Relationship Id="rId13492" Type="http://schemas.openxmlformats.org/officeDocument/2006/relationships/image" Target="media/image6761.wmf"/><Relationship Id="rId14543" Type="http://schemas.openxmlformats.org/officeDocument/2006/relationships/image" Target="media/image7286.wmf"/><Relationship Id="rId3551" Type="http://schemas.openxmlformats.org/officeDocument/2006/relationships/oleObject" Target="embeddings/oleObject1766.bin"/><Relationship Id="rId4602" Type="http://schemas.openxmlformats.org/officeDocument/2006/relationships/image" Target="media/image2311.wmf"/><Relationship Id="rId12094" Type="http://schemas.openxmlformats.org/officeDocument/2006/relationships/image" Target="media/image6060.wmf"/><Relationship Id="rId13145" Type="http://schemas.openxmlformats.org/officeDocument/2006/relationships/image" Target="media/image6587.wmf"/><Relationship Id="rId472" Type="http://schemas.openxmlformats.org/officeDocument/2006/relationships/oleObject" Target="embeddings/oleObject227.bin"/><Relationship Id="rId2153" Type="http://schemas.openxmlformats.org/officeDocument/2006/relationships/oleObject" Target="embeddings/oleObject1064.bin"/><Relationship Id="rId3204" Type="http://schemas.openxmlformats.org/officeDocument/2006/relationships/oleObject" Target="embeddings/oleObject1590.bin"/><Relationship Id="rId6774" Type="http://schemas.openxmlformats.org/officeDocument/2006/relationships/oleObject" Target="embeddings/oleObject3374.bin"/><Relationship Id="rId7825" Type="http://schemas.openxmlformats.org/officeDocument/2006/relationships/oleObject" Target="embeddings/oleObject3897.bin"/><Relationship Id="rId125" Type="http://schemas.openxmlformats.org/officeDocument/2006/relationships/image" Target="media/image60.wmf"/><Relationship Id="rId5376" Type="http://schemas.openxmlformats.org/officeDocument/2006/relationships/oleObject" Target="embeddings/oleObject2677.bin"/><Relationship Id="rId6427" Type="http://schemas.openxmlformats.org/officeDocument/2006/relationships/image" Target="media/image3223.wmf"/><Relationship Id="rId10806" Type="http://schemas.openxmlformats.org/officeDocument/2006/relationships/image" Target="media/image5412.wmf"/><Relationship Id="rId5029" Type="http://schemas.openxmlformats.org/officeDocument/2006/relationships/oleObject" Target="embeddings/oleObject2504.bin"/><Relationship Id="rId8599" Type="http://schemas.openxmlformats.org/officeDocument/2006/relationships/oleObject" Target="embeddings/oleObject4284.bin"/><Relationship Id="rId9997" Type="http://schemas.openxmlformats.org/officeDocument/2006/relationships/image" Target="media/image5007.wmf"/><Relationship Id="rId12978" Type="http://schemas.openxmlformats.org/officeDocument/2006/relationships/oleObject" Target="embeddings/oleObject6438.bin"/><Relationship Id="rId1986" Type="http://schemas.openxmlformats.org/officeDocument/2006/relationships/image" Target="media/image999.wmf"/><Relationship Id="rId1639" Type="http://schemas.openxmlformats.org/officeDocument/2006/relationships/oleObject" Target="embeddings/oleObject807.bin"/><Relationship Id="rId3061" Type="http://schemas.openxmlformats.org/officeDocument/2006/relationships/image" Target="media/image1540.wmf"/><Relationship Id="rId5510" Type="http://schemas.openxmlformats.org/officeDocument/2006/relationships/oleObject" Target="embeddings/oleObject2744.bin"/><Relationship Id="rId14053" Type="http://schemas.openxmlformats.org/officeDocument/2006/relationships/image" Target="media/image7041.wmf"/><Relationship Id="rId4112" Type="http://schemas.openxmlformats.org/officeDocument/2006/relationships/oleObject" Target="embeddings/oleObject2047.bin"/><Relationship Id="rId7682" Type="http://schemas.openxmlformats.org/officeDocument/2006/relationships/image" Target="media/image3850.wmf"/><Relationship Id="rId8733" Type="http://schemas.openxmlformats.org/officeDocument/2006/relationships/image" Target="media/image4376.wmf"/><Relationship Id="rId10663" Type="http://schemas.openxmlformats.org/officeDocument/2006/relationships/oleObject" Target="embeddings/oleObject5296.bin"/><Relationship Id="rId11714" Type="http://schemas.openxmlformats.org/officeDocument/2006/relationships/image" Target="media/image5870.wmf"/><Relationship Id="rId6284" Type="http://schemas.openxmlformats.org/officeDocument/2006/relationships/oleObject" Target="embeddings/oleObject3131.bin"/><Relationship Id="rId7335" Type="http://schemas.openxmlformats.org/officeDocument/2006/relationships/oleObject" Target="embeddings/oleObject3652.bin"/><Relationship Id="rId10316" Type="http://schemas.openxmlformats.org/officeDocument/2006/relationships/oleObject" Target="embeddings/oleObject5125.bin"/><Relationship Id="rId2894" Type="http://schemas.openxmlformats.org/officeDocument/2006/relationships/oleObject" Target="embeddings/oleObject1435.bin"/><Relationship Id="rId12488" Type="http://schemas.openxmlformats.org/officeDocument/2006/relationships/oleObject" Target="embeddings/oleObject6193.bin"/><Relationship Id="rId13886" Type="http://schemas.openxmlformats.org/officeDocument/2006/relationships/oleObject" Target="embeddings/oleObject6889.bin"/><Relationship Id="rId866" Type="http://schemas.openxmlformats.org/officeDocument/2006/relationships/image" Target="media/image438.wmf"/><Relationship Id="rId1496" Type="http://schemas.openxmlformats.org/officeDocument/2006/relationships/image" Target="media/image753.wmf"/><Relationship Id="rId2547" Type="http://schemas.openxmlformats.org/officeDocument/2006/relationships/oleObject" Target="embeddings/oleObject1261.bin"/><Relationship Id="rId3945" Type="http://schemas.openxmlformats.org/officeDocument/2006/relationships/oleObject" Target="embeddings/oleObject1963.bin"/><Relationship Id="rId13539" Type="http://schemas.openxmlformats.org/officeDocument/2006/relationships/oleObject" Target="embeddings/oleObject6715.bin"/><Relationship Id="rId519" Type="http://schemas.openxmlformats.org/officeDocument/2006/relationships/image" Target="media/image259.wmf"/><Relationship Id="rId1149" Type="http://schemas.openxmlformats.org/officeDocument/2006/relationships/image" Target="media/image580.wmf"/><Relationship Id="rId5020" Type="http://schemas.openxmlformats.org/officeDocument/2006/relationships/image" Target="media/image2520.wmf"/><Relationship Id="rId7192" Type="http://schemas.openxmlformats.org/officeDocument/2006/relationships/image" Target="media/image3605.wmf"/><Relationship Id="rId8590" Type="http://schemas.openxmlformats.org/officeDocument/2006/relationships/image" Target="media/image4304.wmf"/><Relationship Id="rId9641" Type="http://schemas.openxmlformats.org/officeDocument/2006/relationships/oleObject" Target="embeddings/oleObject4799.bin"/><Relationship Id="rId11571" Type="http://schemas.openxmlformats.org/officeDocument/2006/relationships/image" Target="media/image5797.wmf"/><Relationship Id="rId12622" Type="http://schemas.openxmlformats.org/officeDocument/2006/relationships/oleObject" Target="embeddings/oleObject6260.bin"/><Relationship Id="rId1630" Type="http://schemas.openxmlformats.org/officeDocument/2006/relationships/image" Target="media/image821.wmf"/><Relationship Id="rId8243" Type="http://schemas.openxmlformats.org/officeDocument/2006/relationships/oleObject" Target="embeddings/oleObject4106.bin"/><Relationship Id="rId10173" Type="http://schemas.openxmlformats.org/officeDocument/2006/relationships/image" Target="media/image5095.png"/><Relationship Id="rId11224" Type="http://schemas.openxmlformats.org/officeDocument/2006/relationships/oleObject" Target="embeddings/oleObject5565.bin"/><Relationship Id="rId4853" Type="http://schemas.openxmlformats.org/officeDocument/2006/relationships/oleObject" Target="embeddings/oleObject2417.bin"/><Relationship Id="rId5904" Type="http://schemas.openxmlformats.org/officeDocument/2006/relationships/oleObject" Target="embeddings/oleObject2941.bin"/><Relationship Id="rId13396" Type="http://schemas.openxmlformats.org/officeDocument/2006/relationships/image" Target="media/image6713.wmf"/><Relationship Id="rId14447" Type="http://schemas.openxmlformats.org/officeDocument/2006/relationships/image" Target="media/image7238.wmf"/><Relationship Id="rId3455" Type="http://schemas.openxmlformats.org/officeDocument/2006/relationships/oleObject" Target="embeddings/oleObject1718.bin"/><Relationship Id="rId4506" Type="http://schemas.openxmlformats.org/officeDocument/2006/relationships/image" Target="media/image2263.wmf"/><Relationship Id="rId13049" Type="http://schemas.openxmlformats.org/officeDocument/2006/relationships/image" Target="media/image6539.wmf"/><Relationship Id="rId376" Type="http://schemas.openxmlformats.org/officeDocument/2006/relationships/image" Target="media/image187.wmf"/><Relationship Id="rId2057" Type="http://schemas.openxmlformats.org/officeDocument/2006/relationships/oleObject" Target="embeddings/oleObject1016.bin"/><Relationship Id="rId3108" Type="http://schemas.openxmlformats.org/officeDocument/2006/relationships/oleObject" Target="embeddings/oleObject1542.bin"/><Relationship Id="rId6678" Type="http://schemas.openxmlformats.org/officeDocument/2006/relationships/oleObject" Target="embeddings/oleObject3326.bin"/><Relationship Id="rId7729" Type="http://schemas.openxmlformats.org/officeDocument/2006/relationships/oleObject" Target="embeddings/oleObject3849.bin"/><Relationship Id="rId9151" Type="http://schemas.openxmlformats.org/officeDocument/2006/relationships/image" Target="media/image4585.wmf"/><Relationship Id="rId13530" Type="http://schemas.openxmlformats.org/officeDocument/2006/relationships/image" Target="media/image6780.wmf"/><Relationship Id="rId1140" Type="http://schemas.openxmlformats.org/officeDocument/2006/relationships/oleObject" Target="embeddings/oleObject560.bin"/><Relationship Id="rId11081" Type="http://schemas.openxmlformats.org/officeDocument/2006/relationships/image" Target="media/image5552.wmf"/><Relationship Id="rId12132" Type="http://schemas.openxmlformats.org/officeDocument/2006/relationships/image" Target="media/image6079.wmf"/><Relationship Id="rId510" Type="http://schemas.openxmlformats.org/officeDocument/2006/relationships/oleObject" Target="embeddings/oleObject246.bin"/><Relationship Id="rId5761" Type="http://schemas.openxmlformats.org/officeDocument/2006/relationships/image" Target="media/image2891.wmf"/><Relationship Id="rId6812" Type="http://schemas.openxmlformats.org/officeDocument/2006/relationships/oleObject" Target="embeddings/oleObject3391.bin"/><Relationship Id="rId4363" Type="http://schemas.openxmlformats.org/officeDocument/2006/relationships/oleObject" Target="embeddings/oleObject2173.bin"/><Relationship Id="rId5414" Type="http://schemas.openxmlformats.org/officeDocument/2006/relationships/oleObject" Target="embeddings/oleObject2696.bin"/><Relationship Id="rId8984" Type="http://schemas.openxmlformats.org/officeDocument/2006/relationships/oleObject" Target="embeddings/oleObject4472.bin"/><Relationship Id="rId4016" Type="http://schemas.openxmlformats.org/officeDocument/2006/relationships/oleObject" Target="embeddings/oleObject1999.bin"/><Relationship Id="rId7586" Type="http://schemas.openxmlformats.org/officeDocument/2006/relationships/image" Target="media/image3802.wmf"/><Relationship Id="rId8637" Type="http://schemas.openxmlformats.org/officeDocument/2006/relationships/oleObject" Target="embeddings/oleObject4303.bin"/><Relationship Id="rId10567" Type="http://schemas.openxmlformats.org/officeDocument/2006/relationships/oleObject" Target="embeddings/oleObject5248.bin"/><Relationship Id="rId11965" Type="http://schemas.openxmlformats.org/officeDocument/2006/relationships/oleObject" Target="embeddings/oleObject5934.bin"/><Relationship Id="rId6188" Type="http://schemas.openxmlformats.org/officeDocument/2006/relationships/oleObject" Target="embeddings/oleObject3083.bin"/><Relationship Id="rId7239" Type="http://schemas.openxmlformats.org/officeDocument/2006/relationships/oleObject" Target="embeddings/oleObject3604.bin"/><Relationship Id="rId11618" Type="http://schemas.openxmlformats.org/officeDocument/2006/relationships/oleObject" Target="embeddings/oleObject5762.bin"/><Relationship Id="rId13040" Type="http://schemas.openxmlformats.org/officeDocument/2006/relationships/oleObject" Target="embeddings/oleObject6467.bin"/><Relationship Id="rId2798" Type="http://schemas.openxmlformats.org/officeDocument/2006/relationships/image" Target="media/image1409.wmf"/><Relationship Id="rId3849" Type="http://schemas.openxmlformats.org/officeDocument/2006/relationships/oleObject" Target="embeddings/oleObject1915.bin"/><Relationship Id="rId5271" Type="http://schemas.openxmlformats.org/officeDocument/2006/relationships/image" Target="media/image2646.wmf"/><Relationship Id="rId7720" Type="http://schemas.openxmlformats.org/officeDocument/2006/relationships/image" Target="media/image3869.wmf"/><Relationship Id="rId10701" Type="http://schemas.openxmlformats.org/officeDocument/2006/relationships/oleObject" Target="embeddings/oleObject5315.bin"/><Relationship Id="rId6322" Type="http://schemas.openxmlformats.org/officeDocument/2006/relationships/oleObject" Target="embeddings/oleObject3150.bin"/><Relationship Id="rId9892" Type="http://schemas.openxmlformats.org/officeDocument/2006/relationships/oleObject" Target="embeddings/oleObject4918.bin"/><Relationship Id="rId12873" Type="http://schemas.openxmlformats.org/officeDocument/2006/relationships/image" Target="media/image6451.wmf"/><Relationship Id="rId13924" Type="http://schemas.openxmlformats.org/officeDocument/2006/relationships/oleObject" Target="embeddings/oleObject6908.bin"/><Relationship Id="rId1881" Type="http://schemas.openxmlformats.org/officeDocument/2006/relationships/oleObject" Target="embeddings/oleObject928.bin"/><Relationship Id="rId2932" Type="http://schemas.openxmlformats.org/officeDocument/2006/relationships/oleObject" Target="embeddings/oleObject1454.bin"/><Relationship Id="rId8494" Type="http://schemas.openxmlformats.org/officeDocument/2006/relationships/image" Target="media/image4256.wmf"/><Relationship Id="rId9545" Type="http://schemas.openxmlformats.org/officeDocument/2006/relationships/oleObject" Target="embeddings/oleObject4751.bin"/><Relationship Id="rId11475" Type="http://schemas.openxmlformats.org/officeDocument/2006/relationships/image" Target="media/image5749.wmf"/><Relationship Id="rId12526" Type="http://schemas.openxmlformats.org/officeDocument/2006/relationships/oleObject" Target="embeddings/oleObject6212.bin"/><Relationship Id="rId904" Type="http://schemas.openxmlformats.org/officeDocument/2006/relationships/image" Target="media/image457.wmf"/><Relationship Id="rId1534" Type="http://schemas.openxmlformats.org/officeDocument/2006/relationships/image" Target="media/image772.wmf"/><Relationship Id="rId7096" Type="http://schemas.openxmlformats.org/officeDocument/2006/relationships/oleObject" Target="embeddings/oleObject3533.bin"/><Relationship Id="rId8147" Type="http://schemas.openxmlformats.org/officeDocument/2006/relationships/oleObject" Target="embeddings/oleObject4058.bin"/><Relationship Id="rId10077" Type="http://schemas.openxmlformats.org/officeDocument/2006/relationships/image" Target="media/image5047.wmf"/><Relationship Id="rId11128" Type="http://schemas.openxmlformats.org/officeDocument/2006/relationships/oleObject" Target="embeddings/oleObject5517.bin"/><Relationship Id="rId4757" Type="http://schemas.openxmlformats.org/officeDocument/2006/relationships/oleObject" Target="embeddings/oleObject2370.bin"/><Relationship Id="rId3359" Type="http://schemas.openxmlformats.org/officeDocument/2006/relationships/oleObject" Target="embeddings/oleObject1668.bin"/><Relationship Id="rId5808" Type="http://schemas.openxmlformats.org/officeDocument/2006/relationships/oleObject" Target="embeddings/oleObject2893.bin"/><Relationship Id="rId7230" Type="http://schemas.openxmlformats.org/officeDocument/2006/relationships/image" Target="media/image3624.wmf"/><Relationship Id="rId10211" Type="http://schemas.openxmlformats.org/officeDocument/2006/relationships/image" Target="media/image5114.wmf"/><Relationship Id="rId13781" Type="http://schemas.openxmlformats.org/officeDocument/2006/relationships/image" Target="media/image6905.wmf"/><Relationship Id="rId3840" Type="http://schemas.openxmlformats.org/officeDocument/2006/relationships/image" Target="media/image1931.wmf"/><Relationship Id="rId9055" Type="http://schemas.openxmlformats.org/officeDocument/2006/relationships/image" Target="media/image4537.wmf"/><Relationship Id="rId12383" Type="http://schemas.openxmlformats.org/officeDocument/2006/relationships/image" Target="media/image6206.wmf"/><Relationship Id="rId13434" Type="http://schemas.openxmlformats.org/officeDocument/2006/relationships/image" Target="media/image6732.wmf"/><Relationship Id="rId761" Type="http://schemas.openxmlformats.org/officeDocument/2006/relationships/oleObject" Target="embeddings/oleObject369.bin"/><Relationship Id="rId1391" Type="http://schemas.openxmlformats.org/officeDocument/2006/relationships/oleObject" Target="embeddings/oleObject684.bin"/><Relationship Id="rId2442" Type="http://schemas.openxmlformats.org/officeDocument/2006/relationships/image" Target="media/image1230.wmf"/><Relationship Id="rId12036" Type="http://schemas.openxmlformats.org/officeDocument/2006/relationships/image" Target="media/image6031.wmf"/><Relationship Id="rId414" Type="http://schemas.openxmlformats.org/officeDocument/2006/relationships/oleObject" Target="embeddings/oleObject201.bin"/><Relationship Id="rId1044" Type="http://schemas.openxmlformats.org/officeDocument/2006/relationships/oleObject" Target="embeddings/oleObject513.bin"/><Relationship Id="rId5665" Type="http://schemas.openxmlformats.org/officeDocument/2006/relationships/image" Target="media/image2843.wmf"/><Relationship Id="rId6716" Type="http://schemas.openxmlformats.org/officeDocument/2006/relationships/oleObject" Target="embeddings/oleObject3345.bin"/><Relationship Id="rId4267" Type="http://schemas.openxmlformats.org/officeDocument/2006/relationships/image" Target="media/image2144.wmf"/><Relationship Id="rId5318" Type="http://schemas.openxmlformats.org/officeDocument/2006/relationships/oleObject" Target="embeddings/oleObject2648.bin"/><Relationship Id="rId8888" Type="http://schemas.openxmlformats.org/officeDocument/2006/relationships/oleObject" Target="embeddings/oleObject4424.bin"/><Relationship Id="rId9939" Type="http://schemas.openxmlformats.org/officeDocument/2006/relationships/image" Target="media/image4978.wmf"/><Relationship Id="rId11869" Type="http://schemas.openxmlformats.org/officeDocument/2006/relationships/oleObject" Target="embeddings/oleObject5886.bin"/><Relationship Id="rId1928" Type="http://schemas.openxmlformats.org/officeDocument/2006/relationships/image" Target="media/image970.wmf"/><Relationship Id="rId3350" Type="http://schemas.openxmlformats.org/officeDocument/2006/relationships/image" Target="media/image1684.wmf"/><Relationship Id="rId13291" Type="http://schemas.openxmlformats.org/officeDocument/2006/relationships/image" Target="media/image6660.wmf"/><Relationship Id="rId14342" Type="http://schemas.openxmlformats.org/officeDocument/2006/relationships/oleObject" Target="embeddings/oleObject7117.bin"/><Relationship Id="rId271" Type="http://schemas.openxmlformats.org/officeDocument/2006/relationships/oleObject" Target="embeddings/oleObject130.bin"/><Relationship Id="rId3003" Type="http://schemas.openxmlformats.org/officeDocument/2006/relationships/image" Target="media/image1511.wmf"/><Relationship Id="rId4401" Type="http://schemas.openxmlformats.org/officeDocument/2006/relationships/oleObject" Target="embeddings/oleObject2192.bin"/><Relationship Id="rId7971" Type="http://schemas.openxmlformats.org/officeDocument/2006/relationships/oleObject" Target="embeddings/oleObject3970.bin"/><Relationship Id="rId10952" Type="http://schemas.openxmlformats.org/officeDocument/2006/relationships/image" Target="media/image5486.wmf"/><Relationship Id="rId6573" Type="http://schemas.openxmlformats.org/officeDocument/2006/relationships/image" Target="media/image3296.wmf"/><Relationship Id="rId7624" Type="http://schemas.openxmlformats.org/officeDocument/2006/relationships/image" Target="media/image3821.wmf"/><Relationship Id="rId10605" Type="http://schemas.openxmlformats.org/officeDocument/2006/relationships/oleObject" Target="embeddings/oleObject5267.bin"/><Relationship Id="rId5175" Type="http://schemas.openxmlformats.org/officeDocument/2006/relationships/oleObject" Target="embeddings/oleObject2577.bin"/><Relationship Id="rId6226" Type="http://schemas.openxmlformats.org/officeDocument/2006/relationships/oleObject" Target="embeddings/oleObject3102.bin"/><Relationship Id="rId9796" Type="http://schemas.openxmlformats.org/officeDocument/2006/relationships/image" Target="media/image4907.wmf"/><Relationship Id="rId12777" Type="http://schemas.openxmlformats.org/officeDocument/2006/relationships/image" Target="media/image6403.wmf"/><Relationship Id="rId1785" Type="http://schemas.openxmlformats.org/officeDocument/2006/relationships/oleObject" Target="embeddings/oleObject880.bin"/><Relationship Id="rId2836" Type="http://schemas.openxmlformats.org/officeDocument/2006/relationships/image" Target="media/image1428.wmf"/><Relationship Id="rId8398" Type="http://schemas.openxmlformats.org/officeDocument/2006/relationships/image" Target="media/image4208.wmf"/><Relationship Id="rId9449" Type="http://schemas.openxmlformats.org/officeDocument/2006/relationships/oleObject" Target="embeddings/oleObject4703.bin"/><Relationship Id="rId11379" Type="http://schemas.openxmlformats.org/officeDocument/2006/relationships/image" Target="media/image5701.wmf"/><Relationship Id="rId13828" Type="http://schemas.openxmlformats.org/officeDocument/2006/relationships/oleObject" Target="embeddings/oleObject6860.bin"/><Relationship Id="rId808" Type="http://schemas.openxmlformats.org/officeDocument/2006/relationships/image" Target="media/image409.wmf"/><Relationship Id="rId1438" Type="http://schemas.openxmlformats.org/officeDocument/2006/relationships/image" Target="media/image724.wmf"/><Relationship Id="rId7481" Type="http://schemas.openxmlformats.org/officeDocument/2006/relationships/oleObject" Target="embeddings/oleObject3725.bin"/><Relationship Id="rId9930" Type="http://schemas.microsoft.com/office/2007/relationships/hdphoto" Target="media/hdphoto30.wdp"/><Relationship Id="rId11860" Type="http://schemas.openxmlformats.org/officeDocument/2006/relationships/image" Target="media/image5943.wmf"/><Relationship Id="rId12911" Type="http://schemas.openxmlformats.org/officeDocument/2006/relationships/image" Target="media/image6470.wmf"/><Relationship Id="rId6083" Type="http://schemas.openxmlformats.org/officeDocument/2006/relationships/image" Target="media/image3052.wmf"/><Relationship Id="rId7134" Type="http://schemas.openxmlformats.org/officeDocument/2006/relationships/image" Target="media/image3576.wmf"/><Relationship Id="rId8532" Type="http://schemas.openxmlformats.org/officeDocument/2006/relationships/image" Target="media/image4275.wmf"/><Relationship Id="rId10462" Type="http://schemas.openxmlformats.org/officeDocument/2006/relationships/image" Target="media/image5240.wmf"/><Relationship Id="rId11513" Type="http://schemas.openxmlformats.org/officeDocument/2006/relationships/image" Target="media/image5768.wmf"/><Relationship Id="rId10115" Type="http://schemas.openxmlformats.org/officeDocument/2006/relationships/image" Target="media/image5066.wmf"/><Relationship Id="rId13685" Type="http://schemas.openxmlformats.org/officeDocument/2006/relationships/oleObject" Target="embeddings/oleObject6788.bin"/><Relationship Id="rId2693" Type="http://schemas.openxmlformats.org/officeDocument/2006/relationships/oleObject" Target="embeddings/oleObject1334.bin"/><Relationship Id="rId3744" Type="http://schemas.openxmlformats.org/officeDocument/2006/relationships/image" Target="media/image1883.wmf"/><Relationship Id="rId12287" Type="http://schemas.openxmlformats.org/officeDocument/2006/relationships/oleObject" Target="embeddings/oleObject6095.bin"/><Relationship Id="rId13338" Type="http://schemas.openxmlformats.org/officeDocument/2006/relationships/image" Target="media/image6684.wmf"/><Relationship Id="rId665" Type="http://schemas.openxmlformats.org/officeDocument/2006/relationships/oleObject" Target="embeddings/oleObject321.bin"/><Relationship Id="rId1295" Type="http://schemas.openxmlformats.org/officeDocument/2006/relationships/oleObject" Target="embeddings/oleObject637.bin"/><Relationship Id="rId2346" Type="http://schemas.openxmlformats.org/officeDocument/2006/relationships/oleObject" Target="embeddings/oleObject1162.bin"/><Relationship Id="rId6967" Type="http://schemas.openxmlformats.org/officeDocument/2006/relationships/image" Target="media/image3493.wmf"/><Relationship Id="rId318" Type="http://schemas.openxmlformats.org/officeDocument/2006/relationships/image" Target="media/image158.wmf"/><Relationship Id="rId5569" Type="http://schemas.openxmlformats.org/officeDocument/2006/relationships/image" Target="media/image2795.wmf"/><Relationship Id="rId9440" Type="http://schemas.openxmlformats.org/officeDocument/2006/relationships/image" Target="media/image4729.wmf"/><Relationship Id="rId8042" Type="http://schemas.openxmlformats.org/officeDocument/2006/relationships/image" Target="media/image4030.wmf"/><Relationship Id="rId11370" Type="http://schemas.openxmlformats.org/officeDocument/2006/relationships/oleObject" Target="embeddings/oleObject5638.bin"/><Relationship Id="rId12421" Type="http://schemas.openxmlformats.org/officeDocument/2006/relationships/image" Target="media/image6225.wmf"/><Relationship Id="rId11023" Type="http://schemas.openxmlformats.org/officeDocument/2006/relationships/oleObject" Target="embeddings/oleObject5467.bin"/><Relationship Id="rId14593" Type="http://schemas.openxmlformats.org/officeDocument/2006/relationships/oleObject" Target="embeddings/oleObject7237.bin"/><Relationship Id="rId4652" Type="http://schemas.openxmlformats.org/officeDocument/2006/relationships/image" Target="media/image2336.wmf"/><Relationship Id="rId5703" Type="http://schemas.openxmlformats.org/officeDocument/2006/relationships/image" Target="media/image2862.wmf"/><Relationship Id="rId13195" Type="http://schemas.openxmlformats.org/officeDocument/2006/relationships/image" Target="media/image6612.wmf"/><Relationship Id="rId14246" Type="http://schemas.openxmlformats.org/officeDocument/2006/relationships/oleObject" Target="embeddings/oleObject7069.bin"/><Relationship Id="rId175" Type="http://schemas.openxmlformats.org/officeDocument/2006/relationships/oleObject" Target="embeddings/oleObject82.bin"/><Relationship Id="rId3254" Type="http://schemas.openxmlformats.org/officeDocument/2006/relationships/oleObject" Target="embeddings/oleObject1615.bin"/><Relationship Id="rId4305" Type="http://schemas.openxmlformats.org/officeDocument/2006/relationships/image" Target="media/image2163.wmf"/><Relationship Id="rId7875" Type="http://schemas.openxmlformats.org/officeDocument/2006/relationships/oleObject" Target="embeddings/oleObject3922.bin"/><Relationship Id="rId8926" Type="http://schemas.openxmlformats.org/officeDocument/2006/relationships/oleObject" Target="embeddings/oleObject4443.bin"/><Relationship Id="rId10856" Type="http://schemas.openxmlformats.org/officeDocument/2006/relationships/image" Target="media/image5437.wmf"/><Relationship Id="rId6477" Type="http://schemas.openxmlformats.org/officeDocument/2006/relationships/image" Target="media/image3248.wmf"/><Relationship Id="rId7528" Type="http://schemas.openxmlformats.org/officeDocument/2006/relationships/image" Target="media/image3773.wmf"/><Relationship Id="rId10509" Type="http://schemas.openxmlformats.org/officeDocument/2006/relationships/oleObject" Target="embeddings/oleObject5219.bin"/><Relationship Id="rId11907" Type="http://schemas.openxmlformats.org/officeDocument/2006/relationships/oleObject" Target="embeddings/oleObject5905.bin"/><Relationship Id="rId5079" Type="http://schemas.openxmlformats.org/officeDocument/2006/relationships/oleObject" Target="embeddings/oleObject2529.bin"/><Relationship Id="rId1689" Type="http://schemas.openxmlformats.org/officeDocument/2006/relationships/oleObject" Target="embeddings/oleObject832.bin"/><Relationship Id="rId5560" Type="http://schemas.openxmlformats.org/officeDocument/2006/relationships/oleObject" Target="embeddings/oleObject2769.bin"/><Relationship Id="rId4162" Type="http://schemas.openxmlformats.org/officeDocument/2006/relationships/oleObject" Target="embeddings/oleObject2072.bin"/><Relationship Id="rId5213" Type="http://schemas.openxmlformats.org/officeDocument/2006/relationships/oleObject" Target="embeddings/oleObject2596.bin"/><Relationship Id="rId6611" Type="http://schemas.openxmlformats.org/officeDocument/2006/relationships/image" Target="media/image3315.wmf"/><Relationship Id="rId8783" Type="http://schemas.openxmlformats.org/officeDocument/2006/relationships/image" Target="media/image4401.wmf"/><Relationship Id="rId9834" Type="http://schemas.openxmlformats.org/officeDocument/2006/relationships/oleObject" Target="embeddings/oleObject4889.bin"/><Relationship Id="rId11764" Type="http://schemas.openxmlformats.org/officeDocument/2006/relationships/image" Target="media/image5895.wmf"/><Relationship Id="rId12815" Type="http://schemas.openxmlformats.org/officeDocument/2006/relationships/image" Target="media/image6422.wmf"/><Relationship Id="rId48" Type="http://schemas.openxmlformats.org/officeDocument/2006/relationships/oleObject" Target="embeddings/oleObject20.bin"/><Relationship Id="rId1823" Type="http://schemas.openxmlformats.org/officeDocument/2006/relationships/oleObject" Target="embeddings/oleObject899.bin"/><Relationship Id="rId7385" Type="http://schemas.openxmlformats.org/officeDocument/2006/relationships/oleObject" Target="embeddings/oleObject3677.bin"/><Relationship Id="rId8436" Type="http://schemas.openxmlformats.org/officeDocument/2006/relationships/image" Target="media/image4227.wmf"/><Relationship Id="rId10366" Type="http://schemas.openxmlformats.org/officeDocument/2006/relationships/oleObject" Target="embeddings/oleObject5150.bin"/><Relationship Id="rId11417" Type="http://schemas.openxmlformats.org/officeDocument/2006/relationships/image" Target="media/image5720.wmf"/><Relationship Id="rId3995" Type="http://schemas.openxmlformats.org/officeDocument/2006/relationships/image" Target="media/image2008.wmf"/><Relationship Id="rId7038" Type="http://schemas.openxmlformats.org/officeDocument/2006/relationships/oleObject" Target="embeddings/oleObject3504.bin"/><Relationship Id="rId10019" Type="http://schemas.openxmlformats.org/officeDocument/2006/relationships/image" Target="media/image5018.wmf"/><Relationship Id="rId13589" Type="http://schemas.openxmlformats.org/officeDocument/2006/relationships/oleObject" Target="embeddings/oleObject6740.bin"/><Relationship Id="rId2597" Type="http://schemas.openxmlformats.org/officeDocument/2006/relationships/oleObject" Target="embeddings/oleObject1286.bin"/><Relationship Id="rId3648" Type="http://schemas.openxmlformats.org/officeDocument/2006/relationships/image" Target="media/image1835.wmf"/><Relationship Id="rId569" Type="http://schemas.openxmlformats.org/officeDocument/2006/relationships/oleObject" Target="embeddings/oleObject274.bin"/><Relationship Id="rId1199" Type="http://schemas.openxmlformats.org/officeDocument/2006/relationships/oleObject" Target="embeddings/oleObject590.bin"/><Relationship Id="rId5070" Type="http://schemas.openxmlformats.org/officeDocument/2006/relationships/image" Target="media/image2545.wmf"/><Relationship Id="rId6121" Type="http://schemas.openxmlformats.org/officeDocument/2006/relationships/image" Target="media/image3071.wmf"/><Relationship Id="rId9691" Type="http://schemas.microsoft.com/office/2007/relationships/hdphoto" Target="media/hdphoto28.wdp"/><Relationship Id="rId10500" Type="http://schemas.openxmlformats.org/officeDocument/2006/relationships/image" Target="media/image5259.wmf"/><Relationship Id="rId8293" Type="http://schemas.openxmlformats.org/officeDocument/2006/relationships/oleObject" Target="embeddings/oleObject4131.bin"/><Relationship Id="rId9344" Type="http://schemas.openxmlformats.org/officeDocument/2006/relationships/image" Target="media/image4681.wmf"/><Relationship Id="rId12672" Type="http://schemas.openxmlformats.org/officeDocument/2006/relationships/oleObject" Target="embeddings/oleObject6285.bin"/><Relationship Id="rId13723" Type="http://schemas.openxmlformats.org/officeDocument/2006/relationships/image" Target="media/image6876.wmf"/><Relationship Id="rId1680" Type="http://schemas.openxmlformats.org/officeDocument/2006/relationships/image" Target="media/image846.wmf"/><Relationship Id="rId2731" Type="http://schemas.openxmlformats.org/officeDocument/2006/relationships/oleObject" Target="embeddings/oleObject1353.bin"/><Relationship Id="rId11274" Type="http://schemas.openxmlformats.org/officeDocument/2006/relationships/oleObject" Target="embeddings/oleObject5590.bin"/><Relationship Id="rId12325" Type="http://schemas.openxmlformats.org/officeDocument/2006/relationships/image" Target="media/image6177.wmf"/><Relationship Id="rId703" Type="http://schemas.openxmlformats.org/officeDocument/2006/relationships/oleObject" Target="embeddings/oleObject340.bin"/><Relationship Id="rId1333" Type="http://schemas.openxmlformats.org/officeDocument/2006/relationships/oleObject" Target="embeddings/oleObject656.bin"/><Relationship Id="rId5954" Type="http://schemas.openxmlformats.org/officeDocument/2006/relationships/oleObject" Target="embeddings/oleObject2966.bin"/><Relationship Id="rId14497" Type="http://schemas.openxmlformats.org/officeDocument/2006/relationships/image" Target="media/image7263.wmf"/><Relationship Id="rId4556" Type="http://schemas.openxmlformats.org/officeDocument/2006/relationships/image" Target="media/image2288.wmf"/><Relationship Id="rId5607" Type="http://schemas.openxmlformats.org/officeDocument/2006/relationships/image" Target="media/image2814.wmf"/><Relationship Id="rId13099" Type="http://schemas.openxmlformats.org/officeDocument/2006/relationships/image" Target="media/image6564.wmf"/><Relationship Id="rId3158" Type="http://schemas.openxmlformats.org/officeDocument/2006/relationships/oleObject" Target="embeddings/oleObject1567.bin"/><Relationship Id="rId4209" Type="http://schemas.openxmlformats.org/officeDocument/2006/relationships/image" Target="media/image2115.wmf"/><Relationship Id="rId7779" Type="http://schemas.openxmlformats.org/officeDocument/2006/relationships/oleObject" Target="embeddings/oleObject3874.bin"/><Relationship Id="rId10010" Type="http://schemas.openxmlformats.org/officeDocument/2006/relationships/oleObject" Target="embeddings/oleObject4974.bin"/><Relationship Id="rId12182" Type="http://schemas.openxmlformats.org/officeDocument/2006/relationships/image" Target="media/image6104.wmf"/><Relationship Id="rId13580" Type="http://schemas.openxmlformats.org/officeDocument/2006/relationships/image" Target="media/image6805.wmf"/><Relationship Id="rId560" Type="http://schemas.openxmlformats.org/officeDocument/2006/relationships/image" Target="media/image281.wmf"/><Relationship Id="rId1190" Type="http://schemas.openxmlformats.org/officeDocument/2006/relationships/image" Target="media/image600.wmf"/><Relationship Id="rId2241" Type="http://schemas.openxmlformats.org/officeDocument/2006/relationships/image" Target="media/image1127.wmf"/><Relationship Id="rId13233" Type="http://schemas.openxmlformats.org/officeDocument/2006/relationships/image" Target="media/image6631.wmf"/><Relationship Id="rId213" Type="http://schemas.openxmlformats.org/officeDocument/2006/relationships/oleObject" Target="embeddings/oleObject101.bin"/><Relationship Id="rId6862" Type="http://schemas.openxmlformats.org/officeDocument/2006/relationships/oleObject" Target="embeddings/oleObject3416.bin"/><Relationship Id="rId7913" Type="http://schemas.openxmlformats.org/officeDocument/2006/relationships/oleObject" Target="embeddings/oleObject3941.bin"/><Relationship Id="rId4066" Type="http://schemas.openxmlformats.org/officeDocument/2006/relationships/oleObject" Target="embeddings/oleObject2024.bin"/><Relationship Id="rId5464" Type="http://schemas.openxmlformats.org/officeDocument/2006/relationships/oleObject" Target="embeddings/oleObject2721.bin"/><Relationship Id="rId6515" Type="http://schemas.openxmlformats.org/officeDocument/2006/relationships/image" Target="media/image3267.wmf"/><Relationship Id="rId5117" Type="http://schemas.openxmlformats.org/officeDocument/2006/relationships/oleObject" Target="embeddings/oleObject2548.bin"/><Relationship Id="rId8687" Type="http://schemas.openxmlformats.org/officeDocument/2006/relationships/image" Target="media/image4353.wmf"/><Relationship Id="rId9738" Type="http://schemas.openxmlformats.org/officeDocument/2006/relationships/image" Target="media/image4878.wmf"/><Relationship Id="rId11668" Type="http://schemas.openxmlformats.org/officeDocument/2006/relationships/oleObject" Target="embeddings/oleObject5787.bin"/><Relationship Id="rId12719" Type="http://schemas.openxmlformats.org/officeDocument/2006/relationships/image" Target="media/image6374.wmf"/><Relationship Id="rId1727" Type="http://schemas.openxmlformats.org/officeDocument/2006/relationships/oleObject" Target="embeddings/oleObject851.bin"/><Relationship Id="rId7289" Type="http://schemas.openxmlformats.org/officeDocument/2006/relationships/oleObject" Target="embeddings/oleObject3629.bin"/><Relationship Id="rId13090" Type="http://schemas.openxmlformats.org/officeDocument/2006/relationships/oleObject" Target="embeddings/oleObject6492.bin"/><Relationship Id="rId14141" Type="http://schemas.openxmlformats.org/officeDocument/2006/relationships/image" Target="media/image7085.wmf"/><Relationship Id="rId3899" Type="http://schemas.openxmlformats.org/officeDocument/2006/relationships/oleObject" Target="embeddings/oleObject1940.bin"/><Relationship Id="rId4200" Type="http://schemas.openxmlformats.org/officeDocument/2006/relationships/oleObject" Target="embeddings/oleObject2091.bin"/><Relationship Id="rId7770" Type="http://schemas.openxmlformats.org/officeDocument/2006/relationships/image" Target="media/image3894.wmf"/><Relationship Id="rId6372" Type="http://schemas.openxmlformats.org/officeDocument/2006/relationships/oleObject" Target="embeddings/oleObject3176.bin"/><Relationship Id="rId7423" Type="http://schemas.openxmlformats.org/officeDocument/2006/relationships/oleObject" Target="embeddings/oleObject3696.bin"/><Relationship Id="rId8821" Type="http://schemas.openxmlformats.org/officeDocument/2006/relationships/image" Target="media/image4420.wmf"/><Relationship Id="rId10751" Type="http://schemas.openxmlformats.org/officeDocument/2006/relationships/oleObject" Target="embeddings/oleObject5338.bin"/><Relationship Id="rId11802" Type="http://schemas.openxmlformats.org/officeDocument/2006/relationships/image" Target="media/image5914.wmf"/><Relationship Id="rId6025" Type="http://schemas.openxmlformats.org/officeDocument/2006/relationships/image" Target="media/image3023.wmf"/><Relationship Id="rId10404" Type="http://schemas.openxmlformats.org/officeDocument/2006/relationships/oleObject" Target="embeddings/oleObject5169.bin"/><Relationship Id="rId13974" Type="http://schemas.openxmlformats.org/officeDocument/2006/relationships/oleObject" Target="embeddings/oleObject6933.bin"/><Relationship Id="rId2982" Type="http://schemas.openxmlformats.org/officeDocument/2006/relationships/oleObject" Target="embeddings/oleObject1479.bin"/><Relationship Id="rId8197" Type="http://schemas.openxmlformats.org/officeDocument/2006/relationships/oleObject" Target="embeddings/oleObject4083.bin"/><Relationship Id="rId9595" Type="http://schemas.openxmlformats.org/officeDocument/2006/relationships/oleObject" Target="embeddings/oleObject4776.bin"/><Relationship Id="rId12576" Type="http://schemas.openxmlformats.org/officeDocument/2006/relationships/oleObject" Target="embeddings/oleObject6237.bin"/><Relationship Id="rId13627" Type="http://schemas.openxmlformats.org/officeDocument/2006/relationships/oleObject" Target="embeddings/oleObject6759.bin"/><Relationship Id="rId954" Type="http://schemas.openxmlformats.org/officeDocument/2006/relationships/oleObject" Target="embeddings/oleObject468.bin"/><Relationship Id="rId1584" Type="http://schemas.openxmlformats.org/officeDocument/2006/relationships/image" Target="media/image798.wmf"/><Relationship Id="rId2635" Type="http://schemas.openxmlformats.org/officeDocument/2006/relationships/oleObject" Target="embeddings/oleObject1305.bin"/><Relationship Id="rId9248" Type="http://schemas.openxmlformats.org/officeDocument/2006/relationships/image" Target="media/image4633.wmf"/><Relationship Id="rId11178" Type="http://schemas.openxmlformats.org/officeDocument/2006/relationships/oleObject" Target="embeddings/oleObject5542.bin"/><Relationship Id="rId12229" Type="http://schemas.openxmlformats.org/officeDocument/2006/relationships/oleObject" Target="embeddings/oleObject6066.bin"/><Relationship Id="rId607" Type="http://schemas.openxmlformats.org/officeDocument/2006/relationships/oleObject" Target="embeddings/oleObject293.bin"/><Relationship Id="rId1237" Type="http://schemas.openxmlformats.org/officeDocument/2006/relationships/oleObject" Target="embeddings/oleObject609.bin"/><Relationship Id="rId5858" Type="http://schemas.openxmlformats.org/officeDocument/2006/relationships/oleObject" Target="embeddings/oleObject2918.bin"/><Relationship Id="rId6909" Type="http://schemas.openxmlformats.org/officeDocument/2006/relationships/image" Target="media/image3464.wmf"/><Relationship Id="rId7280" Type="http://schemas.openxmlformats.org/officeDocument/2006/relationships/image" Target="media/image3649.wmf"/><Relationship Id="rId8331" Type="http://schemas.openxmlformats.org/officeDocument/2006/relationships/oleObject" Target="embeddings/oleObject4150.bin"/><Relationship Id="rId10261" Type="http://schemas.openxmlformats.org/officeDocument/2006/relationships/image" Target="media/image5139.wmf"/><Relationship Id="rId12710" Type="http://schemas.openxmlformats.org/officeDocument/2006/relationships/oleObject" Target="embeddings/oleObject6304.bin"/><Relationship Id="rId11312" Type="http://schemas.openxmlformats.org/officeDocument/2006/relationships/oleObject" Target="embeddings/oleObject5609.bin"/><Relationship Id="rId2492" Type="http://schemas.openxmlformats.org/officeDocument/2006/relationships/image" Target="media/image1256.wmf"/><Relationship Id="rId3890" Type="http://schemas.openxmlformats.org/officeDocument/2006/relationships/image" Target="media/image1956.wmf"/><Relationship Id="rId4941" Type="http://schemas.openxmlformats.org/officeDocument/2006/relationships/oleObject" Target="embeddings/oleObject2460.bin"/><Relationship Id="rId13484" Type="http://schemas.openxmlformats.org/officeDocument/2006/relationships/image" Target="media/image6757.wmf"/><Relationship Id="rId14535" Type="http://schemas.openxmlformats.org/officeDocument/2006/relationships/image" Target="media/image7282.wmf"/><Relationship Id="rId464" Type="http://schemas.openxmlformats.org/officeDocument/2006/relationships/oleObject" Target="embeddings/oleObject223.bin"/><Relationship Id="rId1094" Type="http://schemas.openxmlformats.org/officeDocument/2006/relationships/oleObject" Target="embeddings/oleObject537.bin"/><Relationship Id="rId2145" Type="http://schemas.openxmlformats.org/officeDocument/2006/relationships/oleObject" Target="embeddings/oleObject1060.bin"/><Relationship Id="rId3543" Type="http://schemas.openxmlformats.org/officeDocument/2006/relationships/oleObject" Target="embeddings/oleObject1762.bin"/><Relationship Id="rId12086" Type="http://schemas.openxmlformats.org/officeDocument/2006/relationships/image" Target="media/image6056.wmf"/><Relationship Id="rId13137" Type="http://schemas.openxmlformats.org/officeDocument/2006/relationships/image" Target="media/image6583.wmf"/><Relationship Id="rId117" Type="http://schemas.openxmlformats.org/officeDocument/2006/relationships/image" Target="media/image56.wmf"/><Relationship Id="rId6766" Type="http://schemas.openxmlformats.org/officeDocument/2006/relationships/oleObject" Target="embeddings/oleObject3370.bin"/><Relationship Id="rId7817" Type="http://schemas.openxmlformats.org/officeDocument/2006/relationships/oleObject" Target="embeddings/oleObject3893.bin"/><Relationship Id="rId5368" Type="http://schemas.openxmlformats.org/officeDocument/2006/relationships/oleObject" Target="embeddings/oleObject2673.bin"/><Relationship Id="rId6419" Type="http://schemas.openxmlformats.org/officeDocument/2006/relationships/image" Target="media/image3219.wmf"/><Relationship Id="rId9989" Type="http://schemas.openxmlformats.org/officeDocument/2006/relationships/image" Target="media/image5003.wmf"/><Relationship Id="rId12220" Type="http://schemas.openxmlformats.org/officeDocument/2006/relationships/image" Target="media/image6123.wmf"/><Relationship Id="rId1978" Type="http://schemas.openxmlformats.org/officeDocument/2006/relationships/image" Target="media/image995.wmf"/><Relationship Id="rId14392" Type="http://schemas.openxmlformats.org/officeDocument/2006/relationships/oleObject" Target="embeddings/oleObject7140.bin"/><Relationship Id="rId4451" Type="http://schemas.openxmlformats.org/officeDocument/2006/relationships/oleObject" Target="embeddings/oleObject2217.bin"/><Relationship Id="rId5502" Type="http://schemas.openxmlformats.org/officeDocument/2006/relationships/oleObject" Target="embeddings/oleObject2740.bin"/><Relationship Id="rId6900" Type="http://schemas.openxmlformats.org/officeDocument/2006/relationships/oleObject" Target="embeddings/oleObject3435.bin"/><Relationship Id="rId14045" Type="http://schemas.openxmlformats.org/officeDocument/2006/relationships/image" Target="media/image7037.wmf"/><Relationship Id="rId3053" Type="http://schemas.openxmlformats.org/officeDocument/2006/relationships/image" Target="media/image1536.wmf"/><Relationship Id="rId4104" Type="http://schemas.openxmlformats.org/officeDocument/2006/relationships/oleObject" Target="embeddings/oleObject2043.bin"/><Relationship Id="rId6276" Type="http://schemas.openxmlformats.org/officeDocument/2006/relationships/oleObject" Target="embeddings/oleObject3127.bin"/><Relationship Id="rId7674" Type="http://schemas.openxmlformats.org/officeDocument/2006/relationships/image" Target="media/image3846.wmf"/><Relationship Id="rId8725" Type="http://schemas.openxmlformats.org/officeDocument/2006/relationships/image" Target="media/image4372.wmf"/><Relationship Id="rId10655" Type="http://schemas.openxmlformats.org/officeDocument/2006/relationships/oleObject" Target="embeddings/oleObject5292.bin"/><Relationship Id="rId11706" Type="http://schemas.openxmlformats.org/officeDocument/2006/relationships/image" Target="media/image5866.wmf"/><Relationship Id="rId7327" Type="http://schemas.openxmlformats.org/officeDocument/2006/relationships/oleObject" Target="embeddings/oleObject3648.bin"/><Relationship Id="rId10308" Type="http://schemas.openxmlformats.org/officeDocument/2006/relationships/oleObject" Target="embeddings/oleObject5121.bin"/><Relationship Id="rId13878" Type="http://schemas.openxmlformats.org/officeDocument/2006/relationships/oleObject" Target="embeddings/oleObject6885.bin"/><Relationship Id="rId2886" Type="http://schemas.openxmlformats.org/officeDocument/2006/relationships/oleObject" Target="embeddings/oleObject1431.bin"/><Relationship Id="rId3937" Type="http://schemas.openxmlformats.org/officeDocument/2006/relationships/oleObject" Target="embeddings/oleObject1959.bin"/><Relationship Id="rId9499" Type="http://schemas.openxmlformats.org/officeDocument/2006/relationships/oleObject" Target="embeddings/oleObject4728.bin"/><Relationship Id="rId858" Type="http://schemas.openxmlformats.org/officeDocument/2006/relationships/image" Target="media/image434.wmf"/><Relationship Id="rId1488" Type="http://schemas.openxmlformats.org/officeDocument/2006/relationships/image" Target="media/image749.wmf"/><Relationship Id="rId2539" Type="http://schemas.openxmlformats.org/officeDocument/2006/relationships/oleObject" Target="embeddings/oleObject1257.bin"/><Relationship Id="rId6410" Type="http://schemas.openxmlformats.org/officeDocument/2006/relationships/oleObject" Target="embeddings/oleObject3195.bin"/><Relationship Id="rId9980" Type="http://schemas.openxmlformats.org/officeDocument/2006/relationships/oleObject" Target="embeddings/oleObject4960.bin"/><Relationship Id="rId5012" Type="http://schemas.openxmlformats.org/officeDocument/2006/relationships/image" Target="media/image2516.wmf"/><Relationship Id="rId8582" Type="http://schemas.openxmlformats.org/officeDocument/2006/relationships/image" Target="media/image4300.wmf"/><Relationship Id="rId9633" Type="http://schemas.openxmlformats.org/officeDocument/2006/relationships/oleObject" Target="embeddings/oleObject4795.bin"/><Relationship Id="rId12961" Type="http://schemas.openxmlformats.org/officeDocument/2006/relationships/image" Target="media/image6495.wmf"/><Relationship Id="rId7184" Type="http://schemas.openxmlformats.org/officeDocument/2006/relationships/image" Target="media/image3601.wmf"/><Relationship Id="rId8235" Type="http://schemas.openxmlformats.org/officeDocument/2006/relationships/oleObject" Target="embeddings/oleObject4102.bin"/><Relationship Id="rId11563" Type="http://schemas.openxmlformats.org/officeDocument/2006/relationships/image" Target="media/image5793.wmf"/><Relationship Id="rId12614" Type="http://schemas.openxmlformats.org/officeDocument/2006/relationships/oleObject" Target="embeddings/oleObject6256.bin"/><Relationship Id="rId1622" Type="http://schemas.openxmlformats.org/officeDocument/2006/relationships/image" Target="media/image817.wmf"/><Relationship Id="rId10165" Type="http://schemas.openxmlformats.org/officeDocument/2006/relationships/image" Target="media/image5091.wmf"/><Relationship Id="rId11216" Type="http://schemas.openxmlformats.org/officeDocument/2006/relationships/oleObject" Target="embeddings/oleObject5561.bin"/><Relationship Id="rId3794" Type="http://schemas.openxmlformats.org/officeDocument/2006/relationships/image" Target="media/image1908.wmf"/><Relationship Id="rId4845" Type="http://schemas.openxmlformats.org/officeDocument/2006/relationships/oleObject" Target="embeddings/oleObject2413.bin"/><Relationship Id="rId13388" Type="http://schemas.openxmlformats.org/officeDocument/2006/relationships/image" Target="media/image6709.wmf"/><Relationship Id="rId14439" Type="http://schemas.openxmlformats.org/officeDocument/2006/relationships/image" Target="media/image7234.wmf"/><Relationship Id="rId2396" Type="http://schemas.openxmlformats.org/officeDocument/2006/relationships/oleObject" Target="embeddings/oleObject1187.bin"/><Relationship Id="rId3447" Type="http://schemas.openxmlformats.org/officeDocument/2006/relationships/oleObject" Target="embeddings/oleObject1714.bin"/><Relationship Id="rId368" Type="http://schemas.openxmlformats.org/officeDocument/2006/relationships/image" Target="media/image183.wmf"/><Relationship Id="rId2049" Type="http://schemas.openxmlformats.org/officeDocument/2006/relationships/oleObject" Target="embeddings/oleObject1012.bin"/><Relationship Id="rId9490" Type="http://schemas.openxmlformats.org/officeDocument/2006/relationships/image" Target="media/image4754.wmf"/><Relationship Id="rId12471" Type="http://schemas.openxmlformats.org/officeDocument/2006/relationships/image" Target="media/image6250.wmf"/><Relationship Id="rId2530" Type="http://schemas.openxmlformats.org/officeDocument/2006/relationships/image" Target="media/image1275.wmf"/><Relationship Id="rId8092" Type="http://schemas.openxmlformats.org/officeDocument/2006/relationships/image" Target="media/image4055.wmf"/><Relationship Id="rId9143" Type="http://schemas.openxmlformats.org/officeDocument/2006/relationships/image" Target="media/image4581.wmf"/><Relationship Id="rId11073" Type="http://schemas.openxmlformats.org/officeDocument/2006/relationships/image" Target="media/image5548.wmf"/><Relationship Id="rId12124" Type="http://schemas.openxmlformats.org/officeDocument/2006/relationships/image" Target="media/image6075.wmf"/><Relationship Id="rId13522" Type="http://schemas.openxmlformats.org/officeDocument/2006/relationships/image" Target="media/image6776.wmf"/><Relationship Id="rId502" Type="http://schemas.openxmlformats.org/officeDocument/2006/relationships/oleObject" Target="embeddings/oleObject242.bin"/><Relationship Id="rId1132" Type="http://schemas.openxmlformats.org/officeDocument/2006/relationships/oleObject" Target="embeddings/oleObject556.bin"/><Relationship Id="rId4355" Type="http://schemas.openxmlformats.org/officeDocument/2006/relationships/oleObject" Target="embeddings/oleObject2169.bin"/><Relationship Id="rId5753" Type="http://schemas.openxmlformats.org/officeDocument/2006/relationships/image" Target="media/image2887.wmf"/><Relationship Id="rId6804" Type="http://schemas.openxmlformats.org/officeDocument/2006/relationships/oleObject" Target="embeddings/oleObject3389.bin"/><Relationship Id="rId14296" Type="http://schemas.openxmlformats.org/officeDocument/2006/relationships/oleObject" Target="embeddings/oleObject7094.bin"/><Relationship Id="rId4008" Type="http://schemas.openxmlformats.org/officeDocument/2006/relationships/oleObject" Target="embeddings/oleObject1995.bin"/><Relationship Id="rId5406" Type="http://schemas.openxmlformats.org/officeDocument/2006/relationships/oleObject" Target="embeddings/oleObject2692.bin"/><Relationship Id="rId8976" Type="http://schemas.openxmlformats.org/officeDocument/2006/relationships/oleObject" Target="embeddings/oleObject4468.bin"/><Relationship Id="rId11957" Type="http://schemas.openxmlformats.org/officeDocument/2006/relationships/oleObject" Target="embeddings/oleObject5930.bin"/><Relationship Id="rId7578" Type="http://schemas.openxmlformats.org/officeDocument/2006/relationships/image" Target="media/image3798.wmf"/><Relationship Id="rId8629" Type="http://schemas.openxmlformats.org/officeDocument/2006/relationships/oleObject" Target="embeddings/oleObject4299.bin"/><Relationship Id="rId10559" Type="http://schemas.openxmlformats.org/officeDocument/2006/relationships/oleObject" Target="embeddings/oleObject5244.bin"/><Relationship Id="rId14430" Type="http://schemas.microsoft.com/office/2007/relationships/hdphoto" Target="media/hdphoto55.wdp"/><Relationship Id="rId13032" Type="http://schemas.openxmlformats.org/officeDocument/2006/relationships/oleObject" Target="embeddings/oleObject6463.bin"/><Relationship Id="rId2040" Type="http://schemas.openxmlformats.org/officeDocument/2006/relationships/image" Target="media/image1026.wmf"/><Relationship Id="rId6661" Type="http://schemas.openxmlformats.org/officeDocument/2006/relationships/image" Target="media/image3340.wmf"/><Relationship Id="rId7712" Type="http://schemas.openxmlformats.org/officeDocument/2006/relationships/image" Target="media/image3865.wmf"/><Relationship Id="rId5263" Type="http://schemas.openxmlformats.org/officeDocument/2006/relationships/image" Target="media/image2642.wmf"/><Relationship Id="rId6314" Type="http://schemas.openxmlformats.org/officeDocument/2006/relationships/oleObject" Target="embeddings/oleObject3146.bin"/><Relationship Id="rId8486" Type="http://schemas.openxmlformats.org/officeDocument/2006/relationships/image" Target="media/image4252.wmf"/><Relationship Id="rId9884" Type="http://schemas.openxmlformats.org/officeDocument/2006/relationships/oleObject" Target="embeddings/oleObject4914.bin"/><Relationship Id="rId12865" Type="http://schemas.openxmlformats.org/officeDocument/2006/relationships/image" Target="media/image6447.wmf"/><Relationship Id="rId13916" Type="http://schemas.openxmlformats.org/officeDocument/2006/relationships/oleObject" Target="embeddings/oleObject6904.bin"/><Relationship Id="rId98" Type="http://schemas.openxmlformats.org/officeDocument/2006/relationships/oleObject" Target="embeddings/oleObject45.bin"/><Relationship Id="rId1873" Type="http://schemas.openxmlformats.org/officeDocument/2006/relationships/oleObject" Target="embeddings/oleObject924.bin"/><Relationship Id="rId2924" Type="http://schemas.openxmlformats.org/officeDocument/2006/relationships/oleObject" Target="embeddings/oleObject1450.bin"/><Relationship Id="rId7088" Type="http://schemas.openxmlformats.org/officeDocument/2006/relationships/oleObject" Target="embeddings/oleObject3529.bin"/><Relationship Id="rId8139" Type="http://schemas.openxmlformats.org/officeDocument/2006/relationships/oleObject" Target="embeddings/oleObject4054.bin"/><Relationship Id="rId9537" Type="http://schemas.openxmlformats.org/officeDocument/2006/relationships/oleObject" Target="embeddings/oleObject4747.bin"/><Relationship Id="rId11467" Type="http://schemas.openxmlformats.org/officeDocument/2006/relationships/image" Target="media/image5745.wmf"/><Relationship Id="rId12518" Type="http://schemas.openxmlformats.org/officeDocument/2006/relationships/oleObject" Target="embeddings/oleObject6208.bin"/><Relationship Id="rId1526" Type="http://schemas.openxmlformats.org/officeDocument/2006/relationships/image" Target="media/image768.wmf"/><Relationship Id="rId10069" Type="http://schemas.openxmlformats.org/officeDocument/2006/relationships/image" Target="media/image5043.wmf"/><Relationship Id="rId3698" Type="http://schemas.openxmlformats.org/officeDocument/2006/relationships/image" Target="media/image1860.wmf"/><Relationship Id="rId4749" Type="http://schemas.openxmlformats.org/officeDocument/2006/relationships/oleObject" Target="embeddings/oleObject2366.bin"/><Relationship Id="rId8620" Type="http://schemas.openxmlformats.org/officeDocument/2006/relationships/image" Target="media/image4319.wmf"/><Relationship Id="rId10550" Type="http://schemas.openxmlformats.org/officeDocument/2006/relationships/image" Target="media/image5284.wmf"/><Relationship Id="rId6171" Type="http://schemas.openxmlformats.org/officeDocument/2006/relationships/image" Target="media/image3096.wmf"/><Relationship Id="rId7222" Type="http://schemas.openxmlformats.org/officeDocument/2006/relationships/image" Target="media/image3620.wmf"/><Relationship Id="rId10203" Type="http://schemas.openxmlformats.org/officeDocument/2006/relationships/image" Target="media/image5110.wmf"/><Relationship Id="rId11601" Type="http://schemas.openxmlformats.org/officeDocument/2006/relationships/image" Target="media/image5812.wmf"/><Relationship Id="rId2781" Type="http://schemas.openxmlformats.org/officeDocument/2006/relationships/oleObject" Target="embeddings/oleObject1378.bin"/><Relationship Id="rId9394" Type="http://schemas.openxmlformats.org/officeDocument/2006/relationships/image" Target="media/image4706.wmf"/><Relationship Id="rId13773" Type="http://schemas.openxmlformats.org/officeDocument/2006/relationships/image" Target="media/image6901.wmf"/><Relationship Id="rId753" Type="http://schemas.openxmlformats.org/officeDocument/2006/relationships/oleObject" Target="embeddings/oleObject365.bin"/><Relationship Id="rId1383" Type="http://schemas.openxmlformats.org/officeDocument/2006/relationships/oleObject" Target="embeddings/oleObject680.bin"/><Relationship Id="rId2434" Type="http://schemas.openxmlformats.org/officeDocument/2006/relationships/image" Target="media/image1226.wmf"/><Relationship Id="rId3832" Type="http://schemas.openxmlformats.org/officeDocument/2006/relationships/image" Target="media/image1927.wmf"/><Relationship Id="rId9047" Type="http://schemas.openxmlformats.org/officeDocument/2006/relationships/image" Target="media/image4533.wmf"/><Relationship Id="rId12028" Type="http://schemas.openxmlformats.org/officeDocument/2006/relationships/image" Target="media/image6027.wmf"/><Relationship Id="rId12375" Type="http://schemas.openxmlformats.org/officeDocument/2006/relationships/image" Target="media/image6202.wmf"/><Relationship Id="rId13426" Type="http://schemas.openxmlformats.org/officeDocument/2006/relationships/image" Target="media/image6728.wmf"/><Relationship Id="rId406" Type="http://schemas.openxmlformats.org/officeDocument/2006/relationships/oleObject" Target="embeddings/oleObject197.bin"/><Relationship Id="rId1036" Type="http://schemas.openxmlformats.org/officeDocument/2006/relationships/oleObject" Target="embeddings/oleObject509.bin"/><Relationship Id="rId5657" Type="http://schemas.openxmlformats.org/officeDocument/2006/relationships/image" Target="media/image2839.wmf"/><Relationship Id="rId6708" Type="http://schemas.openxmlformats.org/officeDocument/2006/relationships/oleObject" Target="embeddings/oleObject3341.bin"/><Relationship Id="rId4259" Type="http://schemas.openxmlformats.org/officeDocument/2006/relationships/image" Target="media/image2140.wmf"/><Relationship Id="rId8130" Type="http://schemas.openxmlformats.org/officeDocument/2006/relationships/image" Target="media/image4074.wmf"/><Relationship Id="rId10060" Type="http://schemas.openxmlformats.org/officeDocument/2006/relationships/oleObject" Target="embeddings/oleObject4999.bin"/><Relationship Id="rId11111" Type="http://schemas.openxmlformats.org/officeDocument/2006/relationships/image" Target="media/image5567.wmf"/><Relationship Id="rId4740" Type="http://schemas.openxmlformats.org/officeDocument/2006/relationships/image" Target="media/image2380.wmf"/><Relationship Id="rId13283" Type="http://schemas.openxmlformats.org/officeDocument/2006/relationships/image" Target="media/image6656.wmf"/><Relationship Id="rId14334" Type="http://schemas.openxmlformats.org/officeDocument/2006/relationships/oleObject" Target="embeddings/oleObject7113.bin"/><Relationship Id="rId2291" Type="http://schemas.openxmlformats.org/officeDocument/2006/relationships/image" Target="media/image1152.wmf"/><Relationship Id="rId3342" Type="http://schemas.openxmlformats.org/officeDocument/2006/relationships/image" Target="media/image1680.wmf"/><Relationship Id="rId263" Type="http://schemas.openxmlformats.org/officeDocument/2006/relationships/oleObject" Target="embeddings/oleObject126.bin"/><Relationship Id="rId6565" Type="http://schemas.openxmlformats.org/officeDocument/2006/relationships/image" Target="media/image3292.wmf"/><Relationship Id="rId7963" Type="http://schemas.openxmlformats.org/officeDocument/2006/relationships/oleObject" Target="embeddings/oleObject3966.bin"/><Relationship Id="rId10944" Type="http://schemas.openxmlformats.org/officeDocument/2006/relationships/image" Target="media/image5482.png"/><Relationship Id="rId5167" Type="http://schemas.openxmlformats.org/officeDocument/2006/relationships/oleObject" Target="embeddings/oleObject2573.bin"/><Relationship Id="rId6218" Type="http://schemas.openxmlformats.org/officeDocument/2006/relationships/oleObject" Target="embeddings/oleObject3098.bin"/><Relationship Id="rId7616" Type="http://schemas.openxmlformats.org/officeDocument/2006/relationships/image" Target="media/image3817.wmf"/><Relationship Id="rId9788" Type="http://schemas.openxmlformats.org/officeDocument/2006/relationships/image" Target="media/image4903.wmf"/><Relationship Id="rId12769" Type="http://schemas.openxmlformats.org/officeDocument/2006/relationships/image" Target="media/image6399.wmf"/><Relationship Id="rId1777" Type="http://schemas.openxmlformats.org/officeDocument/2006/relationships/oleObject" Target="embeddings/oleObject876.bin"/><Relationship Id="rId2828" Type="http://schemas.openxmlformats.org/officeDocument/2006/relationships/image" Target="media/image1424.wmf"/><Relationship Id="rId14191" Type="http://schemas.openxmlformats.org/officeDocument/2006/relationships/image" Target="media/image7110.wmf"/><Relationship Id="rId4250" Type="http://schemas.openxmlformats.org/officeDocument/2006/relationships/oleObject" Target="embeddings/oleObject2116.bin"/><Relationship Id="rId5301" Type="http://schemas.openxmlformats.org/officeDocument/2006/relationships/image" Target="media/image2661.wmf"/><Relationship Id="rId8871" Type="http://schemas.openxmlformats.org/officeDocument/2006/relationships/image" Target="media/image4445.wmf"/><Relationship Id="rId9922" Type="http://schemas.openxmlformats.org/officeDocument/2006/relationships/oleObject" Target="embeddings/oleObject4933.bin"/><Relationship Id="rId7473" Type="http://schemas.openxmlformats.org/officeDocument/2006/relationships/oleObject" Target="embeddings/oleObject3721.bin"/><Relationship Id="rId8524" Type="http://schemas.openxmlformats.org/officeDocument/2006/relationships/image" Target="media/image4271.wmf"/><Relationship Id="rId11852" Type="http://schemas.openxmlformats.org/officeDocument/2006/relationships/image" Target="media/image5939.wmf"/><Relationship Id="rId12903" Type="http://schemas.openxmlformats.org/officeDocument/2006/relationships/image" Target="media/image6466.wmf"/><Relationship Id="rId1911" Type="http://schemas.openxmlformats.org/officeDocument/2006/relationships/oleObject" Target="embeddings/oleObject943.bin"/><Relationship Id="rId6075" Type="http://schemas.openxmlformats.org/officeDocument/2006/relationships/image" Target="media/image3048.wmf"/><Relationship Id="rId7126" Type="http://schemas.openxmlformats.org/officeDocument/2006/relationships/image" Target="media/image3572.wmf"/><Relationship Id="rId10454" Type="http://schemas.openxmlformats.org/officeDocument/2006/relationships/image" Target="media/image5236.wmf"/><Relationship Id="rId11505" Type="http://schemas.openxmlformats.org/officeDocument/2006/relationships/image" Target="media/image5764.wmf"/><Relationship Id="rId9298" Type="http://schemas.openxmlformats.org/officeDocument/2006/relationships/image" Target="media/image4658.wmf"/><Relationship Id="rId10107" Type="http://schemas.openxmlformats.org/officeDocument/2006/relationships/image" Target="media/image5062.wmf"/><Relationship Id="rId13677" Type="http://schemas.openxmlformats.org/officeDocument/2006/relationships/oleObject" Target="embeddings/oleObject6784.bin"/><Relationship Id="rId1287" Type="http://schemas.openxmlformats.org/officeDocument/2006/relationships/oleObject" Target="embeddings/oleObject633.bin"/><Relationship Id="rId2685" Type="http://schemas.openxmlformats.org/officeDocument/2006/relationships/oleObject" Target="embeddings/oleObject1330.bin"/><Relationship Id="rId3736" Type="http://schemas.openxmlformats.org/officeDocument/2006/relationships/image" Target="media/image1879.wmf"/><Relationship Id="rId12279" Type="http://schemas.openxmlformats.org/officeDocument/2006/relationships/oleObject" Target="embeddings/oleObject6091.bin"/><Relationship Id="rId657" Type="http://schemas.openxmlformats.org/officeDocument/2006/relationships/oleObject" Target="embeddings/oleObject317.bin"/><Relationship Id="rId2338" Type="http://schemas.openxmlformats.org/officeDocument/2006/relationships/oleObject" Target="embeddings/oleObject1158.bin"/><Relationship Id="rId6959" Type="http://schemas.openxmlformats.org/officeDocument/2006/relationships/image" Target="media/image3489.wmf"/><Relationship Id="rId12760" Type="http://schemas.openxmlformats.org/officeDocument/2006/relationships/oleObject" Target="embeddings/oleObject6329.bin"/><Relationship Id="rId8381" Type="http://schemas.openxmlformats.org/officeDocument/2006/relationships/oleObject" Target="embeddings/oleObject4175.bin"/><Relationship Id="rId9432" Type="http://schemas.openxmlformats.org/officeDocument/2006/relationships/image" Target="media/image4725.wmf"/><Relationship Id="rId11362" Type="http://schemas.openxmlformats.org/officeDocument/2006/relationships/oleObject" Target="embeddings/oleObject5634.bin"/><Relationship Id="rId12413" Type="http://schemas.openxmlformats.org/officeDocument/2006/relationships/image" Target="media/image6221.wmf"/><Relationship Id="rId13811" Type="http://schemas.openxmlformats.org/officeDocument/2006/relationships/image" Target="media/image6920.wmf"/><Relationship Id="rId1421" Type="http://schemas.openxmlformats.org/officeDocument/2006/relationships/oleObject" Target="embeddings/oleObject699.bin"/><Relationship Id="rId4991" Type="http://schemas.openxmlformats.org/officeDocument/2006/relationships/oleObject" Target="embeddings/oleObject2485.bin"/><Relationship Id="rId8034" Type="http://schemas.openxmlformats.org/officeDocument/2006/relationships/image" Target="media/image4026.wmf"/><Relationship Id="rId11015" Type="http://schemas.openxmlformats.org/officeDocument/2006/relationships/oleObject" Target="embeddings/oleObject5463.bin"/><Relationship Id="rId3593" Type="http://schemas.openxmlformats.org/officeDocument/2006/relationships/oleObject" Target="embeddings/oleObject1787.bin"/><Relationship Id="rId4644" Type="http://schemas.openxmlformats.org/officeDocument/2006/relationships/image" Target="media/image2332.wmf"/><Relationship Id="rId13187" Type="http://schemas.openxmlformats.org/officeDocument/2006/relationships/image" Target="media/image6608.wmf"/><Relationship Id="rId14238" Type="http://schemas.openxmlformats.org/officeDocument/2006/relationships/oleObject" Target="embeddings/oleObject7065.bin"/><Relationship Id="rId14585" Type="http://schemas.openxmlformats.org/officeDocument/2006/relationships/image" Target="media/image7307.wmf"/><Relationship Id="rId2195" Type="http://schemas.openxmlformats.org/officeDocument/2006/relationships/oleObject" Target="embeddings/oleObject1085.bin"/><Relationship Id="rId3246" Type="http://schemas.openxmlformats.org/officeDocument/2006/relationships/oleObject" Target="embeddings/oleObject1611.bin"/><Relationship Id="rId167" Type="http://schemas.openxmlformats.org/officeDocument/2006/relationships/oleObject" Target="embeddings/oleObject78.bin"/><Relationship Id="rId7867" Type="http://schemas.openxmlformats.org/officeDocument/2006/relationships/oleObject" Target="embeddings/oleObject3918.bin"/><Relationship Id="rId8918" Type="http://schemas.openxmlformats.org/officeDocument/2006/relationships/oleObject" Target="embeddings/oleObject4439.bin"/><Relationship Id="rId10848" Type="http://schemas.openxmlformats.org/officeDocument/2006/relationships/image" Target="media/image5433.wmf"/><Relationship Id="rId6469" Type="http://schemas.openxmlformats.org/officeDocument/2006/relationships/image" Target="media/image3244.wmf"/><Relationship Id="rId12270" Type="http://schemas.openxmlformats.org/officeDocument/2006/relationships/image" Target="media/image6148.wmf"/><Relationship Id="rId13321" Type="http://schemas.openxmlformats.org/officeDocument/2006/relationships/image" Target="media/image6675.wmf"/><Relationship Id="rId6950" Type="http://schemas.openxmlformats.org/officeDocument/2006/relationships/oleObject" Target="embeddings/oleObject3460.bin"/><Relationship Id="rId301" Type="http://schemas.openxmlformats.org/officeDocument/2006/relationships/oleObject" Target="embeddings/oleObject145.bin"/><Relationship Id="rId5552" Type="http://schemas.openxmlformats.org/officeDocument/2006/relationships/oleObject" Target="embeddings/oleObject2765.bin"/><Relationship Id="rId6603" Type="http://schemas.openxmlformats.org/officeDocument/2006/relationships/image" Target="media/image3311.wmf"/><Relationship Id="rId14095" Type="http://schemas.openxmlformats.org/officeDocument/2006/relationships/image" Target="media/image7062.wmf"/><Relationship Id="rId4154" Type="http://schemas.openxmlformats.org/officeDocument/2006/relationships/oleObject" Target="embeddings/oleObject2068.bin"/><Relationship Id="rId5205" Type="http://schemas.openxmlformats.org/officeDocument/2006/relationships/oleObject" Target="embeddings/oleObject2592.bin"/><Relationship Id="rId8775" Type="http://schemas.openxmlformats.org/officeDocument/2006/relationships/image" Target="media/image4397.wmf"/><Relationship Id="rId7377" Type="http://schemas.openxmlformats.org/officeDocument/2006/relationships/oleObject" Target="embeddings/oleObject3673.bin"/><Relationship Id="rId8428" Type="http://schemas.openxmlformats.org/officeDocument/2006/relationships/image" Target="media/image4223.wmf"/><Relationship Id="rId9826" Type="http://schemas.openxmlformats.org/officeDocument/2006/relationships/image" Target="media/image4922.wmf"/><Relationship Id="rId11756" Type="http://schemas.openxmlformats.org/officeDocument/2006/relationships/image" Target="media/image5891.wmf"/><Relationship Id="rId12807" Type="http://schemas.openxmlformats.org/officeDocument/2006/relationships/image" Target="media/image6418.wmf"/><Relationship Id="rId1815" Type="http://schemas.openxmlformats.org/officeDocument/2006/relationships/oleObject" Target="embeddings/oleObject895.bin"/><Relationship Id="rId10358" Type="http://schemas.openxmlformats.org/officeDocument/2006/relationships/oleObject" Target="embeddings/oleObject5146.bin"/><Relationship Id="rId11409" Type="http://schemas.openxmlformats.org/officeDocument/2006/relationships/image" Target="media/image5716.wmf"/><Relationship Id="rId3987" Type="http://schemas.openxmlformats.org/officeDocument/2006/relationships/image" Target="media/image2004.wmf"/><Relationship Id="rId2589" Type="http://schemas.openxmlformats.org/officeDocument/2006/relationships/oleObject" Target="embeddings/oleObject1282.bin"/><Relationship Id="rId6460" Type="http://schemas.openxmlformats.org/officeDocument/2006/relationships/oleObject" Target="embeddings/oleObject3220.bin"/><Relationship Id="rId7511" Type="http://schemas.openxmlformats.org/officeDocument/2006/relationships/oleObject" Target="embeddings/oleObject3740.bin"/><Relationship Id="rId5062" Type="http://schemas.openxmlformats.org/officeDocument/2006/relationships/image" Target="media/image2541.wmf"/><Relationship Id="rId6113" Type="http://schemas.openxmlformats.org/officeDocument/2006/relationships/image" Target="media/image3067.wmf"/><Relationship Id="rId9683" Type="http://schemas.microsoft.com/office/2007/relationships/hdphoto" Target="media/hdphoto24.wdp"/><Relationship Id="rId1672" Type="http://schemas.openxmlformats.org/officeDocument/2006/relationships/image" Target="media/image842.wmf"/><Relationship Id="rId2723" Type="http://schemas.openxmlformats.org/officeDocument/2006/relationships/oleObject" Target="embeddings/oleObject1349.bin"/><Relationship Id="rId8285" Type="http://schemas.openxmlformats.org/officeDocument/2006/relationships/oleObject" Target="embeddings/oleObject4127.bin"/><Relationship Id="rId9336" Type="http://schemas.openxmlformats.org/officeDocument/2006/relationships/image" Target="media/image4677.wmf"/><Relationship Id="rId11266" Type="http://schemas.openxmlformats.org/officeDocument/2006/relationships/oleObject" Target="embeddings/oleObject5586.bin"/><Relationship Id="rId12317" Type="http://schemas.openxmlformats.org/officeDocument/2006/relationships/image" Target="media/image6173.wmf"/><Relationship Id="rId12664" Type="http://schemas.openxmlformats.org/officeDocument/2006/relationships/oleObject" Target="embeddings/oleObject6281.bin"/><Relationship Id="rId13715" Type="http://schemas.openxmlformats.org/officeDocument/2006/relationships/image" Target="media/image6872.wmf"/><Relationship Id="rId1325" Type="http://schemas.openxmlformats.org/officeDocument/2006/relationships/oleObject" Target="embeddings/oleObject652.bin"/><Relationship Id="rId3497" Type="http://schemas.openxmlformats.org/officeDocument/2006/relationships/oleObject" Target="embeddings/oleObject1739.bin"/><Relationship Id="rId4895" Type="http://schemas.openxmlformats.org/officeDocument/2006/relationships/oleObject" Target="embeddings/oleObject2438.bin"/><Relationship Id="rId5946" Type="http://schemas.openxmlformats.org/officeDocument/2006/relationships/oleObject" Target="embeddings/oleObject2962.bin"/><Relationship Id="rId14489" Type="http://schemas.openxmlformats.org/officeDocument/2006/relationships/image" Target="media/image7259.wmf"/><Relationship Id="rId31" Type="http://schemas.openxmlformats.org/officeDocument/2006/relationships/image" Target="media/image13.wmf"/><Relationship Id="rId2099" Type="http://schemas.openxmlformats.org/officeDocument/2006/relationships/oleObject" Target="embeddings/oleObject1037.bin"/><Relationship Id="rId4548" Type="http://schemas.openxmlformats.org/officeDocument/2006/relationships/image" Target="media/image2284.wmf"/><Relationship Id="rId7021" Type="http://schemas.openxmlformats.org/officeDocument/2006/relationships/image" Target="media/image3520.wmf"/><Relationship Id="rId11400" Type="http://schemas.openxmlformats.org/officeDocument/2006/relationships/oleObject" Target="embeddings/oleObject5653.bin"/><Relationship Id="rId10002" Type="http://schemas.openxmlformats.org/officeDocument/2006/relationships/oleObject" Target="embeddings/oleObject4970.bin"/><Relationship Id="rId13572" Type="http://schemas.openxmlformats.org/officeDocument/2006/relationships/image" Target="media/image6801.wmf"/><Relationship Id="rId2580" Type="http://schemas.openxmlformats.org/officeDocument/2006/relationships/image" Target="media/image1300.wmf"/><Relationship Id="rId3631" Type="http://schemas.openxmlformats.org/officeDocument/2006/relationships/oleObject" Target="embeddings/oleObject1806.bin"/><Relationship Id="rId9193" Type="http://schemas.openxmlformats.org/officeDocument/2006/relationships/oleObject" Target="embeddings/oleObject4577.bin"/><Relationship Id="rId12174" Type="http://schemas.openxmlformats.org/officeDocument/2006/relationships/image" Target="media/image6100.wmf"/><Relationship Id="rId13225" Type="http://schemas.openxmlformats.org/officeDocument/2006/relationships/image" Target="media/image6627.wmf"/><Relationship Id="rId552" Type="http://schemas.openxmlformats.org/officeDocument/2006/relationships/image" Target="media/image277.wmf"/><Relationship Id="rId1182" Type="http://schemas.openxmlformats.org/officeDocument/2006/relationships/oleObject" Target="embeddings/oleObject581.bin"/><Relationship Id="rId2233" Type="http://schemas.openxmlformats.org/officeDocument/2006/relationships/oleObject" Target="embeddings/oleObject1104.bin"/><Relationship Id="rId6854" Type="http://schemas.openxmlformats.org/officeDocument/2006/relationships/oleObject" Target="embeddings/oleObject3412.bin"/><Relationship Id="rId205" Type="http://schemas.openxmlformats.org/officeDocument/2006/relationships/oleObject" Target="embeddings/oleObject97.bin"/><Relationship Id="rId5456" Type="http://schemas.openxmlformats.org/officeDocument/2006/relationships/oleObject" Target="embeddings/oleObject2717.bin"/><Relationship Id="rId6507" Type="http://schemas.openxmlformats.org/officeDocument/2006/relationships/image" Target="media/image3263.wmf"/><Relationship Id="rId7905" Type="http://schemas.openxmlformats.org/officeDocument/2006/relationships/oleObject" Target="embeddings/oleObject3937.bin"/><Relationship Id="rId4058" Type="http://schemas.openxmlformats.org/officeDocument/2006/relationships/oleObject" Target="embeddings/oleObject2020.bin"/><Relationship Id="rId5109" Type="http://schemas.openxmlformats.org/officeDocument/2006/relationships/oleObject" Target="embeddings/oleObject2544.bin"/><Relationship Id="rId8679" Type="http://schemas.openxmlformats.org/officeDocument/2006/relationships/image" Target="media/image4349.wmf"/><Relationship Id="rId14480" Type="http://schemas.openxmlformats.org/officeDocument/2006/relationships/oleObject" Target="embeddings/oleObject7180.bin"/><Relationship Id="rId1719" Type="http://schemas.openxmlformats.org/officeDocument/2006/relationships/oleObject" Target="embeddings/oleObject847.bin"/><Relationship Id="rId13082" Type="http://schemas.openxmlformats.org/officeDocument/2006/relationships/oleObject" Target="embeddings/oleObject6488.bin"/><Relationship Id="rId14133" Type="http://schemas.openxmlformats.org/officeDocument/2006/relationships/image" Target="media/image7081.wmf"/><Relationship Id="rId2090" Type="http://schemas.openxmlformats.org/officeDocument/2006/relationships/image" Target="media/image1051.wmf"/><Relationship Id="rId3141" Type="http://schemas.openxmlformats.org/officeDocument/2006/relationships/image" Target="media/image1580.wmf"/><Relationship Id="rId7762" Type="http://schemas.openxmlformats.org/officeDocument/2006/relationships/image" Target="media/image3890.wmf"/><Relationship Id="rId8813" Type="http://schemas.openxmlformats.org/officeDocument/2006/relationships/image" Target="media/image4416.wmf"/><Relationship Id="rId6364" Type="http://schemas.openxmlformats.org/officeDocument/2006/relationships/oleObject" Target="embeddings/oleObject3172.bin"/><Relationship Id="rId7415" Type="http://schemas.openxmlformats.org/officeDocument/2006/relationships/oleObject" Target="embeddings/oleObject3692.bin"/><Relationship Id="rId10743" Type="http://schemas.openxmlformats.org/officeDocument/2006/relationships/oleObject" Target="embeddings/oleObject5334.bin"/><Relationship Id="rId6017" Type="http://schemas.openxmlformats.org/officeDocument/2006/relationships/image" Target="media/image3019.wmf"/><Relationship Id="rId9587" Type="http://schemas.openxmlformats.org/officeDocument/2006/relationships/oleObject" Target="embeddings/oleObject4772.bin"/><Relationship Id="rId13966" Type="http://schemas.openxmlformats.org/officeDocument/2006/relationships/oleObject" Target="embeddings/oleObject6929.bin"/><Relationship Id="rId1576" Type="http://schemas.openxmlformats.org/officeDocument/2006/relationships/image" Target="media/image794.wmf"/><Relationship Id="rId2974" Type="http://schemas.openxmlformats.org/officeDocument/2006/relationships/oleObject" Target="embeddings/oleObject1475.bin"/><Relationship Id="rId8189" Type="http://schemas.openxmlformats.org/officeDocument/2006/relationships/oleObject" Target="embeddings/oleObject4079.bin"/><Relationship Id="rId12568" Type="http://schemas.openxmlformats.org/officeDocument/2006/relationships/oleObject" Target="embeddings/oleObject6233.bin"/><Relationship Id="rId13619" Type="http://schemas.openxmlformats.org/officeDocument/2006/relationships/oleObject" Target="embeddings/oleObject6755.bin"/><Relationship Id="rId946" Type="http://schemas.openxmlformats.org/officeDocument/2006/relationships/oleObject" Target="embeddings/oleObject464.bin"/><Relationship Id="rId1229" Type="http://schemas.openxmlformats.org/officeDocument/2006/relationships/oleObject" Target="embeddings/oleObject605.bin"/><Relationship Id="rId2627" Type="http://schemas.openxmlformats.org/officeDocument/2006/relationships/oleObject" Target="embeddings/oleObject1301.bin"/><Relationship Id="rId5100" Type="http://schemas.openxmlformats.org/officeDocument/2006/relationships/image" Target="media/image2560.wmf"/><Relationship Id="rId4799" Type="http://schemas.microsoft.com/office/2007/relationships/hdphoto" Target="media/hdphoto9.wdp"/><Relationship Id="rId8670" Type="http://schemas.openxmlformats.org/officeDocument/2006/relationships/oleObject" Target="embeddings/oleObject4318.bin"/><Relationship Id="rId9721" Type="http://schemas.openxmlformats.org/officeDocument/2006/relationships/oleObject" Target="embeddings/oleObject4832.bin"/><Relationship Id="rId11651" Type="http://schemas.openxmlformats.org/officeDocument/2006/relationships/image" Target="media/image5837.wmf"/><Relationship Id="rId12702" Type="http://schemas.openxmlformats.org/officeDocument/2006/relationships/oleObject" Target="embeddings/oleObject6300.bin"/><Relationship Id="rId1710" Type="http://schemas.openxmlformats.org/officeDocument/2006/relationships/image" Target="media/image861.wmf"/><Relationship Id="rId7272" Type="http://schemas.openxmlformats.org/officeDocument/2006/relationships/image" Target="media/image3645.wmf"/><Relationship Id="rId8323" Type="http://schemas.openxmlformats.org/officeDocument/2006/relationships/oleObject" Target="embeddings/oleObject4146.bin"/><Relationship Id="rId10253" Type="http://schemas.openxmlformats.org/officeDocument/2006/relationships/image" Target="media/image5135.wmf"/><Relationship Id="rId11304" Type="http://schemas.openxmlformats.org/officeDocument/2006/relationships/oleObject" Target="embeddings/oleObject5605.bin"/><Relationship Id="rId3882" Type="http://schemas.openxmlformats.org/officeDocument/2006/relationships/image" Target="media/image1952.wmf"/><Relationship Id="rId4933" Type="http://schemas.openxmlformats.org/officeDocument/2006/relationships/oleObject" Target="embeddings/oleObject2457.bin"/><Relationship Id="rId13476" Type="http://schemas.openxmlformats.org/officeDocument/2006/relationships/image" Target="media/image6753.wmf"/><Relationship Id="rId14527" Type="http://schemas.openxmlformats.org/officeDocument/2006/relationships/image" Target="media/image7278.wmf"/><Relationship Id="rId2484" Type="http://schemas.openxmlformats.org/officeDocument/2006/relationships/image" Target="media/image1252.wmf"/><Relationship Id="rId3535" Type="http://schemas.openxmlformats.org/officeDocument/2006/relationships/oleObject" Target="embeddings/oleObject1758.bin"/><Relationship Id="rId9097" Type="http://schemas.openxmlformats.org/officeDocument/2006/relationships/image" Target="media/image4558.wmf"/><Relationship Id="rId12078" Type="http://schemas.openxmlformats.org/officeDocument/2006/relationships/image" Target="media/image6052.wmf"/><Relationship Id="rId13129" Type="http://schemas.openxmlformats.org/officeDocument/2006/relationships/image" Target="media/image6579.wmf"/><Relationship Id="rId456" Type="http://schemas.openxmlformats.org/officeDocument/2006/relationships/oleObject" Target="embeddings/oleObject219.bin"/><Relationship Id="rId1086" Type="http://schemas.openxmlformats.org/officeDocument/2006/relationships/oleObject" Target="embeddings/oleObject533.bin"/><Relationship Id="rId2137" Type="http://schemas.openxmlformats.org/officeDocument/2006/relationships/oleObject" Target="embeddings/oleObject1056.bin"/><Relationship Id="rId109" Type="http://schemas.openxmlformats.org/officeDocument/2006/relationships/image" Target="media/image52.wmf"/><Relationship Id="rId6758" Type="http://schemas.openxmlformats.org/officeDocument/2006/relationships/oleObject" Target="embeddings/oleObject3366.bin"/><Relationship Id="rId7809" Type="http://schemas.openxmlformats.org/officeDocument/2006/relationships/oleObject" Target="embeddings/oleObject3889.bin"/><Relationship Id="rId8180" Type="http://schemas.openxmlformats.org/officeDocument/2006/relationships/image" Target="media/image4099.wmf"/><Relationship Id="rId9231" Type="http://schemas.openxmlformats.org/officeDocument/2006/relationships/oleObject" Target="embeddings/oleObject4596.bin"/><Relationship Id="rId13610" Type="http://schemas.openxmlformats.org/officeDocument/2006/relationships/image" Target="media/image6820.wmf"/><Relationship Id="rId11161" Type="http://schemas.openxmlformats.org/officeDocument/2006/relationships/image" Target="media/image5592.wmf"/><Relationship Id="rId12212" Type="http://schemas.openxmlformats.org/officeDocument/2006/relationships/image" Target="media/image6119.wmf"/><Relationship Id="rId1220" Type="http://schemas.openxmlformats.org/officeDocument/2006/relationships/image" Target="media/image615.wmf"/><Relationship Id="rId4790" Type="http://schemas.openxmlformats.org/officeDocument/2006/relationships/image" Target="media/image2405.wmf"/><Relationship Id="rId5841" Type="http://schemas.openxmlformats.org/officeDocument/2006/relationships/image" Target="media/image2931.wmf"/><Relationship Id="rId14384" Type="http://schemas.openxmlformats.org/officeDocument/2006/relationships/oleObject" Target="embeddings/oleObject7136.bin"/><Relationship Id="rId3392" Type="http://schemas.openxmlformats.org/officeDocument/2006/relationships/image" Target="media/image1706.wmf"/><Relationship Id="rId4443" Type="http://schemas.openxmlformats.org/officeDocument/2006/relationships/oleObject" Target="embeddings/oleObject2213.bin"/><Relationship Id="rId14037" Type="http://schemas.openxmlformats.org/officeDocument/2006/relationships/image" Target="media/image7033.wmf"/><Relationship Id="rId3045" Type="http://schemas.openxmlformats.org/officeDocument/2006/relationships/image" Target="media/image1532.wmf"/><Relationship Id="rId7666" Type="http://schemas.openxmlformats.org/officeDocument/2006/relationships/image" Target="media/image3842.wmf"/><Relationship Id="rId8717" Type="http://schemas.openxmlformats.org/officeDocument/2006/relationships/image" Target="media/image4368.wmf"/><Relationship Id="rId10994" Type="http://schemas.openxmlformats.org/officeDocument/2006/relationships/image" Target="media/image5507.wmf"/><Relationship Id="rId6268" Type="http://schemas.openxmlformats.org/officeDocument/2006/relationships/oleObject" Target="embeddings/oleObject3123.bin"/><Relationship Id="rId7319" Type="http://schemas.openxmlformats.org/officeDocument/2006/relationships/oleObject" Target="embeddings/oleObject3644.bin"/><Relationship Id="rId10647" Type="http://schemas.openxmlformats.org/officeDocument/2006/relationships/oleObject" Target="embeddings/oleObject5288.bin"/><Relationship Id="rId13120" Type="http://schemas.openxmlformats.org/officeDocument/2006/relationships/oleObject" Target="embeddings/oleObject6507.bin"/><Relationship Id="rId100" Type="http://schemas.openxmlformats.org/officeDocument/2006/relationships/oleObject" Target="embeddings/oleObject46.bin"/><Relationship Id="rId2878" Type="http://schemas.openxmlformats.org/officeDocument/2006/relationships/oleObject" Target="embeddings/oleObject1427.bin"/><Relationship Id="rId3929" Type="http://schemas.openxmlformats.org/officeDocument/2006/relationships/oleObject" Target="embeddings/oleObject1955.bin"/><Relationship Id="rId7800" Type="http://schemas.openxmlformats.org/officeDocument/2006/relationships/image" Target="media/image3909.wmf"/><Relationship Id="rId5351" Type="http://schemas.openxmlformats.org/officeDocument/2006/relationships/image" Target="media/image2686.wmf"/><Relationship Id="rId6402" Type="http://schemas.openxmlformats.org/officeDocument/2006/relationships/oleObject" Target="embeddings/oleObject3191.bin"/><Relationship Id="rId9972" Type="http://schemas.openxmlformats.org/officeDocument/2006/relationships/oleObject" Target="embeddings/oleObject4956.bin"/><Relationship Id="rId1961" Type="http://schemas.openxmlformats.org/officeDocument/2006/relationships/oleObject" Target="embeddings/oleObject968.bin"/><Relationship Id="rId5004" Type="http://schemas.openxmlformats.org/officeDocument/2006/relationships/image" Target="media/image2512.wmf"/><Relationship Id="rId8574" Type="http://schemas.openxmlformats.org/officeDocument/2006/relationships/image" Target="media/image4296.wmf"/><Relationship Id="rId9625" Type="http://schemas.openxmlformats.org/officeDocument/2006/relationships/oleObject" Target="embeddings/oleObject4791.bin"/><Relationship Id="rId11555" Type="http://schemas.openxmlformats.org/officeDocument/2006/relationships/image" Target="media/image5789.wmf"/><Relationship Id="rId12606" Type="http://schemas.openxmlformats.org/officeDocument/2006/relationships/oleObject" Target="embeddings/oleObject6252.bin"/><Relationship Id="rId12953" Type="http://schemas.openxmlformats.org/officeDocument/2006/relationships/image" Target="media/image6491.wmf"/><Relationship Id="rId1614" Type="http://schemas.openxmlformats.org/officeDocument/2006/relationships/image" Target="media/image813.wmf"/><Relationship Id="rId7176" Type="http://schemas.openxmlformats.org/officeDocument/2006/relationships/image" Target="media/image3597.wmf"/><Relationship Id="rId8227" Type="http://schemas.openxmlformats.org/officeDocument/2006/relationships/oleObject" Target="embeddings/oleObject4098.bin"/><Relationship Id="rId10157" Type="http://schemas.openxmlformats.org/officeDocument/2006/relationships/image" Target="media/image5087.wmf"/><Relationship Id="rId11208" Type="http://schemas.openxmlformats.org/officeDocument/2006/relationships/oleObject" Target="embeddings/oleObject5557.bin"/><Relationship Id="rId3786" Type="http://schemas.openxmlformats.org/officeDocument/2006/relationships/image" Target="media/image1904.wmf"/><Relationship Id="rId2388" Type="http://schemas.openxmlformats.org/officeDocument/2006/relationships/oleObject" Target="embeddings/oleObject1183.bin"/><Relationship Id="rId3439" Type="http://schemas.openxmlformats.org/officeDocument/2006/relationships/oleObject" Target="embeddings/oleObject1710.bin"/><Relationship Id="rId4837" Type="http://schemas.openxmlformats.org/officeDocument/2006/relationships/oleObject" Target="embeddings/oleObject2409.bin"/><Relationship Id="rId7310" Type="http://schemas.openxmlformats.org/officeDocument/2006/relationships/image" Target="media/image3664.wmf"/><Relationship Id="rId13861" Type="http://schemas.openxmlformats.org/officeDocument/2006/relationships/image" Target="media/image6945.wmf"/><Relationship Id="rId3920" Type="http://schemas.openxmlformats.org/officeDocument/2006/relationships/image" Target="media/image1971.wmf"/><Relationship Id="rId8084" Type="http://schemas.openxmlformats.org/officeDocument/2006/relationships/image" Target="media/image4051.wmf"/><Relationship Id="rId9482" Type="http://schemas.openxmlformats.org/officeDocument/2006/relationships/image" Target="media/image4750.wmf"/><Relationship Id="rId12463" Type="http://schemas.openxmlformats.org/officeDocument/2006/relationships/image" Target="media/image6246.wmf"/><Relationship Id="rId13514" Type="http://schemas.openxmlformats.org/officeDocument/2006/relationships/image" Target="media/image6772.wmf"/><Relationship Id="rId841" Type="http://schemas.openxmlformats.org/officeDocument/2006/relationships/oleObject" Target="embeddings/oleObject412.bin"/><Relationship Id="rId1471" Type="http://schemas.openxmlformats.org/officeDocument/2006/relationships/oleObject" Target="embeddings/oleObject724.bin"/><Relationship Id="rId2522" Type="http://schemas.openxmlformats.org/officeDocument/2006/relationships/image" Target="media/image1271.wmf"/><Relationship Id="rId9135" Type="http://schemas.openxmlformats.org/officeDocument/2006/relationships/image" Target="media/image4577.wmf"/><Relationship Id="rId11065" Type="http://schemas.openxmlformats.org/officeDocument/2006/relationships/image" Target="media/image5544.wmf"/><Relationship Id="rId12116" Type="http://schemas.openxmlformats.org/officeDocument/2006/relationships/image" Target="media/image6071.wmf"/><Relationship Id="rId1124" Type="http://schemas.openxmlformats.org/officeDocument/2006/relationships/oleObject" Target="embeddings/oleObject552.bin"/><Relationship Id="rId4694" Type="http://schemas.openxmlformats.org/officeDocument/2006/relationships/image" Target="media/image2357.wmf"/><Relationship Id="rId5745" Type="http://schemas.openxmlformats.org/officeDocument/2006/relationships/image" Target="media/image2883.wmf"/><Relationship Id="rId14288" Type="http://schemas.openxmlformats.org/officeDocument/2006/relationships/oleObject" Target="embeddings/oleObject7090.bin"/><Relationship Id="rId3296" Type="http://schemas.openxmlformats.org/officeDocument/2006/relationships/image" Target="media/image1657.wmf"/><Relationship Id="rId4347" Type="http://schemas.openxmlformats.org/officeDocument/2006/relationships/oleObject" Target="embeddings/oleObject2165.bin"/><Relationship Id="rId8968" Type="http://schemas.openxmlformats.org/officeDocument/2006/relationships/oleObject" Target="embeddings/oleObject4464.bin"/><Relationship Id="rId10898" Type="http://schemas.openxmlformats.org/officeDocument/2006/relationships/image" Target="media/image5458.wmf"/><Relationship Id="rId11949" Type="http://schemas.openxmlformats.org/officeDocument/2006/relationships/oleObject" Target="embeddings/oleObject5926.bin"/><Relationship Id="rId13371" Type="http://schemas.openxmlformats.org/officeDocument/2006/relationships/oleObject" Target="embeddings/oleObject6631.bin"/><Relationship Id="rId14422" Type="http://schemas.openxmlformats.org/officeDocument/2006/relationships/oleObject" Target="embeddings/oleObject7155.bin"/><Relationship Id="rId3430" Type="http://schemas.openxmlformats.org/officeDocument/2006/relationships/image" Target="media/image1726.wmf"/><Relationship Id="rId13024" Type="http://schemas.microsoft.com/office/2007/relationships/hdphoto" Target="media/hdphoto48.wdp"/><Relationship Id="rId351" Type="http://schemas.openxmlformats.org/officeDocument/2006/relationships/oleObject" Target="embeddings/oleObject170.bin"/><Relationship Id="rId2032" Type="http://schemas.openxmlformats.org/officeDocument/2006/relationships/image" Target="media/image1022.wmf"/><Relationship Id="rId6653" Type="http://schemas.openxmlformats.org/officeDocument/2006/relationships/image" Target="media/image3336.wmf"/><Relationship Id="rId7704" Type="http://schemas.openxmlformats.org/officeDocument/2006/relationships/image" Target="media/image3861.wmf"/><Relationship Id="rId5255" Type="http://schemas.openxmlformats.org/officeDocument/2006/relationships/image" Target="media/image2638.wmf"/><Relationship Id="rId6306" Type="http://schemas.openxmlformats.org/officeDocument/2006/relationships/oleObject" Target="embeddings/oleObject3142.bin"/><Relationship Id="rId9876" Type="http://schemas.openxmlformats.org/officeDocument/2006/relationships/oleObject" Target="embeddings/oleObject4910.bin"/><Relationship Id="rId1865" Type="http://schemas.openxmlformats.org/officeDocument/2006/relationships/oleObject" Target="embeddings/oleObject920.bin"/><Relationship Id="rId8478" Type="http://schemas.openxmlformats.org/officeDocument/2006/relationships/image" Target="media/image4248.wmf"/><Relationship Id="rId9529" Type="http://schemas.openxmlformats.org/officeDocument/2006/relationships/oleObject" Target="embeddings/oleObject4743.bin"/><Relationship Id="rId12857" Type="http://schemas.openxmlformats.org/officeDocument/2006/relationships/image" Target="media/image6443.wmf"/><Relationship Id="rId13908" Type="http://schemas.openxmlformats.org/officeDocument/2006/relationships/oleObject" Target="embeddings/oleObject6900.bin"/><Relationship Id="rId1518" Type="http://schemas.openxmlformats.org/officeDocument/2006/relationships/image" Target="media/image764.wmf"/><Relationship Id="rId2916" Type="http://schemas.openxmlformats.org/officeDocument/2006/relationships/oleObject" Target="embeddings/oleObject1446.bin"/><Relationship Id="rId11459" Type="http://schemas.openxmlformats.org/officeDocument/2006/relationships/image" Target="media/image5741.wmf"/><Relationship Id="rId11940" Type="http://schemas.openxmlformats.org/officeDocument/2006/relationships/image" Target="media/image5983.wmf"/><Relationship Id="rId6163" Type="http://schemas.openxmlformats.org/officeDocument/2006/relationships/image" Target="media/image3092.wmf"/><Relationship Id="rId7561" Type="http://schemas.openxmlformats.org/officeDocument/2006/relationships/oleObject" Target="embeddings/oleObject3765.bin"/><Relationship Id="rId8612" Type="http://schemas.openxmlformats.org/officeDocument/2006/relationships/image" Target="media/image4315.wmf"/><Relationship Id="rId10542" Type="http://schemas.openxmlformats.org/officeDocument/2006/relationships/image" Target="media/image5280.wmf"/><Relationship Id="rId7214" Type="http://schemas.openxmlformats.org/officeDocument/2006/relationships/image" Target="media/image3616.wmf"/><Relationship Id="rId13765" Type="http://schemas.openxmlformats.org/officeDocument/2006/relationships/image" Target="media/image6897.wmf"/><Relationship Id="rId2773" Type="http://schemas.openxmlformats.org/officeDocument/2006/relationships/oleObject" Target="embeddings/oleObject1374.bin"/><Relationship Id="rId3824" Type="http://schemas.openxmlformats.org/officeDocument/2006/relationships/image" Target="media/image1923.wmf"/><Relationship Id="rId9386" Type="http://schemas.openxmlformats.org/officeDocument/2006/relationships/image" Target="media/image4702.wmf"/><Relationship Id="rId12367" Type="http://schemas.openxmlformats.org/officeDocument/2006/relationships/image" Target="media/image6198.wmf"/><Relationship Id="rId13418" Type="http://schemas.openxmlformats.org/officeDocument/2006/relationships/image" Target="media/image6724.wmf"/><Relationship Id="rId745" Type="http://schemas.openxmlformats.org/officeDocument/2006/relationships/oleObject" Target="embeddings/oleObject361.bin"/><Relationship Id="rId1375" Type="http://schemas.openxmlformats.org/officeDocument/2006/relationships/oleObject" Target="embeddings/oleObject677.bin"/><Relationship Id="rId2426" Type="http://schemas.openxmlformats.org/officeDocument/2006/relationships/oleObject" Target="embeddings/oleObject1202.bin"/><Relationship Id="rId5996" Type="http://schemas.openxmlformats.org/officeDocument/2006/relationships/oleObject" Target="embeddings/oleObject2987.bin"/><Relationship Id="rId9039" Type="http://schemas.openxmlformats.org/officeDocument/2006/relationships/image" Target="media/image4529.wmf"/><Relationship Id="rId81" Type="http://schemas.openxmlformats.org/officeDocument/2006/relationships/image" Target="media/image38.wmf"/><Relationship Id="rId1028" Type="http://schemas.openxmlformats.org/officeDocument/2006/relationships/oleObject" Target="embeddings/oleObject505.bin"/><Relationship Id="rId4598" Type="http://schemas.openxmlformats.org/officeDocument/2006/relationships/image" Target="media/image2309.wmf"/><Relationship Id="rId5649" Type="http://schemas.openxmlformats.org/officeDocument/2006/relationships/image" Target="media/image2835.wmf"/><Relationship Id="rId9520" Type="http://schemas.openxmlformats.org/officeDocument/2006/relationships/image" Target="media/image4769.wmf"/><Relationship Id="rId7071" Type="http://schemas.openxmlformats.org/officeDocument/2006/relationships/image" Target="media/image3545.wmf"/><Relationship Id="rId8122" Type="http://schemas.openxmlformats.org/officeDocument/2006/relationships/image" Target="media/image4070.wmf"/><Relationship Id="rId11450" Type="http://schemas.openxmlformats.org/officeDocument/2006/relationships/oleObject" Target="embeddings/oleObject5678.bin"/><Relationship Id="rId12501" Type="http://schemas.openxmlformats.org/officeDocument/2006/relationships/image" Target="media/image6265.wmf"/><Relationship Id="rId10052" Type="http://schemas.openxmlformats.org/officeDocument/2006/relationships/oleObject" Target="embeddings/oleObject4995.bin"/><Relationship Id="rId11103" Type="http://schemas.openxmlformats.org/officeDocument/2006/relationships/image" Target="media/image5563.wmf"/><Relationship Id="rId3681" Type="http://schemas.openxmlformats.org/officeDocument/2006/relationships/oleObject" Target="embeddings/oleObject1831.bin"/><Relationship Id="rId4732" Type="http://schemas.openxmlformats.org/officeDocument/2006/relationships/image" Target="media/image2376.wmf"/><Relationship Id="rId13275" Type="http://schemas.openxmlformats.org/officeDocument/2006/relationships/image" Target="media/image6652.wmf"/><Relationship Id="rId14326" Type="http://schemas.openxmlformats.org/officeDocument/2006/relationships/oleObject" Target="embeddings/oleObject7109.bin"/><Relationship Id="rId2283" Type="http://schemas.openxmlformats.org/officeDocument/2006/relationships/image" Target="media/image1148.wmf"/><Relationship Id="rId3334" Type="http://schemas.openxmlformats.org/officeDocument/2006/relationships/image" Target="media/image1676.wmf"/><Relationship Id="rId7955" Type="http://schemas.openxmlformats.org/officeDocument/2006/relationships/oleObject" Target="embeddings/oleObject3962.bin"/><Relationship Id="rId255" Type="http://schemas.openxmlformats.org/officeDocument/2006/relationships/oleObject" Target="embeddings/oleObject122.bin"/><Relationship Id="rId6557" Type="http://schemas.openxmlformats.org/officeDocument/2006/relationships/image" Target="media/image3288.wmf"/><Relationship Id="rId7608" Type="http://schemas.openxmlformats.org/officeDocument/2006/relationships/image" Target="media/image3813.wmf"/><Relationship Id="rId10936" Type="http://schemas.openxmlformats.org/officeDocument/2006/relationships/image" Target="media/image5477.wmf"/><Relationship Id="rId5159" Type="http://schemas.openxmlformats.org/officeDocument/2006/relationships/oleObject" Target="embeddings/oleObject2569.bin"/><Relationship Id="rId9030" Type="http://schemas.openxmlformats.org/officeDocument/2006/relationships/oleObject" Target="embeddings/oleObject4495.bin"/><Relationship Id="rId12011" Type="http://schemas.openxmlformats.org/officeDocument/2006/relationships/oleObject" Target="embeddings/oleObject5957.bin"/><Relationship Id="rId1769" Type="http://schemas.openxmlformats.org/officeDocument/2006/relationships/oleObject" Target="embeddings/oleObject872.bin"/><Relationship Id="rId3191" Type="http://schemas.openxmlformats.org/officeDocument/2006/relationships/image" Target="media/image1605.wmf"/><Relationship Id="rId4242" Type="http://schemas.openxmlformats.org/officeDocument/2006/relationships/oleObject" Target="embeddings/oleObject2112.bin"/><Relationship Id="rId5640" Type="http://schemas.openxmlformats.org/officeDocument/2006/relationships/oleObject" Target="embeddings/oleObject2809.bin"/><Relationship Id="rId14183" Type="http://schemas.openxmlformats.org/officeDocument/2006/relationships/image" Target="media/image7106.wmf"/><Relationship Id="rId8863" Type="http://schemas.openxmlformats.org/officeDocument/2006/relationships/image" Target="media/image4441.wmf"/><Relationship Id="rId9914" Type="http://schemas.openxmlformats.org/officeDocument/2006/relationships/oleObject" Target="embeddings/oleObject4929.bin"/><Relationship Id="rId10793" Type="http://schemas.openxmlformats.org/officeDocument/2006/relationships/oleObject" Target="embeddings/oleObject5359.bin"/><Relationship Id="rId11844" Type="http://schemas.openxmlformats.org/officeDocument/2006/relationships/image" Target="media/image5935.wmf"/><Relationship Id="rId1903" Type="http://schemas.openxmlformats.org/officeDocument/2006/relationships/oleObject" Target="embeddings/oleObject939.bin"/><Relationship Id="rId7465" Type="http://schemas.openxmlformats.org/officeDocument/2006/relationships/oleObject" Target="embeddings/oleObject3717.bin"/><Relationship Id="rId8516" Type="http://schemas.openxmlformats.org/officeDocument/2006/relationships/image" Target="media/image4267.wmf"/><Relationship Id="rId10446" Type="http://schemas.openxmlformats.org/officeDocument/2006/relationships/image" Target="media/image5232.wmf"/><Relationship Id="rId6067" Type="http://schemas.openxmlformats.org/officeDocument/2006/relationships/image" Target="media/image3044.wmf"/><Relationship Id="rId7118" Type="http://schemas.openxmlformats.org/officeDocument/2006/relationships/oleObject" Target="embeddings/oleObject3544.bin"/><Relationship Id="rId996" Type="http://schemas.openxmlformats.org/officeDocument/2006/relationships/oleObject" Target="embeddings/oleObject489.bin"/><Relationship Id="rId2677" Type="http://schemas.openxmlformats.org/officeDocument/2006/relationships/oleObject" Target="embeddings/oleObject1326.bin"/><Relationship Id="rId3728" Type="http://schemas.openxmlformats.org/officeDocument/2006/relationships/image" Target="media/image1875.wmf"/><Relationship Id="rId13669" Type="http://schemas.openxmlformats.org/officeDocument/2006/relationships/oleObject" Target="embeddings/oleObject6780.bin"/><Relationship Id="rId649" Type="http://schemas.openxmlformats.org/officeDocument/2006/relationships/oleObject" Target="embeddings/oleObject314.bin"/><Relationship Id="rId1279" Type="http://schemas.openxmlformats.org/officeDocument/2006/relationships/oleObject" Target="embeddings/oleObject629.bin"/><Relationship Id="rId5150" Type="http://schemas.openxmlformats.org/officeDocument/2006/relationships/image" Target="media/image2585.wmf"/><Relationship Id="rId6201" Type="http://schemas.openxmlformats.org/officeDocument/2006/relationships/image" Target="media/image3111.wmf"/><Relationship Id="rId8373" Type="http://schemas.openxmlformats.org/officeDocument/2006/relationships/oleObject" Target="embeddings/oleObject4171.bin"/><Relationship Id="rId9771" Type="http://schemas.openxmlformats.org/officeDocument/2006/relationships/oleObject" Target="embeddings/oleObject4857.bin"/><Relationship Id="rId12752" Type="http://schemas.openxmlformats.org/officeDocument/2006/relationships/oleObject" Target="embeddings/oleObject6325.bin"/><Relationship Id="rId13803" Type="http://schemas.openxmlformats.org/officeDocument/2006/relationships/image" Target="media/image6916.wmf"/><Relationship Id="rId1760" Type="http://schemas.openxmlformats.org/officeDocument/2006/relationships/image" Target="media/image886.wmf"/><Relationship Id="rId2811" Type="http://schemas.openxmlformats.org/officeDocument/2006/relationships/oleObject" Target="embeddings/oleObject1393.bin"/><Relationship Id="rId8026" Type="http://schemas.openxmlformats.org/officeDocument/2006/relationships/image" Target="media/image4022.wmf"/><Relationship Id="rId9424" Type="http://schemas.openxmlformats.org/officeDocument/2006/relationships/image" Target="media/image4721.wmf"/><Relationship Id="rId11354" Type="http://schemas.openxmlformats.org/officeDocument/2006/relationships/oleObject" Target="embeddings/oleObject5630.bin"/><Relationship Id="rId12405" Type="http://schemas.openxmlformats.org/officeDocument/2006/relationships/image" Target="media/image6217.wmf"/><Relationship Id="rId1413" Type="http://schemas.openxmlformats.org/officeDocument/2006/relationships/oleObject" Target="embeddings/oleObject695.bin"/><Relationship Id="rId4983" Type="http://schemas.openxmlformats.org/officeDocument/2006/relationships/oleObject" Target="embeddings/oleObject2481.bin"/><Relationship Id="rId11007" Type="http://schemas.openxmlformats.org/officeDocument/2006/relationships/oleObject" Target="embeddings/oleObject5459.bin"/><Relationship Id="rId14577" Type="http://schemas.openxmlformats.org/officeDocument/2006/relationships/image" Target="media/image7303.wmf"/><Relationship Id="rId3585" Type="http://schemas.openxmlformats.org/officeDocument/2006/relationships/oleObject" Target="embeddings/oleObject1783.bin"/><Relationship Id="rId4636" Type="http://schemas.openxmlformats.org/officeDocument/2006/relationships/image" Target="media/image2328.wmf"/><Relationship Id="rId13179" Type="http://schemas.openxmlformats.org/officeDocument/2006/relationships/image" Target="media/image6604.wmf"/><Relationship Id="rId2187" Type="http://schemas.openxmlformats.org/officeDocument/2006/relationships/oleObject" Target="embeddings/oleObject1081.bin"/><Relationship Id="rId3238" Type="http://schemas.openxmlformats.org/officeDocument/2006/relationships/oleObject" Target="embeddings/oleObject1607.bin"/><Relationship Id="rId7859" Type="http://schemas.openxmlformats.org/officeDocument/2006/relationships/oleObject" Target="embeddings/oleObject3914.bin"/><Relationship Id="rId159" Type="http://schemas.openxmlformats.org/officeDocument/2006/relationships/oleObject" Target="embeddings/oleObject74.bin"/><Relationship Id="rId9281" Type="http://schemas.openxmlformats.org/officeDocument/2006/relationships/oleObject" Target="embeddings/oleObject4621.bin"/><Relationship Id="rId13660" Type="http://schemas.openxmlformats.org/officeDocument/2006/relationships/image" Target="media/image6845.wmf"/><Relationship Id="rId1270" Type="http://schemas.openxmlformats.org/officeDocument/2006/relationships/image" Target="media/image640.wmf"/><Relationship Id="rId12262" Type="http://schemas.openxmlformats.org/officeDocument/2006/relationships/image" Target="media/image6144.wmf"/><Relationship Id="rId13313" Type="http://schemas.openxmlformats.org/officeDocument/2006/relationships/image" Target="media/image6671.wmf"/><Relationship Id="rId640" Type="http://schemas.openxmlformats.org/officeDocument/2006/relationships/image" Target="media/image321.wmf"/><Relationship Id="rId2321" Type="http://schemas.openxmlformats.org/officeDocument/2006/relationships/image" Target="media/image1169.wmf"/><Relationship Id="rId5891" Type="http://schemas.openxmlformats.org/officeDocument/2006/relationships/image" Target="media/image2956.wmf"/><Relationship Id="rId6942" Type="http://schemas.openxmlformats.org/officeDocument/2006/relationships/oleObject" Target="embeddings/oleObject3456.bin"/><Relationship Id="rId4493" Type="http://schemas.openxmlformats.org/officeDocument/2006/relationships/oleObject" Target="embeddings/oleObject2238.bin"/><Relationship Id="rId5544" Type="http://schemas.openxmlformats.org/officeDocument/2006/relationships/oleObject" Target="embeddings/oleObject2761.bin"/><Relationship Id="rId14087" Type="http://schemas.openxmlformats.org/officeDocument/2006/relationships/image" Target="media/image7058.wmf"/><Relationship Id="rId3095" Type="http://schemas.openxmlformats.org/officeDocument/2006/relationships/image" Target="media/image1557.wmf"/><Relationship Id="rId4146" Type="http://schemas.openxmlformats.org/officeDocument/2006/relationships/oleObject" Target="embeddings/oleObject2064.bin"/><Relationship Id="rId8767" Type="http://schemas.openxmlformats.org/officeDocument/2006/relationships/image" Target="media/image4393.wmf"/><Relationship Id="rId9818" Type="http://schemas.openxmlformats.org/officeDocument/2006/relationships/image" Target="media/image4918.wmf"/><Relationship Id="rId10697" Type="http://schemas.openxmlformats.org/officeDocument/2006/relationships/oleObject" Target="embeddings/oleObject5313.bin"/><Relationship Id="rId1807" Type="http://schemas.openxmlformats.org/officeDocument/2006/relationships/oleObject" Target="embeddings/oleObject891.bin"/><Relationship Id="rId7369" Type="http://schemas.openxmlformats.org/officeDocument/2006/relationships/oleObject" Target="embeddings/oleObject3669.bin"/><Relationship Id="rId11748" Type="http://schemas.openxmlformats.org/officeDocument/2006/relationships/image" Target="media/image5887.wmf"/><Relationship Id="rId13170" Type="http://schemas.openxmlformats.org/officeDocument/2006/relationships/oleObject" Target="embeddings/oleObject6532.bin"/><Relationship Id="rId14221" Type="http://schemas.openxmlformats.org/officeDocument/2006/relationships/image" Target="media/image7125.wmf"/><Relationship Id="rId150" Type="http://schemas.openxmlformats.org/officeDocument/2006/relationships/image" Target="media/image74.wmf"/><Relationship Id="rId3979" Type="http://schemas.openxmlformats.org/officeDocument/2006/relationships/image" Target="media/image2000.wmf"/><Relationship Id="rId6452" Type="http://schemas.openxmlformats.org/officeDocument/2006/relationships/oleObject" Target="embeddings/oleObject3216.bin"/><Relationship Id="rId7850" Type="http://schemas.openxmlformats.org/officeDocument/2006/relationships/image" Target="media/image3934.wmf"/><Relationship Id="rId8901" Type="http://schemas.openxmlformats.org/officeDocument/2006/relationships/image" Target="media/image4460.wmf"/><Relationship Id="rId10831" Type="http://schemas.openxmlformats.org/officeDocument/2006/relationships/oleObject" Target="embeddings/oleObject5378.bin"/><Relationship Id="rId5054" Type="http://schemas.openxmlformats.org/officeDocument/2006/relationships/image" Target="media/image2537.wmf"/><Relationship Id="rId6105" Type="http://schemas.openxmlformats.org/officeDocument/2006/relationships/image" Target="media/image3063.wmf"/><Relationship Id="rId7503" Type="http://schemas.openxmlformats.org/officeDocument/2006/relationships/oleObject" Target="embeddings/oleObject3736.bin"/><Relationship Id="rId9675" Type="http://schemas.openxmlformats.org/officeDocument/2006/relationships/oleObject" Target="embeddings/oleObject4816.bin"/><Relationship Id="rId12656" Type="http://schemas.openxmlformats.org/officeDocument/2006/relationships/oleObject" Target="embeddings/oleObject6277.bin"/><Relationship Id="rId13707" Type="http://schemas.openxmlformats.org/officeDocument/2006/relationships/image" Target="media/image6868.wmf"/><Relationship Id="rId1664" Type="http://schemas.openxmlformats.org/officeDocument/2006/relationships/image" Target="media/image838.wmf"/><Relationship Id="rId2715" Type="http://schemas.openxmlformats.org/officeDocument/2006/relationships/oleObject" Target="embeddings/oleObject1345.bin"/><Relationship Id="rId8277" Type="http://schemas.openxmlformats.org/officeDocument/2006/relationships/oleObject" Target="embeddings/oleObject4123.bin"/><Relationship Id="rId9328" Type="http://schemas.openxmlformats.org/officeDocument/2006/relationships/image" Target="media/image4673.wmf"/><Relationship Id="rId11258" Type="http://schemas.openxmlformats.org/officeDocument/2006/relationships/oleObject" Target="embeddings/oleObject5582.bin"/><Relationship Id="rId12309" Type="http://schemas.openxmlformats.org/officeDocument/2006/relationships/image" Target="media/image6169.wmf"/><Relationship Id="rId1317" Type="http://schemas.openxmlformats.org/officeDocument/2006/relationships/oleObject" Target="embeddings/oleObject648.bin"/><Relationship Id="rId4887" Type="http://schemas.openxmlformats.org/officeDocument/2006/relationships/oleObject" Target="embeddings/oleObject2434.bin"/><Relationship Id="rId5938" Type="http://schemas.openxmlformats.org/officeDocument/2006/relationships/oleObject" Target="embeddings/oleObject2958.bin"/><Relationship Id="rId23" Type="http://schemas.openxmlformats.org/officeDocument/2006/relationships/image" Target="media/image9.wmf"/><Relationship Id="rId3489" Type="http://schemas.openxmlformats.org/officeDocument/2006/relationships/oleObject" Target="embeddings/oleObject1735.bin"/><Relationship Id="rId7360" Type="http://schemas.openxmlformats.org/officeDocument/2006/relationships/image" Target="media/image3689.wmf"/><Relationship Id="rId8411" Type="http://schemas.openxmlformats.org/officeDocument/2006/relationships/oleObject" Target="embeddings/oleObject4190.bin"/><Relationship Id="rId7013" Type="http://schemas.openxmlformats.org/officeDocument/2006/relationships/image" Target="media/image3516.wmf"/><Relationship Id="rId10341" Type="http://schemas.openxmlformats.org/officeDocument/2006/relationships/image" Target="media/image5179.wmf"/><Relationship Id="rId3970" Type="http://schemas.openxmlformats.org/officeDocument/2006/relationships/oleObject" Target="embeddings/oleObject1976.bin"/><Relationship Id="rId9185" Type="http://schemas.openxmlformats.org/officeDocument/2006/relationships/oleObject" Target="embeddings/oleObject4573.bin"/><Relationship Id="rId13564" Type="http://schemas.openxmlformats.org/officeDocument/2006/relationships/image" Target="media/image6797.wmf"/><Relationship Id="rId891" Type="http://schemas.openxmlformats.org/officeDocument/2006/relationships/oleObject" Target="embeddings/oleObject437.bin"/><Relationship Id="rId2572" Type="http://schemas.openxmlformats.org/officeDocument/2006/relationships/image" Target="media/image1296.wmf"/><Relationship Id="rId3623" Type="http://schemas.openxmlformats.org/officeDocument/2006/relationships/oleObject" Target="embeddings/oleObject1802.bin"/><Relationship Id="rId12166" Type="http://schemas.openxmlformats.org/officeDocument/2006/relationships/image" Target="media/image6096.wmf"/><Relationship Id="rId13217" Type="http://schemas.openxmlformats.org/officeDocument/2006/relationships/image" Target="media/image6623.wmf"/><Relationship Id="rId544" Type="http://schemas.openxmlformats.org/officeDocument/2006/relationships/image" Target="media/image272.emf"/><Relationship Id="rId1174" Type="http://schemas.openxmlformats.org/officeDocument/2006/relationships/oleObject" Target="embeddings/oleObject577.bin"/><Relationship Id="rId2225" Type="http://schemas.openxmlformats.org/officeDocument/2006/relationships/oleObject" Target="embeddings/oleObject1100.bin"/><Relationship Id="rId5795" Type="http://schemas.openxmlformats.org/officeDocument/2006/relationships/image" Target="media/image2908.wmf"/><Relationship Id="rId6846" Type="http://schemas.openxmlformats.org/officeDocument/2006/relationships/oleObject" Target="embeddings/oleObject3408.bin"/><Relationship Id="rId4397" Type="http://schemas.openxmlformats.org/officeDocument/2006/relationships/oleObject" Target="embeddings/oleObject2190.bin"/><Relationship Id="rId5448" Type="http://schemas.openxmlformats.org/officeDocument/2006/relationships/oleObject" Target="embeddings/oleObject2713.bin"/><Relationship Id="rId12300" Type="http://schemas.openxmlformats.org/officeDocument/2006/relationships/oleObject" Target="embeddings/oleObject6099.bin"/><Relationship Id="rId11999" Type="http://schemas.openxmlformats.org/officeDocument/2006/relationships/oleObject" Target="embeddings/oleObject5951.bin"/><Relationship Id="rId3480" Type="http://schemas.openxmlformats.org/officeDocument/2006/relationships/image" Target="media/image1751.wmf"/><Relationship Id="rId4531" Type="http://schemas.openxmlformats.org/officeDocument/2006/relationships/oleObject" Target="embeddings/oleObject2257.bin"/><Relationship Id="rId13074" Type="http://schemas.openxmlformats.org/officeDocument/2006/relationships/oleObject" Target="embeddings/oleObject6484.bin"/><Relationship Id="rId14472" Type="http://schemas.openxmlformats.org/officeDocument/2006/relationships/oleObject" Target="embeddings/oleObject7176.bin"/><Relationship Id="rId2082" Type="http://schemas.openxmlformats.org/officeDocument/2006/relationships/image" Target="media/image1047.wmf"/><Relationship Id="rId3133" Type="http://schemas.openxmlformats.org/officeDocument/2006/relationships/image" Target="media/image1576.wmf"/><Relationship Id="rId14125" Type="http://schemas.openxmlformats.org/officeDocument/2006/relationships/image" Target="media/image7077.wmf"/><Relationship Id="rId7754" Type="http://schemas.openxmlformats.org/officeDocument/2006/relationships/image" Target="media/image3886.wmf"/><Relationship Id="rId8805" Type="http://schemas.openxmlformats.org/officeDocument/2006/relationships/image" Target="media/image4412.wmf"/><Relationship Id="rId10735" Type="http://schemas.openxmlformats.org/officeDocument/2006/relationships/oleObject" Target="embeddings/oleObject5330.bin"/><Relationship Id="rId6356" Type="http://schemas.openxmlformats.org/officeDocument/2006/relationships/oleObject" Target="embeddings/oleObject3168.bin"/><Relationship Id="rId7407" Type="http://schemas.openxmlformats.org/officeDocument/2006/relationships/oleObject" Target="embeddings/oleObject3688.bin"/><Relationship Id="rId2966" Type="http://schemas.openxmlformats.org/officeDocument/2006/relationships/oleObject" Target="embeddings/oleObject1471.bin"/><Relationship Id="rId6009" Type="http://schemas.openxmlformats.org/officeDocument/2006/relationships/image" Target="media/image3015.wmf"/><Relationship Id="rId9579" Type="http://schemas.openxmlformats.org/officeDocument/2006/relationships/oleObject" Target="embeddings/oleObject4768.bin"/><Relationship Id="rId13958" Type="http://schemas.openxmlformats.org/officeDocument/2006/relationships/oleObject" Target="embeddings/oleObject6925.bin"/><Relationship Id="rId938" Type="http://schemas.openxmlformats.org/officeDocument/2006/relationships/oleObject" Target="embeddings/oleObject460.bin"/><Relationship Id="rId1568" Type="http://schemas.openxmlformats.org/officeDocument/2006/relationships/image" Target="media/image789.wmf"/><Relationship Id="rId2619" Type="http://schemas.openxmlformats.org/officeDocument/2006/relationships/oleObject" Target="embeddings/oleObject1297.bin"/><Relationship Id="rId4041" Type="http://schemas.openxmlformats.org/officeDocument/2006/relationships/image" Target="media/image2031.wmf"/><Relationship Id="rId8662" Type="http://schemas.openxmlformats.org/officeDocument/2006/relationships/oleObject" Target="embeddings/oleObject4314.bin"/><Relationship Id="rId11990" Type="http://schemas.openxmlformats.org/officeDocument/2006/relationships/image" Target="media/image6008.wmf"/><Relationship Id="rId7264" Type="http://schemas.openxmlformats.org/officeDocument/2006/relationships/image" Target="media/image3641.wmf"/><Relationship Id="rId8315" Type="http://schemas.openxmlformats.org/officeDocument/2006/relationships/oleObject" Target="embeddings/oleObject4142.bin"/><Relationship Id="rId9713" Type="http://schemas.openxmlformats.org/officeDocument/2006/relationships/oleObject" Target="embeddings/oleObject4828.bin"/><Relationship Id="rId10592" Type="http://schemas.openxmlformats.org/officeDocument/2006/relationships/image" Target="media/image5305.wmf"/><Relationship Id="rId11643" Type="http://schemas.openxmlformats.org/officeDocument/2006/relationships/image" Target="media/image5833.wmf"/><Relationship Id="rId1702" Type="http://schemas.openxmlformats.org/officeDocument/2006/relationships/image" Target="media/image857.wmf"/><Relationship Id="rId10245" Type="http://schemas.openxmlformats.org/officeDocument/2006/relationships/image" Target="media/image5131.wmf"/><Relationship Id="rId3874" Type="http://schemas.openxmlformats.org/officeDocument/2006/relationships/image" Target="media/image1948.wmf"/><Relationship Id="rId4925" Type="http://schemas.openxmlformats.org/officeDocument/2006/relationships/oleObject" Target="embeddings/oleObject2453.bin"/><Relationship Id="rId9089" Type="http://schemas.openxmlformats.org/officeDocument/2006/relationships/image" Target="media/image4554.wmf"/><Relationship Id="rId13468" Type="http://schemas.openxmlformats.org/officeDocument/2006/relationships/image" Target="media/image6749.wmf"/><Relationship Id="rId14519" Type="http://schemas.openxmlformats.org/officeDocument/2006/relationships/image" Target="media/image7274.wmf"/><Relationship Id="rId795" Type="http://schemas.openxmlformats.org/officeDocument/2006/relationships/oleObject" Target="embeddings/oleObject389.bin"/><Relationship Id="rId2476" Type="http://schemas.openxmlformats.org/officeDocument/2006/relationships/image" Target="media/image1248.wmf"/><Relationship Id="rId3527" Type="http://schemas.openxmlformats.org/officeDocument/2006/relationships/oleObject" Target="embeddings/oleObject1754.bin"/><Relationship Id="rId448" Type="http://schemas.openxmlformats.org/officeDocument/2006/relationships/oleObject" Target="embeddings/oleObject215.bin"/><Relationship Id="rId1078" Type="http://schemas.openxmlformats.org/officeDocument/2006/relationships/oleObject" Target="embeddings/oleObject529.bin"/><Relationship Id="rId2129" Type="http://schemas.openxmlformats.org/officeDocument/2006/relationships/oleObject" Target="embeddings/oleObject1052.bin"/><Relationship Id="rId5699" Type="http://schemas.openxmlformats.org/officeDocument/2006/relationships/image" Target="media/image2860.wmf"/><Relationship Id="rId6000" Type="http://schemas.openxmlformats.org/officeDocument/2006/relationships/oleObject" Target="embeddings/oleObject2989.bin"/><Relationship Id="rId9570" Type="http://schemas.openxmlformats.org/officeDocument/2006/relationships/image" Target="media/image4794.wmf"/><Relationship Id="rId8172" Type="http://schemas.openxmlformats.org/officeDocument/2006/relationships/image" Target="media/image4095.wmf"/><Relationship Id="rId9223" Type="http://schemas.openxmlformats.org/officeDocument/2006/relationships/oleObject" Target="embeddings/oleObject4592.bin"/><Relationship Id="rId11153" Type="http://schemas.openxmlformats.org/officeDocument/2006/relationships/image" Target="media/image5588.wmf"/><Relationship Id="rId12551" Type="http://schemas.openxmlformats.org/officeDocument/2006/relationships/image" Target="media/image6290.wmf"/><Relationship Id="rId13602" Type="http://schemas.openxmlformats.org/officeDocument/2006/relationships/image" Target="media/image6816.wmf"/><Relationship Id="rId1212" Type="http://schemas.openxmlformats.org/officeDocument/2006/relationships/image" Target="media/image611.wmf"/><Relationship Id="rId2610" Type="http://schemas.openxmlformats.org/officeDocument/2006/relationships/image" Target="media/image1315.wmf"/><Relationship Id="rId12204" Type="http://schemas.openxmlformats.org/officeDocument/2006/relationships/image" Target="media/image6115.wmf"/><Relationship Id="rId4782" Type="http://schemas.openxmlformats.org/officeDocument/2006/relationships/image" Target="media/image2401.wmf"/><Relationship Id="rId5833" Type="http://schemas.openxmlformats.org/officeDocument/2006/relationships/image" Target="media/image2927.wmf"/><Relationship Id="rId14376" Type="http://schemas.openxmlformats.org/officeDocument/2006/relationships/oleObject" Target="embeddings/oleObject7132.bin"/><Relationship Id="rId3037" Type="http://schemas.openxmlformats.org/officeDocument/2006/relationships/image" Target="media/image1528.wmf"/><Relationship Id="rId3384" Type="http://schemas.openxmlformats.org/officeDocument/2006/relationships/image" Target="media/image1702.wmf"/><Relationship Id="rId4435" Type="http://schemas.openxmlformats.org/officeDocument/2006/relationships/oleObject" Target="embeddings/oleObject2209.bin"/><Relationship Id="rId10986" Type="http://schemas.openxmlformats.org/officeDocument/2006/relationships/image" Target="media/image5503.wmf"/><Relationship Id="rId14029" Type="http://schemas.openxmlformats.org/officeDocument/2006/relationships/image" Target="media/image7029.wmf"/><Relationship Id="rId7658" Type="http://schemas.openxmlformats.org/officeDocument/2006/relationships/image" Target="media/image3838.wmf"/><Relationship Id="rId8709" Type="http://schemas.openxmlformats.org/officeDocument/2006/relationships/image" Target="media/image4364.wmf"/><Relationship Id="rId10639" Type="http://schemas.openxmlformats.org/officeDocument/2006/relationships/oleObject" Target="embeddings/oleObject5284.bin"/><Relationship Id="rId14510" Type="http://schemas.openxmlformats.org/officeDocument/2006/relationships/oleObject" Target="embeddings/oleObject7195.bin"/><Relationship Id="rId9080" Type="http://schemas.openxmlformats.org/officeDocument/2006/relationships/oleObject" Target="embeddings/oleObject4520.bin"/><Relationship Id="rId12061" Type="http://schemas.openxmlformats.org/officeDocument/2006/relationships/oleObject" Target="embeddings/oleObject5982.bin"/><Relationship Id="rId13112" Type="http://schemas.openxmlformats.org/officeDocument/2006/relationships/oleObject" Target="embeddings/oleObject6503.bin"/><Relationship Id="rId2120" Type="http://schemas.openxmlformats.org/officeDocument/2006/relationships/image" Target="media/image1066.wmf"/><Relationship Id="rId5690" Type="http://schemas.openxmlformats.org/officeDocument/2006/relationships/oleObject" Target="embeddings/oleObject2834.bin"/><Relationship Id="rId6741" Type="http://schemas.openxmlformats.org/officeDocument/2006/relationships/image" Target="media/image3380.wmf"/><Relationship Id="rId4292" Type="http://schemas.openxmlformats.org/officeDocument/2006/relationships/oleObject" Target="embeddings/oleObject2137.bin"/><Relationship Id="rId5343" Type="http://schemas.openxmlformats.org/officeDocument/2006/relationships/image" Target="media/image2682.wmf"/><Relationship Id="rId9964" Type="http://schemas.openxmlformats.org/officeDocument/2006/relationships/oleObject" Target="embeddings/oleObject4952.bin"/><Relationship Id="rId11894" Type="http://schemas.openxmlformats.org/officeDocument/2006/relationships/image" Target="media/image5960.wmf"/><Relationship Id="rId12945" Type="http://schemas.openxmlformats.org/officeDocument/2006/relationships/image" Target="media/image6487.wmf"/><Relationship Id="rId1953" Type="http://schemas.openxmlformats.org/officeDocument/2006/relationships/oleObject" Target="embeddings/oleObject964.bin"/><Relationship Id="rId7168" Type="http://schemas.openxmlformats.org/officeDocument/2006/relationships/image" Target="media/image3593.wmf"/><Relationship Id="rId8566" Type="http://schemas.openxmlformats.org/officeDocument/2006/relationships/image" Target="media/image4292.wmf"/><Relationship Id="rId9617" Type="http://schemas.openxmlformats.org/officeDocument/2006/relationships/oleObject" Target="embeddings/oleObject4787.bin"/><Relationship Id="rId10496" Type="http://schemas.openxmlformats.org/officeDocument/2006/relationships/image" Target="media/image5257.wmf"/><Relationship Id="rId11547" Type="http://schemas.openxmlformats.org/officeDocument/2006/relationships/image" Target="media/image5785.wmf"/><Relationship Id="rId1606" Type="http://schemas.openxmlformats.org/officeDocument/2006/relationships/image" Target="media/image809.wmf"/><Relationship Id="rId8219" Type="http://schemas.openxmlformats.org/officeDocument/2006/relationships/oleObject" Target="embeddings/oleObject4094.bin"/><Relationship Id="rId10149" Type="http://schemas.openxmlformats.org/officeDocument/2006/relationships/image" Target="media/image5083.wmf"/><Relationship Id="rId14020" Type="http://schemas.openxmlformats.org/officeDocument/2006/relationships/oleObject" Target="embeddings/oleObject6956.bin"/><Relationship Id="rId3778" Type="http://schemas.openxmlformats.org/officeDocument/2006/relationships/image" Target="media/image1900.wmf"/><Relationship Id="rId4829" Type="http://schemas.openxmlformats.org/officeDocument/2006/relationships/oleObject" Target="embeddings/oleObject2405.bin"/><Relationship Id="rId8700" Type="http://schemas.openxmlformats.org/officeDocument/2006/relationships/oleObject" Target="embeddings/oleObject4333.bin"/><Relationship Id="rId699" Type="http://schemas.openxmlformats.org/officeDocument/2006/relationships/oleObject" Target="embeddings/oleObject338.bin"/><Relationship Id="rId6251" Type="http://schemas.openxmlformats.org/officeDocument/2006/relationships/image" Target="media/image3136.wmf"/><Relationship Id="rId7302" Type="http://schemas.openxmlformats.org/officeDocument/2006/relationships/image" Target="media/image3660.wmf"/><Relationship Id="rId10630" Type="http://schemas.openxmlformats.org/officeDocument/2006/relationships/image" Target="media/image5324.wmf"/><Relationship Id="rId9474" Type="http://schemas.openxmlformats.org/officeDocument/2006/relationships/image" Target="media/image4746.wmf"/><Relationship Id="rId13853" Type="http://schemas.openxmlformats.org/officeDocument/2006/relationships/image" Target="media/image6941.wmf"/><Relationship Id="rId2861" Type="http://schemas.openxmlformats.org/officeDocument/2006/relationships/image" Target="media/image1440.wmf"/><Relationship Id="rId3912" Type="http://schemas.openxmlformats.org/officeDocument/2006/relationships/image" Target="media/image1967.wmf"/><Relationship Id="rId8076" Type="http://schemas.openxmlformats.org/officeDocument/2006/relationships/image" Target="media/image4047.wmf"/><Relationship Id="rId9127" Type="http://schemas.openxmlformats.org/officeDocument/2006/relationships/image" Target="media/image4573.wmf"/><Relationship Id="rId12455" Type="http://schemas.openxmlformats.org/officeDocument/2006/relationships/image" Target="media/image6242.wmf"/><Relationship Id="rId13506" Type="http://schemas.openxmlformats.org/officeDocument/2006/relationships/image" Target="media/image6768.wmf"/><Relationship Id="rId833" Type="http://schemas.openxmlformats.org/officeDocument/2006/relationships/oleObject" Target="embeddings/oleObject408.bin"/><Relationship Id="rId1116" Type="http://schemas.openxmlformats.org/officeDocument/2006/relationships/oleObject" Target="embeddings/oleObject548.bin"/><Relationship Id="rId1463" Type="http://schemas.openxmlformats.org/officeDocument/2006/relationships/oleObject" Target="embeddings/oleObject720.bin"/><Relationship Id="rId2514" Type="http://schemas.openxmlformats.org/officeDocument/2006/relationships/image" Target="media/image1267.wmf"/><Relationship Id="rId11057" Type="http://schemas.openxmlformats.org/officeDocument/2006/relationships/oleObject" Target="embeddings/oleObject5484.bin"/><Relationship Id="rId12108" Type="http://schemas.openxmlformats.org/officeDocument/2006/relationships/image" Target="media/image6067.wmf"/><Relationship Id="rId4686" Type="http://schemas.openxmlformats.org/officeDocument/2006/relationships/image" Target="media/image2353.wmf"/><Relationship Id="rId5737" Type="http://schemas.openxmlformats.org/officeDocument/2006/relationships/image" Target="media/image2879.wmf"/><Relationship Id="rId3288" Type="http://schemas.openxmlformats.org/officeDocument/2006/relationships/image" Target="media/image1653.wmf"/><Relationship Id="rId4339" Type="http://schemas.openxmlformats.org/officeDocument/2006/relationships/oleObject" Target="embeddings/oleObject2161.bin"/><Relationship Id="rId8210" Type="http://schemas.openxmlformats.org/officeDocument/2006/relationships/image" Target="media/image4114.wmf"/><Relationship Id="rId10140" Type="http://schemas.openxmlformats.org/officeDocument/2006/relationships/oleObject" Target="embeddings/oleObject5039.bin"/><Relationship Id="rId13363" Type="http://schemas.openxmlformats.org/officeDocument/2006/relationships/oleObject" Target="embeddings/oleObject6627.bin"/><Relationship Id="rId690" Type="http://schemas.openxmlformats.org/officeDocument/2006/relationships/image" Target="media/image347.wmf"/><Relationship Id="rId2371" Type="http://schemas.openxmlformats.org/officeDocument/2006/relationships/image" Target="media/image1194.wmf"/><Relationship Id="rId3422" Type="http://schemas.openxmlformats.org/officeDocument/2006/relationships/image" Target="media/image1721.wmf"/><Relationship Id="rId4820" Type="http://schemas.openxmlformats.org/officeDocument/2006/relationships/image" Target="media/image2420.wmf"/><Relationship Id="rId13016" Type="http://schemas.openxmlformats.org/officeDocument/2006/relationships/oleObject" Target="embeddings/oleObject6457.bin"/><Relationship Id="rId14414" Type="http://schemas.openxmlformats.org/officeDocument/2006/relationships/oleObject" Target="embeddings/oleObject7151.bin"/><Relationship Id="rId343" Type="http://schemas.openxmlformats.org/officeDocument/2006/relationships/oleObject" Target="embeddings/oleObject166.bin"/><Relationship Id="rId2024" Type="http://schemas.openxmlformats.org/officeDocument/2006/relationships/image" Target="media/image1018.wmf"/><Relationship Id="rId6992" Type="http://schemas.openxmlformats.org/officeDocument/2006/relationships/oleObject" Target="embeddings/oleObject3481.bin"/><Relationship Id="rId4196" Type="http://schemas.openxmlformats.org/officeDocument/2006/relationships/oleObject" Target="embeddings/oleObject2089.bin"/><Relationship Id="rId5247" Type="http://schemas.openxmlformats.org/officeDocument/2006/relationships/image" Target="media/image2634.wmf"/><Relationship Id="rId5594" Type="http://schemas.openxmlformats.org/officeDocument/2006/relationships/oleObject" Target="embeddings/oleObject2786.bin"/><Relationship Id="rId6645" Type="http://schemas.openxmlformats.org/officeDocument/2006/relationships/image" Target="media/image3332.wmf"/><Relationship Id="rId9868" Type="http://schemas.openxmlformats.org/officeDocument/2006/relationships/oleObject" Target="embeddings/oleObject4906.bin"/><Relationship Id="rId11798" Type="http://schemas.openxmlformats.org/officeDocument/2006/relationships/image" Target="media/image5912.wmf"/><Relationship Id="rId12849" Type="http://schemas.openxmlformats.org/officeDocument/2006/relationships/image" Target="media/image6439.wmf"/><Relationship Id="rId1857" Type="http://schemas.openxmlformats.org/officeDocument/2006/relationships/oleObject" Target="embeddings/oleObject916.bin"/><Relationship Id="rId2908" Type="http://schemas.openxmlformats.org/officeDocument/2006/relationships/oleObject" Target="embeddings/oleObject1442.bin"/><Relationship Id="rId14271" Type="http://schemas.openxmlformats.org/officeDocument/2006/relationships/image" Target="media/image7150.wmf"/><Relationship Id="rId4330" Type="http://schemas.openxmlformats.org/officeDocument/2006/relationships/oleObject" Target="embeddings/oleObject2156.bin"/><Relationship Id="rId8951" Type="http://schemas.openxmlformats.org/officeDocument/2006/relationships/image" Target="media/image4485.wmf"/><Relationship Id="rId7553" Type="http://schemas.openxmlformats.org/officeDocument/2006/relationships/oleObject" Target="embeddings/oleObject3761.bin"/><Relationship Id="rId8604" Type="http://schemas.openxmlformats.org/officeDocument/2006/relationships/image" Target="media/image4311.wmf"/><Relationship Id="rId10881" Type="http://schemas.openxmlformats.org/officeDocument/2006/relationships/oleObject" Target="embeddings/oleObject5403.bin"/><Relationship Id="rId11932" Type="http://schemas.openxmlformats.org/officeDocument/2006/relationships/image" Target="media/image5979.wmf"/><Relationship Id="rId6155" Type="http://schemas.openxmlformats.org/officeDocument/2006/relationships/image" Target="media/image3088.wmf"/><Relationship Id="rId7206" Type="http://schemas.openxmlformats.org/officeDocument/2006/relationships/image" Target="media/image3612.wmf"/><Relationship Id="rId10534" Type="http://schemas.openxmlformats.org/officeDocument/2006/relationships/image" Target="media/image5276.wmf"/><Relationship Id="rId9378" Type="http://schemas.openxmlformats.org/officeDocument/2006/relationships/image" Target="media/image4698.wmf"/><Relationship Id="rId13757" Type="http://schemas.openxmlformats.org/officeDocument/2006/relationships/image" Target="media/image6893.wmf"/><Relationship Id="rId2765" Type="http://schemas.openxmlformats.org/officeDocument/2006/relationships/oleObject" Target="embeddings/oleObject1370.bin"/><Relationship Id="rId3816" Type="http://schemas.openxmlformats.org/officeDocument/2006/relationships/image" Target="media/image1919.wmf"/><Relationship Id="rId12359" Type="http://schemas.openxmlformats.org/officeDocument/2006/relationships/image" Target="media/image6194.wmf"/><Relationship Id="rId737" Type="http://schemas.openxmlformats.org/officeDocument/2006/relationships/oleObject" Target="embeddings/oleObject357.bin"/><Relationship Id="rId1367" Type="http://schemas.openxmlformats.org/officeDocument/2006/relationships/oleObject" Target="embeddings/oleObject673.bin"/><Relationship Id="rId2418" Type="http://schemas.openxmlformats.org/officeDocument/2006/relationships/oleObject" Target="embeddings/oleObject1198.bin"/><Relationship Id="rId5988" Type="http://schemas.openxmlformats.org/officeDocument/2006/relationships/oleObject" Target="embeddings/oleObject2983.bin"/><Relationship Id="rId73" Type="http://schemas.openxmlformats.org/officeDocument/2006/relationships/image" Target="media/image34.wmf"/><Relationship Id="rId8461" Type="http://schemas.openxmlformats.org/officeDocument/2006/relationships/oleObject" Target="embeddings/oleObject4215.bin"/><Relationship Id="rId9512" Type="http://schemas.openxmlformats.org/officeDocument/2006/relationships/image" Target="media/image4765.wmf"/><Relationship Id="rId10391" Type="http://schemas.openxmlformats.org/officeDocument/2006/relationships/image" Target="media/image5204.wmf"/><Relationship Id="rId11442" Type="http://schemas.openxmlformats.org/officeDocument/2006/relationships/oleObject" Target="embeddings/oleObject5674.bin"/><Relationship Id="rId12840" Type="http://schemas.openxmlformats.org/officeDocument/2006/relationships/oleObject" Target="embeddings/oleObject6369.bin"/><Relationship Id="rId1501" Type="http://schemas.microsoft.com/office/2007/relationships/hdphoto" Target="media/hdphoto8.wdp"/><Relationship Id="rId7063" Type="http://schemas.openxmlformats.org/officeDocument/2006/relationships/image" Target="media/image3541.wmf"/><Relationship Id="rId8114" Type="http://schemas.openxmlformats.org/officeDocument/2006/relationships/image" Target="media/image4066.wmf"/><Relationship Id="rId10044" Type="http://schemas.openxmlformats.org/officeDocument/2006/relationships/oleObject" Target="embeddings/oleObject4991.bin"/><Relationship Id="rId594" Type="http://schemas.openxmlformats.org/officeDocument/2006/relationships/image" Target="media/image298.wmf"/><Relationship Id="rId2275" Type="http://schemas.openxmlformats.org/officeDocument/2006/relationships/image" Target="media/image1144.wmf"/><Relationship Id="rId3326" Type="http://schemas.openxmlformats.org/officeDocument/2006/relationships/image" Target="media/image1672.wmf"/><Relationship Id="rId3673" Type="http://schemas.openxmlformats.org/officeDocument/2006/relationships/oleObject" Target="embeddings/oleObject1827.bin"/><Relationship Id="rId4724" Type="http://schemas.openxmlformats.org/officeDocument/2006/relationships/image" Target="media/image2372.wmf"/><Relationship Id="rId13267" Type="http://schemas.openxmlformats.org/officeDocument/2006/relationships/image" Target="media/image6648.wmf"/><Relationship Id="rId14318" Type="http://schemas.openxmlformats.org/officeDocument/2006/relationships/oleObject" Target="embeddings/oleObject7105.bin"/><Relationship Id="rId247" Type="http://schemas.openxmlformats.org/officeDocument/2006/relationships/oleObject" Target="embeddings/oleObject118.bin"/><Relationship Id="rId6896" Type="http://schemas.openxmlformats.org/officeDocument/2006/relationships/oleObject" Target="embeddings/oleObject3433.bin"/><Relationship Id="rId7947" Type="http://schemas.openxmlformats.org/officeDocument/2006/relationships/oleObject" Target="embeddings/oleObject3958.bin"/><Relationship Id="rId10928" Type="http://schemas.openxmlformats.org/officeDocument/2006/relationships/image" Target="media/image5473.wmf"/><Relationship Id="rId5498" Type="http://schemas.openxmlformats.org/officeDocument/2006/relationships/oleObject" Target="embeddings/oleObject2738.bin"/><Relationship Id="rId6549" Type="http://schemas.openxmlformats.org/officeDocument/2006/relationships/image" Target="media/image3284.wmf"/><Relationship Id="rId12350" Type="http://schemas.openxmlformats.org/officeDocument/2006/relationships/oleObject" Target="embeddings/oleObject6124.bin"/><Relationship Id="rId13401" Type="http://schemas.openxmlformats.org/officeDocument/2006/relationships/oleObject" Target="embeddings/oleObject6646.bin"/><Relationship Id="rId9022" Type="http://schemas.openxmlformats.org/officeDocument/2006/relationships/oleObject" Target="embeddings/oleObject4491.bin"/><Relationship Id="rId12003" Type="http://schemas.openxmlformats.org/officeDocument/2006/relationships/oleObject" Target="embeddings/oleObject5953.bin"/><Relationship Id="rId1011" Type="http://schemas.openxmlformats.org/officeDocument/2006/relationships/image" Target="media/image511.wmf"/><Relationship Id="rId4581" Type="http://schemas.openxmlformats.org/officeDocument/2006/relationships/oleObject" Target="embeddings/oleObject2282.bin"/><Relationship Id="rId5632" Type="http://schemas.openxmlformats.org/officeDocument/2006/relationships/oleObject" Target="embeddings/oleObject2805.bin"/><Relationship Id="rId14175" Type="http://schemas.openxmlformats.org/officeDocument/2006/relationships/image" Target="media/image7102.wmf"/><Relationship Id="rId3183" Type="http://schemas.openxmlformats.org/officeDocument/2006/relationships/image" Target="media/image1601.wmf"/><Relationship Id="rId4234" Type="http://schemas.openxmlformats.org/officeDocument/2006/relationships/oleObject" Target="embeddings/oleObject2108.bin"/><Relationship Id="rId7457" Type="http://schemas.openxmlformats.org/officeDocument/2006/relationships/oleObject" Target="embeddings/oleObject3713.bin"/><Relationship Id="rId8855" Type="http://schemas.openxmlformats.org/officeDocument/2006/relationships/image" Target="media/image4437.png"/><Relationship Id="rId9906" Type="http://schemas.openxmlformats.org/officeDocument/2006/relationships/oleObject" Target="embeddings/oleObject4925.bin"/><Relationship Id="rId10785" Type="http://schemas.openxmlformats.org/officeDocument/2006/relationships/oleObject" Target="embeddings/oleObject5355.bin"/><Relationship Id="rId11836" Type="http://schemas.openxmlformats.org/officeDocument/2006/relationships/image" Target="media/image5931.wmf"/><Relationship Id="rId6059" Type="http://schemas.openxmlformats.org/officeDocument/2006/relationships/image" Target="media/image3040.wmf"/><Relationship Id="rId8508" Type="http://schemas.openxmlformats.org/officeDocument/2006/relationships/image" Target="media/image4263.wmf"/><Relationship Id="rId10438" Type="http://schemas.openxmlformats.org/officeDocument/2006/relationships/image" Target="media/image5228.wmf"/><Relationship Id="rId988" Type="http://schemas.openxmlformats.org/officeDocument/2006/relationships/oleObject" Target="embeddings/oleObject485.bin"/><Relationship Id="rId2669" Type="http://schemas.openxmlformats.org/officeDocument/2006/relationships/oleObject" Target="embeddings/oleObject1322.bin"/><Relationship Id="rId6540" Type="http://schemas.microsoft.com/office/2007/relationships/hdphoto" Target="media/hdphoto11.wdp"/><Relationship Id="rId4091" Type="http://schemas.openxmlformats.org/officeDocument/2006/relationships/image" Target="media/image2056.wmf"/><Relationship Id="rId5142" Type="http://schemas.openxmlformats.org/officeDocument/2006/relationships/image" Target="media/image2581.wmf"/><Relationship Id="rId9763" Type="http://schemas.openxmlformats.org/officeDocument/2006/relationships/oleObject" Target="embeddings/oleObject4853.bin"/><Relationship Id="rId8365" Type="http://schemas.openxmlformats.org/officeDocument/2006/relationships/oleObject" Target="embeddings/oleObject4167.bin"/><Relationship Id="rId9416" Type="http://schemas.openxmlformats.org/officeDocument/2006/relationships/image" Target="media/image4717.wmf"/><Relationship Id="rId10295" Type="http://schemas.openxmlformats.org/officeDocument/2006/relationships/image" Target="media/image5156.wmf"/><Relationship Id="rId11693" Type="http://schemas.openxmlformats.org/officeDocument/2006/relationships/oleObject" Target="embeddings/oleObject5798.bin"/><Relationship Id="rId12744" Type="http://schemas.openxmlformats.org/officeDocument/2006/relationships/oleObject" Target="embeddings/oleObject6321.bin"/><Relationship Id="rId1405" Type="http://schemas.openxmlformats.org/officeDocument/2006/relationships/oleObject" Target="embeddings/oleObject691.bin"/><Relationship Id="rId1752" Type="http://schemas.openxmlformats.org/officeDocument/2006/relationships/image" Target="media/image882.wmf"/><Relationship Id="rId2803" Type="http://schemas.openxmlformats.org/officeDocument/2006/relationships/oleObject" Target="embeddings/oleObject1389.bin"/><Relationship Id="rId8018" Type="http://schemas.openxmlformats.org/officeDocument/2006/relationships/image" Target="media/image4018.wmf"/><Relationship Id="rId11346" Type="http://schemas.openxmlformats.org/officeDocument/2006/relationships/oleObject" Target="embeddings/oleObject5626.bin"/><Relationship Id="rId4975" Type="http://schemas.openxmlformats.org/officeDocument/2006/relationships/oleObject" Target="embeddings/oleObject2477.bin"/><Relationship Id="rId14569" Type="http://schemas.openxmlformats.org/officeDocument/2006/relationships/image" Target="media/image7299.wmf"/><Relationship Id="rId498" Type="http://schemas.openxmlformats.org/officeDocument/2006/relationships/oleObject" Target="embeddings/oleObject240.bin"/><Relationship Id="rId2179" Type="http://schemas.openxmlformats.org/officeDocument/2006/relationships/oleObject" Target="embeddings/oleObject1077.bin"/><Relationship Id="rId3577" Type="http://schemas.openxmlformats.org/officeDocument/2006/relationships/oleObject" Target="embeddings/oleObject1779.bin"/><Relationship Id="rId4628" Type="http://schemas.openxmlformats.org/officeDocument/2006/relationships/image" Target="media/image2324.wmf"/><Relationship Id="rId6050" Type="http://schemas.openxmlformats.org/officeDocument/2006/relationships/oleObject" Target="embeddings/oleObject3014.bin"/><Relationship Id="rId7101" Type="http://schemas.openxmlformats.org/officeDocument/2006/relationships/image" Target="media/image3560.wmf"/><Relationship Id="rId13652" Type="http://schemas.openxmlformats.org/officeDocument/2006/relationships/image" Target="media/image6841.wmf"/><Relationship Id="rId2660" Type="http://schemas.openxmlformats.org/officeDocument/2006/relationships/image" Target="media/image1340.wmf"/><Relationship Id="rId3711" Type="http://schemas.openxmlformats.org/officeDocument/2006/relationships/oleObject" Target="embeddings/oleObject1846.bin"/><Relationship Id="rId9273" Type="http://schemas.openxmlformats.org/officeDocument/2006/relationships/oleObject" Target="embeddings/oleObject4617.bin"/><Relationship Id="rId12254" Type="http://schemas.openxmlformats.org/officeDocument/2006/relationships/image" Target="media/image6140.wmf"/><Relationship Id="rId13305" Type="http://schemas.openxmlformats.org/officeDocument/2006/relationships/image" Target="media/image6667.wmf"/><Relationship Id="rId632" Type="http://schemas.openxmlformats.org/officeDocument/2006/relationships/image" Target="media/image317.wmf"/><Relationship Id="rId1262" Type="http://schemas.openxmlformats.org/officeDocument/2006/relationships/image" Target="media/image636.wmf"/><Relationship Id="rId2313" Type="http://schemas.openxmlformats.org/officeDocument/2006/relationships/image" Target="media/image1165.wmf"/><Relationship Id="rId4485" Type="http://schemas.openxmlformats.org/officeDocument/2006/relationships/oleObject" Target="embeddings/oleObject2234.bin"/><Relationship Id="rId5536" Type="http://schemas.openxmlformats.org/officeDocument/2006/relationships/oleObject" Target="embeddings/oleObject2757.bin"/><Relationship Id="rId5883" Type="http://schemas.openxmlformats.org/officeDocument/2006/relationships/image" Target="media/image2952.wmf"/><Relationship Id="rId6934" Type="http://schemas.openxmlformats.org/officeDocument/2006/relationships/oleObject" Target="embeddings/oleObject3452.bin"/><Relationship Id="rId14079" Type="http://schemas.openxmlformats.org/officeDocument/2006/relationships/image" Target="media/image7054.wmf"/><Relationship Id="rId3087" Type="http://schemas.openxmlformats.org/officeDocument/2006/relationships/image" Target="media/image1553.wmf"/><Relationship Id="rId4138" Type="http://schemas.openxmlformats.org/officeDocument/2006/relationships/oleObject" Target="embeddings/oleObject2060.bin"/><Relationship Id="rId8759" Type="http://schemas.openxmlformats.org/officeDocument/2006/relationships/image" Target="media/image4389.wmf"/><Relationship Id="rId10689" Type="http://schemas.openxmlformats.org/officeDocument/2006/relationships/oleObject" Target="embeddings/oleObject5309.bin"/><Relationship Id="rId14560" Type="http://schemas.openxmlformats.org/officeDocument/2006/relationships/oleObject" Target="embeddings/oleObject7220.bin"/><Relationship Id="rId13162" Type="http://schemas.openxmlformats.org/officeDocument/2006/relationships/oleObject" Target="embeddings/oleObject6528.bin"/><Relationship Id="rId14213" Type="http://schemas.openxmlformats.org/officeDocument/2006/relationships/image" Target="media/image7121.wmf"/><Relationship Id="rId2170" Type="http://schemas.openxmlformats.org/officeDocument/2006/relationships/image" Target="media/image1091.wmf"/><Relationship Id="rId3221" Type="http://schemas.openxmlformats.org/officeDocument/2006/relationships/image" Target="media/image1620.wmf"/><Relationship Id="rId6791" Type="http://schemas.openxmlformats.org/officeDocument/2006/relationships/image" Target="media/image3405.wmf"/><Relationship Id="rId7842" Type="http://schemas.openxmlformats.org/officeDocument/2006/relationships/image" Target="media/image3930.wmf"/><Relationship Id="rId8" Type="http://schemas.openxmlformats.org/officeDocument/2006/relationships/image" Target="media/image1.wmf"/><Relationship Id="rId142" Type="http://schemas.openxmlformats.org/officeDocument/2006/relationships/image" Target="media/image70.wmf"/><Relationship Id="rId5393" Type="http://schemas.openxmlformats.org/officeDocument/2006/relationships/image" Target="media/image2707.wmf"/><Relationship Id="rId6444" Type="http://schemas.openxmlformats.org/officeDocument/2006/relationships/oleObject" Target="embeddings/oleObject3212.bin"/><Relationship Id="rId10823" Type="http://schemas.openxmlformats.org/officeDocument/2006/relationships/oleObject" Target="embeddings/oleObject5374.bin"/><Relationship Id="rId5046" Type="http://schemas.openxmlformats.org/officeDocument/2006/relationships/image" Target="media/image2533.wmf"/><Relationship Id="rId9667" Type="http://schemas.openxmlformats.org/officeDocument/2006/relationships/oleObject" Target="embeddings/oleObject4812.bin"/><Relationship Id="rId12995" Type="http://schemas.openxmlformats.org/officeDocument/2006/relationships/image" Target="media/image6512.wmf"/><Relationship Id="rId8269" Type="http://schemas.openxmlformats.org/officeDocument/2006/relationships/oleObject" Target="embeddings/oleObject4119.bin"/><Relationship Id="rId11597" Type="http://schemas.openxmlformats.org/officeDocument/2006/relationships/image" Target="media/image5810.wmf"/><Relationship Id="rId12648" Type="http://schemas.openxmlformats.org/officeDocument/2006/relationships/oleObject" Target="embeddings/oleObject6273.bin"/><Relationship Id="rId1656" Type="http://schemas.openxmlformats.org/officeDocument/2006/relationships/image" Target="media/image834.wmf"/><Relationship Id="rId2707" Type="http://schemas.openxmlformats.org/officeDocument/2006/relationships/oleObject" Target="embeddings/oleObject1341.bin"/><Relationship Id="rId10199" Type="http://schemas.openxmlformats.org/officeDocument/2006/relationships/image" Target="media/image5108.wmf"/><Relationship Id="rId14070" Type="http://schemas.openxmlformats.org/officeDocument/2006/relationships/oleObject" Target="embeddings/oleObject6981.bin"/><Relationship Id="rId1309" Type="http://schemas.openxmlformats.org/officeDocument/2006/relationships/oleObject" Target="embeddings/oleObject644.bin"/><Relationship Id="rId4879" Type="http://schemas.openxmlformats.org/officeDocument/2006/relationships/oleObject" Target="embeddings/oleObject2430.bin"/><Relationship Id="rId8750" Type="http://schemas.openxmlformats.org/officeDocument/2006/relationships/oleObject" Target="embeddings/oleObject4358.bin"/><Relationship Id="rId9801" Type="http://schemas.openxmlformats.org/officeDocument/2006/relationships/oleObject" Target="embeddings/oleObject4872.bin"/><Relationship Id="rId10680" Type="http://schemas.openxmlformats.org/officeDocument/2006/relationships/image" Target="media/image5349.wmf"/><Relationship Id="rId11731" Type="http://schemas.openxmlformats.org/officeDocument/2006/relationships/oleObject" Target="embeddings/oleObject5817.bin"/><Relationship Id="rId15" Type="http://schemas.openxmlformats.org/officeDocument/2006/relationships/image" Target="media/image5.wmf"/><Relationship Id="rId7352" Type="http://schemas.openxmlformats.org/officeDocument/2006/relationships/image" Target="media/image3685.wmf"/><Relationship Id="rId8403" Type="http://schemas.openxmlformats.org/officeDocument/2006/relationships/oleObject" Target="embeddings/oleObject4186.bin"/><Relationship Id="rId10333" Type="http://schemas.openxmlformats.org/officeDocument/2006/relationships/image" Target="media/image5175.wmf"/><Relationship Id="rId7005" Type="http://schemas.openxmlformats.org/officeDocument/2006/relationships/image" Target="media/image3512.wmf"/><Relationship Id="rId883" Type="http://schemas.openxmlformats.org/officeDocument/2006/relationships/oleObject" Target="embeddings/oleObject433.bin"/><Relationship Id="rId2564" Type="http://schemas.openxmlformats.org/officeDocument/2006/relationships/image" Target="media/image1292.wmf"/><Relationship Id="rId3615" Type="http://schemas.openxmlformats.org/officeDocument/2006/relationships/oleObject" Target="embeddings/oleObject1798.bin"/><Relationship Id="rId3962" Type="http://schemas.openxmlformats.org/officeDocument/2006/relationships/oleObject" Target="embeddings/oleObject1972.bin"/><Relationship Id="rId9177" Type="http://schemas.openxmlformats.org/officeDocument/2006/relationships/oleObject" Target="embeddings/oleObject4569.bin"/><Relationship Id="rId12158" Type="http://schemas.openxmlformats.org/officeDocument/2006/relationships/image" Target="media/image6092.wmf"/><Relationship Id="rId13556" Type="http://schemas.openxmlformats.org/officeDocument/2006/relationships/image" Target="media/image6793.wmf"/><Relationship Id="rId536" Type="http://schemas.openxmlformats.org/officeDocument/2006/relationships/oleObject" Target="embeddings/oleObject259.bin"/><Relationship Id="rId1166" Type="http://schemas.openxmlformats.org/officeDocument/2006/relationships/oleObject" Target="embeddings/oleObject573.bin"/><Relationship Id="rId2217" Type="http://schemas.openxmlformats.org/officeDocument/2006/relationships/oleObject" Target="embeddings/oleObject1096.bin"/><Relationship Id="rId13209" Type="http://schemas.openxmlformats.org/officeDocument/2006/relationships/image" Target="media/image6619.wmf"/><Relationship Id="rId4389" Type="http://schemas.openxmlformats.org/officeDocument/2006/relationships/oleObject" Target="embeddings/oleObject2186.bin"/><Relationship Id="rId5787" Type="http://schemas.openxmlformats.org/officeDocument/2006/relationships/image" Target="media/image2904.wmf"/><Relationship Id="rId6838" Type="http://schemas.openxmlformats.org/officeDocument/2006/relationships/oleObject" Target="embeddings/oleObject3404.bin"/><Relationship Id="rId8260" Type="http://schemas.openxmlformats.org/officeDocument/2006/relationships/image" Target="media/image4139.wmf"/><Relationship Id="rId9311" Type="http://schemas.openxmlformats.org/officeDocument/2006/relationships/oleObject" Target="embeddings/oleObject4636.bin"/><Relationship Id="rId10190" Type="http://schemas.openxmlformats.org/officeDocument/2006/relationships/oleObject" Target="embeddings/oleObject5062.bin"/><Relationship Id="rId11241" Type="http://schemas.openxmlformats.org/officeDocument/2006/relationships/image" Target="media/image5632.wmf"/><Relationship Id="rId1300" Type="http://schemas.openxmlformats.org/officeDocument/2006/relationships/image" Target="media/image655.wmf"/><Relationship Id="rId4870" Type="http://schemas.openxmlformats.org/officeDocument/2006/relationships/image" Target="media/image2445.wmf"/><Relationship Id="rId5921" Type="http://schemas.openxmlformats.org/officeDocument/2006/relationships/image" Target="media/image2971.wmf"/><Relationship Id="rId14464" Type="http://schemas.openxmlformats.org/officeDocument/2006/relationships/oleObject" Target="embeddings/oleObject7172.bin"/><Relationship Id="rId3472" Type="http://schemas.openxmlformats.org/officeDocument/2006/relationships/image" Target="media/image1747.wmf"/><Relationship Id="rId4523" Type="http://schemas.openxmlformats.org/officeDocument/2006/relationships/oleObject" Target="embeddings/oleObject2253.bin"/><Relationship Id="rId13066" Type="http://schemas.openxmlformats.org/officeDocument/2006/relationships/oleObject" Target="embeddings/oleObject6480.bin"/><Relationship Id="rId14117" Type="http://schemas.openxmlformats.org/officeDocument/2006/relationships/image" Target="media/image7073.wmf"/><Relationship Id="rId393" Type="http://schemas.openxmlformats.org/officeDocument/2006/relationships/image" Target="media/image196.wmf"/><Relationship Id="rId2074" Type="http://schemas.openxmlformats.org/officeDocument/2006/relationships/image" Target="media/image1043.wmf"/><Relationship Id="rId3125" Type="http://schemas.openxmlformats.org/officeDocument/2006/relationships/image" Target="media/image1572.wmf"/><Relationship Id="rId6695" Type="http://schemas.openxmlformats.org/officeDocument/2006/relationships/image" Target="media/image3357.wmf"/><Relationship Id="rId7746" Type="http://schemas.openxmlformats.org/officeDocument/2006/relationships/image" Target="media/image3882.wmf"/><Relationship Id="rId5297" Type="http://schemas.openxmlformats.org/officeDocument/2006/relationships/image" Target="media/image2659.wmf"/><Relationship Id="rId6348" Type="http://schemas.openxmlformats.org/officeDocument/2006/relationships/oleObject" Target="embeddings/oleObject3164.bin"/><Relationship Id="rId10727" Type="http://schemas.openxmlformats.org/officeDocument/2006/relationships/oleObject" Target="embeddings/oleObject5326.bin"/><Relationship Id="rId12899" Type="http://schemas.openxmlformats.org/officeDocument/2006/relationships/image" Target="media/image6464.wmf"/><Relationship Id="rId13200" Type="http://schemas.openxmlformats.org/officeDocument/2006/relationships/oleObject" Target="embeddings/oleObject6547.bin"/><Relationship Id="rId2958" Type="http://schemas.openxmlformats.org/officeDocument/2006/relationships/oleObject" Target="embeddings/oleObject1467.bin"/><Relationship Id="rId4380" Type="http://schemas.openxmlformats.org/officeDocument/2006/relationships/image" Target="media/image2200.wmf"/><Relationship Id="rId5431" Type="http://schemas.openxmlformats.org/officeDocument/2006/relationships/image" Target="media/image2726.wmf"/><Relationship Id="rId4033" Type="http://schemas.openxmlformats.org/officeDocument/2006/relationships/image" Target="media/image2027.wmf"/><Relationship Id="rId8654" Type="http://schemas.openxmlformats.org/officeDocument/2006/relationships/oleObject" Target="embeddings/oleObject4310.bin"/><Relationship Id="rId9705" Type="http://schemas.openxmlformats.org/officeDocument/2006/relationships/oleObject" Target="embeddings/oleObject4824.bin"/><Relationship Id="rId10584" Type="http://schemas.openxmlformats.org/officeDocument/2006/relationships/image" Target="media/image5301.wmf"/><Relationship Id="rId11982" Type="http://schemas.openxmlformats.org/officeDocument/2006/relationships/image" Target="media/image6004.wmf"/><Relationship Id="rId7256" Type="http://schemas.openxmlformats.org/officeDocument/2006/relationships/image" Target="media/image3637.wmf"/><Relationship Id="rId8307" Type="http://schemas.openxmlformats.org/officeDocument/2006/relationships/oleObject" Target="embeddings/oleObject4138.bin"/><Relationship Id="rId10237" Type="http://schemas.openxmlformats.org/officeDocument/2006/relationships/image" Target="media/image5127.wmf"/><Relationship Id="rId11635" Type="http://schemas.openxmlformats.org/officeDocument/2006/relationships/image" Target="media/image5829.wmf"/><Relationship Id="rId3866" Type="http://schemas.openxmlformats.org/officeDocument/2006/relationships/image" Target="media/image1944.wmf"/><Relationship Id="rId4917" Type="http://schemas.openxmlformats.org/officeDocument/2006/relationships/oleObject" Target="embeddings/oleObject2449.bin"/><Relationship Id="rId787" Type="http://schemas.openxmlformats.org/officeDocument/2006/relationships/oleObject" Target="embeddings/oleObject385.bin"/><Relationship Id="rId2468" Type="http://schemas.openxmlformats.org/officeDocument/2006/relationships/image" Target="media/image1244.wmf"/><Relationship Id="rId3519" Type="http://schemas.openxmlformats.org/officeDocument/2006/relationships/oleObject" Target="embeddings/oleObject1750.bin"/><Relationship Id="rId12890" Type="http://schemas.openxmlformats.org/officeDocument/2006/relationships/oleObject" Target="embeddings/oleObject6394.bin"/><Relationship Id="rId13941" Type="http://schemas.openxmlformats.org/officeDocument/2006/relationships/image" Target="media/image6985.wmf"/><Relationship Id="rId9562" Type="http://schemas.openxmlformats.org/officeDocument/2006/relationships/image" Target="media/image4790.wmf"/><Relationship Id="rId11492" Type="http://schemas.openxmlformats.org/officeDocument/2006/relationships/oleObject" Target="embeddings/oleObject5699.bin"/><Relationship Id="rId12543" Type="http://schemas.openxmlformats.org/officeDocument/2006/relationships/image" Target="media/image6286.wmf"/><Relationship Id="rId921" Type="http://schemas.openxmlformats.org/officeDocument/2006/relationships/image" Target="media/image466.wmf"/><Relationship Id="rId1551" Type="http://schemas.openxmlformats.org/officeDocument/2006/relationships/oleObject" Target="embeddings/oleObject762.bin"/><Relationship Id="rId2602" Type="http://schemas.openxmlformats.org/officeDocument/2006/relationships/image" Target="media/image1311.wmf"/><Relationship Id="rId8164" Type="http://schemas.openxmlformats.org/officeDocument/2006/relationships/image" Target="media/image4091.wmf"/><Relationship Id="rId9215" Type="http://schemas.openxmlformats.org/officeDocument/2006/relationships/oleObject" Target="embeddings/oleObject4588.bin"/><Relationship Id="rId10094" Type="http://schemas.openxmlformats.org/officeDocument/2006/relationships/oleObject" Target="embeddings/oleObject5016.bin"/><Relationship Id="rId11145" Type="http://schemas.openxmlformats.org/officeDocument/2006/relationships/image" Target="media/image5584.wmf"/><Relationship Id="rId1204" Type="http://schemas.openxmlformats.org/officeDocument/2006/relationships/image" Target="media/image607.wmf"/><Relationship Id="rId4774" Type="http://schemas.openxmlformats.org/officeDocument/2006/relationships/image" Target="media/image2397.wmf"/><Relationship Id="rId5825" Type="http://schemas.openxmlformats.org/officeDocument/2006/relationships/image" Target="media/image2923.wmf"/><Relationship Id="rId14368" Type="http://schemas.openxmlformats.org/officeDocument/2006/relationships/oleObject" Target="embeddings/oleObject7130.bin"/><Relationship Id="rId3376" Type="http://schemas.openxmlformats.org/officeDocument/2006/relationships/image" Target="media/image1697.wmf"/><Relationship Id="rId4427" Type="http://schemas.openxmlformats.org/officeDocument/2006/relationships/oleObject" Target="embeddings/oleObject2205.bin"/><Relationship Id="rId297" Type="http://schemas.openxmlformats.org/officeDocument/2006/relationships/oleObject" Target="embeddings/oleObject143.bin"/><Relationship Id="rId3029" Type="http://schemas.openxmlformats.org/officeDocument/2006/relationships/image" Target="media/image1524.wmf"/><Relationship Id="rId6599" Type="http://schemas.openxmlformats.org/officeDocument/2006/relationships/image" Target="media/image3309.wmf"/><Relationship Id="rId7997" Type="http://schemas.openxmlformats.org/officeDocument/2006/relationships/oleObject" Target="embeddings/oleObject3983.bin"/><Relationship Id="rId10978" Type="http://schemas.openxmlformats.org/officeDocument/2006/relationships/image" Target="media/image5499.wmf"/><Relationship Id="rId9072" Type="http://schemas.openxmlformats.org/officeDocument/2006/relationships/oleObject" Target="embeddings/oleObject4516.bin"/><Relationship Id="rId13451" Type="http://schemas.openxmlformats.org/officeDocument/2006/relationships/oleObject" Target="embeddings/oleObject6671.bin"/><Relationship Id="rId14502" Type="http://schemas.openxmlformats.org/officeDocument/2006/relationships/oleObject" Target="embeddings/oleObject7191.bin"/><Relationship Id="rId3510" Type="http://schemas.openxmlformats.org/officeDocument/2006/relationships/image" Target="media/image1766.wmf"/><Relationship Id="rId12053" Type="http://schemas.openxmlformats.org/officeDocument/2006/relationships/oleObject" Target="embeddings/oleObject5978.bin"/><Relationship Id="rId13104" Type="http://schemas.openxmlformats.org/officeDocument/2006/relationships/oleObject" Target="embeddings/oleObject6499.bin"/><Relationship Id="rId431" Type="http://schemas.openxmlformats.org/officeDocument/2006/relationships/image" Target="media/image215.wmf"/><Relationship Id="rId1061" Type="http://schemas.openxmlformats.org/officeDocument/2006/relationships/image" Target="media/image536.wmf"/><Relationship Id="rId2112" Type="http://schemas.openxmlformats.org/officeDocument/2006/relationships/image" Target="media/image1062.wmf"/><Relationship Id="rId5682" Type="http://schemas.openxmlformats.org/officeDocument/2006/relationships/oleObject" Target="embeddings/oleObject2830.bin"/><Relationship Id="rId6733" Type="http://schemas.openxmlformats.org/officeDocument/2006/relationships/image" Target="media/image3376.wmf"/><Relationship Id="rId4284" Type="http://schemas.openxmlformats.org/officeDocument/2006/relationships/oleObject" Target="embeddings/oleObject2133.bin"/><Relationship Id="rId5335" Type="http://schemas.openxmlformats.org/officeDocument/2006/relationships/image" Target="media/image2678.wmf"/><Relationship Id="rId9956" Type="http://schemas.openxmlformats.org/officeDocument/2006/relationships/oleObject" Target="embeddings/oleObject4948.bin"/><Relationship Id="rId8558" Type="http://schemas.openxmlformats.org/officeDocument/2006/relationships/image" Target="media/image4288.wmf"/><Relationship Id="rId9609" Type="http://schemas.openxmlformats.org/officeDocument/2006/relationships/oleObject" Target="embeddings/oleObject4783.bin"/><Relationship Id="rId11886" Type="http://schemas.openxmlformats.org/officeDocument/2006/relationships/image" Target="media/image5956.wmf"/><Relationship Id="rId12937" Type="http://schemas.openxmlformats.org/officeDocument/2006/relationships/image" Target="media/image6483.wmf"/><Relationship Id="rId1945" Type="http://schemas.openxmlformats.org/officeDocument/2006/relationships/oleObject" Target="embeddings/oleObject960.bin"/><Relationship Id="rId10488" Type="http://schemas.openxmlformats.org/officeDocument/2006/relationships/image" Target="media/image5253.wmf"/><Relationship Id="rId11539" Type="http://schemas.openxmlformats.org/officeDocument/2006/relationships/image" Target="media/image5781.wmf"/><Relationship Id="rId3020" Type="http://schemas.openxmlformats.org/officeDocument/2006/relationships/oleObject" Target="embeddings/oleObject1498.bin"/><Relationship Id="rId14012" Type="http://schemas.openxmlformats.org/officeDocument/2006/relationships/oleObject" Target="embeddings/oleObject6952.bin"/><Relationship Id="rId6590" Type="http://schemas.openxmlformats.org/officeDocument/2006/relationships/oleObject" Target="embeddings/oleObject3282.bin"/><Relationship Id="rId7641" Type="http://schemas.openxmlformats.org/officeDocument/2006/relationships/oleObject" Target="embeddings/oleObject3805.bin"/><Relationship Id="rId10622" Type="http://schemas.openxmlformats.org/officeDocument/2006/relationships/image" Target="media/image5320.wmf"/><Relationship Id="rId5192" Type="http://schemas.openxmlformats.org/officeDocument/2006/relationships/image" Target="media/image2606.wmf"/><Relationship Id="rId6243" Type="http://schemas.openxmlformats.org/officeDocument/2006/relationships/image" Target="media/image3132.wmf"/><Relationship Id="rId12794" Type="http://schemas.openxmlformats.org/officeDocument/2006/relationships/oleObject" Target="embeddings/oleObject6346.bin"/><Relationship Id="rId2853" Type="http://schemas.openxmlformats.org/officeDocument/2006/relationships/image" Target="media/image1436.wmf"/><Relationship Id="rId3904" Type="http://schemas.openxmlformats.org/officeDocument/2006/relationships/image" Target="media/image1963.wmf"/><Relationship Id="rId9466" Type="http://schemas.openxmlformats.org/officeDocument/2006/relationships/image" Target="media/image4742.wmf"/><Relationship Id="rId11396" Type="http://schemas.openxmlformats.org/officeDocument/2006/relationships/oleObject" Target="embeddings/oleObject5651.bin"/><Relationship Id="rId12447" Type="http://schemas.openxmlformats.org/officeDocument/2006/relationships/image" Target="media/image6238.wmf"/><Relationship Id="rId13845" Type="http://schemas.openxmlformats.org/officeDocument/2006/relationships/image" Target="media/image6937.wmf"/><Relationship Id="rId825" Type="http://schemas.openxmlformats.org/officeDocument/2006/relationships/oleObject" Target="embeddings/oleObject404.bin"/><Relationship Id="rId1455" Type="http://schemas.openxmlformats.org/officeDocument/2006/relationships/oleObject" Target="embeddings/oleObject716.bin"/><Relationship Id="rId2506" Type="http://schemas.openxmlformats.org/officeDocument/2006/relationships/image" Target="media/image1263.wmf"/><Relationship Id="rId8068" Type="http://schemas.openxmlformats.org/officeDocument/2006/relationships/image" Target="media/image4043.wmf"/><Relationship Id="rId9119" Type="http://schemas.openxmlformats.org/officeDocument/2006/relationships/image" Target="media/image4569.wmf"/><Relationship Id="rId11049" Type="http://schemas.openxmlformats.org/officeDocument/2006/relationships/oleObject" Target="embeddings/oleObject5480.bin"/><Relationship Id="rId1108" Type="http://schemas.openxmlformats.org/officeDocument/2006/relationships/oleObject" Target="embeddings/oleObject544.bin"/><Relationship Id="rId4678" Type="http://schemas.openxmlformats.org/officeDocument/2006/relationships/image" Target="media/image2349.wmf"/><Relationship Id="rId5729" Type="http://schemas.openxmlformats.org/officeDocument/2006/relationships/image" Target="media/image2875.wmf"/><Relationship Id="rId7151" Type="http://schemas.openxmlformats.org/officeDocument/2006/relationships/oleObject" Target="embeddings/oleObject3561.bin"/><Relationship Id="rId8202" Type="http://schemas.openxmlformats.org/officeDocument/2006/relationships/image" Target="media/image4110.wmf"/><Relationship Id="rId9600" Type="http://schemas.openxmlformats.org/officeDocument/2006/relationships/image" Target="media/image4809.wmf"/><Relationship Id="rId11530" Type="http://schemas.openxmlformats.org/officeDocument/2006/relationships/oleObject" Target="embeddings/oleObject5718.bin"/><Relationship Id="rId10132" Type="http://schemas.openxmlformats.org/officeDocument/2006/relationships/oleObject" Target="embeddings/oleObject5035.bin"/><Relationship Id="rId3761" Type="http://schemas.openxmlformats.org/officeDocument/2006/relationships/oleObject" Target="embeddings/oleObject1871.bin"/><Relationship Id="rId4812" Type="http://schemas.openxmlformats.org/officeDocument/2006/relationships/image" Target="media/image2416.wmf"/><Relationship Id="rId13355" Type="http://schemas.openxmlformats.org/officeDocument/2006/relationships/oleObject" Target="embeddings/oleObject6623.bin"/><Relationship Id="rId14406" Type="http://schemas.openxmlformats.org/officeDocument/2006/relationships/oleObject" Target="embeddings/oleObject7147.bin"/><Relationship Id="rId682" Type="http://schemas.openxmlformats.org/officeDocument/2006/relationships/image" Target="media/image343.wmf"/><Relationship Id="rId2363" Type="http://schemas.openxmlformats.org/officeDocument/2006/relationships/image" Target="media/image1190.wmf"/><Relationship Id="rId3414" Type="http://schemas.openxmlformats.org/officeDocument/2006/relationships/image" Target="media/image1717.wmf"/><Relationship Id="rId6984" Type="http://schemas.openxmlformats.org/officeDocument/2006/relationships/oleObject" Target="embeddings/oleObject3477.bin"/><Relationship Id="rId13008" Type="http://schemas.openxmlformats.org/officeDocument/2006/relationships/oleObject" Target="embeddings/oleObject6453.bin"/><Relationship Id="rId335" Type="http://schemas.openxmlformats.org/officeDocument/2006/relationships/oleObject" Target="embeddings/oleObject162.bin"/><Relationship Id="rId2016" Type="http://schemas.openxmlformats.org/officeDocument/2006/relationships/image" Target="media/image1014.wmf"/><Relationship Id="rId5586" Type="http://schemas.openxmlformats.org/officeDocument/2006/relationships/oleObject" Target="embeddings/oleObject2782.bin"/><Relationship Id="rId6637" Type="http://schemas.openxmlformats.org/officeDocument/2006/relationships/image" Target="media/image3328.wmf"/><Relationship Id="rId4188" Type="http://schemas.openxmlformats.org/officeDocument/2006/relationships/oleObject" Target="embeddings/oleObject2085.bin"/><Relationship Id="rId5239" Type="http://schemas.openxmlformats.org/officeDocument/2006/relationships/image" Target="media/image2630.wmf"/><Relationship Id="rId9110" Type="http://schemas.openxmlformats.org/officeDocument/2006/relationships/oleObject" Target="embeddings/oleObject4535.bin"/><Relationship Id="rId11040" Type="http://schemas.openxmlformats.org/officeDocument/2006/relationships/image" Target="media/image5530.wmf"/><Relationship Id="rId1849" Type="http://schemas.openxmlformats.org/officeDocument/2006/relationships/oleObject" Target="embeddings/oleObject912.bin"/><Relationship Id="rId5720" Type="http://schemas.openxmlformats.org/officeDocument/2006/relationships/oleObject" Target="embeddings/oleObject2849.bin"/><Relationship Id="rId14263" Type="http://schemas.openxmlformats.org/officeDocument/2006/relationships/image" Target="media/image7146.wmf"/><Relationship Id="rId192" Type="http://schemas.openxmlformats.org/officeDocument/2006/relationships/image" Target="media/image95.wmf"/><Relationship Id="rId3271" Type="http://schemas.openxmlformats.org/officeDocument/2006/relationships/oleObject" Target="embeddings/oleObject1624.bin"/><Relationship Id="rId4322" Type="http://schemas.openxmlformats.org/officeDocument/2006/relationships/oleObject" Target="embeddings/oleObject2152.bin"/><Relationship Id="rId7892" Type="http://schemas.openxmlformats.org/officeDocument/2006/relationships/image" Target="media/image3955.wmf"/><Relationship Id="rId8943" Type="http://schemas.openxmlformats.org/officeDocument/2006/relationships/image" Target="media/image4481.wmf"/><Relationship Id="rId10873" Type="http://schemas.openxmlformats.org/officeDocument/2006/relationships/oleObject" Target="embeddings/oleObject5399.bin"/><Relationship Id="rId6494" Type="http://schemas.openxmlformats.org/officeDocument/2006/relationships/oleObject" Target="embeddings/oleObject3237.bin"/><Relationship Id="rId7545" Type="http://schemas.openxmlformats.org/officeDocument/2006/relationships/oleObject" Target="embeddings/oleObject3757.bin"/><Relationship Id="rId10526" Type="http://schemas.openxmlformats.org/officeDocument/2006/relationships/image" Target="media/image5272.wmf"/><Relationship Id="rId11924" Type="http://schemas.openxmlformats.org/officeDocument/2006/relationships/image" Target="media/image5975.wmf"/><Relationship Id="rId5096" Type="http://schemas.openxmlformats.org/officeDocument/2006/relationships/image" Target="media/image2558.wmf"/><Relationship Id="rId6147" Type="http://schemas.openxmlformats.org/officeDocument/2006/relationships/image" Target="media/image3084.wmf"/><Relationship Id="rId12698" Type="http://schemas.openxmlformats.org/officeDocument/2006/relationships/oleObject" Target="embeddings/oleObject6298.bin"/><Relationship Id="rId13749" Type="http://schemas.openxmlformats.org/officeDocument/2006/relationships/image" Target="media/image6889.wmf"/><Relationship Id="rId729" Type="http://schemas.openxmlformats.org/officeDocument/2006/relationships/oleObject" Target="embeddings/oleObject353.bin"/><Relationship Id="rId1359" Type="http://schemas.openxmlformats.org/officeDocument/2006/relationships/oleObject" Target="embeddings/oleObject669.bin"/><Relationship Id="rId2757" Type="http://schemas.openxmlformats.org/officeDocument/2006/relationships/oleObject" Target="embeddings/oleObject1366.bin"/><Relationship Id="rId3808" Type="http://schemas.openxmlformats.org/officeDocument/2006/relationships/image" Target="media/image1915.wmf"/><Relationship Id="rId5230" Type="http://schemas.openxmlformats.org/officeDocument/2006/relationships/oleObject" Target="embeddings/oleObject2604.bin"/><Relationship Id="rId9851" Type="http://schemas.openxmlformats.org/officeDocument/2006/relationships/image" Target="media/image4934.wmf"/><Relationship Id="rId11781" Type="http://schemas.openxmlformats.org/officeDocument/2006/relationships/oleObject" Target="embeddings/oleObject5842.bin"/><Relationship Id="rId12832" Type="http://schemas.openxmlformats.org/officeDocument/2006/relationships/oleObject" Target="embeddings/oleObject6365.bin"/><Relationship Id="rId65" Type="http://schemas.openxmlformats.org/officeDocument/2006/relationships/image" Target="media/image30.wmf"/><Relationship Id="rId1840" Type="http://schemas.openxmlformats.org/officeDocument/2006/relationships/image" Target="media/image926.wmf"/><Relationship Id="rId8453" Type="http://schemas.openxmlformats.org/officeDocument/2006/relationships/oleObject" Target="embeddings/oleObject4211.bin"/><Relationship Id="rId9504" Type="http://schemas.openxmlformats.org/officeDocument/2006/relationships/image" Target="media/image4761.wmf"/><Relationship Id="rId10383" Type="http://schemas.openxmlformats.org/officeDocument/2006/relationships/image" Target="media/image5200.wmf"/><Relationship Id="rId11434" Type="http://schemas.openxmlformats.org/officeDocument/2006/relationships/oleObject" Target="embeddings/oleObject5670.bin"/><Relationship Id="rId7055" Type="http://schemas.openxmlformats.org/officeDocument/2006/relationships/image" Target="media/image3537.wmf"/><Relationship Id="rId8106" Type="http://schemas.openxmlformats.org/officeDocument/2006/relationships/image" Target="media/image4062.wmf"/><Relationship Id="rId10036" Type="http://schemas.openxmlformats.org/officeDocument/2006/relationships/oleObject" Target="embeddings/oleObject4987.bin"/><Relationship Id="rId3665" Type="http://schemas.openxmlformats.org/officeDocument/2006/relationships/oleObject" Target="embeddings/oleObject1823.bin"/><Relationship Id="rId4716" Type="http://schemas.openxmlformats.org/officeDocument/2006/relationships/image" Target="media/image2368.wmf"/><Relationship Id="rId13259" Type="http://schemas.openxmlformats.org/officeDocument/2006/relationships/image" Target="media/image6644.wmf"/><Relationship Id="rId586" Type="http://schemas.openxmlformats.org/officeDocument/2006/relationships/image" Target="media/image294.wmf"/><Relationship Id="rId2267" Type="http://schemas.openxmlformats.org/officeDocument/2006/relationships/image" Target="media/image1140.wmf"/><Relationship Id="rId3318" Type="http://schemas.openxmlformats.org/officeDocument/2006/relationships/image" Target="media/image1668.wmf"/><Relationship Id="rId6888" Type="http://schemas.openxmlformats.org/officeDocument/2006/relationships/oleObject" Target="embeddings/oleObject3429.bin"/><Relationship Id="rId239" Type="http://schemas.openxmlformats.org/officeDocument/2006/relationships/oleObject" Target="embeddings/oleObject114.bin"/><Relationship Id="rId7939" Type="http://schemas.openxmlformats.org/officeDocument/2006/relationships/oleObject" Target="embeddings/oleObject3954.bin"/><Relationship Id="rId9361" Type="http://schemas.openxmlformats.org/officeDocument/2006/relationships/oleObject" Target="embeddings/oleObject4661.bin"/><Relationship Id="rId13740" Type="http://schemas.openxmlformats.org/officeDocument/2006/relationships/oleObject" Target="embeddings/oleObject6816.bin"/><Relationship Id="rId9014" Type="http://schemas.openxmlformats.org/officeDocument/2006/relationships/oleObject" Target="embeddings/oleObject4487.bin"/><Relationship Id="rId11291" Type="http://schemas.openxmlformats.org/officeDocument/2006/relationships/image" Target="media/image5657.wmf"/><Relationship Id="rId12342" Type="http://schemas.openxmlformats.org/officeDocument/2006/relationships/oleObject" Target="embeddings/oleObject6120.bin"/><Relationship Id="rId720" Type="http://schemas.openxmlformats.org/officeDocument/2006/relationships/image" Target="media/image362.wmf"/><Relationship Id="rId1350" Type="http://schemas.openxmlformats.org/officeDocument/2006/relationships/image" Target="media/image680.wmf"/><Relationship Id="rId2401" Type="http://schemas.openxmlformats.org/officeDocument/2006/relationships/image" Target="media/image1209.wmf"/><Relationship Id="rId5971" Type="http://schemas.openxmlformats.org/officeDocument/2006/relationships/image" Target="media/image2996.wmf"/><Relationship Id="rId1003" Type="http://schemas.openxmlformats.org/officeDocument/2006/relationships/image" Target="media/image507.wmf"/><Relationship Id="rId4573" Type="http://schemas.openxmlformats.org/officeDocument/2006/relationships/oleObject" Target="embeddings/oleObject2278.bin"/><Relationship Id="rId5624" Type="http://schemas.openxmlformats.org/officeDocument/2006/relationships/oleObject" Target="embeddings/oleObject2801.bin"/><Relationship Id="rId14167" Type="http://schemas.openxmlformats.org/officeDocument/2006/relationships/image" Target="media/image7098.wmf"/><Relationship Id="rId3175" Type="http://schemas.openxmlformats.org/officeDocument/2006/relationships/image" Target="media/image1597.wmf"/><Relationship Id="rId4226" Type="http://schemas.openxmlformats.org/officeDocument/2006/relationships/oleObject" Target="embeddings/oleObject2104.bin"/><Relationship Id="rId7796" Type="http://schemas.openxmlformats.org/officeDocument/2006/relationships/image" Target="media/image3907.wmf"/><Relationship Id="rId8847" Type="http://schemas.openxmlformats.org/officeDocument/2006/relationships/image" Target="media/image4433.wmf"/><Relationship Id="rId6398" Type="http://schemas.openxmlformats.org/officeDocument/2006/relationships/oleObject" Target="embeddings/oleObject3189.bin"/><Relationship Id="rId7449" Type="http://schemas.openxmlformats.org/officeDocument/2006/relationships/oleObject" Target="embeddings/oleObject3709.bin"/><Relationship Id="rId10777" Type="http://schemas.openxmlformats.org/officeDocument/2006/relationships/oleObject" Target="embeddings/oleObject5351.bin"/><Relationship Id="rId11828" Type="http://schemas.openxmlformats.org/officeDocument/2006/relationships/image" Target="media/image5927.wmf"/><Relationship Id="rId13250" Type="http://schemas.openxmlformats.org/officeDocument/2006/relationships/oleObject" Target="embeddings/oleObject6572.bin"/><Relationship Id="rId14301" Type="http://schemas.openxmlformats.org/officeDocument/2006/relationships/image" Target="media/image7165.wmf"/><Relationship Id="rId230" Type="http://schemas.openxmlformats.org/officeDocument/2006/relationships/image" Target="media/image114.wmf"/><Relationship Id="rId7930" Type="http://schemas.openxmlformats.org/officeDocument/2006/relationships/image" Target="media/image3974.wmf"/><Relationship Id="rId10911" Type="http://schemas.openxmlformats.org/officeDocument/2006/relationships/oleObject" Target="embeddings/oleObject5418.bin"/><Relationship Id="rId4083" Type="http://schemas.openxmlformats.org/officeDocument/2006/relationships/image" Target="media/image2052.wmf"/><Relationship Id="rId5481" Type="http://schemas.openxmlformats.org/officeDocument/2006/relationships/image" Target="media/image2751.wmf"/><Relationship Id="rId6532" Type="http://schemas.openxmlformats.org/officeDocument/2006/relationships/oleObject" Target="embeddings/oleObject3256.bin"/><Relationship Id="rId5134" Type="http://schemas.openxmlformats.org/officeDocument/2006/relationships/image" Target="media/image2577.wmf"/><Relationship Id="rId9755" Type="http://schemas.openxmlformats.org/officeDocument/2006/relationships/oleObject" Target="embeddings/oleObject4849.bin"/><Relationship Id="rId11685" Type="http://schemas.openxmlformats.org/officeDocument/2006/relationships/oleObject" Target="embeddings/oleObject5794.bin"/><Relationship Id="rId12736" Type="http://schemas.openxmlformats.org/officeDocument/2006/relationships/oleObject" Target="embeddings/oleObject6317.bin"/><Relationship Id="rId1744" Type="http://schemas.openxmlformats.org/officeDocument/2006/relationships/image" Target="media/image878.wmf"/><Relationship Id="rId8357" Type="http://schemas.openxmlformats.org/officeDocument/2006/relationships/oleObject" Target="embeddings/oleObject4163.bin"/><Relationship Id="rId9408" Type="http://schemas.openxmlformats.org/officeDocument/2006/relationships/image" Target="media/image4713.wmf"/><Relationship Id="rId10287" Type="http://schemas.openxmlformats.org/officeDocument/2006/relationships/image" Target="media/image5152.wmf"/><Relationship Id="rId11338" Type="http://schemas.openxmlformats.org/officeDocument/2006/relationships/oleObject" Target="embeddings/oleObject5622.bin"/><Relationship Id="rId4967" Type="http://schemas.openxmlformats.org/officeDocument/2006/relationships/oleObject" Target="embeddings/oleObject2473.bin"/><Relationship Id="rId3569" Type="http://schemas.openxmlformats.org/officeDocument/2006/relationships/oleObject" Target="embeddings/oleObject1775.bin"/><Relationship Id="rId7440" Type="http://schemas.openxmlformats.org/officeDocument/2006/relationships/image" Target="media/image3729.wmf"/><Relationship Id="rId6042" Type="http://schemas.openxmlformats.org/officeDocument/2006/relationships/oleObject" Target="embeddings/oleObject3010.bin"/><Relationship Id="rId10421" Type="http://schemas.openxmlformats.org/officeDocument/2006/relationships/oleObject" Target="embeddings/oleObject5177.bin"/><Relationship Id="rId13991" Type="http://schemas.openxmlformats.org/officeDocument/2006/relationships/image" Target="media/image7010.wmf"/><Relationship Id="rId12593" Type="http://schemas.openxmlformats.org/officeDocument/2006/relationships/image" Target="media/image6311.wmf"/><Relationship Id="rId13644" Type="http://schemas.openxmlformats.org/officeDocument/2006/relationships/image" Target="media/image6837.wmf"/><Relationship Id="rId971" Type="http://schemas.openxmlformats.org/officeDocument/2006/relationships/image" Target="media/image491.wmf"/><Relationship Id="rId2652" Type="http://schemas.openxmlformats.org/officeDocument/2006/relationships/image" Target="media/image1336.wmf"/><Relationship Id="rId3703" Type="http://schemas.openxmlformats.org/officeDocument/2006/relationships/oleObject" Target="embeddings/oleObject1842.bin"/><Relationship Id="rId9265" Type="http://schemas.openxmlformats.org/officeDocument/2006/relationships/oleObject" Target="embeddings/oleObject4613.bin"/><Relationship Id="rId11195" Type="http://schemas.openxmlformats.org/officeDocument/2006/relationships/image" Target="media/image5609.wmf"/><Relationship Id="rId12246" Type="http://schemas.openxmlformats.org/officeDocument/2006/relationships/image" Target="media/image6136.wmf"/><Relationship Id="rId624" Type="http://schemas.openxmlformats.org/officeDocument/2006/relationships/image" Target="media/image313.wmf"/><Relationship Id="rId1254" Type="http://schemas.openxmlformats.org/officeDocument/2006/relationships/image" Target="media/image632.wmf"/><Relationship Id="rId2305" Type="http://schemas.openxmlformats.org/officeDocument/2006/relationships/image" Target="media/image1159.wmf"/><Relationship Id="rId5875" Type="http://schemas.openxmlformats.org/officeDocument/2006/relationships/image" Target="media/image2948.wmf"/><Relationship Id="rId6926" Type="http://schemas.openxmlformats.org/officeDocument/2006/relationships/oleObject" Target="embeddings/oleObject3448.bin"/><Relationship Id="rId4477" Type="http://schemas.openxmlformats.org/officeDocument/2006/relationships/oleObject" Target="embeddings/oleObject2230.bin"/><Relationship Id="rId5528" Type="http://schemas.openxmlformats.org/officeDocument/2006/relationships/oleObject" Target="embeddings/oleObject2753.bin"/><Relationship Id="rId3079" Type="http://schemas.openxmlformats.org/officeDocument/2006/relationships/image" Target="media/image1549.wmf"/><Relationship Id="rId8001" Type="http://schemas.openxmlformats.org/officeDocument/2006/relationships/oleObject" Target="embeddings/oleObject3985.bin"/><Relationship Id="rId14552" Type="http://schemas.openxmlformats.org/officeDocument/2006/relationships/oleObject" Target="embeddings/oleObject7216.bin"/><Relationship Id="rId481" Type="http://schemas.openxmlformats.org/officeDocument/2006/relationships/image" Target="media/image240.wmf"/><Relationship Id="rId2162" Type="http://schemas.openxmlformats.org/officeDocument/2006/relationships/image" Target="media/image1087.wmf"/><Relationship Id="rId3560" Type="http://schemas.openxmlformats.org/officeDocument/2006/relationships/image" Target="media/image1791.wmf"/><Relationship Id="rId4611" Type="http://schemas.openxmlformats.org/officeDocument/2006/relationships/oleObject" Target="embeddings/oleObject2297.bin"/><Relationship Id="rId13154" Type="http://schemas.openxmlformats.org/officeDocument/2006/relationships/oleObject" Target="embeddings/oleObject6524.bin"/><Relationship Id="rId14205" Type="http://schemas.openxmlformats.org/officeDocument/2006/relationships/image" Target="media/image7117.wmf"/><Relationship Id="rId134" Type="http://schemas.openxmlformats.org/officeDocument/2006/relationships/oleObject" Target="embeddings/oleObject63.bin"/><Relationship Id="rId3213" Type="http://schemas.openxmlformats.org/officeDocument/2006/relationships/image" Target="media/image1616.wmf"/><Relationship Id="rId6783" Type="http://schemas.openxmlformats.org/officeDocument/2006/relationships/image" Target="media/image3401.wmf"/><Relationship Id="rId7834" Type="http://schemas.openxmlformats.org/officeDocument/2006/relationships/image" Target="media/image3926.wmf"/><Relationship Id="rId10815" Type="http://schemas.openxmlformats.org/officeDocument/2006/relationships/oleObject" Target="embeddings/oleObject5370.bin"/><Relationship Id="rId5385" Type="http://schemas.openxmlformats.org/officeDocument/2006/relationships/image" Target="media/image2703.wmf"/><Relationship Id="rId6436" Type="http://schemas.openxmlformats.org/officeDocument/2006/relationships/oleObject" Target="embeddings/oleObject3208.bin"/><Relationship Id="rId1995" Type="http://schemas.openxmlformats.org/officeDocument/2006/relationships/oleObject" Target="embeddings/oleObject985.bin"/><Relationship Id="rId5038" Type="http://schemas.openxmlformats.org/officeDocument/2006/relationships/image" Target="media/image2529.wmf"/><Relationship Id="rId9659" Type="http://schemas.openxmlformats.org/officeDocument/2006/relationships/oleObject" Target="embeddings/oleObject4808.bin"/><Relationship Id="rId11589" Type="http://schemas.openxmlformats.org/officeDocument/2006/relationships/image" Target="media/image5806.wmf"/><Relationship Id="rId12987" Type="http://schemas.openxmlformats.org/officeDocument/2006/relationships/image" Target="media/image6508.wmf"/><Relationship Id="rId1648" Type="http://schemas.openxmlformats.org/officeDocument/2006/relationships/image" Target="media/image830.wmf"/><Relationship Id="rId14062" Type="http://schemas.openxmlformats.org/officeDocument/2006/relationships/oleObject" Target="embeddings/oleObject6977.bin"/><Relationship Id="rId3070" Type="http://schemas.openxmlformats.org/officeDocument/2006/relationships/oleObject" Target="embeddings/oleObject1523.bin"/><Relationship Id="rId4121" Type="http://schemas.openxmlformats.org/officeDocument/2006/relationships/image" Target="media/image2071.wmf"/><Relationship Id="rId6293" Type="http://schemas.openxmlformats.org/officeDocument/2006/relationships/image" Target="media/image3157.wmf"/><Relationship Id="rId7691" Type="http://schemas.openxmlformats.org/officeDocument/2006/relationships/oleObject" Target="embeddings/oleObject3830.bin"/><Relationship Id="rId8742" Type="http://schemas.openxmlformats.org/officeDocument/2006/relationships/oleObject" Target="embeddings/oleObject4354.bin"/><Relationship Id="rId10672" Type="http://schemas.openxmlformats.org/officeDocument/2006/relationships/image" Target="media/image5345.wmf"/><Relationship Id="rId11723" Type="http://schemas.openxmlformats.org/officeDocument/2006/relationships/oleObject" Target="embeddings/oleObject5813.bin"/><Relationship Id="rId7344" Type="http://schemas.openxmlformats.org/officeDocument/2006/relationships/image" Target="media/image3681.wmf"/><Relationship Id="rId10325" Type="http://schemas.openxmlformats.org/officeDocument/2006/relationships/image" Target="media/image5171.wmf"/><Relationship Id="rId13895" Type="http://schemas.openxmlformats.org/officeDocument/2006/relationships/image" Target="media/image6962.wmf"/><Relationship Id="rId3954" Type="http://schemas.openxmlformats.org/officeDocument/2006/relationships/image" Target="media/image1988.wmf"/><Relationship Id="rId12497" Type="http://schemas.openxmlformats.org/officeDocument/2006/relationships/image" Target="media/image6263.wmf"/><Relationship Id="rId13548" Type="http://schemas.openxmlformats.org/officeDocument/2006/relationships/image" Target="media/image6789.wmf"/><Relationship Id="rId875" Type="http://schemas.openxmlformats.org/officeDocument/2006/relationships/oleObject" Target="embeddings/oleObject429.bin"/><Relationship Id="rId2556" Type="http://schemas.openxmlformats.org/officeDocument/2006/relationships/image" Target="media/image1288.wmf"/><Relationship Id="rId3607" Type="http://schemas.openxmlformats.org/officeDocument/2006/relationships/oleObject" Target="embeddings/oleObject1794.bin"/><Relationship Id="rId9169" Type="http://schemas.openxmlformats.org/officeDocument/2006/relationships/oleObject" Target="embeddings/oleObject4565.bin"/><Relationship Id="rId11099" Type="http://schemas.openxmlformats.org/officeDocument/2006/relationships/image" Target="media/image5561.wmf"/><Relationship Id="rId528" Type="http://schemas.openxmlformats.org/officeDocument/2006/relationships/oleObject" Target="embeddings/oleObject255.bin"/><Relationship Id="rId1158" Type="http://schemas.openxmlformats.org/officeDocument/2006/relationships/oleObject" Target="embeddings/oleObject569.bin"/><Relationship Id="rId2209" Type="http://schemas.openxmlformats.org/officeDocument/2006/relationships/oleObject" Target="embeddings/oleObject1092.bin"/><Relationship Id="rId5779" Type="http://schemas.openxmlformats.org/officeDocument/2006/relationships/image" Target="media/image2900.wmf"/><Relationship Id="rId9650" Type="http://schemas.openxmlformats.org/officeDocument/2006/relationships/image" Target="media/image4834.wmf"/><Relationship Id="rId8252" Type="http://schemas.openxmlformats.org/officeDocument/2006/relationships/image" Target="media/image4135.wmf"/><Relationship Id="rId9303" Type="http://schemas.openxmlformats.org/officeDocument/2006/relationships/oleObject" Target="embeddings/oleObject4632.bin"/><Relationship Id="rId11580" Type="http://schemas.openxmlformats.org/officeDocument/2006/relationships/oleObject" Target="embeddings/oleObject5743.bin"/><Relationship Id="rId12631" Type="http://schemas.openxmlformats.org/officeDocument/2006/relationships/image" Target="media/image6330.wmf"/><Relationship Id="rId10182" Type="http://schemas.openxmlformats.org/officeDocument/2006/relationships/oleObject" Target="embeddings/oleObject5059.bin"/><Relationship Id="rId11233" Type="http://schemas.openxmlformats.org/officeDocument/2006/relationships/image" Target="media/image5628.wmf"/><Relationship Id="rId4862" Type="http://schemas.openxmlformats.org/officeDocument/2006/relationships/image" Target="media/image2441.wmf"/><Relationship Id="rId5913" Type="http://schemas.openxmlformats.org/officeDocument/2006/relationships/image" Target="media/image2967.wmf"/><Relationship Id="rId14456" Type="http://schemas.openxmlformats.org/officeDocument/2006/relationships/oleObject" Target="embeddings/oleObject7168.bin"/><Relationship Id="rId3464" Type="http://schemas.openxmlformats.org/officeDocument/2006/relationships/image" Target="media/image1743.wmf"/><Relationship Id="rId4515" Type="http://schemas.openxmlformats.org/officeDocument/2006/relationships/oleObject" Target="embeddings/oleObject2249.bin"/><Relationship Id="rId13058" Type="http://schemas.openxmlformats.org/officeDocument/2006/relationships/oleObject" Target="embeddings/oleObject6476.bin"/><Relationship Id="rId14109" Type="http://schemas.openxmlformats.org/officeDocument/2006/relationships/image" Target="media/image7069.wmf"/><Relationship Id="rId385" Type="http://schemas.openxmlformats.org/officeDocument/2006/relationships/image" Target="media/image192.wmf"/><Relationship Id="rId2066" Type="http://schemas.openxmlformats.org/officeDocument/2006/relationships/image" Target="media/image1039.wmf"/><Relationship Id="rId3117" Type="http://schemas.openxmlformats.org/officeDocument/2006/relationships/image" Target="media/image1568.wmf"/><Relationship Id="rId6687" Type="http://schemas.openxmlformats.org/officeDocument/2006/relationships/image" Target="media/image3353.wmf"/><Relationship Id="rId7738" Type="http://schemas.openxmlformats.org/officeDocument/2006/relationships/image" Target="media/image3878.wmf"/><Relationship Id="rId5289" Type="http://schemas.openxmlformats.org/officeDocument/2006/relationships/image" Target="media/image2655.wmf"/><Relationship Id="rId9160" Type="http://schemas.openxmlformats.org/officeDocument/2006/relationships/image" Target="media/image4589.wmf"/><Relationship Id="rId10719" Type="http://schemas.openxmlformats.org/officeDocument/2006/relationships/oleObject" Target="embeddings/oleObject5322.bin"/><Relationship Id="rId11090" Type="http://schemas.openxmlformats.org/officeDocument/2006/relationships/oleObject" Target="embeddings/oleObject5498.bin"/><Relationship Id="rId12141" Type="http://schemas.openxmlformats.org/officeDocument/2006/relationships/oleObject" Target="embeddings/oleObject6022.bin"/><Relationship Id="rId2200" Type="http://schemas.openxmlformats.org/officeDocument/2006/relationships/image" Target="media/image1106.wmf"/><Relationship Id="rId1899" Type="http://schemas.openxmlformats.org/officeDocument/2006/relationships/oleObject" Target="embeddings/oleObject937.bin"/><Relationship Id="rId4372" Type="http://schemas.openxmlformats.org/officeDocument/2006/relationships/image" Target="media/image2196.wmf"/><Relationship Id="rId5770" Type="http://schemas.openxmlformats.org/officeDocument/2006/relationships/oleObject" Target="embeddings/oleObject2874.bin"/><Relationship Id="rId6821" Type="http://schemas.openxmlformats.org/officeDocument/2006/relationships/image" Target="media/image3420.wmf"/><Relationship Id="rId4025" Type="http://schemas.openxmlformats.org/officeDocument/2006/relationships/image" Target="media/image2023.wmf"/><Relationship Id="rId5423" Type="http://schemas.openxmlformats.org/officeDocument/2006/relationships/image" Target="media/image2722.wmf"/><Relationship Id="rId8993" Type="http://schemas.openxmlformats.org/officeDocument/2006/relationships/image" Target="media/image4506.wmf"/><Relationship Id="rId11974" Type="http://schemas.openxmlformats.org/officeDocument/2006/relationships/image" Target="media/image6000.wmf"/><Relationship Id="rId7595" Type="http://schemas.openxmlformats.org/officeDocument/2006/relationships/oleObject" Target="embeddings/oleObject3782.bin"/><Relationship Id="rId8646" Type="http://schemas.openxmlformats.org/officeDocument/2006/relationships/image" Target="media/image4332.wmf"/><Relationship Id="rId10576" Type="http://schemas.openxmlformats.org/officeDocument/2006/relationships/image" Target="media/image5297.wmf"/><Relationship Id="rId11627" Type="http://schemas.openxmlformats.org/officeDocument/2006/relationships/image" Target="media/image5825.wmf"/><Relationship Id="rId6197" Type="http://schemas.openxmlformats.org/officeDocument/2006/relationships/image" Target="media/image3109.wmf"/><Relationship Id="rId7248" Type="http://schemas.openxmlformats.org/officeDocument/2006/relationships/image" Target="media/image3633.wmf"/><Relationship Id="rId10229" Type="http://schemas.openxmlformats.org/officeDocument/2006/relationships/image" Target="media/image5123.wmf"/><Relationship Id="rId13799" Type="http://schemas.openxmlformats.org/officeDocument/2006/relationships/image" Target="media/image6914.wmf"/><Relationship Id="rId14100" Type="http://schemas.openxmlformats.org/officeDocument/2006/relationships/oleObject" Target="embeddings/oleObject6996.bin"/><Relationship Id="rId3858" Type="http://schemas.openxmlformats.org/officeDocument/2006/relationships/image" Target="media/image1940.wmf"/><Relationship Id="rId4909" Type="http://schemas.openxmlformats.org/officeDocument/2006/relationships/oleObject" Target="embeddings/oleObject2445.bin"/><Relationship Id="rId779" Type="http://schemas.openxmlformats.org/officeDocument/2006/relationships/oleObject" Target="embeddings/oleObject381.bin"/><Relationship Id="rId5280" Type="http://schemas.openxmlformats.org/officeDocument/2006/relationships/oleObject" Target="embeddings/oleObject2629.bin"/><Relationship Id="rId6331" Type="http://schemas.openxmlformats.org/officeDocument/2006/relationships/image" Target="media/image3175.wmf"/><Relationship Id="rId10710" Type="http://schemas.openxmlformats.org/officeDocument/2006/relationships/image" Target="media/image5364.png"/><Relationship Id="rId12882" Type="http://schemas.openxmlformats.org/officeDocument/2006/relationships/oleObject" Target="embeddings/oleObject6390.bin"/><Relationship Id="rId13933" Type="http://schemas.openxmlformats.org/officeDocument/2006/relationships/image" Target="media/image6981.wmf"/><Relationship Id="rId1890" Type="http://schemas.openxmlformats.org/officeDocument/2006/relationships/image" Target="media/image951.wmf"/><Relationship Id="rId2941" Type="http://schemas.openxmlformats.org/officeDocument/2006/relationships/image" Target="media/image1480.wmf"/><Relationship Id="rId8156" Type="http://schemas.openxmlformats.org/officeDocument/2006/relationships/image" Target="media/image4087.wmf"/><Relationship Id="rId9207" Type="http://schemas.openxmlformats.org/officeDocument/2006/relationships/oleObject" Target="embeddings/oleObject4584.bin"/><Relationship Id="rId9554" Type="http://schemas.openxmlformats.org/officeDocument/2006/relationships/image" Target="media/image4786.wmf"/><Relationship Id="rId11484" Type="http://schemas.openxmlformats.org/officeDocument/2006/relationships/oleObject" Target="embeddings/oleObject5695.bin"/><Relationship Id="rId12535" Type="http://schemas.openxmlformats.org/officeDocument/2006/relationships/image" Target="media/image6282.wmf"/><Relationship Id="rId913" Type="http://schemas.openxmlformats.org/officeDocument/2006/relationships/oleObject" Target="embeddings/oleObject448.bin"/><Relationship Id="rId1543" Type="http://schemas.openxmlformats.org/officeDocument/2006/relationships/oleObject" Target="embeddings/oleObject758.bin"/><Relationship Id="rId10086" Type="http://schemas.openxmlformats.org/officeDocument/2006/relationships/oleObject" Target="embeddings/oleObject5012.bin"/><Relationship Id="rId11137" Type="http://schemas.openxmlformats.org/officeDocument/2006/relationships/image" Target="media/image5580.wmf"/><Relationship Id="rId4766" Type="http://schemas.openxmlformats.org/officeDocument/2006/relationships/image" Target="media/image2393.wmf"/><Relationship Id="rId5817" Type="http://schemas.openxmlformats.org/officeDocument/2006/relationships/image" Target="media/image2919.wmf"/><Relationship Id="rId3368" Type="http://schemas.openxmlformats.org/officeDocument/2006/relationships/image" Target="media/image1693.wmf"/><Relationship Id="rId4419" Type="http://schemas.openxmlformats.org/officeDocument/2006/relationships/oleObject" Target="embeddings/oleObject2201.bin"/><Relationship Id="rId7989" Type="http://schemas.openxmlformats.org/officeDocument/2006/relationships/oleObject" Target="embeddings/oleObject3979.bin"/><Relationship Id="rId10220" Type="http://schemas.openxmlformats.org/officeDocument/2006/relationships/oleObject" Target="embeddings/oleObject5077.bin"/><Relationship Id="rId289" Type="http://schemas.openxmlformats.org/officeDocument/2006/relationships/oleObject" Target="embeddings/oleObject139.bin"/><Relationship Id="rId12392" Type="http://schemas.openxmlformats.org/officeDocument/2006/relationships/oleObject" Target="embeddings/oleObject6145.bin"/><Relationship Id="rId13790" Type="http://schemas.openxmlformats.org/officeDocument/2006/relationships/oleObject" Target="embeddings/oleObject6841.bin"/><Relationship Id="rId770" Type="http://schemas.openxmlformats.org/officeDocument/2006/relationships/image" Target="media/image390.wmf"/><Relationship Id="rId2451" Type="http://schemas.openxmlformats.org/officeDocument/2006/relationships/oleObject" Target="embeddings/oleObject1214.bin"/><Relationship Id="rId4900" Type="http://schemas.openxmlformats.org/officeDocument/2006/relationships/image" Target="media/image2460.wmf"/><Relationship Id="rId9064" Type="http://schemas.openxmlformats.org/officeDocument/2006/relationships/oleObject" Target="embeddings/oleObject4512.bin"/><Relationship Id="rId12045" Type="http://schemas.openxmlformats.org/officeDocument/2006/relationships/oleObject" Target="embeddings/oleObject5974.bin"/><Relationship Id="rId13443" Type="http://schemas.openxmlformats.org/officeDocument/2006/relationships/oleObject" Target="embeddings/oleObject6667.bin"/><Relationship Id="rId423" Type="http://schemas.openxmlformats.org/officeDocument/2006/relationships/image" Target="media/image211.wmf"/><Relationship Id="rId1053" Type="http://schemas.openxmlformats.org/officeDocument/2006/relationships/image" Target="media/image532.wmf"/><Relationship Id="rId2104" Type="http://schemas.openxmlformats.org/officeDocument/2006/relationships/image" Target="media/image1058.wmf"/><Relationship Id="rId3502" Type="http://schemas.openxmlformats.org/officeDocument/2006/relationships/image" Target="media/image1762.wmf"/><Relationship Id="rId5674" Type="http://schemas.openxmlformats.org/officeDocument/2006/relationships/oleObject" Target="embeddings/oleObject2826.bin"/><Relationship Id="rId6725" Type="http://schemas.openxmlformats.org/officeDocument/2006/relationships/image" Target="media/image3372.wmf"/><Relationship Id="rId4276" Type="http://schemas.openxmlformats.org/officeDocument/2006/relationships/oleObject" Target="embeddings/oleObject2129.bin"/><Relationship Id="rId5327" Type="http://schemas.openxmlformats.org/officeDocument/2006/relationships/image" Target="media/image2674.wmf"/><Relationship Id="rId8897" Type="http://schemas.openxmlformats.org/officeDocument/2006/relationships/image" Target="media/image4458.wmf"/><Relationship Id="rId9948" Type="http://schemas.openxmlformats.org/officeDocument/2006/relationships/oleObject" Target="embeddings/oleObject4944.bin"/><Relationship Id="rId11878" Type="http://schemas.openxmlformats.org/officeDocument/2006/relationships/image" Target="media/image5952.wmf"/><Relationship Id="rId1937" Type="http://schemas.openxmlformats.org/officeDocument/2006/relationships/oleObject" Target="embeddings/oleObject956.bin"/><Relationship Id="rId7499" Type="http://schemas.openxmlformats.org/officeDocument/2006/relationships/oleObject" Target="embeddings/oleObject3734.bin"/><Relationship Id="rId12929" Type="http://schemas.openxmlformats.org/officeDocument/2006/relationships/image" Target="media/image6479.wmf"/><Relationship Id="rId14351" Type="http://schemas.openxmlformats.org/officeDocument/2006/relationships/image" Target="media/image7190.wmf"/><Relationship Id="rId4410" Type="http://schemas.openxmlformats.org/officeDocument/2006/relationships/image" Target="media/image2215.wmf"/><Relationship Id="rId14004" Type="http://schemas.openxmlformats.org/officeDocument/2006/relationships/oleObject" Target="embeddings/oleObject6948.bin"/><Relationship Id="rId280" Type="http://schemas.openxmlformats.org/officeDocument/2006/relationships/image" Target="media/image139.wmf"/><Relationship Id="rId3012" Type="http://schemas.openxmlformats.org/officeDocument/2006/relationships/oleObject" Target="embeddings/oleObject1494.bin"/><Relationship Id="rId6582" Type="http://schemas.openxmlformats.org/officeDocument/2006/relationships/oleObject" Target="embeddings/oleObject3278.bin"/><Relationship Id="rId7980" Type="http://schemas.openxmlformats.org/officeDocument/2006/relationships/image" Target="media/image3999.wmf"/><Relationship Id="rId10961" Type="http://schemas.openxmlformats.org/officeDocument/2006/relationships/oleObject" Target="embeddings/oleObject5436.bin"/><Relationship Id="rId5184" Type="http://schemas.openxmlformats.org/officeDocument/2006/relationships/image" Target="media/image2602.wmf"/><Relationship Id="rId6235" Type="http://schemas.openxmlformats.org/officeDocument/2006/relationships/image" Target="media/image3128.wmf"/><Relationship Id="rId7633" Type="http://schemas.openxmlformats.org/officeDocument/2006/relationships/oleObject" Target="embeddings/oleObject3801.bin"/><Relationship Id="rId10614" Type="http://schemas.openxmlformats.org/officeDocument/2006/relationships/image" Target="media/image5316.wmf"/><Relationship Id="rId12786" Type="http://schemas.openxmlformats.org/officeDocument/2006/relationships/oleObject" Target="embeddings/oleObject6342.bin"/><Relationship Id="rId13837" Type="http://schemas.openxmlformats.org/officeDocument/2006/relationships/image" Target="media/image6933.wmf"/><Relationship Id="rId1794" Type="http://schemas.openxmlformats.org/officeDocument/2006/relationships/image" Target="media/image903.wmf"/><Relationship Id="rId2845" Type="http://schemas.openxmlformats.org/officeDocument/2006/relationships/image" Target="media/image1432.wmf"/><Relationship Id="rId9458" Type="http://schemas.openxmlformats.org/officeDocument/2006/relationships/image" Target="media/image4738.wmf"/><Relationship Id="rId11388" Type="http://schemas.openxmlformats.org/officeDocument/2006/relationships/oleObject" Target="embeddings/oleObject5647.bin"/><Relationship Id="rId12439" Type="http://schemas.openxmlformats.org/officeDocument/2006/relationships/image" Target="media/image6234.wmf"/><Relationship Id="rId817" Type="http://schemas.openxmlformats.org/officeDocument/2006/relationships/oleObject" Target="embeddings/oleObject400.bin"/><Relationship Id="rId1447" Type="http://schemas.openxmlformats.org/officeDocument/2006/relationships/oleObject" Target="embeddings/oleObject712.bin"/><Relationship Id="rId7490" Type="http://schemas.openxmlformats.org/officeDocument/2006/relationships/image" Target="media/image3754.wmf"/><Relationship Id="rId8541" Type="http://schemas.openxmlformats.org/officeDocument/2006/relationships/oleObject" Target="embeddings/oleObject4255.bin"/><Relationship Id="rId12920" Type="http://schemas.openxmlformats.org/officeDocument/2006/relationships/oleObject" Target="embeddings/oleObject6409.bin"/><Relationship Id="rId6092" Type="http://schemas.openxmlformats.org/officeDocument/2006/relationships/oleObject" Target="embeddings/oleObject3035.bin"/><Relationship Id="rId7143" Type="http://schemas.openxmlformats.org/officeDocument/2006/relationships/oleObject" Target="embeddings/oleObject3557.bin"/><Relationship Id="rId10124" Type="http://schemas.openxmlformats.org/officeDocument/2006/relationships/oleObject" Target="embeddings/oleObject5031.bin"/><Relationship Id="rId10471" Type="http://schemas.openxmlformats.org/officeDocument/2006/relationships/oleObject" Target="embeddings/oleObject5202.bin"/><Relationship Id="rId11522" Type="http://schemas.openxmlformats.org/officeDocument/2006/relationships/oleObject" Target="embeddings/oleObject5714.bin"/><Relationship Id="rId13694" Type="http://schemas.openxmlformats.org/officeDocument/2006/relationships/oleObject" Target="embeddings/oleObject6793.bin"/><Relationship Id="rId3753" Type="http://schemas.openxmlformats.org/officeDocument/2006/relationships/oleObject" Target="embeddings/oleObject1867.bin"/><Relationship Id="rId4804" Type="http://schemas.openxmlformats.org/officeDocument/2006/relationships/image" Target="media/image2412.wmf"/><Relationship Id="rId12296" Type="http://schemas.openxmlformats.org/officeDocument/2006/relationships/oleObject" Target="embeddings/oleObject6097.bin"/><Relationship Id="rId13347" Type="http://schemas.openxmlformats.org/officeDocument/2006/relationships/oleObject" Target="embeddings/oleObject6620.bin"/><Relationship Id="rId674" Type="http://schemas.openxmlformats.org/officeDocument/2006/relationships/image" Target="media/image339.wmf"/><Relationship Id="rId2355" Type="http://schemas.openxmlformats.org/officeDocument/2006/relationships/image" Target="media/image1186.wmf"/><Relationship Id="rId3406" Type="http://schemas.openxmlformats.org/officeDocument/2006/relationships/image" Target="media/image1713.wmf"/><Relationship Id="rId6976" Type="http://schemas.openxmlformats.org/officeDocument/2006/relationships/oleObject" Target="embeddings/oleObject3473.bin"/><Relationship Id="rId327" Type="http://schemas.openxmlformats.org/officeDocument/2006/relationships/oleObject" Target="embeddings/oleObject158.bin"/><Relationship Id="rId2008" Type="http://schemas.openxmlformats.org/officeDocument/2006/relationships/image" Target="media/image1010.wmf"/><Relationship Id="rId5578" Type="http://schemas.openxmlformats.org/officeDocument/2006/relationships/oleObject" Target="embeddings/oleObject2778.bin"/><Relationship Id="rId6629" Type="http://schemas.openxmlformats.org/officeDocument/2006/relationships/image" Target="media/image3324.wmf"/><Relationship Id="rId12430" Type="http://schemas.openxmlformats.org/officeDocument/2006/relationships/oleObject" Target="embeddings/oleObject6164.bin"/><Relationship Id="rId8051" Type="http://schemas.openxmlformats.org/officeDocument/2006/relationships/oleObject" Target="embeddings/oleObject4010.bin"/><Relationship Id="rId9102" Type="http://schemas.openxmlformats.org/officeDocument/2006/relationships/oleObject" Target="embeddings/oleObject4531.bin"/><Relationship Id="rId11032" Type="http://schemas.openxmlformats.org/officeDocument/2006/relationships/image" Target="media/image5526.wmf"/><Relationship Id="rId4661" Type="http://schemas.openxmlformats.org/officeDocument/2006/relationships/oleObject" Target="embeddings/oleObject2322.bin"/><Relationship Id="rId14255" Type="http://schemas.openxmlformats.org/officeDocument/2006/relationships/image" Target="media/image7142.wmf"/><Relationship Id="rId3263" Type="http://schemas.openxmlformats.org/officeDocument/2006/relationships/oleObject" Target="embeddings/oleObject1620.bin"/><Relationship Id="rId4314" Type="http://schemas.openxmlformats.org/officeDocument/2006/relationships/oleObject" Target="embeddings/oleObject2148.bin"/><Relationship Id="rId5712" Type="http://schemas.openxmlformats.org/officeDocument/2006/relationships/oleObject" Target="embeddings/oleObject2845.bin"/><Relationship Id="rId184" Type="http://schemas.openxmlformats.org/officeDocument/2006/relationships/image" Target="media/image91.wmf"/><Relationship Id="rId7884" Type="http://schemas.openxmlformats.org/officeDocument/2006/relationships/image" Target="media/image3951.wmf"/><Relationship Id="rId8935" Type="http://schemas.openxmlformats.org/officeDocument/2006/relationships/image" Target="media/image4477.wmf"/><Relationship Id="rId10865" Type="http://schemas.openxmlformats.org/officeDocument/2006/relationships/oleObject" Target="embeddings/oleObject5395.bin"/><Relationship Id="rId11916" Type="http://schemas.openxmlformats.org/officeDocument/2006/relationships/image" Target="media/image5971.wmf"/><Relationship Id="rId5088" Type="http://schemas.openxmlformats.org/officeDocument/2006/relationships/image" Target="media/image2554.wmf"/><Relationship Id="rId6139" Type="http://schemas.openxmlformats.org/officeDocument/2006/relationships/image" Target="media/image3080.wmf"/><Relationship Id="rId6486" Type="http://schemas.openxmlformats.org/officeDocument/2006/relationships/oleObject" Target="embeddings/oleObject3233.bin"/><Relationship Id="rId7537" Type="http://schemas.openxmlformats.org/officeDocument/2006/relationships/oleObject" Target="embeddings/oleObject3753.bin"/><Relationship Id="rId10518" Type="http://schemas.openxmlformats.org/officeDocument/2006/relationships/image" Target="media/image5268.wmf"/><Relationship Id="rId1698" Type="http://schemas.openxmlformats.org/officeDocument/2006/relationships/image" Target="media/image855.wmf"/><Relationship Id="rId2749" Type="http://schemas.openxmlformats.org/officeDocument/2006/relationships/oleObject" Target="embeddings/oleObject1362.bin"/><Relationship Id="rId6620" Type="http://schemas.openxmlformats.org/officeDocument/2006/relationships/oleObject" Target="embeddings/oleObject3297.bin"/><Relationship Id="rId4171" Type="http://schemas.openxmlformats.org/officeDocument/2006/relationships/image" Target="media/image2096.wmf"/><Relationship Id="rId5222" Type="http://schemas.openxmlformats.org/officeDocument/2006/relationships/oleObject" Target="embeddings/oleObject2600.bin"/><Relationship Id="rId8792" Type="http://schemas.openxmlformats.org/officeDocument/2006/relationships/oleObject" Target="embeddings/oleObject4379.bin"/><Relationship Id="rId57" Type="http://schemas.openxmlformats.org/officeDocument/2006/relationships/image" Target="media/image26.wmf"/><Relationship Id="rId7394" Type="http://schemas.openxmlformats.org/officeDocument/2006/relationships/image" Target="media/image3706.wmf"/><Relationship Id="rId8445" Type="http://schemas.openxmlformats.org/officeDocument/2006/relationships/oleObject" Target="embeddings/oleObject4207.bin"/><Relationship Id="rId9843" Type="http://schemas.openxmlformats.org/officeDocument/2006/relationships/image" Target="media/image4930.wmf"/><Relationship Id="rId11773" Type="http://schemas.openxmlformats.org/officeDocument/2006/relationships/oleObject" Target="embeddings/oleObject5838.bin"/><Relationship Id="rId12824" Type="http://schemas.openxmlformats.org/officeDocument/2006/relationships/oleObject" Target="embeddings/oleObject6361.bin"/><Relationship Id="rId1832" Type="http://schemas.openxmlformats.org/officeDocument/2006/relationships/image" Target="media/image922.wmf"/><Relationship Id="rId7047" Type="http://schemas.openxmlformats.org/officeDocument/2006/relationships/image" Target="media/image3533.wmf"/><Relationship Id="rId10375" Type="http://schemas.openxmlformats.org/officeDocument/2006/relationships/image" Target="media/image5196.wmf"/><Relationship Id="rId11426" Type="http://schemas.openxmlformats.org/officeDocument/2006/relationships/oleObject" Target="embeddings/oleObject5666.bin"/><Relationship Id="rId10028" Type="http://schemas.openxmlformats.org/officeDocument/2006/relationships/oleObject" Target="embeddings/oleObject4983.bin"/><Relationship Id="rId13598" Type="http://schemas.openxmlformats.org/officeDocument/2006/relationships/image" Target="media/image6814.wmf"/><Relationship Id="rId3657" Type="http://schemas.openxmlformats.org/officeDocument/2006/relationships/oleObject" Target="embeddings/oleObject1819.bin"/><Relationship Id="rId4708" Type="http://schemas.openxmlformats.org/officeDocument/2006/relationships/image" Target="media/image2364.wmf"/><Relationship Id="rId578" Type="http://schemas.openxmlformats.org/officeDocument/2006/relationships/image" Target="media/image290.wmf"/><Relationship Id="rId2259" Type="http://schemas.openxmlformats.org/officeDocument/2006/relationships/image" Target="media/image1136.wmf"/><Relationship Id="rId6130" Type="http://schemas.openxmlformats.org/officeDocument/2006/relationships/oleObject" Target="embeddings/oleObject3054.bin"/><Relationship Id="rId12681" Type="http://schemas.openxmlformats.org/officeDocument/2006/relationships/image" Target="media/image6355.wmf"/><Relationship Id="rId2740" Type="http://schemas.openxmlformats.org/officeDocument/2006/relationships/image" Target="media/image1380.wmf"/><Relationship Id="rId9353" Type="http://schemas.openxmlformats.org/officeDocument/2006/relationships/oleObject" Target="embeddings/oleObject4657.bin"/><Relationship Id="rId11283" Type="http://schemas.openxmlformats.org/officeDocument/2006/relationships/image" Target="media/image5653.wmf"/><Relationship Id="rId12334" Type="http://schemas.openxmlformats.org/officeDocument/2006/relationships/oleObject" Target="embeddings/oleObject6116.bin"/><Relationship Id="rId13732" Type="http://schemas.openxmlformats.org/officeDocument/2006/relationships/oleObject" Target="embeddings/oleObject6812.bin"/><Relationship Id="rId712" Type="http://schemas.openxmlformats.org/officeDocument/2006/relationships/image" Target="media/image358.wmf"/><Relationship Id="rId1342" Type="http://schemas.openxmlformats.org/officeDocument/2006/relationships/image" Target="media/image676.wmf"/><Relationship Id="rId9006" Type="http://schemas.openxmlformats.org/officeDocument/2006/relationships/oleObject" Target="embeddings/oleObject4483.bin"/><Relationship Id="rId5963" Type="http://schemas.openxmlformats.org/officeDocument/2006/relationships/image" Target="media/image2992.wmf"/><Relationship Id="rId3167" Type="http://schemas.openxmlformats.org/officeDocument/2006/relationships/image" Target="media/image1593.wmf"/><Relationship Id="rId4565" Type="http://schemas.openxmlformats.org/officeDocument/2006/relationships/oleObject" Target="embeddings/oleObject2274.bin"/><Relationship Id="rId5616" Type="http://schemas.openxmlformats.org/officeDocument/2006/relationships/oleObject" Target="embeddings/oleObject2797.bin"/><Relationship Id="rId14159" Type="http://schemas.openxmlformats.org/officeDocument/2006/relationships/image" Target="media/image7094.wmf"/><Relationship Id="rId4218" Type="http://schemas.openxmlformats.org/officeDocument/2006/relationships/oleObject" Target="embeddings/oleObject2100.bin"/><Relationship Id="rId7788" Type="http://schemas.openxmlformats.org/officeDocument/2006/relationships/image" Target="media/image3903.wmf"/><Relationship Id="rId8839" Type="http://schemas.openxmlformats.org/officeDocument/2006/relationships/image" Target="media/image4429.wmf"/><Relationship Id="rId10769" Type="http://schemas.openxmlformats.org/officeDocument/2006/relationships/oleObject" Target="embeddings/oleObject5347.bin"/><Relationship Id="rId12191" Type="http://schemas.openxmlformats.org/officeDocument/2006/relationships/oleObject" Target="embeddings/oleObject6047.bin"/><Relationship Id="rId13242" Type="http://schemas.openxmlformats.org/officeDocument/2006/relationships/oleObject" Target="embeddings/oleObject6568.bin"/><Relationship Id="rId2250" Type="http://schemas.openxmlformats.org/officeDocument/2006/relationships/oleObject" Target="embeddings/oleObject1112.bin"/><Relationship Id="rId3301" Type="http://schemas.openxmlformats.org/officeDocument/2006/relationships/oleObject" Target="embeddings/oleObject1639.bin"/><Relationship Id="rId6871" Type="http://schemas.openxmlformats.org/officeDocument/2006/relationships/image" Target="media/image3445.wmf"/><Relationship Id="rId222" Type="http://schemas.openxmlformats.org/officeDocument/2006/relationships/image" Target="media/image110.wmf"/><Relationship Id="rId5473" Type="http://schemas.openxmlformats.org/officeDocument/2006/relationships/image" Target="media/image2747.wmf"/><Relationship Id="rId6524" Type="http://schemas.openxmlformats.org/officeDocument/2006/relationships/oleObject" Target="embeddings/oleObject3252.bin"/><Relationship Id="rId7922" Type="http://schemas.openxmlformats.org/officeDocument/2006/relationships/image" Target="media/image3970.wmf"/><Relationship Id="rId10903" Type="http://schemas.openxmlformats.org/officeDocument/2006/relationships/oleObject" Target="embeddings/oleObject5414.bin"/><Relationship Id="rId4075" Type="http://schemas.openxmlformats.org/officeDocument/2006/relationships/image" Target="media/image2048.wmf"/><Relationship Id="rId5126" Type="http://schemas.openxmlformats.org/officeDocument/2006/relationships/image" Target="media/image2573.wmf"/><Relationship Id="rId7298" Type="http://schemas.openxmlformats.org/officeDocument/2006/relationships/image" Target="media/image3658.wmf"/><Relationship Id="rId8349" Type="http://schemas.openxmlformats.org/officeDocument/2006/relationships/oleObject" Target="embeddings/oleObject4159.bin"/><Relationship Id="rId8696" Type="http://schemas.openxmlformats.org/officeDocument/2006/relationships/oleObject" Target="embeddings/oleObject4331.bin"/><Relationship Id="rId9747" Type="http://schemas.openxmlformats.org/officeDocument/2006/relationships/oleObject" Target="embeddings/oleObject4845.bin"/><Relationship Id="rId11677" Type="http://schemas.openxmlformats.org/officeDocument/2006/relationships/oleObject" Target="embeddings/oleObject5790.bin"/><Relationship Id="rId12728" Type="http://schemas.openxmlformats.org/officeDocument/2006/relationships/oleObject" Target="embeddings/oleObject6313.bin"/><Relationship Id="rId1736" Type="http://schemas.openxmlformats.org/officeDocument/2006/relationships/image" Target="media/image874.wmf"/><Relationship Id="rId10279" Type="http://schemas.openxmlformats.org/officeDocument/2006/relationships/image" Target="media/image5148.wmf"/><Relationship Id="rId14150" Type="http://schemas.openxmlformats.org/officeDocument/2006/relationships/oleObject" Target="embeddings/oleObject7021.bin"/><Relationship Id="rId4959" Type="http://schemas.openxmlformats.org/officeDocument/2006/relationships/oleObject" Target="embeddings/oleObject2469.bin"/><Relationship Id="rId8830" Type="http://schemas.openxmlformats.org/officeDocument/2006/relationships/oleObject" Target="embeddings/oleObject4398.bin"/><Relationship Id="rId6381" Type="http://schemas.openxmlformats.org/officeDocument/2006/relationships/image" Target="media/image3200.wmf"/><Relationship Id="rId7432" Type="http://schemas.openxmlformats.org/officeDocument/2006/relationships/image" Target="media/image3725.wmf"/><Relationship Id="rId10413" Type="http://schemas.openxmlformats.org/officeDocument/2006/relationships/oleObject" Target="embeddings/oleObject5173.bin"/><Relationship Id="rId10760" Type="http://schemas.openxmlformats.org/officeDocument/2006/relationships/image" Target="media/image5389.wmf"/><Relationship Id="rId11811" Type="http://schemas.openxmlformats.org/officeDocument/2006/relationships/oleObject" Target="embeddings/oleObject5857.bin"/><Relationship Id="rId6034" Type="http://schemas.openxmlformats.org/officeDocument/2006/relationships/oleObject" Target="embeddings/oleObject3006.bin"/><Relationship Id="rId13983" Type="http://schemas.openxmlformats.org/officeDocument/2006/relationships/image" Target="media/image7006.wmf"/><Relationship Id="rId1593" Type="http://schemas.openxmlformats.org/officeDocument/2006/relationships/oleObject" Target="embeddings/oleObject784.bin"/><Relationship Id="rId2991" Type="http://schemas.openxmlformats.org/officeDocument/2006/relationships/image" Target="media/image1505.wmf"/><Relationship Id="rId9257" Type="http://schemas.openxmlformats.org/officeDocument/2006/relationships/oleObject" Target="embeddings/oleObject4609.bin"/><Relationship Id="rId11187" Type="http://schemas.openxmlformats.org/officeDocument/2006/relationships/image" Target="media/image5605.wmf"/><Relationship Id="rId12585" Type="http://schemas.openxmlformats.org/officeDocument/2006/relationships/image" Target="media/image6307.wmf"/><Relationship Id="rId13636" Type="http://schemas.openxmlformats.org/officeDocument/2006/relationships/image" Target="media/image6833.wmf"/><Relationship Id="rId963" Type="http://schemas.openxmlformats.org/officeDocument/2006/relationships/image" Target="media/image487.wmf"/><Relationship Id="rId1246" Type="http://schemas.openxmlformats.org/officeDocument/2006/relationships/image" Target="media/image628.wmf"/><Relationship Id="rId2644" Type="http://schemas.openxmlformats.org/officeDocument/2006/relationships/image" Target="media/image1332.wmf"/><Relationship Id="rId12238" Type="http://schemas.openxmlformats.org/officeDocument/2006/relationships/image" Target="media/image6132.wmf"/><Relationship Id="rId616" Type="http://schemas.openxmlformats.org/officeDocument/2006/relationships/image" Target="media/image309.wmf"/><Relationship Id="rId5867" Type="http://schemas.openxmlformats.org/officeDocument/2006/relationships/image" Target="media/image2944.wmf"/><Relationship Id="rId6918" Type="http://schemas.openxmlformats.org/officeDocument/2006/relationships/oleObject" Target="embeddings/oleObject3444.bin"/><Relationship Id="rId4469" Type="http://schemas.openxmlformats.org/officeDocument/2006/relationships/oleObject" Target="embeddings/oleObject2226.bin"/><Relationship Id="rId8340" Type="http://schemas.openxmlformats.org/officeDocument/2006/relationships/image" Target="media/image4179.wmf"/><Relationship Id="rId10270" Type="http://schemas.openxmlformats.org/officeDocument/2006/relationships/oleObject" Target="embeddings/oleObject5102.bin"/><Relationship Id="rId11321" Type="http://schemas.openxmlformats.org/officeDocument/2006/relationships/image" Target="media/image5672.wmf"/><Relationship Id="rId4950" Type="http://schemas.openxmlformats.org/officeDocument/2006/relationships/image" Target="media/image2485.wmf"/><Relationship Id="rId13493" Type="http://schemas.openxmlformats.org/officeDocument/2006/relationships/oleObject" Target="embeddings/oleObject6692.bin"/><Relationship Id="rId14544" Type="http://schemas.openxmlformats.org/officeDocument/2006/relationships/oleObject" Target="embeddings/oleObject7212.bin"/><Relationship Id="rId3552" Type="http://schemas.openxmlformats.org/officeDocument/2006/relationships/image" Target="media/image1787.wmf"/><Relationship Id="rId4603" Type="http://schemas.openxmlformats.org/officeDocument/2006/relationships/oleObject" Target="embeddings/oleObject2293.bin"/><Relationship Id="rId12095" Type="http://schemas.openxmlformats.org/officeDocument/2006/relationships/oleObject" Target="embeddings/oleObject5999.bin"/><Relationship Id="rId13146" Type="http://schemas.openxmlformats.org/officeDocument/2006/relationships/oleObject" Target="embeddings/oleObject6520.bin"/><Relationship Id="rId473" Type="http://schemas.openxmlformats.org/officeDocument/2006/relationships/image" Target="media/image236.wmf"/><Relationship Id="rId2154" Type="http://schemas.openxmlformats.org/officeDocument/2006/relationships/image" Target="media/image1083.wmf"/><Relationship Id="rId3205" Type="http://schemas.openxmlformats.org/officeDocument/2006/relationships/image" Target="media/image1612.wmf"/><Relationship Id="rId126" Type="http://schemas.openxmlformats.org/officeDocument/2006/relationships/oleObject" Target="embeddings/oleObject59.bin"/><Relationship Id="rId5377" Type="http://schemas.openxmlformats.org/officeDocument/2006/relationships/image" Target="media/image2699.wmf"/><Relationship Id="rId6428" Type="http://schemas.openxmlformats.org/officeDocument/2006/relationships/oleObject" Target="embeddings/oleObject3204.bin"/><Relationship Id="rId6775" Type="http://schemas.openxmlformats.org/officeDocument/2006/relationships/image" Target="media/image3397.wmf"/><Relationship Id="rId7826" Type="http://schemas.openxmlformats.org/officeDocument/2006/relationships/image" Target="media/image3922.wmf"/><Relationship Id="rId10807" Type="http://schemas.openxmlformats.org/officeDocument/2006/relationships/oleObject" Target="embeddings/oleObject5366.bin"/><Relationship Id="rId9998" Type="http://schemas.openxmlformats.org/officeDocument/2006/relationships/oleObject" Target="embeddings/oleObject4968.bin"/><Relationship Id="rId12979" Type="http://schemas.openxmlformats.org/officeDocument/2006/relationships/image" Target="media/image6504.wmf"/><Relationship Id="rId1987" Type="http://schemas.openxmlformats.org/officeDocument/2006/relationships/oleObject" Target="embeddings/oleObject981.bin"/><Relationship Id="rId4460" Type="http://schemas.openxmlformats.org/officeDocument/2006/relationships/image" Target="media/image2240.wmf"/><Relationship Id="rId5511" Type="http://schemas.openxmlformats.org/officeDocument/2006/relationships/image" Target="media/image2766.wmf"/><Relationship Id="rId14054" Type="http://schemas.openxmlformats.org/officeDocument/2006/relationships/oleObject" Target="embeddings/oleObject6973.bin"/><Relationship Id="rId3062" Type="http://schemas.openxmlformats.org/officeDocument/2006/relationships/oleObject" Target="embeddings/oleObject1519.bin"/><Relationship Id="rId4113" Type="http://schemas.openxmlformats.org/officeDocument/2006/relationships/image" Target="media/image2067.wmf"/><Relationship Id="rId7683" Type="http://schemas.openxmlformats.org/officeDocument/2006/relationships/oleObject" Target="embeddings/oleObject3826.bin"/><Relationship Id="rId8734" Type="http://schemas.openxmlformats.org/officeDocument/2006/relationships/oleObject" Target="embeddings/oleObject4350.bin"/><Relationship Id="rId6285" Type="http://schemas.openxmlformats.org/officeDocument/2006/relationships/image" Target="media/image3153.wmf"/><Relationship Id="rId7336" Type="http://schemas.openxmlformats.org/officeDocument/2006/relationships/image" Target="media/image3677.wmf"/><Relationship Id="rId10664" Type="http://schemas.openxmlformats.org/officeDocument/2006/relationships/image" Target="media/image5341.wmf"/><Relationship Id="rId11715" Type="http://schemas.openxmlformats.org/officeDocument/2006/relationships/oleObject" Target="embeddings/oleObject5809.bin"/><Relationship Id="rId10317" Type="http://schemas.openxmlformats.org/officeDocument/2006/relationships/image" Target="media/image5167.wmf"/><Relationship Id="rId13887" Type="http://schemas.openxmlformats.org/officeDocument/2006/relationships/image" Target="media/image6958.wmf"/><Relationship Id="rId2895" Type="http://schemas.openxmlformats.org/officeDocument/2006/relationships/image" Target="media/image1457.wmf"/><Relationship Id="rId3946" Type="http://schemas.openxmlformats.org/officeDocument/2006/relationships/image" Target="media/image1984.wmf"/><Relationship Id="rId12489" Type="http://schemas.openxmlformats.org/officeDocument/2006/relationships/image" Target="media/image6259.wmf"/><Relationship Id="rId867" Type="http://schemas.openxmlformats.org/officeDocument/2006/relationships/oleObject" Target="embeddings/oleObject425.bin"/><Relationship Id="rId1497" Type="http://schemas.openxmlformats.org/officeDocument/2006/relationships/oleObject" Target="embeddings/oleObject737.bin"/><Relationship Id="rId2548" Type="http://schemas.openxmlformats.org/officeDocument/2006/relationships/image" Target="media/image1284.wmf"/><Relationship Id="rId5021" Type="http://schemas.openxmlformats.org/officeDocument/2006/relationships/oleObject" Target="embeddings/oleObject2500.bin"/><Relationship Id="rId8591" Type="http://schemas.openxmlformats.org/officeDocument/2006/relationships/oleObject" Target="embeddings/oleObject4280.bin"/><Relationship Id="rId9642" Type="http://schemas.openxmlformats.org/officeDocument/2006/relationships/image" Target="media/image4830.wmf"/><Relationship Id="rId11572" Type="http://schemas.openxmlformats.org/officeDocument/2006/relationships/oleObject" Target="embeddings/oleObject5739.bin"/><Relationship Id="rId12623" Type="http://schemas.openxmlformats.org/officeDocument/2006/relationships/image" Target="media/image6326.wmf"/><Relationship Id="rId12970" Type="http://schemas.openxmlformats.org/officeDocument/2006/relationships/oleObject" Target="embeddings/oleObject6434.bin"/><Relationship Id="rId1631" Type="http://schemas.openxmlformats.org/officeDocument/2006/relationships/oleObject" Target="embeddings/oleObject803.bin"/><Relationship Id="rId7193" Type="http://schemas.openxmlformats.org/officeDocument/2006/relationships/oleObject" Target="embeddings/oleObject3581.bin"/><Relationship Id="rId8244" Type="http://schemas.openxmlformats.org/officeDocument/2006/relationships/image" Target="media/image4131.wmf"/><Relationship Id="rId10174" Type="http://schemas.microsoft.com/office/2007/relationships/hdphoto" Target="media/hdphoto33.wdp"/><Relationship Id="rId11225" Type="http://schemas.openxmlformats.org/officeDocument/2006/relationships/image" Target="media/image5624.wmf"/><Relationship Id="rId13397" Type="http://schemas.openxmlformats.org/officeDocument/2006/relationships/oleObject" Target="embeddings/oleObject6644.bin"/><Relationship Id="rId3456" Type="http://schemas.openxmlformats.org/officeDocument/2006/relationships/image" Target="media/image1739.wmf"/><Relationship Id="rId4854" Type="http://schemas.openxmlformats.org/officeDocument/2006/relationships/image" Target="media/image2437.wmf"/><Relationship Id="rId5905" Type="http://schemas.openxmlformats.org/officeDocument/2006/relationships/image" Target="media/image2963.wmf"/><Relationship Id="rId14448" Type="http://schemas.openxmlformats.org/officeDocument/2006/relationships/oleObject" Target="embeddings/oleObject7164.bin"/><Relationship Id="rId377" Type="http://schemas.openxmlformats.org/officeDocument/2006/relationships/oleObject" Target="embeddings/oleObject183.bin"/><Relationship Id="rId2058" Type="http://schemas.openxmlformats.org/officeDocument/2006/relationships/image" Target="media/image1035.wmf"/><Relationship Id="rId3109" Type="http://schemas.openxmlformats.org/officeDocument/2006/relationships/image" Target="media/image1564.wmf"/><Relationship Id="rId4507" Type="http://schemas.openxmlformats.org/officeDocument/2006/relationships/oleObject" Target="embeddings/oleObject2245.bin"/><Relationship Id="rId6679" Type="http://schemas.openxmlformats.org/officeDocument/2006/relationships/image" Target="media/image3349.wmf"/><Relationship Id="rId12480" Type="http://schemas.openxmlformats.org/officeDocument/2006/relationships/oleObject" Target="embeddings/oleObject6189.bin"/><Relationship Id="rId13531" Type="http://schemas.openxmlformats.org/officeDocument/2006/relationships/oleObject" Target="embeddings/oleObject6711.bin"/><Relationship Id="rId9152" Type="http://schemas.openxmlformats.org/officeDocument/2006/relationships/oleObject" Target="embeddings/oleObject4556.bin"/><Relationship Id="rId11082" Type="http://schemas.openxmlformats.org/officeDocument/2006/relationships/oleObject" Target="embeddings/oleObject5494.bin"/><Relationship Id="rId12133" Type="http://schemas.openxmlformats.org/officeDocument/2006/relationships/oleObject" Target="embeddings/oleObject6018.bin"/><Relationship Id="rId511" Type="http://schemas.openxmlformats.org/officeDocument/2006/relationships/image" Target="media/image255.wmf"/><Relationship Id="rId1141" Type="http://schemas.openxmlformats.org/officeDocument/2006/relationships/image" Target="media/image576.wmf"/><Relationship Id="rId5762" Type="http://schemas.openxmlformats.org/officeDocument/2006/relationships/oleObject" Target="embeddings/oleObject2870.bin"/><Relationship Id="rId6813" Type="http://schemas.openxmlformats.org/officeDocument/2006/relationships/image" Target="media/image3416.wmf"/><Relationship Id="rId4364" Type="http://schemas.openxmlformats.org/officeDocument/2006/relationships/image" Target="media/image2192.wmf"/><Relationship Id="rId5415" Type="http://schemas.openxmlformats.org/officeDocument/2006/relationships/image" Target="media/image2718.wmf"/><Relationship Id="rId4017" Type="http://schemas.openxmlformats.org/officeDocument/2006/relationships/image" Target="media/image2019.wmf"/><Relationship Id="rId7587" Type="http://schemas.openxmlformats.org/officeDocument/2006/relationships/oleObject" Target="embeddings/oleObject3778.bin"/><Relationship Id="rId8638" Type="http://schemas.openxmlformats.org/officeDocument/2006/relationships/image" Target="media/image4328.wmf"/><Relationship Id="rId8985" Type="http://schemas.openxmlformats.org/officeDocument/2006/relationships/image" Target="media/image4502.wmf"/><Relationship Id="rId11966" Type="http://schemas.openxmlformats.org/officeDocument/2006/relationships/image" Target="media/image5996.wmf"/><Relationship Id="rId6189" Type="http://schemas.openxmlformats.org/officeDocument/2006/relationships/image" Target="media/image3105.wmf"/><Relationship Id="rId10568" Type="http://schemas.openxmlformats.org/officeDocument/2006/relationships/image" Target="media/image5293.wmf"/><Relationship Id="rId11619" Type="http://schemas.openxmlformats.org/officeDocument/2006/relationships/image" Target="media/image5821.wmf"/><Relationship Id="rId13041" Type="http://schemas.openxmlformats.org/officeDocument/2006/relationships/image" Target="media/image6535.wmf"/><Relationship Id="rId2799" Type="http://schemas.openxmlformats.org/officeDocument/2006/relationships/oleObject" Target="embeddings/oleObject1387.bin"/><Relationship Id="rId3100" Type="http://schemas.openxmlformats.org/officeDocument/2006/relationships/oleObject" Target="embeddings/oleObject1538.bin"/><Relationship Id="rId6670" Type="http://schemas.openxmlformats.org/officeDocument/2006/relationships/oleObject" Target="embeddings/oleObject3322.bin"/><Relationship Id="rId7721" Type="http://schemas.openxmlformats.org/officeDocument/2006/relationships/oleObject" Target="embeddings/oleObject3845.bin"/><Relationship Id="rId10702" Type="http://schemas.openxmlformats.org/officeDocument/2006/relationships/image" Target="media/image5360.wmf"/><Relationship Id="rId5272" Type="http://schemas.openxmlformats.org/officeDocument/2006/relationships/oleObject" Target="embeddings/oleObject2625.bin"/><Relationship Id="rId6323" Type="http://schemas.openxmlformats.org/officeDocument/2006/relationships/oleObject" Target="embeddings/oleObject3151.bin"/><Relationship Id="rId9893" Type="http://schemas.openxmlformats.org/officeDocument/2006/relationships/image" Target="media/image4955.wmf"/><Relationship Id="rId1882" Type="http://schemas.openxmlformats.org/officeDocument/2006/relationships/image" Target="media/image947.wmf"/><Relationship Id="rId8495" Type="http://schemas.openxmlformats.org/officeDocument/2006/relationships/oleObject" Target="embeddings/oleObject4232.bin"/><Relationship Id="rId9546" Type="http://schemas.openxmlformats.org/officeDocument/2006/relationships/image" Target="media/image4782.wmf"/><Relationship Id="rId11476" Type="http://schemas.openxmlformats.org/officeDocument/2006/relationships/oleObject" Target="embeddings/oleObject5691.bin"/><Relationship Id="rId12874" Type="http://schemas.openxmlformats.org/officeDocument/2006/relationships/oleObject" Target="embeddings/oleObject6386.bin"/><Relationship Id="rId13925" Type="http://schemas.openxmlformats.org/officeDocument/2006/relationships/image" Target="media/image6977.wmf"/><Relationship Id="rId1535" Type="http://schemas.openxmlformats.org/officeDocument/2006/relationships/oleObject" Target="embeddings/oleObject754.bin"/><Relationship Id="rId2933" Type="http://schemas.openxmlformats.org/officeDocument/2006/relationships/image" Target="media/image1476.wmf"/><Relationship Id="rId7097" Type="http://schemas.openxmlformats.org/officeDocument/2006/relationships/image" Target="media/image3558.wmf"/><Relationship Id="rId8148" Type="http://schemas.openxmlformats.org/officeDocument/2006/relationships/image" Target="media/image4083.wmf"/><Relationship Id="rId10078" Type="http://schemas.openxmlformats.org/officeDocument/2006/relationships/oleObject" Target="embeddings/oleObject5008.bin"/><Relationship Id="rId11129" Type="http://schemas.openxmlformats.org/officeDocument/2006/relationships/image" Target="media/image5576.wmf"/><Relationship Id="rId12527" Type="http://schemas.openxmlformats.org/officeDocument/2006/relationships/image" Target="media/image6278.wmf"/><Relationship Id="rId905" Type="http://schemas.openxmlformats.org/officeDocument/2006/relationships/oleObject" Target="embeddings/oleObject444.bin"/><Relationship Id="rId4758" Type="http://schemas.openxmlformats.org/officeDocument/2006/relationships/image" Target="media/image2389.wmf"/><Relationship Id="rId5809" Type="http://schemas.openxmlformats.org/officeDocument/2006/relationships/image" Target="media/image2915.wmf"/><Relationship Id="rId6180" Type="http://schemas.openxmlformats.org/officeDocument/2006/relationships/oleObject" Target="embeddings/oleObject3079.bin"/><Relationship Id="rId11610" Type="http://schemas.openxmlformats.org/officeDocument/2006/relationships/oleObject" Target="embeddings/oleObject5758.bin"/><Relationship Id="rId7231" Type="http://schemas.openxmlformats.org/officeDocument/2006/relationships/oleObject" Target="embeddings/oleObject3600.bin"/><Relationship Id="rId10212" Type="http://schemas.openxmlformats.org/officeDocument/2006/relationships/oleObject" Target="embeddings/oleObject5073.bin"/><Relationship Id="rId13782" Type="http://schemas.openxmlformats.org/officeDocument/2006/relationships/oleObject" Target="embeddings/oleObject6837.bin"/><Relationship Id="rId2790" Type="http://schemas.openxmlformats.org/officeDocument/2006/relationships/image" Target="media/image1405.wmf"/><Relationship Id="rId3841" Type="http://schemas.openxmlformats.org/officeDocument/2006/relationships/oleObject" Target="embeddings/oleObject1911.bin"/><Relationship Id="rId12384" Type="http://schemas.openxmlformats.org/officeDocument/2006/relationships/oleObject" Target="embeddings/oleObject6141.bin"/><Relationship Id="rId13435" Type="http://schemas.openxmlformats.org/officeDocument/2006/relationships/oleObject" Target="embeddings/oleObject6663.bin"/><Relationship Id="rId762" Type="http://schemas.openxmlformats.org/officeDocument/2006/relationships/image" Target="media/image383.wmf"/><Relationship Id="rId1392" Type="http://schemas.openxmlformats.org/officeDocument/2006/relationships/image" Target="media/image701.wmf"/><Relationship Id="rId2443" Type="http://schemas.openxmlformats.org/officeDocument/2006/relationships/oleObject" Target="embeddings/oleObject1210.bin"/><Relationship Id="rId9056" Type="http://schemas.openxmlformats.org/officeDocument/2006/relationships/oleObject" Target="embeddings/oleObject4508.bin"/><Relationship Id="rId12037" Type="http://schemas.openxmlformats.org/officeDocument/2006/relationships/oleObject" Target="embeddings/oleObject5970.bin"/><Relationship Id="rId415" Type="http://schemas.openxmlformats.org/officeDocument/2006/relationships/image" Target="media/image207.wmf"/><Relationship Id="rId1045" Type="http://schemas.openxmlformats.org/officeDocument/2006/relationships/image" Target="media/image528.wmf"/><Relationship Id="rId5666" Type="http://schemas.openxmlformats.org/officeDocument/2006/relationships/oleObject" Target="embeddings/oleObject2822.bin"/><Relationship Id="rId4268" Type="http://schemas.openxmlformats.org/officeDocument/2006/relationships/oleObject" Target="embeddings/oleObject2125.bin"/><Relationship Id="rId5319" Type="http://schemas.openxmlformats.org/officeDocument/2006/relationships/image" Target="media/image2670.wmf"/><Relationship Id="rId6717" Type="http://schemas.openxmlformats.org/officeDocument/2006/relationships/image" Target="media/image3368.wmf"/><Relationship Id="rId8889" Type="http://schemas.openxmlformats.org/officeDocument/2006/relationships/image" Target="media/image4454.wmf"/><Relationship Id="rId11120" Type="http://schemas.openxmlformats.org/officeDocument/2006/relationships/oleObject" Target="embeddings/oleObject5513.bin"/><Relationship Id="rId1929" Type="http://schemas.openxmlformats.org/officeDocument/2006/relationships/oleObject" Target="embeddings/oleObject952.bin"/><Relationship Id="rId5800" Type="http://schemas.openxmlformats.org/officeDocument/2006/relationships/oleObject" Target="embeddings/oleObject2889.bin"/><Relationship Id="rId13292" Type="http://schemas.openxmlformats.org/officeDocument/2006/relationships/oleObject" Target="embeddings/oleObject6593.bin"/><Relationship Id="rId14343" Type="http://schemas.openxmlformats.org/officeDocument/2006/relationships/image" Target="media/image7186.wmf"/><Relationship Id="rId3351" Type="http://schemas.openxmlformats.org/officeDocument/2006/relationships/oleObject" Target="embeddings/oleObject1664.bin"/><Relationship Id="rId4402" Type="http://schemas.openxmlformats.org/officeDocument/2006/relationships/image" Target="media/image2211.wmf"/><Relationship Id="rId7972" Type="http://schemas.openxmlformats.org/officeDocument/2006/relationships/image" Target="media/image3995.wmf"/><Relationship Id="rId272" Type="http://schemas.openxmlformats.org/officeDocument/2006/relationships/image" Target="media/image135.wmf"/><Relationship Id="rId3004" Type="http://schemas.openxmlformats.org/officeDocument/2006/relationships/oleObject" Target="embeddings/oleObject1490.bin"/><Relationship Id="rId6574" Type="http://schemas.openxmlformats.org/officeDocument/2006/relationships/oleObject" Target="embeddings/oleObject3274.bin"/><Relationship Id="rId7625" Type="http://schemas.openxmlformats.org/officeDocument/2006/relationships/oleObject" Target="embeddings/oleObject3797.bin"/><Relationship Id="rId10953" Type="http://schemas.openxmlformats.org/officeDocument/2006/relationships/oleObject" Target="embeddings/oleObject5432.bin"/><Relationship Id="rId5176" Type="http://schemas.openxmlformats.org/officeDocument/2006/relationships/image" Target="media/image2598.wmf"/><Relationship Id="rId6227" Type="http://schemas.openxmlformats.org/officeDocument/2006/relationships/image" Target="media/image3124.wmf"/><Relationship Id="rId9797" Type="http://schemas.openxmlformats.org/officeDocument/2006/relationships/oleObject" Target="embeddings/oleObject4870.bin"/><Relationship Id="rId10606" Type="http://schemas.openxmlformats.org/officeDocument/2006/relationships/image" Target="media/image5312.wmf"/><Relationship Id="rId8399" Type="http://schemas.openxmlformats.org/officeDocument/2006/relationships/oleObject" Target="embeddings/oleObject4184.bin"/><Relationship Id="rId12778" Type="http://schemas.openxmlformats.org/officeDocument/2006/relationships/oleObject" Target="embeddings/oleObject6338.bin"/><Relationship Id="rId13829" Type="http://schemas.openxmlformats.org/officeDocument/2006/relationships/image" Target="media/image6929.wmf"/><Relationship Id="rId1786" Type="http://schemas.openxmlformats.org/officeDocument/2006/relationships/image" Target="media/image899.wmf"/><Relationship Id="rId2837" Type="http://schemas.openxmlformats.org/officeDocument/2006/relationships/oleObject" Target="embeddings/oleObject1406.bin"/><Relationship Id="rId809" Type="http://schemas.openxmlformats.org/officeDocument/2006/relationships/oleObject" Target="embeddings/oleObject396.bin"/><Relationship Id="rId1439" Type="http://schemas.openxmlformats.org/officeDocument/2006/relationships/oleObject" Target="embeddings/oleObject708.bin"/><Relationship Id="rId5310" Type="http://schemas.openxmlformats.org/officeDocument/2006/relationships/oleObject" Target="embeddings/oleObject2644.bin"/><Relationship Id="rId8880" Type="http://schemas.openxmlformats.org/officeDocument/2006/relationships/oleObject" Target="embeddings/oleObject4420.bin"/><Relationship Id="rId9931" Type="http://schemas.openxmlformats.org/officeDocument/2006/relationships/image" Target="media/image4974.wmf"/><Relationship Id="rId11861" Type="http://schemas.openxmlformats.org/officeDocument/2006/relationships/oleObject" Target="embeddings/oleObject5882.bin"/><Relationship Id="rId12912" Type="http://schemas.openxmlformats.org/officeDocument/2006/relationships/oleObject" Target="embeddings/oleObject6405.bin"/><Relationship Id="rId1920" Type="http://schemas.openxmlformats.org/officeDocument/2006/relationships/image" Target="media/image966.wmf"/><Relationship Id="rId7482" Type="http://schemas.openxmlformats.org/officeDocument/2006/relationships/image" Target="media/image3750.wmf"/><Relationship Id="rId8533" Type="http://schemas.openxmlformats.org/officeDocument/2006/relationships/oleObject" Target="embeddings/oleObject4251.bin"/><Relationship Id="rId10463" Type="http://schemas.openxmlformats.org/officeDocument/2006/relationships/oleObject" Target="embeddings/oleObject5198.bin"/><Relationship Id="rId11514" Type="http://schemas.openxmlformats.org/officeDocument/2006/relationships/oleObject" Target="embeddings/oleObject5710.bin"/><Relationship Id="rId6084" Type="http://schemas.openxmlformats.org/officeDocument/2006/relationships/oleObject" Target="embeddings/oleObject3031.bin"/><Relationship Id="rId7135" Type="http://schemas.openxmlformats.org/officeDocument/2006/relationships/oleObject" Target="embeddings/oleObject3553.bin"/><Relationship Id="rId10116" Type="http://schemas.openxmlformats.org/officeDocument/2006/relationships/oleObject" Target="embeddings/oleObject5027.bin"/><Relationship Id="rId13686" Type="http://schemas.openxmlformats.org/officeDocument/2006/relationships/image" Target="media/image6858.wmf"/><Relationship Id="rId2694" Type="http://schemas.openxmlformats.org/officeDocument/2006/relationships/image" Target="media/image1357.wmf"/><Relationship Id="rId3745" Type="http://schemas.openxmlformats.org/officeDocument/2006/relationships/oleObject" Target="embeddings/oleObject1863.bin"/><Relationship Id="rId12288" Type="http://schemas.openxmlformats.org/officeDocument/2006/relationships/image" Target="media/image6157.wmf"/><Relationship Id="rId13339" Type="http://schemas.openxmlformats.org/officeDocument/2006/relationships/oleObject" Target="embeddings/oleObject6616.bin"/><Relationship Id="rId666" Type="http://schemas.openxmlformats.org/officeDocument/2006/relationships/image" Target="media/image335.wmf"/><Relationship Id="rId1296" Type="http://schemas.openxmlformats.org/officeDocument/2006/relationships/image" Target="media/image653.wmf"/><Relationship Id="rId2347" Type="http://schemas.openxmlformats.org/officeDocument/2006/relationships/image" Target="media/image1182.wmf"/><Relationship Id="rId319" Type="http://schemas.openxmlformats.org/officeDocument/2006/relationships/oleObject" Target="embeddings/oleObject154.bin"/><Relationship Id="rId6968" Type="http://schemas.openxmlformats.org/officeDocument/2006/relationships/oleObject" Target="embeddings/oleObject3469.bin"/><Relationship Id="rId8390" Type="http://schemas.openxmlformats.org/officeDocument/2006/relationships/image" Target="media/image4204.wmf"/><Relationship Id="rId13820" Type="http://schemas.openxmlformats.org/officeDocument/2006/relationships/oleObject" Target="embeddings/oleObject6856.bin"/><Relationship Id="rId8043" Type="http://schemas.openxmlformats.org/officeDocument/2006/relationships/oleObject" Target="embeddings/oleObject4006.bin"/><Relationship Id="rId9441" Type="http://schemas.openxmlformats.org/officeDocument/2006/relationships/oleObject" Target="embeddings/oleObject4699.bin"/><Relationship Id="rId11371" Type="http://schemas.openxmlformats.org/officeDocument/2006/relationships/image" Target="media/image5697.wmf"/><Relationship Id="rId12422" Type="http://schemas.openxmlformats.org/officeDocument/2006/relationships/oleObject" Target="embeddings/oleObject6160.bin"/><Relationship Id="rId800" Type="http://schemas.openxmlformats.org/officeDocument/2006/relationships/image" Target="media/image405.wmf"/><Relationship Id="rId1430" Type="http://schemas.openxmlformats.org/officeDocument/2006/relationships/image" Target="media/image720.wmf"/><Relationship Id="rId11024" Type="http://schemas.openxmlformats.org/officeDocument/2006/relationships/image" Target="media/image5522.wmf"/><Relationship Id="rId14594" Type="http://schemas.openxmlformats.org/officeDocument/2006/relationships/image" Target="media/image7311.wmf"/><Relationship Id="rId4653" Type="http://schemas.openxmlformats.org/officeDocument/2006/relationships/oleObject" Target="embeddings/oleObject2318.bin"/><Relationship Id="rId5704" Type="http://schemas.openxmlformats.org/officeDocument/2006/relationships/oleObject" Target="embeddings/oleObject2841.bin"/><Relationship Id="rId13196" Type="http://schemas.openxmlformats.org/officeDocument/2006/relationships/oleObject" Target="embeddings/oleObject6545.bin"/><Relationship Id="rId14247" Type="http://schemas.openxmlformats.org/officeDocument/2006/relationships/image" Target="media/image7138.wmf"/><Relationship Id="rId3255" Type="http://schemas.openxmlformats.org/officeDocument/2006/relationships/image" Target="media/image1637.wmf"/><Relationship Id="rId4306" Type="http://schemas.openxmlformats.org/officeDocument/2006/relationships/oleObject" Target="embeddings/oleObject2144.bin"/><Relationship Id="rId7876" Type="http://schemas.openxmlformats.org/officeDocument/2006/relationships/image" Target="media/image3947.wmf"/><Relationship Id="rId8927" Type="http://schemas.openxmlformats.org/officeDocument/2006/relationships/image" Target="media/image4473.wmf"/><Relationship Id="rId176" Type="http://schemas.openxmlformats.org/officeDocument/2006/relationships/image" Target="media/image87.wmf"/><Relationship Id="rId6478" Type="http://schemas.openxmlformats.org/officeDocument/2006/relationships/oleObject" Target="embeddings/oleObject3229.bin"/><Relationship Id="rId7529" Type="http://schemas.openxmlformats.org/officeDocument/2006/relationships/oleObject" Target="embeddings/oleObject3749.bin"/><Relationship Id="rId10857" Type="http://schemas.openxmlformats.org/officeDocument/2006/relationships/oleObject" Target="embeddings/oleObject5391.bin"/><Relationship Id="rId11908" Type="http://schemas.openxmlformats.org/officeDocument/2006/relationships/image" Target="media/image5967.wmf"/><Relationship Id="rId13330" Type="http://schemas.openxmlformats.org/officeDocument/2006/relationships/oleObject" Target="embeddings/oleObject6612.bin"/><Relationship Id="rId310" Type="http://schemas.openxmlformats.org/officeDocument/2006/relationships/image" Target="media/image154.wmf"/><Relationship Id="rId5561" Type="http://schemas.openxmlformats.org/officeDocument/2006/relationships/image" Target="media/image2791.wmf"/><Relationship Id="rId6612" Type="http://schemas.openxmlformats.org/officeDocument/2006/relationships/oleObject" Target="embeddings/oleObject3293.bin"/><Relationship Id="rId4163" Type="http://schemas.openxmlformats.org/officeDocument/2006/relationships/image" Target="media/image2092.wmf"/><Relationship Id="rId5214" Type="http://schemas.openxmlformats.org/officeDocument/2006/relationships/image" Target="media/image2617.wmf"/><Relationship Id="rId8784" Type="http://schemas.openxmlformats.org/officeDocument/2006/relationships/oleObject" Target="embeddings/oleObject4375.bin"/><Relationship Id="rId9835" Type="http://schemas.openxmlformats.org/officeDocument/2006/relationships/image" Target="media/image4926.wmf"/><Relationship Id="rId11765" Type="http://schemas.openxmlformats.org/officeDocument/2006/relationships/oleObject" Target="embeddings/oleObject5834.bin"/><Relationship Id="rId49" Type="http://schemas.openxmlformats.org/officeDocument/2006/relationships/image" Target="media/image22.wmf"/><Relationship Id="rId1824" Type="http://schemas.openxmlformats.org/officeDocument/2006/relationships/image" Target="media/image918.wmf"/><Relationship Id="rId7386" Type="http://schemas.openxmlformats.org/officeDocument/2006/relationships/image" Target="media/image3702.wmf"/><Relationship Id="rId8437" Type="http://schemas.openxmlformats.org/officeDocument/2006/relationships/oleObject" Target="embeddings/oleObject4203.bin"/><Relationship Id="rId10367" Type="http://schemas.openxmlformats.org/officeDocument/2006/relationships/image" Target="media/image5192.wmf"/><Relationship Id="rId11418" Type="http://schemas.openxmlformats.org/officeDocument/2006/relationships/oleObject" Target="embeddings/oleObject5662.bin"/><Relationship Id="rId12816" Type="http://schemas.openxmlformats.org/officeDocument/2006/relationships/oleObject" Target="embeddings/oleObject6357.bin"/><Relationship Id="rId7039" Type="http://schemas.openxmlformats.org/officeDocument/2006/relationships/image" Target="media/image3529.wmf"/><Relationship Id="rId2598" Type="http://schemas.openxmlformats.org/officeDocument/2006/relationships/image" Target="media/image1309.wmf"/><Relationship Id="rId3996" Type="http://schemas.openxmlformats.org/officeDocument/2006/relationships/oleObject" Target="embeddings/oleObject1989.bin"/><Relationship Id="rId3649" Type="http://schemas.openxmlformats.org/officeDocument/2006/relationships/oleObject" Target="embeddings/oleObject1815.bin"/><Relationship Id="rId5071" Type="http://schemas.openxmlformats.org/officeDocument/2006/relationships/oleObject" Target="embeddings/oleObject2525.bin"/><Relationship Id="rId6122" Type="http://schemas.openxmlformats.org/officeDocument/2006/relationships/oleObject" Target="embeddings/oleObject3050.bin"/><Relationship Id="rId7520" Type="http://schemas.openxmlformats.org/officeDocument/2006/relationships/image" Target="media/image3769.wmf"/><Relationship Id="rId10501" Type="http://schemas.openxmlformats.org/officeDocument/2006/relationships/oleObject" Target="embeddings/oleObject5215.bin"/><Relationship Id="rId9692" Type="http://schemas.openxmlformats.org/officeDocument/2006/relationships/image" Target="media/image4855.png"/><Relationship Id="rId12673" Type="http://schemas.openxmlformats.org/officeDocument/2006/relationships/image" Target="media/image6351.wmf"/><Relationship Id="rId13724" Type="http://schemas.openxmlformats.org/officeDocument/2006/relationships/oleObject" Target="embeddings/oleObject6808.bin"/><Relationship Id="rId1681" Type="http://schemas.openxmlformats.org/officeDocument/2006/relationships/oleObject" Target="embeddings/oleObject828.bin"/><Relationship Id="rId2732" Type="http://schemas.openxmlformats.org/officeDocument/2006/relationships/image" Target="media/image1376.wmf"/><Relationship Id="rId8294" Type="http://schemas.openxmlformats.org/officeDocument/2006/relationships/image" Target="media/image4156.wmf"/><Relationship Id="rId9345" Type="http://schemas.openxmlformats.org/officeDocument/2006/relationships/oleObject" Target="embeddings/oleObject4653.bin"/><Relationship Id="rId11275" Type="http://schemas.openxmlformats.org/officeDocument/2006/relationships/image" Target="media/image5649.wmf"/><Relationship Id="rId12326" Type="http://schemas.openxmlformats.org/officeDocument/2006/relationships/oleObject" Target="embeddings/oleObject6112.bin"/><Relationship Id="rId704" Type="http://schemas.openxmlformats.org/officeDocument/2006/relationships/image" Target="media/image354.wmf"/><Relationship Id="rId1334" Type="http://schemas.openxmlformats.org/officeDocument/2006/relationships/image" Target="media/image672.wmf"/><Relationship Id="rId5955" Type="http://schemas.openxmlformats.org/officeDocument/2006/relationships/image" Target="media/image2988.wmf"/><Relationship Id="rId14498" Type="http://schemas.openxmlformats.org/officeDocument/2006/relationships/oleObject" Target="embeddings/oleObject7189.bin"/><Relationship Id="rId40" Type="http://schemas.openxmlformats.org/officeDocument/2006/relationships/oleObject" Target="embeddings/oleObject16.bin"/><Relationship Id="rId4557" Type="http://schemas.openxmlformats.org/officeDocument/2006/relationships/oleObject" Target="embeddings/oleObject2270.bin"/><Relationship Id="rId5608" Type="http://schemas.openxmlformats.org/officeDocument/2006/relationships/oleObject" Target="embeddings/oleObject2793.bin"/><Relationship Id="rId3159" Type="http://schemas.openxmlformats.org/officeDocument/2006/relationships/image" Target="media/image1589.wmf"/><Relationship Id="rId7030" Type="http://schemas.openxmlformats.org/officeDocument/2006/relationships/oleObject" Target="embeddings/oleObject3500.bin"/><Relationship Id="rId10011" Type="http://schemas.openxmlformats.org/officeDocument/2006/relationships/image" Target="media/image5014.wmf"/><Relationship Id="rId13581" Type="http://schemas.openxmlformats.org/officeDocument/2006/relationships/oleObject" Target="embeddings/oleObject6736.bin"/><Relationship Id="rId1191" Type="http://schemas.openxmlformats.org/officeDocument/2006/relationships/oleObject" Target="embeddings/oleObject586.bin"/><Relationship Id="rId3640" Type="http://schemas.openxmlformats.org/officeDocument/2006/relationships/image" Target="media/image1831.wmf"/><Relationship Id="rId12183" Type="http://schemas.openxmlformats.org/officeDocument/2006/relationships/oleObject" Target="embeddings/oleObject6043.bin"/><Relationship Id="rId13234" Type="http://schemas.openxmlformats.org/officeDocument/2006/relationships/oleObject" Target="embeddings/oleObject6564.bin"/><Relationship Id="rId561" Type="http://schemas.openxmlformats.org/officeDocument/2006/relationships/oleObject" Target="embeddings/oleObject270.bin"/><Relationship Id="rId2242" Type="http://schemas.openxmlformats.org/officeDocument/2006/relationships/oleObject" Target="embeddings/oleObject1108.bin"/><Relationship Id="rId6863" Type="http://schemas.openxmlformats.org/officeDocument/2006/relationships/image" Target="media/image3441.wmf"/><Relationship Id="rId7914" Type="http://schemas.openxmlformats.org/officeDocument/2006/relationships/image" Target="media/image3966.wmf"/><Relationship Id="rId214" Type="http://schemas.openxmlformats.org/officeDocument/2006/relationships/image" Target="media/image106.wmf"/><Relationship Id="rId5465" Type="http://schemas.openxmlformats.org/officeDocument/2006/relationships/image" Target="media/image2743.wmf"/><Relationship Id="rId6516" Type="http://schemas.openxmlformats.org/officeDocument/2006/relationships/oleObject" Target="embeddings/oleObject3248.bin"/><Relationship Id="rId4067" Type="http://schemas.openxmlformats.org/officeDocument/2006/relationships/image" Target="media/image2044.wmf"/><Relationship Id="rId5118" Type="http://schemas.openxmlformats.org/officeDocument/2006/relationships/image" Target="media/image2569.wmf"/><Relationship Id="rId8688" Type="http://schemas.openxmlformats.org/officeDocument/2006/relationships/oleObject" Target="embeddings/oleObject4327.bin"/><Relationship Id="rId9739" Type="http://schemas.openxmlformats.org/officeDocument/2006/relationships/oleObject" Target="embeddings/oleObject4841.bin"/><Relationship Id="rId11669" Type="http://schemas.openxmlformats.org/officeDocument/2006/relationships/image" Target="media/image5846.wmf"/><Relationship Id="rId13091" Type="http://schemas.openxmlformats.org/officeDocument/2006/relationships/image" Target="media/image6560.wmf"/><Relationship Id="rId1728" Type="http://schemas.openxmlformats.org/officeDocument/2006/relationships/image" Target="media/image870.wmf"/><Relationship Id="rId3150" Type="http://schemas.openxmlformats.org/officeDocument/2006/relationships/oleObject" Target="embeddings/oleObject1563.bin"/><Relationship Id="rId4201" Type="http://schemas.openxmlformats.org/officeDocument/2006/relationships/image" Target="media/image2111.wmf"/><Relationship Id="rId14142" Type="http://schemas.openxmlformats.org/officeDocument/2006/relationships/oleObject" Target="embeddings/oleObject7017.bin"/><Relationship Id="rId7771" Type="http://schemas.openxmlformats.org/officeDocument/2006/relationships/oleObject" Target="embeddings/oleObject3870.bin"/><Relationship Id="rId8822" Type="http://schemas.openxmlformats.org/officeDocument/2006/relationships/oleObject" Target="embeddings/oleObject4394.bin"/><Relationship Id="rId10752" Type="http://schemas.openxmlformats.org/officeDocument/2006/relationships/image" Target="media/image5385.wmf"/><Relationship Id="rId11803" Type="http://schemas.openxmlformats.org/officeDocument/2006/relationships/oleObject" Target="embeddings/oleObject5853.bin"/><Relationship Id="rId6373" Type="http://schemas.openxmlformats.org/officeDocument/2006/relationships/image" Target="media/image3196.wmf"/><Relationship Id="rId7424" Type="http://schemas.openxmlformats.org/officeDocument/2006/relationships/image" Target="media/image3721.wmf"/><Relationship Id="rId10405" Type="http://schemas.openxmlformats.org/officeDocument/2006/relationships/image" Target="media/image5211.wmf"/><Relationship Id="rId13975" Type="http://schemas.openxmlformats.org/officeDocument/2006/relationships/image" Target="media/image7002.wmf"/><Relationship Id="rId2983" Type="http://schemas.openxmlformats.org/officeDocument/2006/relationships/image" Target="media/image1501.wmf"/><Relationship Id="rId6026" Type="http://schemas.openxmlformats.org/officeDocument/2006/relationships/oleObject" Target="embeddings/oleObject3002.bin"/><Relationship Id="rId9596" Type="http://schemas.openxmlformats.org/officeDocument/2006/relationships/image" Target="media/image4807.wmf"/><Relationship Id="rId12577" Type="http://schemas.openxmlformats.org/officeDocument/2006/relationships/image" Target="media/image6303.wmf"/><Relationship Id="rId13628" Type="http://schemas.openxmlformats.org/officeDocument/2006/relationships/image" Target="media/image6829.wmf"/><Relationship Id="rId955" Type="http://schemas.openxmlformats.org/officeDocument/2006/relationships/image" Target="media/image483.wmf"/><Relationship Id="rId1585" Type="http://schemas.openxmlformats.org/officeDocument/2006/relationships/oleObject" Target="embeddings/oleObject780.bin"/><Relationship Id="rId2636" Type="http://schemas.openxmlformats.org/officeDocument/2006/relationships/image" Target="media/image1328.wmf"/><Relationship Id="rId8198" Type="http://schemas.openxmlformats.org/officeDocument/2006/relationships/image" Target="media/image4108.wmf"/><Relationship Id="rId9249" Type="http://schemas.openxmlformats.org/officeDocument/2006/relationships/oleObject" Target="embeddings/oleObject4605.bin"/><Relationship Id="rId11179" Type="http://schemas.openxmlformats.org/officeDocument/2006/relationships/image" Target="media/image5601.wmf"/><Relationship Id="rId608" Type="http://schemas.openxmlformats.org/officeDocument/2006/relationships/image" Target="media/image305.wmf"/><Relationship Id="rId1238" Type="http://schemas.openxmlformats.org/officeDocument/2006/relationships/image" Target="media/image624.png"/><Relationship Id="rId5859" Type="http://schemas.openxmlformats.org/officeDocument/2006/relationships/image" Target="media/image2940.wmf"/><Relationship Id="rId7281" Type="http://schemas.openxmlformats.org/officeDocument/2006/relationships/oleObject" Target="embeddings/oleObject3625.bin"/><Relationship Id="rId8332" Type="http://schemas.openxmlformats.org/officeDocument/2006/relationships/image" Target="media/image4175.wmf"/><Relationship Id="rId9730" Type="http://schemas.openxmlformats.org/officeDocument/2006/relationships/image" Target="media/image4874.wmf"/><Relationship Id="rId11660" Type="http://schemas.openxmlformats.org/officeDocument/2006/relationships/oleObject" Target="embeddings/oleObject5783.bin"/><Relationship Id="rId12711" Type="http://schemas.openxmlformats.org/officeDocument/2006/relationships/image" Target="media/image6370.wmf"/><Relationship Id="rId10262" Type="http://schemas.openxmlformats.org/officeDocument/2006/relationships/oleObject" Target="embeddings/oleObject5098.bin"/><Relationship Id="rId11313" Type="http://schemas.openxmlformats.org/officeDocument/2006/relationships/image" Target="media/image5668.wmf"/><Relationship Id="rId3891" Type="http://schemas.openxmlformats.org/officeDocument/2006/relationships/oleObject" Target="embeddings/oleObject1936.bin"/><Relationship Id="rId4942" Type="http://schemas.openxmlformats.org/officeDocument/2006/relationships/image" Target="media/image2481.wmf"/><Relationship Id="rId13485" Type="http://schemas.openxmlformats.org/officeDocument/2006/relationships/oleObject" Target="embeddings/oleObject6688.bin"/><Relationship Id="rId14536" Type="http://schemas.openxmlformats.org/officeDocument/2006/relationships/oleObject" Target="embeddings/oleObject7208.bin"/><Relationship Id="rId2493" Type="http://schemas.openxmlformats.org/officeDocument/2006/relationships/oleObject" Target="embeddings/oleObject1234.bin"/><Relationship Id="rId3544" Type="http://schemas.openxmlformats.org/officeDocument/2006/relationships/image" Target="media/image1783.wmf"/><Relationship Id="rId12087" Type="http://schemas.openxmlformats.org/officeDocument/2006/relationships/oleObject" Target="embeddings/oleObject5995.bin"/><Relationship Id="rId13138" Type="http://schemas.openxmlformats.org/officeDocument/2006/relationships/oleObject" Target="embeddings/oleObject6516.bin"/><Relationship Id="rId465" Type="http://schemas.openxmlformats.org/officeDocument/2006/relationships/image" Target="media/image232.wmf"/><Relationship Id="rId1095" Type="http://schemas.openxmlformats.org/officeDocument/2006/relationships/image" Target="media/image553.wmf"/><Relationship Id="rId2146" Type="http://schemas.openxmlformats.org/officeDocument/2006/relationships/image" Target="media/image1079.wmf"/><Relationship Id="rId6767" Type="http://schemas.openxmlformats.org/officeDocument/2006/relationships/image" Target="media/image3393.wmf"/><Relationship Id="rId7818" Type="http://schemas.openxmlformats.org/officeDocument/2006/relationships/image" Target="media/image3918.wmf"/><Relationship Id="rId118" Type="http://schemas.openxmlformats.org/officeDocument/2006/relationships/oleObject" Target="embeddings/oleObject55.bin"/><Relationship Id="rId5369" Type="http://schemas.openxmlformats.org/officeDocument/2006/relationships/image" Target="media/image2695.wmf"/><Relationship Id="rId9240" Type="http://schemas.openxmlformats.org/officeDocument/2006/relationships/image" Target="media/image4629.wmf"/><Relationship Id="rId11170" Type="http://schemas.openxmlformats.org/officeDocument/2006/relationships/oleObject" Target="embeddings/oleObject5538.bin"/><Relationship Id="rId12221" Type="http://schemas.openxmlformats.org/officeDocument/2006/relationships/oleObject" Target="embeddings/oleObject6062.bin"/><Relationship Id="rId1979" Type="http://schemas.openxmlformats.org/officeDocument/2006/relationships/oleObject" Target="embeddings/oleObject977.bin"/><Relationship Id="rId5850" Type="http://schemas.openxmlformats.org/officeDocument/2006/relationships/oleObject" Target="embeddings/oleObject2914.bin"/><Relationship Id="rId6901" Type="http://schemas.openxmlformats.org/officeDocument/2006/relationships/image" Target="media/image3460.wmf"/><Relationship Id="rId14393" Type="http://schemas.openxmlformats.org/officeDocument/2006/relationships/image" Target="media/image7211.wmf"/><Relationship Id="rId3054" Type="http://schemas.openxmlformats.org/officeDocument/2006/relationships/oleObject" Target="embeddings/oleObject1515.bin"/><Relationship Id="rId4452" Type="http://schemas.openxmlformats.org/officeDocument/2006/relationships/image" Target="media/image2236.wmf"/><Relationship Id="rId5503" Type="http://schemas.openxmlformats.org/officeDocument/2006/relationships/image" Target="media/image2762.wmf"/><Relationship Id="rId14046" Type="http://schemas.openxmlformats.org/officeDocument/2006/relationships/oleObject" Target="embeddings/oleObject6969.bin"/><Relationship Id="rId4105" Type="http://schemas.openxmlformats.org/officeDocument/2006/relationships/image" Target="media/image2063.wmf"/><Relationship Id="rId7675" Type="http://schemas.openxmlformats.org/officeDocument/2006/relationships/oleObject" Target="embeddings/oleObject3822.bin"/><Relationship Id="rId8726" Type="http://schemas.openxmlformats.org/officeDocument/2006/relationships/oleObject" Target="embeddings/oleObject4346.bin"/><Relationship Id="rId10656" Type="http://schemas.openxmlformats.org/officeDocument/2006/relationships/image" Target="media/image5337.wmf"/><Relationship Id="rId11707" Type="http://schemas.openxmlformats.org/officeDocument/2006/relationships/oleObject" Target="embeddings/oleObject5805.bin"/><Relationship Id="rId6277" Type="http://schemas.openxmlformats.org/officeDocument/2006/relationships/image" Target="media/image3149.wmf"/><Relationship Id="rId7328" Type="http://schemas.openxmlformats.org/officeDocument/2006/relationships/image" Target="media/image3673.wmf"/><Relationship Id="rId10309" Type="http://schemas.openxmlformats.org/officeDocument/2006/relationships/image" Target="media/image5163.wmf"/><Relationship Id="rId2887" Type="http://schemas.openxmlformats.org/officeDocument/2006/relationships/image" Target="media/image1453.wmf"/><Relationship Id="rId13879" Type="http://schemas.openxmlformats.org/officeDocument/2006/relationships/image" Target="media/image6954.wmf"/><Relationship Id="rId859" Type="http://schemas.openxmlformats.org/officeDocument/2006/relationships/oleObject" Target="embeddings/oleObject421.bin"/><Relationship Id="rId1489" Type="http://schemas.openxmlformats.org/officeDocument/2006/relationships/oleObject" Target="embeddings/oleObject733.bin"/><Relationship Id="rId3938" Type="http://schemas.openxmlformats.org/officeDocument/2006/relationships/image" Target="media/image1980.wmf"/><Relationship Id="rId5360" Type="http://schemas.openxmlformats.org/officeDocument/2006/relationships/oleObject" Target="embeddings/oleObject2669.bin"/><Relationship Id="rId6411" Type="http://schemas.openxmlformats.org/officeDocument/2006/relationships/image" Target="media/image3215.wmf"/><Relationship Id="rId5013" Type="http://schemas.openxmlformats.org/officeDocument/2006/relationships/oleObject" Target="embeddings/oleObject2496.bin"/><Relationship Id="rId9981" Type="http://schemas.openxmlformats.org/officeDocument/2006/relationships/image" Target="media/image4999.wmf"/><Relationship Id="rId12962" Type="http://schemas.openxmlformats.org/officeDocument/2006/relationships/oleObject" Target="embeddings/oleObject6430.bin"/><Relationship Id="rId1970" Type="http://schemas.openxmlformats.org/officeDocument/2006/relationships/image" Target="media/image991.wmf"/><Relationship Id="rId7185" Type="http://schemas.openxmlformats.org/officeDocument/2006/relationships/oleObject" Target="embeddings/oleObject3577.bin"/><Relationship Id="rId8583" Type="http://schemas.openxmlformats.org/officeDocument/2006/relationships/oleObject" Target="embeddings/oleObject4276.bin"/><Relationship Id="rId9634" Type="http://schemas.openxmlformats.org/officeDocument/2006/relationships/image" Target="media/image4826.wmf"/><Relationship Id="rId11564" Type="http://schemas.openxmlformats.org/officeDocument/2006/relationships/oleObject" Target="embeddings/oleObject5735.bin"/><Relationship Id="rId12615" Type="http://schemas.openxmlformats.org/officeDocument/2006/relationships/image" Target="media/image6322.wmf"/><Relationship Id="rId1623" Type="http://schemas.openxmlformats.org/officeDocument/2006/relationships/oleObject" Target="embeddings/oleObject799.bin"/><Relationship Id="rId8236" Type="http://schemas.openxmlformats.org/officeDocument/2006/relationships/image" Target="media/image4127.wmf"/><Relationship Id="rId10166" Type="http://schemas.openxmlformats.org/officeDocument/2006/relationships/oleObject" Target="embeddings/oleObject5052.bin"/><Relationship Id="rId11217" Type="http://schemas.openxmlformats.org/officeDocument/2006/relationships/image" Target="media/image5620.wmf"/><Relationship Id="rId3795" Type="http://schemas.openxmlformats.org/officeDocument/2006/relationships/oleObject" Target="embeddings/oleObject1888.bin"/><Relationship Id="rId4846" Type="http://schemas.openxmlformats.org/officeDocument/2006/relationships/image" Target="media/image2433.wmf"/><Relationship Id="rId13389" Type="http://schemas.openxmlformats.org/officeDocument/2006/relationships/oleObject" Target="embeddings/oleObject6640.bin"/><Relationship Id="rId2397" Type="http://schemas.openxmlformats.org/officeDocument/2006/relationships/image" Target="media/image1207.wmf"/><Relationship Id="rId3448" Type="http://schemas.openxmlformats.org/officeDocument/2006/relationships/image" Target="media/image1735.wmf"/><Relationship Id="rId369" Type="http://schemas.openxmlformats.org/officeDocument/2006/relationships/oleObject" Target="embeddings/oleObject179.bin"/><Relationship Id="rId9491" Type="http://schemas.openxmlformats.org/officeDocument/2006/relationships/oleObject" Target="embeddings/oleObject4724.bin"/><Relationship Id="rId10300" Type="http://schemas.openxmlformats.org/officeDocument/2006/relationships/oleObject" Target="embeddings/oleObject5117.bin"/><Relationship Id="rId13870" Type="http://schemas.openxmlformats.org/officeDocument/2006/relationships/oleObject" Target="embeddings/oleObject6881.bin"/><Relationship Id="rId1480" Type="http://schemas.openxmlformats.org/officeDocument/2006/relationships/image" Target="media/image745.wmf"/><Relationship Id="rId8093" Type="http://schemas.openxmlformats.org/officeDocument/2006/relationships/oleObject" Target="embeddings/oleObject4031.bin"/><Relationship Id="rId9144" Type="http://schemas.openxmlformats.org/officeDocument/2006/relationships/oleObject" Target="embeddings/oleObject4552.bin"/><Relationship Id="rId12472" Type="http://schemas.openxmlformats.org/officeDocument/2006/relationships/oleObject" Target="embeddings/oleObject6185.bin"/><Relationship Id="rId13523" Type="http://schemas.openxmlformats.org/officeDocument/2006/relationships/oleObject" Target="embeddings/oleObject6707.bin"/><Relationship Id="rId850" Type="http://schemas.openxmlformats.org/officeDocument/2006/relationships/image" Target="media/image430.wmf"/><Relationship Id="rId1133" Type="http://schemas.openxmlformats.org/officeDocument/2006/relationships/image" Target="media/image572.wmf"/><Relationship Id="rId2531" Type="http://schemas.openxmlformats.org/officeDocument/2006/relationships/oleObject" Target="embeddings/oleObject1253.bin"/><Relationship Id="rId11074" Type="http://schemas.openxmlformats.org/officeDocument/2006/relationships/oleObject" Target="embeddings/oleObject5490.bin"/><Relationship Id="rId12125" Type="http://schemas.openxmlformats.org/officeDocument/2006/relationships/oleObject" Target="embeddings/oleObject6014.bin"/><Relationship Id="rId503" Type="http://schemas.openxmlformats.org/officeDocument/2006/relationships/image" Target="media/image251.wmf"/><Relationship Id="rId5754" Type="http://schemas.openxmlformats.org/officeDocument/2006/relationships/oleObject" Target="embeddings/oleObject2866.bin"/><Relationship Id="rId6805" Type="http://schemas.openxmlformats.org/officeDocument/2006/relationships/image" Target="media/image3412.png"/><Relationship Id="rId14297" Type="http://schemas.openxmlformats.org/officeDocument/2006/relationships/image" Target="media/image7163.wmf"/><Relationship Id="rId4356" Type="http://schemas.openxmlformats.org/officeDocument/2006/relationships/image" Target="media/image2188.wmf"/><Relationship Id="rId5407" Type="http://schemas.openxmlformats.org/officeDocument/2006/relationships/image" Target="media/image2714.wmf"/><Relationship Id="rId8977" Type="http://schemas.openxmlformats.org/officeDocument/2006/relationships/image" Target="media/image4498.wmf"/><Relationship Id="rId4009" Type="http://schemas.openxmlformats.org/officeDocument/2006/relationships/image" Target="media/image2015.wmf"/><Relationship Id="rId7579" Type="http://schemas.openxmlformats.org/officeDocument/2006/relationships/oleObject" Target="embeddings/oleObject3774.bin"/><Relationship Id="rId11958" Type="http://schemas.openxmlformats.org/officeDocument/2006/relationships/image" Target="media/image5992.wmf"/><Relationship Id="rId13380" Type="http://schemas.openxmlformats.org/officeDocument/2006/relationships/image" Target="media/image6705.wmf"/><Relationship Id="rId13033" Type="http://schemas.openxmlformats.org/officeDocument/2006/relationships/image" Target="media/image6531.wmf"/><Relationship Id="rId14431" Type="http://schemas.openxmlformats.org/officeDocument/2006/relationships/image" Target="media/image7230.wmf"/><Relationship Id="rId360" Type="http://schemas.openxmlformats.org/officeDocument/2006/relationships/image" Target="media/image179.wmf"/><Relationship Id="rId2041" Type="http://schemas.openxmlformats.org/officeDocument/2006/relationships/oleObject" Target="embeddings/oleObject1008.bin"/><Relationship Id="rId5264" Type="http://schemas.openxmlformats.org/officeDocument/2006/relationships/oleObject" Target="embeddings/oleObject2621.bin"/><Relationship Id="rId6662" Type="http://schemas.openxmlformats.org/officeDocument/2006/relationships/oleObject" Target="embeddings/oleObject3318.bin"/><Relationship Id="rId7713" Type="http://schemas.openxmlformats.org/officeDocument/2006/relationships/oleObject" Target="embeddings/oleObject3841.bin"/><Relationship Id="rId6315" Type="http://schemas.openxmlformats.org/officeDocument/2006/relationships/image" Target="media/image3168.wmf"/><Relationship Id="rId9885" Type="http://schemas.openxmlformats.org/officeDocument/2006/relationships/image" Target="media/image4951.wmf"/><Relationship Id="rId12866" Type="http://schemas.openxmlformats.org/officeDocument/2006/relationships/oleObject" Target="embeddings/oleObject6382.bin"/><Relationship Id="rId13917" Type="http://schemas.openxmlformats.org/officeDocument/2006/relationships/image" Target="media/image6973.wmf"/><Relationship Id="rId99" Type="http://schemas.openxmlformats.org/officeDocument/2006/relationships/image" Target="media/image47.wmf"/><Relationship Id="rId1874" Type="http://schemas.openxmlformats.org/officeDocument/2006/relationships/image" Target="media/image943.wmf"/><Relationship Id="rId2925" Type="http://schemas.openxmlformats.org/officeDocument/2006/relationships/image" Target="media/image1472.wmf"/><Relationship Id="rId8487" Type="http://schemas.openxmlformats.org/officeDocument/2006/relationships/oleObject" Target="embeddings/oleObject4228.bin"/><Relationship Id="rId9538" Type="http://schemas.openxmlformats.org/officeDocument/2006/relationships/image" Target="media/image4778.wmf"/><Relationship Id="rId11468" Type="http://schemas.openxmlformats.org/officeDocument/2006/relationships/oleObject" Target="embeddings/oleObject5687.bin"/><Relationship Id="rId12519" Type="http://schemas.openxmlformats.org/officeDocument/2006/relationships/image" Target="media/image6274.wmf"/><Relationship Id="rId1527" Type="http://schemas.openxmlformats.org/officeDocument/2006/relationships/oleObject" Target="embeddings/oleObject750.bin"/><Relationship Id="rId7089" Type="http://schemas.openxmlformats.org/officeDocument/2006/relationships/image" Target="media/image3554.wmf"/><Relationship Id="rId3699" Type="http://schemas.openxmlformats.org/officeDocument/2006/relationships/oleObject" Target="embeddings/oleObject1840.bin"/><Relationship Id="rId4000" Type="http://schemas.openxmlformats.org/officeDocument/2006/relationships/oleObject" Target="embeddings/oleObject1991.bin"/><Relationship Id="rId7570" Type="http://schemas.openxmlformats.org/officeDocument/2006/relationships/image" Target="media/image3794.wmf"/><Relationship Id="rId8621" Type="http://schemas.openxmlformats.org/officeDocument/2006/relationships/oleObject" Target="embeddings/oleObject4295.bin"/><Relationship Id="rId6172" Type="http://schemas.openxmlformats.org/officeDocument/2006/relationships/oleObject" Target="embeddings/oleObject3075.bin"/><Relationship Id="rId7223" Type="http://schemas.openxmlformats.org/officeDocument/2006/relationships/oleObject" Target="embeddings/oleObject3596.bin"/><Relationship Id="rId10551" Type="http://schemas.openxmlformats.org/officeDocument/2006/relationships/oleObject" Target="embeddings/oleObject5240.bin"/><Relationship Id="rId11602" Type="http://schemas.openxmlformats.org/officeDocument/2006/relationships/oleObject" Target="embeddings/oleObject5754.bin"/><Relationship Id="rId9395" Type="http://schemas.openxmlformats.org/officeDocument/2006/relationships/oleObject" Target="embeddings/oleObject4678.bin"/><Relationship Id="rId10204" Type="http://schemas.openxmlformats.org/officeDocument/2006/relationships/oleObject" Target="embeddings/oleObject5069.bin"/><Relationship Id="rId13774" Type="http://schemas.openxmlformats.org/officeDocument/2006/relationships/oleObject" Target="embeddings/oleObject6833.bin"/><Relationship Id="rId2782" Type="http://schemas.openxmlformats.org/officeDocument/2006/relationships/image" Target="media/image1401.wmf"/><Relationship Id="rId3833" Type="http://schemas.openxmlformats.org/officeDocument/2006/relationships/oleObject" Target="embeddings/oleObject1907.bin"/><Relationship Id="rId9048" Type="http://schemas.openxmlformats.org/officeDocument/2006/relationships/oleObject" Target="embeddings/oleObject4504.bin"/><Relationship Id="rId12376" Type="http://schemas.openxmlformats.org/officeDocument/2006/relationships/oleObject" Target="embeddings/oleObject6137.bin"/><Relationship Id="rId13427" Type="http://schemas.openxmlformats.org/officeDocument/2006/relationships/oleObject" Target="embeddings/oleObject6659.bin"/><Relationship Id="rId754" Type="http://schemas.openxmlformats.org/officeDocument/2006/relationships/image" Target="media/image379.wmf"/><Relationship Id="rId1384" Type="http://schemas.openxmlformats.org/officeDocument/2006/relationships/image" Target="media/image697.wmf"/><Relationship Id="rId2435" Type="http://schemas.openxmlformats.org/officeDocument/2006/relationships/oleObject" Target="embeddings/oleObject1206.bin"/><Relationship Id="rId12029" Type="http://schemas.openxmlformats.org/officeDocument/2006/relationships/oleObject" Target="embeddings/oleObject5966.bin"/><Relationship Id="rId90" Type="http://schemas.openxmlformats.org/officeDocument/2006/relationships/oleObject" Target="embeddings/oleObject41.bin"/><Relationship Id="rId407" Type="http://schemas.openxmlformats.org/officeDocument/2006/relationships/image" Target="media/image203.wmf"/><Relationship Id="rId1037" Type="http://schemas.openxmlformats.org/officeDocument/2006/relationships/image" Target="media/image524.wmf"/><Relationship Id="rId5658" Type="http://schemas.openxmlformats.org/officeDocument/2006/relationships/oleObject" Target="embeddings/oleObject2818.bin"/><Relationship Id="rId6709" Type="http://schemas.openxmlformats.org/officeDocument/2006/relationships/image" Target="media/image3364.wmf"/><Relationship Id="rId7080" Type="http://schemas.openxmlformats.org/officeDocument/2006/relationships/oleObject" Target="embeddings/oleObject3525.bin"/><Relationship Id="rId8131" Type="http://schemas.openxmlformats.org/officeDocument/2006/relationships/oleObject" Target="embeddings/oleObject4050.bin"/><Relationship Id="rId10061" Type="http://schemas.openxmlformats.org/officeDocument/2006/relationships/image" Target="media/image5039.wmf"/><Relationship Id="rId11112" Type="http://schemas.openxmlformats.org/officeDocument/2006/relationships/oleObject" Target="embeddings/oleObject5509.bin"/><Relationship Id="rId12510" Type="http://schemas.openxmlformats.org/officeDocument/2006/relationships/oleObject" Target="embeddings/oleObject6204.bin"/><Relationship Id="rId3690" Type="http://schemas.openxmlformats.org/officeDocument/2006/relationships/image" Target="media/image1856.wmf"/><Relationship Id="rId2292" Type="http://schemas.openxmlformats.org/officeDocument/2006/relationships/oleObject" Target="embeddings/oleObject1133.bin"/><Relationship Id="rId3343" Type="http://schemas.openxmlformats.org/officeDocument/2006/relationships/oleObject" Target="embeddings/oleObject1660.bin"/><Relationship Id="rId4741" Type="http://schemas.openxmlformats.org/officeDocument/2006/relationships/oleObject" Target="embeddings/oleObject2362.bin"/><Relationship Id="rId13284" Type="http://schemas.openxmlformats.org/officeDocument/2006/relationships/oleObject" Target="embeddings/oleObject6589.bin"/><Relationship Id="rId14335" Type="http://schemas.openxmlformats.org/officeDocument/2006/relationships/image" Target="media/image7182.wmf"/><Relationship Id="rId264" Type="http://schemas.openxmlformats.org/officeDocument/2006/relationships/image" Target="media/image131.wmf"/><Relationship Id="rId7964" Type="http://schemas.openxmlformats.org/officeDocument/2006/relationships/image" Target="media/image3991.wmf"/><Relationship Id="rId10945" Type="http://schemas.microsoft.com/office/2007/relationships/hdphoto" Target="media/hdphoto41.wdp"/><Relationship Id="rId6566" Type="http://schemas.openxmlformats.org/officeDocument/2006/relationships/oleObject" Target="embeddings/oleObject3270.bin"/><Relationship Id="rId7617" Type="http://schemas.openxmlformats.org/officeDocument/2006/relationships/oleObject" Target="embeddings/oleObject3793.bin"/><Relationship Id="rId5168" Type="http://schemas.openxmlformats.org/officeDocument/2006/relationships/image" Target="media/image2594.wmf"/><Relationship Id="rId6219" Type="http://schemas.openxmlformats.org/officeDocument/2006/relationships/image" Target="media/image3120.wmf"/><Relationship Id="rId9789" Type="http://schemas.openxmlformats.org/officeDocument/2006/relationships/oleObject" Target="embeddings/oleObject4866.bin"/><Relationship Id="rId12020" Type="http://schemas.openxmlformats.org/officeDocument/2006/relationships/image" Target="media/image6023.wmf"/><Relationship Id="rId1778" Type="http://schemas.openxmlformats.org/officeDocument/2006/relationships/image" Target="media/image895.wmf"/><Relationship Id="rId2829" Type="http://schemas.openxmlformats.org/officeDocument/2006/relationships/oleObject" Target="embeddings/oleObject1402.bin"/><Relationship Id="rId6700" Type="http://schemas.openxmlformats.org/officeDocument/2006/relationships/oleObject" Target="embeddings/oleObject3337.bin"/><Relationship Id="rId14192" Type="http://schemas.openxmlformats.org/officeDocument/2006/relationships/oleObject" Target="embeddings/oleObject7042.bin"/><Relationship Id="rId4251" Type="http://schemas.openxmlformats.org/officeDocument/2006/relationships/image" Target="media/image2136.wmf"/><Relationship Id="rId5302" Type="http://schemas.openxmlformats.org/officeDocument/2006/relationships/oleObject" Target="embeddings/oleObject2640.bin"/><Relationship Id="rId7474" Type="http://schemas.openxmlformats.org/officeDocument/2006/relationships/image" Target="media/image3746.wmf"/><Relationship Id="rId8872" Type="http://schemas.openxmlformats.org/officeDocument/2006/relationships/oleObject" Target="embeddings/oleObject4416.bin"/><Relationship Id="rId9923" Type="http://schemas.openxmlformats.org/officeDocument/2006/relationships/image" Target="media/image4970.wmf"/><Relationship Id="rId11853" Type="http://schemas.openxmlformats.org/officeDocument/2006/relationships/oleObject" Target="embeddings/oleObject5878.bin"/><Relationship Id="rId12904" Type="http://schemas.openxmlformats.org/officeDocument/2006/relationships/oleObject" Target="embeddings/oleObject6401.bin"/><Relationship Id="rId1912" Type="http://schemas.openxmlformats.org/officeDocument/2006/relationships/image" Target="media/image962.wmf"/><Relationship Id="rId6076" Type="http://schemas.openxmlformats.org/officeDocument/2006/relationships/oleObject" Target="embeddings/oleObject3027.bin"/><Relationship Id="rId7127" Type="http://schemas.openxmlformats.org/officeDocument/2006/relationships/oleObject" Target="embeddings/oleObject3549.bin"/><Relationship Id="rId8525" Type="http://schemas.openxmlformats.org/officeDocument/2006/relationships/oleObject" Target="embeddings/oleObject4247.bin"/><Relationship Id="rId10455" Type="http://schemas.openxmlformats.org/officeDocument/2006/relationships/oleObject" Target="embeddings/oleObject5194.bin"/><Relationship Id="rId11506" Type="http://schemas.openxmlformats.org/officeDocument/2006/relationships/oleObject" Target="embeddings/oleObject5706.bin"/><Relationship Id="rId10108" Type="http://schemas.openxmlformats.org/officeDocument/2006/relationships/oleObject" Target="embeddings/oleObject5023.bin"/><Relationship Id="rId13678" Type="http://schemas.openxmlformats.org/officeDocument/2006/relationships/image" Target="media/image6854.wmf"/><Relationship Id="rId2686" Type="http://schemas.openxmlformats.org/officeDocument/2006/relationships/image" Target="media/image1353.wmf"/><Relationship Id="rId3737" Type="http://schemas.openxmlformats.org/officeDocument/2006/relationships/oleObject" Target="embeddings/oleObject1859.bin"/><Relationship Id="rId9299" Type="http://schemas.openxmlformats.org/officeDocument/2006/relationships/oleObject" Target="embeddings/oleObject4630.bin"/><Relationship Id="rId658" Type="http://schemas.openxmlformats.org/officeDocument/2006/relationships/image" Target="media/image331.wmf"/><Relationship Id="rId1288" Type="http://schemas.openxmlformats.org/officeDocument/2006/relationships/image" Target="media/image649.wmf"/><Relationship Id="rId2339" Type="http://schemas.openxmlformats.org/officeDocument/2006/relationships/image" Target="media/image1178.wmf"/><Relationship Id="rId6210" Type="http://schemas.openxmlformats.org/officeDocument/2006/relationships/oleObject" Target="embeddings/oleObject3094.bin"/><Relationship Id="rId9780" Type="http://schemas.openxmlformats.org/officeDocument/2006/relationships/image" Target="media/image4899.wmf"/><Relationship Id="rId8382" Type="http://schemas.openxmlformats.org/officeDocument/2006/relationships/image" Target="media/image4200.wmf"/><Relationship Id="rId9433" Type="http://schemas.openxmlformats.org/officeDocument/2006/relationships/oleObject" Target="embeddings/oleObject4697.bin"/><Relationship Id="rId12761" Type="http://schemas.openxmlformats.org/officeDocument/2006/relationships/image" Target="media/image6395.wmf"/><Relationship Id="rId13812" Type="http://schemas.openxmlformats.org/officeDocument/2006/relationships/oleObject" Target="embeddings/oleObject6852.bin"/><Relationship Id="rId1422" Type="http://schemas.openxmlformats.org/officeDocument/2006/relationships/image" Target="media/image716.wmf"/><Relationship Id="rId2820" Type="http://schemas.openxmlformats.org/officeDocument/2006/relationships/image" Target="media/image1420.wmf"/><Relationship Id="rId8035" Type="http://schemas.openxmlformats.org/officeDocument/2006/relationships/oleObject" Target="embeddings/oleObject4002.bin"/><Relationship Id="rId11016" Type="http://schemas.openxmlformats.org/officeDocument/2006/relationships/image" Target="media/image5518.wmf"/><Relationship Id="rId11363" Type="http://schemas.openxmlformats.org/officeDocument/2006/relationships/image" Target="media/image5693.wmf"/><Relationship Id="rId12414" Type="http://schemas.openxmlformats.org/officeDocument/2006/relationships/oleObject" Target="embeddings/oleObject6156.bin"/><Relationship Id="rId4992" Type="http://schemas.openxmlformats.org/officeDocument/2006/relationships/image" Target="media/image2506.wmf"/><Relationship Id="rId14586" Type="http://schemas.openxmlformats.org/officeDocument/2006/relationships/oleObject" Target="embeddings/oleObject7233.bin"/><Relationship Id="rId2196" Type="http://schemas.openxmlformats.org/officeDocument/2006/relationships/image" Target="media/image1104.wmf"/><Relationship Id="rId3594" Type="http://schemas.openxmlformats.org/officeDocument/2006/relationships/image" Target="media/image1808.wmf"/><Relationship Id="rId4645" Type="http://schemas.openxmlformats.org/officeDocument/2006/relationships/oleObject" Target="embeddings/oleObject2314.bin"/><Relationship Id="rId13188" Type="http://schemas.openxmlformats.org/officeDocument/2006/relationships/oleObject" Target="embeddings/oleObject6541.bin"/><Relationship Id="rId14239" Type="http://schemas.openxmlformats.org/officeDocument/2006/relationships/image" Target="media/image7134.wmf"/><Relationship Id="rId168" Type="http://schemas.openxmlformats.org/officeDocument/2006/relationships/image" Target="media/image83.wmf"/><Relationship Id="rId3247" Type="http://schemas.openxmlformats.org/officeDocument/2006/relationships/image" Target="media/image1633.wmf"/><Relationship Id="rId7868" Type="http://schemas.openxmlformats.org/officeDocument/2006/relationships/image" Target="media/image3943.wmf"/><Relationship Id="rId8919" Type="http://schemas.openxmlformats.org/officeDocument/2006/relationships/image" Target="media/image4469.wmf"/><Relationship Id="rId10849" Type="http://schemas.openxmlformats.org/officeDocument/2006/relationships/oleObject" Target="embeddings/oleObject5387.bin"/><Relationship Id="rId9290" Type="http://schemas.openxmlformats.org/officeDocument/2006/relationships/image" Target="media/image4654.wmf"/><Relationship Id="rId12271" Type="http://schemas.openxmlformats.org/officeDocument/2006/relationships/oleObject" Target="embeddings/oleObject6087.bin"/><Relationship Id="rId13322" Type="http://schemas.openxmlformats.org/officeDocument/2006/relationships/oleObject" Target="embeddings/oleObject6608.bin"/><Relationship Id="rId2330" Type="http://schemas.openxmlformats.org/officeDocument/2006/relationships/oleObject" Target="embeddings/oleObject1154.bin"/><Relationship Id="rId302" Type="http://schemas.openxmlformats.org/officeDocument/2006/relationships/image" Target="media/image150.wmf"/><Relationship Id="rId5553" Type="http://schemas.openxmlformats.org/officeDocument/2006/relationships/image" Target="media/image2787.wmf"/><Relationship Id="rId6951" Type="http://schemas.openxmlformats.org/officeDocument/2006/relationships/image" Target="media/image3485.wmf"/><Relationship Id="rId14096" Type="http://schemas.openxmlformats.org/officeDocument/2006/relationships/oleObject" Target="embeddings/oleObject6994.bin"/><Relationship Id="rId4155" Type="http://schemas.openxmlformats.org/officeDocument/2006/relationships/image" Target="media/image2088.wmf"/><Relationship Id="rId5206" Type="http://schemas.openxmlformats.org/officeDocument/2006/relationships/image" Target="media/image2613.wmf"/><Relationship Id="rId6604" Type="http://schemas.openxmlformats.org/officeDocument/2006/relationships/oleObject" Target="embeddings/oleObject3289.bin"/><Relationship Id="rId8776" Type="http://schemas.openxmlformats.org/officeDocument/2006/relationships/oleObject" Target="embeddings/oleObject4371.bin"/><Relationship Id="rId9827" Type="http://schemas.openxmlformats.org/officeDocument/2006/relationships/oleObject" Target="embeddings/oleObject4885.bin"/><Relationship Id="rId11757" Type="http://schemas.openxmlformats.org/officeDocument/2006/relationships/oleObject" Target="embeddings/oleObject5830.bin"/><Relationship Id="rId12808" Type="http://schemas.openxmlformats.org/officeDocument/2006/relationships/oleObject" Target="embeddings/oleObject6353.bin"/><Relationship Id="rId1816" Type="http://schemas.openxmlformats.org/officeDocument/2006/relationships/image" Target="media/image914.wmf"/><Relationship Id="rId7378" Type="http://schemas.openxmlformats.org/officeDocument/2006/relationships/image" Target="media/image3698.wmf"/><Relationship Id="rId8429" Type="http://schemas.openxmlformats.org/officeDocument/2006/relationships/oleObject" Target="embeddings/oleObject4199.bin"/><Relationship Id="rId10359" Type="http://schemas.openxmlformats.org/officeDocument/2006/relationships/image" Target="media/image5188.wmf"/><Relationship Id="rId14230" Type="http://schemas.openxmlformats.org/officeDocument/2006/relationships/oleObject" Target="embeddings/oleObject7061.bin"/><Relationship Id="rId3988" Type="http://schemas.openxmlformats.org/officeDocument/2006/relationships/oleObject" Target="embeddings/oleObject1985.bin"/><Relationship Id="rId8910" Type="http://schemas.openxmlformats.org/officeDocument/2006/relationships/oleObject" Target="embeddings/oleObject4435.bin"/><Relationship Id="rId6461" Type="http://schemas.openxmlformats.org/officeDocument/2006/relationships/image" Target="media/image3240.wmf"/><Relationship Id="rId7512" Type="http://schemas.openxmlformats.org/officeDocument/2006/relationships/image" Target="media/image3765.wmf"/><Relationship Id="rId10840" Type="http://schemas.openxmlformats.org/officeDocument/2006/relationships/image" Target="media/image5429.wmf"/><Relationship Id="rId5063" Type="http://schemas.openxmlformats.org/officeDocument/2006/relationships/oleObject" Target="embeddings/oleObject2521.bin"/><Relationship Id="rId6114" Type="http://schemas.openxmlformats.org/officeDocument/2006/relationships/oleObject" Target="embeddings/oleObject3046.bin"/><Relationship Id="rId9684" Type="http://schemas.openxmlformats.org/officeDocument/2006/relationships/image" Target="media/image4851.png"/><Relationship Id="rId8286" Type="http://schemas.openxmlformats.org/officeDocument/2006/relationships/image" Target="media/image4152.wmf"/><Relationship Id="rId9337" Type="http://schemas.openxmlformats.org/officeDocument/2006/relationships/oleObject" Target="embeddings/oleObject4649.bin"/><Relationship Id="rId12665" Type="http://schemas.openxmlformats.org/officeDocument/2006/relationships/image" Target="media/image6347.wmf"/><Relationship Id="rId13716" Type="http://schemas.openxmlformats.org/officeDocument/2006/relationships/oleObject" Target="embeddings/oleObject6804.bin"/><Relationship Id="rId1673" Type="http://schemas.openxmlformats.org/officeDocument/2006/relationships/oleObject" Target="embeddings/oleObject824.bin"/><Relationship Id="rId2724" Type="http://schemas.openxmlformats.org/officeDocument/2006/relationships/image" Target="media/image1372.wmf"/><Relationship Id="rId11267" Type="http://schemas.openxmlformats.org/officeDocument/2006/relationships/image" Target="media/image5645.wmf"/><Relationship Id="rId12318" Type="http://schemas.openxmlformats.org/officeDocument/2006/relationships/oleObject" Target="embeddings/oleObject6108.bin"/><Relationship Id="rId1326" Type="http://schemas.openxmlformats.org/officeDocument/2006/relationships/image" Target="media/image668.wmf"/><Relationship Id="rId4896" Type="http://schemas.openxmlformats.org/officeDocument/2006/relationships/image" Target="media/image2458.wmf"/><Relationship Id="rId5947" Type="http://schemas.openxmlformats.org/officeDocument/2006/relationships/image" Target="media/image2984.wmf"/><Relationship Id="rId32" Type="http://schemas.openxmlformats.org/officeDocument/2006/relationships/oleObject" Target="embeddings/oleObject12.bin"/><Relationship Id="rId3498" Type="http://schemas.openxmlformats.org/officeDocument/2006/relationships/image" Target="media/image1760.wmf"/><Relationship Id="rId4549" Type="http://schemas.openxmlformats.org/officeDocument/2006/relationships/oleObject" Target="embeddings/oleObject2266.bin"/><Relationship Id="rId8420" Type="http://schemas.openxmlformats.org/officeDocument/2006/relationships/image" Target="media/image4219.wmf"/><Relationship Id="rId10350" Type="http://schemas.openxmlformats.org/officeDocument/2006/relationships/oleObject" Target="embeddings/oleObject5142.bin"/><Relationship Id="rId11401" Type="http://schemas.openxmlformats.org/officeDocument/2006/relationships/image" Target="media/image5712.wmf"/><Relationship Id="rId7022" Type="http://schemas.openxmlformats.org/officeDocument/2006/relationships/oleObject" Target="embeddings/oleObject3496.bin"/><Relationship Id="rId10003" Type="http://schemas.openxmlformats.org/officeDocument/2006/relationships/image" Target="media/image5010.wmf"/><Relationship Id="rId2581" Type="http://schemas.openxmlformats.org/officeDocument/2006/relationships/oleObject" Target="embeddings/oleObject1278.bin"/><Relationship Id="rId3632" Type="http://schemas.openxmlformats.org/officeDocument/2006/relationships/image" Target="media/image1827.wmf"/><Relationship Id="rId9194" Type="http://schemas.openxmlformats.org/officeDocument/2006/relationships/image" Target="media/image4606.wmf"/><Relationship Id="rId12175" Type="http://schemas.openxmlformats.org/officeDocument/2006/relationships/oleObject" Target="embeddings/oleObject6039.bin"/><Relationship Id="rId13226" Type="http://schemas.openxmlformats.org/officeDocument/2006/relationships/oleObject" Target="embeddings/oleObject6560.bin"/><Relationship Id="rId13573" Type="http://schemas.openxmlformats.org/officeDocument/2006/relationships/oleObject" Target="embeddings/oleObject6732.bin"/><Relationship Id="rId553" Type="http://schemas.openxmlformats.org/officeDocument/2006/relationships/oleObject" Target="embeddings/oleObject266.bin"/><Relationship Id="rId1183" Type="http://schemas.openxmlformats.org/officeDocument/2006/relationships/image" Target="media/image597.wmf"/><Relationship Id="rId2234" Type="http://schemas.openxmlformats.org/officeDocument/2006/relationships/image" Target="media/image1123.wmf"/><Relationship Id="rId206" Type="http://schemas.openxmlformats.org/officeDocument/2006/relationships/image" Target="media/image102.wmf"/><Relationship Id="rId6855" Type="http://schemas.openxmlformats.org/officeDocument/2006/relationships/image" Target="media/image3437.wmf"/><Relationship Id="rId7906" Type="http://schemas.openxmlformats.org/officeDocument/2006/relationships/image" Target="media/image3962.wmf"/><Relationship Id="rId4059" Type="http://schemas.openxmlformats.org/officeDocument/2006/relationships/image" Target="media/image2040.wmf"/><Relationship Id="rId5457" Type="http://schemas.openxmlformats.org/officeDocument/2006/relationships/image" Target="media/image2739.wmf"/><Relationship Id="rId6508" Type="http://schemas.openxmlformats.org/officeDocument/2006/relationships/oleObject" Target="embeddings/oleObject3244.bin"/><Relationship Id="rId14481" Type="http://schemas.openxmlformats.org/officeDocument/2006/relationships/image" Target="media/image7255.wmf"/><Relationship Id="rId4540" Type="http://schemas.openxmlformats.org/officeDocument/2006/relationships/image" Target="media/image2280.wmf"/><Relationship Id="rId13083" Type="http://schemas.openxmlformats.org/officeDocument/2006/relationships/image" Target="media/image6556.wmf"/><Relationship Id="rId14134" Type="http://schemas.openxmlformats.org/officeDocument/2006/relationships/oleObject" Target="embeddings/oleObject7013.bin"/><Relationship Id="rId2091" Type="http://schemas.openxmlformats.org/officeDocument/2006/relationships/oleObject" Target="embeddings/oleObject1033.bin"/><Relationship Id="rId3142" Type="http://schemas.openxmlformats.org/officeDocument/2006/relationships/oleObject" Target="embeddings/oleObject1559.bin"/><Relationship Id="rId7763" Type="http://schemas.openxmlformats.org/officeDocument/2006/relationships/oleObject" Target="embeddings/oleObject3866.bin"/><Relationship Id="rId6365" Type="http://schemas.openxmlformats.org/officeDocument/2006/relationships/image" Target="media/image3192.wmf"/><Relationship Id="rId7416" Type="http://schemas.openxmlformats.org/officeDocument/2006/relationships/image" Target="media/image3717.wmf"/><Relationship Id="rId8814" Type="http://schemas.openxmlformats.org/officeDocument/2006/relationships/oleObject" Target="embeddings/oleObject4390.bin"/><Relationship Id="rId10744" Type="http://schemas.openxmlformats.org/officeDocument/2006/relationships/image" Target="media/image5381.wmf"/><Relationship Id="rId6018" Type="http://schemas.openxmlformats.org/officeDocument/2006/relationships/oleObject" Target="embeddings/oleObject2998.bin"/><Relationship Id="rId13967" Type="http://schemas.openxmlformats.org/officeDocument/2006/relationships/image" Target="media/image6998.wmf"/><Relationship Id="rId2975" Type="http://schemas.openxmlformats.org/officeDocument/2006/relationships/image" Target="media/image1497.wmf"/><Relationship Id="rId9588" Type="http://schemas.openxmlformats.org/officeDocument/2006/relationships/image" Target="media/image4803.wmf"/><Relationship Id="rId12569" Type="http://schemas.openxmlformats.org/officeDocument/2006/relationships/image" Target="media/image6299.wmf"/><Relationship Id="rId947" Type="http://schemas.openxmlformats.org/officeDocument/2006/relationships/image" Target="media/image479.wmf"/><Relationship Id="rId1577" Type="http://schemas.openxmlformats.org/officeDocument/2006/relationships/oleObject" Target="embeddings/oleObject776.bin"/><Relationship Id="rId2628" Type="http://schemas.openxmlformats.org/officeDocument/2006/relationships/image" Target="media/image1324.wmf"/><Relationship Id="rId4050" Type="http://schemas.openxmlformats.org/officeDocument/2006/relationships/oleObject" Target="embeddings/oleObject2016.bin"/><Relationship Id="rId5101" Type="http://schemas.openxmlformats.org/officeDocument/2006/relationships/oleObject" Target="embeddings/oleObject2540.bin"/><Relationship Id="rId8671" Type="http://schemas.openxmlformats.org/officeDocument/2006/relationships/image" Target="media/image4345.wmf"/><Relationship Id="rId9722" Type="http://schemas.openxmlformats.org/officeDocument/2006/relationships/image" Target="media/image4870.wmf"/><Relationship Id="rId1711" Type="http://schemas.openxmlformats.org/officeDocument/2006/relationships/oleObject" Target="embeddings/oleObject843.bin"/><Relationship Id="rId7273" Type="http://schemas.openxmlformats.org/officeDocument/2006/relationships/oleObject" Target="embeddings/oleObject3621.bin"/><Relationship Id="rId8324" Type="http://schemas.openxmlformats.org/officeDocument/2006/relationships/image" Target="media/image4171.wmf"/><Relationship Id="rId10254" Type="http://schemas.openxmlformats.org/officeDocument/2006/relationships/oleObject" Target="embeddings/oleObject5094.bin"/><Relationship Id="rId11652" Type="http://schemas.openxmlformats.org/officeDocument/2006/relationships/oleObject" Target="embeddings/oleObject5779.bin"/><Relationship Id="rId12703" Type="http://schemas.openxmlformats.org/officeDocument/2006/relationships/image" Target="media/image6366.wmf"/><Relationship Id="rId11305" Type="http://schemas.openxmlformats.org/officeDocument/2006/relationships/image" Target="media/image5664.wmf"/><Relationship Id="rId2485" Type="http://schemas.openxmlformats.org/officeDocument/2006/relationships/oleObject" Target="embeddings/oleObject1230.bin"/><Relationship Id="rId3883" Type="http://schemas.openxmlformats.org/officeDocument/2006/relationships/oleObject" Target="embeddings/oleObject1932.bin"/><Relationship Id="rId4934" Type="http://schemas.openxmlformats.org/officeDocument/2006/relationships/image" Target="media/image2477.png"/><Relationship Id="rId9098" Type="http://schemas.openxmlformats.org/officeDocument/2006/relationships/oleObject" Target="embeddings/oleObject4529.bin"/><Relationship Id="rId13477" Type="http://schemas.openxmlformats.org/officeDocument/2006/relationships/oleObject" Target="embeddings/oleObject6684.bin"/><Relationship Id="rId14528" Type="http://schemas.openxmlformats.org/officeDocument/2006/relationships/oleObject" Target="embeddings/oleObject7204.bin"/><Relationship Id="rId457" Type="http://schemas.openxmlformats.org/officeDocument/2006/relationships/image" Target="media/image228.wmf"/><Relationship Id="rId1087" Type="http://schemas.openxmlformats.org/officeDocument/2006/relationships/image" Target="media/image549.wmf"/><Relationship Id="rId2138" Type="http://schemas.openxmlformats.org/officeDocument/2006/relationships/image" Target="media/image1075.wmf"/><Relationship Id="rId3536" Type="http://schemas.openxmlformats.org/officeDocument/2006/relationships/image" Target="media/image1779.wmf"/><Relationship Id="rId12079" Type="http://schemas.openxmlformats.org/officeDocument/2006/relationships/oleObject" Target="embeddings/oleObject5991.bin"/><Relationship Id="rId6759" Type="http://schemas.openxmlformats.org/officeDocument/2006/relationships/image" Target="media/image3389.wmf"/><Relationship Id="rId12560" Type="http://schemas.openxmlformats.org/officeDocument/2006/relationships/oleObject" Target="embeddings/oleObject6229.bin"/><Relationship Id="rId13611" Type="http://schemas.openxmlformats.org/officeDocument/2006/relationships/oleObject" Target="embeddings/oleObject6751.bin"/><Relationship Id="rId8181" Type="http://schemas.openxmlformats.org/officeDocument/2006/relationships/oleObject" Target="embeddings/oleObject4075.bin"/><Relationship Id="rId9232" Type="http://schemas.openxmlformats.org/officeDocument/2006/relationships/image" Target="media/image4625.wmf"/><Relationship Id="rId11162" Type="http://schemas.openxmlformats.org/officeDocument/2006/relationships/oleObject" Target="embeddings/oleObject5534.bin"/><Relationship Id="rId12213" Type="http://schemas.openxmlformats.org/officeDocument/2006/relationships/oleObject" Target="embeddings/oleObject6058.bin"/><Relationship Id="rId1221" Type="http://schemas.openxmlformats.org/officeDocument/2006/relationships/oleObject" Target="embeddings/oleObject601.bin"/><Relationship Id="rId4791" Type="http://schemas.openxmlformats.org/officeDocument/2006/relationships/oleObject" Target="embeddings/oleObject2387.bin"/><Relationship Id="rId5842" Type="http://schemas.openxmlformats.org/officeDocument/2006/relationships/oleObject" Target="embeddings/oleObject2910.bin"/><Relationship Id="rId14385" Type="http://schemas.openxmlformats.org/officeDocument/2006/relationships/image" Target="media/image7207.wmf"/><Relationship Id="rId3393" Type="http://schemas.openxmlformats.org/officeDocument/2006/relationships/oleObject" Target="embeddings/oleObject1686.bin"/><Relationship Id="rId4444" Type="http://schemas.openxmlformats.org/officeDocument/2006/relationships/image" Target="media/image2232.wmf"/><Relationship Id="rId14038" Type="http://schemas.openxmlformats.org/officeDocument/2006/relationships/oleObject" Target="embeddings/oleObject6965.bin"/><Relationship Id="rId3046" Type="http://schemas.openxmlformats.org/officeDocument/2006/relationships/oleObject" Target="embeddings/oleObject1511.bin"/><Relationship Id="rId10995" Type="http://schemas.openxmlformats.org/officeDocument/2006/relationships/oleObject" Target="embeddings/oleObject5453.bin"/><Relationship Id="rId6269" Type="http://schemas.openxmlformats.org/officeDocument/2006/relationships/image" Target="media/image3145.wmf"/><Relationship Id="rId7667" Type="http://schemas.openxmlformats.org/officeDocument/2006/relationships/oleObject" Target="embeddings/oleObject3818.bin"/><Relationship Id="rId8718" Type="http://schemas.openxmlformats.org/officeDocument/2006/relationships/oleObject" Target="embeddings/oleObject4342.bin"/><Relationship Id="rId10648" Type="http://schemas.openxmlformats.org/officeDocument/2006/relationships/image" Target="media/image5333.wmf"/><Relationship Id="rId12070" Type="http://schemas.openxmlformats.org/officeDocument/2006/relationships/image" Target="media/image6048.wmf"/><Relationship Id="rId13121" Type="http://schemas.openxmlformats.org/officeDocument/2006/relationships/image" Target="media/image6575.wmf"/><Relationship Id="rId2879" Type="http://schemas.openxmlformats.org/officeDocument/2006/relationships/image" Target="media/image1449.wmf"/><Relationship Id="rId6750" Type="http://schemas.openxmlformats.org/officeDocument/2006/relationships/oleObject" Target="embeddings/oleObject3362.bin"/><Relationship Id="rId7801" Type="http://schemas.openxmlformats.org/officeDocument/2006/relationships/oleObject" Target="embeddings/oleObject3885.bin"/><Relationship Id="rId101" Type="http://schemas.openxmlformats.org/officeDocument/2006/relationships/image" Target="media/image48.wmf"/><Relationship Id="rId5352" Type="http://schemas.openxmlformats.org/officeDocument/2006/relationships/oleObject" Target="embeddings/oleObject2665.bin"/><Relationship Id="rId6403" Type="http://schemas.openxmlformats.org/officeDocument/2006/relationships/image" Target="media/image3211.wmf"/><Relationship Id="rId9973" Type="http://schemas.openxmlformats.org/officeDocument/2006/relationships/image" Target="media/image4995.wmf"/><Relationship Id="rId5005" Type="http://schemas.openxmlformats.org/officeDocument/2006/relationships/oleObject" Target="embeddings/oleObject2492.bin"/><Relationship Id="rId8575" Type="http://schemas.openxmlformats.org/officeDocument/2006/relationships/oleObject" Target="embeddings/oleObject4272.bin"/><Relationship Id="rId9626" Type="http://schemas.openxmlformats.org/officeDocument/2006/relationships/image" Target="media/image4822.wmf"/><Relationship Id="rId12954" Type="http://schemas.openxmlformats.org/officeDocument/2006/relationships/oleObject" Target="embeddings/oleObject6426.bin"/><Relationship Id="rId1962" Type="http://schemas.openxmlformats.org/officeDocument/2006/relationships/image" Target="media/image987.wmf"/><Relationship Id="rId7177" Type="http://schemas.openxmlformats.org/officeDocument/2006/relationships/oleObject" Target="embeddings/oleObject3573.bin"/><Relationship Id="rId8228" Type="http://schemas.openxmlformats.org/officeDocument/2006/relationships/image" Target="media/image4123.wmf"/><Relationship Id="rId11556" Type="http://schemas.openxmlformats.org/officeDocument/2006/relationships/oleObject" Target="embeddings/oleObject5731.bin"/><Relationship Id="rId12607" Type="http://schemas.openxmlformats.org/officeDocument/2006/relationships/image" Target="media/image6318.wmf"/><Relationship Id="rId1615" Type="http://schemas.openxmlformats.org/officeDocument/2006/relationships/oleObject" Target="embeddings/oleObject795.bin"/><Relationship Id="rId10158" Type="http://schemas.openxmlformats.org/officeDocument/2006/relationships/oleObject" Target="embeddings/oleObject5048.bin"/><Relationship Id="rId11209" Type="http://schemas.openxmlformats.org/officeDocument/2006/relationships/image" Target="media/image5616.wmf"/><Relationship Id="rId3787" Type="http://schemas.openxmlformats.org/officeDocument/2006/relationships/oleObject" Target="embeddings/oleObject1884.bin"/><Relationship Id="rId4838" Type="http://schemas.openxmlformats.org/officeDocument/2006/relationships/image" Target="media/image2429.wmf"/><Relationship Id="rId2389" Type="http://schemas.openxmlformats.org/officeDocument/2006/relationships/image" Target="media/image1203.wmf"/><Relationship Id="rId6260" Type="http://schemas.openxmlformats.org/officeDocument/2006/relationships/oleObject" Target="embeddings/oleObject3119.bin"/><Relationship Id="rId7311" Type="http://schemas.openxmlformats.org/officeDocument/2006/relationships/oleObject" Target="embeddings/oleObject3640.bin"/><Relationship Id="rId2870" Type="http://schemas.openxmlformats.org/officeDocument/2006/relationships/oleObject" Target="embeddings/oleObject1423.bin"/><Relationship Id="rId3921" Type="http://schemas.openxmlformats.org/officeDocument/2006/relationships/oleObject" Target="embeddings/oleObject1951.bin"/><Relationship Id="rId9483" Type="http://schemas.openxmlformats.org/officeDocument/2006/relationships/oleObject" Target="embeddings/oleObject4720.bin"/><Relationship Id="rId12464" Type="http://schemas.openxmlformats.org/officeDocument/2006/relationships/oleObject" Target="embeddings/oleObject6181.bin"/><Relationship Id="rId13515" Type="http://schemas.openxmlformats.org/officeDocument/2006/relationships/oleObject" Target="embeddings/oleObject6703.bin"/><Relationship Id="rId13862" Type="http://schemas.openxmlformats.org/officeDocument/2006/relationships/oleObject" Target="embeddings/oleObject6877.bin"/><Relationship Id="rId842" Type="http://schemas.openxmlformats.org/officeDocument/2006/relationships/image" Target="media/image426.wmf"/><Relationship Id="rId1472" Type="http://schemas.openxmlformats.org/officeDocument/2006/relationships/image" Target="media/image741.wmf"/><Relationship Id="rId2523" Type="http://schemas.openxmlformats.org/officeDocument/2006/relationships/oleObject" Target="embeddings/oleObject1249.bin"/><Relationship Id="rId8085" Type="http://schemas.openxmlformats.org/officeDocument/2006/relationships/oleObject" Target="embeddings/oleObject4027.bin"/><Relationship Id="rId9136" Type="http://schemas.openxmlformats.org/officeDocument/2006/relationships/oleObject" Target="embeddings/oleObject4548.bin"/><Relationship Id="rId11066" Type="http://schemas.openxmlformats.org/officeDocument/2006/relationships/oleObject" Target="embeddings/oleObject5486.bin"/><Relationship Id="rId12117" Type="http://schemas.openxmlformats.org/officeDocument/2006/relationships/oleObject" Target="embeddings/oleObject6010.bin"/><Relationship Id="rId1125" Type="http://schemas.openxmlformats.org/officeDocument/2006/relationships/image" Target="media/image568.wmf"/><Relationship Id="rId4695" Type="http://schemas.openxmlformats.org/officeDocument/2006/relationships/oleObject" Target="embeddings/oleObject2339.bin"/><Relationship Id="rId14289" Type="http://schemas.openxmlformats.org/officeDocument/2006/relationships/image" Target="media/image7159.wmf"/><Relationship Id="rId3297" Type="http://schemas.openxmlformats.org/officeDocument/2006/relationships/oleObject" Target="embeddings/oleObject1637.bin"/><Relationship Id="rId4348" Type="http://schemas.openxmlformats.org/officeDocument/2006/relationships/image" Target="media/image2184.wmf"/><Relationship Id="rId5746" Type="http://schemas.openxmlformats.org/officeDocument/2006/relationships/oleObject" Target="embeddings/oleObject2862.bin"/><Relationship Id="rId8969" Type="http://schemas.openxmlformats.org/officeDocument/2006/relationships/image" Target="media/image4494.wmf"/><Relationship Id="rId10899" Type="http://schemas.openxmlformats.org/officeDocument/2006/relationships/oleObject" Target="embeddings/oleObject5412.bin"/><Relationship Id="rId11200" Type="http://schemas.openxmlformats.org/officeDocument/2006/relationships/oleObject" Target="embeddings/oleObject5553.bin"/><Relationship Id="rId13372" Type="http://schemas.openxmlformats.org/officeDocument/2006/relationships/image" Target="media/image6701.wmf"/><Relationship Id="rId14423" Type="http://schemas.openxmlformats.org/officeDocument/2006/relationships/image" Target="media/image7226.png"/><Relationship Id="rId2380" Type="http://schemas.openxmlformats.org/officeDocument/2006/relationships/oleObject" Target="embeddings/oleObject1179.bin"/><Relationship Id="rId3431" Type="http://schemas.openxmlformats.org/officeDocument/2006/relationships/oleObject" Target="embeddings/oleObject1706.bin"/><Relationship Id="rId13025" Type="http://schemas.openxmlformats.org/officeDocument/2006/relationships/image" Target="media/image6527.wmf"/><Relationship Id="rId352" Type="http://schemas.openxmlformats.org/officeDocument/2006/relationships/image" Target="media/image175.wmf"/><Relationship Id="rId2033" Type="http://schemas.openxmlformats.org/officeDocument/2006/relationships/oleObject" Target="embeddings/oleObject1004.bin"/><Relationship Id="rId6654" Type="http://schemas.openxmlformats.org/officeDocument/2006/relationships/oleObject" Target="embeddings/oleObject3314.bin"/><Relationship Id="rId7705" Type="http://schemas.openxmlformats.org/officeDocument/2006/relationships/oleObject" Target="embeddings/oleObject3837.bin"/><Relationship Id="rId5256" Type="http://schemas.openxmlformats.org/officeDocument/2006/relationships/oleObject" Target="embeddings/oleObject2617.bin"/><Relationship Id="rId6307" Type="http://schemas.openxmlformats.org/officeDocument/2006/relationships/image" Target="media/image3164.wmf"/><Relationship Id="rId8479" Type="http://schemas.openxmlformats.org/officeDocument/2006/relationships/oleObject" Target="embeddings/oleObject4224.bin"/><Relationship Id="rId9877" Type="http://schemas.openxmlformats.org/officeDocument/2006/relationships/image" Target="media/image4947.wmf"/><Relationship Id="rId12858" Type="http://schemas.openxmlformats.org/officeDocument/2006/relationships/oleObject" Target="embeddings/oleObject6378.bin"/><Relationship Id="rId13909" Type="http://schemas.openxmlformats.org/officeDocument/2006/relationships/image" Target="media/image6969.wmf"/><Relationship Id="rId1866" Type="http://schemas.openxmlformats.org/officeDocument/2006/relationships/image" Target="media/image939.wmf"/><Relationship Id="rId2917" Type="http://schemas.openxmlformats.org/officeDocument/2006/relationships/image" Target="media/image1468.wmf"/><Relationship Id="rId14280" Type="http://schemas.openxmlformats.org/officeDocument/2006/relationships/oleObject" Target="embeddings/oleObject7086.bin"/><Relationship Id="rId1519" Type="http://schemas.openxmlformats.org/officeDocument/2006/relationships/oleObject" Target="embeddings/oleObject746.bin"/><Relationship Id="rId8960" Type="http://schemas.openxmlformats.org/officeDocument/2006/relationships/oleObject" Target="embeddings/oleObject4460.bin"/><Relationship Id="rId10890" Type="http://schemas.openxmlformats.org/officeDocument/2006/relationships/image" Target="media/image5454.wmf"/><Relationship Id="rId7562" Type="http://schemas.openxmlformats.org/officeDocument/2006/relationships/image" Target="media/image3790.wmf"/><Relationship Id="rId8613" Type="http://schemas.openxmlformats.org/officeDocument/2006/relationships/oleObject" Target="embeddings/oleObject4291.bin"/><Relationship Id="rId10543" Type="http://schemas.openxmlformats.org/officeDocument/2006/relationships/oleObject" Target="embeddings/oleObject5236.bin"/><Relationship Id="rId11941" Type="http://schemas.openxmlformats.org/officeDocument/2006/relationships/oleObject" Target="embeddings/oleObject5922.bin"/><Relationship Id="rId6164" Type="http://schemas.openxmlformats.org/officeDocument/2006/relationships/oleObject" Target="embeddings/oleObject3071.bin"/><Relationship Id="rId7215" Type="http://schemas.openxmlformats.org/officeDocument/2006/relationships/oleObject" Target="embeddings/oleObject3592.bin"/><Relationship Id="rId2774" Type="http://schemas.openxmlformats.org/officeDocument/2006/relationships/image" Target="media/image1397.wmf"/><Relationship Id="rId9387" Type="http://schemas.openxmlformats.org/officeDocument/2006/relationships/oleObject" Target="embeddings/oleObject4674.bin"/><Relationship Id="rId13766" Type="http://schemas.openxmlformats.org/officeDocument/2006/relationships/oleObject" Target="embeddings/oleObject6829.bin"/><Relationship Id="rId746" Type="http://schemas.openxmlformats.org/officeDocument/2006/relationships/image" Target="media/image375.wmf"/><Relationship Id="rId1376" Type="http://schemas.openxmlformats.org/officeDocument/2006/relationships/image" Target="media/image693.png"/><Relationship Id="rId2427" Type="http://schemas.openxmlformats.org/officeDocument/2006/relationships/image" Target="media/image1222.emf"/><Relationship Id="rId3825" Type="http://schemas.openxmlformats.org/officeDocument/2006/relationships/oleObject" Target="embeddings/oleObject1903.bin"/><Relationship Id="rId12368" Type="http://schemas.openxmlformats.org/officeDocument/2006/relationships/oleObject" Target="embeddings/oleObject6133.bin"/><Relationship Id="rId13419" Type="http://schemas.openxmlformats.org/officeDocument/2006/relationships/oleObject" Target="embeddings/oleObject6655.bin"/><Relationship Id="rId1029" Type="http://schemas.openxmlformats.org/officeDocument/2006/relationships/image" Target="media/image520.wmf"/><Relationship Id="rId5997" Type="http://schemas.openxmlformats.org/officeDocument/2006/relationships/image" Target="media/image3009.wmf"/><Relationship Id="rId13900" Type="http://schemas.openxmlformats.org/officeDocument/2006/relationships/oleObject" Target="embeddings/oleObject6896.bin"/><Relationship Id="rId82" Type="http://schemas.openxmlformats.org/officeDocument/2006/relationships/oleObject" Target="embeddings/oleObject37.bin"/><Relationship Id="rId4599" Type="http://schemas.openxmlformats.org/officeDocument/2006/relationships/oleObject" Target="embeddings/oleObject2291.bin"/><Relationship Id="rId7072" Type="http://schemas.openxmlformats.org/officeDocument/2006/relationships/oleObject" Target="embeddings/oleObject3521.bin"/><Relationship Id="rId8470" Type="http://schemas.openxmlformats.org/officeDocument/2006/relationships/image" Target="media/image4244.wmf"/><Relationship Id="rId9521" Type="http://schemas.openxmlformats.org/officeDocument/2006/relationships/oleObject" Target="embeddings/oleObject4739.bin"/><Relationship Id="rId11451" Type="http://schemas.openxmlformats.org/officeDocument/2006/relationships/image" Target="media/image5737.wmf"/><Relationship Id="rId12502" Type="http://schemas.openxmlformats.org/officeDocument/2006/relationships/oleObject" Target="embeddings/oleObject6200.bin"/><Relationship Id="rId1510" Type="http://schemas.openxmlformats.org/officeDocument/2006/relationships/image" Target="media/image760.wmf"/><Relationship Id="rId8123" Type="http://schemas.openxmlformats.org/officeDocument/2006/relationships/oleObject" Target="embeddings/oleObject4046.bin"/><Relationship Id="rId10053" Type="http://schemas.openxmlformats.org/officeDocument/2006/relationships/image" Target="media/image5035.wmf"/><Relationship Id="rId11104" Type="http://schemas.openxmlformats.org/officeDocument/2006/relationships/oleObject" Target="embeddings/oleObject5505.bin"/><Relationship Id="rId3682" Type="http://schemas.openxmlformats.org/officeDocument/2006/relationships/image" Target="media/image1852.wmf"/><Relationship Id="rId4733" Type="http://schemas.openxmlformats.org/officeDocument/2006/relationships/oleObject" Target="embeddings/oleObject2358.bin"/><Relationship Id="rId13276" Type="http://schemas.openxmlformats.org/officeDocument/2006/relationships/oleObject" Target="embeddings/oleObject6585.bin"/><Relationship Id="rId14327" Type="http://schemas.openxmlformats.org/officeDocument/2006/relationships/image" Target="media/image7178.wmf"/><Relationship Id="rId2284" Type="http://schemas.openxmlformats.org/officeDocument/2006/relationships/oleObject" Target="embeddings/oleObject1129.bin"/><Relationship Id="rId3335" Type="http://schemas.openxmlformats.org/officeDocument/2006/relationships/oleObject" Target="embeddings/oleObject1656.bin"/><Relationship Id="rId256" Type="http://schemas.openxmlformats.org/officeDocument/2006/relationships/image" Target="media/image127.wmf"/><Relationship Id="rId6558" Type="http://schemas.openxmlformats.org/officeDocument/2006/relationships/oleObject" Target="embeddings/oleObject3266.bin"/><Relationship Id="rId7956" Type="http://schemas.openxmlformats.org/officeDocument/2006/relationships/image" Target="media/image3987.wmf"/><Relationship Id="rId10937" Type="http://schemas.openxmlformats.org/officeDocument/2006/relationships/oleObject" Target="embeddings/oleObject5431.bin"/><Relationship Id="rId7609" Type="http://schemas.openxmlformats.org/officeDocument/2006/relationships/oleObject" Target="embeddings/oleObject3789.bin"/><Relationship Id="rId9031" Type="http://schemas.openxmlformats.org/officeDocument/2006/relationships/image" Target="media/image4525.wmf"/><Relationship Id="rId13410" Type="http://schemas.openxmlformats.org/officeDocument/2006/relationships/image" Target="media/image6720.wmf"/><Relationship Id="rId12012" Type="http://schemas.openxmlformats.org/officeDocument/2006/relationships/image" Target="media/image6019.wmf"/><Relationship Id="rId1020" Type="http://schemas.openxmlformats.org/officeDocument/2006/relationships/oleObject" Target="embeddings/oleObject501.bin"/><Relationship Id="rId4590" Type="http://schemas.openxmlformats.org/officeDocument/2006/relationships/image" Target="media/image2305.wmf"/><Relationship Id="rId5641" Type="http://schemas.openxmlformats.org/officeDocument/2006/relationships/image" Target="media/image2831.wmf"/><Relationship Id="rId14184" Type="http://schemas.openxmlformats.org/officeDocument/2006/relationships/oleObject" Target="embeddings/oleObject7038.bin"/><Relationship Id="rId3192" Type="http://schemas.openxmlformats.org/officeDocument/2006/relationships/oleObject" Target="embeddings/oleObject1584.bin"/><Relationship Id="rId4243" Type="http://schemas.openxmlformats.org/officeDocument/2006/relationships/image" Target="media/image2132.wmf"/><Relationship Id="rId8864" Type="http://schemas.openxmlformats.org/officeDocument/2006/relationships/oleObject" Target="embeddings/oleObject4412.bin"/><Relationship Id="rId9915" Type="http://schemas.openxmlformats.org/officeDocument/2006/relationships/image" Target="media/image4966.wmf"/><Relationship Id="rId7466" Type="http://schemas.openxmlformats.org/officeDocument/2006/relationships/image" Target="media/image3742.wmf"/><Relationship Id="rId8517" Type="http://schemas.openxmlformats.org/officeDocument/2006/relationships/oleObject" Target="embeddings/oleObject4243.bin"/><Relationship Id="rId10794" Type="http://schemas.openxmlformats.org/officeDocument/2006/relationships/image" Target="media/image5406.wmf"/><Relationship Id="rId11845" Type="http://schemas.openxmlformats.org/officeDocument/2006/relationships/oleObject" Target="embeddings/oleObject5874.bin"/><Relationship Id="rId1904" Type="http://schemas.openxmlformats.org/officeDocument/2006/relationships/image" Target="media/image958.wmf"/><Relationship Id="rId6068" Type="http://schemas.openxmlformats.org/officeDocument/2006/relationships/oleObject" Target="embeddings/oleObject3023.bin"/><Relationship Id="rId7119" Type="http://schemas.openxmlformats.org/officeDocument/2006/relationships/image" Target="media/image3569.wmf"/><Relationship Id="rId10447" Type="http://schemas.openxmlformats.org/officeDocument/2006/relationships/oleObject" Target="embeddings/oleObject5190.bin"/><Relationship Id="rId997" Type="http://schemas.openxmlformats.org/officeDocument/2006/relationships/image" Target="media/image504.wmf"/><Relationship Id="rId2678" Type="http://schemas.openxmlformats.org/officeDocument/2006/relationships/image" Target="media/image1349.wmf"/><Relationship Id="rId3729" Type="http://schemas.openxmlformats.org/officeDocument/2006/relationships/oleObject" Target="embeddings/oleObject1855.bin"/><Relationship Id="rId5151" Type="http://schemas.openxmlformats.org/officeDocument/2006/relationships/oleObject" Target="embeddings/oleObject2565.bin"/><Relationship Id="rId7600" Type="http://schemas.openxmlformats.org/officeDocument/2006/relationships/image" Target="media/image3809.wmf"/><Relationship Id="rId6202" Type="http://schemas.openxmlformats.org/officeDocument/2006/relationships/oleObject" Target="embeddings/oleObject3090.bin"/><Relationship Id="rId9772" Type="http://schemas.openxmlformats.org/officeDocument/2006/relationships/image" Target="media/image4895.wmf"/><Relationship Id="rId12753" Type="http://schemas.openxmlformats.org/officeDocument/2006/relationships/image" Target="media/image6391.wmf"/><Relationship Id="rId13804" Type="http://schemas.openxmlformats.org/officeDocument/2006/relationships/oleObject" Target="embeddings/oleObject6848.bin"/><Relationship Id="rId1761" Type="http://schemas.openxmlformats.org/officeDocument/2006/relationships/oleObject" Target="embeddings/oleObject868.bin"/><Relationship Id="rId2812" Type="http://schemas.openxmlformats.org/officeDocument/2006/relationships/image" Target="media/image1416.wmf"/><Relationship Id="rId8374" Type="http://schemas.openxmlformats.org/officeDocument/2006/relationships/image" Target="media/image4196.wmf"/><Relationship Id="rId9425" Type="http://schemas.openxmlformats.org/officeDocument/2006/relationships/oleObject" Target="embeddings/oleObject4693.bin"/><Relationship Id="rId11355" Type="http://schemas.openxmlformats.org/officeDocument/2006/relationships/image" Target="media/image5689.wmf"/><Relationship Id="rId12406" Type="http://schemas.openxmlformats.org/officeDocument/2006/relationships/oleObject" Target="embeddings/oleObject6152.bin"/><Relationship Id="rId1414" Type="http://schemas.openxmlformats.org/officeDocument/2006/relationships/image" Target="media/image712.wmf"/><Relationship Id="rId4984" Type="http://schemas.openxmlformats.org/officeDocument/2006/relationships/image" Target="media/image2502.wmf"/><Relationship Id="rId8027" Type="http://schemas.openxmlformats.org/officeDocument/2006/relationships/oleObject" Target="embeddings/oleObject3998.bin"/><Relationship Id="rId11008" Type="http://schemas.openxmlformats.org/officeDocument/2006/relationships/image" Target="media/image5514.wmf"/><Relationship Id="rId14578" Type="http://schemas.openxmlformats.org/officeDocument/2006/relationships/oleObject" Target="embeddings/oleObject7229.bin"/><Relationship Id="rId3586" Type="http://schemas.openxmlformats.org/officeDocument/2006/relationships/image" Target="media/image1804.wmf"/><Relationship Id="rId4637" Type="http://schemas.openxmlformats.org/officeDocument/2006/relationships/oleObject" Target="embeddings/oleObject2310.bin"/><Relationship Id="rId2188" Type="http://schemas.openxmlformats.org/officeDocument/2006/relationships/image" Target="media/image1100.wmf"/><Relationship Id="rId3239" Type="http://schemas.openxmlformats.org/officeDocument/2006/relationships/image" Target="media/image1629.wmf"/><Relationship Id="rId7110" Type="http://schemas.openxmlformats.org/officeDocument/2006/relationships/oleObject" Target="embeddings/oleObject3540.bin"/><Relationship Id="rId9282" Type="http://schemas.openxmlformats.org/officeDocument/2006/relationships/image" Target="media/image4650.wmf"/><Relationship Id="rId13661" Type="http://schemas.openxmlformats.org/officeDocument/2006/relationships/oleObject" Target="embeddings/oleObject6776.bin"/><Relationship Id="rId3720" Type="http://schemas.openxmlformats.org/officeDocument/2006/relationships/image" Target="media/image1871.wmf"/><Relationship Id="rId12263" Type="http://schemas.openxmlformats.org/officeDocument/2006/relationships/oleObject" Target="embeddings/oleObject6083.bin"/><Relationship Id="rId13314" Type="http://schemas.openxmlformats.org/officeDocument/2006/relationships/oleObject" Target="embeddings/oleObject6604.bin"/><Relationship Id="rId641" Type="http://schemas.openxmlformats.org/officeDocument/2006/relationships/oleObject" Target="embeddings/oleObject310.bin"/><Relationship Id="rId1271" Type="http://schemas.openxmlformats.org/officeDocument/2006/relationships/oleObject" Target="embeddings/oleObject625.bin"/><Relationship Id="rId2322" Type="http://schemas.openxmlformats.org/officeDocument/2006/relationships/oleObject" Target="embeddings/oleObject1150.bin"/><Relationship Id="rId5892" Type="http://schemas.openxmlformats.org/officeDocument/2006/relationships/oleObject" Target="embeddings/oleObject2935.bin"/><Relationship Id="rId6943" Type="http://schemas.openxmlformats.org/officeDocument/2006/relationships/image" Target="media/image3481.wmf"/><Relationship Id="rId4494" Type="http://schemas.openxmlformats.org/officeDocument/2006/relationships/image" Target="media/image2257.wmf"/><Relationship Id="rId5545" Type="http://schemas.openxmlformats.org/officeDocument/2006/relationships/image" Target="media/image2783.wmf"/><Relationship Id="rId14088" Type="http://schemas.openxmlformats.org/officeDocument/2006/relationships/oleObject" Target="embeddings/oleObject6990.bin"/><Relationship Id="rId3096" Type="http://schemas.openxmlformats.org/officeDocument/2006/relationships/oleObject" Target="embeddings/oleObject1536.bin"/><Relationship Id="rId4147" Type="http://schemas.openxmlformats.org/officeDocument/2006/relationships/image" Target="media/image2084.wmf"/><Relationship Id="rId8768" Type="http://schemas.openxmlformats.org/officeDocument/2006/relationships/oleObject" Target="embeddings/oleObject4367.bin"/><Relationship Id="rId9819" Type="http://schemas.openxmlformats.org/officeDocument/2006/relationships/oleObject" Target="embeddings/oleObject4881.bin"/><Relationship Id="rId10698" Type="http://schemas.openxmlformats.org/officeDocument/2006/relationships/image" Target="media/image5358.wmf"/><Relationship Id="rId11749" Type="http://schemas.openxmlformats.org/officeDocument/2006/relationships/oleObject" Target="embeddings/oleObject5826.bin"/><Relationship Id="rId1808" Type="http://schemas.openxmlformats.org/officeDocument/2006/relationships/image" Target="media/image910.wmf"/><Relationship Id="rId13171" Type="http://schemas.openxmlformats.org/officeDocument/2006/relationships/image" Target="media/image6600.wmf"/><Relationship Id="rId14222" Type="http://schemas.openxmlformats.org/officeDocument/2006/relationships/oleObject" Target="embeddings/oleObject7057.bin"/><Relationship Id="rId151" Type="http://schemas.openxmlformats.org/officeDocument/2006/relationships/oleObject" Target="embeddings/oleObject70.bin"/><Relationship Id="rId3230" Type="http://schemas.openxmlformats.org/officeDocument/2006/relationships/oleObject" Target="embeddings/oleObject1603.bin"/><Relationship Id="rId7851" Type="http://schemas.openxmlformats.org/officeDocument/2006/relationships/oleObject" Target="embeddings/oleObject3910.bin"/><Relationship Id="rId8902" Type="http://schemas.openxmlformats.org/officeDocument/2006/relationships/oleObject" Target="embeddings/oleObject4431.bin"/><Relationship Id="rId10832" Type="http://schemas.openxmlformats.org/officeDocument/2006/relationships/image" Target="media/image5425.wmf"/><Relationship Id="rId6453" Type="http://schemas.openxmlformats.org/officeDocument/2006/relationships/image" Target="media/image3236.wmf"/><Relationship Id="rId7504" Type="http://schemas.openxmlformats.org/officeDocument/2006/relationships/image" Target="media/image3761.wmf"/><Relationship Id="rId5055" Type="http://schemas.openxmlformats.org/officeDocument/2006/relationships/oleObject" Target="embeddings/oleObject2517.bin"/><Relationship Id="rId6106" Type="http://schemas.openxmlformats.org/officeDocument/2006/relationships/oleObject" Target="embeddings/oleObject3042.bin"/><Relationship Id="rId9676" Type="http://schemas.openxmlformats.org/officeDocument/2006/relationships/image" Target="media/image4847.wmf"/><Relationship Id="rId1665" Type="http://schemas.openxmlformats.org/officeDocument/2006/relationships/oleObject" Target="embeddings/oleObject820.bin"/><Relationship Id="rId2716" Type="http://schemas.openxmlformats.org/officeDocument/2006/relationships/image" Target="media/image1368.wmf"/><Relationship Id="rId8278" Type="http://schemas.openxmlformats.org/officeDocument/2006/relationships/image" Target="media/image4148.wmf"/><Relationship Id="rId9329" Type="http://schemas.openxmlformats.org/officeDocument/2006/relationships/oleObject" Target="embeddings/oleObject4645.bin"/><Relationship Id="rId11259" Type="http://schemas.openxmlformats.org/officeDocument/2006/relationships/image" Target="media/image5641.wmf"/><Relationship Id="rId12657" Type="http://schemas.openxmlformats.org/officeDocument/2006/relationships/image" Target="media/image6343.wmf"/><Relationship Id="rId13708" Type="http://schemas.openxmlformats.org/officeDocument/2006/relationships/oleObject" Target="embeddings/oleObject6800.bin"/><Relationship Id="rId1318" Type="http://schemas.openxmlformats.org/officeDocument/2006/relationships/image" Target="media/image664.wmf"/><Relationship Id="rId4888" Type="http://schemas.openxmlformats.org/officeDocument/2006/relationships/image" Target="media/image2454.wmf"/><Relationship Id="rId5939" Type="http://schemas.openxmlformats.org/officeDocument/2006/relationships/image" Target="media/image2980.wmf"/><Relationship Id="rId7361" Type="http://schemas.openxmlformats.org/officeDocument/2006/relationships/oleObject" Target="embeddings/oleObject3665.bin"/><Relationship Id="rId9810" Type="http://schemas.openxmlformats.org/officeDocument/2006/relationships/image" Target="media/image4914.wmf"/><Relationship Id="rId11740" Type="http://schemas.openxmlformats.org/officeDocument/2006/relationships/image" Target="media/image5883.wmf"/><Relationship Id="rId24" Type="http://schemas.openxmlformats.org/officeDocument/2006/relationships/oleObject" Target="embeddings/oleObject8.bin"/><Relationship Id="rId7014" Type="http://schemas.openxmlformats.org/officeDocument/2006/relationships/oleObject" Target="embeddings/oleObject3492.bin"/><Relationship Id="rId8412" Type="http://schemas.openxmlformats.org/officeDocument/2006/relationships/image" Target="media/image4215.wmf"/><Relationship Id="rId10342" Type="http://schemas.openxmlformats.org/officeDocument/2006/relationships/oleObject" Target="embeddings/oleObject5138.bin"/><Relationship Id="rId3971" Type="http://schemas.openxmlformats.org/officeDocument/2006/relationships/image" Target="media/image1996.wmf"/><Relationship Id="rId13565" Type="http://schemas.openxmlformats.org/officeDocument/2006/relationships/oleObject" Target="embeddings/oleObject6728.bin"/><Relationship Id="rId892" Type="http://schemas.openxmlformats.org/officeDocument/2006/relationships/image" Target="media/image451.wmf"/><Relationship Id="rId2573" Type="http://schemas.openxmlformats.org/officeDocument/2006/relationships/oleObject" Target="embeddings/oleObject1274.bin"/><Relationship Id="rId3624" Type="http://schemas.openxmlformats.org/officeDocument/2006/relationships/image" Target="media/image1823.wmf"/><Relationship Id="rId9186" Type="http://schemas.openxmlformats.org/officeDocument/2006/relationships/image" Target="media/image4602.wmf"/><Relationship Id="rId12167" Type="http://schemas.openxmlformats.org/officeDocument/2006/relationships/oleObject" Target="embeddings/oleObject6035.bin"/><Relationship Id="rId13218" Type="http://schemas.openxmlformats.org/officeDocument/2006/relationships/oleObject" Target="embeddings/oleObject6556.bin"/><Relationship Id="rId545" Type="http://schemas.openxmlformats.org/officeDocument/2006/relationships/image" Target="media/image273.emf"/><Relationship Id="rId1175" Type="http://schemas.openxmlformats.org/officeDocument/2006/relationships/image" Target="media/image593.wmf"/><Relationship Id="rId2226" Type="http://schemas.openxmlformats.org/officeDocument/2006/relationships/image" Target="media/image1119.wmf"/><Relationship Id="rId5796" Type="http://schemas.openxmlformats.org/officeDocument/2006/relationships/oleObject" Target="embeddings/oleObject2887.bin"/><Relationship Id="rId6847" Type="http://schemas.openxmlformats.org/officeDocument/2006/relationships/image" Target="media/image3433.wmf"/><Relationship Id="rId4398" Type="http://schemas.openxmlformats.org/officeDocument/2006/relationships/image" Target="media/image2209.wmf"/><Relationship Id="rId5449" Type="http://schemas.openxmlformats.org/officeDocument/2006/relationships/image" Target="media/image2735.wmf"/><Relationship Id="rId9320" Type="http://schemas.openxmlformats.org/officeDocument/2006/relationships/image" Target="media/image4669.wmf"/><Relationship Id="rId11250" Type="http://schemas.openxmlformats.org/officeDocument/2006/relationships/oleObject" Target="embeddings/oleObject5578.bin"/><Relationship Id="rId12301" Type="http://schemas.openxmlformats.org/officeDocument/2006/relationships/image" Target="media/image6165.wmf"/><Relationship Id="rId5930" Type="http://schemas.openxmlformats.org/officeDocument/2006/relationships/oleObject" Target="embeddings/oleObject2954.bin"/><Relationship Id="rId14473" Type="http://schemas.openxmlformats.org/officeDocument/2006/relationships/image" Target="media/image7251.wmf"/><Relationship Id="rId3481" Type="http://schemas.openxmlformats.org/officeDocument/2006/relationships/oleObject" Target="embeddings/oleObject1731.bin"/><Relationship Id="rId4532" Type="http://schemas.openxmlformats.org/officeDocument/2006/relationships/image" Target="media/image2276.wmf"/><Relationship Id="rId13075" Type="http://schemas.openxmlformats.org/officeDocument/2006/relationships/image" Target="media/image6552.wmf"/><Relationship Id="rId14126" Type="http://schemas.openxmlformats.org/officeDocument/2006/relationships/oleObject" Target="embeddings/oleObject7009.bin"/><Relationship Id="rId2083" Type="http://schemas.openxmlformats.org/officeDocument/2006/relationships/oleObject" Target="embeddings/oleObject1029.bin"/><Relationship Id="rId3134" Type="http://schemas.openxmlformats.org/officeDocument/2006/relationships/oleObject" Target="embeddings/oleObject1555.bin"/><Relationship Id="rId7755" Type="http://schemas.openxmlformats.org/officeDocument/2006/relationships/oleObject" Target="embeddings/oleObject3862.bin"/><Relationship Id="rId8806" Type="http://schemas.openxmlformats.org/officeDocument/2006/relationships/oleObject" Target="embeddings/oleObject4386.bin"/><Relationship Id="rId6357" Type="http://schemas.openxmlformats.org/officeDocument/2006/relationships/image" Target="media/image3188.wmf"/><Relationship Id="rId7408" Type="http://schemas.openxmlformats.org/officeDocument/2006/relationships/image" Target="media/image3713.wmf"/><Relationship Id="rId10736" Type="http://schemas.openxmlformats.org/officeDocument/2006/relationships/image" Target="media/image5377.wmf"/><Relationship Id="rId13959" Type="http://schemas.openxmlformats.org/officeDocument/2006/relationships/image" Target="media/image6994.wmf"/><Relationship Id="rId1569" Type="http://schemas.openxmlformats.org/officeDocument/2006/relationships/oleObject" Target="embeddings/oleObject771.bin"/><Relationship Id="rId2967" Type="http://schemas.openxmlformats.org/officeDocument/2006/relationships/image" Target="media/image1493.wmf"/><Relationship Id="rId5440" Type="http://schemas.openxmlformats.org/officeDocument/2006/relationships/oleObject" Target="embeddings/oleObject2709.bin"/><Relationship Id="rId939" Type="http://schemas.openxmlformats.org/officeDocument/2006/relationships/image" Target="media/image475.wmf"/><Relationship Id="rId4042" Type="http://schemas.openxmlformats.org/officeDocument/2006/relationships/oleObject" Target="embeddings/oleObject2012.bin"/><Relationship Id="rId11991" Type="http://schemas.openxmlformats.org/officeDocument/2006/relationships/oleObject" Target="embeddings/oleObject5947.bin"/><Relationship Id="rId8663" Type="http://schemas.openxmlformats.org/officeDocument/2006/relationships/image" Target="media/image4341.wmf"/><Relationship Id="rId9714" Type="http://schemas.openxmlformats.org/officeDocument/2006/relationships/image" Target="media/image4866.wmf"/><Relationship Id="rId10593" Type="http://schemas.openxmlformats.org/officeDocument/2006/relationships/oleObject" Target="embeddings/oleObject5261.bin"/><Relationship Id="rId11644" Type="http://schemas.openxmlformats.org/officeDocument/2006/relationships/oleObject" Target="embeddings/oleObject5775.bin"/><Relationship Id="rId1703" Type="http://schemas.openxmlformats.org/officeDocument/2006/relationships/oleObject" Target="embeddings/oleObject839.bin"/><Relationship Id="rId7265" Type="http://schemas.openxmlformats.org/officeDocument/2006/relationships/oleObject" Target="embeddings/oleObject3617.bin"/><Relationship Id="rId8316" Type="http://schemas.openxmlformats.org/officeDocument/2006/relationships/image" Target="media/image4167.wmf"/><Relationship Id="rId10246" Type="http://schemas.openxmlformats.org/officeDocument/2006/relationships/oleObject" Target="embeddings/oleObject5090.bin"/><Relationship Id="rId3875" Type="http://schemas.openxmlformats.org/officeDocument/2006/relationships/oleObject" Target="embeddings/oleObject1928.bin"/><Relationship Id="rId4926" Type="http://schemas.openxmlformats.org/officeDocument/2006/relationships/image" Target="media/image2473.wmf"/><Relationship Id="rId13469" Type="http://schemas.openxmlformats.org/officeDocument/2006/relationships/oleObject" Target="embeddings/oleObject6680.bin"/><Relationship Id="rId796" Type="http://schemas.openxmlformats.org/officeDocument/2006/relationships/image" Target="media/image403.wmf"/><Relationship Id="rId2477" Type="http://schemas.openxmlformats.org/officeDocument/2006/relationships/oleObject" Target="embeddings/oleObject1226.bin"/><Relationship Id="rId3528" Type="http://schemas.openxmlformats.org/officeDocument/2006/relationships/image" Target="media/image1775.wmf"/><Relationship Id="rId449" Type="http://schemas.openxmlformats.org/officeDocument/2006/relationships/image" Target="media/image224.wmf"/><Relationship Id="rId1079" Type="http://schemas.openxmlformats.org/officeDocument/2006/relationships/image" Target="media/image545.wmf"/><Relationship Id="rId6001" Type="http://schemas.openxmlformats.org/officeDocument/2006/relationships/image" Target="media/image3011.wmf"/><Relationship Id="rId9571" Type="http://schemas.openxmlformats.org/officeDocument/2006/relationships/oleObject" Target="embeddings/oleObject4764.bin"/><Relationship Id="rId13950" Type="http://schemas.openxmlformats.org/officeDocument/2006/relationships/oleObject" Target="embeddings/oleObject6921.bin"/><Relationship Id="rId8173" Type="http://schemas.openxmlformats.org/officeDocument/2006/relationships/oleObject" Target="embeddings/oleObject4071.bin"/><Relationship Id="rId9224" Type="http://schemas.openxmlformats.org/officeDocument/2006/relationships/image" Target="media/image4621.wmf"/><Relationship Id="rId12552" Type="http://schemas.openxmlformats.org/officeDocument/2006/relationships/oleObject" Target="embeddings/oleObject6225.bin"/><Relationship Id="rId13603" Type="http://schemas.openxmlformats.org/officeDocument/2006/relationships/oleObject" Target="embeddings/oleObject6747.bin"/><Relationship Id="rId930" Type="http://schemas.openxmlformats.org/officeDocument/2006/relationships/oleObject" Target="embeddings/oleObject456.bin"/><Relationship Id="rId1560" Type="http://schemas.openxmlformats.org/officeDocument/2006/relationships/image" Target="media/image785.wmf"/><Relationship Id="rId2611" Type="http://schemas.openxmlformats.org/officeDocument/2006/relationships/oleObject" Target="embeddings/oleObject1293.bin"/><Relationship Id="rId11154" Type="http://schemas.openxmlformats.org/officeDocument/2006/relationships/oleObject" Target="embeddings/oleObject5530.bin"/><Relationship Id="rId12205" Type="http://schemas.openxmlformats.org/officeDocument/2006/relationships/oleObject" Target="embeddings/oleObject6054.bin"/><Relationship Id="rId1213" Type="http://schemas.openxmlformats.org/officeDocument/2006/relationships/oleObject" Target="embeddings/oleObject597.bin"/><Relationship Id="rId4783" Type="http://schemas.openxmlformats.org/officeDocument/2006/relationships/oleObject" Target="embeddings/oleObject2383.bin"/><Relationship Id="rId5834" Type="http://schemas.openxmlformats.org/officeDocument/2006/relationships/oleObject" Target="embeddings/oleObject2906.bin"/><Relationship Id="rId14377" Type="http://schemas.openxmlformats.org/officeDocument/2006/relationships/image" Target="media/image7203.wmf"/><Relationship Id="rId3385" Type="http://schemas.openxmlformats.org/officeDocument/2006/relationships/oleObject" Target="embeddings/oleObject1682.bin"/><Relationship Id="rId4436" Type="http://schemas.openxmlformats.org/officeDocument/2006/relationships/image" Target="media/image2228.wmf"/><Relationship Id="rId3038" Type="http://schemas.openxmlformats.org/officeDocument/2006/relationships/oleObject" Target="embeddings/oleObject1507.bin"/><Relationship Id="rId7659" Type="http://schemas.openxmlformats.org/officeDocument/2006/relationships/oleObject" Target="embeddings/oleObject3814.bin"/><Relationship Id="rId10987" Type="http://schemas.openxmlformats.org/officeDocument/2006/relationships/oleObject" Target="embeddings/oleObject5449.bin"/><Relationship Id="rId9081" Type="http://schemas.openxmlformats.org/officeDocument/2006/relationships/image" Target="media/image4550.wmf"/><Relationship Id="rId12062" Type="http://schemas.openxmlformats.org/officeDocument/2006/relationships/image" Target="media/image6044.wmf"/><Relationship Id="rId13460" Type="http://schemas.openxmlformats.org/officeDocument/2006/relationships/image" Target="media/image6745.wmf"/><Relationship Id="rId14511" Type="http://schemas.openxmlformats.org/officeDocument/2006/relationships/image" Target="media/image7270.wmf"/><Relationship Id="rId440" Type="http://schemas.microsoft.com/office/2007/relationships/hdphoto" Target="media/hdphoto3.wdp"/><Relationship Id="rId1070" Type="http://schemas.openxmlformats.org/officeDocument/2006/relationships/oleObject" Target="embeddings/oleObject526.bin"/><Relationship Id="rId2121" Type="http://schemas.openxmlformats.org/officeDocument/2006/relationships/oleObject" Target="embeddings/oleObject1048.bin"/><Relationship Id="rId13113" Type="http://schemas.openxmlformats.org/officeDocument/2006/relationships/image" Target="media/image6571.wmf"/><Relationship Id="rId5691" Type="http://schemas.openxmlformats.org/officeDocument/2006/relationships/image" Target="media/image2856.wmf"/><Relationship Id="rId6742" Type="http://schemas.openxmlformats.org/officeDocument/2006/relationships/oleObject" Target="embeddings/oleObject3358.bin"/><Relationship Id="rId4293" Type="http://schemas.openxmlformats.org/officeDocument/2006/relationships/image" Target="media/image2157.wmf"/><Relationship Id="rId5344" Type="http://schemas.openxmlformats.org/officeDocument/2006/relationships/oleObject" Target="embeddings/oleObject2661.bin"/><Relationship Id="rId9965" Type="http://schemas.openxmlformats.org/officeDocument/2006/relationships/image" Target="media/image4991.wmf"/><Relationship Id="rId11895" Type="http://schemas.openxmlformats.org/officeDocument/2006/relationships/oleObject" Target="embeddings/oleObject5899.bin"/><Relationship Id="rId1954" Type="http://schemas.openxmlformats.org/officeDocument/2006/relationships/image" Target="media/image983.wmf"/><Relationship Id="rId8567" Type="http://schemas.openxmlformats.org/officeDocument/2006/relationships/oleObject" Target="embeddings/oleObject4268.bin"/><Relationship Id="rId9618" Type="http://schemas.openxmlformats.org/officeDocument/2006/relationships/image" Target="media/image4818.wmf"/><Relationship Id="rId10497" Type="http://schemas.openxmlformats.org/officeDocument/2006/relationships/oleObject" Target="embeddings/oleObject5213.bin"/><Relationship Id="rId11548" Type="http://schemas.openxmlformats.org/officeDocument/2006/relationships/oleObject" Target="embeddings/oleObject5727.bin"/><Relationship Id="rId12946" Type="http://schemas.openxmlformats.org/officeDocument/2006/relationships/oleObject" Target="embeddings/oleObject6422.bin"/><Relationship Id="rId1607" Type="http://schemas.openxmlformats.org/officeDocument/2006/relationships/oleObject" Target="embeddings/oleObject791.bin"/><Relationship Id="rId7169" Type="http://schemas.openxmlformats.org/officeDocument/2006/relationships/oleObject" Target="embeddings/oleObject3569.bin"/><Relationship Id="rId14021" Type="http://schemas.openxmlformats.org/officeDocument/2006/relationships/image" Target="media/image7025.wmf"/><Relationship Id="rId3779" Type="http://schemas.openxmlformats.org/officeDocument/2006/relationships/oleObject" Target="embeddings/oleObject1880.bin"/><Relationship Id="rId7650" Type="http://schemas.openxmlformats.org/officeDocument/2006/relationships/image" Target="media/image3834.wmf"/><Relationship Id="rId6252" Type="http://schemas.openxmlformats.org/officeDocument/2006/relationships/oleObject" Target="embeddings/oleObject3115.bin"/><Relationship Id="rId7303" Type="http://schemas.openxmlformats.org/officeDocument/2006/relationships/oleObject" Target="embeddings/oleObject3636.bin"/><Relationship Id="rId8701" Type="http://schemas.openxmlformats.org/officeDocument/2006/relationships/image" Target="media/image4360.wmf"/><Relationship Id="rId10631" Type="http://schemas.openxmlformats.org/officeDocument/2006/relationships/oleObject" Target="embeddings/oleObject5280.bin"/><Relationship Id="rId13854" Type="http://schemas.openxmlformats.org/officeDocument/2006/relationships/oleObject" Target="embeddings/oleObject6873.bin"/><Relationship Id="rId2862" Type="http://schemas.openxmlformats.org/officeDocument/2006/relationships/oleObject" Target="embeddings/oleObject1419.bin"/><Relationship Id="rId3913" Type="http://schemas.openxmlformats.org/officeDocument/2006/relationships/oleObject" Target="embeddings/oleObject1947.bin"/><Relationship Id="rId8077" Type="http://schemas.openxmlformats.org/officeDocument/2006/relationships/oleObject" Target="embeddings/oleObject4023.bin"/><Relationship Id="rId9475" Type="http://schemas.openxmlformats.org/officeDocument/2006/relationships/oleObject" Target="embeddings/oleObject4716.bin"/><Relationship Id="rId12456" Type="http://schemas.openxmlformats.org/officeDocument/2006/relationships/oleObject" Target="embeddings/oleObject6177.bin"/><Relationship Id="rId13507" Type="http://schemas.openxmlformats.org/officeDocument/2006/relationships/oleObject" Target="embeddings/oleObject6699.bin"/><Relationship Id="rId834" Type="http://schemas.openxmlformats.org/officeDocument/2006/relationships/image" Target="media/image422.wmf"/><Relationship Id="rId1464" Type="http://schemas.openxmlformats.org/officeDocument/2006/relationships/image" Target="media/image737.wmf"/><Relationship Id="rId2515" Type="http://schemas.openxmlformats.org/officeDocument/2006/relationships/oleObject" Target="embeddings/oleObject1245.bin"/><Relationship Id="rId9128" Type="http://schemas.openxmlformats.org/officeDocument/2006/relationships/oleObject" Target="embeddings/oleObject4544.bin"/><Relationship Id="rId11058" Type="http://schemas.openxmlformats.org/officeDocument/2006/relationships/image" Target="media/image5539.wmf"/><Relationship Id="rId12109" Type="http://schemas.openxmlformats.org/officeDocument/2006/relationships/oleObject" Target="embeddings/oleObject6006.bin"/><Relationship Id="rId1117" Type="http://schemas.openxmlformats.org/officeDocument/2006/relationships/image" Target="media/image564.wmf"/><Relationship Id="rId4687" Type="http://schemas.openxmlformats.org/officeDocument/2006/relationships/oleObject" Target="embeddings/oleObject2335.bin"/><Relationship Id="rId5738" Type="http://schemas.openxmlformats.org/officeDocument/2006/relationships/oleObject" Target="embeddings/oleObject2858.bin"/><Relationship Id="rId3289" Type="http://schemas.openxmlformats.org/officeDocument/2006/relationships/oleObject" Target="embeddings/oleObject1633.bin"/><Relationship Id="rId7160" Type="http://schemas.openxmlformats.org/officeDocument/2006/relationships/image" Target="media/image3589.wmf"/><Relationship Id="rId8211" Type="http://schemas.openxmlformats.org/officeDocument/2006/relationships/oleObject" Target="embeddings/oleObject4090.bin"/><Relationship Id="rId10141" Type="http://schemas.openxmlformats.org/officeDocument/2006/relationships/image" Target="media/image5079.wmf"/><Relationship Id="rId3770" Type="http://schemas.openxmlformats.org/officeDocument/2006/relationships/image" Target="media/image1896.wmf"/><Relationship Id="rId4821" Type="http://schemas.openxmlformats.org/officeDocument/2006/relationships/oleObject" Target="embeddings/oleObject2401.bin"/><Relationship Id="rId13364" Type="http://schemas.openxmlformats.org/officeDocument/2006/relationships/image" Target="media/image6697.wmf"/><Relationship Id="rId14415" Type="http://schemas.openxmlformats.org/officeDocument/2006/relationships/image" Target="media/image7222.wmf"/><Relationship Id="rId344" Type="http://schemas.openxmlformats.org/officeDocument/2006/relationships/image" Target="media/image171.wmf"/><Relationship Id="rId691" Type="http://schemas.openxmlformats.org/officeDocument/2006/relationships/oleObject" Target="embeddings/oleObject334.bin"/><Relationship Id="rId2025" Type="http://schemas.openxmlformats.org/officeDocument/2006/relationships/oleObject" Target="embeddings/oleObject1000.bin"/><Relationship Id="rId2372" Type="http://schemas.openxmlformats.org/officeDocument/2006/relationships/oleObject" Target="embeddings/oleObject1175.bin"/><Relationship Id="rId3423" Type="http://schemas.openxmlformats.org/officeDocument/2006/relationships/oleObject" Target="embeddings/oleObject1701.bin"/><Relationship Id="rId6993" Type="http://schemas.openxmlformats.org/officeDocument/2006/relationships/image" Target="media/image3506.wmf"/><Relationship Id="rId13017" Type="http://schemas.openxmlformats.org/officeDocument/2006/relationships/image" Target="media/image6523.wmf"/><Relationship Id="rId5595" Type="http://schemas.openxmlformats.org/officeDocument/2006/relationships/image" Target="media/image2808.wmf"/><Relationship Id="rId6646" Type="http://schemas.openxmlformats.org/officeDocument/2006/relationships/oleObject" Target="embeddings/oleObject3310.bin"/><Relationship Id="rId4197" Type="http://schemas.openxmlformats.org/officeDocument/2006/relationships/image" Target="media/image2109.wmf"/><Relationship Id="rId5248" Type="http://schemas.openxmlformats.org/officeDocument/2006/relationships/oleObject" Target="embeddings/oleObject2613.bin"/><Relationship Id="rId9869" Type="http://schemas.openxmlformats.org/officeDocument/2006/relationships/image" Target="media/image4943.wmf"/><Relationship Id="rId12100" Type="http://schemas.openxmlformats.org/officeDocument/2006/relationships/image" Target="media/image6063.wmf"/><Relationship Id="rId1858" Type="http://schemas.openxmlformats.org/officeDocument/2006/relationships/image" Target="media/image935.wmf"/><Relationship Id="rId11799" Type="http://schemas.openxmlformats.org/officeDocument/2006/relationships/oleObject" Target="embeddings/oleObject5851.bin"/><Relationship Id="rId14272" Type="http://schemas.openxmlformats.org/officeDocument/2006/relationships/oleObject" Target="embeddings/oleObject7082.bin"/><Relationship Id="rId2909" Type="http://schemas.openxmlformats.org/officeDocument/2006/relationships/image" Target="media/image1464.wmf"/><Relationship Id="rId3280" Type="http://schemas.openxmlformats.org/officeDocument/2006/relationships/image" Target="media/image1649.wmf"/><Relationship Id="rId4331" Type="http://schemas.openxmlformats.org/officeDocument/2006/relationships/image" Target="media/image2176.wmf"/><Relationship Id="rId8952" Type="http://schemas.openxmlformats.org/officeDocument/2006/relationships/oleObject" Target="embeddings/oleObject4456.bin"/><Relationship Id="rId10882" Type="http://schemas.openxmlformats.org/officeDocument/2006/relationships/image" Target="media/image5450.wmf"/><Relationship Id="rId11933" Type="http://schemas.openxmlformats.org/officeDocument/2006/relationships/oleObject" Target="embeddings/oleObject5918.bin"/><Relationship Id="rId6156" Type="http://schemas.openxmlformats.org/officeDocument/2006/relationships/oleObject" Target="embeddings/oleObject3067.bin"/><Relationship Id="rId7554" Type="http://schemas.openxmlformats.org/officeDocument/2006/relationships/image" Target="media/image3786.wmf"/><Relationship Id="rId8605" Type="http://schemas.openxmlformats.org/officeDocument/2006/relationships/oleObject" Target="embeddings/oleObject4287.bin"/><Relationship Id="rId10535" Type="http://schemas.openxmlformats.org/officeDocument/2006/relationships/oleObject" Target="embeddings/oleObject5232.bin"/><Relationship Id="rId7207" Type="http://schemas.openxmlformats.org/officeDocument/2006/relationships/oleObject" Target="embeddings/oleObject3588.bin"/><Relationship Id="rId13758" Type="http://schemas.openxmlformats.org/officeDocument/2006/relationships/oleObject" Target="embeddings/oleObject6825.bin"/><Relationship Id="rId2766" Type="http://schemas.openxmlformats.org/officeDocument/2006/relationships/image" Target="media/image1393.wmf"/><Relationship Id="rId3817" Type="http://schemas.openxmlformats.org/officeDocument/2006/relationships/oleObject" Target="embeddings/oleObject1899.bin"/><Relationship Id="rId9379" Type="http://schemas.openxmlformats.org/officeDocument/2006/relationships/oleObject" Target="embeddings/oleObject4670.bin"/><Relationship Id="rId738" Type="http://schemas.openxmlformats.org/officeDocument/2006/relationships/image" Target="media/image371.wmf"/><Relationship Id="rId1368" Type="http://schemas.openxmlformats.org/officeDocument/2006/relationships/image" Target="media/image689.wmf"/><Relationship Id="rId2419" Type="http://schemas.openxmlformats.org/officeDocument/2006/relationships/image" Target="media/image1218.wmf"/><Relationship Id="rId5989" Type="http://schemas.openxmlformats.org/officeDocument/2006/relationships/image" Target="media/image3005.wmf"/><Relationship Id="rId9860" Type="http://schemas.openxmlformats.org/officeDocument/2006/relationships/oleObject" Target="embeddings/oleObject4902.bin"/><Relationship Id="rId74" Type="http://schemas.openxmlformats.org/officeDocument/2006/relationships/oleObject" Target="embeddings/oleObject33.bin"/><Relationship Id="rId8462" Type="http://schemas.openxmlformats.org/officeDocument/2006/relationships/image" Target="media/image4240.wmf"/><Relationship Id="rId9513" Type="http://schemas.openxmlformats.org/officeDocument/2006/relationships/oleObject" Target="embeddings/oleObject4735.bin"/><Relationship Id="rId11790" Type="http://schemas.openxmlformats.org/officeDocument/2006/relationships/image" Target="media/image5908.wmf"/><Relationship Id="rId12841" Type="http://schemas.openxmlformats.org/officeDocument/2006/relationships/image" Target="media/image6435.wmf"/><Relationship Id="rId2900" Type="http://schemas.openxmlformats.org/officeDocument/2006/relationships/oleObject" Target="embeddings/oleObject1438.bin"/><Relationship Id="rId7064" Type="http://schemas.openxmlformats.org/officeDocument/2006/relationships/oleObject" Target="embeddings/oleObject3517.bin"/><Relationship Id="rId8115" Type="http://schemas.openxmlformats.org/officeDocument/2006/relationships/oleObject" Target="embeddings/oleObject4042.bin"/><Relationship Id="rId10392" Type="http://schemas.openxmlformats.org/officeDocument/2006/relationships/oleObject" Target="embeddings/oleObject5163.bin"/><Relationship Id="rId11443" Type="http://schemas.openxmlformats.org/officeDocument/2006/relationships/image" Target="media/image5733.wmf"/><Relationship Id="rId1502" Type="http://schemas.openxmlformats.org/officeDocument/2006/relationships/image" Target="media/image756.wmf"/><Relationship Id="rId10045" Type="http://schemas.openxmlformats.org/officeDocument/2006/relationships/image" Target="media/image5031.wmf"/><Relationship Id="rId3674" Type="http://schemas.openxmlformats.org/officeDocument/2006/relationships/image" Target="media/image1848.wmf"/><Relationship Id="rId4725" Type="http://schemas.openxmlformats.org/officeDocument/2006/relationships/oleObject" Target="embeddings/oleObject2354.bin"/><Relationship Id="rId13268" Type="http://schemas.openxmlformats.org/officeDocument/2006/relationships/oleObject" Target="embeddings/oleObject6581.bin"/><Relationship Id="rId14319" Type="http://schemas.openxmlformats.org/officeDocument/2006/relationships/image" Target="media/image7174.wmf"/><Relationship Id="rId595" Type="http://schemas.openxmlformats.org/officeDocument/2006/relationships/oleObject" Target="embeddings/oleObject287.bin"/><Relationship Id="rId2276" Type="http://schemas.openxmlformats.org/officeDocument/2006/relationships/oleObject" Target="embeddings/oleObject1125.bin"/><Relationship Id="rId3327" Type="http://schemas.openxmlformats.org/officeDocument/2006/relationships/oleObject" Target="embeddings/oleObject1652.bin"/><Relationship Id="rId6897" Type="http://schemas.openxmlformats.org/officeDocument/2006/relationships/image" Target="media/image3458.wmf"/><Relationship Id="rId7948" Type="http://schemas.openxmlformats.org/officeDocument/2006/relationships/image" Target="media/image3983.wmf"/><Relationship Id="rId248" Type="http://schemas.openxmlformats.org/officeDocument/2006/relationships/image" Target="media/image123.wmf"/><Relationship Id="rId5499" Type="http://schemas.openxmlformats.org/officeDocument/2006/relationships/image" Target="media/image2760.wmf"/><Relationship Id="rId9370" Type="http://schemas.openxmlformats.org/officeDocument/2006/relationships/image" Target="media/image4694.wmf"/><Relationship Id="rId10929" Type="http://schemas.openxmlformats.org/officeDocument/2006/relationships/oleObject" Target="embeddings/oleObject5427.bin"/><Relationship Id="rId12351" Type="http://schemas.openxmlformats.org/officeDocument/2006/relationships/image" Target="media/image6190.wmf"/><Relationship Id="rId2410" Type="http://schemas.openxmlformats.org/officeDocument/2006/relationships/oleObject" Target="embeddings/oleObject1194.bin"/><Relationship Id="rId9023" Type="http://schemas.openxmlformats.org/officeDocument/2006/relationships/image" Target="media/image4521.wmf"/><Relationship Id="rId12004" Type="http://schemas.openxmlformats.org/officeDocument/2006/relationships/image" Target="media/image6015.wmf"/><Relationship Id="rId13402" Type="http://schemas.openxmlformats.org/officeDocument/2006/relationships/image" Target="media/image6716.wmf"/><Relationship Id="rId1012" Type="http://schemas.openxmlformats.org/officeDocument/2006/relationships/oleObject" Target="embeddings/oleObject497.bin"/><Relationship Id="rId5980" Type="http://schemas.openxmlformats.org/officeDocument/2006/relationships/oleObject" Target="embeddings/oleObject2979.bin"/><Relationship Id="rId3184" Type="http://schemas.openxmlformats.org/officeDocument/2006/relationships/oleObject" Target="embeddings/oleObject1580.bin"/><Relationship Id="rId4235" Type="http://schemas.openxmlformats.org/officeDocument/2006/relationships/image" Target="media/image2128.wmf"/><Relationship Id="rId4582" Type="http://schemas.openxmlformats.org/officeDocument/2006/relationships/image" Target="media/image2301.wmf"/><Relationship Id="rId5633" Type="http://schemas.openxmlformats.org/officeDocument/2006/relationships/image" Target="media/image2827.wmf"/><Relationship Id="rId14176" Type="http://schemas.openxmlformats.org/officeDocument/2006/relationships/oleObject" Target="embeddings/oleObject7034.bin"/><Relationship Id="rId8856" Type="http://schemas.microsoft.com/office/2007/relationships/hdphoto" Target="media/hdphoto20.wdp"/><Relationship Id="rId9907" Type="http://schemas.openxmlformats.org/officeDocument/2006/relationships/image" Target="media/image4962.wmf"/><Relationship Id="rId10786" Type="http://schemas.openxmlformats.org/officeDocument/2006/relationships/image" Target="media/image5402.wmf"/><Relationship Id="rId11837" Type="http://schemas.openxmlformats.org/officeDocument/2006/relationships/oleObject" Target="embeddings/oleObject5870.bin"/><Relationship Id="rId7458" Type="http://schemas.openxmlformats.org/officeDocument/2006/relationships/image" Target="media/image3738.wmf"/><Relationship Id="rId8509" Type="http://schemas.openxmlformats.org/officeDocument/2006/relationships/oleObject" Target="embeddings/oleObject4239.bin"/><Relationship Id="rId10439" Type="http://schemas.openxmlformats.org/officeDocument/2006/relationships/oleObject" Target="embeddings/oleObject5186.bin"/><Relationship Id="rId14310" Type="http://schemas.openxmlformats.org/officeDocument/2006/relationships/oleObject" Target="embeddings/oleObject7101.bin"/><Relationship Id="rId989" Type="http://schemas.openxmlformats.org/officeDocument/2006/relationships/image" Target="media/image500.wmf"/><Relationship Id="rId5490" Type="http://schemas.openxmlformats.org/officeDocument/2006/relationships/oleObject" Target="embeddings/oleObject2734.bin"/><Relationship Id="rId6541" Type="http://schemas.openxmlformats.org/officeDocument/2006/relationships/image" Target="media/image3280.png"/><Relationship Id="rId10920" Type="http://schemas.openxmlformats.org/officeDocument/2006/relationships/image" Target="media/image5469.wmf"/><Relationship Id="rId4092" Type="http://schemas.openxmlformats.org/officeDocument/2006/relationships/oleObject" Target="embeddings/oleObject2037.bin"/><Relationship Id="rId5143" Type="http://schemas.openxmlformats.org/officeDocument/2006/relationships/oleObject" Target="embeddings/oleObject2561.bin"/><Relationship Id="rId8366" Type="http://schemas.openxmlformats.org/officeDocument/2006/relationships/image" Target="media/image4192.wmf"/><Relationship Id="rId9764" Type="http://schemas.openxmlformats.org/officeDocument/2006/relationships/image" Target="media/image4891.wmf"/><Relationship Id="rId11694" Type="http://schemas.openxmlformats.org/officeDocument/2006/relationships/image" Target="media/image5860.wmf"/><Relationship Id="rId12745" Type="http://schemas.openxmlformats.org/officeDocument/2006/relationships/image" Target="media/image6387.wmf"/><Relationship Id="rId1753" Type="http://schemas.openxmlformats.org/officeDocument/2006/relationships/oleObject" Target="embeddings/oleObject864.bin"/><Relationship Id="rId2804" Type="http://schemas.openxmlformats.org/officeDocument/2006/relationships/image" Target="media/image1412.wmf"/><Relationship Id="rId8019" Type="http://schemas.openxmlformats.org/officeDocument/2006/relationships/oleObject" Target="embeddings/oleObject3994.bin"/><Relationship Id="rId9417" Type="http://schemas.openxmlformats.org/officeDocument/2006/relationships/oleObject" Target="embeddings/oleObject4689.bin"/><Relationship Id="rId10296" Type="http://schemas.openxmlformats.org/officeDocument/2006/relationships/oleObject" Target="embeddings/oleObject5115.bin"/><Relationship Id="rId11347" Type="http://schemas.openxmlformats.org/officeDocument/2006/relationships/image" Target="media/image5685.wmf"/><Relationship Id="rId1406" Type="http://schemas.openxmlformats.org/officeDocument/2006/relationships/image" Target="media/image708.wmf"/><Relationship Id="rId4976" Type="http://schemas.openxmlformats.org/officeDocument/2006/relationships/image" Target="media/image2498.wmf"/><Relationship Id="rId3578" Type="http://schemas.openxmlformats.org/officeDocument/2006/relationships/image" Target="media/image1800.wmf"/><Relationship Id="rId4629" Type="http://schemas.openxmlformats.org/officeDocument/2006/relationships/oleObject" Target="embeddings/oleObject2306.bin"/><Relationship Id="rId8500" Type="http://schemas.openxmlformats.org/officeDocument/2006/relationships/image" Target="media/image4259.wmf"/><Relationship Id="rId10430" Type="http://schemas.openxmlformats.org/officeDocument/2006/relationships/image" Target="media/image5224.wmf"/><Relationship Id="rId499" Type="http://schemas.openxmlformats.org/officeDocument/2006/relationships/image" Target="media/image249.wmf"/><Relationship Id="rId6051" Type="http://schemas.openxmlformats.org/officeDocument/2006/relationships/image" Target="media/image3036.wmf"/><Relationship Id="rId7102" Type="http://schemas.openxmlformats.org/officeDocument/2006/relationships/oleObject" Target="embeddings/oleObject3536.bin"/><Relationship Id="rId9274" Type="http://schemas.openxmlformats.org/officeDocument/2006/relationships/image" Target="media/image4646.wmf"/><Relationship Id="rId13653" Type="http://schemas.openxmlformats.org/officeDocument/2006/relationships/oleObject" Target="embeddings/oleObject6772.bin"/><Relationship Id="rId633" Type="http://schemas.openxmlformats.org/officeDocument/2006/relationships/oleObject" Target="embeddings/oleObject306.bin"/><Relationship Id="rId980" Type="http://schemas.openxmlformats.org/officeDocument/2006/relationships/oleObject" Target="embeddings/oleObject481.bin"/><Relationship Id="rId1263" Type="http://schemas.openxmlformats.org/officeDocument/2006/relationships/oleObject" Target="embeddings/oleObject621.bin"/><Relationship Id="rId2314" Type="http://schemas.openxmlformats.org/officeDocument/2006/relationships/oleObject" Target="embeddings/oleObject1146.bin"/><Relationship Id="rId2661" Type="http://schemas.openxmlformats.org/officeDocument/2006/relationships/oleObject" Target="embeddings/oleObject1318.bin"/><Relationship Id="rId3712" Type="http://schemas.openxmlformats.org/officeDocument/2006/relationships/image" Target="media/image1867.wmf"/><Relationship Id="rId12255" Type="http://schemas.openxmlformats.org/officeDocument/2006/relationships/oleObject" Target="embeddings/oleObject6079.bin"/><Relationship Id="rId13306" Type="http://schemas.openxmlformats.org/officeDocument/2006/relationships/oleObject" Target="embeddings/oleObject6600.bin"/><Relationship Id="rId5884" Type="http://schemas.openxmlformats.org/officeDocument/2006/relationships/oleObject" Target="embeddings/oleObject2931.bin"/><Relationship Id="rId6935" Type="http://schemas.openxmlformats.org/officeDocument/2006/relationships/image" Target="media/image3477.wmf"/><Relationship Id="rId3088" Type="http://schemas.openxmlformats.org/officeDocument/2006/relationships/oleObject" Target="embeddings/oleObject1532.bin"/><Relationship Id="rId4486" Type="http://schemas.openxmlformats.org/officeDocument/2006/relationships/image" Target="media/image2253.wmf"/><Relationship Id="rId5537" Type="http://schemas.openxmlformats.org/officeDocument/2006/relationships/image" Target="media/image2779.wmf"/><Relationship Id="rId4139" Type="http://schemas.openxmlformats.org/officeDocument/2006/relationships/image" Target="media/image2080.wmf"/><Relationship Id="rId8010" Type="http://schemas.openxmlformats.org/officeDocument/2006/relationships/image" Target="media/image4014.wmf"/><Relationship Id="rId14561" Type="http://schemas.openxmlformats.org/officeDocument/2006/relationships/image" Target="media/image7295.wmf"/><Relationship Id="rId4620" Type="http://schemas.openxmlformats.org/officeDocument/2006/relationships/image" Target="media/image2320.wmf"/><Relationship Id="rId13163" Type="http://schemas.openxmlformats.org/officeDocument/2006/relationships/image" Target="media/image6596.wmf"/><Relationship Id="rId14214" Type="http://schemas.openxmlformats.org/officeDocument/2006/relationships/oleObject" Target="embeddings/oleObject7053.bin"/><Relationship Id="rId490" Type="http://schemas.openxmlformats.org/officeDocument/2006/relationships/oleObject" Target="embeddings/oleObject236.bin"/><Relationship Id="rId2171" Type="http://schemas.openxmlformats.org/officeDocument/2006/relationships/oleObject" Target="embeddings/oleObject1073.bin"/><Relationship Id="rId3222" Type="http://schemas.openxmlformats.org/officeDocument/2006/relationships/oleObject" Target="embeddings/oleObject1599.bin"/><Relationship Id="rId143" Type="http://schemas.openxmlformats.org/officeDocument/2006/relationships/oleObject" Target="embeddings/oleObject66.bin"/><Relationship Id="rId5394" Type="http://schemas.openxmlformats.org/officeDocument/2006/relationships/oleObject" Target="embeddings/oleObject2686.bin"/><Relationship Id="rId6445" Type="http://schemas.openxmlformats.org/officeDocument/2006/relationships/image" Target="media/image3232.wmf"/><Relationship Id="rId6792" Type="http://schemas.openxmlformats.org/officeDocument/2006/relationships/oleObject" Target="embeddings/oleObject3383.bin"/><Relationship Id="rId7843" Type="http://schemas.openxmlformats.org/officeDocument/2006/relationships/oleObject" Target="embeddings/oleObject3906.bin"/><Relationship Id="rId10824" Type="http://schemas.openxmlformats.org/officeDocument/2006/relationships/image" Target="media/image5421.wmf"/><Relationship Id="rId9" Type="http://schemas.openxmlformats.org/officeDocument/2006/relationships/image" Target="media/image2.wmf"/><Relationship Id="rId5047" Type="http://schemas.openxmlformats.org/officeDocument/2006/relationships/oleObject" Target="embeddings/oleObject2513.bin"/><Relationship Id="rId12996" Type="http://schemas.openxmlformats.org/officeDocument/2006/relationships/oleObject" Target="embeddings/oleObject6447.bin"/><Relationship Id="rId9668" Type="http://schemas.openxmlformats.org/officeDocument/2006/relationships/image" Target="media/image4843.wmf"/><Relationship Id="rId11598" Type="http://schemas.openxmlformats.org/officeDocument/2006/relationships/oleObject" Target="embeddings/oleObject5752.bin"/><Relationship Id="rId12649" Type="http://schemas.openxmlformats.org/officeDocument/2006/relationships/image" Target="media/image6339.wmf"/><Relationship Id="rId1657" Type="http://schemas.openxmlformats.org/officeDocument/2006/relationships/oleObject" Target="embeddings/oleObject816.bin"/><Relationship Id="rId2708" Type="http://schemas.openxmlformats.org/officeDocument/2006/relationships/image" Target="media/image1364.wmf"/><Relationship Id="rId14071" Type="http://schemas.openxmlformats.org/officeDocument/2006/relationships/image" Target="media/image7050.wmf"/><Relationship Id="rId4130" Type="http://schemas.openxmlformats.org/officeDocument/2006/relationships/oleObject" Target="embeddings/oleObject2056.bin"/><Relationship Id="rId8751" Type="http://schemas.openxmlformats.org/officeDocument/2006/relationships/image" Target="media/image4385.wmf"/><Relationship Id="rId9802" Type="http://schemas.openxmlformats.org/officeDocument/2006/relationships/image" Target="media/image4910.wmf"/><Relationship Id="rId16" Type="http://schemas.openxmlformats.org/officeDocument/2006/relationships/oleObject" Target="embeddings/oleObject4.bin"/><Relationship Id="rId7353" Type="http://schemas.openxmlformats.org/officeDocument/2006/relationships/oleObject" Target="embeddings/oleObject3661.bin"/><Relationship Id="rId8404" Type="http://schemas.openxmlformats.org/officeDocument/2006/relationships/image" Target="media/image4211.wmf"/><Relationship Id="rId10681" Type="http://schemas.openxmlformats.org/officeDocument/2006/relationships/oleObject" Target="embeddings/oleObject5305.bin"/><Relationship Id="rId11732" Type="http://schemas.openxmlformats.org/officeDocument/2006/relationships/image" Target="media/image5879.wmf"/><Relationship Id="rId7006" Type="http://schemas.openxmlformats.org/officeDocument/2006/relationships/oleObject" Target="embeddings/oleObject3488.bin"/><Relationship Id="rId10334" Type="http://schemas.openxmlformats.org/officeDocument/2006/relationships/oleObject" Target="embeddings/oleObject5134.bin"/><Relationship Id="rId3963" Type="http://schemas.openxmlformats.org/officeDocument/2006/relationships/image" Target="media/image1992.wmf"/><Relationship Id="rId9178" Type="http://schemas.openxmlformats.org/officeDocument/2006/relationships/image" Target="media/image4598.wmf"/><Relationship Id="rId13557" Type="http://schemas.openxmlformats.org/officeDocument/2006/relationships/oleObject" Target="embeddings/oleObject6724.bin"/><Relationship Id="rId884" Type="http://schemas.openxmlformats.org/officeDocument/2006/relationships/image" Target="media/image447.wmf"/><Relationship Id="rId2565" Type="http://schemas.openxmlformats.org/officeDocument/2006/relationships/oleObject" Target="embeddings/oleObject1270.bin"/><Relationship Id="rId3616" Type="http://schemas.openxmlformats.org/officeDocument/2006/relationships/image" Target="media/image1819.wmf"/><Relationship Id="rId12159" Type="http://schemas.openxmlformats.org/officeDocument/2006/relationships/oleObject" Target="embeddings/oleObject6031.bin"/><Relationship Id="rId537" Type="http://schemas.openxmlformats.org/officeDocument/2006/relationships/image" Target="media/image268.wmf"/><Relationship Id="rId1167" Type="http://schemas.openxmlformats.org/officeDocument/2006/relationships/image" Target="media/image589.wmf"/><Relationship Id="rId2218" Type="http://schemas.openxmlformats.org/officeDocument/2006/relationships/image" Target="media/image1115.wmf"/><Relationship Id="rId5788" Type="http://schemas.openxmlformats.org/officeDocument/2006/relationships/oleObject" Target="embeddings/oleObject2883.bin"/><Relationship Id="rId6839" Type="http://schemas.openxmlformats.org/officeDocument/2006/relationships/image" Target="media/image3429.wmf"/><Relationship Id="rId12640" Type="http://schemas.openxmlformats.org/officeDocument/2006/relationships/oleObject" Target="embeddings/oleObject6269.bin"/><Relationship Id="rId8261" Type="http://schemas.openxmlformats.org/officeDocument/2006/relationships/oleObject" Target="embeddings/oleObject4115.bin"/><Relationship Id="rId9312" Type="http://schemas.openxmlformats.org/officeDocument/2006/relationships/image" Target="media/image4665.wmf"/><Relationship Id="rId10191" Type="http://schemas.openxmlformats.org/officeDocument/2006/relationships/image" Target="media/image5104.wmf"/><Relationship Id="rId11242" Type="http://schemas.openxmlformats.org/officeDocument/2006/relationships/oleObject" Target="embeddings/oleObject5574.bin"/><Relationship Id="rId1301" Type="http://schemas.openxmlformats.org/officeDocument/2006/relationships/oleObject" Target="embeddings/oleObject640.bin"/><Relationship Id="rId3473" Type="http://schemas.openxmlformats.org/officeDocument/2006/relationships/oleObject" Target="embeddings/oleObject1727.bin"/><Relationship Id="rId4524" Type="http://schemas.openxmlformats.org/officeDocument/2006/relationships/image" Target="media/image2272.wmf"/><Relationship Id="rId4871" Type="http://schemas.openxmlformats.org/officeDocument/2006/relationships/oleObject" Target="embeddings/oleObject2426.bin"/><Relationship Id="rId5922" Type="http://schemas.openxmlformats.org/officeDocument/2006/relationships/oleObject" Target="embeddings/oleObject2950.bin"/><Relationship Id="rId13067" Type="http://schemas.openxmlformats.org/officeDocument/2006/relationships/image" Target="media/image6548.wmf"/><Relationship Id="rId14465" Type="http://schemas.openxmlformats.org/officeDocument/2006/relationships/image" Target="media/image7247.wmf"/><Relationship Id="rId394" Type="http://schemas.openxmlformats.org/officeDocument/2006/relationships/oleObject" Target="embeddings/oleObject191.bin"/><Relationship Id="rId2075" Type="http://schemas.openxmlformats.org/officeDocument/2006/relationships/oleObject" Target="embeddings/oleObject1025.bin"/><Relationship Id="rId3126" Type="http://schemas.openxmlformats.org/officeDocument/2006/relationships/oleObject" Target="embeddings/oleObject1551.bin"/><Relationship Id="rId14118" Type="http://schemas.openxmlformats.org/officeDocument/2006/relationships/oleObject" Target="embeddings/oleObject7005.bin"/><Relationship Id="rId5298" Type="http://schemas.openxmlformats.org/officeDocument/2006/relationships/oleObject" Target="embeddings/oleObject2638.bin"/><Relationship Id="rId6696" Type="http://schemas.openxmlformats.org/officeDocument/2006/relationships/oleObject" Target="embeddings/oleObject3335.bin"/><Relationship Id="rId7747" Type="http://schemas.openxmlformats.org/officeDocument/2006/relationships/oleObject" Target="embeddings/oleObject3858.bin"/><Relationship Id="rId10728" Type="http://schemas.openxmlformats.org/officeDocument/2006/relationships/image" Target="media/image5373.wmf"/><Relationship Id="rId6349" Type="http://schemas.openxmlformats.org/officeDocument/2006/relationships/image" Target="media/image3184.wmf"/><Relationship Id="rId12150" Type="http://schemas.openxmlformats.org/officeDocument/2006/relationships/image" Target="media/image6088.wmf"/><Relationship Id="rId13201" Type="http://schemas.openxmlformats.org/officeDocument/2006/relationships/image" Target="media/image6615.wmf"/><Relationship Id="rId2959" Type="http://schemas.openxmlformats.org/officeDocument/2006/relationships/image" Target="media/image1489.wmf"/><Relationship Id="rId6830" Type="http://schemas.openxmlformats.org/officeDocument/2006/relationships/oleObject" Target="embeddings/oleObject3400.bin"/><Relationship Id="rId4381" Type="http://schemas.openxmlformats.org/officeDocument/2006/relationships/oleObject" Target="embeddings/oleObject2182.bin"/><Relationship Id="rId5432" Type="http://schemas.openxmlformats.org/officeDocument/2006/relationships/oleObject" Target="embeddings/oleObject2705.bin"/><Relationship Id="rId4034" Type="http://schemas.openxmlformats.org/officeDocument/2006/relationships/oleObject" Target="embeddings/oleObject2008.bin"/><Relationship Id="rId8655" Type="http://schemas.openxmlformats.org/officeDocument/2006/relationships/image" Target="media/image4337.wmf"/><Relationship Id="rId11983" Type="http://schemas.openxmlformats.org/officeDocument/2006/relationships/oleObject" Target="embeddings/oleObject5943.bin"/><Relationship Id="rId7257" Type="http://schemas.openxmlformats.org/officeDocument/2006/relationships/oleObject" Target="embeddings/oleObject3613.bin"/><Relationship Id="rId8308" Type="http://schemas.openxmlformats.org/officeDocument/2006/relationships/image" Target="media/image4163.wmf"/><Relationship Id="rId9706" Type="http://schemas.openxmlformats.org/officeDocument/2006/relationships/image" Target="media/image4862.wmf"/><Relationship Id="rId10585" Type="http://schemas.openxmlformats.org/officeDocument/2006/relationships/oleObject" Target="embeddings/oleObject5257.bin"/><Relationship Id="rId11636" Type="http://schemas.openxmlformats.org/officeDocument/2006/relationships/oleObject" Target="embeddings/oleObject5771.bin"/><Relationship Id="rId10238" Type="http://schemas.openxmlformats.org/officeDocument/2006/relationships/oleObject" Target="embeddings/oleObject5086.bin"/><Relationship Id="rId3867" Type="http://schemas.openxmlformats.org/officeDocument/2006/relationships/oleObject" Target="embeddings/oleObject1924.bin"/><Relationship Id="rId4918" Type="http://schemas.openxmlformats.org/officeDocument/2006/relationships/image" Target="media/image2469.wmf"/><Relationship Id="rId788" Type="http://schemas.openxmlformats.org/officeDocument/2006/relationships/image" Target="media/image399.wmf"/><Relationship Id="rId2469" Type="http://schemas.openxmlformats.org/officeDocument/2006/relationships/oleObject" Target="embeddings/oleObject1222.bin"/><Relationship Id="rId6340" Type="http://schemas.openxmlformats.org/officeDocument/2006/relationships/oleObject" Target="embeddings/oleObject3160.bin"/><Relationship Id="rId9563" Type="http://schemas.openxmlformats.org/officeDocument/2006/relationships/oleObject" Target="embeddings/oleObject4760.bin"/><Relationship Id="rId11493" Type="http://schemas.openxmlformats.org/officeDocument/2006/relationships/image" Target="media/image5758.wmf"/><Relationship Id="rId12891" Type="http://schemas.openxmlformats.org/officeDocument/2006/relationships/image" Target="media/image6460.wmf"/><Relationship Id="rId13942" Type="http://schemas.openxmlformats.org/officeDocument/2006/relationships/oleObject" Target="embeddings/oleObject6917.bin"/><Relationship Id="rId922" Type="http://schemas.openxmlformats.org/officeDocument/2006/relationships/oleObject" Target="embeddings/oleObject452.bin"/><Relationship Id="rId1552" Type="http://schemas.openxmlformats.org/officeDocument/2006/relationships/image" Target="media/image781.wmf"/><Relationship Id="rId2603" Type="http://schemas.openxmlformats.org/officeDocument/2006/relationships/oleObject" Target="embeddings/oleObject1289.bin"/><Relationship Id="rId2950" Type="http://schemas.openxmlformats.org/officeDocument/2006/relationships/oleObject" Target="embeddings/oleObject1463.bin"/><Relationship Id="rId8165" Type="http://schemas.openxmlformats.org/officeDocument/2006/relationships/oleObject" Target="embeddings/oleObject4067.bin"/><Relationship Id="rId9216" Type="http://schemas.openxmlformats.org/officeDocument/2006/relationships/image" Target="media/image4617.wmf"/><Relationship Id="rId10095" Type="http://schemas.openxmlformats.org/officeDocument/2006/relationships/image" Target="media/image5056.wmf"/><Relationship Id="rId11146" Type="http://schemas.openxmlformats.org/officeDocument/2006/relationships/oleObject" Target="embeddings/oleObject5526.bin"/><Relationship Id="rId12544" Type="http://schemas.openxmlformats.org/officeDocument/2006/relationships/oleObject" Target="embeddings/oleObject6221.bin"/><Relationship Id="rId1205" Type="http://schemas.openxmlformats.org/officeDocument/2006/relationships/oleObject" Target="embeddings/oleObject593.bin"/><Relationship Id="rId3377" Type="http://schemas.openxmlformats.org/officeDocument/2006/relationships/oleObject" Target="embeddings/oleObject1677.bin"/><Relationship Id="rId4775" Type="http://schemas.openxmlformats.org/officeDocument/2006/relationships/oleObject" Target="embeddings/oleObject2379.bin"/><Relationship Id="rId5826" Type="http://schemas.openxmlformats.org/officeDocument/2006/relationships/oleObject" Target="embeddings/oleObject2902.bin"/><Relationship Id="rId14369" Type="http://schemas.openxmlformats.org/officeDocument/2006/relationships/image" Target="media/image7199.wmf"/><Relationship Id="rId298" Type="http://schemas.openxmlformats.org/officeDocument/2006/relationships/image" Target="media/image148.wmf"/><Relationship Id="rId4428" Type="http://schemas.openxmlformats.org/officeDocument/2006/relationships/image" Target="media/image2224.wmf"/><Relationship Id="rId7998" Type="http://schemas.openxmlformats.org/officeDocument/2006/relationships/image" Target="media/image4008.wmf"/><Relationship Id="rId10979" Type="http://schemas.openxmlformats.org/officeDocument/2006/relationships/oleObject" Target="embeddings/oleObject5445.bin"/><Relationship Id="rId13452" Type="http://schemas.openxmlformats.org/officeDocument/2006/relationships/image" Target="media/image6741.wmf"/><Relationship Id="rId14503" Type="http://schemas.openxmlformats.org/officeDocument/2006/relationships/image" Target="media/image7266.wmf"/><Relationship Id="rId2460" Type="http://schemas.openxmlformats.org/officeDocument/2006/relationships/image" Target="media/image1240.wmf"/><Relationship Id="rId3511" Type="http://schemas.openxmlformats.org/officeDocument/2006/relationships/oleObject" Target="embeddings/oleObject1746.bin"/><Relationship Id="rId9073" Type="http://schemas.openxmlformats.org/officeDocument/2006/relationships/image" Target="media/image4546.wmf"/><Relationship Id="rId12054" Type="http://schemas.openxmlformats.org/officeDocument/2006/relationships/image" Target="media/image6040.wmf"/><Relationship Id="rId13105" Type="http://schemas.openxmlformats.org/officeDocument/2006/relationships/image" Target="media/image6567.wmf"/><Relationship Id="rId432" Type="http://schemas.openxmlformats.org/officeDocument/2006/relationships/oleObject" Target="embeddings/oleObject210.bin"/><Relationship Id="rId1062" Type="http://schemas.openxmlformats.org/officeDocument/2006/relationships/oleObject" Target="embeddings/oleObject522.bin"/><Relationship Id="rId2113" Type="http://schemas.openxmlformats.org/officeDocument/2006/relationships/oleObject" Target="embeddings/oleObject1044.bin"/><Relationship Id="rId5683" Type="http://schemas.openxmlformats.org/officeDocument/2006/relationships/image" Target="media/image2852.wmf"/><Relationship Id="rId6734" Type="http://schemas.openxmlformats.org/officeDocument/2006/relationships/oleObject" Target="embeddings/oleObject3354.bin"/><Relationship Id="rId4285" Type="http://schemas.openxmlformats.org/officeDocument/2006/relationships/image" Target="media/image2153.wmf"/><Relationship Id="rId5336" Type="http://schemas.openxmlformats.org/officeDocument/2006/relationships/oleObject" Target="embeddings/oleObject2657.bin"/><Relationship Id="rId9957" Type="http://schemas.openxmlformats.org/officeDocument/2006/relationships/image" Target="media/image4987.wmf"/><Relationship Id="rId11887" Type="http://schemas.openxmlformats.org/officeDocument/2006/relationships/oleObject" Target="embeddings/oleObject5895.bin"/><Relationship Id="rId12938" Type="http://schemas.openxmlformats.org/officeDocument/2006/relationships/oleObject" Target="embeddings/oleObject6418.bin"/><Relationship Id="rId1946" Type="http://schemas.openxmlformats.org/officeDocument/2006/relationships/image" Target="media/image979.wmf"/><Relationship Id="rId8559" Type="http://schemas.openxmlformats.org/officeDocument/2006/relationships/oleObject" Target="embeddings/oleObject4264.bin"/><Relationship Id="rId10489" Type="http://schemas.openxmlformats.org/officeDocument/2006/relationships/oleObject" Target="embeddings/oleObject5209.bin"/><Relationship Id="rId14360" Type="http://schemas.openxmlformats.org/officeDocument/2006/relationships/oleObject" Target="embeddings/oleObject7126.bin"/><Relationship Id="rId14013" Type="http://schemas.openxmlformats.org/officeDocument/2006/relationships/image" Target="media/image7021.wmf"/><Relationship Id="rId3021" Type="http://schemas.openxmlformats.org/officeDocument/2006/relationships/image" Target="media/image1520.wmf"/><Relationship Id="rId6591" Type="http://schemas.openxmlformats.org/officeDocument/2006/relationships/image" Target="media/image3305.wmf"/><Relationship Id="rId7642" Type="http://schemas.openxmlformats.org/officeDocument/2006/relationships/image" Target="media/image3830.wmf"/><Relationship Id="rId10970" Type="http://schemas.openxmlformats.org/officeDocument/2006/relationships/image" Target="media/image5495.wmf"/><Relationship Id="rId5193" Type="http://schemas.openxmlformats.org/officeDocument/2006/relationships/oleObject" Target="embeddings/oleObject2586.bin"/><Relationship Id="rId6244" Type="http://schemas.openxmlformats.org/officeDocument/2006/relationships/oleObject" Target="embeddings/oleObject3111.bin"/><Relationship Id="rId10623" Type="http://schemas.openxmlformats.org/officeDocument/2006/relationships/oleObject" Target="embeddings/oleObject5276.bin"/><Relationship Id="rId9467" Type="http://schemas.openxmlformats.org/officeDocument/2006/relationships/oleObject" Target="embeddings/oleObject4712.bin"/><Relationship Id="rId12795" Type="http://schemas.openxmlformats.org/officeDocument/2006/relationships/image" Target="media/image6412.wmf"/><Relationship Id="rId13846" Type="http://schemas.openxmlformats.org/officeDocument/2006/relationships/oleObject" Target="embeddings/oleObject6869.bin"/><Relationship Id="rId2854" Type="http://schemas.openxmlformats.org/officeDocument/2006/relationships/oleObject" Target="embeddings/oleObject1415.bin"/><Relationship Id="rId3905" Type="http://schemas.openxmlformats.org/officeDocument/2006/relationships/oleObject" Target="embeddings/oleObject1943.bin"/><Relationship Id="rId8069" Type="http://schemas.openxmlformats.org/officeDocument/2006/relationships/oleObject" Target="embeddings/oleObject4019.bin"/><Relationship Id="rId11397" Type="http://schemas.openxmlformats.org/officeDocument/2006/relationships/image" Target="media/image5710.wmf"/><Relationship Id="rId12448" Type="http://schemas.openxmlformats.org/officeDocument/2006/relationships/oleObject" Target="embeddings/oleObject6173.bin"/><Relationship Id="rId826" Type="http://schemas.openxmlformats.org/officeDocument/2006/relationships/image" Target="media/image418.wmf"/><Relationship Id="rId1109" Type="http://schemas.openxmlformats.org/officeDocument/2006/relationships/image" Target="media/image560.wmf"/><Relationship Id="rId1456" Type="http://schemas.openxmlformats.org/officeDocument/2006/relationships/image" Target="media/image733.wmf"/><Relationship Id="rId2507" Type="http://schemas.openxmlformats.org/officeDocument/2006/relationships/oleObject" Target="embeddings/oleObject1241.bin"/><Relationship Id="rId4679" Type="http://schemas.openxmlformats.org/officeDocument/2006/relationships/oleObject" Target="embeddings/oleObject2331.bin"/><Relationship Id="rId8550" Type="http://schemas.openxmlformats.org/officeDocument/2006/relationships/image" Target="media/image4284.wmf"/><Relationship Id="rId9601" Type="http://schemas.openxmlformats.org/officeDocument/2006/relationships/oleObject" Target="embeddings/oleObject4779.bin"/><Relationship Id="rId10480" Type="http://schemas.openxmlformats.org/officeDocument/2006/relationships/image" Target="media/image5249.wmf"/><Relationship Id="rId11531" Type="http://schemas.openxmlformats.org/officeDocument/2006/relationships/image" Target="media/image5777.wmf"/><Relationship Id="rId7152" Type="http://schemas.openxmlformats.org/officeDocument/2006/relationships/image" Target="media/image3585.wmf"/><Relationship Id="rId8203" Type="http://schemas.openxmlformats.org/officeDocument/2006/relationships/oleObject" Target="embeddings/oleObject4086.bin"/><Relationship Id="rId10133" Type="http://schemas.openxmlformats.org/officeDocument/2006/relationships/image" Target="media/image5075.wmf"/><Relationship Id="rId3762" Type="http://schemas.openxmlformats.org/officeDocument/2006/relationships/image" Target="media/image1892.wmf"/><Relationship Id="rId4813" Type="http://schemas.openxmlformats.org/officeDocument/2006/relationships/oleObject" Target="embeddings/oleObject2397.bin"/><Relationship Id="rId13356" Type="http://schemas.openxmlformats.org/officeDocument/2006/relationships/image" Target="media/image6693.wmf"/><Relationship Id="rId683" Type="http://schemas.openxmlformats.org/officeDocument/2006/relationships/oleObject" Target="embeddings/oleObject330.bin"/><Relationship Id="rId2364" Type="http://schemas.openxmlformats.org/officeDocument/2006/relationships/oleObject" Target="embeddings/oleObject1171.bin"/><Relationship Id="rId3415" Type="http://schemas.openxmlformats.org/officeDocument/2006/relationships/oleObject" Target="embeddings/oleObject1697.bin"/><Relationship Id="rId13009" Type="http://schemas.openxmlformats.org/officeDocument/2006/relationships/image" Target="media/image6519.wmf"/><Relationship Id="rId14407" Type="http://schemas.openxmlformats.org/officeDocument/2006/relationships/image" Target="media/image7218.wmf"/><Relationship Id="rId336" Type="http://schemas.openxmlformats.org/officeDocument/2006/relationships/image" Target="media/image167.wmf"/><Relationship Id="rId2017" Type="http://schemas.openxmlformats.org/officeDocument/2006/relationships/oleObject" Target="embeddings/oleObject996.bin"/><Relationship Id="rId5587" Type="http://schemas.openxmlformats.org/officeDocument/2006/relationships/image" Target="media/image2804.wmf"/><Relationship Id="rId6985" Type="http://schemas.openxmlformats.org/officeDocument/2006/relationships/image" Target="media/image3502.wmf"/><Relationship Id="rId4189" Type="http://schemas.openxmlformats.org/officeDocument/2006/relationships/image" Target="media/image2105.wmf"/><Relationship Id="rId6638" Type="http://schemas.openxmlformats.org/officeDocument/2006/relationships/oleObject" Target="embeddings/oleObject3306.bin"/><Relationship Id="rId8060" Type="http://schemas.openxmlformats.org/officeDocument/2006/relationships/image" Target="media/image4039.wmf"/><Relationship Id="rId9111" Type="http://schemas.openxmlformats.org/officeDocument/2006/relationships/image" Target="media/image4565.wmf"/><Relationship Id="rId11041" Type="http://schemas.openxmlformats.org/officeDocument/2006/relationships/oleObject" Target="embeddings/oleObject5476.bin"/><Relationship Id="rId1100" Type="http://schemas.openxmlformats.org/officeDocument/2006/relationships/oleObject" Target="embeddings/oleObject540.bin"/><Relationship Id="rId4670" Type="http://schemas.openxmlformats.org/officeDocument/2006/relationships/image" Target="media/image2345.wmf"/><Relationship Id="rId5721" Type="http://schemas.openxmlformats.org/officeDocument/2006/relationships/image" Target="media/image2871.wmf"/><Relationship Id="rId14264" Type="http://schemas.openxmlformats.org/officeDocument/2006/relationships/oleObject" Target="embeddings/oleObject7078.bin"/><Relationship Id="rId3272" Type="http://schemas.openxmlformats.org/officeDocument/2006/relationships/image" Target="media/image1645.wmf"/><Relationship Id="rId4323" Type="http://schemas.openxmlformats.org/officeDocument/2006/relationships/image" Target="media/image2172.wmf"/><Relationship Id="rId7893" Type="http://schemas.openxmlformats.org/officeDocument/2006/relationships/oleObject" Target="embeddings/oleObject3931.bin"/><Relationship Id="rId8944" Type="http://schemas.openxmlformats.org/officeDocument/2006/relationships/oleObject" Target="embeddings/oleObject4452.bin"/><Relationship Id="rId193" Type="http://schemas.openxmlformats.org/officeDocument/2006/relationships/oleObject" Target="embeddings/oleObject91.bin"/><Relationship Id="rId6495" Type="http://schemas.openxmlformats.org/officeDocument/2006/relationships/image" Target="media/image3257.wmf"/><Relationship Id="rId7546" Type="http://schemas.openxmlformats.org/officeDocument/2006/relationships/image" Target="media/image3782.wmf"/><Relationship Id="rId10874" Type="http://schemas.openxmlformats.org/officeDocument/2006/relationships/image" Target="media/image5446.wmf"/><Relationship Id="rId11925" Type="http://schemas.openxmlformats.org/officeDocument/2006/relationships/oleObject" Target="embeddings/oleObject5914.bin"/><Relationship Id="rId5097" Type="http://schemas.openxmlformats.org/officeDocument/2006/relationships/oleObject" Target="embeddings/oleObject2538.bin"/><Relationship Id="rId6148" Type="http://schemas.openxmlformats.org/officeDocument/2006/relationships/oleObject" Target="embeddings/oleObject3063.bin"/><Relationship Id="rId10527" Type="http://schemas.openxmlformats.org/officeDocument/2006/relationships/oleObject" Target="embeddings/oleObject5228.bin"/><Relationship Id="rId12699" Type="http://schemas.openxmlformats.org/officeDocument/2006/relationships/image" Target="media/image6364.wmf"/><Relationship Id="rId13000" Type="http://schemas.openxmlformats.org/officeDocument/2006/relationships/oleObject" Target="embeddings/oleObject6449.bin"/><Relationship Id="rId2758" Type="http://schemas.openxmlformats.org/officeDocument/2006/relationships/image" Target="media/image1389.wmf"/><Relationship Id="rId3809" Type="http://schemas.openxmlformats.org/officeDocument/2006/relationships/oleObject" Target="embeddings/oleObject1895.bin"/><Relationship Id="rId4180" Type="http://schemas.openxmlformats.org/officeDocument/2006/relationships/oleObject" Target="embeddings/oleObject2081.bin"/><Relationship Id="rId5231" Type="http://schemas.openxmlformats.org/officeDocument/2006/relationships/image" Target="media/image2626.wmf"/><Relationship Id="rId9852" Type="http://schemas.openxmlformats.org/officeDocument/2006/relationships/oleObject" Target="embeddings/oleObject4898.bin"/><Relationship Id="rId11782" Type="http://schemas.openxmlformats.org/officeDocument/2006/relationships/image" Target="media/image5904.wmf"/><Relationship Id="rId66" Type="http://schemas.openxmlformats.org/officeDocument/2006/relationships/oleObject" Target="embeddings/oleObject29.bin"/><Relationship Id="rId1841" Type="http://schemas.openxmlformats.org/officeDocument/2006/relationships/oleObject" Target="embeddings/oleObject908.bin"/><Relationship Id="rId8454" Type="http://schemas.openxmlformats.org/officeDocument/2006/relationships/image" Target="media/image4236.wmf"/><Relationship Id="rId9505" Type="http://schemas.openxmlformats.org/officeDocument/2006/relationships/oleObject" Target="embeddings/oleObject4731.bin"/><Relationship Id="rId10384" Type="http://schemas.openxmlformats.org/officeDocument/2006/relationships/oleObject" Target="embeddings/oleObject5159.bin"/><Relationship Id="rId11435" Type="http://schemas.openxmlformats.org/officeDocument/2006/relationships/image" Target="media/image5729.wmf"/><Relationship Id="rId12833" Type="http://schemas.openxmlformats.org/officeDocument/2006/relationships/image" Target="media/image6431.wmf"/><Relationship Id="rId7056" Type="http://schemas.openxmlformats.org/officeDocument/2006/relationships/oleObject" Target="embeddings/oleObject3513.bin"/><Relationship Id="rId8107" Type="http://schemas.openxmlformats.org/officeDocument/2006/relationships/oleObject" Target="embeddings/oleObject4038.bin"/><Relationship Id="rId10037" Type="http://schemas.openxmlformats.org/officeDocument/2006/relationships/image" Target="media/image5027.wmf"/><Relationship Id="rId3666" Type="http://schemas.openxmlformats.org/officeDocument/2006/relationships/image" Target="media/image1844.wmf"/><Relationship Id="rId587" Type="http://schemas.openxmlformats.org/officeDocument/2006/relationships/oleObject" Target="embeddings/oleObject283.bin"/><Relationship Id="rId2268" Type="http://schemas.openxmlformats.org/officeDocument/2006/relationships/oleObject" Target="embeddings/oleObject1121.bin"/><Relationship Id="rId3319" Type="http://schemas.openxmlformats.org/officeDocument/2006/relationships/oleObject" Target="embeddings/oleObject1648.bin"/><Relationship Id="rId4717" Type="http://schemas.openxmlformats.org/officeDocument/2006/relationships/oleObject" Target="embeddings/oleObject2350.bin"/><Relationship Id="rId6889" Type="http://schemas.openxmlformats.org/officeDocument/2006/relationships/image" Target="media/image3454.wmf"/><Relationship Id="rId12690" Type="http://schemas.openxmlformats.org/officeDocument/2006/relationships/oleObject" Target="embeddings/oleObject6294.bin"/><Relationship Id="rId13741" Type="http://schemas.openxmlformats.org/officeDocument/2006/relationships/image" Target="media/image6885.wmf"/><Relationship Id="rId3800" Type="http://schemas.openxmlformats.org/officeDocument/2006/relationships/image" Target="media/image1911.wmf"/><Relationship Id="rId9362" Type="http://schemas.openxmlformats.org/officeDocument/2006/relationships/image" Target="media/image4690.wmf"/><Relationship Id="rId11292" Type="http://schemas.openxmlformats.org/officeDocument/2006/relationships/oleObject" Target="embeddings/oleObject5599.bin"/><Relationship Id="rId12343" Type="http://schemas.openxmlformats.org/officeDocument/2006/relationships/image" Target="media/image6186.wmf"/><Relationship Id="rId721" Type="http://schemas.openxmlformats.org/officeDocument/2006/relationships/oleObject" Target="embeddings/oleObject349.bin"/><Relationship Id="rId1351" Type="http://schemas.openxmlformats.org/officeDocument/2006/relationships/oleObject" Target="embeddings/oleObject665.bin"/><Relationship Id="rId2402" Type="http://schemas.openxmlformats.org/officeDocument/2006/relationships/oleObject" Target="embeddings/oleObject1190.bin"/><Relationship Id="rId5972" Type="http://schemas.openxmlformats.org/officeDocument/2006/relationships/oleObject" Target="embeddings/oleObject2975.bin"/><Relationship Id="rId9015" Type="http://schemas.openxmlformats.org/officeDocument/2006/relationships/image" Target="media/image4517.wmf"/><Relationship Id="rId1004" Type="http://schemas.openxmlformats.org/officeDocument/2006/relationships/oleObject" Target="embeddings/oleObject493.bin"/><Relationship Id="rId4574" Type="http://schemas.openxmlformats.org/officeDocument/2006/relationships/image" Target="media/image2297.wmf"/><Relationship Id="rId5625" Type="http://schemas.openxmlformats.org/officeDocument/2006/relationships/image" Target="media/image2823.wmf"/><Relationship Id="rId14168" Type="http://schemas.openxmlformats.org/officeDocument/2006/relationships/oleObject" Target="embeddings/oleObject7030.bin"/><Relationship Id="rId3176" Type="http://schemas.openxmlformats.org/officeDocument/2006/relationships/oleObject" Target="embeddings/oleObject1576.bin"/><Relationship Id="rId4227" Type="http://schemas.openxmlformats.org/officeDocument/2006/relationships/image" Target="media/image2124.wmf"/><Relationship Id="rId7797" Type="http://schemas.openxmlformats.org/officeDocument/2006/relationships/oleObject" Target="embeddings/oleObject3883.bin"/><Relationship Id="rId6399" Type="http://schemas.openxmlformats.org/officeDocument/2006/relationships/image" Target="media/image3209.wmf"/><Relationship Id="rId8848" Type="http://schemas.openxmlformats.org/officeDocument/2006/relationships/oleObject" Target="embeddings/oleObject4407.bin"/><Relationship Id="rId10778" Type="http://schemas.openxmlformats.org/officeDocument/2006/relationships/image" Target="media/image5398.wmf"/><Relationship Id="rId11829" Type="http://schemas.openxmlformats.org/officeDocument/2006/relationships/oleObject" Target="embeddings/oleObject5866.bin"/><Relationship Id="rId13251" Type="http://schemas.openxmlformats.org/officeDocument/2006/relationships/image" Target="media/image6640.wmf"/><Relationship Id="rId14302" Type="http://schemas.openxmlformats.org/officeDocument/2006/relationships/oleObject" Target="embeddings/oleObject7097.bin"/><Relationship Id="rId3310" Type="http://schemas.openxmlformats.org/officeDocument/2006/relationships/image" Target="media/image1664.wmf"/><Relationship Id="rId6880" Type="http://schemas.openxmlformats.org/officeDocument/2006/relationships/oleObject" Target="embeddings/oleObject3425.bin"/><Relationship Id="rId7931" Type="http://schemas.openxmlformats.org/officeDocument/2006/relationships/oleObject" Target="embeddings/oleObject3950.bin"/><Relationship Id="rId231" Type="http://schemas.openxmlformats.org/officeDocument/2006/relationships/oleObject" Target="embeddings/oleObject110.bin"/><Relationship Id="rId5482" Type="http://schemas.openxmlformats.org/officeDocument/2006/relationships/oleObject" Target="embeddings/oleObject2730.bin"/><Relationship Id="rId6533" Type="http://schemas.openxmlformats.org/officeDocument/2006/relationships/image" Target="media/image3276.wmf"/><Relationship Id="rId10912" Type="http://schemas.openxmlformats.org/officeDocument/2006/relationships/image" Target="media/image5465.wmf"/><Relationship Id="rId4084" Type="http://schemas.openxmlformats.org/officeDocument/2006/relationships/oleObject" Target="embeddings/oleObject2033.bin"/><Relationship Id="rId5135" Type="http://schemas.openxmlformats.org/officeDocument/2006/relationships/oleObject" Target="embeddings/oleObject2557.bin"/><Relationship Id="rId9756" Type="http://schemas.openxmlformats.org/officeDocument/2006/relationships/image" Target="media/image4887.wmf"/><Relationship Id="rId8358" Type="http://schemas.openxmlformats.org/officeDocument/2006/relationships/image" Target="media/image4188.wmf"/><Relationship Id="rId9409" Type="http://schemas.openxmlformats.org/officeDocument/2006/relationships/oleObject" Target="embeddings/oleObject4685.bin"/><Relationship Id="rId10288" Type="http://schemas.openxmlformats.org/officeDocument/2006/relationships/oleObject" Target="embeddings/oleObject5111.bin"/><Relationship Id="rId11686" Type="http://schemas.openxmlformats.org/officeDocument/2006/relationships/image" Target="media/image5856.wmf"/><Relationship Id="rId12737" Type="http://schemas.openxmlformats.org/officeDocument/2006/relationships/image" Target="media/image6383.wmf"/><Relationship Id="rId1745" Type="http://schemas.openxmlformats.org/officeDocument/2006/relationships/oleObject" Target="embeddings/oleObject860.bin"/><Relationship Id="rId11339" Type="http://schemas.openxmlformats.org/officeDocument/2006/relationships/image" Target="media/image5681.wmf"/><Relationship Id="rId4968" Type="http://schemas.openxmlformats.org/officeDocument/2006/relationships/image" Target="media/image2494.wmf"/><Relationship Id="rId11820" Type="http://schemas.openxmlformats.org/officeDocument/2006/relationships/image" Target="media/image5923.wmf"/><Relationship Id="rId6390" Type="http://schemas.openxmlformats.org/officeDocument/2006/relationships/oleObject" Target="embeddings/oleObject3185.bin"/><Relationship Id="rId7441" Type="http://schemas.openxmlformats.org/officeDocument/2006/relationships/oleObject" Target="embeddings/oleObject3705.bin"/><Relationship Id="rId10422" Type="http://schemas.openxmlformats.org/officeDocument/2006/relationships/image" Target="media/image5220.wmf"/><Relationship Id="rId13992" Type="http://schemas.openxmlformats.org/officeDocument/2006/relationships/oleObject" Target="embeddings/oleObject6942.bin"/><Relationship Id="rId6043" Type="http://schemas.openxmlformats.org/officeDocument/2006/relationships/image" Target="media/image3032.wmf"/><Relationship Id="rId12594" Type="http://schemas.openxmlformats.org/officeDocument/2006/relationships/oleObject" Target="embeddings/oleObject6246.bin"/><Relationship Id="rId13645" Type="http://schemas.openxmlformats.org/officeDocument/2006/relationships/oleObject" Target="embeddings/oleObject6768.bin"/><Relationship Id="rId972" Type="http://schemas.openxmlformats.org/officeDocument/2006/relationships/oleObject" Target="embeddings/oleObject477.bin"/><Relationship Id="rId2653" Type="http://schemas.openxmlformats.org/officeDocument/2006/relationships/oleObject" Target="embeddings/oleObject1314.bin"/><Relationship Id="rId3704" Type="http://schemas.openxmlformats.org/officeDocument/2006/relationships/image" Target="media/image1863.wmf"/><Relationship Id="rId9266" Type="http://schemas.openxmlformats.org/officeDocument/2006/relationships/image" Target="media/image4642.wmf"/><Relationship Id="rId11196" Type="http://schemas.openxmlformats.org/officeDocument/2006/relationships/oleObject" Target="embeddings/oleObject5551.bin"/><Relationship Id="rId12247" Type="http://schemas.openxmlformats.org/officeDocument/2006/relationships/oleObject" Target="embeddings/oleObject6075.bin"/><Relationship Id="rId625" Type="http://schemas.openxmlformats.org/officeDocument/2006/relationships/oleObject" Target="embeddings/oleObject302.bin"/><Relationship Id="rId1255" Type="http://schemas.openxmlformats.org/officeDocument/2006/relationships/oleObject" Target="embeddings/oleObject617.bin"/><Relationship Id="rId2306" Type="http://schemas.openxmlformats.org/officeDocument/2006/relationships/oleObject" Target="embeddings/oleObject1140.bin"/><Relationship Id="rId5876" Type="http://schemas.openxmlformats.org/officeDocument/2006/relationships/oleObject" Target="embeddings/oleObject2927.bin"/><Relationship Id="rId4478" Type="http://schemas.openxmlformats.org/officeDocument/2006/relationships/image" Target="media/image2249.wmf"/><Relationship Id="rId5529" Type="http://schemas.openxmlformats.org/officeDocument/2006/relationships/image" Target="media/image2775.wmf"/><Relationship Id="rId6927" Type="http://schemas.openxmlformats.org/officeDocument/2006/relationships/image" Target="media/image3473.wmf"/><Relationship Id="rId9400" Type="http://schemas.openxmlformats.org/officeDocument/2006/relationships/image" Target="media/image4709.wmf"/><Relationship Id="rId8002" Type="http://schemas.openxmlformats.org/officeDocument/2006/relationships/image" Target="media/image4010.wmf"/><Relationship Id="rId11330" Type="http://schemas.openxmlformats.org/officeDocument/2006/relationships/oleObject" Target="embeddings/oleObject5618.bin"/><Relationship Id="rId14553" Type="http://schemas.openxmlformats.org/officeDocument/2006/relationships/image" Target="media/image7291.wmf"/><Relationship Id="rId3561" Type="http://schemas.openxmlformats.org/officeDocument/2006/relationships/oleObject" Target="embeddings/oleObject1771.bin"/><Relationship Id="rId4612" Type="http://schemas.openxmlformats.org/officeDocument/2006/relationships/image" Target="media/image2316.wmf"/><Relationship Id="rId13155" Type="http://schemas.openxmlformats.org/officeDocument/2006/relationships/image" Target="media/image6592.wmf"/><Relationship Id="rId14206" Type="http://schemas.openxmlformats.org/officeDocument/2006/relationships/oleObject" Target="embeddings/oleObject7049.bin"/><Relationship Id="rId482" Type="http://schemas.openxmlformats.org/officeDocument/2006/relationships/oleObject" Target="embeddings/oleObject232.bin"/><Relationship Id="rId2163" Type="http://schemas.openxmlformats.org/officeDocument/2006/relationships/oleObject" Target="embeddings/oleObject1069.bin"/><Relationship Id="rId3214" Type="http://schemas.openxmlformats.org/officeDocument/2006/relationships/oleObject" Target="embeddings/oleObject1595.bin"/><Relationship Id="rId6784" Type="http://schemas.openxmlformats.org/officeDocument/2006/relationships/oleObject" Target="embeddings/oleObject3379.bin"/><Relationship Id="rId7835" Type="http://schemas.openxmlformats.org/officeDocument/2006/relationships/oleObject" Target="embeddings/oleObject3902.bin"/><Relationship Id="rId135" Type="http://schemas.openxmlformats.org/officeDocument/2006/relationships/image" Target="media/image65.wmf"/><Relationship Id="rId5386" Type="http://schemas.openxmlformats.org/officeDocument/2006/relationships/oleObject" Target="embeddings/oleObject2682.bin"/><Relationship Id="rId6437" Type="http://schemas.openxmlformats.org/officeDocument/2006/relationships/image" Target="media/image3228.wmf"/><Relationship Id="rId10816" Type="http://schemas.openxmlformats.org/officeDocument/2006/relationships/image" Target="media/image5417.wmf"/><Relationship Id="rId5039" Type="http://schemas.openxmlformats.org/officeDocument/2006/relationships/oleObject" Target="embeddings/oleObject2509.bin"/><Relationship Id="rId12988" Type="http://schemas.openxmlformats.org/officeDocument/2006/relationships/oleObject" Target="embeddings/oleObject6443.bin"/><Relationship Id="rId1996" Type="http://schemas.openxmlformats.org/officeDocument/2006/relationships/image" Target="media/image1004.wmf"/><Relationship Id="rId1649" Type="http://schemas.openxmlformats.org/officeDocument/2006/relationships/oleObject" Target="embeddings/oleObject812.bin"/><Relationship Id="rId3071" Type="http://schemas.openxmlformats.org/officeDocument/2006/relationships/image" Target="media/image1545.wmf"/><Relationship Id="rId5520" Type="http://schemas.openxmlformats.org/officeDocument/2006/relationships/oleObject" Target="embeddings/oleObject2749.bin"/><Relationship Id="rId14063" Type="http://schemas.openxmlformats.org/officeDocument/2006/relationships/image" Target="media/image7046.wmf"/><Relationship Id="rId4122" Type="http://schemas.openxmlformats.org/officeDocument/2006/relationships/oleObject" Target="embeddings/oleObject2052.bin"/><Relationship Id="rId7692" Type="http://schemas.openxmlformats.org/officeDocument/2006/relationships/image" Target="media/image3855.wmf"/><Relationship Id="rId8743" Type="http://schemas.openxmlformats.org/officeDocument/2006/relationships/image" Target="media/image4381.wmf"/><Relationship Id="rId10673" Type="http://schemas.openxmlformats.org/officeDocument/2006/relationships/oleObject" Target="embeddings/oleObject5301.bin"/><Relationship Id="rId11724" Type="http://schemas.openxmlformats.org/officeDocument/2006/relationships/image" Target="media/image5875.wmf"/><Relationship Id="rId6294" Type="http://schemas.openxmlformats.org/officeDocument/2006/relationships/oleObject" Target="embeddings/oleObject3136.bin"/><Relationship Id="rId7345" Type="http://schemas.openxmlformats.org/officeDocument/2006/relationships/oleObject" Target="embeddings/oleObject3657.bin"/><Relationship Id="rId10326" Type="http://schemas.openxmlformats.org/officeDocument/2006/relationships/oleObject" Target="embeddings/oleObject5130.bin"/><Relationship Id="rId12498" Type="http://schemas.openxmlformats.org/officeDocument/2006/relationships/oleObject" Target="embeddings/oleObject6198.bin"/><Relationship Id="rId13896" Type="http://schemas.openxmlformats.org/officeDocument/2006/relationships/oleObject" Target="embeddings/oleObject6894.bin"/><Relationship Id="rId876" Type="http://schemas.openxmlformats.org/officeDocument/2006/relationships/image" Target="media/image443.wmf"/><Relationship Id="rId2557" Type="http://schemas.openxmlformats.org/officeDocument/2006/relationships/oleObject" Target="embeddings/oleObject1266.bin"/><Relationship Id="rId3608" Type="http://schemas.openxmlformats.org/officeDocument/2006/relationships/image" Target="media/image1815.wmf"/><Relationship Id="rId3955" Type="http://schemas.openxmlformats.org/officeDocument/2006/relationships/oleObject" Target="embeddings/oleObject1968.bin"/><Relationship Id="rId13549" Type="http://schemas.openxmlformats.org/officeDocument/2006/relationships/oleObject" Target="embeddings/oleObject6720.bin"/><Relationship Id="rId529" Type="http://schemas.openxmlformats.org/officeDocument/2006/relationships/image" Target="media/image264.wmf"/><Relationship Id="rId1159" Type="http://schemas.openxmlformats.org/officeDocument/2006/relationships/image" Target="media/image585.wmf"/><Relationship Id="rId5030" Type="http://schemas.openxmlformats.org/officeDocument/2006/relationships/image" Target="media/image2525.wmf"/><Relationship Id="rId9651" Type="http://schemas.openxmlformats.org/officeDocument/2006/relationships/oleObject" Target="embeddings/oleObject4804.bin"/><Relationship Id="rId11581" Type="http://schemas.openxmlformats.org/officeDocument/2006/relationships/image" Target="media/image5802.wmf"/><Relationship Id="rId12632" Type="http://schemas.openxmlformats.org/officeDocument/2006/relationships/oleObject" Target="embeddings/oleObject6265.bin"/><Relationship Id="rId1640" Type="http://schemas.openxmlformats.org/officeDocument/2006/relationships/image" Target="media/image826.wmf"/><Relationship Id="rId8253" Type="http://schemas.openxmlformats.org/officeDocument/2006/relationships/oleObject" Target="embeddings/oleObject4111.bin"/><Relationship Id="rId9304" Type="http://schemas.openxmlformats.org/officeDocument/2006/relationships/image" Target="media/image4661.wmf"/><Relationship Id="rId10183" Type="http://schemas.openxmlformats.org/officeDocument/2006/relationships/image" Target="media/image5100.wmf"/><Relationship Id="rId11234" Type="http://schemas.openxmlformats.org/officeDocument/2006/relationships/oleObject" Target="embeddings/oleObject5570.bin"/><Relationship Id="rId4863" Type="http://schemas.openxmlformats.org/officeDocument/2006/relationships/oleObject" Target="embeddings/oleObject2422.bin"/><Relationship Id="rId5914" Type="http://schemas.openxmlformats.org/officeDocument/2006/relationships/oleObject" Target="embeddings/oleObject2946.bin"/><Relationship Id="rId14457" Type="http://schemas.openxmlformats.org/officeDocument/2006/relationships/image" Target="media/image7243.wmf"/><Relationship Id="rId3465" Type="http://schemas.openxmlformats.org/officeDocument/2006/relationships/oleObject" Target="embeddings/oleObject1723.bin"/><Relationship Id="rId4516" Type="http://schemas.openxmlformats.org/officeDocument/2006/relationships/image" Target="media/image2268.wmf"/><Relationship Id="rId13059" Type="http://schemas.openxmlformats.org/officeDocument/2006/relationships/image" Target="media/image6544.wmf"/><Relationship Id="rId386" Type="http://schemas.openxmlformats.org/officeDocument/2006/relationships/oleObject" Target="embeddings/oleObject187.bin"/><Relationship Id="rId2067" Type="http://schemas.openxmlformats.org/officeDocument/2006/relationships/oleObject" Target="embeddings/oleObject1021.bin"/><Relationship Id="rId3118" Type="http://schemas.openxmlformats.org/officeDocument/2006/relationships/oleObject" Target="embeddings/oleObject1547.bin"/><Relationship Id="rId6688" Type="http://schemas.openxmlformats.org/officeDocument/2006/relationships/oleObject" Target="embeddings/oleObject3331.bin"/><Relationship Id="rId7739" Type="http://schemas.openxmlformats.org/officeDocument/2006/relationships/oleObject" Target="embeddings/oleObject3854.bin"/><Relationship Id="rId9161" Type="http://schemas.openxmlformats.org/officeDocument/2006/relationships/oleObject" Target="embeddings/oleObject4561.bin"/><Relationship Id="rId11091" Type="http://schemas.openxmlformats.org/officeDocument/2006/relationships/image" Target="media/image5557.wmf"/><Relationship Id="rId13540" Type="http://schemas.openxmlformats.org/officeDocument/2006/relationships/image" Target="media/image6785.wmf"/><Relationship Id="rId1150" Type="http://schemas.openxmlformats.org/officeDocument/2006/relationships/oleObject" Target="embeddings/oleObject565.bin"/><Relationship Id="rId12142" Type="http://schemas.openxmlformats.org/officeDocument/2006/relationships/image" Target="media/image6084.wmf"/><Relationship Id="rId520" Type="http://schemas.openxmlformats.org/officeDocument/2006/relationships/oleObject" Target="embeddings/oleObject251.bin"/><Relationship Id="rId2201" Type="http://schemas.openxmlformats.org/officeDocument/2006/relationships/oleObject" Target="embeddings/oleObject1088.bin"/><Relationship Id="rId5771" Type="http://schemas.openxmlformats.org/officeDocument/2006/relationships/image" Target="media/image2896.wmf"/><Relationship Id="rId6822" Type="http://schemas.openxmlformats.org/officeDocument/2006/relationships/oleObject" Target="embeddings/oleObject3396.bin"/><Relationship Id="rId4373" Type="http://schemas.openxmlformats.org/officeDocument/2006/relationships/oleObject" Target="embeddings/oleObject2178.bin"/><Relationship Id="rId5424" Type="http://schemas.openxmlformats.org/officeDocument/2006/relationships/oleObject" Target="embeddings/oleObject2701.bin"/><Relationship Id="rId8994" Type="http://schemas.openxmlformats.org/officeDocument/2006/relationships/oleObject" Target="embeddings/oleObject4477.bin"/><Relationship Id="rId4026" Type="http://schemas.openxmlformats.org/officeDocument/2006/relationships/oleObject" Target="embeddings/oleObject2004.bin"/><Relationship Id="rId7596" Type="http://schemas.openxmlformats.org/officeDocument/2006/relationships/image" Target="media/image3807.wmf"/><Relationship Id="rId8647" Type="http://schemas.openxmlformats.org/officeDocument/2006/relationships/oleObject" Target="embeddings/oleObject4308.bin"/><Relationship Id="rId10577" Type="http://schemas.openxmlformats.org/officeDocument/2006/relationships/oleObject" Target="embeddings/oleObject5253.bin"/><Relationship Id="rId11975" Type="http://schemas.openxmlformats.org/officeDocument/2006/relationships/oleObject" Target="embeddings/oleObject5939.bin"/><Relationship Id="rId6198" Type="http://schemas.openxmlformats.org/officeDocument/2006/relationships/oleObject" Target="embeddings/oleObject3088.bin"/><Relationship Id="rId7249" Type="http://schemas.openxmlformats.org/officeDocument/2006/relationships/oleObject" Target="embeddings/oleObject3609.bin"/><Relationship Id="rId11628" Type="http://schemas.openxmlformats.org/officeDocument/2006/relationships/oleObject" Target="embeddings/oleObject5767.bin"/><Relationship Id="rId13050" Type="http://schemas.openxmlformats.org/officeDocument/2006/relationships/oleObject" Target="embeddings/oleObject6472.bin"/><Relationship Id="rId14101" Type="http://schemas.openxmlformats.org/officeDocument/2006/relationships/image" Target="media/image7065.wmf"/><Relationship Id="rId3859" Type="http://schemas.openxmlformats.org/officeDocument/2006/relationships/oleObject" Target="embeddings/oleObject1920.bin"/><Relationship Id="rId5281" Type="http://schemas.openxmlformats.org/officeDocument/2006/relationships/image" Target="media/image2651.wmf"/><Relationship Id="rId7730" Type="http://schemas.openxmlformats.org/officeDocument/2006/relationships/image" Target="media/image3874.wmf"/><Relationship Id="rId10711" Type="http://schemas.microsoft.com/office/2007/relationships/hdphoto" Target="media/hdphoto38.wdp"/><Relationship Id="rId6332" Type="http://schemas.openxmlformats.org/officeDocument/2006/relationships/oleObject" Target="embeddings/oleObject3156.bin"/><Relationship Id="rId12883" Type="http://schemas.openxmlformats.org/officeDocument/2006/relationships/image" Target="media/image6456.wmf"/><Relationship Id="rId13934" Type="http://schemas.openxmlformats.org/officeDocument/2006/relationships/oleObject" Target="embeddings/oleObject6913.bin"/><Relationship Id="rId1891" Type="http://schemas.openxmlformats.org/officeDocument/2006/relationships/oleObject" Target="embeddings/oleObject933.bin"/><Relationship Id="rId2942" Type="http://schemas.openxmlformats.org/officeDocument/2006/relationships/oleObject" Target="embeddings/oleObject1459.bin"/><Relationship Id="rId9555" Type="http://schemas.openxmlformats.org/officeDocument/2006/relationships/oleObject" Target="embeddings/oleObject4756.bin"/><Relationship Id="rId11485" Type="http://schemas.openxmlformats.org/officeDocument/2006/relationships/image" Target="media/image5754.wmf"/><Relationship Id="rId12536" Type="http://schemas.openxmlformats.org/officeDocument/2006/relationships/oleObject" Target="embeddings/oleObject6217.bin"/><Relationship Id="rId914" Type="http://schemas.openxmlformats.org/officeDocument/2006/relationships/image" Target="media/image462.emf"/><Relationship Id="rId1544" Type="http://schemas.openxmlformats.org/officeDocument/2006/relationships/image" Target="media/image777.wmf"/><Relationship Id="rId8157" Type="http://schemas.openxmlformats.org/officeDocument/2006/relationships/oleObject" Target="embeddings/oleObject4063.bin"/><Relationship Id="rId9208" Type="http://schemas.openxmlformats.org/officeDocument/2006/relationships/image" Target="media/image4613.wmf"/><Relationship Id="rId10087" Type="http://schemas.openxmlformats.org/officeDocument/2006/relationships/image" Target="media/image5052.wmf"/><Relationship Id="rId11138" Type="http://schemas.openxmlformats.org/officeDocument/2006/relationships/oleObject" Target="embeddings/oleObject5522.bin"/><Relationship Id="rId4767" Type="http://schemas.openxmlformats.org/officeDocument/2006/relationships/oleObject" Target="embeddings/oleObject2375.bin"/><Relationship Id="rId5818" Type="http://schemas.openxmlformats.org/officeDocument/2006/relationships/oleObject" Target="embeddings/oleObject2898.bin"/><Relationship Id="rId3369" Type="http://schemas.openxmlformats.org/officeDocument/2006/relationships/oleObject" Target="embeddings/oleObject1673.bin"/><Relationship Id="rId7240" Type="http://schemas.openxmlformats.org/officeDocument/2006/relationships/image" Target="media/image3629.wmf"/><Relationship Id="rId10221" Type="http://schemas.openxmlformats.org/officeDocument/2006/relationships/image" Target="media/image5119.wmf"/><Relationship Id="rId13791" Type="http://schemas.openxmlformats.org/officeDocument/2006/relationships/image" Target="media/image6910.wmf"/><Relationship Id="rId3850" Type="http://schemas.openxmlformats.org/officeDocument/2006/relationships/image" Target="media/image1936.wmf"/><Relationship Id="rId4901" Type="http://schemas.openxmlformats.org/officeDocument/2006/relationships/oleObject" Target="embeddings/oleObject2441.bin"/><Relationship Id="rId9065" Type="http://schemas.openxmlformats.org/officeDocument/2006/relationships/image" Target="media/image4542.wmf"/><Relationship Id="rId12393" Type="http://schemas.openxmlformats.org/officeDocument/2006/relationships/image" Target="media/image6211.wmf"/><Relationship Id="rId13444" Type="http://schemas.openxmlformats.org/officeDocument/2006/relationships/image" Target="media/image6737.wmf"/><Relationship Id="rId771" Type="http://schemas.openxmlformats.org/officeDocument/2006/relationships/oleObject" Target="embeddings/oleObject377.bin"/><Relationship Id="rId2452" Type="http://schemas.openxmlformats.org/officeDocument/2006/relationships/image" Target="media/image1235.wmf"/><Relationship Id="rId3503" Type="http://schemas.openxmlformats.org/officeDocument/2006/relationships/oleObject" Target="embeddings/oleObject1742.bin"/><Relationship Id="rId12046" Type="http://schemas.openxmlformats.org/officeDocument/2006/relationships/image" Target="media/image6036.wmf"/><Relationship Id="rId424" Type="http://schemas.openxmlformats.org/officeDocument/2006/relationships/oleObject" Target="embeddings/oleObject206.bin"/><Relationship Id="rId1054" Type="http://schemas.openxmlformats.org/officeDocument/2006/relationships/oleObject" Target="embeddings/oleObject518.bin"/><Relationship Id="rId2105" Type="http://schemas.openxmlformats.org/officeDocument/2006/relationships/oleObject" Target="embeddings/oleObject1040.bin"/><Relationship Id="rId5675" Type="http://schemas.openxmlformats.org/officeDocument/2006/relationships/image" Target="media/image2848.wmf"/><Relationship Id="rId6726" Type="http://schemas.openxmlformats.org/officeDocument/2006/relationships/oleObject" Target="embeddings/oleObject3350.bin"/><Relationship Id="rId4277" Type="http://schemas.openxmlformats.org/officeDocument/2006/relationships/image" Target="media/image2149.wmf"/><Relationship Id="rId5328" Type="http://schemas.openxmlformats.org/officeDocument/2006/relationships/oleObject" Target="embeddings/oleObject2653.bin"/><Relationship Id="rId8898" Type="http://schemas.openxmlformats.org/officeDocument/2006/relationships/oleObject" Target="embeddings/oleObject4429.bin"/><Relationship Id="rId9949" Type="http://schemas.openxmlformats.org/officeDocument/2006/relationships/image" Target="media/image4983.wmf"/><Relationship Id="rId11879" Type="http://schemas.openxmlformats.org/officeDocument/2006/relationships/oleObject" Target="embeddings/oleObject5891.bin"/><Relationship Id="rId1938" Type="http://schemas.openxmlformats.org/officeDocument/2006/relationships/image" Target="media/image975.wmf"/><Relationship Id="rId3360" Type="http://schemas.openxmlformats.org/officeDocument/2006/relationships/image" Target="media/image1689.wmf"/><Relationship Id="rId14352" Type="http://schemas.openxmlformats.org/officeDocument/2006/relationships/oleObject" Target="embeddings/oleObject7122.bin"/><Relationship Id="rId281" Type="http://schemas.openxmlformats.org/officeDocument/2006/relationships/oleObject" Target="embeddings/oleObject135.bin"/><Relationship Id="rId3013" Type="http://schemas.openxmlformats.org/officeDocument/2006/relationships/image" Target="media/image1516.wmf"/><Relationship Id="rId4411" Type="http://schemas.openxmlformats.org/officeDocument/2006/relationships/oleObject" Target="embeddings/oleObject2197.bin"/><Relationship Id="rId7981" Type="http://schemas.openxmlformats.org/officeDocument/2006/relationships/oleObject" Target="embeddings/oleObject3975.bin"/><Relationship Id="rId10962" Type="http://schemas.openxmlformats.org/officeDocument/2006/relationships/image" Target="media/image5491.wmf"/><Relationship Id="rId14005" Type="http://schemas.openxmlformats.org/officeDocument/2006/relationships/image" Target="media/image7017.wmf"/><Relationship Id="rId6583" Type="http://schemas.openxmlformats.org/officeDocument/2006/relationships/image" Target="media/image3301.wmf"/><Relationship Id="rId7634" Type="http://schemas.openxmlformats.org/officeDocument/2006/relationships/image" Target="media/image3826.wmf"/><Relationship Id="rId10615" Type="http://schemas.openxmlformats.org/officeDocument/2006/relationships/oleObject" Target="embeddings/oleObject5272.bin"/><Relationship Id="rId5185" Type="http://schemas.openxmlformats.org/officeDocument/2006/relationships/oleObject" Target="embeddings/oleObject2582.bin"/><Relationship Id="rId6236" Type="http://schemas.openxmlformats.org/officeDocument/2006/relationships/oleObject" Target="embeddings/oleObject3107.bin"/><Relationship Id="rId12787" Type="http://schemas.openxmlformats.org/officeDocument/2006/relationships/image" Target="media/image6408.wmf"/><Relationship Id="rId1795" Type="http://schemas.openxmlformats.org/officeDocument/2006/relationships/oleObject" Target="embeddings/oleObject885.bin"/><Relationship Id="rId2846" Type="http://schemas.openxmlformats.org/officeDocument/2006/relationships/oleObject" Target="embeddings/oleObject1411.bin"/><Relationship Id="rId9459" Type="http://schemas.openxmlformats.org/officeDocument/2006/relationships/oleObject" Target="embeddings/oleObject4708.bin"/><Relationship Id="rId11389" Type="http://schemas.openxmlformats.org/officeDocument/2006/relationships/image" Target="media/image5706.wmf"/><Relationship Id="rId13838" Type="http://schemas.openxmlformats.org/officeDocument/2006/relationships/oleObject" Target="embeddings/oleObject6865.bin"/><Relationship Id="rId818" Type="http://schemas.openxmlformats.org/officeDocument/2006/relationships/image" Target="media/image414.wmf"/><Relationship Id="rId1448" Type="http://schemas.openxmlformats.org/officeDocument/2006/relationships/image" Target="media/image729.wmf"/><Relationship Id="rId7491" Type="http://schemas.openxmlformats.org/officeDocument/2006/relationships/oleObject" Target="embeddings/oleObject3730.bin"/><Relationship Id="rId9940" Type="http://schemas.openxmlformats.org/officeDocument/2006/relationships/oleObject" Target="embeddings/oleObject4940.bin"/><Relationship Id="rId11870" Type="http://schemas.openxmlformats.org/officeDocument/2006/relationships/image" Target="media/image5948.wmf"/><Relationship Id="rId12921" Type="http://schemas.openxmlformats.org/officeDocument/2006/relationships/image" Target="media/image6475.wmf"/><Relationship Id="rId6093" Type="http://schemas.openxmlformats.org/officeDocument/2006/relationships/image" Target="media/image3057.wmf"/><Relationship Id="rId7144" Type="http://schemas.openxmlformats.org/officeDocument/2006/relationships/image" Target="media/image3581.wmf"/><Relationship Id="rId8542" Type="http://schemas.openxmlformats.org/officeDocument/2006/relationships/image" Target="media/image4280.wmf"/><Relationship Id="rId10472" Type="http://schemas.openxmlformats.org/officeDocument/2006/relationships/image" Target="media/image5245.png"/><Relationship Id="rId11523" Type="http://schemas.openxmlformats.org/officeDocument/2006/relationships/image" Target="media/image5773.wmf"/><Relationship Id="rId10125" Type="http://schemas.openxmlformats.org/officeDocument/2006/relationships/image" Target="media/image5071.wmf"/><Relationship Id="rId13695" Type="http://schemas.openxmlformats.org/officeDocument/2006/relationships/image" Target="media/image6862.wmf"/><Relationship Id="rId3754" Type="http://schemas.openxmlformats.org/officeDocument/2006/relationships/image" Target="media/image1888.wmf"/><Relationship Id="rId4805" Type="http://schemas.openxmlformats.org/officeDocument/2006/relationships/oleObject" Target="embeddings/oleObject2393.bin"/><Relationship Id="rId12297" Type="http://schemas.openxmlformats.org/officeDocument/2006/relationships/image" Target="media/image6163.wmf"/><Relationship Id="rId13348" Type="http://schemas.openxmlformats.org/officeDocument/2006/relationships/image" Target="media/image6689.wmf"/><Relationship Id="rId675" Type="http://schemas.openxmlformats.org/officeDocument/2006/relationships/oleObject" Target="embeddings/oleObject326.bin"/><Relationship Id="rId2356" Type="http://schemas.openxmlformats.org/officeDocument/2006/relationships/oleObject" Target="embeddings/oleObject1167.bin"/><Relationship Id="rId3407" Type="http://schemas.openxmlformats.org/officeDocument/2006/relationships/oleObject" Target="embeddings/oleObject1693.bin"/><Relationship Id="rId6977" Type="http://schemas.openxmlformats.org/officeDocument/2006/relationships/image" Target="media/image3498.wmf"/><Relationship Id="rId328" Type="http://schemas.openxmlformats.org/officeDocument/2006/relationships/image" Target="media/image163.wmf"/><Relationship Id="rId2009" Type="http://schemas.openxmlformats.org/officeDocument/2006/relationships/oleObject" Target="embeddings/oleObject992.bin"/><Relationship Id="rId5579" Type="http://schemas.openxmlformats.org/officeDocument/2006/relationships/image" Target="media/image2800.wmf"/><Relationship Id="rId9450" Type="http://schemas.openxmlformats.org/officeDocument/2006/relationships/image" Target="media/image4734.wmf"/><Relationship Id="rId8052" Type="http://schemas.openxmlformats.org/officeDocument/2006/relationships/image" Target="media/image4035.wmf"/><Relationship Id="rId9103" Type="http://schemas.openxmlformats.org/officeDocument/2006/relationships/image" Target="media/image4561.wmf"/><Relationship Id="rId11033" Type="http://schemas.openxmlformats.org/officeDocument/2006/relationships/oleObject" Target="embeddings/oleObject5472.bin"/><Relationship Id="rId11380" Type="http://schemas.openxmlformats.org/officeDocument/2006/relationships/oleObject" Target="embeddings/oleObject5643.bin"/><Relationship Id="rId12431" Type="http://schemas.openxmlformats.org/officeDocument/2006/relationships/image" Target="media/image6230.wmf"/><Relationship Id="rId4662" Type="http://schemas.openxmlformats.org/officeDocument/2006/relationships/image" Target="media/image2341.wmf"/><Relationship Id="rId5713" Type="http://schemas.openxmlformats.org/officeDocument/2006/relationships/image" Target="media/image2867.wmf"/><Relationship Id="rId14256" Type="http://schemas.openxmlformats.org/officeDocument/2006/relationships/oleObject" Target="embeddings/oleObject7074.bin"/><Relationship Id="rId185" Type="http://schemas.openxmlformats.org/officeDocument/2006/relationships/oleObject" Target="embeddings/oleObject87.bin"/><Relationship Id="rId3264" Type="http://schemas.openxmlformats.org/officeDocument/2006/relationships/image" Target="media/image1641.wmf"/><Relationship Id="rId4315" Type="http://schemas.openxmlformats.org/officeDocument/2006/relationships/image" Target="media/image2168.wmf"/><Relationship Id="rId7885" Type="http://schemas.openxmlformats.org/officeDocument/2006/relationships/oleObject" Target="embeddings/oleObject3927.bin"/><Relationship Id="rId8936" Type="http://schemas.openxmlformats.org/officeDocument/2006/relationships/oleObject" Target="embeddings/oleObject4448.bin"/><Relationship Id="rId10866" Type="http://schemas.openxmlformats.org/officeDocument/2006/relationships/image" Target="media/image5442.wmf"/><Relationship Id="rId6487" Type="http://schemas.openxmlformats.org/officeDocument/2006/relationships/image" Target="media/image3253.wmf"/><Relationship Id="rId7538" Type="http://schemas.openxmlformats.org/officeDocument/2006/relationships/image" Target="media/image3778.wmf"/><Relationship Id="rId10519" Type="http://schemas.openxmlformats.org/officeDocument/2006/relationships/oleObject" Target="embeddings/oleObject5224.bin"/><Relationship Id="rId11917" Type="http://schemas.openxmlformats.org/officeDocument/2006/relationships/oleObject" Target="embeddings/oleObject5910.bin"/><Relationship Id="rId5089" Type="http://schemas.openxmlformats.org/officeDocument/2006/relationships/oleObject" Target="embeddings/oleObject2534.bin"/><Relationship Id="rId1699" Type="http://schemas.openxmlformats.org/officeDocument/2006/relationships/oleObject" Target="embeddings/oleObject837.bin"/><Relationship Id="rId2000" Type="http://schemas.openxmlformats.org/officeDocument/2006/relationships/image" Target="media/image1006.wmf"/><Relationship Id="rId5570" Type="http://schemas.openxmlformats.org/officeDocument/2006/relationships/oleObject" Target="embeddings/oleObject2774.bin"/><Relationship Id="rId4172" Type="http://schemas.openxmlformats.org/officeDocument/2006/relationships/oleObject" Target="embeddings/oleObject2077.bin"/><Relationship Id="rId5223" Type="http://schemas.openxmlformats.org/officeDocument/2006/relationships/image" Target="media/image2622.wmf"/><Relationship Id="rId6621" Type="http://schemas.openxmlformats.org/officeDocument/2006/relationships/image" Target="media/image3320.wmf"/><Relationship Id="rId8793" Type="http://schemas.openxmlformats.org/officeDocument/2006/relationships/image" Target="media/image4406.wmf"/><Relationship Id="rId9844" Type="http://schemas.openxmlformats.org/officeDocument/2006/relationships/oleObject" Target="embeddings/oleObject4894.bin"/><Relationship Id="rId11774" Type="http://schemas.openxmlformats.org/officeDocument/2006/relationships/image" Target="media/image5900.wmf"/><Relationship Id="rId12825" Type="http://schemas.openxmlformats.org/officeDocument/2006/relationships/image" Target="media/image6427.wmf"/><Relationship Id="rId58" Type="http://schemas.openxmlformats.org/officeDocument/2006/relationships/oleObject" Target="embeddings/oleObject25.bin"/><Relationship Id="rId1833" Type="http://schemas.openxmlformats.org/officeDocument/2006/relationships/oleObject" Target="embeddings/oleObject904.bin"/><Relationship Id="rId7048" Type="http://schemas.openxmlformats.org/officeDocument/2006/relationships/oleObject" Target="embeddings/oleObject3509.bin"/><Relationship Id="rId7395" Type="http://schemas.openxmlformats.org/officeDocument/2006/relationships/oleObject" Target="embeddings/oleObject3682.bin"/><Relationship Id="rId8446" Type="http://schemas.openxmlformats.org/officeDocument/2006/relationships/image" Target="media/image4232.wmf"/><Relationship Id="rId10376" Type="http://schemas.openxmlformats.org/officeDocument/2006/relationships/oleObject" Target="embeddings/oleObject5155.bin"/><Relationship Id="rId11427" Type="http://schemas.openxmlformats.org/officeDocument/2006/relationships/image" Target="media/image5725.wmf"/><Relationship Id="rId10029" Type="http://schemas.openxmlformats.org/officeDocument/2006/relationships/image" Target="media/image5023.wmf"/><Relationship Id="rId13599" Type="http://schemas.openxmlformats.org/officeDocument/2006/relationships/oleObject" Target="embeddings/oleObject6745.bin"/><Relationship Id="rId3658" Type="http://schemas.openxmlformats.org/officeDocument/2006/relationships/image" Target="media/image1840.wmf"/><Relationship Id="rId4709" Type="http://schemas.openxmlformats.org/officeDocument/2006/relationships/oleObject" Target="embeddings/oleObject2346.bin"/><Relationship Id="rId579" Type="http://schemas.openxmlformats.org/officeDocument/2006/relationships/oleObject" Target="embeddings/oleObject279.bin"/><Relationship Id="rId5080" Type="http://schemas.openxmlformats.org/officeDocument/2006/relationships/image" Target="media/image2550.wmf"/><Relationship Id="rId6131" Type="http://schemas.openxmlformats.org/officeDocument/2006/relationships/image" Target="media/image3076.wmf"/><Relationship Id="rId10510" Type="http://schemas.openxmlformats.org/officeDocument/2006/relationships/image" Target="media/image5264.wmf"/><Relationship Id="rId9354" Type="http://schemas.openxmlformats.org/officeDocument/2006/relationships/image" Target="media/image4686.wmf"/><Relationship Id="rId12682" Type="http://schemas.openxmlformats.org/officeDocument/2006/relationships/oleObject" Target="embeddings/oleObject6290.bin"/><Relationship Id="rId13733" Type="http://schemas.openxmlformats.org/officeDocument/2006/relationships/image" Target="media/image6881.wmf"/><Relationship Id="rId1690" Type="http://schemas.openxmlformats.org/officeDocument/2006/relationships/image" Target="media/image851.wmf"/><Relationship Id="rId2741" Type="http://schemas.openxmlformats.org/officeDocument/2006/relationships/oleObject" Target="embeddings/oleObject1358.bin"/><Relationship Id="rId9007" Type="http://schemas.openxmlformats.org/officeDocument/2006/relationships/image" Target="media/image4513.wmf"/><Relationship Id="rId11284" Type="http://schemas.openxmlformats.org/officeDocument/2006/relationships/oleObject" Target="embeddings/oleObject5595.bin"/><Relationship Id="rId12335" Type="http://schemas.openxmlformats.org/officeDocument/2006/relationships/image" Target="media/image6182.wmf"/><Relationship Id="rId713" Type="http://schemas.openxmlformats.org/officeDocument/2006/relationships/oleObject" Target="embeddings/oleObject345.bin"/><Relationship Id="rId1343" Type="http://schemas.openxmlformats.org/officeDocument/2006/relationships/oleObject" Target="embeddings/oleObject661.bin"/><Relationship Id="rId5964" Type="http://schemas.openxmlformats.org/officeDocument/2006/relationships/oleObject" Target="embeddings/oleObject2971.bin"/><Relationship Id="rId4566" Type="http://schemas.openxmlformats.org/officeDocument/2006/relationships/image" Target="media/image2293.wmf"/><Relationship Id="rId5617" Type="http://schemas.openxmlformats.org/officeDocument/2006/relationships/image" Target="media/image2819.wmf"/><Relationship Id="rId3168" Type="http://schemas.openxmlformats.org/officeDocument/2006/relationships/oleObject" Target="embeddings/oleObject1572.bin"/><Relationship Id="rId4219" Type="http://schemas.openxmlformats.org/officeDocument/2006/relationships/image" Target="media/image2120.wmf"/><Relationship Id="rId7789" Type="http://schemas.openxmlformats.org/officeDocument/2006/relationships/oleObject" Target="embeddings/oleObject3879.bin"/><Relationship Id="rId10020" Type="http://schemas.openxmlformats.org/officeDocument/2006/relationships/oleObject" Target="embeddings/oleObject4979.bin"/><Relationship Id="rId13590" Type="http://schemas.openxmlformats.org/officeDocument/2006/relationships/image" Target="media/image6810.wmf"/><Relationship Id="rId12192" Type="http://schemas.openxmlformats.org/officeDocument/2006/relationships/image" Target="media/image6109.wmf"/><Relationship Id="rId13243" Type="http://schemas.openxmlformats.org/officeDocument/2006/relationships/image" Target="media/image6636.wmf"/><Relationship Id="rId570" Type="http://schemas.openxmlformats.org/officeDocument/2006/relationships/image" Target="media/image286.wmf"/><Relationship Id="rId2251" Type="http://schemas.openxmlformats.org/officeDocument/2006/relationships/image" Target="media/image1132.wmf"/><Relationship Id="rId3302" Type="http://schemas.openxmlformats.org/officeDocument/2006/relationships/image" Target="media/image1660.wmf"/><Relationship Id="rId4700" Type="http://schemas.openxmlformats.org/officeDocument/2006/relationships/image" Target="media/image2360.wmf"/><Relationship Id="rId223" Type="http://schemas.openxmlformats.org/officeDocument/2006/relationships/oleObject" Target="embeddings/oleObject106.bin"/><Relationship Id="rId6872" Type="http://schemas.openxmlformats.org/officeDocument/2006/relationships/oleObject" Target="embeddings/oleObject3421.bin"/><Relationship Id="rId7923" Type="http://schemas.openxmlformats.org/officeDocument/2006/relationships/oleObject" Target="embeddings/oleObject3946.bin"/><Relationship Id="rId10904" Type="http://schemas.openxmlformats.org/officeDocument/2006/relationships/image" Target="media/image5461.wmf"/><Relationship Id="rId4076" Type="http://schemas.openxmlformats.org/officeDocument/2006/relationships/oleObject" Target="embeddings/oleObject2029.bin"/><Relationship Id="rId5474" Type="http://schemas.openxmlformats.org/officeDocument/2006/relationships/oleObject" Target="embeddings/oleObject2726.bin"/><Relationship Id="rId6525" Type="http://schemas.openxmlformats.org/officeDocument/2006/relationships/image" Target="media/image3272.wmf"/><Relationship Id="rId5127" Type="http://schemas.openxmlformats.org/officeDocument/2006/relationships/oleObject" Target="embeddings/oleObject2553.bin"/><Relationship Id="rId8697" Type="http://schemas.openxmlformats.org/officeDocument/2006/relationships/image" Target="media/image4358.wmf"/><Relationship Id="rId9748" Type="http://schemas.openxmlformats.org/officeDocument/2006/relationships/image" Target="media/image4883.wmf"/><Relationship Id="rId11678" Type="http://schemas.openxmlformats.org/officeDocument/2006/relationships/image" Target="media/image5852.wmf"/><Relationship Id="rId12729" Type="http://schemas.openxmlformats.org/officeDocument/2006/relationships/image" Target="media/image6379.wmf"/><Relationship Id="rId1737" Type="http://schemas.openxmlformats.org/officeDocument/2006/relationships/oleObject" Target="embeddings/oleObject856.bin"/><Relationship Id="rId7299" Type="http://schemas.openxmlformats.org/officeDocument/2006/relationships/oleObject" Target="embeddings/oleObject3634.bin"/><Relationship Id="rId14151" Type="http://schemas.openxmlformats.org/officeDocument/2006/relationships/image" Target="media/image7090.wmf"/><Relationship Id="rId4210" Type="http://schemas.openxmlformats.org/officeDocument/2006/relationships/oleObject" Target="embeddings/oleObject2096.bin"/><Relationship Id="rId7780" Type="http://schemas.openxmlformats.org/officeDocument/2006/relationships/image" Target="media/image3899.wmf"/><Relationship Id="rId6382" Type="http://schemas.openxmlformats.org/officeDocument/2006/relationships/oleObject" Target="embeddings/oleObject3181.bin"/><Relationship Id="rId7433" Type="http://schemas.openxmlformats.org/officeDocument/2006/relationships/oleObject" Target="embeddings/oleObject3701.bin"/><Relationship Id="rId8831" Type="http://schemas.openxmlformats.org/officeDocument/2006/relationships/image" Target="media/image4425.wmf"/><Relationship Id="rId10761" Type="http://schemas.openxmlformats.org/officeDocument/2006/relationships/oleObject" Target="embeddings/oleObject5343.bin"/><Relationship Id="rId11812" Type="http://schemas.openxmlformats.org/officeDocument/2006/relationships/image" Target="media/image5919.wmf"/><Relationship Id="rId6035" Type="http://schemas.openxmlformats.org/officeDocument/2006/relationships/image" Target="media/image3028.wmf"/><Relationship Id="rId10414" Type="http://schemas.openxmlformats.org/officeDocument/2006/relationships/image" Target="media/image5216.wmf"/><Relationship Id="rId13984" Type="http://schemas.openxmlformats.org/officeDocument/2006/relationships/oleObject" Target="embeddings/oleObject6938.bin"/><Relationship Id="rId2992" Type="http://schemas.openxmlformats.org/officeDocument/2006/relationships/oleObject" Target="embeddings/oleObject1484.bin"/><Relationship Id="rId9258" Type="http://schemas.openxmlformats.org/officeDocument/2006/relationships/image" Target="media/image4638.wmf"/><Relationship Id="rId12586" Type="http://schemas.openxmlformats.org/officeDocument/2006/relationships/oleObject" Target="embeddings/oleObject6242.bin"/><Relationship Id="rId13637" Type="http://schemas.openxmlformats.org/officeDocument/2006/relationships/oleObject" Target="embeddings/oleObject6764.bin"/><Relationship Id="rId964" Type="http://schemas.openxmlformats.org/officeDocument/2006/relationships/oleObject" Target="embeddings/oleObject473.bin"/><Relationship Id="rId1594" Type="http://schemas.openxmlformats.org/officeDocument/2006/relationships/image" Target="media/image803.wmf"/><Relationship Id="rId2645" Type="http://schemas.openxmlformats.org/officeDocument/2006/relationships/oleObject" Target="embeddings/oleObject1310.bin"/><Relationship Id="rId11188" Type="http://schemas.openxmlformats.org/officeDocument/2006/relationships/oleObject" Target="embeddings/oleObject5547.bin"/><Relationship Id="rId12239" Type="http://schemas.openxmlformats.org/officeDocument/2006/relationships/oleObject" Target="embeddings/oleObject6071.bin"/><Relationship Id="rId617" Type="http://schemas.openxmlformats.org/officeDocument/2006/relationships/oleObject" Target="embeddings/oleObject298.bin"/><Relationship Id="rId1247" Type="http://schemas.openxmlformats.org/officeDocument/2006/relationships/oleObject" Target="embeddings/oleObject613.bin"/><Relationship Id="rId5868" Type="http://schemas.openxmlformats.org/officeDocument/2006/relationships/oleObject" Target="embeddings/oleObject2923.bin"/><Relationship Id="rId6919" Type="http://schemas.openxmlformats.org/officeDocument/2006/relationships/image" Target="media/image3469.wmf"/><Relationship Id="rId7290" Type="http://schemas.openxmlformats.org/officeDocument/2006/relationships/image" Target="media/image3654.wmf"/><Relationship Id="rId8341" Type="http://schemas.openxmlformats.org/officeDocument/2006/relationships/oleObject" Target="embeddings/oleObject4155.bin"/><Relationship Id="rId10271" Type="http://schemas.openxmlformats.org/officeDocument/2006/relationships/image" Target="media/image5144.wmf"/><Relationship Id="rId11322" Type="http://schemas.openxmlformats.org/officeDocument/2006/relationships/oleObject" Target="embeddings/oleObject5614.bin"/><Relationship Id="rId12720" Type="http://schemas.openxmlformats.org/officeDocument/2006/relationships/oleObject" Target="embeddings/oleObject6309.bin"/><Relationship Id="rId4951" Type="http://schemas.openxmlformats.org/officeDocument/2006/relationships/oleObject" Target="embeddings/oleObject2465.bin"/><Relationship Id="rId12096" Type="http://schemas.openxmlformats.org/officeDocument/2006/relationships/image" Target="media/image6061.wmf"/><Relationship Id="rId13494" Type="http://schemas.openxmlformats.org/officeDocument/2006/relationships/image" Target="media/image6762.wmf"/><Relationship Id="rId14545" Type="http://schemas.openxmlformats.org/officeDocument/2006/relationships/image" Target="media/image7287.wmf"/><Relationship Id="rId474" Type="http://schemas.openxmlformats.org/officeDocument/2006/relationships/oleObject" Target="embeddings/oleObject228.bin"/><Relationship Id="rId2155" Type="http://schemas.openxmlformats.org/officeDocument/2006/relationships/oleObject" Target="embeddings/oleObject1065.bin"/><Relationship Id="rId3553" Type="http://schemas.openxmlformats.org/officeDocument/2006/relationships/oleObject" Target="embeddings/oleObject1767.bin"/><Relationship Id="rId4604" Type="http://schemas.openxmlformats.org/officeDocument/2006/relationships/image" Target="media/image2312.wmf"/><Relationship Id="rId13147" Type="http://schemas.openxmlformats.org/officeDocument/2006/relationships/image" Target="media/image6588.wmf"/><Relationship Id="rId127" Type="http://schemas.openxmlformats.org/officeDocument/2006/relationships/image" Target="media/image61.wmf"/><Relationship Id="rId3206" Type="http://schemas.openxmlformats.org/officeDocument/2006/relationships/oleObject" Target="embeddings/oleObject1591.bin"/><Relationship Id="rId6776" Type="http://schemas.openxmlformats.org/officeDocument/2006/relationships/oleObject" Target="embeddings/oleObject3375.bin"/><Relationship Id="rId7827" Type="http://schemas.openxmlformats.org/officeDocument/2006/relationships/oleObject" Target="embeddings/oleObject3898.bin"/><Relationship Id="rId10808" Type="http://schemas.openxmlformats.org/officeDocument/2006/relationships/image" Target="media/image5413.wmf"/><Relationship Id="rId5378" Type="http://schemas.openxmlformats.org/officeDocument/2006/relationships/oleObject" Target="embeddings/oleObject2678.bin"/><Relationship Id="rId6429" Type="http://schemas.openxmlformats.org/officeDocument/2006/relationships/image" Target="media/image3224.wmf"/><Relationship Id="rId9999" Type="http://schemas.openxmlformats.org/officeDocument/2006/relationships/image" Target="media/image5008.wmf"/><Relationship Id="rId12230" Type="http://schemas.openxmlformats.org/officeDocument/2006/relationships/image" Target="media/image6128.wmf"/><Relationship Id="rId1988" Type="http://schemas.openxmlformats.org/officeDocument/2006/relationships/image" Target="media/image1000.wmf"/><Relationship Id="rId4461" Type="http://schemas.openxmlformats.org/officeDocument/2006/relationships/oleObject" Target="embeddings/oleObject2222.bin"/><Relationship Id="rId5512" Type="http://schemas.openxmlformats.org/officeDocument/2006/relationships/oleObject" Target="embeddings/oleObject2745.bin"/><Relationship Id="rId6910" Type="http://schemas.openxmlformats.org/officeDocument/2006/relationships/oleObject" Target="embeddings/oleObject3440.bin"/><Relationship Id="rId14055" Type="http://schemas.openxmlformats.org/officeDocument/2006/relationships/image" Target="media/image7042.wmf"/><Relationship Id="rId3063" Type="http://schemas.openxmlformats.org/officeDocument/2006/relationships/image" Target="media/image1541.wmf"/><Relationship Id="rId4114" Type="http://schemas.openxmlformats.org/officeDocument/2006/relationships/oleObject" Target="embeddings/oleObject2048.bin"/><Relationship Id="rId6286" Type="http://schemas.openxmlformats.org/officeDocument/2006/relationships/oleObject" Target="embeddings/oleObject3132.bin"/><Relationship Id="rId7337" Type="http://schemas.openxmlformats.org/officeDocument/2006/relationships/oleObject" Target="embeddings/oleObject3653.bin"/><Relationship Id="rId7684" Type="http://schemas.openxmlformats.org/officeDocument/2006/relationships/image" Target="media/image3851.wmf"/><Relationship Id="rId8735" Type="http://schemas.openxmlformats.org/officeDocument/2006/relationships/image" Target="media/image4377.wmf"/><Relationship Id="rId10665" Type="http://schemas.openxmlformats.org/officeDocument/2006/relationships/oleObject" Target="embeddings/oleObject5297.bin"/><Relationship Id="rId11716" Type="http://schemas.openxmlformats.org/officeDocument/2006/relationships/image" Target="media/image5871.wmf"/><Relationship Id="rId10318" Type="http://schemas.openxmlformats.org/officeDocument/2006/relationships/oleObject" Target="embeddings/oleObject5126.bin"/><Relationship Id="rId13888" Type="http://schemas.openxmlformats.org/officeDocument/2006/relationships/oleObject" Target="embeddings/oleObject6890.bin"/><Relationship Id="rId2896" Type="http://schemas.openxmlformats.org/officeDocument/2006/relationships/oleObject" Target="embeddings/oleObject1436.bin"/><Relationship Id="rId3947" Type="http://schemas.openxmlformats.org/officeDocument/2006/relationships/oleObject" Target="embeddings/oleObject1964.bin"/><Relationship Id="rId868" Type="http://schemas.openxmlformats.org/officeDocument/2006/relationships/image" Target="media/image439.wmf"/><Relationship Id="rId1498" Type="http://schemas.openxmlformats.org/officeDocument/2006/relationships/image" Target="media/image754.png"/><Relationship Id="rId2549" Type="http://schemas.openxmlformats.org/officeDocument/2006/relationships/oleObject" Target="embeddings/oleObject1262.bin"/><Relationship Id="rId6420" Type="http://schemas.openxmlformats.org/officeDocument/2006/relationships/oleObject" Target="embeddings/oleObject3200.bin"/><Relationship Id="rId9990" Type="http://schemas.openxmlformats.org/officeDocument/2006/relationships/oleObject" Target="embeddings/oleObject4964.bin"/><Relationship Id="rId5022" Type="http://schemas.openxmlformats.org/officeDocument/2006/relationships/image" Target="media/image2521.wmf"/><Relationship Id="rId8592" Type="http://schemas.openxmlformats.org/officeDocument/2006/relationships/image" Target="media/image4305.wmf"/><Relationship Id="rId9643" Type="http://schemas.openxmlformats.org/officeDocument/2006/relationships/oleObject" Target="embeddings/oleObject4800.bin"/><Relationship Id="rId12971" Type="http://schemas.openxmlformats.org/officeDocument/2006/relationships/image" Target="media/image6500.wmf"/><Relationship Id="rId7194" Type="http://schemas.openxmlformats.org/officeDocument/2006/relationships/image" Target="media/image3606.wmf"/><Relationship Id="rId8245" Type="http://schemas.openxmlformats.org/officeDocument/2006/relationships/oleObject" Target="embeddings/oleObject4107.bin"/><Relationship Id="rId10175" Type="http://schemas.openxmlformats.org/officeDocument/2006/relationships/image" Target="media/image5096.wmf"/><Relationship Id="rId11573" Type="http://schemas.openxmlformats.org/officeDocument/2006/relationships/image" Target="media/image5798.wmf"/><Relationship Id="rId12624" Type="http://schemas.openxmlformats.org/officeDocument/2006/relationships/oleObject" Target="embeddings/oleObject6261.bin"/><Relationship Id="rId1632" Type="http://schemas.openxmlformats.org/officeDocument/2006/relationships/image" Target="media/image822.wmf"/><Relationship Id="rId11226" Type="http://schemas.openxmlformats.org/officeDocument/2006/relationships/oleObject" Target="embeddings/oleObject5566.bin"/><Relationship Id="rId4855" Type="http://schemas.openxmlformats.org/officeDocument/2006/relationships/oleObject" Target="embeddings/oleObject2418.bin"/><Relationship Id="rId5906" Type="http://schemas.openxmlformats.org/officeDocument/2006/relationships/oleObject" Target="embeddings/oleObject2942.bin"/><Relationship Id="rId13398" Type="http://schemas.openxmlformats.org/officeDocument/2006/relationships/image" Target="media/image6714.wmf"/><Relationship Id="rId14449" Type="http://schemas.openxmlformats.org/officeDocument/2006/relationships/image" Target="media/image7239.wmf"/><Relationship Id="rId3457" Type="http://schemas.openxmlformats.org/officeDocument/2006/relationships/oleObject" Target="embeddings/oleObject1719.bin"/><Relationship Id="rId4508" Type="http://schemas.openxmlformats.org/officeDocument/2006/relationships/image" Target="media/image2264.wmf"/><Relationship Id="rId378" Type="http://schemas.openxmlformats.org/officeDocument/2006/relationships/image" Target="media/image188.wmf"/><Relationship Id="rId2059" Type="http://schemas.openxmlformats.org/officeDocument/2006/relationships/oleObject" Target="embeddings/oleObject1017.bin"/><Relationship Id="rId12481" Type="http://schemas.openxmlformats.org/officeDocument/2006/relationships/image" Target="media/image6255.wmf"/><Relationship Id="rId13532" Type="http://schemas.openxmlformats.org/officeDocument/2006/relationships/image" Target="media/image6781.wmf"/><Relationship Id="rId2540" Type="http://schemas.openxmlformats.org/officeDocument/2006/relationships/image" Target="media/image1280.wmf"/><Relationship Id="rId9153" Type="http://schemas.openxmlformats.org/officeDocument/2006/relationships/image" Target="media/image4586.wmf"/><Relationship Id="rId11083" Type="http://schemas.openxmlformats.org/officeDocument/2006/relationships/image" Target="media/image5553.wmf"/><Relationship Id="rId12134" Type="http://schemas.openxmlformats.org/officeDocument/2006/relationships/image" Target="media/image6080.wmf"/><Relationship Id="rId512" Type="http://schemas.openxmlformats.org/officeDocument/2006/relationships/oleObject" Target="embeddings/oleObject247.bin"/><Relationship Id="rId1142" Type="http://schemas.openxmlformats.org/officeDocument/2006/relationships/oleObject" Target="embeddings/oleObject561.bin"/><Relationship Id="rId4365" Type="http://schemas.openxmlformats.org/officeDocument/2006/relationships/oleObject" Target="embeddings/oleObject2174.bin"/><Relationship Id="rId5763" Type="http://schemas.openxmlformats.org/officeDocument/2006/relationships/image" Target="media/image2892.wmf"/><Relationship Id="rId6814" Type="http://schemas.openxmlformats.org/officeDocument/2006/relationships/oleObject" Target="embeddings/oleObject3392.bin"/><Relationship Id="rId4018" Type="http://schemas.openxmlformats.org/officeDocument/2006/relationships/oleObject" Target="embeddings/oleObject2000.bin"/><Relationship Id="rId5416" Type="http://schemas.openxmlformats.org/officeDocument/2006/relationships/oleObject" Target="embeddings/oleObject2697.bin"/><Relationship Id="rId8986" Type="http://schemas.openxmlformats.org/officeDocument/2006/relationships/oleObject" Target="embeddings/oleObject4473.bin"/><Relationship Id="rId11967" Type="http://schemas.openxmlformats.org/officeDocument/2006/relationships/oleObject" Target="embeddings/oleObject5935.bin"/><Relationship Id="rId7588" Type="http://schemas.openxmlformats.org/officeDocument/2006/relationships/image" Target="media/image3803.wmf"/><Relationship Id="rId8639" Type="http://schemas.openxmlformats.org/officeDocument/2006/relationships/oleObject" Target="embeddings/oleObject4304.bin"/><Relationship Id="rId10569" Type="http://schemas.openxmlformats.org/officeDocument/2006/relationships/oleObject" Target="embeddings/oleObject5249.bin"/><Relationship Id="rId14440" Type="http://schemas.openxmlformats.org/officeDocument/2006/relationships/oleObject" Target="embeddings/oleObject7160.bin"/><Relationship Id="rId13042" Type="http://schemas.openxmlformats.org/officeDocument/2006/relationships/oleObject" Target="embeddings/oleObject6468.bin"/><Relationship Id="rId2050" Type="http://schemas.openxmlformats.org/officeDocument/2006/relationships/image" Target="media/image1031.wmf"/><Relationship Id="rId3101" Type="http://schemas.openxmlformats.org/officeDocument/2006/relationships/image" Target="media/image1560.wmf"/><Relationship Id="rId6671" Type="http://schemas.openxmlformats.org/officeDocument/2006/relationships/image" Target="media/image3345.wmf"/><Relationship Id="rId7722" Type="http://schemas.openxmlformats.org/officeDocument/2006/relationships/image" Target="media/image3870.wmf"/><Relationship Id="rId5273" Type="http://schemas.openxmlformats.org/officeDocument/2006/relationships/image" Target="media/image2647.wmf"/><Relationship Id="rId6324" Type="http://schemas.openxmlformats.org/officeDocument/2006/relationships/image" Target="media/image3172.wmf"/><Relationship Id="rId10703" Type="http://schemas.openxmlformats.org/officeDocument/2006/relationships/oleObject" Target="embeddings/oleObject5316.bin"/><Relationship Id="rId8496" Type="http://schemas.openxmlformats.org/officeDocument/2006/relationships/image" Target="media/image4257.wmf"/><Relationship Id="rId9547" Type="http://schemas.openxmlformats.org/officeDocument/2006/relationships/oleObject" Target="embeddings/oleObject4752.bin"/><Relationship Id="rId9894" Type="http://schemas.openxmlformats.org/officeDocument/2006/relationships/oleObject" Target="embeddings/oleObject4919.bin"/><Relationship Id="rId12875" Type="http://schemas.openxmlformats.org/officeDocument/2006/relationships/image" Target="media/image6452.wmf"/><Relationship Id="rId13926" Type="http://schemas.openxmlformats.org/officeDocument/2006/relationships/oleObject" Target="embeddings/oleObject6909.bin"/><Relationship Id="rId1883" Type="http://schemas.openxmlformats.org/officeDocument/2006/relationships/oleObject" Target="embeddings/oleObject929.bin"/><Relationship Id="rId2934" Type="http://schemas.openxmlformats.org/officeDocument/2006/relationships/oleObject" Target="embeddings/oleObject1455.bin"/><Relationship Id="rId7098" Type="http://schemas.openxmlformats.org/officeDocument/2006/relationships/oleObject" Target="embeddings/oleObject3534.bin"/><Relationship Id="rId8149" Type="http://schemas.openxmlformats.org/officeDocument/2006/relationships/oleObject" Target="embeddings/oleObject4059.bin"/><Relationship Id="rId11477" Type="http://schemas.openxmlformats.org/officeDocument/2006/relationships/image" Target="media/image5750.wmf"/><Relationship Id="rId12528" Type="http://schemas.openxmlformats.org/officeDocument/2006/relationships/oleObject" Target="embeddings/oleObject6213.bin"/><Relationship Id="rId906" Type="http://schemas.openxmlformats.org/officeDocument/2006/relationships/image" Target="media/image458.wmf"/><Relationship Id="rId1536" Type="http://schemas.openxmlformats.org/officeDocument/2006/relationships/image" Target="media/image773.wmf"/><Relationship Id="rId10079" Type="http://schemas.openxmlformats.org/officeDocument/2006/relationships/image" Target="media/image5048.wmf"/><Relationship Id="rId4759" Type="http://schemas.openxmlformats.org/officeDocument/2006/relationships/oleObject" Target="embeddings/oleObject2371.bin"/><Relationship Id="rId8630" Type="http://schemas.openxmlformats.org/officeDocument/2006/relationships/image" Target="media/image4324.wmf"/><Relationship Id="rId10560" Type="http://schemas.openxmlformats.org/officeDocument/2006/relationships/image" Target="media/image5289.wmf"/><Relationship Id="rId11611" Type="http://schemas.openxmlformats.org/officeDocument/2006/relationships/image" Target="media/image5817.wmf"/><Relationship Id="rId6181" Type="http://schemas.openxmlformats.org/officeDocument/2006/relationships/image" Target="media/image3101.wmf"/><Relationship Id="rId7232" Type="http://schemas.openxmlformats.org/officeDocument/2006/relationships/image" Target="media/image3625.wmf"/><Relationship Id="rId10213" Type="http://schemas.openxmlformats.org/officeDocument/2006/relationships/image" Target="media/image5115.wmf"/><Relationship Id="rId2791" Type="http://schemas.openxmlformats.org/officeDocument/2006/relationships/oleObject" Target="embeddings/oleObject1383.bin"/><Relationship Id="rId12385" Type="http://schemas.openxmlformats.org/officeDocument/2006/relationships/image" Target="media/image6207.wmf"/><Relationship Id="rId13783" Type="http://schemas.openxmlformats.org/officeDocument/2006/relationships/image" Target="media/image6906.wmf"/><Relationship Id="rId763" Type="http://schemas.openxmlformats.org/officeDocument/2006/relationships/oleObject" Target="embeddings/oleObject370.bin"/><Relationship Id="rId1393" Type="http://schemas.openxmlformats.org/officeDocument/2006/relationships/oleObject" Target="embeddings/oleObject685.bin"/><Relationship Id="rId2444" Type="http://schemas.openxmlformats.org/officeDocument/2006/relationships/image" Target="media/image1231.wmf"/><Relationship Id="rId3842" Type="http://schemas.openxmlformats.org/officeDocument/2006/relationships/image" Target="media/image1932.wmf"/><Relationship Id="rId9057" Type="http://schemas.openxmlformats.org/officeDocument/2006/relationships/image" Target="media/image4538.wmf"/><Relationship Id="rId12038" Type="http://schemas.openxmlformats.org/officeDocument/2006/relationships/image" Target="media/image6032.wmf"/><Relationship Id="rId13436" Type="http://schemas.openxmlformats.org/officeDocument/2006/relationships/image" Target="media/image6733.wmf"/><Relationship Id="rId416" Type="http://schemas.openxmlformats.org/officeDocument/2006/relationships/oleObject" Target="embeddings/oleObject202.bin"/><Relationship Id="rId1046" Type="http://schemas.openxmlformats.org/officeDocument/2006/relationships/oleObject" Target="embeddings/oleObject514.bin"/><Relationship Id="rId5667" Type="http://schemas.openxmlformats.org/officeDocument/2006/relationships/image" Target="media/image2844.wmf"/><Relationship Id="rId6718" Type="http://schemas.openxmlformats.org/officeDocument/2006/relationships/oleObject" Target="embeddings/oleObject3346.bin"/><Relationship Id="rId4269" Type="http://schemas.openxmlformats.org/officeDocument/2006/relationships/image" Target="media/image2145.wmf"/><Relationship Id="rId8140" Type="http://schemas.openxmlformats.org/officeDocument/2006/relationships/image" Target="media/image4079.wmf"/><Relationship Id="rId10070" Type="http://schemas.openxmlformats.org/officeDocument/2006/relationships/oleObject" Target="embeddings/oleObject5004.bin"/><Relationship Id="rId11121" Type="http://schemas.openxmlformats.org/officeDocument/2006/relationships/image" Target="media/image5572.wmf"/><Relationship Id="rId4750" Type="http://schemas.openxmlformats.org/officeDocument/2006/relationships/image" Target="media/image2385.wmf"/><Relationship Id="rId5801" Type="http://schemas.openxmlformats.org/officeDocument/2006/relationships/image" Target="media/image2911.wmf"/><Relationship Id="rId13293" Type="http://schemas.openxmlformats.org/officeDocument/2006/relationships/image" Target="media/image6661.wmf"/><Relationship Id="rId14344" Type="http://schemas.openxmlformats.org/officeDocument/2006/relationships/oleObject" Target="embeddings/oleObject7118.bin"/><Relationship Id="rId3352" Type="http://schemas.openxmlformats.org/officeDocument/2006/relationships/image" Target="media/image1685.wmf"/><Relationship Id="rId4403" Type="http://schemas.openxmlformats.org/officeDocument/2006/relationships/oleObject" Target="embeddings/oleObject2193.bin"/><Relationship Id="rId273" Type="http://schemas.openxmlformats.org/officeDocument/2006/relationships/oleObject" Target="embeddings/oleObject131.bin"/><Relationship Id="rId3005" Type="http://schemas.openxmlformats.org/officeDocument/2006/relationships/image" Target="media/image1512.wmf"/><Relationship Id="rId6575" Type="http://schemas.openxmlformats.org/officeDocument/2006/relationships/image" Target="media/image3297.wmf"/><Relationship Id="rId7626" Type="http://schemas.openxmlformats.org/officeDocument/2006/relationships/image" Target="media/image3822.wmf"/><Relationship Id="rId7973" Type="http://schemas.openxmlformats.org/officeDocument/2006/relationships/oleObject" Target="embeddings/oleObject3971.bin"/><Relationship Id="rId10954" Type="http://schemas.openxmlformats.org/officeDocument/2006/relationships/image" Target="media/image5487.wmf"/><Relationship Id="rId5177" Type="http://schemas.openxmlformats.org/officeDocument/2006/relationships/oleObject" Target="embeddings/oleObject2578.bin"/><Relationship Id="rId6228" Type="http://schemas.openxmlformats.org/officeDocument/2006/relationships/oleObject" Target="embeddings/oleObject3103.bin"/><Relationship Id="rId10607" Type="http://schemas.openxmlformats.org/officeDocument/2006/relationships/oleObject" Target="embeddings/oleObject5268.bin"/><Relationship Id="rId9798" Type="http://schemas.openxmlformats.org/officeDocument/2006/relationships/image" Target="media/image4908.wmf"/><Relationship Id="rId12779" Type="http://schemas.openxmlformats.org/officeDocument/2006/relationships/image" Target="media/image6404.wmf"/><Relationship Id="rId1787" Type="http://schemas.openxmlformats.org/officeDocument/2006/relationships/oleObject" Target="embeddings/oleObject881.bin"/><Relationship Id="rId2838" Type="http://schemas.openxmlformats.org/officeDocument/2006/relationships/oleObject" Target="embeddings/oleObject1407.bin"/><Relationship Id="rId4260" Type="http://schemas.openxmlformats.org/officeDocument/2006/relationships/oleObject" Target="embeddings/oleObject2121.bin"/><Relationship Id="rId5311" Type="http://schemas.openxmlformats.org/officeDocument/2006/relationships/image" Target="media/image2666.wmf"/><Relationship Id="rId8881" Type="http://schemas.openxmlformats.org/officeDocument/2006/relationships/image" Target="media/image4450.wmf"/><Relationship Id="rId9932" Type="http://schemas.openxmlformats.org/officeDocument/2006/relationships/oleObject" Target="embeddings/oleObject4937.bin"/><Relationship Id="rId7483" Type="http://schemas.openxmlformats.org/officeDocument/2006/relationships/oleObject" Target="embeddings/oleObject3726.bin"/><Relationship Id="rId8534" Type="http://schemas.openxmlformats.org/officeDocument/2006/relationships/image" Target="media/image4276.wmf"/><Relationship Id="rId10464" Type="http://schemas.openxmlformats.org/officeDocument/2006/relationships/image" Target="media/image5241.wmf"/><Relationship Id="rId11862" Type="http://schemas.openxmlformats.org/officeDocument/2006/relationships/image" Target="media/image5944.wmf"/><Relationship Id="rId12913" Type="http://schemas.openxmlformats.org/officeDocument/2006/relationships/image" Target="media/image6471.wmf"/><Relationship Id="rId1921" Type="http://schemas.openxmlformats.org/officeDocument/2006/relationships/oleObject" Target="embeddings/oleObject948.bin"/><Relationship Id="rId6085" Type="http://schemas.openxmlformats.org/officeDocument/2006/relationships/image" Target="media/image3053.wmf"/><Relationship Id="rId7136" Type="http://schemas.openxmlformats.org/officeDocument/2006/relationships/image" Target="media/image3577.wmf"/><Relationship Id="rId10117" Type="http://schemas.openxmlformats.org/officeDocument/2006/relationships/image" Target="media/image5067.wmf"/><Relationship Id="rId11515" Type="http://schemas.openxmlformats.org/officeDocument/2006/relationships/image" Target="media/image5769.wmf"/><Relationship Id="rId13687" Type="http://schemas.openxmlformats.org/officeDocument/2006/relationships/oleObject" Target="embeddings/oleObject6789.bin"/><Relationship Id="rId1297" Type="http://schemas.openxmlformats.org/officeDocument/2006/relationships/oleObject" Target="embeddings/oleObject638.bin"/><Relationship Id="rId2695" Type="http://schemas.openxmlformats.org/officeDocument/2006/relationships/oleObject" Target="embeddings/oleObject1335.bin"/><Relationship Id="rId3746" Type="http://schemas.openxmlformats.org/officeDocument/2006/relationships/image" Target="media/image1884.wmf"/><Relationship Id="rId12289" Type="http://schemas.openxmlformats.org/officeDocument/2006/relationships/oleObject" Target="embeddings/oleObject6096.bin"/><Relationship Id="rId667" Type="http://schemas.openxmlformats.org/officeDocument/2006/relationships/oleObject" Target="embeddings/oleObject322.bin"/><Relationship Id="rId2348" Type="http://schemas.openxmlformats.org/officeDocument/2006/relationships/oleObject" Target="embeddings/oleObject1163.bin"/><Relationship Id="rId6969" Type="http://schemas.openxmlformats.org/officeDocument/2006/relationships/image" Target="media/image3494.wmf"/><Relationship Id="rId12770" Type="http://schemas.openxmlformats.org/officeDocument/2006/relationships/oleObject" Target="embeddings/oleObject6334.bin"/><Relationship Id="rId13821" Type="http://schemas.openxmlformats.org/officeDocument/2006/relationships/image" Target="media/image6925.wmf"/><Relationship Id="rId8391" Type="http://schemas.openxmlformats.org/officeDocument/2006/relationships/oleObject" Target="embeddings/oleObject4180.bin"/><Relationship Id="rId9442" Type="http://schemas.openxmlformats.org/officeDocument/2006/relationships/image" Target="media/image4730.wmf"/><Relationship Id="rId11372" Type="http://schemas.openxmlformats.org/officeDocument/2006/relationships/oleObject" Target="embeddings/oleObject5639.bin"/><Relationship Id="rId12423" Type="http://schemas.openxmlformats.org/officeDocument/2006/relationships/image" Target="media/image6226.wmf"/><Relationship Id="rId801" Type="http://schemas.openxmlformats.org/officeDocument/2006/relationships/oleObject" Target="embeddings/oleObject392.bin"/><Relationship Id="rId1431" Type="http://schemas.openxmlformats.org/officeDocument/2006/relationships/oleObject" Target="embeddings/oleObject704.bin"/><Relationship Id="rId8044" Type="http://schemas.openxmlformats.org/officeDocument/2006/relationships/image" Target="media/image4031.wmf"/><Relationship Id="rId11025" Type="http://schemas.openxmlformats.org/officeDocument/2006/relationships/oleObject" Target="embeddings/oleObject5468.bin"/><Relationship Id="rId14595" Type="http://schemas.openxmlformats.org/officeDocument/2006/relationships/oleObject" Target="embeddings/oleObject7238.bin"/><Relationship Id="rId4654" Type="http://schemas.openxmlformats.org/officeDocument/2006/relationships/image" Target="media/image2337.wmf"/><Relationship Id="rId13197" Type="http://schemas.openxmlformats.org/officeDocument/2006/relationships/image" Target="media/image6613.wmf"/><Relationship Id="rId14248" Type="http://schemas.openxmlformats.org/officeDocument/2006/relationships/oleObject" Target="embeddings/oleObject7070.bin"/><Relationship Id="rId3256" Type="http://schemas.openxmlformats.org/officeDocument/2006/relationships/oleObject" Target="embeddings/oleObject1616.bin"/><Relationship Id="rId4307" Type="http://schemas.openxmlformats.org/officeDocument/2006/relationships/image" Target="media/image2164.wmf"/><Relationship Id="rId5705" Type="http://schemas.openxmlformats.org/officeDocument/2006/relationships/image" Target="media/image2863.wmf"/><Relationship Id="rId177" Type="http://schemas.openxmlformats.org/officeDocument/2006/relationships/oleObject" Target="embeddings/oleObject83.bin"/><Relationship Id="rId7877" Type="http://schemas.openxmlformats.org/officeDocument/2006/relationships/oleObject" Target="embeddings/oleObject3923.bin"/><Relationship Id="rId8928" Type="http://schemas.openxmlformats.org/officeDocument/2006/relationships/oleObject" Target="embeddings/oleObject4444.bin"/><Relationship Id="rId10858" Type="http://schemas.openxmlformats.org/officeDocument/2006/relationships/image" Target="media/image5438.wmf"/><Relationship Id="rId11909" Type="http://schemas.openxmlformats.org/officeDocument/2006/relationships/oleObject" Target="embeddings/oleObject5906.bin"/><Relationship Id="rId6479" Type="http://schemas.openxmlformats.org/officeDocument/2006/relationships/image" Target="media/image3249.wmf"/><Relationship Id="rId12280" Type="http://schemas.openxmlformats.org/officeDocument/2006/relationships/image" Target="media/image6153.wmf"/><Relationship Id="rId13331" Type="http://schemas.openxmlformats.org/officeDocument/2006/relationships/image" Target="media/image6680.wmf"/><Relationship Id="rId6960" Type="http://schemas.openxmlformats.org/officeDocument/2006/relationships/oleObject" Target="embeddings/oleObject3465.bin"/><Relationship Id="rId311" Type="http://schemas.openxmlformats.org/officeDocument/2006/relationships/oleObject" Target="embeddings/oleObject150.bin"/><Relationship Id="rId5562" Type="http://schemas.openxmlformats.org/officeDocument/2006/relationships/oleObject" Target="embeddings/oleObject2770.bin"/><Relationship Id="rId6613" Type="http://schemas.openxmlformats.org/officeDocument/2006/relationships/image" Target="media/image3316.wmf"/><Relationship Id="rId4164" Type="http://schemas.openxmlformats.org/officeDocument/2006/relationships/oleObject" Target="embeddings/oleObject2073.bin"/><Relationship Id="rId5215" Type="http://schemas.openxmlformats.org/officeDocument/2006/relationships/oleObject" Target="embeddings/oleObject2597.bin"/><Relationship Id="rId8785" Type="http://schemas.openxmlformats.org/officeDocument/2006/relationships/image" Target="media/image4402.wmf"/><Relationship Id="rId9836" Type="http://schemas.openxmlformats.org/officeDocument/2006/relationships/oleObject" Target="embeddings/oleObject4890.bin"/><Relationship Id="rId7387" Type="http://schemas.openxmlformats.org/officeDocument/2006/relationships/oleObject" Target="embeddings/oleObject3678.bin"/><Relationship Id="rId8438" Type="http://schemas.openxmlformats.org/officeDocument/2006/relationships/image" Target="media/image4228.wmf"/><Relationship Id="rId11766" Type="http://schemas.openxmlformats.org/officeDocument/2006/relationships/image" Target="media/image5896.wmf"/><Relationship Id="rId12817" Type="http://schemas.openxmlformats.org/officeDocument/2006/relationships/image" Target="media/image6423.wmf"/><Relationship Id="rId1825" Type="http://schemas.openxmlformats.org/officeDocument/2006/relationships/oleObject" Target="embeddings/oleObject900.bin"/><Relationship Id="rId10368" Type="http://schemas.openxmlformats.org/officeDocument/2006/relationships/oleObject" Target="embeddings/oleObject5151.bin"/><Relationship Id="rId11419" Type="http://schemas.openxmlformats.org/officeDocument/2006/relationships/image" Target="media/image5721.wmf"/><Relationship Id="rId3997" Type="http://schemas.openxmlformats.org/officeDocument/2006/relationships/image" Target="media/image2009.wmf"/><Relationship Id="rId11900" Type="http://schemas.openxmlformats.org/officeDocument/2006/relationships/image" Target="media/image5963.wmf"/><Relationship Id="rId2599" Type="http://schemas.openxmlformats.org/officeDocument/2006/relationships/oleObject" Target="embeddings/oleObject1287.bin"/><Relationship Id="rId6470" Type="http://schemas.openxmlformats.org/officeDocument/2006/relationships/oleObject" Target="embeddings/oleObject3225.bin"/><Relationship Id="rId7521" Type="http://schemas.openxmlformats.org/officeDocument/2006/relationships/oleObject" Target="embeddings/oleObject3745.bin"/><Relationship Id="rId10502" Type="http://schemas.openxmlformats.org/officeDocument/2006/relationships/image" Target="media/image5260.wmf"/><Relationship Id="rId5072" Type="http://schemas.openxmlformats.org/officeDocument/2006/relationships/image" Target="media/image2546.wmf"/><Relationship Id="rId6123" Type="http://schemas.openxmlformats.org/officeDocument/2006/relationships/image" Target="media/image3072.wmf"/><Relationship Id="rId9693" Type="http://schemas.microsoft.com/office/2007/relationships/hdphoto" Target="media/hdphoto29.wdp"/><Relationship Id="rId12674" Type="http://schemas.openxmlformats.org/officeDocument/2006/relationships/oleObject" Target="embeddings/oleObject6286.bin"/><Relationship Id="rId1682" Type="http://schemas.openxmlformats.org/officeDocument/2006/relationships/image" Target="media/image847.wmf"/><Relationship Id="rId2733" Type="http://schemas.openxmlformats.org/officeDocument/2006/relationships/oleObject" Target="embeddings/oleObject1354.bin"/><Relationship Id="rId8295" Type="http://schemas.openxmlformats.org/officeDocument/2006/relationships/oleObject" Target="embeddings/oleObject4132.bin"/><Relationship Id="rId9346" Type="http://schemas.openxmlformats.org/officeDocument/2006/relationships/image" Target="media/image4682.wmf"/><Relationship Id="rId11276" Type="http://schemas.openxmlformats.org/officeDocument/2006/relationships/oleObject" Target="embeddings/oleObject5591.bin"/><Relationship Id="rId12327" Type="http://schemas.openxmlformats.org/officeDocument/2006/relationships/image" Target="media/image6178.wmf"/><Relationship Id="rId13725" Type="http://schemas.openxmlformats.org/officeDocument/2006/relationships/image" Target="media/image6877.wmf"/><Relationship Id="rId705" Type="http://schemas.openxmlformats.org/officeDocument/2006/relationships/oleObject" Target="embeddings/oleObject341.bin"/><Relationship Id="rId1335" Type="http://schemas.openxmlformats.org/officeDocument/2006/relationships/oleObject" Target="embeddings/oleObject657.bin"/><Relationship Id="rId5956" Type="http://schemas.openxmlformats.org/officeDocument/2006/relationships/oleObject" Target="embeddings/oleObject2967.bin"/><Relationship Id="rId14499" Type="http://schemas.openxmlformats.org/officeDocument/2006/relationships/image" Target="media/image7264.wmf"/><Relationship Id="rId41" Type="http://schemas.openxmlformats.org/officeDocument/2006/relationships/image" Target="media/image18.wmf"/><Relationship Id="rId4558" Type="http://schemas.openxmlformats.org/officeDocument/2006/relationships/image" Target="media/image2289.wmf"/><Relationship Id="rId5609" Type="http://schemas.openxmlformats.org/officeDocument/2006/relationships/image" Target="media/image2815.wmf"/><Relationship Id="rId7031" Type="http://schemas.openxmlformats.org/officeDocument/2006/relationships/image" Target="media/image3525.wmf"/><Relationship Id="rId11410" Type="http://schemas.openxmlformats.org/officeDocument/2006/relationships/oleObject" Target="embeddings/oleObject5658.bin"/><Relationship Id="rId10012" Type="http://schemas.openxmlformats.org/officeDocument/2006/relationships/oleObject" Target="embeddings/oleObject4975.bin"/><Relationship Id="rId13582" Type="http://schemas.openxmlformats.org/officeDocument/2006/relationships/image" Target="media/image6806.wmf"/><Relationship Id="rId2590" Type="http://schemas.openxmlformats.org/officeDocument/2006/relationships/image" Target="media/image1305.wmf"/><Relationship Id="rId3641" Type="http://schemas.openxmlformats.org/officeDocument/2006/relationships/oleObject" Target="embeddings/oleObject1811.bin"/><Relationship Id="rId12184" Type="http://schemas.openxmlformats.org/officeDocument/2006/relationships/image" Target="media/image6105.wmf"/><Relationship Id="rId13235" Type="http://schemas.openxmlformats.org/officeDocument/2006/relationships/image" Target="media/image6632.wmf"/><Relationship Id="rId562" Type="http://schemas.openxmlformats.org/officeDocument/2006/relationships/image" Target="media/image282.wmf"/><Relationship Id="rId1192" Type="http://schemas.openxmlformats.org/officeDocument/2006/relationships/image" Target="media/image601.wmf"/><Relationship Id="rId2243" Type="http://schemas.openxmlformats.org/officeDocument/2006/relationships/image" Target="media/image1128.wmf"/><Relationship Id="rId6864" Type="http://schemas.openxmlformats.org/officeDocument/2006/relationships/oleObject" Target="embeddings/oleObject3417.bin"/><Relationship Id="rId7915" Type="http://schemas.openxmlformats.org/officeDocument/2006/relationships/oleObject" Target="embeddings/oleObject3942.bin"/><Relationship Id="rId215" Type="http://schemas.openxmlformats.org/officeDocument/2006/relationships/oleObject" Target="embeddings/oleObject102.bin"/><Relationship Id="rId5466" Type="http://schemas.openxmlformats.org/officeDocument/2006/relationships/oleObject" Target="embeddings/oleObject2722.bin"/><Relationship Id="rId6517" Type="http://schemas.openxmlformats.org/officeDocument/2006/relationships/image" Target="media/image3268.wmf"/><Relationship Id="rId4068" Type="http://schemas.openxmlformats.org/officeDocument/2006/relationships/oleObject" Target="embeddings/oleObject2025.bin"/><Relationship Id="rId5119" Type="http://schemas.openxmlformats.org/officeDocument/2006/relationships/oleObject" Target="embeddings/oleObject2549.bin"/><Relationship Id="rId8689" Type="http://schemas.openxmlformats.org/officeDocument/2006/relationships/image" Target="media/image4354.wmf"/><Relationship Id="rId14490" Type="http://schemas.openxmlformats.org/officeDocument/2006/relationships/oleObject" Target="embeddings/oleObject7185.bin"/><Relationship Id="rId1729" Type="http://schemas.openxmlformats.org/officeDocument/2006/relationships/oleObject" Target="embeddings/oleObject852.bin"/><Relationship Id="rId5600" Type="http://schemas.openxmlformats.org/officeDocument/2006/relationships/oleObject" Target="embeddings/oleObject2789.bin"/><Relationship Id="rId13092" Type="http://schemas.openxmlformats.org/officeDocument/2006/relationships/oleObject" Target="embeddings/oleObject6493.bin"/><Relationship Id="rId14143" Type="http://schemas.openxmlformats.org/officeDocument/2006/relationships/image" Target="media/image7086.wmf"/><Relationship Id="rId3151" Type="http://schemas.openxmlformats.org/officeDocument/2006/relationships/image" Target="media/image1585.wmf"/><Relationship Id="rId4202" Type="http://schemas.openxmlformats.org/officeDocument/2006/relationships/oleObject" Target="embeddings/oleObject2092.bin"/><Relationship Id="rId7772" Type="http://schemas.openxmlformats.org/officeDocument/2006/relationships/image" Target="media/image3895.wmf"/><Relationship Id="rId8823" Type="http://schemas.openxmlformats.org/officeDocument/2006/relationships/image" Target="media/image4421.wmf"/><Relationship Id="rId10753" Type="http://schemas.openxmlformats.org/officeDocument/2006/relationships/oleObject" Target="embeddings/oleObject5339.bin"/><Relationship Id="rId6374" Type="http://schemas.openxmlformats.org/officeDocument/2006/relationships/oleObject" Target="embeddings/oleObject3177.bin"/><Relationship Id="rId7425" Type="http://schemas.openxmlformats.org/officeDocument/2006/relationships/oleObject" Target="embeddings/oleObject3697.bin"/><Relationship Id="rId10406" Type="http://schemas.openxmlformats.org/officeDocument/2006/relationships/oleObject" Target="embeddings/oleObject5170.bin"/><Relationship Id="rId11804" Type="http://schemas.openxmlformats.org/officeDocument/2006/relationships/image" Target="media/image5915.wmf"/><Relationship Id="rId6027" Type="http://schemas.openxmlformats.org/officeDocument/2006/relationships/image" Target="media/image3024.wmf"/><Relationship Id="rId9597" Type="http://schemas.openxmlformats.org/officeDocument/2006/relationships/oleObject" Target="embeddings/oleObject4777.bin"/><Relationship Id="rId13976" Type="http://schemas.openxmlformats.org/officeDocument/2006/relationships/oleObject" Target="embeddings/oleObject6934.bin"/><Relationship Id="rId1586" Type="http://schemas.openxmlformats.org/officeDocument/2006/relationships/image" Target="media/image799.wmf"/><Relationship Id="rId2984" Type="http://schemas.openxmlformats.org/officeDocument/2006/relationships/oleObject" Target="embeddings/oleObject1480.bin"/><Relationship Id="rId8199" Type="http://schemas.openxmlformats.org/officeDocument/2006/relationships/oleObject" Target="embeddings/oleObject4084.bin"/><Relationship Id="rId12578" Type="http://schemas.openxmlformats.org/officeDocument/2006/relationships/oleObject" Target="embeddings/oleObject6238.bin"/><Relationship Id="rId13629" Type="http://schemas.openxmlformats.org/officeDocument/2006/relationships/oleObject" Target="embeddings/oleObject6760.bin"/><Relationship Id="rId609" Type="http://schemas.openxmlformats.org/officeDocument/2006/relationships/oleObject" Target="embeddings/oleObject294.bin"/><Relationship Id="rId956" Type="http://schemas.openxmlformats.org/officeDocument/2006/relationships/oleObject" Target="embeddings/oleObject469.bin"/><Relationship Id="rId1239" Type="http://schemas.microsoft.com/office/2007/relationships/hdphoto" Target="media/hdphoto5.wdp"/><Relationship Id="rId2637" Type="http://schemas.openxmlformats.org/officeDocument/2006/relationships/oleObject" Target="embeddings/oleObject1306.bin"/><Relationship Id="rId5110" Type="http://schemas.openxmlformats.org/officeDocument/2006/relationships/image" Target="media/image2565.wmf"/><Relationship Id="rId8680" Type="http://schemas.openxmlformats.org/officeDocument/2006/relationships/oleObject" Target="embeddings/oleObject4323.bin"/><Relationship Id="rId9731" Type="http://schemas.openxmlformats.org/officeDocument/2006/relationships/oleObject" Target="embeddings/oleObject4837.bin"/><Relationship Id="rId11661" Type="http://schemas.openxmlformats.org/officeDocument/2006/relationships/image" Target="media/image5842.wmf"/><Relationship Id="rId12712" Type="http://schemas.openxmlformats.org/officeDocument/2006/relationships/oleObject" Target="embeddings/oleObject6305.bin"/><Relationship Id="rId1720" Type="http://schemas.openxmlformats.org/officeDocument/2006/relationships/image" Target="media/image866.wmf"/><Relationship Id="rId7282" Type="http://schemas.openxmlformats.org/officeDocument/2006/relationships/image" Target="media/image3650.wmf"/><Relationship Id="rId8333" Type="http://schemas.openxmlformats.org/officeDocument/2006/relationships/oleObject" Target="embeddings/oleObject4151.bin"/><Relationship Id="rId10263" Type="http://schemas.openxmlformats.org/officeDocument/2006/relationships/image" Target="media/image5140.wmf"/><Relationship Id="rId11314" Type="http://schemas.openxmlformats.org/officeDocument/2006/relationships/oleObject" Target="embeddings/oleObject5610.bin"/><Relationship Id="rId3892" Type="http://schemas.openxmlformats.org/officeDocument/2006/relationships/image" Target="media/image1957.wmf"/><Relationship Id="rId4943" Type="http://schemas.openxmlformats.org/officeDocument/2006/relationships/oleObject" Target="embeddings/oleObject2461.bin"/><Relationship Id="rId13486" Type="http://schemas.openxmlformats.org/officeDocument/2006/relationships/image" Target="media/image6758.wmf"/><Relationship Id="rId14537" Type="http://schemas.openxmlformats.org/officeDocument/2006/relationships/image" Target="media/image7283.wmf"/><Relationship Id="rId2494" Type="http://schemas.openxmlformats.org/officeDocument/2006/relationships/image" Target="media/image1257.wmf"/><Relationship Id="rId3545" Type="http://schemas.openxmlformats.org/officeDocument/2006/relationships/oleObject" Target="embeddings/oleObject1763.bin"/><Relationship Id="rId12088" Type="http://schemas.openxmlformats.org/officeDocument/2006/relationships/image" Target="media/image6057.wmf"/><Relationship Id="rId13139" Type="http://schemas.openxmlformats.org/officeDocument/2006/relationships/image" Target="media/image6584.wmf"/><Relationship Id="rId466" Type="http://schemas.openxmlformats.org/officeDocument/2006/relationships/oleObject" Target="embeddings/oleObject224.bin"/><Relationship Id="rId1096" Type="http://schemas.openxmlformats.org/officeDocument/2006/relationships/oleObject" Target="embeddings/oleObject538.bin"/><Relationship Id="rId2147" Type="http://schemas.openxmlformats.org/officeDocument/2006/relationships/oleObject" Target="embeddings/oleObject1061.bin"/><Relationship Id="rId119" Type="http://schemas.openxmlformats.org/officeDocument/2006/relationships/image" Target="media/image57.wmf"/><Relationship Id="rId6768" Type="http://schemas.openxmlformats.org/officeDocument/2006/relationships/oleObject" Target="embeddings/oleObject3371.bin"/><Relationship Id="rId7819" Type="http://schemas.openxmlformats.org/officeDocument/2006/relationships/oleObject" Target="embeddings/oleObject3894.bin"/><Relationship Id="rId8190" Type="http://schemas.openxmlformats.org/officeDocument/2006/relationships/image" Target="media/image4104.wmf"/><Relationship Id="rId9241" Type="http://schemas.openxmlformats.org/officeDocument/2006/relationships/oleObject" Target="embeddings/oleObject4601.bin"/><Relationship Id="rId13620" Type="http://schemas.openxmlformats.org/officeDocument/2006/relationships/image" Target="media/image6825.wmf"/><Relationship Id="rId11171" Type="http://schemas.openxmlformats.org/officeDocument/2006/relationships/image" Target="media/image5597.wmf"/><Relationship Id="rId12222" Type="http://schemas.openxmlformats.org/officeDocument/2006/relationships/image" Target="media/image6124.wmf"/><Relationship Id="rId600" Type="http://schemas.openxmlformats.org/officeDocument/2006/relationships/image" Target="media/image301.wmf"/><Relationship Id="rId1230" Type="http://schemas.openxmlformats.org/officeDocument/2006/relationships/image" Target="media/image620.wmf"/><Relationship Id="rId5851" Type="http://schemas.openxmlformats.org/officeDocument/2006/relationships/image" Target="media/image2936.wmf"/><Relationship Id="rId6902" Type="http://schemas.openxmlformats.org/officeDocument/2006/relationships/oleObject" Target="embeddings/oleObject3436.bin"/><Relationship Id="rId14394" Type="http://schemas.openxmlformats.org/officeDocument/2006/relationships/oleObject" Target="embeddings/oleObject7141.bin"/><Relationship Id="rId4453" Type="http://schemas.openxmlformats.org/officeDocument/2006/relationships/oleObject" Target="embeddings/oleObject2218.bin"/><Relationship Id="rId5504" Type="http://schemas.openxmlformats.org/officeDocument/2006/relationships/oleObject" Target="embeddings/oleObject2741.bin"/><Relationship Id="rId14047" Type="http://schemas.openxmlformats.org/officeDocument/2006/relationships/image" Target="media/image7038.wmf"/><Relationship Id="rId3055" Type="http://schemas.openxmlformats.org/officeDocument/2006/relationships/image" Target="media/image1537.wmf"/><Relationship Id="rId4106" Type="http://schemas.openxmlformats.org/officeDocument/2006/relationships/oleObject" Target="embeddings/oleObject2044.bin"/><Relationship Id="rId7676" Type="http://schemas.openxmlformats.org/officeDocument/2006/relationships/image" Target="media/image3847.wmf"/><Relationship Id="rId8727" Type="http://schemas.openxmlformats.org/officeDocument/2006/relationships/image" Target="media/image4373.wmf"/><Relationship Id="rId6278" Type="http://schemas.openxmlformats.org/officeDocument/2006/relationships/oleObject" Target="embeddings/oleObject3128.bin"/><Relationship Id="rId7329" Type="http://schemas.openxmlformats.org/officeDocument/2006/relationships/oleObject" Target="embeddings/oleObject3649.bin"/><Relationship Id="rId10657" Type="http://schemas.openxmlformats.org/officeDocument/2006/relationships/oleObject" Target="embeddings/oleObject5293.bin"/><Relationship Id="rId11708" Type="http://schemas.openxmlformats.org/officeDocument/2006/relationships/image" Target="media/image5867.wmf"/><Relationship Id="rId13130" Type="http://schemas.openxmlformats.org/officeDocument/2006/relationships/oleObject" Target="embeddings/oleObject6512.bin"/><Relationship Id="rId110" Type="http://schemas.openxmlformats.org/officeDocument/2006/relationships/oleObject" Target="embeddings/oleObject51.bin"/><Relationship Id="rId2888" Type="http://schemas.openxmlformats.org/officeDocument/2006/relationships/oleObject" Target="embeddings/oleObject1432.bin"/><Relationship Id="rId3939" Type="http://schemas.openxmlformats.org/officeDocument/2006/relationships/oleObject" Target="embeddings/oleObject1960.bin"/><Relationship Id="rId7810" Type="http://schemas.openxmlformats.org/officeDocument/2006/relationships/image" Target="media/image3914.wmf"/><Relationship Id="rId5361" Type="http://schemas.openxmlformats.org/officeDocument/2006/relationships/image" Target="media/image2691.wmf"/><Relationship Id="rId6412" Type="http://schemas.openxmlformats.org/officeDocument/2006/relationships/oleObject" Target="embeddings/oleObject3196.bin"/><Relationship Id="rId9982" Type="http://schemas.openxmlformats.org/officeDocument/2006/relationships/oleObject" Target="embeddings/oleObject4961.bin"/><Relationship Id="rId12963" Type="http://schemas.openxmlformats.org/officeDocument/2006/relationships/image" Target="media/image6496.wmf"/><Relationship Id="rId1971" Type="http://schemas.openxmlformats.org/officeDocument/2006/relationships/oleObject" Target="embeddings/oleObject973.bin"/><Relationship Id="rId5014" Type="http://schemas.openxmlformats.org/officeDocument/2006/relationships/image" Target="media/image2517.wmf"/><Relationship Id="rId8584" Type="http://schemas.openxmlformats.org/officeDocument/2006/relationships/image" Target="media/image4301.wmf"/><Relationship Id="rId9635" Type="http://schemas.openxmlformats.org/officeDocument/2006/relationships/oleObject" Target="embeddings/oleObject4796.bin"/><Relationship Id="rId11565" Type="http://schemas.openxmlformats.org/officeDocument/2006/relationships/image" Target="media/image5794.wmf"/><Relationship Id="rId12616" Type="http://schemas.openxmlformats.org/officeDocument/2006/relationships/oleObject" Target="embeddings/oleObject6257.bin"/><Relationship Id="rId1624" Type="http://schemas.openxmlformats.org/officeDocument/2006/relationships/image" Target="media/image818.wmf"/><Relationship Id="rId7186" Type="http://schemas.openxmlformats.org/officeDocument/2006/relationships/image" Target="media/image3602.wmf"/><Relationship Id="rId8237" Type="http://schemas.openxmlformats.org/officeDocument/2006/relationships/oleObject" Target="embeddings/oleObject4103.bin"/><Relationship Id="rId10167" Type="http://schemas.openxmlformats.org/officeDocument/2006/relationships/image" Target="media/image5092.wmf"/><Relationship Id="rId11218" Type="http://schemas.openxmlformats.org/officeDocument/2006/relationships/oleObject" Target="embeddings/oleObject5562.bin"/><Relationship Id="rId3796" Type="http://schemas.openxmlformats.org/officeDocument/2006/relationships/image" Target="media/image1909.wmf"/><Relationship Id="rId2398" Type="http://schemas.openxmlformats.org/officeDocument/2006/relationships/oleObject" Target="embeddings/oleObject1188.bin"/><Relationship Id="rId3449" Type="http://schemas.openxmlformats.org/officeDocument/2006/relationships/oleObject" Target="embeddings/oleObject1715.bin"/><Relationship Id="rId4847" Type="http://schemas.openxmlformats.org/officeDocument/2006/relationships/oleObject" Target="embeddings/oleObject2414.bin"/><Relationship Id="rId7320" Type="http://schemas.openxmlformats.org/officeDocument/2006/relationships/image" Target="media/image3669.wmf"/><Relationship Id="rId10301" Type="http://schemas.openxmlformats.org/officeDocument/2006/relationships/image" Target="media/image5159.wmf"/><Relationship Id="rId13871" Type="http://schemas.openxmlformats.org/officeDocument/2006/relationships/image" Target="media/image6950.wmf"/><Relationship Id="rId3930" Type="http://schemas.openxmlformats.org/officeDocument/2006/relationships/image" Target="media/image1976.wmf"/><Relationship Id="rId8094" Type="http://schemas.openxmlformats.org/officeDocument/2006/relationships/image" Target="media/image4056.wmf"/><Relationship Id="rId9492" Type="http://schemas.openxmlformats.org/officeDocument/2006/relationships/image" Target="media/image4755.wmf"/><Relationship Id="rId12473" Type="http://schemas.openxmlformats.org/officeDocument/2006/relationships/image" Target="media/image6251.wmf"/><Relationship Id="rId13524" Type="http://schemas.openxmlformats.org/officeDocument/2006/relationships/image" Target="media/image6777.wmf"/><Relationship Id="rId851" Type="http://schemas.openxmlformats.org/officeDocument/2006/relationships/oleObject" Target="embeddings/oleObject417.bin"/><Relationship Id="rId1481" Type="http://schemas.openxmlformats.org/officeDocument/2006/relationships/oleObject" Target="embeddings/oleObject729.bin"/><Relationship Id="rId2532" Type="http://schemas.openxmlformats.org/officeDocument/2006/relationships/image" Target="media/image1276.wmf"/><Relationship Id="rId9145" Type="http://schemas.openxmlformats.org/officeDocument/2006/relationships/image" Target="media/image4582.wmf"/><Relationship Id="rId11075" Type="http://schemas.openxmlformats.org/officeDocument/2006/relationships/image" Target="media/image5549.wmf"/><Relationship Id="rId12126" Type="http://schemas.openxmlformats.org/officeDocument/2006/relationships/image" Target="media/image6076.wmf"/><Relationship Id="rId504" Type="http://schemas.openxmlformats.org/officeDocument/2006/relationships/oleObject" Target="embeddings/oleObject243.bin"/><Relationship Id="rId1134" Type="http://schemas.openxmlformats.org/officeDocument/2006/relationships/oleObject" Target="embeddings/oleObject557.bin"/><Relationship Id="rId5755" Type="http://schemas.openxmlformats.org/officeDocument/2006/relationships/image" Target="media/image2888.wmf"/><Relationship Id="rId6806" Type="http://schemas.microsoft.com/office/2007/relationships/hdphoto" Target="media/hdphoto14.wdp"/><Relationship Id="rId14298" Type="http://schemas.openxmlformats.org/officeDocument/2006/relationships/oleObject" Target="embeddings/oleObject7095.bin"/><Relationship Id="rId4357" Type="http://schemas.openxmlformats.org/officeDocument/2006/relationships/oleObject" Target="embeddings/oleObject2170.bin"/><Relationship Id="rId5408" Type="http://schemas.openxmlformats.org/officeDocument/2006/relationships/oleObject" Target="embeddings/oleObject2693.bin"/><Relationship Id="rId8978" Type="http://schemas.openxmlformats.org/officeDocument/2006/relationships/oleObject" Target="embeddings/oleObject4469.bin"/><Relationship Id="rId11959" Type="http://schemas.openxmlformats.org/officeDocument/2006/relationships/oleObject" Target="embeddings/oleObject5931.bin"/><Relationship Id="rId13381" Type="http://schemas.openxmlformats.org/officeDocument/2006/relationships/oleObject" Target="embeddings/oleObject6636.bin"/><Relationship Id="rId14432" Type="http://schemas.openxmlformats.org/officeDocument/2006/relationships/oleObject" Target="embeddings/oleObject7156.bin"/><Relationship Id="rId361" Type="http://schemas.openxmlformats.org/officeDocument/2006/relationships/oleObject" Target="embeddings/oleObject175.bin"/><Relationship Id="rId2042" Type="http://schemas.openxmlformats.org/officeDocument/2006/relationships/image" Target="media/image1027.wmf"/><Relationship Id="rId3440" Type="http://schemas.openxmlformats.org/officeDocument/2006/relationships/image" Target="media/image1731.wmf"/><Relationship Id="rId13034" Type="http://schemas.openxmlformats.org/officeDocument/2006/relationships/oleObject" Target="embeddings/oleObject6464.bin"/><Relationship Id="rId6663" Type="http://schemas.openxmlformats.org/officeDocument/2006/relationships/image" Target="media/image3341.wmf"/><Relationship Id="rId7714" Type="http://schemas.openxmlformats.org/officeDocument/2006/relationships/image" Target="media/image3866.wmf"/><Relationship Id="rId5265" Type="http://schemas.openxmlformats.org/officeDocument/2006/relationships/image" Target="media/image2643.wmf"/><Relationship Id="rId6316" Type="http://schemas.openxmlformats.org/officeDocument/2006/relationships/oleObject" Target="embeddings/oleObject3147.bin"/><Relationship Id="rId9886" Type="http://schemas.openxmlformats.org/officeDocument/2006/relationships/oleObject" Target="embeddings/oleObject4915.bin"/><Relationship Id="rId1875" Type="http://schemas.openxmlformats.org/officeDocument/2006/relationships/oleObject" Target="embeddings/oleObject925.bin"/><Relationship Id="rId8488" Type="http://schemas.openxmlformats.org/officeDocument/2006/relationships/image" Target="media/image4253.wmf"/><Relationship Id="rId9539" Type="http://schemas.openxmlformats.org/officeDocument/2006/relationships/oleObject" Target="embeddings/oleObject4748.bin"/><Relationship Id="rId11469" Type="http://schemas.openxmlformats.org/officeDocument/2006/relationships/image" Target="media/image5746.wmf"/><Relationship Id="rId12867" Type="http://schemas.openxmlformats.org/officeDocument/2006/relationships/image" Target="media/image6448.wmf"/><Relationship Id="rId13918" Type="http://schemas.openxmlformats.org/officeDocument/2006/relationships/oleObject" Target="embeddings/oleObject6905.bin"/><Relationship Id="rId1528" Type="http://schemas.openxmlformats.org/officeDocument/2006/relationships/image" Target="media/image769.wmf"/><Relationship Id="rId2926" Type="http://schemas.openxmlformats.org/officeDocument/2006/relationships/oleObject" Target="embeddings/oleObject1451.bin"/><Relationship Id="rId4001" Type="http://schemas.openxmlformats.org/officeDocument/2006/relationships/image" Target="media/image2011.wmf"/><Relationship Id="rId11950" Type="http://schemas.openxmlformats.org/officeDocument/2006/relationships/image" Target="media/image5988.wmf"/><Relationship Id="rId6173" Type="http://schemas.openxmlformats.org/officeDocument/2006/relationships/image" Target="media/image3097.wmf"/><Relationship Id="rId7571" Type="http://schemas.openxmlformats.org/officeDocument/2006/relationships/oleObject" Target="embeddings/oleObject3770.bin"/><Relationship Id="rId8622" Type="http://schemas.openxmlformats.org/officeDocument/2006/relationships/image" Target="media/image4320.wmf"/><Relationship Id="rId10552" Type="http://schemas.openxmlformats.org/officeDocument/2006/relationships/image" Target="media/image5285.wmf"/><Relationship Id="rId11603" Type="http://schemas.openxmlformats.org/officeDocument/2006/relationships/image" Target="media/image5813.wmf"/><Relationship Id="rId7224" Type="http://schemas.openxmlformats.org/officeDocument/2006/relationships/image" Target="media/image3621.wmf"/><Relationship Id="rId10205" Type="http://schemas.openxmlformats.org/officeDocument/2006/relationships/image" Target="media/image5111.wmf"/><Relationship Id="rId13775" Type="http://schemas.openxmlformats.org/officeDocument/2006/relationships/image" Target="media/image6902.wmf"/><Relationship Id="rId2783" Type="http://schemas.openxmlformats.org/officeDocument/2006/relationships/oleObject" Target="embeddings/oleObject1379.bin"/><Relationship Id="rId3834" Type="http://schemas.openxmlformats.org/officeDocument/2006/relationships/image" Target="media/image1928.wmf"/><Relationship Id="rId9396" Type="http://schemas.openxmlformats.org/officeDocument/2006/relationships/image" Target="media/image4707.wmf"/><Relationship Id="rId12377" Type="http://schemas.openxmlformats.org/officeDocument/2006/relationships/image" Target="media/image6203.wmf"/><Relationship Id="rId13428" Type="http://schemas.openxmlformats.org/officeDocument/2006/relationships/image" Target="media/image6729.wmf"/><Relationship Id="rId755" Type="http://schemas.openxmlformats.org/officeDocument/2006/relationships/oleObject" Target="embeddings/oleObject366.bin"/><Relationship Id="rId1385" Type="http://schemas.openxmlformats.org/officeDocument/2006/relationships/oleObject" Target="embeddings/oleObject681.bin"/><Relationship Id="rId2436" Type="http://schemas.openxmlformats.org/officeDocument/2006/relationships/image" Target="media/image1227.wmf"/><Relationship Id="rId9049" Type="http://schemas.openxmlformats.org/officeDocument/2006/relationships/image" Target="media/image4534.wmf"/><Relationship Id="rId91" Type="http://schemas.openxmlformats.org/officeDocument/2006/relationships/image" Target="media/image43.wmf"/><Relationship Id="rId408" Type="http://schemas.openxmlformats.org/officeDocument/2006/relationships/oleObject" Target="embeddings/oleObject198.bin"/><Relationship Id="rId1038" Type="http://schemas.openxmlformats.org/officeDocument/2006/relationships/oleObject" Target="embeddings/oleObject510.bin"/><Relationship Id="rId5659" Type="http://schemas.openxmlformats.org/officeDocument/2006/relationships/image" Target="media/image2840.wmf"/><Relationship Id="rId9530" Type="http://schemas.openxmlformats.org/officeDocument/2006/relationships/image" Target="media/image4774.wmf"/><Relationship Id="rId7081" Type="http://schemas.openxmlformats.org/officeDocument/2006/relationships/image" Target="media/image3550.wmf"/><Relationship Id="rId8132" Type="http://schemas.openxmlformats.org/officeDocument/2006/relationships/image" Target="media/image4075.wmf"/><Relationship Id="rId11460" Type="http://schemas.openxmlformats.org/officeDocument/2006/relationships/oleObject" Target="embeddings/oleObject5683.bin"/><Relationship Id="rId12511" Type="http://schemas.openxmlformats.org/officeDocument/2006/relationships/image" Target="media/image6270.wmf"/><Relationship Id="rId10062" Type="http://schemas.openxmlformats.org/officeDocument/2006/relationships/oleObject" Target="embeddings/oleObject5000.bin"/><Relationship Id="rId11113" Type="http://schemas.openxmlformats.org/officeDocument/2006/relationships/image" Target="media/image5568.wmf"/><Relationship Id="rId3691" Type="http://schemas.openxmlformats.org/officeDocument/2006/relationships/oleObject" Target="embeddings/oleObject1836.bin"/><Relationship Id="rId4742" Type="http://schemas.openxmlformats.org/officeDocument/2006/relationships/image" Target="media/image2381.wmf"/><Relationship Id="rId13285" Type="http://schemas.openxmlformats.org/officeDocument/2006/relationships/image" Target="media/image6657.wmf"/><Relationship Id="rId14336" Type="http://schemas.openxmlformats.org/officeDocument/2006/relationships/oleObject" Target="embeddings/oleObject7114.bin"/><Relationship Id="rId2293" Type="http://schemas.openxmlformats.org/officeDocument/2006/relationships/image" Target="media/image1153.wmf"/><Relationship Id="rId3344" Type="http://schemas.openxmlformats.org/officeDocument/2006/relationships/image" Target="media/image1681.wmf"/><Relationship Id="rId7965" Type="http://schemas.openxmlformats.org/officeDocument/2006/relationships/oleObject" Target="embeddings/oleObject3967.bin"/><Relationship Id="rId265" Type="http://schemas.openxmlformats.org/officeDocument/2006/relationships/oleObject" Target="embeddings/oleObject127.bin"/><Relationship Id="rId6567" Type="http://schemas.openxmlformats.org/officeDocument/2006/relationships/image" Target="media/image3293.wmf"/><Relationship Id="rId7618" Type="http://schemas.openxmlformats.org/officeDocument/2006/relationships/image" Target="media/image3818.wmf"/><Relationship Id="rId10946" Type="http://schemas.openxmlformats.org/officeDocument/2006/relationships/image" Target="media/image5483.png"/><Relationship Id="rId5169" Type="http://schemas.openxmlformats.org/officeDocument/2006/relationships/oleObject" Target="embeddings/oleObject2574.bin"/><Relationship Id="rId9040" Type="http://schemas.openxmlformats.org/officeDocument/2006/relationships/oleObject" Target="embeddings/oleObject4500.bin"/><Relationship Id="rId12021" Type="http://schemas.openxmlformats.org/officeDocument/2006/relationships/oleObject" Target="embeddings/oleObject5962.bin"/><Relationship Id="rId1779" Type="http://schemas.openxmlformats.org/officeDocument/2006/relationships/oleObject" Target="embeddings/oleObject877.bin"/><Relationship Id="rId4252" Type="http://schemas.openxmlformats.org/officeDocument/2006/relationships/oleObject" Target="embeddings/oleObject2117.bin"/><Relationship Id="rId5650" Type="http://schemas.openxmlformats.org/officeDocument/2006/relationships/oleObject" Target="embeddings/oleObject2814.bin"/><Relationship Id="rId6701" Type="http://schemas.openxmlformats.org/officeDocument/2006/relationships/image" Target="media/image3360.wmf"/><Relationship Id="rId14193" Type="http://schemas.openxmlformats.org/officeDocument/2006/relationships/image" Target="media/image7111.wmf"/><Relationship Id="rId5303" Type="http://schemas.openxmlformats.org/officeDocument/2006/relationships/image" Target="media/image2662.wmf"/><Relationship Id="rId8873" Type="http://schemas.openxmlformats.org/officeDocument/2006/relationships/image" Target="media/image4446.wmf"/><Relationship Id="rId9924" Type="http://schemas.openxmlformats.org/officeDocument/2006/relationships/oleObject" Target="embeddings/oleObject4934.bin"/><Relationship Id="rId11854" Type="http://schemas.openxmlformats.org/officeDocument/2006/relationships/image" Target="media/image5940.wmf"/><Relationship Id="rId12905" Type="http://schemas.openxmlformats.org/officeDocument/2006/relationships/image" Target="media/image6467.wmf"/><Relationship Id="rId1913" Type="http://schemas.openxmlformats.org/officeDocument/2006/relationships/oleObject" Target="embeddings/oleObject944.bin"/><Relationship Id="rId7475" Type="http://schemas.openxmlformats.org/officeDocument/2006/relationships/oleObject" Target="embeddings/oleObject3722.bin"/><Relationship Id="rId8526" Type="http://schemas.openxmlformats.org/officeDocument/2006/relationships/image" Target="media/image4272.wmf"/><Relationship Id="rId10456" Type="http://schemas.openxmlformats.org/officeDocument/2006/relationships/image" Target="media/image5237.wmf"/><Relationship Id="rId11507" Type="http://schemas.openxmlformats.org/officeDocument/2006/relationships/image" Target="media/image5765.wmf"/><Relationship Id="rId6077" Type="http://schemas.openxmlformats.org/officeDocument/2006/relationships/image" Target="media/image3049.wmf"/><Relationship Id="rId7128" Type="http://schemas.openxmlformats.org/officeDocument/2006/relationships/image" Target="media/image3573.wmf"/><Relationship Id="rId10109" Type="http://schemas.openxmlformats.org/officeDocument/2006/relationships/image" Target="media/image5063.wmf"/><Relationship Id="rId13679" Type="http://schemas.openxmlformats.org/officeDocument/2006/relationships/oleObject" Target="embeddings/oleObject6785.bin"/><Relationship Id="rId2687" Type="http://schemas.openxmlformats.org/officeDocument/2006/relationships/oleObject" Target="embeddings/oleObject1331.bin"/><Relationship Id="rId3738" Type="http://schemas.openxmlformats.org/officeDocument/2006/relationships/image" Target="media/image1880.wmf"/><Relationship Id="rId659" Type="http://schemas.openxmlformats.org/officeDocument/2006/relationships/oleObject" Target="embeddings/oleObject318.bin"/><Relationship Id="rId1289" Type="http://schemas.openxmlformats.org/officeDocument/2006/relationships/oleObject" Target="embeddings/oleObject634.bin"/><Relationship Id="rId5160" Type="http://schemas.openxmlformats.org/officeDocument/2006/relationships/image" Target="media/image2590.wmf"/><Relationship Id="rId6211" Type="http://schemas.openxmlformats.org/officeDocument/2006/relationships/image" Target="media/image3116.wmf"/><Relationship Id="rId8383" Type="http://schemas.openxmlformats.org/officeDocument/2006/relationships/oleObject" Target="embeddings/oleObject4176.bin"/><Relationship Id="rId9781" Type="http://schemas.openxmlformats.org/officeDocument/2006/relationships/oleObject" Target="embeddings/oleObject4862.bin"/><Relationship Id="rId12762" Type="http://schemas.openxmlformats.org/officeDocument/2006/relationships/oleObject" Target="embeddings/oleObject6330.bin"/><Relationship Id="rId13813" Type="http://schemas.openxmlformats.org/officeDocument/2006/relationships/image" Target="media/image6921.wmf"/><Relationship Id="rId1770" Type="http://schemas.openxmlformats.org/officeDocument/2006/relationships/image" Target="media/image891.wmf"/><Relationship Id="rId2821" Type="http://schemas.openxmlformats.org/officeDocument/2006/relationships/oleObject" Target="embeddings/oleObject1398.bin"/><Relationship Id="rId8036" Type="http://schemas.openxmlformats.org/officeDocument/2006/relationships/image" Target="media/image4027.wmf"/><Relationship Id="rId9434" Type="http://schemas.openxmlformats.org/officeDocument/2006/relationships/image" Target="media/image4726.png"/><Relationship Id="rId11364" Type="http://schemas.openxmlformats.org/officeDocument/2006/relationships/oleObject" Target="embeddings/oleObject5635.bin"/><Relationship Id="rId12415" Type="http://schemas.openxmlformats.org/officeDocument/2006/relationships/image" Target="media/image6222.wmf"/><Relationship Id="rId1423" Type="http://schemas.openxmlformats.org/officeDocument/2006/relationships/oleObject" Target="embeddings/oleObject700.bin"/><Relationship Id="rId4993" Type="http://schemas.openxmlformats.org/officeDocument/2006/relationships/oleObject" Target="embeddings/oleObject2486.bin"/><Relationship Id="rId11017" Type="http://schemas.openxmlformats.org/officeDocument/2006/relationships/oleObject" Target="embeddings/oleObject5464.bin"/><Relationship Id="rId14587" Type="http://schemas.openxmlformats.org/officeDocument/2006/relationships/image" Target="media/image7308.wmf"/><Relationship Id="rId3595" Type="http://schemas.openxmlformats.org/officeDocument/2006/relationships/oleObject" Target="embeddings/oleObject1788.bin"/><Relationship Id="rId4646" Type="http://schemas.openxmlformats.org/officeDocument/2006/relationships/image" Target="media/image2333.wmf"/><Relationship Id="rId13189" Type="http://schemas.openxmlformats.org/officeDocument/2006/relationships/image" Target="media/image6609.wmf"/><Relationship Id="rId2197" Type="http://schemas.openxmlformats.org/officeDocument/2006/relationships/oleObject" Target="embeddings/oleObject1086.bin"/><Relationship Id="rId3248" Type="http://schemas.openxmlformats.org/officeDocument/2006/relationships/oleObject" Target="embeddings/oleObject1612.bin"/><Relationship Id="rId7869" Type="http://schemas.openxmlformats.org/officeDocument/2006/relationships/oleObject" Target="embeddings/oleObject3919.bin"/><Relationship Id="rId10100" Type="http://schemas.openxmlformats.org/officeDocument/2006/relationships/oleObject" Target="embeddings/oleObject5019.bin"/><Relationship Id="rId169" Type="http://schemas.openxmlformats.org/officeDocument/2006/relationships/oleObject" Target="embeddings/oleObject79.bin"/><Relationship Id="rId9291" Type="http://schemas.openxmlformats.org/officeDocument/2006/relationships/oleObject" Target="embeddings/oleObject4626.bin"/><Relationship Id="rId13670" Type="http://schemas.openxmlformats.org/officeDocument/2006/relationships/image" Target="media/image6850.wmf"/><Relationship Id="rId650" Type="http://schemas.openxmlformats.org/officeDocument/2006/relationships/image" Target="media/image326.emf"/><Relationship Id="rId1280" Type="http://schemas.openxmlformats.org/officeDocument/2006/relationships/image" Target="media/image645.wmf"/><Relationship Id="rId2331" Type="http://schemas.openxmlformats.org/officeDocument/2006/relationships/image" Target="media/image1174.wmf"/><Relationship Id="rId12272" Type="http://schemas.openxmlformats.org/officeDocument/2006/relationships/image" Target="media/image6149.wmf"/><Relationship Id="rId13323" Type="http://schemas.openxmlformats.org/officeDocument/2006/relationships/image" Target="media/image6676.wmf"/><Relationship Id="rId303" Type="http://schemas.openxmlformats.org/officeDocument/2006/relationships/oleObject" Target="embeddings/oleObject146.bin"/><Relationship Id="rId6952" Type="http://schemas.openxmlformats.org/officeDocument/2006/relationships/oleObject" Target="embeddings/oleObject3461.bin"/><Relationship Id="rId5554" Type="http://schemas.openxmlformats.org/officeDocument/2006/relationships/oleObject" Target="embeddings/oleObject2766.bin"/><Relationship Id="rId6605" Type="http://schemas.openxmlformats.org/officeDocument/2006/relationships/image" Target="media/image3312.wmf"/><Relationship Id="rId14097" Type="http://schemas.openxmlformats.org/officeDocument/2006/relationships/image" Target="media/image7063.wmf"/><Relationship Id="rId4156" Type="http://schemas.openxmlformats.org/officeDocument/2006/relationships/oleObject" Target="embeddings/oleObject2069.bin"/><Relationship Id="rId5207" Type="http://schemas.openxmlformats.org/officeDocument/2006/relationships/oleObject" Target="embeddings/oleObject2593.bin"/><Relationship Id="rId8777" Type="http://schemas.openxmlformats.org/officeDocument/2006/relationships/image" Target="media/image4398.wmf"/><Relationship Id="rId9828" Type="http://schemas.openxmlformats.org/officeDocument/2006/relationships/image" Target="media/image4923.wmf"/><Relationship Id="rId11758" Type="http://schemas.openxmlformats.org/officeDocument/2006/relationships/image" Target="media/image5892.wmf"/><Relationship Id="rId1817" Type="http://schemas.openxmlformats.org/officeDocument/2006/relationships/oleObject" Target="embeddings/oleObject896.bin"/><Relationship Id="rId7379" Type="http://schemas.openxmlformats.org/officeDocument/2006/relationships/oleObject" Target="embeddings/oleObject3674.bin"/><Relationship Id="rId12809" Type="http://schemas.openxmlformats.org/officeDocument/2006/relationships/image" Target="media/image6419.wmf"/><Relationship Id="rId13180" Type="http://schemas.openxmlformats.org/officeDocument/2006/relationships/oleObject" Target="embeddings/oleObject6537.bin"/><Relationship Id="rId14231" Type="http://schemas.openxmlformats.org/officeDocument/2006/relationships/image" Target="media/image7130.wmf"/><Relationship Id="rId160" Type="http://schemas.openxmlformats.org/officeDocument/2006/relationships/image" Target="media/image79.wmf"/><Relationship Id="rId3989" Type="http://schemas.openxmlformats.org/officeDocument/2006/relationships/image" Target="media/image2005.wmf"/><Relationship Id="rId6462" Type="http://schemas.openxmlformats.org/officeDocument/2006/relationships/oleObject" Target="embeddings/oleObject3221.bin"/><Relationship Id="rId7860" Type="http://schemas.openxmlformats.org/officeDocument/2006/relationships/image" Target="media/image3939.wmf"/><Relationship Id="rId8911" Type="http://schemas.openxmlformats.org/officeDocument/2006/relationships/image" Target="media/image4465.wmf"/><Relationship Id="rId10841" Type="http://schemas.openxmlformats.org/officeDocument/2006/relationships/oleObject" Target="embeddings/oleObject5383.bin"/><Relationship Id="rId5064" Type="http://schemas.openxmlformats.org/officeDocument/2006/relationships/image" Target="media/image2542.wmf"/><Relationship Id="rId6115" Type="http://schemas.openxmlformats.org/officeDocument/2006/relationships/image" Target="media/image3068.wmf"/><Relationship Id="rId7513" Type="http://schemas.openxmlformats.org/officeDocument/2006/relationships/oleObject" Target="embeddings/oleObject3741.bin"/><Relationship Id="rId9685" Type="http://schemas.microsoft.com/office/2007/relationships/hdphoto" Target="media/hdphoto25.wdp"/><Relationship Id="rId12666" Type="http://schemas.openxmlformats.org/officeDocument/2006/relationships/oleObject" Target="embeddings/oleObject6282.bin"/><Relationship Id="rId13717" Type="http://schemas.openxmlformats.org/officeDocument/2006/relationships/image" Target="media/image6873.wmf"/><Relationship Id="rId1674" Type="http://schemas.openxmlformats.org/officeDocument/2006/relationships/image" Target="media/image843.wmf"/><Relationship Id="rId2725" Type="http://schemas.openxmlformats.org/officeDocument/2006/relationships/oleObject" Target="embeddings/oleObject1350.bin"/><Relationship Id="rId8287" Type="http://schemas.openxmlformats.org/officeDocument/2006/relationships/oleObject" Target="embeddings/oleObject4128.bin"/><Relationship Id="rId9338" Type="http://schemas.openxmlformats.org/officeDocument/2006/relationships/image" Target="media/image4678.wmf"/><Relationship Id="rId11268" Type="http://schemas.openxmlformats.org/officeDocument/2006/relationships/oleObject" Target="embeddings/oleObject5587.bin"/><Relationship Id="rId12319" Type="http://schemas.openxmlformats.org/officeDocument/2006/relationships/image" Target="media/image6174.wmf"/><Relationship Id="rId1327" Type="http://schemas.openxmlformats.org/officeDocument/2006/relationships/oleObject" Target="embeddings/oleObject653.bin"/><Relationship Id="rId4897" Type="http://schemas.openxmlformats.org/officeDocument/2006/relationships/oleObject" Target="embeddings/oleObject2439.bin"/><Relationship Id="rId5948" Type="http://schemas.openxmlformats.org/officeDocument/2006/relationships/oleObject" Target="embeddings/oleObject2963.bin"/><Relationship Id="rId33" Type="http://schemas.openxmlformats.org/officeDocument/2006/relationships/image" Target="media/image14.wmf"/><Relationship Id="rId3499" Type="http://schemas.openxmlformats.org/officeDocument/2006/relationships/oleObject" Target="embeddings/oleObject1740.bin"/><Relationship Id="rId7370" Type="http://schemas.openxmlformats.org/officeDocument/2006/relationships/image" Target="media/image3694.wmf"/><Relationship Id="rId8421" Type="http://schemas.openxmlformats.org/officeDocument/2006/relationships/oleObject" Target="embeddings/oleObject4195.bin"/><Relationship Id="rId12800" Type="http://schemas.openxmlformats.org/officeDocument/2006/relationships/oleObject" Target="embeddings/oleObject6349.bin"/><Relationship Id="rId7023" Type="http://schemas.openxmlformats.org/officeDocument/2006/relationships/image" Target="media/image3521.wmf"/><Relationship Id="rId10351" Type="http://schemas.openxmlformats.org/officeDocument/2006/relationships/image" Target="media/image5184.wmf"/><Relationship Id="rId11402" Type="http://schemas.openxmlformats.org/officeDocument/2006/relationships/oleObject" Target="embeddings/oleObject5654.bin"/><Relationship Id="rId3980" Type="http://schemas.openxmlformats.org/officeDocument/2006/relationships/oleObject" Target="embeddings/oleObject1981.bin"/><Relationship Id="rId9195" Type="http://schemas.openxmlformats.org/officeDocument/2006/relationships/oleObject" Target="embeddings/oleObject4578.bin"/><Relationship Id="rId10004" Type="http://schemas.openxmlformats.org/officeDocument/2006/relationships/oleObject" Target="embeddings/oleObject4971.bin"/><Relationship Id="rId13574" Type="http://schemas.openxmlformats.org/officeDocument/2006/relationships/image" Target="media/image6802.wmf"/><Relationship Id="rId1184" Type="http://schemas.openxmlformats.org/officeDocument/2006/relationships/oleObject" Target="embeddings/oleObject582.bin"/><Relationship Id="rId2582" Type="http://schemas.openxmlformats.org/officeDocument/2006/relationships/image" Target="media/image1301.wmf"/><Relationship Id="rId3633" Type="http://schemas.openxmlformats.org/officeDocument/2006/relationships/oleObject" Target="embeddings/oleObject1807.bin"/><Relationship Id="rId12176" Type="http://schemas.openxmlformats.org/officeDocument/2006/relationships/image" Target="media/image6101.wmf"/><Relationship Id="rId13227" Type="http://schemas.openxmlformats.org/officeDocument/2006/relationships/image" Target="media/image6628.wmf"/><Relationship Id="rId554" Type="http://schemas.openxmlformats.org/officeDocument/2006/relationships/image" Target="media/image278.wmf"/><Relationship Id="rId2235" Type="http://schemas.openxmlformats.org/officeDocument/2006/relationships/oleObject" Target="embeddings/oleObject1105.bin"/><Relationship Id="rId6856" Type="http://schemas.openxmlformats.org/officeDocument/2006/relationships/oleObject" Target="embeddings/oleObject3413.bin"/><Relationship Id="rId7907" Type="http://schemas.openxmlformats.org/officeDocument/2006/relationships/oleObject" Target="embeddings/oleObject3938.bin"/><Relationship Id="rId207" Type="http://schemas.openxmlformats.org/officeDocument/2006/relationships/oleObject" Target="embeddings/oleObject98.bin"/><Relationship Id="rId5458" Type="http://schemas.openxmlformats.org/officeDocument/2006/relationships/oleObject" Target="embeddings/oleObject2718.bin"/><Relationship Id="rId6509" Type="http://schemas.openxmlformats.org/officeDocument/2006/relationships/image" Target="media/image3264.wmf"/><Relationship Id="rId12310" Type="http://schemas.openxmlformats.org/officeDocument/2006/relationships/oleObject" Target="embeddings/oleObject6104.bin"/><Relationship Id="rId3490" Type="http://schemas.openxmlformats.org/officeDocument/2006/relationships/image" Target="media/image1756.wmf"/><Relationship Id="rId4541" Type="http://schemas.openxmlformats.org/officeDocument/2006/relationships/oleObject" Target="embeddings/oleObject2262.bin"/><Relationship Id="rId13084" Type="http://schemas.openxmlformats.org/officeDocument/2006/relationships/oleObject" Target="embeddings/oleObject6489.bin"/><Relationship Id="rId14135" Type="http://schemas.openxmlformats.org/officeDocument/2006/relationships/image" Target="media/image7082.wmf"/><Relationship Id="rId14482" Type="http://schemas.openxmlformats.org/officeDocument/2006/relationships/oleObject" Target="embeddings/oleObject7181.bin"/><Relationship Id="rId2092" Type="http://schemas.openxmlformats.org/officeDocument/2006/relationships/image" Target="media/image1052.wmf"/><Relationship Id="rId3143" Type="http://schemas.openxmlformats.org/officeDocument/2006/relationships/image" Target="media/image1581.wmf"/><Relationship Id="rId7764" Type="http://schemas.openxmlformats.org/officeDocument/2006/relationships/image" Target="media/image3891.wmf"/><Relationship Id="rId8815" Type="http://schemas.openxmlformats.org/officeDocument/2006/relationships/image" Target="media/image4417.wmf"/><Relationship Id="rId10745" Type="http://schemas.openxmlformats.org/officeDocument/2006/relationships/oleObject" Target="embeddings/oleObject5335.bin"/><Relationship Id="rId6366" Type="http://schemas.openxmlformats.org/officeDocument/2006/relationships/oleObject" Target="embeddings/oleObject3173.bin"/><Relationship Id="rId7417" Type="http://schemas.openxmlformats.org/officeDocument/2006/relationships/oleObject" Target="embeddings/oleObject3693.bin"/><Relationship Id="rId13968" Type="http://schemas.openxmlformats.org/officeDocument/2006/relationships/oleObject" Target="embeddings/oleObject6930.bin"/><Relationship Id="rId2976" Type="http://schemas.openxmlformats.org/officeDocument/2006/relationships/oleObject" Target="embeddings/oleObject1476.bin"/><Relationship Id="rId6019" Type="http://schemas.openxmlformats.org/officeDocument/2006/relationships/image" Target="media/image3020.wmf"/><Relationship Id="rId9589" Type="http://schemas.openxmlformats.org/officeDocument/2006/relationships/oleObject" Target="embeddings/oleObject4773.bin"/><Relationship Id="rId948" Type="http://schemas.openxmlformats.org/officeDocument/2006/relationships/oleObject" Target="embeddings/oleObject465.bin"/><Relationship Id="rId1578" Type="http://schemas.openxmlformats.org/officeDocument/2006/relationships/image" Target="media/image795.wmf"/><Relationship Id="rId2629" Type="http://schemas.openxmlformats.org/officeDocument/2006/relationships/oleObject" Target="embeddings/oleObject1302.bin"/><Relationship Id="rId6500" Type="http://schemas.openxmlformats.org/officeDocument/2006/relationships/oleObject" Target="embeddings/oleObject3240.bin"/><Relationship Id="rId4051" Type="http://schemas.openxmlformats.org/officeDocument/2006/relationships/image" Target="media/image2036.wmf"/><Relationship Id="rId5102" Type="http://schemas.openxmlformats.org/officeDocument/2006/relationships/image" Target="media/image2561.wmf"/><Relationship Id="rId8672" Type="http://schemas.openxmlformats.org/officeDocument/2006/relationships/oleObject" Target="embeddings/oleObject4319.bin"/><Relationship Id="rId7274" Type="http://schemas.openxmlformats.org/officeDocument/2006/relationships/image" Target="media/image3646.wmf"/><Relationship Id="rId8325" Type="http://schemas.openxmlformats.org/officeDocument/2006/relationships/oleObject" Target="embeddings/oleObject4147.bin"/><Relationship Id="rId9723" Type="http://schemas.openxmlformats.org/officeDocument/2006/relationships/oleObject" Target="embeddings/oleObject4833.bin"/><Relationship Id="rId11653" Type="http://schemas.openxmlformats.org/officeDocument/2006/relationships/image" Target="media/image5838.wmf"/><Relationship Id="rId12704" Type="http://schemas.openxmlformats.org/officeDocument/2006/relationships/oleObject" Target="embeddings/oleObject6301.bin"/><Relationship Id="rId1712" Type="http://schemas.openxmlformats.org/officeDocument/2006/relationships/image" Target="media/image862.wmf"/><Relationship Id="rId10255" Type="http://schemas.openxmlformats.org/officeDocument/2006/relationships/image" Target="media/image5136.wmf"/><Relationship Id="rId11306" Type="http://schemas.openxmlformats.org/officeDocument/2006/relationships/oleObject" Target="embeddings/oleObject5606.bin"/><Relationship Id="rId3884" Type="http://schemas.openxmlformats.org/officeDocument/2006/relationships/image" Target="media/image1953.wmf"/><Relationship Id="rId4935" Type="http://schemas.microsoft.com/office/2007/relationships/hdphoto" Target="media/hdphoto10.wdp"/><Relationship Id="rId9099" Type="http://schemas.openxmlformats.org/officeDocument/2006/relationships/image" Target="media/image4559.wmf"/><Relationship Id="rId13478" Type="http://schemas.openxmlformats.org/officeDocument/2006/relationships/image" Target="media/image6754.wmf"/><Relationship Id="rId14529" Type="http://schemas.openxmlformats.org/officeDocument/2006/relationships/image" Target="media/image7279.wmf"/><Relationship Id="rId2486" Type="http://schemas.openxmlformats.org/officeDocument/2006/relationships/image" Target="media/image1253.wmf"/><Relationship Id="rId3537" Type="http://schemas.openxmlformats.org/officeDocument/2006/relationships/oleObject" Target="embeddings/oleObject1759.bin"/><Relationship Id="rId458" Type="http://schemas.openxmlformats.org/officeDocument/2006/relationships/oleObject" Target="embeddings/oleObject220.bin"/><Relationship Id="rId1088" Type="http://schemas.openxmlformats.org/officeDocument/2006/relationships/oleObject" Target="embeddings/oleObject534.bin"/><Relationship Id="rId2139" Type="http://schemas.openxmlformats.org/officeDocument/2006/relationships/oleObject" Target="embeddings/oleObject1057.bin"/><Relationship Id="rId6010" Type="http://schemas.openxmlformats.org/officeDocument/2006/relationships/oleObject" Target="embeddings/oleObject2994.bin"/><Relationship Id="rId9580" Type="http://schemas.openxmlformats.org/officeDocument/2006/relationships/image" Target="media/image4799.wmf"/><Relationship Id="rId2620" Type="http://schemas.openxmlformats.org/officeDocument/2006/relationships/image" Target="media/image1320.wmf"/><Relationship Id="rId8182" Type="http://schemas.openxmlformats.org/officeDocument/2006/relationships/image" Target="media/image4100.wmf"/><Relationship Id="rId9233" Type="http://schemas.openxmlformats.org/officeDocument/2006/relationships/oleObject" Target="embeddings/oleObject4597.bin"/><Relationship Id="rId11163" Type="http://schemas.openxmlformats.org/officeDocument/2006/relationships/image" Target="media/image5593.wmf"/><Relationship Id="rId12214" Type="http://schemas.openxmlformats.org/officeDocument/2006/relationships/image" Target="media/image6120.wmf"/><Relationship Id="rId12561" Type="http://schemas.openxmlformats.org/officeDocument/2006/relationships/image" Target="media/image6295.wmf"/><Relationship Id="rId13612" Type="http://schemas.openxmlformats.org/officeDocument/2006/relationships/image" Target="media/image6821.wmf"/><Relationship Id="rId1222" Type="http://schemas.openxmlformats.org/officeDocument/2006/relationships/image" Target="media/image616.wmf"/><Relationship Id="rId3394" Type="http://schemas.openxmlformats.org/officeDocument/2006/relationships/image" Target="media/image1707.wmf"/><Relationship Id="rId4792" Type="http://schemas.openxmlformats.org/officeDocument/2006/relationships/image" Target="media/image2406.wmf"/><Relationship Id="rId5843" Type="http://schemas.openxmlformats.org/officeDocument/2006/relationships/image" Target="media/image2932.wmf"/><Relationship Id="rId14386" Type="http://schemas.openxmlformats.org/officeDocument/2006/relationships/oleObject" Target="embeddings/oleObject7137.bin"/><Relationship Id="rId3047" Type="http://schemas.openxmlformats.org/officeDocument/2006/relationships/image" Target="media/image1533.wmf"/><Relationship Id="rId4445" Type="http://schemas.openxmlformats.org/officeDocument/2006/relationships/oleObject" Target="embeddings/oleObject2214.bin"/><Relationship Id="rId10996" Type="http://schemas.openxmlformats.org/officeDocument/2006/relationships/image" Target="media/image5508.wmf"/><Relationship Id="rId14039" Type="http://schemas.openxmlformats.org/officeDocument/2006/relationships/image" Target="media/image7034.wmf"/><Relationship Id="rId7668" Type="http://schemas.openxmlformats.org/officeDocument/2006/relationships/image" Target="media/image3843.wmf"/><Relationship Id="rId8719" Type="http://schemas.openxmlformats.org/officeDocument/2006/relationships/image" Target="media/image4369.wmf"/><Relationship Id="rId10649" Type="http://schemas.openxmlformats.org/officeDocument/2006/relationships/oleObject" Target="embeddings/oleObject5289.bin"/><Relationship Id="rId14520" Type="http://schemas.openxmlformats.org/officeDocument/2006/relationships/oleObject" Target="embeddings/oleObject7200.bin"/><Relationship Id="rId9090" Type="http://schemas.openxmlformats.org/officeDocument/2006/relationships/oleObject" Target="embeddings/oleObject4525.bin"/><Relationship Id="rId12071" Type="http://schemas.openxmlformats.org/officeDocument/2006/relationships/oleObject" Target="embeddings/oleObject5987.bin"/><Relationship Id="rId13122" Type="http://schemas.openxmlformats.org/officeDocument/2006/relationships/oleObject" Target="embeddings/oleObject6508.bin"/><Relationship Id="rId2130" Type="http://schemas.openxmlformats.org/officeDocument/2006/relationships/image" Target="media/image1071.wmf"/><Relationship Id="rId6751" Type="http://schemas.openxmlformats.org/officeDocument/2006/relationships/image" Target="media/image3385.wmf"/><Relationship Id="rId102" Type="http://schemas.openxmlformats.org/officeDocument/2006/relationships/oleObject" Target="embeddings/oleObject47.bin"/><Relationship Id="rId5353" Type="http://schemas.openxmlformats.org/officeDocument/2006/relationships/image" Target="media/image2687.wmf"/><Relationship Id="rId6404" Type="http://schemas.openxmlformats.org/officeDocument/2006/relationships/oleObject" Target="embeddings/oleObject3192.bin"/><Relationship Id="rId7802" Type="http://schemas.openxmlformats.org/officeDocument/2006/relationships/image" Target="media/image3910.wmf"/><Relationship Id="rId5006" Type="http://schemas.openxmlformats.org/officeDocument/2006/relationships/image" Target="media/image2513.wmf"/><Relationship Id="rId9974" Type="http://schemas.openxmlformats.org/officeDocument/2006/relationships/oleObject" Target="embeddings/oleObject4957.bin"/><Relationship Id="rId12955" Type="http://schemas.openxmlformats.org/officeDocument/2006/relationships/image" Target="media/image6492.wmf"/><Relationship Id="rId1963" Type="http://schemas.openxmlformats.org/officeDocument/2006/relationships/oleObject" Target="embeddings/oleObject969.bin"/><Relationship Id="rId7178" Type="http://schemas.openxmlformats.org/officeDocument/2006/relationships/image" Target="media/image3598.wmf"/><Relationship Id="rId8576" Type="http://schemas.openxmlformats.org/officeDocument/2006/relationships/image" Target="media/image4297.wmf"/><Relationship Id="rId9627" Type="http://schemas.openxmlformats.org/officeDocument/2006/relationships/oleObject" Target="embeddings/oleObject4792.bin"/><Relationship Id="rId11557" Type="http://schemas.openxmlformats.org/officeDocument/2006/relationships/image" Target="media/image5790.wmf"/><Relationship Id="rId12608" Type="http://schemas.openxmlformats.org/officeDocument/2006/relationships/oleObject" Target="embeddings/oleObject6253.bin"/><Relationship Id="rId1616" Type="http://schemas.openxmlformats.org/officeDocument/2006/relationships/image" Target="media/image814.wmf"/><Relationship Id="rId8229" Type="http://schemas.openxmlformats.org/officeDocument/2006/relationships/oleObject" Target="embeddings/oleObject4099.bin"/><Relationship Id="rId10159" Type="http://schemas.openxmlformats.org/officeDocument/2006/relationships/image" Target="media/image5088.wmf"/><Relationship Id="rId14030" Type="http://schemas.openxmlformats.org/officeDocument/2006/relationships/oleObject" Target="embeddings/oleObject6961.bin"/><Relationship Id="rId3788" Type="http://schemas.openxmlformats.org/officeDocument/2006/relationships/image" Target="media/image1905.wmf"/><Relationship Id="rId4839" Type="http://schemas.openxmlformats.org/officeDocument/2006/relationships/oleObject" Target="embeddings/oleObject2410.bin"/><Relationship Id="rId8710" Type="http://schemas.openxmlformats.org/officeDocument/2006/relationships/oleObject" Target="embeddings/oleObject4338.bin"/><Relationship Id="rId6261" Type="http://schemas.openxmlformats.org/officeDocument/2006/relationships/image" Target="media/image3141.wmf"/><Relationship Id="rId7312" Type="http://schemas.openxmlformats.org/officeDocument/2006/relationships/image" Target="media/image3665.wmf"/><Relationship Id="rId10640" Type="http://schemas.openxmlformats.org/officeDocument/2006/relationships/image" Target="media/image5329.wmf"/><Relationship Id="rId9484" Type="http://schemas.openxmlformats.org/officeDocument/2006/relationships/image" Target="media/image4751.wmf"/><Relationship Id="rId13863" Type="http://schemas.openxmlformats.org/officeDocument/2006/relationships/image" Target="media/image6946.wmf"/><Relationship Id="rId1473" Type="http://schemas.openxmlformats.org/officeDocument/2006/relationships/oleObject" Target="embeddings/oleObject725.bin"/><Relationship Id="rId2871" Type="http://schemas.openxmlformats.org/officeDocument/2006/relationships/image" Target="media/image1445.wmf"/><Relationship Id="rId3922" Type="http://schemas.openxmlformats.org/officeDocument/2006/relationships/image" Target="media/image1972.wmf"/><Relationship Id="rId8086" Type="http://schemas.openxmlformats.org/officeDocument/2006/relationships/image" Target="media/image4052.wmf"/><Relationship Id="rId9137" Type="http://schemas.openxmlformats.org/officeDocument/2006/relationships/image" Target="media/image4578.wmf"/><Relationship Id="rId12465" Type="http://schemas.openxmlformats.org/officeDocument/2006/relationships/image" Target="media/image6247.wmf"/><Relationship Id="rId13516" Type="http://schemas.openxmlformats.org/officeDocument/2006/relationships/image" Target="media/image6773.wmf"/><Relationship Id="rId843" Type="http://schemas.openxmlformats.org/officeDocument/2006/relationships/oleObject" Target="embeddings/oleObject413.bin"/><Relationship Id="rId1126" Type="http://schemas.openxmlformats.org/officeDocument/2006/relationships/oleObject" Target="embeddings/oleObject553.bin"/><Relationship Id="rId2524" Type="http://schemas.openxmlformats.org/officeDocument/2006/relationships/image" Target="media/image1272.wmf"/><Relationship Id="rId11067" Type="http://schemas.openxmlformats.org/officeDocument/2006/relationships/image" Target="media/image5545.wmf"/><Relationship Id="rId12118" Type="http://schemas.openxmlformats.org/officeDocument/2006/relationships/image" Target="media/image6072.wmf"/><Relationship Id="rId4696" Type="http://schemas.openxmlformats.org/officeDocument/2006/relationships/image" Target="media/image2358.wmf"/><Relationship Id="rId5747" Type="http://schemas.openxmlformats.org/officeDocument/2006/relationships/image" Target="media/image2884.wmf"/><Relationship Id="rId3298" Type="http://schemas.openxmlformats.org/officeDocument/2006/relationships/image" Target="media/image1658.wmf"/><Relationship Id="rId4349" Type="http://schemas.openxmlformats.org/officeDocument/2006/relationships/oleObject" Target="embeddings/oleObject2166.bin"/><Relationship Id="rId8220" Type="http://schemas.openxmlformats.org/officeDocument/2006/relationships/image" Target="media/image4119.wmf"/><Relationship Id="rId10150" Type="http://schemas.openxmlformats.org/officeDocument/2006/relationships/oleObject" Target="embeddings/oleObject5044.bin"/><Relationship Id="rId11201" Type="http://schemas.openxmlformats.org/officeDocument/2006/relationships/image" Target="media/image5612.wmf"/><Relationship Id="rId4830" Type="http://schemas.openxmlformats.org/officeDocument/2006/relationships/image" Target="media/image2425.wmf"/><Relationship Id="rId13373" Type="http://schemas.openxmlformats.org/officeDocument/2006/relationships/oleObject" Target="embeddings/oleObject6632.bin"/><Relationship Id="rId14424" Type="http://schemas.microsoft.com/office/2007/relationships/hdphoto" Target="media/hdphoto52.wdp"/><Relationship Id="rId2381" Type="http://schemas.openxmlformats.org/officeDocument/2006/relationships/image" Target="media/image1199.wmf"/><Relationship Id="rId3432" Type="http://schemas.openxmlformats.org/officeDocument/2006/relationships/image" Target="media/image1727.wmf"/><Relationship Id="rId13026" Type="http://schemas.openxmlformats.org/officeDocument/2006/relationships/oleObject" Target="embeddings/oleObject6460.bin"/><Relationship Id="rId353" Type="http://schemas.openxmlformats.org/officeDocument/2006/relationships/oleObject" Target="embeddings/oleObject171.bin"/><Relationship Id="rId2034" Type="http://schemas.openxmlformats.org/officeDocument/2006/relationships/image" Target="media/image1023.wmf"/><Relationship Id="rId5257" Type="http://schemas.openxmlformats.org/officeDocument/2006/relationships/image" Target="media/image2639.wmf"/><Relationship Id="rId6655" Type="http://schemas.openxmlformats.org/officeDocument/2006/relationships/image" Target="media/image3337.wmf"/><Relationship Id="rId7706" Type="http://schemas.openxmlformats.org/officeDocument/2006/relationships/image" Target="media/image3862.wmf"/><Relationship Id="rId6308" Type="http://schemas.openxmlformats.org/officeDocument/2006/relationships/oleObject" Target="embeddings/oleObject3143.bin"/><Relationship Id="rId9878" Type="http://schemas.openxmlformats.org/officeDocument/2006/relationships/oleObject" Target="embeddings/oleObject4911.bin"/><Relationship Id="rId12859" Type="http://schemas.openxmlformats.org/officeDocument/2006/relationships/image" Target="media/image6444.wmf"/><Relationship Id="rId1867" Type="http://schemas.openxmlformats.org/officeDocument/2006/relationships/oleObject" Target="embeddings/oleObject921.bin"/><Relationship Id="rId2918" Type="http://schemas.openxmlformats.org/officeDocument/2006/relationships/oleObject" Target="embeddings/oleObject1447.bin"/><Relationship Id="rId14281" Type="http://schemas.openxmlformats.org/officeDocument/2006/relationships/image" Target="media/image7155.wmf"/><Relationship Id="rId4340" Type="http://schemas.openxmlformats.org/officeDocument/2006/relationships/image" Target="media/image2180.wmf"/><Relationship Id="rId8961" Type="http://schemas.openxmlformats.org/officeDocument/2006/relationships/image" Target="media/image4490.wmf"/><Relationship Id="rId7563" Type="http://schemas.openxmlformats.org/officeDocument/2006/relationships/oleObject" Target="embeddings/oleObject3766.bin"/><Relationship Id="rId8614" Type="http://schemas.openxmlformats.org/officeDocument/2006/relationships/image" Target="media/image4316.wmf"/><Relationship Id="rId10891" Type="http://schemas.openxmlformats.org/officeDocument/2006/relationships/oleObject" Target="embeddings/oleObject5408.bin"/><Relationship Id="rId11942" Type="http://schemas.openxmlformats.org/officeDocument/2006/relationships/image" Target="media/image5984.wmf"/><Relationship Id="rId6165" Type="http://schemas.openxmlformats.org/officeDocument/2006/relationships/image" Target="media/image3093.wmf"/><Relationship Id="rId7216" Type="http://schemas.openxmlformats.org/officeDocument/2006/relationships/image" Target="media/image3617.wmf"/><Relationship Id="rId10544" Type="http://schemas.openxmlformats.org/officeDocument/2006/relationships/image" Target="media/image5281.wmf"/><Relationship Id="rId9388" Type="http://schemas.openxmlformats.org/officeDocument/2006/relationships/image" Target="media/image4703.wmf"/><Relationship Id="rId13767" Type="http://schemas.openxmlformats.org/officeDocument/2006/relationships/image" Target="media/image6898.wmf"/><Relationship Id="rId2775" Type="http://schemas.openxmlformats.org/officeDocument/2006/relationships/oleObject" Target="embeddings/oleObject1375.bin"/><Relationship Id="rId3826" Type="http://schemas.openxmlformats.org/officeDocument/2006/relationships/image" Target="media/image1924.wmf"/><Relationship Id="rId12369" Type="http://schemas.openxmlformats.org/officeDocument/2006/relationships/image" Target="media/image6199.wmf"/><Relationship Id="rId747" Type="http://schemas.openxmlformats.org/officeDocument/2006/relationships/oleObject" Target="embeddings/oleObject362.bin"/><Relationship Id="rId1377" Type="http://schemas.microsoft.com/office/2007/relationships/hdphoto" Target="media/hdphoto6.wdp"/><Relationship Id="rId2428" Type="http://schemas.openxmlformats.org/officeDocument/2006/relationships/image" Target="media/image1223.wmf"/><Relationship Id="rId5998" Type="http://schemas.openxmlformats.org/officeDocument/2006/relationships/oleObject" Target="embeddings/oleObject2988.bin"/><Relationship Id="rId83" Type="http://schemas.openxmlformats.org/officeDocument/2006/relationships/image" Target="media/image39.wmf"/><Relationship Id="rId8471" Type="http://schemas.openxmlformats.org/officeDocument/2006/relationships/oleObject" Target="embeddings/oleObject4220.bin"/><Relationship Id="rId9522" Type="http://schemas.openxmlformats.org/officeDocument/2006/relationships/image" Target="media/image4770.wmf"/><Relationship Id="rId11452" Type="http://schemas.openxmlformats.org/officeDocument/2006/relationships/oleObject" Target="embeddings/oleObject5679.bin"/><Relationship Id="rId12503" Type="http://schemas.openxmlformats.org/officeDocument/2006/relationships/image" Target="media/image6266.wmf"/><Relationship Id="rId12850" Type="http://schemas.openxmlformats.org/officeDocument/2006/relationships/oleObject" Target="embeddings/oleObject6374.bin"/><Relationship Id="rId13901" Type="http://schemas.openxmlformats.org/officeDocument/2006/relationships/image" Target="media/image6965.wmf"/><Relationship Id="rId1511" Type="http://schemas.openxmlformats.org/officeDocument/2006/relationships/oleObject" Target="embeddings/oleObject742.bin"/><Relationship Id="rId7073" Type="http://schemas.openxmlformats.org/officeDocument/2006/relationships/image" Target="media/image3546.wmf"/><Relationship Id="rId8124" Type="http://schemas.openxmlformats.org/officeDocument/2006/relationships/image" Target="media/image4071.wmf"/><Relationship Id="rId10054" Type="http://schemas.openxmlformats.org/officeDocument/2006/relationships/oleObject" Target="embeddings/oleObject4996.bin"/><Relationship Id="rId11105" Type="http://schemas.openxmlformats.org/officeDocument/2006/relationships/image" Target="media/image5564.wmf"/><Relationship Id="rId3683" Type="http://schemas.openxmlformats.org/officeDocument/2006/relationships/oleObject" Target="embeddings/oleObject1832.bin"/><Relationship Id="rId2285" Type="http://schemas.openxmlformats.org/officeDocument/2006/relationships/image" Target="media/image1149.wmf"/><Relationship Id="rId3336" Type="http://schemas.openxmlformats.org/officeDocument/2006/relationships/image" Target="media/image1677.wmf"/><Relationship Id="rId4734" Type="http://schemas.openxmlformats.org/officeDocument/2006/relationships/image" Target="media/image2377.wmf"/><Relationship Id="rId13277" Type="http://schemas.openxmlformats.org/officeDocument/2006/relationships/image" Target="media/image6653.wmf"/><Relationship Id="rId14328" Type="http://schemas.openxmlformats.org/officeDocument/2006/relationships/oleObject" Target="embeddings/oleObject7110.bin"/><Relationship Id="rId257" Type="http://schemas.openxmlformats.org/officeDocument/2006/relationships/oleObject" Target="embeddings/oleObject123.bin"/><Relationship Id="rId7957" Type="http://schemas.openxmlformats.org/officeDocument/2006/relationships/oleObject" Target="embeddings/oleObject3963.bin"/><Relationship Id="rId10938" Type="http://schemas.openxmlformats.org/officeDocument/2006/relationships/image" Target="media/image5478.png"/><Relationship Id="rId6559" Type="http://schemas.openxmlformats.org/officeDocument/2006/relationships/image" Target="media/image3289.wmf"/><Relationship Id="rId12360" Type="http://schemas.openxmlformats.org/officeDocument/2006/relationships/oleObject" Target="embeddings/oleObject6129.bin"/><Relationship Id="rId13411" Type="http://schemas.openxmlformats.org/officeDocument/2006/relationships/oleObject" Target="embeddings/oleObject6651.bin"/><Relationship Id="rId9032" Type="http://schemas.openxmlformats.org/officeDocument/2006/relationships/oleObject" Target="embeddings/oleObject4496.bin"/><Relationship Id="rId12013" Type="http://schemas.openxmlformats.org/officeDocument/2006/relationships/oleObject" Target="embeddings/oleObject5958.bin"/><Relationship Id="rId1021" Type="http://schemas.openxmlformats.org/officeDocument/2006/relationships/image" Target="media/image516.wmf"/><Relationship Id="rId4591" Type="http://schemas.openxmlformats.org/officeDocument/2006/relationships/oleObject" Target="embeddings/oleObject2287.bin"/><Relationship Id="rId5642" Type="http://schemas.openxmlformats.org/officeDocument/2006/relationships/oleObject" Target="embeddings/oleObject2810.bin"/><Relationship Id="rId14185" Type="http://schemas.openxmlformats.org/officeDocument/2006/relationships/image" Target="media/image7107.wmf"/><Relationship Id="rId3193" Type="http://schemas.openxmlformats.org/officeDocument/2006/relationships/image" Target="media/image1606.wmf"/><Relationship Id="rId4244" Type="http://schemas.openxmlformats.org/officeDocument/2006/relationships/oleObject" Target="embeddings/oleObject2113.bin"/><Relationship Id="rId7467" Type="http://schemas.openxmlformats.org/officeDocument/2006/relationships/oleObject" Target="embeddings/oleObject3718.bin"/><Relationship Id="rId8865" Type="http://schemas.openxmlformats.org/officeDocument/2006/relationships/image" Target="media/image4442.wmf"/><Relationship Id="rId9916" Type="http://schemas.openxmlformats.org/officeDocument/2006/relationships/oleObject" Target="embeddings/oleObject4930.bin"/><Relationship Id="rId10795" Type="http://schemas.openxmlformats.org/officeDocument/2006/relationships/oleObject" Target="embeddings/oleObject5360.bin"/><Relationship Id="rId11846" Type="http://schemas.openxmlformats.org/officeDocument/2006/relationships/image" Target="media/image5936.wmf"/><Relationship Id="rId1905" Type="http://schemas.openxmlformats.org/officeDocument/2006/relationships/oleObject" Target="embeddings/oleObject940.bin"/><Relationship Id="rId6069" Type="http://schemas.openxmlformats.org/officeDocument/2006/relationships/image" Target="media/image3045.wmf"/><Relationship Id="rId8518" Type="http://schemas.openxmlformats.org/officeDocument/2006/relationships/image" Target="media/image4268.wmf"/><Relationship Id="rId10448" Type="http://schemas.openxmlformats.org/officeDocument/2006/relationships/image" Target="media/image5233.wmf"/><Relationship Id="rId998" Type="http://schemas.openxmlformats.org/officeDocument/2006/relationships/oleObject" Target="embeddings/oleObject490.bin"/><Relationship Id="rId2679" Type="http://schemas.openxmlformats.org/officeDocument/2006/relationships/oleObject" Target="embeddings/oleObject1327.bin"/><Relationship Id="rId6550" Type="http://schemas.openxmlformats.org/officeDocument/2006/relationships/oleObject" Target="embeddings/oleObject3262.bin"/><Relationship Id="rId7601" Type="http://schemas.openxmlformats.org/officeDocument/2006/relationships/oleObject" Target="embeddings/oleObject3785.bin"/><Relationship Id="rId5152" Type="http://schemas.openxmlformats.org/officeDocument/2006/relationships/image" Target="media/image2586.wmf"/><Relationship Id="rId6203" Type="http://schemas.openxmlformats.org/officeDocument/2006/relationships/image" Target="media/image3112.wmf"/><Relationship Id="rId9773" Type="http://schemas.openxmlformats.org/officeDocument/2006/relationships/oleObject" Target="embeddings/oleObject4858.bin"/><Relationship Id="rId1762" Type="http://schemas.openxmlformats.org/officeDocument/2006/relationships/image" Target="media/image887.wmf"/><Relationship Id="rId8375" Type="http://schemas.openxmlformats.org/officeDocument/2006/relationships/oleObject" Target="embeddings/oleObject4172.bin"/><Relationship Id="rId9426" Type="http://schemas.openxmlformats.org/officeDocument/2006/relationships/image" Target="media/image4722.wmf"/><Relationship Id="rId12754" Type="http://schemas.openxmlformats.org/officeDocument/2006/relationships/oleObject" Target="embeddings/oleObject6326.bin"/><Relationship Id="rId13805" Type="http://schemas.openxmlformats.org/officeDocument/2006/relationships/image" Target="media/image6917.wmf"/><Relationship Id="rId1415" Type="http://schemas.openxmlformats.org/officeDocument/2006/relationships/oleObject" Target="embeddings/oleObject696.bin"/><Relationship Id="rId2813" Type="http://schemas.openxmlformats.org/officeDocument/2006/relationships/oleObject" Target="embeddings/oleObject1394.bin"/><Relationship Id="rId8028" Type="http://schemas.openxmlformats.org/officeDocument/2006/relationships/image" Target="media/image4023.wmf"/><Relationship Id="rId11009" Type="http://schemas.openxmlformats.org/officeDocument/2006/relationships/oleObject" Target="embeddings/oleObject5460.bin"/><Relationship Id="rId11356" Type="http://schemas.openxmlformats.org/officeDocument/2006/relationships/oleObject" Target="embeddings/oleObject5631.bin"/><Relationship Id="rId12407" Type="http://schemas.openxmlformats.org/officeDocument/2006/relationships/image" Target="media/image6218.wmf"/><Relationship Id="rId4985" Type="http://schemas.openxmlformats.org/officeDocument/2006/relationships/oleObject" Target="embeddings/oleObject2482.bin"/><Relationship Id="rId14579" Type="http://schemas.openxmlformats.org/officeDocument/2006/relationships/image" Target="media/image7304.wmf"/><Relationship Id="rId2189" Type="http://schemas.openxmlformats.org/officeDocument/2006/relationships/oleObject" Target="embeddings/oleObject1082.bin"/><Relationship Id="rId3587" Type="http://schemas.openxmlformats.org/officeDocument/2006/relationships/oleObject" Target="embeddings/oleObject1784.bin"/><Relationship Id="rId4638" Type="http://schemas.openxmlformats.org/officeDocument/2006/relationships/image" Target="media/image2329.wmf"/><Relationship Id="rId6060" Type="http://schemas.openxmlformats.org/officeDocument/2006/relationships/oleObject" Target="embeddings/oleObject3019.bin"/><Relationship Id="rId7111" Type="http://schemas.openxmlformats.org/officeDocument/2006/relationships/image" Target="media/image3565.wmf"/><Relationship Id="rId13662" Type="http://schemas.openxmlformats.org/officeDocument/2006/relationships/image" Target="media/image6846.wmf"/><Relationship Id="rId2670" Type="http://schemas.openxmlformats.org/officeDocument/2006/relationships/image" Target="media/image1345.wmf"/><Relationship Id="rId3721" Type="http://schemas.openxmlformats.org/officeDocument/2006/relationships/oleObject" Target="embeddings/oleObject1851.bin"/><Relationship Id="rId9283" Type="http://schemas.openxmlformats.org/officeDocument/2006/relationships/oleObject" Target="embeddings/oleObject4622.bin"/><Relationship Id="rId12264" Type="http://schemas.openxmlformats.org/officeDocument/2006/relationships/image" Target="media/image6145.wmf"/><Relationship Id="rId13315" Type="http://schemas.openxmlformats.org/officeDocument/2006/relationships/image" Target="media/image6672.wmf"/><Relationship Id="rId642" Type="http://schemas.openxmlformats.org/officeDocument/2006/relationships/image" Target="media/image322.wmf"/><Relationship Id="rId1272" Type="http://schemas.openxmlformats.org/officeDocument/2006/relationships/image" Target="media/image641.wmf"/><Relationship Id="rId2323" Type="http://schemas.openxmlformats.org/officeDocument/2006/relationships/image" Target="media/image1170.wmf"/><Relationship Id="rId5893" Type="http://schemas.openxmlformats.org/officeDocument/2006/relationships/image" Target="media/image2957.wmf"/><Relationship Id="rId4495" Type="http://schemas.openxmlformats.org/officeDocument/2006/relationships/oleObject" Target="embeddings/oleObject2239.bin"/><Relationship Id="rId5546" Type="http://schemas.openxmlformats.org/officeDocument/2006/relationships/oleObject" Target="embeddings/oleObject2762.bin"/><Relationship Id="rId6944" Type="http://schemas.openxmlformats.org/officeDocument/2006/relationships/oleObject" Target="embeddings/oleObject3457.bin"/><Relationship Id="rId14089" Type="http://schemas.openxmlformats.org/officeDocument/2006/relationships/image" Target="media/image7059.wmf"/><Relationship Id="rId3097" Type="http://schemas.openxmlformats.org/officeDocument/2006/relationships/image" Target="media/image1558.wmf"/><Relationship Id="rId4148" Type="http://schemas.openxmlformats.org/officeDocument/2006/relationships/oleObject" Target="embeddings/oleObject2065.bin"/><Relationship Id="rId8769" Type="http://schemas.openxmlformats.org/officeDocument/2006/relationships/image" Target="media/image4394.wmf"/><Relationship Id="rId10699" Type="http://schemas.openxmlformats.org/officeDocument/2006/relationships/oleObject" Target="embeddings/oleObject5314.bin"/><Relationship Id="rId11000" Type="http://schemas.openxmlformats.org/officeDocument/2006/relationships/image" Target="media/image5510.wmf"/><Relationship Id="rId14570" Type="http://schemas.openxmlformats.org/officeDocument/2006/relationships/oleObject" Target="embeddings/oleObject7225.bin"/><Relationship Id="rId1809" Type="http://schemas.openxmlformats.org/officeDocument/2006/relationships/oleObject" Target="embeddings/oleObject892.bin"/><Relationship Id="rId13172" Type="http://schemas.openxmlformats.org/officeDocument/2006/relationships/oleObject" Target="embeddings/oleObject6533.bin"/><Relationship Id="rId14223" Type="http://schemas.openxmlformats.org/officeDocument/2006/relationships/image" Target="media/image7126.wmf"/><Relationship Id="rId2180" Type="http://schemas.openxmlformats.org/officeDocument/2006/relationships/image" Target="media/image1096.wmf"/><Relationship Id="rId3231" Type="http://schemas.openxmlformats.org/officeDocument/2006/relationships/image" Target="media/image1625.wmf"/><Relationship Id="rId7852" Type="http://schemas.openxmlformats.org/officeDocument/2006/relationships/image" Target="media/image3935.wmf"/><Relationship Id="rId8903" Type="http://schemas.openxmlformats.org/officeDocument/2006/relationships/image" Target="media/image4461.wmf"/><Relationship Id="rId152" Type="http://schemas.openxmlformats.org/officeDocument/2006/relationships/image" Target="media/image75.wmf"/><Relationship Id="rId6454" Type="http://schemas.openxmlformats.org/officeDocument/2006/relationships/oleObject" Target="embeddings/oleObject3217.bin"/><Relationship Id="rId7505" Type="http://schemas.openxmlformats.org/officeDocument/2006/relationships/oleObject" Target="embeddings/oleObject3737.bin"/><Relationship Id="rId10833" Type="http://schemas.openxmlformats.org/officeDocument/2006/relationships/oleObject" Target="embeddings/oleObject5379.bin"/><Relationship Id="rId5056" Type="http://schemas.openxmlformats.org/officeDocument/2006/relationships/image" Target="media/image2538.wmf"/><Relationship Id="rId6107" Type="http://schemas.openxmlformats.org/officeDocument/2006/relationships/image" Target="media/image3064.wmf"/><Relationship Id="rId9677" Type="http://schemas.openxmlformats.org/officeDocument/2006/relationships/oleObject" Target="embeddings/oleObject4817.bin"/><Relationship Id="rId8279" Type="http://schemas.openxmlformats.org/officeDocument/2006/relationships/oleObject" Target="embeddings/oleObject4124.bin"/><Relationship Id="rId12658" Type="http://schemas.openxmlformats.org/officeDocument/2006/relationships/oleObject" Target="embeddings/oleObject6278.bin"/><Relationship Id="rId13709" Type="http://schemas.openxmlformats.org/officeDocument/2006/relationships/image" Target="media/image6869.wmf"/><Relationship Id="rId1666" Type="http://schemas.openxmlformats.org/officeDocument/2006/relationships/image" Target="media/image839.wmf"/><Relationship Id="rId2717" Type="http://schemas.openxmlformats.org/officeDocument/2006/relationships/oleObject" Target="embeddings/oleObject1346.bin"/><Relationship Id="rId14080" Type="http://schemas.openxmlformats.org/officeDocument/2006/relationships/oleObject" Target="embeddings/oleObject6986.bin"/><Relationship Id="rId1319" Type="http://schemas.openxmlformats.org/officeDocument/2006/relationships/oleObject" Target="embeddings/oleObject649.bin"/><Relationship Id="rId4889" Type="http://schemas.openxmlformats.org/officeDocument/2006/relationships/oleObject" Target="embeddings/oleObject2435.bin"/><Relationship Id="rId8760" Type="http://schemas.openxmlformats.org/officeDocument/2006/relationships/oleObject" Target="embeddings/oleObject4363.bin"/><Relationship Id="rId9811" Type="http://schemas.openxmlformats.org/officeDocument/2006/relationships/oleObject" Target="embeddings/oleObject4877.bin"/><Relationship Id="rId10690" Type="http://schemas.openxmlformats.org/officeDocument/2006/relationships/image" Target="media/image5354.wmf"/><Relationship Id="rId11741" Type="http://schemas.openxmlformats.org/officeDocument/2006/relationships/oleObject" Target="embeddings/oleObject5822.bin"/><Relationship Id="rId25" Type="http://schemas.openxmlformats.org/officeDocument/2006/relationships/image" Target="media/image10.wmf"/><Relationship Id="rId1800" Type="http://schemas.openxmlformats.org/officeDocument/2006/relationships/image" Target="media/image906.wmf"/><Relationship Id="rId7362" Type="http://schemas.openxmlformats.org/officeDocument/2006/relationships/image" Target="media/image3690.wmf"/><Relationship Id="rId8413" Type="http://schemas.openxmlformats.org/officeDocument/2006/relationships/oleObject" Target="embeddings/oleObject4191.bin"/><Relationship Id="rId10343" Type="http://schemas.openxmlformats.org/officeDocument/2006/relationships/image" Target="media/image5180.wmf"/><Relationship Id="rId3972" Type="http://schemas.openxmlformats.org/officeDocument/2006/relationships/oleObject" Target="embeddings/oleObject1977.bin"/><Relationship Id="rId7015" Type="http://schemas.openxmlformats.org/officeDocument/2006/relationships/image" Target="media/image3517.wmf"/><Relationship Id="rId893" Type="http://schemas.openxmlformats.org/officeDocument/2006/relationships/oleObject" Target="embeddings/oleObject438.bin"/><Relationship Id="rId2574" Type="http://schemas.openxmlformats.org/officeDocument/2006/relationships/image" Target="media/image1297.wmf"/><Relationship Id="rId3625" Type="http://schemas.openxmlformats.org/officeDocument/2006/relationships/oleObject" Target="embeddings/oleObject1803.bin"/><Relationship Id="rId9187" Type="http://schemas.openxmlformats.org/officeDocument/2006/relationships/oleObject" Target="embeddings/oleObject4574.bin"/><Relationship Id="rId12168" Type="http://schemas.openxmlformats.org/officeDocument/2006/relationships/image" Target="media/image6097.wmf"/><Relationship Id="rId13219" Type="http://schemas.openxmlformats.org/officeDocument/2006/relationships/image" Target="media/image6624.wmf"/><Relationship Id="rId13566" Type="http://schemas.openxmlformats.org/officeDocument/2006/relationships/image" Target="media/image6798.wmf"/><Relationship Id="rId546" Type="http://schemas.openxmlformats.org/officeDocument/2006/relationships/image" Target="media/image274.wmf"/><Relationship Id="rId1176" Type="http://schemas.openxmlformats.org/officeDocument/2006/relationships/oleObject" Target="embeddings/oleObject578.bin"/><Relationship Id="rId2227" Type="http://schemas.openxmlformats.org/officeDocument/2006/relationships/oleObject" Target="embeddings/oleObject1101.bin"/><Relationship Id="rId4399" Type="http://schemas.openxmlformats.org/officeDocument/2006/relationships/oleObject" Target="embeddings/oleObject2191.bin"/><Relationship Id="rId5797" Type="http://schemas.openxmlformats.org/officeDocument/2006/relationships/image" Target="media/image2909.wmf"/><Relationship Id="rId6848" Type="http://schemas.openxmlformats.org/officeDocument/2006/relationships/oleObject" Target="embeddings/oleObject3409.bin"/><Relationship Id="rId8270" Type="http://schemas.openxmlformats.org/officeDocument/2006/relationships/image" Target="media/image4144.wmf"/><Relationship Id="rId13700" Type="http://schemas.openxmlformats.org/officeDocument/2006/relationships/oleObject" Target="embeddings/oleObject6796.bin"/><Relationship Id="rId9321" Type="http://schemas.openxmlformats.org/officeDocument/2006/relationships/oleObject" Target="embeddings/oleObject4641.bin"/><Relationship Id="rId11251" Type="http://schemas.openxmlformats.org/officeDocument/2006/relationships/image" Target="media/image5637.wmf"/><Relationship Id="rId12302" Type="http://schemas.openxmlformats.org/officeDocument/2006/relationships/oleObject" Target="embeddings/oleObject6100.bin"/><Relationship Id="rId1310" Type="http://schemas.openxmlformats.org/officeDocument/2006/relationships/image" Target="media/image660.wmf"/><Relationship Id="rId4880" Type="http://schemas.openxmlformats.org/officeDocument/2006/relationships/image" Target="media/image2450.wmf"/><Relationship Id="rId5931" Type="http://schemas.openxmlformats.org/officeDocument/2006/relationships/image" Target="media/image2976.wmf"/><Relationship Id="rId14474" Type="http://schemas.openxmlformats.org/officeDocument/2006/relationships/oleObject" Target="embeddings/oleObject7177.bin"/><Relationship Id="rId3482" Type="http://schemas.openxmlformats.org/officeDocument/2006/relationships/image" Target="media/image1752.wmf"/><Relationship Id="rId4533" Type="http://schemas.openxmlformats.org/officeDocument/2006/relationships/oleObject" Target="embeddings/oleObject2258.bin"/><Relationship Id="rId13076" Type="http://schemas.openxmlformats.org/officeDocument/2006/relationships/oleObject" Target="embeddings/oleObject6485.bin"/><Relationship Id="rId14127" Type="http://schemas.openxmlformats.org/officeDocument/2006/relationships/image" Target="media/image7078.wmf"/><Relationship Id="rId2084" Type="http://schemas.openxmlformats.org/officeDocument/2006/relationships/image" Target="media/image1048.wmf"/><Relationship Id="rId3135" Type="http://schemas.openxmlformats.org/officeDocument/2006/relationships/image" Target="media/image1577.wmf"/><Relationship Id="rId7756" Type="http://schemas.openxmlformats.org/officeDocument/2006/relationships/image" Target="media/image3887.wmf"/><Relationship Id="rId6358" Type="http://schemas.openxmlformats.org/officeDocument/2006/relationships/oleObject" Target="embeddings/oleObject3169.bin"/><Relationship Id="rId7409" Type="http://schemas.openxmlformats.org/officeDocument/2006/relationships/oleObject" Target="embeddings/oleObject3689.bin"/><Relationship Id="rId8807" Type="http://schemas.openxmlformats.org/officeDocument/2006/relationships/image" Target="media/image4413.wmf"/><Relationship Id="rId10737" Type="http://schemas.openxmlformats.org/officeDocument/2006/relationships/oleObject" Target="embeddings/oleObject5331.bin"/><Relationship Id="rId13210" Type="http://schemas.openxmlformats.org/officeDocument/2006/relationships/oleObject" Target="embeddings/oleObject6552.bin"/><Relationship Id="rId2968" Type="http://schemas.openxmlformats.org/officeDocument/2006/relationships/oleObject" Target="embeddings/oleObject1472.bin"/><Relationship Id="rId4390" Type="http://schemas.openxmlformats.org/officeDocument/2006/relationships/image" Target="media/image2205.wmf"/><Relationship Id="rId5441" Type="http://schemas.openxmlformats.org/officeDocument/2006/relationships/image" Target="media/image2731.wmf"/><Relationship Id="rId4043" Type="http://schemas.openxmlformats.org/officeDocument/2006/relationships/image" Target="media/image2032.wmf"/><Relationship Id="rId8664" Type="http://schemas.openxmlformats.org/officeDocument/2006/relationships/oleObject" Target="embeddings/oleObject4315.bin"/><Relationship Id="rId9715" Type="http://schemas.openxmlformats.org/officeDocument/2006/relationships/oleObject" Target="embeddings/oleObject4829.bin"/><Relationship Id="rId10594" Type="http://schemas.openxmlformats.org/officeDocument/2006/relationships/image" Target="media/image5306.wmf"/><Relationship Id="rId11992" Type="http://schemas.openxmlformats.org/officeDocument/2006/relationships/image" Target="media/image6009.wmf"/><Relationship Id="rId1704" Type="http://schemas.openxmlformats.org/officeDocument/2006/relationships/image" Target="media/image858.wmf"/><Relationship Id="rId7266" Type="http://schemas.openxmlformats.org/officeDocument/2006/relationships/image" Target="media/image3642.wmf"/><Relationship Id="rId8317" Type="http://schemas.openxmlformats.org/officeDocument/2006/relationships/oleObject" Target="embeddings/oleObject4143.bin"/><Relationship Id="rId10247" Type="http://schemas.openxmlformats.org/officeDocument/2006/relationships/image" Target="media/image5132.wmf"/><Relationship Id="rId11645" Type="http://schemas.openxmlformats.org/officeDocument/2006/relationships/image" Target="media/image5834.wmf"/><Relationship Id="rId797" Type="http://schemas.openxmlformats.org/officeDocument/2006/relationships/oleObject" Target="embeddings/oleObject390.bin"/><Relationship Id="rId2478" Type="http://schemas.openxmlformats.org/officeDocument/2006/relationships/image" Target="media/image1249.wmf"/><Relationship Id="rId3876" Type="http://schemas.openxmlformats.org/officeDocument/2006/relationships/image" Target="media/image1949.wmf"/><Relationship Id="rId4927" Type="http://schemas.openxmlformats.org/officeDocument/2006/relationships/oleObject" Target="embeddings/oleObject2454.bin"/><Relationship Id="rId3529" Type="http://schemas.openxmlformats.org/officeDocument/2006/relationships/oleObject" Target="embeddings/oleObject1755.bin"/><Relationship Id="rId6002" Type="http://schemas.openxmlformats.org/officeDocument/2006/relationships/oleObject" Target="embeddings/oleObject2990.bin"/><Relationship Id="rId7400" Type="http://schemas.openxmlformats.org/officeDocument/2006/relationships/image" Target="media/image3709.wmf"/><Relationship Id="rId13951" Type="http://schemas.openxmlformats.org/officeDocument/2006/relationships/image" Target="media/image6990.wmf"/><Relationship Id="rId9572" Type="http://schemas.openxmlformats.org/officeDocument/2006/relationships/image" Target="media/image4795.wmf"/><Relationship Id="rId12553" Type="http://schemas.openxmlformats.org/officeDocument/2006/relationships/image" Target="media/image6291.wmf"/><Relationship Id="rId13604" Type="http://schemas.openxmlformats.org/officeDocument/2006/relationships/image" Target="media/image6817.wmf"/><Relationship Id="rId931" Type="http://schemas.openxmlformats.org/officeDocument/2006/relationships/image" Target="media/image471.wmf"/><Relationship Id="rId1561" Type="http://schemas.openxmlformats.org/officeDocument/2006/relationships/oleObject" Target="embeddings/oleObject767.bin"/><Relationship Id="rId2612" Type="http://schemas.openxmlformats.org/officeDocument/2006/relationships/image" Target="media/image1316.wmf"/><Relationship Id="rId8174" Type="http://schemas.openxmlformats.org/officeDocument/2006/relationships/image" Target="media/image4096.wmf"/><Relationship Id="rId9225" Type="http://schemas.openxmlformats.org/officeDocument/2006/relationships/oleObject" Target="embeddings/oleObject4593.bin"/><Relationship Id="rId11155" Type="http://schemas.openxmlformats.org/officeDocument/2006/relationships/image" Target="media/image5589.wmf"/><Relationship Id="rId12206" Type="http://schemas.openxmlformats.org/officeDocument/2006/relationships/image" Target="media/image6116.wmf"/><Relationship Id="rId1214" Type="http://schemas.openxmlformats.org/officeDocument/2006/relationships/image" Target="media/image612.wmf"/><Relationship Id="rId4784" Type="http://schemas.openxmlformats.org/officeDocument/2006/relationships/image" Target="media/image2402.wmf"/><Relationship Id="rId5835" Type="http://schemas.openxmlformats.org/officeDocument/2006/relationships/image" Target="media/image2928.wmf"/><Relationship Id="rId14378" Type="http://schemas.openxmlformats.org/officeDocument/2006/relationships/oleObject" Target="embeddings/oleObject7133.bin"/><Relationship Id="rId3386" Type="http://schemas.openxmlformats.org/officeDocument/2006/relationships/image" Target="media/image1703.wmf"/><Relationship Id="rId4437" Type="http://schemas.openxmlformats.org/officeDocument/2006/relationships/oleObject" Target="embeddings/oleObject2210.bin"/><Relationship Id="rId3039" Type="http://schemas.openxmlformats.org/officeDocument/2006/relationships/image" Target="media/image1529.wmf"/><Relationship Id="rId10988" Type="http://schemas.openxmlformats.org/officeDocument/2006/relationships/image" Target="media/image5504.wmf"/><Relationship Id="rId9082" Type="http://schemas.openxmlformats.org/officeDocument/2006/relationships/oleObject" Target="embeddings/oleObject4521.bin"/><Relationship Id="rId13461" Type="http://schemas.openxmlformats.org/officeDocument/2006/relationships/oleObject" Target="embeddings/oleObject6676.bin"/><Relationship Id="rId14512" Type="http://schemas.openxmlformats.org/officeDocument/2006/relationships/oleObject" Target="embeddings/oleObject7196.bin"/><Relationship Id="rId3520" Type="http://schemas.openxmlformats.org/officeDocument/2006/relationships/image" Target="media/image1771.wmf"/><Relationship Id="rId12063" Type="http://schemas.openxmlformats.org/officeDocument/2006/relationships/oleObject" Target="embeddings/oleObject5983.bin"/><Relationship Id="rId13114" Type="http://schemas.openxmlformats.org/officeDocument/2006/relationships/oleObject" Target="embeddings/oleObject6504.bin"/><Relationship Id="rId441" Type="http://schemas.openxmlformats.org/officeDocument/2006/relationships/image" Target="media/image220.wmf"/><Relationship Id="rId1071" Type="http://schemas.openxmlformats.org/officeDocument/2006/relationships/image" Target="media/image541.png"/><Relationship Id="rId2122" Type="http://schemas.openxmlformats.org/officeDocument/2006/relationships/image" Target="media/image1067.wmf"/><Relationship Id="rId5692" Type="http://schemas.openxmlformats.org/officeDocument/2006/relationships/oleObject" Target="embeddings/oleObject2835.bin"/><Relationship Id="rId6743" Type="http://schemas.openxmlformats.org/officeDocument/2006/relationships/image" Target="media/image3381.wmf"/><Relationship Id="rId4294" Type="http://schemas.openxmlformats.org/officeDocument/2006/relationships/oleObject" Target="embeddings/oleObject2138.bin"/><Relationship Id="rId5345" Type="http://schemas.openxmlformats.org/officeDocument/2006/relationships/image" Target="media/image2683.wmf"/><Relationship Id="rId9966" Type="http://schemas.openxmlformats.org/officeDocument/2006/relationships/oleObject" Target="embeddings/oleObject4953.bin"/><Relationship Id="rId8568" Type="http://schemas.openxmlformats.org/officeDocument/2006/relationships/image" Target="media/image4293.wmf"/><Relationship Id="rId9619" Type="http://schemas.openxmlformats.org/officeDocument/2006/relationships/oleObject" Target="embeddings/oleObject4788.bin"/><Relationship Id="rId11896" Type="http://schemas.openxmlformats.org/officeDocument/2006/relationships/image" Target="media/image5961.wmf"/><Relationship Id="rId12947" Type="http://schemas.openxmlformats.org/officeDocument/2006/relationships/image" Target="media/image6488.wmf"/><Relationship Id="rId1955" Type="http://schemas.openxmlformats.org/officeDocument/2006/relationships/oleObject" Target="embeddings/oleObject965.bin"/><Relationship Id="rId10498" Type="http://schemas.openxmlformats.org/officeDocument/2006/relationships/image" Target="media/image5258.wmf"/><Relationship Id="rId11549" Type="http://schemas.openxmlformats.org/officeDocument/2006/relationships/image" Target="media/image5786.wmf"/><Relationship Id="rId1608" Type="http://schemas.openxmlformats.org/officeDocument/2006/relationships/image" Target="media/image810.wmf"/><Relationship Id="rId3030" Type="http://schemas.openxmlformats.org/officeDocument/2006/relationships/oleObject" Target="embeddings/oleObject1503.bin"/><Relationship Id="rId14022" Type="http://schemas.openxmlformats.org/officeDocument/2006/relationships/oleObject" Target="embeddings/oleObject6957.bin"/><Relationship Id="rId7651" Type="http://schemas.openxmlformats.org/officeDocument/2006/relationships/oleObject" Target="embeddings/oleObject3810.bin"/><Relationship Id="rId8702" Type="http://schemas.openxmlformats.org/officeDocument/2006/relationships/oleObject" Target="embeddings/oleObject4334.bin"/><Relationship Id="rId10632" Type="http://schemas.openxmlformats.org/officeDocument/2006/relationships/image" Target="media/image5325.wmf"/><Relationship Id="rId6253" Type="http://schemas.openxmlformats.org/officeDocument/2006/relationships/image" Target="media/image3137.wmf"/><Relationship Id="rId7304" Type="http://schemas.openxmlformats.org/officeDocument/2006/relationships/image" Target="media/image3661.wmf"/><Relationship Id="rId2863" Type="http://schemas.openxmlformats.org/officeDocument/2006/relationships/image" Target="media/image1441.wmf"/><Relationship Id="rId3914" Type="http://schemas.openxmlformats.org/officeDocument/2006/relationships/image" Target="media/image1968.wmf"/><Relationship Id="rId9476" Type="http://schemas.openxmlformats.org/officeDocument/2006/relationships/image" Target="media/image4747.wmf"/><Relationship Id="rId12457" Type="http://schemas.openxmlformats.org/officeDocument/2006/relationships/image" Target="media/image6243.wmf"/><Relationship Id="rId13508" Type="http://schemas.openxmlformats.org/officeDocument/2006/relationships/image" Target="media/image6769.wmf"/><Relationship Id="rId13855" Type="http://schemas.openxmlformats.org/officeDocument/2006/relationships/image" Target="media/image6942.wmf"/><Relationship Id="rId835" Type="http://schemas.openxmlformats.org/officeDocument/2006/relationships/oleObject" Target="embeddings/oleObject409.bin"/><Relationship Id="rId1465" Type="http://schemas.openxmlformats.org/officeDocument/2006/relationships/oleObject" Target="embeddings/oleObject721.bin"/><Relationship Id="rId2516" Type="http://schemas.openxmlformats.org/officeDocument/2006/relationships/image" Target="media/image1268.wmf"/><Relationship Id="rId8078" Type="http://schemas.openxmlformats.org/officeDocument/2006/relationships/image" Target="media/image4048.wmf"/><Relationship Id="rId9129" Type="http://schemas.openxmlformats.org/officeDocument/2006/relationships/image" Target="media/image4574.wmf"/><Relationship Id="rId11059" Type="http://schemas.openxmlformats.org/officeDocument/2006/relationships/oleObject" Target="embeddings/oleObject5485.bin"/><Relationship Id="rId1118" Type="http://schemas.openxmlformats.org/officeDocument/2006/relationships/oleObject" Target="embeddings/oleObject549.bin"/><Relationship Id="rId4688" Type="http://schemas.openxmlformats.org/officeDocument/2006/relationships/image" Target="media/image2354.wmf"/><Relationship Id="rId5739" Type="http://schemas.openxmlformats.org/officeDocument/2006/relationships/image" Target="media/image2880.wmf"/><Relationship Id="rId7161" Type="http://schemas.openxmlformats.org/officeDocument/2006/relationships/oleObject" Target="embeddings/oleObject3565.bin"/><Relationship Id="rId8212" Type="http://schemas.openxmlformats.org/officeDocument/2006/relationships/image" Target="media/image4115.wmf"/><Relationship Id="rId9610" Type="http://schemas.openxmlformats.org/officeDocument/2006/relationships/image" Target="media/image4814.wmf"/><Relationship Id="rId11540" Type="http://schemas.openxmlformats.org/officeDocument/2006/relationships/oleObject" Target="embeddings/oleObject5723.bin"/><Relationship Id="rId10142" Type="http://schemas.openxmlformats.org/officeDocument/2006/relationships/oleObject" Target="embeddings/oleObject5040.bin"/><Relationship Id="rId3771" Type="http://schemas.openxmlformats.org/officeDocument/2006/relationships/oleObject" Target="embeddings/oleObject1876.bin"/><Relationship Id="rId4822" Type="http://schemas.openxmlformats.org/officeDocument/2006/relationships/image" Target="media/image2421.wmf"/><Relationship Id="rId13365" Type="http://schemas.openxmlformats.org/officeDocument/2006/relationships/oleObject" Target="embeddings/oleObject6628.bin"/><Relationship Id="rId14416" Type="http://schemas.openxmlformats.org/officeDocument/2006/relationships/oleObject" Target="embeddings/oleObject7152.bin"/><Relationship Id="rId692" Type="http://schemas.openxmlformats.org/officeDocument/2006/relationships/image" Target="media/image348.wmf"/><Relationship Id="rId2373" Type="http://schemas.openxmlformats.org/officeDocument/2006/relationships/image" Target="media/image1195.wmf"/><Relationship Id="rId3424" Type="http://schemas.openxmlformats.org/officeDocument/2006/relationships/image" Target="media/image1723.wmf"/><Relationship Id="rId6994" Type="http://schemas.openxmlformats.org/officeDocument/2006/relationships/oleObject" Target="embeddings/oleObject3482.bin"/><Relationship Id="rId13018" Type="http://schemas.openxmlformats.org/officeDocument/2006/relationships/oleObject" Target="embeddings/oleObject6458.bin"/><Relationship Id="rId345" Type="http://schemas.openxmlformats.org/officeDocument/2006/relationships/oleObject" Target="embeddings/oleObject167.bin"/><Relationship Id="rId2026" Type="http://schemas.openxmlformats.org/officeDocument/2006/relationships/image" Target="media/image1019.wmf"/><Relationship Id="rId5596" Type="http://schemas.openxmlformats.org/officeDocument/2006/relationships/oleObject" Target="embeddings/oleObject2787.bin"/><Relationship Id="rId6647" Type="http://schemas.openxmlformats.org/officeDocument/2006/relationships/image" Target="media/image3333.wmf"/><Relationship Id="rId4198" Type="http://schemas.openxmlformats.org/officeDocument/2006/relationships/oleObject" Target="embeddings/oleObject2090.bin"/><Relationship Id="rId5249" Type="http://schemas.openxmlformats.org/officeDocument/2006/relationships/image" Target="media/image2635.wmf"/><Relationship Id="rId9120" Type="http://schemas.openxmlformats.org/officeDocument/2006/relationships/oleObject" Target="embeddings/oleObject4540.bin"/><Relationship Id="rId11050" Type="http://schemas.openxmlformats.org/officeDocument/2006/relationships/image" Target="media/image5535.wmf"/><Relationship Id="rId12101" Type="http://schemas.openxmlformats.org/officeDocument/2006/relationships/oleObject" Target="embeddings/oleObject6002.bin"/><Relationship Id="rId1859" Type="http://schemas.openxmlformats.org/officeDocument/2006/relationships/oleObject" Target="embeddings/oleObject917.bin"/><Relationship Id="rId5730" Type="http://schemas.openxmlformats.org/officeDocument/2006/relationships/oleObject" Target="embeddings/oleObject2854.bin"/><Relationship Id="rId14273" Type="http://schemas.openxmlformats.org/officeDocument/2006/relationships/image" Target="media/image7151.wmf"/><Relationship Id="rId3281" Type="http://schemas.openxmlformats.org/officeDocument/2006/relationships/oleObject" Target="embeddings/oleObject1629.bin"/><Relationship Id="rId4332" Type="http://schemas.openxmlformats.org/officeDocument/2006/relationships/oleObject" Target="embeddings/oleObject2157.bin"/><Relationship Id="rId8953" Type="http://schemas.openxmlformats.org/officeDocument/2006/relationships/image" Target="media/image4486.wmf"/><Relationship Id="rId10883" Type="http://schemas.openxmlformats.org/officeDocument/2006/relationships/oleObject" Target="embeddings/oleObject5404.bin"/><Relationship Id="rId7555" Type="http://schemas.openxmlformats.org/officeDocument/2006/relationships/oleObject" Target="embeddings/oleObject3762.bin"/><Relationship Id="rId8606" Type="http://schemas.openxmlformats.org/officeDocument/2006/relationships/image" Target="media/image4312.wmf"/><Relationship Id="rId10536" Type="http://schemas.openxmlformats.org/officeDocument/2006/relationships/image" Target="media/image5277.wmf"/><Relationship Id="rId11934" Type="http://schemas.openxmlformats.org/officeDocument/2006/relationships/image" Target="media/image5980.wmf"/><Relationship Id="rId6157" Type="http://schemas.openxmlformats.org/officeDocument/2006/relationships/image" Target="media/image3089.wmf"/><Relationship Id="rId7208" Type="http://schemas.openxmlformats.org/officeDocument/2006/relationships/image" Target="media/image3613.wmf"/><Relationship Id="rId2767" Type="http://schemas.openxmlformats.org/officeDocument/2006/relationships/oleObject" Target="embeddings/oleObject1371.bin"/><Relationship Id="rId13759" Type="http://schemas.openxmlformats.org/officeDocument/2006/relationships/image" Target="media/image6894.wmf"/><Relationship Id="rId739" Type="http://schemas.openxmlformats.org/officeDocument/2006/relationships/oleObject" Target="embeddings/oleObject358.bin"/><Relationship Id="rId1369" Type="http://schemas.openxmlformats.org/officeDocument/2006/relationships/oleObject" Target="embeddings/oleObject674.bin"/><Relationship Id="rId3818" Type="http://schemas.openxmlformats.org/officeDocument/2006/relationships/image" Target="media/image1920.wmf"/><Relationship Id="rId5240" Type="http://schemas.openxmlformats.org/officeDocument/2006/relationships/oleObject" Target="embeddings/oleObject2609.bin"/><Relationship Id="rId9861" Type="http://schemas.openxmlformats.org/officeDocument/2006/relationships/image" Target="media/image4939.wmf"/><Relationship Id="rId11791" Type="http://schemas.openxmlformats.org/officeDocument/2006/relationships/oleObject" Target="embeddings/oleObject5847.bin"/><Relationship Id="rId12842" Type="http://schemas.openxmlformats.org/officeDocument/2006/relationships/oleObject" Target="embeddings/oleObject6370.bin"/><Relationship Id="rId75" Type="http://schemas.openxmlformats.org/officeDocument/2006/relationships/image" Target="media/image35.wmf"/><Relationship Id="rId1850" Type="http://schemas.openxmlformats.org/officeDocument/2006/relationships/image" Target="media/image931.wmf"/><Relationship Id="rId2901" Type="http://schemas.openxmlformats.org/officeDocument/2006/relationships/image" Target="media/image1460.wmf"/><Relationship Id="rId7065" Type="http://schemas.openxmlformats.org/officeDocument/2006/relationships/image" Target="media/image3542.wmf"/><Relationship Id="rId8463" Type="http://schemas.openxmlformats.org/officeDocument/2006/relationships/oleObject" Target="embeddings/oleObject4216.bin"/><Relationship Id="rId9514" Type="http://schemas.openxmlformats.org/officeDocument/2006/relationships/image" Target="media/image4766.wmf"/><Relationship Id="rId10393" Type="http://schemas.openxmlformats.org/officeDocument/2006/relationships/image" Target="media/image5205.wmf"/><Relationship Id="rId11444" Type="http://schemas.openxmlformats.org/officeDocument/2006/relationships/oleObject" Target="embeddings/oleObject5675.bin"/><Relationship Id="rId1503" Type="http://schemas.openxmlformats.org/officeDocument/2006/relationships/oleObject" Target="embeddings/oleObject738.bin"/><Relationship Id="rId8116" Type="http://schemas.openxmlformats.org/officeDocument/2006/relationships/image" Target="media/image4067.wmf"/><Relationship Id="rId10046" Type="http://schemas.openxmlformats.org/officeDocument/2006/relationships/oleObject" Target="embeddings/oleObject4992.bin"/><Relationship Id="rId3675" Type="http://schemas.openxmlformats.org/officeDocument/2006/relationships/oleObject" Target="embeddings/oleObject1828.bin"/><Relationship Id="rId4726" Type="http://schemas.openxmlformats.org/officeDocument/2006/relationships/image" Target="media/image2373.wmf"/><Relationship Id="rId13269" Type="http://schemas.openxmlformats.org/officeDocument/2006/relationships/image" Target="media/image6649.wmf"/><Relationship Id="rId596" Type="http://schemas.openxmlformats.org/officeDocument/2006/relationships/image" Target="media/image299.wmf"/><Relationship Id="rId2277" Type="http://schemas.openxmlformats.org/officeDocument/2006/relationships/image" Target="media/image1145.wmf"/><Relationship Id="rId3328" Type="http://schemas.openxmlformats.org/officeDocument/2006/relationships/image" Target="media/image1673.wmf"/><Relationship Id="rId6898" Type="http://schemas.openxmlformats.org/officeDocument/2006/relationships/oleObject" Target="embeddings/oleObject3434.bin"/><Relationship Id="rId249" Type="http://schemas.openxmlformats.org/officeDocument/2006/relationships/oleObject" Target="embeddings/oleObject119.bin"/><Relationship Id="rId7949" Type="http://schemas.openxmlformats.org/officeDocument/2006/relationships/oleObject" Target="embeddings/oleObject3959.bin"/><Relationship Id="rId9371" Type="http://schemas.openxmlformats.org/officeDocument/2006/relationships/oleObject" Target="embeddings/oleObject4666.bin"/><Relationship Id="rId13750" Type="http://schemas.openxmlformats.org/officeDocument/2006/relationships/oleObject" Target="embeddings/oleObject6821.bin"/><Relationship Id="rId9024" Type="http://schemas.openxmlformats.org/officeDocument/2006/relationships/oleObject" Target="embeddings/oleObject4492.bin"/><Relationship Id="rId12352" Type="http://schemas.openxmlformats.org/officeDocument/2006/relationships/oleObject" Target="embeddings/oleObject6125.bin"/><Relationship Id="rId13403" Type="http://schemas.openxmlformats.org/officeDocument/2006/relationships/oleObject" Target="embeddings/oleObject6647.bin"/><Relationship Id="rId730" Type="http://schemas.openxmlformats.org/officeDocument/2006/relationships/image" Target="media/image367.wmf"/><Relationship Id="rId1013" Type="http://schemas.openxmlformats.org/officeDocument/2006/relationships/image" Target="media/image512.wmf"/><Relationship Id="rId1360" Type="http://schemas.openxmlformats.org/officeDocument/2006/relationships/image" Target="media/image685.wmf"/><Relationship Id="rId2411" Type="http://schemas.openxmlformats.org/officeDocument/2006/relationships/image" Target="media/image1214.wmf"/><Relationship Id="rId5981" Type="http://schemas.openxmlformats.org/officeDocument/2006/relationships/image" Target="media/image3001.wmf"/><Relationship Id="rId12005" Type="http://schemas.openxmlformats.org/officeDocument/2006/relationships/oleObject" Target="embeddings/oleObject5954.bin"/><Relationship Id="rId4583" Type="http://schemas.openxmlformats.org/officeDocument/2006/relationships/oleObject" Target="embeddings/oleObject2283.bin"/><Relationship Id="rId5634" Type="http://schemas.openxmlformats.org/officeDocument/2006/relationships/oleObject" Target="embeddings/oleObject2806.bin"/><Relationship Id="rId14177" Type="http://schemas.openxmlformats.org/officeDocument/2006/relationships/image" Target="media/image7103.wmf"/><Relationship Id="rId3185" Type="http://schemas.openxmlformats.org/officeDocument/2006/relationships/image" Target="media/image1602.wmf"/><Relationship Id="rId4236" Type="http://schemas.openxmlformats.org/officeDocument/2006/relationships/oleObject" Target="embeddings/oleObject2109.bin"/><Relationship Id="rId8857" Type="http://schemas.openxmlformats.org/officeDocument/2006/relationships/image" Target="media/image4438.wmf"/><Relationship Id="rId9908" Type="http://schemas.openxmlformats.org/officeDocument/2006/relationships/oleObject" Target="embeddings/oleObject4926.bin"/><Relationship Id="rId7459" Type="http://schemas.openxmlformats.org/officeDocument/2006/relationships/oleObject" Target="embeddings/oleObject3714.bin"/><Relationship Id="rId10787" Type="http://schemas.openxmlformats.org/officeDocument/2006/relationships/oleObject" Target="embeddings/oleObject5356.bin"/><Relationship Id="rId11838" Type="http://schemas.openxmlformats.org/officeDocument/2006/relationships/image" Target="media/image5932.wmf"/><Relationship Id="rId13260" Type="http://schemas.openxmlformats.org/officeDocument/2006/relationships/oleObject" Target="embeddings/oleObject6577.bin"/><Relationship Id="rId14311" Type="http://schemas.openxmlformats.org/officeDocument/2006/relationships/image" Target="media/image7170.wmf"/><Relationship Id="rId240" Type="http://schemas.openxmlformats.org/officeDocument/2006/relationships/image" Target="media/image119.wmf"/><Relationship Id="rId7940" Type="http://schemas.openxmlformats.org/officeDocument/2006/relationships/image" Target="media/image3979.wmf"/><Relationship Id="rId10921" Type="http://schemas.openxmlformats.org/officeDocument/2006/relationships/oleObject" Target="embeddings/oleObject5423.bin"/><Relationship Id="rId4093" Type="http://schemas.openxmlformats.org/officeDocument/2006/relationships/image" Target="media/image2057.wmf"/><Relationship Id="rId5144" Type="http://schemas.openxmlformats.org/officeDocument/2006/relationships/image" Target="media/image2582.wmf"/><Relationship Id="rId5491" Type="http://schemas.openxmlformats.org/officeDocument/2006/relationships/image" Target="media/image2756.wmf"/><Relationship Id="rId6542" Type="http://schemas.microsoft.com/office/2007/relationships/hdphoto" Target="media/hdphoto12.wdp"/><Relationship Id="rId9765" Type="http://schemas.openxmlformats.org/officeDocument/2006/relationships/oleObject" Target="embeddings/oleObject4854.bin"/><Relationship Id="rId11695" Type="http://schemas.openxmlformats.org/officeDocument/2006/relationships/oleObject" Target="embeddings/oleObject5799.bin"/><Relationship Id="rId12746" Type="http://schemas.openxmlformats.org/officeDocument/2006/relationships/oleObject" Target="embeddings/oleObject6322.bin"/><Relationship Id="rId1754" Type="http://schemas.openxmlformats.org/officeDocument/2006/relationships/image" Target="media/image883.wmf"/><Relationship Id="rId2805" Type="http://schemas.openxmlformats.org/officeDocument/2006/relationships/oleObject" Target="embeddings/oleObject1390.bin"/><Relationship Id="rId8367" Type="http://schemas.openxmlformats.org/officeDocument/2006/relationships/oleObject" Target="embeddings/oleObject4168.bin"/><Relationship Id="rId9418" Type="http://schemas.openxmlformats.org/officeDocument/2006/relationships/image" Target="media/image4718.wmf"/><Relationship Id="rId10297" Type="http://schemas.openxmlformats.org/officeDocument/2006/relationships/image" Target="media/image5157.wmf"/><Relationship Id="rId11348" Type="http://schemas.openxmlformats.org/officeDocument/2006/relationships/oleObject" Target="embeddings/oleObject5627.bin"/><Relationship Id="rId1407" Type="http://schemas.openxmlformats.org/officeDocument/2006/relationships/oleObject" Target="embeddings/oleObject692.bin"/><Relationship Id="rId4977" Type="http://schemas.openxmlformats.org/officeDocument/2006/relationships/oleObject" Target="embeddings/oleObject2478.bin"/><Relationship Id="rId3579" Type="http://schemas.openxmlformats.org/officeDocument/2006/relationships/oleObject" Target="embeddings/oleObject1780.bin"/><Relationship Id="rId7450" Type="http://schemas.openxmlformats.org/officeDocument/2006/relationships/image" Target="media/image3734.wmf"/><Relationship Id="rId8501" Type="http://schemas.openxmlformats.org/officeDocument/2006/relationships/oleObject" Target="embeddings/oleObject4235.bin"/><Relationship Id="rId6052" Type="http://schemas.openxmlformats.org/officeDocument/2006/relationships/oleObject" Target="embeddings/oleObject3015.bin"/><Relationship Id="rId7103" Type="http://schemas.openxmlformats.org/officeDocument/2006/relationships/image" Target="media/image3561.wmf"/><Relationship Id="rId10431" Type="http://schemas.openxmlformats.org/officeDocument/2006/relationships/oleObject" Target="embeddings/oleObject5182.bin"/><Relationship Id="rId9275" Type="http://schemas.openxmlformats.org/officeDocument/2006/relationships/oleObject" Target="embeddings/oleObject4618.bin"/><Relationship Id="rId13654" Type="http://schemas.openxmlformats.org/officeDocument/2006/relationships/image" Target="media/image6842.wmf"/><Relationship Id="rId981" Type="http://schemas.openxmlformats.org/officeDocument/2006/relationships/image" Target="media/image496.wmf"/><Relationship Id="rId2662" Type="http://schemas.openxmlformats.org/officeDocument/2006/relationships/image" Target="media/image1341.wmf"/><Relationship Id="rId3713" Type="http://schemas.openxmlformats.org/officeDocument/2006/relationships/oleObject" Target="embeddings/oleObject1847.bin"/><Relationship Id="rId12256" Type="http://schemas.openxmlformats.org/officeDocument/2006/relationships/image" Target="media/image6141.wmf"/><Relationship Id="rId13307" Type="http://schemas.openxmlformats.org/officeDocument/2006/relationships/image" Target="media/image6668.wmf"/><Relationship Id="rId634" Type="http://schemas.openxmlformats.org/officeDocument/2006/relationships/image" Target="media/image318.wmf"/><Relationship Id="rId1264" Type="http://schemas.openxmlformats.org/officeDocument/2006/relationships/image" Target="media/image637.wmf"/><Relationship Id="rId2315" Type="http://schemas.openxmlformats.org/officeDocument/2006/relationships/image" Target="media/image1166.wmf"/><Relationship Id="rId5885" Type="http://schemas.openxmlformats.org/officeDocument/2006/relationships/image" Target="media/image2953.wmf"/><Relationship Id="rId6936" Type="http://schemas.openxmlformats.org/officeDocument/2006/relationships/oleObject" Target="embeddings/oleObject3453.bin"/><Relationship Id="rId4487" Type="http://schemas.openxmlformats.org/officeDocument/2006/relationships/oleObject" Target="embeddings/oleObject2235.bin"/><Relationship Id="rId5538" Type="http://schemas.openxmlformats.org/officeDocument/2006/relationships/oleObject" Target="embeddings/oleObject2758.bin"/><Relationship Id="rId3089" Type="http://schemas.openxmlformats.org/officeDocument/2006/relationships/image" Target="media/image1554.wmf"/><Relationship Id="rId8011" Type="http://schemas.openxmlformats.org/officeDocument/2006/relationships/oleObject" Target="embeddings/oleObject3990.bin"/><Relationship Id="rId14562" Type="http://schemas.openxmlformats.org/officeDocument/2006/relationships/oleObject" Target="embeddings/oleObject7221.bin"/><Relationship Id="rId491" Type="http://schemas.openxmlformats.org/officeDocument/2006/relationships/image" Target="media/image245.wmf"/><Relationship Id="rId2172" Type="http://schemas.openxmlformats.org/officeDocument/2006/relationships/image" Target="media/image1092.wmf"/><Relationship Id="rId3223" Type="http://schemas.openxmlformats.org/officeDocument/2006/relationships/image" Target="media/image1621.wmf"/><Relationship Id="rId3570" Type="http://schemas.openxmlformats.org/officeDocument/2006/relationships/image" Target="media/image1796.wmf"/><Relationship Id="rId4621" Type="http://schemas.openxmlformats.org/officeDocument/2006/relationships/oleObject" Target="embeddings/oleObject2302.bin"/><Relationship Id="rId13164" Type="http://schemas.openxmlformats.org/officeDocument/2006/relationships/oleObject" Target="embeddings/oleObject6529.bin"/><Relationship Id="rId14215" Type="http://schemas.openxmlformats.org/officeDocument/2006/relationships/image" Target="media/image7122.wmf"/><Relationship Id="rId144" Type="http://schemas.openxmlformats.org/officeDocument/2006/relationships/image" Target="media/image71.wmf"/><Relationship Id="rId6793" Type="http://schemas.openxmlformats.org/officeDocument/2006/relationships/image" Target="media/image3406.wmf"/><Relationship Id="rId7844" Type="http://schemas.openxmlformats.org/officeDocument/2006/relationships/image" Target="media/image3931.wmf"/><Relationship Id="rId10825" Type="http://schemas.openxmlformats.org/officeDocument/2006/relationships/oleObject" Target="embeddings/oleObject5375.bin"/><Relationship Id="rId5395" Type="http://schemas.openxmlformats.org/officeDocument/2006/relationships/image" Target="media/image2708.wmf"/><Relationship Id="rId6446" Type="http://schemas.openxmlformats.org/officeDocument/2006/relationships/oleObject" Target="embeddings/oleObject3213.bin"/><Relationship Id="rId5048" Type="http://schemas.openxmlformats.org/officeDocument/2006/relationships/image" Target="media/image2534.wmf"/><Relationship Id="rId9669" Type="http://schemas.openxmlformats.org/officeDocument/2006/relationships/oleObject" Target="embeddings/oleObject4813.bin"/><Relationship Id="rId11599" Type="http://schemas.openxmlformats.org/officeDocument/2006/relationships/image" Target="media/image5811.wmf"/><Relationship Id="rId12997" Type="http://schemas.openxmlformats.org/officeDocument/2006/relationships/image" Target="media/image6513.wmf"/><Relationship Id="rId1658" Type="http://schemas.openxmlformats.org/officeDocument/2006/relationships/image" Target="media/image835.wmf"/><Relationship Id="rId2709" Type="http://schemas.openxmlformats.org/officeDocument/2006/relationships/oleObject" Target="embeddings/oleObject1342.bin"/><Relationship Id="rId14072" Type="http://schemas.openxmlformats.org/officeDocument/2006/relationships/oleObject" Target="embeddings/oleObject6982.bin"/><Relationship Id="rId3080" Type="http://schemas.openxmlformats.org/officeDocument/2006/relationships/oleObject" Target="embeddings/oleObject1528.bin"/><Relationship Id="rId4131" Type="http://schemas.openxmlformats.org/officeDocument/2006/relationships/image" Target="media/image2076.wmf"/><Relationship Id="rId7354" Type="http://schemas.openxmlformats.org/officeDocument/2006/relationships/image" Target="media/image3686.wmf"/><Relationship Id="rId8752" Type="http://schemas.openxmlformats.org/officeDocument/2006/relationships/oleObject" Target="embeddings/oleObject4359.bin"/><Relationship Id="rId9803" Type="http://schemas.openxmlformats.org/officeDocument/2006/relationships/oleObject" Target="embeddings/oleObject4873.bin"/><Relationship Id="rId10682" Type="http://schemas.openxmlformats.org/officeDocument/2006/relationships/image" Target="media/image5350.wmf"/><Relationship Id="rId11733" Type="http://schemas.openxmlformats.org/officeDocument/2006/relationships/oleObject" Target="embeddings/oleObject5818.bin"/><Relationship Id="rId17" Type="http://schemas.openxmlformats.org/officeDocument/2006/relationships/image" Target="media/image6.wmf"/><Relationship Id="rId7007" Type="http://schemas.openxmlformats.org/officeDocument/2006/relationships/image" Target="media/image3513.wmf"/><Relationship Id="rId8405" Type="http://schemas.openxmlformats.org/officeDocument/2006/relationships/oleObject" Target="embeddings/oleObject4187.bin"/><Relationship Id="rId10335" Type="http://schemas.openxmlformats.org/officeDocument/2006/relationships/image" Target="media/image5176.wmf"/><Relationship Id="rId3964" Type="http://schemas.openxmlformats.org/officeDocument/2006/relationships/oleObject" Target="embeddings/oleObject1973.bin"/><Relationship Id="rId13558" Type="http://schemas.openxmlformats.org/officeDocument/2006/relationships/image" Target="media/image6794.wmf"/><Relationship Id="rId1" Type="http://schemas.openxmlformats.org/officeDocument/2006/relationships/customXml" Target="../customXml/item1.xml"/><Relationship Id="rId885" Type="http://schemas.openxmlformats.org/officeDocument/2006/relationships/oleObject" Target="embeddings/oleObject434.bin"/><Relationship Id="rId2566" Type="http://schemas.openxmlformats.org/officeDocument/2006/relationships/image" Target="media/image1293.wmf"/><Relationship Id="rId3617" Type="http://schemas.openxmlformats.org/officeDocument/2006/relationships/oleObject" Target="embeddings/oleObject1799.bin"/><Relationship Id="rId9179" Type="http://schemas.openxmlformats.org/officeDocument/2006/relationships/oleObject" Target="embeddings/oleObject4570.bin"/><Relationship Id="rId538" Type="http://schemas.openxmlformats.org/officeDocument/2006/relationships/oleObject" Target="embeddings/oleObject260.bin"/><Relationship Id="rId1168" Type="http://schemas.openxmlformats.org/officeDocument/2006/relationships/oleObject" Target="embeddings/oleObject574.bin"/><Relationship Id="rId2219" Type="http://schemas.openxmlformats.org/officeDocument/2006/relationships/oleObject" Target="embeddings/oleObject1097.bin"/><Relationship Id="rId5789" Type="http://schemas.openxmlformats.org/officeDocument/2006/relationships/image" Target="media/image2905.wmf"/><Relationship Id="rId9660" Type="http://schemas.openxmlformats.org/officeDocument/2006/relationships/image" Target="media/image4839.wmf"/><Relationship Id="rId8262" Type="http://schemas.openxmlformats.org/officeDocument/2006/relationships/image" Target="media/image4140.wmf"/><Relationship Id="rId9313" Type="http://schemas.openxmlformats.org/officeDocument/2006/relationships/oleObject" Target="embeddings/oleObject4637.bin"/><Relationship Id="rId10192" Type="http://schemas.openxmlformats.org/officeDocument/2006/relationships/oleObject" Target="embeddings/oleObject5063.bin"/><Relationship Id="rId11590" Type="http://schemas.openxmlformats.org/officeDocument/2006/relationships/oleObject" Target="embeddings/oleObject5748.bin"/><Relationship Id="rId12641" Type="http://schemas.openxmlformats.org/officeDocument/2006/relationships/image" Target="media/image6335.wmf"/><Relationship Id="rId1302" Type="http://schemas.openxmlformats.org/officeDocument/2006/relationships/image" Target="media/image656.wmf"/><Relationship Id="rId2700" Type="http://schemas.openxmlformats.org/officeDocument/2006/relationships/image" Target="media/image1360.wmf"/><Relationship Id="rId11243" Type="http://schemas.openxmlformats.org/officeDocument/2006/relationships/image" Target="media/image5633.wmf"/><Relationship Id="rId4872" Type="http://schemas.openxmlformats.org/officeDocument/2006/relationships/image" Target="media/image2446.wmf"/><Relationship Id="rId5923" Type="http://schemas.openxmlformats.org/officeDocument/2006/relationships/image" Target="media/image2972.wmf"/><Relationship Id="rId14466" Type="http://schemas.openxmlformats.org/officeDocument/2006/relationships/oleObject" Target="embeddings/oleObject7173.bin"/><Relationship Id="rId395" Type="http://schemas.openxmlformats.org/officeDocument/2006/relationships/image" Target="media/image197.wmf"/><Relationship Id="rId2076" Type="http://schemas.openxmlformats.org/officeDocument/2006/relationships/image" Target="media/image1044.wmf"/><Relationship Id="rId3474" Type="http://schemas.openxmlformats.org/officeDocument/2006/relationships/image" Target="media/image1748.wmf"/><Relationship Id="rId4525" Type="http://schemas.openxmlformats.org/officeDocument/2006/relationships/oleObject" Target="embeddings/oleObject2254.bin"/><Relationship Id="rId13068" Type="http://schemas.openxmlformats.org/officeDocument/2006/relationships/oleObject" Target="embeddings/oleObject6481.bin"/><Relationship Id="rId14119" Type="http://schemas.openxmlformats.org/officeDocument/2006/relationships/image" Target="media/image7074.wmf"/><Relationship Id="rId3127" Type="http://schemas.openxmlformats.org/officeDocument/2006/relationships/image" Target="media/image1573.wmf"/><Relationship Id="rId6697" Type="http://schemas.openxmlformats.org/officeDocument/2006/relationships/image" Target="media/image3358.wmf"/><Relationship Id="rId7748" Type="http://schemas.openxmlformats.org/officeDocument/2006/relationships/image" Target="media/image3883.wmf"/><Relationship Id="rId5299" Type="http://schemas.openxmlformats.org/officeDocument/2006/relationships/image" Target="media/image2660.wmf"/><Relationship Id="rId9170" Type="http://schemas.openxmlformats.org/officeDocument/2006/relationships/image" Target="media/image4594.wmf"/><Relationship Id="rId10729" Type="http://schemas.openxmlformats.org/officeDocument/2006/relationships/oleObject" Target="embeddings/oleObject5327.bin"/><Relationship Id="rId12151" Type="http://schemas.openxmlformats.org/officeDocument/2006/relationships/oleObject" Target="embeddings/oleObject6027.bin"/><Relationship Id="rId13202" Type="http://schemas.openxmlformats.org/officeDocument/2006/relationships/oleObject" Target="embeddings/oleObject6548.bin"/><Relationship Id="rId2210" Type="http://schemas.openxmlformats.org/officeDocument/2006/relationships/image" Target="media/image1111.wmf"/><Relationship Id="rId4382" Type="http://schemas.openxmlformats.org/officeDocument/2006/relationships/image" Target="media/image2201.wmf"/><Relationship Id="rId5433" Type="http://schemas.openxmlformats.org/officeDocument/2006/relationships/image" Target="media/image2727.wmf"/><Relationship Id="rId5780" Type="http://schemas.openxmlformats.org/officeDocument/2006/relationships/oleObject" Target="embeddings/oleObject2879.bin"/><Relationship Id="rId6831" Type="http://schemas.openxmlformats.org/officeDocument/2006/relationships/image" Target="media/image3425.wmf"/><Relationship Id="rId4035" Type="http://schemas.openxmlformats.org/officeDocument/2006/relationships/image" Target="media/image2028.wmf"/><Relationship Id="rId11984" Type="http://schemas.openxmlformats.org/officeDocument/2006/relationships/image" Target="media/image6005.wmf"/><Relationship Id="rId8656" Type="http://schemas.openxmlformats.org/officeDocument/2006/relationships/oleObject" Target="embeddings/oleObject4311.bin"/><Relationship Id="rId9707" Type="http://schemas.openxmlformats.org/officeDocument/2006/relationships/oleObject" Target="embeddings/oleObject4825.bin"/><Relationship Id="rId10586" Type="http://schemas.openxmlformats.org/officeDocument/2006/relationships/image" Target="media/image5302.wmf"/><Relationship Id="rId11637" Type="http://schemas.openxmlformats.org/officeDocument/2006/relationships/image" Target="media/image5830.wmf"/><Relationship Id="rId7258" Type="http://schemas.openxmlformats.org/officeDocument/2006/relationships/image" Target="media/image3638.wmf"/><Relationship Id="rId8309" Type="http://schemas.openxmlformats.org/officeDocument/2006/relationships/oleObject" Target="embeddings/oleObject4139.bin"/><Relationship Id="rId10239" Type="http://schemas.openxmlformats.org/officeDocument/2006/relationships/image" Target="media/image5128.wmf"/><Relationship Id="rId14110" Type="http://schemas.openxmlformats.org/officeDocument/2006/relationships/oleObject" Target="embeddings/oleObject7001.bin"/><Relationship Id="rId3868" Type="http://schemas.openxmlformats.org/officeDocument/2006/relationships/image" Target="media/image1945.wmf"/><Relationship Id="rId4919" Type="http://schemas.openxmlformats.org/officeDocument/2006/relationships/oleObject" Target="embeddings/oleObject2450.bin"/><Relationship Id="rId789" Type="http://schemas.openxmlformats.org/officeDocument/2006/relationships/oleObject" Target="embeddings/oleObject386.bin"/><Relationship Id="rId5290" Type="http://schemas.openxmlformats.org/officeDocument/2006/relationships/oleObject" Target="embeddings/oleObject2634.bin"/><Relationship Id="rId6341" Type="http://schemas.openxmlformats.org/officeDocument/2006/relationships/image" Target="media/image3180.wmf"/><Relationship Id="rId10720" Type="http://schemas.openxmlformats.org/officeDocument/2006/relationships/image" Target="media/image5369.wmf"/><Relationship Id="rId9564" Type="http://schemas.openxmlformats.org/officeDocument/2006/relationships/image" Target="media/image4791.wmf"/><Relationship Id="rId12892" Type="http://schemas.openxmlformats.org/officeDocument/2006/relationships/oleObject" Target="embeddings/oleObject6395.bin"/><Relationship Id="rId13943" Type="http://schemas.openxmlformats.org/officeDocument/2006/relationships/image" Target="media/image6986.wmf"/><Relationship Id="rId2951" Type="http://schemas.openxmlformats.org/officeDocument/2006/relationships/image" Target="media/image1485.wmf"/><Relationship Id="rId8166" Type="http://schemas.openxmlformats.org/officeDocument/2006/relationships/image" Target="media/image4092.wmf"/><Relationship Id="rId9217" Type="http://schemas.openxmlformats.org/officeDocument/2006/relationships/oleObject" Target="embeddings/oleObject4589.bin"/><Relationship Id="rId11494" Type="http://schemas.openxmlformats.org/officeDocument/2006/relationships/oleObject" Target="embeddings/oleObject5700.bin"/><Relationship Id="rId12545" Type="http://schemas.openxmlformats.org/officeDocument/2006/relationships/image" Target="media/image6287.wmf"/><Relationship Id="rId923" Type="http://schemas.openxmlformats.org/officeDocument/2006/relationships/image" Target="media/image467.wmf"/><Relationship Id="rId1553" Type="http://schemas.openxmlformats.org/officeDocument/2006/relationships/oleObject" Target="embeddings/oleObject763.bin"/><Relationship Id="rId2604" Type="http://schemas.openxmlformats.org/officeDocument/2006/relationships/image" Target="media/image1312.wmf"/><Relationship Id="rId10096" Type="http://schemas.openxmlformats.org/officeDocument/2006/relationships/oleObject" Target="embeddings/oleObject5017.bin"/><Relationship Id="rId11147" Type="http://schemas.openxmlformats.org/officeDocument/2006/relationships/image" Target="media/image5585.wmf"/><Relationship Id="rId1206" Type="http://schemas.openxmlformats.org/officeDocument/2006/relationships/image" Target="media/image608.wmf"/><Relationship Id="rId4776" Type="http://schemas.openxmlformats.org/officeDocument/2006/relationships/image" Target="media/image2398.wmf"/><Relationship Id="rId5827" Type="http://schemas.openxmlformats.org/officeDocument/2006/relationships/image" Target="media/image2924.wmf"/><Relationship Id="rId3378" Type="http://schemas.openxmlformats.org/officeDocument/2006/relationships/image" Target="media/image1699.wmf"/><Relationship Id="rId4429" Type="http://schemas.openxmlformats.org/officeDocument/2006/relationships/oleObject" Target="embeddings/oleObject2206.bin"/><Relationship Id="rId7999" Type="http://schemas.openxmlformats.org/officeDocument/2006/relationships/oleObject" Target="embeddings/oleObject3984.bin"/><Relationship Id="rId8300" Type="http://schemas.openxmlformats.org/officeDocument/2006/relationships/image" Target="media/image4159.wmf"/><Relationship Id="rId10230" Type="http://schemas.openxmlformats.org/officeDocument/2006/relationships/oleObject" Target="embeddings/oleObject5082.bin"/><Relationship Id="rId299" Type="http://schemas.openxmlformats.org/officeDocument/2006/relationships/oleObject" Target="embeddings/oleObject144.bin"/><Relationship Id="rId780" Type="http://schemas.openxmlformats.org/officeDocument/2006/relationships/image" Target="media/image395.wmf"/><Relationship Id="rId2461" Type="http://schemas.openxmlformats.org/officeDocument/2006/relationships/oleObject" Target="embeddings/oleObject1218.bin"/><Relationship Id="rId3512" Type="http://schemas.openxmlformats.org/officeDocument/2006/relationships/image" Target="media/image1767.wmf"/><Relationship Id="rId4910" Type="http://schemas.openxmlformats.org/officeDocument/2006/relationships/image" Target="media/image2465.wmf"/><Relationship Id="rId9074" Type="http://schemas.openxmlformats.org/officeDocument/2006/relationships/oleObject" Target="embeddings/oleObject4517.bin"/><Relationship Id="rId12055" Type="http://schemas.openxmlformats.org/officeDocument/2006/relationships/oleObject" Target="embeddings/oleObject5979.bin"/><Relationship Id="rId13453" Type="http://schemas.openxmlformats.org/officeDocument/2006/relationships/oleObject" Target="embeddings/oleObject6672.bin"/><Relationship Id="rId14504" Type="http://schemas.openxmlformats.org/officeDocument/2006/relationships/oleObject" Target="embeddings/oleObject7192.bin"/><Relationship Id="rId433" Type="http://schemas.openxmlformats.org/officeDocument/2006/relationships/image" Target="media/image216.wmf"/><Relationship Id="rId1063" Type="http://schemas.openxmlformats.org/officeDocument/2006/relationships/image" Target="media/image537.wmf"/><Relationship Id="rId2114" Type="http://schemas.openxmlformats.org/officeDocument/2006/relationships/image" Target="media/image1063.wmf"/><Relationship Id="rId13106" Type="http://schemas.openxmlformats.org/officeDocument/2006/relationships/oleObject" Target="embeddings/oleObject6500.bin"/><Relationship Id="rId4286" Type="http://schemas.openxmlformats.org/officeDocument/2006/relationships/oleObject" Target="embeddings/oleObject2134.bin"/><Relationship Id="rId5684" Type="http://schemas.openxmlformats.org/officeDocument/2006/relationships/oleObject" Target="embeddings/oleObject2831.bin"/><Relationship Id="rId6735" Type="http://schemas.openxmlformats.org/officeDocument/2006/relationships/image" Target="media/image3377.wmf"/><Relationship Id="rId5337" Type="http://schemas.openxmlformats.org/officeDocument/2006/relationships/image" Target="media/image2679.wmf"/><Relationship Id="rId9958" Type="http://schemas.openxmlformats.org/officeDocument/2006/relationships/oleObject" Target="embeddings/oleObject4949.bin"/><Relationship Id="rId11888" Type="http://schemas.openxmlformats.org/officeDocument/2006/relationships/image" Target="media/image5957.wmf"/><Relationship Id="rId12939" Type="http://schemas.openxmlformats.org/officeDocument/2006/relationships/image" Target="media/image6484.wmf"/><Relationship Id="rId1947" Type="http://schemas.openxmlformats.org/officeDocument/2006/relationships/oleObject" Target="embeddings/oleObject961.bin"/><Relationship Id="rId14361" Type="http://schemas.openxmlformats.org/officeDocument/2006/relationships/image" Target="media/image7195.wmf"/><Relationship Id="rId4420" Type="http://schemas.openxmlformats.org/officeDocument/2006/relationships/image" Target="media/image2220.wmf"/><Relationship Id="rId7990" Type="http://schemas.openxmlformats.org/officeDocument/2006/relationships/image" Target="media/image4004.wmf"/><Relationship Id="rId14014" Type="http://schemas.openxmlformats.org/officeDocument/2006/relationships/oleObject" Target="embeddings/oleObject6953.bin"/><Relationship Id="rId290" Type="http://schemas.openxmlformats.org/officeDocument/2006/relationships/image" Target="media/image144.wmf"/><Relationship Id="rId3022" Type="http://schemas.openxmlformats.org/officeDocument/2006/relationships/oleObject" Target="embeddings/oleObject1499.bin"/><Relationship Id="rId6592" Type="http://schemas.openxmlformats.org/officeDocument/2006/relationships/oleObject" Target="embeddings/oleObject3283.bin"/><Relationship Id="rId7643" Type="http://schemas.openxmlformats.org/officeDocument/2006/relationships/oleObject" Target="embeddings/oleObject3806.bin"/><Relationship Id="rId10971" Type="http://schemas.openxmlformats.org/officeDocument/2006/relationships/oleObject" Target="embeddings/oleObject5441.bin"/><Relationship Id="rId5194" Type="http://schemas.openxmlformats.org/officeDocument/2006/relationships/image" Target="media/image2607.wmf"/><Relationship Id="rId6245" Type="http://schemas.openxmlformats.org/officeDocument/2006/relationships/image" Target="media/image3133.wmf"/><Relationship Id="rId10624" Type="http://schemas.openxmlformats.org/officeDocument/2006/relationships/image" Target="media/image5321.wmf"/><Relationship Id="rId12796" Type="http://schemas.openxmlformats.org/officeDocument/2006/relationships/oleObject" Target="embeddings/oleObject6347.bin"/><Relationship Id="rId13847" Type="http://schemas.openxmlformats.org/officeDocument/2006/relationships/image" Target="media/image6938.wmf"/><Relationship Id="rId2855" Type="http://schemas.openxmlformats.org/officeDocument/2006/relationships/image" Target="media/image1437.wmf"/><Relationship Id="rId3906" Type="http://schemas.openxmlformats.org/officeDocument/2006/relationships/image" Target="media/image1964.wmf"/><Relationship Id="rId9468" Type="http://schemas.openxmlformats.org/officeDocument/2006/relationships/image" Target="media/image4743.wmf"/><Relationship Id="rId11398" Type="http://schemas.openxmlformats.org/officeDocument/2006/relationships/oleObject" Target="embeddings/oleObject5652.bin"/><Relationship Id="rId12449" Type="http://schemas.openxmlformats.org/officeDocument/2006/relationships/image" Target="media/image6239.wmf"/><Relationship Id="rId827" Type="http://schemas.openxmlformats.org/officeDocument/2006/relationships/oleObject" Target="embeddings/oleObject405.bin"/><Relationship Id="rId1457" Type="http://schemas.openxmlformats.org/officeDocument/2006/relationships/oleObject" Target="embeddings/oleObject717.bin"/><Relationship Id="rId2508" Type="http://schemas.openxmlformats.org/officeDocument/2006/relationships/image" Target="media/image1264.wmf"/><Relationship Id="rId8551" Type="http://schemas.openxmlformats.org/officeDocument/2006/relationships/oleObject" Target="embeddings/oleObject4260.bin"/><Relationship Id="rId9602" Type="http://schemas.openxmlformats.org/officeDocument/2006/relationships/image" Target="media/image4810.wmf"/><Relationship Id="rId10481" Type="http://schemas.openxmlformats.org/officeDocument/2006/relationships/oleObject" Target="embeddings/oleObject5205.bin"/><Relationship Id="rId12930" Type="http://schemas.openxmlformats.org/officeDocument/2006/relationships/oleObject" Target="embeddings/oleObject6414.bin"/><Relationship Id="rId7153" Type="http://schemas.openxmlformats.org/officeDocument/2006/relationships/oleObject" Target="embeddings/oleObject3562.bin"/><Relationship Id="rId8204" Type="http://schemas.openxmlformats.org/officeDocument/2006/relationships/image" Target="media/image4111.wmf"/><Relationship Id="rId10134" Type="http://schemas.openxmlformats.org/officeDocument/2006/relationships/oleObject" Target="embeddings/oleObject5036.bin"/><Relationship Id="rId11532" Type="http://schemas.openxmlformats.org/officeDocument/2006/relationships/oleObject" Target="embeddings/oleObject5719.bin"/><Relationship Id="rId684" Type="http://schemas.openxmlformats.org/officeDocument/2006/relationships/image" Target="media/image344.wmf"/><Relationship Id="rId2365" Type="http://schemas.openxmlformats.org/officeDocument/2006/relationships/image" Target="media/image1191.wmf"/><Relationship Id="rId3763" Type="http://schemas.openxmlformats.org/officeDocument/2006/relationships/oleObject" Target="embeddings/oleObject1872.bin"/><Relationship Id="rId4814" Type="http://schemas.openxmlformats.org/officeDocument/2006/relationships/image" Target="media/image2417.wmf"/><Relationship Id="rId13357" Type="http://schemas.openxmlformats.org/officeDocument/2006/relationships/oleObject" Target="embeddings/oleObject6624.bin"/><Relationship Id="rId14408" Type="http://schemas.openxmlformats.org/officeDocument/2006/relationships/oleObject" Target="embeddings/oleObject7148.bin"/><Relationship Id="rId337" Type="http://schemas.openxmlformats.org/officeDocument/2006/relationships/oleObject" Target="embeddings/oleObject163.bin"/><Relationship Id="rId2018" Type="http://schemas.openxmlformats.org/officeDocument/2006/relationships/image" Target="media/image1015.wmf"/><Relationship Id="rId3416" Type="http://schemas.openxmlformats.org/officeDocument/2006/relationships/image" Target="media/image1718.wmf"/><Relationship Id="rId6986" Type="http://schemas.openxmlformats.org/officeDocument/2006/relationships/oleObject" Target="embeddings/oleObject3478.bin"/><Relationship Id="rId5588" Type="http://schemas.openxmlformats.org/officeDocument/2006/relationships/oleObject" Target="embeddings/oleObject2783.bin"/><Relationship Id="rId6639" Type="http://schemas.openxmlformats.org/officeDocument/2006/relationships/image" Target="media/image3329.wmf"/><Relationship Id="rId12440" Type="http://schemas.openxmlformats.org/officeDocument/2006/relationships/oleObject" Target="embeddings/oleObject6169.bin"/><Relationship Id="rId8061" Type="http://schemas.openxmlformats.org/officeDocument/2006/relationships/oleObject" Target="embeddings/oleObject4015.bin"/><Relationship Id="rId9112" Type="http://schemas.openxmlformats.org/officeDocument/2006/relationships/oleObject" Target="embeddings/oleObject4536.bin"/><Relationship Id="rId11042" Type="http://schemas.openxmlformats.org/officeDocument/2006/relationships/image" Target="media/image5531.wmf"/><Relationship Id="rId1101" Type="http://schemas.openxmlformats.org/officeDocument/2006/relationships/image" Target="media/image556.wmf"/><Relationship Id="rId4671" Type="http://schemas.openxmlformats.org/officeDocument/2006/relationships/oleObject" Target="embeddings/oleObject2327.bin"/><Relationship Id="rId5722" Type="http://schemas.openxmlformats.org/officeDocument/2006/relationships/oleObject" Target="embeddings/oleObject2850.bin"/><Relationship Id="rId14265" Type="http://schemas.openxmlformats.org/officeDocument/2006/relationships/image" Target="media/image7147.wmf"/><Relationship Id="rId3273" Type="http://schemas.openxmlformats.org/officeDocument/2006/relationships/oleObject" Target="embeddings/oleObject1625.bin"/><Relationship Id="rId4324" Type="http://schemas.openxmlformats.org/officeDocument/2006/relationships/oleObject" Target="embeddings/oleObject2153.bin"/><Relationship Id="rId194" Type="http://schemas.openxmlformats.org/officeDocument/2006/relationships/image" Target="media/image96.wmf"/><Relationship Id="rId6496" Type="http://schemas.openxmlformats.org/officeDocument/2006/relationships/oleObject" Target="embeddings/oleObject3238.bin"/><Relationship Id="rId7894" Type="http://schemas.openxmlformats.org/officeDocument/2006/relationships/image" Target="media/image3956.wmf"/><Relationship Id="rId8945" Type="http://schemas.openxmlformats.org/officeDocument/2006/relationships/image" Target="media/image4482.wmf"/><Relationship Id="rId10875" Type="http://schemas.openxmlformats.org/officeDocument/2006/relationships/oleObject" Target="embeddings/oleObject5400.bin"/><Relationship Id="rId11926" Type="http://schemas.openxmlformats.org/officeDocument/2006/relationships/image" Target="media/image5976.wmf"/><Relationship Id="rId5098" Type="http://schemas.openxmlformats.org/officeDocument/2006/relationships/image" Target="media/image2559.wmf"/><Relationship Id="rId6149" Type="http://schemas.openxmlformats.org/officeDocument/2006/relationships/image" Target="media/image3085.wmf"/><Relationship Id="rId7547" Type="http://schemas.openxmlformats.org/officeDocument/2006/relationships/oleObject" Target="embeddings/oleObject3758.bin"/><Relationship Id="rId10528" Type="http://schemas.openxmlformats.org/officeDocument/2006/relationships/image" Target="media/image5273.wmf"/><Relationship Id="rId13001" Type="http://schemas.openxmlformats.org/officeDocument/2006/relationships/image" Target="media/image6515.wmf"/><Relationship Id="rId2759" Type="http://schemas.openxmlformats.org/officeDocument/2006/relationships/oleObject" Target="embeddings/oleObject1367.bin"/><Relationship Id="rId6630" Type="http://schemas.openxmlformats.org/officeDocument/2006/relationships/oleObject" Target="embeddings/oleObject3302.bin"/><Relationship Id="rId4181" Type="http://schemas.openxmlformats.org/officeDocument/2006/relationships/image" Target="media/image2101.wmf"/><Relationship Id="rId5232" Type="http://schemas.openxmlformats.org/officeDocument/2006/relationships/oleObject" Target="embeddings/oleObject2605.bin"/><Relationship Id="rId9853" Type="http://schemas.openxmlformats.org/officeDocument/2006/relationships/image" Target="media/image4935.wmf"/><Relationship Id="rId67" Type="http://schemas.openxmlformats.org/officeDocument/2006/relationships/image" Target="media/image31.wmf"/><Relationship Id="rId8455" Type="http://schemas.openxmlformats.org/officeDocument/2006/relationships/oleObject" Target="embeddings/oleObject4212.bin"/><Relationship Id="rId9506" Type="http://schemas.openxmlformats.org/officeDocument/2006/relationships/image" Target="media/image4762.wmf"/><Relationship Id="rId11783" Type="http://schemas.openxmlformats.org/officeDocument/2006/relationships/oleObject" Target="embeddings/oleObject5843.bin"/><Relationship Id="rId12834" Type="http://schemas.openxmlformats.org/officeDocument/2006/relationships/oleObject" Target="embeddings/oleObject6366.bin"/><Relationship Id="rId1842" Type="http://schemas.openxmlformats.org/officeDocument/2006/relationships/image" Target="media/image927.wmf"/><Relationship Id="rId7057" Type="http://schemas.openxmlformats.org/officeDocument/2006/relationships/image" Target="media/image3538.wmf"/><Relationship Id="rId8108" Type="http://schemas.openxmlformats.org/officeDocument/2006/relationships/image" Target="media/image4063.wmf"/><Relationship Id="rId10385" Type="http://schemas.openxmlformats.org/officeDocument/2006/relationships/image" Target="media/image5201.wmf"/><Relationship Id="rId11436" Type="http://schemas.openxmlformats.org/officeDocument/2006/relationships/oleObject" Target="embeddings/oleObject5671.bin"/><Relationship Id="rId10038" Type="http://schemas.openxmlformats.org/officeDocument/2006/relationships/oleObject" Target="embeddings/oleObject4988.bin"/><Relationship Id="rId3667" Type="http://schemas.openxmlformats.org/officeDocument/2006/relationships/oleObject" Target="embeddings/oleObject1824.bin"/><Relationship Id="rId4718" Type="http://schemas.openxmlformats.org/officeDocument/2006/relationships/image" Target="media/image2369.wmf"/><Relationship Id="rId588" Type="http://schemas.openxmlformats.org/officeDocument/2006/relationships/image" Target="media/image295.wmf"/><Relationship Id="rId2269" Type="http://schemas.openxmlformats.org/officeDocument/2006/relationships/image" Target="media/image1141.wmf"/><Relationship Id="rId6140" Type="http://schemas.openxmlformats.org/officeDocument/2006/relationships/oleObject" Target="embeddings/oleObject3059.bin"/><Relationship Id="rId12691" Type="http://schemas.openxmlformats.org/officeDocument/2006/relationships/image" Target="media/image6360.wmf"/><Relationship Id="rId2750" Type="http://schemas.openxmlformats.org/officeDocument/2006/relationships/image" Target="media/image1385.wmf"/><Relationship Id="rId3801" Type="http://schemas.openxmlformats.org/officeDocument/2006/relationships/oleObject" Target="embeddings/oleObject1891.bin"/><Relationship Id="rId9363" Type="http://schemas.openxmlformats.org/officeDocument/2006/relationships/oleObject" Target="embeddings/oleObject4662.bin"/><Relationship Id="rId11293" Type="http://schemas.openxmlformats.org/officeDocument/2006/relationships/image" Target="media/image5658.wmf"/><Relationship Id="rId12344" Type="http://schemas.openxmlformats.org/officeDocument/2006/relationships/oleObject" Target="embeddings/oleObject6121.bin"/><Relationship Id="rId13742" Type="http://schemas.openxmlformats.org/officeDocument/2006/relationships/oleObject" Target="embeddings/oleObject6817.bin"/><Relationship Id="rId722" Type="http://schemas.openxmlformats.org/officeDocument/2006/relationships/image" Target="media/image363.wmf"/><Relationship Id="rId1352" Type="http://schemas.openxmlformats.org/officeDocument/2006/relationships/image" Target="media/image681.wmf"/><Relationship Id="rId2403" Type="http://schemas.openxmlformats.org/officeDocument/2006/relationships/image" Target="media/image1210.wmf"/><Relationship Id="rId9016" Type="http://schemas.openxmlformats.org/officeDocument/2006/relationships/oleObject" Target="embeddings/oleObject4488.bin"/><Relationship Id="rId1005" Type="http://schemas.openxmlformats.org/officeDocument/2006/relationships/image" Target="media/image508.wmf"/><Relationship Id="rId4575" Type="http://schemas.openxmlformats.org/officeDocument/2006/relationships/oleObject" Target="embeddings/oleObject2279.bin"/><Relationship Id="rId5973" Type="http://schemas.openxmlformats.org/officeDocument/2006/relationships/image" Target="media/image2997.wmf"/><Relationship Id="rId3177" Type="http://schemas.openxmlformats.org/officeDocument/2006/relationships/image" Target="media/image1598.wmf"/><Relationship Id="rId4228" Type="http://schemas.openxmlformats.org/officeDocument/2006/relationships/oleObject" Target="embeddings/oleObject2105.bin"/><Relationship Id="rId5626" Type="http://schemas.openxmlformats.org/officeDocument/2006/relationships/oleObject" Target="embeddings/oleObject2802.bin"/><Relationship Id="rId14169" Type="http://schemas.openxmlformats.org/officeDocument/2006/relationships/image" Target="media/image7099.wmf"/><Relationship Id="rId7798" Type="http://schemas.openxmlformats.org/officeDocument/2006/relationships/image" Target="media/image3908.wmf"/><Relationship Id="rId8849" Type="http://schemas.openxmlformats.org/officeDocument/2006/relationships/image" Target="media/image4434.wmf"/><Relationship Id="rId10779" Type="http://schemas.openxmlformats.org/officeDocument/2006/relationships/oleObject" Target="embeddings/oleObject5352.bin"/><Relationship Id="rId13252" Type="http://schemas.openxmlformats.org/officeDocument/2006/relationships/oleObject" Target="embeddings/oleObject6573.bin"/><Relationship Id="rId14303" Type="http://schemas.openxmlformats.org/officeDocument/2006/relationships/image" Target="media/image7166.wmf"/><Relationship Id="rId2260" Type="http://schemas.openxmlformats.org/officeDocument/2006/relationships/oleObject" Target="embeddings/oleObject1117.bin"/><Relationship Id="rId3311" Type="http://schemas.openxmlformats.org/officeDocument/2006/relationships/oleObject" Target="embeddings/oleObject1644.bin"/><Relationship Id="rId6881" Type="http://schemas.openxmlformats.org/officeDocument/2006/relationships/image" Target="media/image3450.wmf"/><Relationship Id="rId7932" Type="http://schemas.openxmlformats.org/officeDocument/2006/relationships/image" Target="media/image3975.wmf"/><Relationship Id="rId232" Type="http://schemas.openxmlformats.org/officeDocument/2006/relationships/image" Target="media/image115.wmf"/><Relationship Id="rId5483" Type="http://schemas.openxmlformats.org/officeDocument/2006/relationships/image" Target="media/image2752.wmf"/><Relationship Id="rId6534" Type="http://schemas.openxmlformats.org/officeDocument/2006/relationships/oleObject" Target="embeddings/oleObject3257.bin"/><Relationship Id="rId10913" Type="http://schemas.openxmlformats.org/officeDocument/2006/relationships/oleObject" Target="embeddings/oleObject5419.bin"/><Relationship Id="rId4085" Type="http://schemas.openxmlformats.org/officeDocument/2006/relationships/image" Target="media/image2053.wmf"/><Relationship Id="rId5136" Type="http://schemas.openxmlformats.org/officeDocument/2006/relationships/image" Target="media/image2578.wmf"/><Relationship Id="rId8359" Type="http://schemas.openxmlformats.org/officeDocument/2006/relationships/oleObject" Target="embeddings/oleObject4164.bin"/><Relationship Id="rId9757" Type="http://schemas.openxmlformats.org/officeDocument/2006/relationships/oleObject" Target="embeddings/oleObject4850.bin"/><Relationship Id="rId11687" Type="http://schemas.openxmlformats.org/officeDocument/2006/relationships/oleObject" Target="embeddings/oleObject5795.bin"/><Relationship Id="rId12738" Type="http://schemas.openxmlformats.org/officeDocument/2006/relationships/oleObject" Target="embeddings/oleObject6318.bin"/><Relationship Id="rId1746" Type="http://schemas.openxmlformats.org/officeDocument/2006/relationships/image" Target="media/image879.wmf"/><Relationship Id="rId10289" Type="http://schemas.openxmlformats.org/officeDocument/2006/relationships/image" Target="media/image5153.wmf"/><Relationship Id="rId14160" Type="http://schemas.openxmlformats.org/officeDocument/2006/relationships/oleObject" Target="embeddings/oleObject7026.bin"/><Relationship Id="rId4969" Type="http://schemas.openxmlformats.org/officeDocument/2006/relationships/oleObject" Target="embeddings/oleObject2474.bin"/><Relationship Id="rId8840" Type="http://schemas.openxmlformats.org/officeDocument/2006/relationships/oleObject" Target="embeddings/oleObject4403.bin"/><Relationship Id="rId10770" Type="http://schemas.openxmlformats.org/officeDocument/2006/relationships/image" Target="media/image5394.wmf"/><Relationship Id="rId6391" Type="http://schemas.openxmlformats.org/officeDocument/2006/relationships/image" Target="media/image3205.wmf"/><Relationship Id="rId7442" Type="http://schemas.openxmlformats.org/officeDocument/2006/relationships/image" Target="media/image3730.wmf"/><Relationship Id="rId10423" Type="http://schemas.openxmlformats.org/officeDocument/2006/relationships/oleObject" Target="embeddings/oleObject5178.bin"/><Relationship Id="rId11821" Type="http://schemas.openxmlformats.org/officeDocument/2006/relationships/oleObject" Target="embeddings/oleObject5862.bin"/><Relationship Id="rId6044" Type="http://schemas.openxmlformats.org/officeDocument/2006/relationships/oleObject" Target="embeddings/oleObject3011.bin"/><Relationship Id="rId13993" Type="http://schemas.openxmlformats.org/officeDocument/2006/relationships/image" Target="media/image7011.wmf"/><Relationship Id="rId9267" Type="http://schemas.openxmlformats.org/officeDocument/2006/relationships/oleObject" Target="embeddings/oleObject4614.bin"/><Relationship Id="rId11197" Type="http://schemas.openxmlformats.org/officeDocument/2006/relationships/image" Target="media/image5610.wmf"/><Relationship Id="rId12595" Type="http://schemas.openxmlformats.org/officeDocument/2006/relationships/image" Target="media/image6312.wmf"/><Relationship Id="rId13646" Type="http://schemas.openxmlformats.org/officeDocument/2006/relationships/image" Target="media/image6838.wmf"/><Relationship Id="rId626" Type="http://schemas.openxmlformats.org/officeDocument/2006/relationships/image" Target="media/image314.wmf"/><Relationship Id="rId973" Type="http://schemas.openxmlformats.org/officeDocument/2006/relationships/image" Target="media/image492.wmf"/><Relationship Id="rId1256" Type="http://schemas.openxmlformats.org/officeDocument/2006/relationships/image" Target="media/image633.wmf"/><Relationship Id="rId2307" Type="http://schemas.openxmlformats.org/officeDocument/2006/relationships/image" Target="media/image1160.wmf"/><Relationship Id="rId2654" Type="http://schemas.openxmlformats.org/officeDocument/2006/relationships/image" Target="media/image1337.wmf"/><Relationship Id="rId3705" Type="http://schemas.openxmlformats.org/officeDocument/2006/relationships/oleObject" Target="embeddings/oleObject1843.bin"/><Relationship Id="rId12248" Type="http://schemas.openxmlformats.org/officeDocument/2006/relationships/image" Target="media/image6137.wmf"/><Relationship Id="rId5877" Type="http://schemas.openxmlformats.org/officeDocument/2006/relationships/image" Target="media/image2949.wmf"/><Relationship Id="rId6928" Type="http://schemas.openxmlformats.org/officeDocument/2006/relationships/oleObject" Target="embeddings/oleObject3449.bin"/><Relationship Id="rId4479" Type="http://schemas.openxmlformats.org/officeDocument/2006/relationships/oleObject" Target="embeddings/oleObject2231.bin"/><Relationship Id="rId8350" Type="http://schemas.openxmlformats.org/officeDocument/2006/relationships/image" Target="media/image4184.wmf"/><Relationship Id="rId9401" Type="http://schemas.openxmlformats.org/officeDocument/2006/relationships/oleObject" Target="embeddings/oleObject4681.bin"/><Relationship Id="rId10280" Type="http://schemas.openxmlformats.org/officeDocument/2006/relationships/oleObject" Target="embeddings/oleObject5107.bin"/><Relationship Id="rId11331" Type="http://schemas.openxmlformats.org/officeDocument/2006/relationships/image" Target="media/image5677.wmf"/><Relationship Id="rId4960" Type="http://schemas.openxmlformats.org/officeDocument/2006/relationships/image" Target="media/image2490.wmf"/><Relationship Id="rId8003" Type="http://schemas.openxmlformats.org/officeDocument/2006/relationships/oleObject" Target="embeddings/oleObject3986.bin"/><Relationship Id="rId14554" Type="http://schemas.openxmlformats.org/officeDocument/2006/relationships/oleObject" Target="embeddings/oleObject7217.bin"/><Relationship Id="rId3562" Type="http://schemas.openxmlformats.org/officeDocument/2006/relationships/image" Target="media/image1792.wmf"/><Relationship Id="rId4613" Type="http://schemas.openxmlformats.org/officeDocument/2006/relationships/oleObject" Target="embeddings/oleObject2298.bin"/><Relationship Id="rId13156" Type="http://schemas.openxmlformats.org/officeDocument/2006/relationships/oleObject" Target="embeddings/oleObject6525.bin"/><Relationship Id="rId14207" Type="http://schemas.openxmlformats.org/officeDocument/2006/relationships/image" Target="media/image7118.wmf"/><Relationship Id="rId483" Type="http://schemas.openxmlformats.org/officeDocument/2006/relationships/image" Target="media/image241.wmf"/><Relationship Id="rId2164" Type="http://schemas.openxmlformats.org/officeDocument/2006/relationships/image" Target="media/image1088.wmf"/><Relationship Id="rId3215" Type="http://schemas.openxmlformats.org/officeDocument/2006/relationships/image" Target="media/image1617.wmf"/><Relationship Id="rId6785" Type="http://schemas.openxmlformats.org/officeDocument/2006/relationships/image" Target="media/image3402.wmf"/><Relationship Id="rId136" Type="http://schemas.openxmlformats.org/officeDocument/2006/relationships/oleObject" Target="embeddings/oleObject64.bin"/><Relationship Id="rId5387" Type="http://schemas.openxmlformats.org/officeDocument/2006/relationships/image" Target="media/image2704.wmf"/><Relationship Id="rId6438" Type="http://schemas.openxmlformats.org/officeDocument/2006/relationships/oleObject" Target="embeddings/oleObject3209.bin"/><Relationship Id="rId7836" Type="http://schemas.openxmlformats.org/officeDocument/2006/relationships/image" Target="media/image3927.wmf"/><Relationship Id="rId10817" Type="http://schemas.openxmlformats.org/officeDocument/2006/relationships/oleObject" Target="embeddings/oleObject5371.bin"/><Relationship Id="rId12989" Type="http://schemas.openxmlformats.org/officeDocument/2006/relationships/image" Target="media/image6509.wmf"/><Relationship Id="rId1997" Type="http://schemas.openxmlformats.org/officeDocument/2006/relationships/oleObject" Target="embeddings/oleObject986.bin"/><Relationship Id="rId4470" Type="http://schemas.openxmlformats.org/officeDocument/2006/relationships/image" Target="media/image2245.wmf"/><Relationship Id="rId5521" Type="http://schemas.openxmlformats.org/officeDocument/2006/relationships/image" Target="media/image2771.wmf"/><Relationship Id="rId14064" Type="http://schemas.openxmlformats.org/officeDocument/2006/relationships/oleObject" Target="embeddings/oleObject6978.bin"/><Relationship Id="rId3072" Type="http://schemas.openxmlformats.org/officeDocument/2006/relationships/oleObject" Target="embeddings/oleObject1524.bin"/><Relationship Id="rId4123" Type="http://schemas.openxmlformats.org/officeDocument/2006/relationships/image" Target="media/image2072.wmf"/><Relationship Id="rId7693" Type="http://schemas.openxmlformats.org/officeDocument/2006/relationships/oleObject" Target="embeddings/oleObject3831.bin"/><Relationship Id="rId8744" Type="http://schemas.openxmlformats.org/officeDocument/2006/relationships/oleObject" Target="embeddings/oleObject4355.bin"/><Relationship Id="rId6295" Type="http://schemas.openxmlformats.org/officeDocument/2006/relationships/image" Target="media/image3158.wmf"/><Relationship Id="rId7346" Type="http://schemas.openxmlformats.org/officeDocument/2006/relationships/image" Target="media/image3682.wmf"/><Relationship Id="rId10674" Type="http://schemas.openxmlformats.org/officeDocument/2006/relationships/image" Target="media/image5346.wmf"/><Relationship Id="rId11725" Type="http://schemas.openxmlformats.org/officeDocument/2006/relationships/oleObject" Target="embeddings/oleObject5814.bin"/><Relationship Id="rId10327" Type="http://schemas.openxmlformats.org/officeDocument/2006/relationships/image" Target="media/image5172.wmf"/><Relationship Id="rId13897" Type="http://schemas.openxmlformats.org/officeDocument/2006/relationships/image" Target="media/image6963.wmf"/><Relationship Id="rId3956" Type="http://schemas.openxmlformats.org/officeDocument/2006/relationships/image" Target="media/image1989.wmf"/><Relationship Id="rId12499" Type="http://schemas.openxmlformats.org/officeDocument/2006/relationships/image" Target="media/image6264.wmf"/><Relationship Id="rId877" Type="http://schemas.openxmlformats.org/officeDocument/2006/relationships/oleObject" Target="embeddings/oleObject430.bin"/><Relationship Id="rId2558" Type="http://schemas.openxmlformats.org/officeDocument/2006/relationships/image" Target="media/image1289.wmf"/><Relationship Id="rId3609" Type="http://schemas.openxmlformats.org/officeDocument/2006/relationships/oleObject" Target="embeddings/oleObject1795.bin"/><Relationship Id="rId12980" Type="http://schemas.openxmlformats.org/officeDocument/2006/relationships/oleObject" Target="embeddings/oleObject6439.bin"/><Relationship Id="rId5031" Type="http://schemas.openxmlformats.org/officeDocument/2006/relationships/oleObject" Target="embeddings/oleObject2505.bin"/><Relationship Id="rId9652" Type="http://schemas.openxmlformats.org/officeDocument/2006/relationships/image" Target="media/image4835.wmf"/><Relationship Id="rId11582" Type="http://schemas.openxmlformats.org/officeDocument/2006/relationships/oleObject" Target="embeddings/oleObject5744.bin"/><Relationship Id="rId12633" Type="http://schemas.openxmlformats.org/officeDocument/2006/relationships/image" Target="media/image6331.wmf"/><Relationship Id="rId1641" Type="http://schemas.openxmlformats.org/officeDocument/2006/relationships/oleObject" Target="embeddings/oleObject808.bin"/><Relationship Id="rId8254" Type="http://schemas.openxmlformats.org/officeDocument/2006/relationships/image" Target="media/image4136.wmf"/><Relationship Id="rId9305" Type="http://schemas.openxmlformats.org/officeDocument/2006/relationships/oleObject" Target="embeddings/oleObject4633.bin"/><Relationship Id="rId10184" Type="http://schemas.openxmlformats.org/officeDocument/2006/relationships/oleObject" Target="embeddings/oleObject5060.bin"/><Relationship Id="rId11235" Type="http://schemas.openxmlformats.org/officeDocument/2006/relationships/image" Target="media/image5629.wmf"/><Relationship Id="rId4864" Type="http://schemas.openxmlformats.org/officeDocument/2006/relationships/image" Target="media/image2442.wmf"/><Relationship Id="rId3466" Type="http://schemas.openxmlformats.org/officeDocument/2006/relationships/image" Target="media/image1744.wmf"/><Relationship Id="rId4517" Type="http://schemas.openxmlformats.org/officeDocument/2006/relationships/oleObject" Target="embeddings/oleObject2250.bin"/><Relationship Id="rId5915" Type="http://schemas.openxmlformats.org/officeDocument/2006/relationships/image" Target="media/image2968.wmf"/><Relationship Id="rId14458" Type="http://schemas.openxmlformats.org/officeDocument/2006/relationships/oleObject" Target="embeddings/oleObject7169.bin"/><Relationship Id="rId387" Type="http://schemas.openxmlformats.org/officeDocument/2006/relationships/image" Target="media/image193.wmf"/><Relationship Id="rId2068" Type="http://schemas.openxmlformats.org/officeDocument/2006/relationships/image" Target="media/image1040.wmf"/><Relationship Id="rId3119" Type="http://schemas.openxmlformats.org/officeDocument/2006/relationships/image" Target="media/image1569.wmf"/><Relationship Id="rId6689" Type="http://schemas.openxmlformats.org/officeDocument/2006/relationships/image" Target="media/image3354.wmf"/><Relationship Id="rId9162" Type="http://schemas.openxmlformats.org/officeDocument/2006/relationships/image" Target="media/image4590.wmf"/><Relationship Id="rId12490" Type="http://schemas.openxmlformats.org/officeDocument/2006/relationships/oleObject" Target="embeddings/oleObject6194.bin"/><Relationship Id="rId13541" Type="http://schemas.openxmlformats.org/officeDocument/2006/relationships/oleObject" Target="embeddings/oleObject6716.bin"/><Relationship Id="rId3600" Type="http://schemas.openxmlformats.org/officeDocument/2006/relationships/image" Target="media/image1811.wmf"/><Relationship Id="rId11092" Type="http://schemas.openxmlformats.org/officeDocument/2006/relationships/oleObject" Target="embeddings/oleObject5499.bin"/><Relationship Id="rId12143" Type="http://schemas.openxmlformats.org/officeDocument/2006/relationships/oleObject" Target="embeddings/oleObject6023.bin"/><Relationship Id="rId521" Type="http://schemas.openxmlformats.org/officeDocument/2006/relationships/image" Target="media/image260.wmf"/><Relationship Id="rId1151" Type="http://schemas.openxmlformats.org/officeDocument/2006/relationships/image" Target="media/image581.wmf"/><Relationship Id="rId2202" Type="http://schemas.openxmlformats.org/officeDocument/2006/relationships/image" Target="media/image1107.wmf"/><Relationship Id="rId5772" Type="http://schemas.openxmlformats.org/officeDocument/2006/relationships/oleObject" Target="embeddings/oleObject2875.bin"/><Relationship Id="rId6823" Type="http://schemas.openxmlformats.org/officeDocument/2006/relationships/image" Target="media/image3421.wmf"/><Relationship Id="rId4374" Type="http://schemas.openxmlformats.org/officeDocument/2006/relationships/image" Target="media/image2197.wmf"/><Relationship Id="rId5425" Type="http://schemas.openxmlformats.org/officeDocument/2006/relationships/image" Target="media/image2723.wmf"/><Relationship Id="rId8995" Type="http://schemas.openxmlformats.org/officeDocument/2006/relationships/image" Target="media/image4507.wmf"/><Relationship Id="rId4027" Type="http://schemas.openxmlformats.org/officeDocument/2006/relationships/image" Target="media/image2024.wmf"/><Relationship Id="rId7597" Type="http://schemas.openxmlformats.org/officeDocument/2006/relationships/oleObject" Target="embeddings/oleObject3783.bin"/><Relationship Id="rId8648" Type="http://schemas.openxmlformats.org/officeDocument/2006/relationships/image" Target="media/image4333.png"/><Relationship Id="rId11976" Type="http://schemas.openxmlformats.org/officeDocument/2006/relationships/image" Target="media/image6001.wmf"/><Relationship Id="rId6199" Type="http://schemas.openxmlformats.org/officeDocument/2006/relationships/image" Target="media/image3110.wmf"/><Relationship Id="rId10578" Type="http://schemas.openxmlformats.org/officeDocument/2006/relationships/image" Target="media/image5298.wmf"/><Relationship Id="rId11629" Type="http://schemas.openxmlformats.org/officeDocument/2006/relationships/image" Target="media/image5826.wmf"/><Relationship Id="rId13051" Type="http://schemas.openxmlformats.org/officeDocument/2006/relationships/image" Target="media/image6540.wmf"/><Relationship Id="rId14102" Type="http://schemas.openxmlformats.org/officeDocument/2006/relationships/oleObject" Target="embeddings/oleObject6997.bin"/><Relationship Id="rId3110" Type="http://schemas.openxmlformats.org/officeDocument/2006/relationships/oleObject" Target="embeddings/oleObject1543.bin"/><Relationship Id="rId6680" Type="http://schemas.openxmlformats.org/officeDocument/2006/relationships/oleObject" Target="embeddings/oleObject3327.bin"/><Relationship Id="rId7731" Type="http://schemas.openxmlformats.org/officeDocument/2006/relationships/oleObject" Target="embeddings/oleObject3850.bin"/><Relationship Id="rId10712" Type="http://schemas.openxmlformats.org/officeDocument/2006/relationships/image" Target="media/image5365.wmf"/><Relationship Id="rId5282" Type="http://schemas.openxmlformats.org/officeDocument/2006/relationships/oleObject" Target="embeddings/oleObject2630.bin"/><Relationship Id="rId6333" Type="http://schemas.openxmlformats.org/officeDocument/2006/relationships/image" Target="media/image3176.wmf"/><Relationship Id="rId1892" Type="http://schemas.openxmlformats.org/officeDocument/2006/relationships/image" Target="media/image952.wmf"/><Relationship Id="rId9556" Type="http://schemas.openxmlformats.org/officeDocument/2006/relationships/image" Target="media/image4787.wmf"/><Relationship Id="rId11486" Type="http://schemas.openxmlformats.org/officeDocument/2006/relationships/oleObject" Target="embeddings/oleObject5696.bin"/><Relationship Id="rId12884" Type="http://schemas.openxmlformats.org/officeDocument/2006/relationships/oleObject" Target="embeddings/oleObject6391.bin"/><Relationship Id="rId13935" Type="http://schemas.openxmlformats.org/officeDocument/2006/relationships/image" Target="media/image6982.wmf"/><Relationship Id="rId915" Type="http://schemas.openxmlformats.org/officeDocument/2006/relationships/image" Target="media/image463.wmf"/><Relationship Id="rId1545" Type="http://schemas.openxmlformats.org/officeDocument/2006/relationships/oleObject" Target="embeddings/oleObject759.bin"/><Relationship Id="rId2943" Type="http://schemas.openxmlformats.org/officeDocument/2006/relationships/image" Target="media/image1481.wmf"/><Relationship Id="rId8158" Type="http://schemas.openxmlformats.org/officeDocument/2006/relationships/image" Target="media/image4088.wmf"/><Relationship Id="rId9209" Type="http://schemas.openxmlformats.org/officeDocument/2006/relationships/oleObject" Target="embeddings/oleObject4585.bin"/><Relationship Id="rId10088" Type="http://schemas.openxmlformats.org/officeDocument/2006/relationships/oleObject" Target="embeddings/oleObject5013.bin"/><Relationship Id="rId11139" Type="http://schemas.openxmlformats.org/officeDocument/2006/relationships/image" Target="media/image5581.wmf"/><Relationship Id="rId12537" Type="http://schemas.openxmlformats.org/officeDocument/2006/relationships/image" Target="media/image6283.wmf"/><Relationship Id="rId4768" Type="http://schemas.openxmlformats.org/officeDocument/2006/relationships/image" Target="media/image2394.wmf"/><Relationship Id="rId5819" Type="http://schemas.openxmlformats.org/officeDocument/2006/relationships/image" Target="media/image2920.wmf"/><Relationship Id="rId6190" Type="http://schemas.openxmlformats.org/officeDocument/2006/relationships/oleObject" Target="embeddings/oleObject3084.bin"/><Relationship Id="rId11620" Type="http://schemas.openxmlformats.org/officeDocument/2006/relationships/oleObject" Target="embeddings/oleObject5763.bin"/><Relationship Id="rId7241" Type="http://schemas.openxmlformats.org/officeDocument/2006/relationships/oleObject" Target="embeddings/oleObject3605.bin"/><Relationship Id="rId10222" Type="http://schemas.openxmlformats.org/officeDocument/2006/relationships/oleObject" Target="embeddings/oleObject5078.bin"/><Relationship Id="rId13792" Type="http://schemas.openxmlformats.org/officeDocument/2006/relationships/oleObject" Target="embeddings/oleObject6842.bin"/><Relationship Id="rId3851" Type="http://schemas.openxmlformats.org/officeDocument/2006/relationships/oleObject" Target="embeddings/oleObject1916.bin"/><Relationship Id="rId4902" Type="http://schemas.openxmlformats.org/officeDocument/2006/relationships/image" Target="media/image2461.wmf"/><Relationship Id="rId12394" Type="http://schemas.openxmlformats.org/officeDocument/2006/relationships/oleObject" Target="embeddings/oleObject6146.bin"/><Relationship Id="rId13445" Type="http://schemas.openxmlformats.org/officeDocument/2006/relationships/oleObject" Target="embeddings/oleObject6668.bin"/><Relationship Id="rId772" Type="http://schemas.openxmlformats.org/officeDocument/2006/relationships/image" Target="media/image391.wmf"/><Relationship Id="rId2453" Type="http://schemas.openxmlformats.org/officeDocument/2006/relationships/oleObject" Target="embeddings/oleObject1215.bin"/><Relationship Id="rId3504" Type="http://schemas.openxmlformats.org/officeDocument/2006/relationships/image" Target="media/image1763.wmf"/><Relationship Id="rId9066" Type="http://schemas.openxmlformats.org/officeDocument/2006/relationships/oleObject" Target="embeddings/oleObject4513.bin"/><Relationship Id="rId12047" Type="http://schemas.openxmlformats.org/officeDocument/2006/relationships/oleObject" Target="embeddings/oleObject5975.bin"/><Relationship Id="rId425" Type="http://schemas.openxmlformats.org/officeDocument/2006/relationships/image" Target="media/image212.wmf"/><Relationship Id="rId1055" Type="http://schemas.openxmlformats.org/officeDocument/2006/relationships/image" Target="media/image533.wmf"/><Relationship Id="rId2106" Type="http://schemas.openxmlformats.org/officeDocument/2006/relationships/image" Target="media/image1059.wmf"/><Relationship Id="rId5676" Type="http://schemas.openxmlformats.org/officeDocument/2006/relationships/oleObject" Target="embeddings/oleObject2827.bin"/><Relationship Id="rId6727" Type="http://schemas.openxmlformats.org/officeDocument/2006/relationships/image" Target="media/image3373.wmf"/><Relationship Id="rId4278" Type="http://schemas.openxmlformats.org/officeDocument/2006/relationships/oleObject" Target="embeddings/oleObject2130.bin"/><Relationship Id="rId5329" Type="http://schemas.openxmlformats.org/officeDocument/2006/relationships/image" Target="media/image2675.wmf"/><Relationship Id="rId9200" Type="http://schemas.openxmlformats.org/officeDocument/2006/relationships/image" Target="media/image4609.wmf"/><Relationship Id="rId8899" Type="http://schemas.openxmlformats.org/officeDocument/2006/relationships/image" Target="media/image4459.wmf"/><Relationship Id="rId11130" Type="http://schemas.openxmlformats.org/officeDocument/2006/relationships/oleObject" Target="embeddings/oleObject5518.bin"/><Relationship Id="rId1939" Type="http://schemas.openxmlformats.org/officeDocument/2006/relationships/oleObject" Target="embeddings/oleObject957.bin"/><Relationship Id="rId5810" Type="http://schemas.openxmlformats.org/officeDocument/2006/relationships/oleObject" Target="embeddings/oleObject2894.bin"/><Relationship Id="rId14353" Type="http://schemas.openxmlformats.org/officeDocument/2006/relationships/image" Target="media/image7191.wmf"/><Relationship Id="rId3361" Type="http://schemas.openxmlformats.org/officeDocument/2006/relationships/oleObject" Target="embeddings/oleObject1669.bin"/><Relationship Id="rId4412" Type="http://schemas.openxmlformats.org/officeDocument/2006/relationships/image" Target="media/image2216.wmf"/><Relationship Id="rId7982" Type="http://schemas.openxmlformats.org/officeDocument/2006/relationships/image" Target="media/image4000.wmf"/><Relationship Id="rId14006" Type="http://schemas.openxmlformats.org/officeDocument/2006/relationships/oleObject" Target="embeddings/oleObject6949.bin"/><Relationship Id="rId282" Type="http://schemas.openxmlformats.org/officeDocument/2006/relationships/image" Target="media/image140.wmf"/><Relationship Id="rId3014" Type="http://schemas.openxmlformats.org/officeDocument/2006/relationships/oleObject" Target="embeddings/oleObject1495.bin"/><Relationship Id="rId6584" Type="http://schemas.openxmlformats.org/officeDocument/2006/relationships/oleObject" Target="embeddings/oleObject3279.bin"/><Relationship Id="rId7635" Type="http://schemas.openxmlformats.org/officeDocument/2006/relationships/oleObject" Target="embeddings/oleObject3802.bin"/><Relationship Id="rId10963" Type="http://schemas.openxmlformats.org/officeDocument/2006/relationships/oleObject" Target="embeddings/oleObject5437.bin"/><Relationship Id="rId5186" Type="http://schemas.openxmlformats.org/officeDocument/2006/relationships/image" Target="media/image2603.wmf"/><Relationship Id="rId6237" Type="http://schemas.openxmlformats.org/officeDocument/2006/relationships/image" Target="media/image3129.wmf"/><Relationship Id="rId10616" Type="http://schemas.openxmlformats.org/officeDocument/2006/relationships/image" Target="media/image5317.wmf"/><Relationship Id="rId12788" Type="http://schemas.openxmlformats.org/officeDocument/2006/relationships/oleObject" Target="embeddings/oleObject6343.bin"/><Relationship Id="rId13839" Type="http://schemas.openxmlformats.org/officeDocument/2006/relationships/image" Target="media/image6934.wmf"/><Relationship Id="rId1449" Type="http://schemas.openxmlformats.org/officeDocument/2006/relationships/oleObject" Target="embeddings/oleObject713.bin"/><Relationship Id="rId1796" Type="http://schemas.openxmlformats.org/officeDocument/2006/relationships/image" Target="media/image904.wmf"/><Relationship Id="rId2847" Type="http://schemas.openxmlformats.org/officeDocument/2006/relationships/image" Target="media/image1433.wmf"/><Relationship Id="rId819" Type="http://schemas.openxmlformats.org/officeDocument/2006/relationships/oleObject" Target="embeddings/oleObject401.bin"/><Relationship Id="rId5320" Type="http://schemas.openxmlformats.org/officeDocument/2006/relationships/oleObject" Target="embeddings/oleObject2649.bin"/><Relationship Id="rId8890" Type="http://schemas.openxmlformats.org/officeDocument/2006/relationships/oleObject" Target="embeddings/oleObject4425.bin"/><Relationship Id="rId9941" Type="http://schemas.openxmlformats.org/officeDocument/2006/relationships/image" Target="media/image4979.wmf"/><Relationship Id="rId11871" Type="http://schemas.openxmlformats.org/officeDocument/2006/relationships/oleObject" Target="embeddings/oleObject5887.bin"/><Relationship Id="rId12922" Type="http://schemas.openxmlformats.org/officeDocument/2006/relationships/oleObject" Target="embeddings/oleObject6410.bin"/><Relationship Id="rId1930" Type="http://schemas.openxmlformats.org/officeDocument/2006/relationships/image" Target="media/image971.wmf"/><Relationship Id="rId7492" Type="http://schemas.openxmlformats.org/officeDocument/2006/relationships/image" Target="media/image3755.wmf"/><Relationship Id="rId8543" Type="http://schemas.openxmlformats.org/officeDocument/2006/relationships/oleObject" Target="embeddings/oleObject4256.bin"/><Relationship Id="rId10473" Type="http://schemas.microsoft.com/office/2007/relationships/hdphoto" Target="media/hdphoto35.wdp"/><Relationship Id="rId11524" Type="http://schemas.openxmlformats.org/officeDocument/2006/relationships/oleObject" Target="embeddings/oleObject5715.bin"/><Relationship Id="rId6094" Type="http://schemas.openxmlformats.org/officeDocument/2006/relationships/oleObject" Target="embeddings/oleObject3036.bin"/><Relationship Id="rId7145" Type="http://schemas.openxmlformats.org/officeDocument/2006/relationships/oleObject" Target="embeddings/oleObject3558.bin"/><Relationship Id="rId10126" Type="http://schemas.openxmlformats.org/officeDocument/2006/relationships/oleObject" Target="embeddings/oleObject5032.bin"/><Relationship Id="rId13696" Type="http://schemas.openxmlformats.org/officeDocument/2006/relationships/oleObject" Target="embeddings/oleObject6794.bin"/><Relationship Id="rId3755" Type="http://schemas.openxmlformats.org/officeDocument/2006/relationships/oleObject" Target="embeddings/oleObject1868.bin"/><Relationship Id="rId4806" Type="http://schemas.openxmlformats.org/officeDocument/2006/relationships/image" Target="media/image2413.wmf"/><Relationship Id="rId12298" Type="http://schemas.openxmlformats.org/officeDocument/2006/relationships/oleObject" Target="embeddings/oleObject6098.bin"/><Relationship Id="rId13349" Type="http://schemas.openxmlformats.org/officeDocument/2006/relationships/oleObject" Target="embeddings/oleObject6621.bin"/><Relationship Id="rId676" Type="http://schemas.openxmlformats.org/officeDocument/2006/relationships/image" Target="media/image340.wmf"/><Relationship Id="rId2357" Type="http://schemas.openxmlformats.org/officeDocument/2006/relationships/image" Target="media/image1187.wmf"/><Relationship Id="rId3408" Type="http://schemas.openxmlformats.org/officeDocument/2006/relationships/image" Target="media/image1714.wmf"/><Relationship Id="rId329" Type="http://schemas.openxmlformats.org/officeDocument/2006/relationships/oleObject" Target="embeddings/oleObject159.bin"/><Relationship Id="rId6978" Type="http://schemas.openxmlformats.org/officeDocument/2006/relationships/oleObject" Target="embeddings/oleObject3474.bin"/><Relationship Id="rId13830" Type="http://schemas.openxmlformats.org/officeDocument/2006/relationships/oleObject" Target="embeddings/oleObject6861.bin"/><Relationship Id="rId8053" Type="http://schemas.openxmlformats.org/officeDocument/2006/relationships/oleObject" Target="embeddings/oleObject4011.bin"/><Relationship Id="rId9104" Type="http://schemas.openxmlformats.org/officeDocument/2006/relationships/oleObject" Target="embeddings/oleObject4532.bin"/><Relationship Id="rId9451" Type="http://schemas.openxmlformats.org/officeDocument/2006/relationships/oleObject" Target="embeddings/oleObject4704.bin"/><Relationship Id="rId11381" Type="http://schemas.openxmlformats.org/officeDocument/2006/relationships/image" Target="media/image5702.wmf"/><Relationship Id="rId12432" Type="http://schemas.openxmlformats.org/officeDocument/2006/relationships/oleObject" Target="embeddings/oleObject6165.bin"/><Relationship Id="rId810" Type="http://schemas.openxmlformats.org/officeDocument/2006/relationships/image" Target="media/image410.wmf"/><Relationship Id="rId1440" Type="http://schemas.openxmlformats.org/officeDocument/2006/relationships/image" Target="media/image725.wmf"/><Relationship Id="rId11034" Type="http://schemas.openxmlformats.org/officeDocument/2006/relationships/image" Target="media/image5527.wmf"/><Relationship Id="rId4663" Type="http://schemas.openxmlformats.org/officeDocument/2006/relationships/oleObject" Target="embeddings/oleObject2323.bin"/><Relationship Id="rId5714" Type="http://schemas.openxmlformats.org/officeDocument/2006/relationships/oleObject" Target="embeddings/oleObject2846.bin"/><Relationship Id="rId14257" Type="http://schemas.openxmlformats.org/officeDocument/2006/relationships/image" Target="media/image7143.wmf"/><Relationship Id="rId3265" Type="http://schemas.openxmlformats.org/officeDocument/2006/relationships/oleObject" Target="embeddings/oleObject1621.bin"/><Relationship Id="rId4316" Type="http://schemas.openxmlformats.org/officeDocument/2006/relationships/oleObject" Target="embeddings/oleObject2149.bin"/><Relationship Id="rId7886" Type="http://schemas.openxmlformats.org/officeDocument/2006/relationships/image" Target="media/image3952.wmf"/><Relationship Id="rId8937" Type="http://schemas.openxmlformats.org/officeDocument/2006/relationships/image" Target="media/image4478.wmf"/><Relationship Id="rId186" Type="http://schemas.openxmlformats.org/officeDocument/2006/relationships/image" Target="media/image92.wmf"/><Relationship Id="rId6488" Type="http://schemas.openxmlformats.org/officeDocument/2006/relationships/oleObject" Target="embeddings/oleObject3234.bin"/><Relationship Id="rId7539" Type="http://schemas.openxmlformats.org/officeDocument/2006/relationships/oleObject" Target="embeddings/oleObject3754.bin"/><Relationship Id="rId10867" Type="http://schemas.openxmlformats.org/officeDocument/2006/relationships/oleObject" Target="embeddings/oleObject5396.bin"/><Relationship Id="rId11918" Type="http://schemas.openxmlformats.org/officeDocument/2006/relationships/image" Target="media/image5972.wmf"/><Relationship Id="rId13340" Type="http://schemas.openxmlformats.org/officeDocument/2006/relationships/image" Target="media/image6685.wmf"/><Relationship Id="rId320" Type="http://schemas.openxmlformats.org/officeDocument/2006/relationships/image" Target="media/image159.wmf"/><Relationship Id="rId2001" Type="http://schemas.openxmlformats.org/officeDocument/2006/relationships/oleObject" Target="embeddings/oleObject988.bin"/><Relationship Id="rId5571" Type="http://schemas.openxmlformats.org/officeDocument/2006/relationships/image" Target="media/image2796.wmf"/><Relationship Id="rId6622" Type="http://schemas.openxmlformats.org/officeDocument/2006/relationships/oleObject" Target="embeddings/oleObject3298.bin"/><Relationship Id="rId4173" Type="http://schemas.openxmlformats.org/officeDocument/2006/relationships/image" Target="media/image2097.wmf"/><Relationship Id="rId5224" Type="http://schemas.openxmlformats.org/officeDocument/2006/relationships/oleObject" Target="embeddings/oleObject2601.bin"/><Relationship Id="rId8794" Type="http://schemas.openxmlformats.org/officeDocument/2006/relationships/oleObject" Target="embeddings/oleObject4380.bin"/><Relationship Id="rId9845" Type="http://schemas.openxmlformats.org/officeDocument/2006/relationships/image" Target="media/image4931.wmf"/><Relationship Id="rId11775" Type="http://schemas.openxmlformats.org/officeDocument/2006/relationships/oleObject" Target="embeddings/oleObject5839.bin"/><Relationship Id="rId59" Type="http://schemas.openxmlformats.org/officeDocument/2006/relationships/image" Target="media/image27.wmf"/><Relationship Id="rId1834" Type="http://schemas.openxmlformats.org/officeDocument/2006/relationships/image" Target="media/image923.wmf"/><Relationship Id="rId7396" Type="http://schemas.openxmlformats.org/officeDocument/2006/relationships/image" Target="media/image3707.wmf"/><Relationship Id="rId8447" Type="http://schemas.openxmlformats.org/officeDocument/2006/relationships/oleObject" Target="embeddings/oleObject4208.bin"/><Relationship Id="rId10377" Type="http://schemas.openxmlformats.org/officeDocument/2006/relationships/image" Target="media/image5197.wmf"/><Relationship Id="rId11428" Type="http://schemas.openxmlformats.org/officeDocument/2006/relationships/oleObject" Target="embeddings/oleObject5667.bin"/><Relationship Id="rId12826" Type="http://schemas.openxmlformats.org/officeDocument/2006/relationships/oleObject" Target="embeddings/oleObject6362.bin"/><Relationship Id="rId7049" Type="http://schemas.openxmlformats.org/officeDocument/2006/relationships/image" Target="media/image3534.wmf"/><Relationship Id="rId3659" Type="http://schemas.openxmlformats.org/officeDocument/2006/relationships/oleObject" Target="embeddings/oleObject1820.bin"/><Relationship Id="rId5081" Type="http://schemas.openxmlformats.org/officeDocument/2006/relationships/oleObject" Target="embeddings/oleObject2530.bin"/><Relationship Id="rId6132" Type="http://schemas.openxmlformats.org/officeDocument/2006/relationships/oleObject" Target="embeddings/oleObject3055.bin"/><Relationship Id="rId7530" Type="http://schemas.openxmlformats.org/officeDocument/2006/relationships/image" Target="media/image3774.wmf"/><Relationship Id="rId10511" Type="http://schemas.openxmlformats.org/officeDocument/2006/relationships/oleObject" Target="embeddings/oleObject5220.bin"/><Relationship Id="rId12683" Type="http://schemas.openxmlformats.org/officeDocument/2006/relationships/image" Target="media/image6356.wmf"/><Relationship Id="rId13734" Type="http://schemas.openxmlformats.org/officeDocument/2006/relationships/oleObject" Target="embeddings/oleObject6813.bin"/><Relationship Id="rId1691" Type="http://schemas.openxmlformats.org/officeDocument/2006/relationships/oleObject" Target="embeddings/oleObject833.bin"/><Relationship Id="rId2742" Type="http://schemas.openxmlformats.org/officeDocument/2006/relationships/image" Target="media/image1381.wmf"/><Relationship Id="rId9355" Type="http://schemas.openxmlformats.org/officeDocument/2006/relationships/oleObject" Target="embeddings/oleObject4658.bin"/><Relationship Id="rId11285" Type="http://schemas.openxmlformats.org/officeDocument/2006/relationships/image" Target="media/image5654.wmf"/><Relationship Id="rId12336" Type="http://schemas.openxmlformats.org/officeDocument/2006/relationships/oleObject" Target="embeddings/oleObject6117.bin"/><Relationship Id="rId714" Type="http://schemas.openxmlformats.org/officeDocument/2006/relationships/image" Target="media/image359.wmf"/><Relationship Id="rId1344" Type="http://schemas.openxmlformats.org/officeDocument/2006/relationships/image" Target="media/image677.wmf"/><Relationship Id="rId5965" Type="http://schemas.openxmlformats.org/officeDocument/2006/relationships/image" Target="media/image2993.wmf"/><Relationship Id="rId9008" Type="http://schemas.openxmlformats.org/officeDocument/2006/relationships/oleObject" Target="embeddings/oleObject4484.bin"/><Relationship Id="rId50" Type="http://schemas.openxmlformats.org/officeDocument/2006/relationships/oleObject" Target="embeddings/oleObject21.bin"/><Relationship Id="rId4567" Type="http://schemas.openxmlformats.org/officeDocument/2006/relationships/oleObject" Target="embeddings/oleObject2275.bin"/><Relationship Id="rId5618" Type="http://schemas.openxmlformats.org/officeDocument/2006/relationships/oleObject" Target="embeddings/oleObject2798.bin"/><Relationship Id="rId3169" Type="http://schemas.openxmlformats.org/officeDocument/2006/relationships/image" Target="media/image1594.wmf"/><Relationship Id="rId7040" Type="http://schemas.openxmlformats.org/officeDocument/2006/relationships/oleObject" Target="embeddings/oleObject3505.bin"/><Relationship Id="rId10021" Type="http://schemas.openxmlformats.org/officeDocument/2006/relationships/image" Target="media/image5019.wmf"/><Relationship Id="rId13591" Type="http://schemas.openxmlformats.org/officeDocument/2006/relationships/oleObject" Target="embeddings/oleObject6741.bin"/><Relationship Id="rId3650" Type="http://schemas.openxmlformats.org/officeDocument/2006/relationships/image" Target="media/image1836.wmf"/><Relationship Id="rId4701" Type="http://schemas.openxmlformats.org/officeDocument/2006/relationships/oleObject" Target="embeddings/oleObject2342.bin"/><Relationship Id="rId12193" Type="http://schemas.openxmlformats.org/officeDocument/2006/relationships/oleObject" Target="embeddings/oleObject6048.bin"/><Relationship Id="rId13244" Type="http://schemas.openxmlformats.org/officeDocument/2006/relationships/oleObject" Target="embeddings/oleObject6569.bin"/><Relationship Id="rId571" Type="http://schemas.openxmlformats.org/officeDocument/2006/relationships/oleObject" Target="embeddings/oleObject275.bin"/><Relationship Id="rId2252" Type="http://schemas.openxmlformats.org/officeDocument/2006/relationships/oleObject" Target="embeddings/oleObject1113.bin"/><Relationship Id="rId3303" Type="http://schemas.openxmlformats.org/officeDocument/2006/relationships/oleObject" Target="embeddings/oleObject1640.bin"/><Relationship Id="rId6873" Type="http://schemas.openxmlformats.org/officeDocument/2006/relationships/image" Target="media/image3446.wmf"/><Relationship Id="rId7924" Type="http://schemas.openxmlformats.org/officeDocument/2006/relationships/image" Target="media/image3971.wmf"/><Relationship Id="rId224" Type="http://schemas.openxmlformats.org/officeDocument/2006/relationships/image" Target="media/image111.wmf"/><Relationship Id="rId5475" Type="http://schemas.openxmlformats.org/officeDocument/2006/relationships/image" Target="media/image2748.wmf"/><Relationship Id="rId6526" Type="http://schemas.openxmlformats.org/officeDocument/2006/relationships/oleObject" Target="embeddings/oleObject3253.bin"/><Relationship Id="rId10905" Type="http://schemas.openxmlformats.org/officeDocument/2006/relationships/oleObject" Target="embeddings/oleObject5415.bin"/><Relationship Id="rId4077" Type="http://schemas.openxmlformats.org/officeDocument/2006/relationships/image" Target="media/image2049.wmf"/><Relationship Id="rId5128" Type="http://schemas.openxmlformats.org/officeDocument/2006/relationships/image" Target="media/image2574.wmf"/><Relationship Id="rId8698" Type="http://schemas.openxmlformats.org/officeDocument/2006/relationships/oleObject" Target="embeddings/oleObject4332.bin"/><Relationship Id="rId9749" Type="http://schemas.openxmlformats.org/officeDocument/2006/relationships/oleObject" Target="embeddings/oleObject4846.bin"/><Relationship Id="rId1738" Type="http://schemas.openxmlformats.org/officeDocument/2006/relationships/image" Target="media/image875.wmf"/><Relationship Id="rId11679" Type="http://schemas.openxmlformats.org/officeDocument/2006/relationships/oleObject" Target="embeddings/oleObject5791.bin"/><Relationship Id="rId14152" Type="http://schemas.openxmlformats.org/officeDocument/2006/relationships/oleObject" Target="embeddings/oleObject7022.bin"/><Relationship Id="rId3160" Type="http://schemas.openxmlformats.org/officeDocument/2006/relationships/oleObject" Target="embeddings/oleObject1568.bin"/><Relationship Id="rId4211" Type="http://schemas.openxmlformats.org/officeDocument/2006/relationships/image" Target="media/image2116.wmf"/><Relationship Id="rId7781" Type="http://schemas.openxmlformats.org/officeDocument/2006/relationships/oleObject" Target="embeddings/oleObject3875.bin"/><Relationship Id="rId8832" Type="http://schemas.openxmlformats.org/officeDocument/2006/relationships/oleObject" Target="embeddings/oleObject4399.bin"/><Relationship Id="rId10762" Type="http://schemas.openxmlformats.org/officeDocument/2006/relationships/image" Target="media/image5390.wmf"/><Relationship Id="rId11813" Type="http://schemas.openxmlformats.org/officeDocument/2006/relationships/oleObject" Target="embeddings/oleObject5858.bin"/><Relationship Id="rId6036" Type="http://schemas.openxmlformats.org/officeDocument/2006/relationships/oleObject" Target="embeddings/oleObject3007.bin"/><Relationship Id="rId6383" Type="http://schemas.openxmlformats.org/officeDocument/2006/relationships/image" Target="media/image3201.wmf"/><Relationship Id="rId7434" Type="http://schemas.openxmlformats.org/officeDocument/2006/relationships/image" Target="media/image3726.wmf"/><Relationship Id="rId10415" Type="http://schemas.openxmlformats.org/officeDocument/2006/relationships/oleObject" Target="embeddings/oleObject5174.bin"/><Relationship Id="rId13985" Type="http://schemas.openxmlformats.org/officeDocument/2006/relationships/image" Target="media/image7007.wmf"/><Relationship Id="rId2993" Type="http://schemas.openxmlformats.org/officeDocument/2006/relationships/image" Target="media/image1506.wmf"/><Relationship Id="rId12587" Type="http://schemas.openxmlformats.org/officeDocument/2006/relationships/image" Target="media/image6308.wmf"/><Relationship Id="rId13638" Type="http://schemas.openxmlformats.org/officeDocument/2006/relationships/image" Target="media/image6834.wmf"/><Relationship Id="rId965" Type="http://schemas.openxmlformats.org/officeDocument/2006/relationships/image" Target="media/image488.wmf"/><Relationship Id="rId1595" Type="http://schemas.openxmlformats.org/officeDocument/2006/relationships/oleObject" Target="embeddings/oleObject785.bin"/><Relationship Id="rId2646" Type="http://schemas.openxmlformats.org/officeDocument/2006/relationships/image" Target="media/image1333.wmf"/><Relationship Id="rId9259" Type="http://schemas.openxmlformats.org/officeDocument/2006/relationships/oleObject" Target="embeddings/oleObject4610.bin"/><Relationship Id="rId11189" Type="http://schemas.openxmlformats.org/officeDocument/2006/relationships/image" Target="media/image5606.wmf"/><Relationship Id="rId618" Type="http://schemas.openxmlformats.org/officeDocument/2006/relationships/image" Target="media/image310.wmf"/><Relationship Id="rId1248" Type="http://schemas.openxmlformats.org/officeDocument/2006/relationships/image" Target="media/image629.wmf"/><Relationship Id="rId5869" Type="http://schemas.openxmlformats.org/officeDocument/2006/relationships/image" Target="media/image2945.wmf"/><Relationship Id="rId7291" Type="http://schemas.openxmlformats.org/officeDocument/2006/relationships/oleObject" Target="embeddings/oleObject3630.bin"/><Relationship Id="rId8342" Type="http://schemas.openxmlformats.org/officeDocument/2006/relationships/image" Target="media/image4180.wmf"/><Relationship Id="rId9740" Type="http://schemas.openxmlformats.org/officeDocument/2006/relationships/image" Target="media/image4879.wmf"/><Relationship Id="rId11670" Type="http://schemas.openxmlformats.org/officeDocument/2006/relationships/oleObject" Target="embeddings/oleObject5788.bin"/><Relationship Id="rId12721" Type="http://schemas.openxmlformats.org/officeDocument/2006/relationships/image" Target="media/image6375.wmf"/><Relationship Id="rId10272" Type="http://schemas.openxmlformats.org/officeDocument/2006/relationships/oleObject" Target="embeddings/oleObject5103.bin"/><Relationship Id="rId11323" Type="http://schemas.openxmlformats.org/officeDocument/2006/relationships/image" Target="media/image5673.wmf"/><Relationship Id="rId4952" Type="http://schemas.openxmlformats.org/officeDocument/2006/relationships/image" Target="media/image2486.wmf"/><Relationship Id="rId13495" Type="http://schemas.openxmlformats.org/officeDocument/2006/relationships/oleObject" Target="embeddings/oleObject6693.bin"/><Relationship Id="rId14546" Type="http://schemas.openxmlformats.org/officeDocument/2006/relationships/oleObject" Target="embeddings/oleObject7213.bin"/><Relationship Id="rId3554" Type="http://schemas.openxmlformats.org/officeDocument/2006/relationships/image" Target="media/image1788.wmf"/><Relationship Id="rId4605" Type="http://schemas.openxmlformats.org/officeDocument/2006/relationships/oleObject" Target="embeddings/oleObject2294.bin"/><Relationship Id="rId12097" Type="http://schemas.openxmlformats.org/officeDocument/2006/relationships/oleObject" Target="embeddings/oleObject6000.bin"/><Relationship Id="rId13148" Type="http://schemas.openxmlformats.org/officeDocument/2006/relationships/oleObject" Target="embeddings/oleObject6521.bin"/><Relationship Id="rId475" Type="http://schemas.openxmlformats.org/officeDocument/2006/relationships/image" Target="media/image237.wmf"/><Relationship Id="rId2156" Type="http://schemas.openxmlformats.org/officeDocument/2006/relationships/image" Target="media/image1084.wmf"/><Relationship Id="rId3207" Type="http://schemas.openxmlformats.org/officeDocument/2006/relationships/image" Target="media/image1613.wmf"/><Relationship Id="rId6777" Type="http://schemas.openxmlformats.org/officeDocument/2006/relationships/image" Target="media/image3398.wmf"/><Relationship Id="rId7828" Type="http://schemas.openxmlformats.org/officeDocument/2006/relationships/image" Target="media/image3923.wmf"/><Relationship Id="rId128" Type="http://schemas.openxmlformats.org/officeDocument/2006/relationships/oleObject" Target="embeddings/oleObject60.bin"/><Relationship Id="rId5379" Type="http://schemas.openxmlformats.org/officeDocument/2006/relationships/image" Target="media/image2700.wmf"/><Relationship Id="rId9250" Type="http://schemas.openxmlformats.org/officeDocument/2006/relationships/image" Target="media/image4634.wmf"/><Relationship Id="rId10809" Type="http://schemas.openxmlformats.org/officeDocument/2006/relationships/oleObject" Target="embeddings/oleObject5367.bin"/><Relationship Id="rId11180" Type="http://schemas.openxmlformats.org/officeDocument/2006/relationships/oleObject" Target="embeddings/oleObject5543.bin"/><Relationship Id="rId12231" Type="http://schemas.openxmlformats.org/officeDocument/2006/relationships/oleObject" Target="embeddings/oleObject6067.bin"/><Relationship Id="rId1989" Type="http://schemas.openxmlformats.org/officeDocument/2006/relationships/oleObject" Target="embeddings/oleObject982.bin"/><Relationship Id="rId5860" Type="http://schemas.openxmlformats.org/officeDocument/2006/relationships/oleObject" Target="embeddings/oleObject2919.bin"/><Relationship Id="rId6911" Type="http://schemas.openxmlformats.org/officeDocument/2006/relationships/image" Target="media/image3465.wmf"/><Relationship Id="rId3064" Type="http://schemas.openxmlformats.org/officeDocument/2006/relationships/oleObject" Target="embeddings/oleObject1520.bin"/><Relationship Id="rId4462" Type="http://schemas.openxmlformats.org/officeDocument/2006/relationships/image" Target="media/image2241.wmf"/><Relationship Id="rId5513" Type="http://schemas.openxmlformats.org/officeDocument/2006/relationships/image" Target="media/image2767.wmf"/><Relationship Id="rId14056" Type="http://schemas.openxmlformats.org/officeDocument/2006/relationships/oleObject" Target="embeddings/oleObject6974.bin"/><Relationship Id="rId4115" Type="http://schemas.openxmlformats.org/officeDocument/2006/relationships/image" Target="media/image2068.wmf"/><Relationship Id="rId7685" Type="http://schemas.openxmlformats.org/officeDocument/2006/relationships/oleObject" Target="embeddings/oleObject3827.bin"/><Relationship Id="rId8736" Type="http://schemas.openxmlformats.org/officeDocument/2006/relationships/oleObject" Target="embeddings/oleObject4351.bin"/><Relationship Id="rId10666" Type="http://schemas.openxmlformats.org/officeDocument/2006/relationships/image" Target="media/image5342.wmf"/><Relationship Id="rId11717" Type="http://schemas.openxmlformats.org/officeDocument/2006/relationships/oleObject" Target="embeddings/oleObject5810.bin"/><Relationship Id="rId6287" Type="http://schemas.openxmlformats.org/officeDocument/2006/relationships/image" Target="media/image3154.wmf"/><Relationship Id="rId7338" Type="http://schemas.openxmlformats.org/officeDocument/2006/relationships/image" Target="media/image3678.wmf"/><Relationship Id="rId10319" Type="http://schemas.openxmlformats.org/officeDocument/2006/relationships/image" Target="media/image5168.wmf"/><Relationship Id="rId2897" Type="http://schemas.openxmlformats.org/officeDocument/2006/relationships/image" Target="media/image1458.wmf"/><Relationship Id="rId3948" Type="http://schemas.openxmlformats.org/officeDocument/2006/relationships/image" Target="media/image1985.wmf"/><Relationship Id="rId13889" Type="http://schemas.openxmlformats.org/officeDocument/2006/relationships/image" Target="media/image6959.wmf"/><Relationship Id="rId869" Type="http://schemas.openxmlformats.org/officeDocument/2006/relationships/oleObject" Target="embeddings/oleObject426.bin"/><Relationship Id="rId1499" Type="http://schemas.microsoft.com/office/2007/relationships/hdphoto" Target="media/hdphoto7.wdp"/><Relationship Id="rId5370" Type="http://schemas.openxmlformats.org/officeDocument/2006/relationships/oleObject" Target="embeddings/oleObject2674.bin"/><Relationship Id="rId6421" Type="http://schemas.openxmlformats.org/officeDocument/2006/relationships/image" Target="media/image3220.wmf"/><Relationship Id="rId10800" Type="http://schemas.openxmlformats.org/officeDocument/2006/relationships/image" Target="media/image5409.wmf"/><Relationship Id="rId5023" Type="http://schemas.openxmlformats.org/officeDocument/2006/relationships/oleObject" Target="embeddings/oleObject2501.bin"/><Relationship Id="rId9991" Type="http://schemas.openxmlformats.org/officeDocument/2006/relationships/image" Target="media/image5004.wmf"/><Relationship Id="rId12972" Type="http://schemas.openxmlformats.org/officeDocument/2006/relationships/oleObject" Target="embeddings/oleObject6435.bin"/><Relationship Id="rId1980" Type="http://schemas.openxmlformats.org/officeDocument/2006/relationships/image" Target="media/image996.wmf"/><Relationship Id="rId7195" Type="http://schemas.openxmlformats.org/officeDocument/2006/relationships/oleObject" Target="embeddings/oleObject3582.bin"/><Relationship Id="rId8246" Type="http://schemas.openxmlformats.org/officeDocument/2006/relationships/image" Target="media/image4132.wmf"/><Relationship Id="rId8593" Type="http://schemas.openxmlformats.org/officeDocument/2006/relationships/oleObject" Target="embeddings/oleObject4281.bin"/><Relationship Id="rId9644" Type="http://schemas.openxmlformats.org/officeDocument/2006/relationships/image" Target="media/image4831.wmf"/><Relationship Id="rId11574" Type="http://schemas.openxmlformats.org/officeDocument/2006/relationships/oleObject" Target="embeddings/oleObject5740.bin"/><Relationship Id="rId12625" Type="http://schemas.openxmlformats.org/officeDocument/2006/relationships/image" Target="media/image6327.wmf"/><Relationship Id="rId1633" Type="http://schemas.openxmlformats.org/officeDocument/2006/relationships/oleObject" Target="embeddings/oleObject804.bin"/><Relationship Id="rId10176" Type="http://schemas.openxmlformats.org/officeDocument/2006/relationships/oleObject" Target="embeddings/oleObject5056.bin"/><Relationship Id="rId11227" Type="http://schemas.openxmlformats.org/officeDocument/2006/relationships/image" Target="media/image5625.wmf"/><Relationship Id="rId4856" Type="http://schemas.openxmlformats.org/officeDocument/2006/relationships/image" Target="media/image2438.wmf"/><Relationship Id="rId5907" Type="http://schemas.openxmlformats.org/officeDocument/2006/relationships/image" Target="media/image2964.wmf"/><Relationship Id="rId13399" Type="http://schemas.openxmlformats.org/officeDocument/2006/relationships/oleObject" Target="embeddings/oleObject6645.bin"/><Relationship Id="rId3458" Type="http://schemas.openxmlformats.org/officeDocument/2006/relationships/image" Target="media/image1740.wmf"/><Relationship Id="rId4509" Type="http://schemas.openxmlformats.org/officeDocument/2006/relationships/oleObject" Target="embeddings/oleObject2246.bin"/><Relationship Id="rId10310" Type="http://schemas.openxmlformats.org/officeDocument/2006/relationships/oleObject" Target="embeddings/oleObject5122.bin"/><Relationship Id="rId379" Type="http://schemas.openxmlformats.org/officeDocument/2006/relationships/oleObject" Target="embeddings/oleObject184.bin"/><Relationship Id="rId13880" Type="http://schemas.openxmlformats.org/officeDocument/2006/relationships/oleObject" Target="embeddings/oleObject6886.bin"/><Relationship Id="rId1490" Type="http://schemas.openxmlformats.org/officeDocument/2006/relationships/image" Target="media/image750.wmf"/><Relationship Id="rId9154" Type="http://schemas.openxmlformats.org/officeDocument/2006/relationships/oleObject" Target="embeddings/oleObject4557.bin"/><Relationship Id="rId11084" Type="http://schemas.openxmlformats.org/officeDocument/2006/relationships/oleObject" Target="embeddings/oleObject5495.bin"/><Relationship Id="rId12482" Type="http://schemas.openxmlformats.org/officeDocument/2006/relationships/oleObject" Target="embeddings/oleObject6190.bin"/><Relationship Id="rId13533" Type="http://schemas.openxmlformats.org/officeDocument/2006/relationships/oleObject" Target="embeddings/oleObject6712.bin"/><Relationship Id="rId860" Type="http://schemas.openxmlformats.org/officeDocument/2006/relationships/image" Target="media/image435.wmf"/><Relationship Id="rId1143" Type="http://schemas.openxmlformats.org/officeDocument/2006/relationships/image" Target="media/image577.wmf"/><Relationship Id="rId2541" Type="http://schemas.openxmlformats.org/officeDocument/2006/relationships/oleObject" Target="embeddings/oleObject1258.bin"/><Relationship Id="rId12135" Type="http://schemas.openxmlformats.org/officeDocument/2006/relationships/oleObject" Target="embeddings/oleObject6019.bin"/><Relationship Id="rId513" Type="http://schemas.openxmlformats.org/officeDocument/2006/relationships/image" Target="media/image256.wmf"/><Relationship Id="rId5764" Type="http://schemas.openxmlformats.org/officeDocument/2006/relationships/oleObject" Target="embeddings/oleObject2871.bin"/><Relationship Id="rId6815" Type="http://schemas.openxmlformats.org/officeDocument/2006/relationships/image" Target="media/image3417.wmf"/><Relationship Id="rId4366" Type="http://schemas.openxmlformats.org/officeDocument/2006/relationships/image" Target="media/image2193.wmf"/><Relationship Id="rId5417" Type="http://schemas.openxmlformats.org/officeDocument/2006/relationships/image" Target="media/image2719.wmf"/><Relationship Id="rId8987" Type="http://schemas.openxmlformats.org/officeDocument/2006/relationships/image" Target="media/image4503.wmf"/><Relationship Id="rId4019" Type="http://schemas.openxmlformats.org/officeDocument/2006/relationships/image" Target="media/image2020.wmf"/><Relationship Id="rId7589" Type="http://schemas.openxmlformats.org/officeDocument/2006/relationships/oleObject" Target="embeddings/oleObject3779.bin"/><Relationship Id="rId11968" Type="http://schemas.openxmlformats.org/officeDocument/2006/relationships/image" Target="media/image5997.wmf"/><Relationship Id="rId13390" Type="http://schemas.openxmlformats.org/officeDocument/2006/relationships/image" Target="media/image6710.wmf"/><Relationship Id="rId14441" Type="http://schemas.openxmlformats.org/officeDocument/2006/relationships/image" Target="media/image7235.wmf"/><Relationship Id="rId4500" Type="http://schemas.openxmlformats.org/officeDocument/2006/relationships/image" Target="media/image2260.wmf"/><Relationship Id="rId13043" Type="http://schemas.openxmlformats.org/officeDocument/2006/relationships/image" Target="media/image6536.wmf"/><Relationship Id="rId370" Type="http://schemas.openxmlformats.org/officeDocument/2006/relationships/image" Target="media/image184.wmf"/><Relationship Id="rId2051" Type="http://schemas.openxmlformats.org/officeDocument/2006/relationships/oleObject" Target="embeddings/oleObject1013.bin"/><Relationship Id="rId3102" Type="http://schemas.openxmlformats.org/officeDocument/2006/relationships/oleObject" Target="embeddings/oleObject1539.bin"/><Relationship Id="rId5274" Type="http://schemas.openxmlformats.org/officeDocument/2006/relationships/oleObject" Target="embeddings/oleObject2626.bin"/><Relationship Id="rId6325" Type="http://schemas.openxmlformats.org/officeDocument/2006/relationships/oleObject" Target="embeddings/oleObject3152.bin"/><Relationship Id="rId6672" Type="http://schemas.openxmlformats.org/officeDocument/2006/relationships/oleObject" Target="embeddings/oleObject3323.bin"/><Relationship Id="rId7723" Type="http://schemas.openxmlformats.org/officeDocument/2006/relationships/oleObject" Target="embeddings/oleObject3846.bin"/><Relationship Id="rId10704" Type="http://schemas.openxmlformats.org/officeDocument/2006/relationships/image" Target="media/image5361.wmf"/><Relationship Id="rId9895" Type="http://schemas.openxmlformats.org/officeDocument/2006/relationships/image" Target="media/image4956.wmf"/><Relationship Id="rId12876" Type="http://schemas.openxmlformats.org/officeDocument/2006/relationships/oleObject" Target="embeddings/oleObject6387.bin"/><Relationship Id="rId13927" Type="http://schemas.openxmlformats.org/officeDocument/2006/relationships/image" Target="media/image6978.wmf"/><Relationship Id="rId1884" Type="http://schemas.openxmlformats.org/officeDocument/2006/relationships/image" Target="media/image948.wmf"/><Relationship Id="rId2935" Type="http://schemas.openxmlformats.org/officeDocument/2006/relationships/image" Target="media/image1477.wmf"/><Relationship Id="rId8497" Type="http://schemas.openxmlformats.org/officeDocument/2006/relationships/oleObject" Target="embeddings/oleObject4233.bin"/><Relationship Id="rId9548" Type="http://schemas.openxmlformats.org/officeDocument/2006/relationships/image" Target="media/image4783.wmf"/><Relationship Id="rId11478" Type="http://schemas.openxmlformats.org/officeDocument/2006/relationships/oleObject" Target="embeddings/oleObject5692.bin"/><Relationship Id="rId12529" Type="http://schemas.openxmlformats.org/officeDocument/2006/relationships/image" Target="media/image6279.wmf"/><Relationship Id="rId907" Type="http://schemas.openxmlformats.org/officeDocument/2006/relationships/oleObject" Target="embeddings/oleObject445.bin"/><Relationship Id="rId1537" Type="http://schemas.openxmlformats.org/officeDocument/2006/relationships/oleObject" Target="embeddings/oleObject755.bin"/><Relationship Id="rId7099" Type="http://schemas.openxmlformats.org/officeDocument/2006/relationships/image" Target="media/image3559.wmf"/><Relationship Id="rId4010" Type="http://schemas.openxmlformats.org/officeDocument/2006/relationships/oleObject" Target="embeddings/oleObject1996.bin"/><Relationship Id="rId7580" Type="http://schemas.openxmlformats.org/officeDocument/2006/relationships/image" Target="media/image3799.wmf"/><Relationship Id="rId8631" Type="http://schemas.openxmlformats.org/officeDocument/2006/relationships/oleObject" Target="embeddings/oleObject4300.bin"/><Relationship Id="rId6182" Type="http://schemas.openxmlformats.org/officeDocument/2006/relationships/oleObject" Target="embeddings/oleObject3080.bin"/><Relationship Id="rId7233" Type="http://schemas.openxmlformats.org/officeDocument/2006/relationships/oleObject" Target="embeddings/oleObject3601.bin"/><Relationship Id="rId10561" Type="http://schemas.openxmlformats.org/officeDocument/2006/relationships/oleObject" Target="embeddings/oleObject5245.bin"/><Relationship Id="rId11612" Type="http://schemas.openxmlformats.org/officeDocument/2006/relationships/oleObject" Target="embeddings/oleObject5759.bin"/><Relationship Id="rId10214" Type="http://schemas.openxmlformats.org/officeDocument/2006/relationships/oleObject" Target="embeddings/oleObject5074.bin"/><Relationship Id="rId13784" Type="http://schemas.openxmlformats.org/officeDocument/2006/relationships/oleObject" Target="embeddings/oleObject6838.bin"/><Relationship Id="rId2792" Type="http://schemas.openxmlformats.org/officeDocument/2006/relationships/image" Target="media/image1406.wmf"/><Relationship Id="rId3843" Type="http://schemas.openxmlformats.org/officeDocument/2006/relationships/oleObject" Target="embeddings/oleObject1912.bin"/><Relationship Id="rId9058" Type="http://schemas.openxmlformats.org/officeDocument/2006/relationships/oleObject" Target="embeddings/oleObject4509.bin"/><Relationship Id="rId12386" Type="http://schemas.openxmlformats.org/officeDocument/2006/relationships/oleObject" Target="embeddings/oleObject6142.bin"/><Relationship Id="rId13437" Type="http://schemas.openxmlformats.org/officeDocument/2006/relationships/oleObject" Target="embeddings/oleObject6664.bin"/><Relationship Id="rId764" Type="http://schemas.openxmlformats.org/officeDocument/2006/relationships/image" Target="media/image384.wmf"/><Relationship Id="rId1394" Type="http://schemas.openxmlformats.org/officeDocument/2006/relationships/image" Target="media/image702.wmf"/><Relationship Id="rId2445" Type="http://schemas.openxmlformats.org/officeDocument/2006/relationships/oleObject" Target="embeddings/oleObject1211.bin"/><Relationship Id="rId12039" Type="http://schemas.openxmlformats.org/officeDocument/2006/relationships/oleObject" Target="embeddings/oleObject5971.bin"/><Relationship Id="rId417" Type="http://schemas.openxmlformats.org/officeDocument/2006/relationships/image" Target="media/image208.wmf"/><Relationship Id="rId1047" Type="http://schemas.openxmlformats.org/officeDocument/2006/relationships/image" Target="media/image529.wmf"/><Relationship Id="rId5668" Type="http://schemas.openxmlformats.org/officeDocument/2006/relationships/oleObject" Target="embeddings/oleObject2823.bin"/><Relationship Id="rId6719" Type="http://schemas.openxmlformats.org/officeDocument/2006/relationships/image" Target="media/image3369.wmf"/><Relationship Id="rId12520" Type="http://schemas.openxmlformats.org/officeDocument/2006/relationships/oleObject" Target="embeddings/oleObject6209.bin"/><Relationship Id="rId7090" Type="http://schemas.openxmlformats.org/officeDocument/2006/relationships/oleObject" Target="embeddings/oleObject3530.bin"/><Relationship Id="rId8141" Type="http://schemas.openxmlformats.org/officeDocument/2006/relationships/oleObject" Target="embeddings/oleObject4055.bin"/><Relationship Id="rId10071" Type="http://schemas.openxmlformats.org/officeDocument/2006/relationships/image" Target="media/image5044.wmf"/><Relationship Id="rId11122" Type="http://schemas.openxmlformats.org/officeDocument/2006/relationships/oleObject" Target="embeddings/oleObject5514.bin"/><Relationship Id="rId13294" Type="http://schemas.openxmlformats.org/officeDocument/2006/relationships/oleObject" Target="embeddings/oleObject6594.bin"/><Relationship Id="rId3353" Type="http://schemas.openxmlformats.org/officeDocument/2006/relationships/oleObject" Target="embeddings/oleObject1665.bin"/><Relationship Id="rId4751" Type="http://schemas.openxmlformats.org/officeDocument/2006/relationships/oleObject" Target="embeddings/oleObject2367.bin"/><Relationship Id="rId5802" Type="http://schemas.openxmlformats.org/officeDocument/2006/relationships/oleObject" Target="embeddings/oleObject2890.bin"/><Relationship Id="rId14345" Type="http://schemas.openxmlformats.org/officeDocument/2006/relationships/image" Target="media/image7187.wmf"/><Relationship Id="rId274" Type="http://schemas.openxmlformats.org/officeDocument/2006/relationships/image" Target="media/image136.wmf"/><Relationship Id="rId3006" Type="http://schemas.openxmlformats.org/officeDocument/2006/relationships/oleObject" Target="embeddings/oleObject1491.bin"/><Relationship Id="rId4404" Type="http://schemas.openxmlformats.org/officeDocument/2006/relationships/image" Target="media/image2212.wmf"/><Relationship Id="rId7974" Type="http://schemas.openxmlformats.org/officeDocument/2006/relationships/image" Target="media/image3996.wmf"/><Relationship Id="rId10955" Type="http://schemas.openxmlformats.org/officeDocument/2006/relationships/oleObject" Target="embeddings/oleObject5433.bin"/><Relationship Id="rId6576" Type="http://schemas.openxmlformats.org/officeDocument/2006/relationships/oleObject" Target="embeddings/oleObject3275.bin"/><Relationship Id="rId7627" Type="http://schemas.openxmlformats.org/officeDocument/2006/relationships/oleObject" Target="embeddings/oleObject3798.bin"/><Relationship Id="rId10608" Type="http://schemas.openxmlformats.org/officeDocument/2006/relationships/image" Target="media/image5313.wmf"/><Relationship Id="rId5178" Type="http://schemas.openxmlformats.org/officeDocument/2006/relationships/image" Target="media/image2599.wmf"/><Relationship Id="rId6229" Type="http://schemas.openxmlformats.org/officeDocument/2006/relationships/image" Target="media/image3125.wmf"/><Relationship Id="rId9799" Type="http://schemas.openxmlformats.org/officeDocument/2006/relationships/oleObject" Target="embeddings/oleObject4871.bin"/><Relationship Id="rId12030" Type="http://schemas.openxmlformats.org/officeDocument/2006/relationships/image" Target="media/image6028.wmf"/><Relationship Id="rId1788" Type="http://schemas.openxmlformats.org/officeDocument/2006/relationships/image" Target="media/image900.wmf"/><Relationship Id="rId2839" Type="http://schemas.openxmlformats.org/officeDocument/2006/relationships/image" Target="media/image1429.wmf"/><Relationship Id="rId6710" Type="http://schemas.openxmlformats.org/officeDocument/2006/relationships/oleObject" Target="embeddings/oleObject3342.bin"/><Relationship Id="rId4261" Type="http://schemas.openxmlformats.org/officeDocument/2006/relationships/image" Target="media/image2141.wmf"/><Relationship Id="rId5312" Type="http://schemas.openxmlformats.org/officeDocument/2006/relationships/oleObject" Target="embeddings/oleObject2645.bin"/><Relationship Id="rId7484" Type="http://schemas.openxmlformats.org/officeDocument/2006/relationships/image" Target="media/image3751.wmf"/><Relationship Id="rId8535" Type="http://schemas.openxmlformats.org/officeDocument/2006/relationships/oleObject" Target="embeddings/oleObject4252.bin"/><Relationship Id="rId8882" Type="http://schemas.openxmlformats.org/officeDocument/2006/relationships/oleObject" Target="embeddings/oleObject4421.bin"/><Relationship Id="rId9933" Type="http://schemas.openxmlformats.org/officeDocument/2006/relationships/image" Target="media/image4975.png"/><Relationship Id="rId11863" Type="http://schemas.openxmlformats.org/officeDocument/2006/relationships/oleObject" Target="embeddings/oleObject5883.bin"/><Relationship Id="rId12914" Type="http://schemas.openxmlformats.org/officeDocument/2006/relationships/oleObject" Target="embeddings/oleObject6406.bin"/><Relationship Id="rId1922" Type="http://schemas.openxmlformats.org/officeDocument/2006/relationships/image" Target="media/image967.wmf"/><Relationship Id="rId6086" Type="http://schemas.openxmlformats.org/officeDocument/2006/relationships/oleObject" Target="embeddings/oleObject3032.bin"/><Relationship Id="rId7137" Type="http://schemas.openxmlformats.org/officeDocument/2006/relationships/oleObject" Target="embeddings/oleObject3554.bin"/><Relationship Id="rId10465" Type="http://schemas.openxmlformats.org/officeDocument/2006/relationships/oleObject" Target="embeddings/oleObject5199.bin"/><Relationship Id="rId11516" Type="http://schemas.openxmlformats.org/officeDocument/2006/relationships/oleObject" Target="embeddings/oleObject5711.bin"/><Relationship Id="rId10118" Type="http://schemas.openxmlformats.org/officeDocument/2006/relationships/oleObject" Target="embeddings/oleObject5028.bin"/><Relationship Id="rId13688" Type="http://schemas.openxmlformats.org/officeDocument/2006/relationships/image" Target="media/image6859.wmf"/><Relationship Id="rId2696" Type="http://schemas.openxmlformats.org/officeDocument/2006/relationships/image" Target="media/image1358.wmf"/><Relationship Id="rId3747" Type="http://schemas.openxmlformats.org/officeDocument/2006/relationships/oleObject" Target="embeddings/oleObject1864.bin"/><Relationship Id="rId668" Type="http://schemas.openxmlformats.org/officeDocument/2006/relationships/image" Target="media/image336.wmf"/><Relationship Id="rId1298" Type="http://schemas.openxmlformats.org/officeDocument/2006/relationships/image" Target="media/image654.wmf"/><Relationship Id="rId2349" Type="http://schemas.openxmlformats.org/officeDocument/2006/relationships/image" Target="media/image1183.wmf"/><Relationship Id="rId6220" Type="http://schemas.openxmlformats.org/officeDocument/2006/relationships/oleObject" Target="embeddings/oleObject3099.bin"/><Relationship Id="rId9790" Type="http://schemas.openxmlformats.org/officeDocument/2006/relationships/image" Target="media/image4904.wmf"/><Relationship Id="rId8392" Type="http://schemas.openxmlformats.org/officeDocument/2006/relationships/image" Target="media/image4205.wmf"/><Relationship Id="rId9443" Type="http://schemas.openxmlformats.org/officeDocument/2006/relationships/oleObject" Target="embeddings/oleObject4700.bin"/><Relationship Id="rId11373" Type="http://schemas.openxmlformats.org/officeDocument/2006/relationships/image" Target="media/image5698.wmf"/><Relationship Id="rId12771" Type="http://schemas.openxmlformats.org/officeDocument/2006/relationships/image" Target="media/image6400.wmf"/><Relationship Id="rId13822" Type="http://schemas.openxmlformats.org/officeDocument/2006/relationships/oleObject" Target="embeddings/oleObject6857.bin"/><Relationship Id="rId1432" Type="http://schemas.openxmlformats.org/officeDocument/2006/relationships/image" Target="media/image721.wmf"/><Relationship Id="rId2830" Type="http://schemas.openxmlformats.org/officeDocument/2006/relationships/image" Target="media/image1425.wmf"/><Relationship Id="rId8045" Type="http://schemas.openxmlformats.org/officeDocument/2006/relationships/oleObject" Target="embeddings/oleObject4007.bin"/><Relationship Id="rId11026" Type="http://schemas.openxmlformats.org/officeDocument/2006/relationships/image" Target="media/image5523.wmf"/><Relationship Id="rId12424" Type="http://schemas.openxmlformats.org/officeDocument/2006/relationships/oleObject" Target="embeddings/oleObject6161.bin"/><Relationship Id="rId802" Type="http://schemas.openxmlformats.org/officeDocument/2006/relationships/image" Target="media/image406.wmf"/><Relationship Id="rId14596" Type="http://schemas.openxmlformats.org/officeDocument/2006/relationships/fontTable" Target="fontTable.xml"/><Relationship Id="rId4655" Type="http://schemas.openxmlformats.org/officeDocument/2006/relationships/oleObject" Target="embeddings/oleObject2319.bin"/><Relationship Id="rId5706" Type="http://schemas.openxmlformats.org/officeDocument/2006/relationships/oleObject" Target="embeddings/oleObject2842.bin"/><Relationship Id="rId13198" Type="http://schemas.openxmlformats.org/officeDocument/2006/relationships/oleObject" Target="embeddings/oleObject6546.bin"/><Relationship Id="rId14249" Type="http://schemas.openxmlformats.org/officeDocument/2006/relationships/image" Target="media/image7139.wmf"/><Relationship Id="rId178" Type="http://schemas.openxmlformats.org/officeDocument/2006/relationships/image" Target="media/image88.wmf"/><Relationship Id="rId3257" Type="http://schemas.openxmlformats.org/officeDocument/2006/relationships/image" Target="media/image1638.wmf"/><Relationship Id="rId4308" Type="http://schemas.openxmlformats.org/officeDocument/2006/relationships/oleObject" Target="embeddings/oleObject2145.bin"/><Relationship Id="rId7878" Type="http://schemas.openxmlformats.org/officeDocument/2006/relationships/image" Target="media/image3948.wmf"/><Relationship Id="rId8929" Type="http://schemas.openxmlformats.org/officeDocument/2006/relationships/image" Target="media/image4474.wmf"/><Relationship Id="rId10859" Type="http://schemas.openxmlformats.org/officeDocument/2006/relationships/oleObject" Target="embeddings/oleObject5392.bin"/><Relationship Id="rId12281" Type="http://schemas.openxmlformats.org/officeDocument/2006/relationships/oleObject" Target="embeddings/oleObject6092.bin"/><Relationship Id="rId13332" Type="http://schemas.openxmlformats.org/officeDocument/2006/relationships/oleObject" Target="embeddings/oleObject6613.bin"/><Relationship Id="rId2340" Type="http://schemas.openxmlformats.org/officeDocument/2006/relationships/oleObject" Target="embeddings/oleObject1159.bin"/><Relationship Id="rId312" Type="http://schemas.openxmlformats.org/officeDocument/2006/relationships/image" Target="media/image155.wmf"/><Relationship Id="rId5563" Type="http://schemas.openxmlformats.org/officeDocument/2006/relationships/image" Target="media/image2792.wmf"/><Relationship Id="rId6961" Type="http://schemas.openxmlformats.org/officeDocument/2006/relationships/image" Target="media/image3490.wmf"/><Relationship Id="rId4165" Type="http://schemas.openxmlformats.org/officeDocument/2006/relationships/image" Target="media/image2093.wmf"/><Relationship Id="rId5216" Type="http://schemas.openxmlformats.org/officeDocument/2006/relationships/image" Target="media/image2618.wmf"/><Relationship Id="rId6614" Type="http://schemas.openxmlformats.org/officeDocument/2006/relationships/oleObject" Target="embeddings/oleObject3294.bin"/><Relationship Id="rId8786" Type="http://schemas.openxmlformats.org/officeDocument/2006/relationships/oleObject" Target="embeddings/oleObject4376.bin"/><Relationship Id="rId9837" Type="http://schemas.openxmlformats.org/officeDocument/2006/relationships/image" Target="media/image4927.wmf"/><Relationship Id="rId11767" Type="http://schemas.openxmlformats.org/officeDocument/2006/relationships/oleObject" Target="embeddings/oleObject5835.bin"/><Relationship Id="rId12818" Type="http://schemas.openxmlformats.org/officeDocument/2006/relationships/oleObject" Target="embeddings/oleObject6358.bin"/><Relationship Id="rId1826" Type="http://schemas.openxmlformats.org/officeDocument/2006/relationships/image" Target="media/image919.wmf"/><Relationship Id="rId7388" Type="http://schemas.openxmlformats.org/officeDocument/2006/relationships/image" Target="media/image3703.wmf"/><Relationship Id="rId8439" Type="http://schemas.openxmlformats.org/officeDocument/2006/relationships/oleObject" Target="embeddings/oleObject4204.bin"/><Relationship Id="rId10369" Type="http://schemas.openxmlformats.org/officeDocument/2006/relationships/image" Target="media/image5193.wmf"/><Relationship Id="rId14240" Type="http://schemas.openxmlformats.org/officeDocument/2006/relationships/oleObject" Target="embeddings/oleObject7066.bin"/><Relationship Id="rId3998" Type="http://schemas.openxmlformats.org/officeDocument/2006/relationships/oleObject" Target="embeddings/oleObject1990.bin"/><Relationship Id="rId8920" Type="http://schemas.openxmlformats.org/officeDocument/2006/relationships/oleObject" Target="embeddings/oleObject4440.bin"/><Relationship Id="rId6471" Type="http://schemas.openxmlformats.org/officeDocument/2006/relationships/image" Target="media/image3245.wmf"/><Relationship Id="rId7522" Type="http://schemas.openxmlformats.org/officeDocument/2006/relationships/image" Target="media/image3770.wmf"/><Relationship Id="rId10850" Type="http://schemas.openxmlformats.org/officeDocument/2006/relationships/image" Target="media/image5434.wmf"/><Relationship Id="rId11901" Type="http://schemas.openxmlformats.org/officeDocument/2006/relationships/oleObject" Target="embeddings/oleObject5902.bin"/><Relationship Id="rId5073" Type="http://schemas.openxmlformats.org/officeDocument/2006/relationships/oleObject" Target="embeddings/oleObject2526.bin"/><Relationship Id="rId6124" Type="http://schemas.openxmlformats.org/officeDocument/2006/relationships/oleObject" Target="embeddings/oleObject3051.bin"/><Relationship Id="rId9694" Type="http://schemas.openxmlformats.org/officeDocument/2006/relationships/image" Target="media/image4856.wmf"/><Relationship Id="rId10503" Type="http://schemas.openxmlformats.org/officeDocument/2006/relationships/oleObject" Target="embeddings/oleObject5216.bin"/><Relationship Id="rId8296" Type="http://schemas.openxmlformats.org/officeDocument/2006/relationships/image" Target="media/image4157.wmf"/><Relationship Id="rId9347" Type="http://schemas.openxmlformats.org/officeDocument/2006/relationships/oleObject" Target="embeddings/oleObject4654.bin"/><Relationship Id="rId12675" Type="http://schemas.openxmlformats.org/officeDocument/2006/relationships/image" Target="media/image6352.wmf"/><Relationship Id="rId13726" Type="http://schemas.openxmlformats.org/officeDocument/2006/relationships/oleObject" Target="embeddings/oleObject6809.bin"/><Relationship Id="rId1683" Type="http://schemas.openxmlformats.org/officeDocument/2006/relationships/oleObject" Target="embeddings/oleObject829.bin"/><Relationship Id="rId2734" Type="http://schemas.openxmlformats.org/officeDocument/2006/relationships/image" Target="media/image1377.wmf"/><Relationship Id="rId11277" Type="http://schemas.openxmlformats.org/officeDocument/2006/relationships/image" Target="media/image5650.wmf"/><Relationship Id="rId12328" Type="http://schemas.openxmlformats.org/officeDocument/2006/relationships/oleObject" Target="embeddings/oleObject6113.bin"/><Relationship Id="rId706" Type="http://schemas.openxmlformats.org/officeDocument/2006/relationships/image" Target="media/image355.wmf"/><Relationship Id="rId1336" Type="http://schemas.openxmlformats.org/officeDocument/2006/relationships/image" Target="media/image673.wmf"/><Relationship Id="rId5957" Type="http://schemas.openxmlformats.org/officeDocument/2006/relationships/image" Target="media/image2989.wmf"/><Relationship Id="rId42" Type="http://schemas.openxmlformats.org/officeDocument/2006/relationships/oleObject" Target="embeddings/oleObject17.bin"/><Relationship Id="rId4559" Type="http://schemas.openxmlformats.org/officeDocument/2006/relationships/oleObject" Target="embeddings/oleObject2271.bin"/><Relationship Id="rId8430" Type="http://schemas.openxmlformats.org/officeDocument/2006/relationships/image" Target="media/image4224.wmf"/><Relationship Id="rId10360" Type="http://schemas.openxmlformats.org/officeDocument/2006/relationships/oleObject" Target="embeddings/oleObject5147.bin"/><Relationship Id="rId11411" Type="http://schemas.openxmlformats.org/officeDocument/2006/relationships/image" Target="media/image5717.wmf"/><Relationship Id="rId3575" Type="http://schemas.openxmlformats.org/officeDocument/2006/relationships/oleObject" Target="embeddings/oleObject1778.bin"/><Relationship Id="rId4626" Type="http://schemas.openxmlformats.org/officeDocument/2006/relationships/image" Target="media/image2323.wmf"/><Relationship Id="rId7032" Type="http://schemas.openxmlformats.org/officeDocument/2006/relationships/oleObject" Target="embeddings/oleObject3501.bin"/><Relationship Id="rId10013" Type="http://schemas.openxmlformats.org/officeDocument/2006/relationships/image" Target="media/image5015.wmf"/><Relationship Id="rId13169" Type="http://schemas.openxmlformats.org/officeDocument/2006/relationships/image" Target="media/image6599.wmf"/><Relationship Id="rId13583" Type="http://schemas.openxmlformats.org/officeDocument/2006/relationships/oleObject" Target="embeddings/oleObject6737.bin"/><Relationship Id="rId496" Type="http://schemas.openxmlformats.org/officeDocument/2006/relationships/oleObject" Target="embeddings/oleObject239.bin"/><Relationship Id="rId2177" Type="http://schemas.openxmlformats.org/officeDocument/2006/relationships/oleObject" Target="embeddings/oleObject1076.bin"/><Relationship Id="rId2591" Type="http://schemas.openxmlformats.org/officeDocument/2006/relationships/oleObject" Target="embeddings/oleObject1283.bin"/><Relationship Id="rId3228" Type="http://schemas.openxmlformats.org/officeDocument/2006/relationships/oleObject" Target="embeddings/oleObject1602.bin"/><Relationship Id="rId3642" Type="http://schemas.openxmlformats.org/officeDocument/2006/relationships/image" Target="media/image1832.wmf"/><Relationship Id="rId6798" Type="http://schemas.openxmlformats.org/officeDocument/2006/relationships/oleObject" Target="embeddings/oleObject3386.bin"/><Relationship Id="rId7849" Type="http://schemas.openxmlformats.org/officeDocument/2006/relationships/oleObject" Target="embeddings/oleObject3909.bin"/><Relationship Id="rId12185" Type="http://schemas.openxmlformats.org/officeDocument/2006/relationships/oleObject" Target="embeddings/oleObject6044.bin"/><Relationship Id="rId13236" Type="http://schemas.openxmlformats.org/officeDocument/2006/relationships/oleObject" Target="embeddings/oleObject6565.bin"/><Relationship Id="rId149" Type="http://schemas.openxmlformats.org/officeDocument/2006/relationships/oleObject" Target="embeddings/oleObject69.bin"/><Relationship Id="rId563" Type="http://schemas.openxmlformats.org/officeDocument/2006/relationships/oleObject" Target="embeddings/oleObject271.bin"/><Relationship Id="rId1193" Type="http://schemas.openxmlformats.org/officeDocument/2006/relationships/oleObject" Target="embeddings/oleObject587.bin"/><Relationship Id="rId2244" Type="http://schemas.openxmlformats.org/officeDocument/2006/relationships/oleObject" Target="embeddings/oleObject1109.bin"/><Relationship Id="rId9271" Type="http://schemas.openxmlformats.org/officeDocument/2006/relationships/oleObject" Target="embeddings/oleObject4616.bin"/><Relationship Id="rId13650" Type="http://schemas.openxmlformats.org/officeDocument/2006/relationships/image" Target="media/image6840.wmf"/><Relationship Id="rId216" Type="http://schemas.openxmlformats.org/officeDocument/2006/relationships/image" Target="media/image107.wmf"/><Relationship Id="rId1260" Type="http://schemas.openxmlformats.org/officeDocument/2006/relationships/image" Target="media/image635.wmf"/><Relationship Id="rId6865" Type="http://schemas.openxmlformats.org/officeDocument/2006/relationships/image" Target="media/image3442.wmf"/><Relationship Id="rId7916" Type="http://schemas.openxmlformats.org/officeDocument/2006/relationships/image" Target="media/image3967.wmf"/><Relationship Id="rId12252" Type="http://schemas.openxmlformats.org/officeDocument/2006/relationships/image" Target="media/image6139.wmf"/><Relationship Id="rId13303" Type="http://schemas.openxmlformats.org/officeDocument/2006/relationships/image" Target="media/image6666.wmf"/><Relationship Id="rId630" Type="http://schemas.openxmlformats.org/officeDocument/2006/relationships/image" Target="media/image316.wmf"/><Relationship Id="rId2311" Type="http://schemas.openxmlformats.org/officeDocument/2006/relationships/image" Target="media/image1164.wmf"/><Relationship Id="rId4069" Type="http://schemas.openxmlformats.org/officeDocument/2006/relationships/image" Target="media/image2045.wmf"/><Relationship Id="rId5467" Type="http://schemas.openxmlformats.org/officeDocument/2006/relationships/image" Target="media/image2744.wmf"/><Relationship Id="rId5881" Type="http://schemas.openxmlformats.org/officeDocument/2006/relationships/image" Target="media/image2951.wmf"/><Relationship Id="rId6518" Type="http://schemas.openxmlformats.org/officeDocument/2006/relationships/oleObject" Target="embeddings/oleObject3249.bin"/><Relationship Id="rId6932" Type="http://schemas.openxmlformats.org/officeDocument/2006/relationships/oleObject" Target="embeddings/oleObject3451.bin"/><Relationship Id="rId4483" Type="http://schemas.openxmlformats.org/officeDocument/2006/relationships/oleObject" Target="embeddings/oleObject2233.bin"/><Relationship Id="rId5534" Type="http://schemas.openxmlformats.org/officeDocument/2006/relationships/oleObject" Target="embeddings/oleObject2756.bin"/><Relationship Id="rId14077" Type="http://schemas.openxmlformats.org/officeDocument/2006/relationships/image" Target="media/image7053.wmf"/><Relationship Id="rId14491" Type="http://schemas.openxmlformats.org/officeDocument/2006/relationships/image" Target="media/image7260.wmf"/><Relationship Id="rId3085" Type="http://schemas.openxmlformats.org/officeDocument/2006/relationships/image" Target="media/image1552.wmf"/><Relationship Id="rId4136" Type="http://schemas.openxmlformats.org/officeDocument/2006/relationships/oleObject" Target="embeddings/oleObject2059.bin"/><Relationship Id="rId4550" Type="http://schemas.openxmlformats.org/officeDocument/2006/relationships/image" Target="media/image2285.wmf"/><Relationship Id="rId5601" Type="http://schemas.openxmlformats.org/officeDocument/2006/relationships/image" Target="media/image2811.wmf"/><Relationship Id="rId8757" Type="http://schemas.openxmlformats.org/officeDocument/2006/relationships/image" Target="media/image4388.wmf"/><Relationship Id="rId9808" Type="http://schemas.openxmlformats.org/officeDocument/2006/relationships/image" Target="media/image4913.wmf"/><Relationship Id="rId10687" Type="http://schemas.openxmlformats.org/officeDocument/2006/relationships/oleObject" Target="embeddings/oleObject5308.bin"/><Relationship Id="rId13093" Type="http://schemas.openxmlformats.org/officeDocument/2006/relationships/image" Target="media/image6561.wmf"/><Relationship Id="rId14144" Type="http://schemas.openxmlformats.org/officeDocument/2006/relationships/oleObject" Target="embeddings/oleObject7018.bin"/><Relationship Id="rId3152" Type="http://schemas.openxmlformats.org/officeDocument/2006/relationships/oleObject" Target="embeddings/oleObject1564.bin"/><Relationship Id="rId4203" Type="http://schemas.openxmlformats.org/officeDocument/2006/relationships/image" Target="media/image2112.wmf"/><Relationship Id="rId7359" Type="http://schemas.openxmlformats.org/officeDocument/2006/relationships/oleObject" Target="embeddings/oleObject3664.bin"/><Relationship Id="rId7773" Type="http://schemas.openxmlformats.org/officeDocument/2006/relationships/oleObject" Target="embeddings/oleObject3871.bin"/><Relationship Id="rId8824" Type="http://schemas.openxmlformats.org/officeDocument/2006/relationships/oleObject" Target="embeddings/oleObject4395.bin"/><Relationship Id="rId11738" Type="http://schemas.openxmlformats.org/officeDocument/2006/relationships/image" Target="media/image5882.wmf"/><Relationship Id="rId13160" Type="http://schemas.openxmlformats.org/officeDocument/2006/relationships/oleObject" Target="embeddings/oleObject6527.bin"/><Relationship Id="rId14211" Type="http://schemas.openxmlformats.org/officeDocument/2006/relationships/image" Target="media/image7120.wmf"/><Relationship Id="rId6375" Type="http://schemas.openxmlformats.org/officeDocument/2006/relationships/image" Target="media/image3197.wmf"/><Relationship Id="rId7426" Type="http://schemas.openxmlformats.org/officeDocument/2006/relationships/image" Target="media/image3722.wmf"/><Relationship Id="rId10754" Type="http://schemas.openxmlformats.org/officeDocument/2006/relationships/image" Target="media/image5386.wmf"/><Relationship Id="rId11805" Type="http://schemas.openxmlformats.org/officeDocument/2006/relationships/oleObject" Target="embeddings/oleObject5854.bin"/><Relationship Id="rId140" Type="http://schemas.openxmlformats.org/officeDocument/2006/relationships/image" Target="media/image68.emf"/><Relationship Id="rId3969" Type="http://schemas.openxmlformats.org/officeDocument/2006/relationships/image" Target="media/image1995.wmf"/><Relationship Id="rId5391" Type="http://schemas.openxmlformats.org/officeDocument/2006/relationships/image" Target="media/image2706.wmf"/><Relationship Id="rId6028" Type="http://schemas.openxmlformats.org/officeDocument/2006/relationships/oleObject" Target="embeddings/oleObject3003.bin"/><Relationship Id="rId7840" Type="http://schemas.openxmlformats.org/officeDocument/2006/relationships/image" Target="media/image3929.wmf"/><Relationship Id="rId9598" Type="http://schemas.openxmlformats.org/officeDocument/2006/relationships/image" Target="media/image4808.wmf"/><Relationship Id="rId10407" Type="http://schemas.openxmlformats.org/officeDocument/2006/relationships/image" Target="media/image5212.wmf"/><Relationship Id="rId10821" Type="http://schemas.openxmlformats.org/officeDocument/2006/relationships/oleObject" Target="embeddings/oleObject5373.bin"/><Relationship Id="rId13977" Type="http://schemas.openxmlformats.org/officeDocument/2006/relationships/image" Target="media/image7003.wmf"/><Relationship Id="rId6" Type="http://schemas.openxmlformats.org/officeDocument/2006/relationships/footnotes" Target="footnotes.xml"/><Relationship Id="rId2985" Type="http://schemas.openxmlformats.org/officeDocument/2006/relationships/image" Target="media/image1502.wmf"/><Relationship Id="rId5044" Type="http://schemas.openxmlformats.org/officeDocument/2006/relationships/image" Target="media/image2532.wmf"/><Relationship Id="rId6442" Type="http://schemas.openxmlformats.org/officeDocument/2006/relationships/oleObject" Target="embeddings/oleObject3211.bin"/><Relationship Id="rId12579" Type="http://schemas.openxmlformats.org/officeDocument/2006/relationships/image" Target="media/image6304.wmf"/><Relationship Id="rId12993" Type="http://schemas.openxmlformats.org/officeDocument/2006/relationships/image" Target="media/image6511.wmf"/><Relationship Id="rId957" Type="http://schemas.openxmlformats.org/officeDocument/2006/relationships/image" Target="media/image484.wmf"/><Relationship Id="rId1587" Type="http://schemas.openxmlformats.org/officeDocument/2006/relationships/oleObject" Target="embeddings/oleObject781.bin"/><Relationship Id="rId2638" Type="http://schemas.openxmlformats.org/officeDocument/2006/relationships/image" Target="media/image1329.wmf"/><Relationship Id="rId9665" Type="http://schemas.openxmlformats.org/officeDocument/2006/relationships/oleObject" Target="embeddings/oleObject4811.bin"/><Relationship Id="rId11595" Type="http://schemas.openxmlformats.org/officeDocument/2006/relationships/image" Target="media/image5809.wmf"/><Relationship Id="rId12646" Type="http://schemas.openxmlformats.org/officeDocument/2006/relationships/oleObject" Target="embeddings/oleObject6272.bin"/><Relationship Id="rId1654" Type="http://schemas.openxmlformats.org/officeDocument/2006/relationships/image" Target="media/image833.wmf"/><Relationship Id="rId2705" Type="http://schemas.openxmlformats.org/officeDocument/2006/relationships/oleObject" Target="embeddings/oleObject1340.bin"/><Relationship Id="rId4060" Type="http://schemas.openxmlformats.org/officeDocument/2006/relationships/oleObject" Target="embeddings/oleObject2021.bin"/><Relationship Id="rId5111" Type="http://schemas.openxmlformats.org/officeDocument/2006/relationships/oleObject" Target="embeddings/oleObject2545.bin"/><Relationship Id="rId8267" Type="http://schemas.openxmlformats.org/officeDocument/2006/relationships/oleObject" Target="embeddings/oleObject4118.bin"/><Relationship Id="rId8681" Type="http://schemas.openxmlformats.org/officeDocument/2006/relationships/image" Target="media/image4350.wmf"/><Relationship Id="rId9318" Type="http://schemas.openxmlformats.org/officeDocument/2006/relationships/image" Target="media/image4668.wmf"/><Relationship Id="rId9732" Type="http://schemas.openxmlformats.org/officeDocument/2006/relationships/image" Target="media/image4875.wmf"/><Relationship Id="rId10197" Type="http://schemas.openxmlformats.org/officeDocument/2006/relationships/image" Target="media/image5107.wmf"/><Relationship Id="rId11248" Type="http://schemas.openxmlformats.org/officeDocument/2006/relationships/oleObject" Target="embeddings/oleObject5577.bin"/><Relationship Id="rId11662" Type="http://schemas.openxmlformats.org/officeDocument/2006/relationships/oleObject" Target="embeddings/oleObject5784.bin"/><Relationship Id="rId1307" Type="http://schemas.openxmlformats.org/officeDocument/2006/relationships/oleObject" Target="embeddings/oleObject643.bin"/><Relationship Id="rId1721" Type="http://schemas.openxmlformats.org/officeDocument/2006/relationships/oleObject" Target="embeddings/oleObject848.bin"/><Relationship Id="rId4877" Type="http://schemas.openxmlformats.org/officeDocument/2006/relationships/oleObject" Target="embeddings/oleObject2429.bin"/><Relationship Id="rId5928" Type="http://schemas.openxmlformats.org/officeDocument/2006/relationships/oleObject" Target="embeddings/oleObject2953.bin"/><Relationship Id="rId7283" Type="http://schemas.openxmlformats.org/officeDocument/2006/relationships/oleObject" Target="embeddings/oleObject3626.bin"/><Relationship Id="rId8334" Type="http://schemas.openxmlformats.org/officeDocument/2006/relationships/image" Target="media/image4176.wmf"/><Relationship Id="rId10264" Type="http://schemas.openxmlformats.org/officeDocument/2006/relationships/oleObject" Target="embeddings/oleObject5099.bin"/><Relationship Id="rId11315" Type="http://schemas.openxmlformats.org/officeDocument/2006/relationships/image" Target="media/image5669.wmf"/><Relationship Id="rId12713" Type="http://schemas.openxmlformats.org/officeDocument/2006/relationships/image" Target="media/image6371.wmf"/><Relationship Id="rId13" Type="http://schemas.openxmlformats.org/officeDocument/2006/relationships/image" Target="media/image4.wmf"/><Relationship Id="rId3479" Type="http://schemas.openxmlformats.org/officeDocument/2006/relationships/oleObject" Target="embeddings/oleObject1730.bin"/><Relationship Id="rId7350" Type="http://schemas.openxmlformats.org/officeDocument/2006/relationships/image" Target="media/image3684.wmf"/><Relationship Id="rId8401" Type="http://schemas.openxmlformats.org/officeDocument/2006/relationships/oleObject" Target="embeddings/oleObject4185.bin"/><Relationship Id="rId2495" Type="http://schemas.openxmlformats.org/officeDocument/2006/relationships/oleObject" Target="embeddings/oleObject1235.bin"/><Relationship Id="rId3893" Type="http://schemas.openxmlformats.org/officeDocument/2006/relationships/oleObject" Target="embeddings/oleObject1937.bin"/><Relationship Id="rId4944" Type="http://schemas.openxmlformats.org/officeDocument/2006/relationships/image" Target="media/image2482.wmf"/><Relationship Id="rId7003" Type="http://schemas.openxmlformats.org/officeDocument/2006/relationships/image" Target="media/image3511.wmf"/><Relationship Id="rId10331" Type="http://schemas.openxmlformats.org/officeDocument/2006/relationships/image" Target="media/image5174.wmf"/><Relationship Id="rId12089" Type="http://schemas.openxmlformats.org/officeDocument/2006/relationships/oleObject" Target="embeddings/oleObject5996.bin"/><Relationship Id="rId13487" Type="http://schemas.openxmlformats.org/officeDocument/2006/relationships/oleObject" Target="embeddings/oleObject6689.bin"/><Relationship Id="rId14538" Type="http://schemas.openxmlformats.org/officeDocument/2006/relationships/oleObject" Target="embeddings/oleObject7209.bin"/><Relationship Id="rId467" Type="http://schemas.openxmlformats.org/officeDocument/2006/relationships/image" Target="media/image233.wmf"/><Relationship Id="rId1097" Type="http://schemas.openxmlformats.org/officeDocument/2006/relationships/image" Target="media/image554.wmf"/><Relationship Id="rId2148" Type="http://schemas.openxmlformats.org/officeDocument/2006/relationships/image" Target="media/image1080.wmf"/><Relationship Id="rId3546" Type="http://schemas.openxmlformats.org/officeDocument/2006/relationships/image" Target="media/image1784.wmf"/><Relationship Id="rId3960" Type="http://schemas.openxmlformats.org/officeDocument/2006/relationships/oleObject" Target="embeddings/oleObject1971.bin"/><Relationship Id="rId9175" Type="http://schemas.openxmlformats.org/officeDocument/2006/relationships/oleObject" Target="embeddings/oleObject4568.bin"/><Relationship Id="rId13554" Type="http://schemas.openxmlformats.org/officeDocument/2006/relationships/image" Target="media/image6792.wmf"/><Relationship Id="rId881" Type="http://schemas.openxmlformats.org/officeDocument/2006/relationships/oleObject" Target="embeddings/oleObject432.bin"/><Relationship Id="rId2562" Type="http://schemas.openxmlformats.org/officeDocument/2006/relationships/image" Target="media/image1291.wmf"/><Relationship Id="rId3613" Type="http://schemas.openxmlformats.org/officeDocument/2006/relationships/oleObject" Target="embeddings/oleObject1797.bin"/><Relationship Id="rId6769" Type="http://schemas.openxmlformats.org/officeDocument/2006/relationships/image" Target="media/image3394.wmf"/><Relationship Id="rId12156" Type="http://schemas.openxmlformats.org/officeDocument/2006/relationships/image" Target="media/image6091.wmf"/><Relationship Id="rId12570" Type="http://schemas.openxmlformats.org/officeDocument/2006/relationships/oleObject" Target="embeddings/oleObject6234.bin"/><Relationship Id="rId13207" Type="http://schemas.openxmlformats.org/officeDocument/2006/relationships/image" Target="media/image6618.wmf"/><Relationship Id="rId13621" Type="http://schemas.openxmlformats.org/officeDocument/2006/relationships/oleObject" Target="embeddings/oleObject6756.bin"/><Relationship Id="rId534" Type="http://schemas.openxmlformats.org/officeDocument/2006/relationships/oleObject" Target="embeddings/oleObject258.bin"/><Relationship Id="rId1164" Type="http://schemas.openxmlformats.org/officeDocument/2006/relationships/oleObject" Target="embeddings/oleObject572.bin"/><Relationship Id="rId2215" Type="http://schemas.openxmlformats.org/officeDocument/2006/relationships/oleObject" Target="embeddings/oleObject1095.bin"/><Relationship Id="rId5785" Type="http://schemas.openxmlformats.org/officeDocument/2006/relationships/image" Target="media/image2903.wmf"/><Relationship Id="rId6836" Type="http://schemas.openxmlformats.org/officeDocument/2006/relationships/oleObject" Target="embeddings/oleObject3403.bin"/><Relationship Id="rId8191" Type="http://schemas.openxmlformats.org/officeDocument/2006/relationships/oleObject" Target="embeddings/oleObject4080.bin"/><Relationship Id="rId9242" Type="http://schemas.openxmlformats.org/officeDocument/2006/relationships/image" Target="media/image4630.wmf"/><Relationship Id="rId11172" Type="http://schemas.openxmlformats.org/officeDocument/2006/relationships/oleObject" Target="embeddings/oleObject5539.bin"/><Relationship Id="rId12223" Type="http://schemas.openxmlformats.org/officeDocument/2006/relationships/oleObject" Target="embeddings/oleObject6063.bin"/><Relationship Id="rId601" Type="http://schemas.openxmlformats.org/officeDocument/2006/relationships/oleObject" Target="embeddings/oleObject290.bin"/><Relationship Id="rId1231" Type="http://schemas.openxmlformats.org/officeDocument/2006/relationships/oleObject" Target="embeddings/oleObject606.bin"/><Relationship Id="rId4387" Type="http://schemas.openxmlformats.org/officeDocument/2006/relationships/oleObject" Target="embeddings/oleObject2185.bin"/><Relationship Id="rId5438" Type="http://schemas.openxmlformats.org/officeDocument/2006/relationships/oleObject" Target="embeddings/oleObject2708.bin"/><Relationship Id="rId5852" Type="http://schemas.openxmlformats.org/officeDocument/2006/relationships/oleObject" Target="embeddings/oleObject2915.bin"/><Relationship Id="rId14395" Type="http://schemas.openxmlformats.org/officeDocument/2006/relationships/image" Target="media/image7212.wmf"/><Relationship Id="rId4454" Type="http://schemas.openxmlformats.org/officeDocument/2006/relationships/image" Target="media/image2237.wmf"/><Relationship Id="rId5505" Type="http://schemas.openxmlformats.org/officeDocument/2006/relationships/image" Target="media/image2763.wmf"/><Relationship Id="rId6903" Type="http://schemas.openxmlformats.org/officeDocument/2006/relationships/image" Target="media/image3461.wmf"/><Relationship Id="rId11989" Type="http://schemas.openxmlformats.org/officeDocument/2006/relationships/oleObject" Target="embeddings/oleObject5946.bin"/><Relationship Id="rId14048" Type="http://schemas.openxmlformats.org/officeDocument/2006/relationships/oleObject" Target="embeddings/oleObject6970.bin"/><Relationship Id="rId3056" Type="http://schemas.openxmlformats.org/officeDocument/2006/relationships/oleObject" Target="embeddings/oleObject1516.bin"/><Relationship Id="rId3470" Type="http://schemas.openxmlformats.org/officeDocument/2006/relationships/image" Target="media/image1746.wmf"/><Relationship Id="rId4107" Type="http://schemas.openxmlformats.org/officeDocument/2006/relationships/image" Target="media/image2064.wmf"/><Relationship Id="rId13064" Type="http://schemas.openxmlformats.org/officeDocument/2006/relationships/oleObject" Target="embeddings/oleObject6479.bin"/><Relationship Id="rId14462" Type="http://schemas.openxmlformats.org/officeDocument/2006/relationships/oleObject" Target="embeddings/oleObject7171.bin"/><Relationship Id="rId391" Type="http://schemas.openxmlformats.org/officeDocument/2006/relationships/image" Target="media/image195.wmf"/><Relationship Id="rId2072" Type="http://schemas.openxmlformats.org/officeDocument/2006/relationships/image" Target="media/image1042.wmf"/><Relationship Id="rId3123" Type="http://schemas.openxmlformats.org/officeDocument/2006/relationships/image" Target="media/image1571.wmf"/><Relationship Id="rId4521" Type="http://schemas.openxmlformats.org/officeDocument/2006/relationships/oleObject" Target="embeddings/oleObject2252.bin"/><Relationship Id="rId6279" Type="http://schemas.openxmlformats.org/officeDocument/2006/relationships/image" Target="media/image3150.wmf"/><Relationship Id="rId7677" Type="http://schemas.openxmlformats.org/officeDocument/2006/relationships/oleObject" Target="embeddings/oleObject3823.bin"/><Relationship Id="rId8728" Type="http://schemas.openxmlformats.org/officeDocument/2006/relationships/oleObject" Target="embeddings/oleObject4347.bin"/><Relationship Id="rId10658" Type="http://schemas.openxmlformats.org/officeDocument/2006/relationships/image" Target="media/image5338.wmf"/><Relationship Id="rId11709" Type="http://schemas.openxmlformats.org/officeDocument/2006/relationships/oleObject" Target="embeddings/oleObject5806.bin"/><Relationship Id="rId14115" Type="http://schemas.openxmlformats.org/officeDocument/2006/relationships/image" Target="media/image7072.wmf"/><Relationship Id="rId6693" Type="http://schemas.openxmlformats.org/officeDocument/2006/relationships/image" Target="media/image3356.wmf"/><Relationship Id="rId7744" Type="http://schemas.openxmlformats.org/officeDocument/2006/relationships/image" Target="media/image3881.wmf"/><Relationship Id="rId10725" Type="http://schemas.openxmlformats.org/officeDocument/2006/relationships/oleObject" Target="embeddings/oleObject5325.bin"/><Relationship Id="rId12080" Type="http://schemas.openxmlformats.org/officeDocument/2006/relationships/image" Target="media/image6053.wmf"/><Relationship Id="rId13131" Type="http://schemas.openxmlformats.org/officeDocument/2006/relationships/image" Target="media/image6580.wmf"/><Relationship Id="rId2889" Type="http://schemas.openxmlformats.org/officeDocument/2006/relationships/image" Target="media/image1454.wmf"/><Relationship Id="rId5295" Type="http://schemas.openxmlformats.org/officeDocument/2006/relationships/image" Target="media/image2658.wmf"/><Relationship Id="rId6346" Type="http://schemas.openxmlformats.org/officeDocument/2006/relationships/oleObject" Target="embeddings/oleObject3163.bin"/><Relationship Id="rId6760" Type="http://schemas.openxmlformats.org/officeDocument/2006/relationships/oleObject" Target="embeddings/oleObject3367.bin"/><Relationship Id="rId7811" Type="http://schemas.openxmlformats.org/officeDocument/2006/relationships/oleObject" Target="embeddings/oleObject3890.bin"/><Relationship Id="rId12897" Type="http://schemas.openxmlformats.org/officeDocument/2006/relationships/image" Target="media/image6463.wmf"/><Relationship Id="rId111" Type="http://schemas.openxmlformats.org/officeDocument/2006/relationships/image" Target="media/image53.wmf"/><Relationship Id="rId2956" Type="http://schemas.openxmlformats.org/officeDocument/2006/relationships/oleObject" Target="embeddings/oleObject1466.bin"/><Relationship Id="rId5362" Type="http://schemas.openxmlformats.org/officeDocument/2006/relationships/oleObject" Target="embeddings/oleObject2670.bin"/><Relationship Id="rId6413" Type="http://schemas.openxmlformats.org/officeDocument/2006/relationships/image" Target="media/image3216.wmf"/><Relationship Id="rId9569" Type="http://schemas.openxmlformats.org/officeDocument/2006/relationships/oleObject" Target="embeddings/oleObject4763.bin"/><Relationship Id="rId9983" Type="http://schemas.openxmlformats.org/officeDocument/2006/relationships/image" Target="media/image5000.png"/><Relationship Id="rId11499" Type="http://schemas.openxmlformats.org/officeDocument/2006/relationships/image" Target="media/image5761.wmf"/><Relationship Id="rId13948" Type="http://schemas.openxmlformats.org/officeDocument/2006/relationships/oleObject" Target="embeddings/oleObject6920.bin"/><Relationship Id="rId928" Type="http://schemas.openxmlformats.org/officeDocument/2006/relationships/oleObject" Target="embeddings/oleObject455.bin"/><Relationship Id="rId1558" Type="http://schemas.openxmlformats.org/officeDocument/2006/relationships/image" Target="media/image784.wmf"/><Relationship Id="rId2609" Type="http://schemas.openxmlformats.org/officeDocument/2006/relationships/oleObject" Target="embeddings/oleObject1292.bin"/><Relationship Id="rId5015" Type="http://schemas.openxmlformats.org/officeDocument/2006/relationships/oleObject" Target="embeddings/oleObject2497.bin"/><Relationship Id="rId8585" Type="http://schemas.openxmlformats.org/officeDocument/2006/relationships/oleObject" Target="embeddings/oleObject4277.bin"/><Relationship Id="rId9636" Type="http://schemas.openxmlformats.org/officeDocument/2006/relationships/image" Target="media/image4827.wmf"/><Relationship Id="rId12964" Type="http://schemas.openxmlformats.org/officeDocument/2006/relationships/oleObject" Target="embeddings/oleObject6431.bin"/><Relationship Id="rId1972" Type="http://schemas.openxmlformats.org/officeDocument/2006/relationships/image" Target="media/image992.wmf"/><Relationship Id="rId4031" Type="http://schemas.openxmlformats.org/officeDocument/2006/relationships/image" Target="media/image2026.wmf"/><Relationship Id="rId7187" Type="http://schemas.openxmlformats.org/officeDocument/2006/relationships/oleObject" Target="embeddings/oleObject3578.bin"/><Relationship Id="rId8238" Type="http://schemas.openxmlformats.org/officeDocument/2006/relationships/image" Target="media/image4128.wmf"/><Relationship Id="rId10168" Type="http://schemas.openxmlformats.org/officeDocument/2006/relationships/oleObject" Target="embeddings/oleObject5053.bin"/><Relationship Id="rId11566" Type="http://schemas.openxmlformats.org/officeDocument/2006/relationships/oleObject" Target="embeddings/oleObject5736.bin"/><Relationship Id="rId11980" Type="http://schemas.openxmlformats.org/officeDocument/2006/relationships/image" Target="media/image6003.wmf"/><Relationship Id="rId12617" Type="http://schemas.openxmlformats.org/officeDocument/2006/relationships/image" Target="media/image6323.wmf"/><Relationship Id="rId1625" Type="http://schemas.openxmlformats.org/officeDocument/2006/relationships/oleObject" Target="embeddings/oleObject800.bin"/><Relationship Id="rId7254" Type="http://schemas.openxmlformats.org/officeDocument/2006/relationships/image" Target="media/image3636.wmf"/><Relationship Id="rId8305" Type="http://schemas.openxmlformats.org/officeDocument/2006/relationships/oleObject" Target="embeddings/oleObject4137.bin"/><Relationship Id="rId8652" Type="http://schemas.openxmlformats.org/officeDocument/2006/relationships/oleObject" Target="embeddings/oleObject4309.bin"/><Relationship Id="rId9703" Type="http://schemas.openxmlformats.org/officeDocument/2006/relationships/oleObject" Target="embeddings/oleObject4823.bin"/><Relationship Id="rId10582" Type="http://schemas.openxmlformats.org/officeDocument/2006/relationships/image" Target="media/image5300.wmf"/><Relationship Id="rId11219" Type="http://schemas.openxmlformats.org/officeDocument/2006/relationships/image" Target="media/image5621.wmf"/><Relationship Id="rId11633" Type="http://schemas.openxmlformats.org/officeDocument/2006/relationships/image" Target="media/image5828.wmf"/><Relationship Id="rId3797" Type="http://schemas.openxmlformats.org/officeDocument/2006/relationships/oleObject" Target="embeddings/oleObject1889.bin"/><Relationship Id="rId4848" Type="http://schemas.openxmlformats.org/officeDocument/2006/relationships/image" Target="media/image2434.wmf"/><Relationship Id="rId10235" Type="http://schemas.openxmlformats.org/officeDocument/2006/relationships/image" Target="media/image5126.wmf"/><Relationship Id="rId11700" Type="http://schemas.openxmlformats.org/officeDocument/2006/relationships/image" Target="media/image5863.wmf"/><Relationship Id="rId2399" Type="http://schemas.openxmlformats.org/officeDocument/2006/relationships/image" Target="media/image1208.wmf"/><Relationship Id="rId3864" Type="http://schemas.openxmlformats.org/officeDocument/2006/relationships/image" Target="media/image1943.wmf"/><Relationship Id="rId4915" Type="http://schemas.openxmlformats.org/officeDocument/2006/relationships/oleObject" Target="embeddings/oleObject2448.bin"/><Relationship Id="rId6270" Type="http://schemas.openxmlformats.org/officeDocument/2006/relationships/oleObject" Target="embeddings/oleObject3124.bin"/><Relationship Id="rId7321" Type="http://schemas.openxmlformats.org/officeDocument/2006/relationships/oleObject" Target="embeddings/oleObject3645.bin"/><Relationship Id="rId10302" Type="http://schemas.openxmlformats.org/officeDocument/2006/relationships/oleObject" Target="embeddings/oleObject5118.bin"/><Relationship Id="rId13458" Type="http://schemas.openxmlformats.org/officeDocument/2006/relationships/image" Target="media/image6744.wmf"/><Relationship Id="rId13872" Type="http://schemas.openxmlformats.org/officeDocument/2006/relationships/oleObject" Target="embeddings/oleObject6882.bin"/><Relationship Id="rId14509" Type="http://schemas.openxmlformats.org/officeDocument/2006/relationships/image" Target="media/image7269.wmf"/><Relationship Id="rId785" Type="http://schemas.openxmlformats.org/officeDocument/2006/relationships/oleObject" Target="embeddings/oleObject384.bin"/><Relationship Id="rId2466" Type="http://schemas.openxmlformats.org/officeDocument/2006/relationships/image" Target="media/image1243.wmf"/><Relationship Id="rId2880" Type="http://schemas.openxmlformats.org/officeDocument/2006/relationships/oleObject" Target="embeddings/oleObject1428.bin"/><Relationship Id="rId3517" Type="http://schemas.openxmlformats.org/officeDocument/2006/relationships/oleObject" Target="embeddings/oleObject1749.bin"/><Relationship Id="rId3931" Type="http://schemas.openxmlformats.org/officeDocument/2006/relationships/oleObject" Target="embeddings/oleObject1956.bin"/><Relationship Id="rId9079" Type="http://schemas.openxmlformats.org/officeDocument/2006/relationships/image" Target="media/image4549.wmf"/><Relationship Id="rId9493" Type="http://schemas.openxmlformats.org/officeDocument/2006/relationships/oleObject" Target="embeddings/oleObject4725.bin"/><Relationship Id="rId12474" Type="http://schemas.openxmlformats.org/officeDocument/2006/relationships/oleObject" Target="embeddings/oleObject6186.bin"/><Relationship Id="rId13525" Type="http://schemas.openxmlformats.org/officeDocument/2006/relationships/oleObject" Target="embeddings/oleObject6708.bin"/><Relationship Id="rId438" Type="http://schemas.microsoft.com/office/2007/relationships/hdphoto" Target="media/hdphoto2.wdp"/><Relationship Id="rId852" Type="http://schemas.openxmlformats.org/officeDocument/2006/relationships/image" Target="media/image431.wmf"/><Relationship Id="rId1068" Type="http://schemas.openxmlformats.org/officeDocument/2006/relationships/oleObject" Target="embeddings/oleObject525.bin"/><Relationship Id="rId1482" Type="http://schemas.openxmlformats.org/officeDocument/2006/relationships/image" Target="media/image746.wmf"/><Relationship Id="rId2119" Type="http://schemas.openxmlformats.org/officeDocument/2006/relationships/oleObject" Target="embeddings/oleObject1047.bin"/><Relationship Id="rId2533" Type="http://schemas.openxmlformats.org/officeDocument/2006/relationships/oleObject" Target="embeddings/oleObject1254.bin"/><Relationship Id="rId5689" Type="http://schemas.openxmlformats.org/officeDocument/2006/relationships/image" Target="media/image2855.wmf"/><Relationship Id="rId8095" Type="http://schemas.openxmlformats.org/officeDocument/2006/relationships/oleObject" Target="embeddings/oleObject4032.bin"/><Relationship Id="rId9146" Type="http://schemas.openxmlformats.org/officeDocument/2006/relationships/oleObject" Target="embeddings/oleObject4553.bin"/><Relationship Id="rId9560" Type="http://schemas.openxmlformats.org/officeDocument/2006/relationships/image" Target="media/image4789.wmf"/><Relationship Id="rId11076" Type="http://schemas.openxmlformats.org/officeDocument/2006/relationships/oleObject" Target="embeddings/oleObject5491.bin"/><Relationship Id="rId12127" Type="http://schemas.openxmlformats.org/officeDocument/2006/relationships/oleObject" Target="embeddings/oleObject6015.bin"/><Relationship Id="rId505" Type="http://schemas.openxmlformats.org/officeDocument/2006/relationships/image" Target="media/image252.wmf"/><Relationship Id="rId1135" Type="http://schemas.openxmlformats.org/officeDocument/2006/relationships/image" Target="media/image573.wmf"/><Relationship Id="rId8162" Type="http://schemas.openxmlformats.org/officeDocument/2006/relationships/image" Target="media/image4090.wmf"/><Relationship Id="rId9213" Type="http://schemas.openxmlformats.org/officeDocument/2006/relationships/oleObject" Target="embeddings/oleObject4587.bin"/><Relationship Id="rId10092" Type="http://schemas.openxmlformats.org/officeDocument/2006/relationships/oleObject" Target="embeddings/oleObject5015.bin"/><Relationship Id="rId11143" Type="http://schemas.openxmlformats.org/officeDocument/2006/relationships/image" Target="media/image5583.wmf"/><Relationship Id="rId11490" Type="http://schemas.openxmlformats.org/officeDocument/2006/relationships/oleObject" Target="embeddings/oleObject5698.bin"/><Relationship Id="rId12541" Type="http://schemas.openxmlformats.org/officeDocument/2006/relationships/image" Target="media/image6285.wmf"/><Relationship Id="rId14299" Type="http://schemas.openxmlformats.org/officeDocument/2006/relationships/image" Target="media/image7164.wmf"/><Relationship Id="rId1202" Type="http://schemas.openxmlformats.org/officeDocument/2006/relationships/image" Target="media/image606.wmf"/><Relationship Id="rId2600" Type="http://schemas.openxmlformats.org/officeDocument/2006/relationships/image" Target="media/image1310.wmf"/><Relationship Id="rId4358" Type="http://schemas.openxmlformats.org/officeDocument/2006/relationships/image" Target="media/image2189.wmf"/><Relationship Id="rId5409" Type="http://schemas.openxmlformats.org/officeDocument/2006/relationships/image" Target="media/image2715.wmf"/><Relationship Id="rId5756" Type="http://schemas.openxmlformats.org/officeDocument/2006/relationships/oleObject" Target="embeddings/oleObject2867.bin"/><Relationship Id="rId6807" Type="http://schemas.openxmlformats.org/officeDocument/2006/relationships/image" Target="media/image3413.png"/><Relationship Id="rId4772" Type="http://schemas.openxmlformats.org/officeDocument/2006/relationships/image" Target="media/image2396.wmf"/><Relationship Id="rId5823" Type="http://schemas.openxmlformats.org/officeDocument/2006/relationships/image" Target="media/image2922.wmf"/><Relationship Id="rId8979" Type="http://schemas.openxmlformats.org/officeDocument/2006/relationships/image" Target="media/image4499.wmf"/><Relationship Id="rId11210" Type="http://schemas.openxmlformats.org/officeDocument/2006/relationships/oleObject" Target="embeddings/oleObject5558.bin"/><Relationship Id="rId14366" Type="http://schemas.openxmlformats.org/officeDocument/2006/relationships/oleObject" Target="embeddings/oleObject7129.bin"/><Relationship Id="rId295" Type="http://schemas.openxmlformats.org/officeDocument/2006/relationships/oleObject" Target="embeddings/oleObject142.bin"/><Relationship Id="rId3374" Type="http://schemas.openxmlformats.org/officeDocument/2006/relationships/image" Target="media/image1696.wmf"/><Relationship Id="rId4425" Type="http://schemas.openxmlformats.org/officeDocument/2006/relationships/oleObject" Target="embeddings/oleObject2204.bin"/><Relationship Id="rId7995" Type="http://schemas.openxmlformats.org/officeDocument/2006/relationships/oleObject" Target="embeddings/oleObject3982.bin"/><Relationship Id="rId10976" Type="http://schemas.openxmlformats.org/officeDocument/2006/relationships/image" Target="media/image5498.wmf"/><Relationship Id="rId13382" Type="http://schemas.openxmlformats.org/officeDocument/2006/relationships/image" Target="media/image6706.wmf"/><Relationship Id="rId14019" Type="http://schemas.openxmlformats.org/officeDocument/2006/relationships/image" Target="media/image7024.wmf"/><Relationship Id="rId14433" Type="http://schemas.openxmlformats.org/officeDocument/2006/relationships/image" Target="media/image7231.wmf"/><Relationship Id="rId2390" Type="http://schemas.openxmlformats.org/officeDocument/2006/relationships/oleObject" Target="embeddings/oleObject1184.bin"/><Relationship Id="rId3027" Type="http://schemas.openxmlformats.org/officeDocument/2006/relationships/image" Target="media/image1523.wmf"/><Relationship Id="rId3441" Type="http://schemas.openxmlformats.org/officeDocument/2006/relationships/oleObject" Target="embeddings/oleObject1711.bin"/><Relationship Id="rId6597" Type="http://schemas.openxmlformats.org/officeDocument/2006/relationships/image" Target="media/image3308.wmf"/><Relationship Id="rId7648" Type="http://schemas.openxmlformats.org/officeDocument/2006/relationships/image" Target="media/image3833.wmf"/><Relationship Id="rId10629" Type="http://schemas.openxmlformats.org/officeDocument/2006/relationships/oleObject" Target="embeddings/oleObject5279.bin"/><Relationship Id="rId13035" Type="http://schemas.openxmlformats.org/officeDocument/2006/relationships/image" Target="media/image6532.wmf"/><Relationship Id="rId14500" Type="http://schemas.openxmlformats.org/officeDocument/2006/relationships/oleObject" Target="embeddings/oleObject7190.bin"/><Relationship Id="rId362" Type="http://schemas.openxmlformats.org/officeDocument/2006/relationships/image" Target="media/image180.wmf"/><Relationship Id="rId2043" Type="http://schemas.openxmlformats.org/officeDocument/2006/relationships/oleObject" Target="embeddings/oleObject1009.bin"/><Relationship Id="rId5199" Type="http://schemas.openxmlformats.org/officeDocument/2006/relationships/oleObject" Target="embeddings/oleObject2589.bin"/><Relationship Id="rId6664" Type="http://schemas.openxmlformats.org/officeDocument/2006/relationships/oleObject" Target="embeddings/oleObject3319.bin"/><Relationship Id="rId7715" Type="http://schemas.openxmlformats.org/officeDocument/2006/relationships/oleObject" Target="embeddings/oleObject3842.bin"/><Relationship Id="rId9070" Type="http://schemas.openxmlformats.org/officeDocument/2006/relationships/oleObject" Target="embeddings/oleObject4515.bin"/><Relationship Id="rId12051" Type="http://schemas.openxmlformats.org/officeDocument/2006/relationships/oleObject" Target="embeddings/oleObject5977.bin"/><Relationship Id="rId13102" Type="http://schemas.openxmlformats.org/officeDocument/2006/relationships/oleObject" Target="embeddings/oleObject6498.bin"/><Relationship Id="rId2110" Type="http://schemas.openxmlformats.org/officeDocument/2006/relationships/image" Target="media/image1061.wmf"/><Relationship Id="rId5266" Type="http://schemas.openxmlformats.org/officeDocument/2006/relationships/oleObject" Target="embeddings/oleObject2622.bin"/><Relationship Id="rId5680" Type="http://schemas.openxmlformats.org/officeDocument/2006/relationships/oleObject" Target="embeddings/oleObject2829.bin"/><Relationship Id="rId6317" Type="http://schemas.openxmlformats.org/officeDocument/2006/relationships/image" Target="media/image3169.wmf"/><Relationship Id="rId9887" Type="http://schemas.openxmlformats.org/officeDocument/2006/relationships/image" Target="media/image4952.wmf"/><Relationship Id="rId4282" Type="http://schemas.openxmlformats.org/officeDocument/2006/relationships/oleObject" Target="embeddings/oleObject2132.bin"/><Relationship Id="rId5333" Type="http://schemas.openxmlformats.org/officeDocument/2006/relationships/image" Target="media/image2677.wmf"/><Relationship Id="rId6731" Type="http://schemas.openxmlformats.org/officeDocument/2006/relationships/image" Target="media/image3375.wmf"/><Relationship Id="rId8489" Type="http://schemas.openxmlformats.org/officeDocument/2006/relationships/oleObject" Target="embeddings/oleObject4229.bin"/><Relationship Id="rId12868" Type="http://schemas.openxmlformats.org/officeDocument/2006/relationships/oleObject" Target="embeddings/oleObject6383.bin"/><Relationship Id="rId13919" Type="http://schemas.openxmlformats.org/officeDocument/2006/relationships/image" Target="media/image6974.wmf"/><Relationship Id="rId1876" Type="http://schemas.openxmlformats.org/officeDocument/2006/relationships/image" Target="media/image944.wmf"/><Relationship Id="rId2927" Type="http://schemas.openxmlformats.org/officeDocument/2006/relationships/image" Target="media/image1473.wmf"/><Relationship Id="rId9954" Type="http://schemas.openxmlformats.org/officeDocument/2006/relationships/oleObject" Target="embeddings/oleObject4947.bin"/><Relationship Id="rId11884" Type="http://schemas.openxmlformats.org/officeDocument/2006/relationships/image" Target="media/image5955.wmf"/><Relationship Id="rId12935" Type="http://schemas.openxmlformats.org/officeDocument/2006/relationships/image" Target="media/image6482.wmf"/><Relationship Id="rId14290" Type="http://schemas.openxmlformats.org/officeDocument/2006/relationships/oleObject" Target="embeddings/oleObject7091.bin"/><Relationship Id="rId1529" Type="http://schemas.openxmlformats.org/officeDocument/2006/relationships/oleObject" Target="embeddings/oleObject751.bin"/><Relationship Id="rId1943" Type="http://schemas.openxmlformats.org/officeDocument/2006/relationships/oleObject" Target="embeddings/oleObject959.bin"/><Relationship Id="rId5400" Type="http://schemas.openxmlformats.org/officeDocument/2006/relationships/oleObject" Target="embeddings/oleObject2689.bin"/><Relationship Id="rId8556" Type="http://schemas.openxmlformats.org/officeDocument/2006/relationships/image" Target="media/image4287.wmf"/><Relationship Id="rId8970" Type="http://schemas.openxmlformats.org/officeDocument/2006/relationships/oleObject" Target="embeddings/oleObject4465.bin"/><Relationship Id="rId9607" Type="http://schemas.openxmlformats.org/officeDocument/2006/relationships/oleObject" Target="embeddings/oleObject4782.bin"/><Relationship Id="rId10486" Type="http://schemas.openxmlformats.org/officeDocument/2006/relationships/image" Target="media/image5252.wmf"/><Relationship Id="rId11537" Type="http://schemas.openxmlformats.org/officeDocument/2006/relationships/image" Target="media/image5780.wmf"/><Relationship Id="rId11951" Type="http://schemas.openxmlformats.org/officeDocument/2006/relationships/oleObject" Target="embeddings/oleObject5927.bin"/><Relationship Id="rId4002" Type="http://schemas.openxmlformats.org/officeDocument/2006/relationships/oleObject" Target="embeddings/oleObject1992.bin"/><Relationship Id="rId7158" Type="http://schemas.openxmlformats.org/officeDocument/2006/relationships/image" Target="media/image3588.wmf"/><Relationship Id="rId7572" Type="http://schemas.openxmlformats.org/officeDocument/2006/relationships/image" Target="media/image3795.wmf"/><Relationship Id="rId8209" Type="http://schemas.openxmlformats.org/officeDocument/2006/relationships/oleObject" Target="embeddings/oleObject4089.bin"/><Relationship Id="rId8623" Type="http://schemas.openxmlformats.org/officeDocument/2006/relationships/oleObject" Target="embeddings/oleObject4296.bin"/><Relationship Id="rId10139" Type="http://schemas.openxmlformats.org/officeDocument/2006/relationships/image" Target="media/image5078.wmf"/><Relationship Id="rId10553" Type="http://schemas.openxmlformats.org/officeDocument/2006/relationships/oleObject" Target="embeddings/oleObject5241.bin"/><Relationship Id="rId11604" Type="http://schemas.openxmlformats.org/officeDocument/2006/relationships/oleObject" Target="embeddings/oleObject5755.bin"/><Relationship Id="rId14010" Type="http://schemas.openxmlformats.org/officeDocument/2006/relationships/oleObject" Target="embeddings/oleObject6951.bin"/><Relationship Id="rId3768" Type="http://schemas.openxmlformats.org/officeDocument/2006/relationships/image" Target="media/image1895.wmf"/><Relationship Id="rId4819" Type="http://schemas.openxmlformats.org/officeDocument/2006/relationships/oleObject" Target="embeddings/oleObject2400.bin"/><Relationship Id="rId6174" Type="http://schemas.openxmlformats.org/officeDocument/2006/relationships/oleObject" Target="embeddings/oleObject3076.bin"/><Relationship Id="rId7225" Type="http://schemas.openxmlformats.org/officeDocument/2006/relationships/oleObject" Target="embeddings/oleObject3597.bin"/><Relationship Id="rId10206" Type="http://schemas.openxmlformats.org/officeDocument/2006/relationships/oleObject" Target="embeddings/oleObject5070.bin"/><Relationship Id="rId689" Type="http://schemas.openxmlformats.org/officeDocument/2006/relationships/oleObject" Target="embeddings/oleObject333.bin"/><Relationship Id="rId2784" Type="http://schemas.openxmlformats.org/officeDocument/2006/relationships/image" Target="media/image1402.wmf"/><Relationship Id="rId5190" Type="http://schemas.openxmlformats.org/officeDocument/2006/relationships/image" Target="media/image2605.wmf"/><Relationship Id="rId6241" Type="http://schemas.openxmlformats.org/officeDocument/2006/relationships/image" Target="media/image3131.wmf"/><Relationship Id="rId9397" Type="http://schemas.openxmlformats.org/officeDocument/2006/relationships/oleObject" Target="embeddings/oleObject4679.bin"/><Relationship Id="rId10620" Type="http://schemas.openxmlformats.org/officeDocument/2006/relationships/image" Target="media/image5319.wmf"/><Relationship Id="rId12378" Type="http://schemas.openxmlformats.org/officeDocument/2006/relationships/oleObject" Target="embeddings/oleObject6138.bin"/><Relationship Id="rId13776" Type="http://schemas.openxmlformats.org/officeDocument/2006/relationships/oleObject" Target="embeddings/oleObject6834.bin"/><Relationship Id="rId756" Type="http://schemas.openxmlformats.org/officeDocument/2006/relationships/image" Target="media/image380.wmf"/><Relationship Id="rId1386" Type="http://schemas.openxmlformats.org/officeDocument/2006/relationships/image" Target="media/image698.wmf"/><Relationship Id="rId2437" Type="http://schemas.openxmlformats.org/officeDocument/2006/relationships/oleObject" Target="embeddings/oleObject1207.bin"/><Relationship Id="rId3835" Type="http://schemas.openxmlformats.org/officeDocument/2006/relationships/oleObject" Target="embeddings/oleObject1908.bin"/><Relationship Id="rId9464" Type="http://schemas.openxmlformats.org/officeDocument/2006/relationships/image" Target="media/image4741.wmf"/><Relationship Id="rId12792" Type="http://schemas.openxmlformats.org/officeDocument/2006/relationships/oleObject" Target="embeddings/oleObject6345.bin"/><Relationship Id="rId13429" Type="http://schemas.openxmlformats.org/officeDocument/2006/relationships/oleObject" Target="embeddings/oleObject6660.bin"/><Relationship Id="rId13843" Type="http://schemas.openxmlformats.org/officeDocument/2006/relationships/image" Target="media/image6936.wmf"/><Relationship Id="rId409" Type="http://schemas.openxmlformats.org/officeDocument/2006/relationships/image" Target="media/image204.wmf"/><Relationship Id="rId1039" Type="http://schemas.openxmlformats.org/officeDocument/2006/relationships/image" Target="media/image525.wmf"/><Relationship Id="rId2851" Type="http://schemas.openxmlformats.org/officeDocument/2006/relationships/image" Target="media/image1435.wmf"/><Relationship Id="rId3902" Type="http://schemas.openxmlformats.org/officeDocument/2006/relationships/image" Target="media/image1962.wmf"/><Relationship Id="rId8066" Type="http://schemas.openxmlformats.org/officeDocument/2006/relationships/image" Target="media/image4042.wmf"/><Relationship Id="rId9117" Type="http://schemas.openxmlformats.org/officeDocument/2006/relationships/image" Target="media/image4568.wmf"/><Relationship Id="rId11394" Type="http://schemas.openxmlformats.org/officeDocument/2006/relationships/oleObject" Target="embeddings/oleObject5650.bin"/><Relationship Id="rId12445" Type="http://schemas.openxmlformats.org/officeDocument/2006/relationships/image" Target="media/image6237.wmf"/><Relationship Id="rId13910" Type="http://schemas.openxmlformats.org/officeDocument/2006/relationships/oleObject" Target="embeddings/oleObject6901.bin"/><Relationship Id="rId92" Type="http://schemas.openxmlformats.org/officeDocument/2006/relationships/oleObject" Target="embeddings/oleObject42.bin"/><Relationship Id="rId823" Type="http://schemas.openxmlformats.org/officeDocument/2006/relationships/oleObject" Target="embeddings/oleObject403.bin"/><Relationship Id="rId1453" Type="http://schemas.openxmlformats.org/officeDocument/2006/relationships/oleObject" Target="embeddings/oleObject715.bin"/><Relationship Id="rId2504" Type="http://schemas.openxmlformats.org/officeDocument/2006/relationships/image" Target="media/image1262.wmf"/><Relationship Id="rId7082" Type="http://schemas.openxmlformats.org/officeDocument/2006/relationships/oleObject" Target="embeddings/oleObject3526.bin"/><Relationship Id="rId8480" Type="http://schemas.openxmlformats.org/officeDocument/2006/relationships/image" Target="media/image4249.wmf"/><Relationship Id="rId9531" Type="http://schemas.openxmlformats.org/officeDocument/2006/relationships/oleObject" Target="embeddings/oleObject4744.bin"/><Relationship Id="rId11047" Type="http://schemas.openxmlformats.org/officeDocument/2006/relationships/oleObject" Target="embeddings/oleObject5479.bin"/><Relationship Id="rId11461" Type="http://schemas.openxmlformats.org/officeDocument/2006/relationships/image" Target="media/image5742.wmf"/><Relationship Id="rId12512" Type="http://schemas.openxmlformats.org/officeDocument/2006/relationships/oleObject" Target="embeddings/oleObject6205.bin"/><Relationship Id="rId1106" Type="http://schemas.openxmlformats.org/officeDocument/2006/relationships/oleObject" Target="embeddings/oleObject543.bin"/><Relationship Id="rId1520" Type="http://schemas.openxmlformats.org/officeDocument/2006/relationships/image" Target="media/image765.wmf"/><Relationship Id="rId4676" Type="http://schemas.openxmlformats.org/officeDocument/2006/relationships/image" Target="media/image2348.wmf"/><Relationship Id="rId5727" Type="http://schemas.openxmlformats.org/officeDocument/2006/relationships/image" Target="media/image2874.wmf"/><Relationship Id="rId8133" Type="http://schemas.openxmlformats.org/officeDocument/2006/relationships/oleObject" Target="embeddings/oleObject4051.bin"/><Relationship Id="rId10063" Type="http://schemas.openxmlformats.org/officeDocument/2006/relationships/image" Target="media/image5040.wmf"/><Relationship Id="rId11114" Type="http://schemas.openxmlformats.org/officeDocument/2006/relationships/oleObject" Target="embeddings/oleObject5510.bin"/><Relationship Id="rId3278" Type="http://schemas.openxmlformats.org/officeDocument/2006/relationships/image" Target="media/image1648.wmf"/><Relationship Id="rId3692" Type="http://schemas.openxmlformats.org/officeDocument/2006/relationships/image" Target="media/image1857.wmf"/><Relationship Id="rId4329" Type="http://schemas.openxmlformats.org/officeDocument/2006/relationships/image" Target="media/image2175.wmf"/><Relationship Id="rId4743" Type="http://schemas.openxmlformats.org/officeDocument/2006/relationships/oleObject" Target="embeddings/oleObject2363.bin"/><Relationship Id="rId7899" Type="http://schemas.openxmlformats.org/officeDocument/2006/relationships/oleObject" Target="embeddings/oleObject3934.bin"/><Relationship Id="rId8200" Type="http://schemas.openxmlformats.org/officeDocument/2006/relationships/image" Target="media/image4109.wmf"/><Relationship Id="rId10130" Type="http://schemas.openxmlformats.org/officeDocument/2006/relationships/oleObject" Target="embeddings/oleObject5034.bin"/><Relationship Id="rId13286" Type="http://schemas.openxmlformats.org/officeDocument/2006/relationships/oleObject" Target="embeddings/oleObject6590.bin"/><Relationship Id="rId14337" Type="http://schemas.openxmlformats.org/officeDocument/2006/relationships/image" Target="media/image7183.wmf"/><Relationship Id="rId199" Type="http://schemas.openxmlformats.org/officeDocument/2006/relationships/oleObject" Target="embeddings/oleObject94.bin"/><Relationship Id="rId2294" Type="http://schemas.openxmlformats.org/officeDocument/2006/relationships/oleObject" Target="embeddings/oleObject1134.bin"/><Relationship Id="rId3345" Type="http://schemas.openxmlformats.org/officeDocument/2006/relationships/oleObject" Target="embeddings/oleObject1661.bin"/><Relationship Id="rId13353" Type="http://schemas.openxmlformats.org/officeDocument/2006/relationships/oleObject" Target="embeddings/oleObject6622.bin"/><Relationship Id="rId266" Type="http://schemas.openxmlformats.org/officeDocument/2006/relationships/image" Target="media/image132.wmf"/><Relationship Id="rId680" Type="http://schemas.openxmlformats.org/officeDocument/2006/relationships/image" Target="media/image342.wmf"/><Relationship Id="rId2361" Type="http://schemas.openxmlformats.org/officeDocument/2006/relationships/image" Target="media/image1189.wmf"/><Relationship Id="rId3412" Type="http://schemas.openxmlformats.org/officeDocument/2006/relationships/image" Target="media/image1716.wmf"/><Relationship Id="rId4810" Type="http://schemas.openxmlformats.org/officeDocument/2006/relationships/image" Target="media/image2415.wmf"/><Relationship Id="rId6568" Type="http://schemas.openxmlformats.org/officeDocument/2006/relationships/oleObject" Target="embeddings/oleObject3271.bin"/><Relationship Id="rId7619" Type="http://schemas.openxmlformats.org/officeDocument/2006/relationships/oleObject" Target="embeddings/oleObject3794.bin"/><Relationship Id="rId7966" Type="http://schemas.openxmlformats.org/officeDocument/2006/relationships/image" Target="media/image3992.wmf"/><Relationship Id="rId10947" Type="http://schemas.microsoft.com/office/2007/relationships/hdphoto" Target="media/hdphoto42.wdp"/><Relationship Id="rId13006" Type="http://schemas.openxmlformats.org/officeDocument/2006/relationships/oleObject" Target="embeddings/oleObject6452.bin"/><Relationship Id="rId14404" Type="http://schemas.openxmlformats.org/officeDocument/2006/relationships/oleObject" Target="embeddings/oleObject7146.bin"/><Relationship Id="rId333" Type="http://schemas.openxmlformats.org/officeDocument/2006/relationships/oleObject" Target="embeddings/oleObject161.bin"/><Relationship Id="rId2014" Type="http://schemas.openxmlformats.org/officeDocument/2006/relationships/image" Target="media/image1013.wmf"/><Relationship Id="rId6982" Type="http://schemas.openxmlformats.org/officeDocument/2006/relationships/oleObject" Target="embeddings/oleObject3476.bin"/><Relationship Id="rId9041" Type="http://schemas.openxmlformats.org/officeDocument/2006/relationships/image" Target="media/image4530.wmf"/><Relationship Id="rId13420" Type="http://schemas.openxmlformats.org/officeDocument/2006/relationships/image" Target="media/image6725.wmf"/><Relationship Id="rId1030" Type="http://schemas.openxmlformats.org/officeDocument/2006/relationships/oleObject" Target="embeddings/oleObject506.bin"/><Relationship Id="rId4186" Type="http://schemas.openxmlformats.org/officeDocument/2006/relationships/oleObject" Target="embeddings/oleObject2084.bin"/><Relationship Id="rId5584" Type="http://schemas.openxmlformats.org/officeDocument/2006/relationships/oleObject" Target="embeddings/oleObject2781.bin"/><Relationship Id="rId6635" Type="http://schemas.openxmlformats.org/officeDocument/2006/relationships/image" Target="media/image3327.wmf"/><Relationship Id="rId12022" Type="http://schemas.openxmlformats.org/officeDocument/2006/relationships/image" Target="media/image6024.wmf"/><Relationship Id="rId400" Type="http://schemas.openxmlformats.org/officeDocument/2006/relationships/oleObject" Target="embeddings/oleObject194.bin"/><Relationship Id="rId5237" Type="http://schemas.openxmlformats.org/officeDocument/2006/relationships/image" Target="media/image2629.wmf"/><Relationship Id="rId5651" Type="http://schemas.openxmlformats.org/officeDocument/2006/relationships/image" Target="media/image2836.wmf"/><Relationship Id="rId6702" Type="http://schemas.openxmlformats.org/officeDocument/2006/relationships/oleObject" Target="embeddings/oleObject3338.bin"/><Relationship Id="rId9858" Type="http://schemas.openxmlformats.org/officeDocument/2006/relationships/oleObject" Target="embeddings/oleObject4901.bin"/><Relationship Id="rId11788" Type="http://schemas.openxmlformats.org/officeDocument/2006/relationships/image" Target="media/image5907.wmf"/><Relationship Id="rId12839" Type="http://schemas.openxmlformats.org/officeDocument/2006/relationships/image" Target="media/image6434.wmf"/><Relationship Id="rId14194" Type="http://schemas.openxmlformats.org/officeDocument/2006/relationships/oleObject" Target="embeddings/oleObject7043.bin"/><Relationship Id="rId1847" Type="http://schemas.openxmlformats.org/officeDocument/2006/relationships/oleObject" Target="embeddings/oleObject911.bin"/><Relationship Id="rId4253" Type="http://schemas.openxmlformats.org/officeDocument/2006/relationships/image" Target="media/image2137.wmf"/><Relationship Id="rId5304" Type="http://schemas.openxmlformats.org/officeDocument/2006/relationships/oleObject" Target="embeddings/oleObject2641.bin"/><Relationship Id="rId8874" Type="http://schemas.openxmlformats.org/officeDocument/2006/relationships/oleObject" Target="embeddings/oleObject4417.bin"/><Relationship Id="rId9925" Type="http://schemas.openxmlformats.org/officeDocument/2006/relationships/image" Target="media/image4971.wmf"/><Relationship Id="rId14261" Type="http://schemas.openxmlformats.org/officeDocument/2006/relationships/image" Target="media/image7145.wmf"/><Relationship Id="rId4320" Type="http://schemas.openxmlformats.org/officeDocument/2006/relationships/oleObject" Target="embeddings/oleObject2151.bin"/><Relationship Id="rId7476" Type="http://schemas.openxmlformats.org/officeDocument/2006/relationships/image" Target="media/image3747.wmf"/><Relationship Id="rId7890" Type="http://schemas.openxmlformats.org/officeDocument/2006/relationships/image" Target="media/image3954.wmf"/><Relationship Id="rId8527" Type="http://schemas.openxmlformats.org/officeDocument/2006/relationships/oleObject" Target="embeddings/oleObject4248.bin"/><Relationship Id="rId10457" Type="http://schemas.openxmlformats.org/officeDocument/2006/relationships/oleObject" Target="embeddings/oleObject5195.bin"/><Relationship Id="rId11855" Type="http://schemas.openxmlformats.org/officeDocument/2006/relationships/oleObject" Target="embeddings/oleObject5879.bin"/><Relationship Id="rId12906" Type="http://schemas.openxmlformats.org/officeDocument/2006/relationships/oleObject" Target="embeddings/oleObject6402.bin"/><Relationship Id="rId190" Type="http://schemas.openxmlformats.org/officeDocument/2006/relationships/image" Target="media/image94.wmf"/><Relationship Id="rId1914" Type="http://schemas.openxmlformats.org/officeDocument/2006/relationships/image" Target="media/image963.wmf"/><Relationship Id="rId6078" Type="http://schemas.openxmlformats.org/officeDocument/2006/relationships/oleObject" Target="embeddings/oleObject3028.bin"/><Relationship Id="rId6492" Type="http://schemas.openxmlformats.org/officeDocument/2006/relationships/oleObject" Target="embeddings/oleObject3236.bin"/><Relationship Id="rId7129" Type="http://schemas.openxmlformats.org/officeDocument/2006/relationships/oleObject" Target="embeddings/oleObject3550.bin"/><Relationship Id="rId7543" Type="http://schemas.openxmlformats.org/officeDocument/2006/relationships/oleObject" Target="embeddings/oleObject3756.bin"/><Relationship Id="rId8941" Type="http://schemas.openxmlformats.org/officeDocument/2006/relationships/image" Target="media/image4480.wmf"/><Relationship Id="rId10871" Type="http://schemas.openxmlformats.org/officeDocument/2006/relationships/oleObject" Target="embeddings/oleObject5398.bin"/><Relationship Id="rId11508" Type="http://schemas.openxmlformats.org/officeDocument/2006/relationships/oleObject" Target="embeddings/oleObject5707.bin"/><Relationship Id="rId11922" Type="http://schemas.openxmlformats.org/officeDocument/2006/relationships/image" Target="media/image5974.wmf"/><Relationship Id="rId5094" Type="http://schemas.openxmlformats.org/officeDocument/2006/relationships/image" Target="media/image2557.wmf"/><Relationship Id="rId6145" Type="http://schemas.openxmlformats.org/officeDocument/2006/relationships/image" Target="media/image3083.wmf"/><Relationship Id="rId10524" Type="http://schemas.openxmlformats.org/officeDocument/2006/relationships/image" Target="media/image5271.wmf"/><Relationship Id="rId2688" Type="http://schemas.openxmlformats.org/officeDocument/2006/relationships/image" Target="media/image1354.wmf"/><Relationship Id="rId3739" Type="http://schemas.openxmlformats.org/officeDocument/2006/relationships/oleObject" Target="embeddings/oleObject1860.bin"/><Relationship Id="rId5161" Type="http://schemas.openxmlformats.org/officeDocument/2006/relationships/oleObject" Target="embeddings/oleObject2570.bin"/><Relationship Id="rId7610" Type="http://schemas.openxmlformats.org/officeDocument/2006/relationships/image" Target="media/image3814.wmf"/><Relationship Id="rId12696" Type="http://schemas.openxmlformats.org/officeDocument/2006/relationships/oleObject" Target="embeddings/oleObject6297.bin"/><Relationship Id="rId13747" Type="http://schemas.openxmlformats.org/officeDocument/2006/relationships/image" Target="media/image6888.wmf"/><Relationship Id="rId2755" Type="http://schemas.openxmlformats.org/officeDocument/2006/relationships/oleObject" Target="embeddings/oleObject1365.bin"/><Relationship Id="rId3806" Type="http://schemas.openxmlformats.org/officeDocument/2006/relationships/image" Target="media/image1914.wmf"/><Relationship Id="rId6212" Type="http://schemas.openxmlformats.org/officeDocument/2006/relationships/oleObject" Target="embeddings/oleObject3095.bin"/><Relationship Id="rId9368" Type="http://schemas.openxmlformats.org/officeDocument/2006/relationships/image" Target="media/image4693.wmf"/><Relationship Id="rId9782" Type="http://schemas.openxmlformats.org/officeDocument/2006/relationships/image" Target="media/image4900.wmf"/><Relationship Id="rId11298" Type="http://schemas.openxmlformats.org/officeDocument/2006/relationships/oleObject" Target="embeddings/oleObject5602.bin"/><Relationship Id="rId12349" Type="http://schemas.openxmlformats.org/officeDocument/2006/relationships/image" Target="media/image6189.wmf"/><Relationship Id="rId12763" Type="http://schemas.openxmlformats.org/officeDocument/2006/relationships/image" Target="media/image6396.wmf"/><Relationship Id="rId13814" Type="http://schemas.openxmlformats.org/officeDocument/2006/relationships/oleObject" Target="embeddings/oleObject6853.bin"/><Relationship Id="rId727" Type="http://schemas.openxmlformats.org/officeDocument/2006/relationships/oleObject" Target="embeddings/oleObject352.bin"/><Relationship Id="rId1357" Type="http://schemas.openxmlformats.org/officeDocument/2006/relationships/oleObject" Target="embeddings/oleObject668.bin"/><Relationship Id="rId1771" Type="http://schemas.openxmlformats.org/officeDocument/2006/relationships/oleObject" Target="embeddings/oleObject873.bin"/><Relationship Id="rId2408" Type="http://schemas.openxmlformats.org/officeDocument/2006/relationships/oleObject" Target="embeddings/oleObject1193.bin"/><Relationship Id="rId2822" Type="http://schemas.openxmlformats.org/officeDocument/2006/relationships/image" Target="media/image1421.wmf"/><Relationship Id="rId5978" Type="http://schemas.openxmlformats.org/officeDocument/2006/relationships/oleObject" Target="embeddings/oleObject2978.bin"/><Relationship Id="rId8384" Type="http://schemas.openxmlformats.org/officeDocument/2006/relationships/image" Target="media/image4201.wmf"/><Relationship Id="rId9435" Type="http://schemas.microsoft.com/office/2007/relationships/hdphoto" Target="media/hdphoto21.wdp"/><Relationship Id="rId11365" Type="http://schemas.openxmlformats.org/officeDocument/2006/relationships/image" Target="media/image5694.wmf"/><Relationship Id="rId12416" Type="http://schemas.openxmlformats.org/officeDocument/2006/relationships/oleObject" Target="embeddings/oleObject6157.bin"/><Relationship Id="rId63" Type="http://schemas.openxmlformats.org/officeDocument/2006/relationships/image" Target="media/image29.wmf"/><Relationship Id="rId1424" Type="http://schemas.openxmlformats.org/officeDocument/2006/relationships/image" Target="media/image717.wmf"/><Relationship Id="rId4994" Type="http://schemas.openxmlformats.org/officeDocument/2006/relationships/image" Target="media/image2507.wmf"/><Relationship Id="rId8037" Type="http://schemas.openxmlformats.org/officeDocument/2006/relationships/oleObject" Target="embeddings/oleObject4003.bin"/><Relationship Id="rId8451" Type="http://schemas.openxmlformats.org/officeDocument/2006/relationships/oleObject" Target="embeddings/oleObject4210.bin"/><Relationship Id="rId9502" Type="http://schemas.openxmlformats.org/officeDocument/2006/relationships/image" Target="media/image4760.wmf"/><Relationship Id="rId10381" Type="http://schemas.openxmlformats.org/officeDocument/2006/relationships/image" Target="media/image5199.wmf"/><Relationship Id="rId11018" Type="http://schemas.openxmlformats.org/officeDocument/2006/relationships/image" Target="media/image5519.wmf"/><Relationship Id="rId11432" Type="http://schemas.openxmlformats.org/officeDocument/2006/relationships/oleObject" Target="embeddings/oleObject5669.bin"/><Relationship Id="rId12830" Type="http://schemas.openxmlformats.org/officeDocument/2006/relationships/oleObject" Target="embeddings/oleObject6364.bin"/><Relationship Id="rId14588" Type="http://schemas.openxmlformats.org/officeDocument/2006/relationships/oleObject" Target="embeddings/oleObject7234.bin"/><Relationship Id="rId3596" Type="http://schemas.openxmlformats.org/officeDocument/2006/relationships/image" Target="media/image1809.wmf"/><Relationship Id="rId4647" Type="http://schemas.openxmlformats.org/officeDocument/2006/relationships/oleObject" Target="embeddings/oleObject2315.bin"/><Relationship Id="rId7053" Type="http://schemas.openxmlformats.org/officeDocument/2006/relationships/image" Target="media/image3536.wmf"/><Relationship Id="rId8104" Type="http://schemas.openxmlformats.org/officeDocument/2006/relationships/image" Target="media/image4061.wmf"/><Relationship Id="rId10034" Type="http://schemas.openxmlformats.org/officeDocument/2006/relationships/oleObject" Target="embeddings/oleObject4986.bin"/><Relationship Id="rId2198" Type="http://schemas.openxmlformats.org/officeDocument/2006/relationships/image" Target="media/image1105.wmf"/><Relationship Id="rId3249" Type="http://schemas.openxmlformats.org/officeDocument/2006/relationships/image" Target="media/image1634.wmf"/><Relationship Id="rId7120" Type="http://schemas.openxmlformats.org/officeDocument/2006/relationships/oleObject" Target="embeddings/oleObject3545.bin"/><Relationship Id="rId584" Type="http://schemas.openxmlformats.org/officeDocument/2006/relationships/image" Target="media/image293.wmf"/><Relationship Id="rId2265" Type="http://schemas.openxmlformats.org/officeDocument/2006/relationships/image" Target="media/image1139.wmf"/><Relationship Id="rId3663" Type="http://schemas.openxmlformats.org/officeDocument/2006/relationships/oleObject" Target="embeddings/oleObject1822.bin"/><Relationship Id="rId4714" Type="http://schemas.openxmlformats.org/officeDocument/2006/relationships/image" Target="media/image2367.wmf"/><Relationship Id="rId9292" Type="http://schemas.openxmlformats.org/officeDocument/2006/relationships/image" Target="media/image4655.wmf"/><Relationship Id="rId10101" Type="http://schemas.openxmlformats.org/officeDocument/2006/relationships/image" Target="media/image5059.wmf"/><Relationship Id="rId13257" Type="http://schemas.openxmlformats.org/officeDocument/2006/relationships/image" Target="media/image6643.wmf"/><Relationship Id="rId13671" Type="http://schemas.openxmlformats.org/officeDocument/2006/relationships/oleObject" Target="embeddings/oleObject6781.bin"/><Relationship Id="rId14308" Type="http://schemas.openxmlformats.org/officeDocument/2006/relationships/oleObject" Target="embeddings/oleObject7100.bin"/><Relationship Id="rId237" Type="http://schemas.openxmlformats.org/officeDocument/2006/relationships/oleObject" Target="embeddings/oleObject113.bin"/><Relationship Id="rId3316" Type="http://schemas.openxmlformats.org/officeDocument/2006/relationships/image" Target="media/image1667.wmf"/><Relationship Id="rId3730" Type="http://schemas.openxmlformats.org/officeDocument/2006/relationships/image" Target="media/image1876.wmf"/><Relationship Id="rId6886" Type="http://schemas.openxmlformats.org/officeDocument/2006/relationships/oleObject" Target="embeddings/oleObject3428.bin"/><Relationship Id="rId7937" Type="http://schemas.openxmlformats.org/officeDocument/2006/relationships/oleObject" Target="embeddings/oleObject3953.bin"/><Relationship Id="rId10918" Type="http://schemas.openxmlformats.org/officeDocument/2006/relationships/image" Target="media/image5468.wmf"/><Relationship Id="rId12273" Type="http://schemas.openxmlformats.org/officeDocument/2006/relationships/oleObject" Target="embeddings/oleObject6088.bin"/><Relationship Id="rId13324" Type="http://schemas.openxmlformats.org/officeDocument/2006/relationships/oleObject" Target="embeddings/oleObject6609.bin"/><Relationship Id="rId651" Type="http://schemas.openxmlformats.org/officeDocument/2006/relationships/image" Target="media/image327.emf"/><Relationship Id="rId1281" Type="http://schemas.openxmlformats.org/officeDocument/2006/relationships/oleObject" Target="embeddings/oleObject630.bin"/><Relationship Id="rId2332" Type="http://schemas.openxmlformats.org/officeDocument/2006/relationships/oleObject" Target="embeddings/oleObject1155.bin"/><Relationship Id="rId5488" Type="http://schemas.openxmlformats.org/officeDocument/2006/relationships/oleObject" Target="embeddings/oleObject2733.bin"/><Relationship Id="rId6539" Type="http://schemas.openxmlformats.org/officeDocument/2006/relationships/image" Target="media/image3279.png"/><Relationship Id="rId6953" Type="http://schemas.openxmlformats.org/officeDocument/2006/relationships/image" Target="media/image3486.wmf"/><Relationship Id="rId12340" Type="http://schemas.openxmlformats.org/officeDocument/2006/relationships/oleObject" Target="embeddings/oleObject6119.bin"/><Relationship Id="rId304" Type="http://schemas.openxmlformats.org/officeDocument/2006/relationships/image" Target="media/image151.wmf"/><Relationship Id="rId5555" Type="http://schemas.openxmlformats.org/officeDocument/2006/relationships/image" Target="media/image2788.wmf"/><Relationship Id="rId6606" Type="http://schemas.openxmlformats.org/officeDocument/2006/relationships/oleObject" Target="embeddings/oleObject3290.bin"/><Relationship Id="rId9012" Type="http://schemas.openxmlformats.org/officeDocument/2006/relationships/oleObject" Target="embeddings/oleObject4486.bin"/><Relationship Id="rId14098" Type="http://schemas.openxmlformats.org/officeDocument/2006/relationships/oleObject" Target="embeddings/oleObject6995.bin"/><Relationship Id="rId1001" Type="http://schemas.openxmlformats.org/officeDocument/2006/relationships/image" Target="media/image506.wmf"/><Relationship Id="rId4157" Type="http://schemas.openxmlformats.org/officeDocument/2006/relationships/image" Target="media/image2089.wmf"/><Relationship Id="rId4571" Type="http://schemas.openxmlformats.org/officeDocument/2006/relationships/oleObject" Target="embeddings/oleObject2277.bin"/><Relationship Id="rId5208" Type="http://schemas.openxmlformats.org/officeDocument/2006/relationships/image" Target="media/image2614.wmf"/><Relationship Id="rId5622" Type="http://schemas.openxmlformats.org/officeDocument/2006/relationships/oleObject" Target="embeddings/oleObject2800.bin"/><Relationship Id="rId8778" Type="http://schemas.openxmlformats.org/officeDocument/2006/relationships/oleObject" Target="embeddings/oleObject4372.bin"/><Relationship Id="rId9829" Type="http://schemas.openxmlformats.org/officeDocument/2006/relationships/oleObject" Target="embeddings/oleObject4886.bin"/><Relationship Id="rId14165" Type="http://schemas.openxmlformats.org/officeDocument/2006/relationships/image" Target="media/image7097.wmf"/><Relationship Id="rId3173" Type="http://schemas.openxmlformats.org/officeDocument/2006/relationships/image" Target="media/image1596.wmf"/><Relationship Id="rId4224" Type="http://schemas.openxmlformats.org/officeDocument/2006/relationships/oleObject" Target="embeddings/oleObject2103.bin"/><Relationship Id="rId11759" Type="http://schemas.openxmlformats.org/officeDocument/2006/relationships/oleObject" Target="embeddings/oleObject5831.bin"/><Relationship Id="rId1818" Type="http://schemas.openxmlformats.org/officeDocument/2006/relationships/image" Target="media/image915.wmf"/><Relationship Id="rId3240" Type="http://schemas.openxmlformats.org/officeDocument/2006/relationships/oleObject" Target="embeddings/oleObject1608.bin"/><Relationship Id="rId6396" Type="http://schemas.openxmlformats.org/officeDocument/2006/relationships/oleObject" Target="embeddings/oleObject3188.bin"/><Relationship Id="rId7794" Type="http://schemas.openxmlformats.org/officeDocument/2006/relationships/image" Target="media/image3906.wmf"/><Relationship Id="rId8845" Type="http://schemas.openxmlformats.org/officeDocument/2006/relationships/image" Target="media/image4432.wmf"/><Relationship Id="rId10775" Type="http://schemas.openxmlformats.org/officeDocument/2006/relationships/oleObject" Target="embeddings/oleObject5350.bin"/><Relationship Id="rId11826" Type="http://schemas.openxmlformats.org/officeDocument/2006/relationships/image" Target="media/image5926.wmf"/><Relationship Id="rId13181" Type="http://schemas.openxmlformats.org/officeDocument/2006/relationships/image" Target="media/image6605.wmf"/><Relationship Id="rId14232" Type="http://schemas.openxmlformats.org/officeDocument/2006/relationships/oleObject" Target="embeddings/oleObject7062.bin"/><Relationship Id="rId161" Type="http://schemas.openxmlformats.org/officeDocument/2006/relationships/oleObject" Target="embeddings/oleObject75.bin"/><Relationship Id="rId6049" Type="http://schemas.openxmlformats.org/officeDocument/2006/relationships/image" Target="media/image3035.wmf"/><Relationship Id="rId7447" Type="http://schemas.openxmlformats.org/officeDocument/2006/relationships/oleObject" Target="embeddings/oleObject3708.bin"/><Relationship Id="rId7861" Type="http://schemas.openxmlformats.org/officeDocument/2006/relationships/oleObject" Target="embeddings/oleObject3915.bin"/><Relationship Id="rId8912" Type="http://schemas.openxmlformats.org/officeDocument/2006/relationships/oleObject" Target="embeddings/oleObject4436.bin"/><Relationship Id="rId10428" Type="http://schemas.openxmlformats.org/officeDocument/2006/relationships/image" Target="media/image5223.wmf"/><Relationship Id="rId10842" Type="http://schemas.openxmlformats.org/officeDocument/2006/relationships/image" Target="media/image5430.wmf"/><Relationship Id="rId13998" Type="http://schemas.openxmlformats.org/officeDocument/2006/relationships/oleObject" Target="embeddings/oleObject6945.bin"/><Relationship Id="rId6463" Type="http://schemas.openxmlformats.org/officeDocument/2006/relationships/image" Target="media/image3241.wmf"/><Relationship Id="rId7514" Type="http://schemas.openxmlformats.org/officeDocument/2006/relationships/image" Target="media/image3766.wmf"/><Relationship Id="rId978" Type="http://schemas.openxmlformats.org/officeDocument/2006/relationships/oleObject" Target="embeddings/oleObject480.bin"/><Relationship Id="rId2659" Type="http://schemas.openxmlformats.org/officeDocument/2006/relationships/oleObject" Target="embeddings/oleObject1317.bin"/><Relationship Id="rId5065" Type="http://schemas.openxmlformats.org/officeDocument/2006/relationships/oleObject" Target="embeddings/oleObject2522.bin"/><Relationship Id="rId6116" Type="http://schemas.openxmlformats.org/officeDocument/2006/relationships/oleObject" Target="embeddings/oleObject3047.bin"/><Relationship Id="rId6530" Type="http://schemas.openxmlformats.org/officeDocument/2006/relationships/oleObject" Target="embeddings/oleObject3255.bin"/><Relationship Id="rId9686" Type="http://schemas.openxmlformats.org/officeDocument/2006/relationships/image" Target="media/image4852.png"/><Relationship Id="rId12667" Type="http://schemas.openxmlformats.org/officeDocument/2006/relationships/image" Target="media/image6348.wmf"/><Relationship Id="rId1675" Type="http://schemas.openxmlformats.org/officeDocument/2006/relationships/oleObject" Target="embeddings/oleObject825.bin"/><Relationship Id="rId2726" Type="http://schemas.openxmlformats.org/officeDocument/2006/relationships/image" Target="media/image1373.wmf"/><Relationship Id="rId4081" Type="http://schemas.openxmlformats.org/officeDocument/2006/relationships/image" Target="media/image2051.wmf"/><Relationship Id="rId5132" Type="http://schemas.openxmlformats.org/officeDocument/2006/relationships/image" Target="media/image2576.wmf"/><Relationship Id="rId8288" Type="http://schemas.openxmlformats.org/officeDocument/2006/relationships/image" Target="media/image4153.wmf"/><Relationship Id="rId9339" Type="http://schemas.openxmlformats.org/officeDocument/2006/relationships/oleObject" Target="embeddings/oleObject4650.bin"/><Relationship Id="rId9753" Type="http://schemas.openxmlformats.org/officeDocument/2006/relationships/oleObject" Target="embeddings/oleObject4848.bin"/><Relationship Id="rId11269" Type="http://schemas.openxmlformats.org/officeDocument/2006/relationships/image" Target="media/image5646.wmf"/><Relationship Id="rId13718" Type="http://schemas.openxmlformats.org/officeDocument/2006/relationships/oleObject" Target="embeddings/oleObject6805.bin"/><Relationship Id="rId1328" Type="http://schemas.openxmlformats.org/officeDocument/2006/relationships/image" Target="media/image669.wmf"/><Relationship Id="rId8355" Type="http://schemas.openxmlformats.org/officeDocument/2006/relationships/oleObject" Target="embeddings/oleObject4162.bin"/><Relationship Id="rId9406" Type="http://schemas.openxmlformats.org/officeDocument/2006/relationships/image" Target="media/image4712.wmf"/><Relationship Id="rId11683" Type="http://schemas.openxmlformats.org/officeDocument/2006/relationships/oleObject" Target="embeddings/oleObject5793.bin"/><Relationship Id="rId12734" Type="http://schemas.openxmlformats.org/officeDocument/2006/relationships/oleObject" Target="embeddings/oleObject6316.bin"/><Relationship Id="rId1742" Type="http://schemas.openxmlformats.org/officeDocument/2006/relationships/image" Target="media/image877.wmf"/><Relationship Id="rId4898" Type="http://schemas.openxmlformats.org/officeDocument/2006/relationships/image" Target="media/image2459.wmf"/><Relationship Id="rId5949" Type="http://schemas.openxmlformats.org/officeDocument/2006/relationships/image" Target="media/image2985.wmf"/><Relationship Id="rId7371" Type="http://schemas.openxmlformats.org/officeDocument/2006/relationships/oleObject" Target="embeddings/oleObject3670.bin"/><Relationship Id="rId8008" Type="http://schemas.openxmlformats.org/officeDocument/2006/relationships/image" Target="media/image4013.wmf"/><Relationship Id="rId9820" Type="http://schemas.openxmlformats.org/officeDocument/2006/relationships/image" Target="media/image4919.wmf"/><Relationship Id="rId10285" Type="http://schemas.openxmlformats.org/officeDocument/2006/relationships/image" Target="media/image5151.wmf"/><Relationship Id="rId11336" Type="http://schemas.openxmlformats.org/officeDocument/2006/relationships/oleObject" Target="embeddings/oleObject5621.bin"/><Relationship Id="rId11750" Type="http://schemas.openxmlformats.org/officeDocument/2006/relationships/image" Target="media/image5888.wmf"/><Relationship Id="rId12801" Type="http://schemas.openxmlformats.org/officeDocument/2006/relationships/image" Target="media/image6415.wmf"/><Relationship Id="rId34" Type="http://schemas.openxmlformats.org/officeDocument/2006/relationships/oleObject" Target="embeddings/oleObject13.bin"/><Relationship Id="rId4965" Type="http://schemas.openxmlformats.org/officeDocument/2006/relationships/oleObject" Target="embeddings/oleObject2472.bin"/><Relationship Id="rId7024" Type="http://schemas.openxmlformats.org/officeDocument/2006/relationships/oleObject" Target="embeddings/oleObject3497.bin"/><Relationship Id="rId8422" Type="http://schemas.openxmlformats.org/officeDocument/2006/relationships/image" Target="media/image4220.wmf"/><Relationship Id="rId10352" Type="http://schemas.openxmlformats.org/officeDocument/2006/relationships/oleObject" Target="embeddings/oleObject5143.bin"/><Relationship Id="rId11403" Type="http://schemas.openxmlformats.org/officeDocument/2006/relationships/image" Target="media/image5713.wmf"/><Relationship Id="rId14559" Type="http://schemas.openxmlformats.org/officeDocument/2006/relationships/image" Target="media/image7294.wmf"/><Relationship Id="rId3567" Type="http://schemas.openxmlformats.org/officeDocument/2006/relationships/oleObject" Target="embeddings/oleObject1774.bin"/><Relationship Id="rId3981" Type="http://schemas.openxmlformats.org/officeDocument/2006/relationships/image" Target="media/image2001.wmf"/><Relationship Id="rId4618" Type="http://schemas.openxmlformats.org/officeDocument/2006/relationships/image" Target="media/image2319.wmf"/><Relationship Id="rId10005" Type="http://schemas.openxmlformats.org/officeDocument/2006/relationships/image" Target="media/image5011.wmf"/><Relationship Id="rId13575" Type="http://schemas.openxmlformats.org/officeDocument/2006/relationships/oleObject" Target="embeddings/oleObject6733.bin"/><Relationship Id="rId488" Type="http://schemas.openxmlformats.org/officeDocument/2006/relationships/oleObject" Target="embeddings/oleObject235.bin"/><Relationship Id="rId2169" Type="http://schemas.openxmlformats.org/officeDocument/2006/relationships/oleObject" Target="embeddings/oleObject1072.bin"/><Relationship Id="rId2583" Type="http://schemas.openxmlformats.org/officeDocument/2006/relationships/oleObject" Target="embeddings/oleObject1279.bin"/><Relationship Id="rId3634" Type="http://schemas.openxmlformats.org/officeDocument/2006/relationships/image" Target="media/image1828.wmf"/><Relationship Id="rId6040" Type="http://schemas.openxmlformats.org/officeDocument/2006/relationships/oleObject" Target="embeddings/oleObject3009.bin"/><Relationship Id="rId9196" Type="http://schemas.openxmlformats.org/officeDocument/2006/relationships/image" Target="media/image4607.wmf"/><Relationship Id="rId12177" Type="http://schemas.openxmlformats.org/officeDocument/2006/relationships/oleObject" Target="embeddings/oleObject6040.bin"/><Relationship Id="rId12591" Type="http://schemas.openxmlformats.org/officeDocument/2006/relationships/image" Target="media/image6310.wmf"/><Relationship Id="rId13228" Type="http://schemas.openxmlformats.org/officeDocument/2006/relationships/oleObject" Target="embeddings/oleObject6561.bin"/><Relationship Id="rId13642" Type="http://schemas.openxmlformats.org/officeDocument/2006/relationships/image" Target="media/image6836.wmf"/><Relationship Id="rId555" Type="http://schemas.openxmlformats.org/officeDocument/2006/relationships/oleObject" Target="embeddings/oleObject267.bin"/><Relationship Id="rId1185" Type="http://schemas.openxmlformats.org/officeDocument/2006/relationships/image" Target="media/image598.wmf"/><Relationship Id="rId2236" Type="http://schemas.openxmlformats.org/officeDocument/2006/relationships/image" Target="media/image1124.emf"/><Relationship Id="rId2650" Type="http://schemas.openxmlformats.org/officeDocument/2006/relationships/image" Target="media/image1335.wmf"/><Relationship Id="rId3701" Type="http://schemas.openxmlformats.org/officeDocument/2006/relationships/oleObject" Target="embeddings/oleObject1841.bin"/><Relationship Id="rId6857" Type="http://schemas.openxmlformats.org/officeDocument/2006/relationships/image" Target="media/image3438.wmf"/><Relationship Id="rId7908" Type="http://schemas.openxmlformats.org/officeDocument/2006/relationships/image" Target="media/image3963.wmf"/><Relationship Id="rId9263" Type="http://schemas.openxmlformats.org/officeDocument/2006/relationships/oleObject" Target="embeddings/oleObject4612.bin"/><Relationship Id="rId11193" Type="http://schemas.openxmlformats.org/officeDocument/2006/relationships/image" Target="media/image5608.wmf"/><Relationship Id="rId12244" Type="http://schemas.openxmlformats.org/officeDocument/2006/relationships/image" Target="media/image6135.wmf"/><Relationship Id="rId208" Type="http://schemas.openxmlformats.org/officeDocument/2006/relationships/image" Target="media/image103.wmf"/><Relationship Id="rId622" Type="http://schemas.openxmlformats.org/officeDocument/2006/relationships/image" Target="media/image312.wmf"/><Relationship Id="rId1252" Type="http://schemas.openxmlformats.org/officeDocument/2006/relationships/image" Target="media/image631.wmf"/><Relationship Id="rId2303" Type="http://schemas.openxmlformats.org/officeDocument/2006/relationships/image" Target="media/image1158.wmf"/><Relationship Id="rId5459" Type="http://schemas.openxmlformats.org/officeDocument/2006/relationships/image" Target="media/image2740.wmf"/><Relationship Id="rId9330" Type="http://schemas.openxmlformats.org/officeDocument/2006/relationships/image" Target="media/image4674.wmf"/><Relationship Id="rId4475" Type="http://schemas.openxmlformats.org/officeDocument/2006/relationships/oleObject" Target="embeddings/oleObject2229.bin"/><Relationship Id="rId5873" Type="http://schemas.openxmlformats.org/officeDocument/2006/relationships/image" Target="media/image2947.wmf"/><Relationship Id="rId6924" Type="http://schemas.openxmlformats.org/officeDocument/2006/relationships/oleObject" Target="embeddings/oleObject3447.bin"/><Relationship Id="rId11260" Type="http://schemas.openxmlformats.org/officeDocument/2006/relationships/oleObject" Target="embeddings/oleObject5583.bin"/><Relationship Id="rId12311" Type="http://schemas.openxmlformats.org/officeDocument/2006/relationships/image" Target="media/image6170.wmf"/><Relationship Id="rId14069" Type="http://schemas.openxmlformats.org/officeDocument/2006/relationships/image" Target="media/image7049.wmf"/><Relationship Id="rId3077" Type="http://schemas.openxmlformats.org/officeDocument/2006/relationships/image" Target="media/image1548.wmf"/><Relationship Id="rId4128" Type="http://schemas.openxmlformats.org/officeDocument/2006/relationships/oleObject" Target="embeddings/oleObject2055.bin"/><Relationship Id="rId5526" Type="http://schemas.openxmlformats.org/officeDocument/2006/relationships/oleObject" Target="embeddings/oleObject2752.bin"/><Relationship Id="rId5940" Type="http://schemas.openxmlformats.org/officeDocument/2006/relationships/oleObject" Target="embeddings/oleObject2959.bin"/><Relationship Id="rId14483" Type="http://schemas.openxmlformats.org/officeDocument/2006/relationships/image" Target="media/image7256.wmf"/><Relationship Id="rId2093" Type="http://schemas.openxmlformats.org/officeDocument/2006/relationships/oleObject" Target="embeddings/oleObject1034.bin"/><Relationship Id="rId3491" Type="http://schemas.openxmlformats.org/officeDocument/2006/relationships/oleObject" Target="embeddings/oleObject1736.bin"/><Relationship Id="rId4542" Type="http://schemas.openxmlformats.org/officeDocument/2006/relationships/image" Target="media/image2281.wmf"/><Relationship Id="rId7698" Type="http://schemas.openxmlformats.org/officeDocument/2006/relationships/image" Target="media/image3858.wmf"/><Relationship Id="rId8749" Type="http://schemas.openxmlformats.org/officeDocument/2006/relationships/image" Target="media/image4384.wmf"/><Relationship Id="rId10679" Type="http://schemas.openxmlformats.org/officeDocument/2006/relationships/oleObject" Target="embeddings/oleObject5304.bin"/><Relationship Id="rId13085" Type="http://schemas.openxmlformats.org/officeDocument/2006/relationships/image" Target="media/image6557.wmf"/><Relationship Id="rId14136" Type="http://schemas.openxmlformats.org/officeDocument/2006/relationships/oleObject" Target="embeddings/oleObject7014.bin"/><Relationship Id="rId14550" Type="http://schemas.openxmlformats.org/officeDocument/2006/relationships/oleObject" Target="embeddings/oleObject7215.bin"/><Relationship Id="rId3144" Type="http://schemas.openxmlformats.org/officeDocument/2006/relationships/oleObject" Target="embeddings/oleObject1560.bin"/><Relationship Id="rId7765" Type="http://schemas.openxmlformats.org/officeDocument/2006/relationships/oleObject" Target="embeddings/oleObject3867.bin"/><Relationship Id="rId8816" Type="http://schemas.openxmlformats.org/officeDocument/2006/relationships/oleObject" Target="embeddings/oleObject4391.bin"/><Relationship Id="rId10746" Type="http://schemas.openxmlformats.org/officeDocument/2006/relationships/image" Target="media/image5382.wmf"/><Relationship Id="rId13152" Type="http://schemas.openxmlformats.org/officeDocument/2006/relationships/oleObject" Target="embeddings/oleObject6523.bin"/><Relationship Id="rId14203" Type="http://schemas.openxmlformats.org/officeDocument/2006/relationships/image" Target="media/image7116.wmf"/><Relationship Id="rId2160" Type="http://schemas.openxmlformats.org/officeDocument/2006/relationships/image" Target="media/image1086.wmf"/><Relationship Id="rId3211" Type="http://schemas.openxmlformats.org/officeDocument/2006/relationships/image" Target="media/image1615.wmf"/><Relationship Id="rId6367" Type="http://schemas.openxmlformats.org/officeDocument/2006/relationships/image" Target="media/image3193.wmf"/><Relationship Id="rId6781" Type="http://schemas.openxmlformats.org/officeDocument/2006/relationships/image" Target="media/image3400.wmf"/><Relationship Id="rId7418" Type="http://schemas.openxmlformats.org/officeDocument/2006/relationships/image" Target="media/image3718.wmf"/><Relationship Id="rId7832" Type="http://schemas.openxmlformats.org/officeDocument/2006/relationships/image" Target="media/image3925.wmf"/><Relationship Id="rId132" Type="http://schemas.openxmlformats.org/officeDocument/2006/relationships/oleObject" Target="embeddings/oleObject62.bin"/><Relationship Id="rId5383" Type="http://schemas.openxmlformats.org/officeDocument/2006/relationships/image" Target="media/image2702.wmf"/><Relationship Id="rId6434" Type="http://schemas.openxmlformats.org/officeDocument/2006/relationships/oleObject" Target="embeddings/oleObject3207.bin"/><Relationship Id="rId10813" Type="http://schemas.openxmlformats.org/officeDocument/2006/relationships/oleObject" Target="embeddings/oleObject5369.bin"/><Relationship Id="rId13969" Type="http://schemas.openxmlformats.org/officeDocument/2006/relationships/image" Target="media/image6999.wmf"/><Relationship Id="rId1579" Type="http://schemas.openxmlformats.org/officeDocument/2006/relationships/oleObject" Target="embeddings/oleObject777.bin"/><Relationship Id="rId2977" Type="http://schemas.openxmlformats.org/officeDocument/2006/relationships/image" Target="media/image1498.wmf"/><Relationship Id="rId5036" Type="http://schemas.openxmlformats.org/officeDocument/2006/relationships/image" Target="media/image2528.wmf"/><Relationship Id="rId5450" Type="http://schemas.openxmlformats.org/officeDocument/2006/relationships/oleObject" Target="embeddings/oleObject2714.bin"/><Relationship Id="rId12985" Type="http://schemas.openxmlformats.org/officeDocument/2006/relationships/image" Target="media/image6507.wmf"/><Relationship Id="rId949" Type="http://schemas.openxmlformats.org/officeDocument/2006/relationships/image" Target="media/image480.wmf"/><Relationship Id="rId1993" Type="http://schemas.openxmlformats.org/officeDocument/2006/relationships/oleObject" Target="embeddings/oleObject984.bin"/><Relationship Id="rId4052" Type="http://schemas.openxmlformats.org/officeDocument/2006/relationships/oleObject" Target="embeddings/oleObject2017.bin"/><Relationship Id="rId5103" Type="http://schemas.openxmlformats.org/officeDocument/2006/relationships/oleObject" Target="embeddings/oleObject2541.bin"/><Relationship Id="rId6501" Type="http://schemas.openxmlformats.org/officeDocument/2006/relationships/image" Target="media/image3260.wmf"/><Relationship Id="rId8259" Type="http://schemas.openxmlformats.org/officeDocument/2006/relationships/oleObject" Target="embeddings/oleObject4114.bin"/><Relationship Id="rId9657" Type="http://schemas.openxmlformats.org/officeDocument/2006/relationships/oleObject" Target="embeddings/oleObject4807.bin"/><Relationship Id="rId11587" Type="http://schemas.openxmlformats.org/officeDocument/2006/relationships/image" Target="media/image5805.wmf"/><Relationship Id="rId12638" Type="http://schemas.openxmlformats.org/officeDocument/2006/relationships/oleObject" Target="embeddings/oleObject6268.bin"/><Relationship Id="rId1646" Type="http://schemas.openxmlformats.org/officeDocument/2006/relationships/image" Target="media/image829.wmf"/><Relationship Id="rId8673" Type="http://schemas.openxmlformats.org/officeDocument/2006/relationships/image" Target="media/image4346.wmf"/><Relationship Id="rId9724" Type="http://schemas.openxmlformats.org/officeDocument/2006/relationships/image" Target="media/image4871.wmf"/><Relationship Id="rId10189" Type="http://schemas.openxmlformats.org/officeDocument/2006/relationships/image" Target="media/image5103.wmf"/><Relationship Id="rId11654" Type="http://schemas.openxmlformats.org/officeDocument/2006/relationships/oleObject" Target="embeddings/oleObject5780.bin"/><Relationship Id="rId12705" Type="http://schemas.openxmlformats.org/officeDocument/2006/relationships/image" Target="media/image6367.wmf"/><Relationship Id="rId14060" Type="http://schemas.openxmlformats.org/officeDocument/2006/relationships/oleObject" Target="embeddings/oleObject6976.bin"/><Relationship Id="rId1713" Type="http://schemas.openxmlformats.org/officeDocument/2006/relationships/oleObject" Target="embeddings/oleObject844.bin"/><Relationship Id="rId4869" Type="http://schemas.openxmlformats.org/officeDocument/2006/relationships/oleObject" Target="embeddings/oleObject2425.bin"/><Relationship Id="rId7275" Type="http://schemas.openxmlformats.org/officeDocument/2006/relationships/oleObject" Target="embeddings/oleObject3622.bin"/><Relationship Id="rId8326" Type="http://schemas.openxmlformats.org/officeDocument/2006/relationships/image" Target="media/image4172.wmf"/><Relationship Id="rId8740" Type="http://schemas.openxmlformats.org/officeDocument/2006/relationships/oleObject" Target="embeddings/oleObject4353.bin"/><Relationship Id="rId10256" Type="http://schemas.openxmlformats.org/officeDocument/2006/relationships/oleObject" Target="embeddings/oleObject5095.bin"/><Relationship Id="rId10670" Type="http://schemas.openxmlformats.org/officeDocument/2006/relationships/image" Target="media/image5344.wmf"/><Relationship Id="rId11307" Type="http://schemas.openxmlformats.org/officeDocument/2006/relationships/image" Target="media/image5665.wmf"/><Relationship Id="rId11721" Type="http://schemas.openxmlformats.org/officeDocument/2006/relationships/oleObject" Target="embeddings/oleObject5812.bin"/><Relationship Id="rId3885" Type="http://schemas.openxmlformats.org/officeDocument/2006/relationships/oleObject" Target="embeddings/oleObject1933.bin"/><Relationship Id="rId4936" Type="http://schemas.openxmlformats.org/officeDocument/2006/relationships/image" Target="media/image2478.wmf"/><Relationship Id="rId6291" Type="http://schemas.openxmlformats.org/officeDocument/2006/relationships/image" Target="media/image3156.wmf"/><Relationship Id="rId7342" Type="http://schemas.openxmlformats.org/officeDocument/2006/relationships/image" Target="media/image3680.wmf"/><Relationship Id="rId10323" Type="http://schemas.openxmlformats.org/officeDocument/2006/relationships/image" Target="media/image5170.wmf"/><Relationship Id="rId13479" Type="http://schemas.openxmlformats.org/officeDocument/2006/relationships/oleObject" Target="embeddings/oleObject6685.bin"/><Relationship Id="rId2487" Type="http://schemas.openxmlformats.org/officeDocument/2006/relationships/oleObject" Target="embeddings/oleObject1231.bin"/><Relationship Id="rId3538" Type="http://schemas.openxmlformats.org/officeDocument/2006/relationships/image" Target="media/image1780.wmf"/><Relationship Id="rId12495" Type="http://schemas.openxmlformats.org/officeDocument/2006/relationships/image" Target="media/image6262.wmf"/><Relationship Id="rId13893" Type="http://schemas.openxmlformats.org/officeDocument/2006/relationships/image" Target="media/image6961.wmf"/><Relationship Id="rId459" Type="http://schemas.openxmlformats.org/officeDocument/2006/relationships/image" Target="media/image229.wmf"/><Relationship Id="rId873" Type="http://schemas.openxmlformats.org/officeDocument/2006/relationships/oleObject" Target="embeddings/oleObject428.bin"/><Relationship Id="rId1089" Type="http://schemas.openxmlformats.org/officeDocument/2006/relationships/image" Target="media/image550.wmf"/><Relationship Id="rId2554" Type="http://schemas.openxmlformats.org/officeDocument/2006/relationships/image" Target="media/image1287.wmf"/><Relationship Id="rId3952" Type="http://schemas.openxmlformats.org/officeDocument/2006/relationships/image" Target="media/image1987.wmf"/><Relationship Id="rId6011" Type="http://schemas.openxmlformats.org/officeDocument/2006/relationships/image" Target="media/image3016.wmf"/><Relationship Id="rId9167" Type="http://schemas.openxmlformats.org/officeDocument/2006/relationships/oleObject" Target="embeddings/oleObject4564.bin"/><Relationship Id="rId9581" Type="http://schemas.openxmlformats.org/officeDocument/2006/relationships/oleObject" Target="embeddings/oleObject4769.bin"/><Relationship Id="rId11097" Type="http://schemas.openxmlformats.org/officeDocument/2006/relationships/image" Target="media/image5560.wmf"/><Relationship Id="rId12148" Type="http://schemas.openxmlformats.org/officeDocument/2006/relationships/image" Target="media/image6087.wmf"/><Relationship Id="rId13546" Type="http://schemas.openxmlformats.org/officeDocument/2006/relationships/image" Target="media/image6788.wmf"/><Relationship Id="rId13960" Type="http://schemas.openxmlformats.org/officeDocument/2006/relationships/oleObject" Target="embeddings/oleObject6926.bin"/><Relationship Id="rId526" Type="http://schemas.openxmlformats.org/officeDocument/2006/relationships/oleObject" Target="embeddings/oleObject254.bin"/><Relationship Id="rId1156" Type="http://schemas.openxmlformats.org/officeDocument/2006/relationships/oleObject" Target="embeddings/oleObject568.bin"/><Relationship Id="rId2207" Type="http://schemas.openxmlformats.org/officeDocument/2006/relationships/oleObject" Target="embeddings/oleObject1091.bin"/><Relationship Id="rId3605" Type="http://schemas.openxmlformats.org/officeDocument/2006/relationships/oleObject" Target="embeddings/oleObject1793.bin"/><Relationship Id="rId8183" Type="http://schemas.openxmlformats.org/officeDocument/2006/relationships/oleObject" Target="embeddings/oleObject4076.bin"/><Relationship Id="rId9234" Type="http://schemas.openxmlformats.org/officeDocument/2006/relationships/image" Target="media/image4626.wmf"/><Relationship Id="rId12562" Type="http://schemas.openxmlformats.org/officeDocument/2006/relationships/oleObject" Target="embeddings/oleObject6230.bin"/><Relationship Id="rId13613" Type="http://schemas.openxmlformats.org/officeDocument/2006/relationships/oleObject" Target="embeddings/oleObject6752.bin"/><Relationship Id="rId940" Type="http://schemas.openxmlformats.org/officeDocument/2006/relationships/oleObject" Target="embeddings/oleObject461.bin"/><Relationship Id="rId1570" Type="http://schemas.openxmlformats.org/officeDocument/2006/relationships/image" Target="media/image790.wmf"/><Relationship Id="rId2621" Type="http://schemas.openxmlformats.org/officeDocument/2006/relationships/oleObject" Target="embeddings/oleObject1298.bin"/><Relationship Id="rId5777" Type="http://schemas.openxmlformats.org/officeDocument/2006/relationships/image" Target="media/image2899.wmf"/><Relationship Id="rId6828" Type="http://schemas.openxmlformats.org/officeDocument/2006/relationships/oleObject" Target="embeddings/oleObject3399.bin"/><Relationship Id="rId11164" Type="http://schemas.openxmlformats.org/officeDocument/2006/relationships/oleObject" Target="embeddings/oleObject5535.bin"/><Relationship Id="rId12215" Type="http://schemas.openxmlformats.org/officeDocument/2006/relationships/oleObject" Target="embeddings/oleObject6059.bin"/><Relationship Id="rId1223" Type="http://schemas.openxmlformats.org/officeDocument/2006/relationships/oleObject" Target="embeddings/oleObject602.bin"/><Relationship Id="rId4379" Type="http://schemas.openxmlformats.org/officeDocument/2006/relationships/oleObject" Target="embeddings/oleObject2181.bin"/><Relationship Id="rId4793" Type="http://schemas.openxmlformats.org/officeDocument/2006/relationships/oleObject" Target="embeddings/oleObject2388.bin"/><Relationship Id="rId5844" Type="http://schemas.openxmlformats.org/officeDocument/2006/relationships/oleObject" Target="embeddings/oleObject2911.bin"/><Relationship Id="rId8250" Type="http://schemas.openxmlformats.org/officeDocument/2006/relationships/image" Target="media/image4134.wmf"/><Relationship Id="rId9301" Type="http://schemas.openxmlformats.org/officeDocument/2006/relationships/oleObject" Target="embeddings/oleObject4631.bin"/><Relationship Id="rId10180" Type="http://schemas.openxmlformats.org/officeDocument/2006/relationships/oleObject" Target="embeddings/oleObject5058.bin"/><Relationship Id="rId11231" Type="http://schemas.openxmlformats.org/officeDocument/2006/relationships/image" Target="media/image5627.wmf"/><Relationship Id="rId14387" Type="http://schemas.openxmlformats.org/officeDocument/2006/relationships/image" Target="media/image7208.wmf"/><Relationship Id="rId3395" Type="http://schemas.openxmlformats.org/officeDocument/2006/relationships/oleObject" Target="embeddings/oleObject1687.bin"/><Relationship Id="rId4446" Type="http://schemas.openxmlformats.org/officeDocument/2006/relationships/image" Target="media/image2233.wmf"/><Relationship Id="rId4860" Type="http://schemas.openxmlformats.org/officeDocument/2006/relationships/image" Target="media/image2440.wmf"/><Relationship Id="rId5911" Type="http://schemas.openxmlformats.org/officeDocument/2006/relationships/image" Target="media/image2966.wmf"/><Relationship Id="rId14454" Type="http://schemas.openxmlformats.org/officeDocument/2006/relationships/oleObject" Target="embeddings/oleObject7167.bin"/><Relationship Id="rId3048" Type="http://schemas.openxmlformats.org/officeDocument/2006/relationships/oleObject" Target="embeddings/oleObject1512.bin"/><Relationship Id="rId3462" Type="http://schemas.openxmlformats.org/officeDocument/2006/relationships/image" Target="media/image1742.wmf"/><Relationship Id="rId4513" Type="http://schemas.openxmlformats.org/officeDocument/2006/relationships/oleObject" Target="embeddings/oleObject2248.bin"/><Relationship Id="rId7669" Type="http://schemas.openxmlformats.org/officeDocument/2006/relationships/oleObject" Target="embeddings/oleObject3819.bin"/><Relationship Id="rId10997" Type="http://schemas.openxmlformats.org/officeDocument/2006/relationships/oleObject" Target="embeddings/oleObject5454.bin"/><Relationship Id="rId13056" Type="http://schemas.openxmlformats.org/officeDocument/2006/relationships/oleObject" Target="embeddings/oleObject6475.bin"/><Relationship Id="rId14107" Type="http://schemas.openxmlformats.org/officeDocument/2006/relationships/image" Target="media/image7068.wmf"/><Relationship Id="rId383" Type="http://schemas.openxmlformats.org/officeDocument/2006/relationships/image" Target="media/image191.wmf"/><Relationship Id="rId2064" Type="http://schemas.openxmlformats.org/officeDocument/2006/relationships/image" Target="media/image1038.wmf"/><Relationship Id="rId3115" Type="http://schemas.openxmlformats.org/officeDocument/2006/relationships/image" Target="media/image1567.wmf"/><Relationship Id="rId6685" Type="http://schemas.openxmlformats.org/officeDocument/2006/relationships/image" Target="media/image3352.wmf"/><Relationship Id="rId9091" Type="http://schemas.openxmlformats.org/officeDocument/2006/relationships/image" Target="media/image4555.wmf"/><Relationship Id="rId12072" Type="http://schemas.openxmlformats.org/officeDocument/2006/relationships/image" Target="media/image6049.wmf"/><Relationship Id="rId13123" Type="http://schemas.openxmlformats.org/officeDocument/2006/relationships/image" Target="media/image6576.wmf"/><Relationship Id="rId13470" Type="http://schemas.openxmlformats.org/officeDocument/2006/relationships/image" Target="media/image6750.wmf"/><Relationship Id="rId14521" Type="http://schemas.openxmlformats.org/officeDocument/2006/relationships/image" Target="media/image7275.wmf"/><Relationship Id="rId450" Type="http://schemas.openxmlformats.org/officeDocument/2006/relationships/oleObject" Target="embeddings/oleObject216.bin"/><Relationship Id="rId1080" Type="http://schemas.openxmlformats.org/officeDocument/2006/relationships/oleObject" Target="embeddings/oleObject530.bin"/><Relationship Id="rId2131" Type="http://schemas.openxmlformats.org/officeDocument/2006/relationships/oleObject" Target="embeddings/oleObject1053.bin"/><Relationship Id="rId5287" Type="http://schemas.openxmlformats.org/officeDocument/2006/relationships/image" Target="media/image2654.wmf"/><Relationship Id="rId6338" Type="http://schemas.openxmlformats.org/officeDocument/2006/relationships/oleObject" Target="embeddings/oleObject3159.bin"/><Relationship Id="rId7736" Type="http://schemas.openxmlformats.org/officeDocument/2006/relationships/image" Target="media/image3877.wmf"/><Relationship Id="rId10717" Type="http://schemas.openxmlformats.org/officeDocument/2006/relationships/oleObject" Target="embeddings/oleObject5321.bin"/><Relationship Id="rId103" Type="http://schemas.openxmlformats.org/officeDocument/2006/relationships/image" Target="media/image49.wmf"/><Relationship Id="rId6752" Type="http://schemas.openxmlformats.org/officeDocument/2006/relationships/oleObject" Target="embeddings/oleObject3363.bin"/><Relationship Id="rId7803" Type="http://schemas.openxmlformats.org/officeDocument/2006/relationships/oleObject" Target="embeddings/oleObject3886.bin"/><Relationship Id="rId12889" Type="http://schemas.openxmlformats.org/officeDocument/2006/relationships/image" Target="media/image6459.wmf"/><Relationship Id="rId1897" Type="http://schemas.openxmlformats.org/officeDocument/2006/relationships/oleObject" Target="embeddings/oleObject936.bin"/><Relationship Id="rId2948" Type="http://schemas.openxmlformats.org/officeDocument/2006/relationships/oleObject" Target="embeddings/oleObject1462.bin"/><Relationship Id="rId5354" Type="http://schemas.openxmlformats.org/officeDocument/2006/relationships/oleObject" Target="embeddings/oleObject2666.bin"/><Relationship Id="rId6405" Type="http://schemas.openxmlformats.org/officeDocument/2006/relationships/image" Target="media/image3212.wmf"/><Relationship Id="rId9975" Type="http://schemas.openxmlformats.org/officeDocument/2006/relationships/image" Target="media/image4996.wmf"/><Relationship Id="rId12956" Type="http://schemas.openxmlformats.org/officeDocument/2006/relationships/oleObject" Target="embeddings/oleObject6427.bin"/><Relationship Id="rId1964" Type="http://schemas.openxmlformats.org/officeDocument/2006/relationships/image" Target="media/image988.wmf"/><Relationship Id="rId4370" Type="http://schemas.openxmlformats.org/officeDocument/2006/relationships/image" Target="media/image2195.wmf"/><Relationship Id="rId5007" Type="http://schemas.openxmlformats.org/officeDocument/2006/relationships/oleObject" Target="embeddings/oleObject2493.bin"/><Relationship Id="rId5421" Type="http://schemas.openxmlformats.org/officeDocument/2006/relationships/image" Target="media/image2721.wmf"/><Relationship Id="rId8577" Type="http://schemas.openxmlformats.org/officeDocument/2006/relationships/oleObject" Target="embeddings/oleObject4273.bin"/><Relationship Id="rId8991" Type="http://schemas.openxmlformats.org/officeDocument/2006/relationships/image" Target="media/image4505.wmf"/><Relationship Id="rId9628" Type="http://schemas.openxmlformats.org/officeDocument/2006/relationships/image" Target="media/image4823.wmf"/><Relationship Id="rId11558" Type="http://schemas.openxmlformats.org/officeDocument/2006/relationships/oleObject" Target="embeddings/oleObject5732.bin"/><Relationship Id="rId12609" Type="http://schemas.openxmlformats.org/officeDocument/2006/relationships/image" Target="media/image6319.wmf"/><Relationship Id="rId1617" Type="http://schemas.openxmlformats.org/officeDocument/2006/relationships/oleObject" Target="embeddings/oleObject796.bin"/><Relationship Id="rId4023" Type="http://schemas.openxmlformats.org/officeDocument/2006/relationships/image" Target="media/image2022.wmf"/><Relationship Id="rId7179" Type="http://schemas.openxmlformats.org/officeDocument/2006/relationships/oleObject" Target="embeddings/oleObject3574.bin"/><Relationship Id="rId7593" Type="http://schemas.openxmlformats.org/officeDocument/2006/relationships/oleObject" Target="embeddings/oleObject3781.bin"/><Relationship Id="rId8644" Type="http://schemas.openxmlformats.org/officeDocument/2006/relationships/image" Target="media/image4331.wmf"/><Relationship Id="rId11972" Type="http://schemas.openxmlformats.org/officeDocument/2006/relationships/image" Target="media/image5999.wmf"/><Relationship Id="rId14031" Type="http://schemas.openxmlformats.org/officeDocument/2006/relationships/image" Target="media/image7030.wmf"/><Relationship Id="rId3789" Type="http://schemas.openxmlformats.org/officeDocument/2006/relationships/oleObject" Target="embeddings/oleObject1885.bin"/><Relationship Id="rId6195" Type="http://schemas.openxmlformats.org/officeDocument/2006/relationships/image" Target="media/image3108.wmf"/><Relationship Id="rId7246" Type="http://schemas.openxmlformats.org/officeDocument/2006/relationships/image" Target="media/image3632.wmf"/><Relationship Id="rId7660" Type="http://schemas.openxmlformats.org/officeDocument/2006/relationships/image" Target="media/image3839.wmf"/><Relationship Id="rId10227" Type="http://schemas.openxmlformats.org/officeDocument/2006/relationships/image" Target="media/image5122.wmf"/><Relationship Id="rId10574" Type="http://schemas.openxmlformats.org/officeDocument/2006/relationships/image" Target="media/image5296.wmf"/><Relationship Id="rId11625" Type="http://schemas.openxmlformats.org/officeDocument/2006/relationships/image" Target="media/image5824.wmf"/><Relationship Id="rId6262" Type="http://schemas.openxmlformats.org/officeDocument/2006/relationships/oleObject" Target="embeddings/oleObject3120.bin"/><Relationship Id="rId7313" Type="http://schemas.openxmlformats.org/officeDocument/2006/relationships/oleObject" Target="embeddings/oleObject3641.bin"/><Relationship Id="rId8711" Type="http://schemas.openxmlformats.org/officeDocument/2006/relationships/image" Target="media/image4365.wmf"/><Relationship Id="rId10641" Type="http://schemas.openxmlformats.org/officeDocument/2006/relationships/oleObject" Target="embeddings/oleObject5285.bin"/><Relationship Id="rId13797" Type="http://schemas.openxmlformats.org/officeDocument/2006/relationships/image" Target="media/image6913.wmf"/><Relationship Id="rId3856" Type="http://schemas.openxmlformats.org/officeDocument/2006/relationships/image" Target="media/image1939.wmf"/><Relationship Id="rId4907" Type="http://schemas.openxmlformats.org/officeDocument/2006/relationships/oleObject" Target="embeddings/oleObject2444.bin"/><Relationship Id="rId12399" Type="http://schemas.openxmlformats.org/officeDocument/2006/relationships/image" Target="media/image6214.wmf"/><Relationship Id="rId13864" Type="http://schemas.openxmlformats.org/officeDocument/2006/relationships/oleObject" Target="embeddings/oleObject6878.bin"/><Relationship Id="rId777" Type="http://schemas.openxmlformats.org/officeDocument/2006/relationships/oleObject" Target="embeddings/oleObject380.bin"/><Relationship Id="rId2458" Type="http://schemas.openxmlformats.org/officeDocument/2006/relationships/image" Target="media/image1238.emf"/><Relationship Id="rId2872" Type="http://schemas.openxmlformats.org/officeDocument/2006/relationships/oleObject" Target="embeddings/oleObject1424.bin"/><Relationship Id="rId3509" Type="http://schemas.openxmlformats.org/officeDocument/2006/relationships/oleObject" Target="embeddings/oleObject1745.bin"/><Relationship Id="rId3923" Type="http://schemas.openxmlformats.org/officeDocument/2006/relationships/oleObject" Target="embeddings/oleObject1952.bin"/><Relationship Id="rId8087" Type="http://schemas.openxmlformats.org/officeDocument/2006/relationships/oleObject" Target="embeddings/oleObject4028.bin"/><Relationship Id="rId9485" Type="http://schemas.openxmlformats.org/officeDocument/2006/relationships/oleObject" Target="embeddings/oleObject4721.bin"/><Relationship Id="rId12466" Type="http://schemas.openxmlformats.org/officeDocument/2006/relationships/oleObject" Target="embeddings/oleObject6182.bin"/><Relationship Id="rId12880" Type="http://schemas.openxmlformats.org/officeDocument/2006/relationships/oleObject" Target="embeddings/oleObject6389.bin"/><Relationship Id="rId13517" Type="http://schemas.openxmlformats.org/officeDocument/2006/relationships/oleObject" Target="embeddings/oleObject6704.bin"/><Relationship Id="rId13931" Type="http://schemas.openxmlformats.org/officeDocument/2006/relationships/image" Target="media/image6980.wmf"/><Relationship Id="rId844" Type="http://schemas.openxmlformats.org/officeDocument/2006/relationships/image" Target="media/image427.wmf"/><Relationship Id="rId1474" Type="http://schemas.openxmlformats.org/officeDocument/2006/relationships/image" Target="media/image742.wmf"/><Relationship Id="rId2525" Type="http://schemas.openxmlformats.org/officeDocument/2006/relationships/oleObject" Target="embeddings/oleObject1250.bin"/><Relationship Id="rId9138" Type="http://schemas.openxmlformats.org/officeDocument/2006/relationships/oleObject" Target="embeddings/oleObject4549.bin"/><Relationship Id="rId9552" Type="http://schemas.openxmlformats.org/officeDocument/2006/relationships/image" Target="media/image4785.wmf"/><Relationship Id="rId11068" Type="http://schemas.openxmlformats.org/officeDocument/2006/relationships/oleObject" Target="embeddings/oleObject5487.bin"/><Relationship Id="rId11482" Type="http://schemas.openxmlformats.org/officeDocument/2006/relationships/oleObject" Target="embeddings/oleObject5694.bin"/><Relationship Id="rId12119" Type="http://schemas.openxmlformats.org/officeDocument/2006/relationships/oleObject" Target="embeddings/oleObject6011.bin"/><Relationship Id="rId12533" Type="http://schemas.openxmlformats.org/officeDocument/2006/relationships/image" Target="media/image6281.wmf"/><Relationship Id="rId911" Type="http://schemas.openxmlformats.org/officeDocument/2006/relationships/oleObject" Target="embeddings/oleObject447.bin"/><Relationship Id="rId1127" Type="http://schemas.openxmlformats.org/officeDocument/2006/relationships/image" Target="media/image569.wmf"/><Relationship Id="rId1541" Type="http://schemas.openxmlformats.org/officeDocument/2006/relationships/oleObject" Target="embeddings/oleObject757.bin"/><Relationship Id="rId4697" Type="http://schemas.openxmlformats.org/officeDocument/2006/relationships/oleObject" Target="embeddings/oleObject2340.bin"/><Relationship Id="rId5748" Type="http://schemas.openxmlformats.org/officeDocument/2006/relationships/oleObject" Target="embeddings/oleObject2863.bin"/><Relationship Id="rId8154" Type="http://schemas.openxmlformats.org/officeDocument/2006/relationships/image" Target="media/image4086.wmf"/><Relationship Id="rId9205" Type="http://schemas.openxmlformats.org/officeDocument/2006/relationships/oleObject" Target="embeddings/oleObject4583.bin"/><Relationship Id="rId10084" Type="http://schemas.openxmlformats.org/officeDocument/2006/relationships/oleObject" Target="embeddings/oleObject5011.bin"/><Relationship Id="rId11135" Type="http://schemas.openxmlformats.org/officeDocument/2006/relationships/image" Target="media/image5579.wmf"/><Relationship Id="rId3299" Type="http://schemas.openxmlformats.org/officeDocument/2006/relationships/oleObject" Target="embeddings/oleObject1638.bin"/><Relationship Id="rId4764" Type="http://schemas.openxmlformats.org/officeDocument/2006/relationships/image" Target="media/image2392.wmf"/><Relationship Id="rId7170" Type="http://schemas.openxmlformats.org/officeDocument/2006/relationships/image" Target="media/image3594.wmf"/><Relationship Id="rId8221" Type="http://schemas.openxmlformats.org/officeDocument/2006/relationships/oleObject" Target="embeddings/oleObject4095.bin"/><Relationship Id="rId10151" Type="http://schemas.openxmlformats.org/officeDocument/2006/relationships/image" Target="media/image5084.wmf"/><Relationship Id="rId11202" Type="http://schemas.openxmlformats.org/officeDocument/2006/relationships/oleObject" Target="embeddings/oleObject5554.bin"/><Relationship Id="rId12600" Type="http://schemas.openxmlformats.org/officeDocument/2006/relationships/oleObject" Target="embeddings/oleObject6249.bin"/><Relationship Id="rId14358" Type="http://schemas.openxmlformats.org/officeDocument/2006/relationships/oleObject" Target="embeddings/oleObject7125.bin"/><Relationship Id="rId3366" Type="http://schemas.openxmlformats.org/officeDocument/2006/relationships/image" Target="media/image1692.wmf"/><Relationship Id="rId4417" Type="http://schemas.openxmlformats.org/officeDocument/2006/relationships/oleObject" Target="embeddings/oleObject2200.bin"/><Relationship Id="rId5815" Type="http://schemas.openxmlformats.org/officeDocument/2006/relationships/image" Target="media/image2918.wmf"/><Relationship Id="rId287" Type="http://schemas.openxmlformats.org/officeDocument/2006/relationships/oleObject" Target="embeddings/oleObject138.bin"/><Relationship Id="rId2382" Type="http://schemas.openxmlformats.org/officeDocument/2006/relationships/oleObject" Target="embeddings/oleObject1180.bin"/><Relationship Id="rId3019" Type="http://schemas.openxmlformats.org/officeDocument/2006/relationships/image" Target="media/image1519.wmf"/><Relationship Id="rId3780" Type="http://schemas.openxmlformats.org/officeDocument/2006/relationships/image" Target="media/image1901.wmf"/><Relationship Id="rId4831" Type="http://schemas.openxmlformats.org/officeDocument/2006/relationships/oleObject" Target="embeddings/oleObject2406.bin"/><Relationship Id="rId7987" Type="http://schemas.openxmlformats.org/officeDocument/2006/relationships/oleObject" Target="embeddings/oleObject3978.bin"/><Relationship Id="rId10968" Type="http://schemas.openxmlformats.org/officeDocument/2006/relationships/image" Target="media/image5494.wmf"/><Relationship Id="rId13374" Type="http://schemas.openxmlformats.org/officeDocument/2006/relationships/image" Target="media/image6702.wmf"/><Relationship Id="rId14425" Type="http://schemas.openxmlformats.org/officeDocument/2006/relationships/image" Target="media/image7227.png"/><Relationship Id="rId354" Type="http://schemas.openxmlformats.org/officeDocument/2006/relationships/image" Target="media/image176.wmf"/><Relationship Id="rId2035" Type="http://schemas.openxmlformats.org/officeDocument/2006/relationships/oleObject" Target="embeddings/oleObject1005.bin"/><Relationship Id="rId3433" Type="http://schemas.openxmlformats.org/officeDocument/2006/relationships/oleObject" Target="embeddings/oleObject1707.bin"/><Relationship Id="rId6589" Type="http://schemas.openxmlformats.org/officeDocument/2006/relationships/image" Target="media/image3304.wmf"/><Relationship Id="rId9062" Type="http://schemas.openxmlformats.org/officeDocument/2006/relationships/oleObject" Target="embeddings/oleObject4511.bin"/><Relationship Id="rId12390" Type="http://schemas.openxmlformats.org/officeDocument/2006/relationships/oleObject" Target="embeddings/oleObject6144.bin"/><Relationship Id="rId13027" Type="http://schemas.openxmlformats.org/officeDocument/2006/relationships/image" Target="media/image6528.wmf"/><Relationship Id="rId13441" Type="http://schemas.openxmlformats.org/officeDocument/2006/relationships/oleObject" Target="embeddings/oleObject6666.bin"/><Relationship Id="rId3500" Type="http://schemas.openxmlformats.org/officeDocument/2006/relationships/image" Target="media/image1761.wmf"/><Relationship Id="rId6656" Type="http://schemas.openxmlformats.org/officeDocument/2006/relationships/oleObject" Target="embeddings/oleObject3315.bin"/><Relationship Id="rId7707" Type="http://schemas.openxmlformats.org/officeDocument/2006/relationships/oleObject" Target="embeddings/oleObject3838.bin"/><Relationship Id="rId12043" Type="http://schemas.openxmlformats.org/officeDocument/2006/relationships/oleObject" Target="embeddings/oleObject5973.bin"/><Relationship Id="rId421" Type="http://schemas.openxmlformats.org/officeDocument/2006/relationships/image" Target="media/image210.wmf"/><Relationship Id="rId1051" Type="http://schemas.openxmlformats.org/officeDocument/2006/relationships/image" Target="media/image531.wmf"/><Relationship Id="rId2102" Type="http://schemas.openxmlformats.org/officeDocument/2006/relationships/image" Target="media/image1057.wmf"/><Relationship Id="rId5258" Type="http://schemas.openxmlformats.org/officeDocument/2006/relationships/oleObject" Target="embeddings/oleObject2618.bin"/><Relationship Id="rId5672" Type="http://schemas.openxmlformats.org/officeDocument/2006/relationships/oleObject" Target="embeddings/oleObject2825.bin"/><Relationship Id="rId6309" Type="http://schemas.openxmlformats.org/officeDocument/2006/relationships/image" Target="media/image3165.wmf"/><Relationship Id="rId6723" Type="http://schemas.openxmlformats.org/officeDocument/2006/relationships/image" Target="media/image3371.wmf"/><Relationship Id="rId9879" Type="http://schemas.openxmlformats.org/officeDocument/2006/relationships/image" Target="media/image4948.wmf"/><Relationship Id="rId12110" Type="http://schemas.openxmlformats.org/officeDocument/2006/relationships/image" Target="media/image6068.wmf"/><Relationship Id="rId1868" Type="http://schemas.openxmlformats.org/officeDocument/2006/relationships/image" Target="media/image940.wmf"/><Relationship Id="rId4274" Type="http://schemas.openxmlformats.org/officeDocument/2006/relationships/oleObject" Target="embeddings/oleObject2128.bin"/><Relationship Id="rId5325" Type="http://schemas.openxmlformats.org/officeDocument/2006/relationships/image" Target="media/image2673.wmf"/><Relationship Id="rId8895" Type="http://schemas.openxmlformats.org/officeDocument/2006/relationships/image" Target="media/image4457.wmf"/><Relationship Id="rId14282" Type="http://schemas.openxmlformats.org/officeDocument/2006/relationships/oleObject" Target="embeddings/oleObject7087.bin"/><Relationship Id="rId2919" Type="http://schemas.openxmlformats.org/officeDocument/2006/relationships/image" Target="media/image1469.wmf"/><Relationship Id="rId3290" Type="http://schemas.openxmlformats.org/officeDocument/2006/relationships/image" Target="media/image1654.wmf"/><Relationship Id="rId4341" Type="http://schemas.openxmlformats.org/officeDocument/2006/relationships/oleObject" Target="embeddings/oleObject2162.bin"/><Relationship Id="rId7497" Type="http://schemas.openxmlformats.org/officeDocument/2006/relationships/oleObject" Target="embeddings/oleObject3733.bin"/><Relationship Id="rId8548" Type="http://schemas.openxmlformats.org/officeDocument/2006/relationships/image" Target="media/image4283.wmf"/><Relationship Id="rId9946" Type="http://schemas.openxmlformats.org/officeDocument/2006/relationships/oleObject" Target="embeddings/oleObject4943.bin"/><Relationship Id="rId11876" Type="http://schemas.openxmlformats.org/officeDocument/2006/relationships/image" Target="media/image5951.wmf"/><Relationship Id="rId12927" Type="http://schemas.openxmlformats.org/officeDocument/2006/relationships/image" Target="media/image6478.wmf"/><Relationship Id="rId1935" Type="http://schemas.openxmlformats.org/officeDocument/2006/relationships/oleObject" Target="embeddings/oleObject955.bin"/><Relationship Id="rId6099" Type="http://schemas.openxmlformats.org/officeDocument/2006/relationships/image" Target="media/image3060.wmf"/><Relationship Id="rId8962" Type="http://schemas.openxmlformats.org/officeDocument/2006/relationships/oleObject" Target="embeddings/oleObject4461.bin"/><Relationship Id="rId10478" Type="http://schemas.openxmlformats.org/officeDocument/2006/relationships/image" Target="media/image5248.wmf"/><Relationship Id="rId10892" Type="http://schemas.openxmlformats.org/officeDocument/2006/relationships/image" Target="media/image5455.wmf"/><Relationship Id="rId11529" Type="http://schemas.openxmlformats.org/officeDocument/2006/relationships/image" Target="media/image5776.wmf"/><Relationship Id="rId11943" Type="http://schemas.openxmlformats.org/officeDocument/2006/relationships/oleObject" Target="embeddings/oleObject5923.bin"/><Relationship Id="rId3010" Type="http://schemas.openxmlformats.org/officeDocument/2006/relationships/oleObject" Target="embeddings/oleObject1493.bin"/><Relationship Id="rId6166" Type="http://schemas.openxmlformats.org/officeDocument/2006/relationships/oleObject" Target="embeddings/oleObject3072.bin"/><Relationship Id="rId7564" Type="http://schemas.openxmlformats.org/officeDocument/2006/relationships/image" Target="media/image3791.wmf"/><Relationship Id="rId8615" Type="http://schemas.openxmlformats.org/officeDocument/2006/relationships/oleObject" Target="embeddings/oleObject4292.bin"/><Relationship Id="rId10545" Type="http://schemas.openxmlformats.org/officeDocument/2006/relationships/oleObject" Target="embeddings/oleObject5237.bin"/><Relationship Id="rId14002" Type="http://schemas.openxmlformats.org/officeDocument/2006/relationships/oleObject" Target="embeddings/oleObject6947.bin"/><Relationship Id="rId6580" Type="http://schemas.openxmlformats.org/officeDocument/2006/relationships/oleObject" Target="embeddings/oleObject3277.bin"/><Relationship Id="rId7217" Type="http://schemas.openxmlformats.org/officeDocument/2006/relationships/oleObject" Target="embeddings/oleObject3593.bin"/><Relationship Id="rId7631" Type="http://schemas.openxmlformats.org/officeDocument/2006/relationships/oleObject" Target="embeddings/oleObject3800.bin"/><Relationship Id="rId10612" Type="http://schemas.openxmlformats.org/officeDocument/2006/relationships/image" Target="media/image5315.wmf"/><Relationship Id="rId13768" Type="http://schemas.openxmlformats.org/officeDocument/2006/relationships/oleObject" Target="embeddings/oleObject6830.bin"/><Relationship Id="rId2776" Type="http://schemas.openxmlformats.org/officeDocument/2006/relationships/image" Target="media/image1398.wmf"/><Relationship Id="rId3827" Type="http://schemas.openxmlformats.org/officeDocument/2006/relationships/oleObject" Target="embeddings/oleObject1904.bin"/><Relationship Id="rId5182" Type="http://schemas.openxmlformats.org/officeDocument/2006/relationships/image" Target="media/image2601.wmf"/><Relationship Id="rId6233" Type="http://schemas.openxmlformats.org/officeDocument/2006/relationships/image" Target="media/image3127.wmf"/><Relationship Id="rId9389" Type="http://schemas.openxmlformats.org/officeDocument/2006/relationships/oleObject" Target="embeddings/oleObject4675.bin"/><Relationship Id="rId748" Type="http://schemas.openxmlformats.org/officeDocument/2006/relationships/image" Target="media/image376.wmf"/><Relationship Id="rId1378" Type="http://schemas.openxmlformats.org/officeDocument/2006/relationships/image" Target="media/image694.wmf"/><Relationship Id="rId1792" Type="http://schemas.openxmlformats.org/officeDocument/2006/relationships/image" Target="media/image902.wmf"/><Relationship Id="rId2429" Type="http://schemas.openxmlformats.org/officeDocument/2006/relationships/oleObject" Target="embeddings/oleObject1203.bin"/><Relationship Id="rId2843" Type="http://schemas.openxmlformats.org/officeDocument/2006/relationships/image" Target="media/image1431.wmf"/><Relationship Id="rId5999" Type="http://schemas.openxmlformats.org/officeDocument/2006/relationships/image" Target="media/image3010.wmf"/><Relationship Id="rId6300" Type="http://schemas.openxmlformats.org/officeDocument/2006/relationships/oleObject" Target="embeddings/oleObject3139.bin"/><Relationship Id="rId9456" Type="http://schemas.openxmlformats.org/officeDocument/2006/relationships/image" Target="media/image4737.wmf"/><Relationship Id="rId9870" Type="http://schemas.openxmlformats.org/officeDocument/2006/relationships/oleObject" Target="embeddings/oleObject4907.bin"/><Relationship Id="rId11386" Type="http://schemas.openxmlformats.org/officeDocument/2006/relationships/oleObject" Target="embeddings/oleObject5646.bin"/><Relationship Id="rId12437" Type="http://schemas.openxmlformats.org/officeDocument/2006/relationships/image" Target="media/image6233.wmf"/><Relationship Id="rId12784" Type="http://schemas.openxmlformats.org/officeDocument/2006/relationships/oleObject" Target="embeddings/oleObject6341.bin"/><Relationship Id="rId13835" Type="http://schemas.openxmlformats.org/officeDocument/2006/relationships/image" Target="media/image6932.wmf"/><Relationship Id="rId84" Type="http://schemas.openxmlformats.org/officeDocument/2006/relationships/oleObject" Target="embeddings/oleObject38.bin"/><Relationship Id="rId815" Type="http://schemas.openxmlformats.org/officeDocument/2006/relationships/oleObject" Target="embeddings/oleObject399.bin"/><Relationship Id="rId1445" Type="http://schemas.openxmlformats.org/officeDocument/2006/relationships/oleObject" Target="embeddings/oleObject711.bin"/><Relationship Id="rId8058" Type="http://schemas.openxmlformats.org/officeDocument/2006/relationships/image" Target="media/image4038.wmf"/><Relationship Id="rId8472" Type="http://schemas.openxmlformats.org/officeDocument/2006/relationships/image" Target="media/image4245.wmf"/><Relationship Id="rId9109" Type="http://schemas.openxmlformats.org/officeDocument/2006/relationships/image" Target="media/image4564.wmf"/><Relationship Id="rId9523" Type="http://schemas.openxmlformats.org/officeDocument/2006/relationships/oleObject" Target="embeddings/oleObject4740.bin"/><Relationship Id="rId11039" Type="http://schemas.openxmlformats.org/officeDocument/2006/relationships/oleObject" Target="embeddings/oleObject5475.bin"/><Relationship Id="rId12851" Type="http://schemas.openxmlformats.org/officeDocument/2006/relationships/image" Target="media/image6440.wmf"/><Relationship Id="rId13902" Type="http://schemas.openxmlformats.org/officeDocument/2006/relationships/oleObject" Target="embeddings/oleObject6897.bin"/><Relationship Id="rId2910" Type="http://schemas.openxmlformats.org/officeDocument/2006/relationships/oleObject" Target="embeddings/oleObject1443.bin"/><Relationship Id="rId7074" Type="http://schemas.openxmlformats.org/officeDocument/2006/relationships/oleObject" Target="embeddings/oleObject3522.bin"/><Relationship Id="rId8125" Type="http://schemas.openxmlformats.org/officeDocument/2006/relationships/oleObject" Target="embeddings/oleObject4047.bin"/><Relationship Id="rId11453" Type="http://schemas.openxmlformats.org/officeDocument/2006/relationships/image" Target="media/image5738.wmf"/><Relationship Id="rId12504" Type="http://schemas.openxmlformats.org/officeDocument/2006/relationships/oleObject" Target="embeddings/oleObject6201.bin"/><Relationship Id="rId1512" Type="http://schemas.openxmlformats.org/officeDocument/2006/relationships/image" Target="media/image761.wmf"/><Relationship Id="rId4668" Type="http://schemas.openxmlformats.org/officeDocument/2006/relationships/image" Target="media/image2344.wmf"/><Relationship Id="rId5719" Type="http://schemas.openxmlformats.org/officeDocument/2006/relationships/image" Target="media/image2870.wmf"/><Relationship Id="rId6090" Type="http://schemas.openxmlformats.org/officeDocument/2006/relationships/oleObject" Target="embeddings/oleObject3034.bin"/><Relationship Id="rId7141" Type="http://schemas.openxmlformats.org/officeDocument/2006/relationships/oleObject" Target="embeddings/oleObject3556.bin"/><Relationship Id="rId10055" Type="http://schemas.openxmlformats.org/officeDocument/2006/relationships/image" Target="media/image5036.wmf"/><Relationship Id="rId11106" Type="http://schemas.openxmlformats.org/officeDocument/2006/relationships/oleObject" Target="embeddings/oleObject5506.bin"/><Relationship Id="rId11520" Type="http://schemas.openxmlformats.org/officeDocument/2006/relationships/oleObject" Target="embeddings/oleObject5713.bin"/><Relationship Id="rId3684" Type="http://schemas.openxmlformats.org/officeDocument/2006/relationships/image" Target="media/image1853.wmf"/><Relationship Id="rId4735" Type="http://schemas.openxmlformats.org/officeDocument/2006/relationships/oleObject" Target="embeddings/oleObject2359.bin"/><Relationship Id="rId10122" Type="http://schemas.openxmlformats.org/officeDocument/2006/relationships/oleObject" Target="embeddings/oleObject5030.bin"/><Relationship Id="rId13278" Type="http://schemas.openxmlformats.org/officeDocument/2006/relationships/oleObject" Target="embeddings/oleObject6586.bin"/><Relationship Id="rId13692" Type="http://schemas.openxmlformats.org/officeDocument/2006/relationships/oleObject" Target="embeddings/oleObject6792.bin"/><Relationship Id="rId14329" Type="http://schemas.openxmlformats.org/officeDocument/2006/relationships/image" Target="media/image7179.wmf"/><Relationship Id="rId2286" Type="http://schemas.openxmlformats.org/officeDocument/2006/relationships/oleObject" Target="embeddings/oleObject1130.bin"/><Relationship Id="rId3337" Type="http://schemas.openxmlformats.org/officeDocument/2006/relationships/oleObject" Target="embeddings/oleObject1657.bin"/><Relationship Id="rId3751" Type="http://schemas.openxmlformats.org/officeDocument/2006/relationships/oleObject" Target="embeddings/oleObject1866.bin"/><Relationship Id="rId4802" Type="http://schemas.openxmlformats.org/officeDocument/2006/relationships/image" Target="media/image2411.wmf"/><Relationship Id="rId7958" Type="http://schemas.openxmlformats.org/officeDocument/2006/relationships/image" Target="media/image3988.wmf"/><Relationship Id="rId12294" Type="http://schemas.microsoft.com/office/2007/relationships/hdphoto" Target="media/hdphoto46.wdp"/><Relationship Id="rId13345" Type="http://schemas.openxmlformats.org/officeDocument/2006/relationships/oleObject" Target="embeddings/oleObject6619.bin"/><Relationship Id="rId258" Type="http://schemas.openxmlformats.org/officeDocument/2006/relationships/image" Target="media/image128.wmf"/><Relationship Id="rId672" Type="http://schemas.openxmlformats.org/officeDocument/2006/relationships/image" Target="media/image338.wmf"/><Relationship Id="rId2353" Type="http://schemas.openxmlformats.org/officeDocument/2006/relationships/image" Target="media/image1185.wmf"/><Relationship Id="rId3404" Type="http://schemas.openxmlformats.org/officeDocument/2006/relationships/image" Target="media/image1712.wmf"/><Relationship Id="rId6974" Type="http://schemas.openxmlformats.org/officeDocument/2006/relationships/oleObject" Target="embeddings/oleObject3472.bin"/><Relationship Id="rId9380" Type="http://schemas.openxmlformats.org/officeDocument/2006/relationships/image" Target="media/image4699.wmf"/><Relationship Id="rId10939" Type="http://schemas.microsoft.com/office/2007/relationships/hdphoto" Target="media/hdphoto39.wdp"/><Relationship Id="rId12361" Type="http://schemas.openxmlformats.org/officeDocument/2006/relationships/image" Target="media/image6195.wmf"/><Relationship Id="rId13412" Type="http://schemas.openxmlformats.org/officeDocument/2006/relationships/image" Target="media/image6721.wmf"/><Relationship Id="rId325" Type="http://schemas.openxmlformats.org/officeDocument/2006/relationships/oleObject" Target="embeddings/oleObject157.bin"/><Relationship Id="rId2006" Type="http://schemas.openxmlformats.org/officeDocument/2006/relationships/image" Target="media/image1009.wmf"/><Relationship Id="rId2420" Type="http://schemas.openxmlformats.org/officeDocument/2006/relationships/oleObject" Target="embeddings/oleObject1199.bin"/><Relationship Id="rId5576" Type="http://schemas.openxmlformats.org/officeDocument/2006/relationships/oleObject" Target="embeddings/oleObject2777.bin"/><Relationship Id="rId6627" Type="http://schemas.openxmlformats.org/officeDocument/2006/relationships/image" Target="media/image3323.wmf"/><Relationship Id="rId9033" Type="http://schemas.openxmlformats.org/officeDocument/2006/relationships/image" Target="media/image4526.wmf"/><Relationship Id="rId12014" Type="http://schemas.openxmlformats.org/officeDocument/2006/relationships/image" Target="media/image6020.wmf"/><Relationship Id="rId1022" Type="http://schemas.openxmlformats.org/officeDocument/2006/relationships/oleObject" Target="embeddings/oleObject502.bin"/><Relationship Id="rId4178" Type="http://schemas.openxmlformats.org/officeDocument/2006/relationships/oleObject" Target="embeddings/oleObject2080.bin"/><Relationship Id="rId4592" Type="http://schemas.openxmlformats.org/officeDocument/2006/relationships/image" Target="media/image2306.wmf"/><Relationship Id="rId5229" Type="http://schemas.openxmlformats.org/officeDocument/2006/relationships/image" Target="media/image2625.wmf"/><Relationship Id="rId5990" Type="http://schemas.openxmlformats.org/officeDocument/2006/relationships/oleObject" Target="embeddings/oleObject2984.bin"/><Relationship Id="rId9100" Type="http://schemas.openxmlformats.org/officeDocument/2006/relationships/oleObject" Target="embeddings/oleObject4530.bin"/><Relationship Id="rId14186" Type="http://schemas.openxmlformats.org/officeDocument/2006/relationships/oleObject" Target="embeddings/oleObject7039.bin"/><Relationship Id="rId3194" Type="http://schemas.openxmlformats.org/officeDocument/2006/relationships/oleObject" Target="embeddings/oleObject1585.bin"/><Relationship Id="rId4245" Type="http://schemas.openxmlformats.org/officeDocument/2006/relationships/image" Target="media/image2133.wmf"/><Relationship Id="rId5643" Type="http://schemas.openxmlformats.org/officeDocument/2006/relationships/image" Target="media/image2832.wmf"/><Relationship Id="rId8799" Type="http://schemas.openxmlformats.org/officeDocument/2006/relationships/image" Target="media/image4409.wmf"/><Relationship Id="rId11030" Type="http://schemas.openxmlformats.org/officeDocument/2006/relationships/image" Target="media/image5525.wmf"/><Relationship Id="rId1839" Type="http://schemas.openxmlformats.org/officeDocument/2006/relationships/oleObject" Target="embeddings/oleObject907.bin"/><Relationship Id="rId5710" Type="http://schemas.openxmlformats.org/officeDocument/2006/relationships/oleObject" Target="embeddings/oleObject2844.bin"/><Relationship Id="rId8866" Type="http://schemas.openxmlformats.org/officeDocument/2006/relationships/oleObject" Target="embeddings/oleObject4413.bin"/><Relationship Id="rId9917" Type="http://schemas.openxmlformats.org/officeDocument/2006/relationships/image" Target="media/image4967.wmf"/><Relationship Id="rId10796" Type="http://schemas.openxmlformats.org/officeDocument/2006/relationships/image" Target="media/image5407.wmf"/><Relationship Id="rId11847" Type="http://schemas.openxmlformats.org/officeDocument/2006/relationships/oleObject" Target="embeddings/oleObject5875.bin"/><Relationship Id="rId14253" Type="http://schemas.openxmlformats.org/officeDocument/2006/relationships/image" Target="media/image7141.wmf"/><Relationship Id="rId182" Type="http://schemas.openxmlformats.org/officeDocument/2006/relationships/image" Target="media/image90.wmf"/><Relationship Id="rId1906" Type="http://schemas.openxmlformats.org/officeDocument/2006/relationships/image" Target="media/image959.wmf"/><Relationship Id="rId3261" Type="http://schemas.openxmlformats.org/officeDocument/2006/relationships/oleObject" Target="embeddings/oleObject1619.bin"/><Relationship Id="rId4312" Type="http://schemas.openxmlformats.org/officeDocument/2006/relationships/oleObject" Target="embeddings/oleObject2147.bin"/><Relationship Id="rId7468" Type="http://schemas.openxmlformats.org/officeDocument/2006/relationships/image" Target="media/image3743.wmf"/><Relationship Id="rId7882" Type="http://schemas.openxmlformats.org/officeDocument/2006/relationships/image" Target="media/image3950.wmf"/><Relationship Id="rId8519" Type="http://schemas.openxmlformats.org/officeDocument/2006/relationships/oleObject" Target="embeddings/oleObject4244.bin"/><Relationship Id="rId8933" Type="http://schemas.openxmlformats.org/officeDocument/2006/relationships/image" Target="media/image4476.wmf"/><Relationship Id="rId10449" Type="http://schemas.openxmlformats.org/officeDocument/2006/relationships/oleObject" Target="embeddings/oleObject5191.bin"/><Relationship Id="rId14320" Type="http://schemas.openxmlformats.org/officeDocument/2006/relationships/oleObject" Target="embeddings/oleObject7106.bin"/><Relationship Id="rId6484" Type="http://schemas.openxmlformats.org/officeDocument/2006/relationships/oleObject" Target="embeddings/oleObject3232.bin"/><Relationship Id="rId7535" Type="http://schemas.openxmlformats.org/officeDocument/2006/relationships/oleObject" Target="embeddings/oleObject3752.bin"/><Relationship Id="rId10516" Type="http://schemas.openxmlformats.org/officeDocument/2006/relationships/image" Target="media/image5267.wmf"/><Relationship Id="rId10863" Type="http://schemas.openxmlformats.org/officeDocument/2006/relationships/oleObject" Target="embeddings/oleObject5394.bin"/><Relationship Id="rId11914" Type="http://schemas.openxmlformats.org/officeDocument/2006/relationships/image" Target="media/image5970.wmf"/><Relationship Id="rId999" Type="http://schemas.openxmlformats.org/officeDocument/2006/relationships/image" Target="media/image505.wmf"/><Relationship Id="rId5086" Type="http://schemas.openxmlformats.org/officeDocument/2006/relationships/image" Target="media/image2553.wmf"/><Relationship Id="rId6137" Type="http://schemas.openxmlformats.org/officeDocument/2006/relationships/image" Target="media/image3079.wmf"/><Relationship Id="rId6551" Type="http://schemas.openxmlformats.org/officeDocument/2006/relationships/image" Target="media/image3285.wmf"/><Relationship Id="rId7602" Type="http://schemas.openxmlformats.org/officeDocument/2006/relationships/image" Target="media/image3810.wmf"/><Relationship Id="rId10930" Type="http://schemas.openxmlformats.org/officeDocument/2006/relationships/image" Target="media/image5474.wmf"/><Relationship Id="rId1696" Type="http://schemas.openxmlformats.org/officeDocument/2006/relationships/image" Target="media/image854.wmf"/><Relationship Id="rId5153" Type="http://schemas.openxmlformats.org/officeDocument/2006/relationships/oleObject" Target="embeddings/oleObject2566.bin"/><Relationship Id="rId6204" Type="http://schemas.openxmlformats.org/officeDocument/2006/relationships/oleObject" Target="embeddings/oleObject3091.bin"/><Relationship Id="rId12688" Type="http://schemas.openxmlformats.org/officeDocument/2006/relationships/oleObject" Target="embeddings/oleObject6293.bin"/><Relationship Id="rId13739" Type="http://schemas.openxmlformats.org/officeDocument/2006/relationships/image" Target="media/image6884.wmf"/><Relationship Id="rId1349" Type="http://schemas.openxmlformats.org/officeDocument/2006/relationships/oleObject" Target="embeddings/oleObject664.bin"/><Relationship Id="rId2747" Type="http://schemas.openxmlformats.org/officeDocument/2006/relationships/oleObject" Target="embeddings/oleObject1361.bin"/><Relationship Id="rId5220" Type="http://schemas.openxmlformats.org/officeDocument/2006/relationships/oleObject" Target="embeddings/oleObject2599.bin"/><Relationship Id="rId8376" Type="http://schemas.openxmlformats.org/officeDocument/2006/relationships/image" Target="media/image4197.wmf"/><Relationship Id="rId9774" Type="http://schemas.openxmlformats.org/officeDocument/2006/relationships/image" Target="media/image4896.wmf"/><Relationship Id="rId12755" Type="http://schemas.openxmlformats.org/officeDocument/2006/relationships/image" Target="media/image6392.wmf"/><Relationship Id="rId13806" Type="http://schemas.openxmlformats.org/officeDocument/2006/relationships/oleObject" Target="embeddings/oleObject6849.bin"/><Relationship Id="rId719" Type="http://schemas.openxmlformats.org/officeDocument/2006/relationships/oleObject" Target="embeddings/oleObject348.bin"/><Relationship Id="rId1763" Type="http://schemas.openxmlformats.org/officeDocument/2006/relationships/oleObject" Target="embeddings/oleObject869.bin"/><Relationship Id="rId2814" Type="http://schemas.openxmlformats.org/officeDocument/2006/relationships/image" Target="media/image1417.wmf"/><Relationship Id="rId8029" Type="http://schemas.openxmlformats.org/officeDocument/2006/relationships/oleObject" Target="embeddings/oleObject3999.bin"/><Relationship Id="rId8790" Type="http://schemas.openxmlformats.org/officeDocument/2006/relationships/oleObject" Target="embeddings/oleObject4378.bin"/><Relationship Id="rId9427" Type="http://schemas.openxmlformats.org/officeDocument/2006/relationships/oleObject" Target="embeddings/oleObject4694.bin"/><Relationship Id="rId9841" Type="http://schemas.openxmlformats.org/officeDocument/2006/relationships/image" Target="media/image4929.wmf"/><Relationship Id="rId11357" Type="http://schemas.openxmlformats.org/officeDocument/2006/relationships/image" Target="media/image5690.wmf"/><Relationship Id="rId11771" Type="http://schemas.openxmlformats.org/officeDocument/2006/relationships/oleObject" Target="embeddings/oleObject5837.bin"/><Relationship Id="rId12408" Type="http://schemas.openxmlformats.org/officeDocument/2006/relationships/oleObject" Target="embeddings/oleObject6153.bin"/><Relationship Id="rId12822" Type="http://schemas.openxmlformats.org/officeDocument/2006/relationships/oleObject" Target="embeddings/oleObject6360.bin"/><Relationship Id="rId55" Type="http://schemas.openxmlformats.org/officeDocument/2006/relationships/image" Target="media/image25.wmf"/><Relationship Id="rId1416" Type="http://schemas.openxmlformats.org/officeDocument/2006/relationships/image" Target="media/image713.wmf"/><Relationship Id="rId1830" Type="http://schemas.openxmlformats.org/officeDocument/2006/relationships/image" Target="media/image921.wmf"/><Relationship Id="rId4986" Type="http://schemas.openxmlformats.org/officeDocument/2006/relationships/image" Target="media/image2503.wmf"/><Relationship Id="rId7392" Type="http://schemas.openxmlformats.org/officeDocument/2006/relationships/image" Target="media/image3705.wmf"/><Relationship Id="rId8443" Type="http://schemas.openxmlformats.org/officeDocument/2006/relationships/oleObject" Target="embeddings/oleObject4206.bin"/><Relationship Id="rId10373" Type="http://schemas.openxmlformats.org/officeDocument/2006/relationships/image" Target="media/image5195.wmf"/><Relationship Id="rId11424" Type="http://schemas.openxmlformats.org/officeDocument/2006/relationships/oleObject" Target="embeddings/oleObject5665.bin"/><Relationship Id="rId3588" Type="http://schemas.openxmlformats.org/officeDocument/2006/relationships/image" Target="media/image1805.wmf"/><Relationship Id="rId4639" Type="http://schemas.openxmlformats.org/officeDocument/2006/relationships/oleObject" Target="embeddings/oleObject2311.bin"/><Relationship Id="rId7045" Type="http://schemas.openxmlformats.org/officeDocument/2006/relationships/image" Target="media/image3532.wmf"/><Relationship Id="rId8510" Type="http://schemas.openxmlformats.org/officeDocument/2006/relationships/image" Target="media/image4264.wmf"/><Relationship Id="rId10026" Type="http://schemas.openxmlformats.org/officeDocument/2006/relationships/oleObject" Target="embeddings/oleObject4982.bin"/><Relationship Id="rId10440" Type="http://schemas.openxmlformats.org/officeDocument/2006/relationships/image" Target="media/image5229.wmf"/><Relationship Id="rId13596" Type="http://schemas.openxmlformats.org/officeDocument/2006/relationships/image" Target="media/image6813.wmf"/><Relationship Id="rId3655" Type="http://schemas.openxmlformats.org/officeDocument/2006/relationships/oleObject" Target="embeddings/oleObject1818.bin"/><Relationship Id="rId4706" Type="http://schemas.openxmlformats.org/officeDocument/2006/relationships/image" Target="media/image2363.wmf"/><Relationship Id="rId6061" Type="http://schemas.openxmlformats.org/officeDocument/2006/relationships/image" Target="media/image3041.wmf"/><Relationship Id="rId7112" Type="http://schemas.openxmlformats.org/officeDocument/2006/relationships/oleObject" Target="embeddings/oleObject3541.bin"/><Relationship Id="rId12198" Type="http://schemas.openxmlformats.org/officeDocument/2006/relationships/image" Target="media/image6112.wmf"/><Relationship Id="rId13249" Type="http://schemas.openxmlformats.org/officeDocument/2006/relationships/image" Target="media/image6639.wmf"/><Relationship Id="rId576" Type="http://schemas.openxmlformats.org/officeDocument/2006/relationships/image" Target="media/image289.wmf"/><Relationship Id="rId990" Type="http://schemas.openxmlformats.org/officeDocument/2006/relationships/oleObject" Target="embeddings/oleObject486.bin"/><Relationship Id="rId2257" Type="http://schemas.openxmlformats.org/officeDocument/2006/relationships/image" Target="media/image1135.wmf"/><Relationship Id="rId2671" Type="http://schemas.openxmlformats.org/officeDocument/2006/relationships/oleObject" Target="embeddings/oleObject1323.bin"/><Relationship Id="rId3308" Type="http://schemas.openxmlformats.org/officeDocument/2006/relationships/image" Target="media/image1663.wmf"/><Relationship Id="rId9284" Type="http://schemas.openxmlformats.org/officeDocument/2006/relationships/image" Target="media/image4651.wmf"/><Relationship Id="rId13663" Type="http://schemas.openxmlformats.org/officeDocument/2006/relationships/oleObject" Target="embeddings/oleObject6777.bin"/><Relationship Id="rId229" Type="http://schemas.openxmlformats.org/officeDocument/2006/relationships/oleObject" Target="embeddings/oleObject109.bin"/><Relationship Id="rId643" Type="http://schemas.openxmlformats.org/officeDocument/2006/relationships/oleObject" Target="embeddings/oleObject311.bin"/><Relationship Id="rId1273" Type="http://schemas.openxmlformats.org/officeDocument/2006/relationships/oleObject" Target="embeddings/oleObject626.bin"/><Relationship Id="rId2324" Type="http://schemas.openxmlformats.org/officeDocument/2006/relationships/oleObject" Target="embeddings/oleObject1151.bin"/><Relationship Id="rId3722" Type="http://schemas.openxmlformats.org/officeDocument/2006/relationships/image" Target="media/image1872.wmf"/><Relationship Id="rId6878" Type="http://schemas.openxmlformats.org/officeDocument/2006/relationships/oleObject" Target="embeddings/oleObject3424.bin"/><Relationship Id="rId7929" Type="http://schemas.openxmlformats.org/officeDocument/2006/relationships/oleObject" Target="embeddings/oleObject3949.bin"/><Relationship Id="rId9351" Type="http://schemas.openxmlformats.org/officeDocument/2006/relationships/oleObject" Target="embeddings/oleObject4656.bin"/><Relationship Id="rId12265" Type="http://schemas.openxmlformats.org/officeDocument/2006/relationships/oleObject" Target="embeddings/oleObject6084.bin"/><Relationship Id="rId13316" Type="http://schemas.openxmlformats.org/officeDocument/2006/relationships/oleObject" Target="embeddings/oleObject6605.bin"/><Relationship Id="rId13730" Type="http://schemas.openxmlformats.org/officeDocument/2006/relationships/oleObject" Target="embeddings/oleObject6811.bin"/><Relationship Id="rId5894" Type="http://schemas.openxmlformats.org/officeDocument/2006/relationships/oleObject" Target="embeddings/oleObject2936.bin"/><Relationship Id="rId6945" Type="http://schemas.openxmlformats.org/officeDocument/2006/relationships/image" Target="media/image3482.wmf"/><Relationship Id="rId9004" Type="http://schemas.openxmlformats.org/officeDocument/2006/relationships/oleObject" Target="embeddings/oleObject4482.bin"/><Relationship Id="rId11281" Type="http://schemas.openxmlformats.org/officeDocument/2006/relationships/image" Target="media/image5652.wmf"/><Relationship Id="rId12332" Type="http://schemas.openxmlformats.org/officeDocument/2006/relationships/oleObject" Target="embeddings/oleObject6115.bin"/><Relationship Id="rId710" Type="http://schemas.openxmlformats.org/officeDocument/2006/relationships/image" Target="media/image357.wmf"/><Relationship Id="rId1340" Type="http://schemas.openxmlformats.org/officeDocument/2006/relationships/image" Target="media/image675.wmf"/><Relationship Id="rId3098" Type="http://schemas.openxmlformats.org/officeDocument/2006/relationships/oleObject" Target="embeddings/oleObject1537.bin"/><Relationship Id="rId4496" Type="http://schemas.openxmlformats.org/officeDocument/2006/relationships/image" Target="media/image2258.wmf"/><Relationship Id="rId5547" Type="http://schemas.openxmlformats.org/officeDocument/2006/relationships/image" Target="media/image2784.wmf"/><Relationship Id="rId5961" Type="http://schemas.openxmlformats.org/officeDocument/2006/relationships/image" Target="media/image2991.wmf"/><Relationship Id="rId4149" Type="http://schemas.openxmlformats.org/officeDocument/2006/relationships/image" Target="media/image2085.wmf"/><Relationship Id="rId4563" Type="http://schemas.openxmlformats.org/officeDocument/2006/relationships/oleObject" Target="embeddings/oleObject2273.bin"/><Relationship Id="rId5614" Type="http://schemas.openxmlformats.org/officeDocument/2006/relationships/oleObject" Target="embeddings/oleObject2796.bin"/><Relationship Id="rId8020" Type="http://schemas.openxmlformats.org/officeDocument/2006/relationships/image" Target="media/image4019.wmf"/><Relationship Id="rId11001" Type="http://schemas.openxmlformats.org/officeDocument/2006/relationships/oleObject" Target="embeddings/oleObject5456.bin"/><Relationship Id="rId14157" Type="http://schemas.openxmlformats.org/officeDocument/2006/relationships/image" Target="media/image7093.wmf"/><Relationship Id="rId14571" Type="http://schemas.openxmlformats.org/officeDocument/2006/relationships/image" Target="media/image7300.wmf"/><Relationship Id="rId3165" Type="http://schemas.openxmlformats.org/officeDocument/2006/relationships/image" Target="media/image1592.wmf"/><Relationship Id="rId4216" Type="http://schemas.openxmlformats.org/officeDocument/2006/relationships/oleObject" Target="embeddings/oleObject2099.bin"/><Relationship Id="rId4630" Type="http://schemas.openxmlformats.org/officeDocument/2006/relationships/image" Target="media/image2325.wmf"/><Relationship Id="rId7786" Type="http://schemas.openxmlformats.org/officeDocument/2006/relationships/image" Target="media/image3902.wmf"/><Relationship Id="rId8837" Type="http://schemas.openxmlformats.org/officeDocument/2006/relationships/image" Target="media/image4428.wmf"/><Relationship Id="rId13173" Type="http://schemas.openxmlformats.org/officeDocument/2006/relationships/image" Target="media/image6601.wmf"/><Relationship Id="rId14224" Type="http://schemas.openxmlformats.org/officeDocument/2006/relationships/oleObject" Target="embeddings/oleObject7058.bin"/><Relationship Id="rId2181" Type="http://schemas.openxmlformats.org/officeDocument/2006/relationships/oleObject" Target="embeddings/oleObject1078.bin"/><Relationship Id="rId3232" Type="http://schemas.openxmlformats.org/officeDocument/2006/relationships/oleObject" Target="embeddings/oleObject1604.bin"/><Relationship Id="rId6388" Type="http://schemas.openxmlformats.org/officeDocument/2006/relationships/oleObject" Target="embeddings/oleObject3184.bin"/><Relationship Id="rId7439" Type="http://schemas.openxmlformats.org/officeDocument/2006/relationships/oleObject" Target="embeddings/oleObject3704.bin"/><Relationship Id="rId10767" Type="http://schemas.openxmlformats.org/officeDocument/2006/relationships/oleObject" Target="embeddings/oleObject5346.bin"/><Relationship Id="rId11818" Type="http://schemas.openxmlformats.org/officeDocument/2006/relationships/image" Target="media/image5922.wmf"/><Relationship Id="rId153" Type="http://schemas.openxmlformats.org/officeDocument/2006/relationships/oleObject" Target="embeddings/oleObject71.bin"/><Relationship Id="rId6455" Type="http://schemas.openxmlformats.org/officeDocument/2006/relationships/image" Target="media/image3237.wmf"/><Relationship Id="rId7853" Type="http://schemas.openxmlformats.org/officeDocument/2006/relationships/oleObject" Target="embeddings/oleObject3911.bin"/><Relationship Id="rId8904" Type="http://schemas.openxmlformats.org/officeDocument/2006/relationships/oleObject" Target="embeddings/oleObject4432.bin"/><Relationship Id="rId10834" Type="http://schemas.openxmlformats.org/officeDocument/2006/relationships/image" Target="media/image5426.wmf"/><Relationship Id="rId13240" Type="http://schemas.openxmlformats.org/officeDocument/2006/relationships/oleObject" Target="embeddings/oleObject6567.bin"/><Relationship Id="rId220" Type="http://schemas.openxmlformats.org/officeDocument/2006/relationships/image" Target="media/image109.wmf"/><Relationship Id="rId2998" Type="http://schemas.openxmlformats.org/officeDocument/2006/relationships/oleObject" Target="embeddings/oleObject1487.bin"/><Relationship Id="rId5057" Type="http://schemas.openxmlformats.org/officeDocument/2006/relationships/oleObject" Target="embeddings/oleObject2518.bin"/><Relationship Id="rId6108" Type="http://schemas.openxmlformats.org/officeDocument/2006/relationships/oleObject" Target="embeddings/oleObject3043.bin"/><Relationship Id="rId7506" Type="http://schemas.openxmlformats.org/officeDocument/2006/relationships/image" Target="media/image3762.wmf"/><Relationship Id="rId7920" Type="http://schemas.openxmlformats.org/officeDocument/2006/relationships/image" Target="media/image3969.wmf"/><Relationship Id="rId10901" Type="http://schemas.openxmlformats.org/officeDocument/2006/relationships/oleObject" Target="embeddings/oleObject5413.bin"/><Relationship Id="rId4073" Type="http://schemas.openxmlformats.org/officeDocument/2006/relationships/image" Target="media/image2047.wmf"/><Relationship Id="rId5471" Type="http://schemas.openxmlformats.org/officeDocument/2006/relationships/image" Target="media/image2746.wmf"/><Relationship Id="rId6522" Type="http://schemas.openxmlformats.org/officeDocument/2006/relationships/oleObject" Target="embeddings/oleObject3251.bin"/><Relationship Id="rId9678" Type="http://schemas.openxmlformats.org/officeDocument/2006/relationships/image" Target="media/image4848.wmf"/><Relationship Id="rId12659" Type="http://schemas.openxmlformats.org/officeDocument/2006/relationships/image" Target="media/image6344.wmf"/><Relationship Id="rId1667" Type="http://schemas.openxmlformats.org/officeDocument/2006/relationships/oleObject" Target="embeddings/oleObject821.bin"/><Relationship Id="rId2718" Type="http://schemas.openxmlformats.org/officeDocument/2006/relationships/image" Target="media/image1369.wmf"/><Relationship Id="rId5124" Type="http://schemas.openxmlformats.org/officeDocument/2006/relationships/image" Target="media/image2572.wmf"/><Relationship Id="rId8694" Type="http://schemas.openxmlformats.org/officeDocument/2006/relationships/oleObject" Target="embeddings/oleObject4330.bin"/><Relationship Id="rId9745" Type="http://schemas.openxmlformats.org/officeDocument/2006/relationships/oleObject" Target="embeddings/oleObject4844.bin"/><Relationship Id="rId11675" Type="http://schemas.openxmlformats.org/officeDocument/2006/relationships/oleObject" Target="embeddings/oleObject5789.bin"/><Relationship Id="rId12726" Type="http://schemas.openxmlformats.org/officeDocument/2006/relationships/oleObject" Target="embeddings/oleObject6312.bin"/><Relationship Id="rId14081" Type="http://schemas.openxmlformats.org/officeDocument/2006/relationships/image" Target="media/image7055.wmf"/><Relationship Id="rId1734" Type="http://schemas.openxmlformats.org/officeDocument/2006/relationships/image" Target="media/image873.wmf"/><Relationship Id="rId4140" Type="http://schemas.openxmlformats.org/officeDocument/2006/relationships/oleObject" Target="embeddings/oleObject2061.bin"/><Relationship Id="rId7296" Type="http://schemas.openxmlformats.org/officeDocument/2006/relationships/image" Target="media/image3657.wmf"/><Relationship Id="rId8347" Type="http://schemas.openxmlformats.org/officeDocument/2006/relationships/oleObject" Target="embeddings/oleObject4158.bin"/><Relationship Id="rId8761" Type="http://schemas.openxmlformats.org/officeDocument/2006/relationships/image" Target="media/image4390.wmf"/><Relationship Id="rId9812" Type="http://schemas.openxmlformats.org/officeDocument/2006/relationships/image" Target="media/image4915.wmf"/><Relationship Id="rId10277" Type="http://schemas.openxmlformats.org/officeDocument/2006/relationships/image" Target="media/image5147.wmf"/><Relationship Id="rId11328" Type="http://schemas.openxmlformats.org/officeDocument/2006/relationships/oleObject" Target="embeddings/oleObject5617.bin"/><Relationship Id="rId26" Type="http://schemas.openxmlformats.org/officeDocument/2006/relationships/oleObject" Target="embeddings/oleObject9.bin"/><Relationship Id="rId7363" Type="http://schemas.openxmlformats.org/officeDocument/2006/relationships/oleObject" Target="embeddings/oleObject3666.bin"/><Relationship Id="rId8414" Type="http://schemas.openxmlformats.org/officeDocument/2006/relationships/image" Target="media/image4216.wmf"/><Relationship Id="rId10691" Type="http://schemas.openxmlformats.org/officeDocument/2006/relationships/oleObject" Target="embeddings/oleObject5310.bin"/><Relationship Id="rId11742" Type="http://schemas.openxmlformats.org/officeDocument/2006/relationships/image" Target="media/image5884.wmf"/><Relationship Id="rId1801" Type="http://schemas.openxmlformats.org/officeDocument/2006/relationships/oleObject" Target="embeddings/oleObject888.bin"/><Relationship Id="rId3559" Type="http://schemas.openxmlformats.org/officeDocument/2006/relationships/oleObject" Target="embeddings/oleObject1770.bin"/><Relationship Id="rId4957" Type="http://schemas.openxmlformats.org/officeDocument/2006/relationships/oleObject" Target="embeddings/oleObject2468.bin"/><Relationship Id="rId7016" Type="http://schemas.openxmlformats.org/officeDocument/2006/relationships/oleObject" Target="embeddings/oleObject3493.bin"/><Relationship Id="rId7430" Type="http://schemas.openxmlformats.org/officeDocument/2006/relationships/image" Target="media/image3724.wmf"/><Relationship Id="rId10344" Type="http://schemas.openxmlformats.org/officeDocument/2006/relationships/oleObject" Target="embeddings/oleObject5139.bin"/><Relationship Id="rId3973" Type="http://schemas.openxmlformats.org/officeDocument/2006/relationships/image" Target="media/image1997.wmf"/><Relationship Id="rId6032" Type="http://schemas.openxmlformats.org/officeDocument/2006/relationships/oleObject" Target="embeddings/oleObject3005.bin"/><Relationship Id="rId9188" Type="http://schemas.openxmlformats.org/officeDocument/2006/relationships/image" Target="media/image4603.wmf"/><Relationship Id="rId10411" Type="http://schemas.openxmlformats.org/officeDocument/2006/relationships/oleObject" Target="embeddings/oleObject5172.bin"/><Relationship Id="rId13567" Type="http://schemas.openxmlformats.org/officeDocument/2006/relationships/oleObject" Target="embeddings/oleObject6729.bin"/><Relationship Id="rId13981" Type="http://schemas.openxmlformats.org/officeDocument/2006/relationships/image" Target="media/image7005.wmf"/><Relationship Id="rId894" Type="http://schemas.openxmlformats.org/officeDocument/2006/relationships/image" Target="media/image452.wmf"/><Relationship Id="rId1177" Type="http://schemas.openxmlformats.org/officeDocument/2006/relationships/image" Target="media/image594.wmf"/><Relationship Id="rId2575" Type="http://schemas.openxmlformats.org/officeDocument/2006/relationships/oleObject" Target="embeddings/oleObject1275.bin"/><Relationship Id="rId3626" Type="http://schemas.openxmlformats.org/officeDocument/2006/relationships/image" Target="media/image1824.wmf"/><Relationship Id="rId12169" Type="http://schemas.openxmlformats.org/officeDocument/2006/relationships/oleObject" Target="embeddings/oleObject6036.bin"/><Relationship Id="rId12583" Type="http://schemas.openxmlformats.org/officeDocument/2006/relationships/image" Target="media/image6306.wmf"/><Relationship Id="rId13634" Type="http://schemas.openxmlformats.org/officeDocument/2006/relationships/image" Target="media/image6832.wmf"/><Relationship Id="rId547" Type="http://schemas.openxmlformats.org/officeDocument/2006/relationships/oleObject" Target="embeddings/oleObject263.bin"/><Relationship Id="rId961" Type="http://schemas.openxmlformats.org/officeDocument/2006/relationships/image" Target="media/image486.wmf"/><Relationship Id="rId1591" Type="http://schemas.openxmlformats.org/officeDocument/2006/relationships/oleObject" Target="embeddings/oleObject783.bin"/><Relationship Id="rId2228" Type="http://schemas.openxmlformats.org/officeDocument/2006/relationships/image" Target="media/image1120.wmf"/><Relationship Id="rId2642" Type="http://schemas.openxmlformats.org/officeDocument/2006/relationships/image" Target="media/image1331.wmf"/><Relationship Id="rId5798" Type="http://schemas.openxmlformats.org/officeDocument/2006/relationships/oleObject" Target="embeddings/oleObject2888.bin"/><Relationship Id="rId6849" Type="http://schemas.openxmlformats.org/officeDocument/2006/relationships/image" Target="media/image3434.wmf"/><Relationship Id="rId9255" Type="http://schemas.openxmlformats.org/officeDocument/2006/relationships/oleObject" Target="embeddings/oleObject4608.bin"/><Relationship Id="rId11185" Type="http://schemas.openxmlformats.org/officeDocument/2006/relationships/image" Target="media/image5604.wmf"/><Relationship Id="rId12236" Type="http://schemas.openxmlformats.org/officeDocument/2006/relationships/image" Target="media/image6131.wmf"/><Relationship Id="rId12650" Type="http://schemas.openxmlformats.org/officeDocument/2006/relationships/oleObject" Target="embeddings/oleObject6274.bin"/><Relationship Id="rId13701" Type="http://schemas.openxmlformats.org/officeDocument/2006/relationships/image" Target="media/image6865.wmf"/><Relationship Id="rId614" Type="http://schemas.openxmlformats.org/officeDocument/2006/relationships/image" Target="media/image308.wmf"/><Relationship Id="rId1244" Type="http://schemas.openxmlformats.org/officeDocument/2006/relationships/image" Target="media/image627.wmf"/><Relationship Id="rId5865" Type="http://schemas.openxmlformats.org/officeDocument/2006/relationships/image" Target="media/image2943.wmf"/><Relationship Id="rId6916" Type="http://schemas.openxmlformats.org/officeDocument/2006/relationships/oleObject" Target="embeddings/oleObject3443.bin"/><Relationship Id="rId8271" Type="http://schemas.openxmlformats.org/officeDocument/2006/relationships/oleObject" Target="embeddings/oleObject4120.bin"/><Relationship Id="rId9322" Type="http://schemas.openxmlformats.org/officeDocument/2006/relationships/image" Target="media/image4670.wmf"/><Relationship Id="rId11252" Type="http://schemas.openxmlformats.org/officeDocument/2006/relationships/oleObject" Target="embeddings/oleObject5579.bin"/><Relationship Id="rId12303" Type="http://schemas.openxmlformats.org/officeDocument/2006/relationships/image" Target="media/image6166.wmf"/><Relationship Id="rId1311" Type="http://schemas.openxmlformats.org/officeDocument/2006/relationships/oleObject" Target="embeddings/oleObject645.bin"/><Relationship Id="rId4467" Type="http://schemas.openxmlformats.org/officeDocument/2006/relationships/oleObject" Target="embeddings/oleObject2225.bin"/><Relationship Id="rId4881" Type="http://schemas.openxmlformats.org/officeDocument/2006/relationships/oleObject" Target="embeddings/oleObject2431.bin"/><Relationship Id="rId5518" Type="http://schemas.openxmlformats.org/officeDocument/2006/relationships/oleObject" Target="embeddings/oleObject2748.bin"/><Relationship Id="rId14475" Type="http://schemas.openxmlformats.org/officeDocument/2006/relationships/image" Target="media/image7252.wmf"/><Relationship Id="rId3069" Type="http://schemas.openxmlformats.org/officeDocument/2006/relationships/image" Target="media/image1544.wmf"/><Relationship Id="rId3483" Type="http://schemas.openxmlformats.org/officeDocument/2006/relationships/oleObject" Target="embeddings/oleObject1732.bin"/><Relationship Id="rId4534" Type="http://schemas.openxmlformats.org/officeDocument/2006/relationships/image" Target="media/image2277.wmf"/><Relationship Id="rId5932" Type="http://schemas.openxmlformats.org/officeDocument/2006/relationships/oleObject" Target="embeddings/oleObject2955.bin"/><Relationship Id="rId13077" Type="http://schemas.openxmlformats.org/officeDocument/2006/relationships/image" Target="media/image6553.wmf"/><Relationship Id="rId14128" Type="http://schemas.openxmlformats.org/officeDocument/2006/relationships/oleObject" Target="embeddings/oleObject7010.bin"/><Relationship Id="rId2085" Type="http://schemas.openxmlformats.org/officeDocument/2006/relationships/oleObject" Target="embeddings/oleObject1030.bin"/><Relationship Id="rId3136" Type="http://schemas.openxmlformats.org/officeDocument/2006/relationships/oleObject" Target="embeddings/oleObject1556.bin"/><Relationship Id="rId13491" Type="http://schemas.openxmlformats.org/officeDocument/2006/relationships/oleObject" Target="embeddings/oleObject6691.bin"/><Relationship Id="rId14542" Type="http://schemas.openxmlformats.org/officeDocument/2006/relationships/oleObject" Target="embeddings/oleObject7211.bin"/><Relationship Id="rId471" Type="http://schemas.openxmlformats.org/officeDocument/2006/relationships/image" Target="media/image235.wmf"/><Relationship Id="rId2152" Type="http://schemas.openxmlformats.org/officeDocument/2006/relationships/image" Target="media/image1082.wmf"/><Relationship Id="rId3550" Type="http://schemas.openxmlformats.org/officeDocument/2006/relationships/image" Target="media/image1786.wmf"/><Relationship Id="rId4601" Type="http://schemas.openxmlformats.org/officeDocument/2006/relationships/oleObject" Target="embeddings/oleObject2292.bin"/><Relationship Id="rId7757" Type="http://schemas.openxmlformats.org/officeDocument/2006/relationships/oleObject" Target="embeddings/oleObject3863.bin"/><Relationship Id="rId8808" Type="http://schemas.openxmlformats.org/officeDocument/2006/relationships/oleObject" Target="embeddings/oleObject4387.bin"/><Relationship Id="rId10738" Type="http://schemas.openxmlformats.org/officeDocument/2006/relationships/image" Target="media/image5378.wmf"/><Relationship Id="rId12093" Type="http://schemas.openxmlformats.org/officeDocument/2006/relationships/oleObject" Target="embeddings/oleObject5998.bin"/><Relationship Id="rId13144" Type="http://schemas.openxmlformats.org/officeDocument/2006/relationships/oleObject" Target="embeddings/oleObject6519.bin"/><Relationship Id="rId124" Type="http://schemas.openxmlformats.org/officeDocument/2006/relationships/oleObject" Target="embeddings/oleObject58.bin"/><Relationship Id="rId3203" Type="http://schemas.openxmlformats.org/officeDocument/2006/relationships/image" Target="media/image1611.wmf"/><Relationship Id="rId6359" Type="http://schemas.openxmlformats.org/officeDocument/2006/relationships/image" Target="media/image3189.wmf"/><Relationship Id="rId6773" Type="http://schemas.openxmlformats.org/officeDocument/2006/relationships/image" Target="media/image3396.wmf"/><Relationship Id="rId7824" Type="http://schemas.openxmlformats.org/officeDocument/2006/relationships/image" Target="media/image3921.wmf"/><Relationship Id="rId10805" Type="http://schemas.openxmlformats.org/officeDocument/2006/relationships/oleObject" Target="embeddings/oleObject5365.bin"/><Relationship Id="rId12160" Type="http://schemas.openxmlformats.org/officeDocument/2006/relationships/image" Target="media/image6093.wmf"/><Relationship Id="rId13211" Type="http://schemas.openxmlformats.org/officeDocument/2006/relationships/image" Target="media/image6620.wmf"/><Relationship Id="rId2969" Type="http://schemas.openxmlformats.org/officeDocument/2006/relationships/image" Target="media/image1494.wmf"/><Relationship Id="rId5375" Type="http://schemas.openxmlformats.org/officeDocument/2006/relationships/image" Target="media/image2698.wmf"/><Relationship Id="rId6426" Type="http://schemas.openxmlformats.org/officeDocument/2006/relationships/oleObject" Target="embeddings/oleObject3203.bin"/><Relationship Id="rId6840" Type="http://schemas.openxmlformats.org/officeDocument/2006/relationships/oleObject" Target="embeddings/oleObject3405.bin"/><Relationship Id="rId9996" Type="http://schemas.openxmlformats.org/officeDocument/2006/relationships/oleObject" Target="embeddings/oleObject4967.bin"/><Relationship Id="rId1985" Type="http://schemas.openxmlformats.org/officeDocument/2006/relationships/oleObject" Target="embeddings/oleObject980.bin"/><Relationship Id="rId4391" Type="http://schemas.openxmlformats.org/officeDocument/2006/relationships/oleObject" Target="embeddings/oleObject2187.bin"/><Relationship Id="rId5028" Type="http://schemas.openxmlformats.org/officeDocument/2006/relationships/image" Target="media/image2524.wmf"/><Relationship Id="rId5442" Type="http://schemas.openxmlformats.org/officeDocument/2006/relationships/oleObject" Target="embeddings/oleObject2710.bin"/><Relationship Id="rId8598" Type="http://schemas.openxmlformats.org/officeDocument/2006/relationships/image" Target="media/image4308.wmf"/><Relationship Id="rId9649" Type="http://schemas.openxmlformats.org/officeDocument/2006/relationships/oleObject" Target="embeddings/oleObject4803.bin"/><Relationship Id="rId11579" Type="http://schemas.openxmlformats.org/officeDocument/2006/relationships/image" Target="media/image5801.wmf"/><Relationship Id="rId12977" Type="http://schemas.openxmlformats.org/officeDocument/2006/relationships/image" Target="media/image6503.wmf"/><Relationship Id="rId1638" Type="http://schemas.openxmlformats.org/officeDocument/2006/relationships/image" Target="media/image825.wmf"/><Relationship Id="rId4044" Type="http://schemas.openxmlformats.org/officeDocument/2006/relationships/oleObject" Target="embeddings/oleObject2013.bin"/><Relationship Id="rId8665" Type="http://schemas.openxmlformats.org/officeDocument/2006/relationships/image" Target="media/image4342.wmf"/><Relationship Id="rId11993" Type="http://schemas.openxmlformats.org/officeDocument/2006/relationships/oleObject" Target="embeddings/oleObject5948.bin"/><Relationship Id="rId14052" Type="http://schemas.openxmlformats.org/officeDocument/2006/relationships/oleObject" Target="embeddings/oleObject6972.bin"/><Relationship Id="rId3060" Type="http://schemas.openxmlformats.org/officeDocument/2006/relationships/oleObject" Target="embeddings/oleObject1518.bin"/><Relationship Id="rId4111" Type="http://schemas.openxmlformats.org/officeDocument/2006/relationships/image" Target="media/image2066.wmf"/><Relationship Id="rId7267" Type="http://schemas.openxmlformats.org/officeDocument/2006/relationships/oleObject" Target="embeddings/oleObject3618.bin"/><Relationship Id="rId8318" Type="http://schemas.openxmlformats.org/officeDocument/2006/relationships/image" Target="media/image4168.wmf"/><Relationship Id="rId9716" Type="http://schemas.openxmlformats.org/officeDocument/2006/relationships/image" Target="media/image4867.wmf"/><Relationship Id="rId10595" Type="http://schemas.openxmlformats.org/officeDocument/2006/relationships/oleObject" Target="embeddings/oleObject5262.bin"/><Relationship Id="rId11646" Type="http://schemas.openxmlformats.org/officeDocument/2006/relationships/oleObject" Target="embeddings/oleObject5776.bin"/><Relationship Id="rId1705" Type="http://schemas.openxmlformats.org/officeDocument/2006/relationships/oleObject" Target="embeddings/oleObject840.bin"/><Relationship Id="rId6283" Type="http://schemas.openxmlformats.org/officeDocument/2006/relationships/image" Target="media/image3152.wmf"/><Relationship Id="rId7681" Type="http://schemas.openxmlformats.org/officeDocument/2006/relationships/oleObject" Target="embeddings/oleObject3825.bin"/><Relationship Id="rId8732" Type="http://schemas.openxmlformats.org/officeDocument/2006/relationships/oleObject" Target="embeddings/oleObject4349.bin"/><Relationship Id="rId10248" Type="http://schemas.openxmlformats.org/officeDocument/2006/relationships/oleObject" Target="embeddings/oleObject5091.bin"/><Relationship Id="rId10662" Type="http://schemas.openxmlformats.org/officeDocument/2006/relationships/image" Target="media/image5340.wmf"/><Relationship Id="rId11713" Type="http://schemas.openxmlformats.org/officeDocument/2006/relationships/oleObject" Target="embeddings/oleObject5808.bin"/><Relationship Id="rId3877" Type="http://schemas.openxmlformats.org/officeDocument/2006/relationships/oleObject" Target="embeddings/oleObject1929.bin"/><Relationship Id="rId4928" Type="http://schemas.openxmlformats.org/officeDocument/2006/relationships/image" Target="media/image2474.wmf"/><Relationship Id="rId7334" Type="http://schemas.openxmlformats.org/officeDocument/2006/relationships/image" Target="media/image3676.wmf"/><Relationship Id="rId10315" Type="http://schemas.openxmlformats.org/officeDocument/2006/relationships/image" Target="media/image5166.wmf"/><Relationship Id="rId13885" Type="http://schemas.openxmlformats.org/officeDocument/2006/relationships/image" Target="media/image6957.wmf"/><Relationship Id="rId798" Type="http://schemas.openxmlformats.org/officeDocument/2006/relationships/image" Target="media/image404.wmf"/><Relationship Id="rId2479" Type="http://schemas.openxmlformats.org/officeDocument/2006/relationships/oleObject" Target="embeddings/oleObject1227.bin"/><Relationship Id="rId2893" Type="http://schemas.openxmlformats.org/officeDocument/2006/relationships/image" Target="media/image1456.wmf"/><Relationship Id="rId3944" Type="http://schemas.openxmlformats.org/officeDocument/2006/relationships/image" Target="media/image1983.wmf"/><Relationship Id="rId6350" Type="http://schemas.openxmlformats.org/officeDocument/2006/relationships/oleObject" Target="embeddings/oleObject3165.bin"/><Relationship Id="rId7401" Type="http://schemas.openxmlformats.org/officeDocument/2006/relationships/oleObject" Target="embeddings/oleObject3685.bin"/><Relationship Id="rId12487" Type="http://schemas.openxmlformats.org/officeDocument/2006/relationships/image" Target="media/image6258.wmf"/><Relationship Id="rId13538" Type="http://schemas.openxmlformats.org/officeDocument/2006/relationships/image" Target="media/image6784.wmf"/><Relationship Id="rId865" Type="http://schemas.openxmlformats.org/officeDocument/2006/relationships/oleObject" Target="embeddings/oleObject424.bin"/><Relationship Id="rId1495" Type="http://schemas.openxmlformats.org/officeDocument/2006/relationships/oleObject" Target="embeddings/oleObject736.bin"/><Relationship Id="rId2546" Type="http://schemas.openxmlformats.org/officeDocument/2006/relationships/image" Target="media/image1283.wmf"/><Relationship Id="rId2960" Type="http://schemas.openxmlformats.org/officeDocument/2006/relationships/oleObject" Target="embeddings/oleObject1468.bin"/><Relationship Id="rId6003" Type="http://schemas.openxmlformats.org/officeDocument/2006/relationships/image" Target="media/image3012.wmf"/><Relationship Id="rId9159" Type="http://schemas.openxmlformats.org/officeDocument/2006/relationships/oleObject" Target="embeddings/oleObject4560.bin"/><Relationship Id="rId9573" Type="http://schemas.openxmlformats.org/officeDocument/2006/relationships/oleObject" Target="embeddings/oleObject4765.bin"/><Relationship Id="rId11089" Type="http://schemas.openxmlformats.org/officeDocument/2006/relationships/image" Target="media/image5556.wmf"/><Relationship Id="rId13952" Type="http://schemas.openxmlformats.org/officeDocument/2006/relationships/oleObject" Target="embeddings/oleObject6922.bin"/><Relationship Id="rId518" Type="http://schemas.openxmlformats.org/officeDocument/2006/relationships/oleObject" Target="embeddings/oleObject250.bin"/><Relationship Id="rId932" Type="http://schemas.openxmlformats.org/officeDocument/2006/relationships/oleObject" Target="embeddings/oleObject457.bin"/><Relationship Id="rId1148" Type="http://schemas.openxmlformats.org/officeDocument/2006/relationships/oleObject" Target="embeddings/oleObject564.bin"/><Relationship Id="rId1562" Type="http://schemas.openxmlformats.org/officeDocument/2006/relationships/image" Target="media/image786.wmf"/><Relationship Id="rId2613" Type="http://schemas.openxmlformats.org/officeDocument/2006/relationships/oleObject" Target="embeddings/oleObject1294.bin"/><Relationship Id="rId5769" Type="http://schemas.openxmlformats.org/officeDocument/2006/relationships/image" Target="media/image2895.wmf"/><Relationship Id="rId8175" Type="http://schemas.openxmlformats.org/officeDocument/2006/relationships/oleObject" Target="embeddings/oleObject4072.bin"/><Relationship Id="rId9226" Type="http://schemas.openxmlformats.org/officeDocument/2006/relationships/image" Target="media/image4622.wmf"/><Relationship Id="rId9640" Type="http://schemas.openxmlformats.org/officeDocument/2006/relationships/image" Target="media/image4829.wmf"/><Relationship Id="rId11156" Type="http://schemas.openxmlformats.org/officeDocument/2006/relationships/oleObject" Target="embeddings/oleObject5531.bin"/><Relationship Id="rId12207" Type="http://schemas.openxmlformats.org/officeDocument/2006/relationships/oleObject" Target="embeddings/oleObject6055.bin"/><Relationship Id="rId12554" Type="http://schemas.openxmlformats.org/officeDocument/2006/relationships/oleObject" Target="embeddings/oleObject6226.bin"/><Relationship Id="rId13605" Type="http://schemas.openxmlformats.org/officeDocument/2006/relationships/oleObject" Target="embeddings/oleObject6748.bin"/><Relationship Id="rId1215" Type="http://schemas.openxmlformats.org/officeDocument/2006/relationships/oleObject" Target="embeddings/oleObject598.bin"/><Relationship Id="rId7191" Type="http://schemas.openxmlformats.org/officeDocument/2006/relationships/oleObject" Target="embeddings/oleObject3580.bin"/><Relationship Id="rId8242" Type="http://schemas.openxmlformats.org/officeDocument/2006/relationships/image" Target="media/image4130.wmf"/><Relationship Id="rId11570" Type="http://schemas.openxmlformats.org/officeDocument/2006/relationships/oleObject" Target="embeddings/oleObject5738.bin"/><Relationship Id="rId12621" Type="http://schemas.openxmlformats.org/officeDocument/2006/relationships/image" Target="media/image6325.wmf"/><Relationship Id="rId3387" Type="http://schemas.openxmlformats.org/officeDocument/2006/relationships/oleObject" Target="embeddings/oleObject1683.bin"/><Relationship Id="rId4785" Type="http://schemas.openxmlformats.org/officeDocument/2006/relationships/oleObject" Target="embeddings/oleObject2384.bin"/><Relationship Id="rId5836" Type="http://schemas.openxmlformats.org/officeDocument/2006/relationships/oleObject" Target="embeddings/oleObject2907.bin"/><Relationship Id="rId10172" Type="http://schemas.openxmlformats.org/officeDocument/2006/relationships/oleObject" Target="embeddings/oleObject5055.bin"/><Relationship Id="rId11223" Type="http://schemas.openxmlformats.org/officeDocument/2006/relationships/image" Target="media/image5623.wmf"/><Relationship Id="rId14379" Type="http://schemas.openxmlformats.org/officeDocument/2006/relationships/image" Target="media/image7204.wmf"/><Relationship Id="rId4438" Type="http://schemas.openxmlformats.org/officeDocument/2006/relationships/image" Target="media/image2229.wmf"/><Relationship Id="rId4852" Type="http://schemas.openxmlformats.org/officeDocument/2006/relationships/image" Target="media/image2436.wmf"/><Relationship Id="rId5903" Type="http://schemas.openxmlformats.org/officeDocument/2006/relationships/image" Target="media/image2962.wmf"/><Relationship Id="rId10989" Type="http://schemas.openxmlformats.org/officeDocument/2006/relationships/oleObject" Target="embeddings/oleObject5450.bin"/><Relationship Id="rId13395" Type="http://schemas.openxmlformats.org/officeDocument/2006/relationships/oleObject" Target="embeddings/oleObject6643.bin"/><Relationship Id="rId14446" Type="http://schemas.openxmlformats.org/officeDocument/2006/relationships/oleObject" Target="embeddings/oleObject7163.bin"/><Relationship Id="rId3454" Type="http://schemas.openxmlformats.org/officeDocument/2006/relationships/image" Target="media/image1738.wmf"/><Relationship Id="rId4505" Type="http://schemas.openxmlformats.org/officeDocument/2006/relationships/oleObject" Target="embeddings/oleObject2244.bin"/><Relationship Id="rId13048" Type="http://schemas.openxmlformats.org/officeDocument/2006/relationships/oleObject" Target="embeddings/oleObject6471.bin"/><Relationship Id="rId13462" Type="http://schemas.openxmlformats.org/officeDocument/2006/relationships/image" Target="media/image6746.wmf"/><Relationship Id="rId14513" Type="http://schemas.openxmlformats.org/officeDocument/2006/relationships/image" Target="media/image7271.wmf"/><Relationship Id="rId375" Type="http://schemas.openxmlformats.org/officeDocument/2006/relationships/oleObject" Target="embeddings/oleObject182.bin"/><Relationship Id="rId2056" Type="http://schemas.openxmlformats.org/officeDocument/2006/relationships/image" Target="media/image1034.wmf"/><Relationship Id="rId2470" Type="http://schemas.openxmlformats.org/officeDocument/2006/relationships/image" Target="media/image1245.wmf"/><Relationship Id="rId3107" Type="http://schemas.openxmlformats.org/officeDocument/2006/relationships/image" Target="media/image1563.wmf"/><Relationship Id="rId3521" Type="http://schemas.openxmlformats.org/officeDocument/2006/relationships/oleObject" Target="embeddings/oleObject1751.bin"/><Relationship Id="rId6677" Type="http://schemas.openxmlformats.org/officeDocument/2006/relationships/image" Target="media/image3348.wmf"/><Relationship Id="rId7728" Type="http://schemas.openxmlformats.org/officeDocument/2006/relationships/image" Target="media/image3873.wmf"/><Relationship Id="rId9083" Type="http://schemas.openxmlformats.org/officeDocument/2006/relationships/image" Target="media/image4551.wmf"/><Relationship Id="rId12064" Type="http://schemas.openxmlformats.org/officeDocument/2006/relationships/image" Target="media/image6045.wmf"/><Relationship Id="rId13115" Type="http://schemas.openxmlformats.org/officeDocument/2006/relationships/image" Target="media/image6572.wmf"/><Relationship Id="rId442" Type="http://schemas.openxmlformats.org/officeDocument/2006/relationships/oleObject" Target="embeddings/oleObject212.bin"/><Relationship Id="rId1072" Type="http://schemas.microsoft.com/office/2007/relationships/hdphoto" Target="media/hdphoto4.wdp"/><Relationship Id="rId2123" Type="http://schemas.openxmlformats.org/officeDocument/2006/relationships/oleObject" Target="embeddings/oleObject1049.bin"/><Relationship Id="rId5279" Type="http://schemas.openxmlformats.org/officeDocument/2006/relationships/image" Target="media/image2650.wmf"/><Relationship Id="rId5693" Type="http://schemas.openxmlformats.org/officeDocument/2006/relationships/image" Target="media/image2857.wmf"/><Relationship Id="rId6744" Type="http://schemas.openxmlformats.org/officeDocument/2006/relationships/oleObject" Target="embeddings/oleObject3359.bin"/><Relationship Id="rId9150" Type="http://schemas.openxmlformats.org/officeDocument/2006/relationships/oleObject" Target="embeddings/oleObject4555.bin"/><Relationship Id="rId10709" Type="http://schemas.openxmlformats.org/officeDocument/2006/relationships/oleObject" Target="embeddings/oleObject5318.bin"/><Relationship Id="rId11080" Type="http://schemas.openxmlformats.org/officeDocument/2006/relationships/oleObject" Target="embeddings/oleObject5493.bin"/><Relationship Id="rId12131" Type="http://schemas.openxmlformats.org/officeDocument/2006/relationships/oleObject" Target="embeddings/oleObject6017.bin"/><Relationship Id="rId4295" Type="http://schemas.openxmlformats.org/officeDocument/2006/relationships/image" Target="media/image2158.wmf"/><Relationship Id="rId5346" Type="http://schemas.openxmlformats.org/officeDocument/2006/relationships/oleObject" Target="embeddings/oleObject2662.bin"/><Relationship Id="rId1889" Type="http://schemas.openxmlformats.org/officeDocument/2006/relationships/oleObject" Target="embeddings/oleObject932.bin"/><Relationship Id="rId4362" Type="http://schemas.openxmlformats.org/officeDocument/2006/relationships/image" Target="media/image2191.wmf"/><Relationship Id="rId5760" Type="http://schemas.openxmlformats.org/officeDocument/2006/relationships/oleObject" Target="embeddings/oleObject2869.bin"/><Relationship Id="rId6811" Type="http://schemas.openxmlformats.org/officeDocument/2006/relationships/image" Target="media/image3415.wmf"/><Relationship Id="rId9967" Type="http://schemas.openxmlformats.org/officeDocument/2006/relationships/image" Target="media/image4992.wmf"/><Relationship Id="rId11897" Type="http://schemas.openxmlformats.org/officeDocument/2006/relationships/oleObject" Target="embeddings/oleObject5900.bin"/><Relationship Id="rId12948" Type="http://schemas.openxmlformats.org/officeDocument/2006/relationships/oleObject" Target="embeddings/oleObject6423.bin"/><Relationship Id="rId1956" Type="http://schemas.openxmlformats.org/officeDocument/2006/relationships/image" Target="media/image984.wmf"/><Relationship Id="rId4015" Type="http://schemas.openxmlformats.org/officeDocument/2006/relationships/image" Target="media/image2018.wmf"/><Relationship Id="rId5413" Type="http://schemas.openxmlformats.org/officeDocument/2006/relationships/image" Target="media/image2717.wmf"/><Relationship Id="rId8569" Type="http://schemas.openxmlformats.org/officeDocument/2006/relationships/oleObject" Target="embeddings/oleObject4269.bin"/><Relationship Id="rId8983" Type="http://schemas.openxmlformats.org/officeDocument/2006/relationships/image" Target="media/image4501.wmf"/><Relationship Id="rId10499" Type="http://schemas.openxmlformats.org/officeDocument/2006/relationships/oleObject" Target="embeddings/oleObject5214.bin"/><Relationship Id="rId11964" Type="http://schemas.openxmlformats.org/officeDocument/2006/relationships/image" Target="media/image5995.wmf"/><Relationship Id="rId14370" Type="http://schemas.openxmlformats.org/officeDocument/2006/relationships/oleObject" Target="embeddings/oleObject7131.bin"/><Relationship Id="rId1609" Type="http://schemas.openxmlformats.org/officeDocument/2006/relationships/oleObject" Target="embeddings/oleObject792.bin"/><Relationship Id="rId7585" Type="http://schemas.openxmlformats.org/officeDocument/2006/relationships/oleObject" Target="embeddings/oleObject3777.bin"/><Relationship Id="rId8636" Type="http://schemas.openxmlformats.org/officeDocument/2006/relationships/image" Target="media/image4327.wmf"/><Relationship Id="rId10566" Type="http://schemas.openxmlformats.org/officeDocument/2006/relationships/image" Target="media/image5292.wmf"/><Relationship Id="rId11617" Type="http://schemas.openxmlformats.org/officeDocument/2006/relationships/image" Target="media/image5820.wmf"/><Relationship Id="rId14023" Type="http://schemas.openxmlformats.org/officeDocument/2006/relationships/image" Target="media/image7026.wmf"/><Relationship Id="rId3031" Type="http://schemas.openxmlformats.org/officeDocument/2006/relationships/image" Target="media/image1525.wmf"/><Relationship Id="rId6187" Type="http://schemas.openxmlformats.org/officeDocument/2006/relationships/image" Target="media/image3104.wmf"/><Relationship Id="rId7238" Type="http://schemas.openxmlformats.org/officeDocument/2006/relationships/image" Target="media/image3628.wmf"/><Relationship Id="rId7652" Type="http://schemas.openxmlformats.org/officeDocument/2006/relationships/image" Target="media/image3835.wmf"/><Relationship Id="rId8703" Type="http://schemas.openxmlformats.org/officeDocument/2006/relationships/image" Target="media/image4361.wmf"/><Relationship Id="rId10219" Type="http://schemas.openxmlformats.org/officeDocument/2006/relationships/image" Target="media/image5118.wmf"/><Relationship Id="rId10980" Type="http://schemas.openxmlformats.org/officeDocument/2006/relationships/image" Target="media/image5500.wmf"/><Relationship Id="rId13789" Type="http://schemas.openxmlformats.org/officeDocument/2006/relationships/image" Target="media/image6909.wmf"/><Relationship Id="rId2797" Type="http://schemas.openxmlformats.org/officeDocument/2006/relationships/oleObject" Target="embeddings/oleObject1386.bin"/><Relationship Id="rId3848" Type="http://schemas.openxmlformats.org/officeDocument/2006/relationships/image" Target="media/image1935.wmf"/><Relationship Id="rId6254" Type="http://schemas.openxmlformats.org/officeDocument/2006/relationships/oleObject" Target="embeddings/oleObject3116.bin"/><Relationship Id="rId7305" Type="http://schemas.openxmlformats.org/officeDocument/2006/relationships/oleObject" Target="embeddings/oleObject3637.bin"/><Relationship Id="rId10633" Type="http://schemas.openxmlformats.org/officeDocument/2006/relationships/oleObject" Target="embeddings/oleObject5281.bin"/><Relationship Id="rId769" Type="http://schemas.openxmlformats.org/officeDocument/2006/relationships/oleObject" Target="embeddings/oleObject376.bin"/><Relationship Id="rId1399" Type="http://schemas.openxmlformats.org/officeDocument/2006/relationships/oleObject" Target="embeddings/oleObject688.bin"/><Relationship Id="rId5270" Type="http://schemas.openxmlformats.org/officeDocument/2006/relationships/oleObject" Target="embeddings/oleObject2624.bin"/><Relationship Id="rId6321" Type="http://schemas.openxmlformats.org/officeDocument/2006/relationships/image" Target="media/image3171.wmf"/><Relationship Id="rId9477" Type="http://schemas.openxmlformats.org/officeDocument/2006/relationships/oleObject" Target="embeddings/oleObject4717.bin"/><Relationship Id="rId10700" Type="http://schemas.openxmlformats.org/officeDocument/2006/relationships/image" Target="media/image5359.wmf"/><Relationship Id="rId13856" Type="http://schemas.openxmlformats.org/officeDocument/2006/relationships/oleObject" Target="embeddings/oleObject6874.bin"/><Relationship Id="rId1466" Type="http://schemas.openxmlformats.org/officeDocument/2006/relationships/image" Target="media/image738.wmf"/><Relationship Id="rId2864" Type="http://schemas.openxmlformats.org/officeDocument/2006/relationships/oleObject" Target="embeddings/oleObject1420.bin"/><Relationship Id="rId3915" Type="http://schemas.openxmlformats.org/officeDocument/2006/relationships/oleObject" Target="embeddings/oleObject1948.bin"/><Relationship Id="rId8079" Type="http://schemas.openxmlformats.org/officeDocument/2006/relationships/oleObject" Target="embeddings/oleObject4024.bin"/><Relationship Id="rId8493" Type="http://schemas.openxmlformats.org/officeDocument/2006/relationships/oleObject" Target="embeddings/oleObject4231.bin"/><Relationship Id="rId9891" Type="http://schemas.openxmlformats.org/officeDocument/2006/relationships/image" Target="media/image4954.wmf"/><Relationship Id="rId12458" Type="http://schemas.openxmlformats.org/officeDocument/2006/relationships/oleObject" Target="embeddings/oleObject6178.bin"/><Relationship Id="rId12872" Type="http://schemas.openxmlformats.org/officeDocument/2006/relationships/oleObject" Target="embeddings/oleObject6385.bin"/><Relationship Id="rId13509" Type="http://schemas.openxmlformats.org/officeDocument/2006/relationships/oleObject" Target="embeddings/oleObject6700.bin"/><Relationship Id="rId13923" Type="http://schemas.openxmlformats.org/officeDocument/2006/relationships/image" Target="media/image6976.wmf"/><Relationship Id="rId836" Type="http://schemas.openxmlformats.org/officeDocument/2006/relationships/image" Target="media/image423.wmf"/><Relationship Id="rId1119" Type="http://schemas.openxmlformats.org/officeDocument/2006/relationships/image" Target="media/image565.wmf"/><Relationship Id="rId1880" Type="http://schemas.openxmlformats.org/officeDocument/2006/relationships/image" Target="media/image946.wmf"/><Relationship Id="rId2517" Type="http://schemas.openxmlformats.org/officeDocument/2006/relationships/oleObject" Target="embeddings/oleObject1246.bin"/><Relationship Id="rId2931" Type="http://schemas.openxmlformats.org/officeDocument/2006/relationships/image" Target="media/image1475.wmf"/><Relationship Id="rId7095" Type="http://schemas.openxmlformats.org/officeDocument/2006/relationships/image" Target="media/image3557.wmf"/><Relationship Id="rId8146" Type="http://schemas.openxmlformats.org/officeDocument/2006/relationships/image" Target="media/image4082.wmf"/><Relationship Id="rId9544" Type="http://schemas.openxmlformats.org/officeDocument/2006/relationships/image" Target="media/image4781.wmf"/><Relationship Id="rId11474" Type="http://schemas.openxmlformats.org/officeDocument/2006/relationships/oleObject" Target="embeddings/oleObject5690.bin"/><Relationship Id="rId12525" Type="http://schemas.openxmlformats.org/officeDocument/2006/relationships/image" Target="media/image6277.wmf"/><Relationship Id="rId903" Type="http://schemas.openxmlformats.org/officeDocument/2006/relationships/oleObject" Target="embeddings/oleObject443.bin"/><Relationship Id="rId1533" Type="http://schemas.openxmlformats.org/officeDocument/2006/relationships/oleObject" Target="embeddings/oleObject753.bin"/><Relationship Id="rId4689" Type="http://schemas.openxmlformats.org/officeDocument/2006/relationships/oleObject" Target="embeddings/oleObject2336.bin"/><Relationship Id="rId8560" Type="http://schemas.openxmlformats.org/officeDocument/2006/relationships/image" Target="media/image4289.wmf"/><Relationship Id="rId9611" Type="http://schemas.openxmlformats.org/officeDocument/2006/relationships/oleObject" Target="embeddings/oleObject4784.bin"/><Relationship Id="rId10076" Type="http://schemas.openxmlformats.org/officeDocument/2006/relationships/oleObject" Target="embeddings/oleObject5007.bin"/><Relationship Id="rId10490" Type="http://schemas.openxmlformats.org/officeDocument/2006/relationships/image" Target="media/image5254.wmf"/><Relationship Id="rId11127" Type="http://schemas.openxmlformats.org/officeDocument/2006/relationships/image" Target="media/image5575.wmf"/><Relationship Id="rId11541" Type="http://schemas.openxmlformats.org/officeDocument/2006/relationships/image" Target="media/image5782.wmf"/><Relationship Id="rId1600" Type="http://schemas.openxmlformats.org/officeDocument/2006/relationships/image" Target="media/image806.wmf"/><Relationship Id="rId4756" Type="http://schemas.openxmlformats.org/officeDocument/2006/relationships/image" Target="media/image2388.wmf"/><Relationship Id="rId5807" Type="http://schemas.openxmlformats.org/officeDocument/2006/relationships/image" Target="media/image2914.wmf"/><Relationship Id="rId7162" Type="http://schemas.openxmlformats.org/officeDocument/2006/relationships/image" Target="media/image3590.wmf"/><Relationship Id="rId8213" Type="http://schemas.openxmlformats.org/officeDocument/2006/relationships/oleObject" Target="embeddings/oleObject4091.bin"/><Relationship Id="rId10143" Type="http://schemas.openxmlformats.org/officeDocument/2006/relationships/image" Target="media/image5080.wmf"/><Relationship Id="rId13299" Type="http://schemas.openxmlformats.org/officeDocument/2006/relationships/image" Target="media/image6664.wmf"/><Relationship Id="rId3358" Type="http://schemas.openxmlformats.org/officeDocument/2006/relationships/image" Target="media/image1688.wmf"/><Relationship Id="rId3772" Type="http://schemas.openxmlformats.org/officeDocument/2006/relationships/image" Target="media/image1897.wmf"/><Relationship Id="rId4409" Type="http://schemas.openxmlformats.org/officeDocument/2006/relationships/oleObject" Target="embeddings/oleObject2196.bin"/><Relationship Id="rId4823" Type="http://schemas.openxmlformats.org/officeDocument/2006/relationships/oleObject" Target="embeddings/oleObject2402.bin"/><Relationship Id="rId7979" Type="http://schemas.openxmlformats.org/officeDocument/2006/relationships/oleObject" Target="embeddings/oleObject3974.bin"/><Relationship Id="rId10210" Type="http://schemas.openxmlformats.org/officeDocument/2006/relationships/oleObject" Target="embeddings/oleObject5072.bin"/><Relationship Id="rId13366" Type="http://schemas.openxmlformats.org/officeDocument/2006/relationships/image" Target="media/image6698.wmf"/><Relationship Id="rId14417" Type="http://schemas.openxmlformats.org/officeDocument/2006/relationships/image" Target="media/image7223.wmf"/><Relationship Id="rId279" Type="http://schemas.openxmlformats.org/officeDocument/2006/relationships/oleObject" Target="embeddings/oleObject134.bin"/><Relationship Id="rId693" Type="http://schemas.openxmlformats.org/officeDocument/2006/relationships/oleObject" Target="embeddings/oleObject335.bin"/><Relationship Id="rId2374" Type="http://schemas.openxmlformats.org/officeDocument/2006/relationships/oleObject" Target="embeddings/oleObject1176.bin"/><Relationship Id="rId3425" Type="http://schemas.openxmlformats.org/officeDocument/2006/relationships/oleObject" Target="embeddings/oleObject1703.bin"/><Relationship Id="rId13019" Type="http://schemas.openxmlformats.org/officeDocument/2006/relationships/image" Target="media/image6524.wmf"/><Relationship Id="rId13780" Type="http://schemas.openxmlformats.org/officeDocument/2006/relationships/oleObject" Target="embeddings/oleObject6836.bin"/><Relationship Id="rId346" Type="http://schemas.openxmlformats.org/officeDocument/2006/relationships/image" Target="media/image172.wmf"/><Relationship Id="rId760" Type="http://schemas.openxmlformats.org/officeDocument/2006/relationships/image" Target="media/image382.wmf"/><Relationship Id="rId1390" Type="http://schemas.openxmlformats.org/officeDocument/2006/relationships/image" Target="media/image700.wmf"/><Relationship Id="rId2027" Type="http://schemas.openxmlformats.org/officeDocument/2006/relationships/oleObject" Target="embeddings/oleObject1001.bin"/><Relationship Id="rId2441" Type="http://schemas.openxmlformats.org/officeDocument/2006/relationships/oleObject" Target="embeddings/oleObject1209.bin"/><Relationship Id="rId5597" Type="http://schemas.openxmlformats.org/officeDocument/2006/relationships/image" Target="media/image2809.wmf"/><Relationship Id="rId6995" Type="http://schemas.openxmlformats.org/officeDocument/2006/relationships/image" Target="media/image3507.wmf"/><Relationship Id="rId9054" Type="http://schemas.openxmlformats.org/officeDocument/2006/relationships/oleObject" Target="embeddings/oleObject4507.bin"/><Relationship Id="rId12382" Type="http://schemas.openxmlformats.org/officeDocument/2006/relationships/oleObject" Target="embeddings/oleObject6140.bin"/><Relationship Id="rId13433" Type="http://schemas.openxmlformats.org/officeDocument/2006/relationships/oleObject" Target="embeddings/oleObject6662.bin"/><Relationship Id="rId413" Type="http://schemas.openxmlformats.org/officeDocument/2006/relationships/image" Target="media/image206.wmf"/><Relationship Id="rId1043" Type="http://schemas.openxmlformats.org/officeDocument/2006/relationships/image" Target="media/image527.wmf"/><Relationship Id="rId4199" Type="http://schemas.openxmlformats.org/officeDocument/2006/relationships/image" Target="media/image2110.wmf"/><Relationship Id="rId6648" Type="http://schemas.openxmlformats.org/officeDocument/2006/relationships/oleObject" Target="embeddings/oleObject3311.bin"/><Relationship Id="rId8070" Type="http://schemas.openxmlformats.org/officeDocument/2006/relationships/image" Target="media/image4044.wmf"/><Relationship Id="rId9121" Type="http://schemas.openxmlformats.org/officeDocument/2006/relationships/image" Target="media/image4570.wmf"/><Relationship Id="rId12035" Type="http://schemas.openxmlformats.org/officeDocument/2006/relationships/oleObject" Target="embeddings/oleObject5969.bin"/><Relationship Id="rId13500" Type="http://schemas.openxmlformats.org/officeDocument/2006/relationships/image" Target="media/image6765.wmf"/><Relationship Id="rId5664" Type="http://schemas.openxmlformats.org/officeDocument/2006/relationships/oleObject" Target="embeddings/oleObject2821.bin"/><Relationship Id="rId6715" Type="http://schemas.openxmlformats.org/officeDocument/2006/relationships/image" Target="media/image3367.wmf"/><Relationship Id="rId11051" Type="http://schemas.openxmlformats.org/officeDocument/2006/relationships/oleObject" Target="embeddings/oleObject5481.bin"/><Relationship Id="rId12102" Type="http://schemas.openxmlformats.org/officeDocument/2006/relationships/image" Target="media/image6064.wmf"/><Relationship Id="rId1110" Type="http://schemas.openxmlformats.org/officeDocument/2006/relationships/oleObject" Target="embeddings/oleObject545.bin"/><Relationship Id="rId4266" Type="http://schemas.openxmlformats.org/officeDocument/2006/relationships/oleObject" Target="embeddings/oleObject2124.bin"/><Relationship Id="rId4680" Type="http://schemas.openxmlformats.org/officeDocument/2006/relationships/image" Target="media/image2350.wmf"/><Relationship Id="rId5317" Type="http://schemas.openxmlformats.org/officeDocument/2006/relationships/image" Target="media/image2669.wmf"/><Relationship Id="rId5731" Type="http://schemas.openxmlformats.org/officeDocument/2006/relationships/image" Target="media/image2876.wmf"/><Relationship Id="rId8887" Type="http://schemas.openxmlformats.org/officeDocument/2006/relationships/image" Target="media/image4453.wmf"/><Relationship Id="rId9938" Type="http://schemas.openxmlformats.org/officeDocument/2006/relationships/oleObject" Target="embeddings/oleObject4939.bin"/><Relationship Id="rId11868" Type="http://schemas.openxmlformats.org/officeDocument/2006/relationships/image" Target="media/image5947.wmf"/><Relationship Id="rId14274" Type="http://schemas.openxmlformats.org/officeDocument/2006/relationships/oleObject" Target="embeddings/oleObject7083.bin"/><Relationship Id="rId1927" Type="http://schemas.openxmlformats.org/officeDocument/2006/relationships/oleObject" Target="embeddings/oleObject951.bin"/><Relationship Id="rId3282" Type="http://schemas.openxmlformats.org/officeDocument/2006/relationships/image" Target="media/image1650.wmf"/><Relationship Id="rId4333" Type="http://schemas.openxmlformats.org/officeDocument/2006/relationships/image" Target="media/image2177.wmf"/><Relationship Id="rId7489" Type="http://schemas.openxmlformats.org/officeDocument/2006/relationships/oleObject" Target="embeddings/oleObject3729.bin"/><Relationship Id="rId8954" Type="http://schemas.openxmlformats.org/officeDocument/2006/relationships/oleObject" Target="embeddings/oleObject4457.bin"/><Relationship Id="rId12919" Type="http://schemas.openxmlformats.org/officeDocument/2006/relationships/image" Target="media/image6474.wmf"/><Relationship Id="rId13290" Type="http://schemas.openxmlformats.org/officeDocument/2006/relationships/oleObject" Target="embeddings/oleObject6592.bin"/><Relationship Id="rId14341" Type="http://schemas.openxmlformats.org/officeDocument/2006/relationships/image" Target="media/image7185.wmf"/><Relationship Id="rId4400" Type="http://schemas.openxmlformats.org/officeDocument/2006/relationships/image" Target="media/image2210.wmf"/><Relationship Id="rId7556" Type="http://schemas.openxmlformats.org/officeDocument/2006/relationships/image" Target="media/image3787.wmf"/><Relationship Id="rId8607" Type="http://schemas.openxmlformats.org/officeDocument/2006/relationships/oleObject" Target="embeddings/oleObject4288.bin"/><Relationship Id="rId10884" Type="http://schemas.openxmlformats.org/officeDocument/2006/relationships/image" Target="media/image5451.wmf"/><Relationship Id="rId11935" Type="http://schemas.openxmlformats.org/officeDocument/2006/relationships/oleObject" Target="embeddings/oleObject5919.bin"/><Relationship Id="rId270" Type="http://schemas.openxmlformats.org/officeDocument/2006/relationships/image" Target="media/image134.wmf"/><Relationship Id="rId3002" Type="http://schemas.openxmlformats.org/officeDocument/2006/relationships/oleObject" Target="embeddings/oleObject1489.bin"/><Relationship Id="rId6158" Type="http://schemas.openxmlformats.org/officeDocument/2006/relationships/oleObject" Target="embeddings/oleObject3068.bin"/><Relationship Id="rId6572" Type="http://schemas.openxmlformats.org/officeDocument/2006/relationships/oleObject" Target="embeddings/oleObject3273.bin"/><Relationship Id="rId7209" Type="http://schemas.openxmlformats.org/officeDocument/2006/relationships/oleObject" Target="embeddings/oleObject3589.bin"/><Relationship Id="rId7970" Type="http://schemas.openxmlformats.org/officeDocument/2006/relationships/image" Target="media/image3994.wmf"/><Relationship Id="rId10537" Type="http://schemas.openxmlformats.org/officeDocument/2006/relationships/oleObject" Target="embeddings/oleObject5233.bin"/><Relationship Id="rId10951" Type="http://schemas.microsoft.com/office/2007/relationships/hdphoto" Target="media/hdphoto44.wdp"/><Relationship Id="rId5174" Type="http://schemas.openxmlformats.org/officeDocument/2006/relationships/image" Target="media/image2597.wmf"/><Relationship Id="rId6225" Type="http://schemas.openxmlformats.org/officeDocument/2006/relationships/image" Target="media/image3123.wmf"/><Relationship Id="rId7623" Type="http://schemas.openxmlformats.org/officeDocument/2006/relationships/oleObject" Target="embeddings/oleObject3796.bin"/><Relationship Id="rId10604" Type="http://schemas.openxmlformats.org/officeDocument/2006/relationships/image" Target="media/image5311.wmf"/><Relationship Id="rId13010" Type="http://schemas.openxmlformats.org/officeDocument/2006/relationships/oleObject" Target="embeddings/oleObject6454.bin"/><Relationship Id="rId2768" Type="http://schemas.openxmlformats.org/officeDocument/2006/relationships/image" Target="media/image1394.wmf"/><Relationship Id="rId3819" Type="http://schemas.openxmlformats.org/officeDocument/2006/relationships/oleObject" Target="embeddings/oleObject1900.bin"/><Relationship Id="rId9795" Type="http://schemas.openxmlformats.org/officeDocument/2006/relationships/oleObject" Target="embeddings/oleObject4869.bin"/><Relationship Id="rId12776" Type="http://schemas.openxmlformats.org/officeDocument/2006/relationships/oleObject" Target="embeddings/oleObject6337.bin"/><Relationship Id="rId13827" Type="http://schemas.openxmlformats.org/officeDocument/2006/relationships/image" Target="media/image6928.wmf"/><Relationship Id="rId1784" Type="http://schemas.openxmlformats.org/officeDocument/2006/relationships/image" Target="media/image898.wmf"/><Relationship Id="rId2835" Type="http://schemas.openxmlformats.org/officeDocument/2006/relationships/oleObject" Target="embeddings/oleObject1405.bin"/><Relationship Id="rId4190" Type="http://schemas.openxmlformats.org/officeDocument/2006/relationships/oleObject" Target="embeddings/oleObject2086.bin"/><Relationship Id="rId5241" Type="http://schemas.openxmlformats.org/officeDocument/2006/relationships/image" Target="media/image2631.wmf"/><Relationship Id="rId8397" Type="http://schemas.openxmlformats.org/officeDocument/2006/relationships/oleObject" Target="embeddings/oleObject4183.bin"/><Relationship Id="rId9448" Type="http://schemas.openxmlformats.org/officeDocument/2006/relationships/image" Target="media/image4733.wmf"/><Relationship Id="rId9862" Type="http://schemas.openxmlformats.org/officeDocument/2006/relationships/oleObject" Target="embeddings/oleObject4903.bin"/><Relationship Id="rId11378" Type="http://schemas.openxmlformats.org/officeDocument/2006/relationships/oleObject" Target="embeddings/oleObject5642.bin"/><Relationship Id="rId11792" Type="http://schemas.openxmlformats.org/officeDocument/2006/relationships/image" Target="media/image5909.wmf"/><Relationship Id="rId12429" Type="http://schemas.openxmlformats.org/officeDocument/2006/relationships/image" Target="media/image6229.wmf"/><Relationship Id="rId76" Type="http://schemas.openxmlformats.org/officeDocument/2006/relationships/oleObject" Target="embeddings/oleObject34.bin"/><Relationship Id="rId807" Type="http://schemas.openxmlformats.org/officeDocument/2006/relationships/oleObject" Target="embeddings/oleObject395.bin"/><Relationship Id="rId1437" Type="http://schemas.openxmlformats.org/officeDocument/2006/relationships/oleObject" Target="embeddings/oleObject707.bin"/><Relationship Id="rId1851" Type="http://schemas.openxmlformats.org/officeDocument/2006/relationships/oleObject" Target="embeddings/oleObject913.bin"/><Relationship Id="rId2902" Type="http://schemas.openxmlformats.org/officeDocument/2006/relationships/oleObject" Target="embeddings/oleObject1439.bin"/><Relationship Id="rId8464" Type="http://schemas.openxmlformats.org/officeDocument/2006/relationships/image" Target="media/image4241.wmf"/><Relationship Id="rId9515" Type="http://schemas.openxmlformats.org/officeDocument/2006/relationships/oleObject" Target="embeddings/oleObject4736.bin"/><Relationship Id="rId10394" Type="http://schemas.openxmlformats.org/officeDocument/2006/relationships/oleObject" Target="embeddings/oleObject5164.bin"/><Relationship Id="rId11445" Type="http://schemas.openxmlformats.org/officeDocument/2006/relationships/image" Target="media/image5734.wmf"/><Relationship Id="rId12843" Type="http://schemas.openxmlformats.org/officeDocument/2006/relationships/image" Target="media/image6436.wmf"/><Relationship Id="rId1504" Type="http://schemas.openxmlformats.org/officeDocument/2006/relationships/image" Target="media/image757.wmf"/><Relationship Id="rId7066" Type="http://schemas.openxmlformats.org/officeDocument/2006/relationships/oleObject" Target="embeddings/oleObject3518.bin"/><Relationship Id="rId7480" Type="http://schemas.openxmlformats.org/officeDocument/2006/relationships/image" Target="media/image3749.wmf"/><Relationship Id="rId8117" Type="http://schemas.openxmlformats.org/officeDocument/2006/relationships/oleObject" Target="embeddings/oleObject4043.bin"/><Relationship Id="rId8531" Type="http://schemas.openxmlformats.org/officeDocument/2006/relationships/oleObject" Target="embeddings/oleObject4250.bin"/><Relationship Id="rId10047" Type="http://schemas.openxmlformats.org/officeDocument/2006/relationships/image" Target="media/image5032.wmf"/><Relationship Id="rId12910" Type="http://schemas.openxmlformats.org/officeDocument/2006/relationships/oleObject" Target="embeddings/oleObject6404.bin"/><Relationship Id="rId3676" Type="http://schemas.openxmlformats.org/officeDocument/2006/relationships/image" Target="media/image1849.wmf"/><Relationship Id="rId6082" Type="http://schemas.openxmlformats.org/officeDocument/2006/relationships/oleObject" Target="embeddings/oleObject3030.bin"/><Relationship Id="rId7133" Type="http://schemas.openxmlformats.org/officeDocument/2006/relationships/oleObject" Target="embeddings/oleObject3552.bin"/><Relationship Id="rId10461" Type="http://schemas.openxmlformats.org/officeDocument/2006/relationships/oleObject" Target="embeddings/oleObject5197.bin"/><Relationship Id="rId11512" Type="http://schemas.openxmlformats.org/officeDocument/2006/relationships/oleObject" Target="embeddings/oleObject5709.bin"/><Relationship Id="rId597" Type="http://schemas.openxmlformats.org/officeDocument/2006/relationships/oleObject" Target="embeddings/oleObject288.bin"/><Relationship Id="rId2278" Type="http://schemas.openxmlformats.org/officeDocument/2006/relationships/oleObject" Target="embeddings/oleObject1126.bin"/><Relationship Id="rId3329" Type="http://schemas.openxmlformats.org/officeDocument/2006/relationships/oleObject" Target="embeddings/oleObject1653.bin"/><Relationship Id="rId4727" Type="http://schemas.openxmlformats.org/officeDocument/2006/relationships/oleObject" Target="embeddings/oleObject2355.bin"/><Relationship Id="rId7200" Type="http://schemas.openxmlformats.org/officeDocument/2006/relationships/image" Target="media/image3609.wmf"/><Relationship Id="rId10114" Type="http://schemas.openxmlformats.org/officeDocument/2006/relationships/oleObject" Target="embeddings/oleObject5026.bin"/><Relationship Id="rId13684" Type="http://schemas.openxmlformats.org/officeDocument/2006/relationships/image" Target="media/image6857.wmf"/><Relationship Id="rId1294" Type="http://schemas.openxmlformats.org/officeDocument/2006/relationships/image" Target="media/image652.wmf"/><Relationship Id="rId2692" Type="http://schemas.openxmlformats.org/officeDocument/2006/relationships/image" Target="media/image1356.wmf"/><Relationship Id="rId3743" Type="http://schemas.openxmlformats.org/officeDocument/2006/relationships/oleObject" Target="embeddings/oleObject1862.bin"/><Relationship Id="rId6899" Type="http://schemas.openxmlformats.org/officeDocument/2006/relationships/image" Target="media/image3459.wmf"/><Relationship Id="rId12286" Type="http://schemas.openxmlformats.org/officeDocument/2006/relationships/image" Target="media/image6156.wmf"/><Relationship Id="rId13337" Type="http://schemas.openxmlformats.org/officeDocument/2006/relationships/oleObject" Target="embeddings/oleObject6615.bin"/><Relationship Id="rId13751" Type="http://schemas.openxmlformats.org/officeDocument/2006/relationships/image" Target="media/image6890.wmf"/><Relationship Id="rId664" Type="http://schemas.openxmlformats.org/officeDocument/2006/relationships/image" Target="media/image334.wmf"/><Relationship Id="rId2345" Type="http://schemas.openxmlformats.org/officeDocument/2006/relationships/image" Target="media/image1181.wmf"/><Relationship Id="rId3810" Type="http://schemas.openxmlformats.org/officeDocument/2006/relationships/image" Target="media/image1916.wmf"/><Relationship Id="rId6966" Type="http://schemas.openxmlformats.org/officeDocument/2006/relationships/oleObject" Target="embeddings/oleObject3468.bin"/><Relationship Id="rId9372" Type="http://schemas.openxmlformats.org/officeDocument/2006/relationships/image" Target="media/image4695.wmf"/><Relationship Id="rId12353" Type="http://schemas.openxmlformats.org/officeDocument/2006/relationships/image" Target="media/image6191.wmf"/><Relationship Id="rId13404" Type="http://schemas.openxmlformats.org/officeDocument/2006/relationships/image" Target="media/image6717.wmf"/><Relationship Id="rId317" Type="http://schemas.openxmlformats.org/officeDocument/2006/relationships/oleObject" Target="embeddings/oleObject153.bin"/><Relationship Id="rId731" Type="http://schemas.openxmlformats.org/officeDocument/2006/relationships/oleObject" Target="embeddings/oleObject354.bin"/><Relationship Id="rId1361" Type="http://schemas.openxmlformats.org/officeDocument/2006/relationships/oleObject" Target="embeddings/oleObject670.bin"/><Relationship Id="rId2412" Type="http://schemas.openxmlformats.org/officeDocument/2006/relationships/oleObject" Target="embeddings/oleObject1195.bin"/><Relationship Id="rId5568" Type="http://schemas.openxmlformats.org/officeDocument/2006/relationships/oleObject" Target="embeddings/oleObject2773.bin"/><Relationship Id="rId5982" Type="http://schemas.openxmlformats.org/officeDocument/2006/relationships/oleObject" Target="embeddings/oleObject2980.bin"/><Relationship Id="rId6619" Type="http://schemas.openxmlformats.org/officeDocument/2006/relationships/image" Target="media/image3319.wmf"/><Relationship Id="rId9025" Type="http://schemas.openxmlformats.org/officeDocument/2006/relationships/image" Target="media/image4522.wmf"/><Relationship Id="rId12006" Type="http://schemas.openxmlformats.org/officeDocument/2006/relationships/image" Target="media/image6016.wmf"/><Relationship Id="rId12420" Type="http://schemas.openxmlformats.org/officeDocument/2006/relationships/oleObject" Target="embeddings/oleObject6159.bin"/><Relationship Id="rId1014" Type="http://schemas.openxmlformats.org/officeDocument/2006/relationships/oleObject" Target="embeddings/oleObject498.bin"/><Relationship Id="rId4584" Type="http://schemas.openxmlformats.org/officeDocument/2006/relationships/image" Target="media/image2302.wmf"/><Relationship Id="rId5635" Type="http://schemas.openxmlformats.org/officeDocument/2006/relationships/image" Target="media/image2828.wmf"/><Relationship Id="rId8041" Type="http://schemas.openxmlformats.org/officeDocument/2006/relationships/oleObject" Target="embeddings/oleObject4005.bin"/><Relationship Id="rId11022" Type="http://schemas.openxmlformats.org/officeDocument/2006/relationships/image" Target="media/image5521.wmf"/><Relationship Id="rId14178" Type="http://schemas.openxmlformats.org/officeDocument/2006/relationships/oleObject" Target="embeddings/oleObject7035.bin"/><Relationship Id="rId3186" Type="http://schemas.openxmlformats.org/officeDocument/2006/relationships/oleObject" Target="embeddings/oleObject1581.bin"/><Relationship Id="rId4237" Type="http://schemas.openxmlformats.org/officeDocument/2006/relationships/image" Target="media/image2129.wmf"/><Relationship Id="rId4651" Type="http://schemas.openxmlformats.org/officeDocument/2006/relationships/oleObject" Target="embeddings/oleObject2317.bin"/><Relationship Id="rId13194" Type="http://schemas.openxmlformats.org/officeDocument/2006/relationships/oleObject" Target="embeddings/oleObject6544.bin"/><Relationship Id="rId14592" Type="http://schemas.openxmlformats.org/officeDocument/2006/relationships/image" Target="media/image7310.wmf"/><Relationship Id="rId3253" Type="http://schemas.openxmlformats.org/officeDocument/2006/relationships/image" Target="media/image1636.wmf"/><Relationship Id="rId4304" Type="http://schemas.openxmlformats.org/officeDocument/2006/relationships/oleObject" Target="embeddings/oleObject2143.bin"/><Relationship Id="rId5702" Type="http://schemas.openxmlformats.org/officeDocument/2006/relationships/oleObject" Target="embeddings/oleObject2840.bin"/><Relationship Id="rId8858" Type="http://schemas.openxmlformats.org/officeDocument/2006/relationships/oleObject" Target="embeddings/oleObject4409.bin"/><Relationship Id="rId9909" Type="http://schemas.openxmlformats.org/officeDocument/2006/relationships/image" Target="media/image4963.wmf"/><Relationship Id="rId10788" Type="http://schemas.openxmlformats.org/officeDocument/2006/relationships/image" Target="media/image5403.wmf"/><Relationship Id="rId11839" Type="http://schemas.openxmlformats.org/officeDocument/2006/relationships/oleObject" Target="embeddings/oleObject5871.bin"/><Relationship Id="rId14245" Type="http://schemas.openxmlformats.org/officeDocument/2006/relationships/image" Target="media/image7137.wmf"/><Relationship Id="rId174" Type="http://schemas.openxmlformats.org/officeDocument/2006/relationships/image" Target="media/image86.wmf"/><Relationship Id="rId7874" Type="http://schemas.openxmlformats.org/officeDocument/2006/relationships/image" Target="media/image3946.wmf"/><Relationship Id="rId8925" Type="http://schemas.openxmlformats.org/officeDocument/2006/relationships/image" Target="media/image4472.wmf"/><Relationship Id="rId10855" Type="http://schemas.openxmlformats.org/officeDocument/2006/relationships/oleObject" Target="embeddings/oleObject5390.bin"/><Relationship Id="rId11906" Type="http://schemas.openxmlformats.org/officeDocument/2006/relationships/image" Target="media/image5966.wmf"/><Relationship Id="rId13261" Type="http://schemas.openxmlformats.org/officeDocument/2006/relationships/image" Target="media/image6645.wmf"/><Relationship Id="rId14312" Type="http://schemas.openxmlformats.org/officeDocument/2006/relationships/oleObject" Target="embeddings/oleObject7102.bin"/><Relationship Id="rId241" Type="http://schemas.openxmlformats.org/officeDocument/2006/relationships/oleObject" Target="embeddings/oleObject115.bin"/><Relationship Id="rId3320" Type="http://schemas.openxmlformats.org/officeDocument/2006/relationships/image" Target="media/image1669.wmf"/><Relationship Id="rId5078" Type="http://schemas.openxmlformats.org/officeDocument/2006/relationships/image" Target="media/image2549.wmf"/><Relationship Id="rId6476" Type="http://schemas.openxmlformats.org/officeDocument/2006/relationships/oleObject" Target="embeddings/oleObject3228.bin"/><Relationship Id="rId6890" Type="http://schemas.openxmlformats.org/officeDocument/2006/relationships/oleObject" Target="embeddings/oleObject3430.bin"/><Relationship Id="rId7527" Type="http://schemas.openxmlformats.org/officeDocument/2006/relationships/oleObject" Target="embeddings/oleObject3748.bin"/><Relationship Id="rId7941" Type="http://schemas.openxmlformats.org/officeDocument/2006/relationships/oleObject" Target="embeddings/oleObject3955.bin"/><Relationship Id="rId10508" Type="http://schemas.openxmlformats.org/officeDocument/2006/relationships/image" Target="media/image5263.wmf"/><Relationship Id="rId5492" Type="http://schemas.openxmlformats.org/officeDocument/2006/relationships/oleObject" Target="embeddings/oleObject2735.bin"/><Relationship Id="rId6129" Type="http://schemas.openxmlformats.org/officeDocument/2006/relationships/image" Target="media/image3075.wmf"/><Relationship Id="rId6543" Type="http://schemas.openxmlformats.org/officeDocument/2006/relationships/image" Target="media/image3281.wmf"/><Relationship Id="rId9699" Type="http://schemas.openxmlformats.org/officeDocument/2006/relationships/oleObject" Target="embeddings/oleObject4821.bin"/><Relationship Id="rId10922" Type="http://schemas.openxmlformats.org/officeDocument/2006/relationships/image" Target="media/image5470.wmf"/><Relationship Id="rId1688" Type="http://schemas.openxmlformats.org/officeDocument/2006/relationships/image" Target="media/image850.wmf"/><Relationship Id="rId2739" Type="http://schemas.openxmlformats.org/officeDocument/2006/relationships/oleObject" Target="embeddings/oleObject1357.bin"/><Relationship Id="rId4094" Type="http://schemas.openxmlformats.org/officeDocument/2006/relationships/oleObject" Target="embeddings/oleObject2038.bin"/><Relationship Id="rId5145" Type="http://schemas.openxmlformats.org/officeDocument/2006/relationships/oleObject" Target="embeddings/oleObject2562.bin"/><Relationship Id="rId6610" Type="http://schemas.openxmlformats.org/officeDocument/2006/relationships/oleObject" Target="embeddings/oleObject3292.bin"/><Relationship Id="rId9766" Type="http://schemas.openxmlformats.org/officeDocument/2006/relationships/image" Target="media/image4892.wmf"/><Relationship Id="rId1755" Type="http://schemas.openxmlformats.org/officeDocument/2006/relationships/oleObject" Target="embeddings/oleObject865.bin"/><Relationship Id="rId4161" Type="http://schemas.openxmlformats.org/officeDocument/2006/relationships/image" Target="media/image2091.wmf"/><Relationship Id="rId5212" Type="http://schemas.openxmlformats.org/officeDocument/2006/relationships/image" Target="media/image2616.wmf"/><Relationship Id="rId8368" Type="http://schemas.openxmlformats.org/officeDocument/2006/relationships/image" Target="media/image4193.wmf"/><Relationship Id="rId8782" Type="http://schemas.openxmlformats.org/officeDocument/2006/relationships/oleObject" Target="embeddings/oleObject4374.bin"/><Relationship Id="rId9419" Type="http://schemas.openxmlformats.org/officeDocument/2006/relationships/oleObject" Target="embeddings/oleObject4690.bin"/><Relationship Id="rId10298" Type="http://schemas.openxmlformats.org/officeDocument/2006/relationships/oleObject" Target="embeddings/oleObject5116.bin"/><Relationship Id="rId11349" Type="http://schemas.openxmlformats.org/officeDocument/2006/relationships/image" Target="media/image5686.wmf"/><Relationship Id="rId11696" Type="http://schemas.openxmlformats.org/officeDocument/2006/relationships/image" Target="media/image5861.wmf"/><Relationship Id="rId12747" Type="http://schemas.openxmlformats.org/officeDocument/2006/relationships/image" Target="media/image6388.wmf"/><Relationship Id="rId1408" Type="http://schemas.openxmlformats.org/officeDocument/2006/relationships/image" Target="media/image709.wmf"/><Relationship Id="rId2806" Type="http://schemas.openxmlformats.org/officeDocument/2006/relationships/image" Target="media/image1413.wmf"/><Relationship Id="rId7384" Type="http://schemas.openxmlformats.org/officeDocument/2006/relationships/image" Target="media/image3701.wmf"/><Relationship Id="rId8435" Type="http://schemas.openxmlformats.org/officeDocument/2006/relationships/oleObject" Target="embeddings/oleObject4202.bin"/><Relationship Id="rId9833" Type="http://schemas.openxmlformats.org/officeDocument/2006/relationships/oleObject" Target="embeddings/oleObject4888.bin"/><Relationship Id="rId11763" Type="http://schemas.openxmlformats.org/officeDocument/2006/relationships/oleObject" Target="embeddings/oleObject5833.bin"/><Relationship Id="rId12814" Type="http://schemas.openxmlformats.org/officeDocument/2006/relationships/oleObject" Target="embeddings/oleObject6356.bin"/><Relationship Id="rId47" Type="http://schemas.openxmlformats.org/officeDocument/2006/relationships/image" Target="media/image21.wmf"/><Relationship Id="rId1822" Type="http://schemas.openxmlformats.org/officeDocument/2006/relationships/image" Target="media/image917.wmf"/><Relationship Id="rId4978" Type="http://schemas.openxmlformats.org/officeDocument/2006/relationships/image" Target="media/image2499.wmf"/><Relationship Id="rId7037" Type="http://schemas.openxmlformats.org/officeDocument/2006/relationships/image" Target="media/image3528.wmf"/><Relationship Id="rId9900" Type="http://schemas.openxmlformats.org/officeDocument/2006/relationships/oleObject" Target="embeddings/oleObject4922.bin"/><Relationship Id="rId10365" Type="http://schemas.openxmlformats.org/officeDocument/2006/relationships/image" Target="media/image5191.wmf"/><Relationship Id="rId11416" Type="http://schemas.openxmlformats.org/officeDocument/2006/relationships/oleObject" Target="embeddings/oleObject5661.bin"/><Relationship Id="rId11830" Type="http://schemas.openxmlformats.org/officeDocument/2006/relationships/image" Target="media/image5928.wmf"/><Relationship Id="rId3994" Type="http://schemas.openxmlformats.org/officeDocument/2006/relationships/oleObject" Target="embeddings/oleObject1988.bin"/><Relationship Id="rId6053" Type="http://schemas.openxmlformats.org/officeDocument/2006/relationships/image" Target="media/image3037.wmf"/><Relationship Id="rId7451" Type="http://schemas.openxmlformats.org/officeDocument/2006/relationships/oleObject" Target="embeddings/oleObject3710.bin"/><Relationship Id="rId8502" Type="http://schemas.openxmlformats.org/officeDocument/2006/relationships/image" Target="media/image4260.wmf"/><Relationship Id="rId10018" Type="http://schemas.openxmlformats.org/officeDocument/2006/relationships/oleObject" Target="embeddings/oleObject4978.bin"/><Relationship Id="rId10432" Type="http://schemas.openxmlformats.org/officeDocument/2006/relationships/image" Target="media/image5225.wmf"/><Relationship Id="rId13588" Type="http://schemas.openxmlformats.org/officeDocument/2006/relationships/image" Target="media/image6809.wmf"/><Relationship Id="rId2596" Type="http://schemas.openxmlformats.org/officeDocument/2006/relationships/image" Target="media/image1308.wmf"/><Relationship Id="rId3647" Type="http://schemas.openxmlformats.org/officeDocument/2006/relationships/oleObject" Target="embeddings/oleObject1814.bin"/><Relationship Id="rId7104" Type="http://schemas.openxmlformats.org/officeDocument/2006/relationships/oleObject" Target="embeddings/oleObject3537.bin"/><Relationship Id="rId13655" Type="http://schemas.openxmlformats.org/officeDocument/2006/relationships/oleObject" Target="embeddings/oleObject6773.bin"/><Relationship Id="rId568" Type="http://schemas.openxmlformats.org/officeDocument/2006/relationships/image" Target="media/image285.wmf"/><Relationship Id="rId982" Type="http://schemas.openxmlformats.org/officeDocument/2006/relationships/oleObject" Target="embeddings/oleObject482.bin"/><Relationship Id="rId1198" Type="http://schemas.openxmlformats.org/officeDocument/2006/relationships/image" Target="media/image604.wmf"/><Relationship Id="rId2249" Type="http://schemas.openxmlformats.org/officeDocument/2006/relationships/image" Target="media/image1131.wmf"/><Relationship Id="rId2663" Type="http://schemas.openxmlformats.org/officeDocument/2006/relationships/oleObject" Target="embeddings/oleObject1319.bin"/><Relationship Id="rId3714" Type="http://schemas.openxmlformats.org/officeDocument/2006/relationships/image" Target="media/image1868.wmf"/><Relationship Id="rId6120" Type="http://schemas.openxmlformats.org/officeDocument/2006/relationships/oleObject" Target="embeddings/oleObject3049.bin"/><Relationship Id="rId9276" Type="http://schemas.openxmlformats.org/officeDocument/2006/relationships/image" Target="media/image4647.wmf"/><Relationship Id="rId9690" Type="http://schemas.openxmlformats.org/officeDocument/2006/relationships/image" Target="media/image4854.png"/><Relationship Id="rId12257" Type="http://schemas.openxmlformats.org/officeDocument/2006/relationships/oleObject" Target="embeddings/oleObject6080.bin"/><Relationship Id="rId13308" Type="http://schemas.openxmlformats.org/officeDocument/2006/relationships/oleObject" Target="embeddings/oleObject6601.bin"/><Relationship Id="rId635" Type="http://schemas.openxmlformats.org/officeDocument/2006/relationships/oleObject" Target="embeddings/oleObject307.bin"/><Relationship Id="rId1265" Type="http://schemas.openxmlformats.org/officeDocument/2006/relationships/oleObject" Target="embeddings/oleObject622.bin"/><Relationship Id="rId2316" Type="http://schemas.openxmlformats.org/officeDocument/2006/relationships/oleObject" Target="embeddings/oleObject1147.bin"/><Relationship Id="rId2730" Type="http://schemas.openxmlformats.org/officeDocument/2006/relationships/image" Target="media/image1375.wmf"/><Relationship Id="rId5886" Type="http://schemas.openxmlformats.org/officeDocument/2006/relationships/oleObject" Target="embeddings/oleObject2932.bin"/><Relationship Id="rId8292" Type="http://schemas.openxmlformats.org/officeDocument/2006/relationships/image" Target="media/image4155.wmf"/><Relationship Id="rId9343" Type="http://schemas.openxmlformats.org/officeDocument/2006/relationships/oleObject" Target="embeddings/oleObject4652.bin"/><Relationship Id="rId11273" Type="http://schemas.openxmlformats.org/officeDocument/2006/relationships/image" Target="media/image5648.wmf"/><Relationship Id="rId12671" Type="http://schemas.openxmlformats.org/officeDocument/2006/relationships/image" Target="media/image6350.wmf"/><Relationship Id="rId13722" Type="http://schemas.openxmlformats.org/officeDocument/2006/relationships/oleObject" Target="embeddings/oleObject6807.bin"/><Relationship Id="rId702" Type="http://schemas.openxmlformats.org/officeDocument/2006/relationships/image" Target="media/image353.wmf"/><Relationship Id="rId1332" Type="http://schemas.openxmlformats.org/officeDocument/2006/relationships/image" Target="media/image671.wmf"/><Relationship Id="rId4488" Type="http://schemas.openxmlformats.org/officeDocument/2006/relationships/image" Target="media/image2254.wmf"/><Relationship Id="rId5539" Type="http://schemas.openxmlformats.org/officeDocument/2006/relationships/image" Target="media/image2780.wmf"/><Relationship Id="rId6937" Type="http://schemas.openxmlformats.org/officeDocument/2006/relationships/image" Target="media/image3478.wmf"/><Relationship Id="rId9410" Type="http://schemas.openxmlformats.org/officeDocument/2006/relationships/image" Target="media/image4714.wmf"/><Relationship Id="rId12324" Type="http://schemas.openxmlformats.org/officeDocument/2006/relationships/oleObject" Target="embeddings/oleObject6111.bin"/><Relationship Id="rId5953" Type="http://schemas.openxmlformats.org/officeDocument/2006/relationships/image" Target="media/image2987.wmf"/><Relationship Id="rId8012" Type="http://schemas.openxmlformats.org/officeDocument/2006/relationships/image" Target="media/image4015.wmf"/><Relationship Id="rId11340" Type="http://schemas.openxmlformats.org/officeDocument/2006/relationships/oleObject" Target="embeddings/oleObject5623.bin"/><Relationship Id="rId14496" Type="http://schemas.openxmlformats.org/officeDocument/2006/relationships/oleObject" Target="embeddings/oleObject7188.bin"/><Relationship Id="rId3157" Type="http://schemas.openxmlformats.org/officeDocument/2006/relationships/image" Target="media/image1588.wmf"/><Relationship Id="rId4555" Type="http://schemas.openxmlformats.org/officeDocument/2006/relationships/oleObject" Target="embeddings/oleObject2269.bin"/><Relationship Id="rId5606" Type="http://schemas.openxmlformats.org/officeDocument/2006/relationships/oleObject" Target="embeddings/oleObject2792.bin"/><Relationship Id="rId13098" Type="http://schemas.openxmlformats.org/officeDocument/2006/relationships/oleObject" Target="embeddings/oleObject6496.bin"/><Relationship Id="rId14149" Type="http://schemas.openxmlformats.org/officeDocument/2006/relationships/image" Target="media/image7089.wmf"/><Relationship Id="rId14563" Type="http://schemas.openxmlformats.org/officeDocument/2006/relationships/image" Target="media/image7296.wmf"/><Relationship Id="rId3571" Type="http://schemas.openxmlformats.org/officeDocument/2006/relationships/oleObject" Target="embeddings/oleObject1776.bin"/><Relationship Id="rId4208" Type="http://schemas.openxmlformats.org/officeDocument/2006/relationships/oleObject" Target="embeddings/oleObject2095.bin"/><Relationship Id="rId4622" Type="http://schemas.openxmlformats.org/officeDocument/2006/relationships/image" Target="media/image2321.wmf"/><Relationship Id="rId7778" Type="http://schemas.openxmlformats.org/officeDocument/2006/relationships/image" Target="media/image3898.wmf"/><Relationship Id="rId8829" Type="http://schemas.openxmlformats.org/officeDocument/2006/relationships/image" Target="media/image4424.wmf"/><Relationship Id="rId10759" Type="http://schemas.openxmlformats.org/officeDocument/2006/relationships/oleObject" Target="embeddings/oleObject5342.bin"/><Relationship Id="rId13165" Type="http://schemas.openxmlformats.org/officeDocument/2006/relationships/image" Target="media/image6597.wmf"/><Relationship Id="rId14216" Type="http://schemas.openxmlformats.org/officeDocument/2006/relationships/oleObject" Target="embeddings/oleObject7054.bin"/><Relationship Id="rId492" Type="http://schemas.openxmlformats.org/officeDocument/2006/relationships/oleObject" Target="embeddings/oleObject237.bin"/><Relationship Id="rId2173" Type="http://schemas.openxmlformats.org/officeDocument/2006/relationships/oleObject" Target="embeddings/oleObject1074.bin"/><Relationship Id="rId3224" Type="http://schemas.openxmlformats.org/officeDocument/2006/relationships/oleObject" Target="embeddings/oleObject1600.bin"/><Relationship Id="rId6794" Type="http://schemas.openxmlformats.org/officeDocument/2006/relationships/oleObject" Target="embeddings/oleObject3384.bin"/><Relationship Id="rId7845" Type="http://schemas.openxmlformats.org/officeDocument/2006/relationships/oleObject" Target="embeddings/oleObject3907.bin"/><Relationship Id="rId12181" Type="http://schemas.openxmlformats.org/officeDocument/2006/relationships/oleObject" Target="embeddings/oleObject6042.bin"/><Relationship Id="rId13232" Type="http://schemas.openxmlformats.org/officeDocument/2006/relationships/oleObject" Target="embeddings/oleObject6563.bin"/><Relationship Id="rId145" Type="http://schemas.openxmlformats.org/officeDocument/2006/relationships/oleObject" Target="embeddings/oleObject67.bin"/><Relationship Id="rId2240" Type="http://schemas.openxmlformats.org/officeDocument/2006/relationships/oleObject" Target="embeddings/oleObject1107.bin"/><Relationship Id="rId5396" Type="http://schemas.openxmlformats.org/officeDocument/2006/relationships/oleObject" Target="embeddings/oleObject2687.bin"/><Relationship Id="rId6447" Type="http://schemas.openxmlformats.org/officeDocument/2006/relationships/image" Target="media/image3233.wmf"/><Relationship Id="rId6861" Type="http://schemas.openxmlformats.org/officeDocument/2006/relationships/image" Target="media/image3440.wmf"/><Relationship Id="rId10826" Type="http://schemas.openxmlformats.org/officeDocument/2006/relationships/image" Target="media/image5422.wmf"/><Relationship Id="rId212" Type="http://schemas.openxmlformats.org/officeDocument/2006/relationships/image" Target="media/image105.wmf"/><Relationship Id="rId5049" Type="http://schemas.openxmlformats.org/officeDocument/2006/relationships/oleObject" Target="embeddings/oleObject2514.bin"/><Relationship Id="rId5463" Type="http://schemas.openxmlformats.org/officeDocument/2006/relationships/image" Target="media/image2742.wmf"/><Relationship Id="rId6514" Type="http://schemas.openxmlformats.org/officeDocument/2006/relationships/oleObject" Target="embeddings/oleObject3247.bin"/><Relationship Id="rId7912" Type="http://schemas.openxmlformats.org/officeDocument/2006/relationships/image" Target="media/image3965.wmf"/><Relationship Id="rId12998" Type="http://schemas.openxmlformats.org/officeDocument/2006/relationships/oleObject" Target="embeddings/oleObject6448.bin"/><Relationship Id="rId4065" Type="http://schemas.openxmlformats.org/officeDocument/2006/relationships/image" Target="media/image2043.wmf"/><Relationship Id="rId5116" Type="http://schemas.openxmlformats.org/officeDocument/2006/relationships/image" Target="media/image2568.wmf"/><Relationship Id="rId1659" Type="http://schemas.openxmlformats.org/officeDocument/2006/relationships/oleObject" Target="embeddings/oleObject817.bin"/><Relationship Id="rId3081" Type="http://schemas.openxmlformats.org/officeDocument/2006/relationships/image" Target="media/image1550.wmf"/><Relationship Id="rId4132" Type="http://schemas.openxmlformats.org/officeDocument/2006/relationships/oleObject" Target="embeddings/oleObject2057.bin"/><Relationship Id="rId5530" Type="http://schemas.openxmlformats.org/officeDocument/2006/relationships/oleObject" Target="embeddings/oleObject2754.bin"/><Relationship Id="rId7288" Type="http://schemas.openxmlformats.org/officeDocument/2006/relationships/image" Target="media/image3653.wmf"/><Relationship Id="rId8686" Type="http://schemas.openxmlformats.org/officeDocument/2006/relationships/oleObject" Target="embeddings/oleObject4326.bin"/><Relationship Id="rId9737" Type="http://schemas.openxmlformats.org/officeDocument/2006/relationships/oleObject" Target="embeddings/oleObject4840.bin"/><Relationship Id="rId11667" Type="http://schemas.openxmlformats.org/officeDocument/2006/relationships/image" Target="media/image5845.wmf"/><Relationship Id="rId12718" Type="http://schemas.openxmlformats.org/officeDocument/2006/relationships/oleObject" Target="embeddings/oleObject6308.bin"/><Relationship Id="rId14073" Type="http://schemas.openxmlformats.org/officeDocument/2006/relationships/image" Target="media/image7051.wmf"/><Relationship Id="rId1726" Type="http://schemas.openxmlformats.org/officeDocument/2006/relationships/image" Target="media/image869.wmf"/><Relationship Id="rId8339" Type="http://schemas.openxmlformats.org/officeDocument/2006/relationships/oleObject" Target="embeddings/oleObject4154.bin"/><Relationship Id="rId8753" Type="http://schemas.openxmlformats.org/officeDocument/2006/relationships/image" Target="media/image4386.wmf"/><Relationship Id="rId9804" Type="http://schemas.openxmlformats.org/officeDocument/2006/relationships/image" Target="media/image4911.wmf"/><Relationship Id="rId10269" Type="http://schemas.openxmlformats.org/officeDocument/2006/relationships/image" Target="media/image5143.wmf"/><Relationship Id="rId10683" Type="http://schemas.openxmlformats.org/officeDocument/2006/relationships/oleObject" Target="embeddings/oleObject5306.bin"/><Relationship Id="rId11734" Type="http://schemas.openxmlformats.org/officeDocument/2006/relationships/image" Target="media/image5880.wmf"/><Relationship Id="rId14140" Type="http://schemas.openxmlformats.org/officeDocument/2006/relationships/oleObject" Target="embeddings/oleObject7016.bin"/><Relationship Id="rId18" Type="http://schemas.openxmlformats.org/officeDocument/2006/relationships/oleObject" Target="embeddings/oleObject5.bin"/><Relationship Id="rId3898" Type="http://schemas.openxmlformats.org/officeDocument/2006/relationships/image" Target="media/image1960.wmf"/><Relationship Id="rId4949" Type="http://schemas.openxmlformats.org/officeDocument/2006/relationships/oleObject" Target="embeddings/oleObject2464.bin"/><Relationship Id="rId7355" Type="http://schemas.openxmlformats.org/officeDocument/2006/relationships/oleObject" Target="embeddings/oleObject3662.bin"/><Relationship Id="rId8406" Type="http://schemas.openxmlformats.org/officeDocument/2006/relationships/image" Target="media/image4212.wmf"/><Relationship Id="rId8820" Type="http://schemas.openxmlformats.org/officeDocument/2006/relationships/oleObject" Target="embeddings/oleObject4393.bin"/><Relationship Id="rId10336" Type="http://schemas.openxmlformats.org/officeDocument/2006/relationships/oleObject" Target="embeddings/oleObject5135.bin"/><Relationship Id="rId3965" Type="http://schemas.openxmlformats.org/officeDocument/2006/relationships/image" Target="media/image1993.wmf"/><Relationship Id="rId6371" Type="http://schemas.openxmlformats.org/officeDocument/2006/relationships/image" Target="media/image3195.wmf"/><Relationship Id="rId7008" Type="http://schemas.openxmlformats.org/officeDocument/2006/relationships/oleObject" Target="embeddings/oleObject3489.bin"/><Relationship Id="rId7422" Type="http://schemas.openxmlformats.org/officeDocument/2006/relationships/image" Target="media/image3720.wmf"/><Relationship Id="rId10750" Type="http://schemas.openxmlformats.org/officeDocument/2006/relationships/image" Target="media/image5384.wmf"/><Relationship Id="rId11801" Type="http://schemas.openxmlformats.org/officeDocument/2006/relationships/oleObject" Target="embeddings/oleObject5852.bin"/><Relationship Id="rId13559" Type="http://schemas.openxmlformats.org/officeDocument/2006/relationships/oleObject" Target="embeddings/oleObject6725.bin"/><Relationship Id="rId886" Type="http://schemas.openxmlformats.org/officeDocument/2006/relationships/image" Target="media/image448.wmf"/><Relationship Id="rId2567" Type="http://schemas.openxmlformats.org/officeDocument/2006/relationships/oleObject" Target="embeddings/oleObject1271.bin"/><Relationship Id="rId3618" Type="http://schemas.openxmlformats.org/officeDocument/2006/relationships/image" Target="media/image1820.wmf"/><Relationship Id="rId6024" Type="http://schemas.openxmlformats.org/officeDocument/2006/relationships/oleObject" Target="embeddings/oleObject3001.bin"/><Relationship Id="rId9594" Type="http://schemas.openxmlformats.org/officeDocument/2006/relationships/image" Target="media/image4806.wmf"/><Relationship Id="rId10403" Type="http://schemas.openxmlformats.org/officeDocument/2006/relationships/image" Target="media/image5210.wmf"/><Relationship Id="rId13973" Type="http://schemas.openxmlformats.org/officeDocument/2006/relationships/image" Target="media/image7001.wmf"/><Relationship Id="rId2" Type="http://schemas.openxmlformats.org/officeDocument/2006/relationships/numbering" Target="numbering.xml"/><Relationship Id="rId539" Type="http://schemas.openxmlformats.org/officeDocument/2006/relationships/image" Target="media/image269.wmf"/><Relationship Id="rId1169" Type="http://schemas.openxmlformats.org/officeDocument/2006/relationships/image" Target="media/image590.wmf"/><Relationship Id="rId1583" Type="http://schemas.openxmlformats.org/officeDocument/2006/relationships/oleObject" Target="embeddings/oleObject779.bin"/><Relationship Id="rId2981" Type="http://schemas.openxmlformats.org/officeDocument/2006/relationships/image" Target="media/image1500.wmf"/><Relationship Id="rId5040" Type="http://schemas.openxmlformats.org/officeDocument/2006/relationships/image" Target="media/image2530.wmf"/><Relationship Id="rId8196" Type="http://schemas.openxmlformats.org/officeDocument/2006/relationships/image" Target="media/image4107.wmf"/><Relationship Id="rId9247" Type="http://schemas.openxmlformats.org/officeDocument/2006/relationships/oleObject" Target="embeddings/oleObject4604.bin"/><Relationship Id="rId12575" Type="http://schemas.openxmlformats.org/officeDocument/2006/relationships/image" Target="media/image6302.wmf"/><Relationship Id="rId13626" Type="http://schemas.openxmlformats.org/officeDocument/2006/relationships/image" Target="media/image6828.wmf"/><Relationship Id="rId953" Type="http://schemas.openxmlformats.org/officeDocument/2006/relationships/image" Target="media/image482.wmf"/><Relationship Id="rId1236" Type="http://schemas.openxmlformats.org/officeDocument/2006/relationships/image" Target="media/image623.wmf"/><Relationship Id="rId2634" Type="http://schemas.openxmlformats.org/officeDocument/2006/relationships/image" Target="media/image1327.wmf"/><Relationship Id="rId8263" Type="http://schemas.openxmlformats.org/officeDocument/2006/relationships/oleObject" Target="embeddings/oleObject4116.bin"/><Relationship Id="rId9661" Type="http://schemas.openxmlformats.org/officeDocument/2006/relationships/oleObject" Target="embeddings/oleObject4809.bin"/><Relationship Id="rId11177" Type="http://schemas.openxmlformats.org/officeDocument/2006/relationships/image" Target="media/image5600.wmf"/><Relationship Id="rId11591" Type="http://schemas.openxmlformats.org/officeDocument/2006/relationships/image" Target="media/image5807.wmf"/><Relationship Id="rId12228" Type="http://schemas.openxmlformats.org/officeDocument/2006/relationships/image" Target="media/image6127.wmf"/><Relationship Id="rId12642" Type="http://schemas.openxmlformats.org/officeDocument/2006/relationships/oleObject" Target="embeddings/oleObject6270.bin"/><Relationship Id="rId606" Type="http://schemas.openxmlformats.org/officeDocument/2006/relationships/image" Target="media/image304.wmf"/><Relationship Id="rId1650" Type="http://schemas.openxmlformats.org/officeDocument/2006/relationships/image" Target="media/image831.wmf"/><Relationship Id="rId2701" Type="http://schemas.openxmlformats.org/officeDocument/2006/relationships/oleObject" Target="embeddings/oleObject1338.bin"/><Relationship Id="rId5857" Type="http://schemas.openxmlformats.org/officeDocument/2006/relationships/image" Target="media/image2939.wmf"/><Relationship Id="rId6908" Type="http://schemas.openxmlformats.org/officeDocument/2006/relationships/oleObject" Target="embeddings/oleObject3439.bin"/><Relationship Id="rId9314" Type="http://schemas.openxmlformats.org/officeDocument/2006/relationships/image" Target="media/image4666.wmf"/><Relationship Id="rId10193" Type="http://schemas.openxmlformats.org/officeDocument/2006/relationships/image" Target="media/image5105.wmf"/><Relationship Id="rId11244" Type="http://schemas.openxmlformats.org/officeDocument/2006/relationships/oleObject" Target="embeddings/oleObject5575.bin"/><Relationship Id="rId1303" Type="http://schemas.openxmlformats.org/officeDocument/2006/relationships/oleObject" Target="embeddings/oleObject641.bin"/><Relationship Id="rId4459" Type="http://schemas.openxmlformats.org/officeDocument/2006/relationships/oleObject" Target="embeddings/oleObject2221.bin"/><Relationship Id="rId4873" Type="http://schemas.openxmlformats.org/officeDocument/2006/relationships/oleObject" Target="embeddings/oleObject2427.bin"/><Relationship Id="rId5924" Type="http://schemas.openxmlformats.org/officeDocument/2006/relationships/oleObject" Target="embeddings/oleObject2951.bin"/><Relationship Id="rId8330" Type="http://schemas.openxmlformats.org/officeDocument/2006/relationships/image" Target="media/image4174.wmf"/><Relationship Id="rId10260" Type="http://schemas.openxmlformats.org/officeDocument/2006/relationships/oleObject" Target="embeddings/oleObject5097.bin"/><Relationship Id="rId11311" Type="http://schemas.openxmlformats.org/officeDocument/2006/relationships/image" Target="media/image5667.wmf"/><Relationship Id="rId14467" Type="http://schemas.openxmlformats.org/officeDocument/2006/relationships/image" Target="media/image7248.wmf"/><Relationship Id="rId3475" Type="http://schemas.openxmlformats.org/officeDocument/2006/relationships/oleObject" Target="embeddings/oleObject1728.bin"/><Relationship Id="rId4526" Type="http://schemas.openxmlformats.org/officeDocument/2006/relationships/image" Target="media/image2273.wmf"/><Relationship Id="rId4940" Type="http://schemas.openxmlformats.org/officeDocument/2006/relationships/image" Target="media/image2480.wmf"/><Relationship Id="rId13069" Type="http://schemas.openxmlformats.org/officeDocument/2006/relationships/image" Target="media/image6549.wmf"/><Relationship Id="rId13483" Type="http://schemas.openxmlformats.org/officeDocument/2006/relationships/oleObject" Target="embeddings/oleObject6687.bin"/><Relationship Id="rId396" Type="http://schemas.openxmlformats.org/officeDocument/2006/relationships/oleObject" Target="embeddings/oleObject192.bin"/><Relationship Id="rId2077" Type="http://schemas.openxmlformats.org/officeDocument/2006/relationships/oleObject" Target="embeddings/oleObject1026.bin"/><Relationship Id="rId2491" Type="http://schemas.openxmlformats.org/officeDocument/2006/relationships/oleObject" Target="embeddings/oleObject1233.bin"/><Relationship Id="rId3128" Type="http://schemas.openxmlformats.org/officeDocument/2006/relationships/oleObject" Target="embeddings/oleObject1552.bin"/><Relationship Id="rId3542" Type="http://schemas.openxmlformats.org/officeDocument/2006/relationships/image" Target="media/image1782.wmf"/><Relationship Id="rId6698" Type="http://schemas.openxmlformats.org/officeDocument/2006/relationships/oleObject" Target="embeddings/oleObject3336.bin"/><Relationship Id="rId7749" Type="http://schemas.openxmlformats.org/officeDocument/2006/relationships/oleObject" Target="embeddings/oleObject3859.bin"/><Relationship Id="rId12085" Type="http://schemas.openxmlformats.org/officeDocument/2006/relationships/oleObject" Target="embeddings/oleObject5994.bin"/><Relationship Id="rId13136" Type="http://schemas.openxmlformats.org/officeDocument/2006/relationships/oleObject" Target="embeddings/oleObject6515.bin"/><Relationship Id="rId14534" Type="http://schemas.openxmlformats.org/officeDocument/2006/relationships/oleObject" Target="embeddings/oleObject7207.bin"/><Relationship Id="rId463" Type="http://schemas.openxmlformats.org/officeDocument/2006/relationships/image" Target="media/image231.wmf"/><Relationship Id="rId1093" Type="http://schemas.openxmlformats.org/officeDocument/2006/relationships/image" Target="media/image552.wmf"/><Relationship Id="rId2144" Type="http://schemas.openxmlformats.org/officeDocument/2006/relationships/image" Target="media/image1078.wmf"/><Relationship Id="rId9171" Type="http://schemas.openxmlformats.org/officeDocument/2006/relationships/oleObject" Target="embeddings/oleObject4566.bin"/><Relationship Id="rId13550" Type="http://schemas.openxmlformats.org/officeDocument/2006/relationships/image" Target="media/image6790.wmf"/><Relationship Id="rId116" Type="http://schemas.openxmlformats.org/officeDocument/2006/relationships/oleObject" Target="embeddings/oleObject54.bin"/><Relationship Id="rId530" Type="http://schemas.openxmlformats.org/officeDocument/2006/relationships/oleObject" Target="embeddings/oleObject256.bin"/><Relationship Id="rId1160" Type="http://schemas.openxmlformats.org/officeDocument/2006/relationships/oleObject" Target="embeddings/oleObject570.bin"/><Relationship Id="rId2211" Type="http://schemas.openxmlformats.org/officeDocument/2006/relationships/oleObject" Target="embeddings/oleObject1093.bin"/><Relationship Id="rId5367" Type="http://schemas.openxmlformats.org/officeDocument/2006/relationships/image" Target="media/image2694.wmf"/><Relationship Id="rId6765" Type="http://schemas.openxmlformats.org/officeDocument/2006/relationships/image" Target="media/image3392.wmf"/><Relationship Id="rId7816" Type="http://schemas.openxmlformats.org/officeDocument/2006/relationships/image" Target="media/image3917.wmf"/><Relationship Id="rId12152" Type="http://schemas.openxmlformats.org/officeDocument/2006/relationships/image" Target="media/image6089.wmf"/><Relationship Id="rId13203" Type="http://schemas.openxmlformats.org/officeDocument/2006/relationships/image" Target="media/image6616.wmf"/><Relationship Id="rId5781" Type="http://schemas.openxmlformats.org/officeDocument/2006/relationships/image" Target="media/image2901.wmf"/><Relationship Id="rId6418" Type="http://schemas.openxmlformats.org/officeDocument/2006/relationships/oleObject" Target="embeddings/oleObject3199.bin"/><Relationship Id="rId6832" Type="http://schemas.openxmlformats.org/officeDocument/2006/relationships/oleObject" Target="embeddings/oleObject3401.bin"/><Relationship Id="rId9988" Type="http://schemas.openxmlformats.org/officeDocument/2006/relationships/oleObject" Target="embeddings/oleObject4963.bin"/><Relationship Id="rId12969" Type="http://schemas.openxmlformats.org/officeDocument/2006/relationships/image" Target="media/image6499.wmf"/><Relationship Id="rId1977" Type="http://schemas.openxmlformats.org/officeDocument/2006/relationships/oleObject" Target="embeddings/oleObject976.bin"/><Relationship Id="rId4383" Type="http://schemas.openxmlformats.org/officeDocument/2006/relationships/oleObject" Target="embeddings/oleObject2183.bin"/><Relationship Id="rId5434" Type="http://schemas.openxmlformats.org/officeDocument/2006/relationships/oleObject" Target="embeddings/oleObject2706.bin"/><Relationship Id="rId14391" Type="http://schemas.openxmlformats.org/officeDocument/2006/relationships/image" Target="media/image7210.wmf"/><Relationship Id="rId4036" Type="http://schemas.openxmlformats.org/officeDocument/2006/relationships/oleObject" Target="embeddings/oleObject2009.bin"/><Relationship Id="rId4450" Type="http://schemas.openxmlformats.org/officeDocument/2006/relationships/image" Target="media/image2235.wmf"/><Relationship Id="rId5501" Type="http://schemas.openxmlformats.org/officeDocument/2006/relationships/image" Target="media/image2761.wmf"/><Relationship Id="rId8657" Type="http://schemas.openxmlformats.org/officeDocument/2006/relationships/image" Target="media/image4338.wmf"/><Relationship Id="rId9708" Type="http://schemas.openxmlformats.org/officeDocument/2006/relationships/image" Target="media/image4863.wmf"/><Relationship Id="rId10587" Type="http://schemas.openxmlformats.org/officeDocument/2006/relationships/oleObject" Target="embeddings/oleObject5258.bin"/><Relationship Id="rId11638" Type="http://schemas.openxmlformats.org/officeDocument/2006/relationships/oleObject" Target="embeddings/oleObject5772.bin"/><Relationship Id="rId11985" Type="http://schemas.openxmlformats.org/officeDocument/2006/relationships/oleObject" Target="embeddings/oleObject5944.bin"/><Relationship Id="rId14044" Type="http://schemas.openxmlformats.org/officeDocument/2006/relationships/oleObject" Target="embeddings/oleObject6968.bin"/><Relationship Id="rId3052" Type="http://schemas.openxmlformats.org/officeDocument/2006/relationships/oleObject" Target="embeddings/oleObject1514.bin"/><Relationship Id="rId4103" Type="http://schemas.openxmlformats.org/officeDocument/2006/relationships/image" Target="media/image2062.wmf"/><Relationship Id="rId7259" Type="http://schemas.openxmlformats.org/officeDocument/2006/relationships/oleObject" Target="embeddings/oleObject3614.bin"/><Relationship Id="rId7673" Type="http://schemas.openxmlformats.org/officeDocument/2006/relationships/oleObject" Target="embeddings/oleObject3821.bin"/><Relationship Id="rId8724" Type="http://schemas.openxmlformats.org/officeDocument/2006/relationships/oleObject" Target="embeddings/oleObject4345.bin"/><Relationship Id="rId13060" Type="http://schemas.openxmlformats.org/officeDocument/2006/relationships/oleObject" Target="embeddings/oleObject6477.bin"/><Relationship Id="rId14111" Type="http://schemas.openxmlformats.org/officeDocument/2006/relationships/image" Target="media/image7070.wmf"/><Relationship Id="rId6275" Type="http://schemas.openxmlformats.org/officeDocument/2006/relationships/image" Target="media/image3148.wmf"/><Relationship Id="rId7326" Type="http://schemas.openxmlformats.org/officeDocument/2006/relationships/image" Target="media/image3672.wmf"/><Relationship Id="rId10654" Type="http://schemas.openxmlformats.org/officeDocument/2006/relationships/image" Target="media/image5336.wmf"/><Relationship Id="rId11705" Type="http://schemas.openxmlformats.org/officeDocument/2006/relationships/oleObject" Target="embeddings/oleObject5804.bin"/><Relationship Id="rId3869" Type="http://schemas.openxmlformats.org/officeDocument/2006/relationships/oleObject" Target="embeddings/oleObject1925.bin"/><Relationship Id="rId5291" Type="http://schemas.openxmlformats.org/officeDocument/2006/relationships/image" Target="media/image2656.wmf"/><Relationship Id="rId6342" Type="http://schemas.openxmlformats.org/officeDocument/2006/relationships/oleObject" Target="embeddings/oleObject3161.bin"/><Relationship Id="rId7740" Type="http://schemas.openxmlformats.org/officeDocument/2006/relationships/image" Target="media/image3879.wmf"/><Relationship Id="rId9498" Type="http://schemas.openxmlformats.org/officeDocument/2006/relationships/image" Target="media/image4758.wmf"/><Relationship Id="rId10307" Type="http://schemas.openxmlformats.org/officeDocument/2006/relationships/image" Target="media/image5162.wmf"/><Relationship Id="rId10721" Type="http://schemas.openxmlformats.org/officeDocument/2006/relationships/oleObject" Target="embeddings/oleObject5323.bin"/><Relationship Id="rId13877" Type="http://schemas.openxmlformats.org/officeDocument/2006/relationships/image" Target="media/image6953.wmf"/><Relationship Id="rId2885" Type="http://schemas.openxmlformats.org/officeDocument/2006/relationships/image" Target="media/image1452.wmf"/><Relationship Id="rId3936" Type="http://schemas.openxmlformats.org/officeDocument/2006/relationships/image" Target="media/image1979.wmf"/><Relationship Id="rId12479" Type="http://schemas.openxmlformats.org/officeDocument/2006/relationships/image" Target="media/image6254.wmf"/><Relationship Id="rId12893" Type="http://schemas.openxmlformats.org/officeDocument/2006/relationships/image" Target="media/image6461.wmf"/><Relationship Id="rId13944" Type="http://schemas.openxmlformats.org/officeDocument/2006/relationships/oleObject" Target="embeddings/oleObject6918.bin"/><Relationship Id="rId857" Type="http://schemas.openxmlformats.org/officeDocument/2006/relationships/oleObject" Target="embeddings/oleObject420.bin"/><Relationship Id="rId1487" Type="http://schemas.openxmlformats.org/officeDocument/2006/relationships/oleObject" Target="embeddings/oleObject732.bin"/><Relationship Id="rId2538" Type="http://schemas.openxmlformats.org/officeDocument/2006/relationships/image" Target="media/image1279.wmf"/><Relationship Id="rId2952" Type="http://schemas.openxmlformats.org/officeDocument/2006/relationships/oleObject" Target="embeddings/oleObject1464.bin"/><Relationship Id="rId9565" Type="http://schemas.openxmlformats.org/officeDocument/2006/relationships/oleObject" Target="embeddings/oleObject4761.bin"/><Relationship Id="rId11495" Type="http://schemas.openxmlformats.org/officeDocument/2006/relationships/image" Target="media/image5759.wmf"/><Relationship Id="rId12546" Type="http://schemas.openxmlformats.org/officeDocument/2006/relationships/oleObject" Target="embeddings/oleObject6222.bin"/><Relationship Id="rId924" Type="http://schemas.openxmlformats.org/officeDocument/2006/relationships/oleObject" Target="embeddings/oleObject453.bin"/><Relationship Id="rId1554" Type="http://schemas.openxmlformats.org/officeDocument/2006/relationships/image" Target="media/image782.wmf"/><Relationship Id="rId2605" Type="http://schemas.openxmlformats.org/officeDocument/2006/relationships/oleObject" Target="embeddings/oleObject1290.bin"/><Relationship Id="rId5011" Type="http://schemas.openxmlformats.org/officeDocument/2006/relationships/oleObject" Target="embeddings/oleObject2495.bin"/><Relationship Id="rId8167" Type="http://schemas.openxmlformats.org/officeDocument/2006/relationships/oleObject" Target="embeddings/oleObject4068.bin"/><Relationship Id="rId8581" Type="http://schemas.openxmlformats.org/officeDocument/2006/relationships/oleObject" Target="embeddings/oleObject4275.bin"/><Relationship Id="rId9218" Type="http://schemas.openxmlformats.org/officeDocument/2006/relationships/image" Target="media/image4618.wmf"/><Relationship Id="rId9632" Type="http://schemas.openxmlformats.org/officeDocument/2006/relationships/image" Target="media/image4825.wmf"/><Relationship Id="rId10097" Type="http://schemas.openxmlformats.org/officeDocument/2006/relationships/image" Target="media/image5057.wmf"/><Relationship Id="rId11148" Type="http://schemas.openxmlformats.org/officeDocument/2006/relationships/oleObject" Target="embeddings/oleObject5527.bin"/><Relationship Id="rId11562" Type="http://schemas.openxmlformats.org/officeDocument/2006/relationships/oleObject" Target="embeddings/oleObject5734.bin"/><Relationship Id="rId12960" Type="http://schemas.openxmlformats.org/officeDocument/2006/relationships/oleObject" Target="embeddings/oleObject6429.bin"/><Relationship Id="rId1207" Type="http://schemas.openxmlformats.org/officeDocument/2006/relationships/oleObject" Target="embeddings/oleObject594.bin"/><Relationship Id="rId1621" Type="http://schemas.openxmlformats.org/officeDocument/2006/relationships/oleObject" Target="embeddings/oleObject798.bin"/><Relationship Id="rId4777" Type="http://schemas.openxmlformats.org/officeDocument/2006/relationships/oleObject" Target="embeddings/oleObject2380.bin"/><Relationship Id="rId5828" Type="http://schemas.openxmlformats.org/officeDocument/2006/relationships/oleObject" Target="embeddings/oleObject2903.bin"/><Relationship Id="rId7183" Type="http://schemas.openxmlformats.org/officeDocument/2006/relationships/oleObject" Target="embeddings/oleObject3576.bin"/><Relationship Id="rId8234" Type="http://schemas.openxmlformats.org/officeDocument/2006/relationships/image" Target="media/image4126.wmf"/><Relationship Id="rId10164" Type="http://schemas.openxmlformats.org/officeDocument/2006/relationships/oleObject" Target="embeddings/oleObject5051.bin"/><Relationship Id="rId11215" Type="http://schemas.openxmlformats.org/officeDocument/2006/relationships/image" Target="media/image5619.wmf"/><Relationship Id="rId12613" Type="http://schemas.openxmlformats.org/officeDocument/2006/relationships/image" Target="media/image6321.wmf"/><Relationship Id="rId3379" Type="http://schemas.openxmlformats.org/officeDocument/2006/relationships/oleObject" Target="embeddings/oleObject1679.bin"/><Relationship Id="rId3793" Type="http://schemas.openxmlformats.org/officeDocument/2006/relationships/oleObject" Target="embeddings/oleObject1887.bin"/><Relationship Id="rId7250" Type="http://schemas.openxmlformats.org/officeDocument/2006/relationships/image" Target="media/image3634.wmf"/><Relationship Id="rId8301" Type="http://schemas.openxmlformats.org/officeDocument/2006/relationships/oleObject" Target="embeddings/oleObject4135.bin"/><Relationship Id="rId2395" Type="http://schemas.openxmlformats.org/officeDocument/2006/relationships/image" Target="media/image1206.wmf"/><Relationship Id="rId3446" Type="http://schemas.openxmlformats.org/officeDocument/2006/relationships/image" Target="media/image1734.wmf"/><Relationship Id="rId4844" Type="http://schemas.openxmlformats.org/officeDocument/2006/relationships/image" Target="media/image2432.wmf"/><Relationship Id="rId10231" Type="http://schemas.openxmlformats.org/officeDocument/2006/relationships/image" Target="media/image5124.wmf"/><Relationship Id="rId13387" Type="http://schemas.openxmlformats.org/officeDocument/2006/relationships/oleObject" Target="embeddings/oleObject6639.bin"/><Relationship Id="rId14438" Type="http://schemas.openxmlformats.org/officeDocument/2006/relationships/oleObject" Target="embeddings/oleObject7159.bin"/><Relationship Id="rId367" Type="http://schemas.openxmlformats.org/officeDocument/2006/relationships/oleObject" Target="embeddings/oleObject178.bin"/><Relationship Id="rId2048" Type="http://schemas.openxmlformats.org/officeDocument/2006/relationships/image" Target="media/image1030.wmf"/><Relationship Id="rId3860" Type="http://schemas.openxmlformats.org/officeDocument/2006/relationships/image" Target="media/image1941.wmf"/><Relationship Id="rId4911" Type="http://schemas.openxmlformats.org/officeDocument/2006/relationships/oleObject" Target="embeddings/oleObject2446.bin"/><Relationship Id="rId9075" Type="http://schemas.openxmlformats.org/officeDocument/2006/relationships/image" Target="media/image4547.wmf"/><Relationship Id="rId13454" Type="http://schemas.openxmlformats.org/officeDocument/2006/relationships/image" Target="media/image6742.wmf"/><Relationship Id="rId14505" Type="http://schemas.openxmlformats.org/officeDocument/2006/relationships/image" Target="media/image7267.wmf"/><Relationship Id="rId781" Type="http://schemas.openxmlformats.org/officeDocument/2006/relationships/oleObject" Target="embeddings/oleObject382.bin"/><Relationship Id="rId2462" Type="http://schemas.openxmlformats.org/officeDocument/2006/relationships/image" Target="media/image1241.wmf"/><Relationship Id="rId3513" Type="http://schemas.openxmlformats.org/officeDocument/2006/relationships/oleObject" Target="embeddings/oleObject1747.bin"/><Relationship Id="rId6669" Type="http://schemas.openxmlformats.org/officeDocument/2006/relationships/image" Target="media/image3344.wmf"/><Relationship Id="rId8091" Type="http://schemas.openxmlformats.org/officeDocument/2006/relationships/oleObject" Target="embeddings/oleObject4030.bin"/><Relationship Id="rId12056" Type="http://schemas.openxmlformats.org/officeDocument/2006/relationships/image" Target="media/image6041.wmf"/><Relationship Id="rId12470" Type="http://schemas.openxmlformats.org/officeDocument/2006/relationships/oleObject" Target="embeddings/oleObject6184.bin"/><Relationship Id="rId13107" Type="http://schemas.openxmlformats.org/officeDocument/2006/relationships/image" Target="media/image6568.wmf"/><Relationship Id="rId13521" Type="http://schemas.openxmlformats.org/officeDocument/2006/relationships/oleObject" Target="embeddings/oleObject6706.bin"/><Relationship Id="rId434" Type="http://schemas.openxmlformats.org/officeDocument/2006/relationships/oleObject" Target="embeddings/oleObject211.bin"/><Relationship Id="rId1064" Type="http://schemas.openxmlformats.org/officeDocument/2006/relationships/oleObject" Target="embeddings/oleObject523.bin"/><Relationship Id="rId2115" Type="http://schemas.openxmlformats.org/officeDocument/2006/relationships/oleObject" Target="embeddings/oleObject1045.bin"/><Relationship Id="rId5685" Type="http://schemas.openxmlformats.org/officeDocument/2006/relationships/image" Target="media/image2853.wmf"/><Relationship Id="rId6736" Type="http://schemas.openxmlformats.org/officeDocument/2006/relationships/oleObject" Target="embeddings/oleObject3355.bin"/><Relationship Id="rId9142" Type="http://schemas.openxmlformats.org/officeDocument/2006/relationships/oleObject" Target="embeddings/oleObject4551.bin"/><Relationship Id="rId11072" Type="http://schemas.openxmlformats.org/officeDocument/2006/relationships/oleObject" Target="embeddings/oleObject5489.bin"/><Relationship Id="rId12123" Type="http://schemas.openxmlformats.org/officeDocument/2006/relationships/oleObject" Target="embeddings/oleObject6013.bin"/><Relationship Id="rId501" Type="http://schemas.openxmlformats.org/officeDocument/2006/relationships/image" Target="media/image250.wmf"/><Relationship Id="rId1131" Type="http://schemas.openxmlformats.org/officeDocument/2006/relationships/image" Target="media/image571.wmf"/><Relationship Id="rId4287" Type="http://schemas.openxmlformats.org/officeDocument/2006/relationships/image" Target="media/image2154.wmf"/><Relationship Id="rId5338" Type="http://schemas.openxmlformats.org/officeDocument/2006/relationships/oleObject" Target="embeddings/oleObject2658.bin"/><Relationship Id="rId5752" Type="http://schemas.openxmlformats.org/officeDocument/2006/relationships/oleObject" Target="embeddings/oleObject2865.bin"/><Relationship Id="rId6803" Type="http://schemas.openxmlformats.org/officeDocument/2006/relationships/image" Target="media/image3411.wmf"/><Relationship Id="rId9959" Type="http://schemas.openxmlformats.org/officeDocument/2006/relationships/image" Target="media/image4988.wmf"/><Relationship Id="rId14295" Type="http://schemas.openxmlformats.org/officeDocument/2006/relationships/image" Target="media/image7162.wmf"/><Relationship Id="rId4354" Type="http://schemas.openxmlformats.org/officeDocument/2006/relationships/image" Target="media/image2187.wmf"/><Relationship Id="rId5405" Type="http://schemas.openxmlformats.org/officeDocument/2006/relationships/image" Target="media/image2713.wmf"/><Relationship Id="rId11889" Type="http://schemas.openxmlformats.org/officeDocument/2006/relationships/oleObject" Target="embeddings/oleObject5896.bin"/><Relationship Id="rId1948" Type="http://schemas.openxmlformats.org/officeDocument/2006/relationships/image" Target="media/image980.wmf"/><Relationship Id="rId3370" Type="http://schemas.openxmlformats.org/officeDocument/2006/relationships/image" Target="media/image1694.wmf"/><Relationship Id="rId4007" Type="http://schemas.openxmlformats.org/officeDocument/2006/relationships/image" Target="media/image2014.wmf"/><Relationship Id="rId4421" Type="http://schemas.openxmlformats.org/officeDocument/2006/relationships/oleObject" Target="embeddings/oleObject2202.bin"/><Relationship Id="rId7577" Type="http://schemas.openxmlformats.org/officeDocument/2006/relationships/oleObject" Target="embeddings/oleObject3773.bin"/><Relationship Id="rId8975" Type="http://schemas.openxmlformats.org/officeDocument/2006/relationships/image" Target="media/image4497.wmf"/><Relationship Id="rId11956" Type="http://schemas.openxmlformats.org/officeDocument/2006/relationships/image" Target="media/image5991.wmf"/><Relationship Id="rId14362" Type="http://schemas.openxmlformats.org/officeDocument/2006/relationships/oleObject" Target="embeddings/oleObject7127.bin"/><Relationship Id="rId291" Type="http://schemas.openxmlformats.org/officeDocument/2006/relationships/oleObject" Target="embeddings/oleObject140.bin"/><Relationship Id="rId3023" Type="http://schemas.openxmlformats.org/officeDocument/2006/relationships/image" Target="media/image1521.wmf"/><Relationship Id="rId6179" Type="http://schemas.openxmlformats.org/officeDocument/2006/relationships/image" Target="media/image3100.wmf"/><Relationship Id="rId7991" Type="http://schemas.openxmlformats.org/officeDocument/2006/relationships/oleObject" Target="embeddings/oleObject3980.bin"/><Relationship Id="rId8628" Type="http://schemas.openxmlformats.org/officeDocument/2006/relationships/image" Target="media/image4323.wmf"/><Relationship Id="rId10558" Type="http://schemas.openxmlformats.org/officeDocument/2006/relationships/image" Target="media/image5288.wmf"/><Relationship Id="rId10972" Type="http://schemas.openxmlformats.org/officeDocument/2006/relationships/image" Target="media/image5496.wmf"/><Relationship Id="rId11609" Type="http://schemas.openxmlformats.org/officeDocument/2006/relationships/image" Target="media/image5816.wmf"/><Relationship Id="rId14015" Type="http://schemas.openxmlformats.org/officeDocument/2006/relationships/image" Target="media/image7022.wmf"/><Relationship Id="rId5195" Type="http://schemas.openxmlformats.org/officeDocument/2006/relationships/oleObject" Target="embeddings/oleObject2587.bin"/><Relationship Id="rId6593" Type="http://schemas.openxmlformats.org/officeDocument/2006/relationships/image" Target="media/image3306.wmf"/><Relationship Id="rId7644" Type="http://schemas.openxmlformats.org/officeDocument/2006/relationships/image" Target="media/image3831.wmf"/><Relationship Id="rId10625" Type="http://schemas.openxmlformats.org/officeDocument/2006/relationships/oleObject" Target="embeddings/oleObject5277.bin"/><Relationship Id="rId13031" Type="http://schemas.openxmlformats.org/officeDocument/2006/relationships/image" Target="media/image6530.wmf"/><Relationship Id="rId2789" Type="http://schemas.openxmlformats.org/officeDocument/2006/relationships/oleObject" Target="embeddings/oleObject1382.bin"/><Relationship Id="rId6246" Type="http://schemas.openxmlformats.org/officeDocument/2006/relationships/oleObject" Target="embeddings/oleObject3112.bin"/><Relationship Id="rId6660" Type="http://schemas.openxmlformats.org/officeDocument/2006/relationships/oleObject" Target="embeddings/oleObject3317.bin"/><Relationship Id="rId7711" Type="http://schemas.openxmlformats.org/officeDocument/2006/relationships/oleObject" Target="embeddings/oleObject3840.bin"/><Relationship Id="rId12797" Type="http://schemas.openxmlformats.org/officeDocument/2006/relationships/image" Target="media/image6413.wmf"/><Relationship Id="rId13848" Type="http://schemas.openxmlformats.org/officeDocument/2006/relationships/oleObject" Target="embeddings/oleObject6870.bin"/><Relationship Id="rId2856" Type="http://schemas.openxmlformats.org/officeDocument/2006/relationships/oleObject" Target="embeddings/oleObject1416.bin"/><Relationship Id="rId3907" Type="http://schemas.openxmlformats.org/officeDocument/2006/relationships/oleObject" Target="embeddings/oleObject1944.bin"/><Relationship Id="rId5262" Type="http://schemas.openxmlformats.org/officeDocument/2006/relationships/oleObject" Target="embeddings/oleObject2620.bin"/><Relationship Id="rId6313" Type="http://schemas.openxmlformats.org/officeDocument/2006/relationships/image" Target="media/image3167.wmf"/><Relationship Id="rId9469" Type="http://schemas.openxmlformats.org/officeDocument/2006/relationships/oleObject" Target="embeddings/oleObject4713.bin"/><Relationship Id="rId9883" Type="http://schemas.openxmlformats.org/officeDocument/2006/relationships/image" Target="media/image4950.wmf"/><Relationship Id="rId11399" Type="http://schemas.openxmlformats.org/officeDocument/2006/relationships/image" Target="media/image5711.wmf"/><Relationship Id="rId97" Type="http://schemas.openxmlformats.org/officeDocument/2006/relationships/image" Target="media/image46.wmf"/><Relationship Id="rId828" Type="http://schemas.openxmlformats.org/officeDocument/2006/relationships/image" Target="media/image419.wmf"/><Relationship Id="rId1458" Type="http://schemas.openxmlformats.org/officeDocument/2006/relationships/image" Target="media/image734.wmf"/><Relationship Id="rId1872" Type="http://schemas.openxmlformats.org/officeDocument/2006/relationships/image" Target="media/image942.wmf"/><Relationship Id="rId2509" Type="http://schemas.openxmlformats.org/officeDocument/2006/relationships/oleObject" Target="embeddings/oleObject1242.bin"/><Relationship Id="rId8485" Type="http://schemas.openxmlformats.org/officeDocument/2006/relationships/oleObject" Target="embeddings/oleObject4227.bin"/><Relationship Id="rId9536" Type="http://schemas.openxmlformats.org/officeDocument/2006/relationships/image" Target="media/image4777.wmf"/><Relationship Id="rId12864" Type="http://schemas.openxmlformats.org/officeDocument/2006/relationships/oleObject" Target="embeddings/oleObject6381.bin"/><Relationship Id="rId13915" Type="http://schemas.openxmlformats.org/officeDocument/2006/relationships/image" Target="media/image6972.wmf"/><Relationship Id="rId1525" Type="http://schemas.openxmlformats.org/officeDocument/2006/relationships/oleObject" Target="embeddings/oleObject749.bin"/><Relationship Id="rId2923" Type="http://schemas.openxmlformats.org/officeDocument/2006/relationships/image" Target="media/image1471.wmf"/><Relationship Id="rId7087" Type="http://schemas.openxmlformats.org/officeDocument/2006/relationships/image" Target="media/image3553.wmf"/><Relationship Id="rId8138" Type="http://schemas.openxmlformats.org/officeDocument/2006/relationships/image" Target="media/image4078.wmf"/><Relationship Id="rId8552" Type="http://schemas.openxmlformats.org/officeDocument/2006/relationships/image" Target="media/image4285.wmf"/><Relationship Id="rId9950" Type="http://schemas.openxmlformats.org/officeDocument/2006/relationships/oleObject" Target="embeddings/oleObject4945.bin"/><Relationship Id="rId10068" Type="http://schemas.openxmlformats.org/officeDocument/2006/relationships/oleObject" Target="embeddings/oleObject5003.bin"/><Relationship Id="rId11466" Type="http://schemas.openxmlformats.org/officeDocument/2006/relationships/oleObject" Target="embeddings/oleObject5686.bin"/><Relationship Id="rId11880" Type="http://schemas.openxmlformats.org/officeDocument/2006/relationships/image" Target="media/image5953.wmf"/><Relationship Id="rId12517" Type="http://schemas.openxmlformats.org/officeDocument/2006/relationships/image" Target="media/image6273.wmf"/><Relationship Id="rId12931" Type="http://schemas.openxmlformats.org/officeDocument/2006/relationships/image" Target="media/image6480.wmf"/><Relationship Id="rId7154" Type="http://schemas.openxmlformats.org/officeDocument/2006/relationships/image" Target="media/image3586.png"/><Relationship Id="rId8205" Type="http://schemas.openxmlformats.org/officeDocument/2006/relationships/oleObject" Target="embeddings/oleObject4087.bin"/><Relationship Id="rId9603" Type="http://schemas.openxmlformats.org/officeDocument/2006/relationships/oleObject" Target="embeddings/oleObject4780.bin"/><Relationship Id="rId10482" Type="http://schemas.openxmlformats.org/officeDocument/2006/relationships/image" Target="media/image5250.wmf"/><Relationship Id="rId11119" Type="http://schemas.openxmlformats.org/officeDocument/2006/relationships/image" Target="media/image5571.wmf"/><Relationship Id="rId11533" Type="http://schemas.openxmlformats.org/officeDocument/2006/relationships/image" Target="media/image5778.wmf"/><Relationship Id="rId2299" Type="http://schemas.openxmlformats.org/officeDocument/2006/relationships/image" Target="media/image1156.wmf"/><Relationship Id="rId3697" Type="http://schemas.openxmlformats.org/officeDocument/2006/relationships/oleObject" Target="embeddings/oleObject1839.bin"/><Relationship Id="rId4748" Type="http://schemas.openxmlformats.org/officeDocument/2006/relationships/image" Target="media/image2384.wmf"/><Relationship Id="rId10135" Type="http://schemas.openxmlformats.org/officeDocument/2006/relationships/image" Target="media/image5076.wmf"/><Relationship Id="rId11600" Type="http://schemas.openxmlformats.org/officeDocument/2006/relationships/oleObject" Target="embeddings/oleObject5753.bin"/><Relationship Id="rId3764" Type="http://schemas.openxmlformats.org/officeDocument/2006/relationships/image" Target="media/image1893.wmf"/><Relationship Id="rId4815" Type="http://schemas.openxmlformats.org/officeDocument/2006/relationships/oleObject" Target="embeddings/oleObject2398.bin"/><Relationship Id="rId6170" Type="http://schemas.openxmlformats.org/officeDocument/2006/relationships/oleObject" Target="embeddings/oleObject3074.bin"/><Relationship Id="rId7221" Type="http://schemas.openxmlformats.org/officeDocument/2006/relationships/oleObject" Target="embeddings/oleObject3595.bin"/><Relationship Id="rId10202" Type="http://schemas.openxmlformats.org/officeDocument/2006/relationships/oleObject" Target="embeddings/oleObject5068.bin"/><Relationship Id="rId13358" Type="http://schemas.openxmlformats.org/officeDocument/2006/relationships/image" Target="media/image6694.wmf"/><Relationship Id="rId13772" Type="http://schemas.openxmlformats.org/officeDocument/2006/relationships/oleObject" Target="embeddings/oleObject6832.bin"/><Relationship Id="rId14409" Type="http://schemas.openxmlformats.org/officeDocument/2006/relationships/image" Target="media/image7219.wmf"/><Relationship Id="rId685" Type="http://schemas.openxmlformats.org/officeDocument/2006/relationships/oleObject" Target="embeddings/oleObject331.bin"/><Relationship Id="rId2366" Type="http://schemas.openxmlformats.org/officeDocument/2006/relationships/oleObject" Target="embeddings/oleObject1172.bin"/><Relationship Id="rId2780" Type="http://schemas.openxmlformats.org/officeDocument/2006/relationships/image" Target="media/image1400.wmf"/><Relationship Id="rId3417" Type="http://schemas.openxmlformats.org/officeDocument/2006/relationships/oleObject" Target="embeddings/oleObject1698.bin"/><Relationship Id="rId3831" Type="http://schemas.openxmlformats.org/officeDocument/2006/relationships/oleObject" Target="embeddings/oleObject1906.bin"/><Relationship Id="rId6987" Type="http://schemas.openxmlformats.org/officeDocument/2006/relationships/image" Target="media/image3503.wmf"/><Relationship Id="rId9393" Type="http://schemas.openxmlformats.org/officeDocument/2006/relationships/oleObject" Target="embeddings/oleObject4677.bin"/><Relationship Id="rId12374" Type="http://schemas.openxmlformats.org/officeDocument/2006/relationships/oleObject" Target="embeddings/oleObject6136.bin"/><Relationship Id="rId13425" Type="http://schemas.openxmlformats.org/officeDocument/2006/relationships/oleObject" Target="embeddings/oleObject6658.bin"/><Relationship Id="rId338" Type="http://schemas.openxmlformats.org/officeDocument/2006/relationships/image" Target="media/image168.wmf"/><Relationship Id="rId752" Type="http://schemas.openxmlformats.org/officeDocument/2006/relationships/image" Target="media/image378.wmf"/><Relationship Id="rId1382" Type="http://schemas.openxmlformats.org/officeDocument/2006/relationships/image" Target="media/image696.wmf"/><Relationship Id="rId2019" Type="http://schemas.openxmlformats.org/officeDocument/2006/relationships/oleObject" Target="embeddings/oleObject997.bin"/><Relationship Id="rId2433" Type="http://schemas.openxmlformats.org/officeDocument/2006/relationships/oleObject" Target="embeddings/oleObject1205.bin"/><Relationship Id="rId5589" Type="http://schemas.openxmlformats.org/officeDocument/2006/relationships/image" Target="media/image2805.wmf"/><Relationship Id="rId9046" Type="http://schemas.openxmlformats.org/officeDocument/2006/relationships/oleObject" Target="embeddings/oleObject4503.bin"/><Relationship Id="rId9460" Type="http://schemas.openxmlformats.org/officeDocument/2006/relationships/image" Target="media/image4739.wmf"/><Relationship Id="rId11390" Type="http://schemas.openxmlformats.org/officeDocument/2006/relationships/oleObject" Target="embeddings/oleObject5648.bin"/><Relationship Id="rId12027" Type="http://schemas.openxmlformats.org/officeDocument/2006/relationships/oleObject" Target="embeddings/oleObject5965.bin"/><Relationship Id="rId405" Type="http://schemas.openxmlformats.org/officeDocument/2006/relationships/image" Target="media/image202.wmf"/><Relationship Id="rId1035" Type="http://schemas.openxmlformats.org/officeDocument/2006/relationships/image" Target="media/image523.wmf"/><Relationship Id="rId2500" Type="http://schemas.openxmlformats.org/officeDocument/2006/relationships/image" Target="media/image1260.wmf"/><Relationship Id="rId5656" Type="http://schemas.openxmlformats.org/officeDocument/2006/relationships/oleObject" Target="embeddings/oleObject2817.bin"/><Relationship Id="rId8062" Type="http://schemas.openxmlformats.org/officeDocument/2006/relationships/image" Target="media/image4040.wmf"/><Relationship Id="rId9113" Type="http://schemas.openxmlformats.org/officeDocument/2006/relationships/image" Target="media/image4566.wmf"/><Relationship Id="rId11043" Type="http://schemas.openxmlformats.org/officeDocument/2006/relationships/oleObject" Target="embeddings/oleObject5477.bin"/><Relationship Id="rId12441" Type="http://schemas.openxmlformats.org/officeDocument/2006/relationships/image" Target="media/image6235.wmf"/><Relationship Id="rId14199" Type="http://schemas.openxmlformats.org/officeDocument/2006/relationships/image" Target="media/image7114.wmf"/><Relationship Id="rId1102" Type="http://schemas.openxmlformats.org/officeDocument/2006/relationships/oleObject" Target="embeddings/oleObject541.bin"/><Relationship Id="rId4258" Type="http://schemas.openxmlformats.org/officeDocument/2006/relationships/oleObject" Target="embeddings/oleObject2120.bin"/><Relationship Id="rId5309" Type="http://schemas.openxmlformats.org/officeDocument/2006/relationships/image" Target="media/image2665.wmf"/><Relationship Id="rId6707" Type="http://schemas.openxmlformats.org/officeDocument/2006/relationships/image" Target="media/image3363.wmf"/><Relationship Id="rId3274" Type="http://schemas.openxmlformats.org/officeDocument/2006/relationships/image" Target="media/image1646.wmf"/><Relationship Id="rId4672" Type="http://schemas.openxmlformats.org/officeDocument/2006/relationships/image" Target="media/image2346.wmf"/><Relationship Id="rId5723" Type="http://schemas.openxmlformats.org/officeDocument/2006/relationships/image" Target="media/image2872.wmf"/><Relationship Id="rId8879" Type="http://schemas.openxmlformats.org/officeDocument/2006/relationships/image" Target="media/image4449.wmf"/><Relationship Id="rId11110" Type="http://schemas.openxmlformats.org/officeDocument/2006/relationships/oleObject" Target="embeddings/oleObject5508.bin"/><Relationship Id="rId14266" Type="http://schemas.openxmlformats.org/officeDocument/2006/relationships/oleObject" Target="embeddings/oleObject7079.bin"/><Relationship Id="rId195" Type="http://schemas.openxmlformats.org/officeDocument/2006/relationships/oleObject" Target="embeddings/oleObject92.bin"/><Relationship Id="rId1919" Type="http://schemas.openxmlformats.org/officeDocument/2006/relationships/oleObject" Target="embeddings/oleObject947.bin"/><Relationship Id="rId4325" Type="http://schemas.openxmlformats.org/officeDocument/2006/relationships/image" Target="media/image2173.wmf"/><Relationship Id="rId7895" Type="http://schemas.openxmlformats.org/officeDocument/2006/relationships/oleObject" Target="embeddings/oleObject3932.bin"/><Relationship Id="rId8946" Type="http://schemas.openxmlformats.org/officeDocument/2006/relationships/oleObject" Target="embeddings/oleObject4453.bin"/><Relationship Id="rId10876" Type="http://schemas.openxmlformats.org/officeDocument/2006/relationships/image" Target="media/image5447.wmf"/><Relationship Id="rId11927" Type="http://schemas.openxmlformats.org/officeDocument/2006/relationships/oleObject" Target="embeddings/oleObject5915.bin"/><Relationship Id="rId13282" Type="http://schemas.openxmlformats.org/officeDocument/2006/relationships/oleObject" Target="embeddings/oleObject6588.bin"/><Relationship Id="rId14333" Type="http://schemas.openxmlformats.org/officeDocument/2006/relationships/image" Target="media/image7181.wmf"/><Relationship Id="rId2290" Type="http://schemas.openxmlformats.org/officeDocument/2006/relationships/oleObject" Target="embeddings/oleObject1132.bin"/><Relationship Id="rId3341" Type="http://schemas.openxmlformats.org/officeDocument/2006/relationships/oleObject" Target="embeddings/oleObject1659.bin"/><Relationship Id="rId6497" Type="http://schemas.openxmlformats.org/officeDocument/2006/relationships/image" Target="media/image3258.wmf"/><Relationship Id="rId7548" Type="http://schemas.openxmlformats.org/officeDocument/2006/relationships/image" Target="media/image3783.wmf"/><Relationship Id="rId7962" Type="http://schemas.openxmlformats.org/officeDocument/2006/relationships/image" Target="media/image3990.wmf"/><Relationship Id="rId10529" Type="http://schemas.openxmlformats.org/officeDocument/2006/relationships/oleObject" Target="embeddings/oleObject5229.bin"/><Relationship Id="rId14400" Type="http://schemas.openxmlformats.org/officeDocument/2006/relationships/oleObject" Target="embeddings/oleObject7144.bin"/><Relationship Id="rId262" Type="http://schemas.openxmlformats.org/officeDocument/2006/relationships/image" Target="media/image130.wmf"/><Relationship Id="rId5099" Type="http://schemas.openxmlformats.org/officeDocument/2006/relationships/oleObject" Target="embeddings/oleObject2539.bin"/><Relationship Id="rId6564" Type="http://schemas.openxmlformats.org/officeDocument/2006/relationships/oleObject" Target="embeddings/oleObject3269.bin"/><Relationship Id="rId7615" Type="http://schemas.openxmlformats.org/officeDocument/2006/relationships/oleObject" Target="embeddings/oleObject3792.bin"/><Relationship Id="rId10943" Type="http://schemas.microsoft.com/office/2007/relationships/hdphoto" Target="media/hdphoto40.wdp"/><Relationship Id="rId13002" Type="http://schemas.openxmlformats.org/officeDocument/2006/relationships/oleObject" Target="embeddings/oleObject6450.bin"/><Relationship Id="rId2010" Type="http://schemas.openxmlformats.org/officeDocument/2006/relationships/image" Target="media/image1011.wmf"/><Relationship Id="rId5166" Type="http://schemas.openxmlformats.org/officeDocument/2006/relationships/image" Target="media/image2593.wmf"/><Relationship Id="rId5580" Type="http://schemas.openxmlformats.org/officeDocument/2006/relationships/oleObject" Target="embeddings/oleObject2779.bin"/><Relationship Id="rId6217" Type="http://schemas.openxmlformats.org/officeDocument/2006/relationships/image" Target="media/image3119.wmf"/><Relationship Id="rId6631" Type="http://schemas.openxmlformats.org/officeDocument/2006/relationships/image" Target="media/image3325.wmf"/><Relationship Id="rId9787" Type="http://schemas.openxmlformats.org/officeDocument/2006/relationships/oleObject" Target="embeddings/oleObject4865.bin"/><Relationship Id="rId4182" Type="http://schemas.openxmlformats.org/officeDocument/2006/relationships/oleObject" Target="embeddings/oleObject2082.bin"/><Relationship Id="rId5233" Type="http://schemas.openxmlformats.org/officeDocument/2006/relationships/image" Target="media/image2627.wmf"/><Relationship Id="rId8389" Type="http://schemas.openxmlformats.org/officeDocument/2006/relationships/oleObject" Target="embeddings/oleObject4179.bin"/><Relationship Id="rId12768" Type="http://schemas.openxmlformats.org/officeDocument/2006/relationships/oleObject" Target="embeddings/oleObject6333.bin"/><Relationship Id="rId13819" Type="http://schemas.openxmlformats.org/officeDocument/2006/relationships/image" Target="media/image6924.wmf"/><Relationship Id="rId1776" Type="http://schemas.openxmlformats.org/officeDocument/2006/relationships/image" Target="media/image894.wmf"/><Relationship Id="rId2827" Type="http://schemas.openxmlformats.org/officeDocument/2006/relationships/oleObject" Target="embeddings/oleObject1401.bin"/><Relationship Id="rId9854" Type="http://schemas.openxmlformats.org/officeDocument/2006/relationships/oleObject" Target="embeddings/oleObject4899.bin"/><Relationship Id="rId11784" Type="http://schemas.openxmlformats.org/officeDocument/2006/relationships/image" Target="media/image5905.wmf"/><Relationship Id="rId12835" Type="http://schemas.openxmlformats.org/officeDocument/2006/relationships/image" Target="media/image6432.wmf"/><Relationship Id="rId14190" Type="http://schemas.openxmlformats.org/officeDocument/2006/relationships/oleObject" Target="embeddings/oleObject7041.bin"/><Relationship Id="rId68" Type="http://schemas.openxmlformats.org/officeDocument/2006/relationships/oleObject" Target="embeddings/oleObject30.bin"/><Relationship Id="rId1429" Type="http://schemas.openxmlformats.org/officeDocument/2006/relationships/oleObject" Target="embeddings/oleObject703.bin"/><Relationship Id="rId1843" Type="http://schemas.openxmlformats.org/officeDocument/2006/relationships/oleObject" Target="embeddings/oleObject909.bin"/><Relationship Id="rId4999" Type="http://schemas.openxmlformats.org/officeDocument/2006/relationships/oleObject" Target="embeddings/oleObject2489.bin"/><Relationship Id="rId5300" Type="http://schemas.openxmlformats.org/officeDocument/2006/relationships/oleObject" Target="embeddings/oleObject2639.bin"/><Relationship Id="rId7058" Type="http://schemas.openxmlformats.org/officeDocument/2006/relationships/oleObject" Target="embeddings/oleObject3514.bin"/><Relationship Id="rId8456" Type="http://schemas.openxmlformats.org/officeDocument/2006/relationships/image" Target="media/image4237.wmf"/><Relationship Id="rId8870" Type="http://schemas.openxmlformats.org/officeDocument/2006/relationships/oleObject" Target="embeddings/oleObject4415.bin"/><Relationship Id="rId9507" Type="http://schemas.openxmlformats.org/officeDocument/2006/relationships/oleObject" Target="embeddings/oleObject4732.bin"/><Relationship Id="rId9921" Type="http://schemas.openxmlformats.org/officeDocument/2006/relationships/image" Target="media/image4969.wmf"/><Relationship Id="rId10386" Type="http://schemas.openxmlformats.org/officeDocument/2006/relationships/oleObject" Target="embeddings/oleObject5160.bin"/><Relationship Id="rId11437" Type="http://schemas.openxmlformats.org/officeDocument/2006/relationships/image" Target="media/image5730.wmf"/><Relationship Id="rId11851" Type="http://schemas.openxmlformats.org/officeDocument/2006/relationships/oleObject" Target="embeddings/oleObject5877.bin"/><Relationship Id="rId1910" Type="http://schemas.openxmlformats.org/officeDocument/2006/relationships/image" Target="media/image961.wmf"/><Relationship Id="rId7472" Type="http://schemas.openxmlformats.org/officeDocument/2006/relationships/image" Target="media/image3745.wmf"/><Relationship Id="rId8109" Type="http://schemas.openxmlformats.org/officeDocument/2006/relationships/oleObject" Target="embeddings/oleObject4039.bin"/><Relationship Id="rId8523" Type="http://schemas.openxmlformats.org/officeDocument/2006/relationships/oleObject" Target="embeddings/oleObject4246.bin"/><Relationship Id="rId10039" Type="http://schemas.openxmlformats.org/officeDocument/2006/relationships/image" Target="media/image5028.wmf"/><Relationship Id="rId10453" Type="http://schemas.openxmlformats.org/officeDocument/2006/relationships/oleObject" Target="embeddings/oleObject5193.bin"/><Relationship Id="rId11504" Type="http://schemas.openxmlformats.org/officeDocument/2006/relationships/oleObject" Target="embeddings/oleObject5705.bin"/><Relationship Id="rId12902" Type="http://schemas.openxmlformats.org/officeDocument/2006/relationships/oleObject" Target="embeddings/oleObject6400.bin"/><Relationship Id="rId3668" Type="http://schemas.openxmlformats.org/officeDocument/2006/relationships/image" Target="media/image1845.wmf"/><Relationship Id="rId4719" Type="http://schemas.openxmlformats.org/officeDocument/2006/relationships/oleObject" Target="embeddings/oleObject2351.bin"/><Relationship Id="rId6074" Type="http://schemas.openxmlformats.org/officeDocument/2006/relationships/oleObject" Target="embeddings/oleObject3026.bin"/><Relationship Id="rId7125" Type="http://schemas.openxmlformats.org/officeDocument/2006/relationships/oleObject" Target="embeddings/oleObject3548.bin"/><Relationship Id="rId10106" Type="http://schemas.openxmlformats.org/officeDocument/2006/relationships/oleObject" Target="embeddings/oleObject5022.bin"/><Relationship Id="rId589" Type="http://schemas.openxmlformats.org/officeDocument/2006/relationships/oleObject" Target="embeddings/oleObject284.bin"/><Relationship Id="rId2684" Type="http://schemas.openxmlformats.org/officeDocument/2006/relationships/image" Target="media/image1352.wmf"/><Relationship Id="rId3735" Type="http://schemas.openxmlformats.org/officeDocument/2006/relationships/oleObject" Target="embeddings/oleObject1858.bin"/><Relationship Id="rId5090" Type="http://schemas.openxmlformats.org/officeDocument/2006/relationships/image" Target="media/image2555.wmf"/><Relationship Id="rId6141" Type="http://schemas.openxmlformats.org/officeDocument/2006/relationships/image" Target="media/image3081.wmf"/><Relationship Id="rId9297" Type="http://schemas.openxmlformats.org/officeDocument/2006/relationships/oleObject" Target="embeddings/oleObject4629.bin"/><Relationship Id="rId10520" Type="http://schemas.openxmlformats.org/officeDocument/2006/relationships/image" Target="media/image5269.wmf"/><Relationship Id="rId12278" Type="http://schemas.openxmlformats.org/officeDocument/2006/relationships/image" Target="media/image6152.wmf"/><Relationship Id="rId13329" Type="http://schemas.openxmlformats.org/officeDocument/2006/relationships/image" Target="media/image6679.wmf"/><Relationship Id="rId13676" Type="http://schemas.openxmlformats.org/officeDocument/2006/relationships/image" Target="media/image6853.wmf"/><Relationship Id="rId656" Type="http://schemas.openxmlformats.org/officeDocument/2006/relationships/image" Target="media/image330.wmf"/><Relationship Id="rId1286" Type="http://schemas.openxmlformats.org/officeDocument/2006/relationships/image" Target="media/image648.wmf"/><Relationship Id="rId2337" Type="http://schemas.openxmlformats.org/officeDocument/2006/relationships/image" Target="media/image1177.wmf"/><Relationship Id="rId9364" Type="http://schemas.openxmlformats.org/officeDocument/2006/relationships/image" Target="media/image4691.wmf"/><Relationship Id="rId12692" Type="http://schemas.openxmlformats.org/officeDocument/2006/relationships/oleObject" Target="embeddings/oleObject6295.bin"/><Relationship Id="rId13743" Type="http://schemas.openxmlformats.org/officeDocument/2006/relationships/image" Target="media/image6886.wmf"/><Relationship Id="rId309" Type="http://schemas.openxmlformats.org/officeDocument/2006/relationships/oleObject" Target="embeddings/oleObject149.bin"/><Relationship Id="rId2751" Type="http://schemas.openxmlformats.org/officeDocument/2006/relationships/oleObject" Target="embeddings/oleObject1363.bin"/><Relationship Id="rId3802" Type="http://schemas.openxmlformats.org/officeDocument/2006/relationships/image" Target="media/image1912.wmf"/><Relationship Id="rId6958" Type="http://schemas.openxmlformats.org/officeDocument/2006/relationships/oleObject" Target="embeddings/oleObject3464.bin"/><Relationship Id="rId8380" Type="http://schemas.openxmlformats.org/officeDocument/2006/relationships/image" Target="media/image4199.wmf"/><Relationship Id="rId9017" Type="http://schemas.openxmlformats.org/officeDocument/2006/relationships/image" Target="media/image4518.wmf"/><Relationship Id="rId11294" Type="http://schemas.openxmlformats.org/officeDocument/2006/relationships/oleObject" Target="embeddings/oleObject5600.bin"/><Relationship Id="rId12345" Type="http://schemas.openxmlformats.org/officeDocument/2006/relationships/image" Target="media/image6187.wmf"/><Relationship Id="rId13810" Type="http://schemas.openxmlformats.org/officeDocument/2006/relationships/oleObject" Target="embeddings/oleObject6851.bin"/><Relationship Id="rId723" Type="http://schemas.openxmlformats.org/officeDocument/2006/relationships/oleObject" Target="embeddings/oleObject350.bin"/><Relationship Id="rId1006" Type="http://schemas.openxmlformats.org/officeDocument/2006/relationships/oleObject" Target="embeddings/oleObject494.bin"/><Relationship Id="rId1353" Type="http://schemas.openxmlformats.org/officeDocument/2006/relationships/oleObject" Target="embeddings/oleObject666.bin"/><Relationship Id="rId2404" Type="http://schemas.openxmlformats.org/officeDocument/2006/relationships/oleObject" Target="embeddings/oleObject1191.bin"/><Relationship Id="rId5974" Type="http://schemas.openxmlformats.org/officeDocument/2006/relationships/oleObject" Target="embeddings/oleObject2976.bin"/><Relationship Id="rId8033" Type="http://schemas.openxmlformats.org/officeDocument/2006/relationships/oleObject" Target="embeddings/oleObject4001.bin"/><Relationship Id="rId9431" Type="http://schemas.openxmlformats.org/officeDocument/2006/relationships/oleObject" Target="embeddings/oleObject4696.bin"/><Relationship Id="rId11361" Type="http://schemas.openxmlformats.org/officeDocument/2006/relationships/image" Target="media/image5692.wmf"/><Relationship Id="rId12412" Type="http://schemas.openxmlformats.org/officeDocument/2006/relationships/oleObject" Target="embeddings/oleObject6155.bin"/><Relationship Id="rId1420" Type="http://schemas.openxmlformats.org/officeDocument/2006/relationships/image" Target="media/image715.wmf"/><Relationship Id="rId4576" Type="http://schemas.openxmlformats.org/officeDocument/2006/relationships/image" Target="media/image2298.wmf"/><Relationship Id="rId4990" Type="http://schemas.openxmlformats.org/officeDocument/2006/relationships/image" Target="media/image2505.wmf"/><Relationship Id="rId5627" Type="http://schemas.openxmlformats.org/officeDocument/2006/relationships/image" Target="media/image2824.wmf"/><Relationship Id="rId11014" Type="http://schemas.openxmlformats.org/officeDocument/2006/relationships/image" Target="media/image5517.wmf"/><Relationship Id="rId14584" Type="http://schemas.openxmlformats.org/officeDocument/2006/relationships/oleObject" Target="embeddings/oleObject7232.bin"/><Relationship Id="rId3178" Type="http://schemas.openxmlformats.org/officeDocument/2006/relationships/oleObject" Target="embeddings/oleObject1577.bin"/><Relationship Id="rId3592" Type="http://schemas.openxmlformats.org/officeDocument/2006/relationships/image" Target="media/image1807.wmf"/><Relationship Id="rId4229" Type="http://schemas.openxmlformats.org/officeDocument/2006/relationships/image" Target="media/image2125.wmf"/><Relationship Id="rId4643" Type="http://schemas.openxmlformats.org/officeDocument/2006/relationships/oleObject" Target="embeddings/oleObject2313.bin"/><Relationship Id="rId7799" Type="http://schemas.openxmlformats.org/officeDocument/2006/relationships/oleObject" Target="embeddings/oleObject3884.bin"/><Relationship Id="rId8100" Type="http://schemas.openxmlformats.org/officeDocument/2006/relationships/image" Target="media/image4059.wmf"/><Relationship Id="rId10030" Type="http://schemas.openxmlformats.org/officeDocument/2006/relationships/oleObject" Target="embeddings/oleObject4984.bin"/><Relationship Id="rId13186" Type="http://schemas.openxmlformats.org/officeDocument/2006/relationships/oleObject" Target="embeddings/oleObject6540.bin"/><Relationship Id="rId14237" Type="http://schemas.openxmlformats.org/officeDocument/2006/relationships/image" Target="media/image7133.wmf"/><Relationship Id="rId2194" Type="http://schemas.openxmlformats.org/officeDocument/2006/relationships/image" Target="media/image1103.wmf"/><Relationship Id="rId3245" Type="http://schemas.openxmlformats.org/officeDocument/2006/relationships/image" Target="media/image1632.wmf"/><Relationship Id="rId4710" Type="http://schemas.openxmlformats.org/officeDocument/2006/relationships/image" Target="media/image2365.wmf"/><Relationship Id="rId7866" Type="http://schemas.openxmlformats.org/officeDocument/2006/relationships/image" Target="media/image3942.wmf"/><Relationship Id="rId13253" Type="http://schemas.openxmlformats.org/officeDocument/2006/relationships/image" Target="media/image6641.wmf"/><Relationship Id="rId166" Type="http://schemas.openxmlformats.org/officeDocument/2006/relationships/image" Target="media/image82.wmf"/><Relationship Id="rId580" Type="http://schemas.openxmlformats.org/officeDocument/2006/relationships/image" Target="media/image291.wmf"/><Relationship Id="rId2261" Type="http://schemas.openxmlformats.org/officeDocument/2006/relationships/image" Target="media/image1137.wmf"/><Relationship Id="rId3312" Type="http://schemas.openxmlformats.org/officeDocument/2006/relationships/image" Target="media/image1665.wmf"/><Relationship Id="rId6468" Type="http://schemas.openxmlformats.org/officeDocument/2006/relationships/oleObject" Target="embeddings/oleObject3224.bin"/><Relationship Id="rId7519" Type="http://schemas.openxmlformats.org/officeDocument/2006/relationships/oleObject" Target="embeddings/oleObject3744.bin"/><Relationship Id="rId8917" Type="http://schemas.openxmlformats.org/officeDocument/2006/relationships/image" Target="media/image4468.wmf"/><Relationship Id="rId10847" Type="http://schemas.openxmlformats.org/officeDocument/2006/relationships/oleObject" Target="embeddings/oleObject5386.bin"/><Relationship Id="rId14304" Type="http://schemas.openxmlformats.org/officeDocument/2006/relationships/oleObject" Target="embeddings/oleObject7098.bin"/><Relationship Id="rId233" Type="http://schemas.openxmlformats.org/officeDocument/2006/relationships/oleObject" Target="embeddings/oleObject111.bin"/><Relationship Id="rId5484" Type="http://schemas.openxmlformats.org/officeDocument/2006/relationships/oleObject" Target="embeddings/oleObject2731.bin"/><Relationship Id="rId6882" Type="http://schemas.openxmlformats.org/officeDocument/2006/relationships/oleObject" Target="embeddings/oleObject3426.bin"/><Relationship Id="rId7933" Type="http://schemas.openxmlformats.org/officeDocument/2006/relationships/oleObject" Target="embeddings/oleObject3951.bin"/><Relationship Id="rId10914" Type="http://schemas.openxmlformats.org/officeDocument/2006/relationships/image" Target="media/image5466.wmf"/><Relationship Id="rId13320" Type="http://schemas.openxmlformats.org/officeDocument/2006/relationships/oleObject" Target="embeddings/oleObject6607.bin"/><Relationship Id="rId300" Type="http://schemas.openxmlformats.org/officeDocument/2006/relationships/image" Target="media/image149.wmf"/><Relationship Id="rId4086" Type="http://schemas.openxmlformats.org/officeDocument/2006/relationships/oleObject" Target="embeddings/oleObject2034.bin"/><Relationship Id="rId5137" Type="http://schemas.openxmlformats.org/officeDocument/2006/relationships/oleObject" Target="embeddings/oleObject2558.bin"/><Relationship Id="rId6535" Type="http://schemas.openxmlformats.org/officeDocument/2006/relationships/image" Target="media/image3277.wmf"/><Relationship Id="rId5551" Type="http://schemas.openxmlformats.org/officeDocument/2006/relationships/image" Target="media/image2786.wmf"/><Relationship Id="rId6602" Type="http://schemas.openxmlformats.org/officeDocument/2006/relationships/oleObject" Target="embeddings/oleObject3288.bin"/><Relationship Id="rId9758" Type="http://schemas.openxmlformats.org/officeDocument/2006/relationships/image" Target="media/image4888.wmf"/><Relationship Id="rId11688" Type="http://schemas.openxmlformats.org/officeDocument/2006/relationships/image" Target="media/image5857.wmf"/><Relationship Id="rId12739" Type="http://schemas.openxmlformats.org/officeDocument/2006/relationships/image" Target="media/image6384.wmf"/><Relationship Id="rId14094" Type="http://schemas.openxmlformats.org/officeDocument/2006/relationships/oleObject" Target="embeddings/oleObject6993.bin"/><Relationship Id="rId1747" Type="http://schemas.openxmlformats.org/officeDocument/2006/relationships/oleObject" Target="embeddings/oleObject861.bin"/><Relationship Id="rId4153" Type="http://schemas.openxmlformats.org/officeDocument/2006/relationships/image" Target="media/image2087.wmf"/><Relationship Id="rId5204" Type="http://schemas.openxmlformats.org/officeDocument/2006/relationships/image" Target="media/image2612.wmf"/><Relationship Id="rId8774" Type="http://schemas.openxmlformats.org/officeDocument/2006/relationships/oleObject" Target="embeddings/oleObject4370.bin"/><Relationship Id="rId9825" Type="http://schemas.openxmlformats.org/officeDocument/2006/relationships/oleObject" Target="embeddings/oleObject4884.bin"/><Relationship Id="rId14161" Type="http://schemas.openxmlformats.org/officeDocument/2006/relationships/image" Target="media/image7095.wmf"/><Relationship Id="rId39" Type="http://schemas.openxmlformats.org/officeDocument/2006/relationships/image" Target="media/image17.wmf"/><Relationship Id="rId1814" Type="http://schemas.openxmlformats.org/officeDocument/2006/relationships/image" Target="media/image913.wmf"/><Relationship Id="rId4220" Type="http://schemas.openxmlformats.org/officeDocument/2006/relationships/oleObject" Target="embeddings/oleObject2101.bin"/><Relationship Id="rId7376" Type="http://schemas.openxmlformats.org/officeDocument/2006/relationships/image" Target="media/image3697.wmf"/><Relationship Id="rId7790" Type="http://schemas.openxmlformats.org/officeDocument/2006/relationships/image" Target="media/image3904.wmf"/><Relationship Id="rId8427" Type="http://schemas.openxmlformats.org/officeDocument/2006/relationships/oleObject" Target="embeddings/oleObject4198.bin"/><Relationship Id="rId8841" Type="http://schemas.openxmlformats.org/officeDocument/2006/relationships/image" Target="media/image4430.wmf"/><Relationship Id="rId10357" Type="http://schemas.openxmlformats.org/officeDocument/2006/relationships/image" Target="media/image5187.wmf"/><Relationship Id="rId11755" Type="http://schemas.openxmlformats.org/officeDocument/2006/relationships/oleObject" Target="embeddings/oleObject5829.bin"/><Relationship Id="rId12806" Type="http://schemas.openxmlformats.org/officeDocument/2006/relationships/oleObject" Target="embeddings/oleObject6352.bin"/><Relationship Id="rId6392" Type="http://schemas.openxmlformats.org/officeDocument/2006/relationships/oleObject" Target="embeddings/oleObject3186.bin"/><Relationship Id="rId7029" Type="http://schemas.openxmlformats.org/officeDocument/2006/relationships/image" Target="media/image3524.wmf"/><Relationship Id="rId7443" Type="http://schemas.openxmlformats.org/officeDocument/2006/relationships/oleObject" Target="embeddings/oleObject3706.bin"/><Relationship Id="rId10771" Type="http://schemas.openxmlformats.org/officeDocument/2006/relationships/oleObject" Target="embeddings/oleObject5348.bin"/><Relationship Id="rId11408" Type="http://schemas.openxmlformats.org/officeDocument/2006/relationships/oleObject" Target="embeddings/oleObject5657.bin"/><Relationship Id="rId11822" Type="http://schemas.openxmlformats.org/officeDocument/2006/relationships/image" Target="media/image5924.wmf"/><Relationship Id="rId2588" Type="http://schemas.openxmlformats.org/officeDocument/2006/relationships/image" Target="media/image1304.wmf"/><Relationship Id="rId3986" Type="http://schemas.openxmlformats.org/officeDocument/2006/relationships/oleObject" Target="embeddings/oleObject1984.bin"/><Relationship Id="rId6045" Type="http://schemas.openxmlformats.org/officeDocument/2006/relationships/image" Target="media/image3033.wmf"/><Relationship Id="rId10424" Type="http://schemas.openxmlformats.org/officeDocument/2006/relationships/image" Target="media/image5221.wmf"/><Relationship Id="rId13994" Type="http://schemas.openxmlformats.org/officeDocument/2006/relationships/oleObject" Target="embeddings/oleObject6943.bin"/><Relationship Id="rId3639" Type="http://schemas.openxmlformats.org/officeDocument/2006/relationships/oleObject" Target="embeddings/oleObject1810.bin"/><Relationship Id="rId5061" Type="http://schemas.openxmlformats.org/officeDocument/2006/relationships/oleObject" Target="embeddings/oleObject2520.bin"/><Relationship Id="rId6112" Type="http://schemas.openxmlformats.org/officeDocument/2006/relationships/oleObject" Target="embeddings/oleObject3045.bin"/><Relationship Id="rId7510" Type="http://schemas.openxmlformats.org/officeDocument/2006/relationships/image" Target="media/image3764.wmf"/><Relationship Id="rId9268" Type="http://schemas.openxmlformats.org/officeDocument/2006/relationships/image" Target="media/image4643.wmf"/><Relationship Id="rId12596" Type="http://schemas.openxmlformats.org/officeDocument/2006/relationships/oleObject" Target="embeddings/oleObject6247.bin"/><Relationship Id="rId13647" Type="http://schemas.openxmlformats.org/officeDocument/2006/relationships/oleObject" Target="embeddings/oleObject6769.bin"/><Relationship Id="rId974" Type="http://schemas.openxmlformats.org/officeDocument/2006/relationships/oleObject" Target="embeddings/oleObject478.bin"/><Relationship Id="rId2655" Type="http://schemas.openxmlformats.org/officeDocument/2006/relationships/oleObject" Target="embeddings/oleObject1315.bin"/><Relationship Id="rId3706" Type="http://schemas.openxmlformats.org/officeDocument/2006/relationships/image" Target="media/image1864.wmf"/><Relationship Id="rId9682" Type="http://schemas.openxmlformats.org/officeDocument/2006/relationships/image" Target="media/image4850.png"/><Relationship Id="rId11198" Type="http://schemas.openxmlformats.org/officeDocument/2006/relationships/oleObject" Target="embeddings/oleObject5552.bin"/><Relationship Id="rId12249" Type="http://schemas.openxmlformats.org/officeDocument/2006/relationships/oleObject" Target="embeddings/oleObject6076.bin"/><Relationship Id="rId12663" Type="http://schemas.openxmlformats.org/officeDocument/2006/relationships/image" Target="media/image6346.wmf"/><Relationship Id="rId13714" Type="http://schemas.openxmlformats.org/officeDocument/2006/relationships/oleObject" Target="embeddings/oleObject6803.bin"/><Relationship Id="rId627" Type="http://schemas.openxmlformats.org/officeDocument/2006/relationships/oleObject" Target="embeddings/oleObject303.bin"/><Relationship Id="rId1257" Type="http://schemas.openxmlformats.org/officeDocument/2006/relationships/oleObject" Target="embeddings/oleObject618.bin"/><Relationship Id="rId1671" Type="http://schemas.openxmlformats.org/officeDocument/2006/relationships/oleObject" Target="embeddings/oleObject823.bin"/><Relationship Id="rId2308" Type="http://schemas.openxmlformats.org/officeDocument/2006/relationships/oleObject" Target="embeddings/oleObject1141.bin"/><Relationship Id="rId2722" Type="http://schemas.openxmlformats.org/officeDocument/2006/relationships/image" Target="media/image1371.wmf"/><Relationship Id="rId5878" Type="http://schemas.openxmlformats.org/officeDocument/2006/relationships/oleObject" Target="embeddings/oleObject2928.bin"/><Relationship Id="rId6929" Type="http://schemas.openxmlformats.org/officeDocument/2006/relationships/image" Target="media/image3474.wmf"/><Relationship Id="rId8284" Type="http://schemas.openxmlformats.org/officeDocument/2006/relationships/image" Target="media/image4151.wmf"/><Relationship Id="rId9335" Type="http://schemas.openxmlformats.org/officeDocument/2006/relationships/oleObject" Target="embeddings/oleObject4648.bin"/><Relationship Id="rId11265" Type="http://schemas.openxmlformats.org/officeDocument/2006/relationships/image" Target="media/image5644.wmf"/><Relationship Id="rId12316" Type="http://schemas.openxmlformats.org/officeDocument/2006/relationships/oleObject" Target="embeddings/oleObject6107.bin"/><Relationship Id="rId1324" Type="http://schemas.openxmlformats.org/officeDocument/2006/relationships/image" Target="media/image667.wmf"/><Relationship Id="rId4894" Type="http://schemas.openxmlformats.org/officeDocument/2006/relationships/image" Target="media/image2457.wmf"/><Relationship Id="rId5945" Type="http://schemas.openxmlformats.org/officeDocument/2006/relationships/image" Target="media/image2983.wmf"/><Relationship Id="rId8351" Type="http://schemas.openxmlformats.org/officeDocument/2006/relationships/oleObject" Target="embeddings/oleObject4160.bin"/><Relationship Id="rId9402" Type="http://schemas.openxmlformats.org/officeDocument/2006/relationships/image" Target="media/image4710.wmf"/><Relationship Id="rId10281" Type="http://schemas.openxmlformats.org/officeDocument/2006/relationships/image" Target="media/image5149.wmf"/><Relationship Id="rId11332" Type="http://schemas.openxmlformats.org/officeDocument/2006/relationships/oleObject" Target="embeddings/oleObject5619.bin"/><Relationship Id="rId12730" Type="http://schemas.openxmlformats.org/officeDocument/2006/relationships/oleObject" Target="embeddings/oleObject6314.bin"/><Relationship Id="rId14488" Type="http://schemas.openxmlformats.org/officeDocument/2006/relationships/oleObject" Target="embeddings/oleObject7184.bin"/><Relationship Id="rId30" Type="http://schemas.openxmlformats.org/officeDocument/2006/relationships/oleObject" Target="embeddings/oleObject11.bin"/><Relationship Id="rId3496" Type="http://schemas.openxmlformats.org/officeDocument/2006/relationships/image" Target="media/image1759.wmf"/><Relationship Id="rId4547" Type="http://schemas.openxmlformats.org/officeDocument/2006/relationships/oleObject" Target="embeddings/oleObject2265.bin"/><Relationship Id="rId8004" Type="http://schemas.openxmlformats.org/officeDocument/2006/relationships/image" Target="media/image4011.wmf"/><Relationship Id="rId2098" Type="http://schemas.openxmlformats.org/officeDocument/2006/relationships/image" Target="media/image1055.wmf"/><Relationship Id="rId3149" Type="http://schemas.openxmlformats.org/officeDocument/2006/relationships/image" Target="media/image1584.wmf"/><Relationship Id="rId3563" Type="http://schemas.openxmlformats.org/officeDocument/2006/relationships/oleObject" Target="embeddings/oleObject1772.bin"/><Relationship Id="rId4961" Type="http://schemas.openxmlformats.org/officeDocument/2006/relationships/oleObject" Target="embeddings/oleObject2470.bin"/><Relationship Id="rId7020" Type="http://schemas.openxmlformats.org/officeDocument/2006/relationships/oleObject" Target="embeddings/oleObject3495.bin"/><Relationship Id="rId14555" Type="http://schemas.openxmlformats.org/officeDocument/2006/relationships/image" Target="media/image7292.wmf"/><Relationship Id="rId484" Type="http://schemas.openxmlformats.org/officeDocument/2006/relationships/oleObject" Target="embeddings/oleObject233.bin"/><Relationship Id="rId2165" Type="http://schemas.openxmlformats.org/officeDocument/2006/relationships/oleObject" Target="embeddings/oleObject1070.bin"/><Relationship Id="rId3216" Type="http://schemas.openxmlformats.org/officeDocument/2006/relationships/oleObject" Target="embeddings/oleObject1596.bin"/><Relationship Id="rId4614" Type="http://schemas.openxmlformats.org/officeDocument/2006/relationships/image" Target="media/image2317.wmf"/><Relationship Id="rId9192" Type="http://schemas.openxmlformats.org/officeDocument/2006/relationships/image" Target="media/image4605.wmf"/><Relationship Id="rId10001" Type="http://schemas.openxmlformats.org/officeDocument/2006/relationships/image" Target="media/image5009.wmf"/><Relationship Id="rId13157" Type="http://schemas.openxmlformats.org/officeDocument/2006/relationships/image" Target="media/image6593.wmf"/><Relationship Id="rId13571" Type="http://schemas.openxmlformats.org/officeDocument/2006/relationships/oleObject" Target="embeddings/oleObject6731.bin"/><Relationship Id="rId14208" Type="http://schemas.openxmlformats.org/officeDocument/2006/relationships/oleObject" Target="embeddings/oleObject7050.bin"/><Relationship Id="rId137" Type="http://schemas.openxmlformats.org/officeDocument/2006/relationships/image" Target="media/image66.wmf"/><Relationship Id="rId3630" Type="http://schemas.openxmlformats.org/officeDocument/2006/relationships/image" Target="media/image1826.wmf"/><Relationship Id="rId6786" Type="http://schemas.openxmlformats.org/officeDocument/2006/relationships/oleObject" Target="embeddings/oleObject3380.bin"/><Relationship Id="rId7837" Type="http://schemas.openxmlformats.org/officeDocument/2006/relationships/oleObject" Target="embeddings/oleObject3903.bin"/><Relationship Id="rId10818" Type="http://schemas.openxmlformats.org/officeDocument/2006/relationships/image" Target="media/image5418.wmf"/><Relationship Id="rId12173" Type="http://schemas.openxmlformats.org/officeDocument/2006/relationships/oleObject" Target="embeddings/oleObject6038.bin"/><Relationship Id="rId13224" Type="http://schemas.openxmlformats.org/officeDocument/2006/relationships/oleObject" Target="embeddings/oleObject6559.bin"/><Relationship Id="rId551" Type="http://schemas.openxmlformats.org/officeDocument/2006/relationships/oleObject" Target="embeddings/oleObject265.bin"/><Relationship Id="rId1181" Type="http://schemas.openxmlformats.org/officeDocument/2006/relationships/image" Target="media/image596.wmf"/><Relationship Id="rId2232" Type="http://schemas.openxmlformats.org/officeDocument/2006/relationships/image" Target="media/image1122.wmf"/><Relationship Id="rId5388" Type="http://schemas.openxmlformats.org/officeDocument/2006/relationships/oleObject" Target="embeddings/oleObject2683.bin"/><Relationship Id="rId6439" Type="http://schemas.openxmlformats.org/officeDocument/2006/relationships/image" Target="media/image3229.wmf"/><Relationship Id="rId6853" Type="http://schemas.openxmlformats.org/officeDocument/2006/relationships/image" Target="media/image3436.wmf"/><Relationship Id="rId7904" Type="http://schemas.openxmlformats.org/officeDocument/2006/relationships/image" Target="media/image3961.wmf"/><Relationship Id="rId12240" Type="http://schemas.openxmlformats.org/officeDocument/2006/relationships/image" Target="media/image6133.wmf"/><Relationship Id="rId204" Type="http://schemas.openxmlformats.org/officeDocument/2006/relationships/image" Target="media/image101.wmf"/><Relationship Id="rId1998" Type="http://schemas.openxmlformats.org/officeDocument/2006/relationships/image" Target="media/image1005.wmf"/><Relationship Id="rId5455" Type="http://schemas.openxmlformats.org/officeDocument/2006/relationships/image" Target="media/image2738.wmf"/><Relationship Id="rId6506" Type="http://schemas.openxmlformats.org/officeDocument/2006/relationships/oleObject" Target="embeddings/oleObject3243.bin"/><Relationship Id="rId6920" Type="http://schemas.openxmlformats.org/officeDocument/2006/relationships/oleObject" Target="embeddings/oleObject3445.bin"/><Relationship Id="rId4057" Type="http://schemas.openxmlformats.org/officeDocument/2006/relationships/image" Target="media/image2039.wmf"/><Relationship Id="rId4471" Type="http://schemas.openxmlformats.org/officeDocument/2006/relationships/oleObject" Target="embeddings/oleObject2227.bin"/><Relationship Id="rId5108" Type="http://schemas.openxmlformats.org/officeDocument/2006/relationships/image" Target="media/image2564.wmf"/><Relationship Id="rId5522" Type="http://schemas.openxmlformats.org/officeDocument/2006/relationships/oleObject" Target="embeddings/oleObject2750.bin"/><Relationship Id="rId8678" Type="http://schemas.openxmlformats.org/officeDocument/2006/relationships/oleObject" Target="embeddings/oleObject4322.bin"/><Relationship Id="rId9729" Type="http://schemas.openxmlformats.org/officeDocument/2006/relationships/oleObject" Target="embeddings/oleObject4836.bin"/><Relationship Id="rId14065" Type="http://schemas.openxmlformats.org/officeDocument/2006/relationships/image" Target="media/image7047.wmf"/><Relationship Id="rId3073" Type="http://schemas.openxmlformats.org/officeDocument/2006/relationships/image" Target="media/image1546.wmf"/><Relationship Id="rId4124" Type="http://schemas.openxmlformats.org/officeDocument/2006/relationships/oleObject" Target="embeddings/oleObject2053.bin"/><Relationship Id="rId7694" Type="http://schemas.openxmlformats.org/officeDocument/2006/relationships/image" Target="media/image3856.wmf"/><Relationship Id="rId11659" Type="http://schemas.openxmlformats.org/officeDocument/2006/relationships/image" Target="media/image5841.wmf"/><Relationship Id="rId13081" Type="http://schemas.openxmlformats.org/officeDocument/2006/relationships/image" Target="media/image6555.wmf"/><Relationship Id="rId1718" Type="http://schemas.openxmlformats.org/officeDocument/2006/relationships/image" Target="media/image865.wmf"/><Relationship Id="rId3140" Type="http://schemas.openxmlformats.org/officeDocument/2006/relationships/oleObject" Target="embeddings/oleObject1558.bin"/><Relationship Id="rId6296" Type="http://schemas.openxmlformats.org/officeDocument/2006/relationships/oleObject" Target="embeddings/oleObject3137.bin"/><Relationship Id="rId7347" Type="http://schemas.openxmlformats.org/officeDocument/2006/relationships/oleObject" Target="embeddings/oleObject3658.bin"/><Relationship Id="rId8745" Type="http://schemas.openxmlformats.org/officeDocument/2006/relationships/image" Target="media/image4382.wmf"/><Relationship Id="rId10675" Type="http://schemas.openxmlformats.org/officeDocument/2006/relationships/oleObject" Target="embeddings/oleObject5302.bin"/><Relationship Id="rId11726" Type="http://schemas.openxmlformats.org/officeDocument/2006/relationships/image" Target="media/image5876.wmf"/><Relationship Id="rId14132" Type="http://schemas.openxmlformats.org/officeDocument/2006/relationships/oleObject" Target="embeddings/oleObject7012.bin"/><Relationship Id="rId7761" Type="http://schemas.openxmlformats.org/officeDocument/2006/relationships/oleObject" Target="embeddings/oleObject3865.bin"/><Relationship Id="rId8812" Type="http://schemas.openxmlformats.org/officeDocument/2006/relationships/oleObject" Target="embeddings/oleObject4389.bin"/><Relationship Id="rId10328" Type="http://schemas.openxmlformats.org/officeDocument/2006/relationships/oleObject" Target="embeddings/oleObject5131.bin"/><Relationship Id="rId10742" Type="http://schemas.openxmlformats.org/officeDocument/2006/relationships/image" Target="media/image5380.wmf"/><Relationship Id="rId13898" Type="http://schemas.openxmlformats.org/officeDocument/2006/relationships/oleObject" Target="embeddings/oleObject6895.bin"/><Relationship Id="rId3957" Type="http://schemas.openxmlformats.org/officeDocument/2006/relationships/oleObject" Target="embeddings/oleObject1969.bin"/><Relationship Id="rId6363" Type="http://schemas.openxmlformats.org/officeDocument/2006/relationships/image" Target="media/image3191.wmf"/><Relationship Id="rId7414" Type="http://schemas.openxmlformats.org/officeDocument/2006/relationships/image" Target="media/image3716.wmf"/><Relationship Id="rId878" Type="http://schemas.openxmlformats.org/officeDocument/2006/relationships/image" Target="media/image444.wmf"/><Relationship Id="rId2559" Type="http://schemas.openxmlformats.org/officeDocument/2006/relationships/oleObject" Target="embeddings/oleObject1267.bin"/><Relationship Id="rId2973" Type="http://schemas.openxmlformats.org/officeDocument/2006/relationships/image" Target="media/image1496.wmf"/><Relationship Id="rId6016" Type="http://schemas.openxmlformats.org/officeDocument/2006/relationships/oleObject" Target="embeddings/oleObject2997.bin"/><Relationship Id="rId6430" Type="http://schemas.openxmlformats.org/officeDocument/2006/relationships/oleObject" Target="embeddings/oleObject3205.bin"/><Relationship Id="rId9586" Type="http://schemas.openxmlformats.org/officeDocument/2006/relationships/image" Target="media/image4802.wmf"/><Relationship Id="rId12567" Type="http://schemas.openxmlformats.org/officeDocument/2006/relationships/image" Target="media/image6298.wmf"/><Relationship Id="rId13618" Type="http://schemas.openxmlformats.org/officeDocument/2006/relationships/image" Target="media/image6824.wmf"/><Relationship Id="rId13965" Type="http://schemas.openxmlformats.org/officeDocument/2006/relationships/image" Target="media/image6997.wmf"/><Relationship Id="rId945" Type="http://schemas.openxmlformats.org/officeDocument/2006/relationships/image" Target="media/image478.wmf"/><Relationship Id="rId1575" Type="http://schemas.openxmlformats.org/officeDocument/2006/relationships/oleObject" Target="embeddings/oleObject775.bin"/><Relationship Id="rId2626" Type="http://schemas.openxmlformats.org/officeDocument/2006/relationships/image" Target="media/image1323.wmf"/><Relationship Id="rId5032" Type="http://schemas.openxmlformats.org/officeDocument/2006/relationships/image" Target="media/image2526.wmf"/><Relationship Id="rId8188" Type="http://schemas.openxmlformats.org/officeDocument/2006/relationships/image" Target="media/image4103.wmf"/><Relationship Id="rId9239" Type="http://schemas.openxmlformats.org/officeDocument/2006/relationships/oleObject" Target="embeddings/oleObject4600.bin"/><Relationship Id="rId9653" Type="http://schemas.openxmlformats.org/officeDocument/2006/relationships/oleObject" Target="embeddings/oleObject4805.bin"/><Relationship Id="rId11169" Type="http://schemas.openxmlformats.org/officeDocument/2006/relationships/image" Target="media/image5596.wmf"/><Relationship Id="rId12981" Type="http://schemas.openxmlformats.org/officeDocument/2006/relationships/image" Target="media/image6505.wmf"/><Relationship Id="rId1228" Type="http://schemas.openxmlformats.org/officeDocument/2006/relationships/image" Target="media/image619.wmf"/><Relationship Id="rId4798" Type="http://schemas.openxmlformats.org/officeDocument/2006/relationships/image" Target="media/image2409.png"/><Relationship Id="rId8255" Type="http://schemas.openxmlformats.org/officeDocument/2006/relationships/oleObject" Target="embeddings/oleObject4112.bin"/><Relationship Id="rId9306" Type="http://schemas.openxmlformats.org/officeDocument/2006/relationships/image" Target="media/image4662.wmf"/><Relationship Id="rId10185" Type="http://schemas.openxmlformats.org/officeDocument/2006/relationships/image" Target="media/image5101.wmf"/><Relationship Id="rId11583" Type="http://schemas.openxmlformats.org/officeDocument/2006/relationships/image" Target="media/image5803.wmf"/><Relationship Id="rId12634" Type="http://schemas.openxmlformats.org/officeDocument/2006/relationships/oleObject" Target="embeddings/oleObject6266.bin"/><Relationship Id="rId1642" Type="http://schemas.openxmlformats.org/officeDocument/2006/relationships/image" Target="media/image827.wmf"/><Relationship Id="rId5849" Type="http://schemas.openxmlformats.org/officeDocument/2006/relationships/image" Target="media/image2935.wmf"/><Relationship Id="rId7271" Type="http://schemas.openxmlformats.org/officeDocument/2006/relationships/oleObject" Target="embeddings/oleObject3620.bin"/><Relationship Id="rId8322" Type="http://schemas.openxmlformats.org/officeDocument/2006/relationships/image" Target="media/image4170.wmf"/><Relationship Id="rId9720" Type="http://schemas.openxmlformats.org/officeDocument/2006/relationships/image" Target="media/image4869.wmf"/><Relationship Id="rId11236" Type="http://schemas.openxmlformats.org/officeDocument/2006/relationships/oleObject" Target="embeddings/oleObject5571.bin"/><Relationship Id="rId11650" Type="http://schemas.openxmlformats.org/officeDocument/2006/relationships/oleObject" Target="embeddings/oleObject5778.bin"/><Relationship Id="rId12701" Type="http://schemas.openxmlformats.org/officeDocument/2006/relationships/image" Target="media/image6365.wmf"/><Relationship Id="rId4865" Type="http://schemas.openxmlformats.org/officeDocument/2006/relationships/oleObject" Target="embeddings/oleObject2423.bin"/><Relationship Id="rId5916" Type="http://schemas.openxmlformats.org/officeDocument/2006/relationships/oleObject" Target="embeddings/oleObject2947.bin"/><Relationship Id="rId10252" Type="http://schemas.openxmlformats.org/officeDocument/2006/relationships/oleObject" Target="embeddings/oleObject5093.bin"/><Relationship Id="rId11303" Type="http://schemas.openxmlformats.org/officeDocument/2006/relationships/image" Target="media/image5663.wmf"/><Relationship Id="rId14459" Type="http://schemas.openxmlformats.org/officeDocument/2006/relationships/image" Target="media/image7244.wmf"/><Relationship Id="rId388" Type="http://schemas.openxmlformats.org/officeDocument/2006/relationships/oleObject" Target="embeddings/oleObject188.bin"/><Relationship Id="rId2069" Type="http://schemas.openxmlformats.org/officeDocument/2006/relationships/oleObject" Target="embeddings/oleObject1022.bin"/><Relationship Id="rId3467" Type="http://schemas.openxmlformats.org/officeDocument/2006/relationships/oleObject" Target="embeddings/oleObject1724.bin"/><Relationship Id="rId3881" Type="http://schemas.openxmlformats.org/officeDocument/2006/relationships/oleObject" Target="embeddings/oleObject1931.bin"/><Relationship Id="rId4518" Type="http://schemas.openxmlformats.org/officeDocument/2006/relationships/image" Target="media/image2269.wmf"/><Relationship Id="rId4932" Type="http://schemas.openxmlformats.org/officeDocument/2006/relationships/image" Target="media/image2476.wmf"/><Relationship Id="rId9096" Type="http://schemas.openxmlformats.org/officeDocument/2006/relationships/oleObject" Target="embeddings/oleObject4528.bin"/><Relationship Id="rId13475" Type="http://schemas.openxmlformats.org/officeDocument/2006/relationships/oleObject" Target="embeddings/oleObject6683.bin"/><Relationship Id="rId14526" Type="http://schemas.openxmlformats.org/officeDocument/2006/relationships/oleObject" Target="embeddings/oleObject7203.bin"/><Relationship Id="rId2483" Type="http://schemas.openxmlformats.org/officeDocument/2006/relationships/oleObject" Target="embeddings/oleObject1229.bin"/><Relationship Id="rId3534" Type="http://schemas.openxmlformats.org/officeDocument/2006/relationships/image" Target="media/image1778.wmf"/><Relationship Id="rId12077" Type="http://schemas.openxmlformats.org/officeDocument/2006/relationships/oleObject" Target="embeddings/oleObject5990.bin"/><Relationship Id="rId12491" Type="http://schemas.openxmlformats.org/officeDocument/2006/relationships/image" Target="media/image6260.wmf"/><Relationship Id="rId13128" Type="http://schemas.openxmlformats.org/officeDocument/2006/relationships/oleObject" Target="embeddings/oleObject6511.bin"/><Relationship Id="rId13542" Type="http://schemas.openxmlformats.org/officeDocument/2006/relationships/image" Target="media/image6786.wmf"/><Relationship Id="rId455" Type="http://schemas.openxmlformats.org/officeDocument/2006/relationships/image" Target="media/image227.wmf"/><Relationship Id="rId1085" Type="http://schemas.openxmlformats.org/officeDocument/2006/relationships/image" Target="media/image548.wmf"/><Relationship Id="rId2136" Type="http://schemas.openxmlformats.org/officeDocument/2006/relationships/image" Target="media/image1074.wmf"/><Relationship Id="rId2550" Type="http://schemas.openxmlformats.org/officeDocument/2006/relationships/image" Target="media/image1285.wmf"/><Relationship Id="rId3601" Type="http://schemas.openxmlformats.org/officeDocument/2006/relationships/oleObject" Target="embeddings/oleObject1791.bin"/><Relationship Id="rId6757" Type="http://schemas.openxmlformats.org/officeDocument/2006/relationships/image" Target="media/image3388.wmf"/><Relationship Id="rId7808" Type="http://schemas.openxmlformats.org/officeDocument/2006/relationships/image" Target="media/image3913.wmf"/><Relationship Id="rId9163" Type="http://schemas.openxmlformats.org/officeDocument/2006/relationships/oleObject" Target="embeddings/oleObject4562.bin"/><Relationship Id="rId11093" Type="http://schemas.openxmlformats.org/officeDocument/2006/relationships/image" Target="media/image5558.wmf"/><Relationship Id="rId12144" Type="http://schemas.openxmlformats.org/officeDocument/2006/relationships/image" Target="media/image6085.wmf"/><Relationship Id="rId108" Type="http://schemas.openxmlformats.org/officeDocument/2006/relationships/oleObject" Target="embeddings/oleObject50.bin"/><Relationship Id="rId522" Type="http://schemas.openxmlformats.org/officeDocument/2006/relationships/oleObject" Target="embeddings/oleObject252.bin"/><Relationship Id="rId1152" Type="http://schemas.openxmlformats.org/officeDocument/2006/relationships/oleObject" Target="embeddings/oleObject566.bin"/><Relationship Id="rId2203" Type="http://schemas.openxmlformats.org/officeDocument/2006/relationships/oleObject" Target="embeddings/oleObject1089.bin"/><Relationship Id="rId5359" Type="http://schemas.openxmlformats.org/officeDocument/2006/relationships/image" Target="media/image2690.wmf"/><Relationship Id="rId5773" Type="http://schemas.openxmlformats.org/officeDocument/2006/relationships/image" Target="media/image2897.wmf"/><Relationship Id="rId9230" Type="http://schemas.openxmlformats.org/officeDocument/2006/relationships/image" Target="media/image4624.wmf"/><Relationship Id="rId11160" Type="http://schemas.openxmlformats.org/officeDocument/2006/relationships/oleObject" Target="embeddings/oleObject5533.bin"/><Relationship Id="rId4375" Type="http://schemas.openxmlformats.org/officeDocument/2006/relationships/oleObject" Target="embeddings/oleObject2179.bin"/><Relationship Id="rId5426" Type="http://schemas.openxmlformats.org/officeDocument/2006/relationships/oleObject" Target="embeddings/oleObject2702.bin"/><Relationship Id="rId6824" Type="http://schemas.openxmlformats.org/officeDocument/2006/relationships/oleObject" Target="embeddings/oleObject3397.bin"/><Relationship Id="rId12211" Type="http://schemas.openxmlformats.org/officeDocument/2006/relationships/oleObject" Target="embeddings/oleObject6057.bin"/><Relationship Id="rId1969" Type="http://schemas.openxmlformats.org/officeDocument/2006/relationships/oleObject" Target="embeddings/oleObject972.bin"/><Relationship Id="rId4028" Type="http://schemas.openxmlformats.org/officeDocument/2006/relationships/oleObject" Target="embeddings/oleObject2005.bin"/><Relationship Id="rId5840" Type="http://schemas.openxmlformats.org/officeDocument/2006/relationships/oleObject" Target="embeddings/oleObject2909.bin"/><Relationship Id="rId8996" Type="http://schemas.openxmlformats.org/officeDocument/2006/relationships/oleObject" Target="embeddings/oleObject4478.bin"/><Relationship Id="rId11977" Type="http://schemas.openxmlformats.org/officeDocument/2006/relationships/oleObject" Target="embeddings/oleObject5940.bin"/><Relationship Id="rId14383" Type="http://schemas.openxmlformats.org/officeDocument/2006/relationships/image" Target="media/image7206.wmf"/><Relationship Id="rId3391" Type="http://schemas.openxmlformats.org/officeDocument/2006/relationships/oleObject" Target="embeddings/oleObject1685.bin"/><Relationship Id="rId4442" Type="http://schemas.openxmlformats.org/officeDocument/2006/relationships/image" Target="media/image2231.wmf"/><Relationship Id="rId7598" Type="http://schemas.openxmlformats.org/officeDocument/2006/relationships/image" Target="media/image3808.wmf"/><Relationship Id="rId8649" Type="http://schemas.microsoft.com/office/2007/relationships/hdphoto" Target="media/hdphoto17.wdp"/><Relationship Id="rId10579" Type="http://schemas.openxmlformats.org/officeDocument/2006/relationships/oleObject" Target="embeddings/oleObject5254.bin"/><Relationship Id="rId10993" Type="http://schemas.openxmlformats.org/officeDocument/2006/relationships/oleObject" Target="embeddings/oleObject5452.bin"/><Relationship Id="rId14036" Type="http://schemas.openxmlformats.org/officeDocument/2006/relationships/oleObject" Target="embeddings/oleObject6964.bin"/><Relationship Id="rId14450" Type="http://schemas.openxmlformats.org/officeDocument/2006/relationships/oleObject" Target="embeddings/oleObject7165.bin"/><Relationship Id="rId3044" Type="http://schemas.openxmlformats.org/officeDocument/2006/relationships/oleObject" Target="embeddings/oleObject1510.bin"/><Relationship Id="rId7665" Type="http://schemas.openxmlformats.org/officeDocument/2006/relationships/oleObject" Target="embeddings/oleObject3817.bin"/><Relationship Id="rId8716" Type="http://schemas.openxmlformats.org/officeDocument/2006/relationships/oleObject" Target="embeddings/oleObject4341.bin"/><Relationship Id="rId10646" Type="http://schemas.openxmlformats.org/officeDocument/2006/relationships/image" Target="media/image5332.wmf"/><Relationship Id="rId13052" Type="http://schemas.openxmlformats.org/officeDocument/2006/relationships/oleObject" Target="embeddings/oleObject6473.bin"/><Relationship Id="rId14103" Type="http://schemas.openxmlformats.org/officeDocument/2006/relationships/image" Target="media/image7066.wmf"/><Relationship Id="rId2060" Type="http://schemas.openxmlformats.org/officeDocument/2006/relationships/image" Target="media/image1036.wmf"/><Relationship Id="rId3111" Type="http://schemas.openxmlformats.org/officeDocument/2006/relationships/image" Target="media/image1565.wmf"/><Relationship Id="rId6267" Type="http://schemas.openxmlformats.org/officeDocument/2006/relationships/image" Target="media/image3144.wmf"/><Relationship Id="rId6681" Type="http://schemas.openxmlformats.org/officeDocument/2006/relationships/image" Target="media/image3350.wmf"/><Relationship Id="rId7318" Type="http://schemas.openxmlformats.org/officeDocument/2006/relationships/image" Target="media/image3668.wmf"/><Relationship Id="rId7732" Type="http://schemas.openxmlformats.org/officeDocument/2006/relationships/image" Target="media/image3875.wmf"/><Relationship Id="rId2877" Type="http://schemas.openxmlformats.org/officeDocument/2006/relationships/image" Target="media/image1448.wmf"/><Relationship Id="rId5283" Type="http://schemas.openxmlformats.org/officeDocument/2006/relationships/image" Target="media/image2652.wmf"/><Relationship Id="rId6334" Type="http://schemas.openxmlformats.org/officeDocument/2006/relationships/oleObject" Target="embeddings/oleObject3157.bin"/><Relationship Id="rId10713" Type="http://schemas.openxmlformats.org/officeDocument/2006/relationships/oleObject" Target="embeddings/oleObject5319.bin"/><Relationship Id="rId13869" Type="http://schemas.openxmlformats.org/officeDocument/2006/relationships/image" Target="media/image6949.wmf"/><Relationship Id="rId849" Type="http://schemas.openxmlformats.org/officeDocument/2006/relationships/oleObject" Target="embeddings/oleObject416.bin"/><Relationship Id="rId1479" Type="http://schemas.openxmlformats.org/officeDocument/2006/relationships/oleObject" Target="embeddings/oleObject728.bin"/><Relationship Id="rId3928" Type="http://schemas.openxmlformats.org/officeDocument/2006/relationships/image" Target="media/image1975.wmf"/><Relationship Id="rId5350" Type="http://schemas.openxmlformats.org/officeDocument/2006/relationships/oleObject" Target="embeddings/oleObject2664.bin"/><Relationship Id="rId6401" Type="http://schemas.openxmlformats.org/officeDocument/2006/relationships/image" Target="media/image3210.wmf"/><Relationship Id="rId9557" Type="http://schemas.openxmlformats.org/officeDocument/2006/relationships/oleObject" Target="embeddings/oleObject4757.bin"/><Relationship Id="rId12885" Type="http://schemas.openxmlformats.org/officeDocument/2006/relationships/image" Target="media/image6457.wmf"/><Relationship Id="rId13936" Type="http://schemas.openxmlformats.org/officeDocument/2006/relationships/oleObject" Target="embeddings/oleObject6914.bin"/><Relationship Id="rId1893" Type="http://schemas.openxmlformats.org/officeDocument/2006/relationships/oleObject" Target="embeddings/oleObject934.bin"/><Relationship Id="rId2944" Type="http://schemas.openxmlformats.org/officeDocument/2006/relationships/oleObject" Target="embeddings/oleObject1460.bin"/><Relationship Id="rId5003" Type="http://schemas.openxmlformats.org/officeDocument/2006/relationships/oleObject" Target="embeddings/oleObject2491.bin"/><Relationship Id="rId8159" Type="http://schemas.openxmlformats.org/officeDocument/2006/relationships/oleObject" Target="embeddings/oleObject4064.bin"/><Relationship Id="rId9971" Type="http://schemas.openxmlformats.org/officeDocument/2006/relationships/image" Target="media/image4994.wmf"/><Relationship Id="rId11487" Type="http://schemas.openxmlformats.org/officeDocument/2006/relationships/image" Target="media/image5755.wmf"/><Relationship Id="rId12538" Type="http://schemas.openxmlformats.org/officeDocument/2006/relationships/oleObject" Target="embeddings/oleObject6218.bin"/><Relationship Id="rId12952" Type="http://schemas.openxmlformats.org/officeDocument/2006/relationships/oleObject" Target="embeddings/oleObject6425.bin"/><Relationship Id="rId916" Type="http://schemas.openxmlformats.org/officeDocument/2006/relationships/oleObject" Target="embeddings/oleObject449.bin"/><Relationship Id="rId1546" Type="http://schemas.openxmlformats.org/officeDocument/2006/relationships/image" Target="media/image778.wmf"/><Relationship Id="rId1960" Type="http://schemas.openxmlformats.org/officeDocument/2006/relationships/image" Target="media/image986.wmf"/><Relationship Id="rId7175" Type="http://schemas.openxmlformats.org/officeDocument/2006/relationships/oleObject" Target="embeddings/oleObject3572.bin"/><Relationship Id="rId8573" Type="http://schemas.openxmlformats.org/officeDocument/2006/relationships/oleObject" Target="embeddings/oleObject4271.bin"/><Relationship Id="rId9624" Type="http://schemas.openxmlformats.org/officeDocument/2006/relationships/image" Target="media/image4821.wmf"/><Relationship Id="rId10089" Type="http://schemas.openxmlformats.org/officeDocument/2006/relationships/image" Target="media/image5053.wmf"/><Relationship Id="rId11554" Type="http://schemas.openxmlformats.org/officeDocument/2006/relationships/oleObject" Target="embeddings/oleObject5730.bin"/><Relationship Id="rId12605" Type="http://schemas.openxmlformats.org/officeDocument/2006/relationships/image" Target="media/image6317.wmf"/><Relationship Id="rId1613" Type="http://schemas.openxmlformats.org/officeDocument/2006/relationships/oleObject" Target="embeddings/oleObject794.bin"/><Relationship Id="rId4769" Type="http://schemas.openxmlformats.org/officeDocument/2006/relationships/oleObject" Target="embeddings/oleObject2376.bin"/><Relationship Id="rId8226" Type="http://schemas.openxmlformats.org/officeDocument/2006/relationships/image" Target="media/image4122.wmf"/><Relationship Id="rId8640" Type="http://schemas.openxmlformats.org/officeDocument/2006/relationships/image" Target="media/image4329.wmf"/><Relationship Id="rId10156" Type="http://schemas.openxmlformats.org/officeDocument/2006/relationships/oleObject" Target="embeddings/oleObject5047.bin"/><Relationship Id="rId10570" Type="http://schemas.openxmlformats.org/officeDocument/2006/relationships/image" Target="media/image5294.wmf"/><Relationship Id="rId11207" Type="http://schemas.openxmlformats.org/officeDocument/2006/relationships/image" Target="media/image5615.wmf"/><Relationship Id="rId11621" Type="http://schemas.openxmlformats.org/officeDocument/2006/relationships/image" Target="media/image5822.wmf"/><Relationship Id="rId3785" Type="http://schemas.openxmlformats.org/officeDocument/2006/relationships/oleObject" Target="embeddings/oleObject1883.bin"/><Relationship Id="rId4836" Type="http://schemas.openxmlformats.org/officeDocument/2006/relationships/image" Target="media/image2428.wmf"/><Relationship Id="rId6191" Type="http://schemas.openxmlformats.org/officeDocument/2006/relationships/image" Target="media/image3106.wmf"/><Relationship Id="rId7242" Type="http://schemas.openxmlformats.org/officeDocument/2006/relationships/image" Target="media/image3630.wmf"/><Relationship Id="rId10223" Type="http://schemas.openxmlformats.org/officeDocument/2006/relationships/image" Target="media/image5120.wmf"/><Relationship Id="rId13379" Type="http://schemas.openxmlformats.org/officeDocument/2006/relationships/oleObject" Target="embeddings/oleObject6635.bin"/><Relationship Id="rId2387" Type="http://schemas.openxmlformats.org/officeDocument/2006/relationships/image" Target="media/image1202.wmf"/><Relationship Id="rId3438" Type="http://schemas.openxmlformats.org/officeDocument/2006/relationships/image" Target="media/image1730.wmf"/><Relationship Id="rId3852" Type="http://schemas.openxmlformats.org/officeDocument/2006/relationships/image" Target="media/image1937.wmf"/><Relationship Id="rId12395" Type="http://schemas.openxmlformats.org/officeDocument/2006/relationships/image" Target="media/image6212.wmf"/><Relationship Id="rId13793" Type="http://schemas.openxmlformats.org/officeDocument/2006/relationships/image" Target="media/image6911.wmf"/><Relationship Id="rId359" Type="http://schemas.openxmlformats.org/officeDocument/2006/relationships/oleObject" Target="embeddings/oleObject174.bin"/><Relationship Id="rId773" Type="http://schemas.openxmlformats.org/officeDocument/2006/relationships/oleObject" Target="embeddings/oleObject378.bin"/><Relationship Id="rId2454" Type="http://schemas.openxmlformats.org/officeDocument/2006/relationships/image" Target="media/image1236.wmf"/><Relationship Id="rId3505" Type="http://schemas.openxmlformats.org/officeDocument/2006/relationships/oleObject" Target="embeddings/oleObject1743.bin"/><Relationship Id="rId4903" Type="http://schemas.openxmlformats.org/officeDocument/2006/relationships/oleObject" Target="embeddings/oleObject2442.bin"/><Relationship Id="rId9067" Type="http://schemas.openxmlformats.org/officeDocument/2006/relationships/image" Target="media/image4543.wmf"/><Relationship Id="rId9481" Type="http://schemas.openxmlformats.org/officeDocument/2006/relationships/oleObject" Target="embeddings/oleObject4719.bin"/><Relationship Id="rId12048" Type="http://schemas.openxmlformats.org/officeDocument/2006/relationships/image" Target="media/image6037.wmf"/><Relationship Id="rId13446" Type="http://schemas.openxmlformats.org/officeDocument/2006/relationships/image" Target="media/image6738.wmf"/><Relationship Id="rId13860" Type="http://schemas.openxmlformats.org/officeDocument/2006/relationships/oleObject" Target="embeddings/oleObject6876.bin"/><Relationship Id="rId426" Type="http://schemas.openxmlformats.org/officeDocument/2006/relationships/oleObject" Target="embeddings/oleObject207.bin"/><Relationship Id="rId1056" Type="http://schemas.openxmlformats.org/officeDocument/2006/relationships/oleObject" Target="embeddings/oleObject519.bin"/><Relationship Id="rId2107" Type="http://schemas.openxmlformats.org/officeDocument/2006/relationships/oleObject" Target="embeddings/oleObject1041.bin"/><Relationship Id="rId8083" Type="http://schemas.openxmlformats.org/officeDocument/2006/relationships/oleObject" Target="embeddings/oleObject4026.bin"/><Relationship Id="rId9134" Type="http://schemas.openxmlformats.org/officeDocument/2006/relationships/oleObject" Target="embeddings/oleObject4547.bin"/><Relationship Id="rId12462" Type="http://schemas.openxmlformats.org/officeDocument/2006/relationships/oleObject" Target="embeddings/oleObject6180.bin"/><Relationship Id="rId13513" Type="http://schemas.openxmlformats.org/officeDocument/2006/relationships/oleObject" Target="embeddings/oleObject6702.bin"/><Relationship Id="rId840" Type="http://schemas.openxmlformats.org/officeDocument/2006/relationships/image" Target="media/image425.wmf"/><Relationship Id="rId1470" Type="http://schemas.openxmlformats.org/officeDocument/2006/relationships/image" Target="media/image740.wmf"/><Relationship Id="rId2521" Type="http://schemas.openxmlformats.org/officeDocument/2006/relationships/oleObject" Target="embeddings/oleObject1248.bin"/><Relationship Id="rId4279" Type="http://schemas.openxmlformats.org/officeDocument/2006/relationships/image" Target="media/image2150.wmf"/><Relationship Id="rId5677" Type="http://schemas.openxmlformats.org/officeDocument/2006/relationships/image" Target="media/image2849.wmf"/><Relationship Id="rId6728" Type="http://schemas.openxmlformats.org/officeDocument/2006/relationships/oleObject" Target="embeddings/oleObject3351.bin"/><Relationship Id="rId11064" Type="http://schemas.openxmlformats.org/officeDocument/2006/relationships/image" Target="media/image5543.png"/><Relationship Id="rId12115" Type="http://schemas.openxmlformats.org/officeDocument/2006/relationships/oleObject" Target="embeddings/oleObject6009.bin"/><Relationship Id="rId1123" Type="http://schemas.openxmlformats.org/officeDocument/2006/relationships/image" Target="media/image567.wmf"/><Relationship Id="rId4693" Type="http://schemas.openxmlformats.org/officeDocument/2006/relationships/oleObject" Target="embeddings/oleObject2338.bin"/><Relationship Id="rId5744" Type="http://schemas.openxmlformats.org/officeDocument/2006/relationships/oleObject" Target="embeddings/oleObject2861.bin"/><Relationship Id="rId8150" Type="http://schemas.openxmlformats.org/officeDocument/2006/relationships/image" Target="media/image4084.wmf"/><Relationship Id="rId9201" Type="http://schemas.openxmlformats.org/officeDocument/2006/relationships/oleObject" Target="embeddings/oleObject4581.bin"/><Relationship Id="rId10080" Type="http://schemas.openxmlformats.org/officeDocument/2006/relationships/oleObject" Target="embeddings/oleObject5009.bin"/><Relationship Id="rId11131" Type="http://schemas.openxmlformats.org/officeDocument/2006/relationships/image" Target="media/image5577.wmf"/><Relationship Id="rId14287" Type="http://schemas.openxmlformats.org/officeDocument/2006/relationships/image" Target="media/image7158.wmf"/><Relationship Id="rId3295" Type="http://schemas.openxmlformats.org/officeDocument/2006/relationships/oleObject" Target="embeddings/oleObject1636.bin"/><Relationship Id="rId4346" Type="http://schemas.openxmlformats.org/officeDocument/2006/relationships/image" Target="media/image2183.wmf"/><Relationship Id="rId4760" Type="http://schemas.openxmlformats.org/officeDocument/2006/relationships/image" Target="media/image2390.wmf"/><Relationship Id="rId5811" Type="http://schemas.openxmlformats.org/officeDocument/2006/relationships/image" Target="media/image2916.wmf"/><Relationship Id="rId8967" Type="http://schemas.openxmlformats.org/officeDocument/2006/relationships/image" Target="media/image4493.wmf"/><Relationship Id="rId14354" Type="http://schemas.openxmlformats.org/officeDocument/2006/relationships/oleObject" Target="embeddings/oleObject7123.bin"/><Relationship Id="rId3362" Type="http://schemas.openxmlformats.org/officeDocument/2006/relationships/image" Target="media/image1690.wmf"/><Relationship Id="rId4413" Type="http://schemas.openxmlformats.org/officeDocument/2006/relationships/oleObject" Target="embeddings/oleObject2198.bin"/><Relationship Id="rId7569" Type="http://schemas.openxmlformats.org/officeDocument/2006/relationships/oleObject" Target="embeddings/oleObject3769.bin"/><Relationship Id="rId7983" Type="http://schemas.openxmlformats.org/officeDocument/2006/relationships/oleObject" Target="embeddings/oleObject3976.bin"/><Relationship Id="rId10897" Type="http://schemas.openxmlformats.org/officeDocument/2006/relationships/oleObject" Target="embeddings/oleObject5411.bin"/><Relationship Id="rId11948" Type="http://schemas.openxmlformats.org/officeDocument/2006/relationships/image" Target="media/image5987.wmf"/><Relationship Id="rId13370" Type="http://schemas.openxmlformats.org/officeDocument/2006/relationships/image" Target="media/image6700.wmf"/><Relationship Id="rId14007" Type="http://schemas.openxmlformats.org/officeDocument/2006/relationships/image" Target="media/image7018.wmf"/><Relationship Id="rId283" Type="http://schemas.openxmlformats.org/officeDocument/2006/relationships/oleObject" Target="embeddings/oleObject136.bin"/><Relationship Id="rId3015" Type="http://schemas.openxmlformats.org/officeDocument/2006/relationships/image" Target="media/image1517.wmf"/><Relationship Id="rId6585" Type="http://schemas.openxmlformats.org/officeDocument/2006/relationships/image" Target="media/image3302.wmf"/><Relationship Id="rId7636" Type="http://schemas.openxmlformats.org/officeDocument/2006/relationships/image" Target="media/image3827.wmf"/><Relationship Id="rId10964" Type="http://schemas.openxmlformats.org/officeDocument/2006/relationships/image" Target="media/image5492.wmf"/><Relationship Id="rId13023" Type="http://schemas.openxmlformats.org/officeDocument/2006/relationships/image" Target="media/image6526.png"/><Relationship Id="rId14421" Type="http://schemas.openxmlformats.org/officeDocument/2006/relationships/image" Target="media/image7225.wmf"/><Relationship Id="rId350" Type="http://schemas.openxmlformats.org/officeDocument/2006/relationships/image" Target="media/image174.wmf"/><Relationship Id="rId2031" Type="http://schemas.openxmlformats.org/officeDocument/2006/relationships/oleObject" Target="embeddings/oleObject1003.bin"/><Relationship Id="rId5187" Type="http://schemas.openxmlformats.org/officeDocument/2006/relationships/oleObject" Target="embeddings/oleObject2583.bin"/><Relationship Id="rId6238" Type="http://schemas.openxmlformats.org/officeDocument/2006/relationships/oleObject" Target="embeddings/oleObject3108.bin"/><Relationship Id="rId10617" Type="http://schemas.openxmlformats.org/officeDocument/2006/relationships/oleObject" Target="embeddings/oleObject5273.bin"/><Relationship Id="rId5254" Type="http://schemas.openxmlformats.org/officeDocument/2006/relationships/oleObject" Target="embeddings/oleObject2616.bin"/><Relationship Id="rId6652" Type="http://schemas.openxmlformats.org/officeDocument/2006/relationships/oleObject" Target="embeddings/oleObject3313.bin"/><Relationship Id="rId7703" Type="http://schemas.openxmlformats.org/officeDocument/2006/relationships/oleObject" Target="embeddings/oleObject3836.bin"/><Relationship Id="rId12789" Type="http://schemas.openxmlformats.org/officeDocument/2006/relationships/image" Target="media/image6409.wmf"/><Relationship Id="rId1797" Type="http://schemas.openxmlformats.org/officeDocument/2006/relationships/oleObject" Target="embeddings/oleObject886.bin"/><Relationship Id="rId2848" Type="http://schemas.openxmlformats.org/officeDocument/2006/relationships/oleObject" Target="embeddings/oleObject1412.bin"/><Relationship Id="rId6305" Type="http://schemas.openxmlformats.org/officeDocument/2006/relationships/image" Target="media/image3163.wmf"/><Relationship Id="rId9875" Type="http://schemas.openxmlformats.org/officeDocument/2006/relationships/image" Target="media/image4946.wmf"/><Relationship Id="rId12856" Type="http://schemas.openxmlformats.org/officeDocument/2006/relationships/oleObject" Target="embeddings/oleObject6377.bin"/><Relationship Id="rId13907" Type="http://schemas.openxmlformats.org/officeDocument/2006/relationships/image" Target="media/image6968.wmf"/><Relationship Id="rId89" Type="http://schemas.openxmlformats.org/officeDocument/2006/relationships/image" Target="media/image42.wmf"/><Relationship Id="rId1864" Type="http://schemas.openxmlformats.org/officeDocument/2006/relationships/image" Target="media/image938.wmf"/><Relationship Id="rId2915" Type="http://schemas.openxmlformats.org/officeDocument/2006/relationships/image" Target="media/image1467.wmf"/><Relationship Id="rId4270" Type="http://schemas.openxmlformats.org/officeDocument/2006/relationships/oleObject" Target="embeddings/oleObject2126.bin"/><Relationship Id="rId5321" Type="http://schemas.openxmlformats.org/officeDocument/2006/relationships/image" Target="media/image2671.wmf"/><Relationship Id="rId8477" Type="http://schemas.openxmlformats.org/officeDocument/2006/relationships/oleObject" Target="embeddings/oleObject4223.bin"/><Relationship Id="rId8891" Type="http://schemas.openxmlformats.org/officeDocument/2006/relationships/image" Target="media/image4455.wmf"/><Relationship Id="rId9528" Type="http://schemas.openxmlformats.org/officeDocument/2006/relationships/image" Target="media/image4773.wmf"/><Relationship Id="rId9942" Type="http://schemas.openxmlformats.org/officeDocument/2006/relationships/oleObject" Target="embeddings/oleObject4941.bin"/><Relationship Id="rId11458" Type="http://schemas.openxmlformats.org/officeDocument/2006/relationships/oleObject" Target="embeddings/oleObject5682.bin"/><Relationship Id="rId12509" Type="http://schemas.openxmlformats.org/officeDocument/2006/relationships/image" Target="media/image6269.wmf"/><Relationship Id="rId1517" Type="http://schemas.openxmlformats.org/officeDocument/2006/relationships/oleObject" Target="embeddings/oleObject745.bin"/><Relationship Id="rId7079" Type="http://schemas.openxmlformats.org/officeDocument/2006/relationships/image" Target="media/image3549.wmf"/><Relationship Id="rId7493" Type="http://schemas.openxmlformats.org/officeDocument/2006/relationships/oleObject" Target="embeddings/oleObject3731.bin"/><Relationship Id="rId8544" Type="http://schemas.openxmlformats.org/officeDocument/2006/relationships/image" Target="media/image4281.wmf"/><Relationship Id="rId10474" Type="http://schemas.openxmlformats.org/officeDocument/2006/relationships/image" Target="media/image5246.png"/><Relationship Id="rId11872" Type="http://schemas.openxmlformats.org/officeDocument/2006/relationships/image" Target="media/image5949.wmf"/><Relationship Id="rId12923" Type="http://schemas.openxmlformats.org/officeDocument/2006/relationships/image" Target="media/image6476.wmf"/><Relationship Id="rId1931" Type="http://schemas.openxmlformats.org/officeDocument/2006/relationships/oleObject" Target="embeddings/oleObject953.bin"/><Relationship Id="rId3689" Type="http://schemas.openxmlformats.org/officeDocument/2006/relationships/oleObject" Target="embeddings/oleObject1835.bin"/><Relationship Id="rId6095" Type="http://schemas.openxmlformats.org/officeDocument/2006/relationships/image" Target="media/image3058.wmf"/><Relationship Id="rId7146" Type="http://schemas.openxmlformats.org/officeDocument/2006/relationships/image" Target="media/image3582.wmf"/><Relationship Id="rId7560" Type="http://schemas.openxmlformats.org/officeDocument/2006/relationships/image" Target="media/image3789.wmf"/><Relationship Id="rId8611" Type="http://schemas.openxmlformats.org/officeDocument/2006/relationships/oleObject" Target="embeddings/oleObject4290.bin"/><Relationship Id="rId10127" Type="http://schemas.openxmlformats.org/officeDocument/2006/relationships/image" Target="media/image5072.wmf"/><Relationship Id="rId11525" Type="http://schemas.openxmlformats.org/officeDocument/2006/relationships/image" Target="media/image5774.wmf"/><Relationship Id="rId6162" Type="http://schemas.openxmlformats.org/officeDocument/2006/relationships/oleObject" Target="embeddings/oleObject3070.bin"/><Relationship Id="rId7213" Type="http://schemas.openxmlformats.org/officeDocument/2006/relationships/oleObject" Target="embeddings/oleObject3591.bin"/><Relationship Id="rId10541" Type="http://schemas.openxmlformats.org/officeDocument/2006/relationships/oleObject" Target="embeddings/oleObject5235.bin"/><Relationship Id="rId13697" Type="http://schemas.openxmlformats.org/officeDocument/2006/relationships/image" Target="media/image6863.wmf"/><Relationship Id="rId677" Type="http://schemas.openxmlformats.org/officeDocument/2006/relationships/oleObject" Target="embeddings/oleObject327.bin"/><Relationship Id="rId2358" Type="http://schemas.openxmlformats.org/officeDocument/2006/relationships/oleObject" Target="embeddings/oleObject1168.bin"/><Relationship Id="rId3756" Type="http://schemas.openxmlformats.org/officeDocument/2006/relationships/image" Target="media/image1889.wmf"/><Relationship Id="rId4807" Type="http://schemas.openxmlformats.org/officeDocument/2006/relationships/oleObject" Target="embeddings/oleObject2394.bin"/><Relationship Id="rId9385" Type="http://schemas.openxmlformats.org/officeDocument/2006/relationships/oleObject" Target="embeddings/oleObject4673.bin"/><Relationship Id="rId12299" Type="http://schemas.openxmlformats.org/officeDocument/2006/relationships/image" Target="media/image6164.wmf"/><Relationship Id="rId13764" Type="http://schemas.openxmlformats.org/officeDocument/2006/relationships/oleObject" Target="embeddings/oleObject6828.bin"/><Relationship Id="rId2772" Type="http://schemas.openxmlformats.org/officeDocument/2006/relationships/image" Target="media/image1396.wmf"/><Relationship Id="rId3409" Type="http://schemas.openxmlformats.org/officeDocument/2006/relationships/oleObject" Target="embeddings/oleObject1694.bin"/><Relationship Id="rId3823" Type="http://schemas.openxmlformats.org/officeDocument/2006/relationships/oleObject" Target="embeddings/oleObject1902.bin"/><Relationship Id="rId6979" Type="http://schemas.openxmlformats.org/officeDocument/2006/relationships/image" Target="media/image3499.wmf"/><Relationship Id="rId9038" Type="http://schemas.openxmlformats.org/officeDocument/2006/relationships/oleObject" Target="embeddings/oleObject4499.bin"/><Relationship Id="rId12366" Type="http://schemas.openxmlformats.org/officeDocument/2006/relationships/oleObject" Target="embeddings/oleObject6132.bin"/><Relationship Id="rId12780" Type="http://schemas.openxmlformats.org/officeDocument/2006/relationships/oleObject" Target="embeddings/oleObject6339.bin"/><Relationship Id="rId13417" Type="http://schemas.openxmlformats.org/officeDocument/2006/relationships/oleObject" Target="embeddings/oleObject6654.bin"/><Relationship Id="rId13831" Type="http://schemas.openxmlformats.org/officeDocument/2006/relationships/image" Target="media/image6930.wmf"/><Relationship Id="rId744" Type="http://schemas.openxmlformats.org/officeDocument/2006/relationships/image" Target="media/image374.wmf"/><Relationship Id="rId1374" Type="http://schemas.openxmlformats.org/officeDocument/2006/relationships/image" Target="media/image692.wmf"/><Relationship Id="rId2425" Type="http://schemas.openxmlformats.org/officeDocument/2006/relationships/image" Target="media/image1221.wmf"/><Relationship Id="rId5995" Type="http://schemas.openxmlformats.org/officeDocument/2006/relationships/image" Target="media/image3008.wmf"/><Relationship Id="rId9452" Type="http://schemas.openxmlformats.org/officeDocument/2006/relationships/image" Target="media/image4735.wmf"/><Relationship Id="rId11382" Type="http://schemas.openxmlformats.org/officeDocument/2006/relationships/oleObject" Target="embeddings/oleObject5644.bin"/><Relationship Id="rId12019" Type="http://schemas.openxmlformats.org/officeDocument/2006/relationships/oleObject" Target="embeddings/oleObject5961.bin"/><Relationship Id="rId12433" Type="http://schemas.openxmlformats.org/officeDocument/2006/relationships/image" Target="media/image6231.wmf"/><Relationship Id="rId80" Type="http://schemas.openxmlformats.org/officeDocument/2006/relationships/oleObject" Target="embeddings/oleObject36.bin"/><Relationship Id="rId811" Type="http://schemas.openxmlformats.org/officeDocument/2006/relationships/oleObject" Target="embeddings/oleObject397.bin"/><Relationship Id="rId1027" Type="http://schemas.openxmlformats.org/officeDocument/2006/relationships/image" Target="media/image519.wmf"/><Relationship Id="rId1441" Type="http://schemas.openxmlformats.org/officeDocument/2006/relationships/oleObject" Target="embeddings/oleObject709.bin"/><Relationship Id="rId4597" Type="http://schemas.openxmlformats.org/officeDocument/2006/relationships/oleObject" Target="embeddings/oleObject2290.bin"/><Relationship Id="rId5648" Type="http://schemas.openxmlformats.org/officeDocument/2006/relationships/oleObject" Target="embeddings/oleObject2813.bin"/><Relationship Id="rId8054" Type="http://schemas.openxmlformats.org/officeDocument/2006/relationships/image" Target="media/image4036.wmf"/><Relationship Id="rId9105" Type="http://schemas.openxmlformats.org/officeDocument/2006/relationships/image" Target="media/image4562.wmf"/><Relationship Id="rId11035" Type="http://schemas.openxmlformats.org/officeDocument/2006/relationships/oleObject" Target="embeddings/oleObject5473.bin"/><Relationship Id="rId3199" Type="http://schemas.openxmlformats.org/officeDocument/2006/relationships/image" Target="media/image1609.wmf"/><Relationship Id="rId4664" Type="http://schemas.openxmlformats.org/officeDocument/2006/relationships/image" Target="media/image2342.wmf"/><Relationship Id="rId5715" Type="http://schemas.openxmlformats.org/officeDocument/2006/relationships/image" Target="media/image2868.wmf"/><Relationship Id="rId7070" Type="http://schemas.openxmlformats.org/officeDocument/2006/relationships/oleObject" Target="embeddings/oleObject3520.bin"/><Relationship Id="rId8121" Type="http://schemas.openxmlformats.org/officeDocument/2006/relationships/oleObject" Target="embeddings/oleObject4045.bin"/><Relationship Id="rId10051" Type="http://schemas.openxmlformats.org/officeDocument/2006/relationships/image" Target="media/image5034.wmf"/><Relationship Id="rId11102" Type="http://schemas.openxmlformats.org/officeDocument/2006/relationships/oleObject" Target="embeddings/oleObject5504.bin"/><Relationship Id="rId12500" Type="http://schemas.openxmlformats.org/officeDocument/2006/relationships/oleObject" Target="embeddings/oleObject6199.bin"/><Relationship Id="rId14258" Type="http://schemas.openxmlformats.org/officeDocument/2006/relationships/oleObject" Target="embeddings/oleObject7075.bin"/><Relationship Id="rId3266" Type="http://schemas.openxmlformats.org/officeDocument/2006/relationships/image" Target="media/image1642.wmf"/><Relationship Id="rId4317" Type="http://schemas.openxmlformats.org/officeDocument/2006/relationships/image" Target="media/image2169.wmf"/><Relationship Id="rId187" Type="http://schemas.openxmlformats.org/officeDocument/2006/relationships/oleObject" Target="embeddings/oleObject88.bin"/><Relationship Id="rId2282" Type="http://schemas.openxmlformats.org/officeDocument/2006/relationships/oleObject" Target="embeddings/oleObject1128.bin"/><Relationship Id="rId3680" Type="http://schemas.openxmlformats.org/officeDocument/2006/relationships/image" Target="media/image1851.wmf"/><Relationship Id="rId4731" Type="http://schemas.openxmlformats.org/officeDocument/2006/relationships/oleObject" Target="embeddings/oleObject2357.bin"/><Relationship Id="rId6489" Type="http://schemas.openxmlformats.org/officeDocument/2006/relationships/image" Target="media/image3254.wmf"/><Relationship Id="rId7887" Type="http://schemas.openxmlformats.org/officeDocument/2006/relationships/oleObject" Target="embeddings/oleObject3928.bin"/><Relationship Id="rId8938" Type="http://schemas.openxmlformats.org/officeDocument/2006/relationships/oleObject" Target="embeddings/oleObject4449.bin"/><Relationship Id="rId10868" Type="http://schemas.openxmlformats.org/officeDocument/2006/relationships/image" Target="media/image5443.wmf"/><Relationship Id="rId11919" Type="http://schemas.openxmlformats.org/officeDocument/2006/relationships/oleObject" Target="embeddings/oleObject5911.bin"/><Relationship Id="rId13274" Type="http://schemas.openxmlformats.org/officeDocument/2006/relationships/oleObject" Target="embeddings/oleObject6584.bin"/><Relationship Id="rId14325" Type="http://schemas.openxmlformats.org/officeDocument/2006/relationships/image" Target="media/image7177.wmf"/><Relationship Id="rId254" Type="http://schemas.openxmlformats.org/officeDocument/2006/relationships/image" Target="media/image126.wmf"/><Relationship Id="rId3333" Type="http://schemas.openxmlformats.org/officeDocument/2006/relationships/oleObject" Target="embeddings/oleObject1655.bin"/><Relationship Id="rId7954" Type="http://schemas.openxmlformats.org/officeDocument/2006/relationships/image" Target="media/image3986.wmf"/><Relationship Id="rId10935" Type="http://schemas.openxmlformats.org/officeDocument/2006/relationships/oleObject" Target="embeddings/oleObject5430.bin"/><Relationship Id="rId12290" Type="http://schemas.openxmlformats.org/officeDocument/2006/relationships/image" Target="media/image6158.png"/><Relationship Id="rId13341" Type="http://schemas.openxmlformats.org/officeDocument/2006/relationships/oleObject" Target="embeddings/oleObject6617.bin"/><Relationship Id="rId3400" Type="http://schemas.openxmlformats.org/officeDocument/2006/relationships/image" Target="media/image1710.wmf"/><Relationship Id="rId6556" Type="http://schemas.openxmlformats.org/officeDocument/2006/relationships/oleObject" Target="embeddings/oleObject3265.bin"/><Relationship Id="rId6970" Type="http://schemas.openxmlformats.org/officeDocument/2006/relationships/oleObject" Target="embeddings/oleObject3470.bin"/><Relationship Id="rId7607" Type="http://schemas.openxmlformats.org/officeDocument/2006/relationships/oleObject" Target="embeddings/oleObject3788.bin"/><Relationship Id="rId321" Type="http://schemas.openxmlformats.org/officeDocument/2006/relationships/oleObject" Target="embeddings/oleObject155.bin"/><Relationship Id="rId2002" Type="http://schemas.openxmlformats.org/officeDocument/2006/relationships/image" Target="media/image1007.wmf"/><Relationship Id="rId5158" Type="http://schemas.openxmlformats.org/officeDocument/2006/relationships/image" Target="media/image2589.wmf"/><Relationship Id="rId5572" Type="http://schemas.openxmlformats.org/officeDocument/2006/relationships/oleObject" Target="embeddings/oleObject2775.bin"/><Relationship Id="rId6209" Type="http://schemas.openxmlformats.org/officeDocument/2006/relationships/image" Target="media/image3115.wmf"/><Relationship Id="rId6623" Type="http://schemas.openxmlformats.org/officeDocument/2006/relationships/image" Target="media/image3321.wmf"/><Relationship Id="rId9779" Type="http://schemas.openxmlformats.org/officeDocument/2006/relationships/oleObject" Target="embeddings/oleObject4861.bin"/><Relationship Id="rId12010" Type="http://schemas.openxmlformats.org/officeDocument/2006/relationships/image" Target="media/image6018.wmf"/><Relationship Id="rId1768" Type="http://schemas.openxmlformats.org/officeDocument/2006/relationships/image" Target="media/image890.wmf"/><Relationship Id="rId2819" Type="http://schemas.openxmlformats.org/officeDocument/2006/relationships/oleObject" Target="embeddings/oleObject1397.bin"/><Relationship Id="rId4174" Type="http://schemas.openxmlformats.org/officeDocument/2006/relationships/oleObject" Target="embeddings/oleObject2078.bin"/><Relationship Id="rId5225" Type="http://schemas.openxmlformats.org/officeDocument/2006/relationships/image" Target="media/image2623.wmf"/><Relationship Id="rId8795" Type="http://schemas.openxmlformats.org/officeDocument/2006/relationships/image" Target="media/image4407.wmf"/><Relationship Id="rId9846" Type="http://schemas.openxmlformats.org/officeDocument/2006/relationships/oleObject" Target="embeddings/oleObject4895.bin"/><Relationship Id="rId14182" Type="http://schemas.openxmlformats.org/officeDocument/2006/relationships/oleObject" Target="embeddings/oleObject7037.bin"/><Relationship Id="rId3190" Type="http://schemas.openxmlformats.org/officeDocument/2006/relationships/oleObject" Target="embeddings/oleObject1583.bin"/><Relationship Id="rId4241" Type="http://schemas.openxmlformats.org/officeDocument/2006/relationships/image" Target="media/image2131.wmf"/><Relationship Id="rId7397" Type="http://schemas.openxmlformats.org/officeDocument/2006/relationships/oleObject" Target="embeddings/oleObject3683.bin"/><Relationship Id="rId8448" Type="http://schemas.openxmlformats.org/officeDocument/2006/relationships/image" Target="media/image4233.wmf"/><Relationship Id="rId11776" Type="http://schemas.openxmlformats.org/officeDocument/2006/relationships/image" Target="media/image5901.wmf"/><Relationship Id="rId12827" Type="http://schemas.openxmlformats.org/officeDocument/2006/relationships/image" Target="media/image6428.wmf"/><Relationship Id="rId1835" Type="http://schemas.openxmlformats.org/officeDocument/2006/relationships/oleObject" Target="embeddings/oleObject905.bin"/><Relationship Id="rId7464" Type="http://schemas.openxmlformats.org/officeDocument/2006/relationships/image" Target="media/image3741.wmf"/><Relationship Id="rId8862" Type="http://schemas.openxmlformats.org/officeDocument/2006/relationships/oleObject" Target="embeddings/oleObject4411.bin"/><Relationship Id="rId9913" Type="http://schemas.openxmlformats.org/officeDocument/2006/relationships/image" Target="media/image4965.wmf"/><Relationship Id="rId10378" Type="http://schemas.openxmlformats.org/officeDocument/2006/relationships/oleObject" Target="embeddings/oleObject5156.bin"/><Relationship Id="rId10792" Type="http://schemas.openxmlformats.org/officeDocument/2006/relationships/image" Target="media/image5405.wmf"/><Relationship Id="rId11429" Type="http://schemas.openxmlformats.org/officeDocument/2006/relationships/image" Target="media/image5726.wmf"/><Relationship Id="rId11843" Type="http://schemas.openxmlformats.org/officeDocument/2006/relationships/oleObject" Target="embeddings/oleObject5873.bin"/><Relationship Id="rId1902" Type="http://schemas.openxmlformats.org/officeDocument/2006/relationships/image" Target="media/image957.wmf"/><Relationship Id="rId6066" Type="http://schemas.openxmlformats.org/officeDocument/2006/relationships/oleObject" Target="embeddings/oleObject3022.bin"/><Relationship Id="rId7117" Type="http://schemas.openxmlformats.org/officeDocument/2006/relationships/image" Target="media/image3568.wmf"/><Relationship Id="rId8515" Type="http://schemas.openxmlformats.org/officeDocument/2006/relationships/oleObject" Target="embeddings/oleObject4242.bin"/><Relationship Id="rId10445" Type="http://schemas.openxmlformats.org/officeDocument/2006/relationships/oleObject" Target="embeddings/oleObject5189.bin"/><Relationship Id="rId11910" Type="http://schemas.openxmlformats.org/officeDocument/2006/relationships/image" Target="media/image5968.wmf"/><Relationship Id="rId6480" Type="http://schemas.openxmlformats.org/officeDocument/2006/relationships/oleObject" Target="embeddings/oleObject3230.bin"/><Relationship Id="rId7531" Type="http://schemas.openxmlformats.org/officeDocument/2006/relationships/oleObject" Target="embeddings/oleObject3750.bin"/><Relationship Id="rId10512" Type="http://schemas.openxmlformats.org/officeDocument/2006/relationships/image" Target="media/image5265.wmf"/><Relationship Id="rId13668" Type="http://schemas.openxmlformats.org/officeDocument/2006/relationships/image" Target="media/image6849.wmf"/><Relationship Id="rId995" Type="http://schemas.openxmlformats.org/officeDocument/2006/relationships/image" Target="media/image503.wmf"/><Relationship Id="rId2676" Type="http://schemas.openxmlformats.org/officeDocument/2006/relationships/image" Target="media/image1348.wmf"/><Relationship Id="rId3727" Type="http://schemas.openxmlformats.org/officeDocument/2006/relationships/oleObject" Target="embeddings/oleObject1854.bin"/><Relationship Id="rId5082" Type="http://schemas.openxmlformats.org/officeDocument/2006/relationships/image" Target="media/image2551.wmf"/><Relationship Id="rId6133" Type="http://schemas.openxmlformats.org/officeDocument/2006/relationships/image" Target="media/image3077.wmf"/><Relationship Id="rId9289" Type="http://schemas.openxmlformats.org/officeDocument/2006/relationships/oleObject" Target="embeddings/oleObject4625.bin"/><Relationship Id="rId12684" Type="http://schemas.openxmlformats.org/officeDocument/2006/relationships/oleObject" Target="embeddings/oleObject6291.bin"/><Relationship Id="rId648" Type="http://schemas.openxmlformats.org/officeDocument/2006/relationships/image" Target="media/image325.wmf"/><Relationship Id="rId1278" Type="http://schemas.openxmlformats.org/officeDocument/2006/relationships/image" Target="media/image644.wmf"/><Relationship Id="rId1692" Type="http://schemas.openxmlformats.org/officeDocument/2006/relationships/image" Target="media/image852.wmf"/><Relationship Id="rId2329" Type="http://schemas.openxmlformats.org/officeDocument/2006/relationships/image" Target="media/image1173.wmf"/><Relationship Id="rId2743" Type="http://schemas.openxmlformats.org/officeDocument/2006/relationships/oleObject" Target="embeddings/oleObject1359.bin"/><Relationship Id="rId5899" Type="http://schemas.openxmlformats.org/officeDocument/2006/relationships/image" Target="media/image2960.wmf"/><Relationship Id="rId6200" Type="http://schemas.openxmlformats.org/officeDocument/2006/relationships/oleObject" Target="embeddings/oleObject3089.bin"/><Relationship Id="rId9356" Type="http://schemas.openxmlformats.org/officeDocument/2006/relationships/image" Target="media/image4687.wmf"/><Relationship Id="rId9770" Type="http://schemas.openxmlformats.org/officeDocument/2006/relationships/image" Target="media/image4894.wmf"/><Relationship Id="rId11286" Type="http://schemas.openxmlformats.org/officeDocument/2006/relationships/oleObject" Target="embeddings/oleObject5596.bin"/><Relationship Id="rId12337" Type="http://schemas.openxmlformats.org/officeDocument/2006/relationships/image" Target="media/image6183.wmf"/><Relationship Id="rId13735" Type="http://schemas.openxmlformats.org/officeDocument/2006/relationships/image" Target="media/image6882.wmf"/><Relationship Id="rId715" Type="http://schemas.openxmlformats.org/officeDocument/2006/relationships/oleObject" Target="embeddings/oleObject346.bin"/><Relationship Id="rId1345" Type="http://schemas.openxmlformats.org/officeDocument/2006/relationships/oleObject" Target="embeddings/oleObject662.bin"/><Relationship Id="rId8372" Type="http://schemas.openxmlformats.org/officeDocument/2006/relationships/image" Target="media/image4195.wmf"/><Relationship Id="rId9009" Type="http://schemas.openxmlformats.org/officeDocument/2006/relationships/image" Target="media/image4514.wmf"/><Relationship Id="rId9423" Type="http://schemas.openxmlformats.org/officeDocument/2006/relationships/oleObject" Target="embeddings/oleObject4692.bin"/><Relationship Id="rId12751" Type="http://schemas.openxmlformats.org/officeDocument/2006/relationships/image" Target="media/image6390.wmf"/><Relationship Id="rId13802" Type="http://schemas.openxmlformats.org/officeDocument/2006/relationships/oleObject" Target="embeddings/oleObject6847.bin"/><Relationship Id="rId2810" Type="http://schemas.openxmlformats.org/officeDocument/2006/relationships/image" Target="media/image1415.wmf"/><Relationship Id="rId4568" Type="http://schemas.openxmlformats.org/officeDocument/2006/relationships/image" Target="media/image2294.wmf"/><Relationship Id="rId5966" Type="http://schemas.openxmlformats.org/officeDocument/2006/relationships/oleObject" Target="embeddings/oleObject2972.bin"/><Relationship Id="rId8025" Type="http://schemas.openxmlformats.org/officeDocument/2006/relationships/oleObject" Target="embeddings/oleObject3997.bin"/><Relationship Id="rId11353" Type="http://schemas.openxmlformats.org/officeDocument/2006/relationships/image" Target="media/image5688.wmf"/><Relationship Id="rId12404" Type="http://schemas.openxmlformats.org/officeDocument/2006/relationships/oleObject" Target="embeddings/oleObject6151.bin"/><Relationship Id="rId51" Type="http://schemas.openxmlformats.org/officeDocument/2006/relationships/image" Target="media/image23.wmf"/><Relationship Id="rId1412" Type="http://schemas.openxmlformats.org/officeDocument/2006/relationships/image" Target="media/image711.wmf"/><Relationship Id="rId4982" Type="http://schemas.openxmlformats.org/officeDocument/2006/relationships/image" Target="media/image2501.wmf"/><Relationship Id="rId5619" Type="http://schemas.openxmlformats.org/officeDocument/2006/relationships/image" Target="media/image2820.wmf"/><Relationship Id="rId7041" Type="http://schemas.openxmlformats.org/officeDocument/2006/relationships/image" Target="media/image3530.wmf"/><Relationship Id="rId11006" Type="http://schemas.openxmlformats.org/officeDocument/2006/relationships/image" Target="media/image5513.wmf"/><Relationship Id="rId11420" Type="http://schemas.openxmlformats.org/officeDocument/2006/relationships/oleObject" Target="embeddings/oleObject5663.bin"/><Relationship Id="rId14576" Type="http://schemas.openxmlformats.org/officeDocument/2006/relationships/oleObject" Target="embeddings/oleObject7228.bin"/><Relationship Id="rId3584" Type="http://schemas.openxmlformats.org/officeDocument/2006/relationships/image" Target="media/image1803.wmf"/><Relationship Id="rId4635" Type="http://schemas.openxmlformats.org/officeDocument/2006/relationships/oleObject" Target="embeddings/oleObject2309.bin"/><Relationship Id="rId10022" Type="http://schemas.openxmlformats.org/officeDocument/2006/relationships/oleObject" Target="embeddings/oleObject4980.bin"/><Relationship Id="rId13178" Type="http://schemas.openxmlformats.org/officeDocument/2006/relationships/oleObject" Target="embeddings/oleObject6536.bin"/><Relationship Id="rId13592" Type="http://schemas.openxmlformats.org/officeDocument/2006/relationships/image" Target="media/image6811.wmf"/><Relationship Id="rId14229" Type="http://schemas.openxmlformats.org/officeDocument/2006/relationships/image" Target="media/image7129.wmf"/><Relationship Id="rId158" Type="http://schemas.openxmlformats.org/officeDocument/2006/relationships/image" Target="media/image78.wmf"/><Relationship Id="rId2186" Type="http://schemas.openxmlformats.org/officeDocument/2006/relationships/image" Target="media/image1099.wmf"/><Relationship Id="rId3237" Type="http://schemas.openxmlformats.org/officeDocument/2006/relationships/image" Target="media/image1628.wmf"/><Relationship Id="rId3651" Type="http://schemas.openxmlformats.org/officeDocument/2006/relationships/oleObject" Target="embeddings/oleObject1816.bin"/><Relationship Id="rId4702" Type="http://schemas.openxmlformats.org/officeDocument/2006/relationships/image" Target="media/image2361.wmf"/><Relationship Id="rId7858" Type="http://schemas.openxmlformats.org/officeDocument/2006/relationships/image" Target="media/image3938.wmf"/><Relationship Id="rId8909" Type="http://schemas.openxmlformats.org/officeDocument/2006/relationships/image" Target="media/image4464.wmf"/><Relationship Id="rId12194" Type="http://schemas.openxmlformats.org/officeDocument/2006/relationships/image" Target="media/image6110.wmf"/><Relationship Id="rId13245" Type="http://schemas.openxmlformats.org/officeDocument/2006/relationships/image" Target="media/image6637.wmf"/><Relationship Id="rId572" Type="http://schemas.openxmlformats.org/officeDocument/2006/relationships/image" Target="media/image287.wmf"/><Relationship Id="rId2253" Type="http://schemas.openxmlformats.org/officeDocument/2006/relationships/image" Target="media/image1133.wmf"/><Relationship Id="rId3304" Type="http://schemas.openxmlformats.org/officeDocument/2006/relationships/image" Target="media/image1661.wmf"/><Relationship Id="rId6874" Type="http://schemas.openxmlformats.org/officeDocument/2006/relationships/oleObject" Target="embeddings/oleObject3422.bin"/><Relationship Id="rId7925" Type="http://schemas.openxmlformats.org/officeDocument/2006/relationships/oleObject" Target="embeddings/oleObject3947.bin"/><Relationship Id="rId9280" Type="http://schemas.openxmlformats.org/officeDocument/2006/relationships/image" Target="media/image4649.wmf"/><Relationship Id="rId10839" Type="http://schemas.openxmlformats.org/officeDocument/2006/relationships/oleObject" Target="embeddings/oleObject5382.bin"/><Relationship Id="rId12261" Type="http://schemas.openxmlformats.org/officeDocument/2006/relationships/oleObject" Target="embeddings/oleObject6082.bin"/><Relationship Id="rId13312" Type="http://schemas.openxmlformats.org/officeDocument/2006/relationships/oleObject" Target="embeddings/oleObject6603.bin"/><Relationship Id="rId225" Type="http://schemas.openxmlformats.org/officeDocument/2006/relationships/oleObject" Target="embeddings/oleObject107.bin"/><Relationship Id="rId2320" Type="http://schemas.openxmlformats.org/officeDocument/2006/relationships/oleObject" Target="embeddings/oleObject1149.bin"/><Relationship Id="rId5476" Type="http://schemas.openxmlformats.org/officeDocument/2006/relationships/oleObject" Target="embeddings/oleObject2727.bin"/><Relationship Id="rId6527" Type="http://schemas.openxmlformats.org/officeDocument/2006/relationships/image" Target="media/image3273.wmf"/><Relationship Id="rId10906" Type="http://schemas.openxmlformats.org/officeDocument/2006/relationships/image" Target="media/image5462.wmf"/><Relationship Id="rId4078" Type="http://schemas.openxmlformats.org/officeDocument/2006/relationships/oleObject" Target="embeddings/oleObject2030.bin"/><Relationship Id="rId4492" Type="http://schemas.openxmlformats.org/officeDocument/2006/relationships/image" Target="media/image2256.wmf"/><Relationship Id="rId5129" Type="http://schemas.openxmlformats.org/officeDocument/2006/relationships/oleObject" Target="embeddings/oleObject2554.bin"/><Relationship Id="rId5543" Type="http://schemas.openxmlformats.org/officeDocument/2006/relationships/image" Target="media/image2782.wmf"/><Relationship Id="rId5890" Type="http://schemas.openxmlformats.org/officeDocument/2006/relationships/oleObject" Target="embeddings/oleObject2934.bin"/><Relationship Id="rId6941" Type="http://schemas.openxmlformats.org/officeDocument/2006/relationships/image" Target="media/image3480.wmf"/><Relationship Id="rId8699" Type="http://schemas.openxmlformats.org/officeDocument/2006/relationships/image" Target="media/image4359.wmf"/><Relationship Id="rId9000" Type="http://schemas.openxmlformats.org/officeDocument/2006/relationships/oleObject" Target="embeddings/oleObject4480.bin"/><Relationship Id="rId14086" Type="http://schemas.openxmlformats.org/officeDocument/2006/relationships/oleObject" Target="embeddings/oleObject6989.bin"/><Relationship Id="rId3094" Type="http://schemas.openxmlformats.org/officeDocument/2006/relationships/oleObject" Target="embeddings/oleObject1535.bin"/><Relationship Id="rId4145" Type="http://schemas.openxmlformats.org/officeDocument/2006/relationships/image" Target="media/image2083.wmf"/><Relationship Id="rId1739" Type="http://schemas.openxmlformats.org/officeDocument/2006/relationships/oleObject" Target="embeddings/oleObject857.bin"/><Relationship Id="rId5610" Type="http://schemas.openxmlformats.org/officeDocument/2006/relationships/oleObject" Target="embeddings/oleObject2794.bin"/><Relationship Id="rId8766" Type="http://schemas.openxmlformats.org/officeDocument/2006/relationships/oleObject" Target="embeddings/oleObject4366.bin"/><Relationship Id="rId9817" Type="http://schemas.openxmlformats.org/officeDocument/2006/relationships/oleObject" Target="embeddings/oleObject4880.bin"/><Relationship Id="rId10696" Type="http://schemas.openxmlformats.org/officeDocument/2006/relationships/image" Target="media/image5357.wmf"/><Relationship Id="rId11747" Type="http://schemas.openxmlformats.org/officeDocument/2006/relationships/oleObject" Target="embeddings/oleObject5825.bin"/><Relationship Id="rId14153" Type="http://schemas.openxmlformats.org/officeDocument/2006/relationships/image" Target="media/image7091.wmf"/><Relationship Id="rId1806" Type="http://schemas.openxmlformats.org/officeDocument/2006/relationships/image" Target="media/image909.wmf"/><Relationship Id="rId3161" Type="http://schemas.openxmlformats.org/officeDocument/2006/relationships/image" Target="media/image1590.wmf"/><Relationship Id="rId4212" Type="http://schemas.openxmlformats.org/officeDocument/2006/relationships/oleObject" Target="embeddings/oleObject2097.bin"/><Relationship Id="rId7368" Type="http://schemas.openxmlformats.org/officeDocument/2006/relationships/image" Target="media/image3693.wmf"/><Relationship Id="rId7782" Type="http://schemas.openxmlformats.org/officeDocument/2006/relationships/image" Target="media/image3900.wmf"/><Relationship Id="rId8419" Type="http://schemas.openxmlformats.org/officeDocument/2006/relationships/oleObject" Target="embeddings/oleObject4194.bin"/><Relationship Id="rId8833" Type="http://schemas.openxmlformats.org/officeDocument/2006/relationships/image" Target="media/image4426.wmf"/><Relationship Id="rId10349" Type="http://schemas.openxmlformats.org/officeDocument/2006/relationships/image" Target="media/image5183.wmf"/><Relationship Id="rId10763" Type="http://schemas.openxmlformats.org/officeDocument/2006/relationships/oleObject" Target="embeddings/oleObject5344.bin"/><Relationship Id="rId14220" Type="http://schemas.openxmlformats.org/officeDocument/2006/relationships/oleObject" Target="embeddings/oleObject7056.bin"/><Relationship Id="rId3978" Type="http://schemas.openxmlformats.org/officeDocument/2006/relationships/oleObject" Target="embeddings/oleObject1980.bin"/><Relationship Id="rId6384" Type="http://schemas.openxmlformats.org/officeDocument/2006/relationships/oleObject" Target="embeddings/oleObject3182.bin"/><Relationship Id="rId7435" Type="http://schemas.openxmlformats.org/officeDocument/2006/relationships/oleObject" Target="embeddings/oleObject3702.bin"/><Relationship Id="rId8900" Type="http://schemas.openxmlformats.org/officeDocument/2006/relationships/oleObject" Target="embeddings/oleObject4430.bin"/><Relationship Id="rId10416" Type="http://schemas.openxmlformats.org/officeDocument/2006/relationships/image" Target="media/image5217.wmf"/><Relationship Id="rId11814" Type="http://schemas.openxmlformats.org/officeDocument/2006/relationships/image" Target="media/image5920.wmf"/><Relationship Id="rId899" Type="http://schemas.openxmlformats.org/officeDocument/2006/relationships/oleObject" Target="embeddings/oleObject441.bin"/><Relationship Id="rId6037" Type="http://schemas.openxmlformats.org/officeDocument/2006/relationships/image" Target="media/image3029.wmf"/><Relationship Id="rId6451" Type="http://schemas.openxmlformats.org/officeDocument/2006/relationships/image" Target="media/image3235.wmf"/><Relationship Id="rId7502" Type="http://schemas.openxmlformats.org/officeDocument/2006/relationships/image" Target="media/image3760.wmf"/><Relationship Id="rId10830" Type="http://schemas.openxmlformats.org/officeDocument/2006/relationships/image" Target="media/image5424.wmf"/><Relationship Id="rId13986" Type="http://schemas.openxmlformats.org/officeDocument/2006/relationships/oleObject" Target="embeddings/oleObject6939.bin"/><Relationship Id="rId966" Type="http://schemas.openxmlformats.org/officeDocument/2006/relationships/oleObject" Target="embeddings/oleObject474.bin"/><Relationship Id="rId1596" Type="http://schemas.openxmlformats.org/officeDocument/2006/relationships/image" Target="media/image804.wmf"/><Relationship Id="rId2647" Type="http://schemas.openxmlformats.org/officeDocument/2006/relationships/oleObject" Target="embeddings/oleObject1311.bin"/><Relationship Id="rId2994" Type="http://schemas.openxmlformats.org/officeDocument/2006/relationships/oleObject" Target="embeddings/oleObject1485.bin"/><Relationship Id="rId5053" Type="http://schemas.openxmlformats.org/officeDocument/2006/relationships/oleObject" Target="embeddings/oleObject2516.bin"/><Relationship Id="rId6104" Type="http://schemas.openxmlformats.org/officeDocument/2006/relationships/oleObject" Target="embeddings/oleObject3041.bin"/><Relationship Id="rId9674" Type="http://schemas.openxmlformats.org/officeDocument/2006/relationships/image" Target="media/image4846.wmf"/><Relationship Id="rId12588" Type="http://schemas.openxmlformats.org/officeDocument/2006/relationships/oleObject" Target="embeddings/oleObject6243.bin"/><Relationship Id="rId13639" Type="http://schemas.openxmlformats.org/officeDocument/2006/relationships/oleObject" Target="embeddings/oleObject6765.bin"/><Relationship Id="rId619" Type="http://schemas.openxmlformats.org/officeDocument/2006/relationships/oleObject" Target="embeddings/oleObject299.bin"/><Relationship Id="rId1249" Type="http://schemas.openxmlformats.org/officeDocument/2006/relationships/oleObject" Target="embeddings/oleObject614.bin"/><Relationship Id="rId5120" Type="http://schemas.openxmlformats.org/officeDocument/2006/relationships/image" Target="media/image2570.wmf"/><Relationship Id="rId8276" Type="http://schemas.openxmlformats.org/officeDocument/2006/relationships/image" Target="media/image4147.wmf"/><Relationship Id="rId9327" Type="http://schemas.openxmlformats.org/officeDocument/2006/relationships/oleObject" Target="embeddings/oleObject4644.bin"/><Relationship Id="rId12655" Type="http://schemas.openxmlformats.org/officeDocument/2006/relationships/image" Target="media/image6342.wmf"/><Relationship Id="rId13706" Type="http://schemas.openxmlformats.org/officeDocument/2006/relationships/oleObject" Target="embeddings/oleObject6799.bin"/><Relationship Id="rId1663" Type="http://schemas.openxmlformats.org/officeDocument/2006/relationships/oleObject" Target="embeddings/oleObject819.bin"/><Relationship Id="rId2714" Type="http://schemas.openxmlformats.org/officeDocument/2006/relationships/image" Target="media/image1367.wmf"/><Relationship Id="rId8690" Type="http://schemas.openxmlformats.org/officeDocument/2006/relationships/oleObject" Target="embeddings/oleObject4328.bin"/><Relationship Id="rId9741" Type="http://schemas.openxmlformats.org/officeDocument/2006/relationships/oleObject" Target="embeddings/oleObject4842.bin"/><Relationship Id="rId11257" Type="http://schemas.openxmlformats.org/officeDocument/2006/relationships/image" Target="media/image5640.wmf"/><Relationship Id="rId11671" Type="http://schemas.openxmlformats.org/officeDocument/2006/relationships/image" Target="media/image5847.png"/><Relationship Id="rId12308" Type="http://schemas.openxmlformats.org/officeDocument/2006/relationships/oleObject" Target="embeddings/oleObject6103.bin"/><Relationship Id="rId12722" Type="http://schemas.openxmlformats.org/officeDocument/2006/relationships/oleObject" Target="embeddings/oleObject6310.bin"/><Relationship Id="rId1316" Type="http://schemas.openxmlformats.org/officeDocument/2006/relationships/image" Target="media/image663.wmf"/><Relationship Id="rId1730" Type="http://schemas.openxmlformats.org/officeDocument/2006/relationships/image" Target="media/image871.wmf"/><Relationship Id="rId4886" Type="http://schemas.openxmlformats.org/officeDocument/2006/relationships/image" Target="media/image2453.wmf"/><Relationship Id="rId5937" Type="http://schemas.openxmlformats.org/officeDocument/2006/relationships/image" Target="media/image2979.wmf"/><Relationship Id="rId7292" Type="http://schemas.openxmlformats.org/officeDocument/2006/relationships/image" Target="media/image3655.wmf"/><Relationship Id="rId8343" Type="http://schemas.openxmlformats.org/officeDocument/2006/relationships/oleObject" Target="embeddings/oleObject4156.bin"/><Relationship Id="rId10273" Type="http://schemas.openxmlformats.org/officeDocument/2006/relationships/image" Target="media/image5145.wmf"/><Relationship Id="rId11324" Type="http://schemas.openxmlformats.org/officeDocument/2006/relationships/oleObject" Target="embeddings/oleObject5615.bin"/><Relationship Id="rId22" Type="http://schemas.openxmlformats.org/officeDocument/2006/relationships/oleObject" Target="embeddings/oleObject7.bin"/><Relationship Id="rId3488" Type="http://schemas.openxmlformats.org/officeDocument/2006/relationships/image" Target="media/image1755.wmf"/><Relationship Id="rId4539" Type="http://schemas.openxmlformats.org/officeDocument/2006/relationships/oleObject" Target="embeddings/oleObject2261.bin"/><Relationship Id="rId4953" Type="http://schemas.openxmlformats.org/officeDocument/2006/relationships/oleObject" Target="embeddings/oleObject2466.bin"/><Relationship Id="rId8410" Type="http://schemas.openxmlformats.org/officeDocument/2006/relationships/image" Target="media/image4214.wmf"/><Relationship Id="rId10340" Type="http://schemas.openxmlformats.org/officeDocument/2006/relationships/oleObject" Target="embeddings/oleObject5137.bin"/><Relationship Id="rId13496" Type="http://schemas.openxmlformats.org/officeDocument/2006/relationships/image" Target="media/image6763.wmf"/><Relationship Id="rId14547" Type="http://schemas.openxmlformats.org/officeDocument/2006/relationships/image" Target="media/image7288.wmf"/><Relationship Id="rId3555" Type="http://schemas.openxmlformats.org/officeDocument/2006/relationships/oleObject" Target="embeddings/oleObject1768.bin"/><Relationship Id="rId4606" Type="http://schemas.openxmlformats.org/officeDocument/2006/relationships/image" Target="media/image2313.wmf"/><Relationship Id="rId7012" Type="http://schemas.openxmlformats.org/officeDocument/2006/relationships/oleObject" Target="embeddings/oleObject3491.bin"/><Relationship Id="rId12098" Type="http://schemas.openxmlformats.org/officeDocument/2006/relationships/image" Target="media/image6062.wmf"/><Relationship Id="rId13149" Type="http://schemas.openxmlformats.org/officeDocument/2006/relationships/image" Target="media/image6589.wmf"/><Relationship Id="rId476" Type="http://schemas.openxmlformats.org/officeDocument/2006/relationships/oleObject" Target="embeddings/oleObject229.bin"/><Relationship Id="rId890" Type="http://schemas.openxmlformats.org/officeDocument/2006/relationships/image" Target="media/image450.wmf"/><Relationship Id="rId2157" Type="http://schemas.openxmlformats.org/officeDocument/2006/relationships/oleObject" Target="embeddings/oleObject1066.bin"/><Relationship Id="rId2571" Type="http://schemas.openxmlformats.org/officeDocument/2006/relationships/oleObject" Target="embeddings/oleObject1273.bin"/><Relationship Id="rId3208" Type="http://schemas.openxmlformats.org/officeDocument/2006/relationships/oleObject" Target="embeddings/oleObject1592.bin"/><Relationship Id="rId6778" Type="http://schemas.openxmlformats.org/officeDocument/2006/relationships/oleObject" Target="embeddings/oleObject3376.bin"/><Relationship Id="rId9184" Type="http://schemas.openxmlformats.org/officeDocument/2006/relationships/image" Target="media/image4601.wmf"/><Relationship Id="rId12165" Type="http://schemas.openxmlformats.org/officeDocument/2006/relationships/oleObject" Target="embeddings/oleObject6034.bin"/><Relationship Id="rId13563" Type="http://schemas.openxmlformats.org/officeDocument/2006/relationships/oleObject" Target="embeddings/oleObject6727.bin"/><Relationship Id="rId129" Type="http://schemas.openxmlformats.org/officeDocument/2006/relationships/image" Target="media/image62.wmf"/><Relationship Id="rId543" Type="http://schemas.openxmlformats.org/officeDocument/2006/relationships/image" Target="media/image271.emf"/><Relationship Id="rId1173" Type="http://schemas.openxmlformats.org/officeDocument/2006/relationships/image" Target="media/image592.wmf"/><Relationship Id="rId2224" Type="http://schemas.openxmlformats.org/officeDocument/2006/relationships/image" Target="media/image1118.wmf"/><Relationship Id="rId3622" Type="http://schemas.openxmlformats.org/officeDocument/2006/relationships/image" Target="media/image1822.wmf"/><Relationship Id="rId7829" Type="http://schemas.openxmlformats.org/officeDocument/2006/relationships/oleObject" Target="embeddings/oleObject3899.bin"/><Relationship Id="rId9251" Type="http://schemas.openxmlformats.org/officeDocument/2006/relationships/oleObject" Target="embeddings/oleObject4606.bin"/><Relationship Id="rId13216" Type="http://schemas.openxmlformats.org/officeDocument/2006/relationships/oleObject" Target="embeddings/oleObject6555.bin"/><Relationship Id="rId13630" Type="http://schemas.openxmlformats.org/officeDocument/2006/relationships/image" Target="media/image6830.wmf"/><Relationship Id="rId5794" Type="http://schemas.openxmlformats.org/officeDocument/2006/relationships/oleObject" Target="embeddings/oleObject2886.bin"/><Relationship Id="rId6845" Type="http://schemas.openxmlformats.org/officeDocument/2006/relationships/image" Target="media/image3432.wmf"/><Relationship Id="rId11181" Type="http://schemas.openxmlformats.org/officeDocument/2006/relationships/image" Target="media/image5602.wmf"/><Relationship Id="rId12232" Type="http://schemas.openxmlformats.org/officeDocument/2006/relationships/image" Target="media/image6129.wmf"/><Relationship Id="rId610" Type="http://schemas.openxmlformats.org/officeDocument/2006/relationships/image" Target="media/image306.wmf"/><Relationship Id="rId1240" Type="http://schemas.openxmlformats.org/officeDocument/2006/relationships/image" Target="media/image625.wmf"/><Relationship Id="rId4049" Type="http://schemas.openxmlformats.org/officeDocument/2006/relationships/image" Target="media/image2035.wmf"/><Relationship Id="rId4396" Type="http://schemas.openxmlformats.org/officeDocument/2006/relationships/image" Target="media/image2208.wmf"/><Relationship Id="rId5447" Type="http://schemas.openxmlformats.org/officeDocument/2006/relationships/image" Target="media/image2734.wmf"/><Relationship Id="rId5861" Type="http://schemas.openxmlformats.org/officeDocument/2006/relationships/image" Target="media/image2941.wmf"/><Relationship Id="rId6912" Type="http://schemas.openxmlformats.org/officeDocument/2006/relationships/oleObject" Target="embeddings/oleObject3441.bin"/><Relationship Id="rId11998" Type="http://schemas.openxmlformats.org/officeDocument/2006/relationships/image" Target="media/image6012.wmf"/><Relationship Id="rId4463" Type="http://schemas.openxmlformats.org/officeDocument/2006/relationships/oleObject" Target="embeddings/oleObject2223.bin"/><Relationship Id="rId5514" Type="http://schemas.openxmlformats.org/officeDocument/2006/relationships/oleObject" Target="embeddings/oleObject2746.bin"/><Relationship Id="rId14057" Type="http://schemas.openxmlformats.org/officeDocument/2006/relationships/image" Target="media/image7043.wmf"/><Relationship Id="rId14471" Type="http://schemas.openxmlformats.org/officeDocument/2006/relationships/image" Target="media/image7250.wmf"/><Relationship Id="rId3065" Type="http://schemas.openxmlformats.org/officeDocument/2006/relationships/image" Target="media/image1542.wmf"/><Relationship Id="rId4116" Type="http://schemas.openxmlformats.org/officeDocument/2006/relationships/oleObject" Target="embeddings/oleObject2049.bin"/><Relationship Id="rId4530" Type="http://schemas.openxmlformats.org/officeDocument/2006/relationships/image" Target="media/image2275.wmf"/><Relationship Id="rId7686" Type="http://schemas.openxmlformats.org/officeDocument/2006/relationships/image" Target="media/image3852.wmf"/><Relationship Id="rId8737" Type="http://schemas.openxmlformats.org/officeDocument/2006/relationships/image" Target="media/image4378.wmf"/><Relationship Id="rId13073" Type="http://schemas.openxmlformats.org/officeDocument/2006/relationships/image" Target="media/image6551.wmf"/><Relationship Id="rId14124" Type="http://schemas.openxmlformats.org/officeDocument/2006/relationships/oleObject" Target="embeddings/oleObject7008.bin"/><Relationship Id="rId2081" Type="http://schemas.openxmlformats.org/officeDocument/2006/relationships/oleObject" Target="embeddings/oleObject1028.bin"/><Relationship Id="rId3132" Type="http://schemas.openxmlformats.org/officeDocument/2006/relationships/oleObject" Target="embeddings/oleObject1554.bin"/><Relationship Id="rId6288" Type="http://schemas.openxmlformats.org/officeDocument/2006/relationships/oleObject" Target="embeddings/oleObject3133.bin"/><Relationship Id="rId7339" Type="http://schemas.openxmlformats.org/officeDocument/2006/relationships/oleObject" Target="embeddings/oleObject3654.bin"/><Relationship Id="rId7753" Type="http://schemas.openxmlformats.org/officeDocument/2006/relationships/oleObject" Target="embeddings/oleObject3861.bin"/><Relationship Id="rId10667" Type="http://schemas.openxmlformats.org/officeDocument/2006/relationships/oleObject" Target="embeddings/oleObject5298.bin"/><Relationship Id="rId11718" Type="http://schemas.openxmlformats.org/officeDocument/2006/relationships/image" Target="media/image5872.wmf"/><Relationship Id="rId13140" Type="http://schemas.openxmlformats.org/officeDocument/2006/relationships/oleObject" Target="embeddings/oleObject6517.bin"/><Relationship Id="rId6355" Type="http://schemas.openxmlformats.org/officeDocument/2006/relationships/image" Target="media/image3187.wmf"/><Relationship Id="rId7406" Type="http://schemas.openxmlformats.org/officeDocument/2006/relationships/image" Target="media/image3712.wmf"/><Relationship Id="rId8804" Type="http://schemas.openxmlformats.org/officeDocument/2006/relationships/oleObject" Target="embeddings/oleObject4385.bin"/><Relationship Id="rId10734" Type="http://schemas.openxmlformats.org/officeDocument/2006/relationships/image" Target="media/image5376.wmf"/><Relationship Id="rId120" Type="http://schemas.openxmlformats.org/officeDocument/2006/relationships/oleObject" Target="embeddings/oleObject56.bin"/><Relationship Id="rId2898" Type="http://schemas.openxmlformats.org/officeDocument/2006/relationships/oleObject" Target="embeddings/oleObject1437.bin"/><Relationship Id="rId3949" Type="http://schemas.openxmlformats.org/officeDocument/2006/relationships/oleObject" Target="embeddings/oleObject1965.bin"/><Relationship Id="rId6008" Type="http://schemas.openxmlformats.org/officeDocument/2006/relationships/oleObject" Target="embeddings/oleObject2993.bin"/><Relationship Id="rId7820" Type="http://schemas.openxmlformats.org/officeDocument/2006/relationships/image" Target="media/image3919.wmf"/><Relationship Id="rId10801" Type="http://schemas.openxmlformats.org/officeDocument/2006/relationships/oleObject" Target="embeddings/oleObject5363.bin"/><Relationship Id="rId13957" Type="http://schemas.openxmlformats.org/officeDocument/2006/relationships/image" Target="media/image6993.wmf"/><Relationship Id="rId2965" Type="http://schemas.openxmlformats.org/officeDocument/2006/relationships/image" Target="media/image1492.wmf"/><Relationship Id="rId5024" Type="http://schemas.openxmlformats.org/officeDocument/2006/relationships/image" Target="media/image2522.wmf"/><Relationship Id="rId5371" Type="http://schemas.openxmlformats.org/officeDocument/2006/relationships/image" Target="media/image2696.wmf"/><Relationship Id="rId6422" Type="http://schemas.openxmlformats.org/officeDocument/2006/relationships/oleObject" Target="embeddings/oleObject3201.bin"/><Relationship Id="rId9578" Type="http://schemas.openxmlformats.org/officeDocument/2006/relationships/image" Target="media/image4798.wmf"/><Relationship Id="rId9992" Type="http://schemas.openxmlformats.org/officeDocument/2006/relationships/oleObject" Target="embeddings/oleObject4965.bin"/><Relationship Id="rId12559" Type="http://schemas.openxmlformats.org/officeDocument/2006/relationships/image" Target="media/image6294.wmf"/><Relationship Id="rId12973" Type="http://schemas.openxmlformats.org/officeDocument/2006/relationships/image" Target="media/image6501.wmf"/><Relationship Id="rId937" Type="http://schemas.openxmlformats.org/officeDocument/2006/relationships/image" Target="media/image474.wmf"/><Relationship Id="rId1567" Type="http://schemas.openxmlformats.org/officeDocument/2006/relationships/oleObject" Target="embeddings/oleObject770.bin"/><Relationship Id="rId1981" Type="http://schemas.openxmlformats.org/officeDocument/2006/relationships/oleObject" Target="embeddings/oleObject978.bin"/><Relationship Id="rId2618" Type="http://schemas.openxmlformats.org/officeDocument/2006/relationships/image" Target="media/image1319.wmf"/><Relationship Id="rId8594" Type="http://schemas.openxmlformats.org/officeDocument/2006/relationships/image" Target="media/image4306.wmf"/><Relationship Id="rId9645" Type="http://schemas.openxmlformats.org/officeDocument/2006/relationships/oleObject" Target="embeddings/oleObject4801.bin"/><Relationship Id="rId11575" Type="http://schemas.openxmlformats.org/officeDocument/2006/relationships/image" Target="media/image5799.wmf"/><Relationship Id="rId12626" Type="http://schemas.openxmlformats.org/officeDocument/2006/relationships/oleObject" Target="embeddings/oleObject6262.bin"/><Relationship Id="rId1634" Type="http://schemas.openxmlformats.org/officeDocument/2006/relationships/image" Target="media/image823.wmf"/><Relationship Id="rId4040" Type="http://schemas.openxmlformats.org/officeDocument/2006/relationships/oleObject" Target="embeddings/oleObject2011.bin"/><Relationship Id="rId7196" Type="http://schemas.openxmlformats.org/officeDocument/2006/relationships/image" Target="media/image3607.wmf"/><Relationship Id="rId8247" Type="http://schemas.openxmlformats.org/officeDocument/2006/relationships/oleObject" Target="embeddings/oleObject4108.bin"/><Relationship Id="rId8661" Type="http://schemas.openxmlformats.org/officeDocument/2006/relationships/image" Target="media/image4340.wmf"/><Relationship Id="rId9712" Type="http://schemas.openxmlformats.org/officeDocument/2006/relationships/image" Target="media/image4865.wmf"/><Relationship Id="rId10177" Type="http://schemas.openxmlformats.org/officeDocument/2006/relationships/image" Target="media/image5097.wmf"/><Relationship Id="rId10591" Type="http://schemas.openxmlformats.org/officeDocument/2006/relationships/oleObject" Target="embeddings/oleObject5260.bin"/><Relationship Id="rId11228" Type="http://schemas.openxmlformats.org/officeDocument/2006/relationships/oleObject" Target="embeddings/oleObject5567.bin"/><Relationship Id="rId4857" Type="http://schemas.openxmlformats.org/officeDocument/2006/relationships/oleObject" Target="embeddings/oleObject2419.bin"/><Relationship Id="rId7263" Type="http://schemas.openxmlformats.org/officeDocument/2006/relationships/oleObject" Target="embeddings/oleObject3616.bin"/><Relationship Id="rId8314" Type="http://schemas.openxmlformats.org/officeDocument/2006/relationships/image" Target="media/image4166.wmf"/><Relationship Id="rId10244" Type="http://schemas.openxmlformats.org/officeDocument/2006/relationships/oleObject" Target="embeddings/oleObject5089.bin"/><Relationship Id="rId11642" Type="http://schemas.openxmlformats.org/officeDocument/2006/relationships/oleObject" Target="embeddings/oleObject5774.bin"/><Relationship Id="rId1701" Type="http://schemas.openxmlformats.org/officeDocument/2006/relationships/oleObject" Target="embeddings/oleObject838.bin"/><Relationship Id="rId3459" Type="http://schemas.openxmlformats.org/officeDocument/2006/relationships/oleObject" Target="embeddings/oleObject1720.bin"/><Relationship Id="rId5908" Type="http://schemas.openxmlformats.org/officeDocument/2006/relationships/oleObject" Target="embeddings/oleObject2943.bin"/><Relationship Id="rId7330" Type="http://schemas.openxmlformats.org/officeDocument/2006/relationships/image" Target="media/image3674.wmf"/><Relationship Id="rId3873" Type="http://schemas.openxmlformats.org/officeDocument/2006/relationships/oleObject" Target="embeddings/oleObject1927.bin"/><Relationship Id="rId4924" Type="http://schemas.openxmlformats.org/officeDocument/2006/relationships/image" Target="media/image2472.wmf"/><Relationship Id="rId9088" Type="http://schemas.openxmlformats.org/officeDocument/2006/relationships/oleObject" Target="embeddings/oleObject4524.bin"/><Relationship Id="rId10311" Type="http://schemas.openxmlformats.org/officeDocument/2006/relationships/image" Target="media/image5164.wmf"/><Relationship Id="rId13467" Type="http://schemas.openxmlformats.org/officeDocument/2006/relationships/oleObject" Target="embeddings/oleObject6679.bin"/><Relationship Id="rId13881" Type="http://schemas.openxmlformats.org/officeDocument/2006/relationships/image" Target="media/image6955.wmf"/><Relationship Id="rId14518" Type="http://schemas.openxmlformats.org/officeDocument/2006/relationships/oleObject" Target="embeddings/oleObject7199.bin"/><Relationship Id="rId447" Type="http://schemas.openxmlformats.org/officeDocument/2006/relationships/image" Target="media/image223.wmf"/><Relationship Id="rId794" Type="http://schemas.openxmlformats.org/officeDocument/2006/relationships/image" Target="media/image402.wmf"/><Relationship Id="rId1077" Type="http://schemas.openxmlformats.org/officeDocument/2006/relationships/image" Target="media/image544.wmf"/><Relationship Id="rId2128" Type="http://schemas.openxmlformats.org/officeDocument/2006/relationships/image" Target="media/image1070.wmf"/><Relationship Id="rId2475" Type="http://schemas.openxmlformats.org/officeDocument/2006/relationships/oleObject" Target="embeddings/oleObject1225.bin"/><Relationship Id="rId3526" Type="http://schemas.openxmlformats.org/officeDocument/2006/relationships/image" Target="media/image1774.wmf"/><Relationship Id="rId3940" Type="http://schemas.openxmlformats.org/officeDocument/2006/relationships/image" Target="media/image1981.wmf"/><Relationship Id="rId9155" Type="http://schemas.openxmlformats.org/officeDocument/2006/relationships/image" Target="media/image4587.wmf"/><Relationship Id="rId12069" Type="http://schemas.openxmlformats.org/officeDocument/2006/relationships/oleObject" Target="embeddings/oleObject5986.bin"/><Relationship Id="rId12483" Type="http://schemas.openxmlformats.org/officeDocument/2006/relationships/image" Target="media/image6256.wmf"/><Relationship Id="rId13534" Type="http://schemas.openxmlformats.org/officeDocument/2006/relationships/image" Target="media/image6782.wmf"/><Relationship Id="rId861" Type="http://schemas.openxmlformats.org/officeDocument/2006/relationships/oleObject" Target="embeddings/oleObject422.bin"/><Relationship Id="rId1491" Type="http://schemas.openxmlformats.org/officeDocument/2006/relationships/oleObject" Target="embeddings/oleObject734.bin"/><Relationship Id="rId2542" Type="http://schemas.openxmlformats.org/officeDocument/2006/relationships/image" Target="media/image1281.wmf"/><Relationship Id="rId5698" Type="http://schemas.openxmlformats.org/officeDocument/2006/relationships/oleObject" Target="embeddings/oleObject2838.bin"/><Relationship Id="rId6749" Type="http://schemas.openxmlformats.org/officeDocument/2006/relationships/image" Target="media/image3384.wmf"/><Relationship Id="rId11085" Type="http://schemas.openxmlformats.org/officeDocument/2006/relationships/image" Target="media/image5554.wmf"/><Relationship Id="rId12136" Type="http://schemas.openxmlformats.org/officeDocument/2006/relationships/image" Target="media/image6081.wmf"/><Relationship Id="rId12550" Type="http://schemas.openxmlformats.org/officeDocument/2006/relationships/oleObject" Target="embeddings/oleObject6224.bin"/><Relationship Id="rId13601" Type="http://schemas.openxmlformats.org/officeDocument/2006/relationships/oleObject" Target="embeddings/oleObject6746.bin"/><Relationship Id="rId514" Type="http://schemas.openxmlformats.org/officeDocument/2006/relationships/oleObject" Target="embeddings/oleObject248.bin"/><Relationship Id="rId1144" Type="http://schemas.openxmlformats.org/officeDocument/2006/relationships/oleObject" Target="embeddings/oleObject562.bin"/><Relationship Id="rId5765" Type="http://schemas.openxmlformats.org/officeDocument/2006/relationships/image" Target="media/image2893.wmf"/><Relationship Id="rId6816" Type="http://schemas.openxmlformats.org/officeDocument/2006/relationships/oleObject" Target="embeddings/oleObject3393.bin"/><Relationship Id="rId8171" Type="http://schemas.openxmlformats.org/officeDocument/2006/relationships/oleObject" Target="embeddings/oleObject4070.bin"/><Relationship Id="rId9222" Type="http://schemas.openxmlformats.org/officeDocument/2006/relationships/image" Target="media/image4620.wmf"/><Relationship Id="rId11152" Type="http://schemas.openxmlformats.org/officeDocument/2006/relationships/oleObject" Target="embeddings/oleObject5529.bin"/><Relationship Id="rId12203" Type="http://schemas.openxmlformats.org/officeDocument/2006/relationships/oleObject" Target="embeddings/oleObject6053.bin"/><Relationship Id="rId1211" Type="http://schemas.openxmlformats.org/officeDocument/2006/relationships/oleObject" Target="embeddings/oleObject596.bin"/><Relationship Id="rId4367" Type="http://schemas.openxmlformats.org/officeDocument/2006/relationships/oleObject" Target="embeddings/oleObject2175.bin"/><Relationship Id="rId4781" Type="http://schemas.openxmlformats.org/officeDocument/2006/relationships/oleObject" Target="embeddings/oleObject2382.bin"/><Relationship Id="rId5418" Type="http://schemas.openxmlformats.org/officeDocument/2006/relationships/oleObject" Target="embeddings/oleObject2698.bin"/><Relationship Id="rId5832" Type="http://schemas.openxmlformats.org/officeDocument/2006/relationships/oleObject" Target="embeddings/oleObject2905.bin"/><Relationship Id="rId8988" Type="http://schemas.openxmlformats.org/officeDocument/2006/relationships/oleObject" Target="embeddings/oleObject4474.bin"/><Relationship Id="rId14375" Type="http://schemas.openxmlformats.org/officeDocument/2006/relationships/image" Target="media/image7202.wmf"/><Relationship Id="rId3383" Type="http://schemas.openxmlformats.org/officeDocument/2006/relationships/oleObject" Target="embeddings/oleObject1681.bin"/><Relationship Id="rId4434" Type="http://schemas.openxmlformats.org/officeDocument/2006/relationships/image" Target="media/image2227.wmf"/><Relationship Id="rId11969" Type="http://schemas.openxmlformats.org/officeDocument/2006/relationships/oleObject" Target="embeddings/oleObject5936.bin"/><Relationship Id="rId14028" Type="http://schemas.openxmlformats.org/officeDocument/2006/relationships/oleObject" Target="embeddings/oleObject6960.bin"/><Relationship Id="rId3036" Type="http://schemas.openxmlformats.org/officeDocument/2006/relationships/oleObject" Target="embeddings/oleObject1506.bin"/><Relationship Id="rId10985" Type="http://schemas.openxmlformats.org/officeDocument/2006/relationships/oleObject" Target="embeddings/oleObject5448.bin"/><Relationship Id="rId13391" Type="http://schemas.openxmlformats.org/officeDocument/2006/relationships/oleObject" Target="embeddings/oleObject6641.bin"/><Relationship Id="rId14442" Type="http://schemas.openxmlformats.org/officeDocument/2006/relationships/oleObject" Target="embeddings/oleObject7161.bin"/><Relationship Id="rId371" Type="http://schemas.openxmlformats.org/officeDocument/2006/relationships/oleObject" Target="embeddings/oleObject180.bin"/><Relationship Id="rId2052" Type="http://schemas.openxmlformats.org/officeDocument/2006/relationships/image" Target="media/image1032.wmf"/><Relationship Id="rId3450" Type="http://schemas.openxmlformats.org/officeDocument/2006/relationships/image" Target="media/image1736.wmf"/><Relationship Id="rId4501" Type="http://schemas.openxmlformats.org/officeDocument/2006/relationships/oleObject" Target="embeddings/oleObject2242.bin"/><Relationship Id="rId6259" Type="http://schemas.openxmlformats.org/officeDocument/2006/relationships/image" Target="media/image3140.wmf"/><Relationship Id="rId7657" Type="http://schemas.openxmlformats.org/officeDocument/2006/relationships/oleObject" Target="embeddings/oleObject3813.bin"/><Relationship Id="rId8708" Type="http://schemas.openxmlformats.org/officeDocument/2006/relationships/oleObject" Target="embeddings/oleObject4337.bin"/><Relationship Id="rId10638" Type="http://schemas.openxmlformats.org/officeDocument/2006/relationships/image" Target="media/image5328.wmf"/><Relationship Id="rId13044" Type="http://schemas.openxmlformats.org/officeDocument/2006/relationships/oleObject" Target="embeddings/oleObject6469.bin"/><Relationship Id="rId3103" Type="http://schemas.openxmlformats.org/officeDocument/2006/relationships/image" Target="media/image1561.wmf"/><Relationship Id="rId6673" Type="http://schemas.openxmlformats.org/officeDocument/2006/relationships/image" Target="media/image3346.wmf"/><Relationship Id="rId7724" Type="http://schemas.openxmlformats.org/officeDocument/2006/relationships/image" Target="media/image3871.wmf"/><Relationship Id="rId10705" Type="http://schemas.openxmlformats.org/officeDocument/2006/relationships/oleObject" Target="embeddings/oleObject5317.bin"/><Relationship Id="rId12060" Type="http://schemas.openxmlformats.org/officeDocument/2006/relationships/image" Target="media/image6043.wmf"/><Relationship Id="rId13111" Type="http://schemas.openxmlformats.org/officeDocument/2006/relationships/image" Target="media/image6570.wmf"/><Relationship Id="rId2869" Type="http://schemas.openxmlformats.org/officeDocument/2006/relationships/image" Target="media/image1444.wmf"/><Relationship Id="rId5275" Type="http://schemas.openxmlformats.org/officeDocument/2006/relationships/image" Target="media/image2648.wmf"/><Relationship Id="rId6326" Type="http://schemas.openxmlformats.org/officeDocument/2006/relationships/oleObject" Target="embeddings/oleObject3153.bin"/><Relationship Id="rId6740" Type="http://schemas.openxmlformats.org/officeDocument/2006/relationships/oleObject" Target="embeddings/oleObject3357.bin"/><Relationship Id="rId9896" Type="http://schemas.openxmlformats.org/officeDocument/2006/relationships/oleObject" Target="embeddings/oleObject4920.bin"/><Relationship Id="rId1885" Type="http://schemas.openxmlformats.org/officeDocument/2006/relationships/oleObject" Target="embeddings/oleObject930.bin"/><Relationship Id="rId2936" Type="http://schemas.openxmlformats.org/officeDocument/2006/relationships/oleObject" Target="embeddings/oleObject1456.bin"/><Relationship Id="rId4291" Type="http://schemas.openxmlformats.org/officeDocument/2006/relationships/image" Target="media/image2156.wmf"/><Relationship Id="rId5342" Type="http://schemas.openxmlformats.org/officeDocument/2006/relationships/oleObject" Target="embeddings/oleObject2660.bin"/><Relationship Id="rId8498" Type="http://schemas.openxmlformats.org/officeDocument/2006/relationships/image" Target="media/image4258.wmf"/><Relationship Id="rId9549" Type="http://schemas.openxmlformats.org/officeDocument/2006/relationships/oleObject" Target="embeddings/oleObject4753.bin"/><Relationship Id="rId9963" Type="http://schemas.openxmlformats.org/officeDocument/2006/relationships/image" Target="media/image4990.wmf"/><Relationship Id="rId11479" Type="http://schemas.openxmlformats.org/officeDocument/2006/relationships/image" Target="media/image5751.wmf"/><Relationship Id="rId12877" Type="http://schemas.openxmlformats.org/officeDocument/2006/relationships/image" Target="media/image6453.wmf"/><Relationship Id="rId13928" Type="http://schemas.openxmlformats.org/officeDocument/2006/relationships/oleObject" Target="embeddings/oleObject6910.bin"/><Relationship Id="rId908" Type="http://schemas.openxmlformats.org/officeDocument/2006/relationships/image" Target="media/image459.wmf"/><Relationship Id="rId1538" Type="http://schemas.openxmlformats.org/officeDocument/2006/relationships/image" Target="media/image774.wmf"/><Relationship Id="rId8565" Type="http://schemas.openxmlformats.org/officeDocument/2006/relationships/oleObject" Target="embeddings/oleObject4267.bin"/><Relationship Id="rId9616" Type="http://schemas.openxmlformats.org/officeDocument/2006/relationships/image" Target="media/image4817.wmf"/><Relationship Id="rId11893" Type="http://schemas.openxmlformats.org/officeDocument/2006/relationships/oleObject" Target="embeddings/oleObject5898.bin"/><Relationship Id="rId12944" Type="http://schemas.openxmlformats.org/officeDocument/2006/relationships/oleObject" Target="embeddings/oleObject6421.bin"/><Relationship Id="rId1952" Type="http://schemas.openxmlformats.org/officeDocument/2006/relationships/image" Target="media/image982.wmf"/><Relationship Id="rId4011" Type="http://schemas.openxmlformats.org/officeDocument/2006/relationships/image" Target="media/image2016.wmf"/><Relationship Id="rId7167" Type="http://schemas.openxmlformats.org/officeDocument/2006/relationships/oleObject" Target="embeddings/oleObject3568.bin"/><Relationship Id="rId8218" Type="http://schemas.openxmlformats.org/officeDocument/2006/relationships/image" Target="media/image4118.wmf"/><Relationship Id="rId10495" Type="http://schemas.openxmlformats.org/officeDocument/2006/relationships/oleObject" Target="embeddings/oleObject5212.bin"/><Relationship Id="rId11546" Type="http://schemas.openxmlformats.org/officeDocument/2006/relationships/oleObject" Target="embeddings/oleObject5726.bin"/><Relationship Id="rId11960" Type="http://schemas.openxmlformats.org/officeDocument/2006/relationships/image" Target="media/image5993.wmf"/><Relationship Id="rId1605" Type="http://schemas.openxmlformats.org/officeDocument/2006/relationships/oleObject" Target="embeddings/oleObject790.bin"/><Relationship Id="rId6183" Type="http://schemas.openxmlformats.org/officeDocument/2006/relationships/image" Target="media/image3102.wmf"/><Relationship Id="rId7234" Type="http://schemas.openxmlformats.org/officeDocument/2006/relationships/image" Target="media/image3626.wmf"/><Relationship Id="rId7581" Type="http://schemas.openxmlformats.org/officeDocument/2006/relationships/oleObject" Target="embeddings/oleObject3775.bin"/><Relationship Id="rId8632" Type="http://schemas.openxmlformats.org/officeDocument/2006/relationships/image" Target="media/image4325.wmf"/><Relationship Id="rId10148" Type="http://schemas.openxmlformats.org/officeDocument/2006/relationships/oleObject" Target="embeddings/oleObject5043.bin"/><Relationship Id="rId10562" Type="http://schemas.openxmlformats.org/officeDocument/2006/relationships/image" Target="media/image5290.wmf"/><Relationship Id="rId11613" Type="http://schemas.openxmlformats.org/officeDocument/2006/relationships/image" Target="media/image5818.wmf"/><Relationship Id="rId3777" Type="http://schemas.openxmlformats.org/officeDocument/2006/relationships/oleObject" Target="embeddings/oleObject1879.bin"/><Relationship Id="rId4828" Type="http://schemas.openxmlformats.org/officeDocument/2006/relationships/image" Target="media/image2424.wmf"/><Relationship Id="rId10215" Type="http://schemas.openxmlformats.org/officeDocument/2006/relationships/image" Target="media/image5116.wmf"/><Relationship Id="rId13785" Type="http://schemas.openxmlformats.org/officeDocument/2006/relationships/image" Target="media/image6907.wmf"/><Relationship Id="rId698" Type="http://schemas.openxmlformats.org/officeDocument/2006/relationships/image" Target="media/image351.wmf"/><Relationship Id="rId2379" Type="http://schemas.openxmlformats.org/officeDocument/2006/relationships/image" Target="media/image1198.wmf"/><Relationship Id="rId2793" Type="http://schemas.openxmlformats.org/officeDocument/2006/relationships/oleObject" Target="embeddings/oleObject1384.bin"/><Relationship Id="rId3844" Type="http://schemas.openxmlformats.org/officeDocument/2006/relationships/image" Target="media/image1933.wmf"/><Relationship Id="rId6250" Type="http://schemas.openxmlformats.org/officeDocument/2006/relationships/oleObject" Target="embeddings/oleObject3114.bin"/><Relationship Id="rId7301" Type="http://schemas.openxmlformats.org/officeDocument/2006/relationships/oleObject" Target="embeddings/oleObject3635.bin"/><Relationship Id="rId12387" Type="http://schemas.openxmlformats.org/officeDocument/2006/relationships/image" Target="media/image6208.wmf"/><Relationship Id="rId13438" Type="http://schemas.openxmlformats.org/officeDocument/2006/relationships/image" Target="media/image6734.wmf"/><Relationship Id="rId765" Type="http://schemas.openxmlformats.org/officeDocument/2006/relationships/oleObject" Target="embeddings/oleObject371.bin"/><Relationship Id="rId1395" Type="http://schemas.openxmlformats.org/officeDocument/2006/relationships/oleObject" Target="embeddings/oleObject686.bin"/><Relationship Id="rId2446" Type="http://schemas.openxmlformats.org/officeDocument/2006/relationships/image" Target="media/image1232.wmf"/><Relationship Id="rId2860" Type="http://schemas.openxmlformats.org/officeDocument/2006/relationships/oleObject" Target="embeddings/oleObject1418.bin"/><Relationship Id="rId9059" Type="http://schemas.openxmlformats.org/officeDocument/2006/relationships/image" Target="media/image4539.wmf"/><Relationship Id="rId9473" Type="http://schemas.openxmlformats.org/officeDocument/2006/relationships/oleObject" Target="embeddings/oleObject4715.bin"/><Relationship Id="rId12454" Type="http://schemas.openxmlformats.org/officeDocument/2006/relationships/oleObject" Target="embeddings/oleObject6176.bin"/><Relationship Id="rId13852" Type="http://schemas.openxmlformats.org/officeDocument/2006/relationships/oleObject" Target="embeddings/oleObject6872.bin"/><Relationship Id="rId418" Type="http://schemas.openxmlformats.org/officeDocument/2006/relationships/oleObject" Target="embeddings/oleObject203.bin"/><Relationship Id="rId832" Type="http://schemas.openxmlformats.org/officeDocument/2006/relationships/image" Target="media/image421.wmf"/><Relationship Id="rId1048" Type="http://schemas.openxmlformats.org/officeDocument/2006/relationships/oleObject" Target="embeddings/oleObject515.bin"/><Relationship Id="rId1462" Type="http://schemas.openxmlformats.org/officeDocument/2006/relationships/image" Target="media/image736.wmf"/><Relationship Id="rId2513" Type="http://schemas.openxmlformats.org/officeDocument/2006/relationships/oleObject" Target="embeddings/oleObject1244.bin"/><Relationship Id="rId3911" Type="http://schemas.openxmlformats.org/officeDocument/2006/relationships/oleObject" Target="embeddings/oleObject1946.bin"/><Relationship Id="rId5669" Type="http://schemas.openxmlformats.org/officeDocument/2006/relationships/image" Target="media/image2845.wmf"/><Relationship Id="rId8075" Type="http://schemas.openxmlformats.org/officeDocument/2006/relationships/oleObject" Target="embeddings/oleObject4022.bin"/><Relationship Id="rId9126" Type="http://schemas.openxmlformats.org/officeDocument/2006/relationships/oleObject" Target="embeddings/oleObject4543.bin"/><Relationship Id="rId9540" Type="http://schemas.openxmlformats.org/officeDocument/2006/relationships/image" Target="media/image4779.wmf"/><Relationship Id="rId11056" Type="http://schemas.openxmlformats.org/officeDocument/2006/relationships/image" Target="media/image5538.wmf"/><Relationship Id="rId12107" Type="http://schemas.openxmlformats.org/officeDocument/2006/relationships/oleObject" Target="embeddings/oleObject6005.bin"/><Relationship Id="rId13505" Type="http://schemas.openxmlformats.org/officeDocument/2006/relationships/oleObject" Target="embeddings/oleObject6698.bin"/><Relationship Id="rId1115" Type="http://schemas.openxmlformats.org/officeDocument/2006/relationships/image" Target="media/image563.wmf"/><Relationship Id="rId7091" Type="http://schemas.openxmlformats.org/officeDocument/2006/relationships/image" Target="media/image3555.wmf"/><Relationship Id="rId8142" Type="http://schemas.openxmlformats.org/officeDocument/2006/relationships/image" Target="media/image4080.wmf"/><Relationship Id="rId10072" Type="http://schemas.openxmlformats.org/officeDocument/2006/relationships/oleObject" Target="embeddings/oleObject5005.bin"/><Relationship Id="rId11470" Type="http://schemas.openxmlformats.org/officeDocument/2006/relationships/oleObject" Target="embeddings/oleObject5688.bin"/><Relationship Id="rId12521" Type="http://schemas.openxmlformats.org/officeDocument/2006/relationships/image" Target="media/image6275.wmf"/><Relationship Id="rId3287" Type="http://schemas.openxmlformats.org/officeDocument/2006/relationships/oleObject" Target="embeddings/oleObject1632.bin"/><Relationship Id="rId4338" Type="http://schemas.openxmlformats.org/officeDocument/2006/relationships/image" Target="media/image2179.wmf"/><Relationship Id="rId4685" Type="http://schemas.openxmlformats.org/officeDocument/2006/relationships/oleObject" Target="embeddings/oleObject2334.bin"/><Relationship Id="rId5736" Type="http://schemas.openxmlformats.org/officeDocument/2006/relationships/oleObject" Target="embeddings/oleObject2857.bin"/><Relationship Id="rId11123" Type="http://schemas.openxmlformats.org/officeDocument/2006/relationships/image" Target="media/image5573.wmf"/><Relationship Id="rId14279" Type="http://schemas.openxmlformats.org/officeDocument/2006/relationships/image" Target="media/image7154.wmf"/><Relationship Id="rId4752" Type="http://schemas.openxmlformats.org/officeDocument/2006/relationships/image" Target="media/image2386.wmf"/><Relationship Id="rId5803" Type="http://schemas.openxmlformats.org/officeDocument/2006/relationships/image" Target="media/image2912.wmf"/><Relationship Id="rId8959" Type="http://schemas.openxmlformats.org/officeDocument/2006/relationships/image" Target="media/image4489.wmf"/><Relationship Id="rId10889" Type="http://schemas.openxmlformats.org/officeDocument/2006/relationships/oleObject" Target="embeddings/oleObject5407.bin"/><Relationship Id="rId13295" Type="http://schemas.openxmlformats.org/officeDocument/2006/relationships/image" Target="media/image6662.wmf"/><Relationship Id="rId14346" Type="http://schemas.openxmlformats.org/officeDocument/2006/relationships/oleObject" Target="embeddings/oleObject7119.bin"/><Relationship Id="rId3354" Type="http://schemas.openxmlformats.org/officeDocument/2006/relationships/image" Target="media/image1686.wmf"/><Relationship Id="rId4405" Type="http://schemas.openxmlformats.org/officeDocument/2006/relationships/oleObject" Target="embeddings/oleObject2194.bin"/><Relationship Id="rId7975" Type="http://schemas.openxmlformats.org/officeDocument/2006/relationships/oleObject" Target="embeddings/oleObject3972.bin"/><Relationship Id="rId13362" Type="http://schemas.openxmlformats.org/officeDocument/2006/relationships/image" Target="media/image6696.wmf"/><Relationship Id="rId14413" Type="http://schemas.openxmlformats.org/officeDocument/2006/relationships/image" Target="media/image7221.wmf"/><Relationship Id="rId275" Type="http://schemas.openxmlformats.org/officeDocument/2006/relationships/oleObject" Target="embeddings/oleObject132.bin"/><Relationship Id="rId2370" Type="http://schemas.openxmlformats.org/officeDocument/2006/relationships/oleObject" Target="embeddings/oleObject1174.bin"/><Relationship Id="rId3007" Type="http://schemas.openxmlformats.org/officeDocument/2006/relationships/image" Target="media/image1513.wmf"/><Relationship Id="rId3421" Type="http://schemas.openxmlformats.org/officeDocument/2006/relationships/oleObject" Target="embeddings/oleObject1700.bin"/><Relationship Id="rId6577" Type="http://schemas.openxmlformats.org/officeDocument/2006/relationships/image" Target="media/image3298.wmf"/><Relationship Id="rId6991" Type="http://schemas.openxmlformats.org/officeDocument/2006/relationships/image" Target="media/image3505.wmf"/><Relationship Id="rId7628" Type="http://schemas.openxmlformats.org/officeDocument/2006/relationships/image" Target="media/image3823.wmf"/><Relationship Id="rId10956" Type="http://schemas.openxmlformats.org/officeDocument/2006/relationships/image" Target="media/image5488.wmf"/><Relationship Id="rId13015" Type="http://schemas.openxmlformats.org/officeDocument/2006/relationships/image" Target="media/image6522.wmf"/><Relationship Id="rId342" Type="http://schemas.openxmlformats.org/officeDocument/2006/relationships/image" Target="media/image170.wmf"/><Relationship Id="rId2023" Type="http://schemas.openxmlformats.org/officeDocument/2006/relationships/oleObject" Target="embeddings/oleObject999.bin"/><Relationship Id="rId5179" Type="http://schemas.openxmlformats.org/officeDocument/2006/relationships/oleObject" Target="embeddings/oleObject2579.bin"/><Relationship Id="rId5593" Type="http://schemas.openxmlformats.org/officeDocument/2006/relationships/image" Target="media/image2807.wmf"/><Relationship Id="rId6644" Type="http://schemas.openxmlformats.org/officeDocument/2006/relationships/oleObject" Target="embeddings/oleObject3309.bin"/><Relationship Id="rId9050" Type="http://schemas.openxmlformats.org/officeDocument/2006/relationships/oleObject" Target="embeddings/oleObject4505.bin"/><Relationship Id="rId10609" Type="http://schemas.openxmlformats.org/officeDocument/2006/relationships/oleObject" Target="embeddings/oleObject5269.bin"/><Relationship Id="rId12031" Type="http://schemas.openxmlformats.org/officeDocument/2006/relationships/oleObject" Target="embeddings/oleObject5967.bin"/><Relationship Id="rId4195" Type="http://schemas.openxmlformats.org/officeDocument/2006/relationships/image" Target="media/image2108.wmf"/><Relationship Id="rId5246" Type="http://schemas.openxmlformats.org/officeDocument/2006/relationships/oleObject" Target="embeddings/oleObject2612.bin"/><Relationship Id="rId1789" Type="http://schemas.openxmlformats.org/officeDocument/2006/relationships/oleObject" Target="embeddings/oleObject882.bin"/><Relationship Id="rId4262" Type="http://schemas.openxmlformats.org/officeDocument/2006/relationships/oleObject" Target="embeddings/oleObject2122.bin"/><Relationship Id="rId5660" Type="http://schemas.openxmlformats.org/officeDocument/2006/relationships/oleObject" Target="embeddings/oleObject2819.bin"/><Relationship Id="rId6711" Type="http://schemas.openxmlformats.org/officeDocument/2006/relationships/image" Target="media/image3365.wmf"/><Relationship Id="rId8469" Type="http://schemas.openxmlformats.org/officeDocument/2006/relationships/oleObject" Target="embeddings/oleObject4219.bin"/><Relationship Id="rId9867" Type="http://schemas.openxmlformats.org/officeDocument/2006/relationships/image" Target="media/image4942.wmf"/><Relationship Id="rId11797" Type="http://schemas.openxmlformats.org/officeDocument/2006/relationships/oleObject" Target="embeddings/oleObject5850.bin"/><Relationship Id="rId12848" Type="http://schemas.openxmlformats.org/officeDocument/2006/relationships/oleObject" Target="embeddings/oleObject6373.bin"/><Relationship Id="rId1856" Type="http://schemas.openxmlformats.org/officeDocument/2006/relationships/image" Target="media/image934.wmf"/><Relationship Id="rId2907" Type="http://schemas.openxmlformats.org/officeDocument/2006/relationships/image" Target="media/image1463.wmf"/><Relationship Id="rId5313" Type="http://schemas.openxmlformats.org/officeDocument/2006/relationships/image" Target="media/image2667.wmf"/><Relationship Id="rId8883" Type="http://schemas.openxmlformats.org/officeDocument/2006/relationships/image" Target="media/image4451.wmf"/><Relationship Id="rId9934" Type="http://schemas.microsoft.com/office/2007/relationships/hdphoto" Target="media/hdphoto31.wdp"/><Relationship Id="rId10399" Type="http://schemas.openxmlformats.org/officeDocument/2006/relationships/image" Target="media/image5208.wmf"/><Relationship Id="rId11864" Type="http://schemas.openxmlformats.org/officeDocument/2006/relationships/image" Target="media/image5945.wmf"/><Relationship Id="rId12915" Type="http://schemas.openxmlformats.org/officeDocument/2006/relationships/image" Target="media/image6472.wmf"/><Relationship Id="rId14270" Type="http://schemas.openxmlformats.org/officeDocument/2006/relationships/oleObject" Target="embeddings/oleObject7081.bin"/><Relationship Id="rId1509" Type="http://schemas.openxmlformats.org/officeDocument/2006/relationships/oleObject" Target="embeddings/oleObject741.bin"/><Relationship Id="rId1923" Type="http://schemas.openxmlformats.org/officeDocument/2006/relationships/oleObject" Target="embeddings/oleObject949.bin"/><Relationship Id="rId7485" Type="http://schemas.openxmlformats.org/officeDocument/2006/relationships/oleObject" Target="embeddings/oleObject3727.bin"/><Relationship Id="rId8536" Type="http://schemas.openxmlformats.org/officeDocument/2006/relationships/image" Target="media/image4277.wmf"/><Relationship Id="rId8950" Type="http://schemas.openxmlformats.org/officeDocument/2006/relationships/oleObject" Target="embeddings/oleObject4455.bin"/><Relationship Id="rId10466" Type="http://schemas.openxmlformats.org/officeDocument/2006/relationships/image" Target="media/image5242.wmf"/><Relationship Id="rId10880" Type="http://schemas.openxmlformats.org/officeDocument/2006/relationships/image" Target="media/image5449.wmf"/><Relationship Id="rId11517" Type="http://schemas.openxmlformats.org/officeDocument/2006/relationships/image" Target="media/image5770.wmf"/><Relationship Id="rId6087" Type="http://schemas.openxmlformats.org/officeDocument/2006/relationships/image" Target="media/image3054.wmf"/><Relationship Id="rId7138" Type="http://schemas.openxmlformats.org/officeDocument/2006/relationships/image" Target="media/image3578.wmf"/><Relationship Id="rId7552" Type="http://schemas.openxmlformats.org/officeDocument/2006/relationships/image" Target="media/image3785.wmf"/><Relationship Id="rId8603" Type="http://schemas.openxmlformats.org/officeDocument/2006/relationships/oleObject" Target="embeddings/oleObject4286.bin"/><Relationship Id="rId10119" Type="http://schemas.openxmlformats.org/officeDocument/2006/relationships/image" Target="media/image5068.wmf"/><Relationship Id="rId10533" Type="http://schemas.openxmlformats.org/officeDocument/2006/relationships/oleObject" Target="embeddings/oleObject5231.bin"/><Relationship Id="rId11931" Type="http://schemas.openxmlformats.org/officeDocument/2006/relationships/oleObject" Target="embeddings/oleObject5917.bin"/><Relationship Id="rId13689" Type="http://schemas.openxmlformats.org/officeDocument/2006/relationships/oleObject" Target="embeddings/oleObject6790.bin"/><Relationship Id="rId2697" Type="http://schemas.openxmlformats.org/officeDocument/2006/relationships/oleObject" Target="embeddings/oleObject1336.bin"/><Relationship Id="rId3748" Type="http://schemas.openxmlformats.org/officeDocument/2006/relationships/image" Target="media/image1885.wmf"/><Relationship Id="rId6154" Type="http://schemas.openxmlformats.org/officeDocument/2006/relationships/oleObject" Target="embeddings/oleObject3066.bin"/><Relationship Id="rId7205" Type="http://schemas.openxmlformats.org/officeDocument/2006/relationships/oleObject" Target="embeddings/oleObject3587.bin"/><Relationship Id="rId669" Type="http://schemas.openxmlformats.org/officeDocument/2006/relationships/oleObject" Target="embeddings/oleObject323.bin"/><Relationship Id="rId1299" Type="http://schemas.openxmlformats.org/officeDocument/2006/relationships/oleObject" Target="embeddings/oleObject639.bin"/><Relationship Id="rId5170" Type="http://schemas.openxmlformats.org/officeDocument/2006/relationships/image" Target="media/image2595.wmf"/><Relationship Id="rId6221" Type="http://schemas.openxmlformats.org/officeDocument/2006/relationships/image" Target="media/image3121.wmf"/><Relationship Id="rId9377" Type="http://schemas.openxmlformats.org/officeDocument/2006/relationships/oleObject" Target="embeddings/oleObject4669.bin"/><Relationship Id="rId10600" Type="http://schemas.openxmlformats.org/officeDocument/2006/relationships/image" Target="media/image5309.wmf"/><Relationship Id="rId13756" Type="http://schemas.openxmlformats.org/officeDocument/2006/relationships/oleObject" Target="embeddings/oleObject6824.bin"/><Relationship Id="rId736" Type="http://schemas.openxmlformats.org/officeDocument/2006/relationships/image" Target="media/image370.wmf"/><Relationship Id="rId1366" Type="http://schemas.openxmlformats.org/officeDocument/2006/relationships/image" Target="media/image688.wmf"/><Relationship Id="rId2417" Type="http://schemas.openxmlformats.org/officeDocument/2006/relationships/image" Target="media/image1217.wmf"/><Relationship Id="rId2764" Type="http://schemas.openxmlformats.org/officeDocument/2006/relationships/image" Target="media/image1392.wmf"/><Relationship Id="rId3815" Type="http://schemas.openxmlformats.org/officeDocument/2006/relationships/oleObject" Target="embeddings/oleObject1898.bin"/><Relationship Id="rId8393" Type="http://schemas.openxmlformats.org/officeDocument/2006/relationships/oleObject" Target="embeddings/oleObject4181.bin"/><Relationship Id="rId9444" Type="http://schemas.openxmlformats.org/officeDocument/2006/relationships/image" Target="media/image4731.wmf"/><Relationship Id="rId9791" Type="http://schemas.openxmlformats.org/officeDocument/2006/relationships/oleObject" Target="embeddings/oleObject4867.bin"/><Relationship Id="rId12358" Type="http://schemas.openxmlformats.org/officeDocument/2006/relationships/oleObject" Target="embeddings/oleObject6128.bin"/><Relationship Id="rId12772" Type="http://schemas.openxmlformats.org/officeDocument/2006/relationships/oleObject" Target="embeddings/oleObject6335.bin"/><Relationship Id="rId13409" Type="http://schemas.openxmlformats.org/officeDocument/2006/relationships/oleObject" Target="embeddings/oleObject6650.bin"/><Relationship Id="rId13823" Type="http://schemas.openxmlformats.org/officeDocument/2006/relationships/image" Target="media/image6926.wmf"/><Relationship Id="rId1019" Type="http://schemas.openxmlformats.org/officeDocument/2006/relationships/image" Target="media/image515.wmf"/><Relationship Id="rId1780" Type="http://schemas.openxmlformats.org/officeDocument/2006/relationships/image" Target="media/image896.wmf"/><Relationship Id="rId2831" Type="http://schemas.openxmlformats.org/officeDocument/2006/relationships/oleObject" Target="embeddings/oleObject1403.bin"/><Relationship Id="rId5987" Type="http://schemas.openxmlformats.org/officeDocument/2006/relationships/image" Target="media/image3004.wmf"/><Relationship Id="rId8046" Type="http://schemas.openxmlformats.org/officeDocument/2006/relationships/image" Target="media/image4032.wmf"/><Relationship Id="rId11374" Type="http://schemas.openxmlformats.org/officeDocument/2006/relationships/oleObject" Target="embeddings/oleObject5640.bin"/><Relationship Id="rId12425" Type="http://schemas.openxmlformats.org/officeDocument/2006/relationships/image" Target="media/image6227.wmf"/><Relationship Id="rId72" Type="http://schemas.openxmlformats.org/officeDocument/2006/relationships/oleObject" Target="embeddings/oleObject32.bin"/><Relationship Id="rId803" Type="http://schemas.openxmlformats.org/officeDocument/2006/relationships/oleObject" Target="embeddings/oleObject393.bin"/><Relationship Id="rId1433" Type="http://schemas.openxmlformats.org/officeDocument/2006/relationships/oleObject" Target="embeddings/oleObject705.bin"/><Relationship Id="rId4589" Type="http://schemas.openxmlformats.org/officeDocument/2006/relationships/oleObject" Target="embeddings/oleObject2286.bin"/><Relationship Id="rId8460" Type="http://schemas.openxmlformats.org/officeDocument/2006/relationships/image" Target="media/image4239.wmf"/><Relationship Id="rId9511" Type="http://schemas.openxmlformats.org/officeDocument/2006/relationships/oleObject" Target="embeddings/oleObject4734.bin"/><Relationship Id="rId10390" Type="http://schemas.openxmlformats.org/officeDocument/2006/relationships/oleObject" Target="embeddings/oleObject5162.bin"/><Relationship Id="rId11027" Type="http://schemas.openxmlformats.org/officeDocument/2006/relationships/oleObject" Target="embeddings/oleObject5469.bin"/><Relationship Id="rId11441" Type="http://schemas.openxmlformats.org/officeDocument/2006/relationships/image" Target="media/image5732.wmf"/><Relationship Id="rId14597" Type="http://schemas.openxmlformats.org/officeDocument/2006/relationships/theme" Target="theme/theme1.xml"/><Relationship Id="rId1500" Type="http://schemas.openxmlformats.org/officeDocument/2006/relationships/image" Target="media/image755.png"/><Relationship Id="rId4656" Type="http://schemas.openxmlformats.org/officeDocument/2006/relationships/image" Target="media/image2338.wmf"/><Relationship Id="rId5707" Type="http://schemas.openxmlformats.org/officeDocument/2006/relationships/image" Target="media/image2864.wmf"/><Relationship Id="rId7062" Type="http://schemas.openxmlformats.org/officeDocument/2006/relationships/oleObject" Target="embeddings/oleObject3516.bin"/><Relationship Id="rId8113" Type="http://schemas.openxmlformats.org/officeDocument/2006/relationships/oleObject" Target="embeddings/oleObject4041.bin"/><Relationship Id="rId10043" Type="http://schemas.openxmlformats.org/officeDocument/2006/relationships/image" Target="media/image5030.wmf"/><Relationship Id="rId13199" Type="http://schemas.openxmlformats.org/officeDocument/2006/relationships/image" Target="media/image6614.wmf"/><Relationship Id="rId3258" Type="http://schemas.openxmlformats.org/officeDocument/2006/relationships/oleObject" Target="embeddings/oleObject1617.bin"/><Relationship Id="rId3672" Type="http://schemas.openxmlformats.org/officeDocument/2006/relationships/image" Target="media/image1847.wmf"/><Relationship Id="rId4309" Type="http://schemas.openxmlformats.org/officeDocument/2006/relationships/image" Target="media/image2165.wmf"/><Relationship Id="rId4723" Type="http://schemas.openxmlformats.org/officeDocument/2006/relationships/oleObject" Target="embeddings/oleObject2353.bin"/><Relationship Id="rId7879" Type="http://schemas.openxmlformats.org/officeDocument/2006/relationships/oleObject" Target="embeddings/oleObject3924.bin"/><Relationship Id="rId10110" Type="http://schemas.openxmlformats.org/officeDocument/2006/relationships/oleObject" Target="embeddings/oleObject5024.bin"/><Relationship Id="rId13266" Type="http://schemas.openxmlformats.org/officeDocument/2006/relationships/oleObject" Target="embeddings/oleObject6580.bin"/><Relationship Id="rId14317" Type="http://schemas.openxmlformats.org/officeDocument/2006/relationships/image" Target="media/image7173.wmf"/><Relationship Id="rId179" Type="http://schemas.openxmlformats.org/officeDocument/2006/relationships/oleObject" Target="embeddings/oleObject84.bin"/><Relationship Id="rId593" Type="http://schemas.openxmlformats.org/officeDocument/2006/relationships/oleObject" Target="embeddings/oleObject286.bin"/><Relationship Id="rId2274" Type="http://schemas.openxmlformats.org/officeDocument/2006/relationships/oleObject" Target="embeddings/oleObject1124.bin"/><Relationship Id="rId3325" Type="http://schemas.openxmlformats.org/officeDocument/2006/relationships/oleObject" Target="embeddings/oleObject1651.bin"/><Relationship Id="rId12282" Type="http://schemas.openxmlformats.org/officeDocument/2006/relationships/image" Target="media/image6154.wmf"/><Relationship Id="rId13680" Type="http://schemas.openxmlformats.org/officeDocument/2006/relationships/image" Target="media/image6855.wmf"/><Relationship Id="rId246" Type="http://schemas.openxmlformats.org/officeDocument/2006/relationships/image" Target="media/image122.wmf"/><Relationship Id="rId660" Type="http://schemas.openxmlformats.org/officeDocument/2006/relationships/image" Target="media/image332.wmf"/><Relationship Id="rId1290" Type="http://schemas.openxmlformats.org/officeDocument/2006/relationships/image" Target="media/image650.wmf"/><Relationship Id="rId2341" Type="http://schemas.openxmlformats.org/officeDocument/2006/relationships/image" Target="media/image1179.wmf"/><Relationship Id="rId5497" Type="http://schemas.openxmlformats.org/officeDocument/2006/relationships/image" Target="media/image2759.wmf"/><Relationship Id="rId6548" Type="http://schemas.openxmlformats.org/officeDocument/2006/relationships/oleObject" Target="embeddings/oleObject3261.bin"/><Relationship Id="rId6895" Type="http://schemas.openxmlformats.org/officeDocument/2006/relationships/image" Target="media/image3457.wmf"/><Relationship Id="rId7946" Type="http://schemas.openxmlformats.org/officeDocument/2006/relationships/image" Target="media/image3982.wmf"/><Relationship Id="rId10927" Type="http://schemas.openxmlformats.org/officeDocument/2006/relationships/oleObject" Target="embeddings/oleObject5426.bin"/><Relationship Id="rId13333" Type="http://schemas.openxmlformats.org/officeDocument/2006/relationships/image" Target="media/image6681.png"/><Relationship Id="rId313" Type="http://schemas.openxmlformats.org/officeDocument/2006/relationships/oleObject" Target="embeddings/oleObject151.bin"/><Relationship Id="rId4099" Type="http://schemas.openxmlformats.org/officeDocument/2006/relationships/image" Target="media/image2060.wmf"/><Relationship Id="rId6962" Type="http://schemas.openxmlformats.org/officeDocument/2006/relationships/oleObject" Target="embeddings/oleObject3466.bin"/><Relationship Id="rId9021" Type="http://schemas.openxmlformats.org/officeDocument/2006/relationships/image" Target="media/image4520.wmf"/><Relationship Id="rId13400" Type="http://schemas.openxmlformats.org/officeDocument/2006/relationships/image" Target="media/image6715.wmf"/><Relationship Id="rId5564" Type="http://schemas.openxmlformats.org/officeDocument/2006/relationships/oleObject" Target="embeddings/oleObject2771.bin"/><Relationship Id="rId6615" Type="http://schemas.openxmlformats.org/officeDocument/2006/relationships/image" Target="media/image3317.wmf"/><Relationship Id="rId12002" Type="http://schemas.openxmlformats.org/officeDocument/2006/relationships/image" Target="media/image6014.wmf"/><Relationship Id="rId1010" Type="http://schemas.openxmlformats.org/officeDocument/2006/relationships/oleObject" Target="embeddings/oleObject496.bin"/><Relationship Id="rId4166" Type="http://schemas.openxmlformats.org/officeDocument/2006/relationships/oleObject" Target="embeddings/oleObject2074.bin"/><Relationship Id="rId4580" Type="http://schemas.openxmlformats.org/officeDocument/2006/relationships/image" Target="media/image2300.wmf"/><Relationship Id="rId5217" Type="http://schemas.openxmlformats.org/officeDocument/2006/relationships/oleObject" Target="embeddings/oleObject2598.bin"/><Relationship Id="rId5631" Type="http://schemas.openxmlformats.org/officeDocument/2006/relationships/image" Target="media/image2826.wmf"/><Relationship Id="rId8787" Type="http://schemas.openxmlformats.org/officeDocument/2006/relationships/image" Target="media/image4403.wmf"/><Relationship Id="rId9838" Type="http://schemas.openxmlformats.org/officeDocument/2006/relationships/oleObject" Target="embeddings/oleObject4891.bin"/><Relationship Id="rId11768" Type="http://schemas.openxmlformats.org/officeDocument/2006/relationships/image" Target="media/image5897.wmf"/><Relationship Id="rId14174" Type="http://schemas.openxmlformats.org/officeDocument/2006/relationships/oleObject" Target="embeddings/oleObject7033.bin"/><Relationship Id="rId1827" Type="http://schemas.openxmlformats.org/officeDocument/2006/relationships/oleObject" Target="embeddings/oleObject901.bin"/><Relationship Id="rId7389" Type="http://schemas.openxmlformats.org/officeDocument/2006/relationships/oleObject" Target="embeddings/oleObject3679.bin"/><Relationship Id="rId12819" Type="http://schemas.openxmlformats.org/officeDocument/2006/relationships/image" Target="media/image6424.wmf"/><Relationship Id="rId13190" Type="http://schemas.openxmlformats.org/officeDocument/2006/relationships/oleObject" Target="embeddings/oleObject6542.bin"/><Relationship Id="rId14241" Type="http://schemas.openxmlformats.org/officeDocument/2006/relationships/image" Target="media/image7135.wmf"/><Relationship Id="rId3999" Type="http://schemas.openxmlformats.org/officeDocument/2006/relationships/image" Target="media/image2010.wmf"/><Relationship Id="rId4300" Type="http://schemas.openxmlformats.org/officeDocument/2006/relationships/oleObject" Target="embeddings/oleObject2141.bin"/><Relationship Id="rId170" Type="http://schemas.openxmlformats.org/officeDocument/2006/relationships/image" Target="media/image84.wmf"/><Relationship Id="rId6472" Type="http://schemas.openxmlformats.org/officeDocument/2006/relationships/oleObject" Target="embeddings/oleObject3226.bin"/><Relationship Id="rId7523" Type="http://schemas.openxmlformats.org/officeDocument/2006/relationships/oleObject" Target="embeddings/oleObject3746.bin"/><Relationship Id="rId7870" Type="http://schemas.openxmlformats.org/officeDocument/2006/relationships/image" Target="media/image3944.wmf"/><Relationship Id="rId8921" Type="http://schemas.openxmlformats.org/officeDocument/2006/relationships/image" Target="media/image4470.wmf"/><Relationship Id="rId10851" Type="http://schemas.openxmlformats.org/officeDocument/2006/relationships/oleObject" Target="embeddings/oleObject5388.bin"/><Relationship Id="rId11902" Type="http://schemas.openxmlformats.org/officeDocument/2006/relationships/image" Target="media/image5964.wmf"/><Relationship Id="rId5074" Type="http://schemas.openxmlformats.org/officeDocument/2006/relationships/image" Target="media/image2547.wmf"/><Relationship Id="rId6125" Type="http://schemas.openxmlformats.org/officeDocument/2006/relationships/image" Target="media/image3073.wmf"/><Relationship Id="rId10504" Type="http://schemas.openxmlformats.org/officeDocument/2006/relationships/image" Target="media/image5261.wmf"/><Relationship Id="rId8297" Type="http://schemas.openxmlformats.org/officeDocument/2006/relationships/oleObject" Target="embeddings/oleObject4133.bin"/><Relationship Id="rId9695" Type="http://schemas.openxmlformats.org/officeDocument/2006/relationships/oleObject" Target="embeddings/oleObject4819.bin"/><Relationship Id="rId12676" Type="http://schemas.openxmlformats.org/officeDocument/2006/relationships/oleObject" Target="embeddings/oleObject6287.bin"/><Relationship Id="rId13727" Type="http://schemas.openxmlformats.org/officeDocument/2006/relationships/image" Target="media/image6878.wmf"/><Relationship Id="rId1684" Type="http://schemas.openxmlformats.org/officeDocument/2006/relationships/image" Target="media/image848.wmf"/><Relationship Id="rId2735" Type="http://schemas.openxmlformats.org/officeDocument/2006/relationships/oleObject" Target="embeddings/oleObject1355.bin"/><Relationship Id="rId9348" Type="http://schemas.openxmlformats.org/officeDocument/2006/relationships/image" Target="media/image4683.wmf"/><Relationship Id="rId11278" Type="http://schemas.openxmlformats.org/officeDocument/2006/relationships/oleObject" Target="embeddings/oleObject5592.bin"/><Relationship Id="rId12329" Type="http://schemas.openxmlformats.org/officeDocument/2006/relationships/image" Target="media/image6179.wmf"/><Relationship Id="rId707" Type="http://schemas.openxmlformats.org/officeDocument/2006/relationships/oleObject" Target="embeddings/oleObject342.bin"/><Relationship Id="rId1337" Type="http://schemas.openxmlformats.org/officeDocument/2006/relationships/oleObject" Target="embeddings/oleObject658.bin"/><Relationship Id="rId5958" Type="http://schemas.openxmlformats.org/officeDocument/2006/relationships/oleObject" Target="embeddings/oleObject2968.bin"/><Relationship Id="rId43" Type="http://schemas.openxmlformats.org/officeDocument/2006/relationships/image" Target="media/image19.wmf"/><Relationship Id="rId7380" Type="http://schemas.openxmlformats.org/officeDocument/2006/relationships/image" Target="media/image3699.wmf"/><Relationship Id="rId8431" Type="http://schemas.openxmlformats.org/officeDocument/2006/relationships/oleObject" Target="embeddings/oleObject4200.bin"/><Relationship Id="rId10361" Type="http://schemas.openxmlformats.org/officeDocument/2006/relationships/image" Target="media/image5189.wmf"/><Relationship Id="rId12810" Type="http://schemas.openxmlformats.org/officeDocument/2006/relationships/oleObject" Target="embeddings/oleObject6354.bin"/><Relationship Id="rId7033" Type="http://schemas.openxmlformats.org/officeDocument/2006/relationships/image" Target="media/image3526.wmf"/><Relationship Id="rId10014" Type="http://schemas.openxmlformats.org/officeDocument/2006/relationships/oleObject" Target="embeddings/oleObject4976.bin"/><Relationship Id="rId11412" Type="http://schemas.openxmlformats.org/officeDocument/2006/relationships/oleObject" Target="embeddings/oleObject5659.bin"/><Relationship Id="rId3990" Type="http://schemas.openxmlformats.org/officeDocument/2006/relationships/oleObject" Target="embeddings/oleObject1986.bin"/><Relationship Id="rId13584" Type="http://schemas.openxmlformats.org/officeDocument/2006/relationships/image" Target="media/image6807.wmf"/><Relationship Id="rId1194" Type="http://schemas.openxmlformats.org/officeDocument/2006/relationships/image" Target="media/image602.wmf"/><Relationship Id="rId2592" Type="http://schemas.openxmlformats.org/officeDocument/2006/relationships/image" Target="media/image1306.wmf"/><Relationship Id="rId3643" Type="http://schemas.openxmlformats.org/officeDocument/2006/relationships/oleObject" Target="embeddings/oleObject1812.bin"/><Relationship Id="rId12186" Type="http://schemas.openxmlformats.org/officeDocument/2006/relationships/image" Target="media/image6106.wmf"/><Relationship Id="rId13237" Type="http://schemas.openxmlformats.org/officeDocument/2006/relationships/image" Target="media/image6633.wmf"/><Relationship Id="rId217" Type="http://schemas.openxmlformats.org/officeDocument/2006/relationships/oleObject" Target="embeddings/oleObject103.bin"/><Relationship Id="rId564" Type="http://schemas.openxmlformats.org/officeDocument/2006/relationships/image" Target="media/image283.wmf"/><Relationship Id="rId2245" Type="http://schemas.openxmlformats.org/officeDocument/2006/relationships/image" Target="media/image1129.wmf"/><Relationship Id="rId6866" Type="http://schemas.openxmlformats.org/officeDocument/2006/relationships/oleObject" Target="embeddings/oleObject3418.bin"/><Relationship Id="rId7917" Type="http://schemas.openxmlformats.org/officeDocument/2006/relationships/oleObject" Target="embeddings/oleObject3943.bin"/><Relationship Id="rId5468" Type="http://schemas.openxmlformats.org/officeDocument/2006/relationships/oleObject" Target="embeddings/oleObject2723.bin"/><Relationship Id="rId6519" Type="http://schemas.openxmlformats.org/officeDocument/2006/relationships/image" Target="media/image3269.wmf"/><Relationship Id="rId12320" Type="http://schemas.openxmlformats.org/officeDocument/2006/relationships/oleObject" Target="embeddings/oleObject6109.bin"/><Relationship Id="rId14492" Type="http://schemas.openxmlformats.org/officeDocument/2006/relationships/oleObject" Target="embeddings/oleObject7186.bin"/><Relationship Id="rId4551" Type="http://schemas.openxmlformats.org/officeDocument/2006/relationships/oleObject" Target="embeddings/oleObject2267.bin"/><Relationship Id="rId13094" Type="http://schemas.openxmlformats.org/officeDocument/2006/relationships/oleObject" Target="embeddings/oleObject6494.bin"/><Relationship Id="rId14145" Type="http://schemas.openxmlformats.org/officeDocument/2006/relationships/image" Target="media/image7087.wmf"/><Relationship Id="rId3153" Type="http://schemas.openxmlformats.org/officeDocument/2006/relationships/image" Target="media/image1586.wmf"/><Relationship Id="rId4204" Type="http://schemas.openxmlformats.org/officeDocument/2006/relationships/oleObject" Target="embeddings/oleObject2093.bin"/><Relationship Id="rId5602" Type="http://schemas.openxmlformats.org/officeDocument/2006/relationships/oleObject" Target="embeddings/oleObject2790.bin"/><Relationship Id="rId7774" Type="http://schemas.openxmlformats.org/officeDocument/2006/relationships/image" Target="media/image3896.wmf"/><Relationship Id="rId8825" Type="http://schemas.openxmlformats.org/officeDocument/2006/relationships/image" Target="media/image4422.wmf"/><Relationship Id="rId10755" Type="http://schemas.openxmlformats.org/officeDocument/2006/relationships/oleObject" Target="embeddings/oleObject5340.bin"/><Relationship Id="rId11806" Type="http://schemas.openxmlformats.org/officeDocument/2006/relationships/image" Target="media/image5916.wmf"/><Relationship Id="rId6029" Type="http://schemas.openxmlformats.org/officeDocument/2006/relationships/image" Target="media/image3025.wmf"/><Relationship Id="rId6376" Type="http://schemas.openxmlformats.org/officeDocument/2006/relationships/oleObject" Target="embeddings/oleObject3178.bin"/><Relationship Id="rId7427" Type="http://schemas.openxmlformats.org/officeDocument/2006/relationships/oleObject" Target="embeddings/oleObject3698.bin"/><Relationship Id="rId10408" Type="http://schemas.openxmlformats.org/officeDocument/2006/relationships/oleObject" Target="embeddings/oleObject5171.bin"/><Relationship Id="rId13978" Type="http://schemas.openxmlformats.org/officeDocument/2006/relationships/oleObject" Target="embeddings/oleObject6935.bin"/><Relationship Id="rId2986" Type="http://schemas.openxmlformats.org/officeDocument/2006/relationships/oleObject" Target="embeddings/oleObject1481.bin"/><Relationship Id="rId9599" Type="http://schemas.openxmlformats.org/officeDocument/2006/relationships/oleObject" Target="embeddings/oleObject4778.bin"/><Relationship Id="rId958" Type="http://schemas.openxmlformats.org/officeDocument/2006/relationships/oleObject" Target="embeddings/oleObject470.bin"/><Relationship Id="rId1588" Type="http://schemas.openxmlformats.org/officeDocument/2006/relationships/image" Target="media/image800.wmf"/><Relationship Id="rId2639" Type="http://schemas.openxmlformats.org/officeDocument/2006/relationships/oleObject" Target="embeddings/oleObject1307.bin"/><Relationship Id="rId6510" Type="http://schemas.openxmlformats.org/officeDocument/2006/relationships/oleObject" Target="embeddings/oleObject3245.bin"/><Relationship Id="rId4061" Type="http://schemas.openxmlformats.org/officeDocument/2006/relationships/image" Target="media/image2041.wmf"/><Relationship Id="rId5112" Type="http://schemas.openxmlformats.org/officeDocument/2006/relationships/image" Target="media/image2566.wmf"/><Relationship Id="rId8682" Type="http://schemas.openxmlformats.org/officeDocument/2006/relationships/oleObject" Target="embeddings/oleObject4324.bin"/><Relationship Id="rId9733" Type="http://schemas.openxmlformats.org/officeDocument/2006/relationships/oleObject" Target="embeddings/oleObject4838.bin"/><Relationship Id="rId7284" Type="http://schemas.openxmlformats.org/officeDocument/2006/relationships/image" Target="media/image3651.wmf"/><Relationship Id="rId8335" Type="http://schemas.openxmlformats.org/officeDocument/2006/relationships/oleObject" Target="embeddings/oleObject4152.bin"/><Relationship Id="rId11663" Type="http://schemas.openxmlformats.org/officeDocument/2006/relationships/image" Target="media/image5843.wmf"/><Relationship Id="rId12714" Type="http://schemas.openxmlformats.org/officeDocument/2006/relationships/oleObject" Target="embeddings/oleObject6306.bin"/><Relationship Id="rId1722" Type="http://schemas.openxmlformats.org/officeDocument/2006/relationships/image" Target="media/image867.wmf"/><Relationship Id="rId10265" Type="http://schemas.openxmlformats.org/officeDocument/2006/relationships/image" Target="media/image5141.wmf"/><Relationship Id="rId11316" Type="http://schemas.openxmlformats.org/officeDocument/2006/relationships/oleObject" Target="embeddings/oleObject5611.bin"/><Relationship Id="rId3894" Type="http://schemas.openxmlformats.org/officeDocument/2006/relationships/image" Target="media/image1958.wmf"/><Relationship Id="rId4945" Type="http://schemas.openxmlformats.org/officeDocument/2006/relationships/oleObject" Target="embeddings/oleObject2462.bin"/><Relationship Id="rId13488" Type="http://schemas.openxmlformats.org/officeDocument/2006/relationships/image" Target="media/image6759.wmf"/><Relationship Id="rId14539" Type="http://schemas.openxmlformats.org/officeDocument/2006/relationships/image" Target="media/image7284.wmf"/><Relationship Id="rId2496" Type="http://schemas.openxmlformats.org/officeDocument/2006/relationships/image" Target="media/image1258.wmf"/><Relationship Id="rId3547" Type="http://schemas.openxmlformats.org/officeDocument/2006/relationships/oleObject" Target="embeddings/oleObject1764.bin"/><Relationship Id="rId468" Type="http://schemas.openxmlformats.org/officeDocument/2006/relationships/oleObject" Target="embeddings/oleObject225.bin"/><Relationship Id="rId1098" Type="http://schemas.openxmlformats.org/officeDocument/2006/relationships/oleObject" Target="embeddings/oleObject539.bin"/><Relationship Id="rId2149" Type="http://schemas.openxmlformats.org/officeDocument/2006/relationships/oleObject" Target="embeddings/oleObject1062.bin"/><Relationship Id="rId6020" Type="http://schemas.openxmlformats.org/officeDocument/2006/relationships/oleObject" Target="embeddings/oleObject2999.bin"/><Relationship Id="rId9590" Type="http://schemas.openxmlformats.org/officeDocument/2006/relationships/image" Target="media/image4804.wmf"/><Relationship Id="rId12571" Type="http://schemas.openxmlformats.org/officeDocument/2006/relationships/image" Target="media/image6300.wmf"/><Relationship Id="rId2630" Type="http://schemas.openxmlformats.org/officeDocument/2006/relationships/image" Target="media/image1325.wmf"/><Relationship Id="rId8192" Type="http://schemas.openxmlformats.org/officeDocument/2006/relationships/image" Target="media/image4105.wmf"/><Relationship Id="rId9243" Type="http://schemas.openxmlformats.org/officeDocument/2006/relationships/oleObject" Target="embeddings/oleObject4602.bin"/><Relationship Id="rId11173" Type="http://schemas.openxmlformats.org/officeDocument/2006/relationships/image" Target="media/image5598.wmf"/><Relationship Id="rId12224" Type="http://schemas.openxmlformats.org/officeDocument/2006/relationships/image" Target="media/image6125.wmf"/><Relationship Id="rId13622" Type="http://schemas.openxmlformats.org/officeDocument/2006/relationships/image" Target="media/image6826.wmf"/><Relationship Id="rId602" Type="http://schemas.openxmlformats.org/officeDocument/2006/relationships/image" Target="media/image302.wmf"/><Relationship Id="rId1232" Type="http://schemas.openxmlformats.org/officeDocument/2006/relationships/image" Target="media/image621.wmf"/><Relationship Id="rId5853" Type="http://schemas.openxmlformats.org/officeDocument/2006/relationships/image" Target="media/image2937.wmf"/><Relationship Id="rId6904" Type="http://schemas.openxmlformats.org/officeDocument/2006/relationships/oleObject" Target="embeddings/oleObject3437.bin"/><Relationship Id="rId14396" Type="http://schemas.openxmlformats.org/officeDocument/2006/relationships/oleObject" Target="embeddings/oleObject7142.bin"/><Relationship Id="rId3057" Type="http://schemas.openxmlformats.org/officeDocument/2006/relationships/image" Target="media/image1538.wmf"/><Relationship Id="rId4108" Type="http://schemas.openxmlformats.org/officeDocument/2006/relationships/oleObject" Target="embeddings/oleObject2045.bin"/><Relationship Id="rId4455" Type="http://schemas.openxmlformats.org/officeDocument/2006/relationships/oleObject" Target="embeddings/oleObject2219.bin"/><Relationship Id="rId5506" Type="http://schemas.openxmlformats.org/officeDocument/2006/relationships/oleObject" Target="embeddings/oleObject2742.bin"/><Relationship Id="rId14049" Type="http://schemas.openxmlformats.org/officeDocument/2006/relationships/image" Target="media/image7039.wmf"/><Relationship Id="rId7678" Type="http://schemas.openxmlformats.org/officeDocument/2006/relationships/image" Target="media/image3848.wmf"/><Relationship Id="rId8729" Type="http://schemas.openxmlformats.org/officeDocument/2006/relationships/image" Target="media/image4374.wmf"/><Relationship Id="rId10659" Type="http://schemas.openxmlformats.org/officeDocument/2006/relationships/oleObject" Target="embeddings/oleObject5294.bin"/><Relationship Id="rId14530" Type="http://schemas.openxmlformats.org/officeDocument/2006/relationships/oleObject" Target="embeddings/oleObject7205.bin"/><Relationship Id="rId12081" Type="http://schemas.openxmlformats.org/officeDocument/2006/relationships/oleObject" Target="embeddings/oleObject5992.bin"/><Relationship Id="rId13132" Type="http://schemas.openxmlformats.org/officeDocument/2006/relationships/oleObject" Target="embeddings/oleObject6513.bin"/><Relationship Id="rId2140" Type="http://schemas.openxmlformats.org/officeDocument/2006/relationships/image" Target="media/image1076.wmf"/><Relationship Id="rId6761" Type="http://schemas.openxmlformats.org/officeDocument/2006/relationships/image" Target="media/image3390.wmf"/><Relationship Id="rId7812" Type="http://schemas.openxmlformats.org/officeDocument/2006/relationships/image" Target="media/image3915.wmf"/><Relationship Id="rId112" Type="http://schemas.openxmlformats.org/officeDocument/2006/relationships/oleObject" Target="embeddings/oleObject52.bin"/><Relationship Id="rId5363" Type="http://schemas.openxmlformats.org/officeDocument/2006/relationships/image" Target="media/image2692.wmf"/><Relationship Id="rId6414" Type="http://schemas.openxmlformats.org/officeDocument/2006/relationships/oleObject" Target="embeddings/oleObject3197.bin"/><Relationship Id="rId5016" Type="http://schemas.openxmlformats.org/officeDocument/2006/relationships/image" Target="media/image2518.wmf"/><Relationship Id="rId9984" Type="http://schemas.microsoft.com/office/2007/relationships/hdphoto" Target="media/hdphoto32.wdp"/><Relationship Id="rId12965" Type="http://schemas.openxmlformats.org/officeDocument/2006/relationships/image" Target="media/image6497.wmf"/><Relationship Id="rId1973" Type="http://schemas.openxmlformats.org/officeDocument/2006/relationships/oleObject" Target="embeddings/oleObject974.bin"/><Relationship Id="rId7188" Type="http://schemas.openxmlformats.org/officeDocument/2006/relationships/image" Target="media/image3603.wmf"/><Relationship Id="rId8239" Type="http://schemas.openxmlformats.org/officeDocument/2006/relationships/oleObject" Target="embeddings/oleObject4104.bin"/><Relationship Id="rId8586" Type="http://schemas.openxmlformats.org/officeDocument/2006/relationships/image" Target="media/image4302.wmf"/><Relationship Id="rId9637" Type="http://schemas.openxmlformats.org/officeDocument/2006/relationships/oleObject" Target="embeddings/oleObject4797.bin"/><Relationship Id="rId11567" Type="http://schemas.openxmlformats.org/officeDocument/2006/relationships/image" Target="media/image5795.wmf"/><Relationship Id="rId12618" Type="http://schemas.openxmlformats.org/officeDocument/2006/relationships/oleObject" Target="embeddings/oleObject6258.bin"/><Relationship Id="rId1626" Type="http://schemas.openxmlformats.org/officeDocument/2006/relationships/image" Target="media/image819.wmf"/><Relationship Id="rId10169" Type="http://schemas.openxmlformats.org/officeDocument/2006/relationships/image" Target="media/image5093.wmf"/><Relationship Id="rId14040" Type="http://schemas.openxmlformats.org/officeDocument/2006/relationships/oleObject" Target="embeddings/oleObject6966.bin"/><Relationship Id="rId3798" Type="http://schemas.openxmlformats.org/officeDocument/2006/relationships/image" Target="media/image1910.wmf"/><Relationship Id="rId4849" Type="http://schemas.openxmlformats.org/officeDocument/2006/relationships/oleObject" Target="embeddings/oleObject2415.bin"/><Relationship Id="rId8720" Type="http://schemas.openxmlformats.org/officeDocument/2006/relationships/oleObject" Target="embeddings/oleObject4343.bin"/><Relationship Id="rId10650" Type="http://schemas.openxmlformats.org/officeDocument/2006/relationships/image" Target="media/image5334.wmf"/><Relationship Id="rId6271" Type="http://schemas.openxmlformats.org/officeDocument/2006/relationships/image" Target="media/image3146.wmf"/><Relationship Id="rId7322" Type="http://schemas.openxmlformats.org/officeDocument/2006/relationships/image" Target="media/image3670.wmf"/><Relationship Id="rId10303" Type="http://schemas.openxmlformats.org/officeDocument/2006/relationships/image" Target="media/image5160.wmf"/><Relationship Id="rId11701" Type="http://schemas.openxmlformats.org/officeDocument/2006/relationships/oleObject" Target="embeddings/oleObject5802.bin"/><Relationship Id="rId9494" Type="http://schemas.openxmlformats.org/officeDocument/2006/relationships/image" Target="media/image4756.wmf"/><Relationship Id="rId13873" Type="http://schemas.openxmlformats.org/officeDocument/2006/relationships/image" Target="media/image6951.wmf"/><Relationship Id="rId1483" Type="http://schemas.openxmlformats.org/officeDocument/2006/relationships/oleObject" Target="embeddings/oleObject730.bin"/><Relationship Id="rId2881" Type="http://schemas.openxmlformats.org/officeDocument/2006/relationships/image" Target="media/image1450.wmf"/><Relationship Id="rId3932" Type="http://schemas.openxmlformats.org/officeDocument/2006/relationships/image" Target="media/image1977.wmf"/><Relationship Id="rId8096" Type="http://schemas.openxmlformats.org/officeDocument/2006/relationships/image" Target="media/image4057.wmf"/><Relationship Id="rId9147" Type="http://schemas.openxmlformats.org/officeDocument/2006/relationships/image" Target="media/image4583.wmf"/><Relationship Id="rId11077" Type="http://schemas.openxmlformats.org/officeDocument/2006/relationships/image" Target="media/image5550.wmf"/><Relationship Id="rId12475" Type="http://schemas.openxmlformats.org/officeDocument/2006/relationships/image" Target="media/image6252.wmf"/><Relationship Id="rId13526" Type="http://schemas.openxmlformats.org/officeDocument/2006/relationships/image" Target="media/image6778.wmf"/><Relationship Id="rId506" Type="http://schemas.openxmlformats.org/officeDocument/2006/relationships/oleObject" Target="embeddings/oleObject244.bin"/><Relationship Id="rId853" Type="http://schemas.openxmlformats.org/officeDocument/2006/relationships/oleObject" Target="embeddings/oleObject418.bin"/><Relationship Id="rId1136" Type="http://schemas.openxmlformats.org/officeDocument/2006/relationships/oleObject" Target="embeddings/oleObject558.bin"/><Relationship Id="rId2534" Type="http://schemas.openxmlformats.org/officeDocument/2006/relationships/image" Target="media/image1277.wmf"/><Relationship Id="rId12128" Type="http://schemas.openxmlformats.org/officeDocument/2006/relationships/image" Target="media/image6077.wmf"/><Relationship Id="rId5757" Type="http://schemas.openxmlformats.org/officeDocument/2006/relationships/image" Target="media/image2889.wmf"/><Relationship Id="rId6808" Type="http://schemas.microsoft.com/office/2007/relationships/hdphoto" Target="media/hdphoto15.wdp"/><Relationship Id="rId4359" Type="http://schemas.openxmlformats.org/officeDocument/2006/relationships/oleObject" Target="embeddings/oleObject2171.bin"/><Relationship Id="rId8230" Type="http://schemas.openxmlformats.org/officeDocument/2006/relationships/image" Target="media/image4124.wmf"/><Relationship Id="rId10160" Type="http://schemas.openxmlformats.org/officeDocument/2006/relationships/oleObject" Target="embeddings/oleObject5049.bin"/><Relationship Id="rId11211" Type="http://schemas.openxmlformats.org/officeDocument/2006/relationships/image" Target="media/image5617.wmf"/><Relationship Id="rId4840" Type="http://schemas.openxmlformats.org/officeDocument/2006/relationships/image" Target="media/image2430.wmf"/><Relationship Id="rId13383" Type="http://schemas.openxmlformats.org/officeDocument/2006/relationships/oleObject" Target="embeddings/oleObject6637.bin"/><Relationship Id="rId14434" Type="http://schemas.openxmlformats.org/officeDocument/2006/relationships/oleObject" Target="embeddings/oleObject7157.bin"/><Relationship Id="rId2391" Type="http://schemas.openxmlformats.org/officeDocument/2006/relationships/image" Target="media/image1204.wmf"/><Relationship Id="rId3442" Type="http://schemas.openxmlformats.org/officeDocument/2006/relationships/image" Target="media/image1732.wmf"/><Relationship Id="rId13036" Type="http://schemas.openxmlformats.org/officeDocument/2006/relationships/oleObject" Target="embeddings/oleObject6465.bin"/><Relationship Id="rId363" Type="http://schemas.openxmlformats.org/officeDocument/2006/relationships/oleObject" Target="embeddings/oleObject176.bin"/><Relationship Id="rId2044" Type="http://schemas.openxmlformats.org/officeDocument/2006/relationships/image" Target="media/image1028.wmf"/><Relationship Id="rId5267" Type="http://schemas.openxmlformats.org/officeDocument/2006/relationships/image" Target="media/image2644.wmf"/><Relationship Id="rId6318" Type="http://schemas.openxmlformats.org/officeDocument/2006/relationships/oleObject" Target="embeddings/oleObject3148.bin"/><Relationship Id="rId6665" Type="http://schemas.openxmlformats.org/officeDocument/2006/relationships/image" Target="media/image3342.wmf"/><Relationship Id="rId7716" Type="http://schemas.openxmlformats.org/officeDocument/2006/relationships/image" Target="media/image3867.wmf"/><Relationship Id="rId9888" Type="http://schemas.openxmlformats.org/officeDocument/2006/relationships/oleObject" Target="embeddings/oleObject4916.bin"/><Relationship Id="rId12869" Type="http://schemas.openxmlformats.org/officeDocument/2006/relationships/image" Target="media/image6449.wmf"/><Relationship Id="rId1877" Type="http://schemas.openxmlformats.org/officeDocument/2006/relationships/oleObject" Target="embeddings/oleObject926.bin"/><Relationship Id="rId2928" Type="http://schemas.openxmlformats.org/officeDocument/2006/relationships/oleObject" Target="embeddings/oleObject1452.bin"/><Relationship Id="rId14291" Type="http://schemas.openxmlformats.org/officeDocument/2006/relationships/image" Target="media/image7160.wmf"/><Relationship Id="rId4350" Type="http://schemas.openxmlformats.org/officeDocument/2006/relationships/image" Target="media/image2185.wmf"/><Relationship Id="rId5401" Type="http://schemas.openxmlformats.org/officeDocument/2006/relationships/image" Target="media/image2711.wmf"/><Relationship Id="rId8971" Type="http://schemas.openxmlformats.org/officeDocument/2006/relationships/image" Target="media/image4495.wmf"/><Relationship Id="rId4003" Type="http://schemas.openxmlformats.org/officeDocument/2006/relationships/image" Target="media/image2012.wmf"/><Relationship Id="rId7573" Type="http://schemas.openxmlformats.org/officeDocument/2006/relationships/oleObject" Target="embeddings/oleObject3771.bin"/><Relationship Id="rId8624" Type="http://schemas.openxmlformats.org/officeDocument/2006/relationships/image" Target="media/image4321.wmf"/><Relationship Id="rId11952" Type="http://schemas.openxmlformats.org/officeDocument/2006/relationships/image" Target="media/image5989.wmf"/><Relationship Id="rId6175" Type="http://schemas.openxmlformats.org/officeDocument/2006/relationships/image" Target="media/image3098.wmf"/><Relationship Id="rId7226" Type="http://schemas.openxmlformats.org/officeDocument/2006/relationships/image" Target="media/image3622.wmf"/><Relationship Id="rId10554" Type="http://schemas.openxmlformats.org/officeDocument/2006/relationships/image" Target="media/image5286.wmf"/><Relationship Id="rId11605" Type="http://schemas.openxmlformats.org/officeDocument/2006/relationships/image" Target="media/image5814.wmf"/><Relationship Id="rId9398" Type="http://schemas.openxmlformats.org/officeDocument/2006/relationships/image" Target="media/image4708.wmf"/><Relationship Id="rId10207" Type="http://schemas.openxmlformats.org/officeDocument/2006/relationships/image" Target="media/image5112.wmf"/><Relationship Id="rId13777" Type="http://schemas.openxmlformats.org/officeDocument/2006/relationships/image" Target="media/image6903.wmf"/><Relationship Id="rId2785" Type="http://schemas.openxmlformats.org/officeDocument/2006/relationships/oleObject" Target="embeddings/oleObject1380.bin"/><Relationship Id="rId3836" Type="http://schemas.openxmlformats.org/officeDocument/2006/relationships/image" Target="media/image1929.wmf"/><Relationship Id="rId12379" Type="http://schemas.openxmlformats.org/officeDocument/2006/relationships/image" Target="media/image6204.wmf"/><Relationship Id="rId757" Type="http://schemas.openxmlformats.org/officeDocument/2006/relationships/oleObject" Target="embeddings/oleObject367.bin"/><Relationship Id="rId1387" Type="http://schemas.openxmlformats.org/officeDocument/2006/relationships/oleObject" Target="embeddings/oleObject682.bin"/><Relationship Id="rId2438" Type="http://schemas.openxmlformats.org/officeDocument/2006/relationships/image" Target="media/image1228.wmf"/><Relationship Id="rId12860" Type="http://schemas.openxmlformats.org/officeDocument/2006/relationships/oleObject" Target="embeddings/oleObject6379.bin"/><Relationship Id="rId93" Type="http://schemas.openxmlformats.org/officeDocument/2006/relationships/image" Target="media/image44.wmf"/><Relationship Id="rId8481" Type="http://schemas.openxmlformats.org/officeDocument/2006/relationships/oleObject" Target="embeddings/oleObject4225.bin"/><Relationship Id="rId9532" Type="http://schemas.openxmlformats.org/officeDocument/2006/relationships/image" Target="media/image4775.wmf"/><Relationship Id="rId11462" Type="http://schemas.openxmlformats.org/officeDocument/2006/relationships/oleObject" Target="embeddings/oleObject5684.bin"/><Relationship Id="rId12513" Type="http://schemas.openxmlformats.org/officeDocument/2006/relationships/image" Target="media/image6271.wmf"/><Relationship Id="rId13911" Type="http://schemas.openxmlformats.org/officeDocument/2006/relationships/image" Target="media/image6970.wmf"/><Relationship Id="rId1521" Type="http://schemas.openxmlformats.org/officeDocument/2006/relationships/oleObject" Target="embeddings/oleObject747.bin"/><Relationship Id="rId7083" Type="http://schemas.openxmlformats.org/officeDocument/2006/relationships/image" Target="media/image3551.wmf"/><Relationship Id="rId8134" Type="http://schemas.openxmlformats.org/officeDocument/2006/relationships/image" Target="media/image4076.wmf"/><Relationship Id="rId10064" Type="http://schemas.openxmlformats.org/officeDocument/2006/relationships/oleObject" Target="embeddings/oleObject5001.bin"/><Relationship Id="rId11115" Type="http://schemas.openxmlformats.org/officeDocument/2006/relationships/image" Target="media/image5569.wmf"/><Relationship Id="rId3693" Type="http://schemas.openxmlformats.org/officeDocument/2006/relationships/oleObject" Target="embeddings/oleObject1837.bin"/><Relationship Id="rId13287" Type="http://schemas.openxmlformats.org/officeDocument/2006/relationships/image" Target="media/image6658.wmf"/><Relationship Id="rId2295" Type="http://schemas.openxmlformats.org/officeDocument/2006/relationships/image" Target="media/image1154.wmf"/><Relationship Id="rId3346" Type="http://schemas.openxmlformats.org/officeDocument/2006/relationships/image" Target="media/image1682.wmf"/><Relationship Id="rId4744" Type="http://schemas.openxmlformats.org/officeDocument/2006/relationships/image" Target="media/image2382.wmf"/><Relationship Id="rId14338" Type="http://schemas.openxmlformats.org/officeDocument/2006/relationships/oleObject" Target="embeddings/oleObject7115.bin"/><Relationship Id="rId267" Type="http://schemas.openxmlformats.org/officeDocument/2006/relationships/oleObject" Target="embeddings/oleObject128.bin"/><Relationship Id="rId7967" Type="http://schemas.openxmlformats.org/officeDocument/2006/relationships/oleObject" Target="embeddings/oleObject3968.bin"/><Relationship Id="rId10948" Type="http://schemas.openxmlformats.org/officeDocument/2006/relationships/image" Target="media/image5484.png"/><Relationship Id="rId6569" Type="http://schemas.openxmlformats.org/officeDocument/2006/relationships/image" Target="media/image3294.wmf"/><Relationship Id="rId12370" Type="http://schemas.openxmlformats.org/officeDocument/2006/relationships/oleObject" Target="embeddings/oleObject6134.bin"/><Relationship Id="rId13421" Type="http://schemas.openxmlformats.org/officeDocument/2006/relationships/oleObject" Target="embeddings/oleObject6656.bin"/><Relationship Id="rId9042" Type="http://schemas.openxmlformats.org/officeDocument/2006/relationships/oleObject" Target="embeddings/oleObject4501.bin"/><Relationship Id="rId12023" Type="http://schemas.openxmlformats.org/officeDocument/2006/relationships/oleObject" Target="embeddings/oleObject5963.bin"/><Relationship Id="rId401" Type="http://schemas.openxmlformats.org/officeDocument/2006/relationships/image" Target="media/image200.wmf"/><Relationship Id="rId1031" Type="http://schemas.openxmlformats.org/officeDocument/2006/relationships/image" Target="media/image521.wmf"/><Relationship Id="rId5652" Type="http://schemas.openxmlformats.org/officeDocument/2006/relationships/oleObject" Target="embeddings/oleObject2815.bin"/><Relationship Id="rId6703" Type="http://schemas.openxmlformats.org/officeDocument/2006/relationships/image" Target="media/image3361.wmf"/><Relationship Id="rId14195" Type="http://schemas.openxmlformats.org/officeDocument/2006/relationships/image" Target="media/image7112.wmf"/><Relationship Id="rId4254" Type="http://schemas.openxmlformats.org/officeDocument/2006/relationships/oleObject" Target="embeddings/oleObject2118.bin"/><Relationship Id="rId5305" Type="http://schemas.openxmlformats.org/officeDocument/2006/relationships/image" Target="media/image2663.wmf"/><Relationship Id="rId7477" Type="http://schemas.openxmlformats.org/officeDocument/2006/relationships/oleObject" Target="embeddings/oleObject3723.bin"/><Relationship Id="rId8528" Type="http://schemas.openxmlformats.org/officeDocument/2006/relationships/image" Target="media/image4273.wmf"/><Relationship Id="rId8875" Type="http://schemas.openxmlformats.org/officeDocument/2006/relationships/image" Target="media/image4447.wmf"/><Relationship Id="rId9926" Type="http://schemas.openxmlformats.org/officeDocument/2006/relationships/oleObject" Target="embeddings/oleObject4935.bin"/><Relationship Id="rId11856" Type="http://schemas.openxmlformats.org/officeDocument/2006/relationships/image" Target="media/image5941.wmf"/><Relationship Id="rId12907" Type="http://schemas.openxmlformats.org/officeDocument/2006/relationships/image" Target="media/image6468.wmf"/><Relationship Id="rId1915" Type="http://schemas.openxmlformats.org/officeDocument/2006/relationships/oleObject" Target="embeddings/oleObject945.bin"/><Relationship Id="rId6079" Type="http://schemas.openxmlformats.org/officeDocument/2006/relationships/image" Target="media/image3050.wmf"/><Relationship Id="rId10458" Type="http://schemas.openxmlformats.org/officeDocument/2006/relationships/image" Target="media/image5238.wmf"/><Relationship Id="rId11509" Type="http://schemas.openxmlformats.org/officeDocument/2006/relationships/image" Target="media/image5766.wmf"/><Relationship Id="rId2689" Type="http://schemas.openxmlformats.org/officeDocument/2006/relationships/oleObject" Target="embeddings/oleObject1332.bin"/><Relationship Id="rId6560" Type="http://schemas.openxmlformats.org/officeDocument/2006/relationships/oleObject" Target="embeddings/oleObject3267.bin"/><Relationship Id="rId7611" Type="http://schemas.openxmlformats.org/officeDocument/2006/relationships/oleObject" Target="embeddings/oleObject3790.bin"/><Relationship Id="rId5162" Type="http://schemas.openxmlformats.org/officeDocument/2006/relationships/image" Target="media/image2591.wmf"/><Relationship Id="rId6213" Type="http://schemas.openxmlformats.org/officeDocument/2006/relationships/image" Target="media/image3117.wmf"/><Relationship Id="rId9783" Type="http://schemas.openxmlformats.org/officeDocument/2006/relationships/oleObject" Target="embeddings/oleObject4863.bin"/><Relationship Id="rId1772" Type="http://schemas.openxmlformats.org/officeDocument/2006/relationships/image" Target="media/image892.wmf"/><Relationship Id="rId8385" Type="http://schemas.openxmlformats.org/officeDocument/2006/relationships/oleObject" Target="embeddings/oleObject4177.bin"/><Relationship Id="rId9436" Type="http://schemas.openxmlformats.org/officeDocument/2006/relationships/image" Target="media/image4727.png"/><Relationship Id="rId11366" Type="http://schemas.openxmlformats.org/officeDocument/2006/relationships/oleObject" Target="embeddings/oleObject5636.bin"/><Relationship Id="rId12764" Type="http://schemas.openxmlformats.org/officeDocument/2006/relationships/oleObject" Target="embeddings/oleObject6331.bin"/><Relationship Id="rId13815" Type="http://schemas.openxmlformats.org/officeDocument/2006/relationships/image" Target="media/image6922.wmf"/><Relationship Id="rId1425" Type="http://schemas.openxmlformats.org/officeDocument/2006/relationships/oleObject" Target="embeddings/oleObject701.bin"/><Relationship Id="rId2823" Type="http://schemas.openxmlformats.org/officeDocument/2006/relationships/oleObject" Target="embeddings/oleObject1399.bin"/><Relationship Id="rId8038" Type="http://schemas.openxmlformats.org/officeDocument/2006/relationships/image" Target="media/image4028.wmf"/><Relationship Id="rId11019" Type="http://schemas.openxmlformats.org/officeDocument/2006/relationships/oleObject" Target="embeddings/oleObject5465.bin"/><Relationship Id="rId12417" Type="http://schemas.openxmlformats.org/officeDocument/2006/relationships/image" Target="media/image6223.wmf"/><Relationship Id="rId4995" Type="http://schemas.openxmlformats.org/officeDocument/2006/relationships/oleObject" Target="embeddings/oleObject2487.bin"/><Relationship Id="rId14589" Type="http://schemas.openxmlformats.org/officeDocument/2006/relationships/oleObject" Target="embeddings/oleObject7235.bin"/><Relationship Id="rId2199" Type="http://schemas.openxmlformats.org/officeDocument/2006/relationships/oleObject" Target="embeddings/oleObject1087.bin"/><Relationship Id="rId3597" Type="http://schemas.openxmlformats.org/officeDocument/2006/relationships/oleObject" Target="embeddings/oleObject1789.bin"/><Relationship Id="rId4648" Type="http://schemas.openxmlformats.org/officeDocument/2006/relationships/image" Target="media/image2334.wmf"/><Relationship Id="rId6070" Type="http://schemas.openxmlformats.org/officeDocument/2006/relationships/oleObject" Target="embeddings/oleObject3024.bin"/><Relationship Id="rId11500" Type="http://schemas.openxmlformats.org/officeDocument/2006/relationships/oleObject" Target="embeddings/oleObject5703.bin"/><Relationship Id="rId7121" Type="http://schemas.openxmlformats.org/officeDocument/2006/relationships/image" Target="media/image3570.wmf"/><Relationship Id="rId10102" Type="http://schemas.openxmlformats.org/officeDocument/2006/relationships/oleObject" Target="embeddings/oleObject5020.bin"/><Relationship Id="rId13672" Type="http://schemas.openxmlformats.org/officeDocument/2006/relationships/image" Target="media/image6851.wmf"/><Relationship Id="rId2680" Type="http://schemas.openxmlformats.org/officeDocument/2006/relationships/image" Target="media/image1350.wmf"/><Relationship Id="rId3731" Type="http://schemas.openxmlformats.org/officeDocument/2006/relationships/oleObject" Target="embeddings/oleObject1856.bin"/><Relationship Id="rId9293" Type="http://schemas.openxmlformats.org/officeDocument/2006/relationships/oleObject" Target="embeddings/oleObject4627.bin"/><Relationship Id="rId12274" Type="http://schemas.openxmlformats.org/officeDocument/2006/relationships/image" Target="media/image6150.wmf"/><Relationship Id="rId13325" Type="http://schemas.openxmlformats.org/officeDocument/2006/relationships/image" Target="media/image6677.wmf"/><Relationship Id="rId652" Type="http://schemas.openxmlformats.org/officeDocument/2006/relationships/image" Target="media/image328.wmf"/><Relationship Id="rId1282" Type="http://schemas.openxmlformats.org/officeDocument/2006/relationships/image" Target="media/image646.wmf"/><Relationship Id="rId2333" Type="http://schemas.openxmlformats.org/officeDocument/2006/relationships/image" Target="media/image1175.wmf"/><Relationship Id="rId305" Type="http://schemas.openxmlformats.org/officeDocument/2006/relationships/oleObject" Target="embeddings/oleObject147.bin"/><Relationship Id="rId5556" Type="http://schemas.openxmlformats.org/officeDocument/2006/relationships/oleObject" Target="embeddings/oleObject2767.bin"/><Relationship Id="rId6607" Type="http://schemas.openxmlformats.org/officeDocument/2006/relationships/image" Target="media/image3313.wmf"/><Relationship Id="rId6954" Type="http://schemas.openxmlformats.org/officeDocument/2006/relationships/oleObject" Target="embeddings/oleObject3462.bin"/><Relationship Id="rId14099" Type="http://schemas.openxmlformats.org/officeDocument/2006/relationships/image" Target="media/image7064.wmf"/><Relationship Id="rId4158" Type="http://schemas.openxmlformats.org/officeDocument/2006/relationships/oleObject" Target="embeddings/oleObject2070.bin"/><Relationship Id="rId5209" Type="http://schemas.openxmlformats.org/officeDocument/2006/relationships/oleObject" Target="embeddings/oleObject2594.bin"/><Relationship Id="rId8779" Type="http://schemas.openxmlformats.org/officeDocument/2006/relationships/image" Target="media/image4399.wmf"/><Relationship Id="rId11010" Type="http://schemas.openxmlformats.org/officeDocument/2006/relationships/image" Target="media/image5515.wmf"/><Relationship Id="rId14580" Type="http://schemas.openxmlformats.org/officeDocument/2006/relationships/oleObject" Target="embeddings/oleObject7230.bin"/><Relationship Id="rId1819" Type="http://schemas.openxmlformats.org/officeDocument/2006/relationships/oleObject" Target="embeddings/oleObject897.bin"/><Relationship Id="rId13182" Type="http://schemas.openxmlformats.org/officeDocument/2006/relationships/oleObject" Target="embeddings/oleObject6538.bin"/><Relationship Id="rId14233" Type="http://schemas.openxmlformats.org/officeDocument/2006/relationships/image" Target="media/image7131.wmf"/><Relationship Id="rId2190" Type="http://schemas.openxmlformats.org/officeDocument/2006/relationships/image" Target="media/image1101.wmf"/><Relationship Id="rId3241" Type="http://schemas.openxmlformats.org/officeDocument/2006/relationships/image" Target="media/image1630.wmf"/><Relationship Id="rId7862" Type="http://schemas.openxmlformats.org/officeDocument/2006/relationships/image" Target="media/image3940.wmf"/><Relationship Id="rId8913" Type="http://schemas.openxmlformats.org/officeDocument/2006/relationships/image" Target="media/image4466.wmf"/><Relationship Id="rId162" Type="http://schemas.openxmlformats.org/officeDocument/2006/relationships/image" Target="media/image80.wmf"/><Relationship Id="rId6464" Type="http://schemas.openxmlformats.org/officeDocument/2006/relationships/oleObject" Target="embeddings/oleObject3222.bin"/><Relationship Id="rId7515" Type="http://schemas.openxmlformats.org/officeDocument/2006/relationships/oleObject" Target="embeddings/oleObject3742.bin"/><Relationship Id="rId10843" Type="http://schemas.openxmlformats.org/officeDocument/2006/relationships/oleObject" Target="embeddings/oleObject5384.bin"/><Relationship Id="rId5066" Type="http://schemas.openxmlformats.org/officeDocument/2006/relationships/image" Target="media/image2543.wmf"/><Relationship Id="rId6117" Type="http://schemas.openxmlformats.org/officeDocument/2006/relationships/image" Target="media/image3069.wmf"/><Relationship Id="rId9687" Type="http://schemas.microsoft.com/office/2007/relationships/hdphoto" Target="media/hdphoto26.wdp"/><Relationship Id="rId8289" Type="http://schemas.openxmlformats.org/officeDocument/2006/relationships/oleObject" Target="embeddings/oleObject4129.bin"/><Relationship Id="rId12668" Type="http://schemas.openxmlformats.org/officeDocument/2006/relationships/oleObject" Target="embeddings/oleObject6283.bin"/><Relationship Id="rId13719" Type="http://schemas.openxmlformats.org/officeDocument/2006/relationships/image" Target="media/image6874.wmf"/><Relationship Id="rId1676" Type="http://schemas.openxmlformats.org/officeDocument/2006/relationships/image" Target="media/image844.wmf"/><Relationship Id="rId2727" Type="http://schemas.openxmlformats.org/officeDocument/2006/relationships/oleObject" Target="embeddings/oleObject1351.bin"/><Relationship Id="rId14090" Type="http://schemas.openxmlformats.org/officeDocument/2006/relationships/oleObject" Target="embeddings/oleObject6991.bin"/><Relationship Id="rId1329" Type="http://schemas.openxmlformats.org/officeDocument/2006/relationships/oleObject" Target="embeddings/oleObject654.bin"/><Relationship Id="rId4899" Type="http://schemas.openxmlformats.org/officeDocument/2006/relationships/oleObject" Target="embeddings/oleObject2440.bin"/><Relationship Id="rId5200" Type="http://schemas.openxmlformats.org/officeDocument/2006/relationships/image" Target="media/image2610.wmf"/><Relationship Id="rId8770" Type="http://schemas.openxmlformats.org/officeDocument/2006/relationships/oleObject" Target="embeddings/oleObject4368.bin"/><Relationship Id="rId9821" Type="http://schemas.openxmlformats.org/officeDocument/2006/relationships/oleObject" Target="embeddings/oleObject4882.bin"/><Relationship Id="rId11751" Type="http://schemas.openxmlformats.org/officeDocument/2006/relationships/oleObject" Target="embeddings/oleObject5827.bin"/><Relationship Id="rId12802" Type="http://schemas.openxmlformats.org/officeDocument/2006/relationships/oleObject" Target="embeddings/oleObject6350.bin"/><Relationship Id="rId35" Type="http://schemas.openxmlformats.org/officeDocument/2006/relationships/image" Target="media/image15.wmf"/><Relationship Id="rId1810" Type="http://schemas.openxmlformats.org/officeDocument/2006/relationships/image" Target="media/image911.wmf"/><Relationship Id="rId7372" Type="http://schemas.openxmlformats.org/officeDocument/2006/relationships/image" Target="media/image3695.wmf"/><Relationship Id="rId8423" Type="http://schemas.openxmlformats.org/officeDocument/2006/relationships/oleObject" Target="embeddings/oleObject4196.bin"/><Relationship Id="rId10353" Type="http://schemas.openxmlformats.org/officeDocument/2006/relationships/image" Target="media/image5185.wmf"/><Relationship Id="rId11404" Type="http://schemas.openxmlformats.org/officeDocument/2006/relationships/oleObject" Target="embeddings/oleObject5655.bin"/><Relationship Id="rId3982" Type="http://schemas.openxmlformats.org/officeDocument/2006/relationships/oleObject" Target="embeddings/oleObject1982.bin"/><Relationship Id="rId7025" Type="http://schemas.openxmlformats.org/officeDocument/2006/relationships/image" Target="media/image3522.wmf"/><Relationship Id="rId10006" Type="http://schemas.openxmlformats.org/officeDocument/2006/relationships/oleObject" Target="embeddings/oleObject4972.bin"/><Relationship Id="rId13576" Type="http://schemas.openxmlformats.org/officeDocument/2006/relationships/image" Target="media/image6803.wmf"/><Relationship Id="rId2584" Type="http://schemas.openxmlformats.org/officeDocument/2006/relationships/image" Target="media/image1302.wmf"/><Relationship Id="rId3635" Type="http://schemas.openxmlformats.org/officeDocument/2006/relationships/oleObject" Target="embeddings/oleObject1808.bin"/><Relationship Id="rId9197" Type="http://schemas.openxmlformats.org/officeDocument/2006/relationships/oleObject" Target="embeddings/oleObject4579.bin"/><Relationship Id="rId12178" Type="http://schemas.openxmlformats.org/officeDocument/2006/relationships/image" Target="media/image6102.wmf"/><Relationship Id="rId13229" Type="http://schemas.openxmlformats.org/officeDocument/2006/relationships/image" Target="media/image6629.wmf"/><Relationship Id="rId556" Type="http://schemas.openxmlformats.org/officeDocument/2006/relationships/image" Target="media/image279.wmf"/><Relationship Id="rId1186" Type="http://schemas.openxmlformats.org/officeDocument/2006/relationships/oleObject" Target="embeddings/oleObject583.bin"/><Relationship Id="rId2237" Type="http://schemas.openxmlformats.org/officeDocument/2006/relationships/image" Target="media/image1125.wmf"/><Relationship Id="rId209" Type="http://schemas.openxmlformats.org/officeDocument/2006/relationships/oleObject" Target="embeddings/oleObject99.bin"/><Relationship Id="rId6858" Type="http://schemas.openxmlformats.org/officeDocument/2006/relationships/oleObject" Target="embeddings/oleObject3414.bin"/><Relationship Id="rId7909" Type="http://schemas.openxmlformats.org/officeDocument/2006/relationships/oleObject" Target="embeddings/oleObject3939.bin"/><Relationship Id="rId8280" Type="http://schemas.openxmlformats.org/officeDocument/2006/relationships/image" Target="media/image4149.wmf"/><Relationship Id="rId13710" Type="http://schemas.openxmlformats.org/officeDocument/2006/relationships/oleObject" Target="embeddings/oleObject6801.bin"/><Relationship Id="rId9331" Type="http://schemas.openxmlformats.org/officeDocument/2006/relationships/oleObject" Target="embeddings/oleObject4646.bin"/><Relationship Id="rId11261" Type="http://schemas.openxmlformats.org/officeDocument/2006/relationships/image" Target="media/image5642.wmf"/><Relationship Id="rId12312" Type="http://schemas.openxmlformats.org/officeDocument/2006/relationships/oleObject" Target="embeddings/oleObject6105.bin"/><Relationship Id="rId1320" Type="http://schemas.openxmlformats.org/officeDocument/2006/relationships/image" Target="media/image665.wmf"/><Relationship Id="rId4890" Type="http://schemas.openxmlformats.org/officeDocument/2006/relationships/image" Target="media/image2455.wmf"/><Relationship Id="rId5941" Type="http://schemas.openxmlformats.org/officeDocument/2006/relationships/image" Target="media/image2981.wmf"/><Relationship Id="rId14484" Type="http://schemas.openxmlformats.org/officeDocument/2006/relationships/oleObject" Target="embeddings/oleObject7182.bin"/><Relationship Id="rId3492" Type="http://schemas.openxmlformats.org/officeDocument/2006/relationships/image" Target="media/image1757.wmf"/><Relationship Id="rId4543" Type="http://schemas.openxmlformats.org/officeDocument/2006/relationships/oleObject" Target="embeddings/oleObject2263.bin"/><Relationship Id="rId13086" Type="http://schemas.openxmlformats.org/officeDocument/2006/relationships/oleObject" Target="embeddings/oleObject6490.bin"/><Relationship Id="rId14137" Type="http://schemas.openxmlformats.org/officeDocument/2006/relationships/image" Target="media/image7083.wmf"/><Relationship Id="rId2094" Type="http://schemas.openxmlformats.org/officeDocument/2006/relationships/image" Target="media/image1053.wmf"/><Relationship Id="rId3145" Type="http://schemas.openxmlformats.org/officeDocument/2006/relationships/image" Target="media/image1582.wmf"/><Relationship Id="rId7766" Type="http://schemas.openxmlformats.org/officeDocument/2006/relationships/image" Target="media/image3892.wmf"/><Relationship Id="rId8817" Type="http://schemas.openxmlformats.org/officeDocument/2006/relationships/image" Target="media/image4418.wmf"/><Relationship Id="rId6368" Type="http://schemas.openxmlformats.org/officeDocument/2006/relationships/oleObject" Target="embeddings/oleObject3174.bin"/><Relationship Id="rId7419" Type="http://schemas.openxmlformats.org/officeDocument/2006/relationships/oleObject" Target="embeddings/oleObject3694.bin"/><Relationship Id="rId10747" Type="http://schemas.openxmlformats.org/officeDocument/2006/relationships/oleObject" Target="embeddings/oleObject5336.bin"/><Relationship Id="rId13220" Type="http://schemas.openxmlformats.org/officeDocument/2006/relationships/oleObject" Target="embeddings/oleObject6557.bin"/><Relationship Id="rId200" Type="http://schemas.openxmlformats.org/officeDocument/2006/relationships/image" Target="media/image99.wmf"/><Relationship Id="rId2978" Type="http://schemas.openxmlformats.org/officeDocument/2006/relationships/oleObject" Target="embeddings/oleObject1477.bin"/><Relationship Id="rId7900" Type="http://schemas.openxmlformats.org/officeDocument/2006/relationships/image" Target="media/image3959.wmf"/><Relationship Id="rId5451" Type="http://schemas.openxmlformats.org/officeDocument/2006/relationships/image" Target="media/image2736.wmf"/><Relationship Id="rId6502" Type="http://schemas.openxmlformats.org/officeDocument/2006/relationships/oleObject" Target="embeddings/oleObject3241.bin"/><Relationship Id="rId4053" Type="http://schemas.openxmlformats.org/officeDocument/2006/relationships/image" Target="media/image2037.wmf"/><Relationship Id="rId5104" Type="http://schemas.openxmlformats.org/officeDocument/2006/relationships/image" Target="media/image2562.wmf"/><Relationship Id="rId8674" Type="http://schemas.openxmlformats.org/officeDocument/2006/relationships/oleObject" Target="embeddings/oleObject4320.bin"/><Relationship Id="rId9725" Type="http://schemas.openxmlformats.org/officeDocument/2006/relationships/oleObject" Target="embeddings/oleObject4834.bin"/><Relationship Id="rId11655" Type="http://schemas.openxmlformats.org/officeDocument/2006/relationships/image" Target="media/image5839.wmf"/><Relationship Id="rId1714" Type="http://schemas.openxmlformats.org/officeDocument/2006/relationships/image" Target="media/image863.wmf"/><Relationship Id="rId7276" Type="http://schemas.openxmlformats.org/officeDocument/2006/relationships/image" Target="media/image3647.wmf"/><Relationship Id="rId8327" Type="http://schemas.openxmlformats.org/officeDocument/2006/relationships/oleObject" Target="embeddings/oleObject4148.bin"/><Relationship Id="rId10257" Type="http://schemas.openxmlformats.org/officeDocument/2006/relationships/image" Target="media/image5137.wmf"/><Relationship Id="rId11308" Type="http://schemas.openxmlformats.org/officeDocument/2006/relationships/oleObject" Target="embeddings/oleObject5607.bin"/><Relationship Id="rId12706" Type="http://schemas.openxmlformats.org/officeDocument/2006/relationships/oleObject" Target="embeddings/oleObject6302.bin"/><Relationship Id="rId2488" Type="http://schemas.openxmlformats.org/officeDocument/2006/relationships/image" Target="media/image1254.wmf"/><Relationship Id="rId3886" Type="http://schemas.openxmlformats.org/officeDocument/2006/relationships/image" Target="media/image1954.wmf"/><Relationship Id="rId4937" Type="http://schemas.openxmlformats.org/officeDocument/2006/relationships/oleObject" Target="embeddings/oleObject2458.bin"/><Relationship Id="rId3539" Type="http://schemas.openxmlformats.org/officeDocument/2006/relationships/oleObject" Target="embeddings/oleObject1760.bin"/><Relationship Id="rId6012" Type="http://schemas.openxmlformats.org/officeDocument/2006/relationships/oleObject" Target="embeddings/oleObject2995.bin"/><Relationship Id="rId7410" Type="http://schemas.openxmlformats.org/officeDocument/2006/relationships/image" Target="media/image3714.wmf"/><Relationship Id="rId13961" Type="http://schemas.openxmlformats.org/officeDocument/2006/relationships/image" Target="media/image6995.wmf"/><Relationship Id="rId9582" Type="http://schemas.openxmlformats.org/officeDocument/2006/relationships/image" Target="media/image4800.wmf"/><Relationship Id="rId12563" Type="http://schemas.openxmlformats.org/officeDocument/2006/relationships/image" Target="media/image6296.wmf"/><Relationship Id="rId13614" Type="http://schemas.openxmlformats.org/officeDocument/2006/relationships/image" Target="media/image6822.wmf"/><Relationship Id="rId941" Type="http://schemas.openxmlformats.org/officeDocument/2006/relationships/image" Target="media/image476.wmf"/><Relationship Id="rId1571" Type="http://schemas.openxmlformats.org/officeDocument/2006/relationships/oleObject" Target="embeddings/oleObject772.bin"/><Relationship Id="rId2622" Type="http://schemas.openxmlformats.org/officeDocument/2006/relationships/image" Target="media/image1321.wmf"/><Relationship Id="rId8184" Type="http://schemas.openxmlformats.org/officeDocument/2006/relationships/image" Target="media/image4101.wmf"/><Relationship Id="rId9235" Type="http://schemas.openxmlformats.org/officeDocument/2006/relationships/oleObject" Target="embeddings/oleObject4598.bin"/><Relationship Id="rId11165" Type="http://schemas.openxmlformats.org/officeDocument/2006/relationships/image" Target="media/image5594.wmf"/><Relationship Id="rId12216" Type="http://schemas.openxmlformats.org/officeDocument/2006/relationships/image" Target="media/image6121.wmf"/><Relationship Id="rId1224" Type="http://schemas.openxmlformats.org/officeDocument/2006/relationships/image" Target="media/image617.wmf"/><Relationship Id="rId4794" Type="http://schemas.openxmlformats.org/officeDocument/2006/relationships/image" Target="media/image2407.wmf"/><Relationship Id="rId5845" Type="http://schemas.openxmlformats.org/officeDocument/2006/relationships/image" Target="media/image2933.wmf"/><Relationship Id="rId14388" Type="http://schemas.openxmlformats.org/officeDocument/2006/relationships/oleObject" Target="embeddings/oleObject7138.bin"/><Relationship Id="rId3396" Type="http://schemas.openxmlformats.org/officeDocument/2006/relationships/image" Target="media/image1708.wmf"/><Relationship Id="rId4447" Type="http://schemas.openxmlformats.org/officeDocument/2006/relationships/oleObject" Target="embeddings/oleObject2215.bin"/><Relationship Id="rId3049" Type="http://schemas.openxmlformats.org/officeDocument/2006/relationships/image" Target="media/image1534.wmf"/><Relationship Id="rId10998" Type="http://schemas.openxmlformats.org/officeDocument/2006/relationships/image" Target="media/image5509.wmf"/><Relationship Id="rId9092" Type="http://schemas.openxmlformats.org/officeDocument/2006/relationships/oleObject" Target="embeddings/oleObject4526.bin"/><Relationship Id="rId13471" Type="http://schemas.openxmlformats.org/officeDocument/2006/relationships/oleObject" Target="embeddings/oleObject6681.bin"/><Relationship Id="rId14522" Type="http://schemas.openxmlformats.org/officeDocument/2006/relationships/oleObject" Target="embeddings/oleObject7201.bin"/><Relationship Id="rId1081" Type="http://schemas.openxmlformats.org/officeDocument/2006/relationships/image" Target="media/image546.wmf"/><Relationship Id="rId3530" Type="http://schemas.openxmlformats.org/officeDocument/2006/relationships/image" Target="media/image1776.wmf"/><Relationship Id="rId12073" Type="http://schemas.openxmlformats.org/officeDocument/2006/relationships/oleObject" Target="embeddings/oleObject5988.bin"/><Relationship Id="rId13124" Type="http://schemas.openxmlformats.org/officeDocument/2006/relationships/oleObject" Target="embeddings/oleObject6509.bin"/><Relationship Id="rId451" Type="http://schemas.openxmlformats.org/officeDocument/2006/relationships/image" Target="media/image225.wmf"/><Relationship Id="rId2132" Type="http://schemas.openxmlformats.org/officeDocument/2006/relationships/image" Target="media/image1072.wmf"/><Relationship Id="rId6753" Type="http://schemas.openxmlformats.org/officeDocument/2006/relationships/image" Target="media/image3386.wmf"/><Relationship Id="rId7804" Type="http://schemas.openxmlformats.org/officeDocument/2006/relationships/image" Target="media/image3911.wmf"/><Relationship Id="rId104" Type="http://schemas.openxmlformats.org/officeDocument/2006/relationships/oleObject" Target="embeddings/oleObject48.bin"/><Relationship Id="rId5355" Type="http://schemas.openxmlformats.org/officeDocument/2006/relationships/image" Target="media/image2688.wmf"/><Relationship Id="rId6406" Type="http://schemas.openxmlformats.org/officeDocument/2006/relationships/oleObject" Target="embeddings/oleObject3193.bin"/><Relationship Id="rId9976" Type="http://schemas.openxmlformats.org/officeDocument/2006/relationships/oleObject" Target="embeddings/oleObject4958.bin"/><Relationship Id="rId5008" Type="http://schemas.openxmlformats.org/officeDocument/2006/relationships/image" Target="media/image2514.wmf"/><Relationship Id="rId8578" Type="http://schemas.openxmlformats.org/officeDocument/2006/relationships/image" Target="media/image4298.wmf"/><Relationship Id="rId9629" Type="http://schemas.openxmlformats.org/officeDocument/2006/relationships/oleObject" Target="embeddings/oleObject4793.bin"/><Relationship Id="rId12957" Type="http://schemas.openxmlformats.org/officeDocument/2006/relationships/image" Target="media/image6493.wmf"/><Relationship Id="rId1965" Type="http://schemas.openxmlformats.org/officeDocument/2006/relationships/oleObject" Target="embeddings/oleObject970.bin"/><Relationship Id="rId11559" Type="http://schemas.openxmlformats.org/officeDocument/2006/relationships/image" Target="media/image5791.wmf"/><Relationship Id="rId14032" Type="http://schemas.openxmlformats.org/officeDocument/2006/relationships/oleObject" Target="embeddings/oleObject6962.bin"/><Relationship Id="rId1618" Type="http://schemas.openxmlformats.org/officeDocument/2006/relationships/image" Target="media/image815.wmf"/><Relationship Id="rId3040" Type="http://schemas.openxmlformats.org/officeDocument/2006/relationships/oleObject" Target="embeddings/oleObject1508.bin"/><Relationship Id="rId7661" Type="http://schemas.openxmlformats.org/officeDocument/2006/relationships/oleObject" Target="embeddings/oleObject3815.bin"/><Relationship Id="rId8712" Type="http://schemas.openxmlformats.org/officeDocument/2006/relationships/oleObject" Target="embeddings/oleObject4339.bin"/><Relationship Id="rId10642" Type="http://schemas.openxmlformats.org/officeDocument/2006/relationships/image" Target="media/image5330.wmf"/><Relationship Id="rId6263" Type="http://schemas.openxmlformats.org/officeDocument/2006/relationships/image" Target="media/image3142.wmf"/><Relationship Id="rId7314" Type="http://schemas.openxmlformats.org/officeDocument/2006/relationships/image" Target="media/image3666.wmf"/><Relationship Id="rId13865" Type="http://schemas.openxmlformats.org/officeDocument/2006/relationships/image" Target="media/image6947.wmf"/><Relationship Id="rId2873" Type="http://schemas.openxmlformats.org/officeDocument/2006/relationships/image" Target="media/image1446.wmf"/><Relationship Id="rId3924" Type="http://schemas.openxmlformats.org/officeDocument/2006/relationships/image" Target="media/image1973.wmf"/><Relationship Id="rId9486" Type="http://schemas.openxmlformats.org/officeDocument/2006/relationships/image" Target="media/image4752.wmf"/><Relationship Id="rId12467" Type="http://schemas.openxmlformats.org/officeDocument/2006/relationships/image" Target="media/image6248.wmf"/><Relationship Id="rId13518" Type="http://schemas.openxmlformats.org/officeDocument/2006/relationships/image" Target="media/image6774.wmf"/><Relationship Id="rId845" Type="http://schemas.openxmlformats.org/officeDocument/2006/relationships/oleObject" Target="embeddings/oleObject414.bin"/><Relationship Id="rId1475" Type="http://schemas.openxmlformats.org/officeDocument/2006/relationships/oleObject" Target="embeddings/oleObject726.bin"/><Relationship Id="rId2526" Type="http://schemas.openxmlformats.org/officeDocument/2006/relationships/image" Target="media/image1273.wmf"/><Relationship Id="rId8088" Type="http://schemas.openxmlformats.org/officeDocument/2006/relationships/image" Target="media/image4053.wmf"/><Relationship Id="rId9139" Type="http://schemas.openxmlformats.org/officeDocument/2006/relationships/image" Target="media/image4579.wmf"/><Relationship Id="rId11069" Type="http://schemas.openxmlformats.org/officeDocument/2006/relationships/image" Target="media/image5546.wmf"/><Relationship Id="rId1128" Type="http://schemas.openxmlformats.org/officeDocument/2006/relationships/oleObject" Target="embeddings/oleObject554.bin"/><Relationship Id="rId4698" Type="http://schemas.openxmlformats.org/officeDocument/2006/relationships/image" Target="media/image2359.wmf"/><Relationship Id="rId5749" Type="http://schemas.openxmlformats.org/officeDocument/2006/relationships/image" Target="media/image2885.wmf"/><Relationship Id="rId7171" Type="http://schemas.openxmlformats.org/officeDocument/2006/relationships/oleObject" Target="embeddings/oleObject3570.bin"/><Relationship Id="rId8222" Type="http://schemas.openxmlformats.org/officeDocument/2006/relationships/image" Target="media/image4120.wmf"/><Relationship Id="rId9620" Type="http://schemas.openxmlformats.org/officeDocument/2006/relationships/image" Target="media/image4819.wmf"/><Relationship Id="rId11550" Type="http://schemas.openxmlformats.org/officeDocument/2006/relationships/oleObject" Target="embeddings/oleObject5728.bin"/><Relationship Id="rId12601" Type="http://schemas.openxmlformats.org/officeDocument/2006/relationships/image" Target="media/image6315.wmf"/><Relationship Id="rId10152" Type="http://schemas.openxmlformats.org/officeDocument/2006/relationships/oleObject" Target="embeddings/oleObject5045.bin"/><Relationship Id="rId11203" Type="http://schemas.openxmlformats.org/officeDocument/2006/relationships/image" Target="media/image5613.wmf"/><Relationship Id="rId3781" Type="http://schemas.openxmlformats.org/officeDocument/2006/relationships/oleObject" Target="embeddings/oleObject1881.bin"/><Relationship Id="rId4832" Type="http://schemas.openxmlformats.org/officeDocument/2006/relationships/image" Target="media/image2426.wmf"/><Relationship Id="rId13375" Type="http://schemas.openxmlformats.org/officeDocument/2006/relationships/oleObject" Target="embeddings/oleObject6633.bin"/><Relationship Id="rId14426" Type="http://schemas.microsoft.com/office/2007/relationships/hdphoto" Target="media/hdphoto53.wdp"/><Relationship Id="rId2383" Type="http://schemas.openxmlformats.org/officeDocument/2006/relationships/image" Target="media/image1200.wmf"/><Relationship Id="rId3434" Type="http://schemas.openxmlformats.org/officeDocument/2006/relationships/image" Target="media/image1728.wmf"/><Relationship Id="rId13028" Type="http://schemas.openxmlformats.org/officeDocument/2006/relationships/oleObject" Target="embeddings/oleObject6461.bin"/><Relationship Id="rId355" Type="http://schemas.openxmlformats.org/officeDocument/2006/relationships/oleObject" Target="embeddings/oleObject172.bin"/><Relationship Id="rId2036" Type="http://schemas.openxmlformats.org/officeDocument/2006/relationships/image" Target="media/image1024.wmf"/><Relationship Id="rId6657" Type="http://schemas.openxmlformats.org/officeDocument/2006/relationships/image" Target="media/image3338.wmf"/><Relationship Id="rId7708" Type="http://schemas.openxmlformats.org/officeDocument/2006/relationships/image" Target="media/image3863.wmf"/><Relationship Id="rId5259" Type="http://schemas.openxmlformats.org/officeDocument/2006/relationships/image" Target="media/image2640.wmf"/><Relationship Id="rId9130" Type="http://schemas.openxmlformats.org/officeDocument/2006/relationships/oleObject" Target="embeddings/oleObject4545.bin"/><Relationship Id="rId11060" Type="http://schemas.openxmlformats.org/officeDocument/2006/relationships/image" Target="media/image5540.png"/><Relationship Id="rId12111" Type="http://schemas.openxmlformats.org/officeDocument/2006/relationships/oleObject" Target="embeddings/oleObject6007.bin"/><Relationship Id="rId1869" Type="http://schemas.openxmlformats.org/officeDocument/2006/relationships/oleObject" Target="embeddings/oleObject922.bin"/><Relationship Id="rId3291" Type="http://schemas.openxmlformats.org/officeDocument/2006/relationships/oleObject" Target="embeddings/oleObject1634.bin"/><Relationship Id="rId5740" Type="http://schemas.openxmlformats.org/officeDocument/2006/relationships/oleObject" Target="embeddings/oleObject2859.bin"/><Relationship Id="rId14283" Type="http://schemas.openxmlformats.org/officeDocument/2006/relationships/image" Target="media/image7156.wmf"/><Relationship Id="rId4342" Type="http://schemas.openxmlformats.org/officeDocument/2006/relationships/image" Target="media/image2181.wmf"/><Relationship Id="rId8963" Type="http://schemas.openxmlformats.org/officeDocument/2006/relationships/image" Target="media/image4491.wmf"/><Relationship Id="rId10893" Type="http://schemas.openxmlformats.org/officeDocument/2006/relationships/oleObject" Target="embeddings/oleObject5409.bin"/><Relationship Id="rId11944" Type="http://schemas.openxmlformats.org/officeDocument/2006/relationships/image" Target="media/image5985.wmf"/><Relationship Id="rId7565" Type="http://schemas.openxmlformats.org/officeDocument/2006/relationships/oleObject" Target="embeddings/oleObject3767.bin"/><Relationship Id="rId8616" Type="http://schemas.openxmlformats.org/officeDocument/2006/relationships/image" Target="media/image4317.wmf"/><Relationship Id="rId10546" Type="http://schemas.openxmlformats.org/officeDocument/2006/relationships/image" Target="media/image5282.wmf"/><Relationship Id="rId6167" Type="http://schemas.openxmlformats.org/officeDocument/2006/relationships/image" Target="media/image3094.wmf"/><Relationship Id="rId7218" Type="http://schemas.openxmlformats.org/officeDocument/2006/relationships/image" Target="media/image3618.wmf"/><Relationship Id="rId2777" Type="http://schemas.openxmlformats.org/officeDocument/2006/relationships/oleObject" Target="embeddings/oleObject1376.bin"/><Relationship Id="rId13769" Type="http://schemas.openxmlformats.org/officeDocument/2006/relationships/image" Target="media/image6899.wmf"/><Relationship Id="rId749" Type="http://schemas.openxmlformats.org/officeDocument/2006/relationships/oleObject" Target="embeddings/oleObject363.bin"/><Relationship Id="rId1379" Type="http://schemas.openxmlformats.org/officeDocument/2006/relationships/oleObject" Target="embeddings/oleObject678.bin"/><Relationship Id="rId3828" Type="http://schemas.openxmlformats.org/officeDocument/2006/relationships/image" Target="media/image1925.wmf"/><Relationship Id="rId5250" Type="http://schemas.openxmlformats.org/officeDocument/2006/relationships/oleObject" Target="embeddings/oleObject2614.bin"/><Relationship Id="rId6301" Type="http://schemas.openxmlformats.org/officeDocument/2006/relationships/image" Target="media/image3161.wmf"/><Relationship Id="rId9871" Type="http://schemas.openxmlformats.org/officeDocument/2006/relationships/image" Target="media/image4944.wmf"/><Relationship Id="rId12852" Type="http://schemas.openxmlformats.org/officeDocument/2006/relationships/oleObject" Target="embeddings/oleObject6375.bin"/><Relationship Id="rId13903" Type="http://schemas.openxmlformats.org/officeDocument/2006/relationships/image" Target="media/image6966.wmf"/><Relationship Id="rId85" Type="http://schemas.openxmlformats.org/officeDocument/2006/relationships/image" Target="media/image40.wmf"/><Relationship Id="rId1860" Type="http://schemas.openxmlformats.org/officeDocument/2006/relationships/image" Target="media/image936.wmf"/><Relationship Id="rId2911" Type="http://schemas.openxmlformats.org/officeDocument/2006/relationships/image" Target="media/image1465.wmf"/><Relationship Id="rId7075" Type="http://schemas.openxmlformats.org/officeDocument/2006/relationships/image" Target="media/image3547.wmf"/><Relationship Id="rId8473" Type="http://schemas.openxmlformats.org/officeDocument/2006/relationships/oleObject" Target="embeddings/oleObject4221.bin"/><Relationship Id="rId9524" Type="http://schemas.openxmlformats.org/officeDocument/2006/relationships/image" Target="media/image4771.wmf"/><Relationship Id="rId11454" Type="http://schemas.openxmlformats.org/officeDocument/2006/relationships/oleObject" Target="embeddings/oleObject5680.bin"/><Relationship Id="rId12505" Type="http://schemas.openxmlformats.org/officeDocument/2006/relationships/image" Target="media/image6267.wmf"/><Relationship Id="rId1513" Type="http://schemas.openxmlformats.org/officeDocument/2006/relationships/oleObject" Target="embeddings/oleObject743.bin"/><Relationship Id="rId8126" Type="http://schemas.openxmlformats.org/officeDocument/2006/relationships/image" Target="media/image4072.wmf"/><Relationship Id="rId10056" Type="http://schemas.openxmlformats.org/officeDocument/2006/relationships/oleObject" Target="embeddings/oleObject4997.bin"/><Relationship Id="rId11107" Type="http://schemas.openxmlformats.org/officeDocument/2006/relationships/image" Target="media/image5565.wmf"/><Relationship Id="rId3685" Type="http://schemas.openxmlformats.org/officeDocument/2006/relationships/oleObject" Target="embeddings/oleObject1833.bin"/><Relationship Id="rId4736" Type="http://schemas.openxmlformats.org/officeDocument/2006/relationships/image" Target="media/image2378.wmf"/><Relationship Id="rId13279" Type="http://schemas.openxmlformats.org/officeDocument/2006/relationships/image" Target="media/image6654.wmf"/><Relationship Id="rId2287" Type="http://schemas.openxmlformats.org/officeDocument/2006/relationships/image" Target="media/image1150.wmf"/><Relationship Id="rId3338" Type="http://schemas.openxmlformats.org/officeDocument/2006/relationships/image" Target="media/image1678.wmf"/><Relationship Id="rId7959" Type="http://schemas.openxmlformats.org/officeDocument/2006/relationships/oleObject" Target="embeddings/oleObject3964.bin"/><Relationship Id="rId259" Type="http://schemas.openxmlformats.org/officeDocument/2006/relationships/oleObject" Target="embeddings/oleObject124.bin"/><Relationship Id="rId9381" Type="http://schemas.openxmlformats.org/officeDocument/2006/relationships/oleObject" Target="embeddings/oleObject4671.bin"/><Relationship Id="rId13760" Type="http://schemas.openxmlformats.org/officeDocument/2006/relationships/oleObject" Target="embeddings/oleObject6826.bin"/><Relationship Id="rId1370" Type="http://schemas.openxmlformats.org/officeDocument/2006/relationships/image" Target="media/image690.wmf"/><Relationship Id="rId9034" Type="http://schemas.openxmlformats.org/officeDocument/2006/relationships/oleObject" Target="embeddings/oleObject4497.bin"/><Relationship Id="rId12362" Type="http://schemas.openxmlformats.org/officeDocument/2006/relationships/oleObject" Target="embeddings/oleObject6130.bin"/><Relationship Id="rId13413" Type="http://schemas.openxmlformats.org/officeDocument/2006/relationships/oleObject" Target="embeddings/oleObject6652.bin"/><Relationship Id="rId740" Type="http://schemas.openxmlformats.org/officeDocument/2006/relationships/image" Target="media/image372.wmf"/><Relationship Id="rId1023" Type="http://schemas.openxmlformats.org/officeDocument/2006/relationships/image" Target="media/image517.wmf"/><Relationship Id="rId2421" Type="http://schemas.openxmlformats.org/officeDocument/2006/relationships/image" Target="media/image1219.wmf"/><Relationship Id="rId5991" Type="http://schemas.openxmlformats.org/officeDocument/2006/relationships/image" Target="media/image3006.wmf"/><Relationship Id="rId12015" Type="http://schemas.openxmlformats.org/officeDocument/2006/relationships/oleObject" Target="embeddings/oleObject5959.bin"/><Relationship Id="rId4593" Type="http://schemas.openxmlformats.org/officeDocument/2006/relationships/oleObject" Target="embeddings/oleObject2288.bin"/><Relationship Id="rId5644" Type="http://schemas.openxmlformats.org/officeDocument/2006/relationships/oleObject" Target="embeddings/oleObject2811.bin"/><Relationship Id="rId14187" Type="http://schemas.openxmlformats.org/officeDocument/2006/relationships/image" Target="media/image7108.wmf"/><Relationship Id="rId3195" Type="http://schemas.openxmlformats.org/officeDocument/2006/relationships/image" Target="media/image1607.wmf"/><Relationship Id="rId4246" Type="http://schemas.openxmlformats.org/officeDocument/2006/relationships/oleObject" Target="embeddings/oleObject2114.bin"/><Relationship Id="rId8867" Type="http://schemas.openxmlformats.org/officeDocument/2006/relationships/image" Target="media/image4443.wmf"/><Relationship Id="rId9918" Type="http://schemas.openxmlformats.org/officeDocument/2006/relationships/oleObject" Target="embeddings/oleObject4931.bin"/><Relationship Id="rId10797" Type="http://schemas.openxmlformats.org/officeDocument/2006/relationships/oleObject" Target="embeddings/oleObject5361.bin"/><Relationship Id="rId7469" Type="http://schemas.openxmlformats.org/officeDocument/2006/relationships/oleObject" Target="embeddings/oleObject3719.bin"/><Relationship Id="rId11848" Type="http://schemas.openxmlformats.org/officeDocument/2006/relationships/image" Target="media/image5937.wmf"/><Relationship Id="rId13270" Type="http://schemas.openxmlformats.org/officeDocument/2006/relationships/oleObject" Target="embeddings/oleObject6582.bin"/><Relationship Id="rId14321" Type="http://schemas.openxmlformats.org/officeDocument/2006/relationships/image" Target="media/image7175.wmf"/><Relationship Id="rId1907" Type="http://schemas.openxmlformats.org/officeDocument/2006/relationships/oleObject" Target="embeddings/oleObject941.bin"/><Relationship Id="rId250" Type="http://schemas.openxmlformats.org/officeDocument/2006/relationships/image" Target="media/image124.wmf"/><Relationship Id="rId7950" Type="http://schemas.openxmlformats.org/officeDocument/2006/relationships/image" Target="media/image3984.wmf"/><Relationship Id="rId10931" Type="http://schemas.openxmlformats.org/officeDocument/2006/relationships/oleObject" Target="embeddings/oleObject5428.bin"/><Relationship Id="rId5154" Type="http://schemas.openxmlformats.org/officeDocument/2006/relationships/image" Target="media/image2587.wmf"/><Relationship Id="rId6552" Type="http://schemas.openxmlformats.org/officeDocument/2006/relationships/oleObject" Target="embeddings/oleObject3263.bin"/><Relationship Id="rId7603" Type="http://schemas.openxmlformats.org/officeDocument/2006/relationships/oleObject" Target="embeddings/oleObject3786.bin"/><Relationship Id="rId6205" Type="http://schemas.openxmlformats.org/officeDocument/2006/relationships/image" Target="media/image3113.wmf"/><Relationship Id="rId9775" Type="http://schemas.openxmlformats.org/officeDocument/2006/relationships/oleObject" Target="embeddings/oleObject4859.bin"/><Relationship Id="rId12756" Type="http://schemas.openxmlformats.org/officeDocument/2006/relationships/oleObject" Target="embeddings/oleObject6327.bin"/><Relationship Id="rId13807" Type="http://schemas.openxmlformats.org/officeDocument/2006/relationships/image" Target="media/image6918.wmf"/><Relationship Id="rId1764" Type="http://schemas.openxmlformats.org/officeDocument/2006/relationships/image" Target="media/image888.wmf"/><Relationship Id="rId2815" Type="http://schemas.openxmlformats.org/officeDocument/2006/relationships/oleObject" Target="embeddings/oleObject1395.bin"/><Relationship Id="rId8377" Type="http://schemas.openxmlformats.org/officeDocument/2006/relationships/oleObject" Target="embeddings/oleObject4173.bin"/><Relationship Id="rId9428" Type="http://schemas.openxmlformats.org/officeDocument/2006/relationships/image" Target="media/image4723.wmf"/><Relationship Id="rId11358" Type="http://schemas.openxmlformats.org/officeDocument/2006/relationships/oleObject" Target="embeddings/oleObject5632.bin"/><Relationship Id="rId12409" Type="http://schemas.openxmlformats.org/officeDocument/2006/relationships/image" Target="media/image6219.wmf"/><Relationship Id="rId1417" Type="http://schemas.openxmlformats.org/officeDocument/2006/relationships/oleObject" Target="embeddings/oleObject697.bin"/><Relationship Id="rId4987" Type="http://schemas.openxmlformats.org/officeDocument/2006/relationships/oleObject" Target="embeddings/oleObject2483.bin"/><Relationship Id="rId3589" Type="http://schemas.openxmlformats.org/officeDocument/2006/relationships/oleObject" Target="embeddings/oleObject1785.bin"/><Relationship Id="rId7460" Type="http://schemas.openxmlformats.org/officeDocument/2006/relationships/image" Target="media/image3739.wmf"/><Relationship Id="rId8511" Type="http://schemas.openxmlformats.org/officeDocument/2006/relationships/oleObject" Target="embeddings/oleObject4240.bin"/><Relationship Id="rId6062" Type="http://schemas.openxmlformats.org/officeDocument/2006/relationships/oleObject" Target="embeddings/oleObject3020.bin"/><Relationship Id="rId7113" Type="http://schemas.openxmlformats.org/officeDocument/2006/relationships/image" Target="media/image3566.wmf"/><Relationship Id="rId10441" Type="http://schemas.openxmlformats.org/officeDocument/2006/relationships/oleObject" Target="embeddings/oleObject5187.bin"/><Relationship Id="rId9285" Type="http://schemas.openxmlformats.org/officeDocument/2006/relationships/oleObject" Target="embeddings/oleObject4623.bin"/><Relationship Id="rId13664" Type="http://schemas.openxmlformats.org/officeDocument/2006/relationships/image" Target="media/image6847.wmf"/><Relationship Id="rId991" Type="http://schemas.openxmlformats.org/officeDocument/2006/relationships/image" Target="media/image501.wmf"/><Relationship Id="rId2672" Type="http://schemas.openxmlformats.org/officeDocument/2006/relationships/image" Target="media/image1346.wmf"/><Relationship Id="rId3723" Type="http://schemas.openxmlformats.org/officeDocument/2006/relationships/oleObject" Target="embeddings/oleObject1852.bin"/><Relationship Id="rId12266" Type="http://schemas.openxmlformats.org/officeDocument/2006/relationships/image" Target="media/image6146.wmf"/><Relationship Id="rId13317" Type="http://schemas.openxmlformats.org/officeDocument/2006/relationships/image" Target="media/image6673.wmf"/><Relationship Id="rId644" Type="http://schemas.openxmlformats.org/officeDocument/2006/relationships/image" Target="media/image323.wmf"/><Relationship Id="rId1274" Type="http://schemas.openxmlformats.org/officeDocument/2006/relationships/image" Target="media/image642.wmf"/><Relationship Id="rId2325" Type="http://schemas.openxmlformats.org/officeDocument/2006/relationships/image" Target="media/image1171.wmf"/><Relationship Id="rId5895" Type="http://schemas.openxmlformats.org/officeDocument/2006/relationships/image" Target="media/image2958.wmf"/><Relationship Id="rId6946" Type="http://schemas.openxmlformats.org/officeDocument/2006/relationships/oleObject" Target="embeddings/oleObject3458.bin"/><Relationship Id="rId4497" Type="http://schemas.openxmlformats.org/officeDocument/2006/relationships/oleObject" Target="embeddings/oleObject2240.bin"/><Relationship Id="rId5548" Type="http://schemas.openxmlformats.org/officeDocument/2006/relationships/oleObject" Target="embeddings/oleObject2763.bin"/><Relationship Id="rId12400" Type="http://schemas.openxmlformats.org/officeDocument/2006/relationships/oleObject" Target="embeddings/oleObject6149.bin"/><Relationship Id="rId3099" Type="http://schemas.openxmlformats.org/officeDocument/2006/relationships/image" Target="media/image1559.wmf"/><Relationship Id="rId8021" Type="http://schemas.openxmlformats.org/officeDocument/2006/relationships/oleObject" Target="embeddings/oleObject3995.bin"/><Relationship Id="rId11002" Type="http://schemas.openxmlformats.org/officeDocument/2006/relationships/image" Target="media/image5511.wmf"/><Relationship Id="rId3580" Type="http://schemas.openxmlformats.org/officeDocument/2006/relationships/image" Target="media/image1801.wmf"/><Relationship Id="rId13174" Type="http://schemas.openxmlformats.org/officeDocument/2006/relationships/oleObject" Target="embeddings/oleObject6534.bin"/><Relationship Id="rId14572" Type="http://schemas.openxmlformats.org/officeDocument/2006/relationships/oleObject" Target="embeddings/oleObject7226.bin"/><Relationship Id="rId2182" Type="http://schemas.openxmlformats.org/officeDocument/2006/relationships/image" Target="media/image1097.wmf"/><Relationship Id="rId3233" Type="http://schemas.openxmlformats.org/officeDocument/2006/relationships/image" Target="media/image1626.wmf"/><Relationship Id="rId4631" Type="http://schemas.openxmlformats.org/officeDocument/2006/relationships/oleObject" Target="embeddings/oleObject2307.bin"/><Relationship Id="rId14225" Type="http://schemas.openxmlformats.org/officeDocument/2006/relationships/image" Target="media/image7127.wmf"/><Relationship Id="rId154" Type="http://schemas.openxmlformats.org/officeDocument/2006/relationships/image" Target="media/image76.wmf"/><Relationship Id="rId7854" Type="http://schemas.openxmlformats.org/officeDocument/2006/relationships/image" Target="media/image3936.wmf"/><Relationship Id="rId8905" Type="http://schemas.openxmlformats.org/officeDocument/2006/relationships/image" Target="media/image4462.wmf"/><Relationship Id="rId10835" Type="http://schemas.openxmlformats.org/officeDocument/2006/relationships/oleObject" Target="embeddings/oleObject5380.bin"/><Relationship Id="rId6456" Type="http://schemas.openxmlformats.org/officeDocument/2006/relationships/oleObject" Target="embeddings/oleObject3218.bin"/><Relationship Id="rId7507" Type="http://schemas.openxmlformats.org/officeDocument/2006/relationships/oleObject" Target="embeddings/oleObject3738.bin"/><Relationship Id="rId5058" Type="http://schemas.openxmlformats.org/officeDocument/2006/relationships/image" Target="media/image2539.wmf"/><Relationship Id="rId6109" Type="http://schemas.openxmlformats.org/officeDocument/2006/relationships/image" Target="media/image3065.wmf"/><Relationship Id="rId9679" Type="http://schemas.openxmlformats.org/officeDocument/2006/relationships/oleObject" Target="embeddings/oleObject4818.bin"/><Relationship Id="rId1668" Type="http://schemas.openxmlformats.org/officeDocument/2006/relationships/image" Target="media/image840.wmf"/><Relationship Id="rId2719" Type="http://schemas.openxmlformats.org/officeDocument/2006/relationships/oleObject" Target="embeddings/oleObject1347.bin"/><Relationship Id="rId14082" Type="http://schemas.openxmlformats.org/officeDocument/2006/relationships/oleObject" Target="embeddings/oleObject6987.bin"/><Relationship Id="rId3090" Type="http://schemas.openxmlformats.org/officeDocument/2006/relationships/oleObject" Target="embeddings/oleObject1533.bin"/><Relationship Id="rId4141" Type="http://schemas.openxmlformats.org/officeDocument/2006/relationships/image" Target="media/image2081.wmf"/><Relationship Id="rId7364" Type="http://schemas.openxmlformats.org/officeDocument/2006/relationships/image" Target="media/image3691.wmf"/><Relationship Id="rId8762" Type="http://schemas.openxmlformats.org/officeDocument/2006/relationships/oleObject" Target="embeddings/oleObject4364.bin"/><Relationship Id="rId9813" Type="http://schemas.openxmlformats.org/officeDocument/2006/relationships/oleObject" Target="embeddings/oleObject4878.bin"/><Relationship Id="rId10692" Type="http://schemas.openxmlformats.org/officeDocument/2006/relationships/image" Target="media/image5355.wmf"/><Relationship Id="rId11743" Type="http://schemas.openxmlformats.org/officeDocument/2006/relationships/oleObject" Target="embeddings/oleObject5823.bin"/><Relationship Id="rId27" Type="http://schemas.openxmlformats.org/officeDocument/2006/relationships/image" Target="media/image11.wmf"/><Relationship Id="rId1802" Type="http://schemas.openxmlformats.org/officeDocument/2006/relationships/image" Target="media/image907.wmf"/><Relationship Id="rId7017" Type="http://schemas.openxmlformats.org/officeDocument/2006/relationships/image" Target="media/image3518.wmf"/><Relationship Id="rId8415" Type="http://schemas.openxmlformats.org/officeDocument/2006/relationships/oleObject" Target="embeddings/oleObject4192.bin"/><Relationship Id="rId10345" Type="http://schemas.openxmlformats.org/officeDocument/2006/relationships/image" Target="media/image5181.wmf"/><Relationship Id="rId3974" Type="http://schemas.openxmlformats.org/officeDocument/2006/relationships/oleObject" Target="embeddings/oleObject1978.bin"/><Relationship Id="rId13568" Type="http://schemas.openxmlformats.org/officeDocument/2006/relationships/image" Target="media/image6799.wmf"/><Relationship Id="rId895" Type="http://schemas.openxmlformats.org/officeDocument/2006/relationships/oleObject" Target="embeddings/oleObject439.bin"/><Relationship Id="rId2576" Type="http://schemas.openxmlformats.org/officeDocument/2006/relationships/image" Target="media/image1298.wmf"/><Relationship Id="rId3627" Type="http://schemas.openxmlformats.org/officeDocument/2006/relationships/oleObject" Target="embeddings/oleObject1804.bin"/><Relationship Id="rId9189" Type="http://schemas.openxmlformats.org/officeDocument/2006/relationships/oleObject" Target="embeddings/oleObject4575.bin"/><Relationship Id="rId548" Type="http://schemas.openxmlformats.org/officeDocument/2006/relationships/image" Target="media/image275.wmf"/><Relationship Id="rId1178" Type="http://schemas.openxmlformats.org/officeDocument/2006/relationships/oleObject" Target="embeddings/oleObject579.bin"/><Relationship Id="rId2229" Type="http://schemas.openxmlformats.org/officeDocument/2006/relationships/oleObject" Target="embeddings/oleObject1102.bin"/><Relationship Id="rId5799" Type="http://schemas.openxmlformats.org/officeDocument/2006/relationships/image" Target="media/image2910.wmf"/><Relationship Id="rId6100" Type="http://schemas.openxmlformats.org/officeDocument/2006/relationships/oleObject" Target="embeddings/oleObject3039.bin"/><Relationship Id="rId9670" Type="http://schemas.openxmlformats.org/officeDocument/2006/relationships/image" Target="media/image4844.wmf"/><Relationship Id="rId8272" Type="http://schemas.openxmlformats.org/officeDocument/2006/relationships/image" Target="media/image4145.wmf"/><Relationship Id="rId9323" Type="http://schemas.openxmlformats.org/officeDocument/2006/relationships/oleObject" Target="embeddings/oleObject4642.bin"/><Relationship Id="rId12651" Type="http://schemas.openxmlformats.org/officeDocument/2006/relationships/image" Target="media/image6340.wmf"/><Relationship Id="rId13702" Type="http://schemas.openxmlformats.org/officeDocument/2006/relationships/oleObject" Target="embeddings/oleObject6797.bin"/><Relationship Id="rId1312" Type="http://schemas.openxmlformats.org/officeDocument/2006/relationships/image" Target="media/image661.wmf"/><Relationship Id="rId2710" Type="http://schemas.openxmlformats.org/officeDocument/2006/relationships/image" Target="media/image1365.wmf"/><Relationship Id="rId11253" Type="http://schemas.openxmlformats.org/officeDocument/2006/relationships/image" Target="media/image5638.wmf"/><Relationship Id="rId12304" Type="http://schemas.openxmlformats.org/officeDocument/2006/relationships/oleObject" Target="embeddings/oleObject6101.bin"/><Relationship Id="rId4882" Type="http://schemas.openxmlformats.org/officeDocument/2006/relationships/image" Target="media/image2451.wmf"/><Relationship Id="rId5933" Type="http://schemas.openxmlformats.org/officeDocument/2006/relationships/image" Target="media/image2977.wmf"/><Relationship Id="rId14476" Type="http://schemas.openxmlformats.org/officeDocument/2006/relationships/oleObject" Target="embeddings/oleObject7178.bin"/><Relationship Id="rId2086" Type="http://schemas.openxmlformats.org/officeDocument/2006/relationships/image" Target="media/image1049.wmf"/><Relationship Id="rId3484" Type="http://schemas.openxmlformats.org/officeDocument/2006/relationships/image" Target="media/image1753.wmf"/><Relationship Id="rId4535" Type="http://schemas.openxmlformats.org/officeDocument/2006/relationships/oleObject" Target="embeddings/oleObject2259.bin"/><Relationship Id="rId13078" Type="http://schemas.openxmlformats.org/officeDocument/2006/relationships/oleObject" Target="embeddings/oleObject6486.bin"/><Relationship Id="rId14129" Type="http://schemas.openxmlformats.org/officeDocument/2006/relationships/image" Target="media/image7079.wmf"/><Relationship Id="rId3137" Type="http://schemas.openxmlformats.org/officeDocument/2006/relationships/image" Target="media/image1578.wmf"/><Relationship Id="rId7758" Type="http://schemas.openxmlformats.org/officeDocument/2006/relationships/image" Target="media/image3888.wmf"/><Relationship Id="rId8809" Type="http://schemas.openxmlformats.org/officeDocument/2006/relationships/image" Target="media/image4414.wmf"/><Relationship Id="rId10739" Type="http://schemas.openxmlformats.org/officeDocument/2006/relationships/oleObject" Target="embeddings/oleObject5332.bin"/><Relationship Id="rId9180" Type="http://schemas.openxmlformats.org/officeDocument/2006/relationships/image" Target="media/image4599.wmf"/><Relationship Id="rId12161" Type="http://schemas.openxmlformats.org/officeDocument/2006/relationships/oleObject" Target="embeddings/oleObject6032.bin"/><Relationship Id="rId13212" Type="http://schemas.openxmlformats.org/officeDocument/2006/relationships/oleObject" Target="embeddings/oleObject6553.bin"/><Relationship Id="rId2220" Type="http://schemas.openxmlformats.org/officeDocument/2006/relationships/image" Target="media/image1116.wmf"/><Relationship Id="rId5790" Type="http://schemas.openxmlformats.org/officeDocument/2006/relationships/oleObject" Target="embeddings/oleObject2884.bin"/><Relationship Id="rId4392" Type="http://schemas.openxmlformats.org/officeDocument/2006/relationships/image" Target="media/image2206.wmf"/><Relationship Id="rId5443" Type="http://schemas.openxmlformats.org/officeDocument/2006/relationships/image" Target="media/image2732.wmf"/><Relationship Id="rId6841" Type="http://schemas.openxmlformats.org/officeDocument/2006/relationships/image" Target="media/image3430.wmf"/><Relationship Id="rId4045" Type="http://schemas.openxmlformats.org/officeDocument/2006/relationships/image" Target="media/image2033.wmf"/><Relationship Id="rId11994" Type="http://schemas.openxmlformats.org/officeDocument/2006/relationships/image" Target="media/image6010.wmf"/><Relationship Id="rId8666" Type="http://schemas.openxmlformats.org/officeDocument/2006/relationships/oleObject" Target="embeddings/oleObject4316.bin"/><Relationship Id="rId9717" Type="http://schemas.openxmlformats.org/officeDocument/2006/relationships/oleObject" Target="embeddings/oleObject4830.bin"/><Relationship Id="rId10596" Type="http://schemas.openxmlformats.org/officeDocument/2006/relationships/image" Target="media/image5307.wmf"/><Relationship Id="rId11647" Type="http://schemas.openxmlformats.org/officeDocument/2006/relationships/image" Target="media/image5835.wmf"/><Relationship Id="rId1706" Type="http://schemas.openxmlformats.org/officeDocument/2006/relationships/image" Target="media/image859.wmf"/><Relationship Id="rId7268" Type="http://schemas.openxmlformats.org/officeDocument/2006/relationships/image" Target="media/image3643.wmf"/><Relationship Id="rId8319" Type="http://schemas.openxmlformats.org/officeDocument/2006/relationships/oleObject" Target="embeddings/oleObject4144.bin"/><Relationship Id="rId10249" Type="http://schemas.openxmlformats.org/officeDocument/2006/relationships/image" Target="media/image5133.wmf"/><Relationship Id="rId14120" Type="http://schemas.openxmlformats.org/officeDocument/2006/relationships/oleObject" Target="embeddings/oleObject7006.bin"/><Relationship Id="rId3878" Type="http://schemas.openxmlformats.org/officeDocument/2006/relationships/image" Target="media/image1950.wmf"/><Relationship Id="rId4929" Type="http://schemas.openxmlformats.org/officeDocument/2006/relationships/oleObject" Target="embeddings/oleObject2455.bin"/><Relationship Id="rId8800" Type="http://schemas.openxmlformats.org/officeDocument/2006/relationships/oleObject" Target="embeddings/oleObject4383.bin"/><Relationship Id="rId799" Type="http://schemas.openxmlformats.org/officeDocument/2006/relationships/oleObject" Target="embeddings/oleObject391.bin"/><Relationship Id="rId6351" Type="http://schemas.openxmlformats.org/officeDocument/2006/relationships/image" Target="media/image3185.wmf"/><Relationship Id="rId7402" Type="http://schemas.openxmlformats.org/officeDocument/2006/relationships/image" Target="media/image3710.wmf"/><Relationship Id="rId10730" Type="http://schemas.openxmlformats.org/officeDocument/2006/relationships/image" Target="media/image5374.wmf"/><Relationship Id="rId6004" Type="http://schemas.openxmlformats.org/officeDocument/2006/relationships/oleObject" Target="embeddings/oleObject2991.bin"/><Relationship Id="rId9574" Type="http://schemas.openxmlformats.org/officeDocument/2006/relationships/image" Target="media/image4796.wmf"/><Relationship Id="rId13953" Type="http://schemas.openxmlformats.org/officeDocument/2006/relationships/image" Target="media/image6991.wmf"/><Relationship Id="rId2961" Type="http://schemas.openxmlformats.org/officeDocument/2006/relationships/image" Target="media/image1490.wmf"/><Relationship Id="rId8176" Type="http://schemas.openxmlformats.org/officeDocument/2006/relationships/image" Target="media/image4097.wmf"/><Relationship Id="rId9227" Type="http://schemas.openxmlformats.org/officeDocument/2006/relationships/oleObject" Target="embeddings/oleObject4594.bin"/><Relationship Id="rId12555" Type="http://schemas.openxmlformats.org/officeDocument/2006/relationships/image" Target="media/image6292.wmf"/><Relationship Id="rId13606" Type="http://schemas.openxmlformats.org/officeDocument/2006/relationships/image" Target="media/image6818.wmf"/><Relationship Id="rId933" Type="http://schemas.openxmlformats.org/officeDocument/2006/relationships/image" Target="media/image472.wmf"/><Relationship Id="rId1563" Type="http://schemas.openxmlformats.org/officeDocument/2006/relationships/oleObject" Target="embeddings/oleObject768.bin"/><Relationship Id="rId2614" Type="http://schemas.openxmlformats.org/officeDocument/2006/relationships/image" Target="media/image1317.wmf"/><Relationship Id="rId11157" Type="http://schemas.openxmlformats.org/officeDocument/2006/relationships/image" Target="media/image5590.wmf"/><Relationship Id="rId12208" Type="http://schemas.openxmlformats.org/officeDocument/2006/relationships/image" Target="media/image6117.wmf"/><Relationship Id="rId1216" Type="http://schemas.openxmlformats.org/officeDocument/2006/relationships/image" Target="media/image613.wmf"/><Relationship Id="rId4786" Type="http://schemas.openxmlformats.org/officeDocument/2006/relationships/image" Target="media/image2403.wmf"/><Relationship Id="rId5837" Type="http://schemas.openxmlformats.org/officeDocument/2006/relationships/image" Target="media/image2929.wmf"/><Relationship Id="rId3388" Type="http://schemas.openxmlformats.org/officeDocument/2006/relationships/image" Target="media/image1704.wmf"/><Relationship Id="rId4439" Type="http://schemas.openxmlformats.org/officeDocument/2006/relationships/oleObject" Target="embeddings/oleObject2211.bin"/><Relationship Id="rId8310" Type="http://schemas.openxmlformats.org/officeDocument/2006/relationships/image" Target="media/image4164.wmf"/><Relationship Id="rId10240" Type="http://schemas.openxmlformats.org/officeDocument/2006/relationships/oleObject" Target="embeddings/oleObject5087.bin"/><Relationship Id="rId790" Type="http://schemas.openxmlformats.org/officeDocument/2006/relationships/image" Target="media/image400.wmf"/><Relationship Id="rId2471" Type="http://schemas.openxmlformats.org/officeDocument/2006/relationships/oleObject" Target="embeddings/oleObject1223.bin"/><Relationship Id="rId3522" Type="http://schemas.openxmlformats.org/officeDocument/2006/relationships/image" Target="media/image1772.wmf"/><Relationship Id="rId4920" Type="http://schemas.openxmlformats.org/officeDocument/2006/relationships/image" Target="media/image2470.wmf"/><Relationship Id="rId9084" Type="http://schemas.openxmlformats.org/officeDocument/2006/relationships/oleObject" Target="embeddings/oleObject4522.bin"/><Relationship Id="rId12065" Type="http://schemas.openxmlformats.org/officeDocument/2006/relationships/oleObject" Target="embeddings/oleObject5984.bin"/><Relationship Id="rId13116" Type="http://schemas.openxmlformats.org/officeDocument/2006/relationships/oleObject" Target="embeddings/oleObject6505.bin"/><Relationship Id="rId13463" Type="http://schemas.openxmlformats.org/officeDocument/2006/relationships/oleObject" Target="embeddings/oleObject6677.bin"/><Relationship Id="rId14514" Type="http://schemas.openxmlformats.org/officeDocument/2006/relationships/oleObject" Target="embeddings/oleObject7197.bin"/><Relationship Id="rId443" Type="http://schemas.openxmlformats.org/officeDocument/2006/relationships/image" Target="media/image221.wmf"/><Relationship Id="rId1073" Type="http://schemas.openxmlformats.org/officeDocument/2006/relationships/image" Target="media/image542.wmf"/><Relationship Id="rId2124" Type="http://schemas.openxmlformats.org/officeDocument/2006/relationships/image" Target="media/image1068.wmf"/><Relationship Id="rId4296" Type="http://schemas.openxmlformats.org/officeDocument/2006/relationships/oleObject" Target="embeddings/oleObject2139.bin"/><Relationship Id="rId5694" Type="http://schemas.openxmlformats.org/officeDocument/2006/relationships/oleObject" Target="embeddings/oleObject2836.bin"/><Relationship Id="rId6745" Type="http://schemas.openxmlformats.org/officeDocument/2006/relationships/image" Target="media/image3382.wmf"/><Relationship Id="rId5347" Type="http://schemas.openxmlformats.org/officeDocument/2006/relationships/image" Target="media/image2684.wmf"/><Relationship Id="rId9968" Type="http://schemas.openxmlformats.org/officeDocument/2006/relationships/oleObject" Target="embeddings/oleObject4954.bin"/><Relationship Id="rId11898" Type="http://schemas.openxmlformats.org/officeDocument/2006/relationships/image" Target="media/image5962.wmf"/><Relationship Id="rId12949" Type="http://schemas.openxmlformats.org/officeDocument/2006/relationships/image" Target="media/image6489.wmf"/><Relationship Id="rId1957" Type="http://schemas.openxmlformats.org/officeDocument/2006/relationships/oleObject" Target="embeddings/oleObject966.bin"/><Relationship Id="rId14371" Type="http://schemas.openxmlformats.org/officeDocument/2006/relationships/image" Target="media/image7200.png"/><Relationship Id="rId4430" Type="http://schemas.openxmlformats.org/officeDocument/2006/relationships/image" Target="media/image2225.wmf"/><Relationship Id="rId14024" Type="http://schemas.openxmlformats.org/officeDocument/2006/relationships/oleObject" Target="embeddings/oleObject6958.bin"/><Relationship Id="rId3032" Type="http://schemas.openxmlformats.org/officeDocument/2006/relationships/oleObject" Target="embeddings/oleObject1504.bin"/><Relationship Id="rId7653" Type="http://schemas.openxmlformats.org/officeDocument/2006/relationships/oleObject" Target="embeddings/oleObject3811.bin"/><Relationship Id="rId10981" Type="http://schemas.openxmlformats.org/officeDocument/2006/relationships/oleObject" Target="embeddings/oleObject5446.bin"/><Relationship Id="rId6255" Type="http://schemas.openxmlformats.org/officeDocument/2006/relationships/image" Target="media/image3138.wmf"/><Relationship Id="rId7306" Type="http://schemas.openxmlformats.org/officeDocument/2006/relationships/image" Target="media/image3662.wmf"/><Relationship Id="rId8704" Type="http://schemas.openxmlformats.org/officeDocument/2006/relationships/oleObject" Target="embeddings/oleObject4335.bin"/><Relationship Id="rId10634" Type="http://schemas.openxmlformats.org/officeDocument/2006/relationships/image" Target="media/image5326.wmf"/><Relationship Id="rId13857" Type="http://schemas.openxmlformats.org/officeDocument/2006/relationships/image" Target="media/image6943.wmf"/><Relationship Id="rId2865" Type="http://schemas.openxmlformats.org/officeDocument/2006/relationships/image" Target="media/image1442.wmf"/><Relationship Id="rId3916" Type="http://schemas.openxmlformats.org/officeDocument/2006/relationships/image" Target="media/image1969.wmf"/><Relationship Id="rId9478" Type="http://schemas.openxmlformats.org/officeDocument/2006/relationships/image" Target="media/image4748.wmf"/><Relationship Id="rId12459" Type="http://schemas.openxmlformats.org/officeDocument/2006/relationships/image" Target="media/image6244.wmf"/><Relationship Id="rId837" Type="http://schemas.openxmlformats.org/officeDocument/2006/relationships/oleObject" Target="embeddings/oleObject410.bin"/><Relationship Id="rId1467" Type="http://schemas.openxmlformats.org/officeDocument/2006/relationships/oleObject" Target="embeddings/oleObject722.bin"/><Relationship Id="rId2518" Type="http://schemas.openxmlformats.org/officeDocument/2006/relationships/image" Target="media/image1269.wmf"/><Relationship Id="rId8561" Type="http://schemas.openxmlformats.org/officeDocument/2006/relationships/oleObject" Target="embeddings/oleObject4265.bin"/><Relationship Id="rId9612" Type="http://schemas.openxmlformats.org/officeDocument/2006/relationships/image" Target="media/image4815.wmf"/><Relationship Id="rId10491" Type="http://schemas.openxmlformats.org/officeDocument/2006/relationships/oleObject" Target="embeddings/oleObject5210.bin"/><Relationship Id="rId12940" Type="http://schemas.openxmlformats.org/officeDocument/2006/relationships/oleObject" Target="embeddings/oleObject6419.bin"/><Relationship Id="rId1601" Type="http://schemas.openxmlformats.org/officeDocument/2006/relationships/oleObject" Target="embeddings/oleObject788.bin"/><Relationship Id="rId7163" Type="http://schemas.openxmlformats.org/officeDocument/2006/relationships/oleObject" Target="embeddings/oleObject3566.bin"/><Relationship Id="rId8214" Type="http://schemas.openxmlformats.org/officeDocument/2006/relationships/image" Target="media/image4116.wmf"/><Relationship Id="rId10144" Type="http://schemas.openxmlformats.org/officeDocument/2006/relationships/oleObject" Target="embeddings/oleObject5041.bin"/><Relationship Id="rId11542" Type="http://schemas.openxmlformats.org/officeDocument/2006/relationships/oleObject" Target="embeddings/oleObject5724.bin"/><Relationship Id="rId694" Type="http://schemas.openxmlformats.org/officeDocument/2006/relationships/image" Target="media/image349.wmf"/><Relationship Id="rId2375" Type="http://schemas.openxmlformats.org/officeDocument/2006/relationships/image" Target="media/image1196.wmf"/><Relationship Id="rId3773" Type="http://schemas.openxmlformats.org/officeDocument/2006/relationships/oleObject" Target="embeddings/oleObject1877.bin"/><Relationship Id="rId4824" Type="http://schemas.openxmlformats.org/officeDocument/2006/relationships/image" Target="media/image2422.wmf"/><Relationship Id="rId13367" Type="http://schemas.openxmlformats.org/officeDocument/2006/relationships/oleObject" Target="embeddings/oleObject6629.bin"/><Relationship Id="rId14418" Type="http://schemas.openxmlformats.org/officeDocument/2006/relationships/oleObject" Target="embeddings/oleObject7153.bin"/><Relationship Id="rId347" Type="http://schemas.openxmlformats.org/officeDocument/2006/relationships/oleObject" Target="embeddings/oleObject168.bin"/><Relationship Id="rId2028" Type="http://schemas.openxmlformats.org/officeDocument/2006/relationships/image" Target="media/image1020.wmf"/><Relationship Id="rId3426" Type="http://schemas.openxmlformats.org/officeDocument/2006/relationships/image" Target="media/image1724.wmf"/><Relationship Id="rId6996" Type="http://schemas.openxmlformats.org/officeDocument/2006/relationships/oleObject" Target="embeddings/oleObject3483.bin"/><Relationship Id="rId5598" Type="http://schemas.openxmlformats.org/officeDocument/2006/relationships/oleObject" Target="embeddings/oleObject2788.bin"/><Relationship Id="rId6649" Type="http://schemas.openxmlformats.org/officeDocument/2006/relationships/image" Target="media/image3334.wmf"/><Relationship Id="rId12450" Type="http://schemas.openxmlformats.org/officeDocument/2006/relationships/oleObject" Target="embeddings/oleObject6174.bin"/><Relationship Id="rId13501" Type="http://schemas.openxmlformats.org/officeDocument/2006/relationships/oleObject" Target="embeddings/oleObject6696.bin"/><Relationship Id="rId8071" Type="http://schemas.openxmlformats.org/officeDocument/2006/relationships/oleObject" Target="embeddings/oleObject4020.bin"/><Relationship Id="rId9122" Type="http://schemas.openxmlformats.org/officeDocument/2006/relationships/oleObject" Target="embeddings/oleObject4541.bin"/><Relationship Id="rId11052" Type="http://schemas.openxmlformats.org/officeDocument/2006/relationships/image" Target="media/image5536.wmf"/><Relationship Id="rId12103" Type="http://schemas.openxmlformats.org/officeDocument/2006/relationships/oleObject" Target="embeddings/oleObject6003.bin"/><Relationship Id="rId1111" Type="http://schemas.openxmlformats.org/officeDocument/2006/relationships/image" Target="media/image561.wmf"/><Relationship Id="rId4681" Type="http://schemas.openxmlformats.org/officeDocument/2006/relationships/oleObject" Target="embeddings/oleObject2332.bin"/><Relationship Id="rId5732" Type="http://schemas.openxmlformats.org/officeDocument/2006/relationships/oleObject" Target="embeddings/oleObject2855.bin"/><Relationship Id="rId14275" Type="http://schemas.openxmlformats.org/officeDocument/2006/relationships/image" Target="media/image7152.wmf"/><Relationship Id="rId3283" Type="http://schemas.openxmlformats.org/officeDocument/2006/relationships/oleObject" Target="embeddings/oleObject1630.bin"/><Relationship Id="rId4334" Type="http://schemas.openxmlformats.org/officeDocument/2006/relationships/oleObject" Target="embeddings/oleObject2158.bin"/><Relationship Id="rId8955" Type="http://schemas.openxmlformats.org/officeDocument/2006/relationships/image" Target="media/image4487.wmf"/><Relationship Id="rId10885" Type="http://schemas.openxmlformats.org/officeDocument/2006/relationships/oleObject" Target="embeddings/oleObject5405.bin"/><Relationship Id="rId11936" Type="http://schemas.openxmlformats.org/officeDocument/2006/relationships/image" Target="media/image5981.wmf"/><Relationship Id="rId6159" Type="http://schemas.openxmlformats.org/officeDocument/2006/relationships/image" Target="media/image3090.wmf"/><Relationship Id="rId7557" Type="http://schemas.openxmlformats.org/officeDocument/2006/relationships/oleObject" Target="embeddings/oleObject3763.bin"/><Relationship Id="rId8608" Type="http://schemas.openxmlformats.org/officeDocument/2006/relationships/image" Target="media/image4313.wmf"/><Relationship Id="rId10538" Type="http://schemas.openxmlformats.org/officeDocument/2006/relationships/image" Target="media/image5278.wmf"/><Relationship Id="rId13011" Type="http://schemas.openxmlformats.org/officeDocument/2006/relationships/image" Target="media/image6520.wmf"/><Relationship Id="rId2769" Type="http://schemas.openxmlformats.org/officeDocument/2006/relationships/oleObject" Target="embeddings/oleObject1372.bin"/><Relationship Id="rId6640" Type="http://schemas.openxmlformats.org/officeDocument/2006/relationships/oleObject" Target="embeddings/oleObject3307.bin"/><Relationship Id="rId4191" Type="http://schemas.openxmlformats.org/officeDocument/2006/relationships/image" Target="media/image2106.wmf"/><Relationship Id="rId5242" Type="http://schemas.openxmlformats.org/officeDocument/2006/relationships/oleObject" Target="embeddings/oleObject2610.bin"/><Relationship Id="rId9863" Type="http://schemas.openxmlformats.org/officeDocument/2006/relationships/image" Target="media/image4940.wmf"/><Relationship Id="rId77" Type="http://schemas.openxmlformats.org/officeDocument/2006/relationships/image" Target="media/image36.wmf"/><Relationship Id="rId8465" Type="http://schemas.openxmlformats.org/officeDocument/2006/relationships/oleObject" Target="embeddings/oleObject4217.bin"/><Relationship Id="rId9516" Type="http://schemas.openxmlformats.org/officeDocument/2006/relationships/image" Target="media/image4767.wmf"/><Relationship Id="rId11793" Type="http://schemas.openxmlformats.org/officeDocument/2006/relationships/oleObject" Target="embeddings/oleObject5848.bin"/><Relationship Id="rId12844" Type="http://schemas.openxmlformats.org/officeDocument/2006/relationships/oleObject" Target="embeddings/oleObject6371.bin"/><Relationship Id="rId1852" Type="http://schemas.openxmlformats.org/officeDocument/2006/relationships/image" Target="media/image932.wmf"/><Relationship Id="rId2903" Type="http://schemas.openxmlformats.org/officeDocument/2006/relationships/image" Target="media/image1461.wmf"/><Relationship Id="rId7067" Type="http://schemas.openxmlformats.org/officeDocument/2006/relationships/image" Target="media/image3543.wmf"/><Relationship Id="rId8118" Type="http://schemas.openxmlformats.org/officeDocument/2006/relationships/image" Target="media/image4068.wmf"/><Relationship Id="rId10048" Type="http://schemas.openxmlformats.org/officeDocument/2006/relationships/oleObject" Target="embeddings/oleObject4993.bin"/><Relationship Id="rId10395" Type="http://schemas.openxmlformats.org/officeDocument/2006/relationships/image" Target="media/image5206.wmf"/><Relationship Id="rId11446" Type="http://schemas.openxmlformats.org/officeDocument/2006/relationships/oleObject" Target="embeddings/oleObject5676.bin"/><Relationship Id="rId1505" Type="http://schemas.openxmlformats.org/officeDocument/2006/relationships/oleObject" Target="embeddings/oleObject739.bin"/><Relationship Id="rId3677" Type="http://schemas.openxmlformats.org/officeDocument/2006/relationships/oleObject" Target="embeddings/oleObject1829.bin"/><Relationship Id="rId4728" Type="http://schemas.openxmlformats.org/officeDocument/2006/relationships/image" Target="media/image2374.wmf"/><Relationship Id="rId598" Type="http://schemas.openxmlformats.org/officeDocument/2006/relationships/image" Target="media/image300.wmf"/><Relationship Id="rId2279" Type="http://schemas.openxmlformats.org/officeDocument/2006/relationships/image" Target="media/image1146.wmf"/><Relationship Id="rId6150" Type="http://schemas.openxmlformats.org/officeDocument/2006/relationships/oleObject" Target="embeddings/oleObject3064.bin"/><Relationship Id="rId7201" Type="http://schemas.openxmlformats.org/officeDocument/2006/relationships/oleObject" Target="embeddings/oleObject3585.bin"/><Relationship Id="rId2760" Type="http://schemas.openxmlformats.org/officeDocument/2006/relationships/image" Target="media/image1390.wmf"/><Relationship Id="rId3811" Type="http://schemas.openxmlformats.org/officeDocument/2006/relationships/oleObject" Target="embeddings/oleObject1896.bin"/><Relationship Id="rId9373" Type="http://schemas.openxmlformats.org/officeDocument/2006/relationships/oleObject" Target="embeddings/oleObject4667.bin"/><Relationship Id="rId12354" Type="http://schemas.openxmlformats.org/officeDocument/2006/relationships/oleObject" Target="embeddings/oleObject6126.bin"/><Relationship Id="rId13405" Type="http://schemas.openxmlformats.org/officeDocument/2006/relationships/oleObject" Target="embeddings/oleObject6648.bin"/><Relationship Id="rId13752" Type="http://schemas.openxmlformats.org/officeDocument/2006/relationships/oleObject" Target="embeddings/oleObject6822.bin"/><Relationship Id="rId732" Type="http://schemas.openxmlformats.org/officeDocument/2006/relationships/image" Target="media/image368.wmf"/><Relationship Id="rId1362" Type="http://schemas.openxmlformats.org/officeDocument/2006/relationships/image" Target="media/image686.wmf"/><Relationship Id="rId2413" Type="http://schemas.openxmlformats.org/officeDocument/2006/relationships/image" Target="media/image1215.wmf"/><Relationship Id="rId9026" Type="http://schemas.openxmlformats.org/officeDocument/2006/relationships/oleObject" Target="embeddings/oleObject4493.bin"/><Relationship Id="rId12007" Type="http://schemas.openxmlformats.org/officeDocument/2006/relationships/oleObject" Target="embeddings/oleObject5955.bin"/><Relationship Id="rId1015" Type="http://schemas.openxmlformats.org/officeDocument/2006/relationships/image" Target="media/image513.wmf"/><Relationship Id="rId4585" Type="http://schemas.openxmlformats.org/officeDocument/2006/relationships/oleObject" Target="embeddings/oleObject2284.bin"/><Relationship Id="rId5983" Type="http://schemas.openxmlformats.org/officeDocument/2006/relationships/image" Target="media/image3002.wmf"/><Relationship Id="rId14179" Type="http://schemas.openxmlformats.org/officeDocument/2006/relationships/image" Target="media/image7104.wmf"/><Relationship Id="rId3187" Type="http://schemas.openxmlformats.org/officeDocument/2006/relationships/image" Target="media/image1603.wmf"/><Relationship Id="rId4238" Type="http://schemas.openxmlformats.org/officeDocument/2006/relationships/oleObject" Target="embeddings/oleObject2110.bin"/><Relationship Id="rId5636" Type="http://schemas.openxmlformats.org/officeDocument/2006/relationships/oleObject" Target="embeddings/oleObject2807.bin"/><Relationship Id="rId8859" Type="http://schemas.openxmlformats.org/officeDocument/2006/relationships/image" Target="media/image4439.wmf"/><Relationship Id="rId10789" Type="http://schemas.openxmlformats.org/officeDocument/2006/relationships/oleObject" Target="embeddings/oleObject5357.bin"/><Relationship Id="rId13262" Type="http://schemas.openxmlformats.org/officeDocument/2006/relationships/oleObject" Target="embeddings/oleObject6578.bin"/><Relationship Id="rId14313" Type="http://schemas.openxmlformats.org/officeDocument/2006/relationships/image" Target="media/image7171.wmf"/><Relationship Id="rId2270" Type="http://schemas.openxmlformats.org/officeDocument/2006/relationships/oleObject" Target="embeddings/oleObject1122.bin"/><Relationship Id="rId3321" Type="http://schemas.openxmlformats.org/officeDocument/2006/relationships/oleObject" Target="embeddings/oleObject1649.bin"/><Relationship Id="rId6891" Type="http://schemas.openxmlformats.org/officeDocument/2006/relationships/image" Target="media/image3455.wmf"/><Relationship Id="rId7942" Type="http://schemas.openxmlformats.org/officeDocument/2006/relationships/image" Target="media/image3980.wmf"/><Relationship Id="rId242" Type="http://schemas.openxmlformats.org/officeDocument/2006/relationships/image" Target="media/image120.wmf"/><Relationship Id="rId5493" Type="http://schemas.openxmlformats.org/officeDocument/2006/relationships/image" Target="media/image2757.wmf"/><Relationship Id="rId6544" Type="http://schemas.openxmlformats.org/officeDocument/2006/relationships/oleObject" Target="embeddings/oleObject3260.bin"/><Relationship Id="rId10923" Type="http://schemas.openxmlformats.org/officeDocument/2006/relationships/oleObject" Target="embeddings/oleObject5424.bin"/><Relationship Id="rId4095" Type="http://schemas.openxmlformats.org/officeDocument/2006/relationships/image" Target="media/image2058.wmf"/><Relationship Id="rId5146" Type="http://schemas.openxmlformats.org/officeDocument/2006/relationships/image" Target="media/image2583.wmf"/><Relationship Id="rId8369" Type="http://schemas.openxmlformats.org/officeDocument/2006/relationships/oleObject" Target="embeddings/oleObject4169.bin"/><Relationship Id="rId9767" Type="http://schemas.openxmlformats.org/officeDocument/2006/relationships/oleObject" Target="embeddings/oleObject4855.bin"/><Relationship Id="rId11697" Type="http://schemas.openxmlformats.org/officeDocument/2006/relationships/oleObject" Target="embeddings/oleObject5800.bin"/><Relationship Id="rId12748" Type="http://schemas.openxmlformats.org/officeDocument/2006/relationships/oleObject" Target="embeddings/oleObject6323.bin"/><Relationship Id="rId1756" Type="http://schemas.openxmlformats.org/officeDocument/2006/relationships/image" Target="media/image884.wmf"/><Relationship Id="rId2807" Type="http://schemas.openxmlformats.org/officeDocument/2006/relationships/oleObject" Target="embeddings/oleObject1391.bin"/><Relationship Id="rId10299" Type="http://schemas.openxmlformats.org/officeDocument/2006/relationships/image" Target="media/image5158.wmf"/><Relationship Id="rId14170" Type="http://schemas.openxmlformats.org/officeDocument/2006/relationships/oleObject" Target="embeddings/oleObject7031.bin"/><Relationship Id="rId1409" Type="http://schemas.openxmlformats.org/officeDocument/2006/relationships/oleObject" Target="embeddings/oleObject693.bin"/><Relationship Id="rId4979" Type="http://schemas.openxmlformats.org/officeDocument/2006/relationships/oleObject" Target="embeddings/oleObject2479.bin"/><Relationship Id="rId8850" Type="http://schemas.openxmlformats.org/officeDocument/2006/relationships/oleObject" Target="embeddings/oleObject4408.bin"/><Relationship Id="rId9901" Type="http://schemas.openxmlformats.org/officeDocument/2006/relationships/image" Target="media/image4959.wmf"/><Relationship Id="rId10780" Type="http://schemas.openxmlformats.org/officeDocument/2006/relationships/image" Target="media/image5399.wmf"/><Relationship Id="rId7452" Type="http://schemas.openxmlformats.org/officeDocument/2006/relationships/image" Target="media/image3735.wmf"/><Relationship Id="rId8503" Type="http://schemas.openxmlformats.org/officeDocument/2006/relationships/oleObject" Target="embeddings/oleObject4236.bin"/><Relationship Id="rId10433" Type="http://schemas.openxmlformats.org/officeDocument/2006/relationships/oleObject" Target="embeddings/oleObject5183.bin"/><Relationship Id="rId11831" Type="http://schemas.openxmlformats.org/officeDocument/2006/relationships/oleObject" Target="embeddings/oleObject5867.bin"/><Relationship Id="rId6054" Type="http://schemas.openxmlformats.org/officeDocument/2006/relationships/oleObject" Target="embeddings/oleObject3016.bin"/><Relationship Id="rId7105" Type="http://schemas.openxmlformats.org/officeDocument/2006/relationships/image" Target="media/image3562.wmf"/><Relationship Id="rId983" Type="http://schemas.openxmlformats.org/officeDocument/2006/relationships/image" Target="media/image497.wmf"/><Relationship Id="rId2664" Type="http://schemas.openxmlformats.org/officeDocument/2006/relationships/image" Target="media/image1342.wmf"/><Relationship Id="rId9277" Type="http://schemas.openxmlformats.org/officeDocument/2006/relationships/oleObject" Target="embeddings/oleObject4619.bin"/><Relationship Id="rId12258" Type="http://schemas.openxmlformats.org/officeDocument/2006/relationships/image" Target="media/image6142.wmf"/><Relationship Id="rId13656" Type="http://schemas.openxmlformats.org/officeDocument/2006/relationships/image" Target="media/image6843.wmf"/><Relationship Id="rId636" Type="http://schemas.openxmlformats.org/officeDocument/2006/relationships/image" Target="media/image319.wmf"/><Relationship Id="rId1266" Type="http://schemas.openxmlformats.org/officeDocument/2006/relationships/image" Target="media/image638.wmf"/><Relationship Id="rId2317" Type="http://schemas.openxmlformats.org/officeDocument/2006/relationships/image" Target="media/image1167.wmf"/><Relationship Id="rId3715" Type="http://schemas.openxmlformats.org/officeDocument/2006/relationships/oleObject" Target="embeddings/oleObject1848.bin"/><Relationship Id="rId13309" Type="http://schemas.openxmlformats.org/officeDocument/2006/relationships/image" Target="media/image6669.wmf"/><Relationship Id="rId5887" Type="http://schemas.openxmlformats.org/officeDocument/2006/relationships/image" Target="media/image2954.wmf"/><Relationship Id="rId6938" Type="http://schemas.openxmlformats.org/officeDocument/2006/relationships/oleObject" Target="embeddings/oleObject3454.bin"/><Relationship Id="rId4489" Type="http://schemas.openxmlformats.org/officeDocument/2006/relationships/oleObject" Target="embeddings/oleObject2236.bin"/><Relationship Id="rId8360" Type="http://schemas.openxmlformats.org/officeDocument/2006/relationships/image" Target="media/image4189.wmf"/><Relationship Id="rId9411" Type="http://schemas.openxmlformats.org/officeDocument/2006/relationships/oleObject" Target="embeddings/oleObject4686.bin"/><Relationship Id="rId10290" Type="http://schemas.openxmlformats.org/officeDocument/2006/relationships/oleObject" Target="embeddings/oleObject5112.bin"/><Relationship Id="rId11341" Type="http://schemas.openxmlformats.org/officeDocument/2006/relationships/image" Target="media/image5682.wmf"/><Relationship Id="rId1400" Type="http://schemas.openxmlformats.org/officeDocument/2006/relationships/image" Target="media/image705.wmf"/><Relationship Id="rId4970" Type="http://schemas.openxmlformats.org/officeDocument/2006/relationships/image" Target="media/image2495.wmf"/><Relationship Id="rId8013" Type="http://schemas.openxmlformats.org/officeDocument/2006/relationships/oleObject" Target="embeddings/oleObject3991.bin"/><Relationship Id="rId14564" Type="http://schemas.openxmlformats.org/officeDocument/2006/relationships/oleObject" Target="embeddings/oleObject7222.bin"/><Relationship Id="rId3572" Type="http://schemas.openxmlformats.org/officeDocument/2006/relationships/image" Target="media/image1797.wmf"/><Relationship Id="rId4623" Type="http://schemas.openxmlformats.org/officeDocument/2006/relationships/oleObject" Target="embeddings/oleObject2303.bin"/><Relationship Id="rId13166" Type="http://schemas.openxmlformats.org/officeDocument/2006/relationships/oleObject" Target="embeddings/oleObject6530.bin"/><Relationship Id="rId14217" Type="http://schemas.openxmlformats.org/officeDocument/2006/relationships/image" Target="media/image7123.wmf"/><Relationship Id="rId493" Type="http://schemas.openxmlformats.org/officeDocument/2006/relationships/image" Target="media/image246.wmf"/><Relationship Id="rId2174" Type="http://schemas.openxmlformats.org/officeDocument/2006/relationships/image" Target="media/image1093.wmf"/><Relationship Id="rId3225" Type="http://schemas.openxmlformats.org/officeDocument/2006/relationships/image" Target="media/image1622.wmf"/><Relationship Id="rId6795" Type="http://schemas.openxmlformats.org/officeDocument/2006/relationships/image" Target="media/image3407.wmf"/><Relationship Id="rId146" Type="http://schemas.openxmlformats.org/officeDocument/2006/relationships/image" Target="media/image72.wmf"/><Relationship Id="rId5397" Type="http://schemas.openxmlformats.org/officeDocument/2006/relationships/image" Target="media/image2709.wmf"/><Relationship Id="rId6448" Type="http://schemas.openxmlformats.org/officeDocument/2006/relationships/oleObject" Target="embeddings/oleObject3214.bin"/><Relationship Id="rId7846" Type="http://schemas.openxmlformats.org/officeDocument/2006/relationships/image" Target="media/image3932.wmf"/><Relationship Id="rId10827" Type="http://schemas.openxmlformats.org/officeDocument/2006/relationships/oleObject" Target="embeddings/oleObject5376.bin"/><Relationship Id="rId12999" Type="http://schemas.openxmlformats.org/officeDocument/2006/relationships/image" Target="media/image6514.wmf"/><Relationship Id="rId13300" Type="http://schemas.openxmlformats.org/officeDocument/2006/relationships/oleObject" Target="embeddings/oleObject6597.bin"/><Relationship Id="rId4480" Type="http://schemas.openxmlformats.org/officeDocument/2006/relationships/image" Target="media/image2250.wmf"/><Relationship Id="rId5531" Type="http://schemas.openxmlformats.org/officeDocument/2006/relationships/image" Target="media/image2776.wmf"/><Relationship Id="rId14074" Type="http://schemas.openxmlformats.org/officeDocument/2006/relationships/oleObject" Target="embeddings/oleObject6983.bin"/><Relationship Id="rId3082" Type="http://schemas.openxmlformats.org/officeDocument/2006/relationships/oleObject" Target="embeddings/oleObject1529.bin"/><Relationship Id="rId4133" Type="http://schemas.openxmlformats.org/officeDocument/2006/relationships/image" Target="media/image2077.wmf"/><Relationship Id="rId8754" Type="http://schemas.openxmlformats.org/officeDocument/2006/relationships/oleObject" Target="embeddings/oleObject4360.bin"/><Relationship Id="rId9805" Type="http://schemas.openxmlformats.org/officeDocument/2006/relationships/oleObject" Target="embeddings/oleObject4874.bin"/><Relationship Id="rId19" Type="http://schemas.openxmlformats.org/officeDocument/2006/relationships/image" Target="media/image7.wmf"/><Relationship Id="rId7356" Type="http://schemas.openxmlformats.org/officeDocument/2006/relationships/image" Target="media/image3687.wmf"/><Relationship Id="rId8407" Type="http://schemas.openxmlformats.org/officeDocument/2006/relationships/oleObject" Target="embeddings/oleObject4188.bin"/><Relationship Id="rId10337" Type="http://schemas.openxmlformats.org/officeDocument/2006/relationships/image" Target="media/image5177.wmf"/><Relationship Id="rId10684" Type="http://schemas.openxmlformats.org/officeDocument/2006/relationships/image" Target="media/image5351.wmf"/><Relationship Id="rId11735" Type="http://schemas.openxmlformats.org/officeDocument/2006/relationships/oleObject" Target="embeddings/oleObject5819.bin"/><Relationship Id="rId7009" Type="http://schemas.openxmlformats.org/officeDocument/2006/relationships/image" Target="media/image3514.wmf"/><Relationship Id="rId3966" Type="http://schemas.openxmlformats.org/officeDocument/2006/relationships/oleObject" Target="embeddings/oleObject1974.bin"/><Relationship Id="rId3" Type="http://schemas.openxmlformats.org/officeDocument/2006/relationships/styles" Target="styles.xml"/><Relationship Id="rId887" Type="http://schemas.openxmlformats.org/officeDocument/2006/relationships/oleObject" Target="embeddings/oleObject435.bin"/><Relationship Id="rId2568" Type="http://schemas.openxmlformats.org/officeDocument/2006/relationships/image" Target="media/image1294.wmf"/><Relationship Id="rId3619" Type="http://schemas.openxmlformats.org/officeDocument/2006/relationships/oleObject" Target="embeddings/oleObject1800.bin"/><Relationship Id="rId5041" Type="http://schemas.openxmlformats.org/officeDocument/2006/relationships/oleObject" Target="embeddings/oleObject2510.bin"/><Relationship Id="rId12990" Type="http://schemas.openxmlformats.org/officeDocument/2006/relationships/oleObject" Target="embeddings/oleObject6444.bin"/><Relationship Id="rId9662" Type="http://schemas.openxmlformats.org/officeDocument/2006/relationships/image" Target="media/image4840.wmf"/><Relationship Id="rId11592" Type="http://schemas.openxmlformats.org/officeDocument/2006/relationships/oleObject" Target="embeddings/oleObject5749.bin"/><Relationship Id="rId12643" Type="http://schemas.openxmlformats.org/officeDocument/2006/relationships/image" Target="media/image6336.wmf"/><Relationship Id="rId1651" Type="http://schemas.openxmlformats.org/officeDocument/2006/relationships/oleObject" Target="embeddings/oleObject813.bin"/><Relationship Id="rId2702" Type="http://schemas.openxmlformats.org/officeDocument/2006/relationships/image" Target="media/image1361.wmf"/><Relationship Id="rId8264" Type="http://schemas.openxmlformats.org/officeDocument/2006/relationships/image" Target="media/image4141.wmf"/><Relationship Id="rId9315" Type="http://schemas.openxmlformats.org/officeDocument/2006/relationships/oleObject" Target="embeddings/oleObject4638.bin"/><Relationship Id="rId10194" Type="http://schemas.openxmlformats.org/officeDocument/2006/relationships/oleObject" Target="embeddings/oleObject5064.bin"/><Relationship Id="rId11245" Type="http://schemas.openxmlformats.org/officeDocument/2006/relationships/image" Target="media/image5634.wmf"/><Relationship Id="rId1304" Type="http://schemas.openxmlformats.org/officeDocument/2006/relationships/image" Target="media/image657.wmf"/><Relationship Id="rId4874" Type="http://schemas.openxmlformats.org/officeDocument/2006/relationships/image" Target="media/image2447.wmf"/><Relationship Id="rId14468" Type="http://schemas.openxmlformats.org/officeDocument/2006/relationships/oleObject" Target="embeddings/oleObject7174.bin"/><Relationship Id="rId3476" Type="http://schemas.openxmlformats.org/officeDocument/2006/relationships/image" Target="media/image1749.wmf"/><Relationship Id="rId4527" Type="http://schemas.openxmlformats.org/officeDocument/2006/relationships/oleObject" Target="embeddings/oleObject2255.bin"/><Relationship Id="rId5925" Type="http://schemas.openxmlformats.org/officeDocument/2006/relationships/image" Target="media/image2973.wmf"/><Relationship Id="rId10" Type="http://schemas.openxmlformats.org/officeDocument/2006/relationships/oleObject" Target="embeddings/oleObject1.bin"/><Relationship Id="rId397" Type="http://schemas.openxmlformats.org/officeDocument/2006/relationships/image" Target="media/image198.wmf"/><Relationship Id="rId2078" Type="http://schemas.openxmlformats.org/officeDocument/2006/relationships/image" Target="media/image1045.wmf"/><Relationship Id="rId3129" Type="http://schemas.openxmlformats.org/officeDocument/2006/relationships/image" Target="media/image1574.wmf"/><Relationship Id="rId7000" Type="http://schemas.openxmlformats.org/officeDocument/2006/relationships/oleObject" Target="embeddings/oleObject3485.bin"/><Relationship Id="rId6699" Type="http://schemas.openxmlformats.org/officeDocument/2006/relationships/image" Target="media/image3359.wmf"/><Relationship Id="rId9172" Type="http://schemas.openxmlformats.org/officeDocument/2006/relationships/image" Target="media/image4595.wmf"/><Relationship Id="rId13551" Type="http://schemas.openxmlformats.org/officeDocument/2006/relationships/oleObject" Target="embeddings/oleObject6721.bin"/><Relationship Id="rId3610" Type="http://schemas.openxmlformats.org/officeDocument/2006/relationships/image" Target="media/image1816.wmf"/><Relationship Id="rId12153" Type="http://schemas.openxmlformats.org/officeDocument/2006/relationships/oleObject" Target="embeddings/oleObject6028.bin"/><Relationship Id="rId13204" Type="http://schemas.openxmlformats.org/officeDocument/2006/relationships/oleObject" Target="embeddings/oleObject6549.bin"/><Relationship Id="rId531" Type="http://schemas.openxmlformats.org/officeDocument/2006/relationships/image" Target="media/image265.wmf"/><Relationship Id="rId1161" Type="http://schemas.openxmlformats.org/officeDocument/2006/relationships/image" Target="media/image586.wmf"/><Relationship Id="rId2212" Type="http://schemas.openxmlformats.org/officeDocument/2006/relationships/image" Target="media/image1112.wmf"/><Relationship Id="rId5782" Type="http://schemas.openxmlformats.org/officeDocument/2006/relationships/oleObject" Target="embeddings/oleObject2880.bin"/><Relationship Id="rId6833" Type="http://schemas.openxmlformats.org/officeDocument/2006/relationships/image" Target="media/image3426.wmf"/><Relationship Id="rId4384" Type="http://schemas.openxmlformats.org/officeDocument/2006/relationships/image" Target="media/image2202.wmf"/><Relationship Id="rId5435" Type="http://schemas.openxmlformats.org/officeDocument/2006/relationships/image" Target="media/image2728.wmf"/><Relationship Id="rId4037" Type="http://schemas.openxmlformats.org/officeDocument/2006/relationships/image" Target="media/image2029.wmf"/><Relationship Id="rId8658" Type="http://schemas.openxmlformats.org/officeDocument/2006/relationships/oleObject" Target="embeddings/oleObject4312.bin"/><Relationship Id="rId9709" Type="http://schemas.openxmlformats.org/officeDocument/2006/relationships/oleObject" Target="embeddings/oleObject4826.bin"/><Relationship Id="rId11986" Type="http://schemas.openxmlformats.org/officeDocument/2006/relationships/image" Target="media/image6006.wmf"/><Relationship Id="rId10588" Type="http://schemas.openxmlformats.org/officeDocument/2006/relationships/image" Target="media/image5303.wmf"/><Relationship Id="rId11639" Type="http://schemas.openxmlformats.org/officeDocument/2006/relationships/image" Target="media/image5831.wmf"/><Relationship Id="rId3120" Type="http://schemas.openxmlformats.org/officeDocument/2006/relationships/oleObject" Target="embeddings/oleObject1548.bin"/><Relationship Id="rId13061" Type="http://schemas.openxmlformats.org/officeDocument/2006/relationships/image" Target="media/image6545.wmf"/><Relationship Id="rId14112" Type="http://schemas.openxmlformats.org/officeDocument/2006/relationships/oleObject" Target="embeddings/oleObject7002.bin"/><Relationship Id="rId6690" Type="http://schemas.openxmlformats.org/officeDocument/2006/relationships/oleObject" Target="embeddings/oleObject3332.bin"/><Relationship Id="rId7741" Type="http://schemas.openxmlformats.org/officeDocument/2006/relationships/oleObject" Target="embeddings/oleObject3855.bin"/><Relationship Id="rId10722" Type="http://schemas.openxmlformats.org/officeDocument/2006/relationships/image" Target="media/image5370.wmf"/><Relationship Id="rId5292" Type="http://schemas.openxmlformats.org/officeDocument/2006/relationships/oleObject" Target="embeddings/oleObject2635.bin"/><Relationship Id="rId6343" Type="http://schemas.openxmlformats.org/officeDocument/2006/relationships/image" Target="media/image3181.wmf"/><Relationship Id="rId2953" Type="http://schemas.openxmlformats.org/officeDocument/2006/relationships/image" Target="media/image1486.wmf"/><Relationship Id="rId9566" Type="http://schemas.openxmlformats.org/officeDocument/2006/relationships/image" Target="media/image4792.wmf"/><Relationship Id="rId11496" Type="http://schemas.openxmlformats.org/officeDocument/2006/relationships/oleObject" Target="embeddings/oleObject5701.bin"/><Relationship Id="rId12547" Type="http://schemas.openxmlformats.org/officeDocument/2006/relationships/image" Target="media/image6288.wmf"/><Relationship Id="rId12894" Type="http://schemas.openxmlformats.org/officeDocument/2006/relationships/oleObject" Target="embeddings/oleObject6396.bin"/><Relationship Id="rId13945" Type="http://schemas.openxmlformats.org/officeDocument/2006/relationships/image" Target="media/image6987.wmf"/><Relationship Id="rId925" Type="http://schemas.openxmlformats.org/officeDocument/2006/relationships/image" Target="media/image468.wmf"/><Relationship Id="rId1555" Type="http://schemas.openxmlformats.org/officeDocument/2006/relationships/oleObject" Target="embeddings/oleObject764.bin"/><Relationship Id="rId2606" Type="http://schemas.openxmlformats.org/officeDocument/2006/relationships/image" Target="media/image1313.wmf"/><Relationship Id="rId8168" Type="http://schemas.openxmlformats.org/officeDocument/2006/relationships/image" Target="media/image4093.wmf"/><Relationship Id="rId9219" Type="http://schemas.openxmlformats.org/officeDocument/2006/relationships/oleObject" Target="embeddings/oleObject4590.bin"/><Relationship Id="rId10098" Type="http://schemas.openxmlformats.org/officeDocument/2006/relationships/oleObject" Target="embeddings/oleObject5018.bin"/><Relationship Id="rId11149" Type="http://schemas.openxmlformats.org/officeDocument/2006/relationships/image" Target="media/image5586.wmf"/><Relationship Id="rId1208" Type="http://schemas.openxmlformats.org/officeDocument/2006/relationships/image" Target="media/image609.wmf"/><Relationship Id="rId4778" Type="http://schemas.openxmlformats.org/officeDocument/2006/relationships/image" Target="media/image2399.wmf"/><Relationship Id="rId5829" Type="http://schemas.openxmlformats.org/officeDocument/2006/relationships/image" Target="media/image2925.wmf"/><Relationship Id="rId7251" Type="http://schemas.openxmlformats.org/officeDocument/2006/relationships/oleObject" Target="embeddings/oleObject3610.bin"/><Relationship Id="rId9700" Type="http://schemas.openxmlformats.org/officeDocument/2006/relationships/image" Target="media/image4859.wmf"/><Relationship Id="rId11630" Type="http://schemas.openxmlformats.org/officeDocument/2006/relationships/oleObject" Target="embeddings/oleObject5768.bin"/><Relationship Id="rId8302" Type="http://schemas.openxmlformats.org/officeDocument/2006/relationships/image" Target="media/image4160.wmf"/><Relationship Id="rId10232" Type="http://schemas.openxmlformats.org/officeDocument/2006/relationships/oleObject" Target="embeddings/oleObject5083.bin"/><Relationship Id="rId3861" Type="http://schemas.openxmlformats.org/officeDocument/2006/relationships/oleObject" Target="embeddings/oleObject1921.bin"/><Relationship Id="rId4912" Type="http://schemas.openxmlformats.org/officeDocument/2006/relationships/image" Target="media/image2466.wmf"/><Relationship Id="rId13455" Type="http://schemas.openxmlformats.org/officeDocument/2006/relationships/oleObject" Target="embeddings/oleObject6673.bin"/><Relationship Id="rId14506" Type="http://schemas.openxmlformats.org/officeDocument/2006/relationships/oleObject" Target="embeddings/oleObject7193.bin"/><Relationship Id="rId782" Type="http://schemas.openxmlformats.org/officeDocument/2006/relationships/image" Target="media/image396.wmf"/><Relationship Id="rId2463" Type="http://schemas.openxmlformats.org/officeDocument/2006/relationships/oleObject" Target="embeddings/oleObject1219.bin"/><Relationship Id="rId3514" Type="http://schemas.openxmlformats.org/officeDocument/2006/relationships/image" Target="media/image1768.wmf"/><Relationship Id="rId9076" Type="http://schemas.openxmlformats.org/officeDocument/2006/relationships/oleObject" Target="embeddings/oleObject4518.bin"/><Relationship Id="rId12057" Type="http://schemas.openxmlformats.org/officeDocument/2006/relationships/oleObject" Target="embeddings/oleObject5980.bin"/><Relationship Id="rId13108" Type="http://schemas.openxmlformats.org/officeDocument/2006/relationships/oleObject" Target="embeddings/oleObject6501.bin"/><Relationship Id="rId435" Type="http://schemas.openxmlformats.org/officeDocument/2006/relationships/image" Target="media/image217.png"/><Relationship Id="rId1065" Type="http://schemas.openxmlformats.org/officeDocument/2006/relationships/image" Target="media/image538.wmf"/><Relationship Id="rId2116" Type="http://schemas.openxmlformats.org/officeDocument/2006/relationships/image" Target="media/image1064.wmf"/><Relationship Id="rId5686" Type="http://schemas.openxmlformats.org/officeDocument/2006/relationships/oleObject" Target="embeddings/oleObject2832.bin"/><Relationship Id="rId6737" Type="http://schemas.openxmlformats.org/officeDocument/2006/relationships/image" Target="media/image3378.wmf"/><Relationship Id="rId4288" Type="http://schemas.openxmlformats.org/officeDocument/2006/relationships/oleObject" Target="embeddings/oleObject2135.bin"/><Relationship Id="rId5339" Type="http://schemas.openxmlformats.org/officeDocument/2006/relationships/image" Target="media/image2680.wmf"/><Relationship Id="rId9210" Type="http://schemas.openxmlformats.org/officeDocument/2006/relationships/image" Target="media/image4614.wmf"/><Relationship Id="rId11140" Type="http://schemas.openxmlformats.org/officeDocument/2006/relationships/oleObject" Target="embeddings/oleObject5523.bin"/><Relationship Id="rId1949" Type="http://schemas.openxmlformats.org/officeDocument/2006/relationships/oleObject" Target="embeddings/oleObject962.bin"/><Relationship Id="rId5820" Type="http://schemas.openxmlformats.org/officeDocument/2006/relationships/oleObject" Target="embeddings/oleObject2899.bin"/><Relationship Id="rId14363" Type="http://schemas.openxmlformats.org/officeDocument/2006/relationships/image" Target="media/image7196.wmf"/><Relationship Id="rId292" Type="http://schemas.openxmlformats.org/officeDocument/2006/relationships/image" Target="media/image145.wmf"/><Relationship Id="rId3371" Type="http://schemas.openxmlformats.org/officeDocument/2006/relationships/oleObject" Target="embeddings/oleObject1674.bin"/><Relationship Id="rId4422" Type="http://schemas.openxmlformats.org/officeDocument/2006/relationships/image" Target="media/image2221.wmf"/><Relationship Id="rId7992" Type="http://schemas.openxmlformats.org/officeDocument/2006/relationships/image" Target="media/image4005.wmf"/><Relationship Id="rId14016" Type="http://schemas.openxmlformats.org/officeDocument/2006/relationships/oleObject" Target="embeddings/oleObject6954.bin"/><Relationship Id="rId3024" Type="http://schemas.openxmlformats.org/officeDocument/2006/relationships/oleObject" Target="embeddings/oleObject1500.bin"/><Relationship Id="rId6594" Type="http://schemas.openxmlformats.org/officeDocument/2006/relationships/oleObject" Target="embeddings/oleObject3284.bin"/><Relationship Id="rId7645" Type="http://schemas.openxmlformats.org/officeDocument/2006/relationships/oleObject" Target="embeddings/oleObject3807.bin"/><Relationship Id="rId10973" Type="http://schemas.openxmlformats.org/officeDocument/2006/relationships/oleObject" Target="embeddings/oleObject5442.bin"/><Relationship Id="rId5196" Type="http://schemas.openxmlformats.org/officeDocument/2006/relationships/image" Target="media/image2608.wmf"/><Relationship Id="rId6247" Type="http://schemas.openxmlformats.org/officeDocument/2006/relationships/image" Target="media/image3134.wmf"/><Relationship Id="rId10626" Type="http://schemas.openxmlformats.org/officeDocument/2006/relationships/image" Target="media/image5322.wmf"/><Relationship Id="rId12798" Type="http://schemas.openxmlformats.org/officeDocument/2006/relationships/oleObject" Target="embeddings/oleObject6348.bin"/><Relationship Id="rId13849" Type="http://schemas.openxmlformats.org/officeDocument/2006/relationships/image" Target="media/image6939.wmf"/><Relationship Id="rId1459" Type="http://schemas.openxmlformats.org/officeDocument/2006/relationships/oleObject" Target="embeddings/oleObject718.bin"/><Relationship Id="rId2857" Type="http://schemas.openxmlformats.org/officeDocument/2006/relationships/image" Target="media/image1438.wmf"/><Relationship Id="rId3908" Type="http://schemas.openxmlformats.org/officeDocument/2006/relationships/image" Target="media/image1965.wmf"/><Relationship Id="rId5330" Type="http://schemas.openxmlformats.org/officeDocument/2006/relationships/oleObject" Target="embeddings/oleObject2654.bin"/><Relationship Id="rId829" Type="http://schemas.openxmlformats.org/officeDocument/2006/relationships/oleObject" Target="embeddings/oleObject406.bin"/><Relationship Id="rId9951" Type="http://schemas.openxmlformats.org/officeDocument/2006/relationships/image" Target="media/image4984.wmf"/><Relationship Id="rId11881" Type="http://schemas.openxmlformats.org/officeDocument/2006/relationships/oleObject" Target="embeddings/oleObject5892.bin"/><Relationship Id="rId12932" Type="http://schemas.openxmlformats.org/officeDocument/2006/relationships/oleObject" Target="embeddings/oleObject6415.bin"/><Relationship Id="rId1940" Type="http://schemas.openxmlformats.org/officeDocument/2006/relationships/image" Target="media/image976.wmf"/><Relationship Id="rId8553" Type="http://schemas.openxmlformats.org/officeDocument/2006/relationships/oleObject" Target="embeddings/oleObject4261.bin"/><Relationship Id="rId9604" Type="http://schemas.openxmlformats.org/officeDocument/2006/relationships/image" Target="media/image4811.wmf"/><Relationship Id="rId10483" Type="http://schemas.openxmlformats.org/officeDocument/2006/relationships/oleObject" Target="embeddings/oleObject5206.bin"/><Relationship Id="rId11534" Type="http://schemas.openxmlformats.org/officeDocument/2006/relationships/oleObject" Target="embeddings/oleObject5720.bin"/><Relationship Id="rId7155" Type="http://schemas.microsoft.com/office/2007/relationships/hdphoto" Target="media/hdphoto16.wdp"/><Relationship Id="rId8206" Type="http://schemas.openxmlformats.org/officeDocument/2006/relationships/image" Target="media/image4112.wmf"/><Relationship Id="rId10136" Type="http://schemas.openxmlformats.org/officeDocument/2006/relationships/oleObject" Target="embeddings/oleObject5037.bin"/><Relationship Id="rId3765" Type="http://schemas.openxmlformats.org/officeDocument/2006/relationships/oleObject" Target="embeddings/oleObject1873.bin"/><Relationship Id="rId4816" Type="http://schemas.openxmlformats.org/officeDocument/2006/relationships/image" Target="media/image2418.wmf"/><Relationship Id="rId13359" Type="http://schemas.openxmlformats.org/officeDocument/2006/relationships/oleObject" Target="embeddings/oleObject6625.bin"/><Relationship Id="rId686" Type="http://schemas.openxmlformats.org/officeDocument/2006/relationships/image" Target="media/image345.wmf"/><Relationship Id="rId2367" Type="http://schemas.openxmlformats.org/officeDocument/2006/relationships/image" Target="media/image1192.wmf"/><Relationship Id="rId3418" Type="http://schemas.openxmlformats.org/officeDocument/2006/relationships/image" Target="media/image1719.wmf"/><Relationship Id="rId339" Type="http://schemas.openxmlformats.org/officeDocument/2006/relationships/oleObject" Target="embeddings/oleObject164.bin"/><Relationship Id="rId6988" Type="http://schemas.openxmlformats.org/officeDocument/2006/relationships/oleObject" Target="embeddings/oleObject3479.bin"/><Relationship Id="rId9461" Type="http://schemas.openxmlformats.org/officeDocument/2006/relationships/oleObject" Target="embeddings/oleObject4709.bin"/><Relationship Id="rId13840" Type="http://schemas.openxmlformats.org/officeDocument/2006/relationships/oleObject" Target="embeddings/oleObject6866.bin"/><Relationship Id="rId8063" Type="http://schemas.openxmlformats.org/officeDocument/2006/relationships/oleObject" Target="embeddings/oleObject4016.bin"/><Relationship Id="rId9114" Type="http://schemas.openxmlformats.org/officeDocument/2006/relationships/oleObject" Target="embeddings/oleObject4537.bin"/><Relationship Id="rId11391" Type="http://schemas.openxmlformats.org/officeDocument/2006/relationships/image" Target="media/image5707.wmf"/><Relationship Id="rId12442" Type="http://schemas.openxmlformats.org/officeDocument/2006/relationships/oleObject" Target="embeddings/oleObject6170.bin"/><Relationship Id="rId820" Type="http://schemas.openxmlformats.org/officeDocument/2006/relationships/image" Target="media/image415.wmf"/><Relationship Id="rId1450" Type="http://schemas.openxmlformats.org/officeDocument/2006/relationships/image" Target="media/image730.wmf"/><Relationship Id="rId2501" Type="http://schemas.openxmlformats.org/officeDocument/2006/relationships/oleObject" Target="embeddings/oleObject1238.bin"/><Relationship Id="rId11044" Type="http://schemas.openxmlformats.org/officeDocument/2006/relationships/image" Target="media/image5532.wmf"/><Relationship Id="rId1103" Type="http://schemas.openxmlformats.org/officeDocument/2006/relationships/image" Target="media/image557.wmf"/><Relationship Id="rId4673" Type="http://schemas.openxmlformats.org/officeDocument/2006/relationships/oleObject" Target="embeddings/oleObject2328.bin"/><Relationship Id="rId5724" Type="http://schemas.openxmlformats.org/officeDocument/2006/relationships/oleObject" Target="embeddings/oleObject2851.bin"/><Relationship Id="rId14267" Type="http://schemas.openxmlformats.org/officeDocument/2006/relationships/image" Target="media/image7148.wmf"/><Relationship Id="rId3275" Type="http://schemas.openxmlformats.org/officeDocument/2006/relationships/oleObject" Target="embeddings/oleObject1626.bin"/><Relationship Id="rId4326" Type="http://schemas.openxmlformats.org/officeDocument/2006/relationships/oleObject" Target="embeddings/oleObject2154.bin"/><Relationship Id="rId7896" Type="http://schemas.openxmlformats.org/officeDocument/2006/relationships/image" Target="media/image3957.wmf"/><Relationship Id="rId8947" Type="http://schemas.openxmlformats.org/officeDocument/2006/relationships/image" Target="media/image4483.wmf"/><Relationship Id="rId196" Type="http://schemas.openxmlformats.org/officeDocument/2006/relationships/image" Target="media/image97.wmf"/><Relationship Id="rId6498" Type="http://schemas.openxmlformats.org/officeDocument/2006/relationships/oleObject" Target="embeddings/oleObject3239.bin"/><Relationship Id="rId7549" Type="http://schemas.openxmlformats.org/officeDocument/2006/relationships/oleObject" Target="embeddings/oleObject3759.bin"/><Relationship Id="rId10877" Type="http://schemas.openxmlformats.org/officeDocument/2006/relationships/oleObject" Target="embeddings/oleObject5401.bin"/><Relationship Id="rId11928" Type="http://schemas.openxmlformats.org/officeDocument/2006/relationships/image" Target="media/image5977.wmf"/><Relationship Id="rId13350" Type="http://schemas.openxmlformats.org/officeDocument/2006/relationships/image" Target="media/image6690.png"/><Relationship Id="rId14401" Type="http://schemas.openxmlformats.org/officeDocument/2006/relationships/image" Target="media/image7215.wmf"/><Relationship Id="rId330" Type="http://schemas.openxmlformats.org/officeDocument/2006/relationships/image" Target="media/image164.wmf"/><Relationship Id="rId2011" Type="http://schemas.openxmlformats.org/officeDocument/2006/relationships/oleObject" Target="embeddings/oleObject993.bin"/><Relationship Id="rId13003" Type="http://schemas.openxmlformats.org/officeDocument/2006/relationships/image" Target="media/image6516.wmf"/><Relationship Id="rId4183" Type="http://schemas.openxmlformats.org/officeDocument/2006/relationships/image" Target="media/image2102.wmf"/><Relationship Id="rId5581" Type="http://schemas.openxmlformats.org/officeDocument/2006/relationships/image" Target="media/image2801.wmf"/><Relationship Id="rId6632" Type="http://schemas.openxmlformats.org/officeDocument/2006/relationships/oleObject" Target="embeddings/oleObject3303.bin"/><Relationship Id="rId5234" Type="http://schemas.openxmlformats.org/officeDocument/2006/relationships/oleObject" Target="embeddings/oleObject2606.bin"/><Relationship Id="rId9855" Type="http://schemas.openxmlformats.org/officeDocument/2006/relationships/image" Target="media/image4936.wmf"/><Relationship Id="rId11785" Type="http://schemas.openxmlformats.org/officeDocument/2006/relationships/oleObject" Target="embeddings/oleObject5844.bin"/><Relationship Id="rId12836" Type="http://schemas.openxmlformats.org/officeDocument/2006/relationships/oleObject" Target="embeddings/oleObject6367.bin"/><Relationship Id="rId69" Type="http://schemas.openxmlformats.org/officeDocument/2006/relationships/image" Target="media/image32.wmf"/><Relationship Id="rId1844" Type="http://schemas.openxmlformats.org/officeDocument/2006/relationships/image" Target="media/image928.wmf"/><Relationship Id="rId8457" Type="http://schemas.openxmlformats.org/officeDocument/2006/relationships/oleObject" Target="embeddings/oleObject4213.bin"/><Relationship Id="rId9508" Type="http://schemas.openxmlformats.org/officeDocument/2006/relationships/image" Target="media/image4763.wmf"/><Relationship Id="rId10387" Type="http://schemas.openxmlformats.org/officeDocument/2006/relationships/image" Target="media/image5202.wmf"/><Relationship Id="rId11438" Type="http://schemas.openxmlformats.org/officeDocument/2006/relationships/oleObject" Target="embeddings/oleObject5672.bin"/><Relationship Id="rId7059" Type="http://schemas.openxmlformats.org/officeDocument/2006/relationships/image" Target="media/image3539.wmf"/><Relationship Id="rId3669" Type="http://schemas.openxmlformats.org/officeDocument/2006/relationships/oleObject" Target="embeddings/oleObject1825.bin"/><Relationship Id="rId7540" Type="http://schemas.openxmlformats.org/officeDocument/2006/relationships/image" Target="media/image3779.wmf"/><Relationship Id="rId5091" Type="http://schemas.openxmlformats.org/officeDocument/2006/relationships/oleObject" Target="embeddings/oleObject2535.bin"/><Relationship Id="rId6142" Type="http://schemas.openxmlformats.org/officeDocument/2006/relationships/oleObject" Target="embeddings/oleObject3060.bin"/><Relationship Id="rId10521" Type="http://schemas.openxmlformats.org/officeDocument/2006/relationships/oleObject" Target="embeddings/oleObject5225.bin"/><Relationship Id="rId12693" Type="http://schemas.openxmlformats.org/officeDocument/2006/relationships/image" Target="media/image6361.wmf"/><Relationship Id="rId13744" Type="http://schemas.openxmlformats.org/officeDocument/2006/relationships/oleObject" Target="embeddings/oleObject6818.bin"/><Relationship Id="rId2752" Type="http://schemas.openxmlformats.org/officeDocument/2006/relationships/image" Target="media/image1386.wmf"/><Relationship Id="rId3803" Type="http://schemas.openxmlformats.org/officeDocument/2006/relationships/oleObject" Target="embeddings/oleObject1892.bin"/><Relationship Id="rId9365" Type="http://schemas.openxmlformats.org/officeDocument/2006/relationships/oleObject" Target="embeddings/oleObject4663.bin"/><Relationship Id="rId11295" Type="http://schemas.openxmlformats.org/officeDocument/2006/relationships/image" Target="media/image5659.wmf"/><Relationship Id="rId12346" Type="http://schemas.openxmlformats.org/officeDocument/2006/relationships/oleObject" Target="embeddings/oleObject6122.bin"/><Relationship Id="rId724" Type="http://schemas.openxmlformats.org/officeDocument/2006/relationships/image" Target="media/image364.wmf"/><Relationship Id="rId1354" Type="http://schemas.openxmlformats.org/officeDocument/2006/relationships/image" Target="media/image682.wmf"/><Relationship Id="rId2405" Type="http://schemas.openxmlformats.org/officeDocument/2006/relationships/image" Target="media/image1211.wmf"/><Relationship Id="rId5975" Type="http://schemas.openxmlformats.org/officeDocument/2006/relationships/image" Target="media/image2998.wmf"/><Relationship Id="rId9018" Type="http://schemas.openxmlformats.org/officeDocument/2006/relationships/oleObject" Target="embeddings/oleObject4489.bin"/><Relationship Id="rId60" Type="http://schemas.openxmlformats.org/officeDocument/2006/relationships/oleObject" Target="embeddings/oleObject26.bin"/><Relationship Id="rId1007" Type="http://schemas.openxmlformats.org/officeDocument/2006/relationships/image" Target="media/image509.wmf"/><Relationship Id="rId4577" Type="http://schemas.openxmlformats.org/officeDocument/2006/relationships/oleObject" Target="embeddings/oleObject2280.bin"/><Relationship Id="rId5628" Type="http://schemas.openxmlformats.org/officeDocument/2006/relationships/oleObject" Target="embeddings/oleObject2803.bin"/><Relationship Id="rId3179" Type="http://schemas.openxmlformats.org/officeDocument/2006/relationships/image" Target="media/image1599.wmf"/><Relationship Id="rId7050" Type="http://schemas.openxmlformats.org/officeDocument/2006/relationships/oleObject" Target="embeddings/oleObject3510.bin"/><Relationship Id="rId8101" Type="http://schemas.openxmlformats.org/officeDocument/2006/relationships/oleObject" Target="embeddings/oleObject4035.bin"/><Relationship Id="rId10031" Type="http://schemas.openxmlformats.org/officeDocument/2006/relationships/image" Target="media/image5024.wmf"/><Relationship Id="rId581" Type="http://schemas.openxmlformats.org/officeDocument/2006/relationships/oleObject" Target="embeddings/oleObject280.bin"/><Relationship Id="rId2262" Type="http://schemas.openxmlformats.org/officeDocument/2006/relationships/oleObject" Target="embeddings/oleObject1118.bin"/><Relationship Id="rId3660" Type="http://schemas.openxmlformats.org/officeDocument/2006/relationships/image" Target="media/image1841.wmf"/><Relationship Id="rId4711" Type="http://schemas.openxmlformats.org/officeDocument/2006/relationships/oleObject" Target="embeddings/oleObject2347.bin"/><Relationship Id="rId13254" Type="http://schemas.openxmlformats.org/officeDocument/2006/relationships/oleObject" Target="embeddings/oleObject6574.bin"/><Relationship Id="rId14305" Type="http://schemas.openxmlformats.org/officeDocument/2006/relationships/image" Target="media/image7167.wmf"/><Relationship Id="rId234" Type="http://schemas.openxmlformats.org/officeDocument/2006/relationships/image" Target="media/image116.wmf"/><Relationship Id="rId3313" Type="http://schemas.openxmlformats.org/officeDocument/2006/relationships/oleObject" Target="embeddings/oleObject1645.bin"/><Relationship Id="rId6883" Type="http://schemas.openxmlformats.org/officeDocument/2006/relationships/image" Target="media/image3451.wmf"/><Relationship Id="rId7934" Type="http://schemas.openxmlformats.org/officeDocument/2006/relationships/image" Target="media/image3976.wmf"/><Relationship Id="rId5485" Type="http://schemas.openxmlformats.org/officeDocument/2006/relationships/image" Target="media/image2753.wmf"/><Relationship Id="rId6536" Type="http://schemas.openxmlformats.org/officeDocument/2006/relationships/oleObject" Target="embeddings/oleObject3258.bin"/><Relationship Id="rId10915" Type="http://schemas.openxmlformats.org/officeDocument/2006/relationships/oleObject" Target="embeddings/oleObject5420.bin"/><Relationship Id="rId4087" Type="http://schemas.openxmlformats.org/officeDocument/2006/relationships/image" Target="media/image2054.wmf"/><Relationship Id="rId5138" Type="http://schemas.openxmlformats.org/officeDocument/2006/relationships/image" Target="media/image2579.wmf"/><Relationship Id="rId9759" Type="http://schemas.openxmlformats.org/officeDocument/2006/relationships/oleObject" Target="embeddings/oleObject4851.bin"/><Relationship Id="rId1748" Type="http://schemas.openxmlformats.org/officeDocument/2006/relationships/image" Target="media/image880.wmf"/><Relationship Id="rId11689" Type="http://schemas.openxmlformats.org/officeDocument/2006/relationships/oleObject" Target="embeddings/oleObject5796.bin"/><Relationship Id="rId14162" Type="http://schemas.openxmlformats.org/officeDocument/2006/relationships/oleObject" Target="embeddings/oleObject7027.bin"/><Relationship Id="rId3170" Type="http://schemas.openxmlformats.org/officeDocument/2006/relationships/oleObject" Target="embeddings/oleObject1573.bin"/><Relationship Id="rId4221" Type="http://schemas.openxmlformats.org/officeDocument/2006/relationships/image" Target="media/image2121.wmf"/><Relationship Id="rId6393" Type="http://schemas.openxmlformats.org/officeDocument/2006/relationships/image" Target="media/image3206.wmf"/><Relationship Id="rId7791" Type="http://schemas.openxmlformats.org/officeDocument/2006/relationships/oleObject" Target="embeddings/oleObject3880.bin"/><Relationship Id="rId8842" Type="http://schemas.openxmlformats.org/officeDocument/2006/relationships/oleObject" Target="embeddings/oleObject4404.bin"/><Relationship Id="rId10772" Type="http://schemas.openxmlformats.org/officeDocument/2006/relationships/image" Target="media/image5395.wmf"/><Relationship Id="rId11823" Type="http://schemas.openxmlformats.org/officeDocument/2006/relationships/oleObject" Target="embeddings/oleObject5863.bin"/><Relationship Id="rId6046" Type="http://schemas.openxmlformats.org/officeDocument/2006/relationships/oleObject" Target="embeddings/oleObject3012.bin"/><Relationship Id="rId7444" Type="http://schemas.openxmlformats.org/officeDocument/2006/relationships/image" Target="media/image3731.wmf"/><Relationship Id="rId10425" Type="http://schemas.openxmlformats.org/officeDocument/2006/relationships/oleObject" Target="embeddings/oleObject5179.bin"/><Relationship Id="rId13995" Type="http://schemas.openxmlformats.org/officeDocument/2006/relationships/image" Target="media/image7012.wmf"/><Relationship Id="rId12597" Type="http://schemas.openxmlformats.org/officeDocument/2006/relationships/image" Target="media/image6313.wmf"/><Relationship Id="rId13648" Type="http://schemas.openxmlformats.org/officeDocument/2006/relationships/image" Target="media/image6839.wmf"/><Relationship Id="rId975" Type="http://schemas.openxmlformats.org/officeDocument/2006/relationships/image" Target="media/image493.wmf"/><Relationship Id="rId2656" Type="http://schemas.openxmlformats.org/officeDocument/2006/relationships/image" Target="media/image1338.wmf"/><Relationship Id="rId3707" Type="http://schemas.openxmlformats.org/officeDocument/2006/relationships/oleObject" Target="embeddings/oleObject1844.bin"/><Relationship Id="rId9269" Type="http://schemas.openxmlformats.org/officeDocument/2006/relationships/oleObject" Target="embeddings/oleObject4615.bin"/><Relationship Id="rId11199" Type="http://schemas.openxmlformats.org/officeDocument/2006/relationships/image" Target="media/image5611.wmf"/><Relationship Id="rId628" Type="http://schemas.openxmlformats.org/officeDocument/2006/relationships/image" Target="media/image315.wmf"/><Relationship Id="rId1258" Type="http://schemas.openxmlformats.org/officeDocument/2006/relationships/image" Target="media/image634.wmf"/><Relationship Id="rId2309" Type="http://schemas.openxmlformats.org/officeDocument/2006/relationships/image" Target="media/image1163.wmf"/><Relationship Id="rId5879" Type="http://schemas.openxmlformats.org/officeDocument/2006/relationships/image" Target="media/image2950.wmf"/><Relationship Id="rId9750" Type="http://schemas.openxmlformats.org/officeDocument/2006/relationships/image" Target="media/image4884.wmf"/><Relationship Id="rId8352" Type="http://schemas.openxmlformats.org/officeDocument/2006/relationships/image" Target="media/image4185.wmf"/><Relationship Id="rId9403" Type="http://schemas.openxmlformats.org/officeDocument/2006/relationships/oleObject" Target="embeddings/oleObject4682.bin"/><Relationship Id="rId11680" Type="http://schemas.openxmlformats.org/officeDocument/2006/relationships/image" Target="media/image5853.wmf"/><Relationship Id="rId12731" Type="http://schemas.openxmlformats.org/officeDocument/2006/relationships/image" Target="media/image6380.wmf"/><Relationship Id="rId8005" Type="http://schemas.openxmlformats.org/officeDocument/2006/relationships/oleObject" Target="embeddings/oleObject3987.bin"/><Relationship Id="rId10282" Type="http://schemas.openxmlformats.org/officeDocument/2006/relationships/oleObject" Target="embeddings/oleObject5108.bin"/><Relationship Id="rId11333" Type="http://schemas.openxmlformats.org/officeDocument/2006/relationships/image" Target="media/image5678.wmf"/><Relationship Id="rId4962" Type="http://schemas.openxmlformats.org/officeDocument/2006/relationships/image" Target="media/image2491.wmf"/><Relationship Id="rId14556" Type="http://schemas.openxmlformats.org/officeDocument/2006/relationships/oleObject" Target="embeddings/oleObject7218.bin"/><Relationship Id="rId3564" Type="http://schemas.openxmlformats.org/officeDocument/2006/relationships/image" Target="media/image1793.wmf"/><Relationship Id="rId4615" Type="http://schemas.openxmlformats.org/officeDocument/2006/relationships/oleObject" Target="embeddings/oleObject2299.bin"/><Relationship Id="rId13158" Type="http://schemas.openxmlformats.org/officeDocument/2006/relationships/oleObject" Target="embeddings/oleObject6526.bin"/><Relationship Id="rId14209" Type="http://schemas.openxmlformats.org/officeDocument/2006/relationships/image" Target="media/image7119.wmf"/><Relationship Id="rId485" Type="http://schemas.openxmlformats.org/officeDocument/2006/relationships/image" Target="media/image242.wmf"/><Relationship Id="rId2166" Type="http://schemas.openxmlformats.org/officeDocument/2006/relationships/image" Target="media/image1089.wmf"/><Relationship Id="rId3217" Type="http://schemas.openxmlformats.org/officeDocument/2006/relationships/image" Target="media/image1618.wmf"/><Relationship Id="rId6787" Type="http://schemas.openxmlformats.org/officeDocument/2006/relationships/image" Target="media/image3403.wmf"/><Relationship Id="rId7838" Type="http://schemas.openxmlformats.org/officeDocument/2006/relationships/image" Target="media/image3928.wmf"/><Relationship Id="rId138" Type="http://schemas.openxmlformats.org/officeDocument/2006/relationships/oleObject" Target="embeddings/oleObject65.bin"/><Relationship Id="rId5389" Type="http://schemas.openxmlformats.org/officeDocument/2006/relationships/image" Target="media/image2705.wmf"/><Relationship Id="rId9260" Type="http://schemas.openxmlformats.org/officeDocument/2006/relationships/image" Target="media/image4639.wmf"/><Relationship Id="rId10819" Type="http://schemas.openxmlformats.org/officeDocument/2006/relationships/oleObject" Target="embeddings/oleObject5372.bin"/><Relationship Id="rId11190" Type="http://schemas.openxmlformats.org/officeDocument/2006/relationships/oleObject" Target="embeddings/oleObject5548.bin"/><Relationship Id="rId12241" Type="http://schemas.openxmlformats.org/officeDocument/2006/relationships/oleObject" Target="embeddings/oleObject6072.bin"/><Relationship Id="rId2300" Type="http://schemas.openxmlformats.org/officeDocument/2006/relationships/oleObject" Target="embeddings/oleObject1137.bin"/><Relationship Id="rId1999" Type="http://schemas.openxmlformats.org/officeDocument/2006/relationships/oleObject" Target="embeddings/oleObject987.bin"/><Relationship Id="rId4472" Type="http://schemas.openxmlformats.org/officeDocument/2006/relationships/image" Target="media/image2246.wmf"/><Relationship Id="rId5870" Type="http://schemas.openxmlformats.org/officeDocument/2006/relationships/oleObject" Target="embeddings/oleObject2924.bin"/><Relationship Id="rId6921" Type="http://schemas.openxmlformats.org/officeDocument/2006/relationships/image" Target="media/image3470.wmf"/><Relationship Id="rId3074" Type="http://schemas.openxmlformats.org/officeDocument/2006/relationships/oleObject" Target="embeddings/oleObject1525.bin"/><Relationship Id="rId4125" Type="http://schemas.openxmlformats.org/officeDocument/2006/relationships/image" Target="media/image2073.wmf"/><Relationship Id="rId5523" Type="http://schemas.openxmlformats.org/officeDocument/2006/relationships/image" Target="media/image2772.wmf"/><Relationship Id="rId14066" Type="http://schemas.openxmlformats.org/officeDocument/2006/relationships/oleObject" Target="embeddings/oleObject6979.bin"/><Relationship Id="rId7695" Type="http://schemas.openxmlformats.org/officeDocument/2006/relationships/oleObject" Target="embeddings/oleObject3832.bin"/><Relationship Id="rId8746" Type="http://schemas.openxmlformats.org/officeDocument/2006/relationships/oleObject" Target="embeddings/oleObject4356.bin"/><Relationship Id="rId10676" Type="http://schemas.openxmlformats.org/officeDocument/2006/relationships/image" Target="media/image5347.wmf"/><Relationship Id="rId11727" Type="http://schemas.openxmlformats.org/officeDocument/2006/relationships/oleObject" Target="embeddings/oleObject5815.bin"/><Relationship Id="rId6297" Type="http://schemas.openxmlformats.org/officeDocument/2006/relationships/image" Target="media/image3159.wmf"/><Relationship Id="rId7348" Type="http://schemas.openxmlformats.org/officeDocument/2006/relationships/image" Target="media/image3683.wmf"/><Relationship Id="rId10329" Type="http://schemas.openxmlformats.org/officeDocument/2006/relationships/image" Target="media/image5173.wmf"/><Relationship Id="rId13899" Type="http://schemas.openxmlformats.org/officeDocument/2006/relationships/image" Target="media/image6964.wmf"/><Relationship Id="rId14200" Type="http://schemas.openxmlformats.org/officeDocument/2006/relationships/oleObject" Target="embeddings/oleObject7046.bin"/><Relationship Id="rId3958" Type="http://schemas.openxmlformats.org/officeDocument/2006/relationships/image" Target="media/image1990.wmf"/><Relationship Id="rId879" Type="http://schemas.openxmlformats.org/officeDocument/2006/relationships/oleObject" Target="embeddings/oleObject431.bin"/><Relationship Id="rId5380" Type="http://schemas.openxmlformats.org/officeDocument/2006/relationships/oleObject" Target="embeddings/oleObject2679.bin"/><Relationship Id="rId6431" Type="http://schemas.openxmlformats.org/officeDocument/2006/relationships/image" Target="media/image3225.wmf"/><Relationship Id="rId10810" Type="http://schemas.openxmlformats.org/officeDocument/2006/relationships/image" Target="media/image5414.wmf"/><Relationship Id="rId5033" Type="http://schemas.openxmlformats.org/officeDocument/2006/relationships/oleObject" Target="embeddings/oleObject2506.bin"/><Relationship Id="rId12982" Type="http://schemas.openxmlformats.org/officeDocument/2006/relationships/oleObject" Target="embeddings/oleObject6440.bin"/><Relationship Id="rId1990" Type="http://schemas.openxmlformats.org/officeDocument/2006/relationships/image" Target="media/image1001.wmf"/><Relationship Id="rId8256" Type="http://schemas.openxmlformats.org/officeDocument/2006/relationships/image" Target="media/image4137.wmf"/><Relationship Id="rId9654" Type="http://schemas.openxmlformats.org/officeDocument/2006/relationships/image" Target="media/image4836.wmf"/><Relationship Id="rId11584" Type="http://schemas.openxmlformats.org/officeDocument/2006/relationships/oleObject" Target="embeddings/oleObject5745.bin"/><Relationship Id="rId12635" Type="http://schemas.openxmlformats.org/officeDocument/2006/relationships/image" Target="media/image6332.wmf"/><Relationship Id="rId1643" Type="http://schemas.openxmlformats.org/officeDocument/2006/relationships/oleObject" Target="embeddings/oleObject809.bin"/><Relationship Id="rId9307" Type="http://schemas.openxmlformats.org/officeDocument/2006/relationships/oleObject" Target="embeddings/oleObject4634.bin"/><Relationship Id="rId10186" Type="http://schemas.openxmlformats.org/officeDocument/2006/relationships/oleObject" Target="embeddings/oleObject5061.bin"/><Relationship Id="rId11237" Type="http://schemas.openxmlformats.org/officeDocument/2006/relationships/image" Target="media/image5630.wmf"/><Relationship Id="rId4866" Type="http://schemas.openxmlformats.org/officeDocument/2006/relationships/image" Target="media/image2443.wmf"/><Relationship Id="rId5917" Type="http://schemas.openxmlformats.org/officeDocument/2006/relationships/image" Target="media/image2969.wmf"/><Relationship Id="rId3468" Type="http://schemas.openxmlformats.org/officeDocument/2006/relationships/image" Target="media/image1745.wmf"/><Relationship Id="rId4519" Type="http://schemas.openxmlformats.org/officeDocument/2006/relationships/oleObject" Target="embeddings/oleObject2251.bin"/><Relationship Id="rId10320" Type="http://schemas.openxmlformats.org/officeDocument/2006/relationships/oleObject" Target="embeddings/oleObject5127.bin"/><Relationship Id="rId389" Type="http://schemas.openxmlformats.org/officeDocument/2006/relationships/image" Target="media/image194.wmf"/><Relationship Id="rId13890" Type="http://schemas.openxmlformats.org/officeDocument/2006/relationships/oleObject" Target="embeddings/oleObject6891.bin"/><Relationship Id="rId870" Type="http://schemas.openxmlformats.org/officeDocument/2006/relationships/image" Target="media/image440.wmf"/><Relationship Id="rId2551" Type="http://schemas.openxmlformats.org/officeDocument/2006/relationships/oleObject" Target="embeddings/oleObject1263.bin"/><Relationship Id="rId9164" Type="http://schemas.openxmlformats.org/officeDocument/2006/relationships/image" Target="media/image4591.wmf"/><Relationship Id="rId11094" Type="http://schemas.openxmlformats.org/officeDocument/2006/relationships/oleObject" Target="embeddings/oleObject5500.bin"/><Relationship Id="rId12492" Type="http://schemas.openxmlformats.org/officeDocument/2006/relationships/oleObject" Target="embeddings/oleObject6195.bin"/><Relationship Id="rId13543" Type="http://schemas.openxmlformats.org/officeDocument/2006/relationships/oleObject" Target="embeddings/oleObject6717.bin"/><Relationship Id="rId523" Type="http://schemas.openxmlformats.org/officeDocument/2006/relationships/image" Target="media/image261.wmf"/><Relationship Id="rId1153" Type="http://schemas.openxmlformats.org/officeDocument/2006/relationships/image" Target="media/image582.wmf"/><Relationship Id="rId2204" Type="http://schemas.openxmlformats.org/officeDocument/2006/relationships/image" Target="media/image1108.wmf"/><Relationship Id="rId3602" Type="http://schemas.openxmlformats.org/officeDocument/2006/relationships/image" Target="media/image1812.wmf"/><Relationship Id="rId12145" Type="http://schemas.openxmlformats.org/officeDocument/2006/relationships/oleObject" Target="embeddings/oleObject6024.bin"/><Relationship Id="rId5774" Type="http://schemas.openxmlformats.org/officeDocument/2006/relationships/oleObject" Target="embeddings/oleObject2876.bin"/><Relationship Id="rId6825" Type="http://schemas.openxmlformats.org/officeDocument/2006/relationships/image" Target="media/image3422.wmf"/><Relationship Id="rId4376" Type="http://schemas.openxmlformats.org/officeDocument/2006/relationships/image" Target="media/image2198.wmf"/><Relationship Id="rId5427" Type="http://schemas.openxmlformats.org/officeDocument/2006/relationships/image" Target="media/image2724.wmf"/><Relationship Id="rId8997" Type="http://schemas.openxmlformats.org/officeDocument/2006/relationships/image" Target="media/image4508.wmf"/><Relationship Id="rId4029" Type="http://schemas.openxmlformats.org/officeDocument/2006/relationships/image" Target="media/image2025.wmf"/><Relationship Id="rId7599" Type="http://schemas.openxmlformats.org/officeDocument/2006/relationships/oleObject" Target="embeddings/oleObject3784.bin"/><Relationship Id="rId11978" Type="http://schemas.openxmlformats.org/officeDocument/2006/relationships/image" Target="media/image6002.wmf"/><Relationship Id="rId14451" Type="http://schemas.openxmlformats.org/officeDocument/2006/relationships/image" Target="media/image7240.wmf"/><Relationship Id="rId4510" Type="http://schemas.openxmlformats.org/officeDocument/2006/relationships/image" Target="media/image2265.wmf"/><Relationship Id="rId13053" Type="http://schemas.openxmlformats.org/officeDocument/2006/relationships/image" Target="media/image6541.wmf"/><Relationship Id="rId14104" Type="http://schemas.openxmlformats.org/officeDocument/2006/relationships/oleObject" Target="embeddings/oleObject6998.bin"/><Relationship Id="rId380" Type="http://schemas.openxmlformats.org/officeDocument/2006/relationships/image" Target="media/image189.emf"/><Relationship Id="rId2061" Type="http://schemas.openxmlformats.org/officeDocument/2006/relationships/oleObject" Target="embeddings/oleObject1018.bin"/><Relationship Id="rId3112" Type="http://schemas.openxmlformats.org/officeDocument/2006/relationships/oleObject" Target="embeddings/oleObject1544.bin"/><Relationship Id="rId6682" Type="http://schemas.openxmlformats.org/officeDocument/2006/relationships/oleObject" Target="embeddings/oleObject3328.bin"/><Relationship Id="rId5284" Type="http://schemas.openxmlformats.org/officeDocument/2006/relationships/oleObject" Target="embeddings/oleObject2631.bin"/><Relationship Id="rId6335" Type="http://schemas.openxmlformats.org/officeDocument/2006/relationships/image" Target="media/image3177.wmf"/><Relationship Id="rId7733" Type="http://schemas.openxmlformats.org/officeDocument/2006/relationships/oleObject" Target="embeddings/oleObject3851.bin"/><Relationship Id="rId10714" Type="http://schemas.openxmlformats.org/officeDocument/2006/relationships/image" Target="media/image5366.wmf"/><Relationship Id="rId12886" Type="http://schemas.openxmlformats.org/officeDocument/2006/relationships/oleObject" Target="embeddings/oleObject6392.bin"/><Relationship Id="rId13937" Type="http://schemas.openxmlformats.org/officeDocument/2006/relationships/image" Target="media/image6983.wmf"/><Relationship Id="rId1894" Type="http://schemas.openxmlformats.org/officeDocument/2006/relationships/image" Target="media/image953.wmf"/><Relationship Id="rId2945" Type="http://schemas.openxmlformats.org/officeDocument/2006/relationships/image" Target="media/image1482.wmf"/><Relationship Id="rId9558" Type="http://schemas.openxmlformats.org/officeDocument/2006/relationships/image" Target="media/image4788.wmf"/><Relationship Id="rId11488" Type="http://schemas.openxmlformats.org/officeDocument/2006/relationships/oleObject" Target="embeddings/oleObject5697.bin"/><Relationship Id="rId12539" Type="http://schemas.openxmlformats.org/officeDocument/2006/relationships/image" Target="media/image6284.wmf"/><Relationship Id="rId917" Type="http://schemas.openxmlformats.org/officeDocument/2006/relationships/image" Target="media/image464.wmf"/><Relationship Id="rId1547" Type="http://schemas.openxmlformats.org/officeDocument/2006/relationships/oleObject" Target="embeddings/oleObject760.bin"/><Relationship Id="rId4020" Type="http://schemas.openxmlformats.org/officeDocument/2006/relationships/oleObject" Target="embeddings/oleObject2001.bin"/><Relationship Id="rId7590" Type="http://schemas.openxmlformats.org/officeDocument/2006/relationships/image" Target="media/image3804.wmf"/><Relationship Id="rId8641" Type="http://schemas.openxmlformats.org/officeDocument/2006/relationships/oleObject" Target="embeddings/oleObject4305.bin"/><Relationship Id="rId6192" Type="http://schemas.openxmlformats.org/officeDocument/2006/relationships/oleObject" Target="embeddings/oleObject3085.bin"/><Relationship Id="rId7243" Type="http://schemas.openxmlformats.org/officeDocument/2006/relationships/oleObject" Target="embeddings/oleObject3606.bin"/><Relationship Id="rId10571" Type="http://schemas.openxmlformats.org/officeDocument/2006/relationships/oleObject" Target="embeddings/oleObject5250.bin"/><Relationship Id="rId11622" Type="http://schemas.openxmlformats.org/officeDocument/2006/relationships/oleObject" Target="embeddings/oleObject5764.bin"/><Relationship Id="rId10224" Type="http://schemas.openxmlformats.org/officeDocument/2006/relationships/oleObject" Target="embeddings/oleObject5079.bin"/><Relationship Id="rId13794" Type="http://schemas.openxmlformats.org/officeDocument/2006/relationships/oleObject" Target="embeddings/oleObject6843.bin"/><Relationship Id="rId3853" Type="http://schemas.openxmlformats.org/officeDocument/2006/relationships/oleObject" Target="embeddings/oleObject1917.bin"/><Relationship Id="rId4904" Type="http://schemas.openxmlformats.org/officeDocument/2006/relationships/image" Target="media/image2462.wmf"/><Relationship Id="rId9068" Type="http://schemas.openxmlformats.org/officeDocument/2006/relationships/oleObject" Target="embeddings/oleObject4514.bin"/><Relationship Id="rId12396" Type="http://schemas.openxmlformats.org/officeDocument/2006/relationships/oleObject" Target="embeddings/oleObject6147.bin"/><Relationship Id="rId13447" Type="http://schemas.openxmlformats.org/officeDocument/2006/relationships/oleObject" Target="embeddings/oleObject6669.bin"/><Relationship Id="rId774" Type="http://schemas.openxmlformats.org/officeDocument/2006/relationships/image" Target="media/image392.wmf"/><Relationship Id="rId1057" Type="http://schemas.openxmlformats.org/officeDocument/2006/relationships/image" Target="media/image534.wmf"/><Relationship Id="rId2455" Type="http://schemas.openxmlformats.org/officeDocument/2006/relationships/oleObject" Target="embeddings/oleObject1216.bin"/><Relationship Id="rId3506" Type="http://schemas.openxmlformats.org/officeDocument/2006/relationships/image" Target="media/image1764.wmf"/><Relationship Id="rId12049" Type="http://schemas.openxmlformats.org/officeDocument/2006/relationships/oleObject" Target="embeddings/oleObject5976.bin"/><Relationship Id="rId427" Type="http://schemas.openxmlformats.org/officeDocument/2006/relationships/image" Target="media/image213.wmf"/><Relationship Id="rId2108" Type="http://schemas.openxmlformats.org/officeDocument/2006/relationships/image" Target="media/image1060.wmf"/><Relationship Id="rId5678" Type="http://schemas.openxmlformats.org/officeDocument/2006/relationships/oleObject" Target="embeddings/oleObject2828.bin"/><Relationship Id="rId6729" Type="http://schemas.openxmlformats.org/officeDocument/2006/relationships/image" Target="media/image3374.wmf"/><Relationship Id="rId12530" Type="http://schemas.openxmlformats.org/officeDocument/2006/relationships/oleObject" Target="embeddings/oleObject6214.bin"/><Relationship Id="rId8151" Type="http://schemas.openxmlformats.org/officeDocument/2006/relationships/oleObject" Target="embeddings/oleObject4060.bin"/><Relationship Id="rId9202" Type="http://schemas.openxmlformats.org/officeDocument/2006/relationships/image" Target="media/image4610.wmf"/><Relationship Id="rId10081" Type="http://schemas.openxmlformats.org/officeDocument/2006/relationships/image" Target="media/image5049.wmf"/><Relationship Id="rId11132" Type="http://schemas.openxmlformats.org/officeDocument/2006/relationships/oleObject" Target="embeddings/oleObject5519.bin"/><Relationship Id="rId4761" Type="http://schemas.openxmlformats.org/officeDocument/2006/relationships/oleObject" Target="embeddings/oleObject2372.bin"/><Relationship Id="rId3363" Type="http://schemas.openxmlformats.org/officeDocument/2006/relationships/oleObject" Target="embeddings/oleObject1670.bin"/><Relationship Id="rId4414" Type="http://schemas.openxmlformats.org/officeDocument/2006/relationships/image" Target="media/image2217.wmf"/><Relationship Id="rId5812" Type="http://schemas.openxmlformats.org/officeDocument/2006/relationships/oleObject" Target="embeddings/oleObject2895.bin"/><Relationship Id="rId14008" Type="http://schemas.openxmlformats.org/officeDocument/2006/relationships/oleObject" Target="embeddings/oleObject6950.bin"/><Relationship Id="rId14355" Type="http://schemas.openxmlformats.org/officeDocument/2006/relationships/image" Target="media/image7192.wmf"/><Relationship Id="rId284" Type="http://schemas.openxmlformats.org/officeDocument/2006/relationships/image" Target="media/image141.wmf"/><Relationship Id="rId3016" Type="http://schemas.openxmlformats.org/officeDocument/2006/relationships/oleObject" Target="embeddings/oleObject1496.bin"/><Relationship Id="rId7984" Type="http://schemas.openxmlformats.org/officeDocument/2006/relationships/image" Target="media/image4001.wmf"/><Relationship Id="rId10965" Type="http://schemas.openxmlformats.org/officeDocument/2006/relationships/oleObject" Target="embeddings/oleObject5438.bin"/><Relationship Id="rId5188" Type="http://schemas.openxmlformats.org/officeDocument/2006/relationships/image" Target="media/image2604.wmf"/><Relationship Id="rId6586" Type="http://schemas.openxmlformats.org/officeDocument/2006/relationships/oleObject" Target="embeddings/oleObject3280.bin"/><Relationship Id="rId7637" Type="http://schemas.openxmlformats.org/officeDocument/2006/relationships/oleObject" Target="embeddings/oleObject3803.bin"/><Relationship Id="rId10618" Type="http://schemas.openxmlformats.org/officeDocument/2006/relationships/image" Target="media/image5318.wmf"/><Relationship Id="rId6239" Type="http://schemas.openxmlformats.org/officeDocument/2006/relationships/image" Target="media/image3130.wmf"/><Relationship Id="rId12040" Type="http://schemas.openxmlformats.org/officeDocument/2006/relationships/image" Target="media/image6033.wmf"/><Relationship Id="rId1798" Type="http://schemas.openxmlformats.org/officeDocument/2006/relationships/image" Target="media/image905.wmf"/><Relationship Id="rId2849" Type="http://schemas.openxmlformats.org/officeDocument/2006/relationships/image" Target="media/image1434.wmf"/><Relationship Id="rId6720" Type="http://schemas.openxmlformats.org/officeDocument/2006/relationships/oleObject" Target="embeddings/oleObject3347.bin"/><Relationship Id="rId4271" Type="http://schemas.openxmlformats.org/officeDocument/2006/relationships/image" Target="media/image2146.wmf"/><Relationship Id="rId5322" Type="http://schemas.openxmlformats.org/officeDocument/2006/relationships/oleObject" Target="embeddings/oleObject2650.bin"/><Relationship Id="rId8892" Type="http://schemas.openxmlformats.org/officeDocument/2006/relationships/oleObject" Target="embeddings/oleObject4426.bin"/><Relationship Id="rId7494" Type="http://schemas.openxmlformats.org/officeDocument/2006/relationships/image" Target="media/image3756.wmf"/><Relationship Id="rId8545" Type="http://schemas.openxmlformats.org/officeDocument/2006/relationships/oleObject" Target="embeddings/oleObject4257.bin"/><Relationship Id="rId9943" Type="http://schemas.openxmlformats.org/officeDocument/2006/relationships/image" Target="media/image4980.wmf"/><Relationship Id="rId11873" Type="http://schemas.openxmlformats.org/officeDocument/2006/relationships/oleObject" Target="embeddings/oleObject5888.bin"/><Relationship Id="rId12924" Type="http://schemas.openxmlformats.org/officeDocument/2006/relationships/oleObject" Target="embeddings/oleObject6411.bin"/><Relationship Id="rId1932" Type="http://schemas.openxmlformats.org/officeDocument/2006/relationships/image" Target="media/image972.wmf"/><Relationship Id="rId6096" Type="http://schemas.openxmlformats.org/officeDocument/2006/relationships/oleObject" Target="embeddings/oleObject3037.bin"/><Relationship Id="rId7147" Type="http://schemas.openxmlformats.org/officeDocument/2006/relationships/oleObject" Target="embeddings/oleObject3559.bin"/><Relationship Id="rId10475" Type="http://schemas.microsoft.com/office/2007/relationships/hdphoto" Target="media/hdphoto36.wdp"/><Relationship Id="rId11526" Type="http://schemas.openxmlformats.org/officeDocument/2006/relationships/oleObject" Target="embeddings/oleObject5716.bin"/><Relationship Id="rId10128" Type="http://schemas.openxmlformats.org/officeDocument/2006/relationships/oleObject" Target="embeddings/oleObject5033.bin"/><Relationship Id="rId13698" Type="http://schemas.openxmlformats.org/officeDocument/2006/relationships/oleObject" Target="embeddings/oleObject6795.bin"/><Relationship Id="rId3757" Type="http://schemas.openxmlformats.org/officeDocument/2006/relationships/oleObject" Target="embeddings/oleObject1869.bin"/><Relationship Id="rId4808" Type="http://schemas.openxmlformats.org/officeDocument/2006/relationships/image" Target="media/image2414.wmf"/><Relationship Id="rId678" Type="http://schemas.openxmlformats.org/officeDocument/2006/relationships/image" Target="media/image341.wmf"/><Relationship Id="rId2359" Type="http://schemas.openxmlformats.org/officeDocument/2006/relationships/image" Target="media/image1188.wmf"/><Relationship Id="rId6230" Type="http://schemas.openxmlformats.org/officeDocument/2006/relationships/oleObject" Target="embeddings/oleObject3104.bin"/><Relationship Id="rId9453" Type="http://schemas.openxmlformats.org/officeDocument/2006/relationships/oleObject" Target="embeddings/oleObject4705.bin"/><Relationship Id="rId11383" Type="http://schemas.openxmlformats.org/officeDocument/2006/relationships/image" Target="media/image5703.wmf"/><Relationship Id="rId12781" Type="http://schemas.openxmlformats.org/officeDocument/2006/relationships/image" Target="media/image6405.wmf"/><Relationship Id="rId13832" Type="http://schemas.openxmlformats.org/officeDocument/2006/relationships/oleObject" Target="embeddings/oleObject6862.bin"/><Relationship Id="rId812" Type="http://schemas.openxmlformats.org/officeDocument/2006/relationships/image" Target="media/image411.wmf"/><Relationship Id="rId1442" Type="http://schemas.openxmlformats.org/officeDocument/2006/relationships/image" Target="media/image726.wmf"/><Relationship Id="rId2840" Type="http://schemas.openxmlformats.org/officeDocument/2006/relationships/oleObject" Target="embeddings/oleObject1408.bin"/><Relationship Id="rId8055" Type="http://schemas.openxmlformats.org/officeDocument/2006/relationships/oleObject" Target="embeddings/oleObject4012.bin"/><Relationship Id="rId9106" Type="http://schemas.openxmlformats.org/officeDocument/2006/relationships/oleObject" Target="embeddings/oleObject4533.bin"/><Relationship Id="rId11036" Type="http://schemas.openxmlformats.org/officeDocument/2006/relationships/image" Target="media/image5528.wmf"/><Relationship Id="rId12434" Type="http://schemas.openxmlformats.org/officeDocument/2006/relationships/oleObject" Target="embeddings/oleObject6166.bin"/><Relationship Id="rId3267" Type="http://schemas.openxmlformats.org/officeDocument/2006/relationships/oleObject" Target="embeddings/oleObject1622.bin"/><Relationship Id="rId4665" Type="http://schemas.openxmlformats.org/officeDocument/2006/relationships/oleObject" Target="embeddings/oleObject2324.bin"/><Relationship Id="rId5716" Type="http://schemas.openxmlformats.org/officeDocument/2006/relationships/oleObject" Target="embeddings/oleObject2847.bin"/><Relationship Id="rId14259" Type="http://schemas.openxmlformats.org/officeDocument/2006/relationships/image" Target="media/image7144.wmf"/><Relationship Id="rId188" Type="http://schemas.openxmlformats.org/officeDocument/2006/relationships/image" Target="media/image93.wmf"/><Relationship Id="rId4318" Type="http://schemas.openxmlformats.org/officeDocument/2006/relationships/oleObject" Target="embeddings/oleObject2150.bin"/><Relationship Id="rId7888" Type="http://schemas.openxmlformats.org/officeDocument/2006/relationships/image" Target="media/image3953.wmf"/><Relationship Id="rId8939" Type="http://schemas.openxmlformats.org/officeDocument/2006/relationships/image" Target="media/image4479.wmf"/><Relationship Id="rId10869" Type="http://schemas.openxmlformats.org/officeDocument/2006/relationships/oleObject" Target="embeddings/oleObject5397.bin"/><Relationship Id="rId12291" Type="http://schemas.openxmlformats.org/officeDocument/2006/relationships/image" Target="media/image6159.png"/><Relationship Id="rId13342" Type="http://schemas.openxmlformats.org/officeDocument/2006/relationships/image" Target="media/image6686.wmf"/><Relationship Id="rId2350" Type="http://schemas.openxmlformats.org/officeDocument/2006/relationships/oleObject" Target="embeddings/oleObject1164.bin"/><Relationship Id="rId3401" Type="http://schemas.openxmlformats.org/officeDocument/2006/relationships/oleObject" Target="embeddings/oleObject1690.bin"/><Relationship Id="rId6971" Type="http://schemas.openxmlformats.org/officeDocument/2006/relationships/image" Target="media/image3495.wmf"/><Relationship Id="rId322" Type="http://schemas.openxmlformats.org/officeDocument/2006/relationships/image" Target="media/image160.wmf"/><Relationship Id="rId2003" Type="http://schemas.openxmlformats.org/officeDocument/2006/relationships/oleObject" Target="embeddings/oleObject989.bin"/><Relationship Id="rId5573" Type="http://schemas.openxmlformats.org/officeDocument/2006/relationships/image" Target="media/image2797.wmf"/><Relationship Id="rId6624" Type="http://schemas.openxmlformats.org/officeDocument/2006/relationships/oleObject" Target="embeddings/oleObject3299.bin"/><Relationship Id="rId4175" Type="http://schemas.openxmlformats.org/officeDocument/2006/relationships/image" Target="media/image2098.wmf"/><Relationship Id="rId5226" Type="http://schemas.openxmlformats.org/officeDocument/2006/relationships/oleObject" Target="embeddings/oleObject2602.bin"/><Relationship Id="rId7398" Type="http://schemas.openxmlformats.org/officeDocument/2006/relationships/image" Target="media/image3708.wmf"/><Relationship Id="rId8796" Type="http://schemas.openxmlformats.org/officeDocument/2006/relationships/oleObject" Target="embeddings/oleObject4381.bin"/><Relationship Id="rId9847" Type="http://schemas.openxmlformats.org/officeDocument/2006/relationships/image" Target="media/image4932.wmf"/><Relationship Id="rId11777" Type="http://schemas.openxmlformats.org/officeDocument/2006/relationships/oleObject" Target="embeddings/oleObject5840.bin"/><Relationship Id="rId12828" Type="http://schemas.openxmlformats.org/officeDocument/2006/relationships/oleObject" Target="embeddings/oleObject6363.bin"/><Relationship Id="rId1836" Type="http://schemas.openxmlformats.org/officeDocument/2006/relationships/image" Target="media/image924.wmf"/><Relationship Id="rId8449" Type="http://schemas.openxmlformats.org/officeDocument/2006/relationships/oleObject" Target="embeddings/oleObject4209.bin"/><Relationship Id="rId10379" Type="http://schemas.openxmlformats.org/officeDocument/2006/relationships/image" Target="media/image5198.wmf"/><Relationship Id="rId14250" Type="http://schemas.openxmlformats.org/officeDocument/2006/relationships/oleObject" Target="embeddings/oleObject7071.bin"/><Relationship Id="rId8930" Type="http://schemas.openxmlformats.org/officeDocument/2006/relationships/oleObject" Target="embeddings/oleObject4445.bin"/><Relationship Id="rId6481" Type="http://schemas.openxmlformats.org/officeDocument/2006/relationships/image" Target="media/image3250.wmf"/><Relationship Id="rId7532" Type="http://schemas.openxmlformats.org/officeDocument/2006/relationships/image" Target="media/image3775.wmf"/><Relationship Id="rId10860" Type="http://schemas.openxmlformats.org/officeDocument/2006/relationships/image" Target="media/image5439.wmf"/><Relationship Id="rId11911" Type="http://schemas.openxmlformats.org/officeDocument/2006/relationships/oleObject" Target="embeddings/oleObject5907.bin"/><Relationship Id="rId5083" Type="http://schemas.openxmlformats.org/officeDocument/2006/relationships/oleObject" Target="embeddings/oleObject2531.bin"/><Relationship Id="rId6134" Type="http://schemas.openxmlformats.org/officeDocument/2006/relationships/oleObject" Target="embeddings/oleObject3056.bin"/><Relationship Id="rId10513" Type="http://schemas.openxmlformats.org/officeDocument/2006/relationships/oleObject" Target="embeddings/oleObject5221.bin"/><Relationship Id="rId9357" Type="http://schemas.openxmlformats.org/officeDocument/2006/relationships/oleObject" Target="embeddings/oleObject4659.bin"/><Relationship Id="rId12685" Type="http://schemas.openxmlformats.org/officeDocument/2006/relationships/image" Target="media/image6357.wmf"/><Relationship Id="rId13736" Type="http://schemas.openxmlformats.org/officeDocument/2006/relationships/oleObject" Target="embeddings/oleObject6814.bin"/><Relationship Id="rId1346" Type="http://schemas.openxmlformats.org/officeDocument/2006/relationships/image" Target="media/image678.wmf"/><Relationship Id="rId1693" Type="http://schemas.openxmlformats.org/officeDocument/2006/relationships/oleObject" Target="embeddings/oleObject834.bin"/><Relationship Id="rId2744" Type="http://schemas.openxmlformats.org/officeDocument/2006/relationships/image" Target="media/image1382.wmf"/><Relationship Id="rId11287" Type="http://schemas.openxmlformats.org/officeDocument/2006/relationships/image" Target="media/image5655.wmf"/><Relationship Id="rId12338" Type="http://schemas.openxmlformats.org/officeDocument/2006/relationships/oleObject" Target="embeddings/oleObject6118.bin"/><Relationship Id="rId716" Type="http://schemas.openxmlformats.org/officeDocument/2006/relationships/image" Target="media/image360.wmf"/><Relationship Id="rId5967" Type="http://schemas.openxmlformats.org/officeDocument/2006/relationships/image" Target="media/image2994.wmf"/><Relationship Id="rId52" Type="http://schemas.openxmlformats.org/officeDocument/2006/relationships/oleObject" Target="embeddings/oleObject22.bin"/><Relationship Id="rId4569" Type="http://schemas.openxmlformats.org/officeDocument/2006/relationships/oleObject" Target="embeddings/oleObject2276.bin"/><Relationship Id="rId8440" Type="http://schemas.openxmlformats.org/officeDocument/2006/relationships/image" Target="media/image4229.wmf"/><Relationship Id="rId10370" Type="http://schemas.openxmlformats.org/officeDocument/2006/relationships/oleObject" Target="embeddings/oleObject5152.bin"/><Relationship Id="rId11421" Type="http://schemas.openxmlformats.org/officeDocument/2006/relationships/image" Target="media/image5722.wmf"/><Relationship Id="rId7042" Type="http://schemas.openxmlformats.org/officeDocument/2006/relationships/oleObject" Target="embeddings/oleObject3506.bin"/><Relationship Id="rId10023" Type="http://schemas.openxmlformats.org/officeDocument/2006/relationships/image" Target="media/image5020.wmf"/><Relationship Id="rId13593" Type="http://schemas.openxmlformats.org/officeDocument/2006/relationships/oleObject" Target="embeddings/oleObject6742.bin"/><Relationship Id="rId3652" Type="http://schemas.openxmlformats.org/officeDocument/2006/relationships/image" Target="media/image1837.wmf"/><Relationship Id="rId4703" Type="http://schemas.openxmlformats.org/officeDocument/2006/relationships/oleObject" Target="embeddings/oleObject2343.bin"/><Relationship Id="rId12195" Type="http://schemas.openxmlformats.org/officeDocument/2006/relationships/oleObject" Target="embeddings/oleObject6049.bin"/><Relationship Id="rId13246" Type="http://schemas.openxmlformats.org/officeDocument/2006/relationships/oleObject" Target="embeddings/oleObject6570.bin"/><Relationship Id="rId573" Type="http://schemas.openxmlformats.org/officeDocument/2006/relationships/oleObject" Target="embeddings/oleObject276.bin"/><Relationship Id="rId2254" Type="http://schemas.openxmlformats.org/officeDocument/2006/relationships/oleObject" Target="embeddings/oleObject1114.bin"/><Relationship Id="rId3305" Type="http://schemas.openxmlformats.org/officeDocument/2006/relationships/oleObject" Target="embeddings/oleObject1641.bin"/><Relationship Id="rId226" Type="http://schemas.openxmlformats.org/officeDocument/2006/relationships/image" Target="media/image112.wmf"/><Relationship Id="rId5477" Type="http://schemas.openxmlformats.org/officeDocument/2006/relationships/image" Target="media/image2749.wmf"/><Relationship Id="rId6875" Type="http://schemas.openxmlformats.org/officeDocument/2006/relationships/image" Target="media/image3447.wmf"/><Relationship Id="rId7926" Type="http://schemas.openxmlformats.org/officeDocument/2006/relationships/image" Target="media/image3972.wmf"/><Relationship Id="rId10907" Type="http://schemas.openxmlformats.org/officeDocument/2006/relationships/oleObject" Target="embeddings/oleObject5416.bin"/><Relationship Id="rId4079" Type="http://schemas.openxmlformats.org/officeDocument/2006/relationships/image" Target="media/image2050.wmf"/><Relationship Id="rId6528" Type="http://schemas.openxmlformats.org/officeDocument/2006/relationships/oleObject" Target="embeddings/oleObject3254.bin"/><Relationship Id="rId9001" Type="http://schemas.openxmlformats.org/officeDocument/2006/relationships/image" Target="media/image4510.wmf"/><Relationship Id="rId4560" Type="http://schemas.openxmlformats.org/officeDocument/2006/relationships/image" Target="media/image2290.wmf"/><Relationship Id="rId5611" Type="http://schemas.openxmlformats.org/officeDocument/2006/relationships/image" Target="media/image2816.wmf"/><Relationship Id="rId14154" Type="http://schemas.openxmlformats.org/officeDocument/2006/relationships/oleObject" Target="embeddings/oleObject7023.bin"/><Relationship Id="rId3162" Type="http://schemas.openxmlformats.org/officeDocument/2006/relationships/oleObject" Target="embeddings/oleObject1569.bin"/><Relationship Id="rId4213" Type="http://schemas.openxmlformats.org/officeDocument/2006/relationships/image" Target="media/image2117.wmf"/><Relationship Id="rId7783" Type="http://schemas.openxmlformats.org/officeDocument/2006/relationships/oleObject" Target="embeddings/oleObject3876.bin"/><Relationship Id="rId8834" Type="http://schemas.openxmlformats.org/officeDocument/2006/relationships/oleObject" Target="embeddings/oleObject4400.bin"/><Relationship Id="rId6385" Type="http://schemas.openxmlformats.org/officeDocument/2006/relationships/image" Target="media/image3202.wmf"/><Relationship Id="rId7436" Type="http://schemas.openxmlformats.org/officeDocument/2006/relationships/image" Target="media/image3727.wmf"/><Relationship Id="rId10764" Type="http://schemas.openxmlformats.org/officeDocument/2006/relationships/image" Target="media/image5391.wmf"/><Relationship Id="rId11815" Type="http://schemas.openxmlformats.org/officeDocument/2006/relationships/oleObject" Target="embeddings/oleObject5859.bin"/><Relationship Id="rId6038" Type="http://schemas.openxmlformats.org/officeDocument/2006/relationships/oleObject" Target="embeddings/oleObject3008.bin"/><Relationship Id="rId10417" Type="http://schemas.openxmlformats.org/officeDocument/2006/relationships/oleObject" Target="embeddings/oleObject5175.bin"/><Relationship Id="rId13987" Type="http://schemas.openxmlformats.org/officeDocument/2006/relationships/image" Target="media/image7008.wmf"/><Relationship Id="rId2995" Type="http://schemas.openxmlformats.org/officeDocument/2006/relationships/image" Target="media/image1507.wmf"/><Relationship Id="rId12589" Type="http://schemas.openxmlformats.org/officeDocument/2006/relationships/image" Target="media/image6309.wmf"/><Relationship Id="rId967" Type="http://schemas.openxmlformats.org/officeDocument/2006/relationships/image" Target="media/image489.wmf"/><Relationship Id="rId1597" Type="http://schemas.openxmlformats.org/officeDocument/2006/relationships/oleObject" Target="embeddings/oleObject786.bin"/><Relationship Id="rId2648" Type="http://schemas.openxmlformats.org/officeDocument/2006/relationships/image" Target="media/image1334.wmf"/><Relationship Id="rId4070" Type="http://schemas.openxmlformats.org/officeDocument/2006/relationships/oleObject" Target="embeddings/oleObject2026.bin"/><Relationship Id="rId5121" Type="http://schemas.openxmlformats.org/officeDocument/2006/relationships/oleObject" Target="embeddings/oleObject2550.bin"/><Relationship Id="rId8691" Type="http://schemas.openxmlformats.org/officeDocument/2006/relationships/image" Target="media/image4355.wmf"/><Relationship Id="rId9742" Type="http://schemas.openxmlformats.org/officeDocument/2006/relationships/image" Target="media/image4880.wmf"/><Relationship Id="rId11672" Type="http://schemas.openxmlformats.org/officeDocument/2006/relationships/image" Target="media/image5848.png"/><Relationship Id="rId1731" Type="http://schemas.openxmlformats.org/officeDocument/2006/relationships/oleObject" Target="embeddings/oleObject853.bin"/><Relationship Id="rId7293" Type="http://schemas.openxmlformats.org/officeDocument/2006/relationships/oleObject" Target="embeddings/oleObject3631.bin"/><Relationship Id="rId8344" Type="http://schemas.openxmlformats.org/officeDocument/2006/relationships/image" Target="media/image4181.wmf"/><Relationship Id="rId10274" Type="http://schemas.openxmlformats.org/officeDocument/2006/relationships/oleObject" Target="embeddings/oleObject5104.bin"/><Relationship Id="rId11325" Type="http://schemas.openxmlformats.org/officeDocument/2006/relationships/image" Target="media/image5674.wmf"/><Relationship Id="rId12723" Type="http://schemas.openxmlformats.org/officeDocument/2006/relationships/image" Target="media/image6376.wmf"/><Relationship Id="rId3556" Type="http://schemas.openxmlformats.org/officeDocument/2006/relationships/image" Target="media/image1789.wmf"/><Relationship Id="rId4954" Type="http://schemas.openxmlformats.org/officeDocument/2006/relationships/image" Target="media/image2487.wmf"/><Relationship Id="rId12099" Type="http://schemas.openxmlformats.org/officeDocument/2006/relationships/oleObject" Target="embeddings/oleObject6001.bin"/><Relationship Id="rId13497" Type="http://schemas.openxmlformats.org/officeDocument/2006/relationships/oleObject" Target="embeddings/oleObject6694.bin"/><Relationship Id="rId14548" Type="http://schemas.openxmlformats.org/officeDocument/2006/relationships/oleObject" Target="embeddings/oleObject7214.bin"/><Relationship Id="rId477" Type="http://schemas.openxmlformats.org/officeDocument/2006/relationships/image" Target="media/image238.wmf"/><Relationship Id="rId2158" Type="http://schemas.openxmlformats.org/officeDocument/2006/relationships/image" Target="media/image1085.wmf"/><Relationship Id="rId3209" Type="http://schemas.openxmlformats.org/officeDocument/2006/relationships/image" Target="media/image1614.wmf"/><Relationship Id="rId4607" Type="http://schemas.openxmlformats.org/officeDocument/2006/relationships/oleObject" Target="embeddings/oleObject2295.bin"/><Relationship Id="rId6779" Type="http://schemas.openxmlformats.org/officeDocument/2006/relationships/image" Target="media/image3399.wmf"/><Relationship Id="rId12580" Type="http://schemas.openxmlformats.org/officeDocument/2006/relationships/oleObject" Target="embeddings/oleObject6239.bin"/><Relationship Id="rId13631" Type="http://schemas.openxmlformats.org/officeDocument/2006/relationships/oleObject" Target="embeddings/oleObject6761.bin"/><Relationship Id="rId9252" Type="http://schemas.openxmlformats.org/officeDocument/2006/relationships/image" Target="media/image4635.wmf"/><Relationship Id="rId11182" Type="http://schemas.openxmlformats.org/officeDocument/2006/relationships/oleObject" Target="embeddings/oleObject5544.bin"/><Relationship Id="rId12233" Type="http://schemas.openxmlformats.org/officeDocument/2006/relationships/oleObject" Target="embeddings/oleObject6068.bin"/><Relationship Id="rId611" Type="http://schemas.openxmlformats.org/officeDocument/2006/relationships/oleObject" Target="embeddings/oleObject295.bin"/><Relationship Id="rId1241" Type="http://schemas.openxmlformats.org/officeDocument/2006/relationships/oleObject" Target="embeddings/oleObject610.bin"/><Relationship Id="rId5862" Type="http://schemas.openxmlformats.org/officeDocument/2006/relationships/oleObject" Target="embeddings/oleObject2920.bin"/><Relationship Id="rId6913" Type="http://schemas.openxmlformats.org/officeDocument/2006/relationships/image" Target="media/image3466.wmf"/><Relationship Id="rId4464" Type="http://schemas.openxmlformats.org/officeDocument/2006/relationships/image" Target="media/image2242.wmf"/><Relationship Id="rId5515" Type="http://schemas.openxmlformats.org/officeDocument/2006/relationships/image" Target="media/image2768.wmf"/><Relationship Id="rId14058" Type="http://schemas.openxmlformats.org/officeDocument/2006/relationships/oleObject" Target="embeddings/oleObject6975.bin"/><Relationship Id="rId3066" Type="http://schemas.openxmlformats.org/officeDocument/2006/relationships/oleObject" Target="embeddings/oleObject1521.bin"/><Relationship Id="rId4117" Type="http://schemas.openxmlformats.org/officeDocument/2006/relationships/image" Target="media/image2069.wmf"/><Relationship Id="rId7687" Type="http://schemas.openxmlformats.org/officeDocument/2006/relationships/oleObject" Target="embeddings/oleObject3828.bin"/><Relationship Id="rId6289" Type="http://schemas.openxmlformats.org/officeDocument/2006/relationships/image" Target="media/image3155.wmf"/><Relationship Id="rId8738" Type="http://schemas.openxmlformats.org/officeDocument/2006/relationships/oleObject" Target="embeddings/oleObject4352.bin"/><Relationship Id="rId10668" Type="http://schemas.openxmlformats.org/officeDocument/2006/relationships/image" Target="media/image5343.wmf"/><Relationship Id="rId11719" Type="http://schemas.openxmlformats.org/officeDocument/2006/relationships/oleObject" Target="embeddings/oleObject5811.bin"/><Relationship Id="rId12090" Type="http://schemas.openxmlformats.org/officeDocument/2006/relationships/image" Target="media/image6058.wmf"/><Relationship Id="rId13141" Type="http://schemas.openxmlformats.org/officeDocument/2006/relationships/image" Target="media/image6585.wmf"/><Relationship Id="rId2899" Type="http://schemas.openxmlformats.org/officeDocument/2006/relationships/image" Target="media/image1459.wmf"/><Relationship Id="rId3200" Type="http://schemas.openxmlformats.org/officeDocument/2006/relationships/oleObject" Target="embeddings/oleObject1588.bin"/><Relationship Id="rId6770" Type="http://schemas.openxmlformats.org/officeDocument/2006/relationships/oleObject" Target="embeddings/oleObject3372.bin"/><Relationship Id="rId7821" Type="http://schemas.openxmlformats.org/officeDocument/2006/relationships/oleObject" Target="embeddings/oleObject3895.bin"/><Relationship Id="rId121" Type="http://schemas.openxmlformats.org/officeDocument/2006/relationships/image" Target="media/image58.wmf"/><Relationship Id="rId5372" Type="http://schemas.openxmlformats.org/officeDocument/2006/relationships/oleObject" Target="embeddings/oleObject2675.bin"/><Relationship Id="rId6423" Type="http://schemas.openxmlformats.org/officeDocument/2006/relationships/image" Target="media/image3221.wmf"/><Relationship Id="rId9993" Type="http://schemas.openxmlformats.org/officeDocument/2006/relationships/image" Target="media/image5005.wmf"/><Relationship Id="rId10802" Type="http://schemas.openxmlformats.org/officeDocument/2006/relationships/image" Target="media/image5410.wmf"/><Relationship Id="rId5025" Type="http://schemas.openxmlformats.org/officeDocument/2006/relationships/oleObject" Target="embeddings/oleObject2502.bin"/><Relationship Id="rId8595" Type="http://schemas.openxmlformats.org/officeDocument/2006/relationships/oleObject" Target="embeddings/oleObject4282.bin"/><Relationship Id="rId9646" Type="http://schemas.openxmlformats.org/officeDocument/2006/relationships/image" Target="media/image4832.wmf"/><Relationship Id="rId12974" Type="http://schemas.openxmlformats.org/officeDocument/2006/relationships/oleObject" Target="embeddings/oleObject6436.bin"/><Relationship Id="rId1635" Type="http://schemas.openxmlformats.org/officeDocument/2006/relationships/oleObject" Target="embeddings/oleObject805.bin"/><Relationship Id="rId1982" Type="http://schemas.openxmlformats.org/officeDocument/2006/relationships/image" Target="media/image997.wmf"/><Relationship Id="rId7197" Type="http://schemas.openxmlformats.org/officeDocument/2006/relationships/oleObject" Target="embeddings/oleObject3583.bin"/><Relationship Id="rId8248" Type="http://schemas.openxmlformats.org/officeDocument/2006/relationships/image" Target="media/image4133.wmf"/><Relationship Id="rId10178" Type="http://schemas.openxmlformats.org/officeDocument/2006/relationships/oleObject" Target="embeddings/oleObject5057.bin"/><Relationship Id="rId11576" Type="http://schemas.openxmlformats.org/officeDocument/2006/relationships/oleObject" Target="embeddings/oleObject5741.bin"/><Relationship Id="rId12627" Type="http://schemas.openxmlformats.org/officeDocument/2006/relationships/image" Target="media/image6328.wmf"/><Relationship Id="rId11229" Type="http://schemas.openxmlformats.org/officeDocument/2006/relationships/image" Target="media/image5626.wmf"/><Relationship Id="rId4858" Type="http://schemas.openxmlformats.org/officeDocument/2006/relationships/image" Target="media/image2439.wmf"/><Relationship Id="rId5909" Type="http://schemas.openxmlformats.org/officeDocument/2006/relationships/image" Target="media/image2965.wmf"/><Relationship Id="rId11710" Type="http://schemas.openxmlformats.org/officeDocument/2006/relationships/image" Target="media/image5868.wmf"/><Relationship Id="rId6280" Type="http://schemas.openxmlformats.org/officeDocument/2006/relationships/oleObject" Target="embeddings/oleObject3129.bin"/><Relationship Id="rId7331" Type="http://schemas.openxmlformats.org/officeDocument/2006/relationships/oleObject" Target="embeddings/oleObject3650.bin"/><Relationship Id="rId10312" Type="http://schemas.openxmlformats.org/officeDocument/2006/relationships/oleObject" Target="embeddings/oleObject5123.bin"/><Relationship Id="rId13882" Type="http://schemas.openxmlformats.org/officeDocument/2006/relationships/oleObject" Target="embeddings/oleObject6887.bin"/><Relationship Id="rId2890" Type="http://schemas.openxmlformats.org/officeDocument/2006/relationships/oleObject" Target="embeddings/oleObject1433.bin"/><Relationship Id="rId3941" Type="http://schemas.openxmlformats.org/officeDocument/2006/relationships/oleObject" Target="embeddings/oleObject1961.bin"/><Relationship Id="rId12484" Type="http://schemas.openxmlformats.org/officeDocument/2006/relationships/oleObject" Target="embeddings/oleObject6191.bin"/><Relationship Id="rId13535" Type="http://schemas.openxmlformats.org/officeDocument/2006/relationships/oleObject" Target="embeddings/oleObject6713.bin"/><Relationship Id="rId862" Type="http://schemas.openxmlformats.org/officeDocument/2006/relationships/image" Target="media/image436.wmf"/><Relationship Id="rId1492" Type="http://schemas.openxmlformats.org/officeDocument/2006/relationships/image" Target="media/image751.wmf"/><Relationship Id="rId2543" Type="http://schemas.openxmlformats.org/officeDocument/2006/relationships/oleObject" Target="embeddings/oleObject1259.bin"/><Relationship Id="rId9156" Type="http://schemas.openxmlformats.org/officeDocument/2006/relationships/oleObject" Target="embeddings/oleObject4558.bin"/><Relationship Id="rId11086" Type="http://schemas.openxmlformats.org/officeDocument/2006/relationships/oleObject" Target="embeddings/oleObject5496.bin"/><Relationship Id="rId12137" Type="http://schemas.openxmlformats.org/officeDocument/2006/relationships/oleObject" Target="embeddings/oleObject6020.bin"/><Relationship Id="rId515" Type="http://schemas.openxmlformats.org/officeDocument/2006/relationships/image" Target="media/image257.wmf"/><Relationship Id="rId1145" Type="http://schemas.openxmlformats.org/officeDocument/2006/relationships/image" Target="media/image578.wmf"/><Relationship Id="rId5766" Type="http://schemas.openxmlformats.org/officeDocument/2006/relationships/oleObject" Target="embeddings/oleObject2872.bin"/><Relationship Id="rId4368" Type="http://schemas.openxmlformats.org/officeDocument/2006/relationships/image" Target="media/image2194.wmf"/><Relationship Id="rId5419" Type="http://schemas.openxmlformats.org/officeDocument/2006/relationships/image" Target="media/image2720.wmf"/><Relationship Id="rId6817" Type="http://schemas.openxmlformats.org/officeDocument/2006/relationships/image" Target="media/image3418.wmf"/><Relationship Id="rId8989" Type="http://schemas.openxmlformats.org/officeDocument/2006/relationships/image" Target="media/image4504.wmf"/><Relationship Id="rId11220" Type="http://schemas.openxmlformats.org/officeDocument/2006/relationships/oleObject" Target="embeddings/oleObject5563.bin"/><Relationship Id="rId5900" Type="http://schemas.openxmlformats.org/officeDocument/2006/relationships/oleObject" Target="embeddings/oleObject2939.bin"/><Relationship Id="rId13392" Type="http://schemas.openxmlformats.org/officeDocument/2006/relationships/image" Target="media/image6711.wmf"/><Relationship Id="rId14443" Type="http://schemas.openxmlformats.org/officeDocument/2006/relationships/image" Target="media/image7236.wmf"/><Relationship Id="rId3451" Type="http://schemas.openxmlformats.org/officeDocument/2006/relationships/oleObject" Target="embeddings/oleObject1716.bin"/><Relationship Id="rId4502" Type="http://schemas.openxmlformats.org/officeDocument/2006/relationships/image" Target="media/image2261.wmf"/><Relationship Id="rId13045" Type="http://schemas.openxmlformats.org/officeDocument/2006/relationships/image" Target="media/image6537.wmf"/><Relationship Id="rId372" Type="http://schemas.openxmlformats.org/officeDocument/2006/relationships/image" Target="media/image185.wmf"/><Relationship Id="rId2053" Type="http://schemas.openxmlformats.org/officeDocument/2006/relationships/oleObject" Target="embeddings/oleObject1014.bin"/><Relationship Id="rId3104" Type="http://schemas.openxmlformats.org/officeDocument/2006/relationships/oleObject" Target="embeddings/oleObject1540.bin"/><Relationship Id="rId6674" Type="http://schemas.openxmlformats.org/officeDocument/2006/relationships/oleObject" Target="embeddings/oleObject3324.bin"/><Relationship Id="rId7725" Type="http://schemas.openxmlformats.org/officeDocument/2006/relationships/oleObject" Target="embeddings/oleObject3847.bin"/><Relationship Id="rId5276" Type="http://schemas.openxmlformats.org/officeDocument/2006/relationships/oleObject" Target="embeddings/oleObject2627.bin"/><Relationship Id="rId6327" Type="http://schemas.openxmlformats.org/officeDocument/2006/relationships/image" Target="media/image3173.wmf"/><Relationship Id="rId9897" Type="http://schemas.openxmlformats.org/officeDocument/2006/relationships/image" Target="media/image4957.wmf"/><Relationship Id="rId10706" Type="http://schemas.openxmlformats.org/officeDocument/2006/relationships/image" Target="media/image5362.png"/><Relationship Id="rId8499" Type="http://schemas.openxmlformats.org/officeDocument/2006/relationships/oleObject" Target="embeddings/oleObject4234.bin"/><Relationship Id="rId12878" Type="http://schemas.openxmlformats.org/officeDocument/2006/relationships/oleObject" Target="embeddings/oleObject6388.bin"/><Relationship Id="rId13929" Type="http://schemas.openxmlformats.org/officeDocument/2006/relationships/image" Target="media/image6979.wmf"/><Relationship Id="rId1886" Type="http://schemas.openxmlformats.org/officeDocument/2006/relationships/image" Target="media/image949.wmf"/><Relationship Id="rId2937" Type="http://schemas.openxmlformats.org/officeDocument/2006/relationships/image" Target="media/image1478.wmf"/><Relationship Id="rId909" Type="http://schemas.openxmlformats.org/officeDocument/2006/relationships/oleObject" Target="embeddings/oleObject446.bin"/><Relationship Id="rId1539" Type="http://schemas.openxmlformats.org/officeDocument/2006/relationships/oleObject" Target="embeddings/oleObject756.bin"/><Relationship Id="rId5410" Type="http://schemas.openxmlformats.org/officeDocument/2006/relationships/oleObject" Target="embeddings/oleObject2694.bin"/><Relationship Id="rId8980" Type="http://schemas.openxmlformats.org/officeDocument/2006/relationships/oleObject" Target="embeddings/oleObject4470.bin"/><Relationship Id="rId11961" Type="http://schemas.openxmlformats.org/officeDocument/2006/relationships/oleObject" Target="embeddings/oleObject5932.bin"/><Relationship Id="rId4012" Type="http://schemas.openxmlformats.org/officeDocument/2006/relationships/oleObject" Target="embeddings/oleObject1997.bin"/><Relationship Id="rId7582" Type="http://schemas.openxmlformats.org/officeDocument/2006/relationships/image" Target="media/image3800.wmf"/><Relationship Id="rId8633" Type="http://schemas.openxmlformats.org/officeDocument/2006/relationships/oleObject" Target="embeddings/oleObject4301.bin"/><Relationship Id="rId10563" Type="http://schemas.openxmlformats.org/officeDocument/2006/relationships/oleObject" Target="embeddings/oleObject5246.bin"/><Relationship Id="rId11614" Type="http://schemas.openxmlformats.org/officeDocument/2006/relationships/oleObject" Target="embeddings/oleObject5760.bin"/><Relationship Id="rId6184" Type="http://schemas.openxmlformats.org/officeDocument/2006/relationships/oleObject" Target="embeddings/oleObject3081.bin"/><Relationship Id="rId7235" Type="http://schemas.openxmlformats.org/officeDocument/2006/relationships/oleObject" Target="embeddings/oleObject3602.bin"/><Relationship Id="rId10216" Type="http://schemas.openxmlformats.org/officeDocument/2006/relationships/oleObject" Target="embeddings/oleObject5075.bin"/><Relationship Id="rId2794" Type="http://schemas.openxmlformats.org/officeDocument/2006/relationships/image" Target="media/image1407.wmf"/><Relationship Id="rId3845" Type="http://schemas.openxmlformats.org/officeDocument/2006/relationships/oleObject" Target="embeddings/oleObject1913.bin"/><Relationship Id="rId12388" Type="http://schemas.openxmlformats.org/officeDocument/2006/relationships/oleObject" Target="embeddings/oleObject6143.bin"/><Relationship Id="rId13786" Type="http://schemas.openxmlformats.org/officeDocument/2006/relationships/oleObject" Target="embeddings/oleObject6839.bin"/><Relationship Id="rId766" Type="http://schemas.openxmlformats.org/officeDocument/2006/relationships/image" Target="media/image388.wmf"/><Relationship Id="rId1396" Type="http://schemas.openxmlformats.org/officeDocument/2006/relationships/image" Target="media/image703.wmf"/><Relationship Id="rId2447" Type="http://schemas.openxmlformats.org/officeDocument/2006/relationships/oleObject" Target="embeddings/oleObject1212.bin"/><Relationship Id="rId13439" Type="http://schemas.openxmlformats.org/officeDocument/2006/relationships/oleObject" Target="embeddings/oleObject6665.bin"/><Relationship Id="rId419" Type="http://schemas.openxmlformats.org/officeDocument/2006/relationships/image" Target="media/image209.wmf"/><Relationship Id="rId1049" Type="http://schemas.openxmlformats.org/officeDocument/2006/relationships/image" Target="media/image530.wmf"/><Relationship Id="rId13920" Type="http://schemas.openxmlformats.org/officeDocument/2006/relationships/oleObject" Target="embeddings/oleObject6906.bin"/><Relationship Id="rId7092" Type="http://schemas.openxmlformats.org/officeDocument/2006/relationships/oleObject" Target="embeddings/oleObject3531.bin"/><Relationship Id="rId8143" Type="http://schemas.openxmlformats.org/officeDocument/2006/relationships/oleObject" Target="embeddings/oleObject4056.bin"/><Relationship Id="rId8490" Type="http://schemas.openxmlformats.org/officeDocument/2006/relationships/image" Target="media/image4254.wmf"/><Relationship Id="rId9541" Type="http://schemas.openxmlformats.org/officeDocument/2006/relationships/oleObject" Target="embeddings/oleObject4749.bin"/><Relationship Id="rId11471" Type="http://schemas.openxmlformats.org/officeDocument/2006/relationships/image" Target="media/image5747.wmf"/><Relationship Id="rId12522" Type="http://schemas.openxmlformats.org/officeDocument/2006/relationships/oleObject" Target="embeddings/oleObject6210.bin"/><Relationship Id="rId900" Type="http://schemas.openxmlformats.org/officeDocument/2006/relationships/image" Target="media/image455.wmf"/><Relationship Id="rId1530" Type="http://schemas.openxmlformats.org/officeDocument/2006/relationships/image" Target="media/image770.wmf"/><Relationship Id="rId10073" Type="http://schemas.openxmlformats.org/officeDocument/2006/relationships/image" Target="media/image5045.wmf"/><Relationship Id="rId11124" Type="http://schemas.openxmlformats.org/officeDocument/2006/relationships/oleObject" Target="embeddings/oleObject5515.bin"/><Relationship Id="rId4753" Type="http://schemas.openxmlformats.org/officeDocument/2006/relationships/oleObject" Target="embeddings/oleObject2368.bin"/><Relationship Id="rId5804" Type="http://schemas.openxmlformats.org/officeDocument/2006/relationships/oleObject" Target="embeddings/oleObject2891.bin"/><Relationship Id="rId13296" Type="http://schemas.openxmlformats.org/officeDocument/2006/relationships/oleObject" Target="embeddings/oleObject6595.bin"/><Relationship Id="rId14347" Type="http://schemas.openxmlformats.org/officeDocument/2006/relationships/image" Target="media/image7188.wmf"/><Relationship Id="rId3355" Type="http://schemas.openxmlformats.org/officeDocument/2006/relationships/oleObject" Target="embeddings/oleObject1666.bin"/><Relationship Id="rId4406" Type="http://schemas.openxmlformats.org/officeDocument/2006/relationships/image" Target="media/image2213.wmf"/><Relationship Id="rId7976" Type="http://schemas.openxmlformats.org/officeDocument/2006/relationships/image" Target="media/image3997.wmf"/><Relationship Id="rId276" Type="http://schemas.openxmlformats.org/officeDocument/2006/relationships/image" Target="media/image137.wmf"/><Relationship Id="rId3008" Type="http://schemas.openxmlformats.org/officeDocument/2006/relationships/oleObject" Target="embeddings/oleObject1492.bin"/><Relationship Id="rId6578" Type="http://schemas.openxmlformats.org/officeDocument/2006/relationships/oleObject" Target="embeddings/oleObject3276.bin"/><Relationship Id="rId7629" Type="http://schemas.openxmlformats.org/officeDocument/2006/relationships/oleObject" Target="embeddings/oleObject3799.bin"/><Relationship Id="rId10957" Type="http://schemas.openxmlformats.org/officeDocument/2006/relationships/oleObject" Target="embeddings/oleObject5434.bin"/><Relationship Id="rId9051" Type="http://schemas.openxmlformats.org/officeDocument/2006/relationships/image" Target="media/image4535.wmf"/><Relationship Id="rId13430" Type="http://schemas.openxmlformats.org/officeDocument/2006/relationships/image" Target="media/image6730.wmf"/><Relationship Id="rId1040" Type="http://schemas.openxmlformats.org/officeDocument/2006/relationships/oleObject" Target="embeddings/oleObject511.bin"/><Relationship Id="rId12032" Type="http://schemas.openxmlformats.org/officeDocument/2006/relationships/image" Target="media/image6029.wmf"/><Relationship Id="rId410" Type="http://schemas.openxmlformats.org/officeDocument/2006/relationships/oleObject" Target="embeddings/oleObject199.bin"/><Relationship Id="rId5661" Type="http://schemas.openxmlformats.org/officeDocument/2006/relationships/image" Target="media/image2841.wmf"/><Relationship Id="rId6712" Type="http://schemas.openxmlformats.org/officeDocument/2006/relationships/oleObject" Target="embeddings/oleObject3343.bin"/><Relationship Id="rId4263" Type="http://schemas.openxmlformats.org/officeDocument/2006/relationships/image" Target="media/image2142.wmf"/><Relationship Id="rId5314" Type="http://schemas.openxmlformats.org/officeDocument/2006/relationships/oleObject" Target="embeddings/oleObject2646.bin"/><Relationship Id="rId8884" Type="http://schemas.openxmlformats.org/officeDocument/2006/relationships/oleObject" Target="embeddings/oleObject4422.bin"/><Relationship Id="rId9935" Type="http://schemas.openxmlformats.org/officeDocument/2006/relationships/image" Target="media/image4976.wmf"/><Relationship Id="rId1924" Type="http://schemas.openxmlformats.org/officeDocument/2006/relationships/image" Target="media/image968.wmf"/><Relationship Id="rId7486" Type="http://schemas.openxmlformats.org/officeDocument/2006/relationships/image" Target="media/image3752.wmf"/><Relationship Id="rId8537" Type="http://schemas.openxmlformats.org/officeDocument/2006/relationships/oleObject" Target="embeddings/oleObject4253.bin"/><Relationship Id="rId10467" Type="http://schemas.openxmlformats.org/officeDocument/2006/relationships/oleObject" Target="embeddings/oleObject5200.bin"/><Relationship Id="rId11865" Type="http://schemas.openxmlformats.org/officeDocument/2006/relationships/oleObject" Target="embeddings/oleObject5884.bin"/><Relationship Id="rId12916" Type="http://schemas.openxmlformats.org/officeDocument/2006/relationships/oleObject" Target="embeddings/oleObject6407.bin"/><Relationship Id="rId6088" Type="http://schemas.openxmlformats.org/officeDocument/2006/relationships/oleObject" Target="embeddings/oleObject3033.bin"/><Relationship Id="rId7139" Type="http://schemas.openxmlformats.org/officeDocument/2006/relationships/oleObject" Target="embeddings/oleObject3555.bin"/><Relationship Id="rId11518" Type="http://schemas.openxmlformats.org/officeDocument/2006/relationships/oleObject" Target="embeddings/oleObject5712.bin"/><Relationship Id="rId2698" Type="http://schemas.openxmlformats.org/officeDocument/2006/relationships/image" Target="media/image1359.wmf"/><Relationship Id="rId3749" Type="http://schemas.openxmlformats.org/officeDocument/2006/relationships/oleObject" Target="embeddings/oleObject1865.bin"/><Relationship Id="rId5171" Type="http://schemas.openxmlformats.org/officeDocument/2006/relationships/oleObject" Target="embeddings/oleObject2575.bin"/><Relationship Id="rId6222" Type="http://schemas.openxmlformats.org/officeDocument/2006/relationships/oleObject" Target="embeddings/oleObject3100.bin"/><Relationship Id="rId7620" Type="http://schemas.openxmlformats.org/officeDocument/2006/relationships/image" Target="media/image3819.wmf"/><Relationship Id="rId10601" Type="http://schemas.openxmlformats.org/officeDocument/2006/relationships/oleObject" Target="embeddings/oleObject5265.bin"/><Relationship Id="rId9792" Type="http://schemas.openxmlformats.org/officeDocument/2006/relationships/image" Target="media/image4905.wmf"/><Relationship Id="rId12773" Type="http://schemas.openxmlformats.org/officeDocument/2006/relationships/image" Target="media/image6401.wmf"/><Relationship Id="rId13824" Type="http://schemas.openxmlformats.org/officeDocument/2006/relationships/oleObject" Target="embeddings/oleObject6858.bin"/><Relationship Id="rId1781" Type="http://schemas.openxmlformats.org/officeDocument/2006/relationships/oleObject" Target="embeddings/oleObject878.bin"/><Relationship Id="rId2832" Type="http://schemas.openxmlformats.org/officeDocument/2006/relationships/image" Target="media/image1426.wmf"/><Relationship Id="rId8394" Type="http://schemas.openxmlformats.org/officeDocument/2006/relationships/image" Target="media/image4206.wmf"/><Relationship Id="rId9445" Type="http://schemas.openxmlformats.org/officeDocument/2006/relationships/oleObject" Target="embeddings/oleObject4701.bin"/><Relationship Id="rId11375" Type="http://schemas.openxmlformats.org/officeDocument/2006/relationships/image" Target="media/image5699.wmf"/><Relationship Id="rId12426" Type="http://schemas.openxmlformats.org/officeDocument/2006/relationships/oleObject" Target="embeddings/oleObject6162.bin"/><Relationship Id="rId804" Type="http://schemas.openxmlformats.org/officeDocument/2006/relationships/image" Target="media/image407.wmf"/><Relationship Id="rId1434" Type="http://schemas.openxmlformats.org/officeDocument/2006/relationships/image" Target="media/image722.wmf"/><Relationship Id="rId8047" Type="http://schemas.openxmlformats.org/officeDocument/2006/relationships/oleObject" Target="embeddings/oleObject4008.bin"/><Relationship Id="rId11028" Type="http://schemas.openxmlformats.org/officeDocument/2006/relationships/image" Target="media/image5524.wmf"/><Relationship Id="rId4657" Type="http://schemas.openxmlformats.org/officeDocument/2006/relationships/oleObject" Target="embeddings/oleObject2320.bin"/><Relationship Id="rId5708" Type="http://schemas.openxmlformats.org/officeDocument/2006/relationships/oleObject" Target="embeddings/oleObject2843.bin"/><Relationship Id="rId3259" Type="http://schemas.openxmlformats.org/officeDocument/2006/relationships/image" Target="media/image1639.wmf"/><Relationship Id="rId7130" Type="http://schemas.openxmlformats.org/officeDocument/2006/relationships/image" Target="media/image3574.wmf"/><Relationship Id="rId10111" Type="http://schemas.openxmlformats.org/officeDocument/2006/relationships/image" Target="media/image5064.wmf"/><Relationship Id="rId13681" Type="http://schemas.openxmlformats.org/officeDocument/2006/relationships/oleObject" Target="embeddings/oleObject6786.bin"/><Relationship Id="rId3740" Type="http://schemas.openxmlformats.org/officeDocument/2006/relationships/image" Target="media/image1881.wmf"/><Relationship Id="rId12283" Type="http://schemas.openxmlformats.org/officeDocument/2006/relationships/oleObject" Target="embeddings/oleObject6093.bin"/><Relationship Id="rId13334" Type="http://schemas.openxmlformats.org/officeDocument/2006/relationships/image" Target="media/image6682.wmf"/><Relationship Id="rId661" Type="http://schemas.openxmlformats.org/officeDocument/2006/relationships/oleObject" Target="embeddings/oleObject319.bin"/><Relationship Id="rId1291" Type="http://schemas.openxmlformats.org/officeDocument/2006/relationships/oleObject" Target="embeddings/oleObject635.bin"/><Relationship Id="rId2342" Type="http://schemas.openxmlformats.org/officeDocument/2006/relationships/oleObject" Target="embeddings/oleObject1160.bin"/><Relationship Id="rId6963" Type="http://schemas.openxmlformats.org/officeDocument/2006/relationships/image" Target="media/image3491.wmf"/><Relationship Id="rId314" Type="http://schemas.openxmlformats.org/officeDocument/2006/relationships/image" Target="media/image156.wmf"/><Relationship Id="rId5565" Type="http://schemas.openxmlformats.org/officeDocument/2006/relationships/image" Target="media/image2793.wmf"/><Relationship Id="rId6616" Type="http://schemas.openxmlformats.org/officeDocument/2006/relationships/oleObject" Target="embeddings/oleObject3295.bin"/><Relationship Id="rId4167" Type="http://schemas.openxmlformats.org/officeDocument/2006/relationships/image" Target="media/image2094.wmf"/><Relationship Id="rId5218" Type="http://schemas.openxmlformats.org/officeDocument/2006/relationships/image" Target="media/image2619.emf"/><Relationship Id="rId8788" Type="http://schemas.openxmlformats.org/officeDocument/2006/relationships/oleObject" Target="embeddings/oleObject4377.bin"/><Relationship Id="rId9839" Type="http://schemas.openxmlformats.org/officeDocument/2006/relationships/image" Target="media/image4928.wmf"/><Relationship Id="rId11769" Type="http://schemas.openxmlformats.org/officeDocument/2006/relationships/oleObject" Target="embeddings/oleObject5836.bin"/><Relationship Id="rId13191" Type="http://schemas.openxmlformats.org/officeDocument/2006/relationships/image" Target="media/image6610.wmf"/><Relationship Id="rId1828" Type="http://schemas.openxmlformats.org/officeDocument/2006/relationships/image" Target="media/image920.wmf"/><Relationship Id="rId3250" Type="http://schemas.openxmlformats.org/officeDocument/2006/relationships/oleObject" Target="embeddings/oleObject1613.bin"/><Relationship Id="rId14242" Type="http://schemas.openxmlformats.org/officeDocument/2006/relationships/oleObject" Target="embeddings/oleObject7067.bin"/><Relationship Id="rId171" Type="http://schemas.openxmlformats.org/officeDocument/2006/relationships/oleObject" Target="embeddings/oleObject80.bin"/><Relationship Id="rId4301" Type="http://schemas.openxmlformats.org/officeDocument/2006/relationships/image" Target="media/image2161.wmf"/><Relationship Id="rId7871" Type="http://schemas.openxmlformats.org/officeDocument/2006/relationships/oleObject" Target="embeddings/oleObject3920.bin"/><Relationship Id="rId8922" Type="http://schemas.openxmlformats.org/officeDocument/2006/relationships/oleObject" Target="embeddings/oleObject4441.bin"/><Relationship Id="rId10852" Type="http://schemas.openxmlformats.org/officeDocument/2006/relationships/image" Target="media/image5435.wmf"/><Relationship Id="rId11903" Type="http://schemas.openxmlformats.org/officeDocument/2006/relationships/oleObject" Target="embeddings/oleObject5903.bin"/><Relationship Id="rId6473" Type="http://schemas.openxmlformats.org/officeDocument/2006/relationships/image" Target="media/image3246.wmf"/><Relationship Id="rId7524" Type="http://schemas.openxmlformats.org/officeDocument/2006/relationships/image" Target="media/image3771.wmf"/><Relationship Id="rId10505" Type="http://schemas.openxmlformats.org/officeDocument/2006/relationships/oleObject" Target="embeddings/oleObject5217.bin"/><Relationship Id="rId5075" Type="http://schemas.openxmlformats.org/officeDocument/2006/relationships/oleObject" Target="embeddings/oleObject2527.bin"/><Relationship Id="rId6126" Type="http://schemas.openxmlformats.org/officeDocument/2006/relationships/oleObject" Target="embeddings/oleObject3052.bin"/><Relationship Id="rId9696" Type="http://schemas.openxmlformats.org/officeDocument/2006/relationships/image" Target="media/image4857.wmf"/><Relationship Id="rId12677" Type="http://schemas.openxmlformats.org/officeDocument/2006/relationships/image" Target="media/image6353.wmf"/><Relationship Id="rId1685" Type="http://schemas.openxmlformats.org/officeDocument/2006/relationships/oleObject" Target="embeddings/oleObject830.bin"/><Relationship Id="rId2736" Type="http://schemas.openxmlformats.org/officeDocument/2006/relationships/image" Target="media/image1378.wmf"/><Relationship Id="rId8298" Type="http://schemas.openxmlformats.org/officeDocument/2006/relationships/image" Target="media/image4158.wmf"/><Relationship Id="rId9349" Type="http://schemas.openxmlformats.org/officeDocument/2006/relationships/oleObject" Target="embeddings/oleObject4655.bin"/><Relationship Id="rId11279" Type="http://schemas.openxmlformats.org/officeDocument/2006/relationships/image" Target="media/image5651.wmf"/><Relationship Id="rId13728" Type="http://schemas.openxmlformats.org/officeDocument/2006/relationships/oleObject" Target="embeddings/oleObject6810.bin"/><Relationship Id="rId708" Type="http://schemas.openxmlformats.org/officeDocument/2006/relationships/image" Target="media/image356.wmf"/><Relationship Id="rId1338" Type="http://schemas.openxmlformats.org/officeDocument/2006/relationships/image" Target="media/image674.wmf"/><Relationship Id="rId5959" Type="http://schemas.openxmlformats.org/officeDocument/2006/relationships/image" Target="media/image2990.wmf"/><Relationship Id="rId7381" Type="http://schemas.openxmlformats.org/officeDocument/2006/relationships/oleObject" Target="embeddings/oleObject3675.bin"/><Relationship Id="rId8432" Type="http://schemas.openxmlformats.org/officeDocument/2006/relationships/image" Target="media/image4225.wmf"/><Relationship Id="rId9830" Type="http://schemas.openxmlformats.org/officeDocument/2006/relationships/image" Target="media/image4924.wmf"/><Relationship Id="rId11760" Type="http://schemas.openxmlformats.org/officeDocument/2006/relationships/image" Target="media/image5893.wmf"/><Relationship Id="rId12811" Type="http://schemas.openxmlformats.org/officeDocument/2006/relationships/image" Target="media/image6420.wmf"/><Relationship Id="rId44" Type="http://schemas.openxmlformats.org/officeDocument/2006/relationships/oleObject" Target="embeddings/oleObject18.bin"/><Relationship Id="rId7034" Type="http://schemas.openxmlformats.org/officeDocument/2006/relationships/oleObject" Target="embeddings/oleObject3502.bin"/><Relationship Id="rId10362" Type="http://schemas.openxmlformats.org/officeDocument/2006/relationships/oleObject" Target="embeddings/oleObject5148.bin"/><Relationship Id="rId11413" Type="http://schemas.openxmlformats.org/officeDocument/2006/relationships/image" Target="media/image5718.wmf"/><Relationship Id="rId3991" Type="http://schemas.openxmlformats.org/officeDocument/2006/relationships/image" Target="media/image2006.wmf"/><Relationship Id="rId10015" Type="http://schemas.openxmlformats.org/officeDocument/2006/relationships/image" Target="media/image5016.wmf"/><Relationship Id="rId13585" Type="http://schemas.openxmlformats.org/officeDocument/2006/relationships/oleObject" Target="embeddings/oleObject6738.bin"/><Relationship Id="rId2593" Type="http://schemas.openxmlformats.org/officeDocument/2006/relationships/oleObject" Target="embeddings/oleObject1284.bin"/><Relationship Id="rId3644" Type="http://schemas.openxmlformats.org/officeDocument/2006/relationships/image" Target="media/image1833.wmf"/><Relationship Id="rId12187" Type="http://schemas.openxmlformats.org/officeDocument/2006/relationships/oleObject" Target="embeddings/oleObject6045.bin"/><Relationship Id="rId13238" Type="http://schemas.openxmlformats.org/officeDocument/2006/relationships/oleObject" Target="embeddings/oleObject6566.bin"/><Relationship Id="rId565" Type="http://schemas.openxmlformats.org/officeDocument/2006/relationships/oleObject" Target="embeddings/oleObject272.bin"/><Relationship Id="rId1195" Type="http://schemas.openxmlformats.org/officeDocument/2006/relationships/oleObject" Target="embeddings/oleObject588.bin"/><Relationship Id="rId2246" Type="http://schemas.openxmlformats.org/officeDocument/2006/relationships/oleObject" Target="embeddings/oleObject1110.bin"/><Relationship Id="rId6867" Type="http://schemas.openxmlformats.org/officeDocument/2006/relationships/image" Target="media/image3443.wmf"/><Relationship Id="rId7918" Type="http://schemas.openxmlformats.org/officeDocument/2006/relationships/image" Target="media/image3968.wmf"/><Relationship Id="rId218" Type="http://schemas.openxmlformats.org/officeDocument/2006/relationships/image" Target="media/image108.wmf"/><Relationship Id="rId5469" Type="http://schemas.openxmlformats.org/officeDocument/2006/relationships/image" Target="media/image2745.wmf"/><Relationship Id="rId9340" Type="http://schemas.openxmlformats.org/officeDocument/2006/relationships/image" Target="media/image4679.wmf"/><Relationship Id="rId11270" Type="http://schemas.openxmlformats.org/officeDocument/2006/relationships/oleObject" Target="embeddings/oleObject5588.bin"/><Relationship Id="rId12321" Type="http://schemas.openxmlformats.org/officeDocument/2006/relationships/image" Target="media/image6175.wmf"/><Relationship Id="rId5950" Type="http://schemas.openxmlformats.org/officeDocument/2006/relationships/oleObject" Target="embeddings/oleObject2964.bin"/><Relationship Id="rId14493" Type="http://schemas.openxmlformats.org/officeDocument/2006/relationships/image" Target="media/image7261.wmf"/><Relationship Id="rId4552" Type="http://schemas.openxmlformats.org/officeDocument/2006/relationships/image" Target="media/image2286.wmf"/><Relationship Id="rId5603" Type="http://schemas.openxmlformats.org/officeDocument/2006/relationships/image" Target="media/image2812.wmf"/><Relationship Id="rId13095" Type="http://schemas.openxmlformats.org/officeDocument/2006/relationships/image" Target="media/image6562.wmf"/><Relationship Id="rId14146" Type="http://schemas.openxmlformats.org/officeDocument/2006/relationships/oleObject" Target="embeddings/oleObject7019.bin"/><Relationship Id="rId3154" Type="http://schemas.openxmlformats.org/officeDocument/2006/relationships/oleObject" Target="embeddings/oleObject1565.bin"/><Relationship Id="rId4205" Type="http://schemas.openxmlformats.org/officeDocument/2006/relationships/image" Target="media/image2113.wmf"/><Relationship Id="rId7775" Type="http://schemas.openxmlformats.org/officeDocument/2006/relationships/oleObject" Target="embeddings/oleObject3872.bin"/><Relationship Id="rId8826" Type="http://schemas.openxmlformats.org/officeDocument/2006/relationships/oleObject" Target="embeddings/oleObject4396.bin"/><Relationship Id="rId10756" Type="http://schemas.openxmlformats.org/officeDocument/2006/relationships/image" Target="media/image5387.wmf"/><Relationship Id="rId6377" Type="http://schemas.openxmlformats.org/officeDocument/2006/relationships/image" Target="media/image3198.wmf"/><Relationship Id="rId7428" Type="http://schemas.openxmlformats.org/officeDocument/2006/relationships/image" Target="media/image3723.wmf"/><Relationship Id="rId10409" Type="http://schemas.openxmlformats.org/officeDocument/2006/relationships/image" Target="media/image5213.png"/><Relationship Id="rId11807" Type="http://schemas.openxmlformats.org/officeDocument/2006/relationships/oleObject" Target="embeddings/oleObject5855.bin"/><Relationship Id="rId2987" Type="http://schemas.openxmlformats.org/officeDocument/2006/relationships/image" Target="media/image1503.wmf"/><Relationship Id="rId13979" Type="http://schemas.openxmlformats.org/officeDocument/2006/relationships/image" Target="media/image7004.wmf"/><Relationship Id="rId959" Type="http://schemas.openxmlformats.org/officeDocument/2006/relationships/image" Target="media/image485.wmf"/><Relationship Id="rId1589" Type="http://schemas.openxmlformats.org/officeDocument/2006/relationships/oleObject" Target="embeddings/oleObject782.bin"/><Relationship Id="rId5460" Type="http://schemas.openxmlformats.org/officeDocument/2006/relationships/oleObject" Target="embeddings/oleObject2719.bin"/><Relationship Id="rId6511" Type="http://schemas.openxmlformats.org/officeDocument/2006/relationships/image" Target="media/image3265.wmf"/><Relationship Id="rId4062" Type="http://schemas.openxmlformats.org/officeDocument/2006/relationships/oleObject" Target="embeddings/oleObject2022.bin"/><Relationship Id="rId5113" Type="http://schemas.openxmlformats.org/officeDocument/2006/relationships/oleObject" Target="embeddings/oleObject2546.bin"/><Relationship Id="rId8683" Type="http://schemas.openxmlformats.org/officeDocument/2006/relationships/image" Target="media/image4351.wmf"/><Relationship Id="rId9734" Type="http://schemas.openxmlformats.org/officeDocument/2006/relationships/image" Target="media/image4876.wmf"/><Relationship Id="rId11664" Type="http://schemas.openxmlformats.org/officeDocument/2006/relationships/oleObject" Target="embeddings/oleObject5785.bin"/><Relationship Id="rId12715" Type="http://schemas.openxmlformats.org/officeDocument/2006/relationships/image" Target="media/image6372.wmf"/><Relationship Id="rId1723" Type="http://schemas.openxmlformats.org/officeDocument/2006/relationships/oleObject" Target="embeddings/oleObject849.bin"/><Relationship Id="rId7285" Type="http://schemas.openxmlformats.org/officeDocument/2006/relationships/oleObject" Target="embeddings/oleObject3627.bin"/><Relationship Id="rId8336" Type="http://schemas.openxmlformats.org/officeDocument/2006/relationships/image" Target="media/image4177.wmf"/><Relationship Id="rId10266" Type="http://schemas.openxmlformats.org/officeDocument/2006/relationships/oleObject" Target="embeddings/oleObject5100.bin"/><Relationship Id="rId11317" Type="http://schemas.openxmlformats.org/officeDocument/2006/relationships/image" Target="media/image5670.wmf"/><Relationship Id="rId3895" Type="http://schemas.openxmlformats.org/officeDocument/2006/relationships/oleObject" Target="embeddings/oleObject1938.bin"/><Relationship Id="rId4946" Type="http://schemas.openxmlformats.org/officeDocument/2006/relationships/image" Target="media/image2483.wmf"/><Relationship Id="rId13489" Type="http://schemas.openxmlformats.org/officeDocument/2006/relationships/oleObject" Target="embeddings/oleObject6690.bin"/><Relationship Id="rId2497" Type="http://schemas.openxmlformats.org/officeDocument/2006/relationships/oleObject" Target="embeddings/oleObject1236.bin"/><Relationship Id="rId3548" Type="http://schemas.openxmlformats.org/officeDocument/2006/relationships/image" Target="media/image1785.wmf"/><Relationship Id="rId469" Type="http://schemas.openxmlformats.org/officeDocument/2006/relationships/image" Target="media/image234.wmf"/><Relationship Id="rId1099" Type="http://schemas.openxmlformats.org/officeDocument/2006/relationships/image" Target="media/image555.wmf"/><Relationship Id="rId6021" Type="http://schemas.openxmlformats.org/officeDocument/2006/relationships/image" Target="media/image3021.wmf"/><Relationship Id="rId9591" Type="http://schemas.openxmlformats.org/officeDocument/2006/relationships/oleObject" Target="embeddings/oleObject4774.bin"/><Relationship Id="rId10400" Type="http://schemas.openxmlformats.org/officeDocument/2006/relationships/oleObject" Target="embeddings/oleObject5167.bin"/><Relationship Id="rId13970" Type="http://schemas.openxmlformats.org/officeDocument/2006/relationships/oleObject" Target="embeddings/oleObject6931.bin"/><Relationship Id="rId8193" Type="http://schemas.openxmlformats.org/officeDocument/2006/relationships/oleObject" Target="embeddings/oleObject4081.bin"/><Relationship Id="rId9244" Type="http://schemas.openxmlformats.org/officeDocument/2006/relationships/image" Target="media/image4631.wmf"/><Relationship Id="rId12572" Type="http://schemas.openxmlformats.org/officeDocument/2006/relationships/oleObject" Target="embeddings/oleObject6235.bin"/><Relationship Id="rId13623" Type="http://schemas.openxmlformats.org/officeDocument/2006/relationships/oleObject" Target="embeddings/oleObject6757.bin"/><Relationship Id="rId950" Type="http://schemas.openxmlformats.org/officeDocument/2006/relationships/oleObject" Target="embeddings/oleObject466.bin"/><Relationship Id="rId1580" Type="http://schemas.openxmlformats.org/officeDocument/2006/relationships/image" Target="media/image796.wmf"/><Relationship Id="rId2631" Type="http://schemas.openxmlformats.org/officeDocument/2006/relationships/oleObject" Target="embeddings/oleObject1303.bin"/><Relationship Id="rId11174" Type="http://schemas.openxmlformats.org/officeDocument/2006/relationships/oleObject" Target="embeddings/oleObject5540.bin"/><Relationship Id="rId12225" Type="http://schemas.openxmlformats.org/officeDocument/2006/relationships/oleObject" Target="embeddings/oleObject6064.bin"/><Relationship Id="rId603" Type="http://schemas.openxmlformats.org/officeDocument/2006/relationships/oleObject" Target="embeddings/oleObject291.bin"/><Relationship Id="rId1233" Type="http://schemas.openxmlformats.org/officeDocument/2006/relationships/oleObject" Target="embeddings/oleObject607.bin"/><Relationship Id="rId5854" Type="http://schemas.openxmlformats.org/officeDocument/2006/relationships/oleObject" Target="embeddings/oleObject2916.bin"/><Relationship Id="rId6905" Type="http://schemas.openxmlformats.org/officeDocument/2006/relationships/image" Target="media/image3462.wmf"/><Relationship Id="rId14397" Type="http://schemas.openxmlformats.org/officeDocument/2006/relationships/image" Target="media/image7213.wmf"/><Relationship Id="rId4456" Type="http://schemas.openxmlformats.org/officeDocument/2006/relationships/image" Target="media/image2238.wmf"/><Relationship Id="rId5507" Type="http://schemas.openxmlformats.org/officeDocument/2006/relationships/image" Target="media/image2764.wmf"/><Relationship Id="rId3058" Type="http://schemas.openxmlformats.org/officeDocument/2006/relationships/oleObject" Target="embeddings/oleObject1517.bin"/><Relationship Id="rId4109" Type="http://schemas.openxmlformats.org/officeDocument/2006/relationships/image" Target="media/image2065.wmf"/><Relationship Id="rId7679" Type="http://schemas.openxmlformats.org/officeDocument/2006/relationships/oleObject" Target="embeddings/oleObject3824.bin"/><Relationship Id="rId13480" Type="http://schemas.openxmlformats.org/officeDocument/2006/relationships/image" Target="media/image6755.wmf"/><Relationship Id="rId12082" Type="http://schemas.openxmlformats.org/officeDocument/2006/relationships/image" Target="media/image6054.wmf"/><Relationship Id="rId13133" Type="http://schemas.openxmlformats.org/officeDocument/2006/relationships/image" Target="media/image6581.wmf"/><Relationship Id="rId14531" Type="http://schemas.openxmlformats.org/officeDocument/2006/relationships/image" Target="media/image7280.wmf"/><Relationship Id="rId460" Type="http://schemas.openxmlformats.org/officeDocument/2006/relationships/oleObject" Target="embeddings/oleObject221.bin"/><Relationship Id="rId1090" Type="http://schemas.openxmlformats.org/officeDocument/2006/relationships/oleObject" Target="embeddings/oleObject535.bin"/><Relationship Id="rId2141" Type="http://schemas.openxmlformats.org/officeDocument/2006/relationships/oleObject" Target="embeddings/oleObject1058.bin"/><Relationship Id="rId113" Type="http://schemas.openxmlformats.org/officeDocument/2006/relationships/image" Target="media/image54.wmf"/><Relationship Id="rId6762" Type="http://schemas.openxmlformats.org/officeDocument/2006/relationships/oleObject" Target="embeddings/oleObject3368.bin"/><Relationship Id="rId7813" Type="http://schemas.openxmlformats.org/officeDocument/2006/relationships/oleObject" Target="embeddings/oleObject3891.bin"/><Relationship Id="rId5017" Type="http://schemas.openxmlformats.org/officeDocument/2006/relationships/oleObject" Target="embeddings/oleObject2498.bin"/><Relationship Id="rId5364" Type="http://schemas.openxmlformats.org/officeDocument/2006/relationships/oleObject" Target="embeddings/oleObject2671.bin"/><Relationship Id="rId6415" Type="http://schemas.openxmlformats.org/officeDocument/2006/relationships/image" Target="media/image3217.wmf"/><Relationship Id="rId9985" Type="http://schemas.openxmlformats.org/officeDocument/2006/relationships/image" Target="media/image5001.wmf"/><Relationship Id="rId12966" Type="http://schemas.openxmlformats.org/officeDocument/2006/relationships/oleObject" Target="embeddings/oleObject6432.bin"/><Relationship Id="rId1974" Type="http://schemas.openxmlformats.org/officeDocument/2006/relationships/image" Target="media/image993.wmf"/><Relationship Id="rId8587" Type="http://schemas.openxmlformats.org/officeDocument/2006/relationships/oleObject" Target="embeddings/oleObject4278.bin"/><Relationship Id="rId9638" Type="http://schemas.openxmlformats.org/officeDocument/2006/relationships/image" Target="media/image4828.wmf"/><Relationship Id="rId11568" Type="http://schemas.openxmlformats.org/officeDocument/2006/relationships/oleObject" Target="embeddings/oleObject5737.bin"/><Relationship Id="rId12619" Type="http://schemas.openxmlformats.org/officeDocument/2006/relationships/image" Target="media/image6324.wmf"/><Relationship Id="rId1627" Type="http://schemas.openxmlformats.org/officeDocument/2006/relationships/oleObject" Target="embeddings/oleObject801.bin"/><Relationship Id="rId7189" Type="http://schemas.openxmlformats.org/officeDocument/2006/relationships/oleObject" Target="embeddings/oleObject3579.bin"/><Relationship Id="rId14041" Type="http://schemas.openxmlformats.org/officeDocument/2006/relationships/image" Target="media/image7035.wmf"/><Relationship Id="rId3799" Type="http://schemas.openxmlformats.org/officeDocument/2006/relationships/oleObject" Target="embeddings/oleObject1890.bin"/><Relationship Id="rId4100" Type="http://schemas.openxmlformats.org/officeDocument/2006/relationships/oleObject" Target="embeddings/oleObject2041.bin"/><Relationship Id="rId7670" Type="http://schemas.openxmlformats.org/officeDocument/2006/relationships/image" Target="media/image3844.wmf"/><Relationship Id="rId8721" Type="http://schemas.openxmlformats.org/officeDocument/2006/relationships/image" Target="media/image4370.wmf"/><Relationship Id="rId6272" Type="http://schemas.openxmlformats.org/officeDocument/2006/relationships/oleObject" Target="embeddings/oleObject3125.bin"/><Relationship Id="rId7323" Type="http://schemas.openxmlformats.org/officeDocument/2006/relationships/oleObject" Target="embeddings/oleObject3646.bin"/><Relationship Id="rId10651" Type="http://schemas.openxmlformats.org/officeDocument/2006/relationships/oleObject" Target="embeddings/oleObject5290.bin"/><Relationship Id="rId11702" Type="http://schemas.openxmlformats.org/officeDocument/2006/relationships/image" Target="media/image5864.wmf"/><Relationship Id="rId9495" Type="http://schemas.openxmlformats.org/officeDocument/2006/relationships/oleObject" Target="embeddings/oleObject4726.bin"/><Relationship Id="rId10304" Type="http://schemas.openxmlformats.org/officeDocument/2006/relationships/oleObject" Target="embeddings/oleObject5119.bin"/><Relationship Id="rId13874" Type="http://schemas.openxmlformats.org/officeDocument/2006/relationships/oleObject" Target="embeddings/oleObject6883.bin"/><Relationship Id="rId2882" Type="http://schemas.openxmlformats.org/officeDocument/2006/relationships/oleObject" Target="embeddings/oleObject1429.bin"/><Relationship Id="rId3933" Type="http://schemas.openxmlformats.org/officeDocument/2006/relationships/oleObject" Target="embeddings/oleObject1957.bin"/><Relationship Id="rId8097" Type="http://schemas.openxmlformats.org/officeDocument/2006/relationships/oleObject" Target="embeddings/oleObject4033.bin"/><Relationship Id="rId9148" Type="http://schemas.openxmlformats.org/officeDocument/2006/relationships/oleObject" Target="embeddings/oleObject4554.bin"/><Relationship Id="rId12476" Type="http://schemas.openxmlformats.org/officeDocument/2006/relationships/oleObject" Target="embeddings/oleObject6187.bin"/><Relationship Id="rId13527" Type="http://schemas.openxmlformats.org/officeDocument/2006/relationships/oleObject" Target="embeddings/oleObject6709.bin"/><Relationship Id="rId854" Type="http://schemas.openxmlformats.org/officeDocument/2006/relationships/image" Target="media/image432.wmf"/><Relationship Id="rId1484" Type="http://schemas.openxmlformats.org/officeDocument/2006/relationships/image" Target="media/image747.wmf"/><Relationship Id="rId2535" Type="http://schemas.openxmlformats.org/officeDocument/2006/relationships/oleObject" Target="embeddings/oleObject1255.bin"/><Relationship Id="rId11078" Type="http://schemas.openxmlformats.org/officeDocument/2006/relationships/oleObject" Target="embeddings/oleObject5492.bin"/><Relationship Id="rId12129" Type="http://schemas.openxmlformats.org/officeDocument/2006/relationships/oleObject" Target="embeddings/oleObject6016.bin"/><Relationship Id="rId507" Type="http://schemas.openxmlformats.org/officeDocument/2006/relationships/image" Target="media/image253.wmf"/><Relationship Id="rId1137" Type="http://schemas.openxmlformats.org/officeDocument/2006/relationships/image" Target="media/image574.wmf"/><Relationship Id="rId5758" Type="http://schemas.openxmlformats.org/officeDocument/2006/relationships/oleObject" Target="embeddings/oleObject2868.bin"/><Relationship Id="rId6809" Type="http://schemas.openxmlformats.org/officeDocument/2006/relationships/image" Target="media/image3414.wmf"/><Relationship Id="rId7180" Type="http://schemas.openxmlformats.org/officeDocument/2006/relationships/image" Target="media/image3599.wmf"/><Relationship Id="rId8231" Type="http://schemas.openxmlformats.org/officeDocument/2006/relationships/oleObject" Target="embeddings/oleObject4100.bin"/><Relationship Id="rId10161" Type="http://schemas.openxmlformats.org/officeDocument/2006/relationships/image" Target="media/image5089.wmf"/><Relationship Id="rId11212" Type="http://schemas.openxmlformats.org/officeDocument/2006/relationships/oleObject" Target="embeddings/oleObject5559.bin"/><Relationship Id="rId12610" Type="http://schemas.openxmlformats.org/officeDocument/2006/relationships/oleObject" Target="embeddings/oleObject6254.bin"/><Relationship Id="rId2392" Type="http://schemas.openxmlformats.org/officeDocument/2006/relationships/oleObject" Target="embeddings/oleObject1185.bin"/><Relationship Id="rId3790" Type="http://schemas.openxmlformats.org/officeDocument/2006/relationships/image" Target="media/image1906.wmf"/><Relationship Id="rId4841" Type="http://schemas.openxmlformats.org/officeDocument/2006/relationships/oleObject" Target="embeddings/oleObject2411.bin"/><Relationship Id="rId13384" Type="http://schemas.openxmlformats.org/officeDocument/2006/relationships/image" Target="media/image6707.wmf"/><Relationship Id="rId14435" Type="http://schemas.openxmlformats.org/officeDocument/2006/relationships/image" Target="media/image7232.wmf"/><Relationship Id="rId364" Type="http://schemas.openxmlformats.org/officeDocument/2006/relationships/image" Target="media/image181.wmf"/><Relationship Id="rId2045" Type="http://schemas.openxmlformats.org/officeDocument/2006/relationships/oleObject" Target="embeddings/oleObject1010.bin"/><Relationship Id="rId3443" Type="http://schemas.openxmlformats.org/officeDocument/2006/relationships/oleObject" Target="embeddings/oleObject1712.bin"/><Relationship Id="rId13037" Type="http://schemas.openxmlformats.org/officeDocument/2006/relationships/image" Target="media/image6533.wmf"/><Relationship Id="rId6666" Type="http://schemas.openxmlformats.org/officeDocument/2006/relationships/oleObject" Target="embeddings/oleObject3320.bin"/><Relationship Id="rId7717" Type="http://schemas.openxmlformats.org/officeDocument/2006/relationships/oleObject" Target="embeddings/oleObject3843.bin"/><Relationship Id="rId5268" Type="http://schemas.openxmlformats.org/officeDocument/2006/relationships/oleObject" Target="embeddings/oleObject2623.bin"/><Relationship Id="rId6319" Type="http://schemas.openxmlformats.org/officeDocument/2006/relationships/image" Target="media/image3170.wmf"/><Relationship Id="rId9889" Type="http://schemas.openxmlformats.org/officeDocument/2006/relationships/image" Target="media/image4953.wmf"/><Relationship Id="rId12120" Type="http://schemas.openxmlformats.org/officeDocument/2006/relationships/image" Target="media/image6073.wmf"/><Relationship Id="rId1878" Type="http://schemas.openxmlformats.org/officeDocument/2006/relationships/image" Target="media/image945.wmf"/><Relationship Id="rId2929" Type="http://schemas.openxmlformats.org/officeDocument/2006/relationships/image" Target="media/image1474.wmf"/><Relationship Id="rId14292" Type="http://schemas.openxmlformats.org/officeDocument/2006/relationships/oleObject" Target="embeddings/oleObject7092.bin"/><Relationship Id="rId4351" Type="http://schemas.openxmlformats.org/officeDocument/2006/relationships/oleObject" Target="embeddings/oleObject2167.bin"/><Relationship Id="rId5402" Type="http://schemas.openxmlformats.org/officeDocument/2006/relationships/oleObject" Target="embeddings/oleObject2690.bin"/><Relationship Id="rId6800" Type="http://schemas.openxmlformats.org/officeDocument/2006/relationships/oleObject" Target="embeddings/oleObject3387.bin"/><Relationship Id="rId4004" Type="http://schemas.openxmlformats.org/officeDocument/2006/relationships/oleObject" Target="embeddings/oleObject1993.bin"/><Relationship Id="rId8972" Type="http://schemas.openxmlformats.org/officeDocument/2006/relationships/oleObject" Target="embeddings/oleObject4466.bin"/><Relationship Id="rId11953" Type="http://schemas.openxmlformats.org/officeDocument/2006/relationships/oleObject" Target="embeddings/oleObject5928.bin"/><Relationship Id="rId6176" Type="http://schemas.openxmlformats.org/officeDocument/2006/relationships/oleObject" Target="embeddings/oleObject3077.bin"/><Relationship Id="rId7227" Type="http://schemas.openxmlformats.org/officeDocument/2006/relationships/oleObject" Target="embeddings/oleObject3598.bin"/><Relationship Id="rId7574" Type="http://schemas.openxmlformats.org/officeDocument/2006/relationships/image" Target="media/image3796.wmf"/><Relationship Id="rId8625" Type="http://schemas.openxmlformats.org/officeDocument/2006/relationships/oleObject" Target="embeddings/oleObject4297.bin"/><Relationship Id="rId10555" Type="http://schemas.openxmlformats.org/officeDocument/2006/relationships/oleObject" Target="embeddings/oleObject5242.bin"/><Relationship Id="rId11606" Type="http://schemas.openxmlformats.org/officeDocument/2006/relationships/oleObject" Target="embeddings/oleObject5756.bin"/><Relationship Id="rId10208" Type="http://schemas.openxmlformats.org/officeDocument/2006/relationships/oleObject" Target="embeddings/oleObject5071.bin"/><Relationship Id="rId13778" Type="http://schemas.openxmlformats.org/officeDocument/2006/relationships/oleObject" Target="embeddings/oleObject6835.bin"/><Relationship Id="rId2786" Type="http://schemas.openxmlformats.org/officeDocument/2006/relationships/image" Target="media/image1403.wmf"/><Relationship Id="rId3837" Type="http://schemas.openxmlformats.org/officeDocument/2006/relationships/oleObject" Target="embeddings/oleObject1909.bin"/><Relationship Id="rId9399" Type="http://schemas.openxmlformats.org/officeDocument/2006/relationships/oleObject" Target="embeddings/oleObject4680.bin"/><Relationship Id="rId758" Type="http://schemas.openxmlformats.org/officeDocument/2006/relationships/image" Target="media/image381.wmf"/><Relationship Id="rId1388" Type="http://schemas.openxmlformats.org/officeDocument/2006/relationships/image" Target="media/image699.wmf"/><Relationship Id="rId2439" Type="http://schemas.openxmlformats.org/officeDocument/2006/relationships/oleObject" Target="embeddings/oleObject1208.bin"/><Relationship Id="rId6310" Type="http://schemas.openxmlformats.org/officeDocument/2006/relationships/oleObject" Target="embeddings/oleObject3144.bin"/><Relationship Id="rId9880" Type="http://schemas.openxmlformats.org/officeDocument/2006/relationships/oleObject" Target="embeddings/oleObject4912.bin"/><Relationship Id="rId94" Type="http://schemas.openxmlformats.org/officeDocument/2006/relationships/oleObject" Target="embeddings/oleObject43.bin"/><Relationship Id="rId8482" Type="http://schemas.openxmlformats.org/officeDocument/2006/relationships/image" Target="media/image4250.wmf"/><Relationship Id="rId9533" Type="http://schemas.openxmlformats.org/officeDocument/2006/relationships/oleObject" Target="embeddings/oleObject4745.bin"/><Relationship Id="rId12861" Type="http://schemas.openxmlformats.org/officeDocument/2006/relationships/image" Target="media/image6445.wmf"/><Relationship Id="rId13912" Type="http://schemas.openxmlformats.org/officeDocument/2006/relationships/oleObject" Target="embeddings/oleObject6902.bin"/><Relationship Id="rId2920" Type="http://schemas.openxmlformats.org/officeDocument/2006/relationships/oleObject" Target="embeddings/oleObject1448.bin"/><Relationship Id="rId7084" Type="http://schemas.openxmlformats.org/officeDocument/2006/relationships/oleObject" Target="embeddings/oleObject3527.bin"/><Relationship Id="rId8135" Type="http://schemas.openxmlformats.org/officeDocument/2006/relationships/oleObject" Target="embeddings/oleObject4052.bin"/><Relationship Id="rId10065" Type="http://schemas.openxmlformats.org/officeDocument/2006/relationships/image" Target="media/image5041.wmf"/><Relationship Id="rId11463" Type="http://schemas.openxmlformats.org/officeDocument/2006/relationships/image" Target="media/image5743.wmf"/><Relationship Id="rId12514" Type="http://schemas.openxmlformats.org/officeDocument/2006/relationships/oleObject" Target="embeddings/oleObject6206.bin"/><Relationship Id="rId1522" Type="http://schemas.openxmlformats.org/officeDocument/2006/relationships/image" Target="media/image766.wmf"/><Relationship Id="rId11116" Type="http://schemas.openxmlformats.org/officeDocument/2006/relationships/oleObject" Target="embeddings/oleObject5511.bin"/><Relationship Id="rId3694" Type="http://schemas.openxmlformats.org/officeDocument/2006/relationships/image" Target="media/image1858.wmf"/><Relationship Id="rId4745" Type="http://schemas.openxmlformats.org/officeDocument/2006/relationships/oleObject" Target="embeddings/oleObject2364.bin"/><Relationship Id="rId13288" Type="http://schemas.openxmlformats.org/officeDocument/2006/relationships/oleObject" Target="embeddings/oleObject6591.bin"/><Relationship Id="rId14339" Type="http://schemas.openxmlformats.org/officeDocument/2006/relationships/image" Target="media/image7184.wmf"/><Relationship Id="rId2296" Type="http://schemas.openxmlformats.org/officeDocument/2006/relationships/oleObject" Target="embeddings/oleObject1135.bin"/><Relationship Id="rId3347" Type="http://schemas.openxmlformats.org/officeDocument/2006/relationships/oleObject" Target="embeddings/oleObject1662.bin"/><Relationship Id="rId7968" Type="http://schemas.openxmlformats.org/officeDocument/2006/relationships/image" Target="media/image3993.wmf"/><Relationship Id="rId268" Type="http://schemas.openxmlformats.org/officeDocument/2006/relationships/image" Target="media/image133.wmf"/><Relationship Id="rId9390" Type="http://schemas.openxmlformats.org/officeDocument/2006/relationships/image" Target="media/image4704.wmf"/><Relationship Id="rId10949" Type="http://schemas.microsoft.com/office/2007/relationships/hdphoto" Target="media/hdphoto43.wdp"/><Relationship Id="rId12371" Type="http://schemas.openxmlformats.org/officeDocument/2006/relationships/image" Target="media/image6200.wmf"/><Relationship Id="rId13422" Type="http://schemas.openxmlformats.org/officeDocument/2006/relationships/image" Target="media/image6726.wmf"/><Relationship Id="rId2430" Type="http://schemas.openxmlformats.org/officeDocument/2006/relationships/image" Target="media/image1224.wmf"/><Relationship Id="rId9043" Type="http://schemas.openxmlformats.org/officeDocument/2006/relationships/image" Target="media/image4531.wmf"/><Relationship Id="rId12024" Type="http://schemas.openxmlformats.org/officeDocument/2006/relationships/image" Target="media/image6025.wmf"/><Relationship Id="rId402" Type="http://schemas.openxmlformats.org/officeDocument/2006/relationships/oleObject" Target="embeddings/oleObject195.bin"/><Relationship Id="rId1032" Type="http://schemas.openxmlformats.org/officeDocument/2006/relationships/oleObject" Target="embeddings/oleObject507.bin"/><Relationship Id="rId14196" Type="http://schemas.openxmlformats.org/officeDocument/2006/relationships/oleObject" Target="embeddings/oleObject7044.bin"/><Relationship Id="rId4255" Type="http://schemas.openxmlformats.org/officeDocument/2006/relationships/image" Target="media/image2138.wmf"/><Relationship Id="rId5306" Type="http://schemas.openxmlformats.org/officeDocument/2006/relationships/oleObject" Target="embeddings/oleObject2642.bin"/><Relationship Id="rId5653" Type="http://schemas.openxmlformats.org/officeDocument/2006/relationships/image" Target="media/image2837.wmf"/><Relationship Id="rId6704" Type="http://schemas.openxmlformats.org/officeDocument/2006/relationships/oleObject" Target="embeddings/oleObject3339.bin"/><Relationship Id="rId8876" Type="http://schemas.openxmlformats.org/officeDocument/2006/relationships/oleObject" Target="embeddings/oleObject4418.bin"/><Relationship Id="rId9927" Type="http://schemas.openxmlformats.org/officeDocument/2006/relationships/image" Target="media/image4972.wmf"/><Relationship Id="rId11857" Type="http://schemas.openxmlformats.org/officeDocument/2006/relationships/oleObject" Target="embeddings/oleObject5880.bin"/><Relationship Id="rId12908" Type="http://schemas.openxmlformats.org/officeDocument/2006/relationships/oleObject" Target="embeddings/oleObject6403.bin"/><Relationship Id="rId1916" Type="http://schemas.openxmlformats.org/officeDocument/2006/relationships/image" Target="media/image964.wmf"/><Relationship Id="rId7478" Type="http://schemas.openxmlformats.org/officeDocument/2006/relationships/image" Target="media/image3748.wmf"/><Relationship Id="rId8529" Type="http://schemas.openxmlformats.org/officeDocument/2006/relationships/oleObject" Target="embeddings/oleObject4249.bin"/><Relationship Id="rId10459" Type="http://schemas.openxmlformats.org/officeDocument/2006/relationships/oleObject" Target="embeddings/oleObject5196.bin"/><Relationship Id="rId14330" Type="http://schemas.openxmlformats.org/officeDocument/2006/relationships/oleObject" Target="embeddings/oleObject7111.bin"/><Relationship Id="rId6561" Type="http://schemas.openxmlformats.org/officeDocument/2006/relationships/image" Target="media/image3290.wmf"/><Relationship Id="rId7612" Type="http://schemas.openxmlformats.org/officeDocument/2006/relationships/image" Target="media/image3815.wmf"/><Relationship Id="rId10940" Type="http://schemas.openxmlformats.org/officeDocument/2006/relationships/image" Target="media/image5479.png"/><Relationship Id="rId5163" Type="http://schemas.openxmlformats.org/officeDocument/2006/relationships/oleObject" Target="embeddings/oleObject2571.bin"/><Relationship Id="rId6214" Type="http://schemas.openxmlformats.org/officeDocument/2006/relationships/oleObject" Target="embeddings/oleObject3096.bin"/><Relationship Id="rId9784" Type="http://schemas.openxmlformats.org/officeDocument/2006/relationships/image" Target="media/image4901.wmf"/><Relationship Id="rId8386" Type="http://schemas.openxmlformats.org/officeDocument/2006/relationships/image" Target="media/image4202.wmf"/><Relationship Id="rId9437" Type="http://schemas.microsoft.com/office/2007/relationships/hdphoto" Target="media/hdphoto22.wdp"/><Relationship Id="rId12765" Type="http://schemas.openxmlformats.org/officeDocument/2006/relationships/image" Target="media/image6397.wmf"/><Relationship Id="rId13816" Type="http://schemas.openxmlformats.org/officeDocument/2006/relationships/oleObject" Target="embeddings/oleObject6854.bin"/><Relationship Id="rId1773" Type="http://schemas.openxmlformats.org/officeDocument/2006/relationships/oleObject" Target="embeddings/oleObject874.bin"/><Relationship Id="rId2824" Type="http://schemas.openxmlformats.org/officeDocument/2006/relationships/image" Target="media/image1422.wmf"/><Relationship Id="rId8039" Type="http://schemas.openxmlformats.org/officeDocument/2006/relationships/oleObject" Target="embeddings/oleObject4004.bin"/><Relationship Id="rId11367" Type="http://schemas.openxmlformats.org/officeDocument/2006/relationships/image" Target="media/image5695.wmf"/><Relationship Id="rId12418" Type="http://schemas.openxmlformats.org/officeDocument/2006/relationships/oleObject" Target="embeddings/oleObject6158.bin"/><Relationship Id="rId1426" Type="http://schemas.openxmlformats.org/officeDocument/2006/relationships/image" Target="media/image718.wmf"/><Relationship Id="rId4996" Type="http://schemas.openxmlformats.org/officeDocument/2006/relationships/image" Target="media/image2508.wmf"/><Relationship Id="rId3598" Type="http://schemas.openxmlformats.org/officeDocument/2006/relationships/image" Target="media/image1810.wmf"/><Relationship Id="rId4649" Type="http://schemas.openxmlformats.org/officeDocument/2006/relationships/oleObject" Target="embeddings/oleObject2316.bin"/><Relationship Id="rId8520" Type="http://schemas.openxmlformats.org/officeDocument/2006/relationships/image" Target="media/image4269.wmf"/><Relationship Id="rId10450" Type="http://schemas.openxmlformats.org/officeDocument/2006/relationships/image" Target="media/image5234.wmf"/><Relationship Id="rId11501" Type="http://schemas.openxmlformats.org/officeDocument/2006/relationships/image" Target="media/image5762.wmf"/><Relationship Id="rId6071" Type="http://schemas.openxmlformats.org/officeDocument/2006/relationships/image" Target="media/image3046.wmf"/><Relationship Id="rId7122" Type="http://schemas.openxmlformats.org/officeDocument/2006/relationships/oleObject" Target="embeddings/oleObject3546.bin"/><Relationship Id="rId10103" Type="http://schemas.openxmlformats.org/officeDocument/2006/relationships/image" Target="media/image5060.wmf"/><Relationship Id="rId2681" Type="http://schemas.openxmlformats.org/officeDocument/2006/relationships/oleObject" Target="embeddings/oleObject1328.bin"/><Relationship Id="rId9294" Type="http://schemas.openxmlformats.org/officeDocument/2006/relationships/image" Target="media/image4656.wmf"/><Relationship Id="rId12275" Type="http://schemas.openxmlformats.org/officeDocument/2006/relationships/oleObject" Target="embeddings/oleObject6089.bin"/><Relationship Id="rId13673" Type="http://schemas.openxmlformats.org/officeDocument/2006/relationships/oleObject" Target="embeddings/oleObject6782.bin"/><Relationship Id="rId653" Type="http://schemas.openxmlformats.org/officeDocument/2006/relationships/oleObject" Target="embeddings/oleObject315.bin"/><Relationship Id="rId1283" Type="http://schemas.openxmlformats.org/officeDocument/2006/relationships/oleObject" Target="embeddings/oleObject631.bin"/><Relationship Id="rId2334" Type="http://schemas.openxmlformats.org/officeDocument/2006/relationships/oleObject" Target="embeddings/oleObject1156.bin"/><Relationship Id="rId3732" Type="http://schemas.openxmlformats.org/officeDocument/2006/relationships/image" Target="media/image1877.wmf"/><Relationship Id="rId13326" Type="http://schemas.openxmlformats.org/officeDocument/2006/relationships/oleObject" Target="embeddings/oleObject6610.bin"/><Relationship Id="rId306" Type="http://schemas.openxmlformats.org/officeDocument/2006/relationships/image" Target="media/image152.wmf"/><Relationship Id="rId6955" Type="http://schemas.openxmlformats.org/officeDocument/2006/relationships/image" Target="media/image3487.wmf"/><Relationship Id="rId4159" Type="http://schemas.openxmlformats.org/officeDocument/2006/relationships/image" Target="media/image2090.wmf"/><Relationship Id="rId5557" Type="http://schemas.openxmlformats.org/officeDocument/2006/relationships/image" Target="media/image2789.wmf"/><Relationship Id="rId6608" Type="http://schemas.openxmlformats.org/officeDocument/2006/relationships/oleObject" Target="embeddings/oleObject3291.bin"/><Relationship Id="rId8030" Type="http://schemas.openxmlformats.org/officeDocument/2006/relationships/image" Target="media/image4024.wmf"/><Relationship Id="rId11011" Type="http://schemas.openxmlformats.org/officeDocument/2006/relationships/oleObject" Target="embeddings/oleObject5461.bin"/><Relationship Id="rId14581" Type="http://schemas.openxmlformats.org/officeDocument/2006/relationships/image" Target="media/image7305.wmf"/><Relationship Id="rId4640" Type="http://schemas.openxmlformats.org/officeDocument/2006/relationships/image" Target="media/image2330.wmf"/><Relationship Id="rId13183" Type="http://schemas.openxmlformats.org/officeDocument/2006/relationships/image" Target="media/image6606.wmf"/><Relationship Id="rId14234" Type="http://schemas.openxmlformats.org/officeDocument/2006/relationships/oleObject" Target="embeddings/oleObject7063.bin"/><Relationship Id="rId2191" Type="http://schemas.openxmlformats.org/officeDocument/2006/relationships/oleObject" Target="embeddings/oleObject1083.bin"/><Relationship Id="rId3242" Type="http://schemas.openxmlformats.org/officeDocument/2006/relationships/oleObject" Target="embeddings/oleObject1609.bin"/><Relationship Id="rId163" Type="http://schemas.openxmlformats.org/officeDocument/2006/relationships/oleObject" Target="embeddings/oleObject76.bin"/><Relationship Id="rId6465" Type="http://schemas.openxmlformats.org/officeDocument/2006/relationships/image" Target="media/image3242.wmf"/><Relationship Id="rId7516" Type="http://schemas.openxmlformats.org/officeDocument/2006/relationships/image" Target="media/image3767.wmf"/><Relationship Id="rId7863" Type="http://schemas.openxmlformats.org/officeDocument/2006/relationships/oleObject" Target="embeddings/oleObject3916.bin"/><Relationship Id="rId8914" Type="http://schemas.openxmlformats.org/officeDocument/2006/relationships/oleObject" Target="embeddings/oleObject4437.bin"/><Relationship Id="rId10844" Type="http://schemas.openxmlformats.org/officeDocument/2006/relationships/image" Target="media/image5431.wmf"/><Relationship Id="rId5067" Type="http://schemas.openxmlformats.org/officeDocument/2006/relationships/oleObject" Target="embeddings/oleObject2523.bin"/><Relationship Id="rId6118" Type="http://schemas.openxmlformats.org/officeDocument/2006/relationships/oleObject" Target="embeddings/oleObject3048.bin"/><Relationship Id="rId9688" Type="http://schemas.openxmlformats.org/officeDocument/2006/relationships/image" Target="media/image4853.png"/><Relationship Id="rId12669" Type="http://schemas.openxmlformats.org/officeDocument/2006/relationships/image" Target="media/image6349.wmf"/><Relationship Id="rId1677" Type="http://schemas.openxmlformats.org/officeDocument/2006/relationships/oleObject" Target="embeddings/oleObject826.bin"/><Relationship Id="rId2728" Type="http://schemas.openxmlformats.org/officeDocument/2006/relationships/image" Target="media/image1374.wmf"/><Relationship Id="rId14091" Type="http://schemas.openxmlformats.org/officeDocument/2006/relationships/image" Target="media/image7060.wmf"/><Relationship Id="rId4150" Type="http://schemas.openxmlformats.org/officeDocument/2006/relationships/oleObject" Target="embeddings/oleObject2066.bin"/><Relationship Id="rId5201" Type="http://schemas.openxmlformats.org/officeDocument/2006/relationships/oleObject" Target="embeddings/oleObject2590.bin"/><Relationship Id="rId8771" Type="http://schemas.openxmlformats.org/officeDocument/2006/relationships/image" Target="media/image4395.wmf"/><Relationship Id="rId9822" Type="http://schemas.openxmlformats.org/officeDocument/2006/relationships/image" Target="media/image4920.wmf"/><Relationship Id="rId36" Type="http://schemas.openxmlformats.org/officeDocument/2006/relationships/oleObject" Target="embeddings/oleObject14.bin"/><Relationship Id="rId7373" Type="http://schemas.openxmlformats.org/officeDocument/2006/relationships/oleObject" Target="embeddings/oleObject3671.bin"/><Relationship Id="rId8424" Type="http://schemas.openxmlformats.org/officeDocument/2006/relationships/image" Target="media/image4221.wmf"/><Relationship Id="rId10354" Type="http://schemas.openxmlformats.org/officeDocument/2006/relationships/oleObject" Target="embeddings/oleObject5144.bin"/><Relationship Id="rId11752" Type="http://schemas.openxmlformats.org/officeDocument/2006/relationships/image" Target="media/image5889.wmf"/><Relationship Id="rId12803" Type="http://schemas.openxmlformats.org/officeDocument/2006/relationships/image" Target="media/image6416.wmf"/><Relationship Id="rId1811" Type="http://schemas.openxmlformats.org/officeDocument/2006/relationships/oleObject" Target="embeddings/oleObject893.bin"/><Relationship Id="rId7026" Type="http://schemas.openxmlformats.org/officeDocument/2006/relationships/oleObject" Target="embeddings/oleObject3498.bin"/><Relationship Id="rId10007" Type="http://schemas.openxmlformats.org/officeDocument/2006/relationships/image" Target="media/image5012.wmf"/><Relationship Id="rId11405" Type="http://schemas.openxmlformats.org/officeDocument/2006/relationships/image" Target="media/image5714.wmf"/><Relationship Id="rId3983" Type="http://schemas.openxmlformats.org/officeDocument/2006/relationships/image" Target="media/image2002.wmf"/><Relationship Id="rId9198" Type="http://schemas.openxmlformats.org/officeDocument/2006/relationships/image" Target="media/image4608.wmf"/><Relationship Id="rId13577" Type="http://schemas.openxmlformats.org/officeDocument/2006/relationships/oleObject" Target="embeddings/oleObject6734.bin"/><Relationship Id="rId1187" Type="http://schemas.openxmlformats.org/officeDocument/2006/relationships/oleObject" Target="embeddings/oleObject584.bin"/><Relationship Id="rId2585" Type="http://schemas.openxmlformats.org/officeDocument/2006/relationships/oleObject" Target="embeddings/oleObject1280.bin"/><Relationship Id="rId3636" Type="http://schemas.openxmlformats.org/officeDocument/2006/relationships/image" Target="media/image1829.wmf"/><Relationship Id="rId12179" Type="http://schemas.openxmlformats.org/officeDocument/2006/relationships/oleObject" Target="embeddings/oleObject6041.bin"/><Relationship Id="rId557" Type="http://schemas.openxmlformats.org/officeDocument/2006/relationships/oleObject" Target="embeddings/oleObject268.bin"/><Relationship Id="rId2238" Type="http://schemas.openxmlformats.org/officeDocument/2006/relationships/oleObject" Target="embeddings/oleObject1106.bin"/><Relationship Id="rId6859" Type="http://schemas.openxmlformats.org/officeDocument/2006/relationships/image" Target="media/image3439.wmf"/><Relationship Id="rId12660" Type="http://schemas.openxmlformats.org/officeDocument/2006/relationships/oleObject" Target="embeddings/oleObject6279.bin"/><Relationship Id="rId13711" Type="http://schemas.openxmlformats.org/officeDocument/2006/relationships/image" Target="media/image6870.wmf"/><Relationship Id="rId8281" Type="http://schemas.openxmlformats.org/officeDocument/2006/relationships/oleObject" Target="embeddings/oleObject4125.bin"/><Relationship Id="rId9332" Type="http://schemas.openxmlformats.org/officeDocument/2006/relationships/image" Target="media/image4675.wmf"/><Relationship Id="rId11262" Type="http://schemas.openxmlformats.org/officeDocument/2006/relationships/oleObject" Target="embeddings/oleObject5584.bin"/><Relationship Id="rId12313" Type="http://schemas.openxmlformats.org/officeDocument/2006/relationships/image" Target="media/image6171.wmf"/><Relationship Id="rId1321" Type="http://schemas.openxmlformats.org/officeDocument/2006/relationships/oleObject" Target="embeddings/oleObject650.bin"/><Relationship Id="rId4891" Type="http://schemas.openxmlformats.org/officeDocument/2006/relationships/oleObject" Target="embeddings/oleObject2436.bin"/><Relationship Id="rId14485" Type="http://schemas.openxmlformats.org/officeDocument/2006/relationships/image" Target="media/image7257.wmf"/><Relationship Id="rId3493" Type="http://schemas.openxmlformats.org/officeDocument/2006/relationships/oleObject" Target="embeddings/oleObject1737.bin"/><Relationship Id="rId4544" Type="http://schemas.openxmlformats.org/officeDocument/2006/relationships/image" Target="media/image2282.wmf"/><Relationship Id="rId5942" Type="http://schemas.openxmlformats.org/officeDocument/2006/relationships/oleObject" Target="embeddings/oleObject2960.bin"/><Relationship Id="rId13087" Type="http://schemas.openxmlformats.org/officeDocument/2006/relationships/image" Target="media/image6558.wmf"/><Relationship Id="rId14138" Type="http://schemas.openxmlformats.org/officeDocument/2006/relationships/oleObject" Target="embeddings/oleObject7015.bin"/><Relationship Id="rId2095" Type="http://schemas.openxmlformats.org/officeDocument/2006/relationships/oleObject" Target="embeddings/oleObject1035.bin"/><Relationship Id="rId3146" Type="http://schemas.openxmlformats.org/officeDocument/2006/relationships/oleObject" Target="embeddings/oleObject1561.bin"/><Relationship Id="rId6369" Type="http://schemas.openxmlformats.org/officeDocument/2006/relationships/image" Target="media/image3194.wmf"/><Relationship Id="rId7767" Type="http://schemas.openxmlformats.org/officeDocument/2006/relationships/oleObject" Target="embeddings/oleObject3868.bin"/><Relationship Id="rId8818" Type="http://schemas.openxmlformats.org/officeDocument/2006/relationships/oleObject" Target="embeddings/oleObject4392.bin"/><Relationship Id="rId10748" Type="http://schemas.openxmlformats.org/officeDocument/2006/relationships/image" Target="media/image5383.wmf"/><Relationship Id="rId12170" Type="http://schemas.openxmlformats.org/officeDocument/2006/relationships/image" Target="media/image6098.wmf"/><Relationship Id="rId13221" Type="http://schemas.openxmlformats.org/officeDocument/2006/relationships/image" Target="media/image6625.wmf"/><Relationship Id="rId2979" Type="http://schemas.openxmlformats.org/officeDocument/2006/relationships/image" Target="media/image1499.wmf"/><Relationship Id="rId6850" Type="http://schemas.openxmlformats.org/officeDocument/2006/relationships/oleObject" Target="embeddings/oleObject3410.bin"/><Relationship Id="rId7901" Type="http://schemas.openxmlformats.org/officeDocument/2006/relationships/oleObject" Target="embeddings/oleObject3935.bin"/><Relationship Id="rId201" Type="http://schemas.openxmlformats.org/officeDocument/2006/relationships/oleObject" Target="embeddings/oleObject95.bin"/><Relationship Id="rId5452" Type="http://schemas.openxmlformats.org/officeDocument/2006/relationships/oleObject" Target="embeddings/oleObject2715.bin"/><Relationship Id="rId6503" Type="http://schemas.openxmlformats.org/officeDocument/2006/relationships/image" Target="media/image3261.wmf"/><Relationship Id="rId4054" Type="http://schemas.openxmlformats.org/officeDocument/2006/relationships/oleObject" Target="embeddings/oleObject2018.bin"/><Relationship Id="rId5105" Type="http://schemas.openxmlformats.org/officeDocument/2006/relationships/oleObject" Target="embeddings/oleObject2542.bin"/><Relationship Id="rId8675" Type="http://schemas.openxmlformats.org/officeDocument/2006/relationships/image" Target="media/image4347.wmf"/><Relationship Id="rId9726" Type="http://schemas.openxmlformats.org/officeDocument/2006/relationships/image" Target="media/image4872.wmf"/><Relationship Id="rId7277" Type="http://schemas.openxmlformats.org/officeDocument/2006/relationships/oleObject" Target="embeddings/oleObject3623.bin"/><Relationship Id="rId8328" Type="http://schemas.openxmlformats.org/officeDocument/2006/relationships/image" Target="media/image4173.wmf"/><Relationship Id="rId11656" Type="http://schemas.openxmlformats.org/officeDocument/2006/relationships/oleObject" Target="embeddings/oleObject5781.bin"/><Relationship Id="rId12707" Type="http://schemas.openxmlformats.org/officeDocument/2006/relationships/image" Target="media/image6368.wmf"/><Relationship Id="rId1715" Type="http://schemas.openxmlformats.org/officeDocument/2006/relationships/oleObject" Target="embeddings/oleObject845.bin"/><Relationship Id="rId10258" Type="http://schemas.openxmlformats.org/officeDocument/2006/relationships/oleObject" Target="embeddings/oleObject5096.bin"/><Relationship Id="rId11309" Type="http://schemas.openxmlformats.org/officeDocument/2006/relationships/image" Target="media/image5666.wmf"/><Relationship Id="rId3887" Type="http://schemas.openxmlformats.org/officeDocument/2006/relationships/oleObject" Target="embeddings/oleObject1934.bin"/><Relationship Id="rId4938" Type="http://schemas.openxmlformats.org/officeDocument/2006/relationships/image" Target="media/image2479.wmf"/><Relationship Id="rId2489" Type="http://schemas.openxmlformats.org/officeDocument/2006/relationships/oleObject" Target="embeddings/oleObject1232.bin"/><Relationship Id="rId6360" Type="http://schemas.openxmlformats.org/officeDocument/2006/relationships/oleObject" Target="embeddings/oleObject3170.bin"/><Relationship Id="rId7411" Type="http://schemas.openxmlformats.org/officeDocument/2006/relationships/oleObject" Target="embeddings/oleObject3690.bin"/><Relationship Id="rId2970" Type="http://schemas.openxmlformats.org/officeDocument/2006/relationships/oleObject" Target="embeddings/oleObject1473.bin"/><Relationship Id="rId6013" Type="http://schemas.openxmlformats.org/officeDocument/2006/relationships/image" Target="media/image3017.wmf"/><Relationship Id="rId9583" Type="http://schemas.openxmlformats.org/officeDocument/2006/relationships/oleObject" Target="embeddings/oleObject4770.bin"/><Relationship Id="rId12564" Type="http://schemas.openxmlformats.org/officeDocument/2006/relationships/oleObject" Target="embeddings/oleObject6231.bin"/><Relationship Id="rId13962" Type="http://schemas.openxmlformats.org/officeDocument/2006/relationships/oleObject" Target="embeddings/oleObject6927.bin"/><Relationship Id="rId942" Type="http://schemas.openxmlformats.org/officeDocument/2006/relationships/oleObject" Target="embeddings/oleObject462.bin"/><Relationship Id="rId1572" Type="http://schemas.openxmlformats.org/officeDocument/2006/relationships/image" Target="media/image791.wmf"/><Relationship Id="rId2623" Type="http://schemas.openxmlformats.org/officeDocument/2006/relationships/oleObject" Target="embeddings/oleObject1299.bin"/><Relationship Id="rId8185" Type="http://schemas.openxmlformats.org/officeDocument/2006/relationships/oleObject" Target="embeddings/oleObject4077.bin"/><Relationship Id="rId9236" Type="http://schemas.openxmlformats.org/officeDocument/2006/relationships/image" Target="media/image4627.wmf"/><Relationship Id="rId11166" Type="http://schemas.openxmlformats.org/officeDocument/2006/relationships/oleObject" Target="embeddings/oleObject5536.bin"/><Relationship Id="rId12217" Type="http://schemas.openxmlformats.org/officeDocument/2006/relationships/oleObject" Target="embeddings/oleObject6060.bin"/><Relationship Id="rId13615" Type="http://schemas.openxmlformats.org/officeDocument/2006/relationships/oleObject" Target="embeddings/oleObject6753.bin"/><Relationship Id="rId1225" Type="http://schemas.openxmlformats.org/officeDocument/2006/relationships/oleObject" Target="embeddings/oleObject603.bin"/><Relationship Id="rId3397" Type="http://schemas.openxmlformats.org/officeDocument/2006/relationships/oleObject" Target="embeddings/oleObject1688.bin"/><Relationship Id="rId4795" Type="http://schemas.openxmlformats.org/officeDocument/2006/relationships/oleObject" Target="embeddings/oleObject2389.bin"/><Relationship Id="rId5846" Type="http://schemas.openxmlformats.org/officeDocument/2006/relationships/oleObject" Target="embeddings/oleObject2912.bin"/><Relationship Id="rId14389" Type="http://schemas.openxmlformats.org/officeDocument/2006/relationships/image" Target="media/image7209.wmf"/><Relationship Id="rId4448" Type="http://schemas.openxmlformats.org/officeDocument/2006/relationships/image" Target="media/image2234.wmf"/><Relationship Id="rId10999" Type="http://schemas.openxmlformats.org/officeDocument/2006/relationships/oleObject" Target="embeddings/oleObject5455.bin"/><Relationship Id="rId11300" Type="http://schemas.openxmlformats.org/officeDocument/2006/relationships/oleObject" Target="embeddings/oleObject5603.bin"/><Relationship Id="rId13472" Type="http://schemas.openxmlformats.org/officeDocument/2006/relationships/image" Target="media/image6751.wmf"/><Relationship Id="rId14523" Type="http://schemas.openxmlformats.org/officeDocument/2006/relationships/image" Target="media/image7276.wmf"/><Relationship Id="rId2480" Type="http://schemas.openxmlformats.org/officeDocument/2006/relationships/image" Target="media/image1250.wmf"/><Relationship Id="rId3531" Type="http://schemas.openxmlformats.org/officeDocument/2006/relationships/oleObject" Target="embeddings/oleObject1756.bin"/><Relationship Id="rId9093" Type="http://schemas.openxmlformats.org/officeDocument/2006/relationships/image" Target="media/image4556.wmf"/><Relationship Id="rId12074" Type="http://schemas.openxmlformats.org/officeDocument/2006/relationships/image" Target="media/image6050.wmf"/><Relationship Id="rId13125" Type="http://schemas.openxmlformats.org/officeDocument/2006/relationships/image" Target="media/image6577.wmf"/><Relationship Id="rId452" Type="http://schemas.openxmlformats.org/officeDocument/2006/relationships/oleObject" Target="embeddings/oleObject217.bin"/><Relationship Id="rId1082" Type="http://schemas.openxmlformats.org/officeDocument/2006/relationships/oleObject" Target="embeddings/oleObject531.bin"/><Relationship Id="rId2133" Type="http://schemas.openxmlformats.org/officeDocument/2006/relationships/oleObject" Target="embeddings/oleObject1054.bin"/><Relationship Id="rId6754" Type="http://schemas.openxmlformats.org/officeDocument/2006/relationships/oleObject" Target="embeddings/oleObject3364.bin"/><Relationship Id="rId7805" Type="http://schemas.openxmlformats.org/officeDocument/2006/relationships/oleObject" Target="embeddings/oleObject3887.bin"/><Relationship Id="rId105" Type="http://schemas.openxmlformats.org/officeDocument/2006/relationships/image" Target="media/image50.wmf"/><Relationship Id="rId5356" Type="http://schemas.openxmlformats.org/officeDocument/2006/relationships/oleObject" Target="embeddings/oleObject2667.bin"/><Relationship Id="rId6407" Type="http://schemas.openxmlformats.org/officeDocument/2006/relationships/image" Target="media/image3213.wmf"/><Relationship Id="rId5009" Type="http://schemas.openxmlformats.org/officeDocument/2006/relationships/oleObject" Target="embeddings/oleObject2494.bin"/><Relationship Id="rId8579" Type="http://schemas.openxmlformats.org/officeDocument/2006/relationships/oleObject" Target="embeddings/oleObject4274.bin"/><Relationship Id="rId9977" Type="http://schemas.openxmlformats.org/officeDocument/2006/relationships/image" Target="media/image4997.wmf"/><Relationship Id="rId12958" Type="http://schemas.openxmlformats.org/officeDocument/2006/relationships/oleObject" Target="embeddings/oleObject6428.bin"/><Relationship Id="rId1966" Type="http://schemas.openxmlformats.org/officeDocument/2006/relationships/image" Target="media/image989.wmf"/><Relationship Id="rId14380" Type="http://schemas.openxmlformats.org/officeDocument/2006/relationships/oleObject" Target="embeddings/oleObject7134.bin"/><Relationship Id="rId1619" Type="http://schemas.openxmlformats.org/officeDocument/2006/relationships/oleObject" Target="embeddings/oleObject797.bin"/><Relationship Id="rId14033" Type="http://schemas.openxmlformats.org/officeDocument/2006/relationships/image" Target="media/image7031.wmf"/><Relationship Id="rId3041" Type="http://schemas.openxmlformats.org/officeDocument/2006/relationships/image" Target="media/image1530.wmf"/><Relationship Id="rId7662" Type="http://schemas.openxmlformats.org/officeDocument/2006/relationships/image" Target="media/image3840.wmf"/><Relationship Id="rId8713" Type="http://schemas.openxmlformats.org/officeDocument/2006/relationships/image" Target="media/image4366.wmf"/><Relationship Id="rId10643" Type="http://schemas.openxmlformats.org/officeDocument/2006/relationships/oleObject" Target="embeddings/oleObject5286.bin"/><Relationship Id="rId10990" Type="http://schemas.openxmlformats.org/officeDocument/2006/relationships/image" Target="media/image5505.wmf"/><Relationship Id="rId6264" Type="http://schemas.openxmlformats.org/officeDocument/2006/relationships/oleObject" Target="embeddings/oleObject3121.bin"/><Relationship Id="rId7315" Type="http://schemas.openxmlformats.org/officeDocument/2006/relationships/oleObject" Target="embeddings/oleObject3642.bin"/><Relationship Id="rId9487" Type="http://schemas.openxmlformats.org/officeDocument/2006/relationships/oleObject" Target="embeddings/oleObject4722.bin"/><Relationship Id="rId13866" Type="http://schemas.openxmlformats.org/officeDocument/2006/relationships/oleObject" Target="embeddings/oleObject6879.bin"/><Relationship Id="rId1476" Type="http://schemas.openxmlformats.org/officeDocument/2006/relationships/image" Target="media/image743.wmf"/><Relationship Id="rId2874" Type="http://schemas.openxmlformats.org/officeDocument/2006/relationships/oleObject" Target="embeddings/oleObject1425.bin"/><Relationship Id="rId3925" Type="http://schemas.openxmlformats.org/officeDocument/2006/relationships/oleObject" Target="embeddings/oleObject1953.bin"/><Relationship Id="rId8089" Type="http://schemas.openxmlformats.org/officeDocument/2006/relationships/oleObject" Target="embeddings/oleObject4029.bin"/><Relationship Id="rId12468" Type="http://schemas.openxmlformats.org/officeDocument/2006/relationships/oleObject" Target="embeddings/oleObject6183.bin"/><Relationship Id="rId13519" Type="http://schemas.openxmlformats.org/officeDocument/2006/relationships/oleObject" Target="embeddings/oleObject6705.bin"/><Relationship Id="rId846" Type="http://schemas.openxmlformats.org/officeDocument/2006/relationships/image" Target="media/image428.wmf"/><Relationship Id="rId1129" Type="http://schemas.openxmlformats.org/officeDocument/2006/relationships/image" Target="media/image570.wmf"/><Relationship Id="rId2527" Type="http://schemas.openxmlformats.org/officeDocument/2006/relationships/oleObject" Target="embeddings/oleObject1251.bin"/><Relationship Id="rId5000" Type="http://schemas.openxmlformats.org/officeDocument/2006/relationships/image" Target="media/image2510.wmf"/><Relationship Id="rId4699" Type="http://schemas.openxmlformats.org/officeDocument/2006/relationships/oleObject" Target="embeddings/oleObject2341.bin"/><Relationship Id="rId8570" Type="http://schemas.openxmlformats.org/officeDocument/2006/relationships/image" Target="media/image4294.wmf"/><Relationship Id="rId9621" Type="http://schemas.openxmlformats.org/officeDocument/2006/relationships/oleObject" Target="embeddings/oleObject4789.bin"/><Relationship Id="rId11551" Type="http://schemas.openxmlformats.org/officeDocument/2006/relationships/image" Target="media/image5787.wmf"/><Relationship Id="rId12602" Type="http://schemas.openxmlformats.org/officeDocument/2006/relationships/oleObject" Target="embeddings/oleObject6250.bin"/><Relationship Id="rId1610" Type="http://schemas.openxmlformats.org/officeDocument/2006/relationships/image" Target="media/image811.wmf"/><Relationship Id="rId7172" Type="http://schemas.openxmlformats.org/officeDocument/2006/relationships/image" Target="media/image3595.wmf"/><Relationship Id="rId8223" Type="http://schemas.openxmlformats.org/officeDocument/2006/relationships/oleObject" Target="embeddings/oleObject4096.bin"/><Relationship Id="rId10153" Type="http://schemas.openxmlformats.org/officeDocument/2006/relationships/image" Target="media/image5085.wmf"/><Relationship Id="rId11204" Type="http://schemas.openxmlformats.org/officeDocument/2006/relationships/oleObject" Target="embeddings/oleObject5555.bin"/><Relationship Id="rId3782" Type="http://schemas.openxmlformats.org/officeDocument/2006/relationships/image" Target="media/image1902.wmf"/><Relationship Id="rId4833" Type="http://schemas.openxmlformats.org/officeDocument/2006/relationships/oleObject" Target="embeddings/oleObject2407.bin"/><Relationship Id="rId13376" Type="http://schemas.openxmlformats.org/officeDocument/2006/relationships/image" Target="media/image6703.wmf"/><Relationship Id="rId14427" Type="http://schemas.openxmlformats.org/officeDocument/2006/relationships/image" Target="media/image7228.png"/><Relationship Id="rId2384" Type="http://schemas.openxmlformats.org/officeDocument/2006/relationships/oleObject" Target="embeddings/oleObject1181.bin"/><Relationship Id="rId3435" Type="http://schemas.openxmlformats.org/officeDocument/2006/relationships/oleObject" Target="embeddings/oleObject1708.bin"/><Relationship Id="rId13029" Type="http://schemas.openxmlformats.org/officeDocument/2006/relationships/image" Target="media/image6529.wmf"/><Relationship Id="rId356" Type="http://schemas.openxmlformats.org/officeDocument/2006/relationships/image" Target="media/image177.wmf"/><Relationship Id="rId2037" Type="http://schemas.openxmlformats.org/officeDocument/2006/relationships/oleObject" Target="embeddings/oleObject1006.bin"/><Relationship Id="rId6658" Type="http://schemas.openxmlformats.org/officeDocument/2006/relationships/oleObject" Target="embeddings/oleObject3316.bin"/><Relationship Id="rId7709" Type="http://schemas.openxmlformats.org/officeDocument/2006/relationships/oleObject" Target="embeddings/oleObject3839.bin"/><Relationship Id="rId8080" Type="http://schemas.openxmlformats.org/officeDocument/2006/relationships/image" Target="media/image4049.wmf"/><Relationship Id="rId9131" Type="http://schemas.openxmlformats.org/officeDocument/2006/relationships/image" Target="media/image4575.wmf"/><Relationship Id="rId13510" Type="http://schemas.openxmlformats.org/officeDocument/2006/relationships/image" Target="media/image6770.wmf"/><Relationship Id="rId11061" Type="http://schemas.microsoft.com/office/2007/relationships/hdphoto" Target="media/hdphoto45.wdp"/><Relationship Id="rId12112" Type="http://schemas.openxmlformats.org/officeDocument/2006/relationships/image" Target="media/image6069.wmf"/><Relationship Id="rId1120" Type="http://schemas.openxmlformats.org/officeDocument/2006/relationships/oleObject" Target="embeddings/oleObject550.bin"/><Relationship Id="rId4690" Type="http://schemas.openxmlformats.org/officeDocument/2006/relationships/image" Target="media/image2355.wmf"/><Relationship Id="rId5741" Type="http://schemas.openxmlformats.org/officeDocument/2006/relationships/image" Target="media/image2881.wmf"/><Relationship Id="rId14284" Type="http://schemas.openxmlformats.org/officeDocument/2006/relationships/oleObject" Target="embeddings/oleObject7088.bin"/><Relationship Id="rId3292" Type="http://schemas.openxmlformats.org/officeDocument/2006/relationships/image" Target="media/image1655.wmf"/><Relationship Id="rId4343" Type="http://schemas.openxmlformats.org/officeDocument/2006/relationships/oleObject" Target="embeddings/oleObject2163.bin"/><Relationship Id="rId8964" Type="http://schemas.openxmlformats.org/officeDocument/2006/relationships/oleObject" Target="embeddings/oleObject4462.bin"/><Relationship Id="rId7566" Type="http://schemas.openxmlformats.org/officeDocument/2006/relationships/image" Target="media/image3792.wmf"/><Relationship Id="rId8617" Type="http://schemas.openxmlformats.org/officeDocument/2006/relationships/oleObject" Target="embeddings/oleObject4293.bin"/><Relationship Id="rId10894" Type="http://schemas.openxmlformats.org/officeDocument/2006/relationships/image" Target="media/image5456.wmf"/><Relationship Id="rId11945" Type="http://schemas.openxmlformats.org/officeDocument/2006/relationships/oleObject" Target="embeddings/oleObject5924.bin"/><Relationship Id="rId6168" Type="http://schemas.openxmlformats.org/officeDocument/2006/relationships/oleObject" Target="embeddings/oleObject3073.bin"/><Relationship Id="rId7219" Type="http://schemas.openxmlformats.org/officeDocument/2006/relationships/oleObject" Target="embeddings/oleObject3594.bin"/><Relationship Id="rId10547" Type="http://schemas.openxmlformats.org/officeDocument/2006/relationships/oleObject" Target="embeddings/oleObject5238.bin"/><Relationship Id="rId13020" Type="http://schemas.openxmlformats.org/officeDocument/2006/relationships/oleObject" Target="embeddings/oleObject6459.bin"/><Relationship Id="rId2778" Type="http://schemas.openxmlformats.org/officeDocument/2006/relationships/image" Target="media/image1399.wmf"/><Relationship Id="rId3829" Type="http://schemas.openxmlformats.org/officeDocument/2006/relationships/oleObject" Target="embeddings/oleObject1905.bin"/><Relationship Id="rId7700" Type="http://schemas.openxmlformats.org/officeDocument/2006/relationships/image" Target="media/image3859.wmf"/><Relationship Id="rId5251" Type="http://schemas.openxmlformats.org/officeDocument/2006/relationships/image" Target="media/image2636.wmf"/><Relationship Id="rId6302" Type="http://schemas.openxmlformats.org/officeDocument/2006/relationships/oleObject" Target="embeddings/oleObject3140.bin"/><Relationship Id="rId9872" Type="http://schemas.openxmlformats.org/officeDocument/2006/relationships/oleObject" Target="embeddings/oleObject4908.bin"/><Relationship Id="rId12853" Type="http://schemas.openxmlformats.org/officeDocument/2006/relationships/image" Target="media/image6441.wmf"/><Relationship Id="rId86" Type="http://schemas.openxmlformats.org/officeDocument/2006/relationships/oleObject" Target="embeddings/oleObject39.bin"/><Relationship Id="rId1861" Type="http://schemas.openxmlformats.org/officeDocument/2006/relationships/oleObject" Target="embeddings/oleObject918.bin"/><Relationship Id="rId2912" Type="http://schemas.openxmlformats.org/officeDocument/2006/relationships/oleObject" Target="embeddings/oleObject1444.bin"/><Relationship Id="rId8474" Type="http://schemas.openxmlformats.org/officeDocument/2006/relationships/image" Target="media/image4246.wmf"/><Relationship Id="rId9525" Type="http://schemas.openxmlformats.org/officeDocument/2006/relationships/oleObject" Target="embeddings/oleObject4741.bin"/><Relationship Id="rId11455" Type="http://schemas.openxmlformats.org/officeDocument/2006/relationships/image" Target="media/image5739.wmf"/><Relationship Id="rId12506" Type="http://schemas.openxmlformats.org/officeDocument/2006/relationships/oleObject" Target="embeddings/oleObject6202.bin"/><Relationship Id="rId13904" Type="http://schemas.openxmlformats.org/officeDocument/2006/relationships/oleObject" Target="embeddings/oleObject6898.bin"/><Relationship Id="rId1514" Type="http://schemas.openxmlformats.org/officeDocument/2006/relationships/image" Target="media/image762.wmf"/><Relationship Id="rId7076" Type="http://schemas.openxmlformats.org/officeDocument/2006/relationships/oleObject" Target="embeddings/oleObject3523.bin"/><Relationship Id="rId8127" Type="http://schemas.openxmlformats.org/officeDocument/2006/relationships/oleObject" Target="embeddings/oleObject4048.bin"/><Relationship Id="rId10057" Type="http://schemas.openxmlformats.org/officeDocument/2006/relationships/image" Target="media/image5037.wmf"/><Relationship Id="rId11108" Type="http://schemas.openxmlformats.org/officeDocument/2006/relationships/oleObject" Target="embeddings/oleObject5507.bin"/><Relationship Id="rId3686" Type="http://schemas.openxmlformats.org/officeDocument/2006/relationships/image" Target="media/image1854.wmf"/><Relationship Id="rId2288" Type="http://schemas.openxmlformats.org/officeDocument/2006/relationships/oleObject" Target="embeddings/oleObject1131.bin"/><Relationship Id="rId3339" Type="http://schemas.openxmlformats.org/officeDocument/2006/relationships/oleObject" Target="embeddings/oleObject1658.bin"/><Relationship Id="rId4737" Type="http://schemas.openxmlformats.org/officeDocument/2006/relationships/oleObject" Target="embeddings/oleObject2360.bin"/><Relationship Id="rId7210" Type="http://schemas.openxmlformats.org/officeDocument/2006/relationships/image" Target="media/image3614.wmf"/><Relationship Id="rId13761" Type="http://schemas.openxmlformats.org/officeDocument/2006/relationships/image" Target="media/image6895.wmf"/><Relationship Id="rId3820" Type="http://schemas.openxmlformats.org/officeDocument/2006/relationships/image" Target="media/image1921.wmf"/><Relationship Id="rId9382" Type="http://schemas.openxmlformats.org/officeDocument/2006/relationships/image" Target="media/image4700.wmf"/><Relationship Id="rId12363" Type="http://schemas.openxmlformats.org/officeDocument/2006/relationships/image" Target="media/image6196.wmf"/><Relationship Id="rId13414" Type="http://schemas.openxmlformats.org/officeDocument/2006/relationships/image" Target="media/image6722.wmf"/><Relationship Id="rId741" Type="http://schemas.openxmlformats.org/officeDocument/2006/relationships/oleObject" Target="embeddings/oleObject359.bin"/><Relationship Id="rId1371" Type="http://schemas.openxmlformats.org/officeDocument/2006/relationships/oleObject" Target="embeddings/oleObject675.bin"/><Relationship Id="rId2422" Type="http://schemas.openxmlformats.org/officeDocument/2006/relationships/oleObject" Target="embeddings/oleObject1200.bin"/><Relationship Id="rId5992" Type="http://schemas.openxmlformats.org/officeDocument/2006/relationships/oleObject" Target="embeddings/oleObject2985.bin"/><Relationship Id="rId9035" Type="http://schemas.openxmlformats.org/officeDocument/2006/relationships/image" Target="media/image4527.wmf"/><Relationship Id="rId12016" Type="http://schemas.openxmlformats.org/officeDocument/2006/relationships/image" Target="media/image6021.wmf"/><Relationship Id="rId1024" Type="http://schemas.openxmlformats.org/officeDocument/2006/relationships/oleObject" Target="embeddings/oleObject503.bin"/><Relationship Id="rId4594" Type="http://schemas.openxmlformats.org/officeDocument/2006/relationships/image" Target="media/image2307.wmf"/><Relationship Id="rId5645" Type="http://schemas.openxmlformats.org/officeDocument/2006/relationships/image" Target="media/image2833.wmf"/><Relationship Id="rId14188" Type="http://schemas.openxmlformats.org/officeDocument/2006/relationships/oleObject" Target="embeddings/oleObject7040.bin"/><Relationship Id="rId3196" Type="http://schemas.openxmlformats.org/officeDocument/2006/relationships/oleObject" Target="embeddings/oleObject1586.bin"/><Relationship Id="rId4247" Type="http://schemas.openxmlformats.org/officeDocument/2006/relationships/image" Target="media/image2134.wmf"/><Relationship Id="rId8868" Type="http://schemas.openxmlformats.org/officeDocument/2006/relationships/oleObject" Target="embeddings/oleObject4414.bin"/><Relationship Id="rId9919" Type="http://schemas.openxmlformats.org/officeDocument/2006/relationships/image" Target="media/image4968.wmf"/><Relationship Id="rId10798" Type="http://schemas.openxmlformats.org/officeDocument/2006/relationships/image" Target="media/image5408.wmf"/><Relationship Id="rId11849" Type="http://schemas.openxmlformats.org/officeDocument/2006/relationships/oleObject" Target="embeddings/oleObject5876.bin"/><Relationship Id="rId1908" Type="http://schemas.openxmlformats.org/officeDocument/2006/relationships/image" Target="media/image960.wmf"/><Relationship Id="rId13271" Type="http://schemas.openxmlformats.org/officeDocument/2006/relationships/image" Target="media/image6650.wmf"/><Relationship Id="rId14322" Type="http://schemas.openxmlformats.org/officeDocument/2006/relationships/oleObject" Target="embeddings/oleObject7107.bin"/><Relationship Id="rId251" Type="http://schemas.openxmlformats.org/officeDocument/2006/relationships/oleObject" Target="embeddings/oleObject120.bin"/><Relationship Id="rId3330" Type="http://schemas.openxmlformats.org/officeDocument/2006/relationships/image" Target="media/image1674.wmf"/><Relationship Id="rId7951" Type="http://schemas.openxmlformats.org/officeDocument/2006/relationships/oleObject" Target="embeddings/oleObject3960.bin"/><Relationship Id="rId10932" Type="http://schemas.openxmlformats.org/officeDocument/2006/relationships/image" Target="media/image5475.wmf"/><Relationship Id="rId6553" Type="http://schemas.openxmlformats.org/officeDocument/2006/relationships/image" Target="media/image3286.wmf"/><Relationship Id="rId7604" Type="http://schemas.openxmlformats.org/officeDocument/2006/relationships/image" Target="media/image3811.wmf"/><Relationship Id="rId5155" Type="http://schemas.openxmlformats.org/officeDocument/2006/relationships/oleObject" Target="embeddings/oleObject2567.bin"/><Relationship Id="rId6206" Type="http://schemas.openxmlformats.org/officeDocument/2006/relationships/oleObject" Target="embeddings/oleObject3092.bin"/><Relationship Id="rId9776" Type="http://schemas.openxmlformats.org/officeDocument/2006/relationships/image" Target="media/image4897.wmf"/><Relationship Id="rId1765" Type="http://schemas.openxmlformats.org/officeDocument/2006/relationships/oleObject" Target="embeddings/oleObject870.bin"/><Relationship Id="rId8378" Type="http://schemas.openxmlformats.org/officeDocument/2006/relationships/image" Target="media/image4198.wmf"/><Relationship Id="rId9429" Type="http://schemas.openxmlformats.org/officeDocument/2006/relationships/oleObject" Target="embeddings/oleObject4695.bin"/><Relationship Id="rId11359" Type="http://schemas.openxmlformats.org/officeDocument/2006/relationships/image" Target="media/image5691.wmf"/><Relationship Id="rId12757" Type="http://schemas.openxmlformats.org/officeDocument/2006/relationships/image" Target="media/image6393.wmf"/><Relationship Id="rId13808" Type="http://schemas.openxmlformats.org/officeDocument/2006/relationships/oleObject" Target="embeddings/oleObject6850.bin"/><Relationship Id="rId1418" Type="http://schemas.openxmlformats.org/officeDocument/2006/relationships/image" Target="media/image714.wmf"/><Relationship Id="rId2816" Type="http://schemas.openxmlformats.org/officeDocument/2006/relationships/image" Target="media/image1418.wmf"/><Relationship Id="rId4988" Type="http://schemas.openxmlformats.org/officeDocument/2006/relationships/image" Target="media/image2504.wmf"/><Relationship Id="rId9910" Type="http://schemas.openxmlformats.org/officeDocument/2006/relationships/oleObject" Target="embeddings/oleObject4927.bin"/><Relationship Id="rId11840" Type="http://schemas.openxmlformats.org/officeDocument/2006/relationships/image" Target="media/image5933.wmf"/><Relationship Id="rId6063" Type="http://schemas.openxmlformats.org/officeDocument/2006/relationships/image" Target="media/image3042.wmf"/><Relationship Id="rId7461" Type="http://schemas.openxmlformats.org/officeDocument/2006/relationships/oleObject" Target="embeddings/oleObject3715.bin"/><Relationship Id="rId8512" Type="http://schemas.openxmlformats.org/officeDocument/2006/relationships/image" Target="media/image4265.wmf"/><Relationship Id="rId10442" Type="http://schemas.openxmlformats.org/officeDocument/2006/relationships/image" Target="media/image5230.wmf"/><Relationship Id="rId7114" Type="http://schemas.openxmlformats.org/officeDocument/2006/relationships/oleObject" Target="embeddings/oleObject3542.bin"/><Relationship Id="rId13665" Type="http://schemas.openxmlformats.org/officeDocument/2006/relationships/oleObject" Target="embeddings/oleObject6778.bin"/><Relationship Id="rId992" Type="http://schemas.openxmlformats.org/officeDocument/2006/relationships/oleObject" Target="embeddings/oleObject487.bin"/><Relationship Id="rId2673" Type="http://schemas.openxmlformats.org/officeDocument/2006/relationships/oleObject" Target="embeddings/oleObject1324.bin"/><Relationship Id="rId3724" Type="http://schemas.openxmlformats.org/officeDocument/2006/relationships/image" Target="media/image1873.wmf"/><Relationship Id="rId9286" Type="http://schemas.openxmlformats.org/officeDocument/2006/relationships/image" Target="media/image4652.wmf"/><Relationship Id="rId12267" Type="http://schemas.openxmlformats.org/officeDocument/2006/relationships/oleObject" Target="embeddings/oleObject6085.bin"/><Relationship Id="rId13318" Type="http://schemas.openxmlformats.org/officeDocument/2006/relationships/oleObject" Target="embeddings/oleObject6606.bin"/><Relationship Id="rId645" Type="http://schemas.openxmlformats.org/officeDocument/2006/relationships/oleObject" Target="embeddings/oleObject312.bin"/><Relationship Id="rId1275" Type="http://schemas.openxmlformats.org/officeDocument/2006/relationships/oleObject" Target="embeddings/oleObject627.bin"/><Relationship Id="rId2326" Type="http://schemas.openxmlformats.org/officeDocument/2006/relationships/oleObject" Target="embeddings/oleObject1152.bin"/><Relationship Id="rId5896" Type="http://schemas.openxmlformats.org/officeDocument/2006/relationships/oleObject" Target="embeddings/oleObject2937.bin"/><Relationship Id="rId6947" Type="http://schemas.openxmlformats.org/officeDocument/2006/relationships/image" Target="media/image3483.wmf"/><Relationship Id="rId4498" Type="http://schemas.openxmlformats.org/officeDocument/2006/relationships/image" Target="media/image2259.wmf"/><Relationship Id="rId5549" Type="http://schemas.openxmlformats.org/officeDocument/2006/relationships/image" Target="media/image2785.wmf"/><Relationship Id="rId9420" Type="http://schemas.openxmlformats.org/officeDocument/2006/relationships/image" Target="media/image4719.wmf"/><Relationship Id="rId8022" Type="http://schemas.openxmlformats.org/officeDocument/2006/relationships/image" Target="media/image4020.wmf"/><Relationship Id="rId11350" Type="http://schemas.openxmlformats.org/officeDocument/2006/relationships/oleObject" Target="embeddings/oleObject5628.bin"/><Relationship Id="rId12401" Type="http://schemas.openxmlformats.org/officeDocument/2006/relationships/image" Target="media/image6215.wmf"/><Relationship Id="rId11003" Type="http://schemas.openxmlformats.org/officeDocument/2006/relationships/oleObject" Target="embeddings/oleObject5457.bin"/><Relationship Id="rId14573" Type="http://schemas.openxmlformats.org/officeDocument/2006/relationships/image" Target="media/image7301.wmf"/><Relationship Id="rId3581" Type="http://schemas.openxmlformats.org/officeDocument/2006/relationships/oleObject" Target="embeddings/oleObject1781.bin"/><Relationship Id="rId4632" Type="http://schemas.openxmlformats.org/officeDocument/2006/relationships/image" Target="media/image2326.wmf"/><Relationship Id="rId13175" Type="http://schemas.openxmlformats.org/officeDocument/2006/relationships/image" Target="media/image6602.wmf"/><Relationship Id="rId14226" Type="http://schemas.openxmlformats.org/officeDocument/2006/relationships/oleObject" Target="embeddings/oleObject7059.bin"/><Relationship Id="rId2183" Type="http://schemas.openxmlformats.org/officeDocument/2006/relationships/oleObject" Target="embeddings/oleObject1079.bin"/><Relationship Id="rId3234" Type="http://schemas.openxmlformats.org/officeDocument/2006/relationships/oleObject" Target="embeddings/oleObject1605.bin"/><Relationship Id="rId7855" Type="http://schemas.openxmlformats.org/officeDocument/2006/relationships/oleObject" Target="embeddings/oleObject3912.bin"/><Relationship Id="rId8906" Type="http://schemas.openxmlformats.org/officeDocument/2006/relationships/oleObject" Target="embeddings/oleObject4433.bin"/><Relationship Id="rId155" Type="http://schemas.openxmlformats.org/officeDocument/2006/relationships/oleObject" Target="embeddings/oleObject72.bin"/><Relationship Id="rId6457" Type="http://schemas.openxmlformats.org/officeDocument/2006/relationships/image" Target="media/image3238.wmf"/><Relationship Id="rId7508" Type="http://schemas.openxmlformats.org/officeDocument/2006/relationships/image" Target="media/image3763.wmf"/><Relationship Id="rId10836" Type="http://schemas.openxmlformats.org/officeDocument/2006/relationships/image" Target="media/image5427.wmf"/><Relationship Id="rId5059" Type="http://schemas.openxmlformats.org/officeDocument/2006/relationships/oleObject" Target="embeddings/oleObject2519.bin"/><Relationship Id="rId14083" Type="http://schemas.openxmlformats.org/officeDocument/2006/relationships/image" Target="media/image7056.wmf"/><Relationship Id="rId1669" Type="http://schemas.openxmlformats.org/officeDocument/2006/relationships/oleObject" Target="embeddings/oleObject822.bin"/><Relationship Id="rId3091" Type="http://schemas.openxmlformats.org/officeDocument/2006/relationships/image" Target="media/image1555.wmf"/><Relationship Id="rId4142" Type="http://schemas.openxmlformats.org/officeDocument/2006/relationships/oleObject" Target="embeddings/oleObject2062.bin"/><Relationship Id="rId5540" Type="http://schemas.openxmlformats.org/officeDocument/2006/relationships/oleObject" Target="embeddings/oleObject2759.bin"/><Relationship Id="rId8763" Type="http://schemas.openxmlformats.org/officeDocument/2006/relationships/image" Target="media/image4391.wmf"/><Relationship Id="rId9814" Type="http://schemas.openxmlformats.org/officeDocument/2006/relationships/image" Target="media/image4916.wmf"/><Relationship Id="rId10693" Type="http://schemas.openxmlformats.org/officeDocument/2006/relationships/oleObject" Target="embeddings/oleObject5311.bin"/><Relationship Id="rId11744" Type="http://schemas.openxmlformats.org/officeDocument/2006/relationships/image" Target="media/image5885.wmf"/><Relationship Id="rId28" Type="http://schemas.openxmlformats.org/officeDocument/2006/relationships/oleObject" Target="embeddings/oleObject10.bin"/><Relationship Id="rId1803" Type="http://schemas.openxmlformats.org/officeDocument/2006/relationships/oleObject" Target="embeddings/oleObject889.bin"/><Relationship Id="rId7365" Type="http://schemas.openxmlformats.org/officeDocument/2006/relationships/oleObject" Target="embeddings/oleObject3667.bin"/><Relationship Id="rId8416" Type="http://schemas.openxmlformats.org/officeDocument/2006/relationships/image" Target="media/image4217.wmf"/><Relationship Id="rId10346" Type="http://schemas.openxmlformats.org/officeDocument/2006/relationships/oleObject" Target="embeddings/oleObject5140.bin"/><Relationship Id="rId3975" Type="http://schemas.openxmlformats.org/officeDocument/2006/relationships/image" Target="media/image1998.wmf"/><Relationship Id="rId7018" Type="http://schemas.openxmlformats.org/officeDocument/2006/relationships/oleObject" Target="embeddings/oleObject3494.bin"/><Relationship Id="rId13569" Type="http://schemas.openxmlformats.org/officeDocument/2006/relationships/oleObject" Target="embeddings/oleObject6730.bin"/><Relationship Id="rId896" Type="http://schemas.openxmlformats.org/officeDocument/2006/relationships/image" Target="media/image453.wmf"/><Relationship Id="rId2577" Type="http://schemas.openxmlformats.org/officeDocument/2006/relationships/oleObject" Target="embeddings/oleObject1276.bin"/><Relationship Id="rId3628" Type="http://schemas.openxmlformats.org/officeDocument/2006/relationships/image" Target="media/image1825.wmf"/><Relationship Id="rId549" Type="http://schemas.openxmlformats.org/officeDocument/2006/relationships/oleObject" Target="embeddings/oleObject264.bin"/><Relationship Id="rId1179" Type="http://schemas.openxmlformats.org/officeDocument/2006/relationships/image" Target="media/image595.wmf"/><Relationship Id="rId5050" Type="http://schemas.openxmlformats.org/officeDocument/2006/relationships/image" Target="media/image2535.wmf"/><Relationship Id="rId6101" Type="http://schemas.openxmlformats.org/officeDocument/2006/relationships/image" Target="media/image3061.wmf"/><Relationship Id="rId8273" Type="http://schemas.openxmlformats.org/officeDocument/2006/relationships/oleObject" Target="embeddings/oleObject4121.bin"/><Relationship Id="rId9671" Type="http://schemas.openxmlformats.org/officeDocument/2006/relationships/oleObject" Target="embeddings/oleObject4814.bin"/><Relationship Id="rId12652" Type="http://schemas.openxmlformats.org/officeDocument/2006/relationships/oleObject" Target="embeddings/oleObject6275.bin"/><Relationship Id="rId13703" Type="http://schemas.openxmlformats.org/officeDocument/2006/relationships/image" Target="media/image6866.wmf"/><Relationship Id="rId1660" Type="http://schemas.openxmlformats.org/officeDocument/2006/relationships/image" Target="media/image836.wmf"/><Relationship Id="rId2711" Type="http://schemas.openxmlformats.org/officeDocument/2006/relationships/oleObject" Target="embeddings/oleObject1343.bin"/><Relationship Id="rId9324" Type="http://schemas.openxmlformats.org/officeDocument/2006/relationships/image" Target="media/image4671.wmf"/><Relationship Id="rId11254" Type="http://schemas.openxmlformats.org/officeDocument/2006/relationships/oleObject" Target="embeddings/oleObject5580.bin"/><Relationship Id="rId12305" Type="http://schemas.openxmlformats.org/officeDocument/2006/relationships/image" Target="media/image6167.wmf"/><Relationship Id="rId1313" Type="http://schemas.openxmlformats.org/officeDocument/2006/relationships/oleObject" Target="embeddings/oleObject646.bin"/><Relationship Id="rId4883" Type="http://schemas.openxmlformats.org/officeDocument/2006/relationships/oleObject" Target="embeddings/oleObject2432.bin"/><Relationship Id="rId5934" Type="http://schemas.openxmlformats.org/officeDocument/2006/relationships/oleObject" Target="embeddings/oleObject2956.bin"/><Relationship Id="rId14477" Type="http://schemas.openxmlformats.org/officeDocument/2006/relationships/image" Target="media/image7253.wmf"/><Relationship Id="rId3485" Type="http://schemas.openxmlformats.org/officeDocument/2006/relationships/oleObject" Target="embeddings/oleObject1733.bin"/><Relationship Id="rId4536" Type="http://schemas.openxmlformats.org/officeDocument/2006/relationships/image" Target="media/image2278.wmf"/><Relationship Id="rId13079" Type="http://schemas.openxmlformats.org/officeDocument/2006/relationships/image" Target="media/image6554.wmf"/><Relationship Id="rId2087" Type="http://schemas.openxmlformats.org/officeDocument/2006/relationships/oleObject" Target="embeddings/oleObject1031.bin"/><Relationship Id="rId3138" Type="http://schemas.openxmlformats.org/officeDocument/2006/relationships/oleObject" Target="embeddings/oleObject1557.bin"/><Relationship Id="rId7759" Type="http://schemas.openxmlformats.org/officeDocument/2006/relationships/oleObject" Target="embeddings/oleObject3864.bin"/><Relationship Id="rId9181" Type="http://schemas.openxmlformats.org/officeDocument/2006/relationships/oleObject" Target="embeddings/oleObject4571.bin"/><Relationship Id="rId13560" Type="http://schemas.openxmlformats.org/officeDocument/2006/relationships/image" Target="media/image6795.wmf"/><Relationship Id="rId540" Type="http://schemas.openxmlformats.org/officeDocument/2006/relationships/oleObject" Target="embeddings/oleObject261.bin"/><Relationship Id="rId1170" Type="http://schemas.openxmlformats.org/officeDocument/2006/relationships/oleObject" Target="embeddings/oleObject575.bin"/><Relationship Id="rId2221" Type="http://schemas.openxmlformats.org/officeDocument/2006/relationships/oleObject" Target="embeddings/oleObject1098.bin"/><Relationship Id="rId12162" Type="http://schemas.openxmlformats.org/officeDocument/2006/relationships/image" Target="media/image6094.wmf"/><Relationship Id="rId13213" Type="http://schemas.openxmlformats.org/officeDocument/2006/relationships/image" Target="media/image6621.wmf"/><Relationship Id="rId5791" Type="http://schemas.openxmlformats.org/officeDocument/2006/relationships/image" Target="media/image2906.wmf"/><Relationship Id="rId6842" Type="http://schemas.openxmlformats.org/officeDocument/2006/relationships/oleObject" Target="embeddings/oleObject3406.bin"/><Relationship Id="rId4393" Type="http://schemas.openxmlformats.org/officeDocument/2006/relationships/oleObject" Target="embeddings/oleObject2188.bin"/><Relationship Id="rId5444" Type="http://schemas.openxmlformats.org/officeDocument/2006/relationships/oleObject" Target="embeddings/oleObject2711.bin"/><Relationship Id="rId11995" Type="http://schemas.openxmlformats.org/officeDocument/2006/relationships/oleObject" Target="embeddings/oleObject5949.bin"/><Relationship Id="rId4046" Type="http://schemas.openxmlformats.org/officeDocument/2006/relationships/oleObject" Target="embeddings/oleObject2014.bin"/><Relationship Id="rId8667" Type="http://schemas.openxmlformats.org/officeDocument/2006/relationships/image" Target="media/image4343.wmf"/><Relationship Id="rId9718" Type="http://schemas.openxmlformats.org/officeDocument/2006/relationships/image" Target="media/image4868.wmf"/><Relationship Id="rId10597" Type="http://schemas.openxmlformats.org/officeDocument/2006/relationships/oleObject" Target="embeddings/oleObject5263.bin"/><Relationship Id="rId11648" Type="http://schemas.openxmlformats.org/officeDocument/2006/relationships/oleObject" Target="embeddings/oleObject5777.bin"/><Relationship Id="rId1707" Type="http://schemas.openxmlformats.org/officeDocument/2006/relationships/oleObject" Target="embeddings/oleObject841.bin"/><Relationship Id="rId7269" Type="http://schemas.openxmlformats.org/officeDocument/2006/relationships/oleObject" Target="embeddings/oleObject3619.bin"/><Relationship Id="rId13070" Type="http://schemas.openxmlformats.org/officeDocument/2006/relationships/oleObject" Target="embeddings/oleObject6482.bin"/><Relationship Id="rId14121" Type="http://schemas.openxmlformats.org/officeDocument/2006/relationships/image" Target="media/image7075.wmf"/><Relationship Id="rId3879" Type="http://schemas.openxmlformats.org/officeDocument/2006/relationships/oleObject" Target="embeddings/oleObject1930.bin"/><Relationship Id="rId6352" Type="http://schemas.openxmlformats.org/officeDocument/2006/relationships/oleObject" Target="embeddings/oleObject3166.bin"/><Relationship Id="rId7750" Type="http://schemas.openxmlformats.org/officeDocument/2006/relationships/image" Target="media/image3884.wmf"/><Relationship Id="rId8801" Type="http://schemas.openxmlformats.org/officeDocument/2006/relationships/image" Target="media/image4410.wmf"/><Relationship Id="rId10731" Type="http://schemas.openxmlformats.org/officeDocument/2006/relationships/oleObject" Target="embeddings/oleObject5328.bin"/><Relationship Id="rId6005" Type="http://schemas.openxmlformats.org/officeDocument/2006/relationships/image" Target="media/image3013.wmf"/><Relationship Id="rId7403" Type="http://schemas.openxmlformats.org/officeDocument/2006/relationships/oleObject" Target="embeddings/oleObject3686.bin"/><Relationship Id="rId13954" Type="http://schemas.openxmlformats.org/officeDocument/2006/relationships/oleObject" Target="embeddings/oleObject6923.bin"/><Relationship Id="rId2962" Type="http://schemas.openxmlformats.org/officeDocument/2006/relationships/oleObject" Target="embeddings/oleObject1469.bin"/><Relationship Id="rId9575" Type="http://schemas.openxmlformats.org/officeDocument/2006/relationships/oleObject" Target="embeddings/oleObject4766.bin"/><Relationship Id="rId12556" Type="http://schemas.openxmlformats.org/officeDocument/2006/relationships/oleObject" Target="embeddings/oleObject6227.bin"/><Relationship Id="rId13607" Type="http://schemas.openxmlformats.org/officeDocument/2006/relationships/oleObject" Target="embeddings/oleObject6749.bin"/><Relationship Id="rId934" Type="http://schemas.openxmlformats.org/officeDocument/2006/relationships/oleObject" Target="embeddings/oleObject458.bin"/><Relationship Id="rId1564" Type="http://schemas.openxmlformats.org/officeDocument/2006/relationships/image" Target="media/image787.wmf"/><Relationship Id="rId2615" Type="http://schemas.openxmlformats.org/officeDocument/2006/relationships/oleObject" Target="embeddings/oleObject1295.bin"/><Relationship Id="rId8177" Type="http://schemas.openxmlformats.org/officeDocument/2006/relationships/oleObject" Target="embeddings/oleObject4073.bin"/><Relationship Id="rId9228" Type="http://schemas.openxmlformats.org/officeDocument/2006/relationships/image" Target="media/image4623.wmf"/><Relationship Id="rId11158" Type="http://schemas.openxmlformats.org/officeDocument/2006/relationships/oleObject" Target="embeddings/oleObject5532.bin"/><Relationship Id="rId12209" Type="http://schemas.openxmlformats.org/officeDocument/2006/relationships/oleObject" Target="embeddings/oleObject6056.bin"/><Relationship Id="rId1217" Type="http://schemas.openxmlformats.org/officeDocument/2006/relationships/oleObject" Target="embeddings/oleObject599.bin"/><Relationship Id="rId4787" Type="http://schemas.openxmlformats.org/officeDocument/2006/relationships/oleObject" Target="embeddings/oleObject2385.bin"/><Relationship Id="rId5838" Type="http://schemas.openxmlformats.org/officeDocument/2006/relationships/oleObject" Target="embeddings/oleObject2908.bin"/><Relationship Id="rId3389" Type="http://schemas.openxmlformats.org/officeDocument/2006/relationships/oleObject" Target="embeddings/oleObject1684.bin"/><Relationship Id="rId7260" Type="http://schemas.openxmlformats.org/officeDocument/2006/relationships/image" Target="media/image3639.wmf"/><Relationship Id="rId8311" Type="http://schemas.openxmlformats.org/officeDocument/2006/relationships/oleObject" Target="embeddings/oleObject4140.bin"/><Relationship Id="rId10241" Type="http://schemas.openxmlformats.org/officeDocument/2006/relationships/image" Target="media/image5129.wmf"/><Relationship Id="rId3870" Type="http://schemas.openxmlformats.org/officeDocument/2006/relationships/image" Target="media/image1946.wmf"/><Relationship Id="rId4921" Type="http://schemas.openxmlformats.org/officeDocument/2006/relationships/oleObject" Target="embeddings/oleObject2451.bin"/><Relationship Id="rId9085" Type="http://schemas.openxmlformats.org/officeDocument/2006/relationships/image" Target="media/image4552.wmf"/><Relationship Id="rId13464" Type="http://schemas.openxmlformats.org/officeDocument/2006/relationships/image" Target="media/image6747.wmf"/><Relationship Id="rId14515" Type="http://schemas.openxmlformats.org/officeDocument/2006/relationships/image" Target="media/image7272.wmf"/><Relationship Id="rId791" Type="http://schemas.openxmlformats.org/officeDocument/2006/relationships/oleObject" Target="embeddings/oleObject387.bin"/><Relationship Id="rId1074" Type="http://schemas.openxmlformats.org/officeDocument/2006/relationships/oleObject" Target="embeddings/oleObject527.bin"/><Relationship Id="rId2472" Type="http://schemas.openxmlformats.org/officeDocument/2006/relationships/image" Target="media/image1246.wmf"/><Relationship Id="rId3523" Type="http://schemas.openxmlformats.org/officeDocument/2006/relationships/oleObject" Target="embeddings/oleObject1752.bin"/><Relationship Id="rId12066" Type="http://schemas.openxmlformats.org/officeDocument/2006/relationships/image" Target="media/image6046.wmf"/><Relationship Id="rId13117" Type="http://schemas.openxmlformats.org/officeDocument/2006/relationships/image" Target="media/image6573.wmf"/><Relationship Id="rId444" Type="http://schemas.openxmlformats.org/officeDocument/2006/relationships/oleObject" Target="embeddings/oleObject213.bin"/><Relationship Id="rId2125" Type="http://schemas.openxmlformats.org/officeDocument/2006/relationships/oleObject" Target="embeddings/oleObject1050.bin"/><Relationship Id="rId5695" Type="http://schemas.openxmlformats.org/officeDocument/2006/relationships/image" Target="media/image2858.wmf"/><Relationship Id="rId6746" Type="http://schemas.openxmlformats.org/officeDocument/2006/relationships/oleObject" Target="embeddings/oleObject3360.bin"/><Relationship Id="rId4297" Type="http://schemas.openxmlformats.org/officeDocument/2006/relationships/image" Target="media/image2159.wmf"/><Relationship Id="rId5348" Type="http://schemas.openxmlformats.org/officeDocument/2006/relationships/oleObject" Target="embeddings/oleObject2663.bin"/><Relationship Id="rId9969" Type="http://schemas.openxmlformats.org/officeDocument/2006/relationships/image" Target="media/image4993.wmf"/><Relationship Id="rId12200" Type="http://schemas.openxmlformats.org/officeDocument/2006/relationships/image" Target="media/image6113.wmf"/><Relationship Id="rId11899" Type="http://schemas.openxmlformats.org/officeDocument/2006/relationships/oleObject" Target="embeddings/oleObject5901.bin"/><Relationship Id="rId14372" Type="http://schemas.microsoft.com/office/2007/relationships/hdphoto" Target="media/hdphoto50.wdp"/><Relationship Id="rId1958" Type="http://schemas.openxmlformats.org/officeDocument/2006/relationships/image" Target="media/image985.wmf"/><Relationship Id="rId3380" Type="http://schemas.openxmlformats.org/officeDocument/2006/relationships/image" Target="media/image1700.wmf"/><Relationship Id="rId4431" Type="http://schemas.openxmlformats.org/officeDocument/2006/relationships/oleObject" Target="embeddings/oleObject2207.bin"/><Relationship Id="rId14025" Type="http://schemas.openxmlformats.org/officeDocument/2006/relationships/image" Target="media/image7027.wmf"/><Relationship Id="rId3033" Type="http://schemas.openxmlformats.org/officeDocument/2006/relationships/image" Target="media/image1526.wmf"/><Relationship Id="rId10982" Type="http://schemas.openxmlformats.org/officeDocument/2006/relationships/image" Target="media/image5501.wmf"/><Relationship Id="rId7654" Type="http://schemas.openxmlformats.org/officeDocument/2006/relationships/image" Target="media/image3836.wmf"/><Relationship Id="rId8705" Type="http://schemas.openxmlformats.org/officeDocument/2006/relationships/image" Target="media/image4362.wmf"/><Relationship Id="rId10635" Type="http://schemas.openxmlformats.org/officeDocument/2006/relationships/oleObject" Target="embeddings/oleObject5282.bin"/><Relationship Id="rId6256" Type="http://schemas.openxmlformats.org/officeDocument/2006/relationships/oleObject" Target="embeddings/oleObject3117.bin"/><Relationship Id="rId7307" Type="http://schemas.openxmlformats.org/officeDocument/2006/relationships/oleObject" Target="embeddings/oleObject3638.bin"/><Relationship Id="rId13858" Type="http://schemas.openxmlformats.org/officeDocument/2006/relationships/oleObject" Target="embeddings/oleObject6875.bin"/><Relationship Id="rId2866" Type="http://schemas.openxmlformats.org/officeDocument/2006/relationships/oleObject" Target="embeddings/oleObject1421.bin"/><Relationship Id="rId3917" Type="http://schemas.openxmlformats.org/officeDocument/2006/relationships/oleObject" Target="embeddings/oleObject1949.bin"/><Relationship Id="rId9479" Type="http://schemas.openxmlformats.org/officeDocument/2006/relationships/oleObject" Target="embeddings/oleObject4718.bin"/><Relationship Id="rId838" Type="http://schemas.openxmlformats.org/officeDocument/2006/relationships/image" Target="media/image424.wmf"/><Relationship Id="rId1468" Type="http://schemas.openxmlformats.org/officeDocument/2006/relationships/image" Target="media/image739.wmf"/><Relationship Id="rId2519" Type="http://schemas.openxmlformats.org/officeDocument/2006/relationships/oleObject" Target="embeddings/oleObject1247.bin"/><Relationship Id="rId8562" Type="http://schemas.openxmlformats.org/officeDocument/2006/relationships/image" Target="media/image4290.wmf"/><Relationship Id="rId9960" Type="http://schemas.openxmlformats.org/officeDocument/2006/relationships/oleObject" Target="embeddings/oleObject4950.bin"/><Relationship Id="rId11890" Type="http://schemas.openxmlformats.org/officeDocument/2006/relationships/image" Target="media/image5958.wmf"/><Relationship Id="rId12941" Type="http://schemas.openxmlformats.org/officeDocument/2006/relationships/image" Target="media/image6485.wmf"/><Relationship Id="rId7164" Type="http://schemas.openxmlformats.org/officeDocument/2006/relationships/image" Target="media/image3591.wmf"/><Relationship Id="rId8215" Type="http://schemas.openxmlformats.org/officeDocument/2006/relationships/oleObject" Target="embeddings/oleObject4092.bin"/><Relationship Id="rId9613" Type="http://schemas.openxmlformats.org/officeDocument/2006/relationships/oleObject" Target="embeddings/oleObject4785.bin"/><Relationship Id="rId10492" Type="http://schemas.openxmlformats.org/officeDocument/2006/relationships/image" Target="media/image5255.wmf"/><Relationship Id="rId11543" Type="http://schemas.openxmlformats.org/officeDocument/2006/relationships/image" Target="media/image5783.wmf"/><Relationship Id="rId1602" Type="http://schemas.openxmlformats.org/officeDocument/2006/relationships/image" Target="media/image807.wmf"/><Relationship Id="rId10145" Type="http://schemas.openxmlformats.org/officeDocument/2006/relationships/image" Target="media/image5081.wmf"/><Relationship Id="rId3774" Type="http://schemas.openxmlformats.org/officeDocument/2006/relationships/image" Target="media/image1898.wmf"/><Relationship Id="rId4825" Type="http://schemas.openxmlformats.org/officeDocument/2006/relationships/oleObject" Target="embeddings/oleObject2403.bin"/><Relationship Id="rId13368" Type="http://schemas.openxmlformats.org/officeDocument/2006/relationships/image" Target="media/image6699.wmf"/><Relationship Id="rId14419" Type="http://schemas.openxmlformats.org/officeDocument/2006/relationships/image" Target="media/image7224.wmf"/><Relationship Id="rId695" Type="http://schemas.openxmlformats.org/officeDocument/2006/relationships/oleObject" Target="embeddings/oleObject336.bin"/><Relationship Id="rId2376" Type="http://schemas.openxmlformats.org/officeDocument/2006/relationships/oleObject" Target="embeddings/oleObject1177.bin"/><Relationship Id="rId3427" Type="http://schemas.openxmlformats.org/officeDocument/2006/relationships/oleObject" Target="embeddings/oleObject1704.bin"/><Relationship Id="rId6997" Type="http://schemas.openxmlformats.org/officeDocument/2006/relationships/image" Target="media/image3508.wmf"/><Relationship Id="rId348" Type="http://schemas.openxmlformats.org/officeDocument/2006/relationships/image" Target="media/image173.wmf"/><Relationship Id="rId2029" Type="http://schemas.openxmlformats.org/officeDocument/2006/relationships/oleObject" Target="embeddings/oleObject1002.bin"/><Relationship Id="rId5599" Type="http://schemas.openxmlformats.org/officeDocument/2006/relationships/image" Target="media/image2810.wmf"/><Relationship Id="rId9470" Type="http://schemas.openxmlformats.org/officeDocument/2006/relationships/image" Target="media/image4744.wmf"/><Relationship Id="rId2510" Type="http://schemas.openxmlformats.org/officeDocument/2006/relationships/image" Target="media/image1265.wmf"/><Relationship Id="rId8072" Type="http://schemas.openxmlformats.org/officeDocument/2006/relationships/image" Target="media/image4045.wmf"/><Relationship Id="rId9123" Type="http://schemas.openxmlformats.org/officeDocument/2006/relationships/image" Target="media/image4571.wmf"/><Relationship Id="rId11053" Type="http://schemas.openxmlformats.org/officeDocument/2006/relationships/oleObject" Target="embeddings/oleObject5482.bin"/><Relationship Id="rId12104" Type="http://schemas.openxmlformats.org/officeDocument/2006/relationships/image" Target="media/image6065.wmf"/><Relationship Id="rId12451" Type="http://schemas.openxmlformats.org/officeDocument/2006/relationships/image" Target="media/image6240.wmf"/><Relationship Id="rId13502" Type="http://schemas.openxmlformats.org/officeDocument/2006/relationships/image" Target="media/image6766.wmf"/><Relationship Id="rId1112" Type="http://schemas.openxmlformats.org/officeDocument/2006/relationships/oleObject" Target="embeddings/oleObject546.bin"/><Relationship Id="rId3284" Type="http://schemas.openxmlformats.org/officeDocument/2006/relationships/image" Target="media/image1651.wmf"/><Relationship Id="rId4682" Type="http://schemas.openxmlformats.org/officeDocument/2006/relationships/image" Target="media/image2351.wmf"/><Relationship Id="rId5733" Type="http://schemas.openxmlformats.org/officeDocument/2006/relationships/image" Target="media/image2877.wmf"/><Relationship Id="rId14276" Type="http://schemas.openxmlformats.org/officeDocument/2006/relationships/oleObject" Target="embeddings/oleObject7084.bin"/><Relationship Id="rId4335" Type="http://schemas.openxmlformats.org/officeDocument/2006/relationships/oleObject" Target="embeddings/oleObject2159.bin"/><Relationship Id="rId8956" Type="http://schemas.openxmlformats.org/officeDocument/2006/relationships/oleObject" Target="embeddings/oleObject4458.bin"/><Relationship Id="rId10886" Type="http://schemas.openxmlformats.org/officeDocument/2006/relationships/image" Target="media/image5452.wmf"/><Relationship Id="rId11937" Type="http://schemas.openxmlformats.org/officeDocument/2006/relationships/oleObject" Target="embeddings/oleObject5920.bin"/><Relationship Id="rId7558" Type="http://schemas.openxmlformats.org/officeDocument/2006/relationships/image" Target="media/image3788.wmf"/><Relationship Id="rId8609" Type="http://schemas.openxmlformats.org/officeDocument/2006/relationships/oleObject" Target="embeddings/oleObject4289.bin"/><Relationship Id="rId10539" Type="http://schemas.openxmlformats.org/officeDocument/2006/relationships/oleObject" Target="embeddings/oleObject5234.bin"/><Relationship Id="rId14410" Type="http://schemas.openxmlformats.org/officeDocument/2006/relationships/oleObject" Target="embeddings/oleObject7149.bin"/><Relationship Id="rId13012" Type="http://schemas.openxmlformats.org/officeDocument/2006/relationships/oleObject" Target="embeddings/oleObject6455.bin"/><Relationship Id="rId2020" Type="http://schemas.openxmlformats.org/officeDocument/2006/relationships/image" Target="media/image1016.wmf"/><Relationship Id="rId5590" Type="http://schemas.openxmlformats.org/officeDocument/2006/relationships/oleObject" Target="embeddings/oleObject2784.bin"/><Relationship Id="rId6641" Type="http://schemas.openxmlformats.org/officeDocument/2006/relationships/image" Target="media/image3330.wmf"/><Relationship Id="rId4192" Type="http://schemas.openxmlformats.org/officeDocument/2006/relationships/oleObject" Target="embeddings/oleObject2087.bin"/><Relationship Id="rId5243" Type="http://schemas.openxmlformats.org/officeDocument/2006/relationships/image" Target="media/image2632.wmf"/><Relationship Id="rId9864" Type="http://schemas.openxmlformats.org/officeDocument/2006/relationships/oleObject" Target="embeddings/oleObject4904.bin"/><Relationship Id="rId11794" Type="http://schemas.openxmlformats.org/officeDocument/2006/relationships/image" Target="media/image5910.wmf"/><Relationship Id="rId12845" Type="http://schemas.openxmlformats.org/officeDocument/2006/relationships/image" Target="media/image6437.wmf"/><Relationship Id="rId78" Type="http://schemas.openxmlformats.org/officeDocument/2006/relationships/oleObject" Target="embeddings/oleObject35.bin"/><Relationship Id="rId1853" Type="http://schemas.openxmlformats.org/officeDocument/2006/relationships/oleObject" Target="embeddings/oleObject914.bin"/><Relationship Id="rId2904" Type="http://schemas.openxmlformats.org/officeDocument/2006/relationships/oleObject" Target="embeddings/oleObject1440.bin"/><Relationship Id="rId7068" Type="http://schemas.openxmlformats.org/officeDocument/2006/relationships/oleObject" Target="embeddings/oleObject3519.bin"/><Relationship Id="rId8119" Type="http://schemas.openxmlformats.org/officeDocument/2006/relationships/oleObject" Target="embeddings/oleObject4044.bin"/><Relationship Id="rId8466" Type="http://schemas.openxmlformats.org/officeDocument/2006/relationships/image" Target="media/image4242.wmf"/><Relationship Id="rId9517" Type="http://schemas.openxmlformats.org/officeDocument/2006/relationships/oleObject" Target="embeddings/oleObject4737.bin"/><Relationship Id="rId10396" Type="http://schemas.openxmlformats.org/officeDocument/2006/relationships/oleObject" Target="embeddings/oleObject5165.bin"/><Relationship Id="rId11447" Type="http://schemas.openxmlformats.org/officeDocument/2006/relationships/image" Target="media/image5735.wmf"/><Relationship Id="rId1506" Type="http://schemas.openxmlformats.org/officeDocument/2006/relationships/image" Target="media/image758.wmf"/><Relationship Id="rId10049" Type="http://schemas.openxmlformats.org/officeDocument/2006/relationships/image" Target="media/image5033.wmf"/><Relationship Id="rId3678" Type="http://schemas.openxmlformats.org/officeDocument/2006/relationships/image" Target="media/image1850.wmf"/><Relationship Id="rId4729" Type="http://schemas.openxmlformats.org/officeDocument/2006/relationships/oleObject" Target="embeddings/oleObject2356.bin"/><Relationship Id="rId8600" Type="http://schemas.openxmlformats.org/officeDocument/2006/relationships/image" Target="media/image4309.wmf"/><Relationship Id="rId599" Type="http://schemas.openxmlformats.org/officeDocument/2006/relationships/oleObject" Target="embeddings/oleObject289.bin"/><Relationship Id="rId6151" Type="http://schemas.openxmlformats.org/officeDocument/2006/relationships/image" Target="media/image3086.wmf"/><Relationship Id="rId7202" Type="http://schemas.openxmlformats.org/officeDocument/2006/relationships/image" Target="media/image3610.wmf"/><Relationship Id="rId10530" Type="http://schemas.openxmlformats.org/officeDocument/2006/relationships/image" Target="media/image5274.wmf"/><Relationship Id="rId9374" Type="http://schemas.openxmlformats.org/officeDocument/2006/relationships/image" Target="media/image4696.wmf"/><Relationship Id="rId13753" Type="http://schemas.openxmlformats.org/officeDocument/2006/relationships/image" Target="media/image6891.wmf"/><Relationship Id="rId1363" Type="http://schemas.openxmlformats.org/officeDocument/2006/relationships/oleObject" Target="embeddings/oleObject671.bin"/><Relationship Id="rId2761" Type="http://schemas.openxmlformats.org/officeDocument/2006/relationships/oleObject" Target="embeddings/oleObject1368.bin"/><Relationship Id="rId3812" Type="http://schemas.openxmlformats.org/officeDocument/2006/relationships/image" Target="media/image1917.wmf"/><Relationship Id="rId9027" Type="http://schemas.openxmlformats.org/officeDocument/2006/relationships/image" Target="media/image4523.wmf"/><Relationship Id="rId12355" Type="http://schemas.openxmlformats.org/officeDocument/2006/relationships/image" Target="media/image6192.wmf"/><Relationship Id="rId13406" Type="http://schemas.openxmlformats.org/officeDocument/2006/relationships/image" Target="media/image6718.wmf"/><Relationship Id="rId733" Type="http://schemas.openxmlformats.org/officeDocument/2006/relationships/oleObject" Target="embeddings/oleObject355.bin"/><Relationship Id="rId1016" Type="http://schemas.openxmlformats.org/officeDocument/2006/relationships/oleObject" Target="embeddings/oleObject499.bin"/><Relationship Id="rId2414" Type="http://schemas.openxmlformats.org/officeDocument/2006/relationships/oleObject" Target="embeddings/oleObject1196.bin"/><Relationship Id="rId5984" Type="http://schemas.openxmlformats.org/officeDocument/2006/relationships/oleObject" Target="embeddings/oleObject2981.bin"/><Relationship Id="rId12008" Type="http://schemas.openxmlformats.org/officeDocument/2006/relationships/image" Target="media/image6017.wmf"/><Relationship Id="rId4586" Type="http://schemas.openxmlformats.org/officeDocument/2006/relationships/image" Target="media/image2303.wmf"/><Relationship Id="rId5637" Type="http://schemas.openxmlformats.org/officeDocument/2006/relationships/image" Target="media/image2829.wmf"/><Relationship Id="rId3188" Type="http://schemas.openxmlformats.org/officeDocument/2006/relationships/oleObject" Target="embeddings/oleObject1582.bin"/><Relationship Id="rId4239" Type="http://schemas.openxmlformats.org/officeDocument/2006/relationships/image" Target="media/image2130.wmf"/><Relationship Id="rId8110" Type="http://schemas.openxmlformats.org/officeDocument/2006/relationships/image" Target="media/image4064.wmf"/><Relationship Id="rId10040" Type="http://schemas.openxmlformats.org/officeDocument/2006/relationships/oleObject" Target="embeddings/oleObject4989.bin"/><Relationship Id="rId4720" Type="http://schemas.openxmlformats.org/officeDocument/2006/relationships/image" Target="media/image2370.wmf"/><Relationship Id="rId13263" Type="http://schemas.openxmlformats.org/officeDocument/2006/relationships/image" Target="media/image6646.wmf"/><Relationship Id="rId14314" Type="http://schemas.openxmlformats.org/officeDocument/2006/relationships/oleObject" Target="embeddings/oleObject7103.bin"/><Relationship Id="rId590" Type="http://schemas.openxmlformats.org/officeDocument/2006/relationships/image" Target="media/image296.wmf"/><Relationship Id="rId2271" Type="http://schemas.openxmlformats.org/officeDocument/2006/relationships/image" Target="media/image1142.wmf"/><Relationship Id="rId3322" Type="http://schemas.openxmlformats.org/officeDocument/2006/relationships/image" Target="media/image1670.wmf"/><Relationship Id="rId243" Type="http://schemas.openxmlformats.org/officeDocument/2006/relationships/oleObject" Target="embeddings/oleObject116.bin"/><Relationship Id="rId5494" Type="http://schemas.openxmlformats.org/officeDocument/2006/relationships/oleObject" Target="embeddings/oleObject2736.bin"/><Relationship Id="rId6892" Type="http://schemas.openxmlformats.org/officeDocument/2006/relationships/oleObject" Target="embeddings/oleObject3431.bin"/><Relationship Id="rId7943" Type="http://schemas.openxmlformats.org/officeDocument/2006/relationships/oleObject" Target="embeddings/oleObject3956.bin"/><Relationship Id="rId10924" Type="http://schemas.openxmlformats.org/officeDocument/2006/relationships/image" Target="media/image5471.wmf"/><Relationship Id="rId4096" Type="http://schemas.openxmlformats.org/officeDocument/2006/relationships/oleObject" Target="embeddings/oleObject2039.bin"/><Relationship Id="rId5147" Type="http://schemas.openxmlformats.org/officeDocument/2006/relationships/oleObject" Target="embeddings/oleObject2563.bin"/><Relationship Id="rId6545" Type="http://schemas.openxmlformats.org/officeDocument/2006/relationships/image" Target="media/image3282.png"/><Relationship Id="rId9768" Type="http://schemas.openxmlformats.org/officeDocument/2006/relationships/image" Target="media/image4893.wmf"/><Relationship Id="rId11698" Type="http://schemas.openxmlformats.org/officeDocument/2006/relationships/image" Target="media/image5862.wmf"/><Relationship Id="rId12749" Type="http://schemas.openxmlformats.org/officeDocument/2006/relationships/image" Target="media/image6389.wmf"/><Relationship Id="rId1757" Type="http://schemas.openxmlformats.org/officeDocument/2006/relationships/oleObject" Target="embeddings/oleObject866.bin"/><Relationship Id="rId2808" Type="http://schemas.openxmlformats.org/officeDocument/2006/relationships/image" Target="media/image1414.wmf"/><Relationship Id="rId14171" Type="http://schemas.openxmlformats.org/officeDocument/2006/relationships/image" Target="media/image7100.wmf"/><Relationship Id="rId4230" Type="http://schemas.openxmlformats.org/officeDocument/2006/relationships/oleObject" Target="embeddings/oleObject2106.bin"/><Relationship Id="rId8851" Type="http://schemas.openxmlformats.org/officeDocument/2006/relationships/image" Target="media/image4435.png"/><Relationship Id="rId7453" Type="http://schemas.openxmlformats.org/officeDocument/2006/relationships/oleObject" Target="embeddings/oleObject3711.bin"/><Relationship Id="rId8504" Type="http://schemas.openxmlformats.org/officeDocument/2006/relationships/image" Target="media/image4261.wmf"/><Relationship Id="rId9902" Type="http://schemas.openxmlformats.org/officeDocument/2006/relationships/oleObject" Target="embeddings/oleObject4923.bin"/><Relationship Id="rId10781" Type="http://schemas.openxmlformats.org/officeDocument/2006/relationships/oleObject" Target="embeddings/oleObject5353.bin"/><Relationship Id="rId11832" Type="http://schemas.openxmlformats.org/officeDocument/2006/relationships/image" Target="media/image5929.wmf"/><Relationship Id="rId6055" Type="http://schemas.openxmlformats.org/officeDocument/2006/relationships/image" Target="media/image3038.wmf"/><Relationship Id="rId7106" Type="http://schemas.openxmlformats.org/officeDocument/2006/relationships/oleObject" Target="embeddings/oleObject3538.bin"/><Relationship Id="rId10434" Type="http://schemas.openxmlformats.org/officeDocument/2006/relationships/image" Target="media/image5226.wmf"/><Relationship Id="rId9278" Type="http://schemas.openxmlformats.org/officeDocument/2006/relationships/image" Target="media/image4648.wmf"/><Relationship Id="rId13657" Type="http://schemas.openxmlformats.org/officeDocument/2006/relationships/oleObject" Target="embeddings/oleObject6774.bin"/><Relationship Id="rId984" Type="http://schemas.openxmlformats.org/officeDocument/2006/relationships/oleObject" Target="embeddings/oleObject483.bin"/><Relationship Id="rId2665" Type="http://schemas.openxmlformats.org/officeDocument/2006/relationships/oleObject" Target="embeddings/oleObject1320.bin"/><Relationship Id="rId3716" Type="http://schemas.openxmlformats.org/officeDocument/2006/relationships/image" Target="media/image1869.wmf"/><Relationship Id="rId12259" Type="http://schemas.openxmlformats.org/officeDocument/2006/relationships/oleObject" Target="embeddings/oleObject6081.bin"/><Relationship Id="rId637" Type="http://schemas.openxmlformats.org/officeDocument/2006/relationships/oleObject" Target="embeddings/oleObject308.bin"/><Relationship Id="rId1267" Type="http://schemas.openxmlformats.org/officeDocument/2006/relationships/oleObject" Target="embeddings/oleObject623.bin"/><Relationship Id="rId2318" Type="http://schemas.openxmlformats.org/officeDocument/2006/relationships/oleObject" Target="embeddings/oleObject1148.bin"/><Relationship Id="rId5888" Type="http://schemas.openxmlformats.org/officeDocument/2006/relationships/oleObject" Target="embeddings/oleObject2933.bin"/><Relationship Id="rId6939" Type="http://schemas.openxmlformats.org/officeDocument/2006/relationships/image" Target="media/image3479.wmf"/><Relationship Id="rId8361" Type="http://schemas.openxmlformats.org/officeDocument/2006/relationships/oleObject" Target="embeddings/oleObject4165.bin"/><Relationship Id="rId9412" Type="http://schemas.openxmlformats.org/officeDocument/2006/relationships/image" Target="media/image4715.wmf"/><Relationship Id="rId10291" Type="http://schemas.openxmlformats.org/officeDocument/2006/relationships/image" Target="media/image5154.wmf"/><Relationship Id="rId11342" Type="http://schemas.openxmlformats.org/officeDocument/2006/relationships/oleObject" Target="embeddings/oleObject5624.bin"/><Relationship Id="rId12740" Type="http://schemas.openxmlformats.org/officeDocument/2006/relationships/oleObject" Target="embeddings/oleObject6319.bin"/><Relationship Id="rId1401" Type="http://schemas.openxmlformats.org/officeDocument/2006/relationships/oleObject" Target="embeddings/oleObject689.bin"/><Relationship Id="rId8014" Type="http://schemas.openxmlformats.org/officeDocument/2006/relationships/image" Target="media/image4016.wmf"/><Relationship Id="rId3573" Type="http://schemas.openxmlformats.org/officeDocument/2006/relationships/oleObject" Target="embeddings/oleObject1777.bin"/><Relationship Id="rId4971" Type="http://schemas.openxmlformats.org/officeDocument/2006/relationships/oleObject" Target="embeddings/oleObject2475.bin"/><Relationship Id="rId13167" Type="http://schemas.openxmlformats.org/officeDocument/2006/relationships/image" Target="media/image6598.wmf"/><Relationship Id="rId14565" Type="http://schemas.openxmlformats.org/officeDocument/2006/relationships/image" Target="media/image7297.wmf"/><Relationship Id="rId494" Type="http://schemas.openxmlformats.org/officeDocument/2006/relationships/oleObject" Target="embeddings/oleObject238.bin"/><Relationship Id="rId2175" Type="http://schemas.openxmlformats.org/officeDocument/2006/relationships/oleObject" Target="embeddings/oleObject1075.bin"/><Relationship Id="rId3226" Type="http://schemas.openxmlformats.org/officeDocument/2006/relationships/oleObject" Target="embeddings/oleObject1601.bin"/><Relationship Id="rId4624" Type="http://schemas.openxmlformats.org/officeDocument/2006/relationships/image" Target="media/image2322.wmf"/><Relationship Id="rId14218" Type="http://schemas.openxmlformats.org/officeDocument/2006/relationships/oleObject" Target="embeddings/oleObject7055.bin"/><Relationship Id="rId147" Type="http://schemas.openxmlformats.org/officeDocument/2006/relationships/oleObject" Target="embeddings/oleObject68.bin"/><Relationship Id="rId6796" Type="http://schemas.openxmlformats.org/officeDocument/2006/relationships/oleObject" Target="embeddings/oleObject3385.bin"/><Relationship Id="rId7847" Type="http://schemas.openxmlformats.org/officeDocument/2006/relationships/oleObject" Target="embeddings/oleObject3908.bin"/><Relationship Id="rId10828" Type="http://schemas.openxmlformats.org/officeDocument/2006/relationships/image" Target="media/image5423.wmf"/><Relationship Id="rId5398" Type="http://schemas.openxmlformats.org/officeDocument/2006/relationships/oleObject" Target="embeddings/oleObject2688.bin"/><Relationship Id="rId6449" Type="http://schemas.openxmlformats.org/officeDocument/2006/relationships/image" Target="media/image3234.wmf"/><Relationship Id="rId12250" Type="http://schemas.openxmlformats.org/officeDocument/2006/relationships/image" Target="media/image6138.wmf"/><Relationship Id="rId13301" Type="http://schemas.openxmlformats.org/officeDocument/2006/relationships/image" Target="media/image6665.wmf"/><Relationship Id="rId6930" Type="http://schemas.openxmlformats.org/officeDocument/2006/relationships/oleObject" Target="embeddings/oleObject3450.bin"/><Relationship Id="rId4481" Type="http://schemas.openxmlformats.org/officeDocument/2006/relationships/oleObject" Target="embeddings/oleObject2232.bin"/><Relationship Id="rId5532" Type="http://schemas.openxmlformats.org/officeDocument/2006/relationships/oleObject" Target="embeddings/oleObject2755.bin"/><Relationship Id="rId14075" Type="http://schemas.openxmlformats.org/officeDocument/2006/relationships/image" Target="media/image7052.wmf"/><Relationship Id="rId3083" Type="http://schemas.openxmlformats.org/officeDocument/2006/relationships/image" Target="media/image1551.wmf"/><Relationship Id="rId4134" Type="http://schemas.openxmlformats.org/officeDocument/2006/relationships/oleObject" Target="embeddings/oleObject2058.bin"/><Relationship Id="rId7357" Type="http://schemas.openxmlformats.org/officeDocument/2006/relationships/oleObject" Target="embeddings/oleObject3663.bin"/><Relationship Id="rId8408" Type="http://schemas.openxmlformats.org/officeDocument/2006/relationships/image" Target="media/image4213.wmf"/><Relationship Id="rId8755" Type="http://schemas.openxmlformats.org/officeDocument/2006/relationships/image" Target="media/image4387.wmf"/><Relationship Id="rId9806" Type="http://schemas.openxmlformats.org/officeDocument/2006/relationships/image" Target="media/image4912.wmf"/><Relationship Id="rId10685" Type="http://schemas.openxmlformats.org/officeDocument/2006/relationships/oleObject" Target="embeddings/oleObject5307.bin"/><Relationship Id="rId11736" Type="http://schemas.openxmlformats.org/officeDocument/2006/relationships/image" Target="media/image5881.wmf"/><Relationship Id="rId10338" Type="http://schemas.openxmlformats.org/officeDocument/2006/relationships/oleObject" Target="embeddings/oleObject5136.bin"/><Relationship Id="rId3967" Type="http://schemas.openxmlformats.org/officeDocument/2006/relationships/image" Target="media/image1994.wmf"/><Relationship Id="rId4" Type="http://schemas.openxmlformats.org/officeDocument/2006/relationships/settings" Target="settings.xml"/><Relationship Id="rId888" Type="http://schemas.openxmlformats.org/officeDocument/2006/relationships/image" Target="media/image449.wmf"/><Relationship Id="rId2569" Type="http://schemas.openxmlformats.org/officeDocument/2006/relationships/oleObject" Target="embeddings/oleObject1272.bin"/><Relationship Id="rId6440" Type="http://schemas.openxmlformats.org/officeDocument/2006/relationships/oleObject" Target="embeddings/oleObject3210.bin"/><Relationship Id="rId5042" Type="http://schemas.openxmlformats.org/officeDocument/2006/relationships/image" Target="media/image2531.wmf"/><Relationship Id="rId9663" Type="http://schemas.openxmlformats.org/officeDocument/2006/relationships/oleObject" Target="embeddings/oleObject4810.bin"/><Relationship Id="rId12991" Type="http://schemas.openxmlformats.org/officeDocument/2006/relationships/image" Target="media/image6510.wmf"/><Relationship Id="rId1652" Type="http://schemas.openxmlformats.org/officeDocument/2006/relationships/image" Target="media/image832.wmf"/><Relationship Id="rId8265" Type="http://schemas.openxmlformats.org/officeDocument/2006/relationships/oleObject" Target="embeddings/oleObject4117.bin"/><Relationship Id="rId9316" Type="http://schemas.openxmlformats.org/officeDocument/2006/relationships/image" Target="media/image4667.wmf"/><Relationship Id="rId10195" Type="http://schemas.openxmlformats.org/officeDocument/2006/relationships/image" Target="media/image5106.wmf"/><Relationship Id="rId11246" Type="http://schemas.openxmlformats.org/officeDocument/2006/relationships/oleObject" Target="embeddings/oleObject5576.bin"/><Relationship Id="rId11593" Type="http://schemas.openxmlformats.org/officeDocument/2006/relationships/image" Target="media/image5808.wmf"/><Relationship Id="rId12644" Type="http://schemas.openxmlformats.org/officeDocument/2006/relationships/oleObject" Target="embeddings/oleObject6271.bin"/><Relationship Id="rId1305" Type="http://schemas.openxmlformats.org/officeDocument/2006/relationships/oleObject" Target="embeddings/oleObject642.bin"/><Relationship Id="rId2703" Type="http://schemas.openxmlformats.org/officeDocument/2006/relationships/oleObject" Target="embeddings/oleObject1339.bin"/><Relationship Id="rId4875" Type="http://schemas.openxmlformats.org/officeDocument/2006/relationships/oleObject" Target="embeddings/oleObject2428.bin"/><Relationship Id="rId5926" Type="http://schemas.openxmlformats.org/officeDocument/2006/relationships/oleObject" Target="embeddings/oleObject2952.bin"/><Relationship Id="rId14469" Type="http://schemas.openxmlformats.org/officeDocument/2006/relationships/image" Target="media/image7249.wmf"/><Relationship Id="rId11" Type="http://schemas.openxmlformats.org/officeDocument/2006/relationships/image" Target="media/image3.wmf"/><Relationship Id="rId398" Type="http://schemas.openxmlformats.org/officeDocument/2006/relationships/oleObject" Target="embeddings/oleObject193.bin"/><Relationship Id="rId2079" Type="http://schemas.openxmlformats.org/officeDocument/2006/relationships/oleObject" Target="embeddings/oleObject1027.bin"/><Relationship Id="rId3477" Type="http://schemas.openxmlformats.org/officeDocument/2006/relationships/oleObject" Target="embeddings/oleObject1729.bin"/><Relationship Id="rId4528" Type="http://schemas.openxmlformats.org/officeDocument/2006/relationships/image" Target="media/image2274.wmf"/><Relationship Id="rId7001" Type="http://schemas.openxmlformats.org/officeDocument/2006/relationships/image" Target="media/image3510.wmf"/><Relationship Id="rId13552" Type="http://schemas.openxmlformats.org/officeDocument/2006/relationships/image" Target="media/image6791.wmf"/><Relationship Id="rId2560" Type="http://schemas.openxmlformats.org/officeDocument/2006/relationships/image" Target="media/image1290.wmf"/><Relationship Id="rId3611" Type="http://schemas.openxmlformats.org/officeDocument/2006/relationships/oleObject" Target="embeddings/oleObject1796.bin"/><Relationship Id="rId9173" Type="http://schemas.openxmlformats.org/officeDocument/2006/relationships/oleObject" Target="embeddings/oleObject4567.bin"/><Relationship Id="rId12154" Type="http://schemas.openxmlformats.org/officeDocument/2006/relationships/image" Target="media/image6090.wmf"/><Relationship Id="rId13205" Type="http://schemas.openxmlformats.org/officeDocument/2006/relationships/image" Target="media/image6617.wmf"/><Relationship Id="rId532" Type="http://schemas.openxmlformats.org/officeDocument/2006/relationships/oleObject" Target="embeddings/oleObject257.bin"/><Relationship Id="rId1162" Type="http://schemas.openxmlformats.org/officeDocument/2006/relationships/oleObject" Target="embeddings/oleObject571.bin"/><Relationship Id="rId2213" Type="http://schemas.openxmlformats.org/officeDocument/2006/relationships/oleObject" Target="embeddings/oleObject1094.bin"/><Relationship Id="rId5783" Type="http://schemas.openxmlformats.org/officeDocument/2006/relationships/image" Target="media/image2902.wmf"/><Relationship Id="rId4385" Type="http://schemas.openxmlformats.org/officeDocument/2006/relationships/oleObject" Target="embeddings/oleObject2184.bin"/><Relationship Id="rId5436" Type="http://schemas.openxmlformats.org/officeDocument/2006/relationships/oleObject" Target="embeddings/oleObject2707.bin"/><Relationship Id="rId6834" Type="http://schemas.openxmlformats.org/officeDocument/2006/relationships/oleObject" Target="embeddings/oleObject3402.bin"/><Relationship Id="rId4038" Type="http://schemas.openxmlformats.org/officeDocument/2006/relationships/oleObject" Target="embeddings/oleObject2010.bin"/><Relationship Id="rId11987" Type="http://schemas.openxmlformats.org/officeDocument/2006/relationships/oleObject" Target="embeddings/oleObject5945.bin"/><Relationship Id="rId8659" Type="http://schemas.openxmlformats.org/officeDocument/2006/relationships/image" Target="media/image4339.wmf"/><Relationship Id="rId10589" Type="http://schemas.openxmlformats.org/officeDocument/2006/relationships/oleObject" Target="embeddings/oleObject5259.bin"/><Relationship Id="rId14460" Type="http://schemas.openxmlformats.org/officeDocument/2006/relationships/oleObject" Target="embeddings/oleObject7170.bin"/><Relationship Id="rId13062" Type="http://schemas.openxmlformats.org/officeDocument/2006/relationships/oleObject" Target="embeddings/oleObject6478.bin"/><Relationship Id="rId14113" Type="http://schemas.openxmlformats.org/officeDocument/2006/relationships/image" Target="media/image7071.wmf"/><Relationship Id="rId2070" Type="http://schemas.openxmlformats.org/officeDocument/2006/relationships/image" Target="media/image1041.wmf"/><Relationship Id="rId3121" Type="http://schemas.openxmlformats.org/officeDocument/2006/relationships/image" Target="media/image1570.wmf"/><Relationship Id="rId6691" Type="http://schemas.openxmlformats.org/officeDocument/2006/relationships/image" Target="media/image3355.wmf"/><Relationship Id="rId7742" Type="http://schemas.openxmlformats.org/officeDocument/2006/relationships/image" Target="media/image3880.wmf"/><Relationship Id="rId5293" Type="http://schemas.openxmlformats.org/officeDocument/2006/relationships/image" Target="media/image2657.wmf"/><Relationship Id="rId6344" Type="http://schemas.openxmlformats.org/officeDocument/2006/relationships/oleObject" Target="embeddings/oleObject3162.bin"/><Relationship Id="rId10723" Type="http://schemas.openxmlformats.org/officeDocument/2006/relationships/oleObject" Target="embeddings/oleObject5324.bin"/><Relationship Id="rId9567" Type="http://schemas.openxmlformats.org/officeDocument/2006/relationships/oleObject" Target="embeddings/oleObject4762.bin"/><Relationship Id="rId12895" Type="http://schemas.openxmlformats.org/officeDocument/2006/relationships/image" Target="media/image6462.wmf"/><Relationship Id="rId13946" Type="http://schemas.openxmlformats.org/officeDocument/2006/relationships/oleObject" Target="embeddings/oleObject6919.bin"/><Relationship Id="rId2954" Type="http://schemas.openxmlformats.org/officeDocument/2006/relationships/oleObject" Target="embeddings/oleObject1465.bin"/><Relationship Id="rId8169" Type="http://schemas.openxmlformats.org/officeDocument/2006/relationships/oleObject" Target="embeddings/oleObject4069.bin"/><Relationship Id="rId11497" Type="http://schemas.openxmlformats.org/officeDocument/2006/relationships/image" Target="media/image5760.wmf"/><Relationship Id="rId12548" Type="http://schemas.openxmlformats.org/officeDocument/2006/relationships/oleObject" Target="embeddings/oleObject6223.bin"/><Relationship Id="rId926" Type="http://schemas.openxmlformats.org/officeDocument/2006/relationships/oleObject" Target="embeddings/oleObject454.bin"/><Relationship Id="rId1556" Type="http://schemas.openxmlformats.org/officeDocument/2006/relationships/image" Target="media/image783.wmf"/><Relationship Id="rId2607" Type="http://schemas.openxmlformats.org/officeDocument/2006/relationships/oleObject" Target="embeddings/oleObject1291.bin"/><Relationship Id="rId10099" Type="http://schemas.openxmlformats.org/officeDocument/2006/relationships/image" Target="media/image5058.wmf"/><Relationship Id="rId1209" Type="http://schemas.openxmlformats.org/officeDocument/2006/relationships/oleObject" Target="embeddings/oleObject595.bin"/><Relationship Id="rId4779" Type="http://schemas.openxmlformats.org/officeDocument/2006/relationships/oleObject" Target="embeddings/oleObject2381.bin"/><Relationship Id="rId8650" Type="http://schemas.openxmlformats.org/officeDocument/2006/relationships/image" Target="media/image4334.png"/><Relationship Id="rId9701" Type="http://schemas.openxmlformats.org/officeDocument/2006/relationships/oleObject" Target="embeddings/oleObject4822.bin"/><Relationship Id="rId10580" Type="http://schemas.openxmlformats.org/officeDocument/2006/relationships/image" Target="media/image5299.wmf"/><Relationship Id="rId11631" Type="http://schemas.openxmlformats.org/officeDocument/2006/relationships/image" Target="media/image5827.wmf"/><Relationship Id="rId7252" Type="http://schemas.openxmlformats.org/officeDocument/2006/relationships/image" Target="media/image3635.wmf"/><Relationship Id="rId8303" Type="http://schemas.openxmlformats.org/officeDocument/2006/relationships/oleObject" Target="embeddings/oleObject4136.bin"/><Relationship Id="rId10233" Type="http://schemas.openxmlformats.org/officeDocument/2006/relationships/image" Target="media/image5125.wmf"/><Relationship Id="rId3862" Type="http://schemas.openxmlformats.org/officeDocument/2006/relationships/image" Target="media/image1942.wmf"/><Relationship Id="rId13456" Type="http://schemas.openxmlformats.org/officeDocument/2006/relationships/image" Target="media/image6743.wmf"/><Relationship Id="rId783" Type="http://schemas.openxmlformats.org/officeDocument/2006/relationships/oleObject" Target="embeddings/oleObject383.bin"/><Relationship Id="rId2464" Type="http://schemas.openxmlformats.org/officeDocument/2006/relationships/image" Target="media/image1242.wmf"/><Relationship Id="rId3515" Type="http://schemas.openxmlformats.org/officeDocument/2006/relationships/oleObject" Target="embeddings/oleObject1748.bin"/><Relationship Id="rId4913" Type="http://schemas.openxmlformats.org/officeDocument/2006/relationships/oleObject" Target="embeddings/oleObject2447.bin"/><Relationship Id="rId9077" Type="http://schemas.openxmlformats.org/officeDocument/2006/relationships/image" Target="media/image4548.wmf"/><Relationship Id="rId12058" Type="http://schemas.openxmlformats.org/officeDocument/2006/relationships/image" Target="media/image6042.wmf"/><Relationship Id="rId13109" Type="http://schemas.openxmlformats.org/officeDocument/2006/relationships/image" Target="media/image6569.wmf"/><Relationship Id="rId14507" Type="http://schemas.openxmlformats.org/officeDocument/2006/relationships/image" Target="media/image7268.wmf"/><Relationship Id="rId436" Type="http://schemas.microsoft.com/office/2007/relationships/hdphoto" Target="media/hdphoto1.wdp"/><Relationship Id="rId1066" Type="http://schemas.openxmlformats.org/officeDocument/2006/relationships/oleObject" Target="embeddings/oleObject524.bin"/><Relationship Id="rId2117" Type="http://schemas.openxmlformats.org/officeDocument/2006/relationships/oleObject" Target="embeddings/oleObject1046.bin"/><Relationship Id="rId4289" Type="http://schemas.openxmlformats.org/officeDocument/2006/relationships/image" Target="media/image2155.wmf"/><Relationship Id="rId5687" Type="http://schemas.openxmlformats.org/officeDocument/2006/relationships/image" Target="media/image2854.wmf"/><Relationship Id="rId6738" Type="http://schemas.openxmlformats.org/officeDocument/2006/relationships/oleObject" Target="embeddings/oleObject3356.bin"/><Relationship Id="rId8160" Type="http://schemas.openxmlformats.org/officeDocument/2006/relationships/image" Target="media/image4089.wmf"/><Relationship Id="rId9211" Type="http://schemas.openxmlformats.org/officeDocument/2006/relationships/oleObject" Target="embeddings/oleObject4586.bin"/><Relationship Id="rId10090" Type="http://schemas.openxmlformats.org/officeDocument/2006/relationships/oleObject" Target="embeddings/oleObject5014.bin"/><Relationship Id="rId11141" Type="http://schemas.openxmlformats.org/officeDocument/2006/relationships/image" Target="media/image5582.wmf"/><Relationship Id="rId1200" Type="http://schemas.openxmlformats.org/officeDocument/2006/relationships/image" Target="media/image605.wmf"/><Relationship Id="rId4770" Type="http://schemas.openxmlformats.org/officeDocument/2006/relationships/image" Target="media/image2395.wmf"/><Relationship Id="rId5821" Type="http://schemas.openxmlformats.org/officeDocument/2006/relationships/image" Target="media/image2921.wmf"/><Relationship Id="rId14364" Type="http://schemas.openxmlformats.org/officeDocument/2006/relationships/oleObject" Target="embeddings/oleObject7128.bin"/><Relationship Id="rId3372" Type="http://schemas.openxmlformats.org/officeDocument/2006/relationships/image" Target="media/image1695.wmf"/><Relationship Id="rId4423" Type="http://schemas.openxmlformats.org/officeDocument/2006/relationships/oleObject" Target="embeddings/oleObject2203.bin"/><Relationship Id="rId7993" Type="http://schemas.openxmlformats.org/officeDocument/2006/relationships/oleObject" Target="embeddings/oleObject3981.bin"/><Relationship Id="rId14017" Type="http://schemas.openxmlformats.org/officeDocument/2006/relationships/image" Target="media/image7023.wmf"/><Relationship Id="rId293" Type="http://schemas.openxmlformats.org/officeDocument/2006/relationships/oleObject" Target="embeddings/oleObject141.bin"/><Relationship Id="rId3025" Type="http://schemas.openxmlformats.org/officeDocument/2006/relationships/image" Target="media/image1522.wmf"/><Relationship Id="rId6595" Type="http://schemas.openxmlformats.org/officeDocument/2006/relationships/image" Target="media/image3307.wmf"/><Relationship Id="rId7646" Type="http://schemas.openxmlformats.org/officeDocument/2006/relationships/image" Target="media/image3832.wmf"/><Relationship Id="rId10974" Type="http://schemas.openxmlformats.org/officeDocument/2006/relationships/image" Target="media/image5497.wmf"/><Relationship Id="rId5197" Type="http://schemas.openxmlformats.org/officeDocument/2006/relationships/oleObject" Target="embeddings/oleObject2588.bin"/><Relationship Id="rId6248" Type="http://schemas.openxmlformats.org/officeDocument/2006/relationships/oleObject" Target="embeddings/oleObject3113.bin"/><Relationship Id="rId10627" Type="http://schemas.openxmlformats.org/officeDocument/2006/relationships/oleObject" Target="embeddings/oleObject5278.bin"/><Relationship Id="rId12799" Type="http://schemas.openxmlformats.org/officeDocument/2006/relationships/image" Target="media/image6414.wmf"/><Relationship Id="rId13100" Type="http://schemas.openxmlformats.org/officeDocument/2006/relationships/oleObject" Target="embeddings/oleObject6497.bin"/><Relationship Id="rId2858" Type="http://schemas.openxmlformats.org/officeDocument/2006/relationships/oleObject" Target="embeddings/oleObject1417.bin"/><Relationship Id="rId3909" Type="http://schemas.openxmlformats.org/officeDocument/2006/relationships/oleObject" Target="embeddings/oleObject1945.bin"/><Relationship Id="rId4280" Type="http://schemas.openxmlformats.org/officeDocument/2006/relationships/oleObject" Target="embeddings/oleObject2131.bin"/><Relationship Id="rId5331" Type="http://schemas.openxmlformats.org/officeDocument/2006/relationships/image" Target="media/image2676.wmf"/><Relationship Id="rId9952" Type="http://schemas.openxmlformats.org/officeDocument/2006/relationships/oleObject" Target="embeddings/oleObject4946.bin"/><Relationship Id="rId1941" Type="http://schemas.openxmlformats.org/officeDocument/2006/relationships/oleObject" Target="embeddings/oleObject958.bin"/><Relationship Id="rId8554" Type="http://schemas.openxmlformats.org/officeDocument/2006/relationships/image" Target="media/image4286.wmf"/><Relationship Id="rId9605" Type="http://schemas.openxmlformats.org/officeDocument/2006/relationships/oleObject" Target="embeddings/oleObject4781.bin"/><Relationship Id="rId10484" Type="http://schemas.openxmlformats.org/officeDocument/2006/relationships/image" Target="media/image5251.wmf"/><Relationship Id="rId11535" Type="http://schemas.openxmlformats.org/officeDocument/2006/relationships/image" Target="media/image5779.wmf"/><Relationship Id="rId11882" Type="http://schemas.openxmlformats.org/officeDocument/2006/relationships/image" Target="media/image5954.wmf"/><Relationship Id="rId12933" Type="http://schemas.openxmlformats.org/officeDocument/2006/relationships/image" Target="media/image6481.wmf"/><Relationship Id="rId7156" Type="http://schemas.openxmlformats.org/officeDocument/2006/relationships/image" Target="media/image3587.wmf"/><Relationship Id="rId8207" Type="http://schemas.openxmlformats.org/officeDocument/2006/relationships/oleObject" Target="embeddings/oleObject4088.bin"/><Relationship Id="rId10137" Type="http://schemas.openxmlformats.org/officeDocument/2006/relationships/image" Target="media/image5077.wmf"/><Relationship Id="rId687" Type="http://schemas.openxmlformats.org/officeDocument/2006/relationships/oleObject" Target="embeddings/oleObject332.bin"/><Relationship Id="rId2368" Type="http://schemas.openxmlformats.org/officeDocument/2006/relationships/oleObject" Target="embeddings/oleObject1173.bin"/><Relationship Id="rId3766" Type="http://schemas.openxmlformats.org/officeDocument/2006/relationships/image" Target="media/image1894.wmf"/><Relationship Id="rId4817" Type="http://schemas.openxmlformats.org/officeDocument/2006/relationships/oleObject" Target="embeddings/oleObject2399.bin"/><Relationship Id="rId3419" Type="http://schemas.openxmlformats.org/officeDocument/2006/relationships/oleObject" Target="embeddings/oleObject1699.bin"/><Relationship Id="rId6989" Type="http://schemas.openxmlformats.org/officeDocument/2006/relationships/image" Target="media/image3504.wmf"/><Relationship Id="rId12790" Type="http://schemas.openxmlformats.org/officeDocument/2006/relationships/oleObject" Target="embeddings/oleObject6344.bin"/><Relationship Id="rId13841" Type="http://schemas.openxmlformats.org/officeDocument/2006/relationships/image" Target="media/image6935.wmf"/><Relationship Id="rId3900" Type="http://schemas.openxmlformats.org/officeDocument/2006/relationships/image" Target="media/image1961.wmf"/><Relationship Id="rId9462" Type="http://schemas.openxmlformats.org/officeDocument/2006/relationships/image" Target="media/image4740.wmf"/><Relationship Id="rId11392" Type="http://schemas.openxmlformats.org/officeDocument/2006/relationships/oleObject" Target="embeddings/oleObject5649.bin"/><Relationship Id="rId12443" Type="http://schemas.openxmlformats.org/officeDocument/2006/relationships/image" Target="media/image6236.wmf"/><Relationship Id="rId821" Type="http://schemas.openxmlformats.org/officeDocument/2006/relationships/oleObject" Target="embeddings/oleObject402.bin"/><Relationship Id="rId1451" Type="http://schemas.openxmlformats.org/officeDocument/2006/relationships/oleObject" Target="embeddings/oleObject714.bin"/><Relationship Id="rId2502" Type="http://schemas.openxmlformats.org/officeDocument/2006/relationships/image" Target="media/image1261.wmf"/><Relationship Id="rId8064" Type="http://schemas.openxmlformats.org/officeDocument/2006/relationships/image" Target="media/image4041.wmf"/><Relationship Id="rId9115" Type="http://schemas.openxmlformats.org/officeDocument/2006/relationships/image" Target="media/image4567.wmf"/><Relationship Id="rId11045" Type="http://schemas.openxmlformats.org/officeDocument/2006/relationships/oleObject" Target="embeddings/oleObject5478.bin"/><Relationship Id="rId1104" Type="http://schemas.openxmlformats.org/officeDocument/2006/relationships/oleObject" Target="embeddings/oleObject542.bin"/><Relationship Id="rId4674" Type="http://schemas.openxmlformats.org/officeDocument/2006/relationships/image" Target="media/image2347.wmf"/><Relationship Id="rId5725" Type="http://schemas.openxmlformats.org/officeDocument/2006/relationships/image" Target="media/image2873.wmf"/><Relationship Id="rId14268" Type="http://schemas.openxmlformats.org/officeDocument/2006/relationships/oleObject" Target="embeddings/oleObject7080.bin"/><Relationship Id="rId3276" Type="http://schemas.openxmlformats.org/officeDocument/2006/relationships/image" Target="media/image1647.wmf"/><Relationship Id="rId4327" Type="http://schemas.openxmlformats.org/officeDocument/2006/relationships/image" Target="media/image2174.wmf"/><Relationship Id="rId197" Type="http://schemas.openxmlformats.org/officeDocument/2006/relationships/oleObject" Target="embeddings/oleObject93.bin"/><Relationship Id="rId6499" Type="http://schemas.openxmlformats.org/officeDocument/2006/relationships/image" Target="media/image3259.wmf"/><Relationship Id="rId7897" Type="http://schemas.openxmlformats.org/officeDocument/2006/relationships/oleObject" Target="embeddings/oleObject3933.bin"/><Relationship Id="rId8948" Type="http://schemas.openxmlformats.org/officeDocument/2006/relationships/oleObject" Target="embeddings/oleObject4454.bin"/><Relationship Id="rId10878" Type="http://schemas.openxmlformats.org/officeDocument/2006/relationships/image" Target="media/image5448.wmf"/><Relationship Id="rId11929" Type="http://schemas.openxmlformats.org/officeDocument/2006/relationships/oleObject" Target="embeddings/oleObject5916.bin"/><Relationship Id="rId13351" Type="http://schemas.microsoft.com/office/2007/relationships/hdphoto" Target="media/hdphoto49.wdp"/><Relationship Id="rId14402" Type="http://schemas.openxmlformats.org/officeDocument/2006/relationships/oleObject" Target="embeddings/oleObject7145.bin"/><Relationship Id="rId3410" Type="http://schemas.openxmlformats.org/officeDocument/2006/relationships/image" Target="media/image1715.wmf"/><Relationship Id="rId6980" Type="http://schemas.openxmlformats.org/officeDocument/2006/relationships/oleObject" Target="embeddings/oleObject3475.bin"/><Relationship Id="rId13004" Type="http://schemas.openxmlformats.org/officeDocument/2006/relationships/oleObject" Target="embeddings/oleObject6451.bin"/><Relationship Id="rId331" Type="http://schemas.openxmlformats.org/officeDocument/2006/relationships/oleObject" Target="embeddings/oleObject160.bin"/><Relationship Id="rId2012" Type="http://schemas.openxmlformats.org/officeDocument/2006/relationships/image" Target="media/image1012.wmf"/><Relationship Id="rId5582" Type="http://schemas.openxmlformats.org/officeDocument/2006/relationships/oleObject" Target="embeddings/oleObject2780.bin"/><Relationship Id="rId6633" Type="http://schemas.openxmlformats.org/officeDocument/2006/relationships/image" Target="media/image3326.wmf"/><Relationship Id="rId4184" Type="http://schemas.openxmlformats.org/officeDocument/2006/relationships/oleObject" Target="embeddings/oleObject2083.bin"/><Relationship Id="rId5235" Type="http://schemas.openxmlformats.org/officeDocument/2006/relationships/image" Target="media/image2628.wmf"/><Relationship Id="rId9856" Type="http://schemas.openxmlformats.org/officeDocument/2006/relationships/oleObject" Target="embeddings/oleObject4900.bin"/><Relationship Id="rId8458" Type="http://schemas.openxmlformats.org/officeDocument/2006/relationships/image" Target="media/image4238.wmf"/><Relationship Id="rId9509" Type="http://schemas.openxmlformats.org/officeDocument/2006/relationships/oleObject" Target="embeddings/oleObject4733.bin"/><Relationship Id="rId11786" Type="http://schemas.openxmlformats.org/officeDocument/2006/relationships/image" Target="media/image5906.wmf"/><Relationship Id="rId12837" Type="http://schemas.openxmlformats.org/officeDocument/2006/relationships/image" Target="media/image6433.wmf"/><Relationship Id="rId1845" Type="http://schemas.openxmlformats.org/officeDocument/2006/relationships/oleObject" Target="embeddings/oleObject910.bin"/><Relationship Id="rId10388" Type="http://schemas.openxmlformats.org/officeDocument/2006/relationships/oleObject" Target="embeddings/oleObject5161.bin"/><Relationship Id="rId11439" Type="http://schemas.openxmlformats.org/officeDocument/2006/relationships/image" Target="media/image5731.wmf"/><Relationship Id="rId11920" Type="http://schemas.openxmlformats.org/officeDocument/2006/relationships/image" Target="media/image5973.wmf"/><Relationship Id="rId5092" Type="http://schemas.openxmlformats.org/officeDocument/2006/relationships/image" Target="media/image2556.wmf"/><Relationship Id="rId6490" Type="http://schemas.openxmlformats.org/officeDocument/2006/relationships/oleObject" Target="embeddings/oleObject3235.bin"/><Relationship Id="rId7541" Type="http://schemas.openxmlformats.org/officeDocument/2006/relationships/oleObject" Target="embeddings/oleObject3755.bin"/><Relationship Id="rId10522" Type="http://schemas.openxmlformats.org/officeDocument/2006/relationships/image" Target="media/image5270.wmf"/><Relationship Id="rId6143" Type="http://schemas.openxmlformats.org/officeDocument/2006/relationships/image" Target="media/image3082.wmf"/><Relationship Id="rId12694" Type="http://schemas.openxmlformats.org/officeDocument/2006/relationships/oleObject" Target="embeddings/oleObject6296.bin"/><Relationship Id="rId13745" Type="http://schemas.openxmlformats.org/officeDocument/2006/relationships/image" Target="media/image6887.wmf"/><Relationship Id="rId2753" Type="http://schemas.openxmlformats.org/officeDocument/2006/relationships/oleObject" Target="embeddings/oleObject1364.bin"/><Relationship Id="rId3804" Type="http://schemas.openxmlformats.org/officeDocument/2006/relationships/image" Target="media/image1913.wmf"/><Relationship Id="rId9366" Type="http://schemas.openxmlformats.org/officeDocument/2006/relationships/image" Target="media/image4692.wmf"/><Relationship Id="rId11296" Type="http://schemas.openxmlformats.org/officeDocument/2006/relationships/oleObject" Target="embeddings/oleObject5601.bin"/><Relationship Id="rId12347" Type="http://schemas.openxmlformats.org/officeDocument/2006/relationships/image" Target="media/image6188.wmf"/><Relationship Id="rId725" Type="http://schemas.openxmlformats.org/officeDocument/2006/relationships/oleObject" Target="embeddings/oleObject351.bin"/><Relationship Id="rId1355" Type="http://schemas.openxmlformats.org/officeDocument/2006/relationships/oleObject" Target="embeddings/oleObject667.bin"/><Relationship Id="rId2406" Type="http://schemas.openxmlformats.org/officeDocument/2006/relationships/oleObject" Target="embeddings/oleObject1192.bin"/><Relationship Id="rId9019" Type="http://schemas.openxmlformats.org/officeDocument/2006/relationships/image" Target="media/image4519.wmf"/><Relationship Id="rId1008" Type="http://schemas.openxmlformats.org/officeDocument/2006/relationships/oleObject" Target="embeddings/oleObject495.bin"/><Relationship Id="rId4578" Type="http://schemas.openxmlformats.org/officeDocument/2006/relationships/image" Target="media/image2299.wmf"/><Relationship Id="rId5976" Type="http://schemas.openxmlformats.org/officeDocument/2006/relationships/oleObject" Target="embeddings/oleObject2977.bin"/><Relationship Id="rId61" Type="http://schemas.openxmlformats.org/officeDocument/2006/relationships/image" Target="media/image28.wmf"/><Relationship Id="rId5629" Type="http://schemas.openxmlformats.org/officeDocument/2006/relationships/image" Target="media/image2825.wmf"/><Relationship Id="rId7051" Type="http://schemas.openxmlformats.org/officeDocument/2006/relationships/image" Target="media/image3535.wmf"/><Relationship Id="rId8102" Type="http://schemas.openxmlformats.org/officeDocument/2006/relationships/image" Target="media/image4060.wmf"/><Relationship Id="rId9500" Type="http://schemas.openxmlformats.org/officeDocument/2006/relationships/image" Target="media/image4759.wmf"/><Relationship Id="rId11430" Type="http://schemas.openxmlformats.org/officeDocument/2006/relationships/oleObject" Target="embeddings/oleObject5668.bin"/><Relationship Id="rId10032" Type="http://schemas.openxmlformats.org/officeDocument/2006/relationships/oleObject" Target="embeddings/oleObject4985.bin"/><Relationship Id="rId3661" Type="http://schemas.openxmlformats.org/officeDocument/2006/relationships/oleObject" Target="embeddings/oleObject1821.bin"/><Relationship Id="rId4712" Type="http://schemas.openxmlformats.org/officeDocument/2006/relationships/image" Target="media/image2366.wmf"/><Relationship Id="rId13255" Type="http://schemas.openxmlformats.org/officeDocument/2006/relationships/image" Target="media/image6642.wmf"/><Relationship Id="rId14306" Type="http://schemas.openxmlformats.org/officeDocument/2006/relationships/oleObject" Target="embeddings/oleObject7099.bin"/><Relationship Id="rId582" Type="http://schemas.openxmlformats.org/officeDocument/2006/relationships/image" Target="media/image292.wmf"/><Relationship Id="rId2263" Type="http://schemas.openxmlformats.org/officeDocument/2006/relationships/image" Target="media/image1138.wmf"/><Relationship Id="rId3314" Type="http://schemas.openxmlformats.org/officeDocument/2006/relationships/image" Target="media/image1666.wmf"/><Relationship Id="rId6884" Type="http://schemas.openxmlformats.org/officeDocument/2006/relationships/oleObject" Target="embeddings/oleObject3427.bin"/><Relationship Id="rId7935" Type="http://schemas.openxmlformats.org/officeDocument/2006/relationships/oleObject" Target="embeddings/oleObject3952.bin"/><Relationship Id="rId235" Type="http://schemas.openxmlformats.org/officeDocument/2006/relationships/oleObject" Target="embeddings/oleObject112.bin"/><Relationship Id="rId5486" Type="http://schemas.openxmlformats.org/officeDocument/2006/relationships/oleObject" Target="embeddings/oleObject2732.bin"/><Relationship Id="rId6537" Type="http://schemas.openxmlformats.org/officeDocument/2006/relationships/image" Target="media/image3278.wmf"/><Relationship Id="rId10916" Type="http://schemas.openxmlformats.org/officeDocument/2006/relationships/image" Target="media/image5467.wmf"/><Relationship Id="rId4088" Type="http://schemas.openxmlformats.org/officeDocument/2006/relationships/oleObject" Target="embeddings/oleObject2035.bin"/><Relationship Id="rId5139" Type="http://schemas.openxmlformats.org/officeDocument/2006/relationships/oleObject" Target="embeddings/oleObject2559.bin"/><Relationship Id="rId9010" Type="http://schemas.openxmlformats.org/officeDocument/2006/relationships/oleObject" Target="embeddings/oleObject4485.bin"/><Relationship Id="rId1749" Type="http://schemas.openxmlformats.org/officeDocument/2006/relationships/oleObject" Target="embeddings/oleObject862.bin"/><Relationship Id="rId3171" Type="http://schemas.openxmlformats.org/officeDocument/2006/relationships/image" Target="media/image1595.wmf"/><Relationship Id="rId5620" Type="http://schemas.openxmlformats.org/officeDocument/2006/relationships/oleObject" Target="embeddings/oleObject2799.bin"/><Relationship Id="rId14163" Type="http://schemas.openxmlformats.org/officeDocument/2006/relationships/image" Target="media/image7096.wmf"/><Relationship Id="rId4222" Type="http://schemas.openxmlformats.org/officeDocument/2006/relationships/oleObject" Target="embeddings/oleObject2102.bin"/><Relationship Id="rId7792" Type="http://schemas.openxmlformats.org/officeDocument/2006/relationships/image" Target="media/image3905.wmf"/><Relationship Id="rId8843" Type="http://schemas.openxmlformats.org/officeDocument/2006/relationships/image" Target="media/image4431.wmf"/><Relationship Id="rId10773" Type="http://schemas.openxmlformats.org/officeDocument/2006/relationships/oleObject" Target="embeddings/oleObject5349.bin"/><Relationship Id="rId11824" Type="http://schemas.openxmlformats.org/officeDocument/2006/relationships/image" Target="media/image5925.wmf"/><Relationship Id="rId6394" Type="http://schemas.openxmlformats.org/officeDocument/2006/relationships/oleObject" Target="embeddings/oleObject3187.bin"/><Relationship Id="rId7445" Type="http://schemas.openxmlformats.org/officeDocument/2006/relationships/oleObject" Target="embeddings/oleObject3707.bin"/><Relationship Id="rId10426" Type="http://schemas.openxmlformats.org/officeDocument/2006/relationships/image" Target="media/image5222.wmf"/><Relationship Id="rId6047" Type="http://schemas.openxmlformats.org/officeDocument/2006/relationships/image" Target="media/image3034.wmf"/><Relationship Id="rId13996" Type="http://schemas.openxmlformats.org/officeDocument/2006/relationships/oleObject" Target="embeddings/oleObject6944.bin"/><Relationship Id="rId976" Type="http://schemas.openxmlformats.org/officeDocument/2006/relationships/oleObject" Target="embeddings/oleObject479.bin"/><Relationship Id="rId2657" Type="http://schemas.openxmlformats.org/officeDocument/2006/relationships/oleObject" Target="embeddings/oleObject1316.bin"/><Relationship Id="rId12598" Type="http://schemas.openxmlformats.org/officeDocument/2006/relationships/oleObject" Target="embeddings/oleObject6248.bin"/><Relationship Id="rId13649" Type="http://schemas.openxmlformats.org/officeDocument/2006/relationships/oleObject" Target="embeddings/oleObject6770.bin"/><Relationship Id="rId629" Type="http://schemas.openxmlformats.org/officeDocument/2006/relationships/oleObject" Target="embeddings/oleObject304.bin"/><Relationship Id="rId1259" Type="http://schemas.openxmlformats.org/officeDocument/2006/relationships/oleObject" Target="embeddings/oleObject619.bin"/><Relationship Id="rId3708" Type="http://schemas.openxmlformats.org/officeDocument/2006/relationships/image" Target="media/image1865.wmf"/><Relationship Id="rId5130" Type="http://schemas.openxmlformats.org/officeDocument/2006/relationships/image" Target="media/image2575.wmf"/><Relationship Id="rId9751" Type="http://schemas.openxmlformats.org/officeDocument/2006/relationships/oleObject" Target="embeddings/oleObject4847.bin"/><Relationship Id="rId11681" Type="http://schemas.openxmlformats.org/officeDocument/2006/relationships/oleObject" Target="embeddings/oleObject5792.bin"/><Relationship Id="rId12732" Type="http://schemas.openxmlformats.org/officeDocument/2006/relationships/oleObject" Target="embeddings/oleObject6315.bin"/><Relationship Id="rId1740" Type="http://schemas.openxmlformats.org/officeDocument/2006/relationships/image" Target="media/image876.wmf"/><Relationship Id="rId8353" Type="http://schemas.openxmlformats.org/officeDocument/2006/relationships/oleObject" Target="embeddings/oleObject4161.bin"/><Relationship Id="rId9404" Type="http://schemas.openxmlformats.org/officeDocument/2006/relationships/image" Target="media/image4711.wmf"/><Relationship Id="rId10283" Type="http://schemas.openxmlformats.org/officeDocument/2006/relationships/image" Target="media/image5150.wmf"/><Relationship Id="rId11334" Type="http://schemas.openxmlformats.org/officeDocument/2006/relationships/oleObject" Target="embeddings/oleObject5620.bin"/><Relationship Id="rId4963" Type="http://schemas.openxmlformats.org/officeDocument/2006/relationships/oleObject" Target="embeddings/oleObject2471.bin"/><Relationship Id="rId8006" Type="http://schemas.openxmlformats.org/officeDocument/2006/relationships/image" Target="media/image4012.wmf"/><Relationship Id="rId14557" Type="http://schemas.openxmlformats.org/officeDocument/2006/relationships/image" Target="media/image7293.wmf"/><Relationship Id="rId3565" Type="http://schemas.openxmlformats.org/officeDocument/2006/relationships/oleObject" Target="embeddings/oleObject1773.bin"/><Relationship Id="rId4616" Type="http://schemas.openxmlformats.org/officeDocument/2006/relationships/image" Target="media/image2318.wmf"/><Relationship Id="rId13159" Type="http://schemas.openxmlformats.org/officeDocument/2006/relationships/image" Target="media/image6594.wmf"/><Relationship Id="rId486" Type="http://schemas.openxmlformats.org/officeDocument/2006/relationships/oleObject" Target="embeddings/oleObject234.bin"/><Relationship Id="rId2167" Type="http://schemas.openxmlformats.org/officeDocument/2006/relationships/oleObject" Target="embeddings/oleObject1071.bin"/><Relationship Id="rId3218" Type="http://schemas.openxmlformats.org/officeDocument/2006/relationships/oleObject" Target="embeddings/oleObject1597.bin"/><Relationship Id="rId6788" Type="http://schemas.openxmlformats.org/officeDocument/2006/relationships/oleObject" Target="embeddings/oleObject3381.bin"/><Relationship Id="rId139" Type="http://schemas.openxmlformats.org/officeDocument/2006/relationships/image" Target="media/image67.emf"/><Relationship Id="rId7839" Type="http://schemas.openxmlformats.org/officeDocument/2006/relationships/oleObject" Target="embeddings/oleObject3904.bin"/><Relationship Id="rId9261" Type="http://schemas.openxmlformats.org/officeDocument/2006/relationships/oleObject" Target="embeddings/oleObject4611.bin"/><Relationship Id="rId13640" Type="http://schemas.openxmlformats.org/officeDocument/2006/relationships/image" Target="media/image6835.wmf"/><Relationship Id="rId11191" Type="http://schemas.openxmlformats.org/officeDocument/2006/relationships/image" Target="media/image5607.wmf"/><Relationship Id="rId12242" Type="http://schemas.openxmlformats.org/officeDocument/2006/relationships/image" Target="media/image6134.wmf"/><Relationship Id="rId620" Type="http://schemas.openxmlformats.org/officeDocument/2006/relationships/image" Target="media/image311.wmf"/><Relationship Id="rId1250" Type="http://schemas.openxmlformats.org/officeDocument/2006/relationships/image" Target="media/image630.wmf"/><Relationship Id="rId2301" Type="http://schemas.openxmlformats.org/officeDocument/2006/relationships/image" Target="media/image1157.wmf"/><Relationship Id="rId5871" Type="http://schemas.openxmlformats.org/officeDocument/2006/relationships/image" Target="media/image2946.wmf"/><Relationship Id="rId6922" Type="http://schemas.openxmlformats.org/officeDocument/2006/relationships/oleObject" Target="embeddings/oleObject3446.bin"/><Relationship Id="rId4473" Type="http://schemas.openxmlformats.org/officeDocument/2006/relationships/oleObject" Target="embeddings/oleObject2228.bin"/><Relationship Id="rId5524" Type="http://schemas.openxmlformats.org/officeDocument/2006/relationships/oleObject" Target="embeddings/oleObject2751.bin"/><Relationship Id="rId14067" Type="http://schemas.openxmlformats.org/officeDocument/2006/relationships/image" Target="media/image7048.wmf"/><Relationship Id="rId3075" Type="http://schemas.openxmlformats.org/officeDocument/2006/relationships/image" Target="media/image1547.wmf"/><Relationship Id="rId4126" Type="http://schemas.openxmlformats.org/officeDocument/2006/relationships/oleObject" Target="embeddings/oleObject2054.bin"/><Relationship Id="rId7696" Type="http://schemas.openxmlformats.org/officeDocument/2006/relationships/image" Target="media/image3857.wmf"/><Relationship Id="rId8747" Type="http://schemas.openxmlformats.org/officeDocument/2006/relationships/image" Target="media/image4383.wmf"/><Relationship Id="rId6298" Type="http://schemas.openxmlformats.org/officeDocument/2006/relationships/oleObject" Target="embeddings/oleObject3138.bin"/><Relationship Id="rId7349" Type="http://schemas.openxmlformats.org/officeDocument/2006/relationships/oleObject" Target="embeddings/oleObject3659.bin"/><Relationship Id="rId10677" Type="http://schemas.openxmlformats.org/officeDocument/2006/relationships/oleObject" Target="embeddings/oleObject5303.bin"/><Relationship Id="rId11728" Type="http://schemas.openxmlformats.org/officeDocument/2006/relationships/image" Target="media/image5877.wmf"/><Relationship Id="rId13150" Type="http://schemas.openxmlformats.org/officeDocument/2006/relationships/oleObject" Target="embeddings/oleObject6522.bin"/><Relationship Id="rId14201" Type="http://schemas.openxmlformats.org/officeDocument/2006/relationships/image" Target="media/image7115.wmf"/><Relationship Id="rId130" Type="http://schemas.openxmlformats.org/officeDocument/2006/relationships/oleObject" Target="embeddings/oleObject61.bin"/><Relationship Id="rId3959" Type="http://schemas.openxmlformats.org/officeDocument/2006/relationships/oleObject" Target="embeddings/oleObject1970.bin"/><Relationship Id="rId5381" Type="http://schemas.openxmlformats.org/officeDocument/2006/relationships/image" Target="media/image2701.wmf"/><Relationship Id="rId7830" Type="http://schemas.openxmlformats.org/officeDocument/2006/relationships/image" Target="media/image3924.wmf"/><Relationship Id="rId10811" Type="http://schemas.openxmlformats.org/officeDocument/2006/relationships/oleObject" Target="embeddings/oleObject5368.bin"/><Relationship Id="rId5034" Type="http://schemas.openxmlformats.org/officeDocument/2006/relationships/image" Target="media/image2527.wmf"/><Relationship Id="rId6432" Type="http://schemas.openxmlformats.org/officeDocument/2006/relationships/oleObject" Target="embeddings/oleObject3206.bin"/><Relationship Id="rId12983" Type="http://schemas.openxmlformats.org/officeDocument/2006/relationships/image" Target="media/image6506.wmf"/><Relationship Id="rId1991" Type="http://schemas.openxmlformats.org/officeDocument/2006/relationships/oleObject" Target="embeddings/oleObject983.bin"/><Relationship Id="rId9655" Type="http://schemas.openxmlformats.org/officeDocument/2006/relationships/oleObject" Target="embeddings/oleObject4806.bin"/><Relationship Id="rId11585" Type="http://schemas.openxmlformats.org/officeDocument/2006/relationships/image" Target="media/image5804.wmf"/><Relationship Id="rId12636" Type="http://schemas.openxmlformats.org/officeDocument/2006/relationships/oleObject" Target="embeddings/oleObject6267.bin"/><Relationship Id="rId1644" Type="http://schemas.openxmlformats.org/officeDocument/2006/relationships/image" Target="media/image828.wmf"/><Relationship Id="rId8257" Type="http://schemas.openxmlformats.org/officeDocument/2006/relationships/oleObject" Target="embeddings/oleObject4113.bin"/><Relationship Id="rId9308" Type="http://schemas.openxmlformats.org/officeDocument/2006/relationships/image" Target="media/image4663.wmf"/><Relationship Id="rId10187" Type="http://schemas.openxmlformats.org/officeDocument/2006/relationships/image" Target="media/image5102.png"/><Relationship Id="rId11238" Type="http://schemas.openxmlformats.org/officeDocument/2006/relationships/oleObject" Target="embeddings/oleObject5572.bin"/><Relationship Id="rId4867" Type="http://schemas.openxmlformats.org/officeDocument/2006/relationships/oleObject" Target="embeddings/oleObject2424.bin"/><Relationship Id="rId3469" Type="http://schemas.openxmlformats.org/officeDocument/2006/relationships/oleObject" Target="embeddings/oleObject1725.bin"/><Relationship Id="rId5918" Type="http://schemas.openxmlformats.org/officeDocument/2006/relationships/oleObject" Target="embeddings/oleObject2948.bin"/><Relationship Id="rId7340" Type="http://schemas.openxmlformats.org/officeDocument/2006/relationships/image" Target="media/image3679.wmf"/><Relationship Id="rId10321" Type="http://schemas.openxmlformats.org/officeDocument/2006/relationships/image" Target="media/image5169.wmf"/><Relationship Id="rId13891" Type="http://schemas.openxmlformats.org/officeDocument/2006/relationships/image" Target="media/image6960.wmf"/><Relationship Id="rId3950" Type="http://schemas.openxmlformats.org/officeDocument/2006/relationships/image" Target="media/image1986.wmf"/><Relationship Id="rId9165" Type="http://schemas.openxmlformats.org/officeDocument/2006/relationships/oleObject" Target="embeddings/oleObject4563.bin"/><Relationship Id="rId12493" Type="http://schemas.openxmlformats.org/officeDocument/2006/relationships/image" Target="media/image6261.wmf"/><Relationship Id="rId13544" Type="http://schemas.openxmlformats.org/officeDocument/2006/relationships/image" Target="media/image6787.wmf"/><Relationship Id="rId871" Type="http://schemas.openxmlformats.org/officeDocument/2006/relationships/oleObject" Target="embeddings/oleObject427.bin"/><Relationship Id="rId2552" Type="http://schemas.openxmlformats.org/officeDocument/2006/relationships/image" Target="media/image1286.wmf"/><Relationship Id="rId3603" Type="http://schemas.openxmlformats.org/officeDocument/2006/relationships/oleObject" Target="embeddings/oleObject1792.bin"/><Relationship Id="rId11095" Type="http://schemas.openxmlformats.org/officeDocument/2006/relationships/image" Target="media/image5559.wmf"/><Relationship Id="rId12146" Type="http://schemas.openxmlformats.org/officeDocument/2006/relationships/image" Target="media/image6086.wmf"/><Relationship Id="rId524" Type="http://schemas.openxmlformats.org/officeDocument/2006/relationships/oleObject" Target="embeddings/oleObject253.bin"/><Relationship Id="rId1154" Type="http://schemas.openxmlformats.org/officeDocument/2006/relationships/oleObject" Target="embeddings/oleObject567.bin"/><Relationship Id="rId2205" Type="http://schemas.openxmlformats.org/officeDocument/2006/relationships/oleObject" Target="embeddings/oleObject1090.bin"/><Relationship Id="rId5775" Type="http://schemas.openxmlformats.org/officeDocument/2006/relationships/image" Target="media/image2898.wmf"/><Relationship Id="rId6826" Type="http://schemas.openxmlformats.org/officeDocument/2006/relationships/oleObject" Target="embeddings/oleObject3398.bin"/><Relationship Id="rId4377" Type="http://schemas.openxmlformats.org/officeDocument/2006/relationships/oleObject" Target="embeddings/oleObject2180.bin"/><Relationship Id="rId5428" Type="http://schemas.openxmlformats.org/officeDocument/2006/relationships/oleObject" Target="embeddings/oleObject2703.bin"/><Relationship Id="rId8998" Type="http://schemas.openxmlformats.org/officeDocument/2006/relationships/oleObject" Target="embeddings/oleObject4479.bin"/><Relationship Id="rId11979" Type="http://schemas.openxmlformats.org/officeDocument/2006/relationships/oleObject" Target="embeddings/oleObject5941.bin"/><Relationship Id="rId3460" Type="http://schemas.openxmlformats.org/officeDocument/2006/relationships/image" Target="media/image1741.wmf"/><Relationship Id="rId14452" Type="http://schemas.openxmlformats.org/officeDocument/2006/relationships/oleObject" Target="embeddings/oleObject7166.bin"/><Relationship Id="rId381" Type="http://schemas.openxmlformats.org/officeDocument/2006/relationships/image" Target="media/image190.wmf"/><Relationship Id="rId2062" Type="http://schemas.openxmlformats.org/officeDocument/2006/relationships/image" Target="media/image1037.wmf"/><Relationship Id="rId3113" Type="http://schemas.openxmlformats.org/officeDocument/2006/relationships/image" Target="media/image1566.wmf"/><Relationship Id="rId4511" Type="http://schemas.openxmlformats.org/officeDocument/2006/relationships/oleObject" Target="embeddings/oleObject2247.bin"/><Relationship Id="rId13054" Type="http://schemas.openxmlformats.org/officeDocument/2006/relationships/oleObject" Target="embeddings/oleObject6474.bin"/><Relationship Id="rId14105" Type="http://schemas.openxmlformats.org/officeDocument/2006/relationships/image" Target="media/image7067.wmf"/><Relationship Id="rId6683" Type="http://schemas.openxmlformats.org/officeDocument/2006/relationships/image" Target="media/image3351.wmf"/><Relationship Id="rId7734" Type="http://schemas.openxmlformats.org/officeDocument/2006/relationships/image" Target="media/image3876.wmf"/><Relationship Id="rId10715" Type="http://schemas.openxmlformats.org/officeDocument/2006/relationships/oleObject" Target="embeddings/oleObject5320.bin"/><Relationship Id="rId5285" Type="http://schemas.openxmlformats.org/officeDocument/2006/relationships/image" Target="media/image2653.wmf"/><Relationship Id="rId6336" Type="http://schemas.openxmlformats.org/officeDocument/2006/relationships/oleObject" Target="embeddings/oleObject3158.bin"/><Relationship Id="rId1895" Type="http://schemas.openxmlformats.org/officeDocument/2006/relationships/oleObject" Target="embeddings/oleObject935.bin"/><Relationship Id="rId2946" Type="http://schemas.openxmlformats.org/officeDocument/2006/relationships/oleObject" Target="embeddings/oleObject1461.bin"/><Relationship Id="rId9559" Type="http://schemas.openxmlformats.org/officeDocument/2006/relationships/oleObject" Target="embeddings/oleObject4758.bin"/><Relationship Id="rId11489" Type="http://schemas.openxmlformats.org/officeDocument/2006/relationships/image" Target="media/image5756.wmf"/><Relationship Id="rId12887" Type="http://schemas.openxmlformats.org/officeDocument/2006/relationships/image" Target="media/image6458.wmf"/><Relationship Id="rId13938" Type="http://schemas.openxmlformats.org/officeDocument/2006/relationships/oleObject" Target="embeddings/oleObject6915.bin"/><Relationship Id="rId918" Type="http://schemas.openxmlformats.org/officeDocument/2006/relationships/oleObject" Target="embeddings/oleObject450.bin"/><Relationship Id="rId1548" Type="http://schemas.openxmlformats.org/officeDocument/2006/relationships/image" Target="media/image779.wmf"/><Relationship Id="rId4021" Type="http://schemas.openxmlformats.org/officeDocument/2006/relationships/image" Target="media/image2021.wmf"/><Relationship Id="rId7591" Type="http://schemas.openxmlformats.org/officeDocument/2006/relationships/oleObject" Target="embeddings/oleObject3780.bin"/><Relationship Id="rId11970" Type="http://schemas.openxmlformats.org/officeDocument/2006/relationships/image" Target="media/image5998.wmf"/><Relationship Id="rId6193" Type="http://schemas.openxmlformats.org/officeDocument/2006/relationships/image" Target="media/image3107.wmf"/><Relationship Id="rId7244" Type="http://schemas.openxmlformats.org/officeDocument/2006/relationships/image" Target="media/image3631.wmf"/><Relationship Id="rId8642" Type="http://schemas.openxmlformats.org/officeDocument/2006/relationships/image" Target="media/image4330.wmf"/><Relationship Id="rId10572" Type="http://schemas.openxmlformats.org/officeDocument/2006/relationships/image" Target="media/image5295.wmf"/><Relationship Id="rId11623" Type="http://schemas.openxmlformats.org/officeDocument/2006/relationships/image" Target="media/image5823.wmf"/><Relationship Id="rId10225" Type="http://schemas.openxmlformats.org/officeDocument/2006/relationships/image" Target="media/image5121.wmf"/><Relationship Id="rId13795" Type="http://schemas.openxmlformats.org/officeDocument/2006/relationships/image" Target="media/image6912.wmf"/><Relationship Id="rId3854" Type="http://schemas.openxmlformats.org/officeDocument/2006/relationships/image" Target="media/image1938.wmf"/><Relationship Id="rId4905" Type="http://schemas.openxmlformats.org/officeDocument/2006/relationships/oleObject" Target="embeddings/oleObject2443.bin"/><Relationship Id="rId12397" Type="http://schemas.openxmlformats.org/officeDocument/2006/relationships/image" Target="media/image6213.wmf"/><Relationship Id="rId13448" Type="http://schemas.openxmlformats.org/officeDocument/2006/relationships/image" Target="media/image6739.wmf"/><Relationship Id="rId775" Type="http://schemas.openxmlformats.org/officeDocument/2006/relationships/oleObject" Target="embeddings/oleObject379.bin"/><Relationship Id="rId2456" Type="http://schemas.openxmlformats.org/officeDocument/2006/relationships/image" Target="media/image1237.wmf"/><Relationship Id="rId3507" Type="http://schemas.openxmlformats.org/officeDocument/2006/relationships/oleObject" Target="embeddings/oleObject1744.bin"/><Relationship Id="rId9069" Type="http://schemas.openxmlformats.org/officeDocument/2006/relationships/image" Target="media/image4544.wmf"/><Relationship Id="rId428" Type="http://schemas.openxmlformats.org/officeDocument/2006/relationships/oleObject" Target="embeddings/oleObject208.bin"/><Relationship Id="rId1058" Type="http://schemas.openxmlformats.org/officeDocument/2006/relationships/oleObject" Target="embeddings/oleObject520.bin"/><Relationship Id="rId2109" Type="http://schemas.openxmlformats.org/officeDocument/2006/relationships/oleObject" Target="embeddings/oleObject1042.bin"/><Relationship Id="rId5679" Type="http://schemas.openxmlformats.org/officeDocument/2006/relationships/image" Target="media/image2850.wmf"/><Relationship Id="rId9550" Type="http://schemas.openxmlformats.org/officeDocument/2006/relationships/image" Target="media/image4784.wmf"/><Relationship Id="rId8152" Type="http://schemas.openxmlformats.org/officeDocument/2006/relationships/image" Target="media/image4085.wmf"/><Relationship Id="rId9203" Type="http://schemas.openxmlformats.org/officeDocument/2006/relationships/oleObject" Target="embeddings/oleObject4582.bin"/><Relationship Id="rId10082" Type="http://schemas.openxmlformats.org/officeDocument/2006/relationships/oleObject" Target="embeddings/oleObject5010.bin"/><Relationship Id="rId11480" Type="http://schemas.openxmlformats.org/officeDocument/2006/relationships/oleObject" Target="embeddings/oleObject5693.bin"/><Relationship Id="rId12531" Type="http://schemas.openxmlformats.org/officeDocument/2006/relationships/image" Target="media/image6280.wmf"/><Relationship Id="rId11133" Type="http://schemas.openxmlformats.org/officeDocument/2006/relationships/image" Target="media/image5578.wmf"/><Relationship Id="rId4762" Type="http://schemas.openxmlformats.org/officeDocument/2006/relationships/image" Target="media/image2391.wmf"/><Relationship Id="rId5813" Type="http://schemas.openxmlformats.org/officeDocument/2006/relationships/image" Target="media/image2917.wmf"/><Relationship Id="rId14356" Type="http://schemas.openxmlformats.org/officeDocument/2006/relationships/oleObject" Target="embeddings/oleObject7124.bin"/><Relationship Id="rId285" Type="http://schemas.openxmlformats.org/officeDocument/2006/relationships/oleObject" Target="embeddings/oleObject137.bin"/><Relationship Id="rId3364" Type="http://schemas.openxmlformats.org/officeDocument/2006/relationships/image" Target="media/image1691.wmf"/><Relationship Id="rId4415" Type="http://schemas.openxmlformats.org/officeDocument/2006/relationships/oleObject" Target="embeddings/oleObject2199.bin"/><Relationship Id="rId7985" Type="http://schemas.openxmlformats.org/officeDocument/2006/relationships/oleObject" Target="embeddings/oleObject3977.bin"/><Relationship Id="rId14009" Type="http://schemas.openxmlformats.org/officeDocument/2006/relationships/image" Target="media/image7019.wmf"/><Relationship Id="rId3017" Type="http://schemas.openxmlformats.org/officeDocument/2006/relationships/image" Target="media/image1518.wmf"/><Relationship Id="rId6587" Type="http://schemas.openxmlformats.org/officeDocument/2006/relationships/image" Target="media/image3303.wmf"/><Relationship Id="rId7638" Type="http://schemas.openxmlformats.org/officeDocument/2006/relationships/image" Target="media/image3828.wmf"/><Relationship Id="rId10619" Type="http://schemas.openxmlformats.org/officeDocument/2006/relationships/oleObject" Target="embeddings/oleObject5274.bin"/><Relationship Id="rId10966" Type="http://schemas.openxmlformats.org/officeDocument/2006/relationships/image" Target="media/image5493.wmf"/><Relationship Id="rId5189" Type="http://schemas.openxmlformats.org/officeDocument/2006/relationships/oleObject" Target="embeddings/oleObject2584.bin"/><Relationship Id="rId9060" Type="http://schemas.openxmlformats.org/officeDocument/2006/relationships/oleObject" Target="embeddings/oleObject4510.bin"/><Relationship Id="rId12041" Type="http://schemas.openxmlformats.org/officeDocument/2006/relationships/oleObject" Target="embeddings/oleObject5972.bin"/><Relationship Id="rId1799" Type="http://schemas.openxmlformats.org/officeDocument/2006/relationships/oleObject" Target="embeddings/oleObject887.bin"/><Relationship Id="rId2100" Type="http://schemas.openxmlformats.org/officeDocument/2006/relationships/image" Target="media/image1056.wmf"/><Relationship Id="rId5670" Type="http://schemas.openxmlformats.org/officeDocument/2006/relationships/oleObject" Target="embeddings/oleObject2824.bin"/><Relationship Id="rId4272" Type="http://schemas.openxmlformats.org/officeDocument/2006/relationships/oleObject" Target="embeddings/oleObject2127.bin"/><Relationship Id="rId5323" Type="http://schemas.openxmlformats.org/officeDocument/2006/relationships/image" Target="media/image2672.wmf"/><Relationship Id="rId6721" Type="http://schemas.openxmlformats.org/officeDocument/2006/relationships/image" Target="media/image3370.wmf"/><Relationship Id="rId8893" Type="http://schemas.openxmlformats.org/officeDocument/2006/relationships/image" Target="media/image4456.wmf"/><Relationship Id="rId9944" Type="http://schemas.openxmlformats.org/officeDocument/2006/relationships/oleObject" Target="embeddings/oleObject4942.bin"/><Relationship Id="rId11874" Type="http://schemas.openxmlformats.org/officeDocument/2006/relationships/image" Target="media/image5950.wmf"/><Relationship Id="rId12925" Type="http://schemas.openxmlformats.org/officeDocument/2006/relationships/image" Target="media/image6477.wmf"/><Relationship Id="rId1933" Type="http://schemas.openxmlformats.org/officeDocument/2006/relationships/oleObject" Target="embeddings/oleObject954.bin"/><Relationship Id="rId6097" Type="http://schemas.openxmlformats.org/officeDocument/2006/relationships/image" Target="media/image3059.wmf"/><Relationship Id="rId7495" Type="http://schemas.openxmlformats.org/officeDocument/2006/relationships/oleObject" Target="embeddings/oleObject3732.bin"/><Relationship Id="rId8546" Type="http://schemas.openxmlformats.org/officeDocument/2006/relationships/image" Target="media/image4282.wmf"/><Relationship Id="rId10476" Type="http://schemas.openxmlformats.org/officeDocument/2006/relationships/image" Target="media/image5247.wmf"/><Relationship Id="rId11527" Type="http://schemas.openxmlformats.org/officeDocument/2006/relationships/image" Target="media/image5775.wmf"/><Relationship Id="rId7148" Type="http://schemas.openxmlformats.org/officeDocument/2006/relationships/image" Target="media/image3583.wmf"/><Relationship Id="rId10129" Type="http://schemas.openxmlformats.org/officeDocument/2006/relationships/image" Target="media/image5073.wmf"/><Relationship Id="rId13699" Type="http://schemas.openxmlformats.org/officeDocument/2006/relationships/image" Target="media/image6864.wmf"/><Relationship Id="rId14000" Type="http://schemas.openxmlformats.org/officeDocument/2006/relationships/oleObject" Target="embeddings/oleObject6946.bin"/><Relationship Id="rId3758" Type="http://schemas.openxmlformats.org/officeDocument/2006/relationships/image" Target="media/image1890.wmf"/><Relationship Id="rId4809" Type="http://schemas.openxmlformats.org/officeDocument/2006/relationships/oleObject" Target="embeddings/oleObject2395.bin"/><Relationship Id="rId679" Type="http://schemas.openxmlformats.org/officeDocument/2006/relationships/oleObject" Target="embeddings/oleObject328.bin"/><Relationship Id="rId5180" Type="http://schemas.openxmlformats.org/officeDocument/2006/relationships/image" Target="media/image2600.wmf"/><Relationship Id="rId6231" Type="http://schemas.openxmlformats.org/officeDocument/2006/relationships/image" Target="media/image3126.wmf"/><Relationship Id="rId10610" Type="http://schemas.openxmlformats.org/officeDocument/2006/relationships/image" Target="media/image5314.wmf"/><Relationship Id="rId9454" Type="http://schemas.openxmlformats.org/officeDocument/2006/relationships/image" Target="media/image4736.wmf"/><Relationship Id="rId12782" Type="http://schemas.openxmlformats.org/officeDocument/2006/relationships/oleObject" Target="embeddings/oleObject6340.bin"/><Relationship Id="rId13833" Type="http://schemas.openxmlformats.org/officeDocument/2006/relationships/image" Target="media/image6931.wmf"/><Relationship Id="rId1790" Type="http://schemas.openxmlformats.org/officeDocument/2006/relationships/image" Target="media/image901.wmf"/><Relationship Id="rId2841" Type="http://schemas.openxmlformats.org/officeDocument/2006/relationships/image" Target="media/image1430.wmf"/><Relationship Id="rId8056" Type="http://schemas.openxmlformats.org/officeDocument/2006/relationships/image" Target="media/image4037.wmf"/><Relationship Id="rId9107" Type="http://schemas.openxmlformats.org/officeDocument/2006/relationships/image" Target="media/image4563.wmf"/><Relationship Id="rId11384" Type="http://schemas.openxmlformats.org/officeDocument/2006/relationships/oleObject" Target="embeddings/oleObject5645.bin"/><Relationship Id="rId12435" Type="http://schemas.openxmlformats.org/officeDocument/2006/relationships/image" Target="media/image6232.wmf"/><Relationship Id="rId813" Type="http://schemas.openxmlformats.org/officeDocument/2006/relationships/oleObject" Target="embeddings/oleObject398.bin"/><Relationship Id="rId1443" Type="http://schemas.openxmlformats.org/officeDocument/2006/relationships/oleObject" Target="embeddings/oleObject710.bin"/><Relationship Id="rId11037" Type="http://schemas.openxmlformats.org/officeDocument/2006/relationships/oleObject" Target="embeddings/oleObject5474.bin"/><Relationship Id="rId4666" Type="http://schemas.openxmlformats.org/officeDocument/2006/relationships/image" Target="media/image2343.wmf"/><Relationship Id="rId5717" Type="http://schemas.openxmlformats.org/officeDocument/2006/relationships/image" Target="media/image2869.wmf"/><Relationship Id="rId3268" Type="http://schemas.openxmlformats.org/officeDocument/2006/relationships/image" Target="media/image1643.wmf"/><Relationship Id="rId4319" Type="http://schemas.openxmlformats.org/officeDocument/2006/relationships/image" Target="media/image2170.wmf"/><Relationship Id="rId7889" Type="http://schemas.openxmlformats.org/officeDocument/2006/relationships/oleObject" Target="embeddings/oleObject3929.bin"/><Relationship Id="rId10120" Type="http://schemas.openxmlformats.org/officeDocument/2006/relationships/oleObject" Target="embeddings/oleObject5029.bin"/><Relationship Id="rId189" Type="http://schemas.openxmlformats.org/officeDocument/2006/relationships/oleObject" Target="embeddings/oleObject89.bin"/><Relationship Id="rId12292" Type="http://schemas.openxmlformats.org/officeDocument/2006/relationships/image" Target="media/image6160.png"/><Relationship Id="rId13690" Type="http://schemas.openxmlformats.org/officeDocument/2006/relationships/image" Target="media/image6860.wmf"/><Relationship Id="rId670" Type="http://schemas.openxmlformats.org/officeDocument/2006/relationships/image" Target="media/image337.wmf"/><Relationship Id="rId2351" Type="http://schemas.openxmlformats.org/officeDocument/2006/relationships/image" Target="media/image1184.wmf"/><Relationship Id="rId3402" Type="http://schemas.openxmlformats.org/officeDocument/2006/relationships/image" Target="media/image1711.wmf"/><Relationship Id="rId4800" Type="http://schemas.openxmlformats.org/officeDocument/2006/relationships/image" Target="media/image2410.wmf"/><Relationship Id="rId13343" Type="http://schemas.openxmlformats.org/officeDocument/2006/relationships/oleObject" Target="embeddings/oleObject6618.bin"/><Relationship Id="rId323" Type="http://schemas.openxmlformats.org/officeDocument/2006/relationships/oleObject" Target="embeddings/oleObject156.bin"/><Relationship Id="rId2004" Type="http://schemas.openxmlformats.org/officeDocument/2006/relationships/image" Target="media/image1008.wmf"/><Relationship Id="rId6972" Type="http://schemas.openxmlformats.org/officeDocument/2006/relationships/oleObject" Target="embeddings/oleObject3471.bin"/><Relationship Id="rId4176" Type="http://schemas.openxmlformats.org/officeDocument/2006/relationships/oleObject" Target="embeddings/oleObject2079.bin"/><Relationship Id="rId5574" Type="http://schemas.openxmlformats.org/officeDocument/2006/relationships/oleObject" Target="embeddings/oleObject2776.bin"/><Relationship Id="rId6625" Type="http://schemas.openxmlformats.org/officeDocument/2006/relationships/image" Target="media/image3322.wmf"/><Relationship Id="rId5227" Type="http://schemas.openxmlformats.org/officeDocument/2006/relationships/image" Target="media/image2624.wmf"/><Relationship Id="rId8797" Type="http://schemas.openxmlformats.org/officeDocument/2006/relationships/image" Target="media/image4408.wmf"/><Relationship Id="rId9848" Type="http://schemas.openxmlformats.org/officeDocument/2006/relationships/oleObject" Target="embeddings/oleObject4896.bin"/><Relationship Id="rId11778" Type="http://schemas.openxmlformats.org/officeDocument/2006/relationships/image" Target="media/image5902.wmf"/><Relationship Id="rId12829" Type="http://schemas.openxmlformats.org/officeDocument/2006/relationships/image" Target="media/image6429.wmf"/><Relationship Id="rId1837" Type="http://schemas.openxmlformats.org/officeDocument/2006/relationships/oleObject" Target="embeddings/oleObject906.bin"/><Relationship Id="rId7399" Type="http://schemas.openxmlformats.org/officeDocument/2006/relationships/oleObject" Target="embeddings/oleObject3684.bin"/><Relationship Id="rId14251" Type="http://schemas.openxmlformats.org/officeDocument/2006/relationships/image" Target="media/image7140.wmf"/><Relationship Id="rId4310" Type="http://schemas.openxmlformats.org/officeDocument/2006/relationships/oleObject" Target="embeddings/oleObject2146.bin"/><Relationship Id="rId7880" Type="http://schemas.openxmlformats.org/officeDocument/2006/relationships/image" Target="media/image3949.wmf"/><Relationship Id="rId180" Type="http://schemas.openxmlformats.org/officeDocument/2006/relationships/image" Target="media/image89.wmf"/><Relationship Id="rId6482" Type="http://schemas.openxmlformats.org/officeDocument/2006/relationships/oleObject" Target="embeddings/oleObject3231.bin"/><Relationship Id="rId7533" Type="http://schemas.openxmlformats.org/officeDocument/2006/relationships/oleObject" Target="embeddings/oleObject3751.bin"/><Relationship Id="rId8931" Type="http://schemas.openxmlformats.org/officeDocument/2006/relationships/image" Target="media/image4475.wmf"/><Relationship Id="rId10861" Type="http://schemas.openxmlformats.org/officeDocument/2006/relationships/oleObject" Target="embeddings/oleObject5393.bin"/><Relationship Id="rId11912" Type="http://schemas.openxmlformats.org/officeDocument/2006/relationships/image" Target="media/image5969.wmf"/><Relationship Id="rId5084" Type="http://schemas.openxmlformats.org/officeDocument/2006/relationships/image" Target="media/image2552.wmf"/><Relationship Id="rId6135" Type="http://schemas.openxmlformats.org/officeDocument/2006/relationships/image" Target="media/image3078.wmf"/><Relationship Id="rId10514" Type="http://schemas.openxmlformats.org/officeDocument/2006/relationships/image" Target="media/image5266.wmf"/><Relationship Id="rId12686" Type="http://schemas.openxmlformats.org/officeDocument/2006/relationships/oleObject" Target="embeddings/oleObject6292.bin"/><Relationship Id="rId13737" Type="http://schemas.openxmlformats.org/officeDocument/2006/relationships/image" Target="media/image6883.wmf"/><Relationship Id="rId1694" Type="http://schemas.openxmlformats.org/officeDocument/2006/relationships/image" Target="media/image853.wmf"/><Relationship Id="rId2745" Type="http://schemas.openxmlformats.org/officeDocument/2006/relationships/oleObject" Target="embeddings/oleObject1360.bin"/><Relationship Id="rId9358" Type="http://schemas.openxmlformats.org/officeDocument/2006/relationships/image" Target="media/image4688.wmf"/><Relationship Id="rId11288" Type="http://schemas.openxmlformats.org/officeDocument/2006/relationships/oleObject" Target="embeddings/oleObject5597.bin"/><Relationship Id="rId12339" Type="http://schemas.openxmlformats.org/officeDocument/2006/relationships/image" Target="media/image6184.wmf"/><Relationship Id="rId717" Type="http://schemas.openxmlformats.org/officeDocument/2006/relationships/oleObject" Target="embeddings/oleObject347.bin"/><Relationship Id="rId1347" Type="http://schemas.openxmlformats.org/officeDocument/2006/relationships/oleObject" Target="embeddings/oleObject663.bin"/><Relationship Id="rId5968" Type="http://schemas.openxmlformats.org/officeDocument/2006/relationships/oleObject" Target="embeddings/oleObject2973.bin"/><Relationship Id="rId53" Type="http://schemas.openxmlformats.org/officeDocument/2006/relationships/image" Target="media/image24.wmf"/><Relationship Id="rId7390" Type="http://schemas.openxmlformats.org/officeDocument/2006/relationships/image" Target="media/image3704.wmf"/><Relationship Id="rId8441" Type="http://schemas.openxmlformats.org/officeDocument/2006/relationships/oleObject" Target="embeddings/oleObject4205.bin"/><Relationship Id="rId10371" Type="http://schemas.openxmlformats.org/officeDocument/2006/relationships/image" Target="media/image5194.wmf"/><Relationship Id="rId12820" Type="http://schemas.openxmlformats.org/officeDocument/2006/relationships/oleObject" Target="embeddings/oleObject6359.bin"/><Relationship Id="rId7043" Type="http://schemas.openxmlformats.org/officeDocument/2006/relationships/image" Target="media/image3531.wmf"/><Relationship Id="rId10024" Type="http://schemas.openxmlformats.org/officeDocument/2006/relationships/oleObject" Target="embeddings/oleObject4981.bin"/><Relationship Id="rId11422" Type="http://schemas.openxmlformats.org/officeDocument/2006/relationships/oleObject" Target="embeddings/oleObject5664.bin"/><Relationship Id="rId13594" Type="http://schemas.openxmlformats.org/officeDocument/2006/relationships/image" Target="media/image6812.wmf"/><Relationship Id="rId574" Type="http://schemas.openxmlformats.org/officeDocument/2006/relationships/image" Target="media/image288.wmf"/><Relationship Id="rId2255" Type="http://schemas.openxmlformats.org/officeDocument/2006/relationships/image" Target="media/image1134.wmf"/><Relationship Id="rId3653" Type="http://schemas.openxmlformats.org/officeDocument/2006/relationships/oleObject" Target="embeddings/oleObject1817.bin"/><Relationship Id="rId4704" Type="http://schemas.openxmlformats.org/officeDocument/2006/relationships/image" Target="media/image2362.wmf"/><Relationship Id="rId12196" Type="http://schemas.openxmlformats.org/officeDocument/2006/relationships/image" Target="media/image6111.wmf"/><Relationship Id="rId13247" Type="http://schemas.openxmlformats.org/officeDocument/2006/relationships/image" Target="media/image6638.wmf"/><Relationship Id="rId227" Type="http://schemas.openxmlformats.org/officeDocument/2006/relationships/oleObject" Target="embeddings/oleObject108.bin"/><Relationship Id="rId3306" Type="http://schemas.openxmlformats.org/officeDocument/2006/relationships/image" Target="media/image1662.wmf"/><Relationship Id="rId6876" Type="http://schemas.openxmlformats.org/officeDocument/2006/relationships/oleObject" Target="embeddings/oleObject3423.bin"/><Relationship Id="rId7927" Type="http://schemas.openxmlformats.org/officeDocument/2006/relationships/oleObject" Target="embeddings/oleObject3948.bin"/><Relationship Id="rId10908" Type="http://schemas.openxmlformats.org/officeDocument/2006/relationships/image" Target="media/image5463.wmf"/><Relationship Id="rId5478" Type="http://schemas.openxmlformats.org/officeDocument/2006/relationships/oleObject" Target="embeddings/oleObject2728.bin"/><Relationship Id="rId6529" Type="http://schemas.openxmlformats.org/officeDocument/2006/relationships/image" Target="media/image3274.wmf"/><Relationship Id="rId12330" Type="http://schemas.openxmlformats.org/officeDocument/2006/relationships/oleObject" Target="embeddings/oleObject6114.bin"/><Relationship Id="rId9002" Type="http://schemas.openxmlformats.org/officeDocument/2006/relationships/oleObject" Target="embeddings/oleObject4481.bin"/><Relationship Id="rId4561" Type="http://schemas.openxmlformats.org/officeDocument/2006/relationships/oleObject" Target="embeddings/oleObject2272.bin"/><Relationship Id="rId5612" Type="http://schemas.openxmlformats.org/officeDocument/2006/relationships/oleObject" Target="embeddings/oleObject2795.bin"/><Relationship Id="rId14155" Type="http://schemas.openxmlformats.org/officeDocument/2006/relationships/image" Target="media/image7092.wmf"/><Relationship Id="rId3163" Type="http://schemas.openxmlformats.org/officeDocument/2006/relationships/image" Target="media/image1591.wmf"/><Relationship Id="rId4214" Type="http://schemas.openxmlformats.org/officeDocument/2006/relationships/oleObject" Target="embeddings/oleObject2098.bin"/><Relationship Id="rId6386" Type="http://schemas.openxmlformats.org/officeDocument/2006/relationships/oleObject" Target="embeddings/oleObject3183.bin"/><Relationship Id="rId7784" Type="http://schemas.openxmlformats.org/officeDocument/2006/relationships/image" Target="media/image3901.wmf"/><Relationship Id="rId8835" Type="http://schemas.openxmlformats.org/officeDocument/2006/relationships/image" Target="media/image4427.wmf"/><Relationship Id="rId10765" Type="http://schemas.openxmlformats.org/officeDocument/2006/relationships/oleObject" Target="embeddings/oleObject5345.bin"/><Relationship Id="rId11816" Type="http://schemas.openxmlformats.org/officeDocument/2006/relationships/image" Target="media/image5921.wmf"/><Relationship Id="rId6039" Type="http://schemas.openxmlformats.org/officeDocument/2006/relationships/image" Target="media/image3030.wmf"/><Relationship Id="rId7437" Type="http://schemas.openxmlformats.org/officeDocument/2006/relationships/oleObject" Target="embeddings/oleObject3703.bin"/><Relationship Id="rId10418" Type="http://schemas.openxmlformats.org/officeDocument/2006/relationships/image" Target="media/image5218.wmf"/><Relationship Id="rId13988" Type="http://schemas.openxmlformats.org/officeDocument/2006/relationships/oleObject" Target="embeddings/oleObject6940.bin"/><Relationship Id="rId2996" Type="http://schemas.openxmlformats.org/officeDocument/2006/relationships/oleObject" Target="embeddings/oleObject1486.bin"/><Relationship Id="rId968" Type="http://schemas.openxmlformats.org/officeDocument/2006/relationships/oleObject" Target="embeddings/oleObject475.bin"/><Relationship Id="rId1598" Type="http://schemas.openxmlformats.org/officeDocument/2006/relationships/image" Target="media/image805.wmf"/><Relationship Id="rId2649" Type="http://schemas.openxmlformats.org/officeDocument/2006/relationships/oleObject" Target="embeddings/oleObject1312.bin"/><Relationship Id="rId6520" Type="http://schemas.openxmlformats.org/officeDocument/2006/relationships/oleObject" Target="embeddings/oleObject3250.bin"/><Relationship Id="rId4071" Type="http://schemas.openxmlformats.org/officeDocument/2006/relationships/image" Target="media/image2046.wmf"/><Relationship Id="rId5122" Type="http://schemas.openxmlformats.org/officeDocument/2006/relationships/image" Target="media/image2571.wmf"/><Relationship Id="rId8692" Type="http://schemas.openxmlformats.org/officeDocument/2006/relationships/oleObject" Target="embeddings/oleObject4329.bin"/><Relationship Id="rId9743" Type="http://schemas.openxmlformats.org/officeDocument/2006/relationships/oleObject" Target="embeddings/oleObject4843.bin"/><Relationship Id="rId7294" Type="http://schemas.openxmlformats.org/officeDocument/2006/relationships/image" Target="media/image3656.wmf"/><Relationship Id="rId8345" Type="http://schemas.openxmlformats.org/officeDocument/2006/relationships/oleObject" Target="embeddings/oleObject4157.bin"/><Relationship Id="rId11673" Type="http://schemas.openxmlformats.org/officeDocument/2006/relationships/image" Target="media/image5849.png"/><Relationship Id="rId12724" Type="http://schemas.openxmlformats.org/officeDocument/2006/relationships/oleObject" Target="embeddings/oleObject6311.bin"/><Relationship Id="rId1732" Type="http://schemas.openxmlformats.org/officeDocument/2006/relationships/image" Target="media/image872.wmf"/><Relationship Id="rId10275" Type="http://schemas.openxmlformats.org/officeDocument/2006/relationships/image" Target="media/image5146.wmf"/><Relationship Id="rId11326" Type="http://schemas.openxmlformats.org/officeDocument/2006/relationships/oleObject" Target="embeddings/oleObject5616.bin"/><Relationship Id="rId4955" Type="http://schemas.openxmlformats.org/officeDocument/2006/relationships/oleObject" Target="embeddings/oleObject2467.bin"/><Relationship Id="rId13498" Type="http://schemas.openxmlformats.org/officeDocument/2006/relationships/image" Target="media/image6764.wmf"/><Relationship Id="rId14549" Type="http://schemas.openxmlformats.org/officeDocument/2006/relationships/image" Target="media/image7289.wmf"/><Relationship Id="rId3557" Type="http://schemas.openxmlformats.org/officeDocument/2006/relationships/oleObject" Target="embeddings/oleObject1769.bin"/><Relationship Id="rId4608" Type="http://schemas.openxmlformats.org/officeDocument/2006/relationships/image" Target="media/image2314.wmf"/><Relationship Id="rId478" Type="http://schemas.openxmlformats.org/officeDocument/2006/relationships/oleObject" Target="embeddings/oleObject230.bin"/><Relationship Id="rId2159" Type="http://schemas.openxmlformats.org/officeDocument/2006/relationships/oleObject" Target="embeddings/oleObject1067.bin"/><Relationship Id="rId6030" Type="http://schemas.openxmlformats.org/officeDocument/2006/relationships/oleObject" Target="embeddings/oleObject3004.bin"/><Relationship Id="rId12581" Type="http://schemas.openxmlformats.org/officeDocument/2006/relationships/image" Target="media/image6305.wmf"/><Relationship Id="rId2640" Type="http://schemas.openxmlformats.org/officeDocument/2006/relationships/image" Target="media/image1330.wmf"/><Relationship Id="rId9253" Type="http://schemas.openxmlformats.org/officeDocument/2006/relationships/oleObject" Target="embeddings/oleObject4607.bin"/><Relationship Id="rId11183" Type="http://schemas.openxmlformats.org/officeDocument/2006/relationships/image" Target="media/image5603.wmf"/><Relationship Id="rId12234" Type="http://schemas.openxmlformats.org/officeDocument/2006/relationships/image" Target="media/image6130.wmf"/><Relationship Id="rId13632" Type="http://schemas.openxmlformats.org/officeDocument/2006/relationships/image" Target="media/image6831.wmf"/><Relationship Id="rId612" Type="http://schemas.openxmlformats.org/officeDocument/2006/relationships/image" Target="media/image307.wmf"/><Relationship Id="rId1242" Type="http://schemas.openxmlformats.org/officeDocument/2006/relationships/image" Target="media/image626.wmf"/><Relationship Id="rId4465" Type="http://schemas.openxmlformats.org/officeDocument/2006/relationships/oleObject" Target="embeddings/oleObject2224.bin"/><Relationship Id="rId5863" Type="http://schemas.openxmlformats.org/officeDocument/2006/relationships/image" Target="media/image2942.wmf"/><Relationship Id="rId6914" Type="http://schemas.openxmlformats.org/officeDocument/2006/relationships/oleObject" Target="embeddings/oleObject3442.bin"/><Relationship Id="rId3067" Type="http://schemas.openxmlformats.org/officeDocument/2006/relationships/image" Target="media/image1543.wmf"/><Relationship Id="rId4118" Type="http://schemas.openxmlformats.org/officeDocument/2006/relationships/oleObject" Target="embeddings/oleObject2050.bin"/><Relationship Id="rId5516" Type="http://schemas.openxmlformats.org/officeDocument/2006/relationships/oleObject" Target="embeddings/oleObject2747.bin"/><Relationship Id="rId14059" Type="http://schemas.openxmlformats.org/officeDocument/2006/relationships/image" Target="media/image7044.wmf"/><Relationship Id="rId7688" Type="http://schemas.openxmlformats.org/officeDocument/2006/relationships/image" Target="media/image3853.wmf"/><Relationship Id="rId8739" Type="http://schemas.openxmlformats.org/officeDocument/2006/relationships/image" Target="media/image4379.wmf"/><Relationship Id="rId10669" Type="http://schemas.openxmlformats.org/officeDocument/2006/relationships/oleObject" Target="embeddings/oleObject5299.bin"/><Relationship Id="rId14540" Type="http://schemas.openxmlformats.org/officeDocument/2006/relationships/oleObject" Target="embeddings/oleObject7210.bin"/><Relationship Id="rId12091" Type="http://schemas.openxmlformats.org/officeDocument/2006/relationships/oleObject" Target="embeddings/oleObject5997.bin"/><Relationship Id="rId13142" Type="http://schemas.openxmlformats.org/officeDocument/2006/relationships/oleObject" Target="embeddings/oleObject6518.bin"/><Relationship Id="rId2150" Type="http://schemas.openxmlformats.org/officeDocument/2006/relationships/image" Target="media/image1081.wmf"/><Relationship Id="rId3201" Type="http://schemas.openxmlformats.org/officeDocument/2006/relationships/image" Target="media/image1610.wmf"/><Relationship Id="rId6771" Type="http://schemas.openxmlformats.org/officeDocument/2006/relationships/image" Target="media/image3395.wmf"/><Relationship Id="rId7822" Type="http://schemas.openxmlformats.org/officeDocument/2006/relationships/image" Target="media/image3920.wmf"/><Relationship Id="rId122" Type="http://schemas.openxmlformats.org/officeDocument/2006/relationships/oleObject" Target="embeddings/oleObject57.bin"/><Relationship Id="rId5373" Type="http://schemas.openxmlformats.org/officeDocument/2006/relationships/image" Target="media/image2697.wmf"/><Relationship Id="rId6424" Type="http://schemas.openxmlformats.org/officeDocument/2006/relationships/oleObject" Target="embeddings/oleObject3202.bin"/><Relationship Id="rId10803" Type="http://schemas.openxmlformats.org/officeDocument/2006/relationships/oleObject" Target="embeddings/oleObject5364.bin"/><Relationship Id="rId5026" Type="http://schemas.openxmlformats.org/officeDocument/2006/relationships/image" Target="media/image2523.wmf"/><Relationship Id="rId8596" Type="http://schemas.openxmlformats.org/officeDocument/2006/relationships/image" Target="media/image4307.wmf"/><Relationship Id="rId9994" Type="http://schemas.openxmlformats.org/officeDocument/2006/relationships/oleObject" Target="embeddings/oleObject4966.bin"/><Relationship Id="rId12975" Type="http://schemas.openxmlformats.org/officeDocument/2006/relationships/image" Target="media/image6502.wmf"/><Relationship Id="rId1983" Type="http://schemas.openxmlformats.org/officeDocument/2006/relationships/oleObject" Target="embeddings/oleObject979.bin"/><Relationship Id="rId7198" Type="http://schemas.openxmlformats.org/officeDocument/2006/relationships/image" Target="media/image3608.wmf"/><Relationship Id="rId8249" Type="http://schemas.openxmlformats.org/officeDocument/2006/relationships/oleObject" Target="embeddings/oleObject4109.bin"/><Relationship Id="rId9647" Type="http://schemas.openxmlformats.org/officeDocument/2006/relationships/oleObject" Target="embeddings/oleObject4802.bin"/><Relationship Id="rId11577" Type="http://schemas.openxmlformats.org/officeDocument/2006/relationships/image" Target="media/image5800.wmf"/><Relationship Id="rId12628" Type="http://schemas.openxmlformats.org/officeDocument/2006/relationships/oleObject" Target="embeddings/oleObject6263.bin"/><Relationship Id="rId1636" Type="http://schemas.openxmlformats.org/officeDocument/2006/relationships/image" Target="media/image824.wmf"/><Relationship Id="rId10179" Type="http://schemas.openxmlformats.org/officeDocument/2006/relationships/image" Target="media/image5098.wmf"/><Relationship Id="rId14050" Type="http://schemas.openxmlformats.org/officeDocument/2006/relationships/oleObject" Target="embeddings/oleObject6971.bin"/><Relationship Id="rId4859" Type="http://schemas.openxmlformats.org/officeDocument/2006/relationships/oleObject" Target="embeddings/oleObject2420.bin"/><Relationship Id="rId8730" Type="http://schemas.openxmlformats.org/officeDocument/2006/relationships/oleObject" Target="embeddings/oleObject4348.bin"/><Relationship Id="rId10660" Type="http://schemas.openxmlformats.org/officeDocument/2006/relationships/image" Target="media/image5339.wmf"/><Relationship Id="rId6281" Type="http://schemas.openxmlformats.org/officeDocument/2006/relationships/image" Target="media/image3151.wmf"/><Relationship Id="rId7332" Type="http://schemas.openxmlformats.org/officeDocument/2006/relationships/image" Target="media/image3675.wmf"/><Relationship Id="rId10313" Type="http://schemas.openxmlformats.org/officeDocument/2006/relationships/image" Target="media/image5165.wmf"/><Relationship Id="rId11711" Type="http://schemas.openxmlformats.org/officeDocument/2006/relationships/oleObject" Target="embeddings/oleObject5807.bin"/><Relationship Id="rId13883" Type="http://schemas.openxmlformats.org/officeDocument/2006/relationships/image" Target="media/image6956.wmf"/><Relationship Id="rId863" Type="http://schemas.openxmlformats.org/officeDocument/2006/relationships/oleObject" Target="embeddings/oleObject423.bin"/><Relationship Id="rId1493" Type="http://schemas.openxmlformats.org/officeDocument/2006/relationships/oleObject" Target="embeddings/oleObject735.bin"/><Relationship Id="rId2544" Type="http://schemas.openxmlformats.org/officeDocument/2006/relationships/image" Target="media/image1282.wmf"/><Relationship Id="rId2891" Type="http://schemas.openxmlformats.org/officeDocument/2006/relationships/image" Target="media/image1455.wmf"/><Relationship Id="rId3942" Type="http://schemas.openxmlformats.org/officeDocument/2006/relationships/image" Target="media/image1982.wmf"/><Relationship Id="rId9157" Type="http://schemas.openxmlformats.org/officeDocument/2006/relationships/oleObject" Target="embeddings/oleObject4559.bin"/><Relationship Id="rId11087" Type="http://schemas.openxmlformats.org/officeDocument/2006/relationships/image" Target="media/image5555.wmf"/><Relationship Id="rId12485" Type="http://schemas.openxmlformats.org/officeDocument/2006/relationships/image" Target="media/image6257.wmf"/><Relationship Id="rId13536" Type="http://schemas.openxmlformats.org/officeDocument/2006/relationships/image" Target="media/image6783.wmf"/><Relationship Id="rId516" Type="http://schemas.openxmlformats.org/officeDocument/2006/relationships/oleObject" Target="embeddings/oleObject249.bin"/><Relationship Id="rId1146" Type="http://schemas.openxmlformats.org/officeDocument/2006/relationships/oleObject" Target="embeddings/oleObject563.bin"/><Relationship Id="rId12138" Type="http://schemas.openxmlformats.org/officeDocument/2006/relationships/image" Target="media/image6082.wmf"/><Relationship Id="rId5767" Type="http://schemas.openxmlformats.org/officeDocument/2006/relationships/image" Target="media/image2894.wmf"/><Relationship Id="rId6818" Type="http://schemas.openxmlformats.org/officeDocument/2006/relationships/oleObject" Target="embeddings/oleObject3394.bin"/><Relationship Id="rId4369" Type="http://schemas.openxmlformats.org/officeDocument/2006/relationships/oleObject" Target="embeddings/oleObject2176.bin"/><Relationship Id="rId8240" Type="http://schemas.openxmlformats.org/officeDocument/2006/relationships/image" Target="media/image4129.wmf"/><Relationship Id="rId10170" Type="http://schemas.openxmlformats.org/officeDocument/2006/relationships/oleObject" Target="embeddings/oleObject5054.bin"/><Relationship Id="rId11221" Type="http://schemas.openxmlformats.org/officeDocument/2006/relationships/image" Target="media/image5622.wmf"/><Relationship Id="rId4850" Type="http://schemas.openxmlformats.org/officeDocument/2006/relationships/image" Target="media/image2435.wmf"/><Relationship Id="rId5901" Type="http://schemas.openxmlformats.org/officeDocument/2006/relationships/image" Target="media/image2961.wmf"/><Relationship Id="rId13393" Type="http://schemas.openxmlformats.org/officeDocument/2006/relationships/oleObject" Target="embeddings/oleObject6642.bin"/><Relationship Id="rId14444" Type="http://schemas.openxmlformats.org/officeDocument/2006/relationships/oleObject" Target="embeddings/oleObject7162.bin"/><Relationship Id="rId3452" Type="http://schemas.openxmlformats.org/officeDocument/2006/relationships/image" Target="media/image1737.wmf"/><Relationship Id="rId4503" Type="http://schemas.openxmlformats.org/officeDocument/2006/relationships/oleObject" Target="embeddings/oleObject2243.bin"/><Relationship Id="rId13046" Type="http://schemas.openxmlformats.org/officeDocument/2006/relationships/oleObject" Target="embeddings/oleObject6470.bin"/><Relationship Id="rId373" Type="http://schemas.openxmlformats.org/officeDocument/2006/relationships/oleObject" Target="embeddings/oleObject181.bin"/><Relationship Id="rId2054" Type="http://schemas.openxmlformats.org/officeDocument/2006/relationships/image" Target="media/image1033.wmf"/><Relationship Id="rId3105" Type="http://schemas.openxmlformats.org/officeDocument/2006/relationships/image" Target="media/image1562.wmf"/><Relationship Id="rId6675" Type="http://schemas.openxmlformats.org/officeDocument/2006/relationships/image" Target="media/image3347.wmf"/><Relationship Id="rId5277" Type="http://schemas.openxmlformats.org/officeDocument/2006/relationships/image" Target="media/image2649.wmf"/><Relationship Id="rId6328" Type="http://schemas.openxmlformats.org/officeDocument/2006/relationships/oleObject" Target="embeddings/oleObject3154.bin"/><Relationship Id="rId7726" Type="http://schemas.openxmlformats.org/officeDocument/2006/relationships/image" Target="media/image3872.wmf"/><Relationship Id="rId10707" Type="http://schemas.microsoft.com/office/2007/relationships/hdphoto" Target="media/hdphoto37.wdp"/><Relationship Id="rId9898" Type="http://schemas.openxmlformats.org/officeDocument/2006/relationships/oleObject" Target="embeddings/oleObject4921.bin"/><Relationship Id="rId12879" Type="http://schemas.openxmlformats.org/officeDocument/2006/relationships/image" Target="media/image6454.wmf"/><Relationship Id="rId1887" Type="http://schemas.openxmlformats.org/officeDocument/2006/relationships/oleObject" Target="embeddings/oleObject931.bin"/><Relationship Id="rId2938" Type="http://schemas.openxmlformats.org/officeDocument/2006/relationships/oleObject" Target="embeddings/oleObject1457.bin"/><Relationship Id="rId4360" Type="http://schemas.openxmlformats.org/officeDocument/2006/relationships/image" Target="media/image2190.wmf"/><Relationship Id="rId5411" Type="http://schemas.openxmlformats.org/officeDocument/2006/relationships/image" Target="media/image2716.wmf"/><Relationship Id="rId8981" Type="http://schemas.openxmlformats.org/officeDocument/2006/relationships/image" Target="media/image4500.wmf"/><Relationship Id="rId4013" Type="http://schemas.openxmlformats.org/officeDocument/2006/relationships/image" Target="media/image2017.wmf"/><Relationship Id="rId7583" Type="http://schemas.openxmlformats.org/officeDocument/2006/relationships/oleObject" Target="embeddings/oleObject3776.bin"/><Relationship Id="rId8634" Type="http://schemas.openxmlformats.org/officeDocument/2006/relationships/image" Target="media/image4326.wmf"/><Relationship Id="rId11962" Type="http://schemas.openxmlformats.org/officeDocument/2006/relationships/image" Target="media/image5994.wmf"/><Relationship Id="rId6185" Type="http://schemas.openxmlformats.org/officeDocument/2006/relationships/image" Target="media/image3103.wmf"/><Relationship Id="rId7236" Type="http://schemas.openxmlformats.org/officeDocument/2006/relationships/image" Target="media/image3627.wmf"/><Relationship Id="rId10564" Type="http://schemas.openxmlformats.org/officeDocument/2006/relationships/image" Target="media/image5291.wmf"/><Relationship Id="rId11615" Type="http://schemas.openxmlformats.org/officeDocument/2006/relationships/image" Target="media/image5819.wmf"/><Relationship Id="rId10217" Type="http://schemas.openxmlformats.org/officeDocument/2006/relationships/image" Target="media/image5117.wmf"/><Relationship Id="rId13787" Type="http://schemas.openxmlformats.org/officeDocument/2006/relationships/image" Target="media/image6908.wmf"/><Relationship Id="rId1397" Type="http://schemas.openxmlformats.org/officeDocument/2006/relationships/oleObject" Target="embeddings/oleObject687.bin"/><Relationship Id="rId2795" Type="http://schemas.openxmlformats.org/officeDocument/2006/relationships/oleObject" Target="embeddings/oleObject1385.bin"/><Relationship Id="rId3846" Type="http://schemas.openxmlformats.org/officeDocument/2006/relationships/image" Target="media/image1934.wmf"/><Relationship Id="rId12389" Type="http://schemas.openxmlformats.org/officeDocument/2006/relationships/image" Target="media/image6209.wmf"/><Relationship Id="rId767" Type="http://schemas.openxmlformats.org/officeDocument/2006/relationships/oleObject" Target="embeddings/oleObject375.bin"/><Relationship Id="rId2448" Type="http://schemas.openxmlformats.org/officeDocument/2006/relationships/image" Target="media/image1233.wmf"/><Relationship Id="rId12870" Type="http://schemas.openxmlformats.org/officeDocument/2006/relationships/oleObject" Target="embeddings/oleObject6384.bin"/><Relationship Id="rId8491" Type="http://schemas.openxmlformats.org/officeDocument/2006/relationships/oleObject" Target="embeddings/oleObject4230.bin"/><Relationship Id="rId9542" Type="http://schemas.openxmlformats.org/officeDocument/2006/relationships/image" Target="media/image4780.wmf"/><Relationship Id="rId11472" Type="http://schemas.openxmlformats.org/officeDocument/2006/relationships/oleObject" Target="embeddings/oleObject5689.bin"/><Relationship Id="rId12523" Type="http://schemas.openxmlformats.org/officeDocument/2006/relationships/image" Target="media/image6276.wmf"/><Relationship Id="rId13921" Type="http://schemas.openxmlformats.org/officeDocument/2006/relationships/image" Target="media/image6975.wmf"/><Relationship Id="rId901" Type="http://schemas.openxmlformats.org/officeDocument/2006/relationships/oleObject" Target="embeddings/oleObject442.bin"/><Relationship Id="rId1531" Type="http://schemas.openxmlformats.org/officeDocument/2006/relationships/oleObject" Target="embeddings/oleObject752.bin"/><Relationship Id="rId7093" Type="http://schemas.openxmlformats.org/officeDocument/2006/relationships/image" Target="media/image3556.wmf"/><Relationship Id="rId8144" Type="http://schemas.openxmlformats.org/officeDocument/2006/relationships/image" Target="media/image4081.wmf"/><Relationship Id="rId10074" Type="http://schemas.openxmlformats.org/officeDocument/2006/relationships/oleObject" Target="embeddings/oleObject5006.bin"/><Relationship Id="rId11125" Type="http://schemas.openxmlformats.org/officeDocument/2006/relationships/image" Target="media/image5574.wmf"/><Relationship Id="rId4754" Type="http://schemas.openxmlformats.org/officeDocument/2006/relationships/image" Target="media/image2387.wmf"/><Relationship Id="rId13297" Type="http://schemas.openxmlformats.org/officeDocument/2006/relationships/image" Target="media/image6663.wmf"/><Relationship Id="rId3356" Type="http://schemas.openxmlformats.org/officeDocument/2006/relationships/image" Target="media/image1687.wmf"/><Relationship Id="rId4407" Type="http://schemas.openxmlformats.org/officeDocument/2006/relationships/oleObject" Target="embeddings/oleObject2195.bin"/><Relationship Id="rId5805" Type="http://schemas.openxmlformats.org/officeDocument/2006/relationships/image" Target="media/image2913.wmf"/><Relationship Id="rId14348" Type="http://schemas.openxmlformats.org/officeDocument/2006/relationships/oleObject" Target="embeddings/oleObject7120.bin"/><Relationship Id="rId277" Type="http://schemas.openxmlformats.org/officeDocument/2006/relationships/oleObject" Target="embeddings/oleObject133.bin"/><Relationship Id="rId3009" Type="http://schemas.openxmlformats.org/officeDocument/2006/relationships/image" Target="media/image1514.wmf"/><Relationship Id="rId7977" Type="http://schemas.openxmlformats.org/officeDocument/2006/relationships/oleObject" Target="embeddings/oleObject3973.bin"/><Relationship Id="rId10958" Type="http://schemas.openxmlformats.org/officeDocument/2006/relationships/image" Target="media/image5489.wmf"/><Relationship Id="rId6579" Type="http://schemas.openxmlformats.org/officeDocument/2006/relationships/image" Target="media/image3299.wmf"/><Relationship Id="rId9052" Type="http://schemas.openxmlformats.org/officeDocument/2006/relationships/oleObject" Target="embeddings/oleObject4506.bin"/><Relationship Id="rId12380" Type="http://schemas.openxmlformats.org/officeDocument/2006/relationships/oleObject" Target="embeddings/oleObject6139.bin"/><Relationship Id="rId13431" Type="http://schemas.openxmlformats.org/officeDocument/2006/relationships/oleObject" Target="embeddings/oleObject6661.bin"/><Relationship Id="rId12033" Type="http://schemas.openxmlformats.org/officeDocument/2006/relationships/oleObject" Target="embeddings/oleObject5968.bin"/><Relationship Id="rId411" Type="http://schemas.openxmlformats.org/officeDocument/2006/relationships/image" Target="media/image205.wmf"/><Relationship Id="rId1041" Type="http://schemas.openxmlformats.org/officeDocument/2006/relationships/image" Target="media/image526.wmf"/><Relationship Id="rId5662" Type="http://schemas.openxmlformats.org/officeDocument/2006/relationships/oleObject" Target="embeddings/oleObject2820.bin"/><Relationship Id="rId6713" Type="http://schemas.openxmlformats.org/officeDocument/2006/relationships/image" Target="media/image3366.wmf"/><Relationship Id="rId4264" Type="http://schemas.openxmlformats.org/officeDocument/2006/relationships/oleObject" Target="embeddings/oleObject2123.bin"/><Relationship Id="rId5315" Type="http://schemas.openxmlformats.org/officeDocument/2006/relationships/image" Target="media/image2668.wmf"/><Relationship Id="rId8885" Type="http://schemas.openxmlformats.org/officeDocument/2006/relationships/image" Target="media/image4452.wmf"/><Relationship Id="rId7487" Type="http://schemas.openxmlformats.org/officeDocument/2006/relationships/oleObject" Target="embeddings/oleObject3728.bin"/><Relationship Id="rId8538" Type="http://schemas.openxmlformats.org/officeDocument/2006/relationships/image" Target="media/image4278.wmf"/><Relationship Id="rId9936" Type="http://schemas.openxmlformats.org/officeDocument/2006/relationships/oleObject" Target="embeddings/oleObject4938.bin"/><Relationship Id="rId11866" Type="http://schemas.openxmlformats.org/officeDocument/2006/relationships/image" Target="media/image5946.wmf"/><Relationship Id="rId12917" Type="http://schemas.openxmlformats.org/officeDocument/2006/relationships/image" Target="media/image6473.wmf"/><Relationship Id="rId1925" Type="http://schemas.openxmlformats.org/officeDocument/2006/relationships/oleObject" Target="embeddings/oleObject950.bin"/><Relationship Id="rId6089" Type="http://schemas.openxmlformats.org/officeDocument/2006/relationships/image" Target="media/image3055.wmf"/><Relationship Id="rId10468" Type="http://schemas.openxmlformats.org/officeDocument/2006/relationships/image" Target="media/image5243.wmf"/><Relationship Id="rId11519" Type="http://schemas.openxmlformats.org/officeDocument/2006/relationships/image" Target="media/image5771.wmf"/><Relationship Id="rId2699" Type="http://schemas.openxmlformats.org/officeDocument/2006/relationships/oleObject" Target="embeddings/oleObject1337.bin"/><Relationship Id="rId3000" Type="http://schemas.openxmlformats.org/officeDocument/2006/relationships/oleObject" Target="embeddings/oleObject1488.bin"/><Relationship Id="rId6570" Type="http://schemas.openxmlformats.org/officeDocument/2006/relationships/oleObject" Target="embeddings/oleObject3272.bin"/><Relationship Id="rId7621" Type="http://schemas.openxmlformats.org/officeDocument/2006/relationships/oleObject" Target="embeddings/oleObject3795.bin"/><Relationship Id="rId10602" Type="http://schemas.openxmlformats.org/officeDocument/2006/relationships/image" Target="media/image5310.wmf"/><Relationship Id="rId5172" Type="http://schemas.openxmlformats.org/officeDocument/2006/relationships/image" Target="media/image2596.wmf"/><Relationship Id="rId6223" Type="http://schemas.openxmlformats.org/officeDocument/2006/relationships/image" Target="media/image3122.wmf"/><Relationship Id="rId9793" Type="http://schemas.openxmlformats.org/officeDocument/2006/relationships/oleObject" Target="embeddings/oleObject4868.bin"/><Relationship Id="rId1782" Type="http://schemas.openxmlformats.org/officeDocument/2006/relationships/image" Target="media/image897.wmf"/><Relationship Id="rId2833" Type="http://schemas.openxmlformats.org/officeDocument/2006/relationships/oleObject" Target="embeddings/oleObject1404.bin"/><Relationship Id="rId8395" Type="http://schemas.openxmlformats.org/officeDocument/2006/relationships/oleObject" Target="embeddings/oleObject4182.bin"/><Relationship Id="rId9446" Type="http://schemas.openxmlformats.org/officeDocument/2006/relationships/image" Target="media/image4732.wmf"/><Relationship Id="rId11376" Type="http://schemas.openxmlformats.org/officeDocument/2006/relationships/oleObject" Target="embeddings/oleObject5641.bin"/><Relationship Id="rId12774" Type="http://schemas.openxmlformats.org/officeDocument/2006/relationships/oleObject" Target="embeddings/oleObject6336.bin"/><Relationship Id="rId13825" Type="http://schemas.openxmlformats.org/officeDocument/2006/relationships/image" Target="media/image6927.wmf"/><Relationship Id="rId805" Type="http://schemas.openxmlformats.org/officeDocument/2006/relationships/oleObject" Target="embeddings/oleObject394.bin"/><Relationship Id="rId1435" Type="http://schemas.openxmlformats.org/officeDocument/2006/relationships/oleObject" Target="embeddings/oleObject706.bin"/><Relationship Id="rId8048" Type="http://schemas.openxmlformats.org/officeDocument/2006/relationships/image" Target="media/image4033.wmf"/><Relationship Id="rId11029" Type="http://schemas.openxmlformats.org/officeDocument/2006/relationships/oleObject" Target="embeddings/oleObject5470.bin"/><Relationship Id="rId12427" Type="http://schemas.openxmlformats.org/officeDocument/2006/relationships/image" Target="media/image6228.wmf"/><Relationship Id="rId4658" Type="http://schemas.openxmlformats.org/officeDocument/2006/relationships/image" Target="media/image2339.wmf"/><Relationship Id="rId5709" Type="http://schemas.openxmlformats.org/officeDocument/2006/relationships/image" Target="media/image2865.wmf"/><Relationship Id="rId6080" Type="http://schemas.openxmlformats.org/officeDocument/2006/relationships/oleObject" Target="embeddings/oleObject3029.bin"/><Relationship Id="rId7131" Type="http://schemas.openxmlformats.org/officeDocument/2006/relationships/oleObject" Target="embeddings/oleObject3551.bin"/><Relationship Id="rId11510" Type="http://schemas.openxmlformats.org/officeDocument/2006/relationships/oleObject" Target="embeddings/oleObject5708.bin"/><Relationship Id="rId10112" Type="http://schemas.openxmlformats.org/officeDocument/2006/relationships/oleObject" Target="embeddings/oleObject5025.bin"/><Relationship Id="rId13682" Type="http://schemas.openxmlformats.org/officeDocument/2006/relationships/image" Target="media/image6856.wmf"/><Relationship Id="rId2690" Type="http://schemas.openxmlformats.org/officeDocument/2006/relationships/image" Target="media/image1355.wmf"/><Relationship Id="rId3741" Type="http://schemas.openxmlformats.org/officeDocument/2006/relationships/oleObject" Target="embeddings/oleObject1861.bin"/><Relationship Id="rId12284" Type="http://schemas.openxmlformats.org/officeDocument/2006/relationships/image" Target="media/image6155.wmf"/><Relationship Id="rId13335" Type="http://schemas.openxmlformats.org/officeDocument/2006/relationships/oleObject" Target="embeddings/oleObject6614.bin"/><Relationship Id="rId662" Type="http://schemas.openxmlformats.org/officeDocument/2006/relationships/image" Target="media/image333.wmf"/><Relationship Id="rId1292" Type="http://schemas.openxmlformats.org/officeDocument/2006/relationships/image" Target="media/image651.wmf"/><Relationship Id="rId2343" Type="http://schemas.openxmlformats.org/officeDocument/2006/relationships/image" Target="media/image1180.wmf"/><Relationship Id="rId6964" Type="http://schemas.openxmlformats.org/officeDocument/2006/relationships/oleObject" Target="embeddings/oleObject3467.bin"/><Relationship Id="rId315" Type="http://schemas.openxmlformats.org/officeDocument/2006/relationships/oleObject" Target="embeddings/oleObject152.bin"/><Relationship Id="rId5566" Type="http://schemas.openxmlformats.org/officeDocument/2006/relationships/oleObject" Target="embeddings/oleObject2772.bin"/><Relationship Id="rId6617" Type="http://schemas.openxmlformats.org/officeDocument/2006/relationships/image" Target="media/image3318.wmf"/><Relationship Id="rId4168" Type="http://schemas.openxmlformats.org/officeDocument/2006/relationships/oleObject" Target="embeddings/oleObject2075.bin"/><Relationship Id="rId5219" Type="http://schemas.openxmlformats.org/officeDocument/2006/relationships/image" Target="media/image2620.wmf"/><Relationship Id="rId8789" Type="http://schemas.openxmlformats.org/officeDocument/2006/relationships/image" Target="media/image4404.wmf"/><Relationship Id="rId11020" Type="http://schemas.openxmlformats.org/officeDocument/2006/relationships/image" Target="media/image5520.wmf"/><Relationship Id="rId14590" Type="http://schemas.openxmlformats.org/officeDocument/2006/relationships/image" Target="media/image7309.wmf"/><Relationship Id="rId1829" Type="http://schemas.openxmlformats.org/officeDocument/2006/relationships/oleObject" Target="embeddings/oleObject902.bin"/><Relationship Id="rId5700" Type="http://schemas.openxmlformats.org/officeDocument/2006/relationships/oleObject" Target="embeddings/oleObject2839.bin"/><Relationship Id="rId13192" Type="http://schemas.openxmlformats.org/officeDocument/2006/relationships/oleObject" Target="embeddings/oleObject6543.bin"/><Relationship Id="rId14243" Type="http://schemas.openxmlformats.org/officeDocument/2006/relationships/image" Target="media/image7136.wmf"/><Relationship Id="rId3251" Type="http://schemas.openxmlformats.org/officeDocument/2006/relationships/image" Target="media/image1635.wmf"/><Relationship Id="rId4302" Type="http://schemas.openxmlformats.org/officeDocument/2006/relationships/oleObject" Target="embeddings/oleObject2142.bin"/><Relationship Id="rId7872" Type="http://schemas.openxmlformats.org/officeDocument/2006/relationships/image" Target="media/image3945.wmf"/><Relationship Id="rId8923" Type="http://schemas.openxmlformats.org/officeDocument/2006/relationships/image" Target="media/image4471.wmf"/><Relationship Id="rId172" Type="http://schemas.openxmlformats.org/officeDocument/2006/relationships/image" Target="media/image85.wmf"/><Relationship Id="rId6474" Type="http://schemas.openxmlformats.org/officeDocument/2006/relationships/oleObject" Target="embeddings/oleObject3227.bin"/><Relationship Id="rId7525" Type="http://schemas.openxmlformats.org/officeDocument/2006/relationships/oleObject" Target="embeddings/oleObject3747.bin"/><Relationship Id="rId10853" Type="http://schemas.openxmlformats.org/officeDocument/2006/relationships/oleObject" Target="embeddings/oleObject5389.bin"/><Relationship Id="rId11904" Type="http://schemas.openxmlformats.org/officeDocument/2006/relationships/image" Target="media/image5965.wmf"/><Relationship Id="rId5076" Type="http://schemas.openxmlformats.org/officeDocument/2006/relationships/image" Target="media/image2548.wmf"/><Relationship Id="rId6127" Type="http://schemas.openxmlformats.org/officeDocument/2006/relationships/image" Target="media/image3074.wmf"/><Relationship Id="rId9697" Type="http://schemas.openxmlformats.org/officeDocument/2006/relationships/oleObject" Target="embeddings/oleObject4820.bin"/><Relationship Id="rId10506" Type="http://schemas.openxmlformats.org/officeDocument/2006/relationships/image" Target="media/image5262.wmf"/><Relationship Id="rId1686" Type="http://schemas.openxmlformats.org/officeDocument/2006/relationships/image" Target="media/image849.wmf"/><Relationship Id="rId8299" Type="http://schemas.openxmlformats.org/officeDocument/2006/relationships/oleObject" Target="embeddings/oleObject4134.bin"/><Relationship Id="rId12678" Type="http://schemas.openxmlformats.org/officeDocument/2006/relationships/oleObject" Target="embeddings/oleObject6288.bin"/><Relationship Id="rId13729" Type="http://schemas.openxmlformats.org/officeDocument/2006/relationships/image" Target="media/image6879.wmf"/><Relationship Id="rId1339" Type="http://schemas.openxmlformats.org/officeDocument/2006/relationships/oleObject" Target="embeddings/oleObject659.bin"/><Relationship Id="rId2737" Type="http://schemas.openxmlformats.org/officeDocument/2006/relationships/oleObject" Target="embeddings/oleObject1356.bin"/><Relationship Id="rId5210" Type="http://schemas.openxmlformats.org/officeDocument/2006/relationships/image" Target="media/image2615.wmf"/><Relationship Id="rId709" Type="http://schemas.openxmlformats.org/officeDocument/2006/relationships/oleObject" Target="embeddings/oleObject343.bin"/><Relationship Id="rId8780" Type="http://schemas.openxmlformats.org/officeDocument/2006/relationships/oleObject" Target="embeddings/oleObject4373.bin"/><Relationship Id="rId9831" Type="http://schemas.openxmlformats.org/officeDocument/2006/relationships/oleObject" Target="embeddings/oleObject4887.bin"/><Relationship Id="rId11761" Type="http://schemas.openxmlformats.org/officeDocument/2006/relationships/oleObject" Target="embeddings/oleObject5832.bin"/><Relationship Id="rId12812" Type="http://schemas.openxmlformats.org/officeDocument/2006/relationships/oleObject" Target="embeddings/oleObject6355.bin"/><Relationship Id="rId45" Type="http://schemas.openxmlformats.org/officeDocument/2006/relationships/image" Target="media/image20.wmf"/><Relationship Id="rId1820" Type="http://schemas.openxmlformats.org/officeDocument/2006/relationships/image" Target="media/image916.wmf"/><Relationship Id="rId7382" Type="http://schemas.openxmlformats.org/officeDocument/2006/relationships/image" Target="media/image3700.wmf"/><Relationship Id="rId8433" Type="http://schemas.openxmlformats.org/officeDocument/2006/relationships/oleObject" Target="embeddings/oleObject4201.bin"/><Relationship Id="rId10363" Type="http://schemas.openxmlformats.org/officeDocument/2006/relationships/image" Target="media/image5190.wmf"/><Relationship Id="rId11414" Type="http://schemas.openxmlformats.org/officeDocument/2006/relationships/oleObject" Target="embeddings/oleObject5660.bin"/><Relationship Id="rId3992" Type="http://schemas.openxmlformats.org/officeDocument/2006/relationships/oleObject" Target="embeddings/oleObject1987.bin"/><Relationship Id="rId7035" Type="http://schemas.openxmlformats.org/officeDocument/2006/relationships/image" Target="media/image3527.wmf"/><Relationship Id="rId10016" Type="http://schemas.openxmlformats.org/officeDocument/2006/relationships/oleObject" Target="embeddings/oleObject4977.bin"/><Relationship Id="rId13586" Type="http://schemas.openxmlformats.org/officeDocument/2006/relationships/image" Target="media/image6808.wmf"/><Relationship Id="rId2594" Type="http://schemas.openxmlformats.org/officeDocument/2006/relationships/image" Target="media/image1307.wmf"/><Relationship Id="rId3645" Type="http://schemas.openxmlformats.org/officeDocument/2006/relationships/oleObject" Target="embeddings/oleObject1813.bin"/><Relationship Id="rId12188" Type="http://schemas.openxmlformats.org/officeDocument/2006/relationships/image" Target="media/image6107.wmf"/><Relationship Id="rId13239" Type="http://schemas.openxmlformats.org/officeDocument/2006/relationships/image" Target="media/image6634.wmf"/><Relationship Id="rId566" Type="http://schemas.openxmlformats.org/officeDocument/2006/relationships/image" Target="media/image284.wmf"/><Relationship Id="rId1196" Type="http://schemas.openxmlformats.org/officeDocument/2006/relationships/image" Target="media/image603.wmf"/><Relationship Id="rId2247" Type="http://schemas.openxmlformats.org/officeDocument/2006/relationships/image" Target="media/image1130.wmf"/><Relationship Id="rId219" Type="http://schemas.openxmlformats.org/officeDocument/2006/relationships/oleObject" Target="embeddings/oleObject104.bin"/><Relationship Id="rId6868" Type="http://schemas.openxmlformats.org/officeDocument/2006/relationships/oleObject" Target="embeddings/oleObject3419.bin"/><Relationship Id="rId7919" Type="http://schemas.openxmlformats.org/officeDocument/2006/relationships/oleObject" Target="embeddings/oleObject3944.bin"/><Relationship Id="rId8290" Type="http://schemas.openxmlformats.org/officeDocument/2006/relationships/image" Target="media/image4154.wmf"/><Relationship Id="rId9341" Type="http://schemas.openxmlformats.org/officeDocument/2006/relationships/oleObject" Target="embeddings/oleObject4651.bin"/><Relationship Id="rId13720" Type="http://schemas.openxmlformats.org/officeDocument/2006/relationships/oleObject" Target="embeddings/oleObject6806.bin"/><Relationship Id="rId11271" Type="http://schemas.openxmlformats.org/officeDocument/2006/relationships/image" Target="media/image5647.wmf"/><Relationship Id="rId12322" Type="http://schemas.openxmlformats.org/officeDocument/2006/relationships/oleObject" Target="embeddings/oleObject6110.bin"/><Relationship Id="rId700" Type="http://schemas.openxmlformats.org/officeDocument/2006/relationships/image" Target="media/image352.wmf"/><Relationship Id="rId1330" Type="http://schemas.openxmlformats.org/officeDocument/2006/relationships/image" Target="media/image670.wmf"/><Relationship Id="rId5951" Type="http://schemas.openxmlformats.org/officeDocument/2006/relationships/image" Target="media/image2986.wmf"/><Relationship Id="rId14494" Type="http://schemas.openxmlformats.org/officeDocument/2006/relationships/oleObject" Target="embeddings/oleObject7187.bin"/><Relationship Id="rId4553" Type="http://schemas.openxmlformats.org/officeDocument/2006/relationships/oleObject" Target="embeddings/oleObject2268.bin"/><Relationship Id="rId5604" Type="http://schemas.openxmlformats.org/officeDocument/2006/relationships/oleObject" Target="embeddings/oleObject2791.bin"/><Relationship Id="rId13096" Type="http://schemas.openxmlformats.org/officeDocument/2006/relationships/oleObject" Target="embeddings/oleObject6495.bin"/><Relationship Id="rId14147" Type="http://schemas.openxmlformats.org/officeDocument/2006/relationships/image" Target="media/image7088.wmf"/><Relationship Id="rId3155" Type="http://schemas.openxmlformats.org/officeDocument/2006/relationships/image" Target="media/image1587.wmf"/><Relationship Id="rId4206" Type="http://schemas.openxmlformats.org/officeDocument/2006/relationships/oleObject" Target="embeddings/oleObject2094.bin"/><Relationship Id="rId7776" Type="http://schemas.openxmlformats.org/officeDocument/2006/relationships/image" Target="media/image3897.wmf"/><Relationship Id="rId8827" Type="http://schemas.openxmlformats.org/officeDocument/2006/relationships/image" Target="media/image4423.wmf"/><Relationship Id="rId6378" Type="http://schemas.openxmlformats.org/officeDocument/2006/relationships/oleObject" Target="embeddings/oleObject3179.bin"/><Relationship Id="rId7429" Type="http://schemas.openxmlformats.org/officeDocument/2006/relationships/oleObject" Target="embeddings/oleObject3699.bin"/><Relationship Id="rId10757" Type="http://schemas.openxmlformats.org/officeDocument/2006/relationships/oleObject" Target="embeddings/oleObject5341.bin"/><Relationship Id="rId11808" Type="http://schemas.openxmlformats.org/officeDocument/2006/relationships/image" Target="media/image5917.wmf"/><Relationship Id="rId13230" Type="http://schemas.openxmlformats.org/officeDocument/2006/relationships/oleObject" Target="embeddings/oleObject6562.bin"/><Relationship Id="rId210" Type="http://schemas.openxmlformats.org/officeDocument/2006/relationships/image" Target="media/image104.wmf"/><Relationship Id="rId2988" Type="http://schemas.openxmlformats.org/officeDocument/2006/relationships/oleObject" Target="embeddings/oleObject1482.bin"/><Relationship Id="rId7910" Type="http://schemas.openxmlformats.org/officeDocument/2006/relationships/image" Target="media/image3964.wmf"/><Relationship Id="rId5461" Type="http://schemas.openxmlformats.org/officeDocument/2006/relationships/image" Target="media/image2741.wmf"/><Relationship Id="rId6512" Type="http://schemas.openxmlformats.org/officeDocument/2006/relationships/oleObject" Target="embeddings/oleObject3246.bin"/><Relationship Id="rId4063" Type="http://schemas.openxmlformats.org/officeDocument/2006/relationships/image" Target="media/image2042.wmf"/><Relationship Id="rId5114" Type="http://schemas.openxmlformats.org/officeDocument/2006/relationships/image" Target="media/image2567.wmf"/><Relationship Id="rId8684" Type="http://schemas.openxmlformats.org/officeDocument/2006/relationships/oleObject" Target="embeddings/oleObject4325.bin"/><Relationship Id="rId9735" Type="http://schemas.openxmlformats.org/officeDocument/2006/relationships/oleObject" Target="embeddings/oleObject4839.bin"/><Relationship Id="rId11665" Type="http://schemas.openxmlformats.org/officeDocument/2006/relationships/image" Target="media/image5844.wmf"/><Relationship Id="rId1724" Type="http://schemas.openxmlformats.org/officeDocument/2006/relationships/image" Target="media/image868.wmf"/><Relationship Id="rId7286" Type="http://schemas.openxmlformats.org/officeDocument/2006/relationships/image" Target="media/image3652.wmf"/><Relationship Id="rId8337" Type="http://schemas.openxmlformats.org/officeDocument/2006/relationships/oleObject" Target="embeddings/oleObject4153.bin"/><Relationship Id="rId10267" Type="http://schemas.openxmlformats.org/officeDocument/2006/relationships/image" Target="media/image5142.wmf"/><Relationship Id="rId11318" Type="http://schemas.openxmlformats.org/officeDocument/2006/relationships/oleObject" Target="embeddings/oleObject5612.bin"/><Relationship Id="rId12716" Type="http://schemas.openxmlformats.org/officeDocument/2006/relationships/oleObject" Target="embeddings/oleObject6307.bin"/><Relationship Id="rId3896" Type="http://schemas.openxmlformats.org/officeDocument/2006/relationships/image" Target="media/image1959.wmf"/><Relationship Id="rId2498" Type="http://schemas.openxmlformats.org/officeDocument/2006/relationships/image" Target="media/image1259.wmf"/><Relationship Id="rId3549" Type="http://schemas.openxmlformats.org/officeDocument/2006/relationships/oleObject" Target="embeddings/oleObject1765.bin"/><Relationship Id="rId4947" Type="http://schemas.openxmlformats.org/officeDocument/2006/relationships/oleObject" Target="embeddings/oleObject2463.bin"/><Relationship Id="rId7420" Type="http://schemas.openxmlformats.org/officeDocument/2006/relationships/image" Target="media/image3719.wmf"/><Relationship Id="rId6022" Type="http://schemas.openxmlformats.org/officeDocument/2006/relationships/oleObject" Target="embeddings/oleObject3000.bin"/><Relationship Id="rId10401" Type="http://schemas.openxmlformats.org/officeDocument/2006/relationships/image" Target="media/image5209.wmf"/><Relationship Id="rId13971" Type="http://schemas.openxmlformats.org/officeDocument/2006/relationships/image" Target="media/image7000.wmf"/><Relationship Id="rId8194" Type="http://schemas.openxmlformats.org/officeDocument/2006/relationships/image" Target="media/image4106.wmf"/><Relationship Id="rId9592" Type="http://schemas.openxmlformats.org/officeDocument/2006/relationships/image" Target="media/image4805.wmf"/><Relationship Id="rId12573" Type="http://schemas.openxmlformats.org/officeDocument/2006/relationships/image" Target="media/image6301.wmf"/><Relationship Id="rId13624" Type="http://schemas.openxmlformats.org/officeDocument/2006/relationships/image" Target="media/image6827.wmf"/><Relationship Id="rId951" Type="http://schemas.openxmlformats.org/officeDocument/2006/relationships/image" Target="media/image481.wmf"/><Relationship Id="rId1581" Type="http://schemas.openxmlformats.org/officeDocument/2006/relationships/oleObject" Target="embeddings/oleObject778.bin"/><Relationship Id="rId2632" Type="http://schemas.openxmlformats.org/officeDocument/2006/relationships/image" Target="media/image1326.wmf"/><Relationship Id="rId9245" Type="http://schemas.openxmlformats.org/officeDocument/2006/relationships/oleObject" Target="embeddings/oleObject4603.bin"/><Relationship Id="rId11175" Type="http://schemas.openxmlformats.org/officeDocument/2006/relationships/image" Target="media/image5599.wmf"/><Relationship Id="rId12226" Type="http://schemas.openxmlformats.org/officeDocument/2006/relationships/image" Target="media/image6126.wmf"/><Relationship Id="rId604" Type="http://schemas.openxmlformats.org/officeDocument/2006/relationships/image" Target="media/image303.wmf"/><Relationship Id="rId1234" Type="http://schemas.openxmlformats.org/officeDocument/2006/relationships/image" Target="media/image622.wmf"/><Relationship Id="rId5855" Type="http://schemas.openxmlformats.org/officeDocument/2006/relationships/image" Target="media/image2938.wmf"/><Relationship Id="rId6906" Type="http://schemas.openxmlformats.org/officeDocument/2006/relationships/oleObject" Target="embeddings/oleObject3438.bin"/><Relationship Id="rId14398" Type="http://schemas.openxmlformats.org/officeDocument/2006/relationships/oleObject" Target="embeddings/oleObject7143.bin"/><Relationship Id="rId4457" Type="http://schemas.openxmlformats.org/officeDocument/2006/relationships/oleObject" Target="embeddings/oleObject2220.bin"/><Relationship Id="rId5508" Type="http://schemas.openxmlformats.org/officeDocument/2006/relationships/oleObject" Target="embeddings/oleObject2743.bin"/><Relationship Id="rId3059" Type="http://schemas.openxmlformats.org/officeDocument/2006/relationships/image" Target="media/image1539.wmf"/><Relationship Id="rId13481" Type="http://schemas.openxmlformats.org/officeDocument/2006/relationships/oleObject" Target="embeddings/oleObject6686.bin"/><Relationship Id="rId14532" Type="http://schemas.openxmlformats.org/officeDocument/2006/relationships/oleObject" Target="embeddings/oleObject7206.bin"/><Relationship Id="rId1091" Type="http://schemas.openxmlformats.org/officeDocument/2006/relationships/image" Target="media/image551.wmf"/><Relationship Id="rId3540" Type="http://schemas.openxmlformats.org/officeDocument/2006/relationships/image" Target="media/image1781.wmf"/><Relationship Id="rId12083" Type="http://schemas.openxmlformats.org/officeDocument/2006/relationships/oleObject" Target="embeddings/oleObject5993.bin"/><Relationship Id="rId13134" Type="http://schemas.openxmlformats.org/officeDocument/2006/relationships/oleObject" Target="embeddings/oleObject6514.bin"/><Relationship Id="rId114" Type="http://schemas.openxmlformats.org/officeDocument/2006/relationships/oleObject" Target="embeddings/oleObject53.bin"/><Relationship Id="rId461" Type="http://schemas.openxmlformats.org/officeDocument/2006/relationships/image" Target="media/image230.wmf"/><Relationship Id="rId2142" Type="http://schemas.openxmlformats.org/officeDocument/2006/relationships/image" Target="media/image1077.wmf"/><Relationship Id="rId6763" Type="http://schemas.openxmlformats.org/officeDocument/2006/relationships/image" Target="media/image3391.wmf"/><Relationship Id="rId7814" Type="http://schemas.openxmlformats.org/officeDocument/2006/relationships/image" Target="media/image3916.wmf"/><Relationship Id="rId5365" Type="http://schemas.openxmlformats.org/officeDocument/2006/relationships/image" Target="media/image2693.wmf"/><Relationship Id="rId6416" Type="http://schemas.openxmlformats.org/officeDocument/2006/relationships/oleObject" Target="embeddings/oleObject3198.bin"/><Relationship Id="rId9986" Type="http://schemas.openxmlformats.org/officeDocument/2006/relationships/oleObject" Target="embeddings/oleObject4962.bin"/><Relationship Id="rId5018" Type="http://schemas.openxmlformats.org/officeDocument/2006/relationships/image" Target="media/image2519.wmf"/><Relationship Id="rId8588" Type="http://schemas.openxmlformats.org/officeDocument/2006/relationships/image" Target="media/image4303.wmf"/><Relationship Id="rId9639" Type="http://schemas.openxmlformats.org/officeDocument/2006/relationships/oleObject" Target="embeddings/oleObject4798.bin"/><Relationship Id="rId12967" Type="http://schemas.openxmlformats.org/officeDocument/2006/relationships/image" Target="media/image6498.wmf"/><Relationship Id="rId1628" Type="http://schemas.openxmlformats.org/officeDocument/2006/relationships/image" Target="media/image820.wmf"/><Relationship Id="rId1975" Type="http://schemas.openxmlformats.org/officeDocument/2006/relationships/oleObject" Target="embeddings/oleObject975.bin"/><Relationship Id="rId11569" Type="http://schemas.openxmlformats.org/officeDocument/2006/relationships/image" Target="media/image5796.wmf"/><Relationship Id="rId14042" Type="http://schemas.openxmlformats.org/officeDocument/2006/relationships/oleObject" Target="embeddings/oleObject6967.bin"/><Relationship Id="rId3050" Type="http://schemas.openxmlformats.org/officeDocument/2006/relationships/oleObject" Target="embeddings/oleObject1513.bin"/><Relationship Id="rId4101" Type="http://schemas.openxmlformats.org/officeDocument/2006/relationships/image" Target="media/image2061.wmf"/><Relationship Id="rId7671" Type="http://schemas.openxmlformats.org/officeDocument/2006/relationships/oleObject" Target="embeddings/oleObject3820.bin"/><Relationship Id="rId8722" Type="http://schemas.openxmlformats.org/officeDocument/2006/relationships/oleObject" Target="embeddings/oleObject4344.bin"/><Relationship Id="rId10652" Type="http://schemas.openxmlformats.org/officeDocument/2006/relationships/image" Target="media/image5335.wmf"/><Relationship Id="rId11703" Type="http://schemas.openxmlformats.org/officeDocument/2006/relationships/oleObject" Target="embeddings/oleObject5803.bin"/><Relationship Id="rId6273" Type="http://schemas.openxmlformats.org/officeDocument/2006/relationships/image" Target="media/image3147.wmf"/><Relationship Id="rId7324" Type="http://schemas.openxmlformats.org/officeDocument/2006/relationships/image" Target="media/image3671.wmf"/><Relationship Id="rId10305" Type="http://schemas.openxmlformats.org/officeDocument/2006/relationships/image" Target="media/image5161.wmf"/><Relationship Id="rId13875" Type="http://schemas.openxmlformats.org/officeDocument/2006/relationships/image" Target="media/image6952.wmf"/><Relationship Id="rId2883" Type="http://schemas.openxmlformats.org/officeDocument/2006/relationships/image" Target="media/image1451.wmf"/><Relationship Id="rId3934" Type="http://schemas.openxmlformats.org/officeDocument/2006/relationships/image" Target="media/image1978.wmf"/><Relationship Id="rId9496" Type="http://schemas.openxmlformats.org/officeDocument/2006/relationships/image" Target="media/image4757.wmf"/><Relationship Id="rId12477" Type="http://schemas.openxmlformats.org/officeDocument/2006/relationships/image" Target="media/image6253.wmf"/><Relationship Id="rId13528" Type="http://schemas.openxmlformats.org/officeDocument/2006/relationships/image" Target="media/image6779.wmf"/><Relationship Id="rId855" Type="http://schemas.openxmlformats.org/officeDocument/2006/relationships/oleObject" Target="embeddings/oleObject419.bin"/><Relationship Id="rId1485" Type="http://schemas.openxmlformats.org/officeDocument/2006/relationships/oleObject" Target="embeddings/oleObject731.bin"/><Relationship Id="rId2536" Type="http://schemas.openxmlformats.org/officeDocument/2006/relationships/image" Target="media/image1278.wmf"/><Relationship Id="rId8098" Type="http://schemas.openxmlformats.org/officeDocument/2006/relationships/image" Target="media/image4058.wmf"/><Relationship Id="rId9149" Type="http://schemas.openxmlformats.org/officeDocument/2006/relationships/image" Target="media/image4584.wmf"/><Relationship Id="rId11079" Type="http://schemas.openxmlformats.org/officeDocument/2006/relationships/image" Target="media/image5551.wmf"/><Relationship Id="rId508" Type="http://schemas.openxmlformats.org/officeDocument/2006/relationships/oleObject" Target="embeddings/oleObject245.bin"/><Relationship Id="rId1138" Type="http://schemas.openxmlformats.org/officeDocument/2006/relationships/oleObject" Target="embeddings/oleObject559.bin"/><Relationship Id="rId5759" Type="http://schemas.openxmlformats.org/officeDocument/2006/relationships/image" Target="media/image2890.wmf"/><Relationship Id="rId9630" Type="http://schemas.openxmlformats.org/officeDocument/2006/relationships/image" Target="media/image4824.wmf"/><Relationship Id="rId7181" Type="http://schemas.openxmlformats.org/officeDocument/2006/relationships/oleObject" Target="embeddings/oleObject3575.bin"/><Relationship Id="rId8232" Type="http://schemas.openxmlformats.org/officeDocument/2006/relationships/image" Target="media/image4125.wmf"/><Relationship Id="rId11560" Type="http://schemas.openxmlformats.org/officeDocument/2006/relationships/oleObject" Target="embeddings/oleObject5733.bin"/><Relationship Id="rId12611" Type="http://schemas.openxmlformats.org/officeDocument/2006/relationships/image" Target="media/image6320.wmf"/><Relationship Id="rId10162" Type="http://schemas.openxmlformats.org/officeDocument/2006/relationships/oleObject" Target="embeddings/oleObject5050.bin"/><Relationship Id="rId11213" Type="http://schemas.openxmlformats.org/officeDocument/2006/relationships/image" Target="media/image5618.wmf"/><Relationship Id="rId3791" Type="http://schemas.openxmlformats.org/officeDocument/2006/relationships/oleObject" Target="embeddings/oleObject1886.bin"/><Relationship Id="rId4842" Type="http://schemas.openxmlformats.org/officeDocument/2006/relationships/image" Target="media/image2431.wmf"/><Relationship Id="rId13385" Type="http://schemas.openxmlformats.org/officeDocument/2006/relationships/oleObject" Target="embeddings/oleObject6638.bin"/><Relationship Id="rId14436" Type="http://schemas.openxmlformats.org/officeDocument/2006/relationships/oleObject" Target="embeddings/oleObject7158.bin"/><Relationship Id="rId2393" Type="http://schemas.openxmlformats.org/officeDocument/2006/relationships/image" Target="media/image1205.wmf"/><Relationship Id="rId3444" Type="http://schemas.openxmlformats.org/officeDocument/2006/relationships/image" Target="media/image1733.wmf"/><Relationship Id="rId13038" Type="http://schemas.openxmlformats.org/officeDocument/2006/relationships/oleObject" Target="embeddings/oleObject6466.bin"/><Relationship Id="rId365" Type="http://schemas.openxmlformats.org/officeDocument/2006/relationships/oleObject" Target="embeddings/oleObject177.bin"/><Relationship Id="rId2046" Type="http://schemas.openxmlformats.org/officeDocument/2006/relationships/image" Target="media/image1029.wmf"/><Relationship Id="rId6667" Type="http://schemas.openxmlformats.org/officeDocument/2006/relationships/image" Target="media/image3343.wmf"/><Relationship Id="rId7718" Type="http://schemas.openxmlformats.org/officeDocument/2006/relationships/image" Target="media/image3868.wmf"/><Relationship Id="rId5269" Type="http://schemas.openxmlformats.org/officeDocument/2006/relationships/image" Target="media/image2645.wmf"/><Relationship Id="rId9140" Type="http://schemas.openxmlformats.org/officeDocument/2006/relationships/oleObject" Target="embeddings/oleObject4550.bin"/><Relationship Id="rId11070" Type="http://schemas.openxmlformats.org/officeDocument/2006/relationships/oleObject" Target="embeddings/oleObject5488.bin"/><Relationship Id="rId12121" Type="http://schemas.openxmlformats.org/officeDocument/2006/relationships/oleObject" Target="embeddings/oleObject6012.bin"/><Relationship Id="rId1879" Type="http://schemas.openxmlformats.org/officeDocument/2006/relationships/oleObject" Target="embeddings/oleObject927.bin"/><Relationship Id="rId5750" Type="http://schemas.openxmlformats.org/officeDocument/2006/relationships/oleObject" Target="embeddings/oleObject2864.bin"/><Relationship Id="rId6801" Type="http://schemas.openxmlformats.org/officeDocument/2006/relationships/image" Target="media/image3410.wmf"/><Relationship Id="rId14293" Type="http://schemas.openxmlformats.org/officeDocument/2006/relationships/image" Target="media/image7161.wmf"/><Relationship Id="rId4005" Type="http://schemas.openxmlformats.org/officeDocument/2006/relationships/image" Target="media/image2013.wmf"/><Relationship Id="rId4352" Type="http://schemas.openxmlformats.org/officeDocument/2006/relationships/image" Target="media/image2186.wmf"/><Relationship Id="rId5403" Type="http://schemas.openxmlformats.org/officeDocument/2006/relationships/image" Target="media/image2712.wmf"/><Relationship Id="rId8973" Type="http://schemas.openxmlformats.org/officeDocument/2006/relationships/image" Target="media/image4496.wmf"/><Relationship Id="rId11954" Type="http://schemas.openxmlformats.org/officeDocument/2006/relationships/image" Target="media/image5990.wmf"/><Relationship Id="rId7575" Type="http://schemas.openxmlformats.org/officeDocument/2006/relationships/oleObject" Target="embeddings/oleObject3772.bin"/><Relationship Id="rId8626" Type="http://schemas.openxmlformats.org/officeDocument/2006/relationships/image" Target="media/image4322.wmf"/><Relationship Id="rId10556" Type="http://schemas.openxmlformats.org/officeDocument/2006/relationships/image" Target="media/image5287.wmf"/><Relationship Id="rId11607" Type="http://schemas.openxmlformats.org/officeDocument/2006/relationships/image" Target="media/image5815.wmf"/><Relationship Id="rId6177" Type="http://schemas.openxmlformats.org/officeDocument/2006/relationships/image" Target="media/image3099.wmf"/><Relationship Id="rId7228" Type="http://schemas.openxmlformats.org/officeDocument/2006/relationships/image" Target="media/image3623.wmf"/><Relationship Id="rId10209" Type="http://schemas.openxmlformats.org/officeDocument/2006/relationships/image" Target="media/image5113.wmf"/><Relationship Id="rId2787" Type="http://schemas.openxmlformats.org/officeDocument/2006/relationships/oleObject" Target="embeddings/oleObject1381.bin"/><Relationship Id="rId3838" Type="http://schemas.openxmlformats.org/officeDocument/2006/relationships/image" Target="media/image1930.wmf"/><Relationship Id="rId13779" Type="http://schemas.openxmlformats.org/officeDocument/2006/relationships/image" Target="media/image6904.wmf"/><Relationship Id="rId759" Type="http://schemas.openxmlformats.org/officeDocument/2006/relationships/oleObject" Target="embeddings/oleObject368.bin"/><Relationship Id="rId1389" Type="http://schemas.openxmlformats.org/officeDocument/2006/relationships/oleObject" Target="embeddings/oleObject683.bin"/><Relationship Id="rId5260" Type="http://schemas.openxmlformats.org/officeDocument/2006/relationships/oleObject" Target="embeddings/oleObject2619.bin"/><Relationship Id="rId6311" Type="http://schemas.openxmlformats.org/officeDocument/2006/relationships/image" Target="media/image3166.wmf"/><Relationship Id="rId8483" Type="http://schemas.openxmlformats.org/officeDocument/2006/relationships/oleObject" Target="embeddings/oleObject4226.bin"/><Relationship Id="rId9881" Type="http://schemas.openxmlformats.org/officeDocument/2006/relationships/image" Target="media/image4949.wmf"/><Relationship Id="rId12862" Type="http://schemas.openxmlformats.org/officeDocument/2006/relationships/oleObject" Target="embeddings/oleObject6380.bin"/><Relationship Id="rId13913" Type="http://schemas.openxmlformats.org/officeDocument/2006/relationships/image" Target="media/image6971.wmf"/><Relationship Id="rId95" Type="http://schemas.openxmlformats.org/officeDocument/2006/relationships/image" Target="media/image45.wmf"/><Relationship Id="rId1870" Type="http://schemas.openxmlformats.org/officeDocument/2006/relationships/image" Target="media/image941.wmf"/><Relationship Id="rId2921" Type="http://schemas.openxmlformats.org/officeDocument/2006/relationships/image" Target="media/image1470.wmf"/><Relationship Id="rId7085" Type="http://schemas.openxmlformats.org/officeDocument/2006/relationships/image" Target="media/image3552.wmf"/><Relationship Id="rId8136" Type="http://schemas.openxmlformats.org/officeDocument/2006/relationships/image" Target="media/image4077.wmf"/><Relationship Id="rId9534" Type="http://schemas.openxmlformats.org/officeDocument/2006/relationships/image" Target="media/image4776.wmf"/><Relationship Id="rId11464" Type="http://schemas.openxmlformats.org/officeDocument/2006/relationships/oleObject" Target="embeddings/oleObject5685.bin"/><Relationship Id="rId12515" Type="http://schemas.openxmlformats.org/officeDocument/2006/relationships/image" Target="media/image6272.wmf"/><Relationship Id="rId1523" Type="http://schemas.openxmlformats.org/officeDocument/2006/relationships/oleObject" Target="embeddings/oleObject748.bin"/><Relationship Id="rId10066" Type="http://schemas.openxmlformats.org/officeDocument/2006/relationships/oleObject" Target="embeddings/oleObject5002.bin"/><Relationship Id="rId11117" Type="http://schemas.openxmlformats.org/officeDocument/2006/relationships/image" Target="media/image5570.wmf"/><Relationship Id="rId3695" Type="http://schemas.openxmlformats.org/officeDocument/2006/relationships/oleObject" Target="embeddings/oleObject1838.bin"/><Relationship Id="rId4746" Type="http://schemas.openxmlformats.org/officeDocument/2006/relationships/image" Target="media/image2383.wmf"/><Relationship Id="rId13289" Type="http://schemas.openxmlformats.org/officeDocument/2006/relationships/image" Target="media/image6659.wmf"/><Relationship Id="rId2297" Type="http://schemas.openxmlformats.org/officeDocument/2006/relationships/image" Target="media/image1155.wmf"/><Relationship Id="rId3348" Type="http://schemas.openxmlformats.org/officeDocument/2006/relationships/image" Target="media/image1683.wmf"/><Relationship Id="rId7969" Type="http://schemas.openxmlformats.org/officeDocument/2006/relationships/oleObject" Target="embeddings/oleObject3969.bin"/><Relationship Id="rId10200" Type="http://schemas.openxmlformats.org/officeDocument/2006/relationships/oleObject" Target="embeddings/oleObject5067.bin"/><Relationship Id="rId269" Type="http://schemas.openxmlformats.org/officeDocument/2006/relationships/oleObject" Target="embeddings/oleObject129.bin"/><Relationship Id="rId9391" Type="http://schemas.openxmlformats.org/officeDocument/2006/relationships/oleObject" Target="embeddings/oleObject4676.bin"/><Relationship Id="rId13770" Type="http://schemas.openxmlformats.org/officeDocument/2006/relationships/oleObject" Target="embeddings/oleObject6831.bin"/><Relationship Id="rId1380" Type="http://schemas.openxmlformats.org/officeDocument/2006/relationships/image" Target="media/image695.wmf"/><Relationship Id="rId9044" Type="http://schemas.openxmlformats.org/officeDocument/2006/relationships/oleObject" Target="embeddings/oleObject4502.bin"/><Relationship Id="rId12372" Type="http://schemas.openxmlformats.org/officeDocument/2006/relationships/oleObject" Target="embeddings/oleObject6135.bin"/><Relationship Id="rId13423" Type="http://schemas.openxmlformats.org/officeDocument/2006/relationships/oleObject" Target="embeddings/oleObject6657.bin"/><Relationship Id="rId403" Type="http://schemas.openxmlformats.org/officeDocument/2006/relationships/image" Target="media/image201.wmf"/><Relationship Id="rId750" Type="http://schemas.openxmlformats.org/officeDocument/2006/relationships/image" Target="media/image377.wmf"/><Relationship Id="rId1033" Type="http://schemas.openxmlformats.org/officeDocument/2006/relationships/image" Target="media/image522.wmf"/><Relationship Id="rId2431" Type="http://schemas.openxmlformats.org/officeDocument/2006/relationships/oleObject" Target="embeddings/oleObject1204.bin"/><Relationship Id="rId12025" Type="http://schemas.openxmlformats.org/officeDocument/2006/relationships/oleObject" Target="embeddings/oleObject5964.bin"/><Relationship Id="rId5654" Type="http://schemas.openxmlformats.org/officeDocument/2006/relationships/oleObject" Target="embeddings/oleObject2816.bin"/><Relationship Id="rId6705" Type="http://schemas.openxmlformats.org/officeDocument/2006/relationships/image" Target="media/image3362.wmf"/><Relationship Id="rId14197" Type="http://schemas.openxmlformats.org/officeDocument/2006/relationships/image" Target="media/image7113.wmf"/><Relationship Id="rId4256" Type="http://schemas.openxmlformats.org/officeDocument/2006/relationships/oleObject" Target="embeddings/oleObject2119.bin"/><Relationship Id="rId5307" Type="http://schemas.openxmlformats.org/officeDocument/2006/relationships/image" Target="media/image2664.wmf"/><Relationship Id="rId8877" Type="http://schemas.openxmlformats.org/officeDocument/2006/relationships/image" Target="media/image4448.wmf"/><Relationship Id="rId9928" Type="http://schemas.openxmlformats.org/officeDocument/2006/relationships/oleObject" Target="embeddings/oleObject4936.bin"/><Relationship Id="rId1917" Type="http://schemas.openxmlformats.org/officeDocument/2006/relationships/oleObject" Target="embeddings/oleObject946.bin"/><Relationship Id="rId7479" Type="http://schemas.openxmlformats.org/officeDocument/2006/relationships/oleObject" Target="embeddings/oleObject3724.bin"/><Relationship Id="rId11858" Type="http://schemas.openxmlformats.org/officeDocument/2006/relationships/image" Target="media/image5942.wmf"/><Relationship Id="rId12909" Type="http://schemas.openxmlformats.org/officeDocument/2006/relationships/image" Target="media/image6469.wmf"/><Relationship Id="rId13280" Type="http://schemas.openxmlformats.org/officeDocument/2006/relationships/oleObject" Target="embeddings/oleObject6587.bin"/><Relationship Id="rId14331" Type="http://schemas.openxmlformats.org/officeDocument/2006/relationships/image" Target="media/image7180.wmf"/><Relationship Id="rId260" Type="http://schemas.openxmlformats.org/officeDocument/2006/relationships/image" Target="media/image129.wmf"/><Relationship Id="rId7960" Type="http://schemas.openxmlformats.org/officeDocument/2006/relationships/image" Target="media/image3989.wmf"/><Relationship Id="rId10941" Type="http://schemas.openxmlformats.org/officeDocument/2006/relationships/image" Target="media/image5480.png"/><Relationship Id="rId5164" Type="http://schemas.openxmlformats.org/officeDocument/2006/relationships/image" Target="media/image2592.wmf"/><Relationship Id="rId6215" Type="http://schemas.openxmlformats.org/officeDocument/2006/relationships/image" Target="media/image3118.wmf"/><Relationship Id="rId6562" Type="http://schemas.openxmlformats.org/officeDocument/2006/relationships/oleObject" Target="embeddings/oleObject3268.bin"/><Relationship Id="rId7613" Type="http://schemas.openxmlformats.org/officeDocument/2006/relationships/oleObject" Target="embeddings/oleObject3791.bin"/><Relationship Id="rId9785" Type="http://schemas.openxmlformats.org/officeDocument/2006/relationships/oleObject" Target="embeddings/oleObject4864.bin"/><Relationship Id="rId12766" Type="http://schemas.openxmlformats.org/officeDocument/2006/relationships/oleObject" Target="embeddings/oleObject6332.bin"/><Relationship Id="rId13817" Type="http://schemas.openxmlformats.org/officeDocument/2006/relationships/image" Target="media/image6923.wmf"/><Relationship Id="rId1774" Type="http://schemas.openxmlformats.org/officeDocument/2006/relationships/image" Target="media/image893.wmf"/><Relationship Id="rId2825" Type="http://schemas.openxmlformats.org/officeDocument/2006/relationships/oleObject" Target="embeddings/oleObject1400.bin"/><Relationship Id="rId8387" Type="http://schemas.openxmlformats.org/officeDocument/2006/relationships/oleObject" Target="embeddings/oleObject4178.bin"/><Relationship Id="rId9438" Type="http://schemas.openxmlformats.org/officeDocument/2006/relationships/image" Target="media/image4728.wmf"/><Relationship Id="rId11368" Type="http://schemas.openxmlformats.org/officeDocument/2006/relationships/oleObject" Target="embeddings/oleObject5637.bin"/><Relationship Id="rId12419" Type="http://schemas.openxmlformats.org/officeDocument/2006/relationships/image" Target="media/image6224.wmf"/><Relationship Id="rId1427" Type="http://schemas.openxmlformats.org/officeDocument/2006/relationships/oleObject" Target="embeddings/oleObject702.bin"/><Relationship Id="rId4997" Type="http://schemas.openxmlformats.org/officeDocument/2006/relationships/oleObject" Target="embeddings/oleObject2488.bin"/><Relationship Id="rId3599" Type="http://schemas.openxmlformats.org/officeDocument/2006/relationships/oleObject" Target="embeddings/oleObject1790.bin"/><Relationship Id="rId7470" Type="http://schemas.openxmlformats.org/officeDocument/2006/relationships/image" Target="media/image3744.wmf"/><Relationship Id="rId8521" Type="http://schemas.openxmlformats.org/officeDocument/2006/relationships/oleObject" Target="embeddings/oleObject4245.bin"/><Relationship Id="rId12900" Type="http://schemas.openxmlformats.org/officeDocument/2006/relationships/oleObject" Target="embeddings/oleObject6399.bin"/><Relationship Id="rId6072" Type="http://schemas.openxmlformats.org/officeDocument/2006/relationships/oleObject" Target="embeddings/oleObject3025.bin"/><Relationship Id="rId7123" Type="http://schemas.openxmlformats.org/officeDocument/2006/relationships/oleObject" Target="embeddings/oleObject3547.bin"/><Relationship Id="rId10451" Type="http://schemas.openxmlformats.org/officeDocument/2006/relationships/oleObject" Target="embeddings/oleObject5192.bin"/><Relationship Id="rId11502" Type="http://schemas.openxmlformats.org/officeDocument/2006/relationships/oleObject" Target="embeddings/oleObject5704.bin"/><Relationship Id="rId9295" Type="http://schemas.openxmlformats.org/officeDocument/2006/relationships/oleObject" Target="embeddings/oleObject4628.bin"/><Relationship Id="rId10104" Type="http://schemas.openxmlformats.org/officeDocument/2006/relationships/oleObject" Target="embeddings/oleObject5021.bin"/><Relationship Id="rId13674" Type="http://schemas.openxmlformats.org/officeDocument/2006/relationships/image" Target="media/image6852.wmf"/><Relationship Id="rId2682" Type="http://schemas.openxmlformats.org/officeDocument/2006/relationships/image" Target="media/image1351.wmf"/><Relationship Id="rId3733" Type="http://schemas.openxmlformats.org/officeDocument/2006/relationships/oleObject" Target="embeddings/oleObject1857.bin"/><Relationship Id="rId12276" Type="http://schemas.openxmlformats.org/officeDocument/2006/relationships/image" Target="media/image6151.wmf"/><Relationship Id="rId13327" Type="http://schemas.openxmlformats.org/officeDocument/2006/relationships/image" Target="media/image6678.wmf"/><Relationship Id="rId654" Type="http://schemas.openxmlformats.org/officeDocument/2006/relationships/image" Target="media/image329.wmf"/><Relationship Id="rId1284" Type="http://schemas.openxmlformats.org/officeDocument/2006/relationships/image" Target="media/image647.wmf"/><Relationship Id="rId2335" Type="http://schemas.openxmlformats.org/officeDocument/2006/relationships/image" Target="media/image1176.wmf"/><Relationship Id="rId6956" Type="http://schemas.openxmlformats.org/officeDocument/2006/relationships/oleObject" Target="embeddings/oleObject3463.bin"/><Relationship Id="rId307" Type="http://schemas.openxmlformats.org/officeDocument/2006/relationships/oleObject" Target="embeddings/oleObject148.bin"/><Relationship Id="rId5558" Type="http://schemas.openxmlformats.org/officeDocument/2006/relationships/oleObject" Target="embeddings/oleObject2768.bin"/><Relationship Id="rId6609" Type="http://schemas.openxmlformats.org/officeDocument/2006/relationships/image" Target="media/image3314.wmf"/><Relationship Id="rId12410" Type="http://schemas.openxmlformats.org/officeDocument/2006/relationships/oleObject" Target="embeddings/oleObject6154.bin"/><Relationship Id="rId8031" Type="http://schemas.openxmlformats.org/officeDocument/2006/relationships/oleObject" Target="embeddings/oleObject4000.bin"/><Relationship Id="rId11012" Type="http://schemas.openxmlformats.org/officeDocument/2006/relationships/image" Target="media/image5516.wmf"/><Relationship Id="rId3590" Type="http://schemas.openxmlformats.org/officeDocument/2006/relationships/image" Target="media/image1806.wmf"/><Relationship Id="rId13184" Type="http://schemas.openxmlformats.org/officeDocument/2006/relationships/oleObject" Target="embeddings/oleObject6539.bin"/><Relationship Id="rId14582" Type="http://schemas.openxmlformats.org/officeDocument/2006/relationships/oleObject" Target="embeddings/oleObject7231.bin"/><Relationship Id="rId2192" Type="http://schemas.openxmlformats.org/officeDocument/2006/relationships/image" Target="media/image1102.wmf"/><Relationship Id="rId3243" Type="http://schemas.openxmlformats.org/officeDocument/2006/relationships/image" Target="media/image1631.wmf"/><Relationship Id="rId4641" Type="http://schemas.openxmlformats.org/officeDocument/2006/relationships/oleObject" Target="embeddings/oleObject2312.bin"/><Relationship Id="rId14235" Type="http://schemas.openxmlformats.org/officeDocument/2006/relationships/image" Target="media/image7132.wmf"/><Relationship Id="rId164" Type="http://schemas.openxmlformats.org/officeDocument/2006/relationships/image" Target="media/image81.wmf"/><Relationship Id="rId7864" Type="http://schemas.openxmlformats.org/officeDocument/2006/relationships/image" Target="media/image3941.wmf"/><Relationship Id="rId8915" Type="http://schemas.openxmlformats.org/officeDocument/2006/relationships/image" Target="media/image4467.wmf"/><Relationship Id="rId10845" Type="http://schemas.openxmlformats.org/officeDocument/2006/relationships/oleObject" Target="embeddings/oleObject5385.bin"/><Relationship Id="rId5068" Type="http://schemas.openxmlformats.org/officeDocument/2006/relationships/image" Target="media/image2544.wmf"/><Relationship Id="rId6466" Type="http://schemas.openxmlformats.org/officeDocument/2006/relationships/oleObject" Target="embeddings/oleObject3223.bin"/><Relationship Id="rId7517" Type="http://schemas.openxmlformats.org/officeDocument/2006/relationships/oleObject" Target="embeddings/oleObject3743.bin"/><Relationship Id="rId6119" Type="http://schemas.openxmlformats.org/officeDocument/2006/relationships/image" Target="media/image3070.wmf"/><Relationship Id="rId9689" Type="http://schemas.microsoft.com/office/2007/relationships/hdphoto" Target="media/hdphoto27.wdp"/><Relationship Id="rId1678" Type="http://schemas.openxmlformats.org/officeDocument/2006/relationships/image" Target="media/image845.wmf"/><Relationship Id="rId2729" Type="http://schemas.openxmlformats.org/officeDocument/2006/relationships/oleObject" Target="embeddings/oleObject1352.bin"/><Relationship Id="rId6600" Type="http://schemas.openxmlformats.org/officeDocument/2006/relationships/oleObject" Target="embeddings/oleObject3287.bin"/><Relationship Id="rId14092" Type="http://schemas.openxmlformats.org/officeDocument/2006/relationships/oleObject" Target="embeddings/oleObject6992.bin"/><Relationship Id="rId4151" Type="http://schemas.openxmlformats.org/officeDocument/2006/relationships/image" Target="media/image2086.wmf"/><Relationship Id="rId5202" Type="http://schemas.openxmlformats.org/officeDocument/2006/relationships/image" Target="media/image2611.wmf"/><Relationship Id="rId7374" Type="http://schemas.openxmlformats.org/officeDocument/2006/relationships/image" Target="media/image3696.wmf"/><Relationship Id="rId8425" Type="http://schemas.openxmlformats.org/officeDocument/2006/relationships/oleObject" Target="embeddings/oleObject4197.bin"/><Relationship Id="rId8772" Type="http://schemas.openxmlformats.org/officeDocument/2006/relationships/oleObject" Target="embeddings/oleObject4369.bin"/><Relationship Id="rId9823" Type="http://schemas.openxmlformats.org/officeDocument/2006/relationships/oleObject" Target="embeddings/oleObject4883.bin"/><Relationship Id="rId11753" Type="http://schemas.openxmlformats.org/officeDocument/2006/relationships/oleObject" Target="embeddings/oleObject5828.bin"/><Relationship Id="rId12804" Type="http://schemas.openxmlformats.org/officeDocument/2006/relationships/oleObject" Target="embeddings/oleObject6351.bin"/><Relationship Id="rId37" Type="http://schemas.openxmlformats.org/officeDocument/2006/relationships/image" Target="media/image16.wmf"/><Relationship Id="rId1812" Type="http://schemas.openxmlformats.org/officeDocument/2006/relationships/image" Target="media/image912.wmf"/><Relationship Id="rId7027" Type="http://schemas.openxmlformats.org/officeDocument/2006/relationships/image" Target="media/image3523.wmf"/><Relationship Id="rId10355" Type="http://schemas.openxmlformats.org/officeDocument/2006/relationships/image" Target="media/image5186.wmf"/><Relationship Id="rId11406" Type="http://schemas.openxmlformats.org/officeDocument/2006/relationships/oleObject" Target="embeddings/oleObject5656.bin"/><Relationship Id="rId3984" Type="http://schemas.openxmlformats.org/officeDocument/2006/relationships/oleObject" Target="embeddings/oleObject1983.bin"/><Relationship Id="rId9199" Type="http://schemas.openxmlformats.org/officeDocument/2006/relationships/oleObject" Target="embeddings/oleObject4580.bin"/><Relationship Id="rId10008" Type="http://schemas.openxmlformats.org/officeDocument/2006/relationships/oleObject" Target="embeddings/oleObject4973.bin"/><Relationship Id="rId13578" Type="http://schemas.openxmlformats.org/officeDocument/2006/relationships/image" Target="media/image6804.wmf"/><Relationship Id="rId2586" Type="http://schemas.openxmlformats.org/officeDocument/2006/relationships/image" Target="media/image1303.wmf"/><Relationship Id="rId3637" Type="http://schemas.openxmlformats.org/officeDocument/2006/relationships/oleObject" Target="embeddings/oleObject1809.bin"/><Relationship Id="rId558" Type="http://schemas.openxmlformats.org/officeDocument/2006/relationships/image" Target="media/image280.wmf"/><Relationship Id="rId1188" Type="http://schemas.openxmlformats.org/officeDocument/2006/relationships/image" Target="media/image599.wmf"/><Relationship Id="rId2239" Type="http://schemas.openxmlformats.org/officeDocument/2006/relationships/image" Target="media/image1126.wmf"/><Relationship Id="rId6110" Type="http://schemas.openxmlformats.org/officeDocument/2006/relationships/oleObject" Target="embeddings/oleObject3044.bin"/><Relationship Id="rId9680" Type="http://schemas.openxmlformats.org/officeDocument/2006/relationships/image" Target="media/image4849.png"/><Relationship Id="rId8282" Type="http://schemas.openxmlformats.org/officeDocument/2006/relationships/image" Target="media/image4150.wmf"/><Relationship Id="rId9333" Type="http://schemas.openxmlformats.org/officeDocument/2006/relationships/oleObject" Target="embeddings/oleObject4647.bin"/><Relationship Id="rId11263" Type="http://schemas.openxmlformats.org/officeDocument/2006/relationships/image" Target="media/image5643.wmf"/><Relationship Id="rId12661" Type="http://schemas.openxmlformats.org/officeDocument/2006/relationships/image" Target="media/image6345.wmf"/><Relationship Id="rId13712" Type="http://schemas.openxmlformats.org/officeDocument/2006/relationships/oleObject" Target="embeddings/oleObject6802.bin"/><Relationship Id="rId1322" Type="http://schemas.openxmlformats.org/officeDocument/2006/relationships/image" Target="media/image666.wmf"/><Relationship Id="rId2720" Type="http://schemas.openxmlformats.org/officeDocument/2006/relationships/image" Target="media/image1370.wmf"/><Relationship Id="rId12314" Type="http://schemas.openxmlformats.org/officeDocument/2006/relationships/oleObject" Target="embeddings/oleObject6106.bin"/><Relationship Id="rId4892" Type="http://schemas.openxmlformats.org/officeDocument/2006/relationships/image" Target="media/image2456.wmf"/><Relationship Id="rId5943" Type="http://schemas.openxmlformats.org/officeDocument/2006/relationships/image" Target="media/image2982.wmf"/><Relationship Id="rId14486" Type="http://schemas.openxmlformats.org/officeDocument/2006/relationships/oleObject" Target="embeddings/oleObject7183.bin"/><Relationship Id="rId2096" Type="http://schemas.openxmlformats.org/officeDocument/2006/relationships/image" Target="media/image1054.wmf"/><Relationship Id="rId3494" Type="http://schemas.openxmlformats.org/officeDocument/2006/relationships/image" Target="media/image1758.wmf"/><Relationship Id="rId4545" Type="http://schemas.openxmlformats.org/officeDocument/2006/relationships/oleObject" Target="embeddings/oleObject2264.bin"/><Relationship Id="rId13088" Type="http://schemas.openxmlformats.org/officeDocument/2006/relationships/oleObject" Target="embeddings/oleObject6491.bin"/><Relationship Id="rId14139" Type="http://schemas.openxmlformats.org/officeDocument/2006/relationships/image" Target="media/image7084.wmf"/><Relationship Id="rId3147" Type="http://schemas.openxmlformats.org/officeDocument/2006/relationships/image" Target="media/image1583.wmf"/><Relationship Id="rId7768" Type="http://schemas.openxmlformats.org/officeDocument/2006/relationships/image" Target="media/image3893.wmf"/><Relationship Id="rId8819" Type="http://schemas.openxmlformats.org/officeDocument/2006/relationships/image" Target="media/image4419.wmf"/><Relationship Id="rId10749" Type="http://schemas.openxmlformats.org/officeDocument/2006/relationships/oleObject" Target="embeddings/oleObject5337.bin"/><Relationship Id="rId9190" Type="http://schemas.openxmlformats.org/officeDocument/2006/relationships/image" Target="media/image4604.wmf"/><Relationship Id="rId12171" Type="http://schemas.openxmlformats.org/officeDocument/2006/relationships/oleObject" Target="embeddings/oleObject6037.bin"/><Relationship Id="rId13222" Type="http://schemas.openxmlformats.org/officeDocument/2006/relationships/oleObject" Target="embeddings/oleObject6558.bin"/><Relationship Id="rId2230" Type="http://schemas.openxmlformats.org/officeDocument/2006/relationships/image" Target="media/image1121.wmf"/><Relationship Id="rId202" Type="http://schemas.openxmlformats.org/officeDocument/2006/relationships/image" Target="media/image100.wmf"/><Relationship Id="rId5453" Type="http://schemas.openxmlformats.org/officeDocument/2006/relationships/image" Target="media/image2737.wmf"/><Relationship Id="rId6504" Type="http://schemas.openxmlformats.org/officeDocument/2006/relationships/oleObject" Target="embeddings/oleObject3242.bin"/><Relationship Id="rId6851" Type="http://schemas.openxmlformats.org/officeDocument/2006/relationships/image" Target="media/image3435.wmf"/><Relationship Id="rId7902" Type="http://schemas.openxmlformats.org/officeDocument/2006/relationships/image" Target="media/image3960.wmf"/><Relationship Id="rId4055" Type="http://schemas.openxmlformats.org/officeDocument/2006/relationships/image" Target="media/image2038.wmf"/><Relationship Id="rId5106" Type="http://schemas.openxmlformats.org/officeDocument/2006/relationships/image" Target="media/image2563.wmf"/><Relationship Id="rId7278" Type="http://schemas.openxmlformats.org/officeDocument/2006/relationships/image" Target="media/image3648.wmf"/><Relationship Id="rId8676" Type="http://schemas.openxmlformats.org/officeDocument/2006/relationships/oleObject" Target="embeddings/oleObject4321.bin"/><Relationship Id="rId9727" Type="http://schemas.openxmlformats.org/officeDocument/2006/relationships/oleObject" Target="embeddings/oleObject4835.bin"/><Relationship Id="rId11657" Type="http://schemas.openxmlformats.org/officeDocument/2006/relationships/image" Target="media/image5840.wmf"/><Relationship Id="rId12708" Type="http://schemas.openxmlformats.org/officeDocument/2006/relationships/oleObject" Target="embeddings/oleObject6303.bin"/><Relationship Id="rId1716" Type="http://schemas.openxmlformats.org/officeDocument/2006/relationships/image" Target="media/image864.wmf"/><Relationship Id="rId8329" Type="http://schemas.openxmlformats.org/officeDocument/2006/relationships/oleObject" Target="embeddings/oleObject4149.bin"/><Relationship Id="rId10259" Type="http://schemas.openxmlformats.org/officeDocument/2006/relationships/image" Target="media/image5138.wmf"/><Relationship Id="rId14130" Type="http://schemas.openxmlformats.org/officeDocument/2006/relationships/oleObject" Target="embeddings/oleObject7011.bin"/><Relationship Id="rId3888" Type="http://schemas.openxmlformats.org/officeDocument/2006/relationships/image" Target="media/image1955.wmf"/><Relationship Id="rId4939" Type="http://schemas.openxmlformats.org/officeDocument/2006/relationships/oleObject" Target="embeddings/oleObject2459.bin"/><Relationship Id="rId8810" Type="http://schemas.openxmlformats.org/officeDocument/2006/relationships/oleObject" Target="embeddings/oleObject4388.bin"/><Relationship Id="rId6361" Type="http://schemas.openxmlformats.org/officeDocument/2006/relationships/image" Target="media/image3190.wmf"/><Relationship Id="rId7412" Type="http://schemas.openxmlformats.org/officeDocument/2006/relationships/image" Target="media/image3715.wmf"/><Relationship Id="rId10740" Type="http://schemas.openxmlformats.org/officeDocument/2006/relationships/image" Target="media/image5379.wmf"/><Relationship Id="rId6014" Type="http://schemas.openxmlformats.org/officeDocument/2006/relationships/oleObject" Target="embeddings/oleObject2996.bin"/><Relationship Id="rId9584" Type="http://schemas.openxmlformats.org/officeDocument/2006/relationships/image" Target="media/image4801.wmf"/><Relationship Id="rId13963" Type="http://schemas.openxmlformats.org/officeDocument/2006/relationships/image" Target="media/image6996.wmf"/><Relationship Id="rId2971" Type="http://schemas.openxmlformats.org/officeDocument/2006/relationships/image" Target="media/image1495.wmf"/><Relationship Id="rId8186" Type="http://schemas.openxmlformats.org/officeDocument/2006/relationships/image" Target="media/image4102.wmf"/><Relationship Id="rId9237" Type="http://schemas.openxmlformats.org/officeDocument/2006/relationships/oleObject" Target="embeddings/oleObject4599.bin"/><Relationship Id="rId12565" Type="http://schemas.openxmlformats.org/officeDocument/2006/relationships/image" Target="media/image6297.wmf"/><Relationship Id="rId13616" Type="http://schemas.openxmlformats.org/officeDocument/2006/relationships/image" Target="media/image6823.wmf"/><Relationship Id="rId943" Type="http://schemas.openxmlformats.org/officeDocument/2006/relationships/image" Target="media/image477.wmf"/><Relationship Id="rId1573" Type="http://schemas.openxmlformats.org/officeDocument/2006/relationships/oleObject" Target="embeddings/oleObject773.bin"/><Relationship Id="rId2624" Type="http://schemas.openxmlformats.org/officeDocument/2006/relationships/image" Target="media/image1322.wmf"/><Relationship Id="rId11167" Type="http://schemas.openxmlformats.org/officeDocument/2006/relationships/image" Target="media/image5595.wmf"/><Relationship Id="rId12218" Type="http://schemas.openxmlformats.org/officeDocument/2006/relationships/image" Target="media/image6122.wmf"/><Relationship Id="rId1226" Type="http://schemas.openxmlformats.org/officeDocument/2006/relationships/image" Target="media/image618.wmf"/><Relationship Id="rId4796" Type="http://schemas.openxmlformats.org/officeDocument/2006/relationships/image" Target="media/image2408.wmf"/><Relationship Id="rId5847" Type="http://schemas.openxmlformats.org/officeDocument/2006/relationships/image" Target="media/image2934.wmf"/><Relationship Id="rId3398" Type="http://schemas.openxmlformats.org/officeDocument/2006/relationships/image" Target="media/image1709.wmf"/><Relationship Id="rId4449" Type="http://schemas.openxmlformats.org/officeDocument/2006/relationships/oleObject" Target="embeddings/oleObject2216.bin"/><Relationship Id="rId8320" Type="http://schemas.openxmlformats.org/officeDocument/2006/relationships/image" Target="media/image4169.wmf"/><Relationship Id="rId10250" Type="http://schemas.openxmlformats.org/officeDocument/2006/relationships/oleObject" Target="embeddings/oleObject5092.bin"/><Relationship Id="rId11301" Type="http://schemas.openxmlformats.org/officeDocument/2006/relationships/image" Target="media/image5662.wmf"/><Relationship Id="rId13473" Type="http://schemas.openxmlformats.org/officeDocument/2006/relationships/oleObject" Target="embeddings/oleObject6682.bin"/><Relationship Id="rId2481" Type="http://schemas.openxmlformats.org/officeDocument/2006/relationships/oleObject" Target="embeddings/oleObject1228.bin"/><Relationship Id="rId3532" Type="http://schemas.openxmlformats.org/officeDocument/2006/relationships/image" Target="media/image1777.wmf"/><Relationship Id="rId4930" Type="http://schemas.openxmlformats.org/officeDocument/2006/relationships/image" Target="media/image2475.wmf"/><Relationship Id="rId9094" Type="http://schemas.openxmlformats.org/officeDocument/2006/relationships/oleObject" Target="embeddings/oleObject4527.bin"/><Relationship Id="rId12075" Type="http://schemas.openxmlformats.org/officeDocument/2006/relationships/oleObject" Target="embeddings/oleObject5989.bin"/><Relationship Id="rId13126" Type="http://schemas.openxmlformats.org/officeDocument/2006/relationships/oleObject" Target="embeddings/oleObject6510.bin"/><Relationship Id="rId14524" Type="http://schemas.openxmlformats.org/officeDocument/2006/relationships/oleObject" Target="embeddings/oleObject7202.bin"/><Relationship Id="rId453" Type="http://schemas.openxmlformats.org/officeDocument/2006/relationships/image" Target="media/image226.wmf"/><Relationship Id="rId1083" Type="http://schemas.openxmlformats.org/officeDocument/2006/relationships/image" Target="media/image547.wmf"/><Relationship Id="rId2134" Type="http://schemas.openxmlformats.org/officeDocument/2006/relationships/image" Target="media/image1073.wmf"/><Relationship Id="rId106" Type="http://schemas.openxmlformats.org/officeDocument/2006/relationships/oleObject" Target="embeddings/oleObject49.bin"/><Relationship Id="rId5357" Type="http://schemas.openxmlformats.org/officeDocument/2006/relationships/image" Target="media/image2689.wmf"/><Relationship Id="rId6755" Type="http://schemas.openxmlformats.org/officeDocument/2006/relationships/image" Target="media/image3387.wmf"/><Relationship Id="rId7806" Type="http://schemas.openxmlformats.org/officeDocument/2006/relationships/image" Target="media/image3912.wmf"/><Relationship Id="rId6408" Type="http://schemas.openxmlformats.org/officeDocument/2006/relationships/oleObject" Target="embeddings/oleObject3194.bin"/><Relationship Id="rId9978" Type="http://schemas.openxmlformats.org/officeDocument/2006/relationships/oleObject" Target="embeddings/oleObject4959.bin"/><Relationship Id="rId12959" Type="http://schemas.openxmlformats.org/officeDocument/2006/relationships/image" Target="media/image6494.wmf"/><Relationship Id="rId1967" Type="http://schemas.openxmlformats.org/officeDocument/2006/relationships/oleObject" Target="embeddings/oleObject971.bin"/><Relationship Id="rId14381" Type="http://schemas.openxmlformats.org/officeDocument/2006/relationships/image" Target="media/image7205.wmf"/><Relationship Id="rId4440" Type="http://schemas.openxmlformats.org/officeDocument/2006/relationships/image" Target="media/image2230.wmf"/><Relationship Id="rId14034" Type="http://schemas.openxmlformats.org/officeDocument/2006/relationships/oleObject" Target="embeddings/oleObject6963.bin"/><Relationship Id="rId3042" Type="http://schemas.openxmlformats.org/officeDocument/2006/relationships/oleObject" Target="embeddings/oleObject1509.bin"/><Relationship Id="rId7663" Type="http://schemas.openxmlformats.org/officeDocument/2006/relationships/oleObject" Target="embeddings/oleObject3816.bin"/><Relationship Id="rId8714" Type="http://schemas.openxmlformats.org/officeDocument/2006/relationships/oleObject" Target="embeddings/oleObject4340.bin"/><Relationship Id="rId10991" Type="http://schemas.openxmlformats.org/officeDocument/2006/relationships/oleObject" Target="embeddings/oleObject5451.bin"/><Relationship Id="rId6265" Type="http://schemas.openxmlformats.org/officeDocument/2006/relationships/image" Target="media/image3143.wmf"/><Relationship Id="rId7316" Type="http://schemas.openxmlformats.org/officeDocument/2006/relationships/image" Target="media/image3667.wmf"/><Relationship Id="rId10644" Type="http://schemas.openxmlformats.org/officeDocument/2006/relationships/image" Target="media/image5331.wmf"/><Relationship Id="rId9488" Type="http://schemas.openxmlformats.org/officeDocument/2006/relationships/image" Target="media/image4753.wmf"/><Relationship Id="rId13867" Type="http://schemas.openxmlformats.org/officeDocument/2006/relationships/image" Target="media/image6948.wmf"/><Relationship Id="rId2875" Type="http://schemas.openxmlformats.org/officeDocument/2006/relationships/image" Target="media/image1447.wmf"/><Relationship Id="rId3926" Type="http://schemas.openxmlformats.org/officeDocument/2006/relationships/image" Target="media/image1974.wmf"/><Relationship Id="rId12469" Type="http://schemas.openxmlformats.org/officeDocument/2006/relationships/image" Target="media/image6249.wmf"/><Relationship Id="rId847" Type="http://schemas.openxmlformats.org/officeDocument/2006/relationships/oleObject" Target="embeddings/oleObject415.bin"/><Relationship Id="rId1477" Type="http://schemas.openxmlformats.org/officeDocument/2006/relationships/oleObject" Target="embeddings/oleObject727.bin"/><Relationship Id="rId2528" Type="http://schemas.openxmlformats.org/officeDocument/2006/relationships/image" Target="media/image1274.wmf"/><Relationship Id="rId5001" Type="http://schemas.openxmlformats.org/officeDocument/2006/relationships/oleObject" Target="embeddings/oleObject2490.bin"/><Relationship Id="rId8571" Type="http://schemas.openxmlformats.org/officeDocument/2006/relationships/oleObject" Target="embeddings/oleObject4270.bin"/><Relationship Id="rId9622" Type="http://schemas.openxmlformats.org/officeDocument/2006/relationships/image" Target="media/image4820.wmf"/><Relationship Id="rId11552" Type="http://schemas.openxmlformats.org/officeDocument/2006/relationships/oleObject" Target="embeddings/oleObject5729.bin"/><Relationship Id="rId12950" Type="http://schemas.openxmlformats.org/officeDocument/2006/relationships/oleObject" Target="embeddings/oleObject6424.bin"/><Relationship Id="rId1611" Type="http://schemas.openxmlformats.org/officeDocument/2006/relationships/oleObject" Target="embeddings/oleObject793.bin"/><Relationship Id="rId7173" Type="http://schemas.openxmlformats.org/officeDocument/2006/relationships/oleObject" Target="embeddings/oleObject3571.bin"/><Relationship Id="rId8224" Type="http://schemas.openxmlformats.org/officeDocument/2006/relationships/image" Target="media/image4121.wmf"/><Relationship Id="rId10154" Type="http://schemas.openxmlformats.org/officeDocument/2006/relationships/oleObject" Target="embeddings/oleObject5046.bin"/><Relationship Id="rId11205" Type="http://schemas.openxmlformats.org/officeDocument/2006/relationships/image" Target="media/image5614.wmf"/><Relationship Id="rId12603" Type="http://schemas.openxmlformats.org/officeDocument/2006/relationships/image" Target="media/image6316.wmf"/><Relationship Id="rId2385" Type="http://schemas.openxmlformats.org/officeDocument/2006/relationships/image" Target="media/image1201.wmf"/><Relationship Id="rId3783" Type="http://schemas.openxmlformats.org/officeDocument/2006/relationships/oleObject" Target="embeddings/oleObject1882.bin"/><Relationship Id="rId4834" Type="http://schemas.openxmlformats.org/officeDocument/2006/relationships/image" Target="media/image2427.wmf"/><Relationship Id="rId13377" Type="http://schemas.openxmlformats.org/officeDocument/2006/relationships/oleObject" Target="embeddings/oleObject6634.bin"/><Relationship Id="rId14428" Type="http://schemas.microsoft.com/office/2007/relationships/hdphoto" Target="media/hdphoto54.wdp"/><Relationship Id="rId357" Type="http://schemas.openxmlformats.org/officeDocument/2006/relationships/oleObject" Target="embeddings/oleObject173.bin"/><Relationship Id="rId2038" Type="http://schemas.openxmlformats.org/officeDocument/2006/relationships/image" Target="media/image1025.wmf"/><Relationship Id="rId3436" Type="http://schemas.openxmlformats.org/officeDocument/2006/relationships/image" Target="media/image1729.wmf"/><Relationship Id="rId6659" Type="http://schemas.openxmlformats.org/officeDocument/2006/relationships/image" Target="media/image3339.wmf"/><Relationship Id="rId12460" Type="http://schemas.openxmlformats.org/officeDocument/2006/relationships/oleObject" Target="embeddings/oleObject6179.bin"/><Relationship Id="rId13511" Type="http://schemas.openxmlformats.org/officeDocument/2006/relationships/oleObject" Target="embeddings/oleObject6701.bin"/><Relationship Id="rId8081" Type="http://schemas.openxmlformats.org/officeDocument/2006/relationships/oleObject" Target="embeddings/oleObject4025.bin"/><Relationship Id="rId9132" Type="http://schemas.openxmlformats.org/officeDocument/2006/relationships/oleObject" Target="embeddings/oleObject4546.bin"/><Relationship Id="rId11062" Type="http://schemas.openxmlformats.org/officeDocument/2006/relationships/image" Target="media/image5541.png"/><Relationship Id="rId12113" Type="http://schemas.openxmlformats.org/officeDocument/2006/relationships/oleObject" Target="embeddings/oleObject6008.bin"/><Relationship Id="rId1121" Type="http://schemas.openxmlformats.org/officeDocument/2006/relationships/image" Target="media/image566.wmf"/><Relationship Id="rId4691" Type="http://schemas.openxmlformats.org/officeDocument/2006/relationships/oleObject" Target="embeddings/oleObject2337.bin"/><Relationship Id="rId5742" Type="http://schemas.openxmlformats.org/officeDocument/2006/relationships/oleObject" Target="embeddings/oleObject2860.bin"/><Relationship Id="rId14285" Type="http://schemas.openxmlformats.org/officeDocument/2006/relationships/image" Target="media/image7157.wmf"/><Relationship Id="rId3293" Type="http://schemas.openxmlformats.org/officeDocument/2006/relationships/oleObject" Target="embeddings/oleObject1635.bin"/><Relationship Id="rId4344" Type="http://schemas.openxmlformats.org/officeDocument/2006/relationships/image" Target="media/image2182.wmf"/><Relationship Id="rId7567" Type="http://schemas.openxmlformats.org/officeDocument/2006/relationships/oleObject" Target="embeddings/oleObject3768.bin"/><Relationship Id="rId8965" Type="http://schemas.openxmlformats.org/officeDocument/2006/relationships/image" Target="media/image4492.wmf"/><Relationship Id="rId10895" Type="http://schemas.openxmlformats.org/officeDocument/2006/relationships/oleObject" Target="embeddings/oleObject5410.bin"/><Relationship Id="rId11946" Type="http://schemas.openxmlformats.org/officeDocument/2006/relationships/image" Target="media/image5986.wmf"/><Relationship Id="rId6169" Type="http://schemas.openxmlformats.org/officeDocument/2006/relationships/image" Target="media/image3095.wmf"/><Relationship Id="rId8618" Type="http://schemas.openxmlformats.org/officeDocument/2006/relationships/image" Target="media/image4318.wmf"/><Relationship Id="rId10548" Type="http://schemas.openxmlformats.org/officeDocument/2006/relationships/image" Target="media/image5283.wmf"/><Relationship Id="rId13021" Type="http://schemas.openxmlformats.org/officeDocument/2006/relationships/image" Target="media/image6525.png"/><Relationship Id="rId2779" Type="http://schemas.openxmlformats.org/officeDocument/2006/relationships/oleObject" Target="embeddings/oleObject1377.bin"/><Relationship Id="rId6650" Type="http://schemas.openxmlformats.org/officeDocument/2006/relationships/oleObject" Target="embeddings/oleObject3312.bin"/><Relationship Id="rId7701" Type="http://schemas.openxmlformats.org/officeDocument/2006/relationships/oleObject" Target="embeddings/oleObject3835.bin"/><Relationship Id="rId5252" Type="http://schemas.openxmlformats.org/officeDocument/2006/relationships/oleObject" Target="embeddings/oleObject2615.bin"/><Relationship Id="rId6303" Type="http://schemas.openxmlformats.org/officeDocument/2006/relationships/image" Target="media/image3162.wmf"/><Relationship Id="rId9873" Type="http://schemas.openxmlformats.org/officeDocument/2006/relationships/image" Target="media/image4945.wmf"/><Relationship Id="rId87" Type="http://schemas.openxmlformats.org/officeDocument/2006/relationships/image" Target="media/image41.wmf"/><Relationship Id="rId8475" Type="http://schemas.openxmlformats.org/officeDocument/2006/relationships/oleObject" Target="embeddings/oleObject4222.bin"/><Relationship Id="rId9526" Type="http://schemas.openxmlformats.org/officeDocument/2006/relationships/image" Target="media/image4772.wmf"/><Relationship Id="rId12854" Type="http://schemas.openxmlformats.org/officeDocument/2006/relationships/oleObject" Target="embeddings/oleObject6376.bin"/><Relationship Id="rId13905" Type="http://schemas.openxmlformats.org/officeDocument/2006/relationships/image" Target="media/image6967.wmf"/><Relationship Id="rId1862" Type="http://schemas.openxmlformats.org/officeDocument/2006/relationships/image" Target="media/image937.wmf"/><Relationship Id="rId2913" Type="http://schemas.openxmlformats.org/officeDocument/2006/relationships/image" Target="media/image1466.wmf"/><Relationship Id="rId7077" Type="http://schemas.openxmlformats.org/officeDocument/2006/relationships/image" Target="media/image3548.wmf"/><Relationship Id="rId8128" Type="http://schemas.openxmlformats.org/officeDocument/2006/relationships/image" Target="media/image4073.wmf"/><Relationship Id="rId10058" Type="http://schemas.openxmlformats.org/officeDocument/2006/relationships/oleObject" Target="embeddings/oleObject4998.bin"/><Relationship Id="rId11456" Type="http://schemas.openxmlformats.org/officeDocument/2006/relationships/oleObject" Target="embeddings/oleObject5681.bin"/><Relationship Id="rId12507" Type="http://schemas.openxmlformats.org/officeDocument/2006/relationships/image" Target="media/image6268.wmf"/><Relationship Id="rId1515" Type="http://schemas.openxmlformats.org/officeDocument/2006/relationships/oleObject" Target="embeddings/oleObject744.bin"/><Relationship Id="rId11109" Type="http://schemas.openxmlformats.org/officeDocument/2006/relationships/image" Target="media/image5566.wmf"/><Relationship Id="rId3687" Type="http://schemas.openxmlformats.org/officeDocument/2006/relationships/oleObject" Target="embeddings/oleObject1834.bin"/><Relationship Id="rId4738" Type="http://schemas.openxmlformats.org/officeDocument/2006/relationships/image" Target="media/image2379.wmf"/><Relationship Id="rId2289" Type="http://schemas.openxmlformats.org/officeDocument/2006/relationships/image" Target="media/image1151.wmf"/><Relationship Id="rId6160" Type="http://schemas.openxmlformats.org/officeDocument/2006/relationships/oleObject" Target="embeddings/oleObject3069.bin"/><Relationship Id="rId7211" Type="http://schemas.openxmlformats.org/officeDocument/2006/relationships/oleObject" Target="embeddings/oleObject3590.bin"/><Relationship Id="rId13762" Type="http://schemas.openxmlformats.org/officeDocument/2006/relationships/oleObject" Target="embeddings/oleObject6827.bin"/><Relationship Id="rId2770" Type="http://schemas.openxmlformats.org/officeDocument/2006/relationships/image" Target="media/image1395.wmf"/><Relationship Id="rId3821" Type="http://schemas.openxmlformats.org/officeDocument/2006/relationships/oleObject" Target="embeddings/oleObject1901.bin"/><Relationship Id="rId9383" Type="http://schemas.openxmlformats.org/officeDocument/2006/relationships/oleObject" Target="embeddings/oleObject4672.bin"/><Relationship Id="rId12364" Type="http://schemas.openxmlformats.org/officeDocument/2006/relationships/oleObject" Target="embeddings/oleObject6131.bin"/><Relationship Id="rId13415" Type="http://schemas.openxmlformats.org/officeDocument/2006/relationships/oleObject" Target="embeddings/oleObject6653.bin"/><Relationship Id="rId742" Type="http://schemas.openxmlformats.org/officeDocument/2006/relationships/image" Target="media/image373.wmf"/><Relationship Id="rId1372" Type="http://schemas.openxmlformats.org/officeDocument/2006/relationships/image" Target="media/image691.wmf"/><Relationship Id="rId2423" Type="http://schemas.openxmlformats.org/officeDocument/2006/relationships/image" Target="media/image1220.wmf"/><Relationship Id="rId9036" Type="http://schemas.openxmlformats.org/officeDocument/2006/relationships/oleObject" Target="embeddings/oleObject4498.bin"/><Relationship Id="rId12017" Type="http://schemas.openxmlformats.org/officeDocument/2006/relationships/oleObject" Target="embeddings/oleObject5960.bin"/><Relationship Id="rId1025" Type="http://schemas.openxmlformats.org/officeDocument/2006/relationships/image" Target="media/image518.wmf"/><Relationship Id="rId4595" Type="http://schemas.openxmlformats.org/officeDocument/2006/relationships/oleObject" Target="embeddings/oleObject2289.bin"/><Relationship Id="rId5646" Type="http://schemas.openxmlformats.org/officeDocument/2006/relationships/oleObject" Target="embeddings/oleObject2812.bin"/><Relationship Id="rId5993" Type="http://schemas.openxmlformats.org/officeDocument/2006/relationships/image" Target="media/image3007.wmf"/><Relationship Id="rId14189" Type="http://schemas.openxmlformats.org/officeDocument/2006/relationships/image" Target="media/image7109.wmf"/><Relationship Id="rId3197" Type="http://schemas.openxmlformats.org/officeDocument/2006/relationships/image" Target="media/image1608.wmf"/><Relationship Id="rId4248" Type="http://schemas.openxmlformats.org/officeDocument/2006/relationships/oleObject" Target="embeddings/oleObject2115.bin"/><Relationship Id="rId8869" Type="http://schemas.openxmlformats.org/officeDocument/2006/relationships/image" Target="media/image4444.wmf"/><Relationship Id="rId10799" Type="http://schemas.openxmlformats.org/officeDocument/2006/relationships/oleObject" Target="embeddings/oleObject5362.bin"/><Relationship Id="rId11100" Type="http://schemas.openxmlformats.org/officeDocument/2006/relationships/oleObject" Target="embeddings/oleObject5503.bin"/><Relationship Id="rId1909" Type="http://schemas.openxmlformats.org/officeDocument/2006/relationships/oleObject" Target="embeddings/oleObject942.bin"/><Relationship Id="rId13272" Type="http://schemas.openxmlformats.org/officeDocument/2006/relationships/oleObject" Target="embeddings/oleObject6583.bin"/><Relationship Id="rId14323" Type="http://schemas.openxmlformats.org/officeDocument/2006/relationships/image" Target="media/image7176.wmf"/><Relationship Id="rId2280" Type="http://schemas.openxmlformats.org/officeDocument/2006/relationships/oleObject" Target="embeddings/oleObject1127.bin"/><Relationship Id="rId3331" Type="http://schemas.openxmlformats.org/officeDocument/2006/relationships/oleObject" Target="embeddings/oleObject1654.bin"/><Relationship Id="rId7952" Type="http://schemas.openxmlformats.org/officeDocument/2006/relationships/image" Target="media/image3985.wmf"/><Relationship Id="rId252" Type="http://schemas.openxmlformats.org/officeDocument/2006/relationships/image" Target="media/image125.wmf"/><Relationship Id="rId6554" Type="http://schemas.openxmlformats.org/officeDocument/2006/relationships/oleObject" Target="embeddings/oleObject3264.bin"/><Relationship Id="rId7605" Type="http://schemas.openxmlformats.org/officeDocument/2006/relationships/oleObject" Target="embeddings/oleObject3787.bin"/><Relationship Id="rId10933" Type="http://schemas.openxmlformats.org/officeDocument/2006/relationships/oleObject" Target="embeddings/oleObject5429.bin"/><Relationship Id="rId5156" Type="http://schemas.openxmlformats.org/officeDocument/2006/relationships/image" Target="media/image2588.wmf"/><Relationship Id="rId6207" Type="http://schemas.openxmlformats.org/officeDocument/2006/relationships/image" Target="media/image3114.wmf"/><Relationship Id="rId9777" Type="http://schemas.openxmlformats.org/officeDocument/2006/relationships/oleObject" Target="embeddings/oleObject4860.bin"/><Relationship Id="rId8379" Type="http://schemas.openxmlformats.org/officeDocument/2006/relationships/oleObject" Target="embeddings/oleObject4174.bin"/><Relationship Id="rId12758" Type="http://schemas.openxmlformats.org/officeDocument/2006/relationships/oleObject" Target="embeddings/oleObject6328.bin"/><Relationship Id="rId13809" Type="http://schemas.openxmlformats.org/officeDocument/2006/relationships/image" Target="media/image6919.wmf"/><Relationship Id="rId1766" Type="http://schemas.openxmlformats.org/officeDocument/2006/relationships/image" Target="media/image889.wmf"/><Relationship Id="rId2817" Type="http://schemas.openxmlformats.org/officeDocument/2006/relationships/oleObject" Target="embeddings/oleObject1396.bin"/><Relationship Id="rId14180" Type="http://schemas.openxmlformats.org/officeDocument/2006/relationships/oleObject" Target="embeddings/oleObject7036.bin"/><Relationship Id="rId1419" Type="http://schemas.openxmlformats.org/officeDocument/2006/relationships/oleObject" Target="embeddings/oleObject698.bin"/><Relationship Id="rId4989" Type="http://schemas.openxmlformats.org/officeDocument/2006/relationships/oleObject" Target="embeddings/oleObject2484.bin"/><Relationship Id="rId8860" Type="http://schemas.openxmlformats.org/officeDocument/2006/relationships/oleObject" Target="embeddings/oleObject4410.bin"/><Relationship Id="rId9911" Type="http://schemas.openxmlformats.org/officeDocument/2006/relationships/image" Target="media/image4964.wmf"/><Relationship Id="rId10790" Type="http://schemas.openxmlformats.org/officeDocument/2006/relationships/image" Target="media/image5404.wmf"/><Relationship Id="rId11841" Type="http://schemas.openxmlformats.org/officeDocument/2006/relationships/oleObject" Target="embeddings/oleObject5872.bin"/><Relationship Id="rId1900" Type="http://schemas.openxmlformats.org/officeDocument/2006/relationships/image" Target="media/image956.wmf"/><Relationship Id="rId7462" Type="http://schemas.openxmlformats.org/officeDocument/2006/relationships/image" Target="media/image3740.wmf"/><Relationship Id="rId8513" Type="http://schemas.openxmlformats.org/officeDocument/2006/relationships/oleObject" Target="embeddings/oleObject4241.bin"/><Relationship Id="rId10443" Type="http://schemas.openxmlformats.org/officeDocument/2006/relationships/oleObject" Target="embeddings/oleObject5188.bin"/><Relationship Id="rId6064" Type="http://schemas.openxmlformats.org/officeDocument/2006/relationships/oleObject" Target="embeddings/oleObject3021.bin"/><Relationship Id="rId7115" Type="http://schemas.openxmlformats.org/officeDocument/2006/relationships/image" Target="media/image3567.wmf"/><Relationship Id="rId993" Type="http://schemas.openxmlformats.org/officeDocument/2006/relationships/image" Target="media/image502.wmf"/><Relationship Id="rId2674" Type="http://schemas.openxmlformats.org/officeDocument/2006/relationships/image" Target="media/image1347.wmf"/><Relationship Id="rId9287" Type="http://schemas.openxmlformats.org/officeDocument/2006/relationships/oleObject" Target="embeddings/oleObject4624.bin"/><Relationship Id="rId12268" Type="http://schemas.openxmlformats.org/officeDocument/2006/relationships/image" Target="media/image6147.wmf"/><Relationship Id="rId13666" Type="http://schemas.openxmlformats.org/officeDocument/2006/relationships/image" Target="media/image6848.wmf"/><Relationship Id="rId646" Type="http://schemas.openxmlformats.org/officeDocument/2006/relationships/image" Target="media/image324.wmf"/><Relationship Id="rId1276" Type="http://schemas.openxmlformats.org/officeDocument/2006/relationships/image" Target="media/image643.wmf"/><Relationship Id="rId2327" Type="http://schemas.openxmlformats.org/officeDocument/2006/relationships/image" Target="media/image1172.wmf"/><Relationship Id="rId3725" Type="http://schemas.openxmlformats.org/officeDocument/2006/relationships/oleObject" Target="embeddings/oleObject1853.bin"/><Relationship Id="rId13319" Type="http://schemas.openxmlformats.org/officeDocument/2006/relationships/image" Target="media/image6674.wmf"/><Relationship Id="rId5897" Type="http://schemas.openxmlformats.org/officeDocument/2006/relationships/image" Target="media/image2959.wmf"/><Relationship Id="rId6948" Type="http://schemas.openxmlformats.org/officeDocument/2006/relationships/oleObject" Target="embeddings/oleObject3459.bin"/><Relationship Id="rId13800" Type="http://schemas.openxmlformats.org/officeDocument/2006/relationships/oleObject" Target="embeddings/oleObject6846.bin"/><Relationship Id="rId4499" Type="http://schemas.openxmlformats.org/officeDocument/2006/relationships/oleObject" Target="embeddings/oleObject2241.bin"/><Relationship Id="rId8370" Type="http://schemas.openxmlformats.org/officeDocument/2006/relationships/image" Target="media/image4194.wmf"/><Relationship Id="rId9421" Type="http://schemas.openxmlformats.org/officeDocument/2006/relationships/oleObject" Target="embeddings/oleObject4691.bin"/><Relationship Id="rId11351" Type="http://schemas.openxmlformats.org/officeDocument/2006/relationships/image" Target="media/image5687.wmf"/><Relationship Id="rId12402" Type="http://schemas.openxmlformats.org/officeDocument/2006/relationships/oleObject" Target="embeddings/oleObject6150.bin"/><Relationship Id="rId1410" Type="http://schemas.openxmlformats.org/officeDocument/2006/relationships/image" Target="media/image710.wmf"/><Relationship Id="rId4980" Type="http://schemas.openxmlformats.org/officeDocument/2006/relationships/image" Target="media/image2500.wmf"/><Relationship Id="rId8023" Type="http://schemas.openxmlformats.org/officeDocument/2006/relationships/oleObject" Target="embeddings/oleObject3996.bin"/><Relationship Id="rId11004" Type="http://schemas.openxmlformats.org/officeDocument/2006/relationships/image" Target="media/image5512.wmf"/><Relationship Id="rId14574" Type="http://schemas.openxmlformats.org/officeDocument/2006/relationships/oleObject" Target="embeddings/oleObject7227.bin"/><Relationship Id="rId3582" Type="http://schemas.openxmlformats.org/officeDocument/2006/relationships/image" Target="media/image1802.wmf"/><Relationship Id="rId4633" Type="http://schemas.openxmlformats.org/officeDocument/2006/relationships/oleObject" Target="embeddings/oleObject2308.bin"/><Relationship Id="rId13176" Type="http://schemas.openxmlformats.org/officeDocument/2006/relationships/oleObject" Target="embeddings/oleObject6535.bin"/><Relationship Id="rId14227" Type="http://schemas.openxmlformats.org/officeDocument/2006/relationships/image" Target="media/image7128.wmf"/><Relationship Id="rId2184" Type="http://schemas.openxmlformats.org/officeDocument/2006/relationships/image" Target="media/image1098.wmf"/><Relationship Id="rId3235" Type="http://schemas.openxmlformats.org/officeDocument/2006/relationships/image" Target="media/image1627.wmf"/><Relationship Id="rId7856" Type="http://schemas.openxmlformats.org/officeDocument/2006/relationships/image" Target="media/image3937.wmf"/><Relationship Id="rId156" Type="http://schemas.openxmlformats.org/officeDocument/2006/relationships/image" Target="media/image77.wmf"/><Relationship Id="rId6458" Type="http://schemas.openxmlformats.org/officeDocument/2006/relationships/oleObject" Target="embeddings/oleObject3219.bin"/><Relationship Id="rId7509" Type="http://schemas.openxmlformats.org/officeDocument/2006/relationships/oleObject" Target="embeddings/oleObject3739.bin"/><Relationship Id="rId8907" Type="http://schemas.openxmlformats.org/officeDocument/2006/relationships/image" Target="media/image4463.wmf"/><Relationship Id="rId10837" Type="http://schemas.openxmlformats.org/officeDocument/2006/relationships/oleObject" Target="embeddings/oleObject5381.bin"/><Relationship Id="rId13310" Type="http://schemas.openxmlformats.org/officeDocument/2006/relationships/oleObject" Target="embeddings/oleObject6602.bin"/><Relationship Id="rId4490" Type="http://schemas.openxmlformats.org/officeDocument/2006/relationships/image" Target="media/image2255.wmf"/><Relationship Id="rId5541" Type="http://schemas.openxmlformats.org/officeDocument/2006/relationships/image" Target="media/image2781.wmf"/><Relationship Id="rId14084" Type="http://schemas.openxmlformats.org/officeDocument/2006/relationships/oleObject" Target="embeddings/oleObject6988.bin"/><Relationship Id="rId3092" Type="http://schemas.openxmlformats.org/officeDocument/2006/relationships/oleObject" Target="embeddings/oleObject1534.bin"/><Relationship Id="rId4143" Type="http://schemas.openxmlformats.org/officeDocument/2006/relationships/image" Target="media/image2082.wmf"/><Relationship Id="rId8764" Type="http://schemas.openxmlformats.org/officeDocument/2006/relationships/oleObject" Target="embeddings/oleObject4365.bin"/><Relationship Id="rId9815" Type="http://schemas.openxmlformats.org/officeDocument/2006/relationships/oleObject" Target="embeddings/oleObject4879.bin"/><Relationship Id="rId10694" Type="http://schemas.openxmlformats.org/officeDocument/2006/relationships/image" Target="media/image5356.wmf"/><Relationship Id="rId29" Type="http://schemas.openxmlformats.org/officeDocument/2006/relationships/image" Target="media/image12.wmf"/><Relationship Id="rId7366" Type="http://schemas.openxmlformats.org/officeDocument/2006/relationships/image" Target="media/image3692.wmf"/><Relationship Id="rId8417" Type="http://schemas.openxmlformats.org/officeDocument/2006/relationships/oleObject" Target="embeddings/oleObject4193.bin"/><Relationship Id="rId10347" Type="http://schemas.openxmlformats.org/officeDocument/2006/relationships/image" Target="media/image5182.wmf"/><Relationship Id="rId11745" Type="http://schemas.openxmlformats.org/officeDocument/2006/relationships/oleObject" Target="embeddings/oleObject5824.bin"/><Relationship Id="rId1804" Type="http://schemas.openxmlformats.org/officeDocument/2006/relationships/image" Target="media/image908.wmf"/><Relationship Id="rId7019" Type="http://schemas.openxmlformats.org/officeDocument/2006/relationships/image" Target="media/image3519.wmf"/><Relationship Id="rId3976" Type="http://schemas.openxmlformats.org/officeDocument/2006/relationships/oleObject" Target="embeddings/oleObject1979.bin"/><Relationship Id="rId897" Type="http://schemas.openxmlformats.org/officeDocument/2006/relationships/oleObject" Target="embeddings/oleObject440.bin"/><Relationship Id="rId2578" Type="http://schemas.openxmlformats.org/officeDocument/2006/relationships/image" Target="media/image1299.wmf"/><Relationship Id="rId3629" Type="http://schemas.openxmlformats.org/officeDocument/2006/relationships/oleObject" Target="embeddings/oleObject1805.bin"/><Relationship Id="rId5051" Type="http://schemas.openxmlformats.org/officeDocument/2006/relationships/oleObject" Target="embeddings/oleObject2515.bin"/><Relationship Id="rId7500" Type="http://schemas.openxmlformats.org/officeDocument/2006/relationships/image" Target="media/image3759.wmf"/><Relationship Id="rId6102" Type="http://schemas.openxmlformats.org/officeDocument/2006/relationships/oleObject" Target="embeddings/oleObject3040.bin"/><Relationship Id="rId9672" Type="http://schemas.openxmlformats.org/officeDocument/2006/relationships/image" Target="media/image4845.wmf"/><Relationship Id="rId12653" Type="http://schemas.openxmlformats.org/officeDocument/2006/relationships/image" Target="media/image6341.wmf"/><Relationship Id="rId13704" Type="http://schemas.openxmlformats.org/officeDocument/2006/relationships/oleObject" Target="embeddings/oleObject6798.bin"/><Relationship Id="rId1661" Type="http://schemas.openxmlformats.org/officeDocument/2006/relationships/oleObject" Target="embeddings/oleObject818.bin"/><Relationship Id="rId2712" Type="http://schemas.openxmlformats.org/officeDocument/2006/relationships/image" Target="media/image1366.wmf"/><Relationship Id="rId8274" Type="http://schemas.openxmlformats.org/officeDocument/2006/relationships/image" Target="media/image4146.wmf"/><Relationship Id="rId9325" Type="http://schemas.openxmlformats.org/officeDocument/2006/relationships/oleObject" Target="embeddings/oleObject4643.bin"/><Relationship Id="rId11255" Type="http://schemas.openxmlformats.org/officeDocument/2006/relationships/image" Target="media/image5639.wmf"/><Relationship Id="rId12306" Type="http://schemas.openxmlformats.org/officeDocument/2006/relationships/oleObject" Target="embeddings/oleObject6102.bin"/><Relationship Id="rId1314" Type="http://schemas.openxmlformats.org/officeDocument/2006/relationships/image" Target="media/image662.wmf"/><Relationship Id="rId4884" Type="http://schemas.openxmlformats.org/officeDocument/2006/relationships/image" Target="media/image2452.wmf"/><Relationship Id="rId5935" Type="http://schemas.openxmlformats.org/officeDocument/2006/relationships/image" Target="media/image2978.wmf"/><Relationship Id="rId14478" Type="http://schemas.openxmlformats.org/officeDocument/2006/relationships/oleObject" Target="embeddings/oleObject7179.bin"/><Relationship Id="rId3486" Type="http://schemas.openxmlformats.org/officeDocument/2006/relationships/image" Target="media/image1754.wmf"/><Relationship Id="rId4537" Type="http://schemas.openxmlformats.org/officeDocument/2006/relationships/oleObject" Target="embeddings/oleObject2260.bin"/><Relationship Id="rId20" Type="http://schemas.openxmlformats.org/officeDocument/2006/relationships/oleObject" Target="embeddings/oleObject6.bin"/><Relationship Id="rId2088" Type="http://schemas.openxmlformats.org/officeDocument/2006/relationships/image" Target="media/image1050.wmf"/><Relationship Id="rId3139" Type="http://schemas.openxmlformats.org/officeDocument/2006/relationships/image" Target="media/image1579.wmf"/><Relationship Id="rId7010" Type="http://schemas.openxmlformats.org/officeDocument/2006/relationships/oleObject" Target="embeddings/oleObject3490.bin"/><Relationship Id="rId9182" Type="http://schemas.openxmlformats.org/officeDocument/2006/relationships/image" Target="media/image4600.wmf"/><Relationship Id="rId13561" Type="http://schemas.openxmlformats.org/officeDocument/2006/relationships/oleObject" Target="embeddings/oleObject6726.bin"/><Relationship Id="rId3620" Type="http://schemas.openxmlformats.org/officeDocument/2006/relationships/image" Target="media/image1821.wmf"/><Relationship Id="rId12163" Type="http://schemas.openxmlformats.org/officeDocument/2006/relationships/oleObject" Target="embeddings/oleObject6033.bin"/><Relationship Id="rId13214" Type="http://schemas.openxmlformats.org/officeDocument/2006/relationships/oleObject" Target="embeddings/oleObject6554.bin"/><Relationship Id="rId541" Type="http://schemas.openxmlformats.org/officeDocument/2006/relationships/image" Target="media/image270.wmf"/><Relationship Id="rId1171" Type="http://schemas.openxmlformats.org/officeDocument/2006/relationships/image" Target="media/image591.wmf"/><Relationship Id="rId2222" Type="http://schemas.openxmlformats.org/officeDocument/2006/relationships/image" Target="media/image1117.wmf"/><Relationship Id="rId5792" Type="http://schemas.openxmlformats.org/officeDocument/2006/relationships/oleObject" Target="embeddings/oleObject2885.bin"/><Relationship Id="rId6843" Type="http://schemas.openxmlformats.org/officeDocument/2006/relationships/image" Target="media/image3431.wmf"/><Relationship Id="rId4394" Type="http://schemas.openxmlformats.org/officeDocument/2006/relationships/image" Target="media/image2207.wmf"/><Relationship Id="rId5445" Type="http://schemas.openxmlformats.org/officeDocument/2006/relationships/image" Target="media/image2733.wmf"/><Relationship Id="rId4047" Type="http://schemas.openxmlformats.org/officeDocument/2006/relationships/image" Target="media/image2034.wmf"/><Relationship Id="rId8668" Type="http://schemas.openxmlformats.org/officeDocument/2006/relationships/oleObject" Target="embeddings/oleObject4317.bin"/><Relationship Id="rId9719" Type="http://schemas.openxmlformats.org/officeDocument/2006/relationships/oleObject" Target="embeddings/oleObject4831.bin"/><Relationship Id="rId11996" Type="http://schemas.openxmlformats.org/officeDocument/2006/relationships/image" Target="media/image6011.wmf"/><Relationship Id="rId10598" Type="http://schemas.openxmlformats.org/officeDocument/2006/relationships/image" Target="media/image5308.wmf"/><Relationship Id="rId11649" Type="http://schemas.openxmlformats.org/officeDocument/2006/relationships/image" Target="media/image5836.wmf"/><Relationship Id="rId13071" Type="http://schemas.openxmlformats.org/officeDocument/2006/relationships/image" Target="media/image6550.wmf"/><Relationship Id="rId1708" Type="http://schemas.openxmlformats.org/officeDocument/2006/relationships/image" Target="media/image860.wmf"/><Relationship Id="rId3130" Type="http://schemas.openxmlformats.org/officeDocument/2006/relationships/oleObject" Target="embeddings/oleObject1553.bin"/><Relationship Id="rId14122" Type="http://schemas.openxmlformats.org/officeDocument/2006/relationships/oleObject" Target="embeddings/oleObject7007.bin"/><Relationship Id="rId7751" Type="http://schemas.openxmlformats.org/officeDocument/2006/relationships/oleObject" Target="embeddings/oleObject3860.bin"/><Relationship Id="rId8802" Type="http://schemas.openxmlformats.org/officeDocument/2006/relationships/oleObject" Target="embeddings/oleObject4384.bin"/><Relationship Id="rId10732" Type="http://schemas.openxmlformats.org/officeDocument/2006/relationships/image" Target="media/image5375.wmf"/><Relationship Id="rId6353" Type="http://schemas.openxmlformats.org/officeDocument/2006/relationships/image" Target="media/image3186.wmf"/><Relationship Id="rId7404" Type="http://schemas.openxmlformats.org/officeDocument/2006/relationships/image" Target="media/image3711.wmf"/><Relationship Id="rId2963" Type="http://schemas.openxmlformats.org/officeDocument/2006/relationships/image" Target="media/image1491.wmf"/><Relationship Id="rId6006" Type="http://schemas.openxmlformats.org/officeDocument/2006/relationships/oleObject" Target="embeddings/oleObject2992.bin"/><Relationship Id="rId9576" Type="http://schemas.openxmlformats.org/officeDocument/2006/relationships/image" Target="media/image4797.wmf"/><Relationship Id="rId12557" Type="http://schemas.openxmlformats.org/officeDocument/2006/relationships/image" Target="media/image6293.wmf"/><Relationship Id="rId13955" Type="http://schemas.openxmlformats.org/officeDocument/2006/relationships/image" Target="media/image6992.wmf"/><Relationship Id="rId935" Type="http://schemas.openxmlformats.org/officeDocument/2006/relationships/image" Target="media/image473.wmf"/><Relationship Id="rId1565" Type="http://schemas.openxmlformats.org/officeDocument/2006/relationships/oleObject" Target="embeddings/oleObject769.bin"/><Relationship Id="rId2616" Type="http://schemas.openxmlformats.org/officeDocument/2006/relationships/image" Target="media/image1318.wmf"/><Relationship Id="rId8178" Type="http://schemas.openxmlformats.org/officeDocument/2006/relationships/image" Target="media/image4098.wmf"/><Relationship Id="rId9229" Type="http://schemas.openxmlformats.org/officeDocument/2006/relationships/oleObject" Target="embeddings/oleObject4595.bin"/><Relationship Id="rId11159" Type="http://schemas.openxmlformats.org/officeDocument/2006/relationships/image" Target="media/image5591.wmf"/><Relationship Id="rId13608" Type="http://schemas.openxmlformats.org/officeDocument/2006/relationships/image" Target="media/image6819.wmf"/><Relationship Id="rId1218" Type="http://schemas.openxmlformats.org/officeDocument/2006/relationships/image" Target="media/image614.wmf"/><Relationship Id="rId4788" Type="http://schemas.openxmlformats.org/officeDocument/2006/relationships/image" Target="media/image2404.wmf"/><Relationship Id="rId5839" Type="http://schemas.openxmlformats.org/officeDocument/2006/relationships/image" Target="media/image2930.wmf"/><Relationship Id="rId7261" Type="http://schemas.openxmlformats.org/officeDocument/2006/relationships/oleObject" Target="embeddings/oleObject3615.bin"/><Relationship Id="rId9710" Type="http://schemas.openxmlformats.org/officeDocument/2006/relationships/image" Target="media/image4864.wmf"/><Relationship Id="rId11640" Type="http://schemas.openxmlformats.org/officeDocument/2006/relationships/oleObject" Target="embeddings/oleObject5773.bin"/><Relationship Id="rId8312" Type="http://schemas.openxmlformats.org/officeDocument/2006/relationships/image" Target="media/image4165.wmf"/><Relationship Id="rId10242" Type="http://schemas.openxmlformats.org/officeDocument/2006/relationships/oleObject" Target="embeddings/oleObject5088.bin"/><Relationship Id="rId3871" Type="http://schemas.openxmlformats.org/officeDocument/2006/relationships/oleObject" Target="embeddings/oleObject1926.bin"/><Relationship Id="rId4922" Type="http://schemas.openxmlformats.org/officeDocument/2006/relationships/image" Target="media/image2471.wmf"/><Relationship Id="rId13465" Type="http://schemas.openxmlformats.org/officeDocument/2006/relationships/oleObject" Target="embeddings/oleObject6678.bin"/><Relationship Id="rId14516" Type="http://schemas.openxmlformats.org/officeDocument/2006/relationships/oleObject" Target="embeddings/oleObject7198.bin"/><Relationship Id="rId792" Type="http://schemas.openxmlformats.org/officeDocument/2006/relationships/image" Target="media/image401.wmf"/><Relationship Id="rId2473" Type="http://schemas.openxmlformats.org/officeDocument/2006/relationships/oleObject" Target="embeddings/oleObject1224.bin"/><Relationship Id="rId3524" Type="http://schemas.openxmlformats.org/officeDocument/2006/relationships/image" Target="media/image1773.wmf"/><Relationship Id="rId9086" Type="http://schemas.openxmlformats.org/officeDocument/2006/relationships/oleObject" Target="embeddings/oleObject4523.bin"/><Relationship Id="rId12067" Type="http://schemas.openxmlformats.org/officeDocument/2006/relationships/oleObject" Target="embeddings/oleObject5985.bin"/><Relationship Id="rId13118" Type="http://schemas.openxmlformats.org/officeDocument/2006/relationships/oleObject" Target="embeddings/oleObject6506.bin"/><Relationship Id="rId445" Type="http://schemas.openxmlformats.org/officeDocument/2006/relationships/image" Target="media/image222.wmf"/><Relationship Id="rId1075" Type="http://schemas.openxmlformats.org/officeDocument/2006/relationships/image" Target="media/image543.wmf"/><Relationship Id="rId2126" Type="http://schemas.openxmlformats.org/officeDocument/2006/relationships/image" Target="media/image1069.wmf"/><Relationship Id="rId5696" Type="http://schemas.openxmlformats.org/officeDocument/2006/relationships/oleObject" Target="embeddings/oleObject2837.bin"/><Relationship Id="rId6747" Type="http://schemas.openxmlformats.org/officeDocument/2006/relationships/image" Target="media/image3383.wmf"/><Relationship Id="rId4298" Type="http://schemas.openxmlformats.org/officeDocument/2006/relationships/oleObject" Target="embeddings/oleObject2140.bin"/><Relationship Id="rId5349" Type="http://schemas.openxmlformats.org/officeDocument/2006/relationships/image" Target="media/image2685.wmf"/><Relationship Id="rId9220" Type="http://schemas.openxmlformats.org/officeDocument/2006/relationships/image" Target="media/image4619.wmf"/><Relationship Id="rId11150" Type="http://schemas.openxmlformats.org/officeDocument/2006/relationships/oleObject" Target="embeddings/oleObject5528.bin"/><Relationship Id="rId12201" Type="http://schemas.openxmlformats.org/officeDocument/2006/relationships/oleObject" Target="embeddings/oleObject6052.bin"/><Relationship Id="rId1959" Type="http://schemas.openxmlformats.org/officeDocument/2006/relationships/oleObject" Target="embeddings/oleObject967.bin"/><Relationship Id="rId5830" Type="http://schemas.openxmlformats.org/officeDocument/2006/relationships/oleObject" Target="embeddings/oleObject2904.bin"/><Relationship Id="rId14373" Type="http://schemas.openxmlformats.org/officeDocument/2006/relationships/image" Target="media/image7201.png"/><Relationship Id="rId3381" Type="http://schemas.openxmlformats.org/officeDocument/2006/relationships/oleObject" Target="embeddings/oleObject1680.bin"/><Relationship Id="rId4432" Type="http://schemas.openxmlformats.org/officeDocument/2006/relationships/image" Target="media/image2226.wmf"/><Relationship Id="rId10983" Type="http://schemas.openxmlformats.org/officeDocument/2006/relationships/oleObject" Target="embeddings/oleObject5447.bin"/><Relationship Id="rId14026" Type="http://schemas.openxmlformats.org/officeDocument/2006/relationships/oleObject" Target="embeddings/oleObject6959.bin"/><Relationship Id="rId3034" Type="http://schemas.openxmlformats.org/officeDocument/2006/relationships/oleObject" Target="embeddings/oleObject1505.bin"/><Relationship Id="rId7655" Type="http://schemas.openxmlformats.org/officeDocument/2006/relationships/oleObject" Target="embeddings/oleObject3812.bin"/><Relationship Id="rId8706" Type="http://schemas.openxmlformats.org/officeDocument/2006/relationships/oleObject" Target="embeddings/oleObject4336.bin"/><Relationship Id="rId10636" Type="http://schemas.openxmlformats.org/officeDocument/2006/relationships/image" Target="media/image5327.wmf"/><Relationship Id="rId6257" Type="http://schemas.openxmlformats.org/officeDocument/2006/relationships/image" Target="media/image3139.wmf"/><Relationship Id="rId7308" Type="http://schemas.openxmlformats.org/officeDocument/2006/relationships/image" Target="media/image3663.wmf"/><Relationship Id="rId13859" Type="http://schemas.openxmlformats.org/officeDocument/2006/relationships/image" Target="media/image6944.wmf"/><Relationship Id="rId839" Type="http://schemas.openxmlformats.org/officeDocument/2006/relationships/oleObject" Target="embeddings/oleObject411.bin"/><Relationship Id="rId1469" Type="http://schemas.openxmlformats.org/officeDocument/2006/relationships/oleObject" Target="embeddings/oleObject723.bin"/><Relationship Id="rId2867" Type="http://schemas.openxmlformats.org/officeDocument/2006/relationships/image" Target="media/image1443.wmf"/><Relationship Id="rId3918" Type="http://schemas.openxmlformats.org/officeDocument/2006/relationships/image" Target="media/image1970.wmf"/><Relationship Id="rId5340" Type="http://schemas.openxmlformats.org/officeDocument/2006/relationships/oleObject" Target="embeddings/oleObject2659.bin"/><Relationship Id="rId9961" Type="http://schemas.openxmlformats.org/officeDocument/2006/relationships/image" Target="media/image4989.wmf"/><Relationship Id="rId11891" Type="http://schemas.openxmlformats.org/officeDocument/2006/relationships/oleObject" Target="embeddings/oleObject5897.bin"/><Relationship Id="rId12942" Type="http://schemas.openxmlformats.org/officeDocument/2006/relationships/oleObject" Target="embeddings/oleObject6420.bin"/><Relationship Id="rId1950" Type="http://schemas.openxmlformats.org/officeDocument/2006/relationships/image" Target="media/image981.wmf"/><Relationship Id="rId8563" Type="http://schemas.openxmlformats.org/officeDocument/2006/relationships/oleObject" Target="embeddings/oleObject4266.bin"/><Relationship Id="rId9614" Type="http://schemas.openxmlformats.org/officeDocument/2006/relationships/image" Target="media/image4816.wmf"/><Relationship Id="rId10493" Type="http://schemas.openxmlformats.org/officeDocument/2006/relationships/oleObject" Target="embeddings/oleObject5211.bin"/><Relationship Id="rId11544" Type="http://schemas.openxmlformats.org/officeDocument/2006/relationships/oleObject" Target="embeddings/oleObject5725.bin"/><Relationship Id="rId1603" Type="http://schemas.openxmlformats.org/officeDocument/2006/relationships/oleObject" Target="embeddings/oleObject789.bin"/><Relationship Id="rId7165" Type="http://schemas.openxmlformats.org/officeDocument/2006/relationships/oleObject" Target="embeddings/oleObject3567.bin"/><Relationship Id="rId8216" Type="http://schemas.openxmlformats.org/officeDocument/2006/relationships/image" Target="media/image4117.wmf"/><Relationship Id="rId10146" Type="http://schemas.openxmlformats.org/officeDocument/2006/relationships/oleObject" Target="embeddings/oleObject5042.bin"/><Relationship Id="rId3775" Type="http://schemas.openxmlformats.org/officeDocument/2006/relationships/oleObject" Target="embeddings/oleObject1878.bin"/><Relationship Id="rId4826" Type="http://schemas.openxmlformats.org/officeDocument/2006/relationships/image" Target="media/image2423.wmf"/><Relationship Id="rId13369" Type="http://schemas.openxmlformats.org/officeDocument/2006/relationships/oleObject" Target="embeddings/oleObject6630.bin"/><Relationship Id="rId696" Type="http://schemas.openxmlformats.org/officeDocument/2006/relationships/image" Target="media/image350.wmf"/><Relationship Id="rId2377" Type="http://schemas.openxmlformats.org/officeDocument/2006/relationships/image" Target="media/image1197.wmf"/><Relationship Id="rId3428" Type="http://schemas.openxmlformats.org/officeDocument/2006/relationships/image" Target="media/image1725.wmf"/><Relationship Id="rId349" Type="http://schemas.openxmlformats.org/officeDocument/2006/relationships/oleObject" Target="embeddings/oleObject169.bin"/><Relationship Id="rId6998" Type="http://schemas.openxmlformats.org/officeDocument/2006/relationships/oleObject" Target="embeddings/oleObject3484.bin"/><Relationship Id="rId9471" Type="http://schemas.openxmlformats.org/officeDocument/2006/relationships/oleObject" Target="embeddings/oleObject4714.bin"/><Relationship Id="rId13850" Type="http://schemas.openxmlformats.org/officeDocument/2006/relationships/oleObject" Target="embeddings/oleObject6871.bin"/><Relationship Id="rId8073" Type="http://schemas.openxmlformats.org/officeDocument/2006/relationships/oleObject" Target="embeddings/oleObject4021.bin"/><Relationship Id="rId9124" Type="http://schemas.openxmlformats.org/officeDocument/2006/relationships/oleObject" Target="embeddings/oleObject4542.bin"/><Relationship Id="rId12452" Type="http://schemas.openxmlformats.org/officeDocument/2006/relationships/oleObject" Target="embeddings/oleObject6175.bin"/><Relationship Id="rId13503" Type="http://schemas.openxmlformats.org/officeDocument/2006/relationships/oleObject" Target="embeddings/oleObject6697.bin"/><Relationship Id="rId830" Type="http://schemas.openxmlformats.org/officeDocument/2006/relationships/image" Target="media/image420.wmf"/><Relationship Id="rId1460" Type="http://schemas.openxmlformats.org/officeDocument/2006/relationships/image" Target="media/image735.wmf"/><Relationship Id="rId2511" Type="http://schemas.openxmlformats.org/officeDocument/2006/relationships/oleObject" Target="embeddings/oleObject1243.bin"/><Relationship Id="rId11054" Type="http://schemas.openxmlformats.org/officeDocument/2006/relationships/image" Target="media/image5537.wmf"/><Relationship Id="rId12105" Type="http://schemas.openxmlformats.org/officeDocument/2006/relationships/oleObject" Target="embeddings/oleObject6004.bin"/><Relationship Id="rId1113" Type="http://schemas.openxmlformats.org/officeDocument/2006/relationships/image" Target="media/image562.wmf"/><Relationship Id="rId4683" Type="http://schemas.openxmlformats.org/officeDocument/2006/relationships/oleObject" Target="embeddings/oleObject2333.bin"/><Relationship Id="rId5734" Type="http://schemas.openxmlformats.org/officeDocument/2006/relationships/oleObject" Target="embeddings/oleObject2856.bin"/><Relationship Id="rId14277" Type="http://schemas.openxmlformats.org/officeDocument/2006/relationships/image" Target="media/image7153.wmf"/><Relationship Id="rId3285" Type="http://schemas.openxmlformats.org/officeDocument/2006/relationships/oleObject" Target="embeddings/oleObject1631.bin"/><Relationship Id="rId4336" Type="http://schemas.openxmlformats.org/officeDocument/2006/relationships/image" Target="media/image2178.wmf"/><Relationship Id="rId8957" Type="http://schemas.openxmlformats.org/officeDocument/2006/relationships/image" Target="media/image4488.wmf"/><Relationship Id="rId7559" Type="http://schemas.openxmlformats.org/officeDocument/2006/relationships/oleObject" Target="embeddings/oleObject3764.bin"/><Relationship Id="rId10887" Type="http://schemas.openxmlformats.org/officeDocument/2006/relationships/oleObject" Target="embeddings/oleObject5406.bin"/><Relationship Id="rId11938" Type="http://schemas.openxmlformats.org/officeDocument/2006/relationships/image" Target="media/image5982.wmf"/><Relationship Id="rId13360" Type="http://schemas.openxmlformats.org/officeDocument/2006/relationships/image" Target="media/image6695.wmf"/><Relationship Id="rId13013" Type="http://schemas.openxmlformats.org/officeDocument/2006/relationships/image" Target="media/image6521.wmf"/><Relationship Id="rId14411" Type="http://schemas.openxmlformats.org/officeDocument/2006/relationships/image" Target="media/image7220.wmf"/><Relationship Id="rId340" Type="http://schemas.openxmlformats.org/officeDocument/2006/relationships/image" Target="media/image169.wmf"/><Relationship Id="rId2021" Type="http://schemas.openxmlformats.org/officeDocument/2006/relationships/oleObject" Target="embeddings/oleObject998.bin"/><Relationship Id="rId4193" Type="http://schemas.openxmlformats.org/officeDocument/2006/relationships/image" Target="media/image2107.wmf"/><Relationship Id="rId5591" Type="http://schemas.openxmlformats.org/officeDocument/2006/relationships/image" Target="media/image2806.wmf"/><Relationship Id="rId6642" Type="http://schemas.openxmlformats.org/officeDocument/2006/relationships/oleObject" Target="embeddings/oleObject3308.bin"/><Relationship Id="rId5244" Type="http://schemas.openxmlformats.org/officeDocument/2006/relationships/oleObject" Target="embeddings/oleObject2611.bin"/><Relationship Id="rId9865" Type="http://schemas.openxmlformats.org/officeDocument/2006/relationships/image" Target="media/image4941.wmf"/><Relationship Id="rId11795" Type="http://schemas.openxmlformats.org/officeDocument/2006/relationships/oleObject" Target="embeddings/oleObject5849.bin"/><Relationship Id="rId12846" Type="http://schemas.openxmlformats.org/officeDocument/2006/relationships/oleObject" Target="embeddings/oleObject6372.bin"/><Relationship Id="rId79" Type="http://schemas.openxmlformats.org/officeDocument/2006/relationships/image" Target="media/image37.wmf"/><Relationship Id="rId1854" Type="http://schemas.openxmlformats.org/officeDocument/2006/relationships/image" Target="media/image933.wmf"/><Relationship Id="rId2905" Type="http://schemas.openxmlformats.org/officeDocument/2006/relationships/image" Target="media/image1462.wmf"/><Relationship Id="rId8467" Type="http://schemas.openxmlformats.org/officeDocument/2006/relationships/oleObject" Target="embeddings/oleObject4218.bin"/><Relationship Id="rId9518" Type="http://schemas.openxmlformats.org/officeDocument/2006/relationships/image" Target="media/image4768.wmf"/><Relationship Id="rId10397" Type="http://schemas.openxmlformats.org/officeDocument/2006/relationships/image" Target="media/image5207.wmf"/><Relationship Id="rId11448" Type="http://schemas.openxmlformats.org/officeDocument/2006/relationships/oleObject" Target="embeddings/oleObject5677.bin"/><Relationship Id="rId1507" Type="http://schemas.openxmlformats.org/officeDocument/2006/relationships/oleObject" Target="embeddings/oleObject740.bin"/><Relationship Id="rId7069" Type="http://schemas.openxmlformats.org/officeDocument/2006/relationships/image" Target="media/image3544.wmf"/><Relationship Id="rId3679" Type="http://schemas.openxmlformats.org/officeDocument/2006/relationships/oleObject" Target="embeddings/oleObject1830.bin"/><Relationship Id="rId7550" Type="http://schemas.openxmlformats.org/officeDocument/2006/relationships/image" Target="media/image3784.wmf"/><Relationship Id="rId6152" Type="http://schemas.openxmlformats.org/officeDocument/2006/relationships/oleObject" Target="embeddings/oleObject3065.bin"/><Relationship Id="rId7203" Type="http://schemas.openxmlformats.org/officeDocument/2006/relationships/oleObject" Target="embeddings/oleObject3586.bin"/><Relationship Id="rId8601" Type="http://schemas.openxmlformats.org/officeDocument/2006/relationships/oleObject" Target="embeddings/oleObject4285.bin"/><Relationship Id="rId10531" Type="http://schemas.openxmlformats.org/officeDocument/2006/relationships/oleObject" Target="embeddings/oleObject5230.bin"/><Relationship Id="rId13754" Type="http://schemas.openxmlformats.org/officeDocument/2006/relationships/oleObject" Target="embeddings/oleObject6823.bin"/><Relationship Id="rId2762" Type="http://schemas.openxmlformats.org/officeDocument/2006/relationships/image" Target="media/image1391.wmf"/><Relationship Id="rId3813" Type="http://schemas.openxmlformats.org/officeDocument/2006/relationships/oleObject" Target="embeddings/oleObject1897.bin"/><Relationship Id="rId9028" Type="http://schemas.openxmlformats.org/officeDocument/2006/relationships/oleObject" Target="embeddings/oleObject4494.bin"/><Relationship Id="rId9375" Type="http://schemas.openxmlformats.org/officeDocument/2006/relationships/oleObject" Target="embeddings/oleObject4668.bin"/><Relationship Id="rId12356" Type="http://schemas.openxmlformats.org/officeDocument/2006/relationships/oleObject" Target="embeddings/oleObject6127.bin"/><Relationship Id="rId13407" Type="http://schemas.openxmlformats.org/officeDocument/2006/relationships/oleObject" Target="embeddings/oleObject6649.bin"/><Relationship Id="rId734" Type="http://schemas.openxmlformats.org/officeDocument/2006/relationships/image" Target="media/image369.wmf"/><Relationship Id="rId1364" Type="http://schemas.openxmlformats.org/officeDocument/2006/relationships/image" Target="media/image687.wmf"/><Relationship Id="rId2415" Type="http://schemas.openxmlformats.org/officeDocument/2006/relationships/image" Target="media/image1216.wmf"/><Relationship Id="rId5985" Type="http://schemas.openxmlformats.org/officeDocument/2006/relationships/image" Target="media/image3003.wmf"/><Relationship Id="rId12009" Type="http://schemas.openxmlformats.org/officeDocument/2006/relationships/oleObject" Target="embeddings/oleObject5956.bin"/><Relationship Id="rId70" Type="http://schemas.openxmlformats.org/officeDocument/2006/relationships/oleObject" Target="embeddings/oleObject31.bin"/><Relationship Id="rId1017" Type="http://schemas.openxmlformats.org/officeDocument/2006/relationships/image" Target="media/image514.wmf"/><Relationship Id="rId4587" Type="http://schemas.openxmlformats.org/officeDocument/2006/relationships/oleObject" Target="embeddings/oleObject2285.bin"/><Relationship Id="rId5638" Type="http://schemas.openxmlformats.org/officeDocument/2006/relationships/oleObject" Target="embeddings/oleObject2808.bin"/><Relationship Id="rId3189" Type="http://schemas.openxmlformats.org/officeDocument/2006/relationships/image" Target="media/image1604.wmf"/><Relationship Id="rId7060" Type="http://schemas.openxmlformats.org/officeDocument/2006/relationships/oleObject" Target="embeddings/oleObject3515.bin"/><Relationship Id="rId8111" Type="http://schemas.openxmlformats.org/officeDocument/2006/relationships/oleObject" Target="embeddings/oleObject4040.bin"/><Relationship Id="rId10041" Type="http://schemas.openxmlformats.org/officeDocument/2006/relationships/image" Target="media/image5029.wmf"/><Relationship Id="rId591" Type="http://schemas.openxmlformats.org/officeDocument/2006/relationships/oleObject" Target="embeddings/oleObject285.bin"/><Relationship Id="rId2272" Type="http://schemas.openxmlformats.org/officeDocument/2006/relationships/oleObject" Target="embeddings/oleObject1123.bin"/><Relationship Id="rId3670" Type="http://schemas.openxmlformats.org/officeDocument/2006/relationships/image" Target="media/image1846.wmf"/><Relationship Id="rId4721" Type="http://schemas.openxmlformats.org/officeDocument/2006/relationships/oleObject" Target="embeddings/oleObject2352.bin"/><Relationship Id="rId13264" Type="http://schemas.openxmlformats.org/officeDocument/2006/relationships/oleObject" Target="embeddings/oleObject6579.bin"/><Relationship Id="rId14315" Type="http://schemas.openxmlformats.org/officeDocument/2006/relationships/image" Target="media/image7172.wmf"/><Relationship Id="rId244" Type="http://schemas.openxmlformats.org/officeDocument/2006/relationships/image" Target="media/image121.wmf"/><Relationship Id="rId3323" Type="http://schemas.openxmlformats.org/officeDocument/2006/relationships/oleObject" Target="embeddings/oleObject1650.bin"/><Relationship Id="rId6893" Type="http://schemas.openxmlformats.org/officeDocument/2006/relationships/image" Target="media/image3456.wmf"/><Relationship Id="rId7944" Type="http://schemas.openxmlformats.org/officeDocument/2006/relationships/image" Target="media/image3981.wmf"/><Relationship Id="rId10925" Type="http://schemas.openxmlformats.org/officeDocument/2006/relationships/oleObject" Target="embeddings/oleObject5425.bin"/><Relationship Id="rId5495" Type="http://schemas.openxmlformats.org/officeDocument/2006/relationships/image" Target="media/image2758.wmf"/><Relationship Id="rId6546" Type="http://schemas.microsoft.com/office/2007/relationships/hdphoto" Target="media/hdphoto13.wdp"/><Relationship Id="rId4097" Type="http://schemas.openxmlformats.org/officeDocument/2006/relationships/image" Target="media/image2059.wmf"/><Relationship Id="rId5148" Type="http://schemas.openxmlformats.org/officeDocument/2006/relationships/image" Target="media/image2584.wmf"/><Relationship Id="rId9769" Type="http://schemas.openxmlformats.org/officeDocument/2006/relationships/oleObject" Target="embeddings/oleObject4856.bin"/><Relationship Id="rId11699" Type="http://schemas.openxmlformats.org/officeDocument/2006/relationships/oleObject" Target="embeddings/oleObject5801.bin"/><Relationship Id="rId12000" Type="http://schemas.openxmlformats.org/officeDocument/2006/relationships/image" Target="media/image6013.wmf"/><Relationship Id="rId1758" Type="http://schemas.openxmlformats.org/officeDocument/2006/relationships/image" Target="media/image885.wmf"/><Relationship Id="rId2809" Type="http://schemas.openxmlformats.org/officeDocument/2006/relationships/oleObject" Target="embeddings/oleObject1392.bin"/><Relationship Id="rId14172" Type="http://schemas.openxmlformats.org/officeDocument/2006/relationships/oleObject" Target="embeddings/oleObject7032.bin"/><Relationship Id="rId3180" Type="http://schemas.openxmlformats.org/officeDocument/2006/relationships/oleObject" Target="embeddings/oleObject1578.bin"/><Relationship Id="rId4231" Type="http://schemas.openxmlformats.org/officeDocument/2006/relationships/image" Target="media/image2126.wmf"/><Relationship Id="rId8852" Type="http://schemas.microsoft.com/office/2007/relationships/hdphoto" Target="media/hdphoto18.wdp"/><Relationship Id="rId9903" Type="http://schemas.openxmlformats.org/officeDocument/2006/relationships/image" Target="media/image4960.wmf"/><Relationship Id="rId10782" Type="http://schemas.openxmlformats.org/officeDocument/2006/relationships/image" Target="media/image5400.wmf"/><Relationship Id="rId11833" Type="http://schemas.openxmlformats.org/officeDocument/2006/relationships/oleObject" Target="embeddings/oleObject5868.bin"/><Relationship Id="rId6056" Type="http://schemas.openxmlformats.org/officeDocument/2006/relationships/oleObject" Target="embeddings/oleObject3017.bin"/><Relationship Id="rId7454" Type="http://schemas.openxmlformats.org/officeDocument/2006/relationships/image" Target="media/image3736.wmf"/><Relationship Id="rId8505" Type="http://schemas.openxmlformats.org/officeDocument/2006/relationships/oleObject" Target="embeddings/oleObject4237.bin"/><Relationship Id="rId10435" Type="http://schemas.openxmlformats.org/officeDocument/2006/relationships/oleObject" Target="embeddings/oleObject5184.bin"/><Relationship Id="rId7107" Type="http://schemas.openxmlformats.org/officeDocument/2006/relationships/image" Target="media/image3563.wmf"/><Relationship Id="rId13658" Type="http://schemas.openxmlformats.org/officeDocument/2006/relationships/image" Target="media/image6844.wmf"/><Relationship Id="rId985" Type="http://schemas.openxmlformats.org/officeDocument/2006/relationships/image" Target="media/image498.wmf"/><Relationship Id="rId2666" Type="http://schemas.openxmlformats.org/officeDocument/2006/relationships/image" Target="media/image1343.wmf"/><Relationship Id="rId3717" Type="http://schemas.openxmlformats.org/officeDocument/2006/relationships/oleObject" Target="embeddings/oleObject1849.bin"/><Relationship Id="rId9279" Type="http://schemas.openxmlformats.org/officeDocument/2006/relationships/oleObject" Target="embeddings/oleObject4620.bin"/><Relationship Id="rId638" Type="http://schemas.openxmlformats.org/officeDocument/2006/relationships/image" Target="media/image320.wmf"/><Relationship Id="rId1268" Type="http://schemas.openxmlformats.org/officeDocument/2006/relationships/image" Target="media/image639.wmf"/><Relationship Id="rId2319" Type="http://schemas.openxmlformats.org/officeDocument/2006/relationships/image" Target="media/image1168.wmf"/><Relationship Id="rId5889" Type="http://schemas.openxmlformats.org/officeDocument/2006/relationships/image" Target="media/image2955.wmf"/><Relationship Id="rId9760" Type="http://schemas.openxmlformats.org/officeDocument/2006/relationships/image" Target="media/image4889.wmf"/><Relationship Id="rId8362" Type="http://schemas.openxmlformats.org/officeDocument/2006/relationships/image" Target="media/image4190.wmf"/><Relationship Id="rId9413" Type="http://schemas.openxmlformats.org/officeDocument/2006/relationships/oleObject" Target="embeddings/oleObject4687.bin"/><Relationship Id="rId11690" Type="http://schemas.openxmlformats.org/officeDocument/2006/relationships/image" Target="media/image5858.wmf"/><Relationship Id="rId12741" Type="http://schemas.openxmlformats.org/officeDocument/2006/relationships/image" Target="media/image6385.wmf"/><Relationship Id="rId2800" Type="http://schemas.openxmlformats.org/officeDocument/2006/relationships/image" Target="media/image1410.wmf"/><Relationship Id="rId8015" Type="http://schemas.openxmlformats.org/officeDocument/2006/relationships/oleObject" Target="embeddings/oleObject3992.bin"/><Relationship Id="rId10292" Type="http://schemas.openxmlformats.org/officeDocument/2006/relationships/oleObject" Target="embeddings/oleObject5113.bin"/><Relationship Id="rId11343" Type="http://schemas.openxmlformats.org/officeDocument/2006/relationships/image" Target="media/image5683.wmf"/><Relationship Id="rId1402" Type="http://schemas.openxmlformats.org/officeDocument/2006/relationships/image" Target="media/image706.wmf"/><Relationship Id="rId4972" Type="http://schemas.openxmlformats.org/officeDocument/2006/relationships/image" Target="media/image2496.wmf"/><Relationship Id="rId14566" Type="http://schemas.openxmlformats.org/officeDocument/2006/relationships/oleObject" Target="embeddings/oleObject7223.bin"/><Relationship Id="rId3574" Type="http://schemas.openxmlformats.org/officeDocument/2006/relationships/image" Target="media/image1798.wmf"/><Relationship Id="rId4625" Type="http://schemas.openxmlformats.org/officeDocument/2006/relationships/oleObject" Target="embeddings/oleObject2304.bin"/><Relationship Id="rId13168" Type="http://schemas.openxmlformats.org/officeDocument/2006/relationships/oleObject" Target="embeddings/oleObject6531.bin"/><Relationship Id="rId14219" Type="http://schemas.openxmlformats.org/officeDocument/2006/relationships/image" Target="media/image7124.wmf"/><Relationship Id="rId495" Type="http://schemas.openxmlformats.org/officeDocument/2006/relationships/image" Target="media/image247.wmf"/><Relationship Id="rId2176" Type="http://schemas.openxmlformats.org/officeDocument/2006/relationships/image" Target="media/image1094.wmf"/><Relationship Id="rId3227" Type="http://schemas.openxmlformats.org/officeDocument/2006/relationships/image" Target="media/image1623.wmf"/><Relationship Id="rId6797" Type="http://schemas.openxmlformats.org/officeDocument/2006/relationships/image" Target="media/image3408.wmf"/><Relationship Id="rId7848" Type="http://schemas.openxmlformats.org/officeDocument/2006/relationships/image" Target="media/image3933.wmf"/><Relationship Id="rId148" Type="http://schemas.openxmlformats.org/officeDocument/2006/relationships/image" Target="media/image73.wmf"/><Relationship Id="rId5399" Type="http://schemas.openxmlformats.org/officeDocument/2006/relationships/image" Target="media/image2710.wmf"/><Relationship Id="rId9270" Type="http://schemas.openxmlformats.org/officeDocument/2006/relationships/image" Target="media/image4644.wmf"/><Relationship Id="rId10829" Type="http://schemas.openxmlformats.org/officeDocument/2006/relationships/oleObject" Target="embeddings/oleObject5377.bin"/><Relationship Id="rId12251" Type="http://schemas.openxmlformats.org/officeDocument/2006/relationships/oleObject" Target="embeddings/oleObject6077.bin"/><Relationship Id="rId13302" Type="http://schemas.openxmlformats.org/officeDocument/2006/relationships/oleObject" Target="embeddings/oleObject6598.bin"/><Relationship Id="rId2310" Type="http://schemas.openxmlformats.org/officeDocument/2006/relationships/oleObject" Target="embeddings/oleObject1144.bin"/><Relationship Id="rId4482" Type="http://schemas.openxmlformats.org/officeDocument/2006/relationships/image" Target="media/image2251.wmf"/><Relationship Id="rId5880" Type="http://schemas.openxmlformats.org/officeDocument/2006/relationships/oleObject" Target="embeddings/oleObject2929.bin"/><Relationship Id="rId6931" Type="http://schemas.openxmlformats.org/officeDocument/2006/relationships/image" Target="media/image3475.wmf"/><Relationship Id="rId14076" Type="http://schemas.openxmlformats.org/officeDocument/2006/relationships/oleObject" Target="embeddings/oleObject6984.bin"/><Relationship Id="rId3084" Type="http://schemas.openxmlformats.org/officeDocument/2006/relationships/oleObject" Target="embeddings/oleObject1530.bin"/><Relationship Id="rId4135" Type="http://schemas.openxmlformats.org/officeDocument/2006/relationships/image" Target="media/image2078.wmf"/><Relationship Id="rId5533" Type="http://schemas.openxmlformats.org/officeDocument/2006/relationships/image" Target="media/image2777.wmf"/><Relationship Id="rId8756" Type="http://schemas.openxmlformats.org/officeDocument/2006/relationships/oleObject" Target="embeddings/oleObject4361.bin"/><Relationship Id="rId9807" Type="http://schemas.openxmlformats.org/officeDocument/2006/relationships/oleObject" Target="embeddings/oleObject4875.bin"/><Relationship Id="rId10686" Type="http://schemas.openxmlformats.org/officeDocument/2006/relationships/image" Target="media/image5352.wmf"/><Relationship Id="rId11737" Type="http://schemas.openxmlformats.org/officeDocument/2006/relationships/oleObject" Target="embeddings/oleObject5820.bin"/><Relationship Id="rId7358" Type="http://schemas.openxmlformats.org/officeDocument/2006/relationships/image" Target="media/image3688.wmf"/><Relationship Id="rId8409" Type="http://schemas.openxmlformats.org/officeDocument/2006/relationships/oleObject" Target="embeddings/oleObject4189.bin"/><Relationship Id="rId10339" Type="http://schemas.openxmlformats.org/officeDocument/2006/relationships/image" Target="media/image5178.wmf"/><Relationship Id="rId14210" Type="http://schemas.openxmlformats.org/officeDocument/2006/relationships/oleObject" Target="embeddings/oleObject7051.bin"/><Relationship Id="rId3968" Type="http://schemas.openxmlformats.org/officeDocument/2006/relationships/oleObject" Target="embeddings/oleObject1975.bin"/><Relationship Id="rId5" Type="http://schemas.openxmlformats.org/officeDocument/2006/relationships/webSettings" Target="webSettings.xml"/><Relationship Id="rId889" Type="http://schemas.openxmlformats.org/officeDocument/2006/relationships/oleObject" Target="embeddings/oleObject436.bin"/><Relationship Id="rId5390" Type="http://schemas.openxmlformats.org/officeDocument/2006/relationships/oleObject" Target="embeddings/oleObject2684.bin"/><Relationship Id="rId6441" Type="http://schemas.openxmlformats.org/officeDocument/2006/relationships/image" Target="media/image3230.wmf"/><Relationship Id="rId10820" Type="http://schemas.openxmlformats.org/officeDocument/2006/relationships/image" Target="media/image5419.wmf"/><Relationship Id="rId5043" Type="http://schemas.openxmlformats.org/officeDocument/2006/relationships/oleObject" Target="embeddings/oleObject2511.bin"/><Relationship Id="rId12992" Type="http://schemas.openxmlformats.org/officeDocument/2006/relationships/oleObject" Target="embeddings/oleObject6445.bin"/><Relationship Id="rId8266" Type="http://schemas.openxmlformats.org/officeDocument/2006/relationships/image" Target="media/image4142.wmf"/><Relationship Id="rId9317" Type="http://schemas.openxmlformats.org/officeDocument/2006/relationships/oleObject" Target="embeddings/oleObject4639.bin"/><Relationship Id="rId9664" Type="http://schemas.openxmlformats.org/officeDocument/2006/relationships/image" Target="media/image4841.wmf"/><Relationship Id="rId11594" Type="http://schemas.openxmlformats.org/officeDocument/2006/relationships/oleObject" Target="embeddings/oleObject5750.bin"/><Relationship Id="rId12645" Type="http://schemas.openxmlformats.org/officeDocument/2006/relationships/image" Target="media/image6337.wmf"/><Relationship Id="rId1653" Type="http://schemas.openxmlformats.org/officeDocument/2006/relationships/oleObject" Target="embeddings/oleObject814.bin"/><Relationship Id="rId2704" Type="http://schemas.openxmlformats.org/officeDocument/2006/relationships/image" Target="media/image1362.wmf"/><Relationship Id="rId10196" Type="http://schemas.openxmlformats.org/officeDocument/2006/relationships/oleObject" Target="embeddings/oleObject5065.bin"/><Relationship Id="rId11247" Type="http://schemas.openxmlformats.org/officeDocument/2006/relationships/image" Target="media/image5635.wmf"/><Relationship Id="rId1306" Type="http://schemas.openxmlformats.org/officeDocument/2006/relationships/image" Target="media/image658.wmf"/><Relationship Id="rId4876" Type="http://schemas.openxmlformats.org/officeDocument/2006/relationships/image" Target="media/image2448.wmf"/><Relationship Id="rId5927" Type="http://schemas.openxmlformats.org/officeDocument/2006/relationships/image" Target="media/image2974.wmf"/><Relationship Id="rId12" Type="http://schemas.openxmlformats.org/officeDocument/2006/relationships/oleObject" Target="embeddings/oleObject2.bin"/><Relationship Id="rId3478" Type="http://schemas.openxmlformats.org/officeDocument/2006/relationships/image" Target="media/image1750.wmf"/><Relationship Id="rId4529" Type="http://schemas.openxmlformats.org/officeDocument/2006/relationships/oleObject" Target="embeddings/oleObject2256.bin"/><Relationship Id="rId8400" Type="http://schemas.openxmlformats.org/officeDocument/2006/relationships/image" Target="media/image4209.wmf"/><Relationship Id="rId10330" Type="http://schemas.openxmlformats.org/officeDocument/2006/relationships/oleObject" Target="embeddings/oleObject5132.bin"/><Relationship Id="rId399" Type="http://schemas.openxmlformats.org/officeDocument/2006/relationships/image" Target="media/image199.wmf"/><Relationship Id="rId7002" Type="http://schemas.openxmlformats.org/officeDocument/2006/relationships/oleObject" Target="embeddings/oleObject3486.bin"/><Relationship Id="rId880" Type="http://schemas.openxmlformats.org/officeDocument/2006/relationships/image" Target="media/image445.wmf"/><Relationship Id="rId2561" Type="http://schemas.openxmlformats.org/officeDocument/2006/relationships/oleObject" Target="embeddings/oleObject1268.bin"/><Relationship Id="rId9174" Type="http://schemas.openxmlformats.org/officeDocument/2006/relationships/image" Target="media/image4596.wmf"/><Relationship Id="rId12155" Type="http://schemas.openxmlformats.org/officeDocument/2006/relationships/oleObject" Target="embeddings/oleObject6029.bin"/><Relationship Id="rId13553" Type="http://schemas.openxmlformats.org/officeDocument/2006/relationships/oleObject" Target="embeddings/oleObject6722.bin"/><Relationship Id="rId533" Type="http://schemas.openxmlformats.org/officeDocument/2006/relationships/image" Target="media/image266.wmf"/><Relationship Id="rId1163" Type="http://schemas.openxmlformats.org/officeDocument/2006/relationships/image" Target="media/image587.wmf"/><Relationship Id="rId2214" Type="http://schemas.openxmlformats.org/officeDocument/2006/relationships/image" Target="media/image1113.wmf"/><Relationship Id="rId3612" Type="http://schemas.openxmlformats.org/officeDocument/2006/relationships/image" Target="media/image1817.wmf"/><Relationship Id="rId13206" Type="http://schemas.openxmlformats.org/officeDocument/2006/relationships/oleObject" Target="embeddings/oleObject6550.bin"/><Relationship Id="rId5784" Type="http://schemas.openxmlformats.org/officeDocument/2006/relationships/oleObject" Target="embeddings/oleObject2881.bin"/><Relationship Id="rId6835" Type="http://schemas.openxmlformats.org/officeDocument/2006/relationships/image" Target="media/image3427.wmf"/><Relationship Id="rId4386" Type="http://schemas.openxmlformats.org/officeDocument/2006/relationships/image" Target="media/image2203.wmf"/><Relationship Id="rId5437" Type="http://schemas.openxmlformats.org/officeDocument/2006/relationships/image" Target="media/image2729.wmf"/><Relationship Id="rId11988" Type="http://schemas.openxmlformats.org/officeDocument/2006/relationships/image" Target="media/image6007.wmf"/><Relationship Id="rId4039" Type="http://schemas.openxmlformats.org/officeDocument/2006/relationships/image" Target="media/image2030.wmf"/><Relationship Id="rId14461" Type="http://schemas.openxmlformats.org/officeDocument/2006/relationships/image" Target="media/image7245.wmf"/><Relationship Id="rId4520" Type="http://schemas.openxmlformats.org/officeDocument/2006/relationships/image" Target="media/image2270.wmf"/><Relationship Id="rId13063" Type="http://schemas.openxmlformats.org/officeDocument/2006/relationships/image" Target="media/image6546.wmf"/><Relationship Id="rId14114" Type="http://schemas.openxmlformats.org/officeDocument/2006/relationships/oleObject" Target="embeddings/oleObject7003.bin"/><Relationship Id="rId390" Type="http://schemas.openxmlformats.org/officeDocument/2006/relationships/oleObject" Target="embeddings/oleObject189.bin"/><Relationship Id="rId2071" Type="http://schemas.openxmlformats.org/officeDocument/2006/relationships/oleObject" Target="embeddings/oleObject1023.bin"/><Relationship Id="rId3122" Type="http://schemas.openxmlformats.org/officeDocument/2006/relationships/oleObject" Target="embeddings/oleObject1549.bin"/><Relationship Id="rId6692" Type="http://schemas.openxmlformats.org/officeDocument/2006/relationships/oleObject" Target="embeddings/oleObject3333.bin"/><Relationship Id="rId5294" Type="http://schemas.openxmlformats.org/officeDocument/2006/relationships/oleObject" Target="embeddings/oleObject2636.bin"/><Relationship Id="rId6345" Type="http://schemas.openxmlformats.org/officeDocument/2006/relationships/image" Target="media/image3182.wmf"/><Relationship Id="rId7743" Type="http://schemas.openxmlformats.org/officeDocument/2006/relationships/oleObject" Target="embeddings/oleObject3856.bin"/><Relationship Id="rId10724" Type="http://schemas.openxmlformats.org/officeDocument/2006/relationships/image" Target="media/image5371.wmf"/><Relationship Id="rId12896" Type="http://schemas.openxmlformats.org/officeDocument/2006/relationships/oleObject" Target="embeddings/oleObject6397.bin"/><Relationship Id="rId13947" Type="http://schemas.openxmlformats.org/officeDocument/2006/relationships/image" Target="media/image6988.wmf"/><Relationship Id="rId2955" Type="http://schemas.openxmlformats.org/officeDocument/2006/relationships/image" Target="media/image1487.wmf"/><Relationship Id="rId9568" Type="http://schemas.openxmlformats.org/officeDocument/2006/relationships/image" Target="media/image4793.wmf"/><Relationship Id="rId11498" Type="http://schemas.openxmlformats.org/officeDocument/2006/relationships/oleObject" Target="embeddings/oleObject5702.bin"/><Relationship Id="rId12549" Type="http://schemas.openxmlformats.org/officeDocument/2006/relationships/image" Target="media/image6289.wmf"/><Relationship Id="rId927" Type="http://schemas.openxmlformats.org/officeDocument/2006/relationships/image" Target="media/image469.wmf"/><Relationship Id="rId1557" Type="http://schemas.openxmlformats.org/officeDocument/2006/relationships/oleObject" Target="embeddings/oleObject765.bin"/><Relationship Id="rId2608" Type="http://schemas.openxmlformats.org/officeDocument/2006/relationships/image" Target="media/image1314.wmf"/><Relationship Id="rId4030" Type="http://schemas.openxmlformats.org/officeDocument/2006/relationships/oleObject" Target="embeddings/oleObject2006.bin"/><Relationship Id="rId8651" Type="http://schemas.openxmlformats.org/officeDocument/2006/relationships/image" Target="media/image4335.wmf"/><Relationship Id="rId9702" Type="http://schemas.openxmlformats.org/officeDocument/2006/relationships/image" Target="media/image4860.wmf"/><Relationship Id="rId7253" Type="http://schemas.openxmlformats.org/officeDocument/2006/relationships/oleObject" Target="embeddings/oleObject3611.bin"/><Relationship Id="rId8304" Type="http://schemas.openxmlformats.org/officeDocument/2006/relationships/image" Target="media/image4161.wmf"/><Relationship Id="rId10234" Type="http://schemas.openxmlformats.org/officeDocument/2006/relationships/oleObject" Target="embeddings/oleObject5084.bin"/><Relationship Id="rId10581" Type="http://schemas.openxmlformats.org/officeDocument/2006/relationships/oleObject" Target="embeddings/oleObject5255.bin"/><Relationship Id="rId11632" Type="http://schemas.openxmlformats.org/officeDocument/2006/relationships/oleObject" Target="embeddings/oleObject5769.bin"/><Relationship Id="rId3863" Type="http://schemas.openxmlformats.org/officeDocument/2006/relationships/oleObject" Target="embeddings/oleObject1922.bin"/><Relationship Id="rId4914" Type="http://schemas.openxmlformats.org/officeDocument/2006/relationships/image" Target="media/image2467.wmf"/><Relationship Id="rId9078" Type="http://schemas.openxmlformats.org/officeDocument/2006/relationships/oleObject" Target="embeddings/oleObject4519.bin"/><Relationship Id="rId13457" Type="http://schemas.openxmlformats.org/officeDocument/2006/relationships/oleObject" Target="embeddings/oleObject6674.bin"/><Relationship Id="rId14508" Type="http://schemas.openxmlformats.org/officeDocument/2006/relationships/oleObject" Target="embeddings/oleObject7194.bin"/><Relationship Id="rId784" Type="http://schemas.openxmlformats.org/officeDocument/2006/relationships/image" Target="media/image397.wmf"/><Relationship Id="rId1067" Type="http://schemas.openxmlformats.org/officeDocument/2006/relationships/image" Target="media/image539.wmf"/><Relationship Id="rId2465" Type="http://schemas.openxmlformats.org/officeDocument/2006/relationships/oleObject" Target="embeddings/oleObject1220.bin"/><Relationship Id="rId3516" Type="http://schemas.openxmlformats.org/officeDocument/2006/relationships/image" Target="media/image1769.wmf"/><Relationship Id="rId12059" Type="http://schemas.openxmlformats.org/officeDocument/2006/relationships/oleObject" Target="embeddings/oleObject5981.bin"/><Relationship Id="rId437" Type="http://schemas.openxmlformats.org/officeDocument/2006/relationships/image" Target="media/image218.png"/><Relationship Id="rId2118" Type="http://schemas.openxmlformats.org/officeDocument/2006/relationships/image" Target="media/image1065.wmf"/><Relationship Id="rId5688" Type="http://schemas.openxmlformats.org/officeDocument/2006/relationships/oleObject" Target="embeddings/oleObject2833.bin"/><Relationship Id="rId6739" Type="http://schemas.openxmlformats.org/officeDocument/2006/relationships/image" Target="media/image3379.wmf"/><Relationship Id="rId12540" Type="http://schemas.openxmlformats.org/officeDocument/2006/relationships/oleObject" Target="embeddings/oleObject6219.bin"/><Relationship Id="rId8161" Type="http://schemas.openxmlformats.org/officeDocument/2006/relationships/oleObject" Target="embeddings/oleObject4065.bin"/><Relationship Id="rId9212" Type="http://schemas.openxmlformats.org/officeDocument/2006/relationships/image" Target="media/image4615.wmf"/><Relationship Id="rId10091" Type="http://schemas.openxmlformats.org/officeDocument/2006/relationships/image" Target="media/image5054.wmf"/><Relationship Id="rId11142" Type="http://schemas.openxmlformats.org/officeDocument/2006/relationships/oleObject" Target="embeddings/oleObject5524.bin"/><Relationship Id="rId1201" Type="http://schemas.openxmlformats.org/officeDocument/2006/relationships/oleObject" Target="embeddings/oleObject591.bin"/><Relationship Id="rId4771" Type="http://schemas.openxmlformats.org/officeDocument/2006/relationships/oleObject" Target="embeddings/oleObject2377.bin"/><Relationship Id="rId14365" Type="http://schemas.openxmlformats.org/officeDocument/2006/relationships/image" Target="media/image7197.wmf"/><Relationship Id="rId3373" Type="http://schemas.openxmlformats.org/officeDocument/2006/relationships/oleObject" Target="embeddings/oleObject1675.bin"/><Relationship Id="rId4424" Type="http://schemas.openxmlformats.org/officeDocument/2006/relationships/image" Target="media/image2222.wmf"/><Relationship Id="rId5822" Type="http://schemas.openxmlformats.org/officeDocument/2006/relationships/oleObject" Target="embeddings/oleObject2900.bin"/><Relationship Id="rId14018" Type="http://schemas.openxmlformats.org/officeDocument/2006/relationships/oleObject" Target="embeddings/oleObject6955.bin"/><Relationship Id="rId294" Type="http://schemas.openxmlformats.org/officeDocument/2006/relationships/image" Target="media/image146.wmf"/><Relationship Id="rId3026" Type="http://schemas.openxmlformats.org/officeDocument/2006/relationships/oleObject" Target="embeddings/oleObject1501.bin"/><Relationship Id="rId7994" Type="http://schemas.openxmlformats.org/officeDocument/2006/relationships/image" Target="media/image4006.wmf"/><Relationship Id="rId10975" Type="http://schemas.openxmlformats.org/officeDocument/2006/relationships/oleObject" Target="embeddings/oleObject5443.bin"/><Relationship Id="rId5198" Type="http://schemas.openxmlformats.org/officeDocument/2006/relationships/image" Target="media/image2609.wmf"/><Relationship Id="rId6596" Type="http://schemas.openxmlformats.org/officeDocument/2006/relationships/oleObject" Target="embeddings/oleObject3285.bin"/><Relationship Id="rId7647" Type="http://schemas.openxmlformats.org/officeDocument/2006/relationships/oleObject" Target="embeddings/oleObject3808.bin"/><Relationship Id="rId10628" Type="http://schemas.openxmlformats.org/officeDocument/2006/relationships/image" Target="media/image5323.wmf"/><Relationship Id="rId6249" Type="http://schemas.openxmlformats.org/officeDocument/2006/relationships/image" Target="media/image3135.wmf"/><Relationship Id="rId12050" Type="http://schemas.openxmlformats.org/officeDocument/2006/relationships/image" Target="media/image6038.wmf"/><Relationship Id="rId13101" Type="http://schemas.openxmlformats.org/officeDocument/2006/relationships/image" Target="media/image6565.wmf"/><Relationship Id="rId2859" Type="http://schemas.openxmlformats.org/officeDocument/2006/relationships/image" Target="media/image1439.wmf"/><Relationship Id="rId6730" Type="http://schemas.openxmlformats.org/officeDocument/2006/relationships/oleObject" Target="embeddings/oleObject3352.bin"/><Relationship Id="rId4281" Type="http://schemas.openxmlformats.org/officeDocument/2006/relationships/image" Target="media/image2151.wmf"/><Relationship Id="rId5332" Type="http://schemas.openxmlformats.org/officeDocument/2006/relationships/oleObject" Target="embeddings/oleObject2655.bin"/><Relationship Id="rId8555" Type="http://schemas.openxmlformats.org/officeDocument/2006/relationships/oleObject" Target="embeddings/oleObject4262.bin"/><Relationship Id="rId9606" Type="http://schemas.openxmlformats.org/officeDocument/2006/relationships/image" Target="media/image4812.wmf"/><Relationship Id="rId9953" Type="http://schemas.openxmlformats.org/officeDocument/2006/relationships/image" Target="media/image4985.wmf"/><Relationship Id="rId11883" Type="http://schemas.openxmlformats.org/officeDocument/2006/relationships/oleObject" Target="embeddings/oleObject5893.bin"/><Relationship Id="rId12934" Type="http://schemas.openxmlformats.org/officeDocument/2006/relationships/oleObject" Target="embeddings/oleObject6416.bin"/><Relationship Id="rId1942" Type="http://schemas.openxmlformats.org/officeDocument/2006/relationships/image" Target="media/image977.wmf"/><Relationship Id="rId7157" Type="http://schemas.openxmlformats.org/officeDocument/2006/relationships/oleObject" Target="embeddings/oleObject3563.bin"/><Relationship Id="rId8208" Type="http://schemas.openxmlformats.org/officeDocument/2006/relationships/image" Target="media/image4113.wmf"/><Relationship Id="rId10485" Type="http://schemas.openxmlformats.org/officeDocument/2006/relationships/oleObject" Target="embeddings/oleObject5207.bin"/><Relationship Id="rId11536" Type="http://schemas.openxmlformats.org/officeDocument/2006/relationships/oleObject" Target="embeddings/oleObject5721.bin"/><Relationship Id="rId10138" Type="http://schemas.openxmlformats.org/officeDocument/2006/relationships/oleObject" Target="embeddings/oleObject5038.bin"/><Relationship Id="rId3767" Type="http://schemas.openxmlformats.org/officeDocument/2006/relationships/oleObject" Target="embeddings/oleObject1874.bin"/><Relationship Id="rId4818" Type="http://schemas.openxmlformats.org/officeDocument/2006/relationships/image" Target="media/image2419.wmf"/><Relationship Id="rId688" Type="http://schemas.openxmlformats.org/officeDocument/2006/relationships/image" Target="media/image346.wmf"/><Relationship Id="rId2369" Type="http://schemas.openxmlformats.org/officeDocument/2006/relationships/image" Target="media/image1193.wmf"/><Relationship Id="rId6240" Type="http://schemas.openxmlformats.org/officeDocument/2006/relationships/oleObject" Target="embeddings/oleObject3109.bin"/><Relationship Id="rId2850" Type="http://schemas.openxmlformats.org/officeDocument/2006/relationships/oleObject" Target="embeddings/oleObject1413.bin"/><Relationship Id="rId9463" Type="http://schemas.openxmlformats.org/officeDocument/2006/relationships/oleObject" Target="embeddings/oleObject4710.bin"/><Relationship Id="rId11393" Type="http://schemas.openxmlformats.org/officeDocument/2006/relationships/image" Target="media/image5708.wmf"/><Relationship Id="rId12444" Type="http://schemas.openxmlformats.org/officeDocument/2006/relationships/oleObject" Target="embeddings/oleObject6171.bin"/><Relationship Id="rId12791" Type="http://schemas.openxmlformats.org/officeDocument/2006/relationships/image" Target="media/image6410.wmf"/><Relationship Id="rId13842" Type="http://schemas.openxmlformats.org/officeDocument/2006/relationships/oleObject" Target="embeddings/oleObject6867.bin"/><Relationship Id="rId822" Type="http://schemas.openxmlformats.org/officeDocument/2006/relationships/image" Target="media/image416.wmf"/><Relationship Id="rId1452" Type="http://schemas.openxmlformats.org/officeDocument/2006/relationships/image" Target="media/image731.wmf"/><Relationship Id="rId2503" Type="http://schemas.openxmlformats.org/officeDocument/2006/relationships/oleObject" Target="embeddings/oleObject1239.bin"/><Relationship Id="rId3901" Type="http://schemas.openxmlformats.org/officeDocument/2006/relationships/oleObject" Target="embeddings/oleObject1941.bin"/><Relationship Id="rId8065" Type="http://schemas.openxmlformats.org/officeDocument/2006/relationships/oleObject" Target="embeddings/oleObject4017.bin"/><Relationship Id="rId9116" Type="http://schemas.openxmlformats.org/officeDocument/2006/relationships/oleObject" Target="embeddings/oleObject4538.bin"/><Relationship Id="rId11046" Type="http://schemas.openxmlformats.org/officeDocument/2006/relationships/image" Target="media/image5533.wmf"/><Relationship Id="rId1105" Type="http://schemas.openxmlformats.org/officeDocument/2006/relationships/image" Target="media/image558.wmf"/><Relationship Id="rId3277" Type="http://schemas.openxmlformats.org/officeDocument/2006/relationships/oleObject" Target="embeddings/oleObject1627.bin"/><Relationship Id="rId4675" Type="http://schemas.openxmlformats.org/officeDocument/2006/relationships/oleObject" Target="embeddings/oleObject2329.bin"/><Relationship Id="rId5726" Type="http://schemas.openxmlformats.org/officeDocument/2006/relationships/oleObject" Target="embeddings/oleObject2852.bin"/><Relationship Id="rId14269" Type="http://schemas.openxmlformats.org/officeDocument/2006/relationships/image" Target="media/image7149.wmf"/><Relationship Id="rId198" Type="http://schemas.openxmlformats.org/officeDocument/2006/relationships/image" Target="media/image98.wmf"/><Relationship Id="rId4328" Type="http://schemas.openxmlformats.org/officeDocument/2006/relationships/oleObject" Target="embeddings/oleObject2155.bin"/><Relationship Id="rId7898" Type="http://schemas.openxmlformats.org/officeDocument/2006/relationships/image" Target="media/image3958.wmf"/><Relationship Id="rId8949" Type="http://schemas.openxmlformats.org/officeDocument/2006/relationships/image" Target="media/image4484.wmf"/><Relationship Id="rId10879" Type="http://schemas.openxmlformats.org/officeDocument/2006/relationships/oleObject" Target="embeddings/oleObject5402.bin"/><Relationship Id="rId13352" Type="http://schemas.openxmlformats.org/officeDocument/2006/relationships/image" Target="media/image6691.wmf"/><Relationship Id="rId14403" Type="http://schemas.openxmlformats.org/officeDocument/2006/relationships/image" Target="media/image7216.wmf"/><Relationship Id="rId2360" Type="http://schemas.openxmlformats.org/officeDocument/2006/relationships/oleObject" Target="embeddings/oleObject1169.bin"/><Relationship Id="rId3411" Type="http://schemas.openxmlformats.org/officeDocument/2006/relationships/oleObject" Target="embeddings/oleObject1695.bin"/><Relationship Id="rId6981" Type="http://schemas.openxmlformats.org/officeDocument/2006/relationships/image" Target="media/image3500.wmf"/><Relationship Id="rId13005" Type="http://schemas.openxmlformats.org/officeDocument/2006/relationships/image" Target="media/image6517.wmf"/><Relationship Id="rId332" Type="http://schemas.openxmlformats.org/officeDocument/2006/relationships/image" Target="media/image165.wmf"/><Relationship Id="rId2013" Type="http://schemas.openxmlformats.org/officeDocument/2006/relationships/oleObject" Target="embeddings/oleObject994.bin"/><Relationship Id="rId5583" Type="http://schemas.openxmlformats.org/officeDocument/2006/relationships/image" Target="media/image2802.wmf"/><Relationship Id="rId6634" Type="http://schemas.openxmlformats.org/officeDocument/2006/relationships/oleObject" Target="embeddings/oleObject3304.bin"/><Relationship Id="rId4185" Type="http://schemas.openxmlformats.org/officeDocument/2006/relationships/image" Target="media/image2103.wmf"/><Relationship Id="rId5236" Type="http://schemas.openxmlformats.org/officeDocument/2006/relationships/oleObject" Target="embeddings/oleObject2607.bin"/><Relationship Id="rId9857" Type="http://schemas.openxmlformats.org/officeDocument/2006/relationships/image" Target="media/image4937.wmf"/><Relationship Id="rId11787" Type="http://schemas.openxmlformats.org/officeDocument/2006/relationships/oleObject" Target="embeddings/oleObject5845.bin"/><Relationship Id="rId12838" Type="http://schemas.openxmlformats.org/officeDocument/2006/relationships/oleObject" Target="embeddings/oleObject6368.bin"/><Relationship Id="rId1846" Type="http://schemas.openxmlformats.org/officeDocument/2006/relationships/image" Target="media/image929.wmf"/><Relationship Id="rId8459" Type="http://schemas.openxmlformats.org/officeDocument/2006/relationships/oleObject" Target="embeddings/oleObject4214.bin"/><Relationship Id="rId10389" Type="http://schemas.openxmlformats.org/officeDocument/2006/relationships/image" Target="media/image5203.wmf"/><Relationship Id="rId14260" Type="http://schemas.openxmlformats.org/officeDocument/2006/relationships/oleObject" Target="embeddings/oleObject7076.bin"/><Relationship Id="rId8940" Type="http://schemas.openxmlformats.org/officeDocument/2006/relationships/oleObject" Target="embeddings/oleObject4450.bin"/><Relationship Id="rId6491" Type="http://schemas.openxmlformats.org/officeDocument/2006/relationships/image" Target="media/image3255.wmf"/><Relationship Id="rId7542" Type="http://schemas.openxmlformats.org/officeDocument/2006/relationships/image" Target="media/image3780.wmf"/><Relationship Id="rId10523" Type="http://schemas.openxmlformats.org/officeDocument/2006/relationships/oleObject" Target="embeddings/oleObject5226.bin"/><Relationship Id="rId10870" Type="http://schemas.openxmlformats.org/officeDocument/2006/relationships/image" Target="media/image5444.wmf"/><Relationship Id="rId11921" Type="http://schemas.openxmlformats.org/officeDocument/2006/relationships/oleObject" Target="embeddings/oleObject5912.bin"/><Relationship Id="rId5093" Type="http://schemas.openxmlformats.org/officeDocument/2006/relationships/oleObject" Target="embeddings/oleObject2536.bin"/><Relationship Id="rId6144" Type="http://schemas.openxmlformats.org/officeDocument/2006/relationships/oleObject" Target="embeddings/oleObject3061.bin"/><Relationship Id="rId9367" Type="http://schemas.openxmlformats.org/officeDocument/2006/relationships/oleObject" Target="embeddings/oleObject4664.bin"/><Relationship Id="rId12695" Type="http://schemas.openxmlformats.org/officeDocument/2006/relationships/image" Target="media/image6362.wmf"/><Relationship Id="rId13746" Type="http://schemas.openxmlformats.org/officeDocument/2006/relationships/oleObject" Target="embeddings/oleObject6819.bin"/><Relationship Id="rId1356" Type="http://schemas.openxmlformats.org/officeDocument/2006/relationships/image" Target="media/image683.wmf"/><Relationship Id="rId2754" Type="http://schemas.openxmlformats.org/officeDocument/2006/relationships/image" Target="media/image1387.wmf"/><Relationship Id="rId3805" Type="http://schemas.openxmlformats.org/officeDocument/2006/relationships/oleObject" Target="embeddings/oleObject1893.bin"/><Relationship Id="rId11297" Type="http://schemas.openxmlformats.org/officeDocument/2006/relationships/image" Target="media/image5660.wmf"/><Relationship Id="rId12348" Type="http://schemas.openxmlformats.org/officeDocument/2006/relationships/oleObject" Target="embeddings/oleObject6123.bin"/><Relationship Id="rId726" Type="http://schemas.openxmlformats.org/officeDocument/2006/relationships/image" Target="media/image365.wmf"/><Relationship Id="rId1009" Type="http://schemas.openxmlformats.org/officeDocument/2006/relationships/image" Target="media/image510.wmf"/><Relationship Id="rId2407" Type="http://schemas.openxmlformats.org/officeDocument/2006/relationships/image" Target="media/image1212.wmf"/><Relationship Id="rId5977" Type="http://schemas.openxmlformats.org/officeDocument/2006/relationships/image" Target="media/image2999.wmf"/><Relationship Id="rId62" Type="http://schemas.openxmlformats.org/officeDocument/2006/relationships/oleObject" Target="embeddings/oleObject27.bin"/><Relationship Id="rId4579" Type="http://schemas.openxmlformats.org/officeDocument/2006/relationships/oleObject" Target="embeddings/oleObject2281.bin"/><Relationship Id="rId8450" Type="http://schemas.openxmlformats.org/officeDocument/2006/relationships/image" Target="media/image4234.wmf"/><Relationship Id="rId9501" Type="http://schemas.openxmlformats.org/officeDocument/2006/relationships/oleObject" Target="embeddings/oleObject4729.bin"/><Relationship Id="rId10380" Type="http://schemas.openxmlformats.org/officeDocument/2006/relationships/oleObject" Target="embeddings/oleObject5157.bin"/><Relationship Id="rId11431" Type="http://schemas.openxmlformats.org/officeDocument/2006/relationships/image" Target="media/image5727.wmf"/><Relationship Id="rId7052" Type="http://schemas.openxmlformats.org/officeDocument/2006/relationships/oleObject" Target="embeddings/oleObject3511.bin"/><Relationship Id="rId8103" Type="http://schemas.openxmlformats.org/officeDocument/2006/relationships/oleObject" Target="embeddings/oleObject4036.bin"/><Relationship Id="rId10033" Type="http://schemas.openxmlformats.org/officeDocument/2006/relationships/image" Target="media/image5025.wmf"/><Relationship Id="rId3662" Type="http://schemas.openxmlformats.org/officeDocument/2006/relationships/image" Target="media/image1842.wmf"/><Relationship Id="rId4713" Type="http://schemas.openxmlformats.org/officeDocument/2006/relationships/oleObject" Target="embeddings/oleObject2348.bin"/><Relationship Id="rId13256" Type="http://schemas.openxmlformats.org/officeDocument/2006/relationships/oleObject" Target="embeddings/oleObject6575.bin"/><Relationship Id="rId14307" Type="http://schemas.openxmlformats.org/officeDocument/2006/relationships/image" Target="media/image7168.wmf"/><Relationship Id="rId583" Type="http://schemas.openxmlformats.org/officeDocument/2006/relationships/oleObject" Target="embeddings/oleObject281.bin"/><Relationship Id="rId2264" Type="http://schemas.openxmlformats.org/officeDocument/2006/relationships/oleObject" Target="embeddings/oleObject1119.bin"/><Relationship Id="rId3315" Type="http://schemas.openxmlformats.org/officeDocument/2006/relationships/oleObject" Target="embeddings/oleObject1646.bin"/><Relationship Id="rId236" Type="http://schemas.openxmlformats.org/officeDocument/2006/relationships/image" Target="media/image117.wmf"/><Relationship Id="rId5487" Type="http://schemas.openxmlformats.org/officeDocument/2006/relationships/image" Target="media/image2754.wmf"/><Relationship Id="rId6885" Type="http://schemas.openxmlformats.org/officeDocument/2006/relationships/image" Target="media/image3452.wmf"/><Relationship Id="rId7936" Type="http://schemas.openxmlformats.org/officeDocument/2006/relationships/image" Target="media/image3977.wmf"/><Relationship Id="rId10917" Type="http://schemas.openxmlformats.org/officeDocument/2006/relationships/oleObject" Target="embeddings/oleObject5421.bin"/><Relationship Id="rId4089" Type="http://schemas.openxmlformats.org/officeDocument/2006/relationships/image" Target="media/image2055.wmf"/><Relationship Id="rId6538" Type="http://schemas.openxmlformats.org/officeDocument/2006/relationships/oleObject" Target="embeddings/oleObject3259.bin"/><Relationship Id="rId9011" Type="http://schemas.openxmlformats.org/officeDocument/2006/relationships/image" Target="media/image4515.wmf"/><Relationship Id="rId1000" Type="http://schemas.openxmlformats.org/officeDocument/2006/relationships/oleObject" Target="embeddings/oleObject491.bin"/><Relationship Id="rId4570" Type="http://schemas.openxmlformats.org/officeDocument/2006/relationships/image" Target="media/image2295.wmf"/><Relationship Id="rId5621" Type="http://schemas.openxmlformats.org/officeDocument/2006/relationships/image" Target="media/image2821.wmf"/><Relationship Id="rId14164" Type="http://schemas.openxmlformats.org/officeDocument/2006/relationships/oleObject" Target="embeddings/oleObject7028.bin"/><Relationship Id="rId3172" Type="http://schemas.openxmlformats.org/officeDocument/2006/relationships/oleObject" Target="embeddings/oleObject1574.bin"/><Relationship Id="rId4223" Type="http://schemas.openxmlformats.org/officeDocument/2006/relationships/image" Target="media/image2122.wmf"/><Relationship Id="rId7793" Type="http://schemas.openxmlformats.org/officeDocument/2006/relationships/oleObject" Target="embeddings/oleObject3881.bin"/><Relationship Id="rId8844" Type="http://schemas.openxmlformats.org/officeDocument/2006/relationships/oleObject" Target="embeddings/oleObject4405.bin"/><Relationship Id="rId6395" Type="http://schemas.openxmlformats.org/officeDocument/2006/relationships/image" Target="media/image3207.wmf"/><Relationship Id="rId7446" Type="http://schemas.openxmlformats.org/officeDocument/2006/relationships/image" Target="media/image3732.wmf"/><Relationship Id="rId10774" Type="http://schemas.openxmlformats.org/officeDocument/2006/relationships/image" Target="media/image5396.wmf"/><Relationship Id="rId11825" Type="http://schemas.openxmlformats.org/officeDocument/2006/relationships/oleObject" Target="embeddings/oleObject5864.bin"/><Relationship Id="rId6048" Type="http://schemas.openxmlformats.org/officeDocument/2006/relationships/oleObject" Target="embeddings/oleObject3013.bin"/><Relationship Id="rId10427" Type="http://schemas.openxmlformats.org/officeDocument/2006/relationships/oleObject" Target="embeddings/oleObject5180.bin"/><Relationship Id="rId13997" Type="http://schemas.openxmlformats.org/officeDocument/2006/relationships/image" Target="media/image7013.wmf"/><Relationship Id="rId12599" Type="http://schemas.openxmlformats.org/officeDocument/2006/relationships/image" Target="media/image6314.wmf"/><Relationship Id="rId977" Type="http://schemas.openxmlformats.org/officeDocument/2006/relationships/image" Target="media/image494.wmf"/><Relationship Id="rId2658" Type="http://schemas.openxmlformats.org/officeDocument/2006/relationships/image" Target="media/image1339.wmf"/><Relationship Id="rId3709" Type="http://schemas.openxmlformats.org/officeDocument/2006/relationships/oleObject" Target="embeddings/oleObject1845.bin"/><Relationship Id="rId4080" Type="http://schemas.openxmlformats.org/officeDocument/2006/relationships/oleObject" Target="embeddings/oleObject2031.bin"/><Relationship Id="rId5131" Type="http://schemas.openxmlformats.org/officeDocument/2006/relationships/oleObject" Target="embeddings/oleObject2555.bin"/><Relationship Id="rId9752" Type="http://schemas.openxmlformats.org/officeDocument/2006/relationships/image" Target="media/image4885.wmf"/><Relationship Id="rId11682" Type="http://schemas.openxmlformats.org/officeDocument/2006/relationships/image" Target="media/image5854.wmf"/><Relationship Id="rId12733" Type="http://schemas.openxmlformats.org/officeDocument/2006/relationships/image" Target="media/image6381.wmf"/><Relationship Id="rId1741" Type="http://schemas.openxmlformats.org/officeDocument/2006/relationships/oleObject" Target="embeddings/oleObject858.bin"/><Relationship Id="rId8354" Type="http://schemas.openxmlformats.org/officeDocument/2006/relationships/image" Target="media/image4186.wmf"/><Relationship Id="rId9405" Type="http://schemas.openxmlformats.org/officeDocument/2006/relationships/oleObject" Target="embeddings/oleObject4683.bin"/><Relationship Id="rId10284" Type="http://schemas.openxmlformats.org/officeDocument/2006/relationships/oleObject" Target="embeddings/oleObject5109.bin"/><Relationship Id="rId11335" Type="http://schemas.openxmlformats.org/officeDocument/2006/relationships/image" Target="media/image5679.wmf"/><Relationship Id="rId8007" Type="http://schemas.openxmlformats.org/officeDocument/2006/relationships/oleObject" Target="embeddings/oleObject3988.bin"/><Relationship Id="rId3566" Type="http://schemas.openxmlformats.org/officeDocument/2006/relationships/image" Target="media/image1794.wmf"/><Relationship Id="rId4964" Type="http://schemas.openxmlformats.org/officeDocument/2006/relationships/image" Target="media/image2492.wmf"/><Relationship Id="rId14558" Type="http://schemas.openxmlformats.org/officeDocument/2006/relationships/oleObject" Target="embeddings/oleObject7219.bin"/><Relationship Id="rId487" Type="http://schemas.openxmlformats.org/officeDocument/2006/relationships/image" Target="media/image243.wmf"/><Relationship Id="rId2168" Type="http://schemas.openxmlformats.org/officeDocument/2006/relationships/image" Target="media/image1090.wmf"/><Relationship Id="rId3219" Type="http://schemas.openxmlformats.org/officeDocument/2006/relationships/image" Target="media/image1619.wmf"/><Relationship Id="rId4617" Type="http://schemas.openxmlformats.org/officeDocument/2006/relationships/oleObject" Target="embeddings/oleObject2300.bin"/><Relationship Id="rId6789" Type="http://schemas.openxmlformats.org/officeDocument/2006/relationships/image" Target="media/image3404.wmf"/><Relationship Id="rId12590" Type="http://schemas.openxmlformats.org/officeDocument/2006/relationships/oleObject" Target="embeddings/oleObject6244.bin"/><Relationship Id="rId13641" Type="http://schemas.openxmlformats.org/officeDocument/2006/relationships/oleObject" Target="embeddings/oleObject6766.bin"/><Relationship Id="rId3700" Type="http://schemas.openxmlformats.org/officeDocument/2006/relationships/image" Target="media/image1861.wmf"/><Relationship Id="rId9262" Type="http://schemas.openxmlformats.org/officeDocument/2006/relationships/image" Target="media/image4640.wmf"/><Relationship Id="rId11192" Type="http://schemas.openxmlformats.org/officeDocument/2006/relationships/oleObject" Target="embeddings/oleObject5549.bin"/><Relationship Id="rId12243" Type="http://schemas.openxmlformats.org/officeDocument/2006/relationships/oleObject" Target="embeddings/oleObject6073.bin"/><Relationship Id="rId621" Type="http://schemas.openxmlformats.org/officeDocument/2006/relationships/oleObject" Target="embeddings/oleObject300.bin"/><Relationship Id="rId1251" Type="http://schemas.openxmlformats.org/officeDocument/2006/relationships/oleObject" Target="embeddings/oleObject615.bin"/><Relationship Id="rId2302" Type="http://schemas.openxmlformats.org/officeDocument/2006/relationships/oleObject" Target="embeddings/oleObject1138.bin"/><Relationship Id="rId5872" Type="http://schemas.openxmlformats.org/officeDocument/2006/relationships/oleObject" Target="embeddings/oleObject2925.bin"/><Relationship Id="rId6923" Type="http://schemas.openxmlformats.org/officeDocument/2006/relationships/image" Target="media/image3471.wmf"/><Relationship Id="rId4474" Type="http://schemas.openxmlformats.org/officeDocument/2006/relationships/image" Target="media/image2247.wmf"/><Relationship Id="rId5525" Type="http://schemas.openxmlformats.org/officeDocument/2006/relationships/image" Target="media/image2773.wmf"/><Relationship Id="rId14068" Type="http://schemas.openxmlformats.org/officeDocument/2006/relationships/oleObject" Target="embeddings/oleObject6980.bin"/><Relationship Id="rId3076" Type="http://schemas.openxmlformats.org/officeDocument/2006/relationships/oleObject" Target="embeddings/oleObject1526.bin"/><Relationship Id="rId4127" Type="http://schemas.openxmlformats.org/officeDocument/2006/relationships/image" Target="media/image2074.wmf"/><Relationship Id="rId7697" Type="http://schemas.openxmlformats.org/officeDocument/2006/relationships/oleObject" Target="embeddings/oleObject3833.bin"/><Relationship Id="rId6299" Type="http://schemas.openxmlformats.org/officeDocument/2006/relationships/image" Target="media/image3160.wmf"/><Relationship Id="rId8748" Type="http://schemas.openxmlformats.org/officeDocument/2006/relationships/oleObject" Target="embeddings/oleObject4357.bin"/><Relationship Id="rId10678" Type="http://schemas.openxmlformats.org/officeDocument/2006/relationships/image" Target="media/image5348.wmf"/><Relationship Id="rId11729" Type="http://schemas.openxmlformats.org/officeDocument/2006/relationships/oleObject" Target="embeddings/oleObject5816.bin"/><Relationship Id="rId13151" Type="http://schemas.openxmlformats.org/officeDocument/2006/relationships/image" Target="media/image6590.wmf"/><Relationship Id="rId14202" Type="http://schemas.openxmlformats.org/officeDocument/2006/relationships/oleObject" Target="embeddings/oleObject7047.bin"/><Relationship Id="rId131" Type="http://schemas.openxmlformats.org/officeDocument/2006/relationships/image" Target="media/image63.wmf"/><Relationship Id="rId3210" Type="http://schemas.openxmlformats.org/officeDocument/2006/relationships/oleObject" Target="embeddings/oleObject1593.bin"/><Relationship Id="rId6780" Type="http://schemas.openxmlformats.org/officeDocument/2006/relationships/oleObject" Target="embeddings/oleObject3377.bin"/><Relationship Id="rId7831" Type="http://schemas.openxmlformats.org/officeDocument/2006/relationships/oleObject" Target="embeddings/oleObject3900.bin"/><Relationship Id="rId5382" Type="http://schemas.openxmlformats.org/officeDocument/2006/relationships/oleObject" Target="embeddings/oleObject2680.bin"/><Relationship Id="rId6433" Type="http://schemas.openxmlformats.org/officeDocument/2006/relationships/image" Target="media/image3226.wmf"/><Relationship Id="rId10812" Type="http://schemas.openxmlformats.org/officeDocument/2006/relationships/image" Target="media/image5415.wmf"/><Relationship Id="rId1992" Type="http://schemas.openxmlformats.org/officeDocument/2006/relationships/image" Target="media/image1002.wmf"/><Relationship Id="rId5035" Type="http://schemas.openxmlformats.org/officeDocument/2006/relationships/oleObject" Target="embeddings/oleObject2507.bin"/><Relationship Id="rId9656" Type="http://schemas.openxmlformats.org/officeDocument/2006/relationships/image" Target="media/image4837.wmf"/><Relationship Id="rId12984" Type="http://schemas.openxmlformats.org/officeDocument/2006/relationships/oleObject" Target="embeddings/oleObject6441.bin"/><Relationship Id="rId1645" Type="http://schemas.openxmlformats.org/officeDocument/2006/relationships/oleObject" Target="embeddings/oleObject810.bin"/><Relationship Id="rId8258" Type="http://schemas.openxmlformats.org/officeDocument/2006/relationships/image" Target="media/image4138.wmf"/><Relationship Id="rId9309" Type="http://schemas.openxmlformats.org/officeDocument/2006/relationships/oleObject" Target="embeddings/oleObject4635.bin"/><Relationship Id="rId10188" Type="http://schemas.microsoft.com/office/2007/relationships/hdphoto" Target="media/hdphoto34.wdp"/><Relationship Id="rId11239" Type="http://schemas.openxmlformats.org/officeDocument/2006/relationships/image" Target="media/image5631.wmf"/><Relationship Id="rId11586" Type="http://schemas.openxmlformats.org/officeDocument/2006/relationships/oleObject" Target="embeddings/oleObject5746.bin"/><Relationship Id="rId12637" Type="http://schemas.openxmlformats.org/officeDocument/2006/relationships/image" Target="media/image6333.wmf"/><Relationship Id="rId4868" Type="http://schemas.openxmlformats.org/officeDocument/2006/relationships/image" Target="media/image2444.wmf"/><Relationship Id="rId5919" Type="http://schemas.openxmlformats.org/officeDocument/2006/relationships/image" Target="media/image2970.wmf"/><Relationship Id="rId6290" Type="http://schemas.openxmlformats.org/officeDocument/2006/relationships/oleObject" Target="embeddings/oleObject3134.bin"/><Relationship Id="rId11720" Type="http://schemas.openxmlformats.org/officeDocument/2006/relationships/image" Target="media/image5873.wmf"/><Relationship Id="rId7341" Type="http://schemas.openxmlformats.org/officeDocument/2006/relationships/oleObject" Target="embeddings/oleObject3655.bin"/><Relationship Id="rId10322" Type="http://schemas.openxmlformats.org/officeDocument/2006/relationships/oleObject" Target="embeddings/oleObject5128.bin"/><Relationship Id="rId13892" Type="http://schemas.openxmlformats.org/officeDocument/2006/relationships/oleObject" Target="embeddings/oleObject6892.bin"/><Relationship Id="rId3951" Type="http://schemas.openxmlformats.org/officeDocument/2006/relationships/oleObject" Target="embeddings/oleObject1966.bin"/><Relationship Id="rId12494" Type="http://schemas.openxmlformats.org/officeDocument/2006/relationships/oleObject" Target="embeddings/oleObject6196.bin"/><Relationship Id="rId13545" Type="http://schemas.openxmlformats.org/officeDocument/2006/relationships/oleObject" Target="embeddings/oleObject6718.bin"/><Relationship Id="rId872" Type="http://schemas.openxmlformats.org/officeDocument/2006/relationships/image" Target="media/image441.wmf"/><Relationship Id="rId2553" Type="http://schemas.openxmlformats.org/officeDocument/2006/relationships/oleObject" Target="embeddings/oleObject1264.bin"/><Relationship Id="rId3604" Type="http://schemas.openxmlformats.org/officeDocument/2006/relationships/image" Target="media/image1813.wmf"/><Relationship Id="rId9166" Type="http://schemas.openxmlformats.org/officeDocument/2006/relationships/image" Target="media/image4592.wmf"/><Relationship Id="rId11096" Type="http://schemas.openxmlformats.org/officeDocument/2006/relationships/oleObject" Target="embeddings/oleObject5501.bin"/><Relationship Id="rId12147" Type="http://schemas.openxmlformats.org/officeDocument/2006/relationships/oleObject" Target="embeddings/oleObject6025.bin"/><Relationship Id="rId525" Type="http://schemas.openxmlformats.org/officeDocument/2006/relationships/image" Target="media/image262.wmf"/><Relationship Id="rId1155" Type="http://schemas.openxmlformats.org/officeDocument/2006/relationships/image" Target="media/image583.wmf"/><Relationship Id="rId2206" Type="http://schemas.openxmlformats.org/officeDocument/2006/relationships/image" Target="media/image1109.wmf"/><Relationship Id="rId5776" Type="http://schemas.openxmlformats.org/officeDocument/2006/relationships/oleObject" Target="embeddings/oleObject2877.bin"/><Relationship Id="rId4378" Type="http://schemas.openxmlformats.org/officeDocument/2006/relationships/image" Target="media/image2199.wmf"/><Relationship Id="rId5429" Type="http://schemas.openxmlformats.org/officeDocument/2006/relationships/image" Target="media/image2725.wmf"/><Relationship Id="rId6827" Type="http://schemas.openxmlformats.org/officeDocument/2006/relationships/image" Target="media/image3423.wmf"/><Relationship Id="rId9300" Type="http://schemas.openxmlformats.org/officeDocument/2006/relationships/image" Target="media/image4659.wmf"/><Relationship Id="rId8999" Type="http://schemas.openxmlformats.org/officeDocument/2006/relationships/image" Target="media/image4509.wmf"/><Relationship Id="rId11230" Type="http://schemas.openxmlformats.org/officeDocument/2006/relationships/oleObject" Target="embeddings/oleObject5568.bin"/><Relationship Id="rId5910" Type="http://schemas.openxmlformats.org/officeDocument/2006/relationships/oleObject" Target="embeddings/oleObject2944.bin"/><Relationship Id="rId14453" Type="http://schemas.openxmlformats.org/officeDocument/2006/relationships/image" Target="media/image7241.wmf"/><Relationship Id="rId3461" Type="http://schemas.openxmlformats.org/officeDocument/2006/relationships/oleObject" Target="embeddings/oleObject1721.bin"/><Relationship Id="rId4512" Type="http://schemas.openxmlformats.org/officeDocument/2006/relationships/image" Target="media/image2266.wmf"/><Relationship Id="rId13055" Type="http://schemas.openxmlformats.org/officeDocument/2006/relationships/image" Target="media/image6542.wmf"/><Relationship Id="rId14106" Type="http://schemas.openxmlformats.org/officeDocument/2006/relationships/oleObject" Target="embeddings/oleObject6999.bin"/><Relationship Id="rId382" Type="http://schemas.openxmlformats.org/officeDocument/2006/relationships/oleObject" Target="embeddings/oleObject185.bin"/><Relationship Id="rId2063" Type="http://schemas.openxmlformats.org/officeDocument/2006/relationships/oleObject" Target="embeddings/oleObject1019.bin"/><Relationship Id="rId3114" Type="http://schemas.openxmlformats.org/officeDocument/2006/relationships/oleObject" Target="embeddings/oleObject1545.bin"/><Relationship Id="rId6684" Type="http://schemas.openxmlformats.org/officeDocument/2006/relationships/oleObject" Target="embeddings/oleObject3329.bin"/><Relationship Id="rId7735" Type="http://schemas.openxmlformats.org/officeDocument/2006/relationships/oleObject" Target="embeddings/oleObject3852.bin"/><Relationship Id="rId5286" Type="http://schemas.openxmlformats.org/officeDocument/2006/relationships/oleObject" Target="embeddings/oleObject2632.bin"/><Relationship Id="rId6337" Type="http://schemas.openxmlformats.org/officeDocument/2006/relationships/image" Target="media/image3178.wmf"/><Relationship Id="rId10716" Type="http://schemas.openxmlformats.org/officeDocument/2006/relationships/image" Target="media/image5367.wmf"/><Relationship Id="rId12888" Type="http://schemas.openxmlformats.org/officeDocument/2006/relationships/oleObject" Target="embeddings/oleObject6393.bin"/><Relationship Id="rId13939" Type="http://schemas.openxmlformats.org/officeDocument/2006/relationships/image" Target="media/image6984.wmf"/><Relationship Id="rId1896" Type="http://schemas.openxmlformats.org/officeDocument/2006/relationships/image" Target="media/image954.wmf"/><Relationship Id="rId2947" Type="http://schemas.openxmlformats.org/officeDocument/2006/relationships/image" Target="media/image1483.wmf"/><Relationship Id="rId919" Type="http://schemas.openxmlformats.org/officeDocument/2006/relationships/image" Target="media/image465.wmf"/><Relationship Id="rId1549" Type="http://schemas.openxmlformats.org/officeDocument/2006/relationships/oleObject" Target="embeddings/oleObject761.bin"/><Relationship Id="rId4022" Type="http://schemas.openxmlformats.org/officeDocument/2006/relationships/oleObject" Target="embeddings/oleObject2002.bin"/><Relationship Id="rId5420" Type="http://schemas.openxmlformats.org/officeDocument/2006/relationships/oleObject" Target="embeddings/oleObject2699.bin"/><Relationship Id="rId8990" Type="http://schemas.openxmlformats.org/officeDocument/2006/relationships/oleObject" Target="embeddings/oleObject4475.bin"/><Relationship Id="rId11971" Type="http://schemas.openxmlformats.org/officeDocument/2006/relationships/oleObject" Target="embeddings/oleObject5937.bin"/><Relationship Id="rId7592" Type="http://schemas.openxmlformats.org/officeDocument/2006/relationships/image" Target="media/image3805.wmf"/><Relationship Id="rId8643" Type="http://schemas.openxmlformats.org/officeDocument/2006/relationships/oleObject" Target="embeddings/oleObject4306.bin"/><Relationship Id="rId10573" Type="http://schemas.openxmlformats.org/officeDocument/2006/relationships/oleObject" Target="embeddings/oleObject5251.bin"/><Relationship Id="rId11624" Type="http://schemas.openxmlformats.org/officeDocument/2006/relationships/oleObject" Target="embeddings/oleObject5765.bin"/><Relationship Id="rId6194" Type="http://schemas.openxmlformats.org/officeDocument/2006/relationships/oleObject" Target="embeddings/oleObject3086.bin"/><Relationship Id="rId7245" Type="http://schemas.openxmlformats.org/officeDocument/2006/relationships/oleObject" Target="embeddings/oleObject3607.bin"/><Relationship Id="rId10226" Type="http://schemas.openxmlformats.org/officeDocument/2006/relationships/oleObject" Target="embeddings/oleObject5080.bin"/><Relationship Id="rId13796" Type="http://schemas.openxmlformats.org/officeDocument/2006/relationships/oleObject" Target="embeddings/oleObject6844.bin"/><Relationship Id="rId3855" Type="http://schemas.openxmlformats.org/officeDocument/2006/relationships/oleObject" Target="embeddings/oleObject1918.bin"/><Relationship Id="rId12398" Type="http://schemas.openxmlformats.org/officeDocument/2006/relationships/oleObject" Target="embeddings/oleObject6148.bin"/><Relationship Id="rId13449" Type="http://schemas.openxmlformats.org/officeDocument/2006/relationships/oleObject" Target="embeddings/oleObject6670.bin"/><Relationship Id="rId776" Type="http://schemas.openxmlformats.org/officeDocument/2006/relationships/image" Target="media/image393.wmf"/><Relationship Id="rId2457" Type="http://schemas.openxmlformats.org/officeDocument/2006/relationships/oleObject" Target="embeddings/oleObject1217.bin"/><Relationship Id="rId3508" Type="http://schemas.openxmlformats.org/officeDocument/2006/relationships/image" Target="media/image1765.wmf"/><Relationship Id="rId4906" Type="http://schemas.openxmlformats.org/officeDocument/2006/relationships/image" Target="media/image2463.wmf"/><Relationship Id="rId429" Type="http://schemas.openxmlformats.org/officeDocument/2006/relationships/image" Target="media/image214.wmf"/><Relationship Id="rId1059" Type="http://schemas.openxmlformats.org/officeDocument/2006/relationships/image" Target="media/image535.wmf"/><Relationship Id="rId13930" Type="http://schemas.openxmlformats.org/officeDocument/2006/relationships/oleObject" Target="embeddings/oleObject6911.bin"/><Relationship Id="rId8153" Type="http://schemas.openxmlformats.org/officeDocument/2006/relationships/oleObject" Target="embeddings/oleObject4061.bin"/><Relationship Id="rId9551" Type="http://schemas.openxmlformats.org/officeDocument/2006/relationships/oleObject" Target="embeddings/oleObject4754.bin"/><Relationship Id="rId11481" Type="http://schemas.openxmlformats.org/officeDocument/2006/relationships/image" Target="media/image5752.wmf"/><Relationship Id="rId12532" Type="http://schemas.openxmlformats.org/officeDocument/2006/relationships/oleObject" Target="embeddings/oleObject6215.bin"/><Relationship Id="rId910" Type="http://schemas.openxmlformats.org/officeDocument/2006/relationships/image" Target="media/image460.wmf"/><Relationship Id="rId1540" Type="http://schemas.openxmlformats.org/officeDocument/2006/relationships/image" Target="media/image775.wmf"/><Relationship Id="rId9204" Type="http://schemas.openxmlformats.org/officeDocument/2006/relationships/image" Target="media/image4611.wmf"/><Relationship Id="rId10083" Type="http://schemas.openxmlformats.org/officeDocument/2006/relationships/image" Target="media/image5050.wmf"/><Relationship Id="rId11134" Type="http://schemas.openxmlformats.org/officeDocument/2006/relationships/oleObject" Target="embeddings/oleObject5520.bin"/><Relationship Id="rId4763" Type="http://schemas.openxmlformats.org/officeDocument/2006/relationships/oleObject" Target="embeddings/oleObject2373.bin"/><Relationship Id="rId5814" Type="http://schemas.openxmlformats.org/officeDocument/2006/relationships/oleObject" Target="embeddings/oleObject2896.bin"/><Relationship Id="rId14357" Type="http://schemas.openxmlformats.org/officeDocument/2006/relationships/image" Target="media/image7193.wmf"/><Relationship Id="rId3365" Type="http://schemas.openxmlformats.org/officeDocument/2006/relationships/oleObject" Target="embeddings/oleObject1671.bin"/><Relationship Id="rId4416" Type="http://schemas.openxmlformats.org/officeDocument/2006/relationships/image" Target="media/image2218.wmf"/><Relationship Id="rId7986" Type="http://schemas.openxmlformats.org/officeDocument/2006/relationships/image" Target="media/image4002.wmf"/><Relationship Id="rId286" Type="http://schemas.openxmlformats.org/officeDocument/2006/relationships/image" Target="media/image142.wmf"/><Relationship Id="rId3018" Type="http://schemas.openxmlformats.org/officeDocument/2006/relationships/oleObject" Target="embeddings/oleObject1497.bin"/><Relationship Id="rId6588" Type="http://schemas.openxmlformats.org/officeDocument/2006/relationships/oleObject" Target="embeddings/oleObject3281.bin"/><Relationship Id="rId7639" Type="http://schemas.openxmlformats.org/officeDocument/2006/relationships/oleObject" Target="embeddings/oleObject3804.bin"/><Relationship Id="rId10967" Type="http://schemas.openxmlformats.org/officeDocument/2006/relationships/oleObject" Target="embeddings/oleObject5439.bin"/><Relationship Id="rId9061" Type="http://schemas.openxmlformats.org/officeDocument/2006/relationships/image" Target="media/image4540.wmf"/><Relationship Id="rId13440" Type="http://schemas.openxmlformats.org/officeDocument/2006/relationships/image" Target="media/image6735.wmf"/><Relationship Id="rId420" Type="http://schemas.openxmlformats.org/officeDocument/2006/relationships/oleObject" Target="embeddings/oleObject204.bin"/><Relationship Id="rId1050" Type="http://schemas.openxmlformats.org/officeDocument/2006/relationships/oleObject" Target="embeddings/oleObject516.bin"/><Relationship Id="rId2101" Type="http://schemas.openxmlformats.org/officeDocument/2006/relationships/oleObject" Target="embeddings/oleObject1038.bin"/><Relationship Id="rId12042" Type="http://schemas.openxmlformats.org/officeDocument/2006/relationships/image" Target="media/image6034.wmf"/><Relationship Id="rId5671" Type="http://schemas.openxmlformats.org/officeDocument/2006/relationships/image" Target="media/image2846.wmf"/><Relationship Id="rId6722" Type="http://schemas.openxmlformats.org/officeDocument/2006/relationships/oleObject" Target="embeddings/oleObject3348.bin"/><Relationship Id="rId4273" Type="http://schemas.openxmlformats.org/officeDocument/2006/relationships/image" Target="media/image2147.wmf"/><Relationship Id="rId5324" Type="http://schemas.openxmlformats.org/officeDocument/2006/relationships/oleObject" Target="embeddings/oleObject2651.bin"/><Relationship Id="rId8894" Type="http://schemas.openxmlformats.org/officeDocument/2006/relationships/oleObject" Target="embeddings/oleObject4427.bin"/><Relationship Id="rId9945" Type="http://schemas.openxmlformats.org/officeDocument/2006/relationships/image" Target="media/image4981.wmf"/><Relationship Id="rId1934" Type="http://schemas.openxmlformats.org/officeDocument/2006/relationships/image" Target="media/image973.wmf"/><Relationship Id="rId7496" Type="http://schemas.openxmlformats.org/officeDocument/2006/relationships/image" Target="media/image3757.wmf"/><Relationship Id="rId8547" Type="http://schemas.openxmlformats.org/officeDocument/2006/relationships/oleObject" Target="embeddings/oleObject4258.bin"/><Relationship Id="rId10477" Type="http://schemas.openxmlformats.org/officeDocument/2006/relationships/oleObject" Target="embeddings/oleObject5203.bin"/><Relationship Id="rId11528" Type="http://schemas.openxmlformats.org/officeDocument/2006/relationships/oleObject" Target="embeddings/oleObject5717.bin"/><Relationship Id="rId11875" Type="http://schemas.openxmlformats.org/officeDocument/2006/relationships/oleObject" Target="embeddings/oleObject5889.bin"/><Relationship Id="rId12926" Type="http://schemas.openxmlformats.org/officeDocument/2006/relationships/oleObject" Target="embeddings/oleObject6412.bin"/><Relationship Id="rId6098" Type="http://schemas.openxmlformats.org/officeDocument/2006/relationships/oleObject" Target="embeddings/oleObject3038.bin"/><Relationship Id="rId7149" Type="http://schemas.openxmlformats.org/officeDocument/2006/relationships/oleObject" Target="embeddings/oleObject3560.bin"/><Relationship Id="rId14001" Type="http://schemas.openxmlformats.org/officeDocument/2006/relationships/image" Target="media/image7015.wmf"/><Relationship Id="rId3759" Type="http://schemas.openxmlformats.org/officeDocument/2006/relationships/oleObject" Target="embeddings/oleObject1870.bin"/><Relationship Id="rId5181" Type="http://schemas.openxmlformats.org/officeDocument/2006/relationships/oleObject" Target="embeddings/oleObject2580.bin"/><Relationship Id="rId6232" Type="http://schemas.openxmlformats.org/officeDocument/2006/relationships/oleObject" Target="embeddings/oleObject3105.bin"/><Relationship Id="rId7630" Type="http://schemas.openxmlformats.org/officeDocument/2006/relationships/image" Target="media/image3824.wmf"/><Relationship Id="rId10611" Type="http://schemas.openxmlformats.org/officeDocument/2006/relationships/oleObject" Target="embeddings/oleObject5270.bin"/><Relationship Id="rId12783" Type="http://schemas.openxmlformats.org/officeDocument/2006/relationships/image" Target="media/image6406.wmf"/><Relationship Id="rId13834" Type="http://schemas.openxmlformats.org/officeDocument/2006/relationships/oleObject" Target="embeddings/oleObject6863.bin"/><Relationship Id="rId1791" Type="http://schemas.openxmlformats.org/officeDocument/2006/relationships/oleObject" Target="embeddings/oleObject883.bin"/><Relationship Id="rId2842" Type="http://schemas.openxmlformats.org/officeDocument/2006/relationships/oleObject" Target="embeddings/oleObject1409.bin"/><Relationship Id="rId9455" Type="http://schemas.openxmlformats.org/officeDocument/2006/relationships/oleObject" Target="embeddings/oleObject4706.bin"/><Relationship Id="rId11385" Type="http://schemas.openxmlformats.org/officeDocument/2006/relationships/image" Target="media/image5704.wmf"/><Relationship Id="rId12436" Type="http://schemas.openxmlformats.org/officeDocument/2006/relationships/oleObject" Target="embeddings/oleObject6167.bin"/><Relationship Id="rId814" Type="http://schemas.openxmlformats.org/officeDocument/2006/relationships/image" Target="media/image412.wmf"/><Relationship Id="rId1444" Type="http://schemas.openxmlformats.org/officeDocument/2006/relationships/image" Target="media/image727.wmf"/><Relationship Id="rId8057" Type="http://schemas.openxmlformats.org/officeDocument/2006/relationships/oleObject" Target="embeddings/oleObject4013.bin"/><Relationship Id="rId9108" Type="http://schemas.openxmlformats.org/officeDocument/2006/relationships/oleObject" Target="embeddings/oleObject4534.bin"/><Relationship Id="rId11038" Type="http://schemas.openxmlformats.org/officeDocument/2006/relationships/image" Target="media/image5529.wmf"/><Relationship Id="rId4667" Type="http://schemas.openxmlformats.org/officeDocument/2006/relationships/oleObject" Target="embeddings/oleObject2325.bin"/><Relationship Id="rId5718" Type="http://schemas.openxmlformats.org/officeDocument/2006/relationships/oleObject" Target="embeddings/oleObject2848.bin"/><Relationship Id="rId3269" Type="http://schemas.openxmlformats.org/officeDocument/2006/relationships/oleObject" Target="embeddings/oleObject1623.bin"/><Relationship Id="rId7140" Type="http://schemas.openxmlformats.org/officeDocument/2006/relationships/image" Target="media/image3579.wmf"/><Relationship Id="rId10121" Type="http://schemas.openxmlformats.org/officeDocument/2006/relationships/image" Target="media/image5069.wmf"/><Relationship Id="rId13691" Type="http://schemas.openxmlformats.org/officeDocument/2006/relationships/oleObject" Target="embeddings/oleObject6791.bin"/><Relationship Id="rId3750" Type="http://schemas.openxmlformats.org/officeDocument/2006/relationships/image" Target="media/image1886.wmf"/><Relationship Id="rId4801" Type="http://schemas.openxmlformats.org/officeDocument/2006/relationships/oleObject" Target="embeddings/oleObject2391.bin"/><Relationship Id="rId12293" Type="http://schemas.openxmlformats.org/officeDocument/2006/relationships/image" Target="media/image6161.png"/><Relationship Id="rId13344" Type="http://schemas.openxmlformats.org/officeDocument/2006/relationships/image" Target="media/image6687.wmf"/><Relationship Id="rId671" Type="http://schemas.openxmlformats.org/officeDocument/2006/relationships/oleObject" Target="embeddings/oleObject324.bin"/><Relationship Id="rId2352" Type="http://schemas.openxmlformats.org/officeDocument/2006/relationships/oleObject" Target="embeddings/oleObject1165.bin"/><Relationship Id="rId3403" Type="http://schemas.openxmlformats.org/officeDocument/2006/relationships/oleObject" Target="embeddings/oleObject1691.bin"/><Relationship Id="rId6973" Type="http://schemas.openxmlformats.org/officeDocument/2006/relationships/image" Target="media/image3496.wmf"/><Relationship Id="rId324" Type="http://schemas.openxmlformats.org/officeDocument/2006/relationships/image" Target="media/image161.wmf"/><Relationship Id="rId2005" Type="http://schemas.openxmlformats.org/officeDocument/2006/relationships/oleObject" Target="embeddings/oleObject990.bin"/><Relationship Id="rId5575" Type="http://schemas.openxmlformats.org/officeDocument/2006/relationships/image" Target="media/image2798.wmf"/><Relationship Id="rId6626" Type="http://schemas.openxmlformats.org/officeDocument/2006/relationships/oleObject" Target="embeddings/oleObject3300.bin"/><Relationship Id="rId4177" Type="http://schemas.openxmlformats.org/officeDocument/2006/relationships/image" Target="media/image2099.wmf"/><Relationship Id="rId5228" Type="http://schemas.openxmlformats.org/officeDocument/2006/relationships/oleObject" Target="embeddings/oleObject2603.bin"/><Relationship Id="rId8798" Type="http://schemas.openxmlformats.org/officeDocument/2006/relationships/oleObject" Target="embeddings/oleObject4382.bin"/><Relationship Id="rId9849" Type="http://schemas.openxmlformats.org/officeDocument/2006/relationships/image" Target="media/image4933.wmf"/><Relationship Id="rId11779" Type="http://schemas.openxmlformats.org/officeDocument/2006/relationships/oleObject" Target="embeddings/oleObject5841.bin"/><Relationship Id="rId1838" Type="http://schemas.openxmlformats.org/officeDocument/2006/relationships/image" Target="media/image925.wmf"/><Relationship Id="rId3260" Type="http://schemas.openxmlformats.org/officeDocument/2006/relationships/oleObject" Target="embeddings/oleObject1618.bin"/><Relationship Id="rId4311" Type="http://schemas.openxmlformats.org/officeDocument/2006/relationships/image" Target="media/image2166.wmf"/><Relationship Id="rId14252" Type="http://schemas.openxmlformats.org/officeDocument/2006/relationships/oleObject" Target="embeddings/oleObject7072.bin"/><Relationship Id="rId181" Type="http://schemas.openxmlformats.org/officeDocument/2006/relationships/oleObject" Target="embeddings/oleObject85.bin"/><Relationship Id="rId7881" Type="http://schemas.openxmlformats.org/officeDocument/2006/relationships/oleObject" Target="embeddings/oleObject3925.bin"/><Relationship Id="rId8932" Type="http://schemas.openxmlformats.org/officeDocument/2006/relationships/oleObject" Target="embeddings/oleObject4446.bin"/><Relationship Id="rId10862" Type="http://schemas.openxmlformats.org/officeDocument/2006/relationships/image" Target="media/image5440.wmf"/><Relationship Id="rId11913" Type="http://schemas.openxmlformats.org/officeDocument/2006/relationships/oleObject" Target="embeddings/oleObject5908.bin"/><Relationship Id="rId5085" Type="http://schemas.openxmlformats.org/officeDocument/2006/relationships/oleObject" Target="embeddings/oleObject2532.bin"/><Relationship Id="rId6483" Type="http://schemas.openxmlformats.org/officeDocument/2006/relationships/image" Target="media/image3251.wmf"/><Relationship Id="rId7534" Type="http://schemas.openxmlformats.org/officeDocument/2006/relationships/image" Target="media/image3776.wmf"/><Relationship Id="rId10515" Type="http://schemas.openxmlformats.org/officeDocument/2006/relationships/oleObject" Target="embeddings/oleObject5222.bin"/><Relationship Id="rId6136" Type="http://schemas.openxmlformats.org/officeDocument/2006/relationships/oleObject" Target="embeddings/oleObject3057.bin"/><Relationship Id="rId12687" Type="http://schemas.openxmlformats.org/officeDocument/2006/relationships/image" Target="media/image6358.wmf"/><Relationship Id="rId13738" Type="http://schemas.openxmlformats.org/officeDocument/2006/relationships/oleObject" Target="embeddings/oleObject6815.bin"/><Relationship Id="rId1695" Type="http://schemas.openxmlformats.org/officeDocument/2006/relationships/oleObject" Target="embeddings/oleObject835.bin"/><Relationship Id="rId2746" Type="http://schemas.openxmlformats.org/officeDocument/2006/relationships/image" Target="media/image1383.wmf"/><Relationship Id="rId9359" Type="http://schemas.openxmlformats.org/officeDocument/2006/relationships/oleObject" Target="embeddings/oleObject4660.bin"/><Relationship Id="rId11289" Type="http://schemas.openxmlformats.org/officeDocument/2006/relationships/image" Target="media/image5656.wmf"/><Relationship Id="rId718" Type="http://schemas.openxmlformats.org/officeDocument/2006/relationships/image" Target="media/image361.wmf"/><Relationship Id="rId1348" Type="http://schemas.openxmlformats.org/officeDocument/2006/relationships/image" Target="media/image679.wmf"/><Relationship Id="rId5969" Type="http://schemas.openxmlformats.org/officeDocument/2006/relationships/image" Target="media/image2995.wmf"/><Relationship Id="rId7391" Type="http://schemas.openxmlformats.org/officeDocument/2006/relationships/oleObject" Target="embeddings/oleObject3680.bin"/><Relationship Id="rId8442" Type="http://schemas.openxmlformats.org/officeDocument/2006/relationships/image" Target="media/image4230.wmf"/><Relationship Id="rId9840" Type="http://schemas.openxmlformats.org/officeDocument/2006/relationships/oleObject" Target="embeddings/oleObject4892.bin"/><Relationship Id="rId11770" Type="http://schemas.openxmlformats.org/officeDocument/2006/relationships/image" Target="media/image5898.wmf"/><Relationship Id="rId12821" Type="http://schemas.openxmlformats.org/officeDocument/2006/relationships/image" Target="media/image6425.wmf"/><Relationship Id="rId54" Type="http://schemas.openxmlformats.org/officeDocument/2006/relationships/oleObject" Target="embeddings/oleObject23.bin"/><Relationship Id="rId7044" Type="http://schemas.openxmlformats.org/officeDocument/2006/relationships/oleObject" Target="embeddings/oleObject3507.bin"/><Relationship Id="rId10372" Type="http://schemas.openxmlformats.org/officeDocument/2006/relationships/oleObject" Target="embeddings/oleObject5153.bin"/><Relationship Id="rId11423" Type="http://schemas.openxmlformats.org/officeDocument/2006/relationships/image" Target="media/image5723.wmf"/><Relationship Id="rId10025" Type="http://schemas.openxmlformats.org/officeDocument/2006/relationships/image" Target="media/image5021.wmf"/><Relationship Id="rId13595" Type="http://schemas.openxmlformats.org/officeDocument/2006/relationships/oleObject" Target="embeddings/oleObject6743.bin"/><Relationship Id="rId3654" Type="http://schemas.openxmlformats.org/officeDocument/2006/relationships/image" Target="media/image1838.wmf"/><Relationship Id="rId4705" Type="http://schemas.openxmlformats.org/officeDocument/2006/relationships/oleObject" Target="embeddings/oleObject2344.bin"/><Relationship Id="rId12197" Type="http://schemas.openxmlformats.org/officeDocument/2006/relationships/oleObject" Target="embeddings/oleObject6050.bin"/><Relationship Id="rId13248" Type="http://schemas.openxmlformats.org/officeDocument/2006/relationships/oleObject" Target="embeddings/oleObject6571.bin"/><Relationship Id="rId575" Type="http://schemas.openxmlformats.org/officeDocument/2006/relationships/oleObject" Target="embeddings/oleObject277.bin"/><Relationship Id="rId2256" Type="http://schemas.openxmlformats.org/officeDocument/2006/relationships/oleObject" Target="embeddings/oleObject1115.bin"/><Relationship Id="rId3307" Type="http://schemas.openxmlformats.org/officeDocument/2006/relationships/oleObject" Target="embeddings/oleObject1642.bin"/><Relationship Id="rId6877" Type="http://schemas.openxmlformats.org/officeDocument/2006/relationships/image" Target="media/image3448.wmf"/><Relationship Id="rId7928" Type="http://schemas.openxmlformats.org/officeDocument/2006/relationships/image" Target="media/image3973.wmf"/><Relationship Id="rId228" Type="http://schemas.openxmlformats.org/officeDocument/2006/relationships/image" Target="media/image113.wmf"/><Relationship Id="rId5479" Type="http://schemas.openxmlformats.org/officeDocument/2006/relationships/image" Target="media/image2750.wmf"/><Relationship Id="rId9350" Type="http://schemas.openxmlformats.org/officeDocument/2006/relationships/image" Target="media/image4684.wmf"/><Relationship Id="rId10909" Type="http://schemas.openxmlformats.org/officeDocument/2006/relationships/oleObject" Target="embeddings/oleObject5417.bin"/><Relationship Id="rId11280" Type="http://schemas.openxmlformats.org/officeDocument/2006/relationships/oleObject" Target="embeddings/oleObject5593.bin"/><Relationship Id="rId9003" Type="http://schemas.openxmlformats.org/officeDocument/2006/relationships/image" Target="media/image4511.wmf"/><Relationship Id="rId12331" Type="http://schemas.openxmlformats.org/officeDocument/2006/relationships/image" Target="media/image6180.wmf"/><Relationship Id="rId5960" Type="http://schemas.openxmlformats.org/officeDocument/2006/relationships/oleObject" Target="embeddings/oleObject2969.bin"/><Relationship Id="rId3164" Type="http://schemas.openxmlformats.org/officeDocument/2006/relationships/oleObject" Target="embeddings/oleObject1570.bin"/><Relationship Id="rId4562" Type="http://schemas.openxmlformats.org/officeDocument/2006/relationships/image" Target="media/image2291.wmf"/><Relationship Id="rId5613" Type="http://schemas.openxmlformats.org/officeDocument/2006/relationships/image" Target="media/image2817.wmf"/><Relationship Id="rId14156" Type="http://schemas.openxmlformats.org/officeDocument/2006/relationships/oleObject" Target="embeddings/oleObject7024.bin"/><Relationship Id="rId4215" Type="http://schemas.openxmlformats.org/officeDocument/2006/relationships/image" Target="media/image2118.wmf"/><Relationship Id="rId7785" Type="http://schemas.openxmlformats.org/officeDocument/2006/relationships/oleObject" Target="embeddings/oleObject3877.bin"/><Relationship Id="rId8836" Type="http://schemas.openxmlformats.org/officeDocument/2006/relationships/oleObject" Target="embeddings/oleObject4401.bin"/><Relationship Id="rId10766" Type="http://schemas.openxmlformats.org/officeDocument/2006/relationships/image" Target="media/image5392.wmf"/><Relationship Id="rId11817" Type="http://schemas.openxmlformats.org/officeDocument/2006/relationships/oleObject" Target="embeddings/oleObject5860.bin"/><Relationship Id="rId6387" Type="http://schemas.openxmlformats.org/officeDocument/2006/relationships/image" Target="media/image3203.wmf"/><Relationship Id="rId7438" Type="http://schemas.openxmlformats.org/officeDocument/2006/relationships/image" Target="media/image3728.wmf"/><Relationship Id="rId10419" Type="http://schemas.openxmlformats.org/officeDocument/2006/relationships/oleObject" Target="embeddings/oleObject5176.bin"/><Relationship Id="rId2997" Type="http://schemas.openxmlformats.org/officeDocument/2006/relationships/image" Target="media/image1508.wmf"/><Relationship Id="rId13989" Type="http://schemas.openxmlformats.org/officeDocument/2006/relationships/image" Target="media/image7009.wmf"/><Relationship Id="rId969" Type="http://schemas.openxmlformats.org/officeDocument/2006/relationships/image" Target="media/image490.wmf"/><Relationship Id="rId1599" Type="http://schemas.openxmlformats.org/officeDocument/2006/relationships/oleObject" Target="embeddings/oleObject787.bin"/><Relationship Id="rId5470" Type="http://schemas.openxmlformats.org/officeDocument/2006/relationships/oleObject" Target="embeddings/oleObject2724.bin"/><Relationship Id="rId6521" Type="http://schemas.openxmlformats.org/officeDocument/2006/relationships/image" Target="media/image3270.wmf"/><Relationship Id="rId10900" Type="http://schemas.openxmlformats.org/officeDocument/2006/relationships/image" Target="media/image5459.wmf"/><Relationship Id="rId4072" Type="http://schemas.openxmlformats.org/officeDocument/2006/relationships/oleObject" Target="embeddings/oleObject2027.bin"/><Relationship Id="rId5123" Type="http://schemas.openxmlformats.org/officeDocument/2006/relationships/oleObject" Target="embeddings/oleObject2551.bin"/><Relationship Id="rId7295" Type="http://schemas.openxmlformats.org/officeDocument/2006/relationships/oleObject" Target="embeddings/oleObject3632.bin"/><Relationship Id="rId8693" Type="http://schemas.openxmlformats.org/officeDocument/2006/relationships/image" Target="media/image4356.wmf"/><Relationship Id="rId9744" Type="http://schemas.openxmlformats.org/officeDocument/2006/relationships/image" Target="media/image4881.wmf"/><Relationship Id="rId11674" Type="http://schemas.openxmlformats.org/officeDocument/2006/relationships/image" Target="media/image5850.wmf"/><Relationship Id="rId12725" Type="http://schemas.openxmlformats.org/officeDocument/2006/relationships/image" Target="media/image6377.wmf"/><Relationship Id="rId1733" Type="http://schemas.openxmlformats.org/officeDocument/2006/relationships/oleObject" Target="embeddings/oleObject854.bin"/><Relationship Id="rId8346" Type="http://schemas.openxmlformats.org/officeDocument/2006/relationships/image" Target="media/image4182.wmf"/><Relationship Id="rId10276" Type="http://schemas.openxmlformats.org/officeDocument/2006/relationships/oleObject" Target="embeddings/oleObject5105.bin"/><Relationship Id="rId11327" Type="http://schemas.openxmlformats.org/officeDocument/2006/relationships/image" Target="media/image5675.wmf"/><Relationship Id="rId4956" Type="http://schemas.openxmlformats.org/officeDocument/2006/relationships/image" Target="media/image2488.wmf"/><Relationship Id="rId13499" Type="http://schemas.openxmlformats.org/officeDocument/2006/relationships/oleObject" Target="embeddings/oleObject6695.bin"/><Relationship Id="rId3558" Type="http://schemas.openxmlformats.org/officeDocument/2006/relationships/image" Target="media/image1790.wmf"/><Relationship Id="rId4609" Type="http://schemas.openxmlformats.org/officeDocument/2006/relationships/oleObject" Target="embeddings/oleObject2296.bin"/><Relationship Id="rId479" Type="http://schemas.openxmlformats.org/officeDocument/2006/relationships/image" Target="media/image239.wmf"/><Relationship Id="rId6031" Type="http://schemas.openxmlformats.org/officeDocument/2006/relationships/image" Target="media/image3026.wmf"/><Relationship Id="rId10410" Type="http://schemas.openxmlformats.org/officeDocument/2006/relationships/image" Target="media/image5214.wmf"/><Relationship Id="rId13980" Type="http://schemas.openxmlformats.org/officeDocument/2006/relationships/oleObject" Target="embeddings/oleObject6936.bin"/><Relationship Id="rId9254" Type="http://schemas.openxmlformats.org/officeDocument/2006/relationships/image" Target="media/image4636.wmf"/><Relationship Id="rId12582" Type="http://schemas.openxmlformats.org/officeDocument/2006/relationships/oleObject" Target="embeddings/oleObject6240.bin"/><Relationship Id="rId13633" Type="http://schemas.openxmlformats.org/officeDocument/2006/relationships/oleObject" Target="embeddings/oleObject6762.bin"/><Relationship Id="rId960" Type="http://schemas.openxmlformats.org/officeDocument/2006/relationships/oleObject" Target="embeddings/oleObject471.bin"/><Relationship Id="rId1243" Type="http://schemas.openxmlformats.org/officeDocument/2006/relationships/oleObject" Target="embeddings/oleObject611.bin"/><Relationship Id="rId1590" Type="http://schemas.openxmlformats.org/officeDocument/2006/relationships/image" Target="media/image801.wmf"/><Relationship Id="rId2641" Type="http://schemas.openxmlformats.org/officeDocument/2006/relationships/oleObject" Target="embeddings/oleObject1308.bin"/><Relationship Id="rId11184" Type="http://schemas.openxmlformats.org/officeDocument/2006/relationships/oleObject" Target="embeddings/oleObject5545.bin"/><Relationship Id="rId12235" Type="http://schemas.openxmlformats.org/officeDocument/2006/relationships/oleObject" Target="embeddings/oleObject6069.bin"/><Relationship Id="rId613" Type="http://schemas.openxmlformats.org/officeDocument/2006/relationships/oleObject" Target="embeddings/oleObject296.bin"/><Relationship Id="rId5864" Type="http://schemas.openxmlformats.org/officeDocument/2006/relationships/oleObject" Target="embeddings/oleObject2921.bin"/><Relationship Id="rId6915" Type="http://schemas.openxmlformats.org/officeDocument/2006/relationships/image" Target="media/image3467.wmf"/><Relationship Id="rId4466" Type="http://schemas.openxmlformats.org/officeDocument/2006/relationships/image" Target="media/image2243.wmf"/><Relationship Id="rId5517" Type="http://schemas.openxmlformats.org/officeDocument/2006/relationships/image" Target="media/image2769.wmf"/><Relationship Id="rId3068" Type="http://schemas.openxmlformats.org/officeDocument/2006/relationships/oleObject" Target="embeddings/oleObject1522.bin"/><Relationship Id="rId4119" Type="http://schemas.openxmlformats.org/officeDocument/2006/relationships/image" Target="media/image2070.wmf"/><Relationship Id="rId7689" Type="http://schemas.openxmlformats.org/officeDocument/2006/relationships/oleObject" Target="embeddings/oleObject3829.bin"/><Relationship Id="rId13490" Type="http://schemas.openxmlformats.org/officeDocument/2006/relationships/image" Target="media/image6760.wmf"/><Relationship Id="rId4600" Type="http://schemas.openxmlformats.org/officeDocument/2006/relationships/image" Target="media/image2310.wmf"/><Relationship Id="rId12092" Type="http://schemas.openxmlformats.org/officeDocument/2006/relationships/image" Target="media/image6059.wmf"/><Relationship Id="rId13143" Type="http://schemas.openxmlformats.org/officeDocument/2006/relationships/image" Target="media/image6586.wmf"/><Relationship Id="rId14541" Type="http://schemas.openxmlformats.org/officeDocument/2006/relationships/image" Target="media/image7285.wmf"/><Relationship Id="rId470" Type="http://schemas.openxmlformats.org/officeDocument/2006/relationships/oleObject" Target="embeddings/oleObject226.bin"/><Relationship Id="rId2151" Type="http://schemas.openxmlformats.org/officeDocument/2006/relationships/oleObject" Target="embeddings/oleObject1063.bin"/><Relationship Id="rId3202" Type="http://schemas.openxmlformats.org/officeDocument/2006/relationships/oleObject" Target="embeddings/oleObject1589.bin"/><Relationship Id="rId123" Type="http://schemas.openxmlformats.org/officeDocument/2006/relationships/image" Target="media/image59.wmf"/><Relationship Id="rId5374" Type="http://schemas.openxmlformats.org/officeDocument/2006/relationships/oleObject" Target="embeddings/oleObject2676.bin"/><Relationship Id="rId6772" Type="http://schemas.openxmlformats.org/officeDocument/2006/relationships/oleObject" Target="embeddings/oleObject3373.bin"/><Relationship Id="rId7823" Type="http://schemas.openxmlformats.org/officeDocument/2006/relationships/oleObject" Target="embeddings/oleObject3896.bin"/><Relationship Id="rId10804" Type="http://schemas.openxmlformats.org/officeDocument/2006/relationships/image" Target="media/image5411.wmf"/><Relationship Id="rId5027" Type="http://schemas.openxmlformats.org/officeDocument/2006/relationships/oleObject" Target="embeddings/oleObject2503.bin"/><Relationship Id="rId6425" Type="http://schemas.openxmlformats.org/officeDocument/2006/relationships/image" Target="media/image3222.wmf"/><Relationship Id="rId9995" Type="http://schemas.openxmlformats.org/officeDocument/2006/relationships/image" Target="media/image5006.wmf"/><Relationship Id="rId12976" Type="http://schemas.openxmlformats.org/officeDocument/2006/relationships/oleObject" Target="embeddings/oleObject6437.bin"/><Relationship Id="rId1984" Type="http://schemas.openxmlformats.org/officeDocument/2006/relationships/image" Target="media/image998.wmf"/><Relationship Id="rId8597" Type="http://schemas.openxmlformats.org/officeDocument/2006/relationships/oleObject" Target="embeddings/oleObject4283.bin"/><Relationship Id="rId9648" Type="http://schemas.openxmlformats.org/officeDocument/2006/relationships/image" Target="media/image4833.wmf"/><Relationship Id="rId11578" Type="http://schemas.openxmlformats.org/officeDocument/2006/relationships/oleObject" Target="embeddings/oleObject5742.bin"/><Relationship Id="rId12629" Type="http://schemas.openxmlformats.org/officeDocument/2006/relationships/image" Target="media/image6329.wmf"/><Relationship Id="rId1637" Type="http://schemas.openxmlformats.org/officeDocument/2006/relationships/oleObject" Target="embeddings/oleObject806.bin"/><Relationship Id="rId7199" Type="http://schemas.openxmlformats.org/officeDocument/2006/relationships/oleObject" Target="embeddings/oleObject3584.bin"/><Relationship Id="rId14051" Type="http://schemas.openxmlformats.org/officeDocument/2006/relationships/image" Target="media/image7040.wmf"/><Relationship Id="rId4110" Type="http://schemas.openxmlformats.org/officeDocument/2006/relationships/oleObject" Target="embeddings/oleObject2046.bin"/><Relationship Id="rId7680" Type="http://schemas.openxmlformats.org/officeDocument/2006/relationships/image" Target="media/image3849.wmf"/><Relationship Id="rId8731" Type="http://schemas.openxmlformats.org/officeDocument/2006/relationships/image" Target="media/image4375.wmf"/><Relationship Id="rId6282" Type="http://schemas.openxmlformats.org/officeDocument/2006/relationships/oleObject" Target="embeddings/oleObject3130.bin"/><Relationship Id="rId7333" Type="http://schemas.openxmlformats.org/officeDocument/2006/relationships/oleObject" Target="embeddings/oleObject3651.bin"/><Relationship Id="rId10661" Type="http://schemas.openxmlformats.org/officeDocument/2006/relationships/oleObject" Target="embeddings/oleObject5295.bin"/><Relationship Id="rId11712" Type="http://schemas.openxmlformats.org/officeDocument/2006/relationships/image" Target="media/image5869.wmf"/><Relationship Id="rId10314" Type="http://schemas.openxmlformats.org/officeDocument/2006/relationships/oleObject" Target="embeddings/oleObject5124.bin"/><Relationship Id="rId13884" Type="http://schemas.openxmlformats.org/officeDocument/2006/relationships/oleObject" Target="embeddings/oleObject6888.bin"/><Relationship Id="rId2892" Type="http://schemas.openxmlformats.org/officeDocument/2006/relationships/oleObject" Target="embeddings/oleObject1434.bin"/><Relationship Id="rId3943" Type="http://schemas.openxmlformats.org/officeDocument/2006/relationships/oleObject" Target="embeddings/oleObject1962.bin"/><Relationship Id="rId9158" Type="http://schemas.openxmlformats.org/officeDocument/2006/relationships/image" Target="media/image4588.wmf"/><Relationship Id="rId12486" Type="http://schemas.openxmlformats.org/officeDocument/2006/relationships/oleObject" Target="embeddings/oleObject6192.bin"/><Relationship Id="rId13537" Type="http://schemas.openxmlformats.org/officeDocument/2006/relationships/oleObject" Target="embeddings/oleObject6714.bin"/><Relationship Id="rId864" Type="http://schemas.openxmlformats.org/officeDocument/2006/relationships/image" Target="media/image437.wmf"/><Relationship Id="rId1494" Type="http://schemas.openxmlformats.org/officeDocument/2006/relationships/image" Target="media/image752.wmf"/><Relationship Id="rId2545" Type="http://schemas.openxmlformats.org/officeDocument/2006/relationships/oleObject" Target="embeddings/oleObject1260.bin"/><Relationship Id="rId11088" Type="http://schemas.openxmlformats.org/officeDocument/2006/relationships/oleObject" Target="embeddings/oleObject5497.bin"/><Relationship Id="rId12139" Type="http://schemas.openxmlformats.org/officeDocument/2006/relationships/oleObject" Target="embeddings/oleObject6021.bin"/><Relationship Id="rId517" Type="http://schemas.openxmlformats.org/officeDocument/2006/relationships/image" Target="media/image258.wmf"/><Relationship Id="rId1147" Type="http://schemas.openxmlformats.org/officeDocument/2006/relationships/image" Target="media/image579.wmf"/><Relationship Id="rId5768" Type="http://schemas.openxmlformats.org/officeDocument/2006/relationships/oleObject" Target="embeddings/oleObject2873.bin"/><Relationship Id="rId6819" Type="http://schemas.openxmlformats.org/officeDocument/2006/relationships/image" Target="media/image3419.wmf"/><Relationship Id="rId7190" Type="http://schemas.openxmlformats.org/officeDocument/2006/relationships/image" Target="media/image3604.wmf"/><Relationship Id="rId8241" Type="http://schemas.openxmlformats.org/officeDocument/2006/relationships/oleObject" Target="embeddings/oleObject4105.bin"/><Relationship Id="rId10171" Type="http://schemas.openxmlformats.org/officeDocument/2006/relationships/image" Target="media/image5094.wmf"/><Relationship Id="rId11222" Type="http://schemas.openxmlformats.org/officeDocument/2006/relationships/oleObject" Target="embeddings/oleObject5564.bin"/><Relationship Id="rId12620" Type="http://schemas.openxmlformats.org/officeDocument/2006/relationships/oleObject" Target="embeddings/oleObject6259.bin"/><Relationship Id="rId3453" Type="http://schemas.openxmlformats.org/officeDocument/2006/relationships/oleObject" Target="embeddings/oleObject1717.bin"/><Relationship Id="rId4851" Type="http://schemas.openxmlformats.org/officeDocument/2006/relationships/oleObject" Target="embeddings/oleObject2416.bin"/><Relationship Id="rId5902" Type="http://schemas.openxmlformats.org/officeDocument/2006/relationships/oleObject" Target="embeddings/oleObject2940.bin"/><Relationship Id="rId13394" Type="http://schemas.openxmlformats.org/officeDocument/2006/relationships/image" Target="media/image6712.wmf"/><Relationship Id="rId14445" Type="http://schemas.openxmlformats.org/officeDocument/2006/relationships/image" Target="media/image7237.wmf"/><Relationship Id="rId374" Type="http://schemas.openxmlformats.org/officeDocument/2006/relationships/image" Target="media/image186.wmf"/><Relationship Id="rId2055" Type="http://schemas.openxmlformats.org/officeDocument/2006/relationships/oleObject" Target="embeddings/oleObject1015.bin"/><Relationship Id="rId3106" Type="http://schemas.openxmlformats.org/officeDocument/2006/relationships/oleObject" Target="embeddings/oleObject1541.bin"/><Relationship Id="rId4504" Type="http://schemas.openxmlformats.org/officeDocument/2006/relationships/image" Target="media/image2262.wmf"/><Relationship Id="rId13047" Type="http://schemas.openxmlformats.org/officeDocument/2006/relationships/image" Target="media/image6538.wmf"/><Relationship Id="rId6676" Type="http://schemas.openxmlformats.org/officeDocument/2006/relationships/oleObject" Target="embeddings/oleObject3325.bin"/><Relationship Id="rId7727" Type="http://schemas.openxmlformats.org/officeDocument/2006/relationships/oleObject" Target="embeddings/oleObject3848.bin"/><Relationship Id="rId10708" Type="http://schemas.openxmlformats.org/officeDocument/2006/relationships/image" Target="media/image5363.wmf"/><Relationship Id="rId5278" Type="http://schemas.openxmlformats.org/officeDocument/2006/relationships/oleObject" Target="embeddings/oleObject2628.bin"/><Relationship Id="rId6329" Type="http://schemas.openxmlformats.org/officeDocument/2006/relationships/image" Target="media/image3174.wmf"/><Relationship Id="rId9899" Type="http://schemas.openxmlformats.org/officeDocument/2006/relationships/image" Target="media/image4958.wmf"/><Relationship Id="rId12130" Type="http://schemas.openxmlformats.org/officeDocument/2006/relationships/image" Target="media/image6078.wmf"/><Relationship Id="rId1888" Type="http://schemas.openxmlformats.org/officeDocument/2006/relationships/image" Target="media/image950.wmf"/><Relationship Id="rId2939" Type="http://schemas.openxmlformats.org/officeDocument/2006/relationships/image" Target="media/image1479.wmf"/><Relationship Id="rId6810" Type="http://schemas.openxmlformats.org/officeDocument/2006/relationships/oleObject" Target="embeddings/oleObject3390.bin"/><Relationship Id="rId4361" Type="http://schemas.openxmlformats.org/officeDocument/2006/relationships/oleObject" Target="embeddings/oleObject2172.bin"/><Relationship Id="rId5412" Type="http://schemas.openxmlformats.org/officeDocument/2006/relationships/oleObject" Target="embeddings/oleObject2695.bin"/><Relationship Id="rId4014" Type="http://schemas.openxmlformats.org/officeDocument/2006/relationships/oleObject" Target="embeddings/oleObject1998.bin"/><Relationship Id="rId7584" Type="http://schemas.openxmlformats.org/officeDocument/2006/relationships/image" Target="media/image3801.wmf"/><Relationship Id="rId8982" Type="http://schemas.openxmlformats.org/officeDocument/2006/relationships/oleObject" Target="embeddings/oleObject4471.bin"/><Relationship Id="rId11963" Type="http://schemas.openxmlformats.org/officeDocument/2006/relationships/oleObject" Target="embeddings/oleObject5933.bin"/><Relationship Id="rId6186" Type="http://schemas.openxmlformats.org/officeDocument/2006/relationships/oleObject" Target="embeddings/oleObject3082.bin"/><Relationship Id="rId7237" Type="http://schemas.openxmlformats.org/officeDocument/2006/relationships/oleObject" Target="embeddings/oleObject3603.bin"/><Relationship Id="rId8635" Type="http://schemas.openxmlformats.org/officeDocument/2006/relationships/oleObject" Target="embeddings/oleObject4302.bin"/><Relationship Id="rId10565" Type="http://schemas.openxmlformats.org/officeDocument/2006/relationships/oleObject" Target="embeddings/oleObject5247.bin"/><Relationship Id="rId11616" Type="http://schemas.openxmlformats.org/officeDocument/2006/relationships/oleObject" Target="embeddings/oleObject5761.bin"/><Relationship Id="rId10218" Type="http://schemas.openxmlformats.org/officeDocument/2006/relationships/oleObject" Target="embeddings/oleObject5076.bin"/><Relationship Id="rId13788" Type="http://schemas.openxmlformats.org/officeDocument/2006/relationships/oleObject" Target="embeddings/oleObject6840.bin"/><Relationship Id="rId2796" Type="http://schemas.openxmlformats.org/officeDocument/2006/relationships/image" Target="media/image1408.wmf"/><Relationship Id="rId3847" Type="http://schemas.openxmlformats.org/officeDocument/2006/relationships/oleObject" Target="embeddings/oleObject1914.bin"/><Relationship Id="rId768" Type="http://schemas.openxmlformats.org/officeDocument/2006/relationships/image" Target="media/image389.wmf"/><Relationship Id="rId1398" Type="http://schemas.openxmlformats.org/officeDocument/2006/relationships/image" Target="media/image704.wmf"/><Relationship Id="rId2449" Type="http://schemas.openxmlformats.org/officeDocument/2006/relationships/oleObject" Target="embeddings/oleObject1213.bin"/><Relationship Id="rId6320" Type="http://schemas.openxmlformats.org/officeDocument/2006/relationships/oleObject" Target="embeddings/oleObject3149.bin"/><Relationship Id="rId9890" Type="http://schemas.openxmlformats.org/officeDocument/2006/relationships/oleObject" Target="embeddings/oleObject4917.bin"/><Relationship Id="rId8492" Type="http://schemas.openxmlformats.org/officeDocument/2006/relationships/image" Target="media/image4255.wmf"/><Relationship Id="rId9543" Type="http://schemas.openxmlformats.org/officeDocument/2006/relationships/oleObject" Target="embeddings/oleObject4750.bin"/><Relationship Id="rId12871" Type="http://schemas.openxmlformats.org/officeDocument/2006/relationships/image" Target="media/image6450.wmf"/><Relationship Id="rId13922" Type="http://schemas.openxmlformats.org/officeDocument/2006/relationships/oleObject" Target="embeddings/oleObject6907.bin"/><Relationship Id="rId1532" Type="http://schemas.openxmlformats.org/officeDocument/2006/relationships/image" Target="media/image771.wmf"/><Relationship Id="rId2930" Type="http://schemas.openxmlformats.org/officeDocument/2006/relationships/oleObject" Target="embeddings/oleObject1453.bin"/><Relationship Id="rId7094" Type="http://schemas.openxmlformats.org/officeDocument/2006/relationships/oleObject" Target="embeddings/oleObject3532.bin"/><Relationship Id="rId8145" Type="http://schemas.openxmlformats.org/officeDocument/2006/relationships/oleObject" Target="embeddings/oleObject4057.bin"/><Relationship Id="rId10075" Type="http://schemas.openxmlformats.org/officeDocument/2006/relationships/image" Target="media/image5046.wmf"/><Relationship Id="rId11473" Type="http://schemas.openxmlformats.org/officeDocument/2006/relationships/image" Target="media/image5748.wmf"/><Relationship Id="rId12524" Type="http://schemas.openxmlformats.org/officeDocument/2006/relationships/oleObject" Target="embeddings/oleObject6211.bin"/><Relationship Id="rId902" Type="http://schemas.openxmlformats.org/officeDocument/2006/relationships/image" Target="media/image456.wmf"/><Relationship Id="rId11126" Type="http://schemas.openxmlformats.org/officeDocument/2006/relationships/oleObject" Target="embeddings/oleObject5516.bin"/><Relationship Id="rId4755" Type="http://schemas.openxmlformats.org/officeDocument/2006/relationships/oleObject" Target="embeddings/oleObject2369.bin"/><Relationship Id="rId5806" Type="http://schemas.openxmlformats.org/officeDocument/2006/relationships/oleObject" Target="embeddings/oleObject2892.bin"/><Relationship Id="rId13298" Type="http://schemas.openxmlformats.org/officeDocument/2006/relationships/oleObject" Target="embeddings/oleObject6596.bin"/><Relationship Id="rId14349" Type="http://schemas.openxmlformats.org/officeDocument/2006/relationships/image" Target="media/image7189.wmf"/><Relationship Id="rId278" Type="http://schemas.openxmlformats.org/officeDocument/2006/relationships/image" Target="media/image138.wmf"/><Relationship Id="rId3357" Type="http://schemas.openxmlformats.org/officeDocument/2006/relationships/oleObject" Target="embeddings/oleObject1667.bin"/><Relationship Id="rId4408" Type="http://schemas.openxmlformats.org/officeDocument/2006/relationships/image" Target="media/image2214.wmf"/><Relationship Id="rId7978" Type="http://schemas.openxmlformats.org/officeDocument/2006/relationships/image" Target="media/image3998.wmf"/><Relationship Id="rId10959" Type="http://schemas.openxmlformats.org/officeDocument/2006/relationships/oleObject" Target="embeddings/oleObject5435.bin"/><Relationship Id="rId12381" Type="http://schemas.openxmlformats.org/officeDocument/2006/relationships/image" Target="media/image6205.wmf"/><Relationship Id="rId13432" Type="http://schemas.openxmlformats.org/officeDocument/2006/relationships/image" Target="media/image6731.wmf"/><Relationship Id="rId2440" Type="http://schemas.openxmlformats.org/officeDocument/2006/relationships/image" Target="media/image1229.wmf"/><Relationship Id="rId9053" Type="http://schemas.openxmlformats.org/officeDocument/2006/relationships/image" Target="media/image4536.wmf"/><Relationship Id="rId12034" Type="http://schemas.openxmlformats.org/officeDocument/2006/relationships/image" Target="media/image6030.wmf"/><Relationship Id="rId412" Type="http://schemas.openxmlformats.org/officeDocument/2006/relationships/oleObject" Target="embeddings/oleObject200.bin"/><Relationship Id="rId1042" Type="http://schemas.openxmlformats.org/officeDocument/2006/relationships/oleObject" Target="embeddings/oleObject512.bin"/><Relationship Id="rId5663" Type="http://schemas.openxmlformats.org/officeDocument/2006/relationships/image" Target="media/image2842.wmf"/><Relationship Id="rId4265" Type="http://schemas.openxmlformats.org/officeDocument/2006/relationships/image" Target="media/image2143.wmf"/><Relationship Id="rId5316" Type="http://schemas.openxmlformats.org/officeDocument/2006/relationships/oleObject" Target="embeddings/oleObject2647.bin"/><Relationship Id="rId6714" Type="http://schemas.openxmlformats.org/officeDocument/2006/relationships/oleObject" Target="embeddings/oleObject3344.bin"/><Relationship Id="rId8886" Type="http://schemas.openxmlformats.org/officeDocument/2006/relationships/oleObject" Target="embeddings/oleObject4423.bin"/><Relationship Id="rId9937" Type="http://schemas.openxmlformats.org/officeDocument/2006/relationships/image" Target="media/image4977.wmf"/><Relationship Id="rId11867" Type="http://schemas.openxmlformats.org/officeDocument/2006/relationships/oleObject" Target="embeddings/oleObject5885.bin"/><Relationship Id="rId12918" Type="http://schemas.openxmlformats.org/officeDocument/2006/relationships/oleObject" Target="embeddings/oleObject6408.bin"/><Relationship Id="rId1926" Type="http://schemas.openxmlformats.org/officeDocument/2006/relationships/image" Target="media/image969.wmf"/><Relationship Id="rId7488" Type="http://schemas.openxmlformats.org/officeDocument/2006/relationships/image" Target="media/image3753.wmf"/><Relationship Id="rId8539" Type="http://schemas.openxmlformats.org/officeDocument/2006/relationships/oleObject" Target="embeddings/oleObject4254.bin"/><Relationship Id="rId10469" Type="http://schemas.openxmlformats.org/officeDocument/2006/relationships/oleObject" Target="embeddings/oleObject5201.bin"/><Relationship Id="rId14340" Type="http://schemas.openxmlformats.org/officeDocument/2006/relationships/oleObject" Target="embeddings/oleObject7116.bin"/><Relationship Id="rId3001" Type="http://schemas.openxmlformats.org/officeDocument/2006/relationships/image" Target="media/image1510.wmf"/><Relationship Id="rId6571" Type="http://schemas.openxmlformats.org/officeDocument/2006/relationships/image" Target="media/image3295.wmf"/><Relationship Id="rId7622" Type="http://schemas.openxmlformats.org/officeDocument/2006/relationships/image" Target="media/image3820.wmf"/><Relationship Id="rId10950" Type="http://schemas.openxmlformats.org/officeDocument/2006/relationships/image" Target="media/image5485.png"/><Relationship Id="rId5173" Type="http://schemas.openxmlformats.org/officeDocument/2006/relationships/oleObject" Target="embeddings/oleObject2576.bin"/><Relationship Id="rId6224" Type="http://schemas.openxmlformats.org/officeDocument/2006/relationships/oleObject" Target="embeddings/oleObject3101.bin"/><Relationship Id="rId9794" Type="http://schemas.openxmlformats.org/officeDocument/2006/relationships/image" Target="media/image4906.wmf"/><Relationship Id="rId10603" Type="http://schemas.openxmlformats.org/officeDocument/2006/relationships/oleObject" Target="embeddings/oleObject5266.bin"/><Relationship Id="rId8396" Type="http://schemas.openxmlformats.org/officeDocument/2006/relationships/image" Target="media/image4207.wmf"/><Relationship Id="rId9447" Type="http://schemas.openxmlformats.org/officeDocument/2006/relationships/oleObject" Target="embeddings/oleObject4702.bin"/><Relationship Id="rId12775" Type="http://schemas.openxmlformats.org/officeDocument/2006/relationships/image" Target="media/image6402.wmf"/><Relationship Id="rId13826" Type="http://schemas.openxmlformats.org/officeDocument/2006/relationships/oleObject" Target="embeddings/oleObject6859.bin"/><Relationship Id="rId1783" Type="http://schemas.openxmlformats.org/officeDocument/2006/relationships/oleObject" Target="embeddings/oleObject879.bin"/><Relationship Id="rId2834" Type="http://schemas.openxmlformats.org/officeDocument/2006/relationships/image" Target="media/image1427.wmf"/><Relationship Id="rId8049" Type="http://schemas.openxmlformats.org/officeDocument/2006/relationships/oleObject" Target="embeddings/oleObject4009.bin"/><Relationship Id="rId11377" Type="http://schemas.openxmlformats.org/officeDocument/2006/relationships/image" Target="media/image5700.wmf"/><Relationship Id="rId12428" Type="http://schemas.openxmlformats.org/officeDocument/2006/relationships/oleObject" Target="embeddings/oleObject6163.bin"/><Relationship Id="rId806" Type="http://schemas.openxmlformats.org/officeDocument/2006/relationships/image" Target="media/image408.wmf"/><Relationship Id="rId1436" Type="http://schemas.openxmlformats.org/officeDocument/2006/relationships/image" Target="media/image723.wmf"/><Relationship Id="rId4659" Type="http://schemas.openxmlformats.org/officeDocument/2006/relationships/oleObject" Target="embeddings/oleObject2321.bin"/><Relationship Id="rId8530" Type="http://schemas.openxmlformats.org/officeDocument/2006/relationships/image" Target="media/image4274.wmf"/><Relationship Id="rId10460" Type="http://schemas.openxmlformats.org/officeDocument/2006/relationships/image" Target="media/image5239.wmf"/><Relationship Id="rId11511" Type="http://schemas.openxmlformats.org/officeDocument/2006/relationships/image" Target="media/image5767.wmf"/><Relationship Id="rId6081" Type="http://schemas.openxmlformats.org/officeDocument/2006/relationships/image" Target="media/image3051.wmf"/><Relationship Id="rId7132" Type="http://schemas.openxmlformats.org/officeDocument/2006/relationships/image" Target="media/image3575.wmf"/><Relationship Id="rId10113" Type="http://schemas.openxmlformats.org/officeDocument/2006/relationships/image" Target="media/image5065.wmf"/><Relationship Id="rId2691" Type="http://schemas.openxmlformats.org/officeDocument/2006/relationships/oleObject" Target="embeddings/oleObject1333.bin"/><Relationship Id="rId3742" Type="http://schemas.openxmlformats.org/officeDocument/2006/relationships/image" Target="media/image1882.wmf"/><Relationship Id="rId12285" Type="http://schemas.openxmlformats.org/officeDocument/2006/relationships/oleObject" Target="embeddings/oleObject6094.bin"/><Relationship Id="rId13683" Type="http://schemas.openxmlformats.org/officeDocument/2006/relationships/oleObject" Target="embeddings/oleObject6787.bin"/><Relationship Id="rId663" Type="http://schemas.openxmlformats.org/officeDocument/2006/relationships/oleObject" Target="embeddings/oleObject320.bin"/><Relationship Id="rId1293" Type="http://schemas.openxmlformats.org/officeDocument/2006/relationships/oleObject" Target="embeddings/oleObject636.bin"/><Relationship Id="rId2344" Type="http://schemas.openxmlformats.org/officeDocument/2006/relationships/oleObject" Target="embeddings/oleObject1161.bin"/><Relationship Id="rId13336" Type="http://schemas.openxmlformats.org/officeDocument/2006/relationships/image" Target="media/image6683.wmf"/><Relationship Id="rId316" Type="http://schemas.openxmlformats.org/officeDocument/2006/relationships/image" Target="media/image157.wmf"/><Relationship Id="rId6965" Type="http://schemas.openxmlformats.org/officeDocument/2006/relationships/image" Target="media/image3492.wmf"/><Relationship Id="rId4169" Type="http://schemas.openxmlformats.org/officeDocument/2006/relationships/image" Target="media/image2095.wmf"/><Relationship Id="rId5567" Type="http://schemas.openxmlformats.org/officeDocument/2006/relationships/image" Target="media/image2794.wmf"/><Relationship Id="rId6618" Type="http://schemas.openxmlformats.org/officeDocument/2006/relationships/oleObject" Target="embeddings/oleObject3296.bin"/><Relationship Id="rId8040" Type="http://schemas.openxmlformats.org/officeDocument/2006/relationships/image" Target="media/image4029.wmf"/><Relationship Id="rId11021" Type="http://schemas.openxmlformats.org/officeDocument/2006/relationships/oleObject" Target="embeddings/oleObject5466.bin"/><Relationship Id="rId14591" Type="http://schemas.openxmlformats.org/officeDocument/2006/relationships/oleObject" Target="embeddings/oleObject7236.bin"/><Relationship Id="rId4650" Type="http://schemas.openxmlformats.org/officeDocument/2006/relationships/image" Target="media/image2335.wmf"/><Relationship Id="rId5701" Type="http://schemas.openxmlformats.org/officeDocument/2006/relationships/image" Target="media/image2861.wmf"/><Relationship Id="rId13193" Type="http://schemas.openxmlformats.org/officeDocument/2006/relationships/image" Target="media/image6611.wmf"/><Relationship Id="rId14244" Type="http://schemas.openxmlformats.org/officeDocument/2006/relationships/oleObject" Target="embeddings/oleObject7068.bin"/><Relationship Id="rId3252" Type="http://schemas.openxmlformats.org/officeDocument/2006/relationships/oleObject" Target="embeddings/oleObject1614.bin"/><Relationship Id="rId4303" Type="http://schemas.openxmlformats.org/officeDocument/2006/relationships/image" Target="media/image2162.wmf"/><Relationship Id="rId7873" Type="http://schemas.openxmlformats.org/officeDocument/2006/relationships/oleObject" Target="embeddings/oleObject3921.bin"/><Relationship Id="rId173" Type="http://schemas.openxmlformats.org/officeDocument/2006/relationships/oleObject" Target="embeddings/oleObject81.bin"/><Relationship Id="rId6475" Type="http://schemas.openxmlformats.org/officeDocument/2006/relationships/image" Target="media/image3247.wmf"/><Relationship Id="rId7526" Type="http://schemas.openxmlformats.org/officeDocument/2006/relationships/image" Target="media/image3772.wmf"/><Relationship Id="rId8924" Type="http://schemas.openxmlformats.org/officeDocument/2006/relationships/oleObject" Target="embeddings/oleObject4442.bin"/><Relationship Id="rId10854" Type="http://schemas.openxmlformats.org/officeDocument/2006/relationships/image" Target="media/image5436.wmf"/><Relationship Id="rId11905" Type="http://schemas.openxmlformats.org/officeDocument/2006/relationships/oleObject" Target="embeddings/oleObject5904.bin"/><Relationship Id="rId5077" Type="http://schemas.openxmlformats.org/officeDocument/2006/relationships/oleObject" Target="embeddings/oleObject2528.bin"/><Relationship Id="rId6128" Type="http://schemas.openxmlformats.org/officeDocument/2006/relationships/oleObject" Target="embeddings/oleObject3053.bin"/><Relationship Id="rId10507" Type="http://schemas.openxmlformats.org/officeDocument/2006/relationships/oleObject" Target="embeddings/oleObject5218.bin"/><Relationship Id="rId9698" Type="http://schemas.openxmlformats.org/officeDocument/2006/relationships/image" Target="media/image4858.wmf"/><Relationship Id="rId12679" Type="http://schemas.openxmlformats.org/officeDocument/2006/relationships/image" Target="media/image6354.wmf"/><Relationship Id="rId1687" Type="http://schemas.openxmlformats.org/officeDocument/2006/relationships/oleObject" Target="embeddings/oleObject831.bin"/><Relationship Id="rId2738" Type="http://schemas.openxmlformats.org/officeDocument/2006/relationships/image" Target="media/image1379.wmf"/><Relationship Id="rId4160" Type="http://schemas.openxmlformats.org/officeDocument/2006/relationships/oleObject" Target="embeddings/oleObject2071.bin"/><Relationship Id="rId5211" Type="http://schemas.openxmlformats.org/officeDocument/2006/relationships/oleObject" Target="embeddings/oleObject2595.bin"/><Relationship Id="rId8781" Type="http://schemas.openxmlformats.org/officeDocument/2006/relationships/image" Target="media/image4400.wmf"/><Relationship Id="rId9832" Type="http://schemas.openxmlformats.org/officeDocument/2006/relationships/image" Target="media/image4925.wmf"/><Relationship Id="rId46" Type="http://schemas.openxmlformats.org/officeDocument/2006/relationships/oleObject" Target="embeddings/oleObject19.bin"/><Relationship Id="rId1821" Type="http://schemas.openxmlformats.org/officeDocument/2006/relationships/oleObject" Target="embeddings/oleObject898.bin"/><Relationship Id="rId7383" Type="http://schemas.openxmlformats.org/officeDocument/2006/relationships/oleObject" Target="embeddings/oleObject3676.bin"/><Relationship Id="rId8434" Type="http://schemas.openxmlformats.org/officeDocument/2006/relationships/image" Target="media/image4226.wmf"/><Relationship Id="rId10364" Type="http://schemas.openxmlformats.org/officeDocument/2006/relationships/oleObject" Target="embeddings/oleObject5149.bin"/><Relationship Id="rId11762" Type="http://schemas.openxmlformats.org/officeDocument/2006/relationships/image" Target="media/image5894.wmf"/><Relationship Id="rId12813" Type="http://schemas.openxmlformats.org/officeDocument/2006/relationships/image" Target="media/image6421.wmf"/><Relationship Id="rId7036" Type="http://schemas.openxmlformats.org/officeDocument/2006/relationships/oleObject" Target="embeddings/oleObject3503.bin"/><Relationship Id="rId10017" Type="http://schemas.openxmlformats.org/officeDocument/2006/relationships/image" Target="media/image5017.wmf"/><Relationship Id="rId11415" Type="http://schemas.openxmlformats.org/officeDocument/2006/relationships/image" Target="media/image5719.wmf"/><Relationship Id="rId2595" Type="http://schemas.openxmlformats.org/officeDocument/2006/relationships/oleObject" Target="embeddings/oleObject1285.bin"/><Relationship Id="rId3993" Type="http://schemas.openxmlformats.org/officeDocument/2006/relationships/image" Target="media/image2007.wmf"/><Relationship Id="rId13587" Type="http://schemas.openxmlformats.org/officeDocument/2006/relationships/oleObject" Target="embeddings/oleObject6739.bin"/><Relationship Id="rId567" Type="http://schemas.openxmlformats.org/officeDocument/2006/relationships/oleObject" Target="embeddings/oleObject273.bin"/><Relationship Id="rId1197" Type="http://schemas.openxmlformats.org/officeDocument/2006/relationships/oleObject" Target="embeddings/oleObject589.bin"/><Relationship Id="rId2248" Type="http://schemas.openxmlformats.org/officeDocument/2006/relationships/oleObject" Target="embeddings/oleObject1111.bin"/><Relationship Id="rId3646" Type="http://schemas.openxmlformats.org/officeDocument/2006/relationships/image" Target="media/image1834.wmf"/><Relationship Id="rId12189" Type="http://schemas.openxmlformats.org/officeDocument/2006/relationships/oleObject" Target="embeddings/oleObject6046.bin"/><Relationship Id="rId6869" Type="http://schemas.openxmlformats.org/officeDocument/2006/relationships/image" Target="media/image3444.wmf"/><Relationship Id="rId12670" Type="http://schemas.openxmlformats.org/officeDocument/2006/relationships/oleObject" Target="embeddings/oleObject6284.bin"/><Relationship Id="rId13721" Type="http://schemas.openxmlformats.org/officeDocument/2006/relationships/image" Target="media/image6875.wmf"/><Relationship Id="rId8291" Type="http://schemas.openxmlformats.org/officeDocument/2006/relationships/oleObject" Target="embeddings/oleObject4130.bin"/><Relationship Id="rId9342" Type="http://schemas.openxmlformats.org/officeDocument/2006/relationships/image" Target="media/image4680.wmf"/><Relationship Id="rId11272" Type="http://schemas.openxmlformats.org/officeDocument/2006/relationships/oleObject" Target="embeddings/oleObject5589.bin"/><Relationship Id="rId12323" Type="http://schemas.openxmlformats.org/officeDocument/2006/relationships/image" Target="media/image6176.wmf"/><Relationship Id="rId701" Type="http://schemas.openxmlformats.org/officeDocument/2006/relationships/oleObject" Target="embeddings/oleObject339.bin"/><Relationship Id="rId1331" Type="http://schemas.openxmlformats.org/officeDocument/2006/relationships/oleObject" Target="embeddings/oleObject655.bin"/><Relationship Id="rId5952" Type="http://schemas.openxmlformats.org/officeDocument/2006/relationships/oleObject" Target="embeddings/oleObject2965.bin"/><Relationship Id="rId14495" Type="http://schemas.openxmlformats.org/officeDocument/2006/relationships/image" Target="media/image7262.wmf"/><Relationship Id="rId4554" Type="http://schemas.openxmlformats.org/officeDocument/2006/relationships/image" Target="media/image2287.wmf"/><Relationship Id="rId5605" Type="http://schemas.openxmlformats.org/officeDocument/2006/relationships/image" Target="media/image2813.wmf"/><Relationship Id="rId13097" Type="http://schemas.openxmlformats.org/officeDocument/2006/relationships/image" Target="media/image6563.wmf"/><Relationship Id="rId14148" Type="http://schemas.openxmlformats.org/officeDocument/2006/relationships/oleObject" Target="embeddings/oleObject7020.bin"/><Relationship Id="rId3156" Type="http://schemas.openxmlformats.org/officeDocument/2006/relationships/oleObject" Target="embeddings/oleObject1566.bin"/><Relationship Id="rId4207" Type="http://schemas.openxmlformats.org/officeDocument/2006/relationships/image" Target="media/image2114.wmf"/><Relationship Id="rId6379" Type="http://schemas.openxmlformats.org/officeDocument/2006/relationships/image" Target="media/image3199.wmf"/><Relationship Id="rId7777" Type="http://schemas.openxmlformats.org/officeDocument/2006/relationships/oleObject" Target="embeddings/oleObject3873.bin"/><Relationship Id="rId8828" Type="http://schemas.openxmlformats.org/officeDocument/2006/relationships/oleObject" Target="embeddings/oleObject4397.bin"/><Relationship Id="rId10758" Type="http://schemas.openxmlformats.org/officeDocument/2006/relationships/image" Target="media/image5388.wmf"/><Relationship Id="rId11809" Type="http://schemas.openxmlformats.org/officeDocument/2006/relationships/oleObject" Target="embeddings/oleObject5856.bin"/><Relationship Id="rId12180" Type="http://schemas.openxmlformats.org/officeDocument/2006/relationships/image" Target="media/image6103.wmf"/><Relationship Id="rId13231" Type="http://schemas.openxmlformats.org/officeDocument/2006/relationships/image" Target="media/image6630.wmf"/><Relationship Id="rId2989" Type="http://schemas.openxmlformats.org/officeDocument/2006/relationships/image" Target="media/image1504.wmf"/><Relationship Id="rId6860" Type="http://schemas.openxmlformats.org/officeDocument/2006/relationships/oleObject" Target="embeddings/oleObject3415.bin"/><Relationship Id="rId7911" Type="http://schemas.openxmlformats.org/officeDocument/2006/relationships/oleObject" Target="embeddings/oleObject3940.bin"/><Relationship Id="rId211" Type="http://schemas.openxmlformats.org/officeDocument/2006/relationships/oleObject" Target="embeddings/oleObject100.bin"/><Relationship Id="rId5462" Type="http://schemas.openxmlformats.org/officeDocument/2006/relationships/oleObject" Target="embeddings/oleObject2720.bin"/><Relationship Id="rId6513" Type="http://schemas.openxmlformats.org/officeDocument/2006/relationships/image" Target="media/image3266.wmf"/><Relationship Id="rId4064" Type="http://schemas.openxmlformats.org/officeDocument/2006/relationships/oleObject" Target="embeddings/oleObject2023.bin"/><Relationship Id="rId5115" Type="http://schemas.openxmlformats.org/officeDocument/2006/relationships/oleObject" Target="embeddings/oleObject2547.bin"/><Relationship Id="rId8685" Type="http://schemas.openxmlformats.org/officeDocument/2006/relationships/image" Target="media/image4352.wmf"/><Relationship Id="rId9736" Type="http://schemas.openxmlformats.org/officeDocument/2006/relationships/image" Target="media/image4877.wmf"/><Relationship Id="rId7287" Type="http://schemas.openxmlformats.org/officeDocument/2006/relationships/oleObject" Target="embeddings/oleObject3628.bin"/><Relationship Id="rId8338" Type="http://schemas.openxmlformats.org/officeDocument/2006/relationships/image" Target="media/image4178.wmf"/><Relationship Id="rId11666" Type="http://schemas.openxmlformats.org/officeDocument/2006/relationships/oleObject" Target="embeddings/oleObject5786.bin"/><Relationship Id="rId12717" Type="http://schemas.openxmlformats.org/officeDocument/2006/relationships/image" Target="media/image6373.wmf"/><Relationship Id="rId1725" Type="http://schemas.openxmlformats.org/officeDocument/2006/relationships/oleObject" Target="embeddings/oleObject850.bin"/><Relationship Id="rId10268" Type="http://schemas.openxmlformats.org/officeDocument/2006/relationships/oleObject" Target="embeddings/oleObject5101.bin"/><Relationship Id="rId11319" Type="http://schemas.openxmlformats.org/officeDocument/2006/relationships/image" Target="media/image5671.wmf"/><Relationship Id="rId3897" Type="http://schemas.openxmlformats.org/officeDocument/2006/relationships/oleObject" Target="embeddings/oleObject1939.bin"/><Relationship Id="rId4948" Type="http://schemas.openxmlformats.org/officeDocument/2006/relationships/image" Target="media/image2484.wmf"/><Relationship Id="rId11800" Type="http://schemas.openxmlformats.org/officeDocument/2006/relationships/image" Target="media/image5913.wmf"/><Relationship Id="rId2499" Type="http://schemas.openxmlformats.org/officeDocument/2006/relationships/oleObject" Target="embeddings/oleObject1237.bin"/><Relationship Id="rId6370" Type="http://schemas.openxmlformats.org/officeDocument/2006/relationships/oleObject" Target="embeddings/oleObject3175.bin"/><Relationship Id="rId7421" Type="http://schemas.openxmlformats.org/officeDocument/2006/relationships/oleObject" Target="embeddings/oleObject3695.bin"/><Relationship Id="rId10402" Type="http://schemas.openxmlformats.org/officeDocument/2006/relationships/oleObject" Target="embeddings/oleObject5168.bin"/><Relationship Id="rId2980" Type="http://schemas.openxmlformats.org/officeDocument/2006/relationships/oleObject" Target="embeddings/oleObject1478.bin"/><Relationship Id="rId6023" Type="http://schemas.openxmlformats.org/officeDocument/2006/relationships/image" Target="media/image3022.wmf"/><Relationship Id="rId9593" Type="http://schemas.openxmlformats.org/officeDocument/2006/relationships/oleObject" Target="embeddings/oleObject4775.bin"/><Relationship Id="rId12574" Type="http://schemas.openxmlformats.org/officeDocument/2006/relationships/oleObject" Target="embeddings/oleObject6236.bin"/><Relationship Id="rId13972" Type="http://schemas.openxmlformats.org/officeDocument/2006/relationships/oleObject" Target="embeddings/oleObject6932.bin"/><Relationship Id="rId952" Type="http://schemas.openxmlformats.org/officeDocument/2006/relationships/oleObject" Target="embeddings/oleObject467.bin"/><Relationship Id="rId1582" Type="http://schemas.openxmlformats.org/officeDocument/2006/relationships/image" Target="media/image797.wmf"/><Relationship Id="rId2633" Type="http://schemas.openxmlformats.org/officeDocument/2006/relationships/oleObject" Target="embeddings/oleObject1304.bin"/><Relationship Id="rId8195" Type="http://schemas.openxmlformats.org/officeDocument/2006/relationships/oleObject" Target="embeddings/oleObject4082.bin"/><Relationship Id="rId9246" Type="http://schemas.openxmlformats.org/officeDocument/2006/relationships/image" Target="media/image4632.wmf"/><Relationship Id="rId11176" Type="http://schemas.openxmlformats.org/officeDocument/2006/relationships/oleObject" Target="embeddings/oleObject5541.bin"/><Relationship Id="rId12227" Type="http://schemas.openxmlformats.org/officeDocument/2006/relationships/oleObject" Target="embeddings/oleObject6065.bin"/><Relationship Id="rId13625" Type="http://schemas.openxmlformats.org/officeDocument/2006/relationships/oleObject" Target="embeddings/oleObject6758.bin"/><Relationship Id="rId605" Type="http://schemas.openxmlformats.org/officeDocument/2006/relationships/oleObject" Target="embeddings/oleObject292.bin"/><Relationship Id="rId1235" Type="http://schemas.openxmlformats.org/officeDocument/2006/relationships/oleObject" Target="embeddings/oleObject608.bin"/><Relationship Id="rId4458" Type="http://schemas.openxmlformats.org/officeDocument/2006/relationships/image" Target="media/image2239.wmf"/><Relationship Id="rId5856" Type="http://schemas.openxmlformats.org/officeDocument/2006/relationships/oleObject" Target="embeddings/oleObject2917.bin"/><Relationship Id="rId6907" Type="http://schemas.openxmlformats.org/officeDocument/2006/relationships/image" Target="media/image3463.wmf"/><Relationship Id="rId14399" Type="http://schemas.openxmlformats.org/officeDocument/2006/relationships/image" Target="media/image7214.wmf"/><Relationship Id="rId5509" Type="http://schemas.openxmlformats.org/officeDocument/2006/relationships/image" Target="media/image2765.wmf"/><Relationship Id="rId11310" Type="http://schemas.openxmlformats.org/officeDocument/2006/relationships/oleObject" Target="embeddings/oleObject5608.bin"/><Relationship Id="rId13482" Type="http://schemas.openxmlformats.org/officeDocument/2006/relationships/image" Target="media/image6756.wmf"/><Relationship Id="rId14533" Type="http://schemas.openxmlformats.org/officeDocument/2006/relationships/image" Target="media/image7281.wmf"/><Relationship Id="rId2490" Type="http://schemas.openxmlformats.org/officeDocument/2006/relationships/image" Target="media/image1255.wmf"/><Relationship Id="rId3541" Type="http://schemas.openxmlformats.org/officeDocument/2006/relationships/oleObject" Target="embeddings/oleObject1761.bin"/><Relationship Id="rId12084" Type="http://schemas.openxmlformats.org/officeDocument/2006/relationships/image" Target="media/image6055.wmf"/><Relationship Id="rId13135" Type="http://schemas.openxmlformats.org/officeDocument/2006/relationships/image" Target="media/image6582.wmf"/><Relationship Id="rId462" Type="http://schemas.openxmlformats.org/officeDocument/2006/relationships/oleObject" Target="embeddings/oleObject222.bin"/><Relationship Id="rId1092" Type="http://schemas.openxmlformats.org/officeDocument/2006/relationships/oleObject" Target="embeddings/oleObject536.bin"/><Relationship Id="rId2143" Type="http://schemas.openxmlformats.org/officeDocument/2006/relationships/oleObject" Target="embeddings/oleObject1059.bin"/><Relationship Id="rId6764" Type="http://schemas.openxmlformats.org/officeDocument/2006/relationships/oleObject" Target="embeddings/oleObject3369.bin"/><Relationship Id="rId7815" Type="http://schemas.openxmlformats.org/officeDocument/2006/relationships/oleObject" Target="embeddings/oleObject3892.bin"/><Relationship Id="rId115" Type="http://schemas.openxmlformats.org/officeDocument/2006/relationships/image" Target="media/image55.wmf"/><Relationship Id="rId5366" Type="http://schemas.openxmlformats.org/officeDocument/2006/relationships/oleObject" Target="embeddings/oleObject2672.bin"/><Relationship Id="rId6417" Type="http://schemas.openxmlformats.org/officeDocument/2006/relationships/image" Target="media/image3218.wmf"/><Relationship Id="rId5019" Type="http://schemas.openxmlformats.org/officeDocument/2006/relationships/oleObject" Target="embeddings/oleObject2499.bin"/><Relationship Id="rId8589" Type="http://schemas.openxmlformats.org/officeDocument/2006/relationships/oleObject" Target="embeddings/oleObject4279.bin"/><Relationship Id="rId9987" Type="http://schemas.openxmlformats.org/officeDocument/2006/relationships/image" Target="media/image5002.wmf"/><Relationship Id="rId12968" Type="http://schemas.openxmlformats.org/officeDocument/2006/relationships/oleObject" Target="embeddings/oleObject6433.bin"/><Relationship Id="rId1976" Type="http://schemas.openxmlformats.org/officeDocument/2006/relationships/image" Target="media/image994.wmf"/><Relationship Id="rId14390" Type="http://schemas.openxmlformats.org/officeDocument/2006/relationships/oleObject" Target="embeddings/oleObject7139.bin"/><Relationship Id="rId1629" Type="http://schemas.openxmlformats.org/officeDocument/2006/relationships/oleObject" Target="embeddings/oleObject802.bin"/><Relationship Id="rId5500" Type="http://schemas.openxmlformats.org/officeDocument/2006/relationships/oleObject" Target="embeddings/oleObject2739.bin"/><Relationship Id="rId14043" Type="http://schemas.openxmlformats.org/officeDocument/2006/relationships/image" Target="media/image7036.wmf"/><Relationship Id="rId3051" Type="http://schemas.openxmlformats.org/officeDocument/2006/relationships/image" Target="media/image1535.wmf"/><Relationship Id="rId4102" Type="http://schemas.openxmlformats.org/officeDocument/2006/relationships/oleObject" Target="embeddings/oleObject2042.bin"/><Relationship Id="rId7672" Type="http://schemas.openxmlformats.org/officeDocument/2006/relationships/image" Target="media/image3845.wmf"/><Relationship Id="rId8723" Type="http://schemas.openxmlformats.org/officeDocument/2006/relationships/image" Target="media/image4371.wmf"/><Relationship Id="rId10653" Type="http://schemas.openxmlformats.org/officeDocument/2006/relationships/oleObject" Target="embeddings/oleObject5291.bin"/><Relationship Id="rId6274" Type="http://schemas.openxmlformats.org/officeDocument/2006/relationships/oleObject" Target="embeddings/oleObject3126.bin"/><Relationship Id="rId7325" Type="http://schemas.openxmlformats.org/officeDocument/2006/relationships/oleObject" Target="embeddings/oleObject3647.bin"/><Relationship Id="rId10306" Type="http://schemas.openxmlformats.org/officeDocument/2006/relationships/oleObject" Target="embeddings/oleObject5120.bin"/><Relationship Id="rId11704" Type="http://schemas.openxmlformats.org/officeDocument/2006/relationships/image" Target="media/image5865.wmf"/><Relationship Id="rId2884" Type="http://schemas.openxmlformats.org/officeDocument/2006/relationships/oleObject" Target="embeddings/oleObject1430.bin"/><Relationship Id="rId9497" Type="http://schemas.openxmlformats.org/officeDocument/2006/relationships/oleObject" Target="embeddings/oleObject4727.bin"/><Relationship Id="rId13876" Type="http://schemas.openxmlformats.org/officeDocument/2006/relationships/oleObject" Target="embeddings/oleObject6884.bin"/><Relationship Id="rId856" Type="http://schemas.openxmlformats.org/officeDocument/2006/relationships/image" Target="media/image433.wmf"/><Relationship Id="rId1486" Type="http://schemas.openxmlformats.org/officeDocument/2006/relationships/image" Target="media/image748.wmf"/><Relationship Id="rId2537" Type="http://schemas.openxmlformats.org/officeDocument/2006/relationships/oleObject" Target="embeddings/oleObject1256.bin"/><Relationship Id="rId3935" Type="http://schemas.openxmlformats.org/officeDocument/2006/relationships/oleObject" Target="embeddings/oleObject1958.bin"/><Relationship Id="rId8099" Type="http://schemas.openxmlformats.org/officeDocument/2006/relationships/oleObject" Target="embeddings/oleObject4034.bin"/><Relationship Id="rId12478" Type="http://schemas.openxmlformats.org/officeDocument/2006/relationships/oleObject" Target="embeddings/oleObject6188.bin"/><Relationship Id="rId13529" Type="http://schemas.openxmlformats.org/officeDocument/2006/relationships/oleObject" Target="embeddings/oleObject6710.bin"/><Relationship Id="rId509" Type="http://schemas.openxmlformats.org/officeDocument/2006/relationships/image" Target="media/image254.wmf"/><Relationship Id="rId1139" Type="http://schemas.openxmlformats.org/officeDocument/2006/relationships/image" Target="media/image575.wmf"/><Relationship Id="rId5010" Type="http://schemas.openxmlformats.org/officeDocument/2006/relationships/image" Target="media/image2515.wmf"/><Relationship Id="rId8580" Type="http://schemas.openxmlformats.org/officeDocument/2006/relationships/image" Target="media/image4299.wmf"/><Relationship Id="rId9631" Type="http://schemas.openxmlformats.org/officeDocument/2006/relationships/oleObject" Target="embeddings/oleObject4794.bin"/><Relationship Id="rId11561" Type="http://schemas.openxmlformats.org/officeDocument/2006/relationships/image" Target="media/image5792.wmf"/><Relationship Id="rId12612" Type="http://schemas.openxmlformats.org/officeDocument/2006/relationships/oleObject" Target="embeddings/oleObject6255.bin"/><Relationship Id="rId1620" Type="http://schemas.openxmlformats.org/officeDocument/2006/relationships/image" Target="media/image816.wmf"/><Relationship Id="rId7182" Type="http://schemas.openxmlformats.org/officeDocument/2006/relationships/image" Target="media/image3600.wmf"/><Relationship Id="rId8233" Type="http://schemas.openxmlformats.org/officeDocument/2006/relationships/oleObject" Target="embeddings/oleObject4101.bin"/><Relationship Id="rId10163" Type="http://schemas.openxmlformats.org/officeDocument/2006/relationships/image" Target="media/image5090.wmf"/><Relationship Id="rId11214" Type="http://schemas.openxmlformats.org/officeDocument/2006/relationships/oleObject" Target="embeddings/oleObject5560.bin"/><Relationship Id="rId3792" Type="http://schemas.openxmlformats.org/officeDocument/2006/relationships/image" Target="media/image1907.wmf"/><Relationship Id="rId4843" Type="http://schemas.openxmlformats.org/officeDocument/2006/relationships/oleObject" Target="embeddings/oleObject2412.bin"/><Relationship Id="rId13386" Type="http://schemas.openxmlformats.org/officeDocument/2006/relationships/image" Target="media/image6708.wmf"/><Relationship Id="rId14437" Type="http://schemas.openxmlformats.org/officeDocument/2006/relationships/image" Target="media/image7233.wmf"/><Relationship Id="rId2394" Type="http://schemas.openxmlformats.org/officeDocument/2006/relationships/oleObject" Target="embeddings/oleObject1186.bin"/><Relationship Id="rId3445" Type="http://schemas.openxmlformats.org/officeDocument/2006/relationships/oleObject" Target="embeddings/oleObject1713.bin"/><Relationship Id="rId13039" Type="http://schemas.openxmlformats.org/officeDocument/2006/relationships/image" Target="media/image6534.wmf"/><Relationship Id="rId366" Type="http://schemas.openxmlformats.org/officeDocument/2006/relationships/image" Target="media/image182.wmf"/><Relationship Id="rId2047" Type="http://schemas.openxmlformats.org/officeDocument/2006/relationships/oleObject" Target="embeddings/oleObject1011.bin"/><Relationship Id="rId6668" Type="http://schemas.openxmlformats.org/officeDocument/2006/relationships/oleObject" Target="embeddings/oleObject3321.bin"/><Relationship Id="rId7719" Type="http://schemas.openxmlformats.org/officeDocument/2006/relationships/oleObject" Target="embeddings/oleObject3844.bin"/><Relationship Id="rId8090" Type="http://schemas.openxmlformats.org/officeDocument/2006/relationships/image" Target="media/image4054.wmf"/><Relationship Id="rId9141" Type="http://schemas.openxmlformats.org/officeDocument/2006/relationships/image" Target="media/image4580.wmf"/><Relationship Id="rId13520" Type="http://schemas.openxmlformats.org/officeDocument/2006/relationships/image" Target="media/image6775.wmf"/><Relationship Id="rId11071" Type="http://schemas.openxmlformats.org/officeDocument/2006/relationships/image" Target="media/image5547.wmf"/><Relationship Id="rId12122" Type="http://schemas.openxmlformats.org/officeDocument/2006/relationships/image" Target="media/image6074.wmf"/><Relationship Id="rId500" Type="http://schemas.openxmlformats.org/officeDocument/2006/relationships/oleObject" Target="embeddings/oleObject241.bin"/><Relationship Id="rId1130" Type="http://schemas.openxmlformats.org/officeDocument/2006/relationships/oleObject" Target="embeddings/oleObject555.bin"/><Relationship Id="rId5751" Type="http://schemas.openxmlformats.org/officeDocument/2006/relationships/image" Target="media/image2886.wmf"/><Relationship Id="rId6802" Type="http://schemas.openxmlformats.org/officeDocument/2006/relationships/oleObject" Target="embeddings/oleObject3388.bin"/><Relationship Id="rId14294" Type="http://schemas.openxmlformats.org/officeDocument/2006/relationships/oleObject" Target="embeddings/oleObject7093.bin"/><Relationship Id="rId4353" Type="http://schemas.openxmlformats.org/officeDocument/2006/relationships/oleObject" Target="embeddings/oleObject2168.bin"/><Relationship Id="rId5404" Type="http://schemas.openxmlformats.org/officeDocument/2006/relationships/oleObject" Target="embeddings/oleObject2691.bin"/><Relationship Id="rId8974" Type="http://schemas.openxmlformats.org/officeDocument/2006/relationships/oleObject" Target="embeddings/oleObject4467.bin"/><Relationship Id="rId4006" Type="http://schemas.openxmlformats.org/officeDocument/2006/relationships/oleObject" Target="embeddings/oleObject1994.bin"/><Relationship Id="rId7576" Type="http://schemas.openxmlformats.org/officeDocument/2006/relationships/image" Target="media/image3797.wmf"/><Relationship Id="rId8627" Type="http://schemas.openxmlformats.org/officeDocument/2006/relationships/oleObject" Target="embeddings/oleObject4298.bin"/><Relationship Id="rId11955" Type="http://schemas.openxmlformats.org/officeDocument/2006/relationships/oleObject" Target="embeddings/oleObject5929.bin"/><Relationship Id="rId6178" Type="http://schemas.openxmlformats.org/officeDocument/2006/relationships/oleObject" Target="embeddings/oleObject3078.bin"/><Relationship Id="rId7229" Type="http://schemas.openxmlformats.org/officeDocument/2006/relationships/oleObject" Target="embeddings/oleObject3599.bin"/><Relationship Id="rId10557" Type="http://schemas.openxmlformats.org/officeDocument/2006/relationships/oleObject" Target="embeddings/oleObject5243.bin"/><Relationship Id="rId11608" Type="http://schemas.openxmlformats.org/officeDocument/2006/relationships/oleObject" Target="embeddings/oleObject5757.bin"/><Relationship Id="rId13030" Type="http://schemas.openxmlformats.org/officeDocument/2006/relationships/oleObject" Target="embeddings/oleObject6462.bin"/><Relationship Id="rId2788" Type="http://schemas.openxmlformats.org/officeDocument/2006/relationships/image" Target="media/image1404.wmf"/><Relationship Id="rId3839" Type="http://schemas.openxmlformats.org/officeDocument/2006/relationships/oleObject" Target="embeddings/oleObject1910.bin"/><Relationship Id="rId7710" Type="http://schemas.openxmlformats.org/officeDocument/2006/relationships/image" Target="media/image3864.wmf"/><Relationship Id="rId5261" Type="http://schemas.openxmlformats.org/officeDocument/2006/relationships/image" Target="media/image2641.wmf"/><Relationship Id="rId6312" Type="http://schemas.openxmlformats.org/officeDocument/2006/relationships/oleObject" Target="embeddings/oleObject3145.bin"/><Relationship Id="rId9882" Type="http://schemas.openxmlformats.org/officeDocument/2006/relationships/oleObject" Target="embeddings/oleObject4913.bin"/><Relationship Id="rId12863" Type="http://schemas.openxmlformats.org/officeDocument/2006/relationships/image" Target="media/image6446.wmf"/><Relationship Id="rId96" Type="http://schemas.openxmlformats.org/officeDocument/2006/relationships/oleObject" Target="embeddings/oleObject44.bin"/><Relationship Id="rId1871" Type="http://schemas.openxmlformats.org/officeDocument/2006/relationships/oleObject" Target="embeddings/oleObject923.bin"/><Relationship Id="rId2922" Type="http://schemas.openxmlformats.org/officeDocument/2006/relationships/oleObject" Target="embeddings/oleObject1449.bin"/><Relationship Id="rId8484" Type="http://schemas.openxmlformats.org/officeDocument/2006/relationships/image" Target="media/image4251.wmf"/><Relationship Id="rId9535" Type="http://schemas.openxmlformats.org/officeDocument/2006/relationships/oleObject" Target="embeddings/oleObject4746.bin"/><Relationship Id="rId11465" Type="http://schemas.openxmlformats.org/officeDocument/2006/relationships/image" Target="media/image5744.wmf"/><Relationship Id="rId12516" Type="http://schemas.openxmlformats.org/officeDocument/2006/relationships/oleObject" Target="embeddings/oleObject6207.bin"/><Relationship Id="rId13914" Type="http://schemas.openxmlformats.org/officeDocument/2006/relationships/oleObject" Target="embeddings/oleObject6903.bin"/><Relationship Id="rId1524" Type="http://schemas.openxmlformats.org/officeDocument/2006/relationships/image" Target="media/image767.wmf"/><Relationship Id="rId7086" Type="http://schemas.openxmlformats.org/officeDocument/2006/relationships/oleObject" Target="embeddings/oleObject3528.bin"/><Relationship Id="rId8137" Type="http://schemas.openxmlformats.org/officeDocument/2006/relationships/oleObject" Target="embeddings/oleObject4053.bin"/><Relationship Id="rId10067" Type="http://schemas.openxmlformats.org/officeDocument/2006/relationships/image" Target="media/image5042.wmf"/><Relationship Id="rId11118" Type="http://schemas.openxmlformats.org/officeDocument/2006/relationships/oleObject" Target="embeddings/oleObject5512.bin"/><Relationship Id="rId3696" Type="http://schemas.openxmlformats.org/officeDocument/2006/relationships/image" Target="media/image1859.wmf"/><Relationship Id="rId4747" Type="http://schemas.openxmlformats.org/officeDocument/2006/relationships/oleObject" Target="embeddings/oleObject2365.bin"/><Relationship Id="rId2298" Type="http://schemas.openxmlformats.org/officeDocument/2006/relationships/oleObject" Target="embeddings/oleObject1136.bin"/><Relationship Id="rId3349" Type="http://schemas.openxmlformats.org/officeDocument/2006/relationships/oleObject" Target="embeddings/oleObject1663.bin"/><Relationship Id="rId7220" Type="http://schemas.openxmlformats.org/officeDocument/2006/relationships/image" Target="media/image3619.wmf"/><Relationship Id="rId9392" Type="http://schemas.openxmlformats.org/officeDocument/2006/relationships/image" Target="media/image4705.wmf"/><Relationship Id="rId10201" Type="http://schemas.openxmlformats.org/officeDocument/2006/relationships/image" Target="media/image5109.wmf"/><Relationship Id="rId13771" Type="http://schemas.openxmlformats.org/officeDocument/2006/relationships/image" Target="media/image6900.wmf"/><Relationship Id="rId3830" Type="http://schemas.openxmlformats.org/officeDocument/2006/relationships/image" Target="media/image1926.wmf"/><Relationship Id="rId9045" Type="http://schemas.openxmlformats.org/officeDocument/2006/relationships/image" Target="media/image4532.wmf"/><Relationship Id="rId12373" Type="http://schemas.openxmlformats.org/officeDocument/2006/relationships/image" Target="media/image6201.wmf"/><Relationship Id="rId13424" Type="http://schemas.openxmlformats.org/officeDocument/2006/relationships/image" Target="media/image6727.wmf"/><Relationship Id="rId751" Type="http://schemas.openxmlformats.org/officeDocument/2006/relationships/oleObject" Target="embeddings/oleObject364.bin"/><Relationship Id="rId1381" Type="http://schemas.openxmlformats.org/officeDocument/2006/relationships/oleObject" Target="embeddings/oleObject679.bin"/><Relationship Id="rId2432" Type="http://schemas.openxmlformats.org/officeDocument/2006/relationships/image" Target="media/image1225.wmf"/><Relationship Id="rId12026" Type="http://schemas.openxmlformats.org/officeDocument/2006/relationships/image" Target="media/image6026.wmf"/><Relationship Id="rId404" Type="http://schemas.openxmlformats.org/officeDocument/2006/relationships/oleObject" Target="embeddings/oleObject196.bin"/><Relationship Id="rId1034" Type="http://schemas.openxmlformats.org/officeDocument/2006/relationships/oleObject" Target="embeddings/oleObject508.bin"/><Relationship Id="rId5655" Type="http://schemas.openxmlformats.org/officeDocument/2006/relationships/image" Target="media/image2838.wmf"/><Relationship Id="rId6706" Type="http://schemas.openxmlformats.org/officeDocument/2006/relationships/oleObject" Target="embeddings/oleObject3340.bin"/><Relationship Id="rId14198" Type="http://schemas.openxmlformats.org/officeDocument/2006/relationships/oleObject" Target="embeddings/oleObject7045.bin"/><Relationship Id="rId4257" Type="http://schemas.openxmlformats.org/officeDocument/2006/relationships/image" Target="media/image2139.wmf"/><Relationship Id="rId5308" Type="http://schemas.openxmlformats.org/officeDocument/2006/relationships/oleObject" Target="embeddings/oleObject2643.bin"/><Relationship Id="rId8878" Type="http://schemas.openxmlformats.org/officeDocument/2006/relationships/oleObject" Target="embeddings/oleObject4419.bin"/><Relationship Id="rId9929" Type="http://schemas.openxmlformats.org/officeDocument/2006/relationships/image" Target="media/image4973.png"/><Relationship Id="rId11859" Type="http://schemas.openxmlformats.org/officeDocument/2006/relationships/oleObject" Target="embeddings/oleObject5881.bin"/><Relationship Id="rId1918" Type="http://schemas.openxmlformats.org/officeDocument/2006/relationships/image" Target="media/image965.wmf"/><Relationship Id="rId13281" Type="http://schemas.openxmlformats.org/officeDocument/2006/relationships/image" Target="media/image6655.wmf"/><Relationship Id="rId14332" Type="http://schemas.openxmlformats.org/officeDocument/2006/relationships/oleObject" Target="embeddings/oleObject7112.bin"/><Relationship Id="rId261" Type="http://schemas.openxmlformats.org/officeDocument/2006/relationships/oleObject" Target="embeddings/oleObject125.bin"/><Relationship Id="rId3340" Type="http://schemas.openxmlformats.org/officeDocument/2006/relationships/image" Target="media/image1679.wmf"/><Relationship Id="rId7961" Type="http://schemas.openxmlformats.org/officeDocument/2006/relationships/oleObject" Target="embeddings/oleObject3965.bin"/><Relationship Id="rId10942" Type="http://schemas.openxmlformats.org/officeDocument/2006/relationships/image" Target="media/image5481.png"/><Relationship Id="rId6563" Type="http://schemas.openxmlformats.org/officeDocument/2006/relationships/image" Target="media/image3291.wmf"/><Relationship Id="rId7614" Type="http://schemas.openxmlformats.org/officeDocument/2006/relationships/image" Target="media/image3816.wmf"/><Relationship Id="rId5165" Type="http://schemas.openxmlformats.org/officeDocument/2006/relationships/oleObject" Target="embeddings/oleObject2572.bin"/><Relationship Id="rId6216" Type="http://schemas.openxmlformats.org/officeDocument/2006/relationships/oleObject" Target="embeddings/oleObject3097.bin"/><Relationship Id="rId9786" Type="http://schemas.openxmlformats.org/officeDocument/2006/relationships/image" Target="media/image4902.wmf"/><Relationship Id="rId1775" Type="http://schemas.openxmlformats.org/officeDocument/2006/relationships/oleObject" Target="embeddings/oleObject875.bin"/><Relationship Id="rId2826" Type="http://schemas.openxmlformats.org/officeDocument/2006/relationships/image" Target="media/image1423.wmf"/><Relationship Id="rId8388" Type="http://schemas.openxmlformats.org/officeDocument/2006/relationships/image" Target="media/image4203.wmf"/><Relationship Id="rId9439" Type="http://schemas.openxmlformats.org/officeDocument/2006/relationships/oleObject" Target="embeddings/oleObject4698.bin"/><Relationship Id="rId11369" Type="http://schemas.openxmlformats.org/officeDocument/2006/relationships/image" Target="media/image5696.wmf"/><Relationship Id="rId12767" Type="http://schemas.openxmlformats.org/officeDocument/2006/relationships/image" Target="media/image6398.wmf"/><Relationship Id="rId13818" Type="http://schemas.openxmlformats.org/officeDocument/2006/relationships/oleObject" Target="embeddings/oleObject6855.bin"/><Relationship Id="rId1428" Type="http://schemas.openxmlformats.org/officeDocument/2006/relationships/image" Target="media/image719.wmf"/><Relationship Id="rId4998" Type="http://schemas.openxmlformats.org/officeDocument/2006/relationships/image" Target="media/image2509.wmf"/><Relationship Id="rId9920" Type="http://schemas.openxmlformats.org/officeDocument/2006/relationships/oleObject" Target="embeddings/oleObject4932.bin"/><Relationship Id="rId11850" Type="http://schemas.openxmlformats.org/officeDocument/2006/relationships/image" Target="media/image5938.wmf"/><Relationship Id="rId12901" Type="http://schemas.openxmlformats.org/officeDocument/2006/relationships/image" Target="media/image6465.wmf"/><Relationship Id="rId6073" Type="http://schemas.openxmlformats.org/officeDocument/2006/relationships/image" Target="media/image3047.wmf"/><Relationship Id="rId7124" Type="http://schemas.openxmlformats.org/officeDocument/2006/relationships/image" Target="media/image3571.wmf"/><Relationship Id="rId7471" Type="http://schemas.openxmlformats.org/officeDocument/2006/relationships/oleObject" Target="embeddings/oleObject3720.bin"/><Relationship Id="rId8522" Type="http://schemas.openxmlformats.org/officeDocument/2006/relationships/image" Target="media/image4270.wmf"/><Relationship Id="rId10452" Type="http://schemas.openxmlformats.org/officeDocument/2006/relationships/image" Target="media/image5235.wmf"/><Relationship Id="rId11503" Type="http://schemas.openxmlformats.org/officeDocument/2006/relationships/image" Target="media/image5763.wmf"/><Relationship Id="rId10105" Type="http://schemas.openxmlformats.org/officeDocument/2006/relationships/image" Target="media/image5061.wmf"/><Relationship Id="rId13675" Type="http://schemas.openxmlformats.org/officeDocument/2006/relationships/oleObject" Target="embeddings/oleObject6783.bin"/><Relationship Id="rId2683" Type="http://schemas.openxmlformats.org/officeDocument/2006/relationships/oleObject" Target="embeddings/oleObject1329.bin"/><Relationship Id="rId3734" Type="http://schemas.openxmlformats.org/officeDocument/2006/relationships/image" Target="media/image1878.wmf"/><Relationship Id="rId9296" Type="http://schemas.openxmlformats.org/officeDocument/2006/relationships/image" Target="media/image4657.wmf"/><Relationship Id="rId12277" Type="http://schemas.openxmlformats.org/officeDocument/2006/relationships/oleObject" Target="embeddings/oleObject6090.bin"/><Relationship Id="rId13328" Type="http://schemas.openxmlformats.org/officeDocument/2006/relationships/oleObject" Target="embeddings/oleObject6611.bin"/><Relationship Id="rId655" Type="http://schemas.openxmlformats.org/officeDocument/2006/relationships/oleObject" Target="embeddings/oleObject316.bin"/><Relationship Id="rId1285" Type="http://schemas.openxmlformats.org/officeDocument/2006/relationships/oleObject" Target="embeddings/oleObject632.bin"/><Relationship Id="rId2336" Type="http://schemas.openxmlformats.org/officeDocument/2006/relationships/oleObject" Target="embeddings/oleObject1157.bin"/><Relationship Id="rId6957" Type="http://schemas.openxmlformats.org/officeDocument/2006/relationships/image" Target="media/image3488.wmf"/><Relationship Id="rId308" Type="http://schemas.openxmlformats.org/officeDocument/2006/relationships/image" Target="media/image153.wmf"/><Relationship Id="rId5559" Type="http://schemas.openxmlformats.org/officeDocument/2006/relationships/image" Target="media/image2790.wmf"/><Relationship Id="rId9430" Type="http://schemas.openxmlformats.org/officeDocument/2006/relationships/image" Target="media/image4724.wmf"/><Relationship Id="rId8032" Type="http://schemas.openxmlformats.org/officeDocument/2006/relationships/image" Target="media/image4025.wmf"/><Relationship Id="rId11360" Type="http://schemas.openxmlformats.org/officeDocument/2006/relationships/oleObject" Target="embeddings/oleObject5633.bin"/><Relationship Id="rId12411" Type="http://schemas.openxmlformats.org/officeDocument/2006/relationships/image" Target="media/image6220.wmf"/><Relationship Id="rId11013" Type="http://schemas.openxmlformats.org/officeDocument/2006/relationships/oleObject" Target="embeddings/oleObject5462.bin"/><Relationship Id="rId14583" Type="http://schemas.openxmlformats.org/officeDocument/2006/relationships/image" Target="media/image7306.wmf"/><Relationship Id="rId3591" Type="http://schemas.openxmlformats.org/officeDocument/2006/relationships/oleObject" Target="embeddings/oleObject1786.bin"/><Relationship Id="rId4642" Type="http://schemas.openxmlformats.org/officeDocument/2006/relationships/image" Target="media/image2331.wmf"/><Relationship Id="rId13185" Type="http://schemas.openxmlformats.org/officeDocument/2006/relationships/image" Target="media/image6607.wmf"/><Relationship Id="rId14236" Type="http://schemas.openxmlformats.org/officeDocument/2006/relationships/oleObject" Target="embeddings/oleObject7064.bin"/><Relationship Id="rId2193" Type="http://schemas.openxmlformats.org/officeDocument/2006/relationships/oleObject" Target="embeddings/oleObject1084.bin"/><Relationship Id="rId3244" Type="http://schemas.openxmlformats.org/officeDocument/2006/relationships/oleObject" Target="embeddings/oleObject1610.bin"/><Relationship Id="rId7865" Type="http://schemas.openxmlformats.org/officeDocument/2006/relationships/oleObject" Target="embeddings/oleObject3917.bin"/><Relationship Id="rId8916" Type="http://schemas.openxmlformats.org/officeDocument/2006/relationships/oleObject" Target="embeddings/oleObject4438.bin"/><Relationship Id="rId165" Type="http://schemas.openxmlformats.org/officeDocument/2006/relationships/oleObject" Target="embeddings/oleObject77.bin"/><Relationship Id="rId6467" Type="http://schemas.openxmlformats.org/officeDocument/2006/relationships/image" Target="media/image3243.wmf"/><Relationship Id="rId7518" Type="http://schemas.openxmlformats.org/officeDocument/2006/relationships/image" Target="media/image3768.wmf"/><Relationship Id="rId10846" Type="http://schemas.openxmlformats.org/officeDocument/2006/relationships/image" Target="media/image5432.wmf"/><Relationship Id="rId5069" Type="http://schemas.openxmlformats.org/officeDocument/2006/relationships/oleObject" Target="embeddings/oleObject2524.bin"/><Relationship Id="rId1679" Type="http://schemas.openxmlformats.org/officeDocument/2006/relationships/oleObject" Target="embeddings/oleObject827.bin"/><Relationship Id="rId14093" Type="http://schemas.openxmlformats.org/officeDocument/2006/relationships/image" Target="media/image7061.wmf"/><Relationship Id="rId4152" Type="http://schemas.openxmlformats.org/officeDocument/2006/relationships/oleObject" Target="embeddings/oleObject2067.bin"/><Relationship Id="rId5203" Type="http://schemas.openxmlformats.org/officeDocument/2006/relationships/oleObject" Target="embeddings/oleObject2591.bin"/><Relationship Id="rId5550" Type="http://schemas.openxmlformats.org/officeDocument/2006/relationships/oleObject" Target="embeddings/oleObject2764.bin"/><Relationship Id="rId6601" Type="http://schemas.openxmlformats.org/officeDocument/2006/relationships/image" Target="media/image3310.wmf"/><Relationship Id="rId8773" Type="http://schemas.openxmlformats.org/officeDocument/2006/relationships/image" Target="media/image4396.wmf"/><Relationship Id="rId9824" Type="http://schemas.openxmlformats.org/officeDocument/2006/relationships/image" Target="media/image4921.wmf"/><Relationship Id="rId11754" Type="http://schemas.openxmlformats.org/officeDocument/2006/relationships/image" Target="media/image5890.wmf"/><Relationship Id="rId12805" Type="http://schemas.openxmlformats.org/officeDocument/2006/relationships/image" Target="media/image6417.wmf"/><Relationship Id="rId38" Type="http://schemas.openxmlformats.org/officeDocument/2006/relationships/oleObject" Target="embeddings/oleObject15.bin"/><Relationship Id="rId1813" Type="http://schemas.openxmlformats.org/officeDocument/2006/relationships/oleObject" Target="embeddings/oleObject894.bin"/><Relationship Id="rId7375" Type="http://schemas.openxmlformats.org/officeDocument/2006/relationships/oleObject" Target="embeddings/oleObject3672.bin"/><Relationship Id="rId8426" Type="http://schemas.openxmlformats.org/officeDocument/2006/relationships/image" Target="media/image4222.wmf"/><Relationship Id="rId10356" Type="http://schemas.openxmlformats.org/officeDocument/2006/relationships/oleObject" Target="embeddings/oleObject5145.bin"/><Relationship Id="rId11407" Type="http://schemas.openxmlformats.org/officeDocument/2006/relationships/image" Target="media/image5715.wmf"/><Relationship Id="rId3985" Type="http://schemas.openxmlformats.org/officeDocument/2006/relationships/image" Target="media/image2003.wmf"/><Relationship Id="rId7028" Type="http://schemas.openxmlformats.org/officeDocument/2006/relationships/oleObject" Target="embeddings/oleObject3499.bin"/><Relationship Id="rId10009" Type="http://schemas.openxmlformats.org/officeDocument/2006/relationships/image" Target="media/image5013.wmf"/><Relationship Id="rId13579" Type="http://schemas.openxmlformats.org/officeDocument/2006/relationships/oleObject" Target="embeddings/oleObject6735.bin"/><Relationship Id="rId2587" Type="http://schemas.openxmlformats.org/officeDocument/2006/relationships/oleObject" Target="embeddings/oleObject1281.bin"/><Relationship Id="rId3638" Type="http://schemas.openxmlformats.org/officeDocument/2006/relationships/image" Target="media/image1830.wmf"/><Relationship Id="rId559" Type="http://schemas.openxmlformats.org/officeDocument/2006/relationships/oleObject" Target="embeddings/oleObject269.bin"/><Relationship Id="rId1189" Type="http://schemas.openxmlformats.org/officeDocument/2006/relationships/oleObject" Target="embeddings/oleObject585.bin"/><Relationship Id="rId5060" Type="http://schemas.openxmlformats.org/officeDocument/2006/relationships/image" Target="media/image2540.wmf"/><Relationship Id="rId6111" Type="http://schemas.openxmlformats.org/officeDocument/2006/relationships/image" Target="media/image3066.wmf"/><Relationship Id="rId9681" Type="http://schemas.microsoft.com/office/2007/relationships/hdphoto" Target="media/hdphoto23.wdp"/><Relationship Id="rId8283" Type="http://schemas.openxmlformats.org/officeDocument/2006/relationships/oleObject" Target="embeddings/oleObject4126.bin"/><Relationship Id="rId9334" Type="http://schemas.openxmlformats.org/officeDocument/2006/relationships/image" Target="media/image4676.wmf"/><Relationship Id="rId12662" Type="http://schemas.openxmlformats.org/officeDocument/2006/relationships/oleObject" Target="embeddings/oleObject6280.bin"/><Relationship Id="rId13713" Type="http://schemas.openxmlformats.org/officeDocument/2006/relationships/image" Target="media/image6871.wmf"/><Relationship Id="rId1670" Type="http://schemas.openxmlformats.org/officeDocument/2006/relationships/image" Target="media/image841.wmf"/><Relationship Id="rId2721" Type="http://schemas.openxmlformats.org/officeDocument/2006/relationships/oleObject" Target="embeddings/oleObject1348.bin"/><Relationship Id="rId11264" Type="http://schemas.openxmlformats.org/officeDocument/2006/relationships/oleObject" Target="embeddings/oleObject5585.bin"/><Relationship Id="rId12315" Type="http://schemas.openxmlformats.org/officeDocument/2006/relationships/image" Target="media/image6172.wmf"/><Relationship Id="rId1323" Type="http://schemas.openxmlformats.org/officeDocument/2006/relationships/oleObject" Target="embeddings/oleObject651.bin"/><Relationship Id="rId4893" Type="http://schemas.openxmlformats.org/officeDocument/2006/relationships/oleObject" Target="embeddings/oleObject2437.bin"/><Relationship Id="rId5944" Type="http://schemas.openxmlformats.org/officeDocument/2006/relationships/oleObject" Target="embeddings/oleObject2961.bin"/><Relationship Id="rId14487" Type="http://schemas.openxmlformats.org/officeDocument/2006/relationships/image" Target="media/image7258.wmf"/><Relationship Id="rId3495" Type="http://schemas.openxmlformats.org/officeDocument/2006/relationships/oleObject" Target="embeddings/oleObject1738.bin"/><Relationship Id="rId4546" Type="http://schemas.openxmlformats.org/officeDocument/2006/relationships/image" Target="media/image2283.wmf"/><Relationship Id="rId13089" Type="http://schemas.openxmlformats.org/officeDocument/2006/relationships/image" Target="media/image6559.wmf"/><Relationship Id="rId2097" Type="http://schemas.openxmlformats.org/officeDocument/2006/relationships/oleObject" Target="embeddings/oleObject1036.bin"/><Relationship Id="rId3148" Type="http://schemas.openxmlformats.org/officeDocument/2006/relationships/oleObject" Target="embeddings/oleObject1562.bin"/><Relationship Id="rId7769" Type="http://schemas.openxmlformats.org/officeDocument/2006/relationships/oleObject" Target="embeddings/oleObject3869.bin"/><Relationship Id="rId10000" Type="http://schemas.openxmlformats.org/officeDocument/2006/relationships/oleObject" Target="embeddings/oleObject4969.bin"/><Relationship Id="rId9191" Type="http://schemas.openxmlformats.org/officeDocument/2006/relationships/oleObject" Target="embeddings/oleObject4576.bin"/><Relationship Id="rId12172" Type="http://schemas.openxmlformats.org/officeDocument/2006/relationships/image" Target="media/image6099.wmf"/><Relationship Id="rId13570" Type="http://schemas.openxmlformats.org/officeDocument/2006/relationships/image" Target="media/image6800.wmf"/><Relationship Id="rId550" Type="http://schemas.openxmlformats.org/officeDocument/2006/relationships/image" Target="media/image276.wmf"/><Relationship Id="rId1180" Type="http://schemas.openxmlformats.org/officeDocument/2006/relationships/oleObject" Target="embeddings/oleObject580.bin"/><Relationship Id="rId2231" Type="http://schemas.openxmlformats.org/officeDocument/2006/relationships/oleObject" Target="embeddings/oleObject1103.bin"/><Relationship Id="rId13223" Type="http://schemas.openxmlformats.org/officeDocument/2006/relationships/image" Target="media/image6626.wmf"/><Relationship Id="rId203" Type="http://schemas.openxmlformats.org/officeDocument/2006/relationships/oleObject" Target="embeddings/oleObject96.bin"/><Relationship Id="rId6852" Type="http://schemas.openxmlformats.org/officeDocument/2006/relationships/oleObject" Target="embeddings/oleObject3411.bin"/><Relationship Id="rId7903" Type="http://schemas.openxmlformats.org/officeDocument/2006/relationships/oleObject" Target="embeddings/oleObject3936.bin"/><Relationship Id="rId4056" Type="http://schemas.openxmlformats.org/officeDocument/2006/relationships/oleObject" Target="embeddings/oleObject2019.bin"/><Relationship Id="rId5454" Type="http://schemas.openxmlformats.org/officeDocument/2006/relationships/oleObject" Target="embeddings/oleObject2716.bin"/><Relationship Id="rId6505" Type="http://schemas.openxmlformats.org/officeDocument/2006/relationships/image" Target="media/image3262.wmf"/><Relationship Id="rId5107" Type="http://schemas.openxmlformats.org/officeDocument/2006/relationships/oleObject" Target="embeddings/oleObject2543.bin"/><Relationship Id="rId8677" Type="http://schemas.openxmlformats.org/officeDocument/2006/relationships/image" Target="media/image4348.wmf"/><Relationship Id="rId9728" Type="http://schemas.openxmlformats.org/officeDocument/2006/relationships/image" Target="media/image4873.wmf"/><Relationship Id="rId11658" Type="http://schemas.openxmlformats.org/officeDocument/2006/relationships/oleObject" Target="embeddings/oleObject5782.bin"/><Relationship Id="rId1717" Type="http://schemas.openxmlformats.org/officeDocument/2006/relationships/oleObject" Target="embeddings/oleObject846.bin"/><Relationship Id="rId7279" Type="http://schemas.openxmlformats.org/officeDocument/2006/relationships/oleObject" Target="embeddings/oleObject3624.bin"/><Relationship Id="rId12709" Type="http://schemas.openxmlformats.org/officeDocument/2006/relationships/image" Target="media/image6369.wmf"/><Relationship Id="rId13080" Type="http://schemas.openxmlformats.org/officeDocument/2006/relationships/oleObject" Target="embeddings/oleObject6487.bin"/><Relationship Id="rId14131" Type="http://schemas.openxmlformats.org/officeDocument/2006/relationships/image" Target="media/image7080.wmf"/><Relationship Id="rId3889" Type="http://schemas.openxmlformats.org/officeDocument/2006/relationships/oleObject" Target="embeddings/oleObject1935.bin"/><Relationship Id="rId6362" Type="http://schemas.openxmlformats.org/officeDocument/2006/relationships/oleObject" Target="embeddings/oleObject3171.bin"/><Relationship Id="rId7413" Type="http://schemas.openxmlformats.org/officeDocument/2006/relationships/oleObject" Target="embeddings/oleObject3691.bin"/><Relationship Id="rId7760" Type="http://schemas.openxmlformats.org/officeDocument/2006/relationships/image" Target="media/image3889.wmf"/><Relationship Id="rId8811" Type="http://schemas.openxmlformats.org/officeDocument/2006/relationships/image" Target="media/image4415.wmf"/><Relationship Id="rId10741" Type="http://schemas.openxmlformats.org/officeDocument/2006/relationships/oleObject" Target="embeddings/oleObject5333.bin"/><Relationship Id="rId6015" Type="http://schemas.openxmlformats.org/officeDocument/2006/relationships/image" Target="media/image3018.wmf"/><Relationship Id="rId13964" Type="http://schemas.openxmlformats.org/officeDocument/2006/relationships/oleObject" Target="embeddings/oleObject6928.bin"/><Relationship Id="rId2972" Type="http://schemas.openxmlformats.org/officeDocument/2006/relationships/oleObject" Target="embeddings/oleObject1474.bin"/><Relationship Id="rId8187" Type="http://schemas.openxmlformats.org/officeDocument/2006/relationships/oleObject" Target="embeddings/oleObject4078.bin"/><Relationship Id="rId9585" Type="http://schemas.openxmlformats.org/officeDocument/2006/relationships/oleObject" Target="embeddings/oleObject4771.bin"/><Relationship Id="rId12566" Type="http://schemas.openxmlformats.org/officeDocument/2006/relationships/oleObject" Target="embeddings/oleObject6232.bin"/><Relationship Id="rId13617" Type="http://schemas.openxmlformats.org/officeDocument/2006/relationships/oleObject" Target="embeddings/oleObject6754.bin"/><Relationship Id="rId944" Type="http://schemas.openxmlformats.org/officeDocument/2006/relationships/oleObject" Target="embeddings/oleObject463.bin"/><Relationship Id="rId1574" Type="http://schemas.openxmlformats.org/officeDocument/2006/relationships/image" Target="media/image793.wmf"/><Relationship Id="rId2625" Type="http://schemas.openxmlformats.org/officeDocument/2006/relationships/oleObject" Target="embeddings/oleObject1300.bin"/><Relationship Id="rId9238" Type="http://schemas.openxmlformats.org/officeDocument/2006/relationships/image" Target="media/image4628.wmf"/><Relationship Id="rId11168" Type="http://schemas.openxmlformats.org/officeDocument/2006/relationships/oleObject" Target="embeddings/oleObject5537.bin"/><Relationship Id="rId12219" Type="http://schemas.openxmlformats.org/officeDocument/2006/relationships/oleObject" Target="embeddings/oleObject6061.bin"/><Relationship Id="rId1227" Type="http://schemas.openxmlformats.org/officeDocument/2006/relationships/oleObject" Target="embeddings/oleObject604.bin"/><Relationship Id="rId4797" Type="http://schemas.openxmlformats.org/officeDocument/2006/relationships/oleObject" Target="embeddings/oleObject2390.bin"/><Relationship Id="rId5848" Type="http://schemas.openxmlformats.org/officeDocument/2006/relationships/oleObject" Target="embeddings/oleObject2913.bin"/><Relationship Id="rId3399" Type="http://schemas.openxmlformats.org/officeDocument/2006/relationships/oleObject" Target="embeddings/oleObject1689.bin"/><Relationship Id="rId7270" Type="http://schemas.openxmlformats.org/officeDocument/2006/relationships/image" Target="media/image3644.wmf"/><Relationship Id="rId8321" Type="http://schemas.openxmlformats.org/officeDocument/2006/relationships/oleObject" Target="embeddings/oleObject4145.bin"/><Relationship Id="rId10251" Type="http://schemas.openxmlformats.org/officeDocument/2006/relationships/image" Target="media/image5134.wmf"/><Relationship Id="rId12700" Type="http://schemas.openxmlformats.org/officeDocument/2006/relationships/oleObject" Target="embeddings/oleObject6299.bin"/><Relationship Id="rId11302" Type="http://schemas.openxmlformats.org/officeDocument/2006/relationships/oleObject" Target="embeddings/oleObject5604.bin"/><Relationship Id="rId3880" Type="http://schemas.openxmlformats.org/officeDocument/2006/relationships/image" Target="media/image1951.wmf"/><Relationship Id="rId4931" Type="http://schemas.openxmlformats.org/officeDocument/2006/relationships/oleObject" Target="embeddings/oleObject2456.bin"/><Relationship Id="rId9095" Type="http://schemas.openxmlformats.org/officeDocument/2006/relationships/image" Target="media/image4557.wmf"/><Relationship Id="rId13474" Type="http://schemas.openxmlformats.org/officeDocument/2006/relationships/image" Target="media/image6752.wmf"/><Relationship Id="rId14525" Type="http://schemas.openxmlformats.org/officeDocument/2006/relationships/image" Target="media/image7277.wmf"/><Relationship Id="rId1084" Type="http://schemas.openxmlformats.org/officeDocument/2006/relationships/oleObject" Target="embeddings/oleObject532.bin"/><Relationship Id="rId2482" Type="http://schemas.openxmlformats.org/officeDocument/2006/relationships/image" Target="media/image1251.wmf"/><Relationship Id="rId3533" Type="http://schemas.openxmlformats.org/officeDocument/2006/relationships/oleObject" Target="embeddings/oleObject1757.bin"/><Relationship Id="rId12076" Type="http://schemas.openxmlformats.org/officeDocument/2006/relationships/image" Target="media/image6051.wmf"/><Relationship Id="rId13127" Type="http://schemas.openxmlformats.org/officeDocument/2006/relationships/image" Target="media/image6578.wmf"/><Relationship Id="rId107" Type="http://schemas.openxmlformats.org/officeDocument/2006/relationships/image" Target="media/image51.wmf"/><Relationship Id="rId454" Type="http://schemas.openxmlformats.org/officeDocument/2006/relationships/oleObject" Target="embeddings/oleObject218.bin"/><Relationship Id="rId2135" Type="http://schemas.openxmlformats.org/officeDocument/2006/relationships/oleObject" Target="embeddings/oleObject1055.bin"/><Relationship Id="rId6756" Type="http://schemas.openxmlformats.org/officeDocument/2006/relationships/oleObject" Target="embeddings/oleObject3365.bin"/><Relationship Id="rId7807" Type="http://schemas.openxmlformats.org/officeDocument/2006/relationships/oleObject" Target="embeddings/oleObject3888.bin"/><Relationship Id="rId5358" Type="http://schemas.openxmlformats.org/officeDocument/2006/relationships/oleObject" Target="embeddings/oleObject2668.bin"/><Relationship Id="rId6409" Type="http://schemas.openxmlformats.org/officeDocument/2006/relationships/image" Target="media/image3214.wmf"/><Relationship Id="rId9979" Type="http://schemas.openxmlformats.org/officeDocument/2006/relationships/image" Target="media/image4998.wmf"/><Relationship Id="rId12210" Type="http://schemas.openxmlformats.org/officeDocument/2006/relationships/image" Target="media/image6118.wmf"/><Relationship Id="rId1968" Type="http://schemas.openxmlformats.org/officeDocument/2006/relationships/image" Target="media/image990.wmf"/><Relationship Id="rId14382" Type="http://schemas.openxmlformats.org/officeDocument/2006/relationships/oleObject" Target="embeddings/oleObject7135.bin"/><Relationship Id="rId3390" Type="http://schemas.openxmlformats.org/officeDocument/2006/relationships/image" Target="media/image1705.wmf"/><Relationship Id="rId4441" Type="http://schemas.openxmlformats.org/officeDocument/2006/relationships/oleObject" Target="embeddings/oleObject2212.bin"/><Relationship Id="rId14035" Type="http://schemas.openxmlformats.org/officeDocument/2006/relationships/image" Target="media/image7032.wmf"/><Relationship Id="rId3043" Type="http://schemas.openxmlformats.org/officeDocument/2006/relationships/image" Target="media/image1531.wmf"/><Relationship Id="rId10992" Type="http://schemas.openxmlformats.org/officeDocument/2006/relationships/image" Target="media/image5506.wmf"/><Relationship Id="rId6266" Type="http://schemas.openxmlformats.org/officeDocument/2006/relationships/oleObject" Target="embeddings/oleObject3122.bin"/><Relationship Id="rId7664" Type="http://schemas.openxmlformats.org/officeDocument/2006/relationships/image" Target="media/image3841.wmf"/><Relationship Id="rId8715" Type="http://schemas.openxmlformats.org/officeDocument/2006/relationships/image" Target="media/image4367.wmf"/><Relationship Id="rId10645" Type="http://schemas.openxmlformats.org/officeDocument/2006/relationships/oleObject" Target="embeddings/oleObject5287.bin"/><Relationship Id="rId7317" Type="http://schemas.openxmlformats.org/officeDocument/2006/relationships/oleObject" Target="embeddings/oleObject3643.bin"/><Relationship Id="rId13868" Type="http://schemas.openxmlformats.org/officeDocument/2006/relationships/oleObject" Target="embeddings/oleObject6880.bin"/><Relationship Id="rId2876" Type="http://schemas.openxmlformats.org/officeDocument/2006/relationships/oleObject" Target="embeddings/oleObject1426.bin"/><Relationship Id="rId3927" Type="http://schemas.openxmlformats.org/officeDocument/2006/relationships/oleObject" Target="embeddings/oleObject1954.bin"/><Relationship Id="rId9489" Type="http://schemas.openxmlformats.org/officeDocument/2006/relationships/oleObject" Target="embeddings/oleObject4723.bin"/><Relationship Id="rId848" Type="http://schemas.openxmlformats.org/officeDocument/2006/relationships/image" Target="media/image429.wmf"/><Relationship Id="rId1478" Type="http://schemas.openxmlformats.org/officeDocument/2006/relationships/image" Target="media/image744.wmf"/><Relationship Id="rId2529" Type="http://schemas.openxmlformats.org/officeDocument/2006/relationships/oleObject" Target="embeddings/oleObject1252.bin"/><Relationship Id="rId6400" Type="http://schemas.openxmlformats.org/officeDocument/2006/relationships/oleObject" Target="embeddings/oleObject3190.bin"/><Relationship Id="rId9970" Type="http://schemas.openxmlformats.org/officeDocument/2006/relationships/oleObject" Target="embeddings/oleObject4955.bin"/><Relationship Id="rId5002" Type="http://schemas.openxmlformats.org/officeDocument/2006/relationships/image" Target="media/image2511.wmf"/><Relationship Id="rId8572" Type="http://schemas.openxmlformats.org/officeDocument/2006/relationships/image" Target="media/image4295.wmf"/><Relationship Id="rId9623" Type="http://schemas.openxmlformats.org/officeDocument/2006/relationships/oleObject" Target="embeddings/oleObject4790.bin"/><Relationship Id="rId12951" Type="http://schemas.openxmlformats.org/officeDocument/2006/relationships/image" Target="media/image6490.wmf"/><Relationship Id="rId7174" Type="http://schemas.openxmlformats.org/officeDocument/2006/relationships/image" Target="media/image3596.wmf"/><Relationship Id="rId8225" Type="http://schemas.openxmlformats.org/officeDocument/2006/relationships/oleObject" Target="embeddings/oleObject4097.bin"/><Relationship Id="rId11553" Type="http://schemas.openxmlformats.org/officeDocument/2006/relationships/image" Target="media/image5788.wmf"/><Relationship Id="rId12604" Type="http://schemas.openxmlformats.org/officeDocument/2006/relationships/oleObject" Target="embeddings/oleObject6251.bin"/><Relationship Id="rId1612" Type="http://schemas.openxmlformats.org/officeDocument/2006/relationships/image" Target="media/image812.wmf"/><Relationship Id="rId10155" Type="http://schemas.openxmlformats.org/officeDocument/2006/relationships/image" Target="media/image5086.wmf"/><Relationship Id="rId11206" Type="http://schemas.openxmlformats.org/officeDocument/2006/relationships/oleObject" Target="embeddings/oleObject5556.bin"/><Relationship Id="rId3784" Type="http://schemas.openxmlformats.org/officeDocument/2006/relationships/image" Target="media/image1903.wmf"/><Relationship Id="rId4835" Type="http://schemas.openxmlformats.org/officeDocument/2006/relationships/oleObject" Target="embeddings/oleObject2408.bin"/><Relationship Id="rId13378" Type="http://schemas.openxmlformats.org/officeDocument/2006/relationships/image" Target="media/image6704.wmf"/><Relationship Id="rId14429" Type="http://schemas.openxmlformats.org/officeDocument/2006/relationships/image" Target="media/image7229.png"/><Relationship Id="rId2386" Type="http://schemas.openxmlformats.org/officeDocument/2006/relationships/oleObject" Target="embeddings/oleObject1182.bin"/><Relationship Id="rId3437" Type="http://schemas.openxmlformats.org/officeDocument/2006/relationships/oleObject" Target="embeddings/oleObject1709.bin"/><Relationship Id="rId358" Type="http://schemas.openxmlformats.org/officeDocument/2006/relationships/image" Target="media/image178.wmf"/><Relationship Id="rId2039" Type="http://schemas.openxmlformats.org/officeDocument/2006/relationships/oleObject" Target="embeddings/oleObject1007.bin"/><Relationship Id="rId9480" Type="http://schemas.openxmlformats.org/officeDocument/2006/relationships/image" Target="media/image4749.wmf"/><Relationship Id="rId12461" Type="http://schemas.openxmlformats.org/officeDocument/2006/relationships/image" Target="media/image6245.wmf"/><Relationship Id="rId2520" Type="http://schemas.openxmlformats.org/officeDocument/2006/relationships/image" Target="media/image1270.wmf"/><Relationship Id="rId8082" Type="http://schemas.openxmlformats.org/officeDocument/2006/relationships/image" Target="media/image4050.wmf"/><Relationship Id="rId9133" Type="http://schemas.openxmlformats.org/officeDocument/2006/relationships/image" Target="media/image4576.wmf"/><Relationship Id="rId11063" Type="http://schemas.openxmlformats.org/officeDocument/2006/relationships/image" Target="media/image5542.png"/><Relationship Id="rId12114" Type="http://schemas.openxmlformats.org/officeDocument/2006/relationships/image" Target="media/image6070.wmf"/><Relationship Id="rId13512" Type="http://schemas.openxmlformats.org/officeDocument/2006/relationships/image" Target="media/image6771.wmf"/><Relationship Id="rId1122" Type="http://schemas.openxmlformats.org/officeDocument/2006/relationships/oleObject" Target="embeddings/oleObject551.bin"/><Relationship Id="rId3294" Type="http://schemas.openxmlformats.org/officeDocument/2006/relationships/image" Target="media/image1656.wmf"/><Relationship Id="rId4345" Type="http://schemas.openxmlformats.org/officeDocument/2006/relationships/oleObject" Target="embeddings/oleObject2164.bin"/><Relationship Id="rId4692" Type="http://schemas.openxmlformats.org/officeDocument/2006/relationships/image" Target="media/image2356.wmf"/><Relationship Id="rId5743" Type="http://schemas.openxmlformats.org/officeDocument/2006/relationships/image" Target="media/image2882.wmf"/><Relationship Id="rId14286" Type="http://schemas.openxmlformats.org/officeDocument/2006/relationships/oleObject" Target="embeddings/oleObject7089.bin"/><Relationship Id="rId8966" Type="http://schemas.openxmlformats.org/officeDocument/2006/relationships/oleObject" Target="embeddings/oleObject4463.bin"/><Relationship Id="rId10896" Type="http://schemas.openxmlformats.org/officeDocument/2006/relationships/image" Target="media/image5457.wmf"/><Relationship Id="rId11947" Type="http://schemas.openxmlformats.org/officeDocument/2006/relationships/oleObject" Target="embeddings/oleObject5925.bin"/><Relationship Id="rId7568" Type="http://schemas.openxmlformats.org/officeDocument/2006/relationships/image" Target="media/image3793.wmf"/><Relationship Id="rId8619" Type="http://schemas.openxmlformats.org/officeDocument/2006/relationships/oleObject" Target="embeddings/oleObject4294.bin"/><Relationship Id="rId10549" Type="http://schemas.openxmlformats.org/officeDocument/2006/relationships/oleObject" Target="embeddings/oleObject5239.bin"/><Relationship Id="rId14420" Type="http://schemas.openxmlformats.org/officeDocument/2006/relationships/oleObject" Target="embeddings/oleObject7154.bin"/><Relationship Id="rId13022" Type="http://schemas.microsoft.com/office/2007/relationships/hdphoto" Target="media/hdphoto47.wdp"/><Relationship Id="rId2030" Type="http://schemas.openxmlformats.org/officeDocument/2006/relationships/image" Target="media/image1021.wmf"/><Relationship Id="rId6651" Type="http://schemas.openxmlformats.org/officeDocument/2006/relationships/image" Target="media/image3335.wmf"/><Relationship Id="rId7702" Type="http://schemas.openxmlformats.org/officeDocument/2006/relationships/image" Target="media/image3860.wmf"/><Relationship Id="rId5253" Type="http://schemas.openxmlformats.org/officeDocument/2006/relationships/image" Target="media/image2637.wmf"/><Relationship Id="rId6304" Type="http://schemas.openxmlformats.org/officeDocument/2006/relationships/oleObject" Target="embeddings/oleObject3141.bin"/><Relationship Id="rId8476" Type="http://schemas.openxmlformats.org/officeDocument/2006/relationships/image" Target="media/image4247.wmf"/><Relationship Id="rId9874" Type="http://schemas.openxmlformats.org/officeDocument/2006/relationships/oleObject" Target="embeddings/oleObject4909.bin"/><Relationship Id="rId12855" Type="http://schemas.openxmlformats.org/officeDocument/2006/relationships/image" Target="media/image6442.wmf"/><Relationship Id="rId13906" Type="http://schemas.openxmlformats.org/officeDocument/2006/relationships/oleObject" Target="embeddings/oleObject6899.bin"/><Relationship Id="rId88" Type="http://schemas.openxmlformats.org/officeDocument/2006/relationships/oleObject" Target="embeddings/oleObject40.bin"/><Relationship Id="rId1863" Type="http://schemas.openxmlformats.org/officeDocument/2006/relationships/oleObject" Target="embeddings/oleObject919.bin"/><Relationship Id="rId2914" Type="http://schemas.openxmlformats.org/officeDocument/2006/relationships/oleObject" Target="embeddings/oleObject1445.bin"/><Relationship Id="rId7078" Type="http://schemas.openxmlformats.org/officeDocument/2006/relationships/oleObject" Target="embeddings/oleObject3524.bin"/><Relationship Id="rId8129" Type="http://schemas.openxmlformats.org/officeDocument/2006/relationships/oleObject" Target="embeddings/oleObject4049.bin"/><Relationship Id="rId9527" Type="http://schemas.openxmlformats.org/officeDocument/2006/relationships/oleObject" Target="embeddings/oleObject4742.bin"/><Relationship Id="rId11457" Type="http://schemas.openxmlformats.org/officeDocument/2006/relationships/image" Target="media/image5740.wmf"/><Relationship Id="rId12508" Type="http://schemas.openxmlformats.org/officeDocument/2006/relationships/oleObject" Target="embeddings/oleObject6203.bin"/><Relationship Id="rId1516" Type="http://schemas.openxmlformats.org/officeDocument/2006/relationships/image" Target="media/image763.wmf"/><Relationship Id="rId10059" Type="http://schemas.openxmlformats.org/officeDocument/2006/relationships/image" Target="media/image5038.wmf"/><Relationship Id="rId3688" Type="http://schemas.openxmlformats.org/officeDocument/2006/relationships/image" Target="media/image1855.wmf"/><Relationship Id="rId4739" Type="http://schemas.openxmlformats.org/officeDocument/2006/relationships/oleObject" Target="embeddings/oleObject2361.bin"/><Relationship Id="rId8610" Type="http://schemas.openxmlformats.org/officeDocument/2006/relationships/image" Target="media/image4314.wmf"/><Relationship Id="rId10540" Type="http://schemas.openxmlformats.org/officeDocument/2006/relationships/image" Target="media/image5279.wmf"/><Relationship Id="rId6161" Type="http://schemas.openxmlformats.org/officeDocument/2006/relationships/image" Target="media/image3091.wmf"/><Relationship Id="rId7212" Type="http://schemas.openxmlformats.org/officeDocument/2006/relationships/image" Target="media/image3615.wmf"/><Relationship Id="rId9384" Type="http://schemas.openxmlformats.org/officeDocument/2006/relationships/image" Target="media/image4701.wmf"/><Relationship Id="rId13763" Type="http://schemas.openxmlformats.org/officeDocument/2006/relationships/image" Target="media/image6896.wmf"/><Relationship Id="rId1373" Type="http://schemas.openxmlformats.org/officeDocument/2006/relationships/oleObject" Target="embeddings/oleObject676.bin"/><Relationship Id="rId2771" Type="http://schemas.openxmlformats.org/officeDocument/2006/relationships/oleObject" Target="embeddings/oleObject1373.bin"/><Relationship Id="rId3822" Type="http://schemas.openxmlformats.org/officeDocument/2006/relationships/image" Target="media/image1922.wmf"/><Relationship Id="rId9037" Type="http://schemas.openxmlformats.org/officeDocument/2006/relationships/image" Target="media/image4528.wmf"/><Relationship Id="rId12365" Type="http://schemas.openxmlformats.org/officeDocument/2006/relationships/image" Target="media/image6197.wmf"/><Relationship Id="rId13416" Type="http://schemas.openxmlformats.org/officeDocument/2006/relationships/image" Target="media/image6723.wmf"/><Relationship Id="rId743" Type="http://schemas.openxmlformats.org/officeDocument/2006/relationships/oleObject" Target="embeddings/oleObject360.bin"/><Relationship Id="rId1026" Type="http://schemas.openxmlformats.org/officeDocument/2006/relationships/oleObject" Target="embeddings/oleObject504.bin"/><Relationship Id="rId2424" Type="http://schemas.openxmlformats.org/officeDocument/2006/relationships/oleObject" Target="embeddings/oleObject1201.bin"/><Relationship Id="rId5994" Type="http://schemas.openxmlformats.org/officeDocument/2006/relationships/oleObject" Target="embeddings/oleObject2986.bin"/><Relationship Id="rId12018" Type="http://schemas.openxmlformats.org/officeDocument/2006/relationships/image" Target="media/image6022.wmf"/><Relationship Id="rId4596" Type="http://schemas.openxmlformats.org/officeDocument/2006/relationships/image" Target="media/image2308.wmf"/><Relationship Id="rId5647" Type="http://schemas.openxmlformats.org/officeDocument/2006/relationships/image" Target="media/image2834.wmf"/><Relationship Id="rId3198" Type="http://schemas.openxmlformats.org/officeDocument/2006/relationships/oleObject" Target="embeddings/oleObject1587.bin"/><Relationship Id="rId4249" Type="http://schemas.openxmlformats.org/officeDocument/2006/relationships/image" Target="media/image2135.wmf"/><Relationship Id="rId8120" Type="http://schemas.openxmlformats.org/officeDocument/2006/relationships/image" Target="media/image4069.wmf"/><Relationship Id="rId10050" Type="http://schemas.openxmlformats.org/officeDocument/2006/relationships/oleObject" Target="embeddings/oleObject4994.bin"/><Relationship Id="rId11101" Type="http://schemas.openxmlformats.org/officeDocument/2006/relationships/image" Target="media/image5562.wmf"/><Relationship Id="rId4730" Type="http://schemas.openxmlformats.org/officeDocument/2006/relationships/image" Target="media/image2375.wmf"/><Relationship Id="rId13273" Type="http://schemas.openxmlformats.org/officeDocument/2006/relationships/image" Target="media/image6651.wmf"/><Relationship Id="rId14324" Type="http://schemas.openxmlformats.org/officeDocument/2006/relationships/oleObject" Target="embeddings/oleObject7108.bin"/><Relationship Id="rId2281" Type="http://schemas.openxmlformats.org/officeDocument/2006/relationships/image" Target="media/image1147.wmf"/><Relationship Id="rId3332" Type="http://schemas.openxmlformats.org/officeDocument/2006/relationships/image" Target="media/image1675.wmf"/><Relationship Id="rId253" Type="http://schemas.openxmlformats.org/officeDocument/2006/relationships/oleObject" Target="embeddings/oleObject121.bin"/><Relationship Id="rId6555" Type="http://schemas.openxmlformats.org/officeDocument/2006/relationships/image" Target="media/image3287.wmf"/><Relationship Id="rId7953" Type="http://schemas.openxmlformats.org/officeDocument/2006/relationships/oleObject" Target="embeddings/oleObject3961.bin"/><Relationship Id="rId10934" Type="http://schemas.openxmlformats.org/officeDocument/2006/relationships/image" Target="media/image5476.wmf"/><Relationship Id="rId5157" Type="http://schemas.openxmlformats.org/officeDocument/2006/relationships/oleObject" Target="embeddings/oleObject2568.bin"/><Relationship Id="rId6208" Type="http://schemas.openxmlformats.org/officeDocument/2006/relationships/oleObject" Target="embeddings/oleObject3093.bin"/><Relationship Id="rId7606" Type="http://schemas.openxmlformats.org/officeDocument/2006/relationships/image" Target="media/image3812.wmf"/><Relationship Id="rId9778" Type="http://schemas.openxmlformats.org/officeDocument/2006/relationships/image" Target="media/image4898.wmf"/><Relationship Id="rId12759" Type="http://schemas.openxmlformats.org/officeDocument/2006/relationships/image" Target="media/image6394.wmf"/><Relationship Id="rId1767" Type="http://schemas.openxmlformats.org/officeDocument/2006/relationships/oleObject" Target="embeddings/oleObject871.bin"/><Relationship Id="rId2818" Type="http://schemas.openxmlformats.org/officeDocument/2006/relationships/image" Target="media/image1419.wmf"/><Relationship Id="rId14181" Type="http://schemas.openxmlformats.org/officeDocument/2006/relationships/image" Target="media/image7105.wmf"/><Relationship Id="rId4240" Type="http://schemas.openxmlformats.org/officeDocument/2006/relationships/oleObject" Target="embeddings/oleObject2111.bin"/><Relationship Id="rId8861" Type="http://schemas.openxmlformats.org/officeDocument/2006/relationships/image" Target="media/image4440.wmf"/><Relationship Id="rId9912" Type="http://schemas.openxmlformats.org/officeDocument/2006/relationships/oleObject" Target="embeddings/oleObject4928.bin"/><Relationship Id="rId7463" Type="http://schemas.openxmlformats.org/officeDocument/2006/relationships/oleObject" Target="embeddings/oleObject3716.bin"/><Relationship Id="rId8514" Type="http://schemas.openxmlformats.org/officeDocument/2006/relationships/image" Target="media/image4266.wmf"/><Relationship Id="rId10791" Type="http://schemas.openxmlformats.org/officeDocument/2006/relationships/oleObject" Target="embeddings/oleObject5358.bin"/><Relationship Id="rId11842" Type="http://schemas.openxmlformats.org/officeDocument/2006/relationships/image" Target="media/image5934.wmf"/><Relationship Id="rId1901" Type="http://schemas.openxmlformats.org/officeDocument/2006/relationships/oleObject" Target="embeddings/oleObject938.bin"/><Relationship Id="rId6065" Type="http://schemas.openxmlformats.org/officeDocument/2006/relationships/image" Target="media/image3043.wmf"/><Relationship Id="rId7116" Type="http://schemas.openxmlformats.org/officeDocument/2006/relationships/oleObject" Target="embeddings/oleObject3543.bin"/><Relationship Id="rId10444" Type="http://schemas.openxmlformats.org/officeDocument/2006/relationships/image" Target="media/image5231.wmf"/><Relationship Id="rId9288" Type="http://schemas.openxmlformats.org/officeDocument/2006/relationships/image" Target="media/image4653.wmf"/><Relationship Id="rId13667" Type="http://schemas.openxmlformats.org/officeDocument/2006/relationships/oleObject" Target="embeddings/oleObject6779.bin"/><Relationship Id="rId994" Type="http://schemas.openxmlformats.org/officeDocument/2006/relationships/oleObject" Target="embeddings/oleObject488.bin"/><Relationship Id="rId2675" Type="http://schemas.openxmlformats.org/officeDocument/2006/relationships/oleObject" Target="embeddings/oleObject1325.bin"/><Relationship Id="rId3726" Type="http://schemas.openxmlformats.org/officeDocument/2006/relationships/image" Target="media/image1874.wmf"/><Relationship Id="rId12269" Type="http://schemas.openxmlformats.org/officeDocument/2006/relationships/oleObject" Target="embeddings/oleObject6086.bin"/><Relationship Id="rId647" Type="http://schemas.openxmlformats.org/officeDocument/2006/relationships/oleObject" Target="embeddings/oleObject313.bin"/><Relationship Id="rId1277" Type="http://schemas.openxmlformats.org/officeDocument/2006/relationships/oleObject" Target="embeddings/oleObject628.bin"/><Relationship Id="rId2328" Type="http://schemas.openxmlformats.org/officeDocument/2006/relationships/oleObject" Target="embeddings/oleObject1153.bin"/><Relationship Id="rId5898" Type="http://schemas.openxmlformats.org/officeDocument/2006/relationships/oleObject" Target="embeddings/oleObject2938.bin"/><Relationship Id="rId6949" Type="http://schemas.openxmlformats.org/officeDocument/2006/relationships/image" Target="media/image3484.wmf"/><Relationship Id="rId12750" Type="http://schemas.openxmlformats.org/officeDocument/2006/relationships/oleObject" Target="embeddings/oleObject6324.bin"/><Relationship Id="rId8371" Type="http://schemas.openxmlformats.org/officeDocument/2006/relationships/oleObject" Target="embeddings/oleObject4170.bin"/><Relationship Id="rId9422" Type="http://schemas.openxmlformats.org/officeDocument/2006/relationships/image" Target="media/image4720.wmf"/><Relationship Id="rId11352" Type="http://schemas.openxmlformats.org/officeDocument/2006/relationships/oleObject" Target="embeddings/oleObject5629.bin"/><Relationship Id="rId12403" Type="http://schemas.openxmlformats.org/officeDocument/2006/relationships/image" Target="media/image6216.wmf"/><Relationship Id="rId13801" Type="http://schemas.openxmlformats.org/officeDocument/2006/relationships/image" Target="media/image6915.wmf"/><Relationship Id="rId1411" Type="http://schemas.openxmlformats.org/officeDocument/2006/relationships/oleObject" Target="embeddings/oleObject694.bin"/><Relationship Id="rId8024" Type="http://schemas.openxmlformats.org/officeDocument/2006/relationships/image" Target="media/image4021.wmf"/><Relationship Id="rId11005" Type="http://schemas.openxmlformats.org/officeDocument/2006/relationships/oleObject" Target="embeddings/oleObject5458.bin"/><Relationship Id="rId3583" Type="http://schemas.openxmlformats.org/officeDocument/2006/relationships/oleObject" Target="embeddings/oleObject1782.bin"/><Relationship Id="rId4981" Type="http://schemas.openxmlformats.org/officeDocument/2006/relationships/oleObject" Target="embeddings/oleObject2480.bin"/><Relationship Id="rId13177" Type="http://schemas.openxmlformats.org/officeDocument/2006/relationships/image" Target="media/image6603.wmf"/><Relationship Id="rId14575" Type="http://schemas.openxmlformats.org/officeDocument/2006/relationships/image" Target="media/image7302.wmf"/><Relationship Id="rId2185" Type="http://schemas.openxmlformats.org/officeDocument/2006/relationships/oleObject" Target="embeddings/oleObject1080.bin"/><Relationship Id="rId3236" Type="http://schemas.openxmlformats.org/officeDocument/2006/relationships/oleObject" Target="embeddings/oleObject1606.bin"/><Relationship Id="rId4634" Type="http://schemas.openxmlformats.org/officeDocument/2006/relationships/image" Target="media/image2327.wmf"/><Relationship Id="rId14228" Type="http://schemas.openxmlformats.org/officeDocument/2006/relationships/oleObject" Target="embeddings/oleObject7060.bin"/><Relationship Id="rId157" Type="http://schemas.openxmlformats.org/officeDocument/2006/relationships/oleObject" Target="embeddings/oleObject73.bin"/><Relationship Id="rId7857" Type="http://schemas.openxmlformats.org/officeDocument/2006/relationships/oleObject" Target="embeddings/oleObject3913.bin"/><Relationship Id="rId8908" Type="http://schemas.openxmlformats.org/officeDocument/2006/relationships/oleObject" Target="embeddings/oleObject4434.bin"/><Relationship Id="rId10838" Type="http://schemas.openxmlformats.org/officeDocument/2006/relationships/image" Target="media/image5428.wmf"/><Relationship Id="rId6459" Type="http://schemas.openxmlformats.org/officeDocument/2006/relationships/image" Target="media/image3239.wmf"/><Relationship Id="rId12260" Type="http://schemas.openxmlformats.org/officeDocument/2006/relationships/image" Target="media/image6143.wmf"/><Relationship Id="rId13311" Type="http://schemas.openxmlformats.org/officeDocument/2006/relationships/image" Target="media/image6670.wmf"/><Relationship Id="rId6940" Type="http://schemas.openxmlformats.org/officeDocument/2006/relationships/oleObject" Target="embeddings/oleObject3455.bin"/><Relationship Id="rId4491" Type="http://schemas.openxmlformats.org/officeDocument/2006/relationships/oleObject" Target="embeddings/oleObject2237.bin"/><Relationship Id="rId5542" Type="http://schemas.openxmlformats.org/officeDocument/2006/relationships/oleObject" Target="embeddings/oleObject2760.bin"/><Relationship Id="rId14085" Type="http://schemas.openxmlformats.org/officeDocument/2006/relationships/image" Target="media/image7057.wmf"/><Relationship Id="rId3093" Type="http://schemas.openxmlformats.org/officeDocument/2006/relationships/image" Target="media/image1556.wmf"/><Relationship Id="rId4144" Type="http://schemas.openxmlformats.org/officeDocument/2006/relationships/oleObject" Target="embeddings/oleObject2063.bin"/><Relationship Id="rId8765" Type="http://schemas.openxmlformats.org/officeDocument/2006/relationships/image" Target="media/image4392.wmf"/><Relationship Id="rId7367" Type="http://schemas.openxmlformats.org/officeDocument/2006/relationships/oleObject" Target="embeddings/oleObject3668.bin"/><Relationship Id="rId8418" Type="http://schemas.openxmlformats.org/officeDocument/2006/relationships/image" Target="media/image4218.wmf"/><Relationship Id="rId9816" Type="http://schemas.openxmlformats.org/officeDocument/2006/relationships/image" Target="media/image4917.wmf"/><Relationship Id="rId10695" Type="http://schemas.openxmlformats.org/officeDocument/2006/relationships/oleObject" Target="embeddings/oleObject5312.bin"/><Relationship Id="rId11746" Type="http://schemas.openxmlformats.org/officeDocument/2006/relationships/image" Target="media/image5886.wmf"/><Relationship Id="rId1805" Type="http://schemas.openxmlformats.org/officeDocument/2006/relationships/oleObject" Target="embeddings/oleObject890.bin"/><Relationship Id="rId10348" Type="http://schemas.openxmlformats.org/officeDocument/2006/relationships/oleObject" Target="embeddings/oleObject5141.bin"/><Relationship Id="rId3977" Type="http://schemas.openxmlformats.org/officeDocument/2006/relationships/image" Target="media/image1999.wmf"/><Relationship Id="rId898" Type="http://schemas.openxmlformats.org/officeDocument/2006/relationships/image" Target="media/image454.wmf"/><Relationship Id="rId2579" Type="http://schemas.openxmlformats.org/officeDocument/2006/relationships/oleObject" Target="embeddings/oleObject1277.bin"/><Relationship Id="rId6450" Type="http://schemas.openxmlformats.org/officeDocument/2006/relationships/oleObject" Target="embeddings/oleObject3215.bin"/><Relationship Id="rId7501" Type="http://schemas.openxmlformats.org/officeDocument/2006/relationships/oleObject" Target="embeddings/oleObject3735.bin"/><Relationship Id="rId5052" Type="http://schemas.openxmlformats.org/officeDocument/2006/relationships/image" Target="media/image2536.wmf"/><Relationship Id="rId6103" Type="http://schemas.openxmlformats.org/officeDocument/2006/relationships/image" Target="media/image3062.wmf"/><Relationship Id="rId9673" Type="http://schemas.openxmlformats.org/officeDocument/2006/relationships/oleObject" Target="embeddings/oleObject4815.bin"/><Relationship Id="rId1662" Type="http://schemas.openxmlformats.org/officeDocument/2006/relationships/image" Target="media/image837.wmf"/><Relationship Id="rId8275" Type="http://schemas.openxmlformats.org/officeDocument/2006/relationships/oleObject" Target="embeddings/oleObject4122.bin"/><Relationship Id="rId9326" Type="http://schemas.openxmlformats.org/officeDocument/2006/relationships/image" Target="media/image4672.wmf"/><Relationship Id="rId11256" Type="http://schemas.openxmlformats.org/officeDocument/2006/relationships/oleObject" Target="embeddings/oleObject5581.bin"/><Relationship Id="rId12654" Type="http://schemas.openxmlformats.org/officeDocument/2006/relationships/oleObject" Target="embeddings/oleObject6276.bin"/><Relationship Id="rId13705" Type="http://schemas.openxmlformats.org/officeDocument/2006/relationships/image" Target="media/image6867.wmf"/><Relationship Id="rId1315" Type="http://schemas.openxmlformats.org/officeDocument/2006/relationships/oleObject" Target="embeddings/oleObject647.bin"/><Relationship Id="rId2713" Type="http://schemas.openxmlformats.org/officeDocument/2006/relationships/oleObject" Target="embeddings/oleObject1344.bin"/><Relationship Id="rId12307" Type="http://schemas.openxmlformats.org/officeDocument/2006/relationships/image" Target="media/image6168.wmf"/><Relationship Id="rId4885" Type="http://schemas.openxmlformats.org/officeDocument/2006/relationships/oleObject" Target="embeddings/oleObject2433.bin"/><Relationship Id="rId5936" Type="http://schemas.openxmlformats.org/officeDocument/2006/relationships/oleObject" Target="embeddings/oleObject2957.bin"/><Relationship Id="rId14479" Type="http://schemas.openxmlformats.org/officeDocument/2006/relationships/image" Target="media/image7254.wmf"/><Relationship Id="rId21" Type="http://schemas.openxmlformats.org/officeDocument/2006/relationships/image" Target="media/image8.wmf"/><Relationship Id="rId2089" Type="http://schemas.openxmlformats.org/officeDocument/2006/relationships/oleObject" Target="embeddings/oleObject1032.bin"/><Relationship Id="rId3487" Type="http://schemas.openxmlformats.org/officeDocument/2006/relationships/oleObject" Target="embeddings/oleObject1734.bin"/><Relationship Id="rId4538" Type="http://schemas.openxmlformats.org/officeDocument/2006/relationships/image" Target="media/image2279.wmf"/><Relationship Id="rId7011" Type="http://schemas.openxmlformats.org/officeDocument/2006/relationships/image" Target="media/image3515.wmf"/><Relationship Id="rId13562" Type="http://schemas.openxmlformats.org/officeDocument/2006/relationships/image" Target="media/image6796.wmf"/><Relationship Id="rId2570" Type="http://schemas.openxmlformats.org/officeDocument/2006/relationships/image" Target="media/image1295.wmf"/><Relationship Id="rId3621" Type="http://schemas.openxmlformats.org/officeDocument/2006/relationships/oleObject" Target="embeddings/oleObject1801.bin"/><Relationship Id="rId9183" Type="http://schemas.openxmlformats.org/officeDocument/2006/relationships/oleObject" Target="embeddings/oleObject4572.bin"/><Relationship Id="rId12164" Type="http://schemas.openxmlformats.org/officeDocument/2006/relationships/image" Target="media/image6095.wmf"/><Relationship Id="rId13215" Type="http://schemas.openxmlformats.org/officeDocument/2006/relationships/image" Target="media/image6622.wmf"/><Relationship Id="rId542" Type="http://schemas.openxmlformats.org/officeDocument/2006/relationships/oleObject" Target="embeddings/oleObject262.bin"/><Relationship Id="rId1172" Type="http://schemas.openxmlformats.org/officeDocument/2006/relationships/oleObject" Target="embeddings/oleObject576.bin"/><Relationship Id="rId2223" Type="http://schemas.openxmlformats.org/officeDocument/2006/relationships/oleObject" Target="embeddings/oleObject1099.bin"/><Relationship Id="rId5793" Type="http://schemas.openxmlformats.org/officeDocument/2006/relationships/image" Target="media/image2907.wmf"/><Relationship Id="rId6844" Type="http://schemas.openxmlformats.org/officeDocument/2006/relationships/oleObject" Target="embeddings/oleObject3407.bin"/><Relationship Id="rId4395" Type="http://schemas.openxmlformats.org/officeDocument/2006/relationships/oleObject" Target="embeddings/oleObject2189.bin"/><Relationship Id="rId5446" Type="http://schemas.openxmlformats.org/officeDocument/2006/relationships/oleObject" Target="embeddings/oleObject2712.bin"/><Relationship Id="rId4048" Type="http://schemas.openxmlformats.org/officeDocument/2006/relationships/oleObject" Target="embeddings/oleObject2015.bin"/><Relationship Id="rId11997" Type="http://schemas.openxmlformats.org/officeDocument/2006/relationships/oleObject" Target="embeddings/oleObject5950.bin"/><Relationship Id="rId8669" Type="http://schemas.openxmlformats.org/officeDocument/2006/relationships/image" Target="media/image4344.wmf"/><Relationship Id="rId10599" Type="http://schemas.openxmlformats.org/officeDocument/2006/relationships/oleObject" Target="embeddings/oleObject5264.bin"/><Relationship Id="rId14470" Type="http://schemas.openxmlformats.org/officeDocument/2006/relationships/oleObject" Target="embeddings/oleObject7175.bin"/><Relationship Id="rId1709" Type="http://schemas.openxmlformats.org/officeDocument/2006/relationships/oleObject" Target="embeddings/oleObject842.bin"/><Relationship Id="rId13072" Type="http://schemas.openxmlformats.org/officeDocument/2006/relationships/oleObject" Target="embeddings/oleObject6483.bin"/><Relationship Id="rId14123" Type="http://schemas.openxmlformats.org/officeDocument/2006/relationships/image" Target="media/image7076.wmf"/><Relationship Id="rId2080" Type="http://schemas.openxmlformats.org/officeDocument/2006/relationships/image" Target="media/image1046.wmf"/><Relationship Id="rId3131" Type="http://schemas.openxmlformats.org/officeDocument/2006/relationships/image" Target="media/image1575.wmf"/><Relationship Id="rId7752" Type="http://schemas.openxmlformats.org/officeDocument/2006/relationships/image" Target="media/image3885.wmf"/><Relationship Id="rId8803" Type="http://schemas.openxmlformats.org/officeDocument/2006/relationships/image" Target="media/image4411.wmf"/><Relationship Id="rId6354" Type="http://schemas.openxmlformats.org/officeDocument/2006/relationships/oleObject" Target="embeddings/oleObject3167.bin"/><Relationship Id="rId7405" Type="http://schemas.openxmlformats.org/officeDocument/2006/relationships/oleObject" Target="embeddings/oleObject3687.bin"/><Relationship Id="rId10733" Type="http://schemas.openxmlformats.org/officeDocument/2006/relationships/oleObject" Target="embeddings/oleObject5329.bin"/><Relationship Id="rId6007" Type="http://schemas.openxmlformats.org/officeDocument/2006/relationships/image" Target="media/image3014.wmf"/><Relationship Id="rId9577" Type="http://schemas.openxmlformats.org/officeDocument/2006/relationships/oleObject" Target="embeddings/oleObject4767.bin"/><Relationship Id="rId13956" Type="http://schemas.openxmlformats.org/officeDocument/2006/relationships/oleObject" Target="embeddings/oleObject6924.bin"/><Relationship Id="rId2964" Type="http://schemas.openxmlformats.org/officeDocument/2006/relationships/oleObject" Target="embeddings/oleObject1470.bin"/><Relationship Id="rId8179" Type="http://schemas.openxmlformats.org/officeDocument/2006/relationships/oleObject" Target="embeddings/oleObject4074.bin"/><Relationship Id="rId12558" Type="http://schemas.openxmlformats.org/officeDocument/2006/relationships/oleObject" Target="embeddings/oleObject6228.bin"/><Relationship Id="rId13609" Type="http://schemas.openxmlformats.org/officeDocument/2006/relationships/oleObject" Target="embeddings/oleObject6750.bin"/><Relationship Id="rId936" Type="http://schemas.openxmlformats.org/officeDocument/2006/relationships/oleObject" Target="embeddings/oleObject459.bin"/><Relationship Id="rId1219" Type="http://schemas.openxmlformats.org/officeDocument/2006/relationships/oleObject" Target="embeddings/oleObject600.bin"/><Relationship Id="rId1566" Type="http://schemas.openxmlformats.org/officeDocument/2006/relationships/image" Target="media/image788.wmf"/><Relationship Id="rId2617" Type="http://schemas.openxmlformats.org/officeDocument/2006/relationships/oleObject" Target="embeddings/oleObject1296.bin"/><Relationship Id="rId4789" Type="http://schemas.openxmlformats.org/officeDocument/2006/relationships/oleObject" Target="embeddings/oleObject2386.bin"/><Relationship Id="rId8660" Type="http://schemas.openxmlformats.org/officeDocument/2006/relationships/oleObject" Target="embeddings/oleObject4313.bin"/><Relationship Id="rId9711" Type="http://schemas.openxmlformats.org/officeDocument/2006/relationships/oleObject" Target="embeddings/oleObject4827.bin"/><Relationship Id="rId10590" Type="http://schemas.openxmlformats.org/officeDocument/2006/relationships/image" Target="media/image5304.wmf"/><Relationship Id="rId11641" Type="http://schemas.openxmlformats.org/officeDocument/2006/relationships/image" Target="media/image5832.wmf"/><Relationship Id="rId1700" Type="http://schemas.openxmlformats.org/officeDocument/2006/relationships/image" Target="media/image856.wmf"/><Relationship Id="rId7262" Type="http://schemas.openxmlformats.org/officeDocument/2006/relationships/image" Target="media/image3640.wmf"/><Relationship Id="rId8313" Type="http://schemas.openxmlformats.org/officeDocument/2006/relationships/oleObject" Target="embeddings/oleObject4141.bin"/><Relationship Id="rId10243" Type="http://schemas.openxmlformats.org/officeDocument/2006/relationships/image" Target="media/image5130.wmf"/><Relationship Id="rId3872" Type="http://schemas.openxmlformats.org/officeDocument/2006/relationships/image" Target="media/image1947.wmf"/><Relationship Id="rId13466" Type="http://schemas.openxmlformats.org/officeDocument/2006/relationships/image" Target="media/image6748.wmf"/><Relationship Id="rId793" Type="http://schemas.openxmlformats.org/officeDocument/2006/relationships/oleObject" Target="embeddings/oleObject388.bin"/><Relationship Id="rId2474" Type="http://schemas.openxmlformats.org/officeDocument/2006/relationships/image" Target="media/image1247.wmf"/><Relationship Id="rId3525" Type="http://schemas.openxmlformats.org/officeDocument/2006/relationships/oleObject" Target="embeddings/oleObject1753.bin"/><Relationship Id="rId4923" Type="http://schemas.openxmlformats.org/officeDocument/2006/relationships/oleObject" Target="embeddings/oleObject2452.bin"/><Relationship Id="rId9087" Type="http://schemas.openxmlformats.org/officeDocument/2006/relationships/image" Target="media/image4553.wmf"/><Relationship Id="rId12068" Type="http://schemas.openxmlformats.org/officeDocument/2006/relationships/image" Target="media/image6047.wmf"/><Relationship Id="rId13119" Type="http://schemas.openxmlformats.org/officeDocument/2006/relationships/image" Target="media/image6574.wmf"/><Relationship Id="rId14517" Type="http://schemas.openxmlformats.org/officeDocument/2006/relationships/image" Target="media/image7273.wmf"/><Relationship Id="rId446" Type="http://schemas.openxmlformats.org/officeDocument/2006/relationships/oleObject" Target="embeddings/oleObject214.bin"/><Relationship Id="rId1076" Type="http://schemas.openxmlformats.org/officeDocument/2006/relationships/oleObject" Target="embeddings/oleObject528.bin"/><Relationship Id="rId2127" Type="http://schemas.openxmlformats.org/officeDocument/2006/relationships/oleObject" Target="embeddings/oleObject1051.bin"/><Relationship Id="rId4299" Type="http://schemas.openxmlformats.org/officeDocument/2006/relationships/image" Target="media/image2160.wmf"/><Relationship Id="rId5697" Type="http://schemas.openxmlformats.org/officeDocument/2006/relationships/image" Target="media/image2859.wmf"/><Relationship Id="rId6748" Type="http://schemas.openxmlformats.org/officeDocument/2006/relationships/oleObject" Target="embeddings/oleObject3361.bin"/><Relationship Id="rId8170" Type="http://schemas.openxmlformats.org/officeDocument/2006/relationships/image" Target="media/image4094.wmf"/><Relationship Id="rId13600" Type="http://schemas.openxmlformats.org/officeDocument/2006/relationships/image" Target="media/image6815.wmf"/><Relationship Id="rId9221" Type="http://schemas.openxmlformats.org/officeDocument/2006/relationships/oleObject" Target="embeddings/oleObject4591.bin"/><Relationship Id="rId11151" Type="http://schemas.openxmlformats.org/officeDocument/2006/relationships/image" Target="media/image5587.wmf"/><Relationship Id="rId12202" Type="http://schemas.openxmlformats.org/officeDocument/2006/relationships/image" Target="media/image6114.wmf"/><Relationship Id="rId1210" Type="http://schemas.openxmlformats.org/officeDocument/2006/relationships/image" Target="media/image610.wmf"/><Relationship Id="rId4780" Type="http://schemas.openxmlformats.org/officeDocument/2006/relationships/image" Target="media/image2400.wmf"/><Relationship Id="rId5831" Type="http://schemas.openxmlformats.org/officeDocument/2006/relationships/image" Target="media/image2926.wmf"/><Relationship Id="rId14374" Type="http://schemas.microsoft.com/office/2007/relationships/hdphoto" Target="media/hdphoto51.wdp"/><Relationship Id="rId3382" Type="http://schemas.openxmlformats.org/officeDocument/2006/relationships/image" Target="media/image1701.wmf"/><Relationship Id="rId4433" Type="http://schemas.openxmlformats.org/officeDocument/2006/relationships/oleObject" Target="embeddings/oleObject2208.bin"/><Relationship Id="rId14027" Type="http://schemas.openxmlformats.org/officeDocument/2006/relationships/image" Target="media/image7028.wmf"/><Relationship Id="rId3035" Type="http://schemas.openxmlformats.org/officeDocument/2006/relationships/image" Target="media/image1527.wmf"/><Relationship Id="rId7656" Type="http://schemas.openxmlformats.org/officeDocument/2006/relationships/image" Target="media/image3837.wmf"/><Relationship Id="rId8707" Type="http://schemas.openxmlformats.org/officeDocument/2006/relationships/image" Target="media/image4363.wmf"/><Relationship Id="rId10984" Type="http://schemas.openxmlformats.org/officeDocument/2006/relationships/image" Target="media/image5502.wmf"/><Relationship Id="rId6258" Type="http://schemas.openxmlformats.org/officeDocument/2006/relationships/oleObject" Target="embeddings/oleObject3118.bin"/><Relationship Id="rId7309" Type="http://schemas.openxmlformats.org/officeDocument/2006/relationships/oleObject" Target="embeddings/oleObject3639.bin"/><Relationship Id="rId10637" Type="http://schemas.openxmlformats.org/officeDocument/2006/relationships/oleObject" Target="embeddings/oleObject5283.bin"/><Relationship Id="rId13110" Type="http://schemas.openxmlformats.org/officeDocument/2006/relationships/oleObject" Target="embeddings/oleObject6502.bin"/><Relationship Id="rId2868" Type="http://schemas.openxmlformats.org/officeDocument/2006/relationships/oleObject" Target="embeddings/oleObject1422.bin"/><Relationship Id="rId3919" Type="http://schemas.openxmlformats.org/officeDocument/2006/relationships/oleObject" Target="embeddings/oleObject1950.bin"/><Relationship Id="rId4290" Type="http://schemas.openxmlformats.org/officeDocument/2006/relationships/oleObject" Target="embeddings/oleObject2136.bin"/><Relationship Id="rId5341" Type="http://schemas.openxmlformats.org/officeDocument/2006/relationships/image" Target="media/image2681.wmf"/><Relationship Id="rId9962" Type="http://schemas.openxmlformats.org/officeDocument/2006/relationships/oleObject" Target="embeddings/oleObject4951.bin"/><Relationship Id="rId11892" Type="http://schemas.openxmlformats.org/officeDocument/2006/relationships/image" Target="media/image5959.wmf"/><Relationship Id="rId1951" Type="http://schemas.openxmlformats.org/officeDocument/2006/relationships/oleObject" Target="embeddings/oleObject963.bin"/><Relationship Id="rId8564" Type="http://schemas.openxmlformats.org/officeDocument/2006/relationships/image" Target="media/image4291.wmf"/><Relationship Id="rId9615" Type="http://schemas.openxmlformats.org/officeDocument/2006/relationships/oleObject" Target="embeddings/oleObject4786.bin"/><Relationship Id="rId10494" Type="http://schemas.openxmlformats.org/officeDocument/2006/relationships/image" Target="media/image5256.wmf"/><Relationship Id="rId11545" Type="http://schemas.openxmlformats.org/officeDocument/2006/relationships/image" Target="media/image5784.wmf"/><Relationship Id="rId12943" Type="http://schemas.openxmlformats.org/officeDocument/2006/relationships/image" Target="media/image6486.wmf"/><Relationship Id="rId1604" Type="http://schemas.openxmlformats.org/officeDocument/2006/relationships/image" Target="media/image808.wmf"/><Relationship Id="rId7166" Type="http://schemas.openxmlformats.org/officeDocument/2006/relationships/image" Target="media/image3592.wmf"/><Relationship Id="rId8217" Type="http://schemas.openxmlformats.org/officeDocument/2006/relationships/oleObject" Target="embeddings/oleObject4093.bin"/><Relationship Id="rId10147" Type="http://schemas.openxmlformats.org/officeDocument/2006/relationships/image" Target="media/image5082.wmf"/><Relationship Id="rId697" Type="http://schemas.openxmlformats.org/officeDocument/2006/relationships/oleObject" Target="embeddings/oleObject337.bin"/><Relationship Id="rId2378" Type="http://schemas.openxmlformats.org/officeDocument/2006/relationships/oleObject" Target="embeddings/oleObject1178.bin"/><Relationship Id="rId3429" Type="http://schemas.openxmlformats.org/officeDocument/2006/relationships/oleObject" Target="embeddings/oleObject1705.bin"/><Relationship Id="rId3776" Type="http://schemas.openxmlformats.org/officeDocument/2006/relationships/image" Target="media/image1899.wmf"/><Relationship Id="rId4827" Type="http://schemas.openxmlformats.org/officeDocument/2006/relationships/oleObject" Target="embeddings/oleObject2404.bin"/><Relationship Id="rId6999" Type="http://schemas.openxmlformats.org/officeDocument/2006/relationships/image" Target="media/image3509.wmf"/><Relationship Id="rId7300" Type="http://schemas.openxmlformats.org/officeDocument/2006/relationships/image" Target="media/image3659.wmf"/><Relationship Id="rId13851" Type="http://schemas.openxmlformats.org/officeDocument/2006/relationships/image" Target="media/image6940.wmf"/><Relationship Id="rId3910" Type="http://schemas.openxmlformats.org/officeDocument/2006/relationships/image" Target="media/image1966.wmf"/><Relationship Id="rId9472" Type="http://schemas.openxmlformats.org/officeDocument/2006/relationships/image" Target="media/image4745.wmf"/><Relationship Id="rId12453" Type="http://schemas.openxmlformats.org/officeDocument/2006/relationships/image" Target="media/image6241.wmf"/><Relationship Id="rId13504" Type="http://schemas.openxmlformats.org/officeDocument/2006/relationships/image" Target="media/image6767.wmf"/><Relationship Id="rId831" Type="http://schemas.openxmlformats.org/officeDocument/2006/relationships/oleObject" Target="embeddings/oleObject407.bin"/><Relationship Id="rId1461" Type="http://schemas.openxmlformats.org/officeDocument/2006/relationships/oleObject" Target="embeddings/oleObject719.bin"/><Relationship Id="rId2512" Type="http://schemas.openxmlformats.org/officeDocument/2006/relationships/image" Target="media/image1266.wmf"/><Relationship Id="rId8074" Type="http://schemas.openxmlformats.org/officeDocument/2006/relationships/image" Target="media/image4046.wmf"/><Relationship Id="rId9125" Type="http://schemas.openxmlformats.org/officeDocument/2006/relationships/image" Target="media/image4572.wmf"/><Relationship Id="rId11055" Type="http://schemas.openxmlformats.org/officeDocument/2006/relationships/oleObject" Target="embeddings/oleObject5483.bin"/><Relationship Id="rId12106" Type="http://schemas.openxmlformats.org/officeDocument/2006/relationships/image" Target="media/image6066.wmf"/><Relationship Id="rId1114" Type="http://schemas.openxmlformats.org/officeDocument/2006/relationships/oleObject" Target="embeddings/oleObject547.bin"/><Relationship Id="rId4684" Type="http://schemas.openxmlformats.org/officeDocument/2006/relationships/image" Target="media/image2352.wmf"/><Relationship Id="rId5735" Type="http://schemas.openxmlformats.org/officeDocument/2006/relationships/image" Target="media/image2878.wmf"/><Relationship Id="rId14278" Type="http://schemas.openxmlformats.org/officeDocument/2006/relationships/oleObject" Target="embeddings/oleObject7085.bin"/><Relationship Id="rId3286" Type="http://schemas.openxmlformats.org/officeDocument/2006/relationships/image" Target="media/image1652.wmf"/><Relationship Id="rId4337" Type="http://schemas.openxmlformats.org/officeDocument/2006/relationships/oleObject" Target="embeddings/oleObject2160.bin"/><Relationship Id="rId8958" Type="http://schemas.openxmlformats.org/officeDocument/2006/relationships/oleObject" Target="embeddings/oleObject4459.bin"/><Relationship Id="rId10888" Type="http://schemas.openxmlformats.org/officeDocument/2006/relationships/image" Target="media/image5453.wmf"/><Relationship Id="rId11939" Type="http://schemas.openxmlformats.org/officeDocument/2006/relationships/oleObject" Target="embeddings/oleObject5921.bin"/><Relationship Id="rId13361" Type="http://schemas.openxmlformats.org/officeDocument/2006/relationships/oleObject" Target="embeddings/oleObject6626.bin"/><Relationship Id="rId14412" Type="http://schemas.openxmlformats.org/officeDocument/2006/relationships/oleObject" Target="embeddings/oleObject7150.bin"/><Relationship Id="rId3420" Type="http://schemas.openxmlformats.org/officeDocument/2006/relationships/image" Target="media/image1720.wmf"/><Relationship Id="rId6990" Type="http://schemas.openxmlformats.org/officeDocument/2006/relationships/oleObject" Target="embeddings/oleObject3480.bin"/><Relationship Id="rId13014" Type="http://schemas.openxmlformats.org/officeDocument/2006/relationships/oleObject" Target="embeddings/oleObject6456.bin"/><Relationship Id="rId341" Type="http://schemas.openxmlformats.org/officeDocument/2006/relationships/oleObject" Target="embeddings/oleObject165.bin"/><Relationship Id="rId2022" Type="http://schemas.openxmlformats.org/officeDocument/2006/relationships/image" Target="media/image1017.wmf"/><Relationship Id="rId5592" Type="http://schemas.openxmlformats.org/officeDocument/2006/relationships/oleObject" Target="embeddings/oleObject2785.bin"/><Relationship Id="rId6643" Type="http://schemas.openxmlformats.org/officeDocument/2006/relationships/image" Target="media/image3331.wmf"/><Relationship Id="rId4194" Type="http://schemas.openxmlformats.org/officeDocument/2006/relationships/oleObject" Target="embeddings/oleObject2088.bin"/><Relationship Id="rId5245" Type="http://schemas.openxmlformats.org/officeDocument/2006/relationships/image" Target="media/image2633.wmf"/><Relationship Id="rId9866" Type="http://schemas.openxmlformats.org/officeDocument/2006/relationships/oleObject" Target="embeddings/oleObject4905.bin"/><Relationship Id="rId8468" Type="http://schemas.openxmlformats.org/officeDocument/2006/relationships/image" Target="media/image4243.wmf"/><Relationship Id="rId9519" Type="http://schemas.openxmlformats.org/officeDocument/2006/relationships/oleObject" Target="embeddings/oleObject4738.bin"/><Relationship Id="rId10398" Type="http://schemas.openxmlformats.org/officeDocument/2006/relationships/oleObject" Target="embeddings/oleObject5166.bin"/><Relationship Id="rId11796" Type="http://schemas.openxmlformats.org/officeDocument/2006/relationships/image" Target="media/image5911.wmf"/><Relationship Id="rId12847" Type="http://schemas.openxmlformats.org/officeDocument/2006/relationships/image" Target="media/image6438.wmf"/><Relationship Id="rId1508" Type="http://schemas.openxmlformats.org/officeDocument/2006/relationships/image" Target="media/image759.wmf"/><Relationship Id="rId1855" Type="http://schemas.openxmlformats.org/officeDocument/2006/relationships/oleObject" Target="embeddings/oleObject915.bin"/><Relationship Id="rId2906" Type="http://schemas.openxmlformats.org/officeDocument/2006/relationships/oleObject" Target="embeddings/oleObject1441.bin"/><Relationship Id="rId11449" Type="http://schemas.openxmlformats.org/officeDocument/2006/relationships/image" Target="media/image5736.wmf"/><Relationship Id="rId11930" Type="http://schemas.openxmlformats.org/officeDocument/2006/relationships/image" Target="media/image5978.wmf"/><Relationship Id="rId7551" Type="http://schemas.openxmlformats.org/officeDocument/2006/relationships/oleObject" Target="embeddings/oleObject3760.bin"/><Relationship Id="rId8602" Type="http://schemas.openxmlformats.org/officeDocument/2006/relationships/image" Target="media/image4310.wmf"/><Relationship Id="rId10532" Type="http://schemas.openxmlformats.org/officeDocument/2006/relationships/image" Target="media/image5275.wmf"/><Relationship Id="rId6153" Type="http://schemas.openxmlformats.org/officeDocument/2006/relationships/image" Target="media/image3087.wmf"/><Relationship Id="rId7204" Type="http://schemas.openxmlformats.org/officeDocument/2006/relationships/image" Target="media/image3611.wmf"/><Relationship Id="rId13755" Type="http://schemas.openxmlformats.org/officeDocument/2006/relationships/image" Target="media/image6892.wmf"/><Relationship Id="rId2763" Type="http://schemas.openxmlformats.org/officeDocument/2006/relationships/oleObject" Target="embeddings/oleObject1369.bin"/><Relationship Id="rId3814" Type="http://schemas.openxmlformats.org/officeDocument/2006/relationships/image" Target="media/image1918.wmf"/><Relationship Id="rId9376" Type="http://schemas.openxmlformats.org/officeDocument/2006/relationships/image" Target="media/image4697.wmf"/><Relationship Id="rId12357" Type="http://schemas.openxmlformats.org/officeDocument/2006/relationships/image" Target="media/image6193.wmf"/><Relationship Id="rId13408" Type="http://schemas.openxmlformats.org/officeDocument/2006/relationships/image" Target="media/image6719.wmf"/><Relationship Id="rId735" Type="http://schemas.openxmlformats.org/officeDocument/2006/relationships/oleObject" Target="embeddings/oleObject356.bin"/><Relationship Id="rId1365" Type="http://schemas.openxmlformats.org/officeDocument/2006/relationships/oleObject" Target="embeddings/oleObject672.bin"/><Relationship Id="rId2416" Type="http://schemas.openxmlformats.org/officeDocument/2006/relationships/oleObject" Target="embeddings/oleObject1197.bin"/><Relationship Id="rId9029" Type="http://schemas.openxmlformats.org/officeDocument/2006/relationships/image" Target="media/image4524.wmf"/><Relationship Id="rId1018" Type="http://schemas.openxmlformats.org/officeDocument/2006/relationships/oleObject" Target="embeddings/oleObject500.bin"/><Relationship Id="rId4588" Type="http://schemas.openxmlformats.org/officeDocument/2006/relationships/image" Target="media/image2304.wmf"/><Relationship Id="rId5639" Type="http://schemas.openxmlformats.org/officeDocument/2006/relationships/image" Target="media/image2830.wmf"/><Relationship Id="rId5986" Type="http://schemas.openxmlformats.org/officeDocument/2006/relationships/oleObject" Target="embeddings/oleObject2982.bin"/><Relationship Id="rId71" Type="http://schemas.openxmlformats.org/officeDocument/2006/relationships/image" Target="media/image33.wmf"/><Relationship Id="rId7061" Type="http://schemas.openxmlformats.org/officeDocument/2006/relationships/image" Target="media/image3540.wmf"/><Relationship Id="rId8112" Type="http://schemas.openxmlformats.org/officeDocument/2006/relationships/image" Target="media/image4065.wmf"/><Relationship Id="rId9510" Type="http://schemas.openxmlformats.org/officeDocument/2006/relationships/image" Target="media/image4764.wmf"/><Relationship Id="rId11440" Type="http://schemas.openxmlformats.org/officeDocument/2006/relationships/oleObject" Target="embeddings/oleObject5673.bin"/><Relationship Id="rId10042" Type="http://schemas.openxmlformats.org/officeDocument/2006/relationships/oleObject" Target="embeddings/oleObject4990.bin"/><Relationship Id="rId3671" Type="http://schemas.openxmlformats.org/officeDocument/2006/relationships/oleObject" Target="embeddings/oleObject1826.bin"/><Relationship Id="rId4722" Type="http://schemas.openxmlformats.org/officeDocument/2006/relationships/image" Target="media/image2371.wmf"/><Relationship Id="rId13265" Type="http://schemas.openxmlformats.org/officeDocument/2006/relationships/image" Target="media/image6647.wmf"/><Relationship Id="rId14316" Type="http://schemas.openxmlformats.org/officeDocument/2006/relationships/oleObject" Target="embeddings/oleObject7104.bin"/><Relationship Id="rId592" Type="http://schemas.openxmlformats.org/officeDocument/2006/relationships/image" Target="media/image297.wmf"/><Relationship Id="rId2273" Type="http://schemas.openxmlformats.org/officeDocument/2006/relationships/image" Target="media/image1143.wmf"/><Relationship Id="rId3324" Type="http://schemas.openxmlformats.org/officeDocument/2006/relationships/image" Target="media/image1671.wmf"/><Relationship Id="rId6894" Type="http://schemas.openxmlformats.org/officeDocument/2006/relationships/oleObject" Target="embeddings/oleObject3432.bin"/><Relationship Id="rId7945" Type="http://schemas.openxmlformats.org/officeDocument/2006/relationships/oleObject" Target="embeddings/oleObject3957.bin"/><Relationship Id="rId245" Type="http://schemas.openxmlformats.org/officeDocument/2006/relationships/oleObject" Target="embeddings/oleObject117.bin"/><Relationship Id="rId5496" Type="http://schemas.openxmlformats.org/officeDocument/2006/relationships/oleObject" Target="embeddings/oleObject2737.bin"/><Relationship Id="rId6547" Type="http://schemas.openxmlformats.org/officeDocument/2006/relationships/image" Target="media/image3283.wmf"/><Relationship Id="rId10926" Type="http://schemas.openxmlformats.org/officeDocument/2006/relationships/image" Target="media/image5472.wmf"/><Relationship Id="rId4098" Type="http://schemas.openxmlformats.org/officeDocument/2006/relationships/oleObject" Target="embeddings/oleObject2040.bin"/><Relationship Id="rId5149" Type="http://schemas.openxmlformats.org/officeDocument/2006/relationships/oleObject" Target="embeddings/oleObject2564.bin"/><Relationship Id="rId9020" Type="http://schemas.openxmlformats.org/officeDocument/2006/relationships/oleObject" Target="embeddings/oleObject4490.bin"/><Relationship Id="rId12001" Type="http://schemas.openxmlformats.org/officeDocument/2006/relationships/oleObject" Target="embeddings/oleObject5952.bin"/><Relationship Id="rId1759" Type="http://schemas.openxmlformats.org/officeDocument/2006/relationships/oleObject" Target="embeddings/oleObject867.bin"/><Relationship Id="rId3181" Type="http://schemas.openxmlformats.org/officeDocument/2006/relationships/image" Target="media/image1600.wmf"/><Relationship Id="rId5630" Type="http://schemas.openxmlformats.org/officeDocument/2006/relationships/oleObject" Target="embeddings/oleObject2804.bin"/><Relationship Id="rId14173" Type="http://schemas.openxmlformats.org/officeDocument/2006/relationships/image" Target="media/image7101.wmf"/><Relationship Id="rId4232" Type="http://schemas.openxmlformats.org/officeDocument/2006/relationships/oleObject" Target="embeddings/oleObject2107.bin"/><Relationship Id="rId8853" Type="http://schemas.openxmlformats.org/officeDocument/2006/relationships/image" Target="media/image4436.png"/><Relationship Id="rId9904" Type="http://schemas.openxmlformats.org/officeDocument/2006/relationships/oleObject" Target="embeddings/oleObject4924.bin"/><Relationship Id="rId10783" Type="http://schemas.openxmlformats.org/officeDocument/2006/relationships/oleObject" Target="embeddings/oleObject5354.bin"/><Relationship Id="rId11834" Type="http://schemas.openxmlformats.org/officeDocument/2006/relationships/image" Target="media/image5930.wmf"/><Relationship Id="rId7455" Type="http://schemas.openxmlformats.org/officeDocument/2006/relationships/oleObject" Target="embeddings/oleObject3712.bin"/><Relationship Id="rId8506" Type="http://schemas.openxmlformats.org/officeDocument/2006/relationships/image" Target="media/image4262.wmf"/><Relationship Id="rId10436" Type="http://schemas.openxmlformats.org/officeDocument/2006/relationships/image" Target="media/image5227.wmf"/><Relationship Id="rId6057" Type="http://schemas.openxmlformats.org/officeDocument/2006/relationships/image" Target="media/image3039.wmf"/><Relationship Id="rId7108" Type="http://schemas.openxmlformats.org/officeDocument/2006/relationships/oleObject" Target="embeddings/oleObject3539.bin"/><Relationship Id="rId986" Type="http://schemas.openxmlformats.org/officeDocument/2006/relationships/oleObject" Target="embeddings/oleObject484.bin"/><Relationship Id="rId2667" Type="http://schemas.openxmlformats.org/officeDocument/2006/relationships/oleObject" Target="embeddings/oleObject1321.bin"/><Relationship Id="rId3718" Type="http://schemas.openxmlformats.org/officeDocument/2006/relationships/image" Target="media/image1870.wmf"/><Relationship Id="rId13659" Type="http://schemas.openxmlformats.org/officeDocument/2006/relationships/oleObject" Target="embeddings/oleObject6775.bin"/><Relationship Id="rId639" Type="http://schemas.openxmlformats.org/officeDocument/2006/relationships/oleObject" Target="embeddings/oleObject309.bin"/><Relationship Id="rId1269" Type="http://schemas.openxmlformats.org/officeDocument/2006/relationships/oleObject" Target="embeddings/oleObject624.bin"/><Relationship Id="rId5140" Type="http://schemas.openxmlformats.org/officeDocument/2006/relationships/image" Target="media/image2580.wmf"/><Relationship Id="rId9761" Type="http://schemas.openxmlformats.org/officeDocument/2006/relationships/oleObject" Target="embeddings/oleObject4852.bin"/><Relationship Id="rId11691" Type="http://schemas.openxmlformats.org/officeDocument/2006/relationships/oleObject" Target="embeddings/oleObject5797.bin"/><Relationship Id="rId12742" Type="http://schemas.openxmlformats.org/officeDocument/2006/relationships/oleObject" Target="embeddings/oleObject6320.bin"/><Relationship Id="rId1750" Type="http://schemas.openxmlformats.org/officeDocument/2006/relationships/image" Target="media/image881.wmf"/><Relationship Id="rId2801" Type="http://schemas.openxmlformats.org/officeDocument/2006/relationships/oleObject" Target="embeddings/oleObject1388.bin"/><Relationship Id="rId8016" Type="http://schemas.openxmlformats.org/officeDocument/2006/relationships/image" Target="media/image4017.wmf"/><Relationship Id="rId8363" Type="http://schemas.openxmlformats.org/officeDocument/2006/relationships/oleObject" Target="embeddings/oleObject4166.bin"/><Relationship Id="rId9414" Type="http://schemas.openxmlformats.org/officeDocument/2006/relationships/image" Target="media/image4716.wmf"/><Relationship Id="rId10293" Type="http://schemas.openxmlformats.org/officeDocument/2006/relationships/image" Target="media/image5155.wmf"/><Relationship Id="rId11344" Type="http://schemas.openxmlformats.org/officeDocument/2006/relationships/oleObject" Target="embeddings/oleObject5625.bin"/><Relationship Id="rId1403" Type="http://schemas.openxmlformats.org/officeDocument/2006/relationships/oleObject" Target="embeddings/oleObject690.bin"/><Relationship Id="rId4973" Type="http://schemas.openxmlformats.org/officeDocument/2006/relationships/oleObject" Target="embeddings/oleObject2476.bin"/><Relationship Id="rId14567" Type="http://schemas.openxmlformats.org/officeDocument/2006/relationships/image" Target="media/image7298.w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8" Type="http://schemas.openxmlformats.org/officeDocument/2006/relationships/oleObject" Target="embeddings/oleObject774.bin"/><Relationship Id="rId13" Type="http://schemas.openxmlformats.org/officeDocument/2006/relationships/image" Target="media/image1698.wmf"/><Relationship Id="rId3" Type="http://schemas.openxmlformats.org/officeDocument/2006/relationships/image" Target="media/image386.wmf"/><Relationship Id="rId7" Type="http://schemas.openxmlformats.org/officeDocument/2006/relationships/image" Target="media/image792.wmf"/><Relationship Id="rId12" Type="http://schemas.openxmlformats.org/officeDocument/2006/relationships/oleObject" Target="embeddings/oleObject1143.bin"/><Relationship Id="rId2" Type="http://schemas.openxmlformats.org/officeDocument/2006/relationships/oleObject" Target="embeddings/oleObject372.bin"/><Relationship Id="rId16" Type="http://schemas.openxmlformats.org/officeDocument/2006/relationships/oleObject" Target="embeddings/oleObject1702.bin"/><Relationship Id="rId1" Type="http://schemas.openxmlformats.org/officeDocument/2006/relationships/image" Target="media/image385.wmf"/><Relationship Id="rId6" Type="http://schemas.openxmlformats.org/officeDocument/2006/relationships/oleObject" Target="embeddings/oleObject374.bin"/><Relationship Id="rId11" Type="http://schemas.openxmlformats.org/officeDocument/2006/relationships/image" Target="media/image1162.wmf"/><Relationship Id="rId5" Type="http://schemas.openxmlformats.org/officeDocument/2006/relationships/image" Target="media/image387.wmf"/><Relationship Id="rId15" Type="http://schemas.openxmlformats.org/officeDocument/2006/relationships/image" Target="media/image1722.wmf"/><Relationship Id="rId10" Type="http://schemas.openxmlformats.org/officeDocument/2006/relationships/oleObject" Target="embeddings/oleObject1142.bin"/><Relationship Id="rId4" Type="http://schemas.openxmlformats.org/officeDocument/2006/relationships/oleObject" Target="embeddings/oleObject373.bin"/><Relationship Id="rId9" Type="http://schemas.openxmlformats.org/officeDocument/2006/relationships/image" Target="media/image1161.wmf"/><Relationship Id="rId14" Type="http://schemas.openxmlformats.org/officeDocument/2006/relationships/oleObject" Target="embeddings/oleObject1678.bin"/></Relationships>
</file>

<file path=word/theme/theme1.xml><?xml version="1.0" encoding="utf-8"?>
<a:theme xmlns:a="http://schemas.openxmlformats.org/drawingml/2006/main" name="Facet">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F725FF-9DB2-462A-A655-FF2ED8B798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5411</TotalTime>
  <Pages>1</Pages>
  <Words>146843</Words>
  <Characters>837010</Characters>
  <Application>Microsoft Office Word</Application>
  <DocSecurity>0</DocSecurity>
  <Lines>6975</Lines>
  <Paragraphs>1963</Paragraphs>
  <ScaleCrop>false</ScaleCrop>
  <HeadingPairs>
    <vt:vector size="2" baseType="variant">
      <vt:variant>
        <vt:lpstr>Title</vt:lpstr>
      </vt:variant>
      <vt:variant>
        <vt:i4>1</vt:i4>
      </vt:variant>
    </vt:vector>
  </HeadingPairs>
  <TitlesOfParts>
    <vt:vector size="1" baseType="lpstr">
      <vt:lpstr/>
    </vt:vector>
  </TitlesOfParts>
  <Company>nona</Company>
  <LinksUpToDate>false</LinksUpToDate>
  <CharactersWithSpaces>981890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illia</dc:creator>
  <cp:lastModifiedBy>Karim Emami</cp:lastModifiedBy>
  <cp:revision>9</cp:revision>
  <cp:lastPrinted>2014-11-17T11:28:00Z</cp:lastPrinted>
  <dcterms:created xsi:type="dcterms:W3CDTF">2024-10-20T17:37:00Z</dcterms:created>
  <dcterms:modified xsi:type="dcterms:W3CDTF">2024-10-25T07:36:00Z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